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D1B58" w14:paraId="6563105C" w14:textId="77777777" w:rsidTr="00881B6F">
        <w:trPr>
          <w:trHeight w:val="1162"/>
        </w:trPr>
        <w:tc>
          <w:tcPr>
            <w:tcW w:w="9156" w:type="dxa"/>
            <w:tcBorders>
              <w:bottom w:val="single" w:sz="24" w:space="0" w:color="22413A"/>
            </w:tcBorders>
            <w:shd w:val="clear" w:color="auto" w:fill="auto"/>
          </w:tcPr>
          <w:p w14:paraId="1B31ED23" w14:textId="77777777" w:rsidR="00C20562" w:rsidRPr="00DD1B58" w:rsidRDefault="00C20562" w:rsidP="00323E71">
            <w:pPr>
              <w:rPr>
                <w:lang w:val="en-US"/>
              </w:rPr>
            </w:pPr>
            <w:bookmarkStart w:id="0" w:name="_Hlk135211193"/>
            <w:bookmarkStart w:id="1" w:name="_Toc466022543"/>
            <w:bookmarkEnd w:id="0"/>
          </w:p>
        </w:tc>
      </w:tr>
      <w:tr w:rsidR="00D0226A" w:rsidRPr="00DD1B58" w14:paraId="1ACF598D"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4777F8D" w14:textId="77777777" w:rsidR="00595C8C" w:rsidRPr="00DD1B58" w:rsidRDefault="004D14B3" w:rsidP="00595C8C">
            <w:pPr>
              <w:pStyle w:val="InnerCoverTitle"/>
              <w:rPr>
                <w:sz w:val="36"/>
                <w:szCs w:val="36"/>
                <w:lang w:val="en-US"/>
              </w:rPr>
            </w:pPr>
            <w:r w:rsidRPr="00DD1B58">
              <w:rPr>
                <w:sz w:val="36"/>
                <w:szCs w:val="36"/>
                <w:lang w:val="en-US"/>
              </w:rPr>
              <w:t xml:space="preserve">ENSREG Topical Peer Review </w:t>
            </w:r>
            <w:r w:rsidR="0015032A" w:rsidRPr="00DD1B58">
              <w:rPr>
                <w:sz w:val="36"/>
                <w:szCs w:val="36"/>
                <w:lang w:val="en-US"/>
              </w:rPr>
              <w:t xml:space="preserve">2 - </w:t>
            </w:r>
            <w:r w:rsidRPr="00DD1B58">
              <w:rPr>
                <w:sz w:val="36"/>
                <w:szCs w:val="36"/>
                <w:lang w:val="en-US"/>
              </w:rPr>
              <w:t>Fire Protection</w:t>
            </w:r>
          </w:p>
          <w:sdt>
            <w:sdtPr>
              <w:rPr>
                <w:sz w:val="56"/>
                <w:szCs w:val="56"/>
                <w:lang w:val="en-US"/>
              </w:rPr>
              <w:id w:val="1228188510"/>
              <w:placeholder>
                <w:docPart w:val="DefaultPlaceholder_-1854013440"/>
              </w:placeholder>
            </w:sdtPr>
            <w:sdtContent>
              <w:p w14:paraId="17650DCE" w14:textId="77777777" w:rsidR="00D0226A" w:rsidRPr="00DD1B58" w:rsidRDefault="00000000" w:rsidP="00A0484E">
                <w:pPr>
                  <w:pStyle w:val="CoverTitle"/>
                  <w:rPr>
                    <w:szCs w:val="90"/>
                    <w:lang w:val="en-US"/>
                  </w:rPr>
                </w:pPr>
                <w:sdt>
                  <w:sdtPr>
                    <w:rPr>
                      <w:sz w:val="56"/>
                      <w:szCs w:val="56"/>
                      <w:lang w:val="en-US"/>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D14B3" w:rsidRPr="00DD1B58">
                      <w:rPr>
                        <w:sz w:val="56"/>
                        <w:szCs w:val="56"/>
                        <w:lang w:val="en-US"/>
                      </w:rPr>
                      <w:t>United Kingdom National Assessment Report</w:t>
                    </w:r>
                  </w:sdtContent>
                </w:sdt>
              </w:p>
            </w:sdtContent>
          </w:sdt>
        </w:tc>
      </w:tr>
    </w:tbl>
    <w:p w14:paraId="1FAB352A" w14:textId="77777777" w:rsidR="00D0226A" w:rsidRPr="00DD1B58" w:rsidRDefault="00D0226A" w:rsidP="0015032A">
      <w:pPr>
        <w:spacing w:after="0"/>
        <w:jc w:val="right"/>
        <w:rPr>
          <w:lang w:val="en-US"/>
        </w:rPr>
      </w:pPr>
    </w:p>
    <w:p w14:paraId="062355EB" w14:textId="77777777" w:rsidR="00D0226A" w:rsidRPr="00DD1B58" w:rsidRDefault="00881B6F">
      <w:pPr>
        <w:spacing w:after="0"/>
        <w:rPr>
          <w:lang w:val="en-US"/>
        </w:rPr>
      </w:pPr>
      <w:r w:rsidRPr="00DD1B58">
        <w:rPr>
          <w:noProof/>
          <w:lang w:val="en-US"/>
        </w:rPr>
        <w:drawing>
          <wp:anchor distT="0" distB="0" distL="114300" distR="114300" simplePos="0" relativeHeight="251658240" behindDoc="1" locked="0" layoutInCell="1" allowOverlap="1" wp14:anchorId="7E16360A" wp14:editId="35240D80">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A3BAB1" w14:textId="77777777" w:rsidR="00267815" w:rsidRPr="00DD1B58" w:rsidRDefault="00267815">
      <w:pPr>
        <w:spacing w:after="0"/>
        <w:rPr>
          <w:lang w:val="en-US"/>
        </w:rPr>
      </w:pPr>
      <w:r w:rsidRPr="00DD1B58">
        <w:rPr>
          <w:lang w:val="en-US"/>
        </w:rPr>
        <w:br w:type="page"/>
      </w:r>
    </w:p>
    <w:p w14:paraId="683DD31E" w14:textId="60FC5B52" w:rsidR="00004C16" w:rsidRPr="00DD1B58" w:rsidRDefault="00004C16" w:rsidP="00004C16">
      <w:pPr>
        <w:rPr>
          <w:color w:val="005F63"/>
          <w:sz w:val="36"/>
          <w:szCs w:val="36"/>
          <w:lang w:val="en-US"/>
        </w:rPr>
      </w:pPr>
      <w:r w:rsidRPr="00DD1B58">
        <w:rPr>
          <w:color w:val="005F63"/>
          <w:sz w:val="36"/>
          <w:szCs w:val="36"/>
          <w:lang w:val="en-US"/>
        </w:rPr>
        <w:lastRenderedPageBreak/>
        <w:t xml:space="preserve">ONR </w:t>
      </w:r>
      <w:r w:rsidR="00C50BE9" w:rsidRPr="00DD1B58">
        <w:rPr>
          <w:color w:val="005F63"/>
          <w:sz w:val="36"/>
          <w:szCs w:val="36"/>
          <w:lang w:val="en-US"/>
        </w:rPr>
        <w:t>Report</w:t>
      </w:r>
    </w:p>
    <w:sdt>
      <w:sdtPr>
        <w:rPr>
          <w:rStyle w:val="Style2"/>
          <w:lang w:val="en-US"/>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6D9164B" w14:textId="77777777" w:rsidR="00004C16" w:rsidRPr="00DD1B58" w:rsidRDefault="004D14B3" w:rsidP="00004C16">
          <w:pPr>
            <w:rPr>
              <w:lang w:val="en-US"/>
            </w:rPr>
          </w:pPr>
          <w:r w:rsidRPr="00DD1B58">
            <w:rPr>
              <w:rStyle w:val="Style2"/>
              <w:lang w:val="en-US"/>
            </w:rPr>
            <w:t>United Kingdom National Assessment Report</w:t>
          </w:r>
        </w:p>
      </w:sdtContent>
    </w:sdt>
    <w:p w14:paraId="71390067" w14:textId="77777777" w:rsidR="00004C16" w:rsidRPr="00DD1B58" w:rsidRDefault="00004C16" w:rsidP="00004C16">
      <w:pPr>
        <w:rPr>
          <w:sz w:val="28"/>
          <w:szCs w:val="28"/>
          <w:lang w:val="en-US"/>
        </w:rPr>
      </w:pPr>
    </w:p>
    <w:p w14:paraId="7FA51CCE" w14:textId="77777777" w:rsidR="003A7E1C" w:rsidRPr="00DD1B58" w:rsidRDefault="003A7E1C" w:rsidP="00004C16">
      <w:pPr>
        <w:rPr>
          <w:sz w:val="28"/>
          <w:szCs w:val="28"/>
          <w:lang w:val="en-US"/>
        </w:rPr>
      </w:pPr>
    </w:p>
    <w:p w14:paraId="7C4F0198" w14:textId="02E7AF73" w:rsidR="00004C16" w:rsidRPr="00DD1B58" w:rsidRDefault="00004C16" w:rsidP="00004C16">
      <w:pPr>
        <w:rPr>
          <w:sz w:val="28"/>
          <w:szCs w:val="28"/>
          <w:lang w:val="en-US"/>
        </w:rPr>
      </w:pPr>
      <w:r w:rsidRPr="00DD1B58">
        <w:rPr>
          <w:sz w:val="28"/>
          <w:szCs w:val="28"/>
          <w:lang w:val="en-US"/>
        </w:rPr>
        <w:t xml:space="preserve">Issue No.: </w:t>
      </w:r>
      <w:sdt>
        <w:sdtPr>
          <w:rPr>
            <w:sz w:val="28"/>
            <w:szCs w:val="28"/>
            <w:lang w:val="en-US"/>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178D1" w:rsidRPr="00DD1B58">
            <w:rPr>
              <w:sz w:val="28"/>
              <w:szCs w:val="28"/>
              <w:lang w:val="en-US"/>
            </w:rPr>
            <w:t>0</w:t>
          </w:r>
        </w:sdtContent>
      </w:sdt>
    </w:p>
    <w:p w14:paraId="7DFD20AC" w14:textId="6CBCD2F4" w:rsidR="00004C16" w:rsidRPr="00DD1B58" w:rsidRDefault="00004C16" w:rsidP="00004C16">
      <w:pPr>
        <w:rPr>
          <w:sz w:val="28"/>
          <w:szCs w:val="28"/>
          <w:lang w:val="en-US"/>
        </w:rPr>
      </w:pPr>
      <w:r w:rsidRPr="00DD1B58">
        <w:rPr>
          <w:sz w:val="28"/>
          <w:szCs w:val="28"/>
          <w:lang w:val="en-US"/>
        </w:rPr>
        <w:t xml:space="preserve">Publication Date: </w:t>
      </w:r>
      <w:r w:rsidR="001B4184" w:rsidRPr="00DD1B58">
        <w:rPr>
          <w:sz w:val="28"/>
          <w:szCs w:val="28"/>
          <w:lang w:val="en-US"/>
        </w:rPr>
        <w:t>October 2023</w:t>
      </w:r>
    </w:p>
    <w:p w14:paraId="64501315" w14:textId="205538B5" w:rsidR="00004C16" w:rsidRPr="00DD1B58" w:rsidRDefault="00004C16" w:rsidP="00004C16">
      <w:pPr>
        <w:rPr>
          <w:sz w:val="28"/>
          <w:szCs w:val="28"/>
          <w:lang w:val="en-US"/>
        </w:rPr>
      </w:pPr>
      <w:r w:rsidRPr="00DD1B58">
        <w:rPr>
          <w:sz w:val="28"/>
          <w:szCs w:val="28"/>
          <w:lang w:val="en-US"/>
        </w:rPr>
        <w:t xml:space="preserve">Doc. Ref. No.: </w:t>
      </w:r>
      <w:r w:rsidR="00FE21E6" w:rsidRPr="00DD1B58">
        <w:rPr>
          <w:sz w:val="28"/>
          <w:szCs w:val="28"/>
          <w:lang w:val="en-US"/>
        </w:rPr>
        <w:t>ONR-TD-GEN-23-028</w:t>
      </w:r>
    </w:p>
    <w:p w14:paraId="6EF8F168" w14:textId="12882D0A" w:rsidR="00004C16" w:rsidRPr="00DD1B58" w:rsidRDefault="00004C16" w:rsidP="00004C16">
      <w:pPr>
        <w:rPr>
          <w:sz w:val="28"/>
          <w:szCs w:val="28"/>
          <w:lang w:val="en-US"/>
        </w:rPr>
      </w:pPr>
      <w:r w:rsidRPr="00DD1B58">
        <w:rPr>
          <w:sz w:val="28"/>
          <w:szCs w:val="28"/>
          <w:lang w:val="en-US"/>
        </w:rPr>
        <w:t xml:space="preserve">Record Ref. No.: </w:t>
      </w:r>
      <w:r w:rsidR="00602E4A" w:rsidRPr="00DD1B58">
        <w:rPr>
          <w:sz w:val="28"/>
          <w:szCs w:val="28"/>
          <w:lang w:val="en-US"/>
        </w:rPr>
        <w:t>2023/56087</w:t>
      </w:r>
    </w:p>
    <w:p w14:paraId="5F520862" w14:textId="77777777" w:rsidR="00420A11" w:rsidRPr="00DD1B58" w:rsidRDefault="00420A11" w:rsidP="00323E71">
      <w:pPr>
        <w:rPr>
          <w:lang w:val="en-US"/>
        </w:rPr>
      </w:pPr>
    </w:p>
    <w:p w14:paraId="69187D21" w14:textId="203E6242" w:rsidR="004D16D7" w:rsidRPr="00DD1B58" w:rsidRDefault="004D16D7" w:rsidP="004D16D7">
      <w:pPr>
        <w:pStyle w:val="Caption"/>
        <w:keepNext/>
        <w:rPr>
          <w:lang w:val="en-US"/>
        </w:rPr>
      </w:pPr>
      <w:bookmarkStart w:id="2" w:name="_Ref144178189"/>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1</w:t>
      </w:r>
      <w:r w:rsidRPr="00DD1B58">
        <w:rPr>
          <w:lang w:val="en-US"/>
        </w:rPr>
        <w:fldChar w:fldCharType="end"/>
      </w:r>
      <w:bookmarkEnd w:id="2"/>
      <w:r w:rsidRPr="00DD1B58">
        <w:rPr>
          <w:lang w:val="en-US"/>
        </w:rPr>
        <w:t xml:space="preserve">: Revision Commentary </w:t>
      </w:r>
    </w:p>
    <w:tbl>
      <w:tblPr>
        <w:tblStyle w:val="ONRTable1"/>
        <w:tblW w:w="0" w:type="auto"/>
        <w:tblInd w:w="10" w:type="dxa"/>
        <w:tblLook w:val="04A0" w:firstRow="1" w:lastRow="0" w:firstColumn="1" w:lastColumn="0" w:noHBand="0" w:noVBand="1"/>
      </w:tblPr>
      <w:tblGrid>
        <w:gridCol w:w="1691"/>
        <w:gridCol w:w="8045"/>
      </w:tblGrid>
      <w:tr w:rsidR="00595C8C" w:rsidRPr="00DD1B58" w14:paraId="4AEB9A83" w14:textId="77777777" w:rsidTr="004D16D7">
        <w:trPr>
          <w:cnfStyle w:val="100000000000" w:firstRow="1" w:lastRow="0" w:firstColumn="0" w:lastColumn="0" w:oddVBand="0" w:evenVBand="0" w:oddHBand="0" w:evenHBand="0" w:firstRowFirstColumn="0" w:firstRowLastColumn="0" w:lastRowFirstColumn="0" w:lastRowLastColumn="0"/>
        </w:trPr>
        <w:tc>
          <w:tcPr>
            <w:tcW w:w="1691" w:type="dxa"/>
          </w:tcPr>
          <w:p w14:paraId="6B85398C" w14:textId="77777777" w:rsidR="00595C8C" w:rsidRPr="00DD1B58" w:rsidRDefault="00595C8C" w:rsidP="00595C8C">
            <w:pPr>
              <w:spacing w:before="60" w:after="60"/>
              <w:rPr>
                <w:b w:val="0"/>
                <w:bCs/>
                <w:lang w:val="en-US"/>
              </w:rPr>
            </w:pPr>
            <w:r w:rsidRPr="00DD1B58">
              <w:rPr>
                <w:b w:val="0"/>
                <w:bCs/>
                <w:lang w:val="en-US"/>
              </w:rPr>
              <w:t>Issue</w:t>
            </w:r>
            <w:r w:rsidR="004E3932" w:rsidRPr="00DD1B58">
              <w:rPr>
                <w:b w:val="0"/>
                <w:bCs/>
                <w:lang w:val="en-US"/>
              </w:rPr>
              <w:t xml:space="preserve"> No.</w:t>
            </w:r>
          </w:p>
        </w:tc>
        <w:tc>
          <w:tcPr>
            <w:tcW w:w="8045" w:type="dxa"/>
          </w:tcPr>
          <w:p w14:paraId="70FD928A" w14:textId="77777777" w:rsidR="00595C8C" w:rsidRPr="00DD1B58" w:rsidRDefault="00595C8C" w:rsidP="00595C8C">
            <w:pPr>
              <w:spacing w:before="60" w:after="60"/>
              <w:rPr>
                <w:b w:val="0"/>
                <w:bCs/>
                <w:lang w:val="en-US"/>
              </w:rPr>
            </w:pPr>
            <w:r w:rsidRPr="00DD1B58">
              <w:rPr>
                <w:b w:val="0"/>
                <w:bCs/>
                <w:lang w:val="en-US"/>
              </w:rPr>
              <w:t>Description of Update(s)</w:t>
            </w:r>
          </w:p>
        </w:tc>
      </w:tr>
      <w:tr w:rsidR="00595C8C" w:rsidRPr="00DD1B58" w14:paraId="394EBE78" w14:textId="77777777" w:rsidTr="004D16D7">
        <w:tc>
          <w:tcPr>
            <w:tcW w:w="1691" w:type="dxa"/>
          </w:tcPr>
          <w:p w14:paraId="4B938076" w14:textId="7641FD1D" w:rsidR="00595C8C" w:rsidRPr="00DD1B58" w:rsidRDefault="001B4184" w:rsidP="00595C8C">
            <w:pPr>
              <w:spacing w:before="60" w:after="60"/>
              <w:rPr>
                <w:lang w:val="en-US"/>
              </w:rPr>
            </w:pPr>
            <w:r w:rsidRPr="00DD1B58">
              <w:rPr>
                <w:lang w:val="en-US"/>
              </w:rPr>
              <w:t>0</w:t>
            </w:r>
          </w:p>
        </w:tc>
        <w:tc>
          <w:tcPr>
            <w:tcW w:w="8045" w:type="dxa"/>
          </w:tcPr>
          <w:p w14:paraId="74B405C8" w14:textId="0DFCEF7D" w:rsidR="00595C8C" w:rsidRPr="00DD1B58" w:rsidRDefault="001B4184" w:rsidP="00595C8C">
            <w:pPr>
              <w:spacing w:before="60" w:after="60"/>
              <w:rPr>
                <w:lang w:val="en-US"/>
              </w:rPr>
            </w:pPr>
            <w:r w:rsidRPr="00DD1B58">
              <w:rPr>
                <w:lang w:val="en-US"/>
              </w:rPr>
              <w:t>Initial release</w:t>
            </w:r>
          </w:p>
        </w:tc>
      </w:tr>
      <w:bookmarkEnd w:id="1"/>
    </w:tbl>
    <w:p w14:paraId="1CEDE254" w14:textId="77777777" w:rsidR="00B45865" w:rsidRPr="00DD1B58" w:rsidRDefault="00B45865" w:rsidP="00B45865">
      <w:pPr>
        <w:rPr>
          <w:lang w:val="en-US"/>
        </w:rPr>
        <w:sectPr w:rsidR="00B45865" w:rsidRPr="00DD1B58" w:rsidSect="00B82646">
          <w:headerReference w:type="default" r:id="rId10"/>
          <w:footerReference w:type="default" r:id="rId11"/>
          <w:pgSz w:w="11906" w:h="16838" w:code="9"/>
          <w:pgMar w:top="1440" w:right="1080" w:bottom="1440" w:left="1080" w:header="397" w:footer="397" w:gutter="0"/>
          <w:cols w:space="312"/>
          <w:docGrid w:linePitch="360"/>
        </w:sectPr>
      </w:pPr>
    </w:p>
    <w:sdt>
      <w:sdtPr>
        <w:rPr>
          <w:rFonts w:ascii="Arial" w:eastAsia="Calibri" w:hAnsi="Arial" w:cs="Arial"/>
          <w:color w:val="auto"/>
          <w:sz w:val="24"/>
          <w:szCs w:val="22"/>
          <w:lang w:val="en-GB" w:bidi="he-IL"/>
        </w:rPr>
        <w:id w:val="-2119892635"/>
        <w:docPartObj>
          <w:docPartGallery w:val="Table of Contents"/>
          <w:docPartUnique/>
        </w:docPartObj>
      </w:sdtPr>
      <w:sdtEndPr>
        <w:rPr>
          <w:b/>
          <w:bCs/>
          <w:noProof/>
        </w:rPr>
      </w:sdtEndPr>
      <w:sdtContent>
        <w:p w14:paraId="6D107718" w14:textId="77777777" w:rsidR="00B45865" w:rsidRPr="00DD1B58" w:rsidRDefault="00B45865">
          <w:pPr>
            <w:pStyle w:val="TOCHeading"/>
          </w:pPr>
          <w:r w:rsidRPr="00DD1B58">
            <w:t>Contents</w:t>
          </w:r>
        </w:p>
        <w:p w14:paraId="4D63A727" w14:textId="05688230" w:rsidR="003D7696" w:rsidRPr="00DD1B58" w:rsidRDefault="007C7963">
          <w:pPr>
            <w:pStyle w:val="TOC1"/>
            <w:rPr>
              <w:rFonts w:asciiTheme="minorHAnsi" w:eastAsiaTheme="minorEastAsia" w:hAnsiTheme="minorHAnsi" w:cstheme="minorBidi"/>
              <w:sz w:val="22"/>
              <w:lang w:val="en-US" w:eastAsia="en-GB" w:bidi="ar-SA"/>
            </w:rPr>
          </w:pPr>
          <w:r w:rsidRPr="00DD1B58">
            <w:rPr>
              <w:lang w:val="en-US"/>
            </w:rPr>
            <w:fldChar w:fldCharType="begin"/>
          </w:r>
          <w:r w:rsidRPr="00DD1B58">
            <w:rPr>
              <w:lang w:val="en-US"/>
            </w:rPr>
            <w:instrText xml:space="preserve"> TOC \o "1-3" \h \z \u </w:instrText>
          </w:r>
          <w:r w:rsidRPr="00DD1B58">
            <w:rPr>
              <w:lang w:val="en-US"/>
            </w:rPr>
            <w:fldChar w:fldCharType="separate"/>
          </w:r>
          <w:hyperlink w:anchor="_Toc147090619" w:history="1">
            <w:r w:rsidR="003D7696" w:rsidRPr="00DD1B58">
              <w:rPr>
                <w:rStyle w:val="Hyperlink"/>
                <w:lang w:val="en-US"/>
              </w:rPr>
              <w:t>Executive Summary</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_Toc147090619 \h </w:instrText>
            </w:r>
            <w:r w:rsidR="003D7696" w:rsidRPr="00DD1B58">
              <w:rPr>
                <w:webHidden/>
                <w:lang w:val="en-US"/>
              </w:rPr>
            </w:r>
            <w:r w:rsidR="003D7696" w:rsidRPr="00DD1B58">
              <w:rPr>
                <w:webHidden/>
                <w:lang w:val="en-US"/>
              </w:rPr>
              <w:fldChar w:fldCharType="separate"/>
            </w:r>
            <w:r w:rsidR="00DF47DA">
              <w:rPr>
                <w:webHidden/>
                <w:lang w:val="en-US"/>
              </w:rPr>
              <w:t>5</w:t>
            </w:r>
            <w:r w:rsidR="003D7696" w:rsidRPr="00DD1B58">
              <w:rPr>
                <w:webHidden/>
                <w:lang w:val="en-US"/>
              </w:rPr>
              <w:fldChar w:fldCharType="end"/>
            </w:r>
          </w:hyperlink>
        </w:p>
        <w:p w14:paraId="03106A80" w14:textId="47784924" w:rsidR="003D7696" w:rsidRPr="00DD1B58" w:rsidRDefault="00000000">
          <w:pPr>
            <w:pStyle w:val="TOC1"/>
            <w:tabs>
              <w:tab w:val="left" w:pos="720"/>
            </w:tabs>
            <w:rPr>
              <w:rFonts w:asciiTheme="minorHAnsi" w:eastAsiaTheme="minorEastAsia" w:hAnsiTheme="minorHAnsi" w:cstheme="minorBidi"/>
              <w:sz w:val="22"/>
              <w:lang w:val="en-US" w:eastAsia="en-GB" w:bidi="ar-SA"/>
            </w:rPr>
          </w:pPr>
          <w:hyperlink w:anchor="_Toc147090620" w:history="1">
            <w:r w:rsidR="003D7696" w:rsidRPr="00DD1B58">
              <w:rPr>
                <w:rStyle w:val="Hyperlink"/>
                <w:lang w:val="en-US"/>
              </w:rPr>
              <w:t>1.</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General information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_Toc147090620 \h </w:instrText>
            </w:r>
            <w:r w:rsidR="003D7696" w:rsidRPr="00DD1B58">
              <w:rPr>
                <w:webHidden/>
                <w:lang w:val="en-US"/>
              </w:rPr>
            </w:r>
            <w:r w:rsidR="003D7696" w:rsidRPr="00DD1B58">
              <w:rPr>
                <w:webHidden/>
                <w:lang w:val="en-US"/>
              </w:rPr>
              <w:fldChar w:fldCharType="separate"/>
            </w:r>
            <w:r w:rsidR="00DF47DA">
              <w:rPr>
                <w:webHidden/>
                <w:lang w:val="en-US"/>
              </w:rPr>
              <w:t>7</w:t>
            </w:r>
            <w:r w:rsidR="003D7696" w:rsidRPr="00DD1B58">
              <w:rPr>
                <w:webHidden/>
                <w:lang w:val="en-US"/>
              </w:rPr>
              <w:fldChar w:fldCharType="end"/>
            </w:r>
          </w:hyperlink>
        </w:p>
        <w:p w14:paraId="27D2501F" w14:textId="08130348"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21" w:history="1">
            <w:r w:rsidR="003D7696" w:rsidRPr="00DD1B58">
              <w:rPr>
                <w:rStyle w:val="Hyperlink"/>
                <w:lang w:val="en-US"/>
              </w:rPr>
              <w:t>1.1.</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Nuclear installations identification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_Toc147090621 \h </w:instrText>
            </w:r>
            <w:r w:rsidR="003D7696" w:rsidRPr="00DD1B58">
              <w:rPr>
                <w:webHidden/>
                <w:lang w:val="en-US"/>
              </w:rPr>
            </w:r>
            <w:r w:rsidR="003D7696" w:rsidRPr="00DD1B58">
              <w:rPr>
                <w:webHidden/>
                <w:lang w:val="en-US"/>
              </w:rPr>
              <w:fldChar w:fldCharType="separate"/>
            </w:r>
            <w:r w:rsidR="00DF47DA">
              <w:rPr>
                <w:webHidden/>
                <w:lang w:val="en-US"/>
              </w:rPr>
              <w:t>7</w:t>
            </w:r>
            <w:r w:rsidR="003D7696" w:rsidRPr="00DD1B58">
              <w:rPr>
                <w:webHidden/>
                <w:lang w:val="en-US"/>
              </w:rPr>
              <w:fldChar w:fldCharType="end"/>
            </w:r>
          </w:hyperlink>
        </w:p>
        <w:p w14:paraId="4A5881C4" w14:textId="0A82B1FF"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22" w:history="1">
            <w:r w:rsidR="003D7696" w:rsidRPr="00DD1B58">
              <w:rPr>
                <w:rStyle w:val="Hyperlink"/>
                <w:lang w:val="en-US"/>
              </w:rPr>
              <w:t>1.2.</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National regulatory framework</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_Toc147090622 \h </w:instrText>
            </w:r>
            <w:r w:rsidR="003D7696" w:rsidRPr="00DD1B58">
              <w:rPr>
                <w:webHidden/>
                <w:lang w:val="en-US"/>
              </w:rPr>
            </w:r>
            <w:r w:rsidR="003D7696" w:rsidRPr="00DD1B58">
              <w:rPr>
                <w:webHidden/>
                <w:lang w:val="en-US"/>
              </w:rPr>
              <w:fldChar w:fldCharType="separate"/>
            </w:r>
            <w:r w:rsidR="00DF47DA">
              <w:rPr>
                <w:webHidden/>
                <w:lang w:val="en-US"/>
              </w:rPr>
              <w:t>29</w:t>
            </w:r>
            <w:r w:rsidR="003D7696" w:rsidRPr="00DD1B58">
              <w:rPr>
                <w:webHidden/>
                <w:lang w:val="en-US"/>
              </w:rPr>
              <w:fldChar w:fldCharType="end"/>
            </w:r>
          </w:hyperlink>
        </w:p>
        <w:p w14:paraId="40771824" w14:textId="568DB11B" w:rsidR="003D7696" w:rsidRPr="00DD1B58" w:rsidRDefault="00000000">
          <w:pPr>
            <w:pStyle w:val="TOC1"/>
            <w:tabs>
              <w:tab w:val="left" w:pos="720"/>
            </w:tabs>
            <w:rPr>
              <w:rFonts w:asciiTheme="minorHAnsi" w:eastAsiaTheme="minorEastAsia" w:hAnsiTheme="minorHAnsi" w:cstheme="minorBidi"/>
              <w:sz w:val="22"/>
              <w:lang w:val="en-US" w:eastAsia="en-GB" w:bidi="ar-SA"/>
            </w:rPr>
          </w:pPr>
          <w:hyperlink w:anchor="_Toc147090623" w:history="1">
            <w:r w:rsidR="003D7696" w:rsidRPr="00DD1B58">
              <w:rPr>
                <w:rStyle w:val="Hyperlink"/>
                <w:lang w:val="en-US"/>
              </w:rPr>
              <w:t>2.</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Fire safety analysis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_Toc147090623 \h </w:instrText>
            </w:r>
            <w:r w:rsidR="003D7696" w:rsidRPr="00DD1B58">
              <w:rPr>
                <w:webHidden/>
                <w:lang w:val="en-US"/>
              </w:rPr>
            </w:r>
            <w:r w:rsidR="003D7696" w:rsidRPr="00DD1B58">
              <w:rPr>
                <w:webHidden/>
                <w:lang w:val="en-US"/>
              </w:rPr>
              <w:fldChar w:fldCharType="separate"/>
            </w:r>
            <w:r w:rsidR="00DF47DA">
              <w:rPr>
                <w:webHidden/>
                <w:lang w:val="en-US"/>
              </w:rPr>
              <w:t>33</w:t>
            </w:r>
            <w:r w:rsidR="003D7696" w:rsidRPr="00DD1B58">
              <w:rPr>
                <w:webHidden/>
                <w:lang w:val="en-US"/>
              </w:rPr>
              <w:fldChar w:fldCharType="end"/>
            </w:r>
          </w:hyperlink>
        </w:p>
        <w:p w14:paraId="33E5F20C" w14:textId="11762484"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24" w:history="1">
            <w:r w:rsidR="003D7696" w:rsidRPr="00DD1B58">
              <w:rPr>
                <w:rStyle w:val="Hyperlink"/>
                <w:lang w:val="en-US"/>
              </w:rPr>
              <w:t>2.1.</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Nuclear power plants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_Toc147090624 \h </w:instrText>
            </w:r>
            <w:r w:rsidR="003D7696" w:rsidRPr="00DD1B58">
              <w:rPr>
                <w:webHidden/>
                <w:lang w:val="en-US"/>
              </w:rPr>
            </w:r>
            <w:r w:rsidR="003D7696" w:rsidRPr="00DD1B58">
              <w:rPr>
                <w:webHidden/>
                <w:lang w:val="en-US"/>
              </w:rPr>
              <w:fldChar w:fldCharType="separate"/>
            </w:r>
            <w:r w:rsidR="00DF47DA">
              <w:rPr>
                <w:webHidden/>
                <w:lang w:val="en-US"/>
              </w:rPr>
              <w:t>33</w:t>
            </w:r>
            <w:r w:rsidR="003D7696" w:rsidRPr="00DD1B58">
              <w:rPr>
                <w:webHidden/>
                <w:lang w:val="en-US"/>
              </w:rPr>
              <w:fldChar w:fldCharType="end"/>
            </w:r>
          </w:hyperlink>
        </w:p>
        <w:p w14:paraId="17838F74" w14:textId="12F53B76" w:rsidR="003D7696" w:rsidRPr="00DD1B58" w:rsidRDefault="00000000">
          <w:pPr>
            <w:pStyle w:val="TOC3"/>
            <w:rPr>
              <w:rFonts w:asciiTheme="minorHAnsi" w:eastAsiaTheme="minorEastAsia" w:hAnsiTheme="minorHAnsi" w:cstheme="minorBidi"/>
              <w:noProof/>
              <w:sz w:val="22"/>
              <w:lang w:val="en-US" w:eastAsia="en-GB" w:bidi="ar-SA"/>
            </w:rPr>
          </w:pPr>
          <w:hyperlink w:anchor="_Toc147090625" w:history="1">
            <w:r w:rsidR="003D7696" w:rsidRPr="00DD1B58">
              <w:rPr>
                <w:rStyle w:val="Hyperlink"/>
                <w:bCs/>
                <w:noProof/>
                <w:lang w:val="en-US"/>
              </w:rPr>
              <w:t>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Operating reactors – EDF NGL</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_Toc147090625 \h </w:instrText>
            </w:r>
            <w:r w:rsidR="003D7696" w:rsidRPr="00DD1B58">
              <w:rPr>
                <w:noProof/>
                <w:webHidden/>
                <w:lang w:val="en-US"/>
              </w:rPr>
            </w:r>
            <w:r w:rsidR="003D7696" w:rsidRPr="00DD1B58">
              <w:rPr>
                <w:noProof/>
                <w:webHidden/>
                <w:lang w:val="en-US"/>
              </w:rPr>
              <w:fldChar w:fldCharType="separate"/>
            </w:r>
            <w:r w:rsidR="00DF47DA">
              <w:rPr>
                <w:noProof/>
                <w:webHidden/>
                <w:lang w:val="en-US"/>
              </w:rPr>
              <w:t>33</w:t>
            </w:r>
            <w:r w:rsidR="003D7696" w:rsidRPr="00DD1B58">
              <w:rPr>
                <w:noProof/>
                <w:webHidden/>
                <w:lang w:val="en-US"/>
              </w:rPr>
              <w:fldChar w:fldCharType="end"/>
            </w:r>
          </w:hyperlink>
        </w:p>
        <w:p w14:paraId="2D23077E" w14:textId="6FC94099" w:rsidR="003D7696" w:rsidRPr="00DD1B58" w:rsidRDefault="00000000">
          <w:pPr>
            <w:pStyle w:val="TOC3"/>
            <w:rPr>
              <w:rFonts w:asciiTheme="minorHAnsi" w:eastAsiaTheme="minorEastAsia" w:hAnsiTheme="minorHAnsi" w:cstheme="minorBidi"/>
              <w:noProof/>
              <w:sz w:val="22"/>
              <w:lang w:val="en-US" w:eastAsia="en-GB" w:bidi="ar-SA"/>
            </w:rPr>
          </w:pPr>
          <w:hyperlink w:anchor="_Toc147090626" w:history="1">
            <w:r w:rsidR="003D7696" w:rsidRPr="00DD1B58">
              <w:rPr>
                <w:rStyle w:val="Hyperlink"/>
                <w:bCs/>
                <w:noProof/>
                <w:lang w:val="en-US"/>
              </w:rPr>
              <w:t>II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New build reactors – NNB GenCo</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_Toc147090626 \h </w:instrText>
            </w:r>
            <w:r w:rsidR="003D7696" w:rsidRPr="00DD1B58">
              <w:rPr>
                <w:noProof/>
                <w:webHidden/>
                <w:lang w:val="en-US"/>
              </w:rPr>
            </w:r>
            <w:r w:rsidR="003D7696" w:rsidRPr="00DD1B58">
              <w:rPr>
                <w:noProof/>
                <w:webHidden/>
                <w:lang w:val="en-US"/>
              </w:rPr>
              <w:fldChar w:fldCharType="separate"/>
            </w:r>
            <w:r w:rsidR="00DF47DA">
              <w:rPr>
                <w:noProof/>
                <w:webHidden/>
                <w:lang w:val="en-US"/>
              </w:rPr>
              <w:t>62</w:t>
            </w:r>
            <w:r w:rsidR="003D7696" w:rsidRPr="00DD1B58">
              <w:rPr>
                <w:noProof/>
                <w:webHidden/>
                <w:lang w:val="en-US"/>
              </w:rPr>
              <w:fldChar w:fldCharType="end"/>
            </w:r>
          </w:hyperlink>
        </w:p>
        <w:p w14:paraId="33E34903" w14:textId="64339A94"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27" w:history="1">
            <w:r w:rsidR="003D7696" w:rsidRPr="00DD1B58">
              <w:rPr>
                <w:rStyle w:val="Hyperlink"/>
                <w:lang w:val="en-US"/>
              </w:rPr>
              <w:t>2.2.</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Research reactors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_Toc147090627 \h </w:instrText>
            </w:r>
            <w:r w:rsidR="003D7696" w:rsidRPr="00DD1B58">
              <w:rPr>
                <w:webHidden/>
                <w:lang w:val="en-US"/>
              </w:rPr>
            </w:r>
            <w:r w:rsidR="003D7696" w:rsidRPr="00DD1B58">
              <w:rPr>
                <w:webHidden/>
                <w:lang w:val="en-US"/>
              </w:rPr>
              <w:fldChar w:fldCharType="separate"/>
            </w:r>
            <w:r w:rsidR="00DF47DA">
              <w:rPr>
                <w:webHidden/>
                <w:lang w:val="en-US"/>
              </w:rPr>
              <w:t>80</w:t>
            </w:r>
            <w:r w:rsidR="003D7696" w:rsidRPr="00DD1B58">
              <w:rPr>
                <w:webHidden/>
                <w:lang w:val="en-US"/>
              </w:rPr>
              <w:fldChar w:fldCharType="end"/>
            </w:r>
          </w:hyperlink>
        </w:p>
        <w:p w14:paraId="3174C292" w14:textId="55E3D80E"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28" w:history="1">
            <w:r w:rsidR="003D7696" w:rsidRPr="00DD1B58">
              <w:rPr>
                <w:rStyle w:val="Hyperlink"/>
                <w:lang w:val="en-US"/>
              </w:rPr>
              <w:t>2.3.</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Fuel cycle facilities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_Toc147090628 \h </w:instrText>
            </w:r>
            <w:r w:rsidR="003D7696" w:rsidRPr="00DD1B58">
              <w:rPr>
                <w:webHidden/>
                <w:lang w:val="en-US"/>
              </w:rPr>
            </w:r>
            <w:r w:rsidR="003D7696" w:rsidRPr="00DD1B58">
              <w:rPr>
                <w:webHidden/>
                <w:lang w:val="en-US"/>
              </w:rPr>
              <w:fldChar w:fldCharType="separate"/>
            </w:r>
            <w:r w:rsidR="00DF47DA">
              <w:rPr>
                <w:webHidden/>
                <w:lang w:val="en-US"/>
              </w:rPr>
              <w:t>80</w:t>
            </w:r>
            <w:r w:rsidR="003D7696" w:rsidRPr="00DD1B58">
              <w:rPr>
                <w:webHidden/>
                <w:lang w:val="en-US"/>
              </w:rPr>
              <w:fldChar w:fldCharType="end"/>
            </w:r>
          </w:hyperlink>
        </w:p>
        <w:p w14:paraId="675923A4" w14:textId="7936D19D" w:rsidR="003D7696" w:rsidRPr="00DD1B58" w:rsidRDefault="00000000">
          <w:pPr>
            <w:pStyle w:val="TOC3"/>
            <w:rPr>
              <w:rFonts w:asciiTheme="minorHAnsi" w:eastAsiaTheme="minorEastAsia" w:hAnsiTheme="minorHAnsi" w:cstheme="minorBidi"/>
              <w:noProof/>
              <w:sz w:val="22"/>
              <w:lang w:val="en-US" w:eastAsia="en-GB" w:bidi="ar-SA"/>
            </w:rPr>
          </w:pPr>
          <w:hyperlink w:anchor="_Toc147090629" w:history="1">
            <w:r w:rsidR="003D7696" w:rsidRPr="00DD1B58">
              <w:rPr>
                <w:rStyle w:val="Hyperlink"/>
                <w:bCs/>
                <w:noProof/>
                <w:lang w:val="en-US"/>
              </w:rPr>
              <w:t>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Enrichment facilities – URENCO Capenhurst</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_Toc147090629 \h </w:instrText>
            </w:r>
            <w:r w:rsidR="003D7696" w:rsidRPr="00DD1B58">
              <w:rPr>
                <w:noProof/>
                <w:webHidden/>
                <w:lang w:val="en-US"/>
              </w:rPr>
            </w:r>
            <w:r w:rsidR="003D7696" w:rsidRPr="00DD1B58">
              <w:rPr>
                <w:noProof/>
                <w:webHidden/>
                <w:lang w:val="en-US"/>
              </w:rPr>
              <w:fldChar w:fldCharType="separate"/>
            </w:r>
            <w:r w:rsidR="00DF47DA">
              <w:rPr>
                <w:noProof/>
                <w:webHidden/>
                <w:lang w:val="en-US"/>
              </w:rPr>
              <w:t>80</w:t>
            </w:r>
            <w:r w:rsidR="003D7696" w:rsidRPr="00DD1B58">
              <w:rPr>
                <w:noProof/>
                <w:webHidden/>
                <w:lang w:val="en-US"/>
              </w:rPr>
              <w:fldChar w:fldCharType="end"/>
            </w:r>
          </w:hyperlink>
        </w:p>
        <w:p w14:paraId="61B94B27" w14:textId="7873E60B" w:rsidR="003D7696" w:rsidRPr="00DD1B58" w:rsidRDefault="00000000">
          <w:pPr>
            <w:pStyle w:val="TOC3"/>
            <w:rPr>
              <w:rFonts w:asciiTheme="minorHAnsi" w:eastAsiaTheme="minorEastAsia" w:hAnsiTheme="minorHAnsi" w:cstheme="minorBidi"/>
              <w:noProof/>
              <w:sz w:val="22"/>
              <w:lang w:val="en-US" w:eastAsia="en-GB" w:bidi="ar-SA"/>
            </w:rPr>
          </w:pPr>
          <w:hyperlink w:anchor="_Toc147090630" w:history="1">
            <w:r w:rsidR="003D7696" w:rsidRPr="00DD1B58">
              <w:rPr>
                <w:rStyle w:val="Hyperlink"/>
                <w:bCs/>
                <w:noProof/>
                <w:lang w:val="en-US"/>
              </w:rPr>
              <w:t>II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Fuel fabrication facilities – Springfields Fuels Ltd</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_Toc147090630 \h </w:instrText>
            </w:r>
            <w:r w:rsidR="003D7696" w:rsidRPr="00DD1B58">
              <w:rPr>
                <w:noProof/>
                <w:webHidden/>
                <w:lang w:val="en-US"/>
              </w:rPr>
            </w:r>
            <w:r w:rsidR="003D7696" w:rsidRPr="00DD1B58">
              <w:rPr>
                <w:noProof/>
                <w:webHidden/>
                <w:lang w:val="en-US"/>
              </w:rPr>
              <w:fldChar w:fldCharType="separate"/>
            </w:r>
            <w:r w:rsidR="00DF47DA">
              <w:rPr>
                <w:noProof/>
                <w:webHidden/>
                <w:lang w:val="en-US"/>
              </w:rPr>
              <w:t>88</w:t>
            </w:r>
            <w:r w:rsidR="003D7696" w:rsidRPr="00DD1B58">
              <w:rPr>
                <w:noProof/>
                <w:webHidden/>
                <w:lang w:val="en-US"/>
              </w:rPr>
              <w:fldChar w:fldCharType="end"/>
            </w:r>
          </w:hyperlink>
        </w:p>
        <w:p w14:paraId="1C850BAF" w14:textId="574617F7"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31" w:history="1">
            <w:r w:rsidR="003D7696" w:rsidRPr="00DD1B58">
              <w:rPr>
                <w:rStyle w:val="Hyperlink"/>
                <w:lang w:val="en-US"/>
              </w:rPr>
              <w:t>2.4.</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Dedicated spent fuel storage facilities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_Toc147090631 \h </w:instrText>
            </w:r>
            <w:r w:rsidR="003D7696" w:rsidRPr="00DD1B58">
              <w:rPr>
                <w:webHidden/>
                <w:lang w:val="en-US"/>
              </w:rPr>
            </w:r>
            <w:r w:rsidR="003D7696" w:rsidRPr="00DD1B58">
              <w:rPr>
                <w:webHidden/>
                <w:lang w:val="en-US"/>
              </w:rPr>
              <w:fldChar w:fldCharType="separate"/>
            </w:r>
            <w:r w:rsidR="00DF47DA">
              <w:rPr>
                <w:webHidden/>
                <w:lang w:val="en-US"/>
              </w:rPr>
              <w:t>102</w:t>
            </w:r>
            <w:r w:rsidR="003D7696" w:rsidRPr="00DD1B58">
              <w:rPr>
                <w:webHidden/>
                <w:lang w:val="en-US"/>
              </w:rPr>
              <w:fldChar w:fldCharType="end"/>
            </w:r>
          </w:hyperlink>
        </w:p>
        <w:p w14:paraId="371DFD5C" w14:textId="50C92DF1"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32" w:history="1">
            <w:r w:rsidR="003D7696" w:rsidRPr="00DD1B58">
              <w:rPr>
                <w:rStyle w:val="Hyperlink"/>
                <w:lang w:val="en-US"/>
              </w:rPr>
              <w:t>2.5.</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Waste storage facilities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_Toc147090632 \h </w:instrText>
            </w:r>
            <w:r w:rsidR="003D7696" w:rsidRPr="00DD1B58">
              <w:rPr>
                <w:webHidden/>
                <w:lang w:val="en-US"/>
              </w:rPr>
            </w:r>
            <w:r w:rsidR="003D7696" w:rsidRPr="00DD1B58">
              <w:rPr>
                <w:webHidden/>
                <w:lang w:val="en-US"/>
              </w:rPr>
              <w:fldChar w:fldCharType="separate"/>
            </w:r>
            <w:r w:rsidR="00DF47DA">
              <w:rPr>
                <w:webHidden/>
                <w:lang w:val="en-US"/>
              </w:rPr>
              <w:t>103</w:t>
            </w:r>
            <w:r w:rsidR="003D7696" w:rsidRPr="00DD1B58">
              <w:rPr>
                <w:webHidden/>
                <w:lang w:val="en-US"/>
              </w:rPr>
              <w:fldChar w:fldCharType="end"/>
            </w:r>
          </w:hyperlink>
        </w:p>
        <w:p w14:paraId="148D8286" w14:textId="4B9C9162" w:rsidR="003D7696" w:rsidRPr="00DD1B58" w:rsidRDefault="00000000">
          <w:pPr>
            <w:pStyle w:val="TOC3"/>
            <w:rPr>
              <w:rFonts w:asciiTheme="minorHAnsi" w:eastAsiaTheme="minorEastAsia" w:hAnsiTheme="minorHAnsi" w:cstheme="minorBidi"/>
              <w:noProof/>
              <w:sz w:val="22"/>
              <w:lang w:val="en-US" w:eastAsia="en-GB" w:bidi="ar-SA"/>
            </w:rPr>
          </w:pPr>
          <w:hyperlink w:anchor="_Toc147090633" w:history="1">
            <w:r w:rsidR="003D7696" w:rsidRPr="00DD1B58">
              <w:rPr>
                <w:rStyle w:val="Hyperlink"/>
                <w:bCs/>
                <w:noProof/>
                <w:lang w:val="en-US"/>
              </w:rPr>
              <w:t>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Sellafield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_Toc147090633 \h </w:instrText>
            </w:r>
            <w:r w:rsidR="003D7696" w:rsidRPr="00DD1B58">
              <w:rPr>
                <w:noProof/>
                <w:webHidden/>
                <w:lang w:val="en-US"/>
              </w:rPr>
            </w:r>
            <w:r w:rsidR="003D7696" w:rsidRPr="00DD1B58">
              <w:rPr>
                <w:noProof/>
                <w:webHidden/>
                <w:lang w:val="en-US"/>
              </w:rPr>
              <w:fldChar w:fldCharType="separate"/>
            </w:r>
            <w:r w:rsidR="00DF47DA">
              <w:rPr>
                <w:noProof/>
                <w:webHidden/>
                <w:lang w:val="en-US"/>
              </w:rPr>
              <w:t>103</w:t>
            </w:r>
            <w:r w:rsidR="003D7696" w:rsidRPr="00DD1B58">
              <w:rPr>
                <w:noProof/>
                <w:webHidden/>
                <w:lang w:val="en-US"/>
              </w:rPr>
              <w:fldChar w:fldCharType="end"/>
            </w:r>
          </w:hyperlink>
        </w:p>
        <w:p w14:paraId="13D508D4" w14:textId="2E050382"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34" w:history="1">
            <w:r w:rsidR="003D7696" w:rsidRPr="00DD1B58">
              <w:rPr>
                <w:rStyle w:val="Hyperlink"/>
                <w:lang w:val="en-US"/>
              </w:rPr>
              <w:t>2.6.</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Facilities under decommissioning</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_Toc147090634 \h </w:instrText>
            </w:r>
            <w:r w:rsidR="003D7696" w:rsidRPr="00DD1B58">
              <w:rPr>
                <w:webHidden/>
                <w:lang w:val="en-US"/>
              </w:rPr>
            </w:r>
            <w:r w:rsidR="003D7696" w:rsidRPr="00DD1B58">
              <w:rPr>
                <w:webHidden/>
                <w:lang w:val="en-US"/>
              </w:rPr>
              <w:fldChar w:fldCharType="separate"/>
            </w:r>
            <w:r w:rsidR="00DF47DA">
              <w:rPr>
                <w:webHidden/>
                <w:lang w:val="en-US"/>
              </w:rPr>
              <w:t>129</w:t>
            </w:r>
            <w:r w:rsidR="003D7696" w:rsidRPr="00DD1B58">
              <w:rPr>
                <w:webHidden/>
                <w:lang w:val="en-US"/>
              </w:rPr>
              <w:fldChar w:fldCharType="end"/>
            </w:r>
          </w:hyperlink>
        </w:p>
        <w:p w14:paraId="6EC05EB1" w14:textId="545BFC4E" w:rsidR="003D7696" w:rsidRPr="00DD1B58" w:rsidRDefault="00000000">
          <w:pPr>
            <w:pStyle w:val="TOC3"/>
            <w:rPr>
              <w:rFonts w:asciiTheme="minorHAnsi" w:eastAsiaTheme="minorEastAsia" w:hAnsiTheme="minorHAnsi" w:cstheme="minorBidi"/>
              <w:noProof/>
              <w:sz w:val="22"/>
              <w:lang w:val="en-US" w:eastAsia="en-GB" w:bidi="ar-SA"/>
            </w:rPr>
          </w:pPr>
          <w:hyperlink w:anchor="_Toc147090635" w:history="1">
            <w:r w:rsidR="003D7696" w:rsidRPr="00DD1B58">
              <w:rPr>
                <w:rStyle w:val="Hyperlink"/>
                <w:bCs/>
                <w:noProof/>
                <w:lang w:val="en-US"/>
              </w:rPr>
              <w:t>I</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Dounreay</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_Toc147090635 \h </w:instrText>
            </w:r>
            <w:r w:rsidR="003D7696" w:rsidRPr="00DD1B58">
              <w:rPr>
                <w:noProof/>
                <w:webHidden/>
                <w:lang w:val="en-US"/>
              </w:rPr>
            </w:r>
            <w:r w:rsidR="003D7696" w:rsidRPr="00DD1B58">
              <w:rPr>
                <w:noProof/>
                <w:webHidden/>
                <w:lang w:val="en-US"/>
              </w:rPr>
              <w:fldChar w:fldCharType="separate"/>
            </w:r>
            <w:r w:rsidR="00DF47DA">
              <w:rPr>
                <w:noProof/>
                <w:webHidden/>
                <w:lang w:val="en-US"/>
              </w:rPr>
              <w:t>129</w:t>
            </w:r>
            <w:r w:rsidR="003D7696" w:rsidRPr="00DD1B58">
              <w:rPr>
                <w:noProof/>
                <w:webHidden/>
                <w:lang w:val="en-US"/>
              </w:rPr>
              <w:fldChar w:fldCharType="end"/>
            </w:r>
          </w:hyperlink>
        </w:p>
        <w:p w14:paraId="64FD968C" w14:textId="40E9AC14" w:rsidR="003D7696" w:rsidRPr="00DD1B58" w:rsidRDefault="00000000">
          <w:pPr>
            <w:pStyle w:val="TOC1"/>
            <w:tabs>
              <w:tab w:val="left" w:pos="720"/>
            </w:tabs>
            <w:rPr>
              <w:rFonts w:asciiTheme="minorHAnsi" w:eastAsiaTheme="minorEastAsia" w:hAnsiTheme="minorHAnsi" w:cstheme="minorBidi"/>
              <w:sz w:val="22"/>
              <w:lang w:val="en-US" w:eastAsia="en-GB" w:bidi="ar-SA"/>
            </w:rPr>
          </w:pPr>
          <w:hyperlink w:anchor="_Toc147090636" w:history="1">
            <w:r w:rsidR="003D7696" w:rsidRPr="00DD1B58">
              <w:rPr>
                <w:rStyle w:val="Hyperlink"/>
                <w:lang w:val="en-US"/>
              </w:rPr>
              <w:t>3.</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Fire protection concept and its implementation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_Toc147090636 \h </w:instrText>
            </w:r>
            <w:r w:rsidR="003D7696" w:rsidRPr="00DD1B58">
              <w:rPr>
                <w:webHidden/>
                <w:lang w:val="en-US"/>
              </w:rPr>
            </w:r>
            <w:r w:rsidR="003D7696" w:rsidRPr="00DD1B58">
              <w:rPr>
                <w:webHidden/>
                <w:lang w:val="en-US"/>
              </w:rPr>
              <w:fldChar w:fldCharType="separate"/>
            </w:r>
            <w:r w:rsidR="00DF47DA">
              <w:rPr>
                <w:webHidden/>
                <w:lang w:val="en-US"/>
              </w:rPr>
              <w:t>138</w:t>
            </w:r>
            <w:r w:rsidR="003D7696" w:rsidRPr="00DD1B58">
              <w:rPr>
                <w:webHidden/>
                <w:lang w:val="en-US"/>
              </w:rPr>
              <w:fldChar w:fldCharType="end"/>
            </w:r>
          </w:hyperlink>
        </w:p>
        <w:p w14:paraId="6F856893" w14:textId="1BA78586"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37" w:history="1">
            <w:r w:rsidR="003D7696" w:rsidRPr="00DD1B58">
              <w:rPr>
                <w:rStyle w:val="Hyperlink"/>
                <w:lang w:val="en-US"/>
              </w:rPr>
              <w:t>3.1</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Fire prevention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_Toc147090637 \h </w:instrText>
            </w:r>
            <w:r w:rsidR="003D7696" w:rsidRPr="00DD1B58">
              <w:rPr>
                <w:webHidden/>
                <w:lang w:val="en-US"/>
              </w:rPr>
            </w:r>
            <w:r w:rsidR="003D7696" w:rsidRPr="00DD1B58">
              <w:rPr>
                <w:webHidden/>
                <w:lang w:val="en-US"/>
              </w:rPr>
              <w:fldChar w:fldCharType="separate"/>
            </w:r>
            <w:r w:rsidR="00DF47DA">
              <w:rPr>
                <w:webHidden/>
                <w:lang w:val="en-US"/>
              </w:rPr>
              <w:t>138</w:t>
            </w:r>
            <w:r w:rsidR="003D7696" w:rsidRPr="00DD1B58">
              <w:rPr>
                <w:webHidden/>
                <w:lang w:val="en-US"/>
              </w:rPr>
              <w:fldChar w:fldCharType="end"/>
            </w:r>
          </w:hyperlink>
        </w:p>
        <w:p w14:paraId="6C09C8EF" w14:textId="73DC7442" w:rsidR="003D7696" w:rsidRPr="00DD1B58" w:rsidRDefault="00000000">
          <w:pPr>
            <w:pStyle w:val="TOC3"/>
            <w:rPr>
              <w:rFonts w:asciiTheme="minorHAnsi" w:eastAsiaTheme="minorEastAsia" w:hAnsiTheme="minorHAnsi" w:cstheme="minorBidi"/>
              <w:noProof/>
              <w:sz w:val="22"/>
              <w:lang w:val="en-US" w:eastAsia="en-GB" w:bidi="ar-SA"/>
            </w:rPr>
          </w:pPr>
          <w:hyperlink w:anchor="_Toc147090638" w:history="1">
            <w:r w:rsidR="003D7696" w:rsidRPr="00DD1B58">
              <w:rPr>
                <w:rStyle w:val="Hyperlink"/>
                <w:noProof/>
                <w:lang w:val="en-US"/>
              </w:rPr>
              <w:t>A</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Nuclear power plants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_Toc147090638 \h </w:instrText>
            </w:r>
            <w:r w:rsidR="003D7696" w:rsidRPr="00DD1B58">
              <w:rPr>
                <w:noProof/>
                <w:webHidden/>
                <w:lang w:val="en-US"/>
              </w:rPr>
            </w:r>
            <w:r w:rsidR="003D7696" w:rsidRPr="00DD1B58">
              <w:rPr>
                <w:noProof/>
                <w:webHidden/>
                <w:lang w:val="en-US"/>
              </w:rPr>
              <w:fldChar w:fldCharType="separate"/>
            </w:r>
            <w:r w:rsidR="00DF47DA">
              <w:rPr>
                <w:noProof/>
                <w:webHidden/>
                <w:lang w:val="en-US"/>
              </w:rPr>
              <w:t>138</w:t>
            </w:r>
            <w:r w:rsidR="003D7696" w:rsidRPr="00DD1B58">
              <w:rPr>
                <w:noProof/>
                <w:webHidden/>
                <w:lang w:val="en-US"/>
              </w:rPr>
              <w:fldChar w:fldCharType="end"/>
            </w:r>
          </w:hyperlink>
        </w:p>
        <w:p w14:paraId="4E6E6AA4" w14:textId="1D7C03F2" w:rsidR="003D7696" w:rsidRPr="00DD1B58" w:rsidRDefault="00000000">
          <w:pPr>
            <w:pStyle w:val="TOC3"/>
            <w:rPr>
              <w:rFonts w:asciiTheme="minorHAnsi" w:eastAsiaTheme="minorEastAsia" w:hAnsiTheme="minorHAnsi" w:cstheme="minorBidi"/>
              <w:noProof/>
              <w:sz w:val="22"/>
              <w:lang w:val="en-US" w:eastAsia="en-GB" w:bidi="ar-SA"/>
            </w:rPr>
          </w:pPr>
          <w:hyperlink w:anchor="_Toc147090639" w:history="1">
            <w:r w:rsidR="003D7696" w:rsidRPr="00DD1B58">
              <w:rPr>
                <w:rStyle w:val="Hyperlink"/>
                <w:noProof/>
                <w:lang w:val="en-US"/>
              </w:rPr>
              <w:t>B</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Research reactors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_Toc147090639 \h </w:instrText>
            </w:r>
            <w:r w:rsidR="003D7696" w:rsidRPr="00DD1B58">
              <w:rPr>
                <w:noProof/>
                <w:webHidden/>
                <w:lang w:val="en-US"/>
              </w:rPr>
            </w:r>
            <w:r w:rsidR="003D7696" w:rsidRPr="00DD1B58">
              <w:rPr>
                <w:noProof/>
                <w:webHidden/>
                <w:lang w:val="en-US"/>
              </w:rPr>
              <w:fldChar w:fldCharType="separate"/>
            </w:r>
            <w:r w:rsidR="00DF47DA">
              <w:rPr>
                <w:noProof/>
                <w:webHidden/>
                <w:lang w:val="en-US"/>
              </w:rPr>
              <w:t>145</w:t>
            </w:r>
            <w:r w:rsidR="003D7696" w:rsidRPr="00DD1B58">
              <w:rPr>
                <w:noProof/>
                <w:webHidden/>
                <w:lang w:val="en-US"/>
              </w:rPr>
              <w:fldChar w:fldCharType="end"/>
            </w:r>
          </w:hyperlink>
        </w:p>
        <w:p w14:paraId="7CFDEC1E" w14:textId="35A5BBA7" w:rsidR="003D7696" w:rsidRPr="00DD1B58" w:rsidRDefault="00000000">
          <w:pPr>
            <w:pStyle w:val="TOC3"/>
            <w:rPr>
              <w:rFonts w:asciiTheme="minorHAnsi" w:eastAsiaTheme="minorEastAsia" w:hAnsiTheme="minorHAnsi" w:cstheme="minorBidi"/>
              <w:noProof/>
              <w:sz w:val="22"/>
              <w:lang w:val="en-US" w:eastAsia="en-GB" w:bidi="ar-SA"/>
            </w:rPr>
          </w:pPr>
          <w:hyperlink w:anchor="_Toc147090640" w:history="1">
            <w:r w:rsidR="003D7696" w:rsidRPr="00DD1B58">
              <w:rPr>
                <w:rStyle w:val="Hyperlink"/>
                <w:noProof/>
                <w:lang w:val="en-US"/>
              </w:rPr>
              <w:t>C</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Fuel cycle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_Toc147090640 \h </w:instrText>
            </w:r>
            <w:r w:rsidR="003D7696" w:rsidRPr="00DD1B58">
              <w:rPr>
                <w:noProof/>
                <w:webHidden/>
                <w:lang w:val="en-US"/>
              </w:rPr>
            </w:r>
            <w:r w:rsidR="003D7696" w:rsidRPr="00DD1B58">
              <w:rPr>
                <w:noProof/>
                <w:webHidden/>
                <w:lang w:val="en-US"/>
              </w:rPr>
              <w:fldChar w:fldCharType="separate"/>
            </w:r>
            <w:r w:rsidR="00DF47DA">
              <w:rPr>
                <w:noProof/>
                <w:webHidden/>
                <w:lang w:val="en-US"/>
              </w:rPr>
              <w:t>146</w:t>
            </w:r>
            <w:r w:rsidR="003D7696" w:rsidRPr="00DD1B58">
              <w:rPr>
                <w:noProof/>
                <w:webHidden/>
                <w:lang w:val="en-US"/>
              </w:rPr>
              <w:fldChar w:fldCharType="end"/>
            </w:r>
          </w:hyperlink>
        </w:p>
        <w:p w14:paraId="3458333C" w14:textId="134962D2" w:rsidR="003D7696" w:rsidRPr="00DD1B58" w:rsidRDefault="00000000">
          <w:pPr>
            <w:pStyle w:val="TOC3"/>
            <w:rPr>
              <w:rFonts w:asciiTheme="minorHAnsi" w:eastAsiaTheme="minorEastAsia" w:hAnsiTheme="minorHAnsi" w:cstheme="minorBidi"/>
              <w:noProof/>
              <w:sz w:val="22"/>
              <w:lang w:val="en-US" w:eastAsia="en-GB" w:bidi="ar-SA"/>
            </w:rPr>
          </w:pPr>
          <w:hyperlink w:anchor="_Toc147090641" w:history="1">
            <w:r w:rsidR="003D7696" w:rsidRPr="00DD1B58">
              <w:rPr>
                <w:rStyle w:val="Hyperlink"/>
                <w:noProof/>
                <w:lang w:val="en-US"/>
              </w:rPr>
              <w:t>D</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Dedicated spent fuel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_Toc147090641 \h </w:instrText>
            </w:r>
            <w:r w:rsidR="003D7696" w:rsidRPr="00DD1B58">
              <w:rPr>
                <w:noProof/>
                <w:webHidden/>
                <w:lang w:val="en-US"/>
              </w:rPr>
            </w:r>
            <w:r w:rsidR="003D7696" w:rsidRPr="00DD1B58">
              <w:rPr>
                <w:noProof/>
                <w:webHidden/>
                <w:lang w:val="en-US"/>
              </w:rPr>
              <w:fldChar w:fldCharType="separate"/>
            </w:r>
            <w:r w:rsidR="00DF47DA">
              <w:rPr>
                <w:noProof/>
                <w:webHidden/>
                <w:lang w:val="en-US"/>
              </w:rPr>
              <w:t>167</w:t>
            </w:r>
            <w:r w:rsidR="003D7696" w:rsidRPr="00DD1B58">
              <w:rPr>
                <w:noProof/>
                <w:webHidden/>
                <w:lang w:val="en-US"/>
              </w:rPr>
              <w:fldChar w:fldCharType="end"/>
            </w:r>
          </w:hyperlink>
        </w:p>
        <w:p w14:paraId="36B253D9" w14:textId="78844264" w:rsidR="003D7696" w:rsidRPr="00DD1B58" w:rsidRDefault="00000000">
          <w:pPr>
            <w:pStyle w:val="TOC3"/>
            <w:rPr>
              <w:rFonts w:asciiTheme="minorHAnsi" w:eastAsiaTheme="minorEastAsia" w:hAnsiTheme="minorHAnsi" w:cstheme="minorBidi"/>
              <w:noProof/>
              <w:sz w:val="22"/>
              <w:lang w:val="en-US" w:eastAsia="en-GB" w:bidi="ar-SA"/>
            </w:rPr>
          </w:pPr>
          <w:hyperlink w:anchor="_Toc147090642" w:history="1">
            <w:r w:rsidR="003D7696" w:rsidRPr="00DD1B58">
              <w:rPr>
                <w:rStyle w:val="Hyperlink"/>
                <w:noProof/>
                <w:lang w:val="en-US"/>
              </w:rPr>
              <w:t>E</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Waste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_Toc147090642 \h </w:instrText>
            </w:r>
            <w:r w:rsidR="003D7696" w:rsidRPr="00DD1B58">
              <w:rPr>
                <w:noProof/>
                <w:webHidden/>
                <w:lang w:val="en-US"/>
              </w:rPr>
            </w:r>
            <w:r w:rsidR="003D7696" w:rsidRPr="00DD1B58">
              <w:rPr>
                <w:noProof/>
                <w:webHidden/>
                <w:lang w:val="en-US"/>
              </w:rPr>
              <w:fldChar w:fldCharType="separate"/>
            </w:r>
            <w:r w:rsidR="00DF47DA">
              <w:rPr>
                <w:noProof/>
                <w:webHidden/>
                <w:lang w:val="en-US"/>
              </w:rPr>
              <w:t>168</w:t>
            </w:r>
            <w:r w:rsidR="003D7696" w:rsidRPr="00DD1B58">
              <w:rPr>
                <w:noProof/>
                <w:webHidden/>
                <w:lang w:val="en-US"/>
              </w:rPr>
              <w:fldChar w:fldCharType="end"/>
            </w:r>
          </w:hyperlink>
        </w:p>
        <w:p w14:paraId="72477782" w14:textId="1AED033C" w:rsidR="003D7696" w:rsidRPr="00DD1B58" w:rsidRDefault="00000000">
          <w:pPr>
            <w:pStyle w:val="TOC3"/>
            <w:rPr>
              <w:rFonts w:asciiTheme="minorHAnsi" w:eastAsiaTheme="minorEastAsia" w:hAnsiTheme="minorHAnsi" w:cstheme="minorBidi"/>
              <w:noProof/>
              <w:sz w:val="22"/>
              <w:lang w:val="en-US" w:eastAsia="en-GB" w:bidi="ar-SA"/>
            </w:rPr>
          </w:pPr>
          <w:hyperlink w:anchor="_Toc147090643" w:history="1">
            <w:r w:rsidR="003D7696" w:rsidRPr="00DD1B58">
              <w:rPr>
                <w:rStyle w:val="Hyperlink"/>
                <w:noProof/>
                <w:lang w:val="en-US"/>
              </w:rPr>
              <w:t>F</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Facilities under decommissioning</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_Toc147090643 \h </w:instrText>
            </w:r>
            <w:r w:rsidR="003D7696" w:rsidRPr="00DD1B58">
              <w:rPr>
                <w:noProof/>
                <w:webHidden/>
                <w:lang w:val="en-US"/>
              </w:rPr>
            </w:r>
            <w:r w:rsidR="003D7696" w:rsidRPr="00DD1B58">
              <w:rPr>
                <w:noProof/>
                <w:webHidden/>
                <w:lang w:val="en-US"/>
              </w:rPr>
              <w:fldChar w:fldCharType="separate"/>
            </w:r>
            <w:r w:rsidR="00DF47DA">
              <w:rPr>
                <w:noProof/>
                <w:webHidden/>
                <w:lang w:val="en-US"/>
              </w:rPr>
              <w:t>172</w:t>
            </w:r>
            <w:r w:rsidR="003D7696" w:rsidRPr="00DD1B58">
              <w:rPr>
                <w:noProof/>
                <w:webHidden/>
                <w:lang w:val="en-US"/>
              </w:rPr>
              <w:fldChar w:fldCharType="end"/>
            </w:r>
          </w:hyperlink>
        </w:p>
        <w:p w14:paraId="3AC0A199" w14:textId="07700CE3"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44" w:history="1">
            <w:r w:rsidR="003D7696" w:rsidRPr="00DD1B58">
              <w:rPr>
                <w:rStyle w:val="Hyperlink"/>
                <w:lang w:val="en-US"/>
              </w:rPr>
              <w:t>3.2</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Active fire protection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_Toc147090644 \h </w:instrText>
            </w:r>
            <w:r w:rsidR="003D7696" w:rsidRPr="00DD1B58">
              <w:rPr>
                <w:webHidden/>
                <w:lang w:val="en-US"/>
              </w:rPr>
            </w:r>
            <w:r w:rsidR="003D7696" w:rsidRPr="00DD1B58">
              <w:rPr>
                <w:webHidden/>
                <w:lang w:val="en-US"/>
              </w:rPr>
              <w:fldChar w:fldCharType="separate"/>
            </w:r>
            <w:r w:rsidR="00DF47DA">
              <w:rPr>
                <w:webHidden/>
                <w:lang w:val="en-US"/>
              </w:rPr>
              <w:t>177</w:t>
            </w:r>
            <w:r w:rsidR="003D7696" w:rsidRPr="00DD1B58">
              <w:rPr>
                <w:webHidden/>
                <w:lang w:val="en-US"/>
              </w:rPr>
              <w:fldChar w:fldCharType="end"/>
            </w:r>
          </w:hyperlink>
        </w:p>
        <w:p w14:paraId="0B044FAA" w14:textId="710B94FC" w:rsidR="003D7696" w:rsidRPr="00DD1B58" w:rsidRDefault="00000000">
          <w:pPr>
            <w:pStyle w:val="TOC3"/>
            <w:rPr>
              <w:rFonts w:asciiTheme="minorHAnsi" w:eastAsiaTheme="minorEastAsia" w:hAnsiTheme="minorHAnsi" w:cstheme="minorBidi"/>
              <w:noProof/>
              <w:sz w:val="22"/>
              <w:lang w:val="en-US" w:eastAsia="en-GB" w:bidi="ar-SA"/>
            </w:rPr>
          </w:pPr>
          <w:hyperlink w:anchor="_Toc147090645" w:history="1">
            <w:r w:rsidR="003D7696" w:rsidRPr="00DD1B58">
              <w:rPr>
                <w:rStyle w:val="Hyperlink"/>
                <w:noProof/>
                <w:lang w:val="en-US"/>
              </w:rPr>
              <w:t>A</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Nuclear power plants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_Toc147090645 \h </w:instrText>
            </w:r>
            <w:r w:rsidR="003D7696" w:rsidRPr="00DD1B58">
              <w:rPr>
                <w:noProof/>
                <w:webHidden/>
                <w:lang w:val="en-US"/>
              </w:rPr>
            </w:r>
            <w:r w:rsidR="003D7696" w:rsidRPr="00DD1B58">
              <w:rPr>
                <w:noProof/>
                <w:webHidden/>
                <w:lang w:val="en-US"/>
              </w:rPr>
              <w:fldChar w:fldCharType="separate"/>
            </w:r>
            <w:r w:rsidR="00DF47DA">
              <w:rPr>
                <w:noProof/>
                <w:webHidden/>
                <w:lang w:val="en-US"/>
              </w:rPr>
              <w:t>177</w:t>
            </w:r>
            <w:r w:rsidR="003D7696" w:rsidRPr="00DD1B58">
              <w:rPr>
                <w:noProof/>
                <w:webHidden/>
                <w:lang w:val="en-US"/>
              </w:rPr>
              <w:fldChar w:fldCharType="end"/>
            </w:r>
          </w:hyperlink>
        </w:p>
        <w:p w14:paraId="3F70E182" w14:textId="3C5B4B5D" w:rsidR="003D7696" w:rsidRPr="00DD1B58" w:rsidRDefault="00000000">
          <w:pPr>
            <w:pStyle w:val="TOC3"/>
            <w:rPr>
              <w:rFonts w:asciiTheme="minorHAnsi" w:eastAsiaTheme="minorEastAsia" w:hAnsiTheme="minorHAnsi" w:cstheme="minorBidi"/>
              <w:noProof/>
              <w:sz w:val="22"/>
              <w:lang w:val="en-US" w:eastAsia="en-GB" w:bidi="ar-SA"/>
            </w:rPr>
          </w:pPr>
          <w:hyperlink w:anchor="_Toc147090646" w:history="1">
            <w:r w:rsidR="003D7696" w:rsidRPr="00DD1B58">
              <w:rPr>
                <w:rStyle w:val="Hyperlink"/>
                <w:noProof/>
                <w:lang w:val="en-US"/>
              </w:rPr>
              <w:t>B</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Research reactors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_Toc147090646 \h </w:instrText>
            </w:r>
            <w:r w:rsidR="003D7696" w:rsidRPr="00DD1B58">
              <w:rPr>
                <w:noProof/>
                <w:webHidden/>
                <w:lang w:val="en-US"/>
              </w:rPr>
            </w:r>
            <w:r w:rsidR="003D7696" w:rsidRPr="00DD1B58">
              <w:rPr>
                <w:noProof/>
                <w:webHidden/>
                <w:lang w:val="en-US"/>
              </w:rPr>
              <w:fldChar w:fldCharType="separate"/>
            </w:r>
            <w:r w:rsidR="00DF47DA">
              <w:rPr>
                <w:noProof/>
                <w:webHidden/>
                <w:lang w:val="en-US"/>
              </w:rPr>
              <w:t>204</w:t>
            </w:r>
            <w:r w:rsidR="003D7696" w:rsidRPr="00DD1B58">
              <w:rPr>
                <w:noProof/>
                <w:webHidden/>
                <w:lang w:val="en-US"/>
              </w:rPr>
              <w:fldChar w:fldCharType="end"/>
            </w:r>
          </w:hyperlink>
        </w:p>
        <w:p w14:paraId="68880D45" w14:textId="2D6C4C2B" w:rsidR="003D7696" w:rsidRPr="00DD1B58" w:rsidRDefault="00000000">
          <w:pPr>
            <w:pStyle w:val="TOC3"/>
            <w:rPr>
              <w:rFonts w:asciiTheme="minorHAnsi" w:eastAsiaTheme="minorEastAsia" w:hAnsiTheme="minorHAnsi" w:cstheme="minorBidi"/>
              <w:noProof/>
              <w:sz w:val="22"/>
              <w:lang w:val="en-US" w:eastAsia="en-GB" w:bidi="ar-SA"/>
            </w:rPr>
          </w:pPr>
          <w:hyperlink w:anchor="_Toc147090647" w:history="1">
            <w:r w:rsidR="003D7696" w:rsidRPr="00DD1B58">
              <w:rPr>
                <w:rStyle w:val="Hyperlink"/>
                <w:noProof/>
                <w:lang w:val="en-US"/>
              </w:rPr>
              <w:t>C</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Fuel cycle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_Toc147090647 \h </w:instrText>
            </w:r>
            <w:r w:rsidR="003D7696" w:rsidRPr="00DD1B58">
              <w:rPr>
                <w:noProof/>
                <w:webHidden/>
                <w:lang w:val="en-US"/>
              </w:rPr>
            </w:r>
            <w:r w:rsidR="003D7696" w:rsidRPr="00DD1B58">
              <w:rPr>
                <w:noProof/>
                <w:webHidden/>
                <w:lang w:val="en-US"/>
              </w:rPr>
              <w:fldChar w:fldCharType="separate"/>
            </w:r>
            <w:r w:rsidR="00DF47DA">
              <w:rPr>
                <w:noProof/>
                <w:webHidden/>
                <w:lang w:val="en-US"/>
              </w:rPr>
              <w:t>204</w:t>
            </w:r>
            <w:r w:rsidR="003D7696" w:rsidRPr="00DD1B58">
              <w:rPr>
                <w:noProof/>
                <w:webHidden/>
                <w:lang w:val="en-US"/>
              </w:rPr>
              <w:fldChar w:fldCharType="end"/>
            </w:r>
          </w:hyperlink>
        </w:p>
        <w:p w14:paraId="4671F020" w14:textId="1E63E2B1" w:rsidR="003D7696" w:rsidRPr="00DD1B58" w:rsidRDefault="00000000">
          <w:pPr>
            <w:pStyle w:val="TOC3"/>
            <w:rPr>
              <w:rFonts w:asciiTheme="minorHAnsi" w:eastAsiaTheme="minorEastAsia" w:hAnsiTheme="minorHAnsi" w:cstheme="minorBidi"/>
              <w:noProof/>
              <w:sz w:val="22"/>
              <w:lang w:val="en-US" w:eastAsia="en-GB" w:bidi="ar-SA"/>
            </w:rPr>
          </w:pPr>
          <w:hyperlink w:anchor="_Toc147090648" w:history="1">
            <w:r w:rsidR="003D7696" w:rsidRPr="00DD1B58">
              <w:rPr>
                <w:rStyle w:val="Hyperlink"/>
                <w:noProof/>
                <w:lang w:val="en-US"/>
              </w:rPr>
              <w:t>D</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Dedicated spent fuel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_Toc147090648 \h </w:instrText>
            </w:r>
            <w:r w:rsidR="003D7696" w:rsidRPr="00DD1B58">
              <w:rPr>
                <w:noProof/>
                <w:webHidden/>
                <w:lang w:val="en-US"/>
              </w:rPr>
            </w:r>
            <w:r w:rsidR="003D7696" w:rsidRPr="00DD1B58">
              <w:rPr>
                <w:noProof/>
                <w:webHidden/>
                <w:lang w:val="en-US"/>
              </w:rPr>
              <w:fldChar w:fldCharType="separate"/>
            </w:r>
            <w:r w:rsidR="00DF47DA">
              <w:rPr>
                <w:noProof/>
                <w:webHidden/>
                <w:lang w:val="en-US"/>
              </w:rPr>
              <w:t>225</w:t>
            </w:r>
            <w:r w:rsidR="003D7696" w:rsidRPr="00DD1B58">
              <w:rPr>
                <w:noProof/>
                <w:webHidden/>
                <w:lang w:val="en-US"/>
              </w:rPr>
              <w:fldChar w:fldCharType="end"/>
            </w:r>
          </w:hyperlink>
        </w:p>
        <w:p w14:paraId="1C15D039" w14:textId="0465DC9D" w:rsidR="003D7696" w:rsidRPr="00DD1B58" w:rsidRDefault="00000000">
          <w:pPr>
            <w:pStyle w:val="TOC3"/>
            <w:rPr>
              <w:rFonts w:asciiTheme="minorHAnsi" w:eastAsiaTheme="minorEastAsia" w:hAnsiTheme="minorHAnsi" w:cstheme="minorBidi"/>
              <w:noProof/>
              <w:sz w:val="22"/>
              <w:lang w:val="en-US" w:eastAsia="en-GB" w:bidi="ar-SA"/>
            </w:rPr>
          </w:pPr>
          <w:hyperlink w:anchor="_Toc147090649" w:history="1">
            <w:r w:rsidR="003D7696" w:rsidRPr="00DD1B58">
              <w:rPr>
                <w:rStyle w:val="Hyperlink"/>
                <w:noProof/>
                <w:lang w:val="en-US"/>
              </w:rPr>
              <w:t>E</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Waste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_Toc147090649 \h </w:instrText>
            </w:r>
            <w:r w:rsidR="003D7696" w:rsidRPr="00DD1B58">
              <w:rPr>
                <w:noProof/>
                <w:webHidden/>
                <w:lang w:val="en-US"/>
              </w:rPr>
            </w:r>
            <w:r w:rsidR="003D7696" w:rsidRPr="00DD1B58">
              <w:rPr>
                <w:noProof/>
                <w:webHidden/>
                <w:lang w:val="en-US"/>
              </w:rPr>
              <w:fldChar w:fldCharType="separate"/>
            </w:r>
            <w:r w:rsidR="00DF47DA">
              <w:rPr>
                <w:noProof/>
                <w:webHidden/>
                <w:lang w:val="en-US"/>
              </w:rPr>
              <w:t>226</w:t>
            </w:r>
            <w:r w:rsidR="003D7696" w:rsidRPr="00DD1B58">
              <w:rPr>
                <w:noProof/>
                <w:webHidden/>
                <w:lang w:val="en-US"/>
              </w:rPr>
              <w:fldChar w:fldCharType="end"/>
            </w:r>
          </w:hyperlink>
        </w:p>
        <w:p w14:paraId="0BE1D0F5" w14:textId="23ACFCDE" w:rsidR="003D7696" w:rsidRPr="00DD1B58" w:rsidRDefault="00000000">
          <w:pPr>
            <w:pStyle w:val="TOC3"/>
            <w:rPr>
              <w:rFonts w:asciiTheme="minorHAnsi" w:eastAsiaTheme="minorEastAsia" w:hAnsiTheme="minorHAnsi" w:cstheme="minorBidi"/>
              <w:noProof/>
              <w:sz w:val="22"/>
              <w:lang w:val="en-US" w:eastAsia="en-GB" w:bidi="ar-SA"/>
            </w:rPr>
          </w:pPr>
          <w:hyperlink w:anchor="_Toc147090650" w:history="1">
            <w:r w:rsidR="003D7696" w:rsidRPr="00DD1B58">
              <w:rPr>
                <w:rStyle w:val="Hyperlink"/>
                <w:noProof/>
                <w:lang w:val="en-US"/>
              </w:rPr>
              <w:t>F</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Facilities under decommissioning</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_Toc147090650 \h </w:instrText>
            </w:r>
            <w:r w:rsidR="003D7696" w:rsidRPr="00DD1B58">
              <w:rPr>
                <w:noProof/>
                <w:webHidden/>
                <w:lang w:val="en-US"/>
              </w:rPr>
            </w:r>
            <w:r w:rsidR="003D7696" w:rsidRPr="00DD1B58">
              <w:rPr>
                <w:noProof/>
                <w:webHidden/>
                <w:lang w:val="en-US"/>
              </w:rPr>
              <w:fldChar w:fldCharType="separate"/>
            </w:r>
            <w:r w:rsidR="00DF47DA">
              <w:rPr>
                <w:noProof/>
                <w:webHidden/>
                <w:lang w:val="en-US"/>
              </w:rPr>
              <w:t>246</w:t>
            </w:r>
            <w:r w:rsidR="003D7696" w:rsidRPr="00DD1B58">
              <w:rPr>
                <w:noProof/>
                <w:webHidden/>
                <w:lang w:val="en-US"/>
              </w:rPr>
              <w:fldChar w:fldCharType="end"/>
            </w:r>
          </w:hyperlink>
        </w:p>
        <w:p w14:paraId="711A0DF5" w14:textId="0C60FB0E"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51" w:history="1">
            <w:r w:rsidR="003D7696" w:rsidRPr="00DD1B58">
              <w:rPr>
                <w:rStyle w:val="Hyperlink"/>
                <w:lang w:val="en-US"/>
              </w:rPr>
              <w:t>3.3</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Passive fire protection</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_Toc147090651 \h </w:instrText>
            </w:r>
            <w:r w:rsidR="003D7696" w:rsidRPr="00DD1B58">
              <w:rPr>
                <w:webHidden/>
                <w:lang w:val="en-US"/>
              </w:rPr>
            </w:r>
            <w:r w:rsidR="003D7696" w:rsidRPr="00DD1B58">
              <w:rPr>
                <w:webHidden/>
                <w:lang w:val="en-US"/>
              </w:rPr>
              <w:fldChar w:fldCharType="separate"/>
            </w:r>
            <w:r w:rsidR="00DF47DA">
              <w:rPr>
                <w:webHidden/>
                <w:lang w:val="en-US"/>
              </w:rPr>
              <w:t>253</w:t>
            </w:r>
            <w:r w:rsidR="003D7696" w:rsidRPr="00DD1B58">
              <w:rPr>
                <w:webHidden/>
                <w:lang w:val="en-US"/>
              </w:rPr>
              <w:fldChar w:fldCharType="end"/>
            </w:r>
          </w:hyperlink>
        </w:p>
        <w:p w14:paraId="0F9670BC" w14:textId="3B2FB31A" w:rsidR="003D7696" w:rsidRPr="00DD1B58" w:rsidRDefault="00000000">
          <w:pPr>
            <w:pStyle w:val="TOC3"/>
            <w:rPr>
              <w:rFonts w:asciiTheme="minorHAnsi" w:eastAsiaTheme="minorEastAsia" w:hAnsiTheme="minorHAnsi" w:cstheme="minorBidi"/>
              <w:noProof/>
              <w:sz w:val="22"/>
              <w:lang w:val="en-US" w:eastAsia="en-GB" w:bidi="ar-SA"/>
            </w:rPr>
          </w:pPr>
          <w:hyperlink w:anchor="_Toc147090652" w:history="1">
            <w:r w:rsidR="003D7696" w:rsidRPr="00DD1B58">
              <w:rPr>
                <w:rStyle w:val="Hyperlink"/>
                <w:noProof/>
                <w:lang w:val="en-US"/>
              </w:rPr>
              <w:t>A</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Nuclear power plants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_Toc147090652 \h </w:instrText>
            </w:r>
            <w:r w:rsidR="003D7696" w:rsidRPr="00DD1B58">
              <w:rPr>
                <w:noProof/>
                <w:webHidden/>
                <w:lang w:val="en-US"/>
              </w:rPr>
            </w:r>
            <w:r w:rsidR="003D7696" w:rsidRPr="00DD1B58">
              <w:rPr>
                <w:noProof/>
                <w:webHidden/>
                <w:lang w:val="en-US"/>
              </w:rPr>
              <w:fldChar w:fldCharType="separate"/>
            </w:r>
            <w:r w:rsidR="00DF47DA">
              <w:rPr>
                <w:noProof/>
                <w:webHidden/>
                <w:lang w:val="en-US"/>
              </w:rPr>
              <w:t>253</w:t>
            </w:r>
            <w:r w:rsidR="003D7696" w:rsidRPr="00DD1B58">
              <w:rPr>
                <w:noProof/>
                <w:webHidden/>
                <w:lang w:val="en-US"/>
              </w:rPr>
              <w:fldChar w:fldCharType="end"/>
            </w:r>
          </w:hyperlink>
        </w:p>
        <w:p w14:paraId="196F922C" w14:textId="283BBA8A" w:rsidR="003D7696" w:rsidRPr="00DD1B58" w:rsidRDefault="00000000">
          <w:pPr>
            <w:pStyle w:val="TOC3"/>
            <w:rPr>
              <w:rFonts w:asciiTheme="minorHAnsi" w:eastAsiaTheme="minorEastAsia" w:hAnsiTheme="minorHAnsi" w:cstheme="minorBidi"/>
              <w:noProof/>
              <w:sz w:val="22"/>
              <w:lang w:val="en-US" w:eastAsia="en-GB" w:bidi="ar-SA"/>
            </w:rPr>
          </w:pPr>
          <w:hyperlink w:anchor="_Toc147090653" w:history="1">
            <w:r w:rsidR="003D7696" w:rsidRPr="00DD1B58">
              <w:rPr>
                <w:rStyle w:val="Hyperlink"/>
                <w:noProof/>
                <w:lang w:val="en-US"/>
              </w:rPr>
              <w:t>B</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Research reactors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_Toc147090653 \h </w:instrText>
            </w:r>
            <w:r w:rsidR="003D7696" w:rsidRPr="00DD1B58">
              <w:rPr>
                <w:noProof/>
                <w:webHidden/>
                <w:lang w:val="en-US"/>
              </w:rPr>
            </w:r>
            <w:r w:rsidR="003D7696" w:rsidRPr="00DD1B58">
              <w:rPr>
                <w:noProof/>
                <w:webHidden/>
                <w:lang w:val="en-US"/>
              </w:rPr>
              <w:fldChar w:fldCharType="separate"/>
            </w:r>
            <w:r w:rsidR="00DF47DA">
              <w:rPr>
                <w:noProof/>
                <w:webHidden/>
                <w:lang w:val="en-US"/>
              </w:rPr>
              <w:t>267</w:t>
            </w:r>
            <w:r w:rsidR="003D7696" w:rsidRPr="00DD1B58">
              <w:rPr>
                <w:noProof/>
                <w:webHidden/>
                <w:lang w:val="en-US"/>
              </w:rPr>
              <w:fldChar w:fldCharType="end"/>
            </w:r>
          </w:hyperlink>
        </w:p>
        <w:p w14:paraId="68476C76" w14:textId="633A12CE" w:rsidR="003D7696" w:rsidRPr="00DD1B58" w:rsidRDefault="00000000">
          <w:pPr>
            <w:pStyle w:val="TOC3"/>
            <w:rPr>
              <w:rFonts w:asciiTheme="minorHAnsi" w:eastAsiaTheme="minorEastAsia" w:hAnsiTheme="minorHAnsi" w:cstheme="minorBidi"/>
              <w:noProof/>
              <w:sz w:val="22"/>
              <w:lang w:val="en-US" w:eastAsia="en-GB" w:bidi="ar-SA"/>
            </w:rPr>
          </w:pPr>
          <w:hyperlink w:anchor="_Toc147090654" w:history="1">
            <w:r w:rsidR="003D7696" w:rsidRPr="00DD1B58">
              <w:rPr>
                <w:rStyle w:val="Hyperlink"/>
                <w:noProof/>
                <w:lang w:val="en-US"/>
              </w:rPr>
              <w:t>C</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Fuel cycle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_Toc147090654 \h </w:instrText>
            </w:r>
            <w:r w:rsidR="003D7696" w:rsidRPr="00DD1B58">
              <w:rPr>
                <w:noProof/>
                <w:webHidden/>
                <w:lang w:val="en-US"/>
              </w:rPr>
            </w:r>
            <w:r w:rsidR="003D7696" w:rsidRPr="00DD1B58">
              <w:rPr>
                <w:noProof/>
                <w:webHidden/>
                <w:lang w:val="en-US"/>
              </w:rPr>
              <w:fldChar w:fldCharType="separate"/>
            </w:r>
            <w:r w:rsidR="00DF47DA">
              <w:rPr>
                <w:noProof/>
                <w:webHidden/>
                <w:lang w:val="en-US"/>
              </w:rPr>
              <w:t>267</w:t>
            </w:r>
            <w:r w:rsidR="003D7696" w:rsidRPr="00DD1B58">
              <w:rPr>
                <w:noProof/>
                <w:webHidden/>
                <w:lang w:val="en-US"/>
              </w:rPr>
              <w:fldChar w:fldCharType="end"/>
            </w:r>
          </w:hyperlink>
        </w:p>
        <w:p w14:paraId="1718D9D7" w14:textId="2D183A13" w:rsidR="003D7696" w:rsidRPr="00DD1B58" w:rsidRDefault="00000000">
          <w:pPr>
            <w:pStyle w:val="TOC3"/>
            <w:rPr>
              <w:rFonts w:asciiTheme="minorHAnsi" w:eastAsiaTheme="minorEastAsia" w:hAnsiTheme="minorHAnsi" w:cstheme="minorBidi"/>
              <w:noProof/>
              <w:sz w:val="22"/>
              <w:lang w:val="en-US" w:eastAsia="en-GB" w:bidi="ar-SA"/>
            </w:rPr>
          </w:pPr>
          <w:hyperlink w:anchor="_Toc147090655" w:history="1">
            <w:r w:rsidR="003D7696" w:rsidRPr="00DD1B58">
              <w:rPr>
                <w:rStyle w:val="Hyperlink"/>
                <w:noProof/>
                <w:lang w:val="en-US"/>
              </w:rPr>
              <w:t>D</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Dedicated spent fuel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_Toc147090655 \h </w:instrText>
            </w:r>
            <w:r w:rsidR="003D7696" w:rsidRPr="00DD1B58">
              <w:rPr>
                <w:noProof/>
                <w:webHidden/>
                <w:lang w:val="en-US"/>
              </w:rPr>
            </w:r>
            <w:r w:rsidR="003D7696" w:rsidRPr="00DD1B58">
              <w:rPr>
                <w:noProof/>
                <w:webHidden/>
                <w:lang w:val="en-US"/>
              </w:rPr>
              <w:fldChar w:fldCharType="separate"/>
            </w:r>
            <w:r w:rsidR="00DF47DA">
              <w:rPr>
                <w:noProof/>
                <w:webHidden/>
                <w:lang w:val="en-US"/>
              </w:rPr>
              <w:t>279</w:t>
            </w:r>
            <w:r w:rsidR="003D7696" w:rsidRPr="00DD1B58">
              <w:rPr>
                <w:noProof/>
                <w:webHidden/>
                <w:lang w:val="en-US"/>
              </w:rPr>
              <w:fldChar w:fldCharType="end"/>
            </w:r>
          </w:hyperlink>
        </w:p>
        <w:p w14:paraId="2F69C0F5" w14:textId="50F8EE8C" w:rsidR="003D7696" w:rsidRPr="00DD1B58" w:rsidRDefault="00000000">
          <w:pPr>
            <w:pStyle w:val="TOC3"/>
            <w:rPr>
              <w:rFonts w:asciiTheme="minorHAnsi" w:eastAsiaTheme="minorEastAsia" w:hAnsiTheme="minorHAnsi" w:cstheme="minorBidi"/>
              <w:noProof/>
              <w:sz w:val="22"/>
              <w:lang w:val="en-US" w:eastAsia="en-GB" w:bidi="ar-SA"/>
            </w:rPr>
          </w:pPr>
          <w:hyperlink w:anchor="_Toc147090656" w:history="1">
            <w:r w:rsidR="003D7696" w:rsidRPr="00DD1B58">
              <w:rPr>
                <w:rStyle w:val="Hyperlink"/>
                <w:noProof/>
                <w:lang w:val="en-US"/>
              </w:rPr>
              <w:t>E</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Waste storage facilities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_Toc147090656 \h </w:instrText>
            </w:r>
            <w:r w:rsidR="003D7696" w:rsidRPr="00DD1B58">
              <w:rPr>
                <w:noProof/>
                <w:webHidden/>
                <w:lang w:val="en-US"/>
              </w:rPr>
            </w:r>
            <w:r w:rsidR="003D7696" w:rsidRPr="00DD1B58">
              <w:rPr>
                <w:noProof/>
                <w:webHidden/>
                <w:lang w:val="en-US"/>
              </w:rPr>
              <w:fldChar w:fldCharType="separate"/>
            </w:r>
            <w:r w:rsidR="00DF47DA">
              <w:rPr>
                <w:noProof/>
                <w:webHidden/>
                <w:lang w:val="en-US"/>
              </w:rPr>
              <w:t>279</w:t>
            </w:r>
            <w:r w:rsidR="003D7696" w:rsidRPr="00DD1B58">
              <w:rPr>
                <w:noProof/>
                <w:webHidden/>
                <w:lang w:val="en-US"/>
              </w:rPr>
              <w:fldChar w:fldCharType="end"/>
            </w:r>
          </w:hyperlink>
        </w:p>
        <w:p w14:paraId="071C4528" w14:textId="678B9849" w:rsidR="003D7696" w:rsidRPr="00DD1B58" w:rsidRDefault="00000000">
          <w:pPr>
            <w:pStyle w:val="TOC3"/>
            <w:rPr>
              <w:rFonts w:asciiTheme="minorHAnsi" w:eastAsiaTheme="minorEastAsia" w:hAnsiTheme="minorHAnsi" w:cstheme="minorBidi"/>
              <w:noProof/>
              <w:sz w:val="22"/>
              <w:lang w:val="en-US" w:eastAsia="en-GB" w:bidi="ar-SA"/>
            </w:rPr>
          </w:pPr>
          <w:hyperlink w:anchor="_Toc147090657" w:history="1">
            <w:r w:rsidR="003D7696" w:rsidRPr="00DD1B58">
              <w:rPr>
                <w:rStyle w:val="Hyperlink"/>
                <w:noProof/>
                <w:lang w:val="en-US"/>
              </w:rPr>
              <w:t>F</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Facilities under decommissioning</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_Toc147090657 \h </w:instrText>
            </w:r>
            <w:r w:rsidR="003D7696" w:rsidRPr="00DD1B58">
              <w:rPr>
                <w:noProof/>
                <w:webHidden/>
                <w:lang w:val="en-US"/>
              </w:rPr>
            </w:r>
            <w:r w:rsidR="003D7696" w:rsidRPr="00DD1B58">
              <w:rPr>
                <w:noProof/>
                <w:webHidden/>
                <w:lang w:val="en-US"/>
              </w:rPr>
              <w:fldChar w:fldCharType="separate"/>
            </w:r>
            <w:r w:rsidR="00DF47DA">
              <w:rPr>
                <w:noProof/>
                <w:webHidden/>
                <w:lang w:val="en-US"/>
              </w:rPr>
              <w:t>286</w:t>
            </w:r>
            <w:r w:rsidR="003D7696" w:rsidRPr="00DD1B58">
              <w:rPr>
                <w:noProof/>
                <w:webHidden/>
                <w:lang w:val="en-US"/>
              </w:rPr>
              <w:fldChar w:fldCharType="end"/>
            </w:r>
          </w:hyperlink>
        </w:p>
        <w:p w14:paraId="6295D450" w14:textId="4202AD43"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58" w:history="1">
            <w:r w:rsidR="003D7696" w:rsidRPr="00DD1B58">
              <w:rPr>
                <w:rStyle w:val="Hyperlink"/>
                <w:lang w:val="en-US"/>
              </w:rPr>
              <w:t>3.4</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Licensee experience of the implementation of the fire protection concept</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_Toc147090658 \h </w:instrText>
            </w:r>
            <w:r w:rsidR="003D7696" w:rsidRPr="00DD1B58">
              <w:rPr>
                <w:webHidden/>
                <w:lang w:val="en-US"/>
              </w:rPr>
            </w:r>
            <w:r w:rsidR="003D7696" w:rsidRPr="00DD1B58">
              <w:rPr>
                <w:webHidden/>
                <w:lang w:val="en-US"/>
              </w:rPr>
              <w:fldChar w:fldCharType="separate"/>
            </w:r>
            <w:r w:rsidR="00DF47DA">
              <w:rPr>
                <w:webHidden/>
                <w:lang w:val="en-US"/>
              </w:rPr>
              <w:t>288</w:t>
            </w:r>
            <w:r w:rsidR="003D7696" w:rsidRPr="00DD1B58">
              <w:rPr>
                <w:webHidden/>
                <w:lang w:val="en-US"/>
              </w:rPr>
              <w:fldChar w:fldCharType="end"/>
            </w:r>
          </w:hyperlink>
        </w:p>
        <w:p w14:paraId="28FEF787" w14:textId="38856597"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59" w:history="1">
            <w:r w:rsidR="003D7696" w:rsidRPr="00DD1B58">
              <w:rPr>
                <w:rStyle w:val="Hyperlink"/>
                <w:lang w:val="en-US"/>
              </w:rPr>
              <w:t>3.5</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Regulator’s assessment of the fire protection concept and conclusions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_Toc147090659 \h </w:instrText>
            </w:r>
            <w:r w:rsidR="003D7696" w:rsidRPr="00DD1B58">
              <w:rPr>
                <w:webHidden/>
                <w:lang w:val="en-US"/>
              </w:rPr>
            </w:r>
            <w:r w:rsidR="003D7696" w:rsidRPr="00DD1B58">
              <w:rPr>
                <w:webHidden/>
                <w:lang w:val="en-US"/>
              </w:rPr>
              <w:fldChar w:fldCharType="separate"/>
            </w:r>
            <w:r w:rsidR="00DF47DA">
              <w:rPr>
                <w:webHidden/>
                <w:lang w:val="en-US"/>
              </w:rPr>
              <w:t>289</w:t>
            </w:r>
            <w:r w:rsidR="003D7696" w:rsidRPr="00DD1B58">
              <w:rPr>
                <w:webHidden/>
                <w:lang w:val="en-US"/>
              </w:rPr>
              <w:fldChar w:fldCharType="end"/>
            </w:r>
          </w:hyperlink>
        </w:p>
        <w:p w14:paraId="586AB030" w14:textId="734E9381" w:rsidR="003D7696" w:rsidRPr="00DD1B58" w:rsidRDefault="00000000">
          <w:pPr>
            <w:pStyle w:val="TOC1"/>
            <w:tabs>
              <w:tab w:val="left" w:pos="720"/>
            </w:tabs>
            <w:rPr>
              <w:rFonts w:asciiTheme="minorHAnsi" w:eastAsiaTheme="minorEastAsia" w:hAnsiTheme="minorHAnsi" w:cstheme="minorBidi"/>
              <w:sz w:val="22"/>
              <w:lang w:val="en-US" w:eastAsia="en-GB" w:bidi="ar-SA"/>
            </w:rPr>
          </w:pPr>
          <w:hyperlink w:anchor="_Toc147090660" w:history="1">
            <w:r w:rsidR="003D7696" w:rsidRPr="00DD1B58">
              <w:rPr>
                <w:rStyle w:val="Hyperlink"/>
                <w:lang w:val="en-US"/>
              </w:rPr>
              <w:t>4.</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Overall assessment and general conclusions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_Toc147090660 \h </w:instrText>
            </w:r>
            <w:r w:rsidR="003D7696" w:rsidRPr="00DD1B58">
              <w:rPr>
                <w:webHidden/>
                <w:lang w:val="en-US"/>
              </w:rPr>
            </w:r>
            <w:r w:rsidR="003D7696" w:rsidRPr="00DD1B58">
              <w:rPr>
                <w:webHidden/>
                <w:lang w:val="en-US"/>
              </w:rPr>
              <w:fldChar w:fldCharType="separate"/>
            </w:r>
            <w:r w:rsidR="00DF47DA">
              <w:rPr>
                <w:webHidden/>
                <w:lang w:val="en-US"/>
              </w:rPr>
              <w:t>290</w:t>
            </w:r>
            <w:r w:rsidR="003D7696" w:rsidRPr="00DD1B58">
              <w:rPr>
                <w:webHidden/>
                <w:lang w:val="en-US"/>
              </w:rPr>
              <w:fldChar w:fldCharType="end"/>
            </w:r>
          </w:hyperlink>
        </w:p>
        <w:p w14:paraId="0FF5F97B" w14:textId="79A7B54D" w:rsidR="003D7696" w:rsidRPr="00DD1B58" w:rsidRDefault="00000000">
          <w:pPr>
            <w:pStyle w:val="TOC2"/>
            <w:tabs>
              <w:tab w:val="left" w:pos="960"/>
            </w:tabs>
            <w:rPr>
              <w:rFonts w:asciiTheme="minorHAnsi" w:eastAsiaTheme="minorEastAsia" w:hAnsiTheme="minorHAnsi" w:cstheme="minorBidi"/>
              <w:sz w:val="22"/>
              <w:lang w:val="en-US" w:eastAsia="en-GB" w:bidi="ar-SA"/>
            </w:rPr>
          </w:pPr>
          <w:hyperlink w:anchor="_Toc147090661" w:history="1">
            <w:r w:rsidR="003D7696" w:rsidRPr="00DD1B58">
              <w:rPr>
                <w:rStyle w:val="Hyperlink"/>
                <w:lang w:val="en-US"/>
              </w:rPr>
              <w:t>4.1</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Overall conclusions</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_Toc147090661 \h </w:instrText>
            </w:r>
            <w:r w:rsidR="003D7696" w:rsidRPr="00DD1B58">
              <w:rPr>
                <w:webHidden/>
                <w:lang w:val="en-US"/>
              </w:rPr>
            </w:r>
            <w:r w:rsidR="003D7696" w:rsidRPr="00DD1B58">
              <w:rPr>
                <w:webHidden/>
                <w:lang w:val="en-US"/>
              </w:rPr>
              <w:fldChar w:fldCharType="separate"/>
            </w:r>
            <w:r w:rsidR="00DF47DA">
              <w:rPr>
                <w:webHidden/>
                <w:lang w:val="en-US"/>
              </w:rPr>
              <w:t>294</w:t>
            </w:r>
            <w:r w:rsidR="003D7696" w:rsidRPr="00DD1B58">
              <w:rPr>
                <w:webHidden/>
                <w:lang w:val="en-US"/>
              </w:rPr>
              <w:fldChar w:fldCharType="end"/>
            </w:r>
          </w:hyperlink>
        </w:p>
        <w:p w14:paraId="6A70A791" w14:textId="759D0820" w:rsidR="003D7696" w:rsidRPr="00DD1B58" w:rsidRDefault="00000000">
          <w:pPr>
            <w:pStyle w:val="TOC1"/>
            <w:tabs>
              <w:tab w:val="left" w:pos="720"/>
            </w:tabs>
            <w:rPr>
              <w:rFonts w:asciiTheme="minorHAnsi" w:eastAsiaTheme="minorEastAsia" w:hAnsiTheme="minorHAnsi" w:cstheme="minorBidi"/>
              <w:sz w:val="22"/>
              <w:lang w:val="en-US" w:eastAsia="en-GB" w:bidi="ar-SA"/>
            </w:rPr>
          </w:pPr>
          <w:hyperlink w:anchor="_Toc147090662" w:history="1">
            <w:r w:rsidR="003D7696" w:rsidRPr="00DD1B58">
              <w:rPr>
                <w:rStyle w:val="Hyperlink"/>
                <w:lang w:val="en-US"/>
              </w:rPr>
              <w:t>5.</w:t>
            </w:r>
            <w:r w:rsidR="003D7696" w:rsidRPr="00DD1B58">
              <w:rPr>
                <w:rFonts w:asciiTheme="minorHAnsi" w:eastAsiaTheme="minorEastAsia" w:hAnsiTheme="minorHAnsi" w:cstheme="minorBidi"/>
                <w:sz w:val="22"/>
                <w:lang w:val="en-US" w:eastAsia="en-GB" w:bidi="ar-SA"/>
              </w:rPr>
              <w:tab/>
            </w:r>
            <w:r w:rsidR="003D7696" w:rsidRPr="00DD1B58">
              <w:rPr>
                <w:rStyle w:val="Hyperlink"/>
                <w:lang w:val="en-US"/>
              </w:rPr>
              <w:t>References to the NAR</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_Toc147090662 \h </w:instrText>
            </w:r>
            <w:r w:rsidR="003D7696" w:rsidRPr="00DD1B58">
              <w:rPr>
                <w:webHidden/>
                <w:lang w:val="en-US"/>
              </w:rPr>
            </w:r>
            <w:r w:rsidR="003D7696" w:rsidRPr="00DD1B58">
              <w:rPr>
                <w:webHidden/>
                <w:lang w:val="en-US"/>
              </w:rPr>
              <w:fldChar w:fldCharType="separate"/>
            </w:r>
            <w:r w:rsidR="00DF47DA">
              <w:rPr>
                <w:webHidden/>
                <w:lang w:val="en-US"/>
              </w:rPr>
              <w:t>295</w:t>
            </w:r>
            <w:r w:rsidR="003D7696" w:rsidRPr="00DD1B58">
              <w:rPr>
                <w:webHidden/>
                <w:lang w:val="en-US"/>
              </w:rPr>
              <w:fldChar w:fldCharType="end"/>
            </w:r>
          </w:hyperlink>
        </w:p>
        <w:p w14:paraId="7ED9553E" w14:textId="54743846" w:rsidR="003D7696" w:rsidRPr="00DD1B58" w:rsidRDefault="00000000">
          <w:pPr>
            <w:pStyle w:val="TOC1"/>
            <w:rPr>
              <w:rFonts w:asciiTheme="minorHAnsi" w:eastAsiaTheme="minorEastAsia" w:hAnsiTheme="minorHAnsi" w:cstheme="minorBidi"/>
              <w:sz w:val="22"/>
              <w:lang w:val="en-US" w:eastAsia="en-GB" w:bidi="ar-SA"/>
            </w:rPr>
          </w:pPr>
          <w:hyperlink w:anchor="_Toc147090663" w:history="1">
            <w:r w:rsidR="003D7696" w:rsidRPr="00DD1B58">
              <w:rPr>
                <w:rStyle w:val="Hyperlink"/>
                <w:lang w:val="en-US"/>
              </w:rPr>
              <w:t>Appendices to the NAR</w:t>
            </w:r>
            <w:r w:rsidR="003D7696" w:rsidRPr="00DD1B58">
              <w:rPr>
                <w:webHidden/>
                <w:lang w:val="en-US"/>
              </w:rPr>
              <w:tab/>
            </w:r>
            <w:r w:rsidR="003D7696" w:rsidRPr="00DD1B58">
              <w:rPr>
                <w:webHidden/>
                <w:lang w:val="en-US"/>
              </w:rPr>
              <w:fldChar w:fldCharType="begin"/>
            </w:r>
            <w:r w:rsidR="003D7696" w:rsidRPr="00DD1B58">
              <w:rPr>
                <w:webHidden/>
                <w:lang w:val="en-US"/>
              </w:rPr>
              <w:instrText xml:space="preserve"> PAGEREF _Toc147090663 \h </w:instrText>
            </w:r>
            <w:r w:rsidR="003D7696" w:rsidRPr="00DD1B58">
              <w:rPr>
                <w:webHidden/>
                <w:lang w:val="en-US"/>
              </w:rPr>
            </w:r>
            <w:r w:rsidR="003D7696" w:rsidRPr="00DD1B58">
              <w:rPr>
                <w:webHidden/>
                <w:lang w:val="en-US"/>
              </w:rPr>
              <w:fldChar w:fldCharType="separate"/>
            </w:r>
            <w:r w:rsidR="00DF47DA">
              <w:rPr>
                <w:webHidden/>
                <w:lang w:val="en-US"/>
              </w:rPr>
              <w:t>310</w:t>
            </w:r>
            <w:r w:rsidR="003D7696" w:rsidRPr="00DD1B58">
              <w:rPr>
                <w:webHidden/>
                <w:lang w:val="en-US"/>
              </w:rPr>
              <w:fldChar w:fldCharType="end"/>
            </w:r>
          </w:hyperlink>
        </w:p>
        <w:p w14:paraId="72A8171E" w14:textId="5249AB3E" w:rsidR="003D7696" w:rsidRPr="00DD1B58" w:rsidRDefault="00000000">
          <w:pPr>
            <w:pStyle w:val="TOC3"/>
            <w:rPr>
              <w:rFonts w:asciiTheme="minorHAnsi" w:eastAsiaTheme="minorEastAsia" w:hAnsiTheme="minorHAnsi" w:cstheme="minorBidi"/>
              <w:noProof/>
              <w:sz w:val="22"/>
              <w:lang w:val="en-US" w:eastAsia="en-GB" w:bidi="ar-SA"/>
            </w:rPr>
          </w:pPr>
          <w:hyperlink w:anchor="_Toc147090664" w:history="1">
            <w:r w:rsidR="003D7696" w:rsidRPr="00DD1B58">
              <w:rPr>
                <w:rStyle w:val="Hyperlink"/>
                <w:noProof/>
                <w:lang w:val="en-US"/>
              </w:rPr>
              <w:t>A</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Development of the national selection of installations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_Toc147090664 \h </w:instrText>
            </w:r>
            <w:r w:rsidR="003D7696" w:rsidRPr="00DD1B58">
              <w:rPr>
                <w:noProof/>
                <w:webHidden/>
                <w:lang w:val="en-US"/>
              </w:rPr>
            </w:r>
            <w:r w:rsidR="003D7696" w:rsidRPr="00DD1B58">
              <w:rPr>
                <w:noProof/>
                <w:webHidden/>
                <w:lang w:val="en-US"/>
              </w:rPr>
              <w:fldChar w:fldCharType="separate"/>
            </w:r>
            <w:r w:rsidR="00DF47DA">
              <w:rPr>
                <w:noProof/>
                <w:webHidden/>
                <w:lang w:val="en-US"/>
              </w:rPr>
              <w:t>310</w:t>
            </w:r>
            <w:r w:rsidR="003D7696" w:rsidRPr="00DD1B58">
              <w:rPr>
                <w:noProof/>
                <w:webHidden/>
                <w:lang w:val="en-US"/>
              </w:rPr>
              <w:fldChar w:fldCharType="end"/>
            </w:r>
          </w:hyperlink>
        </w:p>
        <w:p w14:paraId="358BD3CF" w14:textId="4DE20BFC" w:rsidR="003D7696" w:rsidRPr="00DD1B58" w:rsidRDefault="00000000">
          <w:pPr>
            <w:pStyle w:val="TOC3"/>
            <w:rPr>
              <w:rFonts w:asciiTheme="minorHAnsi" w:eastAsiaTheme="minorEastAsia" w:hAnsiTheme="minorHAnsi" w:cstheme="minorBidi"/>
              <w:noProof/>
              <w:sz w:val="22"/>
              <w:lang w:val="en-US" w:eastAsia="en-GB" w:bidi="ar-SA"/>
            </w:rPr>
          </w:pPr>
          <w:hyperlink w:anchor="_Toc147090665" w:history="1">
            <w:r w:rsidR="003D7696" w:rsidRPr="00DD1B58">
              <w:rPr>
                <w:rStyle w:val="Hyperlink"/>
                <w:noProof/>
                <w:lang w:val="en-US"/>
              </w:rPr>
              <w:t>B</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NNB GenCo’s Internal Fire Hazard Analysis process using EPRESSI studies and FRA</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_Toc147090665 \h </w:instrText>
            </w:r>
            <w:r w:rsidR="003D7696" w:rsidRPr="00DD1B58">
              <w:rPr>
                <w:noProof/>
                <w:webHidden/>
                <w:lang w:val="en-US"/>
              </w:rPr>
            </w:r>
            <w:r w:rsidR="003D7696" w:rsidRPr="00DD1B58">
              <w:rPr>
                <w:noProof/>
                <w:webHidden/>
                <w:lang w:val="en-US"/>
              </w:rPr>
              <w:fldChar w:fldCharType="separate"/>
            </w:r>
            <w:r w:rsidR="00DF47DA">
              <w:rPr>
                <w:noProof/>
                <w:webHidden/>
                <w:lang w:val="en-US"/>
              </w:rPr>
              <w:t>315</w:t>
            </w:r>
            <w:r w:rsidR="003D7696" w:rsidRPr="00DD1B58">
              <w:rPr>
                <w:noProof/>
                <w:webHidden/>
                <w:lang w:val="en-US"/>
              </w:rPr>
              <w:fldChar w:fldCharType="end"/>
            </w:r>
          </w:hyperlink>
        </w:p>
        <w:p w14:paraId="5049740E" w14:textId="3E9CC5AB" w:rsidR="003D7696" w:rsidRPr="00DD1B58" w:rsidRDefault="00000000">
          <w:pPr>
            <w:pStyle w:val="TOC3"/>
            <w:rPr>
              <w:rFonts w:asciiTheme="minorHAnsi" w:eastAsiaTheme="minorEastAsia" w:hAnsiTheme="minorHAnsi" w:cstheme="minorBidi"/>
              <w:noProof/>
              <w:sz w:val="22"/>
              <w:lang w:val="en-US" w:eastAsia="en-GB" w:bidi="ar-SA"/>
            </w:rPr>
          </w:pPr>
          <w:hyperlink w:anchor="_Toc147090666" w:history="1">
            <w:r w:rsidR="003D7696" w:rsidRPr="00DD1B58">
              <w:rPr>
                <w:rStyle w:val="Hyperlink"/>
                <w:noProof/>
                <w:lang w:val="en-US"/>
              </w:rPr>
              <w:t>C</w:t>
            </w:r>
            <w:r w:rsidR="003D7696" w:rsidRPr="00DD1B58">
              <w:rPr>
                <w:rFonts w:asciiTheme="minorHAnsi" w:eastAsiaTheme="minorEastAsia" w:hAnsiTheme="minorHAnsi" w:cstheme="minorBidi"/>
                <w:noProof/>
                <w:sz w:val="22"/>
                <w:lang w:val="en-US" w:eastAsia="en-GB" w:bidi="ar-SA"/>
              </w:rPr>
              <w:tab/>
            </w:r>
            <w:r w:rsidR="003D7696" w:rsidRPr="00DD1B58">
              <w:rPr>
                <w:rStyle w:val="Hyperlink"/>
                <w:noProof/>
                <w:lang w:val="en-US"/>
              </w:rPr>
              <w:t>EDF NGL’s fire protection approach for fire areas containing safety-related plant performing the same safety function</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_Toc147090666 \h </w:instrText>
            </w:r>
            <w:r w:rsidR="003D7696" w:rsidRPr="00DD1B58">
              <w:rPr>
                <w:noProof/>
                <w:webHidden/>
                <w:lang w:val="en-US"/>
              </w:rPr>
            </w:r>
            <w:r w:rsidR="003D7696" w:rsidRPr="00DD1B58">
              <w:rPr>
                <w:noProof/>
                <w:webHidden/>
                <w:lang w:val="en-US"/>
              </w:rPr>
              <w:fldChar w:fldCharType="separate"/>
            </w:r>
            <w:r w:rsidR="00DF47DA">
              <w:rPr>
                <w:noProof/>
                <w:webHidden/>
                <w:lang w:val="en-US"/>
              </w:rPr>
              <w:t>318</w:t>
            </w:r>
            <w:r w:rsidR="003D7696" w:rsidRPr="00DD1B58">
              <w:rPr>
                <w:noProof/>
                <w:webHidden/>
                <w:lang w:val="en-US"/>
              </w:rPr>
              <w:fldChar w:fldCharType="end"/>
            </w:r>
          </w:hyperlink>
        </w:p>
        <w:p w14:paraId="2CF61E58" w14:textId="11E8372D" w:rsidR="003D7696" w:rsidRPr="00DD1B58" w:rsidRDefault="00000000">
          <w:pPr>
            <w:pStyle w:val="TOC3"/>
            <w:rPr>
              <w:rFonts w:asciiTheme="minorHAnsi" w:eastAsiaTheme="minorEastAsia" w:hAnsiTheme="minorHAnsi" w:cstheme="minorBidi"/>
              <w:noProof/>
              <w:sz w:val="22"/>
              <w:lang w:val="en-US" w:eastAsia="en-GB" w:bidi="ar-SA"/>
            </w:rPr>
          </w:pPr>
          <w:hyperlink w:anchor="_Toc147090667" w:history="1">
            <w:r w:rsidR="003D7696" w:rsidRPr="00DD1B58">
              <w:rPr>
                <w:rStyle w:val="Hyperlink"/>
                <w:noProof/>
                <w:lang w:val="en-US"/>
              </w:rPr>
              <w:t>D</w:t>
            </w:r>
            <w:r w:rsidR="003D7696" w:rsidRPr="00DD1B58">
              <w:rPr>
                <w:rFonts w:asciiTheme="minorHAnsi" w:eastAsiaTheme="minorEastAsia" w:hAnsiTheme="minorHAnsi" w:cstheme="minorBidi"/>
                <w:noProof/>
                <w:sz w:val="22"/>
                <w:lang w:val="en-US" w:eastAsia="en-GB" w:bidi="ar-SA"/>
              </w:rPr>
              <w:tab/>
            </w:r>
            <w:r w:rsidR="003D7696" w:rsidRPr="00DD1B58">
              <w:rPr>
                <w:rStyle w:val="Hyperlink"/>
                <w:bCs/>
                <w:noProof/>
                <w:lang w:val="en-US"/>
              </w:rPr>
              <w:t xml:space="preserve">NNB GenCo’s </w:t>
            </w:r>
            <w:r w:rsidR="003D7696" w:rsidRPr="00DD1B58">
              <w:rPr>
                <w:rStyle w:val="Hyperlink"/>
                <w:noProof/>
                <w:lang w:val="en-US"/>
              </w:rPr>
              <w:t>fire detection measures – Special risks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_Toc147090667 \h </w:instrText>
            </w:r>
            <w:r w:rsidR="003D7696" w:rsidRPr="00DD1B58">
              <w:rPr>
                <w:noProof/>
                <w:webHidden/>
                <w:lang w:val="en-US"/>
              </w:rPr>
            </w:r>
            <w:r w:rsidR="003D7696" w:rsidRPr="00DD1B58">
              <w:rPr>
                <w:noProof/>
                <w:webHidden/>
                <w:lang w:val="en-US"/>
              </w:rPr>
              <w:fldChar w:fldCharType="separate"/>
            </w:r>
            <w:r w:rsidR="00DF47DA">
              <w:rPr>
                <w:noProof/>
                <w:webHidden/>
                <w:lang w:val="en-US"/>
              </w:rPr>
              <w:t>320</w:t>
            </w:r>
            <w:r w:rsidR="003D7696" w:rsidRPr="00DD1B58">
              <w:rPr>
                <w:noProof/>
                <w:webHidden/>
                <w:lang w:val="en-US"/>
              </w:rPr>
              <w:fldChar w:fldCharType="end"/>
            </w:r>
          </w:hyperlink>
        </w:p>
        <w:p w14:paraId="78F6E6F7" w14:textId="5FD64AF5" w:rsidR="003D7696" w:rsidRPr="00DD1B58" w:rsidRDefault="00000000">
          <w:pPr>
            <w:pStyle w:val="TOC3"/>
            <w:rPr>
              <w:rFonts w:asciiTheme="minorHAnsi" w:eastAsiaTheme="minorEastAsia" w:hAnsiTheme="minorHAnsi" w:cstheme="minorBidi"/>
              <w:noProof/>
              <w:sz w:val="22"/>
              <w:lang w:val="en-US" w:eastAsia="en-GB" w:bidi="ar-SA"/>
            </w:rPr>
          </w:pPr>
          <w:hyperlink w:anchor="_Toc147090668" w:history="1">
            <w:r w:rsidR="003D7696" w:rsidRPr="00DD1B58">
              <w:rPr>
                <w:rStyle w:val="Hyperlink"/>
                <w:bCs/>
                <w:noProof/>
                <w:lang w:val="en-US"/>
              </w:rPr>
              <w:t>E</w:t>
            </w:r>
            <w:r w:rsidR="003D7696" w:rsidRPr="00DD1B58">
              <w:rPr>
                <w:rFonts w:asciiTheme="minorHAnsi" w:eastAsiaTheme="minorEastAsia" w:hAnsiTheme="minorHAnsi" w:cstheme="minorBidi"/>
                <w:noProof/>
                <w:sz w:val="22"/>
                <w:lang w:val="en-US" w:eastAsia="en-GB" w:bidi="ar-SA"/>
              </w:rPr>
              <w:tab/>
            </w:r>
            <w:r w:rsidR="003D7696" w:rsidRPr="00DD1B58">
              <w:rPr>
                <w:rStyle w:val="Hyperlink"/>
                <w:bCs/>
                <w:noProof/>
                <w:lang w:val="en-US"/>
              </w:rPr>
              <w:t>NNB GenCo’s list of regulations, codes and standards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_Toc147090668 \h </w:instrText>
            </w:r>
            <w:r w:rsidR="003D7696" w:rsidRPr="00DD1B58">
              <w:rPr>
                <w:noProof/>
                <w:webHidden/>
                <w:lang w:val="en-US"/>
              </w:rPr>
            </w:r>
            <w:r w:rsidR="003D7696" w:rsidRPr="00DD1B58">
              <w:rPr>
                <w:noProof/>
                <w:webHidden/>
                <w:lang w:val="en-US"/>
              </w:rPr>
              <w:fldChar w:fldCharType="separate"/>
            </w:r>
            <w:r w:rsidR="00DF47DA">
              <w:rPr>
                <w:noProof/>
                <w:webHidden/>
                <w:lang w:val="en-US"/>
              </w:rPr>
              <w:t>321</w:t>
            </w:r>
            <w:r w:rsidR="003D7696" w:rsidRPr="00DD1B58">
              <w:rPr>
                <w:noProof/>
                <w:webHidden/>
                <w:lang w:val="en-US"/>
              </w:rPr>
              <w:fldChar w:fldCharType="end"/>
            </w:r>
          </w:hyperlink>
        </w:p>
        <w:p w14:paraId="33077922" w14:textId="0303080A" w:rsidR="003D7696" w:rsidRPr="00DD1B58" w:rsidRDefault="00000000">
          <w:pPr>
            <w:pStyle w:val="TOC3"/>
            <w:rPr>
              <w:rFonts w:asciiTheme="minorHAnsi" w:eastAsiaTheme="minorEastAsia" w:hAnsiTheme="minorHAnsi" w:cstheme="minorBidi"/>
              <w:noProof/>
              <w:sz w:val="22"/>
              <w:lang w:val="en-US" w:eastAsia="en-GB" w:bidi="ar-SA"/>
            </w:rPr>
          </w:pPr>
          <w:hyperlink w:anchor="_Toc147090669" w:history="1">
            <w:r w:rsidR="003D7696" w:rsidRPr="00DD1B58">
              <w:rPr>
                <w:rStyle w:val="Hyperlink"/>
                <w:bCs/>
                <w:noProof/>
                <w:lang w:val="en-US"/>
              </w:rPr>
              <w:t>F</w:t>
            </w:r>
            <w:r w:rsidR="003D7696" w:rsidRPr="00DD1B58">
              <w:rPr>
                <w:rFonts w:asciiTheme="minorHAnsi" w:eastAsiaTheme="minorEastAsia" w:hAnsiTheme="minorHAnsi" w:cstheme="minorBidi"/>
                <w:noProof/>
                <w:sz w:val="22"/>
                <w:lang w:val="en-US" w:eastAsia="en-GB" w:bidi="ar-SA"/>
              </w:rPr>
              <w:tab/>
            </w:r>
            <w:r w:rsidR="003D7696" w:rsidRPr="00DD1B58">
              <w:rPr>
                <w:rStyle w:val="Hyperlink"/>
                <w:bCs/>
                <w:noProof/>
                <w:lang w:val="en-US"/>
              </w:rPr>
              <w:t>Abbreviations</w:t>
            </w:r>
            <w:r w:rsidR="003D7696" w:rsidRPr="00DD1B58">
              <w:rPr>
                <w:noProof/>
                <w:webHidden/>
                <w:lang w:val="en-US"/>
              </w:rPr>
              <w:tab/>
            </w:r>
            <w:r w:rsidR="003D7696" w:rsidRPr="00DD1B58">
              <w:rPr>
                <w:noProof/>
                <w:webHidden/>
                <w:lang w:val="en-US"/>
              </w:rPr>
              <w:fldChar w:fldCharType="begin"/>
            </w:r>
            <w:r w:rsidR="003D7696" w:rsidRPr="00DD1B58">
              <w:rPr>
                <w:noProof/>
                <w:webHidden/>
                <w:lang w:val="en-US"/>
              </w:rPr>
              <w:instrText xml:space="preserve"> PAGEREF _Toc147090669 \h </w:instrText>
            </w:r>
            <w:r w:rsidR="003D7696" w:rsidRPr="00DD1B58">
              <w:rPr>
                <w:noProof/>
                <w:webHidden/>
                <w:lang w:val="en-US"/>
              </w:rPr>
            </w:r>
            <w:r w:rsidR="003D7696" w:rsidRPr="00DD1B58">
              <w:rPr>
                <w:noProof/>
                <w:webHidden/>
                <w:lang w:val="en-US"/>
              </w:rPr>
              <w:fldChar w:fldCharType="separate"/>
            </w:r>
            <w:r w:rsidR="00DF47DA">
              <w:rPr>
                <w:noProof/>
                <w:webHidden/>
                <w:lang w:val="en-US"/>
              </w:rPr>
              <w:t>324</w:t>
            </w:r>
            <w:r w:rsidR="003D7696" w:rsidRPr="00DD1B58">
              <w:rPr>
                <w:noProof/>
                <w:webHidden/>
                <w:lang w:val="en-US"/>
              </w:rPr>
              <w:fldChar w:fldCharType="end"/>
            </w:r>
          </w:hyperlink>
        </w:p>
        <w:p w14:paraId="7F9A9962" w14:textId="40BEDA4E" w:rsidR="007C7963" w:rsidRPr="00DD1B58" w:rsidRDefault="007C7963">
          <w:pPr>
            <w:rPr>
              <w:lang w:val="en-US"/>
            </w:rPr>
          </w:pPr>
          <w:r w:rsidRPr="00DD1B58">
            <w:rPr>
              <w:b/>
              <w:bCs/>
              <w:noProof/>
              <w:lang w:val="en-US"/>
            </w:rPr>
            <w:fldChar w:fldCharType="end"/>
          </w:r>
        </w:p>
      </w:sdtContent>
    </w:sdt>
    <w:p w14:paraId="68FB422E" w14:textId="77777777" w:rsidR="00B45865" w:rsidRPr="00DD1B58" w:rsidRDefault="00B45865" w:rsidP="00B45865">
      <w:pPr>
        <w:rPr>
          <w:lang w:val="en-US"/>
        </w:rPr>
        <w:sectPr w:rsidR="00B45865" w:rsidRPr="00DD1B58" w:rsidSect="00B82646">
          <w:pgSz w:w="11906" w:h="16838" w:code="9"/>
          <w:pgMar w:top="1440" w:right="1080" w:bottom="1440" w:left="1080" w:header="397" w:footer="397" w:gutter="0"/>
          <w:cols w:space="312"/>
          <w:docGrid w:linePitch="360"/>
        </w:sectPr>
      </w:pPr>
    </w:p>
    <w:p w14:paraId="0A26E01E" w14:textId="37D60251" w:rsidR="00D34C6F" w:rsidRPr="00DD1B58" w:rsidRDefault="0081751F" w:rsidP="009E0DF2">
      <w:pPr>
        <w:pStyle w:val="Heading1"/>
        <w:numPr>
          <w:ilvl w:val="0"/>
          <w:numId w:val="0"/>
        </w:numPr>
        <w:ind w:left="360" w:hanging="360"/>
        <w:rPr>
          <w:lang w:val="en-US"/>
        </w:rPr>
      </w:pPr>
      <w:bookmarkStart w:id="3" w:name="_Toc147090619"/>
      <w:r w:rsidRPr="00DD1B58">
        <w:rPr>
          <w:lang w:val="en-US"/>
        </w:rPr>
        <w:lastRenderedPageBreak/>
        <w:t>Executive Summary</w:t>
      </w:r>
      <w:bookmarkEnd w:id="3"/>
    </w:p>
    <w:p w14:paraId="1D7C6A66" w14:textId="77777777" w:rsidR="009E0DF2" w:rsidRPr="00DD1B58" w:rsidRDefault="009E0DF2" w:rsidP="009E0DF2">
      <w:pPr>
        <w:spacing w:after="0" w:line="240" w:lineRule="auto"/>
        <w:rPr>
          <w:lang w:val="en-US"/>
        </w:rPr>
      </w:pPr>
      <w:r w:rsidRPr="00DD1B58">
        <w:rPr>
          <w:lang w:val="en-US"/>
        </w:rPr>
        <w:t xml:space="preserve">The European Union’s Nuclear Safety Directive requires the member states to organise a </w:t>
      </w:r>
    </w:p>
    <w:p w14:paraId="490A8BB8" w14:textId="6F4D99AE" w:rsidR="009E0DF2" w:rsidRPr="00DD1B58" w:rsidRDefault="009E0DF2" w:rsidP="009E0DF2">
      <w:pPr>
        <w:spacing w:after="0" w:line="240" w:lineRule="auto"/>
        <w:rPr>
          <w:lang w:val="en-US"/>
        </w:rPr>
      </w:pPr>
      <w:r w:rsidRPr="00DD1B58">
        <w:rPr>
          <w:lang w:val="en-US"/>
        </w:rPr>
        <w:t>topical peer review (TPR) every six years. The UK participated in the first topical peer review, which started in 2017 and covered ageing management at nuclear power plants and research reactors as a member of the European Nuclear Safety Regulators Group (ENSREG). Following the UK’s departure from the European Union, the UK is an observer country at the European Nuclear Safety Regulators Group (ENSREG) and was invited to voluntarily participate in the second topical peer review, which covers fire protection in nuclear installations. The first stage of the peer review is for each participant country to produce a national assessment report. This is the UK National Assessment Report, which will be used in the later stages of the peer review.</w:t>
      </w:r>
    </w:p>
    <w:p w14:paraId="349EE251" w14:textId="77777777" w:rsidR="009E0DF2" w:rsidRPr="00DD1B58" w:rsidRDefault="009E0DF2" w:rsidP="009E0DF2">
      <w:pPr>
        <w:spacing w:after="0" w:line="240" w:lineRule="auto"/>
        <w:rPr>
          <w:lang w:val="en-US"/>
        </w:rPr>
      </w:pPr>
    </w:p>
    <w:p w14:paraId="4E5D1A69" w14:textId="77777777" w:rsidR="009E0DF2" w:rsidRPr="00DD1B58" w:rsidRDefault="009E0DF2" w:rsidP="009E0DF2">
      <w:pPr>
        <w:spacing w:after="0" w:line="240" w:lineRule="auto"/>
        <w:rPr>
          <w:lang w:val="en-US"/>
        </w:rPr>
      </w:pPr>
      <w:r w:rsidRPr="00DD1B58">
        <w:rPr>
          <w:lang w:val="en-US"/>
        </w:rPr>
        <w:t>In advance of the second topical peer review, the Western European Nuclear Regulators Association (WENRA) developed a technical specification for the national assessment reports, to ensure that they are all produced to a common standard. This report has been produced in accordance with that specification which includes a well-defined content and identifies report sections to be written by licensees and by regulators. The sections have been amalgamated by ONR into a single UK national report which includes ONR’s regulatory assessment and overall conclusions.</w:t>
      </w:r>
    </w:p>
    <w:p w14:paraId="64CB17F1" w14:textId="77777777" w:rsidR="009E0DF2" w:rsidRPr="00DD1B58" w:rsidRDefault="009E0DF2" w:rsidP="009E0DF2">
      <w:pPr>
        <w:spacing w:after="0" w:line="240" w:lineRule="auto"/>
        <w:rPr>
          <w:lang w:val="en-US"/>
        </w:rPr>
      </w:pPr>
    </w:p>
    <w:p w14:paraId="5E6264AC" w14:textId="77777777" w:rsidR="009E0DF2" w:rsidRPr="00DD1B58" w:rsidRDefault="009E0DF2" w:rsidP="009E0DF2">
      <w:pPr>
        <w:spacing w:after="0" w:line="240" w:lineRule="auto"/>
        <w:rPr>
          <w:lang w:val="en-US"/>
        </w:rPr>
      </w:pPr>
      <w:r w:rsidRPr="00DD1B58">
        <w:rPr>
          <w:lang w:val="en-US"/>
        </w:rPr>
        <w:t xml:space="preserve">The scope of this topical peer review is significantly broader than the first as, in addition to nuclear power plants and research reactors, it extends to spent fuel storage facilities, enrichment plants, nuclear fuel fabrication plants, reprocessing plants, and storage facilities for radioactive waste that are on the same site and are directly related to the aforementioned types of nuclear installations. To preserve the feasibility of the exercise, the technical specification acknowledges the need for a selection rather than all qualifying installations reporting in the second review. It provides guidelines for the selection to cover, where applicable, all the installation types in scope and all stages in the lifecycle including construction, operation and decommissioning. It also expects focus on installations which present significant radiological risks from fire, and the consideration of similarities across installations for transferability of insights when selecting the installations in scope of the report. </w:t>
      </w:r>
    </w:p>
    <w:p w14:paraId="7FBCF871" w14:textId="77777777" w:rsidR="009E0DF2" w:rsidRPr="00DD1B58" w:rsidRDefault="009E0DF2" w:rsidP="009E0DF2">
      <w:pPr>
        <w:spacing w:after="0" w:line="240" w:lineRule="auto"/>
        <w:rPr>
          <w:lang w:val="en-US"/>
        </w:rPr>
      </w:pPr>
    </w:p>
    <w:p w14:paraId="0F93FEB7" w14:textId="7A48A5CF" w:rsidR="009E0DF2" w:rsidRPr="00DD1B58" w:rsidRDefault="009E0DF2" w:rsidP="009E0DF2">
      <w:pPr>
        <w:spacing w:after="0" w:line="240" w:lineRule="auto"/>
        <w:rPr>
          <w:lang w:val="en-US"/>
        </w:rPr>
      </w:pPr>
      <w:r w:rsidRPr="00DD1B58">
        <w:rPr>
          <w:lang w:val="en-US"/>
        </w:rPr>
        <w:t xml:space="preserve">The scope of this report is nuclear power reactors owned by EDF Nuclear Generation Limited (EDF NGL), represented by Heysham 2, Hunterston B and Sizewell B including its dry spent fuel store. It also includes the twin reactors currently under construction at Hinkley Point C owned by EDF Nuclear New Build Generation Company (NNB GenCo), Dounreay’s Prototype Fast Reactor Complex (including the irradiated Fuel Cave), Urenco UK Ltd.’s Enrichment facilities at Capenhurst, Springfields Fuels Limited’s fuel fabrication plants, and </w:t>
      </w:r>
      <w:r w:rsidR="00D7676F" w:rsidRPr="00DD1B58">
        <w:rPr>
          <w:lang w:val="en-US"/>
        </w:rPr>
        <w:t>Sellafield Ltd.</w:t>
      </w:r>
      <w:r w:rsidRPr="00DD1B58">
        <w:rPr>
          <w:lang w:val="en-US"/>
        </w:rPr>
        <w:t>’s Magnox reprocessing plant. Finally</w:t>
      </w:r>
      <w:r w:rsidR="00B055D9" w:rsidRPr="00DD1B58">
        <w:rPr>
          <w:lang w:val="en-US"/>
        </w:rPr>
        <w:t>,</w:t>
      </w:r>
      <w:r w:rsidRPr="00DD1B58">
        <w:rPr>
          <w:lang w:val="en-US"/>
        </w:rPr>
        <w:t xml:space="preserve"> a selection of </w:t>
      </w:r>
      <w:r w:rsidR="00D7676F" w:rsidRPr="00DD1B58">
        <w:rPr>
          <w:lang w:val="en-US"/>
        </w:rPr>
        <w:t>Sellafield Ltd.</w:t>
      </w:r>
      <w:r w:rsidRPr="00DD1B58">
        <w:rPr>
          <w:lang w:val="en-US"/>
        </w:rPr>
        <w:t>’s installations, namely the High Level Waste Plant, Waste Vitrification Plant and Encapsulation Plants, Sellafield Product and Residues Store (SPRS), the Box Encapsulation Plant Product Store - Direct Import Facility (BEPPS-DIF) and Pile 1 are also included.</w:t>
      </w:r>
    </w:p>
    <w:p w14:paraId="3B9F691B" w14:textId="77777777" w:rsidR="009E0DF2" w:rsidRPr="00DD1B58" w:rsidRDefault="009E0DF2" w:rsidP="009E0DF2">
      <w:pPr>
        <w:spacing w:after="0" w:line="240" w:lineRule="auto"/>
        <w:rPr>
          <w:lang w:val="en-US"/>
        </w:rPr>
      </w:pPr>
    </w:p>
    <w:p w14:paraId="6D8FF43E" w14:textId="4CADF9A0" w:rsidR="009E0DF2" w:rsidRPr="00DD1B58" w:rsidRDefault="009E0DF2" w:rsidP="009E0DF2">
      <w:pPr>
        <w:spacing w:after="0" w:line="240" w:lineRule="auto"/>
        <w:rPr>
          <w:lang w:val="en-US"/>
        </w:rPr>
      </w:pPr>
      <w:r w:rsidRPr="00DD1B58">
        <w:rPr>
          <w:lang w:val="en-US"/>
        </w:rPr>
        <w:t xml:space="preserve">This report describes each of the companies’ fire safety assessment methodologies, and their implementation of the fire protection concept, including fire prevention measures, active fire protection and passive fire protection. ONR has in turn assessed the licensees’ </w:t>
      </w:r>
      <w:r w:rsidRPr="00DD1B58">
        <w:rPr>
          <w:lang w:val="en-US"/>
        </w:rPr>
        <w:lastRenderedPageBreak/>
        <w:t xml:space="preserve">with reference to UK regulatory requirements and expectations, which implement international standards for fire protection in nuclear installations, nuclear fire safety and internal hazards. ONR has also used regulatory intelligence from regulating fire safety from a life protection perspective, and identified useful transferable learning to nuclear safety, namely the importance of proactive management of fire detection and alarm system ageing and obsolescence, and maintainability of fire protection systems such as fire dampers. </w:t>
      </w:r>
    </w:p>
    <w:p w14:paraId="4699DAA5" w14:textId="77777777" w:rsidR="009E0DF2" w:rsidRPr="00DD1B58" w:rsidRDefault="009E0DF2" w:rsidP="009E0DF2">
      <w:pPr>
        <w:spacing w:after="0" w:line="240" w:lineRule="auto"/>
        <w:rPr>
          <w:lang w:val="en-US"/>
        </w:rPr>
      </w:pPr>
    </w:p>
    <w:p w14:paraId="0611ED91" w14:textId="4F27C95F" w:rsidR="009E0DF2" w:rsidRPr="00DD1B58" w:rsidRDefault="009E0DF2" w:rsidP="009E0DF2">
      <w:pPr>
        <w:spacing w:after="0" w:line="240" w:lineRule="auto"/>
        <w:rPr>
          <w:lang w:val="en-US"/>
        </w:rPr>
      </w:pPr>
      <w:r w:rsidRPr="00DD1B58">
        <w:rPr>
          <w:lang w:val="en-US"/>
        </w:rPr>
        <w:t xml:space="preserve">Overall, ONR’s assessment has found that the UK installations reporting in this second review have adequate fire safety analysis and fire protection arrangements commensurate with their radiological risks from fire, the potential for fire to impact nuclear safety systems and the stages that each installation is in its lifecycle. Nevertheless, beneficial improvements have been found in a number of areas, namely, the implementation of methodologies for proportionate but systematic screening and analysis of hazard combinations, including fire, and the enhancement of linkages between the extant management of fire loading for life protection and the nuclear safety arrangements in decommissioning facilities. </w:t>
      </w:r>
      <w:r w:rsidR="00CC01F0" w:rsidRPr="00DD1B58">
        <w:rPr>
          <w:lang w:val="en-US"/>
        </w:rPr>
        <w:t>ONR has consequently raised actions for the licensees to implement improvements, formally tracked to completion through ONR regulatory issues and regulatory interventions.</w:t>
      </w:r>
    </w:p>
    <w:p w14:paraId="78D3843A" w14:textId="77777777" w:rsidR="009E0DF2" w:rsidRPr="00DD1B58" w:rsidRDefault="009E0DF2" w:rsidP="009E0DF2">
      <w:pPr>
        <w:spacing w:after="0" w:line="240" w:lineRule="auto"/>
        <w:rPr>
          <w:lang w:val="en-US"/>
        </w:rPr>
      </w:pPr>
    </w:p>
    <w:p w14:paraId="658499E2" w14:textId="5E62BA18" w:rsidR="009E0DF2" w:rsidRPr="00DD1B58" w:rsidRDefault="009E0DF2" w:rsidP="009E0DF2">
      <w:pPr>
        <w:spacing w:after="0" w:line="240" w:lineRule="auto"/>
        <w:rPr>
          <w:lang w:val="en-US"/>
        </w:rPr>
      </w:pPr>
      <w:r w:rsidRPr="00DD1B58">
        <w:rPr>
          <w:lang w:val="en-US"/>
        </w:rPr>
        <w:t>ONR considers</w:t>
      </w:r>
      <w:r w:rsidR="00B62108" w:rsidRPr="00DD1B58">
        <w:rPr>
          <w:lang w:val="en-US"/>
        </w:rPr>
        <w:t xml:space="preserve"> that</w:t>
      </w:r>
      <w:r w:rsidRPr="00DD1B58">
        <w:rPr>
          <w:lang w:val="en-US"/>
        </w:rPr>
        <w:t xml:space="preserve"> the integrated consideration of fire safety for life protection in the report has enabled the sharing of valuable learning in additional areas, such as fire damper maintainability issues and fire detection and alarm system obsolescence. </w:t>
      </w:r>
      <w:r w:rsidR="00CC01F0" w:rsidRPr="00DD1B58">
        <w:rPr>
          <w:lang w:val="en-US"/>
        </w:rPr>
        <w:t xml:space="preserve">The issues are the subject of formal regulatory follow up through ONR regulatory issues. While they </w:t>
      </w:r>
      <w:r w:rsidRPr="00DD1B58">
        <w:rPr>
          <w:lang w:val="en-US"/>
        </w:rPr>
        <w:t xml:space="preserve">did not impact nuclear safety, they offer insights into fire system challenges which should be highlighted to ensure that high levels of defence in depth are </w:t>
      </w:r>
      <w:r w:rsidR="00F82D8C" w:rsidRPr="00DD1B58">
        <w:rPr>
          <w:lang w:val="en-US"/>
        </w:rPr>
        <w:t>consistently</w:t>
      </w:r>
      <w:r w:rsidRPr="00DD1B58">
        <w:rPr>
          <w:lang w:val="en-US"/>
        </w:rPr>
        <w:t xml:space="preserve"> maintained.</w:t>
      </w:r>
    </w:p>
    <w:p w14:paraId="37025416" w14:textId="77777777" w:rsidR="009E0DF2" w:rsidRPr="00DD1B58" w:rsidRDefault="009E0DF2" w:rsidP="009E0DF2">
      <w:pPr>
        <w:spacing w:after="0" w:line="240" w:lineRule="auto"/>
        <w:rPr>
          <w:lang w:val="en-US"/>
        </w:rPr>
      </w:pPr>
    </w:p>
    <w:p w14:paraId="6F60A8C8" w14:textId="71C0ECFB" w:rsidR="0081751F" w:rsidRPr="00DD1B58" w:rsidRDefault="009E0DF2" w:rsidP="009E0DF2">
      <w:pPr>
        <w:spacing w:after="0" w:line="240" w:lineRule="auto"/>
        <w:rPr>
          <w:lang w:val="en-US"/>
        </w:rPr>
      </w:pPr>
      <w:r w:rsidRPr="00DD1B58">
        <w:rPr>
          <w:lang w:val="en-US"/>
        </w:rPr>
        <w:t>This report will be used as the basis for the next stage of the TPR, when it will be peer reviewed by the other states participating in the TPR, after which the programmes for improvement for the licensees will be finalised</w:t>
      </w:r>
      <w:r w:rsidR="0081751F" w:rsidRPr="00DD1B58">
        <w:rPr>
          <w:lang w:val="en-US"/>
        </w:rPr>
        <w:t>.</w:t>
      </w:r>
    </w:p>
    <w:p w14:paraId="1070869D" w14:textId="77777777" w:rsidR="00DB3279" w:rsidRPr="00DD1B58" w:rsidRDefault="00DB3279">
      <w:pPr>
        <w:spacing w:after="0" w:line="240" w:lineRule="auto"/>
        <w:rPr>
          <w:lang w:val="en-US"/>
        </w:rPr>
      </w:pPr>
      <w:r w:rsidRPr="00DD1B58">
        <w:rPr>
          <w:lang w:val="en-US"/>
        </w:rPr>
        <w:br w:type="page"/>
      </w:r>
    </w:p>
    <w:p w14:paraId="47E8F2DA" w14:textId="138B16FE" w:rsidR="00D34C6F" w:rsidRPr="00DD1B58" w:rsidRDefault="00D34C6F" w:rsidP="0081751F">
      <w:pPr>
        <w:pStyle w:val="Heading1"/>
        <w:rPr>
          <w:lang w:val="en-US"/>
        </w:rPr>
      </w:pPr>
      <w:bookmarkStart w:id="4" w:name="_Toc147090620"/>
      <w:r w:rsidRPr="00DD1B58">
        <w:rPr>
          <w:lang w:val="en-US"/>
        </w:rPr>
        <w:lastRenderedPageBreak/>
        <w:t xml:space="preserve">General </w:t>
      </w:r>
      <w:r w:rsidR="00386EED" w:rsidRPr="00DD1B58">
        <w:rPr>
          <w:lang w:val="en-US"/>
        </w:rPr>
        <w:t>i</w:t>
      </w:r>
      <w:r w:rsidRPr="00DD1B58">
        <w:rPr>
          <w:lang w:val="en-US"/>
        </w:rPr>
        <w:t>nformation</w:t>
      </w:r>
      <w:bookmarkEnd w:id="4"/>
      <w:r w:rsidRPr="00DD1B58">
        <w:rPr>
          <w:lang w:val="en-US"/>
        </w:rPr>
        <w:t xml:space="preserve"> </w:t>
      </w:r>
    </w:p>
    <w:p w14:paraId="4EB9696A" w14:textId="77777777" w:rsidR="00D34C6F" w:rsidRPr="00DD1B58" w:rsidRDefault="00D34C6F" w:rsidP="00327321">
      <w:pPr>
        <w:pStyle w:val="Heading2"/>
        <w:rPr>
          <w:lang w:val="en-US"/>
        </w:rPr>
      </w:pPr>
      <w:bookmarkStart w:id="5" w:name="_Toc147090621"/>
      <w:r w:rsidRPr="00DD1B58">
        <w:rPr>
          <w:lang w:val="en-US"/>
        </w:rPr>
        <w:t>Nuclear installations identification</w:t>
      </w:r>
      <w:bookmarkEnd w:id="5"/>
      <w:r w:rsidRPr="00DD1B58">
        <w:rPr>
          <w:lang w:val="en-US"/>
        </w:rPr>
        <w:t xml:space="preserve"> </w:t>
      </w:r>
    </w:p>
    <w:p w14:paraId="3A0DE7A4" w14:textId="005F338B" w:rsidR="00D34C6F" w:rsidRPr="00DD1B58" w:rsidRDefault="00D34C6F" w:rsidP="001B13EA">
      <w:pPr>
        <w:pStyle w:val="Heading4"/>
        <w:numPr>
          <w:ilvl w:val="5"/>
          <w:numId w:val="3"/>
        </w:numPr>
        <w:rPr>
          <w:lang w:val="en-US"/>
        </w:rPr>
      </w:pPr>
      <w:r w:rsidRPr="00DD1B58">
        <w:rPr>
          <w:lang w:val="en-US"/>
        </w:rPr>
        <w:t>Qualifying nuclear installations</w:t>
      </w:r>
    </w:p>
    <w:p w14:paraId="427C5A24" w14:textId="58C7303F" w:rsidR="006E4D5A" w:rsidRPr="00DD1B58" w:rsidRDefault="008E62BD" w:rsidP="006E4D5A">
      <w:pPr>
        <w:rPr>
          <w:lang w:val="en-US"/>
        </w:rPr>
      </w:pPr>
      <w:r w:rsidRPr="00DD1B58">
        <w:rPr>
          <w:lang w:val="en-US"/>
        </w:rPr>
        <w:t xml:space="preserve">The </w:t>
      </w:r>
      <w:r w:rsidR="00D005D8" w:rsidRPr="00DD1B58">
        <w:rPr>
          <w:lang w:val="en-US"/>
        </w:rPr>
        <w:t>United Kingdom</w:t>
      </w:r>
      <w:r w:rsidR="00216652" w:rsidRPr="00DD1B58">
        <w:rPr>
          <w:lang w:val="en-US"/>
        </w:rPr>
        <w:t>’s</w:t>
      </w:r>
      <w:r w:rsidR="00D005D8" w:rsidRPr="00DD1B58">
        <w:rPr>
          <w:lang w:val="en-US"/>
        </w:rPr>
        <w:t xml:space="preserve"> (</w:t>
      </w:r>
      <w:r w:rsidRPr="00DD1B58">
        <w:rPr>
          <w:lang w:val="en-US"/>
        </w:rPr>
        <w:t>UK</w:t>
      </w:r>
      <w:r w:rsidR="00D005D8" w:rsidRPr="00DD1B58">
        <w:rPr>
          <w:lang w:val="en-US"/>
        </w:rPr>
        <w:t>)</w:t>
      </w:r>
      <w:r w:rsidR="002F073F" w:rsidRPr="00DD1B58">
        <w:rPr>
          <w:lang w:val="en-US"/>
        </w:rPr>
        <w:t xml:space="preserve"> </w:t>
      </w:r>
      <w:r w:rsidR="00784641" w:rsidRPr="00DD1B58">
        <w:rPr>
          <w:lang w:val="en-US"/>
        </w:rPr>
        <w:t>list of</w:t>
      </w:r>
      <w:r w:rsidR="002F073F" w:rsidRPr="00DD1B58">
        <w:rPr>
          <w:lang w:val="en-US"/>
        </w:rPr>
        <w:t xml:space="preserve"> </w:t>
      </w:r>
      <w:r w:rsidR="00784641" w:rsidRPr="00DD1B58">
        <w:rPr>
          <w:lang w:val="en-US"/>
        </w:rPr>
        <w:t xml:space="preserve">qualifying installations, </w:t>
      </w:r>
      <w:r w:rsidR="00216652" w:rsidRPr="00DD1B58">
        <w:rPr>
          <w:lang w:val="en-US"/>
        </w:rPr>
        <w:t>i.e.</w:t>
      </w:r>
      <w:r w:rsidR="00784641" w:rsidRPr="00DD1B58">
        <w:rPr>
          <w:lang w:val="en-US"/>
        </w:rPr>
        <w:t xml:space="preserve"> installations </w:t>
      </w:r>
      <w:r w:rsidR="002B3C9F" w:rsidRPr="00DD1B58">
        <w:rPr>
          <w:lang w:val="en-US"/>
        </w:rPr>
        <w:t>meeting</w:t>
      </w:r>
      <w:r w:rsidR="00A94143" w:rsidRPr="00DD1B58">
        <w:rPr>
          <w:lang w:val="en-US"/>
        </w:rPr>
        <w:t xml:space="preserve"> the criterion of</w:t>
      </w:r>
      <w:r w:rsidR="00216652" w:rsidRPr="00DD1B58">
        <w:rPr>
          <w:lang w:val="en-US"/>
        </w:rPr>
        <w:t xml:space="preserve"> </w:t>
      </w:r>
      <w:r w:rsidR="009E4052" w:rsidRPr="00DD1B58">
        <w:rPr>
          <w:lang w:val="en-US"/>
        </w:rPr>
        <w:t>Directive 2014/87/EURATOM</w:t>
      </w:r>
      <w:r w:rsidR="00A94143" w:rsidRPr="00DD1B58">
        <w:rPr>
          <w:lang w:val="en-US"/>
        </w:rPr>
        <w:t>,</w:t>
      </w:r>
      <w:r w:rsidR="002F073F" w:rsidRPr="00DD1B58">
        <w:rPr>
          <w:lang w:val="en-US"/>
        </w:rPr>
        <w:t xml:space="preserve"> includes nuclear power plants</w:t>
      </w:r>
      <w:r w:rsidR="00DF52F4" w:rsidRPr="00DD1B58">
        <w:rPr>
          <w:lang w:val="en-US"/>
        </w:rPr>
        <w:t xml:space="preserve"> </w:t>
      </w:r>
      <w:r w:rsidR="00552DB8" w:rsidRPr="00DD1B58">
        <w:rPr>
          <w:lang w:val="en-US"/>
        </w:rPr>
        <w:t>in</w:t>
      </w:r>
      <w:r w:rsidR="00DF52F4" w:rsidRPr="00DD1B58">
        <w:rPr>
          <w:lang w:val="en-US"/>
        </w:rPr>
        <w:t xml:space="preserve"> construction and operation, installations under</w:t>
      </w:r>
      <w:r w:rsidR="008B3097" w:rsidRPr="00DD1B58">
        <w:rPr>
          <w:lang w:val="en-US"/>
        </w:rPr>
        <w:t>going</w:t>
      </w:r>
      <w:r w:rsidR="00DF52F4" w:rsidRPr="00DD1B58">
        <w:rPr>
          <w:lang w:val="en-US"/>
        </w:rPr>
        <w:t xml:space="preserve"> decommissioning,</w:t>
      </w:r>
      <w:r w:rsidR="002F073F" w:rsidRPr="00DD1B58">
        <w:rPr>
          <w:lang w:val="en-US"/>
        </w:rPr>
        <w:t xml:space="preserve"> </w:t>
      </w:r>
      <w:r w:rsidR="00EB6DB3" w:rsidRPr="00DD1B58">
        <w:rPr>
          <w:lang w:val="en-US"/>
        </w:rPr>
        <w:t>spent fuel storage facilities, fuel cycle facilities</w:t>
      </w:r>
      <w:r w:rsidR="0054458D" w:rsidRPr="00DD1B58">
        <w:rPr>
          <w:lang w:val="en-US"/>
        </w:rPr>
        <w:t xml:space="preserve"> and waste storage and management facilities. </w:t>
      </w:r>
      <w:r w:rsidR="00C84503" w:rsidRPr="00DD1B58">
        <w:rPr>
          <w:lang w:val="en-US"/>
        </w:rPr>
        <w:t xml:space="preserve">The </w:t>
      </w:r>
      <w:r w:rsidR="006163B6" w:rsidRPr="00DD1B58">
        <w:rPr>
          <w:lang w:val="en-US"/>
        </w:rPr>
        <w:t>full</w:t>
      </w:r>
      <w:r w:rsidR="00187942" w:rsidRPr="00DD1B58">
        <w:rPr>
          <w:lang w:val="en-US"/>
        </w:rPr>
        <w:t xml:space="preserve"> list of </w:t>
      </w:r>
      <w:r w:rsidR="00D005D8" w:rsidRPr="00DD1B58">
        <w:rPr>
          <w:lang w:val="en-US"/>
        </w:rPr>
        <w:t xml:space="preserve">qualifying installations for </w:t>
      </w:r>
      <w:r w:rsidR="00552DB8" w:rsidRPr="00DD1B58">
        <w:rPr>
          <w:lang w:val="en-US"/>
        </w:rPr>
        <w:t>consideration</w:t>
      </w:r>
      <w:r w:rsidR="00A94143" w:rsidRPr="00DD1B58">
        <w:rPr>
          <w:lang w:val="en-US"/>
        </w:rPr>
        <w:t xml:space="preserve"> </w:t>
      </w:r>
      <w:r w:rsidR="0094769C" w:rsidRPr="00DD1B58">
        <w:rPr>
          <w:lang w:val="en-US"/>
        </w:rPr>
        <w:t xml:space="preserve">in TPR </w:t>
      </w:r>
      <w:r w:rsidR="00187942" w:rsidRPr="00DD1B58">
        <w:rPr>
          <w:lang w:val="en-US"/>
        </w:rPr>
        <w:t xml:space="preserve">is provided in </w:t>
      </w:r>
      <w:r w:rsidR="00BE0197" w:rsidRPr="00DD1B58">
        <w:rPr>
          <w:lang w:val="en-US"/>
        </w:rPr>
        <w:t xml:space="preserve">Appendix </w:t>
      </w:r>
      <w:r w:rsidR="00BE0197" w:rsidRPr="00DD1B58">
        <w:rPr>
          <w:lang w:val="en-US"/>
        </w:rPr>
        <w:fldChar w:fldCharType="begin"/>
      </w:r>
      <w:r w:rsidR="00BE0197" w:rsidRPr="00DD1B58">
        <w:rPr>
          <w:lang w:val="en-US"/>
        </w:rPr>
        <w:instrText xml:space="preserve"> REF _Ref140160834 \n \h </w:instrText>
      </w:r>
      <w:r w:rsidR="00BE0197" w:rsidRPr="00DD1B58">
        <w:rPr>
          <w:lang w:val="en-US"/>
        </w:rPr>
      </w:r>
      <w:r w:rsidR="00BE0197" w:rsidRPr="00DD1B58">
        <w:rPr>
          <w:lang w:val="en-US"/>
        </w:rPr>
        <w:fldChar w:fldCharType="separate"/>
      </w:r>
      <w:r w:rsidR="00DF47DA">
        <w:rPr>
          <w:lang w:val="en-US"/>
        </w:rPr>
        <w:t>A</w:t>
      </w:r>
      <w:r w:rsidR="00BE0197" w:rsidRPr="00DD1B58">
        <w:rPr>
          <w:lang w:val="en-US"/>
        </w:rPr>
        <w:fldChar w:fldCharType="end"/>
      </w:r>
      <w:r w:rsidR="00F05EE3" w:rsidRPr="00DD1B58">
        <w:rPr>
          <w:lang w:val="en-US"/>
        </w:rPr>
        <w:t>.</w:t>
      </w:r>
    </w:p>
    <w:p w14:paraId="379AEF92" w14:textId="3F33AC96" w:rsidR="00D34C6F" w:rsidRPr="00DD1B58" w:rsidRDefault="00D34C6F" w:rsidP="00003C66">
      <w:pPr>
        <w:pStyle w:val="Heading4"/>
        <w:numPr>
          <w:ilvl w:val="5"/>
          <w:numId w:val="3"/>
        </w:numPr>
        <w:rPr>
          <w:lang w:val="en-US"/>
        </w:rPr>
      </w:pPr>
      <w:bookmarkStart w:id="6" w:name="_Ref136529956"/>
      <w:bookmarkStart w:id="7" w:name="_Ref135231533"/>
      <w:r w:rsidRPr="00DD1B58">
        <w:rPr>
          <w:lang w:val="en-US"/>
        </w:rPr>
        <w:t xml:space="preserve">National selection of installations for </w:t>
      </w:r>
      <w:r w:rsidR="007F35D9" w:rsidRPr="00DD1B58">
        <w:rPr>
          <w:lang w:val="en-US"/>
        </w:rPr>
        <w:t>TPR 2</w:t>
      </w:r>
      <w:r w:rsidRPr="00DD1B58">
        <w:rPr>
          <w:lang w:val="en-US"/>
        </w:rPr>
        <w:t xml:space="preserve"> and justification</w:t>
      </w:r>
      <w:bookmarkEnd w:id="6"/>
      <w:r w:rsidRPr="00DD1B58">
        <w:rPr>
          <w:lang w:val="en-US"/>
        </w:rPr>
        <w:t xml:space="preserve"> </w:t>
      </w:r>
      <w:bookmarkEnd w:id="7"/>
    </w:p>
    <w:p w14:paraId="14D018C9" w14:textId="42440AE6" w:rsidR="00A83939" w:rsidRPr="00DD1B58" w:rsidRDefault="00A83939" w:rsidP="00A83939">
      <w:pPr>
        <w:rPr>
          <w:lang w:val="en-US"/>
        </w:rPr>
      </w:pPr>
      <w:r w:rsidRPr="00DD1B58">
        <w:rPr>
          <w:lang w:val="en-US"/>
        </w:rPr>
        <w:t xml:space="preserve">ONR has selected a sample of installations for licensees in Great Britain (GB) to perform self-assessment in accordance with the TPR technical specification and provide submissions for the UK National Assessment Report (NAR). The selection of the UK sample from the full list of qualifying installations was undertaken according to the following approach, developed from the guidelines in section 00.3 of the TPR Technical Specification </w:t>
      </w:r>
      <w:sdt>
        <w:sdtPr>
          <w:rPr>
            <w:lang w:val="en-US"/>
          </w:rPr>
          <w:id w:val="1312836948"/>
          <w:citation/>
        </w:sdtPr>
        <w:sdtContent>
          <w:r w:rsidR="00C41734" w:rsidRPr="00DD1B58">
            <w:rPr>
              <w:lang w:val="en-US"/>
            </w:rPr>
            <w:fldChar w:fldCharType="begin"/>
          </w:r>
          <w:r w:rsidR="001270D9" w:rsidRPr="00DD1B58">
            <w:rPr>
              <w:lang w:val="en-US"/>
            </w:rPr>
            <w:instrText xml:space="preserve">CITATION WEN2 \l 2057 </w:instrText>
          </w:r>
          <w:r w:rsidR="00C41734" w:rsidRPr="00DD1B58">
            <w:rPr>
              <w:lang w:val="en-US"/>
            </w:rPr>
            <w:fldChar w:fldCharType="separate"/>
          </w:r>
          <w:r w:rsidR="00DF47DA" w:rsidRPr="00DF47DA">
            <w:rPr>
              <w:noProof/>
              <w:lang w:val="en-US"/>
            </w:rPr>
            <w:t>[1]</w:t>
          </w:r>
          <w:r w:rsidR="00C41734" w:rsidRPr="00DD1B58">
            <w:rPr>
              <w:lang w:val="en-US"/>
            </w:rPr>
            <w:fldChar w:fldCharType="end"/>
          </w:r>
        </w:sdtContent>
      </w:sdt>
      <w:r w:rsidR="00C41734" w:rsidRPr="00DD1B58">
        <w:rPr>
          <w:lang w:val="en-US"/>
        </w:rPr>
        <w:t>:</w:t>
      </w:r>
    </w:p>
    <w:p w14:paraId="0E538986" w14:textId="7FBB4194" w:rsidR="00A83939" w:rsidRPr="00DD1B58" w:rsidRDefault="00A83939" w:rsidP="00A83939">
      <w:pPr>
        <w:pStyle w:val="Bulletlist1"/>
        <w:rPr>
          <w:lang w:val="en-US"/>
        </w:rPr>
      </w:pPr>
      <w:r w:rsidRPr="00DD1B58">
        <w:rPr>
          <w:lang w:val="en-US"/>
        </w:rPr>
        <w:t>To include, as far as they are relevant to the UK, all installations types under the N</w:t>
      </w:r>
      <w:r w:rsidR="00045B44" w:rsidRPr="00DD1B58">
        <w:rPr>
          <w:lang w:val="en-US"/>
        </w:rPr>
        <w:t>uclear Safety Directive (</w:t>
      </w:r>
      <w:r w:rsidRPr="00DD1B58">
        <w:rPr>
          <w:lang w:val="en-US"/>
        </w:rPr>
        <w:t>NSD</w:t>
      </w:r>
      <w:r w:rsidR="00045B44" w:rsidRPr="00DD1B58">
        <w:rPr>
          <w:lang w:val="en-US"/>
        </w:rPr>
        <w:t>)</w:t>
      </w:r>
      <w:r w:rsidRPr="00DD1B58">
        <w:rPr>
          <w:lang w:val="en-US"/>
        </w:rPr>
        <w:t xml:space="preserve">: nuclear power plants (NPPs), research reactors (RRs), spent fuel storage facilities, enrichment plants, nuclear fuel fabrication plants, reprocessing plants, and storage facilities for radioactive waste that are on the same site and are directly related to the types of nuclear installations listed. </w:t>
      </w:r>
    </w:p>
    <w:p w14:paraId="35CF9D7E" w14:textId="14117F69" w:rsidR="00A83939" w:rsidRPr="00DD1B58" w:rsidRDefault="00A83939" w:rsidP="00A83939">
      <w:pPr>
        <w:pStyle w:val="Bulletlist1"/>
        <w:rPr>
          <w:lang w:val="en-US"/>
        </w:rPr>
      </w:pPr>
      <w:r w:rsidRPr="00DD1B58">
        <w:rPr>
          <w:lang w:val="en-US"/>
        </w:rPr>
        <w:t xml:space="preserve">To include the variety of stages in the nuclear installations’ lifecycles, according </w:t>
      </w:r>
      <w:r w:rsidR="007834D7" w:rsidRPr="00DD1B58">
        <w:rPr>
          <w:lang w:val="en-US"/>
        </w:rPr>
        <w:t>to</w:t>
      </w:r>
      <w:r w:rsidRPr="00DD1B58">
        <w:rPr>
          <w:lang w:val="en-US"/>
        </w:rPr>
        <w:t xml:space="preserve"> their status as of 30</w:t>
      </w:r>
      <w:r w:rsidRPr="00DD1B58">
        <w:rPr>
          <w:vertAlign w:val="superscript"/>
          <w:lang w:val="en-US"/>
        </w:rPr>
        <w:t>th</w:t>
      </w:r>
      <w:r w:rsidRPr="00DD1B58">
        <w:rPr>
          <w:lang w:val="en-US"/>
        </w:rPr>
        <w:t xml:space="preserve"> June 2022, so that installations </w:t>
      </w:r>
      <w:r w:rsidR="001247B6" w:rsidRPr="00DD1B58">
        <w:rPr>
          <w:lang w:val="en-US"/>
        </w:rPr>
        <w:t>in</w:t>
      </w:r>
      <w:r w:rsidRPr="00DD1B58">
        <w:rPr>
          <w:lang w:val="en-US"/>
        </w:rPr>
        <w:t xml:space="preserve"> construction, in operation and under</w:t>
      </w:r>
      <w:r w:rsidR="001247B6" w:rsidRPr="00DD1B58">
        <w:rPr>
          <w:lang w:val="en-US"/>
        </w:rPr>
        <w:t>going</w:t>
      </w:r>
      <w:r w:rsidRPr="00DD1B58">
        <w:rPr>
          <w:lang w:val="en-US"/>
        </w:rPr>
        <w:t xml:space="preserve"> decommissioning are covered in the NAR.</w:t>
      </w:r>
    </w:p>
    <w:p w14:paraId="78D9AD02" w14:textId="35A86BEC" w:rsidR="00A83939" w:rsidRPr="00DD1B58" w:rsidRDefault="00A83939" w:rsidP="00A83939">
      <w:pPr>
        <w:pStyle w:val="Bulletlist1"/>
        <w:rPr>
          <w:lang w:val="en-US"/>
        </w:rPr>
      </w:pPr>
      <w:r w:rsidRPr="00DD1B58">
        <w:rPr>
          <w:lang w:val="en-US"/>
        </w:rPr>
        <w:t>To report on installations where fire poses significant radiological risks as outlined in section 00.3 of the technical specification, with reference to radiological risk criteria in the Radiation (Emergency Preparedness and Public Information) Regulations 2019</w:t>
      </w:r>
      <w:r w:rsidR="00C41734" w:rsidRPr="00DD1B58">
        <w:rPr>
          <w:lang w:val="en-US"/>
        </w:rPr>
        <w:t xml:space="preserve">. </w:t>
      </w:r>
      <w:r w:rsidRPr="00DD1B58">
        <w:rPr>
          <w:lang w:val="en-US"/>
        </w:rPr>
        <w:t>This GB legislation implements in part the Euratom Basic Safety Standards Directive (Council Directive 2013/59/Euratom).</w:t>
      </w:r>
    </w:p>
    <w:p w14:paraId="51CF1572" w14:textId="58E55579" w:rsidR="00A83939" w:rsidRPr="00DD1B58" w:rsidRDefault="00A83939" w:rsidP="00A83939">
      <w:pPr>
        <w:pStyle w:val="Bulletlist1"/>
        <w:rPr>
          <w:lang w:val="en-US"/>
        </w:rPr>
      </w:pPr>
      <w:r w:rsidRPr="00DD1B58">
        <w:rPr>
          <w:lang w:val="en-US"/>
        </w:rPr>
        <w:t>To ensure the transferability of insights and lessons learned from the instal</w:t>
      </w:r>
      <w:r w:rsidR="00D42897" w:rsidRPr="00DD1B58">
        <w:rPr>
          <w:lang w:val="en-US"/>
        </w:rPr>
        <w:t>l</w:t>
      </w:r>
      <w:r w:rsidRPr="00DD1B58">
        <w:rPr>
          <w:lang w:val="en-US"/>
        </w:rPr>
        <w:t xml:space="preserve">ations selected for TPR to the qualifying installations documented in Appendix </w:t>
      </w:r>
      <w:r w:rsidR="009D1924" w:rsidRPr="00DD1B58">
        <w:rPr>
          <w:lang w:val="en-US"/>
        </w:rPr>
        <w:t>A</w:t>
      </w:r>
      <w:r w:rsidRPr="00DD1B58">
        <w:rPr>
          <w:lang w:val="en-US"/>
        </w:rPr>
        <w:t xml:space="preserve">. Due to the wide scope of TPR, the number and variability of installations across GB, and </w:t>
      </w:r>
      <w:r w:rsidR="00BA7A87" w:rsidRPr="00DD1B58">
        <w:rPr>
          <w:lang w:val="en-US"/>
        </w:rPr>
        <w:t xml:space="preserve">to </w:t>
      </w:r>
      <w:r w:rsidRPr="00DD1B58">
        <w:rPr>
          <w:lang w:val="en-US"/>
        </w:rPr>
        <w:t xml:space="preserve">ensure appropriate focus within the NAR page limit, ONR has considered regulatory intelligence and similarity of fire protection arrangements across installations (e.g. when under the same licensee) to ensure insights, strengths and weakneses are included. This is captured throughout the regulators’ assessment sections of the NAR. </w:t>
      </w:r>
    </w:p>
    <w:p w14:paraId="107689AA" w14:textId="77777777" w:rsidR="00A83939" w:rsidRPr="00DD1B58" w:rsidRDefault="00A83939" w:rsidP="00E109C1">
      <w:pPr>
        <w:pStyle w:val="Bulletlist1"/>
        <w:numPr>
          <w:ilvl w:val="0"/>
          <w:numId w:val="0"/>
        </w:numPr>
        <w:rPr>
          <w:lang w:val="en-US"/>
        </w:rPr>
      </w:pPr>
      <w:r w:rsidRPr="00DD1B58">
        <w:rPr>
          <w:lang w:val="en-US"/>
        </w:rPr>
        <w:t>ONR considers that the above approach is in line with the intended spirit of the TPR, as set out in Council Directive 2009/71/EURATOM (as amended by Directive 2014/87/ EURATOM), which states: “</w:t>
      </w:r>
      <w:r w:rsidRPr="00DD1B58">
        <w:rPr>
          <w:i/>
          <w:iCs/>
          <w:lang w:val="en-US"/>
        </w:rPr>
        <w:t xml:space="preserve">the self-assessments followed by international peer reviews are </w:t>
      </w:r>
      <w:r w:rsidRPr="00DD1B58">
        <w:rPr>
          <w:i/>
          <w:iCs/>
          <w:lang w:val="en-US"/>
        </w:rPr>
        <w:lastRenderedPageBreak/>
        <w:t>neither an inspection nor an audit, but a mutual learning mechanism that accepts different approaches to the organisation and practices of a competent regulatory authority, while considering regulatory, technical and policy issues of a Member State that contribute to ensuring a strong nuclear safety regime. The international peer reviews should be regarded as an opportunity to exchange professional experience and to share lessons learned and good practices in an open and cooperative spirit through advice by peers rather than control or judgement. Recognising a need for flexibility and appropriateness in regard to different existing systems in Member States, a Member State should be free to determine the segments of its system being subject to the specific peer review invited, with the aim of continuously improving nuclear safety”.</w:t>
      </w:r>
    </w:p>
    <w:p w14:paraId="2E8BEAAB" w14:textId="77777777" w:rsidR="00A83939" w:rsidRPr="00DD1B58" w:rsidRDefault="00A83939" w:rsidP="00A83939">
      <w:pPr>
        <w:rPr>
          <w:lang w:val="en-US"/>
        </w:rPr>
      </w:pPr>
      <w:r w:rsidRPr="00DD1B58">
        <w:rPr>
          <w:lang w:val="en-US"/>
        </w:rPr>
        <w:t>A list of installations selected for TPR 2 is presented below with a brief outline. A description of each installation is provided in section 1.1.3.</w:t>
      </w:r>
    </w:p>
    <w:p w14:paraId="48B66688" w14:textId="4EB366C4" w:rsidR="00A83939" w:rsidRPr="00DD1B58" w:rsidRDefault="00A83939" w:rsidP="00A83939">
      <w:pPr>
        <w:pStyle w:val="Bulletlist1"/>
        <w:rPr>
          <w:lang w:val="en-US"/>
        </w:rPr>
      </w:pPr>
      <w:r w:rsidRPr="00DD1B58">
        <w:rPr>
          <w:b/>
          <w:bCs/>
          <w:lang w:val="en-US"/>
        </w:rPr>
        <w:t>Hunterston B:</w:t>
      </w:r>
      <w:r w:rsidRPr="00DD1B58">
        <w:rPr>
          <w:lang w:val="en-US"/>
        </w:rPr>
        <w:t xml:space="preserve"> representative of an Advanced Gas Reactor (AGR) Nuclear Power Plant (NPP) undergoing defuelling. There are currently three AGR stations undergoing defuelling or preparing for defuelling across the UK.</w:t>
      </w:r>
    </w:p>
    <w:p w14:paraId="18884307" w14:textId="537A3D9A" w:rsidR="00A83939" w:rsidRPr="00DD1B58" w:rsidRDefault="00A83939" w:rsidP="00A83939">
      <w:pPr>
        <w:pStyle w:val="Bulletlist1"/>
        <w:rPr>
          <w:lang w:val="en-US"/>
        </w:rPr>
      </w:pPr>
      <w:r w:rsidRPr="00DD1B58">
        <w:rPr>
          <w:b/>
          <w:bCs/>
          <w:lang w:val="en-US"/>
        </w:rPr>
        <w:t>Heysham 2</w:t>
      </w:r>
      <w:r w:rsidRPr="00DD1B58">
        <w:rPr>
          <w:lang w:val="en-US"/>
        </w:rPr>
        <w:t xml:space="preserve">: representative of an </w:t>
      </w:r>
      <w:r w:rsidR="007444C7" w:rsidRPr="00DD1B58">
        <w:rPr>
          <w:lang w:val="en-US"/>
        </w:rPr>
        <w:t xml:space="preserve">generating </w:t>
      </w:r>
      <w:r w:rsidRPr="00DD1B58">
        <w:rPr>
          <w:lang w:val="en-US"/>
        </w:rPr>
        <w:t>AGR. There are currently four operating AGR stations across the UK.</w:t>
      </w:r>
    </w:p>
    <w:p w14:paraId="3E80324B" w14:textId="77777777" w:rsidR="00A83939" w:rsidRPr="00DD1B58" w:rsidRDefault="00A83939" w:rsidP="00A83939">
      <w:pPr>
        <w:pStyle w:val="Bulletlist1"/>
        <w:rPr>
          <w:lang w:val="en-US"/>
        </w:rPr>
      </w:pPr>
      <w:r w:rsidRPr="00DD1B58">
        <w:rPr>
          <w:b/>
          <w:lang w:val="en-US"/>
        </w:rPr>
        <w:t>Sizewell B</w:t>
      </w:r>
      <w:r w:rsidRPr="00DD1B58">
        <w:rPr>
          <w:lang w:val="en-US"/>
        </w:rPr>
        <w:t>: the UK’s only operating Pressurised Water Reactor (PWR). The Sizewell B dry fuel store is also included in the report as the UK’s only dry spent fuel storage facility.</w:t>
      </w:r>
    </w:p>
    <w:p w14:paraId="57163D6A" w14:textId="4DAD27D8" w:rsidR="00A83939" w:rsidRPr="00DD1B58" w:rsidRDefault="00A83939" w:rsidP="00A83939">
      <w:pPr>
        <w:pStyle w:val="Bulletlist1"/>
        <w:rPr>
          <w:lang w:val="en-US"/>
        </w:rPr>
      </w:pPr>
      <w:r w:rsidRPr="00DD1B58">
        <w:rPr>
          <w:szCs w:val="24"/>
          <w:lang w:val="en-US"/>
        </w:rPr>
        <w:t xml:space="preserve">The AGRs chosen for the UK sample include a first generation and a second generation AGR, so that the UK NAR explicitly reports on differences in fire protection approaches across the AGR stations. </w:t>
      </w:r>
      <w:r w:rsidRPr="00DD1B58">
        <w:rPr>
          <w:lang w:val="en-US"/>
        </w:rPr>
        <w:t xml:space="preserve">The above nuclear sites are licensed to Electricité de France (EDF) Energy Nuclear Generation Limited (NGL) </w:t>
      </w:r>
      <w:r w:rsidR="00AF3E83" w:rsidRPr="00DD1B58">
        <w:rPr>
          <w:lang w:val="en-US"/>
        </w:rPr>
        <w:t xml:space="preserve">(a subsidiary of EDF Energy) </w:t>
      </w:r>
      <w:r w:rsidRPr="00DD1B58">
        <w:rPr>
          <w:lang w:val="en-US"/>
        </w:rPr>
        <w:t>and reported in EDF NGL’s submission.</w:t>
      </w:r>
    </w:p>
    <w:p w14:paraId="0B3EE101" w14:textId="77777777" w:rsidR="00A83939" w:rsidRPr="00DD1B58" w:rsidRDefault="00A83939" w:rsidP="00A83939">
      <w:pPr>
        <w:pStyle w:val="Bulletlist1"/>
        <w:rPr>
          <w:lang w:val="en-US"/>
        </w:rPr>
      </w:pPr>
      <w:r w:rsidRPr="00DD1B58">
        <w:rPr>
          <w:b/>
          <w:lang w:val="en-US"/>
        </w:rPr>
        <w:t>Hinkley Point C</w:t>
      </w:r>
      <w:r w:rsidRPr="00DD1B58">
        <w:rPr>
          <w:lang w:val="en-US"/>
        </w:rPr>
        <w:t xml:space="preserve">: the only NPP currently under construction in the UK, under the responsibility of Nuclear New Build Generation Company (NNB GenCo), a subsidiary of EDF Energy. </w:t>
      </w:r>
    </w:p>
    <w:p w14:paraId="064AA082" w14:textId="139A12F7" w:rsidR="00A83939" w:rsidRPr="00DD1B58" w:rsidRDefault="00A83939" w:rsidP="00A83939">
      <w:pPr>
        <w:pStyle w:val="Bulletlist1"/>
        <w:rPr>
          <w:lang w:val="en-US"/>
        </w:rPr>
      </w:pPr>
      <w:r w:rsidRPr="00DD1B58">
        <w:rPr>
          <w:lang w:val="en-US"/>
        </w:rPr>
        <w:t xml:space="preserve">While both NNB </w:t>
      </w:r>
      <w:r w:rsidR="00253C43" w:rsidRPr="00DD1B58">
        <w:rPr>
          <w:lang w:val="en-US"/>
        </w:rPr>
        <w:t xml:space="preserve">GenCo </w:t>
      </w:r>
      <w:r w:rsidRPr="00DD1B58">
        <w:rPr>
          <w:lang w:val="en-US"/>
        </w:rPr>
        <w:t>and EDF NGL are part of the EDF Energy Group, they are separate companies and have different management systems.</w:t>
      </w:r>
    </w:p>
    <w:p w14:paraId="77FC5717" w14:textId="77777777" w:rsidR="00A83939" w:rsidRPr="00DD1B58" w:rsidRDefault="00A83939" w:rsidP="00A83939">
      <w:pPr>
        <w:pStyle w:val="Bulletlist1"/>
        <w:rPr>
          <w:lang w:val="en-US"/>
        </w:rPr>
      </w:pPr>
      <w:r w:rsidRPr="00DD1B58">
        <w:rPr>
          <w:b/>
          <w:lang w:val="en-US"/>
        </w:rPr>
        <w:t>Sellafield Site</w:t>
      </w:r>
      <w:r w:rsidRPr="00DD1B58">
        <w:rPr>
          <w:lang w:val="en-US"/>
        </w:rPr>
        <w:t>: the Sellafield Site comprises more than 250 nuclear facilities over 1,000 buildings under the responsibility of Sellafield Ltd. Discrete facilities have been selected to represent a wide range of installation types and lifecycle stages, the significance of fire considerations in design and operation, and the availability and transferability of learning on fire protection, including strengths and weakenesses:</w:t>
      </w:r>
    </w:p>
    <w:p w14:paraId="26A61294" w14:textId="3BD15F83" w:rsidR="00A83939" w:rsidRPr="00DD1B58" w:rsidRDefault="00A83939" w:rsidP="00A83939">
      <w:pPr>
        <w:pStyle w:val="Bulletlist2"/>
        <w:rPr>
          <w:lang w:val="en-US"/>
        </w:rPr>
      </w:pPr>
      <w:r w:rsidRPr="00DD1B58">
        <w:rPr>
          <w:lang w:val="en-US"/>
        </w:rPr>
        <w:t>Box Encapsulation Plant Product Store – Direct Import Facility (BEPPS-DIF): a New Build waste storage facility for Intermediate Level Waste (ILW) on the Sellafield Site, in commissioning</w:t>
      </w:r>
      <w:r w:rsidR="00914433" w:rsidRPr="00DD1B58">
        <w:rPr>
          <w:lang w:val="en-US"/>
        </w:rPr>
        <w:t>;</w:t>
      </w:r>
    </w:p>
    <w:p w14:paraId="4C23901B" w14:textId="7192BD44" w:rsidR="00A83939" w:rsidRPr="00DD1B58" w:rsidRDefault="00A83939" w:rsidP="00A83939">
      <w:pPr>
        <w:pStyle w:val="Bulletlist2"/>
        <w:rPr>
          <w:lang w:val="en-US"/>
        </w:rPr>
      </w:pPr>
      <w:r w:rsidRPr="00DD1B58">
        <w:rPr>
          <w:lang w:val="en-US"/>
        </w:rPr>
        <w:lastRenderedPageBreak/>
        <w:t xml:space="preserve">Sellafield Product and Residues Store (SPRS): an operating </w:t>
      </w:r>
      <w:r w:rsidR="00253C43" w:rsidRPr="00DD1B58">
        <w:rPr>
          <w:lang w:val="en-US"/>
        </w:rPr>
        <w:t xml:space="preserve">Special Nuclear Material (SNM) </w:t>
      </w:r>
      <w:r w:rsidRPr="00DD1B58">
        <w:rPr>
          <w:lang w:val="en-US"/>
        </w:rPr>
        <w:t xml:space="preserve">storage facility with alpha-emitting </w:t>
      </w:r>
      <w:r w:rsidR="00253C43" w:rsidRPr="00DD1B58">
        <w:rPr>
          <w:lang w:val="en-US"/>
        </w:rPr>
        <w:t xml:space="preserve">SNM </w:t>
      </w:r>
      <w:r w:rsidRPr="00DD1B58">
        <w:rPr>
          <w:lang w:val="en-US"/>
        </w:rPr>
        <w:t>and its associated risks;</w:t>
      </w:r>
    </w:p>
    <w:p w14:paraId="0B5C3B92" w14:textId="77777777" w:rsidR="00A83939" w:rsidRPr="00DD1B58" w:rsidRDefault="00A83939" w:rsidP="00A83939">
      <w:pPr>
        <w:pStyle w:val="Bulletlist2"/>
        <w:rPr>
          <w:lang w:val="en-US"/>
        </w:rPr>
      </w:pPr>
      <w:r w:rsidRPr="00DD1B58">
        <w:rPr>
          <w:lang w:val="en-US"/>
        </w:rPr>
        <w:t>High Level Waste Plants; Waste Vitrification Plant and Encapsulation Plants: to include High Level Waste waste treatment and storage, and encapsulation operations at the Sellafield Site;</w:t>
      </w:r>
    </w:p>
    <w:p w14:paraId="6C6608C2" w14:textId="77777777" w:rsidR="00A83939" w:rsidRPr="00DD1B58" w:rsidRDefault="00A83939" w:rsidP="00A83939">
      <w:pPr>
        <w:pStyle w:val="Bulletlist2"/>
        <w:rPr>
          <w:lang w:val="en-US"/>
        </w:rPr>
      </w:pPr>
      <w:r w:rsidRPr="00DD1B58">
        <w:rPr>
          <w:lang w:val="en-US"/>
        </w:rPr>
        <w:t>Magnox Reprocessing Plant: the only operational fuel reprocessing facility (as of the cut-off date for TPR, i.e 30</w:t>
      </w:r>
      <w:r w:rsidRPr="00DD1B58">
        <w:rPr>
          <w:vertAlign w:val="superscript"/>
          <w:lang w:val="en-US"/>
        </w:rPr>
        <w:t>th</w:t>
      </w:r>
      <w:r w:rsidRPr="00DD1B58">
        <w:rPr>
          <w:lang w:val="en-US"/>
        </w:rPr>
        <w:t xml:space="preserve"> June 2022, currently in the early stages of decommissioning; and</w:t>
      </w:r>
    </w:p>
    <w:p w14:paraId="216AE793" w14:textId="63E0E00D" w:rsidR="00A83939" w:rsidRPr="00DD1B58" w:rsidRDefault="00A83939" w:rsidP="00A83939">
      <w:pPr>
        <w:pStyle w:val="Bulletlist2"/>
        <w:rPr>
          <w:lang w:val="en-US"/>
        </w:rPr>
      </w:pPr>
      <w:r w:rsidRPr="00DD1B58">
        <w:rPr>
          <w:lang w:val="en-US"/>
        </w:rPr>
        <w:t>Pile 1: a graphite air-cooled reactor</w:t>
      </w:r>
      <w:r w:rsidR="004D3C9C" w:rsidRPr="00DD1B58">
        <w:rPr>
          <w:lang w:val="en-US"/>
        </w:rPr>
        <w:t>.</w:t>
      </w:r>
      <w:r w:rsidRPr="00DD1B58">
        <w:rPr>
          <w:lang w:val="en-US"/>
        </w:rPr>
        <w:t xml:space="preserve"> </w:t>
      </w:r>
      <w:r w:rsidR="004D3C9C" w:rsidRPr="00DD1B58">
        <w:rPr>
          <w:lang w:val="en-US"/>
        </w:rPr>
        <w:t xml:space="preserve"> The associated chimney</w:t>
      </w:r>
      <w:r w:rsidR="00FD1BB5" w:rsidRPr="00DD1B58">
        <w:rPr>
          <w:lang w:val="en-US"/>
        </w:rPr>
        <w:t xml:space="preserve"> is</w:t>
      </w:r>
      <w:r w:rsidR="004D3C9C" w:rsidRPr="00DD1B58">
        <w:rPr>
          <w:lang w:val="en-US"/>
        </w:rPr>
        <w:t xml:space="preserve"> being dismantled and the reactor is under care and maintenance</w:t>
      </w:r>
      <w:r w:rsidR="00FD1BB5" w:rsidRPr="00DD1B58">
        <w:rPr>
          <w:lang w:val="en-US"/>
        </w:rPr>
        <w:t>.</w:t>
      </w:r>
      <w:r w:rsidR="004D3C9C" w:rsidRPr="00DD1B58">
        <w:rPr>
          <w:lang w:val="en-US"/>
        </w:rPr>
        <w:t xml:space="preserve"> </w:t>
      </w:r>
    </w:p>
    <w:p w14:paraId="1D42B7DD" w14:textId="77777777" w:rsidR="00A83939" w:rsidRPr="00DD1B58" w:rsidRDefault="00A83939" w:rsidP="00A83939">
      <w:pPr>
        <w:pStyle w:val="Bulletlist1"/>
        <w:rPr>
          <w:lang w:val="en-US"/>
        </w:rPr>
      </w:pPr>
      <w:r w:rsidRPr="00DD1B58">
        <w:rPr>
          <w:b/>
          <w:lang w:val="en-US"/>
        </w:rPr>
        <w:t>Capenhurst Works</w:t>
      </w:r>
      <w:r w:rsidRPr="00DD1B58">
        <w:rPr>
          <w:lang w:val="en-US"/>
        </w:rPr>
        <w:t>: the UK’s only operating Uranium enrichment installation, operated by Urenco UK Ltd.</w:t>
      </w:r>
    </w:p>
    <w:p w14:paraId="23945B60" w14:textId="2748F005" w:rsidR="00A83939" w:rsidRPr="00DD1B58" w:rsidRDefault="00A83939" w:rsidP="00A83939">
      <w:pPr>
        <w:pStyle w:val="Bulletlist1"/>
        <w:rPr>
          <w:lang w:val="en-US"/>
        </w:rPr>
      </w:pPr>
      <w:r w:rsidRPr="00DD1B58">
        <w:rPr>
          <w:b/>
          <w:lang w:val="en-US"/>
        </w:rPr>
        <w:t>Springfields</w:t>
      </w:r>
      <w:r w:rsidRPr="00DD1B58">
        <w:rPr>
          <w:lang w:val="en-US"/>
        </w:rPr>
        <w:t>: the UK’s only operational fuel fabrication facility, operated by Sprin</w:t>
      </w:r>
      <w:r w:rsidR="00093F96" w:rsidRPr="00DD1B58">
        <w:rPr>
          <w:lang w:val="en-US"/>
        </w:rPr>
        <w:t>g</w:t>
      </w:r>
      <w:r w:rsidRPr="00DD1B58">
        <w:rPr>
          <w:lang w:val="en-US"/>
        </w:rPr>
        <w:t>fields Fuel</w:t>
      </w:r>
      <w:r w:rsidR="00093F96" w:rsidRPr="00DD1B58">
        <w:rPr>
          <w:lang w:val="en-US"/>
        </w:rPr>
        <w:t>s</w:t>
      </w:r>
      <w:r w:rsidRPr="00DD1B58">
        <w:rPr>
          <w:lang w:val="en-US"/>
        </w:rPr>
        <w:t xml:space="preserve"> Ltd.</w:t>
      </w:r>
    </w:p>
    <w:p w14:paraId="0D822D4C" w14:textId="33E2537B" w:rsidR="00A83939" w:rsidRPr="00DD1B58" w:rsidRDefault="00A83939" w:rsidP="00A83939">
      <w:pPr>
        <w:pStyle w:val="Bulletlist1"/>
        <w:rPr>
          <w:lang w:val="en-US"/>
        </w:rPr>
      </w:pPr>
      <w:r w:rsidRPr="00DD1B58">
        <w:rPr>
          <w:b/>
          <w:lang w:val="en-US"/>
        </w:rPr>
        <w:t xml:space="preserve">Dounreay’s Prototype Fast Reactor complex. </w:t>
      </w:r>
      <w:r w:rsidRPr="00DD1B58">
        <w:rPr>
          <w:bCs/>
          <w:lang w:val="en-US"/>
        </w:rPr>
        <w:t>Dounreay was included as</w:t>
      </w:r>
      <w:r w:rsidRPr="00DD1B58">
        <w:rPr>
          <w:b/>
          <w:lang w:val="en-US"/>
        </w:rPr>
        <w:t xml:space="preserve"> </w:t>
      </w:r>
      <w:r w:rsidRPr="00DD1B58">
        <w:rPr>
          <w:lang w:val="en-US"/>
        </w:rPr>
        <w:t xml:space="preserve">the UK’s former centre of fast reactor research and development. The site comprises three former reactor facilities, fuel cycle and storage facilities and other support functions. The PFR complex, which includes the Irradiated Fuel </w:t>
      </w:r>
      <w:r w:rsidR="006E3E94" w:rsidRPr="00DD1B58">
        <w:rPr>
          <w:lang w:val="en-US"/>
        </w:rPr>
        <w:t>Cave</w:t>
      </w:r>
      <w:r w:rsidRPr="00DD1B58">
        <w:rPr>
          <w:lang w:val="en-US"/>
        </w:rPr>
        <w:t xml:space="preserve"> (IF</w:t>
      </w:r>
      <w:r w:rsidR="004C6004" w:rsidRPr="00DD1B58">
        <w:rPr>
          <w:lang w:val="en-US"/>
        </w:rPr>
        <w:t>C</w:t>
      </w:r>
      <w:r w:rsidRPr="00DD1B58">
        <w:rPr>
          <w:lang w:val="en-US"/>
        </w:rPr>
        <w:t>), was selected for TPR 2 as it contains examples of most operations carried out on site, including a decommissioned reactor</w:t>
      </w:r>
      <w:r w:rsidR="00287BB5" w:rsidRPr="00DD1B58">
        <w:rPr>
          <w:lang w:val="en-US"/>
        </w:rPr>
        <w:t xml:space="preserve"> (the reactor has been defulled but still contains </w:t>
      </w:r>
      <w:r w:rsidR="009C5C85" w:rsidRPr="00DD1B58">
        <w:rPr>
          <w:lang w:val="en-US"/>
        </w:rPr>
        <w:t>quantities of sodium)</w:t>
      </w:r>
      <w:r w:rsidRPr="00DD1B58">
        <w:rPr>
          <w:lang w:val="en-US"/>
        </w:rPr>
        <w:t>, fuel caves, waste storage and waste handling. Following transfer on 1</w:t>
      </w:r>
      <w:r w:rsidRPr="00DD1B58">
        <w:rPr>
          <w:vertAlign w:val="superscript"/>
          <w:lang w:val="en-US"/>
        </w:rPr>
        <w:t>st</w:t>
      </w:r>
      <w:r w:rsidRPr="00DD1B58">
        <w:rPr>
          <w:lang w:val="en-US"/>
        </w:rPr>
        <w:t xml:space="preserve"> April 2023, the Nuclear Site Licence for Dounreay is now held by Magnox Ltd., a subsidiary of the Nuclear Decommissioning Authority (NDA). </w:t>
      </w:r>
    </w:p>
    <w:p w14:paraId="561071A8" w14:textId="7471915E" w:rsidR="00A83939" w:rsidRPr="00DD1B58" w:rsidRDefault="00A83939" w:rsidP="00A83939">
      <w:pPr>
        <w:rPr>
          <w:lang w:val="en-US"/>
        </w:rPr>
      </w:pPr>
      <w:r w:rsidRPr="00DD1B58">
        <w:rPr>
          <w:lang w:val="en-US"/>
        </w:rPr>
        <w:t xml:space="preserve">In the selection of installations for TPR, consideration was given to former Magnox reactors. Nevertheless, the former Magnox stations are defueled and do not </w:t>
      </w:r>
      <w:r w:rsidR="00910CC5" w:rsidRPr="00DD1B58">
        <w:rPr>
          <w:lang w:val="en-US"/>
        </w:rPr>
        <w:t xml:space="preserve">require </w:t>
      </w:r>
      <w:r w:rsidRPr="00DD1B58">
        <w:rPr>
          <w:lang w:val="en-US"/>
        </w:rPr>
        <w:t xml:space="preserve">Detailed Emergency Planning Zones (DEPZs), based on the remaining radiological risks quantified in Consequence Reports to meet the requirements of the REPPIR 2019. </w:t>
      </w:r>
      <w:r w:rsidR="00A43BAF" w:rsidRPr="00DD1B58">
        <w:rPr>
          <w:lang w:val="en-US"/>
        </w:rPr>
        <w:t>The</w:t>
      </w:r>
      <w:r w:rsidRPr="00DD1B58">
        <w:rPr>
          <w:lang w:val="en-US"/>
        </w:rPr>
        <w:t xml:space="preserve"> Magnox sites</w:t>
      </w:r>
      <w:r w:rsidR="00C91695" w:rsidRPr="00DD1B58">
        <w:rPr>
          <w:lang w:val="en-US"/>
        </w:rPr>
        <w:t xml:space="preserve">, for example Berkeley, </w:t>
      </w:r>
      <w:r w:rsidRPr="00DD1B58">
        <w:rPr>
          <w:lang w:val="en-US"/>
        </w:rPr>
        <w:t xml:space="preserve">attract </w:t>
      </w:r>
      <w:r w:rsidR="002C7DEB" w:rsidRPr="00DD1B58">
        <w:rPr>
          <w:lang w:val="en-US"/>
        </w:rPr>
        <w:t xml:space="preserve">1km </w:t>
      </w:r>
      <w:r w:rsidRPr="00DD1B58">
        <w:rPr>
          <w:lang w:val="en-US"/>
        </w:rPr>
        <w:t>outline zones</w:t>
      </w:r>
      <w:r w:rsidR="002C7DEB" w:rsidRPr="00DD1B58">
        <w:rPr>
          <w:lang w:val="en-US"/>
        </w:rPr>
        <w:t xml:space="preserve"> only, and this is</w:t>
      </w:r>
      <w:r w:rsidRPr="00DD1B58">
        <w:rPr>
          <w:lang w:val="en-US"/>
        </w:rPr>
        <w:t xml:space="preserve"> from a very low probability external event (large aircraft impact) which is not the focus of TPR 2</w:t>
      </w:r>
      <w:sdt>
        <w:sdtPr>
          <w:rPr>
            <w:lang w:val="en-US"/>
          </w:rPr>
          <w:id w:val="2094892222"/>
          <w:citation/>
        </w:sdtPr>
        <w:sdtContent>
          <w:r w:rsidR="00C91695" w:rsidRPr="00DD1B58">
            <w:rPr>
              <w:lang w:val="en-US"/>
            </w:rPr>
            <w:fldChar w:fldCharType="begin"/>
          </w:r>
          <w:r w:rsidR="00C91695" w:rsidRPr="00DD1B58">
            <w:rPr>
              <w:lang w:val="en-US"/>
            </w:rPr>
            <w:instrText xml:space="preserve"> CITATION Glo1 \l 2057 </w:instrText>
          </w:r>
          <w:r w:rsidR="00C91695" w:rsidRPr="00DD1B58">
            <w:rPr>
              <w:lang w:val="en-US"/>
            </w:rPr>
            <w:fldChar w:fldCharType="separate"/>
          </w:r>
          <w:r w:rsidR="00DF47DA">
            <w:rPr>
              <w:noProof/>
              <w:lang w:val="en-US"/>
            </w:rPr>
            <w:t xml:space="preserve"> </w:t>
          </w:r>
          <w:r w:rsidR="00DF47DA" w:rsidRPr="00DF47DA">
            <w:rPr>
              <w:noProof/>
              <w:lang w:val="en-US"/>
            </w:rPr>
            <w:t>[2]</w:t>
          </w:r>
          <w:r w:rsidR="00C91695" w:rsidRPr="00DD1B58">
            <w:rPr>
              <w:lang w:val="en-US"/>
            </w:rPr>
            <w:fldChar w:fldCharType="end"/>
          </w:r>
        </w:sdtContent>
      </w:sdt>
      <w:r w:rsidR="00C91695" w:rsidRPr="00DD1B58">
        <w:rPr>
          <w:lang w:val="en-US"/>
        </w:rPr>
        <w:t xml:space="preserve">. </w:t>
      </w:r>
      <w:r w:rsidRPr="00DD1B58">
        <w:rPr>
          <w:lang w:val="en-US"/>
        </w:rPr>
        <w:t xml:space="preserve"> Given the low radiological risk to the public from Magnox stations, and the number and variety of installations covered</w:t>
      </w:r>
      <w:r w:rsidR="002C7DEB" w:rsidRPr="00DD1B58">
        <w:rPr>
          <w:lang w:val="en-US"/>
        </w:rPr>
        <w:t xml:space="preserve"> in TPR 2</w:t>
      </w:r>
      <w:r w:rsidRPr="00DD1B58">
        <w:rPr>
          <w:lang w:val="en-US"/>
        </w:rPr>
        <w:t xml:space="preserve">, further expansion would be detrimental to the report focus, however, insights from TPR will be shared across all GB licensees including Magnox. </w:t>
      </w:r>
    </w:p>
    <w:p w14:paraId="4FE52AF3" w14:textId="03DEF936" w:rsidR="00A83939" w:rsidRPr="00DD1B58" w:rsidRDefault="00A83939" w:rsidP="00A83939">
      <w:pPr>
        <w:rPr>
          <w:lang w:val="en-US"/>
        </w:rPr>
      </w:pPr>
      <w:r w:rsidRPr="00DD1B58">
        <w:rPr>
          <w:lang w:val="en-US"/>
        </w:rPr>
        <w:fldChar w:fldCharType="begin"/>
      </w:r>
      <w:r w:rsidRPr="00DD1B58">
        <w:rPr>
          <w:lang w:val="en-US"/>
        </w:rPr>
        <w:instrText xml:space="preserve"> REF _Ref144700222 \h </w:instrText>
      </w:r>
      <w:r w:rsidRPr="00DD1B58">
        <w:rPr>
          <w:lang w:val="en-US"/>
        </w:rPr>
      </w:r>
      <w:r w:rsidRPr="00DD1B58">
        <w:rPr>
          <w:lang w:val="en-US"/>
        </w:rPr>
        <w:fldChar w:fldCharType="separate"/>
      </w:r>
      <w:r w:rsidR="00DF47DA" w:rsidRPr="00DD1B58">
        <w:rPr>
          <w:lang w:val="en-US"/>
        </w:rPr>
        <w:t xml:space="preserve">Table </w:t>
      </w:r>
      <w:r w:rsidR="00DF47DA">
        <w:rPr>
          <w:noProof/>
          <w:lang w:val="en-US"/>
        </w:rPr>
        <w:t>2</w:t>
      </w:r>
      <w:r w:rsidRPr="00DD1B58">
        <w:rPr>
          <w:lang w:val="en-US"/>
        </w:rPr>
        <w:fldChar w:fldCharType="end"/>
      </w:r>
      <w:r w:rsidRPr="00DD1B58">
        <w:rPr>
          <w:lang w:val="en-US"/>
        </w:rPr>
        <w:t xml:space="preserve"> summarises the installations reported in TPR2 as part of the UK NAR and the sampling rationale for the list of qualifying installations is further documented in Appendix </w:t>
      </w:r>
      <w:r w:rsidR="009D1924" w:rsidRPr="00DD1B58">
        <w:rPr>
          <w:lang w:val="en-US"/>
        </w:rPr>
        <w:t>A</w:t>
      </w:r>
      <w:r w:rsidRPr="00DD1B58">
        <w:rPr>
          <w:lang w:val="en-US"/>
        </w:rPr>
        <w:t>.</w:t>
      </w:r>
    </w:p>
    <w:p w14:paraId="25AD7BDA" w14:textId="571F2DF7" w:rsidR="00A83939" w:rsidRPr="00DD1B58" w:rsidRDefault="00A83939" w:rsidP="00A83939">
      <w:pPr>
        <w:pStyle w:val="Caption"/>
        <w:keepNext/>
        <w:rPr>
          <w:lang w:val="en-US"/>
        </w:rPr>
      </w:pPr>
      <w:bookmarkStart w:id="8" w:name="_Ref144700222"/>
      <w:bookmarkStart w:id="9" w:name="_Ref144700216"/>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2</w:t>
      </w:r>
      <w:r w:rsidRPr="00DD1B58">
        <w:rPr>
          <w:lang w:val="en-US"/>
        </w:rPr>
        <w:fldChar w:fldCharType="end"/>
      </w:r>
      <w:bookmarkEnd w:id="8"/>
      <w:r w:rsidRPr="00DD1B58">
        <w:rPr>
          <w:lang w:val="en-US"/>
        </w:rPr>
        <w:t xml:space="preserve">: </w:t>
      </w:r>
      <w:bookmarkStart w:id="10" w:name="_Ref144700207"/>
      <w:r w:rsidRPr="00DD1B58">
        <w:rPr>
          <w:lang w:val="en-US"/>
        </w:rPr>
        <w:t>Summary of GB installations for TPR 2 per type</w:t>
      </w:r>
      <w:bookmarkEnd w:id="9"/>
      <w:bookmarkEnd w:id="10"/>
      <w:r w:rsidRPr="00DD1B58">
        <w:rPr>
          <w:lang w:val="en-US"/>
        </w:rPr>
        <w:t xml:space="preserve"> </w:t>
      </w:r>
    </w:p>
    <w:tbl>
      <w:tblPr>
        <w:tblStyle w:val="TableGrid"/>
        <w:tblW w:w="4800" w:type="pct"/>
        <w:tblInd w:w="5" w:type="dxa"/>
        <w:tblLook w:val="04A0" w:firstRow="1" w:lastRow="0" w:firstColumn="1" w:lastColumn="0" w:noHBand="0" w:noVBand="1"/>
      </w:tblPr>
      <w:tblGrid>
        <w:gridCol w:w="3758"/>
        <w:gridCol w:w="2557"/>
        <w:gridCol w:w="3032"/>
      </w:tblGrid>
      <w:tr w:rsidR="00A83939" w:rsidRPr="00DD1B58" w14:paraId="523B5E68" w14:textId="77777777">
        <w:trPr>
          <w:trHeight w:val="317"/>
        </w:trPr>
        <w:tc>
          <w:tcPr>
            <w:tcW w:w="2010" w:type="pct"/>
            <w:hideMark/>
          </w:tcPr>
          <w:p w14:paraId="0B75304B" w14:textId="77777777" w:rsidR="00A83939" w:rsidRPr="00DD1B58" w:rsidRDefault="00A83939">
            <w:pPr>
              <w:spacing w:after="0" w:line="240" w:lineRule="auto"/>
              <w:rPr>
                <w:szCs w:val="24"/>
                <w:lang w:val="en-US" w:bidi="ar-SA"/>
              </w:rPr>
            </w:pPr>
            <w:r w:rsidRPr="00DD1B58">
              <w:rPr>
                <w:b/>
                <w:bCs/>
                <w:szCs w:val="24"/>
                <w:lang w:val="en-US" w:bidi="ar-SA"/>
              </w:rPr>
              <w:t>Type of installations</w:t>
            </w:r>
          </w:p>
        </w:tc>
        <w:tc>
          <w:tcPr>
            <w:tcW w:w="2990" w:type="pct"/>
            <w:gridSpan w:val="2"/>
            <w:hideMark/>
          </w:tcPr>
          <w:p w14:paraId="29CA5569" w14:textId="77777777" w:rsidR="00A83939" w:rsidRPr="00DD1B58" w:rsidRDefault="00A83939">
            <w:pPr>
              <w:spacing w:after="0" w:line="240" w:lineRule="auto"/>
              <w:rPr>
                <w:szCs w:val="24"/>
                <w:lang w:val="en-US" w:bidi="ar-SA"/>
              </w:rPr>
            </w:pPr>
            <w:r w:rsidRPr="00DD1B58">
              <w:rPr>
                <w:b/>
                <w:bCs/>
                <w:color w:val="000000"/>
                <w:szCs w:val="24"/>
                <w:lang w:val="en-US" w:bidi="ar-SA"/>
              </w:rPr>
              <w:t>Site/ installation</w:t>
            </w:r>
          </w:p>
        </w:tc>
      </w:tr>
      <w:tr w:rsidR="00A83939" w:rsidRPr="00DD1B58" w14:paraId="0E38AC05" w14:textId="77777777">
        <w:trPr>
          <w:trHeight w:val="310"/>
        </w:trPr>
        <w:tc>
          <w:tcPr>
            <w:tcW w:w="2010" w:type="pct"/>
            <w:vMerge w:val="restart"/>
            <w:hideMark/>
          </w:tcPr>
          <w:p w14:paraId="4AA19DA3" w14:textId="77777777" w:rsidR="00A83939" w:rsidRPr="00DD1B58" w:rsidRDefault="00A83939">
            <w:pPr>
              <w:spacing w:after="0" w:line="240" w:lineRule="auto"/>
              <w:rPr>
                <w:szCs w:val="24"/>
                <w:lang w:val="en-US" w:bidi="ar-SA"/>
              </w:rPr>
            </w:pPr>
            <w:r w:rsidRPr="00DD1B58">
              <w:rPr>
                <w:b/>
                <w:bCs/>
                <w:color w:val="000000"/>
                <w:szCs w:val="24"/>
                <w:lang w:val="en-US" w:bidi="ar-SA"/>
              </w:rPr>
              <w:t>NPPs (in operation and under decommissioning)</w:t>
            </w:r>
          </w:p>
        </w:tc>
        <w:tc>
          <w:tcPr>
            <w:tcW w:w="2990" w:type="pct"/>
            <w:gridSpan w:val="2"/>
            <w:hideMark/>
          </w:tcPr>
          <w:p w14:paraId="35295899" w14:textId="7589AFFF" w:rsidR="00A83939" w:rsidRPr="00DD1B58" w:rsidRDefault="00A83939">
            <w:pPr>
              <w:spacing w:after="0" w:line="240" w:lineRule="auto"/>
              <w:rPr>
                <w:szCs w:val="24"/>
                <w:lang w:val="en-US" w:bidi="ar-SA"/>
              </w:rPr>
            </w:pPr>
            <w:r w:rsidRPr="00DD1B58">
              <w:rPr>
                <w:color w:val="000000"/>
                <w:szCs w:val="24"/>
                <w:lang w:val="en-US" w:bidi="ar-SA"/>
              </w:rPr>
              <w:t xml:space="preserve">Hinkley Point C, EPR, </w:t>
            </w:r>
            <w:r w:rsidR="00910CC5" w:rsidRPr="00DD1B58">
              <w:rPr>
                <w:color w:val="000000"/>
                <w:szCs w:val="24"/>
                <w:lang w:val="en-US" w:bidi="ar-SA"/>
              </w:rPr>
              <w:t>under</w:t>
            </w:r>
            <w:r w:rsidRPr="00DD1B58">
              <w:rPr>
                <w:color w:val="000000"/>
                <w:szCs w:val="24"/>
                <w:lang w:val="en-US" w:bidi="ar-SA"/>
              </w:rPr>
              <w:t xml:space="preserve"> construction</w:t>
            </w:r>
          </w:p>
        </w:tc>
      </w:tr>
      <w:tr w:rsidR="00A83939" w:rsidRPr="00DD1B58" w14:paraId="72A43431" w14:textId="77777777">
        <w:trPr>
          <w:trHeight w:val="310"/>
        </w:trPr>
        <w:tc>
          <w:tcPr>
            <w:tcW w:w="2010" w:type="pct"/>
            <w:vMerge/>
            <w:hideMark/>
          </w:tcPr>
          <w:p w14:paraId="2F2BE567" w14:textId="77777777" w:rsidR="00A83939" w:rsidRPr="00DD1B58" w:rsidRDefault="00A83939">
            <w:pPr>
              <w:spacing w:after="0" w:line="240" w:lineRule="auto"/>
              <w:rPr>
                <w:szCs w:val="24"/>
                <w:lang w:val="en-US" w:bidi="ar-SA"/>
              </w:rPr>
            </w:pPr>
          </w:p>
        </w:tc>
        <w:tc>
          <w:tcPr>
            <w:tcW w:w="2990" w:type="pct"/>
            <w:gridSpan w:val="2"/>
            <w:hideMark/>
          </w:tcPr>
          <w:p w14:paraId="420C72FD" w14:textId="77777777" w:rsidR="00A83939" w:rsidRPr="00DD1B58" w:rsidRDefault="00A83939">
            <w:pPr>
              <w:spacing w:after="0" w:line="240" w:lineRule="auto"/>
              <w:rPr>
                <w:szCs w:val="24"/>
                <w:lang w:val="en-US" w:bidi="ar-SA"/>
              </w:rPr>
            </w:pPr>
            <w:r w:rsidRPr="00DD1B58">
              <w:rPr>
                <w:color w:val="000000"/>
                <w:szCs w:val="24"/>
                <w:lang w:val="en-US" w:bidi="ar-SA"/>
              </w:rPr>
              <w:t>Sizewell B, including the dry fuel store, PWR in operation</w:t>
            </w:r>
          </w:p>
        </w:tc>
      </w:tr>
      <w:tr w:rsidR="00A83939" w:rsidRPr="00DD1B58" w14:paraId="280311CA" w14:textId="77777777">
        <w:trPr>
          <w:trHeight w:val="310"/>
        </w:trPr>
        <w:tc>
          <w:tcPr>
            <w:tcW w:w="2010" w:type="pct"/>
            <w:vMerge/>
            <w:hideMark/>
          </w:tcPr>
          <w:p w14:paraId="2073254D" w14:textId="77777777" w:rsidR="00A83939" w:rsidRPr="00DD1B58" w:rsidRDefault="00A83939">
            <w:pPr>
              <w:spacing w:after="0" w:line="240" w:lineRule="auto"/>
              <w:rPr>
                <w:szCs w:val="24"/>
                <w:lang w:val="en-US" w:bidi="ar-SA"/>
              </w:rPr>
            </w:pPr>
          </w:p>
        </w:tc>
        <w:tc>
          <w:tcPr>
            <w:tcW w:w="2990" w:type="pct"/>
            <w:gridSpan w:val="2"/>
            <w:hideMark/>
          </w:tcPr>
          <w:p w14:paraId="7C6ACB38" w14:textId="17470CC9" w:rsidR="00A83939" w:rsidRPr="00DD1B58" w:rsidRDefault="00A83939">
            <w:pPr>
              <w:spacing w:after="0" w:line="240" w:lineRule="auto"/>
              <w:rPr>
                <w:szCs w:val="24"/>
                <w:lang w:val="en-US" w:bidi="ar-SA"/>
              </w:rPr>
            </w:pPr>
            <w:r w:rsidRPr="00DD1B58">
              <w:rPr>
                <w:color w:val="000000"/>
                <w:szCs w:val="24"/>
                <w:lang w:val="en-US" w:bidi="ar-SA"/>
              </w:rPr>
              <w:t>Heysham 2,</w:t>
            </w:r>
            <w:r w:rsidR="00AF2671" w:rsidRPr="00DD1B58">
              <w:rPr>
                <w:color w:val="000000"/>
                <w:szCs w:val="24"/>
                <w:lang w:val="en-US" w:bidi="ar-SA"/>
              </w:rPr>
              <w:t xml:space="preserve"> </w:t>
            </w:r>
            <w:r w:rsidRPr="00DD1B58">
              <w:rPr>
                <w:color w:val="000000"/>
                <w:szCs w:val="24"/>
                <w:lang w:val="en-US" w:bidi="ar-SA"/>
              </w:rPr>
              <w:t xml:space="preserve">AGR </w:t>
            </w:r>
            <w:r w:rsidR="00E761C9" w:rsidRPr="00DD1B58">
              <w:rPr>
                <w:color w:val="000000"/>
                <w:szCs w:val="24"/>
                <w:lang w:val="en-US" w:bidi="ar-SA"/>
              </w:rPr>
              <w:t>in operation</w:t>
            </w:r>
          </w:p>
        </w:tc>
      </w:tr>
      <w:tr w:rsidR="00A83939" w:rsidRPr="00DD1B58" w14:paraId="3D4CE110" w14:textId="77777777">
        <w:trPr>
          <w:trHeight w:val="434"/>
        </w:trPr>
        <w:tc>
          <w:tcPr>
            <w:tcW w:w="2010" w:type="pct"/>
            <w:vMerge/>
            <w:hideMark/>
          </w:tcPr>
          <w:p w14:paraId="18CE4256" w14:textId="77777777" w:rsidR="00A83939" w:rsidRPr="00DD1B58" w:rsidRDefault="00A83939">
            <w:pPr>
              <w:spacing w:after="0" w:line="240" w:lineRule="auto"/>
              <w:rPr>
                <w:szCs w:val="24"/>
                <w:lang w:val="en-US" w:bidi="ar-SA"/>
              </w:rPr>
            </w:pPr>
          </w:p>
        </w:tc>
        <w:tc>
          <w:tcPr>
            <w:tcW w:w="2990" w:type="pct"/>
            <w:gridSpan w:val="2"/>
            <w:hideMark/>
          </w:tcPr>
          <w:p w14:paraId="3BD38973" w14:textId="061691F0" w:rsidR="00A83939" w:rsidRPr="00DD1B58" w:rsidRDefault="00A83939">
            <w:pPr>
              <w:spacing w:after="0" w:line="240" w:lineRule="auto"/>
              <w:rPr>
                <w:szCs w:val="24"/>
                <w:lang w:val="en-US" w:bidi="ar-SA"/>
              </w:rPr>
            </w:pPr>
            <w:r w:rsidRPr="00DD1B58">
              <w:rPr>
                <w:color w:val="000000"/>
                <w:szCs w:val="24"/>
                <w:lang w:val="en-US" w:bidi="ar-SA"/>
              </w:rPr>
              <w:t>Hunterston B, AGR undergoing defueling</w:t>
            </w:r>
          </w:p>
        </w:tc>
      </w:tr>
      <w:tr w:rsidR="00A83939" w:rsidRPr="00DD1B58" w14:paraId="4755E220" w14:textId="77777777">
        <w:tc>
          <w:tcPr>
            <w:tcW w:w="2010" w:type="pct"/>
            <w:hideMark/>
          </w:tcPr>
          <w:p w14:paraId="4962E5F3" w14:textId="77777777" w:rsidR="00A83939" w:rsidRPr="00DD1B58" w:rsidRDefault="00A83939">
            <w:pPr>
              <w:spacing w:after="0" w:line="240" w:lineRule="auto"/>
              <w:rPr>
                <w:szCs w:val="24"/>
                <w:lang w:val="en-US" w:bidi="ar-SA"/>
              </w:rPr>
            </w:pPr>
            <w:r w:rsidRPr="00DD1B58">
              <w:rPr>
                <w:b/>
                <w:bCs/>
                <w:color w:val="000000"/>
                <w:szCs w:val="24"/>
                <w:lang w:val="en-US" w:bidi="ar-SA"/>
              </w:rPr>
              <w:t>Reactor under decommissioning including waste storage</w:t>
            </w:r>
          </w:p>
        </w:tc>
        <w:tc>
          <w:tcPr>
            <w:tcW w:w="2990" w:type="pct"/>
            <w:gridSpan w:val="2"/>
            <w:hideMark/>
          </w:tcPr>
          <w:p w14:paraId="721C6B86" w14:textId="2E28DB22" w:rsidR="00A83939" w:rsidRPr="00DD1B58" w:rsidRDefault="00A83939">
            <w:pPr>
              <w:spacing w:after="0" w:line="240" w:lineRule="auto"/>
              <w:rPr>
                <w:szCs w:val="24"/>
                <w:lang w:val="en-US" w:bidi="ar-SA"/>
              </w:rPr>
            </w:pPr>
            <w:r w:rsidRPr="00DD1B58">
              <w:rPr>
                <w:color w:val="000000"/>
                <w:szCs w:val="24"/>
                <w:lang w:val="en-US" w:bidi="ar-SA"/>
              </w:rPr>
              <w:t>Dounreay’s Prototype Fast Reactor (PFR) complex (incl</w:t>
            </w:r>
            <w:r w:rsidR="009132F6" w:rsidRPr="00DD1B58">
              <w:rPr>
                <w:color w:val="000000"/>
                <w:szCs w:val="24"/>
                <w:lang w:val="en-US" w:bidi="ar-SA"/>
              </w:rPr>
              <w:t>uding the</w:t>
            </w:r>
            <w:r w:rsidRPr="00DD1B58">
              <w:rPr>
                <w:color w:val="000000"/>
                <w:szCs w:val="24"/>
                <w:lang w:val="en-US" w:bidi="ar-SA"/>
              </w:rPr>
              <w:t xml:space="preserve"> Irradiated Fuel Cave), in decommissioning</w:t>
            </w:r>
          </w:p>
        </w:tc>
      </w:tr>
      <w:tr w:rsidR="00A83939" w:rsidRPr="00DD1B58" w14:paraId="4B9022BD" w14:textId="77777777">
        <w:trPr>
          <w:trHeight w:val="310"/>
        </w:trPr>
        <w:tc>
          <w:tcPr>
            <w:tcW w:w="2010" w:type="pct"/>
            <w:hideMark/>
          </w:tcPr>
          <w:p w14:paraId="44D0B593" w14:textId="77777777" w:rsidR="00A83939" w:rsidRPr="00DD1B58" w:rsidRDefault="00A83939">
            <w:pPr>
              <w:spacing w:after="0" w:line="240" w:lineRule="auto"/>
              <w:rPr>
                <w:szCs w:val="24"/>
                <w:lang w:val="en-US" w:bidi="ar-SA"/>
              </w:rPr>
            </w:pPr>
            <w:r w:rsidRPr="00DD1B58">
              <w:rPr>
                <w:b/>
                <w:bCs/>
                <w:color w:val="000000"/>
                <w:szCs w:val="24"/>
                <w:lang w:val="en-US" w:bidi="ar-SA"/>
              </w:rPr>
              <w:t xml:space="preserve">Spent Fuel Storage </w:t>
            </w:r>
          </w:p>
        </w:tc>
        <w:tc>
          <w:tcPr>
            <w:tcW w:w="2990" w:type="pct"/>
            <w:gridSpan w:val="2"/>
            <w:hideMark/>
          </w:tcPr>
          <w:p w14:paraId="15D29AFA" w14:textId="32722C45" w:rsidR="00A83939" w:rsidRPr="00DD1B58" w:rsidRDefault="00A83939">
            <w:pPr>
              <w:spacing w:after="0" w:line="240" w:lineRule="auto"/>
              <w:rPr>
                <w:szCs w:val="24"/>
                <w:lang w:val="en-US" w:bidi="ar-SA"/>
              </w:rPr>
            </w:pPr>
            <w:r w:rsidRPr="00DD1B58">
              <w:rPr>
                <w:i/>
                <w:iCs/>
                <w:color w:val="000000"/>
                <w:szCs w:val="24"/>
                <w:lang w:val="en-US" w:bidi="ar-SA"/>
              </w:rPr>
              <w:t xml:space="preserve">The AGR spent fuel ponds and dry storage technology at </w:t>
            </w:r>
            <w:r w:rsidR="00906364" w:rsidRPr="00DD1B58">
              <w:rPr>
                <w:i/>
                <w:iCs/>
                <w:color w:val="000000"/>
                <w:szCs w:val="24"/>
                <w:lang w:val="en-US" w:bidi="ar-SA"/>
              </w:rPr>
              <w:t>Sizewell B (</w:t>
            </w:r>
            <w:r w:rsidRPr="00DD1B58">
              <w:rPr>
                <w:i/>
                <w:iCs/>
                <w:color w:val="000000"/>
                <w:szCs w:val="24"/>
                <w:lang w:val="en-US" w:bidi="ar-SA"/>
              </w:rPr>
              <w:t>SZB</w:t>
            </w:r>
            <w:r w:rsidR="00906364" w:rsidRPr="00DD1B58">
              <w:rPr>
                <w:i/>
                <w:iCs/>
                <w:color w:val="000000"/>
                <w:szCs w:val="24"/>
                <w:lang w:val="en-US" w:bidi="ar-SA"/>
              </w:rPr>
              <w:t>)</w:t>
            </w:r>
            <w:r w:rsidRPr="00DD1B58">
              <w:rPr>
                <w:i/>
                <w:iCs/>
                <w:color w:val="000000"/>
                <w:szCs w:val="24"/>
                <w:lang w:val="en-US" w:bidi="ar-SA"/>
              </w:rPr>
              <w:t xml:space="preserve"> are reported as part of the NPP sites above</w:t>
            </w:r>
          </w:p>
        </w:tc>
      </w:tr>
      <w:tr w:rsidR="00A83939" w:rsidRPr="00DD1B58" w14:paraId="64601A98" w14:textId="77777777">
        <w:trPr>
          <w:trHeight w:val="317"/>
        </w:trPr>
        <w:tc>
          <w:tcPr>
            <w:tcW w:w="2010" w:type="pct"/>
            <w:hideMark/>
          </w:tcPr>
          <w:p w14:paraId="73919628" w14:textId="77777777" w:rsidR="00A83939" w:rsidRPr="00DD1B58" w:rsidRDefault="00A83939">
            <w:pPr>
              <w:spacing w:after="0" w:line="240" w:lineRule="auto"/>
              <w:rPr>
                <w:szCs w:val="24"/>
                <w:lang w:val="en-US" w:bidi="ar-SA"/>
              </w:rPr>
            </w:pPr>
            <w:r w:rsidRPr="00DD1B58">
              <w:rPr>
                <w:b/>
                <w:bCs/>
                <w:color w:val="000000"/>
                <w:szCs w:val="24"/>
                <w:lang w:val="en-US" w:bidi="ar-SA"/>
              </w:rPr>
              <w:t>Enrichment plant</w:t>
            </w:r>
          </w:p>
        </w:tc>
        <w:tc>
          <w:tcPr>
            <w:tcW w:w="2990" w:type="pct"/>
            <w:gridSpan w:val="2"/>
            <w:hideMark/>
          </w:tcPr>
          <w:p w14:paraId="333A7325" w14:textId="77777777" w:rsidR="00A83939" w:rsidRPr="00DD1B58" w:rsidRDefault="00A83939">
            <w:pPr>
              <w:spacing w:after="0" w:line="240" w:lineRule="auto"/>
              <w:rPr>
                <w:szCs w:val="24"/>
                <w:lang w:val="en-US" w:bidi="ar-SA"/>
              </w:rPr>
            </w:pPr>
            <w:r w:rsidRPr="00DD1B58">
              <w:rPr>
                <w:color w:val="000000"/>
                <w:szCs w:val="24"/>
                <w:lang w:val="en-US" w:bidi="ar-SA"/>
              </w:rPr>
              <w:t>Capenhurst works, Urenco UK Ltd, in operation</w:t>
            </w:r>
          </w:p>
        </w:tc>
      </w:tr>
      <w:tr w:rsidR="00A83939" w:rsidRPr="00DD1B58" w14:paraId="43A46927" w14:textId="77777777">
        <w:trPr>
          <w:trHeight w:val="331"/>
        </w:trPr>
        <w:tc>
          <w:tcPr>
            <w:tcW w:w="2010" w:type="pct"/>
            <w:hideMark/>
          </w:tcPr>
          <w:p w14:paraId="55E93659" w14:textId="77777777" w:rsidR="00A83939" w:rsidRPr="00DD1B58" w:rsidRDefault="00A83939">
            <w:pPr>
              <w:spacing w:after="0" w:line="240" w:lineRule="auto"/>
              <w:rPr>
                <w:szCs w:val="24"/>
                <w:lang w:val="en-US" w:bidi="ar-SA"/>
              </w:rPr>
            </w:pPr>
            <w:r w:rsidRPr="00DD1B58">
              <w:rPr>
                <w:b/>
                <w:bCs/>
                <w:color w:val="000000"/>
                <w:szCs w:val="24"/>
                <w:lang w:val="en-US" w:bidi="ar-SA"/>
              </w:rPr>
              <w:t>Fuel Fabrication</w:t>
            </w:r>
          </w:p>
        </w:tc>
        <w:tc>
          <w:tcPr>
            <w:tcW w:w="2990" w:type="pct"/>
            <w:gridSpan w:val="2"/>
            <w:hideMark/>
          </w:tcPr>
          <w:p w14:paraId="6ED6DB35" w14:textId="77777777" w:rsidR="00A83939" w:rsidRPr="00DD1B58" w:rsidRDefault="00A83939">
            <w:pPr>
              <w:spacing w:after="0" w:line="240" w:lineRule="auto"/>
              <w:rPr>
                <w:szCs w:val="24"/>
                <w:lang w:val="en-US" w:bidi="ar-SA"/>
              </w:rPr>
            </w:pPr>
            <w:r w:rsidRPr="00DD1B58">
              <w:rPr>
                <w:color w:val="000000"/>
                <w:szCs w:val="24"/>
                <w:lang w:val="en-US" w:bidi="ar-SA"/>
              </w:rPr>
              <w:t>Springfields Fuels Ltd, in operation</w:t>
            </w:r>
          </w:p>
        </w:tc>
      </w:tr>
      <w:tr w:rsidR="00A83939" w:rsidRPr="00DD1B58" w14:paraId="3D0A9D76" w14:textId="77777777">
        <w:trPr>
          <w:trHeight w:val="317"/>
        </w:trPr>
        <w:tc>
          <w:tcPr>
            <w:tcW w:w="2010" w:type="pct"/>
            <w:hideMark/>
          </w:tcPr>
          <w:p w14:paraId="1562E266" w14:textId="77777777" w:rsidR="00A83939" w:rsidRPr="00DD1B58" w:rsidRDefault="00A83939">
            <w:pPr>
              <w:spacing w:after="0" w:line="240" w:lineRule="auto"/>
              <w:rPr>
                <w:szCs w:val="24"/>
                <w:lang w:val="en-US" w:bidi="ar-SA"/>
              </w:rPr>
            </w:pPr>
            <w:r w:rsidRPr="00DD1B58">
              <w:rPr>
                <w:b/>
                <w:bCs/>
                <w:color w:val="000000"/>
                <w:szCs w:val="24"/>
                <w:lang w:val="en-US" w:bidi="ar-SA"/>
              </w:rPr>
              <w:t>Reprocessing plants</w:t>
            </w:r>
          </w:p>
        </w:tc>
        <w:tc>
          <w:tcPr>
            <w:tcW w:w="1368" w:type="pct"/>
            <w:vMerge w:val="restart"/>
            <w:hideMark/>
          </w:tcPr>
          <w:p w14:paraId="0D9425BF" w14:textId="77777777" w:rsidR="00A83939" w:rsidRPr="00DD1B58" w:rsidRDefault="00A83939">
            <w:pPr>
              <w:spacing w:after="0" w:line="240" w:lineRule="auto"/>
              <w:rPr>
                <w:szCs w:val="24"/>
                <w:lang w:val="en-US" w:bidi="ar-SA"/>
              </w:rPr>
            </w:pPr>
            <w:r w:rsidRPr="00DD1B58">
              <w:rPr>
                <w:color w:val="000000"/>
                <w:szCs w:val="24"/>
                <w:lang w:val="en-US" w:bidi="ar-SA"/>
              </w:rPr>
              <w:t>Sellafield Ltd</w:t>
            </w:r>
          </w:p>
        </w:tc>
        <w:tc>
          <w:tcPr>
            <w:tcW w:w="1622" w:type="pct"/>
            <w:hideMark/>
          </w:tcPr>
          <w:p w14:paraId="0778B6D4" w14:textId="77777777" w:rsidR="00A83939" w:rsidRPr="00DD1B58" w:rsidRDefault="00A83939">
            <w:pPr>
              <w:spacing w:after="0" w:line="240" w:lineRule="auto"/>
              <w:rPr>
                <w:szCs w:val="24"/>
                <w:lang w:val="en-US" w:bidi="ar-SA"/>
              </w:rPr>
            </w:pPr>
            <w:r w:rsidRPr="00DD1B58">
              <w:rPr>
                <w:color w:val="000000"/>
                <w:szCs w:val="24"/>
                <w:lang w:val="en-US" w:bidi="ar-SA"/>
              </w:rPr>
              <w:t>Magnox Reprocessing, early phases of decommissioning</w:t>
            </w:r>
          </w:p>
        </w:tc>
      </w:tr>
      <w:tr w:rsidR="00A83939" w:rsidRPr="00DD1B58" w14:paraId="7FB41AE1" w14:textId="77777777">
        <w:trPr>
          <w:trHeight w:val="384"/>
        </w:trPr>
        <w:tc>
          <w:tcPr>
            <w:tcW w:w="2010" w:type="pct"/>
            <w:vMerge w:val="restart"/>
            <w:hideMark/>
          </w:tcPr>
          <w:p w14:paraId="5B47856B" w14:textId="77777777" w:rsidR="00A83939" w:rsidRPr="00DD1B58" w:rsidRDefault="00A83939">
            <w:pPr>
              <w:spacing w:after="0" w:line="240" w:lineRule="auto"/>
              <w:rPr>
                <w:szCs w:val="24"/>
                <w:lang w:val="en-US" w:bidi="ar-SA"/>
              </w:rPr>
            </w:pPr>
            <w:r w:rsidRPr="00DD1B58">
              <w:rPr>
                <w:b/>
                <w:bCs/>
                <w:color w:val="000000"/>
                <w:szCs w:val="24"/>
                <w:lang w:val="en-US" w:bidi="ar-SA"/>
              </w:rPr>
              <w:t>Waste Storage</w:t>
            </w:r>
          </w:p>
        </w:tc>
        <w:tc>
          <w:tcPr>
            <w:tcW w:w="1368" w:type="pct"/>
            <w:vMerge/>
            <w:hideMark/>
          </w:tcPr>
          <w:p w14:paraId="61D633A2" w14:textId="77777777" w:rsidR="00A83939" w:rsidRPr="00DD1B58" w:rsidRDefault="00A83939">
            <w:pPr>
              <w:spacing w:after="0" w:line="240" w:lineRule="auto"/>
              <w:rPr>
                <w:szCs w:val="24"/>
                <w:lang w:val="en-US" w:bidi="ar-SA"/>
              </w:rPr>
            </w:pPr>
          </w:p>
        </w:tc>
        <w:tc>
          <w:tcPr>
            <w:tcW w:w="1622" w:type="pct"/>
            <w:hideMark/>
          </w:tcPr>
          <w:p w14:paraId="7187BEEA" w14:textId="77777777" w:rsidR="00A83939" w:rsidRPr="00DD1B58" w:rsidRDefault="00A83939">
            <w:pPr>
              <w:spacing w:after="0" w:line="240" w:lineRule="auto"/>
              <w:rPr>
                <w:szCs w:val="24"/>
                <w:lang w:val="en-US" w:bidi="ar-SA"/>
              </w:rPr>
            </w:pPr>
            <w:r w:rsidRPr="00DD1B58">
              <w:rPr>
                <w:color w:val="000000"/>
                <w:szCs w:val="24"/>
                <w:lang w:val="en-US" w:bidi="ar-SA"/>
              </w:rPr>
              <w:t>High Level Waste Plant, Waste Vitrification Plant and Encapsulation Plants, in operation</w:t>
            </w:r>
          </w:p>
        </w:tc>
      </w:tr>
      <w:tr w:rsidR="00A83939" w:rsidRPr="00DD1B58" w14:paraId="1C819EC2" w14:textId="77777777">
        <w:trPr>
          <w:trHeight w:val="384"/>
        </w:trPr>
        <w:tc>
          <w:tcPr>
            <w:tcW w:w="2010" w:type="pct"/>
            <w:vMerge/>
            <w:hideMark/>
          </w:tcPr>
          <w:p w14:paraId="3B781DF4" w14:textId="77777777" w:rsidR="00A83939" w:rsidRPr="00DD1B58" w:rsidRDefault="00A83939">
            <w:pPr>
              <w:spacing w:after="0" w:line="240" w:lineRule="auto"/>
              <w:rPr>
                <w:szCs w:val="24"/>
                <w:lang w:val="en-US" w:bidi="ar-SA"/>
              </w:rPr>
            </w:pPr>
          </w:p>
        </w:tc>
        <w:tc>
          <w:tcPr>
            <w:tcW w:w="1368" w:type="pct"/>
            <w:vMerge/>
            <w:hideMark/>
          </w:tcPr>
          <w:p w14:paraId="0A21E8FE" w14:textId="77777777" w:rsidR="00A83939" w:rsidRPr="00DD1B58" w:rsidRDefault="00A83939">
            <w:pPr>
              <w:spacing w:after="0" w:line="240" w:lineRule="auto"/>
              <w:rPr>
                <w:szCs w:val="24"/>
                <w:lang w:val="en-US" w:bidi="ar-SA"/>
              </w:rPr>
            </w:pPr>
          </w:p>
        </w:tc>
        <w:tc>
          <w:tcPr>
            <w:tcW w:w="1622" w:type="pct"/>
            <w:hideMark/>
          </w:tcPr>
          <w:p w14:paraId="51F41976" w14:textId="77777777" w:rsidR="00A83939" w:rsidRPr="00DD1B58" w:rsidRDefault="00A83939">
            <w:pPr>
              <w:spacing w:after="0" w:line="240" w:lineRule="auto"/>
              <w:rPr>
                <w:szCs w:val="24"/>
                <w:lang w:val="en-US" w:bidi="ar-SA"/>
              </w:rPr>
            </w:pPr>
            <w:r w:rsidRPr="00DD1B58">
              <w:rPr>
                <w:color w:val="000000"/>
                <w:szCs w:val="24"/>
                <w:lang w:val="en-US" w:bidi="ar-SA"/>
              </w:rPr>
              <w:t>Sellafield Product and Residues Store (SPRS), in operation</w:t>
            </w:r>
          </w:p>
        </w:tc>
      </w:tr>
      <w:tr w:rsidR="00A83939" w:rsidRPr="00DD1B58" w14:paraId="7285A9A1" w14:textId="77777777">
        <w:trPr>
          <w:trHeight w:val="481"/>
        </w:trPr>
        <w:tc>
          <w:tcPr>
            <w:tcW w:w="2010" w:type="pct"/>
            <w:vMerge/>
            <w:hideMark/>
          </w:tcPr>
          <w:p w14:paraId="33B4389E" w14:textId="77777777" w:rsidR="00A83939" w:rsidRPr="00DD1B58" w:rsidRDefault="00A83939">
            <w:pPr>
              <w:spacing w:after="0" w:line="240" w:lineRule="auto"/>
              <w:rPr>
                <w:szCs w:val="24"/>
                <w:lang w:val="en-US" w:bidi="ar-SA"/>
              </w:rPr>
            </w:pPr>
          </w:p>
        </w:tc>
        <w:tc>
          <w:tcPr>
            <w:tcW w:w="1368" w:type="pct"/>
            <w:vMerge/>
            <w:hideMark/>
          </w:tcPr>
          <w:p w14:paraId="23ECCB75" w14:textId="77777777" w:rsidR="00A83939" w:rsidRPr="00DD1B58" w:rsidRDefault="00A83939">
            <w:pPr>
              <w:spacing w:after="0" w:line="240" w:lineRule="auto"/>
              <w:rPr>
                <w:szCs w:val="24"/>
                <w:lang w:val="en-US" w:bidi="ar-SA"/>
              </w:rPr>
            </w:pPr>
          </w:p>
        </w:tc>
        <w:tc>
          <w:tcPr>
            <w:tcW w:w="1622" w:type="pct"/>
            <w:hideMark/>
          </w:tcPr>
          <w:p w14:paraId="4E461AF9" w14:textId="77777777" w:rsidR="00A83939" w:rsidRPr="00DD1B58" w:rsidRDefault="00A83939">
            <w:pPr>
              <w:spacing w:after="0" w:line="240" w:lineRule="auto"/>
              <w:rPr>
                <w:szCs w:val="24"/>
                <w:lang w:val="en-US" w:bidi="ar-SA"/>
              </w:rPr>
            </w:pPr>
            <w:r w:rsidRPr="00DD1B58">
              <w:rPr>
                <w:color w:val="000000"/>
                <w:szCs w:val="24"/>
                <w:lang w:val="en-US" w:bidi="ar-SA"/>
              </w:rPr>
              <w:t>Box Encapsulation Plant Product Store - Direct Import Facility (BEPPS-DIF), in commissioning</w:t>
            </w:r>
          </w:p>
        </w:tc>
      </w:tr>
      <w:tr w:rsidR="00A83939" w:rsidRPr="00DD1B58" w14:paraId="4CA13C6D" w14:textId="77777777">
        <w:trPr>
          <w:trHeight w:val="481"/>
        </w:trPr>
        <w:tc>
          <w:tcPr>
            <w:tcW w:w="2010" w:type="pct"/>
            <w:hideMark/>
          </w:tcPr>
          <w:p w14:paraId="0CC98A44" w14:textId="77777777" w:rsidR="00A83939" w:rsidRPr="00DD1B58" w:rsidRDefault="00A83939">
            <w:pPr>
              <w:spacing w:after="0" w:line="240" w:lineRule="auto"/>
              <w:rPr>
                <w:szCs w:val="24"/>
                <w:lang w:val="en-US" w:bidi="ar-SA"/>
              </w:rPr>
            </w:pPr>
            <w:r w:rsidRPr="00DD1B58">
              <w:rPr>
                <w:b/>
                <w:bCs/>
                <w:color w:val="000000"/>
                <w:szCs w:val="24"/>
                <w:lang w:val="en-US" w:bidi="ar-SA"/>
              </w:rPr>
              <w:t>Reactor under decommissioning</w:t>
            </w:r>
          </w:p>
        </w:tc>
        <w:tc>
          <w:tcPr>
            <w:tcW w:w="1368" w:type="pct"/>
            <w:vMerge/>
            <w:hideMark/>
          </w:tcPr>
          <w:p w14:paraId="2ACA0116" w14:textId="77777777" w:rsidR="00A83939" w:rsidRPr="00DD1B58" w:rsidRDefault="00A83939">
            <w:pPr>
              <w:spacing w:after="0" w:line="240" w:lineRule="auto"/>
              <w:rPr>
                <w:szCs w:val="24"/>
                <w:lang w:val="en-US" w:bidi="ar-SA"/>
              </w:rPr>
            </w:pPr>
          </w:p>
        </w:tc>
        <w:tc>
          <w:tcPr>
            <w:tcW w:w="1622" w:type="pct"/>
            <w:hideMark/>
          </w:tcPr>
          <w:p w14:paraId="22986D2E" w14:textId="77777777" w:rsidR="00A83939" w:rsidRPr="00DD1B58" w:rsidRDefault="00A83939">
            <w:pPr>
              <w:spacing w:after="0" w:line="240" w:lineRule="auto"/>
              <w:rPr>
                <w:szCs w:val="24"/>
                <w:lang w:val="en-US" w:bidi="ar-SA"/>
              </w:rPr>
            </w:pPr>
            <w:r w:rsidRPr="00DD1B58">
              <w:rPr>
                <w:color w:val="000000"/>
                <w:szCs w:val="24"/>
                <w:lang w:val="en-US" w:bidi="ar-SA"/>
              </w:rPr>
              <w:t>Pile 1, care &amp; maintenance (and dismantling – Pile chimney)</w:t>
            </w:r>
          </w:p>
        </w:tc>
      </w:tr>
    </w:tbl>
    <w:p w14:paraId="6097FCB5" w14:textId="77777777" w:rsidR="00A83939" w:rsidRPr="00DD1B58" w:rsidRDefault="00A83939" w:rsidP="00A83939">
      <w:pPr>
        <w:pStyle w:val="Bulletlist1"/>
        <w:numPr>
          <w:ilvl w:val="0"/>
          <w:numId w:val="0"/>
        </w:numPr>
        <w:rPr>
          <w:lang w:val="en-US"/>
        </w:rPr>
      </w:pPr>
    </w:p>
    <w:p w14:paraId="2A751249" w14:textId="32A91558" w:rsidR="00BE048F" w:rsidRPr="00DD1B58" w:rsidRDefault="00A83939" w:rsidP="00CD3128">
      <w:pPr>
        <w:pStyle w:val="Bulletlist1"/>
        <w:numPr>
          <w:ilvl w:val="0"/>
          <w:numId w:val="0"/>
        </w:numPr>
        <w:rPr>
          <w:lang w:val="en-US"/>
        </w:rPr>
      </w:pPr>
      <w:r w:rsidRPr="00DD1B58">
        <w:rPr>
          <w:lang w:val="en-US"/>
        </w:rPr>
        <w:t>The licensees’ reports have been incorporated into the NAR in accordance with the TPR technical specification. Generally, the licensees’ contributions have been copied into the NAR without being modified or with minimal editing. When the licensees’ contributions to the NAR have been edited, this has been remove excessive detail, improve clarity e.g. attribute statements to licensees, and to ensure a broadly consistent style across the report.</w:t>
      </w:r>
    </w:p>
    <w:p w14:paraId="1C4CF0D4" w14:textId="77777777" w:rsidR="00D34C6F" w:rsidRPr="00DD1B58" w:rsidRDefault="00D34C6F" w:rsidP="00003C66">
      <w:pPr>
        <w:pStyle w:val="Heading4"/>
        <w:numPr>
          <w:ilvl w:val="5"/>
          <w:numId w:val="3"/>
        </w:numPr>
        <w:rPr>
          <w:lang w:val="en-US"/>
        </w:rPr>
      </w:pPr>
      <w:bookmarkStart w:id="11" w:name="_Ref135231543"/>
      <w:r w:rsidRPr="00DD1B58">
        <w:rPr>
          <w:lang w:val="en-US"/>
        </w:rPr>
        <w:t>Key parameters per installation</w:t>
      </w:r>
      <w:bookmarkEnd w:id="11"/>
      <w:r w:rsidRPr="00DD1B58">
        <w:rPr>
          <w:lang w:val="en-US"/>
        </w:rPr>
        <w:t xml:space="preserve"> </w:t>
      </w:r>
    </w:p>
    <w:p w14:paraId="29EC18BB" w14:textId="6B038242" w:rsidR="343A15C1" w:rsidRPr="00DD1B58" w:rsidRDefault="343A15C1" w:rsidP="001B13EA">
      <w:pPr>
        <w:pStyle w:val="Heading4"/>
        <w:numPr>
          <w:ilvl w:val="6"/>
          <w:numId w:val="3"/>
        </w:numPr>
        <w:rPr>
          <w:lang w:val="en-US"/>
        </w:rPr>
      </w:pPr>
      <w:r w:rsidRPr="00DD1B58">
        <w:rPr>
          <w:lang w:val="en-US"/>
        </w:rPr>
        <w:t xml:space="preserve">EDF Energy Nuclear Generation </w:t>
      </w:r>
      <w:r w:rsidR="003D7E70" w:rsidRPr="00DD1B58">
        <w:rPr>
          <w:lang w:val="en-US"/>
        </w:rPr>
        <w:t>Ltd</w:t>
      </w:r>
    </w:p>
    <w:p w14:paraId="617D8D81" w14:textId="72BE1F0B" w:rsidR="6677DF90" w:rsidRPr="00DD1B58" w:rsidRDefault="092FBEDB" w:rsidP="39260F63">
      <w:pPr>
        <w:rPr>
          <w:lang w:val="en-US"/>
        </w:rPr>
      </w:pPr>
      <w:r w:rsidRPr="00DD1B58">
        <w:rPr>
          <w:lang w:val="en-US"/>
        </w:rPr>
        <w:t>Three main types of nuclear power plants are addressed in EDF NGL</w:t>
      </w:r>
      <w:r w:rsidR="00F93484" w:rsidRPr="00DD1B58">
        <w:rPr>
          <w:lang w:val="en-US"/>
        </w:rPr>
        <w:t>’s</w:t>
      </w:r>
      <w:r w:rsidRPr="00DD1B58">
        <w:rPr>
          <w:lang w:val="en-US"/>
        </w:rPr>
        <w:t xml:space="preserve"> </w:t>
      </w:r>
      <w:r w:rsidR="007F35D9" w:rsidRPr="00DD1B58">
        <w:rPr>
          <w:lang w:val="en-US"/>
        </w:rPr>
        <w:t>TPR 2</w:t>
      </w:r>
      <w:r w:rsidRPr="00DD1B58">
        <w:rPr>
          <w:lang w:val="en-US"/>
        </w:rPr>
        <w:t xml:space="preserve"> fire assessment. These are:</w:t>
      </w:r>
    </w:p>
    <w:p w14:paraId="28AA8A52" w14:textId="2AE95E55" w:rsidR="6677DF90" w:rsidRPr="00DD1B58" w:rsidRDefault="092FBEDB" w:rsidP="39260F63">
      <w:pPr>
        <w:pStyle w:val="Bulletlist1"/>
        <w:rPr>
          <w:lang w:val="en-US"/>
        </w:rPr>
      </w:pPr>
      <w:r w:rsidRPr="00DD1B58">
        <w:rPr>
          <w:lang w:val="en-US"/>
        </w:rPr>
        <w:t>First generation AGRs</w:t>
      </w:r>
      <w:r w:rsidR="000A60B4" w:rsidRPr="00DD1B58">
        <w:rPr>
          <w:lang w:val="en-US"/>
        </w:rPr>
        <w:t>: t</w:t>
      </w:r>
      <w:r w:rsidRPr="00DD1B58">
        <w:rPr>
          <w:lang w:val="en-US"/>
        </w:rPr>
        <w:t>he reference</w:t>
      </w:r>
      <w:r w:rsidR="00F93484" w:rsidRPr="00DD1B58">
        <w:rPr>
          <w:lang w:val="en-US"/>
        </w:rPr>
        <w:t xml:space="preserve"> reactor</w:t>
      </w:r>
      <w:r w:rsidRPr="00DD1B58">
        <w:rPr>
          <w:lang w:val="en-US"/>
        </w:rPr>
        <w:t xml:space="preserve"> unit used </w:t>
      </w:r>
      <w:r w:rsidR="00F93484" w:rsidRPr="00DD1B58">
        <w:rPr>
          <w:lang w:val="en-US"/>
        </w:rPr>
        <w:t xml:space="preserve">for the purposes of reporting </w:t>
      </w:r>
      <w:r w:rsidRPr="00DD1B58">
        <w:rPr>
          <w:lang w:val="en-US"/>
        </w:rPr>
        <w:t xml:space="preserve">is Hunterston B, but where applicable information from other first generation AGRs </w:t>
      </w:r>
      <w:r w:rsidR="0029230D" w:rsidRPr="00DD1B58">
        <w:rPr>
          <w:lang w:val="en-US"/>
        </w:rPr>
        <w:t>has</w:t>
      </w:r>
      <w:r w:rsidRPr="00DD1B58">
        <w:rPr>
          <w:lang w:val="en-US"/>
        </w:rPr>
        <w:t xml:space="preserve"> also </w:t>
      </w:r>
      <w:r w:rsidR="0029230D" w:rsidRPr="00DD1B58">
        <w:rPr>
          <w:lang w:val="en-US"/>
        </w:rPr>
        <w:t xml:space="preserve">been </w:t>
      </w:r>
      <w:r w:rsidRPr="00DD1B58">
        <w:rPr>
          <w:lang w:val="en-US"/>
        </w:rPr>
        <w:t>used.</w:t>
      </w:r>
    </w:p>
    <w:p w14:paraId="31893A51" w14:textId="7FB1B628" w:rsidR="6677DF90" w:rsidRPr="00DD1B58" w:rsidRDefault="092FBEDB" w:rsidP="39260F63">
      <w:pPr>
        <w:pStyle w:val="Bulletlist1"/>
        <w:rPr>
          <w:lang w:val="en-US"/>
        </w:rPr>
      </w:pPr>
      <w:r w:rsidRPr="00DD1B58">
        <w:rPr>
          <w:lang w:val="en-US"/>
        </w:rPr>
        <w:t>Second generation AGRs</w:t>
      </w:r>
      <w:r w:rsidR="000A60B4" w:rsidRPr="00DD1B58">
        <w:rPr>
          <w:lang w:val="en-US"/>
        </w:rPr>
        <w:t>:</w:t>
      </w:r>
      <w:r w:rsidRPr="00DD1B58">
        <w:rPr>
          <w:lang w:val="en-US"/>
        </w:rPr>
        <w:t xml:space="preserve"> </w:t>
      </w:r>
      <w:r w:rsidR="000A60B4" w:rsidRPr="00DD1B58">
        <w:rPr>
          <w:lang w:val="en-US"/>
        </w:rPr>
        <w:t>t</w:t>
      </w:r>
      <w:r w:rsidRPr="00DD1B58">
        <w:rPr>
          <w:lang w:val="en-US"/>
        </w:rPr>
        <w:t xml:space="preserve">he reference unit used is Heysham 2, but where applicable information from the sister station at Torness </w:t>
      </w:r>
      <w:r w:rsidR="00841958" w:rsidRPr="00DD1B58">
        <w:rPr>
          <w:lang w:val="en-US"/>
        </w:rPr>
        <w:t xml:space="preserve">(TOR) </w:t>
      </w:r>
      <w:r w:rsidRPr="00DD1B58">
        <w:rPr>
          <w:lang w:val="en-US"/>
        </w:rPr>
        <w:t>has also been used.</w:t>
      </w:r>
    </w:p>
    <w:p w14:paraId="788EF6AF" w14:textId="4525C47E" w:rsidR="6677DF90" w:rsidRPr="00DD1B58" w:rsidRDefault="092FBEDB" w:rsidP="39260F63">
      <w:pPr>
        <w:pStyle w:val="Bulletlist1"/>
        <w:rPr>
          <w:lang w:val="en-US"/>
        </w:rPr>
      </w:pPr>
      <w:r w:rsidRPr="00DD1B58">
        <w:rPr>
          <w:lang w:val="en-US"/>
        </w:rPr>
        <w:lastRenderedPageBreak/>
        <w:t>The UK</w:t>
      </w:r>
      <w:r w:rsidR="00C51B4B" w:rsidRPr="00DD1B58">
        <w:rPr>
          <w:lang w:val="en-US"/>
        </w:rPr>
        <w:t>’s</w:t>
      </w:r>
      <w:r w:rsidRPr="00DD1B58">
        <w:rPr>
          <w:lang w:val="en-US"/>
        </w:rPr>
        <w:t xml:space="preserve"> PWR Sizewell B (SZB)</w:t>
      </w:r>
      <w:r w:rsidR="00C51B4B" w:rsidRPr="00DD1B58">
        <w:rPr>
          <w:lang w:val="en-US"/>
        </w:rPr>
        <w:t xml:space="preserve"> (Westinghouse design).</w:t>
      </w:r>
    </w:p>
    <w:p w14:paraId="1F9A9FCC" w14:textId="54EFFCF3" w:rsidR="6677DF90" w:rsidRPr="00DD1B58" w:rsidRDefault="092FBEDB" w:rsidP="39260F63">
      <w:pPr>
        <w:rPr>
          <w:lang w:val="en-US"/>
        </w:rPr>
      </w:pPr>
      <w:r w:rsidRPr="00DD1B58">
        <w:rPr>
          <w:lang w:val="en-US"/>
        </w:rPr>
        <w:t xml:space="preserve">In addition, the AGR spent fuel ponds and the dry fuel store at SZB are addressed. </w:t>
      </w:r>
    </w:p>
    <w:p w14:paraId="09F11148" w14:textId="2E3738AF" w:rsidR="6677DF90" w:rsidRPr="00DD1B58" w:rsidRDefault="6677DF90" w:rsidP="00C14E60">
      <w:pPr>
        <w:keepNext/>
        <w:rPr>
          <w:b/>
          <w:bCs/>
          <w:lang w:val="en-US"/>
        </w:rPr>
      </w:pPr>
      <w:r w:rsidRPr="00DD1B58">
        <w:rPr>
          <w:b/>
          <w:bCs/>
          <w:lang w:val="en-US"/>
        </w:rPr>
        <w:t>1.1.3.</w:t>
      </w:r>
      <w:r w:rsidR="7DEA23ED" w:rsidRPr="00DD1B58">
        <w:rPr>
          <w:b/>
          <w:bCs/>
          <w:lang w:val="en-US"/>
        </w:rPr>
        <w:t>1.</w:t>
      </w:r>
      <w:r w:rsidR="001B3BF7" w:rsidRPr="00DD1B58">
        <w:rPr>
          <w:b/>
          <w:bCs/>
          <w:lang w:val="en-US"/>
        </w:rPr>
        <w:t>1</w:t>
      </w:r>
      <w:r w:rsidR="001B3BF7" w:rsidRPr="00DD1B58">
        <w:rPr>
          <w:b/>
          <w:bCs/>
          <w:lang w:val="en-US"/>
        </w:rPr>
        <w:tab/>
      </w:r>
      <w:r w:rsidRPr="00DD1B58">
        <w:rPr>
          <w:b/>
          <w:bCs/>
          <w:lang w:val="en-US"/>
        </w:rPr>
        <w:t>Hunterston B</w:t>
      </w:r>
    </w:p>
    <w:p w14:paraId="0030A52B" w14:textId="5D13B39E" w:rsidR="6677DF90" w:rsidRPr="00DD1B58" w:rsidRDefault="6677DF90" w:rsidP="355CB971">
      <w:pPr>
        <w:rPr>
          <w:lang w:val="en-US"/>
        </w:rPr>
      </w:pPr>
      <w:r w:rsidRPr="00DD1B58">
        <w:rPr>
          <w:lang w:val="en-US"/>
        </w:rPr>
        <w:t>Hunterston B</w:t>
      </w:r>
      <w:r w:rsidR="00FD7A59" w:rsidRPr="00DD1B58">
        <w:rPr>
          <w:lang w:val="en-US"/>
        </w:rPr>
        <w:t xml:space="preserve"> (H</w:t>
      </w:r>
      <w:r w:rsidR="00631F61" w:rsidRPr="00DD1B58">
        <w:rPr>
          <w:lang w:val="en-US"/>
        </w:rPr>
        <w:t>N</w:t>
      </w:r>
      <w:r w:rsidR="00FD7A59" w:rsidRPr="00DD1B58">
        <w:rPr>
          <w:lang w:val="en-US"/>
        </w:rPr>
        <w:t>B)</w:t>
      </w:r>
      <w:r w:rsidRPr="00DD1B58">
        <w:rPr>
          <w:lang w:val="en-US"/>
        </w:rPr>
        <w:t xml:space="preserve"> is a first generation AGR </w:t>
      </w:r>
      <w:r w:rsidR="001F569F" w:rsidRPr="00DD1B58">
        <w:rPr>
          <w:lang w:val="en-US"/>
        </w:rPr>
        <w:t xml:space="preserve">which </w:t>
      </w:r>
      <w:r w:rsidRPr="00DD1B58">
        <w:rPr>
          <w:lang w:val="en-US"/>
        </w:rPr>
        <w:t>stopped generating electricity in January 2022 after 46 years of service. The net electrical output from the two reactors was 1</w:t>
      </w:r>
      <w:r w:rsidR="00C437B2" w:rsidRPr="00DD1B58">
        <w:rPr>
          <w:lang w:val="en-US"/>
        </w:rPr>
        <w:t>,</w:t>
      </w:r>
      <w:r w:rsidRPr="00DD1B58">
        <w:rPr>
          <w:lang w:val="en-US"/>
        </w:rPr>
        <w:t>215 MW</w:t>
      </w:r>
      <w:r w:rsidR="00263812" w:rsidRPr="00DD1B58">
        <w:rPr>
          <w:lang w:val="en-US"/>
        </w:rPr>
        <w:t>;</w:t>
      </w:r>
      <w:r w:rsidRPr="00DD1B58">
        <w:rPr>
          <w:lang w:val="en-US"/>
        </w:rPr>
        <w:t xml:space="preserve"> however</w:t>
      </w:r>
      <w:r w:rsidR="00DD3965" w:rsidRPr="00DD1B58">
        <w:rPr>
          <w:lang w:val="en-US"/>
        </w:rPr>
        <w:t>,</w:t>
      </w:r>
      <w:r w:rsidRPr="00DD1B58">
        <w:rPr>
          <w:lang w:val="en-US"/>
        </w:rPr>
        <w:t xml:space="preserve"> since 2007</w:t>
      </w:r>
      <w:r w:rsidR="00DD3965" w:rsidRPr="00DD1B58">
        <w:rPr>
          <w:lang w:val="en-US"/>
        </w:rPr>
        <w:t>,</w:t>
      </w:r>
      <w:r w:rsidRPr="00DD1B58">
        <w:rPr>
          <w:lang w:val="en-US"/>
        </w:rPr>
        <w:t xml:space="preserve"> the reactors were restricted to operating at a reduced output level.</w:t>
      </w:r>
    </w:p>
    <w:p w14:paraId="653D03F6" w14:textId="0894F283" w:rsidR="6677DF90" w:rsidRPr="00DD1B58" w:rsidRDefault="6677DF90" w:rsidP="355CB971">
      <w:pPr>
        <w:rPr>
          <w:lang w:val="en-US"/>
        </w:rPr>
      </w:pPr>
      <w:r w:rsidRPr="00DD1B58">
        <w:rPr>
          <w:lang w:val="en-US"/>
        </w:rPr>
        <w:t xml:space="preserve">The station is situated about 2.4 miles (4 km) </w:t>
      </w:r>
      <w:r w:rsidR="00AE5D41" w:rsidRPr="00DD1B58">
        <w:rPr>
          <w:lang w:val="en-US"/>
        </w:rPr>
        <w:t xml:space="preserve">north west </w:t>
      </w:r>
      <w:r w:rsidRPr="00DD1B58">
        <w:rPr>
          <w:lang w:val="en-US"/>
        </w:rPr>
        <w:t xml:space="preserve">of West Kilbride in Southwest Scotland, on the Firth of Clyde coast. It is </w:t>
      </w:r>
      <w:r w:rsidR="00773FC8" w:rsidRPr="00DD1B58">
        <w:rPr>
          <w:lang w:val="en-US"/>
        </w:rPr>
        <w:t>at</w:t>
      </w:r>
      <w:r w:rsidRPr="00DD1B58">
        <w:rPr>
          <w:lang w:val="en-US"/>
        </w:rPr>
        <w:t xml:space="preserve"> the same </w:t>
      </w:r>
      <w:r w:rsidR="00773FC8" w:rsidRPr="00DD1B58">
        <w:rPr>
          <w:lang w:val="en-US"/>
        </w:rPr>
        <w:t xml:space="preserve">location </w:t>
      </w:r>
      <w:r w:rsidRPr="00DD1B58">
        <w:rPr>
          <w:lang w:val="en-US"/>
        </w:rPr>
        <w:t xml:space="preserve">as the Hunterston A Magnox nuclear power station (now </w:t>
      </w:r>
      <w:r w:rsidR="003A3F53" w:rsidRPr="00DD1B58">
        <w:rPr>
          <w:lang w:val="en-US"/>
        </w:rPr>
        <w:t>defueled</w:t>
      </w:r>
      <w:r w:rsidRPr="00DD1B58">
        <w:rPr>
          <w:lang w:val="en-US"/>
        </w:rPr>
        <w:t xml:space="preserve"> and being decommissioned). </w:t>
      </w:r>
      <w:r w:rsidR="00807B10" w:rsidRPr="00DD1B58">
        <w:rPr>
          <w:lang w:val="en-US"/>
        </w:rPr>
        <w:t>EDF NGL reports that t</w:t>
      </w:r>
      <w:r w:rsidRPr="00DD1B58">
        <w:rPr>
          <w:lang w:val="en-US"/>
        </w:rPr>
        <w:t xml:space="preserve">here are no other significant sources of industrial activity in the </w:t>
      </w:r>
      <w:r w:rsidR="009A4E6F" w:rsidRPr="00DD1B58">
        <w:rPr>
          <w:lang w:val="en-US"/>
        </w:rPr>
        <w:t xml:space="preserve">area </w:t>
      </w:r>
      <w:r w:rsidR="00AE5D41" w:rsidRPr="00DD1B58">
        <w:rPr>
          <w:lang w:val="en-US"/>
        </w:rPr>
        <w:t>that</w:t>
      </w:r>
      <w:r w:rsidR="009A4E6F" w:rsidRPr="00DD1B58">
        <w:rPr>
          <w:lang w:val="en-US"/>
        </w:rPr>
        <w:t xml:space="preserve"> can affect the safety of the plant</w:t>
      </w:r>
      <w:r w:rsidRPr="00DD1B58">
        <w:rPr>
          <w:lang w:val="en-US"/>
        </w:rPr>
        <w:t>.</w:t>
      </w:r>
    </w:p>
    <w:p w14:paraId="70CDEE0D" w14:textId="55283A58" w:rsidR="6677DF90" w:rsidRPr="00DD1B58" w:rsidRDefault="6677DF90" w:rsidP="355CB971">
      <w:pPr>
        <w:rPr>
          <w:lang w:val="en-US"/>
        </w:rPr>
      </w:pPr>
      <w:r w:rsidRPr="00DD1B58">
        <w:rPr>
          <w:lang w:val="en-US"/>
        </w:rPr>
        <w:t>The reactor is cooled by CO</w:t>
      </w:r>
      <w:r w:rsidRPr="00DD1B58">
        <w:rPr>
          <w:vertAlign w:val="subscript"/>
          <w:lang w:val="en-US"/>
        </w:rPr>
        <w:t>2</w:t>
      </w:r>
      <w:r w:rsidRPr="00DD1B58">
        <w:rPr>
          <w:lang w:val="en-US"/>
        </w:rPr>
        <w:t xml:space="preserve"> gas, but as the unit is being </w:t>
      </w:r>
      <w:r w:rsidR="001F569F" w:rsidRPr="00DD1B58">
        <w:rPr>
          <w:lang w:val="en-US"/>
        </w:rPr>
        <w:t>defuel</w:t>
      </w:r>
      <w:r w:rsidR="00AD6C43" w:rsidRPr="00DD1B58">
        <w:rPr>
          <w:lang w:val="en-US"/>
        </w:rPr>
        <w:t>ed</w:t>
      </w:r>
      <w:r w:rsidR="009A4E6F" w:rsidRPr="00DD1B58">
        <w:rPr>
          <w:lang w:val="en-US"/>
        </w:rPr>
        <w:t>,</w:t>
      </w:r>
      <w:r w:rsidRPr="00DD1B58">
        <w:rPr>
          <w:lang w:val="en-US"/>
        </w:rPr>
        <w:t xml:space="preserve"> this is at low pressure</w:t>
      </w:r>
      <w:r w:rsidR="4A5838DA" w:rsidRPr="00DD1B58">
        <w:rPr>
          <w:lang w:val="en-US"/>
        </w:rPr>
        <w:t xml:space="preserve"> </w:t>
      </w:r>
      <w:r w:rsidRPr="00DD1B58">
        <w:rPr>
          <w:lang w:val="en-US"/>
        </w:rPr>
        <w:t xml:space="preserve">and temperature. This </w:t>
      </w:r>
      <w:r w:rsidR="00566620" w:rsidRPr="00DD1B58">
        <w:rPr>
          <w:lang w:val="en-US"/>
        </w:rPr>
        <w:t>significantly</w:t>
      </w:r>
      <w:r w:rsidRPr="00DD1B58">
        <w:rPr>
          <w:lang w:val="en-US"/>
        </w:rPr>
        <w:t xml:space="preserve"> reduces the nuclear risk from the fire hazard, although fuel has still to be removed from the reactor.</w:t>
      </w:r>
    </w:p>
    <w:p w14:paraId="2732505A" w14:textId="79907FAB" w:rsidR="6677DF90" w:rsidRPr="00DD1B58" w:rsidRDefault="00777579" w:rsidP="355CB971">
      <w:pPr>
        <w:rPr>
          <w:lang w:val="en-US"/>
        </w:rPr>
      </w:pPr>
      <w:r w:rsidRPr="00DD1B58">
        <w:rPr>
          <w:lang w:val="en-US"/>
        </w:rPr>
        <w:t xml:space="preserve">There is an on-site firefighting team staffed by plant operators and the local fire brigade is called upon where required. </w:t>
      </w:r>
      <w:r w:rsidR="6677DF90" w:rsidRPr="00DD1B58">
        <w:rPr>
          <w:lang w:val="en-US"/>
        </w:rPr>
        <w:t>There are currently no shared resources or offsite resources.</w:t>
      </w:r>
    </w:p>
    <w:p w14:paraId="50414843" w14:textId="2E34FFCE" w:rsidR="6677DF90" w:rsidRPr="00DD1B58" w:rsidRDefault="6677DF90" w:rsidP="355CB971">
      <w:pPr>
        <w:rPr>
          <w:lang w:val="en-US"/>
        </w:rPr>
      </w:pPr>
      <w:r w:rsidRPr="00DD1B58">
        <w:rPr>
          <w:lang w:val="en-US"/>
        </w:rPr>
        <w:t xml:space="preserve">There are no </w:t>
      </w:r>
      <w:r w:rsidR="003D5FE6" w:rsidRPr="00DD1B58">
        <w:rPr>
          <w:lang w:val="en-US"/>
        </w:rPr>
        <w:t>long-</w:t>
      </w:r>
      <w:r w:rsidRPr="00DD1B58">
        <w:rPr>
          <w:lang w:val="en-US"/>
        </w:rPr>
        <w:t>term spent fuel storage facilities on site. Fuel elements are stored in the fuel ponds after removal from the reactor until the decay heat level allows the spent fuel to be shipped to Sellafield.</w:t>
      </w:r>
      <w:r w:rsidR="10496957" w:rsidRPr="00DD1B58">
        <w:rPr>
          <w:lang w:val="en-US"/>
        </w:rPr>
        <w:t xml:space="preserve"> </w:t>
      </w:r>
      <w:r w:rsidRPr="00DD1B58">
        <w:rPr>
          <w:lang w:val="en-US"/>
        </w:rPr>
        <w:t xml:space="preserve">Typically, this is after about 18 months, but </w:t>
      </w:r>
      <w:r w:rsidR="00B453AC" w:rsidRPr="00DD1B58">
        <w:rPr>
          <w:lang w:val="en-US"/>
        </w:rPr>
        <w:t xml:space="preserve">it </w:t>
      </w:r>
      <w:r w:rsidRPr="00DD1B58">
        <w:rPr>
          <w:lang w:val="en-US"/>
        </w:rPr>
        <w:t xml:space="preserve">can vary due to logistical considerations. </w:t>
      </w:r>
    </w:p>
    <w:p w14:paraId="47F9179D" w14:textId="5BD10B0C" w:rsidR="6677DF90" w:rsidRPr="00DD1B58" w:rsidRDefault="6677DF90" w:rsidP="355CB971">
      <w:pPr>
        <w:rPr>
          <w:b/>
          <w:bCs/>
          <w:lang w:val="en-US"/>
        </w:rPr>
      </w:pPr>
      <w:r w:rsidRPr="00DD1B58">
        <w:rPr>
          <w:b/>
          <w:bCs/>
          <w:lang w:val="en-US"/>
        </w:rPr>
        <w:t>1.1.3.</w:t>
      </w:r>
      <w:r w:rsidR="150F1A96" w:rsidRPr="00DD1B58">
        <w:rPr>
          <w:b/>
          <w:bCs/>
          <w:lang w:val="en-US"/>
        </w:rPr>
        <w:t>1.</w:t>
      </w:r>
      <w:r w:rsidR="001B3BF7" w:rsidRPr="00DD1B58">
        <w:rPr>
          <w:b/>
          <w:bCs/>
          <w:lang w:val="en-US"/>
        </w:rPr>
        <w:t>2</w:t>
      </w:r>
      <w:r w:rsidR="001B3BF7" w:rsidRPr="00DD1B58">
        <w:rPr>
          <w:b/>
          <w:bCs/>
          <w:lang w:val="en-US"/>
        </w:rPr>
        <w:tab/>
      </w:r>
      <w:r w:rsidRPr="00DD1B58">
        <w:rPr>
          <w:b/>
          <w:bCs/>
          <w:lang w:val="en-US"/>
        </w:rPr>
        <w:t>Heysham 2</w:t>
      </w:r>
    </w:p>
    <w:p w14:paraId="3A0BB26F" w14:textId="4FC38064" w:rsidR="6677DF90" w:rsidRPr="00DD1B58" w:rsidRDefault="6677DF90" w:rsidP="355CB971">
      <w:pPr>
        <w:rPr>
          <w:lang w:val="en-US"/>
        </w:rPr>
      </w:pPr>
      <w:r w:rsidRPr="00DD1B58">
        <w:rPr>
          <w:lang w:val="en-US"/>
        </w:rPr>
        <w:t xml:space="preserve">Heysham 2 </w:t>
      </w:r>
      <w:r w:rsidR="00FD7A59" w:rsidRPr="00DD1B58">
        <w:rPr>
          <w:lang w:val="en-US"/>
        </w:rPr>
        <w:t xml:space="preserve">(HY2) </w:t>
      </w:r>
      <w:r w:rsidRPr="00DD1B58">
        <w:rPr>
          <w:lang w:val="en-US"/>
        </w:rPr>
        <w:t xml:space="preserve">is an improved </w:t>
      </w:r>
      <w:r w:rsidR="00AD6C43" w:rsidRPr="00DD1B58">
        <w:rPr>
          <w:lang w:val="en-US"/>
        </w:rPr>
        <w:t xml:space="preserve">design </w:t>
      </w:r>
      <w:r w:rsidRPr="00DD1B58">
        <w:rPr>
          <w:lang w:val="en-US"/>
        </w:rPr>
        <w:t>and</w:t>
      </w:r>
      <w:r w:rsidR="00AD6C43" w:rsidRPr="00DD1B58">
        <w:rPr>
          <w:lang w:val="en-US"/>
        </w:rPr>
        <w:t xml:space="preserve"> is</w:t>
      </w:r>
      <w:r w:rsidRPr="00DD1B58">
        <w:rPr>
          <w:lang w:val="en-US"/>
        </w:rPr>
        <w:t xml:space="preserve"> </w:t>
      </w:r>
      <w:r w:rsidR="004E5417" w:rsidRPr="00DD1B58">
        <w:rPr>
          <w:lang w:val="en-US"/>
        </w:rPr>
        <w:t xml:space="preserve">the </w:t>
      </w:r>
      <w:r w:rsidRPr="00DD1B58">
        <w:rPr>
          <w:lang w:val="en-US"/>
        </w:rPr>
        <w:t>latest version of the first generation AGRs. The net electrical output</w:t>
      </w:r>
      <w:r w:rsidR="3B290FCE" w:rsidRPr="00DD1B58">
        <w:rPr>
          <w:lang w:val="en-US"/>
        </w:rPr>
        <w:t xml:space="preserve"> </w:t>
      </w:r>
      <w:r w:rsidRPr="00DD1B58">
        <w:rPr>
          <w:lang w:val="en-US"/>
        </w:rPr>
        <w:t>from the two reactors is 1</w:t>
      </w:r>
      <w:r w:rsidR="00C437B2" w:rsidRPr="00DD1B58">
        <w:rPr>
          <w:lang w:val="en-US"/>
        </w:rPr>
        <w:t>,</w:t>
      </w:r>
      <w:r w:rsidRPr="00DD1B58">
        <w:rPr>
          <w:lang w:val="en-US"/>
        </w:rPr>
        <w:t>250 MW.</w:t>
      </w:r>
    </w:p>
    <w:p w14:paraId="6DC92257" w14:textId="389AB955" w:rsidR="6677DF90" w:rsidRPr="00DD1B58" w:rsidRDefault="6677DF90" w:rsidP="355CB971">
      <w:pPr>
        <w:rPr>
          <w:lang w:val="en-US"/>
        </w:rPr>
      </w:pPr>
      <w:r w:rsidRPr="00DD1B58">
        <w:rPr>
          <w:lang w:val="en-US"/>
        </w:rPr>
        <w:t xml:space="preserve">The station is situated on the coast in the </w:t>
      </w:r>
      <w:r w:rsidR="006D554F" w:rsidRPr="00DD1B58">
        <w:rPr>
          <w:lang w:val="en-US"/>
        </w:rPr>
        <w:t>n</w:t>
      </w:r>
      <w:r w:rsidRPr="00DD1B58">
        <w:rPr>
          <w:lang w:val="en-US"/>
        </w:rPr>
        <w:t>orth</w:t>
      </w:r>
      <w:r w:rsidR="006D554F" w:rsidRPr="00DD1B58">
        <w:rPr>
          <w:lang w:val="en-US"/>
        </w:rPr>
        <w:t xml:space="preserve"> </w:t>
      </w:r>
      <w:r w:rsidRPr="00DD1B58">
        <w:rPr>
          <w:lang w:val="en-US"/>
        </w:rPr>
        <w:t xml:space="preserve">west of England and about 7 miles (11 km) </w:t>
      </w:r>
      <w:r w:rsidR="003E5D8B" w:rsidRPr="00DD1B58">
        <w:rPr>
          <w:lang w:val="en-US"/>
        </w:rPr>
        <w:t>west</w:t>
      </w:r>
      <w:r w:rsidRPr="00DD1B58">
        <w:rPr>
          <w:lang w:val="en-US"/>
        </w:rPr>
        <w:t xml:space="preserve"> of the</w:t>
      </w:r>
      <w:r w:rsidR="02EB318F" w:rsidRPr="00DD1B58">
        <w:rPr>
          <w:lang w:val="en-US"/>
        </w:rPr>
        <w:t xml:space="preserve"> </w:t>
      </w:r>
      <w:r w:rsidRPr="00DD1B58">
        <w:rPr>
          <w:lang w:val="en-US"/>
        </w:rPr>
        <w:t>city of Lancaster. Construction started in 1980 and the station was commissioned in 1988. It is adjacent</w:t>
      </w:r>
      <w:r w:rsidR="43210DFF" w:rsidRPr="00DD1B58">
        <w:rPr>
          <w:lang w:val="en-US"/>
        </w:rPr>
        <w:t xml:space="preserve"> </w:t>
      </w:r>
      <w:r w:rsidRPr="00DD1B58">
        <w:rPr>
          <w:lang w:val="en-US"/>
        </w:rPr>
        <w:t xml:space="preserve">to the site of the Heysham 1 first generation AGR (commissioned in 1983). Heysham 1 is still </w:t>
      </w:r>
      <w:r w:rsidR="003B7F8F" w:rsidRPr="00DD1B58">
        <w:rPr>
          <w:lang w:val="en-US"/>
        </w:rPr>
        <w:t xml:space="preserve">in operation, </w:t>
      </w:r>
      <w:r w:rsidRPr="00DD1B58">
        <w:rPr>
          <w:lang w:val="en-US"/>
        </w:rPr>
        <w:t>but is expected to close in 2026.</w:t>
      </w:r>
    </w:p>
    <w:p w14:paraId="58375186" w14:textId="77777777" w:rsidR="6677DF90" w:rsidRPr="00DD1B58" w:rsidRDefault="6677DF90" w:rsidP="355CB971">
      <w:pPr>
        <w:rPr>
          <w:lang w:val="en-US"/>
        </w:rPr>
      </w:pPr>
      <w:r w:rsidRPr="00DD1B58">
        <w:rPr>
          <w:lang w:val="en-US"/>
        </w:rPr>
        <w:t>Both stations are situated near Heysham harbour, which is used for supply vessels to offshore gas</w:t>
      </w:r>
      <w:r w:rsidR="290D8EB1" w:rsidRPr="00DD1B58">
        <w:rPr>
          <w:lang w:val="en-US"/>
        </w:rPr>
        <w:t xml:space="preserve"> </w:t>
      </w:r>
      <w:r w:rsidRPr="00DD1B58">
        <w:rPr>
          <w:lang w:val="en-US"/>
        </w:rPr>
        <w:t>platforms situated in the Morecambe bay area and is also used for touristic purposes. The harbour is the</w:t>
      </w:r>
      <w:r w:rsidR="5FD43948" w:rsidRPr="00DD1B58">
        <w:rPr>
          <w:lang w:val="en-US"/>
        </w:rPr>
        <w:t xml:space="preserve"> </w:t>
      </w:r>
      <w:r w:rsidRPr="00DD1B58">
        <w:rPr>
          <w:lang w:val="en-US"/>
        </w:rPr>
        <w:t>main source of industrial hazards, although there is also a wind farm in the vicinity.</w:t>
      </w:r>
    </w:p>
    <w:p w14:paraId="5D3F6D80" w14:textId="22C4D4F0" w:rsidR="6677DF90" w:rsidRPr="00DD1B58" w:rsidRDefault="6677DF90" w:rsidP="355CB971">
      <w:pPr>
        <w:rPr>
          <w:lang w:val="en-US"/>
        </w:rPr>
      </w:pPr>
      <w:r w:rsidRPr="00DD1B58">
        <w:rPr>
          <w:lang w:val="en-US"/>
        </w:rPr>
        <w:t>The reactor is cooled by CO2 gas, which operates at a high temperature and pressure (640</w:t>
      </w:r>
      <w:r w:rsidR="54D0B2CA" w:rsidRPr="00DD1B58">
        <w:rPr>
          <w:lang w:val="en-US"/>
        </w:rPr>
        <w:t>°</w:t>
      </w:r>
      <w:r w:rsidRPr="00DD1B58">
        <w:rPr>
          <w:lang w:val="en-US"/>
        </w:rPr>
        <w:t>C and</w:t>
      </w:r>
      <w:r w:rsidR="0B0B2356" w:rsidRPr="00DD1B58">
        <w:rPr>
          <w:lang w:val="en-US"/>
        </w:rPr>
        <w:t xml:space="preserve"> </w:t>
      </w:r>
      <w:r w:rsidRPr="00DD1B58">
        <w:rPr>
          <w:lang w:val="en-US"/>
        </w:rPr>
        <w:t>40 bar). The high gas temperature, and the corresponding high steam temperature (540</w:t>
      </w:r>
      <w:r w:rsidR="00E60627" w:rsidRPr="00DD1B58">
        <w:rPr>
          <w:lang w:val="en-US"/>
        </w:rPr>
        <w:t>°</w:t>
      </w:r>
      <w:r w:rsidRPr="00DD1B58">
        <w:rPr>
          <w:lang w:val="en-US"/>
        </w:rPr>
        <w:t>C reheat) leads</w:t>
      </w:r>
      <w:r w:rsidR="1B09A46F" w:rsidRPr="00DD1B58">
        <w:rPr>
          <w:lang w:val="en-US"/>
        </w:rPr>
        <w:t xml:space="preserve"> </w:t>
      </w:r>
      <w:r w:rsidRPr="00DD1B58">
        <w:rPr>
          <w:lang w:val="en-US"/>
        </w:rPr>
        <w:t xml:space="preserve">to a relatively high fire potential from any combustible material that is exposed to a </w:t>
      </w:r>
      <w:r w:rsidR="00237B56" w:rsidRPr="00DD1B58">
        <w:rPr>
          <w:lang w:val="en-US"/>
        </w:rPr>
        <w:t>reactor</w:t>
      </w:r>
      <w:r w:rsidRPr="00DD1B58">
        <w:rPr>
          <w:lang w:val="en-US"/>
        </w:rPr>
        <w:t xml:space="preserve"> gas release or</w:t>
      </w:r>
      <w:r w:rsidR="560B669C" w:rsidRPr="00DD1B58">
        <w:rPr>
          <w:lang w:val="en-US"/>
        </w:rPr>
        <w:t xml:space="preserve"> </w:t>
      </w:r>
      <w:r w:rsidRPr="00DD1B58">
        <w:rPr>
          <w:lang w:val="en-US"/>
        </w:rPr>
        <w:t>a live steam release.</w:t>
      </w:r>
    </w:p>
    <w:p w14:paraId="6558AFF3" w14:textId="7EDC38E4" w:rsidR="6677DF90" w:rsidRPr="00DD1B58" w:rsidRDefault="003E2FF9" w:rsidP="355CB971">
      <w:pPr>
        <w:rPr>
          <w:lang w:val="en-US"/>
        </w:rPr>
      </w:pPr>
      <w:r w:rsidRPr="00DD1B58">
        <w:rPr>
          <w:lang w:val="en-US"/>
        </w:rPr>
        <w:lastRenderedPageBreak/>
        <w:t xml:space="preserve">There is an on-site firefighting team staffed by plant operators and the local fire brigade is called upon where required. </w:t>
      </w:r>
      <w:r w:rsidR="6677DF90" w:rsidRPr="00DD1B58">
        <w:rPr>
          <w:lang w:val="en-US"/>
        </w:rPr>
        <w:t xml:space="preserve">Off-site survey capability is shared, </w:t>
      </w:r>
      <w:r w:rsidR="00CB2B32" w:rsidRPr="00DD1B58">
        <w:rPr>
          <w:lang w:val="en-US"/>
        </w:rPr>
        <w:t xml:space="preserve">and </w:t>
      </w:r>
      <w:r w:rsidR="6677DF90" w:rsidRPr="00DD1B58">
        <w:rPr>
          <w:lang w:val="en-US"/>
        </w:rPr>
        <w:t>Heysham 1 support</w:t>
      </w:r>
      <w:r w:rsidR="00CB2B32" w:rsidRPr="00DD1B58">
        <w:rPr>
          <w:lang w:val="en-US"/>
        </w:rPr>
        <w:t>s</w:t>
      </w:r>
      <w:r w:rsidR="6677DF90" w:rsidRPr="00DD1B58">
        <w:rPr>
          <w:lang w:val="en-US"/>
        </w:rPr>
        <w:t xml:space="preserve"> both </w:t>
      </w:r>
      <w:r w:rsidR="00D40F70" w:rsidRPr="00DD1B58">
        <w:rPr>
          <w:lang w:val="en-US"/>
        </w:rPr>
        <w:t>stations</w:t>
      </w:r>
      <w:r w:rsidR="6677DF90" w:rsidRPr="00DD1B58">
        <w:rPr>
          <w:lang w:val="en-US"/>
        </w:rPr>
        <w:t xml:space="preserve">. The security response </w:t>
      </w:r>
      <w:r w:rsidR="00835812" w:rsidRPr="00DD1B58">
        <w:rPr>
          <w:lang w:val="en-US"/>
        </w:rPr>
        <w:t>and o</w:t>
      </w:r>
      <w:r w:rsidR="6677DF90" w:rsidRPr="00DD1B58">
        <w:rPr>
          <w:lang w:val="en-US"/>
        </w:rPr>
        <w:t>ff-site</w:t>
      </w:r>
      <w:r w:rsidR="00835812" w:rsidRPr="00DD1B58">
        <w:rPr>
          <w:lang w:val="en-US"/>
        </w:rPr>
        <w:t xml:space="preserve"> </w:t>
      </w:r>
      <w:r w:rsidR="6677DF90" w:rsidRPr="00DD1B58">
        <w:rPr>
          <w:lang w:val="en-US"/>
        </w:rPr>
        <w:t>strategic co-ordination centre</w:t>
      </w:r>
      <w:r w:rsidR="00835812" w:rsidRPr="00DD1B58">
        <w:rPr>
          <w:lang w:val="en-US"/>
        </w:rPr>
        <w:t>s</w:t>
      </w:r>
      <w:r w:rsidR="6677DF90" w:rsidRPr="00DD1B58">
        <w:rPr>
          <w:lang w:val="en-US"/>
        </w:rPr>
        <w:t xml:space="preserve"> at Preston </w:t>
      </w:r>
      <w:r w:rsidR="00835812" w:rsidRPr="00DD1B58">
        <w:rPr>
          <w:lang w:val="en-US"/>
        </w:rPr>
        <w:t xml:space="preserve">are </w:t>
      </w:r>
      <w:r w:rsidR="6677DF90" w:rsidRPr="00DD1B58">
        <w:rPr>
          <w:lang w:val="en-US"/>
        </w:rPr>
        <w:t>shared</w:t>
      </w:r>
      <w:r w:rsidR="00835812" w:rsidRPr="00DD1B58">
        <w:rPr>
          <w:lang w:val="en-US"/>
        </w:rPr>
        <w:t xml:space="preserve"> across the two stations.</w:t>
      </w:r>
    </w:p>
    <w:p w14:paraId="1662DF10" w14:textId="733D2260" w:rsidR="7E8CD318" w:rsidRPr="00DD1B58" w:rsidRDefault="7E8CD318" w:rsidP="355CB971">
      <w:pPr>
        <w:rPr>
          <w:lang w:val="en-US"/>
        </w:rPr>
      </w:pPr>
      <w:r w:rsidRPr="00DD1B58">
        <w:rPr>
          <w:lang w:val="en-US"/>
        </w:rPr>
        <w:t>As for the first generation AGRs, there are no long</w:t>
      </w:r>
      <w:r w:rsidR="003D5FE6" w:rsidRPr="00DD1B58">
        <w:rPr>
          <w:lang w:val="en-US"/>
        </w:rPr>
        <w:t>-</w:t>
      </w:r>
      <w:r w:rsidRPr="00DD1B58">
        <w:rPr>
          <w:lang w:val="en-US"/>
        </w:rPr>
        <w:t xml:space="preserve">term spent fuel storage facilities on site. </w:t>
      </w:r>
      <w:r w:rsidR="00835812" w:rsidRPr="00DD1B58">
        <w:rPr>
          <w:lang w:val="en-US"/>
        </w:rPr>
        <w:t xml:space="preserve">Spent </w:t>
      </w:r>
      <w:r w:rsidRPr="00DD1B58">
        <w:rPr>
          <w:lang w:val="en-US"/>
        </w:rPr>
        <w:t>fuel elements are shipped to Sellafield on a regular basis.</w:t>
      </w:r>
      <w:r w:rsidR="00AD651F" w:rsidRPr="00DD1B58">
        <w:rPr>
          <w:lang w:val="en-US"/>
        </w:rPr>
        <w:t xml:space="preserve"> </w:t>
      </w:r>
      <w:r w:rsidRPr="00DD1B58">
        <w:rPr>
          <w:lang w:val="en-US"/>
        </w:rPr>
        <w:t xml:space="preserve">Note that unless otherwise indicated, the descriptions </w:t>
      </w:r>
      <w:r w:rsidR="002F3602" w:rsidRPr="00DD1B58">
        <w:rPr>
          <w:lang w:val="en-US"/>
        </w:rPr>
        <w:t xml:space="preserve">provided </w:t>
      </w:r>
      <w:r w:rsidRPr="00DD1B58">
        <w:rPr>
          <w:lang w:val="en-US"/>
        </w:rPr>
        <w:t>for H</w:t>
      </w:r>
      <w:r w:rsidR="00841958" w:rsidRPr="00DD1B58">
        <w:rPr>
          <w:lang w:val="en-US"/>
        </w:rPr>
        <w:t>Y</w:t>
      </w:r>
      <w:r w:rsidRPr="00DD1B58">
        <w:rPr>
          <w:lang w:val="en-US"/>
        </w:rPr>
        <w:t>2 also appl</w:t>
      </w:r>
      <w:r w:rsidR="002F3602" w:rsidRPr="00DD1B58">
        <w:rPr>
          <w:lang w:val="en-US"/>
        </w:rPr>
        <w:t>y</w:t>
      </w:r>
      <w:r w:rsidRPr="00DD1B58">
        <w:rPr>
          <w:lang w:val="en-US"/>
        </w:rPr>
        <w:t xml:space="preserve"> to </w:t>
      </w:r>
      <w:r w:rsidR="00841958" w:rsidRPr="00DD1B58">
        <w:rPr>
          <w:lang w:val="en-US"/>
        </w:rPr>
        <w:t>TOR</w:t>
      </w:r>
      <w:r w:rsidRPr="00DD1B58">
        <w:rPr>
          <w:lang w:val="en-US"/>
        </w:rPr>
        <w:t>.</w:t>
      </w:r>
    </w:p>
    <w:p w14:paraId="20CA71D7" w14:textId="62368F21" w:rsidR="3396D310" w:rsidRPr="00DD1B58" w:rsidRDefault="3396D310" w:rsidP="005912F5">
      <w:pPr>
        <w:keepNext/>
        <w:rPr>
          <w:b/>
          <w:lang w:val="en-US"/>
        </w:rPr>
      </w:pPr>
      <w:r w:rsidRPr="00DD1B58">
        <w:rPr>
          <w:b/>
          <w:lang w:val="en-US"/>
        </w:rPr>
        <w:t>H</w:t>
      </w:r>
      <w:r w:rsidR="00841958" w:rsidRPr="00DD1B58">
        <w:rPr>
          <w:b/>
          <w:lang w:val="en-US"/>
        </w:rPr>
        <w:t>Y</w:t>
      </w:r>
      <w:r w:rsidRPr="00DD1B58">
        <w:rPr>
          <w:b/>
          <w:lang w:val="en-US"/>
        </w:rPr>
        <w:t>2 irradiated fuel disposal system</w:t>
      </w:r>
    </w:p>
    <w:p w14:paraId="117E14AF" w14:textId="7A4C77EA" w:rsidR="3396D310" w:rsidRPr="00DD1B58" w:rsidRDefault="3396D310" w:rsidP="69C23859">
      <w:pPr>
        <w:rPr>
          <w:lang w:val="en-US"/>
        </w:rPr>
      </w:pPr>
      <w:r w:rsidRPr="00DD1B58">
        <w:rPr>
          <w:lang w:val="en-US"/>
        </w:rPr>
        <w:t>The irradiated fuel disposal system consists of three main parts</w:t>
      </w:r>
      <w:r w:rsidR="008A577D" w:rsidRPr="00DD1B58">
        <w:rPr>
          <w:lang w:val="en-US"/>
        </w:rPr>
        <w:t>:</w:t>
      </w:r>
      <w:r w:rsidR="006A72EA" w:rsidRPr="00DD1B58">
        <w:rPr>
          <w:lang w:val="en-US"/>
        </w:rPr>
        <w:t xml:space="preserve"> the </w:t>
      </w:r>
      <w:r w:rsidR="00B14D02" w:rsidRPr="00DD1B58">
        <w:rPr>
          <w:lang w:val="en-US"/>
        </w:rPr>
        <w:t xml:space="preserve">decay </w:t>
      </w:r>
      <w:r w:rsidRPr="00DD1B58">
        <w:rPr>
          <w:lang w:val="en-US"/>
        </w:rPr>
        <w:t>store</w:t>
      </w:r>
      <w:r w:rsidR="006A72EA" w:rsidRPr="00DD1B58">
        <w:rPr>
          <w:lang w:val="en-US"/>
        </w:rPr>
        <w:t xml:space="preserve">, </w:t>
      </w:r>
      <w:r w:rsidR="00AD4E2C" w:rsidRPr="00DD1B58">
        <w:rPr>
          <w:lang w:val="en-US"/>
        </w:rPr>
        <w:t xml:space="preserve">the </w:t>
      </w:r>
      <w:r w:rsidRPr="00DD1B58">
        <w:rPr>
          <w:lang w:val="en-US"/>
        </w:rPr>
        <w:t xml:space="preserve">Irradiated </w:t>
      </w:r>
      <w:r w:rsidR="00F96AA6" w:rsidRPr="00DD1B58">
        <w:rPr>
          <w:lang w:val="en-US"/>
        </w:rPr>
        <w:t>F</w:t>
      </w:r>
      <w:r w:rsidRPr="00DD1B58">
        <w:rPr>
          <w:lang w:val="en-US"/>
        </w:rPr>
        <w:t xml:space="preserve">uel </w:t>
      </w:r>
      <w:r w:rsidR="00F96AA6" w:rsidRPr="00DD1B58">
        <w:rPr>
          <w:lang w:val="en-US"/>
        </w:rPr>
        <w:t>D</w:t>
      </w:r>
      <w:r w:rsidRPr="00DD1B58">
        <w:rPr>
          <w:lang w:val="en-US"/>
        </w:rPr>
        <w:t>isposal cell</w:t>
      </w:r>
      <w:r w:rsidR="00AD4E2C" w:rsidRPr="00DD1B58">
        <w:rPr>
          <w:lang w:val="en-US"/>
        </w:rPr>
        <w:t xml:space="preserve"> and the </w:t>
      </w:r>
      <w:r w:rsidR="00B14D02" w:rsidRPr="00DD1B58">
        <w:rPr>
          <w:lang w:val="en-US"/>
        </w:rPr>
        <w:t>f</w:t>
      </w:r>
      <w:r w:rsidRPr="00DD1B58">
        <w:rPr>
          <w:lang w:val="en-US"/>
        </w:rPr>
        <w:t>uel pond.</w:t>
      </w:r>
      <w:r w:rsidR="00AD4E2C" w:rsidRPr="00DD1B58">
        <w:rPr>
          <w:lang w:val="en-US"/>
        </w:rPr>
        <w:t xml:space="preserve"> </w:t>
      </w:r>
      <w:r w:rsidRPr="00DD1B58">
        <w:rPr>
          <w:lang w:val="en-US"/>
        </w:rPr>
        <w:t>These are discussed below.</w:t>
      </w:r>
    </w:p>
    <w:p w14:paraId="2CEC2D4E" w14:textId="5AE2390D" w:rsidR="3396D310" w:rsidRPr="00DD1B58" w:rsidRDefault="3396D310" w:rsidP="69C23859">
      <w:pPr>
        <w:rPr>
          <w:lang w:val="en-US"/>
        </w:rPr>
      </w:pPr>
      <w:r w:rsidRPr="00DD1B58">
        <w:rPr>
          <w:b/>
          <w:lang w:val="en-US"/>
        </w:rPr>
        <w:t>Decay store</w:t>
      </w:r>
      <w:r w:rsidR="00CF5117" w:rsidRPr="00DD1B58">
        <w:rPr>
          <w:b/>
          <w:lang w:val="en-US"/>
        </w:rPr>
        <w:t>:</w:t>
      </w:r>
      <w:r w:rsidR="00B14D02" w:rsidRPr="00DD1B58">
        <w:rPr>
          <w:bCs/>
          <w:lang w:val="en-US"/>
        </w:rPr>
        <w:t xml:space="preserve"> </w:t>
      </w:r>
      <w:r w:rsidR="00CF5117" w:rsidRPr="00DD1B58">
        <w:rPr>
          <w:lang w:val="en-US"/>
        </w:rPr>
        <w:t>t</w:t>
      </w:r>
      <w:r w:rsidRPr="00DD1B58">
        <w:rPr>
          <w:lang w:val="en-US"/>
        </w:rPr>
        <w:t>he irradiated fuel store provides pressurised, cooled and shielded storage in decay tubes for fuel</w:t>
      </w:r>
      <w:r w:rsidR="365245B0" w:rsidRPr="00DD1B58">
        <w:rPr>
          <w:lang w:val="en-US"/>
        </w:rPr>
        <w:t xml:space="preserve"> </w:t>
      </w:r>
      <w:r w:rsidRPr="00DD1B58">
        <w:rPr>
          <w:lang w:val="en-US"/>
        </w:rPr>
        <w:t>assemblies after their removal from the reactor. The assemblies are stored for a set period</w:t>
      </w:r>
      <w:r w:rsidR="00D0162C" w:rsidRPr="00DD1B58">
        <w:rPr>
          <w:lang w:val="en-US"/>
        </w:rPr>
        <w:t>,</w:t>
      </w:r>
      <w:r w:rsidRPr="00DD1B58">
        <w:rPr>
          <w:lang w:val="en-US"/>
        </w:rPr>
        <w:t xml:space="preserve"> during which</w:t>
      </w:r>
      <w:r w:rsidR="6E613F97" w:rsidRPr="00DD1B58">
        <w:rPr>
          <w:lang w:val="en-US"/>
        </w:rPr>
        <w:t xml:space="preserve"> </w:t>
      </w:r>
      <w:r w:rsidRPr="00DD1B58">
        <w:rPr>
          <w:lang w:val="en-US"/>
        </w:rPr>
        <w:t>fission product heat decays to a level acceptable for discharge into the atmospheric air environment of</w:t>
      </w:r>
      <w:r w:rsidR="7AD98F23" w:rsidRPr="00DD1B58">
        <w:rPr>
          <w:lang w:val="en-US"/>
        </w:rPr>
        <w:t xml:space="preserve"> </w:t>
      </w:r>
      <w:r w:rsidRPr="00DD1B58">
        <w:rPr>
          <w:lang w:val="en-US"/>
        </w:rPr>
        <w:t>the irradiated fuel disposal cell.</w:t>
      </w:r>
    </w:p>
    <w:p w14:paraId="7B92D7DC" w14:textId="20B7CC81" w:rsidR="3396D310" w:rsidRPr="00DD1B58" w:rsidRDefault="3396D310" w:rsidP="69C23859">
      <w:pPr>
        <w:rPr>
          <w:lang w:val="en-US"/>
        </w:rPr>
      </w:pPr>
      <w:r w:rsidRPr="00DD1B58">
        <w:rPr>
          <w:lang w:val="en-US"/>
        </w:rPr>
        <w:t xml:space="preserve">Each of the </w:t>
      </w:r>
      <w:r w:rsidR="00487DF8" w:rsidRPr="00DD1B58">
        <w:rPr>
          <w:lang w:val="en-US"/>
        </w:rPr>
        <w:t>64</w:t>
      </w:r>
      <w:r w:rsidRPr="00DD1B58">
        <w:rPr>
          <w:lang w:val="en-US"/>
        </w:rPr>
        <w:t xml:space="preserve"> decay tubes is made up of an inside pressure tube and an outside water jacket.</w:t>
      </w:r>
      <w:r w:rsidR="1E00BC41" w:rsidRPr="00DD1B58">
        <w:rPr>
          <w:lang w:val="en-US"/>
        </w:rPr>
        <w:t xml:space="preserve"> </w:t>
      </w:r>
      <w:r w:rsidRPr="00DD1B58">
        <w:rPr>
          <w:lang w:val="en-US"/>
        </w:rPr>
        <w:t>The pressure tube is pressurised with CO</w:t>
      </w:r>
      <w:r w:rsidRPr="00DD1B58">
        <w:rPr>
          <w:vertAlign w:val="subscript"/>
          <w:lang w:val="en-US"/>
        </w:rPr>
        <w:t>2</w:t>
      </w:r>
      <w:r w:rsidRPr="00DD1B58">
        <w:rPr>
          <w:lang w:val="en-US"/>
        </w:rPr>
        <w:t xml:space="preserve"> </w:t>
      </w:r>
      <w:r w:rsidR="004D5AEF" w:rsidRPr="00DD1B58">
        <w:rPr>
          <w:lang w:val="en-US"/>
        </w:rPr>
        <w:t xml:space="preserve">for heat transfer between the fuel and the cooling water in the water jacket, </w:t>
      </w:r>
      <w:r w:rsidRPr="00DD1B58">
        <w:rPr>
          <w:lang w:val="en-US"/>
        </w:rPr>
        <w:t xml:space="preserve">at a pressure </w:t>
      </w:r>
      <w:r w:rsidR="008415D4" w:rsidRPr="00DD1B58">
        <w:rPr>
          <w:lang w:val="en-US"/>
        </w:rPr>
        <w:t>of</w:t>
      </w:r>
      <w:r w:rsidRPr="00DD1B58">
        <w:rPr>
          <w:lang w:val="en-US"/>
        </w:rPr>
        <w:t xml:space="preserve"> </w:t>
      </w:r>
      <w:r w:rsidR="008415D4" w:rsidRPr="00DD1B58">
        <w:rPr>
          <w:lang w:val="en-US"/>
        </w:rPr>
        <w:t xml:space="preserve">at least </w:t>
      </w:r>
      <w:r w:rsidRPr="00DD1B58">
        <w:rPr>
          <w:lang w:val="en-US"/>
        </w:rPr>
        <w:t>36 bar when handling irradiated</w:t>
      </w:r>
      <w:r w:rsidR="47743533" w:rsidRPr="00DD1B58">
        <w:rPr>
          <w:lang w:val="en-US"/>
        </w:rPr>
        <w:t xml:space="preserve"> </w:t>
      </w:r>
      <w:r w:rsidRPr="00DD1B58">
        <w:rPr>
          <w:lang w:val="en-US"/>
        </w:rPr>
        <w:t xml:space="preserve">fuel and </w:t>
      </w:r>
      <w:r w:rsidR="008415D4" w:rsidRPr="00DD1B58">
        <w:rPr>
          <w:lang w:val="en-US"/>
        </w:rPr>
        <w:t xml:space="preserve">between </w:t>
      </w:r>
      <w:r w:rsidRPr="00DD1B58">
        <w:rPr>
          <w:lang w:val="en-US"/>
        </w:rPr>
        <w:t>5</w:t>
      </w:r>
      <w:r w:rsidR="008415D4" w:rsidRPr="00DD1B58">
        <w:rPr>
          <w:lang w:val="en-US"/>
        </w:rPr>
        <w:t xml:space="preserve"> and</w:t>
      </w:r>
      <w:r w:rsidRPr="00DD1B58">
        <w:rPr>
          <w:lang w:val="en-US"/>
        </w:rPr>
        <w:t xml:space="preserve"> 41 bar for storage of irradiated fuel.</w:t>
      </w:r>
    </w:p>
    <w:p w14:paraId="4B6FFA8C" w14:textId="66810C68" w:rsidR="3396D310" w:rsidRPr="00DD1B58" w:rsidRDefault="001C3280" w:rsidP="69C23859">
      <w:pPr>
        <w:rPr>
          <w:lang w:val="en-US"/>
        </w:rPr>
      </w:pPr>
      <w:r w:rsidRPr="00DD1B58">
        <w:rPr>
          <w:lang w:val="en-US"/>
        </w:rPr>
        <w:t>Fire risks associated with the decay store are minimised by design, as the fuel assemblies are surrounded by an inert atmosphere with passive cooling to the outside water jacket.</w:t>
      </w:r>
    </w:p>
    <w:p w14:paraId="699D64BB" w14:textId="58E9D0E2" w:rsidR="3396D310" w:rsidRPr="00DD1B58" w:rsidRDefault="3396D310" w:rsidP="69C23859">
      <w:pPr>
        <w:rPr>
          <w:lang w:val="en-US"/>
        </w:rPr>
      </w:pPr>
      <w:r w:rsidRPr="00DD1B58">
        <w:rPr>
          <w:b/>
          <w:lang w:val="en-US"/>
        </w:rPr>
        <w:t xml:space="preserve">Irradiated </w:t>
      </w:r>
      <w:r w:rsidR="00F96AA6" w:rsidRPr="00DD1B58">
        <w:rPr>
          <w:b/>
          <w:lang w:val="en-US"/>
        </w:rPr>
        <w:t>F</w:t>
      </w:r>
      <w:r w:rsidRPr="00DD1B58">
        <w:rPr>
          <w:b/>
          <w:lang w:val="en-US"/>
        </w:rPr>
        <w:t xml:space="preserve">uel </w:t>
      </w:r>
      <w:r w:rsidR="00F96AA6" w:rsidRPr="00DD1B58">
        <w:rPr>
          <w:b/>
          <w:lang w:val="en-US"/>
        </w:rPr>
        <w:t>D</w:t>
      </w:r>
      <w:r w:rsidRPr="00DD1B58">
        <w:rPr>
          <w:b/>
          <w:lang w:val="en-US"/>
        </w:rPr>
        <w:t>isposal cell</w:t>
      </w:r>
      <w:r w:rsidR="00CF5117" w:rsidRPr="00DD1B58">
        <w:rPr>
          <w:b/>
          <w:lang w:val="en-US"/>
        </w:rPr>
        <w:t>:</w:t>
      </w:r>
      <w:r w:rsidR="008073DA" w:rsidRPr="00DD1B58">
        <w:rPr>
          <w:b/>
          <w:lang w:val="en-US"/>
        </w:rPr>
        <w:t xml:space="preserve"> </w:t>
      </w:r>
      <w:r w:rsidR="00CF5117" w:rsidRPr="00DD1B58">
        <w:rPr>
          <w:lang w:val="en-US"/>
        </w:rPr>
        <w:t>t</w:t>
      </w:r>
      <w:r w:rsidRPr="00DD1B58">
        <w:rPr>
          <w:lang w:val="en-US"/>
        </w:rPr>
        <w:t>he Irradiated Fuel Disposal (IFD) cell equipment is used to separate irradiated fuel stringers into their</w:t>
      </w:r>
      <w:r w:rsidR="6FFCAF10" w:rsidRPr="00DD1B58">
        <w:rPr>
          <w:lang w:val="en-US"/>
        </w:rPr>
        <w:t xml:space="preserve"> </w:t>
      </w:r>
      <w:r w:rsidRPr="00DD1B58">
        <w:rPr>
          <w:lang w:val="en-US"/>
        </w:rPr>
        <w:t>component parts. This includes the irradiated fuel assemblies.</w:t>
      </w:r>
      <w:r w:rsidR="008D41A7" w:rsidRPr="00DD1B58">
        <w:rPr>
          <w:lang w:val="en-US"/>
        </w:rPr>
        <w:t xml:space="preserve"> </w:t>
      </w:r>
      <w:r w:rsidRPr="00DD1B58">
        <w:rPr>
          <w:lang w:val="en-US"/>
        </w:rPr>
        <w:t>The IFD cell does not have a specific safety role</w:t>
      </w:r>
      <w:r w:rsidR="008415D4" w:rsidRPr="00DD1B58">
        <w:rPr>
          <w:lang w:val="en-US"/>
        </w:rPr>
        <w:t>,</w:t>
      </w:r>
      <w:r w:rsidRPr="00DD1B58">
        <w:rPr>
          <w:lang w:val="en-US"/>
        </w:rPr>
        <w:t xml:space="preserve"> but in performing the required functions</w:t>
      </w:r>
      <w:r w:rsidR="008D41A7" w:rsidRPr="00DD1B58">
        <w:rPr>
          <w:lang w:val="en-US"/>
        </w:rPr>
        <w:t>,</w:t>
      </w:r>
      <w:r w:rsidRPr="00DD1B58">
        <w:rPr>
          <w:lang w:val="en-US"/>
        </w:rPr>
        <w:t xml:space="preserve"> the IFD cell</w:t>
      </w:r>
      <w:r w:rsidR="372399AF" w:rsidRPr="00DD1B58">
        <w:rPr>
          <w:lang w:val="en-US"/>
        </w:rPr>
        <w:t xml:space="preserve"> </w:t>
      </w:r>
      <w:r w:rsidRPr="00DD1B58">
        <w:rPr>
          <w:lang w:val="en-US"/>
        </w:rPr>
        <w:t>system design ensures doses to operating staff are minimised and critical assembly formation is</w:t>
      </w:r>
      <w:r w:rsidR="2495AF72" w:rsidRPr="00DD1B58">
        <w:rPr>
          <w:lang w:val="en-US"/>
        </w:rPr>
        <w:t xml:space="preserve"> </w:t>
      </w:r>
      <w:r w:rsidRPr="00DD1B58">
        <w:rPr>
          <w:lang w:val="en-US"/>
        </w:rPr>
        <w:t>avoided.</w:t>
      </w:r>
    </w:p>
    <w:p w14:paraId="562E429B" w14:textId="0BD053B0" w:rsidR="3396D310" w:rsidRPr="00DD1B58" w:rsidRDefault="3396D310" w:rsidP="69C23859">
      <w:pPr>
        <w:rPr>
          <w:lang w:val="en-US"/>
        </w:rPr>
      </w:pPr>
      <w:r w:rsidRPr="00DD1B58">
        <w:rPr>
          <w:lang w:val="en-US"/>
        </w:rPr>
        <w:t>The IFD cell fuel containment comprises a volume held at sub-atmospheric pressure (</w:t>
      </w:r>
      <w:r w:rsidR="002D206D" w:rsidRPr="00DD1B58">
        <w:rPr>
          <w:lang w:val="en-US"/>
        </w:rPr>
        <w:t>to</w:t>
      </w:r>
      <w:r w:rsidRPr="00DD1B58">
        <w:rPr>
          <w:lang w:val="en-US"/>
        </w:rPr>
        <w:t xml:space="preserve"> prevent</w:t>
      </w:r>
      <w:r w:rsidR="3ABCD4A2" w:rsidRPr="00DD1B58">
        <w:rPr>
          <w:lang w:val="en-US"/>
        </w:rPr>
        <w:t xml:space="preserve"> </w:t>
      </w:r>
      <w:r w:rsidRPr="00DD1B58">
        <w:rPr>
          <w:lang w:val="en-US"/>
        </w:rPr>
        <w:t>leakage of contaminated air to the environment) by the action of an air extraction system. The fuel</w:t>
      </w:r>
      <w:r w:rsidR="2B67645B" w:rsidRPr="00DD1B58">
        <w:rPr>
          <w:lang w:val="en-US"/>
        </w:rPr>
        <w:t xml:space="preserve"> </w:t>
      </w:r>
      <w:r w:rsidRPr="00DD1B58">
        <w:rPr>
          <w:lang w:val="en-US"/>
        </w:rPr>
        <w:t xml:space="preserve">containment is held at a pressure lower than the surrounding cell </w:t>
      </w:r>
      <w:r w:rsidR="00404131" w:rsidRPr="00DD1B58">
        <w:rPr>
          <w:lang w:val="en-US"/>
        </w:rPr>
        <w:t xml:space="preserve">whenever </w:t>
      </w:r>
      <w:r w:rsidRPr="00DD1B58">
        <w:rPr>
          <w:lang w:val="en-US"/>
        </w:rPr>
        <w:t>irradiated fuel is</w:t>
      </w:r>
      <w:r w:rsidR="696F6B4D" w:rsidRPr="00DD1B58">
        <w:rPr>
          <w:lang w:val="en-US"/>
        </w:rPr>
        <w:t xml:space="preserve"> </w:t>
      </w:r>
      <w:r w:rsidRPr="00DD1B58">
        <w:rPr>
          <w:lang w:val="en-US"/>
        </w:rPr>
        <w:t>present in the containment. The surrounding cell is itself held at a slightly sub-atmospheric pressure by</w:t>
      </w:r>
      <w:r w:rsidR="1A1B83D7" w:rsidRPr="00DD1B58">
        <w:rPr>
          <w:lang w:val="en-US"/>
        </w:rPr>
        <w:t xml:space="preserve"> </w:t>
      </w:r>
      <w:r w:rsidRPr="00DD1B58">
        <w:rPr>
          <w:lang w:val="en-US"/>
        </w:rPr>
        <w:t>the contaminated heating and ventilation system.</w:t>
      </w:r>
    </w:p>
    <w:p w14:paraId="47BE2AFF" w14:textId="7A8626CE" w:rsidR="3396D310" w:rsidRPr="00DD1B58" w:rsidRDefault="3396D310" w:rsidP="69C23859">
      <w:pPr>
        <w:rPr>
          <w:lang w:val="en-US"/>
        </w:rPr>
      </w:pPr>
      <w:r w:rsidRPr="00DD1B58">
        <w:rPr>
          <w:lang w:val="en-US"/>
        </w:rPr>
        <w:t>The fire loads</w:t>
      </w:r>
      <w:r w:rsidR="008264D1" w:rsidRPr="00DD1B58">
        <w:rPr>
          <w:lang w:val="en-US"/>
        </w:rPr>
        <w:t xml:space="preserve"> in the IFD</w:t>
      </w:r>
      <w:r w:rsidRPr="00DD1B58">
        <w:rPr>
          <w:lang w:val="en-US"/>
        </w:rPr>
        <w:t xml:space="preserve"> </w:t>
      </w:r>
      <w:r w:rsidR="00FC16F1" w:rsidRPr="00DD1B58">
        <w:rPr>
          <w:lang w:val="en-US"/>
        </w:rPr>
        <w:t xml:space="preserve">cell </w:t>
      </w:r>
      <w:r w:rsidRPr="00DD1B58">
        <w:rPr>
          <w:lang w:val="en-US"/>
        </w:rPr>
        <w:t>are minimal and no fixed fire suppression is installed. Flexible fire hoses are provided.</w:t>
      </w:r>
      <w:r w:rsidR="214C009F" w:rsidRPr="00DD1B58">
        <w:rPr>
          <w:lang w:val="en-US"/>
        </w:rPr>
        <w:t xml:space="preserve"> </w:t>
      </w:r>
      <w:r w:rsidRPr="00DD1B58">
        <w:rPr>
          <w:lang w:val="en-US"/>
        </w:rPr>
        <w:t xml:space="preserve">These also provide water for the emergency cooling </w:t>
      </w:r>
      <w:r w:rsidR="00404131" w:rsidRPr="00DD1B58">
        <w:rPr>
          <w:lang w:val="en-US"/>
        </w:rPr>
        <w:t xml:space="preserve">of </w:t>
      </w:r>
      <w:r w:rsidRPr="00DD1B58">
        <w:rPr>
          <w:lang w:val="en-US"/>
        </w:rPr>
        <w:t>damaged fuel within the IFD cell.</w:t>
      </w:r>
    </w:p>
    <w:p w14:paraId="0051952B" w14:textId="26DD8965" w:rsidR="20EC7F09" w:rsidRPr="00DD1B58" w:rsidRDefault="20EC7F09" w:rsidP="69C23859">
      <w:pPr>
        <w:rPr>
          <w:lang w:val="en-US"/>
        </w:rPr>
      </w:pPr>
      <w:r w:rsidRPr="00DD1B58">
        <w:rPr>
          <w:b/>
          <w:lang w:val="en-US"/>
        </w:rPr>
        <w:t>Fuel pond</w:t>
      </w:r>
      <w:r w:rsidR="00CF5117" w:rsidRPr="00DD1B58">
        <w:rPr>
          <w:b/>
          <w:lang w:val="en-US"/>
        </w:rPr>
        <w:t>:</w:t>
      </w:r>
      <w:r w:rsidR="00B14D02" w:rsidRPr="00DD1B58">
        <w:rPr>
          <w:bCs/>
          <w:lang w:val="en-US"/>
        </w:rPr>
        <w:t xml:space="preserve"> </w:t>
      </w:r>
      <w:r w:rsidR="00CF5117" w:rsidRPr="00DD1B58">
        <w:rPr>
          <w:lang w:val="en-US"/>
        </w:rPr>
        <w:t>i</w:t>
      </w:r>
      <w:r w:rsidRPr="00DD1B58">
        <w:rPr>
          <w:lang w:val="en-US"/>
        </w:rPr>
        <w:t xml:space="preserve">rradiated fuel elements or bottles are transferred from the IFD cell to the two storage pond bays via disposal chutes. Routing of the elements to a particular bay is dependent </w:t>
      </w:r>
      <w:r w:rsidR="00404131" w:rsidRPr="00DD1B58">
        <w:rPr>
          <w:lang w:val="en-US"/>
        </w:rPr>
        <w:t xml:space="preserve">on </w:t>
      </w:r>
      <w:r w:rsidR="001A21A0" w:rsidRPr="00DD1B58">
        <w:rPr>
          <w:lang w:val="en-US"/>
        </w:rPr>
        <w:t>operational needs</w:t>
      </w:r>
      <w:r w:rsidRPr="00DD1B58">
        <w:rPr>
          <w:lang w:val="en-US"/>
        </w:rPr>
        <w:t>. All fuel movements within the pond take place beneath water, which also acts as radiation shielding.</w:t>
      </w:r>
      <w:r w:rsidR="00DF18EA" w:rsidRPr="00DD1B58">
        <w:rPr>
          <w:lang w:val="en-US"/>
        </w:rPr>
        <w:t xml:space="preserve"> </w:t>
      </w:r>
      <w:r w:rsidRPr="00DD1B58">
        <w:rPr>
          <w:lang w:val="en-US"/>
        </w:rPr>
        <w:t>The design fuel cooling period between fuel leaving the reactor and being transported offsite is 90 days. The pond capacity is such that fuel could be stored for up to 167 days.</w:t>
      </w:r>
      <w:r w:rsidR="00DF18EA" w:rsidRPr="00DD1B58">
        <w:rPr>
          <w:lang w:val="en-US"/>
        </w:rPr>
        <w:t xml:space="preserve"> </w:t>
      </w:r>
      <w:r w:rsidRPr="00DD1B58">
        <w:rPr>
          <w:lang w:val="en-US"/>
        </w:rPr>
        <w:t>As the fuel is stored under water</w:t>
      </w:r>
      <w:r w:rsidR="00404131" w:rsidRPr="00DD1B58">
        <w:rPr>
          <w:lang w:val="en-US"/>
        </w:rPr>
        <w:t>,</w:t>
      </w:r>
      <w:r w:rsidRPr="00DD1B58">
        <w:rPr>
          <w:lang w:val="en-US"/>
        </w:rPr>
        <w:t xml:space="preserve"> there are no </w:t>
      </w:r>
      <w:r w:rsidR="00DF18EA" w:rsidRPr="00DD1B58">
        <w:rPr>
          <w:lang w:val="en-US"/>
        </w:rPr>
        <w:t xml:space="preserve">direct </w:t>
      </w:r>
      <w:r w:rsidRPr="00DD1B58">
        <w:rPr>
          <w:lang w:val="en-US"/>
        </w:rPr>
        <w:lastRenderedPageBreak/>
        <w:t xml:space="preserve">fire risks </w:t>
      </w:r>
      <w:r w:rsidR="00DF18EA" w:rsidRPr="00DD1B58">
        <w:rPr>
          <w:lang w:val="en-US"/>
        </w:rPr>
        <w:t>to the fuel</w:t>
      </w:r>
      <w:r w:rsidR="00C61A3D" w:rsidRPr="00DD1B58">
        <w:rPr>
          <w:lang w:val="en-US"/>
        </w:rPr>
        <w:t xml:space="preserve"> and EDF NGL considers the </w:t>
      </w:r>
      <w:r w:rsidR="00AF4F00" w:rsidRPr="00DD1B58">
        <w:rPr>
          <w:lang w:val="en-US"/>
        </w:rPr>
        <w:t>overall f</w:t>
      </w:r>
      <w:r w:rsidRPr="00DD1B58">
        <w:rPr>
          <w:lang w:val="en-US"/>
        </w:rPr>
        <w:t xml:space="preserve">ire risk from the irradiated fuel disposal system </w:t>
      </w:r>
      <w:r w:rsidR="00C61A3D" w:rsidRPr="00DD1B58">
        <w:rPr>
          <w:lang w:val="en-US"/>
        </w:rPr>
        <w:t>to be</w:t>
      </w:r>
      <w:r w:rsidRPr="00DD1B58">
        <w:rPr>
          <w:lang w:val="en-US"/>
        </w:rPr>
        <w:t xml:space="preserve"> minimal and not quantified</w:t>
      </w:r>
      <w:r w:rsidR="1F197AD4" w:rsidRPr="00DD1B58">
        <w:rPr>
          <w:lang w:val="en-US"/>
        </w:rPr>
        <w:t xml:space="preserve"> as part of the probabilistic safety assessment</w:t>
      </w:r>
      <w:r w:rsidRPr="00DD1B58">
        <w:rPr>
          <w:lang w:val="en-US"/>
        </w:rPr>
        <w:t>.</w:t>
      </w:r>
    </w:p>
    <w:p w14:paraId="3B9B54ED" w14:textId="77777777" w:rsidR="00375D77" w:rsidRPr="00DD1B58" w:rsidRDefault="00375D77" w:rsidP="69C23859">
      <w:pPr>
        <w:rPr>
          <w:lang w:val="en-US"/>
        </w:rPr>
      </w:pPr>
    </w:p>
    <w:p w14:paraId="54D4456C" w14:textId="64143839" w:rsidR="7E8CD318" w:rsidRPr="00DD1B58" w:rsidRDefault="7E8CD318" w:rsidP="355CB971">
      <w:pPr>
        <w:rPr>
          <w:b/>
          <w:bCs/>
          <w:lang w:val="en-US"/>
        </w:rPr>
      </w:pPr>
      <w:r w:rsidRPr="00DD1B58">
        <w:rPr>
          <w:b/>
          <w:bCs/>
          <w:lang w:val="en-US"/>
        </w:rPr>
        <w:t>1.1.3.</w:t>
      </w:r>
      <w:r w:rsidR="3C9AD996" w:rsidRPr="00DD1B58">
        <w:rPr>
          <w:b/>
          <w:bCs/>
          <w:lang w:val="en-US"/>
        </w:rPr>
        <w:t>1.</w:t>
      </w:r>
      <w:r w:rsidR="001B3BF7" w:rsidRPr="00DD1B58">
        <w:rPr>
          <w:b/>
          <w:bCs/>
          <w:lang w:val="en-US"/>
        </w:rPr>
        <w:t>3</w:t>
      </w:r>
      <w:r w:rsidR="001B3BF7" w:rsidRPr="00DD1B58">
        <w:rPr>
          <w:b/>
          <w:bCs/>
          <w:lang w:val="en-US"/>
        </w:rPr>
        <w:tab/>
      </w:r>
      <w:r w:rsidRPr="00DD1B58">
        <w:rPr>
          <w:b/>
          <w:bCs/>
          <w:lang w:val="en-US"/>
        </w:rPr>
        <w:t>Sizewell B</w:t>
      </w:r>
    </w:p>
    <w:p w14:paraId="6E781FEB" w14:textId="53066E8E" w:rsidR="7E8CD318" w:rsidRPr="00DD1B58" w:rsidRDefault="7E8CD318" w:rsidP="355CB971">
      <w:pPr>
        <w:rPr>
          <w:lang w:val="en-US"/>
        </w:rPr>
      </w:pPr>
      <w:r w:rsidRPr="00DD1B58">
        <w:rPr>
          <w:lang w:val="en-US"/>
        </w:rPr>
        <w:t>Sizewell B</w:t>
      </w:r>
      <w:r w:rsidR="00FD7A59" w:rsidRPr="00DD1B58">
        <w:rPr>
          <w:lang w:val="en-US"/>
        </w:rPr>
        <w:t xml:space="preserve"> </w:t>
      </w:r>
      <w:r w:rsidRPr="00DD1B58">
        <w:rPr>
          <w:lang w:val="en-US"/>
        </w:rPr>
        <w:t xml:space="preserve">is a </w:t>
      </w:r>
      <w:r w:rsidR="00404131" w:rsidRPr="00DD1B58">
        <w:rPr>
          <w:lang w:val="en-US"/>
        </w:rPr>
        <w:t>four-</w:t>
      </w:r>
      <w:r w:rsidRPr="00DD1B58">
        <w:rPr>
          <w:lang w:val="en-US"/>
        </w:rPr>
        <w:t>loop Westinghouse PWR. The net electrical output from the single reactor is 1</w:t>
      </w:r>
      <w:r w:rsidR="00C437B2" w:rsidRPr="00DD1B58">
        <w:rPr>
          <w:lang w:val="en-US"/>
        </w:rPr>
        <w:t>,</w:t>
      </w:r>
      <w:r w:rsidRPr="00DD1B58">
        <w:rPr>
          <w:lang w:val="en-US"/>
        </w:rPr>
        <w:t>198 MW. The original US design was extensively modified to meet UK safety requirements.</w:t>
      </w:r>
    </w:p>
    <w:p w14:paraId="116D60E0" w14:textId="7E672A40" w:rsidR="7E8CD318" w:rsidRPr="00DD1B58" w:rsidRDefault="7E8CD318" w:rsidP="355CB971">
      <w:pPr>
        <w:rPr>
          <w:lang w:val="en-US"/>
        </w:rPr>
      </w:pPr>
      <w:r w:rsidRPr="00DD1B58">
        <w:rPr>
          <w:lang w:val="en-US"/>
        </w:rPr>
        <w:t xml:space="preserve">The station is situated on the </w:t>
      </w:r>
      <w:r w:rsidR="008437AE" w:rsidRPr="00DD1B58">
        <w:rPr>
          <w:lang w:val="en-US"/>
        </w:rPr>
        <w:t>s</w:t>
      </w:r>
      <w:r w:rsidRPr="00DD1B58">
        <w:rPr>
          <w:lang w:val="en-US"/>
        </w:rPr>
        <w:t>outh</w:t>
      </w:r>
      <w:r w:rsidR="008437AE" w:rsidRPr="00DD1B58">
        <w:rPr>
          <w:lang w:val="en-US"/>
        </w:rPr>
        <w:t xml:space="preserve"> </w:t>
      </w:r>
      <w:r w:rsidRPr="00DD1B58">
        <w:rPr>
          <w:lang w:val="en-US"/>
        </w:rPr>
        <w:t>east coast of England, about 40 miles (64 km) south of the city of Norwich. Construction started in 1988 and the station was commissioned in 1995. It is adjacent to the</w:t>
      </w:r>
      <w:r w:rsidR="4BB3E6C9" w:rsidRPr="00DD1B58">
        <w:rPr>
          <w:lang w:val="en-US"/>
        </w:rPr>
        <w:t xml:space="preserve"> </w:t>
      </w:r>
      <w:r w:rsidRPr="00DD1B58">
        <w:rPr>
          <w:lang w:val="en-US"/>
        </w:rPr>
        <w:t xml:space="preserve">Sizewell A Magnox reactor (now </w:t>
      </w:r>
      <w:r w:rsidR="003A3F53" w:rsidRPr="00DD1B58">
        <w:rPr>
          <w:lang w:val="en-US"/>
        </w:rPr>
        <w:t>defueled</w:t>
      </w:r>
      <w:r w:rsidRPr="00DD1B58">
        <w:rPr>
          <w:lang w:val="en-US"/>
        </w:rPr>
        <w:t xml:space="preserve"> and being decommissioned) and the site of the proposed</w:t>
      </w:r>
      <w:r w:rsidR="6A1ACA37" w:rsidRPr="00DD1B58">
        <w:rPr>
          <w:lang w:val="en-US"/>
        </w:rPr>
        <w:t xml:space="preserve"> </w:t>
      </w:r>
      <w:r w:rsidRPr="00DD1B58">
        <w:rPr>
          <w:lang w:val="en-US"/>
        </w:rPr>
        <w:t>Sizewell C PWR, which, if built, will be a sister station to the Hinkley Point C PWR.</w:t>
      </w:r>
    </w:p>
    <w:p w14:paraId="2C2A376F" w14:textId="56CCD0FC" w:rsidR="7E8CD318" w:rsidRPr="00DD1B58" w:rsidRDefault="7E8CD318" w:rsidP="355CB971">
      <w:pPr>
        <w:rPr>
          <w:lang w:val="en-US"/>
        </w:rPr>
      </w:pPr>
      <w:r w:rsidRPr="00DD1B58">
        <w:rPr>
          <w:lang w:val="en-US"/>
        </w:rPr>
        <w:t>Apart from Sizewell A</w:t>
      </w:r>
      <w:r w:rsidR="008B0FA1" w:rsidRPr="00DD1B58">
        <w:rPr>
          <w:lang w:val="en-US"/>
        </w:rPr>
        <w:t>,</w:t>
      </w:r>
      <w:r w:rsidRPr="00DD1B58">
        <w:rPr>
          <w:lang w:val="en-US"/>
        </w:rPr>
        <w:t xml:space="preserve"> there are no significant industrial facilities in the </w:t>
      </w:r>
      <w:r w:rsidR="002A31E9" w:rsidRPr="00DD1B58">
        <w:rPr>
          <w:lang w:val="en-US"/>
        </w:rPr>
        <w:t xml:space="preserve">area </w:t>
      </w:r>
      <w:r w:rsidRPr="00DD1B58">
        <w:rPr>
          <w:lang w:val="en-US"/>
        </w:rPr>
        <w:t>of Sizewell B.</w:t>
      </w:r>
    </w:p>
    <w:p w14:paraId="6A9D70CB" w14:textId="32BD8D54" w:rsidR="004C39AA" w:rsidRPr="00DD1B58" w:rsidRDefault="004C39AA" w:rsidP="355CB971">
      <w:pPr>
        <w:rPr>
          <w:lang w:val="en-US"/>
        </w:rPr>
      </w:pPr>
      <w:r w:rsidRPr="00DD1B58">
        <w:rPr>
          <w:lang w:val="en-US"/>
        </w:rPr>
        <w:t>Design against the fire hazard is considered to be a strength of this reactor,</w:t>
      </w:r>
      <w:r w:rsidR="000F1512" w:rsidRPr="00DD1B58">
        <w:rPr>
          <w:lang w:val="en-US"/>
        </w:rPr>
        <w:t xml:space="preserve"> and</w:t>
      </w:r>
      <w:r w:rsidR="00D62643" w:rsidRPr="00DD1B58">
        <w:rPr>
          <w:lang w:val="en-US"/>
        </w:rPr>
        <w:t xml:space="preserve"> fire safety</w:t>
      </w:r>
      <w:r w:rsidR="000F1512" w:rsidRPr="00DD1B58">
        <w:rPr>
          <w:lang w:val="en-US"/>
        </w:rPr>
        <w:t xml:space="preserve"> </w:t>
      </w:r>
      <w:r w:rsidRPr="00DD1B58">
        <w:rPr>
          <w:lang w:val="en-US"/>
        </w:rPr>
        <w:t xml:space="preserve">was extensively assessed during the design phase. </w:t>
      </w:r>
      <w:r w:rsidR="7E8CD318" w:rsidRPr="00DD1B58">
        <w:rPr>
          <w:lang w:val="en-US"/>
        </w:rPr>
        <w:t>The reactor is cooled with pressurised water</w:t>
      </w:r>
      <w:r w:rsidRPr="00DD1B58">
        <w:rPr>
          <w:lang w:val="en-US"/>
        </w:rPr>
        <w:t xml:space="preserve"> and t</w:t>
      </w:r>
      <w:r w:rsidR="7E8CD318" w:rsidRPr="00DD1B58">
        <w:rPr>
          <w:lang w:val="en-US"/>
        </w:rPr>
        <w:t xml:space="preserve">he four loops are supplied by four independent and </w:t>
      </w:r>
      <w:r w:rsidR="004C4E5E" w:rsidRPr="00DD1B58">
        <w:rPr>
          <w:lang w:val="en-US"/>
        </w:rPr>
        <w:t>fire-</w:t>
      </w:r>
      <w:r w:rsidR="7E8CD318" w:rsidRPr="00DD1B58">
        <w:rPr>
          <w:lang w:val="en-US"/>
        </w:rPr>
        <w:t>segregated trains of equipment.</w:t>
      </w:r>
    </w:p>
    <w:p w14:paraId="6965F624" w14:textId="5FAEA0B7" w:rsidR="7E8CD318" w:rsidRPr="00DD1B58" w:rsidRDefault="7E8CD318" w:rsidP="355CB971">
      <w:pPr>
        <w:rPr>
          <w:lang w:val="en-US"/>
        </w:rPr>
      </w:pPr>
      <w:r w:rsidRPr="00DD1B58">
        <w:rPr>
          <w:lang w:val="en-US"/>
        </w:rPr>
        <w:t>There is an electrical interconnector between the Sizewell A site and the Sizewell B site</w:t>
      </w:r>
      <w:r w:rsidR="000F1512" w:rsidRPr="00DD1B58">
        <w:rPr>
          <w:lang w:val="en-US"/>
        </w:rPr>
        <w:t>,</w:t>
      </w:r>
      <w:r w:rsidRPr="00DD1B58">
        <w:rPr>
          <w:lang w:val="en-US"/>
        </w:rPr>
        <w:t xml:space="preserve"> installed at</w:t>
      </w:r>
      <w:r w:rsidR="1D526785" w:rsidRPr="00DD1B58">
        <w:rPr>
          <w:lang w:val="en-US"/>
        </w:rPr>
        <w:t xml:space="preserve"> </w:t>
      </w:r>
      <w:r w:rsidRPr="00DD1B58">
        <w:rPr>
          <w:lang w:val="en-US"/>
        </w:rPr>
        <w:t>the time that both stations were operating. This is for emergency purposes only</w:t>
      </w:r>
      <w:r w:rsidR="000F1512" w:rsidRPr="00DD1B58">
        <w:rPr>
          <w:lang w:val="en-US"/>
        </w:rPr>
        <w:t xml:space="preserve"> and</w:t>
      </w:r>
      <w:r w:rsidRPr="00DD1B58">
        <w:rPr>
          <w:lang w:val="en-US"/>
        </w:rPr>
        <w:t xml:space="preserve"> both sites operate as</w:t>
      </w:r>
      <w:r w:rsidR="2B065962" w:rsidRPr="00DD1B58">
        <w:rPr>
          <w:lang w:val="en-US"/>
        </w:rPr>
        <w:t xml:space="preserve"> </w:t>
      </w:r>
      <w:r w:rsidRPr="00DD1B58">
        <w:rPr>
          <w:lang w:val="en-US"/>
        </w:rPr>
        <w:t>independent units.</w:t>
      </w:r>
    </w:p>
    <w:p w14:paraId="07A0BE30" w14:textId="7CFBC4DF" w:rsidR="7E8CD318" w:rsidRPr="00DD1B58" w:rsidRDefault="7E8CD318" w:rsidP="355CB971">
      <w:pPr>
        <w:rPr>
          <w:lang w:val="en-US"/>
        </w:rPr>
      </w:pPr>
      <w:r w:rsidRPr="00DD1B58">
        <w:rPr>
          <w:lang w:val="en-US"/>
        </w:rPr>
        <w:t>There is an on</w:t>
      </w:r>
      <w:r w:rsidR="000F1512" w:rsidRPr="00DD1B58">
        <w:rPr>
          <w:lang w:val="en-US"/>
        </w:rPr>
        <w:t>-</w:t>
      </w:r>
      <w:r w:rsidRPr="00DD1B58">
        <w:rPr>
          <w:lang w:val="en-US"/>
        </w:rPr>
        <w:t>site firefighting team staffed by plant operators and the local fire brigade is called upon</w:t>
      </w:r>
      <w:r w:rsidR="2C9DAB35" w:rsidRPr="00DD1B58">
        <w:rPr>
          <w:lang w:val="en-US"/>
        </w:rPr>
        <w:t xml:space="preserve"> </w:t>
      </w:r>
      <w:r w:rsidRPr="00DD1B58">
        <w:rPr>
          <w:lang w:val="en-US"/>
        </w:rPr>
        <w:t>where required. This is independent from the Sizewell A firefighting provisions. In addition, there is a</w:t>
      </w:r>
      <w:r w:rsidR="3F631E09" w:rsidRPr="00DD1B58">
        <w:rPr>
          <w:lang w:val="en-US"/>
        </w:rPr>
        <w:t xml:space="preserve"> </w:t>
      </w:r>
      <w:r w:rsidRPr="00DD1B58">
        <w:rPr>
          <w:lang w:val="en-US"/>
        </w:rPr>
        <w:t>facility about 4 miles (6 km) inland from the site that stores equipment that may be required for beyond</w:t>
      </w:r>
      <w:r w:rsidR="4EA34201" w:rsidRPr="00DD1B58">
        <w:rPr>
          <w:lang w:val="en-US"/>
        </w:rPr>
        <w:t xml:space="preserve"> </w:t>
      </w:r>
      <w:r w:rsidRPr="00DD1B58">
        <w:rPr>
          <w:lang w:val="en-US"/>
        </w:rPr>
        <w:t>design basis events (developed following the Fukushima event).</w:t>
      </w:r>
      <w:r w:rsidR="12179451" w:rsidRPr="00DD1B58">
        <w:rPr>
          <w:lang w:val="en-US"/>
        </w:rPr>
        <w:t xml:space="preserve"> </w:t>
      </w:r>
      <w:r w:rsidRPr="00DD1B58">
        <w:rPr>
          <w:lang w:val="en-US"/>
        </w:rPr>
        <w:t>There is a dry fuel store on the Sizewell B site in addition to the standard PWR water</w:t>
      </w:r>
      <w:r w:rsidR="008C589C" w:rsidRPr="00DD1B58">
        <w:rPr>
          <w:lang w:val="en-US"/>
        </w:rPr>
        <w:t>-</w:t>
      </w:r>
      <w:r w:rsidRPr="00DD1B58">
        <w:rPr>
          <w:lang w:val="en-US"/>
        </w:rPr>
        <w:t>cooled spent fuel</w:t>
      </w:r>
      <w:r w:rsidR="620A0BD6" w:rsidRPr="00DD1B58">
        <w:rPr>
          <w:lang w:val="en-US"/>
        </w:rPr>
        <w:t xml:space="preserve"> </w:t>
      </w:r>
      <w:r w:rsidRPr="00DD1B58">
        <w:rPr>
          <w:lang w:val="en-US"/>
        </w:rPr>
        <w:t xml:space="preserve">pond. This is described in Section </w:t>
      </w:r>
      <w:r w:rsidR="53486994" w:rsidRPr="00DD1B58">
        <w:rPr>
          <w:lang w:val="en-US"/>
        </w:rPr>
        <w:t>A-I-</w:t>
      </w:r>
      <w:r w:rsidRPr="00DD1B58">
        <w:rPr>
          <w:lang w:val="en-US"/>
        </w:rPr>
        <w:t>2.4</w:t>
      </w:r>
      <w:r w:rsidR="009C5B9F" w:rsidRPr="00DD1B58">
        <w:rPr>
          <w:lang w:val="en-US"/>
        </w:rPr>
        <w:t xml:space="preserve"> below</w:t>
      </w:r>
      <w:r w:rsidRPr="00DD1B58">
        <w:rPr>
          <w:lang w:val="en-US"/>
        </w:rPr>
        <w:t>.</w:t>
      </w:r>
    </w:p>
    <w:p w14:paraId="533DE7D7" w14:textId="77777777" w:rsidR="274B78FB" w:rsidRPr="00DD1B58" w:rsidRDefault="274B78FB" w:rsidP="69C23859">
      <w:pPr>
        <w:rPr>
          <w:b/>
          <w:lang w:val="en-US"/>
        </w:rPr>
      </w:pPr>
      <w:r w:rsidRPr="00DD1B58">
        <w:rPr>
          <w:b/>
          <w:lang w:val="en-US"/>
        </w:rPr>
        <w:t>Sizewell B Dry Fuel Store</w:t>
      </w:r>
    </w:p>
    <w:p w14:paraId="136C7F64" w14:textId="0DB2EF0D" w:rsidR="274B78FB" w:rsidRPr="00DD1B58" w:rsidRDefault="274B78FB" w:rsidP="69C23859">
      <w:pPr>
        <w:rPr>
          <w:lang w:val="en-US"/>
        </w:rPr>
      </w:pPr>
      <w:r w:rsidRPr="00DD1B58">
        <w:rPr>
          <w:lang w:val="en-US"/>
        </w:rPr>
        <w:t>EDF NGL designed, built and commissioned a dry spent fuel storage facility</w:t>
      </w:r>
      <w:r w:rsidR="00D62643" w:rsidRPr="00DD1B58">
        <w:rPr>
          <w:lang w:val="en-US"/>
        </w:rPr>
        <w:t>,</w:t>
      </w:r>
      <w:r w:rsidRPr="00DD1B58">
        <w:rPr>
          <w:lang w:val="en-US"/>
        </w:rPr>
        <w:t xml:space="preserve"> known as the Dry</w:t>
      </w:r>
      <w:r w:rsidR="5775CC1F" w:rsidRPr="00DD1B58">
        <w:rPr>
          <w:lang w:val="en-US"/>
        </w:rPr>
        <w:t xml:space="preserve"> </w:t>
      </w:r>
      <w:r w:rsidRPr="00DD1B58">
        <w:rPr>
          <w:lang w:val="en-US"/>
        </w:rPr>
        <w:t xml:space="preserve">Fuel Store </w:t>
      </w:r>
      <w:r w:rsidR="00D62643" w:rsidRPr="00DD1B58">
        <w:rPr>
          <w:lang w:val="en-US"/>
        </w:rPr>
        <w:t>(</w:t>
      </w:r>
      <w:r w:rsidRPr="00DD1B58">
        <w:rPr>
          <w:lang w:val="en-US"/>
        </w:rPr>
        <w:t>DFS)</w:t>
      </w:r>
      <w:r w:rsidR="00D62643" w:rsidRPr="00DD1B58">
        <w:rPr>
          <w:lang w:val="en-US"/>
        </w:rPr>
        <w:t>,</w:t>
      </w:r>
      <w:r w:rsidRPr="00DD1B58">
        <w:rPr>
          <w:lang w:val="en-US"/>
        </w:rPr>
        <w:t xml:space="preserve"> which will eventually accommodate all the intact Spent Fuel Assemblies (SFAs) for</w:t>
      </w:r>
      <w:r w:rsidR="6A8F2116" w:rsidRPr="00DD1B58">
        <w:rPr>
          <w:lang w:val="en-US"/>
        </w:rPr>
        <w:t xml:space="preserve"> </w:t>
      </w:r>
      <w:r w:rsidRPr="00DD1B58">
        <w:rPr>
          <w:lang w:val="en-US"/>
        </w:rPr>
        <w:t xml:space="preserve">the extended station life and end of life </w:t>
      </w:r>
      <w:r w:rsidR="00B64860" w:rsidRPr="00DD1B58">
        <w:rPr>
          <w:lang w:val="en-US"/>
        </w:rPr>
        <w:t>defueling</w:t>
      </w:r>
      <w:r w:rsidRPr="00DD1B58">
        <w:rPr>
          <w:lang w:val="en-US"/>
        </w:rPr>
        <w:t>. The DFS has a design life of 100 years.</w:t>
      </w:r>
      <w:r w:rsidR="127A17B4" w:rsidRPr="00DD1B58">
        <w:rPr>
          <w:lang w:val="en-US"/>
        </w:rPr>
        <w:t xml:space="preserve"> </w:t>
      </w:r>
    </w:p>
    <w:p w14:paraId="445FD906" w14:textId="45C1EE1D" w:rsidR="274B78FB" w:rsidRPr="00DD1B58" w:rsidRDefault="00EB41EE" w:rsidP="69C23859">
      <w:pPr>
        <w:rPr>
          <w:lang w:val="en-US"/>
        </w:rPr>
      </w:pPr>
      <w:r w:rsidRPr="00DD1B58">
        <w:rPr>
          <w:lang w:val="en-US"/>
        </w:rPr>
        <w:t xml:space="preserve">The original design concept was to transport fuel elements to Sellafield for reprocessing. </w:t>
      </w:r>
      <w:r w:rsidR="274B78FB" w:rsidRPr="00DD1B58">
        <w:rPr>
          <w:lang w:val="en-US"/>
        </w:rPr>
        <w:t>The DFS System is an extension of the existing SZB fuel storage facilities and provides</w:t>
      </w:r>
      <w:r w:rsidR="1B71FFDC" w:rsidRPr="00DD1B58">
        <w:rPr>
          <w:lang w:val="en-US"/>
        </w:rPr>
        <w:t xml:space="preserve"> </w:t>
      </w:r>
      <w:r w:rsidR="274B78FB" w:rsidRPr="00DD1B58">
        <w:rPr>
          <w:lang w:val="en-US"/>
        </w:rPr>
        <w:t>a means of storing spent nuclear fuel (and associated core components) arising from SZB operation for</w:t>
      </w:r>
      <w:r w:rsidR="27D9E360" w:rsidRPr="00DD1B58">
        <w:rPr>
          <w:lang w:val="en-US"/>
        </w:rPr>
        <w:t xml:space="preserve"> </w:t>
      </w:r>
      <w:r w:rsidR="274B78FB" w:rsidRPr="00DD1B58">
        <w:rPr>
          <w:lang w:val="en-US"/>
        </w:rPr>
        <w:t>up to 100 years</w:t>
      </w:r>
      <w:r w:rsidR="00DB5FA1" w:rsidRPr="00DD1B58">
        <w:rPr>
          <w:lang w:val="en-US"/>
        </w:rPr>
        <w:t>, allowing SZB to continue long-term operation.</w:t>
      </w:r>
    </w:p>
    <w:p w14:paraId="2C158FC6" w14:textId="03DCAFB4" w:rsidR="274B78FB" w:rsidRPr="00DD1B58" w:rsidRDefault="274B78FB" w:rsidP="69C23859">
      <w:pPr>
        <w:rPr>
          <w:lang w:val="en-US"/>
        </w:rPr>
      </w:pPr>
      <w:r w:rsidRPr="00DD1B58">
        <w:rPr>
          <w:lang w:val="en-US"/>
        </w:rPr>
        <w:t>There are three plant areas where the fire risk has been assessed</w:t>
      </w:r>
      <w:r w:rsidR="00DB5FA1" w:rsidRPr="00DD1B58">
        <w:rPr>
          <w:lang w:val="en-US"/>
        </w:rPr>
        <w:t xml:space="preserve">, which </w:t>
      </w:r>
      <w:r w:rsidRPr="00DD1B58">
        <w:rPr>
          <w:lang w:val="en-US"/>
        </w:rPr>
        <w:t>are as follows</w:t>
      </w:r>
      <w:r w:rsidR="00DB5FA1" w:rsidRPr="00DD1B58">
        <w:rPr>
          <w:lang w:val="en-US"/>
        </w:rPr>
        <w:t>.</w:t>
      </w:r>
    </w:p>
    <w:p w14:paraId="52397B8A" w14:textId="61660C1A" w:rsidR="007F53CC" w:rsidRPr="00DD1B58" w:rsidRDefault="274B78FB" w:rsidP="69C23859">
      <w:pPr>
        <w:rPr>
          <w:lang w:val="en-US"/>
        </w:rPr>
      </w:pPr>
      <w:r w:rsidRPr="00DD1B58">
        <w:rPr>
          <w:b/>
          <w:lang w:val="en-US"/>
        </w:rPr>
        <w:lastRenderedPageBreak/>
        <w:t>Fuel storage building</w:t>
      </w:r>
      <w:r w:rsidR="00CF5117" w:rsidRPr="00DD1B58">
        <w:rPr>
          <w:b/>
          <w:lang w:val="en-US"/>
        </w:rPr>
        <w:t>:</w:t>
      </w:r>
      <w:r w:rsidR="00E01D6E" w:rsidRPr="00DD1B58">
        <w:rPr>
          <w:b/>
          <w:lang w:val="en-US"/>
        </w:rPr>
        <w:t xml:space="preserve"> </w:t>
      </w:r>
      <w:r w:rsidR="00CF5117" w:rsidRPr="00DD1B58">
        <w:rPr>
          <w:lang w:val="en-US"/>
        </w:rPr>
        <w:t>t</w:t>
      </w:r>
      <w:r w:rsidRPr="00DD1B58">
        <w:rPr>
          <w:lang w:val="en-US"/>
        </w:rPr>
        <w:t xml:space="preserve">he Fuel Storage Building (FSB) is part of the original </w:t>
      </w:r>
      <w:r w:rsidR="00FD7A59" w:rsidRPr="00DD1B58">
        <w:rPr>
          <w:lang w:val="en-US"/>
        </w:rPr>
        <w:t>design of SZB and</w:t>
      </w:r>
      <w:r w:rsidRPr="00DD1B58">
        <w:rPr>
          <w:lang w:val="en-US"/>
        </w:rPr>
        <w:t xml:space="preserve"> has been</w:t>
      </w:r>
      <w:r w:rsidR="00FD7A59" w:rsidRPr="00DD1B58">
        <w:rPr>
          <w:lang w:val="en-US"/>
        </w:rPr>
        <w:t xml:space="preserve"> since</w:t>
      </w:r>
      <w:r w:rsidRPr="00DD1B58">
        <w:rPr>
          <w:lang w:val="en-US"/>
        </w:rPr>
        <w:t xml:space="preserve"> adapted for the</w:t>
      </w:r>
      <w:r w:rsidR="6015965C" w:rsidRPr="00DD1B58">
        <w:rPr>
          <w:lang w:val="en-US"/>
        </w:rPr>
        <w:t xml:space="preserve"> </w:t>
      </w:r>
      <w:r w:rsidRPr="00DD1B58">
        <w:rPr>
          <w:lang w:val="en-US"/>
        </w:rPr>
        <w:t xml:space="preserve">transfer of fuel to long term storage casks. Much of this process is carried out under water, </w:t>
      </w:r>
      <w:r w:rsidR="00DB5FA1" w:rsidRPr="00DD1B58">
        <w:rPr>
          <w:lang w:val="en-US"/>
        </w:rPr>
        <w:t xml:space="preserve">though </w:t>
      </w:r>
      <w:r w:rsidRPr="00DD1B58">
        <w:rPr>
          <w:lang w:val="en-US"/>
        </w:rPr>
        <w:t>welding operations are carried out in an air atmosphere.</w:t>
      </w:r>
    </w:p>
    <w:p w14:paraId="37461E81" w14:textId="092E1144" w:rsidR="274B78FB" w:rsidRPr="00DD1B58" w:rsidRDefault="007F53CC" w:rsidP="69C23859">
      <w:pPr>
        <w:rPr>
          <w:lang w:val="en-US"/>
        </w:rPr>
      </w:pPr>
      <w:r w:rsidRPr="00DD1B58">
        <w:rPr>
          <w:lang w:val="en-US"/>
        </w:rPr>
        <w:t>N</w:t>
      </w:r>
      <w:r w:rsidR="274B78FB" w:rsidRPr="00DD1B58">
        <w:rPr>
          <w:lang w:val="en-US"/>
        </w:rPr>
        <w:t>ew equipment items that</w:t>
      </w:r>
      <w:r w:rsidR="1731D36C" w:rsidRPr="00DD1B58">
        <w:rPr>
          <w:lang w:val="en-US"/>
        </w:rPr>
        <w:t xml:space="preserve"> </w:t>
      </w:r>
      <w:r w:rsidR="274B78FB" w:rsidRPr="00DD1B58">
        <w:rPr>
          <w:lang w:val="en-US"/>
        </w:rPr>
        <w:t>are introduced into the FSB do not introduce significant additional combustible materials.</w:t>
      </w:r>
      <w:r w:rsidRPr="00DD1B58">
        <w:rPr>
          <w:lang w:val="en-US"/>
        </w:rPr>
        <w:t xml:space="preserve"> </w:t>
      </w:r>
      <w:r w:rsidR="274B78FB" w:rsidRPr="00DD1B58">
        <w:rPr>
          <w:lang w:val="en-US"/>
        </w:rPr>
        <w:t>However</w:t>
      </w:r>
      <w:r w:rsidR="00B14899" w:rsidRPr="00DD1B58">
        <w:rPr>
          <w:lang w:val="en-US"/>
        </w:rPr>
        <w:t>,</w:t>
      </w:r>
      <w:r w:rsidR="274B78FB" w:rsidRPr="00DD1B58">
        <w:rPr>
          <w:lang w:val="en-US"/>
        </w:rPr>
        <w:t xml:space="preserve"> new welding activities</w:t>
      </w:r>
      <w:r w:rsidRPr="00DD1B58">
        <w:rPr>
          <w:lang w:val="en-US"/>
        </w:rPr>
        <w:t xml:space="preserve"> do</w:t>
      </w:r>
      <w:r w:rsidR="274B78FB" w:rsidRPr="00DD1B58">
        <w:rPr>
          <w:lang w:val="en-US"/>
        </w:rPr>
        <w:t xml:space="preserve"> introduce an additional ignition source into the FSB. </w:t>
      </w:r>
      <w:r w:rsidRPr="00DD1B58">
        <w:rPr>
          <w:lang w:val="en-US"/>
        </w:rPr>
        <w:t xml:space="preserve">The design mitigates this by </w:t>
      </w:r>
      <w:r w:rsidR="0068102B" w:rsidRPr="00DD1B58">
        <w:rPr>
          <w:lang w:val="en-US"/>
        </w:rPr>
        <w:t>minimising</w:t>
      </w:r>
      <w:r w:rsidR="274B78FB" w:rsidRPr="00DD1B58">
        <w:rPr>
          <w:lang w:val="en-US"/>
        </w:rPr>
        <w:t xml:space="preserve"> sources of combustible material in the location of the welding activities,</w:t>
      </w:r>
      <w:r w:rsidR="30DAF0D8" w:rsidRPr="00DD1B58">
        <w:rPr>
          <w:lang w:val="en-US"/>
        </w:rPr>
        <w:t xml:space="preserve"> </w:t>
      </w:r>
      <w:r w:rsidR="274B78FB" w:rsidRPr="00DD1B58">
        <w:rPr>
          <w:lang w:val="en-US"/>
        </w:rPr>
        <w:t>so there is no significant fire risk</w:t>
      </w:r>
      <w:r w:rsidR="0068102B" w:rsidRPr="00DD1B58">
        <w:rPr>
          <w:lang w:val="en-US"/>
        </w:rPr>
        <w:t xml:space="preserve"> from these activities</w:t>
      </w:r>
      <w:r w:rsidR="274B78FB" w:rsidRPr="00DD1B58">
        <w:rPr>
          <w:lang w:val="en-US"/>
        </w:rPr>
        <w:t>.</w:t>
      </w:r>
    </w:p>
    <w:p w14:paraId="180D16F5" w14:textId="77777777" w:rsidR="274B78FB" w:rsidRPr="00DD1B58" w:rsidRDefault="274B78FB" w:rsidP="69C23859">
      <w:pPr>
        <w:rPr>
          <w:lang w:val="en-US"/>
        </w:rPr>
      </w:pPr>
      <w:r w:rsidRPr="00DD1B58">
        <w:rPr>
          <w:lang w:val="en-US"/>
        </w:rPr>
        <w:t>In addition, there is a haulage transporter that enters the fuel building and, although unlikely, a</w:t>
      </w:r>
      <w:r w:rsidR="3CD46DE3" w:rsidRPr="00DD1B58">
        <w:rPr>
          <w:lang w:val="en-US"/>
        </w:rPr>
        <w:t xml:space="preserve"> </w:t>
      </w:r>
      <w:r w:rsidRPr="00DD1B58">
        <w:rPr>
          <w:lang w:val="en-US"/>
        </w:rPr>
        <w:t>transporter fire within the building is considered in the hazards assessment (combustible loads are the</w:t>
      </w:r>
      <w:r w:rsidR="7D0B0825" w:rsidRPr="00DD1B58">
        <w:rPr>
          <w:lang w:val="en-US"/>
        </w:rPr>
        <w:t xml:space="preserve"> </w:t>
      </w:r>
      <w:r w:rsidRPr="00DD1B58">
        <w:rPr>
          <w:lang w:val="en-US"/>
        </w:rPr>
        <w:t>tyres, hydraulic fluid and diesel fuel).</w:t>
      </w:r>
    </w:p>
    <w:p w14:paraId="4936622F" w14:textId="6996DCED" w:rsidR="274B78FB" w:rsidRPr="00DD1B58" w:rsidRDefault="00BB4C10" w:rsidP="69C23859">
      <w:pPr>
        <w:rPr>
          <w:lang w:val="en-US"/>
        </w:rPr>
      </w:pPr>
      <w:r w:rsidRPr="00DD1B58">
        <w:rPr>
          <w:lang w:val="en-US"/>
        </w:rPr>
        <w:t>The licensee’s fire assessments</w:t>
      </w:r>
      <w:r w:rsidR="274B78FB" w:rsidRPr="00DD1B58">
        <w:rPr>
          <w:lang w:val="en-US"/>
        </w:rPr>
        <w:t xml:space="preserve"> </w:t>
      </w:r>
      <w:r w:rsidR="00C27D43" w:rsidRPr="00DD1B58">
        <w:rPr>
          <w:lang w:val="en-US"/>
        </w:rPr>
        <w:t xml:space="preserve">concluded </w:t>
      </w:r>
      <w:r w:rsidR="274B78FB" w:rsidRPr="00DD1B58">
        <w:rPr>
          <w:lang w:val="en-US"/>
        </w:rPr>
        <w:t xml:space="preserve">that </w:t>
      </w:r>
      <w:r w:rsidR="00C27D43" w:rsidRPr="00DD1B58">
        <w:rPr>
          <w:lang w:val="en-US"/>
        </w:rPr>
        <w:t>the</w:t>
      </w:r>
      <w:r w:rsidR="00A111E7" w:rsidRPr="00DD1B58">
        <w:rPr>
          <w:lang w:val="en-US"/>
        </w:rPr>
        <w:t>re were no significant</w:t>
      </w:r>
      <w:r w:rsidR="00C27D43" w:rsidRPr="00DD1B58">
        <w:rPr>
          <w:lang w:val="en-US"/>
        </w:rPr>
        <w:t xml:space="preserve"> risk</w:t>
      </w:r>
      <w:r w:rsidR="009A09B9" w:rsidRPr="00DD1B58">
        <w:rPr>
          <w:lang w:val="en-US"/>
        </w:rPr>
        <w:t>s</w:t>
      </w:r>
      <w:r w:rsidR="00A111E7" w:rsidRPr="00DD1B58">
        <w:rPr>
          <w:lang w:val="en-US"/>
        </w:rPr>
        <w:t xml:space="preserve"> </w:t>
      </w:r>
      <w:r w:rsidR="00C27D43" w:rsidRPr="00DD1B58">
        <w:rPr>
          <w:lang w:val="en-US"/>
        </w:rPr>
        <w:t xml:space="preserve">to nuclear safety </w:t>
      </w:r>
      <w:r w:rsidR="00A111E7" w:rsidRPr="00DD1B58">
        <w:rPr>
          <w:lang w:val="en-US"/>
        </w:rPr>
        <w:t>or</w:t>
      </w:r>
      <w:r w:rsidR="00C27D43" w:rsidRPr="00DD1B58">
        <w:rPr>
          <w:lang w:val="en-US"/>
        </w:rPr>
        <w:t xml:space="preserve"> </w:t>
      </w:r>
      <w:r w:rsidR="009A09B9" w:rsidRPr="00DD1B58">
        <w:rPr>
          <w:lang w:val="en-US"/>
        </w:rPr>
        <w:t>personnel</w:t>
      </w:r>
      <w:r w:rsidR="00C27D43" w:rsidRPr="00DD1B58">
        <w:rPr>
          <w:lang w:val="en-US"/>
        </w:rPr>
        <w:t xml:space="preserve"> </w:t>
      </w:r>
      <w:r w:rsidR="00A111E7" w:rsidRPr="00DD1B58">
        <w:rPr>
          <w:lang w:val="en-US"/>
        </w:rPr>
        <w:t xml:space="preserve">arising from </w:t>
      </w:r>
      <w:r w:rsidRPr="00DD1B58">
        <w:rPr>
          <w:lang w:val="en-US"/>
        </w:rPr>
        <w:t>fire</w:t>
      </w:r>
      <w:r w:rsidR="004D298D" w:rsidRPr="00DD1B58">
        <w:rPr>
          <w:lang w:val="en-US"/>
        </w:rPr>
        <w:t>s</w:t>
      </w:r>
      <w:r w:rsidRPr="00DD1B58">
        <w:rPr>
          <w:lang w:val="en-US"/>
        </w:rPr>
        <w:t xml:space="preserve"> </w:t>
      </w:r>
      <w:r w:rsidR="274B78FB" w:rsidRPr="00DD1B58">
        <w:rPr>
          <w:lang w:val="en-US"/>
        </w:rPr>
        <w:t>in the FSB</w:t>
      </w:r>
      <w:r w:rsidR="00A111E7" w:rsidRPr="00DD1B58">
        <w:rPr>
          <w:lang w:val="en-US"/>
        </w:rPr>
        <w:t>.</w:t>
      </w:r>
    </w:p>
    <w:p w14:paraId="46619338" w14:textId="54C21164" w:rsidR="274B78FB" w:rsidRPr="00DD1B58" w:rsidRDefault="274B78FB" w:rsidP="69C23859">
      <w:pPr>
        <w:rPr>
          <w:lang w:val="en-US"/>
        </w:rPr>
      </w:pPr>
      <w:r w:rsidRPr="00DD1B58">
        <w:rPr>
          <w:b/>
          <w:lang w:val="en-US"/>
        </w:rPr>
        <w:t>Transport route</w:t>
      </w:r>
      <w:r w:rsidR="00DC43D4" w:rsidRPr="00DD1B58">
        <w:rPr>
          <w:b/>
          <w:lang w:val="en-US"/>
        </w:rPr>
        <w:t>:</w:t>
      </w:r>
      <w:r w:rsidR="00E95912" w:rsidRPr="00DD1B58">
        <w:rPr>
          <w:bCs/>
          <w:lang w:val="en-US"/>
        </w:rPr>
        <w:t xml:space="preserve"> </w:t>
      </w:r>
      <w:r w:rsidR="00DC43D4" w:rsidRPr="00DD1B58">
        <w:rPr>
          <w:lang w:val="en-US"/>
        </w:rPr>
        <w:t>t</w:t>
      </w:r>
      <w:r w:rsidRPr="00DD1B58">
        <w:rPr>
          <w:lang w:val="en-US"/>
        </w:rPr>
        <w:t>he fuel casks are then transferred to the new Dry Fuel Store Building (DFSB) using a specialised</w:t>
      </w:r>
      <w:r w:rsidR="62BD92DF" w:rsidRPr="00DD1B58">
        <w:rPr>
          <w:lang w:val="en-US"/>
        </w:rPr>
        <w:t xml:space="preserve"> </w:t>
      </w:r>
      <w:r w:rsidR="00584A08" w:rsidRPr="00DD1B58">
        <w:rPr>
          <w:lang w:val="en-US"/>
        </w:rPr>
        <w:t>hauling transporter</w:t>
      </w:r>
      <w:r w:rsidRPr="00DD1B58">
        <w:rPr>
          <w:lang w:val="en-US"/>
        </w:rPr>
        <w:t>.</w:t>
      </w:r>
    </w:p>
    <w:p w14:paraId="2859A5A2" w14:textId="39D2647E" w:rsidR="31864F4A" w:rsidRPr="00DD1B58" w:rsidRDefault="31864F4A" w:rsidP="69C23859">
      <w:pPr>
        <w:rPr>
          <w:lang w:val="en-US"/>
        </w:rPr>
      </w:pPr>
      <w:r w:rsidRPr="00DD1B58">
        <w:rPr>
          <w:lang w:val="en-US"/>
        </w:rPr>
        <w:t xml:space="preserve">The transport route safety assessment considers </w:t>
      </w:r>
      <w:r w:rsidR="0055478B" w:rsidRPr="00DD1B58">
        <w:rPr>
          <w:lang w:val="en-US"/>
        </w:rPr>
        <w:t>a</w:t>
      </w:r>
      <w:r w:rsidRPr="00DD1B58">
        <w:rPr>
          <w:lang w:val="en-US"/>
        </w:rPr>
        <w:t xml:space="preserve"> hauling transporter </w:t>
      </w:r>
      <w:r w:rsidR="0055478B" w:rsidRPr="00DD1B58">
        <w:rPr>
          <w:lang w:val="en-US"/>
        </w:rPr>
        <w:t xml:space="preserve">fire and concluded that </w:t>
      </w:r>
      <w:r w:rsidRPr="00DD1B58">
        <w:rPr>
          <w:lang w:val="en-US"/>
        </w:rPr>
        <w:t xml:space="preserve">the temperatures of all the components that constitute the containment barriers remain below their temperature </w:t>
      </w:r>
      <w:r w:rsidR="0055478B" w:rsidRPr="00DD1B58">
        <w:rPr>
          <w:lang w:val="en-US"/>
        </w:rPr>
        <w:t xml:space="preserve">withstand </w:t>
      </w:r>
      <w:r w:rsidRPr="00DD1B58">
        <w:rPr>
          <w:lang w:val="en-US"/>
        </w:rPr>
        <w:t>limits.</w:t>
      </w:r>
    </w:p>
    <w:p w14:paraId="12340CF9" w14:textId="6AC9ACD7" w:rsidR="31864F4A" w:rsidRPr="00DD1B58" w:rsidRDefault="31864F4A" w:rsidP="69C23859">
      <w:pPr>
        <w:rPr>
          <w:lang w:val="en-US"/>
        </w:rPr>
      </w:pPr>
      <w:r w:rsidRPr="00DD1B58">
        <w:rPr>
          <w:b/>
          <w:lang w:val="en-US"/>
        </w:rPr>
        <w:t xml:space="preserve">Dry </w:t>
      </w:r>
      <w:r w:rsidR="00AD0BFA" w:rsidRPr="00DD1B58">
        <w:rPr>
          <w:b/>
          <w:lang w:val="en-US"/>
        </w:rPr>
        <w:t>F</w:t>
      </w:r>
      <w:r w:rsidRPr="00DD1B58">
        <w:rPr>
          <w:b/>
          <w:lang w:val="en-US"/>
        </w:rPr>
        <w:t xml:space="preserve">uel </w:t>
      </w:r>
      <w:r w:rsidR="00AD0BFA" w:rsidRPr="00DD1B58">
        <w:rPr>
          <w:b/>
          <w:lang w:val="en-US"/>
        </w:rPr>
        <w:t>S</w:t>
      </w:r>
      <w:r w:rsidRPr="00DD1B58">
        <w:rPr>
          <w:b/>
          <w:lang w:val="en-US"/>
        </w:rPr>
        <w:t xml:space="preserve">tore </w:t>
      </w:r>
      <w:r w:rsidR="00AD0BFA" w:rsidRPr="00DD1B58">
        <w:rPr>
          <w:b/>
          <w:lang w:val="en-US"/>
        </w:rPr>
        <w:t>B</w:t>
      </w:r>
      <w:r w:rsidRPr="00DD1B58">
        <w:rPr>
          <w:b/>
          <w:lang w:val="en-US"/>
        </w:rPr>
        <w:t>uilding</w:t>
      </w:r>
      <w:r w:rsidR="00DC43D4" w:rsidRPr="00DD1B58">
        <w:rPr>
          <w:b/>
          <w:lang w:val="en-US"/>
        </w:rPr>
        <w:t>:</w:t>
      </w:r>
      <w:r w:rsidR="001B3BF7" w:rsidRPr="00DD1B58">
        <w:rPr>
          <w:bCs/>
          <w:lang w:val="en-US"/>
        </w:rPr>
        <w:t xml:space="preserve"> </w:t>
      </w:r>
      <w:r w:rsidR="00DC43D4" w:rsidRPr="00DD1B58">
        <w:rPr>
          <w:lang w:val="en-US"/>
        </w:rPr>
        <w:t>t</w:t>
      </w:r>
      <w:r w:rsidRPr="00DD1B58">
        <w:rPr>
          <w:lang w:val="en-US"/>
        </w:rPr>
        <w:t>he DFSB is a large, steel</w:t>
      </w:r>
      <w:r w:rsidR="00AD0BFA" w:rsidRPr="00DD1B58">
        <w:rPr>
          <w:lang w:val="en-US"/>
        </w:rPr>
        <w:t>-</w:t>
      </w:r>
      <w:r w:rsidRPr="00DD1B58">
        <w:rPr>
          <w:lang w:val="en-US"/>
        </w:rPr>
        <w:t>framed structure with a single clear span supported on a seismically qualified reinforced concrete foundation slab. The walls and roof of the building are clad with a proprietary insulated aluminium standing-seam system that also incorporates contiguous banks of louvers at high and low level. The louvers allow passive air cooling of the fuel casks stored within the building. The DFSB and casks do not depend on active systems for safe operation.</w:t>
      </w:r>
    </w:p>
    <w:p w14:paraId="16810EBD" w14:textId="2158EA77" w:rsidR="31864F4A" w:rsidRPr="00DD1B58" w:rsidRDefault="31864F4A" w:rsidP="00330C64">
      <w:pPr>
        <w:rPr>
          <w:lang w:val="en-US"/>
        </w:rPr>
      </w:pPr>
      <w:r w:rsidRPr="00DD1B58">
        <w:rPr>
          <w:lang w:val="en-US"/>
        </w:rPr>
        <w:t>The DFSB contains very limited amounts of combustible material. The only fixed combustibles are the cables for lighting and instrumentation</w:t>
      </w:r>
      <w:r w:rsidR="00881C12" w:rsidRPr="00DD1B58">
        <w:rPr>
          <w:lang w:val="en-US"/>
        </w:rPr>
        <w:t xml:space="preserve"> and there are</w:t>
      </w:r>
      <w:r w:rsidRPr="00DD1B58">
        <w:rPr>
          <w:lang w:val="en-US"/>
        </w:rPr>
        <w:t xml:space="preserve"> no </w:t>
      </w:r>
      <w:r w:rsidR="00881C12" w:rsidRPr="00DD1B58">
        <w:rPr>
          <w:lang w:val="en-US"/>
        </w:rPr>
        <w:t xml:space="preserve">fixed </w:t>
      </w:r>
      <w:r w:rsidRPr="00DD1B58">
        <w:rPr>
          <w:lang w:val="en-US"/>
        </w:rPr>
        <w:t>ignition sources</w:t>
      </w:r>
      <w:r w:rsidR="00881C12" w:rsidRPr="00DD1B58">
        <w:rPr>
          <w:lang w:val="en-US"/>
        </w:rPr>
        <w:t xml:space="preserve">. </w:t>
      </w:r>
      <w:r w:rsidRPr="00DD1B58">
        <w:rPr>
          <w:lang w:val="en-US"/>
        </w:rPr>
        <w:t xml:space="preserve">The main potential sources of fire are </w:t>
      </w:r>
      <w:r w:rsidR="00881C12" w:rsidRPr="00DD1B58">
        <w:rPr>
          <w:lang w:val="en-US"/>
        </w:rPr>
        <w:t xml:space="preserve">transient, i.e. </w:t>
      </w:r>
      <w:r w:rsidRPr="00DD1B58">
        <w:rPr>
          <w:lang w:val="en-US"/>
        </w:rPr>
        <w:t xml:space="preserve">the transporters, which contain diesel fuel, engine oil and hydraulic oil as well as solid rubber tyres. The oil quantities are limited and refuelling of the transporters takes place outside the DFSB. The </w:t>
      </w:r>
      <w:r w:rsidR="00881C12" w:rsidRPr="00DD1B58">
        <w:rPr>
          <w:lang w:val="en-US"/>
        </w:rPr>
        <w:t xml:space="preserve">licensee’s </w:t>
      </w:r>
      <w:r w:rsidRPr="00DD1B58">
        <w:rPr>
          <w:lang w:val="en-US"/>
        </w:rPr>
        <w:t>fire assessment concluded that there are no significant nuclear risks from fire hazard</w:t>
      </w:r>
      <w:r w:rsidR="00881C12" w:rsidRPr="00DD1B58">
        <w:rPr>
          <w:lang w:val="en-US"/>
        </w:rPr>
        <w:t>s</w:t>
      </w:r>
      <w:r w:rsidRPr="00DD1B58">
        <w:rPr>
          <w:lang w:val="en-US"/>
        </w:rPr>
        <w:t xml:space="preserve"> in the DFSB</w:t>
      </w:r>
      <w:r w:rsidR="00330C64" w:rsidRPr="00DD1B58">
        <w:rPr>
          <w:lang w:val="en-US"/>
        </w:rPr>
        <w:t xml:space="preserve"> and, as such, t</w:t>
      </w:r>
      <w:r w:rsidR="00881C12" w:rsidRPr="00DD1B58">
        <w:rPr>
          <w:lang w:val="en-US"/>
        </w:rPr>
        <w:t>he licensee’s probabilistic safety assessment</w:t>
      </w:r>
      <w:r w:rsidR="00330C64" w:rsidRPr="00DD1B58">
        <w:rPr>
          <w:lang w:val="en-US"/>
        </w:rPr>
        <w:t xml:space="preserve"> does not quantify it.</w:t>
      </w:r>
    </w:p>
    <w:p w14:paraId="701F1F6E" w14:textId="6B279FFC" w:rsidR="343A15C1" w:rsidRPr="00DD1B58" w:rsidRDefault="343A15C1" w:rsidP="001B13EA">
      <w:pPr>
        <w:pStyle w:val="Heading4"/>
        <w:numPr>
          <w:ilvl w:val="6"/>
          <w:numId w:val="3"/>
        </w:numPr>
        <w:rPr>
          <w:lang w:val="en-US"/>
        </w:rPr>
      </w:pPr>
      <w:r w:rsidRPr="00DD1B58">
        <w:rPr>
          <w:lang w:val="en-US"/>
        </w:rPr>
        <w:t xml:space="preserve">NNB Generation (HPC) </w:t>
      </w:r>
      <w:r w:rsidR="003D7E70" w:rsidRPr="00DD1B58">
        <w:rPr>
          <w:lang w:val="en-US"/>
        </w:rPr>
        <w:t>Ltd</w:t>
      </w:r>
    </w:p>
    <w:p w14:paraId="7505B6B2" w14:textId="1114A773" w:rsidR="00824027" w:rsidRPr="00DD1B58" w:rsidRDefault="00824027" w:rsidP="355CB971">
      <w:pPr>
        <w:rPr>
          <w:b/>
          <w:lang w:val="en-US"/>
        </w:rPr>
      </w:pPr>
      <w:r w:rsidRPr="00DD1B58">
        <w:rPr>
          <w:lang w:val="en-US"/>
        </w:rPr>
        <w:t xml:space="preserve">This section has been provided by the licensee based on information from the Preconstruction Safety Report 3 (PCSR3 </w:t>
      </w:r>
      <w:sdt>
        <w:sdtPr>
          <w:rPr>
            <w:lang w:val="en-US"/>
          </w:rPr>
          <w:id w:val="1721013902"/>
          <w:citation/>
        </w:sdtPr>
        <w:sdtContent>
          <w:r w:rsidRPr="00DD1B58">
            <w:rPr>
              <w:lang w:val="en-US"/>
            </w:rPr>
            <w:fldChar w:fldCharType="begin"/>
          </w:r>
          <w:r w:rsidRPr="00DD1B58">
            <w:rPr>
              <w:lang w:val="en-US"/>
            </w:rPr>
            <w:instrText xml:space="preserve"> CITATION NNB161 \l 2057 </w:instrText>
          </w:r>
          <w:r w:rsidRPr="00DD1B58">
            <w:rPr>
              <w:lang w:val="en-US"/>
            </w:rPr>
            <w:fldChar w:fldCharType="separate"/>
          </w:r>
          <w:r w:rsidR="00DF47DA" w:rsidRPr="00DF47DA">
            <w:rPr>
              <w:noProof/>
              <w:lang w:val="en-US"/>
            </w:rPr>
            <w:t>[3]</w:t>
          </w:r>
          <w:r w:rsidRPr="00DD1B58">
            <w:rPr>
              <w:lang w:val="en-US"/>
            </w:rPr>
            <w:fldChar w:fldCharType="end"/>
          </w:r>
        </w:sdtContent>
      </w:sdt>
      <w:sdt>
        <w:sdtPr>
          <w:rPr>
            <w:lang w:val="en-US"/>
          </w:rPr>
          <w:id w:val="763878103"/>
          <w:citation/>
        </w:sdtPr>
        <w:sdtContent>
          <w:r w:rsidRPr="00DD1B58">
            <w:rPr>
              <w:lang w:val="en-US"/>
            </w:rPr>
            <w:fldChar w:fldCharType="begin"/>
          </w:r>
          <w:r w:rsidRPr="00DD1B58">
            <w:rPr>
              <w:lang w:val="en-US"/>
            </w:rPr>
            <w:instrText xml:space="preserve"> CITATION NNB17 \l 2057 </w:instrText>
          </w:r>
          <w:r w:rsidRPr="00DD1B58">
            <w:rPr>
              <w:lang w:val="en-US"/>
            </w:rPr>
            <w:fldChar w:fldCharType="separate"/>
          </w:r>
          <w:r w:rsidR="00DF47DA">
            <w:rPr>
              <w:noProof/>
              <w:lang w:val="en-US"/>
            </w:rPr>
            <w:t xml:space="preserve"> </w:t>
          </w:r>
          <w:r w:rsidR="00DF47DA" w:rsidRPr="00DF47DA">
            <w:rPr>
              <w:noProof/>
              <w:lang w:val="en-US"/>
            </w:rPr>
            <w:t>[4]</w:t>
          </w:r>
          <w:r w:rsidRPr="00DD1B58">
            <w:rPr>
              <w:lang w:val="en-US"/>
            </w:rPr>
            <w:fldChar w:fldCharType="end"/>
          </w:r>
        </w:sdtContent>
      </w:sdt>
      <w:r w:rsidRPr="00DD1B58">
        <w:rPr>
          <w:lang w:val="en-US"/>
        </w:rPr>
        <w:t xml:space="preserve">) and Summary Safety Case Document 2 (SSCD2 </w:t>
      </w:r>
      <w:sdt>
        <w:sdtPr>
          <w:rPr>
            <w:lang w:val="en-US"/>
          </w:rPr>
          <w:id w:val="-480773172"/>
          <w:citation/>
        </w:sdtPr>
        <w:sdtContent>
          <w:r w:rsidRPr="00DD1B58">
            <w:rPr>
              <w:lang w:val="en-US"/>
            </w:rPr>
            <w:fldChar w:fldCharType="begin"/>
          </w:r>
          <w:r w:rsidRPr="00DD1B58">
            <w:rPr>
              <w:lang w:val="en-US"/>
            </w:rPr>
            <w:instrText xml:space="preserve"> CITATION NNB231 \l 2057 </w:instrText>
          </w:r>
          <w:r w:rsidRPr="00DD1B58">
            <w:rPr>
              <w:lang w:val="en-US"/>
            </w:rPr>
            <w:fldChar w:fldCharType="separate"/>
          </w:r>
          <w:r w:rsidR="00DF47DA" w:rsidRPr="00DF47DA">
            <w:rPr>
              <w:noProof/>
              <w:lang w:val="en-US"/>
            </w:rPr>
            <w:t>[5]</w:t>
          </w:r>
          <w:r w:rsidRPr="00DD1B58">
            <w:rPr>
              <w:lang w:val="en-US"/>
            </w:rPr>
            <w:fldChar w:fldCharType="end"/>
          </w:r>
        </w:sdtContent>
      </w:sdt>
      <w:sdt>
        <w:sdtPr>
          <w:rPr>
            <w:lang w:val="en-US"/>
          </w:rPr>
          <w:id w:val="1082807323"/>
          <w:citation/>
        </w:sdtPr>
        <w:sdtContent>
          <w:r w:rsidRPr="00DD1B58">
            <w:rPr>
              <w:lang w:val="en-US"/>
            </w:rPr>
            <w:fldChar w:fldCharType="begin"/>
          </w:r>
          <w:r w:rsidRPr="00DD1B58">
            <w:rPr>
              <w:lang w:val="en-US"/>
            </w:rPr>
            <w:instrText xml:space="preserve"> CITATION NNB12 \l 2057 </w:instrText>
          </w:r>
          <w:r w:rsidRPr="00DD1B58">
            <w:rPr>
              <w:lang w:val="en-US"/>
            </w:rPr>
            <w:fldChar w:fldCharType="separate"/>
          </w:r>
          <w:r w:rsidR="00DF47DA">
            <w:rPr>
              <w:noProof/>
              <w:lang w:val="en-US"/>
            </w:rPr>
            <w:t xml:space="preserve"> </w:t>
          </w:r>
          <w:r w:rsidR="00DF47DA" w:rsidRPr="00DF47DA">
            <w:rPr>
              <w:noProof/>
              <w:lang w:val="en-US"/>
            </w:rPr>
            <w:t>[6]</w:t>
          </w:r>
          <w:r w:rsidRPr="00DD1B58">
            <w:rPr>
              <w:lang w:val="en-US"/>
            </w:rPr>
            <w:fldChar w:fldCharType="end"/>
          </w:r>
        </w:sdtContent>
      </w:sdt>
      <w:r w:rsidRPr="00DD1B58">
        <w:rPr>
          <w:lang w:val="en-US"/>
        </w:rPr>
        <w:t>).</w:t>
      </w:r>
    </w:p>
    <w:p w14:paraId="773EAEB1" w14:textId="77777777" w:rsidR="45B12F1F" w:rsidRPr="00DD1B58" w:rsidRDefault="45B12F1F" w:rsidP="355CB971">
      <w:pPr>
        <w:rPr>
          <w:b/>
          <w:lang w:val="en-US"/>
        </w:rPr>
      </w:pPr>
      <w:r w:rsidRPr="00DD1B58">
        <w:rPr>
          <w:b/>
          <w:lang w:val="en-US"/>
        </w:rPr>
        <w:t>Overview</w:t>
      </w:r>
    </w:p>
    <w:p w14:paraId="3AC0A906" w14:textId="3D4D00FA" w:rsidR="00824027" w:rsidRPr="00DD1B58" w:rsidRDefault="00330C64" w:rsidP="00824027">
      <w:pPr>
        <w:rPr>
          <w:lang w:val="en-US"/>
        </w:rPr>
      </w:pPr>
      <w:r w:rsidRPr="00DD1B58">
        <w:rPr>
          <w:lang w:val="en-US"/>
        </w:rPr>
        <w:lastRenderedPageBreak/>
        <w:t xml:space="preserve">The </w:t>
      </w:r>
      <w:r w:rsidR="45B12F1F" w:rsidRPr="00DD1B58">
        <w:rPr>
          <w:lang w:val="en-US"/>
        </w:rPr>
        <w:t>EDF NNB Genco Nuclear Installation</w:t>
      </w:r>
      <w:r w:rsidR="007C3F42" w:rsidRPr="00DD1B58">
        <w:rPr>
          <w:lang w:val="en-US"/>
        </w:rPr>
        <w:t>/</w:t>
      </w:r>
      <w:r w:rsidR="45B12F1F" w:rsidRPr="00DD1B58">
        <w:rPr>
          <w:lang w:val="en-US"/>
        </w:rPr>
        <w:t xml:space="preserve">representative facility in this report is </w:t>
      </w:r>
      <w:r w:rsidR="00A97BE2" w:rsidRPr="00DD1B58">
        <w:rPr>
          <w:lang w:val="en-US"/>
        </w:rPr>
        <w:t xml:space="preserve">the </w:t>
      </w:r>
      <w:r w:rsidR="45B12F1F" w:rsidRPr="00DD1B58">
        <w:rPr>
          <w:lang w:val="en-US"/>
        </w:rPr>
        <w:t>Hinkley Point C (HPC) European Pressurised Water Reactor (EPR)</w:t>
      </w:r>
      <w:r w:rsidR="00DD6868" w:rsidRPr="00DD1B58">
        <w:rPr>
          <w:lang w:val="en-US"/>
        </w:rPr>
        <w:t xml:space="preserve"> </w:t>
      </w:r>
      <w:r w:rsidR="45B12F1F" w:rsidRPr="00DD1B58">
        <w:rPr>
          <w:lang w:val="en-US"/>
        </w:rPr>
        <w:t>Nuclear Power Plant (NPP) Unit 1 and Unit 2, and its associated spent nuclear fuel and radioactive waste facilities.</w:t>
      </w:r>
      <w:r w:rsidR="00824027" w:rsidRPr="00DD1B58">
        <w:rPr>
          <w:lang w:val="en-US"/>
        </w:rPr>
        <w:t xml:space="preserve"> </w:t>
      </w:r>
    </w:p>
    <w:p w14:paraId="6C121F74" w14:textId="4CF81D3E" w:rsidR="45B12F1F" w:rsidRPr="00DD1B58" w:rsidRDefault="45B12F1F" w:rsidP="355CB971">
      <w:pPr>
        <w:rPr>
          <w:lang w:val="en-US"/>
        </w:rPr>
      </w:pPr>
      <w:r w:rsidRPr="00DD1B58">
        <w:rPr>
          <w:lang w:val="en-US"/>
        </w:rPr>
        <w:t>Each HPC reactor core unit will have a thermal power rating of 4</w:t>
      </w:r>
      <w:r w:rsidR="00C437B2" w:rsidRPr="00DD1B58">
        <w:rPr>
          <w:lang w:val="en-US"/>
        </w:rPr>
        <w:t>,</w:t>
      </w:r>
      <w:r w:rsidRPr="00DD1B58">
        <w:rPr>
          <w:lang w:val="en-US"/>
        </w:rPr>
        <w:t xml:space="preserve">500 MWth </w:t>
      </w:r>
      <w:sdt>
        <w:sdtPr>
          <w:rPr>
            <w:lang w:val="en-US"/>
          </w:rPr>
          <w:id w:val="-1810077531"/>
          <w:citation/>
        </w:sdtPr>
        <w:sdtContent>
          <w:r w:rsidR="000418D1" w:rsidRPr="00DD1B58">
            <w:rPr>
              <w:lang w:val="en-US"/>
            </w:rPr>
            <w:fldChar w:fldCharType="begin"/>
          </w:r>
          <w:r w:rsidR="000418D1" w:rsidRPr="00DD1B58">
            <w:rPr>
              <w:lang w:val="en-US"/>
            </w:rPr>
            <w:instrText xml:space="preserve"> CITATION NNB \l 2057 </w:instrText>
          </w:r>
          <w:r w:rsidR="000418D1" w:rsidRPr="00DD1B58">
            <w:rPr>
              <w:lang w:val="en-US"/>
            </w:rPr>
            <w:fldChar w:fldCharType="separate"/>
          </w:r>
          <w:r w:rsidR="00DF47DA" w:rsidRPr="00DF47DA">
            <w:rPr>
              <w:noProof/>
              <w:lang w:val="en-US"/>
            </w:rPr>
            <w:t>[7]</w:t>
          </w:r>
          <w:r w:rsidR="000418D1" w:rsidRPr="00DD1B58">
            <w:rPr>
              <w:lang w:val="en-US"/>
            </w:rPr>
            <w:fldChar w:fldCharType="end"/>
          </w:r>
        </w:sdtContent>
      </w:sdt>
      <w:r w:rsidRPr="00DD1B58">
        <w:rPr>
          <w:lang w:val="en-US"/>
        </w:rPr>
        <w:t>. Each reactor and turbine unit will have a single associated generator capable of producing approximately 1,630 MW of electrical power, giving a total site capacity of 3,260 MW</w:t>
      </w:r>
      <w:sdt>
        <w:sdtPr>
          <w:rPr>
            <w:lang w:val="en-US"/>
          </w:rPr>
          <w:id w:val="-2019067309"/>
          <w:citation/>
        </w:sdtPr>
        <w:sdtContent>
          <w:r w:rsidR="00D8233C" w:rsidRPr="00DD1B58">
            <w:rPr>
              <w:lang w:val="en-US"/>
            </w:rPr>
            <w:fldChar w:fldCharType="begin"/>
          </w:r>
          <w:r w:rsidR="00D8233C" w:rsidRPr="00DD1B58">
            <w:rPr>
              <w:lang w:val="en-US"/>
            </w:rPr>
            <w:instrText xml:space="preserve"> CITATION NNB23 \l 2057 </w:instrText>
          </w:r>
          <w:r w:rsidR="00D8233C" w:rsidRPr="00DD1B58">
            <w:rPr>
              <w:lang w:val="en-US"/>
            </w:rPr>
            <w:fldChar w:fldCharType="separate"/>
          </w:r>
          <w:r w:rsidR="00DF47DA">
            <w:rPr>
              <w:noProof/>
              <w:lang w:val="en-US"/>
            </w:rPr>
            <w:t xml:space="preserve"> </w:t>
          </w:r>
          <w:r w:rsidR="00DF47DA" w:rsidRPr="00DF47DA">
            <w:rPr>
              <w:noProof/>
              <w:lang w:val="en-US"/>
            </w:rPr>
            <w:t>[8]</w:t>
          </w:r>
          <w:r w:rsidR="00D8233C" w:rsidRPr="00DD1B58">
            <w:rPr>
              <w:lang w:val="en-US"/>
            </w:rPr>
            <w:fldChar w:fldCharType="end"/>
          </w:r>
        </w:sdtContent>
      </w:sdt>
      <w:r w:rsidRPr="00DD1B58">
        <w:rPr>
          <w:lang w:val="en-US"/>
        </w:rPr>
        <w:t>.</w:t>
      </w:r>
    </w:p>
    <w:p w14:paraId="0E4DA74B" w14:textId="77777777" w:rsidR="45B12F1F" w:rsidRPr="00DD1B58" w:rsidRDefault="45B12F1F" w:rsidP="00973FF4">
      <w:pPr>
        <w:pStyle w:val="Bulletlist1"/>
        <w:keepNext/>
        <w:numPr>
          <w:ilvl w:val="0"/>
          <w:numId w:val="0"/>
        </w:numPr>
        <w:rPr>
          <w:b/>
          <w:lang w:val="en-US"/>
        </w:rPr>
      </w:pPr>
      <w:r w:rsidRPr="00DD1B58">
        <w:rPr>
          <w:b/>
          <w:lang w:val="en-US"/>
        </w:rPr>
        <w:t>Description of facility</w:t>
      </w:r>
    </w:p>
    <w:p w14:paraId="5417AF5A" w14:textId="4C55ABDD" w:rsidR="45B12F1F" w:rsidRPr="00DD1B58" w:rsidRDefault="45B12F1F" w:rsidP="355CB971">
      <w:pPr>
        <w:rPr>
          <w:lang w:val="en-US"/>
        </w:rPr>
      </w:pPr>
      <w:r w:rsidRPr="00DD1B58">
        <w:rPr>
          <w:lang w:val="en-US"/>
        </w:rPr>
        <w:t xml:space="preserve">The HPC site is approximately centred on National Grid reference 320300, 145850. The site is bounded to the </w:t>
      </w:r>
      <w:r w:rsidR="00C437B2" w:rsidRPr="00DD1B58">
        <w:rPr>
          <w:lang w:val="en-US"/>
        </w:rPr>
        <w:t xml:space="preserve">north </w:t>
      </w:r>
      <w:r w:rsidRPr="00DD1B58">
        <w:rPr>
          <w:lang w:val="en-US"/>
        </w:rPr>
        <w:t>by Bridgwater Bay, part of the Severn estuary</w:t>
      </w:r>
      <w:r w:rsidR="00C437B2" w:rsidRPr="00DD1B58">
        <w:rPr>
          <w:lang w:val="en-US"/>
        </w:rPr>
        <w:t>,</w:t>
      </w:r>
      <w:r w:rsidRPr="00DD1B58">
        <w:rPr>
          <w:lang w:val="en-US"/>
        </w:rPr>
        <w:t xml:space="preserve"> from which it is separated by a low cliff.</w:t>
      </w:r>
    </w:p>
    <w:p w14:paraId="2BAEF7FF" w14:textId="7D853173" w:rsidR="45B12F1F" w:rsidRPr="00DD1B58" w:rsidRDefault="45B12F1F" w:rsidP="00C820F2">
      <w:pPr>
        <w:rPr>
          <w:lang w:val="en-US"/>
        </w:rPr>
      </w:pPr>
      <w:r w:rsidRPr="00DD1B58">
        <w:rPr>
          <w:lang w:val="en-US"/>
        </w:rPr>
        <w:t>HPC comprises a range of buildings above ground, seabed and sub-surface structures and related facilities including</w:t>
      </w:r>
      <w:r w:rsidR="006F4FF4" w:rsidRPr="00DD1B58">
        <w:rPr>
          <w:lang w:val="en-US"/>
        </w:rPr>
        <w:t xml:space="preserve"> </w:t>
      </w:r>
      <w:r w:rsidR="006D0067" w:rsidRPr="00DD1B58">
        <w:rPr>
          <w:lang w:val="en-US"/>
        </w:rPr>
        <w:t>t</w:t>
      </w:r>
      <w:r w:rsidRPr="00DD1B58">
        <w:rPr>
          <w:lang w:val="en-US"/>
        </w:rPr>
        <w:t>wo Nuclear Islands (NI) each comprising a reactor and other associated buildings;</w:t>
      </w:r>
      <w:r w:rsidR="006D0067" w:rsidRPr="00DD1B58">
        <w:rPr>
          <w:lang w:val="en-US"/>
        </w:rPr>
        <w:t xml:space="preserve"> t</w:t>
      </w:r>
      <w:r w:rsidRPr="00DD1B58">
        <w:rPr>
          <w:lang w:val="en-US"/>
        </w:rPr>
        <w:t>wo Conventional Islands (CI), each including a Turbine Hall (HM [TH]), located adjacent to the Nuclear Island;</w:t>
      </w:r>
      <w:r w:rsidR="006D0067" w:rsidRPr="00DD1B58">
        <w:rPr>
          <w:lang w:val="en-US"/>
        </w:rPr>
        <w:t xml:space="preserve"> a</w:t>
      </w:r>
      <w:r w:rsidRPr="00DD1B58">
        <w:rPr>
          <w:lang w:val="en-US"/>
        </w:rPr>
        <w:t xml:space="preserve"> Service Water Pump Building (HPA-B-C-D) for each reactor unit with related infrastructure;</w:t>
      </w:r>
      <w:r w:rsidR="006D0067" w:rsidRPr="00DD1B58">
        <w:rPr>
          <w:lang w:val="en-US"/>
        </w:rPr>
        <w:t xml:space="preserve"> s</w:t>
      </w:r>
      <w:r w:rsidRPr="00DD1B58">
        <w:rPr>
          <w:lang w:val="en-US"/>
        </w:rPr>
        <w:t>eabed cooling water intakes and outfall structures together with tunnels connecting these to the Service Water Pump Buildings (HPA-B-C-D) and Turbine Halls (HM [TH]);</w:t>
      </w:r>
      <w:r w:rsidR="006D0067" w:rsidRPr="00DD1B58">
        <w:rPr>
          <w:lang w:val="en-US"/>
        </w:rPr>
        <w:t xml:space="preserve"> f</w:t>
      </w:r>
      <w:r w:rsidRPr="00DD1B58">
        <w:rPr>
          <w:lang w:val="en-US"/>
        </w:rPr>
        <w:t>uel and waste management facilities;</w:t>
      </w:r>
      <w:r w:rsidR="006D0067" w:rsidRPr="00DD1B58">
        <w:rPr>
          <w:lang w:val="en-US"/>
        </w:rPr>
        <w:t xml:space="preserve"> </w:t>
      </w:r>
      <w:r w:rsidR="00C820F2" w:rsidRPr="00DD1B58">
        <w:rPr>
          <w:lang w:val="en-US"/>
        </w:rPr>
        <w:t>t</w:t>
      </w:r>
      <w:r w:rsidRPr="00DD1B58">
        <w:rPr>
          <w:lang w:val="en-US"/>
        </w:rPr>
        <w:t>ransmission infrastructure including the National Grid 400 kV Sub-station (HEG);</w:t>
      </w:r>
      <w:r w:rsidR="00C820F2" w:rsidRPr="00DD1B58">
        <w:rPr>
          <w:lang w:val="en-US"/>
        </w:rPr>
        <w:t xml:space="preserve"> s</w:t>
      </w:r>
      <w:r w:rsidRPr="00DD1B58">
        <w:rPr>
          <w:lang w:val="en-US"/>
        </w:rPr>
        <w:t>taff facilities, administration, storage facilities and other plant;</w:t>
      </w:r>
      <w:r w:rsidR="00C820F2" w:rsidRPr="00DD1B58">
        <w:rPr>
          <w:lang w:val="en-US"/>
        </w:rPr>
        <w:t xml:space="preserve"> a</w:t>
      </w:r>
      <w:r w:rsidRPr="00DD1B58">
        <w:rPr>
          <w:lang w:val="en-US"/>
        </w:rPr>
        <w:t xml:space="preserve"> Simulator Training Centre (HBS) and other off-site buildings; Sea Wall Structures (SWP) incorporating a public footpath; and</w:t>
      </w:r>
      <w:r w:rsidR="00C820F2" w:rsidRPr="00DD1B58">
        <w:rPr>
          <w:lang w:val="en-US"/>
        </w:rPr>
        <w:t xml:space="preserve"> a</w:t>
      </w:r>
      <w:r w:rsidRPr="00DD1B58">
        <w:rPr>
          <w:lang w:val="en-US"/>
        </w:rPr>
        <w:t>ccess and parking facilities for workers, visitors and deliveries for the main nuclear plant and the National Grid 400 kV substation.</w:t>
      </w:r>
    </w:p>
    <w:p w14:paraId="726CC57B" w14:textId="2B57B784" w:rsidR="45B12F1F" w:rsidRPr="00DD1B58" w:rsidRDefault="45B12F1F" w:rsidP="355CB971">
      <w:pPr>
        <w:rPr>
          <w:lang w:val="en-US"/>
        </w:rPr>
      </w:pPr>
      <w:r w:rsidRPr="00DD1B58">
        <w:rPr>
          <w:lang w:val="en-US"/>
        </w:rPr>
        <w:t>The land immediately to the East of the HPC site is occupied by two nuclear power stations, Hinkley Point A and Hinkley Point B, which form the existing Hinkley Point Power Station Complex. Hinkley Point A operated between 1965 and 2000 and is currently being decommissioned</w:t>
      </w:r>
      <w:r w:rsidR="006509B5" w:rsidRPr="00DD1B58">
        <w:rPr>
          <w:lang w:val="en-US"/>
        </w:rPr>
        <w:t xml:space="preserve"> following </w:t>
      </w:r>
      <w:r w:rsidR="00B64860" w:rsidRPr="00DD1B58">
        <w:rPr>
          <w:lang w:val="en-US"/>
        </w:rPr>
        <w:t>de-fuelling</w:t>
      </w:r>
      <w:r w:rsidRPr="00DD1B58">
        <w:rPr>
          <w:lang w:val="en-US"/>
        </w:rPr>
        <w:t>. Hinkley Point B, owned by EDF Energy NG</w:t>
      </w:r>
      <w:r w:rsidR="00BD4429" w:rsidRPr="00DD1B58">
        <w:rPr>
          <w:lang w:val="en-US"/>
        </w:rPr>
        <w:t>L</w:t>
      </w:r>
      <w:r w:rsidRPr="00DD1B58">
        <w:rPr>
          <w:lang w:val="en-US"/>
        </w:rPr>
        <w:t xml:space="preserve">, operated between 1976 and 2022 and is currently being </w:t>
      </w:r>
      <w:r w:rsidR="003A3F53" w:rsidRPr="00DD1B58">
        <w:rPr>
          <w:lang w:val="en-US"/>
        </w:rPr>
        <w:t>de-fuelled</w:t>
      </w:r>
      <w:r w:rsidRPr="00DD1B58">
        <w:rPr>
          <w:lang w:val="en-US"/>
        </w:rPr>
        <w:t>.</w:t>
      </w:r>
    </w:p>
    <w:p w14:paraId="51E0E356" w14:textId="77777777" w:rsidR="45B12F1F" w:rsidRPr="00DD1B58" w:rsidRDefault="45B12F1F" w:rsidP="355CB971">
      <w:pPr>
        <w:rPr>
          <w:lang w:val="en-US"/>
        </w:rPr>
      </w:pPr>
      <w:r w:rsidRPr="00DD1B58">
        <w:rPr>
          <w:lang w:val="en-US"/>
        </w:rPr>
        <w:t xml:space="preserve">The EPR is a Pressurised Water Reactor (PWR), similar to other </w:t>
      </w:r>
      <w:r w:rsidR="006509B5" w:rsidRPr="00DD1B58">
        <w:rPr>
          <w:lang w:val="en-US"/>
        </w:rPr>
        <w:t xml:space="preserve">EPR </w:t>
      </w:r>
      <w:r w:rsidRPr="00DD1B58">
        <w:rPr>
          <w:lang w:val="en-US"/>
        </w:rPr>
        <w:t>units worldwide (for example</w:t>
      </w:r>
      <w:r w:rsidR="00B64860" w:rsidRPr="00DD1B58">
        <w:rPr>
          <w:lang w:val="en-US"/>
        </w:rPr>
        <w:t>,</w:t>
      </w:r>
      <w:r w:rsidRPr="00DD1B58">
        <w:rPr>
          <w:lang w:val="en-US"/>
        </w:rPr>
        <w:t xml:space="preserve"> within the French nuclear fleet). The nuclear production unit comprises a primary system, a secondary system, and a cooling system.</w:t>
      </w:r>
    </w:p>
    <w:p w14:paraId="3B7E4A8F" w14:textId="77777777" w:rsidR="45B12F1F" w:rsidRPr="00DD1B58" w:rsidRDefault="45B12F1F" w:rsidP="355CB971">
      <w:pPr>
        <w:rPr>
          <w:lang w:val="en-US"/>
        </w:rPr>
      </w:pPr>
      <w:r w:rsidRPr="00DD1B58">
        <w:rPr>
          <w:lang w:val="en-US"/>
        </w:rPr>
        <w:t>The primary system is a closed water-filled pressurised system installed in a leak tight concrete enclosure, the Reactor Building (HR [RB]). It comprises a reactor, namely a steel vessel containing the nuclear fuel (reactor core)</w:t>
      </w:r>
      <w:r w:rsidR="00BC49E0" w:rsidRPr="00DD1B58">
        <w:rPr>
          <w:lang w:val="en-US"/>
        </w:rPr>
        <w:t>,</w:t>
      </w:r>
      <w:r w:rsidRPr="00DD1B58">
        <w:rPr>
          <w:lang w:val="en-US"/>
        </w:rPr>
        <w:t xml:space="preserve"> and four cooling loops, each containing a reactor coolant pump and a steam generator. The heat produced by the nuclear reaction inside the reactor vessel is extracted with pressurised water</w:t>
      </w:r>
      <w:r w:rsidR="00BC49E0" w:rsidRPr="00DD1B58">
        <w:rPr>
          <w:lang w:val="en-US"/>
        </w:rPr>
        <w:t>,</w:t>
      </w:r>
      <w:r w:rsidRPr="00DD1B58">
        <w:rPr>
          <w:lang w:val="en-US"/>
        </w:rPr>
        <w:t xml:space="preserve"> which circulates in the primary system. The heated water then passes through the steam generators. Here the heat is transferred to the water of the secondary system</w:t>
      </w:r>
      <w:r w:rsidR="00BC49E0" w:rsidRPr="00DD1B58">
        <w:rPr>
          <w:lang w:val="en-US"/>
        </w:rPr>
        <w:t>,</w:t>
      </w:r>
      <w:r w:rsidRPr="00DD1B58">
        <w:rPr>
          <w:lang w:val="en-US"/>
        </w:rPr>
        <w:t xml:space="preserve"> which flows between the steam generator tubes.</w:t>
      </w:r>
    </w:p>
    <w:p w14:paraId="76FF3480" w14:textId="0C4AB477" w:rsidR="45B12F1F" w:rsidRPr="00DD1B58" w:rsidRDefault="45B12F1F" w:rsidP="355CB971">
      <w:pPr>
        <w:rPr>
          <w:lang w:val="en-US"/>
        </w:rPr>
      </w:pPr>
      <w:r w:rsidRPr="00DD1B58">
        <w:rPr>
          <w:lang w:val="en-US"/>
        </w:rPr>
        <w:t xml:space="preserve">The secondary system is a closed system independent of the primary system. It supplies steam to the turbine generator set located in the Turbine Hall (HM [TH]). Water in this system evaporates in the steam generators heated by the primary system. The steam </w:t>
      </w:r>
      <w:r w:rsidRPr="00DD1B58">
        <w:rPr>
          <w:lang w:val="en-US"/>
        </w:rPr>
        <w:lastRenderedPageBreak/>
        <w:t>drives a turbine coupled to the generator which produces electrical energy. After leaving the turbine, the steam is cooled and returned to its liquid state in the condenser</w:t>
      </w:r>
      <w:r w:rsidR="00BC49E0" w:rsidRPr="00DD1B58">
        <w:rPr>
          <w:lang w:val="en-US"/>
        </w:rPr>
        <w:t>,</w:t>
      </w:r>
      <w:r w:rsidRPr="00DD1B58">
        <w:rPr>
          <w:lang w:val="en-US"/>
        </w:rPr>
        <w:t xml:space="preserve"> then returned to the steam generator.</w:t>
      </w:r>
    </w:p>
    <w:p w14:paraId="378E0990" w14:textId="77777777" w:rsidR="45B12F1F" w:rsidRPr="00DD1B58" w:rsidRDefault="45B12F1F" w:rsidP="355CB971">
      <w:pPr>
        <w:rPr>
          <w:lang w:val="en-US"/>
        </w:rPr>
      </w:pPr>
      <w:r w:rsidRPr="00DD1B58">
        <w:rPr>
          <w:lang w:val="en-US"/>
        </w:rPr>
        <w:t>The cooling system is independent of the primary and secondary systems. It cools the condenser by circulating sea water drawn via the HP structures and discharged through the outfall system.</w:t>
      </w:r>
    </w:p>
    <w:p w14:paraId="5F11A4EA" w14:textId="28F9EB22" w:rsidR="45B12F1F" w:rsidRPr="00DD1B58" w:rsidRDefault="45B12F1F" w:rsidP="355CB971">
      <w:pPr>
        <w:rPr>
          <w:lang w:val="en-US"/>
        </w:rPr>
      </w:pPr>
      <w:r w:rsidRPr="00DD1B58">
        <w:rPr>
          <w:lang w:val="en-US"/>
        </w:rPr>
        <w:t xml:space="preserve">Emergency response equipment and vehicles will be stored on the HPC site with supplementary equipment available at strategic off-site locations. The emergency response organisation structure will be developed from the systems currently in place for </w:t>
      </w:r>
      <w:r w:rsidR="00CF30CF" w:rsidRPr="00DD1B58">
        <w:rPr>
          <w:lang w:val="en-US"/>
        </w:rPr>
        <w:t>EDF sites</w:t>
      </w:r>
      <w:r w:rsidRPr="00DD1B58">
        <w:rPr>
          <w:lang w:val="en-US"/>
        </w:rPr>
        <w:t>. Station-based roles will be specific to HPC</w:t>
      </w:r>
      <w:r w:rsidR="007259C6" w:rsidRPr="00DD1B58">
        <w:rPr>
          <w:lang w:val="en-US"/>
        </w:rPr>
        <w:t>,</w:t>
      </w:r>
      <w:r w:rsidRPr="00DD1B58">
        <w:rPr>
          <w:lang w:val="en-US"/>
        </w:rPr>
        <w:t xml:space="preserve"> but some of the corporate level centralised resources and roles will be shared with those currently in place for the generating stations.</w:t>
      </w:r>
    </w:p>
    <w:p w14:paraId="42F08969" w14:textId="33E8AEE1" w:rsidR="45B12F1F" w:rsidRPr="00DD1B58" w:rsidRDefault="45B12F1F" w:rsidP="355CB971">
      <w:pPr>
        <w:rPr>
          <w:lang w:val="en-US"/>
        </w:rPr>
      </w:pPr>
      <w:r w:rsidRPr="00DD1B58">
        <w:rPr>
          <w:lang w:val="en-US"/>
        </w:rPr>
        <w:t xml:space="preserve">Each unit has a dedicated Fuel Building (HK) on its Nuclear Island for the receipt of new fuel and initial storage of spent fuel discharged from the reactor. Spent fuel will initially be stored in the two Fuel Building pools for an initial cooling period of up to </w:t>
      </w:r>
      <w:r w:rsidR="003F687D" w:rsidRPr="00DD1B58">
        <w:rPr>
          <w:lang w:val="en-US"/>
        </w:rPr>
        <w:t xml:space="preserve">ten </w:t>
      </w:r>
      <w:r w:rsidRPr="00DD1B58">
        <w:rPr>
          <w:lang w:val="en-US"/>
        </w:rPr>
        <w:t>years</w:t>
      </w:r>
      <w:r w:rsidR="003C2694" w:rsidRPr="00DD1B58">
        <w:rPr>
          <w:lang w:val="en-US"/>
        </w:rPr>
        <w:t xml:space="preserve">, then </w:t>
      </w:r>
      <w:r w:rsidRPr="00DD1B58">
        <w:rPr>
          <w:lang w:val="en-US"/>
        </w:rPr>
        <w:t>transferred to the Interim Spent Fuel Store (HHK) for dry interim storage in casks on site</w:t>
      </w:r>
      <w:r w:rsidR="003C2694" w:rsidRPr="00DD1B58">
        <w:rPr>
          <w:lang w:val="en-US"/>
        </w:rPr>
        <w:t>,</w:t>
      </w:r>
      <w:r w:rsidRPr="00DD1B58">
        <w:rPr>
          <w:lang w:val="en-US"/>
        </w:rPr>
        <w:t xml:space="preserve"> before permanent disposal in repository. The Interim Spent Fuel Store will be shared between the two units.</w:t>
      </w:r>
    </w:p>
    <w:p w14:paraId="0FFDACD7" w14:textId="07D101F6" w:rsidR="00416E40" w:rsidRPr="00DD1B58" w:rsidRDefault="00134292" w:rsidP="005C7555">
      <w:pPr>
        <w:pStyle w:val="Heading4"/>
        <w:numPr>
          <w:ilvl w:val="6"/>
          <w:numId w:val="3"/>
        </w:numPr>
        <w:rPr>
          <w:lang w:val="en-US"/>
        </w:rPr>
      </w:pPr>
      <w:r w:rsidRPr="00DD1B58">
        <w:rPr>
          <w:lang w:val="en-US"/>
        </w:rPr>
        <w:t>Sellafield Ltd</w:t>
      </w:r>
    </w:p>
    <w:p w14:paraId="11DC6A6E" w14:textId="77777777" w:rsidR="007C1BC7" w:rsidRPr="00DD1B58" w:rsidRDefault="007C1BC7" w:rsidP="007C1BC7">
      <w:pPr>
        <w:rPr>
          <w:b/>
          <w:lang w:val="en-US"/>
        </w:rPr>
      </w:pPr>
      <w:r w:rsidRPr="00DD1B58">
        <w:rPr>
          <w:b/>
          <w:lang w:val="en-US"/>
        </w:rPr>
        <w:t>Overview</w:t>
      </w:r>
    </w:p>
    <w:p w14:paraId="4FEBCBE3" w14:textId="48C20A20" w:rsidR="007C1BC7" w:rsidRPr="00DD1B58" w:rsidRDefault="007C1BC7" w:rsidP="007C1BC7">
      <w:pPr>
        <w:rPr>
          <w:lang w:val="en-US"/>
        </w:rPr>
      </w:pPr>
      <w:r w:rsidRPr="00DD1B58">
        <w:rPr>
          <w:lang w:val="en-US"/>
        </w:rPr>
        <w:t xml:space="preserve">The </w:t>
      </w:r>
      <w:r w:rsidR="00AA3ECC" w:rsidRPr="00DD1B58">
        <w:rPr>
          <w:lang w:val="en-US"/>
        </w:rPr>
        <w:t>Sellafield Site</w:t>
      </w:r>
      <w:r w:rsidRPr="00DD1B58">
        <w:rPr>
          <w:lang w:val="en-US"/>
        </w:rPr>
        <w:t xml:space="preserve"> covers 6km</w:t>
      </w:r>
      <w:r w:rsidRPr="00DD1B58">
        <w:rPr>
          <w:vertAlign w:val="superscript"/>
          <w:lang w:val="en-US"/>
        </w:rPr>
        <w:t>2</w:t>
      </w:r>
      <w:r w:rsidRPr="00DD1B58">
        <w:rPr>
          <w:lang w:val="en-US"/>
        </w:rPr>
        <w:t xml:space="preserve"> and contains over </w:t>
      </w:r>
      <w:r w:rsidR="009319E6" w:rsidRPr="00DD1B58">
        <w:rPr>
          <w:lang w:val="en-US"/>
        </w:rPr>
        <w:t xml:space="preserve">250 </w:t>
      </w:r>
      <w:r w:rsidRPr="00DD1B58">
        <w:rPr>
          <w:lang w:val="en-US"/>
        </w:rPr>
        <w:t xml:space="preserve">nuclear facilities. The site has been operating for over 70 years and manages nuclear waste in all three forms: low, intermediate and high-level waste. The site is the largest nuclear site in Europe and holds the largest inventory of nuclear materials. </w:t>
      </w:r>
    </w:p>
    <w:p w14:paraId="23F999B6" w14:textId="1C17FDA9" w:rsidR="007C1BC7" w:rsidRPr="00DD1B58" w:rsidRDefault="007C1BC7" w:rsidP="007C1BC7">
      <w:pPr>
        <w:rPr>
          <w:lang w:val="en-US"/>
        </w:rPr>
      </w:pPr>
      <w:r w:rsidRPr="00DD1B58">
        <w:rPr>
          <w:lang w:val="en-US"/>
        </w:rPr>
        <w:t>Historically</w:t>
      </w:r>
      <w:r w:rsidR="008E4C44" w:rsidRPr="00DD1B58">
        <w:rPr>
          <w:lang w:val="en-US"/>
        </w:rPr>
        <w:t>,</w:t>
      </w:r>
      <w:r w:rsidRPr="00DD1B58">
        <w:rPr>
          <w:lang w:val="en-US"/>
        </w:rPr>
        <w:t xml:space="preserve"> the site housed nuclear power plants</w:t>
      </w:r>
      <w:r w:rsidR="00E0178F" w:rsidRPr="00DD1B58">
        <w:rPr>
          <w:lang w:val="en-US"/>
        </w:rPr>
        <w:t>,</w:t>
      </w:r>
      <w:r w:rsidR="00660B18" w:rsidRPr="00DD1B58">
        <w:rPr>
          <w:lang w:val="en-US"/>
        </w:rPr>
        <w:t xml:space="preserve"> but </w:t>
      </w:r>
      <w:r w:rsidRPr="00DD1B58">
        <w:rPr>
          <w:lang w:val="en-US"/>
        </w:rPr>
        <w:t xml:space="preserve">the focus is now on the safe storage of nuclear waste and decommissioning the historic facilities. The site is split </w:t>
      </w:r>
      <w:r w:rsidR="00AE534A" w:rsidRPr="00DD1B58">
        <w:rPr>
          <w:lang w:val="en-US"/>
        </w:rPr>
        <w:t xml:space="preserve">operationally </w:t>
      </w:r>
      <w:r w:rsidRPr="00DD1B58">
        <w:rPr>
          <w:lang w:val="en-US"/>
        </w:rPr>
        <w:t xml:space="preserve">into </w:t>
      </w:r>
      <w:r w:rsidR="00E0178F" w:rsidRPr="00DD1B58">
        <w:rPr>
          <w:lang w:val="en-US"/>
        </w:rPr>
        <w:t xml:space="preserve">five </w:t>
      </w:r>
      <w:r w:rsidRPr="00DD1B58">
        <w:rPr>
          <w:lang w:val="en-US"/>
        </w:rPr>
        <w:t>main Value Streams:</w:t>
      </w:r>
    </w:p>
    <w:p w14:paraId="398A9137" w14:textId="1320E5CD" w:rsidR="007C1BC7" w:rsidRPr="00DD1B58" w:rsidRDefault="007C1BC7" w:rsidP="00327321">
      <w:pPr>
        <w:pStyle w:val="Bulletlist1"/>
        <w:rPr>
          <w:lang w:val="en-US"/>
        </w:rPr>
      </w:pPr>
      <w:r w:rsidRPr="00DD1B58">
        <w:rPr>
          <w:lang w:val="en-US"/>
        </w:rPr>
        <w:t xml:space="preserve">Special Nuclear Materials: </w:t>
      </w:r>
      <w:r w:rsidR="00660B18" w:rsidRPr="00DD1B58">
        <w:rPr>
          <w:lang w:val="en-US"/>
        </w:rPr>
        <w:t xml:space="preserve">safe </w:t>
      </w:r>
      <w:r w:rsidRPr="00DD1B58">
        <w:rPr>
          <w:lang w:val="en-US"/>
        </w:rPr>
        <w:t>and secure storage and repackaging of materials.</w:t>
      </w:r>
    </w:p>
    <w:p w14:paraId="13F1CA5E" w14:textId="2CBDA5E3" w:rsidR="007C1BC7" w:rsidRPr="00DD1B58" w:rsidRDefault="007C1BC7" w:rsidP="00327321">
      <w:pPr>
        <w:pStyle w:val="Bulletlist1"/>
        <w:rPr>
          <w:lang w:val="en-US"/>
        </w:rPr>
      </w:pPr>
      <w:r w:rsidRPr="00DD1B58">
        <w:rPr>
          <w:lang w:val="en-US"/>
        </w:rPr>
        <w:t>Spent Fuel Management</w:t>
      </w:r>
      <w:r w:rsidR="000003D3" w:rsidRPr="00DD1B58">
        <w:rPr>
          <w:lang w:val="en-US"/>
        </w:rPr>
        <w:t xml:space="preserve">: </w:t>
      </w:r>
      <w:r w:rsidR="00660B18" w:rsidRPr="00DD1B58">
        <w:rPr>
          <w:lang w:val="en-US"/>
        </w:rPr>
        <w:t>r</w:t>
      </w:r>
      <w:r w:rsidRPr="00DD1B58">
        <w:rPr>
          <w:lang w:val="en-US"/>
        </w:rPr>
        <w:t xml:space="preserve">eceipt, storage and reprocessing </w:t>
      </w:r>
      <w:r w:rsidR="000003D3" w:rsidRPr="00DD1B58">
        <w:rPr>
          <w:lang w:val="en-US"/>
        </w:rPr>
        <w:t xml:space="preserve">of </w:t>
      </w:r>
      <w:r w:rsidRPr="00DD1B58">
        <w:rPr>
          <w:lang w:val="en-US"/>
        </w:rPr>
        <w:t>spent fuel.</w:t>
      </w:r>
    </w:p>
    <w:p w14:paraId="3DED3464" w14:textId="2CB9CCCE" w:rsidR="007C1BC7" w:rsidRPr="00DD1B58" w:rsidRDefault="007C1BC7" w:rsidP="00327321">
      <w:pPr>
        <w:pStyle w:val="Bulletlist1"/>
        <w:rPr>
          <w:lang w:val="en-US"/>
        </w:rPr>
      </w:pPr>
      <w:r w:rsidRPr="00DD1B58">
        <w:rPr>
          <w:lang w:val="en-US"/>
        </w:rPr>
        <w:t xml:space="preserve">Remediation: </w:t>
      </w:r>
      <w:r w:rsidR="00660B18" w:rsidRPr="00DD1B58">
        <w:rPr>
          <w:lang w:val="en-US"/>
        </w:rPr>
        <w:t>d</w:t>
      </w:r>
      <w:r w:rsidRPr="00DD1B58">
        <w:rPr>
          <w:lang w:val="en-US"/>
        </w:rPr>
        <w:t>ecommissioning and demolition of end-of-life buildings, including low level waste handling and treatment.</w:t>
      </w:r>
    </w:p>
    <w:p w14:paraId="4FFFBBAA" w14:textId="6B7074F0" w:rsidR="007C1BC7" w:rsidRPr="00DD1B58" w:rsidRDefault="007C1BC7" w:rsidP="00327321">
      <w:pPr>
        <w:pStyle w:val="Bulletlist1"/>
        <w:rPr>
          <w:lang w:val="en-US"/>
        </w:rPr>
      </w:pPr>
      <w:r w:rsidRPr="00DD1B58">
        <w:rPr>
          <w:lang w:val="en-US"/>
        </w:rPr>
        <w:t>Retrievals</w:t>
      </w:r>
      <w:r w:rsidR="00603F9D" w:rsidRPr="00DD1B58">
        <w:rPr>
          <w:lang w:val="en-US"/>
        </w:rPr>
        <w:t>:</w:t>
      </w:r>
      <w:r w:rsidR="009A5530" w:rsidRPr="00DD1B58">
        <w:rPr>
          <w:lang w:val="en-US"/>
        </w:rPr>
        <w:t xml:space="preserve"> </w:t>
      </w:r>
      <w:r w:rsidR="00603F9D" w:rsidRPr="00DD1B58">
        <w:rPr>
          <w:lang w:val="en-US"/>
        </w:rPr>
        <w:t>h</w:t>
      </w:r>
      <w:r w:rsidRPr="00DD1B58">
        <w:rPr>
          <w:lang w:val="en-US"/>
        </w:rPr>
        <w:t>igh hazard reduction work</w:t>
      </w:r>
      <w:r w:rsidR="00603F9D" w:rsidRPr="00DD1B58">
        <w:rPr>
          <w:lang w:val="en-US"/>
        </w:rPr>
        <w:t xml:space="preserve">, including </w:t>
      </w:r>
      <w:r w:rsidRPr="00DD1B58">
        <w:rPr>
          <w:lang w:val="en-US"/>
        </w:rPr>
        <w:t>retrieving and repacking the nuclear inventory.</w:t>
      </w:r>
    </w:p>
    <w:p w14:paraId="20CF52B5" w14:textId="3C66D0BE" w:rsidR="00E620CC" w:rsidRPr="00DD1B58" w:rsidRDefault="007C1BC7" w:rsidP="00327321">
      <w:pPr>
        <w:pStyle w:val="Bulletlist1"/>
        <w:rPr>
          <w:lang w:val="en-US"/>
        </w:rPr>
      </w:pPr>
      <w:r w:rsidRPr="00DD1B58">
        <w:rPr>
          <w:lang w:val="en-US"/>
        </w:rPr>
        <w:t xml:space="preserve">Site Management: </w:t>
      </w:r>
      <w:r w:rsidR="00603F9D" w:rsidRPr="00DD1B58">
        <w:rPr>
          <w:lang w:val="en-US"/>
        </w:rPr>
        <w:t>p</w:t>
      </w:r>
      <w:r w:rsidRPr="00DD1B58">
        <w:rPr>
          <w:lang w:val="en-US"/>
        </w:rPr>
        <w:t>rovision of utilities and services</w:t>
      </w:r>
      <w:r w:rsidR="00592956" w:rsidRPr="00DD1B58">
        <w:rPr>
          <w:lang w:val="en-US"/>
        </w:rPr>
        <w:t>,</w:t>
      </w:r>
      <w:r w:rsidRPr="00DD1B58">
        <w:rPr>
          <w:lang w:val="en-US"/>
        </w:rPr>
        <w:t xml:space="preserve"> </w:t>
      </w:r>
      <w:r w:rsidR="00592956" w:rsidRPr="00DD1B58">
        <w:rPr>
          <w:lang w:val="en-US"/>
        </w:rPr>
        <w:t xml:space="preserve">such as </w:t>
      </w:r>
      <w:r w:rsidR="000003D3" w:rsidRPr="00DD1B58">
        <w:rPr>
          <w:lang w:val="en-US"/>
        </w:rPr>
        <w:t>transport</w:t>
      </w:r>
      <w:r w:rsidR="00592956" w:rsidRPr="00DD1B58">
        <w:rPr>
          <w:lang w:val="en-US"/>
        </w:rPr>
        <w:t xml:space="preserve"> and</w:t>
      </w:r>
      <w:r w:rsidRPr="00DD1B58">
        <w:rPr>
          <w:lang w:val="en-US"/>
        </w:rPr>
        <w:t xml:space="preserve"> </w:t>
      </w:r>
      <w:r w:rsidR="000003D3" w:rsidRPr="00DD1B58">
        <w:rPr>
          <w:lang w:val="en-US"/>
        </w:rPr>
        <w:t>a</w:t>
      </w:r>
      <w:r w:rsidRPr="00DD1B58">
        <w:rPr>
          <w:lang w:val="en-US"/>
        </w:rPr>
        <w:t xml:space="preserve">nalytical </w:t>
      </w:r>
      <w:r w:rsidR="000003D3" w:rsidRPr="00DD1B58">
        <w:rPr>
          <w:lang w:val="en-US"/>
        </w:rPr>
        <w:t>s</w:t>
      </w:r>
      <w:r w:rsidRPr="00DD1B58">
        <w:rPr>
          <w:lang w:val="en-US"/>
        </w:rPr>
        <w:t>ervices</w:t>
      </w:r>
      <w:r w:rsidR="00603F9D" w:rsidRPr="00DD1B58">
        <w:rPr>
          <w:lang w:val="en-US"/>
        </w:rPr>
        <w:t>.</w:t>
      </w:r>
    </w:p>
    <w:p w14:paraId="6704BA7E" w14:textId="318A2C4B" w:rsidR="00760149" w:rsidRPr="00DD1B58" w:rsidRDefault="00603F9D" w:rsidP="00760149">
      <w:pPr>
        <w:pStyle w:val="Bulletlist1"/>
        <w:numPr>
          <w:ilvl w:val="0"/>
          <w:numId w:val="0"/>
        </w:numPr>
        <w:rPr>
          <w:lang w:val="en-US"/>
        </w:rPr>
      </w:pPr>
      <w:r w:rsidRPr="00DD1B58">
        <w:rPr>
          <w:lang w:val="en-US"/>
        </w:rPr>
        <w:t>The licensee</w:t>
      </w:r>
      <w:r w:rsidR="00535EA6" w:rsidRPr="00DD1B58">
        <w:rPr>
          <w:lang w:val="en-US"/>
        </w:rPr>
        <w:t>’</w:t>
      </w:r>
      <w:r w:rsidR="0089424C" w:rsidRPr="00DD1B58">
        <w:rPr>
          <w:lang w:val="en-US"/>
        </w:rPr>
        <w:t>s</w:t>
      </w:r>
      <w:r w:rsidR="009A5530" w:rsidRPr="00DD1B58">
        <w:rPr>
          <w:lang w:val="en-US"/>
        </w:rPr>
        <w:t xml:space="preserve"> nuclear</w:t>
      </w:r>
      <w:r w:rsidR="0089424C" w:rsidRPr="00DD1B58">
        <w:rPr>
          <w:lang w:val="en-US"/>
        </w:rPr>
        <w:t xml:space="preserve"> </w:t>
      </w:r>
      <w:r w:rsidR="000003D3" w:rsidRPr="00DD1B58">
        <w:rPr>
          <w:lang w:val="en-US"/>
        </w:rPr>
        <w:t>s</w:t>
      </w:r>
      <w:r w:rsidR="00760149" w:rsidRPr="00DD1B58">
        <w:rPr>
          <w:lang w:val="en-US"/>
        </w:rPr>
        <w:t xml:space="preserve">afety </w:t>
      </w:r>
      <w:r w:rsidR="000003D3" w:rsidRPr="00DD1B58">
        <w:rPr>
          <w:lang w:val="en-US"/>
        </w:rPr>
        <w:t>c</w:t>
      </w:r>
      <w:r w:rsidR="00760149" w:rsidRPr="00DD1B58">
        <w:rPr>
          <w:lang w:val="en-US"/>
        </w:rPr>
        <w:t>ase assessments</w:t>
      </w:r>
      <w:r w:rsidRPr="00DD1B58">
        <w:rPr>
          <w:lang w:val="en-US"/>
        </w:rPr>
        <w:t xml:space="preserve"> and </w:t>
      </w:r>
      <w:r w:rsidR="00760149" w:rsidRPr="00DD1B58">
        <w:rPr>
          <w:lang w:val="en-US"/>
        </w:rPr>
        <w:t>analyses recognise requirements of neighbouring and interfacing plants</w:t>
      </w:r>
      <w:r w:rsidR="00B447FD" w:rsidRPr="00DD1B58">
        <w:rPr>
          <w:lang w:val="en-US"/>
        </w:rPr>
        <w:t>. This includes w</w:t>
      </w:r>
      <w:r w:rsidR="00760149" w:rsidRPr="00DD1B58">
        <w:rPr>
          <w:lang w:val="en-US"/>
        </w:rPr>
        <w:t>here a fire could lead to impacts on other facilities</w:t>
      </w:r>
      <w:r w:rsidR="0089424C" w:rsidRPr="00DD1B58">
        <w:rPr>
          <w:lang w:val="en-US"/>
        </w:rPr>
        <w:t xml:space="preserve"> and vice versa</w:t>
      </w:r>
      <w:r w:rsidR="00B447FD" w:rsidRPr="00DD1B58">
        <w:rPr>
          <w:lang w:val="en-US"/>
        </w:rPr>
        <w:t>,</w:t>
      </w:r>
      <w:r w:rsidR="00760149" w:rsidRPr="00DD1B58">
        <w:rPr>
          <w:lang w:val="en-US"/>
        </w:rPr>
        <w:t xml:space="preserve"> </w:t>
      </w:r>
      <w:r w:rsidR="00B447FD" w:rsidRPr="00DD1B58">
        <w:rPr>
          <w:lang w:val="en-US"/>
        </w:rPr>
        <w:t xml:space="preserve">which is </w:t>
      </w:r>
      <w:r w:rsidR="0089424C" w:rsidRPr="00DD1B58">
        <w:rPr>
          <w:lang w:val="en-US"/>
        </w:rPr>
        <w:t xml:space="preserve">considered </w:t>
      </w:r>
      <w:r w:rsidR="0057609B" w:rsidRPr="00DD1B58">
        <w:rPr>
          <w:lang w:val="en-US"/>
        </w:rPr>
        <w:t>from a nuclear safety perspective</w:t>
      </w:r>
      <w:r w:rsidR="00760149" w:rsidRPr="00DD1B58">
        <w:rPr>
          <w:lang w:val="en-US"/>
        </w:rPr>
        <w:t xml:space="preserve">. The </w:t>
      </w:r>
      <w:r w:rsidR="00760149" w:rsidRPr="00DD1B58">
        <w:rPr>
          <w:lang w:val="en-US"/>
        </w:rPr>
        <w:lastRenderedPageBreak/>
        <w:t>conventional fire assessments</w:t>
      </w:r>
      <w:r w:rsidR="00535EA6" w:rsidRPr="00DD1B58">
        <w:rPr>
          <w:lang w:val="en-US"/>
        </w:rPr>
        <w:t xml:space="preserve"> also</w:t>
      </w:r>
      <w:r w:rsidR="00760149" w:rsidRPr="00DD1B58">
        <w:rPr>
          <w:lang w:val="en-US"/>
        </w:rPr>
        <w:t xml:space="preserve"> assess </w:t>
      </w:r>
      <w:r w:rsidR="00535EA6" w:rsidRPr="00DD1B58">
        <w:rPr>
          <w:lang w:val="en-US"/>
        </w:rPr>
        <w:t>fire risks</w:t>
      </w:r>
      <w:r w:rsidR="0089424C" w:rsidRPr="00DD1B58">
        <w:rPr>
          <w:lang w:val="en-US"/>
        </w:rPr>
        <w:t xml:space="preserve"> </w:t>
      </w:r>
      <w:r w:rsidR="0057609B" w:rsidRPr="00DD1B58">
        <w:rPr>
          <w:lang w:val="en-US"/>
        </w:rPr>
        <w:t xml:space="preserve">from </w:t>
      </w:r>
      <w:r w:rsidR="00760149" w:rsidRPr="00DD1B58">
        <w:rPr>
          <w:lang w:val="en-US"/>
        </w:rPr>
        <w:t>buildings in the vicinity</w:t>
      </w:r>
      <w:r w:rsidR="000003D3" w:rsidRPr="00DD1B58">
        <w:rPr>
          <w:lang w:val="en-US"/>
        </w:rPr>
        <w:t>,</w:t>
      </w:r>
      <w:r w:rsidR="00760149" w:rsidRPr="00DD1B58">
        <w:rPr>
          <w:lang w:val="en-US"/>
        </w:rPr>
        <w:t xml:space="preserve"> as per United Kingdom Building Regulations</w:t>
      </w:r>
      <w:r w:rsidR="00535EA6" w:rsidRPr="00DD1B58">
        <w:rPr>
          <w:lang w:val="en-US"/>
        </w:rPr>
        <w:t xml:space="preserve">. </w:t>
      </w:r>
      <w:r w:rsidR="00760149" w:rsidRPr="00DD1B58">
        <w:rPr>
          <w:lang w:val="en-US"/>
        </w:rPr>
        <w:t xml:space="preserve">External hazards assessments for the </w:t>
      </w:r>
      <w:r w:rsidR="00535EA6" w:rsidRPr="00DD1B58">
        <w:rPr>
          <w:lang w:val="en-US"/>
        </w:rPr>
        <w:t xml:space="preserve">installations </w:t>
      </w:r>
      <w:r w:rsidR="00760149" w:rsidRPr="00DD1B58">
        <w:rPr>
          <w:lang w:val="en-US"/>
        </w:rPr>
        <w:t>in scope refer to ancillary or neighbouring buildings and the effect of fire</w:t>
      </w:r>
      <w:r w:rsidR="00E519A6" w:rsidRPr="00DD1B58">
        <w:rPr>
          <w:lang w:val="en-US"/>
        </w:rPr>
        <w:t>s</w:t>
      </w:r>
      <w:r w:rsidR="00760149" w:rsidRPr="00DD1B58">
        <w:rPr>
          <w:lang w:val="en-US"/>
        </w:rPr>
        <w:t xml:space="preserve"> </w:t>
      </w:r>
      <w:r w:rsidR="00E519A6" w:rsidRPr="00DD1B58">
        <w:rPr>
          <w:lang w:val="en-US"/>
        </w:rPr>
        <w:t xml:space="preserve">from </w:t>
      </w:r>
      <w:r w:rsidR="00760149" w:rsidRPr="00DD1B58">
        <w:rPr>
          <w:lang w:val="en-US"/>
        </w:rPr>
        <w:t>these</w:t>
      </w:r>
      <w:r w:rsidR="00E519A6" w:rsidRPr="00DD1B58">
        <w:rPr>
          <w:lang w:val="en-US"/>
        </w:rPr>
        <w:t xml:space="preserve"> buildings. For the installations in scope of </w:t>
      </w:r>
      <w:r w:rsidR="007F35D9" w:rsidRPr="00DD1B58">
        <w:rPr>
          <w:lang w:val="en-US"/>
        </w:rPr>
        <w:t>TPR 2</w:t>
      </w:r>
      <w:r w:rsidR="00E519A6" w:rsidRPr="00DD1B58">
        <w:rPr>
          <w:lang w:val="en-US"/>
        </w:rPr>
        <w:t>,</w:t>
      </w:r>
      <w:r w:rsidR="00760149" w:rsidRPr="00DD1B58">
        <w:rPr>
          <w:lang w:val="en-US"/>
        </w:rPr>
        <w:t xml:space="preserve"> the assessments do not identify any instances where a fire in an ancillary building or an external fire would have a credible impact on the </w:t>
      </w:r>
      <w:r w:rsidR="00E519A6" w:rsidRPr="00DD1B58">
        <w:rPr>
          <w:lang w:val="en-US"/>
        </w:rPr>
        <w:t>installations considered.</w:t>
      </w:r>
      <w:r w:rsidR="00760149" w:rsidRPr="00DD1B58">
        <w:rPr>
          <w:lang w:val="en-US"/>
        </w:rPr>
        <w:t xml:space="preserve"> </w:t>
      </w:r>
    </w:p>
    <w:p w14:paraId="3B736C2F" w14:textId="4961EEFA" w:rsidR="00760149" w:rsidRPr="00DD1B58" w:rsidRDefault="00E519A6" w:rsidP="00760149">
      <w:pPr>
        <w:pStyle w:val="Bulletlist1"/>
        <w:numPr>
          <w:ilvl w:val="0"/>
          <w:numId w:val="0"/>
        </w:numPr>
        <w:rPr>
          <w:b/>
          <w:lang w:val="en-US"/>
        </w:rPr>
      </w:pPr>
      <w:r w:rsidRPr="00DD1B58">
        <w:rPr>
          <w:b/>
          <w:lang w:val="en-US"/>
        </w:rPr>
        <w:t>Sellafield Site Installations</w:t>
      </w:r>
    </w:p>
    <w:p w14:paraId="560A1CF1" w14:textId="4D19D592" w:rsidR="00E26C25" w:rsidRPr="00DD1B58" w:rsidRDefault="00E26C25" w:rsidP="00E26C25">
      <w:pPr>
        <w:pStyle w:val="Bulletlist1"/>
        <w:numPr>
          <w:ilvl w:val="0"/>
          <w:numId w:val="0"/>
        </w:numPr>
        <w:ind w:left="360" w:hanging="360"/>
        <w:rPr>
          <w:b/>
          <w:bCs/>
          <w:lang w:val="en-US"/>
        </w:rPr>
      </w:pPr>
      <w:r w:rsidRPr="00DD1B58">
        <w:rPr>
          <w:b/>
          <w:bCs/>
          <w:lang w:val="en-US"/>
        </w:rPr>
        <w:t>Waste Vitrification Plant</w:t>
      </w:r>
    </w:p>
    <w:p w14:paraId="17DE7713" w14:textId="5B8763BE" w:rsidR="00273231" w:rsidRPr="00DD1B58" w:rsidRDefault="00E26C25" w:rsidP="00273231">
      <w:pPr>
        <w:pStyle w:val="Bulletlist1"/>
        <w:numPr>
          <w:ilvl w:val="0"/>
          <w:numId w:val="0"/>
        </w:numPr>
        <w:rPr>
          <w:lang w:val="en-US"/>
        </w:rPr>
      </w:pPr>
      <w:r w:rsidRPr="00DD1B58">
        <w:rPr>
          <w:lang w:val="en-US"/>
        </w:rPr>
        <w:t>Waste Vitrification Plant (WVP) converts Highly Active Liquor (HAL) into a stable form for long-term storage.</w:t>
      </w:r>
      <w:r w:rsidR="00940D2A" w:rsidRPr="00DD1B58">
        <w:rPr>
          <w:lang w:val="en-US"/>
        </w:rPr>
        <w:t xml:space="preserve"> </w:t>
      </w:r>
      <w:r w:rsidRPr="00DD1B58">
        <w:rPr>
          <w:lang w:val="en-US"/>
        </w:rPr>
        <w:t xml:space="preserve">HAL is transferred to WVP through feed tanks where it is stored, before being fed to one of three process lines in WVP. HAL is fed to a calciner with sugar and passes through a heated zone to evaporate off the liquor and produce a solid calcine. The calcine then passes into a </w:t>
      </w:r>
      <w:r w:rsidR="00AE534A" w:rsidRPr="00DD1B58">
        <w:rPr>
          <w:lang w:val="en-US"/>
        </w:rPr>
        <w:t xml:space="preserve">melter </w:t>
      </w:r>
      <w:r w:rsidRPr="00DD1B58">
        <w:rPr>
          <w:lang w:val="en-US"/>
        </w:rPr>
        <w:t>where glass frit is added to produce a molten glass. The glass is then poured into steel containers and allowed to cool before lids are welded on. The vitrification line</w:t>
      </w:r>
      <w:r w:rsidR="003669CE" w:rsidRPr="00DD1B58">
        <w:rPr>
          <w:lang w:val="en-US"/>
        </w:rPr>
        <w:t xml:space="preserve"> operations</w:t>
      </w:r>
      <w:r w:rsidRPr="00DD1B58">
        <w:rPr>
          <w:lang w:val="en-US"/>
        </w:rPr>
        <w:t xml:space="preserve"> are expected to </w:t>
      </w:r>
      <w:r w:rsidR="003669CE" w:rsidRPr="00DD1B58">
        <w:rPr>
          <w:lang w:val="en-US"/>
        </w:rPr>
        <w:t>likely to extend beyond</w:t>
      </w:r>
      <w:r w:rsidRPr="00DD1B58">
        <w:rPr>
          <w:lang w:val="en-US"/>
        </w:rPr>
        <w:t xml:space="preserve"> 2030. </w:t>
      </w:r>
    </w:p>
    <w:p w14:paraId="624C2918" w14:textId="5F9FFDF5" w:rsidR="00273231" w:rsidRPr="00DD1B58" w:rsidRDefault="00273231" w:rsidP="00273231">
      <w:pPr>
        <w:pStyle w:val="Bulletlist1"/>
        <w:numPr>
          <w:ilvl w:val="0"/>
          <w:numId w:val="0"/>
        </w:numPr>
        <w:rPr>
          <w:b/>
          <w:bCs/>
          <w:lang w:val="en-US"/>
        </w:rPr>
      </w:pPr>
      <w:r w:rsidRPr="00DD1B58">
        <w:rPr>
          <w:b/>
          <w:bCs/>
          <w:lang w:val="en-US"/>
        </w:rPr>
        <w:t>Encapsulation Plants</w:t>
      </w:r>
    </w:p>
    <w:p w14:paraId="1ED17648" w14:textId="77777777" w:rsidR="00273231" w:rsidRPr="00DD1B58" w:rsidRDefault="00273231" w:rsidP="00273231">
      <w:pPr>
        <w:pStyle w:val="Bulletlist1"/>
        <w:numPr>
          <w:ilvl w:val="0"/>
          <w:numId w:val="0"/>
        </w:numPr>
        <w:rPr>
          <w:lang w:val="en-US"/>
        </w:rPr>
      </w:pPr>
      <w:r w:rsidRPr="00DD1B58">
        <w:rPr>
          <w:lang w:val="en-US"/>
        </w:rPr>
        <w:t xml:space="preserve">Encapsulation Plants at Sellafield bind nuclear waste products with cement or grout in a stainless steel storage drum. The drums are then sealed, cleaned, monitored and moved to a product store. </w:t>
      </w:r>
    </w:p>
    <w:p w14:paraId="64B36598" w14:textId="77777777" w:rsidR="00273231" w:rsidRPr="00DD1B58" w:rsidRDefault="00273231" w:rsidP="00273231">
      <w:pPr>
        <w:pStyle w:val="Bulletlist1"/>
        <w:numPr>
          <w:ilvl w:val="0"/>
          <w:numId w:val="0"/>
        </w:numPr>
        <w:rPr>
          <w:lang w:val="en-US"/>
        </w:rPr>
      </w:pPr>
      <w:r w:rsidRPr="00DD1B58">
        <w:rPr>
          <w:lang w:val="en-US"/>
        </w:rPr>
        <w:t>There are two main encapsulation plants on the site. One encapsulates Magnox swarf, the remnants of Magnox fuel rod cladding removed during fuel reprocessing. The second plant encapsulates fuel cladding and chemical by-products from the Thermal Oxide Reprocessing Plant (THORP) as well as radioactive sludge from one of the storage ponds. Both plants then send the encapsulated waste to encapsulated product stores, which are also on the Sellafield site.</w:t>
      </w:r>
    </w:p>
    <w:p w14:paraId="2A173A66" w14:textId="5F5C6776" w:rsidR="00E26C25" w:rsidRPr="00DD1B58" w:rsidRDefault="00E26C25" w:rsidP="00E26C25">
      <w:pPr>
        <w:pStyle w:val="Bulletlist1"/>
        <w:numPr>
          <w:ilvl w:val="0"/>
          <w:numId w:val="0"/>
        </w:numPr>
        <w:ind w:left="360" w:hanging="360"/>
        <w:rPr>
          <w:b/>
          <w:bCs/>
          <w:lang w:val="en-US"/>
        </w:rPr>
      </w:pPr>
      <w:r w:rsidRPr="00DD1B58">
        <w:rPr>
          <w:b/>
          <w:bCs/>
          <w:lang w:val="en-US"/>
        </w:rPr>
        <w:t>Magnox Reprocessing Plant</w:t>
      </w:r>
    </w:p>
    <w:p w14:paraId="5828156C" w14:textId="79F0CCDD" w:rsidR="00E26C25" w:rsidRPr="00DD1B58" w:rsidRDefault="00E26C25" w:rsidP="00E26C25">
      <w:pPr>
        <w:pStyle w:val="Bulletlist1"/>
        <w:numPr>
          <w:ilvl w:val="0"/>
          <w:numId w:val="0"/>
        </w:numPr>
        <w:rPr>
          <w:lang w:val="en-US"/>
        </w:rPr>
      </w:pPr>
      <w:r w:rsidRPr="00DD1B58">
        <w:rPr>
          <w:lang w:val="en-US"/>
        </w:rPr>
        <w:t>The Magnox Reprocessing Plant was built to reprocess irradiated fuel rods arising from Magnox Reactor stations. Until recently</w:t>
      </w:r>
      <w:r w:rsidR="003962D9" w:rsidRPr="00DD1B58">
        <w:rPr>
          <w:lang w:val="en-US"/>
        </w:rPr>
        <w:t>,</w:t>
      </w:r>
      <w:r w:rsidRPr="00DD1B58">
        <w:rPr>
          <w:lang w:val="en-US"/>
        </w:rPr>
        <w:t xml:space="preserve"> the main processes carried out within Magnox Reprocessing </w:t>
      </w:r>
      <w:r w:rsidR="003962D9" w:rsidRPr="00DD1B58">
        <w:rPr>
          <w:lang w:val="en-US"/>
        </w:rPr>
        <w:t xml:space="preserve">were </w:t>
      </w:r>
      <w:r w:rsidRPr="00DD1B58">
        <w:rPr>
          <w:lang w:val="en-US"/>
        </w:rPr>
        <w:t>the dissolution of spent fuel rods, the removal of fission products, and the separation of uranium and plutonium into component parts in order to be sent downstream for long</w:t>
      </w:r>
      <w:r w:rsidR="003F3774" w:rsidRPr="00DD1B58">
        <w:rPr>
          <w:lang w:val="en-US"/>
        </w:rPr>
        <w:t>-</w:t>
      </w:r>
      <w:r w:rsidRPr="00DD1B58">
        <w:rPr>
          <w:lang w:val="en-US"/>
        </w:rPr>
        <w:t xml:space="preserve">term storage. </w:t>
      </w:r>
    </w:p>
    <w:p w14:paraId="14CABD2F" w14:textId="384CB484" w:rsidR="00E26C25" w:rsidRPr="00DD1B58" w:rsidRDefault="00E26C25" w:rsidP="00E26C25">
      <w:pPr>
        <w:pStyle w:val="Bulletlist1"/>
        <w:numPr>
          <w:ilvl w:val="0"/>
          <w:numId w:val="0"/>
        </w:numPr>
        <w:rPr>
          <w:lang w:val="en-US"/>
        </w:rPr>
      </w:pPr>
      <w:r w:rsidRPr="00DD1B58">
        <w:rPr>
          <w:lang w:val="en-US"/>
        </w:rPr>
        <w:t xml:space="preserve">The facility comprises a main building </w:t>
      </w:r>
      <w:r w:rsidR="001B119A" w:rsidRPr="00DD1B58">
        <w:rPr>
          <w:lang w:val="en-US"/>
        </w:rPr>
        <w:t xml:space="preserve">that houses </w:t>
      </w:r>
      <w:r w:rsidRPr="00DD1B58">
        <w:rPr>
          <w:lang w:val="en-US"/>
        </w:rPr>
        <w:t xml:space="preserve">the flask receipt and despatch area, fuel rod dissolution facilities and the solvent extraction mixer settlers. The facility also houses the mixer settler vessels utilising the solvent extraction process. This plant provides purification facilities for both the uranium and plutonium before the uranium is transferred to another plant for further processing and the plutonium is evaporated in the plutonium evaporator. Plant liquors are transferred from Magnox Reprocessing to the destination plant via adjacent pipe bridges. The plant contains facilities for receiving, storing and mixing reagents </w:t>
      </w:r>
      <w:r w:rsidR="006D00C7" w:rsidRPr="00DD1B58">
        <w:rPr>
          <w:lang w:val="en-US"/>
        </w:rPr>
        <w:t xml:space="preserve">prior to use </w:t>
      </w:r>
      <w:r w:rsidRPr="00DD1B58">
        <w:rPr>
          <w:lang w:val="en-US"/>
        </w:rPr>
        <w:t xml:space="preserve">from a tank farm, also situated within the site. Site services are also routed into the building from the adjacent pipe bridges or by ducts and trenches. The plant </w:t>
      </w:r>
      <w:r w:rsidRPr="00DD1B58">
        <w:rPr>
          <w:lang w:val="en-US"/>
        </w:rPr>
        <w:lastRenderedPageBreak/>
        <w:t>also consigns solid waste as Intermediate Level Waste (ILW), Low Level Waste (LLW) and Plutonium Contaminated Material (PCM) to the appropriate destination. Liquid wastes</w:t>
      </w:r>
      <w:r w:rsidR="003925D3" w:rsidRPr="00DD1B58">
        <w:rPr>
          <w:lang w:val="en-US"/>
        </w:rPr>
        <w:t xml:space="preserve"> consigned</w:t>
      </w:r>
      <w:r w:rsidRPr="00DD1B58">
        <w:rPr>
          <w:lang w:val="en-US"/>
        </w:rPr>
        <w:t xml:space="preserve"> as Highly Active (HA), Medium Active (MA) salt free, Medium Active salt bearing and Low Active </w:t>
      </w:r>
      <w:r w:rsidR="00F34277" w:rsidRPr="00DD1B58">
        <w:rPr>
          <w:lang w:val="en-US"/>
        </w:rPr>
        <w:t xml:space="preserve">(LA) </w:t>
      </w:r>
      <w:r w:rsidRPr="00DD1B58">
        <w:rPr>
          <w:lang w:val="en-US"/>
        </w:rPr>
        <w:t>aerial effluents are also directed and sentenced to the appropriate destination via dedicated pipework systems.</w:t>
      </w:r>
    </w:p>
    <w:p w14:paraId="40C86B99" w14:textId="71B5ED10" w:rsidR="00E26C25" w:rsidRPr="00DD1B58" w:rsidRDefault="00E26C25" w:rsidP="00E26C25">
      <w:pPr>
        <w:pStyle w:val="Bulletlist1"/>
        <w:numPr>
          <w:ilvl w:val="0"/>
          <w:numId w:val="0"/>
        </w:numPr>
        <w:rPr>
          <w:lang w:val="en-US"/>
        </w:rPr>
      </w:pPr>
      <w:r w:rsidRPr="00DD1B58">
        <w:rPr>
          <w:lang w:val="en-US"/>
        </w:rPr>
        <w:t xml:space="preserve">Some of the main hazards associated with </w:t>
      </w:r>
      <w:r w:rsidR="005075F7" w:rsidRPr="00DD1B58">
        <w:rPr>
          <w:lang w:val="en-US"/>
        </w:rPr>
        <w:t xml:space="preserve">the </w:t>
      </w:r>
      <w:r w:rsidRPr="00DD1B58">
        <w:rPr>
          <w:lang w:val="en-US"/>
        </w:rPr>
        <w:t xml:space="preserve">Magnox Reprocessing facility are </w:t>
      </w:r>
      <w:r w:rsidR="00EE5D02" w:rsidRPr="00DD1B58">
        <w:rPr>
          <w:lang w:val="en-US"/>
        </w:rPr>
        <w:t>criticality (</w:t>
      </w:r>
      <w:r w:rsidRPr="00DD1B58">
        <w:rPr>
          <w:lang w:val="en-US"/>
        </w:rPr>
        <w:t>due to solvent extraction maloperations or loss of geometry control</w:t>
      </w:r>
      <w:r w:rsidR="000054F2" w:rsidRPr="00DD1B58">
        <w:rPr>
          <w:lang w:val="en-US"/>
        </w:rPr>
        <w:t>)</w:t>
      </w:r>
      <w:r w:rsidRPr="00DD1B58">
        <w:rPr>
          <w:lang w:val="en-US"/>
        </w:rPr>
        <w:t xml:space="preserve">, misrouting of solvents to evaporators, leakage of activity from cells, dissolver pressurisation and fuel flask drops. </w:t>
      </w:r>
    </w:p>
    <w:p w14:paraId="63D496E9" w14:textId="1D2028D6" w:rsidR="00E26C25" w:rsidRPr="00DD1B58" w:rsidDel="00273231" w:rsidRDefault="00E26C25" w:rsidP="00E26C25">
      <w:pPr>
        <w:pStyle w:val="Bulletlist1"/>
        <w:numPr>
          <w:ilvl w:val="0"/>
          <w:numId w:val="0"/>
        </w:numPr>
        <w:rPr>
          <w:b/>
          <w:bCs/>
          <w:lang w:val="en-US"/>
        </w:rPr>
      </w:pPr>
      <w:r w:rsidRPr="00DD1B58" w:rsidDel="00273231">
        <w:rPr>
          <w:b/>
          <w:bCs/>
          <w:lang w:val="en-US"/>
        </w:rPr>
        <w:t>Encapsulation Plants</w:t>
      </w:r>
    </w:p>
    <w:p w14:paraId="6DAE49AD" w14:textId="6AE2A96C" w:rsidR="00E26C25" w:rsidRPr="00DD1B58" w:rsidDel="00273231" w:rsidRDefault="00E26C25" w:rsidP="00E26C25">
      <w:pPr>
        <w:pStyle w:val="Bulletlist1"/>
        <w:numPr>
          <w:ilvl w:val="0"/>
          <w:numId w:val="0"/>
        </w:numPr>
        <w:rPr>
          <w:lang w:val="en-US"/>
        </w:rPr>
      </w:pPr>
      <w:r w:rsidRPr="00DD1B58" w:rsidDel="00273231">
        <w:rPr>
          <w:lang w:val="en-US"/>
        </w:rPr>
        <w:t>Encapsulation Plants at Sellafield bind nuclear waste products with cement or grout in a stainless</w:t>
      </w:r>
      <w:r w:rsidR="006B2DDB" w:rsidRPr="00DD1B58" w:rsidDel="00273231">
        <w:rPr>
          <w:lang w:val="en-US"/>
        </w:rPr>
        <w:t xml:space="preserve"> </w:t>
      </w:r>
      <w:r w:rsidRPr="00DD1B58" w:rsidDel="00273231">
        <w:rPr>
          <w:lang w:val="en-US"/>
        </w:rPr>
        <w:t>steel storage drum</w:t>
      </w:r>
      <w:r w:rsidR="006B2DDB" w:rsidRPr="00DD1B58" w:rsidDel="00273231">
        <w:rPr>
          <w:lang w:val="en-US"/>
        </w:rPr>
        <w:t>.</w:t>
      </w:r>
      <w:r w:rsidRPr="00DD1B58" w:rsidDel="00273231">
        <w:rPr>
          <w:lang w:val="en-US"/>
        </w:rPr>
        <w:t xml:space="preserve"> </w:t>
      </w:r>
      <w:r w:rsidR="006B2DDB" w:rsidRPr="00DD1B58" w:rsidDel="00273231">
        <w:rPr>
          <w:lang w:val="en-US"/>
        </w:rPr>
        <w:t>T</w:t>
      </w:r>
      <w:r w:rsidRPr="00DD1B58" w:rsidDel="00273231">
        <w:rPr>
          <w:lang w:val="en-US"/>
        </w:rPr>
        <w:t xml:space="preserve">he drums are then sealed, cleaned, monitored and moved to a product store. </w:t>
      </w:r>
    </w:p>
    <w:p w14:paraId="524D544D" w14:textId="5C2A6AB2" w:rsidR="00E26C25" w:rsidRPr="00DD1B58" w:rsidDel="00273231" w:rsidRDefault="00E26C25" w:rsidP="00E26C25">
      <w:pPr>
        <w:pStyle w:val="Bulletlist1"/>
        <w:numPr>
          <w:ilvl w:val="0"/>
          <w:numId w:val="0"/>
        </w:numPr>
        <w:rPr>
          <w:lang w:val="en-US"/>
        </w:rPr>
      </w:pPr>
      <w:r w:rsidRPr="00DD1B58" w:rsidDel="00273231">
        <w:rPr>
          <w:lang w:val="en-US"/>
        </w:rPr>
        <w:t>There are two main encapsulation plants on the sit</w:t>
      </w:r>
      <w:r w:rsidR="00A02F60" w:rsidRPr="00DD1B58" w:rsidDel="00273231">
        <w:rPr>
          <w:lang w:val="en-US"/>
        </w:rPr>
        <w:t>e. O</w:t>
      </w:r>
      <w:r w:rsidRPr="00DD1B58" w:rsidDel="00273231">
        <w:rPr>
          <w:lang w:val="en-US"/>
        </w:rPr>
        <w:t>ne encapsulates Magnox swarf</w:t>
      </w:r>
      <w:r w:rsidR="00A02F60" w:rsidRPr="00DD1B58" w:rsidDel="00273231">
        <w:rPr>
          <w:lang w:val="en-US"/>
        </w:rPr>
        <w:t>,</w:t>
      </w:r>
      <w:r w:rsidR="00AE680C" w:rsidRPr="00DD1B58" w:rsidDel="00273231">
        <w:rPr>
          <w:lang w:val="en-US"/>
        </w:rPr>
        <w:t xml:space="preserve"> </w:t>
      </w:r>
      <w:r w:rsidRPr="00DD1B58" w:rsidDel="00273231">
        <w:rPr>
          <w:lang w:val="en-US"/>
        </w:rPr>
        <w:t xml:space="preserve">the remnants of Magnox fuel rod cladding removed </w:t>
      </w:r>
      <w:r w:rsidR="00AA3ECC" w:rsidRPr="00DD1B58" w:rsidDel="00273231">
        <w:rPr>
          <w:lang w:val="en-US"/>
        </w:rPr>
        <w:t xml:space="preserve">during fuel </w:t>
      </w:r>
      <w:r w:rsidRPr="00DD1B58" w:rsidDel="00273231">
        <w:rPr>
          <w:lang w:val="en-US"/>
        </w:rPr>
        <w:t>reprocess</w:t>
      </w:r>
      <w:r w:rsidR="00AA3ECC" w:rsidRPr="00DD1B58" w:rsidDel="00273231">
        <w:rPr>
          <w:lang w:val="en-US"/>
        </w:rPr>
        <w:t>ing</w:t>
      </w:r>
      <w:r w:rsidRPr="00DD1B58" w:rsidDel="00273231">
        <w:rPr>
          <w:lang w:val="en-US"/>
        </w:rPr>
        <w:t>. The second plant encapsulates fuel cladding and chemical by-products from the Thermal Oxide Reprocessing Plant (THORP) as well as radioactive sludge from one of the storage ponds. Both plants then send the encapsulated waste to encapsulated product stores</w:t>
      </w:r>
      <w:r w:rsidR="00AA3ECC" w:rsidRPr="00DD1B58" w:rsidDel="00273231">
        <w:rPr>
          <w:lang w:val="en-US"/>
        </w:rPr>
        <w:t>,</w:t>
      </w:r>
      <w:r w:rsidRPr="00DD1B58" w:rsidDel="00273231">
        <w:rPr>
          <w:lang w:val="en-US"/>
        </w:rPr>
        <w:t xml:space="preserve"> which are also on the Sellafield </w:t>
      </w:r>
      <w:r w:rsidR="00AA3ECC" w:rsidRPr="00DD1B58" w:rsidDel="00273231">
        <w:rPr>
          <w:lang w:val="en-US"/>
        </w:rPr>
        <w:t>site</w:t>
      </w:r>
      <w:r w:rsidRPr="00DD1B58" w:rsidDel="00273231">
        <w:rPr>
          <w:lang w:val="en-US"/>
        </w:rPr>
        <w:t>.</w:t>
      </w:r>
    </w:p>
    <w:p w14:paraId="775D3B3A" w14:textId="27328358" w:rsidR="00AC3010" w:rsidRPr="00DD1B58" w:rsidRDefault="00AC3010" w:rsidP="00AC3010">
      <w:pPr>
        <w:pStyle w:val="Bulletlist1"/>
        <w:numPr>
          <w:ilvl w:val="0"/>
          <w:numId w:val="0"/>
        </w:numPr>
        <w:rPr>
          <w:b/>
          <w:bCs/>
          <w:lang w:val="en-US"/>
        </w:rPr>
      </w:pPr>
      <w:r w:rsidRPr="00DD1B58">
        <w:rPr>
          <w:b/>
          <w:bCs/>
          <w:lang w:val="en-US"/>
        </w:rPr>
        <w:t>Sellafield Product and Residues Store</w:t>
      </w:r>
    </w:p>
    <w:p w14:paraId="4EB61149" w14:textId="57E57D71" w:rsidR="00AC3010" w:rsidRPr="00DD1B58" w:rsidRDefault="00AA3ECC" w:rsidP="00AC3010">
      <w:pPr>
        <w:pStyle w:val="Bulletlist1"/>
        <w:numPr>
          <w:ilvl w:val="0"/>
          <w:numId w:val="0"/>
        </w:numPr>
        <w:rPr>
          <w:lang w:val="en-US"/>
        </w:rPr>
      </w:pPr>
      <w:r w:rsidRPr="00DD1B58">
        <w:rPr>
          <w:lang w:val="en-US"/>
        </w:rPr>
        <w:t xml:space="preserve">The </w:t>
      </w:r>
      <w:r w:rsidR="00AC3010" w:rsidRPr="00DD1B58">
        <w:rPr>
          <w:lang w:val="en-US"/>
        </w:rPr>
        <w:t xml:space="preserve">Sellafield Product and Residues Store (SPRS) is a facility designed to store product packages containing residues from finishing lines within reprocessing plants and other areas of the </w:t>
      </w:r>
      <w:r w:rsidRPr="00DD1B58">
        <w:rPr>
          <w:lang w:val="en-US"/>
        </w:rPr>
        <w:t>Sellafield Site</w:t>
      </w:r>
      <w:r w:rsidR="00AC3010" w:rsidRPr="00DD1B58">
        <w:rPr>
          <w:lang w:val="en-US"/>
        </w:rPr>
        <w:t xml:space="preserve"> and National Nuclear Laboratories (NNL) operations.</w:t>
      </w:r>
    </w:p>
    <w:p w14:paraId="39C2090B" w14:textId="1A0A33EA" w:rsidR="00AC3010" w:rsidRPr="00DD1B58" w:rsidRDefault="00AC3010" w:rsidP="00AC3010">
      <w:pPr>
        <w:pStyle w:val="Bulletlist1"/>
        <w:numPr>
          <w:ilvl w:val="0"/>
          <w:numId w:val="0"/>
        </w:numPr>
        <w:rPr>
          <w:b/>
          <w:bCs/>
          <w:lang w:val="en-US"/>
        </w:rPr>
      </w:pPr>
      <w:r w:rsidRPr="00DD1B58">
        <w:rPr>
          <w:b/>
          <w:bCs/>
          <w:lang w:val="en-US"/>
        </w:rPr>
        <w:t>Box Encapsulation Plant Product Store – Direct Import Facility</w:t>
      </w:r>
    </w:p>
    <w:p w14:paraId="63E1B792" w14:textId="16052B6D" w:rsidR="00AC3010" w:rsidRPr="00DD1B58" w:rsidRDefault="00AC3010" w:rsidP="00AC3010">
      <w:pPr>
        <w:pStyle w:val="Bulletlist1"/>
        <w:numPr>
          <w:ilvl w:val="0"/>
          <w:numId w:val="0"/>
        </w:numPr>
        <w:rPr>
          <w:lang w:val="en-US"/>
        </w:rPr>
      </w:pPr>
      <w:r w:rsidRPr="00DD1B58">
        <w:rPr>
          <w:lang w:val="en-US"/>
        </w:rPr>
        <w:t>Box Encapsulation Plant Product Store Direct Import Facility (BEPPS-DIF) has been designed to receive and store Intermediate Level Waste from donor plants (</w:t>
      </w:r>
      <w:r w:rsidR="00AA3ECC" w:rsidRPr="00DD1B58">
        <w:rPr>
          <w:lang w:val="en-US"/>
        </w:rPr>
        <w:t xml:space="preserve">silos </w:t>
      </w:r>
      <w:r w:rsidRPr="00DD1B58">
        <w:rPr>
          <w:lang w:val="en-US"/>
        </w:rPr>
        <w:t xml:space="preserve">and </w:t>
      </w:r>
      <w:r w:rsidR="00AA3ECC" w:rsidRPr="00DD1B58">
        <w:rPr>
          <w:lang w:val="en-US"/>
        </w:rPr>
        <w:t>ponds</w:t>
      </w:r>
      <w:r w:rsidRPr="00DD1B58">
        <w:rPr>
          <w:lang w:val="en-US"/>
        </w:rPr>
        <w:t xml:space="preserve">) and provide services to </w:t>
      </w:r>
      <w:r w:rsidR="00AA3ECC" w:rsidRPr="00DD1B58">
        <w:rPr>
          <w:lang w:val="en-US"/>
        </w:rPr>
        <w:t xml:space="preserve">encapsulation plants </w:t>
      </w:r>
      <w:r w:rsidRPr="00DD1B58">
        <w:rPr>
          <w:lang w:val="en-US"/>
        </w:rPr>
        <w:t xml:space="preserve">and </w:t>
      </w:r>
      <w:r w:rsidR="00AA3ECC" w:rsidRPr="00DD1B58">
        <w:rPr>
          <w:lang w:val="en-US"/>
        </w:rPr>
        <w:t>stores</w:t>
      </w:r>
      <w:r w:rsidRPr="00DD1B58">
        <w:rPr>
          <w:lang w:val="en-US"/>
        </w:rPr>
        <w:t xml:space="preserve">. It is a relatively new facility and is due to commence operations and begin receiving waste in </w:t>
      </w:r>
      <w:r w:rsidR="009A47A8" w:rsidRPr="00DD1B58">
        <w:rPr>
          <w:lang w:val="en-US"/>
        </w:rPr>
        <w:t xml:space="preserve">late </w:t>
      </w:r>
      <w:r w:rsidRPr="00DD1B58">
        <w:rPr>
          <w:lang w:val="en-US"/>
        </w:rPr>
        <w:t xml:space="preserve">2023. </w:t>
      </w:r>
    </w:p>
    <w:p w14:paraId="654C4E4E" w14:textId="5F5FB1D0" w:rsidR="00AC3010" w:rsidRPr="00DD1B58" w:rsidRDefault="00AC3010" w:rsidP="00AC3010">
      <w:pPr>
        <w:pStyle w:val="Bulletlist1"/>
        <w:numPr>
          <w:ilvl w:val="0"/>
          <w:numId w:val="0"/>
        </w:numPr>
        <w:rPr>
          <w:b/>
          <w:bCs/>
          <w:lang w:val="en-US"/>
        </w:rPr>
      </w:pPr>
      <w:r w:rsidRPr="00DD1B58">
        <w:rPr>
          <w:b/>
          <w:bCs/>
          <w:lang w:val="en-US"/>
        </w:rPr>
        <w:t>Pile 1</w:t>
      </w:r>
    </w:p>
    <w:p w14:paraId="3B64E040" w14:textId="02317500" w:rsidR="00AC3010" w:rsidRPr="00DD1B58" w:rsidRDefault="00AC3010" w:rsidP="00AC3010">
      <w:pPr>
        <w:pStyle w:val="Bulletlist1"/>
        <w:numPr>
          <w:ilvl w:val="0"/>
          <w:numId w:val="0"/>
        </w:numPr>
        <w:rPr>
          <w:lang w:val="en-US"/>
        </w:rPr>
      </w:pPr>
      <w:r w:rsidRPr="00DD1B58">
        <w:rPr>
          <w:lang w:val="en-US"/>
        </w:rPr>
        <w:t xml:space="preserve">Windscale Pile 1 was originally commissioned as a </w:t>
      </w:r>
      <w:r w:rsidR="000B6300" w:rsidRPr="00DD1B58">
        <w:rPr>
          <w:lang w:val="en-US"/>
        </w:rPr>
        <w:t>graphite-</w:t>
      </w:r>
      <w:r w:rsidRPr="00DD1B58">
        <w:rPr>
          <w:lang w:val="en-US"/>
        </w:rPr>
        <w:t xml:space="preserve">moderated, </w:t>
      </w:r>
      <w:r w:rsidR="000B6300" w:rsidRPr="00DD1B58">
        <w:rPr>
          <w:lang w:val="en-US"/>
        </w:rPr>
        <w:t>air-</w:t>
      </w:r>
      <w:r w:rsidRPr="00DD1B58">
        <w:rPr>
          <w:lang w:val="en-US"/>
        </w:rPr>
        <w:t xml:space="preserve">cooled nuclear reactor in the 1940s </w:t>
      </w:r>
      <w:r w:rsidR="008C589C" w:rsidRPr="00DD1B58">
        <w:rPr>
          <w:lang w:val="en-US"/>
        </w:rPr>
        <w:t xml:space="preserve">that </w:t>
      </w:r>
      <w:r w:rsidRPr="00DD1B58">
        <w:rPr>
          <w:lang w:val="en-US"/>
        </w:rPr>
        <w:t>was used to generate weapons</w:t>
      </w:r>
      <w:r w:rsidR="00F55D63" w:rsidRPr="00DD1B58">
        <w:rPr>
          <w:lang w:val="en-US"/>
        </w:rPr>
        <w:t>-</w:t>
      </w:r>
      <w:r w:rsidRPr="00DD1B58">
        <w:rPr>
          <w:lang w:val="en-US"/>
        </w:rPr>
        <w:t xml:space="preserve">grade plutonium and other isotopes. The facility comprises a reactor core, bio-shield, air inlet and outlet ducts, water ducts and the chimneys. It is currently in a state of care and maintenance and has been in this state since a large fire occurred in 1957. The facility shares a boundary with the Pile chimney, which is undergoing </w:t>
      </w:r>
      <w:r w:rsidR="005970F9" w:rsidRPr="00DD1B58">
        <w:rPr>
          <w:lang w:val="en-US"/>
        </w:rPr>
        <w:t>decommissioning (</w:t>
      </w:r>
      <w:r w:rsidRPr="00DD1B58">
        <w:rPr>
          <w:lang w:val="en-US"/>
        </w:rPr>
        <w:t>height</w:t>
      </w:r>
      <w:r w:rsidR="005970F9" w:rsidRPr="00DD1B58">
        <w:rPr>
          <w:lang w:val="en-US"/>
        </w:rPr>
        <w:t xml:space="preserve"> reduction)</w:t>
      </w:r>
      <w:r w:rsidR="00445F40" w:rsidRPr="00DD1B58">
        <w:rPr>
          <w:lang w:val="en-US"/>
        </w:rPr>
        <w:t>.</w:t>
      </w:r>
    </w:p>
    <w:p w14:paraId="27FBCFE4" w14:textId="6392120E" w:rsidR="00760149" w:rsidRPr="00DD1B58" w:rsidRDefault="00AC3010" w:rsidP="00AC3010">
      <w:pPr>
        <w:pStyle w:val="Bulletlist1"/>
        <w:numPr>
          <w:ilvl w:val="0"/>
          <w:numId w:val="0"/>
        </w:numPr>
        <w:rPr>
          <w:lang w:val="en-US"/>
        </w:rPr>
      </w:pPr>
      <w:r w:rsidRPr="00DD1B58">
        <w:rPr>
          <w:lang w:val="en-US"/>
        </w:rPr>
        <w:t xml:space="preserve">The main operations carried out are basic tasks such as regular operator rounds </w:t>
      </w:r>
      <w:r w:rsidR="00983F6A" w:rsidRPr="00DD1B58">
        <w:rPr>
          <w:lang w:val="en-US"/>
        </w:rPr>
        <w:t xml:space="preserve">including </w:t>
      </w:r>
      <w:r w:rsidRPr="00DD1B58">
        <w:rPr>
          <w:lang w:val="en-US"/>
        </w:rPr>
        <w:t>the checking and subsequent changing</w:t>
      </w:r>
      <w:r w:rsidR="00445F40" w:rsidRPr="00DD1B58">
        <w:rPr>
          <w:lang w:val="en-US"/>
        </w:rPr>
        <w:t xml:space="preserve"> of</w:t>
      </w:r>
      <w:r w:rsidRPr="00DD1B58">
        <w:rPr>
          <w:lang w:val="en-US"/>
        </w:rPr>
        <w:t xml:space="preserve"> the High Efficien</w:t>
      </w:r>
      <w:r w:rsidR="005E510B" w:rsidRPr="00DD1B58">
        <w:rPr>
          <w:lang w:val="en-US"/>
        </w:rPr>
        <w:t>c</w:t>
      </w:r>
      <w:r w:rsidR="00AE534A" w:rsidRPr="00DD1B58">
        <w:rPr>
          <w:lang w:val="en-US"/>
        </w:rPr>
        <w:t>y</w:t>
      </w:r>
      <w:r w:rsidRPr="00DD1B58">
        <w:rPr>
          <w:lang w:val="en-US"/>
        </w:rPr>
        <w:t xml:space="preserve"> Particulate </w:t>
      </w:r>
      <w:r w:rsidR="005E510B" w:rsidRPr="00DD1B58">
        <w:rPr>
          <w:lang w:val="en-US"/>
        </w:rPr>
        <w:t>Air</w:t>
      </w:r>
      <w:r w:rsidRPr="00DD1B58">
        <w:rPr>
          <w:lang w:val="en-US"/>
        </w:rPr>
        <w:t xml:space="preserve"> (HEPA) filters in the ventilation systems. The ILW store has a ventilation system </w:t>
      </w:r>
      <w:r w:rsidR="00445F40" w:rsidRPr="00DD1B58">
        <w:rPr>
          <w:lang w:val="en-US"/>
        </w:rPr>
        <w:t xml:space="preserve">that </w:t>
      </w:r>
      <w:r w:rsidRPr="00DD1B58">
        <w:rPr>
          <w:lang w:val="en-US"/>
        </w:rPr>
        <w:t xml:space="preserve">draws a continuous minimum flow rate to </w:t>
      </w:r>
      <w:r w:rsidR="00DD09FD" w:rsidRPr="00DD1B58">
        <w:rPr>
          <w:lang w:val="en-US"/>
        </w:rPr>
        <w:t>reduce risks from</w:t>
      </w:r>
      <w:r w:rsidRPr="00DD1B58">
        <w:rPr>
          <w:lang w:val="en-US"/>
        </w:rPr>
        <w:t xml:space="preserve"> flammable or explosive atmosphere</w:t>
      </w:r>
      <w:r w:rsidR="00DD09FD" w:rsidRPr="00DD1B58">
        <w:rPr>
          <w:lang w:val="en-US"/>
        </w:rPr>
        <w:t>s.</w:t>
      </w:r>
    </w:p>
    <w:p w14:paraId="0263331A" w14:textId="77777777" w:rsidR="003F5E50" w:rsidRPr="00DD1B58" w:rsidRDefault="0029454A" w:rsidP="00384D60">
      <w:pPr>
        <w:pStyle w:val="Heading4"/>
        <w:numPr>
          <w:ilvl w:val="6"/>
          <w:numId w:val="3"/>
        </w:numPr>
        <w:rPr>
          <w:lang w:val="en-US"/>
        </w:rPr>
      </w:pPr>
      <w:r w:rsidRPr="00DD1B58">
        <w:rPr>
          <w:lang w:val="en-US"/>
        </w:rPr>
        <w:lastRenderedPageBreak/>
        <w:t>Urenco UK Ltd</w:t>
      </w:r>
      <w:r w:rsidR="00663556" w:rsidRPr="00DD1B58">
        <w:rPr>
          <w:lang w:val="en-US"/>
        </w:rPr>
        <w:t xml:space="preserve"> (UUK)</w:t>
      </w:r>
    </w:p>
    <w:p w14:paraId="0EA245D0" w14:textId="35BCC8B6" w:rsidR="00C3611A" w:rsidRPr="00DD1B58" w:rsidRDefault="00663556" w:rsidP="00A82B78">
      <w:pPr>
        <w:rPr>
          <w:lang w:val="en-US"/>
        </w:rPr>
      </w:pPr>
      <w:r w:rsidRPr="00DD1B58">
        <w:rPr>
          <w:lang w:val="en-US"/>
        </w:rPr>
        <w:t xml:space="preserve">UUK </w:t>
      </w:r>
      <w:r w:rsidR="00A82B78" w:rsidRPr="00DD1B58">
        <w:rPr>
          <w:lang w:val="en-US"/>
        </w:rPr>
        <w:t>is an international supplier of enrichment services and fuel cycle products for the civil nuclear industry, serving utility nuclear generation</w:t>
      </w:r>
      <w:r w:rsidR="005B4F43" w:rsidRPr="00DD1B58">
        <w:rPr>
          <w:lang w:val="en-US"/>
        </w:rPr>
        <w:t xml:space="preserve"> worldwide. </w:t>
      </w:r>
      <w:r w:rsidRPr="00DD1B58">
        <w:rPr>
          <w:lang w:val="en-US"/>
        </w:rPr>
        <w:t>U</w:t>
      </w:r>
      <w:r w:rsidR="00445F40" w:rsidRPr="00DD1B58">
        <w:rPr>
          <w:lang w:val="en-US"/>
        </w:rPr>
        <w:t>U</w:t>
      </w:r>
      <w:r w:rsidRPr="00DD1B58">
        <w:rPr>
          <w:lang w:val="en-US"/>
        </w:rPr>
        <w:t>K</w:t>
      </w:r>
      <w:r w:rsidR="17E9AD11" w:rsidRPr="00DD1B58">
        <w:rPr>
          <w:lang w:val="en-US"/>
        </w:rPr>
        <w:t xml:space="preserve"> hold</w:t>
      </w:r>
      <w:r w:rsidRPr="00DD1B58">
        <w:rPr>
          <w:lang w:val="en-US"/>
        </w:rPr>
        <w:t>s</w:t>
      </w:r>
      <w:r w:rsidR="17E9AD11" w:rsidRPr="00DD1B58">
        <w:rPr>
          <w:lang w:val="en-US"/>
        </w:rPr>
        <w:t xml:space="preserve"> the nuclear site licence for</w:t>
      </w:r>
      <w:r w:rsidR="00445F40" w:rsidRPr="00DD1B58">
        <w:rPr>
          <w:lang w:val="en-US"/>
        </w:rPr>
        <w:t xml:space="preserve"> the</w:t>
      </w:r>
      <w:r w:rsidR="17E9AD11" w:rsidRPr="00DD1B58">
        <w:rPr>
          <w:lang w:val="en-US"/>
        </w:rPr>
        <w:t xml:space="preserve"> Capenhurst site</w:t>
      </w:r>
      <w:r w:rsidR="00445F40" w:rsidRPr="00DD1B58">
        <w:rPr>
          <w:lang w:val="en-US"/>
        </w:rPr>
        <w:t>,</w:t>
      </w:r>
      <w:r w:rsidR="17E9AD11" w:rsidRPr="00DD1B58">
        <w:rPr>
          <w:lang w:val="en-US"/>
        </w:rPr>
        <w:t xml:space="preserve"> which encompasses a number</w:t>
      </w:r>
      <w:r w:rsidR="4D0EE5D1" w:rsidRPr="00DD1B58">
        <w:rPr>
          <w:lang w:val="en-US"/>
        </w:rPr>
        <w:t xml:space="preserve"> </w:t>
      </w:r>
      <w:r w:rsidR="009E6093" w:rsidRPr="00DD1B58">
        <w:rPr>
          <w:lang w:val="en-US"/>
        </w:rPr>
        <w:t>of facilities including:</w:t>
      </w:r>
    </w:p>
    <w:p w14:paraId="025CE494" w14:textId="266CBA19" w:rsidR="00A82B78" w:rsidRPr="00DD1B58" w:rsidRDefault="00A82B78" w:rsidP="00843635">
      <w:pPr>
        <w:pStyle w:val="Bulletlist1"/>
        <w:rPr>
          <w:lang w:val="en-US"/>
        </w:rPr>
      </w:pPr>
      <w:r w:rsidRPr="00DD1B58">
        <w:rPr>
          <w:lang w:val="en-US"/>
        </w:rPr>
        <w:t xml:space="preserve">Three nuclear fuel enrichment facilities, the largest of which produces more than 80% of the total site enrichment capacity </w:t>
      </w:r>
      <w:r w:rsidR="00445F40" w:rsidRPr="00DD1B58">
        <w:rPr>
          <w:lang w:val="en-US"/>
        </w:rPr>
        <w:t>(</w:t>
      </w:r>
      <w:r w:rsidRPr="00DD1B58">
        <w:rPr>
          <w:lang w:val="en-US"/>
        </w:rPr>
        <w:t>see below for further details</w:t>
      </w:r>
      <w:r w:rsidR="00445F40" w:rsidRPr="00DD1B58">
        <w:rPr>
          <w:lang w:val="en-US"/>
        </w:rPr>
        <w:t>)</w:t>
      </w:r>
      <w:r w:rsidRPr="00DD1B58">
        <w:rPr>
          <w:lang w:val="en-US"/>
        </w:rPr>
        <w:t>;</w:t>
      </w:r>
    </w:p>
    <w:p w14:paraId="40B9B517" w14:textId="77777777" w:rsidR="00A82B78" w:rsidRPr="00DD1B58" w:rsidRDefault="00A82B78" w:rsidP="00843635">
      <w:pPr>
        <w:pStyle w:val="Bulletlist1"/>
        <w:rPr>
          <w:lang w:val="en-US"/>
        </w:rPr>
      </w:pPr>
      <w:r w:rsidRPr="00DD1B58">
        <w:rPr>
          <w:lang w:val="en-US"/>
        </w:rPr>
        <w:t>Cylinder storage rafts;</w:t>
      </w:r>
    </w:p>
    <w:p w14:paraId="2F651D75" w14:textId="77777777" w:rsidR="00A82B78" w:rsidRPr="00DD1B58" w:rsidRDefault="00A82B78" w:rsidP="00843635">
      <w:pPr>
        <w:pStyle w:val="Bulletlist1"/>
        <w:rPr>
          <w:lang w:val="en-US"/>
        </w:rPr>
      </w:pPr>
      <w:r w:rsidRPr="00DD1B58">
        <w:rPr>
          <w:lang w:val="en-US"/>
        </w:rPr>
        <w:t>Support facilities that include chemical laboratories, site utilities,</w:t>
      </w:r>
      <w:r w:rsidR="00445F40" w:rsidRPr="00DD1B58">
        <w:rPr>
          <w:lang w:val="en-US"/>
        </w:rPr>
        <w:t xml:space="preserve"> a</w:t>
      </w:r>
      <w:r w:rsidRPr="00DD1B58">
        <w:rPr>
          <w:lang w:val="en-US"/>
        </w:rPr>
        <w:t xml:space="preserve"> fire station and </w:t>
      </w:r>
      <w:r w:rsidR="00445F40" w:rsidRPr="00DD1B58">
        <w:rPr>
          <w:lang w:val="en-US"/>
        </w:rPr>
        <w:t xml:space="preserve">an </w:t>
      </w:r>
      <w:r w:rsidRPr="00DD1B58">
        <w:rPr>
          <w:lang w:val="en-US"/>
        </w:rPr>
        <w:t>emergency control centre;</w:t>
      </w:r>
      <w:r w:rsidR="00445F40" w:rsidRPr="00DD1B58">
        <w:rPr>
          <w:lang w:val="en-US"/>
        </w:rPr>
        <w:t xml:space="preserve"> and</w:t>
      </w:r>
    </w:p>
    <w:p w14:paraId="5527E3C6" w14:textId="77777777" w:rsidR="00A82B78" w:rsidRPr="00DD1B58" w:rsidRDefault="00A82B78" w:rsidP="00843635">
      <w:pPr>
        <w:pStyle w:val="Bulletlist1"/>
        <w:rPr>
          <w:lang w:val="en-US"/>
        </w:rPr>
      </w:pPr>
      <w:r w:rsidRPr="00DD1B58">
        <w:rPr>
          <w:lang w:val="en-US"/>
        </w:rPr>
        <w:t>Two tenant organisations:</w:t>
      </w:r>
    </w:p>
    <w:p w14:paraId="765A0DB3" w14:textId="6A7B7D73" w:rsidR="00A82B78" w:rsidRPr="00DD1B58" w:rsidRDefault="00A82B78" w:rsidP="00843635">
      <w:pPr>
        <w:pStyle w:val="Bulletlist2"/>
        <w:rPr>
          <w:lang w:val="en-US"/>
        </w:rPr>
      </w:pPr>
      <w:r w:rsidRPr="00DD1B58">
        <w:rPr>
          <w:lang w:val="en-US"/>
        </w:rPr>
        <w:t>Urenco ChemPlants (UCP), operating a Tails Management Facility</w:t>
      </w:r>
      <w:r w:rsidR="00821230" w:rsidRPr="00DD1B58">
        <w:rPr>
          <w:lang w:val="en-US"/>
        </w:rPr>
        <w:t xml:space="preserve"> (TMF)</w:t>
      </w:r>
      <w:r w:rsidRPr="00DD1B58">
        <w:rPr>
          <w:lang w:val="en-US"/>
        </w:rPr>
        <w:t xml:space="preserve">, converting depleted uranium hexafluoride to the lower hazard </w:t>
      </w:r>
      <w:r w:rsidR="000D6900" w:rsidRPr="00DD1B58">
        <w:rPr>
          <w:lang w:val="en-US"/>
        </w:rPr>
        <w:t>triuranium octaoxide (</w:t>
      </w:r>
      <w:r w:rsidRPr="00DD1B58">
        <w:rPr>
          <w:lang w:val="en-US"/>
        </w:rPr>
        <w:t>U</w:t>
      </w:r>
      <w:r w:rsidRPr="00DD1B58">
        <w:rPr>
          <w:vertAlign w:val="subscript"/>
          <w:lang w:val="en-US"/>
        </w:rPr>
        <w:t>3</w:t>
      </w:r>
      <w:r w:rsidRPr="00DD1B58">
        <w:rPr>
          <w:lang w:val="en-US"/>
        </w:rPr>
        <w:t>O</w:t>
      </w:r>
      <w:r w:rsidRPr="00DD1B58">
        <w:rPr>
          <w:vertAlign w:val="subscript"/>
          <w:lang w:val="en-US"/>
        </w:rPr>
        <w:t>8</w:t>
      </w:r>
      <w:r w:rsidR="000D6900" w:rsidRPr="00DD1B58">
        <w:rPr>
          <w:lang w:val="en-US"/>
        </w:rPr>
        <w:t xml:space="preserve">) </w:t>
      </w:r>
      <w:r w:rsidRPr="00DD1B58">
        <w:rPr>
          <w:lang w:val="en-US"/>
        </w:rPr>
        <w:t>material for long</w:t>
      </w:r>
      <w:r w:rsidR="00445F40" w:rsidRPr="00DD1B58">
        <w:rPr>
          <w:lang w:val="en-US"/>
        </w:rPr>
        <w:t>-</w:t>
      </w:r>
      <w:r w:rsidRPr="00DD1B58">
        <w:rPr>
          <w:lang w:val="en-US"/>
        </w:rPr>
        <w:t xml:space="preserve">term storage </w:t>
      </w:r>
      <w:r w:rsidR="00445F40" w:rsidRPr="00DD1B58">
        <w:rPr>
          <w:lang w:val="en-US"/>
        </w:rPr>
        <w:t>(</w:t>
      </w:r>
      <w:r w:rsidRPr="00DD1B58">
        <w:rPr>
          <w:lang w:val="en-US"/>
        </w:rPr>
        <w:t>see below for further details</w:t>
      </w:r>
      <w:r w:rsidR="00445F40" w:rsidRPr="00DD1B58">
        <w:rPr>
          <w:lang w:val="en-US"/>
        </w:rPr>
        <w:t>); and</w:t>
      </w:r>
    </w:p>
    <w:p w14:paraId="77CC8602" w14:textId="77777777" w:rsidR="00A82B78" w:rsidRPr="00DD1B58" w:rsidRDefault="00A82B78" w:rsidP="00843635">
      <w:pPr>
        <w:pStyle w:val="Bulletlist2"/>
        <w:rPr>
          <w:lang w:val="en-US"/>
        </w:rPr>
      </w:pPr>
      <w:r w:rsidRPr="00DD1B58">
        <w:rPr>
          <w:lang w:val="en-US"/>
        </w:rPr>
        <w:t xml:space="preserve">Urenco Nuclear Stewardship (UNS), </w:t>
      </w:r>
      <w:r w:rsidR="00445F40" w:rsidRPr="00DD1B58">
        <w:rPr>
          <w:lang w:val="en-US"/>
        </w:rPr>
        <w:t xml:space="preserve">which </w:t>
      </w:r>
      <w:r w:rsidRPr="00DD1B58">
        <w:rPr>
          <w:lang w:val="en-US"/>
        </w:rPr>
        <w:t>receive</w:t>
      </w:r>
      <w:r w:rsidR="00445F40" w:rsidRPr="00DD1B58">
        <w:rPr>
          <w:lang w:val="en-US"/>
        </w:rPr>
        <w:t>s</w:t>
      </w:r>
      <w:r w:rsidRPr="00DD1B58">
        <w:rPr>
          <w:lang w:val="en-US"/>
        </w:rPr>
        <w:t xml:space="preserve"> and store</w:t>
      </w:r>
      <w:r w:rsidR="00445F40" w:rsidRPr="00DD1B58">
        <w:rPr>
          <w:lang w:val="en-US"/>
        </w:rPr>
        <w:t>s</w:t>
      </w:r>
      <w:r w:rsidRPr="00DD1B58">
        <w:rPr>
          <w:lang w:val="en-US"/>
        </w:rPr>
        <w:t xml:space="preserve"> uranium residues and</w:t>
      </w:r>
      <w:r w:rsidR="00445F40" w:rsidRPr="00DD1B58">
        <w:rPr>
          <w:lang w:val="en-US"/>
        </w:rPr>
        <w:t xml:space="preserve"> </w:t>
      </w:r>
      <w:r w:rsidRPr="00DD1B58">
        <w:rPr>
          <w:lang w:val="en-US"/>
        </w:rPr>
        <w:t>provide</w:t>
      </w:r>
      <w:r w:rsidR="00445F40" w:rsidRPr="00DD1B58">
        <w:rPr>
          <w:lang w:val="en-US"/>
        </w:rPr>
        <w:t>s</w:t>
      </w:r>
      <w:r w:rsidRPr="00DD1B58">
        <w:rPr>
          <w:lang w:val="en-US"/>
        </w:rPr>
        <w:t xml:space="preserve"> decommissioning and solid waste processing and storage services.</w:t>
      </w:r>
    </w:p>
    <w:p w14:paraId="7C3DEFD6" w14:textId="7BCECD63" w:rsidR="00A82B78" w:rsidRPr="00DD1B58" w:rsidRDefault="00A82B78" w:rsidP="00A82B78">
      <w:pPr>
        <w:rPr>
          <w:lang w:val="en-US"/>
        </w:rPr>
      </w:pPr>
      <w:r w:rsidRPr="00DD1B58">
        <w:rPr>
          <w:lang w:val="en-US"/>
        </w:rPr>
        <w:t>Natural uranium hexafluoride (UF</w:t>
      </w:r>
      <w:r w:rsidRPr="00DD1B58">
        <w:rPr>
          <w:vertAlign w:val="subscript"/>
          <w:lang w:val="en-US"/>
        </w:rPr>
        <w:t>6</w:t>
      </w:r>
      <w:r w:rsidRPr="00DD1B58">
        <w:rPr>
          <w:lang w:val="en-US"/>
        </w:rPr>
        <w:t xml:space="preserve">) containing approximately 0.7% of the isotope </w:t>
      </w:r>
      <w:r w:rsidRPr="00DD1B58">
        <w:rPr>
          <w:vertAlign w:val="superscript"/>
          <w:lang w:val="en-US"/>
        </w:rPr>
        <w:t>235</w:t>
      </w:r>
      <w:r w:rsidRPr="00DD1B58">
        <w:rPr>
          <w:lang w:val="en-US"/>
        </w:rPr>
        <w:t xml:space="preserve">U, the remainder being the </w:t>
      </w:r>
      <w:r w:rsidRPr="00DD1B58">
        <w:rPr>
          <w:vertAlign w:val="superscript"/>
          <w:lang w:val="en-US"/>
        </w:rPr>
        <w:t>238</w:t>
      </w:r>
      <w:r w:rsidRPr="00DD1B58">
        <w:rPr>
          <w:lang w:val="en-US"/>
        </w:rPr>
        <w:t xml:space="preserve">U isotope, is transported in solid form to and from site in cylinders that are internationally approved for transport. </w:t>
      </w:r>
      <w:r w:rsidR="00FC4C2F" w:rsidRPr="00DD1B58">
        <w:rPr>
          <w:lang w:val="en-US"/>
        </w:rPr>
        <w:t>T</w:t>
      </w:r>
      <w:r w:rsidRPr="00DD1B58">
        <w:rPr>
          <w:lang w:val="en-US"/>
        </w:rPr>
        <w:t xml:space="preserve">he </w:t>
      </w:r>
      <w:r w:rsidRPr="00DD1B58">
        <w:rPr>
          <w:vertAlign w:val="superscript"/>
          <w:lang w:val="en-US"/>
        </w:rPr>
        <w:t>235</w:t>
      </w:r>
      <w:r w:rsidRPr="00DD1B58">
        <w:rPr>
          <w:lang w:val="en-US"/>
        </w:rPr>
        <w:t>U isotope is used in nuclear power generation. The UF</w:t>
      </w:r>
      <w:r w:rsidRPr="00DD1B58">
        <w:rPr>
          <w:vertAlign w:val="subscript"/>
          <w:lang w:val="en-US"/>
        </w:rPr>
        <w:t>6</w:t>
      </w:r>
      <w:r w:rsidRPr="00DD1B58">
        <w:rPr>
          <w:lang w:val="en-US"/>
        </w:rPr>
        <w:t xml:space="preserve"> is weighed upon arrival for uranium accountancy purposes and then stored pending enrichment. Enrichment is carried out using gaseous centrifuge technology. The UF</w:t>
      </w:r>
      <w:r w:rsidRPr="00DD1B58">
        <w:rPr>
          <w:vertAlign w:val="subscript"/>
          <w:lang w:val="en-US"/>
        </w:rPr>
        <w:t>6</w:t>
      </w:r>
      <w:r w:rsidRPr="00DD1B58">
        <w:rPr>
          <w:lang w:val="en-US"/>
        </w:rPr>
        <w:t xml:space="preserve"> is heated to approximately 40</w:t>
      </w:r>
      <w:r w:rsidR="00FC4C2F" w:rsidRPr="00DD1B58">
        <w:rPr>
          <w:lang w:val="en-US"/>
        </w:rPr>
        <w:t>–</w:t>
      </w:r>
      <w:r w:rsidRPr="00DD1B58">
        <w:rPr>
          <w:lang w:val="en-US"/>
        </w:rPr>
        <w:t>60°C</w:t>
      </w:r>
      <w:r w:rsidR="00FC4C2F" w:rsidRPr="00DD1B58">
        <w:rPr>
          <w:lang w:val="en-US"/>
        </w:rPr>
        <w:t>,</w:t>
      </w:r>
      <w:r w:rsidRPr="00DD1B58">
        <w:rPr>
          <w:lang w:val="en-US"/>
        </w:rPr>
        <w:t xml:space="preserve"> which turns the solid into a gas. The gaseous UF</w:t>
      </w:r>
      <w:r w:rsidRPr="00DD1B58">
        <w:rPr>
          <w:vertAlign w:val="subscript"/>
          <w:lang w:val="en-US"/>
        </w:rPr>
        <w:t>6</w:t>
      </w:r>
      <w:r w:rsidRPr="00DD1B58">
        <w:rPr>
          <w:lang w:val="en-US"/>
        </w:rPr>
        <w:t xml:space="preserve"> flows through a series of centrifuges, known as a cascade, which progressively increases (enriches) the concentration of </w:t>
      </w:r>
      <w:r w:rsidRPr="00DD1B58">
        <w:rPr>
          <w:vertAlign w:val="superscript"/>
          <w:lang w:val="en-US"/>
        </w:rPr>
        <w:t>235</w:t>
      </w:r>
      <w:r w:rsidRPr="00DD1B58">
        <w:rPr>
          <w:lang w:val="en-US"/>
        </w:rPr>
        <w:t>U. The enriched product gas stream is removed from the centrifuges into UF</w:t>
      </w:r>
      <w:r w:rsidRPr="00DD1B58">
        <w:rPr>
          <w:vertAlign w:val="subscript"/>
          <w:lang w:val="en-US"/>
        </w:rPr>
        <w:t>6</w:t>
      </w:r>
      <w:r w:rsidRPr="00DD1B58">
        <w:rPr>
          <w:lang w:val="en-US"/>
        </w:rPr>
        <w:t xml:space="preserve"> cylinders and cooled to a solid. Enrichment is typically between 4-5% </w:t>
      </w:r>
      <w:r w:rsidRPr="00DD1B58">
        <w:rPr>
          <w:vertAlign w:val="superscript"/>
          <w:lang w:val="en-US"/>
        </w:rPr>
        <w:t>235</w:t>
      </w:r>
      <w:r w:rsidRPr="00DD1B58">
        <w:rPr>
          <w:lang w:val="en-US"/>
        </w:rPr>
        <w:t>U. This product material is sampled, weighed and</w:t>
      </w:r>
      <w:r w:rsidR="00644753" w:rsidRPr="00DD1B58">
        <w:rPr>
          <w:lang w:val="en-US"/>
        </w:rPr>
        <w:t>,</w:t>
      </w:r>
      <w:r w:rsidRPr="00DD1B58">
        <w:rPr>
          <w:lang w:val="en-US"/>
        </w:rPr>
        <w:t xml:space="preserve"> if required</w:t>
      </w:r>
      <w:r w:rsidR="00644753" w:rsidRPr="00DD1B58">
        <w:rPr>
          <w:lang w:val="en-US"/>
        </w:rPr>
        <w:t>,</w:t>
      </w:r>
      <w:r w:rsidRPr="00DD1B58">
        <w:rPr>
          <w:lang w:val="en-US"/>
        </w:rPr>
        <w:t xml:space="preserve"> blended and then stored on site pending transport to customers worldwide. The centrifuge process results in a gas stream </w:t>
      </w:r>
      <w:r w:rsidR="002A61B6" w:rsidRPr="00DD1B58">
        <w:rPr>
          <w:lang w:val="en-US"/>
        </w:rPr>
        <w:t>with</w:t>
      </w:r>
      <w:r w:rsidRPr="00DD1B58">
        <w:rPr>
          <w:lang w:val="en-US"/>
        </w:rPr>
        <w:t xml:space="preserve"> a lower (depleted) concentration of </w:t>
      </w:r>
      <w:r w:rsidRPr="00DD1B58">
        <w:rPr>
          <w:vertAlign w:val="superscript"/>
          <w:lang w:val="en-US"/>
        </w:rPr>
        <w:t>235</w:t>
      </w:r>
      <w:r w:rsidRPr="00DD1B58">
        <w:rPr>
          <w:lang w:val="en-US"/>
        </w:rPr>
        <w:t>U, typically 0.3%</w:t>
      </w:r>
      <w:r w:rsidR="002A61B6" w:rsidRPr="00DD1B58">
        <w:rPr>
          <w:lang w:val="en-US"/>
        </w:rPr>
        <w:t>,</w:t>
      </w:r>
      <w:r w:rsidRPr="00DD1B58">
        <w:rPr>
          <w:lang w:val="en-US"/>
        </w:rPr>
        <w:t xml:space="preserve"> referred to as tails. This gas stream is also removed from the centrifuges into UF</w:t>
      </w:r>
      <w:r w:rsidRPr="00DD1B58">
        <w:rPr>
          <w:vertAlign w:val="subscript"/>
          <w:lang w:val="en-US"/>
        </w:rPr>
        <w:t>6</w:t>
      </w:r>
      <w:r w:rsidRPr="00DD1B58">
        <w:rPr>
          <w:lang w:val="en-US"/>
        </w:rPr>
        <w:t xml:space="preserve"> cylinders and cooled to a solid. The tails material is stored on site pending further enrichment, product blending or deconversion in the TMF. </w:t>
      </w:r>
    </w:p>
    <w:p w14:paraId="6F26E158" w14:textId="574B2860" w:rsidR="00A82B78" w:rsidRPr="00DD1B58" w:rsidRDefault="00A82B78" w:rsidP="00A82B78">
      <w:pPr>
        <w:rPr>
          <w:lang w:val="en-US"/>
        </w:rPr>
      </w:pPr>
      <w:r w:rsidRPr="00DD1B58">
        <w:rPr>
          <w:lang w:val="en-US"/>
        </w:rPr>
        <w:t xml:space="preserve">The </w:t>
      </w:r>
      <w:r w:rsidR="00821230" w:rsidRPr="00DD1B58">
        <w:rPr>
          <w:lang w:val="en-US"/>
        </w:rPr>
        <w:t>TMF</w:t>
      </w:r>
      <w:r w:rsidRPr="00DD1B58">
        <w:rPr>
          <w:lang w:val="en-US"/>
        </w:rPr>
        <w:t xml:space="preserve"> receives tails from Urenco’s European enrichment sites in </w:t>
      </w:r>
      <w:r w:rsidR="000D6900" w:rsidRPr="00DD1B58">
        <w:rPr>
          <w:lang w:val="en-US"/>
        </w:rPr>
        <w:t xml:space="preserve">the </w:t>
      </w:r>
      <w:r w:rsidRPr="00DD1B58">
        <w:rPr>
          <w:lang w:val="en-US"/>
        </w:rPr>
        <w:t>Netherlands (UNL) and Germany (UD). The tails cylinders are heated to turn the UF</w:t>
      </w:r>
      <w:r w:rsidRPr="00DD1B58">
        <w:rPr>
          <w:vertAlign w:val="subscript"/>
          <w:lang w:val="en-US"/>
        </w:rPr>
        <w:t>6</w:t>
      </w:r>
      <w:r w:rsidRPr="00DD1B58">
        <w:rPr>
          <w:lang w:val="en-US"/>
        </w:rPr>
        <w:t xml:space="preserve"> into a gas. The gas enters an electrically heated kiln where it is reacted with steam and hydrogen to produce U</w:t>
      </w:r>
      <w:r w:rsidRPr="00DD1B58">
        <w:rPr>
          <w:vertAlign w:val="subscript"/>
          <w:lang w:val="en-US"/>
        </w:rPr>
        <w:t>3</w:t>
      </w:r>
      <w:r w:rsidRPr="00DD1B58">
        <w:rPr>
          <w:lang w:val="en-US"/>
        </w:rPr>
        <w:t>O</w:t>
      </w:r>
      <w:r w:rsidRPr="00DD1B58">
        <w:rPr>
          <w:vertAlign w:val="subscript"/>
          <w:lang w:val="en-US"/>
        </w:rPr>
        <w:t>8</w:t>
      </w:r>
      <w:r w:rsidRPr="00DD1B58">
        <w:rPr>
          <w:lang w:val="en-US"/>
        </w:rPr>
        <w:t xml:space="preserve"> and hydrogen fluoride (HF). Both materials are cooled, with the U</w:t>
      </w:r>
      <w:r w:rsidRPr="00DD1B58">
        <w:rPr>
          <w:vertAlign w:val="subscript"/>
          <w:lang w:val="en-US"/>
        </w:rPr>
        <w:t>3</w:t>
      </w:r>
      <w:r w:rsidRPr="00DD1B58">
        <w:rPr>
          <w:lang w:val="en-US"/>
        </w:rPr>
        <w:t>O</w:t>
      </w:r>
      <w:r w:rsidRPr="00DD1B58">
        <w:rPr>
          <w:vertAlign w:val="subscript"/>
          <w:lang w:val="en-US"/>
        </w:rPr>
        <w:t>8</w:t>
      </w:r>
      <w:r w:rsidRPr="00DD1B58">
        <w:rPr>
          <w:lang w:val="en-US"/>
        </w:rPr>
        <w:t xml:space="preserve"> being stored on site for UUK tails or returned to UNL and UD. The HF is transported in approved road tankers to customers in the chemical processing industry. UCP also carries out ancillary processes such as washing and recertification of UF</w:t>
      </w:r>
      <w:r w:rsidRPr="00DD1B58">
        <w:rPr>
          <w:vertAlign w:val="subscript"/>
          <w:lang w:val="en-US"/>
        </w:rPr>
        <w:t>6</w:t>
      </w:r>
      <w:r w:rsidRPr="00DD1B58">
        <w:rPr>
          <w:lang w:val="en-US"/>
        </w:rPr>
        <w:t xml:space="preserve"> cylinders, decontamination and maintenance of plant equipment and recovery of uranic residues from these processes.</w:t>
      </w:r>
    </w:p>
    <w:p w14:paraId="419FEFDE" w14:textId="4782C7D8" w:rsidR="00A82B78" w:rsidRPr="00DD1B58" w:rsidRDefault="00A82B78" w:rsidP="00A82B78">
      <w:pPr>
        <w:rPr>
          <w:lang w:val="en-US"/>
        </w:rPr>
      </w:pPr>
      <w:r w:rsidRPr="00DD1B58">
        <w:rPr>
          <w:lang w:val="en-US"/>
        </w:rPr>
        <w:lastRenderedPageBreak/>
        <w:t>Installations within each of the three businesses operate with shared resources such as electrical power, gas supplies and firefighting infrastructure.</w:t>
      </w:r>
      <w:r w:rsidR="00940D2A" w:rsidRPr="00DD1B58">
        <w:rPr>
          <w:lang w:val="en-US"/>
        </w:rPr>
        <w:t xml:space="preserve"> </w:t>
      </w:r>
      <w:r w:rsidRPr="00DD1B58">
        <w:rPr>
          <w:lang w:val="en-US"/>
        </w:rPr>
        <w:t>Emergency management and on-site response for all facilities is provided by UUK, including coordination with local off-site resources with pre-determined response plans involving local Fire and Rescue Service and relevant local authorities for mitigating nuclear safety consequences in line with requirements of the Radiation (Emergency Preparedness and Public Information) Regulations 2019 (REPPIR).</w:t>
      </w:r>
    </w:p>
    <w:p w14:paraId="403D045B" w14:textId="089547E7" w:rsidR="0064781E" w:rsidRPr="00DD1B58" w:rsidRDefault="00A82B78" w:rsidP="0064781E">
      <w:pPr>
        <w:rPr>
          <w:lang w:val="en-US"/>
        </w:rPr>
      </w:pPr>
      <w:r w:rsidRPr="00DD1B58">
        <w:rPr>
          <w:lang w:val="en-US"/>
        </w:rPr>
        <w:t>UUK and UNS</w:t>
      </w:r>
      <w:r w:rsidR="00B807D4" w:rsidRPr="00DD1B58">
        <w:rPr>
          <w:lang w:val="en-US"/>
        </w:rPr>
        <w:t xml:space="preserve"> </w:t>
      </w:r>
      <w:r w:rsidR="00352FD0" w:rsidRPr="00DD1B58">
        <w:rPr>
          <w:lang w:val="en-US"/>
        </w:rPr>
        <w:t>safety cases include</w:t>
      </w:r>
      <w:r w:rsidR="00F75ED9" w:rsidRPr="00DD1B58">
        <w:rPr>
          <w:lang w:val="en-US"/>
        </w:rPr>
        <w:t xml:space="preserve"> </w:t>
      </w:r>
      <w:r w:rsidR="00352FD0" w:rsidRPr="00DD1B58">
        <w:rPr>
          <w:lang w:val="en-US"/>
        </w:rPr>
        <w:t>safety analys</w:t>
      </w:r>
      <w:r w:rsidR="0064781E" w:rsidRPr="00DD1B58">
        <w:rPr>
          <w:lang w:val="en-US"/>
        </w:rPr>
        <w:t>e</w:t>
      </w:r>
      <w:r w:rsidR="00352FD0" w:rsidRPr="00DD1B58">
        <w:rPr>
          <w:lang w:val="en-US"/>
        </w:rPr>
        <w:t>s carried out to identify all sources of radiological exposures and to evaluate radiation doses or hazardous material exposure that could be received by workers and the public, as well as potential effects on the environment</w:t>
      </w:r>
      <w:r w:rsidR="0064781E" w:rsidRPr="00DD1B58">
        <w:rPr>
          <w:lang w:val="en-US"/>
        </w:rPr>
        <w:t>. This includes consideration of fire events (design basis fire accidents) from which the engineering design and fire withstand is established</w:t>
      </w:r>
      <w:r w:rsidR="000148A1" w:rsidRPr="00DD1B58">
        <w:rPr>
          <w:lang w:val="en-US"/>
        </w:rPr>
        <w:t>, the</w:t>
      </w:r>
      <w:r w:rsidR="0064781E" w:rsidRPr="00DD1B58">
        <w:rPr>
          <w:lang w:val="en-US"/>
        </w:rPr>
        <w:t xml:space="preserve"> effectiveness of the safety systems and safety related items or systems </w:t>
      </w:r>
      <w:r w:rsidR="000148A1" w:rsidRPr="00DD1B58">
        <w:rPr>
          <w:lang w:val="en-US"/>
        </w:rPr>
        <w:t>is</w:t>
      </w:r>
      <w:r w:rsidR="0064781E" w:rsidRPr="00DD1B58">
        <w:rPr>
          <w:lang w:val="en-US"/>
        </w:rPr>
        <w:t xml:space="preserve"> demonstrated, and the requirements for emergency response are established.</w:t>
      </w:r>
    </w:p>
    <w:p w14:paraId="02536724" w14:textId="3D98070C" w:rsidR="00695051" w:rsidRPr="00DD1B58" w:rsidRDefault="0064781E" w:rsidP="0064781E">
      <w:pPr>
        <w:rPr>
          <w:lang w:val="en-US"/>
        </w:rPr>
      </w:pPr>
      <w:r w:rsidRPr="00DD1B58">
        <w:rPr>
          <w:lang w:val="en-US"/>
        </w:rPr>
        <w:t>Assessments undertaken by UUK and UNS</w:t>
      </w:r>
      <w:r w:rsidR="00B807D4" w:rsidRPr="00DD1B58">
        <w:rPr>
          <w:lang w:val="en-US"/>
        </w:rPr>
        <w:t xml:space="preserve"> </w:t>
      </w:r>
      <w:r w:rsidRPr="00DD1B58">
        <w:rPr>
          <w:lang w:val="en-US"/>
        </w:rPr>
        <w:t xml:space="preserve">conclude that the </w:t>
      </w:r>
      <w:r w:rsidR="00B807D4" w:rsidRPr="00DD1B58">
        <w:rPr>
          <w:lang w:val="en-US"/>
        </w:rPr>
        <w:t>installations</w:t>
      </w:r>
      <w:r w:rsidR="00F75ED9" w:rsidRPr="00DD1B58">
        <w:rPr>
          <w:lang w:val="en-US"/>
        </w:rPr>
        <w:t xml:space="preserve"> </w:t>
      </w:r>
      <w:r w:rsidR="00A82B78" w:rsidRPr="00DD1B58">
        <w:rPr>
          <w:lang w:val="en-US"/>
        </w:rPr>
        <w:t>present a low nuclear fire risk due to</w:t>
      </w:r>
      <w:r w:rsidRPr="00DD1B58">
        <w:rPr>
          <w:lang w:val="en-US"/>
        </w:rPr>
        <w:t xml:space="preserve"> the</w:t>
      </w:r>
      <w:r w:rsidR="00A82B78" w:rsidRPr="00DD1B58">
        <w:rPr>
          <w:lang w:val="en-US"/>
        </w:rPr>
        <w:t xml:space="preserve"> inherent properties of </w:t>
      </w:r>
      <w:r w:rsidR="00CC7B1C" w:rsidRPr="00DD1B58">
        <w:rPr>
          <w:lang w:val="en-US"/>
        </w:rPr>
        <w:t xml:space="preserve">the </w:t>
      </w:r>
      <w:r w:rsidR="00A82B78" w:rsidRPr="00DD1B58">
        <w:rPr>
          <w:lang w:val="en-US"/>
        </w:rPr>
        <w:t>nuclear material</w:t>
      </w:r>
      <w:r w:rsidR="00CC7B1C" w:rsidRPr="00DD1B58">
        <w:rPr>
          <w:lang w:val="en-US"/>
        </w:rPr>
        <w:t>s held</w:t>
      </w:r>
      <w:r w:rsidR="00A82B78" w:rsidRPr="00DD1B58">
        <w:rPr>
          <w:lang w:val="en-US"/>
        </w:rPr>
        <w:t xml:space="preserve"> and </w:t>
      </w:r>
      <w:r w:rsidR="00CC7B1C" w:rsidRPr="00DD1B58">
        <w:rPr>
          <w:lang w:val="en-US"/>
        </w:rPr>
        <w:t xml:space="preserve">their </w:t>
      </w:r>
      <w:r w:rsidR="00A82B78" w:rsidRPr="00DD1B58">
        <w:rPr>
          <w:lang w:val="en-US"/>
        </w:rPr>
        <w:t>treatment during operational processes. The basis of safety for the UCP operated facility includes detailed assessment</w:t>
      </w:r>
      <w:r w:rsidR="003179C6" w:rsidRPr="00DD1B58">
        <w:rPr>
          <w:lang w:val="en-US"/>
        </w:rPr>
        <w:t>s</w:t>
      </w:r>
      <w:r w:rsidR="00A82B78" w:rsidRPr="00DD1B58">
        <w:rPr>
          <w:lang w:val="en-US"/>
        </w:rPr>
        <w:t xml:space="preserve"> for risk of explosion from natural gas and deflagration of hydrogen</w:t>
      </w:r>
      <w:r w:rsidR="003179C6" w:rsidRPr="00DD1B58">
        <w:rPr>
          <w:lang w:val="en-US"/>
        </w:rPr>
        <w:t>,</w:t>
      </w:r>
      <w:r w:rsidR="00A82B78" w:rsidRPr="00DD1B58">
        <w:rPr>
          <w:lang w:val="en-US"/>
        </w:rPr>
        <w:t xml:space="preserve"> with</w:t>
      </w:r>
      <w:r w:rsidR="00B807D4" w:rsidRPr="00DD1B58">
        <w:rPr>
          <w:lang w:val="en-US"/>
        </w:rPr>
        <w:t xml:space="preserve"> </w:t>
      </w:r>
      <w:r w:rsidR="00A82B78" w:rsidRPr="00DD1B58">
        <w:rPr>
          <w:lang w:val="en-US"/>
        </w:rPr>
        <w:t xml:space="preserve">risks concluded to be </w:t>
      </w:r>
      <w:r w:rsidR="003179C6" w:rsidRPr="00DD1B58">
        <w:rPr>
          <w:lang w:val="en-US"/>
        </w:rPr>
        <w:t xml:space="preserve">broadly acceptable </w:t>
      </w:r>
      <w:r w:rsidR="00A82B78" w:rsidRPr="00DD1B58">
        <w:rPr>
          <w:lang w:val="en-US"/>
        </w:rPr>
        <w:t xml:space="preserve">for most areas and </w:t>
      </w:r>
      <w:r w:rsidR="003179C6" w:rsidRPr="00DD1B58">
        <w:rPr>
          <w:lang w:val="en-US"/>
        </w:rPr>
        <w:t xml:space="preserve">as low as reasonably practicable </w:t>
      </w:r>
      <w:r w:rsidR="00A82B78" w:rsidRPr="00DD1B58">
        <w:rPr>
          <w:lang w:val="en-US"/>
        </w:rPr>
        <w:t>(ALARP) for all other activities. No pyrophoric materials are used or stored within any of the facilities.</w:t>
      </w:r>
      <w:r w:rsidRPr="00DD1B58">
        <w:rPr>
          <w:lang w:val="en-US"/>
        </w:rPr>
        <w:t xml:space="preserve"> </w:t>
      </w:r>
    </w:p>
    <w:p w14:paraId="56A3995D" w14:textId="6EA0439D" w:rsidR="00EF7BD8" w:rsidRPr="00DD1B58" w:rsidRDefault="00CC7B1C" w:rsidP="00A82B78">
      <w:pPr>
        <w:rPr>
          <w:lang w:val="en-US"/>
        </w:rPr>
      </w:pPr>
      <w:r w:rsidRPr="00DD1B58">
        <w:rPr>
          <w:lang w:val="en-US"/>
        </w:rPr>
        <w:t>In addition to nuclear fire safety, the</w:t>
      </w:r>
      <w:r w:rsidR="000148A1" w:rsidRPr="00DD1B58">
        <w:rPr>
          <w:lang w:val="en-US"/>
        </w:rPr>
        <w:t xml:space="preserve"> </w:t>
      </w:r>
      <w:r w:rsidRPr="00DD1B58">
        <w:rPr>
          <w:lang w:val="en-US"/>
        </w:rPr>
        <w:t>l</w:t>
      </w:r>
      <w:r w:rsidR="000148A1" w:rsidRPr="00DD1B58">
        <w:rPr>
          <w:lang w:val="en-US"/>
        </w:rPr>
        <w:t>icensee undertakes c</w:t>
      </w:r>
      <w:r w:rsidR="00A82B78" w:rsidRPr="00DD1B58">
        <w:rPr>
          <w:lang w:val="en-US"/>
        </w:rPr>
        <w:t xml:space="preserve">onventional fire safety assessments </w:t>
      </w:r>
      <w:r w:rsidR="00027DBA" w:rsidRPr="00DD1B58">
        <w:rPr>
          <w:lang w:val="en-US"/>
        </w:rPr>
        <w:t>for life protection, which</w:t>
      </w:r>
      <w:r w:rsidR="00A82B78" w:rsidRPr="00DD1B58">
        <w:rPr>
          <w:lang w:val="en-US"/>
        </w:rPr>
        <w:t xml:space="preserve"> consider the design of the individual areas of the facilities in terms of structural fire safety, means of escape, fire brigade access and the means for raising an alarm in case of fire. As the conventional and nuclear fire safety assessment reports are complementary, the conventional fire safety assessment findings </w:t>
      </w:r>
      <w:r w:rsidR="00450741" w:rsidRPr="00DD1B58">
        <w:rPr>
          <w:lang w:val="en-US"/>
        </w:rPr>
        <w:t>are</w:t>
      </w:r>
      <w:r w:rsidR="00A82B78" w:rsidRPr="00DD1B58">
        <w:rPr>
          <w:lang w:val="en-US"/>
        </w:rPr>
        <w:t xml:space="preserve"> referenced</w:t>
      </w:r>
      <w:r w:rsidR="00450741" w:rsidRPr="00DD1B58">
        <w:rPr>
          <w:lang w:val="en-US"/>
        </w:rPr>
        <w:t xml:space="preserve"> in the NAR</w:t>
      </w:r>
      <w:r w:rsidR="00A82B78" w:rsidRPr="00DD1B58">
        <w:rPr>
          <w:lang w:val="en-US"/>
        </w:rPr>
        <w:t xml:space="preserve"> where appropriate</w:t>
      </w:r>
      <w:r w:rsidR="00450741" w:rsidRPr="00DD1B58">
        <w:rPr>
          <w:lang w:val="en-US"/>
        </w:rPr>
        <w:t xml:space="preserve">. The licensee’s assessment </w:t>
      </w:r>
      <w:r w:rsidR="009D21FF" w:rsidRPr="00DD1B58">
        <w:rPr>
          <w:lang w:val="en-US"/>
        </w:rPr>
        <w:t xml:space="preserve">also </w:t>
      </w:r>
      <w:r w:rsidR="00450741" w:rsidRPr="00DD1B58">
        <w:rPr>
          <w:lang w:val="en-US"/>
        </w:rPr>
        <w:t>report</w:t>
      </w:r>
      <w:r w:rsidR="007D066E" w:rsidRPr="00DD1B58">
        <w:rPr>
          <w:lang w:val="en-US"/>
        </w:rPr>
        <w:t>s</w:t>
      </w:r>
      <w:r w:rsidR="00450741" w:rsidRPr="00DD1B58">
        <w:rPr>
          <w:lang w:val="en-US"/>
        </w:rPr>
        <w:t xml:space="preserve"> that there</w:t>
      </w:r>
      <w:r w:rsidR="00695051" w:rsidRPr="00DD1B58">
        <w:rPr>
          <w:lang w:val="en-US"/>
        </w:rPr>
        <w:t xml:space="preserve"> are no facilities in the direct vicinity of the site that may affect the nuclear fire safety of Capenhurst.</w:t>
      </w:r>
    </w:p>
    <w:p w14:paraId="66D566FD" w14:textId="77777777" w:rsidR="00A346F0" w:rsidRPr="00DD1B58" w:rsidRDefault="0029454A" w:rsidP="00A346F0">
      <w:pPr>
        <w:pStyle w:val="Heading4"/>
        <w:numPr>
          <w:ilvl w:val="6"/>
          <w:numId w:val="3"/>
        </w:numPr>
        <w:rPr>
          <w:lang w:val="en-US"/>
        </w:rPr>
      </w:pPr>
      <w:r w:rsidRPr="00DD1B58">
        <w:rPr>
          <w:lang w:val="en-US"/>
        </w:rPr>
        <w:t>Springfields Fuels Ltd</w:t>
      </w:r>
    </w:p>
    <w:p w14:paraId="23DCE24F" w14:textId="77777777" w:rsidR="006F541C" w:rsidRPr="00DD1B58" w:rsidRDefault="006F541C" w:rsidP="006F541C">
      <w:pPr>
        <w:rPr>
          <w:b/>
          <w:bCs/>
          <w:lang w:val="en-US"/>
        </w:rPr>
      </w:pPr>
      <w:r w:rsidRPr="00DD1B58">
        <w:rPr>
          <w:b/>
          <w:bCs/>
          <w:lang w:val="en-US"/>
        </w:rPr>
        <w:t>Description of the site</w:t>
      </w:r>
    </w:p>
    <w:p w14:paraId="6BE2C7D7" w14:textId="587BE300" w:rsidR="007E2A07" w:rsidRPr="00DD1B58" w:rsidRDefault="00215FE3" w:rsidP="00066D4F">
      <w:pPr>
        <w:rPr>
          <w:color w:val="000000" w:themeColor="text2"/>
          <w:lang w:val="en-US" w:eastAsia="en-GB" w:bidi="ar-SA"/>
        </w:rPr>
      </w:pPr>
      <w:r w:rsidRPr="00DD1B58">
        <w:rPr>
          <w:lang w:val="en-US"/>
        </w:rPr>
        <w:t>The Springfields site is situated near the outskirts of Preston, Lancashire</w:t>
      </w:r>
      <w:r w:rsidR="00A00A6A" w:rsidRPr="00DD1B58">
        <w:rPr>
          <w:lang w:val="en-US"/>
        </w:rPr>
        <w:t xml:space="preserve">. </w:t>
      </w:r>
      <w:r w:rsidR="00066D4F" w:rsidRPr="00DD1B58">
        <w:rPr>
          <w:color w:val="000000" w:themeColor="text2"/>
          <w:lang w:val="en-US" w:eastAsia="en-GB" w:bidi="ar-SA"/>
        </w:rPr>
        <w:t xml:space="preserve">The site has been operational since 1946 and covers an area of </w:t>
      </w:r>
      <w:r w:rsidR="00E676D2" w:rsidRPr="00DD1B58">
        <w:rPr>
          <w:color w:val="000000" w:themeColor="text2"/>
          <w:lang w:val="en-US" w:eastAsia="en-GB" w:bidi="ar-SA"/>
        </w:rPr>
        <w:t xml:space="preserve">approximately </w:t>
      </w:r>
      <w:r w:rsidR="00066D4F" w:rsidRPr="00DD1B58">
        <w:rPr>
          <w:color w:val="000000" w:themeColor="text2"/>
          <w:lang w:val="en-US" w:eastAsia="en-GB" w:bidi="ar-SA"/>
        </w:rPr>
        <w:t xml:space="preserve">83 </w:t>
      </w:r>
      <w:r w:rsidR="00E676D2" w:rsidRPr="00DD1B58">
        <w:rPr>
          <w:color w:val="000000" w:themeColor="text2"/>
          <w:lang w:val="en-US" w:eastAsia="en-GB" w:bidi="ar-SA"/>
        </w:rPr>
        <w:t>h</w:t>
      </w:r>
      <w:r w:rsidR="00066D4F" w:rsidRPr="00DD1B58">
        <w:rPr>
          <w:color w:val="000000" w:themeColor="text2"/>
          <w:lang w:val="en-US" w:eastAsia="en-GB" w:bidi="ar-SA"/>
        </w:rPr>
        <w:t xml:space="preserve">ectares (205 acres). </w:t>
      </w:r>
      <w:r w:rsidR="003A626C" w:rsidRPr="00DD1B58">
        <w:rPr>
          <w:color w:val="000000" w:themeColor="text2"/>
          <w:lang w:val="en-US" w:eastAsia="en-GB" w:bidi="ar-SA"/>
        </w:rPr>
        <w:t xml:space="preserve">In addition to </w:t>
      </w:r>
      <w:r w:rsidR="0054275E" w:rsidRPr="00DD1B58">
        <w:rPr>
          <w:color w:val="000000" w:themeColor="text2"/>
          <w:lang w:val="en-US" w:eastAsia="en-GB" w:bidi="ar-SA"/>
        </w:rPr>
        <w:t>the site being a nuclear licensed</w:t>
      </w:r>
      <w:r w:rsidR="003A626C" w:rsidRPr="00DD1B58">
        <w:rPr>
          <w:color w:val="000000" w:themeColor="text2"/>
          <w:lang w:val="en-US" w:eastAsia="en-GB" w:bidi="ar-SA"/>
        </w:rPr>
        <w:t xml:space="preserve"> </w:t>
      </w:r>
      <w:r w:rsidR="00066D4F" w:rsidRPr="00DD1B58">
        <w:rPr>
          <w:color w:val="000000" w:themeColor="text2"/>
          <w:lang w:val="en-US" w:eastAsia="en-GB" w:bidi="ar-SA"/>
        </w:rPr>
        <w:t xml:space="preserve">site </w:t>
      </w:r>
      <w:r w:rsidR="0054275E" w:rsidRPr="00DD1B58">
        <w:rPr>
          <w:color w:val="000000" w:themeColor="text2"/>
          <w:lang w:val="en-US" w:eastAsia="en-GB" w:bidi="ar-SA"/>
        </w:rPr>
        <w:t>under section 4 of the Nuclear Installations Act</w:t>
      </w:r>
      <w:r w:rsidR="00AB57A1" w:rsidRPr="00DD1B58">
        <w:rPr>
          <w:color w:val="000000" w:themeColor="text2"/>
          <w:lang w:val="en-US" w:eastAsia="en-GB" w:bidi="ar-SA"/>
        </w:rPr>
        <w:t xml:space="preserve"> (NIA)</w:t>
      </w:r>
      <w:r w:rsidR="0054275E" w:rsidRPr="00DD1B58">
        <w:rPr>
          <w:color w:val="000000" w:themeColor="text2"/>
          <w:lang w:val="en-US" w:eastAsia="en-GB" w:bidi="ar-SA"/>
        </w:rPr>
        <w:t xml:space="preserve"> 1965, the site </w:t>
      </w:r>
      <w:r w:rsidR="00066D4F" w:rsidRPr="00DD1B58">
        <w:rPr>
          <w:color w:val="000000" w:themeColor="text2"/>
          <w:lang w:val="en-US" w:eastAsia="en-GB" w:bidi="ar-SA"/>
        </w:rPr>
        <w:t xml:space="preserve">is classified as a </w:t>
      </w:r>
      <w:r w:rsidR="00B84FF1" w:rsidRPr="00DD1B58">
        <w:rPr>
          <w:color w:val="000000" w:themeColor="text2"/>
          <w:lang w:val="en-US" w:eastAsia="en-GB" w:bidi="ar-SA"/>
        </w:rPr>
        <w:t>‘</w:t>
      </w:r>
      <w:r w:rsidR="00E676D2" w:rsidRPr="00DD1B58">
        <w:rPr>
          <w:color w:val="000000" w:themeColor="text2"/>
          <w:lang w:val="en-US" w:eastAsia="en-GB" w:bidi="ar-SA"/>
        </w:rPr>
        <w:t>upper tier</w:t>
      </w:r>
      <w:r w:rsidR="001F65B9" w:rsidRPr="00DD1B58">
        <w:rPr>
          <w:color w:val="000000" w:themeColor="text2"/>
          <w:lang w:val="en-US" w:eastAsia="en-GB" w:bidi="ar-SA"/>
        </w:rPr>
        <w:t xml:space="preserve">’ </w:t>
      </w:r>
      <w:r w:rsidR="00066D4F" w:rsidRPr="00DD1B58">
        <w:rPr>
          <w:color w:val="000000" w:themeColor="text2"/>
          <w:lang w:val="en-US" w:eastAsia="en-GB" w:bidi="ar-SA"/>
        </w:rPr>
        <w:t xml:space="preserve">site under Regulation 2(1) </w:t>
      </w:r>
      <w:r w:rsidR="00282854" w:rsidRPr="00DD1B58">
        <w:rPr>
          <w:color w:val="000000" w:themeColor="text2"/>
          <w:lang w:val="en-US" w:eastAsia="en-GB" w:bidi="ar-SA"/>
        </w:rPr>
        <w:t>of the Control of Major Accident Hazard</w:t>
      </w:r>
      <w:r w:rsidR="007E2A07" w:rsidRPr="00DD1B58">
        <w:rPr>
          <w:color w:val="000000" w:themeColor="text2"/>
          <w:lang w:val="en-US" w:eastAsia="en-GB" w:bidi="ar-SA"/>
        </w:rPr>
        <w:t>s</w:t>
      </w:r>
      <w:r w:rsidR="00282854" w:rsidRPr="00DD1B58">
        <w:rPr>
          <w:color w:val="000000" w:themeColor="text2"/>
          <w:lang w:val="en-US" w:eastAsia="en-GB" w:bidi="ar-SA"/>
        </w:rPr>
        <w:t xml:space="preserve"> (COMAH)</w:t>
      </w:r>
      <w:r w:rsidR="007E2A07" w:rsidRPr="00DD1B58">
        <w:rPr>
          <w:color w:val="000000" w:themeColor="text2"/>
          <w:lang w:val="en-US" w:eastAsia="en-GB" w:bidi="ar-SA"/>
        </w:rPr>
        <w:t xml:space="preserve"> Regulations</w:t>
      </w:r>
      <w:r w:rsidR="00282854" w:rsidRPr="00DD1B58">
        <w:rPr>
          <w:color w:val="000000" w:themeColor="text2"/>
          <w:lang w:val="en-US" w:eastAsia="en-GB" w:bidi="ar-SA"/>
        </w:rPr>
        <w:t xml:space="preserve"> 2015, </w:t>
      </w:r>
      <w:r w:rsidR="00066D4F" w:rsidRPr="00DD1B58">
        <w:rPr>
          <w:color w:val="000000" w:themeColor="text2"/>
          <w:lang w:val="en-US" w:eastAsia="en-GB" w:bidi="ar-SA"/>
        </w:rPr>
        <w:t xml:space="preserve">due to the generation and storage of significant quantities of </w:t>
      </w:r>
      <w:r w:rsidR="007E2A07" w:rsidRPr="00DD1B58">
        <w:rPr>
          <w:color w:val="000000" w:themeColor="text2"/>
          <w:lang w:val="en-US" w:eastAsia="en-GB" w:bidi="ar-SA"/>
        </w:rPr>
        <w:t xml:space="preserve">concentrated hydrofluoric </w:t>
      </w:r>
      <w:r w:rsidR="00066D4F" w:rsidRPr="00DD1B58">
        <w:rPr>
          <w:color w:val="000000" w:themeColor="text2"/>
          <w:lang w:val="en-US" w:eastAsia="en-GB" w:bidi="ar-SA"/>
        </w:rPr>
        <w:t>acid</w:t>
      </w:r>
      <w:r w:rsidR="007E2A07" w:rsidRPr="00DD1B58">
        <w:rPr>
          <w:color w:val="000000" w:themeColor="text2"/>
          <w:lang w:val="en-US" w:eastAsia="en-GB" w:bidi="ar-SA"/>
        </w:rPr>
        <w:t xml:space="preserve"> (CHF)</w:t>
      </w:r>
      <w:r w:rsidR="00066D4F" w:rsidRPr="00DD1B58">
        <w:rPr>
          <w:color w:val="000000" w:themeColor="text2"/>
          <w:lang w:val="en-US" w:eastAsia="en-GB" w:bidi="ar-SA"/>
        </w:rPr>
        <w:t xml:space="preserve">. </w:t>
      </w:r>
      <w:r w:rsidR="00D319A7" w:rsidRPr="00DD1B58">
        <w:rPr>
          <w:color w:val="000000" w:themeColor="text2"/>
          <w:lang w:val="en-US" w:eastAsia="en-GB" w:bidi="ar-SA"/>
        </w:rPr>
        <w:t xml:space="preserve">COMAH </w:t>
      </w:r>
      <w:r w:rsidR="005F4EA3" w:rsidRPr="00DD1B58">
        <w:rPr>
          <w:color w:val="000000" w:themeColor="text2"/>
          <w:lang w:val="en-US" w:eastAsia="en-GB" w:bidi="ar-SA"/>
        </w:rPr>
        <w:t xml:space="preserve">is the </w:t>
      </w:r>
      <w:r w:rsidR="007E2A07" w:rsidRPr="00DD1B58">
        <w:rPr>
          <w:color w:val="000000" w:themeColor="text2"/>
          <w:lang w:val="en-US" w:eastAsia="en-GB" w:bidi="ar-SA"/>
        </w:rPr>
        <w:t xml:space="preserve">UK-specific </w:t>
      </w:r>
      <w:r w:rsidR="005F4EA3" w:rsidRPr="00DD1B58">
        <w:rPr>
          <w:color w:val="000000" w:themeColor="text2"/>
          <w:lang w:val="en-US" w:eastAsia="en-GB" w:bidi="ar-SA"/>
        </w:rPr>
        <w:t xml:space="preserve">implementation of the Seveso III directive, </w:t>
      </w:r>
      <w:r w:rsidR="004733DC" w:rsidRPr="00DD1B58">
        <w:rPr>
          <w:color w:val="000000" w:themeColor="text2"/>
          <w:lang w:val="en-US" w:eastAsia="en-GB" w:bidi="ar-SA"/>
        </w:rPr>
        <w:t>except for land-use planning requirements, which are implemented by changes to planning legislation.</w:t>
      </w:r>
    </w:p>
    <w:p w14:paraId="76196675" w14:textId="1EF3CEB0" w:rsidR="00066D4F" w:rsidRPr="00DD1B58" w:rsidRDefault="00AE3C22" w:rsidP="00066D4F">
      <w:pPr>
        <w:rPr>
          <w:color w:val="000000" w:themeColor="text2"/>
          <w:lang w:val="en-US" w:eastAsia="en-GB" w:bidi="ar-SA"/>
        </w:rPr>
      </w:pPr>
      <w:r w:rsidRPr="00DD1B58">
        <w:rPr>
          <w:color w:val="000000" w:themeColor="text2"/>
          <w:lang w:val="en-US" w:eastAsia="en-GB" w:bidi="ar-SA"/>
        </w:rPr>
        <w:t>The</w:t>
      </w:r>
      <w:r w:rsidR="007E2A07" w:rsidRPr="00DD1B58">
        <w:rPr>
          <w:color w:val="000000" w:themeColor="text2"/>
          <w:lang w:val="en-US" w:eastAsia="en-GB" w:bidi="ar-SA"/>
        </w:rPr>
        <w:t xml:space="preserve"> </w:t>
      </w:r>
      <w:r w:rsidR="00066D4F" w:rsidRPr="00DD1B58">
        <w:rPr>
          <w:color w:val="000000" w:themeColor="text2"/>
          <w:lang w:val="en-US" w:eastAsia="en-GB" w:bidi="ar-SA"/>
        </w:rPr>
        <w:t xml:space="preserve">2023 COMAH </w:t>
      </w:r>
      <w:r w:rsidR="00D319A7" w:rsidRPr="00DD1B58">
        <w:rPr>
          <w:color w:val="000000" w:themeColor="text2"/>
          <w:lang w:val="en-US" w:eastAsia="en-GB" w:bidi="ar-SA"/>
        </w:rPr>
        <w:t xml:space="preserve">safety </w:t>
      </w:r>
      <w:r w:rsidR="00066D4F" w:rsidRPr="00DD1B58">
        <w:rPr>
          <w:color w:val="000000" w:themeColor="text2"/>
          <w:lang w:val="en-US" w:eastAsia="en-GB" w:bidi="ar-SA"/>
        </w:rPr>
        <w:t xml:space="preserve">report </w:t>
      </w:r>
      <w:r w:rsidRPr="00DD1B58">
        <w:rPr>
          <w:color w:val="000000" w:themeColor="text2"/>
          <w:lang w:val="en-US" w:eastAsia="en-GB" w:bidi="ar-SA"/>
        </w:rPr>
        <w:t>for Springfields identifies</w:t>
      </w:r>
      <w:r w:rsidR="00066D4F" w:rsidRPr="00DD1B58">
        <w:rPr>
          <w:color w:val="000000" w:themeColor="text2"/>
          <w:lang w:val="en-US" w:eastAsia="en-GB" w:bidi="ar-SA"/>
        </w:rPr>
        <w:t xml:space="preserve"> one Major Accident Hazard (MAH) related to fire. Mitigation arrangements are in place through plant safety cases. The </w:t>
      </w:r>
      <w:r w:rsidR="00066D4F" w:rsidRPr="00DD1B58">
        <w:rPr>
          <w:color w:val="000000" w:themeColor="text2"/>
          <w:lang w:val="en-US" w:eastAsia="en-GB" w:bidi="ar-SA"/>
        </w:rPr>
        <w:lastRenderedPageBreak/>
        <w:t xml:space="preserve">site is also subject to an Environmental Permit and Radioactive Substances Act (RSA) authorisation. </w:t>
      </w:r>
    </w:p>
    <w:p w14:paraId="477C9150" w14:textId="17A29E7B" w:rsidR="008F5A0B" w:rsidRPr="00DD1B58" w:rsidRDefault="008F5A0B" w:rsidP="00066D4F">
      <w:pPr>
        <w:rPr>
          <w:color w:val="000000"/>
          <w:szCs w:val="24"/>
          <w:lang w:val="en-US" w:eastAsia="en-GB" w:bidi="ar-SA"/>
        </w:rPr>
      </w:pPr>
      <w:r w:rsidRPr="00DD1B58">
        <w:rPr>
          <w:color w:val="000000"/>
          <w:szCs w:val="24"/>
          <w:lang w:val="en-US" w:eastAsia="en-GB" w:bidi="ar-SA"/>
        </w:rPr>
        <w:t xml:space="preserve">Springfields Fuels </w:t>
      </w:r>
      <w:r w:rsidR="007E2A07" w:rsidRPr="00DD1B58">
        <w:rPr>
          <w:color w:val="000000"/>
          <w:szCs w:val="24"/>
          <w:lang w:val="en-US" w:eastAsia="en-GB" w:bidi="ar-SA"/>
        </w:rPr>
        <w:t xml:space="preserve">Ltd’s </w:t>
      </w:r>
      <w:r w:rsidRPr="00DD1B58">
        <w:rPr>
          <w:color w:val="000000"/>
          <w:szCs w:val="24"/>
          <w:lang w:val="en-US" w:eastAsia="en-GB" w:bidi="ar-SA"/>
        </w:rPr>
        <w:t>main activities are:</w:t>
      </w:r>
    </w:p>
    <w:p w14:paraId="10DF78D1" w14:textId="43A0E00E" w:rsidR="008F5A0B" w:rsidRPr="00DD1B58" w:rsidRDefault="008F5A0B" w:rsidP="00BB7F97">
      <w:pPr>
        <w:pStyle w:val="Bulletlist1"/>
        <w:rPr>
          <w:lang w:val="en-US"/>
        </w:rPr>
      </w:pPr>
      <w:r w:rsidRPr="00DD1B58">
        <w:rPr>
          <w:lang w:val="en-US"/>
        </w:rPr>
        <w:t xml:space="preserve">Design </w:t>
      </w:r>
      <w:r w:rsidR="008A6F83" w:rsidRPr="00DD1B58">
        <w:rPr>
          <w:lang w:val="en-US"/>
        </w:rPr>
        <w:t xml:space="preserve">(including transport package designs) </w:t>
      </w:r>
      <w:r w:rsidRPr="00DD1B58">
        <w:rPr>
          <w:lang w:val="en-US"/>
        </w:rPr>
        <w:t xml:space="preserve">and manufacture of nuclear </w:t>
      </w:r>
      <w:r w:rsidR="00C838D5" w:rsidRPr="00DD1B58">
        <w:rPr>
          <w:lang w:val="en-US"/>
        </w:rPr>
        <w:t>fuels</w:t>
      </w:r>
      <w:r w:rsidRPr="00DD1B58">
        <w:rPr>
          <w:lang w:val="en-US"/>
        </w:rPr>
        <w:t xml:space="preserve"> and </w:t>
      </w:r>
      <w:r w:rsidR="00C838D5" w:rsidRPr="00DD1B58">
        <w:rPr>
          <w:lang w:val="en-US"/>
        </w:rPr>
        <w:t>intermediate products</w:t>
      </w:r>
      <w:r w:rsidR="008A6F83" w:rsidRPr="00DD1B58">
        <w:rPr>
          <w:lang w:val="en-US"/>
        </w:rPr>
        <w:t>, such as u</w:t>
      </w:r>
      <w:r w:rsidR="00C838D5" w:rsidRPr="00DD1B58">
        <w:rPr>
          <w:lang w:val="en-US"/>
        </w:rPr>
        <w:t xml:space="preserve">ranium </w:t>
      </w:r>
      <w:r w:rsidR="008A6F83" w:rsidRPr="00DD1B58">
        <w:rPr>
          <w:lang w:val="en-US"/>
        </w:rPr>
        <w:t>d</w:t>
      </w:r>
      <w:r w:rsidR="00C838D5" w:rsidRPr="00DD1B58">
        <w:rPr>
          <w:lang w:val="en-US"/>
        </w:rPr>
        <w:t>ioxide (UO</w:t>
      </w:r>
      <w:r w:rsidR="00C838D5" w:rsidRPr="00DD1B58">
        <w:rPr>
          <w:vertAlign w:val="subscript"/>
          <w:lang w:val="en-US"/>
        </w:rPr>
        <w:t>2</w:t>
      </w:r>
      <w:r w:rsidR="00C838D5" w:rsidRPr="00DD1B58">
        <w:rPr>
          <w:lang w:val="en-US"/>
        </w:rPr>
        <w:t>) and fuel assembly components</w:t>
      </w:r>
      <w:r w:rsidR="008A6F83" w:rsidRPr="00DD1B58">
        <w:rPr>
          <w:lang w:val="en-US"/>
        </w:rPr>
        <w:t>;</w:t>
      </w:r>
    </w:p>
    <w:p w14:paraId="682A99BA" w14:textId="0DC0522E" w:rsidR="007B0835" w:rsidRPr="00DD1B58" w:rsidRDefault="00AA61B0" w:rsidP="00BB7F97">
      <w:pPr>
        <w:pStyle w:val="Bulletlist1"/>
        <w:rPr>
          <w:lang w:val="en-US"/>
        </w:rPr>
      </w:pPr>
      <w:r w:rsidRPr="00DD1B58">
        <w:rPr>
          <w:lang w:val="en-US"/>
        </w:rPr>
        <w:t>Decommissioning of on-site facilities</w:t>
      </w:r>
      <w:r w:rsidR="008A6F83" w:rsidRPr="00DD1B58">
        <w:rPr>
          <w:lang w:val="en-US"/>
        </w:rPr>
        <w:t>;</w:t>
      </w:r>
    </w:p>
    <w:p w14:paraId="4558706D" w14:textId="261D6111" w:rsidR="00AA61B0" w:rsidRPr="00DD1B58" w:rsidRDefault="00AA61B0" w:rsidP="00BB7F97">
      <w:pPr>
        <w:pStyle w:val="Bulletlist1"/>
        <w:rPr>
          <w:lang w:val="en-US"/>
        </w:rPr>
      </w:pPr>
      <w:r w:rsidRPr="00DD1B58">
        <w:rPr>
          <w:lang w:val="en-US"/>
        </w:rPr>
        <w:t>Management of the Springfields site</w:t>
      </w:r>
      <w:r w:rsidR="008A6F83" w:rsidRPr="00DD1B58">
        <w:rPr>
          <w:lang w:val="en-US"/>
        </w:rPr>
        <w:t>; and</w:t>
      </w:r>
    </w:p>
    <w:p w14:paraId="6CDDE91A" w14:textId="50217F0C" w:rsidR="00AA61B0" w:rsidRPr="00DD1B58" w:rsidRDefault="00AA61B0" w:rsidP="00BB7F97">
      <w:pPr>
        <w:pStyle w:val="Bulletlist1"/>
        <w:rPr>
          <w:lang w:val="en-US"/>
        </w:rPr>
      </w:pPr>
      <w:r w:rsidRPr="00DD1B58">
        <w:rPr>
          <w:lang w:val="en-US"/>
        </w:rPr>
        <w:t>Recovery of residues</w:t>
      </w:r>
      <w:r w:rsidR="008A6F83" w:rsidRPr="00DD1B58">
        <w:rPr>
          <w:lang w:val="en-US"/>
        </w:rPr>
        <w:t>.</w:t>
      </w:r>
    </w:p>
    <w:p w14:paraId="18446CAE" w14:textId="694D2FD8" w:rsidR="00AA61B0" w:rsidRPr="00DD1B58" w:rsidRDefault="0058030C" w:rsidP="00AA61B0">
      <w:pPr>
        <w:rPr>
          <w:lang w:val="en-US"/>
        </w:rPr>
      </w:pPr>
      <w:r w:rsidRPr="00DD1B58">
        <w:rPr>
          <w:lang w:val="en-US"/>
        </w:rPr>
        <w:t xml:space="preserve">Springfields site is also occupied by the National Nuclear Laboratory (NNL), Springfields facilities, who carry out </w:t>
      </w:r>
      <w:r w:rsidR="006F6E08" w:rsidRPr="00DD1B58">
        <w:rPr>
          <w:lang w:val="en-US"/>
        </w:rPr>
        <w:t xml:space="preserve">research </w:t>
      </w:r>
      <w:r w:rsidR="008A6F83" w:rsidRPr="00DD1B58">
        <w:rPr>
          <w:lang w:val="en-US"/>
        </w:rPr>
        <w:t xml:space="preserve">and </w:t>
      </w:r>
      <w:r w:rsidR="006F6E08" w:rsidRPr="00DD1B58">
        <w:rPr>
          <w:lang w:val="en-US"/>
        </w:rPr>
        <w:t>d</w:t>
      </w:r>
      <w:r w:rsidRPr="00DD1B58">
        <w:rPr>
          <w:lang w:val="en-US"/>
        </w:rPr>
        <w:t xml:space="preserve">evelopment and supply Springfields Fuels </w:t>
      </w:r>
      <w:r w:rsidR="00EA7E89" w:rsidRPr="00DD1B58">
        <w:rPr>
          <w:lang w:val="en-US"/>
        </w:rPr>
        <w:t xml:space="preserve">Ltd </w:t>
      </w:r>
      <w:r w:rsidRPr="00DD1B58">
        <w:rPr>
          <w:lang w:val="en-US"/>
        </w:rPr>
        <w:t xml:space="preserve">with specialist </w:t>
      </w:r>
      <w:r w:rsidR="00EA7E89" w:rsidRPr="00DD1B58">
        <w:rPr>
          <w:lang w:val="en-US"/>
        </w:rPr>
        <w:t>environment health and safety (</w:t>
      </w:r>
      <w:r w:rsidRPr="00DD1B58">
        <w:rPr>
          <w:lang w:val="en-US"/>
        </w:rPr>
        <w:t>EHS</w:t>
      </w:r>
      <w:r w:rsidR="00EA7E89" w:rsidRPr="00DD1B58">
        <w:rPr>
          <w:lang w:val="en-US"/>
        </w:rPr>
        <w:t>)</w:t>
      </w:r>
      <w:r w:rsidRPr="00DD1B58">
        <w:rPr>
          <w:lang w:val="en-US"/>
        </w:rPr>
        <w:t xml:space="preserve"> support and testing services.</w:t>
      </w:r>
    </w:p>
    <w:p w14:paraId="140A07C9" w14:textId="77777777" w:rsidR="00D677F3" w:rsidRPr="00DD1B58" w:rsidRDefault="00D677F3" w:rsidP="00AA61B0">
      <w:pPr>
        <w:rPr>
          <w:b/>
          <w:lang w:val="en-US"/>
        </w:rPr>
      </w:pPr>
      <w:r w:rsidRPr="00DD1B58">
        <w:rPr>
          <w:b/>
          <w:lang w:val="en-US"/>
        </w:rPr>
        <w:t>Installations in the direct vicinity of the site</w:t>
      </w:r>
    </w:p>
    <w:p w14:paraId="5FD962D0" w14:textId="0A4CFED9" w:rsidR="0058030C" w:rsidRPr="00DD1B58" w:rsidRDefault="007D77CE" w:rsidP="00AA61B0">
      <w:pPr>
        <w:rPr>
          <w:lang w:val="en-US"/>
        </w:rPr>
      </w:pPr>
      <w:r w:rsidRPr="00DD1B58">
        <w:rPr>
          <w:lang w:val="en-US"/>
        </w:rPr>
        <w:t xml:space="preserve">The only adjacent hazardous installation in the direct vicinity of the site is F2 Chemicals which is a lower tier COMAH site. It is enclosed by a security fence conjoined to the Springfields security fence at the </w:t>
      </w:r>
      <w:r w:rsidR="003E5529" w:rsidRPr="00DD1B58">
        <w:rPr>
          <w:lang w:val="en-US"/>
        </w:rPr>
        <w:t>northeast</w:t>
      </w:r>
      <w:r w:rsidR="00EA7E89" w:rsidRPr="00DD1B58">
        <w:rPr>
          <w:lang w:val="en-US"/>
        </w:rPr>
        <w:t xml:space="preserve"> </w:t>
      </w:r>
      <w:r w:rsidRPr="00DD1B58">
        <w:rPr>
          <w:lang w:val="en-US"/>
        </w:rPr>
        <w:t>end of the site. F2 Chemicals does not use, store, process or transport radiological materials and the F2 Chemicals site is not part of the Springfields nuclear licensed site.</w:t>
      </w:r>
    </w:p>
    <w:p w14:paraId="31B0B9A1" w14:textId="77777777" w:rsidR="00D677F3" w:rsidRPr="00DD1B58" w:rsidRDefault="00D677F3" w:rsidP="00AA61B0">
      <w:pPr>
        <w:rPr>
          <w:b/>
          <w:lang w:val="en-US"/>
        </w:rPr>
      </w:pPr>
      <w:r w:rsidRPr="00DD1B58">
        <w:rPr>
          <w:b/>
          <w:lang w:val="en-US"/>
        </w:rPr>
        <w:t>Plant process activities</w:t>
      </w:r>
    </w:p>
    <w:p w14:paraId="63CE16D3" w14:textId="77777777" w:rsidR="0058030C" w:rsidRPr="00DD1B58" w:rsidRDefault="00F36752" w:rsidP="00AA61B0">
      <w:pPr>
        <w:rPr>
          <w:szCs w:val="24"/>
          <w:lang w:val="en-US"/>
        </w:rPr>
      </w:pPr>
      <w:r w:rsidRPr="00DD1B58">
        <w:rPr>
          <w:szCs w:val="24"/>
          <w:lang w:val="en-US"/>
        </w:rPr>
        <w:t>The main process activities undertaken at Springfields are:</w:t>
      </w:r>
    </w:p>
    <w:p w14:paraId="744E8579" w14:textId="41E18412" w:rsidR="00E47A49" w:rsidRPr="00DD1B58" w:rsidRDefault="00F36752" w:rsidP="00DC43D4">
      <w:pPr>
        <w:pStyle w:val="Bulletlist1"/>
        <w:rPr>
          <w:lang w:val="en-US"/>
        </w:rPr>
      </w:pPr>
      <w:r w:rsidRPr="00DD1B58">
        <w:rPr>
          <w:lang w:val="en-US"/>
        </w:rPr>
        <w:t xml:space="preserve">The production and assembly </w:t>
      </w:r>
      <w:r w:rsidR="000B3B5C" w:rsidRPr="00DD1B58">
        <w:rPr>
          <w:lang w:val="en-US"/>
        </w:rPr>
        <w:t>of the fuel pellets</w:t>
      </w:r>
      <w:r w:rsidR="00E47A49" w:rsidRPr="00DD1B58">
        <w:rPr>
          <w:lang w:val="en-US"/>
        </w:rPr>
        <w:t xml:space="preserve"> into fuel elements for AGRs and fuel assemblies for LWRs</w:t>
      </w:r>
      <w:r w:rsidR="007D25B2" w:rsidRPr="00DD1B58">
        <w:rPr>
          <w:lang w:val="en-US"/>
        </w:rPr>
        <w:t>:</w:t>
      </w:r>
      <w:r w:rsidR="00E47A49" w:rsidRPr="00DD1B58">
        <w:rPr>
          <w:lang w:val="en-US"/>
        </w:rPr>
        <w:t xml:space="preserve"> AGR</w:t>
      </w:r>
      <w:r w:rsidR="007D25B2" w:rsidRPr="00DD1B58">
        <w:rPr>
          <w:lang w:val="en-US"/>
        </w:rPr>
        <w:t xml:space="preserve"> f</w:t>
      </w:r>
      <w:r w:rsidR="00E47A49" w:rsidRPr="00DD1B58">
        <w:rPr>
          <w:lang w:val="en-US"/>
        </w:rPr>
        <w:t xml:space="preserve">inished </w:t>
      </w:r>
      <w:r w:rsidR="007D25B2" w:rsidRPr="00DD1B58">
        <w:rPr>
          <w:lang w:val="en-US"/>
        </w:rPr>
        <w:t>f</w:t>
      </w:r>
      <w:r w:rsidR="00E47A49" w:rsidRPr="00DD1B58">
        <w:rPr>
          <w:lang w:val="en-US"/>
        </w:rPr>
        <w:t>uel is held in a separate building</w:t>
      </w:r>
      <w:r w:rsidR="007D25B2" w:rsidRPr="00DD1B58">
        <w:rPr>
          <w:lang w:val="en-US"/>
        </w:rPr>
        <w:t>, and</w:t>
      </w:r>
      <w:r w:rsidR="00E47A49" w:rsidRPr="00DD1B58">
        <w:rPr>
          <w:lang w:val="en-US"/>
        </w:rPr>
        <w:t xml:space="preserve"> LWR </w:t>
      </w:r>
      <w:r w:rsidR="007D25B2" w:rsidRPr="00DD1B58">
        <w:rPr>
          <w:lang w:val="en-US"/>
        </w:rPr>
        <w:t xml:space="preserve">finished </w:t>
      </w:r>
      <w:r w:rsidR="00E47A49" w:rsidRPr="00DD1B58">
        <w:rPr>
          <w:lang w:val="en-US"/>
        </w:rPr>
        <w:t xml:space="preserve">fuel is within an integral fuel store with space limited to </w:t>
      </w:r>
      <w:r w:rsidR="007D25B2" w:rsidRPr="00DD1B58">
        <w:rPr>
          <w:lang w:val="en-US"/>
        </w:rPr>
        <w:t xml:space="preserve">around </w:t>
      </w:r>
      <w:r w:rsidR="00E47A49" w:rsidRPr="00DD1B58">
        <w:rPr>
          <w:lang w:val="en-US"/>
        </w:rPr>
        <w:t>200 Fuel Assemblies on site prior to transfer elsewhere</w:t>
      </w:r>
      <w:r w:rsidR="00EA7E89" w:rsidRPr="00DD1B58">
        <w:rPr>
          <w:lang w:val="en-US"/>
        </w:rPr>
        <w:t>.</w:t>
      </w:r>
    </w:p>
    <w:p w14:paraId="03637796" w14:textId="7258C30E" w:rsidR="0058030C" w:rsidRPr="00DD1B58" w:rsidRDefault="00C61A49" w:rsidP="00DC43D4">
      <w:pPr>
        <w:pStyle w:val="Bulletlist1"/>
        <w:rPr>
          <w:lang w:val="en-US"/>
        </w:rPr>
      </w:pPr>
      <w:r w:rsidRPr="00DD1B58">
        <w:rPr>
          <w:lang w:val="en-US"/>
        </w:rPr>
        <w:t>Recovery of enriched uranium from the various residues that arise from processing plants</w:t>
      </w:r>
      <w:r w:rsidR="007D25B2" w:rsidRPr="00DD1B58">
        <w:rPr>
          <w:lang w:val="en-US"/>
        </w:rPr>
        <w:t>:</w:t>
      </w:r>
      <w:r w:rsidRPr="00DD1B58">
        <w:rPr>
          <w:lang w:val="en-US"/>
        </w:rPr>
        <w:t xml:space="preserve"> </w:t>
      </w:r>
      <w:r w:rsidR="000A60B4" w:rsidRPr="00DD1B58">
        <w:rPr>
          <w:lang w:val="en-US"/>
        </w:rPr>
        <w:t>t</w:t>
      </w:r>
      <w:r w:rsidR="00DC43D4" w:rsidRPr="00DD1B58">
        <w:rPr>
          <w:lang w:val="en-US"/>
        </w:rPr>
        <w:t>hese</w:t>
      </w:r>
      <w:r w:rsidRPr="00DD1B58">
        <w:rPr>
          <w:lang w:val="en-US"/>
        </w:rPr>
        <w:t xml:space="preserve"> residues are treated to produce new feedstock for recycling in the main process facilities. Uranium residues are also processed to produce new UO</w:t>
      </w:r>
      <w:r w:rsidRPr="00DD1B58">
        <w:rPr>
          <w:vertAlign w:val="subscript"/>
          <w:lang w:val="en-US"/>
        </w:rPr>
        <w:t>3</w:t>
      </w:r>
      <w:r w:rsidRPr="00DD1B58">
        <w:rPr>
          <w:lang w:val="en-US"/>
        </w:rPr>
        <w:t xml:space="preserve"> feedstock.</w:t>
      </w:r>
    </w:p>
    <w:p w14:paraId="19EF5617" w14:textId="5F7FCA92" w:rsidR="0085460F" w:rsidRPr="00DD1B58" w:rsidRDefault="0085460F" w:rsidP="0085460F">
      <w:pPr>
        <w:rPr>
          <w:lang w:val="en-US"/>
        </w:rPr>
      </w:pPr>
      <w:r w:rsidRPr="00DD1B58">
        <w:rPr>
          <w:lang w:val="en-US"/>
        </w:rPr>
        <w:t xml:space="preserve">Ancillary operations that support the main process </w:t>
      </w:r>
      <w:r w:rsidR="00C71D32" w:rsidRPr="00DD1B58">
        <w:rPr>
          <w:lang w:val="en-US"/>
        </w:rPr>
        <w:t xml:space="preserve">are described within the Springfields site </w:t>
      </w:r>
      <w:r w:rsidR="00F12C4A" w:rsidRPr="00DD1B58">
        <w:rPr>
          <w:lang w:val="en-US"/>
        </w:rPr>
        <w:t>full submission</w:t>
      </w:r>
      <w:r w:rsidR="00222544" w:rsidRPr="00DD1B58">
        <w:rPr>
          <w:lang w:val="en-US"/>
        </w:rPr>
        <w:t xml:space="preserve"> to the NAR </w:t>
      </w:r>
      <w:sdt>
        <w:sdtPr>
          <w:rPr>
            <w:lang w:val="en-US"/>
          </w:rPr>
          <w:id w:val="1943177032"/>
          <w:citation/>
        </w:sdtPr>
        <w:sdtContent>
          <w:r w:rsidR="001F16A8" w:rsidRPr="00DD1B58">
            <w:rPr>
              <w:lang w:val="en-US"/>
            </w:rPr>
            <w:fldChar w:fldCharType="begin"/>
          </w:r>
          <w:r w:rsidR="001F16A8" w:rsidRPr="00DD1B58">
            <w:rPr>
              <w:lang w:val="en-US"/>
            </w:rPr>
            <w:instrText xml:space="preserve"> CITATION ENS \l 2057 </w:instrText>
          </w:r>
          <w:r w:rsidR="001F16A8" w:rsidRPr="00DD1B58">
            <w:rPr>
              <w:lang w:val="en-US"/>
            </w:rPr>
            <w:fldChar w:fldCharType="separate"/>
          </w:r>
          <w:r w:rsidR="00DF47DA" w:rsidRPr="00DF47DA">
            <w:rPr>
              <w:noProof/>
              <w:lang w:val="en-US"/>
            </w:rPr>
            <w:t>[9]</w:t>
          </w:r>
          <w:r w:rsidR="001F16A8" w:rsidRPr="00DD1B58">
            <w:rPr>
              <w:lang w:val="en-US"/>
            </w:rPr>
            <w:fldChar w:fldCharType="end"/>
          </w:r>
        </w:sdtContent>
      </w:sdt>
      <w:r w:rsidR="00222544" w:rsidRPr="00DD1B58">
        <w:rPr>
          <w:lang w:val="en-US"/>
        </w:rPr>
        <w:t>.</w:t>
      </w:r>
      <w:r w:rsidR="00420CBC" w:rsidRPr="00DD1B58">
        <w:rPr>
          <w:lang w:val="en-US"/>
        </w:rPr>
        <w:t xml:space="preserve"> A summary of the principal processes</w:t>
      </w:r>
      <w:r w:rsidR="008D3FE9" w:rsidRPr="00DD1B58">
        <w:rPr>
          <w:lang w:val="en-US"/>
        </w:rPr>
        <w:t xml:space="preserve"> is provided below.</w:t>
      </w:r>
    </w:p>
    <w:p w14:paraId="0F04D326" w14:textId="77777777" w:rsidR="004338B0" w:rsidRPr="00DD1B58" w:rsidRDefault="004338B0" w:rsidP="004338B0">
      <w:pPr>
        <w:rPr>
          <w:b/>
          <w:lang w:val="en-US"/>
        </w:rPr>
      </w:pPr>
      <w:r w:rsidRPr="00DD1B58">
        <w:rPr>
          <w:b/>
          <w:lang w:val="en-US"/>
        </w:rPr>
        <w:t>Oxide Fuels</w:t>
      </w:r>
      <w:r w:rsidR="00872180" w:rsidRPr="00DD1B58">
        <w:rPr>
          <w:b/>
          <w:lang w:val="en-US"/>
        </w:rPr>
        <w:t xml:space="preserve"> Complex</w:t>
      </w:r>
      <w:r w:rsidR="4753A4D9" w:rsidRPr="00DD1B58">
        <w:rPr>
          <w:b/>
          <w:lang w:val="en-US"/>
        </w:rPr>
        <w:t xml:space="preserve"> (OFC)</w:t>
      </w:r>
    </w:p>
    <w:p w14:paraId="47251559" w14:textId="5A4B8FC2" w:rsidR="00867BB2" w:rsidRPr="00DD1B58" w:rsidRDefault="00867BB2" w:rsidP="00867BB2">
      <w:pPr>
        <w:pStyle w:val="Default"/>
        <w:rPr>
          <w:lang w:val="en-US"/>
        </w:rPr>
      </w:pPr>
      <w:r w:rsidRPr="00DD1B58">
        <w:rPr>
          <w:lang w:val="en-US"/>
        </w:rPr>
        <w:t xml:space="preserve">The Oxide Fuels Complex (OFC) converts enriched </w:t>
      </w:r>
      <w:r w:rsidR="0043392E" w:rsidRPr="00DD1B58">
        <w:rPr>
          <w:lang w:val="en-US"/>
        </w:rPr>
        <w:t>u</w:t>
      </w:r>
      <w:r w:rsidRPr="00DD1B58">
        <w:rPr>
          <w:lang w:val="en-US"/>
        </w:rPr>
        <w:t xml:space="preserve">ranium </w:t>
      </w:r>
      <w:r w:rsidR="0043392E" w:rsidRPr="00DD1B58">
        <w:rPr>
          <w:lang w:val="en-US"/>
        </w:rPr>
        <w:t xml:space="preserve">hexafluoride </w:t>
      </w:r>
      <w:r w:rsidRPr="00DD1B58">
        <w:rPr>
          <w:lang w:val="en-US"/>
        </w:rPr>
        <w:t>(</w:t>
      </w:r>
      <w:r w:rsidR="0043392E" w:rsidRPr="00DD1B58">
        <w:rPr>
          <w:lang w:val="en-US"/>
        </w:rPr>
        <w:t>h</w:t>
      </w:r>
      <w:r w:rsidRPr="00DD1B58">
        <w:rPr>
          <w:lang w:val="en-US"/>
        </w:rPr>
        <w:t xml:space="preserve">ex or </w:t>
      </w:r>
      <w:r w:rsidR="0043392E" w:rsidRPr="00DD1B58">
        <w:rPr>
          <w:lang w:val="en-US"/>
        </w:rPr>
        <w:t>UF</w:t>
      </w:r>
      <w:r w:rsidR="0043392E" w:rsidRPr="00DD1B58">
        <w:rPr>
          <w:vertAlign w:val="subscript"/>
          <w:lang w:val="en-US"/>
        </w:rPr>
        <w:t>6</w:t>
      </w:r>
      <w:r w:rsidRPr="00DD1B58">
        <w:rPr>
          <w:lang w:val="en-US"/>
        </w:rPr>
        <w:t xml:space="preserve">) from external suppliers into </w:t>
      </w:r>
      <w:r w:rsidR="001143CF" w:rsidRPr="00DD1B58">
        <w:rPr>
          <w:lang w:val="en-US"/>
        </w:rPr>
        <w:t xml:space="preserve">uranium dioxide </w:t>
      </w:r>
      <w:r w:rsidRPr="00DD1B58">
        <w:rPr>
          <w:lang w:val="en-US"/>
        </w:rPr>
        <w:t>(UO</w:t>
      </w:r>
      <w:r w:rsidRPr="00DD1B58">
        <w:rPr>
          <w:vertAlign w:val="subscript"/>
          <w:lang w:val="en-US"/>
        </w:rPr>
        <w:t>2</w:t>
      </w:r>
      <w:r w:rsidRPr="00DD1B58">
        <w:rPr>
          <w:lang w:val="en-US"/>
        </w:rPr>
        <w:t>) powder using the Integrated Dry Route (IDR) process. The UF</w:t>
      </w:r>
      <w:r w:rsidRPr="00DD1B58">
        <w:rPr>
          <w:vertAlign w:val="subscript"/>
          <w:lang w:val="en-US"/>
        </w:rPr>
        <w:t>6</w:t>
      </w:r>
      <w:r w:rsidRPr="00DD1B58">
        <w:rPr>
          <w:lang w:val="en-US"/>
        </w:rPr>
        <w:t xml:space="preserve"> is fed from transport cylinders into an IDR kiln with super-heated steam to form </w:t>
      </w:r>
      <w:r w:rsidR="00505AA2" w:rsidRPr="00DD1B58">
        <w:rPr>
          <w:lang w:val="en-US"/>
        </w:rPr>
        <w:t>u</w:t>
      </w:r>
      <w:r w:rsidRPr="00DD1B58">
        <w:rPr>
          <w:lang w:val="en-US"/>
        </w:rPr>
        <w:t xml:space="preserve">ranyl </w:t>
      </w:r>
      <w:r w:rsidR="00505AA2" w:rsidRPr="00DD1B58">
        <w:rPr>
          <w:lang w:val="en-US"/>
        </w:rPr>
        <w:t>f</w:t>
      </w:r>
      <w:r w:rsidRPr="00DD1B58">
        <w:rPr>
          <w:lang w:val="en-US"/>
        </w:rPr>
        <w:t>luoride (UO</w:t>
      </w:r>
      <w:r w:rsidRPr="00DD1B58">
        <w:rPr>
          <w:vertAlign w:val="subscript"/>
          <w:lang w:val="en-US"/>
        </w:rPr>
        <w:t>2</w:t>
      </w:r>
      <w:r w:rsidRPr="00DD1B58">
        <w:rPr>
          <w:lang w:val="en-US"/>
        </w:rPr>
        <w:t>F</w:t>
      </w:r>
      <w:r w:rsidRPr="00DD1B58">
        <w:rPr>
          <w:vertAlign w:val="subscript"/>
          <w:lang w:val="en-US"/>
        </w:rPr>
        <w:t>2</w:t>
      </w:r>
      <w:r w:rsidRPr="00DD1B58">
        <w:rPr>
          <w:lang w:val="en-US"/>
        </w:rPr>
        <w:t>). The UO</w:t>
      </w:r>
      <w:r w:rsidRPr="00DD1B58">
        <w:rPr>
          <w:vertAlign w:val="subscript"/>
          <w:lang w:val="en-US"/>
        </w:rPr>
        <w:t>2</w:t>
      </w:r>
      <w:r w:rsidRPr="00DD1B58">
        <w:rPr>
          <w:lang w:val="en-US"/>
        </w:rPr>
        <w:t>F</w:t>
      </w:r>
      <w:r w:rsidRPr="00DD1B58">
        <w:rPr>
          <w:vertAlign w:val="subscript"/>
          <w:lang w:val="en-US"/>
        </w:rPr>
        <w:t>2</w:t>
      </w:r>
      <w:r w:rsidRPr="00DD1B58">
        <w:rPr>
          <w:lang w:val="en-US"/>
        </w:rPr>
        <w:t xml:space="preserve"> is then reduced within the IDR kiln by hydrogen to form ceramic</w:t>
      </w:r>
      <w:r w:rsidR="00505AA2" w:rsidRPr="00DD1B58">
        <w:rPr>
          <w:lang w:val="en-US"/>
        </w:rPr>
        <w:t>-</w:t>
      </w:r>
      <w:r w:rsidRPr="00DD1B58">
        <w:rPr>
          <w:lang w:val="en-US"/>
        </w:rPr>
        <w:t>grade UO</w:t>
      </w:r>
      <w:r w:rsidRPr="00DD1B58">
        <w:rPr>
          <w:vertAlign w:val="subscript"/>
          <w:lang w:val="en-US"/>
        </w:rPr>
        <w:t>2</w:t>
      </w:r>
      <w:r w:rsidRPr="00DD1B58">
        <w:rPr>
          <w:lang w:val="en-US"/>
        </w:rPr>
        <w:t xml:space="preserve"> powder. This resulting powder may be granulated or pressed into UO</w:t>
      </w:r>
      <w:r w:rsidRPr="00DD1B58">
        <w:rPr>
          <w:vertAlign w:val="subscript"/>
          <w:lang w:val="en-US"/>
        </w:rPr>
        <w:t>2</w:t>
      </w:r>
      <w:r w:rsidRPr="00DD1B58">
        <w:rPr>
          <w:lang w:val="en-US"/>
        </w:rPr>
        <w:t xml:space="preserve"> pellets. Following sintering, these can then be fabricated into finished fuel pins for </w:t>
      </w:r>
      <w:r w:rsidRPr="00DD1B58">
        <w:rPr>
          <w:lang w:val="en-US"/>
        </w:rPr>
        <w:lastRenderedPageBreak/>
        <w:t xml:space="preserve">AGRs and fuel rods for LWRs and subsequently fuel elements for AGRs and </w:t>
      </w:r>
      <w:r w:rsidR="00505AA2" w:rsidRPr="00DD1B58">
        <w:rPr>
          <w:lang w:val="en-US"/>
        </w:rPr>
        <w:t>f</w:t>
      </w:r>
      <w:r w:rsidRPr="00DD1B58">
        <w:rPr>
          <w:lang w:val="en-US"/>
        </w:rPr>
        <w:t xml:space="preserve">uel </w:t>
      </w:r>
      <w:r w:rsidR="00505AA2" w:rsidRPr="00DD1B58">
        <w:rPr>
          <w:lang w:val="en-US"/>
        </w:rPr>
        <w:t xml:space="preserve">assemblies </w:t>
      </w:r>
      <w:r w:rsidRPr="00DD1B58">
        <w:rPr>
          <w:lang w:val="en-US"/>
        </w:rPr>
        <w:t>for LWRs. Powder, granules, and pellets may also be exported in transport containers as finished products via the Powder and Pellet Export Facility (PPEF).</w:t>
      </w:r>
    </w:p>
    <w:p w14:paraId="74B0C82D" w14:textId="77777777" w:rsidR="00867BB2" w:rsidRPr="00DD1B58" w:rsidRDefault="00867BB2" w:rsidP="00867BB2">
      <w:pPr>
        <w:pStyle w:val="Default"/>
        <w:rPr>
          <w:lang w:val="en-US"/>
        </w:rPr>
      </w:pPr>
    </w:p>
    <w:p w14:paraId="3CFC662D" w14:textId="64DD1442" w:rsidR="009D7051" w:rsidRPr="00DD1B58" w:rsidRDefault="00867BB2" w:rsidP="004338B0">
      <w:pPr>
        <w:rPr>
          <w:color w:val="000000"/>
          <w:szCs w:val="24"/>
          <w:lang w:val="en-US" w:eastAsia="en-GB" w:bidi="ar-SA"/>
        </w:rPr>
      </w:pPr>
      <w:r w:rsidRPr="00DD1B58">
        <w:rPr>
          <w:color w:val="000000"/>
          <w:szCs w:val="24"/>
          <w:lang w:val="en-US" w:eastAsia="en-GB" w:bidi="ar-SA"/>
        </w:rPr>
        <w:t>The main process (conversion) area of the Oxide Fuels Complex houses autoclaves, IDR kilns, powder/granule handling and pellet manufacturing equipment, with facilities for recovering residues and processing waste streams generated by the main processes (</w:t>
      </w:r>
      <w:r w:rsidR="00592956" w:rsidRPr="00DD1B58">
        <w:rPr>
          <w:color w:val="000000"/>
          <w:szCs w:val="24"/>
          <w:lang w:val="en-US" w:eastAsia="en-GB" w:bidi="ar-SA"/>
        </w:rPr>
        <w:t>for example,</w:t>
      </w:r>
      <w:r w:rsidRPr="00DD1B58">
        <w:rPr>
          <w:color w:val="000000"/>
          <w:szCs w:val="24"/>
          <w:lang w:val="en-US" w:eastAsia="en-GB" w:bidi="ar-SA"/>
        </w:rPr>
        <w:t xml:space="preserve"> the decontamination facility). There are Mechanical Areas (1 and 2) </w:t>
      </w:r>
      <w:r w:rsidR="00D0648F" w:rsidRPr="00DD1B58">
        <w:rPr>
          <w:color w:val="000000"/>
          <w:szCs w:val="24"/>
          <w:lang w:val="en-US" w:eastAsia="en-GB" w:bidi="ar-SA"/>
        </w:rPr>
        <w:t xml:space="preserve">that </w:t>
      </w:r>
      <w:r w:rsidRPr="00DD1B58">
        <w:rPr>
          <w:color w:val="000000"/>
          <w:szCs w:val="24"/>
          <w:lang w:val="en-US" w:eastAsia="en-GB" w:bidi="ar-SA"/>
        </w:rPr>
        <w:t>house equipment used for fabricating fuel pins and elements. A facility for Light Water Reactor (LWR) rod and fuel fabrication conjoins the Mechanical Areas.</w:t>
      </w:r>
      <w:r w:rsidR="00521FBE" w:rsidRPr="00DD1B58">
        <w:rPr>
          <w:color w:val="000000"/>
          <w:szCs w:val="24"/>
          <w:lang w:val="en-US" w:eastAsia="en-GB" w:bidi="ar-SA"/>
        </w:rPr>
        <w:t xml:space="preserve"> Specific processes carried out in each area are described in the Springfields site full submission </w:t>
      </w:r>
      <w:sdt>
        <w:sdtPr>
          <w:rPr>
            <w:color w:val="000000"/>
            <w:szCs w:val="24"/>
            <w:lang w:val="en-US" w:eastAsia="en-GB" w:bidi="ar-SA"/>
          </w:rPr>
          <w:id w:val="-1427190341"/>
          <w:citation/>
        </w:sdtPr>
        <w:sdtContent>
          <w:r w:rsidR="00521FBE" w:rsidRPr="00DD1B58">
            <w:rPr>
              <w:color w:val="000000"/>
              <w:szCs w:val="24"/>
              <w:lang w:val="en-US" w:eastAsia="en-GB" w:bidi="ar-SA"/>
            </w:rPr>
            <w:fldChar w:fldCharType="begin"/>
          </w:r>
          <w:r w:rsidR="00521FBE" w:rsidRPr="00DD1B58">
            <w:rPr>
              <w:color w:val="000000"/>
              <w:szCs w:val="24"/>
              <w:lang w:val="en-US" w:eastAsia="en-GB" w:bidi="ar-SA"/>
            </w:rPr>
            <w:instrText xml:space="preserve"> CITATION ENS \l 2057 </w:instrText>
          </w:r>
          <w:r w:rsidR="00521FBE" w:rsidRPr="00DD1B58">
            <w:rPr>
              <w:color w:val="000000"/>
              <w:szCs w:val="24"/>
              <w:lang w:val="en-US" w:eastAsia="en-GB" w:bidi="ar-SA"/>
            </w:rPr>
            <w:fldChar w:fldCharType="separate"/>
          </w:r>
          <w:r w:rsidR="00DF47DA" w:rsidRPr="00DF47DA">
            <w:rPr>
              <w:noProof/>
              <w:color w:val="000000"/>
              <w:szCs w:val="24"/>
              <w:lang w:val="en-US" w:eastAsia="en-GB" w:bidi="ar-SA"/>
            </w:rPr>
            <w:t>[9]</w:t>
          </w:r>
          <w:r w:rsidR="00521FBE" w:rsidRPr="00DD1B58">
            <w:rPr>
              <w:color w:val="000000"/>
              <w:szCs w:val="24"/>
              <w:lang w:val="en-US" w:eastAsia="en-GB" w:bidi="ar-SA"/>
            </w:rPr>
            <w:fldChar w:fldCharType="end"/>
          </w:r>
        </w:sdtContent>
      </w:sdt>
      <w:r w:rsidR="00521FBE" w:rsidRPr="00DD1B58">
        <w:rPr>
          <w:color w:val="000000"/>
          <w:szCs w:val="24"/>
          <w:lang w:val="en-US" w:eastAsia="en-GB" w:bidi="ar-SA"/>
        </w:rPr>
        <w:t>.</w:t>
      </w:r>
    </w:p>
    <w:p w14:paraId="2C8FD8DF" w14:textId="12A6C775" w:rsidR="00EE4D86" w:rsidRPr="00DD1B58" w:rsidRDefault="00247FD7" w:rsidP="00247FD7">
      <w:pPr>
        <w:pStyle w:val="Default"/>
        <w:rPr>
          <w:lang w:val="en-US"/>
        </w:rPr>
      </w:pPr>
      <w:r w:rsidRPr="00DD1B58">
        <w:rPr>
          <w:lang w:val="en-US"/>
        </w:rPr>
        <w:t xml:space="preserve">Service supplies to the whole facility, including hydrogen, compressed air and nitrogen are fed from other facilities on site via a gantry located on the </w:t>
      </w:r>
      <w:r w:rsidR="003D1F57" w:rsidRPr="00DD1B58">
        <w:rPr>
          <w:lang w:val="en-US"/>
        </w:rPr>
        <w:t xml:space="preserve">north </w:t>
      </w:r>
      <w:r w:rsidRPr="00DD1B58">
        <w:rPr>
          <w:lang w:val="en-US"/>
        </w:rPr>
        <w:t>side of the building.</w:t>
      </w:r>
      <w:r w:rsidR="00AE52B2" w:rsidRPr="00DD1B58">
        <w:rPr>
          <w:lang w:val="en-US"/>
        </w:rPr>
        <w:t xml:space="preserve"> </w:t>
      </w:r>
    </w:p>
    <w:p w14:paraId="257FA720" w14:textId="233E94EB" w:rsidR="00247FD7" w:rsidRPr="00DD1B58" w:rsidRDefault="00247FD7" w:rsidP="00247FD7">
      <w:pPr>
        <w:autoSpaceDE w:val="0"/>
        <w:autoSpaceDN w:val="0"/>
        <w:adjustRightInd w:val="0"/>
        <w:spacing w:after="0" w:line="240" w:lineRule="auto"/>
        <w:rPr>
          <w:color w:val="000000"/>
          <w:szCs w:val="24"/>
          <w:lang w:val="en-US" w:eastAsia="en-GB" w:bidi="ar-SA"/>
        </w:rPr>
      </w:pPr>
      <w:r w:rsidRPr="00DD1B58">
        <w:rPr>
          <w:color w:val="000000"/>
          <w:szCs w:val="24"/>
          <w:lang w:val="en-US" w:eastAsia="en-GB" w:bidi="ar-SA"/>
        </w:rPr>
        <w:t>Many of the fault scenarios associated with the Oxide Fuels Complex concern the overheating or the inadvertent heating of UF</w:t>
      </w:r>
      <w:r w:rsidRPr="00DD1B58">
        <w:rPr>
          <w:color w:val="000000"/>
          <w:szCs w:val="24"/>
          <w:vertAlign w:val="subscript"/>
          <w:lang w:val="en-US" w:eastAsia="en-GB" w:bidi="ar-SA"/>
        </w:rPr>
        <w:t>6</w:t>
      </w:r>
      <w:r w:rsidRPr="00DD1B58">
        <w:rPr>
          <w:color w:val="000000"/>
          <w:szCs w:val="24"/>
          <w:lang w:val="en-US" w:eastAsia="en-GB" w:bidi="ar-SA"/>
        </w:rPr>
        <w:t xml:space="preserve"> in either its transport cylinder or in the plant pipe work. OFC has introduced secondary containment autoclaves, thereby reducing the risks associated with heating UF</w:t>
      </w:r>
      <w:r w:rsidRPr="00DD1B58">
        <w:rPr>
          <w:color w:val="000000"/>
          <w:szCs w:val="24"/>
          <w:vertAlign w:val="subscript"/>
          <w:lang w:val="en-US" w:eastAsia="en-GB" w:bidi="ar-SA"/>
        </w:rPr>
        <w:t>6</w:t>
      </w:r>
      <w:r w:rsidRPr="00DD1B58">
        <w:rPr>
          <w:color w:val="000000"/>
          <w:szCs w:val="24"/>
          <w:lang w:val="en-US" w:eastAsia="en-GB" w:bidi="ar-SA"/>
        </w:rPr>
        <w:t xml:space="preserve"> compared to the previous fuel plant.</w:t>
      </w:r>
    </w:p>
    <w:p w14:paraId="2D3B2E60" w14:textId="77777777" w:rsidR="00EE4D86" w:rsidRPr="00DD1B58" w:rsidRDefault="00EE4D86" w:rsidP="00247FD7">
      <w:pPr>
        <w:autoSpaceDE w:val="0"/>
        <w:autoSpaceDN w:val="0"/>
        <w:adjustRightInd w:val="0"/>
        <w:spacing w:after="0" w:line="240" w:lineRule="auto"/>
        <w:rPr>
          <w:color w:val="000000"/>
          <w:szCs w:val="24"/>
          <w:lang w:val="en-US" w:eastAsia="en-GB" w:bidi="ar-SA"/>
        </w:rPr>
      </w:pPr>
    </w:p>
    <w:p w14:paraId="526ED1BF" w14:textId="107C529E" w:rsidR="004053D1" w:rsidRPr="00DD1B58" w:rsidRDefault="00A62023" w:rsidP="00247FD7">
      <w:pPr>
        <w:autoSpaceDE w:val="0"/>
        <w:autoSpaceDN w:val="0"/>
        <w:adjustRightInd w:val="0"/>
        <w:spacing w:after="0" w:line="240" w:lineRule="auto"/>
        <w:rPr>
          <w:color w:val="000000"/>
          <w:szCs w:val="24"/>
          <w:lang w:val="en-US" w:eastAsia="en-GB" w:bidi="ar-SA"/>
        </w:rPr>
      </w:pPr>
      <w:r w:rsidRPr="00DD1B58">
        <w:rPr>
          <w:color w:val="000000"/>
          <w:szCs w:val="24"/>
          <w:lang w:val="en-US" w:eastAsia="en-GB" w:bidi="ar-SA"/>
        </w:rPr>
        <w:t>F</w:t>
      </w:r>
      <w:r w:rsidR="000C4F8E" w:rsidRPr="00DD1B58">
        <w:rPr>
          <w:color w:val="000000"/>
          <w:szCs w:val="24"/>
          <w:lang w:val="en-US" w:eastAsia="en-GB" w:bidi="ar-SA"/>
        </w:rPr>
        <w:t>ire hazards from a potential radiological consequence perspective involve</w:t>
      </w:r>
      <w:r w:rsidR="00247FD7" w:rsidRPr="00DD1B58">
        <w:rPr>
          <w:color w:val="000000"/>
          <w:szCs w:val="24"/>
          <w:lang w:val="en-US" w:eastAsia="en-GB" w:bidi="ar-SA"/>
        </w:rPr>
        <w:t xml:space="preserve"> diesel pool fire</w:t>
      </w:r>
      <w:r w:rsidR="005D0CD4" w:rsidRPr="00DD1B58">
        <w:rPr>
          <w:color w:val="000000"/>
          <w:szCs w:val="24"/>
          <w:lang w:val="en-US" w:eastAsia="en-GB" w:bidi="ar-SA"/>
        </w:rPr>
        <w:t>s</w:t>
      </w:r>
      <w:r w:rsidR="003D1F57" w:rsidRPr="00DD1B58">
        <w:rPr>
          <w:color w:val="000000"/>
          <w:szCs w:val="24"/>
          <w:lang w:val="en-US" w:eastAsia="en-GB" w:bidi="ar-SA"/>
        </w:rPr>
        <w:t>.</w:t>
      </w:r>
      <w:r w:rsidR="000C4F8E" w:rsidRPr="00DD1B58">
        <w:rPr>
          <w:color w:val="000000"/>
          <w:szCs w:val="24"/>
          <w:lang w:val="en-US" w:eastAsia="en-GB" w:bidi="ar-SA"/>
        </w:rPr>
        <w:t xml:space="preserve"> </w:t>
      </w:r>
      <w:r w:rsidR="003D1F57" w:rsidRPr="00DD1B58">
        <w:rPr>
          <w:color w:val="000000"/>
          <w:szCs w:val="24"/>
          <w:lang w:val="en-US" w:eastAsia="en-GB" w:bidi="ar-SA"/>
        </w:rPr>
        <w:t>T</w:t>
      </w:r>
      <w:r w:rsidR="000C4F8E" w:rsidRPr="00DD1B58">
        <w:rPr>
          <w:color w:val="000000"/>
          <w:szCs w:val="24"/>
          <w:lang w:val="en-US" w:eastAsia="en-GB" w:bidi="ar-SA"/>
        </w:rPr>
        <w:t>his drives the provision of</w:t>
      </w:r>
      <w:r w:rsidR="00247FD7" w:rsidRPr="00DD1B58">
        <w:rPr>
          <w:color w:val="000000"/>
          <w:szCs w:val="24"/>
          <w:lang w:val="en-US" w:eastAsia="en-GB" w:bidi="ar-SA"/>
        </w:rPr>
        <w:t xml:space="preserve"> well-drained purpose-built storage </w:t>
      </w:r>
      <w:r w:rsidR="008909E4" w:rsidRPr="00DD1B58">
        <w:rPr>
          <w:color w:val="000000"/>
          <w:szCs w:val="24"/>
          <w:lang w:val="en-US" w:eastAsia="en-GB" w:bidi="ar-SA"/>
        </w:rPr>
        <w:t>facilities for radiological inventories</w:t>
      </w:r>
      <w:r w:rsidR="005D0CD4" w:rsidRPr="00DD1B58">
        <w:rPr>
          <w:color w:val="000000"/>
          <w:szCs w:val="24"/>
          <w:lang w:val="en-US" w:eastAsia="en-GB" w:bidi="ar-SA"/>
        </w:rPr>
        <w:t>,</w:t>
      </w:r>
      <w:r w:rsidR="008909E4" w:rsidRPr="00DD1B58">
        <w:rPr>
          <w:color w:val="000000"/>
          <w:szCs w:val="24"/>
          <w:lang w:val="en-US" w:eastAsia="en-GB" w:bidi="ar-SA"/>
        </w:rPr>
        <w:t xml:space="preserve"> so that any accidental</w:t>
      </w:r>
      <w:r w:rsidR="00247FD7" w:rsidRPr="00DD1B58">
        <w:rPr>
          <w:color w:val="000000"/>
          <w:szCs w:val="24"/>
          <w:lang w:val="en-US" w:eastAsia="en-GB" w:bidi="ar-SA"/>
        </w:rPr>
        <w:t xml:space="preserve"> </w:t>
      </w:r>
      <w:r w:rsidR="008909E4" w:rsidRPr="00DD1B58">
        <w:rPr>
          <w:color w:val="000000"/>
          <w:szCs w:val="24"/>
          <w:lang w:val="en-US" w:eastAsia="en-GB" w:bidi="ar-SA"/>
        </w:rPr>
        <w:t>diesel spill</w:t>
      </w:r>
      <w:r w:rsidR="00247FD7" w:rsidRPr="00DD1B58">
        <w:rPr>
          <w:color w:val="000000"/>
          <w:szCs w:val="24"/>
          <w:lang w:val="en-US" w:eastAsia="en-GB" w:bidi="ar-SA"/>
        </w:rPr>
        <w:t xml:space="preserve"> </w:t>
      </w:r>
      <w:r w:rsidR="008909E4" w:rsidRPr="00DD1B58">
        <w:rPr>
          <w:color w:val="000000"/>
          <w:szCs w:val="24"/>
          <w:lang w:val="en-US" w:eastAsia="en-GB" w:bidi="ar-SA"/>
        </w:rPr>
        <w:t>do</w:t>
      </w:r>
      <w:r w:rsidR="003D1F57" w:rsidRPr="00DD1B58">
        <w:rPr>
          <w:color w:val="000000"/>
          <w:szCs w:val="24"/>
          <w:lang w:val="en-US" w:eastAsia="en-GB" w:bidi="ar-SA"/>
        </w:rPr>
        <w:t>es</w:t>
      </w:r>
      <w:r w:rsidR="008909E4" w:rsidRPr="00DD1B58">
        <w:rPr>
          <w:color w:val="000000"/>
          <w:szCs w:val="24"/>
          <w:lang w:val="en-US" w:eastAsia="en-GB" w:bidi="ar-SA"/>
        </w:rPr>
        <w:t xml:space="preserve"> not</w:t>
      </w:r>
      <w:r w:rsidR="00247FD7" w:rsidRPr="00DD1B58">
        <w:rPr>
          <w:color w:val="000000"/>
          <w:szCs w:val="24"/>
          <w:lang w:val="en-US" w:eastAsia="en-GB" w:bidi="ar-SA"/>
        </w:rPr>
        <w:t xml:space="preserve"> pool but </w:t>
      </w:r>
      <w:r w:rsidR="003D1F57" w:rsidRPr="00DD1B58">
        <w:rPr>
          <w:color w:val="000000"/>
          <w:szCs w:val="24"/>
          <w:lang w:val="en-US" w:eastAsia="en-GB" w:bidi="ar-SA"/>
        </w:rPr>
        <w:t xml:space="preserve">instead </w:t>
      </w:r>
      <w:r w:rsidR="00247FD7" w:rsidRPr="00DD1B58">
        <w:rPr>
          <w:color w:val="000000"/>
          <w:szCs w:val="24"/>
          <w:lang w:val="en-US" w:eastAsia="en-GB" w:bidi="ar-SA"/>
        </w:rPr>
        <w:t>drain</w:t>
      </w:r>
      <w:r w:rsidR="003D1F57" w:rsidRPr="00DD1B58">
        <w:rPr>
          <w:color w:val="000000"/>
          <w:szCs w:val="24"/>
          <w:lang w:val="en-US" w:eastAsia="en-GB" w:bidi="ar-SA"/>
        </w:rPr>
        <w:t>s</w:t>
      </w:r>
      <w:r w:rsidR="00247FD7" w:rsidRPr="00DD1B58">
        <w:rPr>
          <w:color w:val="000000"/>
          <w:szCs w:val="24"/>
          <w:lang w:val="en-US" w:eastAsia="en-GB" w:bidi="ar-SA"/>
        </w:rPr>
        <w:t xml:space="preserve"> away to the surrounding drains. All rafts used for storing </w:t>
      </w:r>
      <w:r w:rsidR="00F43027" w:rsidRPr="00DD1B58">
        <w:rPr>
          <w:color w:val="000000"/>
          <w:szCs w:val="24"/>
          <w:lang w:val="en-US" w:eastAsia="en-GB" w:bidi="ar-SA"/>
        </w:rPr>
        <w:t>uranium h</w:t>
      </w:r>
      <w:r w:rsidR="00247FD7" w:rsidRPr="00DD1B58">
        <w:rPr>
          <w:color w:val="000000"/>
          <w:szCs w:val="24"/>
          <w:lang w:val="en-US" w:eastAsia="en-GB" w:bidi="ar-SA"/>
        </w:rPr>
        <w:t xml:space="preserve">exafluoride are designated </w:t>
      </w:r>
      <w:r w:rsidR="00F43027" w:rsidRPr="00DD1B58">
        <w:rPr>
          <w:color w:val="000000"/>
          <w:szCs w:val="24"/>
          <w:lang w:val="en-US" w:eastAsia="en-GB" w:bidi="ar-SA"/>
        </w:rPr>
        <w:t>safety f</w:t>
      </w:r>
      <w:r w:rsidR="00247FD7" w:rsidRPr="00DD1B58">
        <w:rPr>
          <w:color w:val="000000"/>
          <w:szCs w:val="24"/>
          <w:lang w:val="en-US" w:eastAsia="en-GB" w:bidi="ar-SA"/>
        </w:rPr>
        <w:t>eatures</w:t>
      </w:r>
      <w:r w:rsidR="005D0CD4" w:rsidRPr="00DD1B58">
        <w:rPr>
          <w:color w:val="000000"/>
          <w:szCs w:val="24"/>
          <w:lang w:val="en-US" w:eastAsia="en-GB" w:bidi="ar-SA"/>
        </w:rPr>
        <w:t xml:space="preserve"> and are purposedly designed as per above</w:t>
      </w:r>
      <w:r w:rsidR="00247FD7" w:rsidRPr="00DD1B58">
        <w:rPr>
          <w:color w:val="000000"/>
          <w:szCs w:val="24"/>
          <w:lang w:val="en-US" w:eastAsia="en-GB" w:bidi="ar-SA"/>
        </w:rPr>
        <w:t>.</w:t>
      </w:r>
    </w:p>
    <w:p w14:paraId="0071610F" w14:textId="35F55E44" w:rsidR="00247FD7" w:rsidRPr="00DD1B58" w:rsidRDefault="00247FD7" w:rsidP="00247FD7">
      <w:pPr>
        <w:autoSpaceDE w:val="0"/>
        <w:autoSpaceDN w:val="0"/>
        <w:adjustRightInd w:val="0"/>
        <w:spacing w:after="0" w:line="240" w:lineRule="auto"/>
        <w:rPr>
          <w:color w:val="000000"/>
          <w:szCs w:val="24"/>
          <w:lang w:val="en-US" w:eastAsia="en-GB" w:bidi="ar-SA"/>
        </w:rPr>
      </w:pPr>
    </w:p>
    <w:p w14:paraId="18A539AB" w14:textId="212E3402" w:rsidR="00247FD7" w:rsidRPr="00DD1B58" w:rsidRDefault="00247FD7" w:rsidP="00247FD7">
      <w:pPr>
        <w:autoSpaceDE w:val="0"/>
        <w:autoSpaceDN w:val="0"/>
        <w:adjustRightInd w:val="0"/>
        <w:spacing w:after="0" w:line="240" w:lineRule="auto"/>
        <w:rPr>
          <w:color w:val="000000"/>
          <w:szCs w:val="24"/>
          <w:lang w:val="en-US" w:eastAsia="en-GB" w:bidi="ar-SA"/>
        </w:rPr>
      </w:pPr>
      <w:r w:rsidRPr="00DD1B58">
        <w:rPr>
          <w:color w:val="000000"/>
          <w:szCs w:val="24"/>
          <w:lang w:val="en-US" w:eastAsia="en-GB" w:bidi="ar-SA"/>
        </w:rPr>
        <w:t>Hydrogen is used throughout the Oxide Fuels Complex. Flame traps and other safety systems including inert purging, appropriate trip systems and suitable area classification zoning are used to mitigate the risk of an explosion.</w:t>
      </w:r>
    </w:p>
    <w:p w14:paraId="15A217F6" w14:textId="77777777" w:rsidR="00F239CD" w:rsidRPr="00DD1B58" w:rsidRDefault="00F239CD" w:rsidP="00247FD7">
      <w:pPr>
        <w:autoSpaceDE w:val="0"/>
        <w:autoSpaceDN w:val="0"/>
        <w:adjustRightInd w:val="0"/>
        <w:spacing w:after="0" w:line="240" w:lineRule="auto"/>
        <w:rPr>
          <w:color w:val="000000"/>
          <w:szCs w:val="24"/>
          <w:lang w:val="en-US" w:eastAsia="en-GB" w:bidi="ar-SA"/>
        </w:rPr>
      </w:pPr>
    </w:p>
    <w:p w14:paraId="067DF83F" w14:textId="77777777" w:rsidR="00923942" w:rsidRPr="00DD1B58" w:rsidRDefault="00247FD7" w:rsidP="00247FD7">
      <w:pPr>
        <w:rPr>
          <w:color w:val="000000"/>
          <w:lang w:val="en-US" w:eastAsia="en-GB" w:bidi="ar-SA"/>
        </w:rPr>
      </w:pPr>
      <w:r w:rsidRPr="00DD1B58">
        <w:rPr>
          <w:color w:val="000000" w:themeColor="text2"/>
          <w:lang w:val="en-US" w:eastAsia="en-GB" w:bidi="ar-SA"/>
        </w:rPr>
        <w:t>Other fire hazards are primarily conventional such as electrical fires, overheating bearings, or fires due to hot working.</w:t>
      </w:r>
    </w:p>
    <w:p w14:paraId="29A949BD" w14:textId="071AA359" w:rsidR="00710F88" w:rsidRPr="00DD1B58" w:rsidRDefault="0089637D" w:rsidP="00247FD7">
      <w:pPr>
        <w:rPr>
          <w:color w:val="000000"/>
          <w:lang w:val="en-US" w:eastAsia="en-GB" w:bidi="ar-SA"/>
        </w:rPr>
      </w:pPr>
      <w:r w:rsidRPr="00DD1B58">
        <w:rPr>
          <w:color w:val="000000" w:themeColor="text2"/>
          <w:lang w:val="en-US" w:eastAsia="en-GB" w:bidi="ar-SA"/>
        </w:rPr>
        <w:t xml:space="preserve">The main process stages carried out in the LWR Fuel Fabrication </w:t>
      </w:r>
      <w:r w:rsidR="00985DEE" w:rsidRPr="00DD1B58">
        <w:rPr>
          <w:color w:val="000000" w:themeColor="text2"/>
          <w:lang w:val="en-US" w:eastAsia="en-GB" w:bidi="ar-SA"/>
        </w:rPr>
        <w:t>facility</w:t>
      </w:r>
      <w:r w:rsidR="002D4DAE" w:rsidRPr="00DD1B58">
        <w:rPr>
          <w:color w:val="000000" w:themeColor="text2"/>
          <w:lang w:val="en-US" w:eastAsia="en-GB" w:bidi="ar-SA"/>
        </w:rPr>
        <w:t xml:space="preserve"> and </w:t>
      </w:r>
      <w:r w:rsidR="00E56193" w:rsidRPr="00DD1B58">
        <w:rPr>
          <w:color w:val="000000" w:themeColor="text2"/>
          <w:lang w:val="en-US" w:eastAsia="en-GB" w:bidi="ar-SA"/>
        </w:rPr>
        <w:t>the Powder and Pellet Export Facility</w:t>
      </w:r>
      <w:r w:rsidRPr="00DD1B58">
        <w:rPr>
          <w:color w:val="000000" w:themeColor="text2"/>
          <w:lang w:val="en-US" w:eastAsia="en-GB" w:bidi="ar-SA"/>
        </w:rPr>
        <w:t xml:space="preserve"> are</w:t>
      </w:r>
      <w:r w:rsidR="00E56193" w:rsidRPr="00DD1B58">
        <w:rPr>
          <w:color w:val="000000" w:themeColor="text2"/>
          <w:lang w:val="en-US" w:eastAsia="en-GB" w:bidi="ar-SA"/>
        </w:rPr>
        <w:t xml:space="preserve"> list</w:t>
      </w:r>
      <w:r w:rsidR="00E31FB5" w:rsidRPr="00DD1B58">
        <w:rPr>
          <w:color w:val="000000" w:themeColor="text2"/>
          <w:lang w:val="en-US" w:eastAsia="en-GB" w:bidi="ar-SA"/>
        </w:rPr>
        <w:t>ed</w:t>
      </w:r>
      <w:r w:rsidR="00E56193" w:rsidRPr="00DD1B58">
        <w:rPr>
          <w:color w:val="000000" w:themeColor="text2"/>
          <w:lang w:val="en-US" w:eastAsia="en-GB" w:bidi="ar-SA"/>
        </w:rPr>
        <w:t xml:space="preserve"> in the Springfields </w:t>
      </w:r>
      <w:r w:rsidR="00E31FB5" w:rsidRPr="00DD1B58">
        <w:rPr>
          <w:color w:val="000000" w:themeColor="text2"/>
          <w:lang w:val="en-US" w:eastAsia="en-GB" w:bidi="ar-SA"/>
        </w:rPr>
        <w:t xml:space="preserve">site full submission </w:t>
      </w:r>
      <w:sdt>
        <w:sdtPr>
          <w:rPr>
            <w:color w:val="000000" w:themeColor="text2"/>
            <w:lang w:val="en-US" w:eastAsia="en-GB" w:bidi="ar-SA"/>
          </w:rPr>
          <w:id w:val="-660310074"/>
          <w:citation/>
        </w:sdtPr>
        <w:sdtContent>
          <w:r w:rsidR="00E31FB5" w:rsidRPr="00DD1B58">
            <w:rPr>
              <w:color w:val="000000" w:themeColor="text2"/>
              <w:lang w:val="en-US" w:eastAsia="en-GB" w:bidi="ar-SA"/>
            </w:rPr>
            <w:fldChar w:fldCharType="begin"/>
          </w:r>
          <w:r w:rsidR="00E31FB5" w:rsidRPr="00DD1B58">
            <w:rPr>
              <w:color w:val="000000" w:themeColor="text2"/>
              <w:lang w:val="en-US" w:eastAsia="en-GB" w:bidi="ar-SA"/>
            </w:rPr>
            <w:instrText xml:space="preserve"> CITATION ENS \l 2057 </w:instrText>
          </w:r>
          <w:r w:rsidR="00E31FB5" w:rsidRPr="00DD1B58">
            <w:rPr>
              <w:color w:val="000000" w:themeColor="text2"/>
              <w:lang w:val="en-US" w:eastAsia="en-GB" w:bidi="ar-SA"/>
            </w:rPr>
            <w:fldChar w:fldCharType="separate"/>
          </w:r>
          <w:r w:rsidR="00DF47DA" w:rsidRPr="00DF47DA">
            <w:rPr>
              <w:noProof/>
              <w:color w:val="000000" w:themeColor="text2"/>
              <w:lang w:val="en-US" w:eastAsia="en-GB" w:bidi="ar-SA"/>
            </w:rPr>
            <w:t>[9]</w:t>
          </w:r>
          <w:r w:rsidR="00E31FB5" w:rsidRPr="00DD1B58">
            <w:rPr>
              <w:color w:val="000000" w:themeColor="text2"/>
              <w:lang w:val="en-US" w:eastAsia="en-GB" w:bidi="ar-SA"/>
            </w:rPr>
            <w:fldChar w:fldCharType="end"/>
          </w:r>
        </w:sdtContent>
      </w:sdt>
      <w:r w:rsidR="00E31FB5" w:rsidRPr="00DD1B58">
        <w:rPr>
          <w:color w:val="000000" w:themeColor="text2"/>
          <w:lang w:val="en-US" w:eastAsia="en-GB" w:bidi="ar-SA"/>
        </w:rPr>
        <w:t>.</w:t>
      </w:r>
    </w:p>
    <w:p w14:paraId="5E7EA65F" w14:textId="77777777" w:rsidR="007E22E5" w:rsidRPr="00DD1B58" w:rsidRDefault="007E22E5" w:rsidP="007E22E5">
      <w:pPr>
        <w:rPr>
          <w:lang w:val="en-US"/>
        </w:rPr>
      </w:pPr>
      <w:r w:rsidRPr="00DD1B58">
        <w:rPr>
          <w:lang w:val="en-US"/>
        </w:rPr>
        <w:t>Zirconium swarf and turnings are produced as part of the process. Acetone is used primarily for cleaning finished fuel assemblies.</w:t>
      </w:r>
      <w:r w:rsidR="000C4F85" w:rsidRPr="00DD1B58">
        <w:rPr>
          <w:lang w:val="en-US"/>
        </w:rPr>
        <w:t xml:space="preserve"> </w:t>
      </w:r>
      <w:r w:rsidRPr="00DD1B58">
        <w:rPr>
          <w:lang w:val="en-US"/>
        </w:rPr>
        <w:t>Production areas have criticality controls that include restrictions on the use of hydrogenous firefighting agents.</w:t>
      </w:r>
    </w:p>
    <w:p w14:paraId="3BC17061" w14:textId="77777777" w:rsidR="009D7051" w:rsidRPr="00DD1B58" w:rsidRDefault="00C712DF" w:rsidP="004338B0">
      <w:pPr>
        <w:rPr>
          <w:b/>
          <w:lang w:val="en-US"/>
        </w:rPr>
      </w:pPr>
      <w:r w:rsidRPr="00DD1B58">
        <w:rPr>
          <w:b/>
          <w:lang w:val="en-US"/>
        </w:rPr>
        <w:t>Finished Fuel Store</w:t>
      </w:r>
    </w:p>
    <w:p w14:paraId="0700FD94" w14:textId="5BEF740E" w:rsidR="00C712DF" w:rsidRPr="00DD1B58" w:rsidRDefault="007E22E5" w:rsidP="004338B0">
      <w:pPr>
        <w:rPr>
          <w:lang w:val="en-US"/>
        </w:rPr>
      </w:pPr>
      <w:r w:rsidRPr="00DD1B58">
        <w:rPr>
          <w:lang w:val="en-US"/>
        </w:rPr>
        <w:t xml:space="preserve">The finished fuel store is used for the storage of finished AGR fuel produced within the Oxide Fuels Complex in </w:t>
      </w:r>
      <w:r w:rsidR="007414AA" w:rsidRPr="00DD1B58">
        <w:rPr>
          <w:lang w:val="en-US"/>
        </w:rPr>
        <w:t>IAEA-</w:t>
      </w:r>
      <w:r w:rsidRPr="00DD1B58">
        <w:rPr>
          <w:lang w:val="en-US"/>
        </w:rPr>
        <w:t>compliant transport containers prior to despatch to the appropriate reactor station. Transport containers of each type of fuel are stacked by a forklift truck (or a pedestrian operated version of such) in accordance with the terms of the Criticality Clearance Certificate covering the building.</w:t>
      </w:r>
    </w:p>
    <w:p w14:paraId="4C0CBD0E" w14:textId="77777777" w:rsidR="00C712DF" w:rsidRPr="00DD1B58" w:rsidRDefault="00C712DF" w:rsidP="004338B0">
      <w:pPr>
        <w:rPr>
          <w:b/>
          <w:lang w:val="en-US"/>
        </w:rPr>
      </w:pPr>
      <w:r w:rsidRPr="00DD1B58">
        <w:rPr>
          <w:b/>
          <w:lang w:val="en-US"/>
        </w:rPr>
        <w:t>Enriched Uranium Residues Recovery Plant (EURRP)</w:t>
      </w:r>
    </w:p>
    <w:p w14:paraId="1FBD94F5" w14:textId="77777777" w:rsidR="0069195F" w:rsidRPr="00DD1B58" w:rsidRDefault="0069195F" w:rsidP="003049ED">
      <w:pPr>
        <w:rPr>
          <w:lang w:val="en-US"/>
        </w:rPr>
      </w:pPr>
      <w:r w:rsidRPr="00DD1B58">
        <w:rPr>
          <w:lang w:val="en-US"/>
        </w:rPr>
        <w:lastRenderedPageBreak/>
        <w:t>The EURRP processing building contains</w:t>
      </w:r>
      <w:r w:rsidR="003049ED" w:rsidRPr="00DD1B58">
        <w:rPr>
          <w:lang w:val="en-US"/>
        </w:rPr>
        <w:t xml:space="preserve"> a</w:t>
      </w:r>
      <w:r w:rsidRPr="00DD1B58">
        <w:rPr>
          <w:lang w:val="en-US"/>
        </w:rPr>
        <w:t xml:space="preserve"> nitric acid wash facility</w:t>
      </w:r>
      <w:r w:rsidR="003049ED" w:rsidRPr="00DD1B58">
        <w:rPr>
          <w:lang w:val="en-US"/>
        </w:rPr>
        <w:t>, w</w:t>
      </w:r>
      <w:r w:rsidRPr="00DD1B58">
        <w:rPr>
          <w:lang w:val="en-US"/>
        </w:rPr>
        <w:t>et process areas for dissolvers, precipitators etc</w:t>
      </w:r>
      <w:r w:rsidR="003049ED" w:rsidRPr="00DD1B58">
        <w:rPr>
          <w:lang w:val="en-US"/>
        </w:rPr>
        <w:t>, r</w:t>
      </w:r>
      <w:r w:rsidRPr="00DD1B58">
        <w:rPr>
          <w:lang w:val="en-US"/>
        </w:rPr>
        <w:t>esidue’s storage areas and an SGC store</w:t>
      </w:r>
      <w:r w:rsidR="003049ED" w:rsidRPr="00DD1B58">
        <w:rPr>
          <w:lang w:val="en-US"/>
        </w:rPr>
        <w:t>, a</w:t>
      </w:r>
      <w:r w:rsidRPr="00DD1B58">
        <w:rPr>
          <w:lang w:val="en-US"/>
        </w:rPr>
        <w:t xml:space="preserve"> furnace area</w:t>
      </w:r>
      <w:r w:rsidR="003049ED" w:rsidRPr="00DD1B58">
        <w:rPr>
          <w:lang w:val="en-US"/>
        </w:rPr>
        <w:t xml:space="preserve">, </w:t>
      </w:r>
      <w:r w:rsidRPr="00DD1B58">
        <w:rPr>
          <w:lang w:val="en-US"/>
        </w:rPr>
        <w:t>UN storage areas</w:t>
      </w:r>
      <w:r w:rsidR="003049ED" w:rsidRPr="00DD1B58">
        <w:rPr>
          <w:lang w:val="en-US"/>
        </w:rPr>
        <w:t xml:space="preserve"> and a</w:t>
      </w:r>
      <w:r w:rsidRPr="00DD1B58">
        <w:rPr>
          <w:lang w:val="en-US"/>
        </w:rPr>
        <w:t xml:space="preserve"> solvent extraction/nitric acid storage area.</w:t>
      </w:r>
    </w:p>
    <w:p w14:paraId="470850CC" w14:textId="0C4414D5" w:rsidR="0069195F" w:rsidRPr="00DD1B58" w:rsidRDefault="0069195F" w:rsidP="0069195F">
      <w:pPr>
        <w:rPr>
          <w:lang w:val="en-US"/>
        </w:rPr>
      </w:pPr>
      <w:r w:rsidRPr="00DD1B58">
        <w:rPr>
          <w:lang w:val="en-US"/>
        </w:rPr>
        <w:t>Services include electrical switchrooms, w</w:t>
      </w:r>
      <w:r w:rsidR="00F651B4" w:rsidRPr="00DD1B58">
        <w:rPr>
          <w:lang w:val="en-US"/>
        </w:rPr>
        <w:t>o</w:t>
      </w:r>
      <w:r w:rsidRPr="00DD1B58">
        <w:rPr>
          <w:lang w:val="en-US"/>
        </w:rPr>
        <w:t xml:space="preserve">rkshops, stores, tank rooms and ventilation input and extract fans with a motor control centre. An amenities building containing offices, changerooms and </w:t>
      </w:r>
      <w:r w:rsidR="00010ECE" w:rsidRPr="00DD1B58">
        <w:rPr>
          <w:lang w:val="en-US"/>
        </w:rPr>
        <w:t xml:space="preserve">a </w:t>
      </w:r>
      <w:r w:rsidRPr="00DD1B58">
        <w:rPr>
          <w:lang w:val="en-US"/>
        </w:rPr>
        <w:t>canteen conjoins the main processing building.</w:t>
      </w:r>
    </w:p>
    <w:p w14:paraId="25107B20" w14:textId="6A69108D" w:rsidR="00817E69" w:rsidRPr="00DD1B58" w:rsidRDefault="00817E69" w:rsidP="00817E69">
      <w:pPr>
        <w:rPr>
          <w:lang w:val="en-US"/>
        </w:rPr>
      </w:pPr>
      <w:r w:rsidRPr="00DD1B58">
        <w:rPr>
          <w:lang w:val="en-US"/>
        </w:rPr>
        <w:t xml:space="preserve">External areas around the building contain effluent tanks, check tanks, a neutralising vessel and </w:t>
      </w:r>
      <w:r w:rsidR="00813FA4" w:rsidRPr="00DD1B58">
        <w:rPr>
          <w:lang w:val="en-US"/>
        </w:rPr>
        <w:t xml:space="preserve">a </w:t>
      </w:r>
      <w:r w:rsidRPr="00DD1B58">
        <w:rPr>
          <w:lang w:val="en-US"/>
        </w:rPr>
        <w:t xml:space="preserve">cooling water tower. There is a separate bunded SGB pumping station for washings. A concrete apron at the east side of the building is used to store filters, Intermediate Bulk Containers and Safe by Geometry Bins (IBCs and SGBs) awaiting processing. An open area to the </w:t>
      </w:r>
      <w:r w:rsidR="00EE3862" w:rsidRPr="00DD1B58">
        <w:rPr>
          <w:lang w:val="en-US"/>
        </w:rPr>
        <w:t>n</w:t>
      </w:r>
      <w:r w:rsidRPr="00DD1B58">
        <w:rPr>
          <w:lang w:val="en-US"/>
        </w:rPr>
        <w:t>orth is used for the storage of low uranium content residues.</w:t>
      </w:r>
    </w:p>
    <w:p w14:paraId="04504C60" w14:textId="14624801" w:rsidR="00817E69" w:rsidRPr="00DD1B58" w:rsidRDefault="00817E69" w:rsidP="00817E69">
      <w:pPr>
        <w:rPr>
          <w:lang w:val="en-US"/>
        </w:rPr>
      </w:pPr>
      <w:r w:rsidRPr="00DD1B58">
        <w:rPr>
          <w:lang w:val="en-US"/>
        </w:rPr>
        <w:t xml:space="preserve">EURRP currently processes materials from the Oxide Fuels Complex (OFC) and the Hex Cylinder Wash plant, as well as historic SFL residues (such as </w:t>
      </w:r>
      <w:r w:rsidR="00D840E8" w:rsidRPr="00DD1B58">
        <w:rPr>
          <w:lang w:val="en-US"/>
        </w:rPr>
        <w:t xml:space="preserve">bulk calcined cake </w:t>
      </w:r>
      <w:r w:rsidRPr="00DD1B58">
        <w:rPr>
          <w:lang w:val="en-US"/>
        </w:rPr>
        <w:t xml:space="preserve">material). In the future, the spectrum of materials requiring processing via EURRP may change and other residues from </w:t>
      </w:r>
      <w:r w:rsidR="00D840E8" w:rsidRPr="00DD1B58">
        <w:rPr>
          <w:lang w:val="en-US"/>
        </w:rPr>
        <w:t xml:space="preserve">uranium </w:t>
      </w:r>
      <w:r w:rsidRPr="00DD1B58">
        <w:rPr>
          <w:lang w:val="en-US"/>
        </w:rPr>
        <w:t>bearing materials may require processing.</w:t>
      </w:r>
    </w:p>
    <w:p w14:paraId="178EB8DF" w14:textId="77777777" w:rsidR="00817E69" w:rsidRPr="00DD1B58" w:rsidRDefault="00817E69" w:rsidP="00817E69">
      <w:pPr>
        <w:rPr>
          <w:lang w:val="en-US"/>
        </w:rPr>
      </w:pPr>
      <w:r w:rsidRPr="00DD1B58">
        <w:rPr>
          <w:lang w:val="en-US"/>
        </w:rPr>
        <w:t>Westinghouse has recently undertaken a modification of EURRP to permit the future spectrum of feedstocks to be processed at the desired rates.</w:t>
      </w:r>
    </w:p>
    <w:p w14:paraId="374EA297" w14:textId="3552A172" w:rsidR="00653531" w:rsidRPr="00DD1B58" w:rsidRDefault="00817E69" w:rsidP="007F6BB2">
      <w:pPr>
        <w:rPr>
          <w:lang w:val="en-US"/>
        </w:rPr>
      </w:pPr>
      <w:r w:rsidRPr="00DD1B58">
        <w:rPr>
          <w:lang w:val="en-US"/>
        </w:rPr>
        <w:t xml:space="preserve">Flammable and combustible materials present associated with the process </w:t>
      </w:r>
      <w:r w:rsidR="00F92109" w:rsidRPr="00DD1B58">
        <w:rPr>
          <w:lang w:val="en-US"/>
        </w:rPr>
        <w:t>include</w:t>
      </w:r>
      <w:r w:rsidR="00F92109" w:rsidRPr="00DD1B58">
        <w:rPr>
          <w:lang w:val="en-US" w:eastAsia="en-GB" w:bidi="ar-SA"/>
        </w:rPr>
        <w:t xml:space="preserve"> </w:t>
      </w:r>
      <w:r w:rsidR="00D840E8" w:rsidRPr="00DD1B58">
        <w:rPr>
          <w:lang w:val="en-US" w:eastAsia="en-GB" w:bidi="ar-SA"/>
        </w:rPr>
        <w:t>hydrogen</w:t>
      </w:r>
      <w:r w:rsidR="00F92109" w:rsidRPr="00DD1B58">
        <w:rPr>
          <w:lang w:val="en-US" w:eastAsia="en-GB" w:bidi="ar-SA"/>
        </w:rPr>
        <w:t xml:space="preserve">, </w:t>
      </w:r>
      <w:r w:rsidR="00B20AA8" w:rsidRPr="00DD1B58">
        <w:rPr>
          <w:lang w:val="en-US" w:eastAsia="en-GB" w:bidi="ar-SA"/>
        </w:rPr>
        <w:t xml:space="preserve">20% </w:t>
      </w:r>
      <w:r w:rsidR="00D840E8" w:rsidRPr="00DD1B58">
        <w:rPr>
          <w:lang w:val="en-US" w:eastAsia="en-GB" w:bidi="ar-SA"/>
        </w:rPr>
        <w:t>tri</w:t>
      </w:r>
      <w:r w:rsidR="00B20AA8" w:rsidRPr="00DD1B58">
        <w:rPr>
          <w:lang w:val="en-US" w:eastAsia="en-GB" w:bidi="ar-SA"/>
        </w:rPr>
        <w:t>-n-</w:t>
      </w:r>
      <w:r w:rsidR="00D840E8" w:rsidRPr="00DD1B58">
        <w:rPr>
          <w:lang w:val="en-US" w:eastAsia="en-GB" w:bidi="ar-SA"/>
        </w:rPr>
        <w:t>butyl phosphate</w:t>
      </w:r>
      <w:r w:rsidR="00B20AA8" w:rsidRPr="00DD1B58">
        <w:rPr>
          <w:lang w:val="en-US" w:eastAsia="en-GB" w:bidi="ar-SA"/>
        </w:rPr>
        <w:t>/</w:t>
      </w:r>
      <w:r w:rsidR="00D840E8" w:rsidRPr="00DD1B58">
        <w:rPr>
          <w:lang w:val="en-US" w:eastAsia="en-GB" w:bidi="ar-SA"/>
        </w:rPr>
        <w:t>o</w:t>
      </w:r>
      <w:r w:rsidR="00B20AA8" w:rsidRPr="00DD1B58">
        <w:rPr>
          <w:lang w:val="en-US" w:eastAsia="en-GB" w:bidi="ar-SA"/>
        </w:rPr>
        <w:t xml:space="preserve">dourless </w:t>
      </w:r>
      <w:r w:rsidR="00D840E8" w:rsidRPr="00DD1B58">
        <w:rPr>
          <w:lang w:val="en-US" w:eastAsia="en-GB" w:bidi="ar-SA"/>
        </w:rPr>
        <w:t>k</w:t>
      </w:r>
      <w:r w:rsidR="00B20AA8" w:rsidRPr="00DD1B58">
        <w:rPr>
          <w:lang w:val="en-US" w:eastAsia="en-GB" w:bidi="ar-SA"/>
        </w:rPr>
        <w:t>erosene (20% TBP/OK)</w:t>
      </w:r>
      <w:r w:rsidR="00F92109" w:rsidRPr="00DD1B58">
        <w:rPr>
          <w:lang w:val="en-US" w:eastAsia="en-GB" w:bidi="ar-SA"/>
        </w:rPr>
        <w:t xml:space="preserve">, </w:t>
      </w:r>
      <w:r w:rsidR="00D840E8" w:rsidRPr="00DD1B58">
        <w:rPr>
          <w:lang w:val="en-US" w:eastAsia="en-GB" w:bidi="ar-SA"/>
        </w:rPr>
        <w:t>a</w:t>
      </w:r>
      <w:r w:rsidR="00B20AA8" w:rsidRPr="00DD1B58">
        <w:rPr>
          <w:lang w:val="en-US" w:eastAsia="en-GB" w:bidi="ar-SA"/>
        </w:rPr>
        <w:t xml:space="preserve">mmonium </w:t>
      </w:r>
      <w:r w:rsidR="00D840E8" w:rsidRPr="00DD1B58">
        <w:rPr>
          <w:lang w:val="en-US" w:eastAsia="en-GB" w:bidi="ar-SA"/>
        </w:rPr>
        <w:t xml:space="preserve">hydroxide </w:t>
      </w:r>
      <w:r w:rsidR="00B20AA8" w:rsidRPr="00DD1B58">
        <w:rPr>
          <w:lang w:val="en-US" w:eastAsia="en-GB" w:bidi="ar-SA"/>
        </w:rPr>
        <w:t>(NH</w:t>
      </w:r>
      <w:r w:rsidR="00B20AA8" w:rsidRPr="00DD1B58">
        <w:rPr>
          <w:vertAlign w:val="subscript"/>
          <w:lang w:val="en-US" w:eastAsia="en-GB" w:bidi="ar-SA"/>
        </w:rPr>
        <w:t>4</w:t>
      </w:r>
      <w:r w:rsidR="00B20AA8" w:rsidRPr="00DD1B58">
        <w:rPr>
          <w:lang w:val="en-US" w:eastAsia="en-GB" w:bidi="ar-SA"/>
        </w:rPr>
        <w:t>OH)</w:t>
      </w:r>
      <w:r w:rsidR="00F92109" w:rsidRPr="00DD1B58">
        <w:rPr>
          <w:lang w:val="en-US" w:eastAsia="en-GB" w:bidi="ar-SA"/>
        </w:rPr>
        <w:t xml:space="preserve">, </w:t>
      </w:r>
      <w:r w:rsidR="00D840E8" w:rsidRPr="00DD1B58">
        <w:rPr>
          <w:lang w:val="en-US" w:eastAsia="en-GB" w:bidi="ar-SA"/>
        </w:rPr>
        <w:t>e</w:t>
      </w:r>
      <w:r w:rsidR="00B20AA8" w:rsidRPr="00DD1B58">
        <w:rPr>
          <w:lang w:val="en-US" w:eastAsia="en-GB" w:bidi="ar-SA"/>
        </w:rPr>
        <w:t xml:space="preserve">thylene </w:t>
      </w:r>
      <w:r w:rsidR="00D840E8" w:rsidRPr="00DD1B58">
        <w:rPr>
          <w:lang w:val="en-US" w:eastAsia="en-GB" w:bidi="ar-SA"/>
        </w:rPr>
        <w:t>glycol</w:t>
      </w:r>
      <w:r w:rsidR="00F92109" w:rsidRPr="00DD1B58">
        <w:rPr>
          <w:lang w:val="en-US" w:eastAsia="en-GB" w:bidi="ar-SA"/>
        </w:rPr>
        <w:t xml:space="preserve">, </w:t>
      </w:r>
      <w:r w:rsidR="00D840E8" w:rsidRPr="00DD1B58">
        <w:rPr>
          <w:lang w:val="en-US" w:eastAsia="en-GB" w:bidi="ar-SA"/>
        </w:rPr>
        <w:t>hydraulic o</w:t>
      </w:r>
      <w:r w:rsidR="00B20AA8" w:rsidRPr="00DD1B58">
        <w:rPr>
          <w:lang w:val="en-US" w:eastAsia="en-GB" w:bidi="ar-SA"/>
        </w:rPr>
        <w:t>il</w:t>
      </w:r>
      <w:r w:rsidR="00F92109" w:rsidRPr="00DD1B58">
        <w:rPr>
          <w:lang w:val="en-US" w:eastAsia="en-GB" w:bidi="ar-SA"/>
        </w:rPr>
        <w:t xml:space="preserve"> and </w:t>
      </w:r>
      <w:r w:rsidR="00D840E8" w:rsidRPr="00DD1B58">
        <w:rPr>
          <w:lang w:val="en-US" w:eastAsia="en-GB" w:bidi="ar-SA"/>
        </w:rPr>
        <w:t>m</w:t>
      </w:r>
      <w:r w:rsidR="00B20AA8" w:rsidRPr="00DD1B58">
        <w:rPr>
          <w:lang w:val="en-US" w:eastAsia="en-GB" w:bidi="ar-SA"/>
        </w:rPr>
        <w:t>iscellaneous substances (i.e. consumables</w:t>
      </w:r>
      <w:r w:rsidR="00D840E8" w:rsidRPr="00DD1B58">
        <w:rPr>
          <w:lang w:val="en-US" w:eastAsia="en-GB" w:bidi="ar-SA"/>
        </w:rPr>
        <w:t xml:space="preserve"> and</w:t>
      </w:r>
      <w:r w:rsidR="00B20AA8" w:rsidRPr="00DD1B58">
        <w:rPr>
          <w:lang w:val="en-US" w:eastAsia="en-GB" w:bidi="ar-SA"/>
        </w:rPr>
        <w:t xml:space="preserve"> paints). </w:t>
      </w:r>
      <w:r w:rsidR="00653531" w:rsidRPr="00DD1B58">
        <w:rPr>
          <w:lang w:val="en-US"/>
        </w:rPr>
        <w:t xml:space="preserve">A description of the </w:t>
      </w:r>
      <w:r w:rsidR="007B2B96" w:rsidRPr="00DD1B58">
        <w:rPr>
          <w:lang w:val="en-US"/>
        </w:rPr>
        <w:t xml:space="preserve">specific </w:t>
      </w:r>
      <w:r w:rsidR="00653531" w:rsidRPr="00DD1B58">
        <w:rPr>
          <w:lang w:val="en-US"/>
        </w:rPr>
        <w:t xml:space="preserve">use of each </w:t>
      </w:r>
      <w:r w:rsidR="007B2B96" w:rsidRPr="00DD1B58">
        <w:rPr>
          <w:lang w:val="en-US"/>
        </w:rPr>
        <w:t xml:space="preserve">material is provided within the Springfields site contribution to the NAR </w:t>
      </w:r>
      <w:sdt>
        <w:sdtPr>
          <w:rPr>
            <w:lang w:val="en-US"/>
          </w:rPr>
          <w:id w:val="1452977316"/>
          <w:citation/>
        </w:sdtPr>
        <w:sdtContent>
          <w:r w:rsidR="0000413A" w:rsidRPr="00DD1B58">
            <w:rPr>
              <w:lang w:val="en-US"/>
            </w:rPr>
            <w:fldChar w:fldCharType="begin"/>
          </w:r>
          <w:r w:rsidR="0000413A" w:rsidRPr="00DD1B58">
            <w:rPr>
              <w:lang w:val="en-US"/>
            </w:rPr>
            <w:instrText xml:space="preserve"> CITATION ENS \l 2057 </w:instrText>
          </w:r>
          <w:r w:rsidR="0000413A" w:rsidRPr="00DD1B58">
            <w:rPr>
              <w:lang w:val="en-US"/>
            </w:rPr>
            <w:fldChar w:fldCharType="separate"/>
          </w:r>
          <w:r w:rsidR="00DF47DA" w:rsidRPr="00DF47DA">
            <w:rPr>
              <w:noProof/>
              <w:lang w:val="en-US"/>
            </w:rPr>
            <w:t>[9]</w:t>
          </w:r>
          <w:r w:rsidR="0000413A" w:rsidRPr="00DD1B58">
            <w:rPr>
              <w:lang w:val="en-US"/>
            </w:rPr>
            <w:fldChar w:fldCharType="end"/>
          </w:r>
        </w:sdtContent>
      </w:sdt>
      <w:r w:rsidR="007B2B96" w:rsidRPr="00DD1B58">
        <w:rPr>
          <w:lang w:val="en-US"/>
        </w:rPr>
        <w:t>.</w:t>
      </w:r>
    </w:p>
    <w:p w14:paraId="5EC03B5E" w14:textId="77777777" w:rsidR="00BA4FD5" w:rsidRPr="00DD1B58" w:rsidRDefault="00BA4FD5" w:rsidP="004338B0">
      <w:pPr>
        <w:rPr>
          <w:b/>
          <w:lang w:val="en-US"/>
        </w:rPr>
      </w:pPr>
      <w:r w:rsidRPr="00DD1B58">
        <w:rPr>
          <w:b/>
          <w:lang w:val="en-US"/>
        </w:rPr>
        <w:t>New Enriched Powder Store</w:t>
      </w:r>
      <w:r w:rsidR="00A22616" w:rsidRPr="00DD1B58">
        <w:rPr>
          <w:b/>
          <w:lang w:val="en-US"/>
        </w:rPr>
        <w:t xml:space="preserve"> (NEPS)</w:t>
      </w:r>
    </w:p>
    <w:p w14:paraId="0FB26E0D" w14:textId="77777777" w:rsidR="00BA4FD5" w:rsidRPr="00DD1B58" w:rsidRDefault="00F95C57" w:rsidP="004338B0">
      <w:pPr>
        <w:rPr>
          <w:lang w:val="en-US"/>
        </w:rPr>
      </w:pPr>
      <w:r w:rsidRPr="00DD1B58">
        <w:rPr>
          <w:lang w:val="en-US"/>
        </w:rPr>
        <w:t>The New Enriched Powder Store (NEPS) is a single storey building for storing enriched powder in drums on steel racking. Combustible materials in the building are low to negligible and the risk of fire extremely low.</w:t>
      </w:r>
    </w:p>
    <w:p w14:paraId="4B34A796" w14:textId="0224103A" w:rsidR="00BA4FD5" w:rsidRPr="00DD1B58" w:rsidRDefault="00BA4FD5" w:rsidP="004338B0">
      <w:pPr>
        <w:rPr>
          <w:b/>
          <w:lang w:val="en-US"/>
        </w:rPr>
      </w:pPr>
      <w:r w:rsidRPr="00DD1B58">
        <w:rPr>
          <w:b/>
          <w:lang w:val="en-US"/>
        </w:rPr>
        <w:t xml:space="preserve">Waste </w:t>
      </w:r>
      <w:r w:rsidR="00D840E8" w:rsidRPr="00DD1B58">
        <w:rPr>
          <w:b/>
          <w:lang w:val="en-US"/>
        </w:rPr>
        <w:t>management</w:t>
      </w:r>
    </w:p>
    <w:p w14:paraId="3E0E0E8B" w14:textId="27E1F89B" w:rsidR="00281032" w:rsidRPr="00DD1B58" w:rsidRDefault="00281032" w:rsidP="00281032">
      <w:pPr>
        <w:rPr>
          <w:lang w:val="en-US"/>
        </w:rPr>
      </w:pPr>
      <w:r w:rsidRPr="00DD1B58">
        <w:rPr>
          <w:lang w:val="en-US"/>
        </w:rPr>
        <w:t xml:space="preserve">The Springfield site </w:t>
      </w:r>
      <w:r w:rsidR="00601E56" w:rsidRPr="00DD1B58">
        <w:rPr>
          <w:lang w:val="en-US"/>
        </w:rPr>
        <w:t xml:space="preserve">activities under the nuclear site licence do </w:t>
      </w:r>
      <w:r w:rsidRPr="00DD1B58">
        <w:rPr>
          <w:lang w:val="en-US"/>
        </w:rPr>
        <w:t>not</w:t>
      </w:r>
      <w:r w:rsidR="00601E56" w:rsidRPr="00DD1B58">
        <w:rPr>
          <w:lang w:val="en-US"/>
        </w:rPr>
        <w:t xml:space="preserve"> include</w:t>
      </w:r>
      <w:r w:rsidRPr="00DD1B58">
        <w:rPr>
          <w:lang w:val="en-US"/>
        </w:rPr>
        <w:t xml:space="preserve"> re-storage of waste</w:t>
      </w:r>
      <w:r w:rsidR="00601E56" w:rsidRPr="00DD1B58">
        <w:rPr>
          <w:lang w:val="en-US"/>
        </w:rPr>
        <w:t xml:space="preserve"> and</w:t>
      </w:r>
      <w:r w:rsidR="00D840E8" w:rsidRPr="00DD1B58">
        <w:rPr>
          <w:lang w:val="en-US"/>
        </w:rPr>
        <w:t xml:space="preserve"> </w:t>
      </w:r>
      <w:r w:rsidR="00601E56" w:rsidRPr="00DD1B58">
        <w:rPr>
          <w:lang w:val="en-US"/>
        </w:rPr>
        <w:t>t</w:t>
      </w:r>
      <w:r w:rsidRPr="00DD1B58">
        <w:rPr>
          <w:lang w:val="en-US"/>
        </w:rPr>
        <w:t>here are no spent fuel storage facilities on site. The main waste management functions on the Springfields site are the storage in designated locations of residues and contaminated materials prior to processing, the recovery of enriched uranium, and the safe disposal of wastes from the site.</w:t>
      </w:r>
    </w:p>
    <w:p w14:paraId="3C50B74C" w14:textId="18EC2C17" w:rsidR="00BA4FD5" w:rsidRPr="00DD1B58" w:rsidRDefault="00281032" w:rsidP="004338B0">
      <w:pPr>
        <w:rPr>
          <w:lang w:val="en-US"/>
        </w:rPr>
      </w:pPr>
      <w:r w:rsidRPr="00DD1B58">
        <w:rPr>
          <w:lang w:val="en-US"/>
        </w:rPr>
        <w:t xml:space="preserve">A short-term agreement </w:t>
      </w:r>
      <w:r w:rsidR="00F27FF3" w:rsidRPr="00DD1B58">
        <w:rPr>
          <w:lang w:val="en-US"/>
        </w:rPr>
        <w:t>is in place to</w:t>
      </w:r>
      <w:r w:rsidRPr="00DD1B58">
        <w:rPr>
          <w:lang w:val="en-US"/>
        </w:rPr>
        <w:t xml:space="preserve"> store </w:t>
      </w:r>
      <w:r w:rsidR="00AF12F3" w:rsidRPr="00DD1B58">
        <w:rPr>
          <w:lang w:val="en-US"/>
        </w:rPr>
        <w:t>Very Low Level W</w:t>
      </w:r>
      <w:r w:rsidRPr="00DD1B58">
        <w:rPr>
          <w:lang w:val="en-US"/>
        </w:rPr>
        <w:t>aste</w:t>
      </w:r>
      <w:r w:rsidR="00AF12F3" w:rsidRPr="00DD1B58">
        <w:rPr>
          <w:lang w:val="en-US"/>
        </w:rPr>
        <w:t xml:space="preserve"> (VLLW)</w:t>
      </w:r>
      <w:r w:rsidRPr="00DD1B58">
        <w:rPr>
          <w:lang w:val="en-US"/>
        </w:rPr>
        <w:t xml:space="preserve"> on an external raft whilst a new landfill disposal option was found. This is now in place and the Springfields site are working through the backlog of stored waste. All new waste arisings are sent for disposal (as per previous years using the Clifton Marsh disposal facility). Jazz boxes of waste on an external raft are classed as ‘Work in Progress’ with the site working through their contents with the waste generators to confirm compliance with the waste acceptance criteria (WAC). The safety case for waste storage on the raft is still live and in date.</w:t>
      </w:r>
    </w:p>
    <w:p w14:paraId="7F94BF6A" w14:textId="376425BA" w:rsidR="00BA4FD5" w:rsidRPr="00DD1B58" w:rsidRDefault="00390166" w:rsidP="004338B0">
      <w:pPr>
        <w:rPr>
          <w:b/>
          <w:lang w:val="en-US"/>
        </w:rPr>
      </w:pPr>
      <w:r w:rsidRPr="00DD1B58">
        <w:rPr>
          <w:b/>
          <w:lang w:val="en-US"/>
        </w:rPr>
        <w:lastRenderedPageBreak/>
        <w:t xml:space="preserve">Research and </w:t>
      </w:r>
      <w:r w:rsidR="00D840E8" w:rsidRPr="00DD1B58">
        <w:rPr>
          <w:b/>
          <w:lang w:val="en-US"/>
        </w:rPr>
        <w:t>technology</w:t>
      </w:r>
    </w:p>
    <w:p w14:paraId="0880396D" w14:textId="77777777" w:rsidR="00390166" w:rsidRPr="00DD1B58" w:rsidRDefault="002266E0" w:rsidP="004338B0">
      <w:pPr>
        <w:rPr>
          <w:lang w:val="en-US"/>
        </w:rPr>
      </w:pPr>
      <w:r w:rsidRPr="00DD1B58">
        <w:rPr>
          <w:lang w:val="en-US"/>
        </w:rPr>
        <w:t>In addition to the main process routes, research and technology operations are carried out in a purpose-built facility that has the capability to carry out a wide range of development activities, based primarily on uranium processes.</w:t>
      </w:r>
    </w:p>
    <w:p w14:paraId="3A27BE13" w14:textId="2F9F974E" w:rsidR="00390166" w:rsidRPr="00DD1B58" w:rsidRDefault="00046143" w:rsidP="004338B0">
      <w:pPr>
        <w:rPr>
          <w:b/>
          <w:lang w:val="en-US"/>
        </w:rPr>
      </w:pPr>
      <w:r w:rsidRPr="00DD1B58">
        <w:rPr>
          <w:b/>
          <w:bCs/>
          <w:lang w:val="en-US"/>
        </w:rPr>
        <w:t xml:space="preserve">Common </w:t>
      </w:r>
      <w:r w:rsidR="00D840E8" w:rsidRPr="00DD1B58">
        <w:rPr>
          <w:b/>
          <w:bCs/>
          <w:lang w:val="en-US"/>
        </w:rPr>
        <w:t>and</w:t>
      </w:r>
      <w:r w:rsidRPr="00DD1B58">
        <w:rPr>
          <w:b/>
          <w:bCs/>
          <w:lang w:val="en-US"/>
        </w:rPr>
        <w:t xml:space="preserve"> </w:t>
      </w:r>
      <w:r w:rsidR="00D840E8" w:rsidRPr="00DD1B58">
        <w:rPr>
          <w:b/>
          <w:bCs/>
          <w:lang w:val="en-US"/>
        </w:rPr>
        <w:t>shared resources</w:t>
      </w:r>
    </w:p>
    <w:p w14:paraId="21B3B094" w14:textId="187C5FC8" w:rsidR="00046143" w:rsidRPr="00DD1B58" w:rsidRDefault="005B31A4" w:rsidP="00046143">
      <w:pPr>
        <w:rPr>
          <w:lang w:val="en-US"/>
        </w:rPr>
      </w:pPr>
      <w:r w:rsidRPr="00DD1B58">
        <w:rPr>
          <w:lang w:val="en-US"/>
        </w:rPr>
        <w:t xml:space="preserve">Common </w:t>
      </w:r>
      <w:r w:rsidR="00D840E8" w:rsidRPr="00DD1B58">
        <w:rPr>
          <w:lang w:val="en-US"/>
        </w:rPr>
        <w:t>and</w:t>
      </w:r>
      <w:r w:rsidRPr="00DD1B58">
        <w:rPr>
          <w:lang w:val="en-US"/>
        </w:rPr>
        <w:t xml:space="preserve"> shared resources on the Springfields site </w:t>
      </w:r>
      <w:r w:rsidR="00191397" w:rsidRPr="00DD1B58">
        <w:rPr>
          <w:lang w:val="en-US"/>
        </w:rPr>
        <w:t>include:</w:t>
      </w:r>
    </w:p>
    <w:p w14:paraId="0589D0CC" w14:textId="1246CEF5" w:rsidR="00191397" w:rsidRPr="00DD1B58" w:rsidRDefault="00191397" w:rsidP="00191397">
      <w:pPr>
        <w:pStyle w:val="Bulletlist1"/>
        <w:rPr>
          <w:lang w:val="en-US"/>
        </w:rPr>
      </w:pPr>
      <w:r w:rsidRPr="00DD1B58">
        <w:rPr>
          <w:lang w:val="en-US"/>
        </w:rPr>
        <w:t>Combined Heat &amp; Power Plant (CHPp)</w:t>
      </w:r>
      <w:r w:rsidR="00D840E8" w:rsidRPr="00DD1B58">
        <w:rPr>
          <w:lang w:val="en-US"/>
        </w:rPr>
        <w:t>:</w:t>
      </w:r>
      <w:r w:rsidR="00CE53A8" w:rsidRPr="00DD1B58">
        <w:rPr>
          <w:lang w:val="en-US"/>
        </w:rPr>
        <w:t xml:space="preserve"> </w:t>
      </w:r>
      <w:r w:rsidR="00D840E8" w:rsidRPr="00DD1B58">
        <w:rPr>
          <w:lang w:val="en-US"/>
        </w:rPr>
        <w:t>p</w:t>
      </w:r>
      <w:r w:rsidR="00CE53A8" w:rsidRPr="00DD1B58">
        <w:rPr>
          <w:lang w:val="en-US"/>
        </w:rPr>
        <w:t>rovides heat (in the form of steam) and electricity.</w:t>
      </w:r>
    </w:p>
    <w:p w14:paraId="131BC9F9" w14:textId="25EC444B" w:rsidR="00CE53A8" w:rsidRPr="00DD1B58" w:rsidRDefault="00CE53A8" w:rsidP="00191397">
      <w:pPr>
        <w:pStyle w:val="Bulletlist1"/>
        <w:rPr>
          <w:lang w:val="en-US"/>
        </w:rPr>
      </w:pPr>
      <w:r w:rsidRPr="00DD1B58">
        <w:rPr>
          <w:lang w:val="en-US"/>
        </w:rPr>
        <w:t>Electrical Distribution</w:t>
      </w:r>
      <w:r w:rsidR="00D840E8" w:rsidRPr="00DD1B58">
        <w:rPr>
          <w:lang w:val="en-US"/>
        </w:rPr>
        <w:t>:</w:t>
      </w:r>
      <w:r w:rsidRPr="00DD1B58">
        <w:rPr>
          <w:lang w:val="en-US"/>
        </w:rPr>
        <w:t xml:space="preserve"> substations located around the Springfield’s site.</w:t>
      </w:r>
    </w:p>
    <w:p w14:paraId="2C202136" w14:textId="578EFF43" w:rsidR="00CE53A8" w:rsidRPr="00DD1B58" w:rsidRDefault="00CE53A8" w:rsidP="00191397">
      <w:pPr>
        <w:pStyle w:val="Bulletlist1"/>
        <w:rPr>
          <w:lang w:val="en-US"/>
        </w:rPr>
      </w:pPr>
      <w:r w:rsidRPr="00DD1B58">
        <w:rPr>
          <w:lang w:val="en-US"/>
        </w:rPr>
        <w:t>Purchased Water System</w:t>
      </w:r>
      <w:r w:rsidR="00D840E8" w:rsidRPr="00DD1B58">
        <w:rPr>
          <w:lang w:val="en-US"/>
        </w:rPr>
        <w:t>:</w:t>
      </w:r>
      <w:r w:rsidR="00810D4B" w:rsidRPr="00DD1B58">
        <w:rPr>
          <w:lang w:val="en-US"/>
        </w:rPr>
        <w:t xml:space="preserve"> </w:t>
      </w:r>
      <w:r w:rsidR="007E7073" w:rsidRPr="00DD1B58">
        <w:rPr>
          <w:lang w:val="en-US"/>
        </w:rPr>
        <w:t>a site wide under</w:t>
      </w:r>
      <w:r w:rsidR="00833D32" w:rsidRPr="00DD1B58">
        <w:rPr>
          <w:lang w:val="en-US"/>
        </w:rPr>
        <w:t>ground</w:t>
      </w:r>
      <w:r w:rsidR="00E305CB" w:rsidRPr="00DD1B58">
        <w:rPr>
          <w:lang w:val="en-US"/>
        </w:rPr>
        <w:t xml:space="preserve"> distribution system.</w:t>
      </w:r>
    </w:p>
    <w:p w14:paraId="67A6E098" w14:textId="25480B8F" w:rsidR="003C5DCF" w:rsidRPr="00DD1B58" w:rsidRDefault="00942BF8" w:rsidP="003C5DCF">
      <w:pPr>
        <w:pStyle w:val="Bulletlist1"/>
        <w:rPr>
          <w:lang w:val="en-US"/>
        </w:rPr>
      </w:pPr>
      <w:r w:rsidRPr="00DD1B58">
        <w:rPr>
          <w:lang w:val="en-US"/>
        </w:rPr>
        <w:t>Borehole Water System Pumphouse</w:t>
      </w:r>
      <w:r w:rsidR="00D840E8" w:rsidRPr="00DD1B58">
        <w:rPr>
          <w:szCs w:val="24"/>
          <w:lang w:val="en-US"/>
        </w:rPr>
        <w:t xml:space="preserve">: </w:t>
      </w:r>
      <w:r w:rsidRPr="00DD1B58">
        <w:rPr>
          <w:szCs w:val="24"/>
          <w:lang w:val="en-US"/>
        </w:rPr>
        <w:t>suppl</w:t>
      </w:r>
      <w:r w:rsidR="0040594E" w:rsidRPr="00DD1B58">
        <w:rPr>
          <w:szCs w:val="24"/>
          <w:lang w:val="en-US"/>
        </w:rPr>
        <w:t>ies</w:t>
      </w:r>
      <w:r w:rsidRPr="00DD1B58">
        <w:rPr>
          <w:szCs w:val="24"/>
          <w:lang w:val="en-US"/>
        </w:rPr>
        <w:t xml:space="preserve"> water into a ring main system from which the fire hydrants, emergency showers and various buildings are supplied.</w:t>
      </w:r>
    </w:p>
    <w:p w14:paraId="0803081B" w14:textId="4A428141" w:rsidR="003C5DCF" w:rsidRPr="00DD1B58" w:rsidRDefault="00942BF8" w:rsidP="003C5DCF">
      <w:pPr>
        <w:pStyle w:val="Bulletlist1"/>
        <w:rPr>
          <w:lang w:val="en-US"/>
        </w:rPr>
      </w:pPr>
      <w:r w:rsidRPr="00DD1B58">
        <w:rPr>
          <w:szCs w:val="24"/>
          <w:lang w:val="en-US"/>
        </w:rPr>
        <w:t>Main Hydrogen Store</w:t>
      </w:r>
      <w:r w:rsidR="00D840E8" w:rsidRPr="00DD1B58">
        <w:rPr>
          <w:szCs w:val="24"/>
          <w:lang w:val="en-US"/>
        </w:rPr>
        <w:t xml:space="preserve">: </w:t>
      </w:r>
      <w:r w:rsidR="003C5DCF" w:rsidRPr="00DD1B58">
        <w:rPr>
          <w:szCs w:val="24"/>
          <w:lang w:val="en-US"/>
        </w:rPr>
        <w:t>a trailer of hydrogen cylinders located in an open area of the site that feeds into the hydrogen supply pipework.</w:t>
      </w:r>
    </w:p>
    <w:p w14:paraId="775AA1F6" w14:textId="1FF37AAC" w:rsidR="00942BF8" w:rsidRPr="00DD1B58" w:rsidRDefault="003C5DCF" w:rsidP="00191397">
      <w:pPr>
        <w:pStyle w:val="Bulletlist1"/>
        <w:rPr>
          <w:lang w:val="en-US"/>
        </w:rPr>
      </w:pPr>
      <w:r w:rsidRPr="00DD1B58">
        <w:rPr>
          <w:lang w:val="en-US"/>
        </w:rPr>
        <w:t>Miscellaneous Services</w:t>
      </w:r>
      <w:r w:rsidR="00D840E8" w:rsidRPr="00DD1B58">
        <w:rPr>
          <w:lang w:val="en-US"/>
        </w:rPr>
        <w:t>:</w:t>
      </w:r>
      <w:r w:rsidRPr="00DD1B58">
        <w:rPr>
          <w:lang w:val="en-US"/>
        </w:rPr>
        <w:t xml:space="preserve"> </w:t>
      </w:r>
      <w:r w:rsidRPr="00DD1B58">
        <w:rPr>
          <w:szCs w:val="24"/>
          <w:lang w:val="en-US"/>
        </w:rPr>
        <w:t>includ</w:t>
      </w:r>
      <w:r w:rsidR="0040594E" w:rsidRPr="00DD1B58">
        <w:rPr>
          <w:szCs w:val="24"/>
          <w:lang w:val="en-US"/>
        </w:rPr>
        <w:t>ing</w:t>
      </w:r>
      <w:r w:rsidRPr="00DD1B58">
        <w:rPr>
          <w:szCs w:val="24"/>
          <w:lang w:val="en-US"/>
        </w:rPr>
        <w:t xml:space="preserve"> the </w:t>
      </w:r>
      <w:r w:rsidR="0040594E" w:rsidRPr="00DD1B58">
        <w:rPr>
          <w:szCs w:val="24"/>
          <w:lang w:val="en-US"/>
        </w:rPr>
        <w:t>c</w:t>
      </w:r>
      <w:r w:rsidRPr="00DD1B58">
        <w:rPr>
          <w:szCs w:val="24"/>
          <w:lang w:val="en-US"/>
        </w:rPr>
        <w:t xml:space="preserve">ompressed </w:t>
      </w:r>
      <w:r w:rsidR="0040594E" w:rsidRPr="00DD1B58">
        <w:rPr>
          <w:szCs w:val="24"/>
          <w:lang w:val="en-US"/>
        </w:rPr>
        <w:t>a</w:t>
      </w:r>
      <w:r w:rsidRPr="00DD1B58">
        <w:rPr>
          <w:szCs w:val="24"/>
          <w:lang w:val="en-US"/>
        </w:rPr>
        <w:t xml:space="preserve">ir </w:t>
      </w:r>
      <w:r w:rsidR="0040594E" w:rsidRPr="00DD1B58">
        <w:rPr>
          <w:szCs w:val="24"/>
          <w:lang w:val="en-US"/>
        </w:rPr>
        <w:t>p</w:t>
      </w:r>
      <w:r w:rsidRPr="00DD1B58">
        <w:rPr>
          <w:szCs w:val="24"/>
          <w:lang w:val="en-US"/>
        </w:rPr>
        <w:t xml:space="preserve">roduction and </w:t>
      </w:r>
      <w:r w:rsidR="0040594E" w:rsidRPr="00DD1B58">
        <w:rPr>
          <w:szCs w:val="24"/>
          <w:lang w:val="en-US"/>
        </w:rPr>
        <w:t>d</w:t>
      </w:r>
      <w:r w:rsidRPr="00DD1B58">
        <w:rPr>
          <w:szCs w:val="24"/>
          <w:lang w:val="en-US"/>
        </w:rPr>
        <w:t xml:space="preserve">istribution </w:t>
      </w:r>
      <w:r w:rsidR="0040594E" w:rsidRPr="00DD1B58">
        <w:rPr>
          <w:szCs w:val="24"/>
          <w:lang w:val="en-US"/>
        </w:rPr>
        <w:t>s</w:t>
      </w:r>
      <w:r w:rsidRPr="00DD1B58">
        <w:rPr>
          <w:szCs w:val="24"/>
          <w:lang w:val="en-US"/>
        </w:rPr>
        <w:t xml:space="preserve">ystem, </w:t>
      </w:r>
      <w:r w:rsidR="0040594E" w:rsidRPr="00DD1B58">
        <w:rPr>
          <w:szCs w:val="24"/>
          <w:lang w:val="en-US"/>
        </w:rPr>
        <w:t>m</w:t>
      </w:r>
      <w:r w:rsidRPr="00DD1B58">
        <w:rPr>
          <w:szCs w:val="24"/>
          <w:lang w:val="en-US"/>
        </w:rPr>
        <w:t xml:space="preserve">ask </w:t>
      </w:r>
      <w:r w:rsidR="0040594E" w:rsidRPr="00DD1B58">
        <w:rPr>
          <w:szCs w:val="24"/>
          <w:lang w:val="en-US"/>
        </w:rPr>
        <w:t>a</w:t>
      </w:r>
      <w:r w:rsidRPr="00DD1B58">
        <w:rPr>
          <w:szCs w:val="24"/>
          <w:lang w:val="en-US"/>
        </w:rPr>
        <w:t xml:space="preserve">ir, </w:t>
      </w:r>
      <w:r w:rsidR="0040594E" w:rsidRPr="00DD1B58">
        <w:rPr>
          <w:szCs w:val="24"/>
          <w:lang w:val="en-US"/>
        </w:rPr>
        <w:t>s</w:t>
      </w:r>
      <w:r w:rsidRPr="00DD1B58">
        <w:rPr>
          <w:szCs w:val="24"/>
          <w:lang w:val="en-US"/>
        </w:rPr>
        <w:t xml:space="preserve">team, </w:t>
      </w:r>
      <w:r w:rsidR="0040594E" w:rsidRPr="00DD1B58">
        <w:rPr>
          <w:szCs w:val="24"/>
          <w:lang w:val="en-US"/>
        </w:rPr>
        <w:t>n</w:t>
      </w:r>
      <w:r w:rsidRPr="00DD1B58">
        <w:rPr>
          <w:szCs w:val="24"/>
          <w:lang w:val="en-US"/>
        </w:rPr>
        <w:t xml:space="preserve">itrogen and </w:t>
      </w:r>
      <w:r w:rsidR="0040594E" w:rsidRPr="00DD1B58">
        <w:rPr>
          <w:szCs w:val="24"/>
          <w:lang w:val="en-US"/>
        </w:rPr>
        <w:t>carbon dioxide</w:t>
      </w:r>
      <w:r w:rsidRPr="00DD1B58">
        <w:rPr>
          <w:szCs w:val="24"/>
          <w:lang w:val="en-US"/>
        </w:rPr>
        <w:t>, telephones and computer networks.</w:t>
      </w:r>
    </w:p>
    <w:p w14:paraId="6B04565F" w14:textId="18EA887A" w:rsidR="003C5DCF" w:rsidRPr="00DD1B58" w:rsidRDefault="003C5DCF" w:rsidP="003C5DCF">
      <w:pPr>
        <w:pStyle w:val="Bulletlist1"/>
        <w:rPr>
          <w:lang w:val="en-US"/>
        </w:rPr>
      </w:pPr>
      <w:r w:rsidRPr="00DD1B58">
        <w:rPr>
          <w:lang w:val="en-US"/>
        </w:rPr>
        <w:t>Pipebri</w:t>
      </w:r>
      <w:r w:rsidR="00D840E8" w:rsidRPr="00DD1B58">
        <w:rPr>
          <w:lang w:val="en-US"/>
        </w:rPr>
        <w:t>d</w:t>
      </w:r>
      <w:r w:rsidRPr="00DD1B58">
        <w:rPr>
          <w:lang w:val="en-US"/>
        </w:rPr>
        <w:t>ges</w:t>
      </w:r>
      <w:r w:rsidR="00D840E8" w:rsidRPr="00DD1B58">
        <w:rPr>
          <w:lang w:val="en-US"/>
        </w:rPr>
        <w:t>:</w:t>
      </w:r>
      <w:r w:rsidRPr="00DD1B58">
        <w:rPr>
          <w:lang w:val="en-US"/>
        </w:rPr>
        <w:t xml:space="preserve"> </w:t>
      </w:r>
      <w:r w:rsidR="0040594E" w:rsidRPr="00DD1B58">
        <w:rPr>
          <w:szCs w:val="24"/>
          <w:lang w:val="en-US"/>
        </w:rPr>
        <w:t xml:space="preserve">these </w:t>
      </w:r>
      <w:r w:rsidRPr="00DD1B58">
        <w:rPr>
          <w:szCs w:val="24"/>
          <w:lang w:val="en-US"/>
        </w:rPr>
        <w:t xml:space="preserve">carry services such as steam and nitrogen, caustic soda, nitric acid, hydrogen </w:t>
      </w:r>
      <w:r w:rsidR="00D840E8" w:rsidRPr="00DD1B58">
        <w:rPr>
          <w:szCs w:val="24"/>
          <w:lang w:val="en-US"/>
        </w:rPr>
        <w:t xml:space="preserve">and </w:t>
      </w:r>
      <w:r w:rsidRPr="00DD1B58">
        <w:rPr>
          <w:szCs w:val="24"/>
          <w:lang w:val="en-US"/>
        </w:rPr>
        <w:t>CHF.</w:t>
      </w:r>
    </w:p>
    <w:p w14:paraId="20726C08" w14:textId="447F424E" w:rsidR="003C5DCF" w:rsidRPr="00DD1B58" w:rsidRDefault="003C5DCF" w:rsidP="003C5DCF">
      <w:pPr>
        <w:pStyle w:val="Bulletlist1"/>
        <w:rPr>
          <w:lang w:val="en-US"/>
        </w:rPr>
      </w:pPr>
      <w:r w:rsidRPr="00DD1B58">
        <w:rPr>
          <w:lang w:val="en-US"/>
        </w:rPr>
        <w:t>Site Fire Service</w:t>
      </w:r>
      <w:r w:rsidR="0040594E" w:rsidRPr="00DD1B58">
        <w:rPr>
          <w:lang w:val="en-US"/>
        </w:rPr>
        <w:t>:</w:t>
      </w:r>
      <w:r w:rsidRPr="00DD1B58">
        <w:rPr>
          <w:lang w:val="en-US"/>
        </w:rPr>
        <w:t xml:space="preserve"> </w:t>
      </w:r>
      <w:r w:rsidR="0040594E" w:rsidRPr="00DD1B58">
        <w:rPr>
          <w:color w:val="000000" w:themeColor="text2"/>
          <w:lang w:val="en-US" w:eastAsia="en-GB" w:bidi="ar-SA"/>
        </w:rPr>
        <w:t>t</w:t>
      </w:r>
      <w:r w:rsidRPr="00DD1B58">
        <w:rPr>
          <w:color w:val="000000" w:themeColor="text2"/>
          <w:lang w:val="en-US" w:eastAsia="en-GB" w:bidi="ar-SA"/>
        </w:rPr>
        <w:t xml:space="preserve">he Springfields Site has a 24/7 </w:t>
      </w:r>
      <w:r w:rsidR="0040594E" w:rsidRPr="00DD1B58">
        <w:rPr>
          <w:color w:val="000000" w:themeColor="text2"/>
          <w:lang w:val="en-US" w:eastAsia="en-GB" w:bidi="ar-SA"/>
        </w:rPr>
        <w:t xml:space="preserve">fire service </w:t>
      </w:r>
      <w:r w:rsidRPr="00DD1B58">
        <w:rPr>
          <w:color w:val="000000" w:themeColor="text2"/>
          <w:lang w:val="en-US" w:eastAsia="en-GB" w:bidi="ar-SA"/>
        </w:rPr>
        <w:t xml:space="preserve">on site providing emergency response to site wide events including fire, ambulance, toxic, criticality and environmental incidents with a back-up response from the Lancashire County Fire </w:t>
      </w:r>
      <w:r w:rsidR="0040594E" w:rsidRPr="00DD1B58">
        <w:rPr>
          <w:color w:val="000000" w:themeColor="text2"/>
          <w:lang w:val="en-US" w:eastAsia="en-GB" w:bidi="ar-SA"/>
        </w:rPr>
        <w:t xml:space="preserve">and </w:t>
      </w:r>
      <w:r w:rsidRPr="00DD1B58">
        <w:rPr>
          <w:color w:val="000000" w:themeColor="text2"/>
          <w:lang w:val="en-US" w:eastAsia="en-GB" w:bidi="ar-SA"/>
        </w:rPr>
        <w:t>Rescue Service.</w:t>
      </w:r>
    </w:p>
    <w:p w14:paraId="60A72993" w14:textId="0A7803FD" w:rsidR="003C5DCF" w:rsidRPr="00DD1B58" w:rsidRDefault="003C5DCF" w:rsidP="00046143">
      <w:pPr>
        <w:pStyle w:val="Bulletlist1"/>
        <w:rPr>
          <w:lang w:val="en-US"/>
        </w:rPr>
      </w:pPr>
      <w:r w:rsidRPr="00DD1B58">
        <w:rPr>
          <w:lang w:val="en-US"/>
        </w:rPr>
        <w:t>Security</w:t>
      </w:r>
      <w:r w:rsidR="0040594E" w:rsidRPr="00DD1B58">
        <w:rPr>
          <w:lang w:val="en-US"/>
        </w:rPr>
        <w:t>:</w:t>
      </w:r>
      <w:r w:rsidRPr="00DD1B58">
        <w:rPr>
          <w:lang w:val="en-US"/>
        </w:rPr>
        <w:t xml:space="preserve"> </w:t>
      </w:r>
      <w:r w:rsidR="00134292" w:rsidRPr="00DD1B58">
        <w:rPr>
          <w:lang w:val="en-US"/>
        </w:rPr>
        <w:t>Springfields Fuels Ltd</w:t>
      </w:r>
      <w:r w:rsidRPr="00DD1B58">
        <w:rPr>
          <w:lang w:val="en-US"/>
        </w:rPr>
        <w:t xml:space="preserve"> is a Category 3 </w:t>
      </w:r>
      <w:r w:rsidR="00F85FC9" w:rsidRPr="00DD1B58">
        <w:rPr>
          <w:lang w:val="en-US"/>
        </w:rPr>
        <w:t xml:space="preserve">nuclear </w:t>
      </w:r>
      <w:r w:rsidRPr="00DD1B58">
        <w:rPr>
          <w:lang w:val="en-US"/>
        </w:rPr>
        <w:t>site. The role of the security team is to create a safe and secure environment for employees, visitor, and contractors.</w:t>
      </w:r>
    </w:p>
    <w:p w14:paraId="07F2CEDD" w14:textId="1D4EE40B" w:rsidR="00C157DD" w:rsidRPr="00DD1B58" w:rsidRDefault="00C157DD" w:rsidP="00C157DD">
      <w:pPr>
        <w:pStyle w:val="Bulletlist1"/>
        <w:rPr>
          <w:lang w:val="en-US"/>
        </w:rPr>
      </w:pPr>
      <w:r w:rsidRPr="00DD1B58">
        <w:rPr>
          <w:lang w:val="en-US"/>
        </w:rPr>
        <w:t>Emergency Control Centre (ECC)</w:t>
      </w:r>
      <w:r w:rsidR="0040594E" w:rsidRPr="00DD1B58">
        <w:rPr>
          <w:lang w:val="en-US"/>
        </w:rPr>
        <w:t>:</w:t>
      </w:r>
      <w:r w:rsidRPr="00DD1B58">
        <w:rPr>
          <w:lang w:val="en-US"/>
        </w:rPr>
        <w:t xml:space="preserve"> </w:t>
      </w:r>
      <w:r w:rsidR="0040594E" w:rsidRPr="00DD1B58">
        <w:rPr>
          <w:color w:val="000000" w:themeColor="text2"/>
          <w:lang w:val="en-US" w:eastAsia="en-GB" w:bidi="ar-SA"/>
        </w:rPr>
        <w:t>t</w:t>
      </w:r>
      <w:r w:rsidRPr="00DD1B58">
        <w:rPr>
          <w:color w:val="000000" w:themeColor="text2"/>
          <w:lang w:val="en-US" w:eastAsia="en-GB" w:bidi="ar-SA"/>
        </w:rPr>
        <w:t xml:space="preserve">he ECC operates </w:t>
      </w:r>
      <w:r w:rsidR="0040594E" w:rsidRPr="00DD1B58">
        <w:rPr>
          <w:color w:val="000000" w:themeColor="text2"/>
          <w:lang w:val="en-US" w:eastAsia="en-GB" w:bidi="ar-SA"/>
        </w:rPr>
        <w:t>24/7</w:t>
      </w:r>
      <w:r w:rsidRPr="00DD1B58">
        <w:rPr>
          <w:color w:val="000000" w:themeColor="text2"/>
          <w:lang w:val="en-US" w:eastAsia="en-GB" w:bidi="ar-SA"/>
        </w:rPr>
        <w:t xml:space="preserve"> for all site emergencies and operational arrangements. The ECC is responsible for handling all incidents</w:t>
      </w:r>
      <w:r w:rsidR="0040594E" w:rsidRPr="00DD1B58">
        <w:rPr>
          <w:color w:val="000000" w:themeColor="text2"/>
          <w:lang w:val="en-US" w:eastAsia="en-GB" w:bidi="ar-SA"/>
        </w:rPr>
        <w:t>,</w:t>
      </w:r>
      <w:r w:rsidRPr="00DD1B58">
        <w:rPr>
          <w:color w:val="000000" w:themeColor="text2"/>
          <w:lang w:val="en-US" w:eastAsia="en-GB" w:bidi="ar-SA"/>
        </w:rPr>
        <w:t xml:space="preserve"> </w:t>
      </w:r>
      <w:r w:rsidR="0040594E" w:rsidRPr="00DD1B58">
        <w:rPr>
          <w:color w:val="000000" w:themeColor="text2"/>
          <w:lang w:val="en-US" w:eastAsia="en-GB" w:bidi="ar-SA"/>
        </w:rPr>
        <w:t xml:space="preserve">including </w:t>
      </w:r>
      <w:r w:rsidRPr="00DD1B58">
        <w:rPr>
          <w:color w:val="000000" w:themeColor="text2"/>
          <w:lang w:val="en-US" w:eastAsia="en-GB" w:bidi="ar-SA"/>
        </w:rPr>
        <w:t>fire, toxic, medical, criticality and any utility alarms.</w:t>
      </w:r>
    </w:p>
    <w:p w14:paraId="08F69B54" w14:textId="768F3B68" w:rsidR="00874C67" w:rsidRPr="00DD1B58" w:rsidRDefault="00874C67" w:rsidP="00046143">
      <w:pPr>
        <w:rPr>
          <w:b/>
          <w:bCs/>
          <w:lang w:val="en-US"/>
        </w:rPr>
      </w:pPr>
      <w:r w:rsidRPr="00DD1B58">
        <w:rPr>
          <w:b/>
          <w:bCs/>
          <w:lang w:val="en-US"/>
        </w:rPr>
        <w:t xml:space="preserve">Offsite </w:t>
      </w:r>
      <w:r w:rsidR="0040594E" w:rsidRPr="00DD1B58">
        <w:rPr>
          <w:b/>
          <w:bCs/>
          <w:lang w:val="en-US"/>
        </w:rPr>
        <w:t>resources</w:t>
      </w:r>
    </w:p>
    <w:p w14:paraId="77B18AFA" w14:textId="77777777" w:rsidR="001D0252" w:rsidRPr="00DD1B58" w:rsidRDefault="001D0252" w:rsidP="001D0252">
      <w:pPr>
        <w:rPr>
          <w:lang w:val="en-US"/>
        </w:rPr>
      </w:pPr>
      <w:r w:rsidRPr="00DD1B58">
        <w:rPr>
          <w:lang w:val="en-US"/>
        </w:rPr>
        <w:t>Lancashire Fire and Rescue Service (LF&amp;RS) have a response plan for the Springfields Site and liaise with both Site and Springfields Fire and Rescue Service with respect to operational response requirements. Springfields Fire and Rescue Service take part in site emergency exercises to mimic responding to differing scenarios.</w:t>
      </w:r>
    </w:p>
    <w:p w14:paraId="712D9220" w14:textId="0A41858B" w:rsidR="00C712DF" w:rsidRPr="00DD1B58" w:rsidRDefault="001D0252" w:rsidP="004338B0">
      <w:pPr>
        <w:rPr>
          <w:lang w:val="en-US"/>
        </w:rPr>
      </w:pPr>
      <w:r w:rsidRPr="00DD1B58">
        <w:rPr>
          <w:lang w:val="en-US"/>
        </w:rPr>
        <w:lastRenderedPageBreak/>
        <w:t>The Springfields Off-Site Emergency Plan has been prepared by Lancashire County Council (LCC) in conjunction with Springfields Fuels Ltd and gives comprehensive details for dealing with the off-site consequences of a site incident.</w:t>
      </w:r>
    </w:p>
    <w:p w14:paraId="7C4BD8D2" w14:textId="77777777" w:rsidR="00041D11" w:rsidRPr="00DD1B58" w:rsidRDefault="00041D11" w:rsidP="00041D11">
      <w:pPr>
        <w:pStyle w:val="Heading4"/>
        <w:numPr>
          <w:ilvl w:val="6"/>
          <w:numId w:val="3"/>
        </w:numPr>
        <w:rPr>
          <w:lang w:val="en-US"/>
        </w:rPr>
      </w:pPr>
      <w:bookmarkStart w:id="12" w:name="_Ref136531090"/>
      <w:r w:rsidRPr="00DD1B58">
        <w:rPr>
          <w:lang w:val="en-US"/>
        </w:rPr>
        <w:t>Dounreay Site Restoration Ltd</w:t>
      </w:r>
      <w:bookmarkEnd w:id="12"/>
    </w:p>
    <w:p w14:paraId="04C9F298" w14:textId="0E38E564" w:rsidR="000C2693" w:rsidRPr="00DD1B58" w:rsidRDefault="000C2693" w:rsidP="000C2693">
      <w:pPr>
        <w:rPr>
          <w:lang w:val="en-US"/>
        </w:rPr>
      </w:pPr>
      <w:r w:rsidRPr="00DD1B58">
        <w:rPr>
          <w:lang w:val="en-US"/>
        </w:rPr>
        <w:t xml:space="preserve">Dounreay, located in the far north of Scotland, is the site of Britain’s former centre of fast reactor research and development and is currently </w:t>
      </w:r>
      <w:r w:rsidR="00BC1B6F" w:rsidRPr="00DD1B58">
        <w:rPr>
          <w:lang w:val="en-US"/>
        </w:rPr>
        <w:t>being</w:t>
      </w:r>
      <w:r w:rsidRPr="00DD1B58">
        <w:rPr>
          <w:lang w:val="en-US"/>
        </w:rPr>
        <w:t xml:space="preserve"> decommission</w:t>
      </w:r>
      <w:r w:rsidR="00BC1B6F" w:rsidRPr="00DD1B58">
        <w:rPr>
          <w:lang w:val="en-US"/>
        </w:rPr>
        <w:t>ed</w:t>
      </w:r>
      <w:r w:rsidRPr="00DD1B58">
        <w:rPr>
          <w:lang w:val="en-US"/>
        </w:rPr>
        <w:t>. Dounreay is in a remote location and there is no full-time fire service in the local area. A dedicated on-site fire service, trained to deal with the fire hazards on the site, provides full</w:t>
      </w:r>
      <w:r w:rsidR="00554652" w:rsidRPr="00DD1B58">
        <w:rPr>
          <w:lang w:val="en-US"/>
        </w:rPr>
        <w:t>-</w:t>
      </w:r>
      <w:r w:rsidRPr="00DD1B58">
        <w:rPr>
          <w:lang w:val="en-US"/>
        </w:rPr>
        <w:t>time cover.</w:t>
      </w:r>
    </w:p>
    <w:p w14:paraId="526C5FE6" w14:textId="054CD794" w:rsidR="00A33EF9" w:rsidRPr="00DD1B58" w:rsidRDefault="000C2693" w:rsidP="00A33EF9">
      <w:pPr>
        <w:rPr>
          <w:lang w:val="en-US"/>
        </w:rPr>
      </w:pPr>
      <w:r w:rsidRPr="00DD1B58">
        <w:rPr>
          <w:lang w:val="en-US"/>
        </w:rPr>
        <w:t>The Dounreay site contains a de-fuelled test reactor, two experimental fast neutron reactors</w:t>
      </w:r>
      <w:r w:rsidR="00912109" w:rsidRPr="00DD1B58">
        <w:rPr>
          <w:lang w:val="en-US"/>
        </w:rPr>
        <w:t xml:space="preserve"> (both de</w:t>
      </w:r>
      <w:r w:rsidR="003C5EEC" w:rsidRPr="00DD1B58">
        <w:rPr>
          <w:lang w:val="en-US"/>
        </w:rPr>
        <w:t>-fuelled)</w:t>
      </w:r>
      <w:r w:rsidRPr="00DD1B58">
        <w:rPr>
          <w:lang w:val="en-US"/>
        </w:rPr>
        <w:t xml:space="preserve">, fuel processing facilities, a cementation plant, waste processing facilities and waste stores. None of the reactors are operational </w:t>
      </w:r>
      <w:r w:rsidR="00FF54E7" w:rsidRPr="00DD1B58">
        <w:rPr>
          <w:lang w:val="en-US"/>
        </w:rPr>
        <w:t xml:space="preserve">however, </w:t>
      </w:r>
      <w:r w:rsidRPr="00DD1B58">
        <w:rPr>
          <w:lang w:val="en-US"/>
        </w:rPr>
        <w:t xml:space="preserve">some facilities related to waste processing and storage remain </w:t>
      </w:r>
      <w:r w:rsidR="00FF54E7" w:rsidRPr="00DD1B58">
        <w:rPr>
          <w:lang w:val="en-US"/>
        </w:rPr>
        <w:t xml:space="preserve">in </w:t>
      </w:r>
      <w:r w:rsidRPr="00DD1B58">
        <w:rPr>
          <w:lang w:val="en-US"/>
        </w:rPr>
        <w:t>operation</w:t>
      </w:r>
      <w:r w:rsidR="00FF54E7" w:rsidRPr="00DD1B58">
        <w:rPr>
          <w:lang w:val="en-US"/>
        </w:rPr>
        <w:t xml:space="preserve"> to support overall site</w:t>
      </w:r>
      <w:r w:rsidRPr="00DD1B58">
        <w:rPr>
          <w:lang w:val="en-US"/>
        </w:rPr>
        <w:t xml:space="preserve"> decommissioning.</w:t>
      </w:r>
      <w:r w:rsidR="00500867" w:rsidRPr="00DD1B58">
        <w:rPr>
          <w:lang w:val="en-US"/>
        </w:rPr>
        <w:t xml:space="preserve"> </w:t>
      </w:r>
      <w:r w:rsidR="0048321C" w:rsidRPr="00DD1B58">
        <w:rPr>
          <w:i/>
          <w:iCs/>
          <w:lang w:val="en-US"/>
        </w:rPr>
        <w:t>Following transfer on 1</w:t>
      </w:r>
      <w:r w:rsidR="0048321C" w:rsidRPr="00DD1B58">
        <w:rPr>
          <w:i/>
          <w:iCs/>
          <w:vertAlign w:val="superscript"/>
          <w:lang w:val="en-US"/>
        </w:rPr>
        <w:t>st</w:t>
      </w:r>
      <w:r w:rsidR="0048321C" w:rsidRPr="00DD1B58">
        <w:rPr>
          <w:i/>
          <w:iCs/>
          <w:lang w:val="en-US"/>
        </w:rPr>
        <w:t xml:space="preserve"> April 2023, the Nuclear Site Licence for Dounreay is now held by Magnox Ltd., a subsidiary of the Nuclear Decommissioning Authority (NDA). Prior to this the licen</w:t>
      </w:r>
      <w:r w:rsidR="005E5400" w:rsidRPr="00DD1B58">
        <w:rPr>
          <w:i/>
          <w:iCs/>
          <w:lang w:val="en-US"/>
        </w:rPr>
        <w:t>se was held by DSRL.</w:t>
      </w:r>
    </w:p>
    <w:p w14:paraId="22A7DA9D" w14:textId="77777777" w:rsidR="000C2693" w:rsidRPr="00DD1B58" w:rsidRDefault="000C2693" w:rsidP="000C2693">
      <w:pPr>
        <w:rPr>
          <w:b/>
          <w:lang w:val="en-US"/>
        </w:rPr>
      </w:pPr>
      <w:r w:rsidRPr="00DD1B58">
        <w:rPr>
          <w:b/>
          <w:lang w:val="en-US"/>
        </w:rPr>
        <w:t>P</w:t>
      </w:r>
      <w:r w:rsidR="00547138" w:rsidRPr="00DD1B58">
        <w:rPr>
          <w:b/>
          <w:lang w:val="en-US"/>
        </w:rPr>
        <w:t>rototype Fast Reactor (PFR)</w:t>
      </w:r>
    </w:p>
    <w:p w14:paraId="1C7A8DA2" w14:textId="703BBA65" w:rsidR="00EF59A9" w:rsidRPr="00DD1B58" w:rsidRDefault="00EF59A9" w:rsidP="00EF59A9">
      <w:pPr>
        <w:rPr>
          <w:lang w:val="en-US"/>
        </w:rPr>
      </w:pPr>
      <w:r w:rsidRPr="00DD1B58">
        <w:rPr>
          <w:lang w:val="en-US"/>
        </w:rPr>
        <w:t xml:space="preserve">The PFR commenced construction in 1966, went critical in 1974, and ceased operation in 1994. PFR provided power to the national grid and </w:t>
      </w:r>
      <w:r w:rsidR="00863BF4" w:rsidRPr="00DD1B58">
        <w:rPr>
          <w:lang w:val="en-US"/>
        </w:rPr>
        <w:t>informed the</w:t>
      </w:r>
      <w:r w:rsidRPr="00DD1B58">
        <w:rPr>
          <w:lang w:val="en-US"/>
        </w:rPr>
        <w:t xml:space="preserve"> future design and operation of large commercial fast reactor stations. PFR was a 250 MW(e) pool</w:t>
      </w:r>
      <w:r w:rsidR="008C589C" w:rsidRPr="00DD1B58">
        <w:rPr>
          <w:lang w:val="en-US"/>
        </w:rPr>
        <w:t>-</w:t>
      </w:r>
      <w:r w:rsidRPr="00DD1B58">
        <w:rPr>
          <w:lang w:val="en-US"/>
        </w:rPr>
        <w:t>type sodium</w:t>
      </w:r>
      <w:r w:rsidR="008C589C" w:rsidRPr="00DD1B58">
        <w:rPr>
          <w:lang w:val="en-US"/>
        </w:rPr>
        <w:t>-</w:t>
      </w:r>
      <w:r w:rsidRPr="00DD1B58">
        <w:rPr>
          <w:lang w:val="en-US"/>
        </w:rPr>
        <w:t>cooled fast reactor using mixed uranium and plutonium oxide ceramic fuel clad in stainless steel.</w:t>
      </w:r>
    </w:p>
    <w:p w14:paraId="2498361A" w14:textId="77777777" w:rsidR="00547138" w:rsidRPr="00DD1B58" w:rsidRDefault="00EF59A9" w:rsidP="00EF59A9">
      <w:pPr>
        <w:rPr>
          <w:lang w:val="en-US"/>
        </w:rPr>
      </w:pPr>
      <w:r w:rsidRPr="00DD1B58">
        <w:rPr>
          <w:lang w:val="en-US"/>
        </w:rPr>
        <w:t>The PFR complex includes the reactor plus other facilities such as those for storage of spent fuel, alkali metal and contaminated components, and an</w:t>
      </w:r>
      <w:r w:rsidR="00AA61AD" w:rsidRPr="00DD1B58">
        <w:rPr>
          <w:lang w:val="en-US"/>
        </w:rPr>
        <w:t xml:space="preserve"> Irradiated Fuel Cave (IFC). The PFR complex includes several buildings, some operational in support of decommissioning, some under care and maintenance and some being decommissioned.</w:t>
      </w:r>
    </w:p>
    <w:p w14:paraId="7E604A66" w14:textId="77777777" w:rsidR="00807BEB" w:rsidRPr="00DD1B58" w:rsidRDefault="00807BEB" w:rsidP="00807BEB">
      <w:pPr>
        <w:rPr>
          <w:lang w:val="en-US"/>
        </w:rPr>
      </w:pPr>
      <w:r w:rsidRPr="00DD1B58">
        <w:rPr>
          <w:lang w:val="en-US"/>
        </w:rPr>
        <w:t>While not every task performed at Dounreay is performed in the PFR complex, it can be considered representative of the site as it includes a decommissioning reactor with experience of alkali metal treatment and disposal, waste storage areas, flask operations, Low Level Waste (LLW) and Intermediate Level Waste (ILW) generation and handling, a pond, lifting operations, remote handling (cave) operations, and maintenance tasks including cell entries.</w:t>
      </w:r>
    </w:p>
    <w:p w14:paraId="4F132BC8" w14:textId="65963E32" w:rsidR="000C2693" w:rsidRPr="00DD1B58" w:rsidRDefault="00807BEB" w:rsidP="00807BEB">
      <w:pPr>
        <w:rPr>
          <w:lang w:val="en-US"/>
        </w:rPr>
      </w:pPr>
      <w:r w:rsidRPr="00DD1B58">
        <w:rPr>
          <w:lang w:val="en-US"/>
        </w:rPr>
        <w:t xml:space="preserve">The reactor, housed within the Secondary Containment Building (SCB) in a below-ground vault, has been </w:t>
      </w:r>
      <w:r w:rsidR="003A3F53" w:rsidRPr="00DD1B58">
        <w:rPr>
          <w:lang w:val="en-US"/>
        </w:rPr>
        <w:t>de-fuelled</w:t>
      </w:r>
      <w:r w:rsidRPr="00DD1B58">
        <w:rPr>
          <w:lang w:val="en-US"/>
        </w:rPr>
        <w:t xml:space="preserve">. The bulk sodium has been destroyed. A heel pool remained and the majority of this was recently removed. </w:t>
      </w:r>
      <w:r w:rsidR="00863BF4" w:rsidRPr="00DD1B58">
        <w:rPr>
          <w:lang w:val="en-US"/>
        </w:rPr>
        <w:t xml:space="preserve">Currently only </w:t>
      </w:r>
      <w:r w:rsidRPr="00DD1B58">
        <w:rPr>
          <w:lang w:val="en-US"/>
        </w:rPr>
        <w:t>undrainable hold-ups, known as residues, remain. In all cases the sodium stored is now in a solid state at ambient or room temperature and as such its hazardous properties are greatly reduced.</w:t>
      </w:r>
    </w:p>
    <w:p w14:paraId="2D8373E5" w14:textId="77777777" w:rsidR="00D01306" w:rsidRPr="00DD1B58" w:rsidRDefault="00D01306" w:rsidP="00D01306">
      <w:pPr>
        <w:rPr>
          <w:lang w:val="en-US"/>
        </w:rPr>
      </w:pPr>
      <w:r w:rsidRPr="00DD1B58">
        <w:rPr>
          <w:lang w:val="en-US"/>
        </w:rPr>
        <w:t>The SCB also includes:</w:t>
      </w:r>
    </w:p>
    <w:p w14:paraId="2701E2AC" w14:textId="6C708228" w:rsidR="00D01306" w:rsidRPr="00DD1B58" w:rsidRDefault="007A41F6" w:rsidP="00D01306">
      <w:pPr>
        <w:pStyle w:val="Bulletlist1"/>
        <w:rPr>
          <w:lang w:val="en-US"/>
        </w:rPr>
      </w:pPr>
      <w:r w:rsidRPr="00DD1B58">
        <w:rPr>
          <w:lang w:val="en-US"/>
        </w:rPr>
        <w:t>T</w:t>
      </w:r>
      <w:r w:rsidR="00D01306" w:rsidRPr="00DD1B58">
        <w:rPr>
          <w:lang w:val="en-US"/>
        </w:rPr>
        <w:t>he IFC, which currently contains irradiated equipment and spent nuclear fuel</w:t>
      </w:r>
      <w:r w:rsidR="003A3F53" w:rsidRPr="00DD1B58">
        <w:rPr>
          <w:lang w:val="en-US"/>
        </w:rPr>
        <w:t>;</w:t>
      </w:r>
    </w:p>
    <w:p w14:paraId="0E61A918" w14:textId="067D785D" w:rsidR="003A3F53" w:rsidRPr="00DD1B58" w:rsidRDefault="007A41F6" w:rsidP="003A3F53">
      <w:pPr>
        <w:pStyle w:val="Bulletlist1"/>
        <w:rPr>
          <w:lang w:val="en-US"/>
        </w:rPr>
      </w:pPr>
      <w:r w:rsidRPr="00DD1B58">
        <w:rPr>
          <w:lang w:val="en-US"/>
        </w:rPr>
        <w:lastRenderedPageBreak/>
        <w:t>T</w:t>
      </w:r>
      <w:r w:rsidR="00D01306" w:rsidRPr="00DD1B58">
        <w:rPr>
          <w:lang w:val="en-US"/>
        </w:rPr>
        <w:t>he Irradiated Fuel Buffer Store (IFBS), where all fuel has been removed from the pond</w:t>
      </w:r>
      <w:r w:rsidR="003A3F53" w:rsidRPr="00DD1B58">
        <w:rPr>
          <w:lang w:val="en-US"/>
        </w:rPr>
        <w:t>;</w:t>
      </w:r>
    </w:p>
    <w:p w14:paraId="53A0B191" w14:textId="29D7CD9A" w:rsidR="00D01306" w:rsidRPr="00DD1B58" w:rsidRDefault="007A41F6" w:rsidP="00D01306">
      <w:pPr>
        <w:pStyle w:val="Bulletlist1"/>
        <w:rPr>
          <w:lang w:val="en-US"/>
        </w:rPr>
      </w:pPr>
      <w:r w:rsidRPr="00DD1B58">
        <w:rPr>
          <w:lang w:val="en-US"/>
        </w:rPr>
        <w:t>T</w:t>
      </w:r>
      <w:r w:rsidR="00D01306" w:rsidRPr="00DD1B58">
        <w:rPr>
          <w:lang w:val="en-US"/>
        </w:rPr>
        <w:t>he Wet Area Size Reduction Facility (WASRF) for size reduction and steam cleaning of LLW recovered from the mortuary storage holes</w:t>
      </w:r>
      <w:r w:rsidR="003A3F53" w:rsidRPr="00DD1B58">
        <w:rPr>
          <w:lang w:val="en-US"/>
        </w:rPr>
        <w:t>; and</w:t>
      </w:r>
    </w:p>
    <w:p w14:paraId="56C8FC30" w14:textId="56F745AA" w:rsidR="00D01306" w:rsidRPr="00DD1B58" w:rsidRDefault="007A41F6" w:rsidP="00D01306">
      <w:pPr>
        <w:pStyle w:val="Bulletlist1"/>
        <w:rPr>
          <w:lang w:val="en-US"/>
        </w:rPr>
      </w:pPr>
      <w:r w:rsidRPr="00DD1B58">
        <w:rPr>
          <w:lang w:val="en-US"/>
        </w:rPr>
        <w:t>T</w:t>
      </w:r>
      <w:r w:rsidR="00D01306" w:rsidRPr="00DD1B58">
        <w:rPr>
          <w:lang w:val="en-US"/>
        </w:rPr>
        <w:t>he Effluent Treatment Plant (ETP)</w:t>
      </w:r>
      <w:r w:rsidRPr="00DD1B58">
        <w:rPr>
          <w:lang w:val="en-US"/>
        </w:rPr>
        <w:t>,</w:t>
      </w:r>
      <w:r w:rsidR="00D01306" w:rsidRPr="00DD1B58">
        <w:rPr>
          <w:lang w:val="en-US"/>
        </w:rPr>
        <w:t xml:space="preserve"> which collects active effluent and abates the activity prior to discharge of the liquors</w:t>
      </w:r>
      <w:r w:rsidR="00156B19" w:rsidRPr="00DD1B58">
        <w:rPr>
          <w:lang w:val="en-US"/>
        </w:rPr>
        <w:t>.</w:t>
      </w:r>
    </w:p>
    <w:p w14:paraId="777FA895" w14:textId="77777777" w:rsidR="00D01306" w:rsidRPr="00DD1B58" w:rsidRDefault="00D01306" w:rsidP="00D01306">
      <w:pPr>
        <w:rPr>
          <w:lang w:val="en-US"/>
        </w:rPr>
      </w:pPr>
      <w:r w:rsidRPr="00DD1B58">
        <w:rPr>
          <w:lang w:val="en-US"/>
        </w:rPr>
        <w:t>The Turbine Hall houses the Sodium Disposal Plant (SDP), Caesium Removal Plant (CRP) and Alkali Metal Laboratory (AML), all of which are being decommissioned.</w:t>
      </w:r>
    </w:p>
    <w:p w14:paraId="77735296" w14:textId="77777777" w:rsidR="00E37BE4" w:rsidRPr="00DD1B58" w:rsidRDefault="00D01306" w:rsidP="00E37BE4">
      <w:pPr>
        <w:rPr>
          <w:lang w:val="en-US"/>
        </w:rPr>
      </w:pPr>
      <w:r w:rsidRPr="00DD1B58">
        <w:rPr>
          <w:lang w:val="en-US"/>
        </w:rPr>
        <w:t>The Generator Transformer House (GTH) is currently used as an alkali metal storage facility. The Ventilation Annexe contains all the air handling equipment for the SCB.</w:t>
      </w:r>
    </w:p>
    <w:p w14:paraId="1E344B71" w14:textId="77777777" w:rsidR="008B309F" w:rsidRPr="00DD1B58" w:rsidRDefault="008B309F" w:rsidP="00973FF4">
      <w:pPr>
        <w:keepNext/>
        <w:rPr>
          <w:b/>
          <w:lang w:val="en-US"/>
        </w:rPr>
      </w:pPr>
      <w:r w:rsidRPr="00DD1B58">
        <w:rPr>
          <w:b/>
          <w:lang w:val="en-US"/>
        </w:rPr>
        <w:t>Dounreay Fast Reactor (DFR)</w:t>
      </w:r>
    </w:p>
    <w:p w14:paraId="573EE6C5" w14:textId="7C5AD204" w:rsidR="0093289A" w:rsidRPr="00DD1B58" w:rsidRDefault="0093289A" w:rsidP="0093289A">
      <w:pPr>
        <w:rPr>
          <w:lang w:val="en-US"/>
        </w:rPr>
      </w:pPr>
      <w:r w:rsidRPr="00DD1B58">
        <w:rPr>
          <w:lang w:val="en-US"/>
        </w:rPr>
        <w:t xml:space="preserve">The DFR commenced construction in 1955, went critical in 1959, and provided power to the national grid from 1962 until 1977, when it ceased operation. DFR was a loop-type fast breeder reactor cooled by primary and secondary </w:t>
      </w:r>
      <w:r w:rsidR="00AD44C0" w:rsidRPr="00DD1B58">
        <w:rPr>
          <w:lang w:val="en-US"/>
        </w:rPr>
        <w:t>sodium</w:t>
      </w:r>
      <w:r w:rsidRPr="00DD1B58">
        <w:rPr>
          <w:lang w:val="en-US"/>
        </w:rPr>
        <w:t>-</w:t>
      </w:r>
      <w:r w:rsidR="00AD44C0" w:rsidRPr="00DD1B58">
        <w:rPr>
          <w:lang w:val="en-US"/>
        </w:rPr>
        <w:t xml:space="preserve">potassium </w:t>
      </w:r>
      <w:r w:rsidRPr="00DD1B58">
        <w:rPr>
          <w:lang w:val="en-US"/>
        </w:rPr>
        <w:t>(NaK) circuits. The NaK disposal plant has processed 57 te of NaK, and only residual quantities remain in the DFR complex, the majority in the reactor vault.</w:t>
      </w:r>
    </w:p>
    <w:p w14:paraId="232800AA" w14:textId="74F5F42E" w:rsidR="008B309F" w:rsidRPr="00DD1B58" w:rsidRDefault="0093289A" w:rsidP="0093289A">
      <w:pPr>
        <w:rPr>
          <w:lang w:val="en-US"/>
        </w:rPr>
      </w:pPr>
      <w:r w:rsidRPr="00DD1B58">
        <w:rPr>
          <w:lang w:val="en-US"/>
        </w:rPr>
        <w:t>The reactor core was initially fuelled with uranium metal fuel stabilised with molybdenum clad in niobium. The core was later used to test oxide fuels for PFR and provide experimental space to support overseas fast reactor fuel and materials development programmes.</w:t>
      </w:r>
      <w:r w:rsidR="00DC0487" w:rsidRPr="00DD1B58">
        <w:rPr>
          <w:lang w:val="en-US"/>
        </w:rPr>
        <w:t xml:space="preserve"> </w:t>
      </w:r>
      <w:r w:rsidRPr="00DD1B58">
        <w:rPr>
          <w:lang w:val="en-US"/>
        </w:rPr>
        <w:t xml:space="preserve">It had over 5,000 breeder elements of natural uranium clad in stainless steel arranged in inner and outer breeder sections. The core </w:t>
      </w:r>
      <w:r w:rsidR="00AD44C0" w:rsidRPr="00DD1B58">
        <w:rPr>
          <w:lang w:val="en-US"/>
        </w:rPr>
        <w:t>(</w:t>
      </w:r>
      <w:r w:rsidR="00863BF4" w:rsidRPr="00DD1B58">
        <w:rPr>
          <w:lang w:val="en-US"/>
        </w:rPr>
        <w:t>except for</w:t>
      </w:r>
      <w:r w:rsidRPr="00DD1B58">
        <w:rPr>
          <w:lang w:val="en-US"/>
        </w:rPr>
        <w:t xml:space="preserve"> one element</w:t>
      </w:r>
      <w:r w:rsidR="00AD44C0" w:rsidRPr="00DD1B58">
        <w:rPr>
          <w:lang w:val="en-US"/>
        </w:rPr>
        <w:t>)</w:t>
      </w:r>
      <w:r w:rsidRPr="00DD1B58">
        <w:rPr>
          <w:lang w:val="en-US"/>
        </w:rPr>
        <w:t>, one quarter of the breeder fuel, and all the plant and buildings</w:t>
      </w:r>
      <w:r w:rsidR="005F100A" w:rsidRPr="00DD1B58">
        <w:rPr>
          <w:lang w:val="en-US"/>
        </w:rPr>
        <w:t xml:space="preserve"> associated with steam raising and power generation have been removed and disposed of.</w:t>
      </w:r>
    </w:p>
    <w:p w14:paraId="50AE3F37" w14:textId="77777777" w:rsidR="007E0C7B" w:rsidRPr="00DD1B58" w:rsidRDefault="007E0C7B" w:rsidP="0093289A">
      <w:pPr>
        <w:rPr>
          <w:b/>
          <w:lang w:val="en-US"/>
        </w:rPr>
      </w:pPr>
      <w:r w:rsidRPr="00DD1B58">
        <w:rPr>
          <w:b/>
          <w:lang w:val="en-US"/>
        </w:rPr>
        <w:t>Fuel Cycle Area</w:t>
      </w:r>
      <w:r w:rsidR="00B20FE5" w:rsidRPr="00DD1B58">
        <w:rPr>
          <w:b/>
          <w:lang w:val="en-US"/>
        </w:rPr>
        <w:t xml:space="preserve"> (FCA)</w:t>
      </w:r>
    </w:p>
    <w:p w14:paraId="47BC096E" w14:textId="77777777" w:rsidR="00B20FE5" w:rsidRPr="00DD1B58" w:rsidRDefault="00B20FE5" w:rsidP="00B20FE5">
      <w:pPr>
        <w:rPr>
          <w:lang w:val="en-US"/>
        </w:rPr>
      </w:pPr>
      <w:r w:rsidRPr="00DD1B58">
        <w:rPr>
          <w:lang w:val="en-US"/>
        </w:rPr>
        <w:t>The FCA houses the facilities that historically handled and stored the site’s nuclear material and waste. Most of the buildings were built during the early construction phase of the site in the late 1950s.</w:t>
      </w:r>
      <w:r w:rsidR="00FD6D2A" w:rsidRPr="00DD1B58">
        <w:rPr>
          <w:lang w:val="en-US"/>
        </w:rPr>
        <w:t xml:space="preserve"> </w:t>
      </w:r>
      <w:r w:rsidRPr="00DD1B58">
        <w:rPr>
          <w:lang w:val="en-US"/>
        </w:rPr>
        <w:t>The fuel cycle facilities were used for the manufacture of fuel elements, post-irradiation examination of irradiated fuel, fuel reprocessing, waste holding and treatment, and analytical services and research in laboratories.</w:t>
      </w:r>
    </w:p>
    <w:p w14:paraId="13C2A2BF" w14:textId="1E068366" w:rsidR="007E0C7B" w:rsidRPr="00DD1B58" w:rsidRDefault="00B20FE5" w:rsidP="00B20FE5">
      <w:pPr>
        <w:rPr>
          <w:lang w:val="en-US"/>
        </w:rPr>
      </w:pPr>
      <w:r w:rsidRPr="00DD1B58">
        <w:rPr>
          <w:lang w:val="en-US"/>
        </w:rPr>
        <w:t xml:space="preserve">Facilities constructed in the FCA since the 1980s include a supercompaction plant, a cementation plant, and a number of waste stores, allowing the processing and storage of historical and decommissioning wastes. The stores include a </w:t>
      </w:r>
      <w:r w:rsidR="00CC7B5C" w:rsidRPr="00DD1B58">
        <w:rPr>
          <w:lang w:val="en-US"/>
        </w:rPr>
        <w:t xml:space="preserve">Contact Handled Intermediate </w:t>
      </w:r>
      <w:r w:rsidR="0044121F" w:rsidRPr="00DD1B58">
        <w:rPr>
          <w:lang w:val="en-US"/>
        </w:rPr>
        <w:t>Level Waste (</w:t>
      </w:r>
      <w:r w:rsidRPr="00DD1B58">
        <w:rPr>
          <w:lang w:val="en-US"/>
        </w:rPr>
        <w:t>CHILW</w:t>
      </w:r>
      <w:r w:rsidR="0044121F" w:rsidRPr="00DD1B58">
        <w:rPr>
          <w:lang w:val="en-US"/>
        </w:rPr>
        <w:t>)</w:t>
      </w:r>
      <w:r w:rsidRPr="00DD1B58">
        <w:rPr>
          <w:lang w:val="en-US"/>
        </w:rPr>
        <w:t xml:space="preserve"> store for 200 litre drums and </w:t>
      </w:r>
      <w:r w:rsidR="008F22E8" w:rsidRPr="00DD1B58">
        <w:rPr>
          <w:lang w:val="en-US"/>
        </w:rPr>
        <w:t xml:space="preserve">Remote Handled Intermediate Level Waste (RHILW) </w:t>
      </w:r>
      <w:r w:rsidRPr="00DD1B58">
        <w:rPr>
          <w:lang w:val="en-US"/>
        </w:rPr>
        <w:t>stores for immobilised 500 litre drums, the newest of which is currently being commissioned for use.</w:t>
      </w:r>
    </w:p>
    <w:p w14:paraId="2CEA2E70" w14:textId="7AEB951A" w:rsidR="009F5D94" w:rsidRPr="00DD1B58" w:rsidRDefault="009F5D94" w:rsidP="00B20FE5">
      <w:pPr>
        <w:rPr>
          <w:b/>
          <w:lang w:val="en-US"/>
        </w:rPr>
      </w:pPr>
      <w:r w:rsidRPr="00DD1B58">
        <w:rPr>
          <w:b/>
          <w:lang w:val="en-US"/>
        </w:rPr>
        <w:t xml:space="preserve">Balance of </w:t>
      </w:r>
      <w:r w:rsidR="008F22E8" w:rsidRPr="00DD1B58">
        <w:rPr>
          <w:b/>
          <w:lang w:val="en-US"/>
        </w:rPr>
        <w:t>site</w:t>
      </w:r>
    </w:p>
    <w:p w14:paraId="2F04493E" w14:textId="77777777" w:rsidR="0038404A" w:rsidRPr="00DD1B58" w:rsidRDefault="0038404A" w:rsidP="0038404A">
      <w:pPr>
        <w:rPr>
          <w:lang w:val="en-US"/>
        </w:rPr>
      </w:pPr>
      <w:r w:rsidRPr="00DD1B58">
        <w:rPr>
          <w:lang w:val="en-US"/>
        </w:rPr>
        <w:t>A vertical shaft was built at Dounreay in the 1950s to remove rock spoil during excavation of a subsea tunnel for the site's effluent discharge pipes. In 1958, it was authorised as a disposal facility for ILW and is referred to as the Shaft.</w:t>
      </w:r>
      <w:r w:rsidR="00F158AB" w:rsidRPr="00DD1B58">
        <w:rPr>
          <w:lang w:val="en-US"/>
        </w:rPr>
        <w:t xml:space="preserve"> </w:t>
      </w:r>
      <w:r w:rsidRPr="00DD1B58">
        <w:rPr>
          <w:lang w:val="en-US"/>
        </w:rPr>
        <w:t xml:space="preserve">Disposals ceased in 1977 when a </w:t>
      </w:r>
      <w:r w:rsidRPr="00DD1B58">
        <w:rPr>
          <w:lang w:val="en-US"/>
        </w:rPr>
        <w:lastRenderedPageBreak/>
        <w:t>gas-phase explosion above the waste caused damage to the concrete covers and the area around the head of the Shaft. The Shaft is now freely vented to prevent a recurrence.</w:t>
      </w:r>
    </w:p>
    <w:p w14:paraId="527A9F19" w14:textId="0666D164" w:rsidR="0038404A" w:rsidRPr="00DD1B58" w:rsidRDefault="0038404A" w:rsidP="0038404A">
      <w:pPr>
        <w:rPr>
          <w:lang w:val="en-US"/>
        </w:rPr>
      </w:pPr>
      <w:r w:rsidRPr="00DD1B58">
        <w:rPr>
          <w:lang w:val="en-US"/>
        </w:rPr>
        <w:t>The Dounreay Wet Silo was constructed in 1970 as an engineered underground store for RHILW waste items produced on site. The Silo consists of a watertight reinforced concrete box with its roof roughly at ground level.</w:t>
      </w:r>
      <w:r w:rsidR="00263688" w:rsidRPr="00DD1B58">
        <w:rPr>
          <w:lang w:val="en-US"/>
        </w:rPr>
        <w:t xml:space="preserve"> </w:t>
      </w:r>
      <w:r w:rsidRPr="00DD1B58">
        <w:rPr>
          <w:lang w:val="en-US"/>
        </w:rPr>
        <w:t>The Silo was filled with water to accommodate heat generation from the waste, and to provide fire protection and shielding. From 1971 until its final closure in 1999, deposits were dominated by waste from the DFR fuel cycle work and activated components from the PFR fuel cycle operations.</w:t>
      </w:r>
    </w:p>
    <w:p w14:paraId="4536582D" w14:textId="77777777" w:rsidR="00EA78FB" w:rsidRPr="00DD1B58" w:rsidRDefault="0038404A" w:rsidP="0038404A">
      <w:pPr>
        <w:rPr>
          <w:lang w:val="en-US"/>
        </w:rPr>
      </w:pPr>
      <w:r w:rsidRPr="00DD1B58">
        <w:rPr>
          <w:lang w:val="en-US"/>
        </w:rPr>
        <w:t>The waste is to be retrieved from the Shaft and the Silo and encapsulated within 500 litre drums for on-site storage pending final disposal.</w:t>
      </w:r>
      <w:r w:rsidR="00263688" w:rsidRPr="00DD1B58">
        <w:rPr>
          <w:lang w:val="en-US"/>
        </w:rPr>
        <w:t xml:space="preserve"> </w:t>
      </w:r>
      <w:r w:rsidRPr="00DD1B58">
        <w:rPr>
          <w:lang w:val="en-US"/>
        </w:rPr>
        <w:t>The remaining facilities on site are related to the storage, grouting and disposal of LLW within ISO containers.</w:t>
      </w:r>
    </w:p>
    <w:p w14:paraId="50E184DF" w14:textId="6BEB3726" w:rsidR="0001141C" w:rsidRPr="00DD1B58" w:rsidRDefault="00B9595C" w:rsidP="0038404A">
      <w:pPr>
        <w:rPr>
          <w:b/>
          <w:lang w:val="en-US"/>
        </w:rPr>
      </w:pPr>
      <w:r w:rsidRPr="00DD1B58">
        <w:rPr>
          <w:b/>
          <w:lang w:val="en-US"/>
        </w:rPr>
        <w:t xml:space="preserve">Key </w:t>
      </w:r>
      <w:r w:rsidR="008F22E8" w:rsidRPr="00DD1B58">
        <w:rPr>
          <w:b/>
          <w:lang w:val="en-US"/>
        </w:rPr>
        <w:t xml:space="preserve">parameters </w:t>
      </w:r>
      <w:r w:rsidRPr="00DD1B58">
        <w:rPr>
          <w:b/>
          <w:lang w:val="en-US"/>
        </w:rPr>
        <w:t xml:space="preserve">for the PFR </w:t>
      </w:r>
      <w:r w:rsidR="008F22E8" w:rsidRPr="00DD1B58">
        <w:rPr>
          <w:b/>
          <w:lang w:val="en-US"/>
        </w:rPr>
        <w:t>facility</w:t>
      </w:r>
    </w:p>
    <w:p w14:paraId="76B346A2" w14:textId="647C9BF8" w:rsidR="001D3DC0" w:rsidRPr="00DD1B58" w:rsidRDefault="001D3DC0" w:rsidP="0038404A">
      <w:pPr>
        <w:rPr>
          <w:lang w:val="en-US"/>
        </w:rPr>
      </w:pPr>
      <w:r w:rsidRPr="00DD1B58">
        <w:rPr>
          <w:lang w:val="en-US"/>
        </w:rPr>
        <w:t>For the purposes of the TPR</w:t>
      </w:r>
      <w:r w:rsidR="00BB4F85" w:rsidRPr="00DD1B58">
        <w:rPr>
          <w:lang w:val="en-US"/>
        </w:rPr>
        <w:t xml:space="preserve"> project</w:t>
      </w:r>
      <w:r w:rsidR="002961DA" w:rsidRPr="00DD1B58">
        <w:rPr>
          <w:lang w:val="en-US"/>
        </w:rPr>
        <w:t>,</w:t>
      </w:r>
      <w:r w:rsidR="00BB4F85" w:rsidRPr="00DD1B58">
        <w:rPr>
          <w:lang w:val="en-US"/>
        </w:rPr>
        <w:t xml:space="preserve"> only the PFR </w:t>
      </w:r>
      <w:r w:rsidR="00C17539" w:rsidRPr="00DD1B58">
        <w:rPr>
          <w:lang w:val="en-US"/>
        </w:rPr>
        <w:t xml:space="preserve">complex including the IFC </w:t>
      </w:r>
      <w:r w:rsidR="00BB4F85" w:rsidRPr="00DD1B58">
        <w:rPr>
          <w:lang w:val="en-US"/>
        </w:rPr>
        <w:t>is reported on in line with a sampling approach</w:t>
      </w:r>
      <w:r w:rsidR="001D7969" w:rsidRPr="00DD1B58">
        <w:rPr>
          <w:lang w:val="en-US"/>
        </w:rPr>
        <w:t xml:space="preserve"> and </w:t>
      </w:r>
      <w:r w:rsidR="002358D5" w:rsidRPr="00DD1B58">
        <w:rPr>
          <w:lang w:val="en-US"/>
        </w:rPr>
        <w:t xml:space="preserve">the </w:t>
      </w:r>
      <w:r w:rsidR="001D7969" w:rsidRPr="00DD1B58">
        <w:rPr>
          <w:lang w:val="en-US"/>
        </w:rPr>
        <w:t xml:space="preserve">justification for installations selected </w:t>
      </w:r>
      <w:r w:rsidR="002961DA" w:rsidRPr="00DD1B58">
        <w:rPr>
          <w:lang w:val="en-US"/>
        </w:rPr>
        <w:t>(</w:t>
      </w:r>
      <w:r w:rsidR="001D7969" w:rsidRPr="00DD1B58">
        <w:rPr>
          <w:lang w:val="en-US"/>
        </w:rPr>
        <w:t xml:space="preserve">see Section </w:t>
      </w:r>
      <w:r w:rsidR="001D7969" w:rsidRPr="00DD1B58">
        <w:rPr>
          <w:lang w:val="en-US"/>
        </w:rPr>
        <w:fldChar w:fldCharType="begin"/>
      </w:r>
      <w:r w:rsidR="001D7969" w:rsidRPr="00DD1B58">
        <w:rPr>
          <w:lang w:val="en-US"/>
        </w:rPr>
        <w:instrText xml:space="preserve"> REF _Ref136529956 \r \h </w:instrText>
      </w:r>
      <w:r w:rsidR="001D7969" w:rsidRPr="00DD1B58">
        <w:rPr>
          <w:lang w:val="en-US"/>
        </w:rPr>
      </w:r>
      <w:r w:rsidR="001D7969" w:rsidRPr="00DD1B58">
        <w:rPr>
          <w:lang w:val="en-US"/>
        </w:rPr>
        <w:fldChar w:fldCharType="separate"/>
      </w:r>
      <w:r w:rsidR="00DF47DA">
        <w:rPr>
          <w:lang w:val="en-US"/>
        </w:rPr>
        <w:t>1.1.2</w:t>
      </w:r>
      <w:r w:rsidR="001D7969" w:rsidRPr="00DD1B58">
        <w:rPr>
          <w:lang w:val="en-US"/>
        </w:rPr>
        <w:fldChar w:fldCharType="end"/>
      </w:r>
      <w:r w:rsidR="002961DA" w:rsidRPr="00DD1B58">
        <w:rPr>
          <w:lang w:val="en-US"/>
        </w:rPr>
        <w:t>)</w:t>
      </w:r>
      <w:r w:rsidR="001D7969" w:rsidRPr="00DD1B58">
        <w:rPr>
          <w:lang w:val="en-US"/>
        </w:rPr>
        <w:t>.</w:t>
      </w:r>
    </w:p>
    <w:p w14:paraId="56A9BD12" w14:textId="01F3FAE2" w:rsidR="00F25DF5" w:rsidRPr="00DD1B58" w:rsidRDefault="0013549A" w:rsidP="00F25DF5">
      <w:pPr>
        <w:rPr>
          <w:lang w:val="en-US"/>
        </w:rPr>
      </w:pPr>
      <w:r w:rsidRPr="00DD1B58">
        <w:rPr>
          <w:lang w:val="en-US"/>
        </w:rPr>
        <w:t>PFR currently has a Decommissioning Safety Case (DSC)</w:t>
      </w:r>
      <w:r w:rsidR="00E35CD7" w:rsidRPr="00DD1B58">
        <w:rPr>
          <w:lang w:val="en-US"/>
        </w:rPr>
        <w:t>,</w:t>
      </w:r>
      <w:r w:rsidRPr="00DD1B58">
        <w:rPr>
          <w:lang w:val="en-US"/>
        </w:rPr>
        <w:t xml:space="preserve"> which justifies routine activities </w:t>
      </w:r>
      <w:r w:rsidR="002961DA" w:rsidRPr="00DD1B58">
        <w:rPr>
          <w:lang w:val="en-US"/>
        </w:rPr>
        <w:t xml:space="preserve">that </w:t>
      </w:r>
      <w:r w:rsidRPr="00DD1B58">
        <w:rPr>
          <w:lang w:val="en-US"/>
        </w:rPr>
        <w:t>support decommissioning.</w:t>
      </w:r>
      <w:r w:rsidR="00992C2F" w:rsidRPr="00DD1B58">
        <w:rPr>
          <w:lang w:val="en-US"/>
        </w:rPr>
        <w:t xml:space="preserve"> </w:t>
      </w:r>
      <w:r w:rsidRPr="00DD1B58">
        <w:rPr>
          <w:lang w:val="en-US"/>
        </w:rPr>
        <w:t>The facility encompasses several buildings in a variety of operational phases</w:t>
      </w:r>
      <w:r w:rsidR="00A63270" w:rsidRPr="00DD1B58">
        <w:rPr>
          <w:lang w:val="en-US"/>
        </w:rPr>
        <w:t xml:space="preserve"> – for example,</w:t>
      </w:r>
      <w:r w:rsidRPr="00DD1B58">
        <w:rPr>
          <w:lang w:val="en-US"/>
        </w:rPr>
        <w:t xml:space="preserve"> some areas are in care and maintenance, whilst others are operational to support decommissioning. The DSC serves as an umbrella safety case and all future decommissioning such as Reactor Vessel Treatment and Reactor Dismantling will</w:t>
      </w:r>
      <w:r w:rsidR="00F25DF5" w:rsidRPr="00DD1B58">
        <w:rPr>
          <w:lang w:val="en-US"/>
        </w:rPr>
        <w:t xml:space="preserve"> be undertaken as modifications to the DSC. Any implications to fire safety and to the DSC will be assessed as part of due process requirements.</w:t>
      </w:r>
    </w:p>
    <w:p w14:paraId="48C73E12" w14:textId="77777777" w:rsidR="00F25DF5" w:rsidRPr="00DD1B58" w:rsidRDefault="00F25DF5" w:rsidP="00F25DF5">
      <w:pPr>
        <w:rPr>
          <w:lang w:val="en-US"/>
        </w:rPr>
      </w:pPr>
      <w:r w:rsidRPr="00DD1B58">
        <w:rPr>
          <w:lang w:val="en-US"/>
        </w:rPr>
        <w:t>The list below presents a summary of the significant radiological hazards within PFR:</w:t>
      </w:r>
    </w:p>
    <w:p w14:paraId="1EA50CE9" w14:textId="137B4D85" w:rsidR="00F25DF5" w:rsidRPr="00DD1B58" w:rsidRDefault="00F25DF5" w:rsidP="00F25DF5">
      <w:pPr>
        <w:pStyle w:val="Bulletlist1"/>
        <w:rPr>
          <w:lang w:val="en-US"/>
        </w:rPr>
      </w:pPr>
      <w:r w:rsidRPr="00DD1B58">
        <w:rPr>
          <w:lang w:val="en-US"/>
        </w:rPr>
        <w:t>Bulk alkali metal and alkali metal residues (the bulk sodium from the Reactor Vessel has been destroyed and the heel pool of sodium has been removed</w:t>
      </w:r>
      <w:r w:rsidR="0007204D" w:rsidRPr="00DD1B58">
        <w:rPr>
          <w:lang w:val="en-US"/>
        </w:rPr>
        <w:t>; it</w:t>
      </w:r>
      <w:r w:rsidRPr="00DD1B58">
        <w:rPr>
          <w:lang w:val="en-US"/>
        </w:rPr>
        <w:t xml:space="preserve"> is currently stored within a dedicated vessel awaiting treatment)</w:t>
      </w:r>
      <w:r w:rsidR="00E35CD7" w:rsidRPr="00DD1B58">
        <w:rPr>
          <w:lang w:val="en-US"/>
        </w:rPr>
        <w:t>;</w:t>
      </w:r>
    </w:p>
    <w:p w14:paraId="3CED0E5A" w14:textId="7C59A186" w:rsidR="00F25DF5" w:rsidRPr="00DD1B58" w:rsidRDefault="00F25DF5" w:rsidP="00F25DF5">
      <w:pPr>
        <w:pStyle w:val="Bulletlist1"/>
        <w:rPr>
          <w:lang w:val="en-US"/>
        </w:rPr>
      </w:pPr>
      <w:r w:rsidRPr="00DD1B58">
        <w:rPr>
          <w:lang w:val="en-US"/>
        </w:rPr>
        <w:t>Bulk sodium and sodium or NaK contaminated components are stored at several locations within the facility</w:t>
      </w:r>
      <w:r w:rsidR="00E35CD7" w:rsidRPr="00DD1B58">
        <w:rPr>
          <w:lang w:val="en-US"/>
        </w:rPr>
        <w:t>;</w:t>
      </w:r>
    </w:p>
    <w:p w14:paraId="6D4C6603" w14:textId="159687CF" w:rsidR="00F25DF5" w:rsidRPr="00DD1B58" w:rsidRDefault="00F25DF5" w:rsidP="00F25DF5">
      <w:pPr>
        <w:pStyle w:val="Bulletlist1"/>
        <w:rPr>
          <w:lang w:val="en-US"/>
        </w:rPr>
      </w:pPr>
      <w:r w:rsidRPr="00DD1B58">
        <w:rPr>
          <w:lang w:val="en-US"/>
        </w:rPr>
        <w:t>Irradiated fuel (pins, assemblies and clusters), absorbers and associated items contained within the IFC</w:t>
      </w:r>
      <w:r w:rsidR="00E35CD7" w:rsidRPr="00DD1B58">
        <w:rPr>
          <w:lang w:val="en-US"/>
        </w:rPr>
        <w:t>;</w:t>
      </w:r>
    </w:p>
    <w:p w14:paraId="26F280B2" w14:textId="4AE4BE48" w:rsidR="00F25DF5" w:rsidRPr="00DD1B58" w:rsidRDefault="00F25DF5" w:rsidP="00F25DF5">
      <w:pPr>
        <w:pStyle w:val="Bulletlist1"/>
        <w:rPr>
          <w:lang w:val="en-US"/>
        </w:rPr>
      </w:pPr>
      <w:r w:rsidRPr="00DD1B58">
        <w:rPr>
          <w:lang w:val="en-US"/>
        </w:rPr>
        <w:t>Active ex-reactor components currently stored within the West End Mortuary (WEM) and Reactor Hall Mortuary (RHM)</w:t>
      </w:r>
      <w:r w:rsidR="00E35CD7" w:rsidRPr="00DD1B58">
        <w:rPr>
          <w:lang w:val="en-US"/>
        </w:rPr>
        <w:t>; and</w:t>
      </w:r>
    </w:p>
    <w:p w14:paraId="403FED07" w14:textId="77777777" w:rsidR="00900E33" w:rsidRPr="00DD1B58" w:rsidRDefault="00F25DF5" w:rsidP="00F25DF5">
      <w:pPr>
        <w:pStyle w:val="Bulletlist1"/>
        <w:rPr>
          <w:lang w:val="en-US"/>
        </w:rPr>
      </w:pPr>
      <w:r w:rsidRPr="00DD1B58">
        <w:rPr>
          <w:lang w:val="en-US"/>
        </w:rPr>
        <w:t>Activated steel and equipment</w:t>
      </w:r>
      <w:r w:rsidR="00156B19" w:rsidRPr="00DD1B58">
        <w:rPr>
          <w:lang w:val="en-US"/>
        </w:rPr>
        <w:t>.</w:t>
      </w:r>
    </w:p>
    <w:p w14:paraId="6F750081" w14:textId="77777777" w:rsidR="00611629" w:rsidRPr="00DD1B58" w:rsidRDefault="00611629" w:rsidP="00611629">
      <w:pPr>
        <w:rPr>
          <w:lang w:val="en-US"/>
        </w:rPr>
      </w:pPr>
      <w:r w:rsidRPr="00DD1B58">
        <w:rPr>
          <w:lang w:val="en-US"/>
        </w:rPr>
        <w:t xml:space="preserve">Routine operations within </w:t>
      </w:r>
      <w:r w:rsidR="00583608" w:rsidRPr="00DD1B58">
        <w:rPr>
          <w:lang w:val="en-US"/>
        </w:rPr>
        <w:t>PFR</w:t>
      </w:r>
      <w:r w:rsidRPr="00DD1B58">
        <w:rPr>
          <w:lang w:val="en-US"/>
        </w:rPr>
        <w:t xml:space="preserve"> </w:t>
      </w:r>
      <w:r w:rsidR="00583608" w:rsidRPr="00DD1B58">
        <w:rPr>
          <w:lang w:val="en-US"/>
        </w:rPr>
        <w:t>include</w:t>
      </w:r>
      <w:r w:rsidRPr="00DD1B58">
        <w:rPr>
          <w:lang w:val="en-US"/>
        </w:rPr>
        <w:t>:</w:t>
      </w:r>
    </w:p>
    <w:p w14:paraId="76A14255" w14:textId="44649ED5" w:rsidR="00611629" w:rsidRPr="00DD1B58" w:rsidRDefault="00611629" w:rsidP="00611629">
      <w:pPr>
        <w:pStyle w:val="Bulletlist1"/>
        <w:rPr>
          <w:lang w:val="en-US"/>
        </w:rPr>
      </w:pPr>
      <w:r w:rsidRPr="00DD1B58">
        <w:rPr>
          <w:lang w:val="en-US"/>
        </w:rPr>
        <w:t>Plant surveillance, maintenance, radiological monitoring and housekeeping</w:t>
      </w:r>
      <w:r w:rsidR="00E35CD7" w:rsidRPr="00DD1B58">
        <w:rPr>
          <w:lang w:val="en-US"/>
        </w:rPr>
        <w:t>;</w:t>
      </w:r>
    </w:p>
    <w:p w14:paraId="237A9F42" w14:textId="632E2094" w:rsidR="00611629" w:rsidRPr="00DD1B58" w:rsidRDefault="00611629" w:rsidP="00611629">
      <w:pPr>
        <w:pStyle w:val="Bulletlist1"/>
        <w:rPr>
          <w:lang w:val="en-US"/>
        </w:rPr>
      </w:pPr>
      <w:r w:rsidRPr="00DD1B58">
        <w:rPr>
          <w:lang w:val="en-US"/>
        </w:rPr>
        <w:t>Operation of the reactor vessel nitrogen gas blanket</w:t>
      </w:r>
      <w:r w:rsidR="00E35CD7" w:rsidRPr="00DD1B58">
        <w:rPr>
          <w:lang w:val="en-US"/>
        </w:rPr>
        <w:t>;</w:t>
      </w:r>
    </w:p>
    <w:p w14:paraId="323C5B81" w14:textId="7BA4A760" w:rsidR="00611629" w:rsidRPr="00DD1B58" w:rsidRDefault="00611629" w:rsidP="00611629">
      <w:pPr>
        <w:pStyle w:val="Bulletlist1"/>
        <w:rPr>
          <w:lang w:val="en-US"/>
        </w:rPr>
      </w:pPr>
      <w:r w:rsidRPr="00DD1B58">
        <w:rPr>
          <w:lang w:val="en-US"/>
        </w:rPr>
        <w:lastRenderedPageBreak/>
        <w:t>Waste handling, dismantling and removal of moveable, internal equipment involving use of manipulators, in-cave hoists and posting systems and minor decontamination</w:t>
      </w:r>
      <w:r w:rsidR="00E35CD7" w:rsidRPr="00DD1B58">
        <w:rPr>
          <w:lang w:val="en-US"/>
        </w:rPr>
        <w:t>; and</w:t>
      </w:r>
    </w:p>
    <w:p w14:paraId="508F2400" w14:textId="77777777" w:rsidR="00611629" w:rsidRPr="00DD1B58" w:rsidRDefault="00611629" w:rsidP="00D86CA0">
      <w:pPr>
        <w:pStyle w:val="Bulletlist1"/>
        <w:rPr>
          <w:lang w:val="en-US"/>
        </w:rPr>
      </w:pPr>
      <w:r w:rsidRPr="00DD1B58">
        <w:rPr>
          <w:lang w:val="en-US"/>
        </w:rPr>
        <w:t>Periodic operation of the pond clean-up system</w:t>
      </w:r>
      <w:r w:rsidR="008A03A8" w:rsidRPr="00DD1B58">
        <w:rPr>
          <w:lang w:val="en-US"/>
        </w:rPr>
        <w:t>.</w:t>
      </w:r>
    </w:p>
    <w:p w14:paraId="1E65006C" w14:textId="1C05AC79" w:rsidR="00583608" w:rsidRPr="00DD1B58" w:rsidRDefault="007E4EB2" w:rsidP="00583608">
      <w:pPr>
        <w:pStyle w:val="Bulletlist1"/>
        <w:numPr>
          <w:ilvl w:val="0"/>
          <w:numId w:val="0"/>
        </w:numPr>
        <w:rPr>
          <w:lang w:val="en-US"/>
        </w:rPr>
      </w:pPr>
      <w:r w:rsidRPr="00DD1B58">
        <w:rPr>
          <w:lang w:val="en-US"/>
        </w:rPr>
        <w:t xml:space="preserve">Further examples </w:t>
      </w:r>
      <w:r w:rsidR="004A5F0C" w:rsidRPr="00DD1B58">
        <w:rPr>
          <w:lang w:val="en-US"/>
        </w:rPr>
        <w:t xml:space="preserve">of operations undertaken </w:t>
      </w:r>
      <w:r w:rsidR="00117C7B" w:rsidRPr="00DD1B58">
        <w:rPr>
          <w:lang w:val="en-US"/>
        </w:rPr>
        <w:t>at PFR are provided in the</w:t>
      </w:r>
      <w:r w:rsidR="006756F7" w:rsidRPr="00DD1B58">
        <w:rPr>
          <w:lang w:val="en-US"/>
        </w:rPr>
        <w:t xml:space="preserve"> Dounreay submission for TPR </w:t>
      </w:r>
      <w:sdt>
        <w:sdtPr>
          <w:rPr>
            <w:lang w:val="en-US"/>
          </w:rPr>
          <w:id w:val="1939871726"/>
          <w:citation/>
        </w:sdtPr>
        <w:sdtContent>
          <w:r w:rsidR="00987C8A" w:rsidRPr="00DD1B58">
            <w:rPr>
              <w:lang w:val="en-US"/>
            </w:rPr>
            <w:fldChar w:fldCharType="begin"/>
          </w:r>
          <w:r w:rsidR="00987C8A" w:rsidRPr="00DD1B58">
            <w:rPr>
              <w:lang w:val="en-US"/>
            </w:rPr>
            <w:instrText xml:space="preserve"> CITATION Dou \l 2057 </w:instrText>
          </w:r>
          <w:r w:rsidR="00987C8A" w:rsidRPr="00DD1B58">
            <w:rPr>
              <w:lang w:val="en-US"/>
            </w:rPr>
            <w:fldChar w:fldCharType="separate"/>
          </w:r>
          <w:r w:rsidR="00DF47DA" w:rsidRPr="00DF47DA">
            <w:rPr>
              <w:lang w:val="en-US"/>
            </w:rPr>
            <w:t>[10]</w:t>
          </w:r>
          <w:r w:rsidR="00987C8A" w:rsidRPr="00DD1B58">
            <w:rPr>
              <w:lang w:val="en-US"/>
            </w:rPr>
            <w:fldChar w:fldCharType="end"/>
          </w:r>
        </w:sdtContent>
      </w:sdt>
      <w:r w:rsidR="00987C8A" w:rsidRPr="00DD1B58">
        <w:rPr>
          <w:lang w:val="en-US"/>
        </w:rPr>
        <w:t>.</w:t>
      </w:r>
    </w:p>
    <w:p w14:paraId="23CE02B5" w14:textId="79C7095A" w:rsidR="00611629" w:rsidRPr="00DD1B58" w:rsidRDefault="00611629" w:rsidP="00611629">
      <w:pPr>
        <w:rPr>
          <w:lang w:val="en-US"/>
        </w:rPr>
      </w:pPr>
      <w:r w:rsidRPr="00DD1B58">
        <w:rPr>
          <w:lang w:val="en-US"/>
        </w:rPr>
        <w:t>The Decontamination Area is used operationally for a variety of tasks. Within the WEM, active components are stored within mortuary holes</w:t>
      </w:r>
      <w:r w:rsidR="00987C8A" w:rsidRPr="00DD1B58">
        <w:rPr>
          <w:lang w:val="en-US"/>
        </w:rPr>
        <w:t xml:space="preserve">. This term is commonly used to refer to </w:t>
      </w:r>
      <w:r w:rsidR="00487F73" w:rsidRPr="00DD1B58">
        <w:rPr>
          <w:lang w:val="en-US"/>
        </w:rPr>
        <w:t xml:space="preserve">spaces used to store </w:t>
      </w:r>
      <w:r w:rsidR="009F67F1" w:rsidRPr="00DD1B58">
        <w:rPr>
          <w:lang w:val="en-US"/>
        </w:rPr>
        <w:t xml:space="preserve">spent reactor components </w:t>
      </w:r>
      <w:r w:rsidR="00F301C9" w:rsidRPr="00DD1B58">
        <w:rPr>
          <w:lang w:val="en-US"/>
        </w:rPr>
        <w:t>normally within biologically shielded areas</w:t>
      </w:r>
      <w:r w:rsidRPr="00DD1B58">
        <w:rPr>
          <w:lang w:val="en-US"/>
        </w:rPr>
        <w:t>. The Steam Clean Booth can be used to clean smaller items. Small-scale cleaning and size reduction of components is also carried out in tented areas.</w:t>
      </w:r>
    </w:p>
    <w:p w14:paraId="314A9A91" w14:textId="060A1EFC" w:rsidR="00156B19" w:rsidRPr="00DD1B58" w:rsidRDefault="00611629" w:rsidP="00611629">
      <w:pPr>
        <w:rPr>
          <w:lang w:val="en-US"/>
        </w:rPr>
      </w:pPr>
      <w:r w:rsidRPr="00DD1B58">
        <w:rPr>
          <w:lang w:val="en-US"/>
        </w:rPr>
        <w:t xml:space="preserve">The Wet Area Size Reduction Facility (WASRF) is used for size reduction of LLW items recovered from mortuary storage holes using cold cutting techniques. Intermediate Level Waste (ILW) components </w:t>
      </w:r>
      <w:r w:rsidR="00DB022F" w:rsidRPr="00DD1B58">
        <w:rPr>
          <w:lang w:val="en-US"/>
        </w:rPr>
        <w:t xml:space="preserve">will </w:t>
      </w:r>
      <w:r w:rsidRPr="00DD1B58">
        <w:rPr>
          <w:lang w:val="en-US"/>
        </w:rPr>
        <w:t>be returned to the mortuaries</w:t>
      </w:r>
      <w:r w:rsidR="0065713E" w:rsidRPr="00DD1B58">
        <w:rPr>
          <w:lang w:val="en-US"/>
        </w:rPr>
        <w:t xml:space="preserve"> storage until the ILW Size Reduction Facility (SRF) is available. The ILWSRF will be supported by stand-alone safety case documentation, with the Preliminary Safety Report (PSR) recently completed.</w:t>
      </w:r>
    </w:p>
    <w:p w14:paraId="16188B17" w14:textId="77777777" w:rsidR="00353B20" w:rsidRPr="00DD1B58" w:rsidRDefault="00353B20" w:rsidP="00353B20">
      <w:pPr>
        <w:rPr>
          <w:lang w:val="en-US"/>
        </w:rPr>
      </w:pPr>
      <w:r w:rsidRPr="00DD1B58">
        <w:rPr>
          <w:lang w:val="en-US"/>
        </w:rPr>
        <w:t>The Decontamination Area is used for the maintenance of manipulators as operational support for the IFC.</w:t>
      </w:r>
      <w:r w:rsidR="009C7D66" w:rsidRPr="00DD1B58">
        <w:rPr>
          <w:lang w:val="en-US"/>
        </w:rPr>
        <w:t xml:space="preserve"> </w:t>
      </w:r>
      <w:r w:rsidRPr="00DD1B58">
        <w:rPr>
          <w:lang w:val="en-US"/>
        </w:rPr>
        <w:t>Within the Turbine Hall and Diesel Generator Building, the only routine operations are storage and routine checks on the condition of ISO containers loaded with drums and components contaminated with alkali metal.</w:t>
      </w:r>
    </w:p>
    <w:p w14:paraId="469C9FBC" w14:textId="77777777" w:rsidR="00353B20" w:rsidRPr="00DD1B58" w:rsidRDefault="00353B20" w:rsidP="00353B20">
      <w:pPr>
        <w:rPr>
          <w:lang w:val="en-US"/>
        </w:rPr>
      </w:pPr>
      <w:r w:rsidRPr="00DD1B58">
        <w:rPr>
          <w:lang w:val="en-US"/>
        </w:rPr>
        <w:t>Routine checks are carried out on the condition of bulk sodium and sodium and NaK contamination items stored in the GTH.</w:t>
      </w:r>
      <w:r w:rsidR="005276EB" w:rsidRPr="00DD1B58">
        <w:rPr>
          <w:lang w:val="en-US"/>
        </w:rPr>
        <w:t xml:space="preserve"> </w:t>
      </w:r>
      <w:r w:rsidRPr="00DD1B58">
        <w:rPr>
          <w:lang w:val="en-US"/>
        </w:rPr>
        <w:t>Within the Sodium Inventory Disposal (SID) facility, sodium contaminated vessels and sodium or NaK contaminated components are cleaned, and the liquid effluents neutralised and disposed of as solid wastes.</w:t>
      </w:r>
    </w:p>
    <w:p w14:paraId="01A8D9D9" w14:textId="77777777" w:rsidR="00353B20" w:rsidRPr="00DD1B58" w:rsidRDefault="00353B20" w:rsidP="00353B20">
      <w:pPr>
        <w:rPr>
          <w:lang w:val="en-US"/>
        </w:rPr>
      </w:pPr>
      <w:r w:rsidRPr="00DD1B58">
        <w:rPr>
          <w:lang w:val="en-US"/>
        </w:rPr>
        <w:t>Routine operations in the Effluent Treatment Plant (ETP) include collection and treatment of active effluent from various sources including the IFBS pond, the Steam Clean Active Liquor Filter (SCALF), IFC hold tanks, wet area drain and plant area sumps. The activity within these liquors is abated to enable discharge under discharge authorisations. ETP pipework inspection and replacement is also carried out.</w:t>
      </w:r>
    </w:p>
    <w:p w14:paraId="45BA188C" w14:textId="77777777" w:rsidR="00353B20" w:rsidRPr="00DD1B58" w:rsidRDefault="00353B20" w:rsidP="00353B20">
      <w:pPr>
        <w:rPr>
          <w:lang w:val="en-US"/>
        </w:rPr>
      </w:pPr>
      <w:r w:rsidRPr="00DD1B58">
        <w:rPr>
          <w:lang w:val="en-US"/>
        </w:rPr>
        <w:t>The electrical annexe contains all the main switchgear and connections to the site electrical distribution system.</w:t>
      </w:r>
    </w:p>
    <w:p w14:paraId="0F4C8DFA" w14:textId="68FC54C3" w:rsidR="0065713E" w:rsidRPr="00DD1B58" w:rsidRDefault="00353B20" w:rsidP="00353B20">
      <w:pPr>
        <w:rPr>
          <w:lang w:val="en-US"/>
        </w:rPr>
      </w:pPr>
      <w:r w:rsidRPr="00DD1B58">
        <w:rPr>
          <w:lang w:val="en-US"/>
        </w:rPr>
        <w:t xml:space="preserve">The Dounreay Fire Ambulance and Rescue Service (DFARS) provide a full-time service on site, 24 hours a day. The DFARS personnel are trained and equipped to deal with a range of incidents. In addition to </w:t>
      </w:r>
      <w:r w:rsidR="00BF3BBE" w:rsidRPr="00DD1B58">
        <w:rPr>
          <w:lang w:val="en-US"/>
        </w:rPr>
        <w:t>firefighting</w:t>
      </w:r>
      <w:r w:rsidRPr="00DD1B58">
        <w:rPr>
          <w:lang w:val="en-US"/>
        </w:rPr>
        <w:t>, the DFARS operates a variety of protective, radiation monitoring and rescue equipment.</w:t>
      </w:r>
      <w:r w:rsidR="00176528" w:rsidRPr="00DD1B58">
        <w:rPr>
          <w:lang w:val="en-US"/>
        </w:rPr>
        <w:t xml:space="preserve"> Further support can be provided by the </w:t>
      </w:r>
      <w:r w:rsidRPr="00DD1B58">
        <w:rPr>
          <w:lang w:val="en-US"/>
        </w:rPr>
        <w:t>Occupational Health Department (OHD)</w:t>
      </w:r>
      <w:r w:rsidR="00176528" w:rsidRPr="00DD1B58">
        <w:rPr>
          <w:lang w:val="en-US"/>
        </w:rPr>
        <w:t xml:space="preserve">, </w:t>
      </w:r>
      <w:r w:rsidRPr="00DD1B58">
        <w:rPr>
          <w:lang w:val="en-US"/>
        </w:rPr>
        <w:t xml:space="preserve">Civil Nuclear Constabulary (CNC) </w:t>
      </w:r>
      <w:r w:rsidR="007F35D9" w:rsidRPr="00DD1B58">
        <w:rPr>
          <w:lang w:val="en-US"/>
        </w:rPr>
        <w:t xml:space="preserve">and </w:t>
      </w:r>
      <w:r w:rsidRPr="00DD1B58">
        <w:rPr>
          <w:lang w:val="en-US"/>
        </w:rPr>
        <w:t>Civilian Guard Force (CGF)</w:t>
      </w:r>
      <w:r w:rsidR="00176528" w:rsidRPr="00DD1B58">
        <w:rPr>
          <w:lang w:val="en-US"/>
        </w:rPr>
        <w:t xml:space="preserve">. Further information on their capabilities and responsibilities can be found within the Dounreay submission for TPR </w:t>
      </w:r>
      <w:sdt>
        <w:sdtPr>
          <w:rPr>
            <w:lang w:val="en-US"/>
          </w:rPr>
          <w:id w:val="-1354803296"/>
          <w:citation/>
        </w:sdtPr>
        <w:sdtContent>
          <w:r w:rsidR="00F301C9" w:rsidRPr="00DD1B58">
            <w:rPr>
              <w:lang w:val="en-US"/>
            </w:rPr>
            <w:fldChar w:fldCharType="begin"/>
          </w:r>
          <w:r w:rsidR="00F301C9" w:rsidRPr="00DD1B58">
            <w:rPr>
              <w:lang w:val="en-US"/>
            </w:rPr>
            <w:instrText xml:space="preserve"> CITATION Dou \l 2057 </w:instrText>
          </w:r>
          <w:r w:rsidR="00F301C9" w:rsidRPr="00DD1B58">
            <w:rPr>
              <w:lang w:val="en-US"/>
            </w:rPr>
            <w:fldChar w:fldCharType="separate"/>
          </w:r>
          <w:r w:rsidR="00DF47DA" w:rsidRPr="00DF47DA">
            <w:rPr>
              <w:noProof/>
              <w:lang w:val="en-US"/>
            </w:rPr>
            <w:t>[10]</w:t>
          </w:r>
          <w:r w:rsidR="00F301C9" w:rsidRPr="00DD1B58">
            <w:rPr>
              <w:lang w:val="en-US"/>
            </w:rPr>
            <w:fldChar w:fldCharType="end"/>
          </w:r>
        </w:sdtContent>
      </w:sdt>
      <w:r w:rsidR="00176528" w:rsidRPr="00DD1B58">
        <w:rPr>
          <w:lang w:val="en-US"/>
        </w:rPr>
        <w:t>.</w:t>
      </w:r>
    </w:p>
    <w:p w14:paraId="06EF69F8" w14:textId="77777777" w:rsidR="00AB544D" w:rsidRPr="00DD1B58" w:rsidRDefault="00E562C3" w:rsidP="0038404A">
      <w:pPr>
        <w:rPr>
          <w:lang w:val="en-US"/>
        </w:rPr>
      </w:pPr>
      <w:r w:rsidRPr="00DD1B58">
        <w:rPr>
          <w:lang w:val="en-US"/>
        </w:rPr>
        <w:t xml:space="preserve">Close co-operation is maintained with the Scottish Fire and Rescue Service who train and exercise with the DFARS. Assistance is requested from the Scottish Fire and Rescue </w:t>
      </w:r>
      <w:r w:rsidRPr="00DD1B58">
        <w:rPr>
          <w:lang w:val="en-US"/>
        </w:rPr>
        <w:lastRenderedPageBreak/>
        <w:t>Service and Scottish Ambulance Service should the need arise. Arrangements exist for integrating the command structures of the DFARS and the Scottish Fire and Rescue Service. The DFARS would co-ordinate any firefighting teams provided by Scottish Fire and Rescue Service.</w:t>
      </w:r>
    </w:p>
    <w:p w14:paraId="29C100C6" w14:textId="63BEB635" w:rsidR="00AB544D" w:rsidRPr="00DD1B58" w:rsidRDefault="005203BC" w:rsidP="005203BC">
      <w:pPr>
        <w:pStyle w:val="Heading4"/>
        <w:numPr>
          <w:ilvl w:val="5"/>
          <w:numId w:val="3"/>
        </w:numPr>
        <w:rPr>
          <w:lang w:val="en-US"/>
        </w:rPr>
      </w:pPr>
      <w:r w:rsidRPr="00DD1B58">
        <w:rPr>
          <w:lang w:val="en-US"/>
        </w:rPr>
        <w:t>Approach to development of the NAR for the national selection</w:t>
      </w:r>
    </w:p>
    <w:p w14:paraId="6C476FD0" w14:textId="57AC50F9" w:rsidR="00870E2D" w:rsidRPr="00DD1B58" w:rsidRDefault="006E7CBA" w:rsidP="005203BC">
      <w:pPr>
        <w:rPr>
          <w:lang w:val="en-US"/>
        </w:rPr>
      </w:pPr>
      <w:r w:rsidRPr="00DD1B58">
        <w:rPr>
          <w:lang w:val="en-US"/>
        </w:rPr>
        <w:t xml:space="preserve">The intention for GB nuclear sites to </w:t>
      </w:r>
      <w:r w:rsidR="00870E2D" w:rsidRPr="00DD1B58">
        <w:rPr>
          <w:lang w:val="en-US"/>
        </w:rPr>
        <w:t xml:space="preserve">contribute to the </w:t>
      </w:r>
      <w:r w:rsidR="007F35D9" w:rsidRPr="00DD1B58">
        <w:rPr>
          <w:lang w:val="en-US"/>
        </w:rPr>
        <w:t>TPR 2</w:t>
      </w:r>
      <w:r w:rsidR="00870E2D" w:rsidRPr="00DD1B58">
        <w:rPr>
          <w:lang w:val="en-US"/>
        </w:rPr>
        <w:t xml:space="preserve"> was first communicated </w:t>
      </w:r>
      <w:r w:rsidR="008B7087" w:rsidRPr="00DD1B58">
        <w:rPr>
          <w:lang w:val="en-US"/>
        </w:rPr>
        <w:t xml:space="preserve">by ONR </w:t>
      </w:r>
      <w:r w:rsidR="00870E2D" w:rsidRPr="00DD1B58">
        <w:rPr>
          <w:lang w:val="en-US"/>
        </w:rPr>
        <w:t>to industry</w:t>
      </w:r>
      <w:r w:rsidR="008B7087" w:rsidRPr="00DD1B58">
        <w:rPr>
          <w:lang w:val="en-US"/>
        </w:rPr>
        <w:t xml:space="preserve"> stakeholders</w:t>
      </w:r>
      <w:r w:rsidR="00870E2D" w:rsidRPr="00DD1B58">
        <w:rPr>
          <w:lang w:val="en-US"/>
        </w:rPr>
        <w:t xml:space="preserve"> in April 2022. A follow-up letter was </w:t>
      </w:r>
      <w:r w:rsidR="00FE1738" w:rsidRPr="00DD1B58">
        <w:rPr>
          <w:lang w:val="en-US"/>
        </w:rPr>
        <w:t xml:space="preserve">issued to the participant licensees </w:t>
      </w:r>
      <w:r w:rsidR="00E751A2" w:rsidRPr="00DD1B58">
        <w:rPr>
          <w:lang w:val="en-US"/>
        </w:rPr>
        <w:t>in Ju</w:t>
      </w:r>
      <w:r w:rsidR="008B7087" w:rsidRPr="00DD1B58">
        <w:rPr>
          <w:lang w:val="en-US"/>
        </w:rPr>
        <w:t>ly 2022</w:t>
      </w:r>
      <w:r w:rsidR="00D70025" w:rsidRPr="00DD1B58">
        <w:rPr>
          <w:lang w:val="en-US"/>
        </w:rPr>
        <w:t xml:space="preserve">, signposting to ENSREG’s Terms of Reference and Technical Specification for </w:t>
      </w:r>
      <w:r w:rsidR="007F35D9" w:rsidRPr="00DD1B58">
        <w:rPr>
          <w:lang w:val="en-US"/>
        </w:rPr>
        <w:t>TPR 2</w:t>
      </w:r>
      <w:r w:rsidR="00D70025" w:rsidRPr="00DD1B58">
        <w:rPr>
          <w:lang w:val="en-US"/>
        </w:rPr>
        <w:t>. The national self-assessment by participant licensees</w:t>
      </w:r>
      <w:r w:rsidR="00FE34EE" w:rsidRPr="00DD1B58">
        <w:rPr>
          <w:lang w:val="en-US"/>
        </w:rPr>
        <w:t xml:space="preserve"> formally </w:t>
      </w:r>
      <w:r w:rsidR="00D70025" w:rsidRPr="00DD1B58">
        <w:rPr>
          <w:lang w:val="en-US"/>
        </w:rPr>
        <w:t>started</w:t>
      </w:r>
      <w:r w:rsidR="00FE34EE" w:rsidRPr="00DD1B58">
        <w:rPr>
          <w:lang w:val="en-US"/>
        </w:rPr>
        <w:t xml:space="preserve"> </w:t>
      </w:r>
      <w:r w:rsidR="00BD5369" w:rsidRPr="00DD1B58">
        <w:rPr>
          <w:lang w:val="en-US"/>
        </w:rPr>
        <w:t xml:space="preserve">through a stakeholder event hosted </w:t>
      </w:r>
      <w:r w:rsidR="009169E4" w:rsidRPr="00DD1B58">
        <w:rPr>
          <w:lang w:val="en-US"/>
        </w:rPr>
        <w:t xml:space="preserve">at ONR’s offices in Liverpool, </w:t>
      </w:r>
      <w:r w:rsidR="00FF0575" w:rsidRPr="00DD1B58">
        <w:rPr>
          <w:lang w:val="en-US"/>
        </w:rPr>
        <w:t xml:space="preserve">where ONR </w:t>
      </w:r>
      <w:r w:rsidR="00D70025" w:rsidRPr="00DD1B58">
        <w:rPr>
          <w:lang w:val="en-US"/>
        </w:rPr>
        <w:t xml:space="preserve">presented </w:t>
      </w:r>
      <w:r w:rsidR="00FF0575" w:rsidRPr="00DD1B58">
        <w:rPr>
          <w:lang w:val="en-US"/>
        </w:rPr>
        <w:t xml:space="preserve">the </w:t>
      </w:r>
      <w:r w:rsidR="00D6729B" w:rsidRPr="00DD1B58">
        <w:rPr>
          <w:lang w:val="en-US"/>
        </w:rPr>
        <w:t xml:space="preserve">timeline for NAR production, the expectations on </w:t>
      </w:r>
      <w:r w:rsidR="00D70025" w:rsidRPr="00DD1B58">
        <w:rPr>
          <w:lang w:val="en-US"/>
        </w:rPr>
        <w:t xml:space="preserve">participant licensees and </w:t>
      </w:r>
      <w:r w:rsidR="0051408D" w:rsidRPr="00DD1B58">
        <w:rPr>
          <w:lang w:val="en-US"/>
        </w:rPr>
        <w:t xml:space="preserve">key considerations from the </w:t>
      </w:r>
      <w:r w:rsidR="006D70C8" w:rsidRPr="00DD1B58">
        <w:rPr>
          <w:lang w:val="en-US"/>
        </w:rPr>
        <w:t>T</w:t>
      </w:r>
      <w:r w:rsidR="00D6729B" w:rsidRPr="00DD1B58">
        <w:rPr>
          <w:lang w:val="en-US"/>
        </w:rPr>
        <w:t xml:space="preserve">echnical </w:t>
      </w:r>
      <w:r w:rsidR="006D70C8" w:rsidRPr="00DD1B58">
        <w:rPr>
          <w:lang w:val="en-US"/>
        </w:rPr>
        <w:t>S</w:t>
      </w:r>
      <w:r w:rsidR="00D6729B" w:rsidRPr="00DD1B58">
        <w:rPr>
          <w:lang w:val="en-US"/>
        </w:rPr>
        <w:t xml:space="preserve">pecification </w:t>
      </w:r>
      <w:sdt>
        <w:sdtPr>
          <w:rPr>
            <w:lang w:val="en-US"/>
          </w:rPr>
          <w:id w:val="2000229636"/>
          <w:citation/>
        </w:sdtPr>
        <w:sdtContent>
          <w:r w:rsidR="006D70C8" w:rsidRPr="00DD1B58">
            <w:rPr>
              <w:lang w:val="en-US"/>
            </w:rPr>
            <w:fldChar w:fldCharType="begin"/>
          </w:r>
          <w:r w:rsidR="001270D9" w:rsidRPr="00DD1B58">
            <w:rPr>
              <w:lang w:val="en-US"/>
            </w:rPr>
            <w:instrText xml:space="preserve">CITATION WEN2 \l 2057 </w:instrText>
          </w:r>
          <w:r w:rsidR="006D70C8" w:rsidRPr="00DD1B58">
            <w:rPr>
              <w:lang w:val="en-US"/>
            </w:rPr>
            <w:fldChar w:fldCharType="separate"/>
          </w:r>
          <w:r w:rsidR="00DF47DA" w:rsidRPr="00DF47DA">
            <w:rPr>
              <w:noProof/>
              <w:lang w:val="en-US"/>
            </w:rPr>
            <w:t>[1]</w:t>
          </w:r>
          <w:r w:rsidR="006D70C8" w:rsidRPr="00DD1B58">
            <w:rPr>
              <w:lang w:val="en-US"/>
            </w:rPr>
            <w:fldChar w:fldCharType="end"/>
          </w:r>
        </w:sdtContent>
      </w:sdt>
      <w:r w:rsidR="0051408D" w:rsidRPr="00DD1B58">
        <w:rPr>
          <w:lang w:val="en-US"/>
        </w:rPr>
        <w:t xml:space="preserve">, </w:t>
      </w:r>
      <w:r w:rsidR="006D70C8" w:rsidRPr="00DD1B58">
        <w:rPr>
          <w:lang w:val="en-US"/>
        </w:rPr>
        <w:t>T</w:t>
      </w:r>
      <w:r w:rsidR="00D6729B" w:rsidRPr="00DD1B58">
        <w:rPr>
          <w:lang w:val="en-US"/>
        </w:rPr>
        <w:t xml:space="preserve">erms of </w:t>
      </w:r>
      <w:r w:rsidR="006D70C8" w:rsidRPr="00DD1B58">
        <w:rPr>
          <w:lang w:val="en-US"/>
        </w:rPr>
        <w:t>R</w:t>
      </w:r>
      <w:r w:rsidR="00D6729B" w:rsidRPr="00DD1B58">
        <w:rPr>
          <w:lang w:val="en-US"/>
        </w:rPr>
        <w:t>eference</w:t>
      </w:r>
      <w:r w:rsidR="006D70C8" w:rsidRPr="00DD1B58">
        <w:rPr>
          <w:lang w:val="en-US"/>
        </w:rPr>
        <w:t xml:space="preserve"> </w:t>
      </w:r>
      <w:sdt>
        <w:sdtPr>
          <w:rPr>
            <w:lang w:val="en-US"/>
          </w:rPr>
          <w:id w:val="-285816190"/>
          <w:citation/>
        </w:sdtPr>
        <w:sdtContent>
          <w:r w:rsidR="00C352FC" w:rsidRPr="00DD1B58">
            <w:rPr>
              <w:lang w:val="en-US"/>
            </w:rPr>
            <w:fldChar w:fldCharType="begin"/>
          </w:r>
          <w:r w:rsidR="00C352FC" w:rsidRPr="00DD1B58">
            <w:rPr>
              <w:lang w:val="en-US"/>
            </w:rPr>
            <w:instrText xml:space="preserve"> CITATION ENS1 \l 2057 </w:instrText>
          </w:r>
          <w:r w:rsidR="00C352FC" w:rsidRPr="00DD1B58">
            <w:rPr>
              <w:lang w:val="en-US"/>
            </w:rPr>
            <w:fldChar w:fldCharType="separate"/>
          </w:r>
          <w:r w:rsidR="00DF47DA" w:rsidRPr="00DF47DA">
            <w:rPr>
              <w:noProof/>
              <w:lang w:val="en-US"/>
            </w:rPr>
            <w:t>[11]</w:t>
          </w:r>
          <w:r w:rsidR="00C352FC" w:rsidRPr="00DD1B58">
            <w:rPr>
              <w:lang w:val="en-US"/>
            </w:rPr>
            <w:fldChar w:fldCharType="end"/>
          </w:r>
        </w:sdtContent>
      </w:sdt>
      <w:r w:rsidR="00D6729B" w:rsidRPr="00DD1B58">
        <w:rPr>
          <w:lang w:val="en-US"/>
        </w:rPr>
        <w:t xml:space="preserve"> </w:t>
      </w:r>
      <w:r w:rsidR="0051408D" w:rsidRPr="00DD1B58">
        <w:rPr>
          <w:lang w:val="en-US"/>
        </w:rPr>
        <w:t>and ONR regulatory expectations</w:t>
      </w:r>
      <w:r w:rsidR="00D6729B" w:rsidRPr="00DD1B58">
        <w:rPr>
          <w:lang w:val="en-US"/>
        </w:rPr>
        <w:t>.</w:t>
      </w:r>
      <w:r w:rsidR="006D70C8" w:rsidRPr="00DD1B58">
        <w:rPr>
          <w:lang w:val="en-US"/>
        </w:rPr>
        <w:t xml:space="preserve"> ONR also </w:t>
      </w:r>
      <w:r w:rsidR="005F01B9" w:rsidRPr="00DD1B58">
        <w:rPr>
          <w:lang w:val="en-US"/>
        </w:rPr>
        <w:t>provided guidance on</w:t>
      </w:r>
      <w:r w:rsidR="00F84E45" w:rsidRPr="00DD1B58">
        <w:rPr>
          <w:lang w:val="en-US"/>
        </w:rPr>
        <w:t xml:space="preserve"> licensee’s contribution</w:t>
      </w:r>
      <w:r w:rsidR="0051408D" w:rsidRPr="00DD1B58">
        <w:rPr>
          <w:lang w:val="en-US"/>
        </w:rPr>
        <w:t xml:space="preserve">s in </w:t>
      </w:r>
      <w:r w:rsidR="005F01B9" w:rsidRPr="00DD1B58">
        <w:rPr>
          <w:lang w:val="en-US"/>
        </w:rPr>
        <w:t xml:space="preserve">terms of </w:t>
      </w:r>
      <w:r w:rsidR="0051408D" w:rsidRPr="00DD1B58">
        <w:rPr>
          <w:lang w:val="en-US"/>
        </w:rPr>
        <w:t xml:space="preserve">compatibility with the </w:t>
      </w:r>
      <w:r w:rsidR="00A14377" w:rsidRPr="00DD1B58">
        <w:rPr>
          <w:lang w:val="en-US"/>
        </w:rPr>
        <w:t xml:space="preserve">technical specification information as well as </w:t>
      </w:r>
      <w:r w:rsidR="007D7DEC" w:rsidRPr="00DD1B58">
        <w:rPr>
          <w:lang w:val="en-US"/>
        </w:rPr>
        <w:t>additional contextual information</w:t>
      </w:r>
      <w:r w:rsidR="0051408D" w:rsidRPr="00DD1B58">
        <w:rPr>
          <w:lang w:val="en-US"/>
        </w:rPr>
        <w:t xml:space="preserve">, in particular the </w:t>
      </w:r>
      <w:r w:rsidR="007E045E" w:rsidRPr="00DD1B58">
        <w:rPr>
          <w:lang w:val="en-US"/>
        </w:rPr>
        <w:t xml:space="preserve">terminology </w:t>
      </w:r>
      <w:r w:rsidR="00AA446F" w:rsidRPr="00DD1B58">
        <w:rPr>
          <w:lang w:val="en-US"/>
        </w:rPr>
        <w:t>in the specification</w:t>
      </w:r>
      <w:r w:rsidR="007E045E" w:rsidRPr="00DD1B58">
        <w:rPr>
          <w:lang w:val="en-US"/>
        </w:rPr>
        <w:t xml:space="preserve"> and intention of each section</w:t>
      </w:r>
      <w:r w:rsidR="00CC53D6" w:rsidRPr="00DD1B58">
        <w:rPr>
          <w:lang w:val="en-US"/>
        </w:rPr>
        <w:t xml:space="preserve"> of the NAR.</w:t>
      </w:r>
    </w:p>
    <w:p w14:paraId="0B996E22" w14:textId="4A2921A7" w:rsidR="0051408D" w:rsidRPr="00DD1B58" w:rsidRDefault="000578E2" w:rsidP="005203BC">
      <w:pPr>
        <w:rPr>
          <w:lang w:val="en-US"/>
        </w:rPr>
      </w:pPr>
      <w:r w:rsidRPr="00DD1B58">
        <w:rPr>
          <w:lang w:val="en-US"/>
        </w:rPr>
        <w:t xml:space="preserve">Following this initial </w:t>
      </w:r>
      <w:r w:rsidR="006C207C" w:rsidRPr="00DD1B58">
        <w:rPr>
          <w:lang w:val="en-US"/>
        </w:rPr>
        <w:t>stakeholder event</w:t>
      </w:r>
      <w:r w:rsidR="0051408D" w:rsidRPr="00DD1B58">
        <w:rPr>
          <w:lang w:val="en-US"/>
        </w:rPr>
        <w:t>,</w:t>
      </w:r>
      <w:r w:rsidR="006C207C" w:rsidRPr="00DD1B58">
        <w:rPr>
          <w:lang w:val="en-US"/>
        </w:rPr>
        <w:t xml:space="preserve"> </w:t>
      </w:r>
      <w:r w:rsidR="00FE09ED" w:rsidRPr="00DD1B58">
        <w:rPr>
          <w:lang w:val="en-US"/>
        </w:rPr>
        <w:t xml:space="preserve">monthly </w:t>
      </w:r>
      <w:r w:rsidR="006C207C" w:rsidRPr="00DD1B58">
        <w:rPr>
          <w:lang w:val="en-US"/>
        </w:rPr>
        <w:t xml:space="preserve">one-to-one meetings </w:t>
      </w:r>
      <w:r w:rsidR="002A4E9E" w:rsidRPr="00DD1B58">
        <w:rPr>
          <w:lang w:val="en-US"/>
        </w:rPr>
        <w:t xml:space="preserve">were held with contributing </w:t>
      </w:r>
      <w:r w:rsidR="006C207C" w:rsidRPr="00DD1B58">
        <w:rPr>
          <w:lang w:val="en-US"/>
        </w:rPr>
        <w:t xml:space="preserve">licensees </w:t>
      </w:r>
      <w:r w:rsidR="002A4E9E" w:rsidRPr="00DD1B58">
        <w:rPr>
          <w:lang w:val="en-US"/>
        </w:rPr>
        <w:t xml:space="preserve">and ONR </w:t>
      </w:r>
      <w:r w:rsidR="007F35D9" w:rsidRPr="00DD1B58">
        <w:rPr>
          <w:lang w:val="en-US"/>
        </w:rPr>
        <w:t>TPR 2</w:t>
      </w:r>
      <w:r w:rsidR="002A4E9E" w:rsidRPr="00DD1B58">
        <w:rPr>
          <w:lang w:val="en-US"/>
        </w:rPr>
        <w:t xml:space="preserve"> team members to </w:t>
      </w:r>
      <w:r w:rsidR="00FB5B37" w:rsidRPr="00DD1B58">
        <w:rPr>
          <w:lang w:val="en-US"/>
        </w:rPr>
        <w:t xml:space="preserve">provide feedback and clarify points of detail </w:t>
      </w:r>
      <w:r w:rsidR="00611349" w:rsidRPr="00DD1B58">
        <w:rPr>
          <w:lang w:val="en-US"/>
        </w:rPr>
        <w:t>regarding</w:t>
      </w:r>
      <w:r w:rsidR="00FB5B37" w:rsidRPr="00DD1B58">
        <w:rPr>
          <w:lang w:val="en-US"/>
        </w:rPr>
        <w:t xml:space="preserve"> </w:t>
      </w:r>
      <w:r w:rsidR="00621574" w:rsidRPr="00DD1B58">
        <w:rPr>
          <w:lang w:val="en-US"/>
        </w:rPr>
        <w:t xml:space="preserve">self-assessment </w:t>
      </w:r>
      <w:r w:rsidR="00FB5B37" w:rsidRPr="00DD1B58">
        <w:rPr>
          <w:lang w:val="en-US"/>
        </w:rPr>
        <w:t>expectations</w:t>
      </w:r>
      <w:r w:rsidR="0051408D" w:rsidRPr="00DD1B58">
        <w:rPr>
          <w:lang w:val="en-US"/>
        </w:rPr>
        <w:t>. This w</w:t>
      </w:r>
      <w:r w:rsidR="002B0885" w:rsidRPr="00DD1B58">
        <w:rPr>
          <w:lang w:val="en-US"/>
        </w:rPr>
        <w:t>as</w:t>
      </w:r>
      <w:r w:rsidR="0051408D" w:rsidRPr="00DD1B58">
        <w:rPr>
          <w:lang w:val="en-US"/>
        </w:rPr>
        <w:t xml:space="preserve"> supported with multi-stakeholder engagement with licensees facilitated by the Nuclear Industry Fire Safety Coordinating Committee (NIFSCC)</w:t>
      </w:r>
      <w:r w:rsidR="00DC7027" w:rsidRPr="00DD1B58">
        <w:rPr>
          <w:lang w:val="en-US"/>
        </w:rPr>
        <w:t xml:space="preserve">, a </w:t>
      </w:r>
      <w:r w:rsidR="0051408D" w:rsidRPr="00DD1B58">
        <w:rPr>
          <w:lang w:val="en-US"/>
        </w:rPr>
        <w:t>sub-group of the UK Safety Directors Forum (SDF).</w:t>
      </w:r>
    </w:p>
    <w:p w14:paraId="1822D3AA" w14:textId="6DAF64B1" w:rsidR="000578E2" w:rsidRPr="00DD1B58" w:rsidRDefault="00862E8B" w:rsidP="005203BC">
      <w:pPr>
        <w:rPr>
          <w:lang w:val="en-US"/>
        </w:rPr>
      </w:pPr>
      <w:r w:rsidRPr="00DD1B58">
        <w:rPr>
          <w:lang w:val="en-US"/>
        </w:rPr>
        <w:t>The NAR</w:t>
      </w:r>
      <w:r w:rsidR="0051408D" w:rsidRPr="00DD1B58">
        <w:rPr>
          <w:lang w:val="en-US"/>
        </w:rPr>
        <w:t xml:space="preserve"> </w:t>
      </w:r>
      <w:r w:rsidRPr="00DD1B58">
        <w:rPr>
          <w:lang w:val="en-US"/>
        </w:rPr>
        <w:t>was</w:t>
      </w:r>
      <w:r w:rsidR="0051408D" w:rsidRPr="00DD1B58">
        <w:rPr>
          <w:lang w:val="en-US"/>
        </w:rPr>
        <w:t xml:space="preserve"> </w:t>
      </w:r>
      <w:r w:rsidRPr="00DD1B58">
        <w:rPr>
          <w:lang w:val="en-US"/>
        </w:rPr>
        <w:t>the</w:t>
      </w:r>
      <w:r w:rsidR="00FE09ED" w:rsidRPr="00DD1B58">
        <w:rPr>
          <w:lang w:val="en-US"/>
        </w:rPr>
        <w:t>n</w:t>
      </w:r>
      <w:r w:rsidRPr="00DD1B58">
        <w:rPr>
          <w:lang w:val="en-US"/>
        </w:rPr>
        <w:t xml:space="preserve"> assembled</w:t>
      </w:r>
      <w:r w:rsidR="0051408D" w:rsidRPr="00DD1B58">
        <w:rPr>
          <w:lang w:val="en-US"/>
        </w:rPr>
        <w:t xml:space="preserve"> from contributions by the relevant licensees, as provided to</w:t>
      </w:r>
      <w:r w:rsidR="00E531D1" w:rsidRPr="00DD1B58">
        <w:rPr>
          <w:lang w:val="en-US"/>
        </w:rPr>
        <w:t xml:space="preserve"> ONR between November 2022 and </w:t>
      </w:r>
      <w:r w:rsidR="0051408D" w:rsidRPr="00DD1B58">
        <w:rPr>
          <w:lang w:val="en-US"/>
        </w:rPr>
        <w:t xml:space="preserve">June </w:t>
      </w:r>
      <w:r w:rsidR="00E531D1" w:rsidRPr="00DD1B58">
        <w:rPr>
          <w:lang w:val="en-US"/>
        </w:rPr>
        <w:t>2023</w:t>
      </w:r>
      <w:r w:rsidR="004569F8" w:rsidRPr="00DD1B58">
        <w:rPr>
          <w:lang w:val="en-US"/>
        </w:rPr>
        <w:t xml:space="preserve"> and assessed by ONR throughout the process.</w:t>
      </w:r>
    </w:p>
    <w:p w14:paraId="0B1ED4E9" w14:textId="77777777" w:rsidR="00AB3DE9" w:rsidRPr="00DD1B58" w:rsidRDefault="00AB3DE9" w:rsidP="00AB3DE9">
      <w:pPr>
        <w:pStyle w:val="Heading2"/>
        <w:rPr>
          <w:lang w:val="en-US"/>
        </w:rPr>
      </w:pPr>
      <w:bookmarkStart w:id="13" w:name="_Toc147090622"/>
      <w:r w:rsidRPr="00DD1B58">
        <w:rPr>
          <w:lang w:val="en-US"/>
        </w:rPr>
        <w:t>National regulatory framework</w:t>
      </w:r>
      <w:bookmarkEnd w:id="13"/>
    </w:p>
    <w:p w14:paraId="38DAB24E" w14:textId="2660FA7A" w:rsidR="005203BC" w:rsidRPr="00DD1B58" w:rsidRDefault="00AB3DE9" w:rsidP="00AB3DE9">
      <w:pPr>
        <w:pStyle w:val="Heading4"/>
        <w:numPr>
          <w:ilvl w:val="5"/>
          <w:numId w:val="3"/>
        </w:numPr>
        <w:rPr>
          <w:lang w:val="en-US"/>
        </w:rPr>
      </w:pPr>
      <w:r w:rsidRPr="00DD1B58">
        <w:rPr>
          <w:lang w:val="en-US"/>
        </w:rPr>
        <w:t>National regulatory requirements and standards</w:t>
      </w:r>
    </w:p>
    <w:p w14:paraId="7EB91298" w14:textId="567D2559" w:rsidR="00DD3DFB" w:rsidRPr="00DD1B58" w:rsidRDefault="00DD3DFB" w:rsidP="00DD3DFB">
      <w:pPr>
        <w:autoSpaceDE w:val="0"/>
        <w:autoSpaceDN w:val="0"/>
        <w:adjustRightInd w:val="0"/>
        <w:spacing w:after="0" w:line="240" w:lineRule="auto"/>
        <w:rPr>
          <w:rFonts w:asciiTheme="minorHAnsi" w:eastAsia="ArialMT" w:hAnsiTheme="minorHAnsi" w:cstheme="minorHAnsi"/>
          <w:szCs w:val="24"/>
          <w:lang w:val="en-US" w:eastAsia="en-GB" w:bidi="ar-SA"/>
        </w:rPr>
      </w:pPr>
      <w:r w:rsidRPr="00DD1B58">
        <w:rPr>
          <w:rFonts w:asciiTheme="minorHAnsi" w:eastAsia="ArialMT" w:hAnsiTheme="minorHAnsi" w:cstheme="minorHAnsi"/>
          <w:szCs w:val="24"/>
          <w:lang w:val="en-US" w:eastAsia="en-GB" w:bidi="ar-SA"/>
        </w:rPr>
        <w:t xml:space="preserve">The principal primary legislation for ensuring the safety of nuclear installations </w:t>
      </w:r>
      <w:r w:rsidR="00C352FC" w:rsidRPr="00DD1B58">
        <w:rPr>
          <w:rFonts w:asciiTheme="minorHAnsi" w:eastAsia="ArialMT" w:hAnsiTheme="minorHAnsi" w:cstheme="minorHAnsi"/>
          <w:szCs w:val="24"/>
          <w:lang w:val="en-US" w:eastAsia="en-GB" w:bidi="ar-SA"/>
        </w:rPr>
        <w:t xml:space="preserve">consists </w:t>
      </w:r>
      <w:r w:rsidRPr="00DD1B58">
        <w:rPr>
          <w:rFonts w:asciiTheme="minorHAnsi" w:eastAsia="ArialMT" w:hAnsiTheme="minorHAnsi" w:cstheme="minorHAnsi"/>
          <w:szCs w:val="24"/>
          <w:lang w:val="en-US" w:eastAsia="en-GB" w:bidi="ar-SA"/>
        </w:rPr>
        <w:t xml:space="preserve">of the following Acts of Parliament: </w:t>
      </w:r>
    </w:p>
    <w:p w14:paraId="1D0B4A01" w14:textId="77777777" w:rsidR="00635DAC" w:rsidRPr="00DD1B58" w:rsidRDefault="00635DAC" w:rsidP="00DD3DFB">
      <w:pPr>
        <w:autoSpaceDE w:val="0"/>
        <w:autoSpaceDN w:val="0"/>
        <w:adjustRightInd w:val="0"/>
        <w:spacing w:after="0" w:line="240" w:lineRule="auto"/>
        <w:rPr>
          <w:rFonts w:asciiTheme="minorHAnsi" w:eastAsia="ArialMT" w:hAnsiTheme="minorHAnsi" w:cstheme="minorHAnsi"/>
          <w:szCs w:val="24"/>
          <w:lang w:val="en-US" w:eastAsia="en-GB" w:bidi="ar-SA"/>
        </w:rPr>
      </w:pPr>
    </w:p>
    <w:p w14:paraId="5522DAB5" w14:textId="109E15E3" w:rsidR="00DD3DFB" w:rsidRPr="00DD1B58" w:rsidRDefault="00DD3DFB" w:rsidP="009D6D7E">
      <w:pPr>
        <w:pStyle w:val="Bulletlist1"/>
        <w:rPr>
          <w:lang w:val="en-US" w:eastAsia="en-GB" w:bidi="ar-SA"/>
        </w:rPr>
      </w:pPr>
      <w:r w:rsidRPr="00DD1B58">
        <w:rPr>
          <w:lang w:val="en-US" w:eastAsia="en-GB" w:bidi="ar-SA"/>
        </w:rPr>
        <w:t xml:space="preserve">Energy Act 2013 </w:t>
      </w:r>
      <w:sdt>
        <w:sdtPr>
          <w:rPr>
            <w:lang w:val="en-US" w:eastAsia="en-GB" w:bidi="ar-SA"/>
          </w:rPr>
          <w:id w:val="-1462954361"/>
          <w:citation/>
        </w:sdtPr>
        <w:sdtContent>
          <w:r w:rsidR="009D6D7E" w:rsidRPr="00DD1B58">
            <w:rPr>
              <w:lang w:val="en-US" w:eastAsia="en-GB" w:bidi="ar-SA"/>
            </w:rPr>
            <w:fldChar w:fldCharType="begin"/>
          </w:r>
          <w:r w:rsidR="00601B0B" w:rsidRPr="00DD1B58">
            <w:rPr>
              <w:lang w:val="en-US" w:eastAsia="en-GB" w:bidi="ar-SA"/>
            </w:rPr>
            <w:instrText xml:space="preserve">CITATION The13 \l 2057 </w:instrText>
          </w:r>
          <w:r w:rsidR="009D6D7E" w:rsidRPr="00DD1B58">
            <w:rPr>
              <w:lang w:val="en-US" w:eastAsia="en-GB" w:bidi="ar-SA"/>
            </w:rPr>
            <w:fldChar w:fldCharType="separate"/>
          </w:r>
          <w:r w:rsidR="00DF47DA" w:rsidRPr="00DF47DA">
            <w:rPr>
              <w:lang w:val="en-US" w:eastAsia="en-GB" w:bidi="ar-SA"/>
            </w:rPr>
            <w:t>[12]</w:t>
          </w:r>
          <w:r w:rsidR="009D6D7E" w:rsidRPr="00DD1B58">
            <w:rPr>
              <w:lang w:val="en-US" w:eastAsia="en-GB" w:bidi="ar-SA"/>
            </w:rPr>
            <w:fldChar w:fldCharType="end"/>
          </w:r>
        </w:sdtContent>
      </w:sdt>
    </w:p>
    <w:p w14:paraId="352D437F" w14:textId="3D29D86A" w:rsidR="00DD3DFB" w:rsidRPr="00DD1B58" w:rsidRDefault="00DD3DFB" w:rsidP="009D6D7E">
      <w:pPr>
        <w:pStyle w:val="Bulletlist1"/>
        <w:rPr>
          <w:lang w:val="en-US" w:eastAsia="en-GB" w:bidi="ar-SA"/>
        </w:rPr>
      </w:pPr>
      <w:r w:rsidRPr="00DD1B58">
        <w:rPr>
          <w:lang w:val="en-US" w:eastAsia="en-GB" w:bidi="ar-SA"/>
        </w:rPr>
        <w:t>Health and Safety at Work etc. Act 1974</w:t>
      </w:r>
      <w:r w:rsidR="00326AD0" w:rsidRPr="00DD1B58">
        <w:rPr>
          <w:lang w:val="en-US" w:eastAsia="en-GB" w:bidi="ar-SA"/>
        </w:rPr>
        <w:t xml:space="preserve"> </w:t>
      </w:r>
      <w:sdt>
        <w:sdtPr>
          <w:rPr>
            <w:lang w:val="en-US" w:eastAsia="en-GB" w:bidi="ar-SA"/>
          </w:rPr>
          <w:id w:val="-1355184259"/>
          <w:citation/>
        </w:sdtPr>
        <w:sdtContent>
          <w:r w:rsidR="009D6D7E" w:rsidRPr="00DD1B58">
            <w:rPr>
              <w:lang w:val="en-US" w:eastAsia="en-GB" w:bidi="ar-SA"/>
            </w:rPr>
            <w:fldChar w:fldCharType="begin"/>
          </w:r>
          <w:r w:rsidR="005B050F" w:rsidRPr="00DD1B58">
            <w:rPr>
              <w:lang w:val="en-US" w:eastAsia="en-GB" w:bidi="ar-SA"/>
            </w:rPr>
            <w:instrText xml:space="preserve">CITATION Hea74 \l 2057 </w:instrText>
          </w:r>
          <w:r w:rsidR="009D6D7E" w:rsidRPr="00DD1B58">
            <w:rPr>
              <w:lang w:val="en-US" w:eastAsia="en-GB" w:bidi="ar-SA"/>
            </w:rPr>
            <w:fldChar w:fldCharType="separate"/>
          </w:r>
          <w:r w:rsidR="00DF47DA" w:rsidRPr="00DF47DA">
            <w:rPr>
              <w:lang w:val="en-US" w:eastAsia="en-GB" w:bidi="ar-SA"/>
            </w:rPr>
            <w:t>[13]</w:t>
          </w:r>
          <w:r w:rsidR="009D6D7E" w:rsidRPr="00DD1B58">
            <w:rPr>
              <w:lang w:val="en-US" w:eastAsia="en-GB" w:bidi="ar-SA"/>
            </w:rPr>
            <w:fldChar w:fldCharType="end"/>
          </w:r>
        </w:sdtContent>
      </w:sdt>
    </w:p>
    <w:p w14:paraId="24832EA3" w14:textId="73181A8A" w:rsidR="00DD3DFB" w:rsidRPr="00DD1B58" w:rsidRDefault="00DD3DFB" w:rsidP="009D6D7E">
      <w:pPr>
        <w:pStyle w:val="Bulletlist1"/>
        <w:rPr>
          <w:lang w:val="en-US" w:eastAsia="en-GB" w:bidi="ar-SA"/>
        </w:rPr>
      </w:pPr>
      <w:r w:rsidRPr="00DD1B58">
        <w:rPr>
          <w:lang w:val="en-US" w:eastAsia="en-GB" w:bidi="ar-SA"/>
        </w:rPr>
        <w:t xml:space="preserve">Nuclear Installations Act 1965 </w:t>
      </w:r>
      <w:sdt>
        <w:sdtPr>
          <w:rPr>
            <w:lang w:val="en-US" w:eastAsia="en-GB" w:bidi="ar-SA"/>
          </w:rPr>
          <w:id w:val="1308669072"/>
          <w:citation/>
        </w:sdtPr>
        <w:sdtContent>
          <w:r w:rsidR="00B55700" w:rsidRPr="00DD1B58">
            <w:rPr>
              <w:lang w:val="en-US" w:eastAsia="en-GB" w:bidi="ar-SA"/>
            </w:rPr>
            <w:fldChar w:fldCharType="begin"/>
          </w:r>
          <w:r w:rsidR="00FF592D" w:rsidRPr="00DD1B58">
            <w:rPr>
              <w:lang w:val="en-US" w:eastAsia="en-GB" w:bidi="ar-SA"/>
            </w:rPr>
            <w:instrText xml:space="preserve">CITATION HMG1 \l 2057 </w:instrText>
          </w:r>
          <w:r w:rsidR="00B55700" w:rsidRPr="00DD1B58">
            <w:rPr>
              <w:lang w:val="en-US" w:eastAsia="en-GB" w:bidi="ar-SA"/>
            </w:rPr>
            <w:fldChar w:fldCharType="separate"/>
          </w:r>
          <w:r w:rsidR="00DF47DA" w:rsidRPr="00DF47DA">
            <w:rPr>
              <w:lang w:val="en-US" w:eastAsia="en-GB" w:bidi="ar-SA"/>
            </w:rPr>
            <w:t>[14]</w:t>
          </w:r>
          <w:r w:rsidR="00B55700" w:rsidRPr="00DD1B58">
            <w:rPr>
              <w:lang w:val="en-US" w:eastAsia="en-GB" w:bidi="ar-SA"/>
            </w:rPr>
            <w:fldChar w:fldCharType="end"/>
          </w:r>
        </w:sdtContent>
      </w:sdt>
    </w:p>
    <w:p w14:paraId="782B6C80" w14:textId="46461555" w:rsidR="004E2668" w:rsidRPr="00DD1B58" w:rsidRDefault="00713809" w:rsidP="00EE6CEA">
      <w:pPr>
        <w:autoSpaceDE w:val="0"/>
        <w:autoSpaceDN w:val="0"/>
        <w:adjustRightInd w:val="0"/>
        <w:spacing w:after="0" w:line="240" w:lineRule="auto"/>
        <w:rPr>
          <w:rFonts w:asciiTheme="minorHAnsi" w:eastAsia="ArialMT" w:hAnsiTheme="minorHAnsi" w:cstheme="minorHAnsi"/>
          <w:szCs w:val="24"/>
          <w:lang w:val="en-US" w:eastAsia="en-GB" w:bidi="ar-SA"/>
        </w:rPr>
      </w:pPr>
      <w:r w:rsidRPr="00DD1B58">
        <w:rPr>
          <w:rFonts w:asciiTheme="minorHAnsi" w:eastAsia="ArialMT" w:hAnsiTheme="minorHAnsi" w:cstheme="minorHAnsi"/>
          <w:szCs w:val="24"/>
          <w:lang w:val="en-US" w:eastAsia="en-GB" w:bidi="ar-SA"/>
        </w:rPr>
        <w:t xml:space="preserve">The Energy Act 2013 (TEA13) </w:t>
      </w:r>
      <w:sdt>
        <w:sdtPr>
          <w:rPr>
            <w:rFonts w:asciiTheme="minorHAnsi" w:eastAsia="ArialMT" w:hAnsiTheme="minorHAnsi" w:cstheme="minorHAnsi"/>
            <w:szCs w:val="24"/>
            <w:lang w:val="en-US" w:eastAsia="en-GB" w:bidi="ar-SA"/>
          </w:rPr>
          <w:id w:val="-877001614"/>
          <w:citation/>
        </w:sdtPr>
        <w:sdtContent>
          <w:r w:rsidR="009D6D7E" w:rsidRPr="00DD1B58">
            <w:rPr>
              <w:rFonts w:asciiTheme="minorHAnsi" w:eastAsia="ArialMT" w:hAnsiTheme="minorHAnsi" w:cstheme="minorHAnsi"/>
              <w:szCs w:val="24"/>
              <w:lang w:val="en-US" w:eastAsia="en-GB" w:bidi="ar-SA"/>
            </w:rPr>
            <w:fldChar w:fldCharType="begin"/>
          </w:r>
          <w:r w:rsidR="00601B0B" w:rsidRPr="00DD1B58">
            <w:rPr>
              <w:rFonts w:asciiTheme="minorHAnsi" w:eastAsia="ArialMT" w:hAnsiTheme="minorHAnsi" w:cstheme="minorHAnsi"/>
              <w:szCs w:val="24"/>
              <w:lang w:val="en-US" w:eastAsia="en-GB" w:bidi="ar-SA"/>
            </w:rPr>
            <w:instrText xml:space="preserve">CITATION The13 \l 2057 </w:instrText>
          </w:r>
          <w:r w:rsidR="009D6D7E" w:rsidRPr="00DD1B58">
            <w:rPr>
              <w:rFonts w:asciiTheme="minorHAnsi" w:eastAsia="ArialMT" w:hAnsiTheme="minorHAnsi" w:cstheme="minorHAnsi"/>
              <w:szCs w:val="24"/>
              <w:lang w:val="en-US" w:eastAsia="en-GB" w:bidi="ar-SA"/>
            </w:rPr>
            <w:fldChar w:fldCharType="separate"/>
          </w:r>
          <w:r w:rsidR="00DF47DA" w:rsidRPr="00DF47DA">
            <w:rPr>
              <w:rFonts w:asciiTheme="minorHAnsi" w:eastAsia="ArialMT" w:hAnsiTheme="minorHAnsi" w:cstheme="minorHAnsi"/>
              <w:noProof/>
              <w:szCs w:val="24"/>
              <w:lang w:val="en-US" w:eastAsia="en-GB" w:bidi="ar-SA"/>
            </w:rPr>
            <w:t>[12]</w:t>
          </w:r>
          <w:r w:rsidR="009D6D7E" w:rsidRPr="00DD1B58">
            <w:rPr>
              <w:rFonts w:asciiTheme="minorHAnsi" w:eastAsia="ArialMT" w:hAnsiTheme="minorHAnsi" w:cstheme="minorHAnsi"/>
              <w:szCs w:val="24"/>
              <w:lang w:val="en-US" w:eastAsia="en-GB" w:bidi="ar-SA"/>
            </w:rPr>
            <w:fldChar w:fldCharType="end"/>
          </w:r>
        </w:sdtContent>
      </w:sdt>
      <w:r w:rsidRPr="00DD1B58">
        <w:rPr>
          <w:rFonts w:asciiTheme="minorHAnsi" w:eastAsia="ArialMT" w:hAnsiTheme="minorHAnsi" w:cstheme="minorHAnsi"/>
          <w:szCs w:val="24"/>
          <w:lang w:val="en-US" w:eastAsia="en-GB" w:bidi="ar-SA"/>
        </w:rPr>
        <w:t xml:space="preserve"> sets out the provisions which set up ONR as a statutory body, establishing its purpose, its powers and functions. ONR’s purposes are those relating to regulating nuclear safety, nuclear site conventional (industrial) health and safety, civil nuclear security, nuclear safeguards and the transport of radioactive material.</w:t>
      </w:r>
    </w:p>
    <w:p w14:paraId="34EE4FE1" w14:textId="77777777" w:rsidR="00146176" w:rsidRPr="00DD1B58" w:rsidRDefault="00146176" w:rsidP="00713809">
      <w:pPr>
        <w:autoSpaceDE w:val="0"/>
        <w:autoSpaceDN w:val="0"/>
        <w:adjustRightInd w:val="0"/>
        <w:spacing w:after="0" w:line="240" w:lineRule="auto"/>
        <w:rPr>
          <w:rFonts w:asciiTheme="minorHAnsi" w:eastAsia="ArialMT" w:hAnsiTheme="minorHAnsi" w:cstheme="minorHAnsi"/>
          <w:szCs w:val="24"/>
          <w:lang w:val="en-US" w:eastAsia="en-GB" w:bidi="ar-SA"/>
        </w:rPr>
      </w:pPr>
    </w:p>
    <w:p w14:paraId="357B3B70" w14:textId="680D3F35" w:rsidR="00146176" w:rsidRPr="00DD1B58" w:rsidRDefault="00146176" w:rsidP="00713809">
      <w:pPr>
        <w:autoSpaceDE w:val="0"/>
        <w:autoSpaceDN w:val="0"/>
        <w:adjustRightInd w:val="0"/>
        <w:spacing w:after="0" w:line="240" w:lineRule="auto"/>
        <w:rPr>
          <w:lang w:val="en-US"/>
        </w:rPr>
      </w:pPr>
      <w:r w:rsidRPr="00DD1B58">
        <w:rPr>
          <w:lang w:val="en-US"/>
        </w:rPr>
        <w:t xml:space="preserve">The Health and Safety at Work </w:t>
      </w:r>
      <w:r w:rsidR="001C4FA9" w:rsidRPr="00DD1B58">
        <w:rPr>
          <w:lang w:val="en-US"/>
        </w:rPr>
        <w:t xml:space="preserve">etc. </w:t>
      </w:r>
      <w:r w:rsidRPr="00DD1B58">
        <w:rPr>
          <w:lang w:val="en-US"/>
        </w:rPr>
        <w:t xml:space="preserve">Act (HSWA74) </w:t>
      </w:r>
      <w:sdt>
        <w:sdtPr>
          <w:rPr>
            <w:lang w:val="en-US"/>
          </w:rPr>
          <w:id w:val="-704945372"/>
          <w:citation/>
        </w:sdtPr>
        <w:sdtContent>
          <w:r w:rsidR="009D6D7E" w:rsidRPr="00DD1B58">
            <w:rPr>
              <w:lang w:val="en-US"/>
            </w:rPr>
            <w:fldChar w:fldCharType="begin"/>
          </w:r>
          <w:r w:rsidR="005B050F" w:rsidRPr="00DD1B58">
            <w:rPr>
              <w:lang w:val="en-US"/>
            </w:rPr>
            <w:instrText xml:space="preserve">CITATION Hea74 \l 2057 </w:instrText>
          </w:r>
          <w:r w:rsidR="009D6D7E" w:rsidRPr="00DD1B58">
            <w:rPr>
              <w:lang w:val="en-US"/>
            </w:rPr>
            <w:fldChar w:fldCharType="separate"/>
          </w:r>
          <w:r w:rsidR="00DF47DA" w:rsidRPr="00DF47DA">
            <w:rPr>
              <w:noProof/>
              <w:lang w:val="en-US"/>
            </w:rPr>
            <w:t>[13]</w:t>
          </w:r>
          <w:r w:rsidR="009D6D7E" w:rsidRPr="00DD1B58">
            <w:rPr>
              <w:lang w:val="en-US"/>
            </w:rPr>
            <w:fldChar w:fldCharType="end"/>
          </w:r>
        </w:sdtContent>
      </w:sdt>
      <w:r w:rsidRPr="00DD1B58">
        <w:rPr>
          <w:lang w:val="en-US"/>
        </w:rPr>
        <w:t xml:space="preserve"> applies to all work activities within UK and hence is much broader than nuclear safety. HSWA74 allows regulations to be </w:t>
      </w:r>
      <w:r w:rsidRPr="00DD1B58">
        <w:rPr>
          <w:lang w:val="en-US"/>
        </w:rPr>
        <w:lastRenderedPageBreak/>
        <w:t>made relating to industrial safety and radiation protection.</w:t>
      </w:r>
      <w:r w:rsidR="00CD44C6" w:rsidRPr="00DD1B58">
        <w:rPr>
          <w:lang w:val="en-US"/>
        </w:rPr>
        <w:t xml:space="preserve"> </w:t>
      </w:r>
      <w:r w:rsidRPr="00DD1B58">
        <w:rPr>
          <w:lang w:val="en-US"/>
        </w:rPr>
        <w:t>Under HSWA74 a general duty is placed on all employers and the self-employed to conduct their undertaking in such a way as to ensure the health and safety at work of their employees and those affected by their work activities</w:t>
      </w:r>
      <w:r w:rsidR="000E49EC" w:rsidRPr="00DD1B58">
        <w:rPr>
          <w:lang w:val="en-US"/>
        </w:rPr>
        <w:t>, so far as is reasonably practicable (SFAIRP)</w:t>
      </w:r>
      <w:r w:rsidRPr="00DD1B58">
        <w:rPr>
          <w:lang w:val="en-US"/>
        </w:rPr>
        <w:t>. The principle of SFAIRP is underpinned by the concept of relevant good practice</w:t>
      </w:r>
      <w:r w:rsidR="00FA23E9" w:rsidRPr="00DD1B58">
        <w:rPr>
          <w:lang w:val="en-US"/>
        </w:rPr>
        <w:t xml:space="preserve"> (RGP)</w:t>
      </w:r>
      <w:r w:rsidRPr="00DD1B58">
        <w:rPr>
          <w:lang w:val="en-US"/>
        </w:rPr>
        <w:t xml:space="preserve">. </w:t>
      </w:r>
      <w:r w:rsidR="000E49EC" w:rsidRPr="00DD1B58">
        <w:rPr>
          <w:lang w:val="en-US"/>
        </w:rPr>
        <w:t>RGP</w:t>
      </w:r>
      <w:r w:rsidRPr="00DD1B58">
        <w:rPr>
          <w:lang w:val="en-US"/>
        </w:rPr>
        <w:t xml:space="preserve"> is the generic term used for those standards or approaches to controlling risk that have been judged and recognised by ONR and the industry as satisfying the law when applied to a particular relevant case in an appropriate manner. TEA13 made ONR the enforcing body for HSWA74 on licensed nuclear sites, </w:t>
      </w:r>
      <w:r w:rsidR="000E49EC" w:rsidRPr="00DD1B58">
        <w:rPr>
          <w:lang w:val="en-US"/>
        </w:rPr>
        <w:t>on</w:t>
      </w:r>
      <w:r w:rsidRPr="00DD1B58">
        <w:rPr>
          <w:lang w:val="en-US"/>
        </w:rPr>
        <w:t xml:space="preserve"> any adjacent construction areas</w:t>
      </w:r>
      <w:r w:rsidR="000E49EC" w:rsidRPr="00DD1B58">
        <w:rPr>
          <w:lang w:val="en-US"/>
        </w:rPr>
        <w:t>,</w:t>
      </w:r>
      <w:r w:rsidRPr="00DD1B58">
        <w:rPr>
          <w:lang w:val="en-US"/>
        </w:rPr>
        <w:t xml:space="preserve"> and for the supply chain where structures, systems and components (SSC) are being </w:t>
      </w:r>
      <w:r w:rsidR="0066700E" w:rsidRPr="00DD1B58">
        <w:rPr>
          <w:lang w:val="en-US"/>
        </w:rPr>
        <w:t xml:space="preserve">manufactured </w:t>
      </w:r>
      <w:r w:rsidRPr="00DD1B58">
        <w:rPr>
          <w:lang w:val="en-US"/>
        </w:rPr>
        <w:t>that may affect nuclear safety on nuclear licensed sites.</w:t>
      </w:r>
    </w:p>
    <w:p w14:paraId="53A40337" w14:textId="77777777" w:rsidR="00B316ED" w:rsidRPr="00DD1B58" w:rsidRDefault="00B316ED" w:rsidP="00713809">
      <w:pPr>
        <w:autoSpaceDE w:val="0"/>
        <w:autoSpaceDN w:val="0"/>
        <w:adjustRightInd w:val="0"/>
        <w:spacing w:after="0" w:line="240" w:lineRule="auto"/>
        <w:rPr>
          <w:lang w:val="en-US"/>
        </w:rPr>
      </w:pPr>
    </w:p>
    <w:p w14:paraId="561C326A" w14:textId="0C263CAD" w:rsidR="00B316ED" w:rsidRPr="00DD1B58" w:rsidRDefault="00B316ED" w:rsidP="00713809">
      <w:pPr>
        <w:autoSpaceDE w:val="0"/>
        <w:autoSpaceDN w:val="0"/>
        <w:adjustRightInd w:val="0"/>
        <w:spacing w:after="0" w:line="240" w:lineRule="auto"/>
        <w:rPr>
          <w:lang w:val="en-US"/>
        </w:rPr>
      </w:pPr>
      <w:r w:rsidRPr="00DD1B58">
        <w:rPr>
          <w:lang w:val="en-US"/>
        </w:rPr>
        <w:t xml:space="preserve">Under the Nuclear Installations Act 1965 </w:t>
      </w:r>
      <w:sdt>
        <w:sdtPr>
          <w:rPr>
            <w:lang w:val="en-US"/>
          </w:rPr>
          <w:id w:val="-1446539"/>
          <w:citation/>
        </w:sdtPr>
        <w:sdtContent>
          <w:r w:rsidR="006D1C23" w:rsidRPr="00DD1B58">
            <w:rPr>
              <w:lang w:val="en-US"/>
            </w:rPr>
            <w:fldChar w:fldCharType="begin"/>
          </w:r>
          <w:r w:rsidR="00FF592D" w:rsidRPr="00DD1B58">
            <w:rPr>
              <w:lang w:val="en-US"/>
            </w:rPr>
            <w:instrText xml:space="preserve">CITATION HMG1 \l 2057 </w:instrText>
          </w:r>
          <w:r w:rsidR="006D1C23" w:rsidRPr="00DD1B58">
            <w:rPr>
              <w:lang w:val="en-US"/>
            </w:rPr>
            <w:fldChar w:fldCharType="separate"/>
          </w:r>
          <w:r w:rsidR="00DF47DA" w:rsidRPr="00DF47DA">
            <w:rPr>
              <w:noProof/>
              <w:lang w:val="en-US"/>
            </w:rPr>
            <w:t>[14]</w:t>
          </w:r>
          <w:r w:rsidR="006D1C23" w:rsidRPr="00DD1B58">
            <w:rPr>
              <w:lang w:val="en-US"/>
            </w:rPr>
            <w:fldChar w:fldCharType="end"/>
          </w:r>
        </w:sdtContent>
      </w:sdt>
      <w:r w:rsidRPr="00DD1B58">
        <w:rPr>
          <w:lang w:val="en-US"/>
        </w:rPr>
        <w:t xml:space="preserve"> no site can be used for the purpose of installing or operating a nuclear installation unless a nuclear site licence </w:t>
      </w:r>
      <w:r w:rsidR="000E49EC" w:rsidRPr="00DD1B58">
        <w:rPr>
          <w:lang w:val="en-US"/>
        </w:rPr>
        <w:t xml:space="preserve">granted by ONR </w:t>
      </w:r>
      <w:r w:rsidRPr="00DD1B58">
        <w:rPr>
          <w:lang w:val="en-US"/>
        </w:rPr>
        <w:t>is currently in force. Only a corporate body, such as a registered company or a public body</w:t>
      </w:r>
      <w:r w:rsidR="000E49EC" w:rsidRPr="00DD1B58">
        <w:rPr>
          <w:lang w:val="en-US"/>
        </w:rPr>
        <w:t>,</w:t>
      </w:r>
      <w:r w:rsidRPr="00DD1B58">
        <w:rPr>
          <w:lang w:val="en-US"/>
        </w:rPr>
        <w:t xml:space="preserve"> can hold a licence and the licence is not transferable. Those parts of the NIA65 relevant to safety and licensing are ‘relevant statutory provisions’ of TEA13, which means they are enforced by ONR under that legislation. NIA65 requires and permits ONR to attach such conditions to a site licence as it sees appropriate in the interests of safety or radioactive waste management. It is an offence under the law not to comply with the licence conditions</w:t>
      </w:r>
      <w:r w:rsidR="00B84C14" w:rsidRPr="00DD1B58">
        <w:rPr>
          <w:lang w:val="en-US"/>
        </w:rPr>
        <w:t>.</w:t>
      </w:r>
    </w:p>
    <w:p w14:paraId="12C6F9C2" w14:textId="77777777" w:rsidR="00B84C14" w:rsidRPr="00DD1B58" w:rsidRDefault="00B84C14" w:rsidP="00713809">
      <w:pPr>
        <w:autoSpaceDE w:val="0"/>
        <w:autoSpaceDN w:val="0"/>
        <w:adjustRightInd w:val="0"/>
        <w:spacing w:after="0" w:line="240" w:lineRule="auto"/>
        <w:rPr>
          <w:lang w:val="en-US"/>
        </w:rPr>
      </w:pPr>
    </w:p>
    <w:p w14:paraId="76683481" w14:textId="7EF44D19" w:rsidR="00B84C14" w:rsidRPr="00DD1B58" w:rsidRDefault="00B84C14" w:rsidP="00713809">
      <w:pPr>
        <w:autoSpaceDE w:val="0"/>
        <w:autoSpaceDN w:val="0"/>
        <w:adjustRightInd w:val="0"/>
        <w:spacing w:after="0" w:line="240" w:lineRule="auto"/>
        <w:rPr>
          <w:lang w:val="en-US"/>
        </w:rPr>
      </w:pPr>
      <w:r w:rsidRPr="00DD1B58">
        <w:rPr>
          <w:lang w:val="en-US"/>
        </w:rPr>
        <w:t xml:space="preserve">To ensure that the regulatory interpretation of the licence conditions is consistent, ONR has published a set of </w:t>
      </w:r>
      <w:r w:rsidR="00E97606" w:rsidRPr="00DD1B58">
        <w:rPr>
          <w:lang w:val="en-US"/>
        </w:rPr>
        <w:t xml:space="preserve">technical inspection guides </w:t>
      </w:r>
      <w:r w:rsidR="000E49EC" w:rsidRPr="00DD1B58">
        <w:rPr>
          <w:lang w:val="en-US"/>
        </w:rPr>
        <w:t>(</w:t>
      </w:r>
      <w:r w:rsidRPr="00DD1B58">
        <w:rPr>
          <w:lang w:val="en-US"/>
        </w:rPr>
        <w:t>TIGs</w:t>
      </w:r>
      <w:r w:rsidR="000E49EC" w:rsidRPr="00DD1B58">
        <w:rPr>
          <w:lang w:val="en-US"/>
        </w:rPr>
        <w:t>)</w:t>
      </w:r>
      <w:r w:rsidRPr="00DD1B58">
        <w:rPr>
          <w:lang w:val="en-US"/>
        </w:rPr>
        <w:t>, which provide guidance for ONR inspectors on the planning, content and reporting of inspections to monitor the adequacy of nuclear site licensees’ arrangements against legal requirements</w:t>
      </w:r>
      <w:r w:rsidR="009345A3" w:rsidRPr="00DD1B58">
        <w:rPr>
          <w:lang w:val="en-US"/>
        </w:rPr>
        <w:t>.</w:t>
      </w:r>
    </w:p>
    <w:p w14:paraId="16B33F70" w14:textId="77777777" w:rsidR="00874812" w:rsidRPr="00DD1B58" w:rsidRDefault="00874812" w:rsidP="00713809">
      <w:pPr>
        <w:autoSpaceDE w:val="0"/>
        <w:autoSpaceDN w:val="0"/>
        <w:adjustRightInd w:val="0"/>
        <w:spacing w:after="0" w:line="240" w:lineRule="auto"/>
        <w:rPr>
          <w:lang w:val="en-US"/>
        </w:rPr>
      </w:pPr>
    </w:p>
    <w:p w14:paraId="759567DA" w14:textId="1B1C1DA2" w:rsidR="00A9114E" w:rsidRPr="00DD1B58" w:rsidRDefault="00874812" w:rsidP="00DD5C24">
      <w:pPr>
        <w:autoSpaceDE w:val="0"/>
        <w:autoSpaceDN w:val="0"/>
        <w:adjustRightInd w:val="0"/>
        <w:spacing w:after="0" w:line="240" w:lineRule="auto"/>
        <w:rPr>
          <w:lang w:val="en-US"/>
        </w:rPr>
      </w:pPr>
      <w:r w:rsidRPr="00DD1B58">
        <w:rPr>
          <w:lang w:val="en-US"/>
        </w:rPr>
        <w:t xml:space="preserve">The technical principles ONR uses to judge safety cases are set out in its </w:t>
      </w:r>
      <w:r w:rsidR="00E97606" w:rsidRPr="00DD1B58">
        <w:rPr>
          <w:lang w:val="en-US"/>
        </w:rPr>
        <w:t>safety assessment principles (</w:t>
      </w:r>
      <w:r w:rsidRPr="00DD1B58">
        <w:rPr>
          <w:lang w:val="en-US"/>
        </w:rPr>
        <w:t>SAPs</w:t>
      </w:r>
      <w:r w:rsidR="00E97606" w:rsidRPr="00DD1B58">
        <w:rPr>
          <w:lang w:val="en-US"/>
        </w:rPr>
        <w:t>)</w:t>
      </w:r>
      <w:r w:rsidRPr="00DD1B58">
        <w:rPr>
          <w:lang w:val="en-US"/>
        </w:rPr>
        <w:t xml:space="preserve"> </w:t>
      </w:r>
      <w:sdt>
        <w:sdtPr>
          <w:rPr>
            <w:lang w:val="en-US"/>
          </w:rPr>
          <w:id w:val="-1157527766"/>
          <w:citation/>
        </w:sdtPr>
        <w:sdtContent>
          <w:r w:rsidR="0011087A" w:rsidRPr="00DD1B58">
            <w:rPr>
              <w:lang w:val="en-US"/>
            </w:rPr>
            <w:fldChar w:fldCharType="begin"/>
          </w:r>
          <w:r w:rsidR="009C6919" w:rsidRPr="00DD1B58">
            <w:rPr>
              <w:lang w:val="en-US"/>
            </w:rPr>
            <w:instrText xml:space="preserve">CITATION Off20 \l 2057 </w:instrText>
          </w:r>
          <w:r w:rsidR="0011087A" w:rsidRPr="00DD1B58">
            <w:rPr>
              <w:lang w:val="en-US"/>
            </w:rPr>
            <w:fldChar w:fldCharType="separate"/>
          </w:r>
          <w:r w:rsidR="00DF47DA" w:rsidRPr="00DF47DA">
            <w:rPr>
              <w:noProof/>
              <w:lang w:val="en-US"/>
            </w:rPr>
            <w:t>[15]</w:t>
          </w:r>
          <w:r w:rsidR="0011087A" w:rsidRPr="00DD1B58">
            <w:rPr>
              <w:lang w:val="en-US"/>
            </w:rPr>
            <w:fldChar w:fldCharType="end"/>
          </w:r>
        </w:sdtContent>
      </w:sdt>
      <w:r w:rsidR="0061554C" w:rsidRPr="00DD1B58">
        <w:rPr>
          <w:lang w:val="en-US"/>
        </w:rPr>
        <w:t>.</w:t>
      </w:r>
      <w:r w:rsidRPr="00DD1B58">
        <w:rPr>
          <w:lang w:val="en-US"/>
        </w:rPr>
        <w:t xml:space="preserve"> These form a framework of regulatory expectations for ONR inspectors </w:t>
      </w:r>
      <w:r w:rsidR="009345A3" w:rsidRPr="00DD1B58">
        <w:rPr>
          <w:lang w:val="en-US"/>
        </w:rPr>
        <w:t xml:space="preserve">to use </w:t>
      </w:r>
      <w:r w:rsidRPr="00DD1B58">
        <w:rPr>
          <w:lang w:val="en-US"/>
        </w:rPr>
        <w:t>when making technical judgments on the adequacy of licensees</w:t>
      </w:r>
      <w:r w:rsidR="00E97606" w:rsidRPr="00DD1B58">
        <w:rPr>
          <w:lang w:val="en-US"/>
        </w:rPr>
        <w:t>’</w:t>
      </w:r>
      <w:r w:rsidRPr="00DD1B58">
        <w:rPr>
          <w:lang w:val="en-US"/>
        </w:rPr>
        <w:t xml:space="preserve"> safety submissions</w:t>
      </w:r>
      <w:r w:rsidR="009345A3" w:rsidRPr="00DD1B58">
        <w:rPr>
          <w:lang w:val="en-US"/>
        </w:rPr>
        <w:t>,</w:t>
      </w:r>
      <w:r w:rsidR="006674F0" w:rsidRPr="00DD1B58">
        <w:rPr>
          <w:lang w:val="en-US"/>
        </w:rPr>
        <w:t xml:space="preserve"> including compliance with fire safety requirements</w:t>
      </w:r>
      <w:r w:rsidRPr="00DD1B58">
        <w:rPr>
          <w:lang w:val="en-US"/>
        </w:rPr>
        <w:t xml:space="preserve">. The </w:t>
      </w:r>
      <w:r w:rsidR="005B2CBE" w:rsidRPr="00DD1B58">
        <w:rPr>
          <w:lang w:val="en-US"/>
        </w:rPr>
        <w:t>SAPs</w:t>
      </w:r>
      <w:r w:rsidRPr="00DD1B58">
        <w:rPr>
          <w:lang w:val="en-US"/>
        </w:rPr>
        <w:t xml:space="preserve"> are supported by more detailed guidance in a suite of </w:t>
      </w:r>
      <w:r w:rsidR="00E97606" w:rsidRPr="00DD1B58">
        <w:rPr>
          <w:lang w:val="en-US"/>
        </w:rPr>
        <w:t>technical assessment guides (</w:t>
      </w:r>
      <w:r w:rsidRPr="00DD1B58">
        <w:rPr>
          <w:lang w:val="en-US"/>
        </w:rPr>
        <w:t>TAGs</w:t>
      </w:r>
      <w:r w:rsidR="00E97606" w:rsidRPr="00DD1B58">
        <w:rPr>
          <w:lang w:val="en-US"/>
        </w:rPr>
        <w:t>)</w:t>
      </w:r>
      <w:r w:rsidR="000249A7" w:rsidRPr="00DD1B58">
        <w:rPr>
          <w:lang w:val="en-US"/>
        </w:rPr>
        <w:t>,</w:t>
      </w:r>
      <w:r w:rsidRPr="00DD1B58">
        <w:rPr>
          <w:lang w:val="en-US"/>
        </w:rPr>
        <w:t xml:space="preserve"> which provide</w:t>
      </w:r>
      <w:r w:rsidR="005B2CBE" w:rsidRPr="00DD1B58">
        <w:rPr>
          <w:lang w:val="en-US"/>
        </w:rPr>
        <w:t xml:space="preserve"> detailed</w:t>
      </w:r>
      <w:r w:rsidRPr="00DD1B58">
        <w:rPr>
          <w:lang w:val="en-US"/>
        </w:rPr>
        <w:t xml:space="preserve"> guidance to ONR inspectors on the interpretation and application of ONR’s SAPs when assessing the adequacy of licensees’ safety cases and other safety documentation within the nuclear safety regulatory process.</w:t>
      </w:r>
      <w:r w:rsidR="00E713DB" w:rsidRPr="00DD1B58">
        <w:rPr>
          <w:lang w:val="en-US"/>
        </w:rPr>
        <w:t xml:space="preserve"> </w:t>
      </w:r>
      <w:r w:rsidR="0021534F" w:rsidRPr="00DD1B58">
        <w:rPr>
          <w:lang w:val="en-US"/>
        </w:rPr>
        <w:t>While the</w:t>
      </w:r>
      <w:r w:rsidR="00E713DB" w:rsidRPr="00DD1B58">
        <w:rPr>
          <w:lang w:val="en-US"/>
        </w:rPr>
        <w:t xml:space="preserve"> suite of SAPs include</w:t>
      </w:r>
      <w:r w:rsidR="0021534F" w:rsidRPr="00DD1B58">
        <w:rPr>
          <w:lang w:val="en-US"/>
        </w:rPr>
        <w:t>s</w:t>
      </w:r>
      <w:r w:rsidR="00E713DB" w:rsidRPr="00DD1B58">
        <w:rPr>
          <w:lang w:val="en-US"/>
        </w:rPr>
        <w:t xml:space="preserve"> the Internal and External Hazards (EHA) series, with specific expectations </w:t>
      </w:r>
      <w:r w:rsidR="0021534F" w:rsidRPr="00DD1B58">
        <w:rPr>
          <w:lang w:val="en-US"/>
        </w:rPr>
        <w:t>on</w:t>
      </w:r>
      <w:r w:rsidR="00E713DB" w:rsidRPr="00DD1B58">
        <w:rPr>
          <w:lang w:val="en-US"/>
        </w:rPr>
        <w:t xml:space="preserve"> </w:t>
      </w:r>
      <w:r w:rsidR="0021534F" w:rsidRPr="00DD1B58">
        <w:rPr>
          <w:lang w:val="en-US"/>
        </w:rPr>
        <w:t>fire safety, the</w:t>
      </w:r>
      <w:r w:rsidR="00DD5C24" w:rsidRPr="00DD1B58">
        <w:rPr>
          <w:lang w:val="en-US"/>
        </w:rPr>
        <w:t xml:space="preserve"> </w:t>
      </w:r>
      <w:r w:rsidR="005B2CBE" w:rsidRPr="00DD1B58">
        <w:rPr>
          <w:lang w:val="en-US"/>
        </w:rPr>
        <w:t>full suite</w:t>
      </w:r>
      <w:r w:rsidR="00DD5C24" w:rsidRPr="00DD1B58">
        <w:rPr>
          <w:lang w:val="en-US"/>
        </w:rPr>
        <w:t xml:space="preserve"> of SAPs</w:t>
      </w:r>
      <w:r w:rsidR="0021534F" w:rsidRPr="00DD1B58">
        <w:rPr>
          <w:lang w:val="en-US"/>
        </w:rPr>
        <w:t xml:space="preserve"> </w:t>
      </w:r>
      <w:r w:rsidR="00DD5C24" w:rsidRPr="00DD1B58">
        <w:rPr>
          <w:lang w:val="en-US"/>
        </w:rPr>
        <w:t>including the Fault Analysis (FA)</w:t>
      </w:r>
      <w:r w:rsidR="00A16741" w:rsidRPr="00DD1B58">
        <w:rPr>
          <w:lang w:val="en-US"/>
        </w:rPr>
        <w:t xml:space="preserve"> series</w:t>
      </w:r>
      <w:r w:rsidR="00DD5C24" w:rsidRPr="00DD1B58">
        <w:rPr>
          <w:lang w:val="en-US"/>
        </w:rPr>
        <w:t xml:space="preserve">, Engineering Key Principles (EKP) series and numerical targets </w:t>
      </w:r>
      <w:r w:rsidR="0021534F" w:rsidRPr="00DD1B58">
        <w:rPr>
          <w:lang w:val="en-US"/>
        </w:rPr>
        <w:t>are applied holistically by internal hazards and fire safety inspectors</w:t>
      </w:r>
      <w:r w:rsidR="00DD5C24" w:rsidRPr="00DD1B58">
        <w:rPr>
          <w:lang w:val="en-US"/>
        </w:rPr>
        <w:t xml:space="preserve"> when</w:t>
      </w:r>
      <w:r w:rsidR="0021534F" w:rsidRPr="00DD1B58">
        <w:rPr>
          <w:lang w:val="en-US"/>
        </w:rPr>
        <w:t xml:space="preserve"> making judgements on dutyholders</w:t>
      </w:r>
      <w:r w:rsidR="00A16741" w:rsidRPr="00DD1B58">
        <w:rPr>
          <w:lang w:val="en-US"/>
        </w:rPr>
        <w:t>’</w:t>
      </w:r>
      <w:r w:rsidR="0021534F" w:rsidRPr="00DD1B58">
        <w:rPr>
          <w:lang w:val="en-US"/>
        </w:rPr>
        <w:t xml:space="preserve"> consideration of fire safety in nuclear installations</w:t>
      </w:r>
      <w:r w:rsidR="00DD5C24" w:rsidRPr="00DD1B58">
        <w:rPr>
          <w:lang w:val="en-US"/>
        </w:rPr>
        <w:t>.</w:t>
      </w:r>
    </w:p>
    <w:p w14:paraId="7FBE10ED" w14:textId="77777777" w:rsidR="00A16741" w:rsidRPr="00DD1B58" w:rsidRDefault="00A16741" w:rsidP="00DD5C24">
      <w:pPr>
        <w:autoSpaceDE w:val="0"/>
        <w:autoSpaceDN w:val="0"/>
        <w:adjustRightInd w:val="0"/>
        <w:spacing w:after="0" w:line="240" w:lineRule="auto"/>
        <w:rPr>
          <w:lang w:val="en-US"/>
        </w:rPr>
      </w:pPr>
    </w:p>
    <w:p w14:paraId="1716AFFB" w14:textId="649544C0" w:rsidR="007B4D47" w:rsidRPr="00DD1B58" w:rsidRDefault="00A9114E" w:rsidP="006C634B">
      <w:pPr>
        <w:autoSpaceDE w:val="0"/>
        <w:autoSpaceDN w:val="0"/>
        <w:adjustRightInd w:val="0"/>
        <w:spacing w:after="0" w:line="240" w:lineRule="auto"/>
        <w:rPr>
          <w:lang w:val="en-US"/>
        </w:rPr>
      </w:pPr>
      <w:r w:rsidRPr="00DD1B58">
        <w:rPr>
          <w:lang w:val="en-US"/>
        </w:rPr>
        <w:t>Further r</w:t>
      </w:r>
      <w:r w:rsidR="00D55569" w:rsidRPr="00DD1B58">
        <w:rPr>
          <w:lang w:val="en-US"/>
        </w:rPr>
        <w:t>egulatory expectations on fire protection from a nuclear safety perspective are detailed in ONR’s Internal Hazards guid</w:t>
      </w:r>
      <w:r w:rsidR="0021144F" w:rsidRPr="00DD1B58">
        <w:rPr>
          <w:lang w:val="en-US"/>
        </w:rPr>
        <w:t>e</w:t>
      </w:r>
      <w:r w:rsidR="00D55569" w:rsidRPr="00DD1B58">
        <w:rPr>
          <w:lang w:val="en-US"/>
        </w:rPr>
        <w:t xml:space="preserve"> </w:t>
      </w:r>
      <w:sdt>
        <w:sdtPr>
          <w:rPr>
            <w:lang w:val="en-US"/>
          </w:rPr>
          <w:id w:val="1184398167"/>
          <w:citation/>
        </w:sdtPr>
        <w:sdtContent>
          <w:r w:rsidR="007D4AA7" w:rsidRPr="00DD1B58">
            <w:rPr>
              <w:lang w:val="en-US"/>
            </w:rPr>
            <w:fldChar w:fldCharType="begin"/>
          </w:r>
          <w:r w:rsidR="007D4AA7" w:rsidRPr="00DD1B58">
            <w:rPr>
              <w:lang w:val="en-US"/>
            </w:rPr>
            <w:instrText xml:space="preserve"> CITATION ONR4 \l 2057 </w:instrText>
          </w:r>
          <w:r w:rsidR="007D4AA7" w:rsidRPr="00DD1B58">
            <w:rPr>
              <w:lang w:val="en-US"/>
            </w:rPr>
            <w:fldChar w:fldCharType="separate"/>
          </w:r>
          <w:r w:rsidR="00DF47DA" w:rsidRPr="00DF47DA">
            <w:rPr>
              <w:noProof/>
              <w:lang w:val="en-US"/>
            </w:rPr>
            <w:t>[16]</w:t>
          </w:r>
          <w:r w:rsidR="007D4AA7" w:rsidRPr="00DD1B58">
            <w:rPr>
              <w:lang w:val="en-US"/>
            </w:rPr>
            <w:fldChar w:fldCharType="end"/>
          </w:r>
        </w:sdtContent>
      </w:sdt>
      <w:r w:rsidR="007D4AA7" w:rsidRPr="00DD1B58">
        <w:rPr>
          <w:lang w:val="en-US"/>
        </w:rPr>
        <w:t>.</w:t>
      </w:r>
      <w:r w:rsidR="00D55569" w:rsidRPr="00DD1B58">
        <w:rPr>
          <w:lang w:val="en-US"/>
        </w:rPr>
        <w:t xml:space="preserve"> </w:t>
      </w:r>
      <w:r w:rsidR="00874812" w:rsidRPr="00DD1B58">
        <w:rPr>
          <w:lang w:val="en-US"/>
        </w:rPr>
        <w:t xml:space="preserve">The SAPs </w:t>
      </w:r>
      <w:r w:rsidR="004E2662" w:rsidRPr="00DD1B58">
        <w:rPr>
          <w:lang w:val="en-US"/>
        </w:rPr>
        <w:t xml:space="preserve">and Internal Hazards TAG </w:t>
      </w:r>
      <w:sdt>
        <w:sdtPr>
          <w:rPr>
            <w:lang w:val="en-US"/>
          </w:rPr>
          <w:id w:val="-1345547047"/>
          <w:citation/>
        </w:sdtPr>
        <w:sdtContent>
          <w:r w:rsidR="007D4AA7" w:rsidRPr="00DD1B58">
            <w:rPr>
              <w:lang w:val="en-US"/>
            </w:rPr>
            <w:fldChar w:fldCharType="begin"/>
          </w:r>
          <w:r w:rsidR="007D4AA7" w:rsidRPr="00DD1B58">
            <w:rPr>
              <w:lang w:val="en-US"/>
            </w:rPr>
            <w:instrText xml:space="preserve"> CITATION ONR4 \l 2057 </w:instrText>
          </w:r>
          <w:r w:rsidR="007D4AA7" w:rsidRPr="00DD1B58">
            <w:rPr>
              <w:lang w:val="en-US"/>
            </w:rPr>
            <w:fldChar w:fldCharType="separate"/>
          </w:r>
          <w:r w:rsidR="00DF47DA" w:rsidRPr="00DF47DA">
            <w:rPr>
              <w:noProof/>
              <w:lang w:val="en-US"/>
            </w:rPr>
            <w:t>[16]</w:t>
          </w:r>
          <w:r w:rsidR="007D4AA7" w:rsidRPr="00DD1B58">
            <w:rPr>
              <w:lang w:val="en-US"/>
            </w:rPr>
            <w:fldChar w:fldCharType="end"/>
          </w:r>
        </w:sdtContent>
      </w:sdt>
      <w:r w:rsidR="000249A7" w:rsidRPr="00DD1B58">
        <w:rPr>
          <w:lang w:val="en-US"/>
        </w:rPr>
        <w:t xml:space="preserve"> </w:t>
      </w:r>
      <w:r w:rsidR="00874812" w:rsidRPr="00DD1B58">
        <w:rPr>
          <w:lang w:val="en-US"/>
        </w:rPr>
        <w:t xml:space="preserve">incorporate the IAEA safety standards </w:t>
      </w:r>
      <w:sdt>
        <w:sdtPr>
          <w:rPr>
            <w:rFonts w:asciiTheme="minorHAnsi" w:eastAsia="ArialMT" w:hAnsiTheme="minorHAnsi" w:cstheme="minorHAnsi"/>
            <w:szCs w:val="24"/>
            <w:lang w:val="en-US" w:eastAsia="en-GB" w:bidi="ar-SA"/>
          </w:rPr>
          <w:id w:val="-1677492342"/>
          <w:citation/>
        </w:sdtPr>
        <w:sdtContent>
          <w:r w:rsidR="00EE6E09" w:rsidRPr="00DD1B58">
            <w:rPr>
              <w:rFonts w:asciiTheme="minorHAnsi" w:eastAsia="ArialMT" w:hAnsiTheme="minorHAnsi" w:cstheme="minorHAnsi"/>
              <w:szCs w:val="24"/>
              <w:lang w:val="en-US" w:eastAsia="en-GB" w:bidi="ar-SA"/>
            </w:rPr>
            <w:fldChar w:fldCharType="begin"/>
          </w:r>
          <w:r w:rsidR="00EE6E09" w:rsidRPr="00DD1B58">
            <w:rPr>
              <w:rFonts w:asciiTheme="minorHAnsi" w:eastAsia="ArialMT" w:hAnsiTheme="minorHAnsi" w:cstheme="minorHAnsi"/>
              <w:szCs w:val="24"/>
              <w:lang w:val="en-US" w:eastAsia="en-GB" w:bidi="ar-SA"/>
            </w:rPr>
            <w:instrText xml:space="preserve"> CITATION IAE5 \l 2057 </w:instrText>
          </w:r>
          <w:r w:rsidR="00EE6E09" w:rsidRPr="00DD1B58">
            <w:rPr>
              <w:rFonts w:asciiTheme="minorHAnsi" w:eastAsia="ArialMT" w:hAnsiTheme="minorHAnsi" w:cstheme="minorHAnsi"/>
              <w:szCs w:val="24"/>
              <w:lang w:val="en-US" w:eastAsia="en-GB" w:bidi="ar-SA"/>
            </w:rPr>
            <w:fldChar w:fldCharType="separate"/>
          </w:r>
          <w:r w:rsidR="00DF47DA" w:rsidRPr="00DF47DA">
            <w:rPr>
              <w:rFonts w:asciiTheme="minorHAnsi" w:eastAsia="ArialMT" w:hAnsiTheme="minorHAnsi" w:cstheme="minorHAnsi"/>
              <w:noProof/>
              <w:szCs w:val="24"/>
              <w:lang w:val="en-US" w:eastAsia="en-GB" w:bidi="ar-SA"/>
            </w:rPr>
            <w:t>[17]</w:t>
          </w:r>
          <w:r w:rsidR="00EE6E09" w:rsidRPr="00DD1B58">
            <w:rPr>
              <w:rFonts w:asciiTheme="minorHAnsi" w:eastAsia="ArialMT" w:hAnsiTheme="minorHAnsi" w:cstheme="minorHAnsi"/>
              <w:szCs w:val="24"/>
              <w:lang w:val="en-US" w:eastAsia="en-GB" w:bidi="ar-SA"/>
            </w:rPr>
            <w:fldChar w:fldCharType="end"/>
          </w:r>
        </w:sdtContent>
      </w:sdt>
      <w:sdt>
        <w:sdtPr>
          <w:rPr>
            <w:rFonts w:asciiTheme="minorHAnsi" w:eastAsia="ArialMT" w:hAnsiTheme="minorHAnsi" w:cstheme="minorHAnsi"/>
            <w:szCs w:val="24"/>
            <w:lang w:val="en-US" w:eastAsia="en-GB" w:bidi="ar-SA"/>
          </w:rPr>
          <w:id w:val="-1609191452"/>
          <w:citation/>
        </w:sdtPr>
        <w:sdtContent>
          <w:r w:rsidR="007D2281" w:rsidRPr="00DD1B58">
            <w:rPr>
              <w:rFonts w:asciiTheme="minorHAnsi" w:eastAsia="ArialMT" w:hAnsiTheme="minorHAnsi" w:cstheme="minorHAnsi"/>
              <w:szCs w:val="24"/>
              <w:lang w:val="en-US" w:eastAsia="en-GB" w:bidi="ar-SA"/>
            </w:rPr>
            <w:fldChar w:fldCharType="begin"/>
          </w:r>
          <w:r w:rsidR="007D2281" w:rsidRPr="00DD1B58">
            <w:rPr>
              <w:rFonts w:asciiTheme="minorHAnsi" w:eastAsia="ArialMT" w:hAnsiTheme="minorHAnsi" w:cstheme="minorHAnsi"/>
              <w:szCs w:val="24"/>
              <w:lang w:val="en-US" w:eastAsia="en-GB" w:bidi="ar-SA"/>
            </w:rPr>
            <w:instrText xml:space="preserve"> CITATION Int22 \l 2057 </w:instrText>
          </w:r>
          <w:r w:rsidR="007D2281" w:rsidRPr="00DD1B58">
            <w:rPr>
              <w:rFonts w:asciiTheme="minorHAnsi" w:eastAsia="ArialMT" w:hAnsiTheme="minorHAnsi" w:cstheme="minorHAnsi"/>
              <w:szCs w:val="24"/>
              <w:lang w:val="en-US" w:eastAsia="en-GB" w:bidi="ar-SA"/>
            </w:rPr>
            <w:fldChar w:fldCharType="separate"/>
          </w:r>
          <w:r w:rsidR="00DF47DA">
            <w:rPr>
              <w:rFonts w:asciiTheme="minorHAnsi" w:eastAsia="ArialMT" w:hAnsiTheme="minorHAnsi" w:cstheme="minorHAnsi"/>
              <w:noProof/>
              <w:szCs w:val="24"/>
              <w:lang w:val="en-US" w:eastAsia="en-GB" w:bidi="ar-SA"/>
            </w:rPr>
            <w:t xml:space="preserve"> </w:t>
          </w:r>
          <w:r w:rsidR="00DF47DA" w:rsidRPr="00DF47DA">
            <w:rPr>
              <w:rFonts w:asciiTheme="minorHAnsi" w:eastAsia="ArialMT" w:hAnsiTheme="minorHAnsi" w:cstheme="minorHAnsi"/>
              <w:noProof/>
              <w:szCs w:val="24"/>
              <w:lang w:val="en-US" w:eastAsia="en-GB" w:bidi="ar-SA"/>
            </w:rPr>
            <w:t>[18]</w:t>
          </w:r>
          <w:r w:rsidR="007D2281" w:rsidRPr="00DD1B58">
            <w:rPr>
              <w:rFonts w:asciiTheme="minorHAnsi" w:eastAsia="ArialMT" w:hAnsiTheme="minorHAnsi" w:cstheme="minorHAnsi"/>
              <w:szCs w:val="24"/>
              <w:lang w:val="en-US" w:eastAsia="en-GB" w:bidi="ar-SA"/>
            </w:rPr>
            <w:fldChar w:fldCharType="end"/>
          </w:r>
        </w:sdtContent>
      </w:sdt>
      <w:sdt>
        <w:sdtPr>
          <w:rPr>
            <w:rFonts w:asciiTheme="minorHAnsi" w:eastAsia="ArialMT" w:hAnsiTheme="minorHAnsi" w:cstheme="minorHAnsi"/>
            <w:szCs w:val="24"/>
            <w:lang w:val="en-US" w:eastAsia="en-GB" w:bidi="ar-SA"/>
          </w:rPr>
          <w:id w:val="-460274467"/>
          <w:citation/>
        </w:sdtPr>
        <w:sdtContent>
          <w:r w:rsidR="00A41EEB" w:rsidRPr="00DD1B58">
            <w:rPr>
              <w:rFonts w:asciiTheme="minorHAnsi" w:eastAsia="ArialMT" w:hAnsiTheme="minorHAnsi" w:cstheme="minorHAnsi"/>
              <w:szCs w:val="24"/>
              <w:lang w:val="en-US" w:eastAsia="en-GB" w:bidi="ar-SA"/>
            </w:rPr>
            <w:fldChar w:fldCharType="begin"/>
          </w:r>
          <w:r w:rsidR="00A41EEB" w:rsidRPr="00DD1B58">
            <w:rPr>
              <w:rFonts w:asciiTheme="minorHAnsi" w:eastAsia="ArialMT" w:hAnsiTheme="minorHAnsi" w:cstheme="minorHAnsi"/>
              <w:szCs w:val="24"/>
              <w:lang w:val="en-US" w:eastAsia="en-GB" w:bidi="ar-SA"/>
            </w:rPr>
            <w:instrText xml:space="preserve"> CITATION INT17 \l 2057 </w:instrText>
          </w:r>
          <w:r w:rsidR="00A41EEB" w:rsidRPr="00DD1B58">
            <w:rPr>
              <w:rFonts w:asciiTheme="minorHAnsi" w:eastAsia="ArialMT" w:hAnsiTheme="minorHAnsi" w:cstheme="minorHAnsi"/>
              <w:szCs w:val="24"/>
              <w:lang w:val="en-US" w:eastAsia="en-GB" w:bidi="ar-SA"/>
            </w:rPr>
            <w:fldChar w:fldCharType="separate"/>
          </w:r>
          <w:r w:rsidR="00DF47DA">
            <w:rPr>
              <w:rFonts w:asciiTheme="minorHAnsi" w:eastAsia="ArialMT" w:hAnsiTheme="minorHAnsi" w:cstheme="minorHAnsi"/>
              <w:noProof/>
              <w:szCs w:val="24"/>
              <w:lang w:val="en-US" w:eastAsia="en-GB" w:bidi="ar-SA"/>
            </w:rPr>
            <w:t xml:space="preserve"> </w:t>
          </w:r>
          <w:r w:rsidR="00DF47DA" w:rsidRPr="00DF47DA">
            <w:rPr>
              <w:rFonts w:asciiTheme="minorHAnsi" w:eastAsia="ArialMT" w:hAnsiTheme="minorHAnsi" w:cstheme="minorHAnsi"/>
              <w:noProof/>
              <w:szCs w:val="24"/>
              <w:lang w:val="en-US" w:eastAsia="en-GB" w:bidi="ar-SA"/>
            </w:rPr>
            <w:t>[19]</w:t>
          </w:r>
          <w:r w:rsidR="00A41EEB" w:rsidRPr="00DD1B58">
            <w:rPr>
              <w:rFonts w:asciiTheme="minorHAnsi" w:eastAsia="ArialMT" w:hAnsiTheme="minorHAnsi" w:cstheme="minorHAnsi"/>
              <w:szCs w:val="24"/>
              <w:lang w:val="en-US" w:eastAsia="en-GB" w:bidi="ar-SA"/>
            </w:rPr>
            <w:fldChar w:fldCharType="end"/>
          </w:r>
        </w:sdtContent>
      </w:sdt>
      <w:r w:rsidR="00DD5C24" w:rsidRPr="00DD1B58">
        <w:rPr>
          <w:rFonts w:asciiTheme="minorHAnsi" w:eastAsia="ArialMT" w:hAnsiTheme="minorHAnsi" w:cstheme="minorHAnsi"/>
          <w:szCs w:val="24"/>
          <w:lang w:val="en-US" w:eastAsia="en-GB" w:bidi="ar-SA"/>
        </w:rPr>
        <w:t xml:space="preserve"> </w:t>
      </w:r>
      <w:r w:rsidR="00DD5C24" w:rsidRPr="00DD1B58">
        <w:rPr>
          <w:lang w:val="en-US"/>
        </w:rPr>
        <w:t xml:space="preserve">and other relevant international and national standards. </w:t>
      </w:r>
      <w:r w:rsidR="00062611" w:rsidRPr="00DD1B58">
        <w:rPr>
          <w:lang w:val="en-US"/>
        </w:rPr>
        <w:t>More s</w:t>
      </w:r>
      <w:r w:rsidR="006C634B" w:rsidRPr="00DD1B58">
        <w:rPr>
          <w:lang w:val="en-US"/>
        </w:rPr>
        <w:t>pecifically, ONR</w:t>
      </w:r>
      <w:r w:rsidR="00124588" w:rsidRPr="00DD1B58">
        <w:rPr>
          <w:lang w:val="en-US"/>
        </w:rPr>
        <w:t xml:space="preserve"> ensures the implementation of WENRA Safety Reference Levels (SRL) through incorporation in ONR guidance, including referencing them </w:t>
      </w:r>
      <w:r w:rsidR="006C634B" w:rsidRPr="00DD1B58">
        <w:rPr>
          <w:lang w:val="en-US"/>
        </w:rPr>
        <w:t xml:space="preserve">explicitly in </w:t>
      </w:r>
      <w:r w:rsidR="00964FE2" w:rsidRPr="00DD1B58">
        <w:rPr>
          <w:lang w:val="en-US"/>
        </w:rPr>
        <w:t>the</w:t>
      </w:r>
      <w:r w:rsidR="006C634B" w:rsidRPr="00DD1B58">
        <w:rPr>
          <w:lang w:val="en-US"/>
        </w:rPr>
        <w:t xml:space="preserve"> TAGs.</w:t>
      </w:r>
    </w:p>
    <w:p w14:paraId="5C69F7BD" w14:textId="77777777" w:rsidR="007B4D47" w:rsidRPr="00DD1B58" w:rsidRDefault="007B4D47" w:rsidP="00DD5C24">
      <w:pPr>
        <w:autoSpaceDE w:val="0"/>
        <w:autoSpaceDN w:val="0"/>
        <w:adjustRightInd w:val="0"/>
        <w:spacing w:after="0" w:line="240" w:lineRule="auto"/>
        <w:rPr>
          <w:lang w:val="en-US"/>
        </w:rPr>
      </w:pPr>
    </w:p>
    <w:p w14:paraId="6851F968" w14:textId="03BA06C1" w:rsidR="00D83C09" w:rsidRPr="00DD1B58" w:rsidRDefault="002A7EFB" w:rsidP="00DD5C24">
      <w:pPr>
        <w:autoSpaceDE w:val="0"/>
        <w:autoSpaceDN w:val="0"/>
        <w:adjustRightInd w:val="0"/>
        <w:spacing w:after="0" w:line="240" w:lineRule="auto"/>
        <w:rPr>
          <w:rFonts w:asciiTheme="minorHAnsi" w:eastAsia="ArialMT" w:hAnsiTheme="minorHAnsi" w:cstheme="minorHAnsi"/>
          <w:szCs w:val="24"/>
          <w:lang w:val="en-US" w:eastAsia="en-GB" w:bidi="ar-SA"/>
        </w:rPr>
      </w:pPr>
      <w:r w:rsidRPr="00DD1B58">
        <w:rPr>
          <w:rFonts w:asciiTheme="minorHAnsi" w:eastAsia="ArialMT" w:hAnsiTheme="minorHAnsi" w:cstheme="minorHAnsi"/>
          <w:szCs w:val="24"/>
          <w:lang w:val="en-US" w:eastAsia="en-GB" w:bidi="ar-SA"/>
        </w:rPr>
        <w:t>In line with the</w:t>
      </w:r>
      <w:r w:rsidR="006E67E3" w:rsidRPr="00DD1B58">
        <w:rPr>
          <w:rFonts w:asciiTheme="minorHAnsi" w:eastAsia="ArialMT" w:hAnsiTheme="minorHAnsi" w:cstheme="minorHAnsi"/>
          <w:szCs w:val="24"/>
          <w:lang w:val="en-US" w:eastAsia="en-GB" w:bidi="ar-SA"/>
        </w:rPr>
        <w:t xml:space="preserve"> goal</w:t>
      </w:r>
      <w:r w:rsidRPr="00DD1B58">
        <w:rPr>
          <w:rFonts w:asciiTheme="minorHAnsi" w:eastAsia="ArialMT" w:hAnsiTheme="minorHAnsi" w:cstheme="minorHAnsi"/>
          <w:szCs w:val="24"/>
          <w:lang w:val="en-US" w:eastAsia="en-GB" w:bidi="ar-SA"/>
        </w:rPr>
        <w:t>-</w:t>
      </w:r>
      <w:r w:rsidR="006E67E3" w:rsidRPr="00DD1B58">
        <w:rPr>
          <w:rFonts w:asciiTheme="minorHAnsi" w:eastAsia="ArialMT" w:hAnsiTheme="minorHAnsi" w:cstheme="minorHAnsi"/>
          <w:szCs w:val="24"/>
          <w:lang w:val="en-US" w:eastAsia="en-GB" w:bidi="ar-SA"/>
        </w:rPr>
        <w:t>setting nature of the UK’s regulatory framework</w:t>
      </w:r>
      <w:r w:rsidR="0056753F" w:rsidRPr="00DD1B58">
        <w:rPr>
          <w:rFonts w:asciiTheme="minorHAnsi" w:eastAsia="ArialMT" w:hAnsiTheme="minorHAnsi" w:cstheme="minorHAnsi"/>
          <w:szCs w:val="24"/>
          <w:lang w:val="en-US" w:eastAsia="en-GB" w:bidi="ar-SA"/>
        </w:rPr>
        <w:t xml:space="preserve">, </w:t>
      </w:r>
      <w:r w:rsidR="006E67E3" w:rsidRPr="00DD1B58">
        <w:rPr>
          <w:rFonts w:asciiTheme="minorHAnsi" w:eastAsia="ArialMT" w:hAnsiTheme="minorHAnsi" w:cstheme="minorHAnsi"/>
          <w:szCs w:val="24"/>
          <w:lang w:val="en-US" w:eastAsia="en-GB" w:bidi="ar-SA"/>
        </w:rPr>
        <w:t>dutyholders</w:t>
      </w:r>
      <w:r w:rsidRPr="00DD1B58">
        <w:rPr>
          <w:rFonts w:asciiTheme="minorHAnsi" w:eastAsia="ArialMT" w:hAnsiTheme="minorHAnsi" w:cstheme="minorHAnsi"/>
          <w:szCs w:val="24"/>
          <w:lang w:val="en-US" w:eastAsia="en-GB" w:bidi="ar-SA"/>
        </w:rPr>
        <w:t xml:space="preserve">’ demonstration that the risks have been reduced to ALARP </w:t>
      </w:r>
      <w:r w:rsidR="00281DF8" w:rsidRPr="00DD1B58">
        <w:rPr>
          <w:rFonts w:asciiTheme="minorHAnsi" w:eastAsia="ArialMT" w:hAnsiTheme="minorHAnsi" w:cstheme="minorHAnsi"/>
          <w:szCs w:val="24"/>
          <w:lang w:val="en-US" w:eastAsia="en-GB" w:bidi="ar-SA"/>
        </w:rPr>
        <w:t>is made</w:t>
      </w:r>
      <w:r w:rsidR="0056753F" w:rsidRPr="00DD1B58">
        <w:rPr>
          <w:rFonts w:asciiTheme="minorHAnsi" w:eastAsia="ArialMT" w:hAnsiTheme="minorHAnsi" w:cstheme="minorHAnsi"/>
          <w:szCs w:val="24"/>
          <w:lang w:val="en-US" w:eastAsia="en-GB" w:bidi="ar-SA"/>
        </w:rPr>
        <w:t xml:space="preserve"> through</w:t>
      </w:r>
      <w:r w:rsidR="006E67E3" w:rsidRPr="00DD1B58">
        <w:rPr>
          <w:rFonts w:asciiTheme="minorHAnsi" w:eastAsia="ArialMT" w:hAnsiTheme="minorHAnsi" w:cstheme="minorHAnsi"/>
          <w:szCs w:val="24"/>
          <w:lang w:val="en-US" w:eastAsia="en-GB" w:bidi="ar-SA"/>
        </w:rPr>
        <w:t xml:space="preserve"> </w:t>
      </w:r>
      <w:r w:rsidR="00FB3B16" w:rsidRPr="00DD1B58">
        <w:rPr>
          <w:rFonts w:asciiTheme="minorHAnsi" w:eastAsia="ArialMT" w:hAnsiTheme="minorHAnsi" w:cstheme="minorHAnsi"/>
          <w:szCs w:val="24"/>
          <w:lang w:val="en-US" w:eastAsia="en-GB" w:bidi="ar-SA"/>
        </w:rPr>
        <w:t xml:space="preserve">safety cases and </w:t>
      </w:r>
      <w:r w:rsidR="00281DF8" w:rsidRPr="00DD1B58">
        <w:rPr>
          <w:rFonts w:asciiTheme="minorHAnsi" w:eastAsia="ArialMT" w:hAnsiTheme="minorHAnsi" w:cstheme="minorHAnsi"/>
          <w:szCs w:val="24"/>
          <w:lang w:val="en-US" w:eastAsia="en-GB" w:bidi="ar-SA"/>
        </w:rPr>
        <w:t xml:space="preserve">fire safety </w:t>
      </w:r>
      <w:r w:rsidR="00FB3B16" w:rsidRPr="00DD1B58">
        <w:rPr>
          <w:rFonts w:asciiTheme="minorHAnsi" w:eastAsia="ArialMT" w:hAnsiTheme="minorHAnsi" w:cstheme="minorHAnsi"/>
          <w:szCs w:val="24"/>
          <w:lang w:val="en-US" w:eastAsia="en-GB" w:bidi="ar-SA"/>
        </w:rPr>
        <w:t>provision which implement</w:t>
      </w:r>
      <w:r w:rsidR="0056753F" w:rsidRPr="00DD1B58">
        <w:rPr>
          <w:rFonts w:asciiTheme="minorHAnsi" w:eastAsia="ArialMT" w:hAnsiTheme="minorHAnsi" w:cstheme="minorHAnsi"/>
          <w:szCs w:val="24"/>
          <w:lang w:val="en-US" w:eastAsia="en-GB" w:bidi="ar-SA"/>
        </w:rPr>
        <w:t xml:space="preserve"> </w:t>
      </w:r>
      <w:r w:rsidR="00FA23E9" w:rsidRPr="00DD1B58">
        <w:rPr>
          <w:rFonts w:asciiTheme="minorHAnsi" w:eastAsia="ArialMT" w:hAnsiTheme="minorHAnsi" w:cstheme="minorHAnsi"/>
          <w:szCs w:val="24"/>
          <w:lang w:val="en-US" w:eastAsia="en-GB" w:bidi="ar-SA"/>
        </w:rPr>
        <w:t>RGP</w:t>
      </w:r>
      <w:r w:rsidR="009F63A1" w:rsidRPr="00DD1B58">
        <w:rPr>
          <w:rFonts w:asciiTheme="minorHAnsi" w:eastAsia="ArialMT" w:hAnsiTheme="minorHAnsi" w:cstheme="minorHAnsi"/>
          <w:szCs w:val="24"/>
          <w:lang w:val="en-US" w:eastAsia="en-GB" w:bidi="ar-SA"/>
        </w:rPr>
        <w:t>,</w:t>
      </w:r>
      <w:r w:rsidR="00FB3B16" w:rsidRPr="00DD1B58">
        <w:rPr>
          <w:rFonts w:asciiTheme="minorHAnsi" w:eastAsia="ArialMT" w:hAnsiTheme="minorHAnsi" w:cstheme="minorHAnsi"/>
          <w:szCs w:val="24"/>
          <w:lang w:val="en-US" w:eastAsia="en-GB" w:bidi="ar-SA"/>
        </w:rPr>
        <w:t xml:space="preserve"> including</w:t>
      </w:r>
      <w:r w:rsidR="009F63A1" w:rsidRPr="00DD1B58">
        <w:rPr>
          <w:rFonts w:asciiTheme="minorHAnsi" w:eastAsia="ArialMT" w:hAnsiTheme="minorHAnsi" w:cstheme="minorHAnsi"/>
          <w:szCs w:val="24"/>
          <w:lang w:val="en-US" w:eastAsia="en-GB" w:bidi="ar-SA"/>
        </w:rPr>
        <w:t xml:space="preserve"> standards and guidance from </w:t>
      </w:r>
      <w:r w:rsidR="009F63A1" w:rsidRPr="00DD1B58">
        <w:rPr>
          <w:rFonts w:asciiTheme="minorHAnsi" w:eastAsia="ArialMT" w:hAnsiTheme="minorHAnsi" w:cstheme="minorHAnsi"/>
          <w:szCs w:val="24"/>
          <w:lang w:val="en-US" w:eastAsia="en-GB" w:bidi="ar-SA"/>
        </w:rPr>
        <w:lastRenderedPageBreak/>
        <w:t xml:space="preserve">other jurisdictions </w:t>
      </w:r>
      <w:r w:rsidR="00FB3B16" w:rsidRPr="00DD1B58">
        <w:rPr>
          <w:rFonts w:asciiTheme="minorHAnsi" w:eastAsia="ArialMT" w:hAnsiTheme="minorHAnsi" w:cstheme="minorHAnsi"/>
          <w:szCs w:val="24"/>
          <w:lang w:val="en-US" w:eastAsia="en-GB" w:bidi="ar-SA"/>
        </w:rPr>
        <w:t>such as those set by</w:t>
      </w:r>
      <w:r w:rsidR="00513F7F" w:rsidRPr="00DD1B58">
        <w:rPr>
          <w:rFonts w:asciiTheme="minorHAnsi" w:eastAsia="ArialMT" w:hAnsiTheme="minorHAnsi" w:cstheme="minorHAnsi"/>
          <w:szCs w:val="24"/>
          <w:lang w:val="en-US" w:eastAsia="en-GB" w:bidi="ar-SA"/>
        </w:rPr>
        <w:t xml:space="preserve"> the</w:t>
      </w:r>
      <w:r w:rsidR="009F63A1" w:rsidRPr="00DD1B58">
        <w:rPr>
          <w:rFonts w:asciiTheme="minorHAnsi" w:eastAsia="ArialMT" w:hAnsiTheme="minorHAnsi" w:cstheme="minorHAnsi"/>
          <w:szCs w:val="24"/>
          <w:lang w:val="en-US" w:eastAsia="en-GB" w:bidi="ar-SA"/>
        </w:rPr>
        <w:t xml:space="preserve"> </w:t>
      </w:r>
      <w:r w:rsidR="003F332E" w:rsidRPr="00DD1B58">
        <w:rPr>
          <w:rFonts w:asciiTheme="minorHAnsi" w:eastAsia="ArialMT" w:hAnsiTheme="minorHAnsi" w:cstheme="minorHAnsi"/>
          <w:szCs w:val="24"/>
          <w:lang w:val="en-US" w:eastAsia="en-GB" w:bidi="ar-SA"/>
        </w:rPr>
        <w:t>United States Nuclear Reg</w:t>
      </w:r>
      <w:r w:rsidR="00707382" w:rsidRPr="00DD1B58">
        <w:rPr>
          <w:rFonts w:asciiTheme="minorHAnsi" w:eastAsia="ArialMT" w:hAnsiTheme="minorHAnsi" w:cstheme="minorHAnsi"/>
          <w:szCs w:val="24"/>
          <w:lang w:val="en-US" w:eastAsia="en-GB" w:bidi="ar-SA"/>
        </w:rPr>
        <w:t>ulatory Commission (US NRC)</w:t>
      </w:r>
      <w:r w:rsidR="00841631" w:rsidRPr="00DD1B58">
        <w:rPr>
          <w:rFonts w:asciiTheme="minorHAnsi" w:eastAsia="ArialMT" w:hAnsiTheme="minorHAnsi" w:cstheme="minorHAnsi"/>
          <w:szCs w:val="24"/>
          <w:lang w:val="en-US" w:eastAsia="en-GB" w:bidi="ar-SA"/>
        </w:rPr>
        <w:t>,</w:t>
      </w:r>
      <w:r w:rsidR="00045A43" w:rsidRPr="00DD1B58">
        <w:rPr>
          <w:rFonts w:asciiTheme="minorHAnsi" w:eastAsia="ArialMT" w:hAnsiTheme="minorHAnsi" w:cstheme="minorHAnsi"/>
          <w:szCs w:val="24"/>
          <w:lang w:val="en-US" w:eastAsia="en-GB" w:bidi="ar-SA"/>
        </w:rPr>
        <w:t xml:space="preserve"> European Utility Requirements (EUR) or other equivalent national standards.</w:t>
      </w:r>
    </w:p>
    <w:p w14:paraId="2BD9EC44" w14:textId="77777777" w:rsidR="00032DFB" w:rsidRPr="00DD1B58" w:rsidRDefault="00032DFB" w:rsidP="001C2A30">
      <w:pPr>
        <w:autoSpaceDE w:val="0"/>
        <w:autoSpaceDN w:val="0"/>
        <w:adjustRightInd w:val="0"/>
        <w:spacing w:after="0" w:line="240" w:lineRule="auto"/>
        <w:rPr>
          <w:rFonts w:asciiTheme="minorHAnsi" w:eastAsia="ArialMT" w:hAnsiTheme="minorHAnsi" w:cstheme="minorHAnsi"/>
          <w:szCs w:val="24"/>
          <w:lang w:val="en-US" w:eastAsia="en-GB" w:bidi="ar-SA"/>
        </w:rPr>
      </w:pPr>
    </w:p>
    <w:p w14:paraId="796A4714" w14:textId="73CBF81A" w:rsidR="00B0441A" w:rsidRPr="00DD1B58" w:rsidRDefault="00474ACB" w:rsidP="00B0441A">
      <w:pPr>
        <w:autoSpaceDE w:val="0"/>
        <w:autoSpaceDN w:val="0"/>
        <w:adjustRightInd w:val="0"/>
        <w:spacing w:after="0" w:line="240" w:lineRule="auto"/>
        <w:rPr>
          <w:rFonts w:asciiTheme="minorHAnsi" w:eastAsia="ArialMT" w:hAnsiTheme="minorHAnsi" w:cstheme="minorHAnsi"/>
          <w:szCs w:val="24"/>
          <w:lang w:val="en-US" w:eastAsia="en-GB" w:bidi="ar-SA"/>
        </w:rPr>
      </w:pPr>
      <w:r w:rsidRPr="00DD1B58">
        <w:rPr>
          <w:rFonts w:asciiTheme="minorHAnsi" w:eastAsia="ArialMT" w:hAnsiTheme="minorHAnsi" w:cstheme="minorHAnsi"/>
          <w:szCs w:val="24"/>
          <w:lang w:val="en-US" w:eastAsia="en-GB" w:bidi="ar-SA"/>
        </w:rPr>
        <w:t xml:space="preserve">Also relevant to fire safety in </w:t>
      </w:r>
      <w:r w:rsidR="00D60B5E" w:rsidRPr="00DD1B58">
        <w:rPr>
          <w:rFonts w:asciiTheme="minorHAnsi" w:eastAsia="ArialMT" w:hAnsiTheme="minorHAnsi" w:cstheme="minorHAnsi"/>
          <w:szCs w:val="24"/>
          <w:lang w:val="en-US" w:eastAsia="en-GB" w:bidi="ar-SA"/>
        </w:rPr>
        <w:t>nuclear installations</w:t>
      </w:r>
      <w:r w:rsidRPr="00DD1B58">
        <w:rPr>
          <w:rFonts w:asciiTheme="minorHAnsi" w:eastAsia="ArialMT" w:hAnsiTheme="minorHAnsi" w:cstheme="minorHAnsi"/>
          <w:szCs w:val="24"/>
          <w:lang w:val="en-US" w:eastAsia="en-GB" w:bidi="ar-SA"/>
        </w:rPr>
        <w:t xml:space="preserve"> </w:t>
      </w:r>
      <w:r w:rsidR="00672B0E" w:rsidRPr="00DD1B58">
        <w:rPr>
          <w:rFonts w:asciiTheme="minorHAnsi" w:eastAsia="ArialMT" w:hAnsiTheme="minorHAnsi" w:cstheme="minorHAnsi"/>
          <w:szCs w:val="24"/>
          <w:lang w:val="en-US" w:eastAsia="en-GB" w:bidi="ar-SA"/>
        </w:rPr>
        <w:t xml:space="preserve">in GB is </w:t>
      </w:r>
      <w:r w:rsidR="004E6D74" w:rsidRPr="00DD1B58">
        <w:rPr>
          <w:rFonts w:asciiTheme="minorHAnsi" w:eastAsia="ArialMT" w:hAnsiTheme="minorHAnsi" w:cstheme="minorHAnsi"/>
          <w:szCs w:val="24"/>
          <w:lang w:val="en-US" w:eastAsia="en-GB" w:bidi="ar-SA"/>
        </w:rPr>
        <w:t>t</w:t>
      </w:r>
      <w:r w:rsidR="00B0441A" w:rsidRPr="00DD1B58">
        <w:rPr>
          <w:rFonts w:asciiTheme="minorHAnsi" w:eastAsia="ArialMT" w:hAnsiTheme="minorHAnsi" w:cstheme="minorHAnsi"/>
          <w:szCs w:val="24"/>
          <w:lang w:val="en-US" w:eastAsia="en-GB" w:bidi="ar-SA"/>
        </w:rPr>
        <w:t xml:space="preserve">he Regulatory Reform (Fire Safety) Order 2005 (FSO) </w:t>
      </w:r>
      <w:sdt>
        <w:sdtPr>
          <w:rPr>
            <w:rFonts w:asciiTheme="minorHAnsi" w:eastAsia="ArialMT" w:hAnsiTheme="minorHAnsi" w:cstheme="minorHAnsi"/>
            <w:szCs w:val="24"/>
            <w:lang w:val="en-US" w:eastAsia="en-GB" w:bidi="ar-SA"/>
          </w:rPr>
          <w:id w:val="2021966880"/>
          <w:citation/>
        </w:sdtPr>
        <w:sdtContent>
          <w:r w:rsidR="005C229D" w:rsidRPr="00DD1B58">
            <w:rPr>
              <w:rFonts w:asciiTheme="minorHAnsi" w:eastAsia="ArialMT" w:hAnsiTheme="minorHAnsi" w:cstheme="minorHAnsi"/>
              <w:szCs w:val="24"/>
              <w:lang w:val="en-US" w:eastAsia="en-GB" w:bidi="ar-SA"/>
            </w:rPr>
            <w:fldChar w:fldCharType="begin"/>
          </w:r>
          <w:r w:rsidR="00601B0B" w:rsidRPr="00DD1B58">
            <w:rPr>
              <w:rFonts w:asciiTheme="minorHAnsi" w:eastAsia="ArialMT" w:hAnsiTheme="minorHAnsi" w:cstheme="minorHAnsi"/>
              <w:szCs w:val="24"/>
              <w:lang w:val="en-US" w:eastAsia="en-GB" w:bidi="ar-SA"/>
            </w:rPr>
            <w:instrText xml:space="preserve">CITATION The05 \l 2057 </w:instrText>
          </w:r>
          <w:r w:rsidR="005C229D" w:rsidRPr="00DD1B58">
            <w:rPr>
              <w:rFonts w:asciiTheme="minorHAnsi" w:eastAsia="ArialMT" w:hAnsiTheme="minorHAnsi" w:cstheme="minorHAnsi"/>
              <w:szCs w:val="24"/>
              <w:lang w:val="en-US" w:eastAsia="en-GB" w:bidi="ar-SA"/>
            </w:rPr>
            <w:fldChar w:fldCharType="separate"/>
          </w:r>
          <w:r w:rsidR="00DF47DA" w:rsidRPr="00DF47DA">
            <w:rPr>
              <w:rFonts w:asciiTheme="minorHAnsi" w:eastAsia="ArialMT" w:hAnsiTheme="minorHAnsi" w:cstheme="minorHAnsi"/>
              <w:noProof/>
              <w:szCs w:val="24"/>
              <w:lang w:val="en-US" w:eastAsia="en-GB" w:bidi="ar-SA"/>
            </w:rPr>
            <w:t>[20]</w:t>
          </w:r>
          <w:r w:rsidR="005C229D" w:rsidRPr="00DD1B58">
            <w:rPr>
              <w:rFonts w:asciiTheme="minorHAnsi" w:eastAsia="ArialMT" w:hAnsiTheme="minorHAnsi" w:cstheme="minorHAnsi"/>
              <w:szCs w:val="24"/>
              <w:lang w:val="en-US" w:eastAsia="en-GB" w:bidi="ar-SA"/>
            </w:rPr>
            <w:fldChar w:fldCharType="end"/>
          </w:r>
        </w:sdtContent>
      </w:sdt>
      <w:r w:rsidR="00B0441A" w:rsidRPr="00DD1B58">
        <w:rPr>
          <w:rFonts w:asciiTheme="minorHAnsi" w:eastAsia="ArialMT" w:hAnsiTheme="minorHAnsi" w:cstheme="minorHAnsi"/>
          <w:szCs w:val="24"/>
          <w:lang w:val="en-US" w:eastAsia="en-GB" w:bidi="ar-SA"/>
        </w:rPr>
        <w:t xml:space="preserve"> and the Fire Scotland Act</w:t>
      </w:r>
      <w:r w:rsidR="00D60B5E"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 xml:space="preserve">2005 (FSA) </w:t>
      </w:r>
      <w:sdt>
        <w:sdtPr>
          <w:rPr>
            <w:rFonts w:asciiTheme="minorHAnsi" w:eastAsia="ArialMT" w:hAnsiTheme="minorHAnsi" w:cstheme="minorHAnsi"/>
            <w:szCs w:val="24"/>
            <w:lang w:val="en-US" w:eastAsia="en-GB" w:bidi="ar-SA"/>
          </w:rPr>
          <w:id w:val="217406098"/>
          <w:citation/>
        </w:sdtPr>
        <w:sdtContent>
          <w:r w:rsidR="005C229D" w:rsidRPr="00DD1B58">
            <w:rPr>
              <w:rFonts w:asciiTheme="minorHAnsi" w:eastAsia="ArialMT" w:hAnsiTheme="minorHAnsi" w:cstheme="minorHAnsi"/>
              <w:szCs w:val="24"/>
              <w:lang w:val="en-US" w:eastAsia="en-GB" w:bidi="ar-SA"/>
            </w:rPr>
            <w:fldChar w:fldCharType="begin"/>
          </w:r>
          <w:r w:rsidR="001A3492" w:rsidRPr="00DD1B58">
            <w:rPr>
              <w:rFonts w:asciiTheme="minorHAnsi" w:eastAsia="ArialMT" w:hAnsiTheme="minorHAnsi" w:cstheme="minorHAnsi"/>
              <w:szCs w:val="24"/>
              <w:lang w:val="en-US" w:eastAsia="en-GB" w:bidi="ar-SA"/>
            </w:rPr>
            <w:instrText xml:space="preserve">CITATION Fir05 \l 2057 </w:instrText>
          </w:r>
          <w:r w:rsidR="005C229D" w:rsidRPr="00DD1B58">
            <w:rPr>
              <w:rFonts w:asciiTheme="minorHAnsi" w:eastAsia="ArialMT" w:hAnsiTheme="minorHAnsi" w:cstheme="minorHAnsi"/>
              <w:szCs w:val="24"/>
              <w:lang w:val="en-US" w:eastAsia="en-GB" w:bidi="ar-SA"/>
            </w:rPr>
            <w:fldChar w:fldCharType="separate"/>
          </w:r>
          <w:r w:rsidR="00DF47DA" w:rsidRPr="00DF47DA">
            <w:rPr>
              <w:rFonts w:asciiTheme="minorHAnsi" w:eastAsia="ArialMT" w:hAnsiTheme="minorHAnsi" w:cstheme="minorHAnsi"/>
              <w:noProof/>
              <w:szCs w:val="24"/>
              <w:lang w:val="en-US" w:eastAsia="en-GB" w:bidi="ar-SA"/>
            </w:rPr>
            <w:t>[21]</w:t>
          </w:r>
          <w:r w:rsidR="005C229D" w:rsidRPr="00DD1B58">
            <w:rPr>
              <w:rFonts w:asciiTheme="minorHAnsi" w:eastAsia="ArialMT" w:hAnsiTheme="minorHAnsi" w:cstheme="minorHAnsi"/>
              <w:szCs w:val="24"/>
              <w:lang w:val="en-US" w:eastAsia="en-GB" w:bidi="ar-SA"/>
            </w:rPr>
            <w:fldChar w:fldCharType="end"/>
          </w:r>
        </w:sdtContent>
      </w:sdt>
      <w:r w:rsidR="008F5415" w:rsidRPr="00DD1B58">
        <w:rPr>
          <w:rFonts w:asciiTheme="minorHAnsi" w:eastAsia="ArialMT" w:hAnsiTheme="minorHAnsi" w:cstheme="minorHAnsi"/>
          <w:szCs w:val="24"/>
          <w:lang w:val="en-US" w:eastAsia="en-GB" w:bidi="ar-SA"/>
        </w:rPr>
        <w:t>. This suite of secondary legislation</w:t>
      </w:r>
      <w:r w:rsidR="00780E61" w:rsidRPr="00DD1B58">
        <w:rPr>
          <w:rFonts w:asciiTheme="minorHAnsi" w:eastAsia="ArialMT" w:hAnsiTheme="minorHAnsi" w:cstheme="minorHAnsi"/>
          <w:szCs w:val="24"/>
          <w:lang w:val="en-US" w:eastAsia="en-GB" w:bidi="ar-SA"/>
        </w:rPr>
        <w:t xml:space="preserve"> </w:t>
      </w:r>
      <w:r w:rsidR="008F5415" w:rsidRPr="00DD1B58">
        <w:rPr>
          <w:rFonts w:asciiTheme="minorHAnsi" w:eastAsia="ArialMT" w:hAnsiTheme="minorHAnsi" w:cstheme="minorHAnsi"/>
          <w:szCs w:val="24"/>
          <w:lang w:val="en-US" w:eastAsia="en-GB" w:bidi="ar-SA"/>
        </w:rPr>
        <w:t>sets the regulatory requirements</w:t>
      </w:r>
      <w:r w:rsidR="00672B0E" w:rsidRPr="00DD1B58">
        <w:rPr>
          <w:rFonts w:asciiTheme="minorHAnsi" w:eastAsia="ArialMT" w:hAnsiTheme="minorHAnsi" w:cstheme="minorHAnsi"/>
          <w:szCs w:val="24"/>
          <w:lang w:val="en-US" w:eastAsia="en-GB" w:bidi="ar-SA"/>
        </w:rPr>
        <w:t xml:space="preserve"> to protect people from </w:t>
      </w:r>
      <w:r w:rsidR="008F5415" w:rsidRPr="00DD1B58">
        <w:rPr>
          <w:rFonts w:asciiTheme="minorHAnsi" w:eastAsia="ArialMT" w:hAnsiTheme="minorHAnsi" w:cstheme="minorHAnsi"/>
          <w:szCs w:val="24"/>
          <w:lang w:val="en-US" w:eastAsia="en-GB" w:bidi="ar-SA"/>
        </w:rPr>
        <w:t>fire</w:t>
      </w:r>
      <w:r w:rsidR="00DC03AF" w:rsidRPr="00DD1B58">
        <w:rPr>
          <w:rFonts w:asciiTheme="minorHAnsi" w:eastAsia="ArialMT" w:hAnsiTheme="minorHAnsi" w:cstheme="minorHAnsi"/>
          <w:szCs w:val="24"/>
          <w:lang w:val="en-US" w:eastAsia="en-GB" w:bidi="ar-SA"/>
        </w:rPr>
        <w:t xml:space="preserve"> and specifically</w:t>
      </w:r>
      <w:r w:rsidR="00780E61" w:rsidRPr="00DD1B58">
        <w:rPr>
          <w:rFonts w:asciiTheme="minorHAnsi" w:eastAsia="ArialMT" w:hAnsiTheme="minorHAnsi" w:cstheme="minorHAnsi"/>
          <w:szCs w:val="24"/>
          <w:lang w:val="en-US" w:eastAsia="en-GB" w:bidi="ar-SA"/>
        </w:rPr>
        <w:t xml:space="preserve"> covers</w:t>
      </w:r>
      <w:r w:rsidR="00B0441A" w:rsidRPr="00DD1B58">
        <w:rPr>
          <w:rFonts w:asciiTheme="minorHAnsi" w:eastAsia="ArialMT" w:hAnsiTheme="minorHAnsi" w:cstheme="minorHAnsi"/>
          <w:szCs w:val="24"/>
          <w:lang w:val="en-US" w:eastAsia="en-GB" w:bidi="ar-SA"/>
        </w:rPr>
        <w:t xml:space="preserve"> fire precautions and other fire safety duties. </w:t>
      </w:r>
      <w:r w:rsidR="00DC03AF" w:rsidRPr="00DD1B58">
        <w:rPr>
          <w:rFonts w:asciiTheme="minorHAnsi" w:eastAsia="ArialMT" w:hAnsiTheme="minorHAnsi" w:cstheme="minorHAnsi"/>
          <w:szCs w:val="24"/>
          <w:lang w:val="en-US" w:eastAsia="en-GB" w:bidi="ar-SA"/>
        </w:rPr>
        <w:t>The</w:t>
      </w:r>
      <w:r w:rsidR="00A8346B"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 xml:space="preserve">legislation is, again, </w:t>
      </w:r>
      <w:r w:rsidR="002F105C" w:rsidRPr="00DD1B58">
        <w:rPr>
          <w:rFonts w:asciiTheme="minorHAnsi" w:eastAsia="ArialMT" w:hAnsiTheme="minorHAnsi" w:cstheme="minorHAnsi"/>
          <w:szCs w:val="24"/>
          <w:lang w:val="en-US" w:eastAsia="en-GB" w:bidi="ar-SA"/>
        </w:rPr>
        <w:t>goal</w:t>
      </w:r>
      <w:r w:rsidR="00D329E9" w:rsidRPr="00DD1B58">
        <w:rPr>
          <w:rFonts w:asciiTheme="minorHAnsi" w:eastAsia="ArialMT" w:hAnsiTheme="minorHAnsi" w:cstheme="minorHAnsi"/>
          <w:szCs w:val="24"/>
          <w:lang w:val="en-US" w:eastAsia="en-GB" w:bidi="ar-SA"/>
        </w:rPr>
        <w:t>-</w:t>
      </w:r>
      <w:r w:rsidR="002F105C" w:rsidRPr="00DD1B58">
        <w:rPr>
          <w:rFonts w:asciiTheme="minorHAnsi" w:eastAsia="ArialMT" w:hAnsiTheme="minorHAnsi" w:cstheme="minorHAnsi"/>
          <w:szCs w:val="24"/>
          <w:lang w:val="en-US" w:eastAsia="en-GB" w:bidi="ar-SA"/>
        </w:rPr>
        <w:t>setting</w:t>
      </w:r>
      <w:r w:rsidR="00B0441A" w:rsidRPr="00DD1B58">
        <w:rPr>
          <w:rFonts w:asciiTheme="minorHAnsi" w:eastAsia="ArialMT" w:hAnsiTheme="minorHAnsi" w:cstheme="minorHAnsi"/>
          <w:szCs w:val="24"/>
          <w:lang w:val="en-US" w:eastAsia="en-GB" w:bidi="ar-SA"/>
        </w:rPr>
        <w:t xml:space="preserve"> rather</w:t>
      </w:r>
      <w:r w:rsidR="00E748CD"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than prescriptive and places duties on the ‘responsible person’. The FSO/FSA require</w:t>
      </w:r>
      <w:r w:rsidR="00DC03AF"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 xml:space="preserve">fire precautions to be applied ‘where necessary’ and this therefore </w:t>
      </w:r>
      <w:r w:rsidR="00DC03AF" w:rsidRPr="00DD1B58">
        <w:rPr>
          <w:rFonts w:asciiTheme="minorHAnsi" w:eastAsia="ArialMT" w:hAnsiTheme="minorHAnsi" w:cstheme="minorHAnsi"/>
          <w:szCs w:val="24"/>
          <w:lang w:val="en-US" w:eastAsia="en-GB" w:bidi="ar-SA"/>
        </w:rPr>
        <w:t xml:space="preserve">covers </w:t>
      </w:r>
      <w:r w:rsidR="00B0441A" w:rsidRPr="00DD1B58">
        <w:rPr>
          <w:rFonts w:asciiTheme="minorHAnsi" w:eastAsia="ArialMT" w:hAnsiTheme="minorHAnsi" w:cstheme="minorHAnsi"/>
          <w:szCs w:val="24"/>
          <w:lang w:val="en-US" w:eastAsia="en-GB" w:bidi="ar-SA"/>
        </w:rPr>
        <w:t>both the design</w:t>
      </w:r>
      <w:r w:rsidR="00841A66"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and occupation of buildings.</w:t>
      </w:r>
      <w:r w:rsidR="004913B5" w:rsidRPr="00DD1B58">
        <w:rPr>
          <w:rFonts w:asciiTheme="minorHAnsi" w:eastAsia="ArialMT" w:hAnsiTheme="minorHAnsi" w:cstheme="minorHAnsi"/>
          <w:szCs w:val="24"/>
          <w:lang w:val="en-US" w:eastAsia="en-GB" w:bidi="ar-SA"/>
        </w:rPr>
        <w:t xml:space="preserve"> </w:t>
      </w:r>
      <w:r w:rsidR="00A8346B" w:rsidRPr="00DD1B58">
        <w:rPr>
          <w:rFonts w:asciiTheme="minorHAnsi" w:eastAsia="ArialMT" w:hAnsiTheme="minorHAnsi" w:cstheme="minorHAnsi"/>
          <w:szCs w:val="24"/>
          <w:lang w:val="en-US" w:eastAsia="en-GB" w:bidi="ar-SA"/>
        </w:rPr>
        <w:t>While this legislation applie</w:t>
      </w:r>
      <w:r w:rsidR="00A0580F" w:rsidRPr="00DD1B58">
        <w:rPr>
          <w:rFonts w:asciiTheme="minorHAnsi" w:eastAsia="ArialMT" w:hAnsiTheme="minorHAnsi" w:cstheme="minorHAnsi"/>
          <w:szCs w:val="24"/>
          <w:lang w:val="en-US" w:eastAsia="en-GB" w:bidi="ar-SA"/>
        </w:rPr>
        <w:t>s</w:t>
      </w:r>
      <w:r w:rsidR="00A8346B" w:rsidRPr="00DD1B58">
        <w:rPr>
          <w:rFonts w:asciiTheme="minorHAnsi" w:eastAsia="ArialMT" w:hAnsiTheme="minorHAnsi" w:cstheme="minorHAnsi"/>
          <w:szCs w:val="24"/>
          <w:lang w:val="en-US" w:eastAsia="en-GB" w:bidi="ar-SA"/>
        </w:rPr>
        <w:t xml:space="preserve"> to ‘life fire safety’ rather than nuclear safety, </w:t>
      </w:r>
      <w:r w:rsidR="00B0441A" w:rsidRPr="00DD1B58">
        <w:rPr>
          <w:rFonts w:asciiTheme="minorHAnsi" w:eastAsia="ArialMT" w:hAnsiTheme="minorHAnsi" w:cstheme="minorHAnsi"/>
          <w:szCs w:val="24"/>
          <w:lang w:val="en-US" w:eastAsia="en-GB" w:bidi="ar-SA"/>
        </w:rPr>
        <w:t>ONR</w:t>
      </w:r>
      <w:r w:rsidR="00841A66"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is</w:t>
      </w:r>
      <w:r w:rsidR="00975349" w:rsidRPr="00DD1B58">
        <w:rPr>
          <w:rFonts w:asciiTheme="minorHAnsi" w:eastAsia="ArialMT" w:hAnsiTheme="minorHAnsi" w:cstheme="minorHAnsi"/>
          <w:szCs w:val="24"/>
          <w:lang w:val="en-US" w:eastAsia="en-GB" w:bidi="ar-SA"/>
        </w:rPr>
        <w:t xml:space="preserve"> </w:t>
      </w:r>
      <w:r w:rsidR="00B0441A" w:rsidRPr="00DD1B58">
        <w:rPr>
          <w:rFonts w:asciiTheme="minorHAnsi" w:eastAsia="ArialMT" w:hAnsiTheme="minorHAnsi" w:cstheme="minorHAnsi"/>
          <w:szCs w:val="24"/>
          <w:lang w:val="en-US" w:eastAsia="en-GB" w:bidi="ar-SA"/>
        </w:rPr>
        <w:t xml:space="preserve">the enforcing </w:t>
      </w:r>
      <w:r w:rsidR="00841A66" w:rsidRPr="00DD1B58">
        <w:rPr>
          <w:rFonts w:asciiTheme="minorHAnsi" w:eastAsia="ArialMT" w:hAnsiTheme="minorHAnsi" w:cstheme="minorHAnsi"/>
          <w:szCs w:val="24"/>
          <w:lang w:val="en-US" w:eastAsia="en-GB" w:bidi="ar-SA"/>
        </w:rPr>
        <w:t>authority</w:t>
      </w:r>
      <w:r w:rsidR="00975349" w:rsidRPr="00DD1B58">
        <w:rPr>
          <w:rFonts w:asciiTheme="minorHAnsi" w:eastAsia="ArialMT" w:hAnsiTheme="minorHAnsi" w:cstheme="minorHAnsi"/>
          <w:szCs w:val="24"/>
          <w:lang w:val="en-US" w:eastAsia="en-GB" w:bidi="ar-SA"/>
        </w:rPr>
        <w:t xml:space="preserve"> of the FSO and FSA at GB licensed sites,</w:t>
      </w:r>
      <w:r w:rsidR="00841A66" w:rsidRPr="00DD1B58">
        <w:rPr>
          <w:rFonts w:asciiTheme="minorHAnsi" w:eastAsia="ArialMT" w:hAnsiTheme="minorHAnsi" w:cstheme="minorHAnsi"/>
          <w:szCs w:val="24"/>
          <w:lang w:val="en-US" w:eastAsia="en-GB" w:bidi="ar-SA"/>
        </w:rPr>
        <w:t xml:space="preserve"> enabling </w:t>
      </w:r>
      <w:r w:rsidR="00975349" w:rsidRPr="00DD1B58">
        <w:rPr>
          <w:rFonts w:asciiTheme="minorHAnsi" w:eastAsia="ArialMT" w:hAnsiTheme="minorHAnsi" w:cstheme="minorHAnsi"/>
          <w:szCs w:val="24"/>
          <w:lang w:val="en-US" w:eastAsia="en-GB" w:bidi="ar-SA"/>
        </w:rPr>
        <w:t xml:space="preserve">holistic and consistent consideration </w:t>
      </w:r>
      <w:r w:rsidR="00841A66" w:rsidRPr="00DD1B58">
        <w:rPr>
          <w:rFonts w:asciiTheme="minorHAnsi" w:eastAsia="ArialMT" w:hAnsiTheme="minorHAnsi" w:cstheme="minorHAnsi"/>
          <w:szCs w:val="24"/>
          <w:lang w:val="en-US" w:eastAsia="en-GB" w:bidi="ar-SA"/>
        </w:rPr>
        <w:t xml:space="preserve">of </w:t>
      </w:r>
      <w:r w:rsidR="00975349" w:rsidRPr="00DD1B58">
        <w:rPr>
          <w:rFonts w:asciiTheme="minorHAnsi" w:eastAsia="ArialMT" w:hAnsiTheme="minorHAnsi" w:cstheme="minorHAnsi"/>
          <w:szCs w:val="24"/>
          <w:lang w:val="en-US" w:eastAsia="en-GB" w:bidi="ar-SA"/>
        </w:rPr>
        <w:t xml:space="preserve">fire </w:t>
      </w:r>
      <w:r w:rsidR="00A877D3" w:rsidRPr="00DD1B58">
        <w:rPr>
          <w:rFonts w:asciiTheme="minorHAnsi" w:eastAsia="ArialMT" w:hAnsiTheme="minorHAnsi" w:cstheme="minorHAnsi"/>
          <w:szCs w:val="24"/>
          <w:lang w:val="en-US" w:eastAsia="en-GB" w:bidi="ar-SA"/>
        </w:rPr>
        <w:t xml:space="preserve">from both </w:t>
      </w:r>
      <w:r w:rsidR="00975349" w:rsidRPr="00DD1B58">
        <w:rPr>
          <w:rFonts w:asciiTheme="minorHAnsi" w:eastAsia="ArialMT" w:hAnsiTheme="minorHAnsi" w:cstheme="minorHAnsi"/>
          <w:szCs w:val="24"/>
          <w:lang w:val="en-US" w:eastAsia="en-GB" w:bidi="ar-SA"/>
        </w:rPr>
        <w:t xml:space="preserve">nuclear </w:t>
      </w:r>
      <w:r w:rsidR="00A877D3" w:rsidRPr="00DD1B58">
        <w:rPr>
          <w:rFonts w:asciiTheme="minorHAnsi" w:eastAsia="ArialMT" w:hAnsiTheme="minorHAnsi" w:cstheme="minorHAnsi"/>
          <w:szCs w:val="24"/>
          <w:lang w:val="en-US" w:eastAsia="en-GB" w:bidi="ar-SA"/>
        </w:rPr>
        <w:t xml:space="preserve">safety </w:t>
      </w:r>
      <w:r w:rsidR="00975349" w:rsidRPr="00DD1B58">
        <w:rPr>
          <w:rFonts w:asciiTheme="minorHAnsi" w:eastAsia="ArialMT" w:hAnsiTheme="minorHAnsi" w:cstheme="minorHAnsi"/>
          <w:szCs w:val="24"/>
          <w:lang w:val="en-US" w:eastAsia="en-GB" w:bidi="ar-SA"/>
        </w:rPr>
        <w:t>and life</w:t>
      </w:r>
      <w:r w:rsidR="00841A66" w:rsidRPr="00DD1B58">
        <w:rPr>
          <w:rFonts w:asciiTheme="minorHAnsi" w:eastAsia="ArialMT" w:hAnsiTheme="minorHAnsi" w:cstheme="minorHAnsi"/>
          <w:szCs w:val="24"/>
          <w:lang w:val="en-US" w:eastAsia="en-GB" w:bidi="ar-SA"/>
        </w:rPr>
        <w:t xml:space="preserve"> safety </w:t>
      </w:r>
      <w:r w:rsidR="00A877D3" w:rsidRPr="00DD1B58">
        <w:rPr>
          <w:rFonts w:asciiTheme="minorHAnsi" w:eastAsia="ArialMT" w:hAnsiTheme="minorHAnsi" w:cstheme="minorHAnsi"/>
          <w:szCs w:val="24"/>
          <w:lang w:val="en-US" w:eastAsia="en-GB" w:bidi="ar-SA"/>
        </w:rPr>
        <w:t xml:space="preserve">perspectives </w:t>
      </w:r>
      <w:r w:rsidR="00841A66" w:rsidRPr="00DD1B58">
        <w:rPr>
          <w:rFonts w:asciiTheme="minorHAnsi" w:eastAsia="ArialMT" w:hAnsiTheme="minorHAnsi" w:cstheme="minorHAnsi"/>
          <w:szCs w:val="24"/>
          <w:lang w:val="en-US" w:eastAsia="en-GB" w:bidi="ar-SA"/>
        </w:rPr>
        <w:t xml:space="preserve">across </w:t>
      </w:r>
      <w:r w:rsidR="00975349" w:rsidRPr="00DD1B58">
        <w:rPr>
          <w:rFonts w:asciiTheme="minorHAnsi" w:eastAsia="ArialMT" w:hAnsiTheme="minorHAnsi" w:cstheme="minorHAnsi"/>
          <w:szCs w:val="24"/>
          <w:lang w:val="en-US" w:eastAsia="en-GB" w:bidi="ar-SA"/>
        </w:rPr>
        <w:t>GB nuclear installations.</w:t>
      </w:r>
    </w:p>
    <w:p w14:paraId="7D35C299" w14:textId="77777777" w:rsidR="00340F83" w:rsidRPr="00DD1B58" w:rsidRDefault="00340F83" w:rsidP="00B0441A">
      <w:pPr>
        <w:autoSpaceDE w:val="0"/>
        <w:autoSpaceDN w:val="0"/>
        <w:adjustRightInd w:val="0"/>
        <w:spacing w:after="0" w:line="240" w:lineRule="auto"/>
        <w:rPr>
          <w:rFonts w:asciiTheme="minorHAnsi" w:eastAsia="ArialMT" w:hAnsiTheme="minorHAnsi" w:cstheme="minorHAnsi"/>
          <w:szCs w:val="24"/>
          <w:lang w:val="en-US" w:eastAsia="en-GB" w:bidi="ar-SA"/>
        </w:rPr>
      </w:pPr>
    </w:p>
    <w:p w14:paraId="12775CFF" w14:textId="5A1608EA" w:rsidR="00340F83" w:rsidRPr="00DD1B58" w:rsidRDefault="004A1D6F" w:rsidP="00B0441A">
      <w:pPr>
        <w:autoSpaceDE w:val="0"/>
        <w:autoSpaceDN w:val="0"/>
        <w:adjustRightInd w:val="0"/>
        <w:spacing w:after="0" w:line="240" w:lineRule="auto"/>
        <w:rPr>
          <w:rFonts w:asciiTheme="minorHAnsi" w:eastAsia="ArialMT" w:hAnsiTheme="minorHAnsi" w:cstheme="minorHAnsi"/>
          <w:szCs w:val="24"/>
          <w:lang w:val="en-US" w:eastAsia="en-GB" w:bidi="ar-SA"/>
        </w:rPr>
      </w:pPr>
      <w:r w:rsidRPr="00DD1B58">
        <w:rPr>
          <w:rFonts w:asciiTheme="minorHAnsi" w:eastAsia="ArialMT" w:hAnsiTheme="minorHAnsi" w:cstheme="minorHAnsi"/>
          <w:szCs w:val="24"/>
          <w:lang w:val="en-US" w:eastAsia="en-GB" w:bidi="ar-SA"/>
        </w:rPr>
        <w:t xml:space="preserve">In addition to </w:t>
      </w:r>
      <w:r w:rsidR="00AB0A2B" w:rsidRPr="00DD1B58">
        <w:rPr>
          <w:rFonts w:asciiTheme="minorHAnsi" w:eastAsia="ArialMT" w:hAnsiTheme="minorHAnsi" w:cstheme="minorHAnsi"/>
          <w:szCs w:val="24"/>
          <w:lang w:val="en-US" w:eastAsia="en-GB" w:bidi="ar-SA"/>
        </w:rPr>
        <w:t xml:space="preserve">the </w:t>
      </w:r>
      <w:r w:rsidR="00A877D3" w:rsidRPr="00DD1B58">
        <w:rPr>
          <w:rFonts w:asciiTheme="minorHAnsi" w:eastAsia="ArialMT" w:hAnsiTheme="minorHAnsi" w:cstheme="minorHAnsi"/>
          <w:szCs w:val="24"/>
          <w:lang w:val="en-US" w:eastAsia="en-GB" w:bidi="ar-SA"/>
        </w:rPr>
        <w:t>FSO and FSA</w:t>
      </w:r>
      <w:r w:rsidR="00AB0A2B" w:rsidRPr="00DD1B58">
        <w:rPr>
          <w:rFonts w:asciiTheme="minorHAnsi" w:eastAsia="ArialMT" w:hAnsiTheme="minorHAnsi" w:cstheme="minorHAnsi"/>
          <w:szCs w:val="24"/>
          <w:lang w:val="en-US" w:eastAsia="en-GB" w:bidi="ar-SA"/>
        </w:rPr>
        <w:t>, several compl</w:t>
      </w:r>
      <w:r w:rsidR="00F13743" w:rsidRPr="00DD1B58">
        <w:rPr>
          <w:rFonts w:asciiTheme="minorHAnsi" w:eastAsia="ArialMT" w:hAnsiTheme="minorHAnsi" w:cstheme="minorHAnsi"/>
          <w:szCs w:val="24"/>
          <w:lang w:val="en-US" w:eastAsia="en-GB" w:bidi="ar-SA"/>
        </w:rPr>
        <w:t>e</w:t>
      </w:r>
      <w:r w:rsidR="00AB0A2B" w:rsidRPr="00DD1B58">
        <w:rPr>
          <w:rFonts w:asciiTheme="minorHAnsi" w:eastAsia="ArialMT" w:hAnsiTheme="minorHAnsi" w:cstheme="minorHAnsi"/>
          <w:szCs w:val="24"/>
          <w:lang w:val="en-US" w:eastAsia="en-GB" w:bidi="ar-SA"/>
        </w:rPr>
        <w:t xml:space="preserve">mentary sets of regulations overlap with </w:t>
      </w:r>
      <w:r w:rsidR="00F13743" w:rsidRPr="00DD1B58">
        <w:rPr>
          <w:rFonts w:asciiTheme="minorHAnsi" w:eastAsia="ArialMT" w:hAnsiTheme="minorHAnsi" w:cstheme="minorHAnsi"/>
          <w:szCs w:val="24"/>
          <w:lang w:val="en-US" w:eastAsia="en-GB" w:bidi="ar-SA"/>
        </w:rPr>
        <w:t xml:space="preserve">nuclear and life </w:t>
      </w:r>
      <w:r w:rsidR="00AB0A2B" w:rsidRPr="00DD1B58">
        <w:rPr>
          <w:rFonts w:asciiTheme="minorHAnsi" w:eastAsia="ArialMT" w:hAnsiTheme="minorHAnsi" w:cstheme="minorHAnsi"/>
          <w:szCs w:val="24"/>
          <w:lang w:val="en-US" w:eastAsia="en-GB" w:bidi="ar-SA"/>
        </w:rPr>
        <w:t>fire safety requirements. These include:</w:t>
      </w:r>
    </w:p>
    <w:p w14:paraId="08376E65" w14:textId="77777777" w:rsidR="00AB0A2B" w:rsidRPr="00DD1B58" w:rsidRDefault="00AB0A2B" w:rsidP="00B0441A">
      <w:pPr>
        <w:autoSpaceDE w:val="0"/>
        <w:autoSpaceDN w:val="0"/>
        <w:adjustRightInd w:val="0"/>
        <w:spacing w:after="0" w:line="240" w:lineRule="auto"/>
        <w:rPr>
          <w:rFonts w:asciiTheme="minorHAnsi" w:eastAsia="ArialMT" w:hAnsiTheme="minorHAnsi" w:cstheme="minorHAnsi"/>
          <w:szCs w:val="24"/>
          <w:lang w:val="en-US" w:eastAsia="en-GB" w:bidi="ar-SA"/>
        </w:rPr>
      </w:pPr>
    </w:p>
    <w:p w14:paraId="5192BE4E" w14:textId="0B10AF21" w:rsidR="00AB0A2B" w:rsidRPr="00DD1B58" w:rsidRDefault="00D329E9" w:rsidP="00E225B2">
      <w:pPr>
        <w:pStyle w:val="Bulletlist1"/>
        <w:rPr>
          <w:lang w:val="en-US" w:eastAsia="en-GB" w:bidi="ar-SA"/>
        </w:rPr>
      </w:pPr>
      <w:r w:rsidRPr="00DD1B58">
        <w:rPr>
          <w:lang w:val="en-US" w:eastAsia="en-GB" w:bidi="ar-SA"/>
        </w:rPr>
        <w:t xml:space="preserve">The </w:t>
      </w:r>
      <w:r w:rsidR="009C52CA" w:rsidRPr="00DD1B58">
        <w:rPr>
          <w:lang w:val="en-US" w:eastAsia="en-GB" w:bidi="ar-SA"/>
        </w:rPr>
        <w:t xml:space="preserve">Dangerous Substances &amp; Explosive Atmospheres Regulations (DSEAR) </w:t>
      </w:r>
      <w:sdt>
        <w:sdtPr>
          <w:rPr>
            <w:lang w:val="en-US" w:eastAsia="en-GB" w:bidi="ar-SA"/>
          </w:rPr>
          <w:id w:val="1077027196"/>
          <w:citation/>
        </w:sdtPr>
        <w:sdtContent>
          <w:r w:rsidR="004F0581" w:rsidRPr="00DD1B58">
            <w:rPr>
              <w:lang w:val="en-US" w:eastAsia="en-GB" w:bidi="ar-SA"/>
            </w:rPr>
            <w:fldChar w:fldCharType="begin"/>
          </w:r>
          <w:r w:rsidR="004F0581" w:rsidRPr="00DD1B58">
            <w:rPr>
              <w:lang w:val="en-US" w:eastAsia="en-GB" w:bidi="ar-SA"/>
            </w:rPr>
            <w:instrText xml:space="preserve"> CITATION HMG2 \l 2057 </w:instrText>
          </w:r>
          <w:r w:rsidR="004F0581" w:rsidRPr="00DD1B58">
            <w:rPr>
              <w:lang w:val="en-US" w:eastAsia="en-GB" w:bidi="ar-SA"/>
            </w:rPr>
            <w:fldChar w:fldCharType="separate"/>
          </w:r>
          <w:r w:rsidR="00DF47DA" w:rsidRPr="00DF47DA">
            <w:rPr>
              <w:lang w:val="en-US" w:eastAsia="en-GB" w:bidi="ar-SA"/>
            </w:rPr>
            <w:t>[22]</w:t>
          </w:r>
          <w:r w:rsidR="004F0581" w:rsidRPr="00DD1B58">
            <w:rPr>
              <w:lang w:val="en-US" w:eastAsia="en-GB" w:bidi="ar-SA"/>
            </w:rPr>
            <w:fldChar w:fldCharType="end"/>
          </w:r>
        </w:sdtContent>
      </w:sdt>
      <w:r w:rsidRPr="00DD1B58">
        <w:rPr>
          <w:lang w:val="en-US" w:eastAsia="en-GB" w:bidi="ar-SA"/>
        </w:rPr>
        <w:t>,</w:t>
      </w:r>
      <w:r w:rsidR="009C52CA" w:rsidRPr="00DD1B58">
        <w:rPr>
          <w:lang w:val="en-US" w:eastAsia="en-GB" w:bidi="ar-SA"/>
        </w:rPr>
        <w:t xml:space="preserve"> </w:t>
      </w:r>
      <w:r w:rsidRPr="00DD1B58">
        <w:rPr>
          <w:lang w:val="en-US" w:eastAsia="en-GB" w:bidi="ar-SA"/>
        </w:rPr>
        <w:t xml:space="preserve">which is </w:t>
      </w:r>
      <w:r w:rsidR="009C52CA" w:rsidRPr="00DD1B58">
        <w:rPr>
          <w:lang w:val="en-US" w:eastAsia="en-GB" w:bidi="ar-SA"/>
        </w:rPr>
        <w:t>the G</w:t>
      </w:r>
      <w:r w:rsidR="001254C5" w:rsidRPr="00DD1B58">
        <w:rPr>
          <w:lang w:val="en-US" w:eastAsia="en-GB" w:bidi="ar-SA"/>
        </w:rPr>
        <w:t>B</w:t>
      </w:r>
      <w:r w:rsidR="009C52CA" w:rsidRPr="00DD1B58">
        <w:rPr>
          <w:lang w:val="en-US" w:eastAsia="en-GB" w:bidi="ar-SA"/>
        </w:rPr>
        <w:t xml:space="preserve"> implementation of the ATEX 99/92/EC directive. Clauses within</w:t>
      </w:r>
      <w:r w:rsidR="00E225B2" w:rsidRPr="00DD1B58">
        <w:rPr>
          <w:lang w:val="en-US" w:eastAsia="en-GB" w:bidi="ar-SA"/>
        </w:rPr>
        <w:t xml:space="preserve"> </w:t>
      </w:r>
      <w:r w:rsidR="009C52CA" w:rsidRPr="00DD1B58">
        <w:rPr>
          <w:lang w:val="en-US" w:eastAsia="en-GB" w:bidi="ar-SA"/>
        </w:rPr>
        <w:t>DSEAR related to the production of risk assessments and provision of contro</w:t>
      </w:r>
      <w:r w:rsidR="00E225B2" w:rsidRPr="00DD1B58">
        <w:rPr>
          <w:lang w:val="en-US" w:eastAsia="en-GB" w:bidi="ar-SA"/>
        </w:rPr>
        <w:t xml:space="preserve">l </w:t>
      </w:r>
      <w:r w:rsidR="009C52CA" w:rsidRPr="00DD1B58">
        <w:rPr>
          <w:lang w:val="en-US" w:eastAsia="en-GB" w:bidi="ar-SA"/>
        </w:rPr>
        <w:t>and mitigation measures to prevent harm to personnel from fire also form part</w:t>
      </w:r>
      <w:r w:rsidR="00E225B2" w:rsidRPr="00DD1B58">
        <w:rPr>
          <w:lang w:val="en-US" w:eastAsia="en-GB" w:bidi="ar-SA"/>
        </w:rPr>
        <w:t xml:space="preserve"> </w:t>
      </w:r>
      <w:r w:rsidR="009C52CA" w:rsidRPr="00DD1B58">
        <w:rPr>
          <w:lang w:val="en-US" w:eastAsia="en-GB" w:bidi="ar-SA"/>
        </w:rPr>
        <w:t>of the FSO</w:t>
      </w:r>
      <w:r w:rsidR="00D1658C" w:rsidRPr="00DD1B58">
        <w:rPr>
          <w:lang w:val="en-US" w:eastAsia="en-GB" w:bidi="ar-SA"/>
        </w:rPr>
        <w:t>.</w:t>
      </w:r>
    </w:p>
    <w:p w14:paraId="059B9739" w14:textId="3EE6731C" w:rsidR="00E225B2" w:rsidRPr="00DD1B58" w:rsidRDefault="00D329E9" w:rsidP="000218ED">
      <w:pPr>
        <w:pStyle w:val="Bulletlist1"/>
        <w:rPr>
          <w:lang w:val="en-US" w:eastAsia="en-GB" w:bidi="ar-SA"/>
        </w:rPr>
      </w:pPr>
      <w:r w:rsidRPr="00DD1B58">
        <w:rPr>
          <w:lang w:val="en-US" w:eastAsia="en-GB" w:bidi="ar-SA"/>
        </w:rPr>
        <w:t xml:space="preserve">The </w:t>
      </w:r>
      <w:r w:rsidR="00910184" w:rsidRPr="00DD1B58">
        <w:rPr>
          <w:lang w:val="en-US" w:eastAsia="en-GB" w:bidi="ar-SA"/>
        </w:rPr>
        <w:t xml:space="preserve">Control of Major Accident Hazards (COMAH) Regulations 2015 </w:t>
      </w:r>
      <w:sdt>
        <w:sdtPr>
          <w:rPr>
            <w:lang w:val="en-US" w:eastAsia="en-GB" w:bidi="ar-SA"/>
          </w:rPr>
          <w:id w:val="338584112"/>
          <w:citation/>
        </w:sdtPr>
        <w:sdtContent>
          <w:r w:rsidR="000218ED" w:rsidRPr="00DD1B58">
            <w:rPr>
              <w:lang w:val="en-US" w:eastAsia="en-GB" w:bidi="ar-SA"/>
            </w:rPr>
            <w:fldChar w:fldCharType="begin"/>
          </w:r>
          <w:r w:rsidR="005B050F" w:rsidRPr="00DD1B58">
            <w:rPr>
              <w:lang w:val="en-US" w:eastAsia="en-GB" w:bidi="ar-SA"/>
            </w:rPr>
            <w:instrText xml:space="preserve">CITATION COMAH \l 2057 </w:instrText>
          </w:r>
          <w:r w:rsidR="000218ED" w:rsidRPr="00DD1B58">
            <w:rPr>
              <w:lang w:val="en-US" w:eastAsia="en-GB" w:bidi="ar-SA"/>
            </w:rPr>
            <w:fldChar w:fldCharType="separate"/>
          </w:r>
          <w:r w:rsidR="00DF47DA" w:rsidRPr="00DF47DA">
            <w:rPr>
              <w:lang w:val="en-US" w:eastAsia="en-GB" w:bidi="ar-SA"/>
            </w:rPr>
            <w:t>[23]</w:t>
          </w:r>
          <w:r w:rsidR="000218ED" w:rsidRPr="00DD1B58">
            <w:rPr>
              <w:lang w:val="en-US" w:eastAsia="en-GB" w:bidi="ar-SA"/>
            </w:rPr>
            <w:fldChar w:fldCharType="end"/>
          </w:r>
        </w:sdtContent>
      </w:sdt>
      <w:r w:rsidR="00D1658C" w:rsidRPr="00DD1B58">
        <w:rPr>
          <w:lang w:val="en-US" w:eastAsia="en-GB" w:bidi="ar-SA"/>
        </w:rPr>
        <w:t>, which</w:t>
      </w:r>
      <w:r w:rsidR="000218ED" w:rsidRPr="00DD1B58">
        <w:rPr>
          <w:lang w:val="en-US" w:eastAsia="en-GB" w:bidi="ar-SA"/>
        </w:rPr>
        <w:t xml:space="preserve"> </w:t>
      </w:r>
      <w:r w:rsidR="00910184" w:rsidRPr="00DD1B58">
        <w:rPr>
          <w:lang w:val="en-US" w:eastAsia="en-GB" w:bidi="ar-SA"/>
        </w:rPr>
        <w:t>places additional requirements on sites which store or use large quantities of</w:t>
      </w:r>
      <w:r w:rsidR="000218ED" w:rsidRPr="00DD1B58">
        <w:rPr>
          <w:lang w:val="en-US" w:eastAsia="en-GB" w:bidi="ar-SA"/>
        </w:rPr>
        <w:t xml:space="preserve"> </w:t>
      </w:r>
      <w:r w:rsidR="00910184" w:rsidRPr="00DD1B58">
        <w:rPr>
          <w:lang w:val="en-US" w:eastAsia="en-GB" w:bidi="ar-SA"/>
        </w:rPr>
        <w:t>defined dangerous substances (including flammables). The extent of the requirements</w:t>
      </w:r>
      <w:r w:rsidR="000218ED" w:rsidRPr="00DD1B58">
        <w:rPr>
          <w:lang w:val="en-US" w:eastAsia="en-GB" w:bidi="ar-SA"/>
        </w:rPr>
        <w:t xml:space="preserve"> </w:t>
      </w:r>
      <w:r w:rsidR="00910184" w:rsidRPr="00DD1B58">
        <w:rPr>
          <w:lang w:val="en-US" w:eastAsia="en-GB" w:bidi="ar-SA"/>
        </w:rPr>
        <w:t>depends on specific substances and the quantities held</w:t>
      </w:r>
      <w:r w:rsidR="00D1658C" w:rsidRPr="00DD1B58">
        <w:rPr>
          <w:lang w:val="en-US" w:eastAsia="en-GB" w:bidi="ar-SA"/>
        </w:rPr>
        <w:t>.</w:t>
      </w:r>
    </w:p>
    <w:p w14:paraId="3D0513DD" w14:textId="28CD510F" w:rsidR="00D83C09" w:rsidRPr="00DD1B58" w:rsidRDefault="007F2B90" w:rsidP="005A734A">
      <w:pPr>
        <w:pStyle w:val="Bulletlist1"/>
        <w:rPr>
          <w:lang w:val="en-US" w:eastAsia="en-GB" w:bidi="ar-SA"/>
        </w:rPr>
      </w:pPr>
      <w:r w:rsidRPr="00DD1B58">
        <w:rPr>
          <w:lang w:val="en-US" w:eastAsia="en-GB" w:bidi="ar-SA"/>
        </w:rPr>
        <w:t xml:space="preserve">The Construction (Design and Management) (CDM) Regulations 2015 </w:t>
      </w:r>
      <w:sdt>
        <w:sdtPr>
          <w:rPr>
            <w:lang w:val="en-US" w:eastAsia="en-GB" w:bidi="ar-SA"/>
          </w:rPr>
          <w:id w:val="1915580660"/>
          <w:citation/>
        </w:sdtPr>
        <w:sdtContent>
          <w:r w:rsidR="00745FE2" w:rsidRPr="00DD1B58">
            <w:rPr>
              <w:lang w:val="en-US" w:eastAsia="en-GB" w:bidi="ar-SA"/>
            </w:rPr>
            <w:fldChar w:fldCharType="begin"/>
          </w:r>
          <w:r w:rsidR="00745FE2" w:rsidRPr="00DD1B58">
            <w:rPr>
              <w:lang w:val="en-US" w:eastAsia="en-GB" w:bidi="ar-SA"/>
            </w:rPr>
            <w:instrText xml:space="preserve"> CITATION HMG4 \l 2057 </w:instrText>
          </w:r>
          <w:r w:rsidR="00745FE2" w:rsidRPr="00DD1B58">
            <w:rPr>
              <w:lang w:val="en-US" w:eastAsia="en-GB" w:bidi="ar-SA"/>
            </w:rPr>
            <w:fldChar w:fldCharType="separate"/>
          </w:r>
          <w:r w:rsidR="00DF47DA" w:rsidRPr="00DF47DA">
            <w:rPr>
              <w:lang w:val="en-US" w:eastAsia="en-GB" w:bidi="ar-SA"/>
            </w:rPr>
            <w:t>[24]</w:t>
          </w:r>
          <w:r w:rsidR="00745FE2" w:rsidRPr="00DD1B58">
            <w:rPr>
              <w:lang w:val="en-US" w:eastAsia="en-GB" w:bidi="ar-SA"/>
            </w:rPr>
            <w:fldChar w:fldCharType="end"/>
          </w:r>
        </w:sdtContent>
      </w:sdt>
      <w:r w:rsidR="00D329E9" w:rsidRPr="00DD1B58">
        <w:rPr>
          <w:lang w:val="en-US" w:eastAsia="en-GB" w:bidi="ar-SA"/>
        </w:rPr>
        <w:t>, which</w:t>
      </w:r>
      <w:r w:rsidRPr="00DD1B58">
        <w:rPr>
          <w:lang w:val="en-US" w:eastAsia="en-GB" w:bidi="ar-SA"/>
        </w:rPr>
        <w:t xml:space="preserve"> places legal duties on dutyholders involved in construction activities. This can include principal contractors, principal designers, and other workers. A more dynamic Fire Risk Assessment (FRA) requiring more regular scrutiny would be expected throughout construction works to ensure compliance with the FSO/FSA and the fire specific clauses of CDM.</w:t>
      </w:r>
    </w:p>
    <w:p w14:paraId="06D7DAEF" w14:textId="4EA90E88" w:rsidR="005A734A" w:rsidRPr="00DD1B58" w:rsidRDefault="002A068B" w:rsidP="005A734A">
      <w:pPr>
        <w:pStyle w:val="Heading4"/>
        <w:numPr>
          <w:ilvl w:val="5"/>
          <w:numId w:val="3"/>
        </w:numPr>
        <w:rPr>
          <w:lang w:val="en-US"/>
        </w:rPr>
      </w:pPr>
      <w:r w:rsidRPr="00DD1B58">
        <w:rPr>
          <w:lang w:val="en-US"/>
        </w:rPr>
        <w:t>Implementation/</w:t>
      </w:r>
      <w:r w:rsidR="00CE56AC" w:rsidRPr="00DD1B58">
        <w:rPr>
          <w:lang w:val="en-US"/>
        </w:rPr>
        <w:t xml:space="preserve"> a</w:t>
      </w:r>
      <w:r w:rsidRPr="00DD1B58">
        <w:rPr>
          <w:lang w:val="en-US"/>
        </w:rPr>
        <w:t>pplication of international standards and guidanc</w:t>
      </w:r>
      <w:r w:rsidR="00F3581A" w:rsidRPr="00DD1B58">
        <w:rPr>
          <w:lang w:val="en-US"/>
        </w:rPr>
        <w:t>e</w:t>
      </w:r>
    </w:p>
    <w:p w14:paraId="21F6A78B" w14:textId="43BE9A3B" w:rsidR="00C014DD" w:rsidRPr="00DD1B58" w:rsidRDefault="008F1870" w:rsidP="00F3581A">
      <w:pPr>
        <w:rPr>
          <w:lang w:val="en-US"/>
        </w:rPr>
      </w:pPr>
      <w:r w:rsidRPr="00DD1B58">
        <w:rPr>
          <w:lang w:val="en-US"/>
        </w:rPr>
        <w:t xml:space="preserve">As highlighted in </w:t>
      </w:r>
      <w:r w:rsidR="008F0AF1" w:rsidRPr="00DD1B58">
        <w:rPr>
          <w:lang w:val="en-US"/>
        </w:rPr>
        <w:t>S</w:t>
      </w:r>
      <w:r w:rsidRPr="00DD1B58">
        <w:rPr>
          <w:lang w:val="en-US"/>
        </w:rPr>
        <w:t>ection 1.2.1, i</w:t>
      </w:r>
      <w:r w:rsidR="00F3581A" w:rsidRPr="00DD1B58">
        <w:rPr>
          <w:lang w:val="en-US"/>
        </w:rPr>
        <w:t xml:space="preserve">nternational standards are implemented </w:t>
      </w:r>
      <w:r w:rsidR="00544733" w:rsidRPr="00DD1B58">
        <w:rPr>
          <w:lang w:val="en-US"/>
        </w:rPr>
        <w:t>within the G</w:t>
      </w:r>
      <w:r w:rsidRPr="00DD1B58">
        <w:rPr>
          <w:lang w:val="en-US"/>
        </w:rPr>
        <w:t>B</w:t>
      </w:r>
      <w:r w:rsidR="00544733" w:rsidRPr="00DD1B58">
        <w:rPr>
          <w:lang w:val="en-US"/>
        </w:rPr>
        <w:t xml:space="preserve"> regulatory framework</w:t>
      </w:r>
      <w:r w:rsidR="00332733" w:rsidRPr="00DD1B58">
        <w:rPr>
          <w:lang w:val="en-US"/>
        </w:rPr>
        <w:t xml:space="preserve"> </w:t>
      </w:r>
      <w:r w:rsidR="000224DE" w:rsidRPr="00DD1B58">
        <w:rPr>
          <w:lang w:val="en-US"/>
        </w:rPr>
        <w:t>including</w:t>
      </w:r>
      <w:r w:rsidR="00544733" w:rsidRPr="00DD1B58">
        <w:rPr>
          <w:lang w:val="en-US"/>
        </w:rPr>
        <w:t xml:space="preserve"> through </w:t>
      </w:r>
      <w:r w:rsidR="009F21D5" w:rsidRPr="00DD1B58">
        <w:rPr>
          <w:lang w:val="en-US"/>
        </w:rPr>
        <w:t xml:space="preserve">incorporation into and </w:t>
      </w:r>
      <w:r w:rsidR="00544733" w:rsidRPr="00DD1B58">
        <w:rPr>
          <w:lang w:val="en-US"/>
        </w:rPr>
        <w:t xml:space="preserve">alignment </w:t>
      </w:r>
      <w:r w:rsidR="009F21D5" w:rsidRPr="00DD1B58">
        <w:rPr>
          <w:lang w:val="en-US"/>
        </w:rPr>
        <w:t xml:space="preserve">of </w:t>
      </w:r>
      <w:r w:rsidR="00544733" w:rsidRPr="00DD1B58">
        <w:rPr>
          <w:lang w:val="en-US"/>
        </w:rPr>
        <w:t>ONR SAPs</w:t>
      </w:r>
      <w:r w:rsidR="00446745" w:rsidRPr="00DD1B58">
        <w:rPr>
          <w:lang w:val="en-US"/>
        </w:rPr>
        <w:t xml:space="preserve">, TIGs and </w:t>
      </w:r>
      <w:r w:rsidR="00544733" w:rsidRPr="00DD1B58">
        <w:rPr>
          <w:lang w:val="en-US"/>
        </w:rPr>
        <w:t>TAGs</w:t>
      </w:r>
      <w:r w:rsidR="00D40160" w:rsidRPr="00DD1B58">
        <w:rPr>
          <w:lang w:val="en-US"/>
        </w:rPr>
        <w:t xml:space="preserve">. </w:t>
      </w:r>
    </w:p>
    <w:p w14:paraId="0E863320" w14:textId="52B748D0" w:rsidR="0029250D" w:rsidRPr="00DD1B58" w:rsidRDefault="00C014DD" w:rsidP="00F3581A">
      <w:pPr>
        <w:rPr>
          <w:lang w:val="en-US"/>
        </w:rPr>
      </w:pPr>
      <w:r w:rsidRPr="00DD1B58">
        <w:rPr>
          <w:lang w:val="en-US"/>
        </w:rPr>
        <w:t>As a regulatory body, ONR is involved in the management of a range of relevant international standards and guidance, including IAEA standards and guides</w:t>
      </w:r>
      <w:r w:rsidR="004679BE" w:rsidRPr="00DD1B58">
        <w:rPr>
          <w:lang w:val="en-US"/>
        </w:rPr>
        <w:t xml:space="preserve"> on fire safety and internal hazards</w:t>
      </w:r>
      <w:r w:rsidR="00406761" w:rsidRPr="00DD1B58">
        <w:rPr>
          <w:lang w:val="en-US"/>
        </w:rPr>
        <w:t>,</w:t>
      </w:r>
      <w:r w:rsidRPr="00DD1B58">
        <w:rPr>
          <w:lang w:val="en-US"/>
        </w:rPr>
        <w:t xml:space="preserve"> and </w:t>
      </w:r>
      <w:r w:rsidR="00406761" w:rsidRPr="00DD1B58">
        <w:rPr>
          <w:lang w:val="en-US"/>
        </w:rPr>
        <w:t>the WENRA SRLs</w:t>
      </w:r>
      <w:r w:rsidRPr="00DD1B58">
        <w:rPr>
          <w:lang w:val="en-US"/>
        </w:rPr>
        <w:t xml:space="preserve">. </w:t>
      </w:r>
      <w:r w:rsidR="00406761" w:rsidRPr="00DD1B58">
        <w:rPr>
          <w:lang w:val="en-US"/>
        </w:rPr>
        <w:t>ONR</w:t>
      </w:r>
      <w:r w:rsidRPr="00DD1B58">
        <w:rPr>
          <w:lang w:val="en-US"/>
        </w:rPr>
        <w:t xml:space="preserve"> ensure</w:t>
      </w:r>
      <w:r w:rsidR="00406761" w:rsidRPr="00DD1B58">
        <w:rPr>
          <w:lang w:val="en-US"/>
        </w:rPr>
        <w:t>s</w:t>
      </w:r>
      <w:r w:rsidRPr="00DD1B58">
        <w:rPr>
          <w:lang w:val="en-US"/>
        </w:rPr>
        <w:t xml:space="preserve"> all relevant expectations are reflected in the appropriate ONR internal guidance once those international documents are formally published.</w:t>
      </w:r>
      <w:r w:rsidR="00F027E3" w:rsidRPr="00DD1B58">
        <w:rPr>
          <w:lang w:val="en-US"/>
        </w:rPr>
        <w:t xml:space="preserve"> TIGs and TAGs are updated as necessary to ensure changes to national and international standards are recognised and implemented as </w:t>
      </w:r>
      <w:r w:rsidR="005A1C35" w:rsidRPr="00DD1B58">
        <w:rPr>
          <w:lang w:val="en-US"/>
        </w:rPr>
        <w:t>appropriate and</w:t>
      </w:r>
      <w:r w:rsidR="00F027E3" w:rsidRPr="00DD1B58">
        <w:rPr>
          <w:lang w:val="en-US"/>
        </w:rPr>
        <w:t xml:space="preserve"> </w:t>
      </w:r>
      <w:r w:rsidR="00297F8F" w:rsidRPr="00DD1B58">
        <w:rPr>
          <w:lang w:val="en-US"/>
        </w:rPr>
        <w:t xml:space="preserve">are reviewed </w:t>
      </w:r>
      <w:r w:rsidR="00F027E3" w:rsidRPr="00DD1B58">
        <w:rPr>
          <w:lang w:val="en-US"/>
        </w:rPr>
        <w:t>at least every five years.</w:t>
      </w:r>
      <w:r w:rsidR="00956297" w:rsidRPr="00DD1B58">
        <w:rPr>
          <w:lang w:val="en-US"/>
        </w:rPr>
        <w:t xml:space="preserve"> </w:t>
      </w:r>
    </w:p>
    <w:p w14:paraId="4D640BDF" w14:textId="0B8CDEA8" w:rsidR="00F3581A" w:rsidRPr="00DD1B58" w:rsidRDefault="004447BA" w:rsidP="00F3581A">
      <w:pPr>
        <w:rPr>
          <w:lang w:val="en-US"/>
        </w:rPr>
        <w:sectPr w:rsidR="00F3581A" w:rsidRPr="00DD1B58" w:rsidSect="00B82646">
          <w:pgSz w:w="11906" w:h="16838" w:code="9"/>
          <w:pgMar w:top="1440" w:right="1080" w:bottom="1440" w:left="1080" w:header="397" w:footer="397" w:gutter="0"/>
          <w:cols w:space="312"/>
          <w:docGrid w:linePitch="360"/>
        </w:sectPr>
      </w:pPr>
      <w:r w:rsidRPr="00DD1B58">
        <w:rPr>
          <w:lang w:val="en-US"/>
        </w:rPr>
        <w:lastRenderedPageBreak/>
        <w:t>Responsibility for the maintenance of TAGs is shared between ONR's Professional Leads for individual technical areas and the Regulatory and Technical Standards sub</w:t>
      </w:r>
      <w:r w:rsidR="00297F8F" w:rsidRPr="00DD1B58">
        <w:rPr>
          <w:lang w:val="en-US"/>
        </w:rPr>
        <w:t>-</w:t>
      </w:r>
      <w:r w:rsidRPr="00DD1B58">
        <w:rPr>
          <w:lang w:val="en-US"/>
        </w:rPr>
        <w:t xml:space="preserve">programme within ONR's Technical Division. </w:t>
      </w:r>
      <w:r w:rsidR="005909C1" w:rsidRPr="00DD1B58">
        <w:rPr>
          <w:lang w:val="en-US"/>
        </w:rPr>
        <w:t xml:space="preserve"> This includes the Fire Safety and Internal Hazards expectations in the SAPs, TIGs and TAGs through the Nuclear Internal Hazards and Site Safety Specialism and ONR Professional Lead.</w:t>
      </w:r>
    </w:p>
    <w:p w14:paraId="12283B2A" w14:textId="606A0BCA" w:rsidR="00A7376A" w:rsidRPr="00DD1B58" w:rsidRDefault="00A7376A" w:rsidP="000F441A">
      <w:pPr>
        <w:pStyle w:val="Heading1"/>
        <w:rPr>
          <w:lang w:val="en-US"/>
        </w:rPr>
      </w:pPr>
      <w:bookmarkStart w:id="14" w:name="_Toc147090623"/>
      <w:bookmarkStart w:id="15" w:name="OLE_LINK1"/>
      <w:r w:rsidRPr="00DD1B58">
        <w:rPr>
          <w:lang w:val="en-US"/>
        </w:rPr>
        <w:lastRenderedPageBreak/>
        <w:t xml:space="preserve">Fire </w:t>
      </w:r>
      <w:r w:rsidR="00A94122" w:rsidRPr="00DD1B58">
        <w:rPr>
          <w:lang w:val="en-US"/>
        </w:rPr>
        <w:t>s</w:t>
      </w:r>
      <w:r w:rsidR="004A72F0" w:rsidRPr="00DD1B58">
        <w:rPr>
          <w:lang w:val="en-US"/>
        </w:rPr>
        <w:t xml:space="preserve">afety </w:t>
      </w:r>
      <w:r w:rsidR="00A94122" w:rsidRPr="00DD1B58">
        <w:rPr>
          <w:lang w:val="en-US"/>
        </w:rPr>
        <w:t>a</w:t>
      </w:r>
      <w:r w:rsidR="004A72F0" w:rsidRPr="00DD1B58">
        <w:rPr>
          <w:lang w:val="en-US"/>
        </w:rPr>
        <w:t>nalysis</w:t>
      </w:r>
      <w:bookmarkEnd w:id="14"/>
    </w:p>
    <w:p w14:paraId="2C7262DF" w14:textId="7175F162" w:rsidR="00DB3279" w:rsidRPr="00DD1B58" w:rsidRDefault="00DB3279" w:rsidP="001B13EA">
      <w:pPr>
        <w:pStyle w:val="Heading2"/>
        <w:rPr>
          <w:lang w:val="en-US"/>
        </w:rPr>
      </w:pPr>
      <w:bookmarkStart w:id="16" w:name="_Toc147090624"/>
      <w:bookmarkEnd w:id="15"/>
      <w:r w:rsidRPr="00DD1B58">
        <w:rPr>
          <w:lang w:val="en-US"/>
        </w:rPr>
        <w:t>Nuclear power plants</w:t>
      </w:r>
      <w:bookmarkEnd w:id="16"/>
    </w:p>
    <w:p w14:paraId="3B47C9B9" w14:textId="395EB1A8" w:rsidR="00DB3279" w:rsidRPr="00DD1B58" w:rsidRDefault="49571A5D" w:rsidP="00A4627E">
      <w:pPr>
        <w:rPr>
          <w:lang w:val="en-US"/>
        </w:rPr>
      </w:pPr>
      <w:r w:rsidRPr="00DD1B58">
        <w:rPr>
          <w:lang w:val="en-US"/>
        </w:rPr>
        <w:t xml:space="preserve">The text in the </w:t>
      </w:r>
      <w:r w:rsidR="000B64FE" w:rsidRPr="00DD1B58">
        <w:rPr>
          <w:lang w:val="en-US"/>
        </w:rPr>
        <w:t>s</w:t>
      </w:r>
      <w:r w:rsidRPr="00DD1B58">
        <w:rPr>
          <w:lang w:val="en-US"/>
        </w:rPr>
        <w:t xml:space="preserve">ections below has been prepared by EDF </w:t>
      </w:r>
      <w:r w:rsidR="1BC33772" w:rsidRPr="00DD1B58">
        <w:rPr>
          <w:lang w:val="en-US"/>
        </w:rPr>
        <w:t xml:space="preserve">Energy Nuclear Generation </w:t>
      </w:r>
      <w:r w:rsidR="003D7E70" w:rsidRPr="00DD1B58">
        <w:rPr>
          <w:lang w:val="en-US"/>
        </w:rPr>
        <w:t>Ltd</w:t>
      </w:r>
      <w:r w:rsidR="1BC33772" w:rsidRPr="00DD1B58">
        <w:rPr>
          <w:lang w:val="en-US"/>
        </w:rPr>
        <w:t xml:space="preserve"> and NNB </w:t>
      </w:r>
      <w:r w:rsidR="484FC2E1" w:rsidRPr="00DD1B58">
        <w:rPr>
          <w:lang w:val="en-US"/>
        </w:rPr>
        <w:t>Generation</w:t>
      </w:r>
      <w:r w:rsidR="1BC33772" w:rsidRPr="00DD1B58">
        <w:rPr>
          <w:lang w:val="en-US"/>
        </w:rPr>
        <w:t xml:space="preserve"> Company (HPC) </w:t>
      </w:r>
      <w:r w:rsidR="003D7E70" w:rsidRPr="00DD1B58">
        <w:rPr>
          <w:lang w:val="en-US"/>
        </w:rPr>
        <w:t>Ltd</w:t>
      </w:r>
      <w:r w:rsidR="008315C8" w:rsidRPr="00DD1B58">
        <w:rPr>
          <w:lang w:val="en-US"/>
        </w:rPr>
        <w:t xml:space="preserve"> with minimal editing by ONR</w:t>
      </w:r>
      <w:r w:rsidR="1BC33772" w:rsidRPr="00DD1B58">
        <w:rPr>
          <w:lang w:val="en-US"/>
        </w:rPr>
        <w:t>. Background information on the sites and the range of installations considered in the scope of</w:t>
      </w:r>
      <w:r w:rsidR="48C9CDEC" w:rsidRPr="00DD1B58">
        <w:rPr>
          <w:lang w:val="en-US"/>
        </w:rPr>
        <w:t xml:space="preserve"> the assessment is provided in Section 1.1.3.</w:t>
      </w:r>
    </w:p>
    <w:p w14:paraId="4C128756" w14:textId="1EA9520B" w:rsidR="000F441A" w:rsidRPr="00DD1B58" w:rsidRDefault="000F441A" w:rsidP="000F441A">
      <w:pPr>
        <w:pStyle w:val="Heading3"/>
        <w:rPr>
          <w:lang w:val="en-US"/>
        </w:rPr>
      </w:pPr>
      <w:bookmarkStart w:id="17" w:name="_Toc147090625"/>
      <w:r w:rsidRPr="00DD1B58">
        <w:rPr>
          <w:lang w:val="en-US"/>
        </w:rPr>
        <w:t xml:space="preserve">Operating </w:t>
      </w:r>
      <w:r w:rsidR="00D3691C" w:rsidRPr="00DD1B58">
        <w:rPr>
          <w:lang w:val="en-US"/>
        </w:rPr>
        <w:t xml:space="preserve">reactors </w:t>
      </w:r>
      <w:r w:rsidR="00F1180A" w:rsidRPr="00DD1B58">
        <w:rPr>
          <w:lang w:val="en-US"/>
        </w:rPr>
        <w:t>– EDF NG</w:t>
      </w:r>
      <w:r w:rsidR="00E0454A" w:rsidRPr="00DD1B58">
        <w:rPr>
          <w:lang w:val="en-US"/>
        </w:rPr>
        <w:t>L</w:t>
      </w:r>
      <w:bookmarkEnd w:id="17"/>
    </w:p>
    <w:p w14:paraId="684C8CAD" w14:textId="77777777" w:rsidR="00DB3279" w:rsidRPr="00DD1B58" w:rsidRDefault="00DB3279" w:rsidP="000F441A">
      <w:pPr>
        <w:pStyle w:val="Heading4"/>
        <w:rPr>
          <w:lang w:val="en-US"/>
        </w:rPr>
      </w:pPr>
      <w:r w:rsidRPr="00DD1B58">
        <w:rPr>
          <w:lang w:val="en-US"/>
        </w:rPr>
        <w:t xml:space="preserve">Types and scope of the fire safety analyses </w:t>
      </w:r>
    </w:p>
    <w:p w14:paraId="21DC13C3" w14:textId="249F9EE6" w:rsidR="23F3F95B" w:rsidRPr="00DD1B58" w:rsidRDefault="572BE814" w:rsidP="00E95D21">
      <w:pPr>
        <w:pStyle w:val="Heading4"/>
        <w:numPr>
          <w:ilvl w:val="4"/>
          <w:numId w:val="3"/>
        </w:numPr>
        <w:rPr>
          <w:lang w:val="en-US"/>
        </w:rPr>
      </w:pPr>
      <w:r w:rsidRPr="00DD1B58">
        <w:rPr>
          <w:lang w:val="en-US"/>
        </w:rPr>
        <w:t xml:space="preserve"> Background </w:t>
      </w:r>
      <w:r w:rsidR="00D3691C" w:rsidRPr="00DD1B58">
        <w:rPr>
          <w:lang w:val="en-US"/>
        </w:rPr>
        <w:t>note</w:t>
      </w:r>
    </w:p>
    <w:p w14:paraId="70FC6746" w14:textId="388100C0" w:rsidR="572BE814" w:rsidRPr="00DD1B58" w:rsidRDefault="572BE814" w:rsidP="355CB971">
      <w:pPr>
        <w:rPr>
          <w:lang w:val="en-US"/>
        </w:rPr>
      </w:pPr>
      <w:r w:rsidRPr="00DD1B58">
        <w:rPr>
          <w:lang w:val="en-US"/>
        </w:rPr>
        <w:t xml:space="preserve">The </w:t>
      </w:r>
      <w:r w:rsidR="00266EA5" w:rsidRPr="00DD1B58">
        <w:rPr>
          <w:lang w:val="en-US"/>
        </w:rPr>
        <w:t>EDF NGL NPPs</w:t>
      </w:r>
      <w:r w:rsidRPr="00DD1B58">
        <w:rPr>
          <w:lang w:val="en-US"/>
        </w:rPr>
        <w:t xml:space="preserve"> </w:t>
      </w:r>
      <w:r w:rsidR="0069590F" w:rsidRPr="00DD1B58">
        <w:rPr>
          <w:lang w:val="en-US"/>
        </w:rPr>
        <w:t>selected for the NAR</w:t>
      </w:r>
      <w:r w:rsidRPr="00DD1B58">
        <w:rPr>
          <w:lang w:val="en-US"/>
        </w:rPr>
        <w:t xml:space="preserve"> represent the national and international development of fire protectio</w:t>
      </w:r>
      <w:r w:rsidR="3990C7AC" w:rsidRPr="00DD1B58">
        <w:rPr>
          <w:lang w:val="en-US"/>
        </w:rPr>
        <w:t xml:space="preserve">n </w:t>
      </w:r>
      <w:r w:rsidRPr="00DD1B58">
        <w:rPr>
          <w:lang w:val="en-US"/>
        </w:rPr>
        <w:t>arrangements from the 1970s to the present day.</w:t>
      </w:r>
      <w:r w:rsidR="002670C7" w:rsidRPr="00DD1B58">
        <w:rPr>
          <w:lang w:val="en-US"/>
        </w:rPr>
        <w:t xml:space="preserve"> </w:t>
      </w:r>
      <w:r w:rsidRPr="00DD1B58">
        <w:rPr>
          <w:lang w:val="en-US"/>
        </w:rPr>
        <w:t>Over this time the philosophy of fire safety has changed from primarily active to mainly passive fire</w:t>
      </w:r>
      <w:r w:rsidR="0361A291" w:rsidRPr="00DD1B58">
        <w:rPr>
          <w:lang w:val="en-US"/>
        </w:rPr>
        <w:t xml:space="preserve"> </w:t>
      </w:r>
      <w:r w:rsidRPr="00DD1B58">
        <w:rPr>
          <w:lang w:val="en-US"/>
        </w:rPr>
        <w:t xml:space="preserve">protection. This is reflected in the development of the </w:t>
      </w:r>
      <w:r w:rsidR="002670C7" w:rsidRPr="00DD1B58">
        <w:rPr>
          <w:lang w:val="en-US"/>
        </w:rPr>
        <w:t xml:space="preserve">corporate </w:t>
      </w:r>
      <w:r w:rsidRPr="00DD1B58">
        <w:rPr>
          <w:lang w:val="en-US"/>
        </w:rPr>
        <w:t>fire safety guidelines approach since the AGRs</w:t>
      </w:r>
      <w:r w:rsidR="773355C4" w:rsidRPr="00DD1B58">
        <w:rPr>
          <w:lang w:val="en-US"/>
        </w:rPr>
        <w:t xml:space="preserve"> </w:t>
      </w:r>
      <w:r w:rsidRPr="00DD1B58">
        <w:rPr>
          <w:lang w:val="en-US"/>
        </w:rPr>
        <w:t xml:space="preserve">were first designed </w:t>
      </w:r>
      <w:r w:rsidR="00E15F73" w:rsidRPr="00DD1B58">
        <w:rPr>
          <w:lang w:val="en-US"/>
        </w:rPr>
        <w:t xml:space="preserve">and built </w:t>
      </w:r>
      <w:r w:rsidRPr="00DD1B58">
        <w:rPr>
          <w:lang w:val="en-US"/>
        </w:rPr>
        <w:t xml:space="preserve">in the </w:t>
      </w:r>
      <w:r w:rsidR="002F105C" w:rsidRPr="00DD1B58">
        <w:rPr>
          <w:lang w:val="en-US"/>
        </w:rPr>
        <w:t>mid-1960s</w:t>
      </w:r>
      <w:r w:rsidRPr="00DD1B58">
        <w:rPr>
          <w:lang w:val="en-US"/>
        </w:rPr>
        <w:t>. This mirrors the development of IAEA Safety Guide</w:t>
      </w:r>
      <w:r w:rsidR="32918BA7" w:rsidRPr="00DD1B58">
        <w:rPr>
          <w:lang w:val="en-US"/>
        </w:rPr>
        <w:t xml:space="preserve"> </w:t>
      </w:r>
      <w:r w:rsidRPr="00DD1B58">
        <w:rPr>
          <w:lang w:val="en-US"/>
        </w:rPr>
        <w:t>50-SG-D2 and subsequent revisions and updates to the present IAEA Safety Standard SSG-64</w:t>
      </w:r>
      <w:r w:rsidR="0C536F42" w:rsidRPr="00DD1B58">
        <w:rPr>
          <w:lang w:val="en-US"/>
        </w:rPr>
        <w:t xml:space="preserve"> </w:t>
      </w:r>
      <w:r w:rsidRPr="00DD1B58">
        <w:rPr>
          <w:lang w:val="en-US"/>
        </w:rPr>
        <w:t>‘Protection against Internal Hazards in the Design of Nuclear Power Plants’</w:t>
      </w:r>
      <w:sdt>
        <w:sdtPr>
          <w:rPr>
            <w:lang w:val="en-US"/>
          </w:rPr>
          <w:id w:val="111644362"/>
          <w:citation/>
        </w:sdtPr>
        <w:sdtContent>
          <w:r w:rsidR="00C93F29" w:rsidRPr="00DD1B58">
            <w:rPr>
              <w:lang w:val="en-US"/>
            </w:rPr>
            <w:fldChar w:fldCharType="begin"/>
          </w:r>
          <w:r w:rsidR="00C93F29" w:rsidRPr="00DD1B58">
            <w:rPr>
              <w:lang w:val="en-US"/>
            </w:rPr>
            <w:instrText xml:space="preserve"> CITATION IAE5 \l 2057 </w:instrText>
          </w:r>
          <w:r w:rsidR="00C93F29" w:rsidRPr="00DD1B58">
            <w:rPr>
              <w:lang w:val="en-US"/>
            </w:rPr>
            <w:fldChar w:fldCharType="separate"/>
          </w:r>
          <w:r w:rsidR="00DF47DA">
            <w:rPr>
              <w:noProof/>
              <w:lang w:val="en-US"/>
            </w:rPr>
            <w:t xml:space="preserve"> </w:t>
          </w:r>
          <w:r w:rsidR="00DF47DA" w:rsidRPr="00DF47DA">
            <w:rPr>
              <w:noProof/>
              <w:lang w:val="en-US"/>
            </w:rPr>
            <w:t>[17]</w:t>
          </w:r>
          <w:r w:rsidR="00C93F29" w:rsidRPr="00DD1B58">
            <w:rPr>
              <w:lang w:val="en-US"/>
            </w:rPr>
            <w:fldChar w:fldCharType="end"/>
          </w:r>
        </w:sdtContent>
      </w:sdt>
      <w:r w:rsidRPr="00DD1B58">
        <w:rPr>
          <w:lang w:val="en-US"/>
        </w:rPr>
        <w:t>.</w:t>
      </w:r>
    </w:p>
    <w:p w14:paraId="1E12DCDF" w14:textId="4B220727" w:rsidR="572BE814" w:rsidRPr="00DD1B58" w:rsidRDefault="00EF4F5D" w:rsidP="355CB971">
      <w:pPr>
        <w:rPr>
          <w:lang w:val="en-US"/>
        </w:rPr>
      </w:pPr>
      <w:r w:rsidRPr="00DD1B58">
        <w:rPr>
          <w:lang w:val="en-US"/>
        </w:rPr>
        <w:t xml:space="preserve">The </w:t>
      </w:r>
      <w:r w:rsidR="572BE814" w:rsidRPr="00DD1B58">
        <w:rPr>
          <w:lang w:val="en-US"/>
        </w:rPr>
        <w:t>change of approach to fire safety followed on from Browns Ferry Fire in 1975 as this fire affected</w:t>
      </w:r>
      <w:r w:rsidR="17B3094A" w:rsidRPr="00DD1B58">
        <w:rPr>
          <w:lang w:val="en-US"/>
        </w:rPr>
        <w:t xml:space="preserve"> </w:t>
      </w:r>
      <w:r w:rsidR="572BE814" w:rsidRPr="00DD1B58">
        <w:rPr>
          <w:lang w:val="en-US"/>
        </w:rPr>
        <w:t>multiple lines of safety equipment and caused difficulties to the operators in safely shutting down the</w:t>
      </w:r>
      <w:r w:rsidR="1D351680" w:rsidRPr="00DD1B58">
        <w:rPr>
          <w:lang w:val="en-US"/>
        </w:rPr>
        <w:t xml:space="preserve"> </w:t>
      </w:r>
      <w:r w:rsidR="00594F27" w:rsidRPr="00DD1B58">
        <w:rPr>
          <w:lang w:val="en-US"/>
        </w:rPr>
        <w:t>reactor</w:t>
      </w:r>
      <w:r w:rsidR="572BE814" w:rsidRPr="00DD1B58">
        <w:rPr>
          <w:lang w:val="en-US"/>
        </w:rPr>
        <w:t xml:space="preserve">. Prior to the Browns Ferry Fire, fire protection for </w:t>
      </w:r>
      <w:r w:rsidR="00FB0CA0" w:rsidRPr="00DD1B58">
        <w:rPr>
          <w:lang w:val="en-US"/>
        </w:rPr>
        <w:t>NPPs</w:t>
      </w:r>
      <w:r w:rsidR="572BE814" w:rsidRPr="00DD1B58">
        <w:rPr>
          <w:lang w:val="en-US"/>
        </w:rPr>
        <w:t xml:space="preserve"> was similar to the fire</w:t>
      </w:r>
      <w:r w:rsidR="6CABCA16" w:rsidRPr="00DD1B58">
        <w:rPr>
          <w:lang w:val="en-US"/>
        </w:rPr>
        <w:t xml:space="preserve"> </w:t>
      </w:r>
      <w:r w:rsidR="572BE814" w:rsidRPr="00DD1B58">
        <w:rPr>
          <w:lang w:val="en-US"/>
        </w:rPr>
        <w:t>protection at conventional power stations. The Browns Ferry Fire demonstrated that a fire could threaten</w:t>
      </w:r>
      <w:r w:rsidR="1BAE1F50" w:rsidRPr="00DD1B58">
        <w:rPr>
          <w:lang w:val="en-US"/>
        </w:rPr>
        <w:t xml:space="preserve"> </w:t>
      </w:r>
      <w:r w:rsidR="572BE814" w:rsidRPr="00DD1B58">
        <w:rPr>
          <w:lang w:val="en-US"/>
        </w:rPr>
        <w:t xml:space="preserve">nuclear </w:t>
      </w:r>
      <w:r w:rsidR="002F105C" w:rsidRPr="00DD1B58">
        <w:rPr>
          <w:lang w:val="en-US"/>
        </w:rPr>
        <w:t>safety,</w:t>
      </w:r>
      <w:r w:rsidR="572BE814" w:rsidRPr="00DD1B58">
        <w:rPr>
          <w:lang w:val="en-US"/>
        </w:rPr>
        <w:t xml:space="preserve"> and this led ultimately to the current fire safety segregation standards that ensure the</w:t>
      </w:r>
      <w:r w:rsidR="2456EA93" w:rsidRPr="00DD1B58">
        <w:rPr>
          <w:lang w:val="en-US"/>
        </w:rPr>
        <w:t xml:space="preserve"> </w:t>
      </w:r>
      <w:r w:rsidR="572BE814" w:rsidRPr="00DD1B58">
        <w:rPr>
          <w:lang w:val="en-US"/>
        </w:rPr>
        <w:t xml:space="preserve">designed shutdown arrangements can be carried out in the </w:t>
      </w:r>
      <w:r w:rsidR="00FB0CA0" w:rsidRPr="00DD1B58">
        <w:rPr>
          <w:lang w:val="en-US"/>
        </w:rPr>
        <w:t xml:space="preserve">event </w:t>
      </w:r>
      <w:r w:rsidR="572BE814" w:rsidRPr="00DD1B58">
        <w:rPr>
          <w:lang w:val="en-US"/>
        </w:rPr>
        <w:t>of fire.</w:t>
      </w:r>
    </w:p>
    <w:p w14:paraId="02219CFB" w14:textId="2D04C674" w:rsidR="572BE814" w:rsidRPr="00DD1B58" w:rsidRDefault="572BE814" w:rsidP="355CB971">
      <w:pPr>
        <w:rPr>
          <w:lang w:val="en-US"/>
        </w:rPr>
      </w:pPr>
      <w:r w:rsidRPr="00DD1B58">
        <w:rPr>
          <w:lang w:val="en-US"/>
        </w:rPr>
        <w:t>In the UK in 1977 a fire in a conventional power station (Tilbury B) spread from the control room along</w:t>
      </w:r>
      <w:r w:rsidR="3346F5B2" w:rsidRPr="00DD1B58">
        <w:rPr>
          <w:lang w:val="en-US"/>
        </w:rPr>
        <w:t xml:space="preserve"> </w:t>
      </w:r>
      <w:r w:rsidRPr="00DD1B58">
        <w:rPr>
          <w:lang w:val="en-US"/>
        </w:rPr>
        <w:t>cable ducts and demonstrated again that a fire can affect cabling and remove the designed shutdown</w:t>
      </w:r>
      <w:r w:rsidR="6F95E2A0" w:rsidRPr="00DD1B58">
        <w:rPr>
          <w:lang w:val="en-US"/>
        </w:rPr>
        <w:t xml:space="preserve"> </w:t>
      </w:r>
      <w:r w:rsidRPr="00DD1B58">
        <w:rPr>
          <w:lang w:val="en-US"/>
        </w:rPr>
        <w:t>arrangements. This was one of the reasons why, following the Tilbury B fire, linear heat detecting cable</w:t>
      </w:r>
      <w:r w:rsidR="75B352A2" w:rsidRPr="00DD1B58">
        <w:rPr>
          <w:lang w:val="en-US"/>
        </w:rPr>
        <w:t xml:space="preserve"> </w:t>
      </w:r>
      <w:r w:rsidRPr="00DD1B58">
        <w:rPr>
          <w:lang w:val="en-US"/>
        </w:rPr>
        <w:t>and fast acting sprinklers were installed on the first generation AGRs.</w:t>
      </w:r>
      <w:r w:rsidR="00EF4F5D" w:rsidRPr="00DD1B58">
        <w:rPr>
          <w:lang w:val="en-US"/>
        </w:rPr>
        <w:t xml:space="preserve"> </w:t>
      </w:r>
      <w:r w:rsidR="009B070D" w:rsidRPr="00DD1B58">
        <w:rPr>
          <w:lang w:val="en-US"/>
        </w:rPr>
        <w:t xml:space="preserve">The </w:t>
      </w:r>
      <w:r w:rsidRPr="00DD1B58">
        <w:rPr>
          <w:lang w:val="en-US"/>
        </w:rPr>
        <w:t>system is a means of detecting a fire quickly by having a heat</w:t>
      </w:r>
      <w:r w:rsidR="005A1778" w:rsidRPr="00DD1B58">
        <w:rPr>
          <w:lang w:val="en-US"/>
        </w:rPr>
        <w:t>-</w:t>
      </w:r>
      <w:r w:rsidRPr="00DD1B58">
        <w:rPr>
          <w:lang w:val="en-US"/>
        </w:rPr>
        <w:t>detecting cable on top of every cable</w:t>
      </w:r>
      <w:r w:rsidR="2A178E40" w:rsidRPr="00DD1B58">
        <w:rPr>
          <w:lang w:val="en-US"/>
        </w:rPr>
        <w:t xml:space="preserve"> </w:t>
      </w:r>
      <w:r w:rsidRPr="00DD1B58">
        <w:rPr>
          <w:lang w:val="en-US"/>
        </w:rPr>
        <w:t>tray and underneath the lower tray</w:t>
      </w:r>
      <w:r w:rsidR="005A1778" w:rsidRPr="00DD1B58">
        <w:rPr>
          <w:lang w:val="en-US"/>
        </w:rPr>
        <w:t>,</w:t>
      </w:r>
      <w:r w:rsidRPr="00DD1B58">
        <w:rPr>
          <w:lang w:val="en-US"/>
        </w:rPr>
        <w:t xml:space="preserve"> </w:t>
      </w:r>
      <w:r w:rsidR="005A1778" w:rsidRPr="00DD1B58">
        <w:rPr>
          <w:lang w:val="en-US"/>
        </w:rPr>
        <w:t xml:space="preserve">which is </w:t>
      </w:r>
      <w:r w:rsidRPr="00DD1B58">
        <w:rPr>
          <w:lang w:val="en-US"/>
        </w:rPr>
        <w:t>then interfac</w:t>
      </w:r>
      <w:r w:rsidR="005A1778" w:rsidRPr="00DD1B58">
        <w:rPr>
          <w:lang w:val="en-US"/>
        </w:rPr>
        <w:t xml:space="preserve">ed </w:t>
      </w:r>
      <w:r w:rsidRPr="00DD1B58">
        <w:rPr>
          <w:lang w:val="en-US"/>
        </w:rPr>
        <w:t>with the sprinkler system by having a</w:t>
      </w:r>
      <w:r w:rsidR="2153F602" w:rsidRPr="00DD1B58">
        <w:rPr>
          <w:lang w:val="en-US"/>
        </w:rPr>
        <w:t xml:space="preserve"> </w:t>
      </w:r>
      <w:r w:rsidRPr="00DD1B58">
        <w:rPr>
          <w:lang w:val="en-US"/>
        </w:rPr>
        <w:t>pyrotechnic actuator on every sprinkler head. If a slight overheat is detected in a cable flat, the relevant nearby sprinkler heads are electrically operated. The response time is</w:t>
      </w:r>
      <w:r w:rsidR="3AE5EEC7" w:rsidRPr="00DD1B58">
        <w:rPr>
          <w:lang w:val="en-US"/>
        </w:rPr>
        <w:t xml:space="preserve"> </w:t>
      </w:r>
      <w:r w:rsidRPr="00DD1B58">
        <w:rPr>
          <w:lang w:val="en-US"/>
        </w:rPr>
        <w:t>typically a fraction of a second to a minute, and the sprinkler system extinguishes the fire very rapidly.</w:t>
      </w:r>
    </w:p>
    <w:p w14:paraId="5E8FFAB6" w14:textId="737935F6" w:rsidR="572BE814" w:rsidRPr="00DD1B58" w:rsidRDefault="572BE814" w:rsidP="355CB971">
      <w:pPr>
        <w:rPr>
          <w:lang w:val="en-US"/>
        </w:rPr>
      </w:pPr>
      <w:r w:rsidRPr="00DD1B58">
        <w:rPr>
          <w:lang w:val="en-US"/>
        </w:rPr>
        <w:t>Fast-acting sprinkler systems for detection and suppression of fires, which require fast activation in</w:t>
      </w:r>
      <w:r w:rsidR="284CDC01" w:rsidRPr="00DD1B58">
        <w:rPr>
          <w:lang w:val="en-US"/>
        </w:rPr>
        <w:t xml:space="preserve"> </w:t>
      </w:r>
      <w:r w:rsidRPr="00DD1B58">
        <w:rPr>
          <w:lang w:val="en-US"/>
        </w:rPr>
        <w:t>order to be effective, require that particular attention is paid to design and maintenance details. Of</w:t>
      </w:r>
      <w:r w:rsidR="7DA4F605" w:rsidRPr="00DD1B58">
        <w:rPr>
          <w:lang w:val="en-US"/>
        </w:rPr>
        <w:t xml:space="preserve"> </w:t>
      </w:r>
      <w:r w:rsidRPr="00DD1B58">
        <w:rPr>
          <w:lang w:val="en-US"/>
        </w:rPr>
        <w:t>primary consideration are detector selection and placement in processes to minimi</w:t>
      </w:r>
      <w:r w:rsidR="00EE7F21" w:rsidRPr="00DD1B58">
        <w:rPr>
          <w:lang w:val="en-US"/>
        </w:rPr>
        <w:t>s</w:t>
      </w:r>
      <w:r w:rsidRPr="00DD1B58">
        <w:rPr>
          <w:lang w:val="en-US"/>
        </w:rPr>
        <w:t>e the effect of</w:t>
      </w:r>
      <w:r w:rsidR="2D5151E4" w:rsidRPr="00DD1B58">
        <w:rPr>
          <w:lang w:val="en-US"/>
        </w:rPr>
        <w:t xml:space="preserve"> </w:t>
      </w:r>
      <w:r w:rsidRPr="00DD1B58">
        <w:rPr>
          <w:lang w:val="en-US"/>
        </w:rPr>
        <w:t>environmental influences. Also important are nozzle placement, water flow density, water supply</w:t>
      </w:r>
      <w:r w:rsidR="4C54BE01" w:rsidRPr="00DD1B58">
        <w:rPr>
          <w:lang w:val="en-US"/>
        </w:rPr>
        <w:t xml:space="preserve"> </w:t>
      </w:r>
      <w:r w:rsidRPr="00DD1B58">
        <w:rPr>
          <w:lang w:val="en-US"/>
        </w:rPr>
        <w:t xml:space="preserve">pressure, and the pattern and sloping of piping. </w:t>
      </w:r>
      <w:r w:rsidRPr="00DD1B58">
        <w:rPr>
          <w:lang w:val="en-US"/>
        </w:rPr>
        <w:lastRenderedPageBreak/>
        <w:t>When all of these design criteria are properly</w:t>
      </w:r>
      <w:r w:rsidR="1B8B36C8" w:rsidRPr="00DD1B58">
        <w:rPr>
          <w:lang w:val="en-US"/>
        </w:rPr>
        <w:t xml:space="preserve"> </w:t>
      </w:r>
      <w:r w:rsidRPr="00DD1B58">
        <w:rPr>
          <w:lang w:val="en-US"/>
        </w:rPr>
        <w:t>implemented, water application can occur within 100 m</w:t>
      </w:r>
      <w:r w:rsidR="00EE7F21" w:rsidRPr="00DD1B58">
        <w:rPr>
          <w:lang w:val="en-US"/>
        </w:rPr>
        <w:t xml:space="preserve">illi </w:t>
      </w:r>
      <w:r w:rsidRPr="00DD1B58">
        <w:rPr>
          <w:lang w:val="en-US"/>
        </w:rPr>
        <w:t>s</w:t>
      </w:r>
      <w:r w:rsidR="00EE7F21" w:rsidRPr="00DD1B58">
        <w:rPr>
          <w:lang w:val="en-US"/>
        </w:rPr>
        <w:t>econds</w:t>
      </w:r>
      <w:r w:rsidRPr="00DD1B58">
        <w:rPr>
          <w:lang w:val="en-US"/>
        </w:rPr>
        <w:t xml:space="preserve"> of fire detection.</w:t>
      </w:r>
    </w:p>
    <w:p w14:paraId="5491F46E" w14:textId="375AE03F" w:rsidR="572BE814" w:rsidRPr="00DD1B58" w:rsidRDefault="572BE814" w:rsidP="355CB971">
      <w:pPr>
        <w:rPr>
          <w:lang w:val="en-US"/>
        </w:rPr>
      </w:pPr>
      <w:r w:rsidRPr="00DD1B58">
        <w:rPr>
          <w:lang w:val="en-US"/>
        </w:rPr>
        <w:t>Where practicable</w:t>
      </w:r>
      <w:r w:rsidR="00720DC7" w:rsidRPr="00DD1B58">
        <w:rPr>
          <w:lang w:val="en-US"/>
        </w:rPr>
        <w:t>,</w:t>
      </w:r>
      <w:r w:rsidRPr="00DD1B58">
        <w:rPr>
          <w:lang w:val="en-US"/>
        </w:rPr>
        <w:t xml:space="preserve"> passive fire protection (typically using durasteel fire barriers</w:t>
      </w:r>
      <w:r w:rsidR="007B7D29" w:rsidRPr="00DD1B58">
        <w:rPr>
          <w:lang w:val="en-US"/>
        </w:rPr>
        <w:t xml:space="preserve"> – a composite fire panel protection board co</w:t>
      </w:r>
      <w:r w:rsidR="005B6B5D" w:rsidRPr="00DD1B58">
        <w:rPr>
          <w:lang w:val="en-US"/>
        </w:rPr>
        <w:t xml:space="preserve">mprised of </w:t>
      </w:r>
      <w:r w:rsidR="005B6B5D" w:rsidRPr="00DD1B58">
        <w:rPr>
          <w:rFonts w:asciiTheme="minorHAnsi" w:hAnsiTheme="minorHAnsi" w:cstheme="minorHAnsi"/>
          <w:color w:val="51596A"/>
          <w:szCs w:val="24"/>
          <w:shd w:val="clear" w:color="auto" w:fill="FFFFFF"/>
          <w:lang w:val="en-US"/>
        </w:rPr>
        <w:t>fibre-reinforced cement core mechanically bonded to punched steel sheets on both outer surfaces</w:t>
      </w:r>
      <w:r w:rsidRPr="00DD1B58">
        <w:rPr>
          <w:lang w:val="en-US"/>
        </w:rPr>
        <w:t>) was also backfitted to</w:t>
      </w:r>
      <w:r w:rsidR="7A279FE4" w:rsidRPr="00DD1B58">
        <w:rPr>
          <w:lang w:val="en-US"/>
        </w:rPr>
        <w:t xml:space="preserve"> </w:t>
      </w:r>
      <w:r w:rsidRPr="00DD1B58">
        <w:rPr>
          <w:lang w:val="en-US"/>
        </w:rPr>
        <w:t>the first generation AGRs, but active fire protection was a necessary part of the fire safety case.</w:t>
      </w:r>
      <w:r w:rsidR="6C161039" w:rsidRPr="00DD1B58">
        <w:rPr>
          <w:lang w:val="en-US"/>
        </w:rPr>
        <w:t xml:space="preserve"> </w:t>
      </w:r>
      <w:r w:rsidRPr="00DD1B58">
        <w:rPr>
          <w:lang w:val="en-US"/>
        </w:rPr>
        <w:t>Following the Browns Ferry fire</w:t>
      </w:r>
      <w:r w:rsidR="008209EB" w:rsidRPr="00DD1B58">
        <w:rPr>
          <w:lang w:val="en-US"/>
        </w:rPr>
        <w:t>,</w:t>
      </w:r>
      <w:r w:rsidRPr="00DD1B58">
        <w:rPr>
          <w:lang w:val="en-US"/>
        </w:rPr>
        <w:t xml:space="preserve"> </w:t>
      </w:r>
      <w:r w:rsidR="0008244E" w:rsidRPr="00DD1B58">
        <w:rPr>
          <w:lang w:val="en-US"/>
        </w:rPr>
        <w:t>safety-</w:t>
      </w:r>
      <w:r w:rsidRPr="00DD1B58">
        <w:rPr>
          <w:lang w:val="en-US"/>
        </w:rPr>
        <w:t>related control and power cabling was fully segregated for the</w:t>
      </w:r>
      <w:r w:rsidR="757683F9" w:rsidRPr="00DD1B58">
        <w:rPr>
          <w:lang w:val="en-US"/>
        </w:rPr>
        <w:t xml:space="preserve"> </w:t>
      </w:r>
      <w:r w:rsidRPr="00DD1B58">
        <w:rPr>
          <w:lang w:val="en-US"/>
        </w:rPr>
        <w:t xml:space="preserve">second generation AGRs and </w:t>
      </w:r>
      <w:r w:rsidR="008209EB" w:rsidRPr="00DD1B58">
        <w:rPr>
          <w:lang w:val="en-US"/>
        </w:rPr>
        <w:t>SZ</w:t>
      </w:r>
      <w:r w:rsidRPr="00DD1B58">
        <w:rPr>
          <w:lang w:val="en-US"/>
        </w:rPr>
        <w:t>B. For these stations</w:t>
      </w:r>
      <w:r w:rsidR="008209EB" w:rsidRPr="00DD1B58">
        <w:rPr>
          <w:lang w:val="en-US"/>
        </w:rPr>
        <w:t>, which are represented in the NAR by HY2 and SZB</w:t>
      </w:r>
      <w:r w:rsidR="0008244E" w:rsidRPr="00DD1B58">
        <w:rPr>
          <w:lang w:val="en-US"/>
        </w:rPr>
        <w:t>,</w:t>
      </w:r>
      <w:r w:rsidRPr="00DD1B58">
        <w:rPr>
          <w:lang w:val="en-US"/>
        </w:rPr>
        <w:t xml:space="preserve"> the primary claims are on segregation and</w:t>
      </w:r>
      <w:r w:rsidR="0658F368" w:rsidRPr="00DD1B58">
        <w:rPr>
          <w:lang w:val="en-US"/>
        </w:rPr>
        <w:t xml:space="preserve"> </w:t>
      </w:r>
      <w:r w:rsidRPr="00DD1B58">
        <w:rPr>
          <w:lang w:val="en-US"/>
        </w:rPr>
        <w:t>fire suppression is provided for defence in depth and investment protection.</w:t>
      </w:r>
    </w:p>
    <w:p w14:paraId="7E5B0868" w14:textId="77777777" w:rsidR="44A186C2" w:rsidRPr="00DD1B58" w:rsidRDefault="572BE814" w:rsidP="0062501D">
      <w:pPr>
        <w:pStyle w:val="Heading4"/>
        <w:numPr>
          <w:ilvl w:val="4"/>
          <w:numId w:val="3"/>
        </w:numPr>
        <w:rPr>
          <w:lang w:val="en-US"/>
        </w:rPr>
      </w:pPr>
      <w:r w:rsidRPr="00DD1B58">
        <w:rPr>
          <w:lang w:val="en-US"/>
        </w:rPr>
        <w:t>Deterministic fire hazard analysis</w:t>
      </w:r>
    </w:p>
    <w:p w14:paraId="055E85EE" w14:textId="6E3AB7B0" w:rsidR="0F8F669A" w:rsidRPr="00DD1B58" w:rsidRDefault="0F8F669A" w:rsidP="355CB971">
      <w:pPr>
        <w:rPr>
          <w:lang w:val="en-US"/>
        </w:rPr>
      </w:pPr>
      <w:r w:rsidRPr="00DD1B58">
        <w:rPr>
          <w:b/>
          <w:lang w:val="en-US"/>
        </w:rPr>
        <w:t>General</w:t>
      </w:r>
      <w:r w:rsidR="00DF560C" w:rsidRPr="00DD1B58">
        <w:rPr>
          <w:lang w:val="en-US"/>
        </w:rPr>
        <w:t>:</w:t>
      </w:r>
      <w:r w:rsidR="00A731C8" w:rsidRPr="00DD1B58">
        <w:rPr>
          <w:lang w:val="en-US"/>
        </w:rPr>
        <w:t xml:space="preserve"> </w:t>
      </w:r>
      <w:r w:rsidRPr="00DD1B58">
        <w:rPr>
          <w:lang w:val="en-US"/>
        </w:rPr>
        <w:t>EDF NGL</w:t>
      </w:r>
      <w:r w:rsidR="004526B2" w:rsidRPr="00DD1B58">
        <w:rPr>
          <w:lang w:val="en-US"/>
        </w:rPr>
        <w:t>’s</w:t>
      </w:r>
      <w:r w:rsidRPr="00DD1B58">
        <w:rPr>
          <w:lang w:val="en-US"/>
        </w:rPr>
        <w:t xml:space="preserve"> </w:t>
      </w:r>
      <w:r w:rsidR="00E33503" w:rsidRPr="00DD1B58">
        <w:rPr>
          <w:lang w:val="en-US"/>
        </w:rPr>
        <w:t>approach to deterministic fire hazard analysis i</w:t>
      </w:r>
      <w:r w:rsidR="00AF4F5C" w:rsidRPr="00DD1B58">
        <w:rPr>
          <w:lang w:val="en-US"/>
        </w:rPr>
        <w:t xml:space="preserve">s </w:t>
      </w:r>
      <w:r w:rsidR="006A549B" w:rsidRPr="00DD1B58">
        <w:rPr>
          <w:lang w:val="en-US"/>
        </w:rPr>
        <w:t xml:space="preserve">documented in internal </w:t>
      </w:r>
      <w:r w:rsidR="001A4EA9" w:rsidRPr="00DD1B58">
        <w:rPr>
          <w:lang w:val="en-US"/>
        </w:rPr>
        <w:t>guidance,</w:t>
      </w:r>
      <w:r w:rsidR="006A549B" w:rsidRPr="00DD1B58">
        <w:rPr>
          <w:lang w:val="en-US"/>
        </w:rPr>
        <w:t xml:space="preserve"> which is </w:t>
      </w:r>
      <w:r w:rsidRPr="00DD1B58">
        <w:rPr>
          <w:lang w:val="en-US"/>
        </w:rPr>
        <w:t xml:space="preserve">used for all the AGR stations, including the two AGR stations </w:t>
      </w:r>
      <w:r w:rsidR="002705CF" w:rsidRPr="00DD1B58">
        <w:rPr>
          <w:lang w:val="en-US"/>
        </w:rPr>
        <w:t>covered in the NAR</w:t>
      </w:r>
      <w:r w:rsidRPr="00DD1B58">
        <w:rPr>
          <w:lang w:val="en-US"/>
        </w:rPr>
        <w:t>, Hunterston B (HNB) and Heysham 2 (HY2)</w:t>
      </w:r>
      <w:r w:rsidR="002705CF" w:rsidRPr="00DD1B58">
        <w:rPr>
          <w:lang w:val="en-US"/>
        </w:rPr>
        <w:t>.</w:t>
      </w:r>
      <w:r w:rsidRPr="00DD1B58">
        <w:rPr>
          <w:lang w:val="en-US"/>
        </w:rPr>
        <w:t xml:space="preserve"> HNB is </w:t>
      </w:r>
      <w:r w:rsidR="00996BE5" w:rsidRPr="00DD1B58">
        <w:rPr>
          <w:lang w:val="en-US"/>
        </w:rPr>
        <w:t>shutdown</w:t>
      </w:r>
      <w:r w:rsidR="00EE7F21" w:rsidRPr="00DD1B58">
        <w:rPr>
          <w:lang w:val="en-US"/>
        </w:rPr>
        <w:t xml:space="preserve"> and </w:t>
      </w:r>
      <w:r w:rsidR="00B64860" w:rsidRPr="00DD1B58">
        <w:rPr>
          <w:lang w:val="en-US"/>
        </w:rPr>
        <w:t>defueling</w:t>
      </w:r>
      <w:r w:rsidRPr="00DD1B58">
        <w:rPr>
          <w:lang w:val="en-US"/>
        </w:rPr>
        <w:t xml:space="preserve"> and HY2 is operational, therefore both </w:t>
      </w:r>
      <w:r w:rsidR="00B64860" w:rsidRPr="00DD1B58">
        <w:rPr>
          <w:lang w:val="en-US"/>
        </w:rPr>
        <w:t>de-fuelling</w:t>
      </w:r>
      <w:r w:rsidRPr="00DD1B58">
        <w:rPr>
          <w:lang w:val="en-US"/>
        </w:rPr>
        <w:t xml:space="preserve"> and normal operating states are considered </w:t>
      </w:r>
      <w:r w:rsidR="006A549B" w:rsidRPr="00DD1B58">
        <w:rPr>
          <w:lang w:val="en-US"/>
        </w:rPr>
        <w:t>in this section</w:t>
      </w:r>
      <w:r w:rsidRPr="00DD1B58">
        <w:rPr>
          <w:lang w:val="en-US"/>
        </w:rPr>
        <w:t xml:space="preserve">. </w:t>
      </w:r>
      <w:r w:rsidR="00850A3C" w:rsidRPr="00DD1B58">
        <w:rPr>
          <w:lang w:val="en-US"/>
        </w:rPr>
        <w:t xml:space="preserve">The </w:t>
      </w:r>
      <w:r w:rsidRPr="00DD1B58">
        <w:rPr>
          <w:lang w:val="en-US"/>
        </w:rPr>
        <w:t>document is summarised below.</w:t>
      </w:r>
    </w:p>
    <w:p w14:paraId="64373C03" w14:textId="17C297A9" w:rsidR="0F8F669A" w:rsidRPr="00DD1B58" w:rsidRDefault="0F8F669A" w:rsidP="355CB971">
      <w:pPr>
        <w:rPr>
          <w:lang w:val="en-US"/>
        </w:rPr>
      </w:pPr>
      <w:r w:rsidRPr="00DD1B58">
        <w:rPr>
          <w:b/>
          <w:bCs/>
          <w:lang w:val="en-US"/>
        </w:rPr>
        <w:t xml:space="preserve">Fire </w:t>
      </w:r>
      <w:r w:rsidR="00DF560C" w:rsidRPr="00DD1B58">
        <w:rPr>
          <w:b/>
          <w:bCs/>
          <w:lang w:val="en-US"/>
        </w:rPr>
        <w:t>protection s</w:t>
      </w:r>
      <w:r w:rsidRPr="00DD1B58">
        <w:rPr>
          <w:b/>
          <w:bCs/>
          <w:lang w:val="en-US"/>
        </w:rPr>
        <w:t xml:space="preserve">afety </w:t>
      </w:r>
      <w:r w:rsidR="00DF560C" w:rsidRPr="00DD1B58">
        <w:rPr>
          <w:b/>
          <w:bCs/>
          <w:lang w:val="en-US"/>
        </w:rPr>
        <w:t>p</w:t>
      </w:r>
      <w:r w:rsidRPr="00DD1B58">
        <w:rPr>
          <w:b/>
          <w:bCs/>
          <w:lang w:val="en-US"/>
        </w:rPr>
        <w:t>rinciple</w:t>
      </w:r>
      <w:r w:rsidR="00DF560C" w:rsidRPr="00DD1B58">
        <w:rPr>
          <w:lang w:val="en-US"/>
        </w:rPr>
        <w:t>:</w:t>
      </w:r>
      <w:r w:rsidR="002728AA" w:rsidRPr="00DD1B58">
        <w:rPr>
          <w:b/>
          <w:bCs/>
          <w:lang w:val="en-US"/>
        </w:rPr>
        <w:t xml:space="preserve"> </w:t>
      </w:r>
      <w:r w:rsidR="000A42F8" w:rsidRPr="00DD1B58">
        <w:rPr>
          <w:lang w:val="en-US"/>
        </w:rPr>
        <w:t xml:space="preserve">EDF NGL’s fire protection </w:t>
      </w:r>
      <w:r w:rsidRPr="00DD1B58">
        <w:rPr>
          <w:lang w:val="en-US"/>
        </w:rPr>
        <w:t>safety principle below forms the target basis against which the fire protection provisions provided at the AGR</w:t>
      </w:r>
      <w:r w:rsidR="008E1EB0" w:rsidRPr="00DD1B58">
        <w:rPr>
          <w:lang w:val="en-US"/>
        </w:rPr>
        <w:t xml:space="preserve"> </w:t>
      </w:r>
      <w:r w:rsidRPr="00DD1B58">
        <w:rPr>
          <w:lang w:val="en-US"/>
        </w:rPr>
        <w:t>power stations are assessed.</w:t>
      </w:r>
    </w:p>
    <w:p w14:paraId="360630E8" w14:textId="318B7FE2" w:rsidR="000E6A8E" w:rsidRPr="00DD1B58" w:rsidRDefault="000E6A8E" w:rsidP="00973FF4">
      <w:pPr>
        <w:pStyle w:val="QuoteText"/>
        <w:rPr>
          <w:lang w:val="en-US"/>
        </w:rPr>
      </w:pPr>
      <w:r w:rsidRPr="00DD1B58">
        <w:rPr>
          <w:lang w:val="en-US"/>
        </w:rPr>
        <w:t>In the event of a fire in any single location with all plant available prior to the fire, sufficient plant should remain available to ensure satisfactory operation of the trip, shutdown and post-trip cooling function, taking into account the effect of any single random active failure of the plant or fire protection systems. Under permissible states of planned maintenance, the effects of a single random active failure do not need to be taken into account.</w:t>
      </w:r>
    </w:p>
    <w:p w14:paraId="589C32C1" w14:textId="43EFE8D1" w:rsidR="0F8F669A" w:rsidRPr="00DD1B58" w:rsidRDefault="0F8F669A" w:rsidP="355CB971">
      <w:pPr>
        <w:rPr>
          <w:lang w:val="en-US"/>
        </w:rPr>
      </w:pPr>
      <w:r w:rsidRPr="00DD1B58">
        <w:rPr>
          <w:lang w:val="en-US"/>
        </w:rPr>
        <w:t xml:space="preserve">The overriding </w:t>
      </w:r>
      <w:r w:rsidR="000E6A8E" w:rsidRPr="00DD1B58">
        <w:rPr>
          <w:lang w:val="en-US"/>
        </w:rPr>
        <w:t xml:space="preserve">EDF NGL </w:t>
      </w:r>
      <w:r w:rsidRPr="00DD1B58">
        <w:rPr>
          <w:lang w:val="en-US"/>
        </w:rPr>
        <w:t>requirement is to ensure fitness for purpose in the fire protection provisions</w:t>
      </w:r>
      <w:r w:rsidR="001402C2" w:rsidRPr="00DD1B58">
        <w:rPr>
          <w:lang w:val="en-US"/>
        </w:rPr>
        <w:t xml:space="preserve"> and</w:t>
      </w:r>
      <w:r w:rsidRPr="00DD1B58">
        <w:rPr>
          <w:lang w:val="en-US"/>
        </w:rPr>
        <w:t xml:space="preserve"> to do all that is reasonably practicable to satisfy the guidance presented in this</w:t>
      </w:r>
      <w:r w:rsidR="3E7236FE" w:rsidRPr="00DD1B58">
        <w:rPr>
          <w:lang w:val="en-US"/>
        </w:rPr>
        <w:t xml:space="preserve"> </w:t>
      </w:r>
      <w:r w:rsidRPr="00DD1B58">
        <w:rPr>
          <w:lang w:val="en-US"/>
        </w:rPr>
        <w:t xml:space="preserve">document. </w:t>
      </w:r>
      <w:r w:rsidR="00D82A4B" w:rsidRPr="00DD1B58">
        <w:rPr>
          <w:lang w:val="en-US"/>
        </w:rPr>
        <w:t xml:space="preserve">In general, diverse/back-up systems should not be claimed in demonstrating compliance with the safety principle. </w:t>
      </w:r>
      <w:r w:rsidR="00044A58" w:rsidRPr="00DD1B58">
        <w:rPr>
          <w:lang w:val="en-US"/>
        </w:rPr>
        <w:t>EDF NGL</w:t>
      </w:r>
      <w:r w:rsidR="00D82A4B" w:rsidRPr="00DD1B58">
        <w:rPr>
          <w:lang w:val="en-US"/>
        </w:rPr>
        <w:t xml:space="preserve"> considers that e</w:t>
      </w:r>
      <w:r w:rsidRPr="00DD1B58">
        <w:rPr>
          <w:lang w:val="en-US"/>
        </w:rPr>
        <w:t>xceptions may be permissible in some circumstances</w:t>
      </w:r>
      <w:r w:rsidR="008D74AB" w:rsidRPr="00DD1B58">
        <w:rPr>
          <w:lang w:val="en-US"/>
        </w:rPr>
        <w:t xml:space="preserve"> providing </w:t>
      </w:r>
      <w:r w:rsidR="00A70593" w:rsidRPr="00DD1B58">
        <w:rPr>
          <w:lang w:val="en-US"/>
        </w:rPr>
        <w:t xml:space="preserve">that </w:t>
      </w:r>
      <w:r w:rsidR="008D74AB" w:rsidRPr="00DD1B58">
        <w:rPr>
          <w:lang w:val="en-US"/>
        </w:rPr>
        <w:t xml:space="preserve">the overriding regulatory requirement of demonstrating that risks are reduced </w:t>
      </w:r>
      <w:r w:rsidR="00A70593" w:rsidRPr="00DD1B58">
        <w:rPr>
          <w:lang w:val="en-US"/>
        </w:rPr>
        <w:t xml:space="preserve">to </w:t>
      </w:r>
      <w:r w:rsidR="008D74AB" w:rsidRPr="00DD1B58">
        <w:rPr>
          <w:lang w:val="en-US"/>
        </w:rPr>
        <w:t xml:space="preserve">ALARP is met. </w:t>
      </w:r>
      <w:r w:rsidRPr="00DD1B58">
        <w:rPr>
          <w:lang w:val="en-US"/>
        </w:rPr>
        <w:t xml:space="preserve"> </w:t>
      </w:r>
    </w:p>
    <w:p w14:paraId="5C45E8C9" w14:textId="5DA5C1E3" w:rsidR="00F21BEE" w:rsidRPr="00DD1B58" w:rsidRDefault="0F8F669A" w:rsidP="355CB971">
      <w:pPr>
        <w:rPr>
          <w:lang w:val="en-US"/>
        </w:rPr>
      </w:pPr>
      <w:r w:rsidRPr="00DD1B58">
        <w:rPr>
          <w:b/>
          <w:bCs/>
          <w:lang w:val="en-US"/>
        </w:rPr>
        <w:t xml:space="preserve">Fire </w:t>
      </w:r>
      <w:r w:rsidR="00F21BEE" w:rsidRPr="00DD1B58">
        <w:rPr>
          <w:b/>
          <w:bCs/>
          <w:lang w:val="en-US"/>
        </w:rPr>
        <w:t>protection philosophy:</w:t>
      </w:r>
      <w:r w:rsidR="002728AA" w:rsidRPr="00DD1B58">
        <w:rPr>
          <w:b/>
          <w:bCs/>
          <w:lang w:val="en-US"/>
        </w:rPr>
        <w:t xml:space="preserve"> </w:t>
      </w:r>
      <w:r w:rsidR="008C0E6B" w:rsidRPr="00DD1B58">
        <w:rPr>
          <w:lang w:val="en-US"/>
        </w:rPr>
        <w:t xml:space="preserve">EDF NGL </w:t>
      </w:r>
      <w:r w:rsidR="00701C11" w:rsidRPr="00DD1B58">
        <w:rPr>
          <w:lang w:val="en-US"/>
        </w:rPr>
        <w:t>requires a</w:t>
      </w:r>
      <w:r w:rsidRPr="00DD1B58">
        <w:rPr>
          <w:lang w:val="en-US"/>
        </w:rPr>
        <w:t xml:space="preserve"> fire protection to be provided to meet the safety principle</w:t>
      </w:r>
      <w:r w:rsidR="00903657" w:rsidRPr="00DD1B58">
        <w:rPr>
          <w:lang w:val="en-US"/>
        </w:rPr>
        <w:t xml:space="preserve"> </w:t>
      </w:r>
      <w:r w:rsidR="001C7069" w:rsidRPr="00DD1B58">
        <w:rPr>
          <w:lang w:val="en-US"/>
        </w:rPr>
        <w:t>and for it to be</w:t>
      </w:r>
      <w:r w:rsidR="00903657" w:rsidRPr="00DD1B58">
        <w:rPr>
          <w:lang w:val="en-US"/>
        </w:rPr>
        <w:t xml:space="preserve"> </w:t>
      </w:r>
      <w:r w:rsidRPr="00DD1B58">
        <w:rPr>
          <w:lang w:val="en-US"/>
        </w:rPr>
        <w:t>achieved through defence in depth concept which should have as its three principal objectives:</w:t>
      </w:r>
    </w:p>
    <w:p w14:paraId="01003C38" w14:textId="45F03A39" w:rsidR="0F8F669A" w:rsidRPr="00DD1B58" w:rsidRDefault="0F8F669A" w:rsidP="00973FF4">
      <w:pPr>
        <w:pStyle w:val="NumList1"/>
        <w:rPr>
          <w:lang w:val="en-US"/>
        </w:rPr>
      </w:pPr>
      <w:r w:rsidRPr="00DD1B58">
        <w:rPr>
          <w:lang w:val="en-US"/>
        </w:rPr>
        <w:t>Preventing fires from starting</w:t>
      </w:r>
      <w:r w:rsidR="00F21BEE" w:rsidRPr="00DD1B58">
        <w:rPr>
          <w:lang w:val="en-US"/>
        </w:rPr>
        <w:t>;</w:t>
      </w:r>
    </w:p>
    <w:p w14:paraId="0112D19E" w14:textId="2979672C" w:rsidR="0F8F669A" w:rsidRPr="00DD1B58" w:rsidRDefault="0F8F669A" w:rsidP="00973FF4">
      <w:pPr>
        <w:pStyle w:val="NumList1"/>
        <w:rPr>
          <w:lang w:val="en-US"/>
        </w:rPr>
      </w:pPr>
      <w:r w:rsidRPr="00DD1B58">
        <w:rPr>
          <w:lang w:val="en-US"/>
        </w:rPr>
        <w:t>Detecting and extinguishing quickly those fires which do start</w:t>
      </w:r>
      <w:r w:rsidR="00F21BEE" w:rsidRPr="00DD1B58">
        <w:rPr>
          <w:lang w:val="en-US"/>
        </w:rPr>
        <w:t>; and</w:t>
      </w:r>
    </w:p>
    <w:p w14:paraId="4A004063" w14:textId="3177BDF4" w:rsidR="0F8F669A" w:rsidRPr="00DD1B58" w:rsidRDefault="0F8F669A" w:rsidP="00973FF4">
      <w:pPr>
        <w:pStyle w:val="NumList1"/>
        <w:rPr>
          <w:lang w:val="en-US"/>
        </w:rPr>
      </w:pPr>
      <w:r w:rsidRPr="00DD1B58">
        <w:rPr>
          <w:lang w:val="en-US"/>
        </w:rPr>
        <w:t>Preventing the spread of those fires which have not been extinguished.</w:t>
      </w:r>
    </w:p>
    <w:p w14:paraId="06B2FED4" w14:textId="77777777" w:rsidR="0F8F669A" w:rsidRPr="00DD1B58" w:rsidRDefault="0F8F669A" w:rsidP="355CB971">
      <w:pPr>
        <w:rPr>
          <w:lang w:val="en-US"/>
        </w:rPr>
      </w:pPr>
      <w:r w:rsidRPr="00DD1B58">
        <w:rPr>
          <w:lang w:val="en-US"/>
        </w:rPr>
        <w:lastRenderedPageBreak/>
        <w:t>The first objective requires that plant operation and any modifications to the plant are such that the</w:t>
      </w:r>
      <w:r w:rsidR="6DE26136" w:rsidRPr="00DD1B58">
        <w:rPr>
          <w:lang w:val="en-US"/>
        </w:rPr>
        <w:t xml:space="preserve"> </w:t>
      </w:r>
      <w:r w:rsidRPr="00DD1B58">
        <w:rPr>
          <w:lang w:val="en-US"/>
        </w:rPr>
        <w:t>probability of a fire starting is minimised. The second concerns the extinguishing of fires by a</w:t>
      </w:r>
      <w:r w:rsidR="519E9293" w:rsidRPr="00DD1B58">
        <w:rPr>
          <w:lang w:val="en-US"/>
        </w:rPr>
        <w:t xml:space="preserve"> </w:t>
      </w:r>
      <w:r w:rsidRPr="00DD1B58">
        <w:rPr>
          <w:lang w:val="en-US"/>
        </w:rPr>
        <w:t>combination of automatic and/or manual firefighting techniques, and the third generally involves the</w:t>
      </w:r>
      <w:r w:rsidR="3EAA2D09" w:rsidRPr="00DD1B58">
        <w:rPr>
          <w:lang w:val="en-US"/>
        </w:rPr>
        <w:t xml:space="preserve"> </w:t>
      </w:r>
      <w:r w:rsidRPr="00DD1B58">
        <w:rPr>
          <w:lang w:val="en-US"/>
        </w:rPr>
        <w:t>use of passive fire barriers and segregation of plant to limit the effects of fires.</w:t>
      </w:r>
    </w:p>
    <w:p w14:paraId="1BE6C29D" w14:textId="2C712656" w:rsidR="0F8F669A" w:rsidRPr="00DD1B58" w:rsidRDefault="0F8F669A" w:rsidP="355CB971">
      <w:pPr>
        <w:rPr>
          <w:lang w:val="en-US"/>
        </w:rPr>
      </w:pPr>
      <w:r w:rsidRPr="00DD1B58">
        <w:rPr>
          <w:b/>
          <w:lang w:val="en-US"/>
        </w:rPr>
        <w:t xml:space="preserve">First </w:t>
      </w:r>
      <w:r w:rsidR="00A67620" w:rsidRPr="00DD1B58">
        <w:rPr>
          <w:b/>
          <w:lang w:val="en-US"/>
        </w:rPr>
        <w:t xml:space="preserve">generation </w:t>
      </w:r>
      <w:r w:rsidRPr="00DD1B58">
        <w:rPr>
          <w:b/>
          <w:lang w:val="en-US"/>
        </w:rPr>
        <w:t>AGRs (H</w:t>
      </w:r>
      <w:r w:rsidR="00181ED1" w:rsidRPr="00DD1B58">
        <w:rPr>
          <w:b/>
          <w:lang w:val="en-US"/>
        </w:rPr>
        <w:t>N</w:t>
      </w:r>
      <w:r w:rsidRPr="00DD1B58">
        <w:rPr>
          <w:b/>
          <w:lang w:val="en-US"/>
        </w:rPr>
        <w:t>B)</w:t>
      </w:r>
      <w:r w:rsidR="00A67620" w:rsidRPr="00DD1B58">
        <w:rPr>
          <w:b/>
          <w:lang w:val="en-US"/>
        </w:rPr>
        <w:t>:</w:t>
      </w:r>
      <w:r w:rsidR="0052687D" w:rsidRPr="00DD1B58">
        <w:rPr>
          <w:lang w:val="en-US"/>
        </w:rPr>
        <w:t xml:space="preserve"> </w:t>
      </w:r>
      <w:r w:rsidR="00A67620" w:rsidRPr="00DD1B58">
        <w:rPr>
          <w:lang w:val="en-US"/>
        </w:rPr>
        <w:t>a</w:t>
      </w:r>
      <w:r w:rsidRPr="00DD1B58">
        <w:rPr>
          <w:lang w:val="en-US"/>
        </w:rPr>
        <w:t xml:space="preserve">t the design stage </w:t>
      </w:r>
      <w:r w:rsidR="00A5211F" w:rsidRPr="00DD1B58">
        <w:rPr>
          <w:lang w:val="en-US"/>
        </w:rPr>
        <w:t xml:space="preserve">of HNB, </w:t>
      </w:r>
      <w:r w:rsidRPr="00DD1B58">
        <w:rPr>
          <w:lang w:val="en-US"/>
        </w:rPr>
        <w:t xml:space="preserve">the fire protection philosophy was biased towards </w:t>
      </w:r>
      <w:r w:rsidR="001F65B9" w:rsidRPr="00DD1B58">
        <w:rPr>
          <w:lang w:val="en-US"/>
        </w:rPr>
        <w:t>‘</w:t>
      </w:r>
      <w:r w:rsidRPr="00DD1B58">
        <w:rPr>
          <w:lang w:val="en-US"/>
        </w:rPr>
        <w:t>fire influence</w:t>
      </w:r>
      <w:r w:rsidR="001F65B9" w:rsidRPr="00DD1B58">
        <w:rPr>
          <w:lang w:val="en-US"/>
        </w:rPr>
        <w:t>’</w:t>
      </w:r>
      <w:r w:rsidR="00A67620" w:rsidRPr="00DD1B58">
        <w:rPr>
          <w:lang w:val="en-US"/>
        </w:rPr>
        <w:t>,</w:t>
      </w:r>
      <w:r w:rsidRPr="00DD1B58">
        <w:rPr>
          <w:lang w:val="en-US"/>
        </w:rPr>
        <w:t xml:space="preserve"> i.e.</w:t>
      </w:r>
      <w:r w:rsidR="00312253" w:rsidRPr="00DD1B58">
        <w:rPr>
          <w:lang w:val="en-US"/>
        </w:rPr>
        <w:t>,</w:t>
      </w:r>
      <w:r w:rsidRPr="00DD1B58">
        <w:rPr>
          <w:lang w:val="en-US"/>
        </w:rPr>
        <w:t xml:space="preserve"> fire</w:t>
      </w:r>
      <w:r w:rsidR="3CE67E37" w:rsidRPr="00DD1B58">
        <w:rPr>
          <w:lang w:val="en-US"/>
        </w:rPr>
        <w:t xml:space="preserve"> </w:t>
      </w:r>
      <w:r w:rsidRPr="00DD1B58">
        <w:rPr>
          <w:lang w:val="en-US"/>
        </w:rPr>
        <w:t>detection and suppression. After the Browns Ferry fire</w:t>
      </w:r>
      <w:r w:rsidR="009C63DD" w:rsidRPr="00DD1B58">
        <w:rPr>
          <w:lang w:val="en-US"/>
        </w:rPr>
        <w:t>,</w:t>
      </w:r>
      <w:r w:rsidRPr="00DD1B58">
        <w:rPr>
          <w:lang w:val="en-US"/>
        </w:rPr>
        <w:t xml:space="preserve"> the AGR fire containment was improved</w:t>
      </w:r>
      <w:r w:rsidR="001F65B9" w:rsidRPr="00DD1B58">
        <w:rPr>
          <w:lang w:val="en-US"/>
        </w:rPr>
        <w:t>,</w:t>
      </w:r>
      <w:r w:rsidRPr="00DD1B58">
        <w:rPr>
          <w:lang w:val="en-US"/>
        </w:rPr>
        <w:t xml:space="preserve"> i.e.</w:t>
      </w:r>
      <w:r w:rsidR="00312253" w:rsidRPr="00DD1B58">
        <w:rPr>
          <w:lang w:val="en-US"/>
        </w:rPr>
        <w:t>,</w:t>
      </w:r>
      <w:r w:rsidR="5758B37E" w:rsidRPr="00DD1B58">
        <w:rPr>
          <w:lang w:val="en-US"/>
        </w:rPr>
        <w:t xml:space="preserve"> </w:t>
      </w:r>
      <w:r w:rsidRPr="00DD1B58">
        <w:rPr>
          <w:lang w:val="en-US"/>
        </w:rPr>
        <w:t>more fire compartmentation was added to prevent fire spread if fire suppression failed. Additional lines</w:t>
      </w:r>
      <w:r w:rsidR="67D0D905" w:rsidRPr="00DD1B58">
        <w:rPr>
          <w:lang w:val="en-US"/>
        </w:rPr>
        <w:t xml:space="preserve"> </w:t>
      </w:r>
      <w:r w:rsidRPr="00DD1B58">
        <w:rPr>
          <w:lang w:val="en-US"/>
        </w:rPr>
        <w:t>of protection were added</w:t>
      </w:r>
      <w:r w:rsidR="00312253" w:rsidRPr="00DD1B58">
        <w:rPr>
          <w:lang w:val="en-US"/>
        </w:rPr>
        <w:t xml:space="preserve">, </w:t>
      </w:r>
      <w:r w:rsidR="00040492" w:rsidRPr="00DD1B58">
        <w:rPr>
          <w:lang w:val="en-US"/>
        </w:rPr>
        <w:t>including</w:t>
      </w:r>
      <w:r w:rsidRPr="00DD1B58">
        <w:rPr>
          <w:lang w:val="en-US"/>
        </w:rPr>
        <w:t xml:space="preserve"> diverse Pressure Vessel Cooling Water (PVCW) and </w:t>
      </w:r>
      <w:r w:rsidR="001157C4" w:rsidRPr="00DD1B58">
        <w:rPr>
          <w:lang w:val="en-US"/>
        </w:rPr>
        <w:t xml:space="preserve">the </w:t>
      </w:r>
      <w:r w:rsidRPr="00DD1B58">
        <w:rPr>
          <w:lang w:val="en-US"/>
        </w:rPr>
        <w:t>Back-Up Cooling</w:t>
      </w:r>
      <w:r w:rsidR="399C53BA" w:rsidRPr="00DD1B58">
        <w:rPr>
          <w:lang w:val="en-US"/>
        </w:rPr>
        <w:t xml:space="preserve"> </w:t>
      </w:r>
      <w:r w:rsidRPr="00DD1B58">
        <w:rPr>
          <w:lang w:val="en-US"/>
        </w:rPr>
        <w:t>System (BUCS)</w:t>
      </w:r>
      <w:r w:rsidR="00312253" w:rsidRPr="00DD1B58">
        <w:rPr>
          <w:lang w:val="en-US"/>
        </w:rPr>
        <w:t>,</w:t>
      </w:r>
      <w:r w:rsidRPr="00DD1B58">
        <w:rPr>
          <w:lang w:val="en-US"/>
        </w:rPr>
        <w:t xml:space="preserve"> which are both physically remote or separated from the other lines of protection such</w:t>
      </w:r>
      <w:r w:rsidR="2F43A4EA" w:rsidRPr="00DD1B58">
        <w:rPr>
          <w:lang w:val="en-US"/>
        </w:rPr>
        <w:t xml:space="preserve"> </w:t>
      </w:r>
      <w:r w:rsidRPr="00DD1B58">
        <w:rPr>
          <w:lang w:val="en-US"/>
        </w:rPr>
        <w:t xml:space="preserve">that fire cannot affect both at the same time. As a </w:t>
      </w:r>
      <w:r w:rsidR="00F76B35" w:rsidRPr="00DD1B58">
        <w:rPr>
          <w:lang w:val="en-US"/>
        </w:rPr>
        <w:t>result,</w:t>
      </w:r>
      <w:r w:rsidRPr="00DD1B58">
        <w:rPr>
          <w:lang w:val="en-US"/>
        </w:rPr>
        <w:t xml:space="preserve"> the nuclear fire safety case can tolerate full</w:t>
      </w:r>
      <w:r w:rsidR="68185740" w:rsidRPr="00DD1B58">
        <w:rPr>
          <w:lang w:val="en-US"/>
        </w:rPr>
        <w:t xml:space="preserve"> </w:t>
      </w:r>
      <w:r w:rsidRPr="00DD1B58">
        <w:rPr>
          <w:lang w:val="en-US"/>
        </w:rPr>
        <w:t>compartment burn out</w:t>
      </w:r>
      <w:r w:rsidR="001157C4" w:rsidRPr="00DD1B58">
        <w:rPr>
          <w:lang w:val="en-US"/>
        </w:rPr>
        <w:t>,</w:t>
      </w:r>
      <w:r w:rsidRPr="00DD1B58">
        <w:rPr>
          <w:lang w:val="en-US"/>
        </w:rPr>
        <w:t xml:space="preserve"> </w:t>
      </w:r>
      <w:r w:rsidR="00040492" w:rsidRPr="00DD1B58">
        <w:rPr>
          <w:lang w:val="en-US"/>
        </w:rPr>
        <w:t xml:space="preserve">such as </w:t>
      </w:r>
      <w:r w:rsidRPr="00DD1B58">
        <w:rPr>
          <w:lang w:val="en-US"/>
        </w:rPr>
        <w:t>loss of the contents of entire cable flat due to fire and all the equipment that</w:t>
      </w:r>
      <w:r w:rsidR="392F7787" w:rsidRPr="00DD1B58">
        <w:rPr>
          <w:lang w:val="en-US"/>
        </w:rPr>
        <w:t xml:space="preserve"> </w:t>
      </w:r>
      <w:r w:rsidRPr="00DD1B58">
        <w:rPr>
          <w:lang w:val="en-US"/>
        </w:rPr>
        <w:t>it supports. Detection, suppression and compartmentation prevents the fire spreading beyond the</w:t>
      </w:r>
      <w:r w:rsidR="5CCA8378" w:rsidRPr="00DD1B58">
        <w:rPr>
          <w:lang w:val="en-US"/>
        </w:rPr>
        <w:t xml:space="preserve"> </w:t>
      </w:r>
      <w:r w:rsidRPr="00DD1B58">
        <w:rPr>
          <w:lang w:val="en-US"/>
        </w:rPr>
        <w:t>compartment of origin.</w:t>
      </w:r>
      <w:r w:rsidR="00F76B35" w:rsidRPr="00DD1B58">
        <w:rPr>
          <w:lang w:val="en-US"/>
        </w:rPr>
        <w:t xml:space="preserve"> </w:t>
      </w:r>
      <w:r w:rsidRPr="00DD1B58">
        <w:rPr>
          <w:lang w:val="en-US"/>
        </w:rPr>
        <w:t>Specific plant items were also given dedicated fire protection.</w:t>
      </w:r>
      <w:r w:rsidR="006E73D6" w:rsidRPr="00DD1B58">
        <w:rPr>
          <w:lang w:val="en-US"/>
        </w:rPr>
        <w:t xml:space="preserve"> </w:t>
      </w:r>
      <w:r w:rsidRPr="00DD1B58">
        <w:rPr>
          <w:lang w:val="en-US"/>
        </w:rPr>
        <w:t>In summary, the station started mainly with the fire influence approach, but the deterministic fire safety</w:t>
      </w:r>
      <w:r w:rsidR="783B724D" w:rsidRPr="00DD1B58">
        <w:rPr>
          <w:lang w:val="en-US"/>
        </w:rPr>
        <w:t xml:space="preserve"> </w:t>
      </w:r>
      <w:r w:rsidRPr="00DD1B58">
        <w:rPr>
          <w:lang w:val="en-US"/>
        </w:rPr>
        <w:t>philosophy is now a mixture of influence and containment.</w:t>
      </w:r>
      <w:r w:rsidR="006E73D6" w:rsidRPr="00DD1B58">
        <w:rPr>
          <w:lang w:val="en-US"/>
        </w:rPr>
        <w:t xml:space="preserve"> </w:t>
      </w:r>
      <w:r w:rsidR="00B11A7D" w:rsidRPr="00DD1B58">
        <w:rPr>
          <w:lang w:val="en-US"/>
        </w:rPr>
        <w:t xml:space="preserve">Further detail on the </w:t>
      </w:r>
      <w:r w:rsidR="00040492" w:rsidRPr="00DD1B58">
        <w:rPr>
          <w:lang w:val="en-US"/>
        </w:rPr>
        <w:t xml:space="preserve">first </w:t>
      </w:r>
      <w:r w:rsidR="00B11A7D" w:rsidRPr="00DD1B58">
        <w:rPr>
          <w:lang w:val="en-US"/>
        </w:rPr>
        <w:t xml:space="preserve">generation AGRs is provided in the EDF NGL submission </w:t>
      </w:r>
      <w:sdt>
        <w:sdtPr>
          <w:rPr>
            <w:lang w:val="en-US"/>
          </w:rPr>
          <w:id w:val="-281798900"/>
          <w:citation/>
        </w:sdtPr>
        <w:sdtContent>
          <w:r w:rsidR="00B11A7D" w:rsidRPr="00DD1B58">
            <w:rPr>
              <w:lang w:val="en-US"/>
            </w:rPr>
            <w:fldChar w:fldCharType="begin"/>
          </w:r>
          <w:r w:rsidR="00B11A7D" w:rsidRPr="00DD1B58">
            <w:rPr>
              <w:lang w:val="en-US"/>
            </w:rPr>
            <w:instrText xml:space="preserve"> CITATION EDF231 \l 2057 </w:instrText>
          </w:r>
          <w:r w:rsidR="00B11A7D" w:rsidRPr="00DD1B58">
            <w:rPr>
              <w:lang w:val="en-US"/>
            </w:rPr>
            <w:fldChar w:fldCharType="separate"/>
          </w:r>
          <w:r w:rsidR="00DF47DA" w:rsidRPr="00DF47DA">
            <w:rPr>
              <w:noProof/>
              <w:lang w:val="en-US"/>
            </w:rPr>
            <w:t>[25]</w:t>
          </w:r>
          <w:r w:rsidR="00B11A7D" w:rsidRPr="00DD1B58">
            <w:rPr>
              <w:lang w:val="en-US"/>
            </w:rPr>
            <w:fldChar w:fldCharType="end"/>
          </w:r>
        </w:sdtContent>
      </w:sdt>
      <w:r w:rsidR="00B11A7D" w:rsidRPr="00DD1B58">
        <w:rPr>
          <w:lang w:val="en-US"/>
        </w:rPr>
        <w:t xml:space="preserve">. </w:t>
      </w:r>
    </w:p>
    <w:p w14:paraId="7EC4D254" w14:textId="2B71A4D7" w:rsidR="2469F263" w:rsidRPr="00DD1B58" w:rsidRDefault="2469F263" w:rsidP="00600359">
      <w:pPr>
        <w:pStyle w:val="pf0"/>
        <w:rPr>
          <w:rFonts w:asciiTheme="minorHAnsi" w:hAnsiTheme="minorHAnsi" w:cstheme="minorHAnsi"/>
          <w:lang w:val="en-US"/>
        </w:rPr>
      </w:pPr>
      <w:r w:rsidRPr="00DD1B58">
        <w:rPr>
          <w:rFonts w:asciiTheme="minorHAnsi" w:hAnsiTheme="minorHAnsi" w:cstheme="minorHAnsi"/>
          <w:b/>
          <w:lang w:val="en-US"/>
        </w:rPr>
        <w:t xml:space="preserve">Second </w:t>
      </w:r>
      <w:r w:rsidR="00A67620" w:rsidRPr="00DD1B58">
        <w:rPr>
          <w:rFonts w:asciiTheme="minorHAnsi" w:hAnsiTheme="minorHAnsi" w:cstheme="minorHAnsi"/>
          <w:b/>
          <w:lang w:val="en-US"/>
        </w:rPr>
        <w:t xml:space="preserve">generation </w:t>
      </w:r>
      <w:r w:rsidRPr="00DD1B58">
        <w:rPr>
          <w:rFonts w:asciiTheme="minorHAnsi" w:hAnsiTheme="minorHAnsi" w:cstheme="minorHAnsi"/>
          <w:b/>
          <w:lang w:val="en-US"/>
        </w:rPr>
        <w:t>AGRs (</w:t>
      </w:r>
      <w:r w:rsidR="009355E7" w:rsidRPr="00DD1B58">
        <w:rPr>
          <w:rFonts w:asciiTheme="minorHAnsi" w:hAnsiTheme="minorHAnsi" w:cstheme="minorHAnsi"/>
          <w:b/>
          <w:lang w:val="en-US"/>
        </w:rPr>
        <w:t>HY2</w:t>
      </w:r>
      <w:r w:rsidRPr="00DD1B58">
        <w:rPr>
          <w:rFonts w:asciiTheme="minorHAnsi" w:hAnsiTheme="minorHAnsi" w:cstheme="minorHAnsi"/>
          <w:b/>
          <w:lang w:val="en-US"/>
        </w:rPr>
        <w:t>)</w:t>
      </w:r>
      <w:r w:rsidR="00FC0248" w:rsidRPr="00DD1B58">
        <w:rPr>
          <w:rFonts w:asciiTheme="minorHAnsi" w:hAnsiTheme="minorHAnsi" w:cstheme="minorHAnsi"/>
          <w:b/>
          <w:lang w:val="en-US"/>
        </w:rPr>
        <w:t xml:space="preserve"> </w:t>
      </w:r>
      <w:r w:rsidR="00B26A5F" w:rsidRPr="00DD1B58">
        <w:rPr>
          <w:rFonts w:asciiTheme="minorHAnsi" w:hAnsiTheme="minorHAnsi" w:cstheme="minorHAnsi"/>
          <w:bCs/>
          <w:lang w:val="en-US"/>
        </w:rPr>
        <w:t>-</w:t>
      </w:r>
      <w:r w:rsidR="00FC0248" w:rsidRPr="00DD1B58">
        <w:rPr>
          <w:rFonts w:asciiTheme="minorHAnsi" w:hAnsiTheme="minorHAnsi" w:cstheme="minorHAnsi"/>
          <w:b/>
          <w:lang w:val="en-US"/>
        </w:rPr>
        <w:t xml:space="preserve"> </w:t>
      </w:r>
      <w:r w:rsidR="009355E7" w:rsidRPr="00DD1B58">
        <w:rPr>
          <w:rFonts w:asciiTheme="minorHAnsi" w:eastAsia="Calibri" w:hAnsiTheme="minorHAnsi" w:cstheme="minorHAnsi"/>
          <w:szCs w:val="22"/>
          <w:lang w:val="en-US" w:eastAsia="en-US" w:bidi="he-IL"/>
        </w:rPr>
        <w:t>EDF NGL’s</w:t>
      </w:r>
      <w:r w:rsidR="009355E7" w:rsidRPr="00DD1B58">
        <w:rPr>
          <w:rFonts w:ascii="Arial" w:eastAsia="Calibri" w:hAnsi="Arial" w:cs="Arial"/>
          <w:szCs w:val="22"/>
          <w:lang w:val="en-US" w:eastAsia="en-US" w:bidi="he-IL"/>
        </w:rPr>
        <w:t xml:space="preserve"> </w:t>
      </w:r>
      <w:r w:rsidRPr="00DD1B58">
        <w:rPr>
          <w:rFonts w:ascii="Arial" w:eastAsia="Calibri" w:hAnsi="Arial" w:cs="Arial"/>
          <w:szCs w:val="22"/>
          <w:lang w:val="en-US" w:eastAsia="en-US" w:bidi="he-IL"/>
        </w:rPr>
        <w:t xml:space="preserve">deterministic fire hazards safety case </w:t>
      </w:r>
      <w:r w:rsidR="009355E7" w:rsidRPr="00DD1B58">
        <w:rPr>
          <w:rFonts w:ascii="Arial" w:eastAsia="Calibri" w:hAnsi="Arial" w:cs="Arial"/>
          <w:szCs w:val="22"/>
          <w:lang w:val="en-US" w:eastAsia="en-US" w:bidi="he-IL"/>
        </w:rPr>
        <w:t>for HY2</w:t>
      </w:r>
      <w:r w:rsidRPr="00DD1B58">
        <w:rPr>
          <w:rFonts w:ascii="Arial" w:eastAsia="Calibri" w:hAnsi="Arial" w:cs="Arial"/>
          <w:szCs w:val="22"/>
          <w:lang w:val="en-US" w:eastAsia="en-US" w:bidi="he-IL"/>
        </w:rPr>
        <w:t xml:space="preserve"> assesses the design for ensuring nuclear safety and provides</w:t>
      </w:r>
      <w:r w:rsidR="51C87796" w:rsidRPr="00DD1B58">
        <w:rPr>
          <w:rFonts w:ascii="Arial" w:eastAsia="Calibri" w:hAnsi="Arial" w:cs="Arial"/>
          <w:szCs w:val="22"/>
          <w:lang w:val="en-US" w:eastAsia="en-US" w:bidi="he-IL"/>
        </w:rPr>
        <w:t xml:space="preserve"> </w:t>
      </w:r>
      <w:r w:rsidRPr="00DD1B58">
        <w:rPr>
          <w:rFonts w:ascii="Arial" w:eastAsia="Calibri" w:hAnsi="Arial" w:cs="Arial"/>
          <w:szCs w:val="22"/>
          <w:lang w:val="en-US" w:eastAsia="en-US" w:bidi="he-IL"/>
        </w:rPr>
        <w:t xml:space="preserve">substantiation </w:t>
      </w:r>
      <w:r w:rsidR="00C300D3" w:rsidRPr="00DD1B58">
        <w:rPr>
          <w:rFonts w:ascii="Arial" w:eastAsia="Calibri" w:hAnsi="Arial" w:cs="Arial"/>
          <w:szCs w:val="22"/>
          <w:lang w:val="en-US" w:eastAsia="en-US" w:bidi="he-IL"/>
        </w:rPr>
        <w:t>for EDF NGL’s</w:t>
      </w:r>
      <w:r w:rsidRPr="00DD1B58">
        <w:rPr>
          <w:rFonts w:ascii="Arial" w:eastAsia="Calibri" w:hAnsi="Arial" w:cs="Arial"/>
          <w:szCs w:val="22"/>
          <w:lang w:val="en-US" w:eastAsia="en-US" w:bidi="he-IL"/>
        </w:rPr>
        <w:t xml:space="preserve"> claim that, when operated in accordance with the design intent,</w:t>
      </w:r>
      <w:r w:rsidR="5A905C86" w:rsidRPr="00DD1B58">
        <w:rPr>
          <w:rFonts w:ascii="Arial" w:eastAsia="Calibri" w:hAnsi="Arial" w:cs="Arial"/>
          <w:szCs w:val="22"/>
          <w:lang w:val="en-US" w:eastAsia="en-US" w:bidi="he-IL"/>
        </w:rPr>
        <w:t xml:space="preserve"> </w:t>
      </w:r>
      <w:r w:rsidRPr="00DD1B58">
        <w:rPr>
          <w:rFonts w:ascii="Arial" w:eastAsia="Calibri" w:hAnsi="Arial" w:cs="Arial"/>
          <w:szCs w:val="22"/>
          <w:lang w:val="en-US" w:eastAsia="en-US" w:bidi="he-IL"/>
        </w:rPr>
        <w:t xml:space="preserve">the station </w:t>
      </w:r>
      <w:r w:rsidR="00C300D3" w:rsidRPr="00DD1B58">
        <w:rPr>
          <w:rFonts w:ascii="Arial" w:eastAsia="Calibri" w:hAnsi="Arial" w:cs="Arial"/>
          <w:szCs w:val="22"/>
          <w:lang w:val="en-US" w:eastAsia="en-US" w:bidi="he-IL"/>
        </w:rPr>
        <w:t>is</w:t>
      </w:r>
      <w:r w:rsidRPr="00DD1B58">
        <w:rPr>
          <w:rFonts w:ascii="Arial" w:eastAsia="Calibri" w:hAnsi="Arial" w:cs="Arial"/>
          <w:szCs w:val="22"/>
          <w:lang w:val="en-US" w:eastAsia="en-US" w:bidi="he-IL"/>
        </w:rPr>
        <w:t xml:space="preserve"> adequately safe. </w:t>
      </w:r>
      <w:r w:rsidR="00A85CAC" w:rsidRPr="00DD1B58">
        <w:rPr>
          <w:rFonts w:ascii="Arial" w:hAnsi="Arial" w:cs="Arial"/>
          <w:lang w:val="en-US"/>
        </w:rPr>
        <w:t>The HY2 design is based on quadrantisation of the safety systems providing essential safety functions, with either distance or physical barriers between them. The fire barriers separating trains 1 and 2 from trains 3 and 4 are four hour-rated barriers; the fire barriers between trains 1 and 2 are one hour-rated barriers, as are the fire barriers between trains 3 and 4.</w:t>
      </w:r>
      <w:r w:rsidR="00A85CAC" w:rsidRPr="00DD1B58">
        <w:rPr>
          <w:rFonts w:ascii="Arial" w:eastAsia="Calibri" w:hAnsi="Arial" w:cs="Arial"/>
          <w:lang w:val="en-US" w:eastAsia="en-US" w:bidi="he-IL"/>
        </w:rPr>
        <w:t xml:space="preserve"> </w:t>
      </w:r>
      <w:r w:rsidRPr="00DD1B58">
        <w:rPr>
          <w:rFonts w:asciiTheme="minorHAnsi" w:hAnsiTheme="minorHAnsi" w:cstheme="minorHAnsi"/>
          <w:lang w:val="en-US"/>
        </w:rPr>
        <w:t>The overall approach for faults and hazards, including fire, is based</w:t>
      </w:r>
      <w:r w:rsidR="099979B8" w:rsidRPr="00DD1B58">
        <w:rPr>
          <w:rFonts w:asciiTheme="minorHAnsi" w:hAnsiTheme="minorHAnsi" w:cstheme="minorHAnsi"/>
          <w:lang w:val="en-US"/>
        </w:rPr>
        <w:t xml:space="preserve"> </w:t>
      </w:r>
      <w:r w:rsidRPr="00DD1B58">
        <w:rPr>
          <w:rFonts w:asciiTheme="minorHAnsi" w:hAnsiTheme="minorHAnsi" w:cstheme="minorHAnsi"/>
          <w:lang w:val="en-US"/>
        </w:rPr>
        <w:t>on the concept of defence in depth i.e. overlapping provisions that are built into the fundamental design</w:t>
      </w:r>
      <w:r w:rsidR="07065EF5" w:rsidRPr="00DD1B58">
        <w:rPr>
          <w:rFonts w:asciiTheme="minorHAnsi" w:hAnsiTheme="minorHAnsi" w:cstheme="minorHAnsi"/>
          <w:lang w:val="en-US"/>
        </w:rPr>
        <w:t xml:space="preserve"> </w:t>
      </w:r>
      <w:r w:rsidRPr="00DD1B58">
        <w:rPr>
          <w:rFonts w:asciiTheme="minorHAnsi" w:hAnsiTheme="minorHAnsi" w:cstheme="minorHAnsi"/>
          <w:lang w:val="en-US"/>
        </w:rPr>
        <w:t>and operation of the plant in order to prevent, protect and mitigate the effects of an initiating event.</w:t>
      </w:r>
    </w:p>
    <w:p w14:paraId="5FC5E3CA" w14:textId="6783C4A4" w:rsidR="2469F263" w:rsidRPr="00DD1B58" w:rsidRDefault="2469F263" w:rsidP="355CB971">
      <w:pPr>
        <w:rPr>
          <w:lang w:val="en-US"/>
        </w:rPr>
      </w:pPr>
      <w:r w:rsidRPr="00DD1B58">
        <w:rPr>
          <w:lang w:val="en-US"/>
        </w:rPr>
        <w:t>At HY2, damage limitation measures against fire hazards have historically been based on passive</w:t>
      </w:r>
      <w:r w:rsidR="5FE9D94D" w:rsidRPr="00DD1B58">
        <w:rPr>
          <w:lang w:val="en-US"/>
        </w:rPr>
        <w:t xml:space="preserve"> </w:t>
      </w:r>
      <w:r w:rsidRPr="00DD1B58">
        <w:rPr>
          <w:lang w:val="en-US"/>
        </w:rPr>
        <w:t>protection provided through segregation of essential plant by fire barriers and</w:t>
      </w:r>
      <w:r w:rsidR="007C3F42" w:rsidRPr="00DD1B58">
        <w:rPr>
          <w:lang w:val="en-US"/>
        </w:rPr>
        <w:t>/</w:t>
      </w:r>
      <w:r w:rsidRPr="00DD1B58">
        <w:rPr>
          <w:lang w:val="en-US"/>
        </w:rPr>
        <w:t>or separation. It was</w:t>
      </w:r>
      <w:r w:rsidR="228B1D2F" w:rsidRPr="00DD1B58">
        <w:rPr>
          <w:lang w:val="en-US"/>
        </w:rPr>
        <w:t xml:space="preserve"> </w:t>
      </w:r>
      <w:r w:rsidRPr="00DD1B58">
        <w:rPr>
          <w:lang w:val="en-US"/>
        </w:rPr>
        <w:t xml:space="preserve">originally intended that the manual and automatic Fire Detection </w:t>
      </w:r>
      <w:r w:rsidR="007437C7" w:rsidRPr="00DD1B58">
        <w:rPr>
          <w:lang w:val="en-US"/>
        </w:rPr>
        <w:t>and</w:t>
      </w:r>
      <w:r w:rsidRPr="00DD1B58">
        <w:rPr>
          <w:lang w:val="en-US"/>
        </w:rPr>
        <w:t xml:space="preserve"> Suppression Systems (FDSS)</w:t>
      </w:r>
      <w:r w:rsidR="7917905E" w:rsidRPr="00DD1B58">
        <w:rPr>
          <w:lang w:val="en-US"/>
        </w:rPr>
        <w:t xml:space="preserve"> </w:t>
      </w:r>
      <w:r w:rsidRPr="00DD1B58">
        <w:rPr>
          <w:lang w:val="en-US"/>
        </w:rPr>
        <w:t>provide an additional layer of defence in the form of fire mitigation, with the safety case stating that</w:t>
      </w:r>
      <w:r w:rsidR="6BAAFB47" w:rsidRPr="00DD1B58">
        <w:rPr>
          <w:lang w:val="en-US"/>
        </w:rPr>
        <w:t xml:space="preserve"> </w:t>
      </w:r>
      <w:r w:rsidRPr="00DD1B58">
        <w:rPr>
          <w:lang w:val="en-US"/>
        </w:rPr>
        <w:t>these systems were not ‘claimed’ for this duty, owing to the fundamental design philosophy of passive</w:t>
      </w:r>
      <w:r w:rsidR="6B506132" w:rsidRPr="00DD1B58">
        <w:rPr>
          <w:lang w:val="en-US"/>
        </w:rPr>
        <w:t xml:space="preserve"> </w:t>
      </w:r>
      <w:r w:rsidRPr="00DD1B58">
        <w:rPr>
          <w:lang w:val="en-US"/>
        </w:rPr>
        <w:t>protection. The FDSS were also not considered a necessity due to the ability of the Reactor Protection</w:t>
      </w:r>
      <w:r w:rsidR="15164F05" w:rsidRPr="00DD1B58">
        <w:rPr>
          <w:lang w:val="en-US"/>
        </w:rPr>
        <w:t xml:space="preserve"> </w:t>
      </w:r>
      <w:r w:rsidRPr="00DD1B58">
        <w:rPr>
          <w:lang w:val="en-US"/>
        </w:rPr>
        <w:t>System (RPS) to detect changes in plant operation which could impact safety and the fault tolerant</w:t>
      </w:r>
      <w:r w:rsidR="20A7B3D0" w:rsidRPr="00DD1B58">
        <w:rPr>
          <w:lang w:val="en-US"/>
        </w:rPr>
        <w:t xml:space="preserve"> </w:t>
      </w:r>
      <w:r w:rsidRPr="00DD1B58">
        <w:rPr>
          <w:lang w:val="en-US"/>
        </w:rPr>
        <w:t>design of essential safety systems.</w:t>
      </w:r>
    </w:p>
    <w:p w14:paraId="45C09F37" w14:textId="65C573F0" w:rsidR="355CB971" w:rsidRPr="00DD1B58" w:rsidRDefault="2469F263">
      <w:pPr>
        <w:rPr>
          <w:lang w:val="en-US"/>
        </w:rPr>
      </w:pPr>
      <w:r w:rsidRPr="00DD1B58">
        <w:rPr>
          <w:lang w:val="en-US"/>
        </w:rPr>
        <w:t xml:space="preserve">However, since going into commercial operation, </w:t>
      </w:r>
      <w:r w:rsidR="00420427" w:rsidRPr="00DD1B58">
        <w:rPr>
          <w:lang w:val="en-US"/>
        </w:rPr>
        <w:t xml:space="preserve">EDF NGL’s </w:t>
      </w:r>
      <w:r w:rsidRPr="00DD1B58">
        <w:rPr>
          <w:lang w:val="en-US"/>
        </w:rPr>
        <w:t>reviews and assessments of the fire hazards</w:t>
      </w:r>
      <w:r w:rsidR="0A4EB7AA" w:rsidRPr="00DD1B58">
        <w:rPr>
          <w:lang w:val="en-US"/>
        </w:rPr>
        <w:t xml:space="preserve"> </w:t>
      </w:r>
      <w:r w:rsidRPr="00DD1B58">
        <w:rPr>
          <w:lang w:val="en-US"/>
        </w:rPr>
        <w:t>safety case e.g. at PSR1 and PSR2, development of the PSA and development of the Station Safety</w:t>
      </w:r>
      <w:r w:rsidR="4C45CE7C" w:rsidRPr="00DD1B58">
        <w:rPr>
          <w:lang w:val="en-US"/>
        </w:rPr>
        <w:t xml:space="preserve"> R</w:t>
      </w:r>
      <w:r w:rsidRPr="00DD1B58">
        <w:rPr>
          <w:lang w:val="en-US"/>
        </w:rPr>
        <w:t>eport, as well as safety case revisions, have placed a small number of claims on the FDSSs. Hence the</w:t>
      </w:r>
      <w:r w:rsidR="42CC61C5" w:rsidRPr="00DD1B58">
        <w:rPr>
          <w:lang w:val="en-US"/>
        </w:rPr>
        <w:t xml:space="preserve"> </w:t>
      </w:r>
      <w:r w:rsidRPr="00DD1B58">
        <w:rPr>
          <w:lang w:val="en-US"/>
        </w:rPr>
        <w:t>deterministic approach to fire hazard risk management is based on the passive protection provided by</w:t>
      </w:r>
      <w:r w:rsidR="4A73F797" w:rsidRPr="00DD1B58">
        <w:rPr>
          <w:lang w:val="en-US"/>
        </w:rPr>
        <w:t xml:space="preserve"> </w:t>
      </w:r>
      <w:r w:rsidRPr="00DD1B58">
        <w:rPr>
          <w:lang w:val="en-US"/>
        </w:rPr>
        <w:t xml:space="preserve">fire barrier segregation to limit </w:t>
      </w:r>
      <w:r w:rsidRPr="00DD1B58">
        <w:rPr>
          <w:lang w:val="en-US"/>
        </w:rPr>
        <w:lastRenderedPageBreak/>
        <w:t>the damage caused by fires, supplemented by claims on active</w:t>
      </w:r>
      <w:r w:rsidR="291D058E" w:rsidRPr="00DD1B58">
        <w:rPr>
          <w:lang w:val="en-US"/>
        </w:rPr>
        <w:t xml:space="preserve"> </w:t>
      </w:r>
      <w:r w:rsidRPr="00DD1B58">
        <w:rPr>
          <w:lang w:val="en-US"/>
        </w:rPr>
        <w:t>protection.</w:t>
      </w:r>
      <w:r w:rsidR="009276E1" w:rsidRPr="00DD1B58">
        <w:rPr>
          <w:lang w:val="en-US"/>
        </w:rPr>
        <w:t xml:space="preserve"> Further detail on the deterministic fire safety case at </w:t>
      </w:r>
      <w:r w:rsidR="00FE1463" w:rsidRPr="00DD1B58">
        <w:rPr>
          <w:lang w:val="en-US"/>
        </w:rPr>
        <w:t>HY2 is provided in the EDF NGL submission</w:t>
      </w:r>
      <w:sdt>
        <w:sdtPr>
          <w:rPr>
            <w:lang w:val="en-US"/>
          </w:rPr>
          <w:id w:val="1868637159"/>
          <w:citation/>
        </w:sdtPr>
        <w:sdtContent>
          <w:r w:rsidR="00FE1463" w:rsidRPr="00DD1B58">
            <w:rPr>
              <w:lang w:val="en-US"/>
            </w:rPr>
            <w:fldChar w:fldCharType="begin"/>
          </w:r>
          <w:r w:rsidR="00FE1463" w:rsidRPr="00DD1B58">
            <w:rPr>
              <w:lang w:val="en-US"/>
            </w:rPr>
            <w:instrText xml:space="preserve"> CITATION EDF231 \l 2057 </w:instrText>
          </w:r>
          <w:r w:rsidR="00FE1463" w:rsidRPr="00DD1B58">
            <w:rPr>
              <w:lang w:val="en-US"/>
            </w:rPr>
            <w:fldChar w:fldCharType="separate"/>
          </w:r>
          <w:r w:rsidR="00DF47DA">
            <w:rPr>
              <w:noProof/>
              <w:lang w:val="en-US"/>
            </w:rPr>
            <w:t xml:space="preserve"> </w:t>
          </w:r>
          <w:r w:rsidR="00DF47DA" w:rsidRPr="00DF47DA">
            <w:rPr>
              <w:noProof/>
              <w:lang w:val="en-US"/>
            </w:rPr>
            <w:t>[25]</w:t>
          </w:r>
          <w:r w:rsidR="00FE1463" w:rsidRPr="00DD1B58">
            <w:rPr>
              <w:lang w:val="en-US"/>
            </w:rPr>
            <w:fldChar w:fldCharType="end"/>
          </w:r>
        </w:sdtContent>
      </w:sdt>
      <w:r w:rsidR="00FE1463" w:rsidRPr="00DD1B58">
        <w:rPr>
          <w:lang w:val="en-US"/>
        </w:rPr>
        <w:t>.</w:t>
      </w:r>
    </w:p>
    <w:p w14:paraId="09A8CADD" w14:textId="5076BEBC" w:rsidR="45027991" w:rsidRPr="00DD1B58" w:rsidRDefault="45027991" w:rsidP="355CB971">
      <w:pPr>
        <w:rPr>
          <w:lang w:val="en-US"/>
        </w:rPr>
      </w:pPr>
      <w:r w:rsidRPr="00DD1B58">
        <w:rPr>
          <w:b/>
          <w:lang w:val="en-US"/>
        </w:rPr>
        <w:t>Sizewell B</w:t>
      </w:r>
      <w:r w:rsidR="00D30654" w:rsidRPr="00DD1B58">
        <w:rPr>
          <w:b/>
          <w:lang w:val="en-US"/>
        </w:rPr>
        <w:t>:</w:t>
      </w:r>
      <w:r w:rsidR="00855347" w:rsidRPr="00DD1B58">
        <w:rPr>
          <w:b/>
          <w:lang w:val="en-US"/>
        </w:rPr>
        <w:t xml:space="preserve"> </w:t>
      </w:r>
      <w:r w:rsidR="00D30654" w:rsidRPr="00DD1B58">
        <w:rPr>
          <w:lang w:val="en-US"/>
        </w:rPr>
        <w:t>t</w:t>
      </w:r>
      <w:r w:rsidRPr="00DD1B58">
        <w:rPr>
          <w:lang w:val="en-US"/>
        </w:rPr>
        <w:t>he SZB design has four trains of equipment that are segregated from each other by three</w:t>
      </w:r>
      <w:r w:rsidR="00ED1B50" w:rsidRPr="00DD1B58">
        <w:rPr>
          <w:lang w:val="en-US"/>
        </w:rPr>
        <w:t>-</w:t>
      </w:r>
      <w:r w:rsidRPr="00DD1B58">
        <w:rPr>
          <w:lang w:val="en-US"/>
        </w:rPr>
        <w:t xml:space="preserve">hour fire barriers. The combustible loads within these fire barriers were assessed as part of the design process, and </w:t>
      </w:r>
      <w:r w:rsidR="00681F9F" w:rsidRPr="00DD1B58">
        <w:rPr>
          <w:lang w:val="en-US"/>
        </w:rPr>
        <w:t xml:space="preserve">EDF NGL </w:t>
      </w:r>
      <w:r w:rsidRPr="00DD1B58">
        <w:rPr>
          <w:lang w:val="en-US"/>
        </w:rPr>
        <w:t>confirmed that the fire loads are within the capability of the fire barriers.</w:t>
      </w:r>
    </w:p>
    <w:p w14:paraId="2B7B3782" w14:textId="76800936" w:rsidR="45027991" w:rsidRPr="00DD1B58" w:rsidRDefault="45027991" w:rsidP="355CB971">
      <w:pPr>
        <w:rPr>
          <w:lang w:val="en-US"/>
        </w:rPr>
      </w:pPr>
      <w:r w:rsidRPr="00DD1B58">
        <w:rPr>
          <w:lang w:val="en-US"/>
        </w:rPr>
        <w:t xml:space="preserve">The deterministic design against internal hazards, including fire, was based on the </w:t>
      </w:r>
      <w:r w:rsidR="00BB378C" w:rsidRPr="00DD1B58">
        <w:rPr>
          <w:lang w:val="en-US"/>
        </w:rPr>
        <w:t>so-</w:t>
      </w:r>
      <w:r w:rsidRPr="00DD1B58">
        <w:rPr>
          <w:lang w:val="en-US"/>
        </w:rPr>
        <w:t>called ‘single failure criterion’, which is:</w:t>
      </w:r>
    </w:p>
    <w:p w14:paraId="310D4B0C" w14:textId="59B6C9B1" w:rsidR="45027991" w:rsidRPr="00DD1B58" w:rsidRDefault="00BB378C" w:rsidP="001B13EA">
      <w:pPr>
        <w:pStyle w:val="Bulletlist1"/>
        <w:rPr>
          <w:lang w:val="en-US"/>
        </w:rPr>
      </w:pPr>
      <w:r w:rsidRPr="00DD1B58">
        <w:rPr>
          <w:lang w:val="en-US"/>
        </w:rPr>
        <w:t>o</w:t>
      </w:r>
      <w:r w:rsidR="45027991" w:rsidRPr="00DD1B58">
        <w:rPr>
          <w:lang w:val="en-US"/>
        </w:rPr>
        <w:t>ne train may fail due to the hazard</w:t>
      </w:r>
    </w:p>
    <w:p w14:paraId="6604D683" w14:textId="2D65E6C6" w:rsidR="45027991" w:rsidRPr="00DD1B58" w:rsidRDefault="00BB378C" w:rsidP="001B13EA">
      <w:pPr>
        <w:pStyle w:val="Bulletlist1"/>
        <w:rPr>
          <w:lang w:val="en-US"/>
        </w:rPr>
      </w:pPr>
      <w:r w:rsidRPr="00DD1B58">
        <w:rPr>
          <w:lang w:val="en-US"/>
        </w:rPr>
        <w:t>o</w:t>
      </w:r>
      <w:r w:rsidR="45027991" w:rsidRPr="00DD1B58">
        <w:rPr>
          <w:lang w:val="en-US"/>
        </w:rPr>
        <w:t>ne train may be unavailable due to maintenance</w:t>
      </w:r>
    </w:p>
    <w:p w14:paraId="62A6408C" w14:textId="40D73902" w:rsidR="45027991" w:rsidRPr="00DD1B58" w:rsidRDefault="00BB378C" w:rsidP="001B13EA">
      <w:pPr>
        <w:pStyle w:val="Bulletlist1"/>
        <w:rPr>
          <w:lang w:val="en-US"/>
        </w:rPr>
      </w:pPr>
      <w:r w:rsidRPr="00DD1B58">
        <w:rPr>
          <w:lang w:val="en-US"/>
        </w:rPr>
        <w:t>o</w:t>
      </w:r>
      <w:r w:rsidR="45027991" w:rsidRPr="00DD1B58">
        <w:rPr>
          <w:lang w:val="en-US"/>
        </w:rPr>
        <w:t>ne train may fail to start</w:t>
      </w:r>
    </w:p>
    <w:p w14:paraId="1F071659" w14:textId="38E8AC7A" w:rsidR="45027991" w:rsidRPr="00DD1B58" w:rsidRDefault="00BB378C" w:rsidP="001B13EA">
      <w:pPr>
        <w:pStyle w:val="Bulletlist1"/>
        <w:rPr>
          <w:szCs w:val="24"/>
          <w:lang w:val="en-US"/>
        </w:rPr>
      </w:pPr>
      <w:r w:rsidRPr="00DD1B58">
        <w:rPr>
          <w:lang w:val="en-US"/>
        </w:rPr>
        <w:t>t</w:t>
      </w:r>
      <w:r w:rsidR="45027991" w:rsidRPr="00DD1B58">
        <w:rPr>
          <w:lang w:val="en-US"/>
        </w:rPr>
        <w:t>he remaining train is available to carry out the required safety functions</w:t>
      </w:r>
    </w:p>
    <w:p w14:paraId="6DF125DA" w14:textId="77777777" w:rsidR="45027991" w:rsidRPr="00DD1B58" w:rsidRDefault="45027991" w:rsidP="355CB971">
      <w:pPr>
        <w:rPr>
          <w:lang w:val="en-US"/>
        </w:rPr>
      </w:pPr>
      <w:r w:rsidRPr="00DD1B58">
        <w:rPr>
          <w:lang w:val="en-US"/>
        </w:rPr>
        <w:t>A deterministic fault tree assessment was carried out on the preliminary design, using the above single</w:t>
      </w:r>
      <w:r w:rsidR="7A06609F" w:rsidRPr="00DD1B58">
        <w:rPr>
          <w:lang w:val="en-US"/>
        </w:rPr>
        <w:t xml:space="preserve"> </w:t>
      </w:r>
      <w:r w:rsidRPr="00DD1B58">
        <w:rPr>
          <w:lang w:val="en-US"/>
        </w:rPr>
        <w:t>failure criterion. This confirmed that the design met this criterion, i.e.</w:t>
      </w:r>
      <w:r w:rsidR="00BB378C" w:rsidRPr="00DD1B58">
        <w:rPr>
          <w:lang w:val="en-US"/>
        </w:rPr>
        <w:t>,</w:t>
      </w:r>
      <w:r w:rsidRPr="00DD1B58">
        <w:rPr>
          <w:lang w:val="en-US"/>
        </w:rPr>
        <w:t xml:space="preserve"> that adequate Lines of Protection</w:t>
      </w:r>
      <w:r w:rsidR="11049359" w:rsidRPr="00DD1B58">
        <w:rPr>
          <w:lang w:val="en-US"/>
        </w:rPr>
        <w:t xml:space="preserve"> </w:t>
      </w:r>
      <w:r w:rsidRPr="00DD1B58">
        <w:rPr>
          <w:lang w:val="en-US"/>
        </w:rPr>
        <w:t>(LoP) are provided to perform the required safety functions in the event of a fire. Lessons learned from</w:t>
      </w:r>
      <w:r w:rsidR="7DF60B32" w:rsidRPr="00DD1B58">
        <w:rPr>
          <w:lang w:val="en-US"/>
        </w:rPr>
        <w:t xml:space="preserve"> </w:t>
      </w:r>
      <w:r w:rsidRPr="00DD1B58">
        <w:rPr>
          <w:lang w:val="en-US"/>
        </w:rPr>
        <w:t>the deterministic fault tree assessment were carried forward to the probabilistic fire safety assessment</w:t>
      </w:r>
      <w:r w:rsidR="1EBBDA94" w:rsidRPr="00DD1B58">
        <w:rPr>
          <w:lang w:val="en-US"/>
        </w:rPr>
        <w:t xml:space="preserve"> </w:t>
      </w:r>
      <w:r w:rsidRPr="00DD1B58">
        <w:rPr>
          <w:lang w:val="en-US"/>
        </w:rPr>
        <w:t xml:space="preserve">referred to in Section </w:t>
      </w:r>
      <w:r w:rsidR="00D97317" w:rsidRPr="00DD1B58">
        <w:rPr>
          <w:lang w:val="en-US"/>
        </w:rPr>
        <w:t>I-</w:t>
      </w:r>
      <w:r w:rsidRPr="00DD1B58">
        <w:rPr>
          <w:lang w:val="en-US"/>
        </w:rPr>
        <w:t>2.1.2.</w:t>
      </w:r>
      <w:r w:rsidR="00D97317" w:rsidRPr="00DD1B58">
        <w:rPr>
          <w:lang w:val="en-US"/>
        </w:rPr>
        <w:t xml:space="preserve"> </w:t>
      </w:r>
    </w:p>
    <w:p w14:paraId="57460E03" w14:textId="512D9026" w:rsidR="45027991" w:rsidRPr="00DD1B58" w:rsidRDefault="45027991" w:rsidP="0062501D">
      <w:pPr>
        <w:pStyle w:val="Heading4"/>
        <w:numPr>
          <w:ilvl w:val="4"/>
          <w:numId w:val="3"/>
        </w:numPr>
        <w:rPr>
          <w:lang w:val="en-US"/>
        </w:rPr>
      </w:pPr>
      <w:r w:rsidRPr="00DD1B58">
        <w:rPr>
          <w:lang w:val="en-US"/>
        </w:rPr>
        <w:t xml:space="preserve">Operational </w:t>
      </w:r>
      <w:r w:rsidR="00CE717A" w:rsidRPr="00DD1B58">
        <w:rPr>
          <w:lang w:val="en-US"/>
        </w:rPr>
        <w:t>s</w:t>
      </w:r>
      <w:r w:rsidRPr="00DD1B58">
        <w:rPr>
          <w:lang w:val="en-US"/>
        </w:rPr>
        <w:t>tates</w:t>
      </w:r>
    </w:p>
    <w:p w14:paraId="35945FA2" w14:textId="4A5D24E8" w:rsidR="45027991" w:rsidRPr="00DD1B58" w:rsidRDefault="45027991" w:rsidP="355CB971">
      <w:pPr>
        <w:rPr>
          <w:lang w:val="en-US"/>
        </w:rPr>
      </w:pPr>
      <w:r w:rsidRPr="00DD1B58">
        <w:rPr>
          <w:b/>
          <w:lang w:val="en-US"/>
        </w:rPr>
        <w:t>General</w:t>
      </w:r>
      <w:r w:rsidR="00CE717A" w:rsidRPr="00DD1B58">
        <w:rPr>
          <w:b/>
          <w:lang w:val="en-US"/>
        </w:rPr>
        <w:t>:</w:t>
      </w:r>
      <w:r w:rsidR="00855347" w:rsidRPr="00DD1B58">
        <w:rPr>
          <w:b/>
          <w:lang w:val="en-US"/>
        </w:rPr>
        <w:t xml:space="preserve"> </w:t>
      </w:r>
      <w:r w:rsidR="00CE717A" w:rsidRPr="00DD1B58">
        <w:rPr>
          <w:lang w:val="en-US"/>
        </w:rPr>
        <w:t>f</w:t>
      </w:r>
      <w:r w:rsidRPr="00DD1B58">
        <w:rPr>
          <w:lang w:val="en-US"/>
        </w:rPr>
        <w:t xml:space="preserve">or </w:t>
      </w:r>
      <w:r w:rsidR="00BB3928" w:rsidRPr="00DD1B58">
        <w:rPr>
          <w:lang w:val="en-US"/>
        </w:rPr>
        <w:t xml:space="preserve">the </w:t>
      </w:r>
      <w:r w:rsidRPr="00DD1B58">
        <w:rPr>
          <w:lang w:val="en-US"/>
        </w:rPr>
        <w:t xml:space="preserve">AGR </w:t>
      </w:r>
      <w:r w:rsidR="000F18F9" w:rsidRPr="00DD1B58">
        <w:rPr>
          <w:lang w:val="en-US"/>
        </w:rPr>
        <w:t>stations,</w:t>
      </w:r>
      <w:r w:rsidRPr="00DD1B58">
        <w:rPr>
          <w:lang w:val="en-US"/>
        </w:rPr>
        <w:t xml:space="preserve"> the fire hazard </w:t>
      </w:r>
      <w:r w:rsidR="00D70D59" w:rsidRPr="00DD1B58">
        <w:rPr>
          <w:lang w:val="en-US"/>
        </w:rPr>
        <w:t xml:space="preserve">assessment </w:t>
      </w:r>
      <w:r w:rsidRPr="00DD1B58">
        <w:rPr>
          <w:lang w:val="en-US"/>
        </w:rPr>
        <w:t>is not linked to the reactor power operating states or the refuelling outage</w:t>
      </w:r>
      <w:r w:rsidR="00D70D59" w:rsidRPr="00DD1B58">
        <w:rPr>
          <w:lang w:val="en-US"/>
        </w:rPr>
        <w:t>,</w:t>
      </w:r>
      <w:r w:rsidR="0037128B" w:rsidRPr="00DD1B58">
        <w:rPr>
          <w:lang w:val="en-US"/>
        </w:rPr>
        <w:t xml:space="preserve"> </w:t>
      </w:r>
      <w:r w:rsidR="000F18F9" w:rsidRPr="00DD1B58">
        <w:rPr>
          <w:lang w:val="en-US"/>
        </w:rPr>
        <w:t>as</w:t>
      </w:r>
      <w:r w:rsidR="0037128B" w:rsidRPr="00DD1B58">
        <w:rPr>
          <w:lang w:val="en-US"/>
        </w:rPr>
        <w:t xml:space="preserve"> </w:t>
      </w:r>
      <w:r w:rsidRPr="00DD1B58">
        <w:rPr>
          <w:lang w:val="en-US"/>
        </w:rPr>
        <w:t xml:space="preserve">the original </w:t>
      </w:r>
      <w:r w:rsidR="000F18F9" w:rsidRPr="00DD1B58">
        <w:rPr>
          <w:lang w:val="en-US"/>
        </w:rPr>
        <w:t xml:space="preserve">AGR </w:t>
      </w:r>
      <w:r w:rsidRPr="00DD1B58">
        <w:rPr>
          <w:lang w:val="en-US"/>
        </w:rPr>
        <w:t xml:space="preserve">design was for on-load refuelling. The fire hazard is treated equally at all times </w:t>
      </w:r>
      <w:r w:rsidR="00D70D59" w:rsidRPr="00DD1B58">
        <w:rPr>
          <w:lang w:val="en-US"/>
        </w:rPr>
        <w:t>on a</w:t>
      </w:r>
      <w:r w:rsidRPr="00DD1B58">
        <w:rPr>
          <w:lang w:val="en-US"/>
        </w:rPr>
        <w:t xml:space="preserve"> conservative</w:t>
      </w:r>
      <w:r w:rsidR="00D70D59" w:rsidRPr="00DD1B58">
        <w:rPr>
          <w:lang w:val="en-US"/>
        </w:rPr>
        <w:t xml:space="preserve"> basis</w:t>
      </w:r>
      <w:r w:rsidRPr="00DD1B58">
        <w:rPr>
          <w:lang w:val="en-US"/>
        </w:rPr>
        <w:t>. However, the assessment criteria to determine the adequacy of</w:t>
      </w:r>
      <w:r w:rsidR="53766EF6" w:rsidRPr="00DD1B58">
        <w:rPr>
          <w:lang w:val="en-US"/>
        </w:rPr>
        <w:t xml:space="preserve"> </w:t>
      </w:r>
      <w:r w:rsidRPr="00DD1B58">
        <w:rPr>
          <w:lang w:val="en-US"/>
        </w:rPr>
        <w:t>available plant differs for at</w:t>
      </w:r>
      <w:r w:rsidR="00930E60" w:rsidRPr="00DD1B58">
        <w:rPr>
          <w:lang w:val="en-US"/>
        </w:rPr>
        <w:t>-</w:t>
      </w:r>
      <w:r w:rsidRPr="00DD1B58">
        <w:rPr>
          <w:lang w:val="en-US"/>
        </w:rPr>
        <w:t>power and shutdown states. Whether the reactor is at power or shut down,</w:t>
      </w:r>
      <w:r w:rsidR="28EDB996" w:rsidRPr="00DD1B58">
        <w:rPr>
          <w:lang w:val="en-US"/>
        </w:rPr>
        <w:t xml:space="preserve"> </w:t>
      </w:r>
      <w:r w:rsidRPr="00DD1B58">
        <w:rPr>
          <w:lang w:val="en-US"/>
        </w:rPr>
        <w:t xml:space="preserve">it must be demonstrated that adequate plant remains available to provide essential safety functions </w:t>
      </w:r>
      <w:r w:rsidR="00207DF9" w:rsidRPr="00DD1B58">
        <w:rPr>
          <w:lang w:val="en-US"/>
        </w:rPr>
        <w:t xml:space="preserve">including </w:t>
      </w:r>
      <w:r w:rsidRPr="00DD1B58">
        <w:rPr>
          <w:lang w:val="en-US"/>
        </w:rPr>
        <w:t>tri</w:t>
      </w:r>
      <w:r w:rsidR="00207DF9" w:rsidRPr="00DD1B58">
        <w:rPr>
          <w:lang w:val="en-US"/>
        </w:rPr>
        <w:t>p</w:t>
      </w:r>
      <w:r w:rsidRPr="00DD1B58">
        <w:rPr>
          <w:lang w:val="en-US"/>
        </w:rPr>
        <w:t xml:space="preserve">, shutdown and </w:t>
      </w:r>
      <w:r w:rsidR="00207DF9" w:rsidRPr="00DD1B58">
        <w:rPr>
          <w:lang w:val="en-US"/>
        </w:rPr>
        <w:t>post-</w:t>
      </w:r>
      <w:r w:rsidRPr="00DD1B58">
        <w:rPr>
          <w:lang w:val="en-US"/>
        </w:rPr>
        <w:t xml:space="preserve">trip cooling </w:t>
      </w:r>
      <w:r w:rsidR="00207DF9" w:rsidRPr="00DD1B58">
        <w:rPr>
          <w:lang w:val="en-US"/>
        </w:rPr>
        <w:t xml:space="preserve">when required </w:t>
      </w:r>
      <w:r w:rsidRPr="00DD1B58">
        <w:rPr>
          <w:lang w:val="en-US"/>
        </w:rPr>
        <w:t>to maintain a safe state.</w:t>
      </w:r>
    </w:p>
    <w:p w14:paraId="18259BD3" w14:textId="725DA2E8" w:rsidR="45027991" w:rsidRPr="00DD1B58" w:rsidRDefault="45027991" w:rsidP="355CB971">
      <w:pPr>
        <w:rPr>
          <w:lang w:val="en-US"/>
        </w:rPr>
      </w:pPr>
      <w:r w:rsidRPr="00DD1B58">
        <w:rPr>
          <w:lang w:val="en-US"/>
        </w:rPr>
        <w:t>The fire protection strategy does not change with the operating states. Fire safety is managed in</w:t>
      </w:r>
      <w:r w:rsidR="70921F68" w:rsidRPr="00DD1B58">
        <w:rPr>
          <w:lang w:val="en-US"/>
        </w:rPr>
        <w:t xml:space="preserve"> </w:t>
      </w:r>
      <w:r w:rsidRPr="00DD1B58">
        <w:rPr>
          <w:lang w:val="en-US"/>
        </w:rPr>
        <w:t>accordance with the Technical Specifications</w:t>
      </w:r>
      <w:r w:rsidR="00207DF9" w:rsidRPr="00DD1B58">
        <w:rPr>
          <w:lang w:val="en-US"/>
        </w:rPr>
        <w:t xml:space="preserve"> and</w:t>
      </w:r>
      <w:r w:rsidRPr="00DD1B58">
        <w:rPr>
          <w:lang w:val="en-US"/>
        </w:rPr>
        <w:t xml:space="preserve"> there is no fundamental difference between the reactor</w:t>
      </w:r>
      <w:r w:rsidR="2C317762" w:rsidRPr="00DD1B58">
        <w:rPr>
          <w:lang w:val="en-US"/>
        </w:rPr>
        <w:t xml:space="preserve"> </w:t>
      </w:r>
      <w:r w:rsidRPr="00DD1B58">
        <w:rPr>
          <w:lang w:val="en-US"/>
        </w:rPr>
        <w:t>operating states.</w:t>
      </w:r>
    </w:p>
    <w:p w14:paraId="75D7BC8D" w14:textId="2A0C9D42" w:rsidR="45027991" w:rsidRPr="00DD1B58" w:rsidRDefault="00A85AC3" w:rsidP="355CB971">
      <w:pPr>
        <w:rPr>
          <w:lang w:val="en-US"/>
        </w:rPr>
      </w:pPr>
      <w:r w:rsidRPr="00DD1B58">
        <w:rPr>
          <w:lang w:val="en-US"/>
        </w:rPr>
        <w:t xml:space="preserve">A deterministic fire hazard assessment for both </w:t>
      </w:r>
      <w:r w:rsidR="00930E60" w:rsidRPr="00DD1B58">
        <w:rPr>
          <w:lang w:val="en-US"/>
        </w:rPr>
        <w:t>at-</w:t>
      </w:r>
      <w:r w:rsidRPr="00DD1B58">
        <w:rPr>
          <w:lang w:val="en-US"/>
        </w:rPr>
        <w:t xml:space="preserve">power and shutdown reactor states has been produced for HY2 (as well as </w:t>
      </w:r>
      <w:r w:rsidR="00841958" w:rsidRPr="00DD1B58">
        <w:rPr>
          <w:lang w:val="en-US"/>
        </w:rPr>
        <w:t>TOR</w:t>
      </w:r>
      <w:r w:rsidRPr="00DD1B58">
        <w:rPr>
          <w:lang w:val="en-US"/>
        </w:rPr>
        <w:t xml:space="preserve">). </w:t>
      </w:r>
      <w:r w:rsidR="008216F1" w:rsidRPr="00DD1B58">
        <w:rPr>
          <w:lang w:val="en-US"/>
        </w:rPr>
        <w:t>HNB is</w:t>
      </w:r>
      <w:r w:rsidR="00731AD5" w:rsidRPr="00DD1B58">
        <w:rPr>
          <w:lang w:val="en-US"/>
        </w:rPr>
        <w:t xml:space="preserve"> shutdown</w:t>
      </w:r>
      <w:r w:rsidR="001936BD" w:rsidRPr="00DD1B58">
        <w:rPr>
          <w:lang w:val="en-US"/>
        </w:rPr>
        <w:t xml:space="preserve"> and</w:t>
      </w:r>
      <w:r w:rsidR="008216F1" w:rsidRPr="00DD1B58">
        <w:rPr>
          <w:lang w:val="en-US"/>
        </w:rPr>
        <w:t xml:space="preserve"> being </w:t>
      </w:r>
      <w:r w:rsidR="003A3F53" w:rsidRPr="00DD1B58">
        <w:rPr>
          <w:lang w:val="en-US"/>
        </w:rPr>
        <w:t>defueled</w:t>
      </w:r>
      <w:r w:rsidR="00E30E25" w:rsidRPr="00DD1B58">
        <w:rPr>
          <w:lang w:val="en-US"/>
        </w:rPr>
        <w:t xml:space="preserve"> </w:t>
      </w:r>
      <w:r w:rsidR="00810F16" w:rsidRPr="00DD1B58">
        <w:rPr>
          <w:lang w:val="en-US"/>
        </w:rPr>
        <w:t>with</w:t>
      </w:r>
      <w:r w:rsidR="008216F1" w:rsidRPr="00DD1B58">
        <w:rPr>
          <w:lang w:val="en-US"/>
        </w:rPr>
        <w:t xml:space="preserve"> a safety case being prepared to allow removal of some fire suppression equipment. </w:t>
      </w:r>
      <w:r w:rsidR="001417C5" w:rsidRPr="00DD1B58">
        <w:rPr>
          <w:lang w:val="en-US"/>
        </w:rPr>
        <w:t>Further detail on both HY2 and HNB is provided in the EDF NGL submission</w:t>
      </w:r>
      <w:sdt>
        <w:sdtPr>
          <w:rPr>
            <w:lang w:val="en-US"/>
          </w:rPr>
          <w:id w:val="-676961943"/>
          <w:citation/>
        </w:sdtPr>
        <w:sdtContent>
          <w:r w:rsidR="001417C5" w:rsidRPr="00DD1B58">
            <w:rPr>
              <w:lang w:val="en-US"/>
            </w:rPr>
            <w:fldChar w:fldCharType="begin"/>
          </w:r>
          <w:r w:rsidR="001417C5" w:rsidRPr="00DD1B58">
            <w:rPr>
              <w:lang w:val="en-US"/>
            </w:rPr>
            <w:instrText xml:space="preserve"> CITATION EDF231 \l 2057 </w:instrText>
          </w:r>
          <w:r w:rsidR="001417C5" w:rsidRPr="00DD1B58">
            <w:rPr>
              <w:lang w:val="en-US"/>
            </w:rPr>
            <w:fldChar w:fldCharType="separate"/>
          </w:r>
          <w:r w:rsidR="00DF47DA">
            <w:rPr>
              <w:noProof/>
              <w:lang w:val="en-US"/>
            </w:rPr>
            <w:t xml:space="preserve"> </w:t>
          </w:r>
          <w:r w:rsidR="00DF47DA" w:rsidRPr="00DF47DA">
            <w:rPr>
              <w:noProof/>
              <w:lang w:val="en-US"/>
            </w:rPr>
            <w:t>[25]</w:t>
          </w:r>
          <w:r w:rsidR="001417C5" w:rsidRPr="00DD1B58">
            <w:rPr>
              <w:lang w:val="en-US"/>
            </w:rPr>
            <w:fldChar w:fldCharType="end"/>
          </w:r>
        </w:sdtContent>
      </w:sdt>
      <w:r w:rsidR="001417C5" w:rsidRPr="00DD1B58">
        <w:rPr>
          <w:lang w:val="en-US"/>
        </w:rPr>
        <w:t xml:space="preserve">. </w:t>
      </w:r>
      <w:r w:rsidR="45027991" w:rsidRPr="00DD1B58">
        <w:rPr>
          <w:lang w:val="en-US"/>
        </w:rPr>
        <w:t>The position for SZB is different, see below.</w:t>
      </w:r>
    </w:p>
    <w:p w14:paraId="1361D0C5" w14:textId="1C304379" w:rsidR="74A82E7F" w:rsidRPr="00DD1B58" w:rsidRDefault="74A82E7F" w:rsidP="355CB971">
      <w:pPr>
        <w:rPr>
          <w:lang w:val="en-US"/>
        </w:rPr>
      </w:pPr>
      <w:r w:rsidRPr="00DD1B58">
        <w:rPr>
          <w:b/>
          <w:lang w:val="en-US"/>
        </w:rPr>
        <w:t>Sizewell B</w:t>
      </w:r>
      <w:r w:rsidR="00FF0928" w:rsidRPr="00DD1B58">
        <w:rPr>
          <w:b/>
          <w:lang w:val="en-US"/>
        </w:rPr>
        <w:t>:</w:t>
      </w:r>
      <w:r w:rsidR="00855347" w:rsidRPr="00DD1B58">
        <w:rPr>
          <w:b/>
          <w:lang w:val="en-US"/>
        </w:rPr>
        <w:t xml:space="preserve"> </w:t>
      </w:r>
      <w:r w:rsidR="00E30E25" w:rsidRPr="00DD1B58">
        <w:rPr>
          <w:lang w:val="en-US"/>
        </w:rPr>
        <w:t xml:space="preserve">the </w:t>
      </w:r>
      <w:r w:rsidRPr="00DD1B58">
        <w:rPr>
          <w:lang w:val="en-US"/>
        </w:rPr>
        <w:t>deterministic fire hazard analyses for SZB cover all operating states, i.e.</w:t>
      </w:r>
      <w:r w:rsidR="00E30E25" w:rsidRPr="00DD1B58">
        <w:rPr>
          <w:lang w:val="en-US"/>
        </w:rPr>
        <w:t>,</w:t>
      </w:r>
      <w:r w:rsidRPr="00DD1B58">
        <w:rPr>
          <w:lang w:val="en-US"/>
        </w:rPr>
        <w:t xml:space="preserve"> power operation/hot</w:t>
      </w:r>
      <w:r w:rsidR="13DF81FE" w:rsidRPr="00DD1B58">
        <w:rPr>
          <w:lang w:val="en-US"/>
        </w:rPr>
        <w:t xml:space="preserve"> </w:t>
      </w:r>
      <w:r w:rsidRPr="00DD1B58">
        <w:rPr>
          <w:lang w:val="en-US"/>
        </w:rPr>
        <w:t>shutdown and cold shutdown/refuelling. The transition</w:t>
      </w:r>
      <w:r w:rsidR="5EF461AE" w:rsidRPr="00DD1B58">
        <w:rPr>
          <w:lang w:val="en-US"/>
        </w:rPr>
        <w:t xml:space="preserve"> </w:t>
      </w:r>
      <w:r w:rsidRPr="00DD1B58">
        <w:rPr>
          <w:lang w:val="en-US"/>
        </w:rPr>
        <w:t>between the main operating states is considered to be bounded by the most onerous of the first and</w:t>
      </w:r>
      <w:r w:rsidR="423E0ADA" w:rsidRPr="00DD1B58">
        <w:rPr>
          <w:lang w:val="en-US"/>
        </w:rPr>
        <w:t xml:space="preserve"> </w:t>
      </w:r>
      <w:r w:rsidRPr="00DD1B58">
        <w:rPr>
          <w:lang w:val="en-US"/>
        </w:rPr>
        <w:t>second main operating states</w:t>
      </w:r>
      <w:r w:rsidR="001E1CC2" w:rsidRPr="00DD1B58">
        <w:rPr>
          <w:lang w:val="en-US"/>
        </w:rPr>
        <w:t>, and f</w:t>
      </w:r>
      <w:r w:rsidRPr="00DD1B58">
        <w:rPr>
          <w:lang w:val="en-US"/>
        </w:rPr>
        <w:t>ull power operation is considered to be bounding for reduced power operation.</w:t>
      </w:r>
    </w:p>
    <w:p w14:paraId="2A92D389" w14:textId="1372DEBC" w:rsidR="74A82E7F" w:rsidRPr="00DD1B58" w:rsidRDefault="74A82E7F" w:rsidP="355CB971">
      <w:pPr>
        <w:rPr>
          <w:lang w:val="en-US"/>
        </w:rPr>
      </w:pPr>
      <w:r w:rsidRPr="00DD1B58">
        <w:rPr>
          <w:lang w:val="en-US"/>
        </w:rPr>
        <w:lastRenderedPageBreak/>
        <w:t>Outage states are assessed in the same manner as the at</w:t>
      </w:r>
      <w:r w:rsidR="00930E60" w:rsidRPr="00DD1B58">
        <w:rPr>
          <w:lang w:val="en-US"/>
        </w:rPr>
        <w:t>-</w:t>
      </w:r>
      <w:r w:rsidRPr="00DD1B58">
        <w:rPr>
          <w:lang w:val="en-US"/>
        </w:rPr>
        <w:t>power state, i.e.</w:t>
      </w:r>
      <w:r w:rsidR="00E30E25" w:rsidRPr="00DD1B58">
        <w:rPr>
          <w:lang w:val="en-US"/>
        </w:rPr>
        <w:t>,</w:t>
      </w:r>
      <w:r w:rsidRPr="00DD1B58">
        <w:rPr>
          <w:lang w:val="en-US"/>
        </w:rPr>
        <w:t xml:space="preserve"> the same fire compartments are</w:t>
      </w:r>
      <w:r w:rsidR="75AB70E2" w:rsidRPr="00DD1B58">
        <w:rPr>
          <w:lang w:val="en-US"/>
        </w:rPr>
        <w:t xml:space="preserve"> </w:t>
      </w:r>
      <w:r w:rsidRPr="00DD1B58">
        <w:rPr>
          <w:lang w:val="en-US"/>
        </w:rPr>
        <w:t>considered to be affected</w:t>
      </w:r>
      <w:r w:rsidR="00E30E25" w:rsidRPr="00DD1B58">
        <w:rPr>
          <w:lang w:val="en-US"/>
        </w:rPr>
        <w:t>,</w:t>
      </w:r>
      <w:r w:rsidRPr="00DD1B58">
        <w:rPr>
          <w:lang w:val="en-US"/>
        </w:rPr>
        <w:t xml:space="preserve"> in the same way. The required safe shutdown equipment is defined in the</w:t>
      </w:r>
      <w:r w:rsidR="73BAF120" w:rsidRPr="00DD1B58">
        <w:rPr>
          <w:lang w:val="en-US"/>
        </w:rPr>
        <w:t xml:space="preserve"> </w:t>
      </w:r>
      <w:r w:rsidRPr="00DD1B58">
        <w:rPr>
          <w:lang w:val="en-US"/>
        </w:rPr>
        <w:t>plant Fault Schedule (the required safeguards equipment is different to that for power operation).</w:t>
      </w:r>
      <w:r w:rsidR="000E00BA" w:rsidRPr="00DD1B58">
        <w:rPr>
          <w:lang w:val="en-US"/>
        </w:rPr>
        <w:t xml:space="preserve"> The EDF NGL submission </w:t>
      </w:r>
      <w:sdt>
        <w:sdtPr>
          <w:rPr>
            <w:lang w:val="en-US"/>
          </w:rPr>
          <w:id w:val="517434347"/>
          <w:citation/>
        </w:sdtPr>
        <w:sdtContent>
          <w:r w:rsidR="000E00BA" w:rsidRPr="00DD1B58">
            <w:rPr>
              <w:lang w:val="en-US"/>
            </w:rPr>
            <w:fldChar w:fldCharType="begin"/>
          </w:r>
          <w:r w:rsidR="000E00BA" w:rsidRPr="00DD1B58">
            <w:rPr>
              <w:lang w:val="en-US"/>
            </w:rPr>
            <w:instrText xml:space="preserve"> CITATION EDF231 \l 2057 </w:instrText>
          </w:r>
          <w:r w:rsidR="000E00BA" w:rsidRPr="00DD1B58">
            <w:rPr>
              <w:lang w:val="en-US"/>
            </w:rPr>
            <w:fldChar w:fldCharType="separate"/>
          </w:r>
          <w:r w:rsidR="00DF47DA" w:rsidRPr="00DF47DA">
            <w:rPr>
              <w:noProof/>
              <w:lang w:val="en-US"/>
            </w:rPr>
            <w:t>[25]</w:t>
          </w:r>
          <w:r w:rsidR="000E00BA" w:rsidRPr="00DD1B58">
            <w:rPr>
              <w:lang w:val="en-US"/>
            </w:rPr>
            <w:fldChar w:fldCharType="end"/>
          </w:r>
        </w:sdtContent>
      </w:sdt>
      <w:r w:rsidR="00852AA1" w:rsidRPr="00DD1B58">
        <w:rPr>
          <w:lang w:val="en-US"/>
        </w:rPr>
        <w:t xml:space="preserve"> provides further information on </w:t>
      </w:r>
      <w:r w:rsidR="006662C2" w:rsidRPr="00DD1B58">
        <w:rPr>
          <w:lang w:val="en-US"/>
        </w:rPr>
        <w:t>how the</w:t>
      </w:r>
      <w:r w:rsidR="00B53306" w:rsidRPr="00DD1B58">
        <w:rPr>
          <w:lang w:val="en-US"/>
        </w:rPr>
        <w:t xml:space="preserve"> </w:t>
      </w:r>
      <w:r w:rsidR="00986517" w:rsidRPr="00DD1B58">
        <w:rPr>
          <w:lang w:val="en-US"/>
        </w:rPr>
        <w:t xml:space="preserve">SZC </w:t>
      </w:r>
      <w:r w:rsidR="006662C2" w:rsidRPr="00DD1B58">
        <w:rPr>
          <w:lang w:val="en-US"/>
        </w:rPr>
        <w:t xml:space="preserve">approach to operating states is </w:t>
      </w:r>
      <w:r w:rsidR="00C6577B" w:rsidRPr="00DD1B58">
        <w:rPr>
          <w:lang w:val="en-US"/>
        </w:rPr>
        <w:t>assessed and documented</w:t>
      </w:r>
      <w:r w:rsidR="006662C2" w:rsidRPr="00DD1B58">
        <w:rPr>
          <w:lang w:val="en-US"/>
        </w:rPr>
        <w:t>.</w:t>
      </w:r>
      <w:r w:rsidR="00B53306" w:rsidRPr="00DD1B58">
        <w:rPr>
          <w:lang w:val="en-US"/>
        </w:rPr>
        <w:t xml:space="preserve"> </w:t>
      </w:r>
    </w:p>
    <w:p w14:paraId="5DC9EA90" w14:textId="77777777" w:rsidR="48A4A13E" w:rsidRPr="00DD1B58" w:rsidRDefault="48A4A13E" w:rsidP="0062501D">
      <w:pPr>
        <w:pStyle w:val="Heading4"/>
        <w:numPr>
          <w:ilvl w:val="4"/>
          <w:numId w:val="3"/>
        </w:numPr>
        <w:rPr>
          <w:lang w:val="en-US"/>
        </w:rPr>
      </w:pPr>
      <w:r w:rsidRPr="00DD1B58">
        <w:rPr>
          <w:lang w:val="en-US"/>
        </w:rPr>
        <w:t>Definition of fire scenarios</w:t>
      </w:r>
    </w:p>
    <w:p w14:paraId="26386E35" w14:textId="5EEB3C11" w:rsidR="48A4A13E" w:rsidRPr="00DD1B58" w:rsidRDefault="48A4A13E" w:rsidP="355CB971">
      <w:pPr>
        <w:rPr>
          <w:lang w:val="en-US"/>
        </w:rPr>
      </w:pPr>
      <w:r w:rsidRPr="00DD1B58">
        <w:rPr>
          <w:b/>
          <w:lang w:val="en-US"/>
        </w:rPr>
        <w:t>General</w:t>
      </w:r>
      <w:r w:rsidR="00044A58" w:rsidRPr="00DD1B58">
        <w:rPr>
          <w:b/>
          <w:lang w:val="en-US"/>
        </w:rPr>
        <w:t>:</w:t>
      </w:r>
      <w:r w:rsidR="00F452EE" w:rsidRPr="00DD1B58">
        <w:rPr>
          <w:b/>
          <w:lang w:val="en-US"/>
        </w:rPr>
        <w:t xml:space="preserve"> </w:t>
      </w:r>
      <w:r w:rsidR="00044A58" w:rsidRPr="00DD1B58">
        <w:rPr>
          <w:lang w:val="en-US"/>
        </w:rPr>
        <w:t>f</w:t>
      </w:r>
      <w:r w:rsidRPr="00DD1B58">
        <w:rPr>
          <w:lang w:val="en-US"/>
        </w:rPr>
        <w:t>ire was addressed in the original station safety reports</w:t>
      </w:r>
      <w:r w:rsidR="00B06E7C" w:rsidRPr="00DD1B58">
        <w:rPr>
          <w:lang w:val="en-US"/>
        </w:rPr>
        <w:t xml:space="preserve"> and</w:t>
      </w:r>
      <w:r w:rsidRPr="00DD1B58">
        <w:rPr>
          <w:lang w:val="en-US"/>
        </w:rPr>
        <w:t xml:space="preserve"> supplemented by the AGR fire safety programme following the Browns Ferry fire. In addition, </w:t>
      </w:r>
      <w:r w:rsidR="00044A58" w:rsidRPr="00DD1B58">
        <w:rPr>
          <w:lang w:val="en-US"/>
        </w:rPr>
        <w:t>EDF NGL</w:t>
      </w:r>
      <w:r w:rsidR="00113B54" w:rsidRPr="00DD1B58">
        <w:rPr>
          <w:lang w:val="en-US"/>
        </w:rPr>
        <w:t xml:space="preserve">’s </w:t>
      </w:r>
      <w:r w:rsidRPr="00DD1B58">
        <w:rPr>
          <w:lang w:val="en-US"/>
        </w:rPr>
        <w:t xml:space="preserve">Periodic Safety Reviews (PSR) and </w:t>
      </w:r>
      <w:r w:rsidR="00D45F95" w:rsidRPr="00DD1B58">
        <w:rPr>
          <w:lang w:val="en-US"/>
        </w:rPr>
        <w:t>the</w:t>
      </w:r>
      <w:r w:rsidRPr="00DD1B58">
        <w:rPr>
          <w:lang w:val="en-US"/>
        </w:rPr>
        <w:t xml:space="preserve"> Safety Case Health Review process</w:t>
      </w:r>
      <w:r w:rsidR="00127452" w:rsidRPr="00DD1B58">
        <w:rPr>
          <w:lang w:val="en-US"/>
        </w:rPr>
        <w:t xml:space="preserve"> consider fire hazards.</w:t>
      </w:r>
    </w:p>
    <w:p w14:paraId="3FE3A557" w14:textId="0C956337" w:rsidR="48A4A13E" w:rsidRPr="00DD1B58" w:rsidRDefault="00044A58" w:rsidP="355CB971">
      <w:pPr>
        <w:rPr>
          <w:lang w:val="en-US"/>
        </w:rPr>
      </w:pPr>
      <w:r w:rsidRPr="00DD1B58">
        <w:rPr>
          <w:lang w:val="en-US"/>
        </w:rPr>
        <w:t>EDF NGL</w:t>
      </w:r>
      <w:r w:rsidR="00127452" w:rsidRPr="00DD1B58">
        <w:rPr>
          <w:lang w:val="en-US"/>
        </w:rPr>
        <w:t xml:space="preserve"> considers that c</w:t>
      </w:r>
      <w:r w:rsidR="48A4A13E" w:rsidRPr="00DD1B58">
        <w:rPr>
          <w:lang w:val="en-US"/>
        </w:rPr>
        <w:t xml:space="preserve">omprehensive and systematic fire inventory reports </w:t>
      </w:r>
      <w:r w:rsidR="00127452" w:rsidRPr="00DD1B58">
        <w:rPr>
          <w:lang w:val="en-US"/>
        </w:rPr>
        <w:t xml:space="preserve">have </w:t>
      </w:r>
      <w:r w:rsidR="48A4A13E" w:rsidRPr="00DD1B58">
        <w:rPr>
          <w:lang w:val="en-US"/>
        </w:rPr>
        <w:t xml:space="preserve">been carried out for all stations. </w:t>
      </w:r>
      <w:r w:rsidR="00C941D4" w:rsidRPr="00DD1B58">
        <w:rPr>
          <w:lang w:val="en-US"/>
        </w:rPr>
        <w:t>A</w:t>
      </w:r>
      <w:r w:rsidR="48A4A13E" w:rsidRPr="00DD1B58">
        <w:rPr>
          <w:lang w:val="en-US"/>
        </w:rPr>
        <w:t xml:space="preserve"> fire severity assessment </w:t>
      </w:r>
      <w:r w:rsidR="007F1344" w:rsidRPr="00DD1B58">
        <w:rPr>
          <w:lang w:val="en-US"/>
        </w:rPr>
        <w:t>was</w:t>
      </w:r>
      <w:r w:rsidR="48A4A13E" w:rsidRPr="00DD1B58">
        <w:rPr>
          <w:lang w:val="en-US"/>
        </w:rPr>
        <w:t xml:space="preserve"> carried out </w:t>
      </w:r>
      <w:r w:rsidR="00C941D4" w:rsidRPr="00DD1B58">
        <w:rPr>
          <w:lang w:val="en-US"/>
        </w:rPr>
        <w:t>for every compartment</w:t>
      </w:r>
      <w:r w:rsidR="00A763B6" w:rsidRPr="00DD1B58">
        <w:rPr>
          <w:lang w:val="en-US"/>
        </w:rPr>
        <w:t xml:space="preserve">, ranging </w:t>
      </w:r>
      <w:r w:rsidR="48A4A13E" w:rsidRPr="00DD1B58">
        <w:rPr>
          <w:lang w:val="en-US"/>
        </w:rPr>
        <w:t xml:space="preserve">from </w:t>
      </w:r>
      <w:r w:rsidR="00A763B6" w:rsidRPr="00DD1B58">
        <w:rPr>
          <w:lang w:val="en-US"/>
        </w:rPr>
        <w:t xml:space="preserve">application of the </w:t>
      </w:r>
      <w:r w:rsidR="48A4A13E" w:rsidRPr="00DD1B58">
        <w:rPr>
          <w:lang w:val="en-US"/>
        </w:rPr>
        <w:t xml:space="preserve">simplest Ingberg criteria through to </w:t>
      </w:r>
      <w:r w:rsidR="00566178" w:rsidRPr="00DD1B58">
        <w:rPr>
          <w:lang w:val="en-US"/>
        </w:rPr>
        <w:t>Computational Fluid Dynamics (CFD) assessment</w:t>
      </w:r>
      <w:r w:rsidR="00A763B6" w:rsidRPr="00DD1B58">
        <w:rPr>
          <w:lang w:val="en-US"/>
        </w:rPr>
        <w:t>s</w:t>
      </w:r>
      <w:r w:rsidR="48A4A13E" w:rsidRPr="00DD1B58">
        <w:rPr>
          <w:lang w:val="en-US"/>
        </w:rPr>
        <w:t xml:space="preserve">. However, </w:t>
      </w:r>
      <w:r w:rsidR="0038215B" w:rsidRPr="00DD1B58">
        <w:rPr>
          <w:lang w:val="en-US"/>
        </w:rPr>
        <w:t xml:space="preserve">EDF NGL acknowledges that, </w:t>
      </w:r>
      <w:r w:rsidR="48A4A13E" w:rsidRPr="00DD1B58">
        <w:rPr>
          <w:lang w:val="en-US"/>
        </w:rPr>
        <w:t>in general</w:t>
      </w:r>
      <w:r w:rsidR="0038215B" w:rsidRPr="00DD1B58">
        <w:rPr>
          <w:lang w:val="en-US"/>
        </w:rPr>
        <w:t xml:space="preserve">, </w:t>
      </w:r>
      <w:r w:rsidR="48A4A13E" w:rsidRPr="00DD1B58">
        <w:rPr>
          <w:lang w:val="en-US"/>
        </w:rPr>
        <w:t xml:space="preserve">fire safety assessments reflect the methodologies </w:t>
      </w:r>
      <w:r w:rsidR="00023060" w:rsidRPr="00DD1B58">
        <w:rPr>
          <w:lang w:val="en-US"/>
        </w:rPr>
        <w:t xml:space="preserve">in use </w:t>
      </w:r>
      <w:r w:rsidR="48A4A13E" w:rsidRPr="00DD1B58">
        <w:rPr>
          <w:lang w:val="en-US"/>
        </w:rPr>
        <w:t>at the time</w:t>
      </w:r>
      <w:r w:rsidR="00A763B6" w:rsidRPr="00DD1B58">
        <w:rPr>
          <w:lang w:val="en-US"/>
        </w:rPr>
        <w:t xml:space="preserve">, </w:t>
      </w:r>
      <w:r w:rsidR="00023060" w:rsidRPr="00DD1B58">
        <w:rPr>
          <w:lang w:val="en-US"/>
        </w:rPr>
        <w:t xml:space="preserve">and these have been considered acceptable when comparisons with </w:t>
      </w:r>
      <w:r w:rsidR="48A4A13E" w:rsidRPr="00DD1B58">
        <w:rPr>
          <w:lang w:val="en-US"/>
        </w:rPr>
        <w:t xml:space="preserve">current criteria </w:t>
      </w:r>
      <w:r w:rsidR="00023060" w:rsidRPr="00DD1B58">
        <w:rPr>
          <w:lang w:val="en-US"/>
        </w:rPr>
        <w:t>deem</w:t>
      </w:r>
      <w:r w:rsidR="00447D14" w:rsidRPr="00DD1B58">
        <w:rPr>
          <w:lang w:val="en-US"/>
        </w:rPr>
        <w:t xml:space="preserve"> them conservative. </w:t>
      </w:r>
    </w:p>
    <w:p w14:paraId="1B4ABF18" w14:textId="599CEC1F" w:rsidR="48A4A13E" w:rsidRPr="00DD1B58" w:rsidRDefault="00044A58" w:rsidP="355CB971">
      <w:pPr>
        <w:rPr>
          <w:lang w:val="en-US"/>
        </w:rPr>
      </w:pPr>
      <w:r w:rsidRPr="00DD1B58">
        <w:rPr>
          <w:lang w:val="en-US"/>
        </w:rPr>
        <w:t>EDF NGL</w:t>
      </w:r>
      <w:r w:rsidR="00447D14" w:rsidRPr="00DD1B58">
        <w:rPr>
          <w:lang w:val="en-US"/>
        </w:rPr>
        <w:t xml:space="preserve">’s </w:t>
      </w:r>
      <w:r w:rsidR="48A4A13E" w:rsidRPr="00DD1B58">
        <w:rPr>
          <w:lang w:val="en-US"/>
        </w:rPr>
        <w:t xml:space="preserve">Design Authority carry out zonal walkdowns for hazards, including fire. The </w:t>
      </w:r>
      <w:r w:rsidR="002D1A26" w:rsidRPr="00DD1B58">
        <w:rPr>
          <w:lang w:val="en-US"/>
        </w:rPr>
        <w:t>F</w:t>
      </w:r>
      <w:r w:rsidR="48A4A13E" w:rsidRPr="00DD1B58">
        <w:rPr>
          <w:lang w:val="en-US"/>
        </w:rPr>
        <w:t>ire Safety Co-ordinator carries out Fire Risk Assessments (FRA)</w:t>
      </w:r>
      <w:r w:rsidR="00447D14" w:rsidRPr="00DD1B58">
        <w:rPr>
          <w:lang w:val="en-US"/>
        </w:rPr>
        <w:t xml:space="preserve"> and </w:t>
      </w:r>
      <w:r w:rsidR="48A4A13E" w:rsidRPr="00DD1B58">
        <w:rPr>
          <w:lang w:val="en-US"/>
        </w:rPr>
        <w:t xml:space="preserve">Engineering </w:t>
      </w:r>
      <w:r w:rsidR="00C652A6" w:rsidRPr="00DD1B58">
        <w:rPr>
          <w:lang w:val="en-US"/>
        </w:rPr>
        <w:t xml:space="preserve">staff </w:t>
      </w:r>
      <w:r w:rsidR="48A4A13E" w:rsidRPr="00DD1B58">
        <w:rPr>
          <w:lang w:val="en-US"/>
        </w:rPr>
        <w:t xml:space="preserve">carry out plant walkdowns when an issue is suspected. Additionally, the stations are subject to </w:t>
      </w:r>
      <w:r w:rsidR="001243AF" w:rsidRPr="00DD1B58">
        <w:rPr>
          <w:lang w:val="en-US"/>
        </w:rPr>
        <w:t xml:space="preserve">inspections by the </w:t>
      </w:r>
      <w:r w:rsidR="48A4A13E" w:rsidRPr="00DD1B58">
        <w:rPr>
          <w:lang w:val="en-US"/>
        </w:rPr>
        <w:t>World Association of Nuclear Operators (WANO)</w:t>
      </w:r>
      <w:r w:rsidR="00C652A6" w:rsidRPr="00DD1B58">
        <w:rPr>
          <w:lang w:val="en-US"/>
        </w:rPr>
        <w:t xml:space="preserve">, </w:t>
      </w:r>
      <w:r w:rsidR="48A4A13E" w:rsidRPr="00DD1B58">
        <w:rPr>
          <w:lang w:val="en-US"/>
        </w:rPr>
        <w:t xml:space="preserve">Insurers </w:t>
      </w:r>
      <w:r w:rsidR="00C652A6" w:rsidRPr="00DD1B58">
        <w:rPr>
          <w:lang w:val="en-US"/>
        </w:rPr>
        <w:t>and</w:t>
      </w:r>
      <w:r w:rsidR="48A4A13E" w:rsidRPr="00DD1B58">
        <w:rPr>
          <w:lang w:val="en-US"/>
        </w:rPr>
        <w:t xml:space="preserve"> ONR.</w:t>
      </w:r>
    </w:p>
    <w:p w14:paraId="1D91AFF2" w14:textId="31D4C764" w:rsidR="48A4A13E" w:rsidRPr="00DD1B58" w:rsidRDefault="48A4A13E" w:rsidP="355CB971">
      <w:pPr>
        <w:rPr>
          <w:lang w:val="en-US"/>
        </w:rPr>
      </w:pPr>
      <w:r w:rsidRPr="00DD1B58">
        <w:rPr>
          <w:b/>
          <w:lang w:val="en-US"/>
        </w:rPr>
        <w:t>First Generation AGRs (Hunterston B)</w:t>
      </w:r>
      <w:r w:rsidR="001243AF" w:rsidRPr="00DD1B58">
        <w:rPr>
          <w:b/>
          <w:lang w:val="en-US"/>
        </w:rPr>
        <w:t>:</w:t>
      </w:r>
      <w:r w:rsidR="00F452EE" w:rsidRPr="00DD1B58">
        <w:rPr>
          <w:b/>
          <w:lang w:val="en-US"/>
        </w:rPr>
        <w:t xml:space="preserve"> </w:t>
      </w:r>
      <w:r w:rsidR="001243AF" w:rsidRPr="00DD1B58">
        <w:rPr>
          <w:lang w:val="en-US"/>
        </w:rPr>
        <w:t>a</w:t>
      </w:r>
      <w:r w:rsidRPr="00DD1B58">
        <w:rPr>
          <w:lang w:val="en-US"/>
        </w:rPr>
        <w:t xml:space="preserve">ll of the above </w:t>
      </w:r>
      <w:r w:rsidR="00C652A6" w:rsidRPr="00DD1B58">
        <w:rPr>
          <w:lang w:val="en-US"/>
        </w:rPr>
        <w:t>general</w:t>
      </w:r>
      <w:r w:rsidRPr="00DD1B58">
        <w:rPr>
          <w:lang w:val="en-US"/>
        </w:rPr>
        <w:t xml:space="preserve"> considerations apply to HNB and other first generation AGRs. Fire assessments</w:t>
      </w:r>
      <w:r w:rsidR="5DFC2ECB" w:rsidRPr="00DD1B58">
        <w:rPr>
          <w:lang w:val="en-US"/>
        </w:rPr>
        <w:t xml:space="preserve"> </w:t>
      </w:r>
      <w:r w:rsidRPr="00DD1B58">
        <w:rPr>
          <w:lang w:val="en-US"/>
        </w:rPr>
        <w:t xml:space="preserve">are carried out in accordance with risk to nuclear safety and </w:t>
      </w:r>
      <w:r w:rsidR="00044A58" w:rsidRPr="00DD1B58">
        <w:rPr>
          <w:lang w:val="en-US"/>
        </w:rPr>
        <w:t>EDF NGL</w:t>
      </w:r>
      <w:r w:rsidR="00C71A85" w:rsidRPr="00DD1B58">
        <w:rPr>
          <w:lang w:val="en-US"/>
        </w:rPr>
        <w:t xml:space="preserve"> considers all </w:t>
      </w:r>
      <w:r w:rsidRPr="00DD1B58">
        <w:rPr>
          <w:lang w:val="en-US"/>
        </w:rPr>
        <w:t>scenarios to be highly</w:t>
      </w:r>
      <w:r w:rsidR="6CD39072" w:rsidRPr="00DD1B58">
        <w:rPr>
          <w:lang w:val="en-US"/>
        </w:rPr>
        <w:t xml:space="preserve"> </w:t>
      </w:r>
      <w:r w:rsidRPr="00DD1B58">
        <w:rPr>
          <w:lang w:val="en-US"/>
        </w:rPr>
        <w:t xml:space="preserve">conservative and bounding for shutdown and </w:t>
      </w:r>
      <w:r w:rsidR="00B64860" w:rsidRPr="00DD1B58">
        <w:rPr>
          <w:lang w:val="en-US"/>
        </w:rPr>
        <w:t>defueling</w:t>
      </w:r>
      <w:r w:rsidRPr="00DD1B58">
        <w:rPr>
          <w:lang w:val="en-US"/>
        </w:rPr>
        <w:t xml:space="preserve"> operations.</w:t>
      </w:r>
    </w:p>
    <w:p w14:paraId="1A9D280A" w14:textId="57568D98" w:rsidR="48A4A13E" w:rsidRPr="00DD1B58" w:rsidRDefault="48A4A13E" w:rsidP="355CB971">
      <w:pPr>
        <w:rPr>
          <w:lang w:val="en-US"/>
        </w:rPr>
      </w:pPr>
      <w:r w:rsidRPr="00DD1B58">
        <w:rPr>
          <w:b/>
          <w:lang w:val="en-US"/>
        </w:rPr>
        <w:t>Second Generation AGRs (Heysham 2)</w:t>
      </w:r>
      <w:r w:rsidR="00D34623" w:rsidRPr="00DD1B58">
        <w:rPr>
          <w:b/>
          <w:lang w:val="en-US"/>
        </w:rPr>
        <w:t>:</w:t>
      </w:r>
      <w:r w:rsidR="00F452EE" w:rsidRPr="00DD1B58">
        <w:rPr>
          <w:b/>
          <w:lang w:val="en-US"/>
        </w:rPr>
        <w:t xml:space="preserve"> </w:t>
      </w:r>
      <w:r w:rsidR="00D34623" w:rsidRPr="00DD1B58">
        <w:rPr>
          <w:lang w:val="en-US"/>
        </w:rPr>
        <w:t>i</w:t>
      </w:r>
      <w:r w:rsidRPr="00DD1B58">
        <w:rPr>
          <w:lang w:val="en-US"/>
        </w:rPr>
        <w:t>n the baseline safety case, an assessment was conducted of maximum credible fires on a zone</w:t>
      </w:r>
      <w:r w:rsidR="00C521AE" w:rsidRPr="00DD1B58">
        <w:rPr>
          <w:lang w:val="en-US"/>
        </w:rPr>
        <w:t>-</w:t>
      </w:r>
      <w:r w:rsidRPr="00DD1B58">
        <w:rPr>
          <w:lang w:val="en-US"/>
        </w:rPr>
        <w:t>by</w:t>
      </w:r>
      <w:r w:rsidR="00C521AE" w:rsidRPr="00DD1B58">
        <w:rPr>
          <w:lang w:val="en-US"/>
        </w:rPr>
        <w:t>-</w:t>
      </w:r>
      <w:r w:rsidRPr="00DD1B58">
        <w:rPr>
          <w:lang w:val="en-US"/>
        </w:rPr>
        <w:t>zone</w:t>
      </w:r>
      <w:r w:rsidR="6705740E" w:rsidRPr="00DD1B58">
        <w:rPr>
          <w:lang w:val="en-US"/>
        </w:rPr>
        <w:t xml:space="preserve"> </w:t>
      </w:r>
      <w:r w:rsidRPr="00DD1B58">
        <w:rPr>
          <w:lang w:val="en-US"/>
        </w:rPr>
        <w:t>basis where nuclear safety related plant is located. These zones effectively define the bounding fire</w:t>
      </w:r>
      <w:r w:rsidR="603E50D3" w:rsidRPr="00DD1B58">
        <w:rPr>
          <w:lang w:val="en-US"/>
        </w:rPr>
        <w:t xml:space="preserve"> </w:t>
      </w:r>
      <w:r w:rsidRPr="00DD1B58">
        <w:rPr>
          <w:lang w:val="en-US"/>
        </w:rPr>
        <w:t xml:space="preserve">scenarios. The location of equipment, the type and combustible loading </w:t>
      </w:r>
      <w:r w:rsidR="00C521AE" w:rsidRPr="00DD1B58">
        <w:rPr>
          <w:lang w:val="en-US"/>
        </w:rPr>
        <w:t>is listed for</w:t>
      </w:r>
      <w:r w:rsidRPr="00DD1B58">
        <w:rPr>
          <w:lang w:val="en-US"/>
        </w:rPr>
        <w:t xml:space="preserve"> each zone</w:t>
      </w:r>
      <w:r w:rsidR="00C521AE" w:rsidRPr="00DD1B58">
        <w:rPr>
          <w:lang w:val="en-US"/>
        </w:rPr>
        <w:t>. E</w:t>
      </w:r>
      <w:r w:rsidRPr="00DD1B58">
        <w:rPr>
          <w:lang w:val="en-US"/>
        </w:rPr>
        <w:t>lectrical cabling and lubricating/fuel oil are the dominant combustible materials.</w:t>
      </w:r>
      <w:r w:rsidR="00953408" w:rsidRPr="00DD1B58">
        <w:rPr>
          <w:lang w:val="en-US"/>
        </w:rPr>
        <w:t xml:space="preserve"> </w:t>
      </w:r>
      <w:r w:rsidRPr="00DD1B58">
        <w:rPr>
          <w:lang w:val="en-US"/>
        </w:rPr>
        <w:t>In addition, areas containing substantial quantities of combustible material (mostly oil) in buildings</w:t>
      </w:r>
      <w:r w:rsidR="45775C25" w:rsidRPr="00DD1B58">
        <w:rPr>
          <w:lang w:val="en-US"/>
        </w:rPr>
        <w:t xml:space="preserve"> </w:t>
      </w:r>
      <w:r w:rsidRPr="00DD1B58">
        <w:rPr>
          <w:lang w:val="en-US"/>
        </w:rPr>
        <w:t>which are not safety related were also assessed.</w:t>
      </w:r>
    </w:p>
    <w:p w14:paraId="1A15D9AF" w14:textId="671E9B12" w:rsidR="48A4A13E" w:rsidRPr="00DD1B58" w:rsidRDefault="48A4A13E" w:rsidP="355CB971">
      <w:pPr>
        <w:rPr>
          <w:lang w:val="en-US"/>
        </w:rPr>
      </w:pPr>
      <w:r w:rsidRPr="00DD1B58">
        <w:rPr>
          <w:lang w:val="en-US"/>
        </w:rPr>
        <w:t xml:space="preserve">The existing safety case defines three categories of fires: </w:t>
      </w:r>
      <w:r w:rsidR="00A25D79" w:rsidRPr="00DD1B58">
        <w:rPr>
          <w:lang w:val="en-US"/>
        </w:rPr>
        <w:t>‘trivial’</w:t>
      </w:r>
      <w:r w:rsidRPr="00DD1B58">
        <w:rPr>
          <w:lang w:val="en-US"/>
        </w:rPr>
        <w:t xml:space="preserve">, </w:t>
      </w:r>
      <w:r w:rsidR="00A25D79" w:rsidRPr="00DD1B58">
        <w:rPr>
          <w:lang w:val="en-US"/>
        </w:rPr>
        <w:t xml:space="preserve">‘minor’ </w:t>
      </w:r>
      <w:r w:rsidRPr="00DD1B58">
        <w:rPr>
          <w:lang w:val="en-US"/>
        </w:rPr>
        <w:t xml:space="preserve">and </w:t>
      </w:r>
      <w:r w:rsidR="00A25D79" w:rsidRPr="00DD1B58">
        <w:rPr>
          <w:lang w:val="en-US"/>
        </w:rPr>
        <w:t>‘major’</w:t>
      </w:r>
      <w:r w:rsidRPr="00DD1B58">
        <w:rPr>
          <w:lang w:val="en-US"/>
        </w:rPr>
        <w:t xml:space="preserve">. Most fires </w:t>
      </w:r>
      <w:r w:rsidR="00235E26" w:rsidRPr="00DD1B58">
        <w:rPr>
          <w:lang w:val="en-US"/>
        </w:rPr>
        <w:t xml:space="preserve">would be </w:t>
      </w:r>
      <w:r w:rsidRPr="00DD1B58">
        <w:rPr>
          <w:lang w:val="en-US"/>
        </w:rPr>
        <w:t xml:space="preserve">expected to be </w:t>
      </w:r>
      <w:r w:rsidR="00A25D79" w:rsidRPr="00DD1B58">
        <w:rPr>
          <w:lang w:val="en-US"/>
        </w:rPr>
        <w:t>t</w:t>
      </w:r>
      <w:r w:rsidRPr="00DD1B58">
        <w:rPr>
          <w:lang w:val="en-US"/>
        </w:rPr>
        <w:t>rivial or ‘</w:t>
      </w:r>
      <w:r w:rsidR="00A25D79" w:rsidRPr="00DD1B58">
        <w:rPr>
          <w:lang w:val="en-US"/>
        </w:rPr>
        <w:t>f</w:t>
      </w:r>
      <w:r w:rsidRPr="00DD1B58">
        <w:rPr>
          <w:lang w:val="en-US"/>
        </w:rPr>
        <w:t>requent’ and</w:t>
      </w:r>
      <w:r w:rsidR="00953408" w:rsidRPr="00DD1B58">
        <w:rPr>
          <w:lang w:val="en-US"/>
        </w:rPr>
        <w:t>,</w:t>
      </w:r>
      <w:r w:rsidRPr="00DD1B58">
        <w:rPr>
          <w:lang w:val="en-US"/>
        </w:rPr>
        <w:t xml:space="preserve"> although not claimed in the safety case, </w:t>
      </w:r>
      <w:r w:rsidR="00044A58" w:rsidRPr="00DD1B58">
        <w:rPr>
          <w:lang w:val="en-US"/>
        </w:rPr>
        <w:t>EDF NGL</w:t>
      </w:r>
      <w:r w:rsidRPr="00DD1B58">
        <w:rPr>
          <w:lang w:val="en-US"/>
        </w:rPr>
        <w:t xml:space="preserve"> </w:t>
      </w:r>
      <w:r w:rsidR="00235E26" w:rsidRPr="00DD1B58">
        <w:rPr>
          <w:lang w:val="en-US"/>
        </w:rPr>
        <w:t>assumes</w:t>
      </w:r>
      <w:r w:rsidRPr="00DD1B58">
        <w:rPr>
          <w:lang w:val="en-US"/>
        </w:rPr>
        <w:t xml:space="preserve"> that the</w:t>
      </w:r>
      <w:r w:rsidR="5FEEA645" w:rsidRPr="00DD1B58">
        <w:rPr>
          <w:lang w:val="en-US"/>
        </w:rPr>
        <w:t xml:space="preserve"> </w:t>
      </w:r>
      <w:r w:rsidRPr="00DD1B58">
        <w:rPr>
          <w:lang w:val="en-US"/>
        </w:rPr>
        <w:t xml:space="preserve">vast majority of trivial fires </w:t>
      </w:r>
      <w:r w:rsidR="00A25D79" w:rsidRPr="00DD1B58">
        <w:rPr>
          <w:lang w:val="en-US"/>
        </w:rPr>
        <w:t xml:space="preserve">that </w:t>
      </w:r>
      <w:r w:rsidRPr="00DD1B58">
        <w:rPr>
          <w:lang w:val="en-US"/>
        </w:rPr>
        <w:t>are not self-limiting will be prevented from escalating by the</w:t>
      </w:r>
      <w:r w:rsidR="1C6B54DD" w:rsidRPr="00DD1B58">
        <w:rPr>
          <w:lang w:val="en-US"/>
        </w:rPr>
        <w:t xml:space="preserve"> </w:t>
      </w:r>
      <w:r w:rsidRPr="00DD1B58">
        <w:rPr>
          <w:lang w:val="en-US"/>
        </w:rPr>
        <w:t xml:space="preserve">automatic </w:t>
      </w:r>
      <w:r w:rsidR="00A25D79" w:rsidRPr="00DD1B58">
        <w:rPr>
          <w:lang w:val="en-US"/>
        </w:rPr>
        <w:t>or</w:t>
      </w:r>
      <w:r w:rsidRPr="00DD1B58">
        <w:rPr>
          <w:lang w:val="en-US"/>
        </w:rPr>
        <w:t xml:space="preserve"> manual fire detection and suppression systems.</w:t>
      </w:r>
      <w:r w:rsidR="009C6E6C" w:rsidRPr="00DD1B58">
        <w:rPr>
          <w:lang w:val="en-US"/>
        </w:rPr>
        <w:t xml:space="preserve"> </w:t>
      </w:r>
      <w:r w:rsidRPr="00DD1B58">
        <w:rPr>
          <w:lang w:val="en-US"/>
        </w:rPr>
        <w:t>Fires which do escalate</w:t>
      </w:r>
      <w:r w:rsidR="00A25D79" w:rsidRPr="00DD1B58">
        <w:rPr>
          <w:lang w:val="en-US"/>
        </w:rPr>
        <w:t>,</w:t>
      </w:r>
      <w:r w:rsidRPr="00DD1B58">
        <w:rPr>
          <w:lang w:val="en-US"/>
        </w:rPr>
        <w:t xml:space="preserve"> or which are of a greater severity but </w:t>
      </w:r>
      <w:r w:rsidR="001E2A95" w:rsidRPr="00DD1B58">
        <w:rPr>
          <w:lang w:val="en-US"/>
        </w:rPr>
        <w:t xml:space="preserve">can be </w:t>
      </w:r>
      <w:r w:rsidRPr="00DD1B58">
        <w:rPr>
          <w:lang w:val="en-US"/>
        </w:rPr>
        <w:t>contained by a passive one</w:t>
      </w:r>
      <w:r w:rsidR="0042282F" w:rsidRPr="00DD1B58">
        <w:rPr>
          <w:lang w:val="en-US"/>
        </w:rPr>
        <w:t>-</w:t>
      </w:r>
      <w:r w:rsidRPr="00DD1B58">
        <w:rPr>
          <w:lang w:val="en-US"/>
        </w:rPr>
        <w:t>hour fire</w:t>
      </w:r>
      <w:r w:rsidR="3EB431FD" w:rsidRPr="00DD1B58">
        <w:rPr>
          <w:lang w:val="en-US"/>
        </w:rPr>
        <w:t xml:space="preserve"> </w:t>
      </w:r>
      <w:r w:rsidRPr="00DD1B58">
        <w:rPr>
          <w:lang w:val="en-US"/>
        </w:rPr>
        <w:t>barrier</w:t>
      </w:r>
      <w:r w:rsidR="00A25D79" w:rsidRPr="00DD1B58">
        <w:rPr>
          <w:lang w:val="en-US"/>
        </w:rPr>
        <w:t>,</w:t>
      </w:r>
      <w:r w:rsidRPr="00DD1B58">
        <w:rPr>
          <w:lang w:val="en-US"/>
        </w:rPr>
        <w:t xml:space="preserve"> are termed </w:t>
      </w:r>
      <w:r w:rsidR="00A25D79" w:rsidRPr="00DD1B58">
        <w:rPr>
          <w:lang w:val="en-US"/>
        </w:rPr>
        <w:t xml:space="preserve">minor </w:t>
      </w:r>
      <w:r w:rsidRPr="00DD1B58">
        <w:rPr>
          <w:lang w:val="en-US"/>
        </w:rPr>
        <w:t xml:space="preserve">or </w:t>
      </w:r>
      <w:r w:rsidR="00A25D79" w:rsidRPr="00DD1B58">
        <w:rPr>
          <w:lang w:val="en-US"/>
        </w:rPr>
        <w:t>frequent</w:t>
      </w:r>
      <w:r w:rsidRPr="00DD1B58">
        <w:rPr>
          <w:lang w:val="en-US"/>
        </w:rPr>
        <w:t xml:space="preserve">. A </w:t>
      </w:r>
      <w:r w:rsidR="00A25D79" w:rsidRPr="00DD1B58">
        <w:rPr>
          <w:lang w:val="en-US"/>
        </w:rPr>
        <w:t>major</w:t>
      </w:r>
      <w:r w:rsidRPr="00DD1B58">
        <w:rPr>
          <w:lang w:val="en-US"/>
        </w:rPr>
        <w:t xml:space="preserve"> or ‘</w:t>
      </w:r>
      <w:r w:rsidR="00A25D79" w:rsidRPr="00DD1B58">
        <w:rPr>
          <w:lang w:val="en-US"/>
        </w:rPr>
        <w:t>i</w:t>
      </w:r>
      <w:r w:rsidRPr="00DD1B58">
        <w:rPr>
          <w:lang w:val="en-US"/>
        </w:rPr>
        <w:t>nfrequent’ fire is defined as one which is not</w:t>
      </w:r>
      <w:r w:rsidR="2B23427C" w:rsidRPr="00DD1B58">
        <w:rPr>
          <w:lang w:val="en-US"/>
        </w:rPr>
        <w:t xml:space="preserve"> </w:t>
      </w:r>
      <w:r w:rsidRPr="00DD1B58">
        <w:rPr>
          <w:lang w:val="en-US"/>
        </w:rPr>
        <w:t>contained by the one</w:t>
      </w:r>
      <w:r w:rsidR="00FC5FF9" w:rsidRPr="00DD1B58">
        <w:rPr>
          <w:lang w:val="en-US"/>
        </w:rPr>
        <w:t>-</w:t>
      </w:r>
      <w:r w:rsidRPr="00DD1B58">
        <w:rPr>
          <w:lang w:val="en-US"/>
        </w:rPr>
        <w:t>hour fire barrier but is contained by the four</w:t>
      </w:r>
      <w:r w:rsidR="001E2A95" w:rsidRPr="00DD1B58">
        <w:rPr>
          <w:lang w:val="en-US"/>
        </w:rPr>
        <w:t>-</w:t>
      </w:r>
      <w:r w:rsidRPr="00DD1B58">
        <w:rPr>
          <w:lang w:val="en-US"/>
        </w:rPr>
        <w:t>hour fire barrier. The passive four</w:t>
      </w:r>
      <w:r w:rsidR="00FC5FF9" w:rsidRPr="00DD1B58">
        <w:rPr>
          <w:lang w:val="en-US"/>
        </w:rPr>
        <w:t>-</w:t>
      </w:r>
      <w:r w:rsidRPr="00DD1B58">
        <w:rPr>
          <w:lang w:val="en-US"/>
        </w:rPr>
        <w:t xml:space="preserve">hour fire barriers are designed to protect each </w:t>
      </w:r>
      <w:r w:rsidR="00A25D79" w:rsidRPr="00DD1B58">
        <w:rPr>
          <w:lang w:val="en-US"/>
        </w:rPr>
        <w:t>‘</w:t>
      </w:r>
      <w:r w:rsidRPr="00DD1B58">
        <w:rPr>
          <w:lang w:val="en-US"/>
        </w:rPr>
        <w:t>reactor half</w:t>
      </w:r>
      <w:r w:rsidR="00A25D79" w:rsidRPr="00DD1B58">
        <w:rPr>
          <w:lang w:val="en-US"/>
        </w:rPr>
        <w:t>’</w:t>
      </w:r>
      <w:r w:rsidR="00F90749" w:rsidRPr="00DD1B58">
        <w:rPr>
          <w:lang w:val="en-US"/>
        </w:rPr>
        <w:t xml:space="preserve"> (two out of four safety divisions)</w:t>
      </w:r>
      <w:r w:rsidRPr="00DD1B58">
        <w:rPr>
          <w:lang w:val="en-US"/>
        </w:rPr>
        <w:t xml:space="preserve"> from a fire of this magnitude.</w:t>
      </w:r>
    </w:p>
    <w:p w14:paraId="534CBE14" w14:textId="4977D533" w:rsidR="48A4A13E" w:rsidRPr="00DD1B58" w:rsidRDefault="48A4A13E" w:rsidP="355CB971">
      <w:pPr>
        <w:rPr>
          <w:lang w:val="en-US"/>
        </w:rPr>
      </w:pPr>
      <w:r w:rsidRPr="00DD1B58">
        <w:rPr>
          <w:lang w:val="en-US"/>
        </w:rPr>
        <w:lastRenderedPageBreak/>
        <w:t>Based on findings from PSR1</w:t>
      </w:r>
      <w:r w:rsidR="000736BC" w:rsidRPr="00DD1B58">
        <w:rPr>
          <w:lang w:val="en-US"/>
        </w:rPr>
        <w:t>,</w:t>
      </w:r>
      <w:r w:rsidRPr="00DD1B58">
        <w:rPr>
          <w:lang w:val="en-US"/>
        </w:rPr>
        <w:t xml:space="preserve"> which identified the need for a PSA, a comprehensive Fault Schedule </w:t>
      </w:r>
      <w:r w:rsidR="001E2A95" w:rsidRPr="00DD1B58">
        <w:rPr>
          <w:lang w:val="en-US"/>
        </w:rPr>
        <w:t>was</w:t>
      </w:r>
      <w:r w:rsidRPr="00DD1B58">
        <w:rPr>
          <w:lang w:val="en-US"/>
        </w:rPr>
        <w:t xml:space="preserve"> developed, based on the original fault sequence probability analysis and a Failure Effects</w:t>
      </w:r>
      <w:r w:rsidR="7A9695E7" w:rsidRPr="00DD1B58">
        <w:rPr>
          <w:lang w:val="en-US"/>
        </w:rPr>
        <w:t xml:space="preserve"> </w:t>
      </w:r>
      <w:r w:rsidRPr="00DD1B58">
        <w:rPr>
          <w:lang w:val="en-US"/>
        </w:rPr>
        <w:t xml:space="preserve">Analysis (FEA). Given the systematic approach of the analyses, this gave </w:t>
      </w:r>
      <w:r w:rsidR="00044A58" w:rsidRPr="00DD1B58">
        <w:rPr>
          <w:lang w:val="en-US"/>
        </w:rPr>
        <w:t>EDF NGL</w:t>
      </w:r>
      <w:r w:rsidR="00B77B1B" w:rsidRPr="00DD1B58">
        <w:rPr>
          <w:lang w:val="en-US"/>
        </w:rPr>
        <w:t xml:space="preserve"> </w:t>
      </w:r>
      <w:r w:rsidRPr="00DD1B58">
        <w:rPr>
          <w:lang w:val="en-US"/>
        </w:rPr>
        <w:t>confidence that all credible</w:t>
      </w:r>
      <w:r w:rsidR="7E2CBA6E" w:rsidRPr="00DD1B58">
        <w:rPr>
          <w:lang w:val="en-US"/>
        </w:rPr>
        <w:t xml:space="preserve"> faults and hazards </w:t>
      </w:r>
      <w:r w:rsidR="00A37929" w:rsidRPr="00DD1B58">
        <w:rPr>
          <w:lang w:val="en-US"/>
        </w:rPr>
        <w:t>with</w:t>
      </w:r>
      <w:r w:rsidR="7E2CBA6E" w:rsidRPr="00DD1B58">
        <w:rPr>
          <w:lang w:val="en-US"/>
        </w:rPr>
        <w:t xml:space="preserve"> the potential to impact nuclear safety</w:t>
      </w:r>
      <w:r w:rsidR="00A37929" w:rsidRPr="00DD1B58">
        <w:rPr>
          <w:lang w:val="en-US"/>
        </w:rPr>
        <w:t>, including fire, had been identified.</w:t>
      </w:r>
    </w:p>
    <w:p w14:paraId="1C7B95E1" w14:textId="54FDBA15" w:rsidR="7E2CBA6E" w:rsidRPr="00DD1B58" w:rsidRDefault="7E2CBA6E" w:rsidP="355CB971">
      <w:pPr>
        <w:rPr>
          <w:lang w:val="en-US"/>
        </w:rPr>
      </w:pPr>
      <w:r w:rsidRPr="00DD1B58">
        <w:rPr>
          <w:b/>
          <w:lang w:val="en-US"/>
        </w:rPr>
        <w:t>Sizewell B</w:t>
      </w:r>
      <w:r w:rsidR="00A25D79" w:rsidRPr="00DD1B58">
        <w:rPr>
          <w:b/>
          <w:lang w:val="en-US"/>
        </w:rPr>
        <w:t>:</w:t>
      </w:r>
      <w:r w:rsidR="00F452EE" w:rsidRPr="00DD1B58">
        <w:rPr>
          <w:b/>
          <w:lang w:val="en-US"/>
        </w:rPr>
        <w:t xml:space="preserve"> </w:t>
      </w:r>
      <w:r w:rsidR="00A25D79" w:rsidRPr="00DD1B58">
        <w:rPr>
          <w:lang w:val="en-US"/>
        </w:rPr>
        <w:t>t</w:t>
      </w:r>
      <w:r w:rsidRPr="00DD1B58">
        <w:rPr>
          <w:lang w:val="en-US"/>
        </w:rPr>
        <w:t>he SZB design typically has four trains of safeguards equipment and well</w:t>
      </w:r>
      <w:r w:rsidR="00E92FEA" w:rsidRPr="00DD1B58">
        <w:rPr>
          <w:lang w:val="en-US"/>
        </w:rPr>
        <w:t>-</w:t>
      </w:r>
      <w:r w:rsidRPr="00DD1B58">
        <w:rPr>
          <w:lang w:val="en-US"/>
        </w:rPr>
        <w:t xml:space="preserve">defined four-way fire segregation </w:t>
      </w:r>
      <w:r w:rsidR="00F90749" w:rsidRPr="00DD1B58">
        <w:rPr>
          <w:lang w:val="en-US"/>
        </w:rPr>
        <w:t>(</w:t>
      </w:r>
      <w:r w:rsidR="009626AA" w:rsidRPr="00DD1B58">
        <w:rPr>
          <w:lang w:val="en-US"/>
        </w:rPr>
        <w:t>four</w:t>
      </w:r>
      <w:r w:rsidR="00F90749" w:rsidRPr="00DD1B58">
        <w:rPr>
          <w:lang w:val="en-US"/>
        </w:rPr>
        <w:t xml:space="preserve"> </w:t>
      </w:r>
      <w:r w:rsidR="009626AA" w:rsidRPr="00DD1B58">
        <w:rPr>
          <w:lang w:val="en-US"/>
        </w:rPr>
        <w:t>trains of safety equipment</w:t>
      </w:r>
      <w:r w:rsidR="00F90749" w:rsidRPr="00DD1B58">
        <w:rPr>
          <w:lang w:val="en-US"/>
        </w:rPr>
        <w:t xml:space="preserve">) </w:t>
      </w:r>
      <w:r w:rsidRPr="00DD1B58">
        <w:rPr>
          <w:lang w:val="en-US"/>
        </w:rPr>
        <w:t xml:space="preserve">for power operation/hot shutdown and two-way </w:t>
      </w:r>
      <w:r w:rsidR="009626AA" w:rsidRPr="00DD1B58">
        <w:rPr>
          <w:lang w:val="en-US"/>
        </w:rPr>
        <w:t>(two train)</w:t>
      </w:r>
      <w:r w:rsidRPr="00DD1B58">
        <w:rPr>
          <w:lang w:val="en-US"/>
        </w:rPr>
        <w:t xml:space="preserve"> fire segregation for cold shutdown/refuelling. The deterministic (and PSA) fire </w:t>
      </w:r>
      <w:r w:rsidR="00D35F5A" w:rsidRPr="00DD1B58">
        <w:rPr>
          <w:lang w:val="en-US"/>
        </w:rPr>
        <w:t xml:space="preserve">basis </w:t>
      </w:r>
      <w:r w:rsidRPr="00DD1B58">
        <w:rPr>
          <w:lang w:val="en-US"/>
        </w:rPr>
        <w:t xml:space="preserve">is that a fire could affect all of the equipment in one fire segregation area. This is considered to be a bounding and very conservative assumption, but </w:t>
      </w:r>
      <w:r w:rsidR="00044A58" w:rsidRPr="00DD1B58">
        <w:rPr>
          <w:lang w:val="en-US"/>
        </w:rPr>
        <w:t>EDF NGL</w:t>
      </w:r>
      <w:r w:rsidR="00D35F5A" w:rsidRPr="00DD1B58">
        <w:rPr>
          <w:lang w:val="en-US"/>
        </w:rPr>
        <w:t xml:space="preserve"> considers that the </w:t>
      </w:r>
      <w:r w:rsidRPr="00DD1B58">
        <w:rPr>
          <w:lang w:val="en-US"/>
        </w:rPr>
        <w:t>design of the fire protection provisions is robust enough that no further refinements need to be made.</w:t>
      </w:r>
      <w:r w:rsidR="00BE4074" w:rsidRPr="00DD1B58">
        <w:rPr>
          <w:lang w:val="en-US"/>
        </w:rPr>
        <w:t xml:space="preserve"> </w:t>
      </w:r>
      <w:r w:rsidRPr="00DD1B58">
        <w:rPr>
          <w:lang w:val="en-US"/>
        </w:rPr>
        <w:t xml:space="preserve">A failure in a Principal Fire Barrier (PFB) separating two of the four trains of equipment is also considered as </w:t>
      </w:r>
      <w:r w:rsidR="00BE4074" w:rsidRPr="00DD1B58">
        <w:rPr>
          <w:lang w:val="en-US"/>
        </w:rPr>
        <w:t xml:space="preserve">a </w:t>
      </w:r>
      <w:r w:rsidRPr="00DD1B58">
        <w:rPr>
          <w:lang w:val="en-US"/>
        </w:rPr>
        <w:t>bounding scenario.</w:t>
      </w:r>
    </w:p>
    <w:p w14:paraId="4C31931B" w14:textId="77777777" w:rsidR="7E2CBA6E" w:rsidRPr="00DD1B58" w:rsidRDefault="7E2CBA6E" w:rsidP="0062501D">
      <w:pPr>
        <w:pStyle w:val="Heading4"/>
        <w:numPr>
          <w:ilvl w:val="4"/>
          <w:numId w:val="3"/>
        </w:numPr>
        <w:rPr>
          <w:lang w:val="en-US"/>
        </w:rPr>
      </w:pPr>
      <w:r w:rsidRPr="00DD1B58">
        <w:rPr>
          <w:lang w:val="en-US"/>
        </w:rPr>
        <w:t>Screening</w:t>
      </w:r>
    </w:p>
    <w:p w14:paraId="24E55FC2" w14:textId="59F1DC89" w:rsidR="7E2CBA6E" w:rsidRPr="00DD1B58" w:rsidRDefault="7E2CBA6E" w:rsidP="355CB971">
      <w:pPr>
        <w:rPr>
          <w:lang w:val="en-US"/>
        </w:rPr>
      </w:pPr>
      <w:r w:rsidRPr="00DD1B58">
        <w:rPr>
          <w:b/>
          <w:lang w:val="en-US"/>
        </w:rPr>
        <w:t>General</w:t>
      </w:r>
      <w:r w:rsidR="00A25D79" w:rsidRPr="00DD1B58">
        <w:rPr>
          <w:b/>
          <w:lang w:val="en-US"/>
        </w:rPr>
        <w:t>:</w:t>
      </w:r>
      <w:r w:rsidR="00F452EE" w:rsidRPr="00DD1B58">
        <w:rPr>
          <w:b/>
          <w:lang w:val="en-US"/>
        </w:rPr>
        <w:t xml:space="preserve"> </w:t>
      </w:r>
      <w:r w:rsidR="00A25D79" w:rsidRPr="00DD1B58">
        <w:rPr>
          <w:lang w:val="en-US"/>
        </w:rPr>
        <w:t>t</w:t>
      </w:r>
      <w:r w:rsidRPr="00DD1B58">
        <w:rPr>
          <w:lang w:val="en-US"/>
        </w:rPr>
        <w:t>hree assessment methods are typically used</w:t>
      </w:r>
      <w:r w:rsidR="007B415E" w:rsidRPr="00DD1B58">
        <w:rPr>
          <w:lang w:val="en-US"/>
        </w:rPr>
        <w:t xml:space="preserve"> at </w:t>
      </w:r>
      <w:r w:rsidR="00C362CA" w:rsidRPr="00DD1B58">
        <w:rPr>
          <w:lang w:val="en-US"/>
        </w:rPr>
        <w:t>EDF NGL</w:t>
      </w:r>
      <w:r w:rsidRPr="00DD1B58">
        <w:rPr>
          <w:lang w:val="en-US"/>
        </w:rPr>
        <w:t xml:space="preserve">, depending on the type of fire scenario and </w:t>
      </w:r>
      <w:r w:rsidR="00BB2B95" w:rsidRPr="00DD1B58">
        <w:rPr>
          <w:lang w:val="en-US"/>
        </w:rPr>
        <w:t>the</w:t>
      </w:r>
      <w:r w:rsidRPr="00DD1B58">
        <w:rPr>
          <w:lang w:val="en-US"/>
        </w:rPr>
        <w:t xml:space="preserve"> fuel inventory</w:t>
      </w:r>
      <w:r w:rsidR="008B7BC5" w:rsidRPr="00DD1B58">
        <w:rPr>
          <w:lang w:val="en-US"/>
        </w:rPr>
        <w:t>:</w:t>
      </w:r>
      <w:r w:rsidR="00991ED8" w:rsidRPr="00DD1B58">
        <w:rPr>
          <w:lang w:val="en-US"/>
        </w:rPr>
        <w:t xml:space="preserve"> the Ingberg method, the KTA method and CFAST zone modelling.</w:t>
      </w:r>
    </w:p>
    <w:p w14:paraId="5D71C354" w14:textId="04D86CE1" w:rsidR="7E2CBA6E" w:rsidRPr="00DD1B58" w:rsidRDefault="00BB2B95" w:rsidP="00973FF4">
      <w:pPr>
        <w:pStyle w:val="Bulletlist1"/>
        <w:numPr>
          <w:ilvl w:val="0"/>
          <w:numId w:val="0"/>
        </w:numPr>
        <w:rPr>
          <w:lang w:val="en-US"/>
        </w:rPr>
      </w:pPr>
      <w:r w:rsidRPr="00DD1B58">
        <w:rPr>
          <w:lang w:val="en-US"/>
        </w:rPr>
        <w:t>EDF</w:t>
      </w:r>
      <w:r w:rsidR="000B1E5F" w:rsidRPr="00DD1B58">
        <w:rPr>
          <w:lang w:val="en-US"/>
        </w:rPr>
        <w:t xml:space="preserve"> </w:t>
      </w:r>
      <w:r w:rsidRPr="00DD1B58">
        <w:rPr>
          <w:lang w:val="en-US"/>
        </w:rPr>
        <w:t xml:space="preserve">NGL considers the </w:t>
      </w:r>
      <w:r w:rsidR="7E2CBA6E" w:rsidRPr="00DD1B58">
        <w:rPr>
          <w:lang w:val="en-US"/>
        </w:rPr>
        <w:t xml:space="preserve">Ingberg method </w:t>
      </w:r>
      <w:r w:rsidRPr="00DD1B58">
        <w:rPr>
          <w:lang w:val="en-US"/>
        </w:rPr>
        <w:t xml:space="preserve">as </w:t>
      </w:r>
      <w:r w:rsidR="00766C9F" w:rsidRPr="00DD1B58">
        <w:rPr>
          <w:lang w:val="en-US"/>
        </w:rPr>
        <w:t xml:space="preserve">a </w:t>
      </w:r>
      <w:r w:rsidR="7E2CBA6E" w:rsidRPr="00DD1B58">
        <w:rPr>
          <w:lang w:val="en-US"/>
        </w:rPr>
        <w:t xml:space="preserve">practical screening tool </w:t>
      </w:r>
      <w:r w:rsidR="00C106F6" w:rsidRPr="00DD1B58">
        <w:rPr>
          <w:lang w:val="en-US"/>
        </w:rPr>
        <w:t>for</w:t>
      </w:r>
      <w:r w:rsidR="7E2CBA6E" w:rsidRPr="00DD1B58">
        <w:rPr>
          <w:lang w:val="en-US"/>
        </w:rPr>
        <w:t xml:space="preserve"> quickly </w:t>
      </w:r>
      <w:r w:rsidR="00C106F6" w:rsidRPr="00DD1B58">
        <w:rPr>
          <w:lang w:val="en-US"/>
        </w:rPr>
        <w:t>assessing</w:t>
      </w:r>
      <w:r w:rsidR="7E2CBA6E" w:rsidRPr="00DD1B58">
        <w:rPr>
          <w:lang w:val="en-US"/>
        </w:rPr>
        <w:t xml:space="preserve"> a large number of compartments. </w:t>
      </w:r>
      <w:r w:rsidR="00991ED8" w:rsidRPr="00DD1B58">
        <w:rPr>
          <w:lang w:val="en-US"/>
        </w:rPr>
        <w:t xml:space="preserve">It uses </w:t>
      </w:r>
      <w:r w:rsidR="005A3AC1" w:rsidRPr="00DD1B58">
        <w:rPr>
          <w:lang w:val="en-US"/>
        </w:rPr>
        <w:t>this method</w:t>
      </w:r>
      <w:r w:rsidR="00991ED8" w:rsidRPr="00DD1B58">
        <w:rPr>
          <w:lang w:val="en-US"/>
        </w:rPr>
        <w:t xml:space="preserve"> for</w:t>
      </w:r>
      <w:r w:rsidR="7E2CBA6E" w:rsidRPr="00DD1B58">
        <w:rPr>
          <w:lang w:val="en-US"/>
        </w:rPr>
        <w:t xml:space="preserve"> </w:t>
      </w:r>
      <w:r w:rsidR="005A3AC1" w:rsidRPr="00DD1B58">
        <w:rPr>
          <w:lang w:val="en-US"/>
        </w:rPr>
        <w:t>evaluating the</w:t>
      </w:r>
      <w:r w:rsidR="7E2CBA6E" w:rsidRPr="00DD1B58">
        <w:rPr>
          <w:lang w:val="en-US"/>
        </w:rPr>
        <w:t xml:space="preserve"> fire barrier resistance rating needed to prevent a fire from</w:t>
      </w:r>
      <w:r w:rsidR="6930C462" w:rsidRPr="00DD1B58">
        <w:rPr>
          <w:lang w:val="en-US"/>
        </w:rPr>
        <w:t xml:space="preserve"> </w:t>
      </w:r>
      <w:r w:rsidR="7E2CBA6E" w:rsidRPr="00DD1B58">
        <w:rPr>
          <w:lang w:val="en-US"/>
        </w:rPr>
        <w:t xml:space="preserve">spreading from </w:t>
      </w:r>
      <w:r w:rsidR="002B5A2E" w:rsidRPr="00DD1B58">
        <w:rPr>
          <w:lang w:val="en-US"/>
        </w:rPr>
        <w:t xml:space="preserve">a </w:t>
      </w:r>
      <w:r w:rsidR="7E2CBA6E" w:rsidRPr="00DD1B58">
        <w:rPr>
          <w:lang w:val="en-US"/>
        </w:rPr>
        <w:t xml:space="preserve">room if all the combustible contents of the room become involved in </w:t>
      </w:r>
      <w:r w:rsidR="002B5A2E" w:rsidRPr="00DD1B58">
        <w:rPr>
          <w:lang w:val="en-US"/>
        </w:rPr>
        <w:t xml:space="preserve">the </w:t>
      </w:r>
      <w:r w:rsidR="7E2CBA6E" w:rsidRPr="00DD1B58">
        <w:rPr>
          <w:lang w:val="en-US"/>
        </w:rPr>
        <w:t>fire.</w:t>
      </w:r>
      <w:r w:rsidR="00766C9F" w:rsidRPr="00DD1B58">
        <w:rPr>
          <w:lang w:val="en-US"/>
        </w:rPr>
        <w:t xml:space="preserve"> The</w:t>
      </w:r>
      <w:r w:rsidR="7E2CBA6E" w:rsidRPr="00DD1B58">
        <w:rPr>
          <w:lang w:val="en-US"/>
        </w:rPr>
        <w:t xml:space="preserve"> method has been used at </w:t>
      </w:r>
      <w:r w:rsidR="00FE442C" w:rsidRPr="00DD1B58">
        <w:rPr>
          <w:lang w:val="en-US"/>
        </w:rPr>
        <w:t>H</w:t>
      </w:r>
      <w:r w:rsidR="002F4A48" w:rsidRPr="00DD1B58">
        <w:rPr>
          <w:lang w:val="en-US"/>
        </w:rPr>
        <w:t xml:space="preserve">inkley </w:t>
      </w:r>
      <w:r w:rsidR="00FE442C" w:rsidRPr="00DD1B58">
        <w:rPr>
          <w:lang w:val="en-US"/>
        </w:rPr>
        <w:t>P</w:t>
      </w:r>
      <w:r w:rsidR="002F4A48" w:rsidRPr="00DD1B58">
        <w:rPr>
          <w:lang w:val="en-US"/>
        </w:rPr>
        <w:t xml:space="preserve">oint </w:t>
      </w:r>
      <w:r w:rsidR="00FE442C" w:rsidRPr="00DD1B58">
        <w:rPr>
          <w:lang w:val="en-US"/>
        </w:rPr>
        <w:t>B</w:t>
      </w:r>
      <w:r w:rsidR="7E2CBA6E" w:rsidRPr="00DD1B58">
        <w:rPr>
          <w:lang w:val="en-US"/>
        </w:rPr>
        <w:t xml:space="preserve"> </w:t>
      </w:r>
      <w:r w:rsidR="002F4A48" w:rsidRPr="00DD1B58">
        <w:rPr>
          <w:lang w:val="en-US"/>
        </w:rPr>
        <w:t xml:space="preserve">(HPB) </w:t>
      </w:r>
      <w:r w:rsidR="7E2CBA6E" w:rsidRPr="00DD1B58">
        <w:rPr>
          <w:lang w:val="en-US"/>
        </w:rPr>
        <w:t>and HNB</w:t>
      </w:r>
      <w:r w:rsidR="00FE442C" w:rsidRPr="00DD1B58">
        <w:rPr>
          <w:lang w:val="en-US"/>
        </w:rPr>
        <w:t>,</w:t>
      </w:r>
      <w:r w:rsidR="7E2CBA6E" w:rsidRPr="00DD1B58">
        <w:rPr>
          <w:lang w:val="en-US"/>
        </w:rPr>
        <w:t xml:space="preserve"> a</w:t>
      </w:r>
      <w:r w:rsidR="00FE442C" w:rsidRPr="00DD1B58">
        <w:rPr>
          <w:lang w:val="en-US"/>
        </w:rPr>
        <w:t xml:space="preserve">nd other AGRs </w:t>
      </w:r>
      <w:r w:rsidR="7E2CBA6E" w:rsidRPr="00DD1B58">
        <w:rPr>
          <w:lang w:val="en-US"/>
        </w:rPr>
        <w:t>including HY2.</w:t>
      </w:r>
    </w:p>
    <w:p w14:paraId="705F4E8C" w14:textId="6524ADDE" w:rsidR="7E2CBA6E" w:rsidRPr="00DD1B58" w:rsidRDefault="00FE442C" w:rsidP="00973FF4">
      <w:pPr>
        <w:pStyle w:val="Bulletlist1"/>
        <w:numPr>
          <w:ilvl w:val="0"/>
          <w:numId w:val="0"/>
        </w:numPr>
        <w:rPr>
          <w:lang w:val="en-US"/>
        </w:rPr>
      </w:pPr>
      <w:r w:rsidRPr="00DD1B58">
        <w:rPr>
          <w:lang w:val="en-US"/>
        </w:rPr>
        <w:t xml:space="preserve">EDF NGL uses </w:t>
      </w:r>
      <w:r w:rsidR="7E2CBA6E" w:rsidRPr="00DD1B58">
        <w:rPr>
          <w:lang w:val="en-US"/>
        </w:rPr>
        <w:t xml:space="preserve">the KTA method </w:t>
      </w:r>
      <w:r w:rsidR="004A06D9" w:rsidRPr="00DD1B58">
        <w:rPr>
          <w:lang w:val="en-US"/>
        </w:rPr>
        <w:t>when it considers that</w:t>
      </w:r>
      <w:r w:rsidRPr="00DD1B58">
        <w:rPr>
          <w:lang w:val="en-US"/>
        </w:rPr>
        <w:t xml:space="preserve"> further assessment </w:t>
      </w:r>
      <w:r w:rsidR="7E2CBA6E" w:rsidRPr="00DD1B58">
        <w:rPr>
          <w:lang w:val="en-US"/>
        </w:rPr>
        <w:t xml:space="preserve">is </w:t>
      </w:r>
      <w:r w:rsidRPr="00DD1B58">
        <w:rPr>
          <w:lang w:val="en-US"/>
        </w:rPr>
        <w:t>necessary</w:t>
      </w:r>
      <w:r w:rsidR="00AE69F6" w:rsidRPr="00DD1B58">
        <w:rPr>
          <w:lang w:val="en-US"/>
        </w:rPr>
        <w:t xml:space="preserve"> e.g. when the </w:t>
      </w:r>
      <w:r w:rsidR="7E2CBA6E" w:rsidRPr="00DD1B58">
        <w:rPr>
          <w:lang w:val="en-US"/>
        </w:rPr>
        <w:t>fire load is approaching the Ingberg method</w:t>
      </w:r>
      <w:r w:rsidR="004A06D9" w:rsidRPr="00DD1B58">
        <w:rPr>
          <w:lang w:val="en-US"/>
        </w:rPr>
        <w:t>’s applicability limit</w:t>
      </w:r>
      <w:r w:rsidR="00FE3429" w:rsidRPr="00DD1B58">
        <w:rPr>
          <w:lang w:val="en-US"/>
        </w:rPr>
        <w:t xml:space="preserve">. </w:t>
      </w:r>
      <w:r w:rsidR="7E2CBA6E" w:rsidRPr="00DD1B58">
        <w:rPr>
          <w:lang w:val="en-US"/>
        </w:rPr>
        <w:t>In general, this method would be used in</w:t>
      </w:r>
      <w:r w:rsidR="71D4E8AB" w:rsidRPr="00DD1B58">
        <w:rPr>
          <w:lang w:val="en-US"/>
        </w:rPr>
        <w:t xml:space="preserve"> </w:t>
      </w:r>
      <w:r w:rsidR="7E2CBA6E" w:rsidRPr="00DD1B58">
        <w:rPr>
          <w:lang w:val="en-US"/>
        </w:rPr>
        <w:t xml:space="preserve">compartments with a high </w:t>
      </w:r>
      <w:r w:rsidR="00C362CA" w:rsidRPr="00DD1B58">
        <w:rPr>
          <w:lang w:val="en-US"/>
        </w:rPr>
        <w:t>height-to-</w:t>
      </w:r>
      <w:r w:rsidR="7E2CBA6E" w:rsidRPr="00DD1B58">
        <w:rPr>
          <w:lang w:val="en-US"/>
        </w:rPr>
        <w:t>floor area ratio and if the fire loading is over 450</w:t>
      </w:r>
      <w:r w:rsidR="008D46B7" w:rsidRPr="00DD1B58">
        <w:rPr>
          <w:lang w:val="en-US"/>
        </w:rPr>
        <w:t xml:space="preserve"> </w:t>
      </w:r>
      <w:r w:rsidR="7E2CBA6E" w:rsidRPr="00DD1B58">
        <w:rPr>
          <w:lang w:val="en-US"/>
        </w:rPr>
        <w:t>MJ/m</w:t>
      </w:r>
      <w:r w:rsidR="7E2CBA6E" w:rsidRPr="00DD1B58">
        <w:rPr>
          <w:vertAlign w:val="superscript"/>
          <w:lang w:val="en-US"/>
        </w:rPr>
        <w:t>2</w:t>
      </w:r>
      <w:r w:rsidR="7E2CBA6E" w:rsidRPr="00DD1B58">
        <w:rPr>
          <w:lang w:val="en-US"/>
        </w:rPr>
        <w:t>.</w:t>
      </w:r>
    </w:p>
    <w:p w14:paraId="13553351" w14:textId="5E9A5D3C" w:rsidR="7E2CBA6E" w:rsidRPr="00DD1B58" w:rsidRDefault="00FE3429" w:rsidP="00973FF4">
      <w:pPr>
        <w:pStyle w:val="Bulletlist1"/>
        <w:numPr>
          <w:ilvl w:val="0"/>
          <w:numId w:val="0"/>
        </w:numPr>
        <w:rPr>
          <w:lang w:val="en-US"/>
        </w:rPr>
      </w:pPr>
      <w:r w:rsidRPr="00DD1B58">
        <w:rPr>
          <w:lang w:val="en-US"/>
        </w:rPr>
        <w:t xml:space="preserve">EDF NGL uses </w:t>
      </w:r>
      <w:r w:rsidR="7E2CBA6E" w:rsidRPr="00DD1B58">
        <w:rPr>
          <w:lang w:val="en-US"/>
        </w:rPr>
        <w:t xml:space="preserve">CFAST zone modelling </w:t>
      </w:r>
      <w:r w:rsidR="003A7272" w:rsidRPr="00DD1B58">
        <w:rPr>
          <w:lang w:val="en-US"/>
        </w:rPr>
        <w:t>for the most complex cases</w:t>
      </w:r>
      <w:r w:rsidR="7E2CBA6E" w:rsidRPr="00DD1B58">
        <w:rPr>
          <w:lang w:val="en-US"/>
        </w:rPr>
        <w:t>. Equations of heat and mass transfer</w:t>
      </w:r>
      <w:r w:rsidR="2C25716F" w:rsidRPr="00DD1B58">
        <w:rPr>
          <w:lang w:val="en-US"/>
        </w:rPr>
        <w:t xml:space="preserve"> </w:t>
      </w:r>
      <w:r w:rsidR="7E2CBA6E" w:rsidRPr="00DD1B58">
        <w:rPr>
          <w:lang w:val="en-US"/>
        </w:rPr>
        <w:t>are applied to a simplified fire scenario, consisting of an upper hot gas layer and a lower cold gas layer,</w:t>
      </w:r>
      <w:r w:rsidR="46EE1687" w:rsidRPr="00DD1B58">
        <w:rPr>
          <w:lang w:val="en-US"/>
        </w:rPr>
        <w:t xml:space="preserve"> </w:t>
      </w:r>
      <w:r w:rsidR="7E2CBA6E" w:rsidRPr="00DD1B58">
        <w:rPr>
          <w:lang w:val="en-US"/>
        </w:rPr>
        <w:t xml:space="preserve">with no mixing between the two. </w:t>
      </w:r>
      <w:r w:rsidRPr="00DD1B58">
        <w:rPr>
          <w:lang w:val="en-US"/>
        </w:rPr>
        <w:t>The CFAST model</w:t>
      </w:r>
      <w:r w:rsidR="7E2CBA6E" w:rsidRPr="00DD1B58">
        <w:rPr>
          <w:lang w:val="en-US"/>
        </w:rPr>
        <w:t xml:space="preserve"> takes into account fuel type, fire growth, compartment construction</w:t>
      </w:r>
      <w:r w:rsidR="008D46B7" w:rsidRPr="00DD1B58">
        <w:rPr>
          <w:lang w:val="en-US"/>
        </w:rPr>
        <w:t xml:space="preserve"> and</w:t>
      </w:r>
      <w:r w:rsidR="448955E9" w:rsidRPr="00DD1B58">
        <w:rPr>
          <w:lang w:val="en-US"/>
        </w:rPr>
        <w:t xml:space="preserve"> </w:t>
      </w:r>
      <w:r w:rsidR="7E2CBA6E" w:rsidRPr="00DD1B58">
        <w:rPr>
          <w:lang w:val="en-US"/>
        </w:rPr>
        <w:t>ventilation and can handle multiple rooms.</w:t>
      </w:r>
      <w:r w:rsidR="003A7272" w:rsidRPr="00DD1B58">
        <w:rPr>
          <w:lang w:val="en-US"/>
        </w:rPr>
        <w:t xml:space="preserve"> EDF NGL </w:t>
      </w:r>
      <w:r w:rsidR="00C94902" w:rsidRPr="00DD1B58">
        <w:rPr>
          <w:lang w:val="en-US"/>
        </w:rPr>
        <w:t>state</w:t>
      </w:r>
      <w:r w:rsidR="00F5060E" w:rsidRPr="00DD1B58">
        <w:rPr>
          <w:lang w:val="en-US"/>
        </w:rPr>
        <w:t>s</w:t>
      </w:r>
      <w:r w:rsidR="003A7272" w:rsidRPr="00DD1B58">
        <w:rPr>
          <w:lang w:val="en-US"/>
        </w:rPr>
        <w:t xml:space="preserve"> that</w:t>
      </w:r>
      <w:r w:rsidR="00C94902" w:rsidRPr="00DD1B58">
        <w:rPr>
          <w:lang w:val="en-US"/>
        </w:rPr>
        <w:t xml:space="preserve"> </w:t>
      </w:r>
      <w:r w:rsidR="003A7272" w:rsidRPr="00DD1B58">
        <w:rPr>
          <w:lang w:val="en-US"/>
        </w:rPr>
        <w:t>CFAST is designed for simulating domestic</w:t>
      </w:r>
      <w:r w:rsidR="008D46B7" w:rsidRPr="00DD1B58">
        <w:rPr>
          <w:lang w:val="en-US"/>
        </w:rPr>
        <w:t xml:space="preserve"> and </w:t>
      </w:r>
      <w:r w:rsidR="003A7272" w:rsidRPr="00DD1B58">
        <w:rPr>
          <w:lang w:val="en-US"/>
        </w:rPr>
        <w:t>commercial fires</w:t>
      </w:r>
      <w:r w:rsidR="00C94902" w:rsidRPr="00DD1B58">
        <w:rPr>
          <w:lang w:val="en-US"/>
        </w:rPr>
        <w:t xml:space="preserve"> </w:t>
      </w:r>
      <w:r w:rsidR="003A7272" w:rsidRPr="00DD1B58">
        <w:rPr>
          <w:lang w:val="en-US"/>
        </w:rPr>
        <w:t xml:space="preserve">and it </w:t>
      </w:r>
      <w:r w:rsidR="00C94902" w:rsidRPr="00DD1B58">
        <w:rPr>
          <w:lang w:val="en-US"/>
        </w:rPr>
        <w:t>is therefore</w:t>
      </w:r>
      <w:r w:rsidR="003A7272" w:rsidRPr="00DD1B58">
        <w:rPr>
          <w:lang w:val="en-US"/>
        </w:rPr>
        <w:t xml:space="preserve"> difficult to simulate complex geometries</w:t>
      </w:r>
      <w:r w:rsidR="00DA7B28" w:rsidRPr="00DD1B58">
        <w:rPr>
          <w:lang w:val="en-US"/>
        </w:rPr>
        <w:t xml:space="preserve">. In complex cases </w:t>
      </w:r>
      <w:r w:rsidR="00044A58" w:rsidRPr="00DD1B58">
        <w:rPr>
          <w:lang w:val="en-US"/>
        </w:rPr>
        <w:t>EDF NGL</w:t>
      </w:r>
      <w:r w:rsidR="006404F4" w:rsidRPr="00DD1B58">
        <w:rPr>
          <w:lang w:val="en-US"/>
        </w:rPr>
        <w:t xml:space="preserve"> uses</w:t>
      </w:r>
      <w:r w:rsidR="003A7272" w:rsidRPr="00DD1B58">
        <w:rPr>
          <w:lang w:val="en-US"/>
        </w:rPr>
        <w:t xml:space="preserve"> PHAST (Process Hazard Analysis Software Tool</w:t>
      </w:r>
      <w:r w:rsidR="006404F4" w:rsidRPr="00DD1B58">
        <w:rPr>
          <w:lang w:val="en-US"/>
        </w:rPr>
        <w:t>)</w:t>
      </w:r>
      <w:r w:rsidR="00DA7B28" w:rsidRPr="00DD1B58">
        <w:rPr>
          <w:lang w:val="en-US"/>
        </w:rPr>
        <w:t>.</w:t>
      </w:r>
    </w:p>
    <w:p w14:paraId="486D8B96" w14:textId="6AE6D55E" w:rsidR="7E2CBA6E" w:rsidRPr="00DD1B58" w:rsidRDefault="7E2CBA6E" w:rsidP="355CB971">
      <w:pPr>
        <w:rPr>
          <w:b/>
          <w:lang w:val="en-US"/>
        </w:rPr>
      </w:pPr>
      <w:r w:rsidRPr="00DD1B58">
        <w:rPr>
          <w:b/>
          <w:lang w:val="en-US"/>
        </w:rPr>
        <w:t xml:space="preserve">Comparison of </w:t>
      </w:r>
      <w:r w:rsidR="003A7272" w:rsidRPr="00DD1B58">
        <w:rPr>
          <w:b/>
          <w:lang w:val="en-US"/>
        </w:rPr>
        <w:t xml:space="preserve">methods </w:t>
      </w:r>
      <w:r w:rsidRPr="00DD1B58">
        <w:rPr>
          <w:b/>
          <w:lang w:val="en-US"/>
        </w:rPr>
        <w:t xml:space="preserve">and their </w:t>
      </w:r>
      <w:r w:rsidR="003A7272" w:rsidRPr="00DD1B58">
        <w:rPr>
          <w:b/>
          <w:lang w:val="en-US"/>
        </w:rPr>
        <w:t xml:space="preserve">application </w:t>
      </w:r>
      <w:r w:rsidRPr="00DD1B58">
        <w:rPr>
          <w:b/>
          <w:lang w:val="en-US"/>
        </w:rPr>
        <w:t xml:space="preserve">to </w:t>
      </w:r>
      <w:r w:rsidR="003A7272" w:rsidRPr="00DD1B58">
        <w:rPr>
          <w:b/>
          <w:lang w:val="en-US"/>
        </w:rPr>
        <w:t>nuclear p</w:t>
      </w:r>
      <w:r w:rsidRPr="00DD1B58">
        <w:rPr>
          <w:b/>
          <w:lang w:val="en-US"/>
        </w:rPr>
        <w:t xml:space="preserve">ower </w:t>
      </w:r>
      <w:r w:rsidR="003A7272" w:rsidRPr="00DD1B58">
        <w:rPr>
          <w:b/>
          <w:lang w:val="en-US"/>
        </w:rPr>
        <w:t>plants</w:t>
      </w:r>
    </w:p>
    <w:p w14:paraId="25C38FAD" w14:textId="4C44086E" w:rsidR="002413BE" w:rsidRPr="00DD1B58" w:rsidRDefault="7E2CBA6E" w:rsidP="355CB971">
      <w:pPr>
        <w:rPr>
          <w:lang w:val="en-US"/>
        </w:rPr>
      </w:pPr>
      <w:r w:rsidRPr="00DD1B58">
        <w:rPr>
          <w:lang w:val="en-US"/>
        </w:rPr>
        <w:t>The Ingberg method does not take into account ventilation conditions nor</w:t>
      </w:r>
      <w:r w:rsidR="45E03287" w:rsidRPr="00DD1B58">
        <w:rPr>
          <w:lang w:val="en-US"/>
        </w:rPr>
        <w:t xml:space="preserve"> </w:t>
      </w:r>
      <w:r w:rsidRPr="00DD1B58">
        <w:rPr>
          <w:lang w:val="en-US"/>
        </w:rPr>
        <w:t>the thermal characteristics of the structure</w:t>
      </w:r>
      <w:r w:rsidR="008D46B7" w:rsidRPr="00DD1B58">
        <w:rPr>
          <w:lang w:val="en-US"/>
        </w:rPr>
        <w:t>,</w:t>
      </w:r>
      <w:r w:rsidR="008743E4" w:rsidRPr="00DD1B58">
        <w:rPr>
          <w:lang w:val="en-US"/>
        </w:rPr>
        <w:t xml:space="preserve"> but nevertheless </w:t>
      </w:r>
      <w:r w:rsidRPr="00DD1B58">
        <w:rPr>
          <w:lang w:val="en-US"/>
        </w:rPr>
        <w:t>has been widely used in power plant</w:t>
      </w:r>
      <w:r w:rsidR="690171F1" w:rsidRPr="00DD1B58">
        <w:rPr>
          <w:lang w:val="en-US"/>
        </w:rPr>
        <w:t xml:space="preserve"> </w:t>
      </w:r>
      <w:r w:rsidRPr="00DD1B58">
        <w:rPr>
          <w:lang w:val="en-US"/>
        </w:rPr>
        <w:t xml:space="preserve">assessments because </w:t>
      </w:r>
      <w:r w:rsidR="00620D41" w:rsidRPr="00DD1B58">
        <w:rPr>
          <w:lang w:val="en-US"/>
        </w:rPr>
        <w:t>it can be easily</w:t>
      </w:r>
      <w:r w:rsidRPr="00DD1B58">
        <w:rPr>
          <w:lang w:val="en-US"/>
        </w:rPr>
        <w:t xml:space="preserve"> </w:t>
      </w:r>
      <w:r w:rsidR="00620D41" w:rsidRPr="00DD1B58">
        <w:rPr>
          <w:lang w:val="en-US"/>
        </w:rPr>
        <w:t>applied to assess</w:t>
      </w:r>
      <w:r w:rsidRPr="00DD1B58">
        <w:rPr>
          <w:lang w:val="en-US"/>
        </w:rPr>
        <w:t xml:space="preserve"> a large number of compartments.</w:t>
      </w:r>
      <w:r w:rsidR="00D450B6" w:rsidRPr="00DD1B58">
        <w:rPr>
          <w:lang w:val="en-US"/>
        </w:rPr>
        <w:t xml:space="preserve"> </w:t>
      </w:r>
    </w:p>
    <w:p w14:paraId="5A6BADB2" w14:textId="742A74C6" w:rsidR="007F11E7" w:rsidRPr="00DD1B58" w:rsidRDefault="008D46B7" w:rsidP="355CB971">
      <w:pPr>
        <w:rPr>
          <w:lang w:val="en-US"/>
        </w:rPr>
      </w:pPr>
      <w:r w:rsidRPr="00DD1B58">
        <w:rPr>
          <w:lang w:val="en-US"/>
        </w:rPr>
        <w:t>However, n</w:t>
      </w:r>
      <w:r w:rsidR="00D450B6" w:rsidRPr="00DD1B58">
        <w:rPr>
          <w:lang w:val="en-US"/>
        </w:rPr>
        <w:t xml:space="preserve">uclear plants have few rooms with external </w:t>
      </w:r>
      <w:r w:rsidR="002413BE" w:rsidRPr="00DD1B58">
        <w:rPr>
          <w:lang w:val="en-US"/>
        </w:rPr>
        <w:t>openings</w:t>
      </w:r>
      <w:r w:rsidR="00D450B6" w:rsidRPr="00DD1B58">
        <w:rPr>
          <w:lang w:val="en-US"/>
        </w:rPr>
        <w:t xml:space="preserve">, and the majority of rooms have mechanical ventilation only or ventilation by infiltration from other areas which are </w:t>
      </w:r>
      <w:r w:rsidR="00D450B6" w:rsidRPr="00DD1B58">
        <w:rPr>
          <w:lang w:val="en-US"/>
        </w:rPr>
        <w:lastRenderedPageBreak/>
        <w:t xml:space="preserve">mechanically ventilated. </w:t>
      </w:r>
      <w:r w:rsidR="11EBEB30" w:rsidRPr="00DD1B58">
        <w:rPr>
          <w:lang w:val="en-US"/>
        </w:rPr>
        <w:t>A</w:t>
      </w:r>
      <w:r w:rsidR="00D450B6" w:rsidRPr="00DD1B58">
        <w:rPr>
          <w:lang w:val="en-US"/>
        </w:rPr>
        <w:t>s the</w:t>
      </w:r>
      <w:r w:rsidR="11EBEB30" w:rsidRPr="00DD1B58">
        <w:rPr>
          <w:lang w:val="en-US"/>
        </w:rPr>
        <w:t xml:space="preserve"> Ingberg method does not cater for forced mechanical ventilation, </w:t>
      </w:r>
      <w:r w:rsidR="00BC0B98" w:rsidRPr="00DD1B58">
        <w:rPr>
          <w:lang w:val="en-US"/>
        </w:rPr>
        <w:t>either</w:t>
      </w:r>
      <w:r w:rsidR="00D450B6" w:rsidRPr="00DD1B58">
        <w:rPr>
          <w:lang w:val="en-US"/>
        </w:rPr>
        <w:t xml:space="preserve"> </w:t>
      </w:r>
      <w:r w:rsidR="007F11E7" w:rsidRPr="00DD1B58">
        <w:rPr>
          <w:lang w:val="en-US"/>
        </w:rPr>
        <w:t xml:space="preserve">the </w:t>
      </w:r>
      <w:r w:rsidR="11EBEB30" w:rsidRPr="00DD1B58">
        <w:rPr>
          <w:lang w:val="en-US"/>
        </w:rPr>
        <w:t xml:space="preserve">KTA method or CFAST </w:t>
      </w:r>
      <w:r w:rsidR="00BC0B98" w:rsidRPr="00DD1B58">
        <w:rPr>
          <w:lang w:val="en-US"/>
        </w:rPr>
        <w:t xml:space="preserve">are </w:t>
      </w:r>
      <w:r w:rsidR="11EBEB30" w:rsidRPr="00DD1B58">
        <w:rPr>
          <w:lang w:val="en-US"/>
        </w:rPr>
        <w:t>used</w:t>
      </w:r>
      <w:r w:rsidR="00BC0B98" w:rsidRPr="00DD1B58">
        <w:rPr>
          <w:lang w:val="en-US"/>
        </w:rPr>
        <w:t xml:space="preserve">. </w:t>
      </w:r>
    </w:p>
    <w:p w14:paraId="7FB73BAB" w14:textId="4421279D" w:rsidR="11EBEB30" w:rsidRPr="00DD1B58" w:rsidRDefault="00BC0B98" w:rsidP="355CB971">
      <w:pPr>
        <w:rPr>
          <w:lang w:val="en-US"/>
        </w:rPr>
      </w:pPr>
      <w:r w:rsidRPr="00DD1B58">
        <w:rPr>
          <w:lang w:val="en-US"/>
        </w:rPr>
        <w:t>While EDF NGL considers t</w:t>
      </w:r>
      <w:r w:rsidR="11EBEB30" w:rsidRPr="00DD1B58">
        <w:rPr>
          <w:lang w:val="en-US"/>
        </w:rPr>
        <w:t xml:space="preserve">he KTA method </w:t>
      </w:r>
      <w:r w:rsidRPr="00DD1B58">
        <w:rPr>
          <w:lang w:val="en-US"/>
        </w:rPr>
        <w:t xml:space="preserve">as </w:t>
      </w:r>
      <w:r w:rsidR="11EBEB30" w:rsidRPr="00DD1B58">
        <w:rPr>
          <w:lang w:val="en-US"/>
        </w:rPr>
        <w:t>excellent for estimating fire severity in vertica</w:t>
      </w:r>
      <w:r w:rsidR="009E7136" w:rsidRPr="00DD1B58">
        <w:rPr>
          <w:lang w:val="en-US"/>
        </w:rPr>
        <w:t>l</w:t>
      </w:r>
      <w:r w:rsidR="11EBEB30" w:rsidRPr="00DD1B58">
        <w:rPr>
          <w:lang w:val="en-US"/>
        </w:rPr>
        <w:t>l</w:t>
      </w:r>
      <w:r w:rsidR="009E7136" w:rsidRPr="00DD1B58">
        <w:rPr>
          <w:lang w:val="en-US"/>
        </w:rPr>
        <w:t>y</w:t>
      </w:r>
      <w:r w:rsidR="11EBEB30" w:rsidRPr="00DD1B58">
        <w:rPr>
          <w:lang w:val="en-US"/>
        </w:rPr>
        <w:t xml:space="preserve"> vented</w:t>
      </w:r>
      <w:r w:rsidR="009E7136" w:rsidRPr="00DD1B58">
        <w:rPr>
          <w:lang w:val="en-US"/>
        </w:rPr>
        <w:t xml:space="preserve">, </w:t>
      </w:r>
      <w:r w:rsidR="11EBEB30" w:rsidRPr="00DD1B58">
        <w:rPr>
          <w:lang w:val="en-US"/>
        </w:rPr>
        <w:t>commercial</w:t>
      </w:r>
      <w:r w:rsidR="009E7136" w:rsidRPr="00DD1B58">
        <w:rPr>
          <w:lang w:val="en-US"/>
        </w:rPr>
        <w:t>-</w:t>
      </w:r>
      <w:r w:rsidR="11EBEB30" w:rsidRPr="00DD1B58">
        <w:rPr>
          <w:lang w:val="en-US"/>
        </w:rPr>
        <w:t xml:space="preserve">type buildings, it </w:t>
      </w:r>
      <w:r w:rsidR="007F11E7" w:rsidRPr="00DD1B58">
        <w:rPr>
          <w:lang w:val="en-US"/>
        </w:rPr>
        <w:t>urges</w:t>
      </w:r>
      <w:r w:rsidR="11EBEB30" w:rsidRPr="00DD1B58">
        <w:rPr>
          <w:lang w:val="en-US"/>
        </w:rPr>
        <w:t xml:space="preserve"> caution </w:t>
      </w:r>
      <w:r w:rsidR="007F11E7" w:rsidRPr="00DD1B58">
        <w:rPr>
          <w:lang w:val="en-US"/>
        </w:rPr>
        <w:t xml:space="preserve">when </w:t>
      </w:r>
      <w:r w:rsidR="11EBEB30" w:rsidRPr="00DD1B58">
        <w:rPr>
          <w:lang w:val="en-US"/>
        </w:rPr>
        <w:t xml:space="preserve">attempting to assess fire equivalence for compartments with roof ventilation. In </w:t>
      </w:r>
      <w:r w:rsidR="007F11E7" w:rsidRPr="00DD1B58">
        <w:rPr>
          <w:lang w:val="en-US"/>
        </w:rPr>
        <w:t xml:space="preserve">those </w:t>
      </w:r>
      <w:r w:rsidR="11EBEB30" w:rsidRPr="00DD1B58">
        <w:rPr>
          <w:lang w:val="en-US"/>
        </w:rPr>
        <w:t xml:space="preserve">instances, </w:t>
      </w:r>
      <w:r w:rsidR="007F11E7" w:rsidRPr="00DD1B58">
        <w:rPr>
          <w:lang w:val="en-US"/>
        </w:rPr>
        <w:t xml:space="preserve">EDF NGL considers that </w:t>
      </w:r>
      <w:r w:rsidR="11EBEB30" w:rsidRPr="00DD1B58">
        <w:rPr>
          <w:lang w:val="en-US"/>
        </w:rPr>
        <w:t>detailed fire modelling would provide better data.</w:t>
      </w:r>
      <w:r w:rsidR="00D75565" w:rsidRPr="00DD1B58">
        <w:rPr>
          <w:lang w:val="en-US"/>
        </w:rPr>
        <w:t xml:space="preserve"> </w:t>
      </w:r>
      <w:r w:rsidR="00C362CA" w:rsidRPr="00DD1B58">
        <w:rPr>
          <w:lang w:val="en-US"/>
        </w:rPr>
        <w:t>EDF NGL</w:t>
      </w:r>
      <w:r w:rsidR="00807F9F" w:rsidRPr="00DD1B58">
        <w:rPr>
          <w:lang w:val="en-US"/>
        </w:rPr>
        <w:t xml:space="preserve"> considers </w:t>
      </w:r>
      <w:r w:rsidR="11EBEB30" w:rsidRPr="00DD1B58">
        <w:rPr>
          <w:lang w:val="en-US"/>
        </w:rPr>
        <w:t xml:space="preserve">CFAST </w:t>
      </w:r>
      <w:r w:rsidR="00807F9F" w:rsidRPr="00DD1B58">
        <w:rPr>
          <w:lang w:val="en-US"/>
        </w:rPr>
        <w:t xml:space="preserve">as </w:t>
      </w:r>
      <w:r w:rsidR="11EBEB30" w:rsidRPr="00DD1B58">
        <w:rPr>
          <w:lang w:val="en-US"/>
        </w:rPr>
        <w:t xml:space="preserve">a useful tool for validating hand calculations. However, it </w:t>
      </w:r>
      <w:r w:rsidR="00D75565" w:rsidRPr="00DD1B58">
        <w:rPr>
          <w:lang w:val="en-US"/>
        </w:rPr>
        <w:t>states that it should</w:t>
      </w:r>
      <w:r w:rsidR="11EBEB30" w:rsidRPr="00DD1B58">
        <w:rPr>
          <w:lang w:val="en-US"/>
        </w:rPr>
        <w:t xml:space="preserve"> not be solely relied upon without hand calculations</w:t>
      </w:r>
      <w:r w:rsidR="008D46B7" w:rsidRPr="00DD1B58">
        <w:rPr>
          <w:lang w:val="en-US"/>
        </w:rPr>
        <w:t>.</w:t>
      </w:r>
      <w:r w:rsidR="00D75565" w:rsidRPr="00DD1B58">
        <w:rPr>
          <w:lang w:val="en-US"/>
        </w:rPr>
        <w:t xml:space="preserve"> Table 1 in </w:t>
      </w:r>
      <w:r w:rsidR="1B5FCFDC" w:rsidRPr="00DD1B58">
        <w:rPr>
          <w:lang w:val="en-US"/>
        </w:rPr>
        <w:t xml:space="preserve">Reference </w:t>
      </w:r>
      <w:sdt>
        <w:sdtPr>
          <w:rPr>
            <w:lang w:val="en-US"/>
          </w:rPr>
          <w:id w:val="622894462"/>
          <w:citation/>
        </w:sdtPr>
        <w:sdtContent>
          <w:r w:rsidR="00EB17EA" w:rsidRPr="00DD1B58">
            <w:rPr>
              <w:lang w:val="en-US"/>
            </w:rPr>
            <w:fldChar w:fldCharType="begin"/>
          </w:r>
          <w:r w:rsidR="00CE4450" w:rsidRPr="00DD1B58">
            <w:rPr>
              <w:lang w:val="en-US"/>
            </w:rPr>
            <w:instrText xml:space="preserve">CITATION EDF231 \l 2057 </w:instrText>
          </w:r>
          <w:r w:rsidR="00EB17EA" w:rsidRPr="00DD1B58">
            <w:rPr>
              <w:lang w:val="en-US"/>
            </w:rPr>
            <w:fldChar w:fldCharType="separate"/>
          </w:r>
          <w:r w:rsidR="00DF47DA" w:rsidRPr="00DF47DA">
            <w:rPr>
              <w:noProof/>
              <w:lang w:val="en-US"/>
            </w:rPr>
            <w:t>[25]</w:t>
          </w:r>
          <w:r w:rsidR="00EB17EA" w:rsidRPr="00DD1B58">
            <w:rPr>
              <w:lang w:val="en-US"/>
            </w:rPr>
            <w:fldChar w:fldCharType="end"/>
          </w:r>
        </w:sdtContent>
      </w:sdt>
      <w:r w:rsidR="1B5FCFDC" w:rsidRPr="00DD1B58">
        <w:rPr>
          <w:lang w:val="en-US"/>
        </w:rPr>
        <w:t xml:space="preserve"> </w:t>
      </w:r>
      <w:r w:rsidR="00D75565" w:rsidRPr="00DD1B58">
        <w:rPr>
          <w:lang w:val="en-US"/>
        </w:rPr>
        <w:t xml:space="preserve">provides </w:t>
      </w:r>
      <w:r w:rsidR="00044A58" w:rsidRPr="00DD1B58">
        <w:rPr>
          <w:lang w:val="en-US"/>
        </w:rPr>
        <w:t>EDF NGL</w:t>
      </w:r>
      <w:r w:rsidR="00D75565" w:rsidRPr="00DD1B58">
        <w:rPr>
          <w:lang w:val="en-US"/>
        </w:rPr>
        <w:t>’s</w:t>
      </w:r>
      <w:r w:rsidR="11EBEB30" w:rsidRPr="00DD1B58">
        <w:rPr>
          <w:lang w:val="en-US"/>
        </w:rPr>
        <w:t xml:space="preserve"> </w:t>
      </w:r>
      <w:r w:rsidR="00D75565" w:rsidRPr="00DD1B58">
        <w:rPr>
          <w:lang w:val="en-US"/>
        </w:rPr>
        <w:t>comparison of the</w:t>
      </w:r>
      <w:r w:rsidR="11EBEB30" w:rsidRPr="00DD1B58">
        <w:rPr>
          <w:lang w:val="en-US"/>
        </w:rPr>
        <w:t xml:space="preserve"> three main methods. </w:t>
      </w:r>
    </w:p>
    <w:p w14:paraId="3378FC4B" w14:textId="3B05AB4D" w:rsidR="29673809" w:rsidRPr="00DD1B58" w:rsidRDefault="29673809" w:rsidP="00E95D21">
      <w:pPr>
        <w:rPr>
          <w:b/>
          <w:bCs/>
          <w:lang w:val="en-US"/>
        </w:rPr>
      </w:pPr>
      <w:r w:rsidRPr="00DD1B58">
        <w:rPr>
          <w:b/>
          <w:lang w:val="en-US"/>
        </w:rPr>
        <w:t>First Generation AGRs (</w:t>
      </w:r>
      <w:r w:rsidR="00A408C4" w:rsidRPr="00DD1B58">
        <w:rPr>
          <w:b/>
          <w:lang w:val="en-US"/>
        </w:rPr>
        <w:t>HN</w:t>
      </w:r>
      <w:r w:rsidRPr="00DD1B58">
        <w:rPr>
          <w:b/>
          <w:lang w:val="en-US"/>
        </w:rPr>
        <w:t>B)</w:t>
      </w:r>
      <w:r w:rsidR="009B1F32" w:rsidRPr="00DD1B58">
        <w:rPr>
          <w:b/>
          <w:lang w:val="en-US"/>
        </w:rPr>
        <w:t>:</w:t>
      </w:r>
      <w:r w:rsidR="00F452EE" w:rsidRPr="00DD1B58">
        <w:rPr>
          <w:b/>
          <w:lang w:val="en-US"/>
        </w:rPr>
        <w:t xml:space="preserve"> </w:t>
      </w:r>
      <w:r w:rsidR="009B1F32" w:rsidRPr="00DD1B58">
        <w:rPr>
          <w:lang w:val="en-US"/>
        </w:rPr>
        <w:t>i</w:t>
      </w:r>
      <w:r w:rsidRPr="00DD1B58">
        <w:rPr>
          <w:lang w:val="en-US"/>
        </w:rPr>
        <w:t xml:space="preserve">n addition to the general methods described above, </w:t>
      </w:r>
      <w:r w:rsidR="00C362CA" w:rsidRPr="00DD1B58">
        <w:rPr>
          <w:lang w:val="en-US"/>
        </w:rPr>
        <w:t>EDF NGL</w:t>
      </w:r>
      <w:r w:rsidR="00A408C4" w:rsidRPr="00DD1B58">
        <w:rPr>
          <w:lang w:val="en-US"/>
        </w:rPr>
        <w:t xml:space="preserve"> used </w:t>
      </w:r>
      <w:r w:rsidRPr="00DD1B58">
        <w:rPr>
          <w:lang w:val="en-US"/>
        </w:rPr>
        <w:t>PHAST v6.5.1</w:t>
      </w:r>
      <w:r w:rsidR="00A408C4" w:rsidRPr="00DD1B58">
        <w:rPr>
          <w:lang w:val="en-US"/>
        </w:rPr>
        <w:t xml:space="preserve"> (</w:t>
      </w:r>
      <w:r w:rsidRPr="00DD1B58">
        <w:rPr>
          <w:lang w:val="en-US"/>
        </w:rPr>
        <w:t>DNV 2006</w:t>
      </w:r>
      <w:r w:rsidR="00A408C4" w:rsidRPr="00DD1B58">
        <w:rPr>
          <w:lang w:val="en-US"/>
        </w:rPr>
        <w:t>)</w:t>
      </w:r>
      <w:r w:rsidRPr="00DD1B58">
        <w:rPr>
          <w:lang w:val="en-US"/>
        </w:rPr>
        <w:t xml:space="preserve"> to assist the fire assessment for critical areas.</w:t>
      </w:r>
    </w:p>
    <w:p w14:paraId="437395BF" w14:textId="042F3CF1" w:rsidR="29673809" w:rsidRPr="00DD1B58" w:rsidRDefault="29673809" w:rsidP="00E95D21">
      <w:pPr>
        <w:rPr>
          <w:b/>
          <w:bCs/>
          <w:lang w:val="en-US"/>
        </w:rPr>
      </w:pPr>
      <w:r w:rsidRPr="00DD1B58">
        <w:rPr>
          <w:b/>
          <w:lang w:val="en-US"/>
        </w:rPr>
        <w:t>Second Generation AGRs (</w:t>
      </w:r>
      <w:r w:rsidR="00A408C4" w:rsidRPr="00DD1B58">
        <w:rPr>
          <w:b/>
          <w:lang w:val="en-US"/>
        </w:rPr>
        <w:t>HY2</w:t>
      </w:r>
      <w:r w:rsidRPr="00DD1B58">
        <w:rPr>
          <w:b/>
          <w:lang w:val="en-US"/>
        </w:rPr>
        <w:t>)</w:t>
      </w:r>
      <w:r w:rsidR="009B1F32" w:rsidRPr="00DD1B58">
        <w:rPr>
          <w:b/>
          <w:lang w:val="en-US"/>
        </w:rPr>
        <w:t>:</w:t>
      </w:r>
      <w:r w:rsidR="00F452EE" w:rsidRPr="00DD1B58">
        <w:rPr>
          <w:b/>
          <w:lang w:val="en-US"/>
        </w:rPr>
        <w:t xml:space="preserve"> </w:t>
      </w:r>
      <w:r w:rsidR="009B1F32" w:rsidRPr="00DD1B58">
        <w:rPr>
          <w:lang w:val="en-US"/>
        </w:rPr>
        <w:t>E</w:t>
      </w:r>
      <w:r w:rsidR="00C362CA" w:rsidRPr="00DD1B58">
        <w:rPr>
          <w:lang w:val="en-US"/>
        </w:rPr>
        <w:t>DF NGL</w:t>
      </w:r>
      <w:r w:rsidR="00C059B0" w:rsidRPr="00DD1B58">
        <w:rPr>
          <w:lang w:val="en-US"/>
        </w:rPr>
        <w:t xml:space="preserve"> adopted the </w:t>
      </w:r>
      <w:r w:rsidRPr="00DD1B58">
        <w:rPr>
          <w:lang w:val="en-US"/>
        </w:rPr>
        <w:t xml:space="preserve">Ingberg method at HY2 </w:t>
      </w:r>
      <w:r w:rsidR="0058581B" w:rsidRPr="00DD1B58">
        <w:rPr>
          <w:lang w:val="en-US"/>
        </w:rPr>
        <w:t xml:space="preserve">in </w:t>
      </w:r>
      <w:r w:rsidRPr="00DD1B58">
        <w:rPr>
          <w:lang w:val="en-US"/>
        </w:rPr>
        <w:t xml:space="preserve">the ‘Equivalent Fire’ assessment to compare the </w:t>
      </w:r>
      <w:r w:rsidR="009B1F32" w:rsidRPr="00DD1B58">
        <w:rPr>
          <w:lang w:val="en-US"/>
        </w:rPr>
        <w:t>‘</w:t>
      </w:r>
      <w:r w:rsidRPr="00DD1B58">
        <w:rPr>
          <w:lang w:val="en-US"/>
        </w:rPr>
        <w:t>real</w:t>
      </w:r>
      <w:r w:rsidR="009B1F32" w:rsidRPr="00DD1B58">
        <w:rPr>
          <w:lang w:val="en-US"/>
        </w:rPr>
        <w:t>’</w:t>
      </w:r>
      <w:r w:rsidRPr="00DD1B58">
        <w:rPr>
          <w:lang w:val="en-US"/>
        </w:rPr>
        <w:t xml:space="preserve"> fire against the test conditions as real fires do not reproduce the same time/temperature</w:t>
      </w:r>
      <w:r w:rsidR="287678E6" w:rsidRPr="00DD1B58">
        <w:rPr>
          <w:lang w:val="en-US"/>
        </w:rPr>
        <w:t xml:space="preserve"> </w:t>
      </w:r>
      <w:r w:rsidRPr="00DD1B58">
        <w:rPr>
          <w:lang w:val="en-US"/>
        </w:rPr>
        <w:t>relationship used in fire tests.</w:t>
      </w:r>
      <w:r w:rsidR="001C2987" w:rsidRPr="00DD1B58">
        <w:rPr>
          <w:b/>
          <w:bCs/>
          <w:lang w:val="en-US"/>
        </w:rPr>
        <w:t xml:space="preserve"> </w:t>
      </w:r>
      <w:r w:rsidRPr="00DD1B58">
        <w:rPr>
          <w:lang w:val="en-US"/>
        </w:rPr>
        <w:t xml:space="preserve">However, </w:t>
      </w:r>
      <w:r w:rsidR="00B34111" w:rsidRPr="00DD1B58">
        <w:rPr>
          <w:lang w:val="en-US"/>
        </w:rPr>
        <w:t>a</w:t>
      </w:r>
      <w:r w:rsidRPr="00DD1B58">
        <w:rPr>
          <w:lang w:val="en-US"/>
        </w:rPr>
        <w:t>reas which have a significant cable loading and a</w:t>
      </w:r>
      <w:r w:rsidR="4DBF3C67" w:rsidRPr="00DD1B58">
        <w:rPr>
          <w:lang w:val="en-US"/>
        </w:rPr>
        <w:t xml:space="preserve"> </w:t>
      </w:r>
      <w:r w:rsidRPr="00DD1B58">
        <w:rPr>
          <w:lang w:val="en-US"/>
        </w:rPr>
        <w:t>small floor area</w:t>
      </w:r>
      <w:r w:rsidR="00A562B4" w:rsidRPr="00DD1B58">
        <w:rPr>
          <w:lang w:val="en-US"/>
        </w:rPr>
        <w:t xml:space="preserve"> </w:t>
      </w:r>
      <w:r w:rsidR="001C2987" w:rsidRPr="00DD1B58">
        <w:rPr>
          <w:lang w:val="en-US"/>
        </w:rPr>
        <w:t>in comparison to the area of the walls</w:t>
      </w:r>
      <w:r w:rsidR="008139B3" w:rsidRPr="00DD1B58">
        <w:rPr>
          <w:lang w:val="en-US"/>
        </w:rPr>
        <w:t>,</w:t>
      </w:r>
      <w:r w:rsidR="001C2987" w:rsidRPr="00DD1B58">
        <w:rPr>
          <w:lang w:val="en-US"/>
        </w:rPr>
        <w:t xml:space="preserve"> </w:t>
      </w:r>
      <w:r w:rsidR="008139B3" w:rsidRPr="00DD1B58">
        <w:rPr>
          <w:lang w:val="en-US"/>
        </w:rPr>
        <w:t>such as cable risers,</w:t>
      </w:r>
      <w:r w:rsidR="001C2987" w:rsidRPr="00DD1B58">
        <w:rPr>
          <w:lang w:val="en-US"/>
        </w:rPr>
        <w:t xml:space="preserve"> </w:t>
      </w:r>
      <w:r w:rsidR="00A562B4" w:rsidRPr="00DD1B58">
        <w:rPr>
          <w:lang w:val="en-US"/>
        </w:rPr>
        <w:t xml:space="preserve">are more suited to </w:t>
      </w:r>
      <w:r w:rsidRPr="00DD1B58">
        <w:rPr>
          <w:lang w:val="en-US"/>
        </w:rPr>
        <w:t xml:space="preserve">assessment using the simplified </w:t>
      </w:r>
      <w:r w:rsidR="008E428C" w:rsidRPr="00DD1B58">
        <w:rPr>
          <w:lang w:val="en-US"/>
        </w:rPr>
        <w:t>Electric Power Research Institute (</w:t>
      </w:r>
      <w:r w:rsidRPr="00DD1B58">
        <w:rPr>
          <w:lang w:val="en-US"/>
        </w:rPr>
        <w:t>EPRI</w:t>
      </w:r>
      <w:r w:rsidR="008E428C" w:rsidRPr="00DD1B58">
        <w:rPr>
          <w:lang w:val="en-US"/>
        </w:rPr>
        <w:t>)</w:t>
      </w:r>
      <w:r w:rsidRPr="00DD1B58">
        <w:rPr>
          <w:lang w:val="en-US"/>
        </w:rPr>
        <w:t xml:space="preserve"> method developed by</w:t>
      </w:r>
      <w:r w:rsidR="3653FD9A" w:rsidRPr="00DD1B58">
        <w:rPr>
          <w:lang w:val="en-US"/>
        </w:rPr>
        <w:t xml:space="preserve"> </w:t>
      </w:r>
      <w:r w:rsidRPr="00DD1B58">
        <w:rPr>
          <w:lang w:val="en-US"/>
        </w:rPr>
        <w:t>Mowrer.</w:t>
      </w:r>
      <w:r w:rsidR="00A562B4" w:rsidRPr="00DD1B58">
        <w:rPr>
          <w:lang w:val="en-US"/>
        </w:rPr>
        <w:t xml:space="preserve"> </w:t>
      </w:r>
    </w:p>
    <w:p w14:paraId="4444ABAF" w14:textId="62A8071B" w:rsidR="29673809" w:rsidRPr="00DD1B58" w:rsidRDefault="29673809" w:rsidP="00E95D21">
      <w:pPr>
        <w:rPr>
          <w:b/>
          <w:bCs/>
          <w:lang w:val="en-US"/>
        </w:rPr>
      </w:pPr>
      <w:r w:rsidRPr="00DD1B58">
        <w:rPr>
          <w:b/>
          <w:lang w:val="en-US"/>
        </w:rPr>
        <w:t>Sizewell B</w:t>
      </w:r>
      <w:r w:rsidR="009B1F32" w:rsidRPr="00DD1B58">
        <w:rPr>
          <w:b/>
          <w:lang w:val="en-US"/>
        </w:rPr>
        <w:t>:</w:t>
      </w:r>
      <w:r w:rsidR="00F452EE" w:rsidRPr="00DD1B58">
        <w:rPr>
          <w:b/>
          <w:lang w:val="en-US"/>
        </w:rPr>
        <w:t xml:space="preserve"> </w:t>
      </w:r>
      <w:r w:rsidR="009B1F32" w:rsidRPr="00DD1B58">
        <w:rPr>
          <w:lang w:val="en-US"/>
        </w:rPr>
        <w:t>s</w:t>
      </w:r>
      <w:r w:rsidRPr="00DD1B58">
        <w:rPr>
          <w:lang w:val="en-US"/>
        </w:rPr>
        <w:t>tandard fire assessment tools (i.e.</w:t>
      </w:r>
      <w:r w:rsidR="003E11CD" w:rsidRPr="00DD1B58">
        <w:rPr>
          <w:lang w:val="en-US"/>
        </w:rPr>
        <w:t>,</w:t>
      </w:r>
      <w:r w:rsidRPr="00DD1B58">
        <w:rPr>
          <w:lang w:val="en-US"/>
        </w:rPr>
        <w:t xml:space="preserve"> a fuel load per unit floor area and a time temperature method) are</w:t>
      </w:r>
      <w:r w:rsidR="1A6807C6" w:rsidRPr="00DD1B58">
        <w:rPr>
          <w:lang w:val="en-US"/>
        </w:rPr>
        <w:t xml:space="preserve"> </w:t>
      </w:r>
      <w:r w:rsidRPr="00DD1B58">
        <w:rPr>
          <w:lang w:val="en-US"/>
        </w:rPr>
        <w:t>used for SZB.</w:t>
      </w:r>
    </w:p>
    <w:p w14:paraId="197B369D" w14:textId="77777777" w:rsidR="1563C22D" w:rsidRPr="00DD1B58" w:rsidRDefault="29673809" w:rsidP="00E95D21">
      <w:pPr>
        <w:pStyle w:val="Heading4"/>
        <w:numPr>
          <w:ilvl w:val="4"/>
          <w:numId w:val="3"/>
        </w:numPr>
        <w:rPr>
          <w:lang w:val="en-US"/>
        </w:rPr>
      </w:pPr>
      <w:r w:rsidRPr="00DD1B58">
        <w:rPr>
          <w:lang w:val="en-US"/>
        </w:rPr>
        <w:t>Fire bounding approach</w:t>
      </w:r>
    </w:p>
    <w:p w14:paraId="26EAD6F0" w14:textId="32317798" w:rsidR="29673809" w:rsidRPr="00DD1B58" w:rsidRDefault="29673809" w:rsidP="008E210D">
      <w:pPr>
        <w:rPr>
          <w:b/>
          <w:bCs/>
          <w:lang w:val="en-US"/>
        </w:rPr>
      </w:pPr>
      <w:r w:rsidRPr="00DD1B58">
        <w:rPr>
          <w:b/>
          <w:lang w:val="en-US"/>
        </w:rPr>
        <w:t>General</w:t>
      </w:r>
      <w:r w:rsidR="003E11CD" w:rsidRPr="00DD1B58">
        <w:rPr>
          <w:b/>
          <w:lang w:val="en-US"/>
        </w:rPr>
        <w:t>:</w:t>
      </w:r>
      <w:r w:rsidR="00F452EE" w:rsidRPr="00DD1B58">
        <w:rPr>
          <w:b/>
          <w:lang w:val="en-US"/>
        </w:rPr>
        <w:t xml:space="preserve"> </w:t>
      </w:r>
      <w:r w:rsidR="00C362CA" w:rsidRPr="00DD1B58">
        <w:rPr>
          <w:lang w:val="en-US"/>
        </w:rPr>
        <w:t>EDF NGL</w:t>
      </w:r>
      <w:r w:rsidR="00A42CE0" w:rsidRPr="00DD1B58">
        <w:rPr>
          <w:lang w:val="en-US"/>
        </w:rPr>
        <w:t xml:space="preserve"> follows the following strategy to remove the potential for</w:t>
      </w:r>
      <w:r w:rsidRPr="00DD1B58">
        <w:rPr>
          <w:lang w:val="en-US"/>
        </w:rPr>
        <w:t xml:space="preserve"> cliff edge effects</w:t>
      </w:r>
      <w:r w:rsidR="00A42CE0" w:rsidRPr="00DD1B58">
        <w:rPr>
          <w:lang w:val="en-US"/>
        </w:rPr>
        <w:t>:</w:t>
      </w:r>
    </w:p>
    <w:p w14:paraId="1A448DFB" w14:textId="76E8A502" w:rsidR="29673809" w:rsidRPr="00DD1B58" w:rsidRDefault="29673809" w:rsidP="00973FF4">
      <w:pPr>
        <w:pStyle w:val="NumList2"/>
        <w:rPr>
          <w:b/>
          <w:bCs/>
          <w:lang w:val="en-US"/>
        </w:rPr>
      </w:pPr>
      <w:r w:rsidRPr="00DD1B58">
        <w:rPr>
          <w:lang w:val="en-US"/>
        </w:rPr>
        <w:t>The ignition of any combustible material within the nuclear facility is considered</w:t>
      </w:r>
      <w:r w:rsidR="003E11CD" w:rsidRPr="00DD1B58">
        <w:rPr>
          <w:lang w:val="en-US"/>
        </w:rPr>
        <w:t>;</w:t>
      </w:r>
    </w:p>
    <w:p w14:paraId="53079306" w14:textId="18F7C19A" w:rsidR="29673809" w:rsidRPr="00DD1B58" w:rsidRDefault="29673809" w:rsidP="00973FF4">
      <w:pPr>
        <w:pStyle w:val="NumList2"/>
        <w:rPr>
          <w:b/>
          <w:bCs/>
          <w:lang w:val="en-US"/>
        </w:rPr>
      </w:pPr>
      <w:r w:rsidRPr="00DD1B58">
        <w:rPr>
          <w:lang w:val="en-US"/>
        </w:rPr>
        <w:t>Th</w:t>
      </w:r>
      <w:r w:rsidR="52A65693" w:rsidRPr="00DD1B58">
        <w:rPr>
          <w:lang w:val="en-US"/>
        </w:rPr>
        <w:t>e</w:t>
      </w:r>
      <w:r w:rsidRPr="00DD1B58">
        <w:rPr>
          <w:lang w:val="en-US"/>
        </w:rPr>
        <w:t xml:space="preserve"> fire analysis is performed based on conservative assumptions such as all combustibles and all</w:t>
      </w:r>
      <w:r w:rsidR="6F6DA719" w:rsidRPr="00DD1B58">
        <w:rPr>
          <w:lang w:val="en-US"/>
        </w:rPr>
        <w:t xml:space="preserve"> </w:t>
      </w:r>
      <w:r w:rsidR="00F343B4" w:rsidRPr="00DD1B58">
        <w:rPr>
          <w:lang w:val="en-US"/>
        </w:rPr>
        <w:t xml:space="preserve">available </w:t>
      </w:r>
      <w:r w:rsidRPr="00DD1B58">
        <w:rPr>
          <w:lang w:val="en-US"/>
        </w:rPr>
        <w:t>oxygen being fully involved in the combustion reaction (inadequate combustion phenomenon</w:t>
      </w:r>
      <w:r w:rsidR="333C6970" w:rsidRPr="00DD1B58">
        <w:rPr>
          <w:lang w:val="en-US"/>
        </w:rPr>
        <w:t xml:space="preserve"> </w:t>
      </w:r>
      <w:r w:rsidRPr="00DD1B58">
        <w:rPr>
          <w:lang w:val="en-US"/>
        </w:rPr>
        <w:t>in real fire scenarios is ignored)</w:t>
      </w:r>
      <w:r w:rsidR="003E11CD" w:rsidRPr="00DD1B58">
        <w:rPr>
          <w:lang w:val="en-US"/>
        </w:rPr>
        <w:t>; and</w:t>
      </w:r>
    </w:p>
    <w:p w14:paraId="64A039E6" w14:textId="4AD7A754" w:rsidR="29673809" w:rsidRPr="00DD1B58" w:rsidRDefault="29673809" w:rsidP="00973FF4">
      <w:pPr>
        <w:pStyle w:val="NumList2"/>
        <w:rPr>
          <w:b/>
          <w:bCs/>
          <w:lang w:val="en-US"/>
        </w:rPr>
      </w:pPr>
      <w:r w:rsidRPr="00DD1B58">
        <w:rPr>
          <w:lang w:val="en-US"/>
        </w:rPr>
        <w:t>Fire area verification ensures that the fire boundary resistance rating of fire zones</w:t>
      </w:r>
      <w:r w:rsidR="005D5C50" w:rsidRPr="00DD1B58">
        <w:rPr>
          <w:lang w:val="en-US"/>
        </w:rPr>
        <w:t>/</w:t>
      </w:r>
      <w:r w:rsidRPr="00DD1B58">
        <w:rPr>
          <w:lang w:val="en-US"/>
        </w:rPr>
        <w:t>areas has</w:t>
      </w:r>
      <w:r w:rsidR="58DE9DAA" w:rsidRPr="00DD1B58">
        <w:rPr>
          <w:lang w:val="en-US"/>
        </w:rPr>
        <w:t xml:space="preserve"> </w:t>
      </w:r>
      <w:r w:rsidRPr="00DD1B58">
        <w:rPr>
          <w:lang w:val="en-US"/>
        </w:rPr>
        <w:t>sufficient margin. A fire common mode failure analysis confirms that a fire will not lead to</w:t>
      </w:r>
      <w:r w:rsidR="11FC1736" w:rsidRPr="00DD1B58">
        <w:rPr>
          <w:lang w:val="en-US"/>
        </w:rPr>
        <w:t xml:space="preserve"> </w:t>
      </w:r>
      <w:r w:rsidRPr="00DD1B58">
        <w:rPr>
          <w:lang w:val="en-US"/>
        </w:rPr>
        <w:t>unacceptable consequences.</w:t>
      </w:r>
    </w:p>
    <w:p w14:paraId="71DA1BE5" w14:textId="3ADC8A51" w:rsidR="7F74E3E0" w:rsidRPr="00DD1B58" w:rsidRDefault="7F74E3E0" w:rsidP="355CB971">
      <w:pPr>
        <w:rPr>
          <w:lang w:val="en-US"/>
        </w:rPr>
      </w:pPr>
      <w:r w:rsidRPr="00DD1B58">
        <w:rPr>
          <w:b/>
          <w:lang w:val="en-US"/>
        </w:rPr>
        <w:t xml:space="preserve">First </w:t>
      </w:r>
      <w:r w:rsidR="003E11CD" w:rsidRPr="00DD1B58">
        <w:rPr>
          <w:b/>
          <w:lang w:val="en-US"/>
        </w:rPr>
        <w:t xml:space="preserve">generation </w:t>
      </w:r>
      <w:r w:rsidRPr="00DD1B58">
        <w:rPr>
          <w:b/>
          <w:lang w:val="en-US"/>
        </w:rPr>
        <w:t>AGRs (</w:t>
      </w:r>
      <w:r w:rsidR="000B6B1A" w:rsidRPr="00DD1B58">
        <w:rPr>
          <w:b/>
          <w:lang w:val="en-US"/>
        </w:rPr>
        <w:t>HN</w:t>
      </w:r>
      <w:r w:rsidRPr="00DD1B58">
        <w:rPr>
          <w:b/>
          <w:lang w:val="en-US"/>
        </w:rPr>
        <w:t>B)</w:t>
      </w:r>
      <w:r w:rsidR="003E11CD" w:rsidRPr="00DD1B58">
        <w:rPr>
          <w:b/>
          <w:lang w:val="en-US"/>
        </w:rPr>
        <w:t>:</w:t>
      </w:r>
      <w:r w:rsidR="00F452EE" w:rsidRPr="00DD1B58">
        <w:rPr>
          <w:b/>
          <w:lang w:val="en-US"/>
        </w:rPr>
        <w:t xml:space="preserve"> </w:t>
      </w:r>
      <w:r w:rsidR="00C362CA" w:rsidRPr="00DD1B58">
        <w:rPr>
          <w:lang w:val="en-US"/>
        </w:rPr>
        <w:t>EDF NGL</w:t>
      </w:r>
      <w:r w:rsidR="00E51E39" w:rsidRPr="00DD1B58">
        <w:rPr>
          <w:lang w:val="en-US"/>
        </w:rPr>
        <w:t>’s</w:t>
      </w:r>
      <w:r w:rsidRPr="00DD1B58">
        <w:rPr>
          <w:lang w:val="en-US"/>
        </w:rPr>
        <w:t xml:space="preserve"> bounding approach considers all possible scenarios</w:t>
      </w:r>
      <w:r w:rsidR="00F81030" w:rsidRPr="00DD1B58">
        <w:rPr>
          <w:lang w:val="en-US"/>
        </w:rPr>
        <w:t>,</w:t>
      </w:r>
      <w:r w:rsidR="00597804" w:rsidRPr="00DD1B58">
        <w:rPr>
          <w:lang w:val="en-US"/>
        </w:rPr>
        <w:t xml:space="preserve"> and using </w:t>
      </w:r>
      <w:r w:rsidRPr="00DD1B58">
        <w:rPr>
          <w:lang w:val="en-US"/>
        </w:rPr>
        <w:t xml:space="preserve">screening criteria, identifies plausible worst cases and retains some very infrequent but very high consequence scenarios. </w:t>
      </w:r>
      <w:r w:rsidR="00597804" w:rsidRPr="00DD1B58">
        <w:rPr>
          <w:lang w:val="en-US"/>
        </w:rPr>
        <w:t xml:space="preserve">It claims the analysis to be </w:t>
      </w:r>
      <w:r w:rsidRPr="00DD1B58">
        <w:rPr>
          <w:lang w:val="en-US"/>
        </w:rPr>
        <w:t xml:space="preserve">comprehensive, </w:t>
      </w:r>
      <w:r w:rsidR="00597804" w:rsidRPr="00DD1B58">
        <w:rPr>
          <w:lang w:val="en-US"/>
        </w:rPr>
        <w:t>as</w:t>
      </w:r>
      <w:r w:rsidRPr="00DD1B58">
        <w:rPr>
          <w:lang w:val="en-US"/>
        </w:rPr>
        <w:t xml:space="preserve"> cliff</w:t>
      </w:r>
      <w:r w:rsidR="00597804" w:rsidRPr="00DD1B58">
        <w:rPr>
          <w:lang w:val="en-US"/>
        </w:rPr>
        <w:t>-</w:t>
      </w:r>
      <w:r w:rsidRPr="00DD1B58">
        <w:rPr>
          <w:lang w:val="en-US"/>
        </w:rPr>
        <w:t>edge</w:t>
      </w:r>
      <w:r w:rsidR="00597804" w:rsidRPr="00DD1B58">
        <w:rPr>
          <w:lang w:val="en-US"/>
        </w:rPr>
        <w:t xml:space="preserve"> effects</w:t>
      </w:r>
      <w:r w:rsidRPr="00DD1B58">
        <w:rPr>
          <w:lang w:val="en-US"/>
        </w:rPr>
        <w:t xml:space="preserve"> are sought by parametric studies that consider significant variables and conservative assumption</w:t>
      </w:r>
      <w:r w:rsidR="00597804" w:rsidRPr="00DD1B58">
        <w:rPr>
          <w:lang w:val="en-US"/>
        </w:rPr>
        <w:t>s</w:t>
      </w:r>
      <w:r w:rsidRPr="00DD1B58">
        <w:rPr>
          <w:lang w:val="en-US"/>
        </w:rPr>
        <w:t>. These include</w:t>
      </w:r>
      <w:r w:rsidR="00597804" w:rsidRPr="00DD1B58">
        <w:rPr>
          <w:lang w:val="en-US"/>
        </w:rPr>
        <w:t>, for example,</w:t>
      </w:r>
      <w:r w:rsidRPr="00DD1B58">
        <w:rPr>
          <w:lang w:val="en-US"/>
        </w:rPr>
        <w:t xml:space="preserve"> the assumption that all fuel available is consumed with 100% combustion efficiency</w:t>
      </w:r>
      <w:r w:rsidR="003E11CD" w:rsidRPr="00DD1B58">
        <w:rPr>
          <w:lang w:val="en-US"/>
        </w:rPr>
        <w:t>. T</w:t>
      </w:r>
      <w:r w:rsidRPr="00DD1B58">
        <w:rPr>
          <w:lang w:val="en-US"/>
        </w:rPr>
        <w:t>he duration for the fire is considered to determine whether a short powerful fire is more or less damaging tha</w:t>
      </w:r>
      <w:r w:rsidR="003B6A5F" w:rsidRPr="00DD1B58">
        <w:rPr>
          <w:lang w:val="en-US"/>
        </w:rPr>
        <w:t>n</w:t>
      </w:r>
      <w:r w:rsidRPr="00DD1B58">
        <w:rPr>
          <w:lang w:val="en-US"/>
        </w:rPr>
        <w:t xml:space="preserve"> a longer duration</w:t>
      </w:r>
      <w:r w:rsidR="003B6A5F" w:rsidRPr="00DD1B58">
        <w:rPr>
          <w:lang w:val="en-US"/>
        </w:rPr>
        <w:t>,</w:t>
      </w:r>
      <w:r w:rsidRPr="00DD1B58">
        <w:rPr>
          <w:lang w:val="en-US"/>
        </w:rPr>
        <w:t xml:space="preserve"> but lower fire power event. This work has been documented for the critical areas.</w:t>
      </w:r>
    </w:p>
    <w:p w14:paraId="576D1D3F" w14:textId="5E4A33D7" w:rsidR="7F74E3E0" w:rsidRPr="00DD1B58" w:rsidRDefault="7F74E3E0" w:rsidP="355CB971">
      <w:pPr>
        <w:rPr>
          <w:lang w:val="en-US"/>
        </w:rPr>
      </w:pPr>
      <w:r w:rsidRPr="00DD1B58">
        <w:rPr>
          <w:b/>
          <w:lang w:val="en-US"/>
        </w:rPr>
        <w:lastRenderedPageBreak/>
        <w:t xml:space="preserve">Second </w:t>
      </w:r>
      <w:r w:rsidR="003E11CD" w:rsidRPr="00DD1B58">
        <w:rPr>
          <w:b/>
          <w:lang w:val="en-US"/>
        </w:rPr>
        <w:t xml:space="preserve">generation </w:t>
      </w:r>
      <w:r w:rsidRPr="00DD1B58">
        <w:rPr>
          <w:b/>
          <w:lang w:val="en-US"/>
        </w:rPr>
        <w:t>AGRs (</w:t>
      </w:r>
      <w:r w:rsidR="000B6B1A" w:rsidRPr="00DD1B58">
        <w:rPr>
          <w:b/>
          <w:lang w:val="en-US"/>
        </w:rPr>
        <w:t>HY</w:t>
      </w:r>
      <w:r w:rsidRPr="00DD1B58">
        <w:rPr>
          <w:b/>
          <w:lang w:val="en-US"/>
        </w:rPr>
        <w:t>2)</w:t>
      </w:r>
      <w:r w:rsidR="003E11CD" w:rsidRPr="00DD1B58">
        <w:rPr>
          <w:b/>
          <w:lang w:val="en-US"/>
        </w:rPr>
        <w:t>:</w:t>
      </w:r>
      <w:r w:rsidR="00F452EE" w:rsidRPr="00DD1B58">
        <w:rPr>
          <w:b/>
          <w:lang w:val="en-US"/>
        </w:rPr>
        <w:t xml:space="preserve"> </w:t>
      </w:r>
      <w:r w:rsidR="00C362CA" w:rsidRPr="00DD1B58">
        <w:rPr>
          <w:lang w:val="en-US"/>
        </w:rPr>
        <w:t>EDF NGL</w:t>
      </w:r>
      <w:r w:rsidR="00024668" w:rsidRPr="00DD1B58">
        <w:rPr>
          <w:lang w:val="en-US"/>
        </w:rPr>
        <w:t xml:space="preserve"> used the </w:t>
      </w:r>
      <w:r w:rsidRPr="00DD1B58">
        <w:rPr>
          <w:lang w:val="en-US"/>
        </w:rPr>
        <w:t xml:space="preserve">bounding approach </w:t>
      </w:r>
      <w:r w:rsidR="00024668" w:rsidRPr="00DD1B58">
        <w:rPr>
          <w:lang w:val="en-US"/>
        </w:rPr>
        <w:t>stated</w:t>
      </w:r>
      <w:r w:rsidRPr="00DD1B58">
        <w:rPr>
          <w:lang w:val="en-US"/>
        </w:rPr>
        <w:t xml:space="preserve"> </w:t>
      </w:r>
      <w:r w:rsidR="00024668" w:rsidRPr="00DD1B58">
        <w:rPr>
          <w:lang w:val="en-US"/>
        </w:rPr>
        <w:t xml:space="preserve">above </w:t>
      </w:r>
      <w:r w:rsidRPr="00DD1B58">
        <w:rPr>
          <w:lang w:val="en-US"/>
        </w:rPr>
        <w:t>for the second generation AGRs. Note that as a result there are differences in plant design. Where the consequences and/or protection requirements from fire are identified elsewhere in the fault schedule, they are bounded by that plant fault. Where the consequences of a particular fire have not been identified elsewhere, the fire itself is identified as both an initiating event and bounding fault.</w:t>
      </w:r>
    </w:p>
    <w:p w14:paraId="1007D9E0" w14:textId="5EEA4DA1" w:rsidR="7F74E3E0" w:rsidRPr="00DD1B58" w:rsidRDefault="7F74E3E0" w:rsidP="355CB971">
      <w:pPr>
        <w:rPr>
          <w:lang w:val="en-US"/>
        </w:rPr>
      </w:pPr>
      <w:r w:rsidRPr="00DD1B58">
        <w:rPr>
          <w:b/>
          <w:lang w:val="en-US"/>
        </w:rPr>
        <w:t>Sizewell B</w:t>
      </w:r>
      <w:r w:rsidR="00372E05" w:rsidRPr="00DD1B58">
        <w:rPr>
          <w:b/>
          <w:lang w:val="en-US"/>
        </w:rPr>
        <w:t>:</w:t>
      </w:r>
      <w:r w:rsidR="00F452EE" w:rsidRPr="00DD1B58">
        <w:rPr>
          <w:b/>
          <w:lang w:val="en-US"/>
        </w:rPr>
        <w:t xml:space="preserve"> </w:t>
      </w:r>
      <w:r w:rsidR="00372E05" w:rsidRPr="00DD1B58">
        <w:rPr>
          <w:lang w:val="en-US"/>
        </w:rPr>
        <w:t>t</w:t>
      </w:r>
      <w:r w:rsidRPr="00DD1B58">
        <w:rPr>
          <w:lang w:val="en-US"/>
        </w:rPr>
        <w:t xml:space="preserve">he safety trains at SZB are segregated by </w:t>
      </w:r>
      <w:r w:rsidR="002C536B" w:rsidRPr="00DD1B58">
        <w:rPr>
          <w:lang w:val="en-US"/>
        </w:rPr>
        <w:t>three-</w:t>
      </w:r>
      <w:r w:rsidRPr="00DD1B58">
        <w:rPr>
          <w:lang w:val="en-US"/>
        </w:rPr>
        <w:t>hour fire</w:t>
      </w:r>
      <w:r w:rsidR="002C536B" w:rsidRPr="00DD1B58">
        <w:rPr>
          <w:lang w:val="en-US"/>
        </w:rPr>
        <w:t>-</w:t>
      </w:r>
      <w:r w:rsidRPr="00DD1B58">
        <w:rPr>
          <w:lang w:val="en-US"/>
        </w:rPr>
        <w:t>rated Principal Fire Barriers</w:t>
      </w:r>
      <w:r w:rsidR="002C536B" w:rsidRPr="00DD1B58">
        <w:rPr>
          <w:lang w:val="en-US"/>
        </w:rPr>
        <w:t>.</w:t>
      </w:r>
      <w:r w:rsidRPr="00DD1B58">
        <w:rPr>
          <w:lang w:val="en-US"/>
        </w:rPr>
        <w:t xml:space="preserve"> </w:t>
      </w:r>
      <w:r w:rsidR="002C536B" w:rsidRPr="00DD1B58">
        <w:rPr>
          <w:lang w:val="en-US"/>
        </w:rPr>
        <w:t>P</w:t>
      </w:r>
      <w:r w:rsidRPr="00DD1B58">
        <w:rPr>
          <w:lang w:val="en-US"/>
        </w:rPr>
        <w:t>enetrations are minimised and</w:t>
      </w:r>
      <w:r w:rsidR="00E97B73" w:rsidRPr="00DD1B58">
        <w:rPr>
          <w:lang w:val="en-US"/>
        </w:rPr>
        <w:t>,</w:t>
      </w:r>
      <w:r w:rsidRPr="00DD1B58">
        <w:rPr>
          <w:lang w:val="en-US"/>
        </w:rPr>
        <w:t xml:space="preserve"> where necessary</w:t>
      </w:r>
      <w:r w:rsidR="00E97B73" w:rsidRPr="00DD1B58">
        <w:rPr>
          <w:lang w:val="en-US"/>
        </w:rPr>
        <w:t>,</w:t>
      </w:r>
      <w:r w:rsidRPr="00DD1B58">
        <w:rPr>
          <w:lang w:val="en-US"/>
        </w:rPr>
        <w:t xml:space="preserve"> all non-segregated cables (</w:t>
      </w:r>
      <w:r w:rsidR="002C536B" w:rsidRPr="00DD1B58">
        <w:rPr>
          <w:lang w:val="en-US"/>
        </w:rPr>
        <w:t>such as those required</w:t>
      </w:r>
      <w:r w:rsidRPr="00DD1B58">
        <w:rPr>
          <w:lang w:val="en-US"/>
        </w:rPr>
        <w:t xml:space="preserve"> for redundancy purposes) are boxed in with </w:t>
      </w:r>
      <w:r w:rsidR="002C536B" w:rsidRPr="00DD1B58">
        <w:rPr>
          <w:lang w:val="en-US"/>
        </w:rPr>
        <w:t>three</w:t>
      </w:r>
      <w:r w:rsidR="00E97B73" w:rsidRPr="00DD1B58">
        <w:rPr>
          <w:lang w:val="en-US"/>
        </w:rPr>
        <w:t>-</w:t>
      </w:r>
      <w:r w:rsidRPr="00DD1B58">
        <w:rPr>
          <w:lang w:val="en-US"/>
        </w:rPr>
        <w:t>hour fire</w:t>
      </w:r>
      <w:r w:rsidR="002C536B" w:rsidRPr="00DD1B58">
        <w:rPr>
          <w:lang w:val="en-US"/>
        </w:rPr>
        <w:t>-</w:t>
      </w:r>
      <w:r w:rsidRPr="00DD1B58">
        <w:rPr>
          <w:lang w:val="en-US"/>
        </w:rPr>
        <w:t>rated fire barriers. All fires are bounded by the plant faults given in the Fault Schedule.</w:t>
      </w:r>
    </w:p>
    <w:p w14:paraId="183E0DA4" w14:textId="5DB109CE" w:rsidR="7F74E3E0" w:rsidRPr="00DD1B58" w:rsidRDefault="7F74E3E0" w:rsidP="008E210D">
      <w:pPr>
        <w:pStyle w:val="Heading4"/>
        <w:numPr>
          <w:ilvl w:val="4"/>
          <w:numId w:val="3"/>
        </w:numPr>
        <w:rPr>
          <w:lang w:val="en-US"/>
        </w:rPr>
      </w:pPr>
      <w:bookmarkStart w:id="18" w:name="_Ref140839871"/>
      <w:r w:rsidRPr="00DD1B58">
        <w:rPr>
          <w:lang w:val="en-US"/>
        </w:rPr>
        <w:t xml:space="preserve">Combined </w:t>
      </w:r>
      <w:r w:rsidR="002C536B" w:rsidRPr="00DD1B58">
        <w:rPr>
          <w:lang w:val="en-US"/>
        </w:rPr>
        <w:t>e</w:t>
      </w:r>
      <w:r w:rsidRPr="00DD1B58">
        <w:rPr>
          <w:lang w:val="en-US"/>
        </w:rPr>
        <w:t>vents</w:t>
      </w:r>
      <w:bookmarkEnd w:id="18"/>
    </w:p>
    <w:p w14:paraId="1F9E06F3" w14:textId="0090AD1B" w:rsidR="7F74E3E0" w:rsidRPr="00DD1B58" w:rsidRDefault="7F74E3E0" w:rsidP="355CB971">
      <w:pPr>
        <w:rPr>
          <w:lang w:val="en-US"/>
        </w:rPr>
      </w:pPr>
      <w:r w:rsidRPr="00DD1B58">
        <w:rPr>
          <w:b/>
          <w:lang w:val="en-US"/>
        </w:rPr>
        <w:t>General</w:t>
      </w:r>
      <w:r w:rsidR="002C536B" w:rsidRPr="00DD1B58">
        <w:rPr>
          <w:b/>
          <w:lang w:val="en-US"/>
        </w:rPr>
        <w:t>:</w:t>
      </w:r>
      <w:r w:rsidRPr="00DD1B58">
        <w:rPr>
          <w:lang w:val="en-US"/>
        </w:rPr>
        <w:t xml:space="preserve"> </w:t>
      </w:r>
      <w:r w:rsidR="003B7B84" w:rsidRPr="00DD1B58">
        <w:rPr>
          <w:lang w:val="en-US"/>
        </w:rPr>
        <w:t>EDF</w:t>
      </w:r>
      <w:r w:rsidR="006E01FC" w:rsidRPr="00DD1B58">
        <w:rPr>
          <w:lang w:val="en-US"/>
        </w:rPr>
        <w:t xml:space="preserve"> </w:t>
      </w:r>
      <w:r w:rsidR="003B7B84" w:rsidRPr="00DD1B58">
        <w:rPr>
          <w:lang w:val="en-US"/>
        </w:rPr>
        <w:t>NGL</w:t>
      </w:r>
      <w:r w:rsidR="006E01FC" w:rsidRPr="00DD1B58">
        <w:rPr>
          <w:lang w:val="en-US"/>
        </w:rPr>
        <w:t xml:space="preserve">’s </w:t>
      </w:r>
      <w:r w:rsidRPr="00DD1B58">
        <w:rPr>
          <w:lang w:val="en-US"/>
        </w:rPr>
        <w:t xml:space="preserve">Design Authority </w:t>
      </w:r>
      <w:r w:rsidR="00A71AF8" w:rsidRPr="00DD1B58">
        <w:rPr>
          <w:lang w:val="en-US"/>
        </w:rPr>
        <w:t>(DA)</w:t>
      </w:r>
      <w:r w:rsidRPr="00DD1B58">
        <w:rPr>
          <w:lang w:val="en-US"/>
        </w:rPr>
        <w:t xml:space="preserve"> </w:t>
      </w:r>
      <w:r w:rsidR="006E01FC" w:rsidRPr="00DD1B58">
        <w:rPr>
          <w:lang w:val="en-US"/>
        </w:rPr>
        <w:t xml:space="preserve">leads the </w:t>
      </w:r>
      <w:r w:rsidR="008901AC" w:rsidRPr="00DD1B58">
        <w:rPr>
          <w:lang w:val="en-US"/>
        </w:rPr>
        <w:t>consideration of combined events</w:t>
      </w:r>
      <w:r w:rsidR="006E01FC" w:rsidRPr="00DD1B58">
        <w:rPr>
          <w:lang w:val="en-US"/>
        </w:rPr>
        <w:t xml:space="preserve"> </w:t>
      </w:r>
      <w:r w:rsidR="008901AC" w:rsidRPr="00DD1B58">
        <w:rPr>
          <w:lang w:val="en-US"/>
        </w:rPr>
        <w:t>through</w:t>
      </w:r>
      <w:r w:rsidRPr="00DD1B58">
        <w:rPr>
          <w:lang w:val="en-US"/>
        </w:rPr>
        <w:t xml:space="preserve"> Zonal Walkdowns, PSR and Safety</w:t>
      </w:r>
      <w:r w:rsidR="784B3724" w:rsidRPr="00DD1B58">
        <w:rPr>
          <w:lang w:val="en-US"/>
        </w:rPr>
        <w:t xml:space="preserve"> </w:t>
      </w:r>
      <w:r w:rsidRPr="00DD1B58">
        <w:rPr>
          <w:lang w:val="en-US"/>
        </w:rPr>
        <w:t>Case Health Reviews</w:t>
      </w:r>
      <w:r w:rsidR="006E01FC" w:rsidRPr="00DD1B58">
        <w:rPr>
          <w:lang w:val="en-US"/>
        </w:rPr>
        <w:t xml:space="preserve"> in accordance with company processes</w:t>
      </w:r>
      <w:r w:rsidRPr="00DD1B58">
        <w:rPr>
          <w:lang w:val="en-US"/>
        </w:rPr>
        <w:t xml:space="preserve">. </w:t>
      </w:r>
      <w:r w:rsidR="008901AC" w:rsidRPr="00DD1B58">
        <w:rPr>
          <w:lang w:val="en-US"/>
        </w:rPr>
        <w:t>In these assessments,</w:t>
      </w:r>
      <w:r w:rsidRPr="00DD1B58">
        <w:rPr>
          <w:lang w:val="en-US"/>
        </w:rPr>
        <w:t xml:space="preserve"> </w:t>
      </w:r>
      <w:r w:rsidR="00A71AF8" w:rsidRPr="00DD1B58">
        <w:rPr>
          <w:lang w:val="en-US"/>
        </w:rPr>
        <w:t xml:space="preserve">DA </w:t>
      </w:r>
      <w:r w:rsidR="00C25485" w:rsidRPr="00DD1B58">
        <w:rPr>
          <w:lang w:val="en-US"/>
        </w:rPr>
        <w:t xml:space="preserve">hazard experts work </w:t>
      </w:r>
      <w:r w:rsidR="00A71AF8" w:rsidRPr="00DD1B58">
        <w:rPr>
          <w:lang w:val="en-US"/>
        </w:rPr>
        <w:t xml:space="preserve">jointly </w:t>
      </w:r>
      <w:r w:rsidR="00C25485" w:rsidRPr="00DD1B58">
        <w:rPr>
          <w:lang w:val="en-US"/>
        </w:rPr>
        <w:t xml:space="preserve">with fire and seismic </w:t>
      </w:r>
      <w:r w:rsidR="00A71AF8" w:rsidRPr="00DD1B58">
        <w:rPr>
          <w:lang w:val="en-US"/>
        </w:rPr>
        <w:t xml:space="preserve">hazard </w:t>
      </w:r>
      <w:r w:rsidR="00C25485" w:rsidRPr="00DD1B58">
        <w:rPr>
          <w:lang w:val="en-US"/>
        </w:rPr>
        <w:t xml:space="preserve">experts </w:t>
      </w:r>
      <w:r w:rsidR="001E3981" w:rsidRPr="00DD1B58">
        <w:rPr>
          <w:lang w:val="en-US"/>
        </w:rPr>
        <w:t>from</w:t>
      </w:r>
      <w:r w:rsidR="00C25485" w:rsidRPr="00DD1B58">
        <w:rPr>
          <w:lang w:val="en-US"/>
        </w:rPr>
        <w:t xml:space="preserve"> the </w:t>
      </w:r>
      <w:r w:rsidRPr="00DD1B58">
        <w:rPr>
          <w:lang w:val="en-US"/>
        </w:rPr>
        <w:t>Engineering Division</w:t>
      </w:r>
      <w:r w:rsidR="008901AC" w:rsidRPr="00DD1B58">
        <w:rPr>
          <w:lang w:val="en-US"/>
        </w:rPr>
        <w:t>, who undertake the d</w:t>
      </w:r>
      <w:r w:rsidRPr="00DD1B58">
        <w:rPr>
          <w:lang w:val="en-US"/>
        </w:rPr>
        <w:t>etailed fire assessments</w:t>
      </w:r>
      <w:r w:rsidR="008901AC" w:rsidRPr="00DD1B58">
        <w:rPr>
          <w:lang w:val="en-US"/>
        </w:rPr>
        <w:t>.</w:t>
      </w:r>
    </w:p>
    <w:p w14:paraId="0C7D5EDD" w14:textId="4A395AF6" w:rsidR="7F74E3E0" w:rsidRPr="00DD1B58" w:rsidRDefault="7F74E3E0" w:rsidP="355CB971">
      <w:pPr>
        <w:rPr>
          <w:lang w:val="en-US"/>
        </w:rPr>
      </w:pPr>
      <w:r w:rsidRPr="00DD1B58">
        <w:rPr>
          <w:b/>
          <w:lang w:val="en-US"/>
        </w:rPr>
        <w:t xml:space="preserve">First </w:t>
      </w:r>
      <w:r w:rsidR="002C536B" w:rsidRPr="00DD1B58">
        <w:rPr>
          <w:b/>
          <w:lang w:val="en-US"/>
        </w:rPr>
        <w:t xml:space="preserve">generation </w:t>
      </w:r>
      <w:r w:rsidRPr="00DD1B58">
        <w:rPr>
          <w:b/>
          <w:lang w:val="en-US"/>
        </w:rPr>
        <w:t>AGRs (</w:t>
      </w:r>
      <w:r w:rsidR="004722D6" w:rsidRPr="00DD1B58">
        <w:rPr>
          <w:b/>
          <w:lang w:val="en-US"/>
        </w:rPr>
        <w:t>HN</w:t>
      </w:r>
      <w:r w:rsidRPr="00DD1B58">
        <w:rPr>
          <w:b/>
          <w:lang w:val="en-US"/>
        </w:rPr>
        <w:t>B)</w:t>
      </w:r>
      <w:r w:rsidR="002C536B" w:rsidRPr="00DD1B58">
        <w:rPr>
          <w:b/>
          <w:lang w:val="en-US"/>
        </w:rPr>
        <w:t>:</w:t>
      </w:r>
      <w:r w:rsidR="00F452EE" w:rsidRPr="00DD1B58">
        <w:rPr>
          <w:b/>
          <w:lang w:val="en-US"/>
        </w:rPr>
        <w:t xml:space="preserve"> </w:t>
      </w:r>
      <w:r w:rsidR="002C536B" w:rsidRPr="00DD1B58">
        <w:rPr>
          <w:lang w:val="en-US"/>
        </w:rPr>
        <w:t>a</w:t>
      </w:r>
      <w:r w:rsidRPr="00DD1B58">
        <w:rPr>
          <w:lang w:val="en-US"/>
        </w:rPr>
        <w:t xml:space="preserve">ll the above general provisions apply. </w:t>
      </w:r>
      <w:r w:rsidR="00C362CA" w:rsidRPr="00DD1B58">
        <w:rPr>
          <w:lang w:val="en-US"/>
        </w:rPr>
        <w:t>EDF NGL</w:t>
      </w:r>
      <w:r w:rsidRPr="00DD1B58">
        <w:rPr>
          <w:lang w:val="en-US"/>
        </w:rPr>
        <w:t xml:space="preserve"> note</w:t>
      </w:r>
      <w:r w:rsidR="0032102E" w:rsidRPr="00DD1B58">
        <w:rPr>
          <w:lang w:val="en-US"/>
        </w:rPr>
        <w:t>s</w:t>
      </w:r>
      <w:r w:rsidRPr="00DD1B58">
        <w:rPr>
          <w:lang w:val="en-US"/>
        </w:rPr>
        <w:t xml:space="preserve"> that the safety case includes a consideration of</w:t>
      </w:r>
      <w:r w:rsidR="579DA9BD" w:rsidRPr="00DD1B58">
        <w:rPr>
          <w:lang w:val="en-US"/>
        </w:rPr>
        <w:t xml:space="preserve"> </w:t>
      </w:r>
      <w:r w:rsidRPr="00DD1B58">
        <w:rPr>
          <w:lang w:val="en-US"/>
        </w:rPr>
        <w:t>fire-induced missile hazard and also considers initiation of water spray fire suppression system</w:t>
      </w:r>
      <w:r w:rsidR="004722D6" w:rsidRPr="00DD1B58">
        <w:rPr>
          <w:lang w:val="en-US"/>
        </w:rPr>
        <w:t>s</w:t>
      </w:r>
      <w:r w:rsidRPr="00DD1B58">
        <w:rPr>
          <w:lang w:val="en-US"/>
        </w:rPr>
        <w:t xml:space="preserve"> as a</w:t>
      </w:r>
      <w:r w:rsidR="34BBAFDD" w:rsidRPr="00DD1B58">
        <w:rPr>
          <w:lang w:val="en-US"/>
        </w:rPr>
        <w:t xml:space="preserve"> </w:t>
      </w:r>
      <w:r w:rsidRPr="00DD1B58">
        <w:rPr>
          <w:lang w:val="en-US"/>
        </w:rPr>
        <w:t>potential flood hazard.</w:t>
      </w:r>
    </w:p>
    <w:p w14:paraId="4744FE87" w14:textId="045C0725" w:rsidR="668EA0E6" w:rsidRPr="00DD1B58" w:rsidRDefault="7F74E3E0" w:rsidP="355CB971">
      <w:pPr>
        <w:rPr>
          <w:lang w:val="en-US"/>
        </w:rPr>
      </w:pPr>
      <w:r w:rsidRPr="00DD1B58">
        <w:rPr>
          <w:b/>
          <w:lang w:val="en-US"/>
        </w:rPr>
        <w:t xml:space="preserve">Second </w:t>
      </w:r>
      <w:r w:rsidR="002C536B" w:rsidRPr="00DD1B58">
        <w:rPr>
          <w:b/>
          <w:lang w:val="en-US"/>
        </w:rPr>
        <w:t xml:space="preserve">generation </w:t>
      </w:r>
      <w:r w:rsidRPr="00DD1B58">
        <w:rPr>
          <w:b/>
          <w:lang w:val="en-US"/>
        </w:rPr>
        <w:t>AGRs (</w:t>
      </w:r>
      <w:r w:rsidR="004722D6" w:rsidRPr="00DD1B58">
        <w:rPr>
          <w:b/>
          <w:lang w:val="en-US"/>
        </w:rPr>
        <w:t>HY</w:t>
      </w:r>
      <w:r w:rsidRPr="00DD1B58">
        <w:rPr>
          <w:b/>
          <w:lang w:val="en-US"/>
        </w:rPr>
        <w:t>2)</w:t>
      </w:r>
      <w:r w:rsidR="002C536B" w:rsidRPr="00DD1B58">
        <w:rPr>
          <w:b/>
          <w:lang w:val="en-US"/>
        </w:rPr>
        <w:t xml:space="preserve">: </w:t>
      </w:r>
      <w:r w:rsidR="002C536B" w:rsidRPr="00DD1B58">
        <w:rPr>
          <w:lang w:val="en-US"/>
        </w:rPr>
        <w:t>f</w:t>
      </w:r>
      <w:r w:rsidR="668EA0E6" w:rsidRPr="00DD1B58">
        <w:rPr>
          <w:lang w:val="en-US"/>
        </w:rPr>
        <w:t>or this station some consequential hazards were considered in the design of its protection and mitigation measures</w:t>
      </w:r>
      <w:r w:rsidR="002C536B" w:rsidRPr="00DD1B58">
        <w:rPr>
          <w:lang w:val="en-US"/>
        </w:rPr>
        <w:t>,</w:t>
      </w:r>
      <w:r w:rsidR="668EA0E6" w:rsidRPr="00DD1B58">
        <w:rPr>
          <w:lang w:val="en-US"/>
        </w:rPr>
        <w:t xml:space="preserve"> </w:t>
      </w:r>
      <w:r w:rsidR="002C536B" w:rsidRPr="00DD1B58">
        <w:rPr>
          <w:lang w:val="en-US"/>
        </w:rPr>
        <w:t xml:space="preserve">such as </w:t>
      </w:r>
      <w:r w:rsidR="668EA0E6" w:rsidRPr="00DD1B58">
        <w:rPr>
          <w:lang w:val="en-US"/>
        </w:rPr>
        <w:t>post</w:t>
      </w:r>
      <w:r w:rsidR="005A2AB2" w:rsidRPr="00DD1B58">
        <w:rPr>
          <w:lang w:val="en-US"/>
        </w:rPr>
        <w:t>-</w:t>
      </w:r>
      <w:r w:rsidR="668EA0E6" w:rsidRPr="00DD1B58">
        <w:rPr>
          <w:lang w:val="en-US"/>
        </w:rPr>
        <w:t>seismic fires.</w:t>
      </w:r>
      <w:r w:rsidR="00370DBC" w:rsidRPr="00DD1B58">
        <w:rPr>
          <w:lang w:val="en-US"/>
        </w:rPr>
        <w:t xml:space="preserve"> </w:t>
      </w:r>
      <w:r w:rsidR="00BE0DD9" w:rsidRPr="00DD1B58">
        <w:rPr>
          <w:lang w:val="en-US"/>
        </w:rPr>
        <w:t>Fur</w:t>
      </w:r>
      <w:r w:rsidR="00370DBC" w:rsidRPr="00DD1B58">
        <w:rPr>
          <w:lang w:val="en-US"/>
        </w:rPr>
        <w:t xml:space="preserve">ther </w:t>
      </w:r>
      <w:r w:rsidR="668EA0E6" w:rsidRPr="00DD1B58">
        <w:rPr>
          <w:lang w:val="en-US"/>
        </w:rPr>
        <w:t xml:space="preserve">scenarios </w:t>
      </w:r>
      <w:r w:rsidR="00370DBC" w:rsidRPr="00DD1B58">
        <w:rPr>
          <w:lang w:val="en-US"/>
        </w:rPr>
        <w:t xml:space="preserve">are </w:t>
      </w:r>
      <w:r w:rsidR="668EA0E6" w:rsidRPr="00DD1B58">
        <w:rPr>
          <w:lang w:val="en-US"/>
        </w:rPr>
        <w:t>currently under consideration</w:t>
      </w:r>
      <w:r w:rsidR="002C536B" w:rsidRPr="00DD1B58">
        <w:rPr>
          <w:lang w:val="en-US"/>
        </w:rPr>
        <w:t>;</w:t>
      </w:r>
      <w:r w:rsidR="00D25831" w:rsidRPr="00DD1B58">
        <w:rPr>
          <w:lang w:val="en-US"/>
        </w:rPr>
        <w:t xml:space="preserve"> f</w:t>
      </w:r>
      <w:r w:rsidR="668EA0E6" w:rsidRPr="00DD1B58">
        <w:rPr>
          <w:lang w:val="en-US"/>
        </w:rPr>
        <w:t xml:space="preserve">or example, a </w:t>
      </w:r>
      <w:r w:rsidR="00054A75" w:rsidRPr="00DD1B58">
        <w:rPr>
          <w:lang w:val="en-US"/>
        </w:rPr>
        <w:t>t</w:t>
      </w:r>
      <w:r w:rsidR="668EA0E6" w:rsidRPr="00DD1B58">
        <w:rPr>
          <w:lang w:val="en-US"/>
        </w:rPr>
        <w:t xml:space="preserve">urbine </w:t>
      </w:r>
      <w:r w:rsidR="00054A75" w:rsidRPr="00DD1B58">
        <w:rPr>
          <w:lang w:val="en-US"/>
        </w:rPr>
        <w:t xml:space="preserve">disintegration </w:t>
      </w:r>
      <w:r w:rsidR="668EA0E6" w:rsidRPr="00DD1B58">
        <w:rPr>
          <w:lang w:val="en-US"/>
        </w:rPr>
        <w:t xml:space="preserve">event </w:t>
      </w:r>
      <w:r w:rsidR="00D73F96" w:rsidRPr="00DD1B58">
        <w:rPr>
          <w:lang w:val="en-US"/>
        </w:rPr>
        <w:t>(originally classified as no</w:t>
      </w:r>
      <w:r w:rsidR="00345441" w:rsidRPr="00DD1B58">
        <w:rPr>
          <w:lang w:val="en-US"/>
        </w:rPr>
        <w:t xml:space="preserve">t impacting nuclear </w:t>
      </w:r>
      <w:r w:rsidR="00D73F96" w:rsidRPr="00DD1B58">
        <w:rPr>
          <w:lang w:val="en-US"/>
        </w:rPr>
        <w:t xml:space="preserve">safety) </w:t>
      </w:r>
      <w:r w:rsidR="00054A75" w:rsidRPr="00DD1B58">
        <w:rPr>
          <w:lang w:val="en-US"/>
        </w:rPr>
        <w:t>can lead to</w:t>
      </w:r>
      <w:r w:rsidR="668EA0E6" w:rsidRPr="00DD1B58">
        <w:rPr>
          <w:lang w:val="en-US"/>
        </w:rPr>
        <w:t xml:space="preserve"> a fire, or a fire with flooding from the condenser cooling system. </w:t>
      </w:r>
      <w:r w:rsidR="00CB59C0" w:rsidRPr="00DD1B58">
        <w:rPr>
          <w:lang w:val="en-US"/>
        </w:rPr>
        <w:t>Similarly</w:t>
      </w:r>
      <w:r w:rsidR="00D8BC01" w:rsidRPr="00DD1B58">
        <w:rPr>
          <w:lang w:val="en-US"/>
        </w:rPr>
        <w:t>,</w:t>
      </w:r>
      <w:r w:rsidR="668EA0E6" w:rsidRPr="00DD1B58">
        <w:rPr>
          <w:lang w:val="en-US"/>
        </w:rPr>
        <w:t xml:space="preserve"> a </w:t>
      </w:r>
      <w:r w:rsidR="00054A75" w:rsidRPr="00DD1B58">
        <w:rPr>
          <w:lang w:val="en-US"/>
        </w:rPr>
        <w:t xml:space="preserve">turbine disintegration event </w:t>
      </w:r>
      <w:r w:rsidR="00CB59C0" w:rsidRPr="00DD1B58">
        <w:rPr>
          <w:lang w:val="en-US"/>
        </w:rPr>
        <w:t>can result in flooding of</w:t>
      </w:r>
      <w:r w:rsidR="668EA0E6" w:rsidRPr="00DD1B58">
        <w:rPr>
          <w:lang w:val="en-US"/>
        </w:rPr>
        <w:t xml:space="preserve"> the Turbine Hall with cooling water as well as releasing significant amounts</w:t>
      </w:r>
      <w:r w:rsidR="1DCEA815" w:rsidRPr="00DD1B58">
        <w:rPr>
          <w:lang w:val="en-US"/>
        </w:rPr>
        <w:t xml:space="preserve"> </w:t>
      </w:r>
      <w:r w:rsidR="668EA0E6" w:rsidRPr="00DD1B58">
        <w:rPr>
          <w:lang w:val="en-US"/>
        </w:rPr>
        <w:t>of lube (lubricating) oil. This has the potential to cause flooding of the reactor basement and a</w:t>
      </w:r>
      <w:r w:rsidR="36B5B89C" w:rsidRPr="00DD1B58">
        <w:rPr>
          <w:lang w:val="en-US"/>
        </w:rPr>
        <w:t xml:space="preserve"> </w:t>
      </w:r>
      <w:r w:rsidR="668EA0E6" w:rsidRPr="00DD1B58">
        <w:rPr>
          <w:lang w:val="en-US"/>
        </w:rPr>
        <w:t xml:space="preserve">consequential floating oil pool fire. </w:t>
      </w:r>
      <w:r w:rsidR="00B65365" w:rsidRPr="00DD1B58">
        <w:rPr>
          <w:lang w:val="en-US"/>
        </w:rPr>
        <w:t>The</w:t>
      </w:r>
      <w:r w:rsidR="668EA0E6" w:rsidRPr="00DD1B58">
        <w:rPr>
          <w:lang w:val="en-US"/>
        </w:rPr>
        <w:t xml:space="preserve"> scenario </w:t>
      </w:r>
      <w:r w:rsidR="00A259B5" w:rsidRPr="00DD1B58">
        <w:rPr>
          <w:lang w:val="en-US"/>
        </w:rPr>
        <w:t>is being</w:t>
      </w:r>
      <w:r w:rsidR="00456714" w:rsidRPr="00DD1B58">
        <w:rPr>
          <w:lang w:val="en-US"/>
        </w:rPr>
        <w:t xml:space="preserve"> </w:t>
      </w:r>
      <w:r w:rsidR="668EA0E6" w:rsidRPr="00DD1B58">
        <w:rPr>
          <w:lang w:val="en-US"/>
        </w:rPr>
        <w:t xml:space="preserve">assessed </w:t>
      </w:r>
      <w:r w:rsidR="00781357" w:rsidRPr="00DD1B58">
        <w:rPr>
          <w:lang w:val="en-US"/>
        </w:rPr>
        <w:t xml:space="preserve">by EDF NGL </w:t>
      </w:r>
      <w:r w:rsidR="00B65365" w:rsidRPr="00DD1B58">
        <w:rPr>
          <w:lang w:val="en-US"/>
        </w:rPr>
        <w:t>at the time of writing this report</w:t>
      </w:r>
      <w:r w:rsidR="006C19CE" w:rsidRPr="00DD1B58">
        <w:rPr>
          <w:lang w:val="en-US"/>
        </w:rPr>
        <w:t>,</w:t>
      </w:r>
      <w:r w:rsidR="007D5809" w:rsidRPr="00DD1B58">
        <w:rPr>
          <w:lang w:val="en-US"/>
        </w:rPr>
        <w:t xml:space="preserve"> current operation is</w:t>
      </w:r>
      <w:r w:rsidR="006C19CE" w:rsidRPr="00DD1B58">
        <w:rPr>
          <w:lang w:val="en-US"/>
        </w:rPr>
        <w:t xml:space="preserve"> supported by an interim justification for continued operation (iJCO)</w:t>
      </w:r>
      <w:r w:rsidR="00BE40B1" w:rsidRPr="00DD1B58">
        <w:rPr>
          <w:lang w:val="en-US"/>
        </w:rPr>
        <w:t xml:space="preserve"> </w:t>
      </w:r>
      <w:sdt>
        <w:sdtPr>
          <w:rPr>
            <w:lang w:val="en-US"/>
          </w:rPr>
          <w:id w:val="-1553999901"/>
          <w:citation/>
        </w:sdtPr>
        <w:sdtContent>
          <w:r w:rsidR="004679DD" w:rsidRPr="00DD1B58">
            <w:rPr>
              <w:lang w:val="en-US"/>
            </w:rPr>
            <w:fldChar w:fldCharType="begin"/>
          </w:r>
          <w:r w:rsidR="004679DD" w:rsidRPr="00DD1B58">
            <w:rPr>
              <w:lang w:val="en-US"/>
            </w:rPr>
            <w:instrText xml:space="preserve"> CITATION EDF232 \l 2057 </w:instrText>
          </w:r>
          <w:r w:rsidR="004679DD" w:rsidRPr="00DD1B58">
            <w:rPr>
              <w:lang w:val="en-US"/>
            </w:rPr>
            <w:fldChar w:fldCharType="separate"/>
          </w:r>
          <w:r w:rsidR="00DF47DA" w:rsidRPr="00DF47DA">
            <w:rPr>
              <w:noProof/>
              <w:lang w:val="en-US"/>
            </w:rPr>
            <w:t>[26]</w:t>
          </w:r>
          <w:r w:rsidR="004679DD" w:rsidRPr="00DD1B58">
            <w:rPr>
              <w:lang w:val="en-US"/>
            </w:rPr>
            <w:fldChar w:fldCharType="end"/>
          </w:r>
        </w:sdtContent>
      </w:sdt>
      <w:r w:rsidR="00914D53" w:rsidRPr="00DD1B58">
        <w:rPr>
          <w:lang w:val="en-US"/>
        </w:rPr>
        <w:t>.</w:t>
      </w:r>
      <w:r w:rsidR="668EA0E6" w:rsidRPr="00DD1B58">
        <w:rPr>
          <w:lang w:val="en-US"/>
        </w:rPr>
        <w:t xml:space="preserve"> Fires causing other hazards are considered in the safety case and are included on the Internal </w:t>
      </w:r>
      <w:r w:rsidR="00116C40" w:rsidRPr="00DD1B58">
        <w:rPr>
          <w:lang w:val="en-US"/>
        </w:rPr>
        <w:t>Hazard section</w:t>
      </w:r>
      <w:r w:rsidR="668EA0E6" w:rsidRPr="00DD1B58">
        <w:rPr>
          <w:lang w:val="en-US"/>
        </w:rPr>
        <w:t xml:space="preserve"> of the fault schedule. </w:t>
      </w:r>
    </w:p>
    <w:p w14:paraId="3CE56213" w14:textId="4E0304C0" w:rsidR="668EA0E6" w:rsidRPr="00DD1B58" w:rsidRDefault="668EA0E6" w:rsidP="355CB971">
      <w:pPr>
        <w:rPr>
          <w:lang w:val="en-US"/>
        </w:rPr>
      </w:pPr>
      <w:r w:rsidRPr="00DD1B58">
        <w:rPr>
          <w:b/>
          <w:lang w:val="en-US"/>
        </w:rPr>
        <w:t>Sizewell B</w:t>
      </w:r>
      <w:r w:rsidR="002C536B" w:rsidRPr="00DD1B58">
        <w:rPr>
          <w:b/>
          <w:lang w:val="en-US"/>
        </w:rPr>
        <w:t>:</w:t>
      </w:r>
      <w:r w:rsidR="00F452EE" w:rsidRPr="00DD1B58">
        <w:rPr>
          <w:b/>
          <w:lang w:val="en-US"/>
        </w:rPr>
        <w:t xml:space="preserve"> </w:t>
      </w:r>
      <w:r w:rsidR="002C536B" w:rsidRPr="00DD1B58">
        <w:rPr>
          <w:lang w:val="en-US"/>
        </w:rPr>
        <w:t>c</w:t>
      </w:r>
      <w:r w:rsidRPr="00DD1B58">
        <w:rPr>
          <w:lang w:val="en-US"/>
        </w:rPr>
        <w:t xml:space="preserve">onsequential hazards </w:t>
      </w:r>
      <w:r w:rsidR="00CF1988" w:rsidRPr="00DD1B58">
        <w:rPr>
          <w:lang w:val="en-US"/>
        </w:rPr>
        <w:t xml:space="preserve">were </w:t>
      </w:r>
      <w:r w:rsidRPr="00DD1B58">
        <w:rPr>
          <w:lang w:val="en-US"/>
        </w:rPr>
        <w:t xml:space="preserve">considered as part of the </w:t>
      </w:r>
      <w:r w:rsidR="00B42DFD" w:rsidRPr="00DD1B58">
        <w:rPr>
          <w:lang w:val="en-US"/>
        </w:rPr>
        <w:t xml:space="preserve">overall </w:t>
      </w:r>
      <w:r w:rsidRPr="00DD1B58">
        <w:rPr>
          <w:lang w:val="en-US"/>
        </w:rPr>
        <w:t>deterministic assessment</w:t>
      </w:r>
      <w:r w:rsidR="00B42DFD" w:rsidRPr="00DD1B58">
        <w:rPr>
          <w:lang w:val="en-US"/>
        </w:rPr>
        <w:t xml:space="preserve"> and design, including f</w:t>
      </w:r>
      <w:r w:rsidRPr="00DD1B58">
        <w:rPr>
          <w:lang w:val="en-US"/>
        </w:rPr>
        <w:t>ires and</w:t>
      </w:r>
      <w:r w:rsidR="42BBA99C" w:rsidRPr="00DD1B58">
        <w:rPr>
          <w:lang w:val="en-US"/>
        </w:rPr>
        <w:t xml:space="preserve"> </w:t>
      </w:r>
      <w:r w:rsidRPr="00DD1B58">
        <w:rPr>
          <w:lang w:val="en-US"/>
        </w:rPr>
        <w:t>flood</w:t>
      </w:r>
      <w:r w:rsidR="00CF1988" w:rsidRPr="00DD1B58">
        <w:rPr>
          <w:lang w:val="en-US"/>
        </w:rPr>
        <w:t>ing</w:t>
      </w:r>
      <w:r w:rsidRPr="00DD1B58">
        <w:rPr>
          <w:lang w:val="en-US"/>
        </w:rPr>
        <w:t xml:space="preserve"> caused by seismic events. In addition, spurious signals caused by </w:t>
      </w:r>
      <w:r w:rsidR="00CF1988" w:rsidRPr="00DD1B58">
        <w:rPr>
          <w:lang w:val="en-US"/>
        </w:rPr>
        <w:t>‘</w:t>
      </w:r>
      <w:r w:rsidRPr="00DD1B58">
        <w:rPr>
          <w:lang w:val="en-US"/>
        </w:rPr>
        <w:t>hot shorts</w:t>
      </w:r>
      <w:r w:rsidR="00CF1988" w:rsidRPr="00DD1B58">
        <w:rPr>
          <w:lang w:val="en-US"/>
        </w:rPr>
        <w:t>’</w:t>
      </w:r>
      <w:r w:rsidRPr="00DD1B58">
        <w:rPr>
          <w:lang w:val="en-US"/>
        </w:rPr>
        <w:t xml:space="preserve"> and</w:t>
      </w:r>
      <w:r w:rsidR="3FDDC563" w:rsidRPr="00DD1B58">
        <w:rPr>
          <w:lang w:val="en-US"/>
        </w:rPr>
        <w:t xml:space="preserve"> </w:t>
      </w:r>
      <w:r w:rsidRPr="00DD1B58">
        <w:rPr>
          <w:lang w:val="en-US"/>
        </w:rPr>
        <w:t xml:space="preserve">flooding as a consequence of fire </w:t>
      </w:r>
      <w:r w:rsidR="000C1D4C" w:rsidRPr="00DD1B58">
        <w:rPr>
          <w:lang w:val="en-US"/>
        </w:rPr>
        <w:t xml:space="preserve">were </w:t>
      </w:r>
      <w:r w:rsidRPr="00DD1B58">
        <w:rPr>
          <w:lang w:val="en-US"/>
        </w:rPr>
        <w:t xml:space="preserve">deterministically considered. Any </w:t>
      </w:r>
      <w:r w:rsidR="007925BB" w:rsidRPr="00DD1B58">
        <w:rPr>
          <w:lang w:val="en-US"/>
        </w:rPr>
        <w:t xml:space="preserve">hazard combinations deemed </w:t>
      </w:r>
      <w:r w:rsidRPr="00DD1B58">
        <w:rPr>
          <w:lang w:val="en-US"/>
        </w:rPr>
        <w:t>credible</w:t>
      </w:r>
      <w:r w:rsidR="752BB2F8" w:rsidRPr="00DD1B58">
        <w:rPr>
          <w:lang w:val="en-US"/>
        </w:rPr>
        <w:t xml:space="preserve"> </w:t>
      </w:r>
      <w:r w:rsidR="000C1D4C" w:rsidRPr="00DD1B58">
        <w:rPr>
          <w:lang w:val="en-US"/>
        </w:rPr>
        <w:t xml:space="preserve">were </w:t>
      </w:r>
      <w:r w:rsidRPr="00DD1B58">
        <w:rPr>
          <w:lang w:val="en-US"/>
        </w:rPr>
        <w:t>carried forward to the fire PSA</w:t>
      </w:r>
      <w:r w:rsidR="00661ADC" w:rsidRPr="00DD1B58">
        <w:rPr>
          <w:lang w:val="en-US"/>
        </w:rPr>
        <w:t xml:space="preserve"> </w:t>
      </w:r>
      <w:r w:rsidR="007925BB" w:rsidRPr="00DD1B58">
        <w:rPr>
          <w:lang w:val="en-US"/>
        </w:rPr>
        <w:t>and this include</w:t>
      </w:r>
      <w:r w:rsidR="000C1D4C" w:rsidRPr="00DD1B58">
        <w:rPr>
          <w:lang w:val="en-US"/>
        </w:rPr>
        <w:t>d</w:t>
      </w:r>
      <w:r w:rsidR="007925BB" w:rsidRPr="00DD1B58">
        <w:rPr>
          <w:lang w:val="en-US"/>
        </w:rPr>
        <w:t xml:space="preserve"> combination of independent hazards. </w:t>
      </w:r>
    </w:p>
    <w:p w14:paraId="46F0555C" w14:textId="77777777" w:rsidR="0D948B98" w:rsidRPr="00DD1B58" w:rsidRDefault="668EA0E6" w:rsidP="0062501D">
      <w:pPr>
        <w:pStyle w:val="Heading4"/>
        <w:numPr>
          <w:ilvl w:val="4"/>
          <w:numId w:val="3"/>
        </w:numPr>
        <w:rPr>
          <w:lang w:val="en-US"/>
        </w:rPr>
      </w:pPr>
      <w:r w:rsidRPr="00DD1B58">
        <w:rPr>
          <w:lang w:val="en-US"/>
        </w:rPr>
        <w:t>Consideration of internal fires</w:t>
      </w:r>
    </w:p>
    <w:p w14:paraId="0D0777D4" w14:textId="60A2D2FA" w:rsidR="668EA0E6" w:rsidRPr="00DD1B58" w:rsidRDefault="668EA0E6" w:rsidP="355CB971">
      <w:pPr>
        <w:rPr>
          <w:lang w:val="en-US"/>
        </w:rPr>
      </w:pPr>
      <w:r w:rsidRPr="00DD1B58">
        <w:rPr>
          <w:b/>
          <w:lang w:val="en-US"/>
        </w:rPr>
        <w:t>General</w:t>
      </w:r>
      <w:r w:rsidR="002C536B" w:rsidRPr="00DD1B58">
        <w:rPr>
          <w:b/>
          <w:lang w:val="en-US"/>
        </w:rPr>
        <w:t>:</w:t>
      </w:r>
      <w:r w:rsidR="00F452EE" w:rsidRPr="00DD1B58">
        <w:rPr>
          <w:b/>
          <w:lang w:val="en-US"/>
        </w:rPr>
        <w:t xml:space="preserve"> </w:t>
      </w:r>
      <w:r w:rsidR="002C536B" w:rsidRPr="00DD1B58">
        <w:rPr>
          <w:lang w:val="en-US"/>
        </w:rPr>
        <w:t>p</w:t>
      </w:r>
      <w:r w:rsidRPr="00DD1B58">
        <w:rPr>
          <w:lang w:val="en-US"/>
        </w:rPr>
        <w:t>otential internal</w:t>
      </w:r>
      <w:r w:rsidR="00F76034" w:rsidRPr="00DD1B58">
        <w:rPr>
          <w:lang w:val="en-US"/>
        </w:rPr>
        <w:t xml:space="preserve">ly </w:t>
      </w:r>
      <w:r w:rsidRPr="00DD1B58">
        <w:rPr>
          <w:lang w:val="en-US"/>
        </w:rPr>
        <w:t>induced fires include</w:t>
      </w:r>
      <w:r w:rsidR="000C1D4C" w:rsidRPr="00DD1B58">
        <w:rPr>
          <w:lang w:val="en-US"/>
        </w:rPr>
        <w:t>d</w:t>
      </w:r>
      <w:r w:rsidRPr="00DD1B58">
        <w:rPr>
          <w:lang w:val="en-US"/>
        </w:rPr>
        <w:t xml:space="preserve"> those </w:t>
      </w:r>
      <w:r w:rsidR="000C1D4C" w:rsidRPr="00DD1B58">
        <w:rPr>
          <w:lang w:val="en-US"/>
        </w:rPr>
        <w:t xml:space="preserve">arising from </w:t>
      </w:r>
      <w:r w:rsidRPr="00DD1B58">
        <w:rPr>
          <w:lang w:val="en-US"/>
        </w:rPr>
        <w:t>turbine disintegration</w:t>
      </w:r>
      <w:r w:rsidR="000C1D4C" w:rsidRPr="00DD1B58">
        <w:rPr>
          <w:lang w:val="en-US"/>
        </w:rPr>
        <w:t xml:space="preserve"> events, oil fires from failure of pump oil pipes, oil leaks and fires caused by </w:t>
      </w:r>
      <w:r w:rsidRPr="00DD1B58">
        <w:rPr>
          <w:lang w:val="en-US"/>
        </w:rPr>
        <w:t>dropped loads</w:t>
      </w:r>
      <w:r w:rsidR="002C536B" w:rsidRPr="00DD1B58">
        <w:rPr>
          <w:lang w:val="en-US"/>
        </w:rPr>
        <w:t>.</w:t>
      </w:r>
      <w:r w:rsidRPr="00DD1B58">
        <w:rPr>
          <w:lang w:val="en-US"/>
        </w:rPr>
        <w:t xml:space="preserve"> </w:t>
      </w:r>
      <w:r w:rsidR="00C362CA" w:rsidRPr="00DD1B58">
        <w:rPr>
          <w:lang w:val="en-US"/>
        </w:rPr>
        <w:t>EDF NGL</w:t>
      </w:r>
      <w:r w:rsidRPr="00DD1B58">
        <w:rPr>
          <w:lang w:val="en-US"/>
        </w:rPr>
        <w:t xml:space="preserve"> assume</w:t>
      </w:r>
      <w:r w:rsidR="00B455E6" w:rsidRPr="00DD1B58">
        <w:rPr>
          <w:lang w:val="en-US"/>
        </w:rPr>
        <w:t>s</w:t>
      </w:r>
      <w:r w:rsidRPr="00DD1B58">
        <w:rPr>
          <w:lang w:val="en-US"/>
        </w:rPr>
        <w:t xml:space="preserve"> that such events </w:t>
      </w:r>
      <w:r w:rsidR="00B455E6" w:rsidRPr="00DD1B58">
        <w:rPr>
          <w:lang w:val="en-US"/>
        </w:rPr>
        <w:t xml:space="preserve">would </w:t>
      </w:r>
      <w:r w:rsidRPr="00DD1B58">
        <w:rPr>
          <w:lang w:val="en-US"/>
        </w:rPr>
        <w:t xml:space="preserve">result in a fire rather than </w:t>
      </w:r>
      <w:r w:rsidR="00B455E6" w:rsidRPr="00DD1B58">
        <w:rPr>
          <w:lang w:val="en-US"/>
        </w:rPr>
        <w:t xml:space="preserve">relying on </w:t>
      </w:r>
      <w:r w:rsidRPr="00DD1B58">
        <w:rPr>
          <w:lang w:val="en-US"/>
        </w:rPr>
        <w:t>ignition analys</w:t>
      </w:r>
      <w:r w:rsidR="00B455E6" w:rsidRPr="00DD1B58">
        <w:rPr>
          <w:lang w:val="en-US"/>
        </w:rPr>
        <w:t>e</w:t>
      </w:r>
      <w:r w:rsidRPr="00DD1B58">
        <w:rPr>
          <w:lang w:val="en-US"/>
        </w:rPr>
        <w:t>s.</w:t>
      </w:r>
    </w:p>
    <w:p w14:paraId="728CA57A" w14:textId="52695734" w:rsidR="668EA0E6" w:rsidRPr="00DD1B58" w:rsidRDefault="003051D8" w:rsidP="355CB971">
      <w:pPr>
        <w:rPr>
          <w:lang w:val="en-US"/>
        </w:rPr>
      </w:pPr>
      <w:r w:rsidRPr="00DD1B58">
        <w:rPr>
          <w:lang w:val="en-US"/>
        </w:rPr>
        <w:lastRenderedPageBreak/>
        <w:t>For seismically</w:t>
      </w:r>
      <w:r w:rsidR="00F76034" w:rsidRPr="00DD1B58">
        <w:rPr>
          <w:lang w:val="en-US"/>
        </w:rPr>
        <w:t xml:space="preserve"> </w:t>
      </w:r>
      <w:r w:rsidRPr="00DD1B58">
        <w:rPr>
          <w:lang w:val="en-US"/>
        </w:rPr>
        <w:t>induced fires</w:t>
      </w:r>
      <w:r w:rsidR="008A5D06" w:rsidRPr="00DD1B58">
        <w:rPr>
          <w:lang w:val="en-US"/>
        </w:rPr>
        <w:t xml:space="preserve">, wherein </w:t>
      </w:r>
      <w:r w:rsidRPr="00DD1B58">
        <w:rPr>
          <w:lang w:val="en-US"/>
        </w:rPr>
        <w:t>the seismic event causes failure of the</w:t>
      </w:r>
      <w:r w:rsidR="668EA0E6" w:rsidRPr="00DD1B58">
        <w:rPr>
          <w:lang w:val="en-US"/>
        </w:rPr>
        <w:t xml:space="preserve"> fire barrier</w:t>
      </w:r>
      <w:r w:rsidR="008A5D06" w:rsidRPr="00DD1B58">
        <w:rPr>
          <w:lang w:val="en-US"/>
        </w:rPr>
        <w:t>,</w:t>
      </w:r>
      <w:r w:rsidR="668EA0E6" w:rsidRPr="00DD1B58">
        <w:rPr>
          <w:lang w:val="en-US"/>
        </w:rPr>
        <w:t xml:space="preserve"> </w:t>
      </w:r>
      <w:r w:rsidR="00C31939" w:rsidRPr="00DD1B58">
        <w:rPr>
          <w:lang w:val="en-US"/>
        </w:rPr>
        <w:t>the</w:t>
      </w:r>
      <w:r w:rsidRPr="00DD1B58">
        <w:rPr>
          <w:lang w:val="en-US"/>
        </w:rPr>
        <w:t xml:space="preserve"> potential for the fire to</w:t>
      </w:r>
      <w:r w:rsidR="668EA0E6" w:rsidRPr="00DD1B58">
        <w:rPr>
          <w:lang w:val="en-US"/>
        </w:rPr>
        <w:t xml:space="preserve"> spread to the nuclear island </w:t>
      </w:r>
      <w:r w:rsidR="00C31939" w:rsidRPr="00DD1B58">
        <w:rPr>
          <w:lang w:val="en-US"/>
        </w:rPr>
        <w:t xml:space="preserve">is addressed by </w:t>
      </w:r>
      <w:r w:rsidR="668EA0E6" w:rsidRPr="00DD1B58">
        <w:rPr>
          <w:lang w:val="en-US"/>
        </w:rPr>
        <w:t>the design</w:t>
      </w:r>
      <w:r w:rsidRPr="00DD1B58">
        <w:rPr>
          <w:lang w:val="en-US"/>
        </w:rPr>
        <w:t>’s</w:t>
      </w:r>
      <w:r w:rsidR="668EA0E6" w:rsidRPr="00DD1B58">
        <w:rPr>
          <w:lang w:val="en-US"/>
        </w:rPr>
        <w:t xml:space="preserve"> fire segregation</w:t>
      </w:r>
      <w:r w:rsidR="008A5D06" w:rsidRPr="00DD1B58">
        <w:rPr>
          <w:lang w:val="en-US"/>
        </w:rPr>
        <w:t xml:space="preserve">. This ensures </w:t>
      </w:r>
      <w:r w:rsidR="00C31939" w:rsidRPr="00DD1B58">
        <w:rPr>
          <w:lang w:val="en-US"/>
        </w:rPr>
        <w:t>the fire</w:t>
      </w:r>
      <w:r w:rsidR="668EA0E6" w:rsidRPr="00DD1B58">
        <w:rPr>
          <w:lang w:val="en-US"/>
        </w:rPr>
        <w:t xml:space="preserve"> would</w:t>
      </w:r>
      <w:r w:rsidR="736C7253" w:rsidRPr="00DD1B58">
        <w:rPr>
          <w:lang w:val="en-US"/>
        </w:rPr>
        <w:t xml:space="preserve"> </w:t>
      </w:r>
      <w:r w:rsidR="668EA0E6" w:rsidRPr="00DD1B58">
        <w:rPr>
          <w:lang w:val="en-US"/>
        </w:rPr>
        <w:t>not spread to the backup systems</w:t>
      </w:r>
      <w:r w:rsidR="008A5D06" w:rsidRPr="00DD1B58">
        <w:rPr>
          <w:lang w:val="en-US"/>
        </w:rPr>
        <w:t>,</w:t>
      </w:r>
      <w:r w:rsidR="668EA0E6" w:rsidRPr="00DD1B58">
        <w:rPr>
          <w:lang w:val="en-US"/>
        </w:rPr>
        <w:t xml:space="preserve"> </w:t>
      </w:r>
      <w:r w:rsidR="00C31939" w:rsidRPr="00DD1B58">
        <w:rPr>
          <w:lang w:val="en-US"/>
        </w:rPr>
        <w:t xml:space="preserve">which are remotely located in </w:t>
      </w:r>
      <w:r w:rsidR="668EA0E6" w:rsidRPr="00DD1B58">
        <w:rPr>
          <w:lang w:val="en-US"/>
        </w:rPr>
        <w:t>separate buildings.</w:t>
      </w:r>
    </w:p>
    <w:p w14:paraId="18B532A2" w14:textId="5832018A" w:rsidR="1C9AEC39" w:rsidRPr="00DD1B58" w:rsidRDefault="1C9AEC39" w:rsidP="355CB971">
      <w:pPr>
        <w:rPr>
          <w:lang w:val="en-US"/>
        </w:rPr>
      </w:pPr>
      <w:r w:rsidRPr="00DD1B58">
        <w:rPr>
          <w:b/>
          <w:lang w:val="en-US"/>
        </w:rPr>
        <w:t>First Generation AGRs (</w:t>
      </w:r>
      <w:r w:rsidR="001B49D0" w:rsidRPr="00DD1B58">
        <w:rPr>
          <w:b/>
          <w:lang w:val="en-US"/>
        </w:rPr>
        <w:t>HN</w:t>
      </w:r>
      <w:r w:rsidRPr="00DD1B58">
        <w:rPr>
          <w:b/>
          <w:lang w:val="en-US"/>
        </w:rPr>
        <w:t>B)</w:t>
      </w:r>
      <w:r w:rsidR="002C536B" w:rsidRPr="00DD1B58">
        <w:rPr>
          <w:b/>
          <w:lang w:val="en-US"/>
        </w:rPr>
        <w:t>:</w:t>
      </w:r>
      <w:r w:rsidR="00F452EE" w:rsidRPr="00DD1B58">
        <w:rPr>
          <w:b/>
          <w:lang w:val="en-US"/>
        </w:rPr>
        <w:t xml:space="preserve"> </w:t>
      </w:r>
      <w:r w:rsidR="002C536B" w:rsidRPr="00DD1B58">
        <w:rPr>
          <w:lang w:val="en-US"/>
        </w:rPr>
        <w:t>t</w:t>
      </w:r>
      <w:r w:rsidRPr="00DD1B58">
        <w:rPr>
          <w:lang w:val="en-US"/>
        </w:rPr>
        <w:t>he above general considerations apply.</w:t>
      </w:r>
    </w:p>
    <w:p w14:paraId="7A642752" w14:textId="585F564C" w:rsidR="1C9AEC39" w:rsidRPr="00DD1B58" w:rsidRDefault="1C9AEC39" w:rsidP="355CB971">
      <w:pPr>
        <w:rPr>
          <w:lang w:val="en-US"/>
        </w:rPr>
      </w:pPr>
      <w:r w:rsidRPr="00DD1B58">
        <w:rPr>
          <w:b/>
          <w:lang w:val="en-US"/>
        </w:rPr>
        <w:t xml:space="preserve">Second </w:t>
      </w:r>
      <w:r w:rsidR="00EA2C6B" w:rsidRPr="00DD1B58">
        <w:rPr>
          <w:b/>
          <w:lang w:val="en-US"/>
        </w:rPr>
        <w:t xml:space="preserve">generation </w:t>
      </w:r>
      <w:r w:rsidRPr="00DD1B58">
        <w:rPr>
          <w:b/>
          <w:lang w:val="en-US"/>
        </w:rPr>
        <w:t>AGRs (</w:t>
      </w:r>
      <w:r w:rsidR="001B49D0" w:rsidRPr="00DD1B58">
        <w:rPr>
          <w:b/>
          <w:lang w:val="en-US"/>
        </w:rPr>
        <w:t>H</w:t>
      </w:r>
      <w:r w:rsidR="003B7B84" w:rsidRPr="00DD1B58">
        <w:rPr>
          <w:b/>
          <w:lang w:val="en-US"/>
        </w:rPr>
        <w:t>Y</w:t>
      </w:r>
      <w:r w:rsidRPr="00DD1B58">
        <w:rPr>
          <w:b/>
          <w:lang w:val="en-US"/>
        </w:rPr>
        <w:t>2)</w:t>
      </w:r>
      <w:r w:rsidR="00EA2C6B" w:rsidRPr="00DD1B58">
        <w:rPr>
          <w:b/>
          <w:lang w:val="en-US"/>
        </w:rPr>
        <w:t>:</w:t>
      </w:r>
      <w:r w:rsidR="00F452EE" w:rsidRPr="00DD1B58">
        <w:rPr>
          <w:b/>
          <w:lang w:val="en-US"/>
        </w:rPr>
        <w:t xml:space="preserve"> </w:t>
      </w:r>
      <w:r w:rsidR="00EA2C6B" w:rsidRPr="00DD1B58">
        <w:rPr>
          <w:lang w:val="en-US"/>
        </w:rPr>
        <w:t>t</w:t>
      </w:r>
      <w:r w:rsidRPr="00DD1B58">
        <w:rPr>
          <w:lang w:val="en-US"/>
        </w:rPr>
        <w:t xml:space="preserve">he HY2 (and </w:t>
      </w:r>
      <w:r w:rsidR="00841958" w:rsidRPr="00DD1B58">
        <w:rPr>
          <w:lang w:val="en-US"/>
        </w:rPr>
        <w:t>TOR</w:t>
      </w:r>
      <w:r w:rsidRPr="00DD1B58">
        <w:rPr>
          <w:lang w:val="en-US"/>
        </w:rPr>
        <w:t xml:space="preserve">) PSAs model the full suite of credible internal hazards </w:t>
      </w:r>
      <w:r w:rsidR="00EA2C6B" w:rsidRPr="00DD1B58">
        <w:rPr>
          <w:lang w:val="en-US"/>
        </w:rPr>
        <w:t xml:space="preserve">that </w:t>
      </w:r>
      <w:r w:rsidRPr="00DD1B58">
        <w:rPr>
          <w:lang w:val="en-US"/>
        </w:rPr>
        <w:t xml:space="preserve">have the potential to challenge nuclear safety, and </w:t>
      </w:r>
      <w:r w:rsidR="00133964" w:rsidRPr="00DD1B58">
        <w:rPr>
          <w:lang w:val="en-US"/>
        </w:rPr>
        <w:t>this</w:t>
      </w:r>
      <w:r w:rsidRPr="00DD1B58">
        <w:rPr>
          <w:lang w:val="en-US"/>
        </w:rPr>
        <w:t xml:space="preserve"> includes fire. </w:t>
      </w:r>
      <w:r w:rsidR="004E5780" w:rsidRPr="00DD1B58">
        <w:rPr>
          <w:lang w:val="en-US"/>
        </w:rPr>
        <w:t>They are</w:t>
      </w:r>
      <w:r w:rsidRPr="00DD1B58">
        <w:rPr>
          <w:lang w:val="en-US"/>
        </w:rPr>
        <w:t xml:space="preserve"> identified in the fault schedule</w:t>
      </w:r>
      <w:r w:rsidR="004E5780" w:rsidRPr="00DD1B58">
        <w:rPr>
          <w:lang w:val="en-US"/>
        </w:rPr>
        <w:t xml:space="preserve"> and a</w:t>
      </w:r>
      <w:r w:rsidRPr="00DD1B58">
        <w:rPr>
          <w:lang w:val="en-US"/>
        </w:rPr>
        <w:t xml:space="preserve"> high</w:t>
      </w:r>
      <w:r w:rsidR="00133964" w:rsidRPr="00DD1B58">
        <w:rPr>
          <w:lang w:val="en-US"/>
        </w:rPr>
        <w:t>-</w:t>
      </w:r>
      <w:r w:rsidRPr="00DD1B58">
        <w:rPr>
          <w:lang w:val="en-US"/>
        </w:rPr>
        <w:t>level summary is presented in the PSA</w:t>
      </w:r>
      <w:r w:rsidR="004E5780" w:rsidRPr="00DD1B58">
        <w:rPr>
          <w:lang w:val="en-US"/>
        </w:rPr>
        <w:t>’s</w:t>
      </w:r>
      <w:r w:rsidRPr="00DD1B58">
        <w:rPr>
          <w:lang w:val="en-US"/>
        </w:rPr>
        <w:t xml:space="preserve"> main report.</w:t>
      </w:r>
    </w:p>
    <w:p w14:paraId="6F457703" w14:textId="3539F805" w:rsidR="1C9AEC39" w:rsidRPr="00DD1B58" w:rsidRDefault="00C362CA" w:rsidP="355CB971">
      <w:pPr>
        <w:rPr>
          <w:lang w:val="en-US"/>
        </w:rPr>
      </w:pPr>
      <w:r w:rsidRPr="00DD1B58">
        <w:rPr>
          <w:lang w:val="en-US"/>
        </w:rPr>
        <w:t>EDF NGL</w:t>
      </w:r>
      <w:r w:rsidR="00537496" w:rsidRPr="00DD1B58">
        <w:rPr>
          <w:lang w:val="en-US"/>
        </w:rPr>
        <w:t xml:space="preserve"> routinely updates i</w:t>
      </w:r>
      <w:r w:rsidR="1C9AEC39" w:rsidRPr="00DD1B58">
        <w:rPr>
          <w:lang w:val="en-US"/>
        </w:rPr>
        <w:t xml:space="preserve">nitiating event frequencies (IEFs) as an integral part of the work programme </w:t>
      </w:r>
      <w:r w:rsidR="00537496" w:rsidRPr="00DD1B58">
        <w:rPr>
          <w:lang w:val="en-US"/>
        </w:rPr>
        <w:t xml:space="preserve">to </w:t>
      </w:r>
      <w:r w:rsidR="1C9AEC39" w:rsidRPr="00DD1B58">
        <w:rPr>
          <w:lang w:val="en-US"/>
        </w:rPr>
        <w:t xml:space="preserve">maintain fidelity between the PSA, plant and operating experience. The PSA is reviewed and updated annually, with a major update produced every three years. The major update is based on interim analyses, engineering changes and station data reviews, hence an update to the PSA fault schedule is included within its scope. It is the intention that the revised </w:t>
      </w:r>
      <w:r w:rsidR="00621898" w:rsidRPr="00DD1B58">
        <w:rPr>
          <w:lang w:val="en-US"/>
        </w:rPr>
        <w:t>i</w:t>
      </w:r>
      <w:r w:rsidR="1C9AEC39" w:rsidRPr="00DD1B58">
        <w:rPr>
          <w:lang w:val="en-US"/>
        </w:rPr>
        <w:t xml:space="preserve">nitiating </w:t>
      </w:r>
      <w:r w:rsidR="00621898" w:rsidRPr="00DD1B58">
        <w:rPr>
          <w:lang w:val="en-US"/>
        </w:rPr>
        <w:t>e</w:t>
      </w:r>
      <w:r w:rsidR="1C9AEC39" w:rsidRPr="00DD1B58">
        <w:rPr>
          <w:lang w:val="en-US"/>
        </w:rPr>
        <w:t xml:space="preserve">vent </w:t>
      </w:r>
      <w:r w:rsidR="00621898" w:rsidRPr="00DD1B58">
        <w:rPr>
          <w:lang w:val="en-US"/>
        </w:rPr>
        <w:t>f</w:t>
      </w:r>
      <w:r w:rsidR="1C9AEC39" w:rsidRPr="00DD1B58">
        <w:rPr>
          <w:lang w:val="en-US"/>
        </w:rPr>
        <w:t>requencies arising from a major update of the PSA are readily available and accessible for safety case review and assessment.</w:t>
      </w:r>
    </w:p>
    <w:p w14:paraId="56F3A29A" w14:textId="77777777" w:rsidR="1C9AEC39" w:rsidRPr="00DD1B58" w:rsidRDefault="1C9AEC39" w:rsidP="355CB971">
      <w:pPr>
        <w:rPr>
          <w:lang w:val="en-US"/>
        </w:rPr>
      </w:pPr>
      <w:r w:rsidRPr="00DD1B58">
        <w:rPr>
          <w:lang w:val="en-US"/>
        </w:rPr>
        <w:t>Three levels of PSA are generally recognised:</w:t>
      </w:r>
    </w:p>
    <w:p w14:paraId="5BB1D92B" w14:textId="3A6F8A63" w:rsidR="1C9AEC39" w:rsidRPr="00DD1B58" w:rsidRDefault="1C9AEC39" w:rsidP="00973FF4">
      <w:pPr>
        <w:pStyle w:val="Bulletlist1"/>
        <w:rPr>
          <w:lang w:val="en-US"/>
        </w:rPr>
      </w:pPr>
      <w:r w:rsidRPr="00DD1B58">
        <w:rPr>
          <w:lang w:val="en-US"/>
        </w:rPr>
        <w:t xml:space="preserve">Level 1: </w:t>
      </w:r>
      <w:r w:rsidR="00EA2C6B" w:rsidRPr="00DD1B58">
        <w:rPr>
          <w:lang w:val="en-US"/>
        </w:rPr>
        <w:t>t</w:t>
      </w:r>
      <w:r w:rsidRPr="00DD1B58">
        <w:rPr>
          <w:lang w:val="en-US"/>
        </w:rPr>
        <w:t>he assessment of plant failures leading to determination of the frequency of core damage</w:t>
      </w:r>
      <w:r w:rsidR="00EA2C6B" w:rsidRPr="00DD1B58">
        <w:rPr>
          <w:lang w:val="en-US"/>
        </w:rPr>
        <w:t>;</w:t>
      </w:r>
    </w:p>
    <w:p w14:paraId="50E51DB0" w14:textId="45CE2367" w:rsidR="1C9AEC39" w:rsidRPr="00DD1B58" w:rsidRDefault="1C9AEC39" w:rsidP="00973FF4">
      <w:pPr>
        <w:pStyle w:val="Bulletlist1"/>
        <w:rPr>
          <w:lang w:val="en-US"/>
        </w:rPr>
      </w:pPr>
      <w:r w:rsidRPr="00DD1B58">
        <w:rPr>
          <w:lang w:val="en-US"/>
        </w:rPr>
        <w:t xml:space="preserve">Level 2: </w:t>
      </w:r>
      <w:r w:rsidR="00EA2C6B" w:rsidRPr="00DD1B58">
        <w:rPr>
          <w:lang w:val="en-US"/>
        </w:rPr>
        <w:t>t</w:t>
      </w:r>
      <w:r w:rsidRPr="00DD1B58">
        <w:rPr>
          <w:lang w:val="en-US"/>
        </w:rPr>
        <w:t xml:space="preserve">he assessment of containment response, leading, together with </w:t>
      </w:r>
      <w:r w:rsidR="00446525" w:rsidRPr="00DD1B58">
        <w:rPr>
          <w:lang w:val="en-US"/>
        </w:rPr>
        <w:t xml:space="preserve">level </w:t>
      </w:r>
      <w:r w:rsidRPr="00DD1B58">
        <w:rPr>
          <w:lang w:val="en-US"/>
        </w:rPr>
        <w:t>1 results, to the determination of frequencies of containment failure and release to the environment of a given quantity of the reactor core’s inventory of radionuclides</w:t>
      </w:r>
      <w:r w:rsidR="00EA2C6B" w:rsidRPr="00DD1B58">
        <w:rPr>
          <w:lang w:val="en-US"/>
        </w:rPr>
        <w:t>; and</w:t>
      </w:r>
    </w:p>
    <w:p w14:paraId="00B0C554" w14:textId="42B2D7D9" w:rsidR="1C9AEC39" w:rsidRPr="00DD1B58" w:rsidRDefault="1C9AEC39" w:rsidP="00973FF4">
      <w:pPr>
        <w:pStyle w:val="Bulletlist1"/>
        <w:rPr>
          <w:lang w:val="en-US"/>
        </w:rPr>
      </w:pPr>
      <w:r w:rsidRPr="00DD1B58">
        <w:rPr>
          <w:lang w:val="en-US"/>
        </w:rPr>
        <w:t xml:space="preserve">Level 3: </w:t>
      </w:r>
      <w:r w:rsidR="00EA2C6B" w:rsidRPr="00DD1B58">
        <w:rPr>
          <w:lang w:val="en-US"/>
        </w:rPr>
        <w:t>t</w:t>
      </w:r>
      <w:r w:rsidRPr="00DD1B58">
        <w:rPr>
          <w:lang w:val="en-US"/>
        </w:rPr>
        <w:t xml:space="preserve">he assessment of off-site consequences, leading, together with the results of </w:t>
      </w:r>
      <w:r w:rsidR="00446525" w:rsidRPr="00DD1B58">
        <w:rPr>
          <w:lang w:val="en-US"/>
        </w:rPr>
        <w:t xml:space="preserve">level </w:t>
      </w:r>
      <w:r w:rsidRPr="00DD1B58">
        <w:rPr>
          <w:lang w:val="en-US"/>
        </w:rPr>
        <w:t>2 analysis, to estimates of public risk.</w:t>
      </w:r>
    </w:p>
    <w:p w14:paraId="188ED992" w14:textId="77777777" w:rsidR="1C9AEC39" w:rsidRPr="00DD1B58" w:rsidRDefault="1C9AEC39" w:rsidP="355CB971">
      <w:pPr>
        <w:rPr>
          <w:lang w:val="en-US"/>
        </w:rPr>
      </w:pPr>
      <w:r w:rsidRPr="00DD1B58">
        <w:rPr>
          <w:lang w:val="en-US"/>
        </w:rPr>
        <w:t xml:space="preserve">These levels have been developed with LWRs in mind and </w:t>
      </w:r>
      <w:r w:rsidR="00C85DE7" w:rsidRPr="00DD1B58">
        <w:rPr>
          <w:lang w:val="en-US"/>
        </w:rPr>
        <w:t xml:space="preserve">are </w:t>
      </w:r>
      <w:r w:rsidRPr="00DD1B58">
        <w:rPr>
          <w:lang w:val="en-US"/>
        </w:rPr>
        <w:t>therefore not directly applicable to AGRs.</w:t>
      </w:r>
    </w:p>
    <w:p w14:paraId="16773AD3" w14:textId="60BD7243" w:rsidR="1C9AEC39" w:rsidRPr="00DD1B58" w:rsidRDefault="00C362CA" w:rsidP="00AC7E51">
      <w:pPr>
        <w:rPr>
          <w:lang w:val="en-US"/>
        </w:rPr>
      </w:pPr>
      <w:r w:rsidRPr="00DD1B58">
        <w:rPr>
          <w:lang w:val="en-US"/>
        </w:rPr>
        <w:t>EDF NGL</w:t>
      </w:r>
      <w:r w:rsidR="00C85DE7" w:rsidRPr="00DD1B58">
        <w:rPr>
          <w:lang w:val="en-US"/>
        </w:rPr>
        <w:t xml:space="preserve"> considers that an </w:t>
      </w:r>
      <w:r w:rsidR="1C9AEC39" w:rsidRPr="00DD1B58">
        <w:rPr>
          <w:lang w:val="en-US"/>
        </w:rPr>
        <w:t xml:space="preserve">AGR PSA lies somewhere between the definitions </w:t>
      </w:r>
      <w:r w:rsidR="00C85DE7" w:rsidRPr="00DD1B58">
        <w:rPr>
          <w:lang w:val="en-US"/>
        </w:rPr>
        <w:t xml:space="preserve">of </w:t>
      </w:r>
      <w:r w:rsidR="1C9AEC39" w:rsidRPr="00DD1B58">
        <w:rPr>
          <w:lang w:val="en-US"/>
        </w:rPr>
        <w:t xml:space="preserve">a </w:t>
      </w:r>
      <w:r w:rsidR="00446525" w:rsidRPr="00DD1B58">
        <w:rPr>
          <w:lang w:val="en-US"/>
        </w:rPr>
        <w:t xml:space="preserve">level </w:t>
      </w:r>
      <w:r w:rsidR="1C9AEC39" w:rsidRPr="00DD1B58">
        <w:rPr>
          <w:lang w:val="en-US"/>
        </w:rPr>
        <w:t xml:space="preserve">1 and </w:t>
      </w:r>
      <w:r w:rsidR="00446525" w:rsidRPr="00DD1B58">
        <w:rPr>
          <w:lang w:val="en-US"/>
        </w:rPr>
        <w:t xml:space="preserve">level </w:t>
      </w:r>
      <w:r w:rsidR="1C9AEC39" w:rsidRPr="00DD1B58">
        <w:rPr>
          <w:lang w:val="en-US"/>
        </w:rPr>
        <w:t xml:space="preserve">2 PSA. For an AGR, a direct core damage sequence would be one that stops at pin failures. However, an AGR PSA goes further and provides consequences which distinguish the size of the release. A </w:t>
      </w:r>
      <w:r w:rsidR="00446525" w:rsidRPr="00DD1B58">
        <w:rPr>
          <w:lang w:val="en-US"/>
        </w:rPr>
        <w:t xml:space="preserve">level </w:t>
      </w:r>
      <w:r w:rsidR="1C9AEC39" w:rsidRPr="00DD1B58">
        <w:rPr>
          <w:lang w:val="en-US"/>
        </w:rPr>
        <w:t>2 PSA includes the protection systems and operator actions that mitigate the consequences of core damage by containing the release and/or reducing the size of the release. This concept applies for reactors which</w:t>
      </w:r>
      <w:r w:rsidR="3A0E11E1" w:rsidRPr="00DD1B58">
        <w:rPr>
          <w:lang w:val="en-US"/>
        </w:rPr>
        <w:t xml:space="preserve"> </w:t>
      </w:r>
      <w:r w:rsidR="1C9AEC39" w:rsidRPr="00DD1B58">
        <w:rPr>
          <w:lang w:val="en-US"/>
        </w:rPr>
        <w:t>have containment</w:t>
      </w:r>
      <w:r w:rsidR="001679BB" w:rsidRPr="00DD1B58">
        <w:rPr>
          <w:lang w:val="en-US"/>
        </w:rPr>
        <w:t>;</w:t>
      </w:r>
      <w:r w:rsidR="1C9AEC39" w:rsidRPr="00DD1B58">
        <w:rPr>
          <w:lang w:val="en-US"/>
        </w:rPr>
        <w:t xml:space="preserve"> the AGRs do not have a containment</w:t>
      </w:r>
      <w:r w:rsidR="001679BB" w:rsidRPr="00DD1B58">
        <w:rPr>
          <w:lang w:val="en-US"/>
        </w:rPr>
        <w:t xml:space="preserve">, so </w:t>
      </w:r>
      <w:r w:rsidR="0080492A" w:rsidRPr="00DD1B58">
        <w:rPr>
          <w:lang w:val="en-US"/>
        </w:rPr>
        <w:t>t</w:t>
      </w:r>
      <w:r w:rsidR="1C9AEC39" w:rsidRPr="00DD1B58">
        <w:rPr>
          <w:lang w:val="en-US"/>
        </w:rPr>
        <w:t>his type of analysis is not performed</w:t>
      </w:r>
      <w:r w:rsidR="001679BB" w:rsidRPr="00DD1B58">
        <w:rPr>
          <w:lang w:val="en-US"/>
        </w:rPr>
        <w:t>.</w:t>
      </w:r>
      <w:r w:rsidR="1C9AEC39" w:rsidRPr="00DD1B58">
        <w:rPr>
          <w:lang w:val="en-US"/>
        </w:rPr>
        <w:t xml:space="preserve"> </w:t>
      </w:r>
      <w:r w:rsidR="001679BB" w:rsidRPr="00DD1B58">
        <w:rPr>
          <w:lang w:val="en-US"/>
        </w:rPr>
        <w:t>T</w:t>
      </w:r>
      <w:r w:rsidR="1C9AEC39" w:rsidRPr="00DD1B58">
        <w:rPr>
          <w:lang w:val="en-US"/>
        </w:rPr>
        <w:t>he size of the release is estimated but it does not</w:t>
      </w:r>
      <w:r w:rsidR="6A326FA7" w:rsidRPr="00DD1B58">
        <w:rPr>
          <w:lang w:val="en-US"/>
        </w:rPr>
        <w:t xml:space="preserve"> </w:t>
      </w:r>
      <w:r w:rsidR="1C9AEC39" w:rsidRPr="00DD1B58">
        <w:rPr>
          <w:lang w:val="en-US"/>
        </w:rPr>
        <w:t>qualify as a complete level 2 PSA as it does not model what happens to the core as it degrades. A</w:t>
      </w:r>
      <w:r w:rsidR="4FF13908" w:rsidRPr="00DD1B58">
        <w:rPr>
          <w:lang w:val="en-US"/>
        </w:rPr>
        <w:t xml:space="preserve"> </w:t>
      </w:r>
      <w:r w:rsidR="1C9AEC39" w:rsidRPr="00DD1B58">
        <w:rPr>
          <w:lang w:val="en-US"/>
        </w:rPr>
        <w:t>complete level 2 would require operator actions to be included in the Severe Accident Guidelines</w:t>
      </w:r>
      <w:r w:rsidR="4CE22A50" w:rsidRPr="00DD1B58">
        <w:rPr>
          <w:lang w:val="en-US"/>
        </w:rPr>
        <w:t xml:space="preserve"> </w:t>
      </w:r>
      <w:r w:rsidR="1C9AEC39" w:rsidRPr="00DD1B58">
        <w:rPr>
          <w:lang w:val="en-US"/>
        </w:rPr>
        <w:t>(SAGs).</w:t>
      </w:r>
      <w:r w:rsidR="00F3191A" w:rsidRPr="00DD1B58">
        <w:rPr>
          <w:lang w:val="en-US"/>
        </w:rPr>
        <w:t xml:space="preserve"> </w:t>
      </w:r>
      <w:r w:rsidR="1C9AEC39" w:rsidRPr="00DD1B58">
        <w:rPr>
          <w:lang w:val="en-US"/>
        </w:rPr>
        <w:t>A level 3 PSA converts a release size to individual risk due to that release. This has not been specifically</w:t>
      </w:r>
      <w:r w:rsidR="42ADDC1E" w:rsidRPr="00DD1B58">
        <w:rPr>
          <w:lang w:val="en-US"/>
        </w:rPr>
        <w:t xml:space="preserve"> </w:t>
      </w:r>
      <w:r w:rsidR="1C9AEC39" w:rsidRPr="00DD1B58">
        <w:rPr>
          <w:lang w:val="en-US"/>
        </w:rPr>
        <w:t>performed for AGRs. For an AGR PSA, the success criterion is in meeting the dose band staircase and</w:t>
      </w:r>
      <w:r w:rsidR="7CE68184" w:rsidRPr="00DD1B58">
        <w:rPr>
          <w:lang w:val="en-US"/>
        </w:rPr>
        <w:t xml:space="preserve"> </w:t>
      </w:r>
      <w:r w:rsidR="00F11D0B" w:rsidRPr="00DD1B58">
        <w:rPr>
          <w:lang w:val="en-US"/>
        </w:rPr>
        <w:t>EDF NGL’s</w:t>
      </w:r>
      <w:r w:rsidR="1C9AEC39" w:rsidRPr="00DD1B58">
        <w:rPr>
          <w:lang w:val="en-US"/>
        </w:rPr>
        <w:t xml:space="preserve"> Nuclear Safety Principles (NSPs), which in turn met the Health and Safety Executive (HSE)</w:t>
      </w:r>
      <w:r w:rsidR="54A8F4C0" w:rsidRPr="00DD1B58">
        <w:rPr>
          <w:lang w:val="en-US"/>
        </w:rPr>
        <w:t xml:space="preserve"> </w:t>
      </w:r>
      <w:r w:rsidR="1C9AEC39" w:rsidRPr="00DD1B58">
        <w:rPr>
          <w:lang w:val="en-US"/>
        </w:rPr>
        <w:t>targets</w:t>
      </w:r>
      <w:sdt>
        <w:sdtPr>
          <w:rPr>
            <w:lang w:val="en-US"/>
          </w:rPr>
          <w:id w:val="2144541176"/>
          <w:citation/>
        </w:sdtPr>
        <w:sdtContent>
          <w:r w:rsidR="00C05178" w:rsidRPr="00DD1B58">
            <w:rPr>
              <w:lang w:val="en-US"/>
            </w:rPr>
            <w:fldChar w:fldCharType="begin"/>
          </w:r>
          <w:r w:rsidR="00C05178" w:rsidRPr="00DD1B58">
            <w:rPr>
              <w:lang w:val="en-US"/>
            </w:rPr>
            <w:instrText xml:space="preserve"> CITATION HSE92 \l 2057 </w:instrText>
          </w:r>
          <w:r w:rsidR="00C05178" w:rsidRPr="00DD1B58">
            <w:rPr>
              <w:lang w:val="en-US"/>
            </w:rPr>
            <w:fldChar w:fldCharType="separate"/>
          </w:r>
          <w:r w:rsidR="00DF47DA">
            <w:rPr>
              <w:noProof/>
              <w:lang w:val="en-US"/>
            </w:rPr>
            <w:t xml:space="preserve"> </w:t>
          </w:r>
          <w:r w:rsidR="00DF47DA" w:rsidRPr="00DF47DA">
            <w:rPr>
              <w:noProof/>
              <w:lang w:val="en-US"/>
            </w:rPr>
            <w:t>[27]</w:t>
          </w:r>
          <w:r w:rsidR="00C05178" w:rsidRPr="00DD1B58">
            <w:rPr>
              <w:lang w:val="en-US"/>
            </w:rPr>
            <w:fldChar w:fldCharType="end"/>
          </w:r>
        </w:sdtContent>
      </w:sdt>
      <w:r w:rsidR="1C9AEC39" w:rsidRPr="00DD1B58">
        <w:rPr>
          <w:lang w:val="en-US"/>
        </w:rPr>
        <w:t>.</w:t>
      </w:r>
    </w:p>
    <w:p w14:paraId="77185C55" w14:textId="3C16B36D" w:rsidR="1C9AEC39" w:rsidRPr="00DD1B58" w:rsidRDefault="1C9AEC39" w:rsidP="355CB971">
      <w:pPr>
        <w:rPr>
          <w:lang w:val="en-US"/>
        </w:rPr>
      </w:pPr>
      <w:r w:rsidRPr="00DD1B58">
        <w:rPr>
          <w:lang w:val="en-US"/>
        </w:rPr>
        <w:lastRenderedPageBreak/>
        <w:t>From the data provided in the 2018/19 major PSA update for HY2, the contribution to the overall station</w:t>
      </w:r>
      <w:r w:rsidR="4C19668C" w:rsidRPr="00DD1B58">
        <w:rPr>
          <w:lang w:val="en-US"/>
        </w:rPr>
        <w:t xml:space="preserve"> </w:t>
      </w:r>
      <w:r w:rsidRPr="00DD1B58">
        <w:rPr>
          <w:lang w:val="en-US"/>
        </w:rPr>
        <w:t xml:space="preserve">risk from hazards (both internal and external) is roughly </w:t>
      </w:r>
      <w:r w:rsidR="00C9251D" w:rsidRPr="00DD1B58">
        <w:rPr>
          <w:lang w:val="en-US"/>
        </w:rPr>
        <w:t xml:space="preserve">one fifth </w:t>
      </w:r>
      <w:r w:rsidR="00A0176E" w:rsidRPr="00DD1B58">
        <w:rPr>
          <w:lang w:val="en-US"/>
        </w:rPr>
        <w:t>of</w:t>
      </w:r>
      <w:r w:rsidRPr="00DD1B58">
        <w:rPr>
          <w:lang w:val="en-US"/>
        </w:rPr>
        <w:t xml:space="preserve"> that </w:t>
      </w:r>
      <w:r w:rsidR="00A0176E" w:rsidRPr="00DD1B58">
        <w:rPr>
          <w:lang w:val="en-US"/>
        </w:rPr>
        <w:t xml:space="preserve">from </w:t>
      </w:r>
      <w:r w:rsidRPr="00DD1B58">
        <w:rPr>
          <w:lang w:val="en-US"/>
        </w:rPr>
        <w:t>plant faults.</w:t>
      </w:r>
      <w:r w:rsidR="5E55DF11" w:rsidRPr="00DD1B58">
        <w:rPr>
          <w:lang w:val="en-US"/>
        </w:rPr>
        <w:t xml:space="preserve"> </w:t>
      </w:r>
      <w:r w:rsidRPr="00DD1B58">
        <w:rPr>
          <w:lang w:val="en-US"/>
        </w:rPr>
        <w:t xml:space="preserve">Of all hazards, the contribution to station risk </w:t>
      </w:r>
      <w:r w:rsidR="008E5D1E" w:rsidRPr="00DD1B58">
        <w:rPr>
          <w:lang w:val="en-US"/>
        </w:rPr>
        <w:t xml:space="preserve">is 43% from </w:t>
      </w:r>
      <w:r w:rsidRPr="00DD1B58">
        <w:rPr>
          <w:lang w:val="en-US"/>
        </w:rPr>
        <w:t>external events and 57% for internal hazards.</w:t>
      </w:r>
      <w:r w:rsidR="0E26067C" w:rsidRPr="00DD1B58">
        <w:rPr>
          <w:lang w:val="en-US"/>
        </w:rPr>
        <w:t xml:space="preserve"> </w:t>
      </w:r>
      <w:r w:rsidR="00A0176E" w:rsidRPr="00DD1B58">
        <w:rPr>
          <w:lang w:val="en-US"/>
        </w:rPr>
        <w:t>Amongst</w:t>
      </w:r>
      <w:r w:rsidRPr="00DD1B58">
        <w:rPr>
          <w:lang w:val="en-US"/>
        </w:rPr>
        <w:t xml:space="preserve"> internal hazards, fire hazards contribute 10% to </w:t>
      </w:r>
      <w:r w:rsidR="00A0176E" w:rsidRPr="00DD1B58">
        <w:rPr>
          <w:lang w:val="en-US"/>
        </w:rPr>
        <w:t xml:space="preserve">the </w:t>
      </w:r>
      <w:r w:rsidRPr="00DD1B58">
        <w:rPr>
          <w:lang w:val="en-US"/>
        </w:rPr>
        <w:t>overall station risk. The total predicted frequency</w:t>
      </w:r>
      <w:r w:rsidR="47B2C15F" w:rsidRPr="00DD1B58">
        <w:rPr>
          <w:lang w:val="en-US"/>
        </w:rPr>
        <w:t xml:space="preserve"> </w:t>
      </w:r>
      <w:r w:rsidRPr="00DD1B58">
        <w:rPr>
          <w:lang w:val="en-US"/>
        </w:rPr>
        <w:t>for large release sequences is 7.87 x 10</w:t>
      </w:r>
      <w:r w:rsidRPr="00DD1B58">
        <w:rPr>
          <w:vertAlign w:val="superscript"/>
          <w:lang w:val="en-US"/>
        </w:rPr>
        <w:t>-7</w:t>
      </w:r>
      <w:r w:rsidRPr="00DD1B58">
        <w:rPr>
          <w:lang w:val="en-US"/>
        </w:rPr>
        <w:t xml:space="preserve"> per </w:t>
      </w:r>
      <w:r w:rsidR="00A0176E" w:rsidRPr="00DD1B58">
        <w:rPr>
          <w:lang w:val="en-US"/>
        </w:rPr>
        <w:t>reactor</w:t>
      </w:r>
      <w:r w:rsidR="008E5D1E" w:rsidRPr="00DD1B58">
        <w:rPr>
          <w:lang w:val="en-US"/>
        </w:rPr>
        <w:t xml:space="preserve"> </w:t>
      </w:r>
      <w:r w:rsidRPr="00DD1B58">
        <w:rPr>
          <w:lang w:val="en-US"/>
        </w:rPr>
        <w:t>year for all hazard faults.</w:t>
      </w:r>
    </w:p>
    <w:p w14:paraId="7C9B251B" w14:textId="50375FBA" w:rsidR="1C9AEC39" w:rsidRPr="00DD1B58" w:rsidRDefault="1C9AEC39" w:rsidP="355CB971">
      <w:pPr>
        <w:rPr>
          <w:lang w:val="en-US"/>
        </w:rPr>
      </w:pPr>
      <w:r w:rsidRPr="00DD1B58">
        <w:rPr>
          <w:lang w:val="en-US"/>
        </w:rPr>
        <w:t xml:space="preserve">HY2 </w:t>
      </w:r>
      <w:r w:rsidR="00C5421C" w:rsidRPr="00DD1B58">
        <w:rPr>
          <w:lang w:val="en-US"/>
        </w:rPr>
        <w:t xml:space="preserve">has an </w:t>
      </w:r>
      <w:r w:rsidRPr="00DD1B58">
        <w:rPr>
          <w:lang w:val="en-US"/>
        </w:rPr>
        <w:t>at</w:t>
      </w:r>
      <w:r w:rsidR="008B4BD0" w:rsidRPr="00DD1B58">
        <w:rPr>
          <w:lang w:val="en-US"/>
        </w:rPr>
        <w:t>-</w:t>
      </w:r>
      <w:r w:rsidRPr="00DD1B58">
        <w:rPr>
          <w:lang w:val="en-US"/>
        </w:rPr>
        <w:t xml:space="preserve">power </w:t>
      </w:r>
      <w:r w:rsidR="00C5421C" w:rsidRPr="00DD1B58">
        <w:rPr>
          <w:lang w:val="en-US"/>
        </w:rPr>
        <w:t xml:space="preserve">fire </w:t>
      </w:r>
      <w:r w:rsidRPr="00DD1B58">
        <w:rPr>
          <w:lang w:val="en-US"/>
        </w:rPr>
        <w:t>PSA</w:t>
      </w:r>
      <w:r w:rsidR="008B4BD0" w:rsidRPr="00DD1B58">
        <w:rPr>
          <w:lang w:val="en-US"/>
        </w:rPr>
        <w:t xml:space="preserve"> that</w:t>
      </w:r>
      <w:r w:rsidRPr="00DD1B58">
        <w:rPr>
          <w:lang w:val="en-US"/>
        </w:rPr>
        <w:t xml:space="preserve"> considers credible fires in</w:t>
      </w:r>
      <w:r w:rsidR="256E71B9" w:rsidRPr="00DD1B58">
        <w:rPr>
          <w:lang w:val="en-US"/>
        </w:rPr>
        <w:t xml:space="preserve"> </w:t>
      </w:r>
      <w:r w:rsidRPr="00DD1B58">
        <w:rPr>
          <w:lang w:val="en-US"/>
        </w:rPr>
        <w:t xml:space="preserve">all areas which could impact nuclear safety </w:t>
      </w:r>
      <w:r w:rsidR="00C5421C" w:rsidRPr="00DD1B58">
        <w:rPr>
          <w:lang w:val="en-US"/>
        </w:rPr>
        <w:t>as</w:t>
      </w:r>
      <w:r w:rsidRPr="00DD1B58">
        <w:rPr>
          <w:lang w:val="en-US"/>
        </w:rPr>
        <w:t xml:space="preserve"> defined in the PSA Fault Schedule.</w:t>
      </w:r>
    </w:p>
    <w:p w14:paraId="66EB834E" w14:textId="5961E51C" w:rsidR="1C9AEC39" w:rsidRPr="00DD1B58" w:rsidRDefault="007B4240" w:rsidP="355CB971">
      <w:pPr>
        <w:rPr>
          <w:lang w:val="en-US"/>
        </w:rPr>
      </w:pPr>
      <w:r w:rsidRPr="00DD1B58">
        <w:rPr>
          <w:lang w:val="en-US"/>
        </w:rPr>
        <w:t xml:space="preserve">The development of a </w:t>
      </w:r>
      <w:r w:rsidR="1C9AEC39" w:rsidRPr="00DD1B58">
        <w:rPr>
          <w:lang w:val="en-US"/>
        </w:rPr>
        <w:t>shutdown PSA has been considered for the</w:t>
      </w:r>
      <w:r w:rsidR="1BC68478" w:rsidRPr="00DD1B58">
        <w:rPr>
          <w:lang w:val="en-US"/>
        </w:rPr>
        <w:t xml:space="preserve"> </w:t>
      </w:r>
      <w:r w:rsidR="1C9AEC39" w:rsidRPr="00DD1B58">
        <w:rPr>
          <w:lang w:val="en-US"/>
        </w:rPr>
        <w:t>AGRs in the past</w:t>
      </w:r>
      <w:r w:rsidR="008B4BD0" w:rsidRPr="00DD1B58">
        <w:rPr>
          <w:lang w:val="en-US"/>
        </w:rPr>
        <w:t>.</w:t>
      </w:r>
      <w:r w:rsidR="1C9AEC39" w:rsidRPr="00DD1B58">
        <w:rPr>
          <w:lang w:val="en-US"/>
        </w:rPr>
        <w:t xml:space="preserve"> </w:t>
      </w:r>
      <w:r w:rsidR="008B4BD0" w:rsidRPr="00DD1B58">
        <w:rPr>
          <w:lang w:val="en-US"/>
        </w:rPr>
        <w:t>H</w:t>
      </w:r>
      <w:r w:rsidR="1C9AEC39" w:rsidRPr="00DD1B58">
        <w:rPr>
          <w:lang w:val="en-US"/>
        </w:rPr>
        <w:t>owever</w:t>
      </w:r>
      <w:r w:rsidRPr="00DD1B58">
        <w:rPr>
          <w:lang w:val="en-US"/>
        </w:rPr>
        <w:t xml:space="preserve">, </w:t>
      </w:r>
      <w:r w:rsidR="00C362CA" w:rsidRPr="00DD1B58">
        <w:rPr>
          <w:lang w:val="en-US"/>
        </w:rPr>
        <w:t>EDF NGL</w:t>
      </w:r>
      <w:r w:rsidRPr="00DD1B58">
        <w:rPr>
          <w:lang w:val="en-US"/>
        </w:rPr>
        <w:t xml:space="preserve"> considers that</w:t>
      </w:r>
      <w:r w:rsidR="1C9AEC39" w:rsidRPr="00DD1B58">
        <w:rPr>
          <w:lang w:val="en-US"/>
        </w:rPr>
        <w:t xml:space="preserve"> the timescales </w:t>
      </w:r>
      <w:r w:rsidR="00205EC6" w:rsidRPr="00DD1B58">
        <w:rPr>
          <w:lang w:val="en-US"/>
        </w:rPr>
        <w:t>until</w:t>
      </w:r>
      <w:r w:rsidR="1C9AEC39" w:rsidRPr="00DD1B58">
        <w:rPr>
          <w:lang w:val="en-US"/>
        </w:rPr>
        <w:t xml:space="preserve"> radiological release are very long when the plant is</w:t>
      </w:r>
      <w:r w:rsidR="31C781CF" w:rsidRPr="00DD1B58">
        <w:rPr>
          <w:lang w:val="en-US"/>
        </w:rPr>
        <w:t xml:space="preserve"> </w:t>
      </w:r>
      <w:r w:rsidR="1C9AEC39" w:rsidRPr="00DD1B58">
        <w:rPr>
          <w:lang w:val="en-US"/>
        </w:rPr>
        <w:t>shut</w:t>
      </w:r>
      <w:r w:rsidR="00404204" w:rsidRPr="00DD1B58">
        <w:rPr>
          <w:lang w:val="en-US"/>
        </w:rPr>
        <w:t xml:space="preserve"> </w:t>
      </w:r>
      <w:r w:rsidR="1C9AEC39" w:rsidRPr="00DD1B58">
        <w:rPr>
          <w:lang w:val="en-US"/>
        </w:rPr>
        <w:t>down</w:t>
      </w:r>
      <w:r w:rsidRPr="00DD1B58">
        <w:rPr>
          <w:lang w:val="en-US"/>
        </w:rPr>
        <w:t xml:space="preserve">. </w:t>
      </w:r>
      <w:r w:rsidR="1C9AEC39" w:rsidRPr="00DD1B58">
        <w:rPr>
          <w:lang w:val="en-US"/>
        </w:rPr>
        <w:t>This is in contrast to LWR</w:t>
      </w:r>
      <w:r w:rsidRPr="00DD1B58">
        <w:rPr>
          <w:lang w:val="en-US"/>
        </w:rPr>
        <w:t xml:space="preserve"> technology</w:t>
      </w:r>
      <w:r w:rsidR="1C9AEC39" w:rsidRPr="00DD1B58">
        <w:rPr>
          <w:lang w:val="en-US"/>
        </w:rPr>
        <w:t xml:space="preserve"> where the timescales are typically significantly shorter. For this</w:t>
      </w:r>
      <w:r w:rsidR="2C101584" w:rsidRPr="00DD1B58">
        <w:rPr>
          <w:lang w:val="en-US"/>
        </w:rPr>
        <w:t xml:space="preserve"> reason, the AGRs were not designed to have any automatic systems operating during shutdown. The AGRs have several layers of redundancy and diversity for shutdown operations, but the shutdown safety case depends on operator actions to manually start plant. This is considered to be acceptable due to the extended timescales available for necessary operator actions.</w:t>
      </w:r>
    </w:p>
    <w:p w14:paraId="741922F8" w14:textId="4A47477B" w:rsidR="2C101584" w:rsidRPr="00DD1B58" w:rsidRDefault="2C101584" w:rsidP="355CB971">
      <w:pPr>
        <w:rPr>
          <w:lang w:val="en-US"/>
        </w:rPr>
      </w:pPr>
      <w:r w:rsidRPr="00DD1B58">
        <w:rPr>
          <w:b/>
          <w:lang w:val="en-US"/>
        </w:rPr>
        <w:t>Sizewell B</w:t>
      </w:r>
      <w:r w:rsidR="00854A98" w:rsidRPr="00DD1B58">
        <w:rPr>
          <w:b/>
          <w:lang w:val="en-US"/>
        </w:rPr>
        <w:t>:</w:t>
      </w:r>
      <w:r w:rsidR="00F452EE" w:rsidRPr="00DD1B58">
        <w:rPr>
          <w:b/>
          <w:lang w:val="en-US"/>
        </w:rPr>
        <w:t xml:space="preserve"> </w:t>
      </w:r>
      <w:r w:rsidR="00854A98" w:rsidRPr="00DD1B58">
        <w:rPr>
          <w:lang w:val="en-US"/>
        </w:rPr>
        <w:t>f</w:t>
      </w:r>
      <w:r w:rsidR="00183DFE" w:rsidRPr="00DD1B58">
        <w:rPr>
          <w:lang w:val="en-US"/>
        </w:rPr>
        <w:t>ires are considered in a</w:t>
      </w:r>
      <w:r w:rsidRPr="00DD1B58">
        <w:rPr>
          <w:lang w:val="en-US"/>
        </w:rPr>
        <w:t>ll areas (safety and non-safety</w:t>
      </w:r>
      <w:r w:rsidR="002C10EF" w:rsidRPr="00DD1B58">
        <w:rPr>
          <w:lang w:val="en-US"/>
        </w:rPr>
        <w:t xml:space="preserve"> areas</w:t>
      </w:r>
      <w:r w:rsidRPr="00DD1B58">
        <w:rPr>
          <w:lang w:val="en-US"/>
        </w:rPr>
        <w:t>) containing combustible material</w:t>
      </w:r>
      <w:r w:rsidR="002C10EF" w:rsidRPr="00DD1B58">
        <w:rPr>
          <w:lang w:val="en-US"/>
        </w:rPr>
        <w:t>s</w:t>
      </w:r>
      <w:r w:rsidRPr="00DD1B58">
        <w:rPr>
          <w:lang w:val="en-US"/>
        </w:rPr>
        <w:t xml:space="preserve"> (mainly lube oil and cables</w:t>
      </w:r>
      <w:r w:rsidR="00C92AB0" w:rsidRPr="00DD1B58">
        <w:rPr>
          <w:lang w:val="en-US"/>
        </w:rPr>
        <w:t>, diesel fuel in the</w:t>
      </w:r>
      <w:r w:rsidR="00DD04A5" w:rsidRPr="00DD1B58">
        <w:rPr>
          <w:lang w:val="en-US"/>
        </w:rPr>
        <w:t xml:space="preserve"> </w:t>
      </w:r>
      <w:r w:rsidR="00205EC6" w:rsidRPr="00DD1B58">
        <w:rPr>
          <w:lang w:val="en-US"/>
        </w:rPr>
        <w:t>d</w:t>
      </w:r>
      <w:r w:rsidR="00DD04A5" w:rsidRPr="00DD1B58">
        <w:rPr>
          <w:lang w:val="en-US"/>
        </w:rPr>
        <w:t xml:space="preserve">iesel </w:t>
      </w:r>
      <w:r w:rsidR="00205EC6" w:rsidRPr="00DD1B58">
        <w:rPr>
          <w:lang w:val="en-US"/>
        </w:rPr>
        <w:t>g</w:t>
      </w:r>
      <w:r w:rsidR="00DD04A5" w:rsidRPr="00DD1B58">
        <w:rPr>
          <w:lang w:val="en-US"/>
        </w:rPr>
        <w:t>enerator areas</w:t>
      </w:r>
      <w:r w:rsidR="00C92AB0" w:rsidRPr="00DD1B58">
        <w:rPr>
          <w:lang w:val="en-US"/>
        </w:rPr>
        <w:t>)</w:t>
      </w:r>
      <w:r w:rsidRPr="00DD1B58">
        <w:rPr>
          <w:lang w:val="en-US"/>
        </w:rPr>
        <w:t>. A reactor trip as a result of a fire is conservatively assumed.</w:t>
      </w:r>
    </w:p>
    <w:p w14:paraId="035F89EB" w14:textId="11EF2D23" w:rsidR="6A653F72" w:rsidRPr="00DD1B58" w:rsidRDefault="2C101584" w:rsidP="0062501D">
      <w:pPr>
        <w:pStyle w:val="Heading4"/>
        <w:numPr>
          <w:ilvl w:val="4"/>
          <w:numId w:val="3"/>
        </w:numPr>
        <w:rPr>
          <w:lang w:val="en-US"/>
        </w:rPr>
      </w:pPr>
      <w:bookmarkStart w:id="19" w:name="_Ref140840394"/>
      <w:r w:rsidRPr="00DD1B58">
        <w:rPr>
          <w:lang w:val="en-US"/>
        </w:rPr>
        <w:t xml:space="preserve">Consideration of </w:t>
      </w:r>
      <w:r w:rsidR="001960D7" w:rsidRPr="00DD1B58">
        <w:rPr>
          <w:lang w:val="en-US"/>
        </w:rPr>
        <w:t>e</w:t>
      </w:r>
      <w:r w:rsidRPr="00DD1B58">
        <w:rPr>
          <w:lang w:val="en-US"/>
        </w:rPr>
        <w:t xml:space="preserve">xternal </w:t>
      </w:r>
      <w:r w:rsidR="001960D7" w:rsidRPr="00DD1B58">
        <w:rPr>
          <w:lang w:val="en-US"/>
        </w:rPr>
        <w:t>f</w:t>
      </w:r>
      <w:r w:rsidRPr="00DD1B58">
        <w:rPr>
          <w:lang w:val="en-US"/>
        </w:rPr>
        <w:t>ires</w:t>
      </w:r>
      <w:bookmarkEnd w:id="19"/>
    </w:p>
    <w:p w14:paraId="7FDA4E15" w14:textId="2B8E1ADE" w:rsidR="2C101584" w:rsidRPr="00DD1B58" w:rsidRDefault="2C101584" w:rsidP="355CB971">
      <w:pPr>
        <w:rPr>
          <w:lang w:val="en-US"/>
        </w:rPr>
      </w:pPr>
      <w:r w:rsidRPr="00DD1B58">
        <w:rPr>
          <w:b/>
          <w:lang w:val="en-US"/>
        </w:rPr>
        <w:t>General</w:t>
      </w:r>
      <w:r w:rsidR="00854A98" w:rsidRPr="00DD1B58">
        <w:rPr>
          <w:b/>
          <w:lang w:val="en-US"/>
        </w:rPr>
        <w:t>:</w:t>
      </w:r>
      <w:r w:rsidR="00B95F97" w:rsidRPr="00DD1B58">
        <w:rPr>
          <w:b/>
          <w:lang w:val="en-US"/>
        </w:rPr>
        <w:t xml:space="preserve"> </w:t>
      </w:r>
      <w:r w:rsidR="00854A98" w:rsidRPr="00DD1B58">
        <w:rPr>
          <w:lang w:val="en-US"/>
        </w:rPr>
        <w:t>i</w:t>
      </w:r>
      <w:r w:rsidRPr="00DD1B58">
        <w:rPr>
          <w:lang w:val="en-US"/>
        </w:rPr>
        <w:t>n general</w:t>
      </w:r>
      <w:r w:rsidR="42302E2C" w:rsidRPr="00DD1B58">
        <w:rPr>
          <w:lang w:val="en-US"/>
        </w:rPr>
        <w:t>,</w:t>
      </w:r>
      <w:r w:rsidRPr="00DD1B58">
        <w:rPr>
          <w:lang w:val="en-US"/>
        </w:rPr>
        <w:t xml:space="preserve"> </w:t>
      </w:r>
      <w:r w:rsidR="00C362CA" w:rsidRPr="00DD1B58">
        <w:rPr>
          <w:lang w:val="en-US"/>
        </w:rPr>
        <w:t>EDF NGL</w:t>
      </w:r>
      <w:r w:rsidR="00816933" w:rsidRPr="00DD1B58">
        <w:rPr>
          <w:lang w:val="en-US"/>
        </w:rPr>
        <w:t xml:space="preserve"> does n</w:t>
      </w:r>
      <w:r w:rsidR="001C32CE" w:rsidRPr="00DD1B58">
        <w:rPr>
          <w:lang w:val="en-US"/>
        </w:rPr>
        <w:t>o</w:t>
      </w:r>
      <w:r w:rsidR="00816933" w:rsidRPr="00DD1B58">
        <w:rPr>
          <w:lang w:val="en-US"/>
        </w:rPr>
        <w:t xml:space="preserve">t consider </w:t>
      </w:r>
      <w:r w:rsidRPr="00DD1B58">
        <w:rPr>
          <w:lang w:val="en-US"/>
        </w:rPr>
        <w:t>externally</w:t>
      </w:r>
      <w:r w:rsidR="00F76034" w:rsidRPr="00DD1B58">
        <w:rPr>
          <w:lang w:val="en-US"/>
        </w:rPr>
        <w:t xml:space="preserve"> </w:t>
      </w:r>
      <w:r w:rsidRPr="00DD1B58">
        <w:rPr>
          <w:lang w:val="en-US"/>
        </w:rPr>
        <w:t xml:space="preserve">induced fires </w:t>
      </w:r>
      <w:r w:rsidR="00816933" w:rsidRPr="00DD1B58">
        <w:rPr>
          <w:lang w:val="en-US"/>
        </w:rPr>
        <w:t>as</w:t>
      </w:r>
      <w:r w:rsidRPr="00DD1B58">
        <w:rPr>
          <w:lang w:val="en-US"/>
        </w:rPr>
        <w:t xml:space="preserve"> major hazard</w:t>
      </w:r>
      <w:r w:rsidR="001C32CE" w:rsidRPr="00DD1B58">
        <w:rPr>
          <w:lang w:val="en-US"/>
        </w:rPr>
        <w:t xml:space="preserve"> to </w:t>
      </w:r>
      <w:r w:rsidR="00816933" w:rsidRPr="00DD1B58">
        <w:rPr>
          <w:lang w:val="en-US"/>
        </w:rPr>
        <w:t xml:space="preserve">its fleet of </w:t>
      </w:r>
      <w:r w:rsidR="001C32CE" w:rsidRPr="00DD1B58">
        <w:rPr>
          <w:lang w:val="en-US"/>
        </w:rPr>
        <w:t>power stations</w:t>
      </w:r>
      <w:r w:rsidRPr="00DD1B58">
        <w:rPr>
          <w:lang w:val="en-US"/>
        </w:rPr>
        <w:t>.</w:t>
      </w:r>
      <w:r w:rsidR="228480D9" w:rsidRPr="00DD1B58">
        <w:rPr>
          <w:lang w:val="en-US"/>
        </w:rPr>
        <w:t xml:space="preserve"> </w:t>
      </w:r>
      <w:r w:rsidRPr="00DD1B58">
        <w:rPr>
          <w:lang w:val="en-US"/>
        </w:rPr>
        <w:t xml:space="preserve">Nearby forest fires have been assessed, and </w:t>
      </w:r>
      <w:r w:rsidR="00C362CA" w:rsidRPr="00DD1B58">
        <w:rPr>
          <w:lang w:val="en-US"/>
        </w:rPr>
        <w:t>EDF NGL</w:t>
      </w:r>
      <w:r w:rsidR="00A86C6D" w:rsidRPr="00DD1B58">
        <w:rPr>
          <w:lang w:val="en-US"/>
        </w:rPr>
        <w:t xml:space="preserve"> report</w:t>
      </w:r>
      <w:r w:rsidR="00352200" w:rsidRPr="00DD1B58">
        <w:rPr>
          <w:lang w:val="en-US"/>
        </w:rPr>
        <w:t>s</w:t>
      </w:r>
      <w:r w:rsidR="00A86C6D" w:rsidRPr="00DD1B58">
        <w:rPr>
          <w:lang w:val="en-US"/>
        </w:rPr>
        <w:t xml:space="preserve"> that</w:t>
      </w:r>
      <w:r w:rsidRPr="00DD1B58">
        <w:rPr>
          <w:lang w:val="en-US"/>
        </w:rPr>
        <w:t xml:space="preserve"> atmospheric dispersion modelling was carried out</w:t>
      </w:r>
      <w:r w:rsidR="001C32CE" w:rsidRPr="00DD1B58">
        <w:rPr>
          <w:lang w:val="en-US"/>
        </w:rPr>
        <w:t xml:space="preserve"> from fires affecting an oil storage facility </w:t>
      </w:r>
      <w:r w:rsidR="00F61E61" w:rsidRPr="00DD1B58">
        <w:rPr>
          <w:lang w:val="en-US"/>
        </w:rPr>
        <w:t>near the</w:t>
      </w:r>
      <w:r w:rsidR="001C32CE" w:rsidRPr="00DD1B58">
        <w:rPr>
          <w:lang w:val="en-US"/>
        </w:rPr>
        <w:t xml:space="preserve"> Magnox reactor Hunterston A</w:t>
      </w:r>
      <w:r w:rsidR="00F61E61" w:rsidRPr="00DD1B58">
        <w:rPr>
          <w:lang w:val="en-US"/>
        </w:rPr>
        <w:t>.</w:t>
      </w:r>
      <w:r w:rsidR="00467A75" w:rsidRPr="00DD1B58">
        <w:rPr>
          <w:lang w:val="en-US"/>
        </w:rPr>
        <w:t xml:space="preserve"> Similarly, external fires from seismic events are considered.</w:t>
      </w:r>
    </w:p>
    <w:p w14:paraId="16C1B4D5" w14:textId="33CFB70E" w:rsidR="2C101584" w:rsidRPr="00DD1B58" w:rsidRDefault="2C101584" w:rsidP="355CB971">
      <w:pPr>
        <w:rPr>
          <w:lang w:val="en-US"/>
        </w:rPr>
      </w:pPr>
      <w:r w:rsidRPr="00DD1B58">
        <w:rPr>
          <w:b/>
          <w:lang w:val="en-US"/>
        </w:rPr>
        <w:t xml:space="preserve">First </w:t>
      </w:r>
      <w:r w:rsidR="00404204" w:rsidRPr="00DD1B58">
        <w:rPr>
          <w:b/>
          <w:lang w:val="en-US"/>
        </w:rPr>
        <w:t xml:space="preserve">generation </w:t>
      </w:r>
      <w:r w:rsidRPr="00DD1B58">
        <w:rPr>
          <w:b/>
          <w:lang w:val="en-US"/>
        </w:rPr>
        <w:t>AGRs (</w:t>
      </w:r>
      <w:r w:rsidR="00467A75" w:rsidRPr="00DD1B58">
        <w:rPr>
          <w:b/>
          <w:lang w:val="en-US"/>
        </w:rPr>
        <w:t>HN</w:t>
      </w:r>
      <w:r w:rsidRPr="00DD1B58">
        <w:rPr>
          <w:b/>
          <w:lang w:val="en-US"/>
        </w:rPr>
        <w:t>B)</w:t>
      </w:r>
      <w:r w:rsidR="00404204" w:rsidRPr="00DD1B58">
        <w:rPr>
          <w:b/>
          <w:lang w:val="en-US"/>
        </w:rPr>
        <w:t>:</w:t>
      </w:r>
      <w:r w:rsidR="00B95F97" w:rsidRPr="00DD1B58">
        <w:rPr>
          <w:b/>
          <w:lang w:val="en-US"/>
        </w:rPr>
        <w:t xml:space="preserve"> </w:t>
      </w:r>
      <w:r w:rsidRPr="00DD1B58">
        <w:rPr>
          <w:lang w:val="en-US"/>
        </w:rPr>
        <w:t>The above general considerations apply.</w:t>
      </w:r>
    </w:p>
    <w:p w14:paraId="20430076" w14:textId="7F3D511E" w:rsidR="2C101584" w:rsidRPr="00DD1B58" w:rsidRDefault="2C101584" w:rsidP="355CB971">
      <w:pPr>
        <w:rPr>
          <w:lang w:val="en-US"/>
        </w:rPr>
      </w:pPr>
      <w:r w:rsidRPr="00DD1B58">
        <w:rPr>
          <w:b/>
          <w:lang w:val="en-US"/>
        </w:rPr>
        <w:t xml:space="preserve">Second </w:t>
      </w:r>
      <w:r w:rsidR="00404204" w:rsidRPr="00DD1B58">
        <w:rPr>
          <w:b/>
          <w:lang w:val="en-US"/>
        </w:rPr>
        <w:t xml:space="preserve">generation </w:t>
      </w:r>
      <w:r w:rsidRPr="00DD1B58">
        <w:rPr>
          <w:b/>
          <w:lang w:val="en-US"/>
        </w:rPr>
        <w:t>AGRs (Heysham 2)</w:t>
      </w:r>
      <w:r w:rsidR="00404204" w:rsidRPr="00DD1B58">
        <w:rPr>
          <w:b/>
          <w:lang w:val="en-US"/>
        </w:rPr>
        <w:t>:</w:t>
      </w:r>
      <w:r w:rsidR="00B95F97" w:rsidRPr="00DD1B58">
        <w:rPr>
          <w:b/>
          <w:lang w:val="en-US"/>
        </w:rPr>
        <w:t xml:space="preserve"> </w:t>
      </w:r>
      <w:r w:rsidR="00C362CA" w:rsidRPr="00DD1B58">
        <w:rPr>
          <w:lang w:val="en-US"/>
        </w:rPr>
        <w:t>EDF NGL</w:t>
      </w:r>
      <w:r w:rsidR="00467A75" w:rsidRPr="00DD1B58">
        <w:rPr>
          <w:lang w:val="en-US"/>
        </w:rPr>
        <w:t xml:space="preserve"> considered s</w:t>
      </w:r>
      <w:r w:rsidRPr="00DD1B58">
        <w:rPr>
          <w:lang w:val="en-US"/>
        </w:rPr>
        <w:t>eismic</w:t>
      </w:r>
      <w:r w:rsidR="00467A75" w:rsidRPr="00DD1B58">
        <w:rPr>
          <w:lang w:val="en-US"/>
        </w:rPr>
        <w:t>ally</w:t>
      </w:r>
      <w:r w:rsidR="00F76034" w:rsidRPr="00DD1B58">
        <w:rPr>
          <w:lang w:val="en-US"/>
        </w:rPr>
        <w:t xml:space="preserve"> </w:t>
      </w:r>
      <w:r w:rsidRPr="00DD1B58">
        <w:rPr>
          <w:lang w:val="en-US"/>
        </w:rPr>
        <w:t>induced fires in the safety case</w:t>
      </w:r>
      <w:r w:rsidR="009D7E3F" w:rsidRPr="00DD1B58">
        <w:rPr>
          <w:lang w:val="en-US"/>
        </w:rPr>
        <w:t xml:space="preserve"> but</w:t>
      </w:r>
      <w:r w:rsidRPr="00DD1B58">
        <w:rPr>
          <w:lang w:val="en-US"/>
        </w:rPr>
        <w:t xml:space="preserve"> judged </w:t>
      </w:r>
      <w:r w:rsidR="00467A75" w:rsidRPr="00DD1B58">
        <w:rPr>
          <w:lang w:val="en-US"/>
        </w:rPr>
        <w:t xml:space="preserve">them </w:t>
      </w:r>
      <w:r w:rsidRPr="00DD1B58">
        <w:rPr>
          <w:lang w:val="en-US"/>
        </w:rPr>
        <w:t>to be confined to the non-seismically</w:t>
      </w:r>
      <w:r w:rsidR="797307E5" w:rsidRPr="00DD1B58">
        <w:rPr>
          <w:lang w:val="en-US"/>
        </w:rPr>
        <w:t xml:space="preserve"> </w:t>
      </w:r>
      <w:r w:rsidRPr="00DD1B58">
        <w:rPr>
          <w:lang w:val="en-US"/>
        </w:rPr>
        <w:t>qualified buildings such as the administration block, workshops and stores</w:t>
      </w:r>
      <w:r w:rsidR="00B7389E" w:rsidRPr="00DD1B58">
        <w:rPr>
          <w:lang w:val="en-US"/>
        </w:rPr>
        <w:t>.</w:t>
      </w:r>
      <w:r w:rsidR="00310352" w:rsidRPr="00DD1B58">
        <w:rPr>
          <w:lang w:val="en-US"/>
        </w:rPr>
        <w:t xml:space="preserve"> </w:t>
      </w:r>
      <w:r w:rsidR="00B7389E" w:rsidRPr="00DD1B58">
        <w:rPr>
          <w:lang w:val="en-US"/>
        </w:rPr>
        <w:t>O</w:t>
      </w:r>
      <w:r w:rsidR="00310352" w:rsidRPr="00DD1B58">
        <w:rPr>
          <w:lang w:val="en-US"/>
        </w:rPr>
        <w:t>ther areas</w:t>
      </w:r>
      <w:r w:rsidR="00B7389E" w:rsidRPr="00DD1B58">
        <w:rPr>
          <w:lang w:val="en-US"/>
        </w:rPr>
        <w:t xml:space="preserve"> including </w:t>
      </w:r>
      <w:r w:rsidR="00310352" w:rsidRPr="00DD1B58">
        <w:rPr>
          <w:lang w:val="en-US"/>
        </w:rPr>
        <w:t xml:space="preserve">the nuclear island </w:t>
      </w:r>
      <w:r w:rsidR="00C84B2B" w:rsidRPr="00DD1B58">
        <w:rPr>
          <w:lang w:val="en-US"/>
        </w:rPr>
        <w:t xml:space="preserve">are </w:t>
      </w:r>
      <w:r w:rsidR="00310352" w:rsidRPr="00DD1B58">
        <w:rPr>
          <w:lang w:val="en-US"/>
        </w:rPr>
        <w:t xml:space="preserve">designed </w:t>
      </w:r>
      <w:r w:rsidR="003258FA" w:rsidRPr="00DD1B58">
        <w:rPr>
          <w:lang w:val="en-US"/>
        </w:rPr>
        <w:t>to resist the seismic hazard</w:t>
      </w:r>
      <w:r w:rsidR="00C84B2B" w:rsidRPr="00DD1B58">
        <w:rPr>
          <w:lang w:val="en-US"/>
        </w:rPr>
        <w:t xml:space="preserve"> challenge.</w:t>
      </w:r>
    </w:p>
    <w:p w14:paraId="4575615E" w14:textId="05A980AE" w:rsidR="2C101584" w:rsidRPr="00DD1B58" w:rsidRDefault="2C101584" w:rsidP="355CB971">
      <w:pPr>
        <w:rPr>
          <w:lang w:val="en-US"/>
        </w:rPr>
      </w:pPr>
      <w:r w:rsidRPr="00DD1B58">
        <w:rPr>
          <w:b/>
          <w:lang w:val="en-US"/>
        </w:rPr>
        <w:t>Sizewell B</w:t>
      </w:r>
      <w:r w:rsidR="00854A98" w:rsidRPr="00DD1B58">
        <w:rPr>
          <w:b/>
          <w:lang w:val="en-US"/>
        </w:rPr>
        <w:t>:</w:t>
      </w:r>
      <w:r w:rsidR="00B95F97" w:rsidRPr="00DD1B58">
        <w:rPr>
          <w:b/>
          <w:lang w:val="en-US"/>
        </w:rPr>
        <w:t xml:space="preserve"> </w:t>
      </w:r>
      <w:r w:rsidR="00854A98" w:rsidRPr="00DD1B58">
        <w:rPr>
          <w:lang w:val="en-US"/>
        </w:rPr>
        <w:t>e</w:t>
      </w:r>
      <w:r w:rsidRPr="00DD1B58">
        <w:rPr>
          <w:lang w:val="en-US"/>
        </w:rPr>
        <w:t>xternal fire hazards from adjacent industrial facilities and the surrounding countryside are assessed</w:t>
      </w:r>
      <w:r w:rsidR="00C84B2B" w:rsidRPr="00DD1B58">
        <w:rPr>
          <w:lang w:val="en-US"/>
        </w:rPr>
        <w:t xml:space="preserve"> in </w:t>
      </w:r>
      <w:r w:rsidR="00C362CA" w:rsidRPr="00DD1B58">
        <w:rPr>
          <w:lang w:val="en-US"/>
        </w:rPr>
        <w:t>EDF NGL</w:t>
      </w:r>
      <w:r w:rsidR="00C84B2B" w:rsidRPr="00DD1B58">
        <w:rPr>
          <w:lang w:val="en-US"/>
        </w:rPr>
        <w:t>’s safety case</w:t>
      </w:r>
      <w:r w:rsidRPr="00DD1B58">
        <w:rPr>
          <w:lang w:val="en-US"/>
        </w:rPr>
        <w:t>.</w:t>
      </w:r>
      <w:r w:rsidR="119ED115" w:rsidRPr="00DD1B58">
        <w:rPr>
          <w:lang w:val="en-US"/>
        </w:rPr>
        <w:t xml:space="preserve"> </w:t>
      </w:r>
      <w:r w:rsidRPr="00DD1B58">
        <w:rPr>
          <w:lang w:val="en-US"/>
        </w:rPr>
        <w:t>On detection of an external fire</w:t>
      </w:r>
      <w:r w:rsidR="00C84B2B" w:rsidRPr="00DD1B58">
        <w:rPr>
          <w:lang w:val="en-US"/>
        </w:rPr>
        <w:t xml:space="preserve">, </w:t>
      </w:r>
      <w:r w:rsidRPr="00DD1B58">
        <w:rPr>
          <w:lang w:val="en-US"/>
        </w:rPr>
        <w:t>fire dampers on the HVAC systems close to limit smoke ingress</w:t>
      </w:r>
      <w:r w:rsidR="7409124B" w:rsidRPr="00DD1B58">
        <w:rPr>
          <w:lang w:val="en-US"/>
        </w:rPr>
        <w:t xml:space="preserve"> </w:t>
      </w:r>
      <w:r w:rsidRPr="00DD1B58">
        <w:rPr>
          <w:lang w:val="en-US"/>
        </w:rPr>
        <w:t>to the safety</w:t>
      </w:r>
      <w:r w:rsidR="00C84B2B" w:rsidRPr="00DD1B58">
        <w:rPr>
          <w:lang w:val="en-US"/>
        </w:rPr>
        <w:t>-</w:t>
      </w:r>
      <w:r w:rsidRPr="00DD1B58">
        <w:rPr>
          <w:lang w:val="en-US"/>
        </w:rPr>
        <w:t>classified areas</w:t>
      </w:r>
      <w:r w:rsidR="00C84B2B" w:rsidRPr="00DD1B58">
        <w:rPr>
          <w:lang w:val="en-US"/>
        </w:rPr>
        <w:t>. This provision</w:t>
      </w:r>
      <w:r w:rsidR="003258FA" w:rsidRPr="00DD1B58">
        <w:rPr>
          <w:lang w:val="en-US"/>
        </w:rPr>
        <w:t xml:space="preserve"> </w:t>
      </w:r>
      <w:r w:rsidRPr="00DD1B58">
        <w:rPr>
          <w:lang w:val="en-US"/>
        </w:rPr>
        <w:t xml:space="preserve">also </w:t>
      </w:r>
      <w:r w:rsidR="005862B2" w:rsidRPr="00DD1B58">
        <w:rPr>
          <w:lang w:val="en-US"/>
        </w:rPr>
        <w:t>protects</w:t>
      </w:r>
      <w:r w:rsidRPr="00DD1B58">
        <w:rPr>
          <w:lang w:val="en-US"/>
        </w:rPr>
        <w:t xml:space="preserve"> against on-site fires outside the </w:t>
      </w:r>
      <w:r w:rsidR="00B7389E" w:rsidRPr="00DD1B58">
        <w:rPr>
          <w:lang w:val="en-US"/>
        </w:rPr>
        <w:t>safety-</w:t>
      </w:r>
      <w:r w:rsidRPr="00DD1B58">
        <w:rPr>
          <w:lang w:val="en-US"/>
        </w:rPr>
        <w:t>classified buildings</w:t>
      </w:r>
      <w:r w:rsidR="00C2346F" w:rsidRPr="00DD1B58">
        <w:rPr>
          <w:lang w:val="en-US"/>
        </w:rPr>
        <w:t>.</w:t>
      </w:r>
    </w:p>
    <w:p w14:paraId="43253D52" w14:textId="77777777" w:rsidR="0B009431" w:rsidRPr="00DD1B58" w:rsidRDefault="0B009431" w:rsidP="0062501D">
      <w:pPr>
        <w:pStyle w:val="Heading4"/>
        <w:numPr>
          <w:ilvl w:val="4"/>
          <w:numId w:val="3"/>
        </w:numPr>
        <w:rPr>
          <w:lang w:val="en-US"/>
        </w:rPr>
      </w:pPr>
      <w:bookmarkStart w:id="20" w:name="_Ref140840401"/>
      <w:r w:rsidRPr="00DD1B58">
        <w:rPr>
          <w:lang w:val="en-US"/>
        </w:rPr>
        <w:t>Probabilistic fire hazard analysis</w:t>
      </w:r>
      <w:bookmarkEnd w:id="20"/>
    </w:p>
    <w:p w14:paraId="06AE5B65" w14:textId="77777777" w:rsidR="0B009431" w:rsidRPr="00DD1B58" w:rsidRDefault="0B009431" w:rsidP="355CB971">
      <w:pPr>
        <w:rPr>
          <w:lang w:val="en-US"/>
        </w:rPr>
      </w:pPr>
      <w:r w:rsidRPr="00DD1B58">
        <w:rPr>
          <w:b/>
          <w:lang w:val="en-US"/>
        </w:rPr>
        <w:t>Introduction</w:t>
      </w:r>
    </w:p>
    <w:p w14:paraId="709010BE" w14:textId="27A0D21A" w:rsidR="0B009431" w:rsidRPr="00DD1B58" w:rsidRDefault="0B009431" w:rsidP="355CB971">
      <w:pPr>
        <w:rPr>
          <w:lang w:val="en-US"/>
        </w:rPr>
      </w:pPr>
      <w:r w:rsidRPr="00DD1B58">
        <w:rPr>
          <w:b/>
          <w:lang w:val="en-US"/>
        </w:rPr>
        <w:t>General</w:t>
      </w:r>
      <w:r w:rsidR="00B7389E" w:rsidRPr="00DD1B58">
        <w:rPr>
          <w:b/>
          <w:lang w:val="en-US"/>
        </w:rPr>
        <w:t>:</w:t>
      </w:r>
      <w:r w:rsidR="00861F87" w:rsidRPr="00DD1B58">
        <w:rPr>
          <w:b/>
          <w:lang w:val="en-US"/>
        </w:rPr>
        <w:t xml:space="preserve"> </w:t>
      </w:r>
      <w:r w:rsidR="00C362CA" w:rsidRPr="00DD1B58">
        <w:rPr>
          <w:lang w:val="en-US"/>
        </w:rPr>
        <w:t>EDF NGL</w:t>
      </w:r>
      <w:r w:rsidR="00237343" w:rsidRPr="00DD1B58">
        <w:rPr>
          <w:lang w:val="en-US"/>
        </w:rPr>
        <w:t>’s</w:t>
      </w:r>
      <w:r w:rsidRPr="00DD1B58">
        <w:rPr>
          <w:lang w:val="en-US"/>
        </w:rPr>
        <w:t xml:space="preserve"> position is based on the premise that the application of suitable deterministic nuclear</w:t>
      </w:r>
      <w:r w:rsidR="50355AE7" w:rsidRPr="00DD1B58">
        <w:rPr>
          <w:lang w:val="en-US"/>
        </w:rPr>
        <w:t xml:space="preserve"> </w:t>
      </w:r>
      <w:r w:rsidRPr="00DD1B58">
        <w:rPr>
          <w:lang w:val="en-US"/>
        </w:rPr>
        <w:t>safety principles, defence in depth, diversity, redundancy, independence, failsafe design, testability</w:t>
      </w:r>
      <w:r w:rsidR="3A121987" w:rsidRPr="00DD1B58">
        <w:rPr>
          <w:lang w:val="en-US"/>
        </w:rPr>
        <w:t xml:space="preserve"> </w:t>
      </w:r>
      <w:r w:rsidRPr="00DD1B58">
        <w:rPr>
          <w:lang w:val="en-US"/>
        </w:rPr>
        <w:t xml:space="preserve">segregation, provision of lines of protection, </w:t>
      </w:r>
      <w:r w:rsidRPr="00DD1B58">
        <w:rPr>
          <w:lang w:val="en-US"/>
        </w:rPr>
        <w:lastRenderedPageBreak/>
        <w:t>availability of backup systems and control through</w:t>
      </w:r>
      <w:r w:rsidR="6B188325" w:rsidRPr="00DD1B58">
        <w:rPr>
          <w:lang w:val="en-US"/>
        </w:rPr>
        <w:t xml:space="preserve"> </w:t>
      </w:r>
      <w:r w:rsidRPr="00DD1B58">
        <w:rPr>
          <w:lang w:val="en-US"/>
        </w:rPr>
        <w:t>technical specifications manages the fire risk adequately.</w:t>
      </w:r>
    </w:p>
    <w:p w14:paraId="61DF3AB0" w14:textId="72298EF3" w:rsidR="0B009431" w:rsidRPr="00DD1B58" w:rsidRDefault="0B009431" w:rsidP="355CB971">
      <w:pPr>
        <w:rPr>
          <w:lang w:val="en-US"/>
        </w:rPr>
      </w:pPr>
      <w:r w:rsidRPr="00DD1B58">
        <w:rPr>
          <w:lang w:val="en-US"/>
        </w:rPr>
        <w:t>However, a fire PSA was carried out during the Sizewell B licensing process to supplement the</w:t>
      </w:r>
      <w:r w:rsidR="49463F12" w:rsidRPr="00DD1B58">
        <w:rPr>
          <w:lang w:val="en-US"/>
        </w:rPr>
        <w:t xml:space="preserve"> </w:t>
      </w:r>
      <w:r w:rsidRPr="00DD1B58">
        <w:rPr>
          <w:lang w:val="en-US"/>
        </w:rPr>
        <w:t>deterministic safety case. Since then</w:t>
      </w:r>
      <w:r w:rsidR="00225E30" w:rsidRPr="00DD1B58">
        <w:rPr>
          <w:lang w:val="en-US"/>
        </w:rPr>
        <w:t>,</w:t>
      </w:r>
      <w:r w:rsidRPr="00DD1B58">
        <w:rPr>
          <w:lang w:val="en-US"/>
        </w:rPr>
        <w:t xml:space="preserve"> other stations in the fleet have also carried out a probabilistic fire</w:t>
      </w:r>
      <w:r w:rsidR="7987CA48" w:rsidRPr="00DD1B58">
        <w:rPr>
          <w:lang w:val="en-US"/>
        </w:rPr>
        <w:t xml:space="preserve"> </w:t>
      </w:r>
      <w:r w:rsidRPr="00DD1B58">
        <w:rPr>
          <w:lang w:val="en-US"/>
        </w:rPr>
        <w:t>assessment, which have confirmed the adequacy of the deterministically</w:t>
      </w:r>
      <w:r w:rsidR="003F6C48" w:rsidRPr="00DD1B58">
        <w:rPr>
          <w:lang w:val="en-US"/>
        </w:rPr>
        <w:t xml:space="preserve"> </w:t>
      </w:r>
      <w:r w:rsidRPr="00DD1B58">
        <w:rPr>
          <w:lang w:val="en-US"/>
        </w:rPr>
        <w:t>derived fire provisions. The</w:t>
      </w:r>
      <w:r w:rsidR="604976D3" w:rsidRPr="00DD1B58">
        <w:rPr>
          <w:lang w:val="en-US"/>
        </w:rPr>
        <w:t xml:space="preserve"> </w:t>
      </w:r>
      <w:r w:rsidRPr="00DD1B58">
        <w:rPr>
          <w:lang w:val="en-US"/>
        </w:rPr>
        <w:t>contribution of fire to the plant releases (large and small) is typically a small proportion of the</w:t>
      </w:r>
      <w:r w:rsidR="05FF0A81" w:rsidRPr="00DD1B58">
        <w:rPr>
          <w:lang w:val="en-US"/>
        </w:rPr>
        <w:t xml:space="preserve"> </w:t>
      </w:r>
      <w:r w:rsidRPr="00DD1B58">
        <w:rPr>
          <w:lang w:val="en-US"/>
        </w:rPr>
        <w:t>contribution from plant faults.</w:t>
      </w:r>
    </w:p>
    <w:p w14:paraId="3A217E7F" w14:textId="547E278A" w:rsidR="0B009431" w:rsidRPr="00DD1B58" w:rsidRDefault="0B009431" w:rsidP="355CB971">
      <w:pPr>
        <w:rPr>
          <w:lang w:val="en-US"/>
        </w:rPr>
      </w:pPr>
      <w:r w:rsidRPr="00DD1B58">
        <w:rPr>
          <w:b/>
          <w:lang w:val="en-US"/>
        </w:rPr>
        <w:t xml:space="preserve">First </w:t>
      </w:r>
      <w:r w:rsidR="00143378" w:rsidRPr="00DD1B58">
        <w:rPr>
          <w:b/>
          <w:lang w:val="en-US"/>
        </w:rPr>
        <w:t xml:space="preserve">generation </w:t>
      </w:r>
      <w:r w:rsidRPr="00DD1B58">
        <w:rPr>
          <w:b/>
          <w:lang w:val="en-US"/>
        </w:rPr>
        <w:t>AGRs (</w:t>
      </w:r>
      <w:r w:rsidR="00882F64" w:rsidRPr="00DD1B58">
        <w:rPr>
          <w:b/>
          <w:lang w:val="en-US"/>
        </w:rPr>
        <w:t>HN</w:t>
      </w:r>
      <w:r w:rsidRPr="00DD1B58">
        <w:rPr>
          <w:b/>
          <w:lang w:val="en-US"/>
        </w:rPr>
        <w:t>B)</w:t>
      </w:r>
      <w:r w:rsidR="00143378" w:rsidRPr="00DD1B58">
        <w:rPr>
          <w:b/>
          <w:lang w:val="en-US"/>
        </w:rPr>
        <w:t>:</w:t>
      </w:r>
      <w:r w:rsidR="00861F87" w:rsidRPr="00DD1B58">
        <w:rPr>
          <w:b/>
          <w:lang w:val="en-US"/>
        </w:rPr>
        <w:t xml:space="preserve"> </w:t>
      </w:r>
      <w:r w:rsidRPr="00DD1B58">
        <w:rPr>
          <w:lang w:val="en-US"/>
        </w:rPr>
        <w:t xml:space="preserve">ONR mandated a modern standards fire PSA at </w:t>
      </w:r>
      <w:r w:rsidR="00562395" w:rsidRPr="00DD1B58">
        <w:rPr>
          <w:lang w:val="en-US"/>
        </w:rPr>
        <w:t>HPB</w:t>
      </w:r>
      <w:r w:rsidRPr="00DD1B58">
        <w:rPr>
          <w:lang w:val="en-US"/>
        </w:rPr>
        <w:t xml:space="preserve"> in</w:t>
      </w:r>
      <w:r w:rsidR="4F1258E3" w:rsidRPr="00DD1B58">
        <w:rPr>
          <w:lang w:val="en-US"/>
        </w:rPr>
        <w:t xml:space="preserve"> </w:t>
      </w:r>
      <w:r w:rsidRPr="00DD1B58">
        <w:rPr>
          <w:lang w:val="en-US"/>
        </w:rPr>
        <w:t>2007</w:t>
      </w:r>
      <w:r w:rsidR="00562395" w:rsidRPr="00DD1B58">
        <w:rPr>
          <w:lang w:val="en-US"/>
        </w:rPr>
        <w:t>; t</w:t>
      </w:r>
      <w:r w:rsidR="001D1CEF" w:rsidRPr="00DD1B58">
        <w:rPr>
          <w:lang w:val="en-US"/>
        </w:rPr>
        <w:t xml:space="preserve">his was a </w:t>
      </w:r>
      <w:r w:rsidR="003F6C48" w:rsidRPr="00DD1B58">
        <w:rPr>
          <w:lang w:val="en-US"/>
        </w:rPr>
        <w:t xml:space="preserve">level </w:t>
      </w:r>
      <w:r w:rsidRPr="00DD1B58">
        <w:rPr>
          <w:lang w:val="en-US"/>
        </w:rPr>
        <w:t xml:space="preserve">1 </w:t>
      </w:r>
      <w:r w:rsidR="001D1CEF" w:rsidRPr="00DD1B58">
        <w:rPr>
          <w:lang w:val="en-US"/>
        </w:rPr>
        <w:t>PSA</w:t>
      </w:r>
      <w:r w:rsidRPr="00DD1B58">
        <w:rPr>
          <w:lang w:val="en-US"/>
        </w:rPr>
        <w:t xml:space="preserve">. </w:t>
      </w:r>
      <w:r w:rsidR="00562395" w:rsidRPr="00DD1B58">
        <w:rPr>
          <w:lang w:val="en-US"/>
        </w:rPr>
        <w:t xml:space="preserve">The </w:t>
      </w:r>
      <w:r w:rsidR="003F6C48" w:rsidRPr="00DD1B58">
        <w:rPr>
          <w:lang w:val="en-US"/>
        </w:rPr>
        <w:t>l</w:t>
      </w:r>
      <w:r w:rsidR="00562395" w:rsidRPr="00DD1B58">
        <w:rPr>
          <w:lang w:val="en-US"/>
        </w:rPr>
        <w:t>evel 1</w:t>
      </w:r>
      <w:r w:rsidR="001D1CEF" w:rsidRPr="00DD1B58">
        <w:rPr>
          <w:lang w:val="en-US"/>
        </w:rPr>
        <w:t xml:space="preserve"> PSA </w:t>
      </w:r>
      <w:r w:rsidRPr="00DD1B58">
        <w:rPr>
          <w:lang w:val="en-US"/>
        </w:rPr>
        <w:t xml:space="preserve">was compared with the HPB deterministic case </w:t>
      </w:r>
      <w:r w:rsidR="00562395" w:rsidRPr="00DD1B58">
        <w:rPr>
          <w:lang w:val="en-US"/>
        </w:rPr>
        <w:t xml:space="preserve">and </w:t>
      </w:r>
      <w:r w:rsidR="00C362CA" w:rsidRPr="00DD1B58">
        <w:rPr>
          <w:lang w:val="en-US"/>
        </w:rPr>
        <w:t>EDF NGL</w:t>
      </w:r>
      <w:r w:rsidR="00562395" w:rsidRPr="00DD1B58">
        <w:rPr>
          <w:lang w:val="en-US"/>
        </w:rPr>
        <w:t xml:space="preserve"> concluded that there were no</w:t>
      </w:r>
      <w:r w:rsidRPr="00DD1B58">
        <w:rPr>
          <w:lang w:val="en-US"/>
        </w:rPr>
        <w:t xml:space="preserve"> significant shortfalls </w:t>
      </w:r>
      <w:r w:rsidR="00562395" w:rsidRPr="00DD1B58">
        <w:rPr>
          <w:lang w:val="en-US"/>
        </w:rPr>
        <w:t>and</w:t>
      </w:r>
      <w:r w:rsidRPr="00DD1B58">
        <w:rPr>
          <w:lang w:val="en-US"/>
        </w:rPr>
        <w:t xml:space="preserve"> no major safety case revisions were</w:t>
      </w:r>
      <w:r w:rsidR="627F877D" w:rsidRPr="00DD1B58">
        <w:rPr>
          <w:lang w:val="en-US"/>
        </w:rPr>
        <w:t xml:space="preserve"> </w:t>
      </w:r>
      <w:r w:rsidRPr="00DD1B58">
        <w:rPr>
          <w:lang w:val="en-US"/>
        </w:rPr>
        <w:t xml:space="preserve">required at </w:t>
      </w:r>
      <w:r w:rsidR="00562395" w:rsidRPr="00DD1B58">
        <w:rPr>
          <w:lang w:val="en-US"/>
        </w:rPr>
        <w:t>HP</w:t>
      </w:r>
      <w:r w:rsidRPr="00DD1B58">
        <w:rPr>
          <w:lang w:val="en-US"/>
        </w:rPr>
        <w:t>B or its sister station HNB. No significant plant modifications were required.</w:t>
      </w:r>
      <w:r w:rsidR="21843C12" w:rsidRPr="00DD1B58">
        <w:rPr>
          <w:lang w:val="en-US"/>
        </w:rPr>
        <w:t xml:space="preserve"> </w:t>
      </w:r>
      <w:r w:rsidRPr="00DD1B58">
        <w:rPr>
          <w:lang w:val="en-US"/>
        </w:rPr>
        <w:t>Fire contributed to about 10% of the large (DB5) release from the station.</w:t>
      </w:r>
      <w:r w:rsidR="00520086" w:rsidRPr="00DD1B58">
        <w:rPr>
          <w:lang w:val="en-US"/>
        </w:rPr>
        <w:t xml:space="preserve"> </w:t>
      </w:r>
      <w:r w:rsidRPr="00DD1B58">
        <w:rPr>
          <w:lang w:val="en-US"/>
        </w:rPr>
        <w:t xml:space="preserve">This study was taken to be applicable to the other first generation AGRs as well, </w:t>
      </w:r>
      <w:r w:rsidR="00F367FE" w:rsidRPr="00DD1B58">
        <w:rPr>
          <w:lang w:val="en-US"/>
        </w:rPr>
        <w:t xml:space="preserve">including </w:t>
      </w:r>
      <w:r w:rsidR="00D66A2B" w:rsidRPr="00DD1B58">
        <w:rPr>
          <w:lang w:val="en-US"/>
        </w:rPr>
        <w:t>HN</w:t>
      </w:r>
      <w:r w:rsidRPr="00DD1B58">
        <w:rPr>
          <w:lang w:val="en-US"/>
        </w:rPr>
        <w:t>B.</w:t>
      </w:r>
      <w:r w:rsidR="00F367FE" w:rsidRPr="00DD1B58">
        <w:rPr>
          <w:lang w:val="en-US"/>
        </w:rPr>
        <w:t xml:space="preserve"> </w:t>
      </w:r>
      <w:r w:rsidRPr="00DD1B58">
        <w:rPr>
          <w:lang w:val="en-US"/>
        </w:rPr>
        <w:t xml:space="preserve">As </w:t>
      </w:r>
      <w:r w:rsidR="00D66A2B" w:rsidRPr="00DD1B58">
        <w:rPr>
          <w:lang w:val="en-US"/>
        </w:rPr>
        <w:t>HN</w:t>
      </w:r>
      <w:r w:rsidRPr="00DD1B58">
        <w:rPr>
          <w:lang w:val="en-US"/>
        </w:rPr>
        <w:t>B is now shut down the potential release from fire and the release frequency are judged</w:t>
      </w:r>
      <w:r w:rsidR="3E09FBFF" w:rsidRPr="00DD1B58">
        <w:rPr>
          <w:lang w:val="en-US"/>
        </w:rPr>
        <w:t xml:space="preserve"> </w:t>
      </w:r>
      <w:r w:rsidRPr="00DD1B58">
        <w:rPr>
          <w:lang w:val="en-US"/>
        </w:rPr>
        <w:t>to be significantly lower than was the case for power operation.</w:t>
      </w:r>
    </w:p>
    <w:p w14:paraId="31FE9C4A" w14:textId="50D8AB32" w:rsidR="29A5693E" w:rsidRPr="00DD1B58" w:rsidRDefault="0B009431" w:rsidP="355CB971">
      <w:pPr>
        <w:rPr>
          <w:lang w:val="en-US"/>
        </w:rPr>
      </w:pPr>
      <w:r w:rsidRPr="00DD1B58">
        <w:rPr>
          <w:b/>
          <w:lang w:val="en-US"/>
        </w:rPr>
        <w:t xml:space="preserve">Second </w:t>
      </w:r>
      <w:r w:rsidR="00143378" w:rsidRPr="00DD1B58">
        <w:rPr>
          <w:b/>
          <w:lang w:val="en-US"/>
        </w:rPr>
        <w:t xml:space="preserve">generation </w:t>
      </w:r>
      <w:r w:rsidRPr="00DD1B58">
        <w:rPr>
          <w:b/>
          <w:lang w:val="en-US"/>
        </w:rPr>
        <w:t>AGRs (</w:t>
      </w:r>
      <w:r w:rsidR="00520086" w:rsidRPr="00DD1B58">
        <w:rPr>
          <w:b/>
          <w:lang w:val="en-US"/>
        </w:rPr>
        <w:t>HY</w:t>
      </w:r>
      <w:r w:rsidRPr="00DD1B58">
        <w:rPr>
          <w:b/>
          <w:lang w:val="en-US"/>
        </w:rPr>
        <w:t>2)</w:t>
      </w:r>
      <w:r w:rsidR="00143378" w:rsidRPr="00DD1B58">
        <w:rPr>
          <w:b/>
          <w:lang w:val="en-US"/>
        </w:rPr>
        <w:t>:</w:t>
      </w:r>
      <w:r w:rsidR="00861F87" w:rsidRPr="00DD1B58">
        <w:rPr>
          <w:b/>
          <w:lang w:val="en-US"/>
        </w:rPr>
        <w:t xml:space="preserve"> </w:t>
      </w:r>
      <w:r w:rsidR="00143378" w:rsidRPr="00DD1B58">
        <w:rPr>
          <w:lang w:val="en-US"/>
        </w:rPr>
        <w:t>s</w:t>
      </w:r>
      <w:r w:rsidR="004B452C" w:rsidRPr="00DD1B58">
        <w:rPr>
          <w:lang w:val="en-US"/>
        </w:rPr>
        <w:t xml:space="preserve">ection </w:t>
      </w:r>
      <w:r w:rsidR="0053167A" w:rsidRPr="00DD1B58">
        <w:rPr>
          <w:lang w:val="en-US"/>
        </w:rPr>
        <w:t>I-2.1.1.8 describes</w:t>
      </w:r>
      <w:r w:rsidRPr="00DD1B58">
        <w:rPr>
          <w:lang w:val="en-US"/>
        </w:rPr>
        <w:t xml:space="preserve"> the </w:t>
      </w:r>
      <w:r w:rsidR="0053167A" w:rsidRPr="00DD1B58">
        <w:rPr>
          <w:lang w:val="en-US"/>
        </w:rPr>
        <w:t>scope</w:t>
      </w:r>
      <w:r w:rsidRPr="00DD1B58">
        <w:rPr>
          <w:lang w:val="en-US"/>
        </w:rPr>
        <w:t xml:space="preserve"> of the </w:t>
      </w:r>
      <w:r w:rsidR="0053167A" w:rsidRPr="00DD1B58">
        <w:rPr>
          <w:lang w:val="en-US"/>
        </w:rPr>
        <w:t>HY2 PSA</w:t>
      </w:r>
      <w:r w:rsidR="00AC0B87" w:rsidRPr="00DD1B58">
        <w:rPr>
          <w:lang w:val="en-US"/>
        </w:rPr>
        <w:t xml:space="preserve"> (and </w:t>
      </w:r>
      <w:r w:rsidRPr="00DD1B58">
        <w:rPr>
          <w:lang w:val="en-US"/>
        </w:rPr>
        <w:t>the</w:t>
      </w:r>
      <w:r w:rsidR="73E2D964" w:rsidRPr="00DD1B58">
        <w:rPr>
          <w:lang w:val="en-US"/>
        </w:rPr>
        <w:t xml:space="preserve"> </w:t>
      </w:r>
      <w:r w:rsidR="00AC0B87" w:rsidRPr="00DD1B58">
        <w:rPr>
          <w:lang w:val="en-US"/>
        </w:rPr>
        <w:t>review process for</w:t>
      </w:r>
      <w:r w:rsidRPr="00DD1B58">
        <w:rPr>
          <w:lang w:val="en-US"/>
        </w:rPr>
        <w:t xml:space="preserve"> the PSA </w:t>
      </w:r>
      <w:r w:rsidR="00AC0B87" w:rsidRPr="00DD1B58">
        <w:rPr>
          <w:lang w:val="en-US"/>
        </w:rPr>
        <w:t xml:space="preserve">including IEFs). </w:t>
      </w:r>
      <w:r w:rsidR="29A5693E" w:rsidRPr="00DD1B58">
        <w:rPr>
          <w:lang w:val="en-US"/>
        </w:rPr>
        <w:t xml:space="preserve">It is the intention that the revised IEFs arising from a major update of the PSA are readily available and accessible for safety case review and assessment. Updates to the safety case which also drive change in the PSA are also included in the Major PSA Update. Changes to the PSA that have been identified in the case are captured in the PSA </w:t>
      </w:r>
      <w:r w:rsidR="00AC7E51" w:rsidRPr="00DD1B58">
        <w:rPr>
          <w:lang w:val="en-US"/>
        </w:rPr>
        <w:t>ch</w:t>
      </w:r>
      <w:r w:rsidR="29A5693E" w:rsidRPr="00DD1B58">
        <w:rPr>
          <w:lang w:val="en-US"/>
        </w:rPr>
        <w:t>ange log.</w:t>
      </w:r>
      <w:r w:rsidR="736FBE51" w:rsidRPr="00DD1B58">
        <w:rPr>
          <w:lang w:val="en-US"/>
        </w:rPr>
        <w:t xml:space="preserve"> </w:t>
      </w:r>
      <w:r w:rsidR="29A5693E" w:rsidRPr="00DD1B58">
        <w:rPr>
          <w:lang w:val="en-US"/>
        </w:rPr>
        <w:t xml:space="preserve">Three levels of PSA are </w:t>
      </w:r>
      <w:r w:rsidR="4B05D7B0" w:rsidRPr="00DD1B58">
        <w:rPr>
          <w:lang w:val="en-US"/>
        </w:rPr>
        <w:t xml:space="preserve">described in </w:t>
      </w:r>
      <w:r w:rsidR="008F0AF1" w:rsidRPr="00DD1B58">
        <w:rPr>
          <w:lang w:val="en-US"/>
        </w:rPr>
        <w:t>S</w:t>
      </w:r>
      <w:r w:rsidR="00AC7E51" w:rsidRPr="00DD1B58">
        <w:rPr>
          <w:lang w:val="en-US"/>
        </w:rPr>
        <w:t xml:space="preserve">ection </w:t>
      </w:r>
      <w:r w:rsidR="4B05D7B0" w:rsidRPr="00DD1B58">
        <w:rPr>
          <w:lang w:val="en-US"/>
        </w:rPr>
        <w:t xml:space="preserve">I-2.1.1.8. </w:t>
      </w:r>
    </w:p>
    <w:p w14:paraId="0FBE87AC" w14:textId="5A522E2D" w:rsidR="29A5693E" w:rsidRPr="00DD1B58" w:rsidRDefault="29A5693E" w:rsidP="355CB971">
      <w:pPr>
        <w:rPr>
          <w:lang w:val="en-US"/>
        </w:rPr>
      </w:pPr>
      <w:r w:rsidRPr="00DD1B58">
        <w:rPr>
          <w:lang w:val="en-US"/>
        </w:rPr>
        <w:t>The at</w:t>
      </w:r>
      <w:r w:rsidR="00AC7E51" w:rsidRPr="00DD1B58">
        <w:rPr>
          <w:lang w:val="en-US"/>
        </w:rPr>
        <w:t>-</w:t>
      </w:r>
      <w:r w:rsidRPr="00DD1B58">
        <w:rPr>
          <w:lang w:val="en-US"/>
        </w:rPr>
        <w:t>power fire PSA considers the maximum credible fires on a zone</w:t>
      </w:r>
      <w:r w:rsidR="121DF169" w:rsidRPr="00DD1B58">
        <w:rPr>
          <w:lang w:val="en-US"/>
        </w:rPr>
        <w:t>-</w:t>
      </w:r>
      <w:r w:rsidRPr="00DD1B58">
        <w:rPr>
          <w:lang w:val="en-US"/>
        </w:rPr>
        <w:t>by</w:t>
      </w:r>
      <w:r w:rsidR="121DF169" w:rsidRPr="00DD1B58">
        <w:rPr>
          <w:lang w:val="en-US"/>
        </w:rPr>
        <w:t>-</w:t>
      </w:r>
      <w:r w:rsidRPr="00DD1B58">
        <w:rPr>
          <w:lang w:val="en-US"/>
        </w:rPr>
        <w:t>zone basis where nuclear</w:t>
      </w:r>
      <w:r w:rsidR="32B3FC25" w:rsidRPr="00DD1B58">
        <w:rPr>
          <w:lang w:val="en-US"/>
        </w:rPr>
        <w:t xml:space="preserve"> </w:t>
      </w:r>
      <w:r w:rsidRPr="00DD1B58">
        <w:rPr>
          <w:lang w:val="en-US"/>
        </w:rPr>
        <w:t>safety related plant is located and includes non-nuclear areas containing substantial quantities of</w:t>
      </w:r>
      <w:r w:rsidR="313A3917" w:rsidRPr="00DD1B58">
        <w:rPr>
          <w:lang w:val="en-US"/>
        </w:rPr>
        <w:t xml:space="preserve"> </w:t>
      </w:r>
      <w:r w:rsidRPr="00DD1B58">
        <w:rPr>
          <w:lang w:val="en-US"/>
        </w:rPr>
        <w:t>combustible material. Fire in all areas which could impact nuclear safety is captured in the PSA fault</w:t>
      </w:r>
      <w:r w:rsidR="5E630613" w:rsidRPr="00DD1B58">
        <w:rPr>
          <w:lang w:val="en-US"/>
        </w:rPr>
        <w:t xml:space="preserve"> </w:t>
      </w:r>
      <w:r w:rsidRPr="00DD1B58">
        <w:rPr>
          <w:lang w:val="en-US"/>
        </w:rPr>
        <w:t>schedule and subsequently the fire PSA.</w:t>
      </w:r>
    </w:p>
    <w:p w14:paraId="6BEEF3D9" w14:textId="5A95F581" w:rsidR="29A5693E" w:rsidRPr="00DD1B58" w:rsidRDefault="00BE4372" w:rsidP="355CB971">
      <w:pPr>
        <w:rPr>
          <w:lang w:val="en-US"/>
        </w:rPr>
      </w:pPr>
      <w:r w:rsidRPr="00DD1B58">
        <w:rPr>
          <w:lang w:val="en-US"/>
        </w:rPr>
        <w:t>M</w:t>
      </w:r>
      <w:r w:rsidR="29A5693E" w:rsidRPr="00DD1B58">
        <w:rPr>
          <w:lang w:val="en-US"/>
        </w:rPr>
        <w:t>inor PSA updates are completed on a yearly basis. In addition</w:t>
      </w:r>
      <w:r w:rsidR="2E84BB47" w:rsidRPr="00DD1B58">
        <w:rPr>
          <w:lang w:val="en-US"/>
        </w:rPr>
        <w:t>,</w:t>
      </w:r>
      <w:r w:rsidR="29A5693E" w:rsidRPr="00DD1B58">
        <w:rPr>
          <w:lang w:val="en-US"/>
        </w:rPr>
        <w:t xml:space="preserve"> a major PSA review and</w:t>
      </w:r>
      <w:r w:rsidR="55FB01B0" w:rsidRPr="00DD1B58">
        <w:rPr>
          <w:lang w:val="en-US"/>
        </w:rPr>
        <w:t xml:space="preserve"> </w:t>
      </w:r>
      <w:r w:rsidR="29A5693E" w:rsidRPr="00DD1B58">
        <w:rPr>
          <w:lang w:val="en-US"/>
        </w:rPr>
        <w:t xml:space="preserve">update is completed every </w:t>
      </w:r>
      <w:r w:rsidR="00AC7E51" w:rsidRPr="00DD1B58">
        <w:rPr>
          <w:lang w:val="en-US"/>
        </w:rPr>
        <w:t xml:space="preserve">three </w:t>
      </w:r>
      <w:r w:rsidR="29A5693E" w:rsidRPr="00DD1B58">
        <w:rPr>
          <w:lang w:val="en-US"/>
        </w:rPr>
        <w:t>years and it is based on interim analyses, engineering changes and station</w:t>
      </w:r>
      <w:r w:rsidR="70F671C2" w:rsidRPr="00DD1B58">
        <w:rPr>
          <w:lang w:val="en-US"/>
        </w:rPr>
        <w:t xml:space="preserve"> </w:t>
      </w:r>
      <w:r w:rsidR="29A5693E" w:rsidRPr="00DD1B58">
        <w:rPr>
          <w:lang w:val="en-US"/>
        </w:rPr>
        <w:t>data reviews.</w:t>
      </w:r>
      <w:r w:rsidR="003E3087" w:rsidRPr="00DD1B58">
        <w:rPr>
          <w:lang w:val="en-US"/>
        </w:rPr>
        <w:t xml:space="preserve"> </w:t>
      </w:r>
      <w:r w:rsidR="29A5693E" w:rsidRPr="00DD1B58">
        <w:rPr>
          <w:lang w:val="en-US"/>
        </w:rPr>
        <w:t xml:space="preserve">Safety Case Health Review (SCHRs) are conducted every </w:t>
      </w:r>
      <w:r w:rsidR="00AC7E51" w:rsidRPr="00DD1B58">
        <w:rPr>
          <w:lang w:val="en-US"/>
        </w:rPr>
        <w:t xml:space="preserve">three </w:t>
      </w:r>
      <w:r w:rsidR="29A5693E" w:rsidRPr="00DD1B58">
        <w:rPr>
          <w:lang w:val="en-US"/>
        </w:rPr>
        <w:t xml:space="preserve">years as well as PSRs every </w:t>
      </w:r>
      <w:r w:rsidR="00AC7E51" w:rsidRPr="00DD1B58">
        <w:rPr>
          <w:lang w:val="en-US"/>
        </w:rPr>
        <w:t xml:space="preserve">ten </w:t>
      </w:r>
      <w:r w:rsidR="29A5693E" w:rsidRPr="00DD1B58">
        <w:rPr>
          <w:lang w:val="en-US"/>
        </w:rPr>
        <w:t>years</w:t>
      </w:r>
      <w:r w:rsidR="003E3087" w:rsidRPr="00DD1B58">
        <w:rPr>
          <w:lang w:val="en-US"/>
        </w:rPr>
        <w:t>.</w:t>
      </w:r>
    </w:p>
    <w:p w14:paraId="490DCA3C" w14:textId="5C98A614" w:rsidR="00BE4372" w:rsidRPr="00DD1B58" w:rsidRDefault="00BE4372" w:rsidP="00BE4372">
      <w:pPr>
        <w:rPr>
          <w:lang w:val="en-US"/>
        </w:rPr>
      </w:pPr>
      <w:r w:rsidRPr="00DD1B58">
        <w:rPr>
          <w:lang w:val="en-US"/>
        </w:rPr>
        <w:t>From the 2018/19 PSA update for HY2, internal fire hazards contribute 1</w:t>
      </w:r>
      <w:r w:rsidR="004D5AAA" w:rsidRPr="00DD1B58">
        <w:rPr>
          <w:lang w:val="en-US"/>
        </w:rPr>
        <w:t>0</w:t>
      </w:r>
      <w:r w:rsidRPr="00DD1B58">
        <w:rPr>
          <w:lang w:val="en-US"/>
        </w:rPr>
        <w:t xml:space="preserve">% to </w:t>
      </w:r>
      <w:r w:rsidR="004D5AAA" w:rsidRPr="00DD1B58">
        <w:rPr>
          <w:lang w:val="en-US"/>
        </w:rPr>
        <w:t>internal hazards</w:t>
      </w:r>
      <w:r w:rsidRPr="00DD1B58">
        <w:rPr>
          <w:lang w:val="en-US"/>
        </w:rPr>
        <w:t xml:space="preserve"> risk (please note that in the UK context internal hazards are within the site boundary, not just the safety classified buildings).</w:t>
      </w:r>
    </w:p>
    <w:p w14:paraId="726C576F" w14:textId="77777777" w:rsidR="29A5693E" w:rsidRPr="00DD1B58" w:rsidRDefault="29A5693E" w:rsidP="355CB971">
      <w:pPr>
        <w:rPr>
          <w:lang w:val="en-US"/>
        </w:rPr>
      </w:pPr>
      <w:r w:rsidRPr="00DD1B58">
        <w:rPr>
          <w:lang w:val="en-US"/>
        </w:rPr>
        <w:t>Periodic safety reviews have highlighted potential shortfalls such as identification of implicit reliance</w:t>
      </w:r>
      <w:r w:rsidR="10B3036B" w:rsidRPr="00DD1B58">
        <w:rPr>
          <w:lang w:val="en-US"/>
        </w:rPr>
        <w:t xml:space="preserve"> </w:t>
      </w:r>
      <w:r w:rsidRPr="00DD1B58">
        <w:rPr>
          <w:lang w:val="en-US"/>
        </w:rPr>
        <w:t>placed on the reliable closure of fire doors to prevent a single fire affecting multiple trains across both</w:t>
      </w:r>
      <w:r w:rsidR="0D6035A5" w:rsidRPr="00DD1B58">
        <w:rPr>
          <w:lang w:val="en-US"/>
        </w:rPr>
        <w:t xml:space="preserve"> </w:t>
      </w:r>
      <w:r w:rsidRPr="00DD1B58">
        <w:rPr>
          <w:lang w:val="en-US"/>
        </w:rPr>
        <w:t xml:space="preserve">reactors. The </w:t>
      </w:r>
      <w:r w:rsidR="00F85B17" w:rsidRPr="00DD1B58">
        <w:rPr>
          <w:lang w:val="en-US"/>
        </w:rPr>
        <w:t>‘</w:t>
      </w:r>
      <w:r w:rsidRPr="00DD1B58">
        <w:rPr>
          <w:lang w:val="en-US"/>
        </w:rPr>
        <w:t>as found</w:t>
      </w:r>
      <w:r w:rsidR="00F85B17" w:rsidRPr="00DD1B58">
        <w:rPr>
          <w:lang w:val="en-US"/>
        </w:rPr>
        <w:t>’</w:t>
      </w:r>
      <w:r w:rsidRPr="00DD1B58">
        <w:rPr>
          <w:lang w:val="en-US"/>
        </w:rPr>
        <w:t xml:space="preserve"> situation was reviewed for reliability of fire detection and reliability of fire door</w:t>
      </w:r>
      <w:r w:rsidR="37940BDB" w:rsidRPr="00DD1B58">
        <w:rPr>
          <w:lang w:val="en-US"/>
        </w:rPr>
        <w:t xml:space="preserve"> </w:t>
      </w:r>
      <w:r w:rsidRPr="00DD1B58">
        <w:rPr>
          <w:lang w:val="en-US"/>
        </w:rPr>
        <w:t>closure. The frequency of such an event was demonstrated to be adequately low and no further action</w:t>
      </w:r>
      <w:r w:rsidR="23E19A2C" w:rsidRPr="00DD1B58">
        <w:rPr>
          <w:lang w:val="en-US"/>
        </w:rPr>
        <w:t xml:space="preserve"> </w:t>
      </w:r>
      <w:r w:rsidRPr="00DD1B58">
        <w:rPr>
          <w:lang w:val="en-US"/>
        </w:rPr>
        <w:t>was required.</w:t>
      </w:r>
    </w:p>
    <w:p w14:paraId="416324CD" w14:textId="114F6740" w:rsidR="41EFFEEC" w:rsidRPr="00DD1B58" w:rsidRDefault="29A5693E" w:rsidP="355CB971">
      <w:pPr>
        <w:rPr>
          <w:lang w:val="en-US"/>
        </w:rPr>
      </w:pPr>
      <w:r w:rsidRPr="00DD1B58">
        <w:rPr>
          <w:b/>
          <w:lang w:val="en-US"/>
        </w:rPr>
        <w:t>Sizewell B</w:t>
      </w:r>
      <w:r w:rsidR="00AC7E51" w:rsidRPr="00DD1B58">
        <w:rPr>
          <w:b/>
          <w:lang w:val="en-US"/>
        </w:rPr>
        <w:t>:</w:t>
      </w:r>
      <w:r w:rsidR="00861F87" w:rsidRPr="00DD1B58">
        <w:rPr>
          <w:b/>
          <w:lang w:val="en-US"/>
        </w:rPr>
        <w:t xml:space="preserve"> </w:t>
      </w:r>
      <w:r w:rsidR="00AC7E51" w:rsidRPr="00DD1B58">
        <w:rPr>
          <w:lang w:val="en-US"/>
        </w:rPr>
        <w:t>t</w:t>
      </w:r>
      <w:r w:rsidRPr="00DD1B58">
        <w:rPr>
          <w:lang w:val="en-US"/>
        </w:rPr>
        <w:t xml:space="preserve">he fire PSA is carried out for PSA </w:t>
      </w:r>
      <w:r w:rsidR="00AC7E51" w:rsidRPr="00DD1B58">
        <w:rPr>
          <w:lang w:val="en-US"/>
        </w:rPr>
        <w:t xml:space="preserve">levels </w:t>
      </w:r>
      <w:r w:rsidRPr="00DD1B58">
        <w:rPr>
          <w:lang w:val="en-US"/>
        </w:rPr>
        <w:t>1, 2 and 3. This uses the same methodologies as for the plant</w:t>
      </w:r>
      <w:r w:rsidR="479CC108" w:rsidRPr="00DD1B58">
        <w:rPr>
          <w:lang w:val="en-US"/>
        </w:rPr>
        <w:t xml:space="preserve"> </w:t>
      </w:r>
      <w:r w:rsidRPr="00DD1B58">
        <w:rPr>
          <w:lang w:val="en-US"/>
        </w:rPr>
        <w:t>faults PSA. All operating states are considered for the fire PSA.</w:t>
      </w:r>
      <w:r w:rsidR="41EFFEEC" w:rsidRPr="00DD1B58">
        <w:rPr>
          <w:lang w:val="en-US"/>
        </w:rPr>
        <w:t xml:space="preserve"> All plant areas containing safety classified equipment are considered in the fire PSA.</w:t>
      </w:r>
    </w:p>
    <w:p w14:paraId="5D5AEE37" w14:textId="2861E9AF" w:rsidR="41EFFEEC" w:rsidRPr="00DD1B58" w:rsidRDefault="41EFFEEC" w:rsidP="355CB971">
      <w:pPr>
        <w:rPr>
          <w:lang w:val="en-US"/>
        </w:rPr>
      </w:pPr>
      <w:r w:rsidRPr="00DD1B58">
        <w:rPr>
          <w:lang w:val="en-US"/>
        </w:rPr>
        <w:lastRenderedPageBreak/>
        <w:t>The fire PSA covers all internal plant areas and external fires (equivalent to the deterministic fire assessment, which is used a basis for the fire PSA).</w:t>
      </w:r>
      <w:r w:rsidR="003E3087" w:rsidRPr="00DD1B58">
        <w:rPr>
          <w:lang w:val="en-US"/>
        </w:rPr>
        <w:t xml:space="preserve"> </w:t>
      </w:r>
      <w:r w:rsidRPr="00DD1B58">
        <w:rPr>
          <w:lang w:val="en-US"/>
        </w:rPr>
        <w:t>The PSA fire sequences are not significant in terms of the overall plant risk.</w:t>
      </w:r>
      <w:r w:rsidR="0025460D" w:rsidRPr="00DD1B58">
        <w:rPr>
          <w:lang w:val="en-US"/>
        </w:rPr>
        <w:t xml:space="preserve"> </w:t>
      </w:r>
      <w:r w:rsidR="00503609" w:rsidRPr="00DD1B58">
        <w:rPr>
          <w:lang w:val="en-US"/>
        </w:rPr>
        <w:t>For fires outside safety classified buildings and external to the site the consequences were negligible, and no Plant Damage States were derived</w:t>
      </w:r>
      <w:r w:rsidR="00EF1B2A" w:rsidRPr="00DD1B58">
        <w:rPr>
          <w:lang w:val="en-US"/>
        </w:rPr>
        <w:t>.</w:t>
      </w:r>
      <w:r w:rsidR="00EB0E36" w:rsidRPr="00DD1B58">
        <w:rPr>
          <w:lang w:val="en-US"/>
        </w:rPr>
        <w:t xml:space="preserve"> </w:t>
      </w:r>
      <w:r w:rsidRPr="00DD1B58">
        <w:rPr>
          <w:lang w:val="en-US"/>
        </w:rPr>
        <w:t>The contribution of fire to the core damage frequency is 1.58 x 10</w:t>
      </w:r>
      <w:r w:rsidRPr="00DD1B58">
        <w:rPr>
          <w:vertAlign w:val="superscript"/>
          <w:lang w:val="en-US"/>
        </w:rPr>
        <w:t xml:space="preserve">-7 </w:t>
      </w:r>
      <w:r w:rsidRPr="00DD1B58">
        <w:rPr>
          <w:lang w:val="en-US"/>
        </w:rPr>
        <w:t xml:space="preserve">p.a., which is 2.23% of the total (including all faults and hazards). </w:t>
      </w:r>
      <w:r w:rsidR="00C362CA" w:rsidRPr="00DD1B58">
        <w:rPr>
          <w:lang w:val="en-US"/>
        </w:rPr>
        <w:t>EDF NGL</w:t>
      </w:r>
      <w:r w:rsidR="00EF1B2A" w:rsidRPr="00DD1B58">
        <w:rPr>
          <w:lang w:val="en-US"/>
        </w:rPr>
        <w:t xml:space="preserve"> considers </w:t>
      </w:r>
      <w:r w:rsidR="001D7715" w:rsidRPr="00DD1B58">
        <w:rPr>
          <w:lang w:val="en-US"/>
        </w:rPr>
        <w:t>th</w:t>
      </w:r>
      <w:r w:rsidRPr="00DD1B58">
        <w:rPr>
          <w:lang w:val="en-US"/>
        </w:rPr>
        <w:t xml:space="preserve">is </w:t>
      </w:r>
      <w:r w:rsidR="001D7715" w:rsidRPr="00DD1B58">
        <w:rPr>
          <w:lang w:val="en-US"/>
        </w:rPr>
        <w:t xml:space="preserve">to be </w:t>
      </w:r>
      <w:r w:rsidRPr="00DD1B58">
        <w:rPr>
          <w:lang w:val="en-US"/>
        </w:rPr>
        <w:t>a conservative estimate</w:t>
      </w:r>
      <w:r w:rsidR="00EB0E36" w:rsidRPr="00DD1B58">
        <w:rPr>
          <w:lang w:val="en-US"/>
        </w:rPr>
        <w:t>, and both the</w:t>
      </w:r>
      <w:r w:rsidRPr="00DD1B58">
        <w:rPr>
          <w:lang w:val="en-US"/>
        </w:rPr>
        <w:t xml:space="preserve"> deterministic fire assessment and the PSA fire assessment</w:t>
      </w:r>
      <w:r w:rsidR="00EB0E36" w:rsidRPr="00DD1B58">
        <w:rPr>
          <w:lang w:val="en-US"/>
        </w:rPr>
        <w:t>s were considered</w:t>
      </w:r>
      <w:r w:rsidRPr="00DD1B58">
        <w:rPr>
          <w:lang w:val="en-US"/>
        </w:rPr>
        <w:t xml:space="preserve"> in the three PSRs carried out to date</w:t>
      </w:r>
      <w:r w:rsidR="001D7715" w:rsidRPr="00DD1B58">
        <w:rPr>
          <w:lang w:val="en-US"/>
        </w:rPr>
        <w:t xml:space="preserve">. </w:t>
      </w:r>
      <w:r w:rsidR="00C362CA" w:rsidRPr="00DD1B58">
        <w:rPr>
          <w:lang w:val="en-US"/>
        </w:rPr>
        <w:t>EDF NGL</w:t>
      </w:r>
      <w:r w:rsidR="00EB0E36" w:rsidRPr="00DD1B58">
        <w:rPr>
          <w:lang w:val="en-US"/>
        </w:rPr>
        <w:t xml:space="preserve"> conclud</w:t>
      </w:r>
      <w:r w:rsidR="001D7715" w:rsidRPr="00DD1B58">
        <w:rPr>
          <w:lang w:val="en-US"/>
        </w:rPr>
        <w:t>ed</w:t>
      </w:r>
      <w:r w:rsidR="00EB0E36" w:rsidRPr="00DD1B58">
        <w:rPr>
          <w:lang w:val="en-US"/>
        </w:rPr>
        <w:t xml:space="preserve"> that</w:t>
      </w:r>
      <w:r w:rsidR="0056102A" w:rsidRPr="00DD1B58">
        <w:rPr>
          <w:lang w:val="en-US"/>
        </w:rPr>
        <w:t xml:space="preserve"> no</w:t>
      </w:r>
      <w:r w:rsidRPr="00DD1B58">
        <w:rPr>
          <w:lang w:val="en-US"/>
        </w:rPr>
        <w:t xml:space="preserve"> significant changes </w:t>
      </w:r>
      <w:r w:rsidR="00EB0E36" w:rsidRPr="00DD1B58">
        <w:rPr>
          <w:lang w:val="en-US"/>
        </w:rPr>
        <w:t xml:space="preserve">were </w:t>
      </w:r>
      <w:r w:rsidRPr="00DD1B58">
        <w:rPr>
          <w:lang w:val="en-US"/>
        </w:rPr>
        <w:t>necessary.</w:t>
      </w:r>
    </w:p>
    <w:p w14:paraId="04718B5A" w14:textId="77777777" w:rsidR="00DB3279" w:rsidRPr="00DD1B58" w:rsidRDefault="00DB3279" w:rsidP="0062501D">
      <w:pPr>
        <w:pStyle w:val="Heading4"/>
        <w:rPr>
          <w:lang w:val="en-US"/>
        </w:rPr>
      </w:pPr>
      <w:r w:rsidRPr="00DD1B58">
        <w:rPr>
          <w:lang w:val="en-US"/>
        </w:rPr>
        <w:t xml:space="preserve">Key assumptions and methodologies </w:t>
      </w:r>
    </w:p>
    <w:p w14:paraId="12FBA73B" w14:textId="161D3930" w:rsidR="007F25C3" w:rsidRPr="00DD1B58" w:rsidRDefault="007F25C3" w:rsidP="007F25C3">
      <w:pPr>
        <w:rPr>
          <w:lang w:val="en-US"/>
        </w:rPr>
      </w:pPr>
      <w:r w:rsidRPr="00DD1B58">
        <w:rPr>
          <w:lang w:val="en-US"/>
        </w:rPr>
        <w:t xml:space="preserve">The text in this section of the report has been prepared by </w:t>
      </w:r>
      <w:r w:rsidR="00044A58" w:rsidRPr="00DD1B58">
        <w:rPr>
          <w:lang w:val="en-US"/>
        </w:rPr>
        <w:t>EDF NGL</w:t>
      </w:r>
      <w:r w:rsidRPr="00DD1B58">
        <w:rPr>
          <w:lang w:val="en-US"/>
        </w:rPr>
        <w:t xml:space="preserve">, with only minor changes by ONR as described in </w:t>
      </w:r>
      <w:r w:rsidR="008F0AF1" w:rsidRPr="00DD1B58">
        <w:rPr>
          <w:lang w:val="en-US"/>
        </w:rPr>
        <w:t>S</w:t>
      </w:r>
      <w:r w:rsidRPr="00DD1B58">
        <w:rPr>
          <w:lang w:val="en-US"/>
        </w:rPr>
        <w:t>ection 1.1.2.</w:t>
      </w:r>
    </w:p>
    <w:p w14:paraId="402FD8A8" w14:textId="08740CE5" w:rsidR="33F2028F" w:rsidRPr="00DD1B58" w:rsidRDefault="33F2028F" w:rsidP="355CB971">
      <w:pPr>
        <w:rPr>
          <w:lang w:val="en-US"/>
        </w:rPr>
      </w:pPr>
      <w:r w:rsidRPr="00DD1B58">
        <w:rPr>
          <w:b/>
          <w:lang w:val="en-US"/>
        </w:rPr>
        <w:t>General</w:t>
      </w:r>
      <w:r w:rsidR="001D7715" w:rsidRPr="00DD1B58">
        <w:rPr>
          <w:b/>
          <w:lang w:val="en-US"/>
        </w:rPr>
        <w:t xml:space="preserve">: </w:t>
      </w:r>
      <w:r w:rsidR="001D7715" w:rsidRPr="00DD1B58">
        <w:rPr>
          <w:lang w:val="en-US"/>
        </w:rPr>
        <w:t>t</w:t>
      </w:r>
      <w:r w:rsidRPr="00DD1B58">
        <w:rPr>
          <w:lang w:val="en-US"/>
        </w:rPr>
        <w:t xml:space="preserve">he </w:t>
      </w:r>
      <w:r w:rsidR="00C362CA" w:rsidRPr="00DD1B58">
        <w:rPr>
          <w:lang w:val="en-US"/>
        </w:rPr>
        <w:t>EDF NGL</w:t>
      </w:r>
      <w:r w:rsidR="00061458" w:rsidRPr="00DD1B58">
        <w:rPr>
          <w:lang w:val="en-US"/>
        </w:rPr>
        <w:t xml:space="preserve"> </w:t>
      </w:r>
      <w:r w:rsidRPr="00DD1B58">
        <w:rPr>
          <w:lang w:val="en-US"/>
        </w:rPr>
        <w:t>key fire document</w:t>
      </w:r>
      <w:r w:rsidR="00A56243" w:rsidRPr="00DD1B58">
        <w:rPr>
          <w:lang w:val="en-US"/>
        </w:rPr>
        <w:t xml:space="preserve"> </w:t>
      </w:r>
      <w:r w:rsidRPr="00DD1B58">
        <w:rPr>
          <w:lang w:val="en-US"/>
        </w:rPr>
        <w:t>considers safety guidelines for the deterministic assessment of fire protection measures on nuclear safety</w:t>
      </w:r>
      <w:r w:rsidR="00A56243" w:rsidRPr="00DD1B58">
        <w:rPr>
          <w:lang w:val="en-US"/>
        </w:rPr>
        <w:t>-</w:t>
      </w:r>
      <w:r w:rsidRPr="00DD1B58">
        <w:rPr>
          <w:lang w:val="en-US"/>
        </w:rPr>
        <w:t>related plant</w:t>
      </w:r>
      <w:r w:rsidR="001857E8" w:rsidRPr="00DD1B58">
        <w:rPr>
          <w:lang w:val="en-US"/>
        </w:rPr>
        <w:t>.</w:t>
      </w:r>
      <w:r w:rsidRPr="00DD1B58">
        <w:rPr>
          <w:lang w:val="en-US"/>
        </w:rPr>
        <w:t xml:space="preserve"> </w:t>
      </w:r>
      <w:r w:rsidR="00A56243" w:rsidRPr="00DD1B58">
        <w:rPr>
          <w:lang w:val="en-US"/>
        </w:rPr>
        <w:t>The</w:t>
      </w:r>
      <w:r w:rsidRPr="00DD1B58">
        <w:rPr>
          <w:lang w:val="en-US"/>
        </w:rPr>
        <w:t xml:space="preserve"> document was </w:t>
      </w:r>
      <w:r w:rsidR="003E5C5F" w:rsidRPr="00DD1B58">
        <w:rPr>
          <w:lang w:val="en-US"/>
        </w:rPr>
        <w:t>developed</w:t>
      </w:r>
      <w:r w:rsidRPr="00DD1B58">
        <w:rPr>
          <w:lang w:val="en-US"/>
        </w:rPr>
        <w:t xml:space="preserve"> for existing nuclea</w:t>
      </w:r>
      <w:r w:rsidR="003E5C5F" w:rsidRPr="00DD1B58">
        <w:rPr>
          <w:lang w:val="en-US"/>
        </w:rPr>
        <w:t>r</w:t>
      </w:r>
      <w:r w:rsidRPr="00DD1B58">
        <w:rPr>
          <w:lang w:val="en-US"/>
        </w:rPr>
        <w:t xml:space="preserve"> safety related systems at AGR power stations</w:t>
      </w:r>
      <w:r w:rsidR="003E5C5F" w:rsidRPr="00DD1B58">
        <w:rPr>
          <w:lang w:val="en-US"/>
        </w:rPr>
        <w:t xml:space="preserve"> and i</w:t>
      </w:r>
      <w:r w:rsidRPr="00DD1B58">
        <w:rPr>
          <w:lang w:val="en-US"/>
        </w:rPr>
        <w:t xml:space="preserve">s based on existing </w:t>
      </w:r>
      <w:r w:rsidR="00C362CA" w:rsidRPr="00DD1B58">
        <w:rPr>
          <w:lang w:val="en-US"/>
        </w:rPr>
        <w:t>EDF NGL</w:t>
      </w:r>
      <w:r w:rsidRPr="00DD1B58">
        <w:rPr>
          <w:lang w:val="en-US"/>
        </w:rPr>
        <w:t xml:space="preserve"> practice and updated in line with recommendations from an independent review conducted by the Industry Management Committee (IMC) research programme.</w:t>
      </w:r>
    </w:p>
    <w:p w14:paraId="06977C67" w14:textId="279D12B7" w:rsidR="33F2028F" w:rsidRPr="00DD1B58" w:rsidRDefault="33F2028F" w:rsidP="355CB971">
      <w:pPr>
        <w:rPr>
          <w:lang w:val="en-US"/>
        </w:rPr>
      </w:pPr>
      <w:r w:rsidRPr="00DD1B58">
        <w:rPr>
          <w:lang w:val="en-US"/>
        </w:rPr>
        <w:t>The safety principle that fire protection equipment on nuclear safety</w:t>
      </w:r>
      <w:r w:rsidR="003E5C5F" w:rsidRPr="00DD1B58">
        <w:rPr>
          <w:lang w:val="en-US"/>
        </w:rPr>
        <w:t>-</w:t>
      </w:r>
      <w:r w:rsidRPr="00DD1B58">
        <w:rPr>
          <w:lang w:val="en-US"/>
        </w:rPr>
        <w:t xml:space="preserve">related plant at AGR </w:t>
      </w:r>
      <w:r w:rsidR="00C362CA" w:rsidRPr="00DD1B58">
        <w:rPr>
          <w:lang w:val="en-US"/>
        </w:rPr>
        <w:t>EDF NGL</w:t>
      </w:r>
      <w:r w:rsidRPr="00DD1B58">
        <w:rPr>
          <w:lang w:val="en-US"/>
        </w:rPr>
        <w:t xml:space="preserve"> power stations should aim to satisfy </w:t>
      </w:r>
      <w:r w:rsidR="003E5C5F" w:rsidRPr="00DD1B58">
        <w:rPr>
          <w:lang w:val="en-US"/>
        </w:rPr>
        <w:t xml:space="preserve">was </w:t>
      </w:r>
      <w:r w:rsidRPr="00DD1B58">
        <w:rPr>
          <w:lang w:val="en-US"/>
        </w:rPr>
        <w:t xml:space="preserve">presented in </w:t>
      </w:r>
      <w:r w:rsidR="008F0AF1" w:rsidRPr="00DD1B58">
        <w:rPr>
          <w:lang w:val="en-US"/>
        </w:rPr>
        <w:t>S</w:t>
      </w:r>
      <w:r w:rsidR="00674E6E" w:rsidRPr="00DD1B58">
        <w:rPr>
          <w:lang w:val="en-US"/>
        </w:rPr>
        <w:t xml:space="preserve">ection </w:t>
      </w:r>
      <w:r w:rsidR="00630816" w:rsidRPr="00DD1B58">
        <w:rPr>
          <w:lang w:val="en-US"/>
        </w:rPr>
        <w:t>I-</w:t>
      </w:r>
      <w:r w:rsidRPr="00DD1B58">
        <w:rPr>
          <w:lang w:val="en-US"/>
        </w:rPr>
        <w:t xml:space="preserve">2.1.3. </w:t>
      </w:r>
      <w:r w:rsidR="00F34D15" w:rsidRPr="00DD1B58">
        <w:rPr>
          <w:lang w:val="en-US"/>
        </w:rPr>
        <w:t xml:space="preserve">The guidelines </w:t>
      </w:r>
      <w:r w:rsidRPr="00DD1B58">
        <w:rPr>
          <w:lang w:val="en-US"/>
        </w:rPr>
        <w:t xml:space="preserve">for assessing the plant against </w:t>
      </w:r>
      <w:r w:rsidR="00F34D15" w:rsidRPr="00DD1B58">
        <w:rPr>
          <w:lang w:val="en-US"/>
        </w:rPr>
        <w:t xml:space="preserve">the </w:t>
      </w:r>
      <w:r w:rsidRPr="00DD1B58">
        <w:rPr>
          <w:lang w:val="en-US"/>
        </w:rPr>
        <w:t xml:space="preserve">principle are </w:t>
      </w:r>
      <w:r w:rsidR="00F34D15" w:rsidRPr="00DD1B58">
        <w:rPr>
          <w:lang w:val="en-US"/>
        </w:rPr>
        <w:t xml:space="preserve">then </w:t>
      </w:r>
      <w:r w:rsidRPr="00DD1B58">
        <w:rPr>
          <w:lang w:val="en-US"/>
        </w:rPr>
        <w:t>provided</w:t>
      </w:r>
      <w:r w:rsidR="00F34D15" w:rsidRPr="00DD1B58">
        <w:rPr>
          <w:lang w:val="en-US"/>
        </w:rPr>
        <w:t xml:space="preserve">, and </w:t>
      </w:r>
      <w:r w:rsidRPr="00DD1B58">
        <w:rPr>
          <w:lang w:val="en-US"/>
        </w:rPr>
        <w:t>form the basis of deterministic fire protection safety reviews.</w:t>
      </w:r>
    </w:p>
    <w:p w14:paraId="7C8C26F3" w14:textId="1B06D332" w:rsidR="00674E6E" w:rsidRPr="00DD1B58" w:rsidRDefault="33F2028F" w:rsidP="355CB971">
      <w:pPr>
        <w:rPr>
          <w:lang w:val="en-US"/>
        </w:rPr>
      </w:pPr>
      <w:r w:rsidRPr="00DD1B58">
        <w:rPr>
          <w:lang w:val="en-US"/>
        </w:rPr>
        <w:t xml:space="preserve">Referring back to </w:t>
      </w:r>
      <w:r w:rsidR="00630816" w:rsidRPr="00DD1B58">
        <w:rPr>
          <w:lang w:val="en-US"/>
        </w:rPr>
        <w:t>I-</w:t>
      </w:r>
      <w:r w:rsidRPr="00DD1B58">
        <w:rPr>
          <w:lang w:val="en-US"/>
        </w:rPr>
        <w:t xml:space="preserve">2.1.1 in the Fire Protection Philosophy, </w:t>
      </w:r>
      <w:r w:rsidR="00C362CA" w:rsidRPr="00DD1B58">
        <w:rPr>
          <w:lang w:val="en-US"/>
        </w:rPr>
        <w:t>EDF NGL</w:t>
      </w:r>
      <w:r w:rsidR="00F34D15" w:rsidRPr="00DD1B58">
        <w:rPr>
          <w:lang w:val="en-US"/>
        </w:rPr>
        <w:t xml:space="preserve"> developed </w:t>
      </w:r>
      <w:r w:rsidRPr="00DD1B58">
        <w:rPr>
          <w:lang w:val="en-US"/>
        </w:rPr>
        <w:t xml:space="preserve">objectives 3 (ii) and 3 (iii) into a set of </w:t>
      </w:r>
      <w:r w:rsidR="0048094E" w:rsidRPr="00DD1B58">
        <w:rPr>
          <w:lang w:val="en-US"/>
        </w:rPr>
        <w:t xml:space="preserve">eight </w:t>
      </w:r>
      <w:r w:rsidRPr="00DD1B58">
        <w:rPr>
          <w:lang w:val="en-US"/>
        </w:rPr>
        <w:t>guidelines against which to assess the plant.</w:t>
      </w:r>
    </w:p>
    <w:p w14:paraId="6B379743" w14:textId="32D7E73F" w:rsidR="00674E6E" w:rsidRPr="00DD1B58" w:rsidRDefault="00674E6E" w:rsidP="355CB971">
      <w:pPr>
        <w:rPr>
          <w:lang w:val="en-US"/>
        </w:rPr>
      </w:pPr>
      <w:r w:rsidRPr="00DD1B58">
        <w:rPr>
          <w:lang w:val="en-US"/>
        </w:rPr>
        <w:t xml:space="preserve">The first five guidelines relate to segregation, redundancy, absence of combustibles and provision of fire protection and suppression systems, while the next three guidelines relate to provision of safety analysis, identification of suitable fire protection measures and potential plant modifications or improvements. </w:t>
      </w:r>
      <w:r w:rsidR="33F2028F" w:rsidRPr="00DD1B58">
        <w:rPr>
          <w:lang w:val="en-US"/>
        </w:rPr>
        <w:t xml:space="preserve">Where an assessment of the normal trip, shutdown and post-trip cooling systems against </w:t>
      </w:r>
      <w:r w:rsidR="00265448" w:rsidRPr="00DD1B58">
        <w:rPr>
          <w:lang w:val="en-US"/>
        </w:rPr>
        <w:t>first five</w:t>
      </w:r>
      <w:r w:rsidR="00FD18C8" w:rsidRPr="00DD1B58">
        <w:rPr>
          <w:lang w:val="en-US"/>
        </w:rPr>
        <w:t xml:space="preserve"> guidelines</w:t>
      </w:r>
      <w:r w:rsidR="73D13A5B" w:rsidRPr="00DD1B58">
        <w:rPr>
          <w:lang w:val="en-US"/>
        </w:rPr>
        <w:t xml:space="preserve"> </w:t>
      </w:r>
      <w:r w:rsidR="33F2028F" w:rsidRPr="00DD1B58">
        <w:rPr>
          <w:lang w:val="en-US"/>
        </w:rPr>
        <w:t>identifies inadequacies, alleviating claims should not be made against the diverse/back-up systems</w:t>
      </w:r>
      <w:r w:rsidR="166023C7" w:rsidRPr="00DD1B58">
        <w:rPr>
          <w:lang w:val="en-US"/>
        </w:rPr>
        <w:t xml:space="preserve"> </w:t>
      </w:r>
      <w:r w:rsidR="33F2028F" w:rsidRPr="00DD1B58">
        <w:rPr>
          <w:lang w:val="en-US"/>
        </w:rPr>
        <w:t xml:space="preserve">without first addressing </w:t>
      </w:r>
      <w:r w:rsidR="00FD18C8" w:rsidRPr="00DD1B58">
        <w:rPr>
          <w:lang w:val="en-US"/>
        </w:rPr>
        <w:t xml:space="preserve">the </w:t>
      </w:r>
      <w:r w:rsidR="00A234FB" w:rsidRPr="00DD1B58">
        <w:rPr>
          <w:lang w:val="en-US"/>
        </w:rPr>
        <w:t>next</w:t>
      </w:r>
      <w:r w:rsidR="00FD18C8" w:rsidRPr="00DD1B58">
        <w:rPr>
          <w:lang w:val="en-US"/>
        </w:rPr>
        <w:t xml:space="preserve"> three guidelines</w:t>
      </w:r>
      <w:r w:rsidR="33F2028F" w:rsidRPr="00DD1B58">
        <w:rPr>
          <w:lang w:val="en-US"/>
        </w:rPr>
        <w:t>.</w:t>
      </w:r>
    </w:p>
    <w:p w14:paraId="3E2B8DB1" w14:textId="0A64F3C2" w:rsidR="490D3B51" w:rsidRPr="00DD1B58" w:rsidRDefault="33F2028F" w:rsidP="355CB971">
      <w:pPr>
        <w:rPr>
          <w:lang w:val="en-US"/>
        </w:rPr>
      </w:pPr>
      <w:r w:rsidRPr="00DD1B58">
        <w:rPr>
          <w:lang w:val="en-US"/>
        </w:rPr>
        <w:t>In particular, the aim should be to show that all reasonably practicable</w:t>
      </w:r>
      <w:r w:rsidR="6537A082" w:rsidRPr="00DD1B58">
        <w:rPr>
          <w:lang w:val="en-US"/>
        </w:rPr>
        <w:t xml:space="preserve"> </w:t>
      </w:r>
      <w:r w:rsidRPr="00DD1B58">
        <w:rPr>
          <w:lang w:val="en-US"/>
        </w:rPr>
        <w:t>fire protection measures have been taken. Where all reasonably practicable measures have been taken</w:t>
      </w:r>
      <w:r w:rsidR="66FE39B8" w:rsidRPr="00DD1B58">
        <w:rPr>
          <w:lang w:val="en-US"/>
        </w:rPr>
        <w:t xml:space="preserve"> </w:t>
      </w:r>
      <w:r w:rsidRPr="00DD1B58">
        <w:rPr>
          <w:lang w:val="en-US"/>
        </w:rPr>
        <w:t>but the safety principle is not satisfied, alleviating claims against the diverse/back-up systems are</w:t>
      </w:r>
      <w:r w:rsidR="5108002A" w:rsidRPr="00DD1B58">
        <w:rPr>
          <w:lang w:val="en-US"/>
        </w:rPr>
        <w:t xml:space="preserve"> </w:t>
      </w:r>
      <w:r w:rsidRPr="00DD1B58">
        <w:rPr>
          <w:lang w:val="en-US"/>
        </w:rPr>
        <w:t>permissible.</w:t>
      </w:r>
      <w:r w:rsidR="00674E6E" w:rsidRPr="00DD1B58">
        <w:rPr>
          <w:lang w:val="en-US"/>
        </w:rPr>
        <w:t xml:space="preserve"> </w:t>
      </w:r>
      <w:r w:rsidR="490D3B51" w:rsidRPr="00DD1B58">
        <w:rPr>
          <w:lang w:val="en-US"/>
        </w:rPr>
        <w:t>However, the guidelines should also be used to assess the fire protection for the diverse/back-up systems, except that the following safety principle should form the target basis for this assessment:</w:t>
      </w:r>
    </w:p>
    <w:p w14:paraId="27E796AB" w14:textId="1FDC49C2" w:rsidR="490D3B51" w:rsidRPr="00DD1B58" w:rsidRDefault="490D3B51" w:rsidP="00973FF4">
      <w:pPr>
        <w:pStyle w:val="QuoteText"/>
        <w:rPr>
          <w:lang w:val="en-US"/>
        </w:rPr>
      </w:pPr>
      <w:r w:rsidRPr="00DD1B58">
        <w:rPr>
          <w:lang w:val="en-US"/>
        </w:rPr>
        <w:t>In the event of a fire in any single location with all plant available prior to the fire, sufficient plant should remain available to ensure satisfactory operation of the diverse/back-up system.</w:t>
      </w:r>
    </w:p>
    <w:p w14:paraId="6583B7BF" w14:textId="594A1BD3" w:rsidR="490D3B51" w:rsidRPr="00DD1B58" w:rsidRDefault="00C362CA" w:rsidP="355CB971">
      <w:pPr>
        <w:rPr>
          <w:lang w:val="en-US"/>
        </w:rPr>
      </w:pPr>
      <w:r w:rsidRPr="00DD1B58">
        <w:rPr>
          <w:lang w:val="en-US"/>
        </w:rPr>
        <w:lastRenderedPageBreak/>
        <w:t>EDF NGL</w:t>
      </w:r>
      <w:r w:rsidR="00F34D15" w:rsidRPr="00DD1B58">
        <w:rPr>
          <w:lang w:val="en-US"/>
        </w:rPr>
        <w:t>’s</w:t>
      </w:r>
      <w:r w:rsidR="490D3B51" w:rsidRPr="00DD1B58">
        <w:rPr>
          <w:lang w:val="en-US"/>
        </w:rPr>
        <w:t xml:space="preserve"> overriding requirement is to ensure fitness for purpose in the fire protection provisions. </w:t>
      </w:r>
      <w:r w:rsidR="00F34D15" w:rsidRPr="00DD1B58">
        <w:rPr>
          <w:lang w:val="en-US"/>
        </w:rPr>
        <w:t>Its</w:t>
      </w:r>
      <w:r w:rsidR="490D3B51" w:rsidRPr="00DD1B58">
        <w:rPr>
          <w:lang w:val="en-US"/>
        </w:rPr>
        <w:t xml:space="preserve"> overall aim </w:t>
      </w:r>
      <w:r w:rsidR="00F34D15" w:rsidRPr="00DD1B58">
        <w:rPr>
          <w:lang w:val="en-US"/>
        </w:rPr>
        <w:t>is to do</w:t>
      </w:r>
      <w:r w:rsidR="490D3B51" w:rsidRPr="00DD1B58">
        <w:rPr>
          <w:lang w:val="en-US"/>
        </w:rPr>
        <w:t xml:space="preserve"> all that is reasonably practicable to meet </w:t>
      </w:r>
      <w:r w:rsidR="00F34D15" w:rsidRPr="00DD1B58">
        <w:rPr>
          <w:lang w:val="en-US"/>
        </w:rPr>
        <w:t xml:space="preserve">the </w:t>
      </w:r>
      <w:r w:rsidR="490D3B51" w:rsidRPr="00DD1B58">
        <w:rPr>
          <w:lang w:val="en-US"/>
        </w:rPr>
        <w:t xml:space="preserve">requirements. Exceptions are permissible if </w:t>
      </w:r>
      <w:r w:rsidR="0050313D" w:rsidRPr="00DD1B58">
        <w:rPr>
          <w:lang w:val="en-US"/>
        </w:rPr>
        <w:t>meeting the guidelines</w:t>
      </w:r>
      <w:r w:rsidR="490D3B51" w:rsidRPr="00DD1B58">
        <w:rPr>
          <w:lang w:val="en-US"/>
        </w:rPr>
        <w:t xml:space="preserve"> is shown not to be reasonably practicable, provided that acceptable alternative arguments are presented, or on the grounds that the risk is tolerable and that any further reduction in the risk is </w:t>
      </w:r>
      <w:r w:rsidR="003B5366" w:rsidRPr="00DD1B58">
        <w:rPr>
          <w:lang w:val="en-US"/>
        </w:rPr>
        <w:t>grossly</w:t>
      </w:r>
      <w:r w:rsidR="490D3B51" w:rsidRPr="00DD1B58">
        <w:rPr>
          <w:lang w:val="en-US"/>
        </w:rPr>
        <w:t xml:space="preserve"> disproportionate to the cost involved.</w:t>
      </w:r>
      <w:r w:rsidR="00EA6341" w:rsidRPr="00DD1B58">
        <w:rPr>
          <w:lang w:val="en-US"/>
        </w:rPr>
        <w:t xml:space="preserve"> </w:t>
      </w:r>
      <w:r w:rsidR="0084179D" w:rsidRPr="00DD1B58">
        <w:rPr>
          <w:lang w:val="en-US"/>
        </w:rPr>
        <w:t xml:space="preserve">The full detail of the guidelines is provided in the </w:t>
      </w:r>
      <w:r w:rsidRPr="00DD1B58">
        <w:rPr>
          <w:lang w:val="en-US"/>
        </w:rPr>
        <w:t>EDF NGL</w:t>
      </w:r>
      <w:r w:rsidR="0084179D" w:rsidRPr="00DD1B58">
        <w:rPr>
          <w:lang w:val="en-US"/>
        </w:rPr>
        <w:t xml:space="preserve"> submission </w:t>
      </w:r>
      <w:sdt>
        <w:sdtPr>
          <w:rPr>
            <w:lang w:val="en-US"/>
          </w:rPr>
          <w:id w:val="-419098037"/>
          <w:citation/>
        </w:sdtPr>
        <w:sdtContent>
          <w:r w:rsidR="00053B77" w:rsidRPr="00DD1B58">
            <w:rPr>
              <w:lang w:val="en-US"/>
            </w:rPr>
            <w:fldChar w:fldCharType="begin"/>
          </w:r>
          <w:r w:rsidR="00053B77" w:rsidRPr="00DD1B58">
            <w:rPr>
              <w:lang w:val="en-US"/>
            </w:rPr>
            <w:instrText xml:space="preserve"> CITATION EDF231 \l 2057 </w:instrText>
          </w:r>
          <w:r w:rsidR="00053B77" w:rsidRPr="00DD1B58">
            <w:rPr>
              <w:lang w:val="en-US"/>
            </w:rPr>
            <w:fldChar w:fldCharType="separate"/>
          </w:r>
          <w:r w:rsidR="00DF47DA" w:rsidRPr="00DF47DA">
            <w:rPr>
              <w:noProof/>
              <w:lang w:val="en-US"/>
            </w:rPr>
            <w:t>[25]</w:t>
          </w:r>
          <w:r w:rsidR="00053B77" w:rsidRPr="00DD1B58">
            <w:rPr>
              <w:lang w:val="en-US"/>
            </w:rPr>
            <w:fldChar w:fldCharType="end"/>
          </w:r>
        </w:sdtContent>
      </w:sdt>
      <w:r w:rsidR="0050313D" w:rsidRPr="00DD1B58">
        <w:rPr>
          <w:lang w:val="en-US"/>
        </w:rPr>
        <w:t>,</w:t>
      </w:r>
      <w:r w:rsidR="005E1BDA" w:rsidRPr="00DD1B58">
        <w:rPr>
          <w:lang w:val="en-US"/>
        </w:rPr>
        <w:t xml:space="preserve"> which also contains a list of the recent fire safety assessment work carried out at </w:t>
      </w:r>
      <w:r w:rsidR="00EA6341" w:rsidRPr="00DD1B58">
        <w:rPr>
          <w:lang w:val="en-US"/>
        </w:rPr>
        <w:t>HN</w:t>
      </w:r>
      <w:r w:rsidR="003970E7" w:rsidRPr="00DD1B58">
        <w:rPr>
          <w:lang w:val="en-US"/>
        </w:rPr>
        <w:t>B</w:t>
      </w:r>
      <w:r w:rsidR="00501C0E" w:rsidRPr="00DD1B58">
        <w:rPr>
          <w:lang w:val="en-US"/>
        </w:rPr>
        <w:t xml:space="preserve"> and </w:t>
      </w:r>
      <w:r w:rsidR="00AE1D20" w:rsidRPr="00DD1B58">
        <w:rPr>
          <w:lang w:val="en-US"/>
        </w:rPr>
        <w:t>further engineering guidance (Appendix C to the NAR).</w:t>
      </w:r>
    </w:p>
    <w:p w14:paraId="1ECA0DEA" w14:textId="64B09395" w:rsidR="0EEFED9F" w:rsidRPr="00DD1B58" w:rsidRDefault="0EEFED9F" w:rsidP="774B19A3">
      <w:pPr>
        <w:pStyle w:val="Bulletlist1"/>
        <w:numPr>
          <w:ilvl w:val="0"/>
          <w:numId w:val="0"/>
        </w:numPr>
        <w:rPr>
          <w:lang w:val="en-US"/>
        </w:rPr>
      </w:pPr>
      <w:r w:rsidRPr="00DD1B58">
        <w:rPr>
          <w:b/>
          <w:szCs w:val="24"/>
          <w:lang w:val="en-US"/>
        </w:rPr>
        <w:t xml:space="preserve">Second </w:t>
      </w:r>
      <w:r w:rsidR="00CB46CF" w:rsidRPr="00DD1B58">
        <w:rPr>
          <w:b/>
          <w:szCs w:val="24"/>
          <w:lang w:val="en-US"/>
        </w:rPr>
        <w:t xml:space="preserve">generation </w:t>
      </w:r>
      <w:r w:rsidRPr="00DD1B58">
        <w:rPr>
          <w:b/>
          <w:szCs w:val="24"/>
          <w:lang w:val="en-US"/>
        </w:rPr>
        <w:t>AGRs (</w:t>
      </w:r>
      <w:r w:rsidR="00EA6341" w:rsidRPr="00DD1B58">
        <w:rPr>
          <w:b/>
          <w:szCs w:val="24"/>
          <w:lang w:val="en-US"/>
        </w:rPr>
        <w:t>HY</w:t>
      </w:r>
      <w:r w:rsidRPr="00DD1B58">
        <w:rPr>
          <w:b/>
          <w:szCs w:val="24"/>
          <w:lang w:val="en-US"/>
        </w:rPr>
        <w:t>2)</w:t>
      </w:r>
      <w:r w:rsidR="0050313D" w:rsidRPr="00DD1B58">
        <w:rPr>
          <w:b/>
          <w:szCs w:val="24"/>
          <w:lang w:val="en-US"/>
        </w:rPr>
        <w:t>:</w:t>
      </w:r>
      <w:r w:rsidR="00861F87" w:rsidRPr="00DD1B58">
        <w:rPr>
          <w:b/>
          <w:szCs w:val="24"/>
          <w:lang w:val="en-US"/>
        </w:rPr>
        <w:t xml:space="preserve"> </w:t>
      </w:r>
      <w:r w:rsidR="0050313D" w:rsidRPr="00DD1B58">
        <w:rPr>
          <w:szCs w:val="24"/>
          <w:lang w:val="en-US"/>
        </w:rPr>
        <w:t>t</w:t>
      </w:r>
      <w:r w:rsidRPr="00DD1B58">
        <w:rPr>
          <w:szCs w:val="24"/>
          <w:lang w:val="en-US"/>
        </w:rPr>
        <w:t xml:space="preserve">he objective of </w:t>
      </w:r>
      <w:r w:rsidR="00C362CA" w:rsidRPr="00DD1B58">
        <w:rPr>
          <w:szCs w:val="24"/>
          <w:lang w:val="en-US"/>
        </w:rPr>
        <w:t>EDF NGL</w:t>
      </w:r>
      <w:r w:rsidR="00EA6341" w:rsidRPr="00DD1B58">
        <w:rPr>
          <w:szCs w:val="24"/>
          <w:lang w:val="en-US"/>
        </w:rPr>
        <w:t>’s</w:t>
      </w:r>
      <w:r w:rsidRPr="00DD1B58">
        <w:rPr>
          <w:szCs w:val="24"/>
          <w:lang w:val="en-US"/>
        </w:rPr>
        <w:t xml:space="preserve"> safety case is to demonstrate that, either during a fire or in the period immediately</w:t>
      </w:r>
      <w:r w:rsidR="7BBBDB2D" w:rsidRPr="00DD1B58">
        <w:rPr>
          <w:szCs w:val="24"/>
          <w:lang w:val="en-US"/>
        </w:rPr>
        <w:t xml:space="preserve"> </w:t>
      </w:r>
      <w:r w:rsidRPr="00DD1B58">
        <w:rPr>
          <w:szCs w:val="24"/>
          <w:lang w:val="en-US"/>
        </w:rPr>
        <w:t>following a fire, sufficient of the plant provided to shut down and cool the reactor remains available to</w:t>
      </w:r>
      <w:r w:rsidR="3EDE46E1" w:rsidRPr="00DD1B58">
        <w:rPr>
          <w:szCs w:val="24"/>
          <w:lang w:val="en-US"/>
        </w:rPr>
        <w:t xml:space="preserve"> </w:t>
      </w:r>
      <w:r w:rsidRPr="00DD1B58">
        <w:rPr>
          <w:szCs w:val="24"/>
          <w:lang w:val="en-US"/>
        </w:rPr>
        <w:t>meet the reliability and integrity targets specified in the CEGB AGR Design Safety Guidelines (DSGs).</w:t>
      </w:r>
      <w:r w:rsidR="00EA6341" w:rsidRPr="00DD1B58">
        <w:rPr>
          <w:szCs w:val="24"/>
          <w:lang w:val="en-US"/>
        </w:rPr>
        <w:t xml:space="preserve"> </w:t>
      </w:r>
      <w:r w:rsidRPr="00DD1B58">
        <w:rPr>
          <w:szCs w:val="24"/>
          <w:lang w:val="en-US"/>
        </w:rPr>
        <w:t>Design of the station against fire is based on separation and segregation as well as a sound design that</w:t>
      </w:r>
      <w:r w:rsidR="3C56C146" w:rsidRPr="00DD1B58">
        <w:rPr>
          <w:szCs w:val="24"/>
          <w:lang w:val="en-US"/>
        </w:rPr>
        <w:t xml:space="preserve"> </w:t>
      </w:r>
      <w:r w:rsidRPr="00DD1B58">
        <w:rPr>
          <w:szCs w:val="24"/>
          <w:lang w:val="en-US"/>
        </w:rPr>
        <w:t xml:space="preserve">embodies prevention, </w:t>
      </w:r>
      <w:r w:rsidR="003432FA" w:rsidRPr="00DD1B58">
        <w:rPr>
          <w:szCs w:val="24"/>
          <w:lang w:val="en-US"/>
        </w:rPr>
        <w:t>f</w:t>
      </w:r>
      <w:r w:rsidRPr="00DD1B58">
        <w:rPr>
          <w:szCs w:val="24"/>
          <w:lang w:val="en-US"/>
        </w:rPr>
        <w:t>ailsafe and defence in depth.</w:t>
      </w:r>
    </w:p>
    <w:p w14:paraId="48848B6C" w14:textId="49B1D9D8" w:rsidR="0EEFED9F" w:rsidRPr="00DD1B58" w:rsidRDefault="0EEFED9F" w:rsidP="774B19A3">
      <w:pPr>
        <w:pStyle w:val="Bulletlist1"/>
        <w:numPr>
          <w:ilvl w:val="0"/>
          <w:numId w:val="0"/>
        </w:numPr>
        <w:rPr>
          <w:lang w:val="en-US"/>
        </w:rPr>
      </w:pPr>
      <w:r w:rsidRPr="00DD1B58">
        <w:rPr>
          <w:szCs w:val="24"/>
          <w:lang w:val="en-US"/>
        </w:rPr>
        <w:t>The HY2 design is based on quadrantisation of the safety systems providing essential safety functions,</w:t>
      </w:r>
      <w:r w:rsidR="70780D42" w:rsidRPr="00DD1B58">
        <w:rPr>
          <w:szCs w:val="24"/>
          <w:lang w:val="en-US"/>
        </w:rPr>
        <w:t xml:space="preserve"> </w:t>
      </w:r>
      <w:r w:rsidRPr="00DD1B58">
        <w:rPr>
          <w:szCs w:val="24"/>
          <w:lang w:val="en-US"/>
        </w:rPr>
        <w:t>with either distance or physical barriers between them. The fire barriers separating trains 1 and 2 from</w:t>
      </w:r>
      <w:r w:rsidR="14F865A2" w:rsidRPr="00DD1B58">
        <w:rPr>
          <w:szCs w:val="24"/>
          <w:lang w:val="en-US"/>
        </w:rPr>
        <w:t xml:space="preserve"> </w:t>
      </w:r>
      <w:r w:rsidRPr="00DD1B58">
        <w:rPr>
          <w:szCs w:val="24"/>
          <w:lang w:val="en-US"/>
        </w:rPr>
        <w:t xml:space="preserve">trains 3 and 4 are </w:t>
      </w:r>
      <w:r w:rsidR="00A40305" w:rsidRPr="00DD1B58">
        <w:rPr>
          <w:szCs w:val="24"/>
          <w:lang w:val="en-US"/>
        </w:rPr>
        <w:t xml:space="preserve">four </w:t>
      </w:r>
      <w:r w:rsidRPr="00DD1B58">
        <w:rPr>
          <w:szCs w:val="24"/>
          <w:lang w:val="en-US"/>
        </w:rPr>
        <w:t>hour</w:t>
      </w:r>
      <w:r w:rsidR="00A40305" w:rsidRPr="00DD1B58">
        <w:rPr>
          <w:szCs w:val="24"/>
          <w:lang w:val="en-US"/>
        </w:rPr>
        <w:t>-</w:t>
      </w:r>
      <w:r w:rsidRPr="00DD1B58">
        <w:rPr>
          <w:szCs w:val="24"/>
          <w:lang w:val="en-US"/>
        </w:rPr>
        <w:t xml:space="preserve">rated barriers; the fire barriers between trains 1 and 2 are </w:t>
      </w:r>
      <w:r w:rsidR="00A40305" w:rsidRPr="00DD1B58">
        <w:rPr>
          <w:szCs w:val="24"/>
          <w:lang w:val="en-US"/>
        </w:rPr>
        <w:t xml:space="preserve">one </w:t>
      </w:r>
      <w:r w:rsidRPr="00DD1B58">
        <w:rPr>
          <w:szCs w:val="24"/>
          <w:lang w:val="en-US"/>
        </w:rPr>
        <w:t>hour</w:t>
      </w:r>
      <w:r w:rsidR="00A40305" w:rsidRPr="00DD1B58">
        <w:rPr>
          <w:szCs w:val="24"/>
          <w:lang w:val="en-US"/>
        </w:rPr>
        <w:t>-</w:t>
      </w:r>
      <w:r w:rsidRPr="00DD1B58">
        <w:rPr>
          <w:szCs w:val="24"/>
          <w:lang w:val="en-US"/>
        </w:rPr>
        <w:t>rated barriers,</w:t>
      </w:r>
      <w:r w:rsidR="7F85B177" w:rsidRPr="00DD1B58">
        <w:rPr>
          <w:szCs w:val="24"/>
          <w:lang w:val="en-US"/>
        </w:rPr>
        <w:t xml:space="preserve"> </w:t>
      </w:r>
      <w:r w:rsidRPr="00DD1B58">
        <w:rPr>
          <w:szCs w:val="24"/>
          <w:lang w:val="en-US"/>
        </w:rPr>
        <w:t>as are the fire barriers between trains 3 and 4.</w:t>
      </w:r>
    </w:p>
    <w:p w14:paraId="1FE577AB" w14:textId="77777777" w:rsidR="0EEFED9F" w:rsidRPr="00DD1B58" w:rsidRDefault="0EEFED9F" w:rsidP="774B19A3">
      <w:pPr>
        <w:pStyle w:val="Bulletlist1"/>
        <w:numPr>
          <w:ilvl w:val="0"/>
          <w:numId w:val="0"/>
        </w:numPr>
        <w:rPr>
          <w:lang w:val="en-US"/>
        </w:rPr>
      </w:pPr>
      <w:r w:rsidRPr="00DD1B58">
        <w:rPr>
          <w:szCs w:val="24"/>
          <w:lang w:val="en-US"/>
        </w:rPr>
        <w:t>The use of separation and fire barriers prevents the spread of fire and the detrimental impact on more</w:t>
      </w:r>
      <w:r w:rsidR="5A458A61" w:rsidRPr="00DD1B58">
        <w:rPr>
          <w:szCs w:val="24"/>
          <w:lang w:val="en-US"/>
        </w:rPr>
        <w:t xml:space="preserve"> </w:t>
      </w:r>
      <w:r w:rsidRPr="00DD1B58">
        <w:rPr>
          <w:szCs w:val="24"/>
          <w:lang w:val="en-US"/>
        </w:rPr>
        <w:t>than one quadrant of essential safety systems. This approach ensures the required number of Lines of</w:t>
      </w:r>
      <w:r w:rsidR="435D9493" w:rsidRPr="00DD1B58">
        <w:rPr>
          <w:szCs w:val="24"/>
          <w:lang w:val="en-US"/>
        </w:rPr>
        <w:t xml:space="preserve"> </w:t>
      </w:r>
      <w:r w:rsidRPr="00DD1B58">
        <w:rPr>
          <w:szCs w:val="24"/>
          <w:lang w:val="en-US"/>
        </w:rPr>
        <w:t>Protection (required to provide the Essential Safety Functions) remain available.</w:t>
      </w:r>
    </w:p>
    <w:p w14:paraId="412C8EE6" w14:textId="5C05A7AC" w:rsidR="0EEFED9F" w:rsidRPr="00DD1B58" w:rsidRDefault="0EEFED9F" w:rsidP="774B19A3">
      <w:pPr>
        <w:pStyle w:val="Bulletlist1"/>
        <w:numPr>
          <w:ilvl w:val="0"/>
          <w:numId w:val="0"/>
        </w:numPr>
        <w:rPr>
          <w:lang w:val="en-US"/>
        </w:rPr>
      </w:pPr>
      <w:r w:rsidRPr="00DD1B58">
        <w:rPr>
          <w:szCs w:val="24"/>
          <w:lang w:val="en-US"/>
        </w:rPr>
        <w:t xml:space="preserve">Although physical controls </w:t>
      </w:r>
      <w:r w:rsidR="00A40305" w:rsidRPr="00DD1B58">
        <w:rPr>
          <w:szCs w:val="24"/>
          <w:lang w:val="en-US"/>
        </w:rPr>
        <w:t xml:space="preserve">(i.e., specific fire detection and suppression systems) </w:t>
      </w:r>
      <w:r w:rsidRPr="00DD1B58">
        <w:rPr>
          <w:szCs w:val="24"/>
          <w:lang w:val="en-US"/>
        </w:rPr>
        <w:t>are not generally claimed at HY2, they are expected to reduce the frequency of fires which will cause damage</w:t>
      </w:r>
      <w:r w:rsidR="00A40305" w:rsidRPr="00DD1B58">
        <w:rPr>
          <w:szCs w:val="24"/>
          <w:lang w:val="en-US"/>
        </w:rPr>
        <w:t>,</w:t>
      </w:r>
      <w:r w:rsidRPr="00DD1B58">
        <w:rPr>
          <w:szCs w:val="24"/>
          <w:lang w:val="en-US"/>
        </w:rPr>
        <w:t xml:space="preserve"> with a small</w:t>
      </w:r>
      <w:r w:rsidR="5E1B99C7" w:rsidRPr="00DD1B58">
        <w:rPr>
          <w:szCs w:val="24"/>
          <w:lang w:val="en-US"/>
        </w:rPr>
        <w:t xml:space="preserve"> </w:t>
      </w:r>
      <w:r w:rsidRPr="00DD1B58">
        <w:rPr>
          <w:szCs w:val="24"/>
          <w:lang w:val="en-US"/>
        </w:rPr>
        <w:t>number of exceptions.</w:t>
      </w:r>
    </w:p>
    <w:p w14:paraId="6572D4BC" w14:textId="395F83AE" w:rsidR="0EEFED9F" w:rsidRPr="00DD1B58" w:rsidRDefault="0EEFED9F" w:rsidP="774B19A3">
      <w:pPr>
        <w:pStyle w:val="Bulletlist1"/>
        <w:numPr>
          <w:ilvl w:val="0"/>
          <w:numId w:val="0"/>
        </w:numPr>
        <w:rPr>
          <w:lang w:val="en-US"/>
        </w:rPr>
      </w:pPr>
      <w:r w:rsidRPr="00DD1B58">
        <w:rPr>
          <w:b/>
          <w:szCs w:val="24"/>
          <w:lang w:val="en-US"/>
        </w:rPr>
        <w:t>Sizewell B</w:t>
      </w:r>
      <w:r w:rsidR="00A40305" w:rsidRPr="00DD1B58">
        <w:rPr>
          <w:b/>
          <w:szCs w:val="24"/>
          <w:lang w:val="en-US"/>
        </w:rPr>
        <w:t>:</w:t>
      </w:r>
      <w:r w:rsidR="00861F87" w:rsidRPr="00DD1B58">
        <w:rPr>
          <w:b/>
          <w:szCs w:val="24"/>
          <w:lang w:val="en-US"/>
        </w:rPr>
        <w:t xml:space="preserve"> </w:t>
      </w:r>
      <w:r w:rsidR="00A40305" w:rsidRPr="00DD1B58">
        <w:rPr>
          <w:szCs w:val="24"/>
          <w:lang w:val="en-US"/>
        </w:rPr>
        <w:t>SZ</w:t>
      </w:r>
      <w:r w:rsidRPr="00DD1B58">
        <w:rPr>
          <w:szCs w:val="24"/>
          <w:lang w:val="en-US"/>
        </w:rPr>
        <w:t>B was designed to the CEGB standards for PWRs at the time. The</w:t>
      </w:r>
      <w:r w:rsidR="00A40305" w:rsidRPr="00DD1B58">
        <w:rPr>
          <w:szCs w:val="24"/>
          <w:lang w:val="en-US"/>
        </w:rPr>
        <w:t>se were written in 1982 and</w:t>
      </w:r>
      <w:r w:rsidRPr="00DD1B58">
        <w:rPr>
          <w:szCs w:val="24"/>
          <w:lang w:val="en-US"/>
        </w:rPr>
        <w:t xml:space="preserve"> have now been superseded, and current assessments are carried out to the latest </w:t>
      </w:r>
      <w:r w:rsidR="00C362CA" w:rsidRPr="00DD1B58">
        <w:rPr>
          <w:szCs w:val="24"/>
          <w:lang w:val="en-US"/>
        </w:rPr>
        <w:t>EDF NGL</w:t>
      </w:r>
      <w:r w:rsidRPr="00DD1B58">
        <w:rPr>
          <w:szCs w:val="24"/>
          <w:lang w:val="en-US"/>
        </w:rPr>
        <w:t xml:space="preserve"> standards.</w:t>
      </w:r>
    </w:p>
    <w:p w14:paraId="01581F92" w14:textId="77777777" w:rsidR="0EEFED9F" w:rsidRPr="00DD1B58" w:rsidRDefault="0EEFED9F" w:rsidP="774B19A3">
      <w:pPr>
        <w:pStyle w:val="Bulletlist1"/>
        <w:numPr>
          <w:ilvl w:val="0"/>
          <w:numId w:val="0"/>
        </w:numPr>
        <w:rPr>
          <w:lang w:val="en-US"/>
        </w:rPr>
      </w:pPr>
      <w:r w:rsidRPr="00DD1B58">
        <w:rPr>
          <w:szCs w:val="24"/>
          <w:lang w:val="en-US"/>
        </w:rPr>
        <w:t>The fire safety case for SZB is based on passive fire safety, i.e.</w:t>
      </w:r>
      <w:r w:rsidR="00A40305" w:rsidRPr="00DD1B58">
        <w:rPr>
          <w:szCs w:val="24"/>
          <w:lang w:val="en-US"/>
        </w:rPr>
        <w:t>,</w:t>
      </w:r>
      <w:r w:rsidRPr="00DD1B58">
        <w:rPr>
          <w:szCs w:val="24"/>
          <w:lang w:val="en-US"/>
        </w:rPr>
        <w:t xml:space="preserve"> the</w:t>
      </w:r>
      <w:r w:rsidR="00EA6341" w:rsidRPr="00DD1B58">
        <w:rPr>
          <w:szCs w:val="24"/>
          <w:lang w:val="en-US"/>
        </w:rPr>
        <w:t xml:space="preserve"> fire</w:t>
      </w:r>
      <w:r w:rsidRPr="00DD1B58">
        <w:rPr>
          <w:szCs w:val="24"/>
          <w:lang w:val="en-US"/>
        </w:rPr>
        <w:t xml:space="preserve"> containment approach. There are no</w:t>
      </w:r>
      <w:r w:rsidR="07E9D1F4" w:rsidRPr="00DD1B58">
        <w:rPr>
          <w:szCs w:val="24"/>
          <w:lang w:val="en-US"/>
        </w:rPr>
        <w:t xml:space="preserve"> </w:t>
      </w:r>
      <w:r w:rsidRPr="00DD1B58">
        <w:rPr>
          <w:szCs w:val="24"/>
          <w:lang w:val="en-US"/>
        </w:rPr>
        <w:t>direct claims of active fire protection at SZB, although they are part of the defence in depth. A full fire</w:t>
      </w:r>
      <w:r w:rsidR="0228FD9C" w:rsidRPr="00DD1B58">
        <w:rPr>
          <w:szCs w:val="24"/>
          <w:lang w:val="en-US"/>
        </w:rPr>
        <w:t xml:space="preserve"> </w:t>
      </w:r>
      <w:r w:rsidRPr="00DD1B58">
        <w:rPr>
          <w:szCs w:val="24"/>
          <w:lang w:val="en-US"/>
        </w:rPr>
        <w:t>hazard analysis was carried out at SZB for fire barriers prior to commissioning.</w:t>
      </w:r>
    </w:p>
    <w:p w14:paraId="2CBFCD67" w14:textId="77777777" w:rsidR="3CA8CAD6" w:rsidRPr="00DD1B58" w:rsidRDefault="0EEFED9F" w:rsidP="00CD4BFC">
      <w:pPr>
        <w:pStyle w:val="Heading4"/>
        <w:numPr>
          <w:ilvl w:val="4"/>
          <w:numId w:val="3"/>
        </w:numPr>
        <w:rPr>
          <w:szCs w:val="24"/>
          <w:lang w:val="en-US"/>
        </w:rPr>
      </w:pPr>
      <w:r w:rsidRPr="00DD1B58">
        <w:rPr>
          <w:lang w:val="en-US"/>
        </w:rPr>
        <w:t>Fire hazards guidance used</w:t>
      </w:r>
    </w:p>
    <w:p w14:paraId="52EB6BC7" w14:textId="3DBF98C5" w:rsidR="0EEFED9F" w:rsidRPr="00DD1B58" w:rsidRDefault="0EEFED9F" w:rsidP="008F0AF1">
      <w:pPr>
        <w:pStyle w:val="Bulletlist1"/>
        <w:numPr>
          <w:ilvl w:val="0"/>
          <w:numId w:val="0"/>
        </w:numPr>
        <w:rPr>
          <w:lang w:val="en-US"/>
        </w:rPr>
      </w:pPr>
      <w:r w:rsidRPr="00DD1B58">
        <w:rPr>
          <w:b/>
          <w:szCs w:val="24"/>
          <w:lang w:val="en-US"/>
        </w:rPr>
        <w:t>General</w:t>
      </w:r>
      <w:r w:rsidR="00A40305" w:rsidRPr="00DD1B58">
        <w:rPr>
          <w:b/>
          <w:szCs w:val="24"/>
          <w:lang w:val="en-US"/>
        </w:rPr>
        <w:t>:</w:t>
      </w:r>
      <w:r w:rsidR="00861F87" w:rsidRPr="00DD1B58">
        <w:rPr>
          <w:b/>
          <w:szCs w:val="24"/>
          <w:lang w:val="en-US"/>
        </w:rPr>
        <w:t xml:space="preserve"> </w:t>
      </w:r>
      <w:r w:rsidR="00C362CA" w:rsidRPr="00DD1B58">
        <w:rPr>
          <w:szCs w:val="24"/>
          <w:lang w:val="en-US"/>
        </w:rPr>
        <w:t>EDF NGL</w:t>
      </w:r>
      <w:r w:rsidRPr="00DD1B58">
        <w:rPr>
          <w:szCs w:val="24"/>
          <w:lang w:val="en-US"/>
        </w:rPr>
        <w:t xml:space="preserve"> are members of the NIFSCC (Nuclear Industry Fire Safety Co-ordinating</w:t>
      </w:r>
      <w:r w:rsidR="4D1F5083" w:rsidRPr="00DD1B58">
        <w:rPr>
          <w:szCs w:val="24"/>
          <w:lang w:val="en-US"/>
        </w:rPr>
        <w:t xml:space="preserve"> </w:t>
      </w:r>
      <w:r w:rsidRPr="00DD1B58">
        <w:rPr>
          <w:szCs w:val="24"/>
          <w:lang w:val="en-US"/>
        </w:rPr>
        <w:t xml:space="preserve">Committee), </w:t>
      </w:r>
      <w:r w:rsidR="00A40305" w:rsidRPr="00DD1B58">
        <w:rPr>
          <w:szCs w:val="24"/>
          <w:lang w:val="en-US"/>
        </w:rPr>
        <w:t>a</w:t>
      </w:r>
      <w:r w:rsidR="00EA6341" w:rsidRPr="00DD1B58">
        <w:rPr>
          <w:szCs w:val="24"/>
          <w:lang w:val="en-US"/>
        </w:rPr>
        <w:t xml:space="preserve"> subgroup of the UK Safety Directors Forum, </w:t>
      </w:r>
      <w:r w:rsidRPr="00DD1B58">
        <w:rPr>
          <w:szCs w:val="24"/>
          <w:lang w:val="en-US"/>
        </w:rPr>
        <w:t xml:space="preserve">where all the latest </w:t>
      </w:r>
      <w:r w:rsidR="0057183C" w:rsidRPr="00DD1B58">
        <w:rPr>
          <w:szCs w:val="24"/>
          <w:lang w:val="en-US"/>
        </w:rPr>
        <w:t>fir</w:t>
      </w:r>
      <w:r w:rsidR="00A40305" w:rsidRPr="00DD1B58">
        <w:rPr>
          <w:szCs w:val="24"/>
          <w:lang w:val="en-US"/>
        </w:rPr>
        <w:t>e</w:t>
      </w:r>
      <w:r w:rsidR="0057183C" w:rsidRPr="00DD1B58">
        <w:rPr>
          <w:szCs w:val="24"/>
          <w:lang w:val="en-US"/>
        </w:rPr>
        <w:t xml:space="preserve"> safety </w:t>
      </w:r>
      <w:r w:rsidRPr="00DD1B58">
        <w:rPr>
          <w:szCs w:val="24"/>
          <w:lang w:val="en-US"/>
        </w:rPr>
        <w:t>standards are investigated by the committee and shared.</w:t>
      </w:r>
      <w:r w:rsidR="00235408" w:rsidRPr="00DD1B58">
        <w:rPr>
          <w:szCs w:val="24"/>
          <w:lang w:val="en-US"/>
        </w:rPr>
        <w:t xml:space="preserve"> ONR is an observer to NIFSCC.</w:t>
      </w:r>
      <w:r w:rsidRPr="00DD1B58">
        <w:rPr>
          <w:szCs w:val="24"/>
          <w:lang w:val="en-US"/>
        </w:rPr>
        <w:t xml:space="preserve"> In addition to</w:t>
      </w:r>
      <w:r w:rsidR="00035619" w:rsidRPr="00DD1B58">
        <w:rPr>
          <w:szCs w:val="24"/>
          <w:lang w:val="en-US"/>
        </w:rPr>
        <w:t xml:space="preserve"> </w:t>
      </w:r>
      <w:r w:rsidRPr="00DD1B58">
        <w:rPr>
          <w:szCs w:val="24"/>
          <w:lang w:val="en-US"/>
        </w:rPr>
        <w:t xml:space="preserve">this there are </w:t>
      </w:r>
      <w:r w:rsidR="00004144" w:rsidRPr="00DD1B58">
        <w:rPr>
          <w:szCs w:val="24"/>
          <w:lang w:val="en-US"/>
        </w:rPr>
        <w:t xml:space="preserve">twice </w:t>
      </w:r>
      <w:r w:rsidRPr="00DD1B58">
        <w:rPr>
          <w:szCs w:val="24"/>
          <w:lang w:val="en-US"/>
        </w:rPr>
        <w:t xml:space="preserve">yearly </w:t>
      </w:r>
      <w:r w:rsidR="00613D32" w:rsidRPr="00DD1B58">
        <w:rPr>
          <w:szCs w:val="24"/>
          <w:lang w:val="en-US"/>
        </w:rPr>
        <w:t>c</w:t>
      </w:r>
      <w:r w:rsidRPr="00DD1B58">
        <w:rPr>
          <w:szCs w:val="24"/>
          <w:lang w:val="en-US"/>
        </w:rPr>
        <w:t xml:space="preserve">ommittee meetings with all other </w:t>
      </w:r>
      <w:r w:rsidR="0057183C" w:rsidRPr="00DD1B58">
        <w:rPr>
          <w:szCs w:val="24"/>
          <w:lang w:val="en-US"/>
        </w:rPr>
        <w:t xml:space="preserve">GB </w:t>
      </w:r>
      <w:r w:rsidR="00613D32" w:rsidRPr="00DD1B58">
        <w:rPr>
          <w:szCs w:val="24"/>
          <w:lang w:val="en-US"/>
        </w:rPr>
        <w:t>stakeholders as well as some international stakeholders</w:t>
      </w:r>
      <w:r w:rsidRPr="00DD1B58">
        <w:rPr>
          <w:szCs w:val="24"/>
          <w:lang w:val="en-US"/>
        </w:rPr>
        <w:t>.</w:t>
      </w:r>
      <w:r w:rsidR="00235408" w:rsidRPr="00DD1B58">
        <w:rPr>
          <w:szCs w:val="24"/>
          <w:lang w:val="en-US"/>
        </w:rPr>
        <w:t xml:space="preserve"> Lessons learned are incorporated into EDF NGL guidance as appropriate.</w:t>
      </w:r>
      <w:r w:rsidRPr="00DD1B58">
        <w:rPr>
          <w:szCs w:val="24"/>
          <w:lang w:val="en-US"/>
        </w:rPr>
        <w:t xml:space="preserve"> Th</w:t>
      </w:r>
      <w:r w:rsidR="00613D32" w:rsidRPr="00DD1B58">
        <w:rPr>
          <w:szCs w:val="24"/>
          <w:lang w:val="en-US"/>
        </w:rPr>
        <w:t>ese</w:t>
      </w:r>
      <w:r w:rsidRPr="00DD1B58">
        <w:rPr>
          <w:szCs w:val="24"/>
          <w:lang w:val="en-US"/>
        </w:rPr>
        <w:t xml:space="preserve"> </w:t>
      </w:r>
      <w:r w:rsidR="00613D32" w:rsidRPr="00DD1B58">
        <w:rPr>
          <w:szCs w:val="24"/>
          <w:lang w:val="en-US"/>
        </w:rPr>
        <w:t>c</w:t>
      </w:r>
      <w:r w:rsidRPr="00DD1B58">
        <w:rPr>
          <w:szCs w:val="24"/>
          <w:lang w:val="en-US"/>
        </w:rPr>
        <w:t>ommittee meeting</w:t>
      </w:r>
      <w:r w:rsidR="008E410C" w:rsidRPr="00DD1B58">
        <w:rPr>
          <w:szCs w:val="24"/>
          <w:lang w:val="en-US"/>
        </w:rPr>
        <w:t>s</w:t>
      </w:r>
      <w:r w:rsidRPr="00DD1B58">
        <w:rPr>
          <w:szCs w:val="24"/>
          <w:lang w:val="en-US"/>
        </w:rPr>
        <w:t xml:space="preserve"> discuss</w:t>
      </w:r>
      <w:r w:rsidR="008E410C" w:rsidRPr="00DD1B58">
        <w:rPr>
          <w:szCs w:val="24"/>
          <w:lang w:val="en-US"/>
        </w:rPr>
        <w:t>ed</w:t>
      </w:r>
      <w:r w:rsidRPr="00DD1B58">
        <w:rPr>
          <w:szCs w:val="24"/>
          <w:lang w:val="en-US"/>
        </w:rPr>
        <w:t xml:space="preserve"> </w:t>
      </w:r>
      <w:r w:rsidR="008E410C" w:rsidRPr="00DD1B58">
        <w:rPr>
          <w:szCs w:val="24"/>
          <w:lang w:val="en-US"/>
        </w:rPr>
        <w:t>and supported the UK’s self-assessment</w:t>
      </w:r>
      <w:r w:rsidR="533584B1" w:rsidRPr="00DD1B58">
        <w:rPr>
          <w:szCs w:val="24"/>
          <w:lang w:val="en-US"/>
        </w:rPr>
        <w:t xml:space="preserve"> </w:t>
      </w:r>
      <w:r w:rsidR="008E410C" w:rsidRPr="00DD1B58">
        <w:rPr>
          <w:szCs w:val="24"/>
          <w:lang w:val="en-US"/>
        </w:rPr>
        <w:t>for TPR2, observed by ONR.</w:t>
      </w:r>
    </w:p>
    <w:p w14:paraId="2C9281EB" w14:textId="60ABF3F3" w:rsidR="0EEFED9F" w:rsidRPr="00DD1B58" w:rsidRDefault="0EEFED9F" w:rsidP="774B19A3">
      <w:pPr>
        <w:pStyle w:val="Bulletlist1"/>
        <w:numPr>
          <w:ilvl w:val="0"/>
          <w:numId w:val="0"/>
        </w:numPr>
        <w:rPr>
          <w:lang w:val="en-US"/>
        </w:rPr>
      </w:pPr>
      <w:r w:rsidRPr="00DD1B58">
        <w:rPr>
          <w:b/>
          <w:szCs w:val="24"/>
          <w:lang w:val="en-US"/>
        </w:rPr>
        <w:lastRenderedPageBreak/>
        <w:t xml:space="preserve">First and </w:t>
      </w:r>
      <w:r w:rsidR="00235408" w:rsidRPr="00DD1B58">
        <w:rPr>
          <w:b/>
          <w:szCs w:val="24"/>
          <w:lang w:val="en-US"/>
        </w:rPr>
        <w:t xml:space="preserve">second generation </w:t>
      </w:r>
      <w:r w:rsidRPr="00DD1B58">
        <w:rPr>
          <w:b/>
          <w:szCs w:val="24"/>
          <w:lang w:val="en-US"/>
        </w:rPr>
        <w:t>AGRs (</w:t>
      </w:r>
      <w:r w:rsidR="00D04D01" w:rsidRPr="00DD1B58">
        <w:rPr>
          <w:b/>
          <w:szCs w:val="24"/>
          <w:lang w:val="en-US"/>
        </w:rPr>
        <w:t>HN</w:t>
      </w:r>
      <w:r w:rsidRPr="00DD1B58">
        <w:rPr>
          <w:b/>
          <w:szCs w:val="24"/>
          <w:lang w:val="en-US"/>
        </w:rPr>
        <w:t xml:space="preserve">B and </w:t>
      </w:r>
      <w:r w:rsidR="00D04D01" w:rsidRPr="00DD1B58">
        <w:rPr>
          <w:b/>
          <w:szCs w:val="24"/>
          <w:lang w:val="en-US"/>
        </w:rPr>
        <w:t>HY</w:t>
      </w:r>
      <w:r w:rsidRPr="00DD1B58">
        <w:rPr>
          <w:b/>
          <w:szCs w:val="24"/>
          <w:lang w:val="en-US"/>
        </w:rPr>
        <w:t>2)</w:t>
      </w:r>
      <w:r w:rsidR="00235408" w:rsidRPr="00DD1B58">
        <w:rPr>
          <w:b/>
          <w:szCs w:val="24"/>
          <w:lang w:val="en-US"/>
        </w:rPr>
        <w:t>:</w:t>
      </w:r>
      <w:r w:rsidR="00861F87" w:rsidRPr="00DD1B58">
        <w:rPr>
          <w:b/>
          <w:szCs w:val="24"/>
          <w:lang w:val="en-US"/>
        </w:rPr>
        <w:t xml:space="preserve"> </w:t>
      </w:r>
      <w:r w:rsidR="00235408" w:rsidRPr="00DD1B58">
        <w:rPr>
          <w:szCs w:val="24"/>
          <w:lang w:val="en-US"/>
        </w:rPr>
        <w:t>t</w:t>
      </w:r>
      <w:r w:rsidRPr="00DD1B58">
        <w:rPr>
          <w:szCs w:val="24"/>
          <w:lang w:val="en-US"/>
        </w:rPr>
        <w:t>he AGR stations and their safety cases are routinely assessed against the latest company standards</w:t>
      </w:r>
      <w:r w:rsidR="5ECB2E95" w:rsidRPr="00DD1B58">
        <w:rPr>
          <w:szCs w:val="24"/>
          <w:lang w:val="en-US"/>
        </w:rPr>
        <w:t xml:space="preserve"> </w:t>
      </w:r>
      <w:r w:rsidRPr="00DD1B58">
        <w:rPr>
          <w:szCs w:val="24"/>
          <w:lang w:val="en-US"/>
        </w:rPr>
        <w:t>(e.g. Nuclear Safety Principles or NSPs) which, as a Company Specification, are in turn routinely</w:t>
      </w:r>
      <w:r w:rsidR="6B2BF01B" w:rsidRPr="00DD1B58">
        <w:rPr>
          <w:szCs w:val="24"/>
          <w:lang w:val="en-US"/>
        </w:rPr>
        <w:t xml:space="preserve"> </w:t>
      </w:r>
      <w:r w:rsidRPr="00DD1B58">
        <w:rPr>
          <w:szCs w:val="24"/>
          <w:lang w:val="en-US"/>
        </w:rPr>
        <w:t xml:space="preserve">reviewed every </w:t>
      </w:r>
      <w:r w:rsidR="00235408" w:rsidRPr="00DD1B58">
        <w:rPr>
          <w:szCs w:val="24"/>
          <w:lang w:val="en-US"/>
        </w:rPr>
        <w:t>three</w:t>
      </w:r>
      <w:r w:rsidRPr="00DD1B58">
        <w:rPr>
          <w:szCs w:val="24"/>
          <w:lang w:val="en-US"/>
        </w:rPr>
        <w:t xml:space="preserve"> years with relevant external assessment standards and guidance on management of</w:t>
      </w:r>
      <w:r w:rsidR="0554083C" w:rsidRPr="00DD1B58">
        <w:rPr>
          <w:szCs w:val="24"/>
          <w:lang w:val="en-US"/>
        </w:rPr>
        <w:t xml:space="preserve"> risk (</w:t>
      </w:r>
      <w:r w:rsidR="00235408" w:rsidRPr="00DD1B58">
        <w:rPr>
          <w:szCs w:val="24"/>
          <w:lang w:val="en-US"/>
        </w:rPr>
        <w:t>for example,</w:t>
      </w:r>
      <w:r w:rsidR="0554083C" w:rsidRPr="00DD1B58">
        <w:rPr>
          <w:szCs w:val="24"/>
          <w:lang w:val="en-US"/>
        </w:rPr>
        <w:t xml:space="preserve"> guidance from HSE, ONR and IAEA safety requirements and standards) to maintain the requirements</w:t>
      </w:r>
      <w:r w:rsidR="00D04D01" w:rsidRPr="00DD1B58">
        <w:rPr>
          <w:szCs w:val="24"/>
          <w:lang w:val="en-US"/>
        </w:rPr>
        <w:t>’</w:t>
      </w:r>
      <w:r w:rsidR="0554083C" w:rsidRPr="00DD1B58">
        <w:rPr>
          <w:szCs w:val="24"/>
          <w:lang w:val="en-US"/>
        </w:rPr>
        <w:t xml:space="preserve"> continuing adequacy.</w:t>
      </w:r>
    </w:p>
    <w:p w14:paraId="0B8ED8EF" w14:textId="05E2D17C" w:rsidR="0554083C" w:rsidRPr="00DD1B58" w:rsidRDefault="00C362CA" w:rsidP="774B19A3">
      <w:pPr>
        <w:pStyle w:val="Bulletlist1"/>
        <w:numPr>
          <w:ilvl w:val="0"/>
          <w:numId w:val="0"/>
        </w:numPr>
        <w:rPr>
          <w:lang w:val="en-US"/>
        </w:rPr>
      </w:pPr>
      <w:r w:rsidRPr="00DD1B58">
        <w:rPr>
          <w:szCs w:val="24"/>
          <w:lang w:val="en-US"/>
        </w:rPr>
        <w:t>EDF NGL</w:t>
      </w:r>
      <w:r w:rsidR="00D04D01" w:rsidRPr="00DD1B58">
        <w:rPr>
          <w:szCs w:val="24"/>
          <w:lang w:val="en-US"/>
        </w:rPr>
        <w:t xml:space="preserve"> carries out a</w:t>
      </w:r>
      <w:r w:rsidR="0554083C" w:rsidRPr="00DD1B58">
        <w:rPr>
          <w:szCs w:val="24"/>
          <w:lang w:val="en-US"/>
        </w:rPr>
        <w:t xml:space="preserve"> systematic review of the current safety case</w:t>
      </w:r>
      <w:r w:rsidR="00D04D01" w:rsidRPr="00DD1B58">
        <w:rPr>
          <w:szCs w:val="24"/>
          <w:lang w:val="en-US"/>
        </w:rPr>
        <w:t>s</w:t>
      </w:r>
      <w:r w:rsidR="0554083C" w:rsidRPr="00DD1B58">
        <w:rPr>
          <w:szCs w:val="24"/>
          <w:lang w:val="en-US"/>
        </w:rPr>
        <w:t xml:space="preserve"> against current standards as part of the PSRs, which are </w:t>
      </w:r>
      <w:r w:rsidR="00D04D01" w:rsidRPr="00DD1B58">
        <w:rPr>
          <w:szCs w:val="24"/>
          <w:lang w:val="en-US"/>
        </w:rPr>
        <w:t>undertaken</w:t>
      </w:r>
      <w:r w:rsidR="0554083C" w:rsidRPr="00DD1B58">
        <w:rPr>
          <w:szCs w:val="24"/>
          <w:lang w:val="en-US"/>
        </w:rPr>
        <w:t xml:space="preserve"> every ten years. The standards and their requirements against which the stations were designed and operate are set down by </w:t>
      </w:r>
      <w:r w:rsidRPr="00DD1B58">
        <w:rPr>
          <w:szCs w:val="24"/>
          <w:lang w:val="en-US"/>
        </w:rPr>
        <w:t>EDF NGL</w:t>
      </w:r>
      <w:r w:rsidR="00D04D01" w:rsidRPr="00DD1B58">
        <w:rPr>
          <w:szCs w:val="24"/>
          <w:lang w:val="en-US"/>
        </w:rPr>
        <w:t xml:space="preserve"> to comply with </w:t>
      </w:r>
      <w:r w:rsidR="0554083C" w:rsidRPr="00DD1B58">
        <w:rPr>
          <w:szCs w:val="24"/>
          <w:lang w:val="en-US"/>
        </w:rPr>
        <w:t>ONR Licence Condition 14</w:t>
      </w:r>
      <w:r w:rsidR="007C641C" w:rsidRPr="00DD1B58">
        <w:rPr>
          <w:szCs w:val="24"/>
          <w:lang w:val="en-US"/>
        </w:rPr>
        <w:t xml:space="preserve"> – Safety </w:t>
      </w:r>
      <w:r w:rsidR="00680FDC" w:rsidRPr="00DD1B58">
        <w:rPr>
          <w:szCs w:val="24"/>
          <w:lang w:val="en-US"/>
        </w:rPr>
        <w:t>d</w:t>
      </w:r>
      <w:r w:rsidR="007C641C" w:rsidRPr="00DD1B58">
        <w:rPr>
          <w:szCs w:val="24"/>
          <w:lang w:val="en-US"/>
        </w:rPr>
        <w:t>ocumentation</w:t>
      </w:r>
      <w:r w:rsidR="0554083C" w:rsidRPr="00DD1B58">
        <w:rPr>
          <w:szCs w:val="24"/>
          <w:lang w:val="en-US"/>
        </w:rPr>
        <w:t>, and are included within the safety case documentation.</w:t>
      </w:r>
    </w:p>
    <w:p w14:paraId="02250406" w14:textId="77777777" w:rsidR="0554083C" w:rsidRPr="00DD1B58" w:rsidRDefault="0554083C" w:rsidP="774B19A3">
      <w:pPr>
        <w:pStyle w:val="Bulletlist1"/>
        <w:numPr>
          <w:ilvl w:val="0"/>
          <w:numId w:val="0"/>
        </w:numPr>
        <w:rPr>
          <w:lang w:val="en-US"/>
        </w:rPr>
      </w:pPr>
      <w:r w:rsidRPr="00DD1B58">
        <w:rPr>
          <w:szCs w:val="24"/>
          <w:lang w:val="en-US"/>
        </w:rPr>
        <w:t>Through the review of these standards contained within the safety case, against various current standards and external guidance (e.g. IAEA safety standards series in fire hazards), the safety case can be assessed to determine its continuing adequacy. Once adequacy of the case requirements is determined, an assessment can be made on the plant’s ability to meet those requirements.</w:t>
      </w:r>
    </w:p>
    <w:p w14:paraId="6117FA52" w14:textId="6034718C" w:rsidR="0554083C" w:rsidRPr="00DD1B58" w:rsidRDefault="0554083C" w:rsidP="774B19A3">
      <w:pPr>
        <w:pStyle w:val="Bulletlist1"/>
        <w:numPr>
          <w:ilvl w:val="0"/>
          <w:numId w:val="0"/>
        </w:numPr>
        <w:rPr>
          <w:lang w:val="en-US"/>
        </w:rPr>
      </w:pPr>
      <w:r w:rsidRPr="00DD1B58">
        <w:rPr>
          <w:b/>
          <w:szCs w:val="24"/>
          <w:lang w:val="en-US"/>
        </w:rPr>
        <w:t>Sizewell B</w:t>
      </w:r>
      <w:r w:rsidR="00235408" w:rsidRPr="00DD1B58">
        <w:rPr>
          <w:b/>
          <w:szCs w:val="24"/>
          <w:lang w:val="en-US"/>
        </w:rPr>
        <w:t>:</w:t>
      </w:r>
      <w:r w:rsidR="00861F87" w:rsidRPr="00DD1B58">
        <w:rPr>
          <w:b/>
          <w:szCs w:val="24"/>
          <w:lang w:val="en-US"/>
        </w:rPr>
        <w:t xml:space="preserve"> </w:t>
      </w:r>
      <w:r w:rsidR="00235408" w:rsidRPr="00DD1B58">
        <w:rPr>
          <w:szCs w:val="24"/>
          <w:lang w:val="en-US"/>
        </w:rPr>
        <w:t>SZB</w:t>
      </w:r>
      <w:r w:rsidRPr="00DD1B58">
        <w:rPr>
          <w:szCs w:val="24"/>
          <w:lang w:val="en-US"/>
        </w:rPr>
        <w:t xml:space="preserve"> fire requirements took account of </w:t>
      </w:r>
      <w:r w:rsidR="006124A0" w:rsidRPr="00DD1B58">
        <w:rPr>
          <w:szCs w:val="24"/>
          <w:lang w:val="en-US"/>
        </w:rPr>
        <w:t>guidance from the Nuclear Installations Inspe</w:t>
      </w:r>
      <w:r w:rsidR="00BD4429" w:rsidRPr="00DD1B58">
        <w:rPr>
          <w:szCs w:val="24"/>
          <w:lang w:val="en-US"/>
        </w:rPr>
        <w:t>cto</w:t>
      </w:r>
      <w:r w:rsidR="006124A0" w:rsidRPr="00DD1B58">
        <w:rPr>
          <w:szCs w:val="24"/>
          <w:lang w:val="en-US"/>
        </w:rPr>
        <w:t xml:space="preserve">rate (NII), ONR’s predecessor, </w:t>
      </w:r>
      <w:r w:rsidRPr="00DD1B58">
        <w:rPr>
          <w:szCs w:val="24"/>
          <w:lang w:val="en-US"/>
        </w:rPr>
        <w:t>as well as US</w:t>
      </w:r>
      <w:r w:rsidR="006124A0" w:rsidRPr="00DD1B58">
        <w:rPr>
          <w:szCs w:val="24"/>
          <w:lang w:val="en-US"/>
        </w:rPr>
        <w:t xml:space="preserve"> NRC</w:t>
      </w:r>
      <w:r w:rsidRPr="00DD1B58">
        <w:rPr>
          <w:szCs w:val="24"/>
          <w:lang w:val="en-US"/>
        </w:rPr>
        <w:t xml:space="preserve"> requirements and guidelines (e.g.</w:t>
      </w:r>
      <w:r w:rsidR="00235408" w:rsidRPr="00DD1B58">
        <w:rPr>
          <w:szCs w:val="24"/>
          <w:lang w:val="en-US"/>
        </w:rPr>
        <w:t>,</w:t>
      </w:r>
      <w:r w:rsidRPr="00DD1B58">
        <w:rPr>
          <w:szCs w:val="24"/>
          <w:lang w:val="en-US"/>
        </w:rPr>
        <w:t xml:space="preserve"> 10 CFR 50.48 and NUREG 0800).</w:t>
      </w:r>
      <w:r w:rsidR="00A953DE" w:rsidRPr="00DD1B58">
        <w:rPr>
          <w:lang w:val="en-US"/>
        </w:rPr>
        <w:t xml:space="preserve"> </w:t>
      </w:r>
      <w:r w:rsidRPr="00DD1B58">
        <w:rPr>
          <w:szCs w:val="24"/>
          <w:lang w:val="en-US"/>
        </w:rPr>
        <w:t xml:space="preserve">Current assessments are carried out to the latest </w:t>
      </w:r>
      <w:r w:rsidR="00C362CA" w:rsidRPr="00DD1B58">
        <w:rPr>
          <w:szCs w:val="24"/>
          <w:lang w:val="en-US"/>
        </w:rPr>
        <w:t>EDF NGL</w:t>
      </w:r>
      <w:r w:rsidRPr="00DD1B58">
        <w:rPr>
          <w:szCs w:val="24"/>
          <w:lang w:val="en-US"/>
        </w:rPr>
        <w:t xml:space="preserve"> standards.</w:t>
      </w:r>
    </w:p>
    <w:p w14:paraId="6FEB1912" w14:textId="54BA3F5A" w:rsidR="0554083C" w:rsidRPr="00DD1B58" w:rsidRDefault="0554083C" w:rsidP="774B19A3">
      <w:pPr>
        <w:pStyle w:val="Bulletlist1"/>
        <w:numPr>
          <w:ilvl w:val="0"/>
          <w:numId w:val="0"/>
        </w:numPr>
        <w:rPr>
          <w:lang w:val="en-US"/>
        </w:rPr>
      </w:pPr>
      <w:r w:rsidRPr="00DD1B58">
        <w:rPr>
          <w:szCs w:val="24"/>
          <w:lang w:val="en-US"/>
        </w:rPr>
        <w:t>In addition, the three Periodic Safety Reviews (PSRs) carried out since the construction of the station have assessed the existing fire protection provisions against current national and international standards. Generally, the design still meets current standards.</w:t>
      </w:r>
    </w:p>
    <w:p w14:paraId="292DACFE" w14:textId="77777777" w:rsidR="1E8476E4" w:rsidRPr="00DD1B58" w:rsidRDefault="22423737" w:rsidP="00CD4BFC">
      <w:pPr>
        <w:pStyle w:val="Heading4"/>
        <w:numPr>
          <w:ilvl w:val="4"/>
          <w:numId w:val="3"/>
        </w:numPr>
        <w:rPr>
          <w:lang w:val="en-US"/>
        </w:rPr>
      </w:pPr>
      <w:bookmarkStart w:id="21" w:name="_Ref140839738"/>
      <w:r w:rsidRPr="00DD1B58">
        <w:rPr>
          <w:lang w:val="en-US"/>
        </w:rPr>
        <w:t>Identification of safety functions and SSCs</w:t>
      </w:r>
      <w:bookmarkEnd w:id="21"/>
    </w:p>
    <w:p w14:paraId="58526403" w14:textId="5EA285C5" w:rsidR="0554083C" w:rsidRPr="00DD1B58" w:rsidRDefault="0554083C" w:rsidP="774B19A3">
      <w:pPr>
        <w:pStyle w:val="Bulletlist1"/>
        <w:numPr>
          <w:ilvl w:val="0"/>
          <w:numId w:val="0"/>
        </w:numPr>
        <w:rPr>
          <w:lang w:val="en-US"/>
        </w:rPr>
      </w:pPr>
      <w:r w:rsidRPr="00DD1B58">
        <w:rPr>
          <w:b/>
          <w:szCs w:val="24"/>
          <w:lang w:val="en-US"/>
        </w:rPr>
        <w:t>General</w:t>
      </w:r>
      <w:r w:rsidR="00235408" w:rsidRPr="00DD1B58">
        <w:rPr>
          <w:b/>
          <w:szCs w:val="24"/>
          <w:lang w:val="en-US"/>
        </w:rPr>
        <w:t>:</w:t>
      </w:r>
      <w:r w:rsidR="00861F87" w:rsidRPr="00DD1B58">
        <w:rPr>
          <w:b/>
          <w:szCs w:val="24"/>
          <w:lang w:val="en-US"/>
        </w:rPr>
        <w:t xml:space="preserve"> </w:t>
      </w:r>
      <w:r w:rsidR="00C362CA" w:rsidRPr="00DD1B58">
        <w:rPr>
          <w:szCs w:val="24"/>
          <w:lang w:val="en-US"/>
        </w:rPr>
        <w:t>EDF NGL</w:t>
      </w:r>
      <w:r w:rsidR="00244F78" w:rsidRPr="00DD1B58">
        <w:rPr>
          <w:szCs w:val="24"/>
          <w:lang w:val="en-US"/>
        </w:rPr>
        <w:t>’s</w:t>
      </w:r>
      <w:r w:rsidRPr="00DD1B58">
        <w:rPr>
          <w:szCs w:val="24"/>
          <w:lang w:val="en-US"/>
        </w:rPr>
        <w:t xml:space="preserve"> identification of safety functions and SSCs typically starts with listing of essential SSCs for nuclear</w:t>
      </w:r>
      <w:r w:rsidR="7D2FA6CC" w:rsidRPr="00DD1B58">
        <w:rPr>
          <w:szCs w:val="24"/>
          <w:lang w:val="en-US"/>
        </w:rPr>
        <w:t xml:space="preserve"> </w:t>
      </w:r>
      <w:r w:rsidRPr="00DD1B58">
        <w:rPr>
          <w:szCs w:val="24"/>
          <w:lang w:val="en-US"/>
        </w:rPr>
        <w:t xml:space="preserve">safety and lines of protection. These are normally identified by the safety analysis and </w:t>
      </w:r>
      <w:r w:rsidR="00244F78" w:rsidRPr="00DD1B58">
        <w:rPr>
          <w:szCs w:val="24"/>
          <w:lang w:val="en-US"/>
        </w:rPr>
        <w:t xml:space="preserve">the </w:t>
      </w:r>
      <w:r w:rsidRPr="00DD1B58">
        <w:rPr>
          <w:szCs w:val="24"/>
          <w:lang w:val="en-US"/>
        </w:rPr>
        <w:t>components subject</w:t>
      </w:r>
      <w:r w:rsidR="00235408" w:rsidRPr="00DD1B58">
        <w:rPr>
          <w:szCs w:val="24"/>
          <w:lang w:val="en-US"/>
        </w:rPr>
        <w:t>ed</w:t>
      </w:r>
      <w:r w:rsidRPr="00DD1B58">
        <w:rPr>
          <w:szCs w:val="24"/>
          <w:lang w:val="en-US"/>
        </w:rPr>
        <w:t xml:space="preserve"> to a target/threat analysis or survivability assessment </w:t>
      </w:r>
      <w:r w:rsidR="009041FD" w:rsidRPr="00DD1B58">
        <w:rPr>
          <w:szCs w:val="24"/>
          <w:lang w:val="en-US"/>
        </w:rPr>
        <w:t>to determine the plant items</w:t>
      </w:r>
      <w:r w:rsidRPr="00DD1B58">
        <w:rPr>
          <w:szCs w:val="24"/>
          <w:lang w:val="en-US"/>
        </w:rPr>
        <w:t xml:space="preserve"> that</w:t>
      </w:r>
      <w:r w:rsidR="75461812" w:rsidRPr="00DD1B58">
        <w:rPr>
          <w:szCs w:val="24"/>
          <w:lang w:val="en-US"/>
        </w:rPr>
        <w:t xml:space="preserve"> </w:t>
      </w:r>
      <w:r w:rsidRPr="00DD1B58">
        <w:rPr>
          <w:szCs w:val="24"/>
          <w:lang w:val="en-US"/>
        </w:rPr>
        <w:t>remain</w:t>
      </w:r>
      <w:r w:rsidR="009041FD" w:rsidRPr="00DD1B58">
        <w:rPr>
          <w:szCs w:val="24"/>
          <w:lang w:val="en-US"/>
        </w:rPr>
        <w:t xml:space="preserve"> available</w:t>
      </w:r>
      <w:r w:rsidRPr="00DD1B58">
        <w:rPr>
          <w:szCs w:val="24"/>
          <w:lang w:val="en-US"/>
        </w:rPr>
        <w:t xml:space="preserve"> after the postulated fire.</w:t>
      </w:r>
    </w:p>
    <w:p w14:paraId="191E1C91" w14:textId="698B2EDA" w:rsidR="0554083C" w:rsidRPr="00DD1B58" w:rsidRDefault="0554083C" w:rsidP="774B19A3">
      <w:pPr>
        <w:pStyle w:val="Bulletlist1"/>
        <w:numPr>
          <w:ilvl w:val="0"/>
          <w:numId w:val="0"/>
        </w:numPr>
        <w:rPr>
          <w:lang w:val="en-US"/>
        </w:rPr>
      </w:pPr>
      <w:r w:rsidRPr="00DD1B58">
        <w:rPr>
          <w:b/>
          <w:szCs w:val="24"/>
          <w:lang w:val="en-US"/>
        </w:rPr>
        <w:t xml:space="preserve">First </w:t>
      </w:r>
      <w:r w:rsidR="00235408" w:rsidRPr="00DD1B58">
        <w:rPr>
          <w:b/>
          <w:szCs w:val="24"/>
          <w:lang w:val="en-US"/>
        </w:rPr>
        <w:t xml:space="preserve">generation </w:t>
      </w:r>
      <w:r w:rsidRPr="00DD1B58">
        <w:rPr>
          <w:b/>
          <w:szCs w:val="24"/>
          <w:lang w:val="en-US"/>
        </w:rPr>
        <w:t>AGRs (</w:t>
      </w:r>
      <w:r w:rsidR="00244F78" w:rsidRPr="00DD1B58">
        <w:rPr>
          <w:b/>
          <w:szCs w:val="24"/>
          <w:lang w:val="en-US"/>
        </w:rPr>
        <w:t>HN</w:t>
      </w:r>
      <w:r w:rsidRPr="00DD1B58">
        <w:rPr>
          <w:b/>
          <w:szCs w:val="24"/>
          <w:lang w:val="en-US"/>
        </w:rPr>
        <w:t>B)</w:t>
      </w:r>
      <w:r w:rsidR="00235408" w:rsidRPr="00DD1B58">
        <w:rPr>
          <w:b/>
          <w:szCs w:val="24"/>
          <w:lang w:val="en-US"/>
        </w:rPr>
        <w:t>:</w:t>
      </w:r>
      <w:r w:rsidR="00CB227F" w:rsidRPr="00DD1B58">
        <w:rPr>
          <w:b/>
          <w:szCs w:val="24"/>
          <w:lang w:val="en-US"/>
        </w:rPr>
        <w:t xml:space="preserve"> </w:t>
      </w:r>
      <w:r w:rsidR="00235408" w:rsidRPr="00DD1B58">
        <w:rPr>
          <w:szCs w:val="24"/>
          <w:lang w:val="en-US"/>
        </w:rPr>
        <w:t>t</w:t>
      </w:r>
      <w:r w:rsidR="00893790" w:rsidRPr="00DD1B58">
        <w:rPr>
          <w:szCs w:val="24"/>
          <w:lang w:val="en-US"/>
        </w:rPr>
        <w:t xml:space="preserve">he </w:t>
      </w:r>
      <w:r w:rsidRPr="00DD1B58">
        <w:rPr>
          <w:szCs w:val="24"/>
          <w:lang w:val="en-US"/>
        </w:rPr>
        <w:t xml:space="preserve">process was carried out </w:t>
      </w:r>
      <w:r w:rsidR="000D1527" w:rsidRPr="00DD1B58">
        <w:rPr>
          <w:szCs w:val="24"/>
          <w:lang w:val="en-US"/>
        </w:rPr>
        <w:t>whilst</w:t>
      </w:r>
      <w:r w:rsidRPr="00DD1B58">
        <w:rPr>
          <w:szCs w:val="24"/>
          <w:lang w:val="en-US"/>
        </w:rPr>
        <w:t xml:space="preserve"> revising the safety cases of critical areas.</w:t>
      </w:r>
      <w:r w:rsidR="00893790" w:rsidRPr="00DD1B58">
        <w:rPr>
          <w:szCs w:val="24"/>
          <w:lang w:val="en-US"/>
        </w:rPr>
        <w:t xml:space="preserve"> </w:t>
      </w:r>
      <w:r w:rsidR="00C362CA" w:rsidRPr="00DD1B58">
        <w:rPr>
          <w:szCs w:val="24"/>
          <w:lang w:val="en-US"/>
        </w:rPr>
        <w:t>EDF NGL</w:t>
      </w:r>
      <w:r w:rsidR="00893790" w:rsidRPr="00DD1B58">
        <w:rPr>
          <w:szCs w:val="24"/>
          <w:lang w:val="en-US"/>
        </w:rPr>
        <w:t xml:space="preserve"> incorporated l</w:t>
      </w:r>
      <w:r w:rsidRPr="00DD1B58">
        <w:rPr>
          <w:szCs w:val="24"/>
          <w:lang w:val="en-US"/>
        </w:rPr>
        <w:t>essons from the Dungeness B oil fire in 2009</w:t>
      </w:r>
      <w:r w:rsidR="00893790" w:rsidRPr="00DD1B58">
        <w:rPr>
          <w:szCs w:val="24"/>
          <w:lang w:val="en-US"/>
        </w:rPr>
        <w:t>, which took place in</w:t>
      </w:r>
      <w:r w:rsidRPr="00DD1B58">
        <w:rPr>
          <w:szCs w:val="24"/>
          <w:lang w:val="en-US"/>
        </w:rPr>
        <w:t xml:space="preserve"> the reactor building, and</w:t>
      </w:r>
      <w:r w:rsidR="0CD75DCC" w:rsidRPr="00DD1B58">
        <w:rPr>
          <w:szCs w:val="24"/>
          <w:lang w:val="en-US"/>
        </w:rPr>
        <w:t xml:space="preserve"> </w:t>
      </w:r>
      <w:r w:rsidRPr="00DD1B58">
        <w:rPr>
          <w:szCs w:val="24"/>
          <w:lang w:val="en-US"/>
        </w:rPr>
        <w:t xml:space="preserve">was caused by a </w:t>
      </w:r>
      <w:r w:rsidR="00893790" w:rsidRPr="00DD1B58">
        <w:rPr>
          <w:szCs w:val="24"/>
          <w:lang w:val="en-US"/>
        </w:rPr>
        <w:t>jet</w:t>
      </w:r>
      <w:r w:rsidRPr="00DD1B58">
        <w:rPr>
          <w:szCs w:val="24"/>
          <w:lang w:val="en-US"/>
        </w:rPr>
        <w:t xml:space="preserve"> release of lube oil impinging on hot surfaces </w:t>
      </w:r>
      <w:r w:rsidR="00893790" w:rsidRPr="00DD1B58">
        <w:rPr>
          <w:szCs w:val="24"/>
          <w:lang w:val="en-US"/>
        </w:rPr>
        <w:t>leading to</w:t>
      </w:r>
      <w:r w:rsidRPr="00DD1B58">
        <w:rPr>
          <w:szCs w:val="24"/>
          <w:lang w:val="en-US"/>
        </w:rPr>
        <w:t xml:space="preserve"> ignition</w:t>
      </w:r>
      <w:r w:rsidR="00893790" w:rsidRPr="00DD1B58">
        <w:rPr>
          <w:szCs w:val="24"/>
          <w:lang w:val="en-US"/>
        </w:rPr>
        <w:t xml:space="preserve"> and fire. </w:t>
      </w:r>
      <w:r w:rsidRPr="00DD1B58">
        <w:rPr>
          <w:szCs w:val="24"/>
          <w:lang w:val="en-US"/>
        </w:rPr>
        <w:t>The key consideration was the potential consequential damage to plant of high nuclear safety</w:t>
      </w:r>
      <w:r w:rsidR="7D6FC215" w:rsidRPr="00DD1B58">
        <w:rPr>
          <w:szCs w:val="24"/>
          <w:lang w:val="en-US"/>
        </w:rPr>
        <w:t xml:space="preserve"> </w:t>
      </w:r>
      <w:r w:rsidRPr="00DD1B58">
        <w:rPr>
          <w:szCs w:val="24"/>
          <w:lang w:val="en-US"/>
        </w:rPr>
        <w:t>significance and/or to equipment supporting shutdown cooling. Of particular concern was the potential</w:t>
      </w:r>
      <w:r w:rsidR="13B23C8D" w:rsidRPr="00DD1B58">
        <w:rPr>
          <w:szCs w:val="24"/>
          <w:lang w:val="en-US"/>
        </w:rPr>
        <w:t xml:space="preserve"> </w:t>
      </w:r>
      <w:r w:rsidRPr="00DD1B58">
        <w:rPr>
          <w:szCs w:val="24"/>
          <w:lang w:val="en-US"/>
        </w:rPr>
        <w:t>for consequential failure of reactor stressing tendon ends that protrude from the reactor pressure vessel,</w:t>
      </w:r>
      <w:r w:rsidR="5EA775DE" w:rsidRPr="00DD1B58">
        <w:rPr>
          <w:szCs w:val="24"/>
          <w:lang w:val="en-US"/>
        </w:rPr>
        <w:t xml:space="preserve"> </w:t>
      </w:r>
      <w:r w:rsidRPr="00DD1B58">
        <w:rPr>
          <w:szCs w:val="24"/>
          <w:lang w:val="en-US"/>
        </w:rPr>
        <w:t>with a potential loss of containment (this is unique to Dungeness B).</w:t>
      </w:r>
      <w:r w:rsidR="00A953DE" w:rsidRPr="00DD1B58">
        <w:rPr>
          <w:lang w:val="en-US"/>
        </w:rPr>
        <w:t xml:space="preserve"> </w:t>
      </w:r>
      <w:r w:rsidRPr="00DD1B58">
        <w:rPr>
          <w:szCs w:val="24"/>
          <w:lang w:val="en-US"/>
        </w:rPr>
        <w:t xml:space="preserve">A similar </w:t>
      </w:r>
      <w:r w:rsidR="00893790" w:rsidRPr="00DD1B58">
        <w:rPr>
          <w:szCs w:val="24"/>
          <w:lang w:val="en-US"/>
        </w:rPr>
        <w:t>analysis</w:t>
      </w:r>
      <w:r w:rsidRPr="00DD1B58">
        <w:rPr>
          <w:szCs w:val="24"/>
          <w:lang w:val="en-US"/>
        </w:rPr>
        <w:t xml:space="preserve"> was carried out in HNB critical areas </w:t>
      </w:r>
      <w:r w:rsidR="00893790" w:rsidRPr="00DD1B58">
        <w:rPr>
          <w:szCs w:val="24"/>
          <w:lang w:val="en-US"/>
        </w:rPr>
        <w:t xml:space="preserve">through a </w:t>
      </w:r>
      <w:r w:rsidRPr="00DD1B58">
        <w:rPr>
          <w:szCs w:val="24"/>
          <w:lang w:val="en-US"/>
        </w:rPr>
        <w:t>programme similar in scope.</w:t>
      </w:r>
      <w:r w:rsidR="328DF329" w:rsidRPr="00DD1B58">
        <w:rPr>
          <w:szCs w:val="24"/>
          <w:lang w:val="en-US"/>
        </w:rPr>
        <w:t xml:space="preserve"> </w:t>
      </w:r>
    </w:p>
    <w:p w14:paraId="333AA8EA" w14:textId="1B9152DD" w:rsidR="328DF329" w:rsidRPr="00DD1B58" w:rsidRDefault="328DF329" w:rsidP="774B19A3">
      <w:pPr>
        <w:pStyle w:val="Bulletlist1"/>
        <w:numPr>
          <w:ilvl w:val="0"/>
          <w:numId w:val="0"/>
        </w:numPr>
        <w:rPr>
          <w:lang w:val="en-US"/>
        </w:rPr>
      </w:pPr>
      <w:r w:rsidRPr="00DD1B58">
        <w:rPr>
          <w:b/>
          <w:szCs w:val="24"/>
          <w:lang w:val="en-US"/>
        </w:rPr>
        <w:t xml:space="preserve">Second </w:t>
      </w:r>
      <w:r w:rsidR="008E1AD3" w:rsidRPr="00DD1B58">
        <w:rPr>
          <w:b/>
          <w:szCs w:val="24"/>
          <w:lang w:val="en-US"/>
        </w:rPr>
        <w:t>g</w:t>
      </w:r>
      <w:r w:rsidRPr="00DD1B58">
        <w:rPr>
          <w:b/>
          <w:szCs w:val="24"/>
          <w:lang w:val="en-US"/>
        </w:rPr>
        <w:t>eneration AGRs (H</w:t>
      </w:r>
      <w:r w:rsidR="00701D73" w:rsidRPr="00DD1B58">
        <w:rPr>
          <w:b/>
          <w:szCs w:val="24"/>
          <w:lang w:val="en-US"/>
        </w:rPr>
        <w:t>Y</w:t>
      </w:r>
      <w:r w:rsidRPr="00DD1B58">
        <w:rPr>
          <w:b/>
          <w:szCs w:val="24"/>
          <w:lang w:val="en-US"/>
        </w:rPr>
        <w:t>2)</w:t>
      </w:r>
      <w:r w:rsidR="008E1AD3" w:rsidRPr="00DD1B58">
        <w:rPr>
          <w:b/>
          <w:szCs w:val="24"/>
          <w:lang w:val="en-US"/>
        </w:rPr>
        <w:t>:</w:t>
      </w:r>
      <w:r w:rsidR="00CB227F" w:rsidRPr="00DD1B58">
        <w:rPr>
          <w:b/>
          <w:szCs w:val="24"/>
          <w:lang w:val="en-US"/>
        </w:rPr>
        <w:t xml:space="preserve"> </w:t>
      </w:r>
      <w:r w:rsidR="008E1AD3" w:rsidRPr="00DD1B58">
        <w:rPr>
          <w:szCs w:val="24"/>
          <w:lang w:val="en-US"/>
        </w:rPr>
        <w:t>a</w:t>
      </w:r>
      <w:r w:rsidRPr="00DD1B58">
        <w:rPr>
          <w:szCs w:val="24"/>
          <w:lang w:val="en-US"/>
        </w:rPr>
        <w:t xml:space="preserve">n Essential Safety Function (ESF) is defined as a function that is required following an initiating event to prevent an unacceptable radioactive release. </w:t>
      </w:r>
      <w:r w:rsidR="00C362CA" w:rsidRPr="00DD1B58">
        <w:rPr>
          <w:szCs w:val="24"/>
          <w:lang w:val="en-US"/>
        </w:rPr>
        <w:t>EDF NGL</w:t>
      </w:r>
      <w:r w:rsidR="00893790" w:rsidRPr="00DD1B58">
        <w:rPr>
          <w:szCs w:val="24"/>
          <w:lang w:val="en-US"/>
        </w:rPr>
        <w:t xml:space="preserve"> provides diverse </w:t>
      </w:r>
      <w:r w:rsidR="003E5EE9" w:rsidRPr="00DD1B58">
        <w:rPr>
          <w:szCs w:val="24"/>
          <w:lang w:val="en-US"/>
        </w:rPr>
        <w:t>L</w:t>
      </w:r>
      <w:r w:rsidR="00893790" w:rsidRPr="00DD1B58">
        <w:rPr>
          <w:szCs w:val="24"/>
          <w:lang w:val="en-US"/>
        </w:rPr>
        <w:t>ines of Protection (LoP) f</w:t>
      </w:r>
      <w:r w:rsidRPr="00DD1B58">
        <w:rPr>
          <w:szCs w:val="24"/>
          <w:lang w:val="en-US"/>
        </w:rPr>
        <w:t xml:space="preserve">or each of the ESFs </w:t>
      </w:r>
      <w:r w:rsidRPr="00DD1B58">
        <w:rPr>
          <w:szCs w:val="24"/>
          <w:lang w:val="en-US"/>
        </w:rPr>
        <w:lastRenderedPageBreak/>
        <w:t xml:space="preserve">identified (e.g. trip, shutdown and </w:t>
      </w:r>
      <w:r w:rsidR="003E5EE9" w:rsidRPr="00DD1B58">
        <w:rPr>
          <w:szCs w:val="24"/>
          <w:lang w:val="en-US"/>
        </w:rPr>
        <w:t>post-</w:t>
      </w:r>
      <w:r w:rsidRPr="00DD1B58">
        <w:rPr>
          <w:szCs w:val="24"/>
          <w:lang w:val="en-US"/>
        </w:rPr>
        <w:t>trip cooling)</w:t>
      </w:r>
      <w:r w:rsidR="00893790" w:rsidRPr="00DD1B58">
        <w:rPr>
          <w:szCs w:val="24"/>
          <w:lang w:val="en-US"/>
        </w:rPr>
        <w:t xml:space="preserve">. </w:t>
      </w:r>
      <w:r w:rsidRPr="00DD1B58">
        <w:rPr>
          <w:szCs w:val="24"/>
          <w:lang w:val="en-US"/>
        </w:rPr>
        <w:t>A LoP is defined as a safety system or combination of safety systems and/or operator actions which provide one means of carrying out an ESF. LoPs are also claimed in order to ensure availability of the plant and therefore provision of the ESF. Each system is made up of (essential) safety systems, structures and components and</w:t>
      </w:r>
      <w:r w:rsidR="00FD691C" w:rsidRPr="00DD1B58">
        <w:rPr>
          <w:szCs w:val="24"/>
          <w:lang w:val="en-US"/>
        </w:rPr>
        <w:t>,</w:t>
      </w:r>
      <w:r w:rsidRPr="00DD1B58">
        <w:rPr>
          <w:szCs w:val="24"/>
          <w:lang w:val="en-US"/>
        </w:rPr>
        <w:t xml:space="preserve"> where appropriate, incorporate redundancy to tolerate failures and maintenance activities. Where redundancy</w:t>
      </w:r>
      <w:r w:rsidR="00DB4384" w:rsidRPr="00DD1B58">
        <w:rPr>
          <w:szCs w:val="24"/>
          <w:lang w:val="en-US"/>
        </w:rPr>
        <w:t xml:space="preserve"> </w:t>
      </w:r>
      <w:r w:rsidRPr="00DD1B58">
        <w:rPr>
          <w:szCs w:val="24"/>
          <w:lang w:val="en-US"/>
        </w:rPr>
        <w:t>is not possible (e.g., the pressure vessel</w:t>
      </w:r>
      <w:r w:rsidR="003E5EE9" w:rsidRPr="00DD1B58">
        <w:rPr>
          <w:szCs w:val="24"/>
          <w:lang w:val="en-US"/>
        </w:rPr>
        <w:t xml:space="preserve"> in civil structures</w:t>
      </w:r>
      <w:r w:rsidRPr="00DD1B58">
        <w:rPr>
          <w:szCs w:val="24"/>
          <w:lang w:val="en-US"/>
        </w:rPr>
        <w:t>)</w:t>
      </w:r>
      <w:r w:rsidR="003E5EE9" w:rsidRPr="00DD1B58">
        <w:rPr>
          <w:szCs w:val="24"/>
          <w:lang w:val="en-US"/>
        </w:rPr>
        <w:t>,</w:t>
      </w:r>
      <w:r w:rsidRPr="00DD1B58">
        <w:rPr>
          <w:szCs w:val="24"/>
          <w:lang w:val="en-US"/>
        </w:rPr>
        <w:t xml:space="preserve"> the required structural reliability is managed through high standards of design and build. The basic approach and requirements for plant integrity are discussed in the Station Safety Report.</w:t>
      </w:r>
    </w:p>
    <w:p w14:paraId="0A9F6E76" w14:textId="173BBBC5" w:rsidR="00075500" w:rsidRPr="00DD1B58" w:rsidRDefault="328DF329" w:rsidP="774B19A3">
      <w:pPr>
        <w:pStyle w:val="Bulletlist1"/>
        <w:numPr>
          <w:ilvl w:val="0"/>
          <w:numId w:val="0"/>
        </w:numPr>
        <w:rPr>
          <w:lang w:val="en-US"/>
        </w:rPr>
      </w:pPr>
      <w:r w:rsidRPr="00DD1B58">
        <w:rPr>
          <w:szCs w:val="24"/>
          <w:lang w:val="en-US"/>
        </w:rPr>
        <w:t>The role of the Fire Detection and Suppression Systems (FDSSs) in the nuclear safety context is to provide defence</w:t>
      </w:r>
      <w:r w:rsidR="003E5EE9" w:rsidRPr="00DD1B58">
        <w:rPr>
          <w:szCs w:val="24"/>
          <w:lang w:val="en-US"/>
        </w:rPr>
        <w:t xml:space="preserve"> </w:t>
      </w:r>
      <w:r w:rsidRPr="00DD1B58">
        <w:rPr>
          <w:szCs w:val="24"/>
          <w:lang w:val="en-US"/>
        </w:rPr>
        <w:t>in</w:t>
      </w:r>
      <w:r w:rsidR="003E5EE9" w:rsidRPr="00DD1B58">
        <w:rPr>
          <w:szCs w:val="24"/>
          <w:lang w:val="en-US"/>
        </w:rPr>
        <w:t xml:space="preserve"> </w:t>
      </w:r>
      <w:r w:rsidRPr="00DD1B58">
        <w:rPr>
          <w:szCs w:val="24"/>
          <w:lang w:val="en-US"/>
        </w:rPr>
        <w:t>depth such that a fire does not affect the ability of the reactor to continue to operate safely</w:t>
      </w:r>
      <w:r w:rsidR="00A666E2" w:rsidRPr="00DD1B58">
        <w:rPr>
          <w:szCs w:val="24"/>
          <w:lang w:val="en-US"/>
        </w:rPr>
        <w:t xml:space="preserve">, as well as </w:t>
      </w:r>
      <w:r w:rsidRPr="00DD1B58">
        <w:rPr>
          <w:szCs w:val="24"/>
          <w:lang w:val="en-US"/>
        </w:rPr>
        <w:t>ensure that adequate essential safety systems are available to trip, shut down and cool the reactor. However, since the FDSSs do not provide an ESF themselves</w:t>
      </w:r>
      <w:r w:rsidR="00AB367B" w:rsidRPr="00DD1B58">
        <w:rPr>
          <w:szCs w:val="24"/>
          <w:lang w:val="en-US"/>
        </w:rPr>
        <w:t xml:space="preserve">, </w:t>
      </w:r>
      <w:r w:rsidR="00C362CA" w:rsidRPr="00DD1B58">
        <w:rPr>
          <w:szCs w:val="24"/>
          <w:lang w:val="en-US"/>
        </w:rPr>
        <w:t>EDF NGL</w:t>
      </w:r>
      <w:r w:rsidR="00AB367B" w:rsidRPr="00DD1B58">
        <w:rPr>
          <w:szCs w:val="24"/>
          <w:lang w:val="en-US"/>
        </w:rPr>
        <w:t xml:space="preserve"> had </w:t>
      </w:r>
      <w:r w:rsidRPr="00DD1B58">
        <w:rPr>
          <w:szCs w:val="24"/>
          <w:lang w:val="en-US"/>
        </w:rPr>
        <w:t xml:space="preserve">no </w:t>
      </w:r>
      <w:r w:rsidR="009B37A9" w:rsidRPr="00DD1B58">
        <w:rPr>
          <w:szCs w:val="24"/>
          <w:lang w:val="en-US"/>
        </w:rPr>
        <w:t>requirement for claims</w:t>
      </w:r>
      <w:r w:rsidRPr="00DD1B58">
        <w:rPr>
          <w:szCs w:val="24"/>
          <w:lang w:val="en-US"/>
        </w:rPr>
        <w:t xml:space="preserve"> to be </w:t>
      </w:r>
      <w:r w:rsidR="009B37A9" w:rsidRPr="00DD1B58">
        <w:rPr>
          <w:szCs w:val="24"/>
          <w:lang w:val="en-US"/>
        </w:rPr>
        <w:t>made</w:t>
      </w:r>
      <w:r w:rsidRPr="00DD1B58">
        <w:rPr>
          <w:szCs w:val="24"/>
          <w:lang w:val="en-US"/>
        </w:rPr>
        <w:t xml:space="preserve"> against </w:t>
      </w:r>
      <w:r w:rsidR="009B37A9" w:rsidRPr="00DD1B58">
        <w:rPr>
          <w:szCs w:val="24"/>
          <w:lang w:val="en-US"/>
        </w:rPr>
        <w:t>them</w:t>
      </w:r>
      <w:r w:rsidR="00763DCF" w:rsidRPr="00DD1B58">
        <w:rPr>
          <w:szCs w:val="24"/>
          <w:lang w:val="en-US"/>
        </w:rPr>
        <w:t xml:space="preserve"> and</w:t>
      </w:r>
      <w:r w:rsidRPr="00DD1B58">
        <w:rPr>
          <w:szCs w:val="24"/>
          <w:lang w:val="en-US"/>
        </w:rPr>
        <w:t xml:space="preserve"> </w:t>
      </w:r>
      <w:r w:rsidR="009B37A9" w:rsidRPr="00DD1B58">
        <w:rPr>
          <w:szCs w:val="24"/>
          <w:lang w:val="en-US"/>
        </w:rPr>
        <w:t>t</w:t>
      </w:r>
      <w:r w:rsidRPr="00DD1B58">
        <w:rPr>
          <w:szCs w:val="24"/>
          <w:lang w:val="en-US"/>
        </w:rPr>
        <w:t>he role of FDSSs was therefore considered ancillary</w:t>
      </w:r>
      <w:r w:rsidR="00763DCF" w:rsidRPr="00DD1B58">
        <w:rPr>
          <w:szCs w:val="24"/>
          <w:lang w:val="en-US"/>
        </w:rPr>
        <w:t>.</w:t>
      </w:r>
      <w:r w:rsidRPr="00DD1B58">
        <w:rPr>
          <w:szCs w:val="24"/>
          <w:lang w:val="en-US"/>
        </w:rPr>
        <w:t xml:space="preserve"> However</w:t>
      </w:r>
      <w:r w:rsidR="00AB367B" w:rsidRPr="00DD1B58">
        <w:rPr>
          <w:szCs w:val="24"/>
          <w:lang w:val="en-US"/>
        </w:rPr>
        <w:t>,</w:t>
      </w:r>
      <w:r w:rsidRPr="00DD1B58">
        <w:rPr>
          <w:szCs w:val="24"/>
          <w:lang w:val="en-US"/>
        </w:rPr>
        <w:t xml:space="preserve"> since the original design a small number of FDSSs have</w:t>
      </w:r>
      <w:r w:rsidR="5CF626B7" w:rsidRPr="00DD1B58">
        <w:rPr>
          <w:szCs w:val="24"/>
          <w:lang w:val="en-US"/>
        </w:rPr>
        <w:t xml:space="preserve"> </w:t>
      </w:r>
      <w:r w:rsidRPr="00DD1B58">
        <w:rPr>
          <w:szCs w:val="24"/>
          <w:lang w:val="en-US"/>
        </w:rPr>
        <w:t>been claimed as a countermeasure against certain fires.</w:t>
      </w:r>
      <w:r w:rsidR="00FD2FDD" w:rsidRPr="00DD1B58">
        <w:rPr>
          <w:szCs w:val="24"/>
          <w:lang w:val="en-US"/>
        </w:rPr>
        <w:t xml:space="preserve"> </w:t>
      </w:r>
      <w:r w:rsidR="00C362CA" w:rsidRPr="00DD1B58">
        <w:rPr>
          <w:szCs w:val="24"/>
          <w:lang w:val="en-US"/>
        </w:rPr>
        <w:t>EDF NGL</w:t>
      </w:r>
      <w:r w:rsidR="00FD2FDD" w:rsidRPr="00DD1B58">
        <w:rPr>
          <w:szCs w:val="24"/>
          <w:lang w:val="en-US"/>
        </w:rPr>
        <w:t xml:space="preserve"> considers that p</w:t>
      </w:r>
      <w:r w:rsidRPr="00DD1B58">
        <w:rPr>
          <w:szCs w:val="24"/>
          <w:lang w:val="en-US"/>
        </w:rPr>
        <w:t xml:space="preserve">lacing a claim on an FDSS </w:t>
      </w:r>
      <w:r w:rsidR="00573B0F" w:rsidRPr="00DD1B58">
        <w:rPr>
          <w:szCs w:val="24"/>
          <w:lang w:val="en-US"/>
        </w:rPr>
        <w:t xml:space="preserve">should </w:t>
      </w:r>
      <w:r w:rsidRPr="00DD1B58">
        <w:rPr>
          <w:szCs w:val="24"/>
          <w:lang w:val="en-US"/>
        </w:rPr>
        <w:t>ensure</w:t>
      </w:r>
      <w:r w:rsidR="1647B7F1" w:rsidRPr="00DD1B58">
        <w:rPr>
          <w:szCs w:val="24"/>
          <w:lang w:val="en-US"/>
        </w:rPr>
        <w:t xml:space="preserve"> </w:t>
      </w:r>
      <w:r w:rsidRPr="00DD1B58">
        <w:rPr>
          <w:szCs w:val="24"/>
          <w:lang w:val="en-US"/>
        </w:rPr>
        <w:t>availability in the event of a fire</w:t>
      </w:r>
      <w:r w:rsidR="00FD2FDD" w:rsidRPr="00DD1B58">
        <w:rPr>
          <w:szCs w:val="24"/>
          <w:lang w:val="en-US"/>
        </w:rPr>
        <w:t>,</w:t>
      </w:r>
      <w:r w:rsidR="00542F93" w:rsidRPr="00DD1B58">
        <w:rPr>
          <w:szCs w:val="24"/>
          <w:lang w:val="en-US"/>
        </w:rPr>
        <w:t xml:space="preserve"> which</w:t>
      </w:r>
      <w:r w:rsidRPr="00DD1B58">
        <w:rPr>
          <w:szCs w:val="24"/>
          <w:lang w:val="en-US"/>
        </w:rPr>
        <w:t xml:space="preserve"> in turn provides confidence that the essential safety systems</w:t>
      </w:r>
      <w:r w:rsidR="59BEAF4D" w:rsidRPr="00DD1B58">
        <w:rPr>
          <w:szCs w:val="24"/>
          <w:lang w:val="en-US"/>
        </w:rPr>
        <w:t xml:space="preserve"> </w:t>
      </w:r>
      <w:r w:rsidR="00542F93" w:rsidRPr="00DD1B58">
        <w:rPr>
          <w:szCs w:val="24"/>
          <w:lang w:val="en-US"/>
        </w:rPr>
        <w:t xml:space="preserve">will be </w:t>
      </w:r>
      <w:r w:rsidRPr="00DD1B58">
        <w:rPr>
          <w:szCs w:val="24"/>
          <w:lang w:val="en-US"/>
        </w:rPr>
        <w:t xml:space="preserve">capable of providing their essential safety functions. </w:t>
      </w:r>
      <w:r w:rsidR="00C362CA" w:rsidRPr="00DD1B58">
        <w:rPr>
          <w:szCs w:val="24"/>
          <w:lang w:val="en-US"/>
        </w:rPr>
        <w:t>EDF NGL</w:t>
      </w:r>
      <w:r w:rsidR="00FD2FDD" w:rsidRPr="00DD1B58">
        <w:rPr>
          <w:szCs w:val="24"/>
          <w:lang w:val="en-US"/>
        </w:rPr>
        <w:t xml:space="preserve"> does not expect a change in the safety classification of essential safety SSCs</w:t>
      </w:r>
      <w:r w:rsidRPr="00DD1B58">
        <w:rPr>
          <w:szCs w:val="24"/>
          <w:lang w:val="en-US"/>
        </w:rPr>
        <w:t xml:space="preserve"> </w:t>
      </w:r>
      <w:r w:rsidR="00FD2FDD" w:rsidRPr="00DD1B58">
        <w:rPr>
          <w:szCs w:val="24"/>
          <w:lang w:val="en-US"/>
        </w:rPr>
        <w:t>as part o</w:t>
      </w:r>
      <w:r w:rsidRPr="00DD1B58">
        <w:rPr>
          <w:szCs w:val="24"/>
          <w:lang w:val="en-US"/>
        </w:rPr>
        <w:t xml:space="preserve">f the </w:t>
      </w:r>
      <w:r w:rsidR="00701D73" w:rsidRPr="00DD1B58">
        <w:rPr>
          <w:szCs w:val="24"/>
          <w:lang w:val="en-US"/>
        </w:rPr>
        <w:t>f</w:t>
      </w:r>
      <w:r w:rsidRPr="00DD1B58">
        <w:rPr>
          <w:szCs w:val="24"/>
          <w:lang w:val="en-US"/>
        </w:rPr>
        <w:t xml:space="preserve">ire </w:t>
      </w:r>
      <w:r w:rsidR="00701D73" w:rsidRPr="00DD1B58">
        <w:rPr>
          <w:szCs w:val="24"/>
          <w:lang w:val="en-US"/>
        </w:rPr>
        <w:t>h</w:t>
      </w:r>
      <w:r w:rsidRPr="00DD1B58">
        <w:rPr>
          <w:szCs w:val="24"/>
          <w:lang w:val="en-US"/>
        </w:rPr>
        <w:t xml:space="preserve">azards </w:t>
      </w:r>
      <w:r w:rsidR="00701D73" w:rsidRPr="00DD1B58">
        <w:rPr>
          <w:szCs w:val="24"/>
          <w:lang w:val="en-US"/>
        </w:rPr>
        <w:t>s</w:t>
      </w:r>
      <w:r w:rsidRPr="00DD1B58">
        <w:rPr>
          <w:szCs w:val="24"/>
          <w:lang w:val="en-US"/>
        </w:rPr>
        <w:t xml:space="preserve">afety </w:t>
      </w:r>
      <w:r w:rsidR="00701D73" w:rsidRPr="00DD1B58">
        <w:rPr>
          <w:szCs w:val="24"/>
          <w:lang w:val="en-US"/>
        </w:rPr>
        <w:t>c</w:t>
      </w:r>
      <w:r w:rsidRPr="00DD1B58">
        <w:rPr>
          <w:szCs w:val="24"/>
          <w:lang w:val="en-US"/>
        </w:rPr>
        <w:t xml:space="preserve">ase </w:t>
      </w:r>
      <w:r w:rsidR="00701D73" w:rsidRPr="00DD1B58">
        <w:rPr>
          <w:szCs w:val="24"/>
          <w:lang w:val="en-US"/>
        </w:rPr>
        <w:t>r</w:t>
      </w:r>
      <w:r w:rsidRPr="00DD1B58">
        <w:rPr>
          <w:szCs w:val="24"/>
          <w:lang w:val="en-US"/>
        </w:rPr>
        <w:t xml:space="preserve">eview and </w:t>
      </w:r>
      <w:r w:rsidR="00701D73" w:rsidRPr="00DD1B58">
        <w:rPr>
          <w:szCs w:val="24"/>
          <w:lang w:val="en-US"/>
        </w:rPr>
        <w:t>u</w:t>
      </w:r>
      <w:r w:rsidRPr="00DD1B58">
        <w:rPr>
          <w:szCs w:val="24"/>
          <w:lang w:val="en-US"/>
        </w:rPr>
        <w:t>pdate</w:t>
      </w:r>
      <w:r w:rsidR="00FD2FDD" w:rsidRPr="00DD1B58">
        <w:rPr>
          <w:szCs w:val="24"/>
          <w:lang w:val="en-US"/>
        </w:rPr>
        <w:t xml:space="preserve"> for HY2</w:t>
      </w:r>
      <w:r w:rsidRPr="00DD1B58">
        <w:rPr>
          <w:szCs w:val="24"/>
          <w:lang w:val="en-US"/>
        </w:rPr>
        <w:t xml:space="preserve">, which is ongoing </w:t>
      </w:r>
      <w:r w:rsidR="00FD2FDD" w:rsidRPr="00DD1B58">
        <w:rPr>
          <w:szCs w:val="24"/>
          <w:lang w:val="en-US"/>
        </w:rPr>
        <w:t>at the time of writing this report</w:t>
      </w:r>
      <w:r w:rsidR="00C8093C" w:rsidRPr="00DD1B58">
        <w:rPr>
          <w:szCs w:val="24"/>
          <w:lang w:val="en-US"/>
        </w:rPr>
        <w:t>. However</w:t>
      </w:r>
      <w:r w:rsidRPr="00DD1B58">
        <w:rPr>
          <w:szCs w:val="24"/>
          <w:lang w:val="en-US"/>
        </w:rPr>
        <w:t>, some FDSSs will</w:t>
      </w:r>
      <w:r w:rsidR="0262ABCA" w:rsidRPr="00DD1B58">
        <w:rPr>
          <w:szCs w:val="24"/>
          <w:lang w:val="en-US"/>
        </w:rPr>
        <w:t xml:space="preserve"> </w:t>
      </w:r>
      <w:r w:rsidRPr="00DD1B58">
        <w:rPr>
          <w:szCs w:val="24"/>
          <w:lang w:val="en-US"/>
        </w:rPr>
        <w:t>effectively become Safety Class 3 equipment. The classification of safety related equipment is detailed</w:t>
      </w:r>
      <w:r w:rsidR="1C7E8D2B" w:rsidRPr="00DD1B58">
        <w:rPr>
          <w:szCs w:val="24"/>
          <w:lang w:val="en-US"/>
        </w:rPr>
        <w:t xml:space="preserve"> </w:t>
      </w:r>
      <w:r w:rsidRPr="00DD1B58">
        <w:rPr>
          <w:szCs w:val="24"/>
          <w:lang w:val="en-US"/>
        </w:rPr>
        <w:t>in the safety case.</w:t>
      </w:r>
      <w:r w:rsidR="00FD2FDD" w:rsidRPr="00DD1B58">
        <w:rPr>
          <w:szCs w:val="24"/>
          <w:lang w:val="en-US"/>
        </w:rPr>
        <w:t xml:space="preserve"> </w:t>
      </w:r>
      <w:r w:rsidR="00075500" w:rsidRPr="00DD1B58">
        <w:rPr>
          <w:szCs w:val="24"/>
          <w:lang w:val="en-US"/>
        </w:rPr>
        <w:t>The d</w:t>
      </w:r>
      <w:r w:rsidR="007A343F" w:rsidRPr="00DD1B58">
        <w:rPr>
          <w:szCs w:val="24"/>
          <w:lang w:val="en-US"/>
        </w:rPr>
        <w:t>a</w:t>
      </w:r>
      <w:r w:rsidR="00075500" w:rsidRPr="00DD1B58">
        <w:rPr>
          <w:szCs w:val="24"/>
          <w:lang w:val="en-US"/>
        </w:rPr>
        <w:t xml:space="preserve">mage potential </w:t>
      </w:r>
      <w:r w:rsidR="00FD2FDD" w:rsidRPr="00DD1B58">
        <w:rPr>
          <w:szCs w:val="24"/>
          <w:lang w:val="en-US"/>
        </w:rPr>
        <w:t xml:space="preserve">from a range of fire events </w:t>
      </w:r>
      <w:r w:rsidR="00075500" w:rsidRPr="00DD1B58">
        <w:rPr>
          <w:szCs w:val="24"/>
          <w:lang w:val="en-US"/>
        </w:rPr>
        <w:t xml:space="preserve">and </w:t>
      </w:r>
      <w:r w:rsidR="007A343F" w:rsidRPr="00DD1B58">
        <w:rPr>
          <w:szCs w:val="24"/>
          <w:lang w:val="en-US"/>
        </w:rPr>
        <w:t xml:space="preserve">assumptions on barrier performance are detailed in the EDF NGL submission </w:t>
      </w:r>
      <w:sdt>
        <w:sdtPr>
          <w:rPr>
            <w:szCs w:val="24"/>
            <w:lang w:val="en-US"/>
          </w:rPr>
          <w:id w:val="101766406"/>
          <w:citation/>
        </w:sdtPr>
        <w:sdtContent>
          <w:r w:rsidR="005001D3" w:rsidRPr="00DD1B58">
            <w:rPr>
              <w:szCs w:val="24"/>
              <w:lang w:val="en-US"/>
            </w:rPr>
            <w:fldChar w:fldCharType="begin"/>
          </w:r>
          <w:r w:rsidR="005001D3" w:rsidRPr="00DD1B58">
            <w:rPr>
              <w:szCs w:val="24"/>
              <w:lang w:val="en-US"/>
            </w:rPr>
            <w:instrText xml:space="preserve"> CITATION EDF231 \l 2057 </w:instrText>
          </w:r>
          <w:r w:rsidR="005001D3" w:rsidRPr="00DD1B58">
            <w:rPr>
              <w:szCs w:val="24"/>
              <w:lang w:val="en-US"/>
            </w:rPr>
            <w:fldChar w:fldCharType="separate"/>
          </w:r>
          <w:r w:rsidR="00DF47DA" w:rsidRPr="00DF47DA">
            <w:rPr>
              <w:szCs w:val="24"/>
              <w:lang w:val="en-US"/>
            </w:rPr>
            <w:t>[25]</w:t>
          </w:r>
          <w:r w:rsidR="005001D3" w:rsidRPr="00DD1B58">
            <w:rPr>
              <w:szCs w:val="24"/>
              <w:lang w:val="en-US"/>
            </w:rPr>
            <w:fldChar w:fldCharType="end"/>
          </w:r>
        </w:sdtContent>
      </w:sdt>
      <w:r w:rsidR="005001D3" w:rsidRPr="00DD1B58">
        <w:rPr>
          <w:szCs w:val="24"/>
          <w:lang w:val="en-US"/>
        </w:rPr>
        <w:t>.</w:t>
      </w:r>
    </w:p>
    <w:p w14:paraId="14947F55" w14:textId="4F9980A3" w:rsidR="00BA3517" w:rsidRPr="00DD1B58" w:rsidRDefault="328DF329" w:rsidP="774B19A3">
      <w:pPr>
        <w:pStyle w:val="Bulletlist1"/>
        <w:numPr>
          <w:ilvl w:val="0"/>
          <w:numId w:val="0"/>
        </w:numPr>
        <w:rPr>
          <w:lang w:val="en-US"/>
        </w:rPr>
      </w:pPr>
      <w:r w:rsidRPr="00DD1B58">
        <w:rPr>
          <w:b/>
          <w:szCs w:val="24"/>
          <w:lang w:val="en-US"/>
        </w:rPr>
        <w:t>Sizewell B</w:t>
      </w:r>
      <w:r w:rsidR="00A666E2" w:rsidRPr="00DD1B58">
        <w:rPr>
          <w:b/>
          <w:szCs w:val="24"/>
          <w:lang w:val="en-US"/>
        </w:rPr>
        <w:t>:</w:t>
      </w:r>
      <w:r w:rsidR="00CB227F" w:rsidRPr="00DD1B58">
        <w:rPr>
          <w:b/>
          <w:szCs w:val="24"/>
          <w:lang w:val="en-US"/>
        </w:rPr>
        <w:t xml:space="preserve"> </w:t>
      </w:r>
      <w:r w:rsidR="00A666E2" w:rsidRPr="00DD1B58">
        <w:rPr>
          <w:szCs w:val="24"/>
          <w:lang w:val="en-US"/>
        </w:rPr>
        <w:t>t</w:t>
      </w:r>
      <w:r w:rsidRPr="00DD1B58">
        <w:rPr>
          <w:szCs w:val="24"/>
          <w:lang w:val="en-US"/>
        </w:rPr>
        <w:t>he SZB fault analysis identified all the safety functions and SSCs required for safe shutdown.</w:t>
      </w:r>
      <w:r w:rsidR="6F0A385D" w:rsidRPr="00DD1B58">
        <w:rPr>
          <w:szCs w:val="24"/>
          <w:lang w:val="en-US"/>
        </w:rPr>
        <w:t xml:space="preserve"> </w:t>
      </w:r>
      <w:r w:rsidRPr="00DD1B58">
        <w:rPr>
          <w:szCs w:val="24"/>
          <w:lang w:val="en-US"/>
        </w:rPr>
        <w:t xml:space="preserve">The fire protection provisions were then specified such that no </w:t>
      </w:r>
      <w:r w:rsidR="00872731" w:rsidRPr="00DD1B58">
        <w:rPr>
          <w:szCs w:val="24"/>
          <w:lang w:val="en-US"/>
        </w:rPr>
        <w:t xml:space="preserve">fire affecting one or two divisions </w:t>
      </w:r>
      <w:r w:rsidRPr="00DD1B58">
        <w:rPr>
          <w:szCs w:val="24"/>
          <w:lang w:val="en-US"/>
        </w:rPr>
        <w:t>prevents safe</w:t>
      </w:r>
      <w:r w:rsidR="6BE0C7DC" w:rsidRPr="00DD1B58">
        <w:rPr>
          <w:szCs w:val="24"/>
          <w:lang w:val="en-US"/>
        </w:rPr>
        <w:t xml:space="preserve"> </w:t>
      </w:r>
      <w:r w:rsidRPr="00DD1B58">
        <w:rPr>
          <w:szCs w:val="24"/>
          <w:lang w:val="en-US"/>
        </w:rPr>
        <w:t>shutdown. The fire effects and reliability of the remaining safeguards equipment were assessed</w:t>
      </w:r>
      <w:r w:rsidR="017BCEAD" w:rsidRPr="00DD1B58">
        <w:rPr>
          <w:szCs w:val="24"/>
          <w:lang w:val="en-US"/>
        </w:rPr>
        <w:t xml:space="preserve"> </w:t>
      </w:r>
      <w:r w:rsidRPr="00DD1B58">
        <w:rPr>
          <w:szCs w:val="24"/>
          <w:lang w:val="en-US"/>
        </w:rPr>
        <w:t>deterministically and against probabilistic requirements. The overall design acceptability was then</w:t>
      </w:r>
      <w:r w:rsidR="0FC62C42" w:rsidRPr="00DD1B58">
        <w:rPr>
          <w:szCs w:val="24"/>
          <w:lang w:val="en-US"/>
        </w:rPr>
        <w:t xml:space="preserve"> </w:t>
      </w:r>
      <w:r w:rsidRPr="00DD1B58">
        <w:rPr>
          <w:szCs w:val="24"/>
          <w:lang w:val="en-US"/>
        </w:rPr>
        <w:t>confirmed by the fire PSA.</w:t>
      </w:r>
      <w:r w:rsidR="004806CE" w:rsidRPr="00DD1B58">
        <w:rPr>
          <w:szCs w:val="24"/>
          <w:lang w:val="en-US"/>
        </w:rPr>
        <w:t xml:space="preserve"> </w:t>
      </w:r>
      <w:r w:rsidR="00BA3517" w:rsidRPr="00DD1B58">
        <w:rPr>
          <w:szCs w:val="24"/>
          <w:lang w:val="en-US"/>
        </w:rPr>
        <w:t xml:space="preserve">The </w:t>
      </w:r>
      <w:r w:rsidR="00C362CA" w:rsidRPr="00DD1B58">
        <w:rPr>
          <w:szCs w:val="24"/>
          <w:lang w:val="en-US"/>
        </w:rPr>
        <w:t>EDF NGL</w:t>
      </w:r>
      <w:r w:rsidR="00BA3517" w:rsidRPr="00DD1B58">
        <w:rPr>
          <w:szCs w:val="24"/>
          <w:lang w:val="en-US"/>
        </w:rPr>
        <w:t xml:space="preserve"> submission </w:t>
      </w:r>
      <w:sdt>
        <w:sdtPr>
          <w:rPr>
            <w:szCs w:val="24"/>
            <w:lang w:val="en-US"/>
          </w:rPr>
          <w:id w:val="-1535799542"/>
          <w:citation/>
        </w:sdtPr>
        <w:sdtContent>
          <w:r w:rsidR="0019152D" w:rsidRPr="00DD1B58">
            <w:rPr>
              <w:szCs w:val="24"/>
              <w:lang w:val="en-US"/>
            </w:rPr>
            <w:fldChar w:fldCharType="begin"/>
          </w:r>
          <w:r w:rsidR="0019152D" w:rsidRPr="00DD1B58">
            <w:rPr>
              <w:szCs w:val="24"/>
              <w:lang w:val="en-US"/>
            </w:rPr>
            <w:instrText xml:space="preserve"> CITATION EDF231 \l 2057 </w:instrText>
          </w:r>
          <w:r w:rsidR="0019152D" w:rsidRPr="00DD1B58">
            <w:rPr>
              <w:szCs w:val="24"/>
              <w:lang w:val="en-US"/>
            </w:rPr>
            <w:fldChar w:fldCharType="separate"/>
          </w:r>
          <w:r w:rsidR="00DF47DA" w:rsidRPr="00DF47DA">
            <w:rPr>
              <w:szCs w:val="24"/>
              <w:lang w:val="en-US"/>
            </w:rPr>
            <w:t>[25]</w:t>
          </w:r>
          <w:r w:rsidR="0019152D" w:rsidRPr="00DD1B58">
            <w:rPr>
              <w:szCs w:val="24"/>
              <w:lang w:val="en-US"/>
            </w:rPr>
            <w:fldChar w:fldCharType="end"/>
          </w:r>
        </w:sdtContent>
      </w:sdt>
      <w:r w:rsidR="0019152D" w:rsidRPr="00DD1B58">
        <w:rPr>
          <w:szCs w:val="24"/>
          <w:lang w:val="en-US"/>
        </w:rPr>
        <w:t xml:space="preserve"> </w:t>
      </w:r>
      <w:r w:rsidR="00BA3517" w:rsidRPr="00DD1B58">
        <w:rPr>
          <w:szCs w:val="24"/>
          <w:lang w:val="en-US"/>
        </w:rPr>
        <w:t xml:space="preserve">explains the process carried out to </w:t>
      </w:r>
      <w:r w:rsidR="000372F9" w:rsidRPr="00DD1B58">
        <w:rPr>
          <w:szCs w:val="24"/>
          <w:lang w:val="en-US"/>
        </w:rPr>
        <w:t xml:space="preserve">ensure that the four trains </w:t>
      </w:r>
      <w:r w:rsidR="004806CE" w:rsidRPr="00DD1B58">
        <w:rPr>
          <w:szCs w:val="24"/>
          <w:lang w:val="en-US"/>
        </w:rPr>
        <w:t xml:space="preserve">of safeguards equipment were </w:t>
      </w:r>
      <w:r w:rsidR="000372F9" w:rsidRPr="00DD1B58">
        <w:rPr>
          <w:szCs w:val="24"/>
          <w:lang w:val="en-US"/>
        </w:rPr>
        <w:t xml:space="preserve">adequately segregated for fire </w:t>
      </w:r>
      <w:r w:rsidR="002F1427" w:rsidRPr="00DD1B58">
        <w:rPr>
          <w:szCs w:val="24"/>
          <w:lang w:val="en-US"/>
        </w:rPr>
        <w:t>protection</w:t>
      </w:r>
      <w:r w:rsidR="00D47AB6" w:rsidRPr="00DD1B58">
        <w:rPr>
          <w:szCs w:val="24"/>
          <w:lang w:val="en-US"/>
        </w:rPr>
        <w:t>,</w:t>
      </w:r>
      <w:r w:rsidR="002F1427" w:rsidRPr="00DD1B58">
        <w:rPr>
          <w:szCs w:val="24"/>
          <w:lang w:val="en-US"/>
        </w:rPr>
        <w:t xml:space="preserve"> </w:t>
      </w:r>
      <w:r w:rsidR="00D47AB6" w:rsidRPr="00DD1B58">
        <w:rPr>
          <w:szCs w:val="24"/>
          <w:lang w:val="en-US"/>
        </w:rPr>
        <w:t>as well as</w:t>
      </w:r>
      <w:r w:rsidR="000372F9" w:rsidRPr="00DD1B58">
        <w:rPr>
          <w:szCs w:val="24"/>
          <w:lang w:val="en-US"/>
        </w:rPr>
        <w:t xml:space="preserve"> </w:t>
      </w:r>
      <w:r w:rsidR="002F1427" w:rsidRPr="00DD1B58">
        <w:rPr>
          <w:szCs w:val="24"/>
          <w:lang w:val="en-US"/>
        </w:rPr>
        <w:t>how comp</w:t>
      </w:r>
      <w:r w:rsidR="004806CE" w:rsidRPr="00DD1B58">
        <w:rPr>
          <w:szCs w:val="24"/>
          <w:lang w:val="en-US"/>
        </w:rPr>
        <w:t>o</w:t>
      </w:r>
      <w:r w:rsidR="002F1427" w:rsidRPr="00DD1B58">
        <w:rPr>
          <w:szCs w:val="24"/>
          <w:lang w:val="en-US"/>
        </w:rPr>
        <w:t xml:space="preserve">nents were </w:t>
      </w:r>
      <w:r w:rsidR="004806CE" w:rsidRPr="00DD1B58">
        <w:rPr>
          <w:szCs w:val="24"/>
          <w:lang w:val="en-US"/>
        </w:rPr>
        <w:t xml:space="preserve">identified </w:t>
      </w:r>
      <w:r w:rsidR="002F1427" w:rsidRPr="00DD1B58">
        <w:rPr>
          <w:szCs w:val="24"/>
          <w:lang w:val="en-US"/>
        </w:rPr>
        <w:t xml:space="preserve">and </w:t>
      </w:r>
      <w:r w:rsidR="004806CE" w:rsidRPr="00DD1B58">
        <w:rPr>
          <w:szCs w:val="24"/>
          <w:lang w:val="en-US"/>
        </w:rPr>
        <w:t xml:space="preserve">classified </w:t>
      </w:r>
      <w:r w:rsidR="00184922" w:rsidRPr="00DD1B58">
        <w:rPr>
          <w:szCs w:val="24"/>
          <w:lang w:val="en-US"/>
        </w:rPr>
        <w:t xml:space="preserve">to ensure </w:t>
      </w:r>
      <w:r w:rsidR="004806CE" w:rsidRPr="00DD1B58">
        <w:rPr>
          <w:szCs w:val="24"/>
          <w:lang w:val="en-US"/>
        </w:rPr>
        <w:t xml:space="preserve">segregation </w:t>
      </w:r>
      <w:r w:rsidR="00184922" w:rsidRPr="00DD1B58">
        <w:rPr>
          <w:szCs w:val="24"/>
          <w:lang w:val="en-US"/>
        </w:rPr>
        <w:t xml:space="preserve">is adequately maintained. </w:t>
      </w:r>
    </w:p>
    <w:p w14:paraId="1FE5AEC8" w14:textId="16C4147C" w:rsidR="342879EC" w:rsidRPr="00DD1B58" w:rsidRDefault="342879EC" w:rsidP="00CD4BFC">
      <w:pPr>
        <w:pStyle w:val="Heading4"/>
        <w:numPr>
          <w:ilvl w:val="4"/>
          <w:numId w:val="3"/>
        </w:numPr>
        <w:rPr>
          <w:noProof/>
          <w:szCs w:val="24"/>
          <w:lang w:val="en-US"/>
        </w:rPr>
      </w:pPr>
      <w:r w:rsidRPr="00DD1B58">
        <w:rPr>
          <w:noProof/>
          <w:lang w:val="en-US"/>
        </w:rPr>
        <w:t xml:space="preserve">Fire </w:t>
      </w:r>
      <w:r w:rsidR="00D47AB6" w:rsidRPr="00DD1B58">
        <w:rPr>
          <w:noProof/>
          <w:lang w:val="en-US"/>
        </w:rPr>
        <w:t>loadings</w:t>
      </w:r>
    </w:p>
    <w:p w14:paraId="23DF220C" w14:textId="2EC33CF1" w:rsidR="342879EC" w:rsidRPr="00DD1B58" w:rsidRDefault="342879EC" w:rsidP="774B19A3">
      <w:pPr>
        <w:rPr>
          <w:noProof/>
          <w:szCs w:val="24"/>
          <w:lang w:val="en-US"/>
        </w:rPr>
      </w:pPr>
      <w:r w:rsidRPr="00DD1B58">
        <w:rPr>
          <w:b/>
          <w:noProof/>
          <w:lang w:val="en-US"/>
        </w:rPr>
        <w:t>General</w:t>
      </w:r>
      <w:r w:rsidR="00D47AB6" w:rsidRPr="00DD1B58">
        <w:rPr>
          <w:b/>
          <w:noProof/>
          <w:lang w:val="en-US"/>
        </w:rPr>
        <w:t>:</w:t>
      </w:r>
      <w:r w:rsidR="00CB227F" w:rsidRPr="00DD1B58">
        <w:rPr>
          <w:b/>
          <w:noProof/>
          <w:lang w:val="en-US"/>
        </w:rPr>
        <w:t xml:space="preserve"> </w:t>
      </w:r>
      <w:r w:rsidR="00C362CA" w:rsidRPr="00DD1B58">
        <w:rPr>
          <w:noProof/>
          <w:lang w:val="en-US"/>
        </w:rPr>
        <w:t>EDF NGL</w:t>
      </w:r>
      <w:r w:rsidRPr="00DD1B58">
        <w:rPr>
          <w:noProof/>
          <w:lang w:val="en-US"/>
        </w:rPr>
        <w:t xml:space="preserve"> </w:t>
      </w:r>
      <w:r w:rsidR="004806CE" w:rsidRPr="00DD1B58">
        <w:rPr>
          <w:noProof/>
          <w:lang w:val="en-US"/>
        </w:rPr>
        <w:t xml:space="preserve">considers that </w:t>
      </w:r>
      <w:r w:rsidRPr="00DD1B58">
        <w:rPr>
          <w:noProof/>
          <w:lang w:val="en-US"/>
        </w:rPr>
        <w:t>a conservative approach is applied</w:t>
      </w:r>
      <w:r w:rsidR="004806CE" w:rsidRPr="00DD1B58">
        <w:rPr>
          <w:noProof/>
          <w:lang w:val="en-US"/>
        </w:rPr>
        <w:t xml:space="preserve"> to fire loading assessments</w:t>
      </w:r>
      <w:r w:rsidRPr="00DD1B58">
        <w:rPr>
          <w:noProof/>
          <w:lang w:val="en-US"/>
        </w:rPr>
        <w:t xml:space="preserve">, whereby the assumption is that all the fire load is available for combustion in each compartment. </w:t>
      </w:r>
      <w:r w:rsidR="004806CE" w:rsidRPr="00DD1B58">
        <w:rPr>
          <w:noProof/>
          <w:lang w:val="en-US"/>
        </w:rPr>
        <w:t>A</w:t>
      </w:r>
      <w:r w:rsidRPr="00DD1B58">
        <w:rPr>
          <w:noProof/>
          <w:lang w:val="en-US"/>
        </w:rPr>
        <w:t xml:space="preserve"> fire risk assessment is </w:t>
      </w:r>
      <w:r w:rsidR="004806CE" w:rsidRPr="00DD1B58">
        <w:rPr>
          <w:noProof/>
          <w:lang w:val="en-US"/>
        </w:rPr>
        <w:t xml:space="preserve">then </w:t>
      </w:r>
      <w:r w:rsidRPr="00DD1B58">
        <w:rPr>
          <w:noProof/>
          <w:lang w:val="en-US"/>
        </w:rPr>
        <w:t xml:space="preserve">carried out using the methodologies described in </w:t>
      </w:r>
      <w:r w:rsidR="008F0AF1" w:rsidRPr="00DD1B58">
        <w:rPr>
          <w:noProof/>
          <w:lang w:val="en-US"/>
        </w:rPr>
        <w:t>S</w:t>
      </w:r>
      <w:r w:rsidR="00D47AB6" w:rsidRPr="00DD1B58">
        <w:rPr>
          <w:noProof/>
          <w:lang w:val="en-US"/>
        </w:rPr>
        <w:t xml:space="preserve">ection </w:t>
      </w:r>
      <w:r w:rsidR="00FA7BEB" w:rsidRPr="00DD1B58">
        <w:rPr>
          <w:noProof/>
          <w:lang w:val="en-US"/>
        </w:rPr>
        <w:t>I-</w:t>
      </w:r>
      <w:r w:rsidRPr="00DD1B58">
        <w:rPr>
          <w:noProof/>
          <w:lang w:val="en-US"/>
        </w:rPr>
        <w:t xml:space="preserve">2.1.1.5. </w:t>
      </w:r>
      <w:r w:rsidR="00C362CA" w:rsidRPr="00DD1B58">
        <w:rPr>
          <w:noProof/>
          <w:lang w:val="en-US"/>
        </w:rPr>
        <w:t>EDF NGL</w:t>
      </w:r>
      <w:r w:rsidR="004806CE" w:rsidRPr="00DD1B58">
        <w:rPr>
          <w:noProof/>
          <w:lang w:val="en-US"/>
        </w:rPr>
        <w:t xml:space="preserve"> considers that the </w:t>
      </w:r>
      <w:r w:rsidRPr="00DD1B58">
        <w:rPr>
          <w:noProof/>
          <w:lang w:val="en-US"/>
        </w:rPr>
        <w:t xml:space="preserve">worst case scenario is </w:t>
      </w:r>
      <w:r w:rsidR="004806CE" w:rsidRPr="00DD1B58">
        <w:rPr>
          <w:noProof/>
          <w:lang w:val="en-US"/>
        </w:rPr>
        <w:t xml:space="preserve">consistenly </w:t>
      </w:r>
      <w:r w:rsidRPr="00DD1B58">
        <w:rPr>
          <w:noProof/>
          <w:lang w:val="en-US"/>
        </w:rPr>
        <w:t>the starting point for assessment.</w:t>
      </w:r>
      <w:r w:rsidR="004806CE" w:rsidRPr="00DD1B58">
        <w:rPr>
          <w:noProof/>
          <w:lang w:val="en-US"/>
        </w:rPr>
        <w:t xml:space="preserve"> </w:t>
      </w:r>
      <w:r w:rsidRPr="00DD1B58">
        <w:rPr>
          <w:noProof/>
          <w:lang w:val="en-US"/>
        </w:rPr>
        <w:t>The fire loading is quantified in MJ/m</w:t>
      </w:r>
      <w:r w:rsidRPr="00DD1B58">
        <w:rPr>
          <w:vertAlign w:val="superscript"/>
          <w:lang w:val="en-US"/>
        </w:rPr>
        <w:t>2</w:t>
      </w:r>
      <w:r w:rsidRPr="00DD1B58">
        <w:rPr>
          <w:noProof/>
          <w:lang w:val="en-US"/>
        </w:rPr>
        <w:t>, but this is then used to define ‘</w:t>
      </w:r>
      <w:r w:rsidR="00D47AB6" w:rsidRPr="00DD1B58">
        <w:rPr>
          <w:noProof/>
          <w:lang w:val="en-US"/>
        </w:rPr>
        <w:t xml:space="preserve">high’ </w:t>
      </w:r>
      <w:r w:rsidRPr="00DD1B58">
        <w:rPr>
          <w:noProof/>
          <w:lang w:val="en-US"/>
        </w:rPr>
        <w:t>‘</w:t>
      </w:r>
      <w:r w:rsidR="00D47AB6" w:rsidRPr="00DD1B58">
        <w:rPr>
          <w:noProof/>
          <w:lang w:val="en-US"/>
        </w:rPr>
        <w:t xml:space="preserve">medium’ </w:t>
      </w:r>
      <w:r w:rsidRPr="00DD1B58">
        <w:rPr>
          <w:noProof/>
          <w:lang w:val="en-US"/>
        </w:rPr>
        <w:t>and ‘</w:t>
      </w:r>
      <w:r w:rsidR="00D47AB6" w:rsidRPr="00DD1B58">
        <w:rPr>
          <w:noProof/>
          <w:lang w:val="en-US"/>
        </w:rPr>
        <w:t xml:space="preserve">low’ </w:t>
      </w:r>
      <w:r w:rsidRPr="00DD1B58">
        <w:rPr>
          <w:noProof/>
          <w:lang w:val="en-US"/>
        </w:rPr>
        <w:t>fire loadings for general assessment purposes.</w:t>
      </w:r>
      <w:r w:rsidR="004806CE" w:rsidRPr="00DD1B58">
        <w:rPr>
          <w:noProof/>
          <w:lang w:val="en-US"/>
        </w:rPr>
        <w:t xml:space="preserve"> </w:t>
      </w:r>
      <w:r w:rsidRPr="00DD1B58">
        <w:rPr>
          <w:noProof/>
          <w:lang w:val="en-US"/>
        </w:rPr>
        <w:t>Design information from manufacturers (e.g.</w:t>
      </w:r>
      <w:r w:rsidR="00D47AB6" w:rsidRPr="00DD1B58">
        <w:rPr>
          <w:noProof/>
          <w:lang w:val="en-US"/>
        </w:rPr>
        <w:t>,</w:t>
      </w:r>
      <w:r w:rsidRPr="00DD1B58">
        <w:rPr>
          <w:noProof/>
          <w:lang w:val="en-US"/>
        </w:rPr>
        <w:t xml:space="preserve"> quantities of lube oil) is used for establishing the fire loadings from equipment. Cable trays were assumed to be filled with cables, and the fire load from the cable insulation was then derived for each room (again using information from manufacturers). </w:t>
      </w:r>
      <w:r w:rsidR="00C362CA" w:rsidRPr="00DD1B58">
        <w:rPr>
          <w:noProof/>
          <w:lang w:val="en-US"/>
        </w:rPr>
        <w:t>EDF NGL</w:t>
      </w:r>
      <w:r w:rsidR="004806CE" w:rsidRPr="00DD1B58">
        <w:rPr>
          <w:noProof/>
          <w:lang w:val="en-US"/>
        </w:rPr>
        <w:t xml:space="preserve"> judged the</w:t>
      </w:r>
      <w:r w:rsidRPr="00DD1B58">
        <w:rPr>
          <w:noProof/>
          <w:lang w:val="en-US"/>
        </w:rPr>
        <w:t xml:space="preserve"> fire loading to be conservative, </w:t>
      </w:r>
      <w:r w:rsidRPr="00DD1B58">
        <w:rPr>
          <w:noProof/>
          <w:lang w:val="en-US"/>
        </w:rPr>
        <w:lastRenderedPageBreak/>
        <w:t xml:space="preserve">but </w:t>
      </w:r>
      <w:r w:rsidR="004806CE" w:rsidRPr="00DD1B58">
        <w:rPr>
          <w:noProof/>
          <w:lang w:val="en-US"/>
        </w:rPr>
        <w:t xml:space="preserve">acknowledges that </w:t>
      </w:r>
      <w:r w:rsidRPr="00DD1B58">
        <w:rPr>
          <w:noProof/>
          <w:lang w:val="en-US"/>
        </w:rPr>
        <w:t xml:space="preserve">the level of conservatism </w:t>
      </w:r>
      <w:r w:rsidR="004806CE" w:rsidRPr="00DD1B58">
        <w:rPr>
          <w:noProof/>
          <w:lang w:val="en-US"/>
        </w:rPr>
        <w:t xml:space="preserve">was </w:t>
      </w:r>
      <w:r w:rsidRPr="00DD1B58">
        <w:rPr>
          <w:noProof/>
          <w:lang w:val="en-US"/>
        </w:rPr>
        <w:t>not quantified.</w:t>
      </w:r>
      <w:r w:rsidR="004806CE" w:rsidRPr="00DD1B58">
        <w:rPr>
          <w:noProof/>
          <w:lang w:val="en-US"/>
        </w:rPr>
        <w:t xml:space="preserve"> D</w:t>
      </w:r>
      <w:r w:rsidRPr="00DD1B58">
        <w:rPr>
          <w:noProof/>
          <w:lang w:val="en-US"/>
        </w:rPr>
        <w:t xml:space="preserve">ata sources are held within the </w:t>
      </w:r>
      <w:r w:rsidR="004806CE" w:rsidRPr="00DD1B58">
        <w:rPr>
          <w:noProof/>
          <w:lang w:val="en-US"/>
        </w:rPr>
        <w:t>power</w:t>
      </w:r>
      <w:r w:rsidRPr="00DD1B58">
        <w:rPr>
          <w:noProof/>
          <w:lang w:val="en-US"/>
        </w:rPr>
        <w:t xml:space="preserve"> stations, and </w:t>
      </w:r>
      <w:r w:rsidR="004806CE" w:rsidRPr="00DD1B58">
        <w:rPr>
          <w:noProof/>
          <w:lang w:val="en-US"/>
        </w:rPr>
        <w:t xml:space="preserve">this includes </w:t>
      </w:r>
      <w:r w:rsidRPr="00DD1B58">
        <w:rPr>
          <w:noProof/>
          <w:lang w:val="en-US"/>
        </w:rPr>
        <w:t>complete inventories of all combustible fuel</w:t>
      </w:r>
      <w:r w:rsidR="2435E848" w:rsidRPr="00DD1B58">
        <w:rPr>
          <w:noProof/>
          <w:lang w:val="en-US"/>
        </w:rPr>
        <w:t xml:space="preserve"> </w:t>
      </w:r>
      <w:r w:rsidRPr="00DD1B58">
        <w:rPr>
          <w:noProof/>
          <w:lang w:val="en-US"/>
        </w:rPr>
        <w:t>inventories</w:t>
      </w:r>
      <w:r w:rsidR="004806CE" w:rsidRPr="00DD1B58">
        <w:rPr>
          <w:noProof/>
          <w:lang w:val="en-US"/>
        </w:rPr>
        <w:t xml:space="preserve"> used to calculate t</w:t>
      </w:r>
      <w:r w:rsidRPr="00DD1B58">
        <w:rPr>
          <w:noProof/>
          <w:lang w:val="en-US"/>
        </w:rPr>
        <w:t>he fire loading for each compartment</w:t>
      </w:r>
      <w:r w:rsidR="004806CE" w:rsidRPr="00DD1B58">
        <w:rPr>
          <w:noProof/>
          <w:lang w:val="en-US"/>
        </w:rPr>
        <w:t>.</w:t>
      </w:r>
    </w:p>
    <w:p w14:paraId="4229DC02" w14:textId="05363EE3" w:rsidR="4E177C80" w:rsidRPr="00DD1B58" w:rsidRDefault="152B0C6E" w:rsidP="774B19A3">
      <w:pPr>
        <w:rPr>
          <w:lang w:val="en-US"/>
        </w:rPr>
      </w:pPr>
      <w:r w:rsidRPr="00DD1B58">
        <w:rPr>
          <w:b/>
          <w:lang w:val="en-US"/>
        </w:rPr>
        <w:t xml:space="preserve">First </w:t>
      </w:r>
      <w:r w:rsidR="00D47AB6" w:rsidRPr="00DD1B58">
        <w:rPr>
          <w:b/>
          <w:lang w:val="en-US"/>
        </w:rPr>
        <w:t xml:space="preserve">generation </w:t>
      </w:r>
      <w:r w:rsidRPr="00DD1B58">
        <w:rPr>
          <w:b/>
          <w:lang w:val="en-US"/>
        </w:rPr>
        <w:t>AGRs (</w:t>
      </w:r>
      <w:r w:rsidR="004806CE" w:rsidRPr="00DD1B58">
        <w:rPr>
          <w:b/>
          <w:lang w:val="en-US"/>
        </w:rPr>
        <w:t>HN</w:t>
      </w:r>
      <w:r w:rsidRPr="00DD1B58">
        <w:rPr>
          <w:b/>
          <w:lang w:val="en-US"/>
        </w:rPr>
        <w:t>B)</w:t>
      </w:r>
      <w:r w:rsidR="15F2E51B" w:rsidRPr="00DD1B58">
        <w:rPr>
          <w:b/>
          <w:noProof/>
          <w:lang w:val="en-US"/>
        </w:rPr>
        <w:t xml:space="preserve"> and </w:t>
      </w:r>
      <w:r w:rsidR="00D47AB6" w:rsidRPr="00DD1B58">
        <w:rPr>
          <w:b/>
          <w:noProof/>
          <w:lang w:val="en-US"/>
        </w:rPr>
        <w:t>second g</w:t>
      </w:r>
      <w:r w:rsidR="4E177C80" w:rsidRPr="00DD1B58">
        <w:rPr>
          <w:b/>
          <w:noProof/>
          <w:lang w:val="en-US"/>
        </w:rPr>
        <w:t>eneration AGRs (</w:t>
      </w:r>
      <w:r w:rsidR="004806CE" w:rsidRPr="00DD1B58">
        <w:rPr>
          <w:b/>
          <w:noProof/>
          <w:lang w:val="en-US"/>
        </w:rPr>
        <w:t>HY</w:t>
      </w:r>
      <w:r w:rsidR="4E177C80" w:rsidRPr="00DD1B58">
        <w:rPr>
          <w:b/>
          <w:noProof/>
          <w:lang w:val="en-US"/>
        </w:rPr>
        <w:t>2)</w:t>
      </w:r>
      <w:r w:rsidR="00D47AB6" w:rsidRPr="00DD1B58">
        <w:rPr>
          <w:b/>
          <w:noProof/>
          <w:lang w:val="en-US"/>
        </w:rPr>
        <w:t>:</w:t>
      </w:r>
      <w:r w:rsidR="00CB227F" w:rsidRPr="00DD1B58">
        <w:rPr>
          <w:b/>
          <w:noProof/>
          <w:lang w:val="en-US"/>
        </w:rPr>
        <w:t xml:space="preserve"> </w:t>
      </w:r>
      <w:r w:rsidR="00D47AB6" w:rsidRPr="00DD1B58">
        <w:rPr>
          <w:noProof/>
          <w:lang w:val="en-US"/>
        </w:rPr>
        <w:t>a</w:t>
      </w:r>
      <w:r w:rsidR="4E177C80" w:rsidRPr="00DD1B58">
        <w:rPr>
          <w:noProof/>
          <w:lang w:val="en-US"/>
        </w:rPr>
        <w:t>s above.</w:t>
      </w:r>
    </w:p>
    <w:p w14:paraId="5AEA14AA" w14:textId="63B67321" w:rsidR="4E177C80" w:rsidRPr="00DD1B58" w:rsidRDefault="4E177C80" w:rsidP="774B19A3">
      <w:pPr>
        <w:rPr>
          <w:lang w:val="en-US"/>
        </w:rPr>
      </w:pPr>
      <w:r w:rsidRPr="00DD1B58">
        <w:rPr>
          <w:b/>
          <w:noProof/>
          <w:lang w:val="en-US"/>
        </w:rPr>
        <w:t>Sizewell B</w:t>
      </w:r>
      <w:r w:rsidR="00D47AB6" w:rsidRPr="00DD1B58">
        <w:rPr>
          <w:b/>
          <w:noProof/>
          <w:lang w:val="en-US"/>
        </w:rPr>
        <w:t xml:space="preserve">: </w:t>
      </w:r>
      <w:r w:rsidR="00C362CA" w:rsidRPr="00DD1B58">
        <w:rPr>
          <w:noProof/>
          <w:lang w:val="en-US"/>
        </w:rPr>
        <w:t>EDF NGL</w:t>
      </w:r>
      <w:r w:rsidR="0051615F" w:rsidRPr="00DD1B58">
        <w:rPr>
          <w:noProof/>
          <w:lang w:val="en-US"/>
        </w:rPr>
        <w:t xml:space="preserve"> has recorded the </w:t>
      </w:r>
      <w:r w:rsidRPr="00DD1B58">
        <w:rPr>
          <w:noProof/>
          <w:lang w:val="en-US"/>
        </w:rPr>
        <w:t>fire loading information in the A</w:t>
      </w:r>
      <w:r w:rsidR="00693EA0" w:rsidRPr="00DD1B58">
        <w:rPr>
          <w:noProof/>
          <w:lang w:val="en-US"/>
        </w:rPr>
        <w:t xml:space="preserve">sset </w:t>
      </w:r>
      <w:r w:rsidRPr="00DD1B58">
        <w:rPr>
          <w:noProof/>
          <w:lang w:val="en-US"/>
        </w:rPr>
        <w:t>M</w:t>
      </w:r>
      <w:r w:rsidR="00693EA0" w:rsidRPr="00DD1B58">
        <w:rPr>
          <w:noProof/>
          <w:lang w:val="en-US"/>
        </w:rPr>
        <w:t xml:space="preserve">anagement </w:t>
      </w:r>
      <w:r w:rsidRPr="00DD1B58">
        <w:rPr>
          <w:noProof/>
          <w:lang w:val="en-US"/>
        </w:rPr>
        <w:t>S</w:t>
      </w:r>
      <w:r w:rsidR="00693EA0" w:rsidRPr="00DD1B58">
        <w:rPr>
          <w:noProof/>
          <w:lang w:val="en-US"/>
        </w:rPr>
        <w:t>ystem (AMS)</w:t>
      </w:r>
      <w:r w:rsidRPr="00DD1B58">
        <w:rPr>
          <w:noProof/>
          <w:lang w:val="en-US"/>
        </w:rPr>
        <w:t xml:space="preserve"> database,</w:t>
      </w:r>
      <w:r w:rsidR="0051615F" w:rsidRPr="00DD1B58">
        <w:rPr>
          <w:noProof/>
          <w:lang w:val="en-US"/>
        </w:rPr>
        <w:t xml:space="preserve"> which is subject to updates in the event of changes</w:t>
      </w:r>
      <w:r w:rsidRPr="00DD1B58">
        <w:rPr>
          <w:noProof/>
          <w:lang w:val="en-US"/>
        </w:rPr>
        <w:t>. However, the basic design is stable, and there have been no major changes to the fire loading information.</w:t>
      </w:r>
    </w:p>
    <w:p w14:paraId="612792BA" w14:textId="696B9586" w:rsidR="4E177C80" w:rsidRPr="00DD1B58" w:rsidRDefault="4E177C80" w:rsidP="00CD4BFC">
      <w:pPr>
        <w:pStyle w:val="Heading4"/>
        <w:numPr>
          <w:ilvl w:val="4"/>
          <w:numId w:val="3"/>
        </w:numPr>
        <w:rPr>
          <w:lang w:val="en-US"/>
        </w:rPr>
      </w:pPr>
      <w:r w:rsidRPr="00DD1B58">
        <w:rPr>
          <w:noProof/>
          <w:lang w:val="en-US"/>
        </w:rPr>
        <w:t xml:space="preserve">Transient </w:t>
      </w:r>
      <w:r w:rsidR="00D47AB6" w:rsidRPr="00DD1B58">
        <w:rPr>
          <w:noProof/>
          <w:lang w:val="en-US"/>
        </w:rPr>
        <w:t>combustibles</w:t>
      </w:r>
    </w:p>
    <w:p w14:paraId="731D5C68" w14:textId="4963AEAD" w:rsidR="00697F5D" w:rsidRPr="00DD1B58" w:rsidRDefault="00C362CA" w:rsidP="774B19A3">
      <w:pPr>
        <w:rPr>
          <w:noProof/>
          <w:szCs w:val="24"/>
          <w:lang w:val="en-US"/>
        </w:rPr>
      </w:pPr>
      <w:r w:rsidRPr="00DD1B58">
        <w:rPr>
          <w:noProof/>
          <w:lang w:val="en-US"/>
        </w:rPr>
        <w:t>EDF NGL</w:t>
      </w:r>
      <w:r w:rsidR="4E177C80" w:rsidRPr="00DD1B58">
        <w:rPr>
          <w:noProof/>
          <w:lang w:val="en-US"/>
        </w:rPr>
        <w:t xml:space="preserve"> </w:t>
      </w:r>
      <w:r w:rsidR="00DB161D" w:rsidRPr="00DD1B58">
        <w:rPr>
          <w:noProof/>
          <w:lang w:val="en-US"/>
        </w:rPr>
        <w:t>c</w:t>
      </w:r>
      <w:r w:rsidR="00347B45" w:rsidRPr="00DD1B58">
        <w:rPr>
          <w:noProof/>
          <w:lang w:val="en-US"/>
        </w:rPr>
        <w:t xml:space="preserve">haracterises </w:t>
      </w:r>
      <w:r w:rsidR="4E177C80" w:rsidRPr="00DD1B58">
        <w:rPr>
          <w:noProof/>
          <w:lang w:val="en-US"/>
        </w:rPr>
        <w:t>and control</w:t>
      </w:r>
      <w:r w:rsidR="00347B45" w:rsidRPr="00DD1B58">
        <w:rPr>
          <w:noProof/>
          <w:lang w:val="en-US"/>
        </w:rPr>
        <w:t>s</w:t>
      </w:r>
      <w:r w:rsidR="4E177C80" w:rsidRPr="00DD1B58">
        <w:rPr>
          <w:noProof/>
          <w:lang w:val="en-US"/>
        </w:rPr>
        <w:t xml:space="preserve"> transient combustibles </w:t>
      </w:r>
      <w:r w:rsidR="00347B45" w:rsidRPr="00DD1B58">
        <w:rPr>
          <w:noProof/>
          <w:lang w:val="en-US"/>
        </w:rPr>
        <w:t xml:space="preserve">in accordance </w:t>
      </w:r>
      <w:r w:rsidR="00D47AB6" w:rsidRPr="00DD1B58">
        <w:rPr>
          <w:noProof/>
          <w:lang w:val="en-US"/>
        </w:rPr>
        <w:t>with</w:t>
      </w:r>
      <w:r w:rsidR="00347B45" w:rsidRPr="00DD1B58">
        <w:rPr>
          <w:noProof/>
          <w:lang w:val="en-US"/>
        </w:rPr>
        <w:t xml:space="preserve"> the following approach. </w:t>
      </w:r>
      <w:r w:rsidR="4E177C80" w:rsidRPr="00DD1B58">
        <w:rPr>
          <w:noProof/>
          <w:lang w:val="en-US"/>
        </w:rPr>
        <w:t>Any proposal to store transient combustibles on plant is subject to</w:t>
      </w:r>
      <w:r w:rsidR="00AC5B1B" w:rsidRPr="00DD1B58">
        <w:rPr>
          <w:noProof/>
          <w:lang w:val="en-US"/>
        </w:rPr>
        <w:t xml:space="preserve"> </w:t>
      </w:r>
      <w:r w:rsidR="4E177C80" w:rsidRPr="00DD1B58">
        <w:rPr>
          <w:noProof/>
          <w:lang w:val="en-US"/>
        </w:rPr>
        <w:t>laydown/storage approval</w:t>
      </w:r>
      <w:r w:rsidR="60ABD7B1" w:rsidRPr="00DD1B58">
        <w:rPr>
          <w:noProof/>
          <w:lang w:val="en-US"/>
        </w:rPr>
        <w:t xml:space="preserve"> </w:t>
      </w:r>
      <w:r w:rsidR="4E177C80" w:rsidRPr="00DD1B58">
        <w:rPr>
          <w:noProof/>
          <w:lang w:val="en-US"/>
        </w:rPr>
        <w:t>process, ensuring a minimum amount of combustibles are stored for the minimum period of time to</w:t>
      </w:r>
      <w:r w:rsidR="6E1A670F" w:rsidRPr="00DD1B58">
        <w:rPr>
          <w:noProof/>
          <w:lang w:val="en-US"/>
        </w:rPr>
        <w:t xml:space="preserve"> </w:t>
      </w:r>
      <w:r w:rsidR="4E177C80" w:rsidRPr="00DD1B58">
        <w:rPr>
          <w:noProof/>
          <w:lang w:val="en-US"/>
        </w:rPr>
        <w:t>complete the work. A proposal is prepared by the work party and reviewed by the location Fire Safety</w:t>
      </w:r>
      <w:r w:rsidR="120CF2DC" w:rsidRPr="00DD1B58">
        <w:rPr>
          <w:noProof/>
          <w:lang w:val="en-US"/>
        </w:rPr>
        <w:t xml:space="preserve"> </w:t>
      </w:r>
      <w:r w:rsidR="4E177C80" w:rsidRPr="00DD1B58">
        <w:rPr>
          <w:noProof/>
          <w:lang w:val="en-US"/>
        </w:rPr>
        <w:t xml:space="preserve">Co-ordinator who will assess </w:t>
      </w:r>
      <w:r w:rsidR="00EE487C" w:rsidRPr="00DD1B58">
        <w:rPr>
          <w:noProof/>
          <w:lang w:val="en-US"/>
        </w:rPr>
        <w:t>a number of factors</w:t>
      </w:r>
      <w:r w:rsidR="4E177C80" w:rsidRPr="00DD1B58">
        <w:rPr>
          <w:lang w:val="en-US"/>
        </w:rPr>
        <w:t xml:space="preserve"> and </w:t>
      </w:r>
      <w:r w:rsidR="005F30BD" w:rsidRPr="00DD1B58">
        <w:rPr>
          <w:noProof/>
          <w:lang w:val="en-US"/>
        </w:rPr>
        <w:t>determine whether the proposals may</w:t>
      </w:r>
      <w:r w:rsidR="4E177C80" w:rsidRPr="00DD1B58">
        <w:rPr>
          <w:lang w:val="en-US"/>
        </w:rPr>
        <w:t xml:space="preserve"> be </w:t>
      </w:r>
      <w:r w:rsidR="005F30BD" w:rsidRPr="00DD1B58">
        <w:rPr>
          <w:noProof/>
          <w:lang w:val="en-US"/>
        </w:rPr>
        <w:t>approved</w:t>
      </w:r>
      <w:r w:rsidR="4E177C80" w:rsidRPr="00DD1B58">
        <w:rPr>
          <w:lang w:val="en-US"/>
        </w:rPr>
        <w:t xml:space="preserve"> and </w:t>
      </w:r>
      <w:r w:rsidR="005F30BD" w:rsidRPr="00DD1B58">
        <w:rPr>
          <w:noProof/>
          <w:lang w:val="en-US"/>
        </w:rPr>
        <w:t xml:space="preserve">whether additional </w:t>
      </w:r>
      <w:r w:rsidR="4E177C80" w:rsidRPr="00DD1B58">
        <w:rPr>
          <w:noProof/>
          <w:lang w:val="en-US"/>
        </w:rPr>
        <w:t xml:space="preserve">control measures </w:t>
      </w:r>
      <w:r w:rsidR="005F30BD" w:rsidRPr="00DD1B58">
        <w:rPr>
          <w:noProof/>
          <w:lang w:val="en-US"/>
        </w:rPr>
        <w:t xml:space="preserve">are required. </w:t>
      </w:r>
      <w:r w:rsidR="52A290B6" w:rsidRPr="00DD1B58">
        <w:rPr>
          <w:noProof/>
          <w:szCs w:val="24"/>
          <w:lang w:val="en-US"/>
        </w:rPr>
        <w:t xml:space="preserve">Once approved, the laydown with its supporting information and control measures is recorded </w:t>
      </w:r>
      <w:r w:rsidR="00111030" w:rsidRPr="00DD1B58">
        <w:rPr>
          <w:noProof/>
          <w:szCs w:val="24"/>
          <w:lang w:val="en-US"/>
        </w:rPr>
        <w:t xml:space="preserve">along with the </w:t>
      </w:r>
      <w:r w:rsidR="003E2291" w:rsidRPr="00DD1B58">
        <w:rPr>
          <w:noProof/>
          <w:szCs w:val="24"/>
          <w:lang w:val="en-US"/>
        </w:rPr>
        <w:t xml:space="preserve">details such as the </w:t>
      </w:r>
      <w:r w:rsidR="00111030" w:rsidRPr="00DD1B58">
        <w:rPr>
          <w:noProof/>
          <w:szCs w:val="24"/>
          <w:lang w:val="en-US"/>
        </w:rPr>
        <w:t xml:space="preserve">location and </w:t>
      </w:r>
      <w:r w:rsidR="52A290B6" w:rsidRPr="00DD1B58">
        <w:rPr>
          <w:noProof/>
          <w:szCs w:val="24"/>
          <w:lang w:val="en-US"/>
        </w:rPr>
        <w:t>validity period.</w:t>
      </w:r>
      <w:r w:rsidR="00347B45" w:rsidRPr="00DD1B58">
        <w:rPr>
          <w:noProof/>
          <w:szCs w:val="24"/>
          <w:lang w:val="en-US"/>
        </w:rPr>
        <w:t xml:space="preserve"> </w:t>
      </w:r>
    </w:p>
    <w:p w14:paraId="486EF2B3" w14:textId="3E1DA8E7" w:rsidR="52A290B6" w:rsidRPr="00DD1B58" w:rsidRDefault="52A290B6" w:rsidP="774B19A3">
      <w:pPr>
        <w:rPr>
          <w:lang w:val="en-US"/>
        </w:rPr>
      </w:pPr>
      <w:r w:rsidRPr="00DD1B58">
        <w:rPr>
          <w:noProof/>
          <w:szCs w:val="24"/>
          <w:lang w:val="en-US"/>
        </w:rPr>
        <w:t xml:space="preserve">On plant, the boundaries of the laydown area </w:t>
      </w:r>
      <w:r w:rsidR="00347B45" w:rsidRPr="00DD1B58">
        <w:rPr>
          <w:noProof/>
          <w:szCs w:val="24"/>
          <w:lang w:val="en-US"/>
        </w:rPr>
        <w:t xml:space="preserve">are </w:t>
      </w:r>
      <w:r w:rsidRPr="00DD1B58">
        <w:rPr>
          <w:noProof/>
          <w:szCs w:val="24"/>
          <w:lang w:val="en-US"/>
        </w:rPr>
        <w:t xml:space="preserve">clearly </w:t>
      </w:r>
      <w:r w:rsidR="005A39E0" w:rsidRPr="00DD1B58">
        <w:rPr>
          <w:noProof/>
          <w:szCs w:val="24"/>
          <w:lang w:val="en-US"/>
        </w:rPr>
        <w:t xml:space="preserve">marked and a </w:t>
      </w:r>
      <w:r w:rsidRPr="00DD1B58">
        <w:rPr>
          <w:noProof/>
          <w:szCs w:val="24"/>
          <w:lang w:val="en-US"/>
        </w:rPr>
        <w:t xml:space="preserve">notice </w:t>
      </w:r>
      <w:r w:rsidR="005A39E0" w:rsidRPr="00DD1B58">
        <w:rPr>
          <w:noProof/>
          <w:szCs w:val="24"/>
          <w:lang w:val="en-US"/>
        </w:rPr>
        <w:t>provided giving all relevant</w:t>
      </w:r>
      <w:r w:rsidRPr="00DD1B58">
        <w:rPr>
          <w:noProof/>
          <w:szCs w:val="24"/>
          <w:lang w:val="en-US"/>
        </w:rPr>
        <w:t xml:space="preserve"> details to ensure all controls are adhered to.</w:t>
      </w:r>
      <w:r w:rsidR="00361EA7" w:rsidRPr="00DD1B58">
        <w:rPr>
          <w:noProof/>
          <w:szCs w:val="24"/>
          <w:lang w:val="en-US"/>
        </w:rPr>
        <w:t xml:space="preserve"> </w:t>
      </w:r>
      <w:r w:rsidRPr="00DD1B58">
        <w:rPr>
          <w:noProof/>
          <w:szCs w:val="24"/>
          <w:lang w:val="en-US"/>
        </w:rPr>
        <w:t>This procedure applies to all stations.</w:t>
      </w:r>
      <w:r w:rsidR="00361EA7" w:rsidRPr="00DD1B58">
        <w:rPr>
          <w:noProof/>
          <w:szCs w:val="24"/>
          <w:lang w:val="en-US"/>
        </w:rPr>
        <w:t xml:space="preserve"> A more detailed description of the arrangements is provided in </w:t>
      </w:r>
      <w:r w:rsidR="00C362CA" w:rsidRPr="00DD1B58">
        <w:rPr>
          <w:noProof/>
          <w:szCs w:val="24"/>
          <w:lang w:val="en-US"/>
        </w:rPr>
        <w:t>EDF NGL</w:t>
      </w:r>
      <w:r w:rsidR="00347B45" w:rsidRPr="00DD1B58">
        <w:rPr>
          <w:noProof/>
          <w:szCs w:val="24"/>
          <w:lang w:val="en-US"/>
        </w:rPr>
        <w:t>’s</w:t>
      </w:r>
      <w:r w:rsidR="00361EA7" w:rsidRPr="00DD1B58">
        <w:rPr>
          <w:noProof/>
          <w:szCs w:val="24"/>
          <w:lang w:val="en-US"/>
        </w:rPr>
        <w:t xml:space="preserve"> submission </w:t>
      </w:r>
      <w:sdt>
        <w:sdtPr>
          <w:rPr>
            <w:noProof/>
            <w:szCs w:val="24"/>
            <w:lang w:val="en-US"/>
          </w:rPr>
          <w:id w:val="-1220735308"/>
          <w:citation/>
        </w:sdtPr>
        <w:sdtContent>
          <w:r w:rsidR="00361EA7" w:rsidRPr="00DD1B58">
            <w:rPr>
              <w:noProof/>
              <w:szCs w:val="24"/>
              <w:lang w:val="en-US"/>
            </w:rPr>
            <w:fldChar w:fldCharType="begin"/>
          </w:r>
          <w:r w:rsidR="00361EA7" w:rsidRPr="00DD1B58">
            <w:rPr>
              <w:noProof/>
              <w:szCs w:val="24"/>
              <w:lang w:val="en-US"/>
            </w:rPr>
            <w:instrText xml:space="preserve"> CITATION EDF231 \l 2057 </w:instrText>
          </w:r>
          <w:r w:rsidR="00361EA7" w:rsidRPr="00DD1B58">
            <w:rPr>
              <w:noProof/>
              <w:szCs w:val="24"/>
              <w:lang w:val="en-US"/>
            </w:rPr>
            <w:fldChar w:fldCharType="separate"/>
          </w:r>
          <w:r w:rsidR="00DF47DA" w:rsidRPr="00DF47DA">
            <w:rPr>
              <w:noProof/>
              <w:szCs w:val="24"/>
              <w:lang w:val="en-US"/>
            </w:rPr>
            <w:t>[25]</w:t>
          </w:r>
          <w:r w:rsidR="00361EA7" w:rsidRPr="00DD1B58">
            <w:rPr>
              <w:noProof/>
              <w:szCs w:val="24"/>
              <w:lang w:val="en-US"/>
            </w:rPr>
            <w:fldChar w:fldCharType="end"/>
          </w:r>
        </w:sdtContent>
      </w:sdt>
      <w:r w:rsidR="00361EA7" w:rsidRPr="00DD1B58">
        <w:rPr>
          <w:noProof/>
          <w:szCs w:val="24"/>
          <w:lang w:val="en-US"/>
        </w:rPr>
        <w:t>.</w:t>
      </w:r>
    </w:p>
    <w:p w14:paraId="63618CAD" w14:textId="6E9C2FEC" w:rsidR="52A290B6" w:rsidRPr="00DD1B58" w:rsidRDefault="52A290B6" w:rsidP="00CD4BFC">
      <w:pPr>
        <w:pStyle w:val="Heading4"/>
        <w:numPr>
          <w:ilvl w:val="4"/>
          <w:numId w:val="3"/>
        </w:numPr>
        <w:rPr>
          <w:lang w:val="en-US"/>
        </w:rPr>
      </w:pPr>
      <w:r w:rsidRPr="00DD1B58">
        <w:rPr>
          <w:lang w:val="en-US"/>
        </w:rPr>
        <w:t xml:space="preserve">Fire </w:t>
      </w:r>
      <w:r w:rsidR="00D47AB6" w:rsidRPr="00DD1B58">
        <w:rPr>
          <w:lang w:val="en-US"/>
        </w:rPr>
        <w:t>service i</w:t>
      </w:r>
      <w:r w:rsidRPr="00DD1B58">
        <w:rPr>
          <w:lang w:val="en-US"/>
        </w:rPr>
        <w:t>ntervention</w:t>
      </w:r>
    </w:p>
    <w:p w14:paraId="305EA5E9" w14:textId="27C3E362" w:rsidR="001D270A" w:rsidRPr="00DD1B58" w:rsidRDefault="00C362CA" w:rsidP="774B19A3">
      <w:pPr>
        <w:rPr>
          <w:noProof/>
          <w:szCs w:val="24"/>
          <w:lang w:val="en-US"/>
        </w:rPr>
      </w:pPr>
      <w:r w:rsidRPr="00DD1B58">
        <w:rPr>
          <w:bCs/>
          <w:noProof/>
          <w:szCs w:val="24"/>
          <w:lang w:val="en-US"/>
        </w:rPr>
        <w:t>EDF NGL</w:t>
      </w:r>
      <w:r w:rsidR="00347B45" w:rsidRPr="00DD1B58">
        <w:rPr>
          <w:bCs/>
          <w:noProof/>
          <w:szCs w:val="24"/>
          <w:lang w:val="en-US"/>
        </w:rPr>
        <w:t xml:space="preserve"> does not claim lo</w:t>
      </w:r>
      <w:r w:rsidR="52A290B6" w:rsidRPr="00DD1B58">
        <w:rPr>
          <w:bCs/>
          <w:noProof/>
          <w:szCs w:val="24"/>
          <w:lang w:val="en-US"/>
        </w:rPr>
        <w:t>cal</w:t>
      </w:r>
      <w:r w:rsidR="52A290B6" w:rsidRPr="00DD1B58">
        <w:rPr>
          <w:noProof/>
          <w:szCs w:val="24"/>
          <w:lang w:val="en-US"/>
        </w:rPr>
        <w:t xml:space="preserve"> authority </w:t>
      </w:r>
      <w:r w:rsidR="00347B45" w:rsidRPr="00DD1B58">
        <w:rPr>
          <w:noProof/>
          <w:szCs w:val="24"/>
          <w:lang w:val="en-US"/>
        </w:rPr>
        <w:t xml:space="preserve">(external) </w:t>
      </w:r>
      <w:r w:rsidR="52A290B6" w:rsidRPr="00DD1B58">
        <w:rPr>
          <w:noProof/>
          <w:szCs w:val="24"/>
          <w:lang w:val="en-US"/>
        </w:rPr>
        <w:t xml:space="preserve">response as part of emergency capability to </w:t>
      </w:r>
      <w:r w:rsidR="00347B45" w:rsidRPr="00DD1B58">
        <w:rPr>
          <w:noProof/>
          <w:szCs w:val="24"/>
          <w:lang w:val="en-US"/>
        </w:rPr>
        <w:t xml:space="preserve">ensure </w:t>
      </w:r>
      <w:r w:rsidR="52A290B6" w:rsidRPr="00DD1B58">
        <w:rPr>
          <w:noProof/>
          <w:szCs w:val="24"/>
          <w:lang w:val="en-US"/>
        </w:rPr>
        <w:t xml:space="preserve">nuclear safety. </w:t>
      </w:r>
      <w:r w:rsidR="00EB4BD0" w:rsidRPr="00DD1B58">
        <w:rPr>
          <w:noProof/>
          <w:szCs w:val="24"/>
          <w:lang w:val="en-US"/>
        </w:rPr>
        <w:t xml:space="preserve">This is because </w:t>
      </w:r>
      <w:r w:rsidRPr="00DD1B58">
        <w:rPr>
          <w:noProof/>
          <w:szCs w:val="24"/>
          <w:lang w:val="en-US"/>
        </w:rPr>
        <w:t>EDF NGL</w:t>
      </w:r>
      <w:r w:rsidR="00EB4BD0" w:rsidRPr="00DD1B58">
        <w:rPr>
          <w:noProof/>
          <w:szCs w:val="24"/>
          <w:lang w:val="en-US"/>
        </w:rPr>
        <w:t xml:space="preserve"> acknowledges that external services </w:t>
      </w:r>
      <w:r w:rsidR="000B053B" w:rsidRPr="00DD1B58">
        <w:rPr>
          <w:noProof/>
          <w:szCs w:val="24"/>
          <w:lang w:val="en-US"/>
        </w:rPr>
        <w:t>can</w:t>
      </w:r>
      <w:r w:rsidR="00EB4BD0" w:rsidRPr="00DD1B58">
        <w:rPr>
          <w:noProof/>
          <w:szCs w:val="24"/>
          <w:lang w:val="en-US"/>
        </w:rPr>
        <w:t xml:space="preserve"> be delayed due to local conditions</w:t>
      </w:r>
      <w:r w:rsidR="000B053B" w:rsidRPr="00DD1B58">
        <w:rPr>
          <w:noProof/>
          <w:szCs w:val="24"/>
          <w:lang w:val="en-US"/>
        </w:rPr>
        <w:t xml:space="preserve"> and therefore should not be relied upon for</w:t>
      </w:r>
      <w:r w:rsidR="00EB4BD0" w:rsidRPr="00DD1B58">
        <w:rPr>
          <w:noProof/>
          <w:szCs w:val="24"/>
          <w:lang w:val="en-US"/>
        </w:rPr>
        <w:t xml:space="preserve"> nuclear safety.</w:t>
      </w:r>
      <w:r w:rsidR="000B053B" w:rsidRPr="00DD1B58">
        <w:rPr>
          <w:noProof/>
          <w:szCs w:val="24"/>
          <w:lang w:val="en-US"/>
        </w:rPr>
        <w:t xml:space="preserve"> </w:t>
      </w:r>
    </w:p>
    <w:p w14:paraId="1C0161C2" w14:textId="240357E1" w:rsidR="52A290B6" w:rsidRPr="00DD1B58" w:rsidRDefault="52A290B6" w:rsidP="774B19A3">
      <w:pPr>
        <w:rPr>
          <w:lang w:val="en-US"/>
        </w:rPr>
      </w:pPr>
      <w:r w:rsidRPr="00DD1B58">
        <w:rPr>
          <w:noProof/>
          <w:szCs w:val="24"/>
          <w:lang w:val="en-US"/>
        </w:rPr>
        <w:t>As part of Site Licence Condition (LC) 11</w:t>
      </w:r>
      <w:r w:rsidR="00047514" w:rsidRPr="00DD1B58">
        <w:rPr>
          <w:noProof/>
          <w:szCs w:val="24"/>
          <w:lang w:val="en-US"/>
        </w:rPr>
        <w:t xml:space="preserve"> </w:t>
      </w:r>
      <w:r w:rsidR="00680FDC" w:rsidRPr="00DD1B58">
        <w:rPr>
          <w:noProof/>
          <w:szCs w:val="24"/>
          <w:lang w:val="en-US"/>
        </w:rPr>
        <w:t>–</w:t>
      </w:r>
      <w:r w:rsidR="00047514" w:rsidRPr="00DD1B58">
        <w:rPr>
          <w:noProof/>
          <w:szCs w:val="24"/>
          <w:lang w:val="en-US"/>
        </w:rPr>
        <w:t xml:space="preserve"> </w:t>
      </w:r>
      <w:r w:rsidR="00680FDC" w:rsidRPr="00DD1B58">
        <w:rPr>
          <w:noProof/>
          <w:szCs w:val="24"/>
          <w:lang w:val="en-US"/>
        </w:rPr>
        <w:t>Emergency arrangements</w:t>
      </w:r>
      <w:r w:rsidRPr="00DD1B58">
        <w:rPr>
          <w:noProof/>
          <w:szCs w:val="24"/>
          <w:lang w:val="en-US"/>
        </w:rPr>
        <w:t>, on-site emergency planning</w:t>
      </w:r>
      <w:r w:rsidR="0043723E" w:rsidRPr="00DD1B58">
        <w:rPr>
          <w:noProof/>
          <w:szCs w:val="24"/>
          <w:lang w:val="en-US"/>
        </w:rPr>
        <w:t xml:space="preserve">, </w:t>
      </w:r>
      <w:r w:rsidR="00C362CA" w:rsidRPr="00DD1B58">
        <w:rPr>
          <w:noProof/>
          <w:szCs w:val="24"/>
          <w:lang w:val="en-US"/>
        </w:rPr>
        <w:t>EDF NGL</w:t>
      </w:r>
      <w:r w:rsidRPr="00DD1B58">
        <w:rPr>
          <w:noProof/>
          <w:szCs w:val="24"/>
          <w:lang w:val="en-US"/>
        </w:rPr>
        <w:t xml:space="preserve"> requires that the site will be self</w:t>
      </w:r>
      <w:r w:rsidR="00CA1D80" w:rsidRPr="00DD1B58">
        <w:rPr>
          <w:noProof/>
          <w:szCs w:val="24"/>
          <w:lang w:val="en-US"/>
        </w:rPr>
        <w:t>-</w:t>
      </w:r>
      <w:r w:rsidRPr="00DD1B58">
        <w:rPr>
          <w:noProof/>
          <w:szCs w:val="24"/>
          <w:lang w:val="en-US"/>
        </w:rPr>
        <w:t xml:space="preserve">sufficient for up to 60 minutes with no intervention from external services. </w:t>
      </w:r>
      <w:r w:rsidR="00E43B10" w:rsidRPr="00DD1B58">
        <w:rPr>
          <w:noProof/>
          <w:szCs w:val="24"/>
          <w:lang w:val="en-US"/>
        </w:rPr>
        <w:t xml:space="preserve">Due to the </w:t>
      </w:r>
      <w:r w:rsidR="00590665" w:rsidRPr="00DD1B58">
        <w:rPr>
          <w:noProof/>
          <w:szCs w:val="24"/>
          <w:lang w:val="en-US"/>
        </w:rPr>
        <w:t xml:space="preserve">fire design </w:t>
      </w:r>
      <w:r w:rsidR="00D77852" w:rsidRPr="00DD1B58">
        <w:rPr>
          <w:noProof/>
          <w:szCs w:val="24"/>
          <w:lang w:val="en-US"/>
        </w:rPr>
        <w:t xml:space="preserve">of the plants </w:t>
      </w:r>
      <w:r w:rsidR="00590665" w:rsidRPr="00DD1B58">
        <w:rPr>
          <w:noProof/>
          <w:szCs w:val="24"/>
          <w:lang w:val="en-US"/>
        </w:rPr>
        <w:t>so far presented,</w:t>
      </w:r>
      <w:r w:rsidR="00E43B10" w:rsidRPr="00DD1B58">
        <w:rPr>
          <w:noProof/>
          <w:szCs w:val="24"/>
          <w:lang w:val="en-US"/>
        </w:rPr>
        <w:t xml:space="preserve"> </w:t>
      </w:r>
      <w:r w:rsidR="00C362CA" w:rsidRPr="00DD1B58">
        <w:rPr>
          <w:noProof/>
          <w:szCs w:val="24"/>
          <w:lang w:val="en-US"/>
        </w:rPr>
        <w:t>EDF NGL</w:t>
      </w:r>
      <w:r w:rsidR="00590665" w:rsidRPr="00DD1B58">
        <w:rPr>
          <w:noProof/>
          <w:szCs w:val="24"/>
          <w:lang w:val="en-US"/>
        </w:rPr>
        <w:t xml:space="preserve"> does not require </w:t>
      </w:r>
      <w:r w:rsidRPr="00DD1B58">
        <w:rPr>
          <w:noProof/>
          <w:szCs w:val="24"/>
          <w:lang w:val="en-US"/>
        </w:rPr>
        <w:t>substantiation</w:t>
      </w:r>
      <w:r w:rsidR="00CA1D80" w:rsidRPr="00DD1B58">
        <w:rPr>
          <w:noProof/>
          <w:szCs w:val="24"/>
          <w:lang w:val="en-US"/>
        </w:rPr>
        <w:t xml:space="preserve"> </w:t>
      </w:r>
      <w:r w:rsidR="00D77852" w:rsidRPr="00DD1B58">
        <w:rPr>
          <w:noProof/>
          <w:szCs w:val="24"/>
          <w:lang w:val="en-US"/>
        </w:rPr>
        <w:t>for fire service intervention</w:t>
      </w:r>
      <w:r w:rsidRPr="00DD1B58">
        <w:rPr>
          <w:noProof/>
          <w:szCs w:val="24"/>
          <w:lang w:val="en-US"/>
        </w:rPr>
        <w:t>.</w:t>
      </w:r>
      <w:r w:rsidR="004B6365" w:rsidRPr="00DD1B58">
        <w:rPr>
          <w:noProof/>
          <w:szCs w:val="24"/>
          <w:lang w:val="en-US"/>
        </w:rPr>
        <w:t xml:space="preserve"> </w:t>
      </w:r>
      <w:r w:rsidR="00C362CA" w:rsidRPr="00DD1B58">
        <w:rPr>
          <w:noProof/>
          <w:szCs w:val="24"/>
          <w:lang w:val="en-US"/>
        </w:rPr>
        <w:t>EDF NGL</w:t>
      </w:r>
      <w:r w:rsidR="004B6365" w:rsidRPr="00DD1B58">
        <w:rPr>
          <w:noProof/>
          <w:szCs w:val="24"/>
          <w:lang w:val="en-US"/>
        </w:rPr>
        <w:t xml:space="preserve"> holds an</w:t>
      </w:r>
      <w:r w:rsidRPr="00DD1B58">
        <w:rPr>
          <w:noProof/>
          <w:szCs w:val="24"/>
          <w:lang w:val="en-US"/>
        </w:rPr>
        <w:t xml:space="preserve"> </w:t>
      </w:r>
      <w:r w:rsidR="00D038AB" w:rsidRPr="00DD1B58">
        <w:rPr>
          <w:noProof/>
          <w:szCs w:val="24"/>
          <w:lang w:val="en-US"/>
        </w:rPr>
        <w:t>e</w:t>
      </w:r>
      <w:r w:rsidRPr="00DD1B58">
        <w:rPr>
          <w:noProof/>
          <w:szCs w:val="24"/>
          <w:lang w:val="en-US"/>
        </w:rPr>
        <w:t xml:space="preserve">mergency </w:t>
      </w:r>
      <w:r w:rsidR="00D038AB" w:rsidRPr="00DD1B58">
        <w:rPr>
          <w:noProof/>
          <w:szCs w:val="24"/>
          <w:lang w:val="en-US"/>
        </w:rPr>
        <w:t>s</w:t>
      </w:r>
      <w:r w:rsidRPr="00DD1B58">
        <w:rPr>
          <w:noProof/>
          <w:szCs w:val="24"/>
          <w:lang w:val="en-US"/>
        </w:rPr>
        <w:t>cheme training program</w:t>
      </w:r>
      <w:r w:rsidR="00D038AB" w:rsidRPr="00DD1B58">
        <w:rPr>
          <w:noProof/>
          <w:szCs w:val="24"/>
          <w:lang w:val="en-US"/>
        </w:rPr>
        <w:t>me</w:t>
      </w:r>
      <w:r w:rsidRPr="00DD1B58">
        <w:rPr>
          <w:noProof/>
          <w:szCs w:val="24"/>
          <w:lang w:val="en-US"/>
        </w:rPr>
        <w:t xml:space="preserve"> for the on-site fire responders</w:t>
      </w:r>
      <w:r w:rsidR="002505EA" w:rsidRPr="00DD1B58">
        <w:rPr>
          <w:noProof/>
          <w:szCs w:val="24"/>
          <w:lang w:val="en-US"/>
        </w:rPr>
        <w:t>. For the design reasons presented and as</w:t>
      </w:r>
      <w:r w:rsidRPr="00DD1B58">
        <w:rPr>
          <w:noProof/>
          <w:szCs w:val="24"/>
          <w:lang w:val="en-US"/>
        </w:rPr>
        <w:t xml:space="preserve"> </w:t>
      </w:r>
      <w:r w:rsidR="002505EA" w:rsidRPr="00DD1B58">
        <w:rPr>
          <w:noProof/>
          <w:szCs w:val="24"/>
          <w:lang w:val="en-US"/>
        </w:rPr>
        <w:t xml:space="preserve">there are no nuclear safety claims on </w:t>
      </w:r>
      <w:r w:rsidR="001D270A" w:rsidRPr="00DD1B58">
        <w:rPr>
          <w:noProof/>
          <w:szCs w:val="24"/>
          <w:lang w:val="en-US"/>
        </w:rPr>
        <w:t>fire service intervention</w:t>
      </w:r>
      <w:r w:rsidRPr="00DD1B58">
        <w:rPr>
          <w:noProof/>
          <w:szCs w:val="24"/>
          <w:lang w:val="en-US"/>
        </w:rPr>
        <w:t xml:space="preserve">, </w:t>
      </w:r>
      <w:r w:rsidR="002505EA" w:rsidRPr="00DD1B58">
        <w:rPr>
          <w:noProof/>
          <w:szCs w:val="24"/>
          <w:lang w:val="en-US"/>
        </w:rPr>
        <w:t>it</w:t>
      </w:r>
      <w:r w:rsidRPr="00DD1B58">
        <w:rPr>
          <w:noProof/>
          <w:szCs w:val="24"/>
          <w:lang w:val="en-US"/>
        </w:rPr>
        <w:t xml:space="preserve"> is not an</w:t>
      </w:r>
      <w:r w:rsidR="23D031BA" w:rsidRPr="00DD1B58">
        <w:rPr>
          <w:noProof/>
          <w:szCs w:val="24"/>
          <w:lang w:val="en-US"/>
        </w:rPr>
        <w:t xml:space="preserve"> </w:t>
      </w:r>
      <w:r w:rsidRPr="00DD1B58">
        <w:rPr>
          <w:noProof/>
          <w:szCs w:val="24"/>
          <w:lang w:val="en-US"/>
        </w:rPr>
        <w:t>accredited training program</w:t>
      </w:r>
      <w:r w:rsidR="00D038AB" w:rsidRPr="00DD1B58">
        <w:rPr>
          <w:noProof/>
          <w:szCs w:val="24"/>
          <w:lang w:val="en-US"/>
        </w:rPr>
        <w:t>me</w:t>
      </w:r>
      <w:r w:rsidRPr="00DD1B58">
        <w:rPr>
          <w:noProof/>
          <w:szCs w:val="24"/>
          <w:lang w:val="en-US"/>
        </w:rPr>
        <w:t>.</w:t>
      </w:r>
      <w:r w:rsidR="00E43B10" w:rsidRPr="00DD1B58">
        <w:rPr>
          <w:noProof/>
          <w:szCs w:val="24"/>
          <w:lang w:val="en-US"/>
        </w:rPr>
        <w:t xml:space="preserve"> </w:t>
      </w:r>
      <w:r w:rsidR="00C362CA" w:rsidRPr="00DD1B58">
        <w:rPr>
          <w:noProof/>
          <w:szCs w:val="24"/>
          <w:lang w:val="en-US"/>
        </w:rPr>
        <w:t>EDF NGL</w:t>
      </w:r>
      <w:r w:rsidR="00F93EDF" w:rsidRPr="00DD1B58">
        <w:rPr>
          <w:noProof/>
          <w:szCs w:val="24"/>
          <w:lang w:val="en-US"/>
        </w:rPr>
        <w:t xml:space="preserve"> tests response</w:t>
      </w:r>
      <w:r w:rsidRPr="00DD1B58">
        <w:rPr>
          <w:noProof/>
          <w:szCs w:val="24"/>
          <w:lang w:val="en-US"/>
        </w:rPr>
        <w:t xml:space="preserve"> </w:t>
      </w:r>
      <w:r w:rsidR="00F93EDF" w:rsidRPr="00DD1B58">
        <w:rPr>
          <w:noProof/>
          <w:szCs w:val="24"/>
          <w:lang w:val="en-US"/>
        </w:rPr>
        <w:t>times</w:t>
      </w:r>
      <w:r w:rsidRPr="00DD1B58">
        <w:rPr>
          <w:noProof/>
          <w:szCs w:val="24"/>
          <w:lang w:val="en-US"/>
        </w:rPr>
        <w:t xml:space="preserve"> during exercises and demonstrations</w:t>
      </w:r>
      <w:r w:rsidR="00697F5D" w:rsidRPr="00DD1B58">
        <w:rPr>
          <w:noProof/>
          <w:szCs w:val="24"/>
          <w:lang w:val="en-US"/>
        </w:rPr>
        <w:t>. F</w:t>
      </w:r>
      <w:r w:rsidRPr="00DD1B58">
        <w:rPr>
          <w:noProof/>
          <w:szCs w:val="24"/>
          <w:lang w:val="en-US"/>
        </w:rPr>
        <w:t xml:space="preserve">or </w:t>
      </w:r>
      <w:r w:rsidR="003416EB" w:rsidRPr="00DD1B58">
        <w:rPr>
          <w:noProof/>
          <w:szCs w:val="24"/>
          <w:lang w:val="en-US"/>
        </w:rPr>
        <w:t>HNB, HY2 and SZB,</w:t>
      </w:r>
      <w:r w:rsidRPr="00DD1B58">
        <w:rPr>
          <w:noProof/>
          <w:szCs w:val="24"/>
          <w:lang w:val="en-US"/>
        </w:rPr>
        <w:t xml:space="preserve"> the</w:t>
      </w:r>
      <w:r w:rsidR="7976D563" w:rsidRPr="00DD1B58">
        <w:rPr>
          <w:noProof/>
          <w:szCs w:val="24"/>
          <w:lang w:val="en-US"/>
        </w:rPr>
        <w:t xml:space="preserve"> </w:t>
      </w:r>
      <w:r w:rsidRPr="00DD1B58">
        <w:rPr>
          <w:noProof/>
          <w:szCs w:val="24"/>
          <w:lang w:val="en-US"/>
        </w:rPr>
        <w:t xml:space="preserve">average response time is approximately 15 minutes. </w:t>
      </w:r>
    </w:p>
    <w:p w14:paraId="7C101D40" w14:textId="37D822B1" w:rsidR="02F15C72" w:rsidRPr="00DD1B58" w:rsidRDefault="52A290B6" w:rsidP="00CD4BFC">
      <w:pPr>
        <w:pStyle w:val="Heading4"/>
        <w:numPr>
          <w:ilvl w:val="4"/>
          <w:numId w:val="3"/>
        </w:numPr>
        <w:rPr>
          <w:noProof/>
          <w:lang w:val="en-US"/>
        </w:rPr>
      </w:pPr>
      <w:r w:rsidRPr="00DD1B58">
        <w:rPr>
          <w:noProof/>
          <w:lang w:val="en-US"/>
        </w:rPr>
        <w:t xml:space="preserve">Change </w:t>
      </w:r>
      <w:r w:rsidR="00A02102" w:rsidRPr="00DD1B58">
        <w:rPr>
          <w:noProof/>
          <w:lang w:val="en-US"/>
        </w:rPr>
        <w:t>management</w:t>
      </w:r>
    </w:p>
    <w:p w14:paraId="113F0EEC" w14:textId="3ECC5E3D" w:rsidR="009C4A6C" w:rsidRPr="00DD1B58" w:rsidRDefault="52A290B6" w:rsidP="009C4A6C">
      <w:pPr>
        <w:rPr>
          <w:lang w:val="en-US"/>
        </w:rPr>
      </w:pPr>
      <w:r w:rsidRPr="00DD1B58">
        <w:rPr>
          <w:b/>
          <w:lang w:val="en-US"/>
        </w:rPr>
        <w:t>General</w:t>
      </w:r>
      <w:r w:rsidR="00A02102" w:rsidRPr="00DD1B58">
        <w:rPr>
          <w:b/>
          <w:lang w:val="en-US"/>
        </w:rPr>
        <w:t>:</w:t>
      </w:r>
      <w:r w:rsidR="00A838C6" w:rsidRPr="00DD1B58">
        <w:rPr>
          <w:b/>
          <w:lang w:val="en-US"/>
        </w:rPr>
        <w:t xml:space="preserve"> </w:t>
      </w:r>
      <w:r w:rsidR="00A02102" w:rsidRPr="00DD1B58">
        <w:rPr>
          <w:noProof/>
          <w:szCs w:val="24"/>
          <w:lang w:val="en-US"/>
        </w:rPr>
        <w:t xml:space="preserve">plant </w:t>
      </w:r>
      <w:r w:rsidRPr="00DD1B58">
        <w:rPr>
          <w:noProof/>
          <w:szCs w:val="24"/>
          <w:lang w:val="en-US"/>
        </w:rPr>
        <w:t xml:space="preserve">modifications and fire analysis are linked, </w:t>
      </w:r>
      <w:r w:rsidR="00A02102" w:rsidRPr="00DD1B58">
        <w:rPr>
          <w:noProof/>
          <w:szCs w:val="24"/>
          <w:lang w:val="en-US"/>
        </w:rPr>
        <w:t xml:space="preserve">and </w:t>
      </w:r>
      <w:r w:rsidR="00CE2651" w:rsidRPr="00DD1B58">
        <w:rPr>
          <w:noProof/>
          <w:szCs w:val="24"/>
          <w:lang w:val="en-US"/>
        </w:rPr>
        <w:t xml:space="preserve">either </w:t>
      </w:r>
      <w:r w:rsidRPr="00DD1B58">
        <w:rPr>
          <w:noProof/>
          <w:szCs w:val="24"/>
          <w:lang w:val="en-US"/>
        </w:rPr>
        <w:t>one may drive the other depending on the</w:t>
      </w:r>
      <w:r w:rsidR="6A69926D" w:rsidRPr="00DD1B58">
        <w:rPr>
          <w:noProof/>
          <w:szCs w:val="24"/>
          <w:lang w:val="en-US"/>
        </w:rPr>
        <w:t xml:space="preserve"> </w:t>
      </w:r>
      <w:r w:rsidRPr="00DD1B58">
        <w:rPr>
          <w:noProof/>
          <w:szCs w:val="24"/>
          <w:lang w:val="en-US"/>
        </w:rPr>
        <w:t>circumstances</w:t>
      </w:r>
      <w:r w:rsidR="009C4A6C" w:rsidRPr="00DD1B58">
        <w:rPr>
          <w:noProof/>
          <w:szCs w:val="24"/>
          <w:lang w:val="en-US"/>
        </w:rPr>
        <w:t>.</w:t>
      </w:r>
      <w:r w:rsidR="00A02102" w:rsidRPr="00DD1B58">
        <w:rPr>
          <w:noProof/>
          <w:szCs w:val="24"/>
          <w:lang w:val="en-US"/>
        </w:rPr>
        <w:t xml:space="preserve"> </w:t>
      </w:r>
      <w:r w:rsidR="00C362CA" w:rsidRPr="00DD1B58">
        <w:rPr>
          <w:noProof/>
          <w:szCs w:val="24"/>
          <w:lang w:val="en-US"/>
        </w:rPr>
        <w:t>EDF NGL</w:t>
      </w:r>
      <w:r w:rsidRPr="00DD1B58">
        <w:rPr>
          <w:noProof/>
          <w:szCs w:val="24"/>
          <w:lang w:val="en-US"/>
        </w:rPr>
        <w:t xml:space="preserve"> </w:t>
      </w:r>
      <w:r w:rsidR="00865E1B" w:rsidRPr="00DD1B58">
        <w:rPr>
          <w:noProof/>
          <w:szCs w:val="24"/>
          <w:lang w:val="en-US"/>
        </w:rPr>
        <w:t xml:space="preserve">manages change </w:t>
      </w:r>
      <w:r w:rsidRPr="00DD1B58">
        <w:rPr>
          <w:noProof/>
          <w:szCs w:val="24"/>
          <w:lang w:val="en-US"/>
        </w:rPr>
        <w:t xml:space="preserve">via </w:t>
      </w:r>
      <w:r w:rsidR="00865E1B" w:rsidRPr="00DD1B58">
        <w:rPr>
          <w:noProof/>
          <w:szCs w:val="24"/>
          <w:lang w:val="en-US"/>
        </w:rPr>
        <w:t>the</w:t>
      </w:r>
      <w:r w:rsidRPr="00DD1B58">
        <w:rPr>
          <w:noProof/>
          <w:szCs w:val="24"/>
          <w:lang w:val="en-US"/>
        </w:rPr>
        <w:t xml:space="preserve"> safety case </w:t>
      </w:r>
      <w:r w:rsidRPr="00DD1B58">
        <w:rPr>
          <w:noProof/>
          <w:szCs w:val="24"/>
          <w:lang w:val="en-US"/>
        </w:rPr>
        <w:lastRenderedPageBreak/>
        <w:t>management and the modifications process.</w:t>
      </w:r>
      <w:r w:rsidR="00C21649" w:rsidRPr="00DD1B58">
        <w:rPr>
          <w:noProof/>
          <w:szCs w:val="24"/>
          <w:lang w:val="en-US"/>
        </w:rPr>
        <w:t xml:space="preserve"> </w:t>
      </w:r>
      <w:r w:rsidR="00C362CA" w:rsidRPr="00DD1B58">
        <w:rPr>
          <w:noProof/>
          <w:szCs w:val="24"/>
          <w:lang w:val="en-US"/>
        </w:rPr>
        <w:t>EDF NGL</w:t>
      </w:r>
      <w:r w:rsidR="009C4A6C" w:rsidRPr="00DD1B58">
        <w:rPr>
          <w:noProof/>
          <w:szCs w:val="24"/>
          <w:lang w:val="en-US"/>
        </w:rPr>
        <w:t xml:space="preserve"> considers all hazards including fire when</w:t>
      </w:r>
      <w:r w:rsidR="004A35F7" w:rsidRPr="00DD1B58">
        <w:rPr>
          <w:noProof/>
          <w:szCs w:val="24"/>
          <w:lang w:val="en-US"/>
        </w:rPr>
        <w:t xml:space="preserve"> </w:t>
      </w:r>
      <w:r w:rsidR="00604B6E" w:rsidRPr="00DD1B58">
        <w:rPr>
          <w:noProof/>
          <w:szCs w:val="24"/>
          <w:lang w:val="en-US"/>
        </w:rPr>
        <w:t>reviewing</w:t>
      </w:r>
      <w:r w:rsidR="009C4A6C" w:rsidRPr="00DD1B58">
        <w:rPr>
          <w:noProof/>
          <w:szCs w:val="24"/>
          <w:lang w:val="en-US"/>
        </w:rPr>
        <w:t xml:space="preserve"> new </w:t>
      </w:r>
      <w:r w:rsidR="00D25C30" w:rsidRPr="00DD1B58">
        <w:rPr>
          <w:noProof/>
          <w:szCs w:val="24"/>
          <w:lang w:val="en-US"/>
        </w:rPr>
        <w:t xml:space="preserve">plant </w:t>
      </w:r>
      <w:r w:rsidR="009C4A6C" w:rsidRPr="00DD1B58">
        <w:rPr>
          <w:noProof/>
          <w:szCs w:val="24"/>
          <w:lang w:val="en-US"/>
        </w:rPr>
        <w:t xml:space="preserve">or changes to plant or its operation as part of the modification proposal. Depending on the potential fire hazard, additional analysis may be required. The fire is chacterised as described in </w:t>
      </w:r>
      <w:r w:rsidR="008F0AF1" w:rsidRPr="00DD1B58">
        <w:rPr>
          <w:noProof/>
          <w:szCs w:val="24"/>
          <w:lang w:val="en-US"/>
        </w:rPr>
        <w:t>S</w:t>
      </w:r>
      <w:r w:rsidR="009C4A6C" w:rsidRPr="00DD1B58">
        <w:rPr>
          <w:noProof/>
          <w:szCs w:val="24"/>
          <w:lang w:val="en-US"/>
        </w:rPr>
        <w:t>ection I-2.1.1.5.</w:t>
      </w:r>
    </w:p>
    <w:p w14:paraId="298CC169" w14:textId="45EDE41D" w:rsidR="66C6931D" w:rsidRPr="00DD1B58" w:rsidRDefault="66C6931D" w:rsidP="774B19A3">
      <w:pPr>
        <w:rPr>
          <w:lang w:val="en-US"/>
        </w:rPr>
      </w:pPr>
      <w:r w:rsidRPr="00DD1B58">
        <w:rPr>
          <w:b/>
          <w:noProof/>
          <w:szCs w:val="24"/>
          <w:lang w:val="en-US"/>
        </w:rPr>
        <w:t xml:space="preserve">First </w:t>
      </w:r>
      <w:r w:rsidR="00CE2651" w:rsidRPr="00DD1B58">
        <w:rPr>
          <w:b/>
          <w:noProof/>
          <w:szCs w:val="24"/>
          <w:lang w:val="en-US"/>
        </w:rPr>
        <w:t xml:space="preserve">generation </w:t>
      </w:r>
      <w:r w:rsidRPr="00DD1B58">
        <w:rPr>
          <w:b/>
          <w:noProof/>
          <w:szCs w:val="24"/>
          <w:lang w:val="en-US"/>
        </w:rPr>
        <w:t>AGRs (</w:t>
      </w:r>
      <w:r w:rsidR="001D270A" w:rsidRPr="00DD1B58">
        <w:rPr>
          <w:b/>
          <w:noProof/>
          <w:szCs w:val="24"/>
          <w:lang w:val="en-US"/>
        </w:rPr>
        <w:t>HN</w:t>
      </w:r>
      <w:r w:rsidRPr="00DD1B58">
        <w:rPr>
          <w:b/>
          <w:noProof/>
          <w:szCs w:val="24"/>
          <w:lang w:val="en-US"/>
        </w:rPr>
        <w:t>B)</w:t>
      </w:r>
      <w:r w:rsidR="00A02102" w:rsidRPr="00DD1B58">
        <w:rPr>
          <w:b/>
          <w:noProof/>
          <w:szCs w:val="24"/>
          <w:lang w:val="en-US"/>
        </w:rPr>
        <w:t>:</w:t>
      </w:r>
      <w:r w:rsidR="00A838C6" w:rsidRPr="00DD1B58">
        <w:rPr>
          <w:b/>
          <w:noProof/>
          <w:szCs w:val="24"/>
          <w:lang w:val="en-US"/>
        </w:rPr>
        <w:t xml:space="preserve"> </w:t>
      </w:r>
      <w:r w:rsidR="00A02102" w:rsidRPr="00DD1B58">
        <w:rPr>
          <w:noProof/>
          <w:szCs w:val="24"/>
          <w:lang w:val="en-US"/>
        </w:rPr>
        <w:t>t</w:t>
      </w:r>
      <w:r w:rsidRPr="00DD1B58">
        <w:rPr>
          <w:noProof/>
          <w:szCs w:val="24"/>
          <w:lang w:val="en-US"/>
        </w:rPr>
        <w:t xml:space="preserve">he analysis of the cable flat loadings at HNB used </w:t>
      </w:r>
      <w:r w:rsidR="00865E1B" w:rsidRPr="00DD1B58">
        <w:rPr>
          <w:noProof/>
          <w:szCs w:val="24"/>
          <w:lang w:val="en-US"/>
        </w:rPr>
        <w:t>all the</w:t>
      </w:r>
      <w:r w:rsidRPr="00DD1B58">
        <w:rPr>
          <w:noProof/>
          <w:szCs w:val="24"/>
          <w:lang w:val="en-US"/>
        </w:rPr>
        <w:t xml:space="preserve"> listed methods from Ingberg to CFD to develop a robust understanding of the fire severity.</w:t>
      </w:r>
    </w:p>
    <w:p w14:paraId="37B3ED42" w14:textId="2E9670A0" w:rsidR="66C6931D" w:rsidRPr="00DD1B58" w:rsidRDefault="66C6931D" w:rsidP="774B19A3">
      <w:pPr>
        <w:rPr>
          <w:lang w:val="en-US"/>
        </w:rPr>
      </w:pPr>
      <w:r w:rsidRPr="00DD1B58">
        <w:rPr>
          <w:b/>
          <w:noProof/>
          <w:szCs w:val="24"/>
          <w:lang w:val="en-US"/>
        </w:rPr>
        <w:t xml:space="preserve">Second </w:t>
      </w:r>
      <w:r w:rsidR="008F0AF1" w:rsidRPr="00DD1B58">
        <w:rPr>
          <w:b/>
          <w:noProof/>
          <w:szCs w:val="24"/>
          <w:lang w:val="en-US"/>
        </w:rPr>
        <w:t xml:space="preserve">generation </w:t>
      </w:r>
      <w:r w:rsidRPr="00DD1B58">
        <w:rPr>
          <w:b/>
          <w:noProof/>
          <w:szCs w:val="24"/>
          <w:lang w:val="en-US"/>
        </w:rPr>
        <w:t>AGRs (</w:t>
      </w:r>
      <w:r w:rsidR="001D270A" w:rsidRPr="00DD1B58">
        <w:rPr>
          <w:b/>
          <w:noProof/>
          <w:szCs w:val="24"/>
          <w:lang w:val="en-US"/>
        </w:rPr>
        <w:t>HY</w:t>
      </w:r>
      <w:r w:rsidRPr="00DD1B58">
        <w:rPr>
          <w:b/>
          <w:noProof/>
          <w:szCs w:val="24"/>
          <w:lang w:val="en-US"/>
        </w:rPr>
        <w:t>2)</w:t>
      </w:r>
      <w:r w:rsidR="00A02102" w:rsidRPr="00DD1B58">
        <w:rPr>
          <w:b/>
          <w:noProof/>
          <w:szCs w:val="24"/>
          <w:lang w:val="en-US"/>
        </w:rPr>
        <w:t>:</w:t>
      </w:r>
      <w:r w:rsidR="00A838C6" w:rsidRPr="00DD1B58">
        <w:rPr>
          <w:b/>
          <w:noProof/>
          <w:szCs w:val="24"/>
          <w:lang w:val="en-US"/>
        </w:rPr>
        <w:t xml:space="preserve"> </w:t>
      </w:r>
      <w:r w:rsidR="00A02102" w:rsidRPr="00DD1B58">
        <w:rPr>
          <w:noProof/>
          <w:szCs w:val="24"/>
          <w:lang w:val="en-US"/>
        </w:rPr>
        <w:t>n</w:t>
      </w:r>
      <w:r w:rsidRPr="00DD1B58">
        <w:rPr>
          <w:noProof/>
          <w:szCs w:val="24"/>
          <w:lang w:val="en-US"/>
        </w:rPr>
        <w:t xml:space="preserve">o major plant changes have been carried out since HY2 was commissioned, therefore no major modifications </w:t>
      </w:r>
      <w:r w:rsidR="00FD6C4D" w:rsidRPr="00DD1B58">
        <w:rPr>
          <w:noProof/>
          <w:szCs w:val="24"/>
          <w:lang w:val="en-US"/>
        </w:rPr>
        <w:t>have required assessment.</w:t>
      </w:r>
      <w:r w:rsidRPr="00DD1B58">
        <w:rPr>
          <w:noProof/>
          <w:szCs w:val="24"/>
          <w:lang w:val="en-US"/>
        </w:rPr>
        <w:t xml:space="preserve"> However, </w:t>
      </w:r>
      <w:r w:rsidR="00C362CA" w:rsidRPr="00DD1B58">
        <w:rPr>
          <w:noProof/>
          <w:szCs w:val="24"/>
          <w:lang w:val="en-US"/>
        </w:rPr>
        <w:t>EDF NGL</w:t>
      </w:r>
      <w:r w:rsidR="00FD6C4D" w:rsidRPr="00DD1B58">
        <w:rPr>
          <w:noProof/>
          <w:szCs w:val="24"/>
          <w:lang w:val="en-US"/>
        </w:rPr>
        <w:t xml:space="preserve"> currently makes claims </w:t>
      </w:r>
      <w:r w:rsidRPr="00DD1B58">
        <w:rPr>
          <w:noProof/>
          <w:szCs w:val="24"/>
          <w:lang w:val="en-US"/>
        </w:rPr>
        <w:t>on the</w:t>
      </w:r>
      <w:r w:rsidR="5E71C724" w:rsidRPr="00DD1B58">
        <w:rPr>
          <w:noProof/>
          <w:szCs w:val="24"/>
          <w:lang w:val="en-US"/>
        </w:rPr>
        <w:t xml:space="preserve"> </w:t>
      </w:r>
      <w:r w:rsidRPr="00DD1B58">
        <w:rPr>
          <w:noProof/>
          <w:szCs w:val="24"/>
          <w:lang w:val="en-US"/>
        </w:rPr>
        <w:t>FDSS</w:t>
      </w:r>
      <w:r w:rsidR="0032638A" w:rsidRPr="00DD1B58">
        <w:rPr>
          <w:noProof/>
          <w:szCs w:val="24"/>
          <w:lang w:val="en-US"/>
        </w:rPr>
        <w:t xml:space="preserve"> and plant modifications may be required as result of the ongoing Turbine Disintegration assessment</w:t>
      </w:r>
      <w:r w:rsidR="00E059A2" w:rsidRPr="00DD1B58">
        <w:rPr>
          <w:noProof/>
          <w:szCs w:val="24"/>
          <w:lang w:val="en-US"/>
        </w:rPr>
        <w:t xml:space="preserve"> update. </w:t>
      </w:r>
    </w:p>
    <w:p w14:paraId="390E1257" w14:textId="2EB45D45" w:rsidR="001D08EA" w:rsidRPr="00DD1B58" w:rsidRDefault="66C6931D" w:rsidP="001D08EA">
      <w:pPr>
        <w:rPr>
          <w:lang w:val="en-US"/>
        </w:rPr>
      </w:pPr>
      <w:r w:rsidRPr="00DD1B58">
        <w:rPr>
          <w:b/>
          <w:noProof/>
          <w:szCs w:val="24"/>
          <w:lang w:val="en-US"/>
        </w:rPr>
        <w:t>Sizewell B</w:t>
      </w:r>
      <w:r w:rsidR="00A02102"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1D08EA" w:rsidRPr="00DD1B58">
        <w:rPr>
          <w:noProof/>
          <w:szCs w:val="24"/>
          <w:lang w:val="en-US"/>
        </w:rPr>
        <w:t xml:space="preserve"> considers that no major modifications to the fire safety case have been carried out since station commissioning.</w:t>
      </w:r>
    </w:p>
    <w:p w14:paraId="6499AD9B" w14:textId="77777777" w:rsidR="7438DFD2" w:rsidRPr="00DD1B58" w:rsidRDefault="66C6931D" w:rsidP="00CD4BFC">
      <w:pPr>
        <w:pStyle w:val="Heading4"/>
        <w:numPr>
          <w:ilvl w:val="4"/>
          <w:numId w:val="3"/>
        </w:numPr>
        <w:rPr>
          <w:lang w:val="en-US"/>
        </w:rPr>
      </w:pPr>
      <w:r w:rsidRPr="00DD1B58">
        <w:rPr>
          <w:lang w:val="en-US"/>
        </w:rPr>
        <w:t>Fire analysis requirements</w:t>
      </w:r>
    </w:p>
    <w:p w14:paraId="76A60C04" w14:textId="586AF974" w:rsidR="66C6931D" w:rsidRPr="00DD1B58" w:rsidRDefault="00C362CA" w:rsidP="774B19A3">
      <w:pPr>
        <w:rPr>
          <w:lang w:val="en-US"/>
        </w:rPr>
      </w:pPr>
      <w:r w:rsidRPr="00DD1B58">
        <w:rPr>
          <w:bCs/>
          <w:noProof/>
          <w:szCs w:val="24"/>
          <w:lang w:val="en-US"/>
        </w:rPr>
        <w:t>EDF NGL</w:t>
      </w:r>
      <w:r w:rsidR="00326D5E" w:rsidRPr="00DD1B58">
        <w:rPr>
          <w:bCs/>
          <w:noProof/>
          <w:szCs w:val="24"/>
          <w:lang w:val="en-US"/>
        </w:rPr>
        <w:t>’s</w:t>
      </w:r>
      <w:r w:rsidR="66C6931D" w:rsidRPr="00DD1B58">
        <w:rPr>
          <w:noProof/>
          <w:szCs w:val="24"/>
          <w:lang w:val="en-US"/>
        </w:rPr>
        <w:t xml:space="preserve"> criteria for </w:t>
      </w:r>
      <w:r w:rsidR="00326D5E" w:rsidRPr="00DD1B58">
        <w:rPr>
          <w:noProof/>
          <w:szCs w:val="24"/>
          <w:lang w:val="en-US"/>
        </w:rPr>
        <w:t>fire analysis</w:t>
      </w:r>
      <w:r w:rsidR="66C6931D" w:rsidRPr="00DD1B58">
        <w:rPr>
          <w:noProof/>
          <w:szCs w:val="24"/>
          <w:lang w:val="en-US"/>
        </w:rPr>
        <w:t xml:space="preserve"> tool selection are fit</w:t>
      </w:r>
      <w:r w:rsidR="008F0AF1" w:rsidRPr="00DD1B58">
        <w:rPr>
          <w:noProof/>
          <w:szCs w:val="24"/>
          <w:lang w:val="en-US"/>
        </w:rPr>
        <w:t xml:space="preserve"> </w:t>
      </w:r>
      <w:r w:rsidR="66C6931D" w:rsidRPr="00DD1B58">
        <w:rPr>
          <w:noProof/>
          <w:szCs w:val="24"/>
          <w:lang w:val="en-US"/>
        </w:rPr>
        <w:t>for</w:t>
      </w:r>
      <w:r w:rsidR="008F0AF1" w:rsidRPr="00DD1B58">
        <w:rPr>
          <w:noProof/>
          <w:szCs w:val="24"/>
          <w:lang w:val="en-US"/>
        </w:rPr>
        <w:t xml:space="preserve"> </w:t>
      </w:r>
      <w:r w:rsidR="66C6931D" w:rsidRPr="00DD1B58">
        <w:rPr>
          <w:noProof/>
          <w:szCs w:val="24"/>
          <w:lang w:val="en-US"/>
        </w:rPr>
        <w:t>purpose</w:t>
      </w:r>
      <w:r w:rsidR="00322BF7" w:rsidRPr="00DD1B58">
        <w:rPr>
          <w:noProof/>
          <w:szCs w:val="24"/>
          <w:lang w:val="en-US"/>
        </w:rPr>
        <w:t xml:space="preserve"> and include</w:t>
      </w:r>
      <w:r w:rsidR="00D87039" w:rsidRPr="00DD1B58">
        <w:rPr>
          <w:noProof/>
          <w:szCs w:val="24"/>
          <w:lang w:val="en-US"/>
        </w:rPr>
        <w:t xml:space="preserve"> the</w:t>
      </w:r>
      <w:r w:rsidR="66C6931D" w:rsidRPr="00DD1B58">
        <w:rPr>
          <w:noProof/>
          <w:szCs w:val="24"/>
          <w:lang w:val="en-US"/>
        </w:rPr>
        <w:t xml:space="preserve"> need for accuracy, consequences of the fire, complexity</w:t>
      </w:r>
      <w:r w:rsidR="0EC9F5A6" w:rsidRPr="00DD1B58">
        <w:rPr>
          <w:noProof/>
          <w:szCs w:val="24"/>
          <w:lang w:val="en-US"/>
        </w:rPr>
        <w:t xml:space="preserve"> </w:t>
      </w:r>
      <w:r w:rsidR="66C6931D" w:rsidRPr="00DD1B58">
        <w:rPr>
          <w:noProof/>
          <w:szCs w:val="24"/>
          <w:lang w:val="en-US"/>
        </w:rPr>
        <w:t>of the fuel disposition, compartment boundaries and ventilation.</w:t>
      </w:r>
    </w:p>
    <w:p w14:paraId="24DD38D1" w14:textId="4F3CB39F" w:rsidR="66C6931D" w:rsidRPr="00DD1B58" w:rsidRDefault="00C362CA" w:rsidP="774B19A3">
      <w:pPr>
        <w:rPr>
          <w:lang w:val="en-US"/>
        </w:rPr>
      </w:pPr>
      <w:r w:rsidRPr="00DD1B58">
        <w:rPr>
          <w:noProof/>
          <w:szCs w:val="24"/>
          <w:lang w:val="en-US"/>
        </w:rPr>
        <w:t>EDF NGL</w:t>
      </w:r>
      <w:r w:rsidR="00E2760E" w:rsidRPr="00DD1B58">
        <w:rPr>
          <w:noProof/>
          <w:szCs w:val="24"/>
          <w:lang w:val="en-US"/>
        </w:rPr>
        <w:t xml:space="preserve"> considers that s</w:t>
      </w:r>
      <w:r w:rsidR="66C6931D" w:rsidRPr="00DD1B58">
        <w:rPr>
          <w:noProof/>
          <w:szCs w:val="24"/>
          <w:lang w:val="en-US"/>
        </w:rPr>
        <w:t>ite specific data such as fuel inventories, bund sizes, compartment heights, and louvre</w:t>
      </w:r>
      <w:r w:rsidR="436B1754" w:rsidRPr="00DD1B58">
        <w:rPr>
          <w:noProof/>
          <w:szCs w:val="24"/>
          <w:lang w:val="en-US"/>
        </w:rPr>
        <w:t xml:space="preserve"> </w:t>
      </w:r>
      <w:r w:rsidR="66C6931D" w:rsidRPr="00DD1B58">
        <w:rPr>
          <w:noProof/>
          <w:szCs w:val="24"/>
          <w:lang w:val="en-US"/>
        </w:rPr>
        <w:t>sizes</w:t>
      </w:r>
      <w:r w:rsidR="00E2760E" w:rsidRPr="00DD1B58">
        <w:rPr>
          <w:noProof/>
          <w:szCs w:val="24"/>
          <w:lang w:val="en-US"/>
        </w:rPr>
        <w:t xml:space="preserve"> are always used</w:t>
      </w:r>
      <w:r w:rsidR="66C6931D" w:rsidRPr="00DD1B58">
        <w:rPr>
          <w:noProof/>
          <w:szCs w:val="24"/>
          <w:lang w:val="en-US"/>
        </w:rPr>
        <w:t>. Generic data such as calorific values for wood and oil are used, as are specific burn data for</w:t>
      </w:r>
      <w:r w:rsidR="6E1616A8" w:rsidRPr="00DD1B58">
        <w:rPr>
          <w:noProof/>
          <w:szCs w:val="24"/>
          <w:lang w:val="en-US"/>
        </w:rPr>
        <w:t xml:space="preserve"> </w:t>
      </w:r>
      <w:r w:rsidR="66C6931D" w:rsidRPr="00DD1B58">
        <w:rPr>
          <w:noProof/>
          <w:szCs w:val="24"/>
          <w:lang w:val="en-US"/>
        </w:rPr>
        <w:t>transformer oils.</w:t>
      </w:r>
      <w:r w:rsidR="00AB48D1" w:rsidRPr="00DD1B58">
        <w:rPr>
          <w:noProof/>
          <w:szCs w:val="24"/>
          <w:lang w:val="en-US"/>
        </w:rPr>
        <w:t xml:space="preserve"> G</w:t>
      </w:r>
      <w:r w:rsidR="66C6931D" w:rsidRPr="00DD1B58">
        <w:rPr>
          <w:noProof/>
          <w:szCs w:val="24"/>
          <w:lang w:val="en-US"/>
        </w:rPr>
        <w:t>eneral fire data is taken from the SFPE Handbook</w:t>
      </w:r>
      <w:r w:rsidR="003F7736" w:rsidRPr="00DD1B58">
        <w:rPr>
          <w:noProof/>
          <w:szCs w:val="24"/>
          <w:lang w:val="en-US"/>
        </w:rPr>
        <w:t xml:space="preserve"> </w:t>
      </w:r>
      <w:sdt>
        <w:sdtPr>
          <w:rPr>
            <w:noProof/>
            <w:szCs w:val="24"/>
            <w:lang w:val="en-US"/>
          </w:rPr>
          <w:id w:val="-1374993267"/>
          <w:citation/>
        </w:sdtPr>
        <w:sdtContent>
          <w:r w:rsidR="003F7736" w:rsidRPr="00DD1B58">
            <w:rPr>
              <w:noProof/>
              <w:szCs w:val="24"/>
              <w:lang w:val="en-US"/>
            </w:rPr>
            <w:fldChar w:fldCharType="begin"/>
          </w:r>
          <w:r w:rsidR="003F7736" w:rsidRPr="00DD1B58">
            <w:rPr>
              <w:noProof/>
              <w:szCs w:val="24"/>
              <w:lang w:val="en-US"/>
            </w:rPr>
            <w:instrText xml:space="preserve"> CITATION SFP16 \l 2057 </w:instrText>
          </w:r>
          <w:r w:rsidR="003F7736" w:rsidRPr="00DD1B58">
            <w:rPr>
              <w:noProof/>
              <w:szCs w:val="24"/>
              <w:lang w:val="en-US"/>
            </w:rPr>
            <w:fldChar w:fldCharType="separate"/>
          </w:r>
          <w:r w:rsidR="00DF47DA" w:rsidRPr="00DF47DA">
            <w:rPr>
              <w:noProof/>
              <w:szCs w:val="24"/>
              <w:lang w:val="en-US"/>
            </w:rPr>
            <w:t>[28]</w:t>
          </w:r>
          <w:r w:rsidR="003F7736" w:rsidRPr="00DD1B58">
            <w:rPr>
              <w:noProof/>
              <w:szCs w:val="24"/>
              <w:lang w:val="en-US"/>
            </w:rPr>
            <w:fldChar w:fldCharType="end"/>
          </w:r>
        </w:sdtContent>
      </w:sdt>
      <w:r w:rsidR="66C6931D" w:rsidRPr="00DD1B58">
        <w:rPr>
          <w:noProof/>
          <w:szCs w:val="24"/>
          <w:lang w:val="en-US"/>
        </w:rPr>
        <w:t xml:space="preserve">, text books by Drysdale </w:t>
      </w:r>
      <w:sdt>
        <w:sdtPr>
          <w:rPr>
            <w:noProof/>
            <w:szCs w:val="24"/>
            <w:lang w:val="en-US"/>
          </w:rPr>
          <w:id w:val="741833574"/>
          <w:citation/>
        </w:sdtPr>
        <w:sdtContent>
          <w:r w:rsidR="003F7736" w:rsidRPr="00DD1B58">
            <w:rPr>
              <w:noProof/>
              <w:szCs w:val="24"/>
              <w:lang w:val="en-US"/>
            </w:rPr>
            <w:fldChar w:fldCharType="begin"/>
          </w:r>
          <w:r w:rsidR="003F7736" w:rsidRPr="00DD1B58">
            <w:rPr>
              <w:noProof/>
              <w:szCs w:val="24"/>
              <w:lang w:val="en-US"/>
            </w:rPr>
            <w:instrText xml:space="preserve"> CITATION Dry11 \l 2057 </w:instrText>
          </w:r>
          <w:r w:rsidR="003F7736" w:rsidRPr="00DD1B58">
            <w:rPr>
              <w:noProof/>
              <w:szCs w:val="24"/>
              <w:lang w:val="en-US"/>
            </w:rPr>
            <w:fldChar w:fldCharType="separate"/>
          </w:r>
          <w:r w:rsidR="00DF47DA" w:rsidRPr="00DF47DA">
            <w:rPr>
              <w:noProof/>
              <w:szCs w:val="24"/>
              <w:lang w:val="en-US"/>
            </w:rPr>
            <w:t>[29]</w:t>
          </w:r>
          <w:r w:rsidR="003F7736" w:rsidRPr="00DD1B58">
            <w:rPr>
              <w:noProof/>
              <w:szCs w:val="24"/>
              <w:lang w:val="en-US"/>
            </w:rPr>
            <w:fldChar w:fldCharType="end"/>
          </w:r>
        </w:sdtContent>
      </w:sdt>
      <w:r w:rsidR="003F7736" w:rsidRPr="00DD1B58">
        <w:rPr>
          <w:noProof/>
          <w:szCs w:val="24"/>
          <w:lang w:val="en-US"/>
        </w:rPr>
        <w:t xml:space="preserve"> </w:t>
      </w:r>
      <w:r w:rsidR="66C6931D" w:rsidRPr="00DD1B58">
        <w:rPr>
          <w:noProof/>
          <w:szCs w:val="24"/>
          <w:lang w:val="en-US"/>
        </w:rPr>
        <w:t>and</w:t>
      </w:r>
      <w:r w:rsidR="7F08C7AA" w:rsidRPr="00DD1B58">
        <w:rPr>
          <w:noProof/>
          <w:szCs w:val="24"/>
          <w:lang w:val="en-US"/>
        </w:rPr>
        <w:t xml:space="preserve"> </w:t>
      </w:r>
      <w:r w:rsidR="66C6931D" w:rsidRPr="00DD1B58">
        <w:rPr>
          <w:noProof/>
          <w:szCs w:val="24"/>
          <w:lang w:val="en-US"/>
        </w:rPr>
        <w:t xml:space="preserve">Quintiere, methods published by EPRI, </w:t>
      </w:r>
      <w:r w:rsidR="009073D2" w:rsidRPr="00DD1B58">
        <w:rPr>
          <w:noProof/>
          <w:szCs w:val="24"/>
          <w:lang w:val="en-US"/>
        </w:rPr>
        <w:t>National Institute of Standards and Technology (</w:t>
      </w:r>
      <w:r w:rsidR="66C6931D" w:rsidRPr="00DD1B58">
        <w:rPr>
          <w:noProof/>
          <w:szCs w:val="24"/>
          <w:lang w:val="en-US"/>
        </w:rPr>
        <w:t>NIST</w:t>
      </w:r>
      <w:r w:rsidR="009073D2" w:rsidRPr="00DD1B58">
        <w:rPr>
          <w:noProof/>
          <w:szCs w:val="24"/>
          <w:lang w:val="en-US"/>
        </w:rPr>
        <w:t>)</w:t>
      </w:r>
      <w:r w:rsidR="66C6931D" w:rsidRPr="00DD1B58">
        <w:rPr>
          <w:noProof/>
          <w:szCs w:val="24"/>
          <w:lang w:val="en-US"/>
        </w:rPr>
        <w:t xml:space="preserve">, British Standards and </w:t>
      </w:r>
      <w:r w:rsidR="00D44D31" w:rsidRPr="00DD1B58">
        <w:rPr>
          <w:noProof/>
          <w:szCs w:val="24"/>
          <w:lang w:val="en-US"/>
        </w:rPr>
        <w:t>National Fire Protection Association (</w:t>
      </w:r>
      <w:r w:rsidR="66C6931D" w:rsidRPr="00DD1B58">
        <w:rPr>
          <w:noProof/>
          <w:szCs w:val="24"/>
          <w:lang w:val="en-US"/>
        </w:rPr>
        <w:t>NFPA</w:t>
      </w:r>
      <w:r w:rsidR="00D44D31" w:rsidRPr="00DD1B58">
        <w:rPr>
          <w:noProof/>
          <w:szCs w:val="24"/>
          <w:lang w:val="en-US"/>
        </w:rPr>
        <w:t>)</w:t>
      </w:r>
      <w:r w:rsidR="66C6931D" w:rsidRPr="00DD1B58">
        <w:rPr>
          <w:noProof/>
          <w:szCs w:val="24"/>
          <w:lang w:val="en-US"/>
        </w:rPr>
        <w:t xml:space="preserve"> standards.</w:t>
      </w:r>
    </w:p>
    <w:p w14:paraId="55D9609F" w14:textId="77777777" w:rsidR="6AF73D54" w:rsidRPr="00DD1B58" w:rsidRDefault="6AF73D54" w:rsidP="00CD4BFC">
      <w:pPr>
        <w:pStyle w:val="Heading4"/>
        <w:numPr>
          <w:ilvl w:val="4"/>
          <w:numId w:val="3"/>
        </w:numPr>
        <w:rPr>
          <w:noProof/>
          <w:szCs w:val="24"/>
          <w:lang w:val="en-US"/>
        </w:rPr>
      </w:pPr>
      <w:r w:rsidRPr="00DD1B58">
        <w:rPr>
          <w:lang w:val="en-US"/>
        </w:rPr>
        <w:t>Treatment of uncertainties</w:t>
      </w:r>
    </w:p>
    <w:p w14:paraId="0F5CA488" w14:textId="5E98A702" w:rsidR="6AF73D54" w:rsidRPr="00DD1B58" w:rsidRDefault="6AF73D54" w:rsidP="774B19A3">
      <w:pPr>
        <w:rPr>
          <w:lang w:val="en-US"/>
        </w:rPr>
      </w:pPr>
      <w:r w:rsidRPr="00DD1B58">
        <w:rPr>
          <w:b/>
          <w:noProof/>
          <w:szCs w:val="24"/>
          <w:lang w:val="en-US"/>
        </w:rPr>
        <w:t>General</w:t>
      </w:r>
      <w:r w:rsidR="008F0AF1"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ED3793" w:rsidRPr="00DD1B58">
        <w:rPr>
          <w:noProof/>
          <w:szCs w:val="24"/>
          <w:lang w:val="en-US"/>
        </w:rPr>
        <w:t xml:space="preserve"> </w:t>
      </w:r>
      <w:r w:rsidR="00A223C5" w:rsidRPr="00DD1B58">
        <w:rPr>
          <w:noProof/>
          <w:szCs w:val="24"/>
          <w:lang w:val="en-US"/>
        </w:rPr>
        <w:t>considers fire analysis</w:t>
      </w:r>
      <w:r w:rsidR="00B64EF4" w:rsidRPr="00DD1B58">
        <w:rPr>
          <w:noProof/>
          <w:szCs w:val="24"/>
          <w:lang w:val="en-US"/>
        </w:rPr>
        <w:t xml:space="preserve"> </w:t>
      </w:r>
      <w:r w:rsidRPr="00DD1B58">
        <w:rPr>
          <w:noProof/>
          <w:szCs w:val="24"/>
          <w:lang w:val="en-US"/>
        </w:rPr>
        <w:t xml:space="preserve">uncertainties </w:t>
      </w:r>
      <w:r w:rsidR="00B260EF" w:rsidRPr="00DD1B58">
        <w:rPr>
          <w:noProof/>
          <w:szCs w:val="24"/>
          <w:lang w:val="en-US"/>
        </w:rPr>
        <w:t>through</w:t>
      </w:r>
      <w:r w:rsidRPr="00DD1B58">
        <w:rPr>
          <w:noProof/>
          <w:szCs w:val="24"/>
          <w:lang w:val="en-US"/>
        </w:rPr>
        <w:t xml:space="preserve"> conservative analysis and using engineering judgment to select reasonable worst cases. </w:t>
      </w:r>
      <w:r w:rsidR="00C362CA" w:rsidRPr="00DD1B58">
        <w:rPr>
          <w:noProof/>
          <w:szCs w:val="24"/>
          <w:lang w:val="en-US"/>
        </w:rPr>
        <w:t>EDF NGL</w:t>
      </w:r>
      <w:r w:rsidR="00E73B53" w:rsidRPr="00DD1B58">
        <w:rPr>
          <w:noProof/>
          <w:szCs w:val="24"/>
          <w:lang w:val="en-US"/>
        </w:rPr>
        <w:t xml:space="preserve"> apples</w:t>
      </w:r>
      <w:r w:rsidRPr="00DD1B58">
        <w:rPr>
          <w:noProof/>
          <w:szCs w:val="24"/>
          <w:lang w:val="en-US"/>
        </w:rPr>
        <w:t xml:space="preserve"> multiple methods to reduce the levels </w:t>
      </w:r>
      <w:r w:rsidR="005910A8" w:rsidRPr="00DD1B58">
        <w:rPr>
          <w:noProof/>
          <w:szCs w:val="24"/>
          <w:lang w:val="en-US"/>
        </w:rPr>
        <w:t xml:space="preserve">of </w:t>
      </w:r>
      <w:r w:rsidRPr="00DD1B58">
        <w:rPr>
          <w:noProof/>
          <w:szCs w:val="24"/>
          <w:lang w:val="en-US"/>
        </w:rPr>
        <w:t xml:space="preserve">uncertainty, </w:t>
      </w:r>
      <w:r w:rsidR="00E73B53" w:rsidRPr="00DD1B58">
        <w:rPr>
          <w:noProof/>
          <w:szCs w:val="24"/>
          <w:lang w:val="en-US"/>
        </w:rPr>
        <w:t xml:space="preserve">and this </w:t>
      </w:r>
      <w:r w:rsidRPr="00DD1B58">
        <w:rPr>
          <w:noProof/>
          <w:szCs w:val="24"/>
          <w:lang w:val="en-US"/>
        </w:rPr>
        <w:t>may include experimental work.</w:t>
      </w:r>
      <w:r w:rsidR="00A223C5" w:rsidRPr="00DD1B58">
        <w:rPr>
          <w:noProof/>
          <w:szCs w:val="24"/>
          <w:lang w:val="en-US"/>
        </w:rPr>
        <w:t xml:space="preserve"> </w:t>
      </w:r>
      <w:r w:rsidRPr="00DD1B58">
        <w:rPr>
          <w:noProof/>
          <w:szCs w:val="24"/>
          <w:lang w:val="en-US"/>
        </w:rPr>
        <w:t xml:space="preserve">Where uncertainties persist, </w:t>
      </w:r>
      <w:r w:rsidR="00C362CA" w:rsidRPr="00DD1B58">
        <w:rPr>
          <w:noProof/>
          <w:szCs w:val="24"/>
          <w:lang w:val="en-US"/>
        </w:rPr>
        <w:t>EDF NGL</w:t>
      </w:r>
      <w:r w:rsidR="00E73B53" w:rsidRPr="00DD1B58">
        <w:rPr>
          <w:noProof/>
          <w:szCs w:val="24"/>
          <w:lang w:val="en-US"/>
        </w:rPr>
        <w:t xml:space="preserve"> </w:t>
      </w:r>
      <w:r w:rsidRPr="00DD1B58">
        <w:rPr>
          <w:noProof/>
          <w:szCs w:val="24"/>
          <w:lang w:val="en-US"/>
        </w:rPr>
        <w:t>may require additional defence in depth to compensate for the uncertainty.</w:t>
      </w:r>
    </w:p>
    <w:p w14:paraId="7020B70A" w14:textId="7E8BBD1D" w:rsidR="6AF73D54" w:rsidRPr="00DD1B58" w:rsidRDefault="00C362CA" w:rsidP="774B19A3">
      <w:pPr>
        <w:rPr>
          <w:lang w:val="en-US"/>
        </w:rPr>
      </w:pPr>
      <w:r w:rsidRPr="00DD1B58">
        <w:rPr>
          <w:noProof/>
          <w:szCs w:val="24"/>
          <w:lang w:val="en-US"/>
        </w:rPr>
        <w:t>EDF NGL</w:t>
      </w:r>
      <w:r w:rsidR="00DB06AA" w:rsidRPr="00DD1B58">
        <w:rPr>
          <w:noProof/>
          <w:szCs w:val="24"/>
          <w:lang w:val="en-US"/>
        </w:rPr>
        <w:t xml:space="preserve"> undertakes s</w:t>
      </w:r>
      <w:r w:rsidR="6AF73D54" w:rsidRPr="00DD1B58">
        <w:rPr>
          <w:noProof/>
          <w:szCs w:val="24"/>
          <w:lang w:val="en-US"/>
        </w:rPr>
        <w:t>ensitivity analysis by running multiple models with varying parameters such as fuel leak rate, burn rate or ventilation changes. Plausible outcomes are explored and the bounding cases of likelihood and consequence are determined. Cliff edges are considered if necessary.</w:t>
      </w:r>
      <w:r w:rsidR="005910A8" w:rsidRPr="00DD1B58">
        <w:rPr>
          <w:noProof/>
          <w:szCs w:val="24"/>
          <w:lang w:val="en-US"/>
        </w:rPr>
        <w:t xml:space="preserve"> There are no relevant fire safety examples for HY2</w:t>
      </w:r>
      <w:r w:rsidR="00A22DE2" w:rsidRPr="00DD1B58">
        <w:rPr>
          <w:noProof/>
          <w:szCs w:val="24"/>
          <w:lang w:val="en-US"/>
        </w:rPr>
        <w:t xml:space="preserve"> and SZB. </w:t>
      </w:r>
    </w:p>
    <w:p w14:paraId="321AFF55" w14:textId="21FA8190" w:rsidR="6AF73D54" w:rsidRPr="00DD1B58" w:rsidRDefault="6AF73D54" w:rsidP="774B19A3">
      <w:pPr>
        <w:rPr>
          <w:lang w:val="en-US"/>
        </w:rPr>
      </w:pPr>
      <w:r w:rsidRPr="00DD1B58">
        <w:rPr>
          <w:b/>
          <w:noProof/>
          <w:szCs w:val="24"/>
          <w:lang w:val="en-US"/>
        </w:rPr>
        <w:t xml:space="preserve">First </w:t>
      </w:r>
      <w:r w:rsidR="008F0AF1" w:rsidRPr="00DD1B58">
        <w:rPr>
          <w:b/>
          <w:noProof/>
          <w:szCs w:val="24"/>
          <w:lang w:val="en-US"/>
        </w:rPr>
        <w:t>g</w:t>
      </w:r>
      <w:r w:rsidRPr="00DD1B58">
        <w:rPr>
          <w:b/>
          <w:noProof/>
          <w:szCs w:val="24"/>
          <w:lang w:val="en-US"/>
        </w:rPr>
        <w:t>eneration AGRs (</w:t>
      </w:r>
      <w:r w:rsidR="00B06DCF" w:rsidRPr="00DD1B58">
        <w:rPr>
          <w:b/>
          <w:noProof/>
          <w:szCs w:val="24"/>
          <w:lang w:val="en-US"/>
        </w:rPr>
        <w:t>HN</w:t>
      </w:r>
      <w:r w:rsidRPr="00DD1B58">
        <w:rPr>
          <w:b/>
          <w:noProof/>
          <w:szCs w:val="24"/>
          <w:lang w:val="en-US"/>
        </w:rPr>
        <w:t>B)</w:t>
      </w:r>
      <w:r w:rsidR="008F0AF1" w:rsidRPr="00DD1B58">
        <w:rPr>
          <w:b/>
          <w:noProof/>
          <w:szCs w:val="24"/>
          <w:lang w:val="en-US"/>
        </w:rPr>
        <w:t>:</w:t>
      </w:r>
      <w:r w:rsidR="00A838C6" w:rsidRPr="00DD1B58">
        <w:rPr>
          <w:b/>
          <w:noProof/>
          <w:szCs w:val="24"/>
          <w:lang w:val="en-US"/>
        </w:rPr>
        <w:t xml:space="preserve"> </w:t>
      </w:r>
      <w:r w:rsidR="008F0AF1" w:rsidRPr="00DD1B58">
        <w:rPr>
          <w:noProof/>
          <w:szCs w:val="24"/>
          <w:lang w:val="en-US"/>
        </w:rPr>
        <w:t>t</w:t>
      </w:r>
      <w:r w:rsidR="00807DDB" w:rsidRPr="00DD1B58">
        <w:rPr>
          <w:noProof/>
          <w:szCs w:val="24"/>
          <w:lang w:val="en-US"/>
        </w:rPr>
        <w:t xml:space="preserve">he design of </w:t>
      </w:r>
      <w:r w:rsidRPr="00DD1B58">
        <w:rPr>
          <w:noProof/>
          <w:szCs w:val="24"/>
          <w:lang w:val="en-US"/>
        </w:rPr>
        <w:t xml:space="preserve">HNB </w:t>
      </w:r>
      <w:r w:rsidR="00807DDB" w:rsidRPr="00DD1B58">
        <w:rPr>
          <w:noProof/>
          <w:szCs w:val="24"/>
          <w:lang w:val="en-US"/>
        </w:rPr>
        <w:t>originally discounted the</w:t>
      </w:r>
      <w:r w:rsidRPr="00DD1B58">
        <w:rPr>
          <w:noProof/>
          <w:szCs w:val="24"/>
          <w:lang w:val="en-US"/>
        </w:rPr>
        <w:t xml:space="preserve"> possibility of a gas circuit lube oil fire on the premise that </w:t>
      </w:r>
      <w:r w:rsidR="00807DDB" w:rsidRPr="00DD1B58">
        <w:rPr>
          <w:noProof/>
          <w:szCs w:val="24"/>
          <w:lang w:val="en-US"/>
        </w:rPr>
        <w:t xml:space="preserve">the </w:t>
      </w:r>
      <w:r w:rsidRPr="00DD1B58">
        <w:rPr>
          <w:noProof/>
          <w:szCs w:val="24"/>
          <w:lang w:val="en-US"/>
        </w:rPr>
        <w:t>lube oil spray would be saturated with CO</w:t>
      </w:r>
      <w:r w:rsidRPr="00DD1B58">
        <w:rPr>
          <w:szCs w:val="24"/>
          <w:vertAlign w:val="subscript"/>
          <w:lang w:val="en-US"/>
        </w:rPr>
        <w:t>2</w:t>
      </w:r>
      <w:r w:rsidRPr="00DD1B58">
        <w:rPr>
          <w:noProof/>
          <w:szCs w:val="24"/>
          <w:lang w:val="en-US"/>
        </w:rPr>
        <w:t xml:space="preserve"> and would self-extinguish. When </w:t>
      </w:r>
      <w:r w:rsidR="00807DDB" w:rsidRPr="00DD1B58">
        <w:rPr>
          <w:noProof/>
          <w:szCs w:val="24"/>
          <w:lang w:val="en-US"/>
        </w:rPr>
        <w:t xml:space="preserve">the </w:t>
      </w:r>
      <w:r w:rsidRPr="00DD1B58">
        <w:rPr>
          <w:noProof/>
          <w:szCs w:val="24"/>
          <w:lang w:val="en-US"/>
        </w:rPr>
        <w:t>assumption was challenged</w:t>
      </w:r>
      <w:r w:rsidR="00807DDB" w:rsidRPr="00DD1B58">
        <w:rPr>
          <w:noProof/>
          <w:szCs w:val="24"/>
          <w:lang w:val="en-US"/>
        </w:rPr>
        <w:t xml:space="preserve">, </w:t>
      </w:r>
      <w:r w:rsidR="00C362CA" w:rsidRPr="00DD1B58">
        <w:rPr>
          <w:noProof/>
          <w:szCs w:val="24"/>
          <w:lang w:val="en-US"/>
        </w:rPr>
        <w:t>EDF NGL</w:t>
      </w:r>
      <w:r w:rsidR="00807DDB" w:rsidRPr="00DD1B58">
        <w:rPr>
          <w:noProof/>
          <w:szCs w:val="24"/>
          <w:lang w:val="en-US"/>
        </w:rPr>
        <w:t xml:space="preserve"> conservatively</w:t>
      </w:r>
      <w:r w:rsidRPr="00DD1B58">
        <w:rPr>
          <w:noProof/>
          <w:szCs w:val="24"/>
          <w:lang w:val="en-US"/>
        </w:rPr>
        <w:t xml:space="preserve"> assume</w:t>
      </w:r>
      <w:r w:rsidR="00807DDB" w:rsidRPr="00DD1B58">
        <w:rPr>
          <w:noProof/>
          <w:szCs w:val="24"/>
          <w:lang w:val="en-US"/>
        </w:rPr>
        <w:t>d</w:t>
      </w:r>
      <w:r w:rsidRPr="00DD1B58">
        <w:rPr>
          <w:noProof/>
          <w:szCs w:val="24"/>
          <w:lang w:val="en-US"/>
        </w:rPr>
        <w:t xml:space="preserve"> that the oil would ignite and burn rather than conduct</w:t>
      </w:r>
      <w:r w:rsidR="008F0AF1" w:rsidRPr="00DD1B58">
        <w:rPr>
          <w:noProof/>
          <w:szCs w:val="24"/>
          <w:lang w:val="en-US"/>
        </w:rPr>
        <w:t>ing</w:t>
      </w:r>
      <w:r w:rsidRPr="00DD1B58">
        <w:rPr>
          <w:noProof/>
          <w:szCs w:val="24"/>
          <w:lang w:val="en-US"/>
        </w:rPr>
        <w:t xml:space="preserve"> tests to address the</w:t>
      </w:r>
      <w:r w:rsidR="5768A4A2" w:rsidRPr="00DD1B58">
        <w:rPr>
          <w:noProof/>
          <w:szCs w:val="24"/>
          <w:lang w:val="en-US"/>
        </w:rPr>
        <w:t xml:space="preserve"> </w:t>
      </w:r>
      <w:r w:rsidRPr="00DD1B58">
        <w:rPr>
          <w:noProof/>
          <w:szCs w:val="24"/>
          <w:lang w:val="en-US"/>
        </w:rPr>
        <w:t>uncertainty directly.</w:t>
      </w:r>
    </w:p>
    <w:p w14:paraId="50C22DBB" w14:textId="77777777" w:rsidR="52485886" w:rsidRPr="00DD1B58" w:rsidRDefault="6AF73D54" w:rsidP="00CD4BFC">
      <w:pPr>
        <w:pStyle w:val="Heading4"/>
        <w:numPr>
          <w:ilvl w:val="4"/>
          <w:numId w:val="3"/>
        </w:numPr>
        <w:rPr>
          <w:lang w:val="en-US"/>
        </w:rPr>
      </w:pPr>
      <w:r w:rsidRPr="00DD1B58">
        <w:rPr>
          <w:lang w:val="en-US"/>
        </w:rPr>
        <w:lastRenderedPageBreak/>
        <w:t>Severity and complexity of potential consequences</w:t>
      </w:r>
    </w:p>
    <w:p w14:paraId="44612E35" w14:textId="6D4B4329" w:rsidR="6AF73D54" w:rsidRPr="00DD1B58" w:rsidRDefault="6AF73D54" w:rsidP="774B19A3">
      <w:pPr>
        <w:rPr>
          <w:lang w:val="en-US"/>
        </w:rPr>
      </w:pPr>
      <w:r w:rsidRPr="00DD1B58">
        <w:rPr>
          <w:b/>
          <w:noProof/>
          <w:szCs w:val="24"/>
          <w:lang w:val="en-US"/>
        </w:rPr>
        <w:t>General</w:t>
      </w:r>
      <w:r w:rsidR="00A838C6" w:rsidRPr="00DD1B58">
        <w:rPr>
          <w:b/>
          <w:noProof/>
          <w:szCs w:val="24"/>
          <w:lang w:val="en-US"/>
        </w:rPr>
        <w:t xml:space="preserve"> </w:t>
      </w:r>
      <w:r w:rsidR="00C33967"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C33967" w:rsidRPr="00DD1B58">
        <w:rPr>
          <w:noProof/>
          <w:szCs w:val="24"/>
          <w:lang w:val="en-US"/>
        </w:rPr>
        <w:t xml:space="preserve"> assigns a QA </w:t>
      </w:r>
      <w:r w:rsidR="008F0AF1" w:rsidRPr="00DD1B58">
        <w:rPr>
          <w:noProof/>
          <w:szCs w:val="24"/>
          <w:lang w:val="en-US"/>
        </w:rPr>
        <w:t>gr</w:t>
      </w:r>
      <w:r w:rsidR="00C33967" w:rsidRPr="00DD1B58">
        <w:rPr>
          <w:noProof/>
          <w:szCs w:val="24"/>
          <w:lang w:val="en-US"/>
        </w:rPr>
        <w:t xml:space="preserve">ade </w:t>
      </w:r>
      <w:r w:rsidRPr="00DD1B58">
        <w:rPr>
          <w:noProof/>
          <w:szCs w:val="24"/>
          <w:lang w:val="en-US"/>
        </w:rPr>
        <w:t>to any fire</w:t>
      </w:r>
      <w:r w:rsidR="00C33967" w:rsidRPr="00DD1B58">
        <w:rPr>
          <w:noProof/>
          <w:szCs w:val="24"/>
          <w:lang w:val="en-US"/>
        </w:rPr>
        <w:t>-related</w:t>
      </w:r>
      <w:r w:rsidRPr="00DD1B58">
        <w:rPr>
          <w:noProof/>
          <w:szCs w:val="24"/>
          <w:lang w:val="en-US"/>
        </w:rPr>
        <w:t xml:space="preserve"> work</w:t>
      </w:r>
      <w:r w:rsidR="00C33967" w:rsidRPr="00DD1B58">
        <w:rPr>
          <w:noProof/>
          <w:szCs w:val="24"/>
          <w:lang w:val="en-US"/>
        </w:rPr>
        <w:t xml:space="preserve"> prior to s</w:t>
      </w:r>
      <w:r w:rsidR="00DA484E" w:rsidRPr="00DD1B58">
        <w:rPr>
          <w:noProof/>
          <w:szCs w:val="24"/>
          <w:lang w:val="en-US"/>
        </w:rPr>
        <w:t>tart, and this</w:t>
      </w:r>
      <w:r w:rsidRPr="00DD1B58">
        <w:rPr>
          <w:noProof/>
          <w:szCs w:val="24"/>
          <w:lang w:val="en-US"/>
        </w:rPr>
        <w:t xml:space="preserve"> is based on </w:t>
      </w:r>
      <w:r w:rsidR="00DA484E" w:rsidRPr="00DD1B58">
        <w:rPr>
          <w:noProof/>
          <w:szCs w:val="24"/>
          <w:lang w:val="en-US"/>
        </w:rPr>
        <w:t xml:space="preserve">the </w:t>
      </w:r>
      <w:r w:rsidRPr="00DD1B58">
        <w:rPr>
          <w:noProof/>
          <w:szCs w:val="24"/>
          <w:lang w:val="en-US"/>
        </w:rPr>
        <w:t>collective SQEP</w:t>
      </w:r>
      <w:r w:rsidR="00710610" w:rsidRPr="00DD1B58">
        <w:rPr>
          <w:rStyle w:val="FootnoteReference"/>
          <w:noProof/>
          <w:szCs w:val="24"/>
          <w:lang w:val="en-US"/>
        </w:rPr>
        <w:footnoteReference w:id="2"/>
      </w:r>
      <w:r w:rsidR="47731F44" w:rsidRPr="00DD1B58">
        <w:rPr>
          <w:noProof/>
          <w:szCs w:val="24"/>
          <w:lang w:val="en-US"/>
        </w:rPr>
        <w:t xml:space="preserve"> </w:t>
      </w:r>
      <w:r w:rsidRPr="00DD1B58">
        <w:rPr>
          <w:noProof/>
          <w:szCs w:val="24"/>
          <w:lang w:val="en-US"/>
        </w:rPr>
        <w:t>understanding of the potential for fire to affect nuclear safety. The level of rigour applied to the</w:t>
      </w:r>
      <w:r w:rsidR="3BD2B579" w:rsidRPr="00DD1B58">
        <w:rPr>
          <w:noProof/>
          <w:szCs w:val="24"/>
          <w:lang w:val="en-US"/>
        </w:rPr>
        <w:t xml:space="preserve"> </w:t>
      </w:r>
      <w:r w:rsidRPr="00DD1B58">
        <w:rPr>
          <w:noProof/>
          <w:szCs w:val="24"/>
          <w:lang w:val="en-US"/>
        </w:rPr>
        <w:t>work is formally recorded in the task file.</w:t>
      </w:r>
    </w:p>
    <w:p w14:paraId="5F3687D6" w14:textId="4BA5C479" w:rsidR="6AF73D54" w:rsidRPr="00DD1B58" w:rsidRDefault="00CF31EB" w:rsidP="774B19A3">
      <w:pPr>
        <w:rPr>
          <w:lang w:val="en-US"/>
        </w:rPr>
      </w:pPr>
      <w:r w:rsidRPr="00DD1B58">
        <w:rPr>
          <w:noProof/>
          <w:szCs w:val="24"/>
          <w:lang w:val="en-US"/>
        </w:rPr>
        <w:t>The</w:t>
      </w:r>
      <w:r w:rsidR="6AF73D54" w:rsidRPr="00DD1B58">
        <w:rPr>
          <w:noProof/>
          <w:szCs w:val="24"/>
          <w:lang w:val="en-US"/>
        </w:rPr>
        <w:t xml:space="preserve"> fit</w:t>
      </w:r>
      <w:r w:rsidR="00355FE2" w:rsidRPr="00DD1B58">
        <w:rPr>
          <w:noProof/>
          <w:szCs w:val="24"/>
          <w:lang w:val="en-US"/>
        </w:rPr>
        <w:t>-</w:t>
      </w:r>
      <w:r w:rsidR="6AF73D54" w:rsidRPr="00DD1B58">
        <w:rPr>
          <w:noProof/>
          <w:szCs w:val="24"/>
          <w:lang w:val="en-US"/>
        </w:rPr>
        <w:t>for</w:t>
      </w:r>
      <w:r w:rsidR="00355FE2" w:rsidRPr="00DD1B58">
        <w:rPr>
          <w:noProof/>
          <w:szCs w:val="24"/>
          <w:lang w:val="en-US"/>
        </w:rPr>
        <w:t>-</w:t>
      </w:r>
      <w:r w:rsidR="6AF73D54" w:rsidRPr="00DD1B58">
        <w:rPr>
          <w:noProof/>
          <w:szCs w:val="24"/>
          <w:lang w:val="en-US"/>
        </w:rPr>
        <w:t>purpose</w:t>
      </w:r>
      <w:r w:rsidRPr="00DD1B58">
        <w:rPr>
          <w:noProof/>
          <w:szCs w:val="24"/>
          <w:lang w:val="en-US"/>
        </w:rPr>
        <w:t xml:space="preserve"> analysis</w:t>
      </w:r>
      <w:r w:rsidR="6AF73D54" w:rsidRPr="00DD1B58">
        <w:rPr>
          <w:noProof/>
          <w:szCs w:val="24"/>
          <w:lang w:val="en-US"/>
        </w:rPr>
        <w:t xml:space="preserve"> can involve a walkdown of the plant</w:t>
      </w:r>
      <w:r w:rsidR="008F0AF1" w:rsidRPr="00DD1B58">
        <w:rPr>
          <w:noProof/>
          <w:szCs w:val="24"/>
          <w:lang w:val="en-US"/>
        </w:rPr>
        <w:t xml:space="preserve"> and a</w:t>
      </w:r>
      <w:r w:rsidR="6AF73D54" w:rsidRPr="00DD1B58">
        <w:rPr>
          <w:noProof/>
          <w:szCs w:val="24"/>
          <w:lang w:val="en-US"/>
        </w:rPr>
        <w:t xml:space="preserve"> review of fire</w:t>
      </w:r>
      <w:r w:rsidR="3197FFEB" w:rsidRPr="00DD1B58">
        <w:rPr>
          <w:noProof/>
          <w:szCs w:val="24"/>
          <w:lang w:val="en-US"/>
        </w:rPr>
        <w:t xml:space="preserve"> </w:t>
      </w:r>
      <w:r w:rsidR="00E17CD0" w:rsidRPr="00DD1B58">
        <w:rPr>
          <w:lang w:val="en-US"/>
        </w:rPr>
        <w:t>Operational Experience (</w:t>
      </w:r>
      <w:r w:rsidR="6AF73D54" w:rsidRPr="00DD1B58">
        <w:rPr>
          <w:noProof/>
          <w:szCs w:val="24"/>
          <w:lang w:val="en-US"/>
        </w:rPr>
        <w:t>OPEX</w:t>
      </w:r>
      <w:r w:rsidR="00E17CD0" w:rsidRPr="00DD1B58">
        <w:rPr>
          <w:noProof/>
          <w:szCs w:val="24"/>
          <w:lang w:val="en-US"/>
        </w:rPr>
        <w:t>)</w:t>
      </w:r>
      <w:r w:rsidR="6AF73D54" w:rsidRPr="00DD1B58">
        <w:rPr>
          <w:noProof/>
          <w:szCs w:val="24"/>
          <w:lang w:val="en-US"/>
        </w:rPr>
        <w:t xml:space="preserve"> as well as a review of the available methods and capabilities. Frequently</w:t>
      </w:r>
      <w:r w:rsidR="003C109A" w:rsidRPr="00DD1B58">
        <w:rPr>
          <w:noProof/>
          <w:szCs w:val="24"/>
          <w:lang w:val="en-US"/>
        </w:rPr>
        <w:t xml:space="preserve">, </w:t>
      </w:r>
      <w:r w:rsidR="00C362CA" w:rsidRPr="00DD1B58">
        <w:rPr>
          <w:noProof/>
          <w:szCs w:val="24"/>
          <w:lang w:val="en-US"/>
        </w:rPr>
        <w:t>EDF NGL</w:t>
      </w:r>
      <w:r w:rsidR="003C109A" w:rsidRPr="00DD1B58">
        <w:rPr>
          <w:noProof/>
          <w:szCs w:val="24"/>
          <w:lang w:val="en-US"/>
        </w:rPr>
        <w:t xml:space="preserve"> calls for</w:t>
      </w:r>
      <w:r w:rsidR="6AF73D54" w:rsidRPr="00DD1B58">
        <w:rPr>
          <w:noProof/>
          <w:szCs w:val="24"/>
          <w:lang w:val="en-US"/>
        </w:rPr>
        <w:t xml:space="preserve"> advice </w:t>
      </w:r>
      <w:r w:rsidR="003C109A" w:rsidRPr="00DD1B58">
        <w:rPr>
          <w:noProof/>
          <w:szCs w:val="24"/>
          <w:lang w:val="en-US"/>
        </w:rPr>
        <w:t>and support</w:t>
      </w:r>
      <w:r w:rsidR="6AF73D54" w:rsidRPr="00DD1B58">
        <w:rPr>
          <w:noProof/>
          <w:szCs w:val="24"/>
          <w:lang w:val="en-US"/>
        </w:rPr>
        <w:t xml:space="preserve"> by</w:t>
      </w:r>
      <w:r w:rsidR="24AD79CD" w:rsidRPr="00DD1B58">
        <w:rPr>
          <w:noProof/>
          <w:szCs w:val="24"/>
          <w:lang w:val="en-US"/>
        </w:rPr>
        <w:t xml:space="preserve"> </w:t>
      </w:r>
      <w:r w:rsidR="6AF73D54" w:rsidRPr="00DD1B58">
        <w:rPr>
          <w:noProof/>
          <w:szCs w:val="24"/>
          <w:lang w:val="en-US"/>
        </w:rPr>
        <w:t xml:space="preserve">expert </w:t>
      </w:r>
      <w:r w:rsidR="008F0AF1" w:rsidRPr="00DD1B58">
        <w:rPr>
          <w:noProof/>
          <w:szCs w:val="24"/>
          <w:lang w:val="en-US"/>
        </w:rPr>
        <w:t xml:space="preserve">third </w:t>
      </w:r>
      <w:r w:rsidR="6AF73D54" w:rsidRPr="00DD1B58">
        <w:rPr>
          <w:noProof/>
          <w:szCs w:val="24"/>
          <w:lang w:val="en-US"/>
        </w:rPr>
        <w:t>parties such as specialist fire engineers. In addition</w:t>
      </w:r>
      <w:r w:rsidR="008F0AF1" w:rsidRPr="00DD1B58">
        <w:rPr>
          <w:noProof/>
          <w:szCs w:val="24"/>
          <w:lang w:val="en-US"/>
        </w:rPr>
        <w:t>,</w:t>
      </w:r>
      <w:r w:rsidR="6AF73D54" w:rsidRPr="00DD1B58">
        <w:rPr>
          <w:noProof/>
          <w:szCs w:val="24"/>
          <w:lang w:val="en-US"/>
        </w:rPr>
        <w:t xml:space="preserve"> </w:t>
      </w:r>
      <w:r w:rsidR="00C362CA" w:rsidRPr="00DD1B58">
        <w:rPr>
          <w:noProof/>
          <w:szCs w:val="24"/>
          <w:lang w:val="en-US"/>
        </w:rPr>
        <w:t>EDF NGL</w:t>
      </w:r>
      <w:r w:rsidR="003C109A" w:rsidRPr="00DD1B58">
        <w:rPr>
          <w:noProof/>
          <w:szCs w:val="24"/>
          <w:lang w:val="en-US"/>
        </w:rPr>
        <w:t xml:space="preserve"> calls upon specialist </w:t>
      </w:r>
      <w:r w:rsidR="6AF73D54" w:rsidRPr="00DD1B58">
        <w:rPr>
          <w:noProof/>
          <w:szCs w:val="24"/>
          <w:lang w:val="en-US"/>
        </w:rPr>
        <w:t xml:space="preserve">UK </w:t>
      </w:r>
      <w:r w:rsidR="003C109A" w:rsidRPr="00DD1B58">
        <w:rPr>
          <w:noProof/>
          <w:szCs w:val="24"/>
          <w:lang w:val="en-US"/>
        </w:rPr>
        <w:t>Government research provision</w:t>
      </w:r>
      <w:r w:rsidR="6AF73D54" w:rsidRPr="00DD1B58">
        <w:rPr>
          <w:noProof/>
          <w:szCs w:val="24"/>
          <w:lang w:val="en-US"/>
        </w:rPr>
        <w:t xml:space="preserve"> such as </w:t>
      </w:r>
      <w:r w:rsidR="003C109A" w:rsidRPr="00DD1B58">
        <w:rPr>
          <w:noProof/>
          <w:szCs w:val="24"/>
          <w:lang w:val="en-US"/>
        </w:rPr>
        <w:t>the HSE Science Division</w:t>
      </w:r>
      <w:r w:rsidR="6AF73D54" w:rsidRPr="00DD1B58">
        <w:rPr>
          <w:noProof/>
          <w:szCs w:val="24"/>
          <w:lang w:val="en-US"/>
        </w:rPr>
        <w:t xml:space="preserve"> </w:t>
      </w:r>
      <w:r w:rsidR="003C109A" w:rsidRPr="00DD1B58">
        <w:rPr>
          <w:noProof/>
          <w:szCs w:val="24"/>
          <w:lang w:val="en-US"/>
        </w:rPr>
        <w:t xml:space="preserve">(formerly known as the </w:t>
      </w:r>
      <w:r w:rsidR="6AF73D54" w:rsidRPr="00DD1B58">
        <w:rPr>
          <w:noProof/>
          <w:szCs w:val="24"/>
          <w:lang w:val="en-US"/>
        </w:rPr>
        <w:t>Health and Safety Laborator</w:t>
      </w:r>
      <w:r w:rsidR="003C109A" w:rsidRPr="00DD1B58">
        <w:rPr>
          <w:noProof/>
          <w:szCs w:val="24"/>
          <w:lang w:val="en-US"/>
        </w:rPr>
        <w:t xml:space="preserve">y) </w:t>
      </w:r>
      <w:r w:rsidR="6AF73D54" w:rsidRPr="00DD1B58">
        <w:rPr>
          <w:noProof/>
          <w:szCs w:val="24"/>
          <w:lang w:val="en-US"/>
        </w:rPr>
        <w:t xml:space="preserve">and the UK Building Research Establishment </w:t>
      </w:r>
      <w:r w:rsidR="003C109A" w:rsidRPr="00DD1B58">
        <w:rPr>
          <w:noProof/>
          <w:szCs w:val="24"/>
          <w:lang w:val="en-US"/>
        </w:rPr>
        <w:t>(BRE)</w:t>
      </w:r>
      <w:r w:rsidR="6AF73D54" w:rsidRPr="00DD1B58">
        <w:rPr>
          <w:noProof/>
          <w:szCs w:val="24"/>
          <w:lang w:val="en-US"/>
        </w:rPr>
        <w:t xml:space="preserve"> to conduct analysis and test work on </w:t>
      </w:r>
      <w:r w:rsidR="003C109A" w:rsidRPr="00DD1B58">
        <w:rPr>
          <w:noProof/>
          <w:szCs w:val="24"/>
          <w:lang w:val="en-US"/>
        </w:rPr>
        <w:t xml:space="preserve">its </w:t>
      </w:r>
      <w:r w:rsidR="6AF73D54" w:rsidRPr="00DD1B58">
        <w:rPr>
          <w:noProof/>
          <w:szCs w:val="24"/>
          <w:lang w:val="en-US"/>
        </w:rPr>
        <w:t>behalf.</w:t>
      </w:r>
    </w:p>
    <w:p w14:paraId="6297DAE0" w14:textId="25920B19" w:rsidR="164F56DE" w:rsidRPr="00DD1B58" w:rsidRDefault="00C362CA" w:rsidP="774B19A3">
      <w:pPr>
        <w:rPr>
          <w:lang w:val="en-US"/>
        </w:rPr>
      </w:pPr>
      <w:r w:rsidRPr="00DD1B58">
        <w:rPr>
          <w:noProof/>
          <w:szCs w:val="24"/>
          <w:lang w:val="en-US"/>
        </w:rPr>
        <w:t>EDF NGL</w:t>
      </w:r>
      <w:r w:rsidR="003C109A" w:rsidRPr="00DD1B58">
        <w:rPr>
          <w:noProof/>
          <w:szCs w:val="24"/>
          <w:lang w:val="en-US"/>
        </w:rPr>
        <w:t xml:space="preserve">’s </w:t>
      </w:r>
      <w:r w:rsidR="6AF73D54" w:rsidRPr="00DD1B58">
        <w:rPr>
          <w:noProof/>
          <w:szCs w:val="24"/>
          <w:lang w:val="en-US"/>
        </w:rPr>
        <w:t>fire SQEP</w:t>
      </w:r>
      <w:r w:rsidR="008F0AF1" w:rsidRPr="00DD1B58">
        <w:rPr>
          <w:noProof/>
          <w:szCs w:val="24"/>
          <w:lang w:val="en-US"/>
        </w:rPr>
        <w:t>s</w:t>
      </w:r>
      <w:r w:rsidR="6AF73D54" w:rsidRPr="00DD1B58">
        <w:rPr>
          <w:noProof/>
          <w:szCs w:val="24"/>
          <w:lang w:val="en-US"/>
        </w:rPr>
        <w:t xml:space="preserve"> are required to understand the needs for fire control, containment and cooling,</w:t>
      </w:r>
      <w:r w:rsidR="7EE10E91" w:rsidRPr="00DD1B58">
        <w:rPr>
          <w:noProof/>
          <w:szCs w:val="24"/>
          <w:lang w:val="en-US"/>
        </w:rPr>
        <w:t xml:space="preserve"> </w:t>
      </w:r>
      <w:r w:rsidR="6AF73D54" w:rsidRPr="00DD1B58">
        <w:rPr>
          <w:noProof/>
          <w:szCs w:val="24"/>
          <w:lang w:val="en-US"/>
        </w:rPr>
        <w:t>as well as the plant required for trip, shutdown and post-trip cooling. Working in partnership with</w:t>
      </w:r>
      <w:r w:rsidR="193E3726" w:rsidRPr="00DD1B58">
        <w:rPr>
          <w:noProof/>
          <w:szCs w:val="24"/>
          <w:lang w:val="en-US"/>
        </w:rPr>
        <w:t xml:space="preserve"> </w:t>
      </w:r>
      <w:r w:rsidR="003C109A" w:rsidRPr="00DD1B58">
        <w:rPr>
          <w:noProof/>
          <w:szCs w:val="24"/>
          <w:lang w:val="en-US"/>
        </w:rPr>
        <w:t>the DA</w:t>
      </w:r>
      <w:r w:rsidR="6AF73D54" w:rsidRPr="00DD1B58">
        <w:rPr>
          <w:noProof/>
          <w:szCs w:val="24"/>
          <w:lang w:val="en-US"/>
        </w:rPr>
        <w:t xml:space="preserve">, the immediate direct consequences of a fire are </w:t>
      </w:r>
      <w:r w:rsidR="008310FB" w:rsidRPr="00DD1B58">
        <w:rPr>
          <w:noProof/>
          <w:szCs w:val="24"/>
          <w:lang w:val="en-US"/>
        </w:rPr>
        <w:t>est</w:t>
      </w:r>
      <w:r w:rsidR="008F0AF1" w:rsidRPr="00DD1B58">
        <w:rPr>
          <w:noProof/>
          <w:szCs w:val="24"/>
          <w:lang w:val="en-US"/>
        </w:rPr>
        <w:t>i</w:t>
      </w:r>
      <w:r w:rsidR="008310FB" w:rsidRPr="00DD1B58">
        <w:rPr>
          <w:noProof/>
          <w:szCs w:val="24"/>
          <w:lang w:val="en-US"/>
        </w:rPr>
        <w:t>mated</w:t>
      </w:r>
      <w:r w:rsidR="6AF73D54" w:rsidRPr="00DD1B58">
        <w:rPr>
          <w:noProof/>
          <w:szCs w:val="24"/>
          <w:lang w:val="en-US"/>
        </w:rPr>
        <w:t>, and the potential impact on</w:t>
      </w:r>
      <w:r w:rsidR="5DAB9CF2" w:rsidRPr="00DD1B58">
        <w:rPr>
          <w:noProof/>
          <w:szCs w:val="24"/>
          <w:lang w:val="en-US"/>
        </w:rPr>
        <w:t xml:space="preserve"> </w:t>
      </w:r>
      <w:r w:rsidR="6AF73D54" w:rsidRPr="00DD1B58">
        <w:rPr>
          <w:noProof/>
          <w:szCs w:val="24"/>
          <w:lang w:val="en-US"/>
        </w:rPr>
        <w:t xml:space="preserve">nuclear safety margins </w:t>
      </w:r>
      <w:r w:rsidR="008310FB" w:rsidRPr="00DD1B58">
        <w:rPr>
          <w:noProof/>
          <w:szCs w:val="24"/>
          <w:lang w:val="en-US"/>
        </w:rPr>
        <w:t>is</w:t>
      </w:r>
      <w:r w:rsidR="6AF73D54" w:rsidRPr="00DD1B58">
        <w:rPr>
          <w:noProof/>
          <w:szCs w:val="24"/>
          <w:lang w:val="en-US"/>
        </w:rPr>
        <w:t xml:space="preserve"> determined.</w:t>
      </w:r>
      <w:r w:rsidR="008310FB" w:rsidRPr="00DD1B58">
        <w:rPr>
          <w:noProof/>
          <w:szCs w:val="24"/>
          <w:lang w:val="en-US"/>
        </w:rPr>
        <w:t xml:space="preserve"> </w:t>
      </w:r>
      <w:r w:rsidR="164F56DE" w:rsidRPr="00DD1B58">
        <w:rPr>
          <w:noProof/>
          <w:szCs w:val="24"/>
          <w:lang w:val="en-US"/>
        </w:rPr>
        <w:t>In general</w:t>
      </w:r>
      <w:r w:rsidR="008310FB" w:rsidRPr="00DD1B58">
        <w:rPr>
          <w:noProof/>
          <w:szCs w:val="24"/>
          <w:lang w:val="en-US"/>
        </w:rPr>
        <w:t>,</w:t>
      </w:r>
      <w:r w:rsidR="164F56DE" w:rsidRPr="00DD1B58">
        <w:rPr>
          <w:noProof/>
          <w:szCs w:val="24"/>
          <w:lang w:val="en-US"/>
        </w:rPr>
        <w:t xml:space="preserve"> the </w:t>
      </w:r>
      <w:r w:rsidR="164F56DE" w:rsidRPr="00DD1B58">
        <w:rPr>
          <w:szCs w:val="24"/>
          <w:lang w:val="en-US"/>
        </w:rPr>
        <w:t xml:space="preserve">fire severity </w:t>
      </w:r>
      <w:r w:rsidR="002F374E" w:rsidRPr="00DD1B58">
        <w:rPr>
          <w:noProof/>
          <w:szCs w:val="24"/>
          <w:lang w:val="en-US"/>
        </w:rPr>
        <w:t>is assessed</w:t>
      </w:r>
      <w:r w:rsidR="164F56DE" w:rsidRPr="00DD1B58">
        <w:rPr>
          <w:szCs w:val="24"/>
          <w:lang w:val="en-US"/>
        </w:rPr>
        <w:t xml:space="preserve"> as </w:t>
      </w:r>
      <w:r w:rsidR="002F374E" w:rsidRPr="00DD1B58">
        <w:rPr>
          <w:noProof/>
          <w:szCs w:val="24"/>
          <w:lang w:val="en-US"/>
        </w:rPr>
        <w:t xml:space="preserve">described in Section </w:t>
      </w:r>
      <w:r w:rsidR="00FA6790" w:rsidRPr="00DD1B58">
        <w:rPr>
          <w:noProof/>
          <w:szCs w:val="24"/>
          <w:lang w:val="en-US"/>
        </w:rPr>
        <w:t xml:space="preserve">I-2.1.1.5. </w:t>
      </w:r>
      <w:r w:rsidRPr="00DD1B58">
        <w:rPr>
          <w:noProof/>
          <w:szCs w:val="24"/>
          <w:lang w:val="en-US"/>
        </w:rPr>
        <w:t>EDF NGL</w:t>
      </w:r>
      <w:r w:rsidR="008310FB" w:rsidRPr="00DD1B58">
        <w:rPr>
          <w:noProof/>
          <w:szCs w:val="24"/>
          <w:lang w:val="en-US"/>
        </w:rPr>
        <w:t xml:space="preserve"> has rarely accessed </w:t>
      </w:r>
      <w:r w:rsidR="164F56DE" w:rsidRPr="00DD1B58">
        <w:rPr>
          <w:lang w:val="en-US"/>
        </w:rPr>
        <w:t>CFD due to cost</w:t>
      </w:r>
      <w:r w:rsidR="008310FB" w:rsidRPr="00DD1B58">
        <w:rPr>
          <w:lang w:val="en-US"/>
        </w:rPr>
        <w:t>,</w:t>
      </w:r>
      <w:r w:rsidR="164F56DE" w:rsidRPr="00DD1B58">
        <w:rPr>
          <w:lang w:val="en-US"/>
        </w:rPr>
        <w:t xml:space="preserve"> complexity </w:t>
      </w:r>
      <w:r w:rsidR="008310FB" w:rsidRPr="00DD1B58">
        <w:rPr>
          <w:lang w:val="en-US"/>
        </w:rPr>
        <w:t>and</w:t>
      </w:r>
      <w:r w:rsidR="164F56DE" w:rsidRPr="00DD1B58">
        <w:rPr>
          <w:lang w:val="en-US"/>
        </w:rPr>
        <w:t xml:space="preserve"> lack of incremental benefit over </w:t>
      </w:r>
      <w:r w:rsidR="006633A7" w:rsidRPr="00DD1B58">
        <w:rPr>
          <w:lang w:val="en-US"/>
        </w:rPr>
        <w:t>zone modelling</w:t>
      </w:r>
      <w:r w:rsidR="00BA7264" w:rsidRPr="00DD1B58">
        <w:rPr>
          <w:lang w:val="en-US"/>
        </w:rPr>
        <w:t xml:space="preserve">. </w:t>
      </w:r>
      <w:r w:rsidR="164F56DE" w:rsidRPr="00DD1B58">
        <w:rPr>
          <w:noProof/>
          <w:szCs w:val="24"/>
          <w:lang w:val="en-US"/>
        </w:rPr>
        <w:t>However, note has been taken of the European fire modelling project PRISME</w:t>
      </w:r>
      <w:r w:rsidR="00076654" w:rsidRPr="00DD1B58">
        <w:rPr>
          <w:noProof/>
          <w:szCs w:val="24"/>
          <w:lang w:val="en-US"/>
        </w:rPr>
        <w:t xml:space="preserve">, </w:t>
      </w:r>
      <w:r w:rsidR="164F56DE" w:rsidRPr="00DD1B58">
        <w:rPr>
          <w:noProof/>
          <w:szCs w:val="24"/>
          <w:lang w:val="en-US"/>
        </w:rPr>
        <w:t>which is validating CFD fire modelling approaches</w:t>
      </w:r>
      <w:r w:rsidR="00841C0C" w:rsidRPr="00DD1B58">
        <w:rPr>
          <w:noProof/>
          <w:szCs w:val="24"/>
          <w:lang w:val="en-US"/>
        </w:rPr>
        <w:t xml:space="preserve">. The UK has contributed to PRISME through </w:t>
      </w:r>
      <w:r w:rsidR="164F56DE" w:rsidRPr="00DD1B58">
        <w:rPr>
          <w:noProof/>
          <w:szCs w:val="24"/>
          <w:lang w:val="en-US"/>
        </w:rPr>
        <w:t xml:space="preserve">ONR </w:t>
      </w:r>
      <w:r w:rsidR="008F0AF1" w:rsidRPr="00DD1B58">
        <w:rPr>
          <w:noProof/>
          <w:szCs w:val="24"/>
          <w:lang w:val="en-US"/>
        </w:rPr>
        <w:t>r</w:t>
      </w:r>
      <w:r w:rsidR="00076654" w:rsidRPr="00DD1B58">
        <w:rPr>
          <w:noProof/>
          <w:szCs w:val="24"/>
          <w:lang w:val="en-US"/>
        </w:rPr>
        <w:t xml:space="preserve">esearch </w:t>
      </w:r>
      <w:r w:rsidR="00841C0C" w:rsidRPr="00DD1B58">
        <w:rPr>
          <w:noProof/>
          <w:szCs w:val="24"/>
          <w:lang w:val="en-US"/>
        </w:rPr>
        <w:t xml:space="preserve">funding </w:t>
      </w:r>
      <w:r w:rsidR="00076654" w:rsidRPr="00DD1B58">
        <w:rPr>
          <w:noProof/>
          <w:szCs w:val="24"/>
          <w:lang w:val="en-US"/>
        </w:rPr>
        <w:t xml:space="preserve">levied from GB licensees and </w:t>
      </w:r>
      <w:r w:rsidR="00841C0C" w:rsidRPr="00DD1B58">
        <w:rPr>
          <w:noProof/>
          <w:szCs w:val="24"/>
          <w:lang w:val="en-US"/>
        </w:rPr>
        <w:t xml:space="preserve">analytical work </w:t>
      </w:r>
      <w:r w:rsidR="00076654" w:rsidRPr="00DD1B58">
        <w:rPr>
          <w:noProof/>
          <w:szCs w:val="24"/>
          <w:lang w:val="en-US"/>
        </w:rPr>
        <w:t xml:space="preserve">supported by </w:t>
      </w:r>
      <w:r w:rsidR="00841C0C" w:rsidRPr="00DD1B58">
        <w:rPr>
          <w:noProof/>
          <w:szCs w:val="24"/>
          <w:lang w:val="en-US"/>
        </w:rPr>
        <w:t>GB licensees and</w:t>
      </w:r>
      <w:r w:rsidR="00DF72BE" w:rsidRPr="00DD1B58">
        <w:rPr>
          <w:noProof/>
          <w:szCs w:val="24"/>
          <w:lang w:val="en-US"/>
        </w:rPr>
        <w:t xml:space="preserve"> UK engineering consultancies</w:t>
      </w:r>
      <w:r w:rsidR="164F56DE" w:rsidRPr="00DD1B58">
        <w:rPr>
          <w:noProof/>
          <w:szCs w:val="24"/>
          <w:lang w:val="en-US"/>
        </w:rPr>
        <w:t xml:space="preserve">. </w:t>
      </w:r>
      <w:r w:rsidR="00DF72BE" w:rsidRPr="00DD1B58">
        <w:rPr>
          <w:noProof/>
          <w:szCs w:val="24"/>
          <w:lang w:val="en-US"/>
        </w:rPr>
        <w:t>It should be noted that a</w:t>
      </w:r>
      <w:r w:rsidR="164F56DE" w:rsidRPr="00DD1B58">
        <w:rPr>
          <w:noProof/>
          <w:szCs w:val="24"/>
          <w:lang w:val="en-US"/>
        </w:rPr>
        <w:t xml:space="preserve"> pilot study is being carried out at HY2 </w:t>
      </w:r>
      <w:r w:rsidR="00DB0535" w:rsidRPr="00DD1B58">
        <w:rPr>
          <w:noProof/>
          <w:szCs w:val="24"/>
          <w:lang w:val="en-US"/>
        </w:rPr>
        <w:t>using learning from PRISME to test and</w:t>
      </w:r>
      <w:r w:rsidR="164F56DE" w:rsidRPr="00DD1B58">
        <w:rPr>
          <w:noProof/>
          <w:szCs w:val="24"/>
          <w:lang w:val="en-US"/>
        </w:rPr>
        <w:t xml:space="preserve"> provide a real</w:t>
      </w:r>
      <w:r w:rsidR="008F0AF1" w:rsidRPr="00DD1B58">
        <w:rPr>
          <w:noProof/>
          <w:szCs w:val="24"/>
          <w:lang w:val="en-US"/>
        </w:rPr>
        <w:t>-</w:t>
      </w:r>
      <w:r w:rsidR="164F56DE" w:rsidRPr="00DD1B58">
        <w:rPr>
          <w:noProof/>
          <w:szCs w:val="24"/>
          <w:lang w:val="en-US"/>
        </w:rPr>
        <w:t xml:space="preserve">world comparison in the application of </w:t>
      </w:r>
      <w:r w:rsidR="006633A7" w:rsidRPr="00DD1B58">
        <w:rPr>
          <w:noProof/>
          <w:szCs w:val="24"/>
          <w:lang w:val="en-US"/>
        </w:rPr>
        <w:t xml:space="preserve">zone modelling </w:t>
      </w:r>
      <w:r w:rsidR="164F56DE" w:rsidRPr="00DD1B58">
        <w:rPr>
          <w:noProof/>
          <w:szCs w:val="24"/>
          <w:lang w:val="en-US"/>
        </w:rPr>
        <w:t>and CFD – both in terms of time</w:t>
      </w:r>
      <w:r w:rsidR="008F0AF1" w:rsidRPr="00DD1B58">
        <w:rPr>
          <w:noProof/>
          <w:szCs w:val="24"/>
          <w:lang w:val="en-US"/>
        </w:rPr>
        <w:t>,</w:t>
      </w:r>
      <w:r w:rsidR="164F56DE" w:rsidRPr="00DD1B58">
        <w:rPr>
          <w:noProof/>
          <w:szCs w:val="24"/>
          <w:lang w:val="en-US"/>
        </w:rPr>
        <w:t xml:space="preserve"> trouble</w:t>
      </w:r>
      <w:r w:rsidR="008F0AF1" w:rsidRPr="00DD1B58">
        <w:rPr>
          <w:noProof/>
          <w:szCs w:val="24"/>
          <w:lang w:val="en-US"/>
        </w:rPr>
        <w:t xml:space="preserve"> and</w:t>
      </w:r>
      <w:r w:rsidR="164F56DE" w:rsidRPr="00DD1B58">
        <w:rPr>
          <w:noProof/>
          <w:szCs w:val="24"/>
          <w:lang w:val="en-US"/>
        </w:rPr>
        <w:t xml:space="preserve"> effort</w:t>
      </w:r>
      <w:r w:rsidR="008F0AF1" w:rsidRPr="00DD1B58">
        <w:rPr>
          <w:noProof/>
          <w:szCs w:val="24"/>
          <w:lang w:val="en-US"/>
        </w:rPr>
        <w:t>,</w:t>
      </w:r>
      <w:r w:rsidR="164F56DE" w:rsidRPr="00DD1B58">
        <w:rPr>
          <w:noProof/>
          <w:szCs w:val="24"/>
          <w:lang w:val="en-US"/>
        </w:rPr>
        <w:t xml:space="preserve"> and also in the accuracy</w:t>
      </w:r>
      <w:r w:rsidR="008F0AF1" w:rsidRPr="00DD1B58">
        <w:rPr>
          <w:noProof/>
          <w:szCs w:val="24"/>
          <w:lang w:val="en-US"/>
        </w:rPr>
        <w:t xml:space="preserve"> and</w:t>
      </w:r>
      <w:r w:rsidR="164F56DE" w:rsidRPr="00DD1B58">
        <w:rPr>
          <w:noProof/>
          <w:szCs w:val="24"/>
          <w:lang w:val="en-US"/>
        </w:rPr>
        <w:t xml:space="preserve"> credibility of the predicted fire conditions.</w:t>
      </w:r>
    </w:p>
    <w:p w14:paraId="76B4B351" w14:textId="79B3D29D" w:rsidR="164F56DE" w:rsidRPr="00DD1B58" w:rsidRDefault="164F56DE" w:rsidP="774B19A3">
      <w:pPr>
        <w:rPr>
          <w:lang w:val="en-US"/>
        </w:rPr>
      </w:pPr>
      <w:r w:rsidRPr="00DD1B58">
        <w:rPr>
          <w:b/>
          <w:noProof/>
          <w:szCs w:val="24"/>
          <w:lang w:val="en-US"/>
        </w:rPr>
        <w:t xml:space="preserve">First </w:t>
      </w:r>
      <w:r w:rsidR="008F0AF1" w:rsidRPr="00DD1B58">
        <w:rPr>
          <w:b/>
          <w:noProof/>
          <w:szCs w:val="24"/>
          <w:lang w:val="en-US"/>
        </w:rPr>
        <w:t xml:space="preserve">generation </w:t>
      </w:r>
      <w:r w:rsidRPr="00DD1B58">
        <w:rPr>
          <w:b/>
          <w:noProof/>
          <w:szCs w:val="24"/>
          <w:lang w:val="en-US"/>
        </w:rPr>
        <w:t>AGRs (</w:t>
      </w:r>
      <w:r w:rsidR="00C33967" w:rsidRPr="00DD1B58">
        <w:rPr>
          <w:b/>
          <w:noProof/>
          <w:szCs w:val="24"/>
          <w:lang w:val="en-US"/>
        </w:rPr>
        <w:t>HN</w:t>
      </w:r>
      <w:r w:rsidRPr="00DD1B58">
        <w:rPr>
          <w:b/>
          <w:noProof/>
          <w:szCs w:val="24"/>
          <w:lang w:val="en-US"/>
        </w:rPr>
        <w:t>B)</w:t>
      </w:r>
      <w:r w:rsidR="008F0AF1"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C525D4" w:rsidRPr="00DD1B58">
        <w:rPr>
          <w:noProof/>
          <w:szCs w:val="24"/>
          <w:lang w:val="en-US"/>
        </w:rPr>
        <w:t xml:space="preserve"> identif</w:t>
      </w:r>
      <w:r w:rsidR="00B27F7A" w:rsidRPr="00DD1B58">
        <w:rPr>
          <w:noProof/>
          <w:szCs w:val="24"/>
          <w:lang w:val="en-US"/>
        </w:rPr>
        <w:t>i</w:t>
      </w:r>
      <w:r w:rsidR="00C525D4" w:rsidRPr="00DD1B58">
        <w:rPr>
          <w:noProof/>
          <w:szCs w:val="24"/>
          <w:lang w:val="en-US"/>
        </w:rPr>
        <w:t>ed</w:t>
      </w:r>
      <w:r w:rsidRPr="00DD1B58">
        <w:rPr>
          <w:noProof/>
          <w:szCs w:val="24"/>
          <w:lang w:val="en-US"/>
        </w:rPr>
        <w:t xml:space="preserve"> </w:t>
      </w:r>
      <w:r w:rsidRPr="00DD1B58">
        <w:rPr>
          <w:szCs w:val="24"/>
          <w:lang w:val="en-US"/>
        </w:rPr>
        <w:t xml:space="preserve">HNB critical areas </w:t>
      </w:r>
      <w:r w:rsidR="00C525D4" w:rsidRPr="00DD1B58">
        <w:rPr>
          <w:noProof/>
          <w:szCs w:val="24"/>
          <w:lang w:val="en-US"/>
        </w:rPr>
        <w:t>and generated t</w:t>
      </w:r>
      <w:r w:rsidRPr="00DD1B58">
        <w:rPr>
          <w:noProof/>
          <w:szCs w:val="24"/>
          <w:lang w:val="en-US"/>
        </w:rPr>
        <w:t xml:space="preserve">ime-temperature curves </w:t>
      </w:r>
      <w:r w:rsidR="00C525D4" w:rsidRPr="00DD1B58">
        <w:rPr>
          <w:noProof/>
          <w:szCs w:val="24"/>
          <w:lang w:val="en-US"/>
        </w:rPr>
        <w:t>through</w:t>
      </w:r>
      <w:r w:rsidRPr="00DD1B58">
        <w:rPr>
          <w:noProof/>
          <w:szCs w:val="24"/>
          <w:lang w:val="en-US"/>
        </w:rPr>
        <w:t xml:space="preserve"> fire modelling. This fire scenario identified potential challenges to plant items relevant to post</w:t>
      </w:r>
      <w:r w:rsidR="00C525D4" w:rsidRPr="00DD1B58">
        <w:rPr>
          <w:noProof/>
          <w:szCs w:val="24"/>
          <w:lang w:val="en-US"/>
        </w:rPr>
        <w:t>-</w:t>
      </w:r>
      <w:r w:rsidRPr="00DD1B58">
        <w:rPr>
          <w:noProof/>
          <w:szCs w:val="24"/>
          <w:lang w:val="en-US"/>
        </w:rPr>
        <w:t>trip cooling. As a result</w:t>
      </w:r>
      <w:r w:rsidR="00C525D4" w:rsidRPr="00DD1B58">
        <w:rPr>
          <w:noProof/>
          <w:szCs w:val="24"/>
          <w:lang w:val="en-US"/>
        </w:rPr>
        <w:t xml:space="preserve">, </w:t>
      </w:r>
      <w:r w:rsidR="00C362CA" w:rsidRPr="00DD1B58">
        <w:rPr>
          <w:noProof/>
          <w:szCs w:val="24"/>
          <w:lang w:val="en-US"/>
        </w:rPr>
        <w:t>EDF NGL</w:t>
      </w:r>
      <w:r w:rsidR="00C525D4" w:rsidRPr="00DD1B58">
        <w:rPr>
          <w:noProof/>
          <w:szCs w:val="24"/>
          <w:lang w:val="en-US"/>
        </w:rPr>
        <w:t xml:space="preserve"> provides</w:t>
      </w:r>
      <w:r w:rsidRPr="00DD1B58">
        <w:rPr>
          <w:noProof/>
          <w:szCs w:val="24"/>
          <w:lang w:val="en-US"/>
        </w:rPr>
        <w:t xml:space="preserve"> the identified plant with passive fire protection to ensure </w:t>
      </w:r>
      <w:r w:rsidR="00C525D4" w:rsidRPr="00DD1B58">
        <w:rPr>
          <w:noProof/>
          <w:szCs w:val="24"/>
          <w:lang w:val="en-US"/>
        </w:rPr>
        <w:t xml:space="preserve">it </w:t>
      </w:r>
      <w:r w:rsidRPr="00DD1B58">
        <w:rPr>
          <w:noProof/>
          <w:szCs w:val="24"/>
          <w:lang w:val="en-US"/>
        </w:rPr>
        <w:t>survive</w:t>
      </w:r>
      <w:r w:rsidR="00C525D4" w:rsidRPr="00DD1B58">
        <w:rPr>
          <w:noProof/>
          <w:szCs w:val="24"/>
          <w:lang w:val="en-US"/>
        </w:rPr>
        <w:t>s</w:t>
      </w:r>
      <w:r w:rsidRPr="00DD1B58">
        <w:rPr>
          <w:noProof/>
          <w:szCs w:val="24"/>
          <w:lang w:val="en-US"/>
        </w:rPr>
        <w:t xml:space="preserve"> the predicted fire conditions and their post</w:t>
      </w:r>
      <w:r w:rsidR="00C525D4" w:rsidRPr="00DD1B58">
        <w:rPr>
          <w:noProof/>
          <w:szCs w:val="24"/>
          <w:lang w:val="en-US"/>
        </w:rPr>
        <w:t>-</w:t>
      </w:r>
      <w:r w:rsidRPr="00DD1B58">
        <w:rPr>
          <w:noProof/>
          <w:szCs w:val="24"/>
          <w:lang w:val="en-US"/>
        </w:rPr>
        <w:t>trip functionality is preserved.</w:t>
      </w:r>
      <w:r w:rsidR="00C525D4" w:rsidRPr="00DD1B58">
        <w:rPr>
          <w:noProof/>
          <w:szCs w:val="24"/>
          <w:lang w:val="en-US"/>
        </w:rPr>
        <w:t xml:space="preserve"> </w:t>
      </w:r>
    </w:p>
    <w:p w14:paraId="37CF915D" w14:textId="132CA0FB" w:rsidR="164F56DE" w:rsidRPr="00DD1B58" w:rsidRDefault="164F56DE" w:rsidP="774B19A3">
      <w:pPr>
        <w:rPr>
          <w:lang w:val="en-US"/>
        </w:rPr>
      </w:pPr>
      <w:r w:rsidRPr="00DD1B58">
        <w:rPr>
          <w:b/>
          <w:noProof/>
          <w:szCs w:val="24"/>
          <w:lang w:val="en-US"/>
        </w:rPr>
        <w:t xml:space="preserve">Second </w:t>
      </w:r>
      <w:r w:rsidR="008F0AF1" w:rsidRPr="00DD1B58">
        <w:rPr>
          <w:b/>
          <w:noProof/>
          <w:szCs w:val="24"/>
          <w:lang w:val="en-US"/>
        </w:rPr>
        <w:t xml:space="preserve">generation </w:t>
      </w:r>
      <w:r w:rsidRPr="00DD1B58">
        <w:rPr>
          <w:b/>
          <w:noProof/>
          <w:szCs w:val="24"/>
          <w:lang w:val="en-US"/>
        </w:rPr>
        <w:t>AGRs (</w:t>
      </w:r>
      <w:r w:rsidR="00C525D4" w:rsidRPr="00DD1B58">
        <w:rPr>
          <w:b/>
          <w:noProof/>
          <w:szCs w:val="24"/>
          <w:lang w:val="en-US"/>
        </w:rPr>
        <w:t>HY</w:t>
      </w:r>
      <w:r w:rsidRPr="00DD1B58">
        <w:rPr>
          <w:b/>
          <w:noProof/>
          <w:szCs w:val="24"/>
          <w:lang w:val="en-US"/>
        </w:rPr>
        <w:t>2)</w:t>
      </w:r>
      <w:r w:rsidR="008F0AF1"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Pr="00DD1B58">
        <w:rPr>
          <w:noProof/>
          <w:szCs w:val="24"/>
          <w:lang w:val="en-US"/>
        </w:rPr>
        <w:t xml:space="preserve"> determined that fire severity calculations for the HY2 were mainly from the design stage and</w:t>
      </w:r>
      <w:r w:rsidR="0221A845" w:rsidRPr="00DD1B58">
        <w:rPr>
          <w:noProof/>
          <w:szCs w:val="24"/>
          <w:lang w:val="en-US"/>
        </w:rPr>
        <w:t xml:space="preserve"> </w:t>
      </w:r>
      <w:r w:rsidRPr="00DD1B58">
        <w:rPr>
          <w:noProof/>
          <w:szCs w:val="24"/>
          <w:lang w:val="en-US"/>
        </w:rPr>
        <w:t xml:space="preserve">were no longer in line with </w:t>
      </w:r>
      <w:r w:rsidR="003B2E3E" w:rsidRPr="00DD1B58">
        <w:rPr>
          <w:noProof/>
          <w:szCs w:val="24"/>
          <w:lang w:val="en-US"/>
        </w:rPr>
        <w:t xml:space="preserve">relevant </w:t>
      </w:r>
      <w:r w:rsidRPr="00DD1B58">
        <w:rPr>
          <w:noProof/>
          <w:szCs w:val="24"/>
          <w:lang w:val="en-US"/>
        </w:rPr>
        <w:t xml:space="preserve">good practice. </w:t>
      </w:r>
      <w:r w:rsidR="00C362CA" w:rsidRPr="00DD1B58">
        <w:rPr>
          <w:noProof/>
          <w:szCs w:val="24"/>
          <w:lang w:val="en-US"/>
        </w:rPr>
        <w:t>EDF NGL</w:t>
      </w:r>
      <w:r w:rsidR="003B2E3E" w:rsidRPr="00DD1B58">
        <w:rPr>
          <w:noProof/>
          <w:szCs w:val="24"/>
          <w:lang w:val="en-US"/>
        </w:rPr>
        <w:t xml:space="preserve"> nevertheless considered that there </w:t>
      </w:r>
      <w:r w:rsidRPr="00DD1B58">
        <w:rPr>
          <w:noProof/>
          <w:szCs w:val="24"/>
          <w:lang w:val="en-US"/>
        </w:rPr>
        <w:t>were no direct safety case</w:t>
      </w:r>
      <w:r w:rsidR="19CF2B6E" w:rsidRPr="00DD1B58">
        <w:rPr>
          <w:noProof/>
          <w:szCs w:val="24"/>
          <w:lang w:val="en-US"/>
        </w:rPr>
        <w:t xml:space="preserve"> </w:t>
      </w:r>
      <w:r w:rsidRPr="00DD1B58">
        <w:rPr>
          <w:noProof/>
          <w:szCs w:val="24"/>
          <w:lang w:val="en-US"/>
        </w:rPr>
        <w:t xml:space="preserve">implications </w:t>
      </w:r>
      <w:r w:rsidR="003B2E3E" w:rsidRPr="00DD1B58">
        <w:rPr>
          <w:noProof/>
          <w:szCs w:val="24"/>
          <w:lang w:val="en-US"/>
        </w:rPr>
        <w:t>from the</w:t>
      </w:r>
      <w:r w:rsidRPr="00DD1B58">
        <w:rPr>
          <w:noProof/>
          <w:szCs w:val="24"/>
          <w:lang w:val="en-US"/>
        </w:rPr>
        <w:t xml:space="preserve"> shortfall</w:t>
      </w:r>
      <w:r w:rsidR="008F0AF1" w:rsidRPr="00DD1B58">
        <w:rPr>
          <w:noProof/>
          <w:szCs w:val="24"/>
          <w:lang w:val="en-US"/>
        </w:rPr>
        <w:t>;</w:t>
      </w:r>
      <w:r w:rsidRPr="00DD1B58">
        <w:rPr>
          <w:noProof/>
          <w:szCs w:val="24"/>
          <w:lang w:val="en-US"/>
        </w:rPr>
        <w:t xml:space="preserve"> specifically</w:t>
      </w:r>
      <w:r w:rsidR="003B2E3E" w:rsidRPr="00DD1B58">
        <w:rPr>
          <w:noProof/>
          <w:szCs w:val="24"/>
          <w:lang w:val="en-US"/>
        </w:rPr>
        <w:t>,</w:t>
      </w:r>
      <w:r w:rsidRPr="00DD1B58">
        <w:rPr>
          <w:noProof/>
          <w:szCs w:val="24"/>
          <w:lang w:val="en-US"/>
        </w:rPr>
        <w:t xml:space="preserve"> there was no </w:t>
      </w:r>
      <w:r w:rsidR="003B2E3E" w:rsidRPr="00DD1B58">
        <w:rPr>
          <w:noProof/>
          <w:szCs w:val="24"/>
          <w:lang w:val="en-US"/>
        </w:rPr>
        <w:t>‘</w:t>
      </w:r>
      <w:r w:rsidRPr="00DD1B58">
        <w:rPr>
          <w:noProof/>
          <w:szCs w:val="24"/>
          <w:lang w:val="en-US"/>
        </w:rPr>
        <w:t>safety case anomaly</w:t>
      </w:r>
      <w:r w:rsidR="003B2E3E" w:rsidRPr="00DD1B58">
        <w:rPr>
          <w:noProof/>
          <w:szCs w:val="24"/>
          <w:lang w:val="en-US"/>
        </w:rPr>
        <w:t>’</w:t>
      </w:r>
      <w:r w:rsidRPr="00DD1B58">
        <w:rPr>
          <w:noProof/>
          <w:szCs w:val="24"/>
          <w:lang w:val="en-US"/>
        </w:rPr>
        <w:t>.</w:t>
      </w:r>
      <w:r w:rsidR="003B2E3E" w:rsidRPr="00DD1B58">
        <w:rPr>
          <w:noProof/>
          <w:szCs w:val="24"/>
          <w:lang w:val="en-US"/>
        </w:rPr>
        <w:t xml:space="preserve"> </w:t>
      </w:r>
      <w:r w:rsidR="008F0AF1" w:rsidRPr="00DD1B58">
        <w:rPr>
          <w:noProof/>
          <w:szCs w:val="24"/>
          <w:lang w:val="en-US"/>
        </w:rPr>
        <w:t>Nevertheless, t</w:t>
      </w:r>
      <w:r w:rsidR="003B2E3E" w:rsidRPr="00DD1B58">
        <w:rPr>
          <w:noProof/>
          <w:szCs w:val="24"/>
          <w:lang w:val="en-US"/>
        </w:rPr>
        <w:t xml:space="preserve">o confirm the validity of the safety case, </w:t>
      </w:r>
      <w:r w:rsidR="00C362CA" w:rsidRPr="00DD1B58">
        <w:rPr>
          <w:noProof/>
          <w:szCs w:val="24"/>
          <w:lang w:val="en-US"/>
        </w:rPr>
        <w:t>EDF NGL</w:t>
      </w:r>
      <w:r w:rsidR="003B2E3E" w:rsidRPr="00DD1B58">
        <w:rPr>
          <w:noProof/>
          <w:szCs w:val="24"/>
          <w:lang w:val="en-US"/>
        </w:rPr>
        <w:t xml:space="preserve"> is currently undertaking </w:t>
      </w:r>
      <w:r w:rsidRPr="00DD1B58">
        <w:rPr>
          <w:noProof/>
          <w:szCs w:val="24"/>
          <w:lang w:val="en-US"/>
        </w:rPr>
        <w:t>CFAST and Fire Dynamics Simulator (FDS) fire modelling for certain critical areas. The intent is to predict time-temperature profiles and hot gas layer</w:t>
      </w:r>
      <w:r w:rsidR="1E53E644" w:rsidRPr="00DD1B58">
        <w:rPr>
          <w:noProof/>
          <w:szCs w:val="24"/>
          <w:lang w:val="en-US"/>
        </w:rPr>
        <w:t xml:space="preserve"> </w:t>
      </w:r>
      <w:r w:rsidRPr="00DD1B58">
        <w:rPr>
          <w:noProof/>
          <w:szCs w:val="24"/>
          <w:lang w:val="en-US"/>
        </w:rPr>
        <w:t>descent primarily using CFAST with secondary comparative work also being carried using FDS. This</w:t>
      </w:r>
      <w:r w:rsidR="7E1036E4" w:rsidRPr="00DD1B58">
        <w:rPr>
          <w:noProof/>
          <w:szCs w:val="24"/>
          <w:lang w:val="en-US"/>
        </w:rPr>
        <w:t xml:space="preserve"> </w:t>
      </w:r>
      <w:r w:rsidRPr="00DD1B58">
        <w:rPr>
          <w:noProof/>
          <w:szCs w:val="24"/>
          <w:lang w:val="en-US"/>
        </w:rPr>
        <w:t>work will bring the HY2 fire references up</w:t>
      </w:r>
      <w:r w:rsidR="008F0AF1" w:rsidRPr="00DD1B58">
        <w:rPr>
          <w:noProof/>
          <w:szCs w:val="24"/>
          <w:lang w:val="en-US"/>
        </w:rPr>
        <w:t xml:space="preserve"> </w:t>
      </w:r>
      <w:r w:rsidRPr="00DD1B58">
        <w:rPr>
          <w:noProof/>
          <w:szCs w:val="24"/>
          <w:lang w:val="en-US"/>
        </w:rPr>
        <w:t>to</w:t>
      </w:r>
      <w:r w:rsidR="008F0AF1" w:rsidRPr="00DD1B58">
        <w:rPr>
          <w:noProof/>
          <w:szCs w:val="24"/>
          <w:lang w:val="en-US"/>
        </w:rPr>
        <w:t xml:space="preserve"> </w:t>
      </w:r>
      <w:r w:rsidRPr="00DD1B58">
        <w:rPr>
          <w:noProof/>
          <w:szCs w:val="24"/>
          <w:lang w:val="en-US"/>
        </w:rPr>
        <w:t>date using modern standards and provide a useful</w:t>
      </w:r>
      <w:r w:rsidR="57FFF59F" w:rsidRPr="00DD1B58">
        <w:rPr>
          <w:noProof/>
          <w:szCs w:val="24"/>
          <w:lang w:val="en-US"/>
        </w:rPr>
        <w:t xml:space="preserve"> </w:t>
      </w:r>
      <w:r w:rsidRPr="00DD1B58">
        <w:rPr>
          <w:noProof/>
          <w:szCs w:val="24"/>
          <w:lang w:val="en-US"/>
        </w:rPr>
        <w:t>comparison of CFAST and FDS for this fire scenario</w:t>
      </w:r>
      <w:r w:rsidR="008F0AF1" w:rsidRPr="00DD1B58">
        <w:rPr>
          <w:noProof/>
          <w:szCs w:val="24"/>
          <w:lang w:val="en-US"/>
        </w:rPr>
        <w:t>,</w:t>
      </w:r>
      <w:r w:rsidR="003B2E3E" w:rsidRPr="00DD1B58">
        <w:rPr>
          <w:noProof/>
          <w:szCs w:val="24"/>
          <w:lang w:val="en-US"/>
        </w:rPr>
        <w:t xml:space="preserve"> which can then </w:t>
      </w:r>
      <w:r w:rsidRPr="00DD1B58">
        <w:rPr>
          <w:noProof/>
          <w:szCs w:val="24"/>
          <w:lang w:val="en-US"/>
        </w:rPr>
        <w:t>inform</w:t>
      </w:r>
      <w:r w:rsidR="4D61E6CE" w:rsidRPr="00DD1B58">
        <w:rPr>
          <w:noProof/>
          <w:szCs w:val="24"/>
          <w:lang w:val="en-US"/>
        </w:rPr>
        <w:t xml:space="preserve"> </w:t>
      </w:r>
      <w:r w:rsidRPr="00DD1B58">
        <w:rPr>
          <w:noProof/>
          <w:szCs w:val="24"/>
          <w:lang w:val="en-US"/>
        </w:rPr>
        <w:t xml:space="preserve">the </w:t>
      </w:r>
      <w:r w:rsidR="003B2E3E" w:rsidRPr="00DD1B58">
        <w:rPr>
          <w:noProof/>
          <w:szCs w:val="24"/>
          <w:lang w:val="en-US"/>
        </w:rPr>
        <w:t>FAIR (PRISME) project.</w:t>
      </w:r>
      <w:r w:rsidR="00C16702" w:rsidRPr="00DD1B58">
        <w:rPr>
          <w:noProof/>
          <w:szCs w:val="24"/>
          <w:lang w:val="en-US"/>
        </w:rPr>
        <w:t xml:space="preserve"> </w:t>
      </w:r>
      <w:r w:rsidR="00C362CA" w:rsidRPr="00DD1B58">
        <w:rPr>
          <w:noProof/>
          <w:szCs w:val="24"/>
          <w:lang w:val="en-US"/>
        </w:rPr>
        <w:t>EDF NGL</w:t>
      </w:r>
      <w:r w:rsidR="00C16702" w:rsidRPr="00DD1B58">
        <w:rPr>
          <w:noProof/>
          <w:szCs w:val="24"/>
          <w:lang w:val="en-US"/>
        </w:rPr>
        <w:t xml:space="preserve"> does</w:t>
      </w:r>
      <w:r w:rsidRPr="00DD1B58">
        <w:rPr>
          <w:noProof/>
          <w:szCs w:val="24"/>
          <w:lang w:val="en-US"/>
        </w:rPr>
        <w:t xml:space="preserve"> not anticipate </w:t>
      </w:r>
      <w:r w:rsidR="00C16702" w:rsidRPr="00DD1B58">
        <w:rPr>
          <w:noProof/>
          <w:szCs w:val="24"/>
          <w:lang w:val="en-US"/>
        </w:rPr>
        <w:t>the work to result in the need for</w:t>
      </w:r>
      <w:r w:rsidRPr="00DD1B58">
        <w:rPr>
          <w:noProof/>
          <w:szCs w:val="24"/>
          <w:lang w:val="en-US"/>
        </w:rPr>
        <w:t xml:space="preserve"> revisions </w:t>
      </w:r>
      <w:r w:rsidRPr="00DD1B58">
        <w:rPr>
          <w:noProof/>
          <w:szCs w:val="24"/>
          <w:lang w:val="en-US"/>
        </w:rPr>
        <w:lastRenderedPageBreak/>
        <w:t>to the station fire safety case or plant</w:t>
      </w:r>
      <w:r w:rsidR="23E44386" w:rsidRPr="00DD1B58">
        <w:rPr>
          <w:noProof/>
          <w:szCs w:val="24"/>
          <w:lang w:val="en-US"/>
        </w:rPr>
        <w:t xml:space="preserve"> </w:t>
      </w:r>
      <w:r w:rsidRPr="00DD1B58">
        <w:rPr>
          <w:noProof/>
          <w:szCs w:val="24"/>
          <w:lang w:val="en-US"/>
        </w:rPr>
        <w:t>modifications</w:t>
      </w:r>
      <w:r w:rsidR="00C16702" w:rsidRPr="00DD1B58">
        <w:rPr>
          <w:noProof/>
          <w:szCs w:val="24"/>
          <w:lang w:val="en-US"/>
        </w:rPr>
        <w:t xml:space="preserve"> due to initial conservatisms</w:t>
      </w:r>
      <w:r w:rsidRPr="00DD1B58">
        <w:rPr>
          <w:noProof/>
          <w:szCs w:val="24"/>
          <w:lang w:val="en-US"/>
        </w:rPr>
        <w:t xml:space="preserve">. However, </w:t>
      </w:r>
      <w:r w:rsidR="00C16702" w:rsidRPr="00DD1B58">
        <w:rPr>
          <w:noProof/>
          <w:szCs w:val="24"/>
          <w:lang w:val="en-US"/>
        </w:rPr>
        <w:t xml:space="preserve">it considers that the </w:t>
      </w:r>
      <w:r w:rsidRPr="00DD1B58">
        <w:rPr>
          <w:noProof/>
          <w:szCs w:val="24"/>
          <w:lang w:val="en-US"/>
        </w:rPr>
        <w:t>work may be useful in the future if relevant safety issues arise.</w:t>
      </w:r>
    </w:p>
    <w:p w14:paraId="31086159" w14:textId="5368A139" w:rsidR="164F56DE" w:rsidRPr="00DD1B58" w:rsidRDefault="164F56DE" w:rsidP="774B19A3">
      <w:pPr>
        <w:rPr>
          <w:lang w:val="en-US"/>
        </w:rPr>
      </w:pPr>
      <w:r w:rsidRPr="00DD1B58">
        <w:rPr>
          <w:b/>
          <w:noProof/>
          <w:szCs w:val="24"/>
          <w:lang w:val="en-US"/>
        </w:rPr>
        <w:t>Sizewell B</w:t>
      </w:r>
      <w:r w:rsidR="008F0AF1" w:rsidRPr="00DD1B58">
        <w:rPr>
          <w:b/>
          <w:noProof/>
          <w:szCs w:val="24"/>
          <w:lang w:val="en-US"/>
        </w:rPr>
        <w:t>:</w:t>
      </w:r>
      <w:r w:rsidR="00A838C6" w:rsidRPr="00DD1B58">
        <w:rPr>
          <w:b/>
          <w:noProof/>
          <w:szCs w:val="24"/>
          <w:lang w:val="en-US"/>
        </w:rPr>
        <w:t xml:space="preserve"> </w:t>
      </w:r>
      <w:r w:rsidR="008F0AF1" w:rsidRPr="00DD1B58">
        <w:rPr>
          <w:bCs/>
          <w:noProof/>
          <w:szCs w:val="24"/>
          <w:lang w:val="en-US"/>
        </w:rPr>
        <w:t>f</w:t>
      </w:r>
      <w:r w:rsidRPr="00DD1B58">
        <w:rPr>
          <w:noProof/>
          <w:szCs w:val="24"/>
          <w:lang w:val="en-US"/>
        </w:rPr>
        <w:t>ire modelling was carried out for the increased fuel load following the upgrade of the Battery Charging</w:t>
      </w:r>
      <w:r w:rsidR="0E67BA3F" w:rsidRPr="00DD1B58">
        <w:rPr>
          <w:noProof/>
          <w:szCs w:val="24"/>
          <w:lang w:val="en-US"/>
        </w:rPr>
        <w:t xml:space="preserve"> </w:t>
      </w:r>
      <w:r w:rsidRPr="00DD1B58">
        <w:rPr>
          <w:noProof/>
          <w:szCs w:val="24"/>
          <w:lang w:val="en-US"/>
        </w:rPr>
        <w:t xml:space="preserve">Diesel Generators. See Section </w:t>
      </w:r>
      <w:r w:rsidR="00651D8E" w:rsidRPr="00DD1B58">
        <w:rPr>
          <w:noProof/>
          <w:szCs w:val="24"/>
          <w:lang w:val="en-US"/>
        </w:rPr>
        <w:t>I-</w:t>
      </w:r>
      <w:r w:rsidRPr="00DD1B58">
        <w:rPr>
          <w:noProof/>
          <w:szCs w:val="24"/>
          <w:lang w:val="en-US"/>
        </w:rPr>
        <w:t>2.1.6.1 for details.</w:t>
      </w:r>
    </w:p>
    <w:p w14:paraId="298B4E87" w14:textId="77777777" w:rsidR="47DB9CCB" w:rsidRPr="00DD1B58" w:rsidRDefault="164F56DE" w:rsidP="00CD4BFC">
      <w:pPr>
        <w:pStyle w:val="Heading4"/>
        <w:numPr>
          <w:ilvl w:val="4"/>
          <w:numId w:val="3"/>
        </w:numPr>
        <w:rPr>
          <w:noProof/>
          <w:szCs w:val="24"/>
          <w:lang w:val="en-US"/>
        </w:rPr>
      </w:pPr>
      <w:r w:rsidRPr="00DD1B58">
        <w:rPr>
          <w:lang w:val="en-US"/>
        </w:rPr>
        <w:t>Fire consequences</w:t>
      </w:r>
    </w:p>
    <w:p w14:paraId="689D0DB3" w14:textId="1FC084B5" w:rsidR="6A2E56C4" w:rsidRPr="00DD1B58" w:rsidRDefault="164F56DE" w:rsidP="774B19A3">
      <w:pPr>
        <w:rPr>
          <w:lang w:val="en-US"/>
        </w:rPr>
      </w:pPr>
      <w:r w:rsidRPr="00DD1B58">
        <w:rPr>
          <w:b/>
          <w:noProof/>
          <w:szCs w:val="24"/>
          <w:lang w:val="en-US"/>
        </w:rPr>
        <w:t>General</w:t>
      </w:r>
      <w:r w:rsidR="008F0AF1"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404615" w:rsidRPr="00DD1B58">
        <w:rPr>
          <w:noProof/>
          <w:szCs w:val="24"/>
          <w:lang w:val="en-US"/>
        </w:rPr>
        <w:t>’s assessment</w:t>
      </w:r>
      <w:r w:rsidR="00C32DE4" w:rsidRPr="00DD1B58">
        <w:rPr>
          <w:noProof/>
          <w:szCs w:val="24"/>
          <w:lang w:val="en-US"/>
        </w:rPr>
        <w:t>s</w:t>
      </w:r>
      <w:r w:rsidRPr="00DD1B58">
        <w:rPr>
          <w:noProof/>
          <w:szCs w:val="24"/>
          <w:lang w:val="en-US"/>
        </w:rPr>
        <w:t xml:space="preserve"> </w:t>
      </w:r>
      <w:r w:rsidR="00C32DE4" w:rsidRPr="00DD1B58">
        <w:rPr>
          <w:noProof/>
          <w:szCs w:val="24"/>
          <w:lang w:val="en-US"/>
        </w:rPr>
        <w:t>compare</w:t>
      </w:r>
      <w:r w:rsidRPr="00DD1B58">
        <w:rPr>
          <w:noProof/>
          <w:szCs w:val="24"/>
          <w:lang w:val="en-US"/>
        </w:rPr>
        <w:t xml:space="preserve"> the predicted fire conditions</w:t>
      </w:r>
      <w:r w:rsidR="00464D52" w:rsidRPr="00DD1B58">
        <w:rPr>
          <w:noProof/>
          <w:szCs w:val="24"/>
          <w:lang w:val="en-US"/>
        </w:rPr>
        <w:t>,</w:t>
      </w:r>
      <w:r w:rsidRPr="00DD1B58">
        <w:rPr>
          <w:noProof/>
          <w:szCs w:val="24"/>
          <w:lang w:val="en-US"/>
        </w:rPr>
        <w:t xml:space="preserve"> </w:t>
      </w:r>
      <w:r w:rsidR="00464D52" w:rsidRPr="00DD1B58">
        <w:rPr>
          <w:noProof/>
          <w:szCs w:val="24"/>
          <w:lang w:val="en-US"/>
        </w:rPr>
        <w:t xml:space="preserve">such as </w:t>
      </w:r>
      <w:r w:rsidRPr="00DD1B58">
        <w:rPr>
          <w:noProof/>
          <w:szCs w:val="24"/>
          <w:lang w:val="en-US"/>
        </w:rPr>
        <w:t>a time</w:t>
      </w:r>
      <w:r w:rsidR="00464D52" w:rsidRPr="00DD1B58">
        <w:rPr>
          <w:noProof/>
          <w:szCs w:val="24"/>
          <w:lang w:val="en-US"/>
        </w:rPr>
        <w:t>-</w:t>
      </w:r>
      <w:r w:rsidRPr="00DD1B58">
        <w:rPr>
          <w:noProof/>
          <w:szCs w:val="24"/>
          <w:lang w:val="en-US"/>
        </w:rPr>
        <w:t>temperature curve, with the equipment qualificatio</w:t>
      </w:r>
      <w:r w:rsidR="00464D52" w:rsidRPr="00DD1B58">
        <w:rPr>
          <w:noProof/>
          <w:szCs w:val="24"/>
          <w:lang w:val="en-US"/>
        </w:rPr>
        <w:t>n, for example</w:t>
      </w:r>
      <w:r w:rsidRPr="00DD1B58">
        <w:rPr>
          <w:noProof/>
          <w:szCs w:val="24"/>
          <w:lang w:val="en-US"/>
        </w:rPr>
        <w:t xml:space="preserve"> the materials and design of a fire barrier.</w:t>
      </w:r>
      <w:r w:rsidR="64B7E448" w:rsidRPr="00DD1B58">
        <w:rPr>
          <w:noProof/>
          <w:szCs w:val="24"/>
          <w:lang w:val="en-US"/>
        </w:rPr>
        <w:t xml:space="preserve"> </w:t>
      </w:r>
      <w:r w:rsidR="0073026A" w:rsidRPr="00DD1B58">
        <w:rPr>
          <w:noProof/>
          <w:szCs w:val="24"/>
          <w:lang w:val="en-US"/>
        </w:rPr>
        <w:t xml:space="preserve">This comparison </w:t>
      </w:r>
      <w:r w:rsidRPr="00DD1B58">
        <w:rPr>
          <w:noProof/>
          <w:szCs w:val="24"/>
          <w:lang w:val="en-US"/>
        </w:rPr>
        <w:t>indicate</w:t>
      </w:r>
      <w:r w:rsidR="0073026A" w:rsidRPr="00DD1B58">
        <w:rPr>
          <w:noProof/>
          <w:szCs w:val="24"/>
          <w:lang w:val="en-US"/>
        </w:rPr>
        <w:t>s</w:t>
      </w:r>
      <w:r w:rsidRPr="00DD1B58">
        <w:rPr>
          <w:noProof/>
          <w:szCs w:val="24"/>
          <w:lang w:val="en-US"/>
        </w:rPr>
        <w:t xml:space="preserve"> whether failure is likely</w:t>
      </w:r>
      <w:r w:rsidR="6A2E56C4" w:rsidRPr="00DD1B58">
        <w:rPr>
          <w:noProof/>
          <w:szCs w:val="24"/>
          <w:lang w:val="en-US"/>
        </w:rPr>
        <w:t xml:space="preserve"> </w:t>
      </w:r>
      <w:r w:rsidR="00E43D30" w:rsidRPr="00DD1B58">
        <w:rPr>
          <w:noProof/>
          <w:szCs w:val="24"/>
          <w:lang w:val="en-US"/>
        </w:rPr>
        <w:t>and whether fire could</w:t>
      </w:r>
      <w:r w:rsidR="6A2E56C4" w:rsidRPr="00DD1B58">
        <w:rPr>
          <w:noProof/>
          <w:szCs w:val="24"/>
          <w:lang w:val="en-US"/>
        </w:rPr>
        <w:t xml:space="preserve"> spread from one safety train to </w:t>
      </w:r>
      <w:r w:rsidR="00464D52" w:rsidRPr="00DD1B58">
        <w:rPr>
          <w:noProof/>
          <w:szCs w:val="24"/>
          <w:lang w:val="en-US"/>
        </w:rPr>
        <w:t>another</w:t>
      </w:r>
      <w:r w:rsidR="0073026A" w:rsidRPr="00DD1B58">
        <w:rPr>
          <w:noProof/>
          <w:szCs w:val="24"/>
          <w:lang w:val="en-US"/>
        </w:rPr>
        <w:t>,</w:t>
      </w:r>
      <w:r w:rsidR="6A2E56C4" w:rsidRPr="00DD1B58">
        <w:rPr>
          <w:noProof/>
          <w:szCs w:val="24"/>
          <w:lang w:val="en-US"/>
        </w:rPr>
        <w:t xml:space="preserve"> </w:t>
      </w:r>
      <w:r w:rsidR="00E43D30" w:rsidRPr="00DD1B58">
        <w:rPr>
          <w:noProof/>
          <w:szCs w:val="24"/>
          <w:lang w:val="en-US"/>
        </w:rPr>
        <w:t>and whether</w:t>
      </w:r>
      <w:r w:rsidR="0073026A" w:rsidRPr="00DD1B58">
        <w:rPr>
          <w:noProof/>
          <w:szCs w:val="24"/>
          <w:lang w:val="en-US"/>
        </w:rPr>
        <w:t xml:space="preserve"> fire could</w:t>
      </w:r>
      <w:r w:rsidR="6A2E56C4" w:rsidRPr="00DD1B58">
        <w:rPr>
          <w:noProof/>
          <w:szCs w:val="24"/>
          <w:lang w:val="en-US"/>
        </w:rPr>
        <w:t xml:space="preserve"> affect the ability to perform the reactor trip, shutdown and post</w:t>
      </w:r>
      <w:r w:rsidR="001E71EB" w:rsidRPr="00DD1B58">
        <w:rPr>
          <w:noProof/>
          <w:szCs w:val="24"/>
          <w:lang w:val="en-US"/>
        </w:rPr>
        <w:t>-</w:t>
      </w:r>
      <w:r w:rsidR="6A2E56C4" w:rsidRPr="00DD1B58">
        <w:rPr>
          <w:noProof/>
          <w:szCs w:val="24"/>
          <w:lang w:val="en-US"/>
        </w:rPr>
        <w:t>trip cooling functions.</w:t>
      </w:r>
      <w:r w:rsidR="0073026A" w:rsidRPr="00DD1B58">
        <w:rPr>
          <w:noProof/>
          <w:szCs w:val="24"/>
          <w:lang w:val="en-US"/>
        </w:rPr>
        <w:t xml:space="preserve"> </w:t>
      </w:r>
      <w:r w:rsidR="00C362CA" w:rsidRPr="00DD1B58">
        <w:rPr>
          <w:noProof/>
          <w:szCs w:val="24"/>
          <w:lang w:val="en-US"/>
        </w:rPr>
        <w:t>EDF NGL</w:t>
      </w:r>
      <w:r w:rsidR="0073026A" w:rsidRPr="00DD1B58">
        <w:rPr>
          <w:noProof/>
          <w:szCs w:val="24"/>
          <w:lang w:val="en-US"/>
        </w:rPr>
        <w:t xml:space="preserve"> supports the assessment of </w:t>
      </w:r>
      <w:r w:rsidR="6A2E56C4" w:rsidRPr="00DD1B58">
        <w:rPr>
          <w:noProof/>
          <w:szCs w:val="24"/>
          <w:lang w:val="en-US"/>
        </w:rPr>
        <w:t xml:space="preserve">potential consequences through inspection of the plant and plant documentation. </w:t>
      </w:r>
      <w:r w:rsidR="008F6E84" w:rsidRPr="00DD1B58">
        <w:rPr>
          <w:noProof/>
          <w:szCs w:val="24"/>
          <w:lang w:val="en-US"/>
        </w:rPr>
        <w:t xml:space="preserve">Further </w:t>
      </w:r>
      <w:r w:rsidR="6A2E56C4" w:rsidRPr="00DD1B58">
        <w:rPr>
          <w:noProof/>
          <w:szCs w:val="24"/>
          <w:lang w:val="en-US"/>
        </w:rPr>
        <w:t>analysis may be carried out on the likelihood of an initiating event or more detailed modelling of the fire scenario</w:t>
      </w:r>
      <w:r w:rsidR="008F6E84" w:rsidRPr="00DD1B58">
        <w:rPr>
          <w:noProof/>
          <w:szCs w:val="24"/>
          <w:lang w:val="en-US"/>
        </w:rPr>
        <w:t xml:space="preserve"> as appropriate.</w:t>
      </w:r>
      <w:r w:rsidR="00D122FD" w:rsidRPr="00DD1B58">
        <w:rPr>
          <w:noProof/>
          <w:szCs w:val="24"/>
          <w:lang w:val="en-US"/>
        </w:rPr>
        <w:t xml:space="preserve"> For example, </w:t>
      </w:r>
      <w:r w:rsidR="00C362CA" w:rsidRPr="00DD1B58">
        <w:rPr>
          <w:noProof/>
          <w:szCs w:val="24"/>
          <w:lang w:val="en-US"/>
        </w:rPr>
        <w:t>EDF NGL</w:t>
      </w:r>
      <w:r w:rsidR="00D122FD" w:rsidRPr="00DD1B58">
        <w:rPr>
          <w:noProof/>
          <w:szCs w:val="24"/>
          <w:lang w:val="en-US"/>
        </w:rPr>
        <w:t xml:space="preserve"> </w:t>
      </w:r>
      <w:r w:rsidR="005952A1" w:rsidRPr="00DD1B58">
        <w:rPr>
          <w:noProof/>
          <w:szCs w:val="24"/>
          <w:lang w:val="en-US"/>
        </w:rPr>
        <w:t>estimated</w:t>
      </w:r>
      <w:r w:rsidR="00D122FD" w:rsidRPr="00DD1B58">
        <w:rPr>
          <w:noProof/>
          <w:szCs w:val="24"/>
          <w:lang w:val="en-US"/>
        </w:rPr>
        <w:t xml:space="preserve"> the</w:t>
      </w:r>
      <w:r w:rsidR="6A2E56C4" w:rsidRPr="00DD1B58">
        <w:rPr>
          <w:noProof/>
          <w:szCs w:val="24"/>
          <w:lang w:val="en-US"/>
        </w:rPr>
        <w:t xml:space="preserve"> likelihood of a turbine fire based on internal AGR/SZB fleet OPEX </w:t>
      </w:r>
      <w:r w:rsidR="00E13C4E" w:rsidRPr="00DD1B58">
        <w:rPr>
          <w:noProof/>
          <w:szCs w:val="24"/>
          <w:lang w:val="en-US"/>
        </w:rPr>
        <w:t xml:space="preserve">which </w:t>
      </w:r>
      <w:r w:rsidR="6A2E56C4" w:rsidRPr="00DD1B58">
        <w:rPr>
          <w:noProof/>
          <w:szCs w:val="24"/>
          <w:lang w:val="en-US"/>
        </w:rPr>
        <w:t>informed decision</w:t>
      </w:r>
      <w:r w:rsidR="005952A1" w:rsidRPr="00DD1B58">
        <w:rPr>
          <w:noProof/>
          <w:szCs w:val="24"/>
          <w:lang w:val="en-US"/>
        </w:rPr>
        <w:t>-</w:t>
      </w:r>
      <w:r w:rsidR="6A2E56C4" w:rsidRPr="00DD1B58">
        <w:rPr>
          <w:noProof/>
          <w:szCs w:val="24"/>
          <w:lang w:val="en-US"/>
        </w:rPr>
        <w:t xml:space="preserve">making </w:t>
      </w:r>
      <w:r w:rsidR="00E13C4E" w:rsidRPr="00DD1B58">
        <w:rPr>
          <w:noProof/>
          <w:szCs w:val="24"/>
          <w:lang w:val="en-US"/>
        </w:rPr>
        <w:t>on the provision of</w:t>
      </w:r>
      <w:r w:rsidR="6A2E56C4" w:rsidRPr="00DD1B58">
        <w:rPr>
          <w:noProof/>
          <w:szCs w:val="24"/>
          <w:lang w:val="en-US"/>
        </w:rPr>
        <w:t xml:space="preserve"> additional protection of cabling to some essential equipment</w:t>
      </w:r>
      <w:r w:rsidR="00E13C4E" w:rsidRPr="00DD1B58">
        <w:rPr>
          <w:noProof/>
          <w:szCs w:val="24"/>
          <w:lang w:val="en-US"/>
        </w:rPr>
        <w:t xml:space="preserve">. </w:t>
      </w:r>
    </w:p>
    <w:p w14:paraId="6C237201" w14:textId="443BC4DE" w:rsidR="6A2E56C4" w:rsidRPr="00DD1B58" w:rsidRDefault="6A2E56C4" w:rsidP="774B19A3">
      <w:pPr>
        <w:rPr>
          <w:lang w:val="en-US"/>
        </w:rPr>
      </w:pPr>
      <w:r w:rsidRPr="00DD1B58">
        <w:rPr>
          <w:b/>
          <w:noProof/>
          <w:szCs w:val="24"/>
          <w:lang w:val="en-US"/>
        </w:rPr>
        <w:t>First Generation AGRs (</w:t>
      </w:r>
      <w:r w:rsidR="00794BD5" w:rsidRPr="00DD1B58">
        <w:rPr>
          <w:b/>
          <w:noProof/>
          <w:szCs w:val="24"/>
          <w:lang w:val="en-US"/>
        </w:rPr>
        <w:t>HN</w:t>
      </w:r>
      <w:r w:rsidRPr="00DD1B58">
        <w:rPr>
          <w:b/>
          <w:noProof/>
          <w:szCs w:val="24"/>
          <w:lang w:val="en-US"/>
        </w:rPr>
        <w:t>B)</w:t>
      </w:r>
      <w:r w:rsidR="007522B4"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E13C4E" w:rsidRPr="00DD1B58">
        <w:rPr>
          <w:noProof/>
          <w:szCs w:val="24"/>
          <w:lang w:val="en-US"/>
        </w:rPr>
        <w:t xml:space="preserve">’s </w:t>
      </w:r>
      <w:r w:rsidRPr="00DD1B58">
        <w:rPr>
          <w:noProof/>
          <w:szCs w:val="24"/>
          <w:lang w:val="en-US"/>
        </w:rPr>
        <w:t xml:space="preserve">event tree and fault tree analysis </w:t>
      </w:r>
      <w:r w:rsidR="00E13C4E" w:rsidRPr="00DD1B58">
        <w:rPr>
          <w:noProof/>
          <w:szCs w:val="24"/>
          <w:lang w:val="en-US"/>
        </w:rPr>
        <w:t xml:space="preserve">for HNB is </w:t>
      </w:r>
      <w:r w:rsidRPr="00DD1B58">
        <w:rPr>
          <w:noProof/>
          <w:szCs w:val="24"/>
          <w:lang w:val="en-US"/>
        </w:rPr>
        <w:t>based on industry data for pipework system leaks and ignition</w:t>
      </w:r>
      <w:r w:rsidR="00B0120A" w:rsidRPr="00DD1B58">
        <w:rPr>
          <w:noProof/>
          <w:szCs w:val="24"/>
          <w:lang w:val="en-US"/>
        </w:rPr>
        <w:t>,</w:t>
      </w:r>
      <w:r w:rsidRPr="00DD1B58">
        <w:rPr>
          <w:noProof/>
          <w:szCs w:val="24"/>
          <w:lang w:val="en-US"/>
        </w:rPr>
        <w:t xml:space="preserve"> predict</w:t>
      </w:r>
      <w:r w:rsidR="00B0120A" w:rsidRPr="00DD1B58">
        <w:rPr>
          <w:noProof/>
          <w:szCs w:val="24"/>
          <w:lang w:val="en-US"/>
        </w:rPr>
        <w:t>ing</w:t>
      </w:r>
      <w:r w:rsidRPr="00DD1B58">
        <w:rPr>
          <w:noProof/>
          <w:szCs w:val="24"/>
          <w:lang w:val="en-US"/>
        </w:rPr>
        <w:t xml:space="preserve"> a range of release rates and ignition timings. This was used to develop a range of fire scenarios, fire severities and immediate consequences for essential plant.</w:t>
      </w:r>
    </w:p>
    <w:p w14:paraId="26D9725F" w14:textId="419B6EEA" w:rsidR="6A2E56C4" w:rsidRPr="00DD1B58" w:rsidRDefault="6A2E56C4" w:rsidP="774B19A3">
      <w:pPr>
        <w:rPr>
          <w:lang w:val="en-US"/>
        </w:rPr>
      </w:pPr>
      <w:r w:rsidRPr="00DD1B58">
        <w:rPr>
          <w:b/>
          <w:noProof/>
          <w:szCs w:val="24"/>
          <w:lang w:val="en-US"/>
        </w:rPr>
        <w:t>Second Generation AGRs (</w:t>
      </w:r>
      <w:r w:rsidR="00794BD5" w:rsidRPr="00DD1B58">
        <w:rPr>
          <w:b/>
          <w:noProof/>
          <w:szCs w:val="24"/>
          <w:lang w:val="en-US"/>
        </w:rPr>
        <w:t>HY</w:t>
      </w:r>
      <w:r w:rsidRPr="00DD1B58">
        <w:rPr>
          <w:b/>
          <w:noProof/>
          <w:szCs w:val="24"/>
          <w:lang w:val="en-US"/>
        </w:rPr>
        <w:t>2)</w:t>
      </w:r>
      <w:r w:rsidR="007522B4" w:rsidRPr="00DD1B58">
        <w:rPr>
          <w:b/>
          <w:noProof/>
          <w:szCs w:val="24"/>
          <w:lang w:val="en-US"/>
        </w:rPr>
        <w:t>:</w:t>
      </w:r>
      <w:r w:rsidR="00B0120A" w:rsidRPr="00DD1B58">
        <w:rPr>
          <w:noProof/>
          <w:szCs w:val="24"/>
          <w:lang w:val="en-US"/>
        </w:rPr>
        <w:t xml:space="preserve"> </w:t>
      </w:r>
      <w:r w:rsidR="00C362CA" w:rsidRPr="00DD1B58">
        <w:rPr>
          <w:noProof/>
          <w:szCs w:val="24"/>
          <w:lang w:val="en-US"/>
        </w:rPr>
        <w:t>EDF NGL</w:t>
      </w:r>
      <w:r w:rsidR="00B0120A" w:rsidRPr="00DD1B58">
        <w:rPr>
          <w:noProof/>
          <w:szCs w:val="24"/>
          <w:lang w:val="en-US"/>
        </w:rPr>
        <w:t xml:space="preserve"> postulates that a fire </w:t>
      </w:r>
      <w:r w:rsidRPr="00DD1B58">
        <w:rPr>
          <w:noProof/>
          <w:szCs w:val="24"/>
          <w:lang w:val="en-US"/>
        </w:rPr>
        <w:t>may occur in any area of the station</w:t>
      </w:r>
      <w:r w:rsidR="00CF0CCA" w:rsidRPr="00DD1B58">
        <w:rPr>
          <w:noProof/>
          <w:szCs w:val="24"/>
          <w:lang w:val="en-US"/>
        </w:rPr>
        <w:t>,</w:t>
      </w:r>
      <w:r w:rsidRPr="00DD1B58">
        <w:rPr>
          <w:noProof/>
          <w:szCs w:val="24"/>
          <w:lang w:val="en-US"/>
        </w:rPr>
        <w:t xml:space="preserve"> and segregation by distance or physical barriers is used to limit the extent and spread of the hazard. Fires have been divided into three categories</w:t>
      </w:r>
      <w:r w:rsidR="00CF0CCA" w:rsidRPr="00DD1B58">
        <w:rPr>
          <w:noProof/>
          <w:szCs w:val="24"/>
          <w:lang w:val="en-US"/>
        </w:rPr>
        <w:t xml:space="preserve"> –</w:t>
      </w:r>
      <w:r w:rsidRPr="00DD1B58">
        <w:rPr>
          <w:noProof/>
          <w:szCs w:val="24"/>
          <w:lang w:val="en-US"/>
        </w:rPr>
        <w:t xml:space="preserve"> trivial, minor and major</w:t>
      </w:r>
      <w:r w:rsidR="00FE5E4F" w:rsidRPr="00DD1B58">
        <w:rPr>
          <w:noProof/>
          <w:szCs w:val="24"/>
          <w:lang w:val="en-US"/>
        </w:rPr>
        <w:t xml:space="preserve"> </w:t>
      </w:r>
      <w:r w:rsidR="00CF0CCA" w:rsidRPr="00DD1B58">
        <w:rPr>
          <w:noProof/>
          <w:szCs w:val="24"/>
          <w:lang w:val="en-US"/>
        </w:rPr>
        <w:t xml:space="preserve">– </w:t>
      </w:r>
      <w:r w:rsidR="00C82482" w:rsidRPr="00DD1B58">
        <w:rPr>
          <w:noProof/>
          <w:szCs w:val="24"/>
          <w:lang w:val="en-US"/>
        </w:rPr>
        <w:t xml:space="preserve">dependent upon their </w:t>
      </w:r>
      <w:r w:rsidRPr="00DD1B58">
        <w:rPr>
          <w:noProof/>
          <w:szCs w:val="24"/>
          <w:lang w:val="en-US"/>
        </w:rPr>
        <w:t xml:space="preserve">damage </w:t>
      </w:r>
      <w:r w:rsidR="00C82482" w:rsidRPr="00DD1B58">
        <w:rPr>
          <w:noProof/>
          <w:szCs w:val="24"/>
          <w:lang w:val="en-US"/>
        </w:rPr>
        <w:t xml:space="preserve">potential (see </w:t>
      </w:r>
      <w:r w:rsidR="006C6ECD" w:rsidRPr="00DD1B58">
        <w:rPr>
          <w:noProof/>
          <w:szCs w:val="24"/>
          <w:lang w:val="en-US"/>
        </w:rPr>
        <w:t xml:space="preserve">the EDF NGL </w:t>
      </w:r>
      <w:r w:rsidR="008851DF" w:rsidRPr="00DD1B58">
        <w:rPr>
          <w:noProof/>
          <w:szCs w:val="24"/>
          <w:lang w:val="en-US"/>
        </w:rPr>
        <w:t>submission</w:t>
      </w:r>
      <w:r w:rsidR="006C6ECD" w:rsidRPr="00DD1B58">
        <w:rPr>
          <w:noProof/>
          <w:szCs w:val="24"/>
          <w:lang w:val="en-US"/>
        </w:rPr>
        <w:t xml:space="preserve"> for </w:t>
      </w:r>
      <w:r w:rsidRPr="00DD1B58">
        <w:rPr>
          <w:noProof/>
          <w:szCs w:val="24"/>
          <w:lang w:val="en-US"/>
        </w:rPr>
        <w:t xml:space="preserve">further </w:t>
      </w:r>
      <w:r w:rsidR="006C6ECD" w:rsidRPr="00DD1B58">
        <w:rPr>
          <w:noProof/>
          <w:szCs w:val="24"/>
          <w:lang w:val="en-US"/>
        </w:rPr>
        <w:t xml:space="preserve">detail </w:t>
      </w:r>
      <w:sdt>
        <w:sdtPr>
          <w:rPr>
            <w:noProof/>
            <w:szCs w:val="24"/>
            <w:lang w:val="en-US"/>
          </w:rPr>
          <w:id w:val="1275528389"/>
          <w:citation/>
        </w:sdtPr>
        <w:sdtContent>
          <w:r w:rsidR="00A2013C" w:rsidRPr="00DD1B58">
            <w:rPr>
              <w:noProof/>
              <w:szCs w:val="24"/>
              <w:lang w:val="en-US"/>
            </w:rPr>
            <w:fldChar w:fldCharType="begin"/>
          </w:r>
          <w:r w:rsidR="00A2013C" w:rsidRPr="00DD1B58">
            <w:rPr>
              <w:noProof/>
              <w:szCs w:val="24"/>
              <w:lang w:val="en-US"/>
            </w:rPr>
            <w:instrText xml:space="preserve"> CITATION EDF231 \l 2057 </w:instrText>
          </w:r>
          <w:r w:rsidR="00A2013C" w:rsidRPr="00DD1B58">
            <w:rPr>
              <w:noProof/>
              <w:szCs w:val="24"/>
              <w:lang w:val="en-US"/>
            </w:rPr>
            <w:fldChar w:fldCharType="separate"/>
          </w:r>
          <w:r w:rsidR="00DF47DA" w:rsidRPr="00DF47DA">
            <w:rPr>
              <w:noProof/>
              <w:szCs w:val="24"/>
              <w:lang w:val="en-US"/>
            </w:rPr>
            <w:t>[25]</w:t>
          </w:r>
          <w:r w:rsidR="00A2013C" w:rsidRPr="00DD1B58">
            <w:rPr>
              <w:noProof/>
              <w:szCs w:val="24"/>
              <w:lang w:val="en-US"/>
            </w:rPr>
            <w:fldChar w:fldCharType="end"/>
          </w:r>
        </w:sdtContent>
      </w:sdt>
      <w:r w:rsidR="00A2013C" w:rsidRPr="00DD1B58">
        <w:rPr>
          <w:noProof/>
          <w:szCs w:val="24"/>
          <w:lang w:val="en-US"/>
        </w:rPr>
        <w:t>).</w:t>
      </w:r>
      <w:r w:rsidRPr="00DD1B58">
        <w:rPr>
          <w:noProof/>
          <w:szCs w:val="24"/>
          <w:lang w:val="en-US"/>
        </w:rPr>
        <w:t xml:space="preserve"> The damage caused by plant fires at locations which could challenge nuclear safety </w:t>
      </w:r>
      <w:r w:rsidR="00707E6B" w:rsidRPr="00DD1B58">
        <w:rPr>
          <w:noProof/>
          <w:szCs w:val="24"/>
          <w:lang w:val="en-US"/>
        </w:rPr>
        <w:t>is</w:t>
      </w:r>
      <w:r w:rsidRPr="00DD1B58">
        <w:rPr>
          <w:noProof/>
          <w:szCs w:val="24"/>
          <w:lang w:val="en-US"/>
        </w:rPr>
        <w:t xml:space="preserve"> </w:t>
      </w:r>
      <w:r w:rsidR="006945EA" w:rsidRPr="00DD1B58">
        <w:rPr>
          <w:noProof/>
          <w:szCs w:val="24"/>
          <w:lang w:val="en-US"/>
        </w:rPr>
        <w:t xml:space="preserve">subsequently </w:t>
      </w:r>
      <w:r w:rsidRPr="00DD1B58">
        <w:rPr>
          <w:noProof/>
          <w:szCs w:val="24"/>
          <w:lang w:val="en-US"/>
        </w:rPr>
        <w:t>assessed and</w:t>
      </w:r>
      <w:r w:rsidR="71206220" w:rsidRPr="00DD1B58">
        <w:rPr>
          <w:noProof/>
          <w:szCs w:val="24"/>
          <w:lang w:val="en-US"/>
        </w:rPr>
        <w:t xml:space="preserve"> </w:t>
      </w:r>
      <w:r w:rsidRPr="00DD1B58">
        <w:rPr>
          <w:noProof/>
          <w:szCs w:val="24"/>
          <w:lang w:val="en-US"/>
        </w:rPr>
        <w:t>described in the safety case.</w:t>
      </w:r>
    </w:p>
    <w:p w14:paraId="7F057076" w14:textId="0B6FEFC8" w:rsidR="6A2E56C4" w:rsidRPr="00DD1B58" w:rsidRDefault="6A2E56C4" w:rsidP="774B19A3">
      <w:pPr>
        <w:rPr>
          <w:lang w:val="en-US"/>
        </w:rPr>
      </w:pPr>
      <w:r w:rsidRPr="00DD1B58">
        <w:rPr>
          <w:b/>
          <w:noProof/>
          <w:szCs w:val="24"/>
          <w:lang w:val="en-US"/>
        </w:rPr>
        <w:t>Sizewell B</w:t>
      </w:r>
      <w:r w:rsidR="00203D6F" w:rsidRPr="00DD1B58">
        <w:rPr>
          <w:b/>
          <w:noProof/>
          <w:szCs w:val="24"/>
          <w:lang w:val="en-US"/>
        </w:rPr>
        <w:t>:</w:t>
      </w:r>
      <w:r w:rsidR="00A838C6" w:rsidRPr="00DD1B58">
        <w:rPr>
          <w:b/>
          <w:noProof/>
          <w:szCs w:val="24"/>
          <w:lang w:val="en-US"/>
        </w:rPr>
        <w:t xml:space="preserve"> </w:t>
      </w:r>
      <w:r w:rsidR="00203D6F" w:rsidRPr="00DD1B58">
        <w:rPr>
          <w:noProof/>
          <w:szCs w:val="24"/>
          <w:lang w:val="en-US"/>
        </w:rPr>
        <w:t>a</w:t>
      </w:r>
      <w:r w:rsidRPr="00DD1B58">
        <w:rPr>
          <w:noProof/>
          <w:szCs w:val="24"/>
          <w:lang w:val="en-US"/>
        </w:rPr>
        <w:t xml:space="preserve">ll equipment within a fire area is considered to fail immediately from the onset of the fire. </w:t>
      </w:r>
      <w:r w:rsidR="00C362CA" w:rsidRPr="00DD1B58">
        <w:rPr>
          <w:noProof/>
          <w:szCs w:val="24"/>
          <w:lang w:val="en-US"/>
        </w:rPr>
        <w:t>EDF NGL</w:t>
      </w:r>
      <w:r w:rsidR="006945EA" w:rsidRPr="00DD1B58">
        <w:rPr>
          <w:noProof/>
          <w:szCs w:val="24"/>
          <w:lang w:val="en-US"/>
        </w:rPr>
        <w:t xml:space="preserve"> considers this</w:t>
      </w:r>
      <w:r w:rsidRPr="00DD1B58">
        <w:rPr>
          <w:noProof/>
          <w:szCs w:val="24"/>
          <w:lang w:val="en-US"/>
        </w:rPr>
        <w:t xml:space="preserve"> a</w:t>
      </w:r>
      <w:r w:rsidR="006945EA" w:rsidRPr="00DD1B58">
        <w:rPr>
          <w:noProof/>
          <w:szCs w:val="24"/>
          <w:lang w:val="en-US"/>
        </w:rPr>
        <w:t>s a</w:t>
      </w:r>
      <w:r w:rsidR="00B97438" w:rsidRPr="00DD1B58">
        <w:rPr>
          <w:noProof/>
          <w:szCs w:val="24"/>
          <w:lang w:val="en-US"/>
        </w:rPr>
        <w:t>n acceptable</w:t>
      </w:r>
      <w:r w:rsidR="67AB5361" w:rsidRPr="00DD1B58">
        <w:rPr>
          <w:noProof/>
          <w:szCs w:val="24"/>
          <w:lang w:val="en-US"/>
        </w:rPr>
        <w:t xml:space="preserve"> </w:t>
      </w:r>
      <w:r w:rsidRPr="00DD1B58">
        <w:rPr>
          <w:noProof/>
          <w:szCs w:val="24"/>
          <w:lang w:val="en-US"/>
        </w:rPr>
        <w:t>conservative assumption</w:t>
      </w:r>
      <w:r w:rsidR="00B97438" w:rsidRPr="00DD1B58">
        <w:rPr>
          <w:noProof/>
          <w:szCs w:val="24"/>
          <w:lang w:val="en-US"/>
        </w:rPr>
        <w:t xml:space="preserve"> </w:t>
      </w:r>
      <w:r w:rsidR="00745035" w:rsidRPr="00DD1B58">
        <w:rPr>
          <w:noProof/>
          <w:szCs w:val="24"/>
          <w:lang w:val="en-US"/>
        </w:rPr>
        <w:t>u</w:t>
      </w:r>
      <w:r w:rsidR="00B97438" w:rsidRPr="00DD1B58">
        <w:rPr>
          <w:noProof/>
          <w:szCs w:val="24"/>
          <w:lang w:val="en-US"/>
        </w:rPr>
        <w:t>nderpinning the robustness of the design.</w:t>
      </w:r>
    </w:p>
    <w:p w14:paraId="0EB869CA" w14:textId="77777777" w:rsidR="41B0F3B5" w:rsidRPr="00DD1B58" w:rsidRDefault="6A2E56C4" w:rsidP="00CD4BFC">
      <w:pPr>
        <w:pStyle w:val="Heading4"/>
        <w:numPr>
          <w:ilvl w:val="4"/>
          <w:numId w:val="3"/>
        </w:numPr>
        <w:rPr>
          <w:noProof/>
          <w:szCs w:val="24"/>
          <w:lang w:val="en-US"/>
        </w:rPr>
      </w:pPr>
      <w:r w:rsidRPr="00DD1B58">
        <w:rPr>
          <w:lang w:val="en-US"/>
        </w:rPr>
        <w:t>Fire phenomena complexity</w:t>
      </w:r>
    </w:p>
    <w:p w14:paraId="6490621C" w14:textId="15B41211" w:rsidR="6A2E56C4" w:rsidRPr="00DD1B58" w:rsidRDefault="6A2E56C4" w:rsidP="774B19A3">
      <w:pPr>
        <w:rPr>
          <w:lang w:val="en-US"/>
        </w:rPr>
      </w:pPr>
      <w:r w:rsidRPr="00DD1B58">
        <w:rPr>
          <w:b/>
          <w:noProof/>
          <w:szCs w:val="24"/>
          <w:lang w:val="en-US"/>
        </w:rPr>
        <w:t>General</w:t>
      </w:r>
      <w:r w:rsidR="00203D6F"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8C71C4" w:rsidRPr="00DD1B58">
        <w:rPr>
          <w:noProof/>
          <w:szCs w:val="24"/>
          <w:lang w:val="en-US"/>
        </w:rPr>
        <w:t xml:space="preserve"> considers the complexity of fire phenomena through</w:t>
      </w:r>
      <w:r w:rsidRPr="00DD1B58">
        <w:rPr>
          <w:noProof/>
          <w:szCs w:val="24"/>
          <w:lang w:val="en-US"/>
        </w:rPr>
        <w:t xml:space="preserve"> understanding the basic properties of the fuels, the</w:t>
      </w:r>
      <w:r w:rsidR="220E30C1" w:rsidRPr="00DD1B58">
        <w:rPr>
          <w:noProof/>
          <w:szCs w:val="24"/>
          <w:lang w:val="en-US"/>
        </w:rPr>
        <w:t xml:space="preserve"> </w:t>
      </w:r>
      <w:r w:rsidRPr="00DD1B58">
        <w:rPr>
          <w:noProof/>
          <w:szCs w:val="24"/>
          <w:lang w:val="en-US"/>
        </w:rPr>
        <w:t xml:space="preserve">nature of fire, the effect of ventilation on fire </w:t>
      </w:r>
      <w:r w:rsidR="00203D6F" w:rsidRPr="00DD1B58">
        <w:rPr>
          <w:noProof/>
          <w:szCs w:val="24"/>
          <w:lang w:val="en-US"/>
        </w:rPr>
        <w:t>(</w:t>
      </w:r>
      <w:r w:rsidR="008A375B" w:rsidRPr="00DD1B58">
        <w:rPr>
          <w:noProof/>
          <w:szCs w:val="24"/>
          <w:lang w:val="en-US"/>
        </w:rPr>
        <w:t>including</w:t>
      </w:r>
      <w:r w:rsidRPr="00DD1B58">
        <w:rPr>
          <w:noProof/>
          <w:szCs w:val="24"/>
          <w:lang w:val="en-US"/>
        </w:rPr>
        <w:t xml:space="preserve"> fire spread</w:t>
      </w:r>
      <w:r w:rsidR="00203D6F" w:rsidRPr="00DD1B58">
        <w:rPr>
          <w:noProof/>
          <w:szCs w:val="24"/>
          <w:lang w:val="en-US"/>
        </w:rPr>
        <w:t>)</w:t>
      </w:r>
      <w:r w:rsidRPr="00DD1B58">
        <w:rPr>
          <w:noProof/>
          <w:szCs w:val="24"/>
          <w:lang w:val="en-US"/>
        </w:rPr>
        <w:t>, formation of hot gas layers and thermal</w:t>
      </w:r>
      <w:r w:rsidR="16049540" w:rsidRPr="00DD1B58">
        <w:rPr>
          <w:noProof/>
          <w:szCs w:val="24"/>
          <w:lang w:val="en-US"/>
        </w:rPr>
        <w:t xml:space="preserve"> </w:t>
      </w:r>
      <w:r w:rsidRPr="00DD1B58">
        <w:rPr>
          <w:noProof/>
          <w:szCs w:val="24"/>
          <w:lang w:val="en-US"/>
        </w:rPr>
        <w:t xml:space="preserve">radiation. The complexity of a fire </w:t>
      </w:r>
      <w:r w:rsidR="008A375B" w:rsidRPr="00DD1B58">
        <w:rPr>
          <w:noProof/>
          <w:szCs w:val="24"/>
          <w:lang w:val="en-US"/>
        </w:rPr>
        <w:t>is graded in the assessment</w:t>
      </w:r>
      <w:r w:rsidR="000D4061" w:rsidRPr="00DD1B58">
        <w:rPr>
          <w:noProof/>
          <w:szCs w:val="24"/>
          <w:lang w:val="en-US"/>
        </w:rPr>
        <w:t>. For example,</w:t>
      </w:r>
      <w:r w:rsidRPr="00DD1B58">
        <w:rPr>
          <w:noProof/>
          <w:szCs w:val="24"/>
          <w:lang w:val="en-US"/>
        </w:rPr>
        <w:t xml:space="preserve"> </w:t>
      </w:r>
      <w:r w:rsidR="00C362CA" w:rsidRPr="00DD1B58">
        <w:rPr>
          <w:noProof/>
          <w:szCs w:val="24"/>
          <w:lang w:val="en-US"/>
        </w:rPr>
        <w:t>EDF NGL</w:t>
      </w:r>
      <w:r w:rsidR="008A375B" w:rsidRPr="00DD1B58">
        <w:rPr>
          <w:noProof/>
          <w:szCs w:val="24"/>
          <w:lang w:val="en-US"/>
        </w:rPr>
        <w:t xml:space="preserve"> considers</w:t>
      </w:r>
      <w:r w:rsidRPr="00DD1B58">
        <w:rPr>
          <w:noProof/>
          <w:szCs w:val="24"/>
          <w:lang w:val="en-US"/>
        </w:rPr>
        <w:t xml:space="preserve"> a low pressure release of transformer oil into a</w:t>
      </w:r>
      <w:r w:rsidR="76D5308E" w:rsidRPr="00DD1B58">
        <w:rPr>
          <w:noProof/>
          <w:szCs w:val="24"/>
          <w:lang w:val="en-US"/>
        </w:rPr>
        <w:t xml:space="preserve"> </w:t>
      </w:r>
      <w:r w:rsidRPr="00DD1B58">
        <w:rPr>
          <w:noProof/>
          <w:szCs w:val="24"/>
          <w:lang w:val="en-US"/>
        </w:rPr>
        <w:t xml:space="preserve">sealed bund </w:t>
      </w:r>
      <w:r w:rsidR="00623D37" w:rsidRPr="00DD1B58">
        <w:rPr>
          <w:noProof/>
          <w:szCs w:val="24"/>
          <w:lang w:val="en-US"/>
        </w:rPr>
        <w:t xml:space="preserve">as </w:t>
      </w:r>
      <w:r w:rsidRPr="00DD1B58">
        <w:rPr>
          <w:noProof/>
          <w:szCs w:val="24"/>
          <w:lang w:val="en-US"/>
        </w:rPr>
        <w:t xml:space="preserve">a low complexity event, </w:t>
      </w:r>
      <w:r w:rsidR="00623D37" w:rsidRPr="00DD1B58">
        <w:rPr>
          <w:noProof/>
          <w:szCs w:val="24"/>
          <w:lang w:val="en-US"/>
        </w:rPr>
        <w:t xml:space="preserve">which </w:t>
      </w:r>
      <w:r w:rsidRPr="00DD1B58">
        <w:rPr>
          <w:noProof/>
          <w:szCs w:val="24"/>
          <w:lang w:val="en-US"/>
        </w:rPr>
        <w:t xml:space="preserve">can be </w:t>
      </w:r>
      <w:r w:rsidR="00A07EAF" w:rsidRPr="00DD1B58">
        <w:rPr>
          <w:noProof/>
          <w:szCs w:val="24"/>
          <w:lang w:val="en-US"/>
        </w:rPr>
        <w:t xml:space="preserve">characterised </w:t>
      </w:r>
      <w:r w:rsidRPr="00DD1B58">
        <w:rPr>
          <w:noProof/>
          <w:szCs w:val="24"/>
          <w:lang w:val="en-US"/>
        </w:rPr>
        <w:t xml:space="preserve">by assuming </w:t>
      </w:r>
      <w:r w:rsidR="000D4061" w:rsidRPr="00DD1B58">
        <w:rPr>
          <w:noProof/>
          <w:szCs w:val="24"/>
          <w:lang w:val="en-US"/>
        </w:rPr>
        <w:t>‘</w:t>
      </w:r>
      <w:r w:rsidRPr="00DD1B58">
        <w:rPr>
          <w:noProof/>
          <w:szCs w:val="24"/>
          <w:lang w:val="en-US"/>
        </w:rPr>
        <w:t>full surface involvement</w:t>
      </w:r>
      <w:r w:rsidR="000D4061" w:rsidRPr="00DD1B58">
        <w:rPr>
          <w:noProof/>
          <w:szCs w:val="24"/>
          <w:lang w:val="en-US"/>
        </w:rPr>
        <w:t>’</w:t>
      </w:r>
      <w:r w:rsidR="00623D37" w:rsidRPr="00DD1B58">
        <w:rPr>
          <w:noProof/>
          <w:szCs w:val="24"/>
          <w:lang w:val="en-US"/>
        </w:rPr>
        <w:t xml:space="preserve"> of the combustible inventory</w:t>
      </w:r>
      <w:r w:rsidR="3B7E3D2D" w:rsidRPr="00DD1B58">
        <w:rPr>
          <w:noProof/>
          <w:szCs w:val="24"/>
          <w:lang w:val="en-US"/>
        </w:rPr>
        <w:t xml:space="preserve"> </w:t>
      </w:r>
      <w:r w:rsidRPr="00DD1B58">
        <w:rPr>
          <w:noProof/>
          <w:szCs w:val="24"/>
          <w:lang w:val="en-US"/>
        </w:rPr>
        <w:t xml:space="preserve">from the point of ignition, </w:t>
      </w:r>
      <w:r w:rsidR="00A07EAF" w:rsidRPr="00DD1B58">
        <w:rPr>
          <w:noProof/>
          <w:szCs w:val="24"/>
          <w:lang w:val="en-US"/>
        </w:rPr>
        <w:t xml:space="preserve">a </w:t>
      </w:r>
      <w:r w:rsidRPr="00DD1B58">
        <w:rPr>
          <w:noProof/>
          <w:szCs w:val="24"/>
          <w:lang w:val="en-US"/>
        </w:rPr>
        <w:t xml:space="preserve">constant regression rate and fire power, </w:t>
      </w:r>
      <w:r w:rsidR="00D17F68" w:rsidRPr="00DD1B58">
        <w:rPr>
          <w:noProof/>
          <w:szCs w:val="24"/>
          <w:lang w:val="en-US"/>
        </w:rPr>
        <w:t>culminat</w:t>
      </w:r>
      <w:r w:rsidR="0084473A" w:rsidRPr="00DD1B58">
        <w:rPr>
          <w:noProof/>
          <w:szCs w:val="24"/>
          <w:lang w:val="en-US"/>
        </w:rPr>
        <w:t>ing</w:t>
      </w:r>
      <w:r w:rsidR="00D17F68" w:rsidRPr="00DD1B58">
        <w:rPr>
          <w:noProof/>
          <w:szCs w:val="24"/>
          <w:lang w:val="en-US"/>
        </w:rPr>
        <w:t xml:space="preserve"> in </w:t>
      </w:r>
      <w:r w:rsidRPr="00DD1B58">
        <w:rPr>
          <w:noProof/>
          <w:szCs w:val="24"/>
          <w:lang w:val="en-US"/>
        </w:rPr>
        <w:t xml:space="preserve">combustion of the entire fuel </w:t>
      </w:r>
      <w:r w:rsidR="00D17F68" w:rsidRPr="00DD1B58">
        <w:rPr>
          <w:noProof/>
          <w:szCs w:val="24"/>
          <w:lang w:val="en-US"/>
        </w:rPr>
        <w:t>inventory</w:t>
      </w:r>
      <w:r w:rsidRPr="00DD1B58">
        <w:rPr>
          <w:noProof/>
          <w:szCs w:val="24"/>
          <w:lang w:val="en-US"/>
        </w:rPr>
        <w:t>.</w:t>
      </w:r>
      <w:r w:rsidR="00D17F68" w:rsidRPr="00DD1B58">
        <w:rPr>
          <w:noProof/>
          <w:szCs w:val="24"/>
          <w:lang w:val="en-US"/>
        </w:rPr>
        <w:t xml:space="preserve"> </w:t>
      </w:r>
      <w:r w:rsidR="00C362CA" w:rsidRPr="00DD1B58">
        <w:rPr>
          <w:lang w:val="en-US"/>
        </w:rPr>
        <w:t>EDF NGL</w:t>
      </w:r>
      <w:r w:rsidR="00D17F68" w:rsidRPr="00DD1B58">
        <w:rPr>
          <w:lang w:val="en-US"/>
        </w:rPr>
        <w:t xml:space="preserve"> undertook this type of analysis for </w:t>
      </w:r>
      <w:r w:rsidRPr="00DD1B58">
        <w:rPr>
          <w:lang w:val="en-US"/>
        </w:rPr>
        <w:t xml:space="preserve">the HNB Turbine Hall. </w:t>
      </w:r>
      <w:r w:rsidR="00C362CA" w:rsidRPr="00DD1B58">
        <w:rPr>
          <w:lang w:val="en-US"/>
        </w:rPr>
        <w:t>EDF NGL</w:t>
      </w:r>
      <w:r w:rsidR="00D17F68" w:rsidRPr="00DD1B58">
        <w:rPr>
          <w:lang w:val="en-US"/>
        </w:rPr>
        <w:t xml:space="preserve"> analyses m</w:t>
      </w:r>
      <w:r w:rsidRPr="00DD1B58">
        <w:rPr>
          <w:lang w:val="en-US"/>
        </w:rPr>
        <w:t>ore complex phenomena such as 3D</w:t>
      </w:r>
      <w:r w:rsidR="4F6B5525" w:rsidRPr="00DD1B58">
        <w:rPr>
          <w:lang w:val="en-US"/>
        </w:rPr>
        <w:t xml:space="preserve"> </w:t>
      </w:r>
      <w:r w:rsidRPr="00DD1B58">
        <w:rPr>
          <w:lang w:val="en-US"/>
        </w:rPr>
        <w:t xml:space="preserve">jet fires using more sophisticated </w:t>
      </w:r>
      <w:r w:rsidR="00D17F68" w:rsidRPr="00DD1B58">
        <w:rPr>
          <w:lang w:val="en-US"/>
        </w:rPr>
        <w:t xml:space="preserve">approaches </w:t>
      </w:r>
      <w:r w:rsidR="000D4061" w:rsidRPr="00DD1B58">
        <w:rPr>
          <w:lang w:val="en-US"/>
        </w:rPr>
        <w:t>(</w:t>
      </w:r>
      <w:r w:rsidRPr="00DD1B58">
        <w:rPr>
          <w:lang w:val="en-US"/>
        </w:rPr>
        <w:t>e.g.</w:t>
      </w:r>
      <w:r w:rsidR="000D4061" w:rsidRPr="00DD1B58">
        <w:rPr>
          <w:lang w:val="en-US"/>
        </w:rPr>
        <w:t>,</w:t>
      </w:r>
      <w:r w:rsidRPr="00DD1B58">
        <w:rPr>
          <w:lang w:val="en-US"/>
        </w:rPr>
        <w:t xml:space="preserve"> a </w:t>
      </w:r>
      <w:r w:rsidR="00D17F68" w:rsidRPr="00DD1B58">
        <w:rPr>
          <w:lang w:val="en-US"/>
        </w:rPr>
        <w:t xml:space="preserve">range </w:t>
      </w:r>
      <w:r w:rsidRPr="00DD1B58">
        <w:rPr>
          <w:lang w:val="en-US"/>
        </w:rPr>
        <w:t>of leak rates</w:t>
      </w:r>
      <w:r w:rsidR="000D4061" w:rsidRPr="00DD1B58">
        <w:rPr>
          <w:lang w:val="en-US"/>
        </w:rPr>
        <w:t>)</w:t>
      </w:r>
      <w:r w:rsidRPr="00DD1B58">
        <w:rPr>
          <w:lang w:val="en-US"/>
        </w:rPr>
        <w:t xml:space="preserve"> and </w:t>
      </w:r>
      <w:r w:rsidR="00D17F68" w:rsidRPr="00DD1B58">
        <w:rPr>
          <w:lang w:val="en-US"/>
        </w:rPr>
        <w:t xml:space="preserve">by making </w:t>
      </w:r>
      <w:r w:rsidRPr="00DD1B58">
        <w:rPr>
          <w:lang w:val="en-US"/>
        </w:rPr>
        <w:t>use of the</w:t>
      </w:r>
      <w:r w:rsidR="38D19282" w:rsidRPr="00DD1B58">
        <w:rPr>
          <w:lang w:val="en-US"/>
        </w:rPr>
        <w:t xml:space="preserve"> </w:t>
      </w:r>
      <w:r w:rsidRPr="00DD1B58">
        <w:rPr>
          <w:lang w:val="en-US"/>
        </w:rPr>
        <w:t>PHAST tool to predict the characteristics of the jet flame.</w:t>
      </w:r>
    </w:p>
    <w:p w14:paraId="1210C7BB" w14:textId="081D3830" w:rsidR="42191950" w:rsidRPr="00DD1B58" w:rsidRDefault="42191950" w:rsidP="00CD4BFC">
      <w:pPr>
        <w:pStyle w:val="Heading4"/>
        <w:numPr>
          <w:ilvl w:val="4"/>
          <w:numId w:val="3"/>
        </w:numPr>
        <w:rPr>
          <w:lang w:val="en-US"/>
        </w:rPr>
      </w:pPr>
      <w:r w:rsidRPr="00DD1B58">
        <w:rPr>
          <w:lang w:val="en-US"/>
        </w:rPr>
        <w:lastRenderedPageBreak/>
        <w:t>Radioactive dispersion and release due to fire</w:t>
      </w:r>
    </w:p>
    <w:p w14:paraId="28CB1891" w14:textId="5F5100DD" w:rsidR="42191950" w:rsidRPr="00DD1B58" w:rsidRDefault="42191950" w:rsidP="774B19A3">
      <w:pPr>
        <w:rPr>
          <w:lang w:val="en-US"/>
        </w:rPr>
      </w:pPr>
      <w:r w:rsidRPr="00DD1B58">
        <w:rPr>
          <w:b/>
          <w:noProof/>
          <w:szCs w:val="24"/>
          <w:lang w:val="en-US"/>
        </w:rPr>
        <w:t>General</w:t>
      </w:r>
      <w:r w:rsidR="00076E5B" w:rsidRPr="00DD1B58">
        <w:rPr>
          <w:b/>
          <w:noProof/>
          <w:szCs w:val="24"/>
          <w:lang w:val="en-US"/>
        </w:rPr>
        <w:t>:</w:t>
      </w:r>
      <w:r w:rsidR="00A838C6" w:rsidRPr="00DD1B58">
        <w:rPr>
          <w:b/>
          <w:noProof/>
          <w:szCs w:val="24"/>
          <w:lang w:val="en-US"/>
        </w:rPr>
        <w:t xml:space="preserve"> </w:t>
      </w:r>
      <w:r w:rsidR="00C362CA" w:rsidRPr="00DD1B58">
        <w:rPr>
          <w:noProof/>
          <w:szCs w:val="24"/>
          <w:lang w:val="en-US"/>
        </w:rPr>
        <w:t>EDF NGL</w:t>
      </w:r>
      <w:r w:rsidR="007937FF" w:rsidRPr="00DD1B58">
        <w:rPr>
          <w:noProof/>
          <w:szCs w:val="24"/>
          <w:lang w:val="en-US"/>
        </w:rPr>
        <w:t>’s</w:t>
      </w:r>
      <w:r w:rsidRPr="00DD1B58">
        <w:rPr>
          <w:noProof/>
          <w:szCs w:val="24"/>
          <w:lang w:val="en-US"/>
        </w:rPr>
        <w:t xml:space="preserve"> </w:t>
      </w:r>
      <w:r w:rsidR="00076E5B" w:rsidRPr="00DD1B58">
        <w:rPr>
          <w:noProof/>
          <w:szCs w:val="24"/>
          <w:lang w:val="en-US"/>
        </w:rPr>
        <w:t>s</w:t>
      </w:r>
      <w:r w:rsidRPr="00DD1B58">
        <w:rPr>
          <w:noProof/>
          <w:szCs w:val="24"/>
          <w:lang w:val="en-US"/>
        </w:rPr>
        <w:t xml:space="preserve">afety </w:t>
      </w:r>
      <w:r w:rsidR="00076E5B" w:rsidRPr="00DD1B58">
        <w:rPr>
          <w:noProof/>
          <w:szCs w:val="24"/>
          <w:lang w:val="en-US"/>
        </w:rPr>
        <w:t>c</w:t>
      </w:r>
      <w:r w:rsidRPr="00DD1B58">
        <w:rPr>
          <w:noProof/>
          <w:szCs w:val="24"/>
          <w:lang w:val="en-US"/>
        </w:rPr>
        <w:t>ases</w:t>
      </w:r>
      <w:r w:rsidR="007937FF" w:rsidRPr="00DD1B58">
        <w:rPr>
          <w:noProof/>
          <w:szCs w:val="24"/>
          <w:lang w:val="en-US"/>
        </w:rPr>
        <w:t xml:space="preserve"> for</w:t>
      </w:r>
      <w:r w:rsidRPr="00DD1B58">
        <w:rPr>
          <w:noProof/>
          <w:szCs w:val="24"/>
          <w:lang w:val="en-US"/>
        </w:rPr>
        <w:t xml:space="preserve"> </w:t>
      </w:r>
      <w:r w:rsidR="007937FF" w:rsidRPr="00DD1B58">
        <w:rPr>
          <w:noProof/>
          <w:szCs w:val="24"/>
          <w:lang w:val="en-US"/>
        </w:rPr>
        <w:t>r</w:t>
      </w:r>
      <w:r w:rsidRPr="00DD1B58">
        <w:rPr>
          <w:noProof/>
          <w:szCs w:val="24"/>
          <w:lang w:val="en-US"/>
        </w:rPr>
        <w:t xml:space="preserve">adwaste </w:t>
      </w:r>
      <w:r w:rsidR="007937FF" w:rsidRPr="00DD1B58">
        <w:rPr>
          <w:noProof/>
          <w:szCs w:val="24"/>
          <w:lang w:val="en-US"/>
        </w:rPr>
        <w:t>fa</w:t>
      </w:r>
      <w:r w:rsidRPr="00DD1B58">
        <w:rPr>
          <w:noProof/>
          <w:szCs w:val="24"/>
          <w:lang w:val="en-US"/>
        </w:rPr>
        <w:t xml:space="preserve">cilities </w:t>
      </w:r>
      <w:r w:rsidR="007937FF" w:rsidRPr="00DD1B58">
        <w:rPr>
          <w:noProof/>
          <w:szCs w:val="24"/>
          <w:lang w:val="en-US"/>
        </w:rPr>
        <w:t>include fire modeling</w:t>
      </w:r>
      <w:r w:rsidRPr="00DD1B58">
        <w:rPr>
          <w:noProof/>
          <w:szCs w:val="24"/>
          <w:lang w:val="en-US"/>
        </w:rPr>
        <w:t xml:space="preserve">. In general, </w:t>
      </w:r>
      <w:r w:rsidR="007937FF" w:rsidRPr="00DD1B58">
        <w:rPr>
          <w:noProof/>
          <w:szCs w:val="24"/>
          <w:lang w:val="en-US"/>
        </w:rPr>
        <w:t xml:space="preserve">EDF Energy considers that the </w:t>
      </w:r>
      <w:r w:rsidRPr="00DD1B58">
        <w:rPr>
          <w:noProof/>
          <w:szCs w:val="24"/>
          <w:lang w:val="en-US"/>
        </w:rPr>
        <w:t>following applies</w:t>
      </w:r>
      <w:r w:rsidR="007937FF" w:rsidRPr="00DD1B58">
        <w:rPr>
          <w:noProof/>
          <w:szCs w:val="24"/>
          <w:lang w:val="en-US"/>
        </w:rPr>
        <w:t>:</w:t>
      </w:r>
    </w:p>
    <w:p w14:paraId="127A3F08" w14:textId="3D56B22D" w:rsidR="42191950" w:rsidRPr="00DD1B58" w:rsidRDefault="42191950" w:rsidP="00973FF4">
      <w:pPr>
        <w:pStyle w:val="Bulletlist1"/>
        <w:rPr>
          <w:lang w:val="en-US"/>
        </w:rPr>
      </w:pPr>
      <w:r w:rsidRPr="00DD1B58">
        <w:rPr>
          <w:lang w:val="en-US"/>
        </w:rPr>
        <w:t xml:space="preserve">There is generally little material on site which is both significantly active and </w:t>
      </w:r>
      <w:r w:rsidR="00993100" w:rsidRPr="00DD1B58">
        <w:rPr>
          <w:lang w:val="en-US"/>
        </w:rPr>
        <w:t xml:space="preserve">combustible </w:t>
      </w:r>
      <w:r w:rsidRPr="00DD1B58">
        <w:rPr>
          <w:lang w:val="en-US"/>
        </w:rPr>
        <w:t xml:space="preserve">so the number of faults which need to be assessed </w:t>
      </w:r>
      <w:r w:rsidR="00993100" w:rsidRPr="00DD1B58">
        <w:rPr>
          <w:lang w:val="en-US"/>
        </w:rPr>
        <w:t xml:space="preserve">from a waste fire perspective are </w:t>
      </w:r>
      <w:r w:rsidRPr="00DD1B58">
        <w:rPr>
          <w:lang w:val="en-US"/>
        </w:rPr>
        <w:t xml:space="preserve">limited and many scenarios </w:t>
      </w:r>
      <w:r w:rsidR="008E4217" w:rsidRPr="00DD1B58">
        <w:rPr>
          <w:lang w:val="en-US"/>
        </w:rPr>
        <w:t xml:space="preserve">can be </w:t>
      </w:r>
      <w:r w:rsidRPr="00DD1B58">
        <w:rPr>
          <w:lang w:val="en-US"/>
        </w:rPr>
        <w:t>screened out before dose assessment</w:t>
      </w:r>
      <w:r w:rsidR="00993100" w:rsidRPr="00DD1B58">
        <w:rPr>
          <w:lang w:val="en-US"/>
        </w:rPr>
        <w:t>s</w:t>
      </w:r>
      <w:r w:rsidRPr="00DD1B58">
        <w:rPr>
          <w:lang w:val="en-US"/>
        </w:rPr>
        <w:t>.</w:t>
      </w:r>
    </w:p>
    <w:p w14:paraId="4351A032" w14:textId="3381AFF4" w:rsidR="42191950" w:rsidRPr="00DD1B58" w:rsidRDefault="42191950" w:rsidP="00973FF4">
      <w:pPr>
        <w:pStyle w:val="Bulletlist1"/>
        <w:rPr>
          <w:lang w:val="en-US"/>
        </w:rPr>
      </w:pPr>
      <w:r w:rsidRPr="00DD1B58">
        <w:rPr>
          <w:lang w:val="en-US"/>
        </w:rPr>
        <w:t>The modelling carried out is in support of the nuclear safety case and so is focused on those faults with sufficient radioactive waste to potentially give rise to a significant dose. Fires with small or modest quantities of radioactive material are not assessed if they do not result in a significant potential dose.</w:t>
      </w:r>
      <w:r w:rsidR="004E0F6B" w:rsidRPr="00DD1B58">
        <w:rPr>
          <w:lang w:val="en-US"/>
        </w:rPr>
        <w:t xml:space="preserve"> </w:t>
      </w:r>
      <w:r w:rsidRPr="00DD1B58">
        <w:rPr>
          <w:lang w:val="en-US"/>
        </w:rPr>
        <w:t>An example would be the paper HEPA filters used in the HVAC systems for all sites</w:t>
      </w:r>
      <w:r w:rsidR="0036506D" w:rsidRPr="00DD1B58">
        <w:rPr>
          <w:lang w:val="en-US"/>
        </w:rPr>
        <w:t>.</w:t>
      </w:r>
    </w:p>
    <w:p w14:paraId="746153E9" w14:textId="08CB46EF" w:rsidR="42191950" w:rsidRPr="00DD1B58" w:rsidRDefault="42191950" w:rsidP="00973FF4">
      <w:pPr>
        <w:pStyle w:val="Bulletlist1"/>
        <w:rPr>
          <w:lang w:val="en-US"/>
        </w:rPr>
      </w:pPr>
      <w:r w:rsidRPr="00DD1B58">
        <w:rPr>
          <w:lang w:val="en-US"/>
        </w:rPr>
        <w:t>After faults have been screened a small number remain. Typically the dose levels are such that the necessary safety case justification can be made with one or two pessimistic assessments.The two main scenarios assessed are doses from fires involving oily material with significant radioactive content (e.g.</w:t>
      </w:r>
      <w:r w:rsidR="00C51145" w:rsidRPr="00DD1B58">
        <w:rPr>
          <w:lang w:val="en-US"/>
        </w:rPr>
        <w:t>,</w:t>
      </w:r>
      <w:r w:rsidRPr="00DD1B58">
        <w:rPr>
          <w:lang w:val="en-US"/>
        </w:rPr>
        <w:t xml:space="preserve"> Gas Circulator lubricating oils) and fires in the waste processing facilities which can have large stocks of a range of wastes awaiting processing.</w:t>
      </w:r>
    </w:p>
    <w:p w14:paraId="54DD19F0" w14:textId="61685B9D" w:rsidR="42191950" w:rsidRPr="00DD1B58" w:rsidRDefault="42191950" w:rsidP="00973FF4">
      <w:pPr>
        <w:pStyle w:val="Bulletlist2"/>
        <w:rPr>
          <w:lang w:val="en-US"/>
        </w:rPr>
      </w:pPr>
      <w:r w:rsidRPr="00DD1B58">
        <w:rPr>
          <w:lang w:val="en-US"/>
        </w:rPr>
        <w:t xml:space="preserve">For oil fires </w:t>
      </w:r>
      <w:r w:rsidR="00C362CA" w:rsidRPr="00DD1B58">
        <w:rPr>
          <w:lang w:val="en-US"/>
        </w:rPr>
        <w:t>EDF NGL</w:t>
      </w:r>
      <w:r w:rsidR="00595DCF" w:rsidRPr="00DD1B58">
        <w:rPr>
          <w:lang w:val="en-US"/>
        </w:rPr>
        <w:t xml:space="preserve"> applies </w:t>
      </w:r>
      <w:r w:rsidRPr="00DD1B58">
        <w:rPr>
          <w:lang w:val="en-US"/>
        </w:rPr>
        <w:t xml:space="preserve">a bounding analysis. Since this </w:t>
      </w:r>
      <w:r w:rsidR="00595DCF" w:rsidRPr="00DD1B58">
        <w:rPr>
          <w:lang w:val="en-US"/>
        </w:rPr>
        <w:t>analysis</w:t>
      </w:r>
      <w:r w:rsidRPr="00DD1B58">
        <w:rPr>
          <w:lang w:val="en-US"/>
        </w:rPr>
        <w:t xml:space="preserve"> was </w:t>
      </w:r>
      <w:r w:rsidR="00595DCF" w:rsidRPr="00DD1B58">
        <w:rPr>
          <w:lang w:val="en-US"/>
        </w:rPr>
        <w:t xml:space="preserve">first </w:t>
      </w:r>
      <w:r w:rsidRPr="00DD1B58">
        <w:rPr>
          <w:lang w:val="en-US"/>
        </w:rPr>
        <w:t>carried out</w:t>
      </w:r>
      <w:r w:rsidR="00595DCF" w:rsidRPr="00DD1B58">
        <w:rPr>
          <w:lang w:val="en-US"/>
        </w:rPr>
        <w:t>,</w:t>
      </w:r>
      <w:r w:rsidRPr="00DD1B58">
        <w:rPr>
          <w:lang w:val="en-US"/>
        </w:rPr>
        <w:t xml:space="preserve"> the sites have moved</w:t>
      </w:r>
      <w:r w:rsidR="0809FAD2" w:rsidRPr="00DD1B58">
        <w:rPr>
          <w:lang w:val="en-US"/>
        </w:rPr>
        <w:t xml:space="preserve"> </w:t>
      </w:r>
      <w:r w:rsidRPr="00DD1B58">
        <w:rPr>
          <w:lang w:val="en-US"/>
        </w:rPr>
        <w:t xml:space="preserve">away from bulk oil storage and on-site incineration </w:t>
      </w:r>
      <w:r w:rsidR="00595DCF" w:rsidRPr="00DD1B58">
        <w:rPr>
          <w:lang w:val="en-US"/>
        </w:rPr>
        <w:t>(</w:t>
      </w:r>
      <w:r w:rsidRPr="00DD1B58">
        <w:rPr>
          <w:lang w:val="en-US"/>
        </w:rPr>
        <w:t xml:space="preserve">so </w:t>
      </w:r>
      <w:r w:rsidR="00595DCF" w:rsidRPr="00DD1B58">
        <w:rPr>
          <w:lang w:val="en-US"/>
        </w:rPr>
        <w:t xml:space="preserve">while it </w:t>
      </w:r>
      <w:r w:rsidRPr="00DD1B58">
        <w:rPr>
          <w:lang w:val="en-US"/>
        </w:rPr>
        <w:t xml:space="preserve">has remained bounding </w:t>
      </w:r>
      <w:r w:rsidR="00595DCF" w:rsidRPr="00DD1B58">
        <w:rPr>
          <w:lang w:val="en-US"/>
        </w:rPr>
        <w:t>it is</w:t>
      </w:r>
      <w:r w:rsidRPr="00DD1B58">
        <w:rPr>
          <w:lang w:val="en-US"/>
        </w:rPr>
        <w:t xml:space="preserve"> </w:t>
      </w:r>
      <w:r w:rsidR="00595DCF" w:rsidRPr="00DD1B58">
        <w:rPr>
          <w:lang w:val="en-US"/>
        </w:rPr>
        <w:t xml:space="preserve">longer </w:t>
      </w:r>
      <w:r w:rsidRPr="00DD1B58">
        <w:rPr>
          <w:lang w:val="en-US"/>
        </w:rPr>
        <w:t>representative</w:t>
      </w:r>
      <w:r w:rsidR="00595DCF" w:rsidRPr="00DD1B58">
        <w:rPr>
          <w:lang w:val="en-US"/>
        </w:rPr>
        <w:t>)</w:t>
      </w:r>
      <w:r w:rsidRPr="00DD1B58">
        <w:rPr>
          <w:lang w:val="en-US"/>
        </w:rPr>
        <w:t>.</w:t>
      </w:r>
    </w:p>
    <w:p w14:paraId="4138F59D" w14:textId="4BCEB300" w:rsidR="42191950" w:rsidRPr="00DD1B58" w:rsidRDefault="42191950" w:rsidP="00973FF4">
      <w:pPr>
        <w:pStyle w:val="Bulletlist2"/>
        <w:rPr>
          <w:lang w:val="en-US"/>
        </w:rPr>
      </w:pPr>
      <w:r w:rsidRPr="00DD1B58">
        <w:rPr>
          <w:lang w:val="en-US"/>
        </w:rPr>
        <w:t xml:space="preserve">For fires in the waste processing facilities </w:t>
      </w:r>
      <w:r w:rsidR="003D0CCE" w:rsidRPr="00DD1B58">
        <w:rPr>
          <w:lang w:val="en-US"/>
        </w:rPr>
        <w:t xml:space="preserve">EDF Energy also applies </w:t>
      </w:r>
      <w:r w:rsidRPr="00DD1B58">
        <w:rPr>
          <w:lang w:val="en-US"/>
        </w:rPr>
        <w:t xml:space="preserve">a pessimistic </w:t>
      </w:r>
      <w:r w:rsidR="003D0CCE" w:rsidRPr="00DD1B58">
        <w:rPr>
          <w:lang w:val="en-US"/>
        </w:rPr>
        <w:t xml:space="preserve">assessment </w:t>
      </w:r>
      <w:r w:rsidRPr="00DD1B58">
        <w:rPr>
          <w:lang w:val="en-US"/>
        </w:rPr>
        <w:t>approach</w:t>
      </w:r>
      <w:r w:rsidR="003D0CCE" w:rsidRPr="00DD1B58">
        <w:rPr>
          <w:lang w:val="en-US"/>
        </w:rPr>
        <w:t>: a</w:t>
      </w:r>
      <w:r w:rsidRPr="00DD1B58">
        <w:rPr>
          <w:lang w:val="en-US"/>
        </w:rPr>
        <w:t>ctual</w:t>
      </w:r>
      <w:r w:rsidR="075AD123" w:rsidRPr="00DD1B58">
        <w:rPr>
          <w:lang w:val="en-US"/>
        </w:rPr>
        <w:t xml:space="preserve"> </w:t>
      </w:r>
      <w:r w:rsidRPr="00DD1B58">
        <w:rPr>
          <w:lang w:val="en-US"/>
        </w:rPr>
        <w:t>stocks levels and relevant wastes are doubled and a sensitivity assessment undertaken to</w:t>
      </w:r>
      <w:r w:rsidR="07B85EC9" w:rsidRPr="00DD1B58">
        <w:rPr>
          <w:lang w:val="en-US"/>
        </w:rPr>
        <w:t xml:space="preserve"> </w:t>
      </w:r>
      <w:r w:rsidRPr="00DD1B58">
        <w:rPr>
          <w:lang w:val="en-US"/>
        </w:rPr>
        <w:t>establish the contribution from the individual waste streams. With regard to release/dispersion</w:t>
      </w:r>
      <w:r w:rsidR="1E485676" w:rsidRPr="00DD1B58">
        <w:rPr>
          <w:lang w:val="en-US"/>
        </w:rPr>
        <w:t xml:space="preserve"> </w:t>
      </w:r>
      <w:r w:rsidRPr="00DD1B58">
        <w:rPr>
          <w:lang w:val="en-US"/>
        </w:rPr>
        <w:t>factors a Release Fraction is claimed, no Decontamination Factor is claimed for drum</w:t>
      </w:r>
      <w:r w:rsidR="6D9CB96C" w:rsidRPr="00DD1B58">
        <w:rPr>
          <w:lang w:val="en-US"/>
        </w:rPr>
        <w:t xml:space="preserve"> </w:t>
      </w:r>
      <w:r w:rsidRPr="00DD1B58">
        <w:rPr>
          <w:lang w:val="en-US"/>
        </w:rPr>
        <w:t>containment and a Decontamination Factor is claimed for building containment based on</w:t>
      </w:r>
      <w:r w:rsidR="7217378D" w:rsidRPr="00DD1B58">
        <w:rPr>
          <w:lang w:val="en-US"/>
        </w:rPr>
        <w:t xml:space="preserve"> </w:t>
      </w:r>
      <w:r w:rsidRPr="00DD1B58">
        <w:rPr>
          <w:lang w:val="en-US"/>
        </w:rPr>
        <w:t>SQEP judgement.</w:t>
      </w:r>
    </w:p>
    <w:p w14:paraId="61D3B50F" w14:textId="33A24EAD" w:rsidR="4FF4A0D4" w:rsidRPr="00DD1B58" w:rsidRDefault="007577B2" w:rsidP="774B19A3">
      <w:pPr>
        <w:rPr>
          <w:lang w:val="en-US"/>
        </w:rPr>
      </w:pPr>
      <w:r w:rsidRPr="00DD1B58">
        <w:rPr>
          <w:bCs/>
          <w:noProof/>
          <w:szCs w:val="24"/>
          <w:lang w:val="en-US"/>
        </w:rPr>
        <w:t>The above considerations are applicable to both f</w:t>
      </w:r>
      <w:r w:rsidR="42191950" w:rsidRPr="00DD1B58">
        <w:rPr>
          <w:bCs/>
          <w:noProof/>
          <w:szCs w:val="24"/>
          <w:lang w:val="en-US"/>
        </w:rPr>
        <w:t xml:space="preserve">irst </w:t>
      </w:r>
      <w:r w:rsidRPr="00DD1B58">
        <w:rPr>
          <w:bCs/>
          <w:noProof/>
          <w:szCs w:val="24"/>
          <w:lang w:val="en-US"/>
        </w:rPr>
        <w:t>g</w:t>
      </w:r>
      <w:r w:rsidR="42191950" w:rsidRPr="00DD1B58">
        <w:rPr>
          <w:bCs/>
          <w:noProof/>
          <w:szCs w:val="24"/>
          <w:lang w:val="en-US"/>
        </w:rPr>
        <w:t>eneration (</w:t>
      </w:r>
      <w:r w:rsidRPr="00DD1B58">
        <w:rPr>
          <w:bCs/>
          <w:noProof/>
          <w:szCs w:val="24"/>
          <w:lang w:val="en-US"/>
        </w:rPr>
        <w:t>HNB</w:t>
      </w:r>
      <w:r w:rsidR="42191950" w:rsidRPr="00DD1B58">
        <w:rPr>
          <w:bCs/>
          <w:noProof/>
          <w:szCs w:val="24"/>
          <w:lang w:val="en-US"/>
        </w:rPr>
        <w:t>)</w:t>
      </w:r>
      <w:r w:rsidR="00A838C6" w:rsidRPr="00DD1B58">
        <w:rPr>
          <w:bCs/>
          <w:noProof/>
          <w:szCs w:val="24"/>
          <w:lang w:val="en-US"/>
        </w:rPr>
        <w:t xml:space="preserve"> </w:t>
      </w:r>
      <w:r w:rsidRPr="00DD1B58">
        <w:rPr>
          <w:bCs/>
          <w:noProof/>
          <w:szCs w:val="24"/>
          <w:lang w:val="en-US"/>
        </w:rPr>
        <w:t>and s</w:t>
      </w:r>
      <w:r w:rsidR="42191950" w:rsidRPr="00DD1B58">
        <w:rPr>
          <w:bCs/>
          <w:noProof/>
          <w:szCs w:val="24"/>
          <w:lang w:val="en-US"/>
        </w:rPr>
        <w:t xml:space="preserve">econd </w:t>
      </w:r>
      <w:r w:rsidRPr="00DD1B58">
        <w:rPr>
          <w:bCs/>
          <w:noProof/>
          <w:szCs w:val="24"/>
          <w:lang w:val="en-US"/>
        </w:rPr>
        <w:t>g</w:t>
      </w:r>
      <w:r w:rsidR="42191950" w:rsidRPr="00DD1B58">
        <w:rPr>
          <w:bCs/>
          <w:noProof/>
          <w:szCs w:val="24"/>
          <w:lang w:val="en-US"/>
        </w:rPr>
        <w:t>eneration</w:t>
      </w:r>
      <w:r w:rsidR="42191950" w:rsidRPr="00DD1B58">
        <w:rPr>
          <w:szCs w:val="24"/>
          <w:lang w:val="en-US"/>
        </w:rPr>
        <w:t xml:space="preserve"> (</w:t>
      </w:r>
      <w:r w:rsidRPr="00DD1B58">
        <w:rPr>
          <w:bCs/>
          <w:noProof/>
          <w:szCs w:val="24"/>
          <w:lang w:val="en-US"/>
        </w:rPr>
        <w:t>HY</w:t>
      </w:r>
      <w:r w:rsidR="42191950" w:rsidRPr="00DD1B58">
        <w:rPr>
          <w:szCs w:val="24"/>
          <w:lang w:val="en-US"/>
        </w:rPr>
        <w:t>2)</w:t>
      </w:r>
      <w:r w:rsidR="00A838C6" w:rsidRPr="00DD1B58">
        <w:rPr>
          <w:szCs w:val="24"/>
          <w:lang w:val="en-US"/>
        </w:rPr>
        <w:t xml:space="preserve"> </w:t>
      </w:r>
      <w:r w:rsidRPr="00DD1B58">
        <w:rPr>
          <w:bCs/>
          <w:noProof/>
          <w:szCs w:val="24"/>
          <w:lang w:val="en-US"/>
        </w:rPr>
        <w:t xml:space="preserve">AGRs. </w:t>
      </w:r>
      <w:r w:rsidR="002560BF" w:rsidRPr="00DD1B58">
        <w:rPr>
          <w:bCs/>
          <w:noProof/>
          <w:szCs w:val="24"/>
          <w:lang w:val="en-US"/>
        </w:rPr>
        <w:t xml:space="preserve">For </w:t>
      </w:r>
      <w:r w:rsidR="42191950" w:rsidRPr="00DD1B58">
        <w:rPr>
          <w:noProof/>
          <w:szCs w:val="24"/>
          <w:lang w:val="en-US"/>
        </w:rPr>
        <w:t>Sizewell B</w:t>
      </w:r>
      <w:r w:rsidR="002560BF" w:rsidRPr="00DD1B58">
        <w:rPr>
          <w:noProof/>
          <w:szCs w:val="24"/>
          <w:lang w:val="en-US"/>
        </w:rPr>
        <w:t xml:space="preserve">, </w:t>
      </w:r>
      <w:r w:rsidR="00C362CA" w:rsidRPr="00DD1B58">
        <w:rPr>
          <w:noProof/>
          <w:szCs w:val="24"/>
          <w:lang w:val="en-US"/>
        </w:rPr>
        <w:t>EDF NGL</w:t>
      </w:r>
      <w:r w:rsidR="002560BF" w:rsidRPr="00DD1B58">
        <w:rPr>
          <w:noProof/>
          <w:szCs w:val="24"/>
          <w:lang w:val="en-US"/>
        </w:rPr>
        <w:t>’s tools for t</w:t>
      </w:r>
      <w:r w:rsidR="42191950" w:rsidRPr="00DD1B58">
        <w:rPr>
          <w:noProof/>
          <w:szCs w:val="24"/>
          <w:lang w:val="en-US"/>
        </w:rPr>
        <w:t xml:space="preserve">he PSA </w:t>
      </w:r>
      <w:r w:rsidR="00C51145" w:rsidRPr="00DD1B58">
        <w:rPr>
          <w:noProof/>
          <w:szCs w:val="24"/>
          <w:lang w:val="en-US"/>
        </w:rPr>
        <w:t xml:space="preserve">level </w:t>
      </w:r>
      <w:r w:rsidR="42191950" w:rsidRPr="00DD1B58">
        <w:rPr>
          <w:noProof/>
          <w:szCs w:val="24"/>
          <w:lang w:val="en-US"/>
        </w:rPr>
        <w:t>3 are the same as those used for plant faults. This covers the great</w:t>
      </w:r>
      <w:r w:rsidR="74FACA37" w:rsidRPr="00DD1B58">
        <w:rPr>
          <w:noProof/>
          <w:szCs w:val="24"/>
          <w:lang w:val="en-US"/>
        </w:rPr>
        <w:t xml:space="preserve"> </w:t>
      </w:r>
      <w:r w:rsidR="42191950" w:rsidRPr="00DD1B58">
        <w:rPr>
          <w:noProof/>
          <w:szCs w:val="24"/>
          <w:lang w:val="en-US"/>
        </w:rPr>
        <w:t>majority and all the significant releases.</w:t>
      </w:r>
      <w:r w:rsidR="002560BF" w:rsidRPr="00DD1B58">
        <w:rPr>
          <w:noProof/>
          <w:szCs w:val="24"/>
          <w:lang w:val="en-US"/>
        </w:rPr>
        <w:t xml:space="preserve"> </w:t>
      </w:r>
      <w:r w:rsidR="4FF4A0D4" w:rsidRPr="00DD1B58">
        <w:rPr>
          <w:noProof/>
          <w:szCs w:val="24"/>
          <w:lang w:val="en-US"/>
        </w:rPr>
        <w:t>The sources of small releases from internal fires are spent resins, radwaste concentrates tanks, the</w:t>
      </w:r>
      <w:r w:rsidR="004A6066" w:rsidRPr="00DD1B58">
        <w:rPr>
          <w:noProof/>
          <w:szCs w:val="24"/>
          <w:lang w:val="en-US"/>
        </w:rPr>
        <w:t xml:space="preserve"> </w:t>
      </w:r>
      <w:r w:rsidR="4FF4A0D4" w:rsidRPr="00DD1B58">
        <w:rPr>
          <w:noProof/>
          <w:szCs w:val="24"/>
          <w:lang w:val="en-US"/>
        </w:rPr>
        <w:t>chemical storage area, and a contaminated drum. Releases from these sources were calculated and</w:t>
      </w:r>
      <w:r w:rsidR="3974BDD0" w:rsidRPr="00DD1B58">
        <w:rPr>
          <w:noProof/>
          <w:szCs w:val="24"/>
          <w:lang w:val="en-US"/>
        </w:rPr>
        <w:t xml:space="preserve"> </w:t>
      </w:r>
      <w:r w:rsidR="4FF4A0D4" w:rsidRPr="00DD1B58">
        <w:rPr>
          <w:noProof/>
          <w:szCs w:val="24"/>
          <w:lang w:val="en-US"/>
        </w:rPr>
        <w:t>shown to be acceptable.</w:t>
      </w:r>
      <w:r w:rsidR="00BF632A" w:rsidRPr="00DD1B58">
        <w:rPr>
          <w:noProof/>
          <w:szCs w:val="24"/>
          <w:lang w:val="en-US"/>
        </w:rPr>
        <w:t xml:space="preserve"> </w:t>
      </w:r>
      <w:r w:rsidR="4FF4A0D4" w:rsidRPr="00DD1B58">
        <w:rPr>
          <w:noProof/>
          <w:szCs w:val="24"/>
          <w:lang w:val="en-US"/>
        </w:rPr>
        <w:t>Data used was from the bounding design basis values.</w:t>
      </w:r>
      <w:r w:rsidR="00BF632A" w:rsidRPr="00DD1B58">
        <w:rPr>
          <w:noProof/>
          <w:szCs w:val="24"/>
          <w:lang w:val="en-US"/>
        </w:rPr>
        <w:t xml:space="preserve"> </w:t>
      </w:r>
      <w:r w:rsidR="4FF4A0D4" w:rsidRPr="00DD1B58">
        <w:rPr>
          <w:noProof/>
          <w:szCs w:val="24"/>
          <w:lang w:val="en-US"/>
        </w:rPr>
        <w:t>Decontamination factors and release fractions were the same as used for the plant faults PSA.</w:t>
      </w:r>
      <w:r w:rsidR="00BF632A" w:rsidRPr="00DD1B58">
        <w:rPr>
          <w:noProof/>
          <w:szCs w:val="24"/>
          <w:lang w:val="en-US"/>
        </w:rPr>
        <w:t xml:space="preserve"> </w:t>
      </w:r>
      <w:r w:rsidR="4FF4A0D4" w:rsidRPr="00DD1B58">
        <w:rPr>
          <w:noProof/>
          <w:szCs w:val="24"/>
          <w:lang w:val="en-US"/>
        </w:rPr>
        <w:t>For the small releases described above no decontamination factors and release fractions were claimed.</w:t>
      </w:r>
    </w:p>
    <w:p w14:paraId="11D5ECA6" w14:textId="77777777" w:rsidR="00DB3279" w:rsidRPr="00DD1B58" w:rsidRDefault="00DB3279" w:rsidP="0062501D">
      <w:pPr>
        <w:pStyle w:val="Heading4"/>
        <w:rPr>
          <w:lang w:val="en-US"/>
        </w:rPr>
      </w:pPr>
      <w:r w:rsidRPr="00DD1B58">
        <w:rPr>
          <w:lang w:val="en-US"/>
        </w:rPr>
        <w:t xml:space="preserve">Fire phenomena analyses: overview of models, data and consequences </w:t>
      </w:r>
    </w:p>
    <w:p w14:paraId="56E45ADE" w14:textId="481C8F54" w:rsidR="10AB984E" w:rsidRPr="00DD1B58" w:rsidRDefault="77DBC84F" w:rsidP="774B19A3">
      <w:pPr>
        <w:rPr>
          <w:highlight w:val="yellow"/>
          <w:lang w:val="en-US"/>
        </w:rPr>
      </w:pPr>
      <w:r w:rsidRPr="00DD1B58">
        <w:rPr>
          <w:noProof/>
          <w:lang w:val="en-US"/>
        </w:rPr>
        <w:t xml:space="preserve">The main discussion of fire phenomena analyses is </w:t>
      </w:r>
      <w:r w:rsidR="00074E7C" w:rsidRPr="00DD1B58">
        <w:rPr>
          <w:noProof/>
          <w:lang w:val="en-US"/>
        </w:rPr>
        <w:t xml:space="preserve">included </w:t>
      </w:r>
      <w:r w:rsidRPr="00DD1B58">
        <w:rPr>
          <w:noProof/>
          <w:lang w:val="en-US"/>
        </w:rPr>
        <w:t xml:space="preserve">in </w:t>
      </w:r>
      <w:r w:rsidR="00C51145" w:rsidRPr="00DD1B58">
        <w:rPr>
          <w:noProof/>
          <w:lang w:val="en-US"/>
        </w:rPr>
        <w:t>S</w:t>
      </w:r>
      <w:r w:rsidRPr="00DD1B58">
        <w:rPr>
          <w:noProof/>
          <w:lang w:val="en-US"/>
        </w:rPr>
        <w:t>ection I-2.1.2.9.</w:t>
      </w:r>
    </w:p>
    <w:p w14:paraId="117EEA31" w14:textId="1D483F22" w:rsidR="00DB3279" w:rsidRPr="00DD1B58" w:rsidRDefault="00DB3279" w:rsidP="0062501D">
      <w:pPr>
        <w:pStyle w:val="Heading4"/>
        <w:rPr>
          <w:lang w:val="en-US"/>
        </w:rPr>
      </w:pPr>
      <w:r w:rsidRPr="00DD1B58">
        <w:rPr>
          <w:lang w:val="en-US"/>
        </w:rPr>
        <w:lastRenderedPageBreak/>
        <w:t>Main results</w:t>
      </w:r>
      <w:r w:rsidR="007C3F42" w:rsidRPr="00DD1B58">
        <w:rPr>
          <w:lang w:val="en-US"/>
        </w:rPr>
        <w:t>/</w:t>
      </w:r>
      <w:r w:rsidRPr="00DD1B58">
        <w:rPr>
          <w:lang w:val="en-US"/>
        </w:rPr>
        <w:t>dominant events (licensee</w:t>
      </w:r>
      <w:r w:rsidR="00C51145" w:rsidRPr="00DD1B58">
        <w:rPr>
          <w:lang w:val="en-US"/>
        </w:rPr>
        <w:t>’</w:t>
      </w:r>
      <w:r w:rsidRPr="00DD1B58">
        <w:rPr>
          <w:lang w:val="en-US"/>
        </w:rPr>
        <w:t xml:space="preserve">s experience) </w:t>
      </w:r>
    </w:p>
    <w:p w14:paraId="4CEB10B9" w14:textId="77777777" w:rsidR="57AA00BC" w:rsidRPr="00DD1B58" w:rsidRDefault="57AA00BC" w:rsidP="774B19A3">
      <w:pPr>
        <w:rPr>
          <w:noProof/>
          <w:szCs w:val="24"/>
          <w:lang w:val="en-US"/>
        </w:rPr>
      </w:pPr>
      <w:r w:rsidRPr="00DD1B58">
        <w:rPr>
          <w:noProof/>
          <w:szCs w:val="24"/>
          <w:lang w:val="en-US"/>
        </w:rPr>
        <w:t>The main results from the Probabilistic Fire Hazard Analysis and the contribution of fire events to the</w:t>
      </w:r>
      <w:r w:rsidR="3485545A" w:rsidRPr="00DD1B58">
        <w:rPr>
          <w:noProof/>
          <w:szCs w:val="24"/>
          <w:lang w:val="en-US"/>
        </w:rPr>
        <w:t xml:space="preserve"> </w:t>
      </w:r>
      <w:r w:rsidRPr="00DD1B58">
        <w:rPr>
          <w:noProof/>
          <w:szCs w:val="24"/>
          <w:lang w:val="en-US"/>
        </w:rPr>
        <w:t xml:space="preserve">overall PSA results are described under Section </w:t>
      </w:r>
      <w:r w:rsidR="49CC5E5D" w:rsidRPr="00DD1B58">
        <w:rPr>
          <w:noProof/>
          <w:szCs w:val="24"/>
          <w:lang w:val="en-US"/>
        </w:rPr>
        <w:t>I-</w:t>
      </w:r>
      <w:r w:rsidRPr="00DD1B58">
        <w:rPr>
          <w:noProof/>
          <w:szCs w:val="24"/>
          <w:lang w:val="en-US"/>
        </w:rPr>
        <w:t>2.1.2.</w:t>
      </w:r>
    </w:p>
    <w:p w14:paraId="70ED6883" w14:textId="77777777" w:rsidR="00DB3279" w:rsidRPr="00DD1B58" w:rsidRDefault="00DB3279" w:rsidP="00364727">
      <w:pPr>
        <w:pStyle w:val="Heading4"/>
        <w:rPr>
          <w:lang w:val="en-US"/>
        </w:rPr>
      </w:pPr>
      <w:r w:rsidRPr="00DD1B58">
        <w:rPr>
          <w:lang w:val="en-US"/>
        </w:rPr>
        <w:t xml:space="preserve">Periodic review and management of changes </w:t>
      </w:r>
    </w:p>
    <w:p w14:paraId="5ECF6B97" w14:textId="6A9745F6" w:rsidR="007B5ECF" w:rsidRPr="00DD1B58" w:rsidRDefault="007B5ECF" w:rsidP="007B5ECF">
      <w:pPr>
        <w:rPr>
          <w:lang w:val="en-US"/>
        </w:rPr>
      </w:pPr>
      <w:r w:rsidRPr="00DD1B58">
        <w:rPr>
          <w:lang w:val="en-US"/>
        </w:rPr>
        <w:t xml:space="preserve">The text in this section of the report has been prepared by </w:t>
      </w:r>
      <w:r w:rsidR="00044A58" w:rsidRPr="00DD1B58">
        <w:rPr>
          <w:lang w:val="en-US"/>
        </w:rPr>
        <w:t>EDF NGL</w:t>
      </w:r>
      <w:r w:rsidRPr="00DD1B58">
        <w:rPr>
          <w:lang w:val="en-US"/>
        </w:rPr>
        <w:t xml:space="preserve">, with only minor changes by ONR as described in </w:t>
      </w:r>
      <w:r w:rsidR="00C51145" w:rsidRPr="00DD1B58">
        <w:rPr>
          <w:lang w:val="en-US"/>
        </w:rPr>
        <w:t>S</w:t>
      </w:r>
      <w:r w:rsidRPr="00DD1B58">
        <w:rPr>
          <w:lang w:val="en-US"/>
        </w:rPr>
        <w:t>ection 1.1.2.</w:t>
      </w:r>
    </w:p>
    <w:p w14:paraId="23DB4982" w14:textId="77777777" w:rsidR="00DB3279" w:rsidRPr="00DD1B58" w:rsidRDefault="00DB3279" w:rsidP="0062501D">
      <w:pPr>
        <w:pStyle w:val="Heading4"/>
        <w:numPr>
          <w:ilvl w:val="4"/>
          <w:numId w:val="3"/>
        </w:numPr>
        <w:rPr>
          <w:lang w:val="en-US"/>
        </w:rPr>
      </w:pPr>
      <w:r w:rsidRPr="00DD1B58">
        <w:rPr>
          <w:lang w:val="en-US"/>
        </w:rPr>
        <w:t xml:space="preserve">Overview of actions </w:t>
      </w:r>
    </w:p>
    <w:p w14:paraId="2E9FD353" w14:textId="3A033674" w:rsidR="774B19A3" w:rsidRPr="00DD1B58" w:rsidRDefault="00C362CA" w:rsidP="774B19A3">
      <w:pPr>
        <w:rPr>
          <w:lang w:val="en-US"/>
        </w:rPr>
      </w:pPr>
      <w:r w:rsidRPr="00DD1B58">
        <w:rPr>
          <w:lang w:val="en-US"/>
        </w:rPr>
        <w:t>EDF NGL</w:t>
      </w:r>
      <w:r w:rsidR="00144AB6" w:rsidRPr="00DD1B58">
        <w:rPr>
          <w:lang w:val="en-US"/>
        </w:rPr>
        <w:t xml:space="preserve"> </w:t>
      </w:r>
      <w:r w:rsidR="00F17023" w:rsidRPr="00DD1B58">
        <w:rPr>
          <w:lang w:val="en-US"/>
        </w:rPr>
        <w:t>applies company procedures</w:t>
      </w:r>
      <w:r w:rsidR="5C7E6179" w:rsidRPr="00DD1B58">
        <w:rPr>
          <w:lang w:val="en-US"/>
        </w:rPr>
        <w:t xml:space="preserve"> to develop and then track actions to close out. A graded approach is taken with minor issues being addressed in normal business and significant issues being assessed via the safety case anomaly process and the engineering change process. Periodic safety reviews and safety case health reviews are performed on a regular basis. Risk and corrective actions are developed and delivered by SQEP personnel in the Design Authority and Engineering functions.</w:t>
      </w:r>
      <w:r w:rsidR="001D6171" w:rsidRPr="00DD1B58">
        <w:rPr>
          <w:lang w:val="en-US"/>
        </w:rPr>
        <w:t xml:space="preserve"> </w:t>
      </w:r>
      <w:r w:rsidR="001D6171" w:rsidRPr="00DD1B58">
        <w:rPr>
          <w:noProof/>
          <w:szCs w:val="24"/>
          <w:lang w:val="en-US"/>
        </w:rPr>
        <w:t>National and international standards are reviewed every PSR to identify any changes to best practice since the design was established and the previous PSR (three PSRs have been carried out so far).</w:t>
      </w:r>
    </w:p>
    <w:p w14:paraId="447ADB7D" w14:textId="7753B170" w:rsidR="0C3227E0" w:rsidRPr="00DD1B58" w:rsidRDefault="0C3227E0" w:rsidP="774B19A3">
      <w:pPr>
        <w:rPr>
          <w:lang w:val="en-US"/>
        </w:rPr>
      </w:pPr>
      <w:r w:rsidRPr="00DD1B58">
        <w:rPr>
          <w:b/>
          <w:noProof/>
          <w:szCs w:val="24"/>
          <w:lang w:val="en-US"/>
        </w:rPr>
        <w:t>General</w:t>
      </w:r>
      <w:r w:rsidR="00C51145" w:rsidRPr="00DD1B58">
        <w:rPr>
          <w:b/>
          <w:noProof/>
          <w:szCs w:val="24"/>
          <w:lang w:val="en-US"/>
        </w:rPr>
        <w:t>:</w:t>
      </w:r>
      <w:r w:rsidR="00353796" w:rsidRPr="00DD1B58">
        <w:rPr>
          <w:b/>
          <w:noProof/>
          <w:szCs w:val="24"/>
          <w:lang w:val="en-US"/>
        </w:rPr>
        <w:t xml:space="preserve"> </w:t>
      </w:r>
      <w:r w:rsidR="00C362CA" w:rsidRPr="00DD1B58">
        <w:rPr>
          <w:noProof/>
          <w:szCs w:val="24"/>
          <w:lang w:val="en-US"/>
        </w:rPr>
        <w:t>EDF NGL</w:t>
      </w:r>
      <w:r w:rsidRPr="00DD1B58">
        <w:rPr>
          <w:noProof/>
          <w:szCs w:val="24"/>
          <w:lang w:val="en-US"/>
        </w:rPr>
        <w:t xml:space="preserve"> fire SQEPs are involved in all the fleet PSRs. This involves site walkdowns as required and verification or technical review of the draft PSR reports. As such the fire SQEPs operate within company processes.</w:t>
      </w:r>
    </w:p>
    <w:p w14:paraId="38431710" w14:textId="53C607E1" w:rsidR="0C3227E0" w:rsidRPr="00DD1B58" w:rsidRDefault="0C3227E0" w:rsidP="774B19A3">
      <w:pPr>
        <w:rPr>
          <w:lang w:val="en-US"/>
        </w:rPr>
      </w:pPr>
      <w:r w:rsidRPr="00DD1B58">
        <w:rPr>
          <w:b/>
          <w:noProof/>
          <w:szCs w:val="24"/>
          <w:lang w:val="en-US"/>
        </w:rPr>
        <w:t xml:space="preserve">First </w:t>
      </w:r>
      <w:r w:rsidR="00C51145" w:rsidRPr="00DD1B58">
        <w:rPr>
          <w:b/>
          <w:noProof/>
          <w:szCs w:val="24"/>
          <w:lang w:val="en-US"/>
        </w:rPr>
        <w:t xml:space="preserve">generation </w:t>
      </w:r>
      <w:r w:rsidRPr="00DD1B58">
        <w:rPr>
          <w:b/>
          <w:noProof/>
          <w:szCs w:val="24"/>
          <w:lang w:val="en-US"/>
        </w:rPr>
        <w:t>AGRs (</w:t>
      </w:r>
      <w:r w:rsidR="00F17023" w:rsidRPr="00DD1B58">
        <w:rPr>
          <w:b/>
          <w:noProof/>
          <w:szCs w:val="24"/>
          <w:lang w:val="en-US"/>
        </w:rPr>
        <w:t>HN</w:t>
      </w:r>
      <w:r w:rsidRPr="00DD1B58">
        <w:rPr>
          <w:b/>
          <w:noProof/>
          <w:szCs w:val="24"/>
          <w:lang w:val="en-US"/>
        </w:rPr>
        <w:t>B)</w:t>
      </w:r>
      <w:r w:rsidR="00C51145" w:rsidRPr="00DD1B58">
        <w:rPr>
          <w:b/>
          <w:noProof/>
          <w:szCs w:val="24"/>
          <w:lang w:val="en-US"/>
        </w:rPr>
        <w:t>:</w:t>
      </w:r>
      <w:r w:rsidR="00353796" w:rsidRPr="00DD1B58">
        <w:rPr>
          <w:b/>
          <w:noProof/>
          <w:szCs w:val="24"/>
          <w:lang w:val="en-US"/>
        </w:rPr>
        <w:t xml:space="preserve"> </w:t>
      </w:r>
      <w:r w:rsidR="00C51145" w:rsidRPr="00DD1B58">
        <w:rPr>
          <w:noProof/>
          <w:szCs w:val="24"/>
          <w:lang w:val="en-US"/>
        </w:rPr>
        <w:t>a</w:t>
      </w:r>
      <w:r w:rsidRPr="00DD1B58">
        <w:rPr>
          <w:noProof/>
          <w:szCs w:val="24"/>
          <w:lang w:val="en-US"/>
        </w:rPr>
        <w:t xml:space="preserve">s </w:t>
      </w:r>
      <w:r w:rsidR="00F17023" w:rsidRPr="00DD1B58">
        <w:rPr>
          <w:noProof/>
          <w:szCs w:val="24"/>
          <w:lang w:val="en-US"/>
        </w:rPr>
        <w:t>stated previously</w:t>
      </w:r>
      <w:r w:rsidRPr="00DD1B58">
        <w:rPr>
          <w:noProof/>
          <w:szCs w:val="24"/>
          <w:lang w:val="en-US"/>
        </w:rPr>
        <w:t>, the AGR fire safety review following the Browns Ferry fire resulted in numerous plant modifications at HNB and other first generation AGRs.</w:t>
      </w:r>
      <w:r w:rsidR="00F17023" w:rsidRPr="00DD1B58">
        <w:rPr>
          <w:noProof/>
          <w:szCs w:val="24"/>
          <w:lang w:val="en-US"/>
        </w:rPr>
        <w:t xml:space="preserve"> These are detailed further in </w:t>
      </w:r>
      <w:r w:rsidR="00A01B65" w:rsidRPr="00DD1B58">
        <w:rPr>
          <w:noProof/>
          <w:szCs w:val="24"/>
          <w:lang w:val="en-US"/>
        </w:rPr>
        <w:t>Sections 2.1.1.1 and 2.1.1.2.</w:t>
      </w:r>
      <w:r w:rsidR="00F17023" w:rsidRPr="00DD1B58">
        <w:rPr>
          <w:noProof/>
          <w:szCs w:val="24"/>
          <w:lang w:val="en-US"/>
        </w:rPr>
        <w:t>.</w:t>
      </w:r>
    </w:p>
    <w:p w14:paraId="00D893B0" w14:textId="43D0F108" w:rsidR="0C3227E0" w:rsidRPr="00DD1B58" w:rsidRDefault="0C3227E0" w:rsidP="774B19A3">
      <w:pPr>
        <w:rPr>
          <w:lang w:val="en-US"/>
        </w:rPr>
      </w:pPr>
      <w:r w:rsidRPr="00DD1B58">
        <w:rPr>
          <w:b/>
          <w:noProof/>
          <w:szCs w:val="24"/>
          <w:lang w:val="en-US"/>
        </w:rPr>
        <w:t xml:space="preserve">Second </w:t>
      </w:r>
      <w:r w:rsidR="00C51145" w:rsidRPr="00DD1B58">
        <w:rPr>
          <w:b/>
          <w:noProof/>
          <w:szCs w:val="24"/>
          <w:lang w:val="en-US"/>
        </w:rPr>
        <w:t xml:space="preserve">generation </w:t>
      </w:r>
      <w:r w:rsidRPr="00DD1B58">
        <w:rPr>
          <w:b/>
          <w:noProof/>
          <w:szCs w:val="24"/>
          <w:lang w:val="en-US"/>
        </w:rPr>
        <w:t>AGRs (</w:t>
      </w:r>
      <w:r w:rsidR="00F17023" w:rsidRPr="00DD1B58">
        <w:rPr>
          <w:b/>
          <w:noProof/>
          <w:szCs w:val="24"/>
          <w:lang w:val="en-US"/>
        </w:rPr>
        <w:t>HY</w:t>
      </w:r>
      <w:r w:rsidRPr="00DD1B58">
        <w:rPr>
          <w:b/>
          <w:noProof/>
          <w:szCs w:val="24"/>
          <w:lang w:val="en-US"/>
        </w:rPr>
        <w:t>2)</w:t>
      </w:r>
      <w:r w:rsidR="00C51145" w:rsidRPr="00DD1B58">
        <w:rPr>
          <w:b/>
          <w:noProof/>
          <w:szCs w:val="24"/>
          <w:lang w:val="en-US"/>
        </w:rPr>
        <w:t>:</w:t>
      </w:r>
      <w:r w:rsidR="00353796" w:rsidRPr="00DD1B58">
        <w:rPr>
          <w:b/>
          <w:noProof/>
          <w:szCs w:val="24"/>
          <w:lang w:val="en-US"/>
        </w:rPr>
        <w:t xml:space="preserve"> </w:t>
      </w:r>
      <w:r w:rsidR="00C51145" w:rsidRPr="00DD1B58">
        <w:rPr>
          <w:noProof/>
          <w:szCs w:val="24"/>
          <w:lang w:val="en-US"/>
        </w:rPr>
        <w:t>l</w:t>
      </w:r>
      <w:r w:rsidRPr="00DD1B58">
        <w:rPr>
          <w:noProof/>
          <w:szCs w:val="24"/>
          <w:lang w:val="en-US"/>
        </w:rPr>
        <w:t xml:space="preserve">essons learned from the first generation AGRs were incorporated into the design from the outset. </w:t>
      </w:r>
      <w:r w:rsidR="00C362CA" w:rsidRPr="00DD1B58">
        <w:rPr>
          <w:noProof/>
          <w:szCs w:val="24"/>
          <w:lang w:val="en-US"/>
        </w:rPr>
        <w:t>EDF NGL</w:t>
      </w:r>
      <w:r w:rsidR="00F17023" w:rsidRPr="00DD1B58">
        <w:rPr>
          <w:noProof/>
          <w:szCs w:val="24"/>
          <w:lang w:val="en-US"/>
        </w:rPr>
        <w:t xml:space="preserve"> has concluded that no</w:t>
      </w:r>
      <w:r w:rsidRPr="00DD1B58">
        <w:rPr>
          <w:noProof/>
          <w:szCs w:val="24"/>
          <w:lang w:val="en-US"/>
        </w:rPr>
        <w:t xml:space="preserve"> major changes to the fire protection arrangements</w:t>
      </w:r>
      <w:r w:rsidR="00F17023" w:rsidRPr="00DD1B58">
        <w:rPr>
          <w:noProof/>
          <w:szCs w:val="24"/>
          <w:lang w:val="en-US"/>
        </w:rPr>
        <w:t xml:space="preserve"> have been necessary</w:t>
      </w:r>
      <w:r w:rsidRPr="00DD1B58">
        <w:rPr>
          <w:noProof/>
          <w:szCs w:val="24"/>
          <w:lang w:val="en-US"/>
        </w:rPr>
        <w:t>.</w:t>
      </w:r>
    </w:p>
    <w:p w14:paraId="0017CD2B" w14:textId="0E20655E" w:rsidR="0C3227E0" w:rsidRPr="00DD1B58" w:rsidRDefault="0C3227E0" w:rsidP="774B19A3">
      <w:pPr>
        <w:rPr>
          <w:lang w:val="en-US"/>
        </w:rPr>
      </w:pPr>
      <w:r w:rsidRPr="00DD1B58">
        <w:rPr>
          <w:b/>
          <w:noProof/>
          <w:szCs w:val="24"/>
          <w:lang w:val="en-US"/>
        </w:rPr>
        <w:t>Sizewell B</w:t>
      </w:r>
      <w:r w:rsidR="00C51145" w:rsidRPr="00DD1B58">
        <w:rPr>
          <w:b/>
          <w:noProof/>
          <w:szCs w:val="24"/>
          <w:lang w:val="en-US"/>
        </w:rPr>
        <w:t>:</w:t>
      </w:r>
      <w:r w:rsidR="00353796" w:rsidRPr="00DD1B58">
        <w:rPr>
          <w:b/>
          <w:noProof/>
          <w:szCs w:val="24"/>
          <w:lang w:val="en-US"/>
        </w:rPr>
        <w:t xml:space="preserve"> </w:t>
      </w:r>
      <w:r w:rsidR="00511365" w:rsidRPr="00DD1B58">
        <w:rPr>
          <w:noProof/>
          <w:szCs w:val="24"/>
          <w:lang w:val="en-US"/>
        </w:rPr>
        <w:t xml:space="preserve"> </w:t>
      </w:r>
      <w:r w:rsidR="00C362CA" w:rsidRPr="00DD1B58">
        <w:rPr>
          <w:noProof/>
          <w:szCs w:val="24"/>
          <w:lang w:val="en-US"/>
        </w:rPr>
        <w:t>EDF NGL</w:t>
      </w:r>
      <w:r w:rsidR="00F17023" w:rsidRPr="00DD1B58">
        <w:rPr>
          <w:noProof/>
          <w:szCs w:val="24"/>
          <w:lang w:val="en-US"/>
        </w:rPr>
        <w:t xml:space="preserve"> states that, for</w:t>
      </w:r>
      <w:r w:rsidRPr="00DD1B58">
        <w:rPr>
          <w:noProof/>
          <w:szCs w:val="24"/>
          <w:lang w:val="en-US"/>
        </w:rPr>
        <w:t xml:space="preserve"> the latest PSR (PSR3)</w:t>
      </w:r>
      <w:r w:rsidR="00F17023" w:rsidRPr="00DD1B58">
        <w:rPr>
          <w:noProof/>
          <w:szCs w:val="24"/>
          <w:lang w:val="en-US"/>
        </w:rPr>
        <w:t>,</w:t>
      </w:r>
      <w:r w:rsidRPr="00DD1B58">
        <w:rPr>
          <w:noProof/>
          <w:szCs w:val="24"/>
          <w:lang w:val="en-US"/>
        </w:rPr>
        <w:t xml:space="preserve"> the fire PSA was reviewed in detail by an external consultant</w:t>
      </w:r>
      <w:r w:rsidR="00F17023" w:rsidRPr="00DD1B58">
        <w:rPr>
          <w:noProof/>
          <w:szCs w:val="24"/>
          <w:lang w:val="en-US"/>
        </w:rPr>
        <w:t xml:space="preserve"> and a</w:t>
      </w:r>
      <w:r w:rsidRPr="00DD1B58">
        <w:rPr>
          <w:noProof/>
          <w:szCs w:val="24"/>
          <w:lang w:val="en-US"/>
        </w:rPr>
        <w:t xml:space="preserve"> number of conservatism</w:t>
      </w:r>
      <w:r w:rsidR="00A01B65" w:rsidRPr="00DD1B58">
        <w:rPr>
          <w:noProof/>
          <w:szCs w:val="24"/>
          <w:lang w:val="en-US"/>
        </w:rPr>
        <w:t>s</w:t>
      </w:r>
      <w:r w:rsidRPr="00DD1B58">
        <w:rPr>
          <w:noProof/>
          <w:szCs w:val="24"/>
          <w:lang w:val="en-US"/>
        </w:rPr>
        <w:t xml:space="preserve"> were identified (which were known)</w:t>
      </w:r>
      <w:r w:rsidR="00F17023" w:rsidRPr="00DD1B58">
        <w:rPr>
          <w:noProof/>
          <w:szCs w:val="24"/>
          <w:lang w:val="en-US"/>
        </w:rPr>
        <w:t>. A</w:t>
      </w:r>
      <w:r w:rsidRPr="00DD1B58">
        <w:rPr>
          <w:noProof/>
          <w:szCs w:val="24"/>
          <w:lang w:val="en-US"/>
        </w:rPr>
        <w:t xml:space="preserve">s noted </w:t>
      </w:r>
      <w:r w:rsidR="00F17023" w:rsidRPr="00DD1B58">
        <w:rPr>
          <w:noProof/>
          <w:szCs w:val="24"/>
          <w:lang w:val="en-US"/>
        </w:rPr>
        <w:t xml:space="preserve">previously, </w:t>
      </w:r>
      <w:r w:rsidRPr="00DD1B58">
        <w:rPr>
          <w:noProof/>
          <w:szCs w:val="24"/>
          <w:lang w:val="en-US"/>
        </w:rPr>
        <w:t xml:space="preserve">the contribution of fire to the overall Core Damage Frequency is low, and a re-evaluation </w:t>
      </w:r>
      <w:r w:rsidR="00F17023" w:rsidRPr="00DD1B58">
        <w:rPr>
          <w:noProof/>
          <w:szCs w:val="24"/>
          <w:lang w:val="en-US"/>
        </w:rPr>
        <w:t>was</w:t>
      </w:r>
      <w:r w:rsidRPr="00DD1B58">
        <w:rPr>
          <w:noProof/>
          <w:szCs w:val="24"/>
          <w:lang w:val="en-US"/>
        </w:rPr>
        <w:t xml:space="preserve"> not considered necessary. The fire assessment is reviewed </w:t>
      </w:r>
      <w:r w:rsidR="00F17023" w:rsidRPr="00DD1B58">
        <w:rPr>
          <w:noProof/>
          <w:szCs w:val="24"/>
          <w:lang w:val="en-US"/>
        </w:rPr>
        <w:t xml:space="preserve">in </w:t>
      </w:r>
      <w:r w:rsidRPr="00DD1B58">
        <w:rPr>
          <w:noProof/>
          <w:szCs w:val="24"/>
          <w:lang w:val="en-US"/>
        </w:rPr>
        <w:t>each PSR.</w:t>
      </w:r>
      <w:r w:rsidR="001A3695" w:rsidRPr="00DD1B58">
        <w:rPr>
          <w:noProof/>
          <w:szCs w:val="24"/>
          <w:lang w:val="en-US"/>
        </w:rPr>
        <w:t xml:space="preserve"> </w:t>
      </w:r>
      <w:r w:rsidR="00694757" w:rsidRPr="00DD1B58">
        <w:rPr>
          <w:noProof/>
          <w:szCs w:val="24"/>
          <w:lang w:val="en-US"/>
        </w:rPr>
        <w:t xml:space="preserve">The EDF NGL </w:t>
      </w:r>
      <w:r w:rsidR="008851DF" w:rsidRPr="00DD1B58">
        <w:rPr>
          <w:noProof/>
          <w:szCs w:val="24"/>
          <w:lang w:val="en-US"/>
        </w:rPr>
        <w:t>submission</w:t>
      </w:r>
      <w:r w:rsidR="00694757" w:rsidRPr="00DD1B58">
        <w:rPr>
          <w:noProof/>
          <w:szCs w:val="24"/>
          <w:lang w:val="en-US"/>
        </w:rPr>
        <w:t xml:space="preserve"> </w:t>
      </w:r>
      <w:sdt>
        <w:sdtPr>
          <w:rPr>
            <w:noProof/>
            <w:szCs w:val="24"/>
            <w:lang w:val="en-US"/>
          </w:rPr>
          <w:id w:val="1737441661"/>
          <w:citation/>
        </w:sdtPr>
        <w:sdtContent>
          <w:r w:rsidR="00694757" w:rsidRPr="00DD1B58">
            <w:rPr>
              <w:noProof/>
              <w:szCs w:val="24"/>
              <w:lang w:val="en-US"/>
            </w:rPr>
            <w:fldChar w:fldCharType="begin"/>
          </w:r>
          <w:r w:rsidR="00694757" w:rsidRPr="00DD1B58">
            <w:rPr>
              <w:noProof/>
              <w:szCs w:val="24"/>
              <w:lang w:val="en-US"/>
            </w:rPr>
            <w:instrText xml:space="preserve"> CITATION EDF231 \l 2057 </w:instrText>
          </w:r>
          <w:r w:rsidR="00694757" w:rsidRPr="00DD1B58">
            <w:rPr>
              <w:noProof/>
              <w:szCs w:val="24"/>
              <w:lang w:val="en-US"/>
            </w:rPr>
            <w:fldChar w:fldCharType="separate"/>
          </w:r>
          <w:r w:rsidR="00DF47DA" w:rsidRPr="00DF47DA">
            <w:rPr>
              <w:noProof/>
              <w:szCs w:val="24"/>
              <w:lang w:val="en-US"/>
            </w:rPr>
            <w:t>[25]</w:t>
          </w:r>
          <w:r w:rsidR="00694757" w:rsidRPr="00DD1B58">
            <w:rPr>
              <w:noProof/>
              <w:szCs w:val="24"/>
              <w:lang w:val="en-US"/>
            </w:rPr>
            <w:fldChar w:fldCharType="end"/>
          </w:r>
        </w:sdtContent>
      </w:sdt>
      <w:r w:rsidR="00694757" w:rsidRPr="00DD1B58">
        <w:rPr>
          <w:noProof/>
          <w:szCs w:val="24"/>
          <w:lang w:val="en-US"/>
        </w:rPr>
        <w:t xml:space="preserve"> contains more detail regarding th</w:t>
      </w:r>
      <w:r w:rsidR="002E5BF3" w:rsidRPr="00DD1B58">
        <w:rPr>
          <w:noProof/>
          <w:szCs w:val="24"/>
          <w:lang w:val="en-US"/>
        </w:rPr>
        <w:t xml:space="preserve">e PSR </w:t>
      </w:r>
      <w:r w:rsidR="00F17023" w:rsidRPr="00DD1B58">
        <w:rPr>
          <w:noProof/>
          <w:szCs w:val="24"/>
          <w:lang w:val="en-US"/>
        </w:rPr>
        <w:t>process and conclusions.</w:t>
      </w:r>
      <w:r w:rsidR="002E5BF3" w:rsidRPr="00DD1B58">
        <w:rPr>
          <w:noProof/>
          <w:szCs w:val="24"/>
          <w:lang w:val="en-US"/>
        </w:rPr>
        <w:t xml:space="preserve"> </w:t>
      </w:r>
    </w:p>
    <w:p w14:paraId="2C26A182" w14:textId="77777777" w:rsidR="00DB3279" w:rsidRPr="00DD1B58" w:rsidRDefault="00DB3279" w:rsidP="0062501D">
      <w:pPr>
        <w:pStyle w:val="Heading4"/>
        <w:numPr>
          <w:ilvl w:val="4"/>
          <w:numId w:val="3"/>
        </w:numPr>
        <w:rPr>
          <w:lang w:val="en-US"/>
        </w:rPr>
      </w:pPr>
      <w:bookmarkStart w:id="22" w:name="_Ref140840608"/>
      <w:r w:rsidRPr="00DD1B58">
        <w:rPr>
          <w:lang w:val="en-US"/>
        </w:rPr>
        <w:t>Implementation status of modifications/changes</w:t>
      </w:r>
      <w:bookmarkEnd w:id="22"/>
      <w:r w:rsidRPr="00DD1B58">
        <w:rPr>
          <w:lang w:val="en-US"/>
        </w:rPr>
        <w:t xml:space="preserve"> </w:t>
      </w:r>
    </w:p>
    <w:p w14:paraId="610EC0DF" w14:textId="3D146043" w:rsidR="59C82BDC" w:rsidRPr="00DD1B58" w:rsidRDefault="23C2E946" w:rsidP="774B19A3">
      <w:pPr>
        <w:rPr>
          <w:lang w:val="en-US"/>
        </w:rPr>
      </w:pPr>
      <w:r w:rsidRPr="00DD1B58">
        <w:rPr>
          <w:b/>
          <w:noProof/>
          <w:szCs w:val="24"/>
          <w:lang w:val="en-US"/>
        </w:rPr>
        <w:t>General</w:t>
      </w:r>
      <w:r w:rsidR="00353796" w:rsidRPr="00DD1B58">
        <w:rPr>
          <w:b/>
          <w:noProof/>
          <w:szCs w:val="24"/>
          <w:lang w:val="en-US"/>
        </w:rPr>
        <w:t xml:space="preserve"> </w:t>
      </w:r>
      <w:r w:rsidR="001E6426" w:rsidRPr="00DD1B58">
        <w:rPr>
          <w:b/>
          <w:noProof/>
          <w:szCs w:val="24"/>
          <w:lang w:val="en-US"/>
        </w:rPr>
        <w:t>–</w:t>
      </w:r>
      <w:r w:rsidR="00353796" w:rsidRPr="00DD1B58">
        <w:rPr>
          <w:b/>
          <w:noProof/>
          <w:szCs w:val="24"/>
          <w:lang w:val="en-US"/>
        </w:rPr>
        <w:t xml:space="preserve"> </w:t>
      </w:r>
      <w:r w:rsidR="00C362CA" w:rsidRPr="00DD1B58">
        <w:rPr>
          <w:noProof/>
          <w:szCs w:val="24"/>
          <w:lang w:val="en-US"/>
        </w:rPr>
        <w:t>EDF NGL</w:t>
      </w:r>
      <w:r w:rsidR="001E6426" w:rsidRPr="00DD1B58">
        <w:rPr>
          <w:noProof/>
          <w:szCs w:val="24"/>
          <w:lang w:val="en-US"/>
        </w:rPr>
        <w:t xml:space="preserve"> manages the</w:t>
      </w:r>
      <w:r w:rsidR="59C82BDC" w:rsidRPr="00DD1B58">
        <w:rPr>
          <w:noProof/>
          <w:szCs w:val="24"/>
          <w:lang w:val="en-US"/>
        </w:rPr>
        <w:t xml:space="preserve"> implementation of modifications/changes </w:t>
      </w:r>
      <w:r w:rsidR="001E6426" w:rsidRPr="00DD1B58">
        <w:rPr>
          <w:noProof/>
          <w:szCs w:val="24"/>
          <w:lang w:val="en-US"/>
        </w:rPr>
        <w:t>through the</w:t>
      </w:r>
      <w:r w:rsidR="59C82BDC" w:rsidRPr="00DD1B58">
        <w:rPr>
          <w:noProof/>
          <w:szCs w:val="24"/>
          <w:lang w:val="en-US"/>
        </w:rPr>
        <w:t xml:space="preserve"> engineering change process</w:t>
      </w:r>
      <w:r w:rsidR="001E6426" w:rsidRPr="00DD1B58">
        <w:rPr>
          <w:noProof/>
          <w:szCs w:val="24"/>
          <w:lang w:val="en-US"/>
        </w:rPr>
        <w:t>,</w:t>
      </w:r>
      <w:r w:rsidR="59C82BDC" w:rsidRPr="00DD1B58">
        <w:rPr>
          <w:noProof/>
          <w:szCs w:val="24"/>
          <w:lang w:val="en-US"/>
        </w:rPr>
        <w:t xml:space="preserve"> which includes milestones for all stages of a modification from inception to conclusion. </w:t>
      </w:r>
      <w:r w:rsidR="001E6426" w:rsidRPr="00DD1B58">
        <w:rPr>
          <w:noProof/>
          <w:szCs w:val="24"/>
          <w:lang w:val="en-US"/>
        </w:rPr>
        <w:t>The process</w:t>
      </w:r>
      <w:r w:rsidR="59C82BDC" w:rsidRPr="00DD1B58">
        <w:rPr>
          <w:noProof/>
          <w:szCs w:val="24"/>
          <w:lang w:val="en-US"/>
        </w:rPr>
        <w:t xml:space="preserve"> applies to both physical changes to the plant and to changes in the written safety case. Note that changes to the written safety case may not be associated with physical changes on the plant, but the process is the same for all changes that affect the nuclear safety cases.</w:t>
      </w:r>
    </w:p>
    <w:p w14:paraId="312843D1" w14:textId="6298F59F" w:rsidR="23C2E946" w:rsidRPr="00DD1B58" w:rsidRDefault="23C2E946" w:rsidP="774B19A3">
      <w:pPr>
        <w:rPr>
          <w:lang w:val="en-US"/>
        </w:rPr>
      </w:pPr>
      <w:r w:rsidRPr="00DD1B58">
        <w:rPr>
          <w:noProof/>
          <w:szCs w:val="24"/>
          <w:lang w:val="en-US"/>
        </w:rPr>
        <w:lastRenderedPageBreak/>
        <w:t>As a general observation</w:t>
      </w:r>
      <w:r w:rsidR="002E2224" w:rsidRPr="00DD1B58">
        <w:rPr>
          <w:noProof/>
          <w:szCs w:val="24"/>
          <w:lang w:val="en-US"/>
        </w:rPr>
        <w:t>,</w:t>
      </w:r>
      <w:r w:rsidRPr="00DD1B58">
        <w:rPr>
          <w:noProof/>
          <w:szCs w:val="24"/>
          <w:lang w:val="en-US"/>
        </w:rPr>
        <w:t xml:space="preserve"> multiple plant modifications were conducted at HNB and the other first generation AGRs. However, for some modifications the fire hazard was just one of the reasons for the change. An example of this is the addition of Alternative Indication Centres in the event that a Control Room became untenable for any reason – </w:t>
      </w:r>
      <w:r w:rsidR="00BF7C5B" w:rsidRPr="00DD1B58">
        <w:rPr>
          <w:noProof/>
          <w:szCs w:val="24"/>
          <w:lang w:val="en-US"/>
        </w:rPr>
        <w:t>for example,</w:t>
      </w:r>
      <w:r w:rsidRPr="00DD1B58">
        <w:rPr>
          <w:noProof/>
          <w:szCs w:val="24"/>
          <w:lang w:val="en-US"/>
        </w:rPr>
        <w:t xml:space="preserve"> as a result of a fire</w:t>
      </w:r>
      <w:r w:rsidR="00BF7C5B" w:rsidRPr="00DD1B58">
        <w:rPr>
          <w:noProof/>
          <w:szCs w:val="24"/>
          <w:lang w:val="en-US"/>
        </w:rPr>
        <w:t>,</w:t>
      </w:r>
      <w:r w:rsidRPr="00DD1B58">
        <w:rPr>
          <w:noProof/>
          <w:szCs w:val="24"/>
          <w:lang w:val="en-US"/>
        </w:rPr>
        <w:t xml:space="preserve"> flood</w:t>
      </w:r>
      <w:r w:rsidR="00BF7C5B" w:rsidRPr="00DD1B58">
        <w:rPr>
          <w:noProof/>
          <w:szCs w:val="24"/>
          <w:lang w:val="en-US"/>
        </w:rPr>
        <w:t xml:space="preserve">, </w:t>
      </w:r>
      <w:r w:rsidRPr="00DD1B58">
        <w:rPr>
          <w:noProof/>
          <w:szCs w:val="24"/>
          <w:lang w:val="en-US"/>
        </w:rPr>
        <w:t>electrical fault or some other issue.</w:t>
      </w:r>
      <w:r w:rsidR="00912BC3" w:rsidRPr="00DD1B58">
        <w:rPr>
          <w:noProof/>
          <w:szCs w:val="24"/>
          <w:lang w:val="en-US"/>
        </w:rPr>
        <w:t xml:space="preserve"> </w:t>
      </w:r>
      <w:r w:rsidRPr="00DD1B58">
        <w:rPr>
          <w:noProof/>
          <w:szCs w:val="24"/>
          <w:lang w:val="en-US"/>
        </w:rPr>
        <w:t>The lessons learned were carried forward into the design of HY2 and SZB, where there have been few modification</w:t>
      </w:r>
      <w:r w:rsidR="00912BC3" w:rsidRPr="00DD1B58">
        <w:rPr>
          <w:noProof/>
          <w:szCs w:val="24"/>
          <w:lang w:val="en-US"/>
        </w:rPr>
        <w:t>s relating to fire hazards</w:t>
      </w:r>
      <w:r w:rsidRPr="00DD1B58">
        <w:rPr>
          <w:noProof/>
          <w:szCs w:val="24"/>
          <w:lang w:val="en-US"/>
        </w:rPr>
        <w:t xml:space="preserve"> over the years.</w:t>
      </w:r>
    </w:p>
    <w:p w14:paraId="70BE6F6E" w14:textId="68975660" w:rsidR="23C2E946" w:rsidRPr="00DD1B58" w:rsidRDefault="00C362CA" w:rsidP="774B19A3">
      <w:pPr>
        <w:rPr>
          <w:lang w:val="en-US"/>
        </w:rPr>
      </w:pPr>
      <w:r w:rsidRPr="00DD1B58">
        <w:rPr>
          <w:noProof/>
          <w:szCs w:val="24"/>
          <w:lang w:val="en-US"/>
        </w:rPr>
        <w:t>EDF NGL</w:t>
      </w:r>
      <w:r w:rsidR="00912BC3" w:rsidRPr="00DD1B58">
        <w:rPr>
          <w:noProof/>
          <w:szCs w:val="24"/>
          <w:lang w:val="en-US"/>
        </w:rPr>
        <w:t xml:space="preserve"> develop</w:t>
      </w:r>
      <w:r w:rsidR="00A73973" w:rsidRPr="00DD1B58">
        <w:rPr>
          <w:noProof/>
          <w:szCs w:val="24"/>
          <w:lang w:val="en-US"/>
        </w:rPr>
        <w:t>ed</w:t>
      </w:r>
      <w:r w:rsidR="00912BC3" w:rsidRPr="00DD1B58">
        <w:rPr>
          <w:noProof/>
          <w:szCs w:val="24"/>
          <w:lang w:val="en-US"/>
        </w:rPr>
        <w:t xml:space="preserve"> </w:t>
      </w:r>
      <w:r w:rsidR="00BF7C5B" w:rsidRPr="00DD1B58">
        <w:rPr>
          <w:noProof/>
          <w:szCs w:val="24"/>
          <w:lang w:val="en-US"/>
        </w:rPr>
        <w:t>and regularly revise</w:t>
      </w:r>
      <w:r w:rsidR="00E37504" w:rsidRPr="00DD1B58">
        <w:rPr>
          <w:noProof/>
          <w:szCs w:val="24"/>
          <w:lang w:val="en-US"/>
        </w:rPr>
        <w:t>s</w:t>
      </w:r>
      <w:r w:rsidR="00BF7C5B" w:rsidRPr="00DD1B58">
        <w:rPr>
          <w:noProof/>
          <w:szCs w:val="24"/>
          <w:lang w:val="en-US"/>
        </w:rPr>
        <w:t xml:space="preserve"> </w:t>
      </w:r>
      <w:r w:rsidR="00912BC3" w:rsidRPr="00DD1B58">
        <w:rPr>
          <w:noProof/>
          <w:szCs w:val="24"/>
          <w:lang w:val="en-US"/>
        </w:rPr>
        <w:t>the</w:t>
      </w:r>
      <w:r w:rsidR="23C2E946" w:rsidRPr="00DD1B58">
        <w:rPr>
          <w:noProof/>
          <w:szCs w:val="24"/>
          <w:lang w:val="en-US"/>
        </w:rPr>
        <w:t xml:space="preserve"> Nuclear Safety Principles (NSPs) for safety assessment purposes. These include deterministic guidelines for fire and </w:t>
      </w:r>
      <w:r w:rsidR="00BF7C5B" w:rsidRPr="00DD1B58">
        <w:rPr>
          <w:noProof/>
          <w:szCs w:val="24"/>
          <w:lang w:val="en-US"/>
        </w:rPr>
        <w:t xml:space="preserve">also </w:t>
      </w:r>
      <w:r w:rsidR="23C2E946" w:rsidRPr="00DD1B58">
        <w:rPr>
          <w:noProof/>
          <w:szCs w:val="24"/>
          <w:lang w:val="en-US"/>
        </w:rPr>
        <w:t>address the modifications process.</w:t>
      </w:r>
      <w:r w:rsidR="005C6C47" w:rsidRPr="00DD1B58">
        <w:rPr>
          <w:noProof/>
          <w:szCs w:val="24"/>
          <w:lang w:val="en-US"/>
        </w:rPr>
        <w:t xml:space="preserve"> Further detail of how the </w:t>
      </w:r>
      <w:r w:rsidR="00744852" w:rsidRPr="00DD1B58">
        <w:rPr>
          <w:noProof/>
          <w:szCs w:val="24"/>
          <w:lang w:val="en-US"/>
        </w:rPr>
        <w:t xml:space="preserve">fire analysis has </w:t>
      </w:r>
      <w:r w:rsidR="00205282" w:rsidRPr="00DD1B58">
        <w:rPr>
          <w:noProof/>
          <w:szCs w:val="24"/>
          <w:lang w:val="en-US"/>
        </w:rPr>
        <w:t>influenced modification decisions</w:t>
      </w:r>
      <w:r w:rsidR="00AB5891" w:rsidRPr="00DD1B58">
        <w:rPr>
          <w:noProof/>
          <w:szCs w:val="24"/>
          <w:lang w:val="en-US"/>
        </w:rPr>
        <w:t xml:space="preserve"> and</w:t>
      </w:r>
      <w:r w:rsidR="007D70D1" w:rsidRPr="00DD1B58">
        <w:rPr>
          <w:noProof/>
          <w:szCs w:val="24"/>
          <w:lang w:val="en-US"/>
        </w:rPr>
        <w:t xml:space="preserve"> how it has</w:t>
      </w:r>
      <w:r w:rsidR="00205282" w:rsidRPr="00DD1B58">
        <w:rPr>
          <w:noProof/>
          <w:szCs w:val="24"/>
          <w:lang w:val="en-US"/>
        </w:rPr>
        <w:t xml:space="preserve"> </w:t>
      </w:r>
      <w:r w:rsidR="00A33D6D" w:rsidRPr="00DD1B58">
        <w:rPr>
          <w:noProof/>
          <w:szCs w:val="24"/>
          <w:lang w:val="en-US"/>
        </w:rPr>
        <w:t xml:space="preserve">been used to substantiate design changes is </w:t>
      </w:r>
      <w:r w:rsidR="007D70D1" w:rsidRPr="00DD1B58">
        <w:rPr>
          <w:noProof/>
          <w:szCs w:val="24"/>
          <w:lang w:val="en-US"/>
        </w:rPr>
        <w:t>provided</w:t>
      </w:r>
      <w:r w:rsidR="00A33D6D" w:rsidRPr="00DD1B58">
        <w:rPr>
          <w:noProof/>
          <w:szCs w:val="24"/>
          <w:lang w:val="en-US"/>
        </w:rPr>
        <w:t xml:space="preserve"> in </w:t>
      </w:r>
      <w:r w:rsidRPr="00DD1B58">
        <w:rPr>
          <w:noProof/>
          <w:szCs w:val="24"/>
          <w:lang w:val="en-US"/>
        </w:rPr>
        <w:t>EDF NGL</w:t>
      </w:r>
      <w:r w:rsidR="00912BC3" w:rsidRPr="00DD1B58">
        <w:rPr>
          <w:noProof/>
          <w:szCs w:val="24"/>
          <w:lang w:val="en-US"/>
        </w:rPr>
        <w:t>’s</w:t>
      </w:r>
      <w:r w:rsidR="00A33D6D" w:rsidRPr="00DD1B58">
        <w:rPr>
          <w:noProof/>
          <w:szCs w:val="24"/>
          <w:lang w:val="en-US"/>
        </w:rPr>
        <w:t xml:space="preserve"> </w:t>
      </w:r>
      <w:r w:rsidR="008851DF" w:rsidRPr="00DD1B58">
        <w:rPr>
          <w:noProof/>
          <w:szCs w:val="24"/>
          <w:lang w:val="en-US"/>
        </w:rPr>
        <w:t>submission</w:t>
      </w:r>
      <w:r w:rsidR="00D2108D" w:rsidRPr="00DD1B58">
        <w:rPr>
          <w:noProof/>
          <w:szCs w:val="24"/>
          <w:lang w:val="en-US"/>
        </w:rPr>
        <w:t xml:space="preserve"> </w:t>
      </w:r>
      <w:sdt>
        <w:sdtPr>
          <w:rPr>
            <w:noProof/>
            <w:szCs w:val="24"/>
            <w:lang w:val="en-US"/>
          </w:rPr>
          <w:id w:val="868648187"/>
          <w:citation/>
        </w:sdtPr>
        <w:sdtContent>
          <w:r w:rsidR="00D2108D" w:rsidRPr="00DD1B58">
            <w:rPr>
              <w:noProof/>
              <w:szCs w:val="24"/>
              <w:lang w:val="en-US"/>
            </w:rPr>
            <w:fldChar w:fldCharType="begin"/>
          </w:r>
          <w:r w:rsidR="00D2108D" w:rsidRPr="00DD1B58">
            <w:rPr>
              <w:noProof/>
              <w:szCs w:val="24"/>
              <w:lang w:val="en-US"/>
            </w:rPr>
            <w:instrText xml:space="preserve"> CITATION EDF231 \l 2057 </w:instrText>
          </w:r>
          <w:r w:rsidR="00D2108D" w:rsidRPr="00DD1B58">
            <w:rPr>
              <w:noProof/>
              <w:szCs w:val="24"/>
              <w:lang w:val="en-US"/>
            </w:rPr>
            <w:fldChar w:fldCharType="separate"/>
          </w:r>
          <w:r w:rsidR="00DF47DA" w:rsidRPr="00DF47DA">
            <w:rPr>
              <w:noProof/>
              <w:szCs w:val="24"/>
              <w:lang w:val="en-US"/>
            </w:rPr>
            <w:t>[25]</w:t>
          </w:r>
          <w:r w:rsidR="00D2108D" w:rsidRPr="00DD1B58">
            <w:rPr>
              <w:noProof/>
              <w:szCs w:val="24"/>
              <w:lang w:val="en-US"/>
            </w:rPr>
            <w:fldChar w:fldCharType="end"/>
          </w:r>
        </w:sdtContent>
      </w:sdt>
      <w:r w:rsidR="00A33D6D" w:rsidRPr="00DD1B58">
        <w:rPr>
          <w:noProof/>
          <w:szCs w:val="24"/>
          <w:lang w:val="en-US"/>
        </w:rPr>
        <w:t xml:space="preserve">. </w:t>
      </w:r>
    </w:p>
    <w:p w14:paraId="54C5CC3D" w14:textId="44D66E31" w:rsidR="23C2E946" w:rsidRPr="00DD1B58" w:rsidRDefault="23C2E946" w:rsidP="774B19A3">
      <w:pPr>
        <w:rPr>
          <w:lang w:val="en-US"/>
        </w:rPr>
      </w:pPr>
      <w:r w:rsidRPr="00DD1B58">
        <w:rPr>
          <w:b/>
          <w:noProof/>
          <w:szCs w:val="24"/>
          <w:lang w:val="en-US"/>
        </w:rPr>
        <w:t>First Generation AGRs (</w:t>
      </w:r>
      <w:r w:rsidR="00947839" w:rsidRPr="00DD1B58">
        <w:rPr>
          <w:b/>
          <w:noProof/>
          <w:szCs w:val="24"/>
          <w:lang w:val="en-US"/>
        </w:rPr>
        <w:t>HN</w:t>
      </w:r>
      <w:r w:rsidRPr="00DD1B58">
        <w:rPr>
          <w:b/>
          <w:noProof/>
          <w:szCs w:val="24"/>
          <w:lang w:val="en-US"/>
        </w:rPr>
        <w:t>B)</w:t>
      </w:r>
      <w:r w:rsidR="00BF7C5B" w:rsidRPr="00DD1B58">
        <w:rPr>
          <w:b/>
          <w:noProof/>
          <w:szCs w:val="24"/>
          <w:lang w:val="en-US"/>
        </w:rPr>
        <w:t>:</w:t>
      </w:r>
      <w:r w:rsidR="00353796" w:rsidRPr="00DD1B58">
        <w:rPr>
          <w:b/>
          <w:noProof/>
          <w:szCs w:val="24"/>
          <w:lang w:val="en-US"/>
        </w:rPr>
        <w:t xml:space="preserve"> </w:t>
      </w:r>
      <w:r w:rsidR="00BF7C5B" w:rsidRPr="00DD1B58">
        <w:rPr>
          <w:noProof/>
          <w:szCs w:val="24"/>
          <w:lang w:val="en-US"/>
        </w:rPr>
        <w:t>t</w:t>
      </w:r>
      <w:r w:rsidR="00693748" w:rsidRPr="00DD1B58">
        <w:rPr>
          <w:noProof/>
          <w:szCs w:val="24"/>
          <w:lang w:val="en-US"/>
        </w:rPr>
        <w:t xml:space="preserve">hrough the </w:t>
      </w:r>
      <w:r w:rsidRPr="00DD1B58">
        <w:rPr>
          <w:noProof/>
          <w:szCs w:val="24"/>
          <w:lang w:val="en-US"/>
        </w:rPr>
        <w:t>NSPs</w:t>
      </w:r>
      <w:r w:rsidR="00693748" w:rsidRPr="00DD1B58">
        <w:rPr>
          <w:noProof/>
          <w:szCs w:val="24"/>
          <w:lang w:val="en-US"/>
        </w:rPr>
        <w:t xml:space="preserve">, </w:t>
      </w:r>
      <w:r w:rsidR="00C362CA" w:rsidRPr="00DD1B58">
        <w:rPr>
          <w:noProof/>
          <w:szCs w:val="24"/>
          <w:lang w:val="en-US"/>
        </w:rPr>
        <w:t>EDF NGL</w:t>
      </w:r>
      <w:r w:rsidR="00693748" w:rsidRPr="00DD1B58">
        <w:rPr>
          <w:noProof/>
          <w:szCs w:val="24"/>
          <w:lang w:val="en-US"/>
        </w:rPr>
        <w:t xml:space="preserve"> </w:t>
      </w:r>
      <w:r w:rsidRPr="00DD1B58">
        <w:rPr>
          <w:noProof/>
          <w:szCs w:val="24"/>
          <w:lang w:val="en-US"/>
        </w:rPr>
        <w:t xml:space="preserve">identified </w:t>
      </w:r>
      <w:r w:rsidR="00693748" w:rsidRPr="00DD1B58">
        <w:rPr>
          <w:noProof/>
          <w:szCs w:val="24"/>
          <w:lang w:val="en-US"/>
        </w:rPr>
        <w:t xml:space="preserve">the </w:t>
      </w:r>
      <w:r w:rsidRPr="00DD1B58">
        <w:rPr>
          <w:noProof/>
          <w:szCs w:val="24"/>
          <w:lang w:val="en-US"/>
        </w:rPr>
        <w:t xml:space="preserve">need </w:t>
      </w:r>
      <w:r w:rsidR="008A68B1" w:rsidRPr="00DD1B58">
        <w:rPr>
          <w:noProof/>
          <w:szCs w:val="24"/>
          <w:lang w:val="en-US"/>
        </w:rPr>
        <w:t xml:space="preserve">to </w:t>
      </w:r>
      <w:r w:rsidRPr="00DD1B58">
        <w:rPr>
          <w:noProof/>
          <w:szCs w:val="24"/>
          <w:lang w:val="en-US"/>
        </w:rPr>
        <w:t xml:space="preserve">provide a Diverse Pressure Vessel Cooling </w:t>
      </w:r>
      <w:r w:rsidR="00693748" w:rsidRPr="00DD1B58">
        <w:rPr>
          <w:noProof/>
          <w:szCs w:val="24"/>
          <w:lang w:val="en-US"/>
        </w:rPr>
        <w:t xml:space="preserve">Water </w:t>
      </w:r>
      <w:r w:rsidRPr="00DD1B58">
        <w:rPr>
          <w:noProof/>
          <w:szCs w:val="24"/>
          <w:lang w:val="en-US"/>
        </w:rPr>
        <w:t xml:space="preserve">(DPVCW) supply system at HNB and other first generation AGRs. This was required </w:t>
      </w:r>
      <w:r w:rsidR="00FA2BB6" w:rsidRPr="00DD1B58">
        <w:rPr>
          <w:noProof/>
          <w:szCs w:val="24"/>
          <w:lang w:val="en-US"/>
        </w:rPr>
        <w:t xml:space="preserve">to </w:t>
      </w:r>
      <w:r w:rsidRPr="00DD1B58">
        <w:rPr>
          <w:noProof/>
          <w:szCs w:val="24"/>
          <w:lang w:val="en-US"/>
        </w:rPr>
        <w:t xml:space="preserve">be diverse to the existing electrically driven pumps and physically remote from </w:t>
      </w:r>
      <w:r w:rsidR="00F5473E" w:rsidRPr="00DD1B58">
        <w:rPr>
          <w:noProof/>
          <w:szCs w:val="24"/>
          <w:lang w:val="en-US"/>
        </w:rPr>
        <w:t xml:space="preserve">the </w:t>
      </w:r>
      <w:r w:rsidRPr="00DD1B58">
        <w:rPr>
          <w:noProof/>
          <w:szCs w:val="24"/>
          <w:lang w:val="en-US"/>
        </w:rPr>
        <w:t xml:space="preserve">other areas </w:t>
      </w:r>
      <w:r w:rsidR="00BF7C5B" w:rsidRPr="00DD1B58">
        <w:rPr>
          <w:noProof/>
          <w:szCs w:val="24"/>
          <w:lang w:val="en-US"/>
        </w:rPr>
        <w:t xml:space="preserve">that </w:t>
      </w:r>
      <w:r w:rsidRPr="00DD1B58">
        <w:rPr>
          <w:noProof/>
          <w:szCs w:val="24"/>
          <w:lang w:val="en-US"/>
        </w:rPr>
        <w:t>contained the original electrically driven pumps.</w:t>
      </w:r>
      <w:r w:rsidR="00F5473E" w:rsidRPr="00DD1B58">
        <w:rPr>
          <w:noProof/>
          <w:szCs w:val="24"/>
          <w:lang w:val="en-US"/>
        </w:rPr>
        <w:t xml:space="preserve"> </w:t>
      </w:r>
      <w:r w:rsidRPr="00DD1B58">
        <w:rPr>
          <w:noProof/>
          <w:szCs w:val="24"/>
          <w:lang w:val="en-US"/>
        </w:rPr>
        <w:t>The diesel driven DPVCW pumps were installed in their own fire cells</w:t>
      </w:r>
      <w:r w:rsidR="00BF7C5B" w:rsidRPr="00DD1B58">
        <w:rPr>
          <w:noProof/>
          <w:szCs w:val="24"/>
          <w:lang w:val="en-US"/>
        </w:rPr>
        <w:t>,</w:t>
      </w:r>
      <w:r w:rsidRPr="00DD1B58">
        <w:rPr>
          <w:noProof/>
          <w:szCs w:val="24"/>
          <w:lang w:val="en-US"/>
        </w:rPr>
        <w:t xml:space="preserve"> which separated them from the critical areas by fire barriers. The diesel</w:t>
      </w:r>
      <w:r w:rsidR="00693748" w:rsidRPr="00DD1B58">
        <w:rPr>
          <w:noProof/>
          <w:szCs w:val="24"/>
          <w:lang w:val="en-US"/>
        </w:rPr>
        <w:t>-</w:t>
      </w:r>
      <w:r w:rsidRPr="00DD1B58">
        <w:rPr>
          <w:noProof/>
          <w:szCs w:val="24"/>
          <w:lang w:val="en-US"/>
        </w:rPr>
        <w:t xml:space="preserve">driven pumps were also supplied with a fire suppression system. A similar modification was carried out for the other first generation AGRs. </w:t>
      </w:r>
    </w:p>
    <w:p w14:paraId="433934F9" w14:textId="586FA4A8" w:rsidR="23C2E946" w:rsidRPr="00DD1B58" w:rsidRDefault="00693748" w:rsidP="774B19A3">
      <w:pPr>
        <w:rPr>
          <w:lang w:val="en-US"/>
        </w:rPr>
      </w:pPr>
      <w:r w:rsidRPr="00DD1B58">
        <w:rPr>
          <w:noProof/>
          <w:szCs w:val="24"/>
          <w:lang w:val="en-US"/>
        </w:rPr>
        <w:t>Furthermore, through</w:t>
      </w:r>
      <w:r w:rsidR="23C2E946" w:rsidRPr="00DD1B58">
        <w:rPr>
          <w:noProof/>
          <w:szCs w:val="24"/>
          <w:lang w:val="en-US"/>
        </w:rPr>
        <w:t xml:space="preserve"> PSR</w:t>
      </w:r>
      <w:r w:rsidRPr="00DD1B58">
        <w:rPr>
          <w:noProof/>
          <w:szCs w:val="24"/>
          <w:lang w:val="en-US"/>
        </w:rPr>
        <w:t xml:space="preserve">, </w:t>
      </w:r>
      <w:r w:rsidR="00C362CA" w:rsidRPr="00DD1B58">
        <w:rPr>
          <w:noProof/>
          <w:szCs w:val="24"/>
          <w:lang w:val="en-US"/>
        </w:rPr>
        <w:t>EDF NGL</w:t>
      </w:r>
      <w:r w:rsidRPr="00DD1B58">
        <w:rPr>
          <w:noProof/>
          <w:szCs w:val="24"/>
          <w:lang w:val="en-US"/>
        </w:rPr>
        <w:t xml:space="preserve"> identifed </w:t>
      </w:r>
      <w:r w:rsidR="23C2E946" w:rsidRPr="00DD1B58">
        <w:rPr>
          <w:noProof/>
          <w:szCs w:val="24"/>
          <w:lang w:val="en-US"/>
        </w:rPr>
        <w:t>that some of the safety</w:t>
      </w:r>
      <w:r w:rsidRPr="00DD1B58">
        <w:rPr>
          <w:noProof/>
          <w:szCs w:val="24"/>
          <w:lang w:val="en-US"/>
        </w:rPr>
        <w:t>-</w:t>
      </w:r>
      <w:r w:rsidR="23C2E946" w:rsidRPr="00DD1B58">
        <w:rPr>
          <w:noProof/>
          <w:szCs w:val="24"/>
          <w:lang w:val="en-US"/>
        </w:rPr>
        <w:t xml:space="preserve">related cables in the turbine hall were vulnerable to thermal radiation from nearby large fires. A fire curtain was installed to </w:t>
      </w:r>
      <w:r w:rsidR="00CE1B5E" w:rsidRPr="00DD1B58">
        <w:rPr>
          <w:noProof/>
          <w:szCs w:val="24"/>
          <w:lang w:val="en-US"/>
        </w:rPr>
        <w:t xml:space="preserve">protect </w:t>
      </w:r>
      <w:r w:rsidR="23C2E946" w:rsidRPr="00DD1B58">
        <w:rPr>
          <w:noProof/>
          <w:szCs w:val="24"/>
          <w:lang w:val="en-US"/>
        </w:rPr>
        <w:t xml:space="preserve">cables </w:t>
      </w:r>
      <w:r w:rsidR="00CE1B5E" w:rsidRPr="00DD1B58">
        <w:rPr>
          <w:noProof/>
          <w:szCs w:val="24"/>
          <w:lang w:val="en-US"/>
        </w:rPr>
        <w:t>located within</w:t>
      </w:r>
      <w:r w:rsidR="23C2E946" w:rsidRPr="00DD1B58">
        <w:rPr>
          <w:noProof/>
          <w:szCs w:val="24"/>
          <w:lang w:val="en-US"/>
        </w:rPr>
        <w:t xml:space="preserve"> the Turbine Hall from the postulated large nearby fire. This moved a</w:t>
      </w:r>
      <w:r w:rsidR="08FEF07F" w:rsidRPr="00DD1B58">
        <w:rPr>
          <w:noProof/>
          <w:szCs w:val="24"/>
          <w:lang w:val="en-US"/>
        </w:rPr>
        <w:t xml:space="preserve"> </w:t>
      </w:r>
      <w:r w:rsidR="23C2E946" w:rsidRPr="00DD1B58">
        <w:rPr>
          <w:noProof/>
          <w:szCs w:val="24"/>
          <w:lang w:val="en-US"/>
        </w:rPr>
        <w:t>fire that was borderline frequent/infrequent into the infrequent region, which provided an acceptable</w:t>
      </w:r>
      <w:r w:rsidR="347D4ECD" w:rsidRPr="00DD1B58">
        <w:rPr>
          <w:noProof/>
          <w:szCs w:val="24"/>
          <w:lang w:val="en-US"/>
        </w:rPr>
        <w:t xml:space="preserve"> </w:t>
      </w:r>
      <w:r w:rsidR="23C2E946" w:rsidRPr="00DD1B58">
        <w:rPr>
          <w:noProof/>
          <w:szCs w:val="24"/>
          <w:lang w:val="en-US"/>
        </w:rPr>
        <w:t>safety case.</w:t>
      </w:r>
      <w:r w:rsidR="00D2108D" w:rsidRPr="00DD1B58">
        <w:rPr>
          <w:noProof/>
          <w:szCs w:val="24"/>
          <w:lang w:val="en-US"/>
        </w:rPr>
        <w:t xml:space="preserve"> Further detail is provided in </w:t>
      </w:r>
      <w:r w:rsidR="00C362CA" w:rsidRPr="00DD1B58">
        <w:rPr>
          <w:noProof/>
          <w:szCs w:val="24"/>
          <w:lang w:val="en-US"/>
        </w:rPr>
        <w:t>EDF NGL</w:t>
      </w:r>
      <w:r w:rsidRPr="00DD1B58">
        <w:rPr>
          <w:noProof/>
          <w:szCs w:val="24"/>
          <w:lang w:val="en-US"/>
        </w:rPr>
        <w:t>’s</w:t>
      </w:r>
      <w:r w:rsidR="00D2108D" w:rsidRPr="00DD1B58">
        <w:rPr>
          <w:noProof/>
          <w:szCs w:val="24"/>
          <w:lang w:val="en-US"/>
        </w:rPr>
        <w:t xml:space="preserve"> sbmission </w:t>
      </w:r>
      <w:sdt>
        <w:sdtPr>
          <w:rPr>
            <w:noProof/>
            <w:szCs w:val="24"/>
            <w:lang w:val="en-US"/>
          </w:rPr>
          <w:id w:val="-1206022182"/>
          <w:citation/>
        </w:sdtPr>
        <w:sdtContent>
          <w:r w:rsidR="00D2108D" w:rsidRPr="00DD1B58">
            <w:rPr>
              <w:noProof/>
              <w:szCs w:val="24"/>
              <w:lang w:val="en-US"/>
            </w:rPr>
            <w:fldChar w:fldCharType="begin"/>
          </w:r>
          <w:r w:rsidR="00D2108D" w:rsidRPr="00DD1B58">
            <w:rPr>
              <w:noProof/>
              <w:szCs w:val="24"/>
              <w:lang w:val="en-US"/>
            </w:rPr>
            <w:instrText xml:space="preserve"> CITATION EDF231 \l 2057 </w:instrText>
          </w:r>
          <w:r w:rsidR="00D2108D" w:rsidRPr="00DD1B58">
            <w:rPr>
              <w:noProof/>
              <w:szCs w:val="24"/>
              <w:lang w:val="en-US"/>
            </w:rPr>
            <w:fldChar w:fldCharType="separate"/>
          </w:r>
          <w:r w:rsidR="00DF47DA" w:rsidRPr="00DF47DA">
            <w:rPr>
              <w:noProof/>
              <w:szCs w:val="24"/>
              <w:lang w:val="en-US"/>
            </w:rPr>
            <w:t>[25]</w:t>
          </w:r>
          <w:r w:rsidR="00D2108D" w:rsidRPr="00DD1B58">
            <w:rPr>
              <w:noProof/>
              <w:szCs w:val="24"/>
              <w:lang w:val="en-US"/>
            </w:rPr>
            <w:fldChar w:fldCharType="end"/>
          </w:r>
        </w:sdtContent>
      </w:sdt>
      <w:r w:rsidR="00D2108D" w:rsidRPr="00DD1B58">
        <w:rPr>
          <w:noProof/>
          <w:szCs w:val="24"/>
          <w:lang w:val="en-US"/>
        </w:rPr>
        <w:t>.</w:t>
      </w:r>
    </w:p>
    <w:p w14:paraId="04B2151E" w14:textId="25AA3D1B" w:rsidR="23C2E946" w:rsidRPr="00DD1B58" w:rsidRDefault="23C2E946" w:rsidP="774B19A3">
      <w:pPr>
        <w:rPr>
          <w:lang w:val="en-US"/>
        </w:rPr>
      </w:pPr>
      <w:r w:rsidRPr="00DD1B58">
        <w:rPr>
          <w:b/>
          <w:noProof/>
          <w:szCs w:val="24"/>
          <w:lang w:val="en-US"/>
        </w:rPr>
        <w:t xml:space="preserve">Second </w:t>
      </w:r>
      <w:r w:rsidR="00BF7C5B" w:rsidRPr="00DD1B58">
        <w:rPr>
          <w:b/>
          <w:noProof/>
          <w:szCs w:val="24"/>
          <w:lang w:val="en-US"/>
        </w:rPr>
        <w:t>g</w:t>
      </w:r>
      <w:r w:rsidRPr="00DD1B58">
        <w:rPr>
          <w:b/>
          <w:noProof/>
          <w:szCs w:val="24"/>
          <w:lang w:val="en-US"/>
        </w:rPr>
        <w:t>eneration AGRs (</w:t>
      </w:r>
      <w:r w:rsidR="00693748" w:rsidRPr="00DD1B58">
        <w:rPr>
          <w:b/>
          <w:noProof/>
          <w:szCs w:val="24"/>
          <w:lang w:val="en-US"/>
        </w:rPr>
        <w:t>HY</w:t>
      </w:r>
      <w:r w:rsidRPr="00DD1B58">
        <w:rPr>
          <w:b/>
          <w:noProof/>
          <w:szCs w:val="24"/>
          <w:lang w:val="en-US"/>
        </w:rPr>
        <w:t>2)</w:t>
      </w:r>
      <w:r w:rsidR="00BF7C5B" w:rsidRPr="00DD1B58">
        <w:rPr>
          <w:b/>
          <w:noProof/>
          <w:szCs w:val="24"/>
          <w:lang w:val="en-US"/>
        </w:rPr>
        <w:t>:</w:t>
      </w:r>
      <w:r w:rsidR="00353796" w:rsidRPr="00DD1B58">
        <w:rPr>
          <w:b/>
          <w:noProof/>
          <w:szCs w:val="24"/>
          <w:lang w:val="en-US"/>
        </w:rPr>
        <w:t xml:space="preserve"> </w:t>
      </w:r>
      <w:r w:rsidR="00BF7C5B" w:rsidRPr="00DD1B58">
        <w:rPr>
          <w:noProof/>
          <w:szCs w:val="24"/>
          <w:lang w:val="en-US"/>
        </w:rPr>
        <w:t>t</w:t>
      </w:r>
      <w:r w:rsidRPr="00DD1B58">
        <w:rPr>
          <w:noProof/>
          <w:szCs w:val="24"/>
          <w:lang w:val="en-US"/>
        </w:rPr>
        <w:t>here have been no significant plant modifications required at HY2 to date based on fire analysis</w:t>
      </w:r>
      <w:r w:rsidR="00D53D00" w:rsidRPr="00DD1B58">
        <w:rPr>
          <w:noProof/>
          <w:szCs w:val="24"/>
          <w:lang w:val="en-US"/>
        </w:rPr>
        <w:t xml:space="preserve"> beyond the</w:t>
      </w:r>
      <w:r w:rsidRPr="00DD1B58">
        <w:rPr>
          <w:noProof/>
          <w:szCs w:val="24"/>
          <w:lang w:val="en-US"/>
        </w:rPr>
        <w:t xml:space="preserve"> formal claims on </w:t>
      </w:r>
      <w:r w:rsidR="0087771D" w:rsidRPr="00DD1B58">
        <w:rPr>
          <w:noProof/>
          <w:szCs w:val="24"/>
          <w:lang w:val="en-US"/>
        </w:rPr>
        <w:t xml:space="preserve">the FDSS described in </w:t>
      </w:r>
      <w:r w:rsidR="00BF7C5B" w:rsidRPr="00DD1B58">
        <w:rPr>
          <w:noProof/>
          <w:szCs w:val="24"/>
          <w:lang w:val="en-US"/>
        </w:rPr>
        <w:t>S</w:t>
      </w:r>
      <w:r w:rsidR="0087771D" w:rsidRPr="00DD1B58">
        <w:rPr>
          <w:noProof/>
          <w:szCs w:val="24"/>
          <w:lang w:val="en-US"/>
        </w:rPr>
        <w:t>ection I-2.1.2.2.</w:t>
      </w:r>
      <w:r w:rsidRPr="00DD1B58">
        <w:rPr>
          <w:noProof/>
          <w:szCs w:val="24"/>
          <w:lang w:val="en-US"/>
        </w:rPr>
        <w:t xml:space="preserve"> </w:t>
      </w:r>
    </w:p>
    <w:p w14:paraId="3EE0DF83" w14:textId="5B43C694" w:rsidR="23C2E946" w:rsidRPr="00DD1B58" w:rsidRDefault="23C2E946" w:rsidP="774B19A3">
      <w:pPr>
        <w:rPr>
          <w:lang w:val="en-US"/>
        </w:rPr>
      </w:pPr>
      <w:r w:rsidRPr="00DD1B58">
        <w:rPr>
          <w:b/>
          <w:noProof/>
          <w:szCs w:val="24"/>
          <w:lang w:val="en-US"/>
        </w:rPr>
        <w:t>Sizewell B</w:t>
      </w:r>
      <w:r w:rsidR="00BF7C5B" w:rsidRPr="00DD1B58">
        <w:rPr>
          <w:b/>
          <w:noProof/>
          <w:szCs w:val="24"/>
          <w:lang w:val="en-US"/>
        </w:rPr>
        <w:t>:</w:t>
      </w:r>
      <w:r w:rsidR="00353796" w:rsidRPr="00DD1B58">
        <w:rPr>
          <w:b/>
          <w:noProof/>
          <w:szCs w:val="24"/>
          <w:lang w:val="en-US"/>
        </w:rPr>
        <w:t xml:space="preserve"> </w:t>
      </w:r>
      <w:r w:rsidR="00C362CA" w:rsidRPr="00DD1B58">
        <w:rPr>
          <w:noProof/>
          <w:szCs w:val="24"/>
          <w:lang w:val="en-US"/>
        </w:rPr>
        <w:t>EDF NGL</w:t>
      </w:r>
      <w:r w:rsidR="00693748" w:rsidRPr="00DD1B58">
        <w:rPr>
          <w:noProof/>
          <w:szCs w:val="24"/>
          <w:lang w:val="en-US"/>
        </w:rPr>
        <w:t xml:space="preserve"> considers that all </w:t>
      </w:r>
      <w:r w:rsidRPr="00DD1B58">
        <w:rPr>
          <w:noProof/>
          <w:szCs w:val="24"/>
          <w:lang w:val="en-US"/>
        </w:rPr>
        <w:t xml:space="preserve">plant modifications </w:t>
      </w:r>
      <w:r w:rsidR="00693748" w:rsidRPr="00DD1B58">
        <w:rPr>
          <w:noProof/>
          <w:szCs w:val="24"/>
          <w:lang w:val="en-US"/>
        </w:rPr>
        <w:t>have</w:t>
      </w:r>
      <w:r w:rsidRPr="00DD1B58">
        <w:rPr>
          <w:noProof/>
          <w:szCs w:val="24"/>
          <w:lang w:val="en-US"/>
        </w:rPr>
        <w:t xml:space="preserve"> maintain</w:t>
      </w:r>
      <w:r w:rsidR="00693748" w:rsidRPr="00DD1B58">
        <w:rPr>
          <w:noProof/>
          <w:szCs w:val="24"/>
          <w:lang w:val="en-US"/>
        </w:rPr>
        <w:t>ed</w:t>
      </w:r>
      <w:r w:rsidRPr="00DD1B58">
        <w:rPr>
          <w:noProof/>
          <w:szCs w:val="24"/>
          <w:lang w:val="en-US"/>
        </w:rPr>
        <w:t xml:space="preserve"> the design segregation provisions </w:t>
      </w:r>
      <w:r w:rsidR="00693748" w:rsidRPr="00DD1B58">
        <w:rPr>
          <w:noProof/>
          <w:szCs w:val="24"/>
          <w:lang w:val="en-US"/>
        </w:rPr>
        <w:t>including the</w:t>
      </w:r>
      <w:r w:rsidR="6896749A" w:rsidRPr="00DD1B58">
        <w:rPr>
          <w:noProof/>
          <w:szCs w:val="24"/>
          <w:lang w:val="en-US"/>
        </w:rPr>
        <w:t xml:space="preserve"> </w:t>
      </w:r>
      <w:r w:rsidRPr="00DD1B58">
        <w:rPr>
          <w:noProof/>
          <w:szCs w:val="24"/>
          <w:lang w:val="en-US"/>
        </w:rPr>
        <w:t>Principal Fire Barriers. Apart from new I&amp;C cabling</w:t>
      </w:r>
      <w:r w:rsidR="00693748" w:rsidRPr="00DD1B58">
        <w:rPr>
          <w:noProof/>
          <w:szCs w:val="24"/>
          <w:lang w:val="en-US"/>
        </w:rPr>
        <w:t xml:space="preserve">, </w:t>
      </w:r>
      <w:r w:rsidRPr="00DD1B58">
        <w:rPr>
          <w:noProof/>
          <w:szCs w:val="24"/>
          <w:lang w:val="en-US"/>
        </w:rPr>
        <w:t>there have been no significant</w:t>
      </w:r>
      <w:r w:rsidR="6031613E" w:rsidRPr="00DD1B58">
        <w:rPr>
          <w:noProof/>
          <w:szCs w:val="24"/>
          <w:lang w:val="en-US"/>
        </w:rPr>
        <w:t xml:space="preserve"> </w:t>
      </w:r>
      <w:r w:rsidRPr="00DD1B58">
        <w:rPr>
          <w:noProof/>
          <w:szCs w:val="24"/>
          <w:lang w:val="en-US"/>
        </w:rPr>
        <w:t>changes to the design.</w:t>
      </w:r>
    </w:p>
    <w:p w14:paraId="53EB8698" w14:textId="0336D7D6" w:rsidR="23C2E946" w:rsidRPr="00DD1B58" w:rsidRDefault="00C362CA" w:rsidP="774B19A3">
      <w:pPr>
        <w:rPr>
          <w:lang w:val="en-US"/>
        </w:rPr>
      </w:pPr>
      <w:r w:rsidRPr="00DD1B58">
        <w:rPr>
          <w:noProof/>
          <w:szCs w:val="24"/>
          <w:lang w:val="en-US"/>
        </w:rPr>
        <w:t>EDF NGL</w:t>
      </w:r>
      <w:r w:rsidR="00693748" w:rsidRPr="00DD1B58">
        <w:rPr>
          <w:noProof/>
          <w:szCs w:val="24"/>
          <w:lang w:val="en-US"/>
        </w:rPr>
        <w:t xml:space="preserve"> considers that the </w:t>
      </w:r>
      <w:r w:rsidR="23C2E946" w:rsidRPr="00DD1B58">
        <w:rPr>
          <w:noProof/>
          <w:szCs w:val="24"/>
          <w:lang w:val="en-US"/>
        </w:rPr>
        <w:t xml:space="preserve">most </w:t>
      </w:r>
      <w:r w:rsidR="00693748" w:rsidRPr="00DD1B58">
        <w:rPr>
          <w:noProof/>
          <w:szCs w:val="24"/>
          <w:lang w:val="en-US"/>
        </w:rPr>
        <w:t xml:space="preserve">significant </w:t>
      </w:r>
      <w:r w:rsidR="23C2E946" w:rsidRPr="00DD1B58">
        <w:rPr>
          <w:noProof/>
          <w:szCs w:val="24"/>
          <w:lang w:val="en-US"/>
        </w:rPr>
        <w:t xml:space="preserve">modifications </w:t>
      </w:r>
      <w:r w:rsidR="00693748" w:rsidRPr="00DD1B58">
        <w:rPr>
          <w:noProof/>
          <w:szCs w:val="24"/>
          <w:lang w:val="en-US"/>
        </w:rPr>
        <w:t>were post-</w:t>
      </w:r>
      <w:r w:rsidR="23C2E946" w:rsidRPr="00DD1B58">
        <w:rPr>
          <w:noProof/>
          <w:szCs w:val="24"/>
          <w:lang w:val="en-US"/>
        </w:rPr>
        <w:t>Fukushima</w:t>
      </w:r>
      <w:r w:rsidR="00693748" w:rsidRPr="00DD1B58">
        <w:rPr>
          <w:noProof/>
          <w:szCs w:val="24"/>
          <w:lang w:val="en-US"/>
        </w:rPr>
        <w:t>, and consists of n</w:t>
      </w:r>
      <w:r w:rsidR="23C2E946" w:rsidRPr="00DD1B58">
        <w:rPr>
          <w:noProof/>
          <w:szCs w:val="24"/>
          <w:lang w:val="en-US"/>
        </w:rPr>
        <w:t>umerous backup</w:t>
      </w:r>
      <w:r w:rsidR="79F04550" w:rsidRPr="00DD1B58">
        <w:rPr>
          <w:noProof/>
          <w:szCs w:val="24"/>
          <w:lang w:val="en-US"/>
        </w:rPr>
        <w:t xml:space="preserve"> </w:t>
      </w:r>
      <w:r w:rsidR="23C2E946" w:rsidRPr="00DD1B58">
        <w:rPr>
          <w:noProof/>
          <w:szCs w:val="24"/>
          <w:lang w:val="en-US"/>
        </w:rPr>
        <w:t>systems</w:t>
      </w:r>
      <w:r w:rsidR="00693748" w:rsidRPr="00DD1B58">
        <w:rPr>
          <w:noProof/>
          <w:szCs w:val="24"/>
          <w:lang w:val="en-US"/>
        </w:rPr>
        <w:t xml:space="preserve">. </w:t>
      </w:r>
      <w:r w:rsidRPr="00DD1B58">
        <w:rPr>
          <w:noProof/>
          <w:szCs w:val="24"/>
          <w:lang w:val="en-US"/>
        </w:rPr>
        <w:t>EDF NGL</w:t>
      </w:r>
      <w:r w:rsidR="00693748" w:rsidRPr="00DD1B58">
        <w:rPr>
          <w:noProof/>
          <w:szCs w:val="24"/>
          <w:lang w:val="en-US"/>
        </w:rPr>
        <w:t xml:space="preserve"> aimed to ensure that </w:t>
      </w:r>
      <w:r w:rsidR="23C2E946" w:rsidRPr="00DD1B58">
        <w:rPr>
          <w:noProof/>
          <w:szCs w:val="24"/>
          <w:lang w:val="en-US"/>
        </w:rPr>
        <w:t>the existing fire safety provisions</w:t>
      </w:r>
      <w:r w:rsidR="00693748" w:rsidRPr="00DD1B58">
        <w:rPr>
          <w:noProof/>
          <w:szCs w:val="24"/>
          <w:lang w:val="en-US"/>
        </w:rPr>
        <w:t xml:space="preserve"> were not degraded,</w:t>
      </w:r>
      <w:r w:rsidR="23C2E946" w:rsidRPr="00DD1B58">
        <w:rPr>
          <w:noProof/>
          <w:szCs w:val="24"/>
          <w:lang w:val="en-US"/>
        </w:rPr>
        <w:t xml:space="preserve"> and</w:t>
      </w:r>
      <w:r w:rsidR="79840826" w:rsidRPr="00DD1B58">
        <w:rPr>
          <w:noProof/>
          <w:szCs w:val="24"/>
          <w:lang w:val="en-US"/>
        </w:rPr>
        <w:t xml:space="preserve"> </w:t>
      </w:r>
      <w:r w:rsidR="23C2E946" w:rsidRPr="00DD1B58">
        <w:rPr>
          <w:noProof/>
          <w:szCs w:val="24"/>
          <w:lang w:val="en-US"/>
        </w:rPr>
        <w:t xml:space="preserve">the installed equipment </w:t>
      </w:r>
      <w:r w:rsidR="00693748" w:rsidRPr="00DD1B58">
        <w:rPr>
          <w:noProof/>
          <w:szCs w:val="24"/>
          <w:lang w:val="en-US"/>
        </w:rPr>
        <w:t xml:space="preserve">did </w:t>
      </w:r>
      <w:r w:rsidR="23C2E946" w:rsidRPr="00DD1B58">
        <w:rPr>
          <w:noProof/>
          <w:szCs w:val="24"/>
          <w:lang w:val="en-US"/>
        </w:rPr>
        <w:t>not cross any of the Principal Fire Barriers between the four safety trains.</w:t>
      </w:r>
    </w:p>
    <w:p w14:paraId="041F1D54" w14:textId="69300E8D" w:rsidR="6035CAFC" w:rsidRPr="00DD1B58" w:rsidRDefault="23C2E946" w:rsidP="774B19A3">
      <w:pPr>
        <w:rPr>
          <w:lang w:val="en-US"/>
        </w:rPr>
      </w:pPr>
      <w:r w:rsidRPr="00DD1B58">
        <w:rPr>
          <w:noProof/>
          <w:szCs w:val="24"/>
          <w:lang w:val="en-US"/>
        </w:rPr>
        <w:t>As part of the Fukushima response</w:t>
      </w:r>
      <w:r w:rsidR="00693748" w:rsidRPr="00DD1B58">
        <w:rPr>
          <w:noProof/>
          <w:szCs w:val="24"/>
          <w:lang w:val="en-US"/>
        </w:rPr>
        <w:t>,</w:t>
      </w:r>
      <w:r w:rsidRPr="00DD1B58">
        <w:rPr>
          <w:noProof/>
          <w:szCs w:val="24"/>
          <w:lang w:val="en-US"/>
        </w:rPr>
        <w:t xml:space="preserve"> the Battery Charging Diesel Generators (BCDG) and supporting</w:t>
      </w:r>
      <w:r w:rsidR="28051B97" w:rsidRPr="00DD1B58">
        <w:rPr>
          <w:noProof/>
          <w:szCs w:val="24"/>
          <w:lang w:val="en-US"/>
        </w:rPr>
        <w:t xml:space="preserve"> </w:t>
      </w:r>
      <w:r w:rsidRPr="00DD1B58">
        <w:rPr>
          <w:noProof/>
          <w:szCs w:val="24"/>
          <w:lang w:val="en-US"/>
        </w:rPr>
        <w:t>equipment were replaced. To extend the mission time</w:t>
      </w:r>
      <w:r w:rsidR="00BF7C5B" w:rsidRPr="00DD1B58">
        <w:rPr>
          <w:noProof/>
          <w:szCs w:val="24"/>
          <w:lang w:val="en-US"/>
        </w:rPr>
        <w:t>,</w:t>
      </w:r>
      <w:r w:rsidRPr="00DD1B58">
        <w:rPr>
          <w:noProof/>
          <w:szCs w:val="24"/>
          <w:lang w:val="en-US"/>
        </w:rPr>
        <w:t xml:space="preserve"> the fuel tank size was increased significantly.</w:t>
      </w:r>
      <w:r w:rsidR="68B7A635" w:rsidRPr="00DD1B58">
        <w:rPr>
          <w:noProof/>
          <w:szCs w:val="24"/>
          <w:lang w:val="en-US"/>
        </w:rPr>
        <w:t xml:space="preserve"> </w:t>
      </w:r>
      <w:r w:rsidRPr="00DD1B58">
        <w:rPr>
          <w:noProof/>
          <w:szCs w:val="24"/>
          <w:lang w:val="en-US"/>
        </w:rPr>
        <w:t>The original station fire analysis was compared with new CFAST modelling for the new</w:t>
      </w:r>
      <w:r w:rsidR="408D4DF9" w:rsidRPr="00DD1B58">
        <w:rPr>
          <w:noProof/>
          <w:szCs w:val="24"/>
          <w:lang w:val="en-US"/>
        </w:rPr>
        <w:t xml:space="preserve"> </w:t>
      </w:r>
      <w:r w:rsidRPr="00DD1B58">
        <w:rPr>
          <w:noProof/>
          <w:szCs w:val="24"/>
          <w:lang w:val="en-US"/>
        </w:rPr>
        <w:t xml:space="preserve">equipment. </w:t>
      </w:r>
      <w:r w:rsidR="00C362CA" w:rsidRPr="00DD1B58">
        <w:rPr>
          <w:noProof/>
          <w:szCs w:val="24"/>
          <w:lang w:val="en-US"/>
        </w:rPr>
        <w:t>EDF NGL</w:t>
      </w:r>
      <w:r w:rsidRPr="00DD1B58">
        <w:rPr>
          <w:noProof/>
          <w:szCs w:val="24"/>
          <w:lang w:val="en-US"/>
        </w:rPr>
        <w:t xml:space="preserve"> </w:t>
      </w:r>
      <w:r w:rsidR="00693748" w:rsidRPr="00DD1B58">
        <w:rPr>
          <w:noProof/>
          <w:szCs w:val="24"/>
          <w:lang w:val="en-US"/>
        </w:rPr>
        <w:t xml:space="preserve">showed </w:t>
      </w:r>
      <w:r w:rsidRPr="00DD1B58">
        <w:rPr>
          <w:noProof/>
          <w:szCs w:val="24"/>
          <w:lang w:val="en-US"/>
        </w:rPr>
        <w:t>that</w:t>
      </w:r>
      <w:r w:rsidR="0071179C" w:rsidRPr="00DD1B58">
        <w:rPr>
          <w:noProof/>
          <w:szCs w:val="24"/>
          <w:lang w:val="en-US"/>
        </w:rPr>
        <w:t>,</w:t>
      </w:r>
      <w:r w:rsidRPr="00DD1B58">
        <w:rPr>
          <w:noProof/>
          <w:szCs w:val="24"/>
          <w:lang w:val="en-US"/>
        </w:rPr>
        <w:t xml:space="preserve"> in </w:t>
      </w:r>
      <w:r w:rsidR="00693748" w:rsidRPr="00DD1B58">
        <w:rPr>
          <w:noProof/>
          <w:szCs w:val="24"/>
          <w:lang w:val="en-US"/>
        </w:rPr>
        <w:t xml:space="preserve">the event </w:t>
      </w:r>
      <w:r w:rsidRPr="00DD1B58">
        <w:rPr>
          <w:noProof/>
          <w:szCs w:val="24"/>
          <w:lang w:val="en-US"/>
        </w:rPr>
        <w:t>of an oil spillage</w:t>
      </w:r>
      <w:r w:rsidR="00693748" w:rsidRPr="00DD1B58">
        <w:rPr>
          <w:noProof/>
          <w:szCs w:val="24"/>
          <w:lang w:val="en-US"/>
        </w:rPr>
        <w:t>,</w:t>
      </w:r>
      <w:r w:rsidRPr="00DD1B58">
        <w:rPr>
          <w:noProof/>
          <w:szCs w:val="24"/>
          <w:lang w:val="en-US"/>
        </w:rPr>
        <w:t xml:space="preserve"> the major floor trenches could store the diesel</w:t>
      </w:r>
      <w:r w:rsidR="6035CAFC" w:rsidRPr="00DD1B58">
        <w:rPr>
          <w:noProof/>
          <w:szCs w:val="24"/>
          <w:lang w:val="en-US"/>
        </w:rPr>
        <w:t xml:space="preserve"> fuel inventory</w:t>
      </w:r>
      <w:r w:rsidR="0071179C" w:rsidRPr="00DD1B58">
        <w:rPr>
          <w:noProof/>
          <w:szCs w:val="24"/>
          <w:lang w:val="en-US"/>
        </w:rPr>
        <w:t>. A</w:t>
      </w:r>
      <w:r w:rsidR="6035CAFC" w:rsidRPr="00DD1B58">
        <w:rPr>
          <w:noProof/>
          <w:szCs w:val="24"/>
          <w:lang w:val="en-US"/>
        </w:rPr>
        <w:t>s a result</w:t>
      </w:r>
      <w:r w:rsidR="00693748" w:rsidRPr="00DD1B58">
        <w:rPr>
          <w:noProof/>
          <w:szCs w:val="24"/>
          <w:lang w:val="en-US"/>
        </w:rPr>
        <w:t>,</w:t>
      </w:r>
      <w:r w:rsidR="6035CAFC" w:rsidRPr="00DD1B58">
        <w:rPr>
          <w:noProof/>
          <w:szCs w:val="24"/>
          <w:lang w:val="en-US"/>
        </w:rPr>
        <w:t xml:space="preserve"> fire</w:t>
      </w:r>
      <w:r w:rsidR="00693748" w:rsidRPr="00DD1B58">
        <w:rPr>
          <w:noProof/>
          <w:szCs w:val="24"/>
          <w:lang w:val="en-US"/>
        </w:rPr>
        <w:t>-</w:t>
      </w:r>
      <w:r w:rsidR="6035CAFC" w:rsidRPr="00DD1B58">
        <w:rPr>
          <w:noProof/>
          <w:szCs w:val="24"/>
          <w:lang w:val="en-US"/>
        </w:rPr>
        <w:t xml:space="preserve">rated plating was fitted over the trenches to starve the diesel of oxygen </w:t>
      </w:r>
      <w:r w:rsidR="00693748" w:rsidRPr="00DD1B58">
        <w:rPr>
          <w:noProof/>
          <w:szCs w:val="24"/>
          <w:lang w:val="en-US"/>
        </w:rPr>
        <w:t>if ignited</w:t>
      </w:r>
      <w:r w:rsidR="6035CAFC" w:rsidRPr="00DD1B58">
        <w:rPr>
          <w:noProof/>
          <w:szCs w:val="24"/>
          <w:lang w:val="en-US"/>
        </w:rPr>
        <w:t xml:space="preserve"> (ventilation limitation</w:t>
      </w:r>
      <w:r w:rsidR="00833AB1" w:rsidRPr="00DD1B58">
        <w:rPr>
          <w:noProof/>
          <w:szCs w:val="24"/>
          <w:lang w:val="en-US"/>
        </w:rPr>
        <w:t xml:space="preserve">). </w:t>
      </w:r>
      <w:r w:rsidR="00C362CA" w:rsidRPr="00DD1B58">
        <w:rPr>
          <w:noProof/>
          <w:szCs w:val="24"/>
          <w:lang w:val="en-US"/>
        </w:rPr>
        <w:t xml:space="preserve">EDF </w:t>
      </w:r>
      <w:r w:rsidR="00C362CA" w:rsidRPr="00DD1B58">
        <w:rPr>
          <w:noProof/>
          <w:szCs w:val="24"/>
          <w:lang w:val="en-US"/>
        </w:rPr>
        <w:lastRenderedPageBreak/>
        <w:t>NGL</w:t>
      </w:r>
      <w:r w:rsidR="00833AB1" w:rsidRPr="00DD1B58">
        <w:rPr>
          <w:noProof/>
          <w:szCs w:val="24"/>
          <w:lang w:val="en-US"/>
        </w:rPr>
        <w:t xml:space="preserve"> considers that this</w:t>
      </w:r>
      <w:r w:rsidR="6035CAFC" w:rsidRPr="00DD1B58">
        <w:rPr>
          <w:noProof/>
          <w:szCs w:val="24"/>
          <w:lang w:val="en-US"/>
        </w:rPr>
        <w:t xml:space="preserve"> is a good example of how nuclear safety</w:t>
      </w:r>
      <w:r w:rsidR="00833AB1" w:rsidRPr="00DD1B58">
        <w:rPr>
          <w:noProof/>
          <w:szCs w:val="24"/>
          <w:lang w:val="en-US"/>
        </w:rPr>
        <w:t>-</w:t>
      </w:r>
      <w:r w:rsidR="6035CAFC" w:rsidRPr="00DD1B58">
        <w:rPr>
          <w:noProof/>
          <w:szCs w:val="24"/>
          <w:lang w:val="en-US"/>
        </w:rPr>
        <w:t xml:space="preserve">driven plant modifications and fire hazards analysis can work together to reduce the fire hazard, even though </w:t>
      </w:r>
      <w:r w:rsidR="00833AB1" w:rsidRPr="00DD1B58">
        <w:rPr>
          <w:noProof/>
          <w:szCs w:val="24"/>
          <w:lang w:val="en-US"/>
        </w:rPr>
        <w:t xml:space="preserve">in this case </w:t>
      </w:r>
      <w:r w:rsidR="6035CAFC" w:rsidRPr="00DD1B58">
        <w:rPr>
          <w:noProof/>
          <w:szCs w:val="24"/>
          <w:lang w:val="en-US"/>
        </w:rPr>
        <w:t>the amount of fuel increased</w:t>
      </w:r>
      <w:r w:rsidR="00833AB1" w:rsidRPr="00DD1B58">
        <w:rPr>
          <w:noProof/>
          <w:szCs w:val="24"/>
          <w:lang w:val="en-US"/>
        </w:rPr>
        <w:t xml:space="preserve"> to provide </w:t>
      </w:r>
      <w:r w:rsidR="002918A2" w:rsidRPr="00DD1B58">
        <w:rPr>
          <w:noProof/>
          <w:szCs w:val="24"/>
          <w:lang w:val="en-US"/>
        </w:rPr>
        <w:t>increased mission times.</w:t>
      </w:r>
      <w:r w:rsidR="002918A2" w:rsidRPr="00DD1B58">
        <w:rPr>
          <w:lang w:val="en-US"/>
        </w:rPr>
        <w:t xml:space="preserve"> Details on further</w:t>
      </w:r>
      <w:r w:rsidR="00E25471" w:rsidRPr="00DD1B58">
        <w:rPr>
          <w:lang w:val="en-US"/>
        </w:rPr>
        <w:t xml:space="preserve"> modification</w:t>
      </w:r>
      <w:r w:rsidR="00DC2450" w:rsidRPr="00DD1B58">
        <w:rPr>
          <w:lang w:val="en-US"/>
        </w:rPr>
        <w:t xml:space="preserve">s </w:t>
      </w:r>
      <w:r w:rsidR="00BC041C" w:rsidRPr="00DD1B58">
        <w:rPr>
          <w:lang w:val="en-US"/>
        </w:rPr>
        <w:t xml:space="preserve">made </w:t>
      </w:r>
      <w:r w:rsidR="00DC2450" w:rsidRPr="00DD1B58">
        <w:rPr>
          <w:lang w:val="en-US"/>
        </w:rPr>
        <w:t xml:space="preserve">and </w:t>
      </w:r>
      <w:r w:rsidR="002918A2" w:rsidRPr="00DD1B58">
        <w:rPr>
          <w:lang w:val="en-US"/>
        </w:rPr>
        <w:t xml:space="preserve">how </w:t>
      </w:r>
      <w:r w:rsidR="00C362CA" w:rsidRPr="00DD1B58">
        <w:rPr>
          <w:lang w:val="en-US"/>
        </w:rPr>
        <w:t>EDF NGL</w:t>
      </w:r>
      <w:r w:rsidR="002918A2" w:rsidRPr="00DD1B58">
        <w:rPr>
          <w:lang w:val="en-US"/>
        </w:rPr>
        <w:t xml:space="preserve"> managed </w:t>
      </w:r>
      <w:r w:rsidR="007808A9" w:rsidRPr="00DD1B58">
        <w:rPr>
          <w:lang w:val="en-US"/>
        </w:rPr>
        <w:t>changes to the fire analysis</w:t>
      </w:r>
      <w:r w:rsidR="00E25471" w:rsidRPr="00DD1B58">
        <w:rPr>
          <w:lang w:val="en-US"/>
        </w:rPr>
        <w:t xml:space="preserve"> </w:t>
      </w:r>
      <w:r w:rsidR="00BC041C" w:rsidRPr="00DD1B58">
        <w:rPr>
          <w:lang w:val="en-US"/>
        </w:rPr>
        <w:t xml:space="preserve">is </w:t>
      </w:r>
      <w:r w:rsidR="00E25471" w:rsidRPr="00DD1B58">
        <w:rPr>
          <w:lang w:val="en-US"/>
        </w:rPr>
        <w:t xml:space="preserve">provided in </w:t>
      </w:r>
      <w:r w:rsidR="00C362CA" w:rsidRPr="00DD1B58">
        <w:rPr>
          <w:lang w:val="en-US"/>
        </w:rPr>
        <w:t>EDF NGL</w:t>
      </w:r>
      <w:r w:rsidR="002918A2" w:rsidRPr="00DD1B58">
        <w:rPr>
          <w:lang w:val="en-US"/>
        </w:rPr>
        <w:t>’s</w:t>
      </w:r>
      <w:r w:rsidR="00BC041C" w:rsidRPr="00DD1B58">
        <w:rPr>
          <w:lang w:val="en-US"/>
        </w:rPr>
        <w:t xml:space="preserve"> submission </w:t>
      </w:r>
      <w:sdt>
        <w:sdtPr>
          <w:rPr>
            <w:lang w:val="en-US"/>
          </w:rPr>
          <w:id w:val="-2078359629"/>
          <w:citation/>
        </w:sdtPr>
        <w:sdtContent>
          <w:r w:rsidR="00BC041C" w:rsidRPr="00DD1B58">
            <w:rPr>
              <w:lang w:val="en-US"/>
            </w:rPr>
            <w:fldChar w:fldCharType="begin"/>
          </w:r>
          <w:r w:rsidR="00BC041C" w:rsidRPr="00DD1B58">
            <w:rPr>
              <w:lang w:val="en-US"/>
            </w:rPr>
            <w:instrText xml:space="preserve"> CITATION EDF231 \l 2057 </w:instrText>
          </w:r>
          <w:r w:rsidR="00BC041C" w:rsidRPr="00DD1B58">
            <w:rPr>
              <w:lang w:val="en-US"/>
            </w:rPr>
            <w:fldChar w:fldCharType="separate"/>
          </w:r>
          <w:r w:rsidR="00DF47DA" w:rsidRPr="00DF47DA">
            <w:rPr>
              <w:noProof/>
              <w:lang w:val="en-US"/>
            </w:rPr>
            <w:t>[25]</w:t>
          </w:r>
          <w:r w:rsidR="00BC041C" w:rsidRPr="00DD1B58">
            <w:rPr>
              <w:lang w:val="en-US"/>
            </w:rPr>
            <w:fldChar w:fldCharType="end"/>
          </w:r>
        </w:sdtContent>
      </w:sdt>
      <w:r w:rsidR="00BC041C" w:rsidRPr="00DD1B58">
        <w:rPr>
          <w:lang w:val="en-US"/>
        </w:rPr>
        <w:t>.</w:t>
      </w:r>
    </w:p>
    <w:p w14:paraId="38B4C9DA" w14:textId="77777777" w:rsidR="00DB3279" w:rsidRPr="00DD1B58" w:rsidRDefault="00DB3279" w:rsidP="0062501D">
      <w:pPr>
        <w:pStyle w:val="Heading4"/>
        <w:rPr>
          <w:lang w:val="en-US"/>
        </w:rPr>
      </w:pPr>
      <w:r w:rsidRPr="00DD1B58">
        <w:rPr>
          <w:lang w:val="en-US"/>
        </w:rPr>
        <w:t xml:space="preserve">Licensee’s experience of fire safety analyses </w:t>
      </w:r>
    </w:p>
    <w:p w14:paraId="0AB07BBA" w14:textId="7DEFACB8" w:rsidR="00CC481E" w:rsidRPr="00DD1B58" w:rsidRDefault="00CC481E" w:rsidP="00CC481E">
      <w:pPr>
        <w:rPr>
          <w:lang w:val="en-US"/>
        </w:rPr>
      </w:pPr>
      <w:r w:rsidRPr="00DD1B58">
        <w:rPr>
          <w:lang w:val="en-US"/>
        </w:rPr>
        <w:t xml:space="preserve">The text in this section of the report has been prepared by </w:t>
      </w:r>
      <w:r w:rsidR="00044A58" w:rsidRPr="00DD1B58">
        <w:rPr>
          <w:lang w:val="en-US"/>
        </w:rPr>
        <w:t>EDF NGL</w:t>
      </w:r>
      <w:r w:rsidRPr="00DD1B58">
        <w:rPr>
          <w:lang w:val="en-US"/>
        </w:rPr>
        <w:t>, with only minor changes by ONR as described in section 1.1.2.</w:t>
      </w:r>
    </w:p>
    <w:p w14:paraId="738791D2" w14:textId="77777777" w:rsidR="00DB3279" w:rsidRPr="00DD1B58" w:rsidRDefault="00DB3279" w:rsidP="0062501D">
      <w:pPr>
        <w:pStyle w:val="Heading4"/>
        <w:numPr>
          <w:ilvl w:val="4"/>
          <w:numId w:val="3"/>
        </w:numPr>
        <w:rPr>
          <w:lang w:val="en-US"/>
        </w:rPr>
      </w:pPr>
      <w:r w:rsidRPr="00DD1B58">
        <w:rPr>
          <w:lang w:val="en-US"/>
        </w:rPr>
        <w:t xml:space="preserve">Overview of strengths and weaknesses identified </w:t>
      </w:r>
    </w:p>
    <w:p w14:paraId="32F21F0C" w14:textId="39CB512C" w:rsidR="0A6F14B1" w:rsidRPr="00DD1B58" w:rsidRDefault="00C362CA" w:rsidP="774B19A3">
      <w:pPr>
        <w:rPr>
          <w:lang w:val="en-US"/>
        </w:rPr>
      </w:pPr>
      <w:r w:rsidRPr="00DD1B58">
        <w:rPr>
          <w:lang w:val="en-US"/>
        </w:rPr>
        <w:t>EDF NGL</w:t>
      </w:r>
      <w:r w:rsidR="00CD307C" w:rsidRPr="00DD1B58">
        <w:rPr>
          <w:lang w:val="en-US"/>
        </w:rPr>
        <w:t>’s self-assessment concludes that it applies i</w:t>
      </w:r>
      <w:r w:rsidR="0A6F14B1" w:rsidRPr="00DD1B58">
        <w:rPr>
          <w:lang w:val="en-US"/>
        </w:rPr>
        <w:t xml:space="preserve">ndustry standard methods </w:t>
      </w:r>
      <w:r w:rsidR="00CD307C" w:rsidRPr="00DD1B58">
        <w:rPr>
          <w:lang w:val="en-US"/>
        </w:rPr>
        <w:t>in increasing order of complexity</w:t>
      </w:r>
      <w:r w:rsidR="00025438" w:rsidRPr="00DD1B58">
        <w:rPr>
          <w:lang w:val="en-US"/>
        </w:rPr>
        <w:t>:</w:t>
      </w:r>
      <w:r w:rsidR="00CD307C" w:rsidRPr="00DD1B58">
        <w:rPr>
          <w:lang w:val="en-US"/>
        </w:rPr>
        <w:t xml:space="preserve"> </w:t>
      </w:r>
      <w:r w:rsidR="0A6F14B1" w:rsidRPr="00DD1B58">
        <w:rPr>
          <w:lang w:val="en-US"/>
        </w:rPr>
        <w:t>from qualitative</w:t>
      </w:r>
      <w:r w:rsidR="00025438" w:rsidRPr="00DD1B58">
        <w:rPr>
          <w:lang w:val="en-US"/>
        </w:rPr>
        <w:t xml:space="preserve"> methods</w:t>
      </w:r>
      <w:r w:rsidR="0A6F14B1" w:rsidRPr="00DD1B58">
        <w:rPr>
          <w:lang w:val="en-US"/>
        </w:rPr>
        <w:t xml:space="preserve">, </w:t>
      </w:r>
      <w:r w:rsidR="00CD307C" w:rsidRPr="00DD1B58">
        <w:rPr>
          <w:lang w:val="en-US"/>
        </w:rPr>
        <w:t xml:space="preserve">simple </w:t>
      </w:r>
      <w:r w:rsidR="0A6F14B1" w:rsidRPr="00DD1B58">
        <w:rPr>
          <w:lang w:val="en-US"/>
        </w:rPr>
        <w:t xml:space="preserve">quantitative methods </w:t>
      </w:r>
      <w:r w:rsidR="00025438" w:rsidRPr="00DD1B58">
        <w:rPr>
          <w:lang w:val="en-US"/>
        </w:rPr>
        <w:t>(</w:t>
      </w:r>
      <w:r w:rsidR="0A6F14B1" w:rsidRPr="00DD1B58">
        <w:rPr>
          <w:lang w:val="en-US"/>
        </w:rPr>
        <w:t>such as Ingberg</w:t>
      </w:r>
      <w:r w:rsidR="00025438" w:rsidRPr="00DD1B58">
        <w:rPr>
          <w:lang w:val="en-US"/>
        </w:rPr>
        <w:t>) and</w:t>
      </w:r>
      <w:r w:rsidR="0A6F14B1" w:rsidRPr="00DD1B58">
        <w:rPr>
          <w:lang w:val="en-US"/>
        </w:rPr>
        <w:t xml:space="preserve"> standard hand calculations to </w:t>
      </w:r>
      <w:r w:rsidR="006633A7" w:rsidRPr="00DD1B58">
        <w:rPr>
          <w:lang w:val="en-US"/>
        </w:rPr>
        <w:t>z</w:t>
      </w:r>
      <w:r w:rsidR="0A6F14B1" w:rsidRPr="00DD1B58">
        <w:rPr>
          <w:lang w:val="en-US"/>
        </w:rPr>
        <w:t>one and CFD modelling. The time, trouble and effort associated with each method is well understood</w:t>
      </w:r>
      <w:r w:rsidR="008E5342" w:rsidRPr="00DD1B58">
        <w:rPr>
          <w:lang w:val="en-US"/>
        </w:rPr>
        <w:t>;</w:t>
      </w:r>
      <w:r w:rsidR="0A6F14B1" w:rsidRPr="00DD1B58">
        <w:rPr>
          <w:lang w:val="en-US"/>
        </w:rPr>
        <w:t xml:space="preserve"> </w:t>
      </w:r>
      <w:r w:rsidR="008E5342" w:rsidRPr="00DD1B58">
        <w:rPr>
          <w:lang w:val="en-US"/>
        </w:rPr>
        <w:t>s</w:t>
      </w:r>
      <w:r w:rsidR="0A6F14B1" w:rsidRPr="00DD1B58">
        <w:rPr>
          <w:lang w:val="en-US"/>
        </w:rPr>
        <w:t xml:space="preserve">imple methods </w:t>
      </w:r>
      <w:r w:rsidR="00CD307C" w:rsidRPr="00DD1B58">
        <w:rPr>
          <w:lang w:val="en-US"/>
        </w:rPr>
        <w:t>are used for rapid but</w:t>
      </w:r>
      <w:r w:rsidR="0A6F14B1" w:rsidRPr="00DD1B58">
        <w:rPr>
          <w:lang w:val="en-US"/>
        </w:rPr>
        <w:t xml:space="preserve"> coarse screening activities</w:t>
      </w:r>
      <w:r w:rsidR="008E5342" w:rsidRPr="00DD1B58">
        <w:rPr>
          <w:lang w:val="en-US"/>
        </w:rPr>
        <w:t>, whereas</w:t>
      </w:r>
      <w:r w:rsidR="0A6F14B1" w:rsidRPr="00DD1B58">
        <w:rPr>
          <w:lang w:val="en-US"/>
        </w:rPr>
        <w:t xml:space="preserve"> CFD </w:t>
      </w:r>
      <w:r w:rsidR="00CD307C" w:rsidRPr="00DD1B58">
        <w:rPr>
          <w:lang w:val="en-US"/>
        </w:rPr>
        <w:t xml:space="preserve">is </w:t>
      </w:r>
      <w:r w:rsidR="0A6F14B1" w:rsidRPr="00DD1B58">
        <w:rPr>
          <w:lang w:val="en-US"/>
        </w:rPr>
        <w:t xml:space="preserve">regarded as accurate but time consuming and </w:t>
      </w:r>
      <w:r w:rsidRPr="00DD1B58">
        <w:rPr>
          <w:lang w:val="en-US"/>
        </w:rPr>
        <w:t>EDF NGL</w:t>
      </w:r>
      <w:r w:rsidR="00CD307C" w:rsidRPr="00DD1B58">
        <w:rPr>
          <w:lang w:val="en-US"/>
        </w:rPr>
        <w:t xml:space="preserve"> reserves it </w:t>
      </w:r>
      <w:r w:rsidR="0A6F14B1" w:rsidRPr="00DD1B58">
        <w:rPr>
          <w:lang w:val="en-US"/>
        </w:rPr>
        <w:t xml:space="preserve">for high complexity/high consequence scenarios. </w:t>
      </w:r>
      <w:r w:rsidRPr="00DD1B58">
        <w:rPr>
          <w:lang w:val="en-US"/>
        </w:rPr>
        <w:t>EDF NGL</w:t>
      </w:r>
      <w:r w:rsidR="00CD307C" w:rsidRPr="00DD1B58">
        <w:rPr>
          <w:lang w:val="en-US"/>
        </w:rPr>
        <w:t xml:space="preserve"> selects</w:t>
      </w:r>
      <w:r w:rsidR="0A6F14B1" w:rsidRPr="00DD1B58">
        <w:rPr>
          <w:lang w:val="en-US"/>
        </w:rPr>
        <w:t xml:space="preserve"> fire safety analysis method</w:t>
      </w:r>
      <w:r w:rsidR="00CD307C" w:rsidRPr="00DD1B58">
        <w:rPr>
          <w:lang w:val="en-US"/>
        </w:rPr>
        <w:t>s</w:t>
      </w:r>
      <w:r w:rsidR="008E5342" w:rsidRPr="00DD1B58">
        <w:rPr>
          <w:lang w:val="en-US"/>
        </w:rPr>
        <w:t xml:space="preserve"> </w:t>
      </w:r>
      <w:r w:rsidR="00CD307C" w:rsidRPr="00DD1B58">
        <w:rPr>
          <w:lang w:val="en-US"/>
        </w:rPr>
        <w:t xml:space="preserve">in accordance with </w:t>
      </w:r>
      <w:r w:rsidR="0A6F14B1" w:rsidRPr="00DD1B58">
        <w:rPr>
          <w:lang w:val="en-US"/>
        </w:rPr>
        <w:t xml:space="preserve">established </w:t>
      </w:r>
      <w:r w:rsidR="00CD307C" w:rsidRPr="00DD1B58">
        <w:rPr>
          <w:lang w:val="en-US"/>
        </w:rPr>
        <w:t xml:space="preserve">company </w:t>
      </w:r>
      <w:r w:rsidR="0A6F14B1" w:rsidRPr="00DD1B58">
        <w:rPr>
          <w:lang w:val="en-US"/>
        </w:rPr>
        <w:t xml:space="preserve">guidelines. </w:t>
      </w:r>
      <w:r w:rsidR="00CD307C" w:rsidRPr="00DD1B58">
        <w:rPr>
          <w:lang w:val="en-US"/>
        </w:rPr>
        <w:t>While no</w:t>
      </w:r>
      <w:r w:rsidR="0A6F14B1" w:rsidRPr="00DD1B58">
        <w:rPr>
          <w:lang w:val="en-US"/>
        </w:rPr>
        <w:t xml:space="preserve"> significant insights have been specifically identified by </w:t>
      </w:r>
      <w:r w:rsidRPr="00DD1B58">
        <w:rPr>
          <w:lang w:val="en-US"/>
        </w:rPr>
        <w:t>EDF NGL</w:t>
      </w:r>
      <w:r w:rsidR="0A6F14B1" w:rsidRPr="00DD1B58">
        <w:rPr>
          <w:lang w:val="en-US"/>
        </w:rPr>
        <w:t xml:space="preserve"> with regard</w:t>
      </w:r>
      <w:r w:rsidR="00CD307C" w:rsidRPr="00DD1B58">
        <w:rPr>
          <w:lang w:val="en-US"/>
        </w:rPr>
        <w:t>s</w:t>
      </w:r>
      <w:r w:rsidR="0A6F14B1" w:rsidRPr="00DD1B58">
        <w:rPr>
          <w:lang w:val="en-US"/>
        </w:rPr>
        <w:t xml:space="preserve"> to fire safety </w:t>
      </w:r>
      <w:r w:rsidR="00CD307C" w:rsidRPr="00DD1B58">
        <w:rPr>
          <w:lang w:val="en-US"/>
        </w:rPr>
        <w:t>analysis, it has noted that</w:t>
      </w:r>
      <w:r w:rsidR="0A6F14B1" w:rsidRPr="00DD1B58">
        <w:rPr>
          <w:lang w:val="en-US"/>
        </w:rPr>
        <w:t xml:space="preserve"> a safety case </w:t>
      </w:r>
      <w:r w:rsidR="00CD307C" w:rsidRPr="00DD1B58">
        <w:rPr>
          <w:lang w:val="en-US"/>
        </w:rPr>
        <w:t xml:space="preserve">review </w:t>
      </w:r>
      <w:r w:rsidR="0A6F14B1" w:rsidRPr="00DD1B58">
        <w:rPr>
          <w:lang w:val="en-US"/>
        </w:rPr>
        <w:t xml:space="preserve">is underway at HY2 </w:t>
      </w:r>
      <w:r w:rsidR="00CD307C" w:rsidRPr="00DD1B58">
        <w:rPr>
          <w:lang w:val="en-US"/>
        </w:rPr>
        <w:t xml:space="preserve">and this </w:t>
      </w:r>
      <w:r w:rsidR="0A6F14B1" w:rsidRPr="00DD1B58">
        <w:rPr>
          <w:lang w:val="en-US"/>
        </w:rPr>
        <w:t>is specifically designed to provide insight</w:t>
      </w:r>
      <w:r w:rsidR="00CD307C" w:rsidRPr="00DD1B58">
        <w:rPr>
          <w:lang w:val="en-US"/>
        </w:rPr>
        <w:t>s</w:t>
      </w:r>
      <w:r w:rsidR="0A6F14B1" w:rsidRPr="00DD1B58">
        <w:rPr>
          <w:lang w:val="en-US"/>
        </w:rPr>
        <w:t xml:space="preserve"> into the strengths and weakness in </w:t>
      </w:r>
      <w:r w:rsidR="006633A7" w:rsidRPr="00DD1B58">
        <w:rPr>
          <w:lang w:val="en-US"/>
        </w:rPr>
        <w:t>z</w:t>
      </w:r>
      <w:r w:rsidR="0A6F14B1" w:rsidRPr="00DD1B58">
        <w:rPr>
          <w:lang w:val="en-US"/>
        </w:rPr>
        <w:t>one and CFD modelling in a complex real</w:t>
      </w:r>
      <w:r w:rsidR="00C05430" w:rsidRPr="00DD1B58">
        <w:rPr>
          <w:lang w:val="en-US"/>
        </w:rPr>
        <w:t>-</w:t>
      </w:r>
      <w:r w:rsidR="0A6F14B1" w:rsidRPr="00DD1B58">
        <w:rPr>
          <w:lang w:val="en-US"/>
        </w:rPr>
        <w:t>world environment.</w:t>
      </w:r>
    </w:p>
    <w:p w14:paraId="0D9DEFA5" w14:textId="77777777" w:rsidR="00DB3279" w:rsidRPr="00DD1B58" w:rsidRDefault="00DB3279" w:rsidP="0062501D">
      <w:pPr>
        <w:pStyle w:val="Heading4"/>
        <w:numPr>
          <w:ilvl w:val="4"/>
          <w:numId w:val="3"/>
        </w:numPr>
        <w:rPr>
          <w:lang w:val="en-US"/>
        </w:rPr>
      </w:pPr>
      <w:r w:rsidRPr="00DD1B58">
        <w:rPr>
          <w:lang w:val="en-US"/>
        </w:rPr>
        <w:t xml:space="preserve">Lessons learned from events, reviews, fire safety related missions, etc. </w:t>
      </w:r>
    </w:p>
    <w:p w14:paraId="7EFF5013" w14:textId="7C651292" w:rsidR="4EF65E24" w:rsidRPr="00DD1B58" w:rsidRDefault="4EF65E24" w:rsidP="774B19A3">
      <w:pPr>
        <w:rPr>
          <w:lang w:val="en-US"/>
        </w:rPr>
      </w:pPr>
      <w:r w:rsidRPr="00DD1B58">
        <w:rPr>
          <w:b/>
          <w:lang w:val="en-US"/>
        </w:rPr>
        <w:t>General</w:t>
      </w:r>
      <w:r w:rsidR="00B44D1E" w:rsidRPr="00DD1B58">
        <w:rPr>
          <w:b/>
          <w:lang w:val="en-US"/>
        </w:rPr>
        <w:t xml:space="preserve"> - </w:t>
      </w:r>
      <w:r w:rsidR="00C362CA" w:rsidRPr="00DD1B58">
        <w:rPr>
          <w:lang w:val="en-US"/>
        </w:rPr>
        <w:t>EDF NGL</w:t>
      </w:r>
      <w:r w:rsidRPr="00DD1B58">
        <w:rPr>
          <w:lang w:val="en-US"/>
        </w:rPr>
        <w:t xml:space="preserve"> uses the </w:t>
      </w:r>
      <w:r w:rsidR="00192B9A" w:rsidRPr="00DD1B58">
        <w:rPr>
          <w:lang w:val="en-US"/>
        </w:rPr>
        <w:t xml:space="preserve">specific </w:t>
      </w:r>
      <w:r w:rsidRPr="00DD1B58">
        <w:rPr>
          <w:lang w:val="en-US"/>
        </w:rPr>
        <w:t>Fire Event Code (FEC) definitions for categorising fire events</w:t>
      </w:r>
      <w:r w:rsidR="433195A0" w:rsidRPr="00DD1B58">
        <w:rPr>
          <w:lang w:val="en-US"/>
        </w:rPr>
        <w:t xml:space="preserve"> </w:t>
      </w:r>
      <w:r w:rsidRPr="00DD1B58">
        <w:rPr>
          <w:lang w:val="en-US"/>
        </w:rPr>
        <w:t>based on severity</w:t>
      </w:r>
      <w:r w:rsidR="003F4E5F" w:rsidRPr="00DD1B58">
        <w:rPr>
          <w:lang w:val="en-US"/>
        </w:rPr>
        <w:t xml:space="preserve"> into</w:t>
      </w:r>
      <w:r w:rsidR="005B1F3C" w:rsidRPr="00DD1B58">
        <w:rPr>
          <w:lang w:val="en-US"/>
        </w:rPr>
        <w:t xml:space="preserve"> </w:t>
      </w:r>
      <w:r w:rsidR="00581A17" w:rsidRPr="00DD1B58">
        <w:rPr>
          <w:lang w:val="en-US"/>
        </w:rPr>
        <w:t xml:space="preserve">a </w:t>
      </w:r>
      <w:r w:rsidR="00036398" w:rsidRPr="00DD1B58">
        <w:rPr>
          <w:lang w:val="en-US"/>
        </w:rPr>
        <w:t>m</w:t>
      </w:r>
      <w:r w:rsidR="00581A17" w:rsidRPr="00DD1B58">
        <w:rPr>
          <w:lang w:val="en-US"/>
        </w:rPr>
        <w:t xml:space="preserve">ajor </w:t>
      </w:r>
      <w:r w:rsidR="00036398" w:rsidRPr="00DD1B58">
        <w:rPr>
          <w:lang w:val="en-US"/>
        </w:rPr>
        <w:t>f</w:t>
      </w:r>
      <w:r w:rsidR="00581A17" w:rsidRPr="00DD1B58">
        <w:rPr>
          <w:lang w:val="en-US"/>
        </w:rPr>
        <w:t xml:space="preserve">ire, </w:t>
      </w:r>
      <w:r w:rsidR="00036398" w:rsidRPr="00DD1B58">
        <w:rPr>
          <w:lang w:val="en-US"/>
        </w:rPr>
        <w:t>n</w:t>
      </w:r>
      <w:r w:rsidR="00581A17" w:rsidRPr="00DD1B58">
        <w:rPr>
          <w:lang w:val="en-US"/>
        </w:rPr>
        <w:t xml:space="preserve">otable </w:t>
      </w:r>
      <w:r w:rsidR="00036398" w:rsidRPr="00DD1B58">
        <w:rPr>
          <w:lang w:val="en-US"/>
        </w:rPr>
        <w:t>f</w:t>
      </w:r>
      <w:r w:rsidR="00581A17" w:rsidRPr="00DD1B58">
        <w:rPr>
          <w:lang w:val="en-US"/>
        </w:rPr>
        <w:t xml:space="preserve">ire, </w:t>
      </w:r>
      <w:r w:rsidR="00036398" w:rsidRPr="00DD1B58">
        <w:rPr>
          <w:lang w:val="en-US"/>
        </w:rPr>
        <w:t>m</w:t>
      </w:r>
      <w:r w:rsidR="00581A17" w:rsidRPr="00DD1B58">
        <w:rPr>
          <w:lang w:val="en-US"/>
        </w:rPr>
        <w:t xml:space="preserve">inor </w:t>
      </w:r>
      <w:r w:rsidR="00036398" w:rsidRPr="00DD1B58">
        <w:rPr>
          <w:lang w:val="en-US"/>
        </w:rPr>
        <w:t>f</w:t>
      </w:r>
      <w:r w:rsidR="00581A17" w:rsidRPr="00DD1B58">
        <w:rPr>
          <w:lang w:val="en-US"/>
        </w:rPr>
        <w:t xml:space="preserve">ire or </w:t>
      </w:r>
      <w:r w:rsidR="00036398" w:rsidRPr="00DD1B58">
        <w:rPr>
          <w:lang w:val="en-US"/>
        </w:rPr>
        <w:t>s</w:t>
      </w:r>
      <w:r w:rsidR="00581A17" w:rsidRPr="00DD1B58">
        <w:rPr>
          <w:lang w:val="en-US"/>
        </w:rPr>
        <w:t xml:space="preserve">mouldering </w:t>
      </w:r>
      <w:r w:rsidR="00036398" w:rsidRPr="00DD1B58">
        <w:rPr>
          <w:lang w:val="en-US"/>
        </w:rPr>
        <w:t>f</w:t>
      </w:r>
      <w:r w:rsidR="0004226B" w:rsidRPr="00DD1B58">
        <w:rPr>
          <w:lang w:val="en-US"/>
        </w:rPr>
        <w:t xml:space="preserve">ire. </w:t>
      </w:r>
      <w:r w:rsidR="00C362CA" w:rsidRPr="00DD1B58">
        <w:rPr>
          <w:lang w:val="en-US"/>
        </w:rPr>
        <w:t>EDF NGL</w:t>
      </w:r>
      <w:r w:rsidR="003F4E5F" w:rsidRPr="00DD1B58">
        <w:rPr>
          <w:lang w:val="en-US"/>
        </w:rPr>
        <w:t xml:space="preserve"> created </w:t>
      </w:r>
      <w:r w:rsidR="004C0123" w:rsidRPr="00DD1B58">
        <w:rPr>
          <w:lang w:val="en-US"/>
        </w:rPr>
        <w:t xml:space="preserve">the </w:t>
      </w:r>
      <w:r w:rsidR="00036398" w:rsidRPr="00DD1B58">
        <w:rPr>
          <w:lang w:val="en-US"/>
        </w:rPr>
        <w:t>n</w:t>
      </w:r>
      <w:r w:rsidR="002001B6" w:rsidRPr="00DD1B58">
        <w:rPr>
          <w:lang w:val="en-US"/>
        </w:rPr>
        <w:t xml:space="preserve">otable </w:t>
      </w:r>
      <w:r w:rsidR="00A4010E" w:rsidRPr="00DD1B58">
        <w:rPr>
          <w:lang w:val="en-US"/>
        </w:rPr>
        <w:t>f</w:t>
      </w:r>
      <w:r w:rsidR="002001B6" w:rsidRPr="00DD1B58">
        <w:rPr>
          <w:lang w:val="en-US"/>
        </w:rPr>
        <w:t xml:space="preserve">ire category in the last five years to bridge the gap in severity between </w:t>
      </w:r>
      <w:r w:rsidR="00036398" w:rsidRPr="00DD1B58">
        <w:rPr>
          <w:lang w:val="en-US"/>
        </w:rPr>
        <w:t>m</w:t>
      </w:r>
      <w:r w:rsidR="00A4010E" w:rsidRPr="00DD1B58">
        <w:rPr>
          <w:lang w:val="en-US"/>
        </w:rPr>
        <w:t xml:space="preserve">ajor and </w:t>
      </w:r>
      <w:r w:rsidR="00036398" w:rsidRPr="00DD1B58">
        <w:rPr>
          <w:lang w:val="en-US"/>
        </w:rPr>
        <w:t>m</w:t>
      </w:r>
      <w:r w:rsidR="00A4010E" w:rsidRPr="00DD1B58">
        <w:rPr>
          <w:lang w:val="en-US"/>
        </w:rPr>
        <w:t>inor fire events.</w:t>
      </w:r>
      <w:r w:rsidR="00D075E3" w:rsidRPr="00DD1B58">
        <w:rPr>
          <w:lang w:val="en-US"/>
        </w:rPr>
        <w:t xml:space="preserve"> Similarly, the </w:t>
      </w:r>
      <w:r w:rsidR="00036398" w:rsidRPr="00DD1B58">
        <w:rPr>
          <w:lang w:val="en-US"/>
        </w:rPr>
        <w:t>s</w:t>
      </w:r>
      <w:r w:rsidR="00D075E3" w:rsidRPr="00DD1B58">
        <w:rPr>
          <w:lang w:val="en-US"/>
        </w:rPr>
        <w:t xml:space="preserve">mouldering fire category was created to give greater visibility of events </w:t>
      </w:r>
      <w:r w:rsidR="004D5C77" w:rsidRPr="00DD1B58">
        <w:rPr>
          <w:lang w:val="en-US"/>
        </w:rPr>
        <w:t>that had not reached the flaming stage but left unaddressed could escalate to a flaming fire.</w:t>
      </w:r>
    </w:p>
    <w:p w14:paraId="23AFDF84" w14:textId="657C69DB" w:rsidR="42B493DC" w:rsidRPr="00DD1B58" w:rsidRDefault="42B493DC" w:rsidP="774B19A3">
      <w:pPr>
        <w:rPr>
          <w:lang w:val="en-US"/>
        </w:rPr>
      </w:pPr>
      <w:r w:rsidRPr="00DD1B58">
        <w:rPr>
          <w:lang w:val="en-US"/>
        </w:rPr>
        <w:t xml:space="preserve">Each fire event is assigned a category from those above and </w:t>
      </w:r>
      <w:r w:rsidR="009B3AEA" w:rsidRPr="00DD1B58">
        <w:rPr>
          <w:lang w:val="en-US"/>
        </w:rPr>
        <w:t xml:space="preserve">is </w:t>
      </w:r>
      <w:r w:rsidRPr="00DD1B58">
        <w:rPr>
          <w:lang w:val="en-US"/>
        </w:rPr>
        <w:t>investigated in accordance with severity.</w:t>
      </w:r>
      <w:r w:rsidR="00C37F13" w:rsidRPr="00DD1B58">
        <w:rPr>
          <w:lang w:val="en-US"/>
        </w:rPr>
        <w:t xml:space="preserve"> </w:t>
      </w:r>
      <w:r w:rsidRPr="00DD1B58">
        <w:rPr>
          <w:lang w:val="en-US"/>
        </w:rPr>
        <w:t>Trends are identified by regular review of recorded events with actions placed to investigate the trend further and propose corrective and preventive action.</w:t>
      </w:r>
    </w:p>
    <w:p w14:paraId="2D1E931C" w14:textId="6B85DC27" w:rsidR="42B493DC" w:rsidRPr="00DD1B58" w:rsidRDefault="42B493DC" w:rsidP="774B19A3">
      <w:pPr>
        <w:rPr>
          <w:lang w:val="en-US"/>
        </w:rPr>
      </w:pPr>
      <w:r w:rsidRPr="00DD1B58">
        <w:rPr>
          <w:lang w:val="en-US"/>
        </w:rPr>
        <w:t xml:space="preserve">Over the past years, </w:t>
      </w:r>
      <w:r w:rsidR="00C362CA" w:rsidRPr="00DD1B58">
        <w:rPr>
          <w:lang w:val="en-US"/>
        </w:rPr>
        <w:t>EDF NGL</w:t>
      </w:r>
      <w:r w:rsidR="003F4E5F" w:rsidRPr="00DD1B58">
        <w:rPr>
          <w:lang w:val="en-US"/>
        </w:rPr>
        <w:t xml:space="preserve"> </w:t>
      </w:r>
      <w:r w:rsidR="009B3AEA" w:rsidRPr="00DD1B58">
        <w:rPr>
          <w:lang w:val="en-US"/>
        </w:rPr>
        <w:t xml:space="preserve">has </w:t>
      </w:r>
      <w:r w:rsidR="003F4E5F" w:rsidRPr="00DD1B58">
        <w:rPr>
          <w:lang w:val="en-US"/>
        </w:rPr>
        <w:t>identified a</w:t>
      </w:r>
      <w:r w:rsidR="00976D58" w:rsidRPr="00DD1B58">
        <w:rPr>
          <w:lang w:val="en-US"/>
        </w:rPr>
        <w:t xml:space="preserve">n increasing trend </w:t>
      </w:r>
      <w:r w:rsidRPr="00DD1B58">
        <w:rPr>
          <w:lang w:val="en-US"/>
        </w:rPr>
        <w:t>in hot work</w:t>
      </w:r>
      <w:r w:rsidR="104A7037" w:rsidRPr="00DD1B58">
        <w:rPr>
          <w:lang w:val="en-US"/>
        </w:rPr>
        <w:t>-</w:t>
      </w:r>
      <w:r w:rsidRPr="00DD1B58">
        <w:rPr>
          <w:lang w:val="en-US"/>
        </w:rPr>
        <w:t>related fires</w:t>
      </w:r>
      <w:r w:rsidR="003F4E5F" w:rsidRPr="00DD1B58">
        <w:rPr>
          <w:lang w:val="en-US"/>
        </w:rPr>
        <w:t>, which instigated the implementation of</w:t>
      </w:r>
      <w:r w:rsidRPr="00DD1B58">
        <w:rPr>
          <w:lang w:val="en-US"/>
        </w:rPr>
        <w:t xml:space="preserve"> changes to the hot work control process</w:t>
      </w:r>
      <w:r w:rsidR="003F4E5F" w:rsidRPr="00DD1B58">
        <w:rPr>
          <w:lang w:val="en-US"/>
        </w:rPr>
        <w:t xml:space="preserve">. </w:t>
      </w:r>
      <w:r w:rsidR="00976D58" w:rsidRPr="00DD1B58">
        <w:rPr>
          <w:lang w:val="en-US"/>
        </w:rPr>
        <w:t>These</w:t>
      </w:r>
      <w:r w:rsidR="003F4E5F" w:rsidRPr="00DD1B58">
        <w:rPr>
          <w:lang w:val="en-US"/>
        </w:rPr>
        <w:t xml:space="preserve"> include</w:t>
      </w:r>
      <w:r w:rsidR="00976D58" w:rsidRPr="00DD1B58">
        <w:rPr>
          <w:lang w:val="en-US"/>
        </w:rPr>
        <w:t xml:space="preserve"> the introduction</w:t>
      </w:r>
      <w:r w:rsidRPr="00DD1B58">
        <w:rPr>
          <w:lang w:val="en-US"/>
        </w:rPr>
        <w:t xml:space="preserve"> </w:t>
      </w:r>
      <w:r w:rsidR="00976D58" w:rsidRPr="00DD1B58">
        <w:rPr>
          <w:lang w:val="en-US"/>
        </w:rPr>
        <w:t>of</w:t>
      </w:r>
      <w:r w:rsidRPr="00DD1B58">
        <w:rPr>
          <w:lang w:val="en-US"/>
        </w:rPr>
        <w:t xml:space="preserve"> hot work independent verification as an additional step to ensure work sites are prepared in</w:t>
      </w:r>
      <w:r w:rsidR="2567A49A" w:rsidRPr="00DD1B58">
        <w:rPr>
          <w:lang w:val="en-US"/>
        </w:rPr>
        <w:t xml:space="preserve"> </w:t>
      </w:r>
      <w:r w:rsidRPr="00DD1B58">
        <w:rPr>
          <w:lang w:val="en-US"/>
        </w:rPr>
        <w:t xml:space="preserve">accordance with </w:t>
      </w:r>
      <w:r w:rsidR="00976D58" w:rsidRPr="00DD1B58">
        <w:rPr>
          <w:lang w:val="en-US"/>
        </w:rPr>
        <w:t xml:space="preserve">the </w:t>
      </w:r>
      <w:r w:rsidRPr="00DD1B58">
        <w:rPr>
          <w:lang w:val="en-US"/>
        </w:rPr>
        <w:t>hot work permits before permission to start work</w:t>
      </w:r>
      <w:r w:rsidR="00976D58" w:rsidRPr="00DD1B58">
        <w:rPr>
          <w:lang w:val="en-US"/>
        </w:rPr>
        <w:t xml:space="preserve"> is granted.</w:t>
      </w:r>
    </w:p>
    <w:p w14:paraId="08FE6FF1" w14:textId="5FB405DF" w:rsidR="42B493DC" w:rsidRPr="00DD1B58" w:rsidRDefault="42B493DC" w:rsidP="774B19A3">
      <w:pPr>
        <w:rPr>
          <w:lang w:val="en-US"/>
        </w:rPr>
      </w:pPr>
      <w:r w:rsidRPr="00DD1B58">
        <w:rPr>
          <w:lang w:val="en-US"/>
        </w:rPr>
        <w:t xml:space="preserve">Another trend in events </w:t>
      </w:r>
      <w:r w:rsidR="00976D58" w:rsidRPr="00DD1B58">
        <w:rPr>
          <w:lang w:val="en-US"/>
        </w:rPr>
        <w:t xml:space="preserve">related </w:t>
      </w:r>
      <w:r w:rsidRPr="00DD1B58">
        <w:rPr>
          <w:lang w:val="en-US"/>
        </w:rPr>
        <w:t>to electrical component and equipment failure</w:t>
      </w:r>
      <w:r w:rsidR="00976D58" w:rsidRPr="00DD1B58">
        <w:rPr>
          <w:lang w:val="en-US"/>
        </w:rPr>
        <w:t>s and this</w:t>
      </w:r>
      <w:r w:rsidRPr="00DD1B58">
        <w:rPr>
          <w:lang w:val="en-US"/>
        </w:rPr>
        <w:t xml:space="preserve"> has resulted in a fleet</w:t>
      </w:r>
      <w:r w:rsidR="00976D58" w:rsidRPr="00DD1B58">
        <w:rPr>
          <w:lang w:val="en-US"/>
        </w:rPr>
        <w:t>-</w:t>
      </w:r>
      <w:r w:rsidRPr="00DD1B58">
        <w:rPr>
          <w:lang w:val="en-US"/>
        </w:rPr>
        <w:t xml:space="preserve">wide review of Electricity at Work Regulations </w:t>
      </w:r>
      <w:sdt>
        <w:sdtPr>
          <w:rPr>
            <w:lang w:val="en-US"/>
          </w:rPr>
          <w:id w:val="-830207074"/>
          <w:citation/>
        </w:sdtPr>
        <w:sdtContent>
          <w:r w:rsidR="0003652F" w:rsidRPr="00DD1B58">
            <w:rPr>
              <w:lang w:val="en-US"/>
            </w:rPr>
            <w:fldChar w:fldCharType="begin"/>
          </w:r>
          <w:r w:rsidR="005B050F" w:rsidRPr="00DD1B58">
            <w:rPr>
              <w:lang w:val="en-US"/>
            </w:rPr>
            <w:instrText xml:space="preserve">CITATION UKG4 \l 2057 </w:instrText>
          </w:r>
          <w:r w:rsidR="0003652F" w:rsidRPr="00DD1B58">
            <w:rPr>
              <w:lang w:val="en-US"/>
            </w:rPr>
            <w:fldChar w:fldCharType="separate"/>
          </w:r>
          <w:r w:rsidR="00DF47DA" w:rsidRPr="00DF47DA">
            <w:rPr>
              <w:noProof/>
              <w:lang w:val="en-US"/>
            </w:rPr>
            <w:t>[30]</w:t>
          </w:r>
          <w:r w:rsidR="0003652F" w:rsidRPr="00DD1B58">
            <w:rPr>
              <w:lang w:val="en-US"/>
            </w:rPr>
            <w:fldChar w:fldCharType="end"/>
          </w:r>
        </w:sdtContent>
      </w:sdt>
      <w:r w:rsidR="00976D58" w:rsidRPr="00DD1B58">
        <w:rPr>
          <w:lang w:val="en-US"/>
        </w:rPr>
        <w:t xml:space="preserve"> </w:t>
      </w:r>
      <w:r w:rsidRPr="00DD1B58">
        <w:rPr>
          <w:lang w:val="en-US"/>
        </w:rPr>
        <w:t>compliance and electrical motor maintenance</w:t>
      </w:r>
      <w:r w:rsidR="2A23003D" w:rsidRPr="00DD1B58">
        <w:rPr>
          <w:lang w:val="en-US"/>
        </w:rPr>
        <w:t xml:space="preserve"> </w:t>
      </w:r>
      <w:r w:rsidRPr="00DD1B58">
        <w:rPr>
          <w:lang w:val="en-US"/>
        </w:rPr>
        <w:t>arrangements.</w:t>
      </w:r>
    </w:p>
    <w:p w14:paraId="24193111" w14:textId="77777777" w:rsidR="00DB3279" w:rsidRPr="00DD1B58" w:rsidRDefault="00DB3279" w:rsidP="0090753C">
      <w:pPr>
        <w:pStyle w:val="Heading4"/>
        <w:rPr>
          <w:bCs w:val="0"/>
          <w:lang w:val="en-US"/>
        </w:rPr>
      </w:pPr>
      <w:r w:rsidRPr="00DD1B58">
        <w:rPr>
          <w:bCs w:val="0"/>
          <w:lang w:val="en-US"/>
        </w:rPr>
        <w:lastRenderedPageBreak/>
        <w:t xml:space="preserve">Regulator’s assessment and conclusions on fire safety analyses </w:t>
      </w:r>
    </w:p>
    <w:p w14:paraId="757C1BB6" w14:textId="77777777" w:rsidR="00DB3279" w:rsidRPr="00DD1B58" w:rsidRDefault="00DB3279" w:rsidP="0090753C">
      <w:pPr>
        <w:pStyle w:val="Heading4"/>
        <w:numPr>
          <w:ilvl w:val="4"/>
          <w:numId w:val="3"/>
        </w:numPr>
        <w:rPr>
          <w:bCs w:val="0"/>
          <w:lang w:val="en-US"/>
        </w:rPr>
      </w:pPr>
      <w:r w:rsidRPr="00DD1B58">
        <w:rPr>
          <w:bCs w:val="0"/>
          <w:lang w:val="en-US"/>
        </w:rPr>
        <w:t>Overview of strengths and weaknesses identified by the regulator</w:t>
      </w:r>
    </w:p>
    <w:p w14:paraId="7273EB17" w14:textId="2782FF5C" w:rsidR="00A81FEF" w:rsidRPr="00DD1B58" w:rsidRDefault="00B90DA9" w:rsidP="3FE0E35C">
      <w:pPr>
        <w:rPr>
          <w:rFonts w:eastAsia="Arial"/>
          <w:szCs w:val="24"/>
          <w:lang w:val="en-US"/>
        </w:rPr>
      </w:pPr>
      <w:r w:rsidRPr="00DD1B58">
        <w:rPr>
          <w:rFonts w:eastAsia="Arial"/>
          <w:szCs w:val="24"/>
          <w:lang w:val="en-US"/>
        </w:rPr>
        <w:t xml:space="preserve"> </w:t>
      </w:r>
    </w:p>
    <w:p w14:paraId="640ECB7D" w14:textId="77777777" w:rsidR="00DB3279" w:rsidRPr="00DD1B58" w:rsidRDefault="7DF61957" w:rsidP="3FE0E35C">
      <w:pPr>
        <w:rPr>
          <w:lang w:val="en-US"/>
        </w:rPr>
      </w:pPr>
      <w:r w:rsidRPr="00DD1B58">
        <w:rPr>
          <w:rFonts w:eastAsia="Arial"/>
          <w:b/>
          <w:szCs w:val="24"/>
          <w:lang w:val="en-US"/>
        </w:rPr>
        <w:t>Guidance</w:t>
      </w:r>
      <w:r w:rsidRPr="00DD1B58">
        <w:rPr>
          <w:rFonts w:eastAsia="Arial"/>
          <w:szCs w:val="24"/>
          <w:lang w:val="en-US"/>
        </w:rPr>
        <w:t xml:space="preserve"> </w:t>
      </w:r>
    </w:p>
    <w:p w14:paraId="169CE7C0" w14:textId="68A9857B" w:rsidR="00DB3279" w:rsidRPr="00DD1B58" w:rsidRDefault="00C362CA" w:rsidP="3FE0E35C">
      <w:pPr>
        <w:rPr>
          <w:lang w:val="en-US"/>
        </w:rPr>
      </w:pPr>
      <w:r w:rsidRPr="00DD1B58">
        <w:rPr>
          <w:rFonts w:eastAsia="Arial"/>
          <w:szCs w:val="24"/>
          <w:lang w:val="en-US"/>
        </w:rPr>
        <w:t>EDF NGL</w:t>
      </w:r>
      <w:r w:rsidR="009839A9" w:rsidRPr="00DD1B58">
        <w:rPr>
          <w:rFonts w:eastAsia="Arial"/>
          <w:szCs w:val="24"/>
          <w:lang w:val="en-US"/>
        </w:rPr>
        <w:t>’s submission</w:t>
      </w:r>
      <w:r w:rsidR="7DF61957" w:rsidRPr="00DD1B58">
        <w:rPr>
          <w:rFonts w:eastAsia="Arial"/>
          <w:szCs w:val="24"/>
          <w:lang w:val="en-US"/>
        </w:rPr>
        <w:t xml:space="preserve"> </w:t>
      </w:r>
      <w:r w:rsidR="009839A9" w:rsidRPr="00DD1B58">
        <w:rPr>
          <w:rFonts w:eastAsia="Arial"/>
          <w:szCs w:val="24"/>
          <w:lang w:val="en-US"/>
        </w:rPr>
        <w:t>details</w:t>
      </w:r>
      <w:r w:rsidR="7DF61957" w:rsidRPr="00DD1B58">
        <w:rPr>
          <w:rFonts w:eastAsia="Arial"/>
          <w:szCs w:val="24"/>
          <w:lang w:val="en-US"/>
        </w:rPr>
        <w:t xml:space="preserve"> the </w:t>
      </w:r>
      <w:r w:rsidR="009839A9" w:rsidRPr="00DD1B58">
        <w:rPr>
          <w:rFonts w:eastAsia="Arial"/>
          <w:szCs w:val="24"/>
          <w:lang w:val="en-US"/>
        </w:rPr>
        <w:t>fire safety analysis</w:t>
      </w:r>
      <w:r w:rsidR="7DF61957" w:rsidRPr="00DD1B58">
        <w:rPr>
          <w:rFonts w:eastAsia="Arial"/>
          <w:szCs w:val="24"/>
          <w:lang w:val="en-US"/>
        </w:rPr>
        <w:t xml:space="preserve"> </w:t>
      </w:r>
      <w:r w:rsidR="009839A9" w:rsidRPr="00DD1B58">
        <w:rPr>
          <w:rFonts w:eastAsia="Arial"/>
          <w:szCs w:val="24"/>
          <w:lang w:val="en-US"/>
        </w:rPr>
        <w:t>company standards and guidance</w:t>
      </w:r>
      <w:r w:rsidR="00B232D6" w:rsidRPr="00DD1B58">
        <w:rPr>
          <w:rFonts w:eastAsia="Arial"/>
          <w:szCs w:val="24"/>
          <w:lang w:val="en-US"/>
        </w:rPr>
        <w:t>. T</w:t>
      </w:r>
      <w:r w:rsidR="009839A9" w:rsidRPr="00DD1B58">
        <w:rPr>
          <w:rFonts w:eastAsia="Arial"/>
          <w:szCs w:val="24"/>
          <w:lang w:val="en-US"/>
        </w:rPr>
        <w:t>hese include lists of</w:t>
      </w:r>
      <w:r w:rsidR="7DF61957" w:rsidRPr="00DD1B58">
        <w:rPr>
          <w:rFonts w:eastAsia="Arial"/>
          <w:szCs w:val="24"/>
          <w:lang w:val="en-US"/>
        </w:rPr>
        <w:t xml:space="preserve"> the key national and international standards </w:t>
      </w:r>
      <w:r w:rsidR="009839A9" w:rsidRPr="00DD1B58">
        <w:rPr>
          <w:rFonts w:eastAsia="Arial"/>
          <w:szCs w:val="24"/>
          <w:lang w:val="en-US"/>
        </w:rPr>
        <w:t xml:space="preserve">and how they are incorporated </w:t>
      </w:r>
      <w:r w:rsidR="00F65DC8" w:rsidRPr="00DD1B58">
        <w:rPr>
          <w:rFonts w:eastAsia="Arial"/>
          <w:szCs w:val="24"/>
          <w:lang w:val="en-US"/>
        </w:rPr>
        <w:t>into its arrangements.</w:t>
      </w:r>
      <w:r w:rsidR="007548A9" w:rsidRPr="00DD1B58">
        <w:rPr>
          <w:rFonts w:eastAsia="Arial"/>
          <w:szCs w:val="24"/>
          <w:lang w:val="en-US"/>
        </w:rPr>
        <w:t xml:space="preserve"> ONR SAPs and TAGs are referred to and there is evidence of implementation, including SAPs. </w:t>
      </w:r>
      <w:r w:rsidR="00BF0904" w:rsidRPr="00DD1B58">
        <w:rPr>
          <w:rFonts w:eastAsia="Arial"/>
          <w:szCs w:val="24"/>
          <w:lang w:val="en-US"/>
        </w:rPr>
        <w:t>EKP.</w:t>
      </w:r>
      <w:r w:rsidR="00E7594B" w:rsidRPr="00DD1B58">
        <w:rPr>
          <w:rFonts w:eastAsia="Arial"/>
          <w:szCs w:val="24"/>
          <w:lang w:val="en-US"/>
        </w:rPr>
        <w:t>3, EHA. 6</w:t>
      </w:r>
      <w:r w:rsidR="00386D3F" w:rsidRPr="00DD1B58">
        <w:rPr>
          <w:rFonts w:eastAsia="Arial"/>
          <w:szCs w:val="24"/>
          <w:lang w:val="en-US"/>
        </w:rPr>
        <w:t xml:space="preserve"> and </w:t>
      </w:r>
      <w:r w:rsidR="007548A9" w:rsidRPr="00DD1B58">
        <w:rPr>
          <w:rFonts w:eastAsia="Arial"/>
          <w:szCs w:val="24"/>
          <w:lang w:val="en-US"/>
        </w:rPr>
        <w:t>EHA</w:t>
      </w:r>
      <w:r w:rsidR="00073643" w:rsidRPr="00DD1B58">
        <w:rPr>
          <w:rFonts w:eastAsia="Arial"/>
          <w:szCs w:val="24"/>
          <w:lang w:val="en-US"/>
        </w:rPr>
        <w:t>. 14</w:t>
      </w:r>
      <w:r w:rsidR="007548A9" w:rsidRPr="00DD1B58">
        <w:rPr>
          <w:rFonts w:eastAsia="Arial"/>
          <w:szCs w:val="24"/>
          <w:lang w:val="en-US"/>
        </w:rPr>
        <w:t>.</w:t>
      </w:r>
      <w:r w:rsidR="00F65DC8" w:rsidRPr="00DD1B58">
        <w:rPr>
          <w:rFonts w:eastAsia="Arial"/>
          <w:szCs w:val="24"/>
          <w:lang w:val="en-US"/>
        </w:rPr>
        <w:t xml:space="preserve"> </w:t>
      </w:r>
      <w:r w:rsidR="00E82A21" w:rsidRPr="00DD1B58">
        <w:rPr>
          <w:rFonts w:eastAsia="Arial"/>
          <w:szCs w:val="24"/>
          <w:lang w:val="en-US"/>
        </w:rPr>
        <w:t>Key</w:t>
      </w:r>
      <w:r w:rsidR="7DF61957" w:rsidRPr="00DD1B58">
        <w:rPr>
          <w:rFonts w:eastAsia="Arial"/>
          <w:szCs w:val="24"/>
          <w:lang w:val="en-US"/>
        </w:rPr>
        <w:t xml:space="preserve"> IAEA standards </w:t>
      </w:r>
      <w:r w:rsidR="00E82A21" w:rsidRPr="00DD1B58">
        <w:rPr>
          <w:rFonts w:eastAsia="Arial"/>
          <w:szCs w:val="24"/>
          <w:lang w:val="en-US"/>
        </w:rPr>
        <w:t xml:space="preserve">incorporated by </w:t>
      </w:r>
      <w:r w:rsidRPr="00DD1B58">
        <w:rPr>
          <w:rFonts w:eastAsia="Arial"/>
          <w:szCs w:val="24"/>
          <w:lang w:val="en-US"/>
        </w:rPr>
        <w:t>EDF NGL</w:t>
      </w:r>
      <w:r w:rsidR="00E82A21" w:rsidRPr="00DD1B58">
        <w:rPr>
          <w:rFonts w:eastAsia="Arial"/>
          <w:szCs w:val="24"/>
          <w:lang w:val="en-US"/>
        </w:rPr>
        <w:t xml:space="preserve"> include </w:t>
      </w:r>
      <w:sdt>
        <w:sdtPr>
          <w:rPr>
            <w:rFonts w:eastAsia="Arial"/>
            <w:szCs w:val="24"/>
            <w:lang w:val="en-US"/>
          </w:rPr>
          <w:id w:val="1063757714"/>
          <w:citation/>
        </w:sdtPr>
        <w:sdtContent>
          <w:r w:rsidR="00292FCD" w:rsidRPr="00DD1B58">
            <w:rPr>
              <w:rFonts w:eastAsia="Arial"/>
              <w:szCs w:val="24"/>
              <w:lang w:val="en-US"/>
            </w:rPr>
            <w:fldChar w:fldCharType="begin"/>
          </w:r>
          <w:r w:rsidR="00292FCD" w:rsidRPr="00DD1B58">
            <w:rPr>
              <w:rFonts w:eastAsia="Arial"/>
              <w:szCs w:val="24"/>
              <w:lang w:val="en-US"/>
            </w:rPr>
            <w:instrText xml:space="preserve"> CITATION IAE5 \l 2057 </w:instrText>
          </w:r>
          <w:r w:rsidR="00292FCD" w:rsidRPr="00DD1B58">
            <w:rPr>
              <w:rFonts w:eastAsia="Arial"/>
              <w:szCs w:val="24"/>
              <w:lang w:val="en-US"/>
            </w:rPr>
            <w:fldChar w:fldCharType="separate"/>
          </w:r>
          <w:r w:rsidR="00DF47DA" w:rsidRPr="00DF47DA">
            <w:rPr>
              <w:rFonts w:eastAsia="Arial"/>
              <w:noProof/>
              <w:szCs w:val="24"/>
              <w:lang w:val="en-US"/>
            </w:rPr>
            <w:t>[17]</w:t>
          </w:r>
          <w:r w:rsidR="00292FCD" w:rsidRPr="00DD1B58">
            <w:rPr>
              <w:rFonts w:eastAsia="Arial"/>
              <w:szCs w:val="24"/>
              <w:lang w:val="en-US"/>
            </w:rPr>
            <w:fldChar w:fldCharType="end"/>
          </w:r>
        </w:sdtContent>
      </w:sdt>
      <w:r w:rsidR="00D329EB" w:rsidRPr="00DD1B58">
        <w:rPr>
          <w:rFonts w:eastAsia="Arial"/>
          <w:szCs w:val="24"/>
          <w:lang w:val="en-US"/>
        </w:rPr>
        <w:t xml:space="preserve">, </w:t>
      </w:r>
      <w:sdt>
        <w:sdtPr>
          <w:rPr>
            <w:rFonts w:eastAsia="Arial"/>
            <w:szCs w:val="24"/>
            <w:lang w:val="en-US"/>
          </w:rPr>
          <w:id w:val="1451668142"/>
          <w:citation/>
        </w:sdtPr>
        <w:sdtContent>
          <w:r w:rsidR="0087358B" w:rsidRPr="00DD1B58">
            <w:rPr>
              <w:rFonts w:eastAsia="Arial"/>
              <w:szCs w:val="24"/>
              <w:lang w:val="en-US"/>
            </w:rPr>
            <w:fldChar w:fldCharType="begin"/>
          </w:r>
          <w:r w:rsidR="0087358B" w:rsidRPr="00DD1B58">
            <w:rPr>
              <w:rFonts w:eastAsia="Arial"/>
              <w:szCs w:val="24"/>
              <w:lang w:val="en-US"/>
            </w:rPr>
            <w:instrText xml:space="preserve"> CITATION IAE3 \l 2057 </w:instrText>
          </w:r>
          <w:r w:rsidR="0087358B" w:rsidRPr="00DD1B58">
            <w:rPr>
              <w:rFonts w:eastAsia="Arial"/>
              <w:szCs w:val="24"/>
              <w:lang w:val="en-US"/>
            </w:rPr>
            <w:fldChar w:fldCharType="separate"/>
          </w:r>
          <w:r w:rsidR="00DF47DA" w:rsidRPr="00DF47DA">
            <w:rPr>
              <w:rFonts w:eastAsia="Arial"/>
              <w:noProof/>
              <w:szCs w:val="24"/>
              <w:lang w:val="en-US"/>
            </w:rPr>
            <w:t>[31]</w:t>
          </w:r>
          <w:r w:rsidR="0087358B" w:rsidRPr="00DD1B58">
            <w:rPr>
              <w:rFonts w:eastAsia="Arial"/>
              <w:szCs w:val="24"/>
              <w:lang w:val="en-US"/>
            </w:rPr>
            <w:fldChar w:fldCharType="end"/>
          </w:r>
        </w:sdtContent>
      </w:sdt>
      <w:r w:rsidR="00292FCD" w:rsidRPr="00DD1B58">
        <w:rPr>
          <w:rFonts w:eastAsia="Arial"/>
          <w:szCs w:val="24"/>
          <w:lang w:val="en-US"/>
        </w:rPr>
        <w:t xml:space="preserve"> and </w:t>
      </w:r>
      <w:sdt>
        <w:sdtPr>
          <w:rPr>
            <w:rFonts w:eastAsia="Arial"/>
            <w:szCs w:val="24"/>
            <w:lang w:val="en-US"/>
          </w:rPr>
          <w:id w:val="-457559629"/>
          <w:citation/>
        </w:sdtPr>
        <w:sdtContent>
          <w:r w:rsidR="0087358B" w:rsidRPr="00DD1B58">
            <w:rPr>
              <w:rFonts w:eastAsia="Arial"/>
              <w:szCs w:val="24"/>
              <w:lang w:val="en-US"/>
            </w:rPr>
            <w:fldChar w:fldCharType="begin"/>
          </w:r>
          <w:r w:rsidR="0087358B" w:rsidRPr="00DD1B58">
            <w:rPr>
              <w:rFonts w:eastAsia="Arial"/>
              <w:szCs w:val="24"/>
              <w:lang w:val="en-US"/>
            </w:rPr>
            <w:instrText xml:space="preserve"> CITATION IAE13 \l 2057 </w:instrText>
          </w:r>
          <w:r w:rsidR="0087358B" w:rsidRPr="00DD1B58">
            <w:rPr>
              <w:rFonts w:eastAsia="Arial"/>
              <w:szCs w:val="24"/>
              <w:lang w:val="en-US"/>
            </w:rPr>
            <w:fldChar w:fldCharType="separate"/>
          </w:r>
          <w:r w:rsidR="00DF47DA" w:rsidRPr="00DF47DA">
            <w:rPr>
              <w:rFonts w:eastAsia="Arial"/>
              <w:noProof/>
              <w:szCs w:val="24"/>
              <w:lang w:val="en-US"/>
            </w:rPr>
            <w:t>[32]</w:t>
          </w:r>
          <w:r w:rsidR="0087358B" w:rsidRPr="00DD1B58">
            <w:rPr>
              <w:rFonts w:eastAsia="Arial"/>
              <w:szCs w:val="24"/>
              <w:lang w:val="en-US"/>
            </w:rPr>
            <w:fldChar w:fldCharType="end"/>
          </w:r>
        </w:sdtContent>
      </w:sdt>
      <w:r w:rsidR="00E9049E" w:rsidRPr="00DD1B58">
        <w:rPr>
          <w:rFonts w:eastAsia="Arial"/>
          <w:szCs w:val="24"/>
          <w:lang w:val="en-US"/>
        </w:rPr>
        <w:t xml:space="preserve"> and</w:t>
      </w:r>
      <w:r w:rsidR="00A9166E" w:rsidRPr="00DD1B58">
        <w:rPr>
          <w:rFonts w:eastAsia="Arial"/>
          <w:szCs w:val="24"/>
          <w:lang w:val="en-US"/>
        </w:rPr>
        <w:t xml:space="preserve"> </w:t>
      </w:r>
      <w:r w:rsidR="00E82A21" w:rsidRPr="00DD1B58">
        <w:rPr>
          <w:rFonts w:eastAsia="Arial"/>
          <w:szCs w:val="24"/>
          <w:lang w:val="en-US"/>
        </w:rPr>
        <w:t xml:space="preserve">the </w:t>
      </w:r>
      <w:r w:rsidR="7DF61957" w:rsidRPr="00DD1B58">
        <w:rPr>
          <w:rFonts w:eastAsia="Arial"/>
          <w:szCs w:val="24"/>
          <w:lang w:val="en-US"/>
        </w:rPr>
        <w:t>WENRA reference levels</w:t>
      </w:r>
      <w:r w:rsidR="00E82A21" w:rsidRPr="00DD1B58">
        <w:rPr>
          <w:rFonts w:eastAsia="Arial"/>
          <w:szCs w:val="24"/>
          <w:lang w:val="en-US"/>
        </w:rPr>
        <w:t xml:space="preserve"> for Existing Reactors </w:t>
      </w:r>
      <w:sdt>
        <w:sdtPr>
          <w:rPr>
            <w:rFonts w:eastAsia="Arial"/>
            <w:szCs w:val="24"/>
            <w:lang w:val="en-US"/>
          </w:rPr>
          <w:id w:val="295503812"/>
          <w:citation/>
        </w:sdtPr>
        <w:sdtContent>
          <w:r w:rsidR="00783BA0" w:rsidRPr="00DD1B58">
            <w:rPr>
              <w:rFonts w:eastAsia="Arial"/>
              <w:szCs w:val="24"/>
              <w:lang w:val="en-US"/>
            </w:rPr>
            <w:fldChar w:fldCharType="begin"/>
          </w:r>
          <w:r w:rsidR="00783BA0" w:rsidRPr="00DD1B58">
            <w:rPr>
              <w:rFonts w:eastAsia="Arial"/>
              <w:szCs w:val="24"/>
              <w:lang w:val="en-US"/>
            </w:rPr>
            <w:instrText xml:space="preserve"> CITATION WEN \l 2057 </w:instrText>
          </w:r>
          <w:r w:rsidR="00783BA0" w:rsidRPr="00DD1B58">
            <w:rPr>
              <w:rFonts w:eastAsia="Arial"/>
              <w:szCs w:val="24"/>
              <w:lang w:val="en-US"/>
            </w:rPr>
            <w:fldChar w:fldCharType="separate"/>
          </w:r>
          <w:r w:rsidR="00DF47DA" w:rsidRPr="00DF47DA">
            <w:rPr>
              <w:rFonts w:eastAsia="Arial"/>
              <w:noProof/>
              <w:szCs w:val="24"/>
              <w:lang w:val="en-US"/>
            </w:rPr>
            <w:t>[33]</w:t>
          </w:r>
          <w:r w:rsidR="00783BA0" w:rsidRPr="00DD1B58">
            <w:rPr>
              <w:rFonts w:eastAsia="Arial"/>
              <w:szCs w:val="24"/>
              <w:lang w:val="en-US"/>
            </w:rPr>
            <w:fldChar w:fldCharType="end"/>
          </w:r>
        </w:sdtContent>
      </w:sdt>
      <w:r w:rsidR="7DF61957" w:rsidRPr="00DD1B58">
        <w:rPr>
          <w:rFonts w:eastAsia="Arial"/>
          <w:szCs w:val="24"/>
          <w:lang w:val="en-US"/>
        </w:rPr>
        <w:t>.</w:t>
      </w:r>
      <w:r w:rsidR="00A9166E" w:rsidRPr="00DD1B58">
        <w:rPr>
          <w:rFonts w:eastAsia="Arial"/>
          <w:szCs w:val="24"/>
          <w:lang w:val="en-US"/>
        </w:rPr>
        <w:t xml:space="preserve"> </w:t>
      </w:r>
      <w:r w:rsidR="7DF61957" w:rsidRPr="00DD1B58">
        <w:rPr>
          <w:rFonts w:eastAsia="Arial"/>
          <w:szCs w:val="24"/>
          <w:lang w:val="en-US"/>
        </w:rPr>
        <w:t>ONR</w:t>
      </w:r>
      <w:r w:rsidR="00A9166E" w:rsidRPr="00DD1B58">
        <w:rPr>
          <w:rFonts w:eastAsia="Arial"/>
          <w:szCs w:val="24"/>
          <w:lang w:val="en-US"/>
        </w:rPr>
        <w:t xml:space="preserve"> judges </w:t>
      </w:r>
      <w:r w:rsidR="00E82A21" w:rsidRPr="00DD1B58">
        <w:rPr>
          <w:rFonts w:eastAsia="Arial"/>
          <w:szCs w:val="24"/>
          <w:lang w:val="en-US"/>
        </w:rPr>
        <w:t xml:space="preserve">that </w:t>
      </w:r>
      <w:r w:rsidRPr="00DD1B58">
        <w:rPr>
          <w:rFonts w:eastAsia="Arial"/>
          <w:szCs w:val="24"/>
          <w:lang w:val="en-US"/>
        </w:rPr>
        <w:t>EDF NGL</w:t>
      </w:r>
      <w:r w:rsidR="00E82A21" w:rsidRPr="00DD1B58">
        <w:rPr>
          <w:rFonts w:eastAsia="Arial"/>
          <w:szCs w:val="24"/>
          <w:lang w:val="en-US"/>
        </w:rPr>
        <w:t>’s</w:t>
      </w:r>
      <w:r w:rsidR="7DF61957" w:rsidRPr="00DD1B58">
        <w:rPr>
          <w:rFonts w:eastAsia="Arial"/>
          <w:szCs w:val="24"/>
          <w:lang w:val="en-US"/>
        </w:rPr>
        <w:t xml:space="preserve"> fire protection philosophy and fire safety analysis processes </w:t>
      </w:r>
      <w:r w:rsidR="00E82A21" w:rsidRPr="00DD1B58">
        <w:rPr>
          <w:rFonts w:eastAsia="Arial"/>
          <w:szCs w:val="24"/>
          <w:lang w:val="en-US"/>
        </w:rPr>
        <w:t xml:space="preserve">align with </w:t>
      </w:r>
      <w:r w:rsidR="7DF61957" w:rsidRPr="00DD1B58">
        <w:rPr>
          <w:rFonts w:eastAsia="Arial"/>
          <w:szCs w:val="24"/>
          <w:lang w:val="en-US"/>
        </w:rPr>
        <w:t xml:space="preserve">the high-level nuclear fire requirements set in </w:t>
      </w:r>
      <w:r w:rsidR="00E82A21" w:rsidRPr="00DD1B58">
        <w:rPr>
          <w:rFonts w:eastAsia="Arial"/>
          <w:szCs w:val="24"/>
          <w:lang w:val="en-US"/>
        </w:rPr>
        <w:t xml:space="preserve">the </w:t>
      </w:r>
      <w:r w:rsidR="7DF61957" w:rsidRPr="00DD1B58">
        <w:rPr>
          <w:rFonts w:eastAsia="Arial"/>
          <w:szCs w:val="24"/>
          <w:lang w:val="en-US"/>
        </w:rPr>
        <w:t xml:space="preserve">ONR SAPs </w:t>
      </w:r>
      <w:sdt>
        <w:sdtPr>
          <w:rPr>
            <w:rFonts w:eastAsia="Arial"/>
            <w:szCs w:val="24"/>
            <w:lang w:val="en-US"/>
          </w:rPr>
          <w:id w:val="-1044134624"/>
          <w:citation/>
        </w:sdtPr>
        <w:sdtContent>
          <w:r w:rsidR="000F1724" w:rsidRPr="00DD1B58">
            <w:rPr>
              <w:rFonts w:eastAsia="Arial"/>
              <w:szCs w:val="24"/>
              <w:lang w:val="en-US"/>
            </w:rPr>
            <w:fldChar w:fldCharType="begin"/>
          </w:r>
          <w:r w:rsidR="000F1724" w:rsidRPr="00DD1B58">
            <w:rPr>
              <w:rFonts w:eastAsia="Arial"/>
              <w:szCs w:val="24"/>
              <w:lang w:val="en-US"/>
            </w:rPr>
            <w:instrText xml:space="preserve"> CITATION Off20 \l 2057 </w:instrText>
          </w:r>
          <w:r w:rsidR="000F1724" w:rsidRPr="00DD1B58">
            <w:rPr>
              <w:rFonts w:eastAsia="Arial"/>
              <w:szCs w:val="24"/>
              <w:lang w:val="en-US"/>
            </w:rPr>
            <w:fldChar w:fldCharType="separate"/>
          </w:r>
          <w:r w:rsidR="00DF47DA" w:rsidRPr="00DF47DA">
            <w:rPr>
              <w:rFonts w:eastAsia="Arial"/>
              <w:noProof/>
              <w:szCs w:val="24"/>
              <w:lang w:val="en-US"/>
            </w:rPr>
            <w:t>[15]</w:t>
          </w:r>
          <w:r w:rsidR="000F1724" w:rsidRPr="00DD1B58">
            <w:rPr>
              <w:rFonts w:eastAsia="Arial"/>
              <w:szCs w:val="24"/>
              <w:lang w:val="en-US"/>
            </w:rPr>
            <w:fldChar w:fldCharType="end"/>
          </w:r>
        </w:sdtContent>
      </w:sdt>
      <w:r w:rsidR="00E82A21" w:rsidRPr="00DD1B58">
        <w:rPr>
          <w:rFonts w:eastAsia="Arial"/>
          <w:szCs w:val="24"/>
          <w:lang w:val="en-US"/>
        </w:rPr>
        <w:t xml:space="preserve"> </w:t>
      </w:r>
      <w:r w:rsidR="7DF61957" w:rsidRPr="00DD1B58">
        <w:rPr>
          <w:rFonts w:eastAsia="Arial"/>
          <w:szCs w:val="24"/>
          <w:lang w:val="en-US"/>
        </w:rPr>
        <w:t>and TAG</w:t>
      </w:r>
      <w:r w:rsidR="00E82A21" w:rsidRPr="00DD1B58">
        <w:rPr>
          <w:rFonts w:eastAsia="Arial"/>
          <w:szCs w:val="24"/>
          <w:lang w:val="en-US"/>
        </w:rPr>
        <w:t xml:space="preserve"> </w:t>
      </w:r>
      <w:sdt>
        <w:sdtPr>
          <w:rPr>
            <w:rFonts w:eastAsia="Arial"/>
            <w:szCs w:val="24"/>
            <w:lang w:val="en-US"/>
          </w:rPr>
          <w:id w:val="463923795"/>
          <w:citation/>
        </w:sdtPr>
        <w:sdtContent>
          <w:r w:rsidR="00EE3B9D" w:rsidRPr="00DD1B58">
            <w:rPr>
              <w:rFonts w:eastAsia="Arial"/>
              <w:szCs w:val="24"/>
              <w:lang w:val="en-US"/>
            </w:rPr>
            <w:fldChar w:fldCharType="begin"/>
          </w:r>
          <w:r w:rsidR="00EE3B9D" w:rsidRPr="00DD1B58">
            <w:rPr>
              <w:rFonts w:eastAsia="Arial"/>
              <w:szCs w:val="24"/>
              <w:lang w:val="en-US"/>
            </w:rPr>
            <w:instrText xml:space="preserve"> CITATION ONR4 \l 2057 </w:instrText>
          </w:r>
          <w:r w:rsidR="00EE3B9D" w:rsidRPr="00DD1B58">
            <w:rPr>
              <w:rFonts w:eastAsia="Arial"/>
              <w:szCs w:val="24"/>
              <w:lang w:val="en-US"/>
            </w:rPr>
            <w:fldChar w:fldCharType="separate"/>
          </w:r>
          <w:r w:rsidR="00DF47DA" w:rsidRPr="00DF47DA">
            <w:rPr>
              <w:rFonts w:eastAsia="Arial"/>
              <w:noProof/>
              <w:szCs w:val="24"/>
              <w:lang w:val="en-US"/>
            </w:rPr>
            <w:t>[16]</w:t>
          </w:r>
          <w:r w:rsidR="00EE3B9D" w:rsidRPr="00DD1B58">
            <w:rPr>
              <w:rFonts w:eastAsia="Arial"/>
              <w:szCs w:val="24"/>
              <w:lang w:val="en-US"/>
            </w:rPr>
            <w:fldChar w:fldCharType="end"/>
          </w:r>
        </w:sdtContent>
      </w:sdt>
      <w:r w:rsidR="7DF61957" w:rsidRPr="00DD1B58">
        <w:rPr>
          <w:rFonts w:eastAsia="Arial"/>
          <w:szCs w:val="24"/>
          <w:lang w:val="en-US"/>
        </w:rPr>
        <w:t xml:space="preserve"> </w:t>
      </w:r>
      <w:r w:rsidR="00E82A21" w:rsidRPr="00DD1B58">
        <w:rPr>
          <w:rFonts w:eastAsia="Arial"/>
          <w:szCs w:val="24"/>
          <w:lang w:val="en-US"/>
        </w:rPr>
        <w:t>which are</w:t>
      </w:r>
      <w:r w:rsidR="007548A9" w:rsidRPr="00DD1B58">
        <w:rPr>
          <w:rFonts w:eastAsia="Arial"/>
          <w:szCs w:val="24"/>
          <w:lang w:val="en-US"/>
        </w:rPr>
        <w:t xml:space="preserve"> also</w:t>
      </w:r>
      <w:r w:rsidR="00E82A21" w:rsidRPr="00DD1B58">
        <w:rPr>
          <w:rFonts w:eastAsia="Arial"/>
          <w:szCs w:val="24"/>
          <w:lang w:val="en-US"/>
        </w:rPr>
        <w:t xml:space="preserve"> benchmarked and incorporate IAEA</w:t>
      </w:r>
      <w:r w:rsidR="7DF61957" w:rsidRPr="00DD1B58">
        <w:rPr>
          <w:rFonts w:eastAsia="Arial"/>
          <w:szCs w:val="24"/>
          <w:lang w:val="en-US"/>
        </w:rPr>
        <w:t xml:space="preserve"> </w:t>
      </w:r>
      <w:r w:rsidR="007548A9" w:rsidRPr="00DD1B58">
        <w:rPr>
          <w:rFonts w:eastAsia="Arial"/>
          <w:szCs w:val="24"/>
          <w:lang w:val="en-US"/>
        </w:rPr>
        <w:t>standards.</w:t>
      </w:r>
    </w:p>
    <w:p w14:paraId="1C737EC1" w14:textId="7AFA6336" w:rsidR="00DB3279" w:rsidRPr="00DD1B58" w:rsidRDefault="7DF61957" w:rsidP="3FE0E35C">
      <w:pPr>
        <w:rPr>
          <w:lang w:val="en-US"/>
        </w:rPr>
      </w:pPr>
      <w:r w:rsidRPr="00DD1B58">
        <w:rPr>
          <w:rFonts w:eastAsia="Arial"/>
          <w:b/>
          <w:szCs w:val="24"/>
          <w:lang w:val="en-US"/>
        </w:rPr>
        <w:t>Fire loading and data sources</w:t>
      </w:r>
    </w:p>
    <w:p w14:paraId="15D268F7" w14:textId="1D2C31DA" w:rsidR="00DB3279" w:rsidRPr="00DD1B58" w:rsidRDefault="7DF61957" w:rsidP="3FE0E35C">
      <w:pPr>
        <w:rPr>
          <w:lang w:val="en-US"/>
        </w:rPr>
      </w:pPr>
      <w:r w:rsidRPr="00DD1B58">
        <w:rPr>
          <w:rFonts w:eastAsia="Arial"/>
          <w:color w:val="000000" w:themeColor="text2"/>
          <w:szCs w:val="24"/>
          <w:lang w:val="en-US"/>
        </w:rPr>
        <w:t xml:space="preserve">ONR </w:t>
      </w:r>
      <w:r w:rsidR="00B427C2" w:rsidRPr="00DD1B58">
        <w:rPr>
          <w:rFonts w:eastAsia="Arial"/>
          <w:color w:val="000000" w:themeColor="text2"/>
          <w:szCs w:val="24"/>
          <w:lang w:val="en-US"/>
        </w:rPr>
        <w:t xml:space="preserve">has routinely </w:t>
      </w:r>
      <w:r w:rsidRPr="00DD1B58">
        <w:rPr>
          <w:rFonts w:eastAsia="Arial"/>
          <w:color w:val="000000" w:themeColor="text2"/>
          <w:szCs w:val="24"/>
          <w:lang w:val="en-US"/>
        </w:rPr>
        <w:t>assesse</w:t>
      </w:r>
      <w:r w:rsidR="00B427C2" w:rsidRPr="00DD1B58">
        <w:rPr>
          <w:rFonts w:eastAsia="Arial"/>
          <w:color w:val="000000" w:themeColor="text2"/>
          <w:szCs w:val="24"/>
          <w:lang w:val="en-US"/>
        </w:rPr>
        <w:t>d</w:t>
      </w:r>
      <w:r w:rsidRPr="00DD1B58">
        <w:rPr>
          <w:rFonts w:eastAsia="Arial"/>
          <w:color w:val="000000" w:themeColor="text2"/>
          <w:szCs w:val="24"/>
          <w:lang w:val="en-US"/>
        </w:rPr>
        <w:t xml:space="preserve"> </w:t>
      </w:r>
      <w:r w:rsidR="00B427C2" w:rsidRPr="00DD1B58">
        <w:rPr>
          <w:rFonts w:eastAsia="Arial"/>
          <w:color w:val="000000" w:themeColor="text2"/>
          <w:szCs w:val="24"/>
          <w:lang w:val="en-US"/>
        </w:rPr>
        <w:t xml:space="preserve">the </w:t>
      </w:r>
      <w:r w:rsidRPr="00DD1B58">
        <w:rPr>
          <w:rFonts w:eastAsia="Arial"/>
          <w:color w:val="000000" w:themeColor="text2"/>
          <w:szCs w:val="24"/>
          <w:lang w:val="en-US"/>
        </w:rPr>
        <w:t xml:space="preserve">adequacy of </w:t>
      </w:r>
      <w:r w:rsidR="00C362CA" w:rsidRPr="00DD1B58">
        <w:rPr>
          <w:rFonts w:eastAsia="Arial"/>
          <w:color w:val="000000" w:themeColor="text2"/>
          <w:szCs w:val="24"/>
          <w:lang w:val="en-US"/>
        </w:rPr>
        <w:t>EDF NGL</w:t>
      </w:r>
      <w:r w:rsidR="00B427C2" w:rsidRPr="00DD1B58">
        <w:rPr>
          <w:rFonts w:eastAsia="Arial"/>
          <w:color w:val="000000" w:themeColor="text2"/>
          <w:szCs w:val="24"/>
          <w:lang w:val="en-US"/>
        </w:rPr>
        <w:t>’s</w:t>
      </w:r>
      <w:r w:rsidRPr="00DD1B58">
        <w:rPr>
          <w:rFonts w:eastAsia="Arial"/>
          <w:color w:val="000000" w:themeColor="text2"/>
          <w:szCs w:val="24"/>
          <w:lang w:val="en-US"/>
        </w:rPr>
        <w:t xml:space="preserve"> fire load analysis against the </w:t>
      </w:r>
      <w:r w:rsidR="00BC3EFB" w:rsidRPr="00DD1B58">
        <w:rPr>
          <w:rFonts w:eastAsia="Arial"/>
          <w:color w:val="000000" w:themeColor="text2"/>
          <w:szCs w:val="24"/>
          <w:lang w:val="en-US"/>
        </w:rPr>
        <w:t>i</w:t>
      </w:r>
      <w:r w:rsidRPr="00DD1B58">
        <w:rPr>
          <w:rFonts w:eastAsia="Arial"/>
          <w:color w:val="000000" w:themeColor="text2"/>
          <w:szCs w:val="24"/>
          <w:lang w:val="en-US"/>
        </w:rPr>
        <w:t xml:space="preserve">nternal </w:t>
      </w:r>
      <w:r w:rsidR="00BC3EFB" w:rsidRPr="00DD1B58">
        <w:rPr>
          <w:rFonts w:eastAsia="Arial"/>
          <w:color w:val="000000" w:themeColor="text2"/>
          <w:szCs w:val="24"/>
          <w:lang w:val="en-US"/>
        </w:rPr>
        <w:t xml:space="preserve">hazards </w:t>
      </w:r>
      <w:r w:rsidRPr="00DD1B58">
        <w:rPr>
          <w:rFonts w:eastAsia="Arial"/>
          <w:color w:val="000000" w:themeColor="text2"/>
          <w:szCs w:val="24"/>
          <w:lang w:val="en-US"/>
        </w:rPr>
        <w:t xml:space="preserve">TAG </w:t>
      </w:r>
      <w:sdt>
        <w:sdtPr>
          <w:rPr>
            <w:rFonts w:eastAsia="Arial"/>
            <w:color w:val="000000" w:themeColor="text2"/>
            <w:szCs w:val="24"/>
            <w:lang w:val="en-US"/>
          </w:rPr>
          <w:id w:val="1696882144"/>
          <w:citation/>
        </w:sdtPr>
        <w:sdtContent>
          <w:r w:rsidR="000F1724" w:rsidRPr="00DD1B58">
            <w:rPr>
              <w:rFonts w:eastAsia="Arial"/>
              <w:color w:val="000000" w:themeColor="text2"/>
              <w:szCs w:val="24"/>
              <w:lang w:val="en-US"/>
            </w:rPr>
            <w:fldChar w:fldCharType="begin"/>
          </w:r>
          <w:r w:rsidR="000F1724" w:rsidRPr="00DD1B58">
            <w:rPr>
              <w:rFonts w:eastAsia="Arial"/>
              <w:color w:val="000000" w:themeColor="text2"/>
              <w:szCs w:val="24"/>
              <w:lang w:val="en-US"/>
            </w:rPr>
            <w:instrText xml:space="preserve"> CITATION ONR4 \l 2057 </w:instrText>
          </w:r>
          <w:r w:rsidR="000F1724" w:rsidRPr="00DD1B58">
            <w:rPr>
              <w:rFonts w:eastAsia="Arial"/>
              <w:color w:val="000000" w:themeColor="text2"/>
              <w:szCs w:val="24"/>
              <w:lang w:val="en-US"/>
            </w:rPr>
            <w:fldChar w:fldCharType="separate"/>
          </w:r>
          <w:r w:rsidR="00DF47DA" w:rsidRPr="00DF47DA">
            <w:rPr>
              <w:rFonts w:eastAsia="Arial"/>
              <w:noProof/>
              <w:color w:val="000000" w:themeColor="text2"/>
              <w:szCs w:val="24"/>
              <w:lang w:val="en-US"/>
            </w:rPr>
            <w:t>[16]</w:t>
          </w:r>
          <w:r w:rsidR="000F1724" w:rsidRPr="00DD1B58">
            <w:rPr>
              <w:rFonts w:eastAsia="Arial"/>
              <w:color w:val="000000" w:themeColor="text2"/>
              <w:szCs w:val="24"/>
              <w:lang w:val="en-US"/>
            </w:rPr>
            <w:fldChar w:fldCharType="end"/>
          </w:r>
        </w:sdtContent>
      </w:sdt>
      <w:r w:rsidR="00B427C2" w:rsidRPr="00DD1B58">
        <w:rPr>
          <w:rFonts w:eastAsia="Arial"/>
          <w:color w:val="000000" w:themeColor="text2"/>
          <w:szCs w:val="24"/>
          <w:lang w:val="en-US"/>
        </w:rPr>
        <w:t xml:space="preserve">. Specifically, </w:t>
      </w:r>
      <w:sdt>
        <w:sdtPr>
          <w:rPr>
            <w:rFonts w:eastAsia="Arial"/>
            <w:color w:val="000000" w:themeColor="text2"/>
            <w:szCs w:val="24"/>
            <w:lang w:val="en-US"/>
          </w:rPr>
          <w:id w:val="1669976667"/>
          <w:citation/>
        </w:sdtPr>
        <w:sdtContent>
          <w:r w:rsidR="00C420E4" w:rsidRPr="00DD1B58">
            <w:rPr>
              <w:rFonts w:eastAsia="Arial"/>
              <w:color w:val="000000" w:themeColor="text2"/>
              <w:szCs w:val="24"/>
              <w:lang w:val="en-US"/>
            </w:rPr>
            <w:fldChar w:fldCharType="begin"/>
          </w:r>
          <w:r w:rsidR="00C420E4" w:rsidRPr="00DD1B58">
            <w:rPr>
              <w:rFonts w:eastAsia="Arial"/>
              <w:color w:val="000000" w:themeColor="text2"/>
              <w:szCs w:val="24"/>
              <w:lang w:val="en-US"/>
            </w:rPr>
            <w:instrText xml:space="preserve"> CITATION ONR4 \l 2057 </w:instrText>
          </w:r>
          <w:r w:rsidR="00C420E4" w:rsidRPr="00DD1B58">
            <w:rPr>
              <w:rFonts w:eastAsia="Arial"/>
              <w:color w:val="000000" w:themeColor="text2"/>
              <w:szCs w:val="24"/>
              <w:lang w:val="en-US"/>
            </w:rPr>
            <w:fldChar w:fldCharType="separate"/>
          </w:r>
          <w:r w:rsidR="00DF47DA" w:rsidRPr="00DF47DA">
            <w:rPr>
              <w:rFonts w:eastAsia="Arial"/>
              <w:noProof/>
              <w:color w:val="000000" w:themeColor="text2"/>
              <w:szCs w:val="24"/>
              <w:lang w:val="en-US"/>
            </w:rPr>
            <w:t>[16]</w:t>
          </w:r>
          <w:r w:rsidR="00C420E4" w:rsidRPr="00DD1B58">
            <w:rPr>
              <w:rFonts w:eastAsia="Arial"/>
              <w:color w:val="000000" w:themeColor="text2"/>
              <w:szCs w:val="24"/>
              <w:lang w:val="en-US"/>
            </w:rPr>
            <w:fldChar w:fldCharType="end"/>
          </w:r>
        </w:sdtContent>
      </w:sdt>
      <w:r w:rsidR="00B427C2" w:rsidRPr="00DD1B58">
        <w:rPr>
          <w:rFonts w:eastAsia="Arial"/>
          <w:color w:val="000000" w:themeColor="text2"/>
          <w:szCs w:val="24"/>
          <w:lang w:val="en-US"/>
        </w:rPr>
        <w:t xml:space="preserve"> expects </w:t>
      </w:r>
      <w:r w:rsidRPr="00DD1B58">
        <w:rPr>
          <w:rFonts w:eastAsia="Arial"/>
          <w:color w:val="000000" w:themeColor="text2"/>
          <w:szCs w:val="24"/>
          <w:lang w:val="en-US"/>
        </w:rPr>
        <w:t xml:space="preserve">the safety case to </w:t>
      </w:r>
      <w:r w:rsidR="00B427C2" w:rsidRPr="00DD1B58">
        <w:rPr>
          <w:rFonts w:eastAsia="Arial"/>
          <w:color w:val="000000" w:themeColor="text2"/>
          <w:szCs w:val="24"/>
          <w:lang w:val="en-US"/>
        </w:rPr>
        <w:t>be based on</w:t>
      </w:r>
      <w:r w:rsidR="00940D2A" w:rsidRPr="00DD1B58">
        <w:rPr>
          <w:rFonts w:eastAsia="Arial"/>
          <w:color w:val="000000" w:themeColor="text2"/>
          <w:szCs w:val="24"/>
          <w:lang w:val="en-US"/>
        </w:rPr>
        <w:t xml:space="preserve"> </w:t>
      </w:r>
      <w:r w:rsidRPr="00DD1B58">
        <w:rPr>
          <w:rFonts w:eastAsia="Arial"/>
          <w:color w:val="000000" w:themeColor="text2"/>
          <w:szCs w:val="24"/>
          <w:lang w:val="en-US"/>
        </w:rPr>
        <w:t>systematic and demonstrably complete</w:t>
      </w:r>
      <w:r w:rsidR="00B427C2" w:rsidRPr="00DD1B58">
        <w:rPr>
          <w:rFonts w:eastAsia="Arial"/>
          <w:color w:val="000000" w:themeColor="text2"/>
          <w:szCs w:val="24"/>
          <w:lang w:val="en-US"/>
        </w:rPr>
        <w:t xml:space="preserve"> surveys of combustible materials, including</w:t>
      </w:r>
      <w:r w:rsidRPr="00DD1B58">
        <w:rPr>
          <w:rFonts w:eastAsia="Arial"/>
          <w:color w:val="000000" w:themeColor="text2"/>
          <w:szCs w:val="24"/>
          <w:lang w:val="en-US"/>
        </w:rPr>
        <w:t xml:space="preserve"> solids, gases, liquids, vapours and transient loads. ONR SAPs AV.3 also expects the data used in the analysis of aspects of plant performance with safety significance to be valid for the circumstances by reference to established physical data, experiment or other appropriate means.</w:t>
      </w:r>
      <w:r w:rsidR="00940D2A" w:rsidRPr="00DD1B58">
        <w:rPr>
          <w:rFonts w:eastAsia="Arial"/>
          <w:color w:val="000000" w:themeColor="text2"/>
          <w:szCs w:val="24"/>
          <w:lang w:val="en-US"/>
        </w:rPr>
        <w:t xml:space="preserve"> </w:t>
      </w:r>
    </w:p>
    <w:p w14:paraId="44117DB5" w14:textId="4F19B261" w:rsidR="00DB3279" w:rsidRPr="00DD1B58" w:rsidRDefault="00C362CA" w:rsidP="3FE0E35C">
      <w:pPr>
        <w:rPr>
          <w:lang w:val="en-US"/>
        </w:rPr>
      </w:pPr>
      <w:r w:rsidRPr="00DD1B58">
        <w:rPr>
          <w:rFonts w:eastAsia="Arial"/>
          <w:szCs w:val="24"/>
          <w:lang w:val="en-US"/>
        </w:rPr>
        <w:t>EDF NGL</w:t>
      </w:r>
      <w:r w:rsidR="003051E8" w:rsidRPr="00DD1B58">
        <w:rPr>
          <w:rFonts w:eastAsia="Arial"/>
          <w:szCs w:val="24"/>
          <w:lang w:val="en-US"/>
        </w:rPr>
        <w:t>’s</w:t>
      </w:r>
      <w:r w:rsidR="7DF61957" w:rsidRPr="00DD1B58">
        <w:rPr>
          <w:rFonts w:eastAsia="Arial"/>
          <w:szCs w:val="24"/>
          <w:lang w:val="en-US"/>
        </w:rPr>
        <w:t xml:space="preserve"> self-assessment describes how </w:t>
      </w:r>
      <w:r w:rsidR="003051E8" w:rsidRPr="00DD1B58">
        <w:rPr>
          <w:rFonts w:eastAsia="Arial"/>
          <w:szCs w:val="24"/>
          <w:lang w:val="en-US"/>
        </w:rPr>
        <w:t xml:space="preserve">it identifies and considers </w:t>
      </w:r>
      <w:r w:rsidR="7DF61957" w:rsidRPr="00DD1B58">
        <w:rPr>
          <w:rFonts w:eastAsia="Arial"/>
          <w:szCs w:val="24"/>
          <w:lang w:val="en-US"/>
        </w:rPr>
        <w:t xml:space="preserve">fixed and transient loads </w:t>
      </w:r>
      <w:r w:rsidR="003051E8" w:rsidRPr="00DD1B58">
        <w:rPr>
          <w:rFonts w:eastAsia="Arial"/>
          <w:szCs w:val="24"/>
          <w:lang w:val="en-US"/>
        </w:rPr>
        <w:t>in the analysis. It also state</w:t>
      </w:r>
      <w:r w:rsidR="00F5060E" w:rsidRPr="00DD1B58">
        <w:rPr>
          <w:rFonts w:eastAsia="Arial"/>
          <w:szCs w:val="24"/>
          <w:lang w:val="en-US"/>
        </w:rPr>
        <w:t>s</w:t>
      </w:r>
      <w:r w:rsidR="003051E8" w:rsidRPr="00DD1B58">
        <w:rPr>
          <w:rFonts w:eastAsia="Arial"/>
          <w:szCs w:val="24"/>
          <w:lang w:val="en-US"/>
        </w:rPr>
        <w:t xml:space="preserve"> how</w:t>
      </w:r>
      <w:r w:rsidR="7DF61957" w:rsidRPr="00DD1B58">
        <w:rPr>
          <w:rFonts w:eastAsia="Arial"/>
          <w:szCs w:val="24"/>
          <w:lang w:val="en-US"/>
        </w:rPr>
        <w:t xml:space="preserve"> changes to load data are recorded, </w:t>
      </w:r>
      <w:r w:rsidR="003051E8" w:rsidRPr="00DD1B58">
        <w:rPr>
          <w:rFonts w:eastAsia="Arial"/>
          <w:szCs w:val="24"/>
          <w:lang w:val="en-US"/>
        </w:rPr>
        <w:t>and justifies that the</w:t>
      </w:r>
      <w:r w:rsidR="7DF61957" w:rsidRPr="00DD1B58">
        <w:rPr>
          <w:rFonts w:eastAsia="Arial"/>
          <w:szCs w:val="24"/>
          <w:lang w:val="en-US"/>
        </w:rPr>
        <w:t xml:space="preserve"> underpinning data is based on </w:t>
      </w:r>
      <w:r w:rsidR="00594699" w:rsidRPr="00DD1B58">
        <w:rPr>
          <w:rFonts w:eastAsia="Arial"/>
          <w:szCs w:val="24"/>
          <w:lang w:val="en-US"/>
        </w:rPr>
        <w:t xml:space="preserve">recognised sources </w:t>
      </w:r>
      <w:r w:rsidR="003051E8" w:rsidRPr="00DD1B58">
        <w:rPr>
          <w:rFonts w:eastAsia="Arial"/>
          <w:szCs w:val="24"/>
          <w:lang w:val="en-US"/>
        </w:rPr>
        <w:t xml:space="preserve">from </w:t>
      </w:r>
      <w:r w:rsidR="7DF61957" w:rsidRPr="00DD1B58">
        <w:rPr>
          <w:rFonts w:eastAsia="Arial"/>
          <w:szCs w:val="24"/>
          <w:lang w:val="en-US"/>
        </w:rPr>
        <w:t xml:space="preserve">relevant </w:t>
      </w:r>
      <w:r w:rsidR="003051E8" w:rsidRPr="00DD1B58">
        <w:rPr>
          <w:rFonts w:eastAsia="Arial"/>
          <w:szCs w:val="24"/>
          <w:lang w:val="en-US"/>
        </w:rPr>
        <w:t xml:space="preserve">literature sources, experimentation or </w:t>
      </w:r>
      <w:r w:rsidR="7DF61957" w:rsidRPr="00DD1B58">
        <w:rPr>
          <w:rFonts w:eastAsia="Arial"/>
          <w:szCs w:val="24"/>
          <w:lang w:val="en-US"/>
        </w:rPr>
        <w:t>validation testing</w:t>
      </w:r>
      <w:r w:rsidR="00594699" w:rsidRPr="00DD1B58">
        <w:rPr>
          <w:rFonts w:eastAsia="Arial"/>
          <w:szCs w:val="24"/>
          <w:lang w:val="en-US"/>
        </w:rPr>
        <w:t xml:space="preserve">. </w:t>
      </w:r>
      <w:r w:rsidR="7DF61957" w:rsidRPr="00DD1B58">
        <w:rPr>
          <w:rFonts w:eastAsia="Arial"/>
          <w:szCs w:val="24"/>
          <w:lang w:val="en-US"/>
        </w:rPr>
        <w:t xml:space="preserve">It also details how this information </w:t>
      </w:r>
      <w:r w:rsidR="003051E8" w:rsidRPr="00DD1B58">
        <w:rPr>
          <w:rFonts w:eastAsia="Arial"/>
          <w:szCs w:val="24"/>
          <w:lang w:val="en-US"/>
        </w:rPr>
        <w:t>informs</w:t>
      </w:r>
      <w:r w:rsidR="7DF61957" w:rsidRPr="00DD1B58">
        <w:rPr>
          <w:rFonts w:eastAsia="Arial"/>
          <w:szCs w:val="24"/>
          <w:lang w:val="en-US"/>
        </w:rPr>
        <w:t xml:space="preserve"> </w:t>
      </w:r>
      <w:r w:rsidR="003051E8" w:rsidRPr="00DD1B58">
        <w:rPr>
          <w:rFonts w:eastAsia="Arial"/>
          <w:szCs w:val="24"/>
          <w:lang w:val="en-US"/>
        </w:rPr>
        <w:t>both</w:t>
      </w:r>
      <w:r w:rsidR="7DF61957" w:rsidRPr="00DD1B58">
        <w:rPr>
          <w:rFonts w:eastAsia="Arial"/>
          <w:szCs w:val="24"/>
          <w:lang w:val="en-US"/>
        </w:rPr>
        <w:t xml:space="preserve"> hazard analysis and operational limits</w:t>
      </w:r>
      <w:r w:rsidR="003051E8" w:rsidRPr="00DD1B58">
        <w:rPr>
          <w:rFonts w:eastAsia="Arial"/>
          <w:szCs w:val="24"/>
          <w:lang w:val="en-US"/>
        </w:rPr>
        <w:t>.</w:t>
      </w:r>
      <w:r w:rsidR="7DF61957" w:rsidRPr="00DD1B58">
        <w:rPr>
          <w:rFonts w:eastAsia="Arial"/>
          <w:szCs w:val="24"/>
          <w:lang w:val="en-US"/>
        </w:rPr>
        <w:t xml:space="preserve"> </w:t>
      </w:r>
      <w:r w:rsidR="003051E8" w:rsidRPr="00DD1B58">
        <w:rPr>
          <w:rFonts w:eastAsia="Arial"/>
          <w:szCs w:val="24"/>
          <w:lang w:val="en-US"/>
        </w:rPr>
        <w:t>Based on the information provided,</w:t>
      </w:r>
      <w:r w:rsidR="7DF61957" w:rsidRPr="00DD1B58">
        <w:rPr>
          <w:rFonts w:eastAsia="Arial"/>
          <w:szCs w:val="24"/>
          <w:lang w:val="en-US"/>
        </w:rPr>
        <w:t xml:space="preserve"> ONR judge</w:t>
      </w:r>
      <w:r w:rsidR="003051E8" w:rsidRPr="00DD1B58">
        <w:rPr>
          <w:rFonts w:eastAsia="Arial"/>
          <w:szCs w:val="24"/>
          <w:lang w:val="en-US"/>
        </w:rPr>
        <w:t>s</w:t>
      </w:r>
      <w:r w:rsidR="7DF61957" w:rsidRPr="00DD1B58">
        <w:rPr>
          <w:rFonts w:eastAsia="Arial"/>
          <w:szCs w:val="24"/>
          <w:lang w:val="en-US"/>
        </w:rPr>
        <w:t xml:space="preserve"> that EDF NGL has demonstrated that </w:t>
      </w:r>
      <w:r w:rsidR="003051E8" w:rsidRPr="00DD1B58">
        <w:rPr>
          <w:rFonts w:eastAsia="Arial"/>
          <w:szCs w:val="24"/>
          <w:lang w:val="en-US"/>
        </w:rPr>
        <w:t xml:space="preserve">UK </w:t>
      </w:r>
      <w:r w:rsidR="7DF61957" w:rsidRPr="00DD1B58">
        <w:rPr>
          <w:rFonts w:eastAsia="Arial"/>
          <w:szCs w:val="24"/>
          <w:lang w:val="en-US"/>
        </w:rPr>
        <w:t>regulatory expectations are met</w:t>
      </w:r>
      <w:r w:rsidR="003051E8" w:rsidRPr="00DD1B58">
        <w:rPr>
          <w:rFonts w:eastAsia="Arial"/>
          <w:szCs w:val="24"/>
          <w:lang w:val="en-US"/>
        </w:rPr>
        <w:t>.</w:t>
      </w:r>
    </w:p>
    <w:p w14:paraId="6E106883" w14:textId="77777777" w:rsidR="00DB3279" w:rsidRPr="00DD1B58" w:rsidRDefault="7DF61957" w:rsidP="3FE0E35C">
      <w:pPr>
        <w:rPr>
          <w:lang w:val="en-US"/>
        </w:rPr>
      </w:pPr>
      <w:r w:rsidRPr="00DD1B58">
        <w:rPr>
          <w:rFonts w:eastAsia="Arial"/>
          <w:b/>
          <w:szCs w:val="24"/>
          <w:lang w:val="en-US"/>
        </w:rPr>
        <w:t>Deterministic analysis approach</w:t>
      </w:r>
      <w:r w:rsidRPr="00DD1B58">
        <w:rPr>
          <w:rFonts w:eastAsia="Arial"/>
          <w:szCs w:val="24"/>
          <w:lang w:val="en-US"/>
        </w:rPr>
        <w:t xml:space="preserve"> </w:t>
      </w:r>
    </w:p>
    <w:p w14:paraId="068648AD" w14:textId="53CB59AE" w:rsidR="00DB3279" w:rsidRPr="00DD1B58" w:rsidRDefault="7DF61957" w:rsidP="3FE0E35C">
      <w:pPr>
        <w:rPr>
          <w:lang w:val="en-US"/>
        </w:rPr>
      </w:pPr>
      <w:r w:rsidRPr="00DD1B58">
        <w:rPr>
          <w:rFonts w:eastAsia="Arial"/>
          <w:szCs w:val="24"/>
          <w:lang w:val="en-US"/>
        </w:rPr>
        <w:t>ONR</w:t>
      </w:r>
      <w:r w:rsidR="003051E8" w:rsidRPr="00DD1B58">
        <w:rPr>
          <w:rFonts w:eastAsia="Arial"/>
          <w:szCs w:val="24"/>
          <w:lang w:val="en-US"/>
        </w:rPr>
        <w:t xml:space="preserve"> </w:t>
      </w:r>
      <w:r w:rsidRPr="00DD1B58">
        <w:rPr>
          <w:rFonts w:eastAsia="Arial"/>
          <w:szCs w:val="24"/>
          <w:lang w:val="en-US"/>
        </w:rPr>
        <w:t xml:space="preserve">expectations for fire hazard analysis are set out in the internal hazards TAG and the </w:t>
      </w:r>
      <w:r w:rsidR="003051E8" w:rsidRPr="00DD1B58">
        <w:rPr>
          <w:rFonts w:eastAsia="Arial"/>
          <w:szCs w:val="24"/>
          <w:lang w:val="en-US"/>
        </w:rPr>
        <w:t>SAPs</w:t>
      </w:r>
      <w:r w:rsidRPr="00DD1B58">
        <w:rPr>
          <w:rFonts w:eastAsia="Arial"/>
          <w:szCs w:val="24"/>
          <w:lang w:val="en-US"/>
        </w:rPr>
        <w:t xml:space="preserve">. Consistent with the IAEA </w:t>
      </w:r>
      <w:r w:rsidR="005F3618" w:rsidRPr="00DD1B58">
        <w:rPr>
          <w:rFonts w:eastAsia="Arial"/>
          <w:szCs w:val="24"/>
          <w:lang w:val="en-US"/>
        </w:rPr>
        <w:t>SSG-64</w:t>
      </w:r>
      <w:r w:rsidRPr="00DD1B58">
        <w:rPr>
          <w:rFonts w:eastAsia="Arial"/>
          <w:szCs w:val="24"/>
          <w:lang w:val="en-US"/>
        </w:rPr>
        <w:t xml:space="preserve"> </w:t>
      </w:r>
      <w:sdt>
        <w:sdtPr>
          <w:rPr>
            <w:rFonts w:eastAsia="Arial"/>
            <w:szCs w:val="24"/>
            <w:lang w:val="en-US"/>
          </w:rPr>
          <w:id w:val="623735133"/>
          <w:citation/>
        </w:sdtPr>
        <w:sdtContent>
          <w:r w:rsidR="00C24A03" w:rsidRPr="00DD1B58">
            <w:rPr>
              <w:rFonts w:eastAsia="Arial"/>
              <w:szCs w:val="24"/>
              <w:lang w:val="en-US"/>
            </w:rPr>
            <w:fldChar w:fldCharType="begin"/>
          </w:r>
          <w:r w:rsidR="00C24A03" w:rsidRPr="00DD1B58">
            <w:rPr>
              <w:rFonts w:eastAsia="Arial"/>
              <w:szCs w:val="24"/>
              <w:lang w:val="en-US"/>
            </w:rPr>
            <w:instrText xml:space="preserve"> CITATION IAE5 \l 2057 </w:instrText>
          </w:r>
          <w:r w:rsidR="00C24A03" w:rsidRPr="00DD1B58">
            <w:rPr>
              <w:rFonts w:eastAsia="Arial"/>
              <w:szCs w:val="24"/>
              <w:lang w:val="en-US"/>
            </w:rPr>
            <w:fldChar w:fldCharType="separate"/>
          </w:r>
          <w:r w:rsidR="00DF47DA" w:rsidRPr="00DF47DA">
            <w:rPr>
              <w:rFonts w:eastAsia="Arial"/>
              <w:noProof/>
              <w:szCs w:val="24"/>
              <w:lang w:val="en-US"/>
            </w:rPr>
            <w:t>[17]</w:t>
          </w:r>
          <w:r w:rsidR="00C24A03" w:rsidRPr="00DD1B58">
            <w:rPr>
              <w:rFonts w:eastAsia="Arial"/>
              <w:szCs w:val="24"/>
              <w:lang w:val="en-US"/>
            </w:rPr>
            <w:fldChar w:fldCharType="end"/>
          </w:r>
        </w:sdtContent>
      </w:sdt>
      <w:r w:rsidR="006B6ABF" w:rsidRPr="00DD1B58">
        <w:rPr>
          <w:rFonts w:eastAsia="Arial"/>
          <w:szCs w:val="24"/>
          <w:lang w:val="en-US"/>
        </w:rPr>
        <w:t xml:space="preserve"> </w:t>
      </w:r>
      <w:r w:rsidRPr="00DD1B58">
        <w:rPr>
          <w:rFonts w:eastAsia="Arial"/>
          <w:szCs w:val="24"/>
          <w:lang w:val="en-US"/>
        </w:rPr>
        <w:t xml:space="preserve">and WENRA </w:t>
      </w:r>
      <w:r w:rsidR="006B6ABF" w:rsidRPr="00DD1B58">
        <w:rPr>
          <w:rFonts w:eastAsia="Arial"/>
          <w:szCs w:val="24"/>
          <w:lang w:val="en-US"/>
        </w:rPr>
        <w:t>SRLs</w:t>
      </w:r>
      <w:r w:rsidR="005F3618" w:rsidRPr="00DD1B58">
        <w:rPr>
          <w:rFonts w:eastAsia="Arial"/>
          <w:szCs w:val="24"/>
          <w:lang w:val="en-US"/>
        </w:rPr>
        <w:t xml:space="preserve"> </w:t>
      </w:r>
      <w:sdt>
        <w:sdtPr>
          <w:rPr>
            <w:rFonts w:eastAsia="Arial"/>
            <w:szCs w:val="24"/>
            <w:lang w:val="en-US"/>
          </w:rPr>
          <w:id w:val="588199433"/>
          <w:citation/>
        </w:sdtPr>
        <w:sdtContent>
          <w:r w:rsidR="00C24A03" w:rsidRPr="00DD1B58">
            <w:rPr>
              <w:rFonts w:eastAsia="Arial"/>
              <w:szCs w:val="24"/>
              <w:lang w:val="en-US"/>
            </w:rPr>
            <w:fldChar w:fldCharType="begin"/>
          </w:r>
          <w:r w:rsidR="00C24A03" w:rsidRPr="00DD1B58">
            <w:rPr>
              <w:rFonts w:eastAsia="Arial"/>
              <w:szCs w:val="24"/>
              <w:lang w:val="en-US"/>
            </w:rPr>
            <w:instrText xml:space="preserve"> CITATION WEN \l 2057 </w:instrText>
          </w:r>
          <w:r w:rsidR="00C24A03" w:rsidRPr="00DD1B58">
            <w:rPr>
              <w:rFonts w:eastAsia="Arial"/>
              <w:szCs w:val="24"/>
              <w:lang w:val="en-US"/>
            </w:rPr>
            <w:fldChar w:fldCharType="separate"/>
          </w:r>
          <w:r w:rsidR="00DF47DA" w:rsidRPr="00DF47DA">
            <w:rPr>
              <w:rFonts w:eastAsia="Arial"/>
              <w:noProof/>
              <w:szCs w:val="24"/>
              <w:lang w:val="en-US"/>
            </w:rPr>
            <w:t>[33]</w:t>
          </w:r>
          <w:r w:rsidR="00C24A03" w:rsidRPr="00DD1B58">
            <w:rPr>
              <w:rFonts w:eastAsia="Arial"/>
              <w:szCs w:val="24"/>
              <w:lang w:val="en-US"/>
            </w:rPr>
            <w:fldChar w:fldCharType="end"/>
          </w:r>
        </w:sdtContent>
      </w:sdt>
      <w:r w:rsidR="006B6ABF" w:rsidRPr="00DD1B58">
        <w:rPr>
          <w:rFonts w:eastAsia="Arial"/>
          <w:szCs w:val="24"/>
          <w:lang w:val="en-US"/>
        </w:rPr>
        <w:t>, ONR expects</w:t>
      </w:r>
      <w:r w:rsidRPr="00DD1B58">
        <w:rPr>
          <w:rFonts w:eastAsia="Arial"/>
          <w:szCs w:val="24"/>
          <w:lang w:val="en-US"/>
        </w:rPr>
        <w:t xml:space="preserve"> suitable fire consequence analysis methods and models </w:t>
      </w:r>
      <w:r w:rsidR="006B6ABF" w:rsidRPr="00DD1B58">
        <w:rPr>
          <w:rFonts w:eastAsia="Arial"/>
          <w:szCs w:val="24"/>
          <w:lang w:val="en-US"/>
        </w:rPr>
        <w:t>to be</w:t>
      </w:r>
      <w:r w:rsidRPr="00DD1B58">
        <w:rPr>
          <w:rFonts w:eastAsia="Arial"/>
          <w:szCs w:val="24"/>
          <w:lang w:val="en-US"/>
        </w:rPr>
        <w:t xml:space="preserve"> applied </w:t>
      </w:r>
      <w:r w:rsidR="006B6ABF" w:rsidRPr="00DD1B58">
        <w:rPr>
          <w:rFonts w:eastAsia="Arial"/>
          <w:szCs w:val="24"/>
          <w:lang w:val="en-US"/>
        </w:rPr>
        <w:t>to estimate</w:t>
      </w:r>
      <w:r w:rsidRPr="00DD1B58">
        <w:rPr>
          <w:rFonts w:eastAsia="Arial"/>
          <w:szCs w:val="24"/>
          <w:lang w:val="en-US"/>
        </w:rPr>
        <w:t xml:space="preserve"> severity of fire hazards (SAPs EHA.1, EHA.5, EHA.6) and that the outputs from fire and ignition source identification </w:t>
      </w:r>
      <w:r w:rsidR="006B6ABF" w:rsidRPr="00DD1B58">
        <w:rPr>
          <w:rFonts w:eastAsia="Arial"/>
          <w:szCs w:val="24"/>
          <w:lang w:val="en-US"/>
        </w:rPr>
        <w:t>are</w:t>
      </w:r>
      <w:r w:rsidRPr="00DD1B58">
        <w:rPr>
          <w:rFonts w:eastAsia="Arial"/>
          <w:szCs w:val="24"/>
          <w:lang w:val="en-US"/>
        </w:rPr>
        <w:t xml:space="preserve"> taken forward </w:t>
      </w:r>
      <w:r w:rsidR="006B6ABF" w:rsidRPr="00DD1B58">
        <w:rPr>
          <w:rFonts w:eastAsia="Arial"/>
          <w:szCs w:val="24"/>
          <w:lang w:val="en-US"/>
        </w:rPr>
        <w:t>in the</w:t>
      </w:r>
      <w:r w:rsidR="009D46E2" w:rsidRPr="00DD1B58">
        <w:rPr>
          <w:rFonts w:eastAsia="Arial"/>
          <w:szCs w:val="24"/>
          <w:lang w:val="en-US"/>
        </w:rPr>
        <w:t xml:space="preserve"> consequence</w:t>
      </w:r>
      <w:r w:rsidR="006B6ABF" w:rsidRPr="00DD1B58">
        <w:rPr>
          <w:rFonts w:eastAsia="Arial"/>
          <w:szCs w:val="24"/>
          <w:lang w:val="en-US"/>
        </w:rPr>
        <w:t xml:space="preserve"> </w:t>
      </w:r>
      <w:r w:rsidRPr="00DD1B58">
        <w:rPr>
          <w:rFonts w:eastAsia="Arial"/>
          <w:szCs w:val="24"/>
          <w:lang w:val="en-US"/>
        </w:rPr>
        <w:t>analysis</w:t>
      </w:r>
      <w:r w:rsidR="005F3618" w:rsidRPr="00DD1B58">
        <w:rPr>
          <w:rFonts w:eastAsia="Arial"/>
          <w:szCs w:val="24"/>
          <w:lang w:val="en-US"/>
        </w:rPr>
        <w:t xml:space="preserve"> so that the impact of fires on </w:t>
      </w:r>
      <w:r w:rsidRPr="00DD1B58">
        <w:rPr>
          <w:rFonts w:eastAsia="Arial"/>
          <w:szCs w:val="24"/>
          <w:lang w:val="en-US"/>
        </w:rPr>
        <w:t xml:space="preserve">SSCs and </w:t>
      </w:r>
      <w:r w:rsidR="009D46E2" w:rsidRPr="00DD1B58">
        <w:rPr>
          <w:rFonts w:eastAsia="Arial"/>
          <w:szCs w:val="24"/>
          <w:lang w:val="en-US"/>
        </w:rPr>
        <w:t>the</w:t>
      </w:r>
      <w:r w:rsidRPr="00DD1B58">
        <w:rPr>
          <w:rFonts w:eastAsia="Arial"/>
          <w:szCs w:val="24"/>
          <w:lang w:val="en-US"/>
        </w:rPr>
        <w:t xml:space="preserve"> performance requirements </w:t>
      </w:r>
      <w:r w:rsidR="009D46E2" w:rsidRPr="00DD1B58">
        <w:rPr>
          <w:rFonts w:eastAsia="Arial"/>
          <w:szCs w:val="24"/>
          <w:lang w:val="en-US"/>
        </w:rPr>
        <w:t xml:space="preserve">from </w:t>
      </w:r>
      <w:r w:rsidRPr="00DD1B58">
        <w:rPr>
          <w:rFonts w:eastAsia="Arial"/>
          <w:szCs w:val="24"/>
          <w:lang w:val="en-US"/>
        </w:rPr>
        <w:t xml:space="preserve">fire safety measures </w:t>
      </w:r>
      <w:r w:rsidR="005F3618" w:rsidRPr="00DD1B58">
        <w:rPr>
          <w:rFonts w:eastAsia="Arial"/>
          <w:szCs w:val="24"/>
          <w:lang w:val="en-US"/>
        </w:rPr>
        <w:t>are adequately</w:t>
      </w:r>
      <w:r w:rsidRPr="00DD1B58">
        <w:rPr>
          <w:rFonts w:eastAsia="Arial"/>
          <w:szCs w:val="24"/>
          <w:lang w:val="en-US"/>
        </w:rPr>
        <w:t xml:space="preserve"> determined. </w:t>
      </w:r>
    </w:p>
    <w:p w14:paraId="315D8876" w14:textId="12C06AED" w:rsidR="00DB3279" w:rsidRPr="00DD1B58" w:rsidRDefault="00C362CA" w:rsidP="3FE0E35C">
      <w:pPr>
        <w:rPr>
          <w:lang w:val="en-US"/>
        </w:rPr>
      </w:pPr>
      <w:r w:rsidRPr="00DD1B58">
        <w:rPr>
          <w:rFonts w:eastAsia="Arial"/>
          <w:lang w:val="en-US"/>
        </w:rPr>
        <w:t>EDF NGL</w:t>
      </w:r>
      <w:r w:rsidR="009D46E2" w:rsidRPr="00DD1B58">
        <w:rPr>
          <w:rFonts w:eastAsia="Arial"/>
          <w:lang w:val="en-US"/>
        </w:rPr>
        <w:t>’s self-assessment</w:t>
      </w:r>
      <w:r w:rsidR="008826D9" w:rsidRPr="00DD1B58">
        <w:rPr>
          <w:rFonts w:eastAsia="Arial"/>
          <w:lang w:val="en-US"/>
        </w:rPr>
        <w:t xml:space="preserve"> in section </w:t>
      </w:r>
      <w:r w:rsidR="0071693A" w:rsidRPr="00DD1B58">
        <w:rPr>
          <w:rFonts w:eastAsia="Arial"/>
          <w:lang w:val="en-US"/>
        </w:rPr>
        <w:t>I-2.1.1.5</w:t>
      </w:r>
      <w:r w:rsidR="009D46E2" w:rsidRPr="00DD1B58">
        <w:rPr>
          <w:rFonts w:eastAsia="Arial"/>
          <w:lang w:val="en-US"/>
        </w:rPr>
        <w:t xml:space="preserve"> set</w:t>
      </w:r>
      <w:r w:rsidR="008826D9" w:rsidRPr="00DD1B58">
        <w:rPr>
          <w:rFonts w:eastAsia="Arial"/>
          <w:lang w:val="en-US"/>
        </w:rPr>
        <w:t xml:space="preserve">s </w:t>
      </w:r>
      <w:r w:rsidR="009D46E2" w:rsidRPr="00DD1B58">
        <w:rPr>
          <w:rFonts w:eastAsia="Arial"/>
          <w:lang w:val="en-US"/>
        </w:rPr>
        <w:t>out how fire analysis models are</w:t>
      </w:r>
      <w:r w:rsidR="7DF61957" w:rsidRPr="00DD1B58">
        <w:rPr>
          <w:rFonts w:eastAsia="Arial"/>
          <w:lang w:val="en-US"/>
        </w:rPr>
        <w:t xml:space="preserve"> selected </w:t>
      </w:r>
      <w:r w:rsidR="009D46E2" w:rsidRPr="00DD1B58">
        <w:rPr>
          <w:rFonts w:eastAsia="Arial"/>
          <w:lang w:val="en-US"/>
        </w:rPr>
        <w:t>to characterise fire events,</w:t>
      </w:r>
      <w:r w:rsidR="7DF61957" w:rsidRPr="00DD1B58">
        <w:rPr>
          <w:rFonts w:eastAsia="Arial"/>
          <w:lang w:val="en-US"/>
        </w:rPr>
        <w:t xml:space="preserve"> </w:t>
      </w:r>
      <w:r w:rsidR="00843A66" w:rsidRPr="00DD1B58">
        <w:rPr>
          <w:rFonts w:eastAsia="Arial"/>
          <w:lang w:val="en-US"/>
        </w:rPr>
        <w:t xml:space="preserve">providing </w:t>
      </w:r>
      <w:r w:rsidR="008730A5" w:rsidRPr="00DD1B58">
        <w:rPr>
          <w:rFonts w:eastAsia="Arial"/>
          <w:lang w:val="en-US"/>
        </w:rPr>
        <w:t>a</w:t>
      </w:r>
      <w:r w:rsidR="7DF61957" w:rsidRPr="00DD1B58">
        <w:rPr>
          <w:rFonts w:eastAsia="Arial"/>
          <w:lang w:val="en-US"/>
        </w:rPr>
        <w:t xml:space="preserve"> description of the factors </w:t>
      </w:r>
      <w:r w:rsidR="00843A66" w:rsidRPr="00DD1B58">
        <w:rPr>
          <w:rFonts w:eastAsia="Arial"/>
          <w:lang w:val="en-US"/>
        </w:rPr>
        <w:t>it</w:t>
      </w:r>
      <w:r w:rsidR="7DF61957" w:rsidRPr="00DD1B58">
        <w:rPr>
          <w:rFonts w:eastAsia="Arial"/>
          <w:lang w:val="en-US"/>
        </w:rPr>
        <w:t xml:space="preserve"> </w:t>
      </w:r>
      <w:r w:rsidR="008730A5" w:rsidRPr="00DD1B58">
        <w:rPr>
          <w:rFonts w:eastAsia="Arial"/>
          <w:lang w:val="en-US"/>
        </w:rPr>
        <w:t>applie</w:t>
      </w:r>
      <w:r w:rsidR="00843A66" w:rsidRPr="00DD1B58">
        <w:rPr>
          <w:rFonts w:eastAsia="Arial"/>
          <w:lang w:val="en-US"/>
        </w:rPr>
        <w:t>s</w:t>
      </w:r>
      <w:r w:rsidR="7DF61957" w:rsidRPr="00DD1B58">
        <w:rPr>
          <w:rFonts w:eastAsia="Arial"/>
          <w:lang w:val="en-US"/>
        </w:rPr>
        <w:t xml:space="preserve"> </w:t>
      </w:r>
      <w:r w:rsidR="008730A5" w:rsidRPr="00DD1B58">
        <w:rPr>
          <w:rFonts w:eastAsia="Arial"/>
          <w:lang w:val="en-US"/>
        </w:rPr>
        <w:t>in decision-making</w:t>
      </w:r>
      <w:r w:rsidR="7DF61957" w:rsidRPr="00DD1B58">
        <w:rPr>
          <w:rFonts w:eastAsia="Arial"/>
          <w:lang w:val="en-US"/>
        </w:rPr>
        <w:t xml:space="preserve">. </w:t>
      </w:r>
      <w:r w:rsidR="008730A5" w:rsidRPr="00DD1B58">
        <w:rPr>
          <w:rFonts w:eastAsia="Arial"/>
          <w:lang w:val="en-US"/>
        </w:rPr>
        <w:t xml:space="preserve">The models </w:t>
      </w:r>
      <w:r w:rsidR="7DF61957" w:rsidRPr="00DD1B58">
        <w:rPr>
          <w:rFonts w:eastAsia="Arial"/>
          <w:lang w:val="en-US"/>
        </w:rPr>
        <w:t>include hand calculations, zone models, and</w:t>
      </w:r>
      <w:r w:rsidR="004A5CF8" w:rsidRPr="00DD1B58">
        <w:rPr>
          <w:rFonts w:eastAsia="Arial"/>
          <w:lang w:val="en-US"/>
        </w:rPr>
        <w:t>,</w:t>
      </w:r>
      <w:r w:rsidR="7DF61957" w:rsidRPr="00DD1B58">
        <w:rPr>
          <w:rFonts w:eastAsia="Arial"/>
          <w:lang w:val="en-US"/>
        </w:rPr>
        <w:t xml:space="preserve"> where </w:t>
      </w:r>
      <w:r w:rsidR="7DF61957" w:rsidRPr="00DD1B58">
        <w:rPr>
          <w:rFonts w:eastAsia="Arial"/>
          <w:lang w:val="en-US"/>
        </w:rPr>
        <w:lastRenderedPageBreak/>
        <w:t xml:space="preserve">appropriate, CFD. </w:t>
      </w:r>
      <w:r w:rsidRPr="00DD1B58">
        <w:rPr>
          <w:rFonts w:eastAsia="Arial"/>
          <w:lang w:val="en-US"/>
        </w:rPr>
        <w:t>EDF NGL</w:t>
      </w:r>
      <w:r w:rsidR="7DF61957" w:rsidRPr="00DD1B58">
        <w:rPr>
          <w:rFonts w:eastAsia="Arial"/>
          <w:lang w:val="en-US"/>
        </w:rPr>
        <w:t xml:space="preserve"> described a proportionate, graded approach to tool selection </w:t>
      </w:r>
      <w:r w:rsidR="00B66EAE" w:rsidRPr="00DD1B58">
        <w:rPr>
          <w:rFonts w:eastAsia="Arial"/>
          <w:lang w:val="en-US"/>
        </w:rPr>
        <w:t xml:space="preserve">which is broadly aligned with </w:t>
      </w:r>
      <w:r w:rsidR="00A862D2" w:rsidRPr="00DD1B58">
        <w:rPr>
          <w:rFonts w:eastAsia="Arial"/>
          <w:lang w:val="en-US"/>
        </w:rPr>
        <w:t xml:space="preserve">SAP </w:t>
      </w:r>
      <w:r w:rsidR="00BE636C" w:rsidRPr="00DD1B58">
        <w:rPr>
          <w:rFonts w:eastAsia="Arial"/>
          <w:lang w:val="en-US"/>
        </w:rPr>
        <w:t xml:space="preserve">FA.3 </w:t>
      </w:r>
      <w:r w:rsidR="00A862D2" w:rsidRPr="00DD1B58">
        <w:rPr>
          <w:rFonts w:eastAsia="Arial"/>
          <w:lang w:val="en-US"/>
        </w:rPr>
        <w:t>par</w:t>
      </w:r>
      <w:r w:rsidR="00EC1ACC" w:rsidRPr="00DD1B58">
        <w:rPr>
          <w:rFonts w:eastAsia="Arial"/>
          <w:lang w:val="en-US"/>
        </w:rPr>
        <w:t>a.</w:t>
      </w:r>
      <w:r w:rsidR="00A862D2" w:rsidRPr="00DD1B58">
        <w:rPr>
          <w:rFonts w:eastAsia="Arial"/>
          <w:lang w:val="en-US"/>
        </w:rPr>
        <w:t xml:space="preserve"> 619 </w:t>
      </w:r>
      <w:sdt>
        <w:sdtPr>
          <w:rPr>
            <w:rFonts w:eastAsia="Arial"/>
            <w:lang w:val="en-US"/>
          </w:rPr>
          <w:id w:val="-117918351"/>
          <w:citation/>
        </w:sdtPr>
        <w:sdtContent>
          <w:r w:rsidR="00BE636C" w:rsidRPr="00DD1B58">
            <w:rPr>
              <w:rFonts w:eastAsia="Arial"/>
              <w:lang w:val="en-US"/>
            </w:rPr>
            <w:fldChar w:fldCharType="begin"/>
          </w:r>
          <w:r w:rsidR="00BE636C" w:rsidRPr="00DD1B58">
            <w:rPr>
              <w:rFonts w:eastAsia="Arial"/>
              <w:lang w:val="en-US"/>
            </w:rPr>
            <w:instrText xml:space="preserve"> CITATION Off20 \l 2057 </w:instrText>
          </w:r>
          <w:r w:rsidR="00BE636C" w:rsidRPr="00DD1B58">
            <w:rPr>
              <w:rFonts w:eastAsia="Arial"/>
              <w:lang w:val="en-US"/>
            </w:rPr>
            <w:fldChar w:fldCharType="separate"/>
          </w:r>
          <w:r w:rsidR="00DF47DA" w:rsidRPr="00DF47DA">
            <w:rPr>
              <w:rFonts w:eastAsia="Arial"/>
              <w:noProof/>
              <w:lang w:val="en-US"/>
            </w:rPr>
            <w:t>[15]</w:t>
          </w:r>
          <w:r w:rsidR="00BE636C" w:rsidRPr="00DD1B58">
            <w:rPr>
              <w:rFonts w:eastAsia="Arial"/>
              <w:lang w:val="en-US"/>
            </w:rPr>
            <w:fldChar w:fldCharType="end"/>
          </w:r>
        </w:sdtContent>
      </w:sdt>
      <w:r w:rsidR="004A5CF8" w:rsidRPr="00DD1B58">
        <w:rPr>
          <w:rFonts w:eastAsia="Arial"/>
          <w:lang w:val="en-US"/>
        </w:rPr>
        <w:t>.</w:t>
      </w:r>
      <w:r w:rsidR="004A5CF8" w:rsidRPr="00DD1B58">
        <w:rPr>
          <w:rFonts w:eastAsia="Arial"/>
          <w:szCs w:val="24"/>
          <w:lang w:val="en-US"/>
        </w:rPr>
        <w:t xml:space="preserve"> </w:t>
      </w:r>
      <w:r w:rsidRPr="00DD1B58">
        <w:rPr>
          <w:rFonts w:eastAsia="Arial"/>
          <w:szCs w:val="24"/>
          <w:lang w:val="en-US"/>
        </w:rPr>
        <w:t>EDF NGL</w:t>
      </w:r>
      <w:r w:rsidR="00333499" w:rsidRPr="00DD1B58">
        <w:rPr>
          <w:rFonts w:eastAsia="Arial"/>
          <w:szCs w:val="24"/>
          <w:lang w:val="en-US"/>
        </w:rPr>
        <w:t xml:space="preserve"> has shown that it applies the models making</w:t>
      </w:r>
      <w:r w:rsidR="7DF61957" w:rsidRPr="00DD1B58">
        <w:rPr>
          <w:rFonts w:eastAsia="Arial"/>
          <w:szCs w:val="24"/>
          <w:lang w:val="en-US"/>
        </w:rPr>
        <w:t xml:space="preserve"> use of site-specific data </w:t>
      </w:r>
      <w:r w:rsidR="00333499" w:rsidRPr="00DD1B58">
        <w:rPr>
          <w:rFonts w:eastAsia="Arial"/>
          <w:szCs w:val="24"/>
          <w:lang w:val="en-US"/>
        </w:rPr>
        <w:t xml:space="preserve">and detailed </w:t>
      </w:r>
      <w:r w:rsidR="7DF61957" w:rsidRPr="00DD1B58">
        <w:rPr>
          <w:rFonts w:eastAsia="Arial"/>
          <w:szCs w:val="24"/>
          <w:lang w:val="en-US"/>
        </w:rPr>
        <w:t>building layout</w:t>
      </w:r>
      <w:r w:rsidR="00333499" w:rsidRPr="00DD1B58">
        <w:rPr>
          <w:rFonts w:eastAsia="Arial"/>
          <w:szCs w:val="24"/>
          <w:lang w:val="en-US"/>
        </w:rPr>
        <w:t>s</w:t>
      </w:r>
      <w:r w:rsidR="7DF61957" w:rsidRPr="00DD1B58">
        <w:rPr>
          <w:rFonts w:eastAsia="Arial"/>
          <w:szCs w:val="24"/>
          <w:lang w:val="en-US"/>
        </w:rPr>
        <w:t xml:space="preserve"> </w:t>
      </w:r>
      <w:r w:rsidR="00333499" w:rsidRPr="00DD1B58">
        <w:rPr>
          <w:rFonts w:eastAsia="Arial"/>
          <w:szCs w:val="24"/>
          <w:lang w:val="en-US"/>
        </w:rPr>
        <w:t>meeting expectations in</w:t>
      </w:r>
      <w:r w:rsidR="7DF61957" w:rsidRPr="00DD1B58">
        <w:rPr>
          <w:rFonts w:eastAsia="Arial"/>
          <w:szCs w:val="24"/>
          <w:lang w:val="en-US"/>
        </w:rPr>
        <w:t xml:space="preserve"> </w:t>
      </w:r>
      <w:r w:rsidR="004A5CF8" w:rsidRPr="00DD1B58">
        <w:rPr>
          <w:rFonts w:eastAsia="Arial"/>
          <w:szCs w:val="24"/>
          <w:lang w:val="en-US"/>
        </w:rPr>
        <w:t>ONR</w:t>
      </w:r>
      <w:r w:rsidR="7DF61957" w:rsidRPr="00DD1B58">
        <w:rPr>
          <w:rFonts w:eastAsia="Arial"/>
          <w:szCs w:val="24"/>
          <w:lang w:val="en-US"/>
        </w:rPr>
        <w:t xml:space="preserve"> SAP AV.1. </w:t>
      </w:r>
    </w:p>
    <w:p w14:paraId="4119D189" w14:textId="31BECC4E" w:rsidR="00DB3279" w:rsidRPr="00DD1B58" w:rsidRDefault="7DF61957" w:rsidP="3FE0E35C">
      <w:pPr>
        <w:rPr>
          <w:lang w:val="en-US"/>
        </w:rPr>
      </w:pPr>
      <w:r w:rsidRPr="00DD1B58">
        <w:rPr>
          <w:rFonts w:eastAsia="Arial"/>
          <w:szCs w:val="24"/>
          <w:lang w:val="en-US"/>
        </w:rPr>
        <w:t xml:space="preserve">As described in Section </w:t>
      </w:r>
      <w:r w:rsidR="00EB1557" w:rsidRPr="00DD1B58">
        <w:rPr>
          <w:rFonts w:eastAsia="Arial"/>
          <w:szCs w:val="24"/>
          <w:lang w:val="en-US"/>
        </w:rPr>
        <w:fldChar w:fldCharType="begin"/>
      </w:r>
      <w:r w:rsidR="00EB1557" w:rsidRPr="00DD1B58">
        <w:rPr>
          <w:rFonts w:eastAsia="Arial"/>
          <w:szCs w:val="24"/>
          <w:lang w:val="en-US"/>
        </w:rPr>
        <w:instrText xml:space="preserve"> REF _Ref140839738 \r \h </w:instrText>
      </w:r>
      <w:r w:rsidR="00EB1557" w:rsidRPr="00DD1B58">
        <w:rPr>
          <w:rFonts w:eastAsia="Arial"/>
          <w:szCs w:val="24"/>
          <w:lang w:val="en-US"/>
        </w:rPr>
      </w:r>
      <w:r w:rsidR="00EB1557" w:rsidRPr="00DD1B58">
        <w:rPr>
          <w:rFonts w:eastAsia="Arial"/>
          <w:szCs w:val="24"/>
          <w:lang w:val="en-US"/>
        </w:rPr>
        <w:fldChar w:fldCharType="separate"/>
      </w:r>
      <w:r w:rsidR="00DF47DA">
        <w:rPr>
          <w:rFonts w:eastAsia="Arial"/>
          <w:szCs w:val="24"/>
          <w:lang w:val="en-US"/>
        </w:rPr>
        <w:t>I-2.1.2.2</w:t>
      </w:r>
      <w:r w:rsidR="00EB1557" w:rsidRPr="00DD1B58">
        <w:rPr>
          <w:rFonts w:eastAsia="Arial"/>
          <w:szCs w:val="24"/>
          <w:lang w:val="en-US"/>
        </w:rPr>
        <w:fldChar w:fldCharType="end"/>
      </w:r>
      <w:r w:rsidRPr="00DD1B58">
        <w:rPr>
          <w:rFonts w:eastAsia="Arial"/>
          <w:szCs w:val="24"/>
          <w:lang w:val="en-US"/>
        </w:rPr>
        <w:t xml:space="preserve">, </w:t>
      </w:r>
      <w:r w:rsidR="00C362CA" w:rsidRPr="00DD1B58">
        <w:rPr>
          <w:rFonts w:eastAsia="Arial"/>
          <w:szCs w:val="24"/>
          <w:lang w:val="en-US"/>
        </w:rPr>
        <w:t>EDF NGL</w:t>
      </w:r>
      <w:r w:rsidR="00333499" w:rsidRPr="00DD1B58">
        <w:rPr>
          <w:rFonts w:eastAsia="Arial"/>
          <w:szCs w:val="24"/>
          <w:lang w:val="en-US"/>
        </w:rPr>
        <w:t>’s safety</w:t>
      </w:r>
      <w:r w:rsidRPr="00DD1B58">
        <w:rPr>
          <w:rFonts w:eastAsia="Arial"/>
          <w:szCs w:val="24"/>
          <w:lang w:val="en-US"/>
        </w:rPr>
        <w:t xml:space="preserve"> principles </w:t>
      </w:r>
      <w:r w:rsidR="00333499" w:rsidRPr="00DD1B58">
        <w:rPr>
          <w:rFonts w:eastAsia="Arial"/>
          <w:szCs w:val="24"/>
          <w:lang w:val="en-US"/>
        </w:rPr>
        <w:t xml:space="preserve">drive </w:t>
      </w:r>
      <w:r w:rsidR="00975E7B" w:rsidRPr="00DD1B58">
        <w:rPr>
          <w:rFonts w:eastAsia="Arial"/>
          <w:szCs w:val="24"/>
          <w:lang w:val="en-US"/>
        </w:rPr>
        <w:t>its</w:t>
      </w:r>
      <w:r w:rsidR="00333499" w:rsidRPr="00DD1B58">
        <w:rPr>
          <w:rFonts w:eastAsia="Arial"/>
          <w:szCs w:val="24"/>
          <w:lang w:val="en-US"/>
        </w:rPr>
        <w:t xml:space="preserve"> consideration of </w:t>
      </w:r>
      <w:r w:rsidRPr="00DD1B58">
        <w:rPr>
          <w:rFonts w:eastAsia="Arial"/>
          <w:szCs w:val="24"/>
          <w:lang w:val="en-US"/>
        </w:rPr>
        <w:t xml:space="preserve">fire effects on </w:t>
      </w:r>
      <w:r w:rsidR="00333499" w:rsidRPr="00DD1B58">
        <w:rPr>
          <w:rFonts w:eastAsia="Arial"/>
          <w:szCs w:val="24"/>
          <w:lang w:val="en-US"/>
        </w:rPr>
        <w:t xml:space="preserve">nuclear </w:t>
      </w:r>
      <w:r w:rsidRPr="00DD1B58">
        <w:rPr>
          <w:rFonts w:eastAsia="Arial"/>
          <w:szCs w:val="24"/>
          <w:lang w:val="en-US"/>
        </w:rPr>
        <w:t xml:space="preserve">safety functions, </w:t>
      </w:r>
      <w:r w:rsidR="00333499" w:rsidRPr="00DD1B58">
        <w:rPr>
          <w:rFonts w:eastAsia="Arial"/>
          <w:szCs w:val="24"/>
          <w:lang w:val="en-US"/>
        </w:rPr>
        <w:t>including</w:t>
      </w:r>
      <w:r w:rsidRPr="00DD1B58">
        <w:rPr>
          <w:rFonts w:eastAsia="Arial"/>
          <w:szCs w:val="24"/>
          <w:lang w:val="en-US"/>
        </w:rPr>
        <w:t xml:space="preserve"> initiation of fault sequences</w:t>
      </w:r>
      <w:r w:rsidR="00333499" w:rsidRPr="00DD1B58">
        <w:rPr>
          <w:rFonts w:eastAsia="Arial"/>
          <w:szCs w:val="24"/>
          <w:lang w:val="en-US"/>
        </w:rPr>
        <w:t xml:space="preserve"> by fire events</w:t>
      </w:r>
      <w:r w:rsidR="007339DF" w:rsidRPr="00DD1B58">
        <w:rPr>
          <w:rFonts w:eastAsia="Arial"/>
          <w:szCs w:val="24"/>
          <w:lang w:val="en-US"/>
        </w:rPr>
        <w:t xml:space="preserve"> and</w:t>
      </w:r>
      <w:r w:rsidRPr="00DD1B58">
        <w:rPr>
          <w:rFonts w:eastAsia="Arial"/>
          <w:szCs w:val="24"/>
          <w:lang w:val="en-US"/>
        </w:rPr>
        <w:t xml:space="preserve"> </w:t>
      </w:r>
      <w:r w:rsidR="00E72E33" w:rsidRPr="00DD1B58">
        <w:rPr>
          <w:rFonts w:eastAsia="Arial"/>
          <w:szCs w:val="24"/>
          <w:lang w:val="en-US"/>
        </w:rPr>
        <w:t>radiological</w:t>
      </w:r>
      <w:r w:rsidRPr="00DD1B58">
        <w:rPr>
          <w:rFonts w:eastAsia="Arial"/>
          <w:szCs w:val="24"/>
          <w:lang w:val="en-US"/>
        </w:rPr>
        <w:t xml:space="preserve"> consequences </w:t>
      </w:r>
      <w:r w:rsidR="00E72E33" w:rsidRPr="00DD1B58">
        <w:rPr>
          <w:rFonts w:eastAsia="Arial"/>
          <w:szCs w:val="24"/>
          <w:lang w:val="en-US"/>
        </w:rPr>
        <w:t>associated with fire initiators</w:t>
      </w:r>
      <w:r w:rsidR="007339DF" w:rsidRPr="00DD1B58">
        <w:rPr>
          <w:rFonts w:eastAsia="Arial"/>
          <w:szCs w:val="24"/>
          <w:lang w:val="en-US"/>
        </w:rPr>
        <w:t>. They</w:t>
      </w:r>
      <w:r w:rsidRPr="00DD1B58">
        <w:rPr>
          <w:rFonts w:eastAsia="Arial"/>
          <w:szCs w:val="24"/>
          <w:lang w:val="en-US"/>
        </w:rPr>
        <w:t xml:space="preserve"> </w:t>
      </w:r>
      <w:r w:rsidR="00E72E33" w:rsidRPr="00DD1B58">
        <w:rPr>
          <w:rFonts w:eastAsia="Arial"/>
          <w:szCs w:val="24"/>
          <w:lang w:val="en-US"/>
        </w:rPr>
        <w:t xml:space="preserve">allow implementation of </w:t>
      </w:r>
      <w:r w:rsidRPr="00DD1B58">
        <w:rPr>
          <w:rFonts w:eastAsia="Arial"/>
          <w:szCs w:val="24"/>
          <w:lang w:val="en-US"/>
        </w:rPr>
        <w:t xml:space="preserve">a deterministic approach </w:t>
      </w:r>
      <w:r w:rsidR="00E72E33" w:rsidRPr="00DD1B58">
        <w:rPr>
          <w:rFonts w:eastAsia="Arial"/>
          <w:szCs w:val="24"/>
          <w:lang w:val="en-US"/>
        </w:rPr>
        <w:t>that dictates the provision o</w:t>
      </w:r>
      <w:r w:rsidRPr="00DD1B58">
        <w:rPr>
          <w:rFonts w:eastAsia="Arial"/>
          <w:szCs w:val="24"/>
          <w:lang w:val="en-US"/>
        </w:rPr>
        <w:t>f fire protection to contain the worst foreseeable fire.</w:t>
      </w:r>
      <w:r w:rsidR="00E51435" w:rsidRPr="00DD1B58">
        <w:rPr>
          <w:rFonts w:eastAsia="Arial"/>
          <w:szCs w:val="24"/>
          <w:lang w:val="en-US"/>
        </w:rPr>
        <w:t xml:space="preserve"> </w:t>
      </w:r>
      <w:r w:rsidRPr="00DD1B58">
        <w:rPr>
          <w:rFonts w:eastAsia="Arial"/>
          <w:szCs w:val="24"/>
          <w:lang w:val="en-US"/>
        </w:rPr>
        <w:t xml:space="preserve">ONR </w:t>
      </w:r>
      <w:r w:rsidR="00E51435" w:rsidRPr="00DD1B58">
        <w:rPr>
          <w:rFonts w:eastAsia="Arial"/>
          <w:szCs w:val="24"/>
          <w:lang w:val="en-US"/>
        </w:rPr>
        <w:t xml:space="preserve">judges </w:t>
      </w:r>
      <w:r w:rsidRPr="00DD1B58">
        <w:rPr>
          <w:rFonts w:eastAsia="Arial"/>
          <w:szCs w:val="24"/>
          <w:lang w:val="en-US"/>
        </w:rPr>
        <w:t xml:space="preserve">that </w:t>
      </w:r>
      <w:r w:rsidR="00C362CA" w:rsidRPr="00DD1B58">
        <w:rPr>
          <w:rFonts w:eastAsia="Arial"/>
          <w:szCs w:val="24"/>
          <w:lang w:val="en-US"/>
        </w:rPr>
        <w:t>EDF NGL</w:t>
      </w:r>
      <w:r w:rsidR="00E51435" w:rsidRPr="00DD1B58">
        <w:rPr>
          <w:rFonts w:eastAsia="Arial"/>
          <w:szCs w:val="24"/>
          <w:lang w:val="en-US"/>
        </w:rPr>
        <w:t xml:space="preserve">’s </w:t>
      </w:r>
      <w:r w:rsidRPr="00DD1B58">
        <w:rPr>
          <w:rFonts w:eastAsia="Arial"/>
          <w:szCs w:val="24"/>
          <w:lang w:val="en-US"/>
        </w:rPr>
        <w:t xml:space="preserve">approach </w:t>
      </w:r>
      <w:r w:rsidR="00E51435" w:rsidRPr="00DD1B58">
        <w:rPr>
          <w:rFonts w:eastAsia="Arial"/>
          <w:szCs w:val="24"/>
          <w:lang w:val="en-US"/>
        </w:rPr>
        <w:t xml:space="preserve">is generally aligned </w:t>
      </w:r>
      <w:r w:rsidRPr="00DD1B58">
        <w:rPr>
          <w:rFonts w:eastAsia="Arial"/>
          <w:szCs w:val="24"/>
          <w:lang w:val="en-US"/>
        </w:rPr>
        <w:t>with key principles for deterministic fire hazard analysis as set out in IAEA SSG-2</w:t>
      </w:r>
      <w:r w:rsidR="00E51435" w:rsidRPr="00DD1B58">
        <w:rPr>
          <w:rFonts w:eastAsia="Arial"/>
          <w:szCs w:val="24"/>
          <w:lang w:val="en-US"/>
        </w:rPr>
        <w:t xml:space="preserve"> </w:t>
      </w:r>
      <w:sdt>
        <w:sdtPr>
          <w:rPr>
            <w:rFonts w:eastAsia="Arial"/>
            <w:szCs w:val="24"/>
            <w:lang w:val="en-US"/>
          </w:rPr>
          <w:id w:val="836199427"/>
          <w:citation/>
        </w:sdtPr>
        <w:sdtContent>
          <w:r w:rsidR="00B47F1F" w:rsidRPr="00DD1B58">
            <w:rPr>
              <w:rFonts w:eastAsia="Arial"/>
              <w:szCs w:val="24"/>
              <w:lang w:val="en-US"/>
            </w:rPr>
            <w:fldChar w:fldCharType="begin"/>
          </w:r>
          <w:r w:rsidR="001B71A0" w:rsidRPr="00DD1B58">
            <w:rPr>
              <w:rFonts w:eastAsia="Arial"/>
              <w:szCs w:val="24"/>
              <w:lang w:val="en-US"/>
            </w:rPr>
            <w:instrText xml:space="preserve">CITATION Int19 \l 2057 </w:instrText>
          </w:r>
          <w:r w:rsidR="00B47F1F" w:rsidRPr="00DD1B58">
            <w:rPr>
              <w:rFonts w:eastAsia="Arial"/>
              <w:szCs w:val="24"/>
              <w:lang w:val="en-US"/>
            </w:rPr>
            <w:fldChar w:fldCharType="separate"/>
          </w:r>
          <w:r w:rsidR="00DF47DA" w:rsidRPr="00DF47DA">
            <w:rPr>
              <w:rFonts w:eastAsia="Arial"/>
              <w:noProof/>
              <w:szCs w:val="24"/>
              <w:lang w:val="en-US"/>
            </w:rPr>
            <w:t>[34]</w:t>
          </w:r>
          <w:r w:rsidR="00B47F1F" w:rsidRPr="00DD1B58">
            <w:rPr>
              <w:rFonts w:eastAsia="Arial"/>
              <w:szCs w:val="24"/>
              <w:lang w:val="en-US"/>
            </w:rPr>
            <w:fldChar w:fldCharType="end"/>
          </w:r>
        </w:sdtContent>
      </w:sdt>
      <w:r w:rsidRPr="00DD1B58">
        <w:rPr>
          <w:rFonts w:eastAsia="Arial"/>
          <w:szCs w:val="24"/>
          <w:lang w:val="en-US"/>
        </w:rPr>
        <w:t xml:space="preserve">, SSG-64 </w:t>
      </w:r>
      <w:sdt>
        <w:sdtPr>
          <w:rPr>
            <w:rFonts w:eastAsia="Arial"/>
            <w:szCs w:val="24"/>
            <w:lang w:val="en-US"/>
          </w:rPr>
          <w:id w:val="-721904926"/>
          <w:citation/>
        </w:sdtPr>
        <w:sdtContent>
          <w:r w:rsidR="001B71A0" w:rsidRPr="00DD1B58">
            <w:rPr>
              <w:rFonts w:eastAsia="Arial"/>
              <w:szCs w:val="24"/>
              <w:lang w:val="en-US"/>
            </w:rPr>
            <w:fldChar w:fldCharType="begin"/>
          </w:r>
          <w:r w:rsidR="001B71A0" w:rsidRPr="00DD1B58">
            <w:rPr>
              <w:rFonts w:eastAsia="Arial"/>
              <w:szCs w:val="24"/>
              <w:lang w:val="en-US"/>
            </w:rPr>
            <w:instrText xml:space="preserve"> CITATION IAE5 \l 2057 </w:instrText>
          </w:r>
          <w:r w:rsidR="001B71A0" w:rsidRPr="00DD1B58">
            <w:rPr>
              <w:rFonts w:eastAsia="Arial"/>
              <w:szCs w:val="24"/>
              <w:lang w:val="en-US"/>
            </w:rPr>
            <w:fldChar w:fldCharType="separate"/>
          </w:r>
          <w:r w:rsidR="00DF47DA" w:rsidRPr="00DF47DA">
            <w:rPr>
              <w:rFonts w:eastAsia="Arial"/>
              <w:noProof/>
              <w:szCs w:val="24"/>
              <w:lang w:val="en-US"/>
            </w:rPr>
            <w:t>[17]</w:t>
          </w:r>
          <w:r w:rsidR="001B71A0" w:rsidRPr="00DD1B58">
            <w:rPr>
              <w:rFonts w:eastAsia="Arial"/>
              <w:szCs w:val="24"/>
              <w:lang w:val="en-US"/>
            </w:rPr>
            <w:fldChar w:fldCharType="end"/>
          </w:r>
        </w:sdtContent>
      </w:sdt>
      <w:r w:rsidRPr="00DD1B58">
        <w:rPr>
          <w:rFonts w:eastAsia="Arial"/>
          <w:szCs w:val="24"/>
          <w:lang w:val="en-US"/>
        </w:rPr>
        <w:t xml:space="preserve"> and ONR SAPs </w:t>
      </w:r>
      <w:sdt>
        <w:sdtPr>
          <w:rPr>
            <w:rFonts w:eastAsia="Arial"/>
            <w:szCs w:val="24"/>
            <w:lang w:val="en-US"/>
          </w:rPr>
          <w:id w:val="2014874906"/>
          <w:citation/>
        </w:sdtPr>
        <w:sdtContent>
          <w:r w:rsidR="001B71A0" w:rsidRPr="00DD1B58">
            <w:rPr>
              <w:rFonts w:eastAsia="Arial"/>
              <w:szCs w:val="24"/>
              <w:lang w:val="en-US"/>
            </w:rPr>
            <w:fldChar w:fldCharType="begin"/>
          </w:r>
          <w:r w:rsidR="001B71A0" w:rsidRPr="00DD1B58">
            <w:rPr>
              <w:rFonts w:eastAsia="Arial"/>
              <w:szCs w:val="24"/>
              <w:lang w:val="en-US"/>
            </w:rPr>
            <w:instrText xml:space="preserve"> CITATION Off20 \l 2057 </w:instrText>
          </w:r>
          <w:r w:rsidR="001B71A0" w:rsidRPr="00DD1B58">
            <w:rPr>
              <w:rFonts w:eastAsia="Arial"/>
              <w:szCs w:val="24"/>
              <w:lang w:val="en-US"/>
            </w:rPr>
            <w:fldChar w:fldCharType="separate"/>
          </w:r>
          <w:r w:rsidR="00DF47DA" w:rsidRPr="00DF47DA">
            <w:rPr>
              <w:rFonts w:eastAsia="Arial"/>
              <w:noProof/>
              <w:szCs w:val="24"/>
              <w:lang w:val="en-US"/>
            </w:rPr>
            <w:t>[15]</w:t>
          </w:r>
          <w:r w:rsidR="001B71A0" w:rsidRPr="00DD1B58">
            <w:rPr>
              <w:rFonts w:eastAsia="Arial"/>
              <w:szCs w:val="24"/>
              <w:lang w:val="en-US"/>
            </w:rPr>
            <w:fldChar w:fldCharType="end"/>
          </w:r>
        </w:sdtContent>
      </w:sdt>
      <w:r w:rsidRPr="00DD1B58">
        <w:rPr>
          <w:rFonts w:eastAsia="Arial"/>
          <w:szCs w:val="24"/>
          <w:lang w:val="en-US"/>
        </w:rPr>
        <w:t xml:space="preserve"> and TAGs</w:t>
      </w:r>
      <w:r w:rsidR="00E51435" w:rsidRPr="00DD1B58">
        <w:rPr>
          <w:rFonts w:eastAsia="Arial"/>
          <w:szCs w:val="24"/>
          <w:lang w:val="en-US"/>
        </w:rPr>
        <w:t xml:space="preserve"> </w:t>
      </w:r>
      <w:sdt>
        <w:sdtPr>
          <w:rPr>
            <w:rFonts w:eastAsia="Arial"/>
            <w:szCs w:val="24"/>
            <w:lang w:val="en-US"/>
          </w:rPr>
          <w:id w:val="-1106120614"/>
          <w:citation/>
        </w:sdtPr>
        <w:sdtContent>
          <w:r w:rsidR="001B71A0" w:rsidRPr="00DD1B58">
            <w:rPr>
              <w:rFonts w:eastAsia="Arial"/>
              <w:szCs w:val="24"/>
              <w:lang w:val="en-US"/>
            </w:rPr>
            <w:fldChar w:fldCharType="begin"/>
          </w:r>
          <w:r w:rsidR="00EA1EF7" w:rsidRPr="00DD1B58">
            <w:rPr>
              <w:rFonts w:eastAsia="Arial"/>
              <w:szCs w:val="24"/>
              <w:lang w:val="en-US"/>
            </w:rPr>
            <w:instrText xml:space="preserve">CITATION ONR6 \l 2057 </w:instrText>
          </w:r>
          <w:r w:rsidR="001B71A0" w:rsidRPr="00DD1B58">
            <w:rPr>
              <w:rFonts w:eastAsia="Arial"/>
              <w:szCs w:val="24"/>
              <w:lang w:val="en-US"/>
            </w:rPr>
            <w:fldChar w:fldCharType="separate"/>
          </w:r>
          <w:r w:rsidR="00DF47DA" w:rsidRPr="00DF47DA">
            <w:rPr>
              <w:rFonts w:eastAsia="Arial"/>
              <w:noProof/>
              <w:szCs w:val="24"/>
              <w:lang w:val="en-US"/>
            </w:rPr>
            <w:t>[35]</w:t>
          </w:r>
          <w:r w:rsidR="001B71A0" w:rsidRPr="00DD1B58">
            <w:rPr>
              <w:rFonts w:eastAsia="Arial"/>
              <w:szCs w:val="24"/>
              <w:lang w:val="en-US"/>
            </w:rPr>
            <w:fldChar w:fldCharType="end"/>
          </w:r>
        </w:sdtContent>
      </w:sdt>
      <w:r w:rsidRPr="00DD1B58">
        <w:rPr>
          <w:rFonts w:eastAsia="Arial"/>
          <w:szCs w:val="24"/>
          <w:lang w:val="en-US"/>
        </w:rPr>
        <w:t xml:space="preserve">. </w:t>
      </w:r>
      <w:r w:rsidR="00154B7B" w:rsidRPr="00DD1B58">
        <w:rPr>
          <w:rFonts w:eastAsia="Arial"/>
          <w:szCs w:val="24"/>
          <w:lang w:val="en-US"/>
        </w:rPr>
        <w:t>The safety case</w:t>
      </w:r>
      <w:r w:rsidR="00DB7EB0" w:rsidRPr="00DD1B58">
        <w:rPr>
          <w:rFonts w:eastAsia="Arial"/>
          <w:szCs w:val="24"/>
          <w:lang w:val="en-US"/>
        </w:rPr>
        <w:t>s</w:t>
      </w:r>
      <w:r w:rsidR="00154B7B" w:rsidRPr="00DD1B58">
        <w:rPr>
          <w:rFonts w:eastAsia="Arial"/>
          <w:szCs w:val="24"/>
          <w:lang w:val="en-US"/>
        </w:rPr>
        <w:t xml:space="preserve"> and fire protection provision at the candidate first generation and second generation AGR stations (</w:t>
      </w:r>
      <w:r w:rsidRPr="00DD1B58">
        <w:rPr>
          <w:rFonts w:eastAsia="Arial"/>
          <w:szCs w:val="24"/>
          <w:lang w:val="en-US"/>
        </w:rPr>
        <w:t>HNB and HY2</w:t>
      </w:r>
      <w:r w:rsidR="00154B7B" w:rsidRPr="00DD1B58">
        <w:rPr>
          <w:rFonts w:eastAsia="Arial"/>
          <w:szCs w:val="24"/>
          <w:lang w:val="en-US"/>
        </w:rPr>
        <w:t>)</w:t>
      </w:r>
      <w:r w:rsidR="00DB7EB0" w:rsidRPr="00DD1B58">
        <w:rPr>
          <w:rFonts w:eastAsia="Arial"/>
          <w:szCs w:val="24"/>
          <w:lang w:val="en-US"/>
        </w:rPr>
        <w:t xml:space="preserve"> place</w:t>
      </w:r>
      <w:r w:rsidRPr="00DD1B58">
        <w:rPr>
          <w:rFonts w:eastAsia="Arial"/>
          <w:szCs w:val="24"/>
          <w:lang w:val="en-US"/>
        </w:rPr>
        <w:t xml:space="preserve"> some</w:t>
      </w:r>
      <w:r w:rsidR="007851A7" w:rsidRPr="00DD1B58">
        <w:rPr>
          <w:rFonts w:eastAsia="Arial"/>
          <w:szCs w:val="24"/>
          <w:lang w:val="en-US"/>
        </w:rPr>
        <w:t xml:space="preserve"> </w:t>
      </w:r>
      <w:r w:rsidRPr="00DD1B58">
        <w:rPr>
          <w:rFonts w:eastAsia="Arial"/>
          <w:szCs w:val="24"/>
          <w:lang w:val="en-US"/>
        </w:rPr>
        <w:t>reliance upon active fire safety measures</w:t>
      </w:r>
      <w:r w:rsidR="007851A7" w:rsidRPr="00DD1B58">
        <w:rPr>
          <w:rFonts w:eastAsia="Arial"/>
          <w:szCs w:val="24"/>
          <w:lang w:val="en-US"/>
        </w:rPr>
        <w:t>,</w:t>
      </w:r>
      <w:r w:rsidR="006E7881" w:rsidRPr="00DD1B58">
        <w:rPr>
          <w:rFonts w:eastAsia="Arial"/>
          <w:szCs w:val="24"/>
          <w:lang w:val="en-US"/>
        </w:rPr>
        <w:t xml:space="preserve"> rather than reliance on passive measures in a full fire containment approach.</w:t>
      </w:r>
      <w:r w:rsidRPr="00DD1B58">
        <w:rPr>
          <w:rFonts w:eastAsia="Arial"/>
          <w:szCs w:val="24"/>
          <w:lang w:val="en-US"/>
        </w:rPr>
        <w:t xml:space="preserve"> </w:t>
      </w:r>
      <w:r w:rsidR="006E7881" w:rsidRPr="00DD1B58">
        <w:rPr>
          <w:rFonts w:eastAsia="Arial"/>
          <w:szCs w:val="24"/>
          <w:lang w:val="en-US"/>
        </w:rPr>
        <w:t>ONR</w:t>
      </w:r>
      <w:r w:rsidR="006F5CF5" w:rsidRPr="00DD1B58">
        <w:rPr>
          <w:rFonts w:eastAsia="Arial"/>
          <w:szCs w:val="24"/>
          <w:lang w:val="en-US"/>
        </w:rPr>
        <w:t>’s</w:t>
      </w:r>
      <w:r w:rsidR="006E7881" w:rsidRPr="00DD1B58">
        <w:rPr>
          <w:rFonts w:eastAsia="Arial"/>
          <w:szCs w:val="24"/>
          <w:lang w:val="en-US"/>
        </w:rPr>
        <w:t xml:space="preserve"> </w:t>
      </w:r>
      <w:r w:rsidRPr="00DD1B58">
        <w:rPr>
          <w:rFonts w:eastAsia="Arial"/>
          <w:szCs w:val="24"/>
          <w:lang w:val="en-US"/>
        </w:rPr>
        <w:t xml:space="preserve">preference of IAEA SSG-64 </w:t>
      </w:r>
      <w:sdt>
        <w:sdtPr>
          <w:rPr>
            <w:rFonts w:eastAsia="Arial"/>
            <w:szCs w:val="24"/>
            <w:lang w:val="en-US"/>
          </w:rPr>
          <w:id w:val="-1824656151"/>
          <w:citation/>
        </w:sdtPr>
        <w:sdtContent>
          <w:r w:rsidR="001B71A0" w:rsidRPr="00DD1B58">
            <w:rPr>
              <w:rFonts w:eastAsia="Arial"/>
              <w:szCs w:val="24"/>
              <w:lang w:val="en-US"/>
            </w:rPr>
            <w:fldChar w:fldCharType="begin"/>
          </w:r>
          <w:r w:rsidR="001B71A0" w:rsidRPr="00DD1B58">
            <w:rPr>
              <w:rFonts w:eastAsia="Arial"/>
              <w:szCs w:val="24"/>
              <w:lang w:val="en-US"/>
            </w:rPr>
            <w:instrText xml:space="preserve"> CITATION IAE5 \l 2057 </w:instrText>
          </w:r>
          <w:r w:rsidR="001B71A0" w:rsidRPr="00DD1B58">
            <w:rPr>
              <w:rFonts w:eastAsia="Arial"/>
              <w:szCs w:val="24"/>
              <w:lang w:val="en-US"/>
            </w:rPr>
            <w:fldChar w:fldCharType="separate"/>
          </w:r>
          <w:r w:rsidR="00DF47DA" w:rsidRPr="00DF47DA">
            <w:rPr>
              <w:rFonts w:eastAsia="Arial"/>
              <w:noProof/>
              <w:szCs w:val="24"/>
              <w:lang w:val="en-US"/>
            </w:rPr>
            <w:t>[17]</w:t>
          </w:r>
          <w:r w:rsidR="001B71A0" w:rsidRPr="00DD1B58">
            <w:rPr>
              <w:rFonts w:eastAsia="Arial"/>
              <w:szCs w:val="24"/>
              <w:lang w:val="en-US"/>
            </w:rPr>
            <w:fldChar w:fldCharType="end"/>
          </w:r>
        </w:sdtContent>
      </w:sdt>
      <w:r w:rsidRPr="00DD1B58">
        <w:rPr>
          <w:rFonts w:eastAsia="Arial"/>
          <w:szCs w:val="24"/>
          <w:lang w:val="en-US"/>
        </w:rPr>
        <w:t xml:space="preserve"> is for the provision of passive measures, </w:t>
      </w:r>
      <w:r w:rsidR="006F5CF5" w:rsidRPr="00DD1B58">
        <w:rPr>
          <w:rFonts w:eastAsia="Arial"/>
          <w:szCs w:val="24"/>
          <w:lang w:val="en-US"/>
        </w:rPr>
        <w:t xml:space="preserve">but </w:t>
      </w:r>
      <w:r w:rsidRPr="00DD1B58">
        <w:rPr>
          <w:rFonts w:eastAsia="Arial"/>
          <w:szCs w:val="24"/>
          <w:lang w:val="en-US"/>
        </w:rPr>
        <w:t>it acknowledges that active or procedural measures may also be used to mitigate the consequences of a fire.</w:t>
      </w:r>
      <w:r w:rsidR="00940D2A" w:rsidRPr="00DD1B58">
        <w:rPr>
          <w:rFonts w:eastAsia="Arial"/>
          <w:szCs w:val="24"/>
          <w:lang w:val="en-US"/>
        </w:rPr>
        <w:t xml:space="preserve"> </w:t>
      </w:r>
    </w:p>
    <w:p w14:paraId="16884CD0" w14:textId="576E5F16" w:rsidR="00DB3279" w:rsidRPr="00DD1B58" w:rsidRDefault="00C362CA" w:rsidP="3FE0E35C">
      <w:pPr>
        <w:rPr>
          <w:lang w:val="en-US"/>
        </w:rPr>
      </w:pPr>
      <w:r w:rsidRPr="00DD1B58">
        <w:rPr>
          <w:rFonts w:eastAsia="Arial"/>
          <w:szCs w:val="24"/>
          <w:lang w:val="en-US"/>
        </w:rPr>
        <w:t>EDF NGL</w:t>
      </w:r>
      <w:r w:rsidR="00316D89" w:rsidRPr="00DD1B58">
        <w:rPr>
          <w:rFonts w:eastAsia="Arial"/>
          <w:szCs w:val="24"/>
          <w:lang w:val="en-US"/>
        </w:rPr>
        <w:t>’s f</w:t>
      </w:r>
      <w:r w:rsidR="7DF61957" w:rsidRPr="00DD1B58">
        <w:rPr>
          <w:rFonts w:eastAsia="Arial"/>
          <w:szCs w:val="24"/>
          <w:lang w:val="en-US"/>
        </w:rPr>
        <w:t xml:space="preserve">ire analysis </w:t>
      </w:r>
      <w:r w:rsidR="00316D89" w:rsidRPr="00DD1B58">
        <w:rPr>
          <w:rFonts w:eastAsia="Arial"/>
          <w:szCs w:val="24"/>
          <w:lang w:val="en-US"/>
        </w:rPr>
        <w:t xml:space="preserve">for SZB </w:t>
      </w:r>
      <w:r w:rsidR="007A115F" w:rsidRPr="00DD1B58">
        <w:rPr>
          <w:rFonts w:eastAsia="Arial"/>
          <w:szCs w:val="24"/>
          <w:lang w:val="en-US"/>
        </w:rPr>
        <w:t xml:space="preserve">showed that a </w:t>
      </w:r>
      <w:r w:rsidR="7DF61957" w:rsidRPr="00DD1B58">
        <w:rPr>
          <w:rFonts w:eastAsia="Arial"/>
          <w:szCs w:val="24"/>
          <w:lang w:val="en-US"/>
        </w:rPr>
        <w:t xml:space="preserve">deterministic </w:t>
      </w:r>
      <w:r w:rsidR="007A115F" w:rsidRPr="00DD1B58">
        <w:rPr>
          <w:rFonts w:eastAsia="Arial"/>
          <w:szCs w:val="24"/>
          <w:lang w:val="en-US"/>
        </w:rPr>
        <w:t xml:space="preserve">analysis approach </w:t>
      </w:r>
      <w:r w:rsidR="00BE3927" w:rsidRPr="00DD1B58">
        <w:rPr>
          <w:rFonts w:eastAsia="Arial"/>
          <w:szCs w:val="24"/>
          <w:lang w:val="en-US"/>
        </w:rPr>
        <w:t xml:space="preserve">had </w:t>
      </w:r>
      <w:r w:rsidR="00673BDF" w:rsidRPr="00DD1B58">
        <w:rPr>
          <w:rFonts w:eastAsia="Arial"/>
          <w:szCs w:val="24"/>
          <w:lang w:val="en-US"/>
        </w:rPr>
        <w:t>led to the implementation of</w:t>
      </w:r>
      <w:r w:rsidR="007B4F18" w:rsidRPr="00DD1B58">
        <w:rPr>
          <w:rFonts w:eastAsia="Arial"/>
          <w:szCs w:val="24"/>
          <w:lang w:val="en-US"/>
        </w:rPr>
        <w:t xml:space="preserve"> a fire containment approach </w:t>
      </w:r>
      <w:r w:rsidR="00FE5DF0" w:rsidRPr="00DD1B58">
        <w:rPr>
          <w:rFonts w:eastAsia="Arial"/>
          <w:szCs w:val="24"/>
          <w:lang w:val="en-US"/>
        </w:rPr>
        <w:t>through</w:t>
      </w:r>
      <w:r w:rsidR="7DF61957" w:rsidRPr="00DD1B58">
        <w:rPr>
          <w:rFonts w:eastAsia="Arial"/>
          <w:szCs w:val="24"/>
          <w:lang w:val="en-US"/>
        </w:rPr>
        <w:t xml:space="preserve"> passive fire protection </w:t>
      </w:r>
      <w:r w:rsidR="00FE5DF0" w:rsidRPr="00DD1B58">
        <w:rPr>
          <w:rFonts w:eastAsia="Arial"/>
          <w:szCs w:val="24"/>
          <w:lang w:val="en-US"/>
        </w:rPr>
        <w:t xml:space="preserve">that </w:t>
      </w:r>
      <w:r w:rsidR="7DF61957" w:rsidRPr="00DD1B58">
        <w:rPr>
          <w:rFonts w:eastAsia="Arial"/>
          <w:szCs w:val="24"/>
          <w:lang w:val="en-US"/>
        </w:rPr>
        <w:t>contain</w:t>
      </w:r>
      <w:r w:rsidR="00673BDF" w:rsidRPr="00DD1B58">
        <w:rPr>
          <w:rFonts w:eastAsia="Arial"/>
          <w:szCs w:val="24"/>
          <w:lang w:val="en-US"/>
        </w:rPr>
        <w:t>s</w:t>
      </w:r>
      <w:r w:rsidR="7DF61957" w:rsidRPr="00DD1B58">
        <w:rPr>
          <w:rFonts w:eastAsia="Arial"/>
          <w:szCs w:val="24"/>
          <w:lang w:val="en-US"/>
        </w:rPr>
        <w:t xml:space="preserve"> the worst foreseeable fire. </w:t>
      </w:r>
      <w:r w:rsidR="00FE5DF0" w:rsidRPr="00DD1B58">
        <w:rPr>
          <w:rFonts w:eastAsia="Arial"/>
          <w:szCs w:val="24"/>
          <w:lang w:val="en-US"/>
        </w:rPr>
        <w:t xml:space="preserve">This is in line with ONR expectations in ONR </w:t>
      </w:r>
      <w:r w:rsidR="00DB7E38" w:rsidRPr="00DD1B58">
        <w:rPr>
          <w:rFonts w:eastAsia="Arial"/>
          <w:szCs w:val="24"/>
          <w:lang w:val="en-US"/>
        </w:rPr>
        <w:t xml:space="preserve">SAP EKP.3, para. 15 </w:t>
      </w:r>
      <w:sdt>
        <w:sdtPr>
          <w:rPr>
            <w:rFonts w:eastAsia="Arial"/>
            <w:szCs w:val="24"/>
            <w:lang w:val="en-US"/>
          </w:rPr>
          <w:id w:val="979661302"/>
          <w:citation/>
        </w:sdtPr>
        <w:sdtContent>
          <w:r w:rsidR="00EC1ACC" w:rsidRPr="00DD1B58">
            <w:rPr>
              <w:rFonts w:eastAsia="Arial"/>
              <w:szCs w:val="24"/>
              <w:lang w:val="en-US"/>
            </w:rPr>
            <w:fldChar w:fldCharType="begin"/>
          </w:r>
          <w:r w:rsidR="00EC1ACC" w:rsidRPr="00DD1B58">
            <w:rPr>
              <w:rFonts w:eastAsia="Arial"/>
              <w:szCs w:val="24"/>
              <w:lang w:val="en-US"/>
            </w:rPr>
            <w:instrText xml:space="preserve"> CITATION Off20 \l 2057 </w:instrText>
          </w:r>
          <w:r w:rsidR="00EC1ACC" w:rsidRPr="00DD1B58">
            <w:rPr>
              <w:rFonts w:eastAsia="Arial"/>
              <w:szCs w:val="24"/>
              <w:lang w:val="en-US"/>
            </w:rPr>
            <w:fldChar w:fldCharType="separate"/>
          </w:r>
          <w:r w:rsidR="00DF47DA" w:rsidRPr="00DF47DA">
            <w:rPr>
              <w:rFonts w:eastAsia="Arial"/>
              <w:noProof/>
              <w:szCs w:val="24"/>
              <w:lang w:val="en-US"/>
            </w:rPr>
            <w:t>[15]</w:t>
          </w:r>
          <w:r w:rsidR="00EC1ACC" w:rsidRPr="00DD1B58">
            <w:rPr>
              <w:rFonts w:eastAsia="Arial"/>
              <w:szCs w:val="24"/>
              <w:lang w:val="en-US"/>
            </w:rPr>
            <w:fldChar w:fldCharType="end"/>
          </w:r>
        </w:sdtContent>
      </w:sdt>
      <w:r w:rsidR="00DB7E38" w:rsidRPr="00DD1B58">
        <w:rPr>
          <w:rFonts w:eastAsia="Arial"/>
          <w:szCs w:val="24"/>
          <w:lang w:val="en-US"/>
        </w:rPr>
        <w:t xml:space="preserve">, ONR </w:t>
      </w:r>
      <w:r w:rsidR="00FE5DF0" w:rsidRPr="00DD1B58">
        <w:rPr>
          <w:rFonts w:eastAsia="Arial"/>
          <w:szCs w:val="24"/>
          <w:lang w:val="en-US"/>
        </w:rPr>
        <w:t>TAG</w:t>
      </w:r>
      <w:r w:rsidR="00DB7E38" w:rsidRPr="00DD1B58">
        <w:rPr>
          <w:rFonts w:eastAsia="Arial"/>
          <w:szCs w:val="24"/>
          <w:lang w:val="en-US"/>
        </w:rPr>
        <w:t>-14</w:t>
      </w:r>
      <w:r w:rsidR="00FE5DF0" w:rsidRPr="00DD1B58">
        <w:rPr>
          <w:rFonts w:eastAsia="Arial"/>
          <w:szCs w:val="24"/>
          <w:lang w:val="en-US"/>
        </w:rPr>
        <w:t xml:space="preserve"> </w:t>
      </w:r>
      <w:sdt>
        <w:sdtPr>
          <w:rPr>
            <w:rFonts w:eastAsia="Arial"/>
            <w:szCs w:val="24"/>
            <w:lang w:val="en-US"/>
          </w:rPr>
          <w:id w:val="2129578870"/>
          <w:citation/>
        </w:sdtPr>
        <w:sdtContent>
          <w:r w:rsidR="00020138" w:rsidRPr="00DD1B58">
            <w:rPr>
              <w:rFonts w:eastAsia="Arial"/>
              <w:szCs w:val="24"/>
              <w:lang w:val="en-US"/>
            </w:rPr>
            <w:fldChar w:fldCharType="begin"/>
          </w:r>
          <w:r w:rsidR="00020138" w:rsidRPr="00DD1B58">
            <w:rPr>
              <w:rFonts w:eastAsia="Arial"/>
              <w:szCs w:val="24"/>
              <w:lang w:val="en-US"/>
            </w:rPr>
            <w:instrText xml:space="preserve"> CITATION ONR4 \l 2057 </w:instrText>
          </w:r>
          <w:r w:rsidR="00020138" w:rsidRPr="00DD1B58">
            <w:rPr>
              <w:rFonts w:eastAsia="Arial"/>
              <w:szCs w:val="24"/>
              <w:lang w:val="en-US"/>
            </w:rPr>
            <w:fldChar w:fldCharType="separate"/>
          </w:r>
          <w:r w:rsidR="00DF47DA" w:rsidRPr="00DF47DA">
            <w:rPr>
              <w:rFonts w:eastAsia="Arial"/>
              <w:noProof/>
              <w:szCs w:val="24"/>
              <w:lang w:val="en-US"/>
            </w:rPr>
            <w:t>[16]</w:t>
          </w:r>
          <w:r w:rsidR="00020138" w:rsidRPr="00DD1B58">
            <w:rPr>
              <w:rFonts w:eastAsia="Arial"/>
              <w:szCs w:val="24"/>
              <w:lang w:val="en-US"/>
            </w:rPr>
            <w:fldChar w:fldCharType="end"/>
          </w:r>
        </w:sdtContent>
      </w:sdt>
      <w:r w:rsidR="00673BDF" w:rsidRPr="00DD1B58">
        <w:rPr>
          <w:rFonts w:eastAsia="Arial"/>
          <w:szCs w:val="24"/>
          <w:lang w:val="en-US"/>
        </w:rPr>
        <w:t>, SSR</w:t>
      </w:r>
      <w:r w:rsidR="0050252C" w:rsidRPr="00DD1B58">
        <w:rPr>
          <w:rFonts w:eastAsia="Arial"/>
          <w:szCs w:val="24"/>
          <w:lang w:val="en-US"/>
        </w:rPr>
        <w:t xml:space="preserve"> 2/1 requirement 17</w:t>
      </w:r>
      <w:r w:rsidR="003D7015" w:rsidRPr="00DD1B58">
        <w:rPr>
          <w:rFonts w:eastAsia="Arial"/>
          <w:szCs w:val="24"/>
          <w:lang w:val="en-US"/>
        </w:rPr>
        <w:t xml:space="preserve"> </w:t>
      </w:r>
      <w:sdt>
        <w:sdtPr>
          <w:rPr>
            <w:rFonts w:eastAsia="Arial"/>
            <w:szCs w:val="24"/>
            <w:lang w:val="en-US"/>
          </w:rPr>
          <w:id w:val="-1042586682"/>
          <w:citation/>
        </w:sdtPr>
        <w:sdtContent>
          <w:r w:rsidR="006E5572" w:rsidRPr="00DD1B58">
            <w:rPr>
              <w:rFonts w:eastAsia="Arial"/>
              <w:szCs w:val="24"/>
              <w:lang w:val="en-US"/>
            </w:rPr>
            <w:fldChar w:fldCharType="begin"/>
          </w:r>
          <w:r w:rsidR="006E5572" w:rsidRPr="00DD1B58">
            <w:rPr>
              <w:rFonts w:eastAsia="Arial"/>
              <w:szCs w:val="24"/>
              <w:lang w:val="en-US"/>
            </w:rPr>
            <w:instrText xml:space="preserve"> CITATION IAE3 \l 2057 </w:instrText>
          </w:r>
          <w:r w:rsidR="006E5572" w:rsidRPr="00DD1B58">
            <w:rPr>
              <w:rFonts w:eastAsia="Arial"/>
              <w:szCs w:val="24"/>
              <w:lang w:val="en-US"/>
            </w:rPr>
            <w:fldChar w:fldCharType="separate"/>
          </w:r>
          <w:r w:rsidR="00DF47DA" w:rsidRPr="00DF47DA">
            <w:rPr>
              <w:rFonts w:eastAsia="Arial"/>
              <w:noProof/>
              <w:szCs w:val="24"/>
              <w:lang w:val="en-US"/>
            </w:rPr>
            <w:t>[31]</w:t>
          </w:r>
          <w:r w:rsidR="006E5572" w:rsidRPr="00DD1B58">
            <w:rPr>
              <w:rFonts w:eastAsia="Arial"/>
              <w:szCs w:val="24"/>
              <w:lang w:val="en-US"/>
            </w:rPr>
            <w:fldChar w:fldCharType="end"/>
          </w:r>
        </w:sdtContent>
      </w:sdt>
      <w:r w:rsidR="003D7015" w:rsidRPr="00DD1B58">
        <w:rPr>
          <w:rFonts w:eastAsia="Arial"/>
          <w:szCs w:val="24"/>
          <w:lang w:val="en-US"/>
        </w:rPr>
        <w:t xml:space="preserve"> </w:t>
      </w:r>
      <w:r w:rsidR="00FE5DF0" w:rsidRPr="00DD1B58">
        <w:rPr>
          <w:rFonts w:eastAsia="Arial"/>
          <w:szCs w:val="24"/>
          <w:lang w:val="en-US"/>
        </w:rPr>
        <w:t xml:space="preserve">and IAEA SSG-64 </w:t>
      </w:r>
      <w:sdt>
        <w:sdtPr>
          <w:rPr>
            <w:rFonts w:eastAsia="Arial"/>
            <w:szCs w:val="24"/>
            <w:lang w:val="en-US"/>
          </w:rPr>
          <w:id w:val="690727998"/>
          <w:citation/>
        </w:sdtPr>
        <w:sdtContent>
          <w:r w:rsidR="006E5572" w:rsidRPr="00DD1B58">
            <w:rPr>
              <w:rFonts w:eastAsia="Arial"/>
              <w:szCs w:val="24"/>
              <w:lang w:val="en-US"/>
            </w:rPr>
            <w:fldChar w:fldCharType="begin"/>
          </w:r>
          <w:r w:rsidR="006E5572" w:rsidRPr="00DD1B58">
            <w:rPr>
              <w:rFonts w:eastAsia="Arial"/>
              <w:szCs w:val="24"/>
              <w:lang w:val="en-US"/>
            </w:rPr>
            <w:instrText xml:space="preserve"> CITATION IAE5 \l 2057 </w:instrText>
          </w:r>
          <w:r w:rsidR="006E5572" w:rsidRPr="00DD1B58">
            <w:rPr>
              <w:rFonts w:eastAsia="Arial"/>
              <w:szCs w:val="24"/>
              <w:lang w:val="en-US"/>
            </w:rPr>
            <w:fldChar w:fldCharType="separate"/>
          </w:r>
          <w:r w:rsidR="00DF47DA" w:rsidRPr="00DF47DA">
            <w:rPr>
              <w:rFonts w:eastAsia="Arial"/>
              <w:noProof/>
              <w:szCs w:val="24"/>
              <w:lang w:val="en-US"/>
            </w:rPr>
            <w:t>[17]</w:t>
          </w:r>
          <w:r w:rsidR="006E5572" w:rsidRPr="00DD1B58">
            <w:rPr>
              <w:rFonts w:eastAsia="Arial"/>
              <w:szCs w:val="24"/>
              <w:lang w:val="en-US"/>
            </w:rPr>
            <w:fldChar w:fldCharType="end"/>
          </w:r>
        </w:sdtContent>
      </w:sdt>
      <w:r w:rsidR="00FE5DF0" w:rsidRPr="00DD1B58">
        <w:rPr>
          <w:rFonts w:eastAsia="Arial"/>
          <w:szCs w:val="24"/>
          <w:lang w:val="en-US"/>
        </w:rPr>
        <w:t>.</w:t>
      </w:r>
    </w:p>
    <w:p w14:paraId="05F78B74" w14:textId="62C9901A" w:rsidR="00DB3279" w:rsidRPr="00DD1B58" w:rsidRDefault="7DF61957" w:rsidP="3FE0E35C">
      <w:pPr>
        <w:rPr>
          <w:lang w:val="en-US"/>
        </w:rPr>
      </w:pPr>
      <w:r w:rsidRPr="00DD1B58">
        <w:rPr>
          <w:rFonts w:eastAsia="Arial"/>
          <w:szCs w:val="24"/>
          <w:lang w:val="en-US"/>
        </w:rPr>
        <w:t xml:space="preserve">EDF NGL </w:t>
      </w:r>
      <w:r w:rsidR="00FE5DF0" w:rsidRPr="00DD1B58">
        <w:rPr>
          <w:rFonts w:eastAsia="Arial"/>
          <w:szCs w:val="24"/>
          <w:lang w:val="en-US"/>
        </w:rPr>
        <w:t xml:space="preserve">also </w:t>
      </w:r>
      <w:r w:rsidRPr="00DD1B58">
        <w:rPr>
          <w:rFonts w:eastAsia="Arial"/>
          <w:szCs w:val="24"/>
          <w:lang w:val="en-US"/>
        </w:rPr>
        <w:t>described how on</w:t>
      </w:r>
      <w:r w:rsidR="006F5CF5" w:rsidRPr="00DD1B58">
        <w:rPr>
          <w:rFonts w:eastAsia="Arial"/>
          <w:szCs w:val="24"/>
          <w:lang w:val="en-US"/>
        </w:rPr>
        <w:t>-</w:t>
      </w:r>
      <w:r w:rsidRPr="00DD1B58">
        <w:rPr>
          <w:rFonts w:eastAsia="Arial"/>
          <w:szCs w:val="24"/>
          <w:lang w:val="en-US"/>
        </w:rPr>
        <w:t xml:space="preserve"> and off-site fire service intervention </w:t>
      </w:r>
      <w:r w:rsidR="00FE5DF0" w:rsidRPr="00DD1B58">
        <w:rPr>
          <w:rFonts w:eastAsia="Arial"/>
          <w:szCs w:val="24"/>
          <w:lang w:val="en-US"/>
        </w:rPr>
        <w:t xml:space="preserve">was not relied upon </w:t>
      </w:r>
      <w:r w:rsidR="00DB7E38" w:rsidRPr="00DD1B58">
        <w:rPr>
          <w:rFonts w:eastAsia="Arial"/>
          <w:szCs w:val="24"/>
          <w:lang w:val="en-US"/>
        </w:rPr>
        <w:t>for safe shutdown under fault or hazard conditions, which is in line with SAPs EKP.3, para</w:t>
      </w:r>
      <w:r w:rsidR="003D7015" w:rsidRPr="00DD1B58">
        <w:rPr>
          <w:rFonts w:eastAsia="Arial"/>
          <w:szCs w:val="24"/>
          <w:lang w:val="en-US"/>
        </w:rPr>
        <w:t>.</w:t>
      </w:r>
      <w:r w:rsidR="00DB7E38" w:rsidRPr="00DD1B58">
        <w:rPr>
          <w:rFonts w:eastAsia="Arial"/>
          <w:szCs w:val="24"/>
          <w:lang w:val="en-US"/>
        </w:rPr>
        <w:t xml:space="preserve"> 155 </w:t>
      </w:r>
      <w:sdt>
        <w:sdtPr>
          <w:rPr>
            <w:rFonts w:eastAsia="Arial"/>
            <w:szCs w:val="24"/>
            <w:lang w:val="en-US"/>
          </w:rPr>
          <w:id w:val="-1021708303"/>
          <w:citation/>
        </w:sdtPr>
        <w:sdtContent>
          <w:r w:rsidR="008C1DDB" w:rsidRPr="00DD1B58">
            <w:rPr>
              <w:rFonts w:eastAsia="Arial"/>
              <w:szCs w:val="24"/>
              <w:lang w:val="en-US"/>
            </w:rPr>
            <w:fldChar w:fldCharType="begin"/>
          </w:r>
          <w:r w:rsidR="008C1DDB" w:rsidRPr="00DD1B58">
            <w:rPr>
              <w:rFonts w:eastAsia="Arial"/>
              <w:szCs w:val="24"/>
              <w:lang w:val="en-US"/>
            </w:rPr>
            <w:instrText xml:space="preserve"> CITATION Off20 \l 2057 </w:instrText>
          </w:r>
          <w:r w:rsidR="008C1DDB" w:rsidRPr="00DD1B58">
            <w:rPr>
              <w:rFonts w:eastAsia="Arial"/>
              <w:szCs w:val="24"/>
              <w:lang w:val="en-US"/>
            </w:rPr>
            <w:fldChar w:fldCharType="separate"/>
          </w:r>
          <w:r w:rsidR="00DF47DA" w:rsidRPr="00DF47DA">
            <w:rPr>
              <w:rFonts w:eastAsia="Arial"/>
              <w:noProof/>
              <w:szCs w:val="24"/>
              <w:lang w:val="en-US"/>
            </w:rPr>
            <w:t>[15]</w:t>
          </w:r>
          <w:r w:rsidR="008C1DDB" w:rsidRPr="00DD1B58">
            <w:rPr>
              <w:rFonts w:eastAsia="Arial"/>
              <w:szCs w:val="24"/>
              <w:lang w:val="en-US"/>
            </w:rPr>
            <w:fldChar w:fldCharType="end"/>
          </w:r>
        </w:sdtContent>
      </w:sdt>
      <w:r w:rsidR="008C1DDB" w:rsidRPr="00DD1B58">
        <w:rPr>
          <w:rFonts w:eastAsia="Arial"/>
          <w:szCs w:val="24"/>
          <w:lang w:val="en-US"/>
        </w:rPr>
        <w:t xml:space="preserve"> </w:t>
      </w:r>
      <w:r w:rsidR="00DB7E38" w:rsidRPr="00DD1B58">
        <w:rPr>
          <w:rFonts w:eastAsia="Arial"/>
          <w:szCs w:val="24"/>
          <w:lang w:val="en-US"/>
        </w:rPr>
        <w:t>and IAEA-SSG</w:t>
      </w:r>
      <w:r w:rsidR="00BE3927" w:rsidRPr="00DD1B58">
        <w:rPr>
          <w:rFonts w:eastAsia="Arial"/>
          <w:szCs w:val="24"/>
          <w:lang w:val="en-US"/>
        </w:rPr>
        <w:t>-</w:t>
      </w:r>
      <w:r w:rsidRPr="00DD1B58">
        <w:rPr>
          <w:rFonts w:eastAsia="Arial"/>
          <w:szCs w:val="24"/>
          <w:lang w:val="en-US"/>
        </w:rPr>
        <w:t>64</w:t>
      </w:r>
      <w:r w:rsidR="008C1DDB" w:rsidRPr="00DD1B58">
        <w:rPr>
          <w:rFonts w:eastAsia="Arial"/>
          <w:szCs w:val="24"/>
          <w:lang w:val="en-US"/>
        </w:rPr>
        <w:t xml:space="preserve"> </w:t>
      </w:r>
      <w:sdt>
        <w:sdtPr>
          <w:rPr>
            <w:rFonts w:eastAsia="Arial"/>
            <w:szCs w:val="24"/>
            <w:lang w:val="en-US"/>
          </w:rPr>
          <w:id w:val="749623842"/>
          <w:citation/>
        </w:sdtPr>
        <w:sdtContent>
          <w:r w:rsidR="008C1DDB" w:rsidRPr="00DD1B58">
            <w:rPr>
              <w:rFonts w:eastAsia="Arial"/>
              <w:szCs w:val="24"/>
              <w:lang w:val="en-US"/>
            </w:rPr>
            <w:fldChar w:fldCharType="begin"/>
          </w:r>
          <w:r w:rsidR="008C1DDB" w:rsidRPr="00DD1B58">
            <w:rPr>
              <w:rFonts w:eastAsia="Arial"/>
              <w:szCs w:val="24"/>
              <w:lang w:val="en-US"/>
            </w:rPr>
            <w:instrText xml:space="preserve"> CITATION IAE5 \l 2057 </w:instrText>
          </w:r>
          <w:r w:rsidR="008C1DDB" w:rsidRPr="00DD1B58">
            <w:rPr>
              <w:rFonts w:eastAsia="Arial"/>
              <w:szCs w:val="24"/>
              <w:lang w:val="en-US"/>
            </w:rPr>
            <w:fldChar w:fldCharType="separate"/>
          </w:r>
          <w:r w:rsidR="00DF47DA" w:rsidRPr="00DF47DA">
            <w:rPr>
              <w:rFonts w:eastAsia="Arial"/>
              <w:noProof/>
              <w:szCs w:val="24"/>
              <w:lang w:val="en-US"/>
            </w:rPr>
            <w:t>[17]</w:t>
          </w:r>
          <w:r w:rsidR="008C1DDB" w:rsidRPr="00DD1B58">
            <w:rPr>
              <w:rFonts w:eastAsia="Arial"/>
              <w:szCs w:val="24"/>
              <w:lang w:val="en-US"/>
            </w:rPr>
            <w:fldChar w:fldCharType="end"/>
          </w:r>
        </w:sdtContent>
      </w:sdt>
      <w:r w:rsidR="006F5CF5" w:rsidRPr="00DD1B58">
        <w:rPr>
          <w:rFonts w:eastAsia="Arial"/>
          <w:szCs w:val="24"/>
          <w:lang w:val="en-US"/>
        </w:rPr>
        <w:t>,</w:t>
      </w:r>
      <w:r w:rsidR="00DB7E38" w:rsidRPr="00DD1B58">
        <w:rPr>
          <w:rFonts w:eastAsia="Arial"/>
          <w:szCs w:val="24"/>
          <w:lang w:val="en-US"/>
        </w:rPr>
        <w:t xml:space="preserve"> i.e.</w:t>
      </w:r>
      <w:r w:rsidR="006F5CF5" w:rsidRPr="00DD1B58">
        <w:rPr>
          <w:rFonts w:eastAsia="Arial"/>
          <w:szCs w:val="24"/>
          <w:lang w:val="en-US"/>
        </w:rPr>
        <w:t>,</w:t>
      </w:r>
      <w:r w:rsidR="00DB7E38" w:rsidRPr="00DD1B58">
        <w:rPr>
          <w:rFonts w:eastAsia="Arial"/>
          <w:szCs w:val="24"/>
          <w:lang w:val="en-US"/>
        </w:rPr>
        <w:t xml:space="preserve"> </w:t>
      </w:r>
      <w:r w:rsidRPr="00DD1B58">
        <w:rPr>
          <w:rFonts w:eastAsia="Arial"/>
          <w:szCs w:val="24"/>
          <w:lang w:val="en-US"/>
        </w:rPr>
        <w:t>the extent of reliance on on</w:t>
      </w:r>
      <w:r w:rsidRPr="00DD1B58">
        <w:rPr>
          <w:rFonts w:ascii="Cambria Math" w:eastAsia="Cambria Math" w:hAnsi="Cambria Math" w:cs="Cambria Math"/>
          <w:szCs w:val="24"/>
          <w:lang w:val="en-US"/>
        </w:rPr>
        <w:t>‑</w:t>
      </w:r>
      <w:r w:rsidRPr="00DD1B58">
        <w:rPr>
          <w:rFonts w:eastAsia="Arial"/>
          <w:szCs w:val="24"/>
          <w:lang w:val="en-US"/>
        </w:rPr>
        <w:t>site and off</w:t>
      </w:r>
      <w:r w:rsidRPr="00DD1B58">
        <w:rPr>
          <w:rFonts w:ascii="Cambria Math" w:eastAsia="Cambria Math" w:hAnsi="Cambria Math" w:cs="Cambria Math"/>
          <w:szCs w:val="24"/>
          <w:lang w:val="en-US"/>
        </w:rPr>
        <w:t>‑</w:t>
      </w:r>
      <w:r w:rsidRPr="00DD1B58">
        <w:rPr>
          <w:rFonts w:eastAsia="Arial"/>
          <w:szCs w:val="24"/>
          <w:lang w:val="en-US"/>
        </w:rPr>
        <w:t xml:space="preserve">site fire services should be established at the design stage. </w:t>
      </w:r>
    </w:p>
    <w:p w14:paraId="04AD83FC" w14:textId="77777777" w:rsidR="00DB3279" w:rsidRPr="00DD1B58" w:rsidRDefault="7DF61957" w:rsidP="3FE0E35C">
      <w:pPr>
        <w:rPr>
          <w:lang w:val="en-US"/>
        </w:rPr>
      </w:pPr>
      <w:r w:rsidRPr="00DD1B58">
        <w:rPr>
          <w:rFonts w:eastAsia="Arial"/>
          <w:b/>
          <w:szCs w:val="24"/>
          <w:lang w:val="en-US"/>
        </w:rPr>
        <w:t>Combined and consequential hazards</w:t>
      </w:r>
      <w:r w:rsidRPr="00DD1B58">
        <w:rPr>
          <w:rFonts w:eastAsia="Arial"/>
          <w:szCs w:val="24"/>
          <w:lang w:val="en-US"/>
        </w:rPr>
        <w:t xml:space="preserve"> </w:t>
      </w:r>
    </w:p>
    <w:p w14:paraId="7FA90F33" w14:textId="296F3AD9" w:rsidR="00DB3279" w:rsidRPr="00DD1B58" w:rsidRDefault="7DF61957" w:rsidP="3FE0E35C">
      <w:pPr>
        <w:rPr>
          <w:lang w:val="en-US"/>
        </w:rPr>
      </w:pPr>
      <w:r w:rsidRPr="00DD1B58">
        <w:rPr>
          <w:rFonts w:eastAsia="Arial"/>
          <w:szCs w:val="24"/>
          <w:lang w:val="en-US"/>
        </w:rPr>
        <w:t xml:space="preserve">WENRA </w:t>
      </w:r>
      <w:r w:rsidR="00DB7E38" w:rsidRPr="00DD1B58">
        <w:rPr>
          <w:rFonts w:eastAsia="Arial"/>
          <w:szCs w:val="24"/>
          <w:lang w:val="en-US"/>
        </w:rPr>
        <w:t xml:space="preserve">SRL </w:t>
      </w:r>
      <w:r w:rsidRPr="00DD1B58">
        <w:rPr>
          <w:rFonts w:eastAsia="Arial"/>
          <w:szCs w:val="24"/>
          <w:lang w:val="en-US"/>
        </w:rPr>
        <w:t xml:space="preserve">E 6.1 </w:t>
      </w:r>
      <w:r w:rsidR="00DB7E38" w:rsidRPr="00DD1B58">
        <w:rPr>
          <w:rFonts w:eastAsia="Arial"/>
          <w:szCs w:val="24"/>
          <w:lang w:val="en-US"/>
        </w:rPr>
        <w:t>requires</w:t>
      </w:r>
      <w:r w:rsidRPr="00DD1B58">
        <w:rPr>
          <w:rFonts w:eastAsia="Arial"/>
          <w:szCs w:val="24"/>
          <w:lang w:val="en-US"/>
        </w:rPr>
        <w:t xml:space="preserve"> that credible combinations of individual events, including internal and external hazards, that could lead to anticipated operational occurrences or design basis accidents </w:t>
      </w:r>
      <w:r w:rsidR="006F5CF5" w:rsidRPr="00DD1B58">
        <w:rPr>
          <w:rFonts w:eastAsia="Arial"/>
          <w:szCs w:val="24"/>
          <w:lang w:val="en-US"/>
        </w:rPr>
        <w:t xml:space="preserve">should </w:t>
      </w:r>
      <w:r w:rsidRPr="00DD1B58">
        <w:rPr>
          <w:rFonts w:eastAsia="Arial"/>
          <w:szCs w:val="24"/>
          <w:lang w:val="en-US"/>
        </w:rPr>
        <w:t xml:space="preserve">be considered in the design. </w:t>
      </w:r>
      <w:r w:rsidRPr="00DD1B58">
        <w:rPr>
          <w:rFonts w:eastAsia="Arial"/>
          <w:color w:val="000000" w:themeColor="text2"/>
          <w:szCs w:val="24"/>
          <w:lang w:val="en-US"/>
        </w:rPr>
        <w:t xml:space="preserve">In </w:t>
      </w:r>
      <w:r w:rsidR="006F5CF5" w:rsidRPr="00DD1B58">
        <w:rPr>
          <w:rFonts w:eastAsia="Arial"/>
          <w:color w:val="000000" w:themeColor="text2"/>
          <w:szCs w:val="24"/>
          <w:lang w:val="en-US"/>
        </w:rPr>
        <w:t>S</w:t>
      </w:r>
      <w:r w:rsidRPr="00DD1B58">
        <w:rPr>
          <w:rFonts w:eastAsia="Arial"/>
          <w:color w:val="000000" w:themeColor="text2"/>
          <w:szCs w:val="24"/>
          <w:lang w:val="en-US"/>
        </w:rPr>
        <w:t>ection</w:t>
      </w:r>
      <w:r w:rsidR="00C04DD8" w:rsidRPr="00DD1B58">
        <w:rPr>
          <w:rFonts w:eastAsia="Arial"/>
          <w:color w:val="000000" w:themeColor="text2"/>
          <w:szCs w:val="24"/>
          <w:lang w:val="en-US"/>
        </w:rPr>
        <w:t xml:space="preserve"> </w:t>
      </w:r>
      <w:r w:rsidR="00C04DD8" w:rsidRPr="00DD1B58">
        <w:rPr>
          <w:rFonts w:eastAsia="Arial"/>
          <w:color w:val="000000" w:themeColor="text2"/>
          <w:szCs w:val="24"/>
          <w:lang w:val="en-US"/>
        </w:rPr>
        <w:fldChar w:fldCharType="begin"/>
      </w:r>
      <w:r w:rsidR="00C04DD8" w:rsidRPr="00DD1B58">
        <w:rPr>
          <w:rFonts w:eastAsia="Arial"/>
          <w:color w:val="000000" w:themeColor="text2"/>
          <w:szCs w:val="24"/>
          <w:lang w:val="en-US"/>
        </w:rPr>
        <w:instrText xml:space="preserve"> REF _Ref140839871 \r \h </w:instrText>
      </w:r>
      <w:r w:rsidR="00C04DD8" w:rsidRPr="00DD1B58">
        <w:rPr>
          <w:rFonts w:eastAsia="Arial"/>
          <w:color w:val="000000" w:themeColor="text2"/>
          <w:szCs w:val="24"/>
          <w:lang w:val="en-US"/>
        </w:rPr>
      </w:r>
      <w:r w:rsidR="00C04DD8" w:rsidRPr="00DD1B58">
        <w:rPr>
          <w:rFonts w:eastAsia="Arial"/>
          <w:color w:val="000000" w:themeColor="text2"/>
          <w:szCs w:val="24"/>
          <w:lang w:val="en-US"/>
        </w:rPr>
        <w:fldChar w:fldCharType="separate"/>
      </w:r>
      <w:r w:rsidR="00DF47DA">
        <w:rPr>
          <w:rFonts w:eastAsia="Arial"/>
          <w:color w:val="000000" w:themeColor="text2"/>
          <w:szCs w:val="24"/>
          <w:lang w:val="en-US"/>
        </w:rPr>
        <w:t>I-2.1.1.7</w:t>
      </w:r>
      <w:r w:rsidR="00C04DD8" w:rsidRPr="00DD1B58">
        <w:rPr>
          <w:rFonts w:eastAsia="Arial"/>
          <w:color w:val="000000" w:themeColor="text2"/>
          <w:szCs w:val="24"/>
          <w:lang w:val="en-US"/>
        </w:rPr>
        <w:fldChar w:fldCharType="end"/>
      </w:r>
      <w:r w:rsidRPr="00DD1B58">
        <w:rPr>
          <w:rFonts w:eastAsia="Arial"/>
          <w:color w:val="000000" w:themeColor="text2"/>
          <w:szCs w:val="24"/>
          <w:lang w:val="en-US"/>
        </w:rPr>
        <w:t xml:space="preserve">, </w:t>
      </w:r>
      <w:r w:rsidR="00C362CA" w:rsidRPr="00DD1B58">
        <w:rPr>
          <w:rFonts w:eastAsia="Arial"/>
          <w:color w:val="000000" w:themeColor="text2"/>
          <w:szCs w:val="24"/>
          <w:lang w:val="en-US"/>
        </w:rPr>
        <w:t>EDF NGL</w:t>
      </w:r>
      <w:r w:rsidRPr="00DD1B58">
        <w:rPr>
          <w:rFonts w:eastAsia="Arial"/>
          <w:color w:val="000000" w:themeColor="text2"/>
          <w:szCs w:val="24"/>
          <w:lang w:val="en-US"/>
        </w:rPr>
        <w:t xml:space="preserve"> </w:t>
      </w:r>
      <w:r w:rsidR="00FF5799" w:rsidRPr="00DD1B58">
        <w:rPr>
          <w:rFonts w:eastAsia="Arial"/>
          <w:color w:val="000000" w:themeColor="text2"/>
          <w:szCs w:val="24"/>
          <w:lang w:val="en-US"/>
        </w:rPr>
        <w:t>state</w:t>
      </w:r>
      <w:r w:rsidR="000345A8" w:rsidRPr="00DD1B58">
        <w:rPr>
          <w:rFonts w:eastAsia="Arial"/>
          <w:color w:val="000000" w:themeColor="text2"/>
          <w:szCs w:val="24"/>
          <w:lang w:val="en-US"/>
        </w:rPr>
        <w:t>s</w:t>
      </w:r>
      <w:r w:rsidR="00FF5799" w:rsidRPr="00DD1B58">
        <w:rPr>
          <w:rFonts w:eastAsia="Arial"/>
          <w:color w:val="000000" w:themeColor="text2"/>
          <w:szCs w:val="24"/>
          <w:lang w:val="en-US"/>
        </w:rPr>
        <w:t xml:space="preserve"> </w:t>
      </w:r>
      <w:r w:rsidRPr="00DD1B58">
        <w:rPr>
          <w:rFonts w:eastAsia="Arial"/>
          <w:color w:val="000000" w:themeColor="text2"/>
          <w:szCs w:val="24"/>
          <w:lang w:val="en-US"/>
        </w:rPr>
        <w:t xml:space="preserve">that </w:t>
      </w:r>
      <w:r w:rsidR="00FF5799" w:rsidRPr="00DD1B58">
        <w:rPr>
          <w:rFonts w:eastAsia="Arial"/>
          <w:color w:val="000000" w:themeColor="text2"/>
          <w:szCs w:val="24"/>
          <w:lang w:val="en-US"/>
        </w:rPr>
        <w:t>it addresses</w:t>
      </w:r>
      <w:r w:rsidRPr="00DD1B58">
        <w:rPr>
          <w:rFonts w:eastAsia="Arial"/>
          <w:color w:val="000000" w:themeColor="text2"/>
          <w:szCs w:val="24"/>
          <w:lang w:val="en-US"/>
        </w:rPr>
        <w:t xml:space="preserve"> hazard combinations </w:t>
      </w:r>
      <w:r w:rsidR="003A4787" w:rsidRPr="00DD1B58">
        <w:rPr>
          <w:rFonts w:eastAsia="Arial"/>
          <w:color w:val="000000" w:themeColor="text2"/>
          <w:szCs w:val="24"/>
          <w:lang w:val="en-US"/>
        </w:rPr>
        <w:t>in the NPP</w:t>
      </w:r>
      <w:r w:rsidRPr="00DD1B58">
        <w:rPr>
          <w:rFonts w:eastAsia="Arial"/>
          <w:color w:val="000000" w:themeColor="text2"/>
          <w:szCs w:val="24"/>
          <w:lang w:val="en-US"/>
        </w:rPr>
        <w:t xml:space="preserve"> safety case processes</w:t>
      </w:r>
      <w:r w:rsidR="003A4787" w:rsidRPr="00DD1B58">
        <w:rPr>
          <w:rFonts w:eastAsia="Arial"/>
          <w:color w:val="000000" w:themeColor="text2"/>
          <w:szCs w:val="24"/>
          <w:lang w:val="en-US"/>
        </w:rPr>
        <w:t>, and analysis is aided by</w:t>
      </w:r>
      <w:r w:rsidRPr="00DD1B58">
        <w:rPr>
          <w:rFonts w:eastAsia="Arial"/>
          <w:color w:val="000000" w:themeColor="text2"/>
          <w:szCs w:val="24"/>
          <w:lang w:val="en-US"/>
        </w:rPr>
        <w:t xml:space="preserve"> </w:t>
      </w:r>
      <w:r w:rsidRPr="00DD1B58">
        <w:rPr>
          <w:rFonts w:eastAsia="Arial"/>
          <w:szCs w:val="24"/>
          <w:lang w:val="en-US"/>
        </w:rPr>
        <w:t xml:space="preserve">Zonal Walkdowns, PSR </w:t>
      </w:r>
      <w:r w:rsidR="003A4787" w:rsidRPr="00DD1B58">
        <w:rPr>
          <w:rFonts w:eastAsia="Arial"/>
          <w:szCs w:val="24"/>
          <w:lang w:val="en-US"/>
        </w:rPr>
        <w:t xml:space="preserve">reviews </w:t>
      </w:r>
      <w:r w:rsidRPr="00DD1B58">
        <w:rPr>
          <w:rFonts w:eastAsia="Arial"/>
          <w:szCs w:val="24"/>
          <w:lang w:val="en-US"/>
        </w:rPr>
        <w:t xml:space="preserve">and </w:t>
      </w:r>
      <w:r w:rsidR="00B55B1A" w:rsidRPr="00DD1B58">
        <w:rPr>
          <w:rFonts w:eastAsia="Arial"/>
          <w:szCs w:val="24"/>
          <w:lang w:val="en-US"/>
        </w:rPr>
        <w:t xml:space="preserve">safety case health </w:t>
      </w:r>
      <w:r w:rsidR="003A4787" w:rsidRPr="00DD1B58">
        <w:rPr>
          <w:rFonts w:eastAsia="Arial"/>
          <w:szCs w:val="24"/>
          <w:lang w:val="en-US"/>
        </w:rPr>
        <w:t>checks</w:t>
      </w:r>
      <w:r w:rsidRPr="00DD1B58">
        <w:rPr>
          <w:rFonts w:eastAsia="Arial"/>
          <w:szCs w:val="24"/>
          <w:lang w:val="en-US"/>
        </w:rPr>
        <w:t xml:space="preserve">. </w:t>
      </w:r>
      <w:r w:rsidRPr="00DD1B58">
        <w:rPr>
          <w:rFonts w:eastAsia="Arial"/>
          <w:color w:val="000000" w:themeColor="text2"/>
          <w:szCs w:val="24"/>
          <w:lang w:val="en-US"/>
        </w:rPr>
        <w:t xml:space="preserve">IAEA </w:t>
      </w:r>
      <w:r w:rsidR="0069216E" w:rsidRPr="00DD1B58">
        <w:rPr>
          <w:rFonts w:eastAsia="Arial"/>
          <w:color w:val="000000" w:themeColor="text2"/>
          <w:szCs w:val="24"/>
          <w:lang w:val="en-US"/>
        </w:rPr>
        <w:t>SSR 2</w:t>
      </w:r>
      <w:r w:rsidR="00FB3E57" w:rsidRPr="00DD1B58">
        <w:rPr>
          <w:rFonts w:eastAsia="Arial"/>
          <w:color w:val="000000" w:themeColor="text2"/>
          <w:szCs w:val="24"/>
          <w:lang w:val="en-US"/>
        </w:rPr>
        <w:t>/</w:t>
      </w:r>
      <w:r w:rsidR="0069216E" w:rsidRPr="00DD1B58">
        <w:rPr>
          <w:rFonts w:eastAsia="Arial"/>
          <w:color w:val="000000" w:themeColor="text2"/>
          <w:szCs w:val="24"/>
          <w:lang w:val="en-US"/>
        </w:rPr>
        <w:t>1 para. 5.32 (combination of events and failures)</w:t>
      </w:r>
      <w:r w:rsidRPr="00DD1B58">
        <w:rPr>
          <w:rFonts w:eastAsia="Arial"/>
          <w:color w:val="000000" w:themeColor="text2"/>
          <w:szCs w:val="24"/>
          <w:lang w:val="en-US"/>
        </w:rPr>
        <w:t xml:space="preserve"> </w:t>
      </w:r>
      <w:sdt>
        <w:sdtPr>
          <w:rPr>
            <w:rFonts w:eastAsia="Arial"/>
            <w:color w:val="000000" w:themeColor="text2"/>
            <w:szCs w:val="24"/>
            <w:lang w:val="en-US"/>
          </w:rPr>
          <w:id w:val="-1278401453"/>
          <w:citation/>
        </w:sdtPr>
        <w:sdtContent>
          <w:r w:rsidR="00407557" w:rsidRPr="00DD1B58">
            <w:rPr>
              <w:rFonts w:eastAsia="Arial"/>
              <w:color w:val="000000" w:themeColor="text2"/>
              <w:szCs w:val="24"/>
              <w:lang w:val="en-US"/>
            </w:rPr>
            <w:fldChar w:fldCharType="begin"/>
          </w:r>
          <w:r w:rsidR="00407557" w:rsidRPr="00DD1B58">
            <w:rPr>
              <w:rFonts w:eastAsia="Arial"/>
              <w:color w:val="000000" w:themeColor="text2"/>
              <w:szCs w:val="24"/>
              <w:lang w:val="en-US"/>
            </w:rPr>
            <w:instrText xml:space="preserve"> CITATION IAE3 \l 2057 </w:instrText>
          </w:r>
          <w:r w:rsidR="00407557" w:rsidRPr="00DD1B58">
            <w:rPr>
              <w:rFonts w:eastAsia="Arial"/>
              <w:color w:val="000000" w:themeColor="text2"/>
              <w:szCs w:val="24"/>
              <w:lang w:val="en-US"/>
            </w:rPr>
            <w:fldChar w:fldCharType="separate"/>
          </w:r>
          <w:r w:rsidR="00DF47DA" w:rsidRPr="00DF47DA">
            <w:rPr>
              <w:rFonts w:eastAsia="Arial"/>
              <w:noProof/>
              <w:color w:val="000000" w:themeColor="text2"/>
              <w:szCs w:val="24"/>
              <w:lang w:val="en-US"/>
            </w:rPr>
            <w:t>[31]</w:t>
          </w:r>
          <w:r w:rsidR="00407557" w:rsidRPr="00DD1B58">
            <w:rPr>
              <w:rFonts w:eastAsia="Arial"/>
              <w:color w:val="000000" w:themeColor="text2"/>
              <w:szCs w:val="24"/>
              <w:lang w:val="en-US"/>
            </w:rPr>
            <w:fldChar w:fldCharType="end"/>
          </w:r>
        </w:sdtContent>
      </w:sdt>
      <w:r w:rsidR="001B1721" w:rsidRPr="00DD1B58">
        <w:rPr>
          <w:rFonts w:eastAsia="Arial"/>
          <w:color w:val="000000" w:themeColor="text2"/>
          <w:szCs w:val="24"/>
          <w:lang w:val="en-US"/>
        </w:rPr>
        <w:t xml:space="preserve"> </w:t>
      </w:r>
      <w:r w:rsidR="0069216E" w:rsidRPr="00DD1B58">
        <w:rPr>
          <w:rFonts w:eastAsia="Arial"/>
          <w:color w:val="000000" w:themeColor="text2"/>
          <w:szCs w:val="24"/>
          <w:lang w:val="en-US"/>
        </w:rPr>
        <w:t xml:space="preserve">sets out the </w:t>
      </w:r>
      <w:r w:rsidR="007A74AE" w:rsidRPr="00DD1B58">
        <w:rPr>
          <w:rFonts w:eastAsia="Arial"/>
          <w:color w:val="000000" w:themeColor="text2"/>
          <w:szCs w:val="24"/>
          <w:lang w:val="en-US"/>
        </w:rPr>
        <w:t xml:space="preserve">requirement that combinations of events that can lead to accident conditions or design extension conditions </w:t>
      </w:r>
      <w:r w:rsidR="00DB022F" w:rsidRPr="00DD1B58">
        <w:rPr>
          <w:rFonts w:eastAsia="Arial"/>
          <w:color w:val="000000" w:themeColor="text2"/>
          <w:szCs w:val="24"/>
          <w:lang w:val="en-US"/>
        </w:rPr>
        <w:t>should</w:t>
      </w:r>
      <w:r w:rsidR="00991B7B" w:rsidRPr="00DD1B58">
        <w:rPr>
          <w:rFonts w:eastAsia="Arial"/>
          <w:color w:val="000000" w:themeColor="text2"/>
          <w:szCs w:val="24"/>
          <w:lang w:val="en-US"/>
        </w:rPr>
        <w:t xml:space="preserve"> be considered. It also requires that certain events which might be consequences of other events </w:t>
      </w:r>
      <w:r w:rsidR="006F5CF5" w:rsidRPr="00DD1B58">
        <w:rPr>
          <w:rFonts w:eastAsia="Arial"/>
          <w:color w:val="000000" w:themeColor="text2"/>
          <w:szCs w:val="24"/>
          <w:lang w:val="en-US"/>
        </w:rPr>
        <w:t>should</w:t>
      </w:r>
      <w:r w:rsidR="00991B7B" w:rsidRPr="00DD1B58">
        <w:rPr>
          <w:rFonts w:eastAsia="Arial"/>
          <w:color w:val="000000" w:themeColor="text2"/>
          <w:szCs w:val="24"/>
          <w:lang w:val="en-US"/>
        </w:rPr>
        <w:t xml:space="preserve"> </w:t>
      </w:r>
      <w:r w:rsidR="00A6503B" w:rsidRPr="00DD1B58">
        <w:rPr>
          <w:rFonts w:eastAsia="Arial"/>
          <w:color w:val="000000" w:themeColor="text2"/>
          <w:szCs w:val="24"/>
          <w:lang w:val="en-US"/>
        </w:rPr>
        <w:t>be</w:t>
      </w:r>
      <w:r w:rsidR="00991B7B" w:rsidRPr="00DD1B58">
        <w:rPr>
          <w:rFonts w:eastAsia="Arial"/>
          <w:color w:val="000000" w:themeColor="text2"/>
          <w:szCs w:val="24"/>
          <w:lang w:val="en-US"/>
        </w:rPr>
        <w:t xml:space="preserve"> part of the original postulated initiating events. </w:t>
      </w:r>
    </w:p>
    <w:p w14:paraId="13B905AD" w14:textId="0C6596EB" w:rsidR="00DB3279" w:rsidRPr="00DD1B58" w:rsidRDefault="7DF61957" w:rsidP="3FE0E35C">
      <w:pPr>
        <w:rPr>
          <w:lang w:val="en-US"/>
        </w:rPr>
      </w:pPr>
      <w:r w:rsidRPr="00DD1B58">
        <w:rPr>
          <w:rFonts w:eastAsia="Arial"/>
          <w:szCs w:val="24"/>
          <w:lang w:val="en-US"/>
        </w:rPr>
        <w:t xml:space="preserve">ONR </w:t>
      </w:r>
      <w:r w:rsidR="004F5C72" w:rsidRPr="00DD1B58">
        <w:rPr>
          <w:rFonts w:eastAsia="Arial"/>
          <w:szCs w:val="24"/>
          <w:lang w:val="en-US"/>
        </w:rPr>
        <w:t>expectations on licensees</w:t>
      </w:r>
      <w:r w:rsidR="00A6503B" w:rsidRPr="00DD1B58">
        <w:rPr>
          <w:rFonts w:eastAsia="Arial"/>
          <w:szCs w:val="24"/>
          <w:lang w:val="en-US"/>
        </w:rPr>
        <w:t>’</w:t>
      </w:r>
      <w:r w:rsidR="004F5C72" w:rsidRPr="00DD1B58">
        <w:rPr>
          <w:rFonts w:eastAsia="Arial"/>
          <w:szCs w:val="24"/>
          <w:lang w:val="en-US"/>
        </w:rPr>
        <w:t xml:space="preserve"> consideration of combined hazards including consequential hazards are laid out in TAG-14 </w:t>
      </w:r>
      <w:sdt>
        <w:sdtPr>
          <w:rPr>
            <w:rFonts w:eastAsia="Arial"/>
            <w:szCs w:val="24"/>
            <w:lang w:val="en-US"/>
          </w:rPr>
          <w:id w:val="998468722"/>
          <w:citation/>
        </w:sdtPr>
        <w:sdtContent>
          <w:r w:rsidR="00407557" w:rsidRPr="00DD1B58">
            <w:rPr>
              <w:rFonts w:eastAsia="Arial"/>
              <w:szCs w:val="24"/>
              <w:lang w:val="en-US"/>
            </w:rPr>
            <w:fldChar w:fldCharType="begin"/>
          </w:r>
          <w:r w:rsidR="00407557" w:rsidRPr="00DD1B58">
            <w:rPr>
              <w:rFonts w:eastAsia="Arial"/>
              <w:szCs w:val="24"/>
              <w:lang w:val="en-US"/>
            </w:rPr>
            <w:instrText xml:space="preserve"> CITATION ONR4 \l 2057 </w:instrText>
          </w:r>
          <w:r w:rsidR="00407557" w:rsidRPr="00DD1B58">
            <w:rPr>
              <w:rFonts w:eastAsia="Arial"/>
              <w:szCs w:val="24"/>
              <w:lang w:val="en-US"/>
            </w:rPr>
            <w:fldChar w:fldCharType="separate"/>
          </w:r>
          <w:r w:rsidR="00DF47DA" w:rsidRPr="00DF47DA">
            <w:rPr>
              <w:rFonts w:eastAsia="Arial"/>
              <w:noProof/>
              <w:szCs w:val="24"/>
              <w:lang w:val="en-US"/>
            </w:rPr>
            <w:t>[16]</w:t>
          </w:r>
          <w:r w:rsidR="00407557" w:rsidRPr="00DD1B58">
            <w:rPr>
              <w:rFonts w:eastAsia="Arial"/>
              <w:szCs w:val="24"/>
              <w:lang w:val="en-US"/>
            </w:rPr>
            <w:fldChar w:fldCharType="end"/>
          </w:r>
        </w:sdtContent>
      </w:sdt>
      <w:r w:rsidR="004F5C72" w:rsidRPr="00DD1B58">
        <w:rPr>
          <w:rFonts w:eastAsia="Arial"/>
          <w:szCs w:val="24"/>
          <w:lang w:val="en-US"/>
        </w:rPr>
        <w:t xml:space="preserve"> and ONR SAPs </w:t>
      </w:r>
      <w:sdt>
        <w:sdtPr>
          <w:rPr>
            <w:rFonts w:eastAsia="Arial"/>
            <w:szCs w:val="24"/>
            <w:lang w:val="en-US"/>
          </w:rPr>
          <w:id w:val="1000931267"/>
          <w:citation/>
        </w:sdtPr>
        <w:sdtContent>
          <w:r w:rsidR="00407557" w:rsidRPr="00DD1B58">
            <w:rPr>
              <w:rFonts w:eastAsia="Arial"/>
              <w:szCs w:val="24"/>
              <w:lang w:val="en-US"/>
            </w:rPr>
            <w:fldChar w:fldCharType="begin"/>
          </w:r>
          <w:r w:rsidR="00407557" w:rsidRPr="00DD1B58">
            <w:rPr>
              <w:rFonts w:eastAsia="Arial"/>
              <w:szCs w:val="24"/>
              <w:lang w:val="en-US"/>
            </w:rPr>
            <w:instrText xml:space="preserve"> CITATION Off20 \l 2057 </w:instrText>
          </w:r>
          <w:r w:rsidR="00407557" w:rsidRPr="00DD1B58">
            <w:rPr>
              <w:rFonts w:eastAsia="Arial"/>
              <w:szCs w:val="24"/>
              <w:lang w:val="en-US"/>
            </w:rPr>
            <w:fldChar w:fldCharType="separate"/>
          </w:r>
          <w:r w:rsidR="00DF47DA" w:rsidRPr="00DF47DA">
            <w:rPr>
              <w:rFonts w:eastAsia="Arial"/>
              <w:noProof/>
              <w:szCs w:val="24"/>
              <w:lang w:val="en-US"/>
            </w:rPr>
            <w:t>[15]</w:t>
          </w:r>
          <w:r w:rsidR="00407557" w:rsidRPr="00DD1B58">
            <w:rPr>
              <w:rFonts w:eastAsia="Arial"/>
              <w:szCs w:val="24"/>
              <w:lang w:val="en-US"/>
            </w:rPr>
            <w:fldChar w:fldCharType="end"/>
          </w:r>
        </w:sdtContent>
      </w:sdt>
      <w:r w:rsidR="004F5C72" w:rsidRPr="00DD1B58">
        <w:rPr>
          <w:rFonts w:eastAsia="Arial"/>
          <w:szCs w:val="24"/>
          <w:lang w:val="en-US"/>
        </w:rPr>
        <w:t xml:space="preserve">, </w:t>
      </w:r>
      <w:r w:rsidR="00D978A0" w:rsidRPr="00DD1B58">
        <w:rPr>
          <w:rFonts w:eastAsia="Arial"/>
          <w:szCs w:val="24"/>
          <w:lang w:val="en-US"/>
        </w:rPr>
        <w:t>incorporating</w:t>
      </w:r>
      <w:r w:rsidR="004F5C72" w:rsidRPr="00DD1B58">
        <w:rPr>
          <w:rFonts w:eastAsia="Arial"/>
          <w:szCs w:val="24"/>
          <w:lang w:val="en-US"/>
        </w:rPr>
        <w:t xml:space="preserve"> IAEA SSG-64 </w:t>
      </w:r>
      <w:sdt>
        <w:sdtPr>
          <w:rPr>
            <w:rFonts w:eastAsia="Arial"/>
            <w:szCs w:val="24"/>
            <w:lang w:val="en-US"/>
          </w:rPr>
          <w:id w:val="-63572767"/>
          <w:citation/>
        </w:sdtPr>
        <w:sdtContent>
          <w:r w:rsidR="00407557" w:rsidRPr="00DD1B58">
            <w:rPr>
              <w:rFonts w:eastAsia="Arial"/>
              <w:szCs w:val="24"/>
              <w:lang w:val="en-US"/>
            </w:rPr>
            <w:fldChar w:fldCharType="begin"/>
          </w:r>
          <w:r w:rsidR="00407557" w:rsidRPr="00DD1B58">
            <w:rPr>
              <w:rFonts w:eastAsia="Arial"/>
              <w:szCs w:val="24"/>
              <w:lang w:val="en-US"/>
            </w:rPr>
            <w:instrText xml:space="preserve"> CITATION IAE5 \l 2057 </w:instrText>
          </w:r>
          <w:r w:rsidR="00407557" w:rsidRPr="00DD1B58">
            <w:rPr>
              <w:rFonts w:eastAsia="Arial"/>
              <w:szCs w:val="24"/>
              <w:lang w:val="en-US"/>
            </w:rPr>
            <w:fldChar w:fldCharType="separate"/>
          </w:r>
          <w:r w:rsidR="00DF47DA" w:rsidRPr="00DF47DA">
            <w:rPr>
              <w:rFonts w:eastAsia="Arial"/>
              <w:noProof/>
              <w:szCs w:val="24"/>
              <w:lang w:val="en-US"/>
            </w:rPr>
            <w:t>[17]</w:t>
          </w:r>
          <w:r w:rsidR="00407557" w:rsidRPr="00DD1B58">
            <w:rPr>
              <w:rFonts w:eastAsia="Arial"/>
              <w:szCs w:val="24"/>
              <w:lang w:val="en-US"/>
            </w:rPr>
            <w:fldChar w:fldCharType="end"/>
          </w:r>
        </w:sdtContent>
      </w:sdt>
      <w:r w:rsidR="00407557" w:rsidRPr="00DD1B58">
        <w:rPr>
          <w:rFonts w:eastAsia="Arial"/>
          <w:szCs w:val="24"/>
          <w:lang w:val="en-US"/>
        </w:rPr>
        <w:t xml:space="preserve"> </w:t>
      </w:r>
      <w:r w:rsidR="004F5C72" w:rsidRPr="00DD1B58">
        <w:rPr>
          <w:rFonts w:eastAsia="Arial"/>
          <w:szCs w:val="24"/>
          <w:lang w:val="en-US"/>
        </w:rPr>
        <w:t>expectations</w:t>
      </w:r>
      <w:r w:rsidRPr="00DD1B58">
        <w:rPr>
          <w:rFonts w:eastAsia="Arial"/>
          <w:szCs w:val="24"/>
          <w:lang w:val="en-US"/>
        </w:rPr>
        <w:t>.</w:t>
      </w:r>
      <w:r w:rsidR="004F5C72" w:rsidRPr="00DD1B58">
        <w:rPr>
          <w:rFonts w:eastAsia="Arial"/>
          <w:szCs w:val="24"/>
          <w:lang w:val="en-US"/>
        </w:rPr>
        <w:t xml:space="preserve"> ONR expects</w:t>
      </w:r>
      <w:r w:rsidRPr="00DD1B58">
        <w:rPr>
          <w:rFonts w:eastAsia="Arial"/>
          <w:szCs w:val="24"/>
          <w:lang w:val="en-US"/>
        </w:rPr>
        <w:t xml:space="preserve"> hazard analysis </w:t>
      </w:r>
      <w:r w:rsidR="004F5C72" w:rsidRPr="00DD1B58">
        <w:rPr>
          <w:rFonts w:eastAsia="Arial"/>
          <w:szCs w:val="24"/>
          <w:lang w:val="en-US"/>
        </w:rPr>
        <w:t xml:space="preserve">to </w:t>
      </w:r>
      <w:r w:rsidRPr="00DD1B58">
        <w:rPr>
          <w:rFonts w:eastAsia="Arial"/>
          <w:szCs w:val="24"/>
          <w:lang w:val="en-US"/>
        </w:rPr>
        <w:t xml:space="preserve">take into account hazard combinations, simultaneous effects, common cause failures and consequential effects. ONR </w:t>
      </w:r>
      <w:r w:rsidR="004F5C72" w:rsidRPr="00DD1B58">
        <w:rPr>
          <w:rFonts w:eastAsia="Arial"/>
          <w:szCs w:val="24"/>
          <w:lang w:val="en-US"/>
        </w:rPr>
        <w:t>also</w:t>
      </w:r>
      <w:r w:rsidRPr="00DD1B58">
        <w:rPr>
          <w:rFonts w:eastAsia="Arial"/>
          <w:szCs w:val="24"/>
          <w:lang w:val="en-US"/>
        </w:rPr>
        <w:t xml:space="preserve"> expects that a systematic identification and screening process is applied to develop a combinations list that represents a credible and reasonable set of plant challenges. </w:t>
      </w:r>
      <w:r w:rsidR="00F05858" w:rsidRPr="00DD1B58">
        <w:rPr>
          <w:rFonts w:eastAsia="Arial"/>
          <w:szCs w:val="24"/>
          <w:lang w:val="en-US"/>
        </w:rPr>
        <w:t xml:space="preserve">ONR </w:t>
      </w:r>
      <w:r w:rsidRPr="00DD1B58">
        <w:rPr>
          <w:rFonts w:eastAsia="Arial"/>
          <w:szCs w:val="24"/>
          <w:lang w:val="en-US"/>
        </w:rPr>
        <w:t>TAG</w:t>
      </w:r>
      <w:r w:rsidR="00F05858" w:rsidRPr="00DD1B58">
        <w:rPr>
          <w:rFonts w:eastAsia="Arial"/>
          <w:szCs w:val="24"/>
          <w:lang w:val="en-US"/>
        </w:rPr>
        <w:t>-14</w:t>
      </w:r>
      <w:r w:rsidRPr="00DD1B58">
        <w:rPr>
          <w:rFonts w:eastAsia="Arial"/>
          <w:szCs w:val="24"/>
          <w:lang w:val="en-US"/>
        </w:rPr>
        <w:t xml:space="preserve"> </w:t>
      </w:r>
      <w:sdt>
        <w:sdtPr>
          <w:rPr>
            <w:rFonts w:eastAsia="Arial"/>
            <w:szCs w:val="24"/>
            <w:lang w:val="en-US"/>
          </w:rPr>
          <w:id w:val="-567112625"/>
          <w:citation/>
        </w:sdtPr>
        <w:sdtContent>
          <w:r w:rsidR="00407557" w:rsidRPr="00DD1B58">
            <w:rPr>
              <w:rFonts w:eastAsia="Arial"/>
              <w:szCs w:val="24"/>
              <w:lang w:val="en-US"/>
            </w:rPr>
            <w:fldChar w:fldCharType="begin"/>
          </w:r>
          <w:r w:rsidR="00407557" w:rsidRPr="00DD1B58">
            <w:rPr>
              <w:rFonts w:eastAsia="Arial"/>
              <w:szCs w:val="24"/>
              <w:lang w:val="en-US"/>
            </w:rPr>
            <w:instrText xml:space="preserve"> CITATION ONR4 \l 2057 </w:instrText>
          </w:r>
          <w:r w:rsidR="00407557" w:rsidRPr="00DD1B58">
            <w:rPr>
              <w:rFonts w:eastAsia="Arial"/>
              <w:szCs w:val="24"/>
              <w:lang w:val="en-US"/>
            </w:rPr>
            <w:fldChar w:fldCharType="separate"/>
          </w:r>
          <w:r w:rsidR="00DF47DA" w:rsidRPr="00DF47DA">
            <w:rPr>
              <w:rFonts w:eastAsia="Arial"/>
              <w:noProof/>
              <w:szCs w:val="24"/>
              <w:lang w:val="en-US"/>
            </w:rPr>
            <w:t>[16]</w:t>
          </w:r>
          <w:r w:rsidR="00407557" w:rsidRPr="00DD1B58">
            <w:rPr>
              <w:rFonts w:eastAsia="Arial"/>
              <w:szCs w:val="24"/>
              <w:lang w:val="en-US"/>
            </w:rPr>
            <w:fldChar w:fldCharType="end"/>
          </w:r>
        </w:sdtContent>
      </w:sdt>
      <w:r w:rsidRPr="00DD1B58">
        <w:rPr>
          <w:rFonts w:eastAsia="Arial"/>
          <w:szCs w:val="24"/>
          <w:lang w:val="en-US"/>
        </w:rPr>
        <w:t xml:space="preserve"> identifies that this often takes the form of a hazard combination matrix, developed from a consolidated list of all internal and external hazards. </w:t>
      </w:r>
      <w:r w:rsidRPr="00DD1B58">
        <w:rPr>
          <w:rFonts w:eastAsia="Arial"/>
          <w:szCs w:val="24"/>
          <w:lang w:val="en-US"/>
        </w:rPr>
        <w:lastRenderedPageBreak/>
        <w:t xml:space="preserve">Furthermore, it is expected that safety cases record any assumptions made to dismiss hazard combinations or their effects. </w:t>
      </w:r>
    </w:p>
    <w:p w14:paraId="590ACBD8" w14:textId="3109DC24" w:rsidR="00DB3279" w:rsidRPr="00DD1B58" w:rsidRDefault="00F52C85" w:rsidP="3FE0E35C">
      <w:pPr>
        <w:rPr>
          <w:lang w:val="en-US"/>
        </w:rPr>
      </w:pPr>
      <w:r w:rsidRPr="00DD1B58">
        <w:rPr>
          <w:rStyle w:val="cf01"/>
          <w:rFonts w:asciiTheme="minorHAnsi" w:hAnsiTheme="minorHAnsi" w:cstheme="minorHAnsi"/>
          <w:sz w:val="24"/>
          <w:szCs w:val="24"/>
          <w:lang w:val="en-US"/>
        </w:rPr>
        <w:t xml:space="preserve">EDF NGL’s self-assessment recognises hazard combinations such as fire-induced missile hazards, and that these are considered within its safety assessment processes. EDF NGL has explained [25] that combined events are reviewed and, where necessary, updated for every PSR. EDF NGL states that the PSR reviews implement the latest guidance on combined hazards. EDF NGL's self-assessment reporting for HY2 confirms that for this station some consequential hazards were considered in the design of its protection and mitigation measures, such as post-seismic fires. Further scenarios are currently under consideration by EDF NGL; for example, a turbine disintegration event (originally classified as not impacting nuclear safety) leading to a fire, or a fire with flooding from the condenser cooling system. Similarly, a turbine disintegration event leading to flooding of the Turbine Hall with cooling water as well as releasing significant amounts of lube (lubricating) oil. This has the potential to cause flooding of the reactor basement and a consequential floating oil pool fire. EDF NGL is concluding the assessment for consideration of additional measures at the time of writing this report. The work to be completed at HY2 and the on-going PSR at SZB, indicate EDF NGL's commitment towards analysing and </w:t>
      </w:r>
      <w:r w:rsidR="00AB034F" w:rsidRPr="00DD1B58">
        <w:rPr>
          <w:rStyle w:val="cf01"/>
          <w:rFonts w:asciiTheme="minorHAnsi" w:hAnsiTheme="minorHAnsi" w:cstheme="minorHAnsi"/>
          <w:sz w:val="24"/>
          <w:szCs w:val="24"/>
          <w:lang w:val="en-US"/>
        </w:rPr>
        <w:t xml:space="preserve">further </w:t>
      </w:r>
      <w:r w:rsidRPr="00DD1B58">
        <w:rPr>
          <w:rStyle w:val="cf01"/>
          <w:rFonts w:asciiTheme="minorHAnsi" w:hAnsiTheme="minorHAnsi" w:cstheme="minorHAnsi"/>
          <w:sz w:val="24"/>
          <w:szCs w:val="24"/>
          <w:lang w:val="en-US"/>
        </w:rPr>
        <w:t>increasing resilience against hazards combinations across the fleet of AGRs. The SZB PSR3 is planned for submission in early 2024 and similarly HY2’s analysis, when ONR will make judgements on the adequacy EDF’s methodology and reasonable practicability of additional measures.</w:t>
      </w:r>
    </w:p>
    <w:p w14:paraId="0E3AF36A" w14:textId="77777777" w:rsidR="00DB3279" w:rsidRPr="00DD1B58" w:rsidRDefault="7DF61957" w:rsidP="3FE0E35C">
      <w:pPr>
        <w:rPr>
          <w:lang w:val="en-US"/>
        </w:rPr>
      </w:pPr>
      <w:r w:rsidRPr="00DD1B58">
        <w:rPr>
          <w:rFonts w:eastAsia="Arial"/>
          <w:b/>
          <w:szCs w:val="24"/>
          <w:lang w:val="en-US"/>
        </w:rPr>
        <w:t>Probabilistic safety analysis</w:t>
      </w:r>
      <w:r w:rsidRPr="00DD1B58">
        <w:rPr>
          <w:rFonts w:eastAsia="Arial"/>
          <w:szCs w:val="24"/>
          <w:lang w:val="en-US"/>
        </w:rPr>
        <w:t xml:space="preserve"> </w:t>
      </w:r>
    </w:p>
    <w:p w14:paraId="0698EA1A" w14:textId="5EF0928E" w:rsidR="007D33CF" w:rsidRPr="00DD1B58" w:rsidRDefault="7DF61957" w:rsidP="3FE0E35C">
      <w:pPr>
        <w:spacing w:line="257" w:lineRule="auto"/>
        <w:rPr>
          <w:rFonts w:eastAsia="Arial"/>
          <w:szCs w:val="24"/>
          <w:lang w:val="en-US"/>
        </w:rPr>
      </w:pPr>
      <w:r w:rsidRPr="00DD1B58">
        <w:rPr>
          <w:rFonts w:eastAsia="Arial"/>
          <w:szCs w:val="24"/>
          <w:lang w:val="en-US"/>
        </w:rPr>
        <w:t xml:space="preserve">WENRA SRL SV 6.1 </w:t>
      </w:r>
      <w:r w:rsidR="00B57536" w:rsidRPr="00DD1B58">
        <w:rPr>
          <w:rFonts w:eastAsia="Arial"/>
          <w:szCs w:val="24"/>
          <w:lang w:val="en-US"/>
        </w:rPr>
        <w:t>requires</w:t>
      </w:r>
      <w:r w:rsidRPr="00DD1B58">
        <w:rPr>
          <w:rFonts w:eastAsia="Arial"/>
          <w:szCs w:val="24"/>
          <w:lang w:val="en-US"/>
        </w:rPr>
        <w:t xml:space="preserve"> probabilistic methods </w:t>
      </w:r>
      <w:r w:rsidR="00B57536" w:rsidRPr="00DD1B58">
        <w:rPr>
          <w:rFonts w:eastAsia="Arial"/>
          <w:szCs w:val="24"/>
          <w:lang w:val="en-US"/>
        </w:rPr>
        <w:t xml:space="preserve">to be </w:t>
      </w:r>
      <w:r w:rsidRPr="00DD1B58">
        <w:rPr>
          <w:rFonts w:eastAsia="Arial"/>
          <w:szCs w:val="24"/>
          <w:lang w:val="en-US"/>
        </w:rPr>
        <w:t xml:space="preserve">applied to complement the deterministic analysis in order to evaluate the fire protection arrangements and identify risks caused by fire. </w:t>
      </w:r>
    </w:p>
    <w:p w14:paraId="33598A96" w14:textId="11C3E7B8" w:rsidR="00DB3279" w:rsidRPr="00DD1B58" w:rsidRDefault="7DF61957" w:rsidP="3FE0E35C">
      <w:pPr>
        <w:spacing w:line="257" w:lineRule="auto"/>
        <w:rPr>
          <w:lang w:val="en-US"/>
        </w:rPr>
      </w:pPr>
      <w:r w:rsidRPr="00DD1B58">
        <w:rPr>
          <w:rFonts w:eastAsia="Arial"/>
          <w:szCs w:val="24"/>
          <w:lang w:val="en-US"/>
        </w:rPr>
        <w:t xml:space="preserve">Sections </w:t>
      </w:r>
      <w:r w:rsidR="000574BF" w:rsidRPr="00DD1B58">
        <w:rPr>
          <w:rFonts w:eastAsia="Arial"/>
          <w:szCs w:val="24"/>
          <w:lang w:val="en-US"/>
        </w:rPr>
        <w:fldChar w:fldCharType="begin"/>
      </w:r>
      <w:r w:rsidR="000574BF" w:rsidRPr="00DD1B58">
        <w:rPr>
          <w:rFonts w:eastAsia="Arial"/>
          <w:szCs w:val="24"/>
          <w:lang w:val="en-US"/>
        </w:rPr>
        <w:instrText xml:space="preserve"> REF _Ref140840394 \r \h </w:instrText>
      </w:r>
      <w:r w:rsidR="000574BF" w:rsidRPr="00DD1B58">
        <w:rPr>
          <w:rFonts w:eastAsia="Arial"/>
          <w:szCs w:val="24"/>
          <w:lang w:val="en-US"/>
        </w:rPr>
      </w:r>
      <w:r w:rsidR="000574BF" w:rsidRPr="00DD1B58">
        <w:rPr>
          <w:rFonts w:eastAsia="Arial"/>
          <w:szCs w:val="24"/>
          <w:lang w:val="en-US"/>
        </w:rPr>
        <w:fldChar w:fldCharType="separate"/>
      </w:r>
      <w:r w:rsidR="00DF47DA">
        <w:rPr>
          <w:rFonts w:eastAsia="Arial"/>
          <w:szCs w:val="24"/>
          <w:lang w:val="en-US"/>
        </w:rPr>
        <w:t>I-2.1.1.9</w:t>
      </w:r>
      <w:r w:rsidR="000574BF" w:rsidRPr="00DD1B58">
        <w:rPr>
          <w:rFonts w:eastAsia="Arial"/>
          <w:szCs w:val="24"/>
          <w:lang w:val="en-US"/>
        </w:rPr>
        <w:fldChar w:fldCharType="end"/>
      </w:r>
      <w:r w:rsidR="000574BF" w:rsidRPr="00DD1B58">
        <w:rPr>
          <w:rFonts w:eastAsia="Arial"/>
          <w:szCs w:val="24"/>
          <w:lang w:val="en-US"/>
        </w:rPr>
        <w:t xml:space="preserve"> </w:t>
      </w:r>
      <w:r w:rsidRPr="00DD1B58">
        <w:rPr>
          <w:rFonts w:eastAsia="Arial"/>
          <w:szCs w:val="24"/>
          <w:lang w:val="en-US"/>
        </w:rPr>
        <w:t xml:space="preserve">and </w:t>
      </w:r>
      <w:r w:rsidR="000574BF" w:rsidRPr="00DD1B58">
        <w:rPr>
          <w:rFonts w:eastAsia="Arial"/>
          <w:szCs w:val="24"/>
          <w:lang w:val="en-US"/>
        </w:rPr>
        <w:fldChar w:fldCharType="begin"/>
      </w:r>
      <w:r w:rsidR="000574BF" w:rsidRPr="00DD1B58">
        <w:rPr>
          <w:rFonts w:eastAsia="Arial"/>
          <w:szCs w:val="24"/>
          <w:lang w:val="en-US"/>
        </w:rPr>
        <w:instrText xml:space="preserve"> REF _Ref140840401 \r \h </w:instrText>
      </w:r>
      <w:r w:rsidR="000574BF" w:rsidRPr="00DD1B58">
        <w:rPr>
          <w:rFonts w:eastAsia="Arial"/>
          <w:szCs w:val="24"/>
          <w:lang w:val="en-US"/>
        </w:rPr>
      </w:r>
      <w:r w:rsidR="000574BF" w:rsidRPr="00DD1B58">
        <w:rPr>
          <w:rFonts w:eastAsia="Arial"/>
          <w:szCs w:val="24"/>
          <w:lang w:val="en-US"/>
        </w:rPr>
        <w:fldChar w:fldCharType="separate"/>
      </w:r>
      <w:r w:rsidR="00DF47DA">
        <w:rPr>
          <w:rFonts w:eastAsia="Arial"/>
          <w:szCs w:val="24"/>
          <w:lang w:val="en-US"/>
        </w:rPr>
        <w:t>I-2.1.1.10</w:t>
      </w:r>
      <w:r w:rsidR="000574BF" w:rsidRPr="00DD1B58">
        <w:rPr>
          <w:rFonts w:eastAsia="Arial"/>
          <w:szCs w:val="24"/>
          <w:lang w:val="en-US"/>
        </w:rPr>
        <w:fldChar w:fldCharType="end"/>
      </w:r>
      <w:r w:rsidR="007D33CF" w:rsidRPr="00DD1B58">
        <w:rPr>
          <w:rFonts w:eastAsia="Arial"/>
          <w:szCs w:val="24"/>
          <w:lang w:val="en-US"/>
        </w:rPr>
        <w:t xml:space="preserve"> </w:t>
      </w:r>
      <w:r w:rsidRPr="00DD1B58">
        <w:rPr>
          <w:rFonts w:eastAsia="Arial"/>
          <w:szCs w:val="24"/>
          <w:lang w:val="en-US"/>
        </w:rPr>
        <w:t xml:space="preserve">reported how </w:t>
      </w:r>
      <w:r w:rsidR="00C362CA" w:rsidRPr="00DD1B58">
        <w:rPr>
          <w:rFonts w:eastAsia="Arial"/>
          <w:szCs w:val="24"/>
          <w:lang w:val="en-US"/>
        </w:rPr>
        <w:t>EDF NGL</w:t>
      </w:r>
      <w:r w:rsidR="007D33CF" w:rsidRPr="00DD1B58">
        <w:rPr>
          <w:rFonts w:eastAsia="Arial"/>
          <w:szCs w:val="24"/>
          <w:lang w:val="en-US"/>
        </w:rPr>
        <w:t xml:space="preserve"> uses </w:t>
      </w:r>
      <w:r w:rsidRPr="00DD1B58">
        <w:rPr>
          <w:rFonts w:eastAsia="Arial"/>
          <w:szCs w:val="24"/>
          <w:lang w:val="en-US"/>
        </w:rPr>
        <w:t xml:space="preserve">probabilistic arguments in support of fire hazard analyses. </w:t>
      </w:r>
      <w:r w:rsidR="007D33CF" w:rsidRPr="00DD1B58">
        <w:rPr>
          <w:rFonts w:eastAsia="Arial"/>
          <w:szCs w:val="24"/>
          <w:lang w:val="en-US"/>
        </w:rPr>
        <w:t>In summary,</w:t>
      </w:r>
      <w:r w:rsidRPr="00DD1B58">
        <w:rPr>
          <w:rFonts w:eastAsia="Arial"/>
          <w:szCs w:val="24"/>
          <w:lang w:val="en-US"/>
        </w:rPr>
        <w:t xml:space="preserve"> AGR stations do not have separate </w:t>
      </w:r>
      <w:r w:rsidR="00524AF4" w:rsidRPr="00DD1B58">
        <w:rPr>
          <w:rFonts w:eastAsia="Arial"/>
          <w:szCs w:val="24"/>
          <w:lang w:val="en-US"/>
        </w:rPr>
        <w:t xml:space="preserve">level </w:t>
      </w:r>
      <w:r w:rsidRPr="00DD1B58">
        <w:rPr>
          <w:rFonts w:eastAsia="Arial"/>
          <w:szCs w:val="24"/>
          <w:lang w:val="en-US"/>
        </w:rPr>
        <w:t xml:space="preserve">1, </w:t>
      </w:r>
      <w:r w:rsidR="00524AF4" w:rsidRPr="00DD1B58">
        <w:rPr>
          <w:rFonts w:eastAsia="Arial"/>
          <w:szCs w:val="24"/>
          <w:lang w:val="en-US"/>
        </w:rPr>
        <w:t xml:space="preserve">level </w:t>
      </w:r>
      <w:r w:rsidRPr="00DD1B58">
        <w:rPr>
          <w:rFonts w:eastAsia="Arial"/>
          <w:szCs w:val="24"/>
          <w:lang w:val="en-US"/>
        </w:rPr>
        <w:t xml:space="preserve">2 and </w:t>
      </w:r>
      <w:r w:rsidR="00524AF4" w:rsidRPr="00DD1B58">
        <w:rPr>
          <w:rFonts w:eastAsia="Arial"/>
          <w:szCs w:val="24"/>
          <w:lang w:val="en-US"/>
        </w:rPr>
        <w:t xml:space="preserve">level </w:t>
      </w:r>
      <w:r w:rsidRPr="00DD1B58">
        <w:rPr>
          <w:rFonts w:eastAsia="Arial"/>
          <w:szCs w:val="24"/>
          <w:lang w:val="en-US"/>
        </w:rPr>
        <w:t xml:space="preserve">3 PSAs (which are developed for LWRs and therefore </w:t>
      </w:r>
      <w:r w:rsidR="00524AF4" w:rsidRPr="00DD1B58">
        <w:rPr>
          <w:rFonts w:eastAsia="Arial"/>
          <w:szCs w:val="24"/>
          <w:lang w:val="en-US"/>
        </w:rPr>
        <w:t xml:space="preserve">are </w:t>
      </w:r>
      <w:r w:rsidRPr="00DD1B58">
        <w:rPr>
          <w:rFonts w:eastAsia="Arial"/>
          <w:szCs w:val="24"/>
          <w:lang w:val="en-US"/>
        </w:rPr>
        <w:t xml:space="preserve">not directly applicable to AGRs). The fire PSA modelling for AGR stations </w:t>
      </w:r>
      <w:r w:rsidR="005E10AD" w:rsidRPr="00DD1B58">
        <w:rPr>
          <w:rFonts w:eastAsia="Arial"/>
          <w:szCs w:val="24"/>
          <w:lang w:val="en-US"/>
        </w:rPr>
        <w:t xml:space="preserve">is </w:t>
      </w:r>
      <w:r w:rsidRPr="00DD1B58">
        <w:rPr>
          <w:rFonts w:eastAsia="Arial"/>
          <w:szCs w:val="24"/>
          <w:lang w:val="en-US"/>
        </w:rPr>
        <w:t xml:space="preserve">based on the stations’ deterministic fire safety case and </w:t>
      </w:r>
      <w:r w:rsidR="004B2859" w:rsidRPr="00DD1B58">
        <w:rPr>
          <w:rFonts w:eastAsia="Arial"/>
          <w:szCs w:val="24"/>
          <w:lang w:val="en-US"/>
        </w:rPr>
        <w:t xml:space="preserve">does </w:t>
      </w:r>
      <w:r w:rsidRPr="00DD1B58">
        <w:rPr>
          <w:rFonts w:eastAsia="Arial"/>
          <w:szCs w:val="24"/>
          <w:lang w:val="en-US"/>
        </w:rPr>
        <w:t>not adhere to standard industry guidance (e.g.</w:t>
      </w:r>
      <w:r w:rsidR="00524AF4" w:rsidRPr="00DD1B58">
        <w:rPr>
          <w:rFonts w:eastAsia="Arial"/>
          <w:szCs w:val="24"/>
          <w:lang w:val="en-US"/>
        </w:rPr>
        <w:t>,</w:t>
      </w:r>
      <w:r w:rsidRPr="00DD1B58">
        <w:rPr>
          <w:rFonts w:eastAsia="Arial"/>
          <w:szCs w:val="24"/>
          <w:lang w:val="en-US"/>
        </w:rPr>
        <w:t xml:space="preserve"> NUREG-6850</w:t>
      </w:r>
      <w:r w:rsidR="004B2859" w:rsidRPr="00DD1B58">
        <w:rPr>
          <w:rFonts w:eastAsia="Arial"/>
          <w:szCs w:val="24"/>
          <w:lang w:val="en-US"/>
        </w:rPr>
        <w:t xml:space="preserve"> </w:t>
      </w:r>
      <w:sdt>
        <w:sdtPr>
          <w:rPr>
            <w:rFonts w:eastAsia="Arial"/>
            <w:szCs w:val="24"/>
            <w:lang w:val="en-US"/>
          </w:rPr>
          <w:id w:val="-1480840228"/>
          <w:citation/>
        </w:sdtPr>
        <w:sdtContent>
          <w:r w:rsidR="00FF4F5E" w:rsidRPr="00DD1B58">
            <w:rPr>
              <w:rFonts w:eastAsia="Arial"/>
              <w:szCs w:val="24"/>
              <w:lang w:val="en-US"/>
            </w:rPr>
            <w:fldChar w:fldCharType="begin"/>
          </w:r>
          <w:r w:rsidR="00FF4F5E" w:rsidRPr="00DD1B58">
            <w:rPr>
              <w:rFonts w:eastAsia="Arial"/>
              <w:szCs w:val="24"/>
              <w:lang w:val="en-US"/>
            </w:rPr>
            <w:instrText xml:space="preserve"> CITATION USN05 \l 2057 </w:instrText>
          </w:r>
          <w:r w:rsidR="00FF4F5E" w:rsidRPr="00DD1B58">
            <w:rPr>
              <w:rFonts w:eastAsia="Arial"/>
              <w:szCs w:val="24"/>
              <w:lang w:val="en-US"/>
            </w:rPr>
            <w:fldChar w:fldCharType="separate"/>
          </w:r>
          <w:r w:rsidR="00DF47DA" w:rsidRPr="00DF47DA">
            <w:rPr>
              <w:rFonts w:eastAsia="Arial"/>
              <w:noProof/>
              <w:szCs w:val="24"/>
              <w:lang w:val="en-US"/>
            </w:rPr>
            <w:t>[36]</w:t>
          </w:r>
          <w:r w:rsidR="00FF4F5E" w:rsidRPr="00DD1B58">
            <w:rPr>
              <w:rFonts w:eastAsia="Arial"/>
              <w:szCs w:val="24"/>
              <w:lang w:val="en-US"/>
            </w:rPr>
            <w:fldChar w:fldCharType="end"/>
          </w:r>
        </w:sdtContent>
      </w:sdt>
      <w:r w:rsidRPr="00DD1B58">
        <w:rPr>
          <w:rFonts w:eastAsia="Arial"/>
          <w:szCs w:val="24"/>
          <w:lang w:val="en-US"/>
        </w:rPr>
        <w:t xml:space="preserve">).  ONR mandated </w:t>
      </w:r>
      <w:r w:rsidR="005E10AD" w:rsidRPr="00DD1B58">
        <w:rPr>
          <w:rFonts w:eastAsia="Arial"/>
          <w:szCs w:val="24"/>
          <w:lang w:val="en-US"/>
        </w:rPr>
        <w:t xml:space="preserve">a </w:t>
      </w:r>
      <w:r w:rsidRPr="00DD1B58">
        <w:rPr>
          <w:rFonts w:eastAsia="Arial"/>
          <w:szCs w:val="24"/>
          <w:lang w:val="en-US"/>
        </w:rPr>
        <w:t xml:space="preserve">pilot fire PSA </w:t>
      </w:r>
      <w:r w:rsidR="005E10AD" w:rsidRPr="00DD1B58">
        <w:rPr>
          <w:rFonts w:eastAsia="Arial"/>
          <w:szCs w:val="24"/>
          <w:lang w:val="en-US"/>
        </w:rPr>
        <w:t xml:space="preserve">to be </w:t>
      </w:r>
      <w:r w:rsidRPr="00DD1B58">
        <w:rPr>
          <w:rFonts w:eastAsia="Arial"/>
          <w:szCs w:val="24"/>
          <w:lang w:val="en-US"/>
        </w:rPr>
        <w:t xml:space="preserve">undertaken for </w:t>
      </w:r>
      <w:r w:rsidR="00A02456" w:rsidRPr="00DD1B58">
        <w:rPr>
          <w:rFonts w:eastAsia="Arial"/>
          <w:szCs w:val="24"/>
          <w:lang w:val="en-US"/>
        </w:rPr>
        <w:t>HP</w:t>
      </w:r>
      <w:r w:rsidRPr="00DD1B58">
        <w:rPr>
          <w:rFonts w:eastAsia="Arial"/>
          <w:szCs w:val="24"/>
          <w:lang w:val="en-US"/>
        </w:rPr>
        <w:t xml:space="preserve">B </w:t>
      </w:r>
      <w:r w:rsidR="00C61931" w:rsidRPr="00DD1B58">
        <w:rPr>
          <w:rFonts w:eastAsia="Arial"/>
          <w:szCs w:val="24"/>
          <w:lang w:val="en-US"/>
        </w:rPr>
        <w:t>(the sister station to H</w:t>
      </w:r>
      <w:r w:rsidR="00AE455F" w:rsidRPr="00DD1B58">
        <w:rPr>
          <w:rFonts w:eastAsia="Arial"/>
          <w:szCs w:val="24"/>
          <w:lang w:val="en-US"/>
        </w:rPr>
        <w:t>NB</w:t>
      </w:r>
      <w:r w:rsidR="00C61931" w:rsidRPr="00DD1B58">
        <w:rPr>
          <w:rFonts w:eastAsia="Arial"/>
          <w:szCs w:val="24"/>
          <w:lang w:val="en-US"/>
        </w:rPr>
        <w:t xml:space="preserve">) </w:t>
      </w:r>
      <w:r w:rsidRPr="00DD1B58">
        <w:rPr>
          <w:rFonts w:eastAsia="Arial"/>
          <w:szCs w:val="24"/>
          <w:lang w:val="en-US"/>
        </w:rPr>
        <w:t>follow</w:t>
      </w:r>
      <w:r w:rsidR="005E10AD" w:rsidRPr="00DD1B58">
        <w:rPr>
          <w:rFonts w:eastAsia="Arial"/>
          <w:szCs w:val="24"/>
          <w:lang w:val="en-US"/>
        </w:rPr>
        <w:t>ing</w:t>
      </w:r>
      <w:r w:rsidRPr="00DD1B58">
        <w:rPr>
          <w:rFonts w:eastAsia="Arial"/>
          <w:szCs w:val="24"/>
          <w:lang w:val="en-US"/>
        </w:rPr>
        <w:t xml:space="preserve"> the standard industry guidance</w:t>
      </w:r>
      <w:r w:rsidR="005E10AD" w:rsidRPr="00DD1B58">
        <w:rPr>
          <w:rFonts w:eastAsia="Arial"/>
          <w:szCs w:val="24"/>
          <w:lang w:val="en-US"/>
        </w:rPr>
        <w:t xml:space="preserve"> </w:t>
      </w:r>
      <w:r w:rsidR="008A0E97" w:rsidRPr="00DD1B58">
        <w:rPr>
          <w:rFonts w:eastAsia="Arial"/>
          <w:szCs w:val="24"/>
          <w:lang w:val="en-US"/>
        </w:rPr>
        <w:t xml:space="preserve">(e.g., NUREG-6850 </w:t>
      </w:r>
      <w:sdt>
        <w:sdtPr>
          <w:rPr>
            <w:rFonts w:eastAsia="Arial"/>
            <w:szCs w:val="24"/>
            <w:lang w:val="en-US"/>
          </w:rPr>
          <w:id w:val="-248110706"/>
          <w:citation/>
        </w:sdtPr>
        <w:sdtContent>
          <w:r w:rsidR="008A0E97" w:rsidRPr="00DD1B58">
            <w:rPr>
              <w:rFonts w:eastAsia="Arial"/>
              <w:szCs w:val="24"/>
              <w:lang w:val="en-US"/>
            </w:rPr>
            <w:fldChar w:fldCharType="begin"/>
          </w:r>
          <w:r w:rsidR="008A0E97" w:rsidRPr="00DD1B58">
            <w:rPr>
              <w:rFonts w:eastAsia="Arial"/>
              <w:szCs w:val="24"/>
              <w:lang w:val="en-US"/>
            </w:rPr>
            <w:instrText xml:space="preserve"> CITATION USN05 \l 2057 </w:instrText>
          </w:r>
          <w:r w:rsidR="008A0E97" w:rsidRPr="00DD1B58">
            <w:rPr>
              <w:rFonts w:eastAsia="Arial"/>
              <w:szCs w:val="24"/>
              <w:lang w:val="en-US"/>
            </w:rPr>
            <w:fldChar w:fldCharType="separate"/>
          </w:r>
          <w:r w:rsidR="00DF47DA" w:rsidRPr="00DF47DA">
            <w:rPr>
              <w:rFonts w:eastAsia="Arial"/>
              <w:noProof/>
              <w:szCs w:val="24"/>
              <w:lang w:val="en-US"/>
            </w:rPr>
            <w:t>[36]</w:t>
          </w:r>
          <w:r w:rsidR="008A0E97" w:rsidRPr="00DD1B58">
            <w:rPr>
              <w:rFonts w:eastAsia="Arial"/>
              <w:szCs w:val="24"/>
              <w:lang w:val="en-US"/>
            </w:rPr>
            <w:fldChar w:fldCharType="end"/>
          </w:r>
        </w:sdtContent>
      </w:sdt>
      <w:r w:rsidR="008A0E97" w:rsidRPr="00DD1B58">
        <w:rPr>
          <w:rFonts w:eastAsia="Arial"/>
          <w:szCs w:val="24"/>
          <w:lang w:val="en-US"/>
        </w:rPr>
        <w:t>)</w:t>
      </w:r>
      <w:r w:rsidR="008A0E97" w:rsidRPr="00DD1B58" w:rsidDel="008A0E97">
        <w:rPr>
          <w:rFonts w:eastAsia="Arial"/>
          <w:szCs w:val="24"/>
          <w:lang w:val="en-US"/>
        </w:rPr>
        <w:t xml:space="preserve"> </w:t>
      </w:r>
      <w:r w:rsidRPr="00DD1B58">
        <w:rPr>
          <w:rFonts w:eastAsia="Arial"/>
          <w:szCs w:val="24"/>
          <w:lang w:val="en-US"/>
        </w:rPr>
        <w:t xml:space="preserve">No significant gaps were identified between the results from this pilot fire PSA and the existing fire PSA modelling. Therefore, given the </w:t>
      </w:r>
      <w:r w:rsidR="00A02456" w:rsidRPr="00DD1B58">
        <w:rPr>
          <w:rFonts w:eastAsia="Arial"/>
          <w:szCs w:val="24"/>
          <w:lang w:val="en-US"/>
        </w:rPr>
        <w:t xml:space="preserve">limited remaining </w:t>
      </w:r>
      <w:r w:rsidRPr="00DD1B58">
        <w:rPr>
          <w:rFonts w:eastAsia="Arial"/>
          <w:szCs w:val="24"/>
          <w:lang w:val="en-US"/>
        </w:rPr>
        <w:t xml:space="preserve">operating </w:t>
      </w:r>
      <w:r w:rsidR="00A02456" w:rsidRPr="00DD1B58">
        <w:rPr>
          <w:rFonts w:eastAsia="Arial"/>
          <w:szCs w:val="24"/>
          <w:lang w:val="en-US"/>
        </w:rPr>
        <w:t xml:space="preserve">life </w:t>
      </w:r>
      <w:r w:rsidRPr="00DD1B58">
        <w:rPr>
          <w:rFonts w:eastAsia="Arial"/>
          <w:szCs w:val="24"/>
          <w:lang w:val="en-US"/>
        </w:rPr>
        <w:t xml:space="preserve">for AGRs, </w:t>
      </w:r>
      <w:r w:rsidR="00C362CA" w:rsidRPr="00DD1B58">
        <w:rPr>
          <w:rFonts w:eastAsia="Arial"/>
          <w:szCs w:val="24"/>
          <w:lang w:val="en-US"/>
        </w:rPr>
        <w:t>EDF NGL</w:t>
      </w:r>
      <w:r w:rsidR="00C6728C" w:rsidRPr="00DD1B58">
        <w:rPr>
          <w:rFonts w:eastAsia="Arial"/>
          <w:szCs w:val="24"/>
          <w:lang w:val="en-US"/>
        </w:rPr>
        <w:t xml:space="preserve"> concluded that the development of</w:t>
      </w:r>
      <w:r w:rsidRPr="00DD1B58">
        <w:rPr>
          <w:rFonts w:eastAsia="Arial"/>
          <w:szCs w:val="24"/>
          <w:lang w:val="en-US"/>
        </w:rPr>
        <w:t xml:space="preserve"> new fire PSA models </w:t>
      </w:r>
      <w:r w:rsidR="00C6728C" w:rsidRPr="00DD1B58">
        <w:rPr>
          <w:rFonts w:eastAsia="Arial"/>
          <w:szCs w:val="24"/>
          <w:lang w:val="en-US"/>
        </w:rPr>
        <w:t>for other AGR stations</w:t>
      </w:r>
      <w:r w:rsidRPr="00DD1B58">
        <w:rPr>
          <w:rFonts w:eastAsia="Arial"/>
          <w:szCs w:val="24"/>
          <w:lang w:val="en-US"/>
        </w:rPr>
        <w:t xml:space="preserve"> </w:t>
      </w:r>
      <w:r w:rsidR="00C6728C" w:rsidRPr="00DD1B58">
        <w:rPr>
          <w:rFonts w:eastAsia="Arial"/>
          <w:szCs w:val="24"/>
          <w:lang w:val="en-US"/>
        </w:rPr>
        <w:t>following</w:t>
      </w:r>
      <w:r w:rsidRPr="00DD1B58">
        <w:rPr>
          <w:rFonts w:eastAsia="Arial"/>
          <w:szCs w:val="24"/>
          <w:lang w:val="en-US"/>
        </w:rPr>
        <w:t xml:space="preserve"> </w:t>
      </w:r>
      <w:r w:rsidR="00C6728C" w:rsidRPr="00DD1B58">
        <w:rPr>
          <w:rFonts w:eastAsia="Arial"/>
          <w:szCs w:val="24"/>
          <w:lang w:val="en-US"/>
        </w:rPr>
        <w:t xml:space="preserve">current </w:t>
      </w:r>
      <w:r w:rsidRPr="00DD1B58">
        <w:rPr>
          <w:rFonts w:eastAsia="Arial"/>
          <w:szCs w:val="24"/>
          <w:lang w:val="en-US"/>
        </w:rPr>
        <w:t xml:space="preserve">industry guidance </w:t>
      </w:r>
      <w:r w:rsidR="00C6728C" w:rsidRPr="00DD1B58">
        <w:rPr>
          <w:rFonts w:eastAsia="Arial"/>
          <w:szCs w:val="24"/>
          <w:lang w:val="en-US"/>
        </w:rPr>
        <w:t xml:space="preserve">would be grossly disproportionate, a position </w:t>
      </w:r>
      <w:r w:rsidRPr="00DD1B58">
        <w:rPr>
          <w:rFonts w:eastAsia="Arial"/>
          <w:szCs w:val="24"/>
          <w:lang w:val="en-US"/>
        </w:rPr>
        <w:t xml:space="preserve">accepted by ONR. </w:t>
      </w:r>
    </w:p>
    <w:p w14:paraId="19A2F788" w14:textId="02C10E3C" w:rsidR="00782C17" w:rsidRPr="00DD1B58" w:rsidRDefault="001575D7" w:rsidP="3FE0E35C">
      <w:pPr>
        <w:spacing w:line="257" w:lineRule="auto"/>
        <w:rPr>
          <w:rFonts w:eastAsia="Arial"/>
          <w:szCs w:val="24"/>
          <w:lang w:val="en-US"/>
        </w:rPr>
      </w:pPr>
      <w:r w:rsidRPr="00DD1B58">
        <w:rPr>
          <w:rFonts w:eastAsia="Arial"/>
          <w:szCs w:val="24"/>
          <w:lang w:val="en-US"/>
        </w:rPr>
        <w:t>SZ</w:t>
      </w:r>
      <w:r w:rsidR="7DF61957" w:rsidRPr="00DD1B58">
        <w:rPr>
          <w:rFonts w:eastAsia="Arial"/>
          <w:szCs w:val="24"/>
          <w:lang w:val="en-US"/>
        </w:rPr>
        <w:t>B</w:t>
      </w:r>
      <w:r w:rsidRPr="00DD1B58">
        <w:rPr>
          <w:rFonts w:eastAsia="Arial"/>
          <w:szCs w:val="24"/>
          <w:lang w:val="en-US"/>
        </w:rPr>
        <w:t>’s</w:t>
      </w:r>
      <w:r w:rsidR="7DF61957" w:rsidRPr="00DD1B58">
        <w:rPr>
          <w:rFonts w:eastAsia="Arial"/>
          <w:szCs w:val="24"/>
          <w:lang w:val="en-US"/>
        </w:rPr>
        <w:t xml:space="preserve"> fire PSA is based on the station deterministic fire safety case and does not follow modern industry guidance</w:t>
      </w:r>
      <w:r w:rsidR="000832C7" w:rsidRPr="00DD1B58">
        <w:rPr>
          <w:rFonts w:eastAsia="Arial"/>
          <w:szCs w:val="24"/>
          <w:lang w:val="en-US"/>
        </w:rPr>
        <w:t xml:space="preserve"> (e.g., NUREG-6850 </w:t>
      </w:r>
      <w:sdt>
        <w:sdtPr>
          <w:rPr>
            <w:rFonts w:eastAsia="Arial"/>
            <w:szCs w:val="24"/>
            <w:lang w:val="en-US"/>
          </w:rPr>
          <w:id w:val="-1313707803"/>
          <w:citation/>
        </w:sdtPr>
        <w:sdtContent>
          <w:r w:rsidR="000832C7" w:rsidRPr="00DD1B58">
            <w:rPr>
              <w:rFonts w:eastAsia="Arial"/>
              <w:szCs w:val="24"/>
              <w:lang w:val="en-US"/>
            </w:rPr>
            <w:fldChar w:fldCharType="begin"/>
          </w:r>
          <w:r w:rsidR="000832C7" w:rsidRPr="00DD1B58">
            <w:rPr>
              <w:rFonts w:eastAsia="Arial"/>
              <w:szCs w:val="24"/>
              <w:lang w:val="en-US"/>
            </w:rPr>
            <w:instrText xml:space="preserve"> CITATION USN05 \l 2057 </w:instrText>
          </w:r>
          <w:r w:rsidR="000832C7" w:rsidRPr="00DD1B58">
            <w:rPr>
              <w:rFonts w:eastAsia="Arial"/>
              <w:szCs w:val="24"/>
              <w:lang w:val="en-US"/>
            </w:rPr>
            <w:fldChar w:fldCharType="separate"/>
          </w:r>
          <w:r w:rsidR="00DF47DA" w:rsidRPr="00DF47DA">
            <w:rPr>
              <w:rFonts w:eastAsia="Arial"/>
              <w:noProof/>
              <w:szCs w:val="24"/>
              <w:lang w:val="en-US"/>
            </w:rPr>
            <w:t>[36]</w:t>
          </w:r>
          <w:r w:rsidR="000832C7" w:rsidRPr="00DD1B58">
            <w:rPr>
              <w:rFonts w:eastAsia="Arial"/>
              <w:szCs w:val="24"/>
              <w:lang w:val="en-US"/>
            </w:rPr>
            <w:fldChar w:fldCharType="end"/>
          </w:r>
        </w:sdtContent>
      </w:sdt>
      <w:r w:rsidR="00271917" w:rsidRPr="00DD1B58">
        <w:rPr>
          <w:rFonts w:eastAsia="Arial"/>
          <w:szCs w:val="24"/>
          <w:lang w:val="en-US"/>
        </w:rPr>
        <w:t>)</w:t>
      </w:r>
      <w:r w:rsidR="7DF61957" w:rsidRPr="00DD1B58">
        <w:rPr>
          <w:rFonts w:eastAsia="Arial"/>
          <w:szCs w:val="24"/>
          <w:lang w:val="en-US"/>
        </w:rPr>
        <w:t xml:space="preserve">. Report </w:t>
      </w:r>
      <w:r w:rsidR="00D83C33" w:rsidRPr="00DD1B58">
        <w:rPr>
          <w:rFonts w:eastAsia="Arial"/>
          <w:szCs w:val="24"/>
          <w:lang w:val="en-US"/>
        </w:rPr>
        <w:t>S</w:t>
      </w:r>
      <w:r w:rsidR="7DF61957" w:rsidRPr="00DD1B58">
        <w:rPr>
          <w:rFonts w:eastAsia="Arial"/>
          <w:szCs w:val="24"/>
          <w:lang w:val="en-US"/>
        </w:rPr>
        <w:t>ection I2.1.1.10 states under Sizewell B</w:t>
      </w:r>
      <w:r w:rsidR="00782C17" w:rsidRPr="00DD1B58">
        <w:rPr>
          <w:rFonts w:eastAsia="Arial"/>
          <w:szCs w:val="24"/>
          <w:lang w:val="en-US"/>
        </w:rPr>
        <w:t>:</w:t>
      </w:r>
    </w:p>
    <w:p w14:paraId="18AD4002" w14:textId="4CF03400" w:rsidR="00782C17" w:rsidRPr="00DD1B58" w:rsidRDefault="7DF61957" w:rsidP="00973FF4">
      <w:pPr>
        <w:pStyle w:val="QuoteText"/>
        <w:rPr>
          <w:lang w:val="en-US"/>
        </w:rPr>
      </w:pPr>
      <w:r w:rsidRPr="00DD1B58">
        <w:rPr>
          <w:lang w:val="en-US"/>
        </w:rPr>
        <w:t xml:space="preserve">The deterministic fire assessment and the PSA fire assessment have been considered in the three PSRs carried out to date. </w:t>
      </w:r>
      <w:r w:rsidR="00C50A20" w:rsidRPr="00DD1B58">
        <w:rPr>
          <w:lang w:val="en-US"/>
        </w:rPr>
        <w:t>EDF-NGL</w:t>
      </w:r>
      <w:r w:rsidR="00A0591B" w:rsidRPr="00DD1B58">
        <w:rPr>
          <w:lang w:val="en-US"/>
        </w:rPr>
        <w:t xml:space="preserve"> state</w:t>
      </w:r>
      <w:r w:rsidR="004809D1" w:rsidRPr="00DD1B58">
        <w:rPr>
          <w:lang w:val="en-US"/>
        </w:rPr>
        <w:t>s</w:t>
      </w:r>
      <w:r w:rsidR="00A0591B" w:rsidRPr="00DD1B58">
        <w:rPr>
          <w:lang w:val="en-US"/>
        </w:rPr>
        <w:t xml:space="preserve"> that n</w:t>
      </w:r>
      <w:r w:rsidRPr="00DD1B58">
        <w:rPr>
          <w:lang w:val="en-US"/>
        </w:rPr>
        <w:t>o significant changes have been considered necessary.</w:t>
      </w:r>
    </w:p>
    <w:p w14:paraId="497D5602" w14:textId="3C1D5E39" w:rsidR="00DB3279" w:rsidRPr="00DD1B58" w:rsidRDefault="005D4468" w:rsidP="3FE0E35C">
      <w:pPr>
        <w:spacing w:line="257" w:lineRule="auto"/>
        <w:rPr>
          <w:lang w:val="en-US"/>
        </w:rPr>
      </w:pPr>
      <w:r w:rsidRPr="00DD1B58">
        <w:rPr>
          <w:rFonts w:eastAsia="Arial"/>
          <w:szCs w:val="24"/>
          <w:lang w:val="en-US"/>
        </w:rPr>
        <w:lastRenderedPageBreak/>
        <w:t>SZB</w:t>
      </w:r>
      <w:r w:rsidR="001F7464" w:rsidRPr="00DD1B58">
        <w:rPr>
          <w:rFonts w:eastAsia="Arial"/>
          <w:szCs w:val="24"/>
          <w:lang w:val="en-US"/>
        </w:rPr>
        <w:t>’s</w:t>
      </w:r>
      <w:r w:rsidR="7DF61957" w:rsidRPr="00DD1B58">
        <w:rPr>
          <w:rFonts w:eastAsia="Arial"/>
          <w:szCs w:val="24"/>
          <w:lang w:val="en-US"/>
        </w:rPr>
        <w:t xml:space="preserve"> PSR3 </w:t>
      </w:r>
      <w:r w:rsidR="005C3AF8" w:rsidRPr="00DD1B58">
        <w:rPr>
          <w:rFonts w:eastAsia="Arial"/>
          <w:szCs w:val="24"/>
          <w:lang w:val="en-US"/>
        </w:rPr>
        <w:t xml:space="preserve">is </w:t>
      </w:r>
      <w:r w:rsidR="001F7464" w:rsidRPr="00DD1B58">
        <w:rPr>
          <w:rFonts w:eastAsia="Arial"/>
          <w:szCs w:val="24"/>
          <w:lang w:val="en-US"/>
        </w:rPr>
        <w:t xml:space="preserve">expected to be </w:t>
      </w:r>
      <w:r w:rsidR="00424DEB" w:rsidRPr="00DD1B58">
        <w:rPr>
          <w:rFonts w:eastAsia="Arial"/>
          <w:szCs w:val="24"/>
          <w:lang w:val="en-US"/>
        </w:rPr>
        <w:t>submitted to ONR</w:t>
      </w:r>
      <w:r w:rsidR="00424DEB" w:rsidRPr="00DD1B58" w:rsidDel="00832B37">
        <w:rPr>
          <w:rFonts w:eastAsia="Arial"/>
          <w:szCs w:val="24"/>
          <w:lang w:val="en-US"/>
        </w:rPr>
        <w:t xml:space="preserve"> </w:t>
      </w:r>
      <w:r w:rsidR="005C3AF8" w:rsidRPr="00DD1B58">
        <w:rPr>
          <w:rFonts w:eastAsia="Arial"/>
          <w:szCs w:val="24"/>
          <w:lang w:val="en-US"/>
        </w:rPr>
        <w:t>in early 2024</w:t>
      </w:r>
      <w:r w:rsidR="00D40F7A" w:rsidRPr="00DD1B58">
        <w:rPr>
          <w:rFonts w:eastAsia="Arial"/>
          <w:szCs w:val="24"/>
          <w:lang w:val="en-US"/>
        </w:rPr>
        <w:t xml:space="preserve">. </w:t>
      </w:r>
      <w:r w:rsidR="009F7525" w:rsidRPr="00DD1B58">
        <w:rPr>
          <w:rFonts w:eastAsia="Arial"/>
          <w:szCs w:val="24"/>
          <w:lang w:val="en-US"/>
        </w:rPr>
        <w:t xml:space="preserve">ONR </w:t>
      </w:r>
      <w:r w:rsidR="00D40F7A" w:rsidRPr="00DD1B58">
        <w:rPr>
          <w:rFonts w:eastAsia="Arial"/>
          <w:szCs w:val="24"/>
          <w:lang w:val="en-US"/>
        </w:rPr>
        <w:t>will</w:t>
      </w:r>
      <w:r w:rsidR="009F7525" w:rsidRPr="00DD1B58">
        <w:rPr>
          <w:rFonts w:eastAsia="Arial"/>
          <w:szCs w:val="24"/>
          <w:lang w:val="en-US"/>
        </w:rPr>
        <w:t xml:space="preserve"> assess </w:t>
      </w:r>
      <w:r w:rsidR="00D40F7A" w:rsidRPr="00DD1B58">
        <w:rPr>
          <w:rFonts w:eastAsia="Arial"/>
          <w:szCs w:val="24"/>
          <w:lang w:val="en-US"/>
        </w:rPr>
        <w:t xml:space="preserve">the </w:t>
      </w:r>
      <w:r w:rsidR="009F7525" w:rsidRPr="00DD1B58">
        <w:rPr>
          <w:rFonts w:eastAsia="Arial"/>
          <w:szCs w:val="24"/>
          <w:lang w:val="en-US"/>
        </w:rPr>
        <w:t>PSR</w:t>
      </w:r>
      <w:r w:rsidR="00D40F7A" w:rsidRPr="00DD1B58">
        <w:rPr>
          <w:rFonts w:eastAsia="Arial"/>
          <w:szCs w:val="24"/>
          <w:lang w:val="en-US"/>
        </w:rPr>
        <w:t xml:space="preserve"> at </w:t>
      </w:r>
      <w:r w:rsidR="00EC7D3A" w:rsidRPr="00DD1B58">
        <w:rPr>
          <w:rFonts w:eastAsia="Arial"/>
          <w:szCs w:val="24"/>
          <w:lang w:val="en-US"/>
        </w:rPr>
        <w:t>that point and it is therefore premature to make a judgement at the time of writing this report.</w:t>
      </w:r>
    </w:p>
    <w:p w14:paraId="685956ED" w14:textId="77777777" w:rsidR="00DB3279" w:rsidRPr="00DD1B58" w:rsidRDefault="7DF61957" w:rsidP="00973FF4">
      <w:pPr>
        <w:keepNext/>
        <w:rPr>
          <w:lang w:val="en-US"/>
        </w:rPr>
      </w:pPr>
      <w:r w:rsidRPr="00DD1B58">
        <w:rPr>
          <w:rFonts w:eastAsia="Arial"/>
          <w:b/>
          <w:szCs w:val="24"/>
          <w:lang w:val="en-US"/>
        </w:rPr>
        <w:t>Periodic safety review</w:t>
      </w:r>
      <w:r w:rsidRPr="00DD1B58">
        <w:rPr>
          <w:rFonts w:eastAsia="Arial"/>
          <w:szCs w:val="24"/>
          <w:lang w:val="en-US"/>
        </w:rPr>
        <w:t xml:space="preserve"> </w:t>
      </w:r>
    </w:p>
    <w:p w14:paraId="3A63479F" w14:textId="05CBF7D0" w:rsidR="00DB3279" w:rsidRPr="00DD1B58" w:rsidRDefault="00C362CA" w:rsidP="3FE0E35C">
      <w:pPr>
        <w:rPr>
          <w:lang w:val="en-US"/>
        </w:rPr>
      </w:pPr>
      <w:r w:rsidRPr="00DD1B58">
        <w:rPr>
          <w:rFonts w:eastAsia="Arial"/>
          <w:szCs w:val="24"/>
          <w:lang w:val="en-US"/>
        </w:rPr>
        <w:t>EDF NGL</w:t>
      </w:r>
      <w:r w:rsidR="000959AD" w:rsidRPr="00DD1B58">
        <w:rPr>
          <w:rFonts w:eastAsia="Arial"/>
          <w:szCs w:val="24"/>
          <w:lang w:val="en-US"/>
        </w:rPr>
        <w:t xml:space="preserve"> conducts </w:t>
      </w:r>
      <w:r w:rsidR="7DF61957" w:rsidRPr="00DD1B58">
        <w:rPr>
          <w:rFonts w:eastAsia="Arial"/>
          <w:szCs w:val="24"/>
          <w:lang w:val="en-US"/>
        </w:rPr>
        <w:t>PSR</w:t>
      </w:r>
      <w:r w:rsidR="000959AD" w:rsidRPr="00DD1B58">
        <w:rPr>
          <w:rFonts w:eastAsia="Arial"/>
          <w:szCs w:val="24"/>
          <w:lang w:val="en-US"/>
        </w:rPr>
        <w:t>s</w:t>
      </w:r>
      <w:r w:rsidR="7DF61957" w:rsidRPr="00DD1B58">
        <w:rPr>
          <w:rFonts w:eastAsia="Arial"/>
          <w:szCs w:val="24"/>
          <w:lang w:val="en-US"/>
        </w:rPr>
        <w:t xml:space="preserve"> </w:t>
      </w:r>
      <w:r w:rsidR="000959AD" w:rsidRPr="00DD1B58">
        <w:rPr>
          <w:rFonts w:eastAsia="Arial"/>
          <w:szCs w:val="24"/>
          <w:lang w:val="en-US"/>
        </w:rPr>
        <w:t>on a</w:t>
      </w:r>
      <w:r w:rsidR="7DF61957" w:rsidRPr="00DD1B58">
        <w:rPr>
          <w:rFonts w:eastAsia="Arial"/>
          <w:szCs w:val="24"/>
          <w:lang w:val="en-US"/>
        </w:rPr>
        <w:t xml:space="preserve"> ten-</w:t>
      </w:r>
      <w:r w:rsidR="000959AD" w:rsidRPr="00DD1B58">
        <w:rPr>
          <w:rFonts w:eastAsia="Arial"/>
          <w:szCs w:val="24"/>
          <w:lang w:val="en-US"/>
        </w:rPr>
        <w:t>year cycle</w:t>
      </w:r>
      <w:r w:rsidR="7DF61957" w:rsidRPr="00DD1B58">
        <w:rPr>
          <w:rFonts w:eastAsia="Arial"/>
          <w:szCs w:val="24"/>
          <w:lang w:val="en-US"/>
        </w:rPr>
        <w:t xml:space="preserve"> </w:t>
      </w:r>
      <w:r w:rsidR="000959AD" w:rsidRPr="00DD1B58">
        <w:rPr>
          <w:rFonts w:eastAsia="Arial"/>
          <w:szCs w:val="24"/>
          <w:lang w:val="en-US"/>
        </w:rPr>
        <w:t>to meet ONR requirements in Licence Condition 15</w:t>
      </w:r>
      <w:r w:rsidR="7DF61957" w:rsidRPr="00DD1B58">
        <w:rPr>
          <w:rFonts w:eastAsia="Arial"/>
          <w:szCs w:val="24"/>
          <w:lang w:val="en-US"/>
        </w:rPr>
        <w:t xml:space="preserve">. ONR </w:t>
      </w:r>
      <w:r w:rsidR="00B168AD" w:rsidRPr="00DD1B58">
        <w:rPr>
          <w:rFonts w:eastAsia="Arial"/>
          <w:szCs w:val="24"/>
          <w:lang w:val="en-US"/>
        </w:rPr>
        <w:t xml:space="preserve">has assessed </w:t>
      </w:r>
      <w:r w:rsidRPr="00DD1B58">
        <w:rPr>
          <w:rFonts w:eastAsia="Arial"/>
          <w:szCs w:val="24"/>
          <w:lang w:val="en-US"/>
        </w:rPr>
        <w:t>EDF NGL</w:t>
      </w:r>
      <w:r w:rsidR="00782C17" w:rsidRPr="00DD1B58">
        <w:rPr>
          <w:rFonts w:eastAsia="Arial"/>
          <w:szCs w:val="24"/>
          <w:lang w:val="en-US"/>
        </w:rPr>
        <w:t xml:space="preserve">’s </w:t>
      </w:r>
      <w:r w:rsidR="00B168AD" w:rsidRPr="00DD1B58">
        <w:rPr>
          <w:rFonts w:eastAsia="Arial"/>
          <w:szCs w:val="24"/>
          <w:lang w:val="en-US"/>
        </w:rPr>
        <w:t>PSR arrangements and concluded that</w:t>
      </w:r>
      <w:r w:rsidR="7DF61957" w:rsidRPr="00DD1B58">
        <w:rPr>
          <w:rFonts w:eastAsia="Arial"/>
          <w:szCs w:val="24"/>
          <w:lang w:val="en-US"/>
        </w:rPr>
        <w:t xml:space="preserve"> fire as an internal hazard is </w:t>
      </w:r>
      <w:r w:rsidR="00B168AD" w:rsidRPr="00DD1B58">
        <w:rPr>
          <w:rFonts w:eastAsia="Arial"/>
          <w:szCs w:val="24"/>
          <w:lang w:val="en-US"/>
        </w:rPr>
        <w:t>adequately considered in the licensee’s PSR</w:t>
      </w:r>
      <w:r w:rsidR="7DF61957" w:rsidRPr="00DD1B58">
        <w:rPr>
          <w:rFonts w:eastAsia="Arial"/>
          <w:szCs w:val="24"/>
          <w:lang w:val="en-US"/>
        </w:rPr>
        <w:t xml:space="preserve"> </w:t>
      </w:r>
      <w:r w:rsidR="00B168AD" w:rsidRPr="00DD1B58">
        <w:rPr>
          <w:rFonts w:eastAsia="Arial"/>
          <w:szCs w:val="24"/>
          <w:lang w:val="en-US"/>
        </w:rPr>
        <w:t>and in line with</w:t>
      </w:r>
      <w:r w:rsidR="7DF61957" w:rsidRPr="00DD1B58">
        <w:rPr>
          <w:rFonts w:eastAsia="Arial"/>
          <w:szCs w:val="24"/>
          <w:lang w:val="en-US"/>
        </w:rPr>
        <w:t xml:space="preserve"> IAEA Safety Guide SSG-25</w:t>
      </w:r>
      <w:r w:rsidR="00B168AD" w:rsidRPr="00DD1B58">
        <w:rPr>
          <w:rFonts w:eastAsia="Arial"/>
          <w:szCs w:val="24"/>
          <w:lang w:val="en-US"/>
        </w:rPr>
        <w:t xml:space="preserve"> </w:t>
      </w:r>
      <w:sdt>
        <w:sdtPr>
          <w:rPr>
            <w:rFonts w:eastAsia="Arial"/>
            <w:szCs w:val="24"/>
            <w:lang w:val="en-US"/>
          </w:rPr>
          <w:id w:val="-374937178"/>
          <w:citation/>
        </w:sdtPr>
        <w:sdtContent>
          <w:r w:rsidR="003A5AEC" w:rsidRPr="00DD1B58">
            <w:rPr>
              <w:rFonts w:eastAsia="Arial"/>
              <w:szCs w:val="24"/>
              <w:lang w:val="en-US"/>
            </w:rPr>
            <w:fldChar w:fldCharType="begin"/>
          </w:r>
          <w:r w:rsidR="003A5AEC" w:rsidRPr="00DD1B58">
            <w:rPr>
              <w:rFonts w:eastAsia="Arial"/>
              <w:szCs w:val="24"/>
              <w:lang w:val="en-US"/>
            </w:rPr>
            <w:instrText xml:space="preserve"> CITATION IAE13 \l 2057 </w:instrText>
          </w:r>
          <w:r w:rsidR="003A5AEC" w:rsidRPr="00DD1B58">
            <w:rPr>
              <w:rFonts w:eastAsia="Arial"/>
              <w:szCs w:val="24"/>
              <w:lang w:val="en-US"/>
            </w:rPr>
            <w:fldChar w:fldCharType="separate"/>
          </w:r>
          <w:r w:rsidR="00DF47DA" w:rsidRPr="00DF47DA">
            <w:rPr>
              <w:rFonts w:eastAsia="Arial"/>
              <w:noProof/>
              <w:szCs w:val="24"/>
              <w:lang w:val="en-US"/>
            </w:rPr>
            <w:t>[32]</w:t>
          </w:r>
          <w:r w:rsidR="003A5AEC" w:rsidRPr="00DD1B58">
            <w:rPr>
              <w:rFonts w:eastAsia="Arial"/>
              <w:szCs w:val="24"/>
              <w:lang w:val="en-US"/>
            </w:rPr>
            <w:fldChar w:fldCharType="end"/>
          </w:r>
        </w:sdtContent>
      </w:sdt>
      <w:r w:rsidR="00A00D4A" w:rsidRPr="00DD1B58">
        <w:rPr>
          <w:rFonts w:eastAsia="Arial"/>
          <w:szCs w:val="24"/>
          <w:lang w:val="en-US"/>
        </w:rPr>
        <w:t xml:space="preserve">. </w:t>
      </w:r>
      <w:r w:rsidR="7DF61957" w:rsidRPr="00DD1B58">
        <w:rPr>
          <w:rFonts w:eastAsia="Arial"/>
          <w:szCs w:val="24"/>
          <w:lang w:val="en-US"/>
        </w:rPr>
        <w:t xml:space="preserve">The most recent PSR submission for a candidate facility </w:t>
      </w:r>
      <w:r w:rsidR="00B168AD" w:rsidRPr="00DD1B58">
        <w:rPr>
          <w:rFonts w:eastAsia="Arial"/>
          <w:szCs w:val="24"/>
          <w:lang w:val="en-US"/>
        </w:rPr>
        <w:t xml:space="preserve">assessed by ONR </w:t>
      </w:r>
      <w:r w:rsidR="7DF61957" w:rsidRPr="00DD1B58">
        <w:rPr>
          <w:rFonts w:eastAsia="Arial"/>
          <w:szCs w:val="24"/>
          <w:lang w:val="en-US"/>
        </w:rPr>
        <w:t>was HY</w:t>
      </w:r>
      <w:r w:rsidR="00B168AD" w:rsidRPr="00DD1B58">
        <w:rPr>
          <w:rFonts w:eastAsia="Arial"/>
          <w:szCs w:val="24"/>
          <w:lang w:val="en-US"/>
        </w:rPr>
        <w:t>2’s PSR</w:t>
      </w:r>
      <w:r w:rsidR="7DF61957" w:rsidRPr="00DD1B58">
        <w:rPr>
          <w:rFonts w:eastAsia="Arial"/>
          <w:szCs w:val="24"/>
          <w:lang w:val="en-US"/>
        </w:rPr>
        <w:t xml:space="preserve"> in 2020</w:t>
      </w:r>
      <w:r w:rsidR="00EC7D3A" w:rsidRPr="00DD1B58">
        <w:rPr>
          <w:rFonts w:eastAsia="Arial"/>
          <w:szCs w:val="24"/>
          <w:lang w:val="en-US"/>
        </w:rPr>
        <w:t xml:space="preserve">. </w:t>
      </w:r>
      <w:r w:rsidR="00B168AD" w:rsidRPr="00DD1B58">
        <w:rPr>
          <w:rFonts w:eastAsia="Arial"/>
          <w:szCs w:val="24"/>
          <w:lang w:val="en-US"/>
        </w:rPr>
        <w:t>ONR’s assessment of the</w:t>
      </w:r>
      <w:r w:rsidR="7DF61957" w:rsidRPr="00DD1B58">
        <w:rPr>
          <w:rFonts w:eastAsia="Arial"/>
          <w:szCs w:val="24"/>
          <w:lang w:val="en-US"/>
        </w:rPr>
        <w:t xml:space="preserve"> top-level suite of PSR documentation for HY2 relating to fire</w:t>
      </w:r>
      <w:r w:rsidR="00B168AD" w:rsidRPr="00DD1B58">
        <w:rPr>
          <w:rFonts w:eastAsia="Arial"/>
          <w:szCs w:val="24"/>
          <w:lang w:val="en-US"/>
        </w:rPr>
        <w:t xml:space="preserve"> judged that the PSR</w:t>
      </w:r>
      <w:r w:rsidR="003A0A46" w:rsidRPr="00DD1B58">
        <w:rPr>
          <w:rFonts w:eastAsia="Arial"/>
          <w:szCs w:val="24"/>
          <w:lang w:val="en-US"/>
        </w:rPr>
        <w:t xml:space="preserve"> adequately considered</w:t>
      </w:r>
      <w:r w:rsidR="00EC7D3A" w:rsidRPr="00DD1B58">
        <w:rPr>
          <w:rFonts w:eastAsia="Arial"/>
          <w:szCs w:val="24"/>
          <w:lang w:val="en-US"/>
        </w:rPr>
        <w:t>.</w:t>
      </w:r>
      <w:r w:rsidR="7DF61957" w:rsidRPr="00DD1B58">
        <w:rPr>
          <w:rFonts w:eastAsia="Arial"/>
          <w:szCs w:val="24"/>
          <w:lang w:val="en-US"/>
        </w:rPr>
        <w:t xml:space="preserve"> </w:t>
      </w:r>
    </w:p>
    <w:p w14:paraId="0DBF7588" w14:textId="77777777" w:rsidR="00DB3279" w:rsidRPr="00DD1B58" w:rsidRDefault="7DF61957" w:rsidP="3FE0E35C">
      <w:pPr>
        <w:rPr>
          <w:lang w:val="en-US"/>
        </w:rPr>
      </w:pPr>
      <w:r w:rsidRPr="00DD1B58">
        <w:rPr>
          <w:rFonts w:eastAsia="Arial"/>
          <w:b/>
          <w:szCs w:val="24"/>
          <w:lang w:val="en-US"/>
        </w:rPr>
        <w:t>Learning from experience</w:t>
      </w:r>
      <w:r w:rsidRPr="00DD1B58">
        <w:rPr>
          <w:rFonts w:eastAsia="Arial"/>
          <w:szCs w:val="24"/>
          <w:lang w:val="en-US"/>
        </w:rPr>
        <w:t xml:space="preserve"> </w:t>
      </w:r>
    </w:p>
    <w:p w14:paraId="050CA2EC" w14:textId="5F448779" w:rsidR="00DB3279" w:rsidRPr="00DD1B58" w:rsidRDefault="003A0A46" w:rsidP="3FE0E35C">
      <w:pPr>
        <w:rPr>
          <w:rFonts w:eastAsia="Arial"/>
          <w:szCs w:val="24"/>
          <w:lang w:val="en-US"/>
        </w:rPr>
      </w:pPr>
      <w:r w:rsidRPr="00DD1B58">
        <w:rPr>
          <w:rFonts w:eastAsia="Arial"/>
          <w:szCs w:val="24"/>
          <w:lang w:val="en-US"/>
        </w:rPr>
        <w:t>Section</w:t>
      </w:r>
      <w:r w:rsidR="7DF61957" w:rsidRPr="00DD1B58">
        <w:rPr>
          <w:rFonts w:eastAsia="Arial"/>
          <w:szCs w:val="24"/>
          <w:lang w:val="en-US"/>
        </w:rPr>
        <w:t xml:space="preserve"> </w:t>
      </w:r>
      <w:r w:rsidR="00D45418" w:rsidRPr="00DD1B58">
        <w:rPr>
          <w:rFonts w:eastAsia="Arial"/>
          <w:szCs w:val="24"/>
          <w:lang w:val="en-US"/>
        </w:rPr>
        <w:fldChar w:fldCharType="begin"/>
      </w:r>
      <w:r w:rsidR="00D45418" w:rsidRPr="00DD1B58">
        <w:rPr>
          <w:rFonts w:eastAsia="Arial"/>
          <w:szCs w:val="24"/>
          <w:lang w:val="en-US"/>
        </w:rPr>
        <w:instrText xml:space="preserve"> REF _Ref140840608 \r \h </w:instrText>
      </w:r>
      <w:r w:rsidR="00D45418" w:rsidRPr="00DD1B58">
        <w:rPr>
          <w:rFonts w:eastAsia="Arial"/>
          <w:szCs w:val="24"/>
          <w:lang w:val="en-US"/>
        </w:rPr>
      </w:r>
      <w:r w:rsidR="00D45418" w:rsidRPr="00DD1B58">
        <w:rPr>
          <w:rFonts w:eastAsia="Arial"/>
          <w:szCs w:val="24"/>
          <w:lang w:val="en-US"/>
        </w:rPr>
        <w:fldChar w:fldCharType="separate"/>
      </w:r>
      <w:r w:rsidR="00DF47DA">
        <w:rPr>
          <w:rFonts w:eastAsia="Arial"/>
          <w:szCs w:val="24"/>
          <w:lang w:val="en-US"/>
        </w:rPr>
        <w:t>I-2.1.5.2</w:t>
      </w:r>
      <w:r w:rsidR="00D45418" w:rsidRPr="00DD1B58">
        <w:rPr>
          <w:rFonts w:eastAsia="Arial"/>
          <w:szCs w:val="24"/>
          <w:lang w:val="en-US"/>
        </w:rPr>
        <w:fldChar w:fldCharType="end"/>
      </w:r>
      <w:r w:rsidR="7DF61957" w:rsidRPr="00DD1B58">
        <w:rPr>
          <w:rFonts w:eastAsia="Arial"/>
          <w:szCs w:val="24"/>
          <w:lang w:val="en-US"/>
        </w:rPr>
        <w:t xml:space="preserve"> </w:t>
      </w:r>
      <w:r w:rsidRPr="00DD1B58">
        <w:rPr>
          <w:rFonts w:eastAsia="Arial"/>
          <w:szCs w:val="24"/>
          <w:lang w:val="en-US"/>
        </w:rPr>
        <w:t xml:space="preserve">set out </w:t>
      </w:r>
      <w:r w:rsidR="00C362CA" w:rsidRPr="00DD1B58">
        <w:rPr>
          <w:rFonts w:eastAsia="Arial"/>
          <w:szCs w:val="24"/>
          <w:lang w:val="en-US"/>
        </w:rPr>
        <w:t>EDF NGL</w:t>
      </w:r>
      <w:r w:rsidRPr="00DD1B58">
        <w:rPr>
          <w:rFonts w:eastAsia="Arial"/>
          <w:szCs w:val="24"/>
          <w:lang w:val="en-US"/>
        </w:rPr>
        <w:t xml:space="preserve">’s </w:t>
      </w:r>
      <w:r w:rsidR="7DF61957" w:rsidRPr="00DD1B58">
        <w:rPr>
          <w:rFonts w:eastAsia="Arial"/>
          <w:szCs w:val="24"/>
          <w:lang w:val="en-US"/>
        </w:rPr>
        <w:t xml:space="preserve">approach to recording and categorising fires at the </w:t>
      </w:r>
      <w:r w:rsidR="00217A9D" w:rsidRPr="00DD1B58">
        <w:rPr>
          <w:rFonts w:eastAsia="Arial"/>
          <w:szCs w:val="24"/>
          <w:lang w:val="en-US"/>
        </w:rPr>
        <w:t>candidate installations</w:t>
      </w:r>
      <w:r w:rsidR="0032325C" w:rsidRPr="00DD1B58">
        <w:rPr>
          <w:rFonts w:eastAsia="Arial"/>
          <w:szCs w:val="24"/>
          <w:lang w:val="en-US"/>
        </w:rPr>
        <w:t xml:space="preserve"> to extract learning relevant to the facility and the fleet of </w:t>
      </w:r>
      <w:r w:rsidR="00C362CA" w:rsidRPr="00DD1B58">
        <w:rPr>
          <w:rFonts w:eastAsia="Arial"/>
          <w:szCs w:val="24"/>
          <w:lang w:val="en-US"/>
        </w:rPr>
        <w:t>EDF NGL</w:t>
      </w:r>
      <w:r w:rsidR="0032325C" w:rsidRPr="00DD1B58">
        <w:rPr>
          <w:rFonts w:eastAsia="Arial"/>
          <w:szCs w:val="24"/>
          <w:lang w:val="en-US"/>
        </w:rPr>
        <w:t xml:space="preserve"> installations</w:t>
      </w:r>
      <w:r w:rsidR="7DF61957" w:rsidRPr="00DD1B58">
        <w:rPr>
          <w:rFonts w:eastAsia="Arial"/>
          <w:szCs w:val="24"/>
          <w:lang w:val="en-US"/>
        </w:rPr>
        <w:t xml:space="preserve">. </w:t>
      </w:r>
      <w:r w:rsidR="00C362CA" w:rsidRPr="00DD1B58">
        <w:rPr>
          <w:rFonts w:eastAsia="Arial"/>
          <w:szCs w:val="24"/>
          <w:lang w:val="en-US"/>
        </w:rPr>
        <w:t>EDF NGL</w:t>
      </w:r>
      <w:r w:rsidR="00734538" w:rsidRPr="00DD1B58">
        <w:rPr>
          <w:rFonts w:eastAsia="Arial"/>
          <w:szCs w:val="24"/>
          <w:lang w:val="en-US"/>
        </w:rPr>
        <w:t xml:space="preserve"> </w:t>
      </w:r>
      <w:r w:rsidR="7DF61957" w:rsidRPr="00DD1B58">
        <w:rPr>
          <w:rFonts w:eastAsia="Arial"/>
          <w:szCs w:val="24"/>
          <w:lang w:val="en-US"/>
        </w:rPr>
        <w:t xml:space="preserve">demonstrated how </w:t>
      </w:r>
      <w:r w:rsidR="005D65E8" w:rsidRPr="00DD1B58">
        <w:rPr>
          <w:rFonts w:eastAsia="Arial"/>
          <w:szCs w:val="24"/>
          <w:lang w:val="en-US"/>
        </w:rPr>
        <w:t>this learning</w:t>
      </w:r>
      <w:r w:rsidR="7DF61957" w:rsidRPr="00DD1B58">
        <w:rPr>
          <w:rFonts w:eastAsia="Arial"/>
          <w:szCs w:val="24"/>
          <w:lang w:val="en-US"/>
        </w:rPr>
        <w:t xml:space="preserve"> ha</w:t>
      </w:r>
      <w:r w:rsidR="0082292F" w:rsidRPr="00DD1B58">
        <w:rPr>
          <w:rFonts w:eastAsia="Arial"/>
          <w:szCs w:val="24"/>
          <w:lang w:val="en-US"/>
        </w:rPr>
        <w:t>s</w:t>
      </w:r>
      <w:r w:rsidR="7DF61957" w:rsidRPr="00DD1B58">
        <w:rPr>
          <w:rFonts w:eastAsia="Arial"/>
          <w:szCs w:val="24"/>
          <w:lang w:val="en-US"/>
        </w:rPr>
        <w:t xml:space="preserve"> led to specific improvements in arrangements</w:t>
      </w:r>
      <w:r w:rsidR="00734538" w:rsidRPr="00DD1B58">
        <w:rPr>
          <w:rFonts w:eastAsia="Arial"/>
          <w:szCs w:val="24"/>
          <w:lang w:val="en-US"/>
        </w:rPr>
        <w:t>, specifically</w:t>
      </w:r>
      <w:r w:rsidR="00E7167F" w:rsidRPr="00DD1B58">
        <w:rPr>
          <w:rFonts w:eastAsia="Arial"/>
          <w:szCs w:val="24"/>
          <w:lang w:val="en-US"/>
        </w:rPr>
        <w:t xml:space="preserve"> the </w:t>
      </w:r>
      <w:r w:rsidR="00161140" w:rsidRPr="00DD1B58">
        <w:rPr>
          <w:rFonts w:eastAsia="Arial"/>
          <w:szCs w:val="24"/>
          <w:lang w:val="en-US"/>
        </w:rPr>
        <w:t xml:space="preserve">addition of </w:t>
      </w:r>
      <w:r w:rsidR="009C6417" w:rsidRPr="00DD1B58">
        <w:rPr>
          <w:noProof/>
          <w:szCs w:val="24"/>
          <w:lang w:val="en-US"/>
        </w:rPr>
        <w:t>Alternative Indication Centres</w:t>
      </w:r>
      <w:r w:rsidR="00830253" w:rsidRPr="00DD1B58">
        <w:rPr>
          <w:noProof/>
          <w:szCs w:val="24"/>
          <w:lang w:val="en-US"/>
        </w:rPr>
        <w:t>, developments to the</w:t>
      </w:r>
      <w:r w:rsidR="00865E84" w:rsidRPr="00DD1B58">
        <w:rPr>
          <w:noProof/>
          <w:szCs w:val="24"/>
          <w:lang w:val="en-US"/>
        </w:rPr>
        <w:t xml:space="preserve"> EDF</w:t>
      </w:r>
      <w:r w:rsidR="00FC666C" w:rsidRPr="00DD1B58">
        <w:rPr>
          <w:noProof/>
          <w:szCs w:val="24"/>
          <w:lang w:val="en-US"/>
        </w:rPr>
        <w:t xml:space="preserve"> </w:t>
      </w:r>
      <w:r w:rsidR="00865E84" w:rsidRPr="00DD1B58">
        <w:rPr>
          <w:noProof/>
          <w:szCs w:val="24"/>
          <w:lang w:val="en-US"/>
        </w:rPr>
        <w:t xml:space="preserve">NGL Nuclear Safety Principles, </w:t>
      </w:r>
      <w:r w:rsidR="00A933ED" w:rsidRPr="00DD1B58">
        <w:rPr>
          <w:noProof/>
          <w:szCs w:val="24"/>
          <w:lang w:val="en-US"/>
        </w:rPr>
        <w:t xml:space="preserve">provision of a </w:t>
      </w:r>
      <w:r w:rsidR="00E37392" w:rsidRPr="00DD1B58">
        <w:rPr>
          <w:noProof/>
          <w:szCs w:val="24"/>
          <w:lang w:val="en-US"/>
        </w:rPr>
        <w:t>DPVCW at HNB</w:t>
      </w:r>
      <w:r w:rsidR="00810BE2" w:rsidRPr="00DD1B58">
        <w:rPr>
          <w:noProof/>
          <w:szCs w:val="24"/>
          <w:lang w:val="en-US"/>
        </w:rPr>
        <w:t xml:space="preserve"> and other first genera</w:t>
      </w:r>
      <w:r w:rsidR="005D1E21" w:rsidRPr="00DD1B58">
        <w:rPr>
          <w:noProof/>
          <w:szCs w:val="24"/>
          <w:lang w:val="en-US"/>
        </w:rPr>
        <w:t>i</w:t>
      </w:r>
      <w:r w:rsidR="00810BE2" w:rsidRPr="00DD1B58">
        <w:rPr>
          <w:noProof/>
          <w:szCs w:val="24"/>
          <w:lang w:val="en-US"/>
        </w:rPr>
        <w:t>ton AGRs</w:t>
      </w:r>
      <w:r w:rsidR="00B42BA1" w:rsidRPr="00DD1B58">
        <w:rPr>
          <w:noProof/>
          <w:szCs w:val="24"/>
          <w:lang w:val="en-US"/>
        </w:rPr>
        <w:t xml:space="preserve"> and installa</w:t>
      </w:r>
      <w:r w:rsidR="005D1E21" w:rsidRPr="00DD1B58">
        <w:rPr>
          <w:noProof/>
          <w:szCs w:val="24"/>
          <w:lang w:val="en-US"/>
        </w:rPr>
        <w:t>t</w:t>
      </w:r>
      <w:r w:rsidR="00B42BA1" w:rsidRPr="00DD1B58">
        <w:rPr>
          <w:noProof/>
          <w:szCs w:val="24"/>
          <w:lang w:val="en-US"/>
        </w:rPr>
        <w:t>ion of a fire curtain in the HNB Turbine Hall.</w:t>
      </w:r>
      <w:r w:rsidR="00FC666C" w:rsidRPr="00DD1B58">
        <w:rPr>
          <w:rFonts w:eastAsia="Arial"/>
          <w:szCs w:val="24"/>
          <w:lang w:val="en-US"/>
        </w:rPr>
        <w:t xml:space="preserve"> </w:t>
      </w:r>
      <w:r w:rsidR="00C362CA" w:rsidRPr="00DD1B58">
        <w:rPr>
          <w:rFonts w:eastAsia="Arial"/>
          <w:szCs w:val="24"/>
          <w:lang w:val="en-US"/>
        </w:rPr>
        <w:t>EDF NGL</w:t>
      </w:r>
      <w:r w:rsidR="00734538" w:rsidRPr="00DD1B58">
        <w:rPr>
          <w:rFonts w:eastAsia="Arial"/>
          <w:szCs w:val="24"/>
          <w:lang w:val="en-US"/>
        </w:rPr>
        <w:t xml:space="preserve"> also shares this OPEX through participation in the OECD FIRE project and database. </w:t>
      </w:r>
      <w:r w:rsidR="7DF61957" w:rsidRPr="00DD1B58">
        <w:rPr>
          <w:rFonts w:eastAsia="Arial"/>
          <w:szCs w:val="24"/>
          <w:lang w:val="en-US"/>
        </w:rPr>
        <w:t>ONR</w:t>
      </w:r>
      <w:r w:rsidR="00734538" w:rsidRPr="00DD1B58">
        <w:rPr>
          <w:rFonts w:eastAsia="Arial"/>
          <w:szCs w:val="24"/>
          <w:lang w:val="en-US"/>
        </w:rPr>
        <w:t xml:space="preserve"> judges</w:t>
      </w:r>
      <w:r w:rsidR="7DF61957" w:rsidRPr="00DD1B58">
        <w:rPr>
          <w:rFonts w:eastAsia="Arial"/>
          <w:szCs w:val="24"/>
          <w:lang w:val="en-US"/>
        </w:rPr>
        <w:t xml:space="preserve"> </w:t>
      </w:r>
      <w:r w:rsidR="00734538" w:rsidRPr="00DD1B58">
        <w:rPr>
          <w:rFonts w:eastAsia="Arial"/>
          <w:szCs w:val="24"/>
          <w:lang w:val="en-US"/>
        </w:rPr>
        <w:t xml:space="preserve">that </w:t>
      </w:r>
      <w:r w:rsidR="00C362CA" w:rsidRPr="00DD1B58">
        <w:rPr>
          <w:rFonts w:eastAsia="Arial"/>
          <w:szCs w:val="24"/>
          <w:lang w:val="en-US"/>
        </w:rPr>
        <w:t>EDF NGL</w:t>
      </w:r>
      <w:r w:rsidR="00B54C30" w:rsidRPr="00DD1B58">
        <w:rPr>
          <w:rFonts w:eastAsia="Arial"/>
          <w:szCs w:val="24"/>
          <w:lang w:val="en-US"/>
        </w:rPr>
        <w:t>’s</w:t>
      </w:r>
      <w:r w:rsidR="00734538" w:rsidRPr="00DD1B58">
        <w:rPr>
          <w:rFonts w:eastAsia="Arial"/>
          <w:szCs w:val="24"/>
          <w:lang w:val="en-US"/>
        </w:rPr>
        <w:t xml:space="preserve"> analysis and learning from fire</w:t>
      </w:r>
      <w:r w:rsidR="7DF61957" w:rsidRPr="00DD1B58">
        <w:rPr>
          <w:rFonts w:eastAsia="Arial"/>
          <w:szCs w:val="24"/>
          <w:lang w:val="en-US"/>
        </w:rPr>
        <w:t xml:space="preserve"> </w:t>
      </w:r>
      <w:r w:rsidR="00B54C30" w:rsidRPr="00DD1B58">
        <w:rPr>
          <w:rFonts w:eastAsia="Arial"/>
          <w:szCs w:val="24"/>
          <w:lang w:val="en-US"/>
        </w:rPr>
        <w:t>events meets the expectations of ONR</w:t>
      </w:r>
      <w:r w:rsidR="7DF61957" w:rsidRPr="00DD1B58">
        <w:rPr>
          <w:rFonts w:eastAsia="Arial"/>
          <w:szCs w:val="24"/>
          <w:lang w:val="en-US"/>
        </w:rPr>
        <w:t xml:space="preserve"> SAPs</w:t>
      </w:r>
      <w:r w:rsidR="00B54C30" w:rsidRPr="00DD1B58">
        <w:rPr>
          <w:rFonts w:eastAsia="Arial"/>
          <w:szCs w:val="24"/>
          <w:lang w:val="en-US"/>
        </w:rPr>
        <w:t>, specifically</w:t>
      </w:r>
      <w:r w:rsidR="7DF61957" w:rsidRPr="00DD1B58">
        <w:rPr>
          <w:rFonts w:eastAsia="Arial"/>
          <w:szCs w:val="24"/>
          <w:lang w:val="en-US"/>
        </w:rPr>
        <w:t xml:space="preserve"> MS.4</w:t>
      </w:r>
      <w:sdt>
        <w:sdtPr>
          <w:rPr>
            <w:rFonts w:eastAsia="Arial"/>
            <w:szCs w:val="24"/>
            <w:lang w:val="en-US"/>
          </w:rPr>
          <w:id w:val="1871567970"/>
          <w:citation/>
        </w:sdtPr>
        <w:sdtContent>
          <w:r w:rsidR="009C6919" w:rsidRPr="00DD1B58">
            <w:rPr>
              <w:rFonts w:eastAsia="Arial"/>
              <w:szCs w:val="24"/>
              <w:lang w:val="en-US"/>
            </w:rPr>
            <w:fldChar w:fldCharType="begin"/>
          </w:r>
          <w:r w:rsidR="009C6919" w:rsidRPr="00DD1B58">
            <w:rPr>
              <w:rFonts w:eastAsia="Arial"/>
              <w:szCs w:val="24"/>
              <w:lang w:val="en-US"/>
            </w:rPr>
            <w:instrText xml:space="preserve">CITATION Off20 \l 2057 </w:instrText>
          </w:r>
          <w:r w:rsidR="009C6919" w:rsidRPr="00DD1B58">
            <w:rPr>
              <w:rFonts w:eastAsia="Arial"/>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[15]</w:t>
          </w:r>
          <w:r w:rsidR="009C6919" w:rsidRPr="00DD1B58">
            <w:rPr>
              <w:rFonts w:eastAsia="Arial"/>
              <w:szCs w:val="24"/>
              <w:lang w:val="en-US"/>
            </w:rPr>
            <w:fldChar w:fldCharType="end"/>
          </w:r>
        </w:sdtContent>
      </w:sdt>
      <w:r w:rsidR="00AC7B13" w:rsidRPr="00DD1B58">
        <w:rPr>
          <w:rFonts w:eastAsia="Arial"/>
          <w:szCs w:val="24"/>
          <w:lang w:val="en-US"/>
        </w:rPr>
        <w:t xml:space="preserve">, </w:t>
      </w:r>
      <w:r w:rsidR="7DF61957" w:rsidRPr="00DD1B58">
        <w:rPr>
          <w:rFonts w:eastAsia="Arial"/>
          <w:szCs w:val="24"/>
          <w:lang w:val="en-US"/>
        </w:rPr>
        <w:t xml:space="preserve">IAEA </w:t>
      </w:r>
      <w:r w:rsidR="0044551F" w:rsidRPr="00DD1B58">
        <w:rPr>
          <w:rFonts w:eastAsia="Arial"/>
          <w:szCs w:val="24"/>
          <w:lang w:val="en-US"/>
        </w:rPr>
        <w:t>SSG-64</w:t>
      </w:r>
      <w:sdt>
        <w:sdtPr>
          <w:rPr>
            <w:rFonts w:eastAsia="Arial"/>
            <w:szCs w:val="24"/>
            <w:lang w:val="en-US"/>
          </w:rPr>
          <w:id w:val="1763030023"/>
          <w:citation/>
        </w:sdtPr>
        <w:sdtContent>
          <w:r w:rsidR="0044551F" w:rsidRPr="00DD1B58">
            <w:rPr>
              <w:rFonts w:eastAsia="Arial"/>
              <w:szCs w:val="24"/>
              <w:lang w:val="en-US"/>
            </w:rPr>
            <w:fldChar w:fldCharType="begin"/>
          </w:r>
          <w:r w:rsidR="0044551F" w:rsidRPr="00DD1B58">
            <w:rPr>
              <w:rFonts w:eastAsia="Arial"/>
              <w:szCs w:val="24"/>
              <w:lang w:val="en-US"/>
            </w:rPr>
            <w:instrText xml:space="preserve"> CITATION IAE5 \l 2057 </w:instrText>
          </w:r>
          <w:r w:rsidR="0044551F" w:rsidRPr="00DD1B58">
            <w:rPr>
              <w:rFonts w:eastAsia="Arial"/>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[17]</w:t>
          </w:r>
          <w:r w:rsidR="0044551F" w:rsidRPr="00DD1B58">
            <w:rPr>
              <w:rFonts w:eastAsia="Arial"/>
              <w:szCs w:val="24"/>
              <w:lang w:val="en-US"/>
            </w:rPr>
            <w:fldChar w:fldCharType="end"/>
          </w:r>
        </w:sdtContent>
      </w:sdt>
      <w:r w:rsidR="00AC7B13" w:rsidRPr="00DD1B58">
        <w:rPr>
          <w:rFonts w:eastAsia="Arial"/>
          <w:szCs w:val="24"/>
          <w:lang w:val="en-US"/>
        </w:rPr>
        <w:t xml:space="preserve"> </w:t>
      </w:r>
      <w:r w:rsidR="7DF61957" w:rsidRPr="00DD1B58">
        <w:rPr>
          <w:rFonts w:eastAsia="Arial"/>
          <w:szCs w:val="24"/>
          <w:lang w:val="en-US"/>
        </w:rPr>
        <w:t>.</w:t>
      </w:r>
    </w:p>
    <w:p w14:paraId="50D2FA45" w14:textId="7F042A4F" w:rsidR="002114E9" w:rsidRPr="00DD1B58" w:rsidRDefault="002114E9" w:rsidP="3FE0E35C">
      <w:pPr>
        <w:rPr>
          <w:lang w:val="en-US"/>
        </w:rPr>
      </w:pPr>
      <w:r w:rsidRPr="00DD1B58">
        <w:rPr>
          <w:rFonts w:eastAsia="Arial"/>
          <w:szCs w:val="24"/>
          <w:lang w:val="en-US"/>
        </w:rPr>
        <w:t xml:space="preserve">EDF </w:t>
      </w:r>
      <w:r w:rsidR="00B31D94" w:rsidRPr="00DD1B58">
        <w:rPr>
          <w:rFonts w:eastAsia="Arial"/>
          <w:szCs w:val="24"/>
          <w:lang w:val="en-US"/>
        </w:rPr>
        <w:t xml:space="preserve">Energy </w:t>
      </w:r>
      <w:r w:rsidRPr="00DD1B58">
        <w:rPr>
          <w:rFonts w:eastAsia="Arial"/>
          <w:szCs w:val="24"/>
          <w:lang w:val="en-US"/>
        </w:rPr>
        <w:t xml:space="preserve">NGL identified </w:t>
      </w:r>
      <w:r w:rsidR="00B31D94" w:rsidRPr="00DD1B58">
        <w:rPr>
          <w:rFonts w:eastAsia="Arial"/>
          <w:szCs w:val="24"/>
          <w:lang w:val="en-US"/>
        </w:rPr>
        <w:t xml:space="preserve">in its self-assessment </w:t>
      </w:r>
      <w:r w:rsidR="00D83C72" w:rsidRPr="00DD1B58">
        <w:rPr>
          <w:rFonts w:eastAsia="Arial"/>
          <w:szCs w:val="24"/>
          <w:lang w:val="en-US"/>
        </w:rPr>
        <w:t>that review of its</w:t>
      </w:r>
      <w:r w:rsidRPr="00DD1B58">
        <w:rPr>
          <w:rFonts w:eastAsia="Arial"/>
          <w:szCs w:val="24"/>
          <w:lang w:val="en-US"/>
        </w:rPr>
        <w:t xml:space="preserve"> </w:t>
      </w:r>
      <w:r w:rsidR="001C2CB0" w:rsidRPr="00DD1B58">
        <w:rPr>
          <w:rFonts w:eastAsia="Arial"/>
          <w:szCs w:val="24"/>
          <w:lang w:val="en-US"/>
        </w:rPr>
        <w:t>fire safety hazard analyses</w:t>
      </w:r>
      <w:r w:rsidR="00D83C72" w:rsidRPr="00DD1B58">
        <w:rPr>
          <w:rFonts w:eastAsia="Arial"/>
          <w:szCs w:val="24"/>
          <w:lang w:val="en-US"/>
        </w:rPr>
        <w:t xml:space="preserve"> </w:t>
      </w:r>
      <w:r w:rsidR="00E17CD0" w:rsidRPr="00DD1B58">
        <w:rPr>
          <w:rFonts w:eastAsia="Arial"/>
          <w:szCs w:val="24"/>
          <w:lang w:val="en-US"/>
        </w:rPr>
        <w:t>is</w:t>
      </w:r>
      <w:r w:rsidR="00D83C72" w:rsidRPr="00DD1B58">
        <w:rPr>
          <w:rFonts w:eastAsia="Arial"/>
          <w:szCs w:val="24"/>
          <w:lang w:val="en-US"/>
        </w:rPr>
        <w:t xml:space="preserve"> ongoing</w:t>
      </w:r>
      <w:r w:rsidR="00A135F7" w:rsidRPr="00DD1B58">
        <w:rPr>
          <w:rFonts w:eastAsia="Arial"/>
          <w:szCs w:val="24"/>
          <w:lang w:val="en-US"/>
        </w:rPr>
        <w:t xml:space="preserve"> </w:t>
      </w:r>
      <w:r w:rsidR="00E92975" w:rsidRPr="00DD1B58">
        <w:rPr>
          <w:lang w:val="en-US"/>
        </w:rPr>
        <w:t xml:space="preserve">Fire Hazards Safety Case Review and Update, </w:t>
      </w:r>
      <w:r w:rsidR="005F52D3" w:rsidRPr="00DD1B58">
        <w:rPr>
          <w:lang w:val="en-US"/>
        </w:rPr>
        <w:t xml:space="preserve">second generation AGR fire modelling, </w:t>
      </w:r>
      <w:r w:rsidR="00285820" w:rsidRPr="00DD1B58">
        <w:rPr>
          <w:lang w:val="en-US"/>
        </w:rPr>
        <w:t xml:space="preserve">safety case analysis at HY2 and </w:t>
      </w:r>
      <w:r w:rsidR="007027D9" w:rsidRPr="00DD1B58">
        <w:rPr>
          <w:lang w:val="en-US"/>
        </w:rPr>
        <w:t xml:space="preserve">the turbine disintegration assessment at </w:t>
      </w:r>
      <w:r w:rsidR="00EF1380" w:rsidRPr="00DD1B58">
        <w:rPr>
          <w:lang w:val="en-US"/>
        </w:rPr>
        <w:t>HY</w:t>
      </w:r>
      <w:r w:rsidR="00E57E49" w:rsidRPr="00DD1B58">
        <w:rPr>
          <w:lang w:val="en-US"/>
        </w:rPr>
        <w:t>2</w:t>
      </w:r>
      <w:r w:rsidR="00EF1380" w:rsidRPr="00DD1B58">
        <w:rPr>
          <w:lang w:val="en-US"/>
        </w:rPr>
        <w:t>)</w:t>
      </w:r>
      <w:r w:rsidR="001C2CB0" w:rsidRPr="00DD1B58">
        <w:rPr>
          <w:rFonts w:eastAsia="Arial"/>
          <w:szCs w:val="24"/>
          <w:lang w:val="en-US"/>
        </w:rPr>
        <w:t xml:space="preserve">. </w:t>
      </w:r>
      <w:r w:rsidR="00B17C01" w:rsidRPr="00DD1B58">
        <w:rPr>
          <w:rFonts w:eastAsia="Arial"/>
          <w:szCs w:val="24"/>
          <w:lang w:val="en-US"/>
        </w:rPr>
        <w:t>The</w:t>
      </w:r>
      <w:r w:rsidR="00555F54" w:rsidRPr="00DD1B58">
        <w:rPr>
          <w:rFonts w:eastAsia="Arial"/>
          <w:szCs w:val="24"/>
          <w:lang w:val="en-US"/>
        </w:rPr>
        <w:t xml:space="preserve"> additional analys</w:t>
      </w:r>
      <w:r w:rsidR="00B17C01" w:rsidRPr="00DD1B58">
        <w:rPr>
          <w:rFonts w:eastAsia="Arial"/>
          <w:szCs w:val="24"/>
          <w:lang w:val="en-US"/>
        </w:rPr>
        <w:t>e</w:t>
      </w:r>
      <w:r w:rsidR="00555F54" w:rsidRPr="00DD1B58">
        <w:rPr>
          <w:rFonts w:eastAsia="Arial"/>
          <w:szCs w:val="24"/>
          <w:lang w:val="en-US"/>
        </w:rPr>
        <w:t xml:space="preserve">s </w:t>
      </w:r>
      <w:r w:rsidR="00B17C01" w:rsidRPr="00DD1B58">
        <w:rPr>
          <w:rFonts w:eastAsia="Arial"/>
          <w:szCs w:val="24"/>
          <w:lang w:val="en-US"/>
        </w:rPr>
        <w:t>undertaken by</w:t>
      </w:r>
      <w:r w:rsidR="00A23590" w:rsidRPr="00DD1B58">
        <w:rPr>
          <w:rFonts w:eastAsia="Arial"/>
          <w:szCs w:val="24"/>
          <w:lang w:val="en-US"/>
        </w:rPr>
        <w:t xml:space="preserve"> </w:t>
      </w:r>
      <w:r w:rsidR="00C362CA" w:rsidRPr="00DD1B58">
        <w:rPr>
          <w:rFonts w:eastAsia="Arial"/>
          <w:szCs w:val="24"/>
          <w:lang w:val="en-US"/>
        </w:rPr>
        <w:t>EDF NGL</w:t>
      </w:r>
      <w:r w:rsidR="00A23590" w:rsidRPr="00DD1B58">
        <w:rPr>
          <w:rFonts w:eastAsia="Arial"/>
          <w:szCs w:val="24"/>
          <w:lang w:val="en-US"/>
        </w:rPr>
        <w:t xml:space="preserve"> </w:t>
      </w:r>
      <w:r w:rsidR="00C072F8" w:rsidRPr="00DD1B58">
        <w:rPr>
          <w:rFonts w:eastAsia="Arial"/>
          <w:szCs w:val="24"/>
          <w:lang w:val="en-US"/>
        </w:rPr>
        <w:t xml:space="preserve">indicate </w:t>
      </w:r>
      <w:r w:rsidR="00A23590" w:rsidRPr="00DD1B58">
        <w:rPr>
          <w:rFonts w:eastAsia="Arial"/>
          <w:szCs w:val="24"/>
          <w:lang w:val="en-US"/>
        </w:rPr>
        <w:t xml:space="preserve">that </w:t>
      </w:r>
      <w:r w:rsidR="00C362CA" w:rsidRPr="00DD1B58">
        <w:rPr>
          <w:rFonts w:eastAsia="Arial"/>
          <w:szCs w:val="24"/>
          <w:lang w:val="en-US"/>
        </w:rPr>
        <w:t>EDF NGL</w:t>
      </w:r>
      <w:r w:rsidR="00C072F8" w:rsidRPr="00DD1B58">
        <w:rPr>
          <w:rFonts w:eastAsia="Arial"/>
          <w:szCs w:val="24"/>
          <w:lang w:val="en-US"/>
        </w:rPr>
        <w:t xml:space="preserve"> proactively identifies changes in fire modelling tools, practice and experimental data</w:t>
      </w:r>
      <w:r w:rsidR="004F552A" w:rsidRPr="00DD1B58">
        <w:rPr>
          <w:rFonts w:eastAsia="Arial"/>
          <w:szCs w:val="24"/>
          <w:lang w:val="en-US"/>
        </w:rPr>
        <w:t>, checking the ongoing validity of its safety cases,</w:t>
      </w:r>
      <w:r w:rsidR="00940D2A" w:rsidRPr="00DD1B58">
        <w:rPr>
          <w:rFonts w:eastAsia="Arial"/>
          <w:szCs w:val="24"/>
          <w:lang w:val="en-US"/>
        </w:rPr>
        <w:t xml:space="preserve"> </w:t>
      </w:r>
      <w:r w:rsidR="00A23590" w:rsidRPr="00DD1B58">
        <w:rPr>
          <w:rFonts w:eastAsia="Arial"/>
          <w:szCs w:val="24"/>
          <w:lang w:val="en-US"/>
        </w:rPr>
        <w:t xml:space="preserve">identifying </w:t>
      </w:r>
      <w:r w:rsidR="00916574" w:rsidRPr="00DD1B58">
        <w:rPr>
          <w:rFonts w:eastAsia="Arial"/>
          <w:szCs w:val="24"/>
          <w:lang w:val="en-US"/>
        </w:rPr>
        <w:t>gaps</w:t>
      </w:r>
      <w:r w:rsidR="00A23590" w:rsidRPr="00DD1B58">
        <w:rPr>
          <w:rFonts w:eastAsia="Arial"/>
          <w:szCs w:val="24"/>
          <w:lang w:val="en-US"/>
        </w:rPr>
        <w:t xml:space="preserve"> and addressing them in line with </w:t>
      </w:r>
      <w:r w:rsidR="000A6CA7" w:rsidRPr="00DD1B58">
        <w:rPr>
          <w:rFonts w:eastAsia="Arial"/>
          <w:szCs w:val="24"/>
          <w:lang w:val="en-US"/>
        </w:rPr>
        <w:t xml:space="preserve">ONR SAP </w:t>
      </w:r>
      <w:r w:rsidR="00FE5315" w:rsidRPr="00DD1B58">
        <w:rPr>
          <w:rFonts w:eastAsia="Arial"/>
          <w:szCs w:val="24"/>
          <w:lang w:val="en-US"/>
        </w:rPr>
        <w:t>EHA.14</w:t>
      </w:r>
      <w:r w:rsidR="000A6CA7" w:rsidRPr="00DD1B58">
        <w:rPr>
          <w:rFonts w:eastAsia="Arial"/>
          <w:szCs w:val="24"/>
          <w:lang w:val="en-US"/>
        </w:rPr>
        <w:t xml:space="preserve"> </w:t>
      </w:r>
      <w:sdt>
        <w:sdtPr>
          <w:rPr>
            <w:rFonts w:eastAsia="Arial"/>
            <w:szCs w:val="24"/>
            <w:lang w:val="en-US"/>
          </w:rPr>
          <w:id w:val="575635035"/>
          <w:citation/>
        </w:sdtPr>
        <w:sdtContent>
          <w:r w:rsidR="00A35D5D" w:rsidRPr="00DD1B58">
            <w:rPr>
              <w:rFonts w:eastAsia="Arial"/>
              <w:szCs w:val="24"/>
              <w:lang w:val="en-US"/>
            </w:rPr>
            <w:fldChar w:fldCharType="begin"/>
          </w:r>
          <w:r w:rsidR="00A35D5D" w:rsidRPr="00DD1B58">
            <w:rPr>
              <w:rFonts w:eastAsia="Arial"/>
              <w:szCs w:val="24"/>
              <w:lang w:val="en-US"/>
            </w:rPr>
            <w:instrText xml:space="preserve"> CITATION Off20 \l 2057 </w:instrText>
          </w:r>
          <w:r w:rsidR="00A35D5D" w:rsidRPr="00DD1B58">
            <w:rPr>
              <w:rFonts w:eastAsia="Arial"/>
              <w:szCs w:val="24"/>
              <w:lang w:val="en-US"/>
            </w:rPr>
            <w:fldChar w:fldCharType="separate"/>
          </w:r>
          <w:r w:rsidR="00DF47DA" w:rsidRPr="00DF47DA">
            <w:rPr>
              <w:rFonts w:eastAsia="Arial"/>
              <w:noProof/>
              <w:szCs w:val="24"/>
              <w:lang w:val="en-US"/>
            </w:rPr>
            <w:t>[15]</w:t>
          </w:r>
          <w:r w:rsidR="00A35D5D" w:rsidRPr="00DD1B58">
            <w:rPr>
              <w:rFonts w:eastAsia="Arial"/>
              <w:szCs w:val="24"/>
              <w:lang w:val="en-US"/>
            </w:rPr>
            <w:fldChar w:fldCharType="end"/>
          </w:r>
        </w:sdtContent>
      </w:sdt>
      <w:r w:rsidR="004F552A" w:rsidRPr="00DD1B58">
        <w:rPr>
          <w:rFonts w:eastAsia="Arial"/>
          <w:szCs w:val="24"/>
          <w:lang w:val="en-US"/>
        </w:rPr>
        <w:t>.</w:t>
      </w:r>
    </w:p>
    <w:p w14:paraId="48D80E4B" w14:textId="77777777" w:rsidR="00DB3279" w:rsidRPr="00DD1B58" w:rsidRDefault="7DF61957" w:rsidP="3FE0E35C">
      <w:pPr>
        <w:rPr>
          <w:lang w:val="en-US"/>
        </w:rPr>
      </w:pPr>
      <w:r w:rsidRPr="00DD1B58">
        <w:rPr>
          <w:rFonts w:eastAsia="Arial"/>
          <w:b/>
          <w:szCs w:val="24"/>
          <w:lang w:val="en-US"/>
        </w:rPr>
        <w:t>Summary</w:t>
      </w:r>
      <w:r w:rsidRPr="00DD1B58">
        <w:rPr>
          <w:rFonts w:eastAsia="Arial"/>
          <w:szCs w:val="24"/>
          <w:lang w:val="en-US"/>
        </w:rPr>
        <w:t xml:space="preserve"> </w:t>
      </w:r>
    </w:p>
    <w:p w14:paraId="23A93C4C" w14:textId="00F54819" w:rsidR="00DB3279" w:rsidRPr="00DD1B58" w:rsidRDefault="7DF61957" w:rsidP="3FE0E35C">
      <w:pPr>
        <w:rPr>
          <w:b/>
          <w:lang w:val="en-US"/>
        </w:rPr>
      </w:pPr>
      <w:r w:rsidRPr="00DD1B58">
        <w:rPr>
          <w:rFonts w:eastAsia="Arial"/>
          <w:szCs w:val="24"/>
          <w:lang w:val="en-US"/>
        </w:rPr>
        <w:t xml:space="preserve">In summary, the main conclusion from ONR’s assessment is that </w:t>
      </w:r>
      <w:r w:rsidR="00F71F59" w:rsidRPr="00DD1B58">
        <w:rPr>
          <w:rFonts w:eastAsia="Arial"/>
          <w:szCs w:val="24"/>
          <w:lang w:val="en-US"/>
        </w:rPr>
        <w:t>EDF-NGL’s</w:t>
      </w:r>
      <w:r w:rsidRPr="00DD1B58">
        <w:rPr>
          <w:rFonts w:eastAsia="Arial"/>
          <w:szCs w:val="24"/>
          <w:lang w:val="en-US"/>
        </w:rPr>
        <w:t xml:space="preserve"> has adequate arrangements for undertaking nuclear fire hazard analysis</w:t>
      </w:r>
      <w:r w:rsidR="00AE2B6E" w:rsidRPr="00DD1B58">
        <w:rPr>
          <w:rFonts w:eastAsia="Arial"/>
          <w:szCs w:val="24"/>
          <w:lang w:val="en-US"/>
        </w:rPr>
        <w:t>.</w:t>
      </w:r>
    </w:p>
    <w:p w14:paraId="2E7AFC6A" w14:textId="306678BD" w:rsidR="00DB3279" w:rsidRPr="00DD1B58" w:rsidRDefault="00DB3279" w:rsidP="0090753C">
      <w:pPr>
        <w:pStyle w:val="Heading4"/>
        <w:numPr>
          <w:ilvl w:val="4"/>
          <w:numId w:val="3"/>
        </w:numPr>
        <w:rPr>
          <w:bCs w:val="0"/>
          <w:lang w:val="en-US"/>
        </w:rPr>
      </w:pPr>
      <w:r w:rsidRPr="00DD1B58">
        <w:rPr>
          <w:bCs w:val="0"/>
          <w:lang w:val="en-US"/>
        </w:rPr>
        <w:t xml:space="preserve">Lessons learned from inspection and assessment as part of regulatory oversight </w:t>
      </w:r>
    </w:p>
    <w:p w14:paraId="3F3228F4" w14:textId="1FCDC22F" w:rsidR="153452BC" w:rsidRPr="00DD1B58" w:rsidRDefault="153452BC">
      <w:pPr>
        <w:rPr>
          <w:lang w:val="en-US"/>
        </w:rPr>
      </w:pPr>
      <w:r w:rsidRPr="00DD1B58">
        <w:rPr>
          <w:rFonts w:eastAsia="Arial"/>
          <w:szCs w:val="24"/>
          <w:lang w:val="en-US"/>
        </w:rPr>
        <w:t xml:space="preserve">ONR provides regulatory oversight of licensees’ activities through inspection and assessment. </w:t>
      </w:r>
      <w:r w:rsidR="004F0B80" w:rsidRPr="00DD1B58">
        <w:rPr>
          <w:rFonts w:eastAsia="Arial"/>
          <w:szCs w:val="24"/>
          <w:lang w:val="en-US"/>
        </w:rPr>
        <w:t>Regulatory oversight is coordinated by the ONR</w:t>
      </w:r>
      <w:r w:rsidRPr="00DD1B58">
        <w:rPr>
          <w:rFonts w:eastAsia="Arial"/>
          <w:szCs w:val="24"/>
          <w:lang w:val="en-US"/>
        </w:rPr>
        <w:t xml:space="preserve"> nominated site inspector for each of the candidate </w:t>
      </w:r>
      <w:r w:rsidR="004F0B80" w:rsidRPr="00DD1B58">
        <w:rPr>
          <w:rFonts w:eastAsia="Arial"/>
          <w:szCs w:val="24"/>
          <w:lang w:val="en-US"/>
        </w:rPr>
        <w:t xml:space="preserve">installations and </w:t>
      </w:r>
      <w:r w:rsidR="00C05A96" w:rsidRPr="00DD1B58">
        <w:rPr>
          <w:rFonts w:eastAsia="Arial"/>
          <w:szCs w:val="24"/>
          <w:lang w:val="en-US"/>
        </w:rPr>
        <w:t xml:space="preserve">the </w:t>
      </w:r>
      <w:r w:rsidR="004F0B80" w:rsidRPr="00DD1B58">
        <w:rPr>
          <w:rFonts w:eastAsia="Arial"/>
          <w:szCs w:val="24"/>
          <w:lang w:val="en-US"/>
        </w:rPr>
        <w:t>p</w:t>
      </w:r>
      <w:r w:rsidRPr="00DD1B58">
        <w:rPr>
          <w:rFonts w:eastAsia="Arial"/>
          <w:szCs w:val="24"/>
          <w:lang w:val="en-US"/>
        </w:rPr>
        <w:t xml:space="preserve">roject inspectors assigned to </w:t>
      </w:r>
      <w:r w:rsidR="004F0B80" w:rsidRPr="00DD1B58">
        <w:rPr>
          <w:rFonts w:eastAsia="Arial"/>
          <w:szCs w:val="24"/>
          <w:lang w:val="en-US"/>
        </w:rPr>
        <w:t xml:space="preserve">coordinate the assessments and inspections associated with plant </w:t>
      </w:r>
      <w:r w:rsidRPr="00DD1B58">
        <w:rPr>
          <w:rFonts w:eastAsia="Arial"/>
          <w:szCs w:val="24"/>
          <w:lang w:val="en-US"/>
        </w:rPr>
        <w:t>modification</w:t>
      </w:r>
      <w:r w:rsidR="004F0B80" w:rsidRPr="00DD1B58">
        <w:rPr>
          <w:rFonts w:eastAsia="Arial"/>
          <w:szCs w:val="24"/>
          <w:lang w:val="en-US"/>
        </w:rPr>
        <w:t>s</w:t>
      </w:r>
      <w:r w:rsidRPr="00DD1B58">
        <w:rPr>
          <w:rFonts w:eastAsia="Arial"/>
          <w:szCs w:val="24"/>
          <w:lang w:val="en-US"/>
        </w:rPr>
        <w:t>, construction</w:t>
      </w:r>
      <w:r w:rsidR="00F52BAD" w:rsidRPr="00DD1B58">
        <w:rPr>
          <w:rFonts w:eastAsia="Arial"/>
          <w:szCs w:val="24"/>
          <w:lang w:val="en-US"/>
        </w:rPr>
        <w:t>, defueling</w:t>
      </w:r>
      <w:r w:rsidRPr="00DD1B58">
        <w:rPr>
          <w:rFonts w:eastAsia="Arial"/>
          <w:szCs w:val="24"/>
          <w:lang w:val="en-US"/>
        </w:rPr>
        <w:t xml:space="preserve"> </w:t>
      </w:r>
      <w:r w:rsidR="004F0B80" w:rsidRPr="00DD1B58">
        <w:rPr>
          <w:rFonts w:eastAsia="Arial"/>
          <w:szCs w:val="24"/>
          <w:lang w:val="en-US"/>
        </w:rPr>
        <w:t xml:space="preserve">and </w:t>
      </w:r>
      <w:r w:rsidR="00E17CD0" w:rsidRPr="00DD1B58">
        <w:rPr>
          <w:rFonts w:eastAsia="Arial"/>
          <w:szCs w:val="24"/>
          <w:lang w:val="en-US"/>
        </w:rPr>
        <w:t>decommissioning</w:t>
      </w:r>
      <w:r w:rsidR="00DB6369" w:rsidRPr="00DD1B58">
        <w:rPr>
          <w:rFonts w:eastAsia="Arial"/>
          <w:szCs w:val="24"/>
          <w:lang w:val="en-US"/>
        </w:rPr>
        <w:t xml:space="preserve"> </w:t>
      </w:r>
      <w:r w:rsidRPr="00DD1B58">
        <w:rPr>
          <w:rFonts w:eastAsia="Arial"/>
          <w:szCs w:val="24"/>
          <w:lang w:val="en-US"/>
        </w:rPr>
        <w:t xml:space="preserve">activities. Specialist </w:t>
      </w:r>
      <w:r w:rsidR="00CC000A" w:rsidRPr="00DD1B58">
        <w:rPr>
          <w:rFonts w:eastAsia="Arial"/>
          <w:szCs w:val="24"/>
          <w:lang w:val="en-US"/>
        </w:rPr>
        <w:t xml:space="preserve">technical </w:t>
      </w:r>
      <w:r w:rsidRPr="00DD1B58">
        <w:rPr>
          <w:rFonts w:eastAsia="Arial"/>
          <w:szCs w:val="24"/>
          <w:lang w:val="en-US"/>
        </w:rPr>
        <w:t>inspectors</w:t>
      </w:r>
      <w:r w:rsidR="00CC000A" w:rsidRPr="00DD1B58">
        <w:rPr>
          <w:rFonts w:eastAsia="Arial"/>
          <w:szCs w:val="24"/>
          <w:lang w:val="en-US"/>
        </w:rPr>
        <w:t xml:space="preserve"> including fire and internal hazards specialists</w:t>
      </w:r>
      <w:r w:rsidRPr="00DD1B58">
        <w:rPr>
          <w:rFonts w:eastAsia="Arial"/>
          <w:szCs w:val="24"/>
          <w:lang w:val="en-US"/>
        </w:rPr>
        <w:t xml:space="preserve"> support </w:t>
      </w:r>
      <w:r w:rsidR="00CC000A" w:rsidRPr="00DD1B58">
        <w:rPr>
          <w:rFonts w:eastAsia="Arial"/>
          <w:szCs w:val="24"/>
          <w:lang w:val="en-US"/>
        </w:rPr>
        <w:t xml:space="preserve">the nominated site inspectors and project inspectors </w:t>
      </w:r>
      <w:r w:rsidRPr="00DD1B58">
        <w:rPr>
          <w:rFonts w:eastAsia="Arial"/>
          <w:szCs w:val="24"/>
          <w:lang w:val="en-US"/>
        </w:rPr>
        <w:t xml:space="preserve">in </w:t>
      </w:r>
      <w:r w:rsidR="00CC000A" w:rsidRPr="00DD1B58">
        <w:rPr>
          <w:rFonts w:eastAsia="Arial"/>
          <w:szCs w:val="24"/>
          <w:lang w:val="en-US"/>
        </w:rPr>
        <w:t>these projects.</w:t>
      </w:r>
    </w:p>
    <w:p w14:paraId="0259E632" w14:textId="7946660C" w:rsidR="006768FF" w:rsidRPr="00DD1B58" w:rsidRDefault="153452BC" w:rsidP="3FE0E35C">
      <w:pPr>
        <w:spacing w:line="257" w:lineRule="auto"/>
        <w:rPr>
          <w:rFonts w:eastAsia="Arial"/>
          <w:szCs w:val="24"/>
          <w:lang w:val="en-US"/>
        </w:rPr>
      </w:pPr>
      <w:r w:rsidRPr="00DD1B58">
        <w:rPr>
          <w:rFonts w:eastAsia="Arial"/>
          <w:szCs w:val="24"/>
          <w:lang w:val="en-US"/>
        </w:rPr>
        <w:lastRenderedPageBreak/>
        <w:t xml:space="preserve">ONR assessed the internal hazards aspects of HY2 during the </w:t>
      </w:r>
      <w:r w:rsidR="006B1430" w:rsidRPr="00DD1B58">
        <w:rPr>
          <w:rFonts w:eastAsia="Arial"/>
          <w:szCs w:val="24"/>
          <w:lang w:val="en-US"/>
        </w:rPr>
        <w:t>HY</w:t>
      </w:r>
      <w:r w:rsidRPr="00DD1B58">
        <w:rPr>
          <w:rFonts w:eastAsia="Arial"/>
          <w:szCs w:val="24"/>
          <w:lang w:val="en-US"/>
        </w:rPr>
        <w:t xml:space="preserve">2 and </w:t>
      </w:r>
      <w:r w:rsidR="006B1430" w:rsidRPr="00DD1B58">
        <w:rPr>
          <w:rFonts w:eastAsia="Arial"/>
          <w:szCs w:val="24"/>
          <w:lang w:val="en-US"/>
        </w:rPr>
        <w:t xml:space="preserve">TOR </w:t>
      </w:r>
      <w:r w:rsidRPr="00DD1B58">
        <w:rPr>
          <w:rFonts w:eastAsia="Arial"/>
          <w:szCs w:val="24"/>
          <w:lang w:val="en-US"/>
        </w:rPr>
        <w:t>PSR3 in 2020</w:t>
      </w:r>
      <w:sdt>
        <w:sdtPr>
          <w:rPr>
            <w:rFonts w:eastAsia="Arial"/>
            <w:szCs w:val="24"/>
            <w:lang w:val="en-US"/>
          </w:rPr>
          <w:id w:val="-914546298"/>
          <w:citation/>
        </w:sdtPr>
        <w:sdtContent>
          <w:r w:rsidR="00846B9A" w:rsidRPr="00DD1B58">
            <w:rPr>
              <w:rFonts w:eastAsia="Arial"/>
              <w:szCs w:val="24"/>
              <w:lang w:val="en-US"/>
            </w:rPr>
            <w:fldChar w:fldCharType="begin"/>
          </w:r>
          <w:r w:rsidR="00602670" w:rsidRPr="00DD1B58">
            <w:rPr>
              <w:rFonts w:eastAsia="Arial"/>
              <w:szCs w:val="24"/>
              <w:lang w:val="en-US"/>
            </w:rPr>
            <w:instrText xml:space="preserve">CITATION ONR20 \l 2057 </w:instrText>
          </w:r>
          <w:r w:rsidR="00846B9A" w:rsidRPr="00DD1B58">
            <w:rPr>
              <w:rFonts w:eastAsia="Arial"/>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[37]</w:t>
          </w:r>
          <w:r w:rsidR="00846B9A" w:rsidRPr="00DD1B58">
            <w:rPr>
              <w:rFonts w:eastAsia="Arial"/>
              <w:szCs w:val="24"/>
              <w:lang w:val="en-US"/>
            </w:rPr>
            <w:fldChar w:fldCharType="end"/>
          </w:r>
        </w:sdtContent>
      </w:sdt>
      <w:r w:rsidR="0078502A" w:rsidRPr="00DD1B58">
        <w:rPr>
          <w:rFonts w:eastAsia="Arial"/>
          <w:szCs w:val="24"/>
          <w:lang w:val="en-US"/>
        </w:rPr>
        <w:t xml:space="preserve"> and concluded that the PSR adequately considered fire and no fire-related regulatory findings were raised. Similarly, ONR carried out </w:t>
      </w:r>
      <w:r w:rsidRPr="00DD1B58">
        <w:rPr>
          <w:rFonts w:eastAsia="Arial"/>
          <w:szCs w:val="24"/>
          <w:lang w:val="en-US"/>
        </w:rPr>
        <w:t xml:space="preserve">assessments </w:t>
      </w:r>
      <w:r w:rsidR="0078502A" w:rsidRPr="00DD1B58">
        <w:rPr>
          <w:rFonts w:eastAsia="Arial"/>
          <w:szCs w:val="24"/>
          <w:lang w:val="en-US"/>
        </w:rPr>
        <w:t>of</w:t>
      </w:r>
      <w:r w:rsidRPr="00DD1B58">
        <w:rPr>
          <w:rFonts w:eastAsia="Arial"/>
          <w:szCs w:val="24"/>
          <w:lang w:val="en-US"/>
        </w:rPr>
        <w:t xml:space="preserve"> </w:t>
      </w:r>
      <w:r w:rsidR="00D61917" w:rsidRPr="00DD1B58">
        <w:rPr>
          <w:rFonts w:eastAsia="Arial"/>
          <w:szCs w:val="24"/>
          <w:lang w:val="en-US"/>
        </w:rPr>
        <w:t>H</w:t>
      </w:r>
      <w:r w:rsidR="002F4A48" w:rsidRPr="00DD1B58">
        <w:rPr>
          <w:rFonts w:eastAsia="Arial"/>
          <w:szCs w:val="24"/>
          <w:lang w:val="en-US"/>
        </w:rPr>
        <w:t>eysham 1 (H</w:t>
      </w:r>
      <w:r w:rsidR="00D61917" w:rsidRPr="00DD1B58">
        <w:rPr>
          <w:rFonts w:eastAsia="Arial"/>
          <w:szCs w:val="24"/>
          <w:lang w:val="en-US"/>
        </w:rPr>
        <w:t>Y</w:t>
      </w:r>
      <w:r w:rsidRPr="00DD1B58">
        <w:rPr>
          <w:rFonts w:eastAsia="Arial"/>
          <w:szCs w:val="24"/>
          <w:lang w:val="en-US"/>
        </w:rPr>
        <w:t>1</w:t>
      </w:r>
      <w:r w:rsidR="002F4A48" w:rsidRPr="00DD1B58">
        <w:rPr>
          <w:rFonts w:eastAsia="Arial"/>
          <w:szCs w:val="24"/>
          <w:lang w:val="en-US"/>
        </w:rPr>
        <w:t>)</w:t>
      </w:r>
      <w:r w:rsidRPr="00DD1B58">
        <w:rPr>
          <w:rFonts w:eastAsia="Arial"/>
          <w:szCs w:val="24"/>
          <w:lang w:val="en-US"/>
        </w:rPr>
        <w:t xml:space="preserve"> and </w:t>
      </w:r>
      <w:r w:rsidR="00D61917" w:rsidRPr="00DD1B58">
        <w:rPr>
          <w:rFonts w:eastAsia="Arial"/>
          <w:szCs w:val="24"/>
          <w:lang w:val="en-US"/>
        </w:rPr>
        <w:t>H</w:t>
      </w:r>
      <w:r w:rsidR="00E3043B" w:rsidRPr="00DD1B58">
        <w:rPr>
          <w:rFonts w:eastAsia="Arial"/>
          <w:szCs w:val="24"/>
          <w:lang w:val="en-US"/>
        </w:rPr>
        <w:t>artlepool A (HRA)</w:t>
      </w:r>
      <w:r w:rsidR="00D61917" w:rsidRPr="00DD1B58">
        <w:rPr>
          <w:rFonts w:eastAsia="Arial"/>
          <w:szCs w:val="24"/>
          <w:lang w:val="en-US"/>
        </w:rPr>
        <w:t xml:space="preserve"> </w:t>
      </w:r>
      <w:r w:rsidRPr="00DD1B58">
        <w:rPr>
          <w:rFonts w:eastAsia="Arial"/>
          <w:szCs w:val="24"/>
          <w:lang w:val="en-US"/>
        </w:rPr>
        <w:t>(PSR3) in 201</w:t>
      </w:r>
      <w:r w:rsidR="006C1895" w:rsidRPr="00DD1B58">
        <w:rPr>
          <w:rFonts w:eastAsia="Arial"/>
          <w:szCs w:val="24"/>
          <w:lang w:val="en-US"/>
        </w:rPr>
        <w:t>9</w:t>
      </w:r>
      <w:sdt>
        <w:sdtPr>
          <w:rPr>
            <w:rFonts w:eastAsia="Arial"/>
            <w:szCs w:val="24"/>
            <w:lang w:val="en-US"/>
          </w:rPr>
          <w:id w:val="1770347041"/>
          <w:citation/>
        </w:sdtPr>
        <w:sdtContent>
          <w:r w:rsidR="00540F91" w:rsidRPr="00DD1B58">
            <w:rPr>
              <w:rFonts w:eastAsia="Arial"/>
              <w:szCs w:val="24"/>
              <w:lang w:val="en-US"/>
            </w:rPr>
            <w:fldChar w:fldCharType="begin"/>
          </w:r>
          <w:r w:rsidR="00602670" w:rsidRPr="00DD1B58">
            <w:rPr>
              <w:rFonts w:eastAsia="Arial"/>
              <w:szCs w:val="24"/>
              <w:lang w:val="en-US"/>
            </w:rPr>
            <w:instrText xml:space="preserve">CITATION ONR19 \l 2057 </w:instrText>
          </w:r>
          <w:r w:rsidR="00540F91" w:rsidRPr="00DD1B58">
            <w:rPr>
              <w:rFonts w:eastAsia="Arial"/>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[38]</w:t>
          </w:r>
          <w:r w:rsidR="00540F91" w:rsidRPr="00DD1B58">
            <w:rPr>
              <w:rFonts w:eastAsia="Arial"/>
              <w:szCs w:val="24"/>
              <w:lang w:val="en-US"/>
            </w:rPr>
            <w:fldChar w:fldCharType="end"/>
          </w:r>
        </w:sdtContent>
      </w:sdt>
      <w:r w:rsidRPr="00DD1B58">
        <w:rPr>
          <w:rFonts w:eastAsia="Arial"/>
          <w:szCs w:val="24"/>
          <w:lang w:val="en-US"/>
        </w:rPr>
        <w:t xml:space="preserve">. </w:t>
      </w:r>
      <w:r w:rsidR="00264C93" w:rsidRPr="00DD1B58">
        <w:rPr>
          <w:rFonts w:eastAsia="Arial"/>
          <w:szCs w:val="24"/>
          <w:lang w:val="en-US"/>
        </w:rPr>
        <w:t>Fire-related findings and</w:t>
      </w:r>
      <w:r w:rsidRPr="00DD1B58">
        <w:rPr>
          <w:rFonts w:eastAsia="Arial"/>
          <w:szCs w:val="24"/>
          <w:lang w:val="en-US"/>
        </w:rPr>
        <w:t xml:space="preserve"> issues were identified </w:t>
      </w:r>
      <w:r w:rsidR="00264C93" w:rsidRPr="00DD1B58">
        <w:rPr>
          <w:rFonts w:eastAsia="Arial"/>
          <w:szCs w:val="24"/>
          <w:lang w:val="en-US"/>
        </w:rPr>
        <w:t>HY</w:t>
      </w:r>
      <w:r w:rsidRPr="00DD1B58">
        <w:rPr>
          <w:rFonts w:eastAsia="Arial"/>
          <w:szCs w:val="24"/>
          <w:lang w:val="en-US"/>
        </w:rPr>
        <w:t>1</w:t>
      </w:r>
      <w:r w:rsidR="00264C93" w:rsidRPr="00DD1B58">
        <w:rPr>
          <w:rFonts w:eastAsia="Arial"/>
          <w:szCs w:val="24"/>
          <w:lang w:val="en-US"/>
        </w:rPr>
        <w:t>/</w:t>
      </w:r>
      <w:r w:rsidR="00D61917" w:rsidRPr="00DD1B58">
        <w:rPr>
          <w:rFonts w:eastAsia="Arial"/>
          <w:szCs w:val="24"/>
          <w:lang w:val="en-US"/>
        </w:rPr>
        <w:t>HRA</w:t>
      </w:r>
      <w:r w:rsidRPr="00DD1B58">
        <w:rPr>
          <w:rFonts w:eastAsia="Arial"/>
          <w:szCs w:val="24"/>
          <w:lang w:val="en-US"/>
        </w:rPr>
        <w:t xml:space="preserve"> where the fire hazards safety case had not been the subject of a safety case health review prior to PSR3. The internal hazards inspector recommended that the fire safety case should be subject to a detailed review to </w:t>
      </w:r>
      <w:r w:rsidR="00862632" w:rsidRPr="00DD1B58">
        <w:rPr>
          <w:rFonts w:eastAsia="Arial"/>
          <w:szCs w:val="24"/>
          <w:lang w:val="en-US"/>
        </w:rPr>
        <w:t xml:space="preserve">demonstrate that fire </w:t>
      </w:r>
      <w:r w:rsidRPr="00DD1B58">
        <w:rPr>
          <w:rFonts w:eastAsia="Arial"/>
          <w:szCs w:val="24"/>
          <w:lang w:val="en-US"/>
        </w:rPr>
        <w:t xml:space="preserve">risks are reduced ALARP. In addition, </w:t>
      </w:r>
      <w:r w:rsidR="00862632" w:rsidRPr="00DD1B58">
        <w:rPr>
          <w:rFonts w:eastAsia="Arial"/>
          <w:szCs w:val="24"/>
          <w:lang w:val="en-US"/>
        </w:rPr>
        <w:t xml:space="preserve">ONR’s </w:t>
      </w:r>
      <w:r w:rsidRPr="00DD1B58">
        <w:rPr>
          <w:rFonts w:eastAsia="Arial"/>
          <w:szCs w:val="24"/>
          <w:lang w:val="en-US"/>
        </w:rPr>
        <w:t xml:space="preserve">assessment identified </w:t>
      </w:r>
      <w:r w:rsidR="00862632" w:rsidRPr="00DD1B58">
        <w:rPr>
          <w:rFonts w:eastAsia="Arial"/>
          <w:szCs w:val="24"/>
          <w:lang w:val="en-US"/>
        </w:rPr>
        <w:t xml:space="preserve">degradation and reliability issues with </w:t>
      </w:r>
      <w:r w:rsidRPr="00DD1B58">
        <w:rPr>
          <w:rFonts w:eastAsia="Arial"/>
          <w:szCs w:val="24"/>
          <w:lang w:val="en-US"/>
        </w:rPr>
        <w:t>fire suppression systems</w:t>
      </w:r>
      <w:r w:rsidR="00862632" w:rsidRPr="00DD1B58">
        <w:rPr>
          <w:rFonts w:eastAsia="Arial"/>
          <w:szCs w:val="24"/>
          <w:lang w:val="en-US"/>
        </w:rPr>
        <w:t>, raising a recommendation for the licensee</w:t>
      </w:r>
      <w:r w:rsidRPr="00DD1B58">
        <w:rPr>
          <w:rFonts w:eastAsia="Arial"/>
          <w:szCs w:val="24"/>
          <w:lang w:val="en-US"/>
        </w:rPr>
        <w:t xml:space="preserve"> to </w:t>
      </w:r>
      <w:r w:rsidR="00862632" w:rsidRPr="00DD1B58">
        <w:rPr>
          <w:rFonts w:eastAsia="Arial"/>
          <w:szCs w:val="24"/>
          <w:lang w:val="en-US"/>
        </w:rPr>
        <w:t>car</w:t>
      </w:r>
      <w:r w:rsidRPr="00DD1B58">
        <w:rPr>
          <w:rFonts w:eastAsia="Arial"/>
          <w:szCs w:val="24"/>
          <w:lang w:val="en-US"/>
        </w:rPr>
        <w:t xml:space="preserve">ry out the </w:t>
      </w:r>
      <w:r w:rsidR="00862632" w:rsidRPr="00DD1B58">
        <w:rPr>
          <w:rFonts w:eastAsia="Arial"/>
          <w:szCs w:val="24"/>
          <w:lang w:val="en-US"/>
        </w:rPr>
        <w:t>necessary refurbishment</w:t>
      </w:r>
      <w:r w:rsidR="00CE1DF3" w:rsidRPr="00DD1B58">
        <w:rPr>
          <w:rFonts w:eastAsia="Arial"/>
          <w:szCs w:val="24"/>
          <w:lang w:val="en-US"/>
        </w:rPr>
        <w:t>,</w:t>
      </w:r>
      <w:r w:rsidR="00862632" w:rsidRPr="00DD1B58">
        <w:rPr>
          <w:rFonts w:eastAsia="Arial"/>
          <w:szCs w:val="24"/>
          <w:lang w:val="en-US"/>
        </w:rPr>
        <w:t xml:space="preserve"> </w:t>
      </w:r>
      <w:r w:rsidRPr="00DD1B58">
        <w:rPr>
          <w:rFonts w:eastAsia="Arial"/>
          <w:szCs w:val="24"/>
          <w:lang w:val="en-US"/>
        </w:rPr>
        <w:t>as identified in the project assessment report</w:t>
      </w:r>
      <w:r w:rsidR="00CE1DF3" w:rsidRPr="00DD1B58">
        <w:rPr>
          <w:rFonts w:eastAsia="Arial"/>
          <w:szCs w:val="24"/>
          <w:lang w:val="en-US"/>
        </w:rPr>
        <w:t xml:space="preserve">, </w:t>
      </w:r>
      <w:r w:rsidRPr="00DD1B58">
        <w:rPr>
          <w:rFonts w:eastAsia="Arial"/>
          <w:szCs w:val="24"/>
          <w:lang w:val="en-US"/>
        </w:rPr>
        <w:t xml:space="preserve">to ensure that the plant continues to meet the requirements of the safety case with regard to the overall integrity, reliability, performance and continued qualification of the plant against the relevant hazards. </w:t>
      </w:r>
    </w:p>
    <w:p w14:paraId="4DE0BF90" w14:textId="37677793" w:rsidR="153452BC" w:rsidRPr="00DD1B58" w:rsidRDefault="153452BC" w:rsidP="3FE0E35C">
      <w:pPr>
        <w:spacing w:line="257" w:lineRule="auto"/>
        <w:rPr>
          <w:lang w:val="en-US"/>
        </w:rPr>
      </w:pPr>
      <w:r w:rsidRPr="00DD1B58">
        <w:rPr>
          <w:rFonts w:eastAsia="Arial"/>
          <w:szCs w:val="24"/>
          <w:lang w:val="en-US"/>
        </w:rPr>
        <w:t xml:space="preserve">ONR </w:t>
      </w:r>
      <w:r w:rsidR="00CE1DF3" w:rsidRPr="00DD1B58">
        <w:rPr>
          <w:rFonts w:eastAsia="Arial"/>
          <w:szCs w:val="24"/>
          <w:lang w:val="en-US"/>
        </w:rPr>
        <w:t xml:space="preserve">carried </w:t>
      </w:r>
      <w:r w:rsidR="009D47EC" w:rsidRPr="00DD1B58">
        <w:rPr>
          <w:rFonts w:eastAsia="Arial"/>
          <w:szCs w:val="24"/>
          <w:lang w:val="en-US"/>
        </w:rPr>
        <w:t xml:space="preserve">out </w:t>
      </w:r>
      <w:r w:rsidRPr="00DD1B58">
        <w:rPr>
          <w:rFonts w:eastAsia="Arial"/>
          <w:szCs w:val="24"/>
          <w:lang w:val="en-US"/>
        </w:rPr>
        <w:t>internal hazards assessment</w:t>
      </w:r>
      <w:r w:rsidR="00C24011" w:rsidRPr="00DD1B58">
        <w:rPr>
          <w:rFonts w:eastAsia="Arial"/>
          <w:szCs w:val="24"/>
          <w:lang w:val="en-US"/>
        </w:rPr>
        <w:t>s,</w:t>
      </w:r>
      <w:r w:rsidRPr="00DD1B58">
        <w:rPr>
          <w:rFonts w:eastAsia="Arial"/>
          <w:szCs w:val="24"/>
          <w:lang w:val="en-US"/>
        </w:rPr>
        <w:t xml:space="preserve"> </w:t>
      </w:r>
      <w:r w:rsidR="00C24011" w:rsidRPr="00DD1B58">
        <w:rPr>
          <w:rFonts w:eastAsia="Arial"/>
          <w:szCs w:val="24"/>
          <w:lang w:val="en-US"/>
        </w:rPr>
        <w:t>including</w:t>
      </w:r>
      <w:r w:rsidRPr="00DD1B58">
        <w:rPr>
          <w:rFonts w:eastAsia="Arial"/>
          <w:szCs w:val="24"/>
          <w:lang w:val="en-US"/>
        </w:rPr>
        <w:t xml:space="preserve"> fire</w:t>
      </w:r>
      <w:r w:rsidR="00C24011" w:rsidRPr="00DD1B58">
        <w:rPr>
          <w:rFonts w:eastAsia="Arial"/>
          <w:szCs w:val="24"/>
          <w:lang w:val="en-US"/>
        </w:rPr>
        <w:t>, ahead</w:t>
      </w:r>
      <w:r w:rsidRPr="00DD1B58">
        <w:rPr>
          <w:rFonts w:eastAsia="Arial"/>
          <w:szCs w:val="24"/>
          <w:lang w:val="en-US"/>
        </w:rPr>
        <w:t xml:space="preserve"> </w:t>
      </w:r>
      <w:r w:rsidR="006768FF" w:rsidRPr="00DD1B58">
        <w:rPr>
          <w:rFonts w:eastAsia="Arial"/>
          <w:szCs w:val="24"/>
          <w:lang w:val="en-US"/>
        </w:rPr>
        <w:t>of</w:t>
      </w:r>
      <w:r w:rsidRPr="00DD1B58">
        <w:rPr>
          <w:rFonts w:eastAsia="Arial"/>
          <w:szCs w:val="24"/>
          <w:lang w:val="en-US"/>
        </w:rPr>
        <w:t xml:space="preserve"> the </w:t>
      </w:r>
      <w:r w:rsidR="00B64860" w:rsidRPr="00DD1B58">
        <w:rPr>
          <w:rFonts w:eastAsia="Arial"/>
          <w:szCs w:val="24"/>
          <w:lang w:val="en-US"/>
        </w:rPr>
        <w:t>defueling</w:t>
      </w:r>
      <w:r w:rsidRPr="00DD1B58">
        <w:rPr>
          <w:rFonts w:eastAsia="Arial"/>
          <w:szCs w:val="24"/>
          <w:lang w:val="en-US"/>
        </w:rPr>
        <w:t xml:space="preserve"> of HNB, HPB</w:t>
      </w:r>
      <w:sdt>
        <w:sdtPr>
          <w:rPr>
            <w:rFonts w:eastAsia="Arial"/>
            <w:szCs w:val="24"/>
            <w:lang w:val="en-US"/>
          </w:rPr>
          <w:id w:val="384530929"/>
          <w:citation/>
        </w:sdtPr>
        <w:sdtContent>
          <w:r w:rsidR="009E1A2C" w:rsidRPr="00DD1B58">
            <w:rPr>
              <w:rFonts w:eastAsia="Arial"/>
              <w:szCs w:val="24"/>
              <w:lang w:val="en-US"/>
            </w:rPr>
            <w:fldChar w:fldCharType="begin"/>
          </w:r>
          <w:r w:rsidR="00111B4A" w:rsidRPr="00DD1B58">
            <w:rPr>
              <w:rFonts w:eastAsia="Arial"/>
              <w:szCs w:val="24"/>
              <w:lang w:val="en-US"/>
            </w:rPr>
            <w:instrText xml:space="preserve">CITATION ONR222 \l 2057 </w:instrText>
          </w:r>
          <w:r w:rsidR="009E1A2C" w:rsidRPr="00DD1B58">
            <w:rPr>
              <w:rFonts w:eastAsia="Arial"/>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[39]</w:t>
          </w:r>
          <w:r w:rsidR="009E1A2C" w:rsidRPr="00DD1B58">
            <w:rPr>
              <w:rFonts w:eastAsia="Arial"/>
              <w:szCs w:val="24"/>
              <w:lang w:val="en-US"/>
            </w:rPr>
            <w:fldChar w:fldCharType="end"/>
          </w:r>
        </w:sdtContent>
      </w:sdt>
      <w:r w:rsidRPr="00DD1B58">
        <w:rPr>
          <w:rFonts w:eastAsia="Arial"/>
          <w:szCs w:val="24"/>
          <w:lang w:val="en-US"/>
        </w:rPr>
        <w:t xml:space="preserve"> and DNB</w:t>
      </w:r>
      <w:r w:rsidR="00C24011" w:rsidRPr="00DD1B58">
        <w:rPr>
          <w:rFonts w:eastAsia="Arial"/>
          <w:szCs w:val="24"/>
          <w:lang w:val="en-US"/>
        </w:rPr>
        <w:t xml:space="preserve"> </w:t>
      </w:r>
      <w:sdt>
        <w:sdtPr>
          <w:rPr>
            <w:rFonts w:eastAsia="Arial"/>
            <w:szCs w:val="24"/>
            <w:lang w:val="en-US"/>
          </w:rPr>
          <w:id w:val="-1706549732"/>
          <w:citation/>
        </w:sdtPr>
        <w:sdtContent>
          <w:r w:rsidR="00051122" w:rsidRPr="00DD1B58">
            <w:rPr>
              <w:rFonts w:eastAsia="Arial"/>
              <w:szCs w:val="24"/>
              <w:lang w:val="en-US"/>
            </w:rPr>
            <w:fldChar w:fldCharType="begin"/>
          </w:r>
          <w:r w:rsidR="00111B4A" w:rsidRPr="00DD1B58">
            <w:rPr>
              <w:rFonts w:eastAsia="Arial"/>
              <w:szCs w:val="24"/>
              <w:lang w:val="en-US"/>
            </w:rPr>
            <w:instrText xml:space="preserve">CITATION ONR221 \l 2057 </w:instrText>
          </w:r>
          <w:r w:rsidR="00051122" w:rsidRPr="00DD1B58">
            <w:rPr>
              <w:rFonts w:eastAsia="Arial"/>
              <w:szCs w:val="24"/>
              <w:lang w:val="en-US"/>
            </w:rPr>
            <w:fldChar w:fldCharType="separate"/>
          </w:r>
          <w:r w:rsidR="00DF47DA" w:rsidRPr="00DF47DA">
            <w:rPr>
              <w:rFonts w:eastAsia="Arial"/>
              <w:noProof/>
              <w:szCs w:val="24"/>
              <w:lang w:val="en-US"/>
            </w:rPr>
            <w:t>[40]</w:t>
          </w:r>
          <w:r w:rsidR="00051122" w:rsidRPr="00DD1B58">
            <w:rPr>
              <w:rFonts w:eastAsia="Arial"/>
              <w:szCs w:val="24"/>
              <w:lang w:val="en-US"/>
            </w:rPr>
            <w:fldChar w:fldCharType="end"/>
          </w:r>
        </w:sdtContent>
      </w:sdt>
      <w:r w:rsidRPr="00DD1B58">
        <w:rPr>
          <w:rFonts w:eastAsia="Arial"/>
          <w:szCs w:val="24"/>
          <w:lang w:val="en-US"/>
        </w:rPr>
        <w:t xml:space="preserve">. </w:t>
      </w:r>
      <w:r w:rsidR="00E953A3" w:rsidRPr="00DD1B58">
        <w:rPr>
          <w:rFonts w:eastAsia="Arial"/>
          <w:szCs w:val="24"/>
          <w:lang w:val="en-US"/>
        </w:rPr>
        <w:t>ONR concluded</w:t>
      </w:r>
      <w:r w:rsidRPr="00DD1B58">
        <w:rPr>
          <w:rFonts w:eastAsia="Arial"/>
          <w:szCs w:val="24"/>
          <w:lang w:val="en-US"/>
        </w:rPr>
        <w:t xml:space="preserve"> that the operations, plant and equipment used </w:t>
      </w:r>
      <w:r w:rsidR="00686652" w:rsidRPr="00DD1B58">
        <w:rPr>
          <w:rFonts w:eastAsia="Arial"/>
          <w:szCs w:val="24"/>
          <w:lang w:val="en-US"/>
        </w:rPr>
        <w:t xml:space="preserve">in </w:t>
      </w:r>
      <w:r w:rsidR="00B64860" w:rsidRPr="00DD1B58">
        <w:rPr>
          <w:rFonts w:eastAsia="Arial"/>
          <w:szCs w:val="24"/>
          <w:lang w:val="en-US"/>
        </w:rPr>
        <w:t>defueling</w:t>
      </w:r>
      <w:r w:rsidRPr="00DD1B58">
        <w:rPr>
          <w:rFonts w:eastAsia="Arial"/>
          <w:szCs w:val="24"/>
          <w:lang w:val="en-US"/>
        </w:rPr>
        <w:t xml:space="preserve"> </w:t>
      </w:r>
      <w:r w:rsidR="00686652" w:rsidRPr="00DD1B58">
        <w:rPr>
          <w:rFonts w:eastAsia="Arial"/>
          <w:szCs w:val="24"/>
          <w:lang w:val="en-US"/>
        </w:rPr>
        <w:t xml:space="preserve">the installations </w:t>
      </w:r>
      <w:r w:rsidRPr="00DD1B58">
        <w:rPr>
          <w:rFonts w:eastAsia="Arial"/>
          <w:szCs w:val="24"/>
          <w:lang w:val="en-US"/>
        </w:rPr>
        <w:t>are similar to those during refueling operations</w:t>
      </w:r>
      <w:r w:rsidR="00E953A3" w:rsidRPr="00DD1B58">
        <w:rPr>
          <w:rFonts w:eastAsia="Arial"/>
          <w:szCs w:val="24"/>
          <w:lang w:val="en-US"/>
        </w:rPr>
        <w:t xml:space="preserve"> and, a</w:t>
      </w:r>
      <w:r w:rsidRPr="00DD1B58">
        <w:rPr>
          <w:rFonts w:eastAsia="Arial"/>
          <w:szCs w:val="24"/>
          <w:lang w:val="en-US"/>
        </w:rPr>
        <w:t xml:space="preserve">s such, hazard sources </w:t>
      </w:r>
      <w:r w:rsidR="006768FF" w:rsidRPr="00DD1B58">
        <w:rPr>
          <w:rFonts w:eastAsia="Arial"/>
          <w:szCs w:val="24"/>
          <w:lang w:val="en-US"/>
        </w:rPr>
        <w:t>including</w:t>
      </w:r>
      <w:r w:rsidRPr="00DD1B58">
        <w:rPr>
          <w:rFonts w:eastAsia="Arial"/>
          <w:szCs w:val="24"/>
          <w:lang w:val="en-US"/>
        </w:rPr>
        <w:t xml:space="preserve"> fire</w:t>
      </w:r>
      <w:r w:rsidR="007A41CE" w:rsidRPr="00DD1B58">
        <w:rPr>
          <w:rFonts w:eastAsia="Arial"/>
          <w:szCs w:val="24"/>
          <w:lang w:val="en-US"/>
        </w:rPr>
        <w:t xml:space="preserve"> are not materially different</w:t>
      </w:r>
      <w:r w:rsidRPr="00DD1B58">
        <w:rPr>
          <w:rFonts w:eastAsia="Arial"/>
          <w:szCs w:val="24"/>
          <w:lang w:val="en-US"/>
        </w:rPr>
        <w:t xml:space="preserve">. </w:t>
      </w:r>
      <w:r w:rsidR="006768FF" w:rsidRPr="00DD1B58">
        <w:rPr>
          <w:rFonts w:eastAsia="Arial"/>
          <w:szCs w:val="24"/>
          <w:lang w:val="en-US"/>
        </w:rPr>
        <w:t xml:space="preserve">ONR </w:t>
      </w:r>
      <w:r w:rsidR="007A41CE" w:rsidRPr="00DD1B58">
        <w:rPr>
          <w:rFonts w:eastAsia="Arial"/>
          <w:szCs w:val="24"/>
          <w:lang w:val="en-US"/>
        </w:rPr>
        <w:t xml:space="preserve">noted the main difference </w:t>
      </w:r>
      <w:r w:rsidRPr="00DD1B58">
        <w:rPr>
          <w:rFonts w:eastAsia="Arial"/>
          <w:szCs w:val="24"/>
          <w:lang w:val="en-US"/>
        </w:rPr>
        <w:t xml:space="preserve">is that during </w:t>
      </w:r>
      <w:r w:rsidR="00B64860" w:rsidRPr="00DD1B58">
        <w:rPr>
          <w:rFonts w:eastAsia="Arial"/>
          <w:szCs w:val="24"/>
          <w:lang w:val="en-US"/>
        </w:rPr>
        <w:t>defueling</w:t>
      </w:r>
      <w:r w:rsidRPr="00DD1B58">
        <w:rPr>
          <w:rFonts w:eastAsia="Arial"/>
          <w:szCs w:val="24"/>
          <w:lang w:val="en-US"/>
        </w:rPr>
        <w:t>, reactor temperatures and pressures are much reduced</w:t>
      </w:r>
      <w:r w:rsidR="009D47EC" w:rsidRPr="00DD1B58">
        <w:rPr>
          <w:rFonts w:eastAsia="Arial"/>
          <w:szCs w:val="24"/>
          <w:lang w:val="en-US"/>
        </w:rPr>
        <w:t>,</w:t>
      </w:r>
      <w:r w:rsidR="007A41CE" w:rsidRPr="00DD1B58">
        <w:rPr>
          <w:rFonts w:eastAsia="Arial"/>
          <w:szCs w:val="24"/>
          <w:lang w:val="en-US"/>
        </w:rPr>
        <w:t xml:space="preserve"> thus reducing the number and strength of</w:t>
      </w:r>
      <w:r w:rsidRPr="00DD1B58">
        <w:rPr>
          <w:rFonts w:eastAsia="Arial"/>
          <w:szCs w:val="24"/>
          <w:lang w:val="en-US"/>
        </w:rPr>
        <w:t xml:space="preserve"> potential ignition sources present which could lead to a fire. In summary</w:t>
      </w:r>
      <w:r w:rsidR="009D47EC" w:rsidRPr="00DD1B58">
        <w:rPr>
          <w:rFonts w:eastAsia="Arial"/>
          <w:szCs w:val="24"/>
          <w:lang w:val="en-US"/>
        </w:rPr>
        <w:t>,</w:t>
      </w:r>
      <w:r w:rsidRPr="00DD1B58">
        <w:rPr>
          <w:rFonts w:eastAsia="Arial"/>
          <w:szCs w:val="24"/>
          <w:lang w:val="en-US"/>
        </w:rPr>
        <w:t xml:space="preserve"> </w:t>
      </w:r>
      <w:r w:rsidR="007E5741" w:rsidRPr="00DD1B58">
        <w:rPr>
          <w:rFonts w:eastAsia="Arial"/>
          <w:szCs w:val="24"/>
          <w:lang w:val="en-US"/>
        </w:rPr>
        <w:t xml:space="preserve">ONR was satisfied that </w:t>
      </w:r>
      <w:r w:rsidRPr="00DD1B58">
        <w:rPr>
          <w:rFonts w:eastAsia="Arial"/>
          <w:szCs w:val="24"/>
          <w:lang w:val="en-US"/>
        </w:rPr>
        <w:t xml:space="preserve">internal hazards associated with </w:t>
      </w:r>
      <w:r w:rsidR="00B64860" w:rsidRPr="00DD1B58">
        <w:rPr>
          <w:rFonts w:eastAsia="Arial"/>
          <w:szCs w:val="24"/>
          <w:lang w:val="en-US"/>
        </w:rPr>
        <w:t>d-fueling</w:t>
      </w:r>
      <w:r w:rsidRPr="00DD1B58">
        <w:rPr>
          <w:rFonts w:eastAsia="Arial"/>
          <w:szCs w:val="24"/>
          <w:lang w:val="en-US"/>
        </w:rPr>
        <w:t xml:space="preserve"> </w:t>
      </w:r>
      <w:r w:rsidR="007E5741" w:rsidRPr="00DD1B58">
        <w:rPr>
          <w:rFonts w:eastAsia="Arial"/>
          <w:szCs w:val="24"/>
          <w:lang w:val="en-US"/>
        </w:rPr>
        <w:t xml:space="preserve">were </w:t>
      </w:r>
      <w:r w:rsidRPr="00DD1B58">
        <w:rPr>
          <w:rFonts w:eastAsia="Arial"/>
          <w:szCs w:val="24"/>
          <w:lang w:val="en-US"/>
        </w:rPr>
        <w:t>bounded by the operational refueling case.</w:t>
      </w:r>
    </w:p>
    <w:p w14:paraId="4221E862" w14:textId="73819509" w:rsidR="153452BC" w:rsidRPr="00DD1B58" w:rsidRDefault="153452BC">
      <w:pPr>
        <w:rPr>
          <w:rFonts w:eastAsia="Arial"/>
          <w:lang w:val="en-US"/>
        </w:rPr>
      </w:pPr>
      <w:r w:rsidRPr="00DD1B58">
        <w:rPr>
          <w:rFonts w:eastAsia="Arial"/>
          <w:lang w:val="en-US"/>
        </w:rPr>
        <w:t xml:space="preserve">ONR </w:t>
      </w:r>
      <w:r w:rsidR="007E5741" w:rsidRPr="00DD1B58">
        <w:rPr>
          <w:rFonts w:eastAsia="Arial"/>
          <w:lang w:val="en-US"/>
        </w:rPr>
        <w:t>has recently conducted</w:t>
      </w:r>
      <w:r w:rsidRPr="00DD1B58">
        <w:rPr>
          <w:rFonts w:eastAsia="Arial"/>
          <w:lang w:val="en-US"/>
        </w:rPr>
        <w:t xml:space="preserve"> fire</w:t>
      </w:r>
      <w:r w:rsidR="009D47EC" w:rsidRPr="00DD1B58">
        <w:rPr>
          <w:rFonts w:eastAsia="Arial"/>
          <w:lang w:val="en-US"/>
        </w:rPr>
        <w:t>-</w:t>
      </w:r>
      <w:r w:rsidRPr="00DD1B58">
        <w:rPr>
          <w:rFonts w:eastAsia="Arial"/>
          <w:lang w:val="en-US"/>
        </w:rPr>
        <w:t xml:space="preserve">focused system-based inspections </w:t>
      </w:r>
      <w:r w:rsidR="000C068C" w:rsidRPr="00DD1B58">
        <w:rPr>
          <w:rFonts w:eastAsia="Arial"/>
          <w:lang w:val="en-US"/>
        </w:rPr>
        <w:t xml:space="preserve">covering all active fire </w:t>
      </w:r>
      <w:r w:rsidR="00C24011" w:rsidRPr="00DD1B58">
        <w:rPr>
          <w:rFonts w:eastAsia="Arial"/>
          <w:lang w:val="en-US"/>
        </w:rPr>
        <w:t>protection</w:t>
      </w:r>
      <w:r w:rsidR="000C068C" w:rsidRPr="00DD1B58">
        <w:rPr>
          <w:rFonts w:eastAsia="Arial"/>
          <w:lang w:val="en-US"/>
        </w:rPr>
        <w:t xml:space="preserve"> systems </w:t>
      </w:r>
      <w:r w:rsidRPr="00DD1B58">
        <w:rPr>
          <w:rFonts w:eastAsia="Arial"/>
          <w:lang w:val="en-US"/>
        </w:rPr>
        <w:t>at HNB (2019)</w:t>
      </w:r>
      <w:r w:rsidRPr="00DD1B58" w:rsidDel="009D47EC">
        <w:rPr>
          <w:rFonts w:eastAsia="Arial"/>
          <w:lang w:val="en-US"/>
        </w:rPr>
        <w:t xml:space="preserve"> </w:t>
      </w:r>
      <w:sdt>
        <w:sdtPr>
          <w:rPr>
            <w:rFonts w:eastAsia="Arial"/>
            <w:lang w:val="en-US"/>
          </w:rPr>
          <w:id w:val="1535690619"/>
          <w:citation/>
        </w:sdtPr>
        <w:sdtContent>
          <w:r w:rsidR="00B72B45" w:rsidRPr="00DD1B58">
            <w:rPr>
              <w:rFonts w:eastAsia="Arial"/>
              <w:lang w:val="en-US"/>
            </w:rPr>
            <w:fldChar w:fldCharType="begin"/>
          </w:r>
          <w:r w:rsidR="005534BB" w:rsidRPr="00DD1B58">
            <w:rPr>
              <w:rFonts w:eastAsia="Arial"/>
              <w:lang w:val="en-US"/>
            </w:rPr>
            <w:instrText xml:space="preserve">CITATION ONR191 \l 2057 </w:instrText>
          </w:r>
          <w:r w:rsidR="00B72B45" w:rsidRPr="00DD1B58">
            <w:rPr>
              <w:rFonts w:eastAsia="Arial"/>
              <w:lang w:val="en-US"/>
            </w:rPr>
            <w:fldChar w:fldCharType="separate"/>
          </w:r>
          <w:r w:rsidR="00DF47DA" w:rsidRPr="00DF47DA">
            <w:rPr>
              <w:rFonts w:eastAsia="Arial"/>
              <w:noProof/>
              <w:lang w:val="en-US"/>
            </w:rPr>
            <w:t>[41]</w:t>
          </w:r>
          <w:r w:rsidR="00B72B45" w:rsidRPr="00DD1B58">
            <w:rPr>
              <w:rFonts w:eastAsia="Arial"/>
              <w:lang w:val="en-US"/>
            </w:rPr>
            <w:fldChar w:fldCharType="end"/>
          </w:r>
        </w:sdtContent>
      </w:sdt>
      <w:r w:rsidR="009D47EC" w:rsidRPr="00DD1B58">
        <w:rPr>
          <w:rFonts w:eastAsia="Arial"/>
          <w:lang w:val="en-US"/>
        </w:rPr>
        <w:t>,</w:t>
      </w:r>
      <w:r w:rsidRPr="00DD1B58">
        <w:rPr>
          <w:rFonts w:eastAsia="Arial"/>
          <w:lang w:val="en-US"/>
        </w:rPr>
        <w:t xml:space="preserve"> HRA (2020</w:t>
      </w:r>
      <w:r w:rsidR="00323B36" w:rsidRPr="00DD1B58">
        <w:rPr>
          <w:rFonts w:eastAsia="Arial"/>
          <w:lang w:val="en-US"/>
        </w:rPr>
        <w:t xml:space="preserve"> </w:t>
      </w:r>
      <w:sdt>
        <w:sdtPr>
          <w:rPr>
            <w:rFonts w:eastAsia="Arial"/>
            <w:lang w:val="en-US"/>
          </w:rPr>
          <w:id w:val="113953335"/>
          <w:citation/>
        </w:sdtPr>
        <w:sdtContent>
          <w:r w:rsidR="00A23BE4" w:rsidRPr="00DD1B58">
            <w:rPr>
              <w:rFonts w:eastAsia="Arial"/>
              <w:lang w:val="en-US"/>
            </w:rPr>
            <w:fldChar w:fldCharType="begin"/>
          </w:r>
          <w:r w:rsidR="00485C35" w:rsidRPr="00DD1B58">
            <w:rPr>
              <w:rFonts w:eastAsia="Arial"/>
              <w:lang w:val="en-US"/>
            </w:rPr>
            <w:instrText xml:space="preserve">CITATION ONR201 \l 2057 </w:instrText>
          </w:r>
          <w:r w:rsidR="00A23BE4" w:rsidRPr="00DD1B58">
            <w:rPr>
              <w:rFonts w:eastAsia="Arial"/>
              <w:lang w:val="en-US"/>
            </w:rPr>
            <w:fldChar w:fldCharType="separate"/>
          </w:r>
          <w:r w:rsidR="00DF47DA" w:rsidRPr="00DF47DA">
            <w:rPr>
              <w:rFonts w:eastAsia="Arial"/>
              <w:noProof/>
              <w:lang w:val="en-US"/>
            </w:rPr>
            <w:t>[42]</w:t>
          </w:r>
          <w:r w:rsidR="00A23BE4" w:rsidRPr="00DD1B58">
            <w:rPr>
              <w:rFonts w:eastAsia="Arial"/>
              <w:lang w:val="en-US"/>
            </w:rPr>
            <w:fldChar w:fldCharType="end"/>
          </w:r>
        </w:sdtContent>
      </w:sdt>
      <w:r w:rsidRPr="00DD1B58">
        <w:rPr>
          <w:rFonts w:eastAsia="Arial"/>
          <w:lang w:val="en-US"/>
        </w:rPr>
        <w:t xml:space="preserve">), SZB </w:t>
      </w:r>
      <w:r w:rsidR="003E74CE" w:rsidRPr="00DD1B58">
        <w:rPr>
          <w:rFonts w:eastAsia="Arial"/>
          <w:lang w:val="en-US"/>
        </w:rPr>
        <w:t>(</w:t>
      </w:r>
      <w:r w:rsidRPr="00DD1B58">
        <w:rPr>
          <w:rFonts w:eastAsia="Arial"/>
          <w:lang w:val="en-US"/>
        </w:rPr>
        <w:t>2019</w:t>
      </w:r>
      <w:r w:rsidR="003E74CE" w:rsidRPr="00DD1B58">
        <w:rPr>
          <w:rFonts w:eastAsia="Arial"/>
          <w:lang w:val="en-US"/>
        </w:rPr>
        <w:t>)</w:t>
      </w:r>
      <w:sdt>
        <w:sdtPr>
          <w:rPr>
            <w:rFonts w:eastAsia="Arial"/>
            <w:lang w:val="en-US"/>
          </w:rPr>
          <w:id w:val="-290125599"/>
          <w:citation/>
        </w:sdtPr>
        <w:sdtContent>
          <w:r w:rsidR="00BB3F82" w:rsidRPr="00DD1B58">
            <w:rPr>
              <w:rFonts w:eastAsia="Arial"/>
              <w:lang w:val="en-US"/>
            </w:rPr>
            <w:fldChar w:fldCharType="begin"/>
          </w:r>
          <w:r w:rsidR="00485C35" w:rsidRPr="00DD1B58">
            <w:rPr>
              <w:rFonts w:eastAsia="Arial"/>
              <w:lang w:val="en-US"/>
            </w:rPr>
            <w:instrText xml:space="preserve">CITATION ONR192 \l 2057 </w:instrText>
          </w:r>
          <w:r w:rsidR="00BB3F82" w:rsidRPr="00DD1B58">
            <w:rPr>
              <w:rFonts w:eastAsia="Arial"/>
              <w:lang w:val="en-US"/>
            </w:rPr>
            <w:fldChar w:fldCharType="separate"/>
          </w:r>
          <w:r w:rsidR="00DF47DA">
            <w:rPr>
              <w:rFonts w:eastAsia="Arial"/>
              <w:noProof/>
              <w:lang w:val="en-US"/>
            </w:rPr>
            <w:t xml:space="preserve"> </w:t>
          </w:r>
          <w:r w:rsidR="00DF47DA" w:rsidRPr="00DF47DA">
            <w:rPr>
              <w:rFonts w:eastAsia="Arial"/>
              <w:noProof/>
              <w:lang w:val="en-US"/>
            </w:rPr>
            <w:t>[43]</w:t>
          </w:r>
          <w:r w:rsidR="00BB3F82" w:rsidRPr="00DD1B58">
            <w:rPr>
              <w:rFonts w:eastAsia="Arial"/>
              <w:lang w:val="en-US"/>
            </w:rPr>
            <w:fldChar w:fldCharType="end"/>
          </w:r>
        </w:sdtContent>
      </w:sdt>
      <w:r w:rsidRPr="00DD1B58">
        <w:rPr>
          <w:rFonts w:eastAsia="Arial"/>
          <w:lang w:val="en-US"/>
        </w:rPr>
        <w:t>, H</w:t>
      </w:r>
      <w:r w:rsidR="00D77101" w:rsidRPr="00DD1B58">
        <w:rPr>
          <w:rFonts w:eastAsia="Arial"/>
          <w:lang w:val="en-US"/>
        </w:rPr>
        <w:t>P</w:t>
      </w:r>
      <w:r w:rsidRPr="00DD1B58">
        <w:rPr>
          <w:rFonts w:eastAsia="Arial"/>
          <w:lang w:val="en-US"/>
        </w:rPr>
        <w:t xml:space="preserve">B (2019) </w:t>
      </w:r>
      <w:sdt>
        <w:sdtPr>
          <w:rPr>
            <w:rFonts w:eastAsia="Arial"/>
            <w:lang w:val="en-US"/>
          </w:rPr>
          <w:id w:val="1241137460"/>
          <w:citation/>
        </w:sdtPr>
        <w:sdtContent>
          <w:r w:rsidR="00BD1E4C" w:rsidRPr="00DD1B58">
            <w:rPr>
              <w:rFonts w:eastAsia="Arial"/>
              <w:lang w:val="en-US"/>
            </w:rPr>
            <w:fldChar w:fldCharType="begin"/>
          </w:r>
          <w:r w:rsidR="005534BB" w:rsidRPr="00DD1B58">
            <w:rPr>
              <w:rFonts w:eastAsia="Arial"/>
              <w:lang w:val="en-US"/>
            </w:rPr>
            <w:instrText xml:space="preserve">CITATION ONR193 \l 2057 </w:instrText>
          </w:r>
          <w:r w:rsidR="00BD1E4C" w:rsidRPr="00DD1B58">
            <w:rPr>
              <w:rFonts w:eastAsia="Arial"/>
              <w:lang w:val="en-US"/>
            </w:rPr>
            <w:fldChar w:fldCharType="separate"/>
          </w:r>
          <w:r w:rsidR="00DF47DA" w:rsidRPr="00DF47DA">
            <w:rPr>
              <w:rFonts w:eastAsia="Arial"/>
              <w:noProof/>
              <w:lang w:val="en-US"/>
            </w:rPr>
            <w:t>[44]</w:t>
          </w:r>
          <w:r w:rsidR="00BD1E4C" w:rsidRPr="00DD1B58">
            <w:rPr>
              <w:rFonts w:eastAsia="Arial"/>
              <w:lang w:val="en-US"/>
            </w:rPr>
            <w:fldChar w:fldCharType="end"/>
          </w:r>
        </w:sdtContent>
      </w:sdt>
      <w:r w:rsidRPr="00DD1B58">
        <w:rPr>
          <w:rFonts w:eastAsia="Arial"/>
          <w:lang w:val="en-US"/>
        </w:rPr>
        <w:t xml:space="preserve"> and TOR in 2023</w:t>
      </w:r>
      <w:r w:rsidR="000E209E" w:rsidRPr="00DD1B58">
        <w:rPr>
          <w:rFonts w:eastAsia="Arial"/>
          <w:lang w:val="en-US"/>
        </w:rPr>
        <w:t xml:space="preserve"> </w:t>
      </w:r>
      <w:sdt>
        <w:sdtPr>
          <w:rPr>
            <w:rFonts w:eastAsia="Arial"/>
            <w:lang w:val="en-US"/>
          </w:rPr>
          <w:id w:val="-813095703"/>
          <w:citation/>
        </w:sdtPr>
        <w:sdtContent>
          <w:r w:rsidR="00832081" w:rsidRPr="00DD1B58">
            <w:rPr>
              <w:rFonts w:eastAsia="Arial"/>
              <w:lang w:val="en-US"/>
            </w:rPr>
            <w:fldChar w:fldCharType="begin"/>
          </w:r>
          <w:r w:rsidR="00832081" w:rsidRPr="00DD1B58">
            <w:rPr>
              <w:rFonts w:eastAsia="Arial"/>
              <w:lang w:val="en-US"/>
            </w:rPr>
            <w:instrText xml:space="preserve"> CITATION ONR231 \l 2057 </w:instrText>
          </w:r>
          <w:r w:rsidR="00832081" w:rsidRPr="00DD1B58">
            <w:rPr>
              <w:rFonts w:eastAsia="Arial"/>
              <w:lang w:val="en-US"/>
            </w:rPr>
            <w:fldChar w:fldCharType="separate"/>
          </w:r>
          <w:r w:rsidR="00DF47DA" w:rsidRPr="00DF47DA">
            <w:rPr>
              <w:rFonts w:eastAsia="Arial"/>
              <w:noProof/>
              <w:lang w:val="en-US"/>
            </w:rPr>
            <w:t>[45]</w:t>
          </w:r>
          <w:r w:rsidR="00832081" w:rsidRPr="00DD1B58">
            <w:rPr>
              <w:rFonts w:eastAsia="Arial"/>
              <w:lang w:val="en-US"/>
            </w:rPr>
            <w:fldChar w:fldCharType="end"/>
          </w:r>
        </w:sdtContent>
      </w:sdt>
      <w:r w:rsidR="000E209E" w:rsidRPr="00DD1B58">
        <w:rPr>
          <w:rFonts w:eastAsia="Arial"/>
          <w:lang w:val="en-US"/>
        </w:rPr>
        <w:t>.</w:t>
      </w:r>
      <w:r w:rsidRPr="00DD1B58">
        <w:rPr>
          <w:rFonts w:eastAsia="Arial"/>
          <w:lang w:val="en-US"/>
        </w:rPr>
        <w:t xml:space="preserve"> </w:t>
      </w:r>
      <w:r w:rsidR="001E6F8D" w:rsidRPr="00DD1B58">
        <w:rPr>
          <w:rFonts w:eastAsia="Arial"/>
          <w:lang w:val="en-US"/>
        </w:rPr>
        <w:t>The</w:t>
      </w:r>
      <w:r w:rsidRPr="00DD1B58">
        <w:rPr>
          <w:rFonts w:eastAsia="Arial"/>
          <w:lang w:val="en-US"/>
        </w:rPr>
        <w:t xml:space="preserve"> </w:t>
      </w:r>
      <w:r w:rsidR="001E6F8D" w:rsidRPr="00DD1B58">
        <w:rPr>
          <w:rFonts w:eastAsia="Arial"/>
          <w:lang w:val="en-US"/>
        </w:rPr>
        <w:t>NPPs listed here includes installations outside the</w:t>
      </w:r>
      <w:r w:rsidRPr="00DD1B58">
        <w:rPr>
          <w:rFonts w:eastAsia="Arial"/>
          <w:lang w:val="en-US"/>
        </w:rPr>
        <w:t xml:space="preserve"> candidate </w:t>
      </w:r>
      <w:r w:rsidR="001E6F8D" w:rsidRPr="00DD1B58">
        <w:rPr>
          <w:rFonts w:eastAsia="Arial"/>
          <w:lang w:val="en-US"/>
        </w:rPr>
        <w:t xml:space="preserve">installations </w:t>
      </w:r>
      <w:r w:rsidRPr="00DD1B58">
        <w:rPr>
          <w:rFonts w:eastAsia="Arial"/>
          <w:lang w:val="en-US"/>
        </w:rPr>
        <w:t>list</w:t>
      </w:r>
      <w:r w:rsidR="003059E2" w:rsidRPr="00DD1B58">
        <w:rPr>
          <w:rFonts w:eastAsia="Arial"/>
          <w:lang w:val="en-US"/>
        </w:rPr>
        <w:t>. In addition, t</w:t>
      </w:r>
      <w:r w:rsidRPr="00DD1B58">
        <w:rPr>
          <w:rFonts w:eastAsia="Arial"/>
          <w:lang w:val="en-US"/>
        </w:rPr>
        <w:t>he</w:t>
      </w:r>
      <w:r w:rsidR="003059E2" w:rsidRPr="00DD1B58">
        <w:rPr>
          <w:rFonts w:eastAsia="Arial"/>
          <w:lang w:val="en-US"/>
        </w:rPr>
        <w:t xml:space="preserve"> </w:t>
      </w:r>
      <w:r w:rsidRPr="00DD1B58">
        <w:rPr>
          <w:rFonts w:eastAsia="Arial"/>
          <w:lang w:val="en-US"/>
        </w:rPr>
        <w:t>TOR and DNB inspection</w:t>
      </w:r>
      <w:r w:rsidR="00B5668C" w:rsidRPr="00DD1B58">
        <w:rPr>
          <w:rFonts w:eastAsia="Arial"/>
          <w:lang w:val="en-US"/>
        </w:rPr>
        <w:t>s</w:t>
      </w:r>
      <w:r w:rsidRPr="00DD1B58">
        <w:rPr>
          <w:rFonts w:eastAsia="Arial"/>
          <w:lang w:val="en-US"/>
        </w:rPr>
        <w:t xml:space="preserve"> covered life fire safety matters</w:t>
      </w:r>
      <w:r w:rsidR="003059E2" w:rsidRPr="00DD1B58">
        <w:rPr>
          <w:rFonts w:eastAsia="Arial"/>
          <w:lang w:val="en-US"/>
        </w:rPr>
        <w:t>, including emergency lighting, escape route</w:t>
      </w:r>
      <w:r w:rsidR="00B5668C" w:rsidRPr="00DD1B58">
        <w:rPr>
          <w:rFonts w:eastAsia="Arial"/>
          <w:lang w:val="en-US"/>
        </w:rPr>
        <w:t xml:space="preserve"> systems</w:t>
      </w:r>
      <w:r w:rsidR="003059E2" w:rsidRPr="00DD1B58">
        <w:rPr>
          <w:rFonts w:eastAsia="Arial"/>
          <w:lang w:val="en-US"/>
        </w:rPr>
        <w:t xml:space="preserve"> and fire safety systems </w:t>
      </w:r>
      <w:r w:rsidR="00B5668C" w:rsidRPr="00DD1B58">
        <w:rPr>
          <w:rFonts w:eastAsia="Arial"/>
          <w:lang w:val="en-US"/>
        </w:rPr>
        <w:t>that</w:t>
      </w:r>
      <w:r w:rsidR="003059E2" w:rsidRPr="00DD1B58">
        <w:rPr>
          <w:rFonts w:eastAsia="Arial"/>
          <w:lang w:val="en-US"/>
        </w:rPr>
        <w:t xml:space="preserve"> are not part of the nuclear safety case</w:t>
      </w:r>
      <w:r w:rsidRPr="00DD1B58">
        <w:rPr>
          <w:rFonts w:eastAsia="Arial"/>
          <w:lang w:val="en-US"/>
        </w:rPr>
        <w:t xml:space="preserve">. All inspections were </w:t>
      </w:r>
      <w:r w:rsidR="0041082D" w:rsidRPr="00DD1B58">
        <w:rPr>
          <w:rFonts w:eastAsia="Arial"/>
          <w:lang w:val="en-US"/>
        </w:rPr>
        <w:t xml:space="preserve">generally </w:t>
      </w:r>
      <w:r w:rsidRPr="00DD1B58">
        <w:rPr>
          <w:rFonts w:eastAsia="Arial"/>
          <w:lang w:val="en-US"/>
        </w:rPr>
        <w:t xml:space="preserve">rated as </w:t>
      </w:r>
      <w:r w:rsidR="003059E2" w:rsidRPr="00DD1B58">
        <w:rPr>
          <w:rFonts w:eastAsia="Arial"/>
          <w:lang w:val="en-US"/>
        </w:rPr>
        <w:t>‘</w:t>
      </w:r>
      <w:r w:rsidRPr="00DD1B58">
        <w:rPr>
          <w:rFonts w:eastAsia="Arial"/>
          <w:lang w:val="en-US"/>
        </w:rPr>
        <w:t>green</w:t>
      </w:r>
      <w:r w:rsidR="003059E2" w:rsidRPr="00DD1B58">
        <w:rPr>
          <w:rFonts w:eastAsia="Arial"/>
          <w:lang w:val="en-US"/>
        </w:rPr>
        <w:t>’</w:t>
      </w:r>
      <w:r w:rsidRPr="00DD1B58">
        <w:rPr>
          <w:rFonts w:eastAsia="Arial"/>
          <w:lang w:val="en-US"/>
        </w:rPr>
        <w:t xml:space="preserve"> (no formal action) across all license conditions except for TOR and HRA</w:t>
      </w:r>
      <w:r w:rsidR="0041082D" w:rsidRPr="00DD1B58">
        <w:rPr>
          <w:rFonts w:eastAsia="Arial"/>
          <w:lang w:val="en-US"/>
        </w:rPr>
        <w:t>.</w:t>
      </w:r>
      <w:r w:rsidRPr="00DD1B58">
        <w:rPr>
          <w:rFonts w:eastAsia="Arial"/>
          <w:lang w:val="en-US"/>
        </w:rPr>
        <w:t xml:space="preserve"> </w:t>
      </w:r>
      <w:r w:rsidR="0041082D" w:rsidRPr="00DD1B58">
        <w:rPr>
          <w:rFonts w:eastAsia="Arial"/>
          <w:lang w:val="en-US"/>
        </w:rPr>
        <w:t>ONR raised a</w:t>
      </w:r>
      <w:r w:rsidRPr="00DD1B58">
        <w:rPr>
          <w:rFonts w:eastAsia="Arial"/>
          <w:lang w:val="en-US"/>
        </w:rPr>
        <w:t xml:space="preserve"> Level 4 Regulatory Issue </w:t>
      </w:r>
      <w:r w:rsidR="00C94133" w:rsidRPr="00DD1B58">
        <w:rPr>
          <w:rFonts w:eastAsia="Arial"/>
          <w:lang w:val="en-US"/>
        </w:rPr>
        <w:t xml:space="preserve">(with 4 being the lowest level of significance and 1 the highest) </w:t>
      </w:r>
      <w:r w:rsidR="0041082D" w:rsidRPr="00DD1B58">
        <w:rPr>
          <w:rFonts w:eastAsia="Arial"/>
          <w:lang w:val="en-US"/>
        </w:rPr>
        <w:t xml:space="preserve">for the licensee </w:t>
      </w:r>
      <w:r w:rsidRPr="00DD1B58">
        <w:rPr>
          <w:rFonts w:eastAsia="Arial"/>
          <w:lang w:val="en-US"/>
        </w:rPr>
        <w:t xml:space="preserve">to improve the logging of maintenance </w:t>
      </w:r>
      <w:r w:rsidR="00C94133" w:rsidRPr="00DD1B58">
        <w:rPr>
          <w:rFonts w:eastAsia="Arial"/>
          <w:lang w:val="en-US"/>
        </w:rPr>
        <w:t xml:space="preserve">activities </w:t>
      </w:r>
      <w:r w:rsidRPr="00DD1B58">
        <w:rPr>
          <w:rFonts w:eastAsia="Arial"/>
          <w:lang w:val="en-US"/>
        </w:rPr>
        <w:t xml:space="preserve">associated with fire doors at HRA. ONR </w:t>
      </w:r>
      <w:r w:rsidR="00C94133" w:rsidRPr="00DD1B58">
        <w:rPr>
          <w:rFonts w:eastAsia="Arial"/>
          <w:lang w:val="en-US"/>
        </w:rPr>
        <w:t>raised a</w:t>
      </w:r>
      <w:r w:rsidRPr="00DD1B58">
        <w:rPr>
          <w:rFonts w:eastAsia="Arial"/>
          <w:lang w:val="en-US"/>
        </w:rPr>
        <w:t xml:space="preserve"> Level 3 Regulatory Issue to ensure </w:t>
      </w:r>
      <w:r w:rsidR="00732FA6" w:rsidRPr="00DD1B58">
        <w:rPr>
          <w:rFonts w:eastAsia="Arial"/>
          <w:lang w:val="en-US"/>
        </w:rPr>
        <w:t>that</w:t>
      </w:r>
      <w:r w:rsidRPr="00DD1B58">
        <w:rPr>
          <w:rFonts w:eastAsia="Arial"/>
          <w:lang w:val="en-US"/>
        </w:rPr>
        <w:t xml:space="preserve"> appropriate supervision is in place for the logging and recording of maintenance activities at HY2.</w:t>
      </w:r>
      <w:r w:rsidR="007D0D5F" w:rsidRPr="00DD1B58">
        <w:rPr>
          <w:rFonts w:eastAsia="Arial"/>
          <w:lang w:val="en-US"/>
        </w:rPr>
        <w:t xml:space="preserve"> </w:t>
      </w:r>
      <w:r w:rsidR="00732FA6" w:rsidRPr="00DD1B58">
        <w:rPr>
          <w:rFonts w:eastAsia="Arial"/>
          <w:lang w:val="en-US"/>
        </w:rPr>
        <w:t xml:space="preserve">Finally, ONR raised </w:t>
      </w:r>
      <w:r w:rsidRPr="00DD1B58">
        <w:rPr>
          <w:rFonts w:eastAsia="Arial"/>
          <w:lang w:val="en-US"/>
        </w:rPr>
        <w:t xml:space="preserve">Level 3 and Level 4 Regulatory Issues </w:t>
      </w:r>
      <w:r w:rsidR="00516370" w:rsidRPr="00DD1B58">
        <w:rPr>
          <w:rFonts w:eastAsia="Arial"/>
          <w:lang w:val="en-US"/>
        </w:rPr>
        <w:t xml:space="preserve">at </w:t>
      </w:r>
      <w:r w:rsidRPr="00DD1B58">
        <w:rPr>
          <w:rFonts w:eastAsia="Arial"/>
          <w:lang w:val="en-US"/>
        </w:rPr>
        <w:t>TOR relating to the training requirements for the civil engineer to undertake their fire-related tasks, the maintenance of fire equipment</w:t>
      </w:r>
      <w:r w:rsidR="0073544C" w:rsidRPr="00DD1B58">
        <w:rPr>
          <w:rFonts w:eastAsia="Arial"/>
          <w:lang w:val="en-US"/>
        </w:rPr>
        <w:t xml:space="preserve"> and</w:t>
      </w:r>
      <w:r w:rsidRPr="00DD1B58">
        <w:rPr>
          <w:rFonts w:eastAsia="Arial"/>
          <w:lang w:val="en-US"/>
        </w:rPr>
        <w:t xml:space="preserve"> deficiencies in fire compartmentation in non-nuclear buildings and the review of fire risk assessments.</w:t>
      </w:r>
      <w:r w:rsidR="00C55887" w:rsidRPr="00DD1B58">
        <w:rPr>
          <w:rFonts w:eastAsia="Arial"/>
          <w:lang w:val="en-US"/>
        </w:rPr>
        <w:t xml:space="preserve"> </w:t>
      </w:r>
    </w:p>
    <w:p w14:paraId="29DCC5C1" w14:textId="73EF7712" w:rsidR="002F059B" w:rsidRPr="00DD1B58" w:rsidRDefault="153452BC" w:rsidP="3FE0E35C">
      <w:pPr>
        <w:rPr>
          <w:rFonts w:eastAsia="Arial"/>
          <w:szCs w:val="24"/>
          <w:lang w:val="en-US"/>
        </w:rPr>
      </w:pPr>
      <w:r w:rsidRPr="00DD1B58">
        <w:rPr>
          <w:rFonts w:eastAsia="Arial"/>
          <w:szCs w:val="24"/>
          <w:lang w:val="en-US"/>
        </w:rPr>
        <w:t xml:space="preserve">In November 2022, ONR undertook a </w:t>
      </w:r>
      <w:r w:rsidRPr="00DD1B58">
        <w:rPr>
          <w:rFonts w:eastAsia="Arial"/>
          <w:color w:val="111111"/>
          <w:szCs w:val="24"/>
          <w:lang w:val="en-US"/>
        </w:rPr>
        <w:t>Control of Major Accident Hazards Regulations 2015 (</w:t>
      </w:r>
      <w:r w:rsidRPr="00DD1B58">
        <w:rPr>
          <w:rFonts w:eastAsia="Arial"/>
          <w:szCs w:val="24"/>
          <w:lang w:val="en-US"/>
        </w:rPr>
        <w:t>COMAH) inspection at HNB</w:t>
      </w:r>
      <w:r w:rsidR="00101445" w:rsidRPr="00DD1B58">
        <w:rPr>
          <w:rFonts w:eastAsia="Arial"/>
          <w:szCs w:val="24"/>
          <w:lang w:val="en-US"/>
        </w:rPr>
        <w:t xml:space="preserve"> </w:t>
      </w:r>
      <w:sdt>
        <w:sdtPr>
          <w:rPr>
            <w:rFonts w:eastAsia="Arial"/>
            <w:szCs w:val="24"/>
            <w:lang w:val="en-US"/>
          </w:rPr>
          <w:id w:val="-630720128"/>
          <w:citation/>
        </w:sdtPr>
        <w:sdtContent>
          <w:r w:rsidR="00B541BE" w:rsidRPr="00DD1B58">
            <w:rPr>
              <w:rFonts w:eastAsia="Arial"/>
              <w:szCs w:val="24"/>
              <w:lang w:val="en-US"/>
            </w:rPr>
            <w:fldChar w:fldCharType="begin"/>
          </w:r>
          <w:r w:rsidR="00107CE2" w:rsidRPr="00DD1B58">
            <w:rPr>
              <w:rFonts w:eastAsia="Arial"/>
              <w:szCs w:val="24"/>
              <w:lang w:val="en-US"/>
            </w:rPr>
            <w:instrText xml:space="preserve">CITATION ONR223 \l 2057 </w:instrText>
          </w:r>
          <w:r w:rsidR="00B541BE" w:rsidRPr="00DD1B58">
            <w:rPr>
              <w:rFonts w:eastAsia="Arial"/>
              <w:szCs w:val="24"/>
              <w:lang w:val="en-US"/>
            </w:rPr>
            <w:fldChar w:fldCharType="separate"/>
          </w:r>
          <w:r w:rsidR="00DF47DA" w:rsidRPr="00DF47DA">
            <w:rPr>
              <w:rFonts w:eastAsia="Arial"/>
              <w:noProof/>
              <w:szCs w:val="24"/>
              <w:lang w:val="en-US"/>
            </w:rPr>
            <w:t>[46]</w:t>
          </w:r>
          <w:r w:rsidR="00B541BE" w:rsidRPr="00DD1B58">
            <w:rPr>
              <w:rFonts w:eastAsia="Arial"/>
              <w:szCs w:val="24"/>
              <w:lang w:val="en-US"/>
            </w:rPr>
            <w:fldChar w:fldCharType="end"/>
          </w:r>
        </w:sdtContent>
      </w:sdt>
      <w:r w:rsidRPr="00DD1B58">
        <w:rPr>
          <w:rFonts w:eastAsia="Arial"/>
          <w:szCs w:val="24"/>
          <w:lang w:val="en-US"/>
        </w:rPr>
        <w:t xml:space="preserve">. ONR observed that the licensee has removed </w:t>
      </w:r>
      <w:r w:rsidRPr="00DD1B58">
        <w:rPr>
          <w:rFonts w:eastAsia="Arial"/>
          <w:color w:val="111111"/>
          <w:szCs w:val="24"/>
          <w:lang w:val="en-US"/>
        </w:rPr>
        <w:t xml:space="preserve">flammable gases from the site and a significant proportion of COMAH major accident scenarios (as defined in the HNB Major Accident Prevention Policy) </w:t>
      </w:r>
      <w:r w:rsidR="00C55887" w:rsidRPr="00DD1B58">
        <w:rPr>
          <w:rFonts w:eastAsia="Arial"/>
          <w:color w:val="111111"/>
          <w:szCs w:val="24"/>
          <w:lang w:val="en-US"/>
        </w:rPr>
        <w:t xml:space="preserve">were </w:t>
      </w:r>
      <w:r w:rsidRPr="00DD1B58">
        <w:rPr>
          <w:rFonts w:eastAsia="Arial"/>
          <w:color w:val="111111"/>
          <w:szCs w:val="24"/>
          <w:lang w:val="en-US"/>
        </w:rPr>
        <w:t>no longer credible.</w:t>
      </w:r>
      <w:r w:rsidRPr="00DD1B58">
        <w:rPr>
          <w:rFonts w:eastAsia="Arial"/>
          <w:color w:val="111111"/>
          <w:sz w:val="20"/>
          <w:szCs w:val="20"/>
          <w:lang w:val="en-US"/>
        </w:rPr>
        <w:t xml:space="preserve"> </w:t>
      </w:r>
      <w:r w:rsidRPr="00DD1B58">
        <w:rPr>
          <w:rFonts w:eastAsia="Arial"/>
          <w:szCs w:val="24"/>
          <w:lang w:val="en-US"/>
        </w:rPr>
        <w:t xml:space="preserve">An inspection rating of </w:t>
      </w:r>
      <w:r w:rsidR="00516370" w:rsidRPr="00DD1B58">
        <w:rPr>
          <w:rFonts w:eastAsia="Arial"/>
          <w:szCs w:val="24"/>
          <w:lang w:val="en-US"/>
        </w:rPr>
        <w:t xml:space="preserve">green </w:t>
      </w:r>
      <w:r w:rsidRPr="00DD1B58">
        <w:rPr>
          <w:rFonts w:eastAsia="Arial"/>
          <w:szCs w:val="24"/>
          <w:lang w:val="en-US"/>
        </w:rPr>
        <w:t xml:space="preserve">(no formal action) was assigned for compliance against this topic. </w:t>
      </w:r>
    </w:p>
    <w:p w14:paraId="159B41E6" w14:textId="7FB93CB6" w:rsidR="153452BC" w:rsidRPr="00DD1B58" w:rsidRDefault="002F059B" w:rsidP="3FE0E35C">
      <w:pPr>
        <w:rPr>
          <w:rFonts w:eastAsia="Arial"/>
          <w:szCs w:val="24"/>
          <w:lang w:val="en-US"/>
        </w:rPr>
      </w:pPr>
      <w:r w:rsidRPr="00DD1B58">
        <w:rPr>
          <w:rFonts w:eastAsia="Arial"/>
          <w:szCs w:val="24"/>
          <w:lang w:val="en-US"/>
        </w:rPr>
        <w:t>In addition to fire safety interventions</w:t>
      </w:r>
      <w:r w:rsidR="00227E90" w:rsidRPr="00DD1B58">
        <w:rPr>
          <w:rFonts w:eastAsia="Arial"/>
          <w:szCs w:val="24"/>
          <w:lang w:val="en-US"/>
        </w:rPr>
        <w:t xml:space="preserve"> for nuclear safety</w:t>
      </w:r>
      <w:r w:rsidRPr="00DD1B58">
        <w:rPr>
          <w:rFonts w:eastAsia="Arial"/>
          <w:szCs w:val="24"/>
          <w:lang w:val="en-US"/>
        </w:rPr>
        <w:t xml:space="preserve">, </w:t>
      </w:r>
      <w:r w:rsidR="153452BC" w:rsidRPr="00DD1B58">
        <w:rPr>
          <w:rFonts w:eastAsia="Arial"/>
          <w:szCs w:val="24"/>
          <w:lang w:val="en-US"/>
        </w:rPr>
        <w:t xml:space="preserve">ONR inspects </w:t>
      </w:r>
      <w:r w:rsidR="00C362CA" w:rsidRPr="00DD1B58">
        <w:rPr>
          <w:rFonts w:eastAsia="Arial"/>
          <w:szCs w:val="24"/>
          <w:lang w:val="en-US"/>
        </w:rPr>
        <w:t>EDF NGL</w:t>
      </w:r>
      <w:r w:rsidR="153452BC" w:rsidRPr="00DD1B58">
        <w:rPr>
          <w:rFonts w:eastAsia="Arial"/>
          <w:szCs w:val="24"/>
          <w:lang w:val="en-US"/>
        </w:rPr>
        <w:t xml:space="preserve"> facilities </w:t>
      </w:r>
      <w:r w:rsidRPr="00DD1B58">
        <w:rPr>
          <w:rFonts w:eastAsia="Arial"/>
          <w:szCs w:val="24"/>
          <w:lang w:val="en-US"/>
        </w:rPr>
        <w:t>for</w:t>
      </w:r>
      <w:r w:rsidR="153452BC" w:rsidRPr="00DD1B58">
        <w:rPr>
          <w:rFonts w:eastAsia="Arial"/>
          <w:szCs w:val="24"/>
          <w:lang w:val="en-US"/>
        </w:rPr>
        <w:t xml:space="preserve"> life fire safety. This comprises regular inspections against the requirements of the Regulatory Reform Fire Safety Order 2005, Fire (Scotland) Act 2005 and/or the Construction Design and Management Regulations 2015. </w:t>
      </w:r>
      <w:r w:rsidR="003C39DA" w:rsidRPr="00DD1B58">
        <w:rPr>
          <w:rFonts w:eastAsia="Arial"/>
          <w:szCs w:val="24"/>
          <w:lang w:val="en-US"/>
        </w:rPr>
        <w:t>F</w:t>
      </w:r>
      <w:r w:rsidR="153452BC" w:rsidRPr="00DD1B58">
        <w:rPr>
          <w:rFonts w:eastAsia="Arial"/>
          <w:szCs w:val="24"/>
          <w:lang w:val="en-US"/>
        </w:rPr>
        <w:t xml:space="preserve">indings </w:t>
      </w:r>
      <w:r w:rsidR="005A58E2" w:rsidRPr="00DD1B58">
        <w:rPr>
          <w:rFonts w:eastAsia="Arial"/>
          <w:szCs w:val="24"/>
          <w:lang w:val="en-US"/>
        </w:rPr>
        <w:t>from the</w:t>
      </w:r>
      <w:r w:rsidR="153452BC" w:rsidRPr="00DD1B58">
        <w:rPr>
          <w:rFonts w:eastAsia="Arial"/>
          <w:szCs w:val="24"/>
          <w:lang w:val="en-US"/>
        </w:rPr>
        <w:t xml:space="preserve"> inspections and incident investigations relate primarily to fire protection</w:t>
      </w:r>
      <w:r w:rsidR="001210E4" w:rsidRPr="00DD1B58">
        <w:rPr>
          <w:rFonts w:eastAsia="Arial"/>
          <w:szCs w:val="24"/>
          <w:lang w:val="en-US"/>
        </w:rPr>
        <w:t xml:space="preserve"> and are reported in that section</w:t>
      </w:r>
      <w:r w:rsidR="001210E4" w:rsidRPr="00DD1B58">
        <w:rPr>
          <w:rFonts w:eastAsia="Arial"/>
          <w:color w:val="000000" w:themeColor="text2"/>
          <w:szCs w:val="24"/>
          <w:lang w:val="en-US"/>
        </w:rPr>
        <w:t>.</w:t>
      </w:r>
      <w:r w:rsidR="005A58E2" w:rsidRPr="00DD1B58">
        <w:rPr>
          <w:rFonts w:eastAsia="Arial"/>
          <w:color w:val="000000" w:themeColor="text2"/>
          <w:szCs w:val="24"/>
          <w:lang w:val="en-US"/>
        </w:rPr>
        <w:t xml:space="preserve"> </w:t>
      </w:r>
    </w:p>
    <w:p w14:paraId="003BE4A8" w14:textId="77777777" w:rsidR="00DB3279" w:rsidRPr="00DD1B58" w:rsidRDefault="00DB3279" w:rsidP="0090753C">
      <w:pPr>
        <w:pStyle w:val="Heading4"/>
        <w:numPr>
          <w:ilvl w:val="4"/>
          <w:numId w:val="3"/>
        </w:numPr>
        <w:rPr>
          <w:bCs w:val="0"/>
          <w:lang w:val="en-US"/>
        </w:rPr>
      </w:pPr>
      <w:r w:rsidRPr="00DD1B58">
        <w:rPr>
          <w:bCs w:val="0"/>
          <w:lang w:val="en-US"/>
        </w:rPr>
        <w:lastRenderedPageBreak/>
        <w:t xml:space="preserve">Conclusions drawn on the adequacy of the licensee’s fire safety analyses </w:t>
      </w:r>
    </w:p>
    <w:p w14:paraId="1A7C8564" w14:textId="212D592A" w:rsidR="00741CD8" w:rsidRPr="00DD1B58" w:rsidRDefault="7333825F">
      <w:pPr>
        <w:rPr>
          <w:lang w:val="en-US"/>
        </w:rPr>
      </w:pPr>
      <w:r w:rsidRPr="00DD1B58">
        <w:rPr>
          <w:rFonts w:eastAsia="Arial"/>
          <w:szCs w:val="24"/>
          <w:lang w:val="en-US"/>
        </w:rPr>
        <w:t xml:space="preserve">For </w:t>
      </w:r>
      <w:r w:rsidR="00C362CA" w:rsidRPr="00DD1B58">
        <w:rPr>
          <w:rFonts w:eastAsia="Arial"/>
          <w:szCs w:val="24"/>
          <w:lang w:val="en-US"/>
        </w:rPr>
        <w:t>EDF NGL</w:t>
      </w:r>
      <w:r w:rsidRPr="00DD1B58">
        <w:rPr>
          <w:rFonts w:eastAsia="Arial"/>
          <w:szCs w:val="24"/>
          <w:lang w:val="en-US"/>
        </w:rPr>
        <w:t xml:space="preserve">, ONR </w:t>
      </w:r>
      <w:r w:rsidR="00AD0E5E" w:rsidRPr="00DD1B58">
        <w:rPr>
          <w:rFonts w:eastAsia="Arial"/>
          <w:szCs w:val="24"/>
          <w:lang w:val="en-US"/>
        </w:rPr>
        <w:t>conclude</w:t>
      </w:r>
      <w:r w:rsidR="00972126" w:rsidRPr="00DD1B58">
        <w:rPr>
          <w:rFonts w:eastAsia="Arial"/>
          <w:szCs w:val="24"/>
          <w:lang w:val="en-US"/>
        </w:rPr>
        <w:t>s</w:t>
      </w:r>
      <w:r w:rsidRPr="00DD1B58">
        <w:rPr>
          <w:rFonts w:eastAsia="Arial"/>
          <w:szCs w:val="24"/>
          <w:lang w:val="en-US"/>
        </w:rPr>
        <w:t xml:space="preserve"> that the licensee </w:t>
      </w:r>
      <w:r w:rsidR="00AD0E5E" w:rsidRPr="00DD1B58">
        <w:rPr>
          <w:rFonts w:eastAsia="Arial"/>
          <w:szCs w:val="24"/>
          <w:lang w:val="en-US"/>
        </w:rPr>
        <w:t xml:space="preserve">developed and implemented </w:t>
      </w:r>
      <w:r w:rsidRPr="00DD1B58">
        <w:rPr>
          <w:rFonts w:eastAsia="Arial"/>
          <w:szCs w:val="24"/>
          <w:lang w:val="en-US"/>
        </w:rPr>
        <w:t xml:space="preserve">processes </w:t>
      </w:r>
      <w:r w:rsidR="00AD0E5E" w:rsidRPr="00DD1B58">
        <w:rPr>
          <w:rFonts w:eastAsia="Arial"/>
          <w:szCs w:val="24"/>
          <w:lang w:val="en-US"/>
        </w:rPr>
        <w:t xml:space="preserve">and guidance </w:t>
      </w:r>
      <w:r w:rsidRPr="00DD1B58">
        <w:rPr>
          <w:rFonts w:eastAsia="Arial"/>
          <w:szCs w:val="24"/>
          <w:lang w:val="en-US"/>
        </w:rPr>
        <w:t>for fire hazard analysis</w:t>
      </w:r>
      <w:r w:rsidR="00E544DC" w:rsidRPr="00DD1B58">
        <w:rPr>
          <w:rFonts w:eastAsia="Arial"/>
          <w:szCs w:val="24"/>
          <w:lang w:val="en-US"/>
        </w:rPr>
        <w:t xml:space="preserve"> so that safety cases and fire analyses remain fit</w:t>
      </w:r>
      <w:r w:rsidR="00EF7436" w:rsidRPr="00DD1B58">
        <w:rPr>
          <w:rFonts w:eastAsia="Arial"/>
          <w:szCs w:val="24"/>
          <w:lang w:val="en-US"/>
        </w:rPr>
        <w:t xml:space="preserve"> </w:t>
      </w:r>
      <w:r w:rsidR="00E544DC" w:rsidRPr="00DD1B58">
        <w:rPr>
          <w:rFonts w:eastAsia="Arial"/>
          <w:szCs w:val="24"/>
          <w:lang w:val="en-US"/>
        </w:rPr>
        <w:t>for</w:t>
      </w:r>
      <w:r w:rsidR="00EF7436" w:rsidRPr="00DD1B58">
        <w:rPr>
          <w:rFonts w:eastAsia="Arial"/>
          <w:szCs w:val="24"/>
          <w:lang w:val="en-US"/>
        </w:rPr>
        <w:t xml:space="preserve"> </w:t>
      </w:r>
      <w:r w:rsidR="00E544DC" w:rsidRPr="00DD1B58">
        <w:rPr>
          <w:rFonts w:eastAsia="Arial"/>
          <w:szCs w:val="24"/>
          <w:lang w:val="en-US"/>
        </w:rPr>
        <w:t>purpose across the fleet of installations.</w:t>
      </w:r>
      <w:r w:rsidRPr="00DD1B58">
        <w:rPr>
          <w:rFonts w:eastAsia="Arial"/>
          <w:szCs w:val="24"/>
          <w:lang w:val="en-US"/>
        </w:rPr>
        <w:t xml:space="preserve"> </w:t>
      </w:r>
      <w:r w:rsidR="00172E6A" w:rsidRPr="00DD1B58">
        <w:rPr>
          <w:rFonts w:eastAsia="Arial"/>
          <w:szCs w:val="24"/>
          <w:lang w:val="en-US"/>
        </w:rPr>
        <w:t>In assessing these arrangements and their implementation, ONR conclude</w:t>
      </w:r>
      <w:r w:rsidR="00972126" w:rsidRPr="00DD1B58">
        <w:rPr>
          <w:rFonts w:eastAsia="Arial"/>
          <w:szCs w:val="24"/>
          <w:lang w:val="en-US"/>
        </w:rPr>
        <w:t>s</w:t>
      </w:r>
      <w:r w:rsidR="00172E6A" w:rsidRPr="00DD1B58">
        <w:rPr>
          <w:rFonts w:eastAsia="Arial"/>
          <w:szCs w:val="24"/>
          <w:lang w:val="en-US"/>
        </w:rPr>
        <w:t xml:space="preserve"> that they are generally </w:t>
      </w:r>
      <w:r w:rsidRPr="00DD1B58">
        <w:rPr>
          <w:rFonts w:eastAsia="Arial"/>
          <w:szCs w:val="24"/>
          <w:lang w:val="en-US"/>
        </w:rPr>
        <w:t>consistent with international good practice</w:t>
      </w:r>
      <w:r w:rsidR="006856C0" w:rsidRPr="00DD1B58">
        <w:rPr>
          <w:rFonts w:eastAsia="Arial"/>
          <w:szCs w:val="24"/>
          <w:lang w:val="en-US"/>
        </w:rPr>
        <w:t>, demonstrating</w:t>
      </w:r>
      <w:r w:rsidRPr="00DD1B58">
        <w:rPr>
          <w:rFonts w:eastAsia="Arial"/>
          <w:szCs w:val="24"/>
          <w:lang w:val="en-US"/>
        </w:rPr>
        <w:t xml:space="preserve"> that the licensee has adequate fire safety analyses and supporting arrangements in place.</w:t>
      </w:r>
      <w:r w:rsidR="001210E4" w:rsidRPr="00DD1B58">
        <w:rPr>
          <w:rFonts w:eastAsia="Arial"/>
          <w:szCs w:val="24"/>
          <w:lang w:val="en-US"/>
        </w:rPr>
        <w:t xml:space="preserve"> </w:t>
      </w:r>
      <w:r w:rsidR="00741CD8" w:rsidRPr="00DD1B58">
        <w:rPr>
          <w:rFonts w:eastAsia="Arial"/>
          <w:szCs w:val="24"/>
          <w:lang w:val="en-US"/>
        </w:rPr>
        <w:t>Nonetheless</w:t>
      </w:r>
      <w:r w:rsidR="00C3273E" w:rsidRPr="00DD1B58">
        <w:rPr>
          <w:rFonts w:eastAsia="Arial"/>
          <w:szCs w:val="24"/>
          <w:lang w:val="en-US"/>
        </w:rPr>
        <w:t>,</w:t>
      </w:r>
      <w:r w:rsidR="00741CD8" w:rsidRPr="00DD1B58">
        <w:rPr>
          <w:rFonts w:eastAsia="Arial"/>
          <w:szCs w:val="24"/>
          <w:lang w:val="en-US"/>
        </w:rPr>
        <w:t xml:space="preserve"> the assessment in this report has identified that there is a secondary area whe</w:t>
      </w:r>
      <w:r w:rsidR="000B4C3D" w:rsidRPr="00DD1B58">
        <w:rPr>
          <w:rFonts w:eastAsia="Arial"/>
          <w:szCs w:val="24"/>
          <w:lang w:val="en-US"/>
        </w:rPr>
        <w:t>re</w:t>
      </w:r>
      <w:r w:rsidR="00741CD8" w:rsidRPr="00DD1B58">
        <w:rPr>
          <w:rFonts w:eastAsia="Arial"/>
          <w:szCs w:val="24"/>
          <w:lang w:val="en-US"/>
        </w:rPr>
        <w:t xml:space="preserve"> further review would be beneficial and proportionate: the licensee’s adoption and implementation of the latest IAEA guides </w:t>
      </w:r>
      <w:r w:rsidR="00D81D3E" w:rsidRPr="00DD1B58">
        <w:rPr>
          <w:rFonts w:eastAsia="Arial"/>
          <w:szCs w:val="24"/>
          <w:lang w:val="en-US"/>
        </w:rPr>
        <w:t>SSG</w:t>
      </w:r>
      <w:r w:rsidR="00741CD8" w:rsidRPr="00DD1B58">
        <w:rPr>
          <w:rFonts w:eastAsia="Arial"/>
          <w:szCs w:val="24"/>
          <w:lang w:val="en-US"/>
        </w:rPr>
        <w:t xml:space="preserve">-64 and </w:t>
      </w:r>
      <w:r w:rsidR="00D81D3E" w:rsidRPr="00DD1B58">
        <w:rPr>
          <w:rFonts w:eastAsia="Arial"/>
          <w:szCs w:val="24"/>
          <w:lang w:val="en-US"/>
        </w:rPr>
        <w:t>SSG-</w:t>
      </w:r>
      <w:r w:rsidR="00741CD8" w:rsidRPr="00DD1B58">
        <w:rPr>
          <w:rFonts w:eastAsia="Arial"/>
          <w:szCs w:val="24"/>
          <w:lang w:val="en-US"/>
        </w:rPr>
        <w:t xml:space="preserve">77 regarding systematic consideration of fire in combination with other hazards. This will be carried out through </w:t>
      </w:r>
      <w:r w:rsidR="00C3273E" w:rsidRPr="00DD1B58">
        <w:rPr>
          <w:rFonts w:eastAsia="Arial"/>
          <w:szCs w:val="24"/>
          <w:lang w:val="en-US"/>
        </w:rPr>
        <w:t>ONR’s assessment of PSR3</w:t>
      </w:r>
      <w:r w:rsidR="00F95B3F" w:rsidRPr="00DD1B58">
        <w:rPr>
          <w:rFonts w:eastAsia="Arial"/>
          <w:szCs w:val="24"/>
          <w:lang w:val="en-US"/>
        </w:rPr>
        <w:t xml:space="preserve"> and safety</w:t>
      </w:r>
      <w:r w:rsidR="00431F0A" w:rsidRPr="00DD1B58">
        <w:rPr>
          <w:rFonts w:eastAsia="Arial"/>
          <w:szCs w:val="24"/>
          <w:lang w:val="en-US"/>
        </w:rPr>
        <w:t xml:space="preserve"> case modifications</w:t>
      </w:r>
      <w:r w:rsidR="00C3273E" w:rsidRPr="00DD1B58">
        <w:rPr>
          <w:rFonts w:eastAsia="Arial"/>
          <w:szCs w:val="24"/>
          <w:lang w:val="en-US"/>
        </w:rPr>
        <w:t xml:space="preserve"> through normal business. </w:t>
      </w:r>
    </w:p>
    <w:p w14:paraId="36161F95" w14:textId="38457604" w:rsidR="7333825F" w:rsidRPr="00DD1B58" w:rsidRDefault="006856C0">
      <w:pPr>
        <w:rPr>
          <w:lang w:val="en-US"/>
        </w:rPr>
      </w:pPr>
      <w:r w:rsidRPr="00DD1B58">
        <w:rPr>
          <w:rFonts w:eastAsia="Arial"/>
          <w:szCs w:val="24"/>
          <w:highlight w:val="yellow"/>
          <w:lang w:val="en-US"/>
        </w:rPr>
        <w:t xml:space="preserve"> </w:t>
      </w:r>
    </w:p>
    <w:p w14:paraId="4DE28C44" w14:textId="77777777" w:rsidR="001210E4" w:rsidRPr="00DD1B58" w:rsidRDefault="001210E4">
      <w:pPr>
        <w:spacing w:after="0" w:line="240" w:lineRule="auto"/>
        <w:rPr>
          <w:color w:val="22413A"/>
          <w:sz w:val="28"/>
          <w:szCs w:val="18"/>
          <w:lang w:val="en-US"/>
        </w:rPr>
      </w:pPr>
      <w:r w:rsidRPr="00DD1B58">
        <w:rPr>
          <w:lang w:val="en-US"/>
        </w:rPr>
        <w:br w:type="page"/>
      </w:r>
    </w:p>
    <w:p w14:paraId="09C66364" w14:textId="74776D6C" w:rsidR="00F1180A" w:rsidRPr="00DD1B58" w:rsidRDefault="00F1180A" w:rsidP="00F1180A">
      <w:pPr>
        <w:pStyle w:val="Heading3"/>
        <w:rPr>
          <w:lang w:val="en-US"/>
        </w:rPr>
      </w:pPr>
      <w:bookmarkStart w:id="23" w:name="_Toc147090626"/>
      <w:r w:rsidRPr="00DD1B58">
        <w:rPr>
          <w:lang w:val="en-US"/>
        </w:rPr>
        <w:lastRenderedPageBreak/>
        <w:t xml:space="preserve">New </w:t>
      </w:r>
      <w:r w:rsidR="00A94122" w:rsidRPr="00DD1B58">
        <w:rPr>
          <w:lang w:val="en-US"/>
        </w:rPr>
        <w:t>b</w:t>
      </w:r>
      <w:r w:rsidRPr="00DD1B58">
        <w:rPr>
          <w:lang w:val="en-US"/>
        </w:rPr>
        <w:t xml:space="preserve">uild </w:t>
      </w:r>
      <w:r w:rsidR="00A94122" w:rsidRPr="00DD1B58">
        <w:rPr>
          <w:lang w:val="en-US"/>
        </w:rPr>
        <w:t>r</w:t>
      </w:r>
      <w:r w:rsidRPr="00DD1B58">
        <w:rPr>
          <w:lang w:val="en-US"/>
        </w:rPr>
        <w:t>eactors – NNB GenCo</w:t>
      </w:r>
      <w:bookmarkEnd w:id="23"/>
    </w:p>
    <w:p w14:paraId="1ADFAB3A" w14:textId="77777777" w:rsidR="7B1C7B35" w:rsidRPr="00DD1B58" w:rsidRDefault="7B1C7B35" w:rsidP="355CB971">
      <w:pPr>
        <w:rPr>
          <w:lang w:val="en-US"/>
        </w:rPr>
      </w:pPr>
      <w:r w:rsidRPr="00DD1B58">
        <w:rPr>
          <w:lang w:val="en-US"/>
        </w:rPr>
        <w:t xml:space="preserve">The methodologies described in Section II-2.1 </w:t>
      </w:r>
      <w:r w:rsidR="001B3C7B" w:rsidRPr="00DD1B58">
        <w:rPr>
          <w:lang w:val="en-US"/>
        </w:rPr>
        <w:t xml:space="preserve">below </w:t>
      </w:r>
      <w:r w:rsidRPr="00DD1B58">
        <w:rPr>
          <w:lang w:val="en-US"/>
        </w:rPr>
        <w:t>apply to all parts of the HPC site where there are nuclear or radiological hazards, including fuel storage and waste storage facilities</w:t>
      </w:r>
      <w:r w:rsidR="00EF7436" w:rsidRPr="00DD1B58">
        <w:rPr>
          <w:lang w:val="en-US"/>
        </w:rPr>
        <w:t>,</w:t>
      </w:r>
      <w:r w:rsidRPr="00DD1B58">
        <w:rPr>
          <w:lang w:val="en-US"/>
        </w:rPr>
        <w:t xml:space="preserve"> and the associated waste management processes such as gaseous and liquid effluent treatment, solid waste sorting and waste packaging, handling and on-site transport.</w:t>
      </w:r>
    </w:p>
    <w:p w14:paraId="11B896E1" w14:textId="77777777" w:rsidR="00F1180A" w:rsidRPr="00DD1B58" w:rsidRDefault="00F1180A" w:rsidP="00F1180A">
      <w:pPr>
        <w:pStyle w:val="Heading4"/>
        <w:rPr>
          <w:lang w:val="en-US"/>
        </w:rPr>
      </w:pPr>
      <w:bookmarkStart w:id="24" w:name="_Ref140843958"/>
      <w:r w:rsidRPr="00DD1B58">
        <w:rPr>
          <w:lang w:val="en-US"/>
        </w:rPr>
        <w:t>Types and scope of the fire safety analyses</w:t>
      </w:r>
      <w:bookmarkEnd w:id="24"/>
      <w:r w:rsidRPr="00DD1B58">
        <w:rPr>
          <w:lang w:val="en-US"/>
        </w:rPr>
        <w:t xml:space="preserve"> </w:t>
      </w:r>
    </w:p>
    <w:p w14:paraId="7181022A" w14:textId="77777777" w:rsidR="00991B7B" w:rsidRPr="00DD1B58" w:rsidRDefault="00991B7B" w:rsidP="00991B7B">
      <w:pPr>
        <w:rPr>
          <w:lang w:val="en-US"/>
        </w:rPr>
      </w:pPr>
      <w:bookmarkStart w:id="25" w:name="_Hlk143967971"/>
      <w:r w:rsidRPr="00DD1B58">
        <w:rPr>
          <w:lang w:val="en-US"/>
        </w:rPr>
        <w:t>The text in this section of the report has been prepared by NNB GenCo, with only minor changes by ONR as described in section 1.1.2.</w:t>
      </w:r>
    </w:p>
    <w:bookmarkEnd w:id="25"/>
    <w:p w14:paraId="7D3CE995" w14:textId="6755E86C" w:rsidR="464578BD" w:rsidRPr="00DD1B58" w:rsidRDefault="464578BD" w:rsidP="355CB971">
      <w:pPr>
        <w:rPr>
          <w:lang w:val="en-US"/>
        </w:rPr>
      </w:pPr>
      <w:r w:rsidRPr="00DD1B58">
        <w:rPr>
          <w:lang w:val="en-US"/>
        </w:rPr>
        <w:t>The HPC safety assessment uses a five</w:t>
      </w:r>
      <w:r w:rsidR="00FB0932" w:rsidRPr="00DD1B58">
        <w:rPr>
          <w:lang w:val="en-US"/>
        </w:rPr>
        <w:t>-</w:t>
      </w:r>
      <w:r w:rsidRPr="00DD1B58">
        <w:rPr>
          <w:lang w:val="en-US"/>
        </w:rPr>
        <w:t xml:space="preserve">step </w:t>
      </w:r>
      <w:r w:rsidR="00EF7436" w:rsidRPr="00DD1B58">
        <w:rPr>
          <w:lang w:val="en-US"/>
        </w:rPr>
        <w:t>defence i</w:t>
      </w:r>
      <w:r w:rsidRPr="00DD1B58">
        <w:rPr>
          <w:lang w:val="en-US"/>
        </w:rPr>
        <w:t>n</w:t>
      </w:r>
      <w:r w:rsidR="00EF7436" w:rsidRPr="00DD1B58">
        <w:rPr>
          <w:lang w:val="en-US"/>
        </w:rPr>
        <w:t xml:space="preserve"> d</w:t>
      </w:r>
      <w:r w:rsidRPr="00DD1B58">
        <w:rPr>
          <w:lang w:val="en-US"/>
        </w:rPr>
        <w:t>epth (DiD) process for prevention and mitigation of accidents</w:t>
      </w:r>
      <w:r w:rsidR="00EF7436" w:rsidRPr="00DD1B58">
        <w:rPr>
          <w:lang w:val="en-US"/>
        </w:rPr>
        <w:t>,</w:t>
      </w:r>
      <w:r w:rsidRPr="00DD1B58">
        <w:rPr>
          <w:lang w:val="en-US"/>
        </w:rPr>
        <w:t xml:space="preserve"> which </w:t>
      </w:r>
      <w:r w:rsidR="00C42AE8" w:rsidRPr="00DD1B58">
        <w:rPr>
          <w:lang w:val="en-US"/>
        </w:rPr>
        <w:t>NN</w:t>
      </w:r>
      <w:r w:rsidR="0026585F" w:rsidRPr="00DD1B58">
        <w:rPr>
          <w:lang w:val="en-US"/>
        </w:rPr>
        <w:t>B</w:t>
      </w:r>
      <w:r w:rsidR="00C42AE8" w:rsidRPr="00DD1B58">
        <w:rPr>
          <w:lang w:val="en-US"/>
        </w:rPr>
        <w:t xml:space="preserve"> GenCo considers to be </w:t>
      </w:r>
      <w:r w:rsidRPr="00DD1B58">
        <w:rPr>
          <w:lang w:val="en-US"/>
        </w:rPr>
        <w:t>align</w:t>
      </w:r>
      <w:r w:rsidR="00C42AE8" w:rsidRPr="00DD1B58">
        <w:rPr>
          <w:lang w:val="en-US"/>
        </w:rPr>
        <w:t>ed</w:t>
      </w:r>
      <w:r w:rsidRPr="00DD1B58">
        <w:rPr>
          <w:lang w:val="en-US"/>
        </w:rPr>
        <w:t xml:space="preserve"> with national and international RGP. The HPC DiD levels are shown in </w:t>
      </w:r>
      <w:r w:rsidR="00703DDA" w:rsidRPr="00DD1B58">
        <w:rPr>
          <w:lang w:val="en-US"/>
        </w:rPr>
        <w:fldChar w:fldCharType="begin"/>
      </w:r>
      <w:r w:rsidR="00703DDA" w:rsidRPr="00DD1B58">
        <w:rPr>
          <w:lang w:val="en-US"/>
        </w:rPr>
        <w:instrText xml:space="preserve"> REF _Ref142768556 \h </w:instrText>
      </w:r>
      <w:r w:rsidR="00703DDA" w:rsidRPr="00DD1B58">
        <w:rPr>
          <w:lang w:val="en-US"/>
        </w:rPr>
      </w:r>
      <w:r w:rsidR="00703DDA" w:rsidRPr="00DD1B58">
        <w:rPr>
          <w:lang w:val="en-US"/>
        </w:rPr>
        <w:fldChar w:fldCharType="separate"/>
      </w:r>
      <w:r w:rsidR="00DF47DA" w:rsidRPr="00DD1B58">
        <w:rPr>
          <w:lang w:val="en-US"/>
        </w:rPr>
        <w:t xml:space="preserve">Figure </w:t>
      </w:r>
      <w:r w:rsidR="00DF47DA">
        <w:rPr>
          <w:noProof/>
          <w:lang w:val="en-US"/>
        </w:rPr>
        <w:t>1</w:t>
      </w:r>
      <w:r w:rsidR="00703DDA" w:rsidRPr="00DD1B58">
        <w:rPr>
          <w:lang w:val="en-US"/>
        </w:rPr>
        <w:fldChar w:fldCharType="end"/>
      </w:r>
      <w:r w:rsidRPr="00DD1B58">
        <w:rPr>
          <w:lang w:val="en-US"/>
        </w:rPr>
        <w:t xml:space="preserve"> (</w:t>
      </w:r>
      <w:r w:rsidR="00EF7436" w:rsidRPr="00DD1B58">
        <w:rPr>
          <w:lang w:val="en-US"/>
        </w:rPr>
        <w:t xml:space="preserve">reproduced </w:t>
      </w:r>
      <w:r w:rsidRPr="00DD1B58">
        <w:rPr>
          <w:lang w:val="en-US"/>
        </w:rPr>
        <w:t xml:space="preserve">from </w:t>
      </w:r>
      <w:r w:rsidR="00EF7436" w:rsidRPr="00DD1B58">
        <w:rPr>
          <w:lang w:val="en-US"/>
        </w:rPr>
        <w:t xml:space="preserve">the </w:t>
      </w:r>
      <w:r w:rsidRPr="00DD1B58">
        <w:rPr>
          <w:lang w:val="en-US"/>
        </w:rPr>
        <w:t xml:space="preserve">HPC Safety Case Manual </w:t>
      </w:r>
      <w:sdt>
        <w:sdtPr>
          <w:rPr>
            <w:lang w:val="en-US"/>
          </w:rPr>
          <w:id w:val="-1931193566"/>
          <w:citation/>
        </w:sdtPr>
        <w:sdtContent>
          <w:r w:rsidR="009426CD" w:rsidRPr="00DD1B58">
            <w:rPr>
              <w:lang w:val="en-US"/>
            </w:rPr>
            <w:fldChar w:fldCharType="begin"/>
          </w:r>
          <w:r w:rsidR="009426CD" w:rsidRPr="00DD1B58">
            <w:rPr>
              <w:lang w:val="en-US"/>
            </w:rPr>
            <w:instrText xml:space="preserve"> CITATION NNB223 \l 2057 </w:instrText>
          </w:r>
          <w:r w:rsidR="009426CD" w:rsidRPr="00DD1B58">
            <w:rPr>
              <w:lang w:val="en-US"/>
            </w:rPr>
            <w:fldChar w:fldCharType="separate"/>
          </w:r>
          <w:r w:rsidR="00DF47DA" w:rsidRPr="00DF47DA">
            <w:rPr>
              <w:noProof/>
              <w:lang w:val="en-US"/>
            </w:rPr>
            <w:t>[47]</w:t>
          </w:r>
          <w:r w:rsidR="009426CD" w:rsidRPr="00DD1B58">
            <w:rPr>
              <w:lang w:val="en-US"/>
            </w:rPr>
            <w:fldChar w:fldCharType="end"/>
          </w:r>
        </w:sdtContent>
      </w:sdt>
      <w:r w:rsidRPr="00DD1B58">
        <w:rPr>
          <w:lang w:val="en-US"/>
        </w:rPr>
        <w:t>). The numbering of the levels influences the order of preference of choosing safety measures, so preventative measures such as elimination of ignition sources are used wherever possible instead of relying exclusively on risk reduction measures such as fire suppression systems.</w:t>
      </w:r>
    </w:p>
    <w:p w14:paraId="24DA01BA" w14:textId="0FB74D4A" w:rsidR="51AD91E8" w:rsidRPr="00DD1B58" w:rsidRDefault="001B3C7B" w:rsidP="00973FF4">
      <w:pPr>
        <w:pStyle w:val="Caption"/>
        <w:jc w:val="center"/>
        <w:rPr>
          <w:lang w:val="en-US"/>
        </w:rPr>
      </w:pPr>
      <w:bookmarkStart w:id="26" w:name="_Ref142768556"/>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1</w:t>
      </w:r>
      <w:r w:rsidRPr="00DD1B58">
        <w:rPr>
          <w:lang w:val="en-US"/>
        </w:rPr>
        <w:fldChar w:fldCharType="end"/>
      </w:r>
      <w:bookmarkEnd w:id="26"/>
      <w:r w:rsidR="009143DB" w:rsidRPr="00DD1B58">
        <w:rPr>
          <w:lang w:val="en-US"/>
        </w:rPr>
        <w:t>:</w:t>
      </w:r>
      <w:r w:rsidR="5EEAB4BB" w:rsidRPr="00DD1B58">
        <w:rPr>
          <w:lang w:val="en-US"/>
        </w:rPr>
        <w:t xml:space="preserve"> NNB </w:t>
      </w:r>
      <w:r w:rsidR="00EF7436" w:rsidRPr="00DD1B58">
        <w:rPr>
          <w:lang w:val="en-US"/>
        </w:rPr>
        <w:t>levels of defence in depth</w:t>
      </w:r>
    </w:p>
    <w:p w14:paraId="3628DB98" w14:textId="77777777" w:rsidR="00F300F0" w:rsidRPr="00DD1B58" w:rsidRDefault="00F300F0" w:rsidP="00600359">
      <w:pPr>
        <w:rPr>
          <w:lang w:val="en-US"/>
        </w:rPr>
      </w:pPr>
      <w:r w:rsidRPr="00DD1B58">
        <w:rPr>
          <w:noProof/>
          <w:lang w:val="en-US"/>
        </w:rPr>
        <w:drawing>
          <wp:inline distT="0" distB="0" distL="0" distR="0" wp14:anchorId="587D3228" wp14:editId="30936572">
            <wp:extent cx="5286375" cy="3715920"/>
            <wp:effectExtent l="0" t="0" r="0" b="0"/>
            <wp:docPr id="2" name="Picture 2" descr="Diagram showing five levels of defence in depth.&#10;Level 1 and 2 above the preventative line: &quot;Prevention of deviation from normal operation&quot; and &quot;Detection of deviations from normal operation and provision of means to prevent such deviations leading to a fault or hazard&quot;&#10;Level 3 above the main line: &quot;Provision of safety measures to control and mitigate faults and hazards&quot;&#10;Level 4 above the risk reduction line: &quot;Provision od safety measures for further risk reduction in scenarios where the main line of defence has failed, including mitigation of the consequences of a severe accident&quot;&#10;Level 5 above the provided by offsite emergency response: &quot;Mitigation of radiological consequences of significant releases of radioactive materi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owing five levels of defence in depth.&#10;Level 1 and 2 above the preventative line: &quot;Prevention of deviation from normal operation&quot; and &quot;Detection of deviations from normal operation and provision of means to prevent such deviations leading to a fault or hazard&quot;&#10;Level 3 above the main line: &quot;Provision of safety measures to control and mitigate faults and hazards&quot;&#10;Level 4 above the risk reduction line: &quot;Provision od safety measures for further risk reduction in scenarios where the main line of defence has failed, including mitigation of the consequences of a severe accident&quot;&#10;Level 5 above the provided by offsite emergency response: &quot;Mitigation of radiological consequences of significant releases of radioactive material&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4558" cy="3721672"/>
                    </a:xfrm>
                    <a:prstGeom prst="rect">
                      <a:avLst/>
                    </a:prstGeom>
                    <a:noFill/>
                  </pic:spPr>
                </pic:pic>
              </a:graphicData>
            </a:graphic>
          </wp:inline>
        </w:drawing>
      </w:r>
    </w:p>
    <w:p w14:paraId="7CD13BF5" w14:textId="77777777" w:rsidR="00F300F0" w:rsidRPr="00DD1B58" w:rsidRDefault="00F300F0" w:rsidP="00600359">
      <w:pPr>
        <w:rPr>
          <w:highlight w:val="yellow"/>
          <w:lang w:val="en-US"/>
        </w:rPr>
      </w:pPr>
    </w:p>
    <w:p w14:paraId="2049453D" w14:textId="35B52358" w:rsidR="34122816" w:rsidRPr="00DD1B58" w:rsidRDefault="34122816" w:rsidP="355CB971">
      <w:pPr>
        <w:rPr>
          <w:lang w:val="en-US"/>
        </w:rPr>
      </w:pPr>
      <w:r w:rsidRPr="00DD1B58">
        <w:rPr>
          <w:lang w:val="en-US"/>
        </w:rPr>
        <w:t xml:space="preserve">The overall objective of </w:t>
      </w:r>
      <w:r w:rsidR="00BE7C04" w:rsidRPr="00DD1B58">
        <w:rPr>
          <w:lang w:val="en-US"/>
        </w:rPr>
        <w:t xml:space="preserve">NNB GenCo’s </w:t>
      </w:r>
      <w:r w:rsidRPr="00DD1B58">
        <w:rPr>
          <w:lang w:val="en-US"/>
        </w:rPr>
        <w:t xml:space="preserve">fire assessment for nuclear safety </w:t>
      </w:r>
      <w:sdt>
        <w:sdtPr>
          <w:rPr>
            <w:lang w:val="en-US"/>
          </w:rPr>
          <w:id w:val="1611702002"/>
          <w:citation/>
        </w:sdtPr>
        <w:sdtContent>
          <w:r w:rsidR="00BE10CD" w:rsidRPr="00DD1B58">
            <w:rPr>
              <w:lang w:val="en-US"/>
            </w:rPr>
            <w:fldChar w:fldCharType="begin"/>
          </w:r>
          <w:r w:rsidR="00BE10CD" w:rsidRPr="00DD1B58">
            <w:rPr>
              <w:lang w:val="en-US"/>
            </w:rPr>
            <w:instrText xml:space="preserve"> CITATION NNB19 \l 2057 </w:instrText>
          </w:r>
          <w:r w:rsidR="00BE10CD" w:rsidRPr="00DD1B58">
            <w:rPr>
              <w:lang w:val="en-US"/>
            </w:rPr>
            <w:fldChar w:fldCharType="separate"/>
          </w:r>
          <w:r w:rsidR="00DF47DA" w:rsidRPr="00DF47DA">
            <w:rPr>
              <w:noProof/>
              <w:lang w:val="en-US"/>
            </w:rPr>
            <w:t>[48]</w:t>
          </w:r>
          <w:r w:rsidR="00BE10CD" w:rsidRPr="00DD1B58">
            <w:rPr>
              <w:lang w:val="en-US"/>
            </w:rPr>
            <w:fldChar w:fldCharType="end"/>
          </w:r>
        </w:sdtContent>
      </w:sdt>
      <w:r w:rsidRPr="00DD1B58">
        <w:rPr>
          <w:lang w:val="en-US"/>
        </w:rPr>
        <w:t xml:space="preserve"> </w:t>
      </w:r>
      <w:r w:rsidR="00BE7C04" w:rsidRPr="00DD1B58">
        <w:rPr>
          <w:lang w:val="en-US"/>
        </w:rPr>
        <w:t>(</w:t>
      </w:r>
      <w:r w:rsidRPr="00DD1B58">
        <w:rPr>
          <w:lang w:val="en-US"/>
        </w:rPr>
        <w:t>Section 5.1.1) is to ensure that the safety functions which enable achievement and maintenance of the safe state of plant are performed in the event of a fire inside the installation. This objective implies that:</w:t>
      </w:r>
    </w:p>
    <w:p w14:paraId="35F202DD" w14:textId="77777777" w:rsidR="34122816" w:rsidRPr="00DD1B58" w:rsidRDefault="00F890C6" w:rsidP="001B13EA">
      <w:pPr>
        <w:pStyle w:val="Bulletlist1"/>
        <w:rPr>
          <w:lang w:val="en-US"/>
        </w:rPr>
      </w:pPr>
      <w:r w:rsidRPr="00DD1B58">
        <w:rPr>
          <w:lang w:val="en-US"/>
        </w:rPr>
        <w:lastRenderedPageBreak/>
        <w:t>A fire must not cause the loss of more than one redundant system whose safety function is required to reach and maintain the safe state of the plant.</w:t>
      </w:r>
    </w:p>
    <w:p w14:paraId="206499A0" w14:textId="3F6068C4" w:rsidR="59ABBDA0" w:rsidRPr="00DD1B58" w:rsidRDefault="12F747B5" w:rsidP="001B13EA">
      <w:pPr>
        <w:pStyle w:val="Bulletlist1"/>
        <w:rPr>
          <w:lang w:val="en-US"/>
        </w:rPr>
      </w:pPr>
      <w:r w:rsidRPr="00DD1B58">
        <w:rPr>
          <w:lang w:val="en-US"/>
        </w:rPr>
        <w:t>A</w:t>
      </w:r>
      <w:r w:rsidR="00F890C6" w:rsidRPr="00DD1B58">
        <w:rPr>
          <w:lang w:val="en-US"/>
        </w:rPr>
        <w:t xml:space="preserve"> fire must not compromise the control room</w:t>
      </w:r>
      <w:r w:rsidR="005321B8" w:rsidRPr="00DD1B58">
        <w:rPr>
          <w:lang w:val="en-US"/>
        </w:rPr>
        <w:t>;</w:t>
      </w:r>
      <w:r w:rsidR="00F890C6" w:rsidRPr="00DD1B58">
        <w:rPr>
          <w:lang w:val="en-US"/>
        </w:rPr>
        <w:t xml:space="preserve"> habitability</w:t>
      </w:r>
      <w:r w:rsidR="005321B8" w:rsidRPr="00DD1B58">
        <w:rPr>
          <w:lang w:val="en-US"/>
        </w:rPr>
        <w:t xml:space="preserve"> must be assured</w:t>
      </w:r>
      <w:r w:rsidR="00F890C6" w:rsidRPr="00DD1B58">
        <w:rPr>
          <w:lang w:val="en-US"/>
        </w:rPr>
        <w:t>. If the control room cannot be accessed, the accessibility and habitability of the Remote Shutdown Station (RSS). Access must also be possible for local actions that are needed.</w:t>
      </w:r>
    </w:p>
    <w:p w14:paraId="4E665196" w14:textId="77777777" w:rsidR="34122816" w:rsidRPr="00DD1B58" w:rsidRDefault="00F890C6" w:rsidP="001B13EA">
      <w:pPr>
        <w:pStyle w:val="Bulletlist1"/>
        <w:rPr>
          <w:lang w:val="en-US"/>
        </w:rPr>
      </w:pPr>
      <w:r w:rsidRPr="00DD1B58">
        <w:rPr>
          <w:lang w:val="en-US"/>
        </w:rPr>
        <w:t>A fire must not lead to the loss of safety equipment whose failure is not accounted for in the safety case. This applies to the enclosures of major components of the primary circuit, and piping for which break preclusion applies.</w:t>
      </w:r>
    </w:p>
    <w:p w14:paraId="4654C5C0" w14:textId="77777777" w:rsidR="34122816" w:rsidRPr="00DD1B58" w:rsidRDefault="00F890C6" w:rsidP="001B13EA">
      <w:pPr>
        <w:pStyle w:val="Bulletlist1"/>
        <w:rPr>
          <w:lang w:val="en-US"/>
        </w:rPr>
      </w:pPr>
      <w:r w:rsidRPr="00DD1B58">
        <w:rPr>
          <w:lang w:val="en-US"/>
        </w:rPr>
        <w:t>A fire must not cause the loss of non-redundant safety equipment required to reach and maintain the safe state of the plant. If loss of such equipment cannot be ruled out, the potential for a fire must be eliminated or the equipment must be protected.</w:t>
      </w:r>
    </w:p>
    <w:p w14:paraId="3D3343EC" w14:textId="465A05CE" w:rsidR="34122816" w:rsidRPr="00DD1B58" w:rsidRDefault="00F890C6" w:rsidP="001B13EA">
      <w:pPr>
        <w:pStyle w:val="Bulletlist1"/>
        <w:rPr>
          <w:lang w:val="en-US"/>
        </w:rPr>
      </w:pPr>
      <w:r w:rsidRPr="00DD1B58">
        <w:rPr>
          <w:lang w:val="en-US"/>
        </w:rPr>
        <w:t xml:space="preserve">A fire must not cause loss of equipment where loss would lead to core melt, large releases following core melt (severe accidents) or a further event with an anticipated frequency of occurrence less than 0.01 per year, as far as </w:t>
      </w:r>
      <w:r w:rsidR="008D5C7D" w:rsidRPr="00DD1B58">
        <w:rPr>
          <w:lang w:val="en-US"/>
        </w:rPr>
        <w:t>reasonably practicable</w:t>
      </w:r>
      <w:r w:rsidRPr="00DD1B58">
        <w:rPr>
          <w:lang w:val="en-US"/>
        </w:rPr>
        <w:t>.</w:t>
      </w:r>
    </w:p>
    <w:p w14:paraId="72C18129" w14:textId="79E2FCFB" w:rsidR="346175AD" w:rsidRPr="00DD1B58" w:rsidRDefault="346175AD" w:rsidP="355CB971">
      <w:pPr>
        <w:pStyle w:val="Bulletlist1"/>
        <w:numPr>
          <w:ilvl w:val="0"/>
          <w:numId w:val="0"/>
        </w:numPr>
        <w:rPr>
          <w:b/>
          <w:szCs w:val="24"/>
          <w:lang w:val="en-US"/>
        </w:rPr>
      </w:pPr>
      <w:r w:rsidRPr="00DD1B58">
        <w:rPr>
          <w:szCs w:val="24"/>
          <w:lang w:val="en-US"/>
        </w:rPr>
        <w:t>The following description is based on the HPC Safety Assessment Principles for Internal Faults [42] and the Assumptions and Criteria for Internal Faults Safety Analysis. The overall framework for all faults and hazards is presented first for context, and details of how fire assessments fit into the overall case are covered later.</w:t>
      </w:r>
    </w:p>
    <w:p w14:paraId="0484E63A" w14:textId="77777777" w:rsidR="76E88FF1" w:rsidRPr="00DD1B58" w:rsidRDefault="346175AD" w:rsidP="00896A38">
      <w:pPr>
        <w:pStyle w:val="Heading4"/>
        <w:numPr>
          <w:ilvl w:val="4"/>
          <w:numId w:val="3"/>
        </w:numPr>
        <w:rPr>
          <w:lang w:val="en-US"/>
        </w:rPr>
      </w:pPr>
      <w:r w:rsidRPr="00DD1B58">
        <w:rPr>
          <w:lang w:val="en-US"/>
        </w:rPr>
        <w:t>Determin</w:t>
      </w:r>
      <w:r w:rsidR="0BE8A68A" w:rsidRPr="00DD1B58">
        <w:rPr>
          <w:lang w:val="en-US"/>
        </w:rPr>
        <w:t>i</w:t>
      </w:r>
      <w:r w:rsidRPr="00DD1B58">
        <w:rPr>
          <w:lang w:val="en-US"/>
        </w:rPr>
        <w:t xml:space="preserve">stic </w:t>
      </w:r>
      <w:r w:rsidR="7AC63385" w:rsidRPr="00DD1B58">
        <w:rPr>
          <w:lang w:val="en-US"/>
        </w:rPr>
        <w:t>fire hazard analysis</w:t>
      </w:r>
    </w:p>
    <w:p w14:paraId="7980FAEF" w14:textId="77777777" w:rsidR="69CC5F1E" w:rsidRPr="00DD1B58" w:rsidRDefault="69CC5F1E" w:rsidP="355CB971">
      <w:pPr>
        <w:pStyle w:val="Bulletlist1"/>
        <w:numPr>
          <w:ilvl w:val="0"/>
          <w:numId w:val="0"/>
        </w:numPr>
        <w:rPr>
          <w:szCs w:val="24"/>
          <w:lang w:val="en-US"/>
        </w:rPr>
      </w:pPr>
      <w:r w:rsidRPr="00DD1B58">
        <w:rPr>
          <w:szCs w:val="24"/>
          <w:lang w:val="en-US"/>
        </w:rPr>
        <w:t>The EPR design is based on the demonstration of a set of Main Safety Functions (MSF) for all design basis faults and hazards. The MSF, used in the deterministic assessment are as follows:</w:t>
      </w:r>
    </w:p>
    <w:p w14:paraId="6427A80B" w14:textId="77777777" w:rsidR="69CC5F1E" w:rsidRPr="00DD1B58" w:rsidRDefault="14BD5736" w:rsidP="001B13EA">
      <w:pPr>
        <w:pStyle w:val="Bulletlist1"/>
        <w:rPr>
          <w:lang w:val="en-US"/>
        </w:rPr>
      </w:pPr>
      <w:r w:rsidRPr="00DD1B58">
        <w:rPr>
          <w:lang w:val="en-US"/>
        </w:rPr>
        <w:t>Control of Fuel Reactivity;</w:t>
      </w:r>
    </w:p>
    <w:p w14:paraId="6066ACB3" w14:textId="77777777" w:rsidR="69CC5F1E" w:rsidRPr="00DD1B58" w:rsidRDefault="14BD5736" w:rsidP="001B13EA">
      <w:pPr>
        <w:pStyle w:val="Bulletlist1"/>
        <w:rPr>
          <w:lang w:val="en-US"/>
        </w:rPr>
      </w:pPr>
      <w:r w:rsidRPr="00DD1B58">
        <w:rPr>
          <w:lang w:val="en-US"/>
        </w:rPr>
        <w:t>Fuel Heat Removal;</w:t>
      </w:r>
    </w:p>
    <w:p w14:paraId="5DFC2EC9" w14:textId="77777777" w:rsidR="69CC5F1E" w:rsidRPr="00DD1B58" w:rsidRDefault="14BD5736" w:rsidP="001B13EA">
      <w:pPr>
        <w:pStyle w:val="Bulletlist1"/>
        <w:rPr>
          <w:lang w:val="en-US"/>
        </w:rPr>
      </w:pPr>
      <w:r w:rsidRPr="00DD1B58">
        <w:rPr>
          <w:lang w:val="en-US"/>
        </w:rPr>
        <w:t>Confinement of Radioactive Material;</w:t>
      </w:r>
      <w:r w:rsidR="007C3076" w:rsidRPr="00DD1B58">
        <w:rPr>
          <w:lang w:val="en-US"/>
        </w:rPr>
        <w:t xml:space="preserve"> and</w:t>
      </w:r>
    </w:p>
    <w:p w14:paraId="2E9BB41B" w14:textId="77777777" w:rsidR="69CC5F1E" w:rsidRPr="00DD1B58" w:rsidRDefault="14BD5736" w:rsidP="001B13EA">
      <w:pPr>
        <w:pStyle w:val="Bulletlist1"/>
        <w:rPr>
          <w:lang w:val="en-US"/>
        </w:rPr>
      </w:pPr>
      <w:r w:rsidRPr="00DD1B58">
        <w:rPr>
          <w:lang w:val="en-US"/>
        </w:rPr>
        <w:t>Other: Hazard prevention and mitigation, or plant monitoring or auxiliary support to the above three MSFs.</w:t>
      </w:r>
    </w:p>
    <w:p w14:paraId="478E37F4" w14:textId="1EF3E1DF" w:rsidR="00E402A8" w:rsidRPr="00DD1B58" w:rsidRDefault="69CC5F1E" w:rsidP="004F4DAF">
      <w:pPr>
        <w:pStyle w:val="Bulletlist1"/>
        <w:numPr>
          <w:ilvl w:val="0"/>
          <w:numId w:val="0"/>
        </w:numPr>
        <w:rPr>
          <w:lang w:val="en-US"/>
        </w:rPr>
      </w:pPr>
      <w:r w:rsidRPr="00DD1B58">
        <w:rPr>
          <w:szCs w:val="24"/>
          <w:lang w:val="en-US"/>
        </w:rPr>
        <w:t>The MSFs are used to derive Plant Level Safety Functions (PLSF), which are then decomposed into Lower Level Safety Functions (LLSF) until they can be applied to specific scenarios and levels of DiD.</w:t>
      </w:r>
      <w:r w:rsidR="65600BF2" w:rsidRPr="00DD1B58">
        <w:rPr>
          <w:szCs w:val="24"/>
          <w:lang w:val="en-US"/>
        </w:rPr>
        <w:t xml:space="preserve"> The relationship between different types of Safety Function (SFn) and the DiD concept is shown in </w:t>
      </w:r>
      <w:r w:rsidR="00E402A8" w:rsidRPr="00DD1B58">
        <w:rPr>
          <w:szCs w:val="24"/>
          <w:lang w:val="en-US"/>
        </w:rPr>
        <w:fldChar w:fldCharType="begin"/>
      </w:r>
      <w:r w:rsidR="00E402A8" w:rsidRPr="00DD1B58">
        <w:rPr>
          <w:szCs w:val="24"/>
          <w:lang w:val="en-US"/>
        </w:rPr>
        <w:instrText xml:space="preserve"> REF _Ref142887722 \h </w:instrText>
      </w:r>
      <w:r w:rsidR="00E402A8" w:rsidRPr="00DD1B58">
        <w:rPr>
          <w:szCs w:val="24"/>
          <w:lang w:val="en-US"/>
        </w:rPr>
      </w:r>
      <w:r w:rsidR="00E402A8" w:rsidRPr="00DD1B58">
        <w:rPr>
          <w:szCs w:val="24"/>
          <w:lang w:val="en-US"/>
        </w:rPr>
        <w:fldChar w:fldCharType="separate"/>
      </w:r>
      <w:r w:rsidR="00DF47DA" w:rsidRPr="00DD1B58">
        <w:rPr>
          <w:lang w:val="en-US"/>
        </w:rPr>
        <w:t xml:space="preserve">Figure </w:t>
      </w:r>
      <w:r w:rsidR="00DF47DA">
        <w:rPr>
          <w:lang w:val="en-US"/>
        </w:rPr>
        <w:t>2</w:t>
      </w:r>
      <w:r w:rsidR="00E402A8" w:rsidRPr="00DD1B58">
        <w:rPr>
          <w:szCs w:val="24"/>
          <w:lang w:val="en-US"/>
        </w:rPr>
        <w:fldChar w:fldCharType="end"/>
      </w:r>
      <w:r w:rsidR="65600BF2" w:rsidRPr="00DD1B58">
        <w:rPr>
          <w:szCs w:val="24"/>
          <w:lang w:val="en-US"/>
        </w:rPr>
        <w:t xml:space="preserve"> (from </w:t>
      </w:r>
      <w:sdt>
        <w:sdtPr>
          <w:rPr>
            <w:szCs w:val="24"/>
            <w:lang w:val="en-US"/>
          </w:rPr>
          <w:id w:val="2071618456"/>
          <w:citation/>
        </w:sdtPr>
        <w:sdtContent>
          <w:r w:rsidR="00A52442" w:rsidRPr="00DD1B58">
            <w:rPr>
              <w:szCs w:val="24"/>
              <w:lang w:val="en-US"/>
            </w:rPr>
            <w:fldChar w:fldCharType="begin"/>
          </w:r>
          <w:r w:rsidR="00A52442" w:rsidRPr="00DD1B58">
            <w:rPr>
              <w:szCs w:val="24"/>
              <w:lang w:val="en-US"/>
            </w:rPr>
            <w:instrText xml:space="preserve"> CITATION NNB223 \l 2057 </w:instrText>
          </w:r>
          <w:r w:rsidR="00A52442" w:rsidRPr="00DD1B58">
            <w:rPr>
              <w:szCs w:val="24"/>
              <w:lang w:val="en-US"/>
            </w:rPr>
            <w:fldChar w:fldCharType="separate"/>
          </w:r>
          <w:r w:rsidR="00DF47DA" w:rsidRPr="00DF47DA">
            <w:rPr>
              <w:szCs w:val="24"/>
              <w:lang w:val="en-US"/>
            </w:rPr>
            <w:t>[47]</w:t>
          </w:r>
          <w:r w:rsidR="00A52442" w:rsidRPr="00DD1B58">
            <w:rPr>
              <w:szCs w:val="24"/>
              <w:lang w:val="en-US"/>
            </w:rPr>
            <w:fldChar w:fldCharType="end"/>
          </w:r>
        </w:sdtContent>
      </w:sdt>
      <w:r w:rsidR="65600BF2" w:rsidRPr="00DD1B58">
        <w:rPr>
          <w:szCs w:val="24"/>
          <w:lang w:val="en-US"/>
        </w:rPr>
        <w:t>).</w:t>
      </w:r>
    </w:p>
    <w:p w14:paraId="1277AEE8" w14:textId="5ECEF21D" w:rsidR="00FB0932" w:rsidRPr="00DD1B58" w:rsidRDefault="00FB0932">
      <w:pPr>
        <w:spacing w:after="0" w:line="240" w:lineRule="auto"/>
        <w:rPr>
          <w:b/>
          <w:bCs/>
          <w:color w:val="000000" w:themeColor="text2"/>
          <w:sz w:val="22"/>
          <w:lang w:val="en-US"/>
        </w:rPr>
      </w:pPr>
      <w:r w:rsidRPr="00DD1B58">
        <w:rPr>
          <w:lang w:val="en-US"/>
        </w:rPr>
        <w:br w:type="page"/>
      </w:r>
    </w:p>
    <w:p w14:paraId="36057417" w14:textId="4F8F0830" w:rsidR="1827A39E" w:rsidRPr="00DD1B58" w:rsidRDefault="00E402A8" w:rsidP="00973FF4">
      <w:pPr>
        <w:pStyle w:val="Caption"/>
        <w:rPr>
          <w:lang w:val="en-US"/>
        </w:rPr>
      </w:pPr>
      <w:bookmarkStart w:id="27" w:name="_Ref142887722"/>
      <w:r w:rsidRPr="00DD1B58">
        <w:rPr>
          <w:lang w:val="en-US"/>
        </w:rPr>
        <w:lastRenderedPageBreak/>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2</w:t>
      </w:r>
      <w:r w:rsidRPr="00DD1B58">
        <w:rPr>
          <w:lang w:val="en-US"/>
        </w:rPr>
        <w:fldChar w:fldCharType="end"/>
      </w:r>
      <w:bookmarkEnd w:id="27"/>
      <w:r w:rsidR="1827A39E" w:rsidRPr="00DD1B58">
        <w:rPr>
          <w:lang w:val="en-US"/>
        </w:rPr>
        <w:t xml:space="preserve">: </w:t>
      </w:r>
      <w:r w:rsidR="007C3076" w:rsidRPr="00DD1B58">
        <w:rPr>
          <w:lang w:val="en-US"/>
        </w:rPr>
        <w:t>Relationship between different types of Safety Function and levels of defence in depth</w:t>
      </w:r>
    </w:p>
    <w:p w14:paraId="0A437824" w14:textId="77777777" w:rsidR="1827A39E" w:rsidRPr="00DD1B58" w:rsidRDefault="1827A39E" w:rsidP="00973FF4">
      <w:pPr>
        <w:jc w:val="center"/>
        <w:rPr>
          <w:lang w:val="en-US"/>
        </w:rPr>
      </w:pPr>
      <w:r w:rsidRPr="00DD1B58">
        <w:rPr>
          <w:noProof/>
          <w:lang w:val="en-US"/>
        </w:rPr>
        <w:drawing>
          <wp:inline distT="0" distB="0" distL="0" distR="0" wp14:anchorId="55DD1E77" wp14:editId="0E920E2D">
            <wp:extent cx="5419725" cy="1895475"/>
            <wp:effectExtent l="0" t="0" r="9525" b="9525"/>
            <wp:docPr id="872908642" name="Picture 872908642" descr="Relationship between different types of Safety Function and levels of defence in depth:&#10;Level 1 and 2: hazard prevention and hazard detection functions&#10;Level 3 and part of level 4: hazard mitigation and hazard detection functions&#10;Level 4: extreme external hazard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08642" name="Picture 872908642" descr="Relationship between different types of Safety Function and levels of defence in depth:&#10;Level 1 and 2: hazard prevention and hazard detection functions&#10;Level 3 and part of level 4: hazard mitigation and hazard detection functions&#10;Level 4: extreme external hazard fun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3139" cy="1896669"/>
                    </a:xfrm>
                    <a:prstGeom prst="rect">
                      <a:avLst/>
                    </a:prstGeom>
                  </pic:spPr>
                </pic:pic>
              </a:graphicData>
            </a:graphic>
          </wp:inline>
        </w:drawing>
      </w:r>
    </w:p>
    <w:p w14:paraId="5964B220" w14:textId="045FCD56" w:rsidR="1827A39E" w:rsidRPr="00DD1B58" w:rsidRDefault="002A19B6" w:rsidP="355CB971">
      <w:pPr>
        <w:rPr>
          <w:lang w:val="en-US"/>
        </w:rPr>
      </w:pPr>
      <w:r w:rsidRPr="00DD1B58">
        <w:rPr>
          <w:lang w:val="en-US"/>
        </w:rPr>
        <w:t>NNB GenCo carries out d</w:t>
      </w:r>
      <w:r w:rsidR="1827A39E" w:rsidRPr="00DD1B58">
        <w:rPr>
          <w:lang w:val="en-US"/>
        </w:rPr>
        <w:t>eterministic assessment of faults separately to hazard assessment, and produces:</w:t>
      </w:r>
    </w:p>
    <w:p w14:paraId="0712668C" w14:textId="77777777" w:rsidR="1827A39E" w:rsidRPr="00DD1B58" w:rsidRDefault="3384611C" w:rsidP="001B13EA">
      <w:pPr>
        <w:pStyle w:val="Bulletlist1"/>
        <w:rPr>
          <w:lang w:val="en-US"/>
        </w:rPr>
      </w:pPr>
      <w:r w:rsidRPr="00DD1B58">
        <w:rPr>
          <w:lang w:val="en-US"/>
        </w:rPr>
        <w:t xml:space="preserve">A set of SFns and </w:t>
      </w:r>
      <w:r w:rsidR="00880A6B" w:rsidRPr="00DD1B58">
        <w:rPr>
          <w:lang w:val="en-US"/>
        </w:rPr>
        <w:t>Safety Features (</w:t>
      </w:r>
      <w:r w:rsidRPr="00DD1B58">
        <w:rPr>
          <w:lang w:val="en-US"/>
        </w:rPr>
        <w:t>SFs</w:t>
      </w:r>
      <w:r w:rsidR="00880A6B" w:rsidRPr="00DD1B58">
        <w:rPr>
          <w:lang w:val="en-US"/>
        </w:rPr>
        <w:t>)</w:t>
      </w:r>
      <w:r w:rsidRPr="00DD1B58">
        <w:rPr>
          <w:lang w:val="en-US"/>
        </w:rPr>
        <w:t xml:space="preserve"> which reduce the frequency of faults;</w:t>
      </w:r>
    </w:p>
    <w:p w14:paraId="67F4B211" w14:textId="5A93EB2C" w:rsidR="1827A39E" w:rsidRPr="00DD1B58" w:rsidRDefault="3384611C" w:rsidP="001B13EA">
      <w:pPr>
        <w:pStyle w:val="Bulletlist1"/>
        <w:rPr>
          <w:lang w:val="en-US"/>
        </w:rPr>
      </w:pPr>
      <w:r w:rsidRPr="00DD1B58">
        <w:rPr>
          <w:lang w:val="en-US"/>
        </w:rPr>
        <w:t>A set of Design Basis Initiating Faults (DBIFs) and their frequencies, consequences, the SFns and SFs required to mitigate them such that a Non-Hazardous Stable State (NHSS) and Safe Shutdown State (SSS) can be reached and maintained following a DBIF, and that doses meet safety objectives (</w:t>
      </w:r>
      <w:r w:rsidR="007C3076" w:rsidRPr="00DD1B58">
        <w:rPr>
          <w:lang w:val="en-US"/>
        </w:rPr>
        <w:t xml:space="preserve">level </w:t>
      </w:r>
      <w:r w:rsidRPr="00DD1B58">
        <w:rPr>
          <w:lang w:val="en-US"/>
        </w:rPr>
        <w:t>3 of DiD)</w:t>
      </w:r>
      <w:r w:rsidR="007C3076" w:rsidRPr="00DD1B58">
        <w:rPr>
          <w:lang w:val="en-US"/>
        </w:rPr>
        <w:t>;</w:t>
      </w:r>
    </w:p>
    <w:p w14:paraId="316032A2" w14:textId="659C93B2" w:rsidR="1827A39E" w:rsidRPr="00DD1B58" w:rsidRDefault="3384611C" w:rsidP="001B13EA">
      <w:pPr>
        <w:pStyle w:val="Bulletlist1"/>
        <w:rPr>
          <w:lang w:val="en-US"/>
        </w:rPr>
      </w:pPr>
      <w:r w:rsidRPr="00DD1B58">
        <w:rPr>
          <w:lang w:val="en-US"/>
        </w:rPr>
        <w:t>The number of lines of protection to be provided by SFs, identified based on the DBIF frequency, consequences,and the potential for Common Cause Failure (CCF) of SFs (i.e., the failure of two or more SFs to fulfil their function due to a single specific event/cause, such as fire in one room)</w:t>
      </w:r>
      <w:r w:rsidR="007C3076" w:rsidRPr="00DD1B58">
        <w:rPr>
          <w:lang w:val="en-US"/>
        </w:rPr>
        <w:t>; and</w:t>
      </w:r>
    </w:p>
    <w:p w14:paraId="52833F60" w14:textId="77777777" w:rsidR="1827A39E" w:rsidRPr="00DD1B58" w:rsidRDefault="3384611C" w:rsidP="001B13EA">
      <w:pPr>
        <w:pStyle w:val="Bulletlist1"/>
        <w:rPr>
          <w:lang w:val="en-US"/>
        </w:rPr>
      </w:pPr>
      <w:r w:rsidRPr="00DD1B58">
        <w:rPr>
          <w:lang w:val="en-US"/>
        </w:rPr>
        <w:t>Analysis to demonstrate that lines of protection can meet their safety objectives, with the level of conservatism appropriate to the frequency of the fault, the potential consequences, and the line of protection being considered.</w:t>
      </w:r>
    </w:p>
    <w:p w14:paraId="10232D81" w14:textId="5E659312" w:rsidR="1827A39E" w:rsidRPr="00DD1B58" w:rsidRDefault="001679EC" w:rsidP="355CB971">
      <w:pPr>
        <w:rPr>
          <w:lang w:val="en-US"/>
        </w:rPr>
      </w:pPr>
      <w:r w:rsidRPr="00DD1B58">
        <w:rPr>
          <w:lang w:val="en-US"/>
        </w:rPr>
        <w:t xml:space="preserve">NNB GenCo then links the </w:t>
      </w:r>
      <w:r w:rsidR="195F1643" w:rsidRPr="00DD1B58">
        <w:rPr>
          <w:lang w:val="en-US"/>
        </w:rPr>
        <w:t xml:space="preserve">deterministic assessment of hazards to the fault assessment by analysing whether a hazard could cause a DBIF and/or adversely affect one of the SFs required to mitigate a DBIF. The overall process is shown in Appendix B (from SCM </w:t>
      </w:r>
      <w:sdt>
        <w:sdtPr>
          <w:rPr>
            <w:lang w:val="en-US"/>
          </w:rPr>
          <w:id w:val="2084719000"/>
          <w:citation/>
        </w:sdtPr>
        <w:sdtContent>
          <w:r w:rsidR="001551D3" w:rsidRPr="00DD1B58">
            <w:rPr>
              <w:lang w:val="en-US"/>
            </w:rPr>
            <w:fldChar w:fldCharType="begin"/>
          </w:r>
          <w:r w:rsidR="001551D3" w:rsidRPr="00DD1B58">
            <w:rPr>
              <w:lang w:val="en-US"/>
            </w:rPr>
            <w:instrText xml:space="preserve"> CITATION NNB223 \l 2057 </w:instrText>
          </w:r>
          <w:r w:rsidR="001551D3" w:rsidRPr="00DD1B58">
            <w:rPr>
              <w:lang w:val="en-US"/>
            </w:rPr>
            <w:fldChar w:fldCharType="separate"/>
          </w:r>
          <w:r w:rsidR="00DF47DA" w:rsidRPr="00DF47DA">
            <w:rPr>
              <w:noProof/>
              <w:lang w:val="en-US"/>
            </w:rPr>
            <w:t>[47]</w:t>
          </w:r>
          <w:r w:rsidR="001551D3" w:rsidRPr="00DD1B58">
            <w:rPr>
              <w:lang w:val="en-US"/>
            </w:rPr>
            <w:fldChar w:fldCharType="end"/>
          </w:r>
        </w:sdtContent>
      </w:sdt>
      <w:r w:rsidR="195F1643" w:rsidRPr="00DD1B58">
        <w:rPr>
          <w:lang w:val="en-US"/>
        </w:rPr>
        <w:t xml:space="preserve">), with the hazards assessment process highlighted </w:t>
      </w:r>
      <w:r w:rsidR="0020265B" w:rsidRPr="00DD1B58">
        <w:rPr>
          <w:lang w:val="en-US"/>
        </w:rPr>
        <w:t xml:space="preserve">in </w:t>
      </w:r>
      <w:r w:rsidR="195F1643" w:rsidRPr="00DD1B58">
        <w:rPr>
          <w:lang w:val="en-US"/>
        </w:rPr>
        <w:t>green.</w:t>
      </w:r>
    </w:p>
    <w:p w14:paraId="3095695C" w14:textId="600133AE" w:rsidR="1827A39E" w:rsidRPr="00DD1B58" w:rsidRDefault="007F60A8" w:rsidP="355CB971">
      <w:pPr>
        <w:rPr>
          <w:lang w:val="en-US"/>
        </w:rPr>
      </w:pPr>
      <w:r w:rsidRPr="00DD1B58">
        <w:rPr>
          <w:lang w:val="en-US"/>
        </w:rPr>
        <w:t>NNB GenCo achieves t</w:t>
      </w:r>
      <w:r w:rsidR="1827A39E" w:rsidRPr="00DD1B58">
        <w:rPr>
          <w:lang w:val="en-US"/>
        </w:rPr>
        <w:t>he hazard assessment through the creation of a list of design basis hazards, with their corresponding design basis hazard levels, and defining a set of Hazard Safety Functions (HSFns) and Hazard Safety Features (HSFs) so that the plant is designed to fulfil the MSFs during and following these hazards.</w:t>
      </w:r>
      <w:r w:rsidR="00081437" w:rsidRPr="00DD1B58">
        <w:rPr>
          <w:lang w:val="en-US"/>
        </w:rPr>
        <w:t xml:space="preserve"> Further detail on the hazard assessment process is provided in NNB GenCo</w:t>
      </w:r>
      <w:r w:rsidR="005939C9" w:rsidRPr="00DD1B58">
        <w:rPr>
          <w:lang w:val="en-US"/>
        </w:rPr>
        <w:t>’s</w:t>
      </w:r>
      <w:r w:rsidR="00081437" w:rsidRPr="00DD1B58">
        <w:rPr>
          <w:lang w:val="en-US"/>
        </w:rPr>
        <w:t xml:space="preserve"> submission </w:t>
      </w:r>
      <w:sdt>
        <w:sdtPr>
          <w:rPr>
            <w:lang w:val="en-US"/>
          </w:rPr>
          <w:id w:val="725106767"/>
          <w:citation/>
        </w:sdtPr>
        <w:sdtContent>
          <w:r w:rsidR="00081437" w:rsidRPr="00DD1B58">
            <w:rPr>
              <w:lang w:val="en-US"/>
            </w:rPr>
            <w:fldChar w:fldCharType="begin"/>
          </w:r>
          <w:r w:rsidR="00081437" w:rsidRPr="00DD1B58">
            <w:rPr>
              <w:lang w:val="en-US"/>
            </w:rPr>
            <w:instrText xml:space="preserve"> CITATION NNB236 \l 2057 </w:instrText>
          </w:r>
          <w:r w:rsidR="00081437" w:rsidRPr="00DD1B58">
            <w:rPr>
              <w:lang w:val="en-US"/>
            </w:rPr>
            <w:fldChar w:fldCharType="separate"/>
          </w:r>
          <w:r w:rsidR="00DF47DA" w:rsidRPr="00DF47DA">
            <w:rPr>
              <w:noProof/>
              <w:lang w:val="en-US"/>
            </w:rPr>
            <w:t>[49]</w:t>
          </w:r>
          <w:r w:rsidR="00081437" w:rsidRPr="00DD1B58">
            <w:rPr>
              <w:lang w:val="en-US"/>
            </w:rPr>
            <w:fldChar w:fldCharType="end"/>
          </w:r>
        </w:sdtContent>
      </w:sdt>
      <w:r w:rsidR="00525D35" w:rsidRPr="00DD1B58">
        <w:rPr>
          <w:lang w:val="en-US"/>
        </w:rPr>
        <w:t>.</w:t>
      </w:r>
    </w:p>
    <w:p w14:paraId="6EF7AA70" w14:textId="313D7049" w:rsidR="004272A3" w:rsidRPr="00DD1B58" w:rsidRDefault="650F03B5" w:rsidP="355CB971">
      <w:pPr>
        <w:pStyle w:val="Bulletlist1"/>
        <w:numPr>
          <w:ilvl w:val="0"/>
          <w:numId w:val="0"/>
        </w:numPr>
        <w:rPr>
          <w:szCs w:val="24"/>
          <w:lang w:val="en-US"/>
        </w:rPr>
      </w:pPr>
      <w:r w:rsidRPr="00DD1B58">
        <w:rPr>
          <w:szCs w:val="24"/>
          <w:lang w:val="en-US"/>
        </w:rPr>
        <w:t>The HPC operational plant states included in the safety assessment for all faults and hazards are</w:t>
      </w:r>
      <w:r w:rsidR="004272A3" w:rsidRPr="00DD1B58">
        <w:rPr>
          <w:szCs w:val="24"/>
          <w:lang w:val="en-US"/>
        </w:rPr>
        <w:t>:</w:t>
      </w:r>
    </w:p>
    <w:p w14:paraId="2E52777C" w14:textId="0F96ADDF" w:rsidR="004272A3" w:rsidRPr="00DD1B58" w:rsidRDefault="7625E2A9" w:rsidP="00973FF4">
      <w:pPr>
        <w:pStyle w:val="Bulletlist1"/>
        <w:rPr>
          <w:lang w:val="en-US"/>
        </w:rPr>
      </w:pPr>
      <w:r w:rsidRPr="00DD1B58">
        <w:rPr>
          <w:lang w:val="en-US"/>
        </w:rPr>
        <w:t>r</w:t>
      </w:r>
      <w:r w:rsidR="4CCCD420" w:rsidRPr="00DD1B58">
        <w:rPr>
          <w:lang w:val="en-US"/>
        </w:rPr>
        <w:t>eactor at power, hot shutdown,</w:t>
      </w:r>
      <w:r w:rsidR="004272A3" w:rsidRPr="00DD1B58">
        <w:rPr>
          <w:lang w:val="en-US"/>
        </w:rPr>
        <w:t xml:space="preserve"> </w:t>
      </w:r>
      <w:r w:rsidR="4CCCD420" w:rsidRPr="00DD1B58">
        <w:rPr>
          <w:lang w:val="en-US"/>
        </w:rPr>
        <w:t>and intermediate shutdown on S</w:t>
      </w:r>
      <w:r w:rsidR="56134AE2" w:rsidRPr="00DD1B58">
        <w:rPr>
          <w:lang w:val="en-US"/>
        </w:rPr>
        <w:t xml:space="preserve">team </w:t>
      </w:r>
      <w:r w:rsidR="4CCCD420" w:rsidRPr="00DD1B58">
        <w:rPr>
          <w:lang w:val="en-US"/>
        </w:rPr>
        <w:t>G</w:t>
      </w:r>
      <w:r w:rsidR="08678473" w:rsidRPr="00DD1B58">
        <w:rPr>
          <w:lang w:val="en-US"/>
        </w:rPr>
        <w:t>enerators (SGs)</w:t>
      </w:r>
    </w:p>
    <w:p w14:paraId="2CBE9FFF" w14:textId="64FE9E2E" w:rsidR="004272A3" w:rsidRPr="00DD1B58" w:rsidRDefault="004272A3" w:rsidP="00973FF4">
      <w:pPr>
        <w:pStyle w:val="Bulletlist1"/>
        <w:rPr>
          <w:lang w:val="en-US"/>
        </w:rPr>
      </w:pPr>
      <w:r w:rsidRPr="00DD1B58">
        <w:rPr>
          <w:lang w:val="en-US"/>
        </w:rPr>
        <w:lastRenderedPageBreak/>
        <w:t>i</w:t>
      </w:r>
      <w:r w:rsidR="18229560" w:rsidRPr="00DD1B58">
        <w:rPr>
          <w:lang w:val="en-US"/>
        </w:rPr>
        <w:t>ntermediate shutdown on SG</w:t>
      </w:r>
      <w:r w:rsidR="27503F65" w:rsidRPr="00DD1B58">
        <w:rPr>
          <w:lang w:val="en-US"/>
        </w:rPr>
        <w:t>s</w:t>
      </w:r>
    </w:p>
    <w:p w14:paraId="280CCC36" w14:textId="347A3A4E" w:rsidR="004272A3" w:rsidRPr="00DD1B58" w:rsidRDefault="4FADC586" w:rsidP="00973FF4">
      <w:pPr>
        <w:pStyle w:val="Bulletlist1"/>
        <w:rPr>
          <w:lang w:val="en-US"/>
        </w:rPr>
      </w:pPr>
      <w:r w:rsidRPr="00DD1B58">
        <w:rPr>
          <w:lang w:val="en-US"/>
        </w:rPr>
        <w:t>i</w:t>
      </w:r>
      <w:r w:rsidR="18229560" w:rsidRPr="00DD1B58">
        <w:rPr>
          <w:lang w:val="en-US"/>
        </w:rPr>
        <w:t>ntermediate shutdown on Safety Injection (RIS)/Residual Heat Removal System (RRA)</w:t>
      </w:r>
    </w:p>
    <w:p w14:paraId="0E02ED8A" w14:textId="501B8D6A" w:rsidR="004272A3" w:rsidRPr="00DD1B58" w:rsidRDefault="5CB2C3EA" w:rsidP="00973FF4">
      <w:pPr>
        <w:pStyle w:val="Bulletlist1"/>
        <w:rPr>
          <w:lang w:val="en-US"/>
        </w:rPr>
      </w:pPr>
      <w:r w:rsidRPr="00DD1B58">
        <w:rPr>
          <w:lang w:val="en-US"/>
        </w:rPr>
        <w:t>n</w:t>
      </w:r>
      <w:r w:rsidR="18229560" w:rsidRPr="00DD1B58">
        <w:rPr>
          <w:lang w:val="en-US"/>
        </w:rPr>
        <w:t>ormal cold shutdown</w:t>
      </w:r>
    </w:p>
    <w:p w14:paraId="215F8A45" w14:textId="2832E8BF" w:rsidR="650F03B5" w:rsidRPr="00DD1B58" w:rsidRDefault="5B7B9209" w:rsidP="00973FF4">
      <w:pPr>
        <w:pStyle w:val="Bulletlist1"/>
        <w:rPr>
          <w:lang w:val="en-US"/>
        </w:rPr>
      </w:pPr>
      <w:r w:rsidRPr="00DD1B58">
        <w:rPr>
          <w:lang w:val="en-US"/>
        </w:rPr>
        <w:t>r</w:t>
      </w:r>
      <w:r w:rsidR="18229560" w:rsidRPr="00DD1B58">
        <w:rPr>
          <w:lang w:val="en-US"/>
        </w:rPr>
        <w:t xml:space="preserve">efuelling cold shutdown and </w:t>
      </w:r>
      <w:r w:rsidR="0C22CD38" w:rsidRPr="00DD1B58">
        <w:rPr>
          <w:lang w:val="en-US"/>
        </w:rPr>
        <w:t>reactor completely discharged</w:t>
      </w:r>
    </w:p>
    <w:p w14:paraId="69484950" w14:textId="77777777" w:rsidR="442D14AD" w:rsidRPr="00DD1B58" w:rsidRDefault="442D14AD" w:rsidP="355CB971">
      <w:pPr>
        <w:pStyle w:val="Bulletlist1"/>
        <w:numPr>
          <w:ilvl w:val="0"/>
          <w:numId w:val="0"/>
        </w:numPr>
        <w:rPr>
          <w:szCs w:val="24"/>
          <w:lang w:val="en-US"/>
        </w:rPr>
      </w:pPr>
      <w:r w:rsidRPr="00DD1B58">
        <w:rPr>
          <w:szCs w:val="24"/>
          <w:lang w:val="en-US"/>
        </w:rPr>
        <w:t>The plant states are based on reactor power level, pressure and temperature, and availability of cooling systems. The Fault Schedule entries for each DBIF show which plant state(s) the fault sequence is applicable to, and which SFs are claimed. The hazard assessments include consideration of the plant state and which SFs are claimed and available in that plant state.</w:t>
      </w:r>
    </w:p>
    <w:p w14:paraId="15317082" w14:textId="4417B889" w:rsidR="6651E822" w:rsidRPr="00DD1B58" w:rsidRDefault="00A56148" w:rsidP="00896A38">
      <w:pPr>
        <w:pStyle w:val="Heading4"/>
        <w:numPr>
          <w:ilvl w:val="4"/>
          <w:numId w:val="3"/>
        </w:numPr>
        <w:rPr>
          <w:lang w:val="en-US"/>
        </w:rPr>
      </w:pPr>
      <w:bookmarkStart w:id="28" w:name="_Ref140844107"/>
      <w:r w:rsidRPr="00DD1B58">
        <w:rPr>
          <w:lang w:val="en-US"/>
        </w:rPr>
        <w:t>Identification, screening and justification of bounding scenarios</w:t>
      </w:r>
      <w:bookmarkEnd w:id="28"/>
    </w:p>
    <w:p w14:paraId="24B5FB07" w14:textId="77777777" w:rsidR="2F36A839" w:rsidRPr="00DD1B58" w:rsidRDefault="2F36A839" w:rsidP="355CB971">
      <w:pPr>
        <w:pStyle w:val="Bulletlist1"/>
        <w:numPr>
          <w:ilvl w:val="0"/>
          <w:numId w:val="0"/>
        </w:numPr>
        <w:rPr>
          <w:b/>
          <w:szCs w:val="24"/>
          <w:lang w:val="en-US"/>
        </w:rPr>
      </w:pPr>
      <w:r w:rsidRPr="00DD1B58">
        <w:rPr>
          <w:b/>
          <w:szCs w:val="24"/>
          <w:lang w:val="en-US"/>
        </w:rPr>
        <w:t>External fire</w:t>
      </w:r>
    </w:p>
    <w:p w14:paraId="746C002D" w14:textId="289472A2" w:rsidR="2F36A839" w:rsidRPr="00DD1B58" w:rsidRDefault="2C26A518" w:rsidP="355CB971">
      <w:pPr>
        <w:pStyle w:val="Bulletlist1"/>
        <w:numPr>
          <w:ilvl w:val="0"/>
          <w:numId w:val="0"/>
        </w:numPr>
        <w:rPr>
          <w:lang w:val="en-US"/>
        </w:rPr>
      </w:pPr>
      <w:r w:rsidRPr="00DD1B58">
        <w:rPr>
          <w:lang w:val="en-US"/>
        </w:rPr>
        <w:t xml:space="preserve">External hazards, including fire, are </w:t>
      </w:r>
      <w:r w:rsidR="005939C9" w:rsidRPr="00DD1B58">
        <w:rPr>
          <w:lang w:val="en-US"/>
        </w:rPr>
        <w:t>defined by NNB GenCo as</w:t>
      </w:r>
      <w:r w:rsidRPr="00DD1B58">
        <w:rPr>
          <w:lang w:val="en-US"/>
        </w:rPr>
        <w:t xml:space="preserve"> natural or human-caused hazards that originate externally to the plant that have the potential to adversely affect plant safety. The severity and characteristics for assessment of external fire are set out in the Site Data Summary Report </w:t>
      </w:r>
      <w:sdt>
        <w:sdtPr>
          <w:rPr>
            <w:lang w:val="en-US"/>
          </w:rPr>
          <w:id w:val="-1385092512"/>
          <w:citation/>
        </w:sdtPr>
        <w:sdtContent>
          <w:r w:rsidR="00BD3162" w:rsidRPr="00DD1B58">
            <w:rPr>
              <w:lang w:val="en-US"/>
            </w:rPr>
            <w:fldChar w:fldCharType="begin"/>
          </w:r>
          <w:r w:rsidR="00BD3162" w:rsidRPr="00DD1B58">
            <w:rPr>
              <w:lang w:val="en-US"/>
            </w:rPr>
            <w:instrText xml:space="preserve"> CITATION NNB224 \l 2057 </w:instrText>
          </w:r>
          <w:r w:rsidR="00BD3162" w:rsidRPr="00DD1B58">
            <w:rPr>
              <w:lang w:val="en-US"/>
            </w:rPr>
            <w:fldChar w:fldCharType="separate"/>
          </w:r>
          <w:r w:rsidR="00DF47DA" w:rsidRPr="00DF47DA">
            <w:rPr>
              <w:lang w:val="en-US"/>
            </w:rPr>
            <w:t>[50]</w:t>
          </w:r>
          <w:r w:rsidR="00BD3162" w:rsidRPr="00DD1B58">
            <w:rPr>
              <w:lang w:val="en-US"/>
            </w:rPr>
            <w:fldChar w:fldCharType="end"/>
          </w:r>
        </w:sdtContent>
      </w:sdt>
      <w:r w:rsidRPr="00DD1B58">
        <w:rPr>
          <w:lang w:val="en-US"/>
        </w:rPr>
        <w:t>, which identified the industrial hazards below and concluded that natural fire hazards such as woodland fires did not need to be considered because of the nature of the surrounding land. The industrial scenarios considered for the external fire hazard assessment are:</w:t>
      </w:r>
    </w:p>
    <w:p w14:paraId="6E4FA6DF" w14:textId="1ADE7F5A" w:rsidR="2F36A839" w:rsidRPr="00DD1B58" w:rsidRDefault="004272A3" w:rsidP="001B13EA">
      <w:pPr>
        <w:pStyle w:val="Bulletlist1"/>
        <w:rPr>
          <w:lang w:val="en-US"/>
        </w:rPr>
      </w:pPr>
      <w:r w:rsidRPr="00DD1B58">
        <w:rPr>
          <w:lang w:val="en-US"/>
        </w:rPr>
        <w:t>h</w:t>
      </w:r>
      <w:r w:rsidR="4B4404BA" w:rsidRPr="00DD1B58">
        <w:rPr>
          <w:lang w:val="en-US"/>
        </w:rPr>
        <w:t>ydrogen gas explosion associated with a delivery to HPC generating a fireball</w:t>
      </w:r>
    </w:p>
    <w:p w14:paraId="00C1A1D7" w14:textId="74792D29" w:rsidR="2F36A839" w:rsidRPr="00DD1B58" w:rsidRDefault="004272A3" w:rsidP="001B13EA">
      <w:pPr>
        <w:pStyle w:val="Bulletlist1"/>
        <w:rPr>
          <w:lang w:val="en-US"/>
        </w:rPr>
      </w:pPr>
      <w:r w:rsidRPr="00DD1B58">
        <w:rPr>
          <w:lang w:val="en-US"/>
        </w:rPr>
        <w:t>e</w:t>
      </w:r>
      <w:r w:rsidR="4B4404BA" w:rsidRPr="00DD1B58">
        <w:rPr>
          <w:lang w:val="en-US"/>
        </w:rPr>
        <w:t>thanolamine (ETA) pool fire associated with a delivery to HPC</w:t>
      </w:r>
    </w:p>
    <w:p w14:paraId="1F6A6D14" w14:textId="4561B0EF" w:rsidR="2F36A839" w:rsidRPr="00DD1B58" w:rsidRDefault="004272A3" w:rsidP="001B13EA">
      <w:pPr>
        <w:pStyle w:val="Bulletlist1"/>
        <w:rPr>
          <w:lang w:val="en-US"/>
        </w:rPr>
      </w:pPr>
      <w:r w:rsidRPr="00DD1B58">
        <w:rPr>
          <w:lang w:val="en-US"/>
        </w:rPr>
        <w:t xml:space="preserve">diesel </w:t>
      </w:r>
      <w:r w:rsidR="4B4404BA" w:rsidRPr="00DD1B58">
        <w:rPr>
          <w:lang w:val="en-US"/>
        </w:rPr>
        <w:t>pool fire associated with a delivery to HPC</w:t>
      </w:r>
    </w:p>
    <w:p w14:paraId="50E7660B" w14:textId="1E965337" w:rsidR="2F36A839" w:rsidRPr="00DD1B58" w:rsidRDefault="004272A3" w:rsidP="001B13EA">
      <w:pPr>
        <w:pStyle w:val="Bulletlist1"/>
        <w:rPr>
          <w:lang w:val="en-US"/>
        </w:rPr>
      </w:pPr>
      <w:r w:rsidRPr="00DD1B58">
        <w:rPr>
          <w:lang w:val="en-US"/>
        </w:rPr>
        <w:t xml:space="preserve">kerosene </w:t>
      </w:r>
      <w:r w:rsidR="4B4404BA" w:rsidRPr="00DD1B58">
        <w:rPr>
          <w:lang w:val="en-US"/>
        </w:rPr>
        <w:t>pool fire associated with a delivery to Hinkley Point B (HPB)</w:t>
      </w:r>
    </w:p>
    <w:p w14:paraId="584287CD" w14:textId="08032BB7" w:rsidR="2F36A839" w:rsidRPr="00DD1B58" w:rsidRDefault="003D453C" w:rsidP="355CB971">
      <w:pPr>
        <w:pStyle w:val="Bulletlist1"/>
        <w:numPr>
          <w:ilvl w:val="0"/>
          <w:numId w:val="0"/>
        </w:numPr>
        <w:rPr>
          <w:lang w:val="en-US"/>
        </w:rPr>
      </w:pPr>
      <w:r w:rsidRPr="00DD1B58">
        <w:rPr>
          <w:szCs w:val="24"/>
          <w:lang w:val="en-US"/>
        </w:rPr>
        <w:t>NNB GenCo considers that the</w:t>
      </w:r>
      <w:r w:rsidR="2F36A839" w:rsidRPr="00DD1B58">
        <w:rPr>
          <w:szCs w:val="24"/>
          <w:lang w:val="en-US"/>
        </w:rPr>
        <w:t xml:space="preserve"> minimum design basis thermal radiation value at the HPC site has been conservatively chosen, to be applicable to safety-classified buildings and structures to protect the SSCs.</w:t>
      </w:r>
    </w:p>
    <w:p w14:paraId="0B60B6DE" w14:textId="7CB0D0F0" w:rsidR="2F36A839" w:rsidRPr="00DD1B58" w:rsidRDefault="2F36A839" w:rsidP="355CB971">
      <w:pPr>
        <w:pStyle w:val="Bulletlist1"/>
        <w:numPr>
          <w:ilvl w:val="0"/>
          <w:numId w:val="0"/>
        </w:numPr>
        <w:rPr>
          <w:b/>
          <w:lang w:val="en-US"/>
        </w:rPr>
      </w:pPr>
      <w:r w:rsidRPr="00DD1B58">
        <w:rPr>
          <w:b/>
          <w:szCs w:val="24"/>
          <w:lang w:val="en-US"/>
        </w:rPr>
        <w:t xml:space="preserve">Internal </w:t>
      </w:r>
      <w:r w:rsidR="004272A3" w:rsidRPr="00DD1B58">
        <w:rPr>
          <w:b/>
          <w:szCs w:val="24"/>
          <w:lang w:val="en-US"/>
        </w:rPr>
        <w:t>fire</w:t>
      </w:r>
    </w:p>
    <w:p w14:paraId="18540BA3" w14:textId="6DEB840E" w:rsidR="2F36A839" w:rsidRPr="00DD1B58" w:rsidRDefault="00647F02" w:rsidP="355CB971">
      <w:pPr>
        <w:pStyle w:val="Bulletlist1"/>
        <w:numPr>
          <w:ilvl w:val="0"/>
          <w:numId w:val="0"/>
        </w:numPr>
        <w:rPr>
          <w:lang w:val="en-US"/>
        </w:rPr>
      </w:pPr>
      <w:r w:rsidRPr="00DD1B58">
        <w:rPr>
          <w:szCs w:val="24"/>
          <w:lang w:val="en-US"/>
        </w:rPr>
        <w:t>NNB GenCo defines i</w:t>
      </w:r>
      <w:r w:rsidR="2F36A839" w:rsidRPr="00DD1B58">
        <w:rPr>
          <w:szCs w:val="24"/>
          <w:lang w:val="en-US"/>
        </w:rPr>
        <w:t xml:space="preserve">nternal hazards, including fire, </w:t>
      </w:r>
      <w:r w:rsidRPr="00DD1B58">
        <w:rPr>
          <w:szCs w:val="24"/>
          <w:lang w:val="en-US"/>
        </w:rPr>
        <w:t xml:space="preserve">as </w:t>
      </w:r>
      <w:r w:rsidR="2F36A839" w:rsidRPr="00DD1B58">
        <w:rPr>
          <w:szCs w:val="24"/>
          <w:lang w:val="en-US"/>
        </w:rPr>
        <w:t>hazards that originate within the site boundary and have the potential to adversely affect plant safety. Internal fires can originate inside or outside a building.</w:t>
      </w:r>
    </w:p>
    <w:p w14:paraId="6B4F2D66" w14:textId="7F3603C5" w:rsidR="2F36A839" w:rsidRPr="00DD1B58" w:rsidRDefault="2F36A839" w:rsidP="355CB971">
      <w:pPr>
        <w:pStyle w:val="Bulletlist1"/>
        <w:numPr>
          <w:ilvl w:val="0"/>
          <w:numId w:val="0"/>
        </w:numPr>
        <w:rPr>
          <w:lang w:val="en-US"/>
        </w:rPr>
      </w:pPr>
      <w:r w:rsidRPr="00DD1B58">
        <w:rPr>
          <w:szCs w:val="24"/>
          <w:lang w:val="en-US"/>
        </w:rPr>
        <w:t xml:space="preserve">Internal hazards </w:t>
      </w:r>
      <w:r w:rsidR="00544DA8" w:rsidRPr="00DD1B58">
        <w:rPr>
          <w:szCs w:val="24"/>
          <w:lang w:val="en-US"/>
        </w:rPr>
        <w:t>in NNB GenCo’s assessments</w:t>
      </w:r>
      <w:r w:rsidRPr="00DD1B58">
        <w:rPr>
          <w:szCs w:val="24"/>
          <w:lang w:val="en-US"/>
        </w:rPr>
        <w:t xml:space="preserve"> do not have a site Design Basis Hazard Level (DBHL) in the same way as external hazards. The characterisation of hazards clarifies when and where the fire hazard is assumed to occur, the severity of the fire hazard, and any other failure assumptions relevant to the fire hazard. For each fire hazard, </w:t>
      </w:r>
      <w:r w:rsidR="000A5286" w:rsidRPr="00DD1B58">
        <w:rPr>
          <w:szCs w:val="24"/>
          <w:lang w:val="en-US"/>
        </w:rPr>
        <w:t>NNB GenCo identifies</w:t>
      </w:r>
      <w:r w:rsidRPr="00DD1B58">
        <w:rPr>
          <w:szCs w:val="24"/>
          <w:lang w:val="en-US"/>
        </w:rPr>
        <w:t xml:space="preserve"> multiple potential HIEs/DBIHs where appropriate.</w:t>
      </w:r>
    </w:p>
    <w:p w14:paraId="578DA34E" w14:textId="1D84DA4E" w:rsidR="2F36A839" w:rsidRPr="00DD1B58" w:rsidRDefault="2F36A839" w:rsidP="355CB971">
      <w:pPr>
        <w:pStyle w:val="Bulletlist1"/>
        <w:numPr>
          <w:ilvl w:val="0"/>
          <w:numId w:val="0"/>
        </w:numPr>
        <w:rPr>
          <w:b/>
          <w:szCs w:val="24"/>
          <w:lang w:val="en-US"/>
        </w:rPr>
      </w:pPr>
      <w:r w:rsidRPr="00DD1B58">
        <w:rPr>
          <w:b/>
          <w:szCs w:val="24"/>
          <w:lang w:val="en-US"/>
        </w:rPr>
        <w:lastRenderedPageBreak/>
        <w:t xml:space="preserve">Internal </w:t>
      </w:r>
      <w:r w:rsidR="004272A3" w:rsidRPr="00DD1B58">
        <w:rPr>
          <w:b/>
          <w:szCs w:val="24"/>
          <w:lang w:val="en-US"/>
        </w:rPr>
        <w:t>fire inside buildings</w:t>
      </w:r>
      <w:sdt>
        <w:sdtPr>
          <w:rPr>
            <w:b/>
            <w:szCs w:val="24"/>
            <w:lang w:val="en-US"/>
          </w:rPr>
          <w:id w:val="1527916942"/>
          <w:citation/>
        </w:sdtPr>
        <w:sdtContent>
          <w:r w:rsidR="00A81706" w:rsidRPr="00DD1B58">
            <w:rPr>
              <w:b/>
              <w:szCs w:val="24"/>
              <w:lang w:val="en-US"/>
            </w:rPr>
            <w:fldChar w:fldCharType="begin"/>
          </w:r>
          <w:r w:rsidR="00A81706" w:rsidRPr="00DD1B58">
            <w:rPr>
              <w:b/>
              <w:szCs w:val="24"/>
              <w:lang w:val="en-US"/>
            </w:rPr>
            <w:instrText xml:space="preserve"> CITATION NNB204 \l 2057 </w:instrText>
          </w:r>
          <w:r w:rsidR="00A81706" w:rsidRPr="00DD1B58">
            <w:rPr>
              <w:b/>
              <w:szCs w:val="24"/>
              <w:lang w:val="en-US"/>
            </w:rPr>
            <w:fldChar w:fldCharType="separate"/>
          </w:r>
          <w:r w:rsidR="00DF47DA">
            <w:rPr>
              <w:b/>
              <w:szCs w:val="24"/>
              <w:lang w:val="en-US"/>
            </w:rPr>
            <w:t xml:space="preserve"> </w:t>
          </w:r>
          <w:r w:rsidR="00DF47DA" w:rsidRPr="00DF47DA">
            <w:rPr>
              <w:szCs w:val="24"/>
              <w:lang w:val="en-US"/>
            </w:rPr>
            <w:t>[51]</w:t>
          </w:r>
          <w:r w:rsidR="00A81706" w:rsidRPr="00DD1B58">
            <w:rPr>
              <w:b/>
              <w:szCs w:val="24"/>
              <w:lang w:val="en-US"/>
            </w:rPr>
            <w:fldChar w:fldCharType="end"/>
          </w:r>
        </w:sdtContent>
      </w:sdt>
    </w:p>
    <w:p w14:paraId="6FBECDE9" w14:textId="3C0E230B" w:rsidR="2F36A839" w:rsidRPr="00DD1B58" w:rsidRDefault="000A5286" w:rsidP="355CB971">
      <w:pPr>
        <w:pStyle w:val="Bulletlist1"/>
        <w:numPr>
          <w:ilvl w:val="0"/>
          <w:numId w:val="0"/>
        </w:numPr>
        <w:rPr>
          <w:lang w:val="en-US"/>
        </w:rPr>
      </w:pPr>
      <w:r w:rsidRPr="00DD1B58">
        <w:rPr>
          <w:szCs w:val="24"/>
          <w:lang w:val="en-US"/>
        </w:rPr>
        <w:t>NNB GenCo has identified t</w:t>
      </w:r>
      <w:r w:rsidR="2F36A839" w:rsidRPr="00DD1B58">
        <w:rPr>
          <w:szCs w:val="24"/>
          <w:lang w:val="en-US"/>
        </w:rPr>
        <w:t>he fire load of each room or area from design information about the materials, plant and equipment that will be inside the room during the plant states described</w:t>
      </w:r>
      <w:r w:rsidR="27BF795F" w:rsidRPr="00DD1B58">
        <w:rPr>
          <w:szCs w:val="24"/>
          <w:lang w:val="en-US"/>
        </w:rPr>
        <w:t xml:space="preserve"> previously. Typical examples of fire load include storage areas for flammable or combustible materials, and machinery oils and hydraulic fluid, and cables. The reference fire for assessment is the fire which has the most severe consequences and duration, involving all the available fuel in the room.</w:t>
      </w:r>
    </w:p>
    <w:p w14:paraId="05EE570A" w14:textId="05633770" w:rsidR="27BF795F" w:rsidRPr="00DD1B58" w:rsidRDefault="00C278BF" w:rsidP="355CB971">
      <w:pPr>
        <w:pStyle w:val="Bulletlist1"/>
        <w:numPr>
          <w:ilvl w:val="0"/>
          <w:numId w:val="0"/>
        </w:numPr>
        <w:rPr>
          <w:lang w:val="en-US"/>
        </w:rPr>
      </w:pPr>
      <w:r w:rsidRPr="00DD1B58">
        <w:rPr>
          <w:szCs w:val="24"/>
          <w:lang w:val="en-US"/>
        </w:rPr>
        <w:t xml:space="preserve">NNB GenCo’s </w:t>
      </w:r>
      <w:r w:rsidR="27BF795F" w:rsidRPr="00DD1B58">
        <w:rPr>
          <w:szCs w:val="24"/>
          <w:lang w:val="en-US"/>
        </w:rPr>
        <w:t>fire hazard verification studies consist of:</w:t>
      </w:r>
    </w:p>
    <w:p w14:paraId="238DC39F" w14:textId="7A4748DF" w:rsidR="27BF795F" w:rsidRPr="00DD1B58" w:rsidRDefault="2D7A28AE" w:rsidP="001B13EA">
      <w:pPr>
        <w:pStyle w:val="Bulletlist1"/>
        <w:rPr>
          <w:lang w:val="en-US"/>
        </w:rPr>
      </w:pPr>
      <w:r w:rsidRPr="00DD1B58">
        <w:rPr>
          <w:lang w:val="en-US"/>
        </w:rPr>
        <w:t>Assessment of the robustness of the fire compartmentation</w:t>
      </w:r>
      <w:r w:rsidR="003A5374" w:rsidRPr="00DD1B58">
        <w:rPr>
          <w:lang w:val="en-US"/>
        </w:rPr>
        <w:t xml:space="preserve"> – m</w:t>
      </w:r>
      <w:r w:rsidRPr="00DD1B58">
        <w:rPr>
          <w:lang w:val="en-US"/>
        </w:rPr>
        <w:t>ost buildings and their rooms are assessed for robustness using the EPRESSI methodology</w:t>
      </w:r>
      <w:sdt>
        <w:sdtPr>
          <w:rPr>
            <w:lang w:val="en-US"/>
          </w:rPr>
          <w:id w:val="-676661165"/>
          <w:citation/>
        </w:sdtPr>
        <w:sdtContent>
          <w:r w:rsidR="00476A49" w:rsidRPr="00DD1B58">
            <w:rPr>
              <w:lang w:val="en-US"/>
            </w:rPr>
            <w:fldChar w:fldCharType="begin"/>
          </w:r>
          <w:r w:rsidR="00476A49" w:rsidRPr="00DD1B58">
            <w:rPr>
              <w:lang w:val="en-US"/>
            </w:rPr>
            <w:instrText xml:space="preserve"> CITATION NNB205 \l 2057 </w:instrText>
          </w:r>
          <w:r w:rsidR="00476A49" w:rsidRPr="00DD1B58">
            <w:rPr>
              <w:lang w:val="en-US"/>
            </w:rPr>
            <w:fldChar w:fldCharType="separate"/>
          </w:r>
          <w:r w:rsidR="00DF47DA">
            <w:rPr>
              <w:lang w:val="en-US"/>
            </w:rPr>
            <w:t xml:space="preserve"> </w:t>
          </w:r>
          <w:r w:rsidR="00DF47DA" w:rsidRPr="00DF47DA">
            <w:rPr>
              <w:lang w:val="en-US"/>
            </w:rPr>
            <w:t>[52]</w:t>
          </w:r>
          <w:r w:rsidR="00476A49" w:rsidRPr="00DD1B58">
            <w:rPr>
              <w:lang w:val="en-US"/>
            </w:rPr>
            <w:fldChar w:fldCharType="end"/>
          </w:r>
        </w:sdtContent>
      </w:sdt>
      <w:r w:rsidR="00684511" w:rsidRPr="00DD1B58">
        <w:rPr>
          <w:lang w:val="en-US"/>
        </w:rPr>
        <w:t xml:space="preserve"> </w:t>
      </w:r>
      <w:r w:rsidRPr="00DD1B58">
        <w:rPr>
          <w:lang w:val="en-US"/>
        </w:rPr>
        <w:t xml:space="preserve">but </w:t>
      </w:r>
      <w:r w:rsidR="00C278BF" w:rsidRPr="00DD1B58">
        <w:rPr>
          <w:szCs w:val="24"/>
          <w:lang w:val="en-US"/>
        </w:rPr>
        <w:t xml:space="preserve">NNB GenCo </w:t>
      </w:r>
      <w:r w:rsidR="00C5047A" w:rsidRPr="00DD1B58">
        <w:rPr>
          <w:szCs w:val="24"/>
          <w:lang w:val="en-US"/>
        </w:rPr>
        <w:t>has adopted</w:t>
      </w:r>
      <w:r w:rsidRPr="00DD1B58">
        <w:rPr>
          <w:szCs w:val="24"/>
          <w:lang w:val="en-US"/>
        </w:rPr>
        <w:t xml:space="preserve"> </w:t>
      </w:r>
      <w:r w:rsidRPr="00DD1B58">
        <w:rPr>
          <w:lang w:val="en-US"/>
        </w:rPr>
        <w:t xml:space="preserve">alternative methods (described </w:t>
      </w:r>
      <w:r w:rsidR="004D0DA8" w:rsidRPr="00DD1B58">
        <w:rPr>
          <w:lang w:val="en-US"/>
        </w:rPr>
        <w:t>in Appendix B</w:t>
      </w:r>
      <w:r w:rsidR="00F630A9" w:rsidRPr="00DD1B58">
        <w:rPr>
          <w:lang w:val="en-US"/>
        </w:rPr>
        <w:t xml:space="preserve"> of the NAR</w:t>
      </w:r>
      <w:r w:rsidRPr="00DD1B58">
        <w:rPr>
          <w:lang w:val="en-US"/>
        </w:rPr>
        <w:t>) for large volumes inside the reactor building because of limitations to the applicability of EPRESSI</w:t>
      </w:r>
      <w:r w:rsidR="003A5374" w:rsidRPr="00DD1B58">
        <w:rPr>
          <w:lang w:val="en-US"/>
        </w:rPr>
        <w:t>;</w:t>
      </w:r>
    </w:p>
    <w:p w14:paraId="10966BF4" w14:textId="4711BF87" w:rsidR="27BF795F" w:rsidRPr="00DD1B58" w:rsidRDefault="2D7A28AE" w:rsidP="001B13EA">
      <w:pPr>
        <w:pStyle w:val="Bulletlist1"/>
        <w:rPr>
          <w:lang w:val="en-US"/>
        </w:rPr>
      </w:pPr>
      <w:r w:rsidRPr="00DD1B58">
        <w:rPr>
          <w:lang w:val="en-US"/>
        </w:rPr>
        <w:t>Fire Risk Analysis (FRA)</w:t>
      </w:r>
      <w:r w:rsidR="004272A3" w:rsidRPr="00DD1B58">
        <w:rPr>
          <w:lang w:val="en-US"/>
        </w:rPr>
        <w:t>,</w:t>
      </w:r>
      <w:r w:rsidRPr="00DD1B58">
        <w:rPr>
          <w:lang w:val="en-US"/>
        </w:rPr>
        <w:t xml:space="preserve"> which studies potential common mode failure scenarios</w:t>
      </w:r>
      <w:r w:rsidR="003A5374" w:rsidRPr="00DD1B58">
        <w:rPr>
          <w:lang w:val="en-US"/>
        </w:rPr>
        <w:t>;</w:t>
      </w:r>
    </w:p>
    <w:p w14:paraId="75B8242A" w14:textId="51632273" w:rsidR="27BF795F" w:rsidRPr="00DD1B58" w:rsidRDefault="2D7A28AE" w:rsidP="001B13EA">
      <w:pPr>
        <w:pStyle w:val="Bulletlist1"/>
        <w:rPr>
          <w:lang w:val="en-US"/>
        </w:rPr>
      </w:pPr>
      <w:r w:rsidRPr="00DD1B58">
        <w:rPr>
          <w:lang w:val="en-US"/>
        </w:rPr>
        <w:t>Fire Hazard Vulnerability Analysis (HVA)</w:t>
      </w:r>
      <w:r w:rsidR="004272A3" w:rsidRPr="00DD1B58">
        <w:rPr>
          <w:lang w:val="en-US"/>
        </w:rPr>
        <w:t>,</w:t>
      </w:r>
      <w:r w:rsidRPr="00DD1B58">
        <w:rPr>
          <w:lang w:val="en-US"/>
        </w:rPr>
        <w:t xml:space="preserve"> which considers the potential for a fire in a </w:t>
      </w:r>
      <w:r w:rsidR="00054EDC" w:rsidRPr="00DD1B58">
        <w:rPr>
          <w:lang w:val="en-US"/>
        </w:rPr>
        <w:t>Hazard Safety Volume (</w:t>
      </w:r>
      <w:r w:rsidRPr="00DD1B58">
        <w:rPr>
          <w:lang w:val="en-US"/>
        </w:rPr>
        <w:t>HSV</w:t>
      </w:r>
      <w:r w:rsidR="00054EDC" w:rsidRPr="00DD1B58">
        <w:rPr>
          <w:lang w:val="en-US"/>
        </w:rPr>
        <w:t xml:space="preserve">) </w:t>
      </w:r>
      <w:r w:rsidRPr="00DD1B58">
        <w:rPr>
          <w:lang w:val="en-US"/>
        </w:rPr>
        <w:t>to generate DBIFs, and the effects of the fire on the protection systems claimed in the DBIF</w:t>
      </w:r>
      <w:r w:rsidR="003A5374" w:rsidRPr="00DD1B58">
        <w:rPr>
          <w:lang w:val="en-US"/>
        </w:rPr>
        <w:t>; and</w:t>
      </w:r>
    </w:p>
    <w:p w14:paraId="345045C3" w14:textId="7E9F34BB" w:rsidR="27BF795F" w:rsidRPr="00DD1B58" w:rsidRDefault="2D7A28AE" w:rsidP="001B13EA">
      <w:pPr>
        <w:pStyle w:val="Bulletlist1"/>
        <w:rPr>
          <w:lang w:val="en-US"/>
        </w:rPr>
      </w:pPr>
      <w:r w:rsidRPr="00DD1B58">
        <w:rPr>
          <w:lang w:val="en-US"/>
        </w:rPr>
        <w:t xml:space="preserve">Complementary studies </w:t>
      </w:r>
      <w:r w:rsidR="004272A3" w:rsidRPr="00DD1B58">
        <w:rPr>
          <w:lang w:val="en-US"/>
        </w:rPr>
        <w:t>covering</w:t>
      </w:r>
      <w:r w:rsidRPr="00DD1B58">
        <w:rPr>
          <w:lang w:val="en-US"/>
        </w:rPr>
        <w:t xml:space="preserve"> other fire hazard analysis that may be required</w:t>
      </w:r>
      <w:r w:rsidR="004272A3" w:rsidRPr="00DD1B58">
        <w:rPr>
          <w:lang w:val="en-US"/>
        </w:rPr>
        <w:t>,</w:t>
      </w:r>
      <w:r w:rsidRPr="00DD1B58">
        <w:rPr>
          <w:lang w:val="en-US"/>
        </w:rPr>
        <w:t xml:space="preserve"> including the study of Combined and Consequential Hazards (CCH).</w:t>
      </w:r>
    </w:p>
    <w:p w14:paraId="06910FE7" w14:textId="3CB6F66D" w:rsidR="27BF795F" w:rsidRPr="00DD1B58" w:rsidRDefault="27BF795F" w:rsidP="355CB971">
      <w:pPr>
        <w:pStyle w:val="Bulletlist1"/>
        <w:numPr>
          <w:ilvl w:val="0"/>
          <w:numId w:val="0"/>
        </w:numPr>
        <w:rPr>
          <w:lang w:val="en-US"/>
        </w:rPr>
      </w:pPr>
      <w:r w:rsidRPr="00DD1B58">
        <w:rPr>
          <w:szCs w:val="24"/>
          <w:lang w:val="en-US"/>
        </w:rPr>
        <w:t xml:space="preserve">The technical aspects of the fire hazard analysis carried out as part of the CCH typically use the results of the EPRESSI studies and the FRA. The information provided </w:t>
      </w:r>
      <w:r w:rsidR="0002063A" w:rsidRPr="00DD1B58">
        <w:rPr>
          <w:szCs w:val="24"/>
          <w:lang w:val="en-US"/>
        </w:rPr>
        <w:t xml:space="preserve">in Appendix </w:t>
      </w:r>
      <w:r w:rsidR="004350F8" w:rsidRPr="00DD1B58">
        <w:rPr>
          <w:szCs w:val="24"/>
          <w:lang w:val="en-US"/>
        </w:rPr>
        <w:t>B</w:t>
      </w:r>
      <w:r w:rsidRPr="00DD1B58">
        <w:rPr>
          <w:szCs w:val="24"/>
          <w:lang w:val="en-US"/>
        </w:rPr>
        <w:t xml:space="preserve"> explains how </w:t>
      </w:r>
      <w:r w:rsidR="00C5047A" w:rsidRPr="00DD1B58">
        <w:rPr>
          <w:szCs w:val="24"/>
          <w:lang w:val="en-US"/>
        </w:rPr>
        <w:t xml:space="preserve">NNB GenCo carries out </w:t>
      </w:r>
      <w:r w:rsidRPr="00DD1B58">
        <w:rPr>
          <w:szCs w:val="24"/>
          <w:lang w:val="en-US"/>
        </w:rPr>
        <w:t>the fire hazard analysis for both the EPRESSI studies and the FRA.</w:t>
      </w:r>
    </w:p>
    <w:p w14:paraId="061BBE07" w14:textId="52187D40" w:rsidR="46F7766A" w:rsidRPr="00DD1B58" w:rsidRDefault="020B5A26" w:rsidP="00896A38">
      <w:pPr>
        <w:pStyle w:val="Heading4"/>
        <w:numPr>
          <w:ilvl w:val="4"/>
          <w:numId w:val="3"/>
        </w:numPr>
        <w:rPr>
          <w:noProof/>
          <w:lang w:val="en-US"/>
        </w:rPr>
      </w:pPr>
      <w:r w:rsidRPr="00DD1B58">
        <w:rPr>
          <w:noProof/>
          <w:lang w:val="en-US"/>
        </w:rPr>
        <w:t xml:space="preserve">Event </w:t>
      </w:r>
      <w:r w:rsidR="004272A3" w:rsidRPr="00DD1B58">
        <w:rPr>
          <w:noProof/>
          <w:lang w:val="en-US"/>
        </w:rPr>
        <w:t>combinations</w:t>
      </w:r>
    </w:p>
    <w:p w14:paraId="7155D35A" w14:textId="16ADF16E" w:rsidR="020B5A26" w:rsidRPr="00DD1B58" w:rsidRDefault="00C5047A" w:rsidP="355CB971">
      <w:pPr>
        <w:rPr>
          <w:noProof/>
          <w:lang w:val="en-US"/>
        </w:rPr>
      </w:pPr>
      <w:r w:rsidRPr="00DD1B58">
        <w:rPr>
          <w:szCs w:val="24"/>
          <w:lang w:val="en-US"/>
        </w:rPr>
        <w:t xml:space="preserve">NNB GenCo considers </w:t>
      </w:r>
      <w:r w:rsidRPr="00DD1B58">
        <w:rPr>
          <w:noProof/>
          <w:lang w:val="en-US"/>
        </w:rPr>
        <w:t>t</w:t>
      </w:r>
      <w:r w:rsidR="020B5A26" w:rsidRPr="00DD1B58">
        <w:rPr>
          <w:noProof/>
          <w:lang w:val="en-US"/>
        </w:rPr>
        <w:t>hree types of hazard combination for all types of hazard:</w:t>
      </w:r>
    </w:p>
    <w:p w14:paraId="049A2879" w14:textId="77777777" w:rsidR="020B5A26" w:rsidRPr="00DD1B58" w:rsidRDefault="020B5A26" w:rsidP="00973FF4">
      <w:pPr>
        <w:pStyle w:val="Bulletlist1"/>
        <w:rPr>
          <w:lang w:val="en-US"/>
        </w:rPr>
      </w:pPr>
      <w:r w:rsidRPr="00DD1B58">
        <w:rPr>
          <w:lang w:val="en-US"/>
        </w:rPr>
        <w:t>Independent combined hazards – the coincident occurrence of non-correlated hazards and/or plant related faults;</w:t>
      </w:r>
    </w:p>
    <w:p w14:paraId="290F5857" w14:textId="77777777" w:rsidR="020B5A26" w:rsidRPr="00DD1B58" w:rsidRDefault="020B5A26" w:rsidP="00973FF4">
      <w:pPr>
        <w:pStyle w:val="Bulletlist1"/>
        <w:rPr>
          <w:lang w:val="en-US"/>
        </w:rPr>
      </w:pPr>
      <w:r w:rsidRPr="00DD1B58">
        <w:rPr>
          <w:lang w:val="en-US"/>
        </w:rPr>
        <w:t>Dependent combined hazards – combinations of hazards which result from the same origin and so have a proven dependence, such as natural hazards resulting from exceptional climatic events;</w:t>
      </w:r>
      <w:r w:rsidR="003A5374" w:rsidRPr="00DD1B58">
        <w:rPr>
          <w:lang w:val="en-US"/>
        </w:rPr>
        <w:t xml:space="preserve"> and</w:t>
      </w:r>
    </w:p>
    <w:p w14:paraId="4CBCC5CA" w14:textId="77777777" w:rsidR="020B5A26" w:rsidRPr="00DD1B58" w:rsidRDefault="020B5A26" w:rsidP="00973FF4">
      <w:pPr>
        <w:pStyle w:val="Bulletlist1"/>
        <w:rPr>
          <w:lang w:val="en-US"/>
        </w:rPr>
      </w:pPr>
      <w:r w:rsidRPr="00DD1B58">
        <w:rPr>
          <w:lang w:val="en-US"/>
        </w:rPr>
        <w:t>Consequential combined hazards – combinations of hazards where one hazard is induced as a consequence of another initiating hazard.</w:t>
      </w:r>
    </w:p>
    <w:p w14:paraId="00FCBB77" w14:textId="7EAB6212" w:rsidR="020B5A26" w:rsidRPr="00DD1B58" w:rsidRDefault="00C5047A" w:rsidP="355CB971">
      <w:pPr>
        <w:rPr>
          <w:noProof/>
          <w:lang w:val="en-US"/>
        </w:rPr>
      </w:pPr>
      <w:r w:rsidRPr="00DD1B58">
        <w:rPr>
          <w:szCs w:val="24"/>
          <w:lang w:val="en-US"/>
        </w:rPr>
        <w:t xml:space="preserve">NNB GenCo initially derived </w:t>
      </w:r>
      <w:r w:rsidRPr="00DD1B58">
        <w:rPr>
          <w:noProof/>
          <w:lang w:val="en-US"/>
        </w:rPr>
        <w:t>t</w:t>
      </w:r>
      <w:r w:rsidR="020B5A26" w:rsidRPr="00DD1B58">
        <w:rPr>
          <w:noProof/>
          <w:lang w:val="en-US"/>
        </w:rPr>
        <w:t>he sets of combined and consequential hazards to be analysed on a site</w:t>
      </w:r>
      <w:r w:rsidRPr="00DD1B58">
        <w:rPr>
          <w:noProof/>
          <w:lang w:val="en-US"/>
        </w:rPr>
        <w:t>-</w:t>
      </w:r>
      <w:r w:rsidR="020B5A26" w:rsidRPr="00DD1B58">
        <w:rPr>
          <w:noProof/>
          <w:lang w:val="en-US"/>
        </w:rPr>
        <w:t>wide screening basis and report</w:t>
      </w:r>
      <w:r w:rsidR="003A7DCA" w:rsidRPr="00DD1B58">
        <w:rPr>
          <w:noProof/>
          <w:lang w:val="en-US"/>
        </w:rPr>
        <w:t>s</w:t>
      </w:r>
      <w:r w:rsidR="020B5A26" w:rsidRPr="00DD1B58">
        <w:rPr>
          <w:noProof/>
          <w:lang w:val="en-US"/>
        </w:rPr>
        <w:t xml:space="preserve"> </w:t>
      </w:r>
      <w:r w:rsidRPr="00DD1B58">
        <w:rPr>
          <w:noProof/>
          <w:lang w:val="en-US"/>
        </w:rPr>
        <w:t xml:space="preserve">it </w:t>
      </w:r>
      <w:r w:rsidR="020B5A26" w:rsidRPr="00DD1B58">
        <w:rPr>
          <w:noProof/>
          <w:lang w:val="en-US"/>
        </w:rPr>
        <w:t xml:space="preserve">in </w:t>
      </w:r>
      <w:sdt>
        <w:sdtPr>
          <w:rPr>
            <w:noProof/>
            <w:lang w:val="en-US"/>
          </w:rPr>
          <w:id w:val="273601873"/>
          <w:citation/>
        </w:sdtPr>
        <w:sdtContent>
          <w:r w:rsidR="001B12E0" w:rsidRPr="00DD1B58">
            <w:rPr>
              <w:noProof/>
              <w:lang w:val="en-US"/>
            </w:rPr>
            <w:fldChar w:fldCharType="begin"/>
          </w:r>
          <w:r w:rsidR="001B12E0" w:rsidRPr="00DD1B58">
            <w:rPr>
              <w:noProof/>
              <w:lang w:val="en-US"/>
            </w:rPr>
            <w:instrText xml:space="preserve"> CITATION NNB173 \l 2057 </w:instrText>
          </w:r>
          <w:r w:rsidR="001B12E0" w:rsidRPr="00DD1B58">
            <w:rPr>
              <w:noProof/>
              <w:lang w:val="en-US"/>
            </w:rPr>
            <w:fldChar w:fldCharType="separate"/>
          </w:r>
          <w:r w:rsidR="00DF47DA" w:rsidRPr="00DF47DA">
            <w:rPr>
              <w:noProof/>
              <w:lang w:val="en-US"/>
            </w:rPr>
            <w:t>[53]</w:t>
          </w:r>
          <w:r w:rsidR="001B12E0" w:rsidRPr="00DD1B58">
            <w:rPr>
              <w:noProof/>
              <w:lang w:val="en-US"/>
            </w:rPr>
            <w:fldChar w:fldCharType="end"/>
          </w:r>
        </w:sdtContent>
      </w:sdt>
      <w:r w:rsidR="020B5A26" w:rsidRPr="00DD1B58">
        <w:rPr>
          <w:noProof/>
          <w:lang w:val="en-US"/>
        </w:rPr>
        <w:t xml:space="preserve">. </w:t>
      </w:r>
      <w:r w:rsidR="001C3F87" w:rsidRPr="00DD1B58">
        <w:rPr>
          <w:szCs w:val="24"/>
          <w:lang w:val="en-US"/>
        </w:rPr>
        <w:t>NNB GenCo report</w:t>
      </w:r>
      <w:r w:rsidR="00742C38" w:rsidRPr="00DD1B58">
        <w:rPr>
          <w:szCs w:val="24"/>
          <w:lang w:val="en-US"/>
        </w:rPr>
        <w:t xml:space="preserve">s </w:t>
      </w:r>
      <w:r w:rsidR="001C3F87" w:rsidRPr="00DD1B58">
        <w:rPr>
          <w:szCs w:val="24"/>
          <w:lang w:val="en-US"/>
        </w:rPr>
        <w:t xml:space="preserve">that </w:t>
      </w:r>
      <w:r w:rsidR="001C3F87" w:rsidRPr="00DD1B58">
        <w:rPr>
          <w:noProof/>
          <w:lang w:val="en-US"/>
        </w:rPr>
        <w:t>i</w:t>
      </w:r>
      <w:r w:rsidR="020B5A26" w:rsidRPr="00DD1B58">
        <w:rPr>
          <w:noProof/>
          <w:lang w:val="en-US"/>
        </w:rPr>
        <w:t xml:space="preserve">ndependent hazard combinations as screened out in </w:t>
      </w:r>
      <w:sdt>
        <w:sdtPr>
          <w:rPr>
            <w:noProof/>
            <w:lang w:val="en-US"/>
          </w:rPr>
          <w:id w:val="1423067301"/>
          <w:citation/>
        </w:sdtPr>
        <w:sdtContent>
          <w:r w:rsidR="00D93224" w:rsidRPr="00DD1B58">
            <w:rPr>
              <w:noProof/>
              <w:lang w:val="en-US"/>
            </w:rPr>
            <w:fldChar w:fldCharType="begin"/>
          </w:r>
          <w:r w:rsidR="00D93224" w:rsidRPr="00DD1B58">
            <w:rPr>
              <w:noProof/>
              <w:lang w:val="en-US"/>
            </w:rPr>
            <w:instrText xml:space="preserve"> CITATION NNB173 \l 2057 </w:instrText>
          </w:r>
          <w:r w:rsidR="00D93224" w:rsidRPr="00DD1B58">
            <w:rPr>
              <w:noProof/>
              <w:lang w:val="en-US"/>
            </w:rPr>
            <w:fldChar w:fldCharType="separate"/>
          </w:r>
          <w:r w:rsidR="00DF47DA" w:rsidRPr="00DF47DA">
            <w:rPr>
              <w:noProof/>
              <w:lang w:val="en-US"/>
            </w:rPr>
            <w:t>[53]</w:t>
          </w:r>
          <w:r w:rsidR="00D93224" w:rsidRPr="00DD1B58">
            <w:rPr>
              <w:noProof/>
              <w:lang w:val="en-US"/>
            </w:rPr>
            <w:fldChar w:fldCharType="end"/>
          </w:r>
        </w:sdtContent>
      </w:sdt>
      <w:r w:rsidR="020B5A26" w:rsidRPr="00DD1B58">
        <w:rPr>
          <w:noProof/>
          <w:lang w:val="en-US"/>
        </w:rPr>
        <w:t xml:space="preserve"> </w:t>
      </w:r>
      <w:r w:rsidR="008A20CB" w:rsidRPr="00DD1B58">
        <w:rPr>
          <w:noProof/>
          <w:lang w:val="en-US"/>
        </w:rPr>
        <w:t xml:space="preserve">were </w:t>
      </w:r>
      <w:r w:rsidR="020B5A26" w:rsidRPr="00DD1B58">
        <w:rPr>
          <w:noProof/>
          <w:lang w:val="en-US"/>
        </w:rPr>
        <w:t xml:space="preserve">based on the very low combined frequency of independent events or hazards occurring at the same time. The </w:t>
      </w:r>
      <w:r w:rsidR="020B5A26" w:rsidRPr="00DD1B58">
        <w:rPr>
          <w:noProof/>
          <w:lang w:val="en-US"/>
        </w:rPr>
        <w:lastRenderedPageBreak/>
        <w:t xml:space="preserve">remaining hazard combinations were assessed </w:t>
      </w:r>
      <w:r w:rsidR="330243C0" w:rsidRPr="00DD1B58">
        <w:rPr>
          <w:noProof/>
          <w:lang w:val="en-US"/>
        </w:rPr>
        <w:t>to determine whether further safety analysis of specific targets against the combination is required in the hazard verification studies.</w:t>
      </w:r>
    </w:p>
    <w:p w14:paraId="5F1E0A3A" w14:textId="5D5A51BC" w:rsidR="4381F562" w:rsidRPr="00DD1B58" w:rsidRDefault="4E971251" w:rsidP="00973FF4">
      <w:pPr>
        <w:rPr>
          <w:lang w:val="en-US"/>
        </w:rPr>
      </w:pPr>
      <w:r w:rsidRPr="00DD1B58">
        <w:rPr>
          <w:noProof/>
          <w:lang w:val="en-US"/>
        </w:rPr>
        <w:t xml:space="preserve">The methodology was developed further after </w:t>
      </w:r>
      <w:sdt>
        <w:sdtPr>
          <w:rPr>
            <w:noProof/>
            <w:lang w:val="en-US"/>
          </w:rPr>
          <w:id w:val="271828499"/>
          <w:citation/>
        </w:sdtPr>
        <w:sdtContent>
          <w:r w:rsidR="00D93224" w:rsidRPr="00DD1B58">
            <w:rPr>
              <w:noProof/>
              <w:lang w:val="en-US"/>
            </w:rPr>
            <w:fldChar w:fldCharType="begin"/>
          </w:r>
          <w:r w:rsidR="00D93224" w:rsidRPr="00DD1B58">
            <w:rPr>
              <w:noProof/>
              <w:lang w:val="en-US"/>
            </w:rPr>
            <w:instrText xml:space="preserve"> CITATION NNB173 \l 2057 </w:instrText>
          </w:r>
          <w:r w:rsidR="00D93224" w:rsidRPr="00DD1B58">
            <w:rPr>
              <w:noProof/>
              <w:lang w:val="en-US"/>
            </w:rPr>
            <w:fldChar w:fldCharType="separate"/>
          </w:r>
          <w:r w:rsidR="00DF47DA" w:rsidRPr="00DF47DA">
            <w:rPr>
              <w:noProof/>
              <w:lang w:val="en-US"/>
            </w:rPr>
            <w:t>[53]</w:t>
          </w:r>
          <w:r w:rsidR="00D93224" w:rsidRPr="00DD1B58">
            <w:rPr>
              <w:noProof/>
              <w:lang w:val="en-US"/>
            </w:rPr>
            <w:fldChar w:fldCharType="end"/>
          </w:r>
        </w:sdtContent>
      </w:sdt>
      <w:r w:rsidRPr="00DD1B58">
        <w:rPr>
          <w:noProof/>
          <w:lang w:val="en-US"/>
        </w:rPr>
        <w:t xml:space="preserve"> was issued and is captured in the CCH methodology document </w:t>
      </w:r>
      <w:sdt>
        <w:sdtPr>
          <w:rPr>
            <w:noProof/>
            <w:lang w:val="en-US"/>
          </w:rPr>
          <w:id w:val="919535976"/>
          <w:citation/>
        </w:sdtPr>
        <w:sdtContent>
          <w:r w:rsidR="00747178" w:rsidRPr="00DD1B58">
            <w:rPr>
              <w:noProof/>
              <w:lang w:val="en-US"/>
            </w:rPr>
            <w:fldChar w:fldCharType="begin"/>
          </w:r>
          <w:r w:rsidR="00747178" w:rsidRPr="00DD1B58">
            <w:rPr>
              <w:noProof/>
              <w:lang w:val="en-US"/>
            </w:rPr>
            <w:instrText xml:space="preserve"> CITATION NNB203 \l 2057 </w:instrText>
          </w:r>
          <w:r w:rsidR="00747178" w:rsidRPr="00DD1B58">
            <w:rPr>
              <w:noProof/>
              <w:lang w:val="en-US"/>
            </w:rPr>
            <w:fldChar w:fldCharType="separate"/>
          </w:r>
          <w:r w:rsidR="00DF47DA" w:rsidRPr="00DF47DA">
            <w:rPr>
              <w:noProof/>
              <w:lang w:val="en-US"/>
            </w:rPr>
            <w:t>[54]</w:t>
          </w:r>
          <w:r w:rsidR="00747178" w:rsidRPr="00DD1B58">
            <w:rPr>
              <w:noProof/>
              <w:lang w:val="en-US"/>
            </w:rPr>
            <w:fldChar w:fldCharType="end"/>
          </w:r>
        </w:sdtContent>
      </w:sdt>
      <w:r w:rsidR="00786E6D" w:rsidRPr="00DD1B58">
        <w:rPr>
          <w:noProof/>
          <w:lang w:val="en-US"/>
        </w:rPr>
        <w:t xml:space="preserve">. This </w:t>
      </w:r>
      <w:r w:rsidRPr="00DD1B58">
        <w:rPr>
          <w:noProof/>
          <w:lang w:val="en-US"/>
        </w:rPr>
        <w:t>includes a matrix of all the applicable hazard combinations, noting that no hazard combinations have been identified for off</w:t>
      </w:r>
      <w:r w:rsidR="008A20CB" w:rsidRPr="00DD1B58">
        <w:rPr>
          <w:noProof/>
          <w:lang w:val="en-US"/>
        </w:rPr>
        <w:t>-</w:t>
      </w:r>
      <w:r w:rsidRPr="00DD1B58">
        <w:rPr>
          <w:noProof/>
          <w:lang w:val="en-US"/>
        </w:rPr>
        <w:t>site fire, only for internal (on-site) fire.</w:t>
      </w:r>
      <w:r w:rsidR="0D3BF783" w:rsidRPr="00DD1B58">
        <w:rPr>
          <w:noProof/>
          <w:lang w:val="en-US"/>
        </w:rPr>
        <w:t xml:space="preserve"> </w:t>
      </w:r>
      <w:r w:rsidR="5B813A06" w:rsidRPr="00DD1B58">
        <w:rPr>
          <w:noProof/>
          <w:lang w:val="en-US"/>
        </w:rPr>
        <w:t>Further detail</w:t>
      </w:r>
      <w:r w:rsidR="28784355" w:rsidRPr="00DD1B58">
        <w:rPr>
          <w:noProof/>
          <w:lang w:val="en-US"/>
        </w:rPr>
        <w:t xml:space="preserve"> on these hazard combinations and how these are categorised</w:t>
      </w:r>
      <w:r w:rsidR="5B813A06" w:rsidRPr="00DD1B58">
        <w:rPr>
          <w:noProof/>
          <w:lang w:val="en-US"/>
        </w:rPr>
        <w:t xml:space="preserve"> is provided in the licensee’s submission</w:t>
      </w:r>
      <w:r w:rsidR="00940D2A" w:rsidRPr="00DD1B58">
        <w:rPr>
          <w:noProof/>
          <w:lang w:val="en-US"/>
        </w:rPr>
        <w:t xml:space="preserve"> </w:t>
      </w:r>
      <w:sdt>
        <w:sdtPr>
          <w:rPr>
            <w:noProof/>
            <w:lang w:val="en-US"/>
          </w:rPr>
          <w:id w:val="-2099858729"/>
          <w:citation/>
        </w:sdtPr>
        <w:sdtContent>
          <w:r w:rsidR="0030543B" w:rsidRPr="00DD1B58">
            <w:rPr>
              <w:noProof/>
              <w:lang w:val="en-US"/>
            </w:rPr>
            <w:fldChar w:fldCharType="begin"/>
          </w:r>
          <w:r w:rsidR="0030543B" w:rsidRPr="00DD1B58">
            <w:rPr>
              <w:noProof/>
              <w:lang w:val="en-US"/>
            </w:rPr>
            <w:instrText xml:space="preserve"> CITATION NNB236 \l 2057 </w:instrText>
          </w:r>
          <w:r w:rsidR="0030543B" w:rsidRPr="00DD1B58">
            <w:rPr>
              <w:noProof/>
              <w:lang w:val="en-US"/>
            </w:rPr>
            <w:fldChar w:fldCharType="separate"/>
          </w:r>
          <w:r w:rsidR="00DF47DA" w:rsidRPr="00DF47DA">
            <w:rPr>
              <w:noProof/>
              <w:lang w:val="en-US"/>
            </w:rPr>
            <w:t>[49]</w:t>
          </w:r>
          <w:r w:rsidR="0030543B" w:rsidRPr="00DD1B58">
            <w:rPr>
              <w:noProof/>
              <w:lang w:val="en-US"/>
            </w:rPr>
            <w:fldChar w:fldCharType="end"/>
          </w:r>
        </w:sdtContent>
      </w:sdt>
      <w:r w:rsidR="00A67A9D" w:rsidRPr="00DD1B58">
        <w:rPr>
          <w:noProof/>
          <w:lang w:val="en-US"/>
        </w:rPr>
        <w:t>.</w:t>
      </w:r>
    </w:p>
    <w:p w14:paraId="7922D989" w14:textId="3F3CBF81" w:rsidR="5F6041C9" w:rsidRPr="00DD1B58" w:rsidRDefault="6790A5F6" w:rsidP="00896A38">
      <w:pPr>
        <w:pStyle w:val="Heading4"/>
        <w:numPr>
          <w:ilvl w:val="4"/>
          <w:numId w:val="3"/>
        </w:numPr>
        <w:rPr>
          <w:noProof/>
          <w:lang w:val="en-US"/>
        </w:rPr>
      </w:pPr>
      <w:r w:rsidRPr="00DD1B58">
        <w:rPr>
          <w:noProof/>
          <w:lang w:val="en-US"/>
        </w:rPr>
        <w:t xml:space="preserve">Probabilistic </w:t>
      </w:r>
      <w:r w:rsidR="008A20CB" w:rsidRPr="00DD1B58">
        <w:rPr>
          <w:noProof/>
          <w:lang w:val="en-US"/>
        </w:rPr>
        <w:t>fire hazard analysis</w:t>
      </w:r>
    </w:p>
    <w:p w14:paraId="490046CB" w14:textId="6AF32DAA" w:rsidR="3C5A8B99" w:rsidRPr="00DD1B58" w:rsidRDefault="00A67A9D" w:rsidP="355CB971">
      <w:pPr>
        <w:rPr>
          <w:noProof/>
          <w:szCs w:val="24"/>
          <w:lang w:val="en-US"/>
        </w:rPr>
      </w:pPr>
      <w:r w:rsidRPr="00DD1B58">
        <w:rPr>
          <w:szCs w:val="24"/>
          <w:lang w:val="en-US"/>
        </w:rPr>
        <w:t xml:space="preserve">NNB GenCo’s </w:t>
      </w:r>
      <w:r w:rsidR="3C5A8B99" w:rsidRPr="00DD1B58">
        <w:rPr>
          <w:noProof/>
          <w:szCs w:val="24"/>
          <w:lang w:val="en-US"/>
        </w:rPr>
        <w:t xml:space="preserve">PSA methodology used for all faults and hazards including fire is described in the Safety Case Manual </w:t>
      </w:r>
      <w:sdt>
        <w:sdtPr>
          <w:rPr>
            <w:noProof/>
            <w:szCs w:val="24"/>
            <w:lang w:val="en-US"/>
          </w:rPr>
          <w:id w:val="-1195456928"/>
          <w:citation/>
        </w:sdtPr>
        <w:sdtContent>
          <w:r w:rsidR="00166027" w:rsidRPr="00DD1B58">
            <w:rPr>
              <w:noProof/>
              <w:szCs w:val="24"/>
              <w:lang w:val="en-US"/>
            </w:rPr>
            <w:fldChar w:fldCharType="begin"/>
          </w:r>
          <w:r w:rsidR="00166027" w:rsidRPr="00DD1B58">
            <w:rPr>
              <w:noProof/>
              <w:szCs w:val="24"/>
              <w:lang w:val="en-US"/>
            </w:rPr>
            <w:instrText xml:space="preserve"> CITATION NNB223 \l 2057 </w:instrText>
          </w:r>
          <w:r w:rsidR="00166027" w:rsidRPr="00DD1B58">
            <w:rPr>
              <w:noProof/>
              <w:szCs w:val="24"/>
              <w:lang w:val="en-US"/>
            </w:rPr>
            <w:fldChar w:fldCharType="separate"/>
          </w:r>
          <w:r w:rsidR="00DF47DA" w:rsidRPr="00DF47DA">
            <w:rPr>
              <w:noProof/>
              <w:szCs w:val="24"/>
              <w:lang w:val="en-US"/>
            </w:rPr>
            <w:t>[47]</w:t>
          </w:r>
          <w:r w:rsidR="00166027" w:rsidRPr="00DD1B58">
            <w:rPr>
              <w:noProof/>
              <w:szCs w:val="24"/>
              <w:lang w:val="en-US"/>
            </w:rPr>
            <w:fldChar w:fldCharType="end"/>
          </w:r>
        </w:sdtContent>
      </w:sdt>
      <w:r w:rsidR="3C5A8B99" w:rsidRPr="00DD1B58">
        <w:rPr>
          <w:noProof/>
          <w:szCs w:val="24"/>
          <w:lang w:val="en-US"/>
        </w:rPr>
        <w:t xml:space="preserve"> and summarised here.</w:t>
      </w:r>
      <w:r w:rsidR="00940D2A" w:rsidRPr="00DD1B58">
        <w:rPr>
          <w:noProof/>
          <w:szCs w:val="24"/>
          <w:lang w:val="en-US"/>
        </w:rPr>
        <w:t xml:space="preserve"> </w:t>
      </w:r>
      <w:r w:rsidR="009004B9" w:rsidRPr="00DD1B58">
        <w:rPr>
          <w:szCs w:val="24"/>
          <w:lang w:val="en-US"/>
        </w:rPr>
        <w:t>NNB GenCo uses PSA</w:t>
      </w:r>
      <w:r w:rsidR="3C5A8B99" w:rsidRPr="00DD1B58">
        <w:rPr>
          <w:noProof/>
          <w:szCs w:val="24"/>
          <w:lang w:val="en-US"/>
        </w:rPr>
        <w:t xml:space="preserve">, including fire, to confirm overall risk levels against quantitative objectives, and to inform the design. </w:t>
      </w:r>
      <w:r w:rsidR="009004B9" w:rsidRPr="00DD1B58">
        <w:rPr>
          <w:noProof/>
          <w:szCs w:val="24"/>
          <w:lang w:val="en-US"/>
        </w:rPr>
        <w:t xml:space="preserve">NNB GenCo’s </w:t>
      </w:r>
      <w:r w:rsidR="3C5A8B99" w:rsidRPr="00DD1B58">
        <w:rPr>
          <w:noProof/>
          <w:szCs w:val="24"/>
          <w:lang w:val="en-US"/>
        </w:rPr>
        <w:t>PSA includes:</w:t>
      </w:r>
    </w:p>
    <w:p w14:paraId="2AA8B47C" w14:textId="77777777" w:rsidR="22EFBC63" w:rsidRPr="00DD1B58" w:rsidRDefault="13C3ECE2" w:rsidP="001B13EA">
      <w:pPr>
        <w:pStyle w:val="Bulletlist1"/>
        <w:rPr>
          <w:lang w:val="en-US"/>
        </w:rPr>
      </w:pPr>
      <w:r w:rsidRPr="00DD1B58">
        <w:rPr>
          <w:lang w:val="en-US"/>
        </w:rPr>
        <w:t>M</w:t>
      </w:r>
      <w:r w:rsidR="5E1B90A8" w:rsidRPr="00DD1B58">
        <w:rPr>
          <w:lang w:val="en-US"/>
        </w:rPr>
        <w:t>odelling fault and hazard sequences, including credible failures of structures, systems, and components as well as human-caused failures, to determine:</w:t>
      </w:r>
    </w:p>
    <w:p w14:paraId="2520D19D" w14:textId="77777777" w:rsidR="4A6DB6A2" w:rsidRPr="00DD1B58" w:rsidRDefault="4A6DB6A2" w:rsidP="00177432">
      <w:pPr>
        <w:pStyle w:val="Bulletlist2"/>
        <w:numPr>
          <w:ilvl w:val="0"/>
          <w:numId w:val="12"/>
        </w:numPr>
        <w:rPr>
          <w:lang w:val="en-US"/>
        </w:rPr>
      </w:pPr>
      <w:r w:rsidRPr="00DD1B58">
        <w:rPr>
          <w:lang w:val="en-US"/>
        </w:rPr>
        <w:t>T</w:t>
      </w:r>
      <w:r w:rsidR="3C5A8B99" w:rsidRPr="00DD1B58">
        <w:rPr>
          <w:lang w:val="en-US"/>
        </w:rPr>
        <w:t>he frequency of fuel melt for each sequence;</w:t>
      </w:r>
    </w:p>
    <w:p w14:paraId="77164255" w14:textId="77777777" w:rsidR="3C5A8B99" w:rsidRPr="00DD1B58" w:rsidRDefault="3C5A8B99" w:rsidP="00177432">
      <w:pPr>
        <w:pStyle w:val="Bulletlist2"/>
        <w:numPr>
          <w:ilvl w:val="0"/>
          <w:numId w:val="12"/>
        </w:numPr>
        <w:rPr>
          <w:lang w:val="en-US"/>
        </w:rPr>
      </w:pPr>
      <w:r w:rsidRPr="00DD1B58">
        <w:rPr>
          <w:lang w:val="en-US"/>
        </w:rPr>
        <w:t>The frequency and characteristics of credible significant releases of radioactive material;</w:t>
      </w:r>
      <w:r w:rsidR="008A20CB" w:rsidRPr="00DD1B58">
        <w:rPr>
          <w:lang w:val="en-US"/>
        </w:rPr>
        <w:t xml:space="preserve"> and</w:t>
      </w:r>
    </w:p>
    <w:p w14:paraId="2BFBAFF7" w14:textId="77777777" w:rsidR="3C5A8B99" w:rsidRPr="00DD1B58" w:rsidRDefault="3C5A8B99" w:rsidP="00177432">
      <w:pPr>
        <w:pStyle w:val="Bulletlist2"/>
        <w:numPr>
          <w:ilvl w:val="0"/>
          <w:numId w:val="12"/>
        </w:numPr>
        <w:rPr>
          <w:lang w:val="en-US"/>
        </w:rPr>
      </w:pPr>
      <w:r w:rsidRPr="00DD1B58">
        <w:rPr>
          <w:lang w:val="en-US"/>
        </w:rPr>
        <w:t>The risk to workers and the public.</w:t>
      </w:r>
    </w:p>
    <w:p w14:paraId="719A5E96" w14:textId="29FD7B11" w:rsidR="3C5A8B99" w:rsidRPr="00DD1B58" w:rsidRDefault="5E1B90A8" w:rsidP="001B13EA">
      <w:pPr>
        <w:pStyle w:val="Bulletlist1"/>
        <w:rPr>
          <w:szCs w:val="24"/>
          <w:lang w:val="en-US"/>
        </w:rPr>
      </w:pPr>
      <w:r w:rsidRPr="00DD1B58">
        <w:rPr>
          <w:lang w:val="en-US"/>
        </w:rPr>
        <w:t>Comparing the PSA output with the Safety Design Objectives (SDOs) to support the demonstration that the design reduces risk to ALARP</w:t>
      </w:r>
      <w:r w:rsidR="008A20CB" w:rsidRPr="00DD1B58">
        <w:rPr>
          <w:lang w:val="en-US"/>
        </w:rPr>
        <w:t>:</w:t>
      </w:r>
    </w:p>
    <w:p w14:paraId="4A2B81C0" w14:textId="77777777" w:rsidR="3C5A8B99" w:rsidRPr="00DD1B58" w:rsidRDefault="3C5A8B99" w:rsidP="00177432">
      <w:pPr>
        <w:pStyle w:val="Bulletlist2"/>
        <w:numPr>
          <w:ilvl w:val="0"/>
          <w:numId w:val="12"/>
        </w:numPr>
        <w:rPr>
          <w:lang w:val="en-US"/>
        </w:rPr>
      </w:pPr>
      <w:r w:rsidRPr="00DD1B58">
        <w:rPr>
          <w:lang w:val="en-US"/>
        </w:rPr>
        <w:t>Identify</w:t>
      </w:r>
      <w:r w:rsidR="008A20CB" w:rsidRPr="00DD1B58">
        <w:rPr>
          <w:lang w:val="en-US"/>
        </w:rPr>
        <w:t>ing</w:t>
      </w:r>
      <w:r w:rsidRPr="00DD1B58">
        <w:rPr>
          <w:lang w:val="en-US"/>
        </w:rPr>
        <w:t xml:space="preserve"> where improvements to the design can be made;</w:t>
      </w:r>
      <w:r w:rsidR="008A20CB" w:rsidRPr="00DD1B58">
        <w:rPr>
          <w:lang w:val="en-US"/>
        </w:rPr>
        <w:t xml:space="preserve"> and</w:t>
      </w:r>
    </w:p>
    <w:p w14:paraId="021D73E7" w14:textId="77777777" w:rsidR="3C5A8B99" w:rsidRPr="00DD1B58" w:rsidRDefault="3C5A8B99" w:rsidP="00177432">
      <w:pPr>
        <w:pStyle w:val="Bulletlist2"/>
        <w:numPr>
          <w:ilvl w:val="0"/>
          <w:numId w:val="12"/>
        </w:numPr>
        <w:rPr>
          <w:lang w:val="en-US"/>
        </w:rPr>
      </w:pPr>
      <w:r w:rsidRPr="00DD1B58">
        <w:rPr>
          <w:lang w:val="en-US"/>
        </w:rPr>
        <w:t>Confirm or directly inform</w:t>
      </w:r>
      <w:r w:rsidR="008A20CB" w:rsidRPr="00DD1B58">
        <w:rPr>
          <w:lang w:val="en-US"/>
        </w:rPr>
        <w:t>ing</w:t>
      </w:r>
      <w:r w:rsidRPr="00DD1B58">
        <w:rPr>
          <w:lang w:val="en-US"/>
        </w:rPr>
        <w:t xml:space="preserve"> the DBIF frequencies.</w:t>
      </w:r>
    </w:p>
    <w:p w14:paraId="3EF40D88" w14:textId="5562ABAB" w:rsidR="3C5A8B99" w:rsidRPr="00DD1B58" w:rsidRDefault="009004B9" w:rsidP="355CB971">
      <w:pPr>
        <w:rPr>
          <w:lang w:val="en-US"/>
        </w:rPr>
      </w:pPr>
      <w:r w:rsidRPr="00DD1B58">
        <w:rPr>
          <w:szCs w:val="24"/>
          <w:lang w:val="en-US"/>
        </w:rPr>
        <w:t>NNB GenCo considers that th</w:t>
      </w:r>
      <w:r w:rsidR="008A20CB" w:rsidRPr="00DD1B58">
        <w:rPr>
          <w:szCs w:val="24"/>
          <w:lang w:val="en-US"/>
        </w:rPr>
        <w:t>e</w:t>
      </w:r>
      <w:r w:rsidRPr="00DD1B58">
        <w:rPr>
          <w:szCs w:val="24"/>
          <w:lang w:val="en-US"/>
        </w:rPr>
        <w:t xml:space="preserve"> </w:t>
      </w:r>
      <w:r w:rsidR="3C5A8B99" w:rsidRPr="00DD1B58">
        <w:rPr>
          <w:noProof/>
          <w:szCs w:val="24"/>
          <w:lang w:val="en-US"/>
        </w:rPr>
        <w:t>deterministic safety case demonstrates there are adequate lines of protection based on the frequency of a fault, but the PSA can develop a more realistic</w:t>
      </w:r>
      <w:r w:rsidR="008A20CB" w:rsidRPr="00DD1B58">
        <w:rPr>
          <w:noProof/>
          <w:szCs w:val="24"/>
          <w:lang w:val="en-US"/>
        </w:rPr>
        <w:t>,</w:t>
      </w:r>
      <w:r w:rsidR="3C5A8B99" w:rsidRPr="00DD1B58">
        <w:rPr>
          <w:noProof/>
          <w:szCs w:val="24"/>
          <w:lang w:val="en-US"/>
        </w:rPr>
        <w:t xml:space="preserve"> best</w:t>
      </w:r>
      <w:r w:rsidR="008A20CB" w:rsidRPr="00DD1B58">
        <w:rPr>
          <w:noProof/>
          <w:szCs w:val="24"/>
          <w:lang w:val="en-US"/>
        </w:rPr>
        <w:t xml:space="preserve"> </w:t>
      </w:r>
      <w:r w:rsidR="3C5A8B99" w:rsidRPr="00DD1B58">
        <w:rPr>
          <w:noProof/>
          <w:szCs w:val="24"/>
          <w:lang w:val="en-US"/>
        </w:rPr>
        <w:t>estimate insight into the risk of a facility</w:t>
      </w:r>
      <w:r w:rsidR="008A20CB" w:rsidRPr="00DD1B58">
        <w:rPr>
          <w:noProof/>
          <w:szCs w:val="24"/>
          <w:lang w:val="en-US"/>
        </w:rPr>
        <w:t>.</w:t>
      </w:r>
      <w:r w:rsidR="3C5A8B99" w:rsidRPr="00DD1B58">
        <w:rPr>
          <w:noProof/>
          <w:szCs w:val="24"/>
          <w:lang w:val="en-US"/>
        </w:rPr>
        <w:t xml:space="preserve"> </w:t>
      </w:r>
      <w:r w:rsidR="008A20CB" w:rsidRPr="00DD1B58">
        <w:rPr>
          <w:noProof/>
          <w:szCs w:val="24"/>
          <w:lang w:val="en-US"/>
        </w:rPr>
        <w:t xml:space="preserve">This includes </w:t>
      </w:r>
      <w:r w:rsidR="3C5A8B99" w:rsidRPr="00DD1B58">
        <w:rPr>
          <w:noProof/>
          <w:szCs w:val="24"/>
          <w:lang w:val="en-US"/>
        </w:rPr>
        <w:t>modelling of non-classified systems where these are used and using reliability data based on component design and performance rather than classification.</w:t>
      </w:r>
    </w:p>
    <w:p w14:paraId="33B7DF1E" w14:textId="050398C6" w:rsidR="3C5A8B99" w:rsidRPr="00DD1B58" w:rsidRDefault="002F248B" w:rsidP="355CB971">
      <w:pPr>
        <w:rPr>
          <w:noProof/>
          <w:szCs w:val="24"/>
          <w:lang w:val="en-US"/>
        </w:rPr>
      </w:pPr>
      <w:r w:rsidRPr="00DD1B58">
        <w:rPr>
          <w:szCs w:val="24"/>
          <w:lang w:val="en-US"/>
        </w:rPr>
        <w:t xml:space="preserve">NNB GenCo’s </w:t>
      </w:r>
      <w:r w:rsidR="3C5A8B99" w:rsidRPr="00DD1B58">
        <w:rPr>
          <w:noProof/>
          <w:szCs w:val="24"/>
          <w:lang w:val="en-US"/>
        </w:rPr>
        <w:t xml:space="preserve">PSA considers all initiating events in all reactor states. The reactor states in the PSA are based on the plant states </w:t>
      </w:r>
      <w:r w:rsidR="6051232C" w:rsidRPr="00DD1B58">
        <w:rPr>
          <w:noProof/>
          <w:szCs w:val="24"/>
          <w:lang w:val="en-US"/>
        </w:rPr>
        <w:t>described above</w:t>
      </w:r>
      <w:r w:rsidR="3C5A8B99" w:rsidRPr="00DD1B58">
        <w:rPr>
          <w:noProof/>
          <w:szCs w:val="24"/>
          <w:lang w:val="en-US"/>
        </w:rPr>
        <w:t xml:space="preserve"> but split into sub-states to add further detail where this is necessary. Initiating events can affect fuel in the core, fuel in transit between the fuel building and the reactor building, fuel stored in the </w:t>
      </w:r>
      <w:r w:rsidR="00246687" w:rsidRPr="00DD1B58">
        <w:rPr>
          <w:noProof/>
          <w:szCs w:val="24"/>
          <w:lang w:val="en-US"/>
        </w:rPr>
        <w:t>Spent Fuel Pond (</w:t>
      </w:r>
      <w:r w:rsidR="3C5A8B99" w:rsidRPr="00DD1B58">
        <w:rPr>
          <w:noProof/>
          <w:szCs w:val="24"/>
          <w:lang w:val="en-US"/>
        </w:rPr>
        <w:t>SFP</w:t>
      </w:r>
      <w:r w:rsidR="00246687" w:rsidRPr="00DD1B58">
        <w:rPr>
          <w:noProof/>
          <w:szCs w:val="24"/>
          <w:lang w:val="en-US"/>
        </w:rPr>
        <w:t>)</w:t>
      </w:r>
      <w:r w:rsidR="3C5A8B99" w:rsidRPr="00DD1B58">
        <w:rPr>
          <w:noProof/>
          <w:szCs w:val="24"/>
          <w:lang w:val="en-US"/>
        </w:rPr>
        <w:t xml:space="preserve"> and radioactive waste operations and handling.</w:t>
      </w:r>
    </w:p>
    <w:p w14:paraId="2FF76208" w14:textId="2896477C" w:rsidR="3C5A8B99" w:rsidRPr="00DD1B58" w:rsidRDefault="3C5A8B99" w:rsidP="355CB971">
      <w:pPr>
        <w:rPr>
          <w:lang w:val="en-US"/>
        </w:rPr>
      </w:pPr>
      <w:r w:rsidRPr="00DD1B58">
        <w:rPr>
          <w:noProof/>
          <w:szCs w:val="24"/>
          <w:lang w:val="en-US"/>
        </w:rPr>
        <w:t xml:space="preserve">There are three main aspects to </w:t>
      </w:r>
      <w:r w:rsidR="002F248B" w:rsidRPr="00DD1B58">
        <w:rPr>
          <w:szCs w:val="24"/>
          <w:lang w:val="en-US"/>
        </w:rPr>
        <w:t xml:space="preserve">NNB GenCo’s </w:t>
      </w:r>
      <w:r w:rsidRPr="00DD1B58">
        <w:rPr>
          <w:noProof/>
          <w:szCs w:val="24"/>
          <w:lang w:val="en-US"/>
        </w:rPr>
        <w:t>use of PSA:</w:t>
      </w:r>
    </w:p>
    <w:p w14:paraId="4078A878" w14:textId="77777777" w:rsidR="3C5A8B99" w:rsidRPr="00DD1B58" w:rsidRDefault="5E1B90A8" w:rsidP="001B13EA">
      <w:pPr>
        <w:pStyle w:val="Bulletlist1"/>
        <w:rPr>
          <w:szCs w:val="24"/>
          <w:lang w:val="en-US"/>
        </w:rPr>
      </w:pPr>
      <w:r w:rsidRPr="00DD1B58">
        <w:rPr>
          <w:lang w:val="en-US"/>
        </w:rPr>
        <w:t>Establishing that the risk associated with the design is ALARP and complies with NNB’s targets;</w:t>
      </w:r>
    </w:p>
    <w:p w14:paraId="6FE3DC15" w14:textId="76C9FDEA" w:rsidR="1B8A53F0" w:rsidRPr="00DD1B58" w:rsidRDefault="008A20CB" w:rsidP="001B13EA">
      <w:pPr>
        <w:pStyle w:val="Bulletlist1"/>
        <w:rPr>
          <w:szCs w:val="24"/>
          <w:lang w:val="en-US"/>
        </w:rPr>
      </w:pPr>
      <w:r w:rsidRPr="00DD1B58">
        <w:rPr>
          <w:lang w:val="en-US"/>
        </w:rPr>
        <w:lastRenderedPageBreak/>
        <w:t>Making r</w:t>
      </w:r>
      <w:r w:rsidR="517CD051" w:rsidRPr="00DD1B58">
        <w:rPr>
          <w:lang w:val="en-US"/>
        </w:rPr>
        <w:t>isk</w:t>
      </w:r>
      <w:r w:rsidRPr="00DD1B58">
        <w:rPr>
          <w:lang w:val="en-US"/>
        </w:rPr>
        <w:t>-</w:t>
      </w:r>
      <w:r w:rsidR="002F248B" w:rsidRPr="00DD1B58">
        <w:rPr>
          <w:lang w:val="en-US"/>
        </w:rPr>
        <w:t>i</w:t>
      </w:r>
      <w:r w:rsidR="517CD051" w:rsidRPr="00DD1B58">
        <w:rPr>
          <w:lang w:val="en-US"/>
        </w:rPr>
        <w:t>nform</w:t>
      </w:r>
      <w:r w:rsidRPr="00DD1B58">
        <w:rPr>
          <w:lang w:val="en-US"/>
        </w:rPr>
        <w:t>ed</w:t>
      </w:r>
      <w:r w:rsidR="517CD051" w:rsidRPr="00DD1B58">
        <w:rPr>
          <w:lang w:val="en-US"/>
        </w:rPr>
        <w:t xml:space="preserve"> changes to the design and the operation of the plant;</w:t>
      </w:r>
      <w:r w:rsidRPr="00DD1B58">
        <w:rPr>
          <w:lang w:val="en-US"/>
        </w:rPr>
        <w:t xml:space="preserve"> and</w:t>
      </w:r>
    </w:p>
    <w:p w14:paraId="137EFF54" w14:textId="77777777" w:rsidR="1B8A53F0" w:rsidRPr="00DD1B58" w:rsidRDefault="517CD051" w:rsidP="001B13EA">
      <w:pPr>
        <w:pStyle w:val="Bulletlist1"/>
        <w:rPr>
          <w:szCs w:val="24"/>
          <w:lang w:val="en-US"/>
        </w:rPr>
      </w:pPr>
      <w:r w:rsidRPr="00DD1B58">
        <w:rPr>
          <w:lang w:val="en-US"/>
        </w:rPr>
        <w:t>Identifying risk-significant initiating events, components, and human actions.</w:t>
      </w:r>
    </w:p>
    <w:p w14:paraId="0A15E9FF" w14:textId="15F262B0" w:rsidR="1B8A53F0" w:rsidRPr="00DD1B58" w:rsidRDefault="1B8A53F0" w:rsidP="355CB971">
      <w:pPr>
        <w:rPr>
          <w:noProof/>
          <w:szCs w:val="24"/>
          <w:lang w:val="en-US"/>
        </w:rPr>
      </w:pPr>
      <w:r w:rsidRPr="00DD1B58">
        <w:rPr>
          <w:noProof/>
          <w:szCs w:val="24"/>
          <w:lang w:val="en-US"/>
        </w:rPr>
        <w:t>The SDOs (which are presented in the NSDAPs) provide a UK</w:t>
      </w:r>
      <w:r w:rsidR="008A20CB" w:rsidRPr="00DD1B58">
        <w:rPr>
          <w:noProof/>
          <w:szCs w:val="24"/>
          <w:lang w:val="en-US"/>
        </w:rPr>
        <w:t>-</w:t>
      </w:r>
      <w:r w:rsidRPr="00DD1B58">
        <w:rPr>
          <w:noProof/>
          <w:szCs w:val="24"/>
          <w:lang w:val="en-US"/>
        </w:rPr>
        <w:t xml:space="preserve">specific set of objectives that can be used to inform whether the fundamental principles which require ALARP have been met. The final PSA will compare the risk from the facility against SDO targets 5, 6, 7, 8 and 9. Level 3 PSA forms the endpoint of PSA analysis and is based on a </w:t>
      </w:r>
      <w:r w:rsidR="00DE74CB" w:rsidRPr="00DD1B58">
        <w:rPr>
          <w:noProof/>
          <w:szCs w:val="24"/>
          <w:lang w:val="en-US"/>
        </w:rPr>
        <w:t xml:space="preserve">level </w:t>
      </w:r>
      <w:r w:rsidRPr="00DD1B58">
        <w:rPr>
          <w:noProof/>
          <w:szCs w:val="24"/>
          <w:lang w:val="en-US"/>
        </w:rPr>
        <w:t xml:space="preserve">1 and </w:t>
      </w:r>
      <w:r w:rsidR="00DE74CB" w:rsidRPr="00DD1B58">
        <w:rPr>
          <w:noProof/>
          <w:szCs w:val="24"/>
          <w:lang w:val="en-US"/>
        </w:rPr>
        <w:t xml:space="preserve">level </w:t>
      </w:r>
      <w:r w:rsidRPr="00DD1B58">
        <w:rPr>
          <w:noProof/>
          <w:szCs w:val="24"/>
          <w:lang w:val="en-US"/>
        </w:rPr>
        <w:t>2 PSA, which in NNB’s case are integrated into the same PSA model.</w:t>
      </w:r>
    </w:p>
    <w:p w14:paraId="05BEA31F" w14:textId="40A72226" w:rsidR="1B8A53F0" w:rsidRPr="00DD1B58" w:rsidRDefault="1B8A53F0" w:rsidP="355CB971">
      <w:pPr>
        <w:rPr>
          <w:noProof/>
          <w:szCs w:val="24"/>
          <w:lang w:val="en-US"/>
        </w:rPr>
      </w:pPr>
      <w:r w:rsidRPr="00DD1B58">
        <w:rPr>
          <w:noProof/>
          <w:szCs w:val="24"/>
          <w:lang w:val="en-US"/>
        </w:rPr>
        <w:t xml:space="preserve">In addition, to support achievement of the SDOs and to ensure a design that meets RGP, </w:t>
      </w:r>
      <w:r w:rsidR="00AF0ADD" w:rsidRPr="00DD1B58">
        <w:rPr>
          <w:szCs w:val="24"/>
          <w:lang w:val="en-US"/>
        </w:rPr>
        <w:t xml:space="preserve">NNB GenCo </w:t>
      </w:r>
      <w:r w:rsidR="003D57C9" w:rsidRPr="00DD1B58">
        <w:rPr>
          <w:szCs w:val="24"/>
          <w:lang w:val="en-US"/>
        </w:rPr>
        <w:t xml:space="preserve">sets </w:t>
      </w:r>
      <w:r w:rsidRPr="00DD1B58">
        <w:rPr>
          <w:noProof/>
          <w:szCs w:val="24"/>
          <w:lang w:val="en-US"/>
        </w:rPr>
        <w:t>an additional probabilistic target for fuel melt at 10</w:t>
      </w:r>
      <w:r w:rsidR="003D57C9" w:rsidRPr="00DD1B58">
        <w:rPr>
          <w:noProof/>
          <w:szCs w:val="24"/>
          <w:vertAlign w:val="superscript"/>
          <w:lang w:val="en-US"/>
        </w:rPr>
        <w:t>-5</w:t>
      </w:r>
      <w:r w:rsidR="003D57C9" w:rsidRPr="00DD1B58">
        <w:rPr>
          <w:noProof/>
          <w:szCs w:val="24"/>
          <w:lang w:val="en-US"/>
        </w:rPr>
        <w:t xml:space="preserve"> per year</w:t>
      </w:r>
      <w:r w:rsidRPr="00DD1B58">
        <w:rPr>
          <w:noProof/>
          <w:szCs w:val="24"/>
          <w:lang w:val="en-US"/>
        </w:rPr>
        <w:t>. This is a cumulative frequency target for all fuel melt events within the nuclear island, including melt of the fuel in the core, melt of fuel assemblies being handled in the reactor building or fuel building, and melt of the fuel inventory in the fuel pond. This includes melts caused by hazard sequences.</w:t>
      </w:r>
    </w:p>
    <w:p w14:paraId="632EC473" w14:textId="19A598B4" w:rsidR="1B8A53F0" w:rsidRPr="00DD1B58" w:rsidRDefault="0069087A" w:rsidP="001B13EA">
      <w:pPr>
        <w:pStyle w:val="Bulletlist1"/>
        <w:rPr>
          <w:lang w:val="en-US"/>
        </w:rPr>
      </w:pPr>
      <w:r w:rsidRPr="00DD1B58">
        <w:rPr>
          <w:szCs w:val="24"/>
          <w:lang w:val="en-US"/>
        </w:rPr>
        <w:t xml:space="preserve">Additional details specific to fire are included in </w:t>
      </w:r>
      <w:sdt>
        <w:sdtPr>
          <w:rPr>
            <w:szCs w:val="24"/>
            <w:lang w:val="en-US"/>
          </w:rPr>
          <w:id w:val="552819320"/>
          <w:citation/>
        </w:sdtPr>
        <w:sdtContent>
          <w:r w:rsidR="0059446A" w:rsidRPr="00DD1B58">
            <w:rPr>
              <w:szCs w:val="24"/>
              <w:lang w:val="en-US"/>
            </w:rPr>
            <w:fldChar w:fldCharType="begin"/>
          </w:r>
          <w:r w:rsidR="0059446A" w:rsidRPr="00DD1B58">
            <w:rPr>
              <w:szCs w:val="24"/>
              <w:lang w:val="en-US"/>
            </w:rPr>
            <w:instrText xml:space="preserve"> CITATION NNB204 \l 2057 </w:instrText>
          </w:r>
          <w:r w:rsidR="0059446A" w:rsidRPr="00DD1B58">
            <w:rPr>
              <w:szCs w:val="24"/>
              <w:lang w:val="en-US"/>
            </w:rPr>
            <w:fldChar w:fldCharType="separate"/>
          </w:r>
          <w:r w:rsidR="00DF47DA" w:rsidRPr="00DF47DA">
            <w:rPr>
              <w:szCs w:val="24"/>
              <w:lang w:val="en-US"/>
            </w:rPr>
            <w:t>[51]</w:t>
          </w:r>
          <w:r w:rsidR="0059446A" w:rsidRPr="00DD1B58">
            <w:rPr>
              <w:szCs w:val="24"/>
              <w:lang w:val="en-US"/>
            </w:rPr>
            <w:fldChar w:fldCharType="end"/>
          </w:r>
        </w:sdtContent>
      </w:sdt>
      <w:r w:rsidRPr="00DD1B58">
        <w:rPr>
          <w:szCs w:val="24"/>
          <w:lang w:val="en-US"/>
        </w:rPr>
        <w:t>. The analysis is being carried out in phases as follows:</w:t>
      </w:r>
      <w:r w:rsidR="517CD051" w:rsidRPr="00DD1B58">
        <w:rPr>
          <w:lang w:val="en-US"/>
        </w:rPr>
        <w:t>Phase 0 – The definition of the scope of the study and the fire compartments that will be considered for screening for all onsite buildings</w:t>
      </w:r>
      <w:r w:rsidR="00DE74CB" w:rsidRPr="00DD1B58">
        <w:rPr>
          <w:lang w:val="en-US"/>
        </w:rPr>
        <w:t>;</w:t>
      </w:r>
    </w:p>
    <w:p w14:paraId="1433554F" w14:textId="5622F425" w:rsidR="1B8A53F0" w:rsidRPr="00DD1B58" w:rsidRDefault="517CD051" w:rsidP="001B13EA">
      <w:pPr>
        <w:pStyle w:val="Bulletlist1"/>
        <w:rPr>
          <w:szCs w:val="24"/>
          <w:lang w:val="en-US"/>
        </w:rPr>
      </w:pPr>
      <w:r w:rsidRPr="00DD1B58">
        <w:rPr>
          <w:lang w:val="en-US"/>
        </w:rPr>
        <w:t>Phase 1 – Qualitative screening of fire compartments</w:t>
      </w:r>
      <w:r w:rsidR="00DE74CB" w:rsidRPr="00DD1B58">
        <w:rPr>
          <w:lang w:val="en-US"/>
        </w:rPr>
        <w:t>;</w:t>
      </w:r>
    </w:p>
    <w:p w14:paraId="105C6FE6" w14:textId="15FD077C" w:rsidR="1B8A53F0" w:rsidRPr="00DD1B58" w:rsidRDefault="517CD051" w:rsidP="001B13EA">
      <w:pPr>
        <w:pStyle w:val="Bulletlist1"/>
        <w:rPr>
          <w:szCs w:val="24"/>
          <w:lang w:val="en-US"/>
        </w:rPr>
      </w:pPr>
      <w:r w:rsidRPr="00DD1B58">
        <w:rPr>
          <w:lang w:val="en-US"/>
        </w:rPr>
        <w:t>Phase 2 – Quantitative screening of fire compartments</w:t>
      </w:r>
      <w:r w:rsidR="00DE74CB" w:rsidRPr="00DD1B58">
        <w:rPr>
          <w:lang w:val="en-US"/>
        </w:rPr>
        <w:t>; and</w:t>
      </w:r>
    </w:p>
    <w:p w14:paraId="453D86DF" w14:textId="11896C93" w:rsidR="1B8A53F0" w:rsidRPr="00DD1B58" w:rsidRDefault="517CD051" w:rsidP="001B13EA">
      <w:pPr>
        <w:pStyle w:val="Bulletlist1"/>
        <w:rPr>
          <w:lang w:val="en-US"/>
        </w:rPr>
      </w:pPr>
      <w:r w:rsidRPr="00DD1B58">
        <w:rPr>
          <w:lang w:val="en-US"/>
        </w:rPr>
        <w:t xml:space="preserve">Phase 3 – Detailed analysis of single fire compartments for the compartments screened as part of </w:t>
      </w:r>
      <w:r w:rsidR="00DE74CB" w:rsidRPr="00DD1B58">
        <w:rPr>
          <w:lang w:val="en-US"/>
        </w:rPr>
        <w:t xml:space="preserve">phase </w:t>
      </w:r>
      <w:r w:rsidRPr="00DD1B58">
        <w:rPr>
          <w:lang w:val="en-US"/>
        </w:rPr>
        <w:t xml:space="preserve">2, the analysis of multi compartment fire scenarios and fire scenarios in the MCR. </w:t>
      </w:r>
      <w:r w:rsidR="00FB799F" w:rsidRPr="00DD1B58">
        <w:rPr>
          <w:szCs w:val="24"/>
          <w:lang w:val="en-US"/>
        </w:rPr>
        <w:t xml:space="preserve">NNB GenCo states that this phase will </w:t>
      </w:r>
      <w:r w:rsidRPr="00DD1B58">
        <w:rPr>
          <w:lang w:val="en-US"/>
        </w:rPr>
        <w:t xml:space="preserve">only be carried out for compartments that are still considered to be relevant following a review of the output of </w:t>
      </w:r>
      <w:r w:rsidR="00DE74CB" w:rsidRPr="00DD1B58">
        <w:rPr>
          <w:lang w:val="en-US"/>
        </w:rPr>
        <w:t xml:space="preserve">phase </w:t>
      </w:r>
      <w:r w:rsidRPr="00DD1B58">
        <w:rPr>
          <w:lang w:val="en-US"/>
        </w:rPr>
        <w:t xml:space="preserve">2. The overall process is summarised in Appendix </w:t>
      </w:r>
      <w:r w:rsidR="006E769D" w:rsidRPr="00DD1B58">
        <w:rPr>
          <w:lang w:val="en-US"/>
        </w:rPr>
        <w:t>F</w:t>
      </w:r>
      <w:r w:rsidRPr="00DD1B58">
        <w:rPr>
          <w:lang w:val="en-US"/>
        </w:rPr>
        <w:t>.</w:t>
      </w:r>
    </w:p>
    <w:p w14:paraId="646BFB51" w14:textId="6016F228" w:rsidR="01160E55" w:rsidRPr="00DD1B58" w:rsidRDefault="6891D52B" w:rsidP="00896A38">
      <w:pPr>
        <w:pStyle w:val="Heading4"/>
        <w:numPr>
          <w:ilvl w:val="4"/>
          <w:numId w:val="3"/>
        </w:numPr>
        <w:rPr>
          <w:lang w:val="en-US"/>
        </w:rPr>
      </w:pPr>
      <w:r w:rsidRPr="00DD1B58">
        <w:rPr>
          <w:lang w:val="en-US"/>
        </w:rPr>
        <w:t xml:space="preserve">MCR </w:t>
      </w:r>
      <w:r w:rsidR="001F4726" w:rsidRPr="00DD1B58">
        <w:rPr>
          <w:lang w:val="en-US"/>
        </w:rPr>
        <w:t>h</w:t>
      </w:r>
      <w:r w:rsidRPr="00DD1B58">
        <w:rPr>
          <w:lang w:val="en-US"/>
        </w:rPr>
        <w:t>abitability</w:t>
      </w:r>
    </w:p>
    <w:p w14:paraId="1D953841" w14:textId="6B54CF8E" w:rsidR="001F4726" w:rsidRPr="00DD1B58" w:rsidRDefault="00FB799F">
      <w:pPr>
        <w:pStyle w:val="Bulletlist1"/>
        <w:numPr>
          <w:ilvl w:val="0"/>
          <w:numId w:val="0"/>
        </w:numPr>
        <w:rPr>
          <w:szCs w:val="24"/>
          <w:lang w:val="en-US"/>
        </w:rPr>
      </w:pPr>
      <w:r w:rsidRPr="00DD1B58">
        <w:rPr>
          <w:szCs w:val="24"/>
          <w:lang w:val="en-US"/>
        </w:rPr>
        <w:t>NNB GenCo’s</w:t>
      </w:r>
      <w:r w:rsidR="6891D52B" w:rsidRPr="00DD1B58">
        <w:rPr>
          <w:szCs w:val="24"/>
          <w:lang w:val="en-US"/>
        </w:rPr>
        <w:t xml:space="preserve"> fire hazard assessment also considers habitability of the Main Control Room (MCR) and Remote Shutdown Station (RSS). </w:t>
      </w:r>
      <w:r w:rsidR="00AE6532" w:rsidRPr="00DD1B58">
        <w:rPr>
          <w:szCs w:val="24"/>
          <w:lang w:val="en-US"/>
        </w:rPr>
        <w:t>NNB GenCo considers that</w:t>
      </w:r>
      <w:r w:rsidR="001F4726" w:rsidRPr="00DD1B58">
        <w:rPr>
          <w:szCs w:val="24"/>
          <w:lang w:val="en-US"/>
        </w:rPr>
        <w:t>:</w:t>
      </w:r>
    </w:p>
    <w:p w14:paraId="7AF374CA" w14:textId="5EC21054" w:rsidR="6891D52B" w:rsidRPr="00DD1B58" w:rsidRDefault="001F4329" w:rsidP="00973FF4">
      <w:pPr>
        <w:pStyle w:val="QuoteText"/>
        <w:rPr>
          <w:lang w:val="en-US"/>
        </w:rPr>
      </w:pPr>
      <w:r w:rsidRPr="00DD1B58">
        <w:rPr>
          <w:lang w:val="en-US"/>
        </w:rPr>
        <w:t>T</w:t>
      </w:r>
      <w:r w:rsidR="00AE6532" w:rsidRPr="00DD1B58">
        <w:rPr>
          <w:iCs/>
          <w:noProof/>
          <w:lang w:val="en-US"/>
        </w:rPr>
        <w:t xml:space="preserve">he </w:t>
      </w:r>
      <w:r w:rsidR="6891D52B" w:rsidRPr="00DD1B58">
        <w:rPr>
          <w:noProof/>
          <w:lang w:val="en-US"/>
        </w:rPr>
        <w:t>safety case associated with the MCR habitability must demonstrate that</w:t>
      </w:r>
      <w:r w:rsidR="00AE6532" w:rsidRPr="00DD1B58">
        <w:rPr>
          <w:iCs/>
          <w:noProof/>
          <w:lang w:val="en-US"/>
        </w:rPr>
        <w:t xml:space="preserve"> </w:t>
      </w:r>
      <w:r w:rsidR="00AE6532" w:rsidRPr="00DD1B58">
        <w:rPr>
          <w:rFonts w:asciiTheme="minorHAnsi" w:eastAsiaTheme="minorHAnsi" w:hAnsiTheme="minorHAnsi" w:cstheme="minorBidi"/>
          <w:color w:val="22413A"/>
          <w:sz w:val="28"/>
          <w:szCs w:val="30"/>
          <w:lang w:val="en-US" w:bidi="ar-SA"/>
        </w:rPr>
        <w:t>t</w:t>
      </w:r>
      <w:r w:rsidR="6891D52B" w:rsidRPr="00DD1B58">
        <w:rPr>
          <w:iCs/>
          <w:noProof/>
          <w:lang w:val="en-US"/>
        </w:rPr>
        <w:t>he</w:t>
      </w:r>
      <w:r w:rsidR="6891D52B" w:rsidRPr="00DD1B58">
        <w:rPr>
          <w:noProof/>
          <w:lang w:val="en-US"/>
        </w:rPr>
        <w:t xml:space="preserve"> habitability of the MCR should generally not be affected by internal hazards. In the event of unavailability of the MCR due to an internal hazard (particularly a fire), the habitability of the Remote Shutdown Station (RSS) must be ensured.</w:t>
      </w:r>
      <w:r w:rsidR="00AE6532" w:rsidRPr="00DD1B58">
        <w:rPr>
          <w:rFonts w:asciiTheme="minorHAnsi" w:eastAsiaTheme="minorHAnsi" w:hAnsiTheme="minorHAnsi" w:cstheme="minorBidi"/>
          <w:color w:val="22413A"/>
          <w:sz w:val="28"/>
          <w:szCs w:val="30"/>
          <w:lang w:val="en-US" w:bidi="ar-SA"/>
        </w:rPr>
        <w:t xml:space="preserve"> </w:t>
      </w:r>
      <w:r w:rsidR="6891D52B" w:rsidRPr="00DD1B58">
        <w:rPr>
          <w:noProof/>
          <w:lang w:val="en-US"/>
        </w:rPr>
        <w:t>In the event of external hazards, the safety functions of systems and equipment that are required to bring the plant to a safe condition and to prevent and limit radioactive releases, as well as MCR habitability, should not be affected.</w:t>
      </w:r>
      <w:r w:rsidR="00AE6532" w:rsidRPr="00DD1B58">
        <w:rPr>
          <w:rFonts w:asciiTheme="minorHAnsi" w:eastAsiaTheme="minorHAnsi" w:hAnsiTheme="minorHAnsi" w:cstheme="minorBidi"/>
          <w:color w:val="22413A"/>
          <w:sz w:val="28"/>
          <w:szCs w:val="30"/>
          <w:lang w:val="en-US" w:bidi="ar-SA"/>
        </w:rPr>
        <w:t xml:space="preserve"> </w:t>
      </w:r>
      <w:r w:rsidR="6891D52B" w:rsidRPr="00DD1B58">
        <w:rPr>
          <w:lang w:val="en-US" w:bidi="ar-SA"/>
        </w:rPr>
        <w:t>MCR habitability must</w:t>
      </w:r>
      <w:r w:rsidR="00E31971" w:rsidRPr="00DD1B58">
        <w:rPr>
          <w:iCs/>
          <w:noProof/>
          <w:lang w:val="en-US"/>
        </w:rPr>
        <w:t xml:space="preserve"> </w:t>
      </w:r>
      <w:r w:rsidR="6891D52B" w:rsidRPr="00DD1B58">
        <w:rPr>
          <w:lang w:val="en-US" w:bidi="ar-SA"/>
        </w:rPr>
        <w:t>be ensured during all types of events that might result in radioactive release in the environment</w:t>
      </w:r>
      <w:r w:rsidR="6891D52B" w:rsidRPr="00DD1B58">
        <w:rPr>
          <w:lang w:val="en-US"/>
        </w:rPr>
        <w:t>.</w:t>
      </w:r>
    </w:p>
    <w:p w14:paraId="68D45D12" w14:textId="0AC1FFEF" w:rsidR="6891D52B" w:rsidRPr="00DD1B58" w:rsidRDefault="00951CC6" w:rsidP="355CB971">
      <w:pPr>
        <w:rPr>
          <w:noProof/>
          <w:szCs w:val="24"/>
          <w:lang w:val="en-US"/>
        </w:rPr>
      </w:pPr>
      <w:r w:rsidRPr="00DD1B58">
        <w:rPr>
          <w:noProof/>
          <w:lang w:val="en-US"/>
        </w:rPr>
        <w:t>NNB Genco’s</w:t>
      </w:r>
      <w:r w:rsidR="6891D52B" w:rsidRPr="00DD1B58">
        <w:rPr>
          <w:noProof/>
          <w:lang w:val="en-US"/>
        </w:rPr>
        <w:t xml:space="preserve"> fire hazard assessments therefore consider the effect of the fire on habitability of the MCR as well as the direct effects of fire on safety systems. </w:t>
      </w:r>
      <w:r w:rsidR="00D84ABE" w:rsidRPr="00DD1B58">
        <w:rPr>
          <w:szCs w:val="24"/>
          <w:lang w:val="en-US"/>
        </w:rPr>
        <w:t xml:space="preserve">NNB GenCo considers that </w:t>
      </w:r>
      <w:r w:rsidR="00D84ABE" w:rsidRPr="00DD1B58">
        <w:rPr>
          <w:noProof/>
          <w:lang w:val="en-US"/>
        </w:rPr>
        <w:t>h</w:t>
      </w:r>
      <w:r w:rsidR="6891D52B" w:rsidRPr="00DD1B58">
        <w:rPr>
          <w:noProof/>
          <w:lang w:val="en-US"/>
        </w:rPr>
        <w:t xml:space="preserve">abitability is ensured when acceptable conditions of temperature, humidity, air quality, toxicity, smoke, and radiation levels etc are maintained </w:t>
      </w:r>
      <w:sdt>
        <w:sdtPr>
          <w:rPr>
            <w:noProof/>
            <w:lang w:val="en-US"/>
          </w:rPr>
          <w:id w:val="36631709"/>
          <w:citation/>
        </w:sdtPr>
        <w:sdtContent>
          <w:r w:rsidR="004537EF" w:rsidRPr="00DD1B58">
            <w:rPr>
              <w:noProof/>
              <w:lang w:val="en-US"/>
            </w:rPr>
            <w:fldChar w:fldCharType="begin"/>
          </w:r>
          <w:r w:rsidR="004537EF" w:rsidRPr="00DD1B58">
            <w:rPr>
              <w:noProof/>
              <w:lang w:val="en-US"/>
            </w:rPr>
            <w:instrText xml:space="preserve"> CITATION NNB101 \l 2057 </w:instrText>
          </w:r>
          <w:r w:rsidR="004537EF" w:rsidRPr="00DD1B58">
            <w:rPr>
              <w:noProof/>
              <w:lang w:val="en-US"/>
            </w:rPr>
            <w:fldChar w:fldCharType="separate"/>
          </w:r>
          <w:r w:rsidR="00DF47DA" w:rsidRPr="00DF47DA">
            <w:rPr>
              <w:noProof/>
              <w:lang w:val="en-US"/>
            </w:rPr>
            <w:t>[55]</w:t>
          </w:r>
          <w:r w:rsidR="004537EF" w:rsidRPr="00DD1B58">
            <w:rPr>
              <w:noProof/>
              <w:lang w:val="en-US"/>
            </w:rPr>
            <w:fldChar w:fldCharType="end"/>
          </w:r>
        </w:sdtContent>
      </w:sdt>
      <w:r w:rsidR="6891D52B" w:rsidRPr="00DD1B58">
        <w:rPr>
          <w:noProof/>
          <w:lang w:val="en-US"/>
        </w:rPr>
        <w:t xml:space="preserve">. The habitability </w:t>
      </w:r>
      <w:r w:rsidR="6891D52B" w:rsidRPr="00DD1B58">
        <w:rPr>
          <w:noProof/>
          <w:lang w:val="en-US"/>
        </w:rPr>
        <w:lastRenderedPageBreak/>
        <w:t>assessments consider the effects of a fire inside the MCR, a fire in a volume adjacent to the MCR, and a fire outside the building housing the MCR. The preventive and protective measures are discussed in Section 3.</w:t>
      </w:r>
    </w:p>
    <w:p w14:paraId="360366C3" w14:textId="77777777" w:rsidR="00F1180A" w:rsidRPr="00DD1B58" w:rsidRDefault="62464406" w:rsidP="001B13EA">
      <w:pPr>
        <w:pStyle w:val="Heading4"/>
        <w:rPr>
          <w:lang w:val="en-US"/>
        </w:rPr>
      </w:pPr>
      <w:bookmarkStart w:id="29" w:name="_Ref140843972"/>
      <w:r w:rsidRPr="00DD1B58">
        <w:rPr>
          <w:lang w:val="en-US"/>
        </w:rPr>
        <w:t>Key assumptions and methodologies</w:t>
      </w:r>
      <w:bookmarkEnd w:id="29"/>
    </w:p>
    <w:p w14:paraId="3B8A1DE8" w14:textId="77777777" w:rsidR="00F1180A" w:rsidRPr="00DD1B58" w:rsidRDefault="45AFEC8F" w:rsidP="002745B2">
      <w:pPr>
        <w:pStyle w:val="Heading4"/>
        <w:numPr>
          <w:ilvl w:val="4"/>
          <w:numId w:val="3"/>
        </w:numPr>
        <w:rPr>
          <w:lang w:val="en-US"/>
        </w:rPr>
      </w:pPr>
      <w:bookmarkStart w:id="30" w:name="_Ref140844118"/>
      <w:r w:rsidRPr="00DD1B58">
        <w:rPr>
          <w:lang w:val="en-US"/>
        </w:rPr>
        <w:t xml:space="preserve">Deterministic </w:t>
      </w:r>
      <w:r w:rsidR="005C6BB5" w:rsidRPr="00DD1B58">
        <w:rPr>
          <w:lang w:val="en-US"/>
        </w:rPr>
        <w:t>fire hazard analysis guidance</w:t>
      </w:r>
      <w:bookmarkEnd w:id="30"/>
    </w:p>
    <w:p w14:paraId="3CAA29AB" w14:textId="02D7BCFF" w:rsidR="00F1180A" w:rsidRPr="00DD1B58" w:rsidRDefault="45AFEC8F" w:rsidP="355CB971">
      <w:pPr>
        <w:rPr>
          <w:lang w:val="en-US"/>
        </w:rPr>
      </w:pPr>
      <w:r w:rsidRPr="00DD1B58">
        <w:rPr>
          <w:lang w:val="en-US"/>
        </w:rPr>
        <w:t xml:space="preserve">The key concepts and sequence of the EDF-specific hazard assessment methodology are described in ENG 2-9L </w:t>
      </w:r>
      <w:sdt>
        <w:sdtPr>
          <w:rPr>
            <w:lang w:val="en-US"/>
          </w:rPr>
          <w:id w:val="-1342697017"/>
          <w:citation/>
        </w:sdtPr>
        <w:sdtContent>
          <w:r w:rsidR="009658AE" w:rsidRPr="00DD1B58">
            <w:rPr>
              <w:lang w:val="en-US"/>
            </w:rPr>
            <w:fldChar w:fldCharType="begin"/>
          </w:r>
          <w:r w:rsidR="009658AE" w:rsidRPr="00DD1B58">
            <w:rPr>
              <w:lang w:val="en-US"/>
            </w:rPr>
            <w:instrText xml:space="preserve"> CITATION NNB226 \l 2057 </w:instrText>
          </w:r>
          <w:r w:rsidR="009658AE" w:rsidRPr="00DD1B58">
            <w:rPr>
              <w:lang w:val="en-US"/>
            </w:rPr>
            <w:fldChar w:fldCharType="separate"/>
          </w:r>
          <w:r w:rsidR="00DF47DA" w:rsidRPr="00DF47DA">
            <w:rPr>
              <w:noProof/>
              <w:lang w:val="en-US"/>
            </w:rPr>
            <w:t>[56]</w:t>
          </w:r>
          <w:r w:rsidR="009658AE" w:rsidRPr="00DD1B58">
            <w:rPr>
              <w:lang w:val="en-US"/>
            </w:rPr>
            <w:fldChar w:fldCharType="end"/>
          </w:r>
        </w:sdtContent>
      </w:sdt>
      <w:r w:rsidRPr="00DD1B58">
        <w:rPr>
          <w:lang w:val="en-US"/>
        </w:rPr>
        <w:t>, and the main points are summarised in the following sections. The Hazard Vulnerability Analysis is a key part of the deterministic assessment and is summarised below.</w:t>
      </w:r>
    </w:p>
    <w:p w14:paraId="670D5D89" w14:textId="72CCDF56" w:rsidR="00F1180A" w:rsidRPr="00DD1B58" w:rsidRDefault="45AFEC8F" w:rsidP="355CB971">
      <w:pPr>
        <w:rPr>
          <w:lang w:val="en-US"/>
        </w:rPr>
      </w:pPr>
      <w:r w:rsidRPr="00DD1B58">
        <w:rPr>
          <w:b/>
          <w:bCs/>
          <w:lang w:val="en-US"/>
        </w:rPr>
        <w:t>HVA Step 1 – Review of Hazard Sources and Safety Volumes</w:t>
      </w:r>
      <w:r w:rsidRPr="00DD1B58">
        <w:rPr>
          <w:lang w:val="en-US"/>
        </w:rPr>
        <w:t xml:space="preserve">: </w:t>
      </w:r>
      <w:r w:rsidR="005C6BB5" w:rsidRPr="00DD1B58">
        <w:rPr>
          <w:lang w:val="en-US"/>
        </w:rPr>
        <w:t>i</w:t>
      </w:r>
      <w:r w:rsidRPr="00DD1B58">
        <w:rPr>
          <w:lang w:val="en-US"/>
        </w:rPr>
        <w:t xml:space="preserve">dentifies the set of HISs and HIEs in each HSV, as described in Section </w:t>
      </w:r>
      <w:r w:rsidR="3FE83E6E" w:rsidRPr="00DD1B58">
        <w:rPr>
          <w:lang w:val="en-US"/>
        </w:rPr>
        <w:t>II-</w:t>
      </w:r>
      <w:r w:rsidRPr="00DD1B58">
        <w:rPr>
          <w:lang w:val="en-US"/>
        </w:rPr>
        <w:t>2.1.1.2.</w:t>
      </w:r>
    </w:p>
    <w:p w14:paraId="06CA3780" w14:textId="38A0CD7F" w:rsidR="00F1180A" w:rsidRPr="00DD1B58" w:rsidRDefault="45AFEC8F" w:rsidP="355CB971">
      <w:pPr>
        <w:rPr>
          <w:lang w:val="en-US"/>
        </w:rPr>
      </w:pPr>
      <w:r w:rsidRPr="00DD1B58">
        <w:rPr>
          <w:b/>
          <w:bCs/>
          <w:lang w:val="en-US"/>
        </w:rPr>
        <w:t>HVA Step 2 – Definition of Bounding and Representative Hazards Scenarios</w:t>
      </w:r>
      <w:r w:rsidRPr="00DD1B58">
        <w:rPr>
          <w:lang w:val="en-US"/>
        </w:rPr>
        <w:t xml:space="preserve">: </w:t>
      </w:r>
      <w:r w:rsidR="005C6BB5" w:rsidRPr="00DD1B58">
        <w:rPr>
          <w:lang w:val="en-US"/>
        </w:rPr>
        <w:t>d</w:t>
      </w:r>
      <w:r w:rsidRPr="00DD1B58">
        <w:rPr>
          <w:lang w:val="en-US"/>
        </w:rPr>
        <w:t xml:space="preserve">erives the bounding DBIHs for the HSV, as described in Section </w:t>
      </w:r>
      <w:r w:rsidR="30A7388C" w:rsidRPr="00DD1B58">
        <w:rPr>
          <w:lang w:val="en-US"/>
        </w:rPr>
        <w:t>II-</w:t>
      </w:r>
      <w:r w:rsidRPr="00DD1B58">
        <w:rPr>
          <w:lang w:val="en-US"/>
        </w:rPr>
        <w:t>2.1.1.2.</w:t>
      </w:r>
    </w:p>
    <w:p w14:paraId="16BFDE1A" w14:textId="0BF8404E" w:rsidR="00F1180A" w:rsidRPr="00DD1B58" w:rsidRDefault="45AFEC8F" w:rsidP="355CB971">
      <w:pPr>
        <w:rPr>
          <w:lang w:val="en-US"/>
        </w:rPr>
      </w:pPr>
      <w:r w:rsidRPr="00DD1B58">
        <w:rPr>
          <w:b/>
          <w:bCs/>
          <w:lang w:val="en-US"/>
        </w:rPr>
        <w:t>HVA Step 3 – Identification of potential induced DBIF</w:t>
      </w:r>
      <w:r w:rsidRPr="00DD1B58">
        <w:rPr>
          <w:lang w:val="en-US"/>
        </w:rPr>
        <w:t xml:space="preserve">: </w:t>
      </w:r>
      <w:r w:rsidR="005C6BB5" w:rsidRPr="00DD1B58">
        <w:rPr>
          <w:lang w:val="en-US"/>
        </w:rPr>
        <w:t>i</w:t>
      </w:r>
      <w:r w:rsidRPr="00DD1B58">
        <w:rPr>
          <w:lang w:val="en-US"/>
        </w:rPr>
        <w:t>dentifies the DBIFs that are potentially induced by the bounding DBIH.</w:t>
      </w:r>
    </w:p>
    <w:p w14:paraId="59B8528D" w14:textId="4DC7A888" w:rsidR="00F1180A" w:rsidRPr="00DD1B58" w:rsidRDefault="45AFEC8F" w:rsidP="355CB971">
      <w:pPr>
        <w:rPr>
          <w:lang w:val="en-US"/>
        </w:rPr>
      </w:pPr>
      <w:r w:rsidRPr="00DD1B58">
        <w:rPr>
          <w:b/>
          <w:bCs/>
          <w:lang w:val="en-US"/>
        </w:rPr>
        <w:t>HVA Step 4 – Functional Analysis at Architectural Level:</w:t>
      </w:r>
      <w:r w:rsidRPr="00DD1B58">
        <w:rPr>
          <w:lang w:val="en-US"/>
        </w:rPr>
        <w:t xml:space="preserve"> </w:t>
      </w:r>
      <w:r w:rsidR="005C6BB5" w:rsidRPr="00DD1B58">
        <w:rPr>
          <w:lang w:val="en-US"/>
        </w:rPr>
        <w:t>a</w:t>
      </w:r>
      <w:r w:rsidRPr="00DD1B58">
        <w:rPr>
          <w:lang w:val="en-US"/>
        </w:rPr>
        <w:t>ssesses the ability to manage the induced DBIFs from Step 3, predominantly based on the two principles of separation (separation between trains and separation between SSCs that prevent a DBIF and the SSCs claimed as protection or mitigation against the same DBIF).</w:t>
      </w:r>
    </w:p>
    <w:p w14:paraId="0F43D387" w14:textId="1C3391A9" w:rsidR="00F1180A" w:rsidRPr="00DD1B58" w:rsidRDefault="45AFEC8F" w:rsidP="355CB971">
      <w:pPr>
        <w:rPr>
          <w:highlight w:val="yellow"/>
          <w:lang w:val="en-US"/>
        </w:rPr>
      </w:pPr>
      <w:r w:rsidRPr="00DD1B58">
        <w:rPr>
          <w:lang w:val="en-US"/>
        </w:rPr>
        <w:t xml:space="preserve">Steps 3 and 4 are closely linked and are described in </w:t>
      </w:r>
      <w:r w:rsidR="5858DF03" w:rsidRPr="00DD1B58">
        <w:rPr>
          <w:lang w:val="en-US"/>
        </w:rPr>
        <w:t xml:space="preserve">the licensee’s </w:t>
      </w:r>
      <w:r w:rsidR="000A0C2A" w:rsidRPr="00DD1B58">
        <w:rPr>
          <w:lang w:val="en-US"/>
        </w:rPr>
        <w:t xml:space="preserve">self-assessment </w:t>
      </w:r>
      <w:sdt>
        <w:sdtPr>
          <w:rPr>
            <w:lang w:val="en-US"/>
          </w:rPr>
          <w:id w:val="941265332"/>
          <w:citation/>
        </w:sdtPr>
        <w:sdtContent>
          <w:r w:rsidR="000A0C2A" w:rsidRPr="00DD1B58">
            <w:rPr>
              <w:lang w:val="en-US"/>
            </w:rPr>
            <w:fldChar w:fldCharType="begin"/>
          </w:r>
          <w:r w:rsidR="000A0C2A" w:rsidRPr="00DD1B58">
            <w:rPr>
              <w:lang w:val="en-US"/>
            </w:rPr>
            <w:instrText xml:space="preserve"> CITATION NNB236 \l 2057 </w:instrText>
          </w:r>
          <w:r w:rsidR="000A0C2A" w:rsidRPr="00DD1B58">
            <w:rPr>
              <w:lang w:val="en-US"/>
            </w:rPr>
            <w:fldChar w:fldCharType="separate"/>
          </w:r>
          <w:r w:rsidR="00DF47DA" w:rsidRPr="00DF47DA">
            <w:rPr>
              <w:noProof/>
              <w:lang w:val="en-US"/>
            </w:rPr>
            <w:t>[49]</w:t>
          </w:r>
          <w:r w:rsidR="000A0C2A" w:rsidRPr="00DD1B58">
            <w:rPr>
              <w:lang w:val="en-US"/>
            </w:rPr>
            <w:fldChar w:fldCharType="end"/>
          </w:r>
        </w:sdtContent>
      </w:sdt>
      <w:r w:rsidR="000A0C2A" w:rsidRPr="00DD1B58">
        <w:rPr>
          <w:lang w:val="en-US"/>
        </w:rPr>
        <w:t>.</w:t>
      </w:r>
    </w:p>
    <w:p w14:paraId="38168F86" w14:textId="710F6DE3" w:rsidR="00F1180A" w:rsidRPr="00DD1B58" w:rsidRDefault="45AFEC8F" w:rsidP="355CB971">
      <w:pPr>
        <w:rPr>
          <w:lang w:val="en-US"/>
        </w:rPr>
      </w:pPr>
      <w:r w:rsidRPr="00DD1B58">
        <w:rPr>
          <w:b/>
          <w:bCs/>
          <w:lang w:val="en-US"/>
        </w:rPr>
        <w:t>HVA Step 5 – Detailed Analysis of the Hazard Effects</w:t>
      </w:r>
      <w:r w:rsidRPr="00DD1B58">
        <w:rPr>
          <w:lang w:val="en-US"/>
        </w:rPr>
        <w:t xml:space="preserve">: </w:t>
      </w:r>
      <w:r w:rsidR="005C6BB5" w:rsidRPr="00DD1B58">
        <w:rPr>
          <w:lang w:val="en-US"/>
        </w:rPr>
        <w:t xml:space="preserve">uses </w:t>
      </w:r>
      <w:r w:rsidRPr="00DD1B58">
        <w:rPr>
          <w:lang w:val="en-US"/>
        </w:rPr>
        <w:t>phenomenological modelling to assess the consequences of a DBIH inside a HSV for the HSV/DBIH combinations which</w:t>
      </w:r>
      <w:r w:rsidR="12987E80" w:rsidRPr="00DD1B58">
        <w:rPr>
          <w:lang w:val="en-US"/>
        </w:rPr>
        <w:t xml:space="preserve"> were concluded not to be adequately managed at Step 4. The methodologies are described in more detail in </w:t>
      </w:r>
      <w:r w:rsidR="0E556416" w:rsidRPr="00DD1B58">
        <w:rPr>
          <w:lang w:val="en-US"/>
        </w:rPr>
        <w:t xml:space="preserve">the licensee’s </w:t>
      </w:r>
      <w:r w:rsidR="000A0C2A" w:rsidRPr="00DD1B58">
        <w:rPr>
          <w:lang w:val="en-US"/>
        </w:rPr>
        <w:t xml:space="preserve">self-assessment </w:t>
      </w:r>
      <w:sdt>
        <w:sdtPr>
          <w:rPr>
            <w:lang w:val="en-US"/>
          </w:rPr>
          <w:id w:val="665677735"/>
          <w:citation/>
        </w:sdtPr>
        <w:sdtContent>
          <w:r w:rsidR="000A0C2A" w:rsidRPr="00DD1B58">
            <w:rPr>
              <w:lang w:val="en-US"/>
            </w:rPr>
            <w:fldChar w:fldCharType="begin"/>
          </w:r>
          <w:r w:rsidR="000A0C2A" w:rsidRPr="00DD1B58">
            <w:rPr>
              <w:lang w:val="en-US"/>
            </w:rPr>
            <w:instrText xml:space="preserve"> CITATION NNB236 \l 2057 </w:instrText>
          </w:r>
          <w:r w:rsidR="000A0C2A" w:rsidRPr="00DD1B58">
            <w:rPr>
              <w:lang w:val="en-US"/>
            </w:rPr>
            <w:fldChar w:fldCharType="separate"/>
          </w:r>
          <w:r w:rsidR="00DF47DA" w:rsidRPr="00DF47DA">
            <w:rPr>
              <w:noProof/>
              <w:lang w:val="en-US"/>
            </w:rPr>
            <w:t>[49]</w:t>
          </w:r>
          <w:r w:rsidR="000A0C2A" w:rsidRPr="00DD1B58">
            <w:rPr>
              <w:lang w:val="en-US"/>
            </w:rPr>
            <w:fldChar w:fldCharType="end"/>
          </w:r>
        </w:sdtContent>
      </w:sdt>
      <w:r w:rsidR="000A0C2A" w:rsidRPr="00DD1B58">
        <w:rPr>
          <w:lang w:val="en-US"/>
        </w:rPr>
        <w:t>.</w:t>
      </w:r>
    </w:p>
    <w:p w14:paraId="548CEB55" w14:textId="2EBF2A89" w:rsidR="00F1180A" w:rsidRPr="00DD1B58" w:rsidRDefault="12987E80" w:rsidP="355CB971">
      <w:pPr>
        <w:rPr>
          <w:lang w:val="en-US"/>
        </w:rPr>
      </w:pPr>
      <w:r w:rsidRPr="00DD1B58">
        <w:rPr>
          <w:b/>
          <w:bCs/>
          <w:lang w:val="en-US"/>
        </w:rPr>
        <w:t>HVA Step 6 – HSV Boundaries Integrity</w:t>
      </w:r>
      <w:r w:rsidRPr="00DD1B58">
        <w:rPr>
          <w:lang w:val="en-US"/>
        </w:rPr>
        <w:t xml:space="preserve">: </w:t>
      </w:r>
      <w:r w:rsidR="005C6BB5" w:rsidRPr="00DD1B58">
        <w:rPr>
          <w:lang w:val="en-US"/>
        </w:rPr>
        <w:t xml:space="preserve">verifies </w:t>
      </w:r>
      <w:r w:rsidRPr="00DD1B58">
        <w:rPr>
          <w:lang w:val="en-US"/>
        </w:rPr>
        <w:t xml:space="preserve">and substantiates that the HSV boundaries are resilient to the hazard loads. This assessment uses EPRESSI modelling for most HSVs, or the alternative methodology for large volumes in the reactor building. The assessment methodology is described in Section </w:t>
      </w:r>
      <w:r w:rsidR="6AC9E6B3" w:rsidRPr="00DD1B58">
        <w:rPr>
          <w:lang w:val="en-US"/>
        </w:rPr>
        <w:t>II-</w:t>
      </w:r>
      <w:r w:rsidRPr="00DD1B58">
        <w:rPr>
          <w:lang w:val="en-US"/>
        </w:rPr>
        <w:t>2.1.2.1.3 and has links to design substantiation evidence.</w:t>
      </w:r>
    </w:p>
    <w:p w14:paraId="3D2D0C0C" w14:textId="1676CCD7" w:rsidR="00F1180A" w:rsidRPr="00DD1B58" w:rsidRDefault="12987E80" w:rsidP="355CB971">
      <w:pPr>
        <w:rPr>
          <w:lang w:val="en-US"/>
        </w:rPr>
      </w:pPr>
      <w:r w:rsidRPr="00DD1B58">
        <w:rPr>
          <w:b/>
          <w:bCs/>
          <w:lang w:val="en-US"/>
        </w:rPr>
        <w:t xml:space="preserve">HVA step 7 – ALARP </w:t>
      </w:r>
      <w:r w:rsidR="005C6BB5" w:rsidRPr="00DD1B58">
        <w:rPr>
          <w:b/>
          <w:bCs/>
          <w:lang w:val="en-US"/>
        </w:rPr>
        <w:t>A</w:t>
      </w:r>
      <w:r w:rsidRPr="00DD1B58">
        <w:rPr>
          <w:b/>
          <w:bCs/>
          <w:lang w:val="en-US"/>
        </w:rPr>
        <w:t>ssessment</w:t>
      </w:r>
      <w:r w:rsidRPr="00DD1B58">
        <w:rPr>
          <w:lang w:val="en-US"/>
        </w:rPr>
        <w:t xml:space="preserve">: </w:t>
      </w:r>
      <w:r w:rsidR="005C6BB5" w:rsidRPr="00DD1B58">
        <w:rPr>
          <w:lang w:val="en-US"/>
        </w:rPr>
        <w:t xml:space="preserve">confirms </w:t>
      </w:r>
      <w:r w:rsidRPr="00DD1B58">
        <w:rPr>
          <w:lang w:val="en-US"/>
        </w:rPr>
        <w:t>that the risk is ALARP and that all reasonably practicable measures have been included in the design.</w:t>
      </w:r>
    </w:p>
    <w:p w14:paraId="0433FEFB" w14:textId="669D0362" w:rsidR="00F1180A" w:rsidRPr="00DD1B58" w:rsidRDefault="12987E80" w:rsidP="355CB971">
      <w:pPr>
        <w:rPr>
          <w:lang w:val="en-US"/>
        </w:rPr>
      </w:pPr>
      <w:r w:rsidRPr="00DD1B58">
        <w:rPr>
          <w:b/>
          <w:bCs/>
          <w:lang w:val="en-US"/>
        </w:rPr>
        <w:t>HVA Step 8 – Decision to implement a Design Change or confirmation of Design Stability based on ALARP arguments:</w:t>
      </w:r>
      <w:r w:rsidRPr="00DD1B58">
        <w:rPr>
          <w:lang w:val="en-US"/>
        </w:rPr>
        <w:t xml:space="preserve"> </w:t>
      </w:r>
      <w:r w:rsidR="005C6BB5" w:rsidRPr="00DD1B58">
        <w:rPr>
          <w:lang w:val="en-US"/>
        </w:rPr>
        <w:t xml:space="preserve">finalises </w:t>
      </w:r>
      <w:r w:rsidRPr="00DD1B58">
        <w:rPr>
          <w:lang w:val="en-US"/>
        </w:rPr>
        <w:t>and concludes the assessment.</w:t>
      </w:r>
    </w:p>
    <w:p w14:paraId="72B36895" w14:textId="289FA4B2" w:rsidR="00F1180A" w:rsidRPr="00DD1B58" w:rsidRDefault="12987E80" w:rsidP="355CB971">
      <w:pPr>
        <w:rPr>
          <w:lang w:val="en-US"/>
        </w:rPr>
      </w:pPr>
      <w:r w:rsidRPr="00DD1B58">
        <w:rPr>
          <w:lang w:val="en-US"/>
        </w:rPr>
        <w:t xml:space="preserve">The deterministic assessments were not all complete when </w:t>
      </w:r>
      <w:r w:rsidR="00B1237A" w:rsidRPr="00DD1B58">
        <w:rPr>
          <w:lang w:val="en-US"/>
        </w:rPr>
        <w:t xml:space="preserve">the licensee’s </w:t>
      </w:r>
      <w:r w:rsidR="00E27CD6" w:rsidRPr="00DD1B58">
        <w:rPr>
          <w:lang w:val="en-US"/>
        </w:rPr>
        <w:t xml:space="preserve">submission </w:t>
      </w:r>
      <w:sdt>
        <w:sdtPr>
          <w:rPr>
            <w:lang w:val="en-US"/>
          </w:rPr>
          <w:id w:val="672454737"/>
          <w:citation/>
        </w:sdtPr>
        <w:sdtContent>
          <w:r w:rsidR="00E27CD6" w:rsidRPr="00DD1B58">
            <w:rPr>
              <w:lang w:val="en-US"/>
            </w:rPr>
            <w:fldChar w:fldCharType="begin"/>
          </w:r>
          <w:r w:rsidR="00E27CD6" w:rsidRPr="00DD1B58">
            <w:rPr>
              <w:lang w:val="en-US"/>
            </w:rPr>
            <w:instrText xml:space="preserve"> CITATION NNB236 \l 2057 </w:instrText>
          </w:r>
          <w:r w:rsidR="00E27CD6" w:rsidRPr="00DD1B58">
            <w:rPr>
              <w:lang w:val="en-US"/>
            </w:rPr>
            <w:fldChar w:fldCharType="separate"/>
          </w:r>
          <w:r w:rsidR="00DF47DA" w:rsidRPr="00DF47DA">
            <w:rPr>
              <w:noProof/>
              <w:lang w:val="en-US"/>
            </w:rPr>
            <w:t>[49]</w:t>
          </w:r>
          <w:r w:rsidR="00E27CD6" w:rsidRPr="00DD1B58">
            <w:rPr>
              <w:lang w:val="en-US"/>
            </w:rPr>
            <w:fldChar w:fldCharType="end"/>
          </w:r>
        </w:sdtContent>
      </w:sdt>
      <w:r w:rsidRPr="00DD1B58">
        <w:rPr>
          <w:lang w:val="en-US"/>
        </w:rPr>
        <w:t xml:space="preserve"> was compiled in April 2023.</w:t>
      </w:r>
      <w:r w:rsidR="1BC8B749" w:rsidRPr="00DD1B58">
        <w:rPr>
          <w:lang w:val="en-US"/>
        </w:rPr>
        <w:t xml:space="preserve"> Further detail on the HVA Steps 3 to 6 is provided in the licensee’s </w:t>
      </w:r>
      <w:r w:rsidR="00111EC3" w:rsidRPr="00DD1B58">
        <w:rPr>
          <w:lang w:val="en-US"/>
        </w:rPr>
        <w:t xml:space="preserve">self-assessment </w:t>
      </w:r>
      <w:sdt>
        <w:sdtPr>
          <w:rPr>
            <w:lang w:val="en-US"/>
          </w:rPr>
          <w:id w:val="-426581890"/>
          <w:citation/>
        </w:sdtPr>
        <w:sdtContent>
          <w:r w:rsidR="004F4DAF" w:rsidRPr="00DD1B58">
            <w:rPr>
              <w:lang w:val="en-US"/>
            </w:rPr>
            <w:fldChar w:fldCharType="begin"/>
          </w:r>
          <w:r w:rsidR="004F4DAF" w:rsidRPr="00DD1B58">
            <w:rPr>
              <w:lang w:val="en-US"/>
            </w:rPr>
            <w:instrText xml:space="preserve"> CITATION NNB236 \l 2057 </w:instrText>
          </w:r>
          <w:r w:rsidR="004F4DAF" w:rsidRPr="00DD1B58">
            <w:rPr>
              <w:lang w:val="en-US"/>
            </w:rPr>
            <w:fldChar w:fldCharType="separate"/>
          </w:r>
          <w:r w:rsidR="00DF47DA" w:rsidRPr="00DF47DA">
            <w:rPr>
              <w:noProof/>
              <w:lang w:val="en-US"/>
            </w:rPr>
            <w:t>[49]</w:t>
          </w:r>
          <w:r w:rsidR="004F4DAF" w:rsidRPr="00DD1B58">
            <w:rPr>
              <w:lang w:val="en-US"/>
            </w:rPr>
            <w:fldChar w:fldCharType="end"/>
          </w:r>
        </w:sdtContent>
      </w:sdt>
      <w:r w:rsidR="001341AB" w:rsidRPr="00DD1B58">
        <w:rPr>
          <w:lang w:val="en-US"/>
        </w:rPr>
        <w:t>.</w:t>
      </w:r>
    </w:p>
    <w:p w14:paraId="67C00CE5" w14:textId="77777777" w:rsidR="00F1180A" w:rsidRPr="00DD1B58" w:rsidRDefault="741A8883" w:rsidP="00AA0442">
      <w:pPr>
        <w:pStyle w:val="Heading4"/>
        <w:numPr>
          <w:ilvl w:val="4"/>
          <w:numId w:val="3"/>
        </w:numPr>
        <w:rPr>
          <w:lang w:val="en-US"/>
        </w:rPr>
      </w:pPr>
      <w:r w:rsidRPr="00DD1B58">
        <w:rPr>
          <w:lang w:val="en-US"/>
        </w:rPr>
        <w:t>Fire propagation assessment</w:t>
      </w:r>
    </w:p>
    <w:p w14:paraId="4DBB9544" w14:textId="60CB673F" w:rsidR="00310688" w:rsidRPr="00DD1B58" w:rsidRDefault="00111F5C" w:rsidP="355CB971">
      <w:pPr>
        <w:rPr>
          <w:lang w:val="en-US"/>
        </w:rPr>
      </w:pPr>
      <w:r w:rsidRPr="00DD1B58">
        <w:rPr>
          <w:lang w:val="en-US"/>
        </w:rPr>
        <w:t xml:space="preserve">NNB GenCo uses the </w:t>
      </w:r>
      <w:r w:rsidR="741A8883" w:rsidRPr="00DD1B58">
        <w:rPr>
          <w:lang w:val="en-US"/>
        </w:rPr>
        <w:t>EPRESSI methodology</w:t>
      </w:r>
      <w:r w:rsidRPr="00DD1B58">
        <w:rPr>
          <w:lang w:val="en-US"/>
        </w:rPr>
        <w:t xml:space="preserve"> </w:t>
      </w:r>
      <w:r w:rsidR="741A8883" w:rsidRPr="00DD1B58">
        <w:rPr>
          <w:lang w:val="en-US"/>
        </w:rPr>
        <w:t>to demonstrate the fire resistance performance of fire safety volumes and justify the absence of fire propagation outside the fire safety volume</w:t>
      </w:r>
      <w:r w:rsidR="00B55002" w:rsidRPr="00DD1B58">
        <w:rPr>
          <w:lang w:val="en-US"/>
        </w:rPr>
        <w:t>,</w:t>
      </w:r>
      <w:r w:rsidR="741A8883" w:rsidRPr="00DD1B58">
        <w:rPr>
          <w:lang w:val="en-US"/>
        </w:rPr>
        <w:t xml:space="preserve"> including propagation to adjacent buildings. The methodology is described in </w:t>
      </w:r>
      <w:sdt>
        <w:sdtPr>
          <w:rPr>
            <w:lang w:val="en-US"/>
          </w:rPr>
          <w:id w:val="945896922"/>
          <w:citation/>
        </w:sdtPr>
        <w:sdtContent>
          <w:r w:rsidR="004A62CE" w:rsidRPr="00DD1B58">
            <w:rPr>
              <w:lang w:val="en-US"/>
            </w:rPr>
            <w:fldChar w:fldCharType="begin"/>
          </w:r>
          <w:r w:rsidR="004A62CE" w:rsidRPr="00DD1B58">
            <w:rPr>
              <w:lang w:val="en-US"/>
            </w:rPr>
            <w:instrText xml:space="preserve"> CITATION NNB162 \l 2057 </w:instrText>
          </w:r>
          <w:r w:rsidR="004A62CE" w:rsidRPr="00DD1B58">
            <w:rPr>
              <w:lang w:val="en-US"/>
            </w:rPr>
            <w:fldChar w:fldCharType="separate"/>
          </w:r>
          <w:r w:rsidR="00DF47DA" w:rsidRPr="00DF47DA">
            <w:rPr>
              <w:noProof/>
              <w:lang w:val="en-US"/>
            </w:rPr>
            <w:t>[57]</w:t>
          </w:r>
          <w:r w:rsidR="004A62CE" w:rsidRPr="00DD1B58">
            <w:rPr>
              <w:lang w:val="en-US"/>
            </w:rPr>
            <w:fldChar w:fldCharType="end"/>
          </w:r>
        </w:sdtContent>
      </w:sdt>
      <w:r w:rsidR="741A8883" w:rsidRPr="00DD1B58">
        <w:rPr>
          <w:lang w:val="en-US"/>
        </w:rPr>
        <w:t xml:space="preserve"> and was developed in France. </w:t>
      </w:r>
      <w:r w:rsidR="00B55002" w:rsidRPr="00DD1B58">
        <w:rPr>
          <w:lang w:val="en-US"/>
        </w:rPr>
        <w:t>Section 4 of t</w:t>
      </w:r>
      <w:r w:rsidR="741A8883" w:rsidRPr="00DD1B58">
        <w:rPr>
          <w:lang w:val="en-US"/>
        </w:rPr>
        <w:t xml:space="preserve">he EPRESSI UK companion document </w:t>
      </w:r>
      <w:sdt>
        <w:sdtPr>
          <w:rPr>
            <w:lang w:val="en-US"/>
          </w:rPr>
          <w:id w:val="992686860"/>
          <w:citation/>
        </w:sdtPr>
        <w:sdtContent>
          <w:r w:rsidR="008049E4" w:rsidRPr="00DD1B58">
            <w:rPr>
              <w:lang w:val="en-US"/>
            </w:rPr>
            <w:fldChar w:fldCharType="begin"/>
          </w:r>
          <w:r w:rsidR="008049E4" w:rsidRPr="00DD1B58">
            <w:rPr>
              <w:lang w:val="en-US"/>
            </w:rPr>
            <w:instrText xml:space="preserve"> CITATION NNB205 \l 2057 </w:instrText>
          </w:r>
          <w:r w:rsidR="008049E4" w:rsidRPr="00DD1B58">
            <w:rPr>
              <w:lang w:val="en-US"/>
            </w:rPr>
            <w:fldChar w:fldCharType="separate"/>
          </w:r>
          <w:r w:rsidR="00DF47DA" w:rsidRPr="00DF47DA">
            <w:rPr>
              <w:noProof/>
              <w:lang w:val="en-US"/>
            </w:rPr>
            <w:t>[52]</w:t>
          </w:r>
          <w:r w:rsidR="008049E4" w:rsidRPr="00DD1B58">
            <w:rPr>
              <w:lang w:val="en-US"/>
            </w:rPr>
            <w:fldChar w:fldCharType="end"/>
          </w:r>
        </w:sdtContent>
      </w:sdt>
      <w:r w:rsidR="741A8883" w:rsidRPr="00DD1B58">
        <w:rPr>
          <w:lang w:val="en-US"/>
        </w:rPr>
        <w:t xml:space="preserve"> presents the UK context interpretation, including the following key changes from the original French EPRESSI methodology</w:t>
      </w:r>
      <w:r w:rsidR="7294CB33" w:rsidRPr="00DD1B58">
        <w:rPr>
          <w:lang w:val="en-US"/>
        </w:rPr>
        <w:t xml:space="preserve">. </w:t>
      </w:r>
    </w:p>
    <w:p w14:paraId="305A3702" w14:textId="77777777" w:rsidR="00310688" w:rsidRPr="00DD1B58" w:rsidRDefault="00310688" w:rsidP="00310688">
      <w:pPr>
        <w:pStyle w:val="Bulletlist1"/>
        <w:rPr>
          <w:lang w:val="en-US"/>
        </w:rPr>
      </w:pPr>
      <w:r w:rsidRPr="00DD1B58">
        <w:rPr>
          <w:lang w:val="en-US"/>
        </w:rPr>
        <w:t xml:space="preserve">The original French methodology allows fixed automatic fire extinguishing systems to be claimed to justify all the fire partitioning elements in the room without having to perform modelling calculations. However, this approach was challenged by the ONR during the Generic Design Assessment (GDA) process, so all rooms presenting a fire risk are modelled regardless of whether they have a fixed firefighting system. </w:t>
      </w:r>
    </w:p>
    <w:p w14:paraId="0FFD1162" w14:textId="77777777" w:rsidR="00310688" w:rsidRPr="00DD1B58" w:rsidRDefault="00310688" w:rsidP="00310688">
      <w:pPr>
        <w:pStyle w:val="Bulletlist1"/>
        <w:rPr>
          <w:lang w:val="en-US"/>
        </w:rPr>
      </w:pPr>
      <w:r w:rsidRPr="00DD1B58">
        <w:rPr>
          <w:lang w:val="en-US"/>
        </w:rPr>
        <w:t xml:space="preserve">Margins have been included for fire load inventory input data to allow for potential late modifications or temporary storage during the life of the plant without potentially invalidating the assessment. </w:t>
      </w:r>
    </w:p>
    <w:p w14:paraId="7A90A547" w14:textId="39F4F229" w:rsidR="00310688" w:rsidRPr="00DD1B58" w:rsidRDefault="00310688" w:rsidP="00310688">
      <w:pPr>
        <w:pStyle w:val="Bulletlist1"/>
        <w:rPr>
          <w:lang w:val="en-US"/>
        </w:rPr>
      </w:pPr>
      <w:r w:rsidRPr="00DD1B58">
        <w:rPr>
          <w:lang w:val="en-US"/>
        </w:rPr>
        <w:t>Small electrical cabinets and cubicles identified as presenting a possibility of a localised fire (PFL) do not need to be modelled if the cabinet has no propagation risk to other nearby cabinets and if there are no mobilizable fire loads above the cabinet or in the plume from the burning cabinet. Generic arguments are made that the fire loading from such cabinets smaller than 0.34 m</w:t>
      </w:r>
      <w:r w:rsidRPr="00DD1B58">
        <w:rPr>
          <w:vertAlign w:val="superscript"/>
          <w:lang w:val="en-US"/>
        </w:rPr>
        <w:t>3</w:t>
      </w:r>
      <w:r w:rsidRPr="00DD1B58">
        <w:rPr>
          <w:lang w:val="en-US"/>
        </w:rPr>
        <w:t xml:space="preserve"> have a lower fire load than other types of PFL and the associated fire power according to NUREG 2178 is quite low. </w:t>
      </w:r>
    </w:p>
    <w:p w14:paraId="1A219C57" w14:textId="77777777" w:rsidR="00310688" w:rsidRPr="00DD1B58" w:rsidRDefault="00310688" w:rsidP="00310688">
      <w:pPr>
        <w:pStyle w:val="Bulletlist1"/>
        <w:rPr>
          <w:lang w:val="en-US"/>
        </w:rPr>
      </w:pPr>
      <w:r w:rsidRPr="00DD1B58">
        <w:rPr>
          <w:lang w:val="en-US"/>
        </w:rPr>
        <w:t xml:space="preserve">Motors with voltage of 10 kV or higher are considered as PFL. </w:t>
      </w:r>
    </w:p>
    <w:p w14:paraId="16777FB6" w14:textId="77777777" w:rsidR="00310688" w:rsidRPr="00DD1B58" w:rsidRDefault="00310688" w:rsidP="00310688">
      <w:pPr>
        <w:pStyle w:val="Bulletlist1"/>
        <w:rPr>
          <w:lang w:val="en-US"/>
        </w:rPr>
      </w:pPr>
      <w:r w:rsidRPr="00DD1B58">
        <w:rPr>
          <w:lang w:val="en-US"/>
        </w:rPr>
        <w:t xml:space="preserve">Fire is considered to spread between two opened adjacent cabinets and the PFL takes account of the fire load from all opened adjacent cabinets. </w:t>
      </w:r>
    </w:p>
    <w:p w14:paraId="016B3540" w14:textId="703845EF" w:rsidR="00310688" w:rsidRPr="00DD1B58" w:rsidRDefault="00310688" w:rsidP="00310688">
      <w:pPr>
        <w:pStyle w:val="Bulletlist1"/>
        <w:rPr>
          <w:lang w:val="en-US"/>
        </w:rPr>
      </w:pPr>
      <w:r w:rsidRPr="00DD1B58">
        <w:rPr>
          <w:lang w:val="en-US"/>
        </w:rPr>
        <w:t xml:space="preserve">The maximum power of pyrolysis (HRR) value of an electrical equipment fire has been updated and is based on values from NUREG CR 6850 for motors greater than 10 kV and NUREG 2178 for cabinets and cubicles. </w:t>
      </w:r>
    </w:p>
    <w:p w14:paraId="08E67A59" w14:textId="2DF2F9AA" w:rsidR="00F1180A" w:rsidRPr="00DD1B58" w:rsidRDefault="00F1180A" w:rsidP="355CB971">
      <w:pPr>
        <w:rPr>
          <w:lang w:val="en-US"/>
        </w:rPr>
      </w:pPr>
    </w:p>
    <w:p w14:paraId="0CF04E40" w14:textId="01B97112" w:rsidR="00F1180A" w:rsidRPr="00DD1B58" w:rsidRDefault="25A0F7DC" w:rsidP="004E2431">
      <w:pPr>
        <w:pStyle w:val="Heading4"/>
        <w:numPr>
          <w:ilvl w:val="4"/>
          <w:numId w:val="3"/>
        </w:numPr>
        <w:rPr>
          <w:lang w:val="en-US"/>
        </w:rPr>
      </w:pPr>
      <w:r w:rsidRPr="00DD1B58">
        <w:rPr>
          <w:lang w:val="en-US"/>
        </w:rPr>
        <w:t xml:space="preserve">Identification </w:t>
      </w:r>
      <w:r w:rsidR="00B55002" w:rsidRPr="00DD1B58">
        <w:rPr>
          <w:lang w:val="en-US"/>
        </w:rPr>
        <w:t xml:space="preserve">of safety functions and </w:t>
      </w:r>
      <w:r w:rsidR="004B5E9B" w:rsidRPr="00DD1B58">
        <w:rPr>
          <w:lang w:val="en-US"/>
        </w:rPr>
        <w:t xml:space="preserve">SSCs </w:t>
      </w:r>
      <w:r w:rsidR="00B55002" w:rsidRPr="00DD1B58">
        <w:rPr>
          <w:lang w:val="en-US"/>
        </w:rPr>
        <w:t>to be protected against fire</w:t>
      </w:r>
    </w:p>
    <w:p w14:paraId="79F6A8C7" w14:textId="496C1834" w:rsidR="00F1180A" w:rsidRPr="00DD1B58" w:rsidRDefault="25A0F7DC" w:rsidP="355CB971">
      <w:pPr>
        <w:pStyle w:val="Bulletlist1"/>
        <w:numPr>
          <w:ilvl w:val="0"/>
          <w:numId w:val="0"/>
        </w:numPr>
        <w:rPr>
          <w:lang w:val="en-US"/>
        </w:rPr>
      </w:pPr>
      <w:r w:rsidRPr="00DD1B58">
        <w:rPr>
          <w:lang w:val="en-US"/>
        </w:rPr>
        <w:t xml:space="preserve">The overall process for deriving SFs from the MSFs is described in Section </w:t>
      </w:r>
      <w:r w:rsidR="54A09FFD" w:rsidRPr="00DD1B58">
        <w:rPr>
          <w:lang w:val="en-US"/>
        </w:rPr>
        <w:t>II-</w:t>
      </w:r>
      <w:r w:rsidRPr="00DD1B58">
        <w:rPr>
          <w:lang w:val="en-US"/>
        </w:rPr>
        <w:t>2.1.1.1</w:t>
      </w:r>
      <w:r w:rsidR="00E820CE" w:rsidRPr="00DD1B58">
        <w:rPr>
          <w:lang w:val="en-US"/>
        </w:rPr>
        <w:t xml:space="preserve"> and</w:t>
      </w:r>
      <w:r w:rsidR="57A3C628" w:rsidRPr="00DD1B58">
        <w:rPr>
          <w:lang w:val="en-US"/>
        </w:rPr>
        <w:t xml:space="preserve"> the licensee’s </w:t>
      </w:r>
      <w:r w:rsidR="00E820CE" w:rsidRPr="00DD1B58">
        <w:rPr>
          <w:lang w:val="en-US"/>
        </w:rPr>
        <w:t xml:space="preserve">self-assesment for TPR2 </w:t>
      </w:r>
      <w:sdt>
        <w:sdtPr>
          <w:rPr>
            <w:lang w:val="en-US"/>
          </w:rPr>
          <w:id w:val="-1332443102"/>
          <w:citation/>
        </w:sdtPr>
        <w:sdtContent>
          <w:r w:rsidR="00E820CE" w:rsidRPr="00DD1B58">
            <w:rPr>
              <w:lang w:val="en-US"/>
            </w:rPr>
            <w:fldChar w:fldCharType="begin"/>
          </w:r>
          <w:r w:rsidR="00E820CE" w:rsidRPr="00DD1B58">
            <w:rPr>
              <w:lang w:val="en-US"/>
            </w:rPr>
            <w:instrText xml:space="preserve"> CITATION NNB236 \l 2057 </w:instrText>
          </w:r>
          <w:r w:rsidR="00E820CE" w:rsidRPr="00DD1B58">
            <w:rPr>
              <w:lang w:val="en-US"/>
            </w:rPr>
            <w:fldChar w:fldCharType="separate"/>
          </w:r>
          <w:r w:rsidR="00DF47DA" w:rsidRPr="00DF47DA">
            <w:rPr>
              <w:lang w:val="en-US"/>
            </w:rPr>
            <w:t>[49]</w:t>
          </w:r>
          <w:r w:rsidR="00E820CE" w:rsidRPr="00DD1B58">
            <w:rPr>
              <w:lang w:val="en-US"/>
            </w:rPr>
            <w:fldChar w:fldCharType="end"/>
          </w:r>
        </w:sdtContent>
      </w:sdt>
      <w:r w:rsidR="00E820CE" w:rsidRPr="00DD1B58">
        <w:rPr>
          <w:lang w:val="en-US"/>
        </w:rPr>
        <w:t>.</w:t>
      </w:r>
    </w:p>
    <w:p w14:paraId="06B5D358" w14:textId="0FAC86B3" w:rsidR="00F1180A" w:rsidRPr="00DD1B58" w:rsidRDefault="007F4BBA" w:rsidP="355CB971">
      <w:pPr>
        <w:rPr>
          <w:noProof/>
          <w:szCs w:val="24"/>
          <w:lang w:val="en-US"/>
        </w:rPr>
      </w:pPr>
      <w:r w:rsidRPr="00DD1B58">
        <w:rPr>
          <w:noProof/>
          <w:lang w:val="en-US"/>
        </w:rPr>
        <w:t xml:space="preserve">NNB GenCo categorises </w:t>
      </w:r>
      <w:r w:rsidR="25A0F7DC" w:rsidRPr="00DD1B58">
        <w:rPr>
          <w:noProof/>
          <w:lang w:val="en-US"/>
        </w:rPr>
        <w:t>LLSFs based on their importance to safety</w:t>
      </w:r>
      <w:r w:rsidRPr="00DD1B58">
        <w:rPr>
          <w:noProof/>
          <w:lang w:val="en-US"/>
        </w:rPr>
        <w:t xml:space="preserve"> as follows:</w:t>
      </w:r>
    </w:p>
    <w:p w14:paraId="08798833" w14:textId="77777777" w:rsidR="00F1180A" w:rsidRPr="00DD1B58" w:rsidRDefault="47EFFD9B" w:rsidP="00973FF4">
      <w:pPr>
        <w:pStyle w:val="Bulletlist1"/>
        <w:rPr>
          <w:szCs w:val="24"/>
          <w:lang w:val="en-US"/>
        </w:rPr>
      </w:pPr>
      <w:r w:rsidRPr="00DD1B58">
        <w:rPr>
          <w:b/>
          <w:bCs/>
          <w:lang w:val="en-US"/>
        </w:rPr>
        <w:t>Category A:</w:t>
      </w:r>
      <w:r w:rsidRPr="00DD1B58">
        <w:rPr>
          <w:lang w:val="en-US"/>
        </w:rPr>
        <w:t xml:space="preserve"> any function that plays a principal role in ensuring nuclear safety;</w:t>
      </w:r>
    </w:p>
    <w:p w14:paraId="396ACCF7" w14:textId="77777777" w:rsidR="00F1180A" w:rsidRPr="00DD1B58" w:rsidRDefault="25A0F7DC" w:rsidP="00973FF4">
      <w:pPr>
        <w:pStyle w:val="Bulletlist1"/>
        <w:rPr>
          <w:szCs w:val="24"/>
          <w:lang w:val="en-US"/>
        </w:rPr>
      </w:pPr>
      <w:r w:rsidRPr="00DD1B58">
        <w:rPr>
          <w:b/>
          <w:bCs/>
          <w:lang w:val="en-US"/>
        </w:rPr>
        <w:t xml:space="preserve">Category B: </w:t>
      </w:r>
      <w:r w:rsidRPr="00DD1B58">
        <w:rPr>
          <w:lang w:val="en-US"/>
        </w:rPr>
        <w:t>any function that makes a significant contribution to nuclear safety;</w:t>
      </w:r>
      <w:r w:rsidR="00B55002" w:rsidRPr="00DD1B58">
        <w:rPr>
          <w:lang w:val="en-US"/>
        </w:rPr>
        <w:t xml:space="preserve"> and</w:t>
      </w:r>
    </w:p>
    <w:p w14:paraId="514601A9" w14:textId="77777777" w:rsidR="00F1180A" w:rsidRPr="00DD1B58" w:rsidRDefault="25A0F7DC" w:rsidP="00973FF4">
      <w:pPr>
        <w:pStyle w:val="Bulletlist1"/>
        <w:rPr>
          <w:szCs w:val="24"/>
          <w:lang w:val="en-US"/>
        </w:rPr>
      </w:pPr>
      <w:r w:rsidRPr="00DD1B58">
        <w:rPr>
          <w:b/>
          <w:bCs/>
          <w:lang w:val="en-US"/>
        </w:rPr>
        <w:t>Category C:</w:t>
      </w:r>
      <w:r w:rsidRPr="00DD1B58">
        <w:rPr>
          <w:lang w:val="en-US"/>
        </w:rPr>
        <w:t xml:space="preserve"> any other Safety Function (SFn).</w:t>
      </w:r>
    </w:p>
    <w:p w14:paraId="05BA99BF" w14:textId="53707107" w:rsidR="00F1180A" w:rsidRPr="00DD1B58" w:rsidRDefault="25A0F7DC" w:rsidP="355CB971">
      <w:pPr>
        <w:rPr>
          <w:noProof/>
          <w:szCs w:val="24"/>
          <w:lang w:val="en-US"/>
        </w:rPr>
      </w:pPr>
      <w:r w:rsidRPr="00DD1B58">
        <w:rPr>
          <w:noProof/>
          <w:lang w:val="en-US"/>
        </w:rPr>
        <w:t xml:space="preserve">Safety Features (SFs), which are the means of providing SFns, are classified as </w:t>
      </w:r>
      <w:r w:rsidR="00880A6B" w:rsidRPr="00DD1B58">
        <w:rPr>
          <w:noProof/>
          <w:lang w:val="en-US"/>
        </w:rPr>
        <w:t xml:space="preserve">class </w:t>
      </w:r>
      <w:r w:rsidRPr="00DD1B58">
        <w:rPr>
          <w:noProof/>
          <w:lang w:val="en-US"/>
        </w:rPr>
        <w:t xml:space="preserve">1, </w:t>
      </w:r>
      <w:r w:rsidR="00880A6B" w:rsidRPr="00DD1B58">
        <w:rPr>
          <w:noProof/>
          <w:lang w:val="en-US"/>
        </w:rPr>
        <w:t xml:space="preserve">class </w:t>
      </w:r>
      <w:r w:rsidRPr="00DD1B58">
        <w:rPr>
          <w:noProof/>
          <w:lang w:val="en-US"/>
        </w:rPr>
        <w:t xml:space="preserve">2 or </w:t>
      </w:r>
      <w:r w:rsidR="00880A6B" w:rsidRPr="00DD1B58">
        <w:rPr>
          <w:noProof/>
          <w:lang w:val="en-US"/>
        </w:rPr>
        <w:t xml:space="preserve">class </w:t>
      </w:r>
      <w:r w:rsidRPr="00DD1B58">
        <w:rPr>
          <w:noProof/>
          <w:lang w:val="en-US"/>
        </w:rPr>
        <w:t>3 based on the highest category of SFn they support and their role in providing the function. This allows the SFs providing the SFns to be designed, substantiated</w:t>
      </w:r>
      <w:r w:rsidR="681D1F8F" w:rsidRPr="00DD1B58">
        <w:rPr>
          <w:noProof/>
          <w:lang w:val="en-US"/>
        </w:rPr>
        <w:t xml:space="preserve"> and maintained in a manner proportionate to their importance to safety. The Safety Feature Groups (SFG) are classified as follows, and the criteria are shown in Figure 4 (from SCM </w:t>
      </w:r>
      <w:sdt>
        <w:sdtPr>
          <w:rPr>
            <w:noProof/>
            <w:lang w:val="en-US"/>
          </w:rPr>
          <w:id w:val="1742683495"/>
          <w:citation/>
        </w:sdtPr>
        <w:sdtContent>
          <w:r w:rsidR="005D38EB" w:rsidRPr="00DD1B58">
            <w:rPr>
              <w:noProof/>
              <w:lang w:val="en-US"/>
            </w:rPr>
            <w:fldChar w:fldCharType="begin"/>
          </w:r>
          <w:r w:rsidR="005D38EB" w:rsidRPr="00DD1B58">
            <w:rPr>
              <w:noProof/>
              <w:lang w:val="en-US"/>
            </w:rPr>
            <w:instrText xml:space="preserve"> CITATION NNB223 \l 2057 </w:instrText>
          </w:r>
          <w:r w:rsidR="005D38EB" w:rsidRPr="00DD1B58">
            <w:rPr>
              <w:noProof/>
              <w:lang w:val="en-US"/>
            </w:rPr>
            <w:fldChar w:fldCharType="separate"/>
          </w:r>
          <w:r w:rsidR="00DF47DA" w:rsidRPr="00DF47DA">
            <w:rPr>
              <w:noProof/>
              <w:lang w:val="en-US"/>
            </w:rPr>
            <w:t>[47]</w:t>
          </w:r>
          <w:r w:rsidR="005D38EB" w:rsidRPr="00DD1B58">
            <w:rPr>
              <w:noProof/>
              <w:lang w:val="en-US"/>
            </w:rPr>
            <w:fldChar w:fldCharType="end"/>
          </w:r>
        </w:sdtContent>
      </w:sdt>
      <w:r w:rsidR="681D1F8F" w:rsidRPr="00DD1B58">
        <w:rPr>
          <w:noProof/>
          <w:lang w:val="en-US"/>
        </w:rPr>
        <w:t>).</w:t>
      </w:r>
    </w:p>
    <w:p w14:paraId="62A8F6B2" w14:textId="2796AEC6" w:rsidR="00F1180A" w:rsidRPr="00DD1B58" w:rsidRDefault="007716BC" w:rsidP="00973FF4">
      <w:pPr>
        <w:pStyle w:val="Caption"/>
        <w:rPr>
          <w:lang w:val="en-US"/>
        </w:rPr>
      </w:pPr>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3</w:t>
      </w:r>
      <w:r w:rsidRPr="00DD1B58">
        <w:rPr>
          <w:lang w:val="en-US"/>
        </w:rPr>
        <w:fldChar w:fldCharType="end"/>
      </w:r>
      <w:r w:rsidRPr="00DD1B58">
        <w:rPr>
          <w:lang w:val="en-US"/>
        </w:rPr>
        <w:t xml:space="preserve">: </w:t>
      </w:r>
      <w:r w:rsidR="2C717D59" w:rsidRPr="00DD1B58">
        <w:rPr>
          <w:lang w:val="en-US"/>
        </w:rPr>
        <w:t xml:space="preserve">Relationship between </w:t>
      </w:r>
      <w:r w:rsidR="00880A6B" w:rsidRPr="00DD1B58">
        <w:rPr>
          <w:lang w:val="en-US"/>
        </w:rPr>
        <w:t xml:space="preserve">categorisation </w:t>
      </w:r>
      <w:r w:rsidR="2C717D59" w:rsidRPr="00DD1B58">
        <w:rPr>
          <w:lang w:val="en-US"/>
        </w:rPr>
        <w:t xml:space="preserve">of LLSFs and </w:t>
      </w:r>
      <w:r w:rsidR="00880A6B" w:rsidRPr="00DD1B58">
        <w:rPr>
          <w:lang w:val="en-US"/>
        </w:rPr>
        <w:t xml:space="preserve">classification </w:t>
      </w:r>
      <w:r w:rsidR="2C717D59" w:rsidRPr="00DD1B58">
        <w:rPr>
          <w:lang w:val="en-US"/>
        </w:rPr>
        <w:t xml:space="preserve">of </w:t>
      </w:r>
      <w:r w:rsidR="00880A6B" w:rsidRPr="00DD1B58">
        <w:rPr>
          <w:lang w:val="en-US"/>
        </w:rPr>
        <w:t xml:space="preserve">associated </w:t>
      </w:r>
      <w:r w:rsidR="2C717D59" w:rsidRPr="00DD1B58">
        <w:rPr>
          <w:lang w:val="en-US"/>
        </w:rPr>
        <w:t>SFGs</w:t>
      </w:r>
    </w:p>
    <w:p w14:paraId="070D015B" w14:textId="77777777" w:rsidR="00F1180A" w:rsidRPr="00DD1B58" w:rsidRDefault="53CBC1A6" w:rsidP="00973FF4">
      <w:pPr>
        <w:jc w:val="center"/>
        <w:rPr>
          <w:lang w:val="en-US"/>
        </w:rPr>
      </w:pPr>
      <w:r w:rsidRPr="00DD1B58">
        <w:rPr>
          <w:noProof/>
          <w:lang w:val="en-US"/>
        </w:rPr>
        <w:drawing>
          <wp:inline distT="0" distB="0" distL="0" distR="0" wp14:anchorId="12B499E4" wp14:editId="252DB221">
            <wp:extent cx="3891079" cy="2390775"/>
            <wp:effectExtent l="0" t="0" r="0" b="0"/>
            <wp:docPr id="710245174" name="Picture 710245174" descr="Category A of LLSF points to Safety Class 1 (first line of protection) and 2 (diverse line of protection)&#10;Category B of LLSF points to Safety Class 2 (first line of protection) and 3 (diverse line of protection)&#10;Category C of LLSF points to Safety Class 3 (first line of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45174" name="Picture 710245174" descr="Category A of LLSF points to Safety Class 1 (first line of protection) and 2 (diverse line of protection)&#10;Category B of LLSF points to Safety Class 2 (first line of protection) and 3 (diverse line of protection)&#10;Category C of LLSF points to Safety Class 3 (first line of protection)"/>
                    <pic:cNvPicPr/>
                  </pic:nvPicPr>
                  <pic:blipFill>
                    <a:blip r:embed="rId14">
                      <a:extLst>
                        <a:ext uri="{28A0092B-C50C-407E-A947-70E740481C1C}">
                          <a14:useLocalDpi xmlns:a14="http://schemas.microsoft.com/office/drawing/2010/main" val="0"/>
                        </a:ext>
                      </a:extLst>
                    </a:blip>
                    <a:stretch>
                      <a:fillRect/>
                    </a:stretch>
                  </pic:blipFill>
                  <pic:spPr>
                    <a:xfrm>
                      <a:off x="0" y="0"/>
                      <a:ext cx="3903767" cy="2398571"/>
                    </a:xfrm>
                    <a:prstGeom prst="rect">
                      <a:avLst/>
                    </a:prstGeom>
                  </pic:spPr>
                </pic:pic>
              </a:graphicData>
            </a:graphic>
          </wp:inline>
        </w:drawing>
      </w:r>
    </w:p>
    <w:p w14:paraId="18F9A8BF" w14:textId="77777777" w:rsidR="00F1180A" w:rsidRPr="00DD1B58" w:rsidRDefault="41B51695" w:rsidP="00973FF4">
      <w:pPr>
        <w:pStyle w:val="Bulletlist1"/>
        <w:rPr>
          <w:lang w:val="en-US"/>
        </w:rPr>
      </w:pPr>
      <w:r w:rsidRPr="00DD1B58">
        <w:rPr>
          <w:b/>
          <w:bCs/>
          <w:lang w:val="en-US"/>
        </w:rPr>
        <w:t xml:space="preserve">Class 1: </w:t>
      </w:r>
      <w:r w:rsidRPr="00DD1B58">
        <w:rPr>
          <w:lang w:val="en-US"/>
        </w:rPr>
        <w:t>Safety Feature Group provides a</w:t>
      </w:r>
      <w:r w:rsidRPr="00DD1B58">
        <w:rPr>
          <w:b/>
          <w:bCs/>
          <w:lang w:val="en-US"/>
        </w:rPr>
        <w:t xml:space="preserve"> principal </w:t>
      </w:r>
      <w:r w:rsidRPr="00DD1B58">
        <w:rPr>
          <w:lang w:val="en-US"/>
        </w:rPr>
        <w:t>means of fulfilling a Category A LLSF;</w:t>
      </w:r>
    </w:p>
    <w:p w14:paraId="3CCB7311" w14:textId="77777777" w:rsidR="00F1180A" w:rsidRPr="00DD1B58" w:rsidRDefault="41B51695" w:rsidP="00973FF4">
      <w:pPr>
        <w:pStyle w:val="Bulletlist1"/>
        <w:rPr>
          <w:szCs w:val="24"/>
          <w:lang w:val="en-US"/>
        </w:rPr>
      </w:pPr>
      <w:r w:rsidRPr="00DD1B58">
        <w:rPr>
          <w:b/>
          <w:bCs/>
          <w:lang w:val="en-US"/>
        </w:rPr>
        <w:t>Class 2:</w:t>
      </w:r>
      <w:r w:rsidRPr="00DD1B58">
        <w:rPr>
          <w:lang w:val="en-US"/>
        </w:rPr>
        <w:t xml:space="preserve"> Safety Feature Group provides a </w:t>
      </w:r>
      <w:r w:rsidRPr="00DD1B58">
        <w:rPr>
          <w:b/>
          <w:bCs/>
          <w:lang w:val="en-US"/>
        </w:rPr>
        <w:t>principal</w:t>
      </w:r>
      <w:r w:rsidRPr="00DD1B58">
        <w:rPr>
          <w:lang w:val="en-US"/>
        </w:rPr>
        <w:t xml:space="preserve"> means of fulfilling a Category B LLSF, or provides a </w:t>
      </w:r>
      <w:r w:rsidRPr="00DD1B58">
        <w:rPr>
          <w:b/>
          <w:bCs/>
          <w:lang w:val="en-US"/>
        </w:rPr>
        <w:t>diverse</w:t>
      </w:r>
      <w:r w:rsidRPr="00DD1B58">
        <w:rPr>
          <w:lang w:val="en-US"/>
        </w:rPr>
        <w:t xml:space="preserve"> means of fulfilling a Category A LLSF;</w:t>
      </w:r>
      <w:r w:rsidR="00005927" w:rsidRPr="00DD1B58">
        <w:rPr>
          <w:lang w:val="en-US"/>
        </w:rPr>
        <w:t xml:space="preserve"> and</w:t>
      </w:r>
    </w:p>
    <w:p w14:paraId="640A182F" w14:textId="77777777" w:rsidR="00F1180A" w:rsidRPr="00DD1B58" w:rsidRDefault="41B51695" w:rsidP="00973FF4">
      <w:pPr>
        <w:pStyle w:val="Bulletlist1"/>
        <w:rPr>
          <w:szCs w:val="24"/>
          <w:lang w:val="en-US"/>
        </w:rPr>
      </w:pPr>
      <w:r w:rsidRPr="00DD1B58">
        <w:rPr>
          <w:b/>
          <w:bCs/>
          <w:lang w:val="en-US"/>
        </w:rPr>
        <w:t>Class 3:</w:t>
      </w:r>
      <w:r w:rsidRPr="00DD1B58">
        <w:rPr>
          <w:lang w:val="en-US"/>
        </w:rPr>
        <w:t xml:space="preserve"> Safety Feature Group provides a </w:t>
      </w:r>
      <w:r w:rsidRPr="00DD1B58">
        <w:rPr>
          <w:b/>
          <w:bCs/>
          <w:lang w:val="en-US"/>
        </w:rPr>
        <w:t>principal</w:t>
      </w:r>
      <w:r w:rsidRPr="00DD1B58">
        <w:rPr>
          <w:lang w:val="en-US"/>
        </w:rPr>
        <w:t xml:space="preserve"> means of fulfilling a Category C LLSF, or provides a diverse means of fulfilling a Category B LLSF.</w:t>
      </w:r>
    </w:p>
    <w:p w14:paraId="4E92DB69" w14:textId="2A799D86" w:rsidR="00F1180A" w:rsidRPr="00DD1B58" w:rsidRDefault="459CDDA2" w:rsidP="355CB971">
      <w:pPr>
        <w:rPr>
          <w:lang w:val="en-US"/>
        </w:rPr>
      </w:pPr>
      <w:r w:rsidRPr="00DD1B58">
        <w:rPr>
          <w:lang w:val="en-US"/>
        </w:rPr>
        <w:t>Further detail on the categorisation of the LLSF-H and the factors consid</w:t>
      </w:r>
      <w:r w:rsidR="72C18160" w:rsidRPr="00DD1B58">
        <w:rPr>
          <w:lang w:val="en-US"/>
        </w:rPr>
        <w:t xml:space="preserve">ered, such as the frequency and </w:t>
      </w:r>
      <w:r w:rsidR="1A4AE4DE" w:rsidRPr="00DD1B58">
        <w:rPr>
          <w:lang w:val="en-US"/>
        </w:rPr>
        <w:t xml:space="preserve">dose band of the set of </w:t>
      </w:r>
      <w:r w:rsidR="72C18160" w:rsidRPr="00DD1B58">
        <w:rPr>
          <w:lang w:val="en-US"/>
        </w:rPr>
        <w:t xml:space="preserve">consequences is provided in the licensee’s </w:t>
      </w:r>
      <w:r w:rsidR="00A57423" w:rsidRPr="00DD1B58">
        <w:rPr>
          <w:lang w:val="en-US"/>
        </w:rPr>
        <w:t xml:space="preserve">self-assessment for TPR2 </w:t>
      </w:r>
      <w:sdt>
        <w:sdtPr>
          <w:rPr>
            <w:lang w:val="en-US"/>
          </w:rPr>
          <w:id w:val="-120691049"/>
          <w:citation/>
        </w:sdtPr>
        <w:sdtContent>
          <w:r w:rsidR="001F54DE" w:rsidRPr="00DD1B58">
            <w:rPr>
              <w:lang w:val="en-US"/>
            </w:rPr>
            <w:fldChar w:fldCharType="begin"/>
          </w:r>
          <w:r w:rsidR="001F54DE" w:rsidRPr="00DD1B58">
            <w:rPr>
              <w:lang w:val="en-US"/>
            </w:rPr>
            <w:instrText xml:space="preserve"> CITATION NNB236 \l 2057 </w:instrText>
          </w:r>
          <w:r w:rsidR="001F54DE" w:rsidRPr="00DD1B58">
            <w:rPr>
              <w:lang w:val="en-US"/>
            </w:rPr>
            <w:fldChar w:fldCharType="separate"/>
          </w:r>
          <w:r w:rsidR="00DF47DA" w:rsidRPr="00DF47DA">
            <w:rPr>
              <w:noProof/>
              <w:lang w:val="en-US"/>
            </w:rPr>
            <w:t>[49]</w:t>
          </w:r>
          <w:r w:rsidR="001F54DE" w:rsidRPr="00DD1B58">
            <w:rPr>
              <w:lang w:val="en-US"/>
            </w:rPr>
            <w:fldChar w:fldCharType="end"/>
          </w:r>
        </w:sdtContent>
      </w:sdt>
      <w:r w:rsidR="00880A90" w:rsidRPr="00DD1B58">
        <w:rPr>
          <w:lang w:val="en-US"/>
        </w:rPr>
        <w:t>.</w:t>
      </w:r>
    </w:p>
    <w:p w14:paraId="72F82462" w14:textId="71CE625D" w:rsidR="00F1180A" w:rsidRPr="00DD1B58" w:rsidRDefault="5431BC52" w:rsidP="004E2431">
      <w:pPr>
        <w:pStyle w:val="Heading4"/>
        <w:numPr>
          <w:ilvl w:val="4"/>
          <w:numId w:val="3"/>
        </w:numPr>
        <w:rPr>
          <w:lang w:val="en-US"/>
        </w:rPr>
      </w:pPr>
      <w:r w:rsidRPr="00DD1B58">
        <w:rPr>
          <w:lang w:val="en-US"/>
        </w:rPr>
        <w:t xml:space="preserve">Assessment of </w:t>
      </w:r>
      <w:r w:rsidR="00005927" w:rsidRPr="00DD1B58">
        <w:rPr>
          <w:lang w:val="en-US"/>
        </w:rPr>
        <w:t>fire loading</w:t>
      </w:r>
    </w:p>
    <w:p w14:paraId="3498AA41" w14:textId="1BD4EC50" w:rsidR="00F1180A" w:rsidRPr="00DD1B58" w:rsidRDefault="00981B30" w:rsidP="355CB971">
      <w:pPr>
        <w:rPr>
          <w:lang w:val="en-US"/>
        </w:rPr>
      </w:pPr>
      <w:r w:rsidRPr="00DD1B58">
        <w:rPr>
          <w:lang w:val="en-US"/>
        </w:rPr>
        <w:t>NNB GenCo’s</w:t>
      </w:r>
      <w:r w:rsidR="46E0F0B4" w:rsidRPr="00DD1B58">
        <w:rPr>
          <w:lang w:val="en-US"/>
        </w:rPr>
        <w:t xml:space="preserve"> method to quantify the fire load inventory is given in the ‘Guidance for fire load inventory’ </w:t>
      </w:r>
      <w:sdt>
        <w:sdtPr>
          <w:rPr>
            <w:lang w:val="en-US"/>
          </w:rPr>
          <w:id w:val="1251536991"/>
          <w:citation/>
        </w:sdtPr>
        <w:sdtContent>
          <w:r w:rsidR="0070057F" w:rsidRPr="00DD1B58">
            <w:rPr>
              <w:lang w:val="en-US"/>
            </w:rPr>
            <w:fldChar w:fldCharType="begin"/>
          </w:r>
          <w:r w:rsidR="0070057F" w:rsidRPr="00DD1B58">
            <w:rPr>
              <w:lang w:val="en-US"/>
            </w:rPr>
            <w:instrText xml:space="preserve"> CITATION NNB191 \l 2057 </w:instrText>
          </w:r>
          <w:r w:rsidR="0070057F" w:rsidRPr="00DD1B58">
            <w:rPr>
              <w:lang w:val="en-US"/>
            </w:rPr>
            <w:fldChar w:fldCharType="separate"/>
          </w:r>
          <w:r w:rsidR="00DF47DA" w:rsidRPr="00DF47DA">
            <w:rPr>
              <w:noProof/>
              <w:lang w:val="en-US"/>
            </w:rPr>
            <w:t>[58]</w:t>
          </w:r>
          <w:r w:rsidR="0070057F" w:rsidRPr="00DD1B58">
            <w:rPr>
              <w:lang w:val="en-US"/>
            </w:rPr>
            <w:fldChar w:fldCharType="end"/>
          </w:r>
        </w:sdtContent>
      </w:sdt>
      <w:r w:rsidR="46E0F0B4" w:rsidRPr="00DD1B58">
        <w:rPr>
          <w:lang w:val="en-US"/>
        </w:rPr>
        <w:t>. A short summary of some of the key assumptions is given below.</w:t>
      </w:r>
    </w:p>
    <w:p w14:paraId="5FC853C2" w14:textId="77777777" w:rsidR="00F1180A" w:rsidRPr="00DD1B58" w:rsidRDefault="46E0F0B4" w:rsidP="00973FF4">
      <w:pPr>
        <w:pStyle w:val="Bulletlist1"/>
        <w:rPr>
          <w:lang w:val="en-US"/>
        </w:rPr>
      </w:pPr>
      <w:r w:rsidRPr="00DD1B58">
        <w:rPr>
          <w:lang w:val="en-US"/>
        </w:rPr>
        <w:t>An assessment has been made of a broad range of cables qualified for use on the EPR and the assumed fire load is 18.8 MJ/kg of total cable mass (including both combustible and non-combustible parts). This is not an average value but a conservative value (few individual cable types exceed that value). Cable trays are assumed to be filled to 80% capacity (there is a design requirement to maintain 20% spare capacity).</w:t>
      </w:r>
    </w:p>
    <w:p w14:paraId="234212A5" w14:textId="77777777" w:rsidR="00F1180A" w:rsidRPr="00DD1B58" w:rsidRDefault="46E0F0B4" w:rsidP="00973FF4">
      <w:pPr>
        <w:pStyle w:val="Bulletlist1"/>
        <w:rPr>
          <w:lang w:val="en-US"/>
        </w:rPr>
      </w:pPr>
      <w:r w:rsidRPr="00DD1B58">
        <w:rPr>
          <w:lang w:val="en-US"/>
        </w:rPr>
        <w:t>Electrical cabinets are assumed to have a fire loading equivalent to 850</w:t>
      </w:r>
      <w:r w:rsidR="00005927" w:rsidRPr="00DD1B58">
        <w:rPr>
          <w:lang w:val="en-US"/>
        </w:rPr>
        <w:t xml:space="preserve"> </w:t>
      </w:r>
      <w:r w:rsidRPr="00DD1B58">
        <w:rPr>
          <w:lang w:val="en-US"/>
        </w:rPr>
        <w:t>MJ/m</w:t>
      </w:r>
      <w:r w:rsidRPr="00DD1B58">
        <w:rPr>
          <w:vertAlign w:val="superscript"/>
          <w:lang w:val="en-US"/>
        </w:rPr>
        <w:t>3</w:t>
      </w:r>
      <w:r w:rsidRPr="00DD1B58">
        <w:rPr>
          <w:lang w:val="en-US"/>
        </w:rPr>
        <w:t xml:space="preserve"> of cabinet volume.</w:t>
      </w:r>
      <w:r w:rsidR="006B1006" w:rsidRPr="00DD1B58">
        <w:rPr>
          <w:lang w:val="en-US"/>
        </w:rPr>
        <w:t xml:space="preserve"> </w:t>
      </w:r>
      <w:r w:rsidRPr="00DD1B58">
        <w:rPr>
          <w:lang w:val="en-US"/>
        </w:rPr>
        <w:t>Combustible liquids are assumed to have a fire loading of 46.4 MJ/kg.</w:t>
      </w:r>
      <w:r w:rsidR="006B1006" w:rsidRPr="00DD1B58">
        <w:rPr>
          <w:lang w:val="en-US"/>
        </w:rPr>
        <w:t xml:space="preserve"> </w:t>
      </w:r>
      <w:r w:rsidRPr="00DD1B58">
        <w:rPr>
          <w:lang w:val="en-US"/>
        </w:rPr>
        <w:t>Different values are assigned to electric motors depending on the power rating of the motor.</w:t>
      </w:r>
    </w:p>
    <w:p w14:paraId="38D1FD43" w14:textId="17016AEA" w:rsidR="00F1180A" w:rsidRPr="00DD1B58" w:rsidRDefault="46E0F0B4" w:rsidP="00973FF4">
      <w:pPr>
        <w:pStyle w:val="Bulletlist1"/>
        <w:rPr>
          <w:lang w:val="en-US"/>
        </w:rPr>
      </w:pPr>
      <w:r w:rsidRPr="00DD1B58">
        <w:rPr>
          <w:lang w:val="en-US"/>
        </w:rPr>
        <w:t>The main input data is the 3D model, TAG</w:t>
      </w:r>
      <w:r w:rsidR="00005927" w:rsidRPr="00DD1B58">
        <w:rPr>
          <w:lang w:val="en-US"/>
        </w:rPr>
        <w:t>s</w:t>
      </w:r>
      <w:r w:rsidRPr="00DD1B58">
        <w:rPr>
          <w:lang w:val="en-US"/>
        </w:rPr>
        <w:t xml:space="preserve"> database and equipment supplier data.</w:t>
      </w:r>
      <w:r w:rsidR="006B1006" w:rsidRPr="00DD1B58">
        <w:rPr>
          <w:lang w:val="en-US"/>
        </w:rPr>
        <w:t xml:space="preserve"> </w:t>
      </w:r>
      <w:r w:rsidRPr="00DD1B58">
        <w:rPr>
          <w:lang w:val="en-US"/>
        </w:rPr>
        <w:t>If the fire loading associated with suppliers’ equipment is not known, then bounding conservative assumptions are made for the initial analysis. The analysis will then be rechecked once the suppliers have confirmed the fire loading for their equipment to ensure that the actual loading remains bounded by the initial assumptions.</w:t>
      </w:r>
    </w:p>
    <w:p w14:paraId="6AEDCB74" w14:textId="77777777" w:rsidR="00F1180A" w:rsidRPr="00DD1B58" w:rsidRDefault="46E0F0B4" w:rsidP="355CB971">
      <w:pPr>
        <w:rPr>
          <w:lang w:val="en-US"/>
        </w:rPr>
      </w:pPr>
      <w:r w:rsidRPr="00DD1B58">
        <w:rPr>
          <w:lang w:val="en-US"/>
        </w:rPr>
        <w:t>HPC is still under construction, so routine surveillance of actual fire loading is not currently being carried out. Procedures being developed for the operational phase of the station are anticipated to include a requirement for fire load surveillance.</w:t>
      </w:r>
    </w:p>
    <w:p w14:paraId="3FA3125C" w14:textId="77777777" w:rsidR="00F1180A" w:rsidRPr="00DD1B58" w:rsidRDefault="46E0F0B4" w:rsidP="004E2431">
      <w:pPr>
        <w:pStyle w:val="Heading4"/>
        <w:numPr>
          <w:ilvl w:val="4"/>
          <w:numId w:val="3"/>
        </w:numPr>
        <w:rPr>
          <w:lang w:val="en-US"/>
        </w:rPr>
      </w:pPr>
      <w:r w:rsidRPr="00DD1B58">
        <w:rPr>
          <w:lang w:val="en-US"/>
        </w:rPr>
        <w:t xml:space="preserve">Characterisation </w:t>
      </w:r>
      <w:r w:rsidR="009A6A8A" w:rsidRPr="00DD1B58">
        <w:rPr>
          <w:lang w:val="en-US"/>
        </w:rPr>
        <w:t>and control of transient combustibles</w:t>
      </w:r>
    </w:p>
    <w:p w14:paraId="6E041894" w14:textId="568CCABB" w:rsidR="00F1180A" w:rsidRPr="00DD1B58" w:rsidRDefault="00161214" w:rsidP="355CB971">
      <w:pPr>
        <w:rPr>
          <w:lang w:val="en-US"/>
        </w:rPr>
      </w:pPr>
      <w:r w:rsidRPr="00DD1B58">
        <w:rPr>
          <w:lang w:val="en-US"/>
        </w:rPr>
        <w:t>NNB GenC</w:t>
      </w:r>
      <w:r w:rsidR="009A6A8A" w:rsidRPr="00DD1B58">
        <w:rPr>
          <w:lang w:val="en-US"/>
        </w:rPr>
        <w:t>o</w:t>
      </w:r>
      <w:r w:rsidRPr="00DD1B58">
        <w:rPr>
          <w:lang w:val="en-US"/>
        </w:rPr>
        <w:t xml:space="preserve"> has not counted t</w:t>
      </w:r>
      <w:r w:rsidR="46E0F0B4" w:rsidRPr="00DD1B58">
        <w:rPr>
          <w:lang w:val="en-US"/>
        </w:rPr>
        <w:t xml:space="preserve">ransient combustible materials in the </w:t>
      </w:r>
      <w:r w:rsidRPr="00DD1B58">
        <w:rPr>
          <w:lang w:val="en-US"/>
        </w:rPr>
        <w:t>inventory of</w:t>
      </w:r>
      <w:r w:rsidR="46E0F0B4" w:rsidRPr="00DD1B58">
        <w:rPr>
          <w:lang w:val="en-US"/>
        </w:rPr>
        <w:t xml:space="preserve"> fire loads, but </w:t>
      </w:r>
      <w:r w:rsidRPr="00DD1B58">
        <w:rPr>
          <w:lang w:val="en-US"/>
        </w:rPr>
        <w:t xml:space="preserve">included </w:t>
      </w:r>
      <w:r w:rsidR="46E0F0B4" w:rsidRPr="00DD1B58">
        <w:rPr>
          <w:lang w:val="en-US"/>
        </w:rPr>
        <w:t xml:space="preserve">margins for fire load inventory input data to allow for potential late modifications or temporary storage during the life of the plant without invalidating the assessment. Details of the procedural controls for fire loading are currently still under development </w:t>
      </w:r>
      <w:r w:rsidR="00E909FD" w:rsidRPr="00DD1B58">
        <w:rPr>
          <w:lang w:val="en-US"/>
        </w:rPr>
        <w:t>by NNB GenCo</w:t>
      </w:r>
      <w:r w:rsidR="009A6A8A" w:rsidRPr="00DD1B58">
        <w:rPr>
          <w:lang w:val="en-US"/>
        </w:rPr>
        <w:t>,</w:t>
      </w:r>
      <w:r w:rsidR="00E909FD" w:rsidRPr="00DD1B58">
        <w:rPr>
          <w:lang w:val="en-US"/>
        </w:rPr>
        <w:t xml:space="preserve"> who acknowledge that </w:t>
      </w:r>
      <w:r w:rsidR="009A6A8A" w:rsidRPr="00DD1B58">
        <w:rPr>
          <w:lang w:val="en-US"/>
        </w:rPr>
        <w:t xml:space="preserve">they </w:t>
      </w:r>
      <w:r w:rsidR="00E909FD" w:rsidRPr="00DD1B58">
        <w:rPr>
          <w:lang w:val="en-US"/>
        </w:rPr>
        <w:t xml:space="preserve">may need </w:t>
      </w:r>
      <w:r w:rsidR="009A6A8A" w:rsidRPr="00DD1B58">
        <w:rPr>
          <w:lang w:val="en-US"/>
        </w:rPr>
        <w:t>t</w:t>
      </w:r>
      <w:r w:rsidR="00E909FD" w:rsidRPr="00DD1B58">
        <w:rPr>
          <w:lang w:val="en-US"/>
        </w:rPr>
        <w:t>o</w:t>
      </w:r>
      <w:r w:rsidR="46E0F0B4" w:rsidRPr="00DD1B58">
        <w:rPr>
          <w:lang w:val="en-US"/>
        </w:rPr>
        <w:t xml:space="preserve"> include limits on transient combustibles in particular areas. </w:t>
      </w:r>
      <w:r w:rsidR="005344A1" w:rsidRPr="00DD1B58">
        <w:rPr>
          <w:lang w:val="en-US"/>
        </w:rPr>
        <w:t>NNB GenCo confirmed that a</w:t>
      </w:r>
      <w:r w:rsidR="46E0F0B4" w:rsidRPr="00DD1B58">
        <w:rPr>
          <w:lang w:val="en-US"/>
        </w:rPr>
        <w:t xml:space="preserve">ny subsequent changes to transient combustibles </w:t>
      </w:r>
      <w:r w:rsidR="005344A1" w:rsidRPr="00DD1B58">
        <w:rPr>
          <w:lang w:val="en-US"/>
        </w:rPr>
        <w:t xml:space="preserve">would </w:t>
      </w:r>
      <w:r w:rsidR="46E0F0B4" w:rsidRPr="00DD1B58">
        <w:rPr>
          <w:lang w:val="en-US"/>
        </w:rPr>
        <w:t>be assessed as part of the modification control process to check whether they challenge the fire loading on which the analysis and safety case are based.</w:t>
      </w:r>
    </w:p>
    <w:p w14:paraId="2E2FD8B5" w14:textId="26821254" w:rsidR="00F1180A" w:rsidRPr="00DD1B58" w:rsidRDefault="46E0F0B4" w:rsidP="004E2431">
      <w:pPr>
        <w:pStyle w:val="Heading4"/>
        <w:numPr>
          <w:ilvl w:val="4"/>
          <w:numId w:val="3"/>
        </w:numPr>
        <w:rPr>
          <w:lang w:val="en-US"/>
        </w:rPr>
      </w:pPr>
      <w:r w:rsidRPr="00DD1B58">
        <w:rPr>
          <w:lang w:val="en-US"/>
        </w:rPr>
        <w:t xml:space="preserve">Fire </w:t>
      </w:r>
      <w:r w:rsidR="009A6A8A" w:rsidRPr="00DD1B58">
        <w:rPr>
          <w:lang w:val="en-US"/>
        </w:rPr>
        <w:t>service i</w:t>
      </w:r>
      <w:r w:rsidRPr="00DD1B58">
        <w:rPr>
          <w:lang w:val="en-US"/>
        </w:rPr>
        <w:t>ntervent</w:t>
      </w:r>
      <w:r w:rsidR="25E1D0B9" w:rsidRPr="00DD1B58">
        <w:rPr>
          <w:lang w:val="en-US"/>
        </w:rPr>
        <w:t>io</w:t>
      </w:r>
      <w:r w:rsidRPr="00DD1B58">
        <w:rPr>
          <w:lang w:val="en-US"/>
        </w:rPr>
        <w:t>n</w:t>
      </w:r>
      <w:r w:rsidR="00F1180A" w:rsidRPr="00DD1B58">
        <w:rPr>
          <w:lang w:val="en-US"/>
        </w:rPr>
        <w:tab/>
      </w:r>
    </w:p>
    <w:p w14:paraId="7C9963CE" w14:textId="120B6D8B" w:rsidR="00F1180A" w:rsidRPr="00DD1B58" w:rsidRDefault="005344A1" w:rsidP="355CB971">
      <w:pPr>
        <w:rPr>
          <w:lang w:val="en-US"/>
        </w:rPr>
      </w:pPr>
      <w:r w:rsidRPr="00DD1B58">
        <w:rPr>
          <w:lang w:val="en-US"/>
        </w:rPr>
        <w:t>NNB GenCo does not claim f</w:t>
      </w:r>
      <w:r w:rsidR="46E0F0B4" w:rsidRPr="00DD1B58">
        <w:rPr>
          <w:lang w:val="en-US"/>
        </w:rPr>
        <w:t>ire service intervention</w:t>
      </w:r>
      <w:r w:rsidRPr="00DD1B58">
        <w:rPr>
          <w:lang w:val="en-US"/>
        </w:rPr>
        <w:t xml:space="preserve"> </w:t>
      </w:r>
      <w:r w:rsidR="46E0F0B4" w:rsidRPr="00DD1B58">
        <w:rPr>
          <w:lang w:val="en-US"/>
        </w:rPr>
        <w:t xml:space="preserve">as a deterministic safety measure for nuclear safety, because the preventive and protective measures described in Section </w:t>
      </w:r>
      <w:r w:rsidR="72E1792D" w:rsidRPr="00DD1B58">
        <w:rPr>
          <w:lang w:val="en-US"/>
        </w:rPr>
        <w:t>A</w:t>
      </w:r>
      <w:r w:rsidR="50281FE4" w:rsidRPr="00DD1B58">
        <w:rPr>
          <w:lang w:val="en-US"/>
        </w:rPr>
        <w:t>-I</w:t>
      </w:r>
      <w:r w:rsidR="5A357455" w:rsidRPr="00DD1B58">
        <w:rPr>
          <w:lang w:val="en-US"/>
        </w:rPr>
        <w:t>I-</w:t>
      </w:r>
      <w:r w:rsidR="46E0F0B4" w:rsidRPr="00DD1B58">
        <w:rPr>
          <w:lang w:val="en-US"/>
        </w:rPr>
        <w:t xml:space="preserve">3.1, </w:t>
      </w:r>
      <w:r w:rsidR="18678F64" w:rsidRPr="00DD1B58">
        <w:rPr>
          <w:lang w:val="en-US"/>
        </w:rPr>
        <w:t>A</w:t>
      </w:r>
      <w:r w:rsidR="059CE4E3" w:rsidRPr="00DD1B58">
        <w:rPr>
          <w:lang w:val="en-US"/>
        </w:rPr>
        <w:t>-I</w:t>
      </w:r>
      <w:r w:rsidR="18678F64" w:rsidRPr="00DD1B58">
        <w:rPr>
          <w:lang w:val="en-US"/>
        </w:rPr>
        <w:t>I</w:t>
      </w:r>
      <w:r w:rsidR="79C7847D" w:rsidRPr="00DD1B58">
        <w:rPr>
          <w:lang w:val="en-US"/>
        </w:rPr>
        <w:t>-</w:t>
      </w:r>
      <w:r w:rsidR="46E0F0B4" w:rsidRPr="00DD1B58">
        <w:rPr>
          <w:lang w:val="en-US"/>
        </w:rPr>
        <w:t xml:space="preserve">3.2 and </w:t>
      </w:r>
      <w:r w:rsidR="44CEA919" w:rsidRPr="00DD1B58">
        <w:rPr>
          <w:lang w:val="en-US"/>
        </w:rPr>
        <w:t>A</w:t>
      </w:r>
      <w:r w:rsidR="215688C8" w:rsidRPr="00DD1B58">
        <w:rPr>
          <w:lang w:val="en-US"/>
        </w:rPr>
        <w:t>-I</w:t>
      </w:r>
      <w:r w:rsidR="5CDC1F86" w:rsidRPr="00DD1B58">
        <w:rPr>
          <w:lang w:val="en-US"/>
        </w:rPr>
        <w:t>I-</w:t>
      </w:r>
      <w:r w:rsidR="46E0F0B4" w:rsidRPr="00DD1B58">
        <w:rPr>
          <w:lang w:val="en-US"/>
        </w:rPr>
        <w:t>3.3 are claimed instead. Intervention is however included as a safety measure for life safety, taking account of other relevant hazards such as radiation</w:t>
      </w:r>
      <w:r w:rsidR="00DC532C" w:rsidRPr="00DD1B58">
        <w:rPr>
          <w:lang w:val="en-US"/>
        </w:rPr>
        <w:t>,</w:t>
      </w:r>
      <w:r w:rsidR="46E0F0B4" w:rsidRPr="00DD1B58">
        <w:rPr>
          <w:lang w:val="en-US"/>
        </w:rPr>
        <w:t xml:space="preserve"> contamination, criticality and spent fuel water chemistry</w:t>
      </w:r>
      <w:r w:rsidR="00DC532C" w:rsidRPr="00DD1B58">
        <w:rPr>
          <w:lang w:val="en-US"/>
        </w:rPr>
        <w:t>. T</w:t>
      </w:r>
      <w:r w:rsidR="46E0F0B4" w:rsidRPr="00DD1B58">
        <w:rPr>
          <w:lang w:val="en-US"/>
        </w:rPr>
        <w:t>he HPC design includes features such as firefighting stairs, corridors and lobbies, dry risers</w:t>
      </w:r>
      <w:r w:rsidR="00DC532C" w:rsidRPr="00DD1B58">
        <w:rPr>
          <w:lang w:val="en-US"/>
        </w:rPr>
        <w:t xml:space="preserve"> and</w:t>
      </w:r>
      <w:r w:rsidR="46E0F0B4" w:rsidRPr="00DD1B58">
        <w:rPr>
          <w:lang w:val="en-US"/>
        </w:rPr>
        <w:t xml:space="preserve"> communication facilities. Intervention is also important for business continuity.</w:t>
      </w:r>
    </w:p>
    <w:p w14:paraId="2396BDB0" w14:textId="77777777" w:rsidR="00F1180A" w:rsidRPr="00DD1B58" w:rsidRDefault="62BC7775" w:rsidP="004E2431">
      <w:pPr>
        <w:pStyle w:val="Heading4"/>
        <w:numPr>
          <w:ilvl w:val="4"/>
          <w:numId w:val="3"/>
        </w:numPr>
        <w:rPr>
          <w:lang w:val="en-US"/>
        </w:rPr>
      </w:pPr>
      <w:r w:rsidRPr="00DD1B58">
        <w:rPr>
          <w:lang w:val="en-US"/>
        </w:rPr>
        <w:t>Fire PSA</w:t>
      </w:r>
    </w:p>
    <w:p w14:paraId="68F7D97C" w14:textId="33881340" w:rsidR="00F1180A" w:rsidRPr="00DD1B58" w:rsidRDefault="00F7727E" w:rsidP="355CB971">
      <w:pPr>
        <w:rPr>
          <w:lang w:val="en-US"/>
        </w:rPr>
      </w:pPr>
      <w:r w:rsidRPr="00DD1B58">
        <w:rPr>
          <w:lang w:val="en-US"/>
        </w:rPr>
        <w:t>NNB GenC</w:t>
      </w:r>
      <w:r w:rsidR="00376E3F" w:rsidRPr="00DD1B58">
        <w:rPr>
          <w:lang w:val="en-US"/>
        </w:rPr>
        <w:t>o</w:t>
      </w:r>
      <w:r w:rsidRPr="00DD1B58">
        <w:rPr>
          <w:lang w:val="en-US"/>
        </w:rPr>
        <w:t xml:space="preserve"> is currently developing the</w:t>
      </w:r>
      <w:r w:rsidR="5F16AF2F" w:rsidRPr="00DD1B58">
        <w:rPr>
          <w:lang w:val="en-US"/>
        </w:rPr>
        <w:t xml:space="preserve"> </w:t>
      </w:r>
      <w:r w:rsidR="00DC532C" w:rsidRPr="00DD1B58">
        <w:rPr>
          <w:lang w:val="en-US"/>
        </w:rPr>
        <w:t xml:space="preserve">fire </w:t>
      </w:r>
      <w:r w:rsidR="5F16AF2F" w:rsidRPr="00DD1B58">
        <w:rPr>
          <w:lang w:val="en-US"/>
        </w:rPr>
        <w:t>PSA to support the current HPC design</w:t>
      </w:r>
      <w:r w:rsidR="00DC532C" w:rsidRPr="00DD1B58">
        <w:rPr>
          <w:lang w:val="en-US"/>
        </w:rPr>
        <w:t xml:space="preserve">, which </w:t>
      </w:r>
      <w:r w:rsidRPr="00DD1B58">
        <w:rPr>
          <w:lang w:val="en-US"/>
        </w:rPr>
        <w:t>will be</w:t>
      </w:r>
      <w:r w:rsidR="5F16AF2F" w:rsidRPr="00DD1B58">
        <w:rPr>
          <w:lang w:val="en-US"/>
        </w:rPr>
        <w:t xml:space="preserve"> reported on timescales commensurate with the HPC Pre-Commissioning Safety Report (PCmSR) report</w:t>
      </w:r>
      <w:r w:rsidRPr="00DD1B58">
        <w:rPr>
          <w:lang w:val="en-US"/>
        </w:rPr>
        <w:t xml:space="preserve">, As </w:t>
      </w:r>
      <w:r w:rsidR="5F16AF2F" w:rsidRPr="00DD1B58">
        <w:rPr>
          <w:lang w:val="en-US"/>
        </w:rPr>
        <w:t>such</w:t>
      </w:r>
      <w:r w:rsidRPr="00DD1B58">
        <w:rPr>
          <w:lang w:val="en-US"/>
        </w:rPr>
        <w:t>, NNB GenC</w:t>
      </w:r>
      <w:r w:rsidR="00376E3F" w:rsidRPr="00DD1B58">
        <w:rPr>
          <w:lang w:val="en-US"/>
        </w:rPr>
        <w:t>o</w:t>
      </w:r>
      <w:r w:rsidRPr="00DD1B58">
        <w:rPr>
          <w:lang w:val="en-US"/>
        </w:rPr>
        <w:t xml:space="preserve"> considers that it would be </w:t>
      </w:r>
      <w:r w:rsidR="5F16AF2F" w:rsidRPr="00DD1B58">
        <w:rPr>
          <w:lang w:val="en-US"/>
        </w:rPr>
        <w:t xml:space="preserve">premature to provide any indication of risk at this time. Currently the work is undergoing </w:t>
      </w:r>
      <w:r w:rsidR="00DC532C" w:rsidRPr="00DD1B58">
        <w:rPr>
          <w:lang w:val="en-US"/>
        </w:rPr>
        <w:t xml:space="preserve">phase </w:t>
      </w:r>
      <w:r w:rsidR="5F16AF2F" w:rsidRPr="00DD1B58">
        <w:rPr>
          <w:lang w:val="en-US"/>
        </w:rPr>
        <w:t xml:space="preserve">3 (as presented in Section </w:t>
      </w:r>
      <w:r w:rsidR="229EE56D" w:rsidRPr="00DD1B58">
        <w:rPr>
          <w:lang w:val="en-US"/>
        </w:rPr>
        <w:t>II-</w:t>
      </w:r>
      <w:r w:rsidR="5F16AF2F" w:rsidRPr="00DD1B58">
        <w:rPr>
          <w:lang w:val="en-US"/>
        </w:rPr>
        <w:t>2.1.1.4) and is being applied to the whole HPC plant for all reactor states</w:t>
      </w:r>
      <w:r w:rsidR="00DC532C" w:rsidRPr="00DD1B58">
        <w:rPr>
          <w:lang w:val="en-US"/>
        </w:rPr>
        <w:t xml:space="preserve"> –</w:t>
      </w:r>
      <w:r w:rsidR="5F16AF2F" w:rsidRPr="00DD1B58">
        <w:rPr>
          <w:lang w:val="en-US"/>
        </w:rPr>
        <w:t xml:space="preserve"> initially for the </w:t>
      </w:r>
      <w:r w:rsidR="00DC532C" w:rsidRPr="00DD1B58">
        <w:rPr>
          <w:lang w:val="en-US"/>
        </w:rPr>
        <w:t xml:space="preserve">level </w:t>
      </w:r>
      <w:r w:rsidR="5F16AF2F" w:rsidRPr="00DD1B58">
        <w:rPr>
          <w:lang w:val="en-US"/>
        </w:rPr>
        <w:t xml:space="preserve">1 PSA, with it being extended to the </w:t>
      </w:r>
      <w:r w:rsidR="00DC532C" w:rsidRPr="00DD1B58">
        <w:rPr>
          <w:lang w:val="en-US"/>
        </w:rPr>
        <w:t xml:space="preserve">level </w:t>
      </w:r>
      <w:r w:rsidR="5F16AF2F" w:rsidRPr="00DD1B58">
        <w:rPr>
          <w:lang w:val="en-US"/>
        </w:rPr>
        <w:t xml:space="preserve">2 and </w:t>
      </w:r>
      <w:r w:rsidR="00DC532C" w:rsidRPr="00DD1B58">
        <w:rPr>
          <w:lang w:val="en-US"/>
        </w:rPr>
        <w:t xml:space="preserve">level </w:t>
      </w:r>
      <w:r w:rsidR="5F16AF2F" w:rsidRPr="00DD1B58">
        <w:rPr>
          <w:lang w:val="en-US"/>
        </w:rPr>
        <w:t>3 PSA on PCmSR timescales.</w:t>
      </w:r>
    </w:p>
    <w:p w14:paraId="075F4E01" w14:textId="159F8217" w:rsidR="00F1180A" w:rsidRPr="00DD1B58" w:rsidRDefault="1A474692" w:rsidP="001552D0">
      <w:pPr>
        <w:pStyle w:val="Heading4"/>
        <w:numPr>
          <w:ilvl w:val="4"/>
          <w:numId w:val="3"/>
        </w:numPr>
        <w:rPr>
          <w:lang w:val="en-US"/>
        </w:rPr>
      </w:pPr>
      <w:r w:rsidRPr="00DD1B58">
        <w:rPr>
          <w:lang w:val="en-US"/>
        </w:rPr>
        <w:t xml:space="preserve">Change </w:t>
      </w:r>
      <w:r w:rsidR="00DC532C" w:rsidRPr="00DD1B58">
        <w:rPr>
          <w:lang w:val="en-US"/>
        </w:rPr>
        <w:t>management</w:t>
      </w:r>
    </w:p>
    <w:p w14:paraId="6E403BAD" w14:textId="11FE3E1E" w:rsidR="00F1180A" w:rsidRPr="00DD1B58" w:rsidRDefault="00A97636" w:rsidP="355CB971">
      <w:pPr>
        <w:rPr>
          <w:lang w:val="en-US"/>
        </w:rPr>
      </w:pPr>
      <w:r w:rsidRPr="00DD1B58">
        <w:rPr>
          <w:lang w:val="en-US"/>
        </w:rPr>
        <w:t>NNB GenC</w:t>
      </w:r>
      <w:r w:rsidR="00303DCB" w:rsidRPr="00DD1B58">
        <w:rPr>
          <w:lang w:val="en-US"/>
        </w:rPr>
        <w:t>o</w:t>
      </w:r>
      <w:r w:rsidRPr="00DD1B58">
        <w:rPr>
          <w:lang w:val="en-US"/>
        </w:rPr>
        <w:t xml:space="preserve"> state</w:t>
      </w:r>
      <w:r w:rsidR="000345A8" w:rsidRPr="00DD1B58">
        <w:rPr>
          <w:lang w:val="en-US"/>
        </w:rPr>
        <w:t>s</w:t>
      </w:r>
      <w:r w:rsidRPr="00DD1B58">
        <w:rPr>
          <w:lang w:val="en-US"/>
        </w:rPr>
        <w:t xml:space="preserve"> that the top-level safety report </w:t>
      </w:r>
      <w:r w:rsidR="00303DCB" w:rsidRPr="00DD1B58">
        <w:rPr>
          <w:lang w:val="en-US"/>
        </w:rPr>
        <w:t>is updated at set points d</w:t>
      </w:r>
      <w:r w:rsidR="1A474692" w:rsidRPr="00DD1B58">
        <w:rPr>
          <w:lang w:val="en-US"/>
        </w:rPr>
        <w:t>uring initial phases of the plant lifecycle (design, construction and typically inactive commissioning). The safety report at each of these points is linked to a design Reference Configuration (RC), which is in turn linked to milestones or hold</w:t>
      </w:r>
      <w:r w:rsidR="00DD55EB" w:rsidRPr="00DD1B58">
        <w:rPr>
          <w:lang w:val="en-US"/>
        </w:rPr>
        <w:t xml:space="preserve"> </w:t>
      </w:r>
      <w:r w:rsidR="1A474692" w:rsidRPr="00DD1B58">
        <w:rPr>
          <w:lang w:val="en-US"/>
        </w:rPr>
        <w:t xml:space="preserve">points. However, </w:t>
      </w:r>
      <w:r w:rsidR="00C4488D" w:rsidRPr="00DD1B58">
        <w:rPr>
          <w:lang w:val="en-US"/>
        </w:rPr>
        <w:t>NNB GenCo acknowledges that</w:t>
      </w:r>
      <w:r w:rsidR="1A474692" w:rsidRPr="00DD1B58">
        <w:rPr>
          <w:lang w:val="en-US"/>
        </w:rPr>
        <w:t xml:space="preserve"> changes will occur during the evolution of the design and the construction process, between each RC and hence between safety report updates.</w:t>
      </w:r>
    </w:p>
    <w:p w14:paraId="313E4858" w14:textId="62758A2D" w:rsidR="00F1180A" w:rsidRPr="00DD1B58" w:rsidRDefault="1A474692" w:rsidP="355CB971">
      <w:pPr>
        <w:rPr>
          <w:lang w:val="en-US"/>
        </w:rPr>
      </w:pPr>
      <w:r w:rsidRPr="00DD1B58">
        <w:rPr>
          <w:lang w:val="en-US"/>
        </w:rPr>
        <w:t>The NNB Licence Condition (LC)</w:t>
      </w:r>
      <w:r w:rsidR="00481849" w:rsidRPr="00DD1B58">
        <w:rPr>
          <w:lang w:val="en-US"/>
        </w:rPr>
        <w:t xml:space="preserve"> </w:t>
      </w:r>
      <w:r w:rsidRPr="00DD1B58">
        <w:rPr>
          <w:lang w:val="en-US"/>
        </w:rPr>
        <w:t xml:space="preserve">20 process </w:t>
      </w:r>
      <w:r w:rsidR="00481849" w:rsidRPr="00DD1B58">
        <w:rPr>
          <w:lang w:val="en-US"/>
        </w:rPr>
        <w:t>for compliance with ONR LC</w:t>
      </w:r>
      <w:r w:rsidR="00DD55EB" w:rsidRPr="00DD1B58">
        <w:rPr>
          <w:lang w:val="en-US"/>
        </w:rPr>
        <w:t xml:space="preserve"> </w:t>
      </w:r>
      <w:r w:rsidR="00481849" w:rsidRPr="00DD1B58">
        <w:rPr>
          <w:lang w:val="en-US"/>
        </w:rPr>
        <w:t>20</w:t>
      </w:r>
      <w:r w:rsidRPr="00DD1B58">
        <w:rPr>
          <w:lang w:val="en-US"/>
        </w:rPr>
        <w:t xml:space="preserve"> </w:t>
      </w:r>
      <w:r w:rsidR="00481849" w:rsidRPr="00DD1B58">
        <w:rPr>
          <w:lang w:val="en-US"/>
        </w:rPr>
        <w:t>aims to</w:t>
      </w:r>
      <w:r w:rsidRPr="00DD1B58">
        <w:rPr>
          <w:lang w:val="en-US"/>
        </w:rPr>
        <w:t xml:space="preserve"> ensure that significant changes to the plant design or procedures between each RC are understood and justified from a safety case perspective. </w:t>
      </w:r>
      <w:r w:rsidR="001123E4" w:rsidRPr="00DD1B58">
        <w:rPr>
          <w:lang w:val="en-US"/>
        </w:rPr>
        <w:t>NNB GenCo considers that e</w:t>
      </w:r>
      <w:r w:rsidRPr="00DD1B58">
        <w:rPr>
          <w:lang w:val="en-US"/>
        </w:rPr>
        <w:t>ach change to the safety case is categorised and appropriate justification is recorded, pending update to the wider safety case documentation and issuing of the subsequent top-level safety report.</w:t>
      </w:r>
    </w:p>
    <w:p w14:paraId="3D6A3268" w14:textId="662F305C" w:rsidR="00F1180A" w:rsidRPr="00DD1B58" w:rsidRDefault="001123E4" w:rsidP="355CB971">
      <w:pPr>
        <w:rPr>
          <w:szCs w:val="24"/>
          <w:lang w:val="en-US"/>
        </w:rPr>
      </w:pPr>
      <w:r w:rsidRPr="00DD1B58">
        <w:rPr>
          <w:lang w:val="en-US"/>
        </w:rPr>
        <w:t>NNB GenCo assesses m</w:t>
      </w:r>
      <w:r w:rsidR="1A474692" w:rsidRPr="00DD1B58">
        <w:rPr>
          <w:lang w:val="en-US"/>
        </w:rPr>
        <w:t>odifications</w:t>
      </w:r>
      <w:r w:rsidRPr="00DD1B58">
        <w:rPr>
          <w:lang w:val="en-US"/>
        </w:rPr>
        <w:t xml:space="preserve"> </w:t>
      </w:r>
      <w:r w:rsidR="1A474692" w:rsidRPr="00DD1B58">
        <w:rPr>
          <w:lang w:val="en-US"/>
        </w:rPr>
        <w:t>according to their significance to the safety case and follow</w:t>
      </w:r>
      <w:r w:rsidRPr="00DD1B58">
        <w:rPr>
          <w:lang w:val="en-US"/>
        </w:rPr>
        <w:t>s</w:t>
      </w:r>
      <w:r w:rsidR="1A474692" w:rsidRPr="00DD1B58">
        <w:rPr>
          <w:lang w:val="en-US"/>
        </w:rPr>
        <w:t xml:space="preserve"> different review and acceptance routes depending on their significance. The review process includes consultation of safety case practitioners and fire </w:t>
      </w:r>
      <w:r w:rsidR="007304A5" w:rsidRPr="00DD1B58">
        <w:rPr>
          <w:lang w:val="en-US"/>
        </w:rPr>
        <w:t>SQEPs</w:t>
      </w:r>
      <w:r w:rsidR="1A474692" w:rsidRPr="00DD1B58">
        <w:rPr>
          <w:lang w:val="en-US"/>
        </w:rPr>
        <w:t xml:space="preserve"> where fire safety may be affected to ensure that implications for the fire analysis are adequately captured in any proposed changes. </w:t>
      </w:r>
      <w:r w:rsidR="007304A5" w:rsidRPr="00DD1B58">
        <w:rPr>
          <w:lang w:val="en-US"/>
        </w:rPr>
        <w:t>NNB GenCo considers that o</w:t>
      </w:r>
      <w:r w:rsidR="1A474692" w:rsidRPr="00DD1B58">
        <w:rPr>
          <w:lang w:val="en-US"/>
        </w:rPr>
        <w:t>nce the initial project phases are complete, the plant will be operated with the potential for direct radiation risk, and therefore it will be necessary to ensure the plant operating rules and instructions (LC23 and LC24) are consistent with the wider safety case at all times.</w:t>
      </w:r>
    </w:p>
    <w:p w14:paraId="2E1CA2D6" w14:textId="77777777" w:rsidR="00F1180A" w:rsidRPr="00DD1B58" w:rsidRDefault="00F1180A" w:rsidP="007B066F">
      <w:pPr>
        <w:pStyle w:val="Heading4"/>
        <w:rPr>
          <w:lang w:val="en-US"/>
        </w:rPr>
      </w:pPr>
      <w:r w:rsidRPr="00DD1B58">
        <w:rPr>
          <w:lang w:val="en-US"/>
        </w:rPr>
        <w:t xml:space="preserve">Fire phenomena analyses: overview of models, data and consequences </w:t>
      </w:r>
    </w:p>
    <w:p w14:paraId="1B9FCA87" w14:textId="77777777" w:rsidR="5C06988E" w:rsidRPr="00DD1B58" w:rsidRDefault="5C06988E" w:rsidP="007B066F">
      <w:pPr>
        <w:pStyle w:val="Heading4"/>
        <w:numPr>
          <w:ilvl w:val="4"/>
          <w:numId w:val="3"/>
        </w:numPr>
        <w:rPr>
          <w:lang w:val="en-US"/>
        </w:rPr>
      </w:pPr>
      <w:r w:rsidRPr="00DD1B58">
        <w:rPr>
          <w:lang w:val="en-US"/>
        </w:rPr>
        <w:t>Consequences within an HSV</w:t>
      </w:r>
    </w:p>
    <w:p w14:paraId="5C296E44" w14:textId="4190F45A" w:rsidR="5C06988E" w:rsidRPr="00DD1B58" w:rsidRDefault="007372C7" w:rsidP="355CB971">
      <w:pPr>
        <w:rPr>
          <w:szCs w:val="24"/>
          <w:lang w:val="en-US"/>
        </w:rPr>
      </w:pPr>
      <w:r w:rsidRPr="00DD1B58">
        <w:rPr>
          <w:lang w:val="en-US"/>
        </w:rPr>
        <w:t>NNB GenCo</w:t>
      </w:r>
      <w:r w:rsidR="00EB66F7" w:rsidRPr="00DD1B58">
        <w:rPr>
          <w:lang w:val="en-US"/>
        </w:rPr>
        <w:t xml:space="preserve">’s approach is that </w:t>
      </w:r>
      <w:r w:rsidR="00EB66F7" w:rsidRPr="00DD1B58">
        <w:rPr>
          <w:szCs w:val="24"/>
          <w:lang w:val="en-US"/>
        </w:rPr>
        <w:t>a</w:t>
      </w:r>
      <w:r w:rsidR="5C06988E" w:rsidRPr="00DD1B58">
        <w:rPr>
          <w:szCs w:val="24"/>
          <w:lang w:val="en-US"/>
        </w:rPr>
        <w:t xml:space="preserve"> hazard occurring in a HSV is initially conservatively assumed to lead to the loss of all equipment housed in the HSV, and </w:t>
      </w:r>
      <w:r w:rsidR="00E468F3" w:rsidRPr="00DD1B58">
        <w:rPr>
          <w:szCs w:val="24"/>
          <w:lang w:val="en-US"/>
        </w:rPr>
        <w:t>Hazard Functional Safety Analysis (</w:t>
      </w:r>
      <w:r w:rsidR="5C06988E" w:rsidRPr="00DD1B58">
        <w:rPr>
          <w:szCs w:val="24"/>
          <w:lang w:val="en-US"/>
        </w:rPr>
        <w:t>HFSA</w:t>
      </w:r>
      <w:r w:rsidR="00E468F3" w:rsidRPr="00DD1B58">
        <w:rPr>
          <w:szCs w:val="24"/>
          <w:lang w:val="en-US"/>
        </w:rPr>
        <w:t>)</w:t>
      </w:r>
      <w:r w:rsidR="5C06988E" w:rsidRPr="00DD1B58">
        <w:rPr>
          <w:szCs w:val="24"/>
          <w:lang w:val="en-US"/>
        </w:rPr>
        <w:t xml:space="preserve"> is carried out to determine whether loss of this equipment leads to a DBIF and whether sufficient mitigation remains available to reach the SSS. </w:t>
      </w:r>
      <w:r w:rsidR="00207906" w:rsidRPr="00DD1B58">
        <w:rPr>
          <w:lang w:val="en-US"/>
        </w:rPr>
        <w:t xml:space="preserve">NNB GenCo then carries out </w:t>
      </w:r>
      <w:r w:rsidR="00207906" w:rsidRPr="00DD1B58">
        <w:rPr>
          <w:szCs w:val="24"/>
          <w:lang w:val="en-US"/>
        </w:rPr>
        <w:t>f</w:t>
      </w:r>
      <w:r w:rsidR="5C06988E" w:rsidRPr="00DD1B58">
        <w:rPr>
          <w:szCs w:val="24"/>
          <w:lang w:val="en-US"/>
        </w:rPr>
        <w:t>urther phenomenological studies if the initial assessment concludes that loss of all the equipment in the HSV is not tolerable.</w:t>
      </w:r>
    </w:p>
    <w:p w14:paraId="3C77FCA5" w14:textId="77777777" w:rsidR="5C06988E" w:rsidRPr="00DD1B58" w:rsidRDefault="5C06988E" w:rsidP="007B066F">
      <w:pPr>
        <w:pStyle w:val="Heading4"/>
        <w:numPr>
          <w:ilvl w:val="4"/>
          <w:numId w:val="3"/>
        </w:numPr>
        <w:rPr>
          <w:lang w:val="en-US"/>
        </w:rPr>
      </w:pPr>
      <w:r w:rsidRPr="00DD1B58">
        <w:rPr>
          <w:lang w:val="en-US"/>
        </w:rPr>
        <w:t>Consequences outside an HSV</w:t>
      </w:r>
    </w:p>
    <w:p w14:paraId="62242CE4" w14:textId="0E09EE65" w:rsidR="5C06988E" w:rsidRPr="00DD1B58" w:rsidRDefault="00207906" w:rsidP="355CB971">
      <w:pPr>
        <w:rPr>
          <w:szCs w:val="24"/>
          <w:lang w:val="en-US"/>
        </w:rPr>
      </w:pPr>
      <w:r w:rsidRPr="00DD1B58">
        <w:rPr>
          <w:lang w:val="en-US"/>
        </w:rPr>
        <w:t>NNB GenCo undertakes m</w:t>
      </w:r>
      <w:r w:rsidR="5C06988E" w:rsidRPr="00DD1B58">
        <w:rPr>
          <w:szCs w:val="24"/>
          <w:lang w:val="en-US"/>
        </w:rPr>
        <w:t>odelling to determine whether the fire remains inside a HSV by comparing the modelled consequences of a fire with the robustness of the HSV boundaries.</w:t>
      </w:r>
    </w:p>
    <w:p w14:paraId="20DB16B3" w14:textId="6C5C7B88" w:rsidR="5C06988E" w:rsidRPr="00DD1B58" w:rsidRDefault="005E651F" w:rsidP="355CB971">
      <w:pPr>
        <w:rPr>
          <w:lang w:val="en-US"/>
        </w:rPr>
      </w:pPr>
      <w:r w:rsidRPr="00DD1B58">
        <w:rPr>
          <w:lang w:val="en-US"/>
        </w:rPr>
        <w:t xml:space="preserve">NNB GenCo then reviews the </w:t>
      </w:r>
      <w:r w:rsidR="5C06988E" w:rsidRPr="00DD1B58">
        <w:rPr>
          <w:szCs w:val="24"/>
          <w:lang w:val="en-US"/>
        </w:rPr>
        <w:t xml:space="preserve">overall margin </w:t>
      </w:r>
      <w:r w:rsidR="00C50B3F" w:rsidRPr="00DD1B58">
        <w:rPr>
          <w:szCs w:val="24"/>
          <w:lang w:val="en-US"/>
        </w:rPr>
        <w:t xml:space="preserve">in </w:t>
      </w:r>
      <w:r w:rsidR="5C06988E" w:rsidRPr="00DD1B58">
        <w:rPr>
          <w:szCs w:val="24"/>
          <w:lang w:val="en-US"/>
        </w:rPr>
        <w:t xml:space="preserve">the modelling and </w:t>
      </w:r>
      <w:r w:rsidRPr="00DD1B58">
        <w:rPr>
          <w:szCs w:val="24"/>
          <w:lang w:val="en-US"/>
        </w:rPr>
        <w:t xml:space="preserve">makes </w:t>
      </w:r>
      <w:r w:rsidR="5C06988E" w:rsidRPr="00DD1B58">
        <w:rPr>
          <w:szCs w:val="24"/>
          <w:lang w:val="en-US"/>
        </w:rPr>
        <w:t>engineering judgements including sensitivity to the relative position of targets (e.g.</w:t>
      </w:r>
      <w:r w:rsidR="00DD55EB" w:rsidRPr="00DD1B58">
        <w:rPr>
          <w:szCs w:val="24"/>
          <w:lang w:val="en-US"/>
        </w:rPr>
        <w:t>,</w:t>
      </w:r>
      <w:r w:rsidR="5C06988E" w:rsidRPr="00DD1B58">
        <w:rPr>
          <w:szCs w:val="24"/>
          <w:lang w:val="en-US"/>
        </w:rPr>
        <w:t xml:space="preserve"> plume areas</w:t>
      </w:r>
      <w:r w:rsidR="00DD55EB" w:rsidRPr="00DD1B58">
        <w:rPr>
          <w:szCs w:val="24"/>
          <w:lang w:val="en-US"/>
        </w:rPr>
        <w:t xml:space="preserve"> and</w:t>
      </w:r>
      <w:r w:rsidR="5C06988E" w:rsidRPr="00DD1B58">
        <w:rPr>
          <w:szCs w:val="24"/>
          <w:lang w:val="en-US"/>
        </w:rPr>
        <w:t xml:space="preserve"> flow zones at openings). </w:t>
      </w:r>
      <w:r w:rsidR="00CF757A" w:rsidRPr="00DD1B58">
        <w:rPr>
          <w:lang w:val="en-US"/>
        </w:rPr>
        <w:t xml:space="preserve">NNB GenCo considers the </w:t>
      </w:r>
      <w:r w:rsidR="5C06988E" w:rsidRPr="00DD1B58">
        <w:rPr>
          <w:szCs w:val="24"/>
          <w:lang w:val="en-US"/>
        </w:rPr>
        <w:t xml:space="preserve">margin between measured values and success criteria, particularly for scenarios where there is a long thermal exposure of targets such as cable fires, and when modelling tools are used outside their validation domain </w:t>
      </w:r>
      <w:sdt>
        <w:sdtPr>
          <w:rPr>
            <w:szCs w:val="24"/>
            <w:lang w:val="en-US"/>
          </w:rPr>
          <w:id w:val="1916895274"/>
          <w:citation/>
        </w:sdtPr>
        <w:sdtContent>
          <w:r w:rsidR="008A6064" w:rsidRPr="00DD1B58">
            <w:rPr>
              <w:szCs w:val="24"/>
              <w:lang w:val="en-US"/>
            </w:rPr>
            <w:fldChar w:fldCharType="begin"/>
          </w:r>
          <w:r w:rsidR="008A6064" w:rsidRPr="00DD1B58">
            <w:rPr>
              <w:szCs w:val="24"/>
              <w:lang w:val="en-US"/>
            </w:rPr>
            <w:instrText xml:space="preserve"> CITATION NNB202 \l 2057 </w:instrText>
          </w:r>
          <w:r w:rsidR="008A6064" w:rsidRPr="00DD1B58">
            <w:rPr>
              <w:szCs w:val="24"/>
              <w:lang w:val="en-US"/>
            </w:rPr>
            <w:fldChar w:fldCharType="separate"/>
          </w:r>
          <w:r w:rsidR="00DF47DA" w:rsidRPr="00DF47DA">
            <w:rPr>
              <w:noProof/>
              <w:szCs w:val="24"/>
              <w:lang w:val="en-US"/>
            </w:rPr>
            <w:t>[59]</w:t>
          </w:r>
          <w:r w:rsidR="008A6064" w:rsidRPr="00DD1B58">
            <w:rPr>
              <w:szCs w:val="24"/>
              <w:lang w:val="en-US"/>
            </w:rPr>
            <w:fldChar w:fldCharType="end"/>
          </w:r>
        </w:sdtContent>
      </w:sdt>
      <w:r w:rsidR="5C06988E" w:rsidRPr="00DD1B58">
        <w:rPr>
          <w:szCs w:val="24"/>
          <w:lang w:val="en-US"/>
        </w:rPr>
        <w:t xml:space="preserve"> section 7.</w:t>
      </w:r>
    </w:p>
    <w:p w14:paraId="10028BC6" w14:textId="77777777" w:rsidR="5C06988E" w:rsidRPr="00DD1B58" w:rsidRDefault="5C06988E" w:rsidP="007B066F">
      <w:pPr>
        <w:pStyle w:val="Heading4"/>
        <w:numPr>
          <w:ilvl w:val="4"/>
          <w:numId w:val="3"/>
        </w:numPr>
        <w:rPr>
          <w:lang w:val="en-US"/>
        </w:rPr>
      </w:pPr>
      <w:r w:rsidRPr="00DD1B58">
        <w:rPr>
          <w:lang w:val="en-US"/>
        </w:rPr>
        <w:t>Radiological release and dispersion</w:t>
      </w:r>
    </w:p>
    <w:p w14:paraId="4CB8EDFD" w14:textId="205E0399" w:rsidR="5C06988E" w:rsidRPr="00DD1B58" w:rsidRDefault="00C50B3F" w:rsidP="355CB971">
      <w:pPr>
        <w:rPr>
          <w:szCs w:val="24"/>
          <w:lang w:val="en-US"/>
        </w:rPr>
      </w:pPr>
      <w:r w:rsidRPr="00DD1B58">
        <w:rPr>
          <w:szCs w:val="24"/>
          <w:lang w:val="en-US"/>
        </w:rPr>
        <w:t>NNB GenCo’s</w:t>
      </w:r>
      <w:r w:rsidR="5C06988E" w:rsidRPr="00DD1B58">
        <w:rPr>
          <w:szCs w:val="24"/>
          <w:lang w:val="en-US"/>
        </w:rPr>
        <w:t xml:space="preserve"> radiological release and dispersion dose calculation methods and assumptions are described in </w:t>
      </w:r>
      <w:sdt>
        <w:sdtPr>
          <w:rPr>
            <w:szCs w:val="24"/>
            <w:lang w:val="en-US"/>
          </w:rPr>
          <w:id w:val="-1301604129"/>
          <w:citation/>
        </w:sdtPr>
        <w:sdtContent>
          <w:r w:rsidR="00A9788A" w:rsidRPr="00DD1B58">
            <w:rPr>
              <w:szCs w:val="24"/>
              <w:lang w:val="en-US"/>
            </w:rPr>
            <w:fldChar w:fldCharType="begin"/>
          </w:r>
          <w:r w:rsidR="00A9788A" w:rsidRPr="00DD1B58">
            <w:rPr>
              <w:szCs w:val="24"/>
              <w:lang w:val="en-US"/>
            </w:rPr>
            <w:instrText xml:space="preserve"> CITATION NNB214 \l 2057 </w:instrText>
          </w:r>
          <w:r w:rsidR="00A9788A" w:rsidRPr="00DD1B58">
            <w:rPr>
              <w:szCs w:val="24"/>
              <w:lang w:val="en-US"/>
            </w:rPr>
            <w:fldChar w:fldCharType="separate"/>
          </w:r>
          <w:r w:rsidR="00DF47DA" w:rsidRPr="00DF47DA">
            <w:rPr>
              <w:noProof/>
              <w:szCs w:val="24"/>
              <w:lang w:val="en-US"/>
            </w:rPr>
            <w:t>[60]</w:t>
          </w:r>
          <w:r w:rsidR="00A9788A" w:rsidRPr="00DD1B58">
            <w:rPr>
              <w:szCs w:val="24"/>
              <w:lang w:val="en-US"/>
            </w:rPr>
            <w:fldChar w:fldCharType="end"/>
          </w:r>
        </w:sdtContent>
      </w:sdt>
      <w:r w:rsidR="00B95E5A" w:rsidRPr="00DD1B58">
        <w:rPr>
          <w:szCs w:val="24"/>
          <w:lang w:val="en-US"/>
        </w:rPr>
        <w:t>.</w:t>
      </w:r>
      <w:r w:rsidR="5C06988E" w:rsidRPr="00DD1B58">
        <w:rPr>
          <w:szCs w:val="24"/>
          <w:lang w:val="en-US"/>
        </w:rPr>
        <w:t xml:space="preserve"> The consequences of all DBIFs, including those triggered by fire, use release fractions and decontamination factors based on parameters such as primary circuit activity, fuel clad, system and building integrity</w:t>
      </w:r>
      <w:r w:rsidR="00DD55EB" w:rsidRPr="00DD1B58">
        <w:rPr>
          <w:szCs w:val="24"/>
          <w:lang w:val="en-US"/>
        </w:rPr>
        <w:t xml:space="preserve">. These </w:t>
      </w:r>
      <w:r w:rsidR="5C06988E" w:rsidRPr="00DD1B58">
        <w:rPr>
          <w:szCs w:val="24"/>
          <w:lang w:val="en-US"/>
        </w:rPr>
        <w:t xml:space="preserve">are common to all potential initiators of the faults and fire is not treated as a special case. </w:t>
      </w:r>
    </w:p>
    <w:p w14:paraId="6D8EF28D" w14:textId="1A5E9795" w:rsidR="5C06988E" w:rsidRPr="00DD1B58" w:rsidRDefault="00882F46" w:rsidP="00E7024D">
      <w:pPr>
        <w:rPr>
          <w:szCs w:val="24"/>
          <w:lang w:val="en-US"/>
        </w:rPr>
      </w:pPr>
      <w:r w:rsidRPr="00DD1B58">
        <w:rPr>
          <w:lang w:val="en-US"/>
        </w:rPr>
        <w:t xml:space="preserve">NNB GenCo’s </w:t>
      </w:r>
      <w:r w:rsidR="5C06988E" w:rsidRPr="00DD1B58">
        <w:rPr>
          <w:szCs w:val="24"/>
          <w:lang w:val="en-US"/>
        </w:rPr>
        <w:t xml:space="preserve">methodology and assumptions for fire leading directly to radiological release or dispersion are in </w:t>
      </w:r>
      <w:sdt>
        <w:sdtPr>
          <w:rPr>
            <w:szCs w:val="24"/>
            <w:lang w:val="en-US"/>
          </w:rPr>
          <w:id w:val="-857356437"/>
          <w:citation/>
        </w:sdtPr>
        <w:sdtContent>
          <w:r w:rsidR="00B11921" w:rsidRPr="00DD1B58">
            <w:rPr>
              <w:szCs w:val="24"/>
              <w:lang w:val="en-US"/>
            </w:rPr>
            <w:fldChar w:fldCharType="begin"/>
          </w:r>
          <w:r w:rsidR="00B11921" w:rsidRPr="00DD1B58">
            <w:rPr>
              <w:szCs w:val="24"/>
              <w:lang w:val="en-US"/>
            </w:rPr>
            <w:instrText xml:space="preserve"> CITATION NNB215 \l 2057 </w:instrText>
          </w:r>
          <w:r w:rsidR="00B11921" w:rsidRPr="00DD1B58">
            <w:rPr>
              <w:szCs w:val="24"/>
              <w:lang w:val="en-US"/>
            </w:rPr>
            <w:fldChar w:fldCharType="separate"/>
          </w:r>
          <w:r w:rsidR="00DF47DA" w:rsidRPr="00DF47DA">
            <w:rPr>
              <w:noProof/>
              <w:szCs w:val="24"/>
              <w:lang w:val="en-US"/>
            </w:rPr>
            <w:t>[61]</w:t>
          </w:r>
          <w:r w:rsidR="00B11921" w:rsidRPr="00DD1B58">
            <w:rPr>
              <w:szCs w:val="24"/>
              <w:lang w:val="en-US"/>
            </w:rPr>
            <w:fldChar w:fldCharType="end"/>
          </w:r>
        </w:sdtContent>
      </w:sdt>
      <w:r w:rsidR="5C06988E" w:rsidRPr="00DD1B58">
        <w:rPr>
          <w:szCs w:val="24"/>
          <w:lang w:val="en-US"/>
        </w:rPr>
        <w:t xml:space="preserve"> and consider</w:t>
      </w:r>
      <w:r w:rsidR="00E7024D" w:rsidRPr="00DD1B58">
        <w:rPr>
          <w:szCs w:val="24"/>
          <w:lang w:val="en-US"/>
        </w:rPr>
        <w:t xml:space="preserve"> both w</w:t>
      </w:r>
      <w:r w:rsidR="3192E3C4" w:rsidRPr="00DD1B58">
        <w:rPr>
          <w:lang w:val="en-US"/>
        </w:rPr>
        <w:t>hether the fire burns solid waste, fuel assemblies or containers</w:t>
      </w:r>
      <w:r w:rsidR="00DD55EB" w:rsidRPr="00DD1B58">
        <w:rPr>
          <w:lang w:val="en-US"/>
        </w:rPr>
        <w:t>,</w:t>
      </w:r>
      <w:r w:rsidR="00FE3B20" w:rsidRPr="00DD1B58">
        <w:rPr>
          <w:lang w:val="en-US"/>
        </w:rPr>
        <w:t xml:space="preserve"> and </w:t>
      </w:r>
      <w:r w:rsidR="00DD55EB" w:rsidRPr="00DD1B58">
        <w:rPr>
          <w:lang w:val="en-US"/>
        </w:rPr>
        <w:t>whether</w:t>
      </w:r>
      <w:r w:rsidR="3192E3C4" w:rsidRPr="00DD1B58">
        <w:rPr>
          <w:lang w:val="en-US"/>
        </w:rPr>
        <w:t xml:space="preserve"> radioactive fluids have lost one confinement barrier.</w:t>
      </w:r>
    </w:p>
    <w:p w14:paraId="1FFBFDCA" w14:textId="4C18F4EF" w:rsidR="00F1180A" w:rsidRPr="00DD1B58" w:rsidRDefault="00F1180A" w:rsidP="00F1180A">
      <w:pPr>
        <w:pStyle w:val="Heading4"/>
        <w:rPr>
          <w:lang w:val="en-US"/>
        </w:rPr>
      </w:pPr>
      <w:r w:rsidRPr="00DD1B58">
        <w:rPr>
          <w:lang w:val="en-US"/>
        </w:rPr>
        <w:t>Main results/dominant events (licensee</w:t>
      </w:r>
      <w:r w:rsidR="00DD55EB" w:rsidRPr="00DD1B58">
        <w:rPr>
          <w:lang w:val="en-US"/>
        </w:rPr>
        <w:t>’</w:t>
      </w:r>
      <w:r w:rsidRPr="00DD1B58">
        <w:rPr>
          <w:lang w:val="en-US"/>
        </w:rPr>
        <w:t xml:space="preserve">s experience) </w:t>
      </w:r>
    </w:p>
    <w:p w14:paraId="2143FDE2" w14:textId="7DF225ED" w:rsidR="0A43B7A0" w:rsidRPr="00DD1B58" w:rsidRDefault="0A43B7A0" w:rsidP="355CB971">
      <w:pPr>
        <w:rPr>
          <w:lang w:val="en-US"/>
        </w:rPr>
      </w:pPr>
      <w:r w:rsidRPr="00DD1B58">
        <w:rPr>
          <w:lang w:val="en-US"/>
        </w:rPr>
        <w:t xml:space="preserve">The deterministic assessments were in progress and not yet complete when </w:t>
      </w:r>
      <w:r w:rsidR="006B7B8A" w:rsidRPr="00DD1B58">
        <w:rPr>
          <w:lang w:val="en-US"/>
        </w:rPr>
        <w:t xml:space="preserve">the licensee’s submission </w:t>
      </w:r>
      <w:sdt>
        <w:sdtPr>
          <w:rPr>
            <w:lang w:val="en-US"/>
          </w:rPr>
          <w:id w:val="1011885041"/>
          <w:citation/>
        </w:sdtPr>
        <w:sdtContent>
          <w:r w:rsidR="006B7B8A" w:rsidRPr="00DD1B58">
            <w:rPr>
              <w:lang w:val="en-US"/>
            </w:rPr>
            <w:fldChar w:fldCharType="begin"/>
          </w:r>
          <w:r w:rsidR="006B7B8A" w:rsidRPr="00DD1B58">
            <w:rPr>
              <w:lang w:val="en-US"/>
            </w:rPr>
            <w:instrText xml:space="preserve"> CITATION NNB236 \l 2057 </w:instrText>
          </w:r>
          <w:r w:rsidR="006B7B8A" w:rsidRPr="00DD1B58">
            <w:rPr>
              <w:lang w:val="en-US"/>
            </w:rPr>
            <w:fldChar w:fldCharType="separate"/>
          </w:r>
          <w:r w:rsidR="00DF47DA" w:rsidRPr="00DF47DA">
            <w:rPr>
              <w:noProof/>
              <w:lang w:val="en-US"/>
            </w:rPr>
            <w:t>[49]</w:t>
          </w:r>
          <w:r w:rsidR="006B7B8A" w:rsidRPr="00DD1B58">
            <w:rPr>
              <w:lang w:val="en-US"/>
            </w:rPr>
            <w:fldChar w:fldCharType="end"/>
          </w:r>
        </w:sdtContent>
      </w:sdt>
      <w:r w:rsidR="00B5417C" w:rsidRPr="00DD1B58">
        <w:rPr>
          <w:lang w:val="en-US"/>
        </w:rPr>
        <w:t xml:space="preserve"> </w:t>
      </w:r>
      <w:r w:rsidRPr="00DD1B58">
        <w:rPr>
          <w:lang w:val="en-US"/>
        </w:rPr>
        <w:t xml:space="preserve"> was compiled in March 2023, so it is too early to report which are the dominant events.</w:t>
      </w:r>
    </w:p>
    <w:p w14:paraId="486F963A" w14:textId="77777777" w:rsidR="00F1180A" w:rsidRPr="00DD1B58" w:rsidRDefault="00F1180A" w:rsidP="00FB4791">
      <w:pPr>
        <w:pStyle w:val="Heading4"/>
        <w:rPr>
          <w:lang w:val="en-US"/>
        </w:rPr>
      </w:pPr>
      <w:r w:rsidRPr="00DD1B58">
        <w:rPr>
          <w:lang w:val="en-US"/>
        </w:rPr>
        <w:t xml:space="preserve">Periodic review and management of changes </w:t>
      </w:r>
    </w:p>
    <w:p w14:paraId="7BE301B6" w14:textId="77777777" w:rsidR="00F1180A" w:rsidRPr="00DD1B58" w:rsidRDefault="00F1180A" w:rsidP="001B13EA">
      <w:pPr>
        <w:pStyle w:val="Heading4"/>
        <w:numPr>
          <w:ilvl w:val="4"/>
          <w:numId w:val="3"/>
        </w:numPr>
        <w:rPr>
          <w:lang w:val="en-US"/>
        </w:rPr>
      </w:pPr>
      <w:r w:rsidRPr="00DD1B58">
        <w:rPr>
          <w:lang w:val="en-US"/>
        </w:rPr>
        <w:t>Overview of actions</w:t>
      </w:r>
    </w:p>
    <w:p w14:paraId="4EC5B0BB" w14:textId="6D24BD6B" w:rsidR="00F1180A" w:rsidRPr="00DD1B58" w:rsidRDefault="2A7B5EF0" w:rsidP="355CB971">
      <w:pPr>
        <w:rPr>
          <w:szCs w:val="24"/>
          <w:lang w:val="en-US"/>
        </w:rPr>
      </w:pPr>
      <w:r w:rsidRPr="00DD1B58">
        <w:rPr>
          <w:szCs w:val="24"/>
          <w:lang w:val="en-US"/>
        </w:rPr>
        <w:t xml:space="preserve">The main actions </w:t>
      </w:r>
      <w:r w:rsidR="00556322" w:rsidRPr="00DD1B58">
        <w:rPr>
          <w:szCs w:val="24"/>
          <w:lang w:val="en-US"/>
        </w:rPr>
        <w:t>that NNB GenCo is carrying</w:t>
      </w:r>
      <w:r w:rsidRPr="00DD1B58">
        <w:rPr>
          <w:szCs w:val="24"/>
          <w:lang w:val="en-US"/>
        </w:rPr>
        <w:t xml:space="preserve"> forward for HPC include:</w:t>
      </w:r>
    </w:p>
    <w:p w14:paraId="1119DB77" w14:textId="3583A509" w:rsidR="00F1180A" w:rsidRPr="00DD1B58" w:rsidRDefault="1BFAA93D" w:rsidP="001B13EA">
      <w:pPr>
        <w:pStyle w:val="Bulletlist1"/>
        <w:rPr>
          <w:szCs w:val="24"/>
          <w:lang w:val="en-US"/>
        </w:rPr>
      </w:pPr>
      <w:r w:rsidRPr="00DD1B58">
        <w:rPr>
          <w:lang w:val="en-US"/>
        </w:rPr>
        <w:t>Development of a specific methodology for the reactor building where the volumes of rooms and enclosures are too large for EPRESSI to be valid</w:t>
      </w:r>
      <w:r w:rsidR="00DD55EB" w:rsidRPr="00DD1B58">
        <w:rPr>
          <w:lang w:val="en-US"/>
        </w:rPr>
        <w:t>; and</w:t>
      </w:r>
    </w:p>
    <w:p w14:paraId="28051C6E" w14:textId="77777777" w:rsidR="00F1180A" w:rsidRPr="00DD1B58" w:rsidRDefault="1BFAA93D" w:rsidP="00075428">
      <w:pPr>
        <w:pStyle w:val="Bulletlist1"/>
        <w:rPr>
          <w:szCs w:val="24"/>
          <w:lang w:val="en-US"/>
        </w:rPr>
      </w:pPr>
      <w:r w:rsidRPr="00DD1B58">
        <w:rPr>
          <w:lang w:val="en-US"/>
        </w:rPr>
        <w:t>Use of non-fibrous materials where cable tray wrapping is required in the reactor building.</w:t>
      </w:r>
    </w:p>
    <w:p w14:paraId="67206447" w14:textId="77777777" w:rsidR="00F1180A" w:rsidRPr="00DD1B58" w:rsidRDefault="00F1180A" w:rsidP="001B13EA">
      <w:pPr>
        <w:pStyle w:val="Heading4"/>
        <w:numPr>
          <w:ilvl w:val="4"/>
          <w:numId w:val="3"/>
        </w:numPr>
        <w:rPr>
          <w:lang w:val="en-US"/>
        </w:rPr>
      </w:pPr>
      <w:r w:rsidRPr="00DD1B58">
        <w:rPr>
          <w:lang w:val="en-US"/>
        </w:rPr>
        <w:t>Implementation status of modifications/changes</w:t>
      </w:r>
    </w:p>
    <w:p w14:paraId="60B3DA19" w14:textId="12F800F4" w:rsidR="00F1180A" w:rsidRPr="00DD1B58" w:rsidRDefault="7E117EF9" w:rsidP="00075428">
      <w:pPr>
        <w:rPr>
          <w:lang w:val="en-US"/>
        </w:rPr>
      </w:pPr>
      <w:r w:rsidRPr="00DD1B58">
        <w:rPr>
          <w:lang w:val="en-US"/>
        </w:rPr>
        <w:t>HPC is still under construction</w:t>
      </w:r>
      <w:r w:rsidR="00DD55EB" w:rsidRPr="00DD1B58">
        <w:rPr>
          <w:lang w:val="en-US"/>
        </w:rPr>
        <w:t>;</w:t>
      </w:r>
      <w:r w:rsidRPr="00DD1B58">
        <w:rPr>
          <w:lang w:val="en-US"/>
        </w:rPr>
        <w:t xml:space="preserve"> </w:t>
      </w:r>
      <w:r w:rsidR="00AD3DFB" w:rsidRPr="00DD1B58">
        <w:rPr>
          <w:lang w:val="en-US"/>
        </w:rPr>
        <w:t>however</w:t>
      </w:r>
      <w:r w:rsidR="0041689C" w:rsidRPr="00DD1B58">
        <w:rPr>
          <w:lang w:val="en-US"/>
        </w:rPr>
        <w:t>,</w:t>
      </w:r>
      <w:r w:rsidR="00AD3DFB" w:rsidRPr="00DD1B58">
        <w:rPr>
          <w:lang w:val="en-US"/>
        </w:rPr>
        <w:t xml:space="preserve"> NNB GenCo has adopted </w:t>
      </w:r>
      <w:r w:rsidRPr="00DD1B58">
        <w:rPr>
          <w:lang w:val="en-US"/>
        </w:rPr>
        <w:t>several design change modifications</w:t>
      </w:r>
      <w:r w:rsidR="00DD55EB" w:rsidRPr="00DD1B58">
        <w:rPr>
          <w:lang w:val="en-US"/>
        </w:rPr>
        <w:t>,</w:t>
      </w:r>
      <w:r w:rsidRPr="00DD1B58">
        <w:rPr>
          <w:lang w:val="en-US"/>
        </w:rPr>
        <w:t xml:space="preserve"> </w:t>
      </w:r>
      <w:r w:rsidR="00782587" w:rsidRPr="00DD1B58">
        <w:rPr>
          <w:lang w:val="en-US"/>
        </w:rPr>
        <w:t>including changes to</w:t>
      </w:r>
      <w:r w:rsidR="00951D16" w:rsidRPr="00DD1B58">
        <w:rPr>
          <w:lang w:val="en-US"/>
        </w:rPr>
        <w:t xml:space="preserve"> meet </w:t>
      </w:r>
      <w:r w:rsidR="00782587" w:rsidRPr="00DD1B58">
        <w:rPr>
          <w:lang w:val="en-US"/>
        </w:rPr>
        <w:t xml:space="preserve">additional </w:t>
      </w:r>
      <w:r w:rsidR="0041689C" w:rsidRPr="00DD1B58">
        <w:rPr>
          <w:lang w:val="en-US"/>
        </w:rPr>
        <w:t xml:space="preserve">UK </w:t>
      </w:r>
      <w:r w:rsidR="00951D16" w:rsidRPr="00DD1B58">
        <w:rPr>
          <w:lang w:val="en-US"/>
        </w:rPr>
        <w:t>regulatory expectations</w:t>
      </w:r>
      <w:r w:rsidR="00782587" w:rsidRPr="00DD1B58">
        <w:rPr>
          <w:lang w:val="en-US"/>
        </w:rPr>
        <w:t xml:space="preserve">. </w:t>
      </w:r>
      <w:r w:rsidR="00951D16" w:rsidRPr="00DD1B58">
        <w:rPr>
          <w:lang w:val="en-US"/>
        </w:rPr>
        <w:t>They are</w:t>
      </w:r>
      <w:r w:rsidRPr="00DD1B58">
        <w:rPr>
          <w:lang w:val="en-US"/>
        </w:rPr>
        <w:t xml:space="preserve"> recorded as License Summary Statements (LSS). A selection of the most significant design changes is summarised in </w:t>
      </w:r>
      <w:r w:rsidR="00782587" w:rsidRPr="00DD1B58">
        <w:rPr>
          <w:lang w:val="en-US"/>
        </w:rPr>
        <w:fldChar w:fldCharType="begin"/>
      </w:r>
      <w:r w:rsidR="00782587" w:rsidRPr="00DD1B58">
        <w:rPr>
          <w:lang w:val="en-US"/>
        </w:rPr>
        <w:instrText xml:space="preserve"> REF _Ref142890816 \h </w:instrText>
      </w:r>
      <w:r w:rsidR="00782587" w:rsidRPr="00DD1B58">
        <w:rPr>
          <w:lang w:val="en-US"/>
        </w:rPr>
      </w:r>
      <w:r w:rsidR="00782587" w:rsidRPr="00DD1B58">
        <w:rPr>
          <w:lang w:val="en-US"/>
        </w:rPr>
        <w:fldChar w:fldCharType="separate"/>
      </w:r>
      <w:r w:rsidR="00DF47DA" w:rsidRPr="00DD1B58">
        <w:rPr>
          <w:lang w:val="en-US"/>
        </w:rPr>
        <w:t xml:space="preserve">Table </w:t>
      </w:r>
      <w:r w:rsidR="00DF47DA">
        <w:rPr>
          <w:noProof/>
          <w:lang w:val="en-US"/>
        </w:rPr>
        <w:t>3</w:t>
      </w:r>
      <w:r w:rsidR="00782587" w:rsidRPr="00DD1B58">
        <w:rPr>
          <w:lang w:val="en-US"/>
        </w:rPr>
        <w:fldChar w:fldCharType="end"/>
      </w:r>
      <w:r w:rsidR="00782587" w:rsidRPr="00DD1B58">
        <w:rPr>
          <w:lang w:val="en-US"/>
        </w:rPr>
        <w:t xml:space="preserve"> </w:t>
      </w:r>
      <w:r w:rsidRPr="00DD1B58">
        <w:rPr>
          <w:lang w:val="en-US"/>
        </w:rPr>
        <w:t>below</w:t>
      </w:r>
      <w:r w:rsidR="00782587" w:rsidRPr="00DD1B58">
        <w:rPr>
          <w:lang w:val="en-US"/>
        </w:rPr>
        <w:t xml:space="preserve"> and are considered examples of good practices in the context of TPR2</w:t>
      </w:r>
      <w:r w:rsidRPr="00DD1B58">
        <w:rPr>
          <w:lang w:val="en-US"/>
        </w:rPr>
        <w:t>.</w:t>
      </w:r>
      <w:r w:rsidR="00F1180A" w:rsidRPr="00DD1B58">
        <w:rPr>
          <w:lang w:val="en-US"/>
        </w:rPr>
        <w:t xml:space="preserve"> </w:t>
      </w:r>
    </w:p>
    <w:p w14:paraId="6EC2D6E8" w14:textId="20BAA0AF" w:rsidR="323E110D" w:rsidRPr="00DD1B58" w:rsidRDefault="00782587" w:rsidP="00973FF4">
      <w:pPr>
        <w:pStyle w:val="Caption"/>
        <w:keepNext/>
        <w:rPr>
          <w:lang w:val="en-US"/>
        </w:rPr>
      </w:pPr>
      <w:bookmarkStart w:id="31" w:name="_Ref142890816"/>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3</w:t>
      </w:r>
      <w:r w:rsidRPr="00DD1B58">
        <w:rPr>
          <w:lang w:val="en-US"/>
        </w:rPr>
        <w:fldChar w:fldCharType="end"/>
      </w:r>
      <w:bookmarkEnd w:id="31"/>
      <w:r w:rsidRPr="00DD1B58">
        <w:rPr>
          <w:lang w:val="en-US"/>
        </w:rPr>
        <w:t>:</w:t>
      </w:r>
      <w:r w:rsidR="323E110D" w:rsidRPr="00DD1B58">
        <w:rPr>
          <w:lang w:val="en-US"/>
        </w:rPr>
        <w:t xml:space="preserve"> </w:t>
      </w:r>
      <w:r w:rsidRPr="00DD1B58">
        <w:rPr>
          <w:lang w:val="en-US"/>
        </w:rPr>
        <w:t xml:space="preserve">Design Changes to meet UK expectations and </w:t>
      </w:r>
      <w:r w:rsidR="323E110D" w:rsidRPr="00DD1B58">
        <w:rPr>
          <w:lang w:val="en-US"/>
        </w:rPr>
        <w:t>OPEX summary</w:t>
      </w:r>
    </w:p>
    <w:tbl>
      <w:tblPr>
        <w:tblStyle w:val="ONRTable1"/>
        <w:tblW w:w="0" w:type="auto"/>
        <w:tblInd w:w="0" w:type="dxa"/>
        <w:tblLayout w:type="fixed"/>
        <w:tblLook w:val="06A0" w:firstRow="1" w:lastRow="0" w:firstColumn="1" w:lastColumn="0" w:noHBand="1" w:noVBand="1"/>
      </w:tblPr>
      <w:tblGrid>
        <w:gridCol w:w="1413"/>
        <w:gridCol w:w="1706"/>
        <w:gridCol w:w="1417"/>
        <w:gridCol w:w="5199"/>
      </w:tblGrid>
      <w:tr w:rsidR="003C36C1" w:rsidRPr="00DD1B58" w14:paraId="13A192EE" w14:textId="77777777" w:rsidTr="001F4329">
        <w:trPr>
          <w:cnfStyle w:val="100000000000" w:firstRow="1" w:lastRow="0" w:firstColumn="0" w:lastColumn="0" w:oddVBand="0" w:evenVBand="0" w:oddHBand="0" w:evenHBand="0" w:firstRowFirstColumn="0" w:firstRowLastColumn="0" w:lastRowFirstColumn="0" w:lastRowLastColumn="0"/>
          <w:trHeight w:val="300"/>
        </w:trPr>
        <w:tc>
          <w:tcPr>
            <w:tcW w:w="1413" w:type="dxa"/>
          </w:tcPr>
          <w:p w14:paraId="43BB7CB7" w14:textId="77777777" w:rsidR="03D5AE1B" w:rsidRPr="00DD1B58" w:rsidRDefault="03D5AE1B" w:rsidP="355CB971">
            <w:pPr>
              <w:rPr>
                <w:b w:val="0"/>
                <w:sz w:val="22"/>
                <w:lang w:val="en-US"/>
              </w:rPr>
            </w:pPr>
            <w:r w:rsidRPr="00DD1B58">
              <w:rPr>
                <w:sz w:val="22"/>
                <w:lang w:val="en-US"/>
              </w:rPr>
              <w:t>Reference</w:t>
            </w:r>
          </w:p>
        </w:tc>
        <w:tc>
          <w:tcPr>
            <w:tcW w:w="1706" w:type="dxa"/>
          </w:tcPr>
          <w:p w14:paraId="0AAC4AD5" w14:textId="77777777" w:rsidR="03D5AE1B" w:rsidRPr="00DD1B58" w:rsidRDefault="03D5AE1B" w:rsidP="355CB971">
            <w:pPr>
              <w:rPr>
                <w:b w:val="0"/>
                <w:sz w:val="22"/>
                <w:lang w:val="en-US"/>
              </w:rPr>
            </w:pPr>
            <w:r w:rsidRPr="00DD1B58">
              <w:rPr>
                <w:sz w:val="22"/>
                <w:lang w:val="en-US"/>
              </w:rPr>
              <w:t>Title</w:t>
            </w:r>
          </w:p>
        </w:tc>
        <w:tc>
          <w:tcPr>
            <w:tcW w:w="1417" w:type="dxa"/>
          </w:tcPr>
          <w:p w14:paraId="0EBF7266" w14:textId="77777777" w:rsidR="03D5AE1B" w:rsidRPr="00DD1B58" w:rsidRDefault="03D5AE1B" w:rsidP="355CB971">
            <w:pPr>
              <w:rPr>
                <w:b w:val="0"/>
                <w:sz w:val="22"/>
                <w:lang w:val="en-US"/>
              </w:rPr>
            </w:pPr>
            <w:r w:rsidRPr="00DD1B58">
              <w:rPr>
                <w:sz w:val="22"/>
                <w:lang w:val="en-US"/>
              </w:rPr>
              <w:t>ORIGIN</w:t>
            </w:r>
          </w:p>
        </w:tc>
        <w:tc>
          <w:tcPr>
            <w:tcW w:w="5199" w:type="dxa"/>
          </w:tcPr>
          <w:p w14:paraId="61945C30" w14:textId="77777777" w:rsidR="03D5AE1B" w:rsidRPr="00DD1B58" w:rsidRDefault="03D5AE1B" w:rsidP="355CB971">
            <w:pPr>
              <w:rPr>
                <w:b w:val="0"/>
                <w:sz w:val="22"/>
                <w:lang w:val="en-US"/>
              </w:rPr>
            </w:pPr>
            <w:r w:rsidRPr="00DD1B58">
              <w:rPr>
                <w:sz w:val="22"/>
                <w:lang w:val="en-US"/>
              </w:rPr>
              <w:t>Comments</w:t>
            </w:r>
          </w:p>
        </w:tc>
      </w:tr>
      <w:tr w:rsidR="355CB971" w:rsidRPr="00DD1B58" w14:paraId="4240E739" w14:textId="77777777" w:rsidTr="00973FF4">
        <w:trPr>
          <w:trHeight w:val="300"/>
        </w:trPr>
        <w:tc>
          <w:tcPr>
            <w:tcW w:w="1413" w:type="dxa"/>
          </w:tcPr>
          <w:p w14:paraId="388E60BF" w14:textId="282D8529" w:rsidR="03D5AE1B" w:rsidRPr="00DD1B58" w:rsidRDefault="10C23EB0" w:rsidP="50AE0A86">
            <w:pPr>
              <w:rPr>
                <w:sz w:val="20"/>
                <w:szCs w:val="20"/>
                <w:lang w:val="en-US"/>
              </w:rPr>
            </w:pPr>
            <w:r w:rsidRPr="00DD1B58">
              <w:rPr>
                <w:sz w:val="20"/>
                <w:szCs w:val="20"/>
                <w:lang w:val="en-US"/>
              </w:rPr>
              <w:t xml:space="preserve">T2DDS-UK-08062 A </w:t>
            </w:r>
            <w:sdt>
              <w:sdtPr>
                <w:rPr>
                  <w:sz w:val="20"/>
                  <w:szCs w:val="20"/>
                  <w:lang w:val="en-US"/>
                </w:rPr>
                <w:id w:val="-673954439"/>
                <w:citation/>
              </w:sdtPr>
              <w:sdtContent>
                <w:r w:rsidR="00576775" w:rsidRPr="00DD1B58">
                  <w:rPr>
                    <w:sz w:val="20"/>
                    <w:szCs w:val="20"/>
                    <w:lang w:val="en-US"/>
                  </w:rPr>
                  <w:fldChar w:fldCharType="begin"/>
                </w:r>
                <w:r w:rsidR="00576775" w:rsidRPr="00DD1B58">
                  <w:rPr>
                    <w:sz w:val="20"/>
                    <w:szCs w:val="20"/>
                    <w:lang w:val="en-US"/>
                  </w:rPr>
                  <w:instrText xml:space="preserve"> CITATION NNB18 \l 2057 </w:instrText>
                </w:r>
                <w:r w:rsidR="00576775" w:rsidRPr="00DD1B58">
                  <w:rPr>
                    <w:sz w:val="20"/>
                    <w:szCs w:val="20"/>
                    <w:lang w:val="en-US"/>
                  </w:rPr>
                  <w:fldChar w:fldCharType="separate"/>
                </w:r>
                <w:r w:rsidR="00DF47DA" w:rsidRPr="00DF47DA">
                  <w:rPr>
                    <w:noProof/>
                    <w:sz w:val="20"/>
                    <w:szCs w:val="20"/>
                    <w:lang w:val="en-US"/>
                  </w:rPr>
                  <w:t>[62]</w:t>
                </w:r>
                <w:r w:rsidR="00576775" w:rsidRPr="00DD1B58">
                  <w:rPr>
                    <w:sz w:val="20"/>
                    <w:szCs w:val="20"/>
                    <w:lang w:val="en-US"/>
                  </w:rPr>
                  <w:fldChar w:fldCharType="end"/>
                </w:r>
              </w:sdtContent>
            </w:sdt>
          </w:p>
        </w:tc>
        <w:tc>
          <w:tcPr>
            <w:tcW w:w="1706" w:type="dxa"/>
          </w:tcPr>
          <w:p w14:paraId="49224046" w14:textId="77777777" w:rsidR="03D5AE1B" w:rsidRPr="00DD1B58" w:rsidRDefault="03D5AE1B" w:rsidP="355CB971">
            <w:pPr>
              <w:rPr>
                <w:sz w:val="20"/>
                <w:szCs w:val="20"/>
                <w:lang w:val="en-US"/>
              </w:rPr>
            </w:pPr>
            <w:r w:rsidRPr="00DD1B58">
              <w:rPr>
                <w:sz w:val="20"/>
                <w:szCs w:val="20"/>
                <w:lang w:val="en-US"/>
              </w:rPr>
              <w:t>Fire strategy modifications</w:t>
            </w:r>
          </w:p>
        </w:tc>
        <w:tc>
          <w:tcPr>
            <w:tcW w:w="1417" w:type="dxa"/>
          </w:tcPr>
          <w:p w14:paraId="4208A2CF" w14:textId="23DCB6F6" w:rsidR="03D5AE1B" w:rsidRPr="00DD1B58" w:rsidRDefault="000772FE" w:rsidP="355CB971">
            <w:pPr>
              <w:rPr>
                <w:sz w:val="20"/>
                <w:szCs w:val="20"/>
                <w:lang w:val="en-US"/>
              </w:rPr>
            </w:pPr>
            <w:r w:rsidRPr="00DD1B58">
              <w:rPr>
                <w:sz w:val="20"/>
                <w:szCs w:val="20"/>
                <w:lang w:val="en-US"/>
              </w:rPr>
              <w:t>British Standards and ONR</w:t>
            </w:r>
          </w:p>
        </w:tc>
        <w:tc>
          <w:tcPr>
            <w:tcW w:w="5199" w:type="dxa"/>
          </w:tcPr>
          <w:p w14:paraId="605AAFD2" w14:textId="77777777" w:rsidR="03D5AE1B" w:rsidRPr="00DD1B58" w:rsidRDefault="03D5AE1B" w:rsidP="355CB971">
            <w:pPr>
              <w:rPr>
                <w:sz w:val="20"/>
                <w:szCs w:val="20"/>
                <w:lang w:val="en-US"/>
              </w:rPr>
            </w:pPr>
            <w:r w:rsidRPr="00DD1B58">
              <w:rPr>
                <w:sz w:val="20"/>
                <w:szCs w:val="20"/>
                <w:lang w:val="en-US"/>
              </w:rPr>
              <w:t>Various modifications to align with British Standards and in response to ONR comments</w:t>
            </w:r>
            <w:r w:rsidR="00DD55EB" w:rsidRPr="00DD1B58">
              <w:rPr>
                <w:sz w:val="20"/>
                <w:szCs w:val="20"/>
                <w:lang w:val="en-US"/>
              </w:rPr>
              <w:t>,</w:t>
            </w:r>
            <w:r w:rsidRPr="00DD1B58">
              <w:rPr>
                <w:sz w:val="20"/>
                <w:szCs w:val="20"/>
                <w:lang w:val="en-US"/>
              </w:rPr>
              <w:t xml:space="preserve"> including:</w:t>
            </w:r>
          </w:p>
          <w:p w14:paraId="1217F637" w14:textId="6563C7DE" w:rsidR="03D5AE1B" w:rsidRPr="00DD1B58" w:rsidRDefault="03D5AE1B" w:rsidP="00973FF4">
            <w:pPr>
              <w:pStyle w:val="Bulletlist1"/>
              <w:rPr>
                <w:sz w:val="20"/>
                <w:szCs w:val="18"/>
                <w:lang w:val="en-US"/>
              </w:rPr>
            </w:pPr>
            <w:r w:rsidRPr="00DD1B58">
              <w:rPr>
                <w:sz w:val="20"/>
                <w:szCs w:val="18"/>
                <w:lang w:val="en-US"/>
              </w:rPr>
              <w:t xml:space="preserve"> Addition of secondary power supplies to firefighting shaft lighting; </w:t>
            </w:r>
          </w:p>
          <w:p w14:paraId="3C4D572D" w14:textId="3FF77AF2" w:rsidR="03D5AE1B" w:rsidRPr="00DD1B58" w:rsidRDefault="03D5AE1B" w:rsidP="00973FF4">
            <w:pPr>
              <w:pStyle w:val="Bulletlist1"/>
              <w:rPr>
                <w:sz w:val="20"/>
                <w:szCs w:val="18"/>
                <w:lang w:val="en-US"/>
              </w:rPr>
            </w:pPr>
            <w:r w:rsidRPr="00DD1B58">
              <w:rPr>
                <w:sz w:val="20"/>
                <w:szCs w:val="18"/>
                <w:lang w:val="en-US"/>
              </w:rPr>
              <w:t>Addition of fixed firefighting to areas with significant risk;</w:t>
            </w:r>
          </w:p>
          <w:p w14:paraId="7E161FDA" w14:textId="143473F4" w:rsidR="03D5AE1B" w:rsidRPr="00DD1B58" w:rsidRDefault="03D5AE1B" w:rsidP="00973FF4">
            <w:pPr>
              <w:pStyle w:val="Bulletlist1"/>
              <w:rPr>
                <w:sz w:val="20"/>
                <w:szCs w:val="18"/>
                <w:lang w:val="en-US"/>
              </w:rPr>
            </w:pPr>
            <w:r w:rsidRPr="00DD1B58">
              <w:rPr>
                <w:sz w:val="20"/>
                <w:szCs w:val="18"/>
                <w:lang w:val="en-US"/>
              </w:rPr>
              <w:t xml:space="preserve"> Changes to fire sectorisation and openings for personnel evacuation;</w:t>
            </w:r>
          </w:p>
          <w:p w14:paraId="31D0EB7A" w14:textId="2EE7F24A" w:rsidR="03D5AE1B" w:rsidRPr="00DD1B58" w:rsidRDefault="03D5AE1B" w:rsidP="00973FF4">
            <w:pPr>
              <w:pStyle w:val="Bulletlist1"/>
              <w:rPr>
                <w:sz w:val="20"/>
                <w:szCs w:val="18"/>
                <w:lang w:val="en-US"/>
              </w:rPr>
            </w:pPr>
            <w:r w:rsidRPr="00DD1B58">
              <w:rPr>
                <w:sz w:val="20"/>
                <w:szCs w:val="18"/>
                <w:lang w:val="en-US"/>
              </w:rPr>
              <w:t xml:space="preserve"> Upgrade Safeguard Building lifts to firefighting lifts</w:t>
            </w:r>
            <w:r w:rsidR="00DD55EB" w:rsidRPr="00DD1B58">
              <w:rPr>
                <w:sz w:val="20"/>
                <w:szCs w:val="18"/>
                <w:lang w:val="en-US"/>
              </w:rPr>
              <w:t>; and</w:t>
            </w:r>
          </w:p>
          <w:p w14:paraId="36E675C5" w14:textId="1346BDBA" w:rsidR="03D5AE1B" w:rsidRPr="00DD1B58" w:rsidRDefault="03D5AE1B" w:rsidP="00973FF4">
            <w:pPr>
              <w:pStyle w:val="Bulletlist1"/>
              <w:rPr>
                <w:lang w:val="en-US"/>
              </w:rPr>
            </w:pPr>
            <w:r w:rsidRPr="00DD1B58">
              <w:rPr>
                <w:sz w:val="20"/>
                <w:szCs w:val="18"/>
                <w:lang w:val="en-US"/>
              </w:rPr>
              <w:t>Additional dry riser outlet in radwaste building to improve coverage</w:t>
            </w:r>
            <w:r w:rsidR="00DD55EB" w:rsidRPr="00DD1B58">
              <w:rPr>
                <w:sz w:val="20"/>
                <w:szCs w:val="18"/>
                <w:lang w:val="en-US"/>
              </w:rPr>
              <w:t>.</w:t>
            </w:r>
          </w:p>
        </w:tc>
      </w:tr>
      <w:tr w:rsidR="355CB971" w:rsidRPr="00DD1B58" w14:paraId="0341DDC7" w14:textId="77777777" w:rsidTr="00973FF4">
        <w:trPr>
          <w:trHeight w:val="300"/>
        </w:trPr>
        <w:tc>
          <w:tcPr>
            <w:tcW w:w="1413" w:type="dxa"/>
          </w:tcPr>
          <w:p w14:paraId="4EF35BAF" w14:textId="4BF696B5" w:rsidR="03D5AE1B" w:rsidRPr="00DD1B58" w:rsidRDefault="10C23EB0" w:rsidP="50AE0A86">
            <w:pPr>
              <w:rPr>
                <w:sz w:val="20"/>
                <w:szCs w:val="20"/>
                <w:lang w:val="en-US"/>
              </w:rPr>
            </w:pPr>
            <w:r w:rsidRPr="00DD1B58">
              <w:rPr>
                <w:sz w:val="20"/>
                <w:szCs w:val="20"/>
                <w:lang w:val="en-US"/>
              </w:rPr>
              <w:t xml:space="preserve">T1DDM-UK-08067 A </w:t>
            </w:r>
            <w:sdt>
              <w:sdtPr>
                <w:rPr>
                  <w:sz w:val="20"/>
                  <w:szCs w:val="20"/>
                  <w:lang w:val="en-US"/>
                </w:rPr>
                <w:id w:val="-1606114527"/>
                <w:citation/>
              </w:sdtPr>
              <w:sdtContent>
                <w:r w:rsidR="00576775" w:rsidRPr="00DD1B58">
                  <w:rPr>
                    <w:sz w:val="20"/>
                    <w:szCs w:val="20"/>
                    <w:lang w:val="en-US"/>
                  </w:rPr>
                  <w:fldChar w:fldCharType="begin"/>
                </w:r>
                <w:r w:rsidR="00576775" w:rsidRPr="00DD1B58">
                  <w:rPr>
                    <w:sz w:val="20"/>
                    <w:szCs w:val="20"/>
                    <w:lang w:val="en-US"/>
                  </w:rPr>
                  <w:instrText xml:space="preserve"> CITATION NNB163 \l 2057 </w:instrText>
                </w:r>
                <w:r w:rsidR="00576775" w:rsidRPr="00DD1B58">
                  <w:rPr>
                    <w:sz w:val="20"/>
                    <w:szCs w:val="20"/>
                    <w:lang w:val="en-US"/>
                  </w:rPr>
                  <w:fldChar w:fldCharType="separate"/>
                </w:r>
                <w:r w:rsidR="00DF47DA" w:rsidRPr="00DF47DA">
                  <w:rPr>
                    <w:noProof/>
                    <w:sz w:val="20"/>
                    <w:szCs w:val="20"/>
                    <w:lang w:val="en-US"/>
                  </w:rPr>
                  <w:t>[63]</w:t>
                </w:r>
                <w:r w:rsidR="00576775" w:rsidRPr="00DD1B58">
                  <w:rPr>
                    <w:sz w:val="20"/>
                    <w:szCs w:val="20"/>
                    <w:lang w:val="en-US"/>
                  </w:rPr>
                  <w:fldChar w:fldCharType="end"/>
                </w:r>
              </w:sdtContent>
            </w:sdt>
          </w:p>
        </w:tc>
        <w:tc>
          <w:tcPr>
            <w:tcW w:w="1706" w:type="dxa"/>
          </w:tcPr>
          <w:p w14:paraId="69112A94" w14:textId="77777777" w:rsidR="03D5AE1B" w:rsidRPr="00DD1B58" w:rsidRDefault="03D5AE1B" w:rsidP="355CB971">
            <w:pPr>
              <w:rPr>
                <w:sz w:val="20"/>
                <w:szCs w:val="20"/>
                <w:lang w:val="en-US"/>
              </w:rPr>
            </w:pPr>
            <w:r w:rsidRPr="00DD1B58">
              <w:rPr>
                <w:sz w:val="20"/>
                <w:szCs w:val="20"/>
                <w:lang w:val="en-US"/>
              </w:rPr>
              <w:t>Additional Fire Compartmentation (linked to CIG5041UK B)</w:t>
            </w:r>
          </w:p>
        </w:tc>
        <w:tc>
          <w:tcPr>
            <w:tcW w:w="1417" w:type="dxa"/>
          </w:tcPr>
          <w:p w14:paraId="529B6015" w14:textId="77777777" w:rsidR="03D5AE1B" w:rsidRPr="00DD1B58" w:rsidRDefault="03D5AE1B" w:rsidP="355CB971">
            <w:pPr>
              <w:rPr>
                <w:sz w:val="20"/>
                <w:szCs w:val="20"/>
                <w:lang w:val="en-US"/>
              </w:rPr>
            </w:pPr>
            <w:r w:rsidRPr="00DD1B58">
              <w:rPr>
                <w:sz w:val="20"/>
                <w:szCs w:val="20"/>
                <w:lang w:val="en-US"/>
              </w:rPr>
              <w:t>Licensing, GDA or UK regulations</w:t>
            </w:r>
          </w:p>
        </w:tc>
        <w:tc>
          <w:tcPr>
            <w:tcW w:w="5199" w:type="dxa"/>
          </w:tcPr>
          <w:p w14:paraId="2DC1EA2F" w14:textId="77777777" w:rsidR="03D5AE1B" w:rsidRPr="00DD1B58" w:rsidRDefault="03D5AE1B" w:rsidP="355CB971">
            <w:pPr>
              <w:rPr>
                <w:sz w:val="20"/>
                <w:szCs w:val="20"/>
                <w:lang w:val="en-US"/>
              </w:rPr>
            </w:pPr>
            <w:r w:rsidRPr="00DD1B58">
              <w:rPr>
                <w:sz w:val="20"/>
                <w:szCs w:val="20"/>
                <w:lang w:val="en-US"/>
              </w:rPr>
              <w:t>Additional fire compartmentation to Nuclear Island buildings following discussions with NNB, ONR meetings, and development of Fire Strategy documents</w:t>
            </w:r>
            <w:r w:rsidR="001F4329" w:rsidRPr="00DD1B58">
              <w:rPr>
                <w:sz w:val="20"/>
                <w:szCs w:val="20"/>
                <w:lang w:val="en-US"/>
              </w:rPr>
              <w:t>.</w:t>
            </w:r>
          </w:p>
        </w:tc>
      </w:tr>
      <w:tr w:rsidR="355CB971" w:rsidRPr="00DD1B58" w14:paraId="61B3AD7C" w14:textId="77777777" w:rsidTr="00973FF4">
        <w:trPr>
          <w:trHeight w:val="300"/>
        </w:trPr>
        <w:tc>
          <w:tcPr>
            <w:tcW w:w="1413" w:type="dxa"/>
          </w:tcPr>
          <w:p w14:paraId="10E5C076" w14:textId="6122FE02" w:rsidR="03D5AE1B" w:rsidRPr="00DD1B58" w:rsidRDefault="10C23EB0" w:rsidP="50AE0A86">
            <w:pPr>
              <w:rPr>
                <w:sz w:val="20"/>
                <w:szCs w:val="20"/>
                <w:lang w:val="en-US"/>
              </w:rPr>
            </w:pPr>
            <w:r w:rsidRPr="00DD1B58">
              <w:rPr>
                <w:sz w:val="20"/>
                <w:szCs w:val="20"/>
                <w:lang w:val="en-US"/>
              </w:rPr>
              <w:t xml:space="preserve">T2EIB-UK-11455 </w:t>
            </w:r>
            <w:sdt>
              <w:sdtPr>
                <w:rPr>
                  <w:sz w:val="20"/>
                  <w:szCs w:val="20"/>
                  <w:lang w:val="en-US"/>
                </w:rPr>
                <w:id w:val="-748187776"/>
                <w:citation/>
              </w:sdtPr>
              <w:sdtContent>
                <w:r w:rsidR="004B7033" w:rsidRPr="00DD1B58">
                  <w:rPr>
                    <w:sz w:val="20"/>
                    <w:szCs w:val="20"/>
                    <w:lang w:val="en-US"/>
                  </w:rPr>
                  <w:fldChar w:fldCharType="begin"/>
                </w:r>
                <w:r w:rsidR="004B7033" w:rsidRPr="00DD1B58">
                  <w:rPr>
                    <w:sz w:val="20"/>
                    <w:szCs w:val="20"/>
                    <w:lang w:val="en-US"/>
                  </w:rPr>
                  <w:instrText xml:space="preserve"> CITATION NNB234 \l 2057 </w:instrText>
                </w:r>
                <w:r w:rsidR="004B7033" w:rsidRPr="00DD1B58">
                  <w:rPr>
                    <w:sz w:val="20"/>
                    <w:szCs w:val="20"/>
                    <w:lang w:val="en-US"/>
                  </w:rPr>
                  <w:fldChar w:fldCharType="separate"/>
                </w:r>
                <w:r w:rsidR="00DF47DA" w:rsidRPr="00DF47DA">
                  <w:rPr>
                    <w:noProof/>
                    <w:sz w:val="20"/>
                    <w:szCs w:val="20"/>
                    <w:lang w:val="en-US"/>
                  </w:rPr>
                  <w:t>[64]</w:t>
                </w:r>
                <w:r w:rsidR="004B7033" w:rsidRPr="00DD1B58">
                  <w:rPr>
                    <w:sz w:val="20"/>
                    <w:szCs w:val="20"/>
                    <w:lang w:val="en-US"/>
                  </w:rPr>
                  <w:fldChar w:fldCharType="end"/>
                </w:r>
              </w:sdtContent>
            </w:sdt>
          </w:p>
        </w:tc>
        <w:tc>
          <w:tcPr>
            <w:tcW w:w="1706" w:type="dxa"/>
          </w:tcPr>
          <w:p w14:paraId="591525F1" w14:textId="77777777" w:rsidR="03D5AE1B" w:rsidRPr="00DD1B58" w:rsidRDefault="03D5AE1B" w:rsidP="355CB971">
            <w:pPr>
              <w:rPr>
                <w:sz w:val="20"/>
                <w:szCs w:val="20"/>
                <w:lang w:val="en-US"/>
              </w:rPr>
            </w:pPr>
            <w:r w:rsidRPr="00DD1B58">
              <w:rPr>
                <w:sz w:val="20"/>
                <w:szCs w:val="20"/>
                <w:lang w:val="en-US"/>
              </w:rPr>
              <w:t>Set Down Area Fire Segregation</w:t>
            </w:r>
          </w:p>
        </w:tc>
        <w:tc>
          <w:tcPr>
            <w:tcW w:w="1417" w:type="dxa"/>
          </w:tcPr>
          <w:p w14:paraId="1B5D6C70" w14:textId="77777777" w:rsidR="03D5AE1B" w:rsidRPr="00DD1B58" w:rsidRDefault="03D5AE1B" w:rsidP="355CB971">
            <w:pPr>
              <w:rPr>
                <w:sz w:val="20"/>
                <w:szCs w:val="20"/>
                <w:lang w:val="en-US"/>
              </w:rPr>
            </w:pPr>
            <w:r w:rsidRPr="00DD1B58">
              <w:rPr>
                <w:sz w:val="20"/>
                <w:szCs w:val="20"/>
                <w:lang w:val="en-US"/>
              </w:rPr>
              <w:t>Design non-conformance</w:t>
            </w:r>
          </w:p>
        </w:tc>
        <w:tc>
          <w:tcPr>
            <w:tcW w:w="5199" w:type="dxa"/>
          </w:tcPr>
          <w:p w14:paraId="6A15CF04" w14:textId="77777777" w:rsidR="03D5AE1B" w:rsidRPr="00DD1B58" w:rsidRDefault="03D5AE1B" w:rsidP="355CB971">
            <w:pPr>
              <w:rPr>
                <w:sz w:val="20"/>
                <w:szCs w:val="20"/>
                <w:lang w:val="en-US"/>
              </w:rPr>
            </w:pPr>
            <w:r w:rsidRPr="00DD1B58">
              <w:rPr>
                <w:sz w:val="20"/>
                <w:szCs w:val="20"/>
                <w:lang w:val="en-US"/>
              </w:rPr>
              <w:t>Addition of fire dampers for redundancy and after re-routing of a HVAC duct</w:t>
            </w:r>
            <w:r w:rsidR="001F4329" w:rsidRPr="00DD1B58">
              <w:rPr>
                <w:sz w:val="20"/>
                <w:szCs w:val="20"/>
                <w:lang w:val="en-US"/>
              </w:rPr>
              <w:t>.</w:t>
            </w:r>
          </w:p>
        </w:tc>
      </w:tr>
      <w:tr w:rsidR="355CB971" w:rsidRPr="00DD1B58" w14:paraId="771F1374" w14:textId="77777777" w:rsidTr="00973FF4">
        <w:trPr>
          <w:trHeight w:val="300"/>
        </w:trPr>
        <w:tc>
          <w:tcPr>
            <w:tcW w:w="1413" w:type="dxa"/>
          </w:tcPr>
          <w:p w14:paraId="45135081" w14:textId="108F98E9" w:rsidR="03D5AE1B" w:rsidRPr="00DD1B58" w:rsidRDefault="10C23EB0" w:rsidP="50AE0A86">
            <w:pPr>
              <w:rPr>
                <w:sz w:val="20"/>
                <w:szCs w:val="20"/>
                <w:lang w:val="en-US"/>
              </w:rPr>
            </w:pPr>
            <w:r w:rsidRPr="00DD1B58">
              <w:rPr>
                <w:sz w:val="20"/>
                <w:szCs w:val="20"/>
                <w:lang w:val="en-US"/>
              </w:rPr>
              <w:t xml:space="preserve">T1EIB-UK-14823 A </w:t>
            </w:r>
            <w:sdt>
              <w:sdtPr>
                <w:rPr>
                  <w:sz w:val="20"/>
                  <w:szCs w:val="20"/>
                  <w:lang w:val="en-US"/>
                </w:rPr>
                <w:id w:val="236674268"/>
                <w:citation/>
              </w:sdtPr>
              <w:sdtContent>
                <w:r w:rsidR="00816B78" w:rsidRPr="00DD1B58">
                  <w:rPr>
                    <w:sz w:val="20"/>
                    <w:szCs w:val="20"/>
                    <w:lang w:val="en-US"/>
                  </w:rPr>
                  <w:fldChar w:fldCharType="begin"/>
                </w:r>
                <w:r w:rsidR="00816B78" w:rsidRPr="00DD1B58">
                  <w:rPr>
                    <w:sz w:val="20"/>
                    <w:szCs w:val="20"/>
                    <w:lang w:val="en-US"/>
                  </w:rPr>
                  <w:instrText xml:space="preserve"> CITATION NNB216 \l 2057 </w:instrText>
                </w:r>
                <w:r w:rsidR="00816B78" w:rsidRPr="00DD1B58">
                  <w:rPr>
                    <w:sz w:val="20"/>
                    <w:szCs w:val="20"/>
                    <w:lang w:val="en-US"/>
                  </w:rPr>
                  <w:fldChar w:fldCharType="separate"/>
                </w:r>
                <w:r w:rsidR="00DF47DA" w:rsidRPr="00DF47DA">
                  <w:rPr>
                    <w:noProof/>
                    <w:sz w:val="20"/>
                    <w:szCs w:val="20"/>
                    <w:lang w:val="en-US"/>
                  </w:rPr>
                  <w:t>[65]</w:t>
                </w:r>
                <w:r w:rsidR="00816B78" w:rsidRPr="00DD1B58">
                  <w:rPr>
                    <w:sz w:val="20"/>
                    <w:szCs w:val="20"/>
                    <w:lang w:val="en-US"/>
                  </w:rPr>
                  <w:fldChar w:fldCharType="end"/>
                </w:r>
              </w:sdtContent>
            </w:sdt>
          </w:p>
        </w:tc>
        <w:tc>
          <w:tcPr>
            <w:tcW w:w="1706" w:type="dxa"/>
          </w:tcPr>
          <w:p w14:paraId="11043244" w14:textId="77777777" w:rsidR="03D5AE1B" w:rsidRPr="00DD1B58" w:rsidRDefault="03D5AE1B" w:rsidP="355CB971">
            <w:pPr>
              <w:rPr>
                <w:sz w:val="20"/>
                <w:szCs w:val="20"/>
                <w:lang w:val="en-US"/>
              </w:rPr>
            </w:pPr>
            <w:r w:rsidRPr="00DD1B58">
              <w:rPr>
                <w:sz w:val="20"/>
                <w:szCs w:val="20"/>
                <w:lang w:val="en-US"/>
              </w:rPr>
              <w:t>Implementation of 80mm Fire Wrapping for Protection of Ducts and Supports – Phase 1</w:t>
            </w:r>
          </w:p>
        </w:tc>
        <w:tc>
          <w:tcPr>
            <w:tcW w:w="1417" w:type="dxa"/>
          </w:tcPr>
          <w:p w14:paraId="69092687" w14:textId="77777777" w:rsidR="03D5AE1B" w:rsidRPr="00DD1B58" w:rsidRDefault="03D5AE1B" w:rsidP="355CB971">
            <w:pPr>
              <w:rPr>
                <w:sz w:val="20"/>
                <w:szCs w:val="20"/>
                <w:lang w:val="en-US"/>
              </w:rPr>
            </w:pPr>
            <w:r w:rsidRPr="00DD1B58">
              <w:rPr>
                <w:sz w:val="20"/>
                <w:szCs w:val="20"/>
                <w:lang w:val="en-US"/>
              </w:rPr>
              <w:t>Post CS2 – NNB (Civil or MEH) supplier late feedback</w:t>
            </w:r>
          </w:p>
        </w:tc>
        <w:tc>
          <w:tcPr>
            <w:tcW w:w="5199" w:type="dxa"/>
          </w:tcPr>
          <w:p w14:paraId="1F18025B" w14:textId="77777777" w:rsidR="03D5AE1B" w:rsidRPr="00DD1B58" w:rsidRDefault="03D5AE1B" w:rsidP="355CB971">
            <w:pPr>
              <w:rPr>
                <w:sz w:val="20"/>
                <w:szCs w:val="20"/>
                <w:lang w:val="en-US"/>
              </w:rPr>
            </w:pPr>
            <w:r w:rsidRPr="00DD1B58">
              <w:rPr>
                <w:sz w:val="20"/>
                <w:szCs w:val="20"/>
                <w:lang w:val="en-US"/>
              </w:rPr>
              <w:t>40mm thickness was assumed in the 3D model during early stages of the design where 1 hour fire resistance, but no commercially available product was found with the required fire resistance, so model was modified to assume 80mm thickness</w:t>
            </w:r>
            <w:r w:rsidR="001F4329" w:rsidRPr="00DD1B58">
              <w:rPr>
                <w:sz w:val="20"/>
                <w:szCs w:val="20"/>
                <w:lang w:val="en-US"/>
              </w:rPr>
              <w:t>.</w:t>
            </w:r>
          </w:p>
        </w:tc>
      </w:tr>
    </w:tbl>
    <w:p w14:paraId="7E3A4465" w14:textId="77777777" w:rsidR="00F1180A" w:rsidRPr="00DD1B58" w:rsidRDefault="00F1180A" w:rsidP="00973FF4">
      <w:pPr>
        <w:pStyle w:val="Heading4"/>
        <w:spacing w:before="240"/>
        <w:ind w:left="1071" w:hanging="646"/>
        <w:rPr>
          <w:lang w:val="en-US"/>
        </w:rPr>
      </w:pPr>
      <w:r w:rsidRPr="00DD1B58">
        <w:rPr>
          <w:lang w:val="en-US"/>
        </w:rPr>
        <w:t xml:space="preserve">Licensee’s experience of fire safety analyses </w:t>
      </w:r>
    </w:p>
    <w:p w14:paraId="1C5ECF41" w14:textId="77777777" w:rsidR="00F1180A" w:rsidRPr="00DD1B58" w:rsidRDefault="00F1180A" w:rsidP="00F1180A">
      <w:pPr>
        <w:pStyle w:val="Heading4"/>
        <w:numPr>
          <w:ilvl w:val="4"/>
          <w:numId w:val="3"/>
        </w:numPr>
        <w:rPr>
          <w:lang w:val="en-US"/>
        </w:rPr>
      </w:pPr>
      <w:r w:rsidRPr="00DD1B58">
        <w:rPr>
          <w:lang w:val="en-US"/>
        </w:rPr>
        <w:t xml:space="preserve">Overview of strengths and weaknesses identified </w:t>
      </w:r>
    </w:p>
    <w:p w14:paraId="7EC206B2" w14:textId="3E33504F" w:rsidR="001F4329" w:rsidRPr="00DD1B58" w:rsidRDefault="000772FE" w:rsidP="355CB971">
      <w:pPr>
        <w:rPr>
          <w:lang w:val="en-US"/>
        </w:rPr>
      </w:pPr>
      <w:r w:rsidRPr="00DD1B58">
        <w:rPr>
          <w:lang w:val="en-US"/>
        </w:rPr>
        <w:t xml:space="preserve">NNB GenCo’s considers that the </w:t>
      </w:r>
      <w:r w:rsidR="1CA68F8D" w:rsidRPr="00DD1B58">
        <w:rPr>
          <w:lang w:val="en-US"/>
        </w:rPr>
        <w:t xml:space="preserve">fire safety analysis </w:t>
      </w:r>
      <w:r w:rsidRPr="00DD1B58">
        <w:rPr>
          <w:lang w:val="en-US"/>
        </w:rPr>
        <w:t>in development for HPC</w:t>
      </w:r>
      <w:r w:rsidR="1CA68F8D" w:rsidRPr="00DD1B58">
        <w:rPr>
          <w:lang w:val="en-US"/>
        </w:rPr>
        <w:t xml:space="preserve"> broadly </w:t>
      </w:r>
      <w:r w:rsidRPr="00DD1B58">
        <w:rPr>
          <w:lang w:val="en-US"/>
        </w:rPr>
        <w:t xml:space="preserve">complies </w:t>
      </w:r>
      <w:r w:rsidR="1CA68F8D" w:rsidRPr="00DD1B58">
        <w:rPr>
          <w:lang w:val="en-US"/>
        </w:rPr>
        <w:t>with WENRA SV 6.1 and WENRA E6.1</w:t>
      </w:r>
      <w:r w:rsidR="00554D28" w:rsidRPr="00DD1B58">
        <w:rPr>
          <w:lang w:val="en-US"/>
        </w:rPr>
        <w:t>. Specifically, NNB GenC</w:t>
      </w:r>
      <w:r w:rsidR="001F4329" w:rsidRPr="00DD1B58">
        <w:rPr>
          <w:lang w:val="en-US"/>
        </w:rPr>
        <w:t>o</w:t>
      </w:r>
      <w:r w:rsidR="00554D28" w:rsidRPr="00DD1B58">
        <w:rPr>
          <w:lang w:val="en-US"/>
        </w:rPr>
        <w:t xml:space="preserve"> </w:t>
      </w:r>
      <w:r w:rsidR="007C04F2" w:rsidRPr="00DD1B58">
        <w:rPr>
          <w:lang w:val="en-US"/>
        </w:rPr>
        <w:t xml:space="preserve">highlights </w:t>
      </w:r>
      <w:r w:rsidR="00554D28" w:rsidRPr="00DD1B58">
        <w:rPr>
          <w:lang w:val="en-US"/>
        </w:rPr>
        <w:t>the following as strengths</w:t>
      </w:r>
      <w:r w:rsidR="1CA68F8D" w:rsidRPr="00DD1B58">
        <w:rPr>
          <w:lang w:val="en-US"/>
        </w:rPr>
        <w:t xml:space="preserve">: </w:t>
      </w:r>
    </w:p>
    <w:p w14:paraId="7487CB47" w14:textId="7AD58B25" w:rsidR="1CA68F8D" w:rsidRPr="00DD1B58" w:rsidRDefault="001F4329" w:rsidP="00973FF4">
      <w:pPr>
        <w:pStyle w:val="QuoteText"/>
        <w:rPr>
          <w:lang w:val="en-US"/>
        </w:rPr>
      </w:pPr>
      <w:r w:rsidRPr="00DD1B58">
        <w:rPr>
          <w:iCs/>
          <w:lang w:val="en-US"/>
        </w:rPr>
        <w:t>T</w:t>
      </w:r>
      <w:r w:rsidR="00554D28" w:rsidRPr="00DD1B58">
        <w:rPr>
          <w:iCs/>
          <w:lang w:val="en-US"/>
        </w:rPr>
        <w:t>he</w:t>
      </w:r>
      <w:r w:rsidR="1CA68F8D" w:rsidRPr="00DD1B58">
        <w:rPr>
          <w:lang w:val="en-US"/>
        </w:rPr>
        <w:t xml:space="preserve"> fire safety analysis has been developed using standards that are more recent than those that were in place during the design and construction of other stations within the UK fleet, and close collaborative working between the UK and France has allowed benefits to be shared. The analysis has also had the benefit of development of modelling techniques and use of 3D computer models of the buildings and structures that were not available during the design of other stations in the UK fleet.</w:t>
      </w:r>
    </w:p>
    <w:p w14:paraId="188E634C" w14:textId="519CBC57" w:rsidR="1CA68F8D" w:rsidRPr="00DD1B58" w:rsidRDefault="00554D28" w:rsidP="355CB971">
      <w:pPr>
        <w:rPr>
          <w:lang w:val="en-US"/>
        </w:rPr>
      </w:pPr>
      <w:r w:rsidRPr="00DD1B58">
        <w:rPr>
          <w:lang w:val="en-US"/>
        </w:rPr>
        <w:t xml:space="preserve">NNB GenCo </w:t>
      </w:r>
      <w:r w:rsidR="007C04F2" w:rsidRPr="00DD1B58">
        <w:rPr>
          <w:lang w:val="en-US"/>
        </w:rPr>
        <w:t xml:space="preserve">acknowledges </w:t>
      </w:r>
      <w:r w:rsidRPr="00DD1B58">
        <w:rPr>
          <w:lang w:val="en-US"/>
        </w:rPr>
        <w:t>the following w</w:t>
      </w:r>
      <w:r w:rsidR="1CA68F8D" w:rsidRPr="00DD1B58">
        <w:rPr>
          <w:lang w:val="en-US"/>
        </w:rPr>
        <w:t>eaknesses</w:t>
      </w:r>
      <w:r w:rsidRPr="00DD1B58">
        <w:rPr>
          <w:lang w:val="en-US"/>
        </w:rPr>
        <w:t xml:space="preserve"> in their fire safety analysis:</w:t>
      </w:r>
    </w:p>
    <w:p w14:paraId="298421DE" w14:textId="016A9BB7" w:rsidR="1CA68F8D" w:rsidRPr="00DD1B58" w:rsidRDefault="7441261C" w:rsidP="001B13EA">
      <w:pPr>
        <w:pStyle w:val="Bulletlist1"/>
        <w:rPr>
          <w:lang w:val="en-US"/>
        </w:rPr>
      </w:pPr>
      <w:r w:rsidRPr="00DD1B58">
        <w:rPr>
          <w:b/>
          <w:bCs/>
          <w:lang w:val="en-US"/>
        </w:rPr>
        <w:t>Reactor building:</w:t>
      </w:r>
      <w:r w:rsidRPr="00DD1B58">
        <w:rPr>
          <w:lang w:val="en-US"/>
        </w:rPr>
        <w:t xml:space="preserve"> </w:t>
      </w:r>
      <w:r w:rsidR="001F4329" w:rsidRPr="00DD1B58">
        <w:rPr>
          <w:lang w:val="en-US"/>
        </w:rPr>
        <w:t xml:space="preserve">the </w:t>
      </w:r>
      <w:r w:rsidRPr="00DD1B58">
        <w:rPr>
          <w:lang w:val="en-US"/>
        </w:rPr>
        <w:t>assessment techniques used for most of the fire HSVs were found not to be directly applicable to the reactor building because the large volumes were beyond the range of applicability of the models used for other buildings. A separate assessment methodology was therefore developed for the reactor building.</w:t>
      </w:r>
    </w:p>
    <w:p w14:paraId="4D141186" w14:textId="71E476E5" w:rsidR="1CA68F8D" w:rsidRPr="00DD1B58" w:rsidRDefault="7441261C" w:rsidP="001B13EA">
      <w:pPr>
        <w:pStyle w:val="Bulletlist1"/>
        <w:rPr>
          <w:lang w:val="en-US"/>
        </w:rPr>
      </w:pPr>
      <w:r w:rsidRPr="00DD1B58">
        <w:rPr>
          <w:b/>
          <w:bCs/>
          <w:lang w:val="en-US"/>
        </w:rPr>
        <w:t>Fires outside buildings:</w:t>
      </w:r>
      <w:r w:rsidRPr="00DD1B58">
        <w:rPr>
          <w:lang w:val="en-US"/>
        </w:rPr>
        <w:t xml:space="preserve"> </w:t>
      </w:r>
      <w:r w:rsidR="001F4329" w:rsidRPr="00DD1B58">
        <w:rPr>
          <w:lang w:val="en-US"/>
        </w:rPr>
        <w:t xml:space="preserve">the </w:t>
      </w:r>
      <w:r w:rsidRPr="00DD1B58">
        <w:rPr>
          <w:lang w:val="en-US"/>
        </w:rPr>
        <w:t>assessment methodology can be applied rigorously to fires initiated within a building or structure. Although the methodology covers fire spread through penetrations in a wall that is common to two buildings, it does not cover fire or smoke spread through external openings, fire from an outside source such as stored materials or vehicle fire, or a large fire on the site. A gap analysis has been carried out and specific assessments are being carried out as required.</w:t>
      </w:r>
    </w:p>
    <w:p w14:paraId="15F10D49" w14:textId="77777777" w:rsidR="00F1180A" w:rsidRPr="00DD1B58" w:rsidRDefault="00F1180A" w:rsidP="00F1180A">
      <w:pPr>
        <w:pStyle w:val="Heading4"/>
        <w:numPr>
          <w:ilvl w:val="4"/>
          <w:numId w:val="3"/>
        </w:numPr>
        <w:rPr>
          <w:lang w:val="en-US"/>
        </w:rPr>
      </w:pPr>
      <w:bookmarkStart w:id="32" w:name="_Ref140844289"/>
      <w:r w:rsidRPr="00DD1B58">
        <w:rPr>
          <w:lang w:val="en-US"/>
        </w:rPr>
        <w:t>Lessons learned from events, reviews, fire safety related missions, etc.</w:t>
      </w:r>
      <w:bookmarkEnd w:id="32"/>
      <w:r w:rsidRPr="00DD1B58">
        <w:rPr>
          <w:lang w:val="en-US"/>
        </w:rPr>
        <w:t xml:space="preserve"> </w:t>
      </w:r>
    </w:p>
    <w:p w14:paraId="5B97678F" w14:textId="230D7030" w:rsidR="474252AB" w:rsidRPr="00DD1B58" w:rsidRDefault="474252AB" w:rsidP="355CB971">
      <w:pPr>
        <w:rPr>
          <w:lang w:val="en-US"/>
        </w:rPr>
      </w:pPr>
      <w:r w:rsidRPr="00DD1B58">
        <w:rPr>
          <w:lang w:val="en-US"/>
        </w:rPr>
        <w:t xml:space="preserve">HPC is currently undergoing construction and is not yet operational. </w:t>
      </w:r>
      <w:r w:rsidR="00BA69B0" w:rsidRPr="00DD1B58">
        <w:rPr>
          <w:lang w:val="en-US"/>
        </w:rPr>
        <w:t>NNB GenCo acknowledges that, a</w:t>
      </w:r>
      <w:r w:rsidRPr="00DD1B58">
        <w:rPr>
          <w:lang w:val="en-US"/>
        </w:rPr>
        <w:t>lthough events are recorded and reviewed so that lessons can be learned, many of the events to date are from transient hazards associated with the construction environment and have limited applicability to the operational plant.</w:t>
      </w:r>
    </w:p>
    <w:p w14:paraId="5A6CC213" w14:textId="5083C126" w:rsidR="474252AB" w:rsidRPr="00DD1B58" w:rsidRDefault="00C961C7" w:rsidP="355CB971">
      <w:pPr>
        <w:rPr>
          <w:lang w:val="en-US"/>
        </w:rPr>
      </w:pPr>
      <w:r w:rsidRPr="00DD1B58">
        <w:rPr>
          <w:lang w:val="en-US"/>
        </w:rPr>
        <w:t>NNB GenCo maintains a</w:t>
      </w:r>
      <w:r w:rsidR="474252AB" w:rsidRPr="00DD1B58">
        <w:rPr>
          <w:lang w:val="en-US"/>
        </w:rPr>
        <w:t>n ongoing OPEX</w:t>
      </w:r>
      <w:r w:rsidR="00E17CD0" w:rsidRPr="00DD1B58">
        <w:rPr>
          <w:lang w:val="en-US"/>
        </w:rPr>
        <w:t xml:space="preserve"> </w:t>
      </w:r>
      <w:r w:rsidR="474252AB" w:rsidRPr="00DD1B58">
        <w:rPr>
          <w:lang w:val="en-US"/>
        </w:rPr>
        <w:t xml:space="preserve">register for the project since 2012 and a summary report is issued at regular intervals </w:t>
      </w:r>
      <w:sdt>
        <w:sdtPr>
          <w:rPr>
            <w:lang w:val="en-US"/>
          </w:rPr>
          <w:id w:val="-812173319"/>
          <w:citation/>
        </w:sdtPr>
        <w:sdtContent>
          <w:r w:rsidR="007F0CFA" w:rsidRPr="00DD1B58">
            <w:rPr>
              <w:lang w:val="en-US"/>
            </w:rPr>
            <w:fldChar w:fldCharType="begin"/>
          </w:r>
          <w:r w:rsidR="007F0CFA" w:rsidRPr="00DD1B58">
            <w:rPr>
              <w:lang w:val="en-US"/>
            </w:rPr>
            <w:instrText xml:space="preserve"> CITATION NNB227 \l 2057 </w:instrText>
          </w:r>
          <w:r w:rsidR="007F0CFA" w:rsidRPr="00DD1B58">
            <w:rPr>
              <w:lang w:val="en-US"/>
            </w:rPr>
            <w:fldChar w:fldCharType="separate"/>
          </w:r>
          <w:r w:rsidR="00DF47DA" w:rsidRPr="00DF47DA">
            <w:rPr>
              <w:noProof/>
              <w:lang w:val="en-US"/>
            </w:rPr>
            <w:t>[66]</w:t>
          </w:r>
          <w:r w:rsidR="007F0CFA" w:rsidRPr="00DD1B58">
            <w:rPr>
              <w:lang w:val="en-US"/>
            </w:rPr>
            <w:fldChar w:fldCharType="end"/>
          </w:r>
        </w:sdtContent>
      </w:sdt>
      <w:r w:rsidR="474252AB" w:rsidRPr="00DD1B58">
        <w:rPr>
          <w:lang w:val="en-US"/>
        </w:rPr>
        <w:t xml:space="preserve">. The </w:t>
      </w:r>
      <w:r w:rsidR="00D57600" w:rsidRPr="00DD1B58">
        <w:rPr>
          <w:lang w:val="en-US"/>
        </w:rPr>
        <w:t>list</w:t>
      </w:r>
      <w:r w:rsidR="474252AB" w:rsidRPr="00DD1B58">
        <w:rPr>
          <w:lang w:val="en-US"/>
        </w:rPr>
        <w:t xml:space="preserve"> below is a sample from the most recent version report. </w:t>
      </w:r>
      <w:r w:rsidR="00D67985" w:rsidRPr="00DD1B58">
        <w:rPr>
          <w:lang w:val="en-US"/>
        </w:rPr>
        <w:t>The</w:t>
      </w:r>
      <w:r w:rsidR="474252AB" w:rsidRPr="00DD1B58">
        <w:rPr>
          <w:lang w:val="en-US"/>
        </w:rPr>
        <w:t xml:space="preserve"> OPEX has been taken into account in the HPC design where appropriate </w:t>
      </w:r>
      <w:r w:rsidR="00D67985" w:rsidRPr="00DD1B58">
        <w:rPr>
          <w:lang w:val="en-US"/>
        </w:rPr>
        <w:t xml:space="preserve">and </w:t>
      </w:r>
      <w:r w:rsidR="474252AB" w:rsidRPr="00DD1B58">
        <w:rPr>
          <w:lang w:val="en-US"/>
        </w:rPr>
        <w:t>included:</w:t>
      </w:r>
    </w:p>
    <w:p w14:paraId="195E26AD" w14:textId="77777777" w:rsidR="474252AB" w:rsidRPr="00DD1B58" w:rsidRDefault="6C1D1304" w:rsidP="001B13EA">
      <w:pPr>
        <w:pStyle w:val="Bulletlist1"/>
        <w:rPr>
          <w:lang w:val="en-US"/>
        </w:rPr>
      </w:pPr>
      <w:r w:rsidRPr="00DD1B58">
        <w:rPr>
          <w:lang w:val="en-US"/>
        </w:rPr>
        <w:t>Post-cooling of hot batteries and manoeuvrability of Nuclear Auxiliary Building ventilation isolation registers (NME0808)</w:t>
      </w:r>
      <w:r w:rsidR="001F4329" w:rsidRPr="00DD1B58">
        <w:rPr>
          <w:lang w:val="en-US"/>
        </w:rPr>
        <w:t>;</w:t>
      </w:r>
    </w:p>
    <w:p w14:paraId="4BFE712C" w14:textId="77777777" w:rsidR="474252AB" w:rsidRPr="00DD1B58" w:rsidRDefault="6C1D1304" w:rsidP="001B13EA">
      <w:pPr>
        <w:pStyle w:val="Bulletlist1"/>
        <w:rPr>
          <w:lang w:val="en-US"/>
        </w:rPr>
      </w:pPr>
      <w:r w:rsidRPr="00DD1B58">
        <w:rPr>
          <w:lang w:val="en-US"/>
        </w:rPr>
        <w:t>Operational issue when testing switchover of Remote Shutdown Station ventilation in the event of a fire (NME0939)</w:t>
      </w:r>
      <w:r w:rsidR="001F4329" w:rsidRPr="00DD1B58">
        <w:rPr>
          <w:lang w:val="en-US"/>
        </w:rPr>
        <w:t>;</w:t>
      </w:r>
    </w:p>
    <w:p w14:paraId="7B4872E8" w14:textId="77777777" w:rsidR="474252AB" w:rsidRPr="00DD1B58" w:rsidRDefault="6C1D1304" w:rsidP="001B13EA">
      <w:pPr>
        <w:pStyle w:val="Bulletlist1"/>
        <w:rPr>
          <w:lang w:val="en-US"/>
        </w:rPr>
      </w:pPr>
      <w:r w:rsidRPr="00DD1B58">
        <w:rPr>
          <w:lang w:val="en-US"/>
        </w:rPr>
        <w:t>Inability to install cable wrapping as required by the design in some areas due to congestion (NME0797)</w:t>
      </w:r>
      <w:r w:rsidR="001F4329" w:rsidRPr="00DD1B58">
        <w:rPr>
          <w:lang w:val="en-US"/>
        </w:rPr>
        <w:t>; and</w:t>
      </w:r>
    </w:p>
    <w:p w14:paraId="256D2AE4" w14:textId="77777777" w:rsidR="474252AB" w:rsidRPr="00DD1B58" w:rsidRDefault="6C1D1304" w:rsidP="001B13EA">
      <w:pPr>
        <w:pStyle w:val="Bulletlist1"/>
        <w:rPr>
          <w:szCs w:val="24"/>
          <w:lang w:val="en-US"/>
        </w:rPr>
      </w:pPr>
      <w:r w:rsidRPr="00DD1B58">
        <w:rPr>
          <w:lang w:val="en-US"/>
        </w:rPr>
        <w:t>Spurious fire detection system operating on ventilation system caused fans to run at zero flow (NME940)</w:t>
      </w:r>
      <w:r w:rsidR="001F4329" w:rsidRPr="00DD1B58">
        <w:rPr>
          <w:lang w:val="en-US"/>
        </w:rPr>
        <w:t>.</w:t>
      </w:r>
    </w:p>
    <w:p w14:paraId="68132300" w14:textId="77777777" w:rsidR="0E1DFBB0" w:rsidRPr="00DD1B58" w:rsidRDefault="00F1180A" w:rsidP="3FE0E35C">
      <w:pPr>
        <w:pStyle w:val="Heading4"/>
        <w:rPr>
          <w:lang w:val="en-US"/>
        </w:rPr>
      </w:pPr>
      <w:r w:rsidRPr="00DD1B58">
        <w:rPr>
          <w:lang w:val="en-US"/>
        </w:rPr>
        <w:t xml:space="preserve">Regulator’s assessment and conclusions on fire safety analyses </w:t>
      </w:r>
    </w:p>
    <w:p w14:paraId="41329D5A" w14:textId="77777777" w:rsidR="00F1180A" w:rsidRPr="00DD1B58" w:rsidRDefault="00F1180A" w:rsidP="00F1180A">
      <w:pPr>
        <w:pStyle w:val="Heading4"/>
        <w:numPr>
          <w:ilvl w:val="4"/>
          <w:numId w:val="3"/>
        </w:numPr>
        <w:rPr>
          <w:lang w:val="en-US"/>
        </w:rPr>
      </w:pPr>
      <w:r w:rsidRPr="00DD1B58">
        <w:rPr>
          <w:lang w:val="en-US"/>
        </w:rPr>
        <w:t xml:space="preserve">Overview of strengths and weaknesses identified by the regulator </w:t>
      </w:r>
    </w:p>
    <w:p w14:paraId="4DCB642E" w14:textId="77777777" w:rsidR="7410160D" w:rsidRPr="00DD1B58" w:rsidRDefault="7410160D">
      <w:pPr>
        <w:rPr>
          <w:lang w:val="en-US"/>
        </w:rPr>
      </w:pPr>
      <w:r w:rsidRPr="00DD1B58">
        <w:rPr>
          <w:rFonts w:eastAsia="Arial"/>
          <w:b/>
          <w:szCs w:val="24"/>
          <w:lang w:val="en-US"/>
        </w:rPr>
        <w:t>Guidance</w:t>
      </w:r>
      <w:r w:rsidRPr="00DD1B58">
        <w:rPr>
          <w:rFonts w:eastAsia="Arial"/>
          <w:szCs w:val="24"/>
          <w:lang w:val="en-US"/>
        </w:rPr>
        <w:t xml:space="preserve"> </w:t>
      </w:r>
    </w:p>
    <w:p w14:paraId="1F61956D" w14:textId="45131272" w:rsidR="7410160D" w:rsidRPr="00DD1B58" w:rsidRDefault="7410160D" w:rsidP="00973FF4">
      <w:pPr>
        <w:rPr>
          <w:rFonts w:eastAsia="Arial"/>
          <w:szCs w:val="24"/>
          <w:lang w:val="en-US"/>
        </w:rPr>
      </w:pPr>
      <w:r w:rsidRPr="00DD1B58">
        <w:rPr>
          <w:rFonts w:eastAsia="Arial"/>
          <w:szCs w:val="24"/>
          <w:lang w:val="en-US"/>
        </w:rPr>
        <w:t>NNB GenCo</w:t>
      </w:r>
      <w:r w:rsidR="00B60BD1" w:rsidRPr="00DD1B58">
        <w:rPr>
          <w:rFonts w:eastAsia="Arial"/>
          <w:szCs w:val="24"/>
          <w:lang w:val="en-US"/>
        </w:rPr>
        <w:t>’s</w:t>
      </w:r>
      <w:r w:rsidRPr="00DD1B58">
        <w:rPr>
          <w:rFonts w:eastAsia="Arial"/>
          <w:szCs w:val="24"/>
          <w:lang w:val="en-US"/>
        </w:rPr>
        <w:t xml:space="preserve"> fire hazard analysis </w:t>
      </w:r>
      <w:r w:rsidR="00B60BD1" w:rsidRPr="00DD1B58">
        <w:rPr>
          <w:rFonts w:eastAsia="Arial"/>
          <w:szCs w:val="24"/>
          <w:lang w:val="en-US"/>
        </w:rPr>
        <w:t xml:space="preserve">guidance as applied </w:t>
      </w:r>
      <w:r w:rsidRPr="00DD1B58">
        <w:rPr>
          <w:rFonts w:eastAsia="Arial"/>
          <w:szCs w:val="24"/>
          <w:lang w:val="en-US"/>
        </w:rPr>
        <w:t>at HPC i</w:t>
      </w:r>
      <w:r w:rsidR="00B60BD1" w:rsidRPr="00DD1B58">
        <w:rPr>
          <w:rFonts w:eastAsia="Arial"/>
          <w:szCs w:val="24"/>
          <w:lang w:val="en-US"/>
        </w:rPr>
        <w:t>s summarised in</w:t>
      </w:r>
      <w:r w:rsidRPr="00DD1B58">
        <w:rPr>
          <w:rFonts w:eastAsia="Arial"/>
          <w:szCs w:val="24"/>
          <w:lang w:val="en-US"/>
        </w:rPr>
        <w:t xml:space="preserve"> </w:t>
      </w:r>
      <w:r w:rsidR="001F4329" w:rsidRPr="00DD1B58">
        <w:rPr>
          <w:rFonts w:eastAsia="Arial"/>
          <w:szCs w:val="24"/>
          <w:lang w:val="en-US"/>
        </w:rPr>
        <w:t>S</w:t>
      </w:r>
      <w:r w:rsidRPr="00DD1B58">
        <w:rPr>
          <w:rFonts w:eastAsia="Arial"/>
          <w:szCs w:val="24"/>
          <w:lang w:val="en-US"/>
        </w:rPr>
        <w:t xml:space="preserve">ection </w:t>
      </w:r>
      <w:r w:rsidR="00512210" w:rsidRPr="00DD1B58">
        <w:rPr>
          <w:rFonts w:eastAsia="Arial"/>
          <w:szCs w:val="24"/>
          <w:lang w:val="en-US"/>
        </w:rPr>
        <w:fldChar w:fldCharType="begin"/>
      </w:r>
      <w:r w:rsidR="00512210" w:rsidRPr="00DD1B58">
        <w:rPr>
          <w:rFonts w:eastAsia="Arial"/>
          <w:szCs w:val="24"/>
          <w:lang w:val="en-US"/>
        </w:rPr>
        <w:instrText xml:space="preserve"> REF _Ref140843958 \r \h </w:instrText>
      </w:r>
      <w:r w:rsidR="00512210" w:rsidRPr="00DD1B58">
        <w:rPr>
          <w:rFonts w:eastAsia="Arial"/>
          <w:szCs w:val="24"/>
          <w:lang w:val="en-US"/>
        </w:rPr>
      </w:r>
      <w:r w:rsidR="00512210" w:rsidRPr="00DD1B58">
        <w:rPr>
          <w:rFonts w:eastAsia="Arial"/>
          <w:szCs w:val="24"/>
          <w:lang w:val="en-US"/>
        </w:rPr>
        <w:fldChar w:fldCharType="separate"/>
      </w:r>
      <w:r w:rsidR="00DF47DA">
        <w:rPr>
          <w:rFonts w:eastAsia="Arial"/>
          <w:szCs w:val="24"/>
          <w:lang w:val="en-US"/>
        </w:rPr>
        <w:t>II-2.1.1</w:t>
      </w:r>
      <w:r w:rsidR="00512210" w:rsidRPr="00DD1B58">
        <w:rPr>
          <w:rFonts w:eastAsia="Arial"/>
          <w:szCs w:val="24"/>
          <w:lang w:val="en-US"/>
        </w:rPr>
        <w:fldChar w:fldCharType="end"/>
      </w:r>
      <w:r w:rsidR="00512210" w:rsidRPr="00DD1B58">
        <w:rPr>
          <w:rFonts w:eastAsia="Arial"/>
          <w:szCs w:val="24"/>
          <w:lang w:val="en-US"/>
        </w:rPr>
        <w:t xml:space="preserve">. </w:t>
      </w:r>
      <w:r w:rsidRPr="00DD1B58">
        <w:rPr>
          <w:rFonts w:eastAsia="Arial"/>
          <w:szCs w:val="24"/>
          <w:lang w:val="en-US"/>
        </w:rPr>
        <w:t xml:space="preserve">Section </w:t>
      </w:r>
      <w:r w:rsidR="00512210" w:rsidRPr="00DD1B58">
        <w:rPr>
          <w:rFonts w:eastAsia="Arial"/>
          <w:szCs w:val="24"/>
          <w:lang w:val="en-US"/>
        </w:rPr>
        <w:fldChar w:fldCharType="begin"/>
      </w:r>
      <w:r w:rsidR="00512210" w:rsidRPr="00DD1B58">
        <w:rPr>
          <w:rFonts w:eastAsia="Arial"/>
          <w:szCs w:val="24"/>
          <w:lang w:val="en-US"/>
        </w:rPr>
        <w:instrText xml:space="preserve"> REF _Ref140843972 \r \h </w:instrText>
      </w:r>
      <w:r w:rsidR="00512210" w:rsidRPr="00DD1B58">
        <w:rPr>
          <w:rFonts w:eastAsia="Arial"/>
          <w:szCs w:val="24"/>
          <w:lang w:val="en-US"/>
        </w:rPr>
      </w:r>
      <w:r w:rsidR="00512210" w:rsidRPr="00DD1B58">
        <w:rPr>
          <w:rFonts w:eastAsia="Arial"/>
          <w:szCs w:val="24"/>
          <w:lang w:val="en-US"/>
        </w:rPr>
        <w:fldChar w:fldCharType="separate"/>
      </w:r>
      <w:r w:rsidR="00DF47DA">
        <w:rPr>
          <w:rFonts w:eastAsia="Arial"/>
          <w:szCs w:val="24"/>
          <w:lang w:val="en-US"/>
        </w:rPr>
        <w:t>II-2.1.2</w:t>
      </w:r>
      <w:r w:rsidR="00512210" w:rsidRPr="00DD1B58">
        <w:rPr>
          <w:rFonts w:eastAsia="Arial"/>
          <w:szCs w:val="24"/>
          <w:lang w:val="en-US"/>
        </w:rPr>
        <w:fldChar w:fldCharType="end"/>
      </w:r>
      <w:r w:rsidR="00512210" w:rsidRPr="00DD1B58">
        <w:rPr>
          <w:rFonts w:eastAsia="Arial"/>
          <w:szCs w:val="24"/>
          <w:lang w:val="en-US"/>
        </w:rPr>
        <w:t xml:space="preserve"> </w:t>
      </w:r>
      <w:r w:rsidR="00B60BD1" w:rsidRPr="00DD1B58">
        <w:rPr>
          <w:rFonts w:eastAsia="Arial"/>
          <w:szCs w:val="24"/>
          <w:lang w:val="en-US"/>
        </w:rPr>
        <w:t xml:space="preserve">shows </w:t>
      </w:r>
      <w:r w:rsidRPr="00DD1B58">
        <w:rPr>
          <w:rFonts w:eastAsia="Arial"/>
          <w:szCs w:val="24"/>
          <w:lang w:val="en-US"/>
        </w:rPr>
        <w:t xml:space="preserve">how </w:t>
      </w:r>
      <w:r w:rsidR="00B60BD1" w:rsidRPr="00DD1B58">
        <w:rPr>
          <w:rFonts w:eastAsia="Arial"/>
          <w:szCs w:val="24"/>
          <w:lang w:val="en-US"/>
        </w:rPr>
        <w:t>NNB GenCo</w:t>
      </w:r>
      <w:r w:rsidR="0093238D" w:rsidRPr="00DD1B58">
        <w:rPr>
          <w:rFonts w:eastAsia="Arial"/>
          <w:szCs w:val="24"/>
          <w:lang w:val="en-US"/>
        </w:rPr>
        <w:t xml:space="preserve">’s </w:t>
      </w:r>
      <w:r w:rsidR="00B60BD1" w:rsidRPr="00DD1B58">
        <w:rPr>
          <w:rFonts w:eastAsia="Arial"/>
          <w:szCs w:val="24"/>
          <w:lang w:val="en-US"/>
        </w:rPr>
        <w:t>safety assessment princi</w:t>
      </w:r>
      <w:r w:rsidRPr="00DD1B58">
        <w:rPr>
          <w:rFonts w:eastAsia="Arial"/>
          <w:szCs w:val="24"/>
          <w:lang w:val="en-US"/>
        </w:rPr>
        <w:t>ples and guidance take account of national and international standards</w:t>
      </w:r>
      <w:r w:rsidR="00BD62CB" w:rsidRPr="00DD1B58">
        <w:rPr>
          <w:rFonts w:eastAsia="Arial"/>
          <w:szCs w:val="24"/>
          <w:lang w:val="en-US"/>
        </w:rPr>
        <w:t xml:space="preserve">, which </w:t>
      </w:r>
      <w:r w:rsidR="000835CF" w:rsidRPr="00DD1B58">
        <w:rPr>
          <w:rFonts w:eastAsia="Arial"/>
          <w:szCs w:val="24"/>
          <w:lang w:val="en-US"/>
        </w:rPr>
        <w:t>have</w:t>
      </w:r>
      <w:r w:rsidRPr="00DD1B58">
        <w:rPr>
          <w:rFonts w:eastAsia="Arial"/>
          <w:szCs w:val="24"/>
          <w:lang w:val="en-US"/>
        </w:rPr>
        <w:t xml:space="preserve"> been incorporated into</w:t>
      </w:r>
      <w:r w:rsidR="00192979" w:rsidRPr="00DD1B58">
        <w:rPr>
          <w:rFonts w:eastAsia="Arial"/>
          <w:szCs w:val="24"/>
          <w:lang w:val="en-US"/>
        </w:rPr>
        <w:t xml:space="preserve"> the HPC </w:t>
      </w:r>
      <w:r w:rsidRPr="00DD1B58">
        <w:rPr>
          <w:rFonts w:eastAsia="Arial"/>
          <w:szCs w:val="24"/>
          <w:lang w:val="en-US"/>
        </w:rPr>
        <w:t>Safety Case Manual</w:t>
      </w:r>
      <w:r w:rsidR="00192979" w:rsidRPr="00DD1B58">
        <w:rPr>
          <w:rFonts w:eastAsia="Arial"/>
          <w:szCs w:val="24"/>
          <w:lang w:val="en-US"/>
        </w:rPr>
        <w:t xml:space="preserve">, </w:t>
      </w:r>
      <w:r w:rsidRPr="00DD1B58">
        <w:rPr>
          <w:rFonts w:eastAsia="Arial"/>
          <w:szCs w:val="24"/>
          <w:lang w:val="en-US"/>
        </w:rPr>
        <w:t>ETC-F EPR Technical Code Fire Protection</w:t>
      </w:r>
      <w:r w:rsidR="00192979" w:rsidRPr="00DD1B58">
        <w:rPr>
          <w:rFonts w:eastAsia="Arial"/>
          <w:szCs w:val="24"/>
          <w:lang w:val="en-US"/>
        </w:rPr>
        <w:t xml:space="preserve"> and </w:t>
      </w:r>
      <w:r w:rsidR="005C448B" w:rsidRPr="00DD1B58">
        <w:rPr>
          <w:rFonts w:eastAsia="Arial"/>
          <w:szCs w:val="24"/>
          <w:lang w:val="en-US"/>
        </w:rPr>
        <w:t>NNB GenCo’s</w:t>
      </w:r>
      <w:r w:rsidRPr="00DD1B58">
        <w:rPr>
          <w:rFonts w:eastAsia="Arial"/>
          <w:szCs w:val="24"/>
          <w:lang w:val="en-US"/>
        </w:rPr>
        <w:t xml:space="preserve"> Nuclear Safety Design Assessment Principles (NSDAPs)</w:t>
      </w:r>
      <w:r w:rsidR="00192979" w:rsidRPr="00DD1B58">
        <w:rPr>
          <w:rFonts w:eastAsia="Arial"/>
          <w:szCs w:val="24"/>
          <w:lang w:val="en-US"/>
        </w:rPr>
        <w:t>.</w:t>
      </w:r>
    </w:p>
    <w:p w14:paraId="7DAE3708" w14:textId="6B937828" w:rsidR="7410160D" w:rsidRPr="00DD1B58" w:rsidRDefault="7410160D">
      <w:pPr>
        <w:rPr>
          <w:lang w:val="en-US"/>
        </w:rPr>
      </w:pPr>
      <w:r w:rsidRPr="00DD1B58">
        <w:rPr>
          <w:rFonts w:eastAsia="Arial"/>
          <w:szCs w:val="24"/>
          <w:lang w:val="en-US"/>
        </w:rPr>
        <w:t xml:space="preserve">ONR’s assessment confirms that the NNB submission reflects the higher-level nuclear fire requirements set in ONR SAPs and TAGs, </w:t>
      </w:r>
      <w:r w:rsidR="00ED1EF8" w:rsidRPr="00DD1B58">
        <w:rPr>
          <w:rFonts w:eastAsia="Arial"/>
          <w:szCs w:val="24"/>
          <w:lang w:val="en-US"/>
        </w:rPr>
        <w:t xml:space="preserve">which </w:t>
      </w:r>
      <w:r w:rsidRPr="00DD1B58">
        <w:rPr>
          <w:rFonts w:eastAsia="Arial"/>
          <w:szCs w:val="24"/>
          <w:lang w:val="en-US"/>
        </w:rPr>
        <w:t>for</w:t>
      </w:r>
      <w:r w:rsidR="00A45F4C" w:rsidRPr="00DD1B58">
        <w:rPr>
          <w:rFonts w:eastAsia="Arial"/>
          <w:szCs w:val="24"/>
          <w:lang w:val="en-US"/>
        </w:rPr>
        <w:t xml:space="preserve">m the basis </w:t>
      </w:r>
      <w:r w:rsidRPr="00DD1B58">
        <w:rPr>
          <w:rFonts w:eastAsia="Arial"/>
          <w:szCs w:val="24"/>
          <w:lang w:val="en-US"/>
        </w:rPr>
        <w:t>for ONR assessment of licensee safety cases</w:t>
      </w:r>
      <w:r w:rsidR="00A45F4C" w:rsidRPr="00DD1B58">
        <w:rPr>
          <w:rFonts w:eastAsia="Arial"/>
          <w:szCs w:val="24"/>
          <w:lang w:val="en-US"/>
        </w:rPr>
        <w:t>, and are benchmarked against international standards</w:t>
      </w:r>
      <w:r w:rsidRPr="00DD1B58">
        <w:rPr>
          <w:rFonts w:eastAsia="Arial"/>
          <w:szCs w:val="24"/>
          <w:lang w:val="en-US"/>
        </w:rPr>
        <w:t xml:space="preserve">. NNB GenCo has identified these as an input </w:t>
      </w:r>
      <w:r w:rsidR="00A45F4C" w:rsidRPr="00DD1B58">
        <w:rPr>
          <w:rFonts w:eastAsia="Arial"/>
          <w:szCs w:val="24"/>
          <w:lang w:val="en-US"/>
        </w:rPr>
        <w:t>its</w:t>
      </w:r>
      <w:r w:rsidRPr="00DD1B58">
        <w:rPr>
          <w:rFonts w:eastAsia="Arial"/>
          <w:szCs w:val="24"/>
          <w:lang w:val="en-US"/>
        </w:rPr>
        <w:t xml:space="preserve"> NSDAPs and has demonstrated consistency with the principles set out in these documents</w:t>
      </w:r>
      <w:r w:rsidR="00013E21" w:rsidRPr="00DD1B58">
        <w:rPr>
          <w:rFonts w:eastAsia="Arial"/>
          <w:szCs w:val="24"/>
          <w:lang w:val="en-US"/>
        </w:rPr>
        <w:t>.</w:t>
      </w:r>
    </w:p>
    <w:p w14:paraId="1F823634" w14:textId="77777777" w:rsidR="7410160D" w:rsidRPr="00DD1B58" w:rsidRDefault="7410160D">
      <w:pPr>
        <w:rPr>
          <w:lang w:val="en-US"/>
        </w:rPr>
      </w:pPr>
      <w:r w:rsidRPr="00DD1B58">
        <w:rPr>
          <w:rFonts w:eastAsia="Arial"/>
          <w:b/>
          <w:szCs w:val="24"/>
          <w:lang w:val="en-US"/>
        </w:rPr>
        <w:t>Fire loading and data sources</w:t>
      </w:r>
      <w:r w:rsidRPr="00DD1B58">
        <w:rPr>
          <w:rFonts w:eastAsia="Arial"/>
          <w:szCs w:val="24"/>
          <w:lang w:val="en-US"/>
        </w:rPr>
        <w:t xml:space="preserve"> </w:t>
      </w:r>
    </w:p>
    <w:p w14:paraId="61662BF3" w14:textId="38266A65" w:rsidR="7410160D" w:rsidRPr="00DD1B58" w:rsidRDefault="7410160D">
      <w:pPr>
        <w:rPr>
          <w:lang w:val="en-US"/>
        </w:rPr>
      </w:pPr>
      <w:r w:rsidRPr="00DD1B58">
        <w:rPr>
          <w:rFonts w:eastAsia="Arial"/>
          <w:szCs w:val="24"/>
          <w:lang w:val="en-US"/>
        </w:rPr>
        <w:t xml:space="preserve">Consistent with SAP AV.3 and the ONR </w:t>
      </w:r>
      <w:r w:rsidR="001F4329" w:rsidRPr="00DD1B58">
        <w:rPr>
          <w:rFonts w:eastAsia="Arial"/>
          <w:szCs w:val="24"/>
          <w:lang w:val="en-US"/>
        </w:rPr>
        <w:t xml:space="preserve">internal hazards </w:t>
      </w:r>
      <w:r w:rsidRPr="00DD1B58">
        <w:rPr>
          <w:rFonts w:eastAsia="Arial"/>
          <w:szCs w:val="24"/>
          <w:lang w:val="en-US"/>
        </w:rPr>
        <w:t xml:space="preserve">TAG, the licensee self-assessment describes how both fixed and transient loads are considered, how change management considers the impact on fire safety, </w:t>
      </w:r>
      <w:r w:rsidR="00636BCE" w:rsidRPr="00DD1B58">
        <w:rPr>
          <w:rFonts w:eastAsia="Arial"/>
          <w:szCs w:val="24"/>
          <w:lang w:val="en-US"/>
        </w:rPr>
        <w:t xml:space="preserve">and </w:t>
      </w:r>
      <w:r w:rsidR="00CB2BEC" w:rsidRPr="00DD1B58">
        <w:rPr>
          <w:rFonts w:eastAsia="Arial"/>
          <w:szCs w:val="24"/>
          <w:lang w:val="en-US"/>
        </w:rPr>
        <w:t xml:space="preserve">how </w:t>
      </w:r>
      <w:r w:rsidRPr="00DD1B58">
        <w:rPr>
          <w:rFonts w:eastAsia="Arial"/>
          <w:szCs w:val="24"/>
          <w:lang w:val="en-US"/>
        </w:rPr>
        <w:t xml:space="preserve">underpinning data is based on experimentation and relevant validation testing. It also details how this information feeds into both hazard analysis and operational limits placed on facilities as appropriate. As a result, ONR </w:t>
      </w:r>
      <w:r w:rsidR="00636BCE" w:rsidRPr="00DD1B58">
        <w:rPr>
          <w:rFonts w:eastAsia="Arial"/>
          <w:szCs w:val="24"/>
          <w:lang w:val="en-US"/>
        </w:rPr>
        <w:t xml:space="preserve">is content </w:t>
      </w:r>
      <w:r w:rsidRPr="00DD1B58">
        <w:rPr>
          <w:rFonts w:eastAsia="Arial"/>
          <w:szCs w:val="24"/>
          <w:lang w:val="en-US"/>
        </w:rPr>
        <w:t xml:space="preserve">that NNB GenCo </w:t>
      </w:r>
      <w:r w:rsidR="00DF7162" w:rsidRPr="00DD1B58">
        <w:rPr>
          <w:rFonts w:eastAsia="Arial"/>
          <w:szCs w:val="24"/>
          <w:lang w:val="en-US"/>
        </w:rPr>
        <w:t>meets</w:t>
      </w:r>
      <w:r w:rsidRPr="00DD1B58">
        <w:rPr>
          <w:rFonts w:eastAsia="Arial"/>
          <w:szCs w:val="24"/>
          <w:lang w:val="en-US"/>
        </w:rPr>
        <w:t xml:space="preserve"> regulatory expectations in this area. </w:t>
      </w:r>
    </w:p>
    <w:p w14:paraId="27B0F8EC" w14:textId="77777777" w:rsidR="7410160D" w:rsidRPr="00DD1B58" w:rsidRDefault="7410160D">
      <w:pPr>
        <w:rPr>
          <w:lang w:val="en-US"/>
        </w:rPr>
      </w:pPr>
      <w:r w:rsidRPr="00DD1B58">
        <w:rPr>
          <w:rFonts w:eastAsia="Arial"/>
          <w:b/>
          <w:szCs w:val="24"/>
          <w:lang w:val="en-US"/>
        </w:rPr>
        <w:t>Deterministic analysis approach</w:t>
      </w:r>
      <w:r w:rsidRPr="00DD1B58">
        <w:rPr>
          <w:rFonts w:eastAsia="Arial"/>
          <w:szCs w:val="24"/>
          <w:lang w:val="en-US"/>
        </w:rPr>
        <w:t xml:space="preserve"> </w:t>
      </w:r>
    </w:p>
    <w:p w14:paraId="4B4A41F0" w14:textId="3E523102" w:rsidR="007C28EB" w:rsidRPr="00DD1B58" w:rsidRDefault="7410160D" w:rsidP="007C28EB">
      <w:pPr>
        <w:rPr>
          <w:lang w:val="en-US"/>
        </w:rPr>
      </w:pPr>
      <w:r w:rsidRPr="00DD1B58">
        <w:rPr>
          <w:rFonts w:eastAsia="Arial"/>
          <w:szCs w:val="24"/>
          <w:lang w:val="en-US"/>
        </w:rPr>
        <w:t>Consistent with the ONR internal hazards TAG, SAPs EHA.1, EHA.5, EHA.6</w:t>
      </w:r>
      <w:r w:rsidR="00DF7162" w:rsidRPr="00DD1B58">
        <w:rPr>
          <w:rFonts w:eastAsia="Arial"/>
          <w:szCs w:val="24"/>
          <w:lang w:val="en-US"/>
        </w:rPr>
        <w:t xml:space="preserve">, </w:t>
      </w:r>
      <w:r w:rsidRPr="00DD1B58">
        <w:rPr>
          <w:rFonts w:eastAsia="Arial"/>
          <w:szCs w:val="24"/>
          <w:lang w:val="en-US"/>
        </w:rPr>
        <w:t xml:space="preserve">IAEA </w:t>
      </w:r>
      <w:r w:rsidR="00DF7162" w:rsidRPr="00DD1B58">
        <w:rPr>
          <w:rFonts w:eastAsia="Arial"/>
          <w:szCs w:val="24"/>
          <w:lang w:val="en-US"/>
        </w:rPr>
        <w:t xml:space="preserve">SSR 2/1 </w:t>
      </w:r>
      <w:sdt>
        <w:sdtPr>
          <w:rPr>
            <w:rFonts w:eastAsia="Arial"/>
            <w:szCs w:val="24"/>
            <w:lang w:val="en-US"/>
          </w:rPr>
          <w:id w:val="-1379620628"/>
          <w:citation/>
        </w:sdtPr>
        <w:sdtContent>
          <w:r w:rsidR="00113F89" w:rsidRPr="00DD1B58">
            <w:rPr>
              <w:rFonts w:eastAsia="Arial"/>
              <w:szCs w:val="24"/>
              <w:lang w:val="en-US"/>
            </w:rPr>
            <w:fldChar w:fldCharType="begin"/>
          </w:r>
          <w:r w:rsidR="00113F89" w:rsidRPr="00DD1B58">
            <w:rPr>
              <w:rFonts w:eastAsia="Arial"/>
              <w:szCs w:val="24"/>
              <w:lang w:val="en-US"/>
            </w:rPr>
            <w:instrText xml:space="preserve"> CITATION IAE3 \l 2057 </w:instrText>
          </w:r>
          <w:r w:rsidR="00113F89" w:rsidRPr="00DD1B58">
            <w:rPr>
              <w:rFonts w:eastAsia="Arial"/>
              <w:szCs w:val="24"/>
              <w:lang w:val="en-US"/>
            </w:rPr>
            <w:fldChar w:fldCharType="separate"/>
          </w:r>
          <w:r w:rsidR="00DF47DA" w:rsidRPr="00DF47DA">
            <w:rPr>
              <w:rFonts w:eastAsia="Arial"/>
              <w:noProof/>
              <w:szCs w:val="24"/>
              <w:lang w:val="en-US"/>
            </w:rPr>
            <w:t>[31]</w:t>
          </w:r>
          <w:r w:rsidR="00113F89" w:rsidRPr="00DD1B58">
            <w:rPr>
              <w:rFonts w:eastAsia="Arial"/>
              <w:szCs w:val="24"/>
              <w:lang w:val="en-US"/>
            </w:rPr>
            <w:fldChar w:fldCharType="end"/>
          </w:r>
        </w:sdtContent>
      </w:sdt>
      <w:r w:rsidR="00DF7162" w:rsidRPr="00DD1B58">
        <w:rPr>
          <w:rFonts w:eastAsia="Arial"/>
          <w:szCs w:val="24"/>
          <w:lang w:val="en-US"/>
        </w:rPr>
        <w:t xml:space="preserve">, IAEA SSG-64 </w:t>
      </w:r>
      <w:sdt>
        <w:sdtPr>
          <w:rPr>
            <w:rFonts w:eastAsia="Arial"/>
            <w:szCs w:val="24"/>
            <w:lang w:val="en-US"/>
          </w:rPr>
          <w:id w:val="410982579"/>
          <w:citation/>
        </w:sdtPr>
        <w:sdtContent>
          <w:r w:rsidR="009319EF" w:rsidRPr="00DD1B58">
            <w:rPr>
              <w:rFonts w:eastAsia="Arial"/>
              <w:szCs w:val="24"/>
              <w:lang w:val="en-US"/>
            </w:rPr>
            <w:fldChar w:fldCharType="begin"/>
          </w:r>
          <w:r w:rsidR="009319EF" w:rsidRPr="00DD1B58">
            <w:rPr>
              <w:rFonts w:eastAsia="Arial"/>
              <w:szCs w:val="24"/>
              <w:lang w:val="en-US"/>
            </w:rPr>
            <w:instrText xml:space="preserve"> CITATION IAE5 \l 2057 </w:instrText>
          </w:r>
          <w:r w:rsidR="009319EF" w:rsidRPr="00DD1B58">
            <w:rPr>
              <w:rFonts w:eastAsia="Arial"/>
              <w:szCs w:val="24"/>
              <w:lang w:val="en-US"/>
            </w:rPr>
            <w:fldChar w:fldCharType="separate"/>
          </w:r>
          <w:r w:rsidR="00DF47DA" w:rsidRPr="00DF47DA">
            <w:rPr>
              <w:rFonts w:eastAsia="Arial"/>
              <w:noProof/>
              <w:szCs w:val="24"/>
              <w:lang w:val="en-US"/>
            </w:rPr>
            <w:t>[17]</w:t>
          </w:r>
          <w:r w:rsidR="009319EF" w:rsidRPr="00DD1B58">
            <w:rPr>
              <w:rFonts w:eastAsia="Arial"/>
              <w:szCs w:val="24"/>
              <w:lang w:val="en-US"/>
            </w:rPr>
            <w:fldChar w:fldCharType="end"/>
          </w:r>
        </w:sdtContent>
      </w:sdt>
      <w:r w:rsidRPr="00DD1B58">
        <w:rPr>
          <w:rFonts w:eastAsia="Arial"/>
          <w:szCs w:val="24"/>
          <w:lang w:val="en-US"/>
        </w:rPr>
        <w:t xml:space="preserve"> and WENRA </w:t>
      </w:r>
      <w:r w:rsidR="00DF7162" w:rsidRPr="00DD1B58">
        <w:rPr>
          <w:rFonts w:eastAsia="Arial"/>
          <w:szCs w:val="24"/>
          <w:lang w:val="en-US"/>
        </w:rPr>
        <w:t>SRLs</w:t>
      </w:r>
      <w:r w:rsidRPr="00DD1B58">
        <w:rPr>
          <w:rFonts w:eastAsia="Arial"/>
          <w:szCs w:val="24"/>
          <w:lang w:val="en-US"/>
        </w:rPr>
        <w:t xml:space="preserve">, NNB GenCo has set out how tools are selected for analysis of fire behaviour and provided </w:t>
      </w:r>
      <w:r w:rsidR="006633A7" w:rsidRPr="00DD1B58">
        <w:rPr>
          <w:rFonts w:eastAsia="Arial"/>
          <w:szCs w:val="24"/>
          <w:lang w:val="en-US"/>
        </w:rPr>
        <w:t xml:space="preserve">a </w:t>
      </w:r>
      <w:r w:rsidRPr="00DD1B58">
        <w:rPr>
          <w:rFonts w:eastAsia="Arial"/>
          <w:szCs w:val="24"/>
          <w:lang w:val="en-US"/>
        </w:rPr>
        <w:t>description of the factors applied in these decisions. This includes zone models and</w:t>
      </w:r>
      <w:r w:rsidR="006633A7" w:rsidRPr="00DD1B58">
        <w:rPr>
          <w:rFonts w:eastAsia="Arial"/>
          <w:szCs w:val="24"/>
          <w:lang w:val="en-US"/>
        </w:rPr>
        <w:t>,</w:t>
      </w:r>
      <w:r w:rsidRPr="00DD1B58">
        <w:rPr>
          <w:rFonts w:eastAsia="Arial"/>
          <w:szCs w:val="24"/>
          <w:lang w:val="en-US"/>
        </w:rPr>
        <w:t xml:space="preserve"> where appropriate, CFD. NNB GenCo has described a proportionate, graded approach to tool selection that is generally in line with ONR expectations. However, the choice of fire model for the reactor building may not be the most appropriate and NNB </w:t>
      </w:r>
      <w:r w:rsidR="004441B8" w:rsidRPr="00DD1B58">
        <w:rPr>
          <w:rFonts w:eastAsia="Arial"/>
          <w:szCs w:val="24"/>
          <w:lang w:val="en-US"/>
        </w:rPr>
        <w:t>was</w:t>
      </w:r>
      <w:r w:rsidRPr="00DD1B58">
        <w:rPr>
          <w:rFonts w:eastAsia="Arial"/>
          <w:szCs w:val="24"/>
          <w:lang w:val="en-US"/>
        </w:rPr>
        <w:t xml:space="preserve"> asked to confirm whether it has considered the use of </w:t>
      </w:r>
      <w:r w:rsidR="007304C7" w:rsidRPr="00DD1B58">
        <w:rPr>
          <w:rFonts w:eastAsia="Arial"/>
          <w:szCs w:val="24"/>
          <w:lang w:val="en-US"/>
        </w:rPr>
        <w:t>alternative fire zone modelling</w:t>
      </w:r>
      <w:r w:rsidR="00BF3AAA" w:rsidRPr="00DD1B58">
        <w:rPr>
          <w:rFonts w:eastAsia="Arial"/>
          <w:szCs w:val="24"/>
          <w:lang w:val="en-US"/>
        </w:rPr>
        <w:t xml:space="preserve"> NNB GenCo has confirmed </w:t>
      </w:r>
      <w:sdt>
        <w:sdtPr>
          <w:rPr>
            <w:rFonts w:eastAsia="Arial"/>
            <w:szCs w:val="24"/>
            <w:lang w:val="en-US"/>
          </w:rPr>
          <w:id w:val="-474757387"/>
          <w:citation/>
        </w:sdtPr>
        <w:sdtContent>
          <w:r w:rsidR="00573F84" w:rsidRPr="00DD1B58">
            <w:rPr>
              <w:rFonts w:eastAsia="Arial"/>
              <w:szCs w:val="24"/>
              <w:lang w:val="en-US"/>
            </w:rPr>
            <w:fldChar w:fldCharType="begin"/>
          </w:r>
          <w:r w:rsidR="00573F84" w:rsidRPr="00DD1B58">
            <w:rPr>
              <w:rFonts w:eastAsia="Arial"/>
              <w:szCs w:val="24"/>
              <w:lang w:val="en-US"/>
            </w:rPr>
            <w:instrText xml:space="preserve"> CITATION NNB237 \l 2057 </w:instrText>
          </w:r>
          <w:r w:rsidR="00573F84" w:rsidRPr="00DD1B58">
            <w:rPr>
              <w:rFonts w:eastAsia="Arial"/>
              <w:szCs w:val="24"/>
              <w:lang w:val="en-US"/>
            </w:rPr>
            <w:fldChar w:fldCharType="separate"/>
          </w:r>
          <w:r w:rsidR="00DF47DA" w:rsidRPr="00DF47DA">
            <w:rPr>
              <w:rFonts w:eastAsia="Arial"/>
              <w:noProof/>
              <w:szCs w:val="24"/>
              <w:lang w:val="en-US"/>
            </w:rPr>
            <w:t>[67]</w:t>
          </w:r>
          <w:r w:rsidR="00573F84" w:rsidRPr="00DD1B58">
            <w:rPr>
              <w:rFonts w:eastAsia="Arial"/>
              <w:szCs w:val="24"/>
              <w:lang w:val="en-US"/>
            </w:rPr>
            <w:fldChar w:fldCharType="end"/>
          </w:r>
        </w:sdtContent>
      </w:sdt>
      <w:r w:rsidR="00E90FD8" w:rsidRPr="00DD1B58">
        <w:rPr>
          <w:rFonts w:eastAsia="Arial"/>
          <w:szCs w:val="24"/>
          <w:lang w:val="en-US"/>
        </w:rPr>
        <w:t xml:space="preserve"> </w:t>
      </w:r>
      <w:r w:rsidR="00BF3AAA" w:rsidRPr="00DD1B58">
        <w:rPr>
          <w:rFonts w:eastAsia="Arial"/>
          <w:szCs w:val="24"/>
          <w:lang w:val="en-US"/>
        </w:rPr>
        <w:t xml:space="preserve">that </w:t>
      </w:r>
      <w:r w:rsidR="00E90FD8" w:rsidRPr="00DD1B58">
        <w:rPr>
          <w:rFonts w:eastAsia="Arial"/>
          <w:szCs w:val="24"/>
          <w:lang w:val="en-US"/>
        </w:rPr>
        <w:t xml:space="preserve">it has modelled </w:t>
      </w:r>
      <w:r w:rsidR="00BF3AAA" w:rsidRPr="00DD1B58">
        <w:rPr>
          <w:rFonts w:eastAsia="Arial"/>
          <w:szCs w:val="24"/>
          <w:lang w:val="en-US"/>
        </w:rPr>
        <w:t xml:space="preserve">fires in the reactor building using </w:t>
      </w:r>
      <w:r w:rsidR="007C28EB" w:rsidRPr="00DD1B58">
        <w:rPr>
          <w:rFonts w:eastAsia="Arial"/>
          <w:szCs w:val="24"/>
          <w:lang w:val="en-US"/>
        </w:rPr>
        <w:t xml:space="preserve">suitable fire </w:t>
      </w:r>
      <w:r w:rsidR="00E90FD8" w:rsidRPr="00DD1B58">
        <w:rPr>
          <w:rFonts w:eastAsia="Arial"/>
          <w:szCs w:val="24"/>
          <w:lang w:val="en-US"/>
        </w:rPr>
        <w:t xml:space="preserve">zone </w:t>
      </w:r>
      <w:r w:rsidR="007C28EB" w:rsidRPr="00DD1B58">
        <w:rPr>
          <w:rFonts w:eastAsia="Arial"/>
          <w:szCs w:val="24"/>
          <w:lang w:val="en-US"/>
        </w:rPr>
        <w:t>model</w:t>
      </w:r>
      <w:r w:rsidR="00E90FD8" w:rsidRPr="00DD1B58">
        <w:rPr>
          <w:rFonts w:eastAsia="Arial"/>
          <w:szCs w:val="24"/>
          <w:lang w:val="en-US"/>
        </w:rPr>
        <w:t>s</w:t>
      </w:r>
      <w:r w:rsidR="007C28EB" w:rsidRPr="00DD1B58">
        <w:rPr>
          <w:rFonts w:eastAsia="Arial"/>
          <w:szCs w:val="24"/>
          <w:lang w:val="en-US"/>
        </w:rPr>
        <w:t xml:space="preserve">, within </w:t>
      </w:r>
      <w:r w:rsidR="00E90FD8" w:rsidRPr="00DD1B58">
        <w:rPr>
          <w:rFonts w:eastAsia="Arial"/>
          <w:szCs w:val="24"/>
          <w:lang w:val="en-US"/>
        </w:rPr>
        <w:t>their</w:t>
      </w:r>
      <w:r w:rsidR="007C28EB" w:rsidRPr="00DD1B58">
        <w:rPr>
          <w:rFonts w:eastAsia="Arial"/>
          <w:szCs w:val="24"/>
          <w:lang w:val="en-US"/>
        </w:rPr>
        <w:t xml:space="preserve"> limits of use, i.e. MAGIC and CFD modelling. </w:t>
      </w:r>
      <w:r w:rsidR="00985773" w:rsidRPr="00DD1B58">
        <w:rPr>
          <w:rFonts w:eastAsia="Arial"/>
          <w:szCs w:val="24"/>
          <w:lang w:val="en-US"/>
        </w:rPr>
        <w:t xml:space="preserve">ONR </w:t>
      </w:r>
      <w:r w:rsidR="0029460E" w:rsidRPr="00DD1B58">
        <w:rPr>
          <w:rFonts w:eastAsia="Arial"/>
          <w:szCs w:val="24"/>
          <w:lang w:val="en-US"/>
        </w:rPr>
        <w:t xml:space="preserve">is assessing </w:t>
      </w:r>
      <w:r w:rsidR="00FB54C4" w:rsidRPr="00DD1B58">
        <w:rPr>
          <w:rFonts w:eastAsia="Arial"/>
          <w:szCs w:val="24"/>
          <w:lang w:val="en-US"/>
        </w:rPr>
        <w:t>the</w:t>
      </w:r>
      <w:r w:rsidR="00145ED5" w:rsidRPr="00DD1B58">
        <w:rPr>
          <w:rFonts w:eastAsia="Arial"/>
          <w:szCs w:val="24"/>
          <w:lang w:val="en-US"/>
        </w:rPr>
        <w:t xml:space="preserve"> </w:t>
      </w:r>
      <w:r w:rsidR="00DD115D" w:rsidRPr="00DD1B58">
        <w:rPr>
          <w:rFonts w:eastAsia="Arial"/>
          <w:szCs w:val="24"/>
          <w:lang w:val="en-US"/>
        </w:rPr>
        <w:t xml:space="preserve">use of these models </w:t>
      </w:r>
      <w:r w:rsidR="003B08EE" w:rsidRPr="00DD1B58">
        <w:rPr>
          <w:rFonts w:eastAsia="Arial"/>
          <w:szCs w:val="24"/>
          <w:lang w:val="en-US"/>
        </w:rPr>
        <w:t>through routine engagement</w:t>
      </w:r>
      <w:r w:rsidR="00D949BB" w:rsidRPr="00DD1B58">
        <w:rPr>
          <w:rFonts w:eastAsia="Arial"/>
          <w:szCs w:val="24"/>
          <w:lang w:val="en-US"/>
        </w:rPr>
        <w:t xml:space="preserve"> with NNB GenCo </w:t>
      </w:r>
      <w:r w:rsidR="00145ED5" w:rsidRPr="00DD1B58">
        <w:rPr>
          <w:rFonts w:eastAsia="Arial"/>
          <w:szCs w:val="24"/>
          <w:lang w:val="en-US"/>
        </w:rPr>
        <w:t>and will be subject to ONR’s permissioning assessment of Summary Safety Case Document #3</w:t>
      </w:r>
      <w:r w:rsidR="00940D2A" w:rsidRPr="00DD1B58">
        <w:rPr>
          <w:rFonts w:eastAsia="Arial"/>
          <w:szCs w:val="24"/>
          <w:lang w:val="en-US"/>
        </w:rPr>
        <w:t xml:space="preserve"> </w:t>
      </w:r>
      <w:r w:rsidR="00145ED5" w:rsidRPr="00DD1B58">
        <w:rPr>
          <w:rFonts w:eastAsia="Arial"/>
          <w:szCs w:val="24"/>
          <w:lang w:val="en-US"/>
        </w:rPr>
        <w:t>prior to release of the Hold Point for delivery of fuel to the HPC site.</w:t>
      </w:r>
      <w:r w:rsidR="007C28EB" w:rsidRPr="00DD1B58">
        <w:rPr>
          <w:rFonts w:eastAsia="Arial"/>
          <w:szCs w:val="24"/>
          <w:lang w:val="en-US"/>
        </w:rPr>
        <w:t xml:space="preserve"> </w:t>
      </w:r>
    </w:p>
    <w:p w14:paraId="278A4631" w14:textId="7CED6900" w:rsidR="00D24446" w:rsidRPr="00DD1B58" w:rsidRDefault="00BD382B">
      <w:pPr>
        <w:rPr>
          <w:szCs w:val="24"/>
          <w:lang w:val="en-US"/>
        </w:rPr>
      </w:pPr>
      <w:r w:rsidRPr="00DD1B58">
        <w:rPr>
          <w:lang w:val="en-US"/>
        </w:rPr>
        <w:t xml:space="preserve">NNB GenCo </w:t>
      </w:r>
      <w:r w:rsidR="0032102E" w:rsidRPr="00DD1B58">
        <w:rPr>
          <w:lang w:val="en-US"/>
        </w:rPr>
        <w:t>notes</w:t>
      </w:r>
      <w:r w:rsidR="00DF11C2" w:rsidRPr="00DD1B58">
        <w:rPr>
          <w:lang w:val="en-US"/>
        </w:rPr>
        <w:t xml:space="preserve"> in </w:t>
      </w:r>
      <w:r w:rsidR="002020F1" w:rsidRPr="00DD1B58">
        <w:rPr>
          <w:lang w:val="en-US"/>
        </w:rPr>
        <w:t xml:space="preserve">Appendix B that </w:t>
      </w:r>
      <w:r w:rsidR="00DB1D69" w:rsidRPr="00DD1B58">
        <w:rPr>
          <w:lang w:val="en-US"/>
        </w:rPr>
        <w:t xml:space="preserve">that its current fire </w:t>
      </w:r>
      <w:r w:rsidR="00F7449E" w:rsidRPr="00DD1B58">
        <w:rPr>
          <w:lang w:val="en-US"/>
        </w:rPr>
        <w:t xml:space="preserve">risk assessment methodology does not </w:t>
      </w:r>
      <w:r w:rsidR="00D24446" w:rsidRPr="00DD1B58">
        <w:rPr>
          <w:lang w:val="en-US"/>
        </w:rPr>
        <w:t>c</w:t>
      </w:r>
      <w:r w:rsidR="00F7449E" w:rsidRPr="00DD1B58">
        <w:rPr>
          <w:lang w:val="en-US"/>
        </w:rPr>
        <w:t>onsider fires which occur on the site but outside of buildings or fire spread between buildings</w:t>
      </w:r>
      <w:r w:rsidR="00D24446" w:rsidRPr="00DD1B58">
        <w:rPr>
          <w:lang w:val="en-US"/>
        </w:rPr>
        <w:t xml:space="preserve">. ONR will assess the development of these methodologies through </w:t>
      </w:r>
      <w:r w:rsidR="00D24446" w:rsidRPr="00DD1B58">
        <w:rPr>
          <w:rFonts w:eastAsia="Arial"/>
          <w:szCs w:val="24"/>
          <w:lang w:val="en-US"/>
        </w:rPr>
        <w:t>routine engagement with NNB GenCo and will be subject to ONR’s permissioning assessment of Summary Safety Case Document #3</w:t>
      </w:r>
      <w:r w:rsidR="00940D2A" w:rsidRPr="00DD1B58">
        <w:rPr>
          <w:rFonts w:eastAsia="Arial"/>
          <w:szCs w:val="24"/>
          <w:lang w:val="en-US"/>
        </w:rPr>
        <w:t xml:space="preserve"> </w:t>
      </w:r>
      <w:r w:rsidR="00D24446" w:rsidRPr="00DD1B58">
        <w:rPr>
          <w:rFonts w:eastAsia="Arial"/>
          <w:szCs w:val="24"/>
          <w:lang w:val="en-US"/>
        </w:rPr>
        <w:t xml:space="preserve">prior to release of the Hold Point for delivery of fuel to the HPC site. NNB also notes in section </w:t>
      </w:r>
      <w:r w:rsidR="000F05F4" w:rsidRPr="00DD1B58">
        <w:rPr>
          <w:rFonts w:eastAsia="Arial"/>
          <w:szCs w:val="24"/>
          <w:lang w:val="en-US"/>
        </w:rPr>
        <w:t>II-</w:t>
      </w:r>
      <w:r w:rsidR="00017757" w:rsidRPr="00DD1B58">
        <w:rPr>
          <w:szCs w:val="24"/>
          <w:lang w:val="en-US"/>
        </w:rPr>
        <w:t>2.1.2.1.2</w:t>
      </w:r>
      <w:r w:rsidR="00277A23" w:rsidRPr="00DD1B58">
        <w:rPr>
          <w:szCs w:val="24"/>
          <w:lang w:val="en-US"/>
        </w:rPr>
        <w:t xml:space="preserve"> that fire zoning opening </w:t>
      </w:r>
      <w:r w:rsidR="005E30D7" w:rsidRPr="00DD1B58">
        <w:rPr>
          <w:szCs w:val="24"/>
          <w:lang w:val="en-US"/>
        </w:rPr>
        <w:t>elements that are safety classified and meet the fire resistance criteria are claimed in the analysis and assumed to be closed. Fire zoning elements which cannot be claimed are treated as either open or closed depending on which is more conservative.</w:t>
      </w:r>
      <w:r w:rsidR="000F05F4" w:rsidRPr="00DD1B58">
        <w:rPr>
          <w:szCs w:val="24"/>
          <w:lang w:val="en-US"/>
        </w:rPr>
        <w:t xml:space="preserve"> NNB has clarified </w:t>
      </w:r>
      <w:r w:rsidR="009A220D" w:rsidRPr="00DD1B58">
        <w:rPr>
          <w:szCs w:val="24"/>
          <w:lang w:val="en-US"/>
        </w:rPr>
        <w:t>that boundaries are assumed to be closed but all other openings within the hazard safety volume HSV are assumed to be open to allow adequate levels of oxygen to feed a fire. ONR will assess the conservatism of these assumptions</w:t>
      </w:r>
      <w:r w:rsidR="00C93AD5" w:rsidRPr="00DD1B58">
        <w:rPr>
          <w:szCs w:val="24"/>
          <w:lang w:val="en-US"/>
        </w:rPr>
        <w:t>.</w:t>
      </w:r>
      <w:r w:rsidR="009A220D" w:rsidRPr="00DD1B58">
        <w:rPr>
          <w:szCs w:val="24"/>
          <w:lang w:val="en-US"/>
        </w:rPr>
        <w:t xml:space="preserve"> </w:t>
      </w:r>
    </w:p>
    <w:p w14:paraId="7EB39CA4" w14:textId="3414C98B" w:rsidR="7410160D" w:rsidRPr="00DD1B58" w:rsidRDefault="005D45A4">
      <w:pPr>
        <w:rPr>
          <w:lang w:val="en-US"/>
        </w:rPr>
      </w:pPr>
      <w:r w:rsidRPr="00DD1B58">
        <w:rPr>
          <w:rFonts w:eastAsia="Arial"/>
          <w:szCs w:val="24"/>
          <w:lang w:val="en-US"/>
        </w:rPr>
        <w:t>ONR considers NNB GenCo’s</w:t>
      </w:r>
      <w:r w:rsidR="7410160D" w:rsidRPr="00DD1B58">
        <w:rPr>
          <w:rFonts w:eastAsia="Arial"/>
          <w:szCs w:val="24"/>
          <w:lang w:val="en-US"/>
        </w:rPr>
        <w:t xml:space="preserve"> use of site-specific data </w:t>
      </w:r>
      <w:r w:rsidRPr="00DD1B58">
        <w:rPr>
          <w:rFonts w:eastAsia="Arial"/>
          <w:szCs w:val="24"/>
          <w:lang w:val="en-US"/>
        </w:rPr>
        <w:t xml:space="preserve">and </w:t>
      </w:r>
      <w:r w:rsidR="7410160D" w:rsidRPr="00DD1B58">
        <w:rPr>
          <w:rFonts w:eastAsia="Arial"/>
          <w:szCs w:val="24"/>
          <w:lang w:val="en-US"/>
        </w:rPr>
        <w:t xml:space="preserve">building layout </w:t>
      </w:r>
      <w:r w:rsidRPr="00DD1B58">
        <w:rPr>
          <w:rFonts w:eastAsia="Arial"/>
          <w:szCs w:val="24"/>
          <w:lang w:val="en-US"/>
        </w:rPr>
        <w:t xml:space="preserve">information from HPC’s </w:t>
      </w:r>
      <w:r w:rsidR="7410160D" w:rsidRPr="00DD1B58">
        <w:rPr>
          <w:rFonts w:eastAsia="Arial"/>
          <w:szCs w:val="24"/>
          <w:lang w:val="en-US"/>
        </w:rPr>
        <w:t>3D model as a</w:t>
      </w:r>
      <w:r w:rsidR="006633A7" w:rsidRPr="00DD1B58">
        <w:rPr>
          <w:rFonts w:eastAsia="Arial"/>
          <w:szCs w:val="24"/>
          <w:lang w:val="en-US"/>
        </w:rPr>
        <w:t>n</w:t>
      </w:r>
      <w:r w:rsidR="7410160D" w:rsidRPr="00DD1B58">
        <w:rPr>
          <w:rFonts w:eastAsia="Arial"/>
          <w:szCs w:val="24"/>
          <w:lang w:val="en-US"/>
        </w:rPr>
        <w:t xml:space="preserve"> area of good practice against SAPs AV.1. </w:t>
      </w:r>
    </w:p>
    <w:p w14:paraId="4B8D2D6C" w14:textId="58CDECA2" w:rsidR="00914844" w:rsidRPr="00DD1B58" w:rsidRDefault="7410160D" w:rsidP="00914844">
      <w:pPr>
        <w:rPr>
          <w:lang w:val="en-US"/>
        </w:rPr>
      </w:pPr>
      <w:r w:rsidRPr="00DD1B58">
        <w:rPr>
          <w:rFonts w:eastAsia="Arial"/>
          <w:szCs w:val="24"/>
          <w:lang w:val="en-US"/>
        </w:rPr>
        <w:t xml:space="preserve">As described in Sections </w:t>
      </w:r>
      <w:r w:rsidR="003B18C6" w:rsidRPr="00DD1B58">
        <w:rPr>
          <w:rFonts w:eastAsia="Arial"/>
          <w:szCs w:val="24"/>
          <w:lang w:val="en-US"/>
        </w:rPr>
        <w:fldChar w:fldCharType="begin"/>
      </w:r>
      <w:r w:rsidR="003B18C6" w:rsidRPr="00DD1B58">
        <w:rPr>
          <w:rFonts w:eastAsia="Arial"/>
          <w:szCs w:val="24"/>
          <w:lang w:val="en-US"/>
        </w:rPr>
        <w:instrText xml:space="preserve"> REF _Ref140844107 \r \h </w:instrText>
      </w:r>
      <w:r w:rsidR="003B18C6" w:rsidRPr="00DD1B58">
        <w:rPr>
          <w:rFonts w:eastAsia="Arial"/>
          <w:szCs w:val="24"/>
          <w:lang w:val="en-US"/>
        </w:rPr>
      </w:r>
      <w:r w:rsidR="003B18C6" w:rsidRPr="00DD1B58">
        <w:rPr>
          <w:rFonts w:eastAsia="Arial"/>
          <w:szCs w:val="24"/>
          <w:lang w:val="en-US"/>
        </w:rPr>
        <w:fldChar w:fldCharType="separate"/>
      </w:r>
      <w:r w:rsidR="00DF47DA">
        <w:rPr>
          <w:rFonts w:eastAsia="Arial"/>
          <w:szCs w:val="24"/>
          <w:lang w:val="en-US"/>
        </w:rPr>
        <w:t>II-2.1.1.2</w:t>
      </w:r>
      <w:r w:rsidR="003B18C6" w:rsidRPr="00DD1B58">
        <w:rPr>
          <w:rFonts w:eastAsia="Arial"/>
          <w:szCs w:val="24"/>
          <w:lang w:val="en-US"/>
        </w:rPr>
        <w:fldChar w:fldCharType="end"/>
      </w:r>
      <w:r w:rsidR="003B18C6" w:rsidRPr="00DD1B58">
        <w:rPr>
          <w:rFonts w:eastAsia="Arial"/>
          <w:szCs w:val="24"/>
          <w:lang w:val="en-US"/>
        </w:rPr>
        <w:t xml:space="preserve"> </w:t>
      </w:r>
      <w:r w:rsidRPr="00DD1B58">
        <w:rPr>
          <w:rFonts w:eastAsia="Arial"/>
          <w:szCs w:val="24"/>
          <w:lang w:val="en-US"/>
        </w:rPr>
        <w:t xml:space="preserve">and </w:t>
      </w:r>
      <w:r w:rsidR="003B18C6" w:rsidRPr="00DD1B58">
        <w:rPr>
          <w:rFonts w:eastAsia="Arial"/>
          <w:szCs w:val="24"/>
          <w:lang w:val="en-US"/>
        </w:rPr>
        <w:fldChar w:fldCharType="begin"/>
      </w:r>
      <w:r w:rsidR="003B18C6" w:rsidRPr="00DD1B58">
        <w:rPr>
          <w:rFonts w:eastAsia="Arial"/>
          <w:szCs w:val="24"/>
          <w:lang w:val="en-US"/>
        </w:rPr>
        <w:instrText xml:space="preserve"> REF _Ref140844118 \r \h </w:instrText>
      </w:r>
      <w:r w:rsidR="003B18C6" w:rsidRPr="00DD1B58">
        <w:rPr>
          <w:rFonts w:eastAsia="Arial"/>
          <w:szCs w:val="24"/>
          <w:lang w:val="en-US"/>
        </w:rPr>
      </w:r>
      <w:r w:rsidR="003B18C6" w:rsidRPr="00DD1B58">
        <w:rPr>
          <w:rFonts w:eastAsia="Arial"/>
          <w:szCs w:val="24"/>
          <w:lang w:val="en-US"/>
        </w:rPr>
        <w:fldChar w:fldCharType="separate"/>
      </w:r>
      <w:r w:rsidR="00DF47DA">
        <w:rPr>
          <w:rFonts w:eastAsia="Arial"/>
          <w:szCs w:val="24"/>
          <w:lang w:val="en-US"/>
        </w:rPr>
        <w:t>II-2.1.2.1</w:t>
      </w:r>
      <w:r w:rsidR="003B18C6" w:rsidRPr="00DD1B58">
        <w:rPr>
          <w:rFonts w:eastAsia="Arial"/>
          <w:szCs w:val="24"/>
          <w:lang w:val="en-US"/>
        </w:rPr>
        <w:fldChar w:fldCharType="end"/>
      </w:r>
      <w:r w:rsidRPr="00DD1B58">
        <w:rPr>
          <w:rFonts w:eastAsia="Arial"/>
          <w:szCs w:val="24"/>
          <w:lang w:val="en-US"/>
        </w:rPr>
        <w:t>, NNB GenCo</w:t>
      </w:r>
      <w:r w:rsidR="00A90FDA" w:rsidRPr="00DD1B58">
        <w:rPr>
          <w:rFonts w:eastAsia="Arial"/>
          <w:szCs w:val="24"/>
          <w:lang w:val="en-US"/>
        </w:rPr>
        <w:t xml:space="preserve">’s </w:t>
      </w:r>
      <w:r w:rsidR="007E60D5" w:rsidRPr="00DD1B58">
        <w:rPr>
          <w:rFonts w:eastAsia="Arial"/>
          <w:szCs w:val="24"/>
          <w:lang w:val="en-US"/>
        </w:rPr>
        <w:t xml:space="preserve">hazard assessment methodology </w:t>
      </w:r>
      <w:r w:rsidR="00582626" w:rsidRPr="00DD1B58">
        <w:rPr>
          <w:rFonts w:eastAsia="Arial"/>
          <w:szCs w:val="24"/>
          <w:lang w:val="en-US"/>
        </w:rPr>
        <w:t xml:space="preserve">includes principles for the </w:t>
      </w:r>
      <w:r w:rsidR="007E60D5" w:rsidRPr="00DD1B58">
        <w:rPr>
          <w:rFonts w:eastAsia="Arial"/>
          <w:szCs w:val="24"/>
          <w:lang w:val="en-US"/>
        </w:rPr>
        <w:t xml:space="preserve">identification of </w:t>
      </w:r>
      <w:r w:rsidRPr="00DD1B58">
        <w:rPr>
          <w:rFonts w:eastAsia="Arial"/>
          <w:szCs w:val="24"/>
          <w:lang w:val="en-US"/>
        </w:rPr>
        <w:t xml:space="preserve">fire hazard initiating sources and events, fire initiation of design basis initiating faults, fire impacts on consequences and a deterministic approach based on an adequate level of passive fire protection to contain the worst foreseeable fire. </w:t>
      </w:r>
      <w:r w:rsidR="00914844" w:rsidRPr="00DD1B58">
        <w:rPr>
          <w:rFonts w:eastAsia="Arial"/>
          <w:szCs w:val="24"/>
          <w:lang w:val="en-US"/>
        </w:rPr>
        <w:t xml:space="preserve">Consistent with ONR SAPs EKP.3 and para 155 and the expectations of IAEA SSG.64, NNB GenCo has described how it considers fire service intervention, noting that it is not claimed in the analysis, and how contributions to defence in depth are considered within the safety assessment process and as part of building design. </w:t>
      </w:r>
    </w:p>
    <w:p w14:paraId="64ACB16F" w14:textId="41B47C55" w:rsidR="7410160D" w:rsidRPr="00DD1B58" w:rsidRDefault="7410160D">
      <w:pPr>
        <w:rPr>
          <w:lang w:val="en-US"/>
        </w:rPr>
      </w:pPr>
      <w:r w:rsidRPr="00DD1B58">
        <w:rPr>
          <w:rFonts w:eastAsia="Arial"/>
          <w:szCs w:val="24"/>
          <w:lang w:val="en-US"/>
        </w:rPr>
        <w:t>ONR</w:t>
      </w:r>
      <w:r w:rsidR="00582626" w:rsidRPr="00DD1B58">
        <w:rPr>
          <w:rFonts w:eastAsia="Arial"/>
          <w:szCs w:val="24"/>
          <w:lang w:val="en-US"/>
        </w:rPr>
        <w:t>’s</w:t>
      </w:r>
      <w:r w:rsidRPr="00DD1B58">
        <w:rPr>
          <w:rFonts w:eastAsia="Arial"/>
          <w:szCs w:val="24"/>
          <w:lang w:val="en-US"/>
        </w:rPr>
        <w:t xml:space="preserve"> assess</w:t>
      </w:r>
      <w:r w:rsidR="00582626" w:rsidRPr="00DD1B58">
        <w:rPr>
          <w:rFonts w:eastAsia="Arial"/>
          <w:szCs w:val="24"/>
          <w:lang w:val="en-US"/>
        </w:rPr>
        <w:t>ment concludes</w:t>
      </w:r>
      <w:r w:rsidRPr="00DD1B58">
        <w:rPr>
          <w:rFonts w:eastAsia="Arial"/>
          <w:szCs w:val="24"/>
          <w:lang w:val="en-US"/>
        </w:rPr>
        <w:t xml:space="preserve"> that in general this approach aligns with key principles for deterministic fire hazard analysis as set out in IAEA SSG-2</w:t>
      </w:r>
      <w:r w:rsidR="0085025A" w:rsidRPr="00DD1B58">
        <w:rPr>
          <w:rFonts w:eastAsia="Arial"/>
          <w:szCs w:val="24"/>
          <w:lang w:val="en-US"/>
        </w:rPr>
        <w:t>,</w:t>
      </w:r>
      <w:r w:rsidRPr="00DD1B58">
        <w:rPr>
          <w:rFonts w:eastAsia="Arial"/>
          <w:szCs w:val="24"/>
          <w:lang w:val="en-US"/>
        </w:rPr>
        <w:t xml:space="preserve"> SSG-64</w:t>
      </w:r>
      <w:r w:rsidR="0085025A" w:rsidRPr="00DD1B58">
        <w:rPr>
          <w:rFonts w:eastAsia="Arial"/>
          <w:szCs w:val="24"/>
          <w:lang w:val="en-US"/>
        </w:rPr>
        <w:t>,</w:t>
      </w:r>
      <w:r w:rsidRPr="00DD1B58">
        <w:rPr>
          <w:rFonts w:eastAsia="Arial"/>
          <w:szCs w:val="24"/>
          <w:lang w:val="en-US"/>
        </w:rPr>
        <w:t xml:space="preserve"> and ONR SAPs</w:t>
      </w:r>
      <w:r w:rsidR="0085025A" w:rsidRPr="00DD1B58">
        <w:rPr>
          <w:rFonts w:eastAsia="Arial"/>
          <w:szCs w:val="24"/>
          <w:lang w:val="en-US"/>
        </w:rPr>
        <w:t xml:space="preserve"> </w:t>
      </w:r>
      <w:r w:rsidRPr="00DD1B58">
        <w:rPr>
          <w:rFonts w:eastAsia="Arial"/>
          <w:szCs w:val="24"/>
          <w:lang w:val="en-US"/>
        </w:rPr>
        <w:t>and TAGs.</w:t>
      </w:r>
      <w:r w:rsidR="00940D2A" w:rsidRPr="00DD1B58">
        <w:rPr>
          <w:rFonts w:eastAsia="Arial"/>
          <w:szCs w:val="24"/>
          <w:lang w:val="en-US"/>
        </w:rPr>
        <w:t xml:space="preserve"> </w:t>
      </w:r>
      <w:r w:rsidRPr="00DD1B58">
        <w:rPr>
          <w:rFonts w:eastAsia="Arial"/>
          <w:szCs w:val="24"/>
          <w:lang w:val="en-US"/>
        </w:rPr>
        <w:t xml:space="preserve">ONR has identified gaps in the methodologies </w:t>
      </w:r>
      <w:r w:rsidR="00616614" w:rsidRPr="00DD1B58">
        <w:rPr>
          <w:rFonts w:eastAsia="Arial"/>
          <w:szCs w:val="24"/>
          <w:lang w:val="en-US"/>
        </w:rPr>
        <w:t>(</w:t>
      </w:r>
      <w:r w:rsidR="000B43D2" w:rsidRPr="00DD1B58">
        <w:rPr>
          <w:rFonts w:eastAsia="Arial"/>
          <w:szCs w:val="24"/>
          <w:lang w:val="en-US"/>
        </w:rPr>
        <w:t xml:space="preserve">i.e. </w:t>
      </w:r>
      <w:r w:rsidR="00D625AA" w:rsidRPr="00DD1B58">
        <w:rPr>
          <w:rFonts w:eastAsia="Arial"/>
          <w:szCs w:val="24"/>
          <w:lang w:val="en-US"/>
        </w:rPr>
        <w:t xml:space="preserve">the assumption that </w:t>
      </w:r>
      <w:r w:rsidR="00D625AA" w:rsidRPr="00DD1B58">
        <w:rPr>
          <w:szCs w:val="24"/>
          <w:lang w:val="en-US"/>
        </w:rPr>
        <w:t>zoning opening elements are closed</w:t>
      </w:r>
      <w:r w:rsidR="00616614" w:rsidRPr="00DD1B58">
        <w:rPr>
          <w:szCs w:val="24"/>
          <w:lang w:val="en-US"/>
        </w:rPr>
        <w:t xml:space="preserve"> and internal fire outside buildings not being addressed by the methodology</w:t>
      </w:r>
      <w:r w:rsidR="00F82BE3" w:rsidRPr="00DD1B58">
        <w:rPr>
          <w:szCs w:val="24"/>
          <w:lang w:val="en-US"/>
        </w:rPr>
        <w:t xml:space="preserve"> and the zone modelling of the reactor building</w:t>
      </w:r>
      <w:r w:rsidR="00616614" w:rsidRPr="00DD1B58">
        <w:rPr>
          <w:szCs w:val="24"/>
          <w:lang w:val="en-US"/>
        </w:rPr>
        <w:t>)</w:t>
      </w:r>
      <w:r w:rsidR="00587A03" w:rsidRPr="00DD1B58">
        <w:rPr>
          <w:rFonts w:eastAsia="Arial"/>
          <w:szCs w:val="24"/>
          <w:lang w:val="en-US"/>
        </w:rPr>
        <w:t>, is following them up to resolution</w:t>
      </w:r>
      <w:r w:rsidR="00400484" w:rsidRPr="00DD1B58">
        <w:rPr>
          <w:rFonts w:eastAsia="Arial"/>
          <w:szCs w:val="24"/>
          <w:lang w:val="en-US"/>
        </w:rPr>
        <w:t xml:space="preserve"> </w:t>
      </w:r>
      <w:r w:rsidRPr="00DD1B58">
        <w:rPr>
          <w:rFonts w:eastAsia="Arial"/>
          <w:szCs w:val="24"/>
          <w:lang w:val="en-US"/>
        </w:rPr>
        <w:t xml:space="preserve">through routine regulatory engagement with NNB </w:t>
      </w:r>
      <w:r w:rsidR="00D31019" w:rsidRPr="00DD1B58">
        <w:rPr>
          <w:rFonts w:eastAsia="Arial"/>
          <w:szCs w:val="24"/>
          <w:lang w:val="en-US"/>
        </w:rPr>
        <w:t>GenCo</w:t>
      </w:r>
      <w:r w:rsidR="00587A03" w:rsidRPr="00DD1B58">
        <w:rPr>
          <w:rFonts w:eastAsia="Arial"/>
          <w:szCs w:val="24"/>
          <w:lang w:val="en-US"/>
        </w:rPr>
        <w:t>,</w:t>
      </w:r>
      <w:r w:rsidR="00400484" w:rsidRPr="00DD1B58">
        <w:rPr>
          <w:rFonts w:eastAsia="Arial"/>
          <w:szCs w:val="24"/>
          <w:lang w:val="en-US"/>
        </w:rPr>
        <w:t xml:space="preserve"> and will be subject to </w:t>
      </w:r>
      <w:r w:rsidR="00587A03" w:rsidRPr="00DD1B58">
        <w:rPr>
          <w:rFonts w:eastAsia="Arial"/>
          <w:szCs w:val="24"/>
          <w:lang w:val="en-US"/>
        </w:rPr>
        <w:t xml:space="preserve">ONR’s </w:t>
      </w:r>
      <w:r w:rsidR="00400484" w:rsidRPr="00DD1B58">
        <w:rPr>
          <w:rFonts w:eastAsia="Arial"/>
          <w:szCs w:val="24"/>
          <w:lang w:val="en-US"/>
        </w:rPr>
        <w:t xml:space="preserve">permissioning assessment </w:t>
      </w:r>
      <w:r w:rsidR="00616614" w:rsidRPr="00DD1B58">
        <w:rPr>
          <w:rFonts w:eastAsia="Arial"/>
          <w:szCs w:val="24"/>
          <w:lang w:val="en-US"/>
        </w:rPr>
        <w:t xml:space="preserve">of </w:t>
      </w:r>
      <w:r w:rsidR="001E56FF" w:rsidRPr="00DD1B58">
        <w:rPr>
          <w:rFonts w:eastAsia="Arial"/>
          <w:szCs w:val="24"/>
          <w:lang w:val="en-US"/>
        </w:rPr>
        <w:t>Summary Safety Case Document #3</w:t>
      </w:r>
      <w:r w:rsidR="00940D2A" w:rsidRPr="00DD1B58">
        <w:rPr>
          <w:rFonts w:eastAsia="Arial"/>
          <w:szCs w:val="24"/>
          <w:lang w:val="en-US"/>
        </w:rPr>
        <w:t xml:space="preserve"> </w:t>
      </w:r>
      <w:r w:rsidR="00400484" w:rsidRPr="00DD1B58">
        <w:rPr>
          <w:rFonts w:eastAsia="Arial"/>
          <w:szCs w:val="24"/>
          <w:lang w:val="en-US"/>
        </w:rPr>
        <w:t xml:space="preserve">prior to release of </w:t>
      </w:r>
      <w:r w:rsidR="006529C2" w:rsidRPr="00DD1B58">
        <w:rPr>
          <w:rFonts w:eastAsia="Arial"/>
          <w:szCs w:val="24"/>
          <w:lang w:val="en-US"/>
        </w:rPr>
        <w:t>the</w:t>
      </w:r>
      <w:r w:rsidR="00400484" w:rsidRPr="00DD1B58">
        <w:rPr>
          <w:rFonts w:eastAsia="Arial"/>
          <w:szCs w:val="24"/>
          <w:lang w:val="en-US"/>
        </w:rPr>
        <w:t xml:space="preserve"> Hold Point</w:t>
      </w:r>
      <w:r w:rsidR="001E56FF" w:rsidRPr="00DD1B58">
        <w:rPr>
          <w:rFonts w:eastAsia="Arial"/>
          <w:szCs w:val="24"/>
          <w:lang w:val="en-US"/>
        </w:rPr>
        <w:t xml:space="preserve"> for delivery of fuel to the HPC site</w:t>
      </w:r>
      <w:r w:rsidR="0085025A" w:rsidRPr="00DD1B58">
        <w:rPr>
          <w:rFonts w:eastAsia="Arial"/>
          <w:szCs w:val="24"/>
          <w:lang w:val="en-US"/>
        </w:rPr>
        <w:t>.</w:t>
      </w:r>
    </w:p>
    <w:p w14:paraId="6EF972FB" w14:textId="77777777" w:rsidR="7410160D" w:rsidRPr="00DD1B58" w:rsidRDefault="7410160D">
      <w:pPr>
        <w:rPr>
          <w:lang w:val="en-US"/>
        </w:rPr>
      </w:pPr>
      <w:r w:rsidRPr="00DD1B58">
        <w:rPr>
          <w:rFonts w:eastAsia="Arial"/>
          <w:b/>
          <w:szCs w:val="24"/>
          <w:lang w:val="en-US"/>
        </w:rPr>
        <w:t>Combined and consequential hazards</w:t>
      </w:r>
      <w:r w:rsidRPr="00DD1B58">
        <w:rPr>
          <w:rFonts w:eastAsia="Arial"/>
          <w:szCs w:val="24"/>
          <w:lang w:val="en-US"/>
        </w:rPr>
        <w:t xml:space="preserve"> </w:t>
      </w:r>
    </w:p>
    <w:p w14:paraId="72BD001D" w14:textId="1E62E92F" w:rsidR="7410160D" w:rsidRPr="00DD1B58" w:rsidRDefault="7410160D">
      <w:pPr>
        <w:rPr>
          <w:lang w:val="en-US"/>
        </w:rPr>
      </w:pPr>
      <w:r w:rsidRPr="00DD1B58">
        <w:rPr>
          <w:rFonts w:eastAsia="Arial"/>
          <w:color w:val="000000" w:themeColor="text2"/>
          <w:szCs w:val="24"/>
          <w:lang w:val="en-US"/>
        </w:rPr>
        <w:t>In section II-1.2.2, NNB GenCo states that t</w:t>
      </w:r>
      <w:r w:rsidRPr="00DD1B58">
        <w:rPr>
          <w:rFonts w:eastAsia="Arial"/>
          <w:szCs w:val="24"/>
          <w:lang w:val="en-US"/>
        </w:rPr>
        <w:t xml:space="preserve">he UK EPR fire design principles presented in ETC-F were compared and shown to generally comply with the fire safety principles in IAEA NS-G-1.7 </w:t>
      </w:r>
      <w:sdt>
        <w:sdtPr>
          <w:rPr>
            <w:rFonts w:eastAsia="Arial"/>
            <w:szCs w:val="24"/>
            <w:lang w:val="en-US"/>
          </w:rPr>
          <w:id w:val="-1691058504"/>
          <w:citation/>
        </w:sdtPr>
        <w:sdtContent>
          <w:r w:rsidR="00DE3AB8" w:rsidRPr="00DD1B58">
            <w:rPr>
              <w:rFonts w:eastAsia="Arial"/>
              <w:szCs w:val="24"/>
              <w:lang w:val="en-US"/>
            </w:rPr>
            <w:fldChar w:fldCharType="begin"/>
          </w:r>
          <w:r w:rsidR="00DE3AB8" w:rsidRPr="00DD1B58">
            <w:rPr>
              <w:rFonts w:eastAsia="Arial"/>
              <w:szCs w:val="24"/>
              <w:lang w:val="en-US"/>
            </w:rPr>
            <w:instrText xml:space="preserve"> CITATION IAE4 \l 2057 </w:instrText>
          </w:r>
          <w:r w:rsidR="00DE3AB8" w:rsidRPr="00DD1B58">
            <w:rPr>
              <w:rFonts w:eastAsia="Arial"/>
              <w:szCs w:val="24"/>
              <w:lang w:val="en-US"/>
            </w:rPr>
            <w:fldChar w:fldCharType="separate"/>
          </w:r>
          <w:r w:rsidR="00DF47DA" w:rsidRPr="00DF47DA">
            <w:rPr>
              <w:rFonts w:eastAsia="Arial"/>
              <w:noProof/>
              <w:szCs w:val="24"/>
              <w:lang w:val="en-US"/>
            </w:rPr>
            <w:t>[68]</w:t>
          </w:r>
          <w:r w:rsidR="00DE3AB8" w:rsidRPr="00DD1B58">
            <w:rPr>
              <w:rFonts w:eastAsia="Arial"/>
              <w:szCs w:val="24"/>
              <w:lang w:val="en-US"/>
            </w:rPr>
            <w:fldChar w:fldCharType="end"/>
          </w:r>
        </w:sdtContent>
      </w:sdt>
      <w:r w:rsidR="006633A7" w:rsidRPr="00DD1B58">
        <w:rPr>
          <w:rFonts w:eastAsia="Arial"/>
          <w:szCs w:val="24"/>
          <w:lang w:val="en-US"/>
        </w:rPr>
        <w:t>,</w:t>
      </w:r>
      <w:r w:rsidR="00914844" w:rsidRPr="00DD1B58">
        <w:rPr>
          <w:rFonts w:eastAsia="Arial"/>
          <w:szCs w:val="24"/>
          <w:lang w:val="en-US"/>
        </w:rPr>
        <w:t xml:space="preserve"> </w:t>
      </w:r>
      <w:r w:rsidRPr="00DD1B58">
        <w:rPr>
          <w:rFonts w:eastAsia="Arial"/>
          <w:szCs w:val="24"/>
          <w:lang w:val="en-US"/>
        </w:rPr>
        <w:t xml:space="preserve">which has now been superseded by SSG-64 </w:t>
      </w:r>
      <w:sdt>
        <w:sdtPr>
          <w:rPr>
            <w:rFonts w:eastAsia="Arial"/>
            <w:szCs w:val="24"/>
            <w:lang w:val="en-US"/>
          </w:rPr>
          <w:id w:val="-1856964503"/>
          <w:citation/>
        </w:sdtPr>
        <w:sdtContent>
          <w:r w:rsidR="003E1018" w:rsidRPr="00DD1B58">
            <w:rPr>
              <w:rFonts w:eastAsia="Arial"/>
              <w:szCs w:val="24"/>
              <w:lang w:val="en-US"/>
            </w:rPr>
            <w:fldChar w:fldCharType="begin"/>
          </w:r>
          <w:r w:rsidR="003E1018" w:rsidRPr="00DD1B58">
            <w:rPr>
              <w:rFonts w:eastAsia="Arial"/>
              <w:szCs w:val="24"/>
              <w:lang w:val="en-US"/>
            </w:rPr>
            <w:instrText xml:space="preserve"> CITATION IAE5 \l 2057 </w:instrText>
          </w:r>
          <w:r w:rsidR="003E1018" w:rsidRPr="00DD1B58">
            <w:rPr>
              <w:rFonts w:eastAsia="Arial"/>
              <w:szCs w:val="24"/>
              <w:lang w:val="en-US"/>
            </w:rPr>
            <w:fldChar w:fldCharType="separate"/>
          </w:r>
          <w:r w:rsidR="00DF47DA" w:rsidRPr="00DF47DA">
            <w:rPr>
              <w:rFonts w:eastAsia="Arial"/>
              <w:noProof/>
              <w:szCs w:val="24"/>
              <w:lang w:val="en-US"/>
            </w:rPr>
            <w:t>[17]</w:t>
          </w:r>
          <w:r w:rsidR="003E1018" w:rsidRPr="00DD1B58">
            <w:rPr>
              <w:rFonts w:eastAsia="Arial"/>
              <w:szCs w:val="24"/>
              <w:lang w:val="en-US"/>
            </w:rPr>
            <w:fldChar w:fldCharType="end"/>
          </w:r>
        </w:sdtContent>
      </w:sdt>
      <w:r w:rsidR="006A0305" w:rsidRPr="00DD1B58">
        <w:rPr>
          <w:rFonts w:eastAsia="Arial"/>
          <w:szCs w:val="24"/>
          <w:lang w:val="en-US"/>
        </w:rPr>
        <w:t>.</w:t>
      </w:r>
      <w:r w:rsidR="00914844" w:rsidRPr="00DD1B58">
        <w:rPr>
          <w:rFonts w:eastAsia="Arial"/>
          <w:szCs w:val="24"/>
          <w:lang w:val="en-US"/>
        </w:rPr>
        <w:t xml:space="preserve"> </w:t>
      </w:r>
    </w:p>
    <w:p w14:paraId="23E81107" w14:textId="52ADBDA6" w:rsidR="7410160D" w:rsidRPr="00DD1B58" w:rsidRDefault="7410160D" w:rsidP="00CA3A72">
      <w:pPr>
        <w:rPr>
          <w:lang w:val="en-US"/>
        </w:rPr>
      </w:pPr>
      <w:r w:rsidRPr="00DD1B58">
        <w:rPr>
          <w:rFonts w:eastAsia="Arial"/>
          <w:szCs w:val="24"/>
          <w:lang w:val="en-US"/>
        </w:rPr>
        <w:t>Consistent with WENRA SRL E 6.1</w:t>
      </w:r>
      <w:r w:rsidR="00914844" w:rsidRPr="00DD1B58">
        <w:rPr>
          <w:rFonts w:eastAsia="Arial"/>
          <w:szCs w:val="24"/>
          <w:lang w:val="en-US"/>
        </w:rPr>
        <w:t xml:space="preserve"> </w:t>
      </w:r>
      <w:sdt>
        <w:sdtPr>
          <w:rPr>
            <w:rFonts w:eastAsia="Arial"/>
            <w:szCs w:val="24"/>
            <w:lang w:val="en-US"/>
          </w:rPr>
          <w:id w:val="1120038705"/>
          <w:citation/>
        </w:sdtPr>
        <w:sdtContent>
          <w:r w:rsidR="008C2291" w:rsidRPr="00DD1B58">
            <w:rPr>
              <w:rFonts w:eastAsia="Arial"/>
              <w:szCs w:val="24"/>
              <w:lang w:val="en-US"/>
            </w:rPr>
            <w:fldChar w:fldCharType="begin"/>
          </w:r>
          <w:r w:rsidR="008C2291" w:rsidRPr="00DD1B58">
            <w:rPr>
              <w:rFonts w:eastAsia="Arial"/>
              <w:szCs w:val="24"/>
              <w:lang w:val="en-US"/>
            </w:rPr>
            <w:instrText xml:space="preserve"> CITATION WEN \l 2057 </w:instrText>
          </w:r>
          <w:r w:rsidR="008C2291" w:rsidRPr="00DD1B58">
            <w:rPr>
              <w:rFonts w:eastAsia="Arial"/>
              <w:szCs w:val="24"/>
              <w:lang w:val="en-US"/>
            </w:rPr>
            <w:fldChar w:fldCharType="separate"/>
          </w:r>
          <w:r w:rsidR="00DF47DA" w:rsidRPr="00DF47DA">
            <w:rPr>
              <w:rFonts w:eastAsia="Arial"/>
              <w:noProof/>
              <w:szCs w:val="24"/>
              <w:lang w:val="en-US"/>
            </w:rPr>
            <w:t>[33]</w:t>
          </w:r>
          <w:r w:rsidR="008C2291" w:rsidRPr="00DD1B58">
            <w:rPr>
              <w:rFonts w:eastAsia="Arial"/>
              <w:szCs w:val="24"/>
              <w:lang w:val="en-US"/>
            </w:rPr>
            <w:fldChar w:fldCharType="end"/>
          </w:r>
        </w:sdtContent>
      </w:sdt>
      <w:r w:rsidRPr="00DD1B58">
        <w:rPr>
          <w:rFonts w:eastAsia="Arial"/>
          <w:szCs w:val="24"/>
          <w:lang w:val="en-US"/>
        </w:rPr>
        <w:t>, IAEA SSR-2/2</w:t>
      </w:r>
      <w:r w:rsidR="006A0305" w:rsidRPr="00DD1B58">
        <w:rPr>
          <w:rFonts w:eastAsia="Arial"/>
          <w:szCs w:val="24"/>
          <w:lang w:val="en-US"/>
        </w:rPr>
        <w:t xml:space="preserve"> </w:t>
      </w:r>
      <w:sdt>
        <w:sdtPr>
          <w:rPr>
            <w:rFonts w:eastAsia="Arial"/>
            <w:szCs w:val="24"/>
            <w:lang w:val="en-US"/>
          </w:rPr>
          <w:id w:val="-69276670"/>
          <w:citation/>
        </w:sdtPr>
        <w:sdtContent>
          <w:r w:rsidR="00E95A42" w:rsidRPr="00DD1B58">
            <w:rPr>
              <w:rFonts w:eastAsia="Arial"/>
              <w:szCs w:val="24"/>
              <w:lang w:val="en-US"/>
            </w:rPr>
            <w:fldChar w:fldCharType="begin"/>
          </w:r>
          <w:r w:rsidR="00E95A42" w:rsidRPr="00DD1B58">
            <w:rPr>
              <w:rFonts w:eastAsia="Arial"/>
              <w:szCs w:val="24"/>
              <w:lang w:val="en-US"/>
            </w:rPr>
            <w:instrText xml:space="preserve"> CITATION IAE161 \l 2057 </w:instrText>
          </w:r>
          <w:r w:rsidR="00E95A42" w:rsidRPr="00DD1B58">
            <w:rPr>
              <w:rFonts w:eastAsia="Arial"/>
              <w:szCs w:val="24"/>
              <w:lang w:val="en-US"/>
            </w:rPr>
            <w:fldChar w:fldCharType="separate"/>
          </w:r>
          <w:r w:rsidR="00DF47DA" w:rsidRPr="00DF47DA">
            <w:rPr>
              <w:rFonts w:eastAsia="Arial"/>
              <w:noProof/>
              <w:szCs w:val="24"/>
              <w:lang w:val="en-US"/>
            </w:rPr>
            <w:t>[69]</w:t>
          </w:r>
          <w:r w:rsidR="00E95A42" w:rsidRPr="00DD1B58">
            <w:rPr>
              <w:rFonts w:eastAsia="Arial"/>
              <w:szCs w:val="24"/>
              <w:lang w:val="en-US"/>
            </w:rPr>
            <w:fldChar w:fldCharType="end"/>
          </w:r>
        </w:sdtContent>
      </w:sdt>
      <w:r w:rsidRPr="00DD1B58">
        <w:rPr>
          <w:rFonts w:eastAsia="Arial"/>
          <w:szCs w:val="24"/>
          <w:lang w:val="en-US"/>
        </w:rPr>
        <w:t xml:space="preserve">, NNB GenCo’s self-assessment </w:t>
      </w:r>
      <w:r w:rsidR="00883EC0" w:rsidRPr="00DD1B58">
        <w:rPr>
          <w:rFonts w:eastAsia="Arial"/>
          <w:szCs w:val="24"/>
          <w:lang w:val="en-US"/>
        </w:rPr>
        <w:t xml:space="preserve">summarised </w:t>
      </w:r>
      <w:r w:rsidRPr="00DD1B58">
        <w:rPr>
          <w:rFonts w:eastAsia="Arial"/>
          <w:szCs w:val="24"/>
          <w:lang w:val="en-US"/>
        </w:rPr>
        <w:t xml:space="preserve">in Section II-2.1.1.3 </w:t>
      </w:r>
      <w:r w:rsidR="008A503F" w:rsidRPr="00DD1B58">
        <w:rPr>
          <w:rFonts w:eastAsia="Arial"/>
          <w:szCs w:val="24"/>
          <w:lang w:val="en-US"/>
        </w:rPr>
        <w:t>shows t</w:t>
      </w:r>
      <w:r w:rsidRPr="00DD1B58">
        <w:rPr>
          <w:rFonts w:eastAsia="Arial"/>
          <w:szCs w:val="24"/>
          <w:lang w:val="en-US"/>
        </w:rPr>
        <w:t xml:space="preserve">hat a systematic </w:t>
      </w:r>
      <w:r w:rsidR="008A503F" w:rsidRPr="00DD1B58">
        <w:rPr>
          <w:rFonts w:eastAsia="Arial"/>
          <w:szCs w:val="24"/>
          <w:lang w:val="en-US"/>
        </w:rPr>
        <w:t xml:space="preserve">process to identifying </w:t>
      </w:r>
      <w:r w:rsidRPr="00DD1B58">
        <w:rPr>
          <w:rFonts w:eastAsia="Arial"/>
          <w:szCs w:val="24"/>
          <w:lang w:val="en-US"/>
        </w:rPr>
        <w:t>hazard</w:t>
      </w:r>
      <w:r w:rsidR="008A503F" w:rsidRPr="00DD1B58">
        <w:rPr>
          <w:rFonts w:eastAsia="Arial"/>
          <w:szCs w:val="24"/>
          <w:lang w:val="en-US"/>
        </w:rPr>
        <w:t xml:space="preserve"> combinations is applied, </w:t>
      </w:r>
      <w:r w:rsidRPr="00DD1B58">
        <w:rPr>
          <w:rFonts w:eastAsia="Arial"/>
          <w:szCs w:val="24"/>
          <w:lang w:val="en-US"/>
        </w:rPr>
        <w:t>and that hazard</w:t>
      </w:r>
      <w:r w:rsidR="008A503F" w:rsidRPr="00DD1B58">
        <w:rPr>
          <w:rFonts w:eastAsia="Arial"/>
          <w:szCs w:val="24"/>
          <w:lang w:val="en-US"/>
        </w:rPr>
        <w:t xml:space="preserve"> combinations which are </w:t>
      </w:r>
      <w:r w:rsidRPr="00DD1B58">
        <w:rPr>
          <w:rFonts w:eastAsia="Arial"/>
          <w:szCs w:val="24"/>
          <w:lang w:val="en-US"/>
        </w:rPr>
        <w:t xml:space="preserve">not screened out will be considered within </w:t>
      </w:r>
      <w:r w:rsidR="008A503F" w:rsidRPr="00DD1B58">
        <w:rPr>
          <w:rFonts w:eastAsia="Arial"/>
          <w:szCs w:val="24"/>
          <w:lang w:val="en-US"/>
        </w:rPr>
        <w:t>the s</w:t>
      </w:r>
      <w:r w:rsidRPr="00DD1B58">
        <w:rPr>
          <w:rFonts w:eastAsia="Arial"/>
          <w:szCs w:val="24"/>
          <w:lang w:val="en-US"/>
        </w:rPr>
        <w:t xml:space="preserve">afety assessment process. </w:t>
      </w:r>
      <w:r w:rsidR="00685357" w:rsidRPr="00DD1B58">
        <w:rPr>
          <w:rFonts w:eastAsia="Arial"/>
          <w:szCs w:val="24"/>
          <w:lang w:val="en-US"/>
        </w:rPr>
        <w:t xml:space="preserve">ONR’s assessment </w:t>
      </w:r>
      <w:r w:rsidR="009E6CDC" w:rsidRPr="00DD1B58">
        <w:rPr>
          <w:rFonts w:eastAsia="Arial"/>
          <w:szCs w:val="24"/>
          <w:lang w:val="en-US"/>
        </w:rPr>
        <w:t>has identified</w:t>
      </w:r>
      <w:r w:rsidR="005B1320" w:rsidRPr="00DD1B58">
        <w:rPr>
          <w:rFonts w:eastAsia="Arial"/>
          <w:szCs w:val="24"/>
          <w:lang w:val="en-US"/>
        </w:rPr>
        <w:t xml:space="preserve"> that </w:t>
      </w:r>
      <w:r w:rsidR="009E6CDC" w:rsidRPr="00DD1B58">
        <w:rPr>
          <w:rFonts w:eastAsia="Arial"/>
          <w:szCs w:val="24"/>
          <w:lang w:val="en-US"/>
        </w:rPr>
        <w:t xml:space="preserve">NNB GenCo’s self-assessment </w:t>
      </w:r>
      <w:r w:rsidRPr="00DD1B58">
        <w:rPr>
          <w:rFonts w:eastAsia="Arial"/>
          <w:szCs w:val="24"/>
          <w:lang w:val="en-US"/>
        </w:rPr>
        <w:t xml:space="preserve">does not </w:t>
      </w:r>
      <w:r w:rsidR="003D6DE3" w:rsidRPr="00DD1B58">
        <w:rPr>
          <w:rFonts w:eastAsia="Arial"/>
          <w:szCs w:val="24"/>
          <w:lang w:val="en-US"/>
        </w:rPr>
        <w:t xml:space="preserve">show </w:t>
      </w:r>
      <w:r w:rsidRPr="00DD1B58">
        <w:rPr>
          <w:rFonts w:eastAsia="Arial"/>
          <w:szCs w:val="24"/>
          <w:lang w:val="en-US"/>
        </w:rPr>
        <w:t xml:space="preserve">the potential effects of combined hazards on the </w:t>
      </w:r>
      <w:r w:rsidR="0028326C" w:rsidRPr="00DD1B58">
        <w:rPr>
          <w:rFonts w:eastAsia="Arial"/>
          <w:szCs w:val="24"/>
          <w:lang w:val="en-US"/>
        </w:rPr>
        <w:t>selection</w:t>
      </w:r>
      <w:r w:rsidRPr="00DD1B58">
        <w:rPr>
          <w:rFonts w:eastAsia="Arial"/>
          <w:szCs w:val="24"/>
          <w:lang w:val="en-US"/>
        </w:rPr>
        <w:t xml:space="preserve">, </w:t>
      </w:r>
      <w:r w:rsidR="0028326C" w:rsidRPr="00DD1B58">
        <w:rPr>
          <w:rFonts w:eastAsia="Arial"/>
          <w:szCs w:val="24"/>
          <w:lang w:val="en-US"/>
        </w:rPr>
        <w:t>design</w:t>
      </w:r>
      <w:r w:rsidRPr="00DD1B58">
        <w:rPr>
          <w:rFonts w:eastAsia="Arial"/>
          <w:szCs w:val="24"/>
          <w:lang w:val="en-US"/>
        </w:rPr>
        <w:t xml:space="preserve"> and performance expectations for active fire protective systems</w:t>
      </w:r>
      <w:r w:rsidR="0028326C" w:rsidRPr="00DD1B58">
        <w:rPr>
          <w:rFonts w:eastAsia="Arial"/>
          <w:szCs w:val="24"/>
          <w:lang w:val="en-US"/>
        </w:rPr>
        <w:t>,</w:t>
      </w:r>
      <w:r w:rsidRPr="00DD1B58">
        <w:rPr>
          <w:rFonts w:eastAsia="Arial"/>
          <w:szCs w:val="24"/>
          <w:lang w:val="en-US"/>
        </w:rPr>
        <w:t xml:space="preserve"> the potential for combined hazards to affect the capacity for </w:t>
      </w:r>
      <w:r w:rsidR="004F5760" w:rsidRPr="00DD1B58">
        <w:rPr>
          <w:rFonts w:eastAsia="Arial"/>
          <w:szCs w:val="24"/>
          <w:lang w:val="en-US"/>
        </w:rPr>
        <w:t>firefight</w:t>
      </w:r>
      <w:r w:rsidRPr="00DD1B58">
        <w:rPr>
          <w:rFonts w:eastAsia="Arial"/>
          <w:szCs w:val="24"/>
          <w:lang w:val="en-US"/>
        </w:rPr>
        <w:t xml:space="preserve">ing or how the </w:t>
      </w:r>
      <w:r w:rsidR="004F5760" w:rsidRPr="00DD1B58">
        <w:rPr>
          <w:rFonts w:eastAsia="Arial"/>
          <w:szCs w:val="24"/>
          <w:lang w:val="en-US"/>
        </w:rPr>
        <w:t>firefight</w:t>
      </w:r>
      <w:r w:rsidRPr="00DD1B58">
        <w:rPr>
          <w:rFonts w:eastAsia="Arial"/>
          <w:szCs w:val="24"/>
          <w:lang w:val="en-US"/>
        </w:rPr>
        <w:t xml:space="preserve">ing system may contribute to combined hazards. NNB GenCo has </w:t>
      </w:r>
      <w:r w:rsidR="0078194B" w:rsidRPr="00DD1B58">
        <w:rPr>
          <w:rFonts w:eastAsia="Arial"/>
          <w:szCs w:val="24"/>
          <w:lang w:val="en-US"/>
        </w:rPr>
        <w:t xml:space="preserve">acknowledged </w:t>
      </w:r>
      <w:sdt>
        <w:sdtPr>
          <w:rPr>
            <w:rFonts w:eastAsia="Arial"/>
            <w:szCs w:val="24"/>
            <w:lang w:val="en-US"/>
          </w:rPr>
          <w:id w:val="-353119710"/>
          <w:citation/>
        </w:sdtPr>
        <w:sdtContent>
          <w:r w:rsidR="00B83645" w:rsidRPr="00DD1B58">
            <w:rPr>
              <w:rFonts w:eastAsia="Arial"/>
              <w:szCs w:val="24"/>
              <w:lang w:val="en-US"/>
            </w:rPr>
            <w:fldChar w:fldCharType="begin"/>
          </w:r>
          <w:r w:rsidR="00B83645" w:rsidRPr="00DD1B58">
            <w:rPr>
              <w:rFonts w:eastAsia="Arial"/>
              <w:szCs w:val="24"/>
              <w:lang w:val="en-US"/>
            </w:rPr>
            <w:instrText xml:space="preserve"> CITATION NNB237 \l 2057 </w:instrText>
          </w:r>
          <w:r w:rsidR="00B83645" w:rsidRPr="00DD1B58">
            <w:rPr>
              <w:rFonts w:eastAsia="Arial"/>
              <w:szCs w:val="24"/>
              <w:lang w:val="en-US"/>
            </w:rPr>
            <w:fldChar w:fldCharType="separate"/>
          </w:r>
          <w:r w:rsidR="00DF47DA" w:rsidRPr="00DF47DA">
            <w:rPr>
              <w:rFonts w:eastAsia="Arial"/>
              <w:noProof/>
              <w:szCs w:val="24"/>
              <w:lang w:val="en-US"/>
            </w:rPr>
            <w:t>[67]</w:t>
          </w:r>
          <w:r w:rsidR="00B83645" w:rsidRPr="00DD1B58">
            <w:rPr>
              <w:rFonts w:eastAsia="Arial"/>
              <w:szCs w:val="24"/>
              <w:lang w:val="en-US"/>
            </w:rPr>
            <w:fldChar w:fldCharType="end"/>
          </w:r>
        </w:sdtContent>
      </w:sdt>
      <w:r w:rsidR="00B83645" w:rsidRPr="00DD1B58">
        <w:rPr>
          <w:rFonts w:eastAsia="Arial"/>
          <w:szCs w:val="24"/>
          <w:lang w:val="en-US"/>
        </w:rPr>
        <w:t xml:space="preserve"> </w:t>
      </w:r>
      <w:r w:rsidR="00CA3A72" w:rsidRPr="00DD1B58">
        <w:rPr>
          <w:rFonts w:eastAsia="Arial"/>
          <w:szCs w:val="24"/>
          <w:lang w:val="en-US"/>
        </w:rPr>
        <w:t xml:space="preserve">that </w:t>
      </w:r>
      <w:r w:rsidR="00DE2C89" w:rsidRPr="00DD1B58">
        <w:rPr>
          <w:szCs w:val="24"/>
          <w:lang w:val="en-US"/>
        </w:rPr>
        <w:t xml:space="preserve">it has not carried out </w:t>
      </w:r>
      <w:r w:rsidR="00CA3A72" w:rsidRPr="00DD1B58">
        <w:rPr>
          <w:szCs w:val="24"/>
          <w:lang w:val="en-US"/>
        </w:rPr>
        <w:t xml:space="preserve">a review </w:t>
      </w:r>
      <w:r w:rsidR="00DE2C89" w:rsidRPr="00DD1B58">
        <w:rPr>
          <w:szCs w:val="24"/>
          <w:lang w:val="en-US"/>
        </w:rPr>
        <w:t>of</w:t>
      </w:r>
      <w:r w:rsidR="00CA3A72" w:rsidRPr="00DD1B58">
        <w:rPr>
          <w:szCs w:val="24"/>
          <w:lang w:val="en-US"/>
        </w:rPr>
        <w:t xml:space="preserve"> </w:t>
      </w:r>
      <w:r w:rsidR="007557DE" w:rsidRPr="00DD1B58">
        <w:rPr>
          <w:szCs w:val="24"/>
          <w:lang w:val="en-US"/>
        </w:rPr>
        <w:t>the</w:t>
      </w:r>
      <w:r w:rsidR="00CA3A72" w:rsidRPr="00DD1B58">
        <w:rPr>
          <w:szCs w:val="24"/>
          <w:lang w:val="en-US"/>
        </w:rPr>
        <w:t xml:space="preserve"> potential impact </w:t>
      </w:r>
      <w:r w:rsidR="007557DE" w:rsidRPr="00DD1B58">
        <w:rPr>
          <w:szCs w:val="24"/>
          <w:lang w:val="en-US"/>
        </w:rPr>
        <w:t xml:space="preserve">of combined and consequential hazards </w:t>
      </w:r>
      <w:r w:rsidR="00CA3A72" w:rsidRPr="00DD1B58">
        <w:rPr>
          <w:szCs w:val="24"/>
          <w:lang w:val="en-US"/>
        </w:rPr>
        <w:t>to the JDT system</w:t>
      </w:r>
      <w:r w:rsidR="00BC0C36" w:rsidRPr="00DD1B58">
        <w:rPr>
          <w:szCs w:val="24"/>
          <w:lang w:val="en-US"/>
        </w:rPr>
        <w:t xml:space="preserve"> and </w:t>
      </w:r>
      <w:r w:rsidR="00DE2C89" w:rsidRPr="00DD1B58">
        <w:rPr>
          <w:szCs w:val="24"/>
          <w:lang w:val="en-US"/>
        </w:rPr>
        <w:t xml:space="preserve">it considers </w:t>
      </w:r>
      <w:r w:rsidR="00BC0C36" w:rsidRPr="00DD1B58">
        <w:rPr>
          <w:szCs w:val="24"/>
          <w:lang w:val="en-US"/>
        </w:rPr>
        <w:t>that a</w:t>
      </w:r>
      <w:r w:rsidR="00CA3A72" w:rsidRPr="00DD1B58">
        <w:rPr>
          <w:szCs w:val="24"/>
          <w:lang w:val="en-US"/>
        </w:rPr>
        <w:t>n initiating hazard which impacts the JDT system and then results in a fire could be considered potentially feasible.</w:t>
      </w:r>
      <w:r w:rsidR="00BC0C36" w:rsidRPr="00DD1B58">
        <w:rPr>
          <w:szCs w:val="24"/>
          <w:lang w:val="en-US"/>
        </w:rPr>
        <w:t xml:space="preserve"> However, NNB GenCo concludes that </w:t>
      </w:r>
      <w:r w:rsidR="007557DE" w:rsidRPr="00DD1B58">
        <w:rPr>
          <w:szCs w:val="24"/>
          <w:lang w:val="en-US"/>
        </w:rPr>
        <w:t>as the JDT is qualified to external hazards as per the buildings it is contained within it judge</w:t>
      </w:r>
      <w:r w:rsidR="00DE2C89" w:rsidRPr="00DD1B58">
        <w:rPr>
          <w:szCs w:val="24"/>
          <w:lang w:val="en-US"/>
        </w:rPr>
        <w:t>s</w:t>
      </w:r>
      <w:r w:rsidR="007557DE" w:rsidRPr="00DD1B58">
        <w:rPr>
          <w:szCs w:val="24"/>
          <w:lang w:val="en-US"/>
        </w:rPr>
        <w:t xml:space="preserve"> that such an event would be an accumulation of low frequency events</w:t>
      </w:r>
      <w:r w:rsidRPr="00DD1B58">
        <w:rPr>
          <w:rFonts w:eastAsia="Arial"/>
          <w:szCs w:val="24"/>
          <w:lang w:val="en-US"/>
        </w:rPr>
        <w:t>. ONR</w:t>
      </w:r>
      <w:r w:rsidR="00B83645" w:rsidRPr="00DD1B58">
        <w:rPr>
          <w:rFonts w:eastAsia="Arial"/>
          <w:szCs w:val="24"/>
          <w:lang w:val="en-US"/>
        </w:rPr>
        <w:t xml:space="preserve"> </w:t>
      </w:r>
      <w:r w:rsidR="00D31019" w:rsidRPr="00DD1B58">
        <w:rPr>
          <w:rFonts w:eastAsia="Arial"/>
          <w:szCs w:val="24"/>
          <w:lang w:val="en-US"/>
        </w:rPr>
        <w:t>is following the gap to resolution through routine regulatory engagement with NNB GenCo, and will be subject to ONR’s permissioning assessment prior to release of Hold Point</w:t>
      </w:r>
      <w:r w:rsidR="00805BAB" w:rsidRPr="00DD1B58">
        <w:rPr>
          <w:rFonts w:eastAsia="Arial"/>
          <w:szCs w:val="24"/>
          <w:lang w:val="en-US"/>
        </w:rPr>
        <w:t xml:space="preserve"> for </w:t>
      </w:r>
      <w:r w:rsidR="000A5ABB" w:rsidRPr="00DD1B58">
        <w:rPr>
          <w:rFonts w:eastAsia="Arial"/>
          <w:szCs w:val="24"/>
          <w:lang w:val="en-US"/>
        </w:rPr>
        <w:t xml:space="preserve">SSCD#3 </w:t>
      </w:r>
      <w:r w:rsidR="00207A70" w:rsidRPr="00DD1B58">
        <w:rPr>
          <w:rFonts w:eastAsia="Arial"/>
          <w:szCs w:val="24"/>
          <w:lang w:val="en-US"/>
        </w:rPr>
        <w:t>–</w:t>
      </w:r>
      <w:r w:rsidR="000A5ABB" w:rsidRPr="00DD1B58">
        <w:rPr>
          <w:rFonts w:eastAsia="Arial"/>
          <w:szCs w:val="24"/>
          <w:lang w:val="en-US"/>
        </w:rPr>
        <w:t xml:space="preserve"> </w:t>
      </w:r>
      <w:r w:rsidR="00207A70" w:rsidRPr="00DD1B58">
        <w:rPr>
          <w:rFonts w:eastAsia="Arial"/>
          <w:szCs w:val="24"/>
          <w:lang w:val="en-US"/>
        </w:rPr>
        <w:t>the safety case for bringing fuel to the HPC site.</w:t>
      </w:r>
    </w:p>
    <w:p w14:paraId="18E20885" w14:textId="77777777" w:rsidR="7410160D" w:rsidRPr="00DD1B58" w:rsidRDefault="7410160D">
      <w:pPr>
        <w:rPr>
          <w:lang w:val="en-US"/>
        </w:rPr>
      </w:pPr>
      <w:r w:rsidRPr="00DD1B58">
        <w:rPr>
          <w:rFonts w:eastAsia="Arial"/>
          <w:b/>
          <w:szCs w:val="24"/>
          <w:lang w:val="en-US"/>
        </w:rPr>
        <w:t>Probabilistic safety analysis</w:t>
      </w:r>
      <w:r w:rsidRPr="00DD1B58">
        <w:rPr>
          <w:rFonts w:eastAsia="Arial"/>
          <w:szCs w:val="24"/>
          <w:lang w:val="en-US"/>
        </w:rPr>
        <w:t xml:space="preserve"> </w:t>
      </w:r>
    </w:p>
    <w:p w14:paraId="326D9B07" w14:textId="115D68FD" w:rsidR="7410160D" w:rsidRPr="00DD1B58" w:rsidRDefault="7410160D" w:rsidP="3FE0E35C">
      <w:pPr>
        <w:spacing w:line="257" w:lineRule="auto"/>
        <w:rPr>
          <w:lang w:val="en-US"/>
        </w:rPr>
      </w:pPr>
      <w:r w:rsidRPr="00DD1B58">
        <w:rPr>
          <w:rFonts w:eastAsia="Arial"/>
          <w:szCs w:val="24"/>
          <w:lang w:val="en-US"/>
        </w:rPr>
        <w:t xml:space="preserve">NNB GenCo has reported </w:t>
      </w:r>
      <w:r w:rsidR="00A0158E" w:rsidRPr="00DD1B58">
        <w:rPr>
          <w:rFonts w:eastAsia="Arial"/>
          <w:szCs w:val="24"/>
          <w:lang w:val="en-US"/>
        </w:rPr>
        <w:t xml:space="preserve">in </w:t>
      </w:r>
      <w:r w:rsidR="00E520D7" w:rsidRPr="00DD1B58">
        <w:rPr>
          <w:rFonts w:eastAsia="Arial"/>
          <w:szCs w:val="24"/>
          <w:lang w:val="en-US"/>
        </w:rPr>
        <w:t>S</w:t>
      </w:r>
      <w:r w:rsidR="00A0158E" w:rsidRPr="00DD1B58">
        <w:rPr>
          <w:rFonts w:eastAsia="Arial"/>
          <w:szCs w:val="24"/>
          <w:lang w:val="en-US"/>
        </w:rPr>
        <w:t xml:space="preserve">ections II-2.1.1.4, II-2.1.2.6 and II-2.1.4 </w:t>
      </w:r>
      <w:r w:rsidRPr="00DD1B58">
        <w:rPr>
          <w:rFonts w:eastAsia="Arial"/>
          <w:szCs w:val="24"/>
          <w:lang w:val="en-US"/>
        </w:rPr>
        <w:t xml:space="preserve">how </w:t>
      </w:r>
      <w:r w:rsidR="00B95545" w:rsidRPr="00DD1B58">
        <w:rPr>
          <w:rFonts w:eastAsia="Arial"/>
          <w:szCs w:val="24"/>
          <w:lang w:val="en-US"/>
        </w:rPr>
        <w:t>it uses</w:t>
      </w:r>
      <w:r w:rsidRPr="00DD1B58">
        <w:rPr>
          <w:rFonts w:eastAsia="Arial"/>
          <w:szCs w:val="24"/>
          <w:lang w:val="en-US"/>
        </w:rPr>
        <w:t xml:space="preserve"> probabilistic arguments in support of fire hazard analyses. ONR considers that </w:t>
      </w:r>
      <w:r w:rsidR="00B95545" w:rsidRPr="00DD1B58">
        <w:rPr>
          <w:rFonts w:eastAsia="Arial"/>
          <w:szCs w:val="24"/>
          <w:lang w:val="en-US"/>
        </w:rPr>
        <w:t>the sections adequately</w:t>
      </w:r>
      <w:r w:rsidR="008F54F8" w:rsidRPr="00DD1B58">
        <w:rPr>
          <w:rFonts w:eastAsia="Arial"/>
          <w:szCs w:val="24"/>
          <w:lang w:val="en-US"/>
        </w:rPr>
        <w:t xml:space="preserve"> </w:t>
      </w:r>
      <w:r w:rsidR="008235DD" w:rsidRPr="00DD1B58">
        <w:rPr>
          <w:rFonts w:eastAsia="Arial"/>
          <w:szCs w:val="24"/>
          <w:lang w:val="en-US"/>
        </w:rPr>
        <w:t>describe</w:t>
      </w:r>
      <w:r w:rsidR="008F54F8" w:rsidRPr="00DD1B58">
        <w:rPr>
          <w:rFonts w:eastAsia="Arial"/>
          <w:szCs w:val="24"/>
          <w:lang w:val="en-US"/>
        </w:rPr>
        <w:t xml:space="preserve"> work being carried out to develop a Fire PSA for HPC</w:t>
      </w:r>
      <w:r w:rsidR="00B95545" w:rsidRPr="00DD1B58">
        <w:rPr>
          <w:rFonts w:eastAsia="Arial"/>
          <w:szCs w:val="24"/>
          <w:lang w:val="en-US"/>
        </w:rPr>
        <w:t xml:space="preserve"> which is</w:t>
      </w:r>
      <w:r w:rsidR="00940D2A" w:rsidRPr="00DD1B58">
        <w:rPr>
          <w:rFonts w:eastAsia="Arial"/>
          <w:szCs w:val="24"/>
          <w:lang w:val="en-US"/>
        </w:rPr>
        <w:t xml:space="preserve"> </w:t>
      </w:r>
      <w:r w:rsidR="008F54F8" w:rsidRPr="00DD1B58">
        <w:rPr>
          <w:rFonts w:eastAsia="Arial"/>
          <w:szCs w:val="24"/>
          <w:lang w:val="en-US"/>
        </w:rPr>
        <w:t xml:space="preserve">consistent with WENRA SRL SV 6.1 and SAP EHA.18 (on </w:t>
      </w:r>
      <w:r w:rsidR="00E520D7" w:rsidRPr="00DD1B58">
        <w:rPr>
          <w:rFonts w:eastAsia="Arial"/>
          <w:szCs w:val="24"/>
          <w:lang w:val="en-US"/>
        </w:rPr>
        <w:t xml:space="preserve">the </w:t>
      </w:r>
      <w:r w:rsidR="008F54F8" w:rsidRPr="00DD1B58">
        <w:rPr>
          <w:rFonts w:eastAsia="Arial"/>
          <w:szCs w:val="24"/>
          <w:lang w:val="en-US"/>
        </w:rPr>
        <w:t xml:space="preserve">use of </w:t>
      </w:r>
      <w:r w:rsidR="00E520D7" w:rsidRPr="00DD1B58">
        <w:rPr>
          <w:rFonts w:eastAsia="Arial"/>
          <w:szCs w:val="24"/>
          <w:lang w:val="en-US"/>
        </w:rPr>
        <w:t xml:space="preserve">a </w:t>
      </w:r>
      <w:r w:rsidR="008F54F8" w:rsidRPr="00DD1B58">
        <w:rPr>
          <w:rFonts w:eastAsia="Arial"/>
          <w:szCs w:val="24"/>
          <w:lang w:val="en-US"/>
        </w:rPr>
        <w:t>probabilistic approach)</w:t>
      </w:r>
      <w:r w:rsidR="00E520D7" w:rsidRPr="00DD1B58">
        <w:rPr>
          <w:rFonts w:eastAsia="Arial"/>
          <w:szCs w:val="24"/>
          <w:lang w:val="en-US"/>
        </w:rPr>
        <w:t>.</w:t>
      </w:r>
      <w:r w:rsidR="00940D2A" w:rsidRPr="00DD1B58">
        <w:rPr>
          <w:rFonts w:eastAsia="Arial"/>
          <w:szCs w:val="24"/>
          <w:lang w:val="en-US"/>
        </w:rPr>
        <w:t xml:space="preserve"> </w:t>
      </w:r>
    </w:p>
    <w:p w14:paraId="31E124AD" w14:textId="77777777" w:rsidR="7410160D" w:rsidRPr="00DD1B58" w:rsidRDefault="7410160D">
      <w:pPr>
        <w:rPr>
          <w:lang w:val="en-US"/>
        </w:rPr>
      </w:pPr>
      <w:r w:rsidRPr="00DD1B58">
        <w:rPr>
          <w:rFonts w:eastAsia="Arial"/>
          <w:b/>
          <w:szCs w:val="24"/>
          <w:lang w:val="en-US"/>
        </w:rPr>
        <w:t>Periodic safety review</w:t>
      </w:r>
      <w:r w:rsidRPr="00DD1B58">
        <w:rPr>
          <w:rFonts w:eastAsia="Arial"/>
          <w:szCs w:val="24"/>
          <w:lang w:val="en-US"/>
        </w:rPr>
        <w:t xml:space="preserve"> </w:t>
      </w:r>
    </w:p>
    <w:p w14:paraId="2548BF1D" w14:textId="2C85FD72" w:rsidR="7410160D" w:rsidRPr="00DD1B58" w:rsidRDefault="00A12937">
      <w:pPr>
        <w:rPr>
          <w:lang w:val="en-US"/>
        </w:rPr>
      </w:pPr>
      <w:r w:rsidRPr="00DD1B58">
        <w:rPr>
          <w:rFonts w:eastAsia="Arial"/>
          <w:szCs w:val="24"/>
          <w:lang w:val="en-US"/>
        </w:rPr>
        <w:t>NNB GenCo reported</w:t>
      </w:r>
      <w:r w:rsidR="7410160D" w:rsidRPr="00DD1B58">
        <w:rPr>
          <w:rFonts w:eastAsia="Arial"/>
          <w:szCs w:val="24"/>
          <w:lang w:val="en-US"/>
        </w:rPr>
        <w:t xml:space="preserve"> </w:t>
      </w:r>
      <w:r w:rsidRPr="00DD1B58">
        <w:rPr>
          <w:rFonts w:eastAsia="Arial"/>
          <w:szCs w:val="24"/>
          <w:lang w:val="en-US"/>
        </w:rPr>
        <w:t>its plans to apply</w:t>
      </w:r>
      <w:r w:rsidR="7410160D" w:rsidRPr="00DD1B58">
        <w:rPr>
          <w:rFonts w:eastAsia="Arial"/>
          <w:szCs w:val="24"/>
          <w:lang w:val="en-US"/>
        </w:rPr>
        <w:t xml:space="preserve"> a programme of periodic </w:t>
      </w:r>
      <w:r w:rsidRPr="00DD1B58">
        <w:rPr>
          <w:rFonts w:eastAsia="Arial"/>
          <w:szCs w:val="24"/>
          <w:lang w:val="en-US"/>
        </w:rPr>
        <w:t xml:space="preserve">safety </w:t>
      </w:r>
      <w:r w:rsidR="7410160D" w:rsidRPr="00DD1B58">
        <w:rPr>
          <w:rFonts w:eastAsia="Arial"/>
          <w:szCs w:val="24"/>
          <w:lang w:val="en-US"/>
        </w:rPr>
        <w:t>reviews</w:t>
      </w:r>
      <w:r w:rsidRPr="00DD1B58">
        <w:rPr>
          <w:rFonts w:eastAsia="Arial"/>
          <w:szCs w:val="24"/>
          <w:lang w:val="en-US"/>
        </w:rPr>
        <w:t xml:space="preserve"> throughout the life</w:t>
      </w:r>
      <w:r w:rsidR="00751334" w:rsidRPr="00DD1B58">
        <w:rPr>
          <w:rFonts w:eastAsia="Arial"/>
          <w:szCs w:val="24"/>
          <w:lang w:val="en-US"/>
        </w:rPr>
        <w:t xml:space="preserve"> of the plan</w:t>
      </w:r>
      <w:r w:rsidR="7410160D" w:rsidRPr="00DD1B58">
        <w:rPr>
          <w:rFonts w:eastAsia="Arial"/>
          <w:szCs w:val="24"/>
          <w:lang w:val="en-US"/>
        </w:rPr>
        <w:t xml:space="preserve"> </w:t>
      </w:r>
      <w:r w:rsidR="00751334" w:rsidRPr="00DD1B58">
        <w:rPr>
          <w:rFonts w:eastAsia="Arial"/>
          <w:szCs w:val="24"/>
          <w:lang w:val="en-US"/>
        </w:rPr>
        <w:t xml:space="preserve">and is progressing the development of </w:t>
      </w:r>
      <w:r w:rsidR="0021110B" w:rsidRPr="00DD1B58">
        <w:rPr>
          <w:rFonts w:eastAsia="Arial"/>
          <w:szCs w:val="24"/>
          <w:lang w:val="en-US"/>
        </w:rPr>
        <w:t>the</w:t>
      </w:r>
      <w:r w:rsidR="00751334" w:rsidRPr="00DD1B58">
        <w:rPr>
          <w:rFonts w:eastAsia="Arial"/>
          <w:szCs w:val="24"/>
          <w:lang w:val="en-US"/>
        </w:rPr>
        <w:t xml:space="preserve"> </w:t>
      </w:r>
      <w:r w:rsidR="00DA4FF5" w:rsidRPr="00DD1B58">
        <w:rPr>
          <w:rFonts w:eastAsia="Arial"/>
          <w:szCs w:val="24"/>
          <w:lang w:val="en-US"/>
        </w:rPr>
        <w:t>process</w:t>
      </w:r>
      <w:r w:rsidR="00751334" w:rsidRPr="00DD1B58">
        <w:rPr>
          <w:rFonts w:eastAsia="Arial"/>
          <w:szCs w:val="24"/>
          <w:lang w:val="en-US"/>
        </w:rPr>
        <w:t xml:space="preserve"> </w:t>
      </w:r>
      <w:r w:rsidR="0021110B" w:rsidRPr="00DD1B58">
        <w:rPr>
          <w:rFonts w:eastAsia="Arial"/>
          <w:szCs w:val="24"/>
          <w:lang w:val="en-US"/>
        </w:rPr>
        <w:t>in line with the</w:t>
      </w:r>
      <w:r w:rsidR="00510A02" w:rsidRPr="00DD1B58">
        <w:rPr>
          <w:rFonts w:eastAsia="Arial"/>
          <w:szCs w:val="24"/>
          <w:lang w:val="en-US"/>
        </w:rPr>
        <w:t xml:space="preserve"> safety case </w:t>
      </w:r>
      <w:r w:rsidR="0018588B" w:rsidRPr="00DD1B58">
        <w:rPr>
          <w:rFonts w:eastAsia="Arial"/>
          <w:szCs w:val="24"/>
          <w:lang w:val="en-US"/>
        </w:rPr>
        <w:t xml:space="preserve">development </w:t>
      </w:r>
      <w:r w:rsidR="00510A02" w:rsidRPr="00DD1B58">
        <w:rPr>
          <w:rFonts w:eastAsia="Arial"/>
          <w:szCs w:val="24"/>
          <w:lang w:val="en-US"/>
        </w:rPr>
        <w:t xml:space="preserve">and </w:t>
      </w:r>
      <w:r w:rsidR="0018588B" w:rsidRPr="00DD1B58">
        <w:rPr>
          <w:rFonts w:eastAsia="Arial"/>
          <w:szCs w:val="24"/>
          <w:lang w:val="en-US"/>
        </w:rPr>
        <w:t xml:space="preserve">HPC </w:t>
      </w:r>
      <w:r w:rsidR="00510A02" w:rsidRPr="00DD1B58">
        <w:rPr>
          <w:rFonts w:eastAsia="Arial"/>
          <w:szCs w:val="24"/>
          <w:lang w:val="en-US"/>
        </w:rPr>
        <w:t xml:space="preserve">construction </w:t>
      </w:r>
      <w:r w:rsidR="0021110B" w:rsidRPr="00DD1B58">
        <w:rPr>
          <w:rFonts w:eastAsia="Arial"/>
          <w:szCs w:val="24"/>
          <w:lang w:val="en-US"/>
        </w:rPr>
        <w:t>timeline.</w:t>
      </w:r>
      <w:r w:rsidR="0018588B" w:rsidRPr="00DD1B58">
        <w:rPr>
          <w:rFonts w:eastAsia="Arial"/>
          <w:szCs w:val="24"/>
          <w:lang w:val="en-US"/>
        </w:rPr>
        <w:t xml:space="preserve"> The detail of the process was not expected to be available at this stage and will be subject to regulatory oversight as part of future regulatory hold points</w:t>
      </w:r>
      <w:r w:rsidR="00B77D50" w:rsidRPr="00DD1B58">
        <w:rPr>
          <w:rFonts w:eastAsia="Arial"/>
          <w:szCs w:val="24"/>
          <w:lang w:val="en-US"/>
        </w:rPr>
        <w:t>.</w:t>
      </w:r>
    </w:p>
    <w:p w14:paraId="72D89333" w14:textId="77777777" w:rsidR="7410160D" w:rsidRPr="00DD1B58" w:rsidRDefault="7410160D">
      <w:pPr>
        <w:rPr>
          <w:lang w:val="en-US"/>
        </w:rPr>
      </w:pPr>
      <w:r w:rsidRPr="00DD1B58">
        <w:rPr>
          <w:rFonts w:eastAsia="Arial"/>
          <w:b/>
          <w:szCs w:val="24"/>
          <w:lang w:val="en-US"/>
        </w:rPr>
        <w:t>Learning from experience</w:t>
      </w:r>
      <w:r w:rsidRPr="00DD1B58">
        <w:rPr>
          <w:rFonts w:eastAsia="Arial"/>
          <w:szCs w:val="24"/>
          <w:lang w:val="en-US"/>
        </w:rPr>
        <w:t xml:space="preserve"> </w:t>
      </w:r>
    </w:p>
    <w:p w14:paraId="7993F94B" w14:textId="3EEB1F45" w:rsidR="7410160D" w:rsidRPr="00DD1B58" w:rsidRDefault="00240A9C">
      <w:pPr>
        <w:rPr>
          <w:lang w:val="en-US"/>
        </w:rPr>
      </w:pPr>
      <w:r w:rsidRPr="00DD1B58">
        <w:rPr>
          <w:rFonts w:eastAsia="Arial"/>
          <w:szCs w:val="24"/>
          <w:lang w:val="en-US"/>
        </w:rPr>
        <w:t>I</w:t>
      </w:r>
      <w:r w:rsidR="00B77D50" w:rsidRPr="00DD1B58">
        <w:rPr>
          <w:rFonts w:eastAsia="Arial"/>
          <w:szCs w:val="24"/>
          <w:lang w:val="en-US"/>
        </w:rPr>
        <w:t xml:space="preserve">n </w:t>
      </w:r>
      <w:r w:rsidR="00E520D7" w:rsidRPr="00DD1B58">
        <w:rPr>
          <w:rFonts w:eastAsia="Arial"/>
          <w:szCs w:val="24"/>
          <w:lang w:val="en-US"/>
        </w:rPr>
        <w:t>S</w:t>
      </w:r>
      <w:r w:rsidR="00B77D50" w:rsidRPr="00DD1B58">
        <w:rPr>
          <w:rFonts w:eastAsia="Arial"/>
          <w:szCs w:val="24"/>
          <w:lang w:val="en-US"/>
        </w:rPr>
        <w:t xml:space="preserve">ection </w:t>
      </w:r>
      <w:r w:rsidR="00B77D50" w:rsidRPr="00DD1B58">
        <w:rPr>
          <w:rFonts w:eastAsia="Arial"/>
          <w:szCs w:val="24"/>
          <w:lang w:val="en-US"/>
        </w:rPr>
        <w:fldChar w:fldCharType="begin"/>
      </w:r>
      <w:r w:rsidR="00B77D50" w:rsidRPr="00DD1B58">
        <w:rPr>
          <w:rFonts w:eastAsia="Arial"/>
          <w:szCs w:val="24"/>
          <w:lang w:val="en-US"/>
        </w:rPr>
        <w:instrText xml:space="preserve"> REF _Ref140844289 \r \h </w:instrText>
      </w:r>
      <w:r w:rsidR="00B77D50" w:rsidRPr="00DD1B58">
        <w:rPr>
          <w:rFonts w:eastAsia="Arial"/>
          <w:szCs w:val="24"/>
          <w:lang w:val="en-US"/>
        </w:rPr>
      </w:r>
      <w:r w:rsidR="00B77D50" w:rsidRPr="00DD1B58">
        <w:rPr>
          <w:rFonts w:eastAsia="Arial"/>
          <w:szCs w:val="24"/>
          <w:lang w:val="en-US"/>
        </w:rPr>
        <w:fldChar w:fldCharType="separate"/>
      </w:r>
      <w:r w:rsidR="00DF47DA">
        <w:rPr>
          <w:rFonts w:eastAsia="Arial"/>
          <w:szCs w:val="24"/>
          <w:lang w:val="en-US"/>
        </w:rPr>
        <w:t>II-2.1.6.2</w:t>
      </w:r>
      <w:r w:rsidR="00B77D50" w:rsidRPr="00DD1B58">
        <w:rPr>
          <w:rFonts w:eastAsia="Arial"/>
          <w:szCs w:val="24"/>
          <w:lang w:val="en-US"/>
        </w:rPr>
        <w:fldChar w:fldCharType="end"/>
      </w:r>
      <w:r w:rsidR="00B77D50" w:rsidRPr="00DD1B58">
        <w:rPr>
          <w:rFonts w:eastAsia="Arial"/>
          <w:szCs w:val="24"/>
          <w:lang w:val="en-US"/>
        </w:rPr>
        <w:t xml:space="preserve">, </w:t>
      </w:r>
      <w:r w:rsidR="7410160D" w:rsidRPr="00DD1B58">
        <w:rPr>
          <w:rFonts w:eastAsia="Arial"/>
          <w:szCs w:val="24"/>
          <w:lang w:val="en-US"/>
        </w:rPr>
        <w:t xml:space="preserve">NNB GenCo described its approach to recording events on </w:t>
      </w:r>
      <w:r w:rsidR="00B77D50" w:rsidRPr="00DD1B58">
        <w:rPr>
          <w:rFonts w:eastAsia="Arial"/>
          <w:szCs w:val="24"/>
          <w:lang w:val="en-US"/>
        </w:rPr>
        <w:t xml:space="preserve">the HPC </w:t>
      </w:r>
      <w:r w:rsidR="7410160D" w:rsidRPr="00DD1B58">
        <w:rPr>
          <w:rFonts w:eastAsia="Arial"/>
          <w:szCs w:val="24"/>
          <w:lang w:val="en-US"/>
        </w:rPr>
        <w:t>construction site</w:t>
      </w:r>
      <w:r w:rsidR="00B77D50" w:rsidRPr="00DD1B58">
        <w:rPr>
          <w:rFonts w:eastAsia="Arial"/>
          <w:szCs w:val="24"/>
          <w:lang w:val="en-US"/>
        </w:rPr>
        <w:t xml:space="preserve"> and the development and </w:t>
      </w:r>
      <w:r w:rsidR="7410160D" w:rsidRPr="00DD1B58">
        <w:rPr>
          <w:rFonts w:eastAsia="Arial"/>
          <w:szCs w:val="24"/>
          <w:lang w:val="en-US"/>
        </w:rPr>
        <w:t xml:space="preserve">management of </w:t>
      </w:r>
      <w:r w:rsidR="00B77D50" w:rsidRPr="00DD1B58">
        <w:rPr>
          <w:rFonts w:eastAsia="Arial"/>
          <w:szCs w:val="24"/>
          <w:lang w:val="en-US"/>
        </w:rPr>
        <w:t xml:space="preserve">an </w:t>
      </w:r>
      <w:r w:rsidR="7410160D" w:rsidRPr="00DD1B58">
        <w:rPr>
          <w:rFonts w:eastAsia="Arial"/>
          <w:szCs w:val="24"/>
          <w:lang w:val="en-US"/>
        </w:rPr>
        <w:t xml:space="preserve">OPEX register. NNB </w:t>
      </w:r>
      <w:r w:rsidRPr="00DD1B58">
        <w:rPr>
          <w:rFonts w:eastAsia="Arial"/>
          <w:szCs w:val="24"/>
          <w:lang w:val="en-US"/>
        </w:rPr>
        <w:t xml:space="preserve">GenCo also </w:t>
      </w:r>
      <w:r w:rsidR="7410160D" w:rsidRPr="00DD1B58">
        <w:rPr>
          <w:rFonts w:eastAsia="Arial"/>
          <w:szCs w:val="24"/>
          <w:lang w:val="en-US"/>
        </w:rPr>
        <w:t xml:space="preserve">provided examples of </w:t>
      </w:r>
      <w:r w:rsidRPr="00DD1B58">
        <w:rPr>
          <w:rFonts w:eastAsia="Arial"/>
          <w:szCs w:val="24"/>
          <w:lang w:val="en-US"/>
        </w:rPr>
        <w:t>how</w:t>
      </w:r>
      <w:r w:rsidR="7410160D" w:rsidRPr="00DD1B58">
        <w:rPr>
          <w:rFonts w:eastAsia="Arial"/>
          <w:szCs w:val="24"/>
          <w:lang w:val="en-US"/>
        </w:rPr>
        <w:t xml:space="preserve"> OPEX has influenced the HPC design. </w:t>
      </w:r>
      <w:r w:rsidRPr="00DD1B58">
        <w:rPr>
          <w:rFonts w:eastAsia="Arial"/>
          <w:szCs w:val="24"/>
          <w:lang w:val="en-US"/>
        </w:rPr>
        <w:t xml:space="preserve">ONR </w:t>
      </w:r>
      <w:r w:rsidR="001D533C" w:rsidRPr="00DD1B58">
        <w:rPr>
          <w:rFonts w:eastAsia="Arial"/>
          <w:szCs w:val="24"/>
          <w:lang w:val="en-US"/>
        </w:rPr>
        <w:t>considers t</w:t>
      </w:r>
      <w:r w:rsidR="00B34B1B" w:rsidRPr="00DD1B58">
        <w:rPr>
          <w:rFonts w:eastAsia="Arial"/>
          <w:szCs w:val="24"/>
          <w:lang w:val="en-US"/>
        </w:rPr>
        <w:t>his as evidence of NNB GenCo’s commitment to</w:t>
      </w:r>
      <w:r w:rsidR="7410160D" w:rsidRPr="00DD1B58">
        <w:rPr>
          <w:rFonts w:eastAsia="Arial"/>
          <w:szCs w:val="24"/>
          <w:lang w:val="en-US"/>
        </w:rPr>
        <w:t xml:space="preserve"> </w:t>
      </w:r>
      <w:r w:rsidR="00B34B1B" w:rsidRPr="00DD1B58">
        <w:rPr>
          <w:rFonts w:eastAsia="Arial"/>
          <w:szCs w:val="24"/>
          <w:lang w:val="en-US"/>
        </w:rPr>
        <w:t xml:space="preserve">identifying </w:t>
      </w:r>
      <w:r w:rsidR="7410160D" w:rsidRPr="00DD1B58">
        <w:rPr>
          <w:rFonts w:eastAsia="Arial"/>
          <w:szCs w:val="24"/>
          <w:lang w:val="en-US"/>
        </w:rPr>
        <w:t>fire</w:t>
      </w:r>
      <w:r w:rsidR="00B34B1B" w:rsidRPr="00DD1B58">
        <w:rPr>
          <w:rFonts w:eastAsia="Arial"/>
          <w:szCs w:val="24"/>
          <w:lang w:val="en-US"/>
        </w:rPr>
        <w:t>-relevant events</w:t>
      </w:r>
      <w:r w:rsidR="7410160D" w:rsidRPr="00DD1B58">
        <w:rPr>
          <w:rFonts w:eastAsia="Arial"/>
          <w:szCs w:val="24"/>
          <w:lang w:val="en-US"/>
        </w:rPr>
        <w:t xml:space="preserve"> at the </w:t>
      </w:r>
      <w:r w:rsidR="00B34B1B" w:rsidRPr="00DD1B58">
        <w:rPr>
          <w:rFonts w:eastAsia="Arial"/>
          <w:szCs w:val="24"/>
          <w:lang w:val="en-US"/>
        </w:rPr>
        <w:t>site, in line with</w:t>
      </w:r>
      <w:r w:rsidR="7410160D" w:rsidRPr="00DD1B58">
        <w:rPr>
          <w:rFonts w:eastAsia="Arial"/>
          <w:szCs w:val="24"/>
          <w:lang w:val="en-US"/>
        </w:rPr>
        <w:t xml:space="preserve"> ONR expectations in SAPs MS.4 and IAEA </w:t>
      </w:r>
      <w:r w:rsidR="00B34B1B" w:rsidRPr="00DD1B58">
        <w:rPr>
          <w:rFonts w:eastAsia="Arial"/>
          <w:szCs w:val="24"/>
          <w:lang w:val="en-US"/>
        </w:rPr>
        <w:t xml:space="preserve">SSG-64 </w:t>
      </w:r>
      <w:sdt>
        <w:sdtPr>
          <w:rPr>
            <w:rFonts w:eastAsia="Arial"/>
            <w:szCs w:val="24"/>
            <w:lang w:val="en-US"/>
          </w:rPr>
          <w:id w:val="1357307879"/>
          <w:citation/>
        </w:sdtPr>
        <w:sdtContent>
          <w:r w:rsidR="0073054C" w:rsidRPr="00DD1B58">
            <w:rPr>
              <w:rFonts w:eastAsia="Arial"/>
              <w:szCs w:val="24"/>
              <w:lang w:val="en-US"/>
            </w:rPr>
            <w:fldChar w:fldCharType="begin"/>
          </w:r>
          <w:r w:rsidR="0073054C" w:rsidRPr="00DD1B58">
            <w:rPr>
              <w:rFonts w:eastAsia="Arial"/>
              <w:szCs w:val="24"/>
              <w:lang w:val="en-US"/>
            </w:rPr>
            <w:instrText xml:space="preserve"> CITATION IAE5 \l 2057 </w:instrText>
          </w:r>
          <w:r w:rsidR="0073054C" w:rsidRPr="00DD1B58">
            <w:rPr>
              <w:rFonts w:eastAsia="Arial"/>
              <w:szCs w:val="24"/>
              <w:lang w:val="en-US"/>
            </w:rPr>
            <w:fldChar w:fldCharType="separate"/>
          </w:r>
          <w:r w:rsidR="00DF47DA" w:rsidRPr="00DF47DA">
            <w:rPr>
              <w:rFonts w:eastAsia="Arial"/>
              <w:noProof/>
              <w:szCs w:val="24"/>
              <w:lang w:val="en-US"/>
            </w:rPr>
            <w:t>[17]</w:t>
          </w:r>
          <w:r w:rsidR="0073054C" w:rsidRPr="00DD1B58">
            <w:rPr>
              <w:rFonts w:eastAsia="Arial"/>
              <w:szCs w:val="24"/>
              <w:lang w:val="en-US"/>
            </w:rPr>
            <w:fldChar w:fldCharType="end"/>
          </w:r>
        </w:sdtContent>
      </w:sdt>
      <w:r w:rsidR="00B34B1B" w:rsidRPr="00DD1B58">
        <w:rPr>
          <w:rFonts w:eastAsia="Arial"/>
          <w:szCs w:val="24"/>
          <w:lang w:val="en-US"/>
        </w:rPr>
        <w:t>.</w:t>
      </w:r>
    </w:p>
    <w:p w14:paraId="1150C623" w14:textId="77777777" w:rsidR="00F1180A" w:rsidRPr="00DD1B58" w:rsidRDefault="00F1180A" w:rsidP="00F1180A">
      <w:pPr>
        <w:pStyle w:val="Heading4"/>
        <w:numPr>
          <w:ilvl w:val="4"/>
          <w:numId w:val="3"/>
        </w:numPr>
        <w:rPr>
          <w:lang w:val="en-US"/>
        </w:rPr>
      </w:pPr>
      <w:r w:rsidRPr="00DD1B58">
        <w:rPr>
          <w:lang w:val="en-US"/>
        </w:rPr>
        <w:t xml:space="preserve">Lessons learned from inspection and assessment as part of the regulatory oversight </w:t>
      </w:r>
    </w:p>
    <w:p w14:paraId="62CDE4AF" w14:textId="51ED27CF" w:rsidR="355CB971" w:rsidRPr="00DD1B58" w:rsidRDefault="536288A6" w:rsidP="355CB971">
      <w:pPr>
        <w:rPr>
          <w:lang w:val="en-US"/>
        </w:rPr>
      </w:pPr>
      <w:r w:rsidRPr="00DD1B58">
        <w:rPr>
          <w:rFonts w:eastAsia="Arial"/>
          <w:szCs w:val="24"/>
          <w:lang w:val="en-US"/>
        </w:rPr>
        <w:t xml:space="preserve">ONR assessed the internal hazards aspects of </w:t>
      </w:r>
      <w:r w:rsidR="00515056" w:rsidRPr="00DD1B58">
        <w:rPr>
          <w:rFonts w:eastAsia="Arial"/>
          <w:szCs w:val="24"/>
          <w:lang w:val="en-US"/>
        </w:rPr>
        <w:t xml:space="preserve">the EPR design for HPC </w:t>
      </w:r>
      <w:r w:rsidRPr="00DD1B58">
        <w:rPr>
          <w:rFonts w:eastAsia="Arial"/>
          <w:szCs w:val="24"/>
          <w:lang w:val="en-US"/>
        </w:rPr>
        <w:t xml:space="preserve">at key stages during the </w:t>
      </w:r>
      <w:r w:rsidR="007E58EB" w:rsidRPr="00DD1B58">
        <w:rPr>
          <w:rFonts w:eastAsia="Arial"/>
          <w:szCs w:val="24"/>
          <w:lang w:val="en-US"/>
        </w:rPr>
        <w:t xml:space="preserve">design and </w:t>
      </w:r>
      <w:r w:rsidR="00FE2410" w:rsidRPr="00DD1B58">
        <w:rPr>
          <w:rFonts w:eastAsia="Arial"/>
          <w:szCs w:val="24"/>
          <w:lang w:val="en-US"/>
        </w:rPr>
        <w:t xml:space="preserve">the </w:t>
      </w:r>
      <w:r w:rsidR="007E58EB" w:rsidRPr="00DD1B58">
        <w:rPr>
          <w:rFonts w:eastAsia="Arial"/>
          <w:szCs w:val="24"/>
          <w:lang w:val="en-US"/>
        </w:rPr>
        <w:t>ongoing</w:t>
      </w:r>
      <w:r w:rsidRPr="00DD1B58">
        <w:rPr>
          <w:rFonts w:eastAsia="Arial"/>
          <w:szCs w:val="24"/>
          <w:lang w:val="en-US"/>
        </w:rPr>
        <w:t xml:space="preserve"> construction </w:t>
      </w:r>
      <w:r w:rsidR="007E58EB" w:rsidRPr="00DD1B58">
        <w:rPr>
          <w:rFonts w:eastAsia="Arial"/>
          <w:szCs w:val="24"/>
          <w:lang w:val="en-US"/>
        </w:rPr>
        <w:t>project</w:t>
      </w:r>
      <w:r w:rsidR="00FE2410" w:rsidRPr="00DD1B58">
        <w:rPr>
          <w:rFonts w:eastAsia="Arial"/>
          <w:szCs w:val="24"/>
          <w:lang w:val="en-US"/>
        </w:rPr>
        <w:t xml:space="preserve">. This includes assessment through the UK’s </w:t>
      </w:r>
      <w:r w:rsidRPr="00DD1B58">
        <w:rPr>
          <w:rFonts w:eastAsia="Arial"/>
          <w:szCs w:val="24"/>
          <w:lang w:val="en-US"/>
        </w:rPr>
        <w:t xml:space="preserve">Generic Design Assessment (GDA) </w:t>
      </w:r>
      <w:r w:rsidR="00FE2410" w:rsidRPr="00DD1B58">
        <w:rPr>
          <w:rFonts w:eastAsia="Arial"/>
          <w:szCs w:val="24"/>
          <w:lang w:val="en-US"/>
        </w:rPr>
        <w:t>process.</w:t>
      </w:r>
      <w:r w:rsidRPr="00DD1B58">
        <w:rPr>
          <w:rFonts w:eastAsia="Arial"/>
          <w:szCs w:val="24"/>
          <w:lang w:val="en-US"/>
        </w:rPr>
        <w:t xml:space="preserve"> </w:t>
      </w:r>
      <w:r w:rsidR="00FE2410" w:rsidRPr="00DD1B58">
        <w:rPr>
          <w:rFonts w:eastAsia="Arial"/>
          <w:szCs w:val="24"/>
          <w:lang w:val="en-US"/>
        </w:rPr>
        <w:t xml:space="preserve">As part of the </w:t>
      </w:r>
      <w:r w:rsidRPr="00DD1B58">
        <w:rPr>
          <w:rFonts w:eastAsia="Arial"/>
          <w:szCs w:val="24"/>
          <w:lang w:val="en-US"/>
        </w:rPr>
        <w:t xml:space="preserve">internal hazards assessment </w:t>
      </w:r>
      <w:sdt>
        <w:sdtPr>
          <w:rPr>
            <w:rFonts w:eastAsia="Arial"/>
            <w:szCs w:val="24"/>
            <w:lang w:val="en-US"/>
          </w:rPr>
          <w:id w:val="2070915213"/>
          <w:citation/>
        </w:sdtPr>
        <w:sdtContent>
          <w:r w:rsidR="00142DF7" w:rsidRPr="00DD1B58">
            <w:rPr>
              <w:rFonts w:eastAsia="Arial"/>
              <w:szCs w:val="24"/>
              <w:lang w:val="en-US"/>
            </w:rPr>
            <w:fldChar w:fldCharType="begin"/>
          </w:r>
          <w:r w:rsidR="00485C35" w:rsidRPr="00DD1B58">
            <w:rPr>
              <w:rFonts w:eastAsia="Arial"/>
              <w:szCs w:val="24"/>
              <w:lang w:val="en-US"/>
            </w:rPr>
            <w:instrText xml:space="preserve">CITATION ONR11 \l 2057 </w:instrText>
          </w:r>
          <w:r w:rsidR="00142DF7" w:rsidRPr="00DD1B58">
            <w:rPr>
              <w:rFonts w:eastAsia="Arial"/>
              <w:szCs w:val="24"/>
              <w:lang w:val="en-US"/>
            </w:rPr>
            <w:fldChar w:fldCharType="separate"/>
          </w:r>
          <w:r w:rsidR="00DF47DA" w:rsidRPr="00DF47DA">
            <w:rPr>
              <w:rFonts w:eastAsia="Arial"/>
              <w:noProof/>
              <w:szCs w:val="24"/>
              <w:lang w:val="en-US"/>
            </w:rPr>
            <w:t>[70]</w:t>
          </w:r>
          <w:r w:rsidR="00142DF7" w:rsidRPr="00DD1B58">
            <w:rPr>
              <w:rFonts w:eastAsia="Arial"/>
              <w:szCs w:val="24"/>
              <w:lang w:val="en-US"/>
            </w:rPr>
            <w:fldChar w:fldCharType="end"/>
          </w:r>
        </w:sdtContent>
      </w:sdt>
      <w:r w:rsidR="00515056" w:rsidRPr="00DD1B58">
        <w:rPr>
          <w:rFonts w:eastAsia="Arial"/>
          <w:szCs w:val="24"/>
          <w:lang w:val="en-US"/>
        </w:rPr>
        <w:t xml:space="preserve"> in GDA, ONR raised an assessment</w:t>
      </w:r>
      <w:r w:rsidRPr="00DD1B58">
        <w:rPr>
          <w:rFonts w:eastAsia="Arial"/>
          <w:szCs w:val="24"/>
          <w:lang w:val="en-US"/>
        </w:rPr>
        <w:t xml:space="preserve"> finding requiring </w:t>
      </w:r>
      <w:r w:rsidR="002215BF" w:rsidRPr="00DD1B58">
        <w:rPr>
          <w:rFonts w:eastAsia="Arial"/>
          <w:szCs w:val="24"/>
          <w:lang w:val="en-US"/>
        </w:rPr>
        <w:t xml:space="preserve">the future licensee to </w:t>
      </w:r>
      <w:r w:rsidRPr="00DD1B58">
        <w:rPr>
          <w:rFonts w:eastAsia="Arial"/>
          <w:szCs w:val="24"/>
          <w:lang w:val="en-US"/>
        </w:rPr>
        <w:t xml:space="preserve">demonstrate how the requirements from analyses associated with common mode failure in the event of fire would be captured within future revisions of the safety case. NNB GenCo explained the planned Hazard Vulnerability Analysis process (as detailed in </w:t>
      </w:r>
      <w:r w:rsidR="00880806" w:rsidRPr="00DD1B58">
        <w:rPr>
          <w:rFonts w:eastAsia="Arial"/>
          <w:szCs w:val="24"/>
          <w:lang w:val="en-US"/>
        </w:rPr>
        <w:t>S</w:t>
      </w:r>
      <w:r w:rsidRPr="00DD1B58">
        <w:rPr>
          <w:rFonts w:eastAsia="Arial"/>
          <w:szCs w:val="24"/>
          <w:lang w:val="en-US"/>
        </w:rPr>
        <w:t xml:space="preserve">ection </w:t>
      </w:r>
      <w:r w:rsidR="006B2469" w:rsidRPr="00DD1B58">
        <w:rPr>
          <w:rFonts w:eastAsia="Arial"/>
          <w:szCs w:val="24"/>
          <w:lang w:val="en-US"/>
        </w:rPr>
        <w:fldChar w:fldCharType="begin"/>
      </w:r>
      <w:r w:rsidR="006B2469" w:rsidRPr="00DD1B58">
        <w:rPr>
          <w:rFonts w:eastAsia="Arial"/>
          <w:szCs w:val="24"/>
          <w:lang w:val="en-US"/>
        </w:rPr>
        <w:instrText xml:space="preserve"> REF _Ref140844118 \r \h </w:instrText>
      </w:r>
      <w:r w:rsidR="006B2469" w:rsidRPr="00DD1B58">
        <w:rPr>
          <w:rFonts w:eastAsia="Arial"/>
          <w:szCs w:val="24"/>
          <w:lang w:val="en-US"/>
        </w:rPr>
      </w:r>
      <w:r w:rsidR="006B2469" w:rsidRPr="00DD1B58">
        <w:rPr>
          <w:rFonts w:eastAsia="Arial"/>
          <w:szCs w:val="24"/>
          <w:lang w:val="en-US"/>
        </w:rPr>
        <w:fldChar w:fldCharType="separate"/>
      </w:r>
      <w:r w:rsidR="00DF47DA">
        <w:rPr>
          <w:rFonts w:eastAsia="Arial"/>
          <w:szCs w:val="24"/>
          <w:lang w:val="en-US"/>
        </w:rPr>
        <w:t>II-2.1.2.1</w:t>
      </w:r>
      <w:r w:rsidR="006B2469" w:rsidRPr="00DD1B58">
        <w:rPr>
          <w:rFonts w:eastAsia="Arial"/>
          <w:szCs w:val="24"/>
          <w:lang w:val="en-US"/>
        </w:rPr>
        <w:fldChar w:fldCharType="end"/>
      </w:r>
      <w:r w:rsidRPr="00DD1B58">
        <w:rPr>
          <w:rFonts w:eastAsia="Arial"/>
          <w:szCs w:val="24"/>
          <w:lang w:val="en-US"/>
        </w:rPr>
        <w:t xml:space="preserve">) which ONR </w:t>
      </w:r>
      <w:r w:rsidR="002215BF" w:rsidRPr="00DD1B58">
        <w:rPr>
          <w:rFonts w:eastAsia="Arial"/>
          <w:szCs w:val="24"/>
          <w:lang w:val="en-US"/>
        </w:rPr>
        <w:t>assessed</w:t>
      </w:r>
      <w:r w:rsidRPr="00DD1B58">
        <w:rPr>
          <w:rFonts w:eastAsia="Arial"/>
          <w:szCs w:val="24"/>
          <w:lang w:val="en-US"/>
        </w:rPr>
        <w:t xml:space="preserve">, allowing it to close the finding. </w:t>
      </w:r>
    </w:p>
    <w:p w14:paraId="0FCB01B7" w14:textId="21DAB924" w:rsidR="355CB971" w:rsidRPr="00DD1B58" w:rsidRDefault="536288A6" w:rsidP="355CB971">
      <w:pPr>
        <w:rPr>
          <w:lang w:val="en-US"/>
        </w:rPr>
      </w:pPr>
      <w:r w:rsidRPr="00DD1B58">
        <w:rPr>
          <w:rFonts w:eastAsia="Arial"/>
          <w:szCs w:val="24"/>
          <w:lang w:val="en-US"/>
        </w:rPr>
        <w:t xml:space="preserve">ONR carried out an assessment of the internal hazards safety case </w:t>
      </w:r>
      <w:r w:rsidR="001068A5" w:rsidRPr="00DD1B58">
        <w:rPr>
          <w:rFonts w:eastAsia="Arial"/>
          <w:szCs w:val="24"/>
          <w:lang w:val="en-US"/>
        </w:rPr>
        <w:t>at PCSR3 (Pre-Construction Safety Report 3)</w:t>
      </w:r>
      <w:r w:rsidR="0085025A" w:rsidRPr="00DD1B58">
        <w:rPr>
          <w:rFonts w:eastAsia="Arial"/>
          <w:szCs w:val="24"/>
          <w:lang w:val="en-US"/>
        </w:rPr>
        <w:t xml:space="preserve"> </w:t>
      </w:r>
      <w:r w:rsidR="00DF7175" w:rsidRPr="00DD1B58">
        <w:rPr>
          <w:rFonts w:eastAsia="Arial"/>
          <w:szCs w:val="24"/>
          <w:lang w:val="en-US"/>
        </w:rPr>
        <w:t>focusing</w:t>
      </w:r>
      <w:r w:rsidRPr="00DD1B58">
        <w:rPr>
          <w:rFonts w:eastAsia="Arial"/>
          <w:szCs w:val="24"/>
          <w:lang w:val="en-US"/>
        </w:rPr>
        <w:t xml:space="preserve"> on the basic design hazard protection schedules for key hazards including fire. </w:t>
      </w:r>
      <w:r w:rsidR="00DF7175" w:rsidRPr="00DD1B58">
        <w:rPr>
          <w:rFonts w:eastAsia="Arial"/>
          <w:szCs w:val="24"/>
          <w:lang w:val="en-US"/>
        </w:rPr>
        <w:t>ONR’s</w:t>
      </w:r>
      <w:r w:rsidRPr="00DD1B58">
        <w:rPr>
          <w:rFonts w:eastAsia="Arial"/>
          <w:szCs w:val="24"/>
          <w:lang w:val="en-US"/>
        </w:rPr>
        <w:t xml:space="preserve"> assessment </w:t>
      </w:r>
      <w:r w:rsidR="000F5450" w:rsidRPr="00DD1B58">
        <w:rPr>
          <w:rFonts w:eastAsia="Arial"/>
          <w:szCs w:val="24"/>
          <w:lang w:val="en-US"/>
        </w:rPr>
        <w:t xml:space="preserve">requested </w:t>
      </w:r>
      <w:r w:rsidRPr="00DD1B58">
        <w:rPr>
          <w:rFonts w:eastAsia="Arial"/>
          <w:szCs w:val="24"/>
          <w:lang w:val="en-US"/>
        </w:rPr>
        <w:t xml:space="preserve">that the relevant Flamanville verification and validation studies, and substantiation available for a selection of faults from the BDHPS should be made available to ONR. </w:t>
      </w:r>
      <w:r w:rsidR="000F5450" w:rsidRPr="00DD1B58">
        <w:rPr>
          <w:rFonts w:eastAsia="Arial"/>
          <w:szCs w:val="24"/>
          <w:lang w:val="en-US"/>
        </w:rPr>
        <w:t>NNB GenCo provided</w:t>
      </w:r>
      <w:r w:rsidRPr="00DD1B58">
        <w:rPr>
          <w:rFonts w:eastAsia="Arial"/>
          <w:szCs w:val="24"/>
          <w:lang w:val="en-US"/>
        </w:rPr>
        <w:t xml:space="preserve"> dedicated workshops </w:t>
      </w:r>
      <w:r w:rsidR="00F60DA4" w:rsidRPr="00DD1B58">
        <w:rPr>
          <w:rFonts w:eastAsia="Arial"/>
          <w:szCs w:val="24"/>
          <w:lang w:val="en-US"/>
        </w:rPr>
        <w:t>for</w:t>
      </w:r>
      <w:r w:rsidRPr="00DD1B58">
        <w:rPr>
          <w:rFonts w:eastAsia="Arial"/>
          <w:szCs w:val="24"/>
          <w:lang w:val="en-US"/>
        </w:rPr>
        <w:t xml:space="preserve"> ONR to sample the evidence at source</w:t>
      </w:r>
      <w:r w:rsidR="00F60DA4" w:rsidRPr="00DD1B58">
        <w:rPr>
          <w:rFonts w:eastAsia="Arial"/>
          <w:szCs w:val="24"/>
          <w:lang w:val="en-US"/>
        </w:rPr>
        <w:t xml:space="preserve"> thus addressing the finding.</w:t>
      </w:r>
    </w:p>
    <w:p w14:paraId="7A0D91C8" w14:textId="7DD7E1A8" w:rsidR="355CB971" w:rsidRPr="00DD1B58" w:rsidRDefault="536288A6" w:rsidP="355CB971">
      <w:pPr>
        <w:rPr>
          <w:lang w:val="en-US"/>
        </w:rPr>
      </w:pPr>
      <w:r w:rsidRPr="00DD1B58">
        <w:rPr>
          <w:rFonts w:eastAsia="Arial"/>
          <w:szCs w:val="24"/>
          <w:lang w:val="en-US"/>
        </w:rPr>
        <w:t>HPC has been subject to a number of licence condition compliance inspections, none of which raised any issues relating to fire safety</w:t>
      </w:r>
      <w:r w:rsidR="00F60DA4" w:rsidRPr="00DD1B58">
        <w:rPr>
          <w:rFonts w:eastAsia="Arial"/>
          <w:szCs w:val="24"/>
          <w:lang w:val="en-US"/>
        </w:rPr>
        <w:t xml:space="preserve"> from a nuclear safety perspective.</w:t>
      </w:r>
      <w:r w:rsidRPr="00DD1B58">
        <w:rPr>
          <w:rFonts w:eastAsia="Arial"/>
          <w:szCs w:val="24"/>
          <w:lang w:val="en-US"/>
        </w:rPr>
        <w:t xml:space="preserve"> The findings of life fire</w:t>
      </w:r>
      <w:r w:rsidR="002C7A25" w:rsidRPr="00DD1B58">
        <w:rPr>
          <w:rFonts w:eastAsia="Arial"/>
          <w:szCs w:val="24"/>
          <w:lang w:val="en-US"/>
        </w:rPr>
        <w:t>/</w:t>
      </w:r>
      <w:r w:rsidRPr="00DD1B58">
        <w:rPr>
          <w:rFonts w:eastAsia="Arial"/>
          <w:szCs w:val="24"/>
          <w:lang w:val="en-US"/>
        </w:rPr>
        <w:t xml:space="preserve">conventional site safety inspections </w:t>
      </w:r>
      <w:r w:rsidR="002C7A25" w:rsidRPr="00DD1B58">
        <w:rPr>
          <w:rFonts w:eastAsia="Arial"/>
          <w:szCs w:val="24"/>
          <w:lang w:val="en-US"/>
        </w:rPr>
        <w:t>undertaken during the construction phases to-date,</w:t>
      </w:r>
      <w:r w:rsidRPr="00DD1B58">
        <w:rPr>
          <w:rFonts w:eastAsia="Arial"/>
          <w:szCs w:val="24"/>
          <w:lang w:val="en-US"/>
        </w:rPr>
        <w:t xml:space="preserve"> </w:t>
      </w:r>
      <w:r w:rsidR="002C7A25" w:rsidRPr="00DD1B58">
        <w:rPr>
          <w:rFonts w:eastAsia="Arial"/>
          <w:szCs w:val="24"/>
          <w:lang w:val="en-US"/>
        </w:rPr>
        <w:t>identifying life</w:t>
      </w:r>
      <w:r w:rsidRPr="00DD1B58">
        <w:rPr>
          <w:rFonts w:eastAsia="Arial"/>
          <w:szCs w:val="24"/>
          <w:lang w:val="en-US"/>
        </w:rPr>
        <w:t xml:space="preserve"> fire related issues</w:t>
      </w:r>
      <w:r w:rsidR="002C7A25" w:rsidRPr="00DD1B58">
        <w:rPr>
          <w:rFonts w:eastAsia="Arial"/>
          <w:szCs w:val="24"/>
          <w:lang w:val="en-US"/>
        </w:rPr>
        <w:t>,</w:t>
      </w:r>
      <w:r w:rsidRPr="00DD1B58">
        <w:rPr>
          <w:rFonts w:eastAsia="Arial"/>
          <w:szCs w:val="24"/>
          <w:lang w:val="en-US"/>
        </w:rPr>
        <w:t xml:space="preserve"> are reported in Section </w:t>
      </w:r>
      <w:r w:rsidR="00C0727B" w:rsidRPr="00DD1B58">
        <w:rPr>
          <w:rFonts w:eastAsia="Arial"/>
          <w:szCs w:val="24"/>
          <w:lang w:val="en-US"/>
        </w:rPr>
        <w:fldChar w:fldCharType="begin"/>
      </w:r>
      <w:r w:rsidR="00C0727B" w:rsidRPr="00DD1B58">
        <w:rPr>
          <w:rFonts w:eastAsia="Arial"/>
          <w:szCs w:val="24"/>
          <w:lang w:val="en-US"/>
        </w:rPr>
        <w:instrText xml:space="preserve"> REF _Ref145067226 \r \h </w:instrText>
      </w:r>
      <w:r w:rsidR="007E6C8E" w:rsidRPr="00DD1B58">
        <w:rPr>
          <w:rFonts w:eastAsia="Arial"/>
          <w:szCs w:val="24"/>
          <w:lang w:val="en-US"/>
        </w:rPr>
        <w:instrText xml:space="preserve"> \* MERGEFORMAT </w:instrText>
      </w:r>
      <w:r w:rsidR="00C0727B" w:rsidRPr="00DD1B58">
        <w:rPr>
          <w:rFonts w:eastAsia="Arial"/>
          <w:szCs w:val="24"/>
          <w:lang w:val="en-US"/>
        </w:rPr>
      </w:r>
      <w:r w:rsidR="00C0727B" w:rsidRPr="00DD1B58">
        <w:rPr>
          <w:rFonts w:eastAsia="Arial"/>
          <w:szCs w:val="24"/>
          <w:lang w:val="en-US"/>
        </w:rPr>
        <w:fldChar w:fldCharType="separate"/>
      </w:r>
      <w:r w:rsidR="00DF47DA">
        <w:rPr>
          <w:rFonts w:eastAsia="Arial"/>
          <w:szCs w:val="24"/>
          <w:lang w:val="en-US"/>
        </w:rPr>
        <w:t>A-II-3.2.4.2</w:t>
      </w:r>
      <w:r w:rsidR="00C0727B" w:rsidRPr="00DD1B58">
        <w:rPr>
          <w:rFonts w:eastAsia="Arial"/>
          <w:szCs w:val="24"/>
          <w:lang w:val="en-US"/>
        </w:rPr>
        <w:fldChar w:fldCharType="end"/>
      </w:r>
      <w:r w:rsidRPr="00DD1B58">
        <w:rPr>
          <w:rFonts w:eastAsia="Arial"/>
          <w:szCs w:val="24"/>
          <w:lang w:val="en-US"/>
        </w:rPr>
        <w:t xml:space="preserve">. </w:t>
      </w:r>
    </w:p>
    <w:p w14:paraId="759EB0B8" w14:textId="77777777" w:rsidR="00F1180A" w:rsidRPr="00DD1B58" w:rsidRDefault="62464406" w:rsidP="001B13EA">
      <w:pPr>
        <w:pStyle w:val="Heading4"/>
        <w:numPr>
          <w:ilvl w:val="4"/>
          <w:numId w:val="3"/>
        </w:numPr>
        <w:rPr>
          <w:lang w:val="en-US"/>
        </w:rPr>
      </w:pPr>
      <w:r w:rsidRPr="00DD1B58">
        <w:rPr>
          <w:lang w:val="en-US"/>
        </w:rPr>
        <w:t>Conclusions drawn on the adequacy of the licensee’s fire safety analyses</w:t>
      </w:r>
    </w:p>
    <w:p w14:paraId="766AA62A" w14:textId="15FE34FB" w:rsidR="3FE0E35C" w:rsidRPr="00DD1B58" w:rsidRDefault="34EE2F18" w:rsidP="3FE0E35C">
      <w:pPr>
        <w:rPr>
          <w:highlight w:val="yellow"/>
          <w:lang w:val="en-US"/>
        </w:rPr>
        <w:sectPr w:rsidR="3FE0E35C" w:rsidRPr="00DD1B58" w:rsidSect="00B82646">
          <w:pgSz w:w="11906" w:h="16838" w:code="9"/>
          <w:pgMar w:top="1440" w:right="1080" w:bottom="1440" w:left="1080" w:header="397" w:footer="397" w:gutter="0"/>
          <w:cols w:space="312"/>
          <w:docGrid w:linePitch="360"/>
        </w:sectPr>
      </w:pPr>
      <w:r w:rsidRPr="00DD1B58">
        <w:rPr>
          <w:rFonts w:eastAsia="Arial"/>
          <w:szCs w:val="24"/>
          <w:lang w:val="en-US"/>
        </w:rPr>
        <w:t xml:space="preserve">For NNB GenCo, ONR </w:t>
      </w:r>
      <w:r w:rsidR="00096E86" w:rsidRPr="00DD1B58">
        <w:rPr>
          <w:rFonts w:eastAsia="Arial"/>
          <w:szCs w:val="24"/>
          <w:lang w:val="en-US"/>
        </w:rPr>
        <w:t>is content</w:t>
      </w:r>
      <w:r w:rsidRPr="00DD1B58">
        <w:rPr>
          <w:rFonts w:eastAsia="Arial"/>
          <w:szCs w:val="24"/>
          <w:lang w:val="en-US"/>
        </w:rPr>
        <w:t xml:space="preserve"> that the licensee </w:t>
      </w:r>
      <w:r w:rsidR="002C7A25" w:rsidRPr="00DD1B58">
        <w:rPr>
          <w:rFonts w:eastAsia="Arial"/>
          <w:szCs w:val="24"/>
          <w:lang w:val="en-US"/>
        </w:rPr>
        <w:t xml:space="preserve">is implementing </w:t>
      </w:r>
      <w:r w:rsidRPr="00DD1B58">
        <w:rPr>
          <w:rFonts w:eastAsia="Arial"/>
          <w:szCs w:val="24"/>
          <w:lang w:val="en-US"/>
        </w:rPr>
        <w:t>processes for developing nuclear fire hazard analysis</w:t>
      </w:r>
      <w:r w:rsidR="002C7A25" w:rsidRPr="00DD1B58">
        <w:rPr>
          <w:rFonts w:eastAsia="Arial"/>
          <w:szCs w:val="24"/>
          <w:lang w:val="en-US"/>
        </w:rPr>
        <w:t xml:space="preserve"> in</w:t>
      </w:r>
      <w:r w:rsidR="00096E86" w:rsidRPr="00DD1B58">
        <w:rPr>
          <w:rFonts w:eastAsia="Arial"/>
          <w:szCs w:val="24"/>
          <w:lang w:val="en-US"/>
        </w:rPr>
        <w:t xml:space="preserve"> </w:t>
      </w:r>
      <w:r w:rsidR="00FE421B" w:rsidRPr="00DD1B58">
        <w:rPr>
          <w:rFonts w:eastAsia="Arial"/>
          <w:szCs w:val="24"/>
          <w:lang w:val="en-US"/>
        </w:rPr>
        <w:t>close</w:t>
      </w:r>
      <w:r w:rsidR="00096E86" w:rsidRPr="00DD1B58">
        <w:rPr>
          <w:rFonts w:eastAsia="Arial"/>
          <w:szCs w:val="24"/>
          <w:lang w:val="en-US"/>
        </w:rPr>
        <w:t xml:space="preserve"> alignment with national and international standards.</w:t>
      </w:r>
      <w:r w:rsidRPr="00DD1B58">
        <w:rPr>
          <w:rFonts w:eastAsia="Arial"/>
          <w:szCs w:val="24"/>
          <w:lang w:val="en-US"/>
        </w:rPr>
        <w:t xml:space="preserve"> </w:t>
      </w:r>
      <w:r w:rsidR="00096E86" w:rsidRPr="00DD1B58">
        <w:rPr>
          <w:rFonts w:eastAsia="Arial"/>
          <w:szCs w:val="24"/>
          <w:lang w:val="en-US"/>
        </w:rPr>
        <w:t>Nevertheless,</w:t>
      </w:r>
      <w:r w:rsidR="00096E86" w:rsidRPr="00DD1B58">
        <w:rPr>
          <w:rFonts w:eastAsia="Arial"/>
          <w:lang w:val="en-US"/>
        </w:rPr>
        <w:t xml:space="preserve"> </w:t>
      </w:r>
      <w:r w:rsidRPr="00DD1B58">
        <w:rPr>
          <w:rFonts w:eastAsia="Arial"/>
          <w:lang w:val="en-US"/>
        </w:rPr>
        <w:t>ONR considers that improvements to fire safety analysis on the HPC site would be beneficial</w:t>
      </w:r>
      <w:r w:rsidR="00096E86" w:rsidRPr="00DD1B58">
        <w:rPr>
          <w:rFonts w:eastAsia="Arial"/>
          <w:lang w:val="en-US"/>
        </w:rPr>
        <w:t xml:space="preserve"> in </w:t>
      </w:r>
      <w:r w:rsidR="00FE421B" w:rsidRPr="00DD1B58">
        <w:rPr>
          <w:rFonts w:eastAsia="Arial"/>
          <w:lang w:val="en-US"/>
        </w:rPr>
        <w:t>one area</w:t>
      </w:r>
      <w:r w:rsidR="00096E86" w:rsidRPr="00DD1B58">
        <w:rPr>
          <w:rFonts w:eastAsia="Arial"/>
          <w:lang w:val="en-US"/>
        </w:rPr>
        <w:t>:</w:t>
      </w:r>
      <w:r w:rsidRPr="00DD1B58">
        <w:rPr>
          <w:rFonts w:eastAsia="Arial"/>
          <w:lang w:val="en-US"/>
        </w:rPr>
        <w:t xml:space="preserve"> </w:t>
      </w:r>
      <w:r w:rsidR="00FE421B" w:rsidRPr="00DD1B58">
        <w:rPr>
          <w:rFonts w:eastAsia="Arial"/>
          <w:lang w:val="en-US"/>
        </w:rPr>
        <w:t>NNB GenCo should</w:t>
      </w:r>
      <w:r w:rsidRPr="00DD1B58">
        <w:rPr>
          <w:rFonts w:eastAsia="Arial"/>
          <w:lang w:val="en-US"/>
        </w:rPr>
        <w:t xml:space="preserve"> identify the potential effects of combined hazards on the types, main characteristics and performance expectations for active fire protective systems</w:t>
      </w:r>
      <w:r w:rsidR="00FE421B" w:rsidRPr="00DD1B58">
        <w:rPr>
          <w:rFonts w:eastAsia="Arial"/>
          <w:lang w:val="en-US"/>
        </w:rPr>
        <w:t xml:space="preserve">, </w:t>
      </w:r>
      <w:r w:rsidRPr="00DD1B58">
        <w:rPr>
          <w:rFonts w:eastAsia="Arial"/>
          <w:lang w:val="en-US"/>
        </w:rPr>
        <w:t xml:space="preserve">the potential for combined hazards to affect the capacity for </w:t>
      </w:r>
      <w:r w:rsidR="004F5760" w:rsidRPr="00DD1B58">
        <w:rPr>
          <w:rFonts w:eastAsia="Arial"/>
          <w:lang w:val="en-US"/>
        </w:rPr>
        <w:t>firefight</w:t>
      </w:r>
      <w:r w:rsidRPr="00DD1B58">
        <w:rPr>
          <w:rFonts w:eastAsia="Arial"/>
          <w:lang w:val="en-US"/>
        </w:rPr>
        <w:t xml:space="preserve">ing and how the </w:t>
      </w:r>
      <w:r w:rsidR="004F5760" w:rsidRPr="00DD1B58">
        <w:rPr>
          <w:rFonts w:eastAsia="Arial"/>
          <w:lang w:val="en-US"/>
        </w:rPr>
        <w:t>firefight</w:t>
      </w:r>
      <w:r w:rsidRPr="00DD1B58">
        <w:rPr>
          <w:rFonts w:eastAsia="Arial"/>
          <w:lang w:val="en-US"/>
        </w:rPr>
        <w:t xml:space="preserve">ing system may contribute to combined hazards. ONR </w:t>
      </w:r>
      <w:r w:rsidR="008235DD" w:rsidRPr="00DD1B58">
        <w:rPr>
          <w:rFonts w:eastAsia="Arial"/>
          <w:lang w:val="en-US"/>
        </w:rPr>
        <w:t>is monitoring</w:t>
      </w:r>
      <w:r w:rsidR="00096E86" w:rsidRPr="00DD1B58">
        <w:rPr>
          <w:rFonts w:eastAsia="Arial"/>
          <w:lang w:val="en-US"/>
        </w:rPr>
        <w:t xml:space="preserve"> NNB GenCo’s progress </w:t>
      </w:r>
      <w:r w:rsidR="00FE421B" w:rsidRPr="00DD1B58">
        <w:rPr>
          <w:rFonts w:eastAsia="Arial"/>
          <w:lang w:val="en-US"/>
        </w:rPr>
        <w:t>towards closing this</w:t>
      </w:r>
      <w:r w:rsidR="00096E86" w:rsidRPr="00DD1B58">
        <w:rPr>
          <w:rFonts w:eastAsia="Arial"/>
          <w:lang w:val="en-US"/>
        </w:rPr>
        <w:t xml:space="preserve"> gap through </w:t>
      </w:r>
      <w:r w:rsidRPr="00DD1B58">
        <w:rPr>
          <w:rFonts w:eastAsia="Arial"/>
          <w:lang w:val="en-US"/>
        </w:rPr>
        <w:t xml:space="preserve">routine regulatory engagement and </w:t>
      </w:r>
      <w:r w:rsidR="00096E86" w:rsidRPr="00DD1B58">
        <w:rPr>
          <w:rFonts w:eastAsia="Arial"/>
          <w:lang w:val="en-US"/>
        </w:rPr>
        <w:t xml:space="preserve">therefore </w:t>
      </w:r>
      <w:r w:rsidR="009D4B02" w:rsidRPr="00DD1B58">
        <w:rPr>
          <w:lang w:val="en-US"/>
        </w:rPr>
        <w:t xml:space="preserve">no additional TPR-specific action is </w:t>
      </w:r>
      <w:r w:rsidR="00FE421B" w:rsidRPr="00DD1B58">
        <w:rPr>
          <w:lang w:val="en-US"/>
        </w:rPr>
        <w:t>raised</w:t>
      </w:r>
      <w:r w:rsidRPr="00DD1B58">
        <w:rPr>
          <w:lang w:val="en-US"/>
        </w:rPr>
        <w:t>.</w:t>
      </w:r>
    </w:p>
    <w:p w14:paraId="7475A1B3" w14:textId="77777777" w:rsidR="00DB3279" w:rsidRPr="00DD1B58" w:rsidRDefault="00DB3279" w:rsidP="00327321">
      <w:pPr>
        <w:pStyle w:val="Heading2"/>
        <w:rPr>
          <w:lang w:val="en-US"/>
        </w:rPr>
      </w:pPr>
      <w:bookmarkStart w:id="33" w:name="_Toc147090627"/>
      <w:r w:rsidRPr="00DD1B58">
        <w:rPr>
          <w:lang w:val="en-US"/>
        </w:rPr>
        <w:t>Research reactors</w:t>
      </w:r>
      <w:bookmarkEnd w:id="33"/>
      <w:r w:rsidRPr="00DD1B58">
        <w:rPr>
          <w:lang w:val="en-US"/>
        </w:rPr>
        <w:t xml:space="preserve"> </w:t>
      </w:r>
    </w:p>
    <w:p w14:paraId="5FC94763" w14:textId="3112A7EF" w:rsidR="6C4D33C6" w:rsidRPr="00DD1B58" w:rsidRDefault="00CC4FCD" w:rsidP="6C4D33C6">
      <w:pPr>
        <w:rPr>
          <w:lang w:val="en-US"/>
        </w:rPr>
      </w:pPr>
      <w:r w:rsidRPr="00DD1B58">
        <w:rPr>
          <w:lang w:val="en-US"/>
        </w:rPr>
        <w:t xml:space="preserve">In line with </w:t>
      </w:r>
      <w:r w:rsidR="009018AC" w:rsidRPr="00DD1B58">
        <w:rPr>
          <w:lang w:val="en-US"/>
        </w:rPr>
        <w:t>S</w:t>
      </w:r>
      <w:r w:rsidRPr="00DD1B58">
        <w:rPr>
          <w:lang w:val="en-US"/>
        </w:rPr>
        <w:t>ection 1.1.2, t</w:t>
      </w:r>
      <w:r w:rsidR="00C813BA" w:rsidRPr="00DD1B58">
        <w:rPr>
          <w:lang w:val="en-US"/>
        </w:rPr>
        <w:t xml:space="preserve">he UK </w:t>
      </w:r>
      <w:r w:rsidR="0095631E" w:rsidRPr="00DD1B58">
        <w:rPr>
          <w:lang w:val="en-US"/>
        </w:rPr>
        <w:t xml:space="preserve">has </w:t>
      </w:r>
      <w:r w:rsidR="00C813BA" w:rsidRPr="00DD1B58">
        <w:rPr>
          <w:lang w:val="en-US"/>
        </w:rPr>
        <w:t>no operational research reactors</w:t>
      </w:r>
      <w:r w:rsidR="0095631E" w:rsidRPr="00DD1B58">
        <w:rPr>
          <w:lang w:val="en-US"/>
        </w:rPr>
        <w:t xml:space="preserve"> or research reactors under decommissioning </w:t>
      </w:r>
      <w:r w:rsidR="0027054F" w:rsidRPr="00DD1B58">
        <w:rPr>
          <w:lang w:val="en-US"/>
        </w:rPr>
        <w:t>that merit</w:t>
      </w:r>
      <w:r w:rsidRPr="00DD1B58">
        <w:rPr>
          <w:lang w:val="en-US"/>
        </w:rPr>
        <w:t xml:space="preserve"> inclusion in the list of UK candidate installations for TPR</w:t>
      </w:r>
      <w:r w:rsidR="00611D77" w:rsidRPr="00DD1B58">
        <w:rPr>
          <w:lang w:val="en-US"/>
        </w:rPr>
        <w:t>2 on</w:t>
      </w:r>
      <w:r w:rsidRPr="00DD1B58">
        <w:rPr>
          <w:lang w:val="en-US"/>
        </w:rPr>
        <w:t xml:space="preserve"> </w:t>
      </w:r>
      <w:r w:rsidR="00611D77" w:rsidRPr="00DD1B58">
        <w:rPr>
          <w:lang w:val="en-US"/>
        </w:rPr>
        <w:t xml:space="preserve">fire-related </w:t>
      </w:r>
      <w:r w:rsidRPr="00DD1B58">
        <w:rPr>
          <w:lang w:val="en-US"/>
        </w:rPr>
        <w:t xml:space="preserve">radiological risk </w:t>
      </w:r>
      <w:r w:rsidR="00611D77" w:rsidRPr="00DD1B58">
        <w:rPr>
          <w:lang w:val="en-US"/>
        </w:rPr>
        <w:t>grounds</w:t>
      </w:r>
      <w:r w:rsidRPr="00DD1B58">
        <w:rPr>
          <w:lang w:val="en-US"/>
        </w:rPr>
        <w:t>. This section is consequently left blank.</w:t>
      </w:r>
    </w:p>
    <w:p w14:paraId="498456B7" w14:textId="77777777" w:rsidR="79652DE7" w:rsidRPr="00DD1B58" w:rsidRDefault="79652DE7" w:rsidP="00DD7E66">
      <w:pPr>
        <w:pStyle w:val="Heading2"/>
        <w:rPr>
          <w:lang w:val="en-US"/>
        </w:rPr>
      </w:pPr>
      <w:bookmarkStart w:id="34" w:name="_Toc143682597"/>
      <w:bookmarkStart w:id="35" w:name="_Toc144924839"/>
      <w:bookmarkStart w:id="36" w:name="_Toc144926584"/>
      <w:bookmarkStart w:id="37" w:name="_Toc144927028"/>
      <w:bookmarkStart w:id="38" w:name="_Toc145055668"/>
      <w:bookmarkStart w:id="39" w:name="_Toc147090628"/>
      <w:bookmarkEnd w:id="34"/>
      <w:bookmarkEnd w:id="35"/>
      <w:bookmarkEnd w:id="36"/>
      <w:bookmarkEnd w:id="37"/>
      <w:bookmarkEnd w:id="38"/>
      <w:r w:rsidRPr="00DD1B58">
        <w:rPr>
          <w:lang w:val="en-US"/>
        </w:rPr>
        <w:t>Fuel cycle facilities</w:t>
      </w:r>
      <w:bookmarkEnd w:id="39"/>
      <w:r w:rsidR="0094342A" w:rsidRPr="00DD1B58">
        <w:rPr>
          <w:lang w:val="en-US"/>
        </w:rPr>
        <w:t xml:space="preserve"> </w:t>
      </w:r>
    </w:p>
    <w:p w14:paraId="74FF9686" w14:textId="4A9F696E" w:rsidR="006E59AC" w:rsidRPr="00DD1B58" w:rsidRDefault="00955F97" w:rsidP="006E59AC">
      <w:pPr>
        <w:rPr>
          <w:lang w:val="en-US"/>
        </w:rPr>
      </w:pPr>
      <w:r w:rsidRPr="00DD1B58">
        <w:rPr>
          <w:lang w:val="en-US"/>
        </w:rPr>
        <w:t xml:space="preserve">The text in the </w:t>
      </w:r>
      <w:r w:rsidR="0027054F" w:rsidRPr="00DD1B58">
        <w:rPr>
          <w:lang w:val="en-US"/>
        </w:rPr>
        <w:t xml:space="preserve">sections </w:t>
      </w:r>
      <w:r w:rsidRPr="00DD1B58">
        <w:rPr>
          <w:lang w:val="en-US"/>
        </w:rPr>
        <w:t xml:space="preserve">below has been prepared by Urenco UK Ltd </w:t>
      </w:r>
      <w:r w:rsidR="00441FDD" w:rsidRPr="00DD1B58">
        <w:rPr>
          <w:lang w:val="en-US"/>
        </w:rPr>
        <w:t xml:space="preserve">(UUK) </w:t>
      </w:r>
      <w:r w:rsidRPr="00DD1B58">
        <w:rPr>
          <w:lang w:val="en-US"/>
        </w:rPr>
        <w:t xml:space="preserve">and Springfields Fuels </w:t>
      </w:r>
      <w:r w:rsidR="00BF0D1B" w:rsidRPr="00DD1B58">
        <w:rPr>
          <w:lang w:val="en-US"/>
        </w:rPr>
        <w:t>Ltd</w:t>
      </w:r>
      <w:r w:rsidRPr="00DD1B58">
        <w:rPr>
          <w:lang w:val="en-US"/>
        </w:rPr>
        <w:t xml:space="preserve"> Background information on the sites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0C3E900A" w14:textId="663D91D0" w:rsidR="00467251" w:rsidRPr="00DD1B58" w:rsidRDefault="00467251" w:rsidP="009D7709">
      <w:pPr>
        <w:pStyle w:val="Heading3"/>
        <w:rPr>
          <w:lang w:val="en-US"/>
        </w:rPr>
      </w:pPr>
      <w:bookmarkStart w:id="40" w:name="_Toc147090629"/>
      <w:r w:rsidRPr="00DD1B58">
        <w:rPr>
          <w:lang w:val="en-US"/>
        </w:rPr>
        <w:t xml:space="preserve">Enrichment </w:t>
      </w:r>
      <w:r w:rsidR="001B7D03" w:rsidRPr="00DD1B58">
        <w:rPr>
          <w:lang w:val="en-US"/>
        </w:rPr>
        <w:t>f</w:t>
      </w:r>
      <w:r w:rsidRPr="00DD1B58">
        <w:rPr>
          <w:lang w:val="en-US"/>
        </w:rPr>
        <w:t>acilities</w:t>
      </w:r>
      <w:r w:rsidR="00C813BA" w:rsidRPr="00DD1B58">
        <w:rPr>
          <w:lang w:val="en-US"/>
        </w:rPr>
        <w:t xml:space="preserve"> – URENCO Capenhurst</w:t>
      </w:r>
      <w:bookmarkEnd w:id="40"/>
    </w:p>
    <w:p w14:paraId="57287EC3" w14:textId="77777777" w:rsidR="00C813BA" w:rsidRPr="00DD1B58" w:rsidRDefault="00C813BA" w:rsidP="00C813BA">
      <w:pPr>
        <w:pStyle w:val="Heading4"/>
        <w:rPr>
          <w:lang w:val="en-US"/>
        </w:rPr>
      </w:pPr>
      <w:r w:rsidRPr="00DD1B58">
        <w:rPr>
          <w:lang w:val="en-US"/>
        </w:rPr>
        <w:t>Types and scope of the fire safety analyses</w:t>
      </w:r>
    </w:p>
    <w:p w14:paraId="4793E258" w14:textId="12F3670C" w:rsidR="00B637C4" w:rsidRPr="00DD1B58" w:rsidRDefault="00441FDD" w:rsidP="0050475C">
      <w:pPr>
        <w:rPr>
          <w:lang w:val="en-US"/>
        </w:rPr>
      </w:pPr>
      <w:r w:rsidRPr="00DD1B58">
        <w:rPr>
          <w:lang w:val="en-US"/>
        </w:rPr>
        <w:t>UUK</w:t>
      </w:r>
      <w:r w:rsidR="00CB38D4" w:rsidRPr="00DD1B58">
        <w:rPr>
          <w:lang w:val="en-US"/>
        </w:rPr>
        <w:t xml:space="preserve"> requires </w:t>
      </w:r>
      <w:r w:rsidRPr="00DD1B58">
        <w:rPr>
          <w:lang w:val="en-US"/>
        </w:rPr>
        <w:t>N</w:t>
      </w:r>
      <w:r w:rsidR="00B637C4" w:rsidRPr="00DD1B58">
        <w:rPr>
          <w:lang w:val="en-US"/>
        </w:rPr>
        <w:t xml:space="preserve">uclear </w:t>
      </w:r>
      <w:r w:rsidRPr="00DD1B58">
        <w:rPr>
          <w:lang w:val="en-US"/>
        </w:rPr>
        <w:t>F</w:t>
      </w:r>
      <w:r w:rsidR="00B637C4" w:rsidRPr="00DD1B58">
        <w:rPr>
          <w:lang w:val="en-US"/>
        </w:rPr>
        <w:t xml:space="preserve">ire </w:t>
      </w:r>
      <w:r w:rsidRPr="00DD1B58">
        <w:rPr>
          <w:lang w:val="en-US"/>
        </w:rPr>
        <w:t>A</w:t>
      </w:r>
      <w:r w:rsidR="00B637C4" w:rsidRPr="00DD1B58">
        <w:rPr>
          <w:lang w:val="en-US"/>
        </w:rPr>
        <w:t>ssessments to cover:</w:t>
      </w:r>
    </w:p>
    <w:p w14:paraId="0F5F2C34" w14:textId="77777777" w:rsidR="00B637C4" w:rsidRPr="00DD1B58" w:rsidRDefault="00B637C4" w:rsidP="00D30C4A">
      <w:pPr>
        <w:pStyle w:val="NumList1"/>
        <w:numPr>
          <w:ilvl w:val="0"/>
          <w:numId w:val="51"/>
        </w:numPr>
        <w:rPr>
          <w:lang w:val="en-US"/>
        </w:rPr>
      </w:pPr>
      <w:r w:rsidRPr="00DD1B58">
        <w:rPr>
          <w:lang w:val="en-US"/>
        </w:rPr>
        <w:t>The direct impact of fire on radiological and hazardous material inventories;</w:t>
      </w:r>
      <w:r w:rsidR="00126130" w:rsidRPr="00DD1B58">
        <w:rPr>
          <w:lang w:val="en-US"/>
        </w:rPr>
        <w:t xml:space="preserve"> and</w:t>
      </w:r>
    </w:p>
    <w:p w14:paraId="512F7F63" w14:textId="3CE3DFC1" w:rsidR="006C65F1" w:rsidRPr="00DD1B58" w:rsidRDefault="00B637C4" w:rsidP="00D30C4A">
      <w:pPr>
        <w:pStyle w:val="NumList1"/>
        <w:numPr>
          <w:ilvl w:val="0"/>
          <w:numId w:val="51"/>
        </w:numPr>
        <w:rPr>
          <w:lang w:val="en-US"/>
        </w:rPr>
      </w:pPr>
      <w:r w:rsidRPr="00DD1B58">
        <w:rPr>
          <w:lang w:val="en-US"/>
        </w:rPr>
        <w:t xml:space="preserve">The impact of Design Basis Safety Measures (DBSM) and associated </w:t>
      </w:r>
      <w:r w:rsidR="00CB38D4" w:rsidRPr="00DD1B58">
        <w:rPr>
          <w:lang w:val="en-US"/>
        </w:rPr>
        <w:t>SSCs</w:t>
      </w:r>
      <w:r w:rsidRPr="00DD1B58">
        <w:rPr>
          <w:lang w:val="en-US"/>
        </w:rPr>
        <w:t xml:space="preserve"> in place to address other hazards and faults.</w:t>
      </w:r>
    </w:p>
    <w:p w14:paraId="2636D128" w14:textId="1909403A" w:rsidR="006C65F1" w:rsidRPr="00DD1B58" w:rsidRDefault="00B637C4" w:rsidP="0050475C">
      <w:pPr>
        <w:rPr>
          <w:lang w:val="en-US"/>
        </w:rPr>
      </w:pPr>
      <w:r w:rsidRPr="00DD1B58">
        <w:rPr>
          <w:lang w:val="en-US"/>
        </w:rPr>
        <w:t xml:space="preserve">UUK </w:t>
      </w:r>
      <w:r w:rsidR="00441FDD" w:rsidRPr="00DD1B58">
        <w:rPr>
          <w:lang w:val="en-US"/>
        </w:rPr>
        <w:t>N</w:t>
      </w:r>
      <w:r w:rsidRPr="00DD1B58">
        <w:rPr>
          <w:lang w:val="en-US"/>
        </w:rPr>
        <w:t xml:space="preserve">uclear </w:t>
      </w:r>
      <w:r w:rsidR="00441FDD" w:rsidRPr="00DD1B58">
        <w:rPr>
          <w:lang w:val="en-US"/>
        </w:rPr>
        <w:t>F</w:t>
      </w:r>
      <w:r w:rsidRPr="00DD1B58">
        <w:rPr>
          <w:lang w:val="en-US"/>
        </w:rPr>
        <w:t>ire Assessments identify SSCs in line with the following principles:</w:t>
      </w:r>
    </w:p>
    <w:p w14:paraId="2002BD5B" w14:textId="77777777" w:rsidR="0050475C" w:rsidRPr="00DD1B58" w:rsidRDefault="0050475C" w:rsidP="00973FF4">
      <w:pPr>
        <w:pStyle w:val="Bulletlist1"/>
        <w:rPr>
          <w:lang w:val="en-US"/>
        </w:rPr>
      </w:pPr>
      <w:r w:rsidRPr="00DD1B58">
        <w:rPr>
          <w:lang w:val="en-US"/>
        </w:rPr>
        <w:t xml:space="preserve">Primary measures against fire propagation or to limit explosion damage; </w:t>
      </w:r>
    </w:p>
    <w:p w14:paraId="24270D06" w14:textId="77777777" w:rsidR="006C65F1" w:rsidRPr="00DD1B58" w:rsidRDefault="00B637C4" w:rsidP="00973FF4">
      <w:pPr>
        <w:pStyle w:val="Bulletlist1"/>
        <w:rPr>
          <w:lang w:val="en-US"/>
        </w:rPr>
      </w:pPr>
      <w:r w:rsidRPr="00DD1B58">
        <w:rPr>
          <w:lang w:val="en-US"/>
        </w:rPr>
        <w:t>Risk reduction measures;</w:t>
      </w:r>
      <w:r w:rsidR="00126130" w:rsidRPr="00DD1B58">
        <w:rPr>
          <w:lang w:val="en-US"/>
        </w:rPr>
        <w:t xml:space="preserve"> and</w:t>
      </w:r>
    </w:p>
    <w:p w14:paraId="092B652B" w14:textId="77777777" w:rsidR="005B2B24" w:rsidRPr="00DD1B58" w:rsidRDefault="00B637C4" w:rsidP="00973FF4">
      <w:pPr>
        <w:pStyle w:val="Bulletlist1"/>
        <w:rPr>
          <w:lang w:val="en-US"/>
        </w:rPr>
      </w:pPr>
      <w:r w:rsidRPr="00DD1B58">
        <w:rPr>
          <w:lang w:val="en-US"/>
        </w:rPr>
        <w:t>Personnel escape routes, detection and alarms.</w:t>
      </w:r>
    </w:p>
    <w:p w14:paraId="60D4C8C2" w14:textId="35992784" w:rsidR="00B637C4" w:rsidRPr="00DD1B58" w:rsidRDefault="00B637C4" w:rsidP="0050475C">
      <w:pPr>
        <w:rPr>
          <w:lang w:val="en-US"/>
        </w:rPr>
      </w:pPr>
      <w:r w:rsidRPr="00DD1B58">
        <w:rPr>
          <w:lang w:val="en-US"/>
        </w:rPr>
        <w:t xml:space="preserve">Where </w:t>
      </w:r>
      <w:r w:rsidR="00D731A9" w:rsidRPr="00DD1B58">
        <w:rPr>
          <w:lang w:val="en-US"/>
        </w:rPr>
        <w:t xml:space="preserve">UUK </w:t>
      </w:r>
      <w:r w:rsidR="00B36D54" w:rsidRPr="00DD1B58">
        <w:rPr>
          <w:lang w:val="en-US"/>
        </w:rPr>
        <w:t xml:space="preserve">identifies </w:t>
      </w:r>
      <w:r w:rsidRPr="00DD1B58">
        <w:rPr>
          <w:lang w:val="en-US"/>
        </w:rPr>
        <w:t xml:space="preserve">safety measures </w:t>
      </w:r>
      <w:r w:rsidR="00B36D54" w:rsidRPr="00DD1B58">
        <w:rPr>
          <w:lang w:val="en-US"/>
        </w:rPr>
        <w:t>as</w:t>
      </w:r>
      <w:r w:rsidRPr="00DD1B58">
        <w:rPr>
          <w:lang w:val="en-US"/>
        </w:rPr>
        <w:t xml:space="preserve"> having a significant or principal role in nuclear fire safety,</w:t>
      </w:r>
      <w:r w:rsidR="005B2B24" w:rsidRPr="00DD1B58">
        <w:rPr>
          <w:lang w:val="en-US"/>
        </w:rPr>
        <w:t xml:space="preserve"> </w:t>
      </w:r>
      <w:r w:rsidR="00B36D54" w:rsidRPr="00DD1B58">
        <w:rPr>
          <w:lang w:val="en-US"/>
        </w:rPr>
        <w:t>it expects safety designation in</w:t>
      </w:r>
      <w:r w:rsidRPr="00DD1B58">
        <w:rPr>
          <w:lang w:val="en-US"/>
        </w:rPr>
        <w:t xml:space="preserve"> accord</w:t>
      </w:r>
      <w:r w:rsidR="00B36D54" w:rsidRPr="00DD1B58">
        <w:rPr>
          <w:lang w:val="en-US"/>
        </w:rPr>
        <w:t>ance with</w:t>
      </w:r>
      <w:r w:rsidRPr="00DD1B58">
        <w:rPr>
          <w:lang w:val="en-US"/>
        </w:rPr>
        <w:t xml:space="preserve"> their Safety Functional Category</w:t>
      </w:r>
      <w:r w:rsidR="00B36D54" w:rsidRPr="00DD1B58">
        <w:rPr>
          <w:lang w:val="en-US"/>
        </w:rPr>
        <w:t>,</w:t>
      </w:r>
      <w:r w:rsidRPr="00DD1B58">
        <w:rPr>
          <w:lang w:val="en-US"/>
        </w:rPr>
        <w:t xml:space="preserve"> as</w:t>
      </w:r>
      <w:r w:rsidR="005B2B24" w:rsidRPr="00DD1B58">
        <w:rPr>
          <w:lang w:val="en-US"/>
        </w:rPr>
        <w:t xml:space="preserve"> </w:t>
      </w:r>
      <w:r w:rsidRPr="00DD1B58">
        <w:rPr>
          <w:lang w:val="en-US"/>
        </w:rPr>
        <w:t xml:space="preserve">discussed in UUK </w:t>
      </w:r>
      <w:r w:rsidR="00217579" w:rsidRPr="00DD1B58">
        <w:rPr>
          <w:lang w:val="en-US"/>
        </w:rPr>
        <w:t>Safety Assessment Handbook (</w:t>
      </w:r>
      <w:r w:rsidRPr="00DD1B58">
        <w:rPr>
          <w:lang w:val="en-US"/>
        </w:rPr>
        <w:t>SAH</w:t>
      </w:r>
      <w:r w:rsidR="00217579" w:rsidRPr="00DD1B58">
        <w:rPr>
          <w:lang w:val="en-US"/>
        </w:rPr>
        <w:t>)</w:t>
      </w:r>
      <w:r w:rsidR="005B2B24" w:rsidRPr="00DD1B58">
        <w:rPr>
          <w:lang w:val="en-US"/>
        </w:rPr>
        <w:t xml:space="preserve"> </w:t>
      </w:r>
      <w:r w:rsidRPr="00DD1B58">
        <w:rPr>
          <w:lang w:val="en-US"/>
        </w:rPr>
        <w:t>410</w:t>
      </w:r>
      <w:r w:rsidR="0050475C" w:rsidRPr="00DD1B58">
        <w:rPr>
          <w:lang w:val="en-US"/>
        </w:rPr>
        <w:t xml:space="preserve"> (</w:t>
      </w:r>
      <w:r w:rsidR="002A0E1A" w:rsidRPr="00DD1B58">
        <w:rPr>
          <w:lang w:val="en-US"/>
        </w:rPr>
        <w:t>p</w:t>
      </w:r>
      <w:r w:rsidR="0050475C" w:rsidRPr="00DD1B58">
        <w:rPr>
          <w:lang w:val="en-US"/>
        </w:rPr>
        <w:t xml:space="preserve">lease see Section </w:t>
      </w:r>
      <w:r w:rsidR="00217579" w:rsidRPr="00DD1B58">
        <w:rPr>
          <w:lang w:val="en-US"/>
        </w:rPr>
        <w:t>I-</w:t>
      </w:r>
      <w:r w:rsidR="0050475C" w:rsidRPr="00DD1B58">
        <w:rPr>
          <w:lang w:val="en-US"/>
        </w:rPr>
        <w:t>2.3.2)</w:t>
      </w:r>
      <w:r w:rsidR="002A0E1A" w:rsidRPr="00DD1B58">
        <w:rPr>
          <w:lang w:val="en-US"/>
        </w:rPr>
        <w:t>.</w:t>
      </w:r>
    </w:p>
    <w:p w14:paraId="5E26A5C6" w14:textId="6E0B7724" w:rsidR="0082276F" w:rsidRPr="00DD1B58" w:rsidRDefault="00217579" w:rsidP="0050475C">
      <w:pPr>
        <w:rPr>
          <w:lang w:val="en-US"/>
        </w:rPr>
      </w:pPr>
      <w:r w:rsidRPr="00DD1B58">
        <w:rPr>
          <w:lang w:val="en-US"/>
        </w:rPr>
        <w:t>UUK’s</w:t>
      </w:r>
      <w:r w:rsidR="00B637C4" w:rsidRPr="00DD1B58">
        <w:rPr>
          <w:lang w:val="en-US"/>
        </w:rPr>
        <w:t xml:space="preserve"> primary technique for identification of nuclear fire hazards is the Hazard Identification (HAZID)</w:t>
      </w:r>
      <w:r w:rsidR="001C3480" w:rsidRPr="00DD1B58">
        <w:rPr>
          <w:lang w:val="en-US"/>
        </w:rPr>
        <w:t xml:space="preserve"> </w:t>
      </w:r>
      <w:r w:rsidR="00B637C4" w:rsidRPr="00DD1B58">
        <w:rPr>
          <w:lang w:val="en-US"/>
        </w:rPr>
        <w:t>process.</w:t>
      </w:r>
      <w:r w:rsidR="0050475C" w:rsidRPr="00DD1B58">
        <w:rPr>
          <w:lang w:val="en-US"/>
        </w:rPr>
        <w:t xml:space="preserve"> </w:t>
      </w:r>
      <w:r w:rsidR="00B637C4" w:rsidRPr="00DD1B58">
        <w:rPr>
          <w:lang w:val="en-US"/>
        </w:rPr>
        <w:t>HAZID studies</w:t>
      </w:r>
      <w:r w:rsidR="001C3480" w:rsidRPr="00DD1B58">
        <w:rPr>
          <w:lang w:val="en-US"/>
        </w:rPr>
        <w:t xml:space="preserve"> </w:t>
      </w:r>
      <w:r w:rsidR="00B637C4" w:rsidRPr="00DD1B58">
        <w:rPr>
          <w:lang w:val="en-US"/>
        </w:rPr>
        <w:t>are a systematic critical examination of facilities to identify any potential hazards and the</w:t>
      </w:r>
      <w:r w:rsidR="001C3480" w:rsidRPr="00DD1B58">
        <w:rPr>
          <w:lang w:val="en-US"/>
        </w:rPr>
        <w:t xml:space="preserve"> </w:t>
      </w:r>
      <w:r w:rsidR="00B637C4" w:rsidRPr="00DD1B58">
        <w:rPr>
          <w:lang w:val="en-US"/>
        </w:rPr>
        <w:t>consequential effects, addressing both nuclear and non-nuclear hazards based upon a generic</w:t>
      </w:r>
      <w:r w:rsidR="0082276F" w:rsidRPr="00DD1B58">
        <w:rPr>
          <w:lang w:val="en-US"/>
        </w:rPr>
        <w:t xml:space="preserve"> </w:t>
      </w:r>
      <w:r w:rsidR="00B637C4" w:rsidRPr="00DD1B58">
        <w:rPr>
          <w:lang w:val="en-US"/>
        </w:rPr>
        <w:t>proforma.</w:t>
      </w:r>
      <w:r w:rsidR="00940D2A" w:rsidRPr="00DD1B58">
        <w:rPr>
          <w:lang w:val="en-US"/>
        </w:rPr>
        <w:t xml:space="preserve"> </w:t>
      </w:r>
    </w:p>
    <w:p w14:paraId="5C05686D" w14:textId="54434BE3" w:rsidR="001E3735" w:rsidRPr="00DD1B58" w:rsidRDefault="00B637C4" w:rsidP="0050475C">
      <w:pPr>
        <w:rPr>
          <w:lang w:val="en-US"/>
        </w:rPr>
      </w:pPr>
      <w:r w:rsidRPr="00DD1B58">
        <w:rPr>
          <w:lang w:val="en-US"/>
        </w:rPr>
        <w:t xml:space="preserve">UUK </w:t>
      </w:r>
      <w:r w:rsidR="00D81A51" w:rsidRPr="00DD1B58">
        <w:rPr>
          <w:lang w:val="en-US"/>
        </w:rPr>
        <w:t>state</w:t>
      </w:r>
      <w:r w:rsidR="000345A8" w:rsidRPr="00DD1B58">
        <w:rPr>
          <w:lang w:val="en-US"/>
        </w:rPr>
        <w:t>s</w:t>
      </w:r>
      <w:r w:rsidR="00D81A51" w:rsidRPr="00DD1B58">
        <w:rPr>
          <w:lang w:val="en-US"/>
        </w:rPr>
        <w:t xml:space="preserve"> that</w:t>
      </w:r>
      <w:r w:rsidRPr="00DD1B58">
        <w:rPr>
          <w:lang w:val="en-US"/>
        </w:rPr>
        <w:t xml:space="preserve"> HAZID processes </w:t>
      </w:r>
      <w:r w:rsidR="00D81A51" w:rsidRPr="00DD1B58">
        <w:rPr>
          <w:lang w:val="en-US"/>
        </w:rPr>
        <w:t xml:space="preserve">consider all </w:t>
      </w:r>
      <w:r w:rsidRPr="00DD1B58">
        <w:rPr>
          <w:lang w:val="en-US"/>
        </w:rPr>
        <w:t>relevant process steps and operational states to</w:t>
      </w:r>
      <w:r w:rsidR="0082276F" w:rsidRPr="00DD1B58">
        <w:rPr>
          <w:lang w:val="en-US"/>
        </w:rPr>
        <w:t xml:space="preserve"> </w:t>
      </w:r>
      <w:r w:rsidRPr="00DD1B58">
        <w:rPr>
          <w:lang w:val="en-US"/>
        </w:rPr>
        <w:t>ensure full coverage of hazards is presented</w:t>
      </w:r>
      <w:r w:rsidR="00D81A51" w:rsidRPr="00DD1B58">
        <w:rPr>
          <w:lang w:val="en-US"/>
        </w:rPr>
        <w:t>,</w:t>
      </w:r>
      <w:r w:rsidRPr="00DD1B58">
        <w:rPr>
          <w:lang w:val="en-US"/>
        </w:rPr>
        <w:t xml:space="preserve"> for example</w:t>
      </w:r>
      <w:r w:rsidR="00D81A51" w:rsidRPr="00DD1B58">
        <w:rPr>
          <w:lang w:val="en-US"/>
        </w:rPr>
        <w:t>,</w:t>
      </w:r>
      <w:r w:rsidRPr="00DD1B58">
        <w:rPr>
          <w:lang w:val="en-US"/>
        </w:rPr>
        <w:t xml:space="preserve"> where fire loading hazards may fluctuate.</w:t>
      </w:r>
      <w:r w:rsidR="0082276F" w:rsidRPr="00DD1B58">
        <w:rPr>
          <w:lang w:val="en-US"/>
        </w:rPr>
        <w:t xml:space="preserve"> </w:t>
      </w:r>
      <w:r w:rsidRPr="00DD1B58">
        <w:rPr>
          <w:lang w:val="en-US"/>
        </w:rPr>
        <w:t xml:space="preserve">For nuclear fire, </w:t>
      </w:r>
      <w:r w:rsidR="00415A9A" w:rsidRPr="00DD1B58">
        <w:rPr>
          <w:lang w:val="en-US"/>
        </w:rPr>
        <w:t>U</w:t>
      </w:r>
      <w:r w:rsidR="0055271F" w:rsidRPr="00DD1B58">
        <w:rPr>
          <w:lang w:val="en-US"/>
        </w:rPr>
        <w:t>U</w:t>
      </w:r>
      <w:r w:rsidR="00415A9A" w:rsidRPr="00DD1B58">
        <w:rPr>
          <w:lang w:val="en-US"/>
        </w:rPr>
        <w:t xml:space="preserve">K </w:t>
      </w:r>
      <w:r w:rsidR="00C210A5" w:rsidRPr="00DD1B58">
        <w:rPr>
          <w:lang w:val="en-US"/>
        </w:rPr>
        <w:t xml:space="preserve">uses </w:t>
      </w:r>
      <w:r w:rsidRPr="00DD1B58">
        <w:rPr>
          <w:lang w:val="en-US"/>
        </w:rPr>
        <w:t xml:space="preserve">Hazard and Operability </w:t>
      </w:r>
      <w:r w:rsidR="004A3982" w:rsidRPr="00DD1B58">
        <w:rPr>
          <w:lang w:val="en-US"/>
        </w:rPr>
        <w:t xml:space="preserve">(HAZOP) </w:t>
      </w:r>
      <w:r w:rsidRPr="00DD1B58">
        <w:rPr>
          <w:lang w:val="en-US"/>
        </w:rPr>
        <w:t>studies</w:t>
      </w:r>
      <w:r w:rsidR="00C210A5" w:rsidRPr="00DD1B58">
        <w:rPr>
          <w:lang w:val="en-US"/>
        </w:rPr>
        <w:t>. HAZOP is a</w:t>
      </w:r>
      <w:r w:rsidRPr="00DD1B58">
        <w:rPr>
          <w:lang w:val="en-US"/>
        </w:rPr>
        <w:t xml:space="preserve"> systematic qualitative technique to identify process hazards and potential</w:t>
      </w:r>
      <w:r w:rsidR="0082276F" w:rsidRPr="00DD1B58">
        <w:rPr>
          <w:lang w:val="en-US"/>
        </w:rPr>
        <w:t xml:space="preserve"> </w:t>
      </w:r>
      <w:r w:rsidRPr="00DD1B58">
        <w:rPr>
          <w:lang w:val="en-US"/>
        </w:rPr>
        <w:t>operating</w:t>
      </w:r>
      <w:r w:rsidR="001E3735" w:rsidRPr="00DD1B58">
        <w:rPr>
          <w:lang w:val="en-US"/>
        </w:rPr>
        <w:t xml:space="preserve"> </w:t>
      </w:r>
      <w:r w:rsidRPr="00DD1B58">
        <w:rPr>
          <w:lang w:val="en-US"/>
        </w:rPr>
        <w:t xml:space="preserve">problems using a series of guide words to study process deviations. </w:t>
      </w:r>
      <w:r w:rsidR="00194A4E" w:rsidRPr="00DD1B58">
        <w:rPr>
          <w:lang w:val="en-US"/>
        </w:rPr>
        <w:t>U</w:t>
      </w:r>
      <w:r w:rsidR="00B674AC" w:rsidRPr="00DD1B58">
        <w:rPr>
          <w:lang w:val="en-US"/>
        </w:rPr>
        <w:t>U</w:t>
      </w:r>
      <w:r w:rsidR="00194A4E" w:rsidRPr="00DD1B58">
        <w:rPr>
          <w:lang w:val="en-US"/>
        </w:rPr>
        <w:t>K uses the</w:t>
      </w:r>
      <w:r w:rsidRPr="00DD1B58">
        <w:rPr>
          <w:lang w:val="en-US"/>
        </w:rPr>
        <w:t xml:space="preserve"> HAZOP model to challenge each part of a process to discover what deviations from the intention of</w:t>
      </w:r>
      <w:r w:rsidR="001E3735" w:rsidRPr="00DD1B58">
        <w:rPr>
          <w:lang w:val="en-US"/>
        </w:rPr>
        <w:t xml:space="preserve"> </w:t>
      </w:r>
      <w:r w:rsidRPr="00DD1B58">
        <w:rPr>
          <w:lang w:val="en-US"/>
        </w:rPr>
        <w:t xml:space="preserve">the design can occur and what their causes and consequences may be. </w:t>
      </w:r>
      <w:r w:rsidR="003D0085" w:rsidRPr="00DD1B58">
        <w:rPr>
          <w:lang w:val="en-US"/>
        </w:rPr>
        <w:t>UUK applies this</w:t>
      </w:r>
      <w:r w:rsidRPr="00DD1B58">
        <w:rPr>
          <w:lang w:val="en-US"/>
        </w:rPr>
        <w:t xml:space="preserve"> </w:t>
      </w:r>
      <w:r w:rsidR="003D0085" w:rsidRPr="00DD1B58">
        <w:rPr>
          <w:lang w:val="en-US"/>
        </w:rPr>
        <w:t>technique</w:t>
      </w:r>
      <w:r w:rsidRPr="00DD1B58">
        <w:rPr>
          <w:lang w:val="en-US"/>
        </w:rPr>
        <w:t xml:space="preserve"> to new and existing processes to identify hazards.</w:t>
      </w:r>
    </w:p>
    <w:p w14:paraId="568400CD" w14:textId="41438F43" w:rsidR="00961E4A" w:rsidRPr="00DD1B58" w:rsidRDefault="003D0085" w:rsidP="00973FF4">
      <w:pPr>
        <w:rPr>
          <w:lang w:val="en-US"/>
        </w:rPr>
      </w:pPr>
      <w:r w:rsidRPr="00DD1B58">
        <w:rPr>
          <w:lang w:val="en-US"/>
        </w:rPr>
        <w:t xml:space="preserve">UUK also uses </w:t>
      </w:r>
      <w:r w:rsidR="00B637C4" w:rsidRPr="00DD1B58">
        <w:rPr>
          <w:lang w:val="en-US"/>
        </w:rPr>
        <w:t>Fire Walkdowns to determine the relevant hazards when reviewing existing</w:t>
      </w:r>
      <w:r w:rsidR="001E3735" w:rsidRPr="00DD1B58">
        <w:rPr>
          <w:lang w:val="en-US"/>
        </w:rPr>
        <w:t xml:space="preserve"> </w:t>
      </w:r>
      <w:r w:rsidR="00B637C4" w:rsidRPr="00DD1B58">
        <w:rPr>
          <w:lang w:val="en-US"/>
        </w:rPr>
        <w:t>facilities</w:t>
      </w:r>
      <w:r w:rsidR="00544CE5" w:rsidRPr="00DD1B58">
        <w:rPr>
          <w:lang w:val="en-US"/>
        </w:rPr>
        <w:t xml:space="preserve">, </w:t>
      </w:r>
      <w:r w:rsidR="00B637C4" w:rsidRPr="00DD1B58">
        <w:rPr>
          <w:lang w:val="en-US"/>
        </w:rPr>
        <w:t>to validate previous assessments and control measures such as likely combustible</w:t>
      </w:r>
      <w:r w:rsidR="001E3735" w:rsidRPr="00DD1B58">
        <w:rPr>
          <w:lang w:val="en-US"/>
        </w:rPr>
        <w:t xml:space="preserve"> </w:t>
      </w:r>
      <w:r w:rsidR="00B637C4" w:rsidRPr="00DD1B58">
        <w:rPr>
          <w:lang w:val="en-US"/>
        </w:rPr>
        <w:t>inventories, potential ignition sources and means of fire progression</w:t>
      </w:r>
      <w:r w:rsidR="00544CE5" w:rsidRPr="00DD1B58">
        <w:rPr>
          <w:lang w:val="en-US"/>
        </w:rPr>
        <w:t>. It also uses Fire Walkdowns to</w:t>
      </w:r>
      <w:r w:rsidR="00B637C4" w:rsidRPr="00DD1B58">
        <w:rPr>
          <w:lang w:val="en-US"/>
        </w:rPr>
        <w:t xml:space="preserve"> identif</w:t>
      </w:r>
      <w:r w:rsidR="00544CE5" w:rsidRPr="00DD1B58">
        <w:rPr>
          <w:lang w:val="en-US"/>
        </w:rPr>
        <w:t>y</w:t>
      </w:r>
      <w:r w:rsidR="001E3735" w:rsidRPr="00DD1B58">
        <w:rPr>
          <w:lang w:val="en-US"/>
        </w:rPr>
        <w:t xml:space="preserve"> </w:t>
      </w:r>
      <w:r w:rsidR="00B637C4" w:rsidRPr="00DD1B58">
        <w:rPr>
          <w:lang w:val="en-US"/>
        </w:rPr>
        <w:t>nuclear or hazardous material inventories that may be vulnerable to direct or indirect effects</w:t>
      </w:r>
      <w:r w:rsidR="001E3735" w:rsidRPr="00DD1B58">
        <w:rPr>
          <w:lang w:val="en-US"/>
        </w:rPr>
        <w:t xml:space="preserve"> </w:t>
      </w:r>
      <w:r w:rsidR="00B637C4" w:rsidRPr="00DD1B58">
        <w:rPr>
          <w:lang w:val="en-US"/>
        </w:rPr>
        <w:t>of fire and firefighting.</w:t>
      </w:r>
    </w:p>
    <w:p w14:paraId="211FA532" w14:textId="43B9B929" w:rsidR="00133738" w:rsidRPr="00DD1B58" w:rsidRDefault="003C322E" w:rsidP="0050475C">
      <w:pPr>
        <w:rPr>
          <w:lang w:val="en-US"/>
        </w:rPr>
      </w:pPr>
      <w:r w:rsidRPr="00DD1B58">
        <w:rPr>
          <w:lang w:val="en-US"/>
        </w:rPr>
        <w:t>UUK state</w:t>
      </w:r>
      <w:r w:rsidR="000345A8" w:rsidRPr="00DD1B58">
        <w:rPr>
          <w:lang w:val="en-US"/>
        </w:rPr>
        <w:t>s</w:t>
      </w:r>
      <w:r w:rsidRPr="00DD1B58">
        <w:rPr>
          <w:lang w:val="en-US"/>
        </w:rPr>
        <w:t xml:space="preserve"> that it carries forward a</w:t>
      </w:r>
      <w:r w:rsidR="00961E4A" w:rsidRPr="00DD1B58">
        <w:rPr>
          <w:lang w:val="en-US"/>
        </w:rPr>
        <w:t>ll identified nuclear fire hazards from the HAZID studies to a Nuclear Fire</w:t>
      </w:r>
      <w:r w:rsidR="00AC1315" w:rsidRPr="00DD1B58">
        <w:rPr>
          <w:lang w:val="en-US"/>
        </w:rPr>
        <w:t xml:space="preserve"> </w:t>
      </w:r>
      <w:r w:rsidR="00961E4A" w:rsidRPr="00DD1B58">
        <w:rPr>
          <w:lang w:val="en-US"/>
        </w:rPr>
        <w:t>Assessment</w:t>
      </w:r>
      <w:r w:rsidRPr="00DD1B58">
        <w:rPr>
          <w:lang w:val="en-US"/>
        </w:rPr>
        <w:t xml:space="preserve">. The latter </w:t>
      </w:r>
      <w:r w:rsidR="00961E4A" w:rsidRPr="00DD1B58">
        <w:rPr>
          <w:lang w:val="en-US"/>
        </w:rPr>
        <w:t>provides the detailed assessment of the hazards.</w:t>
      </w:r>
      <w:r w:rsidR="00940D2A" w:rsidRPr="00DD1B58">
        <w:rPr>
          <w:lang w:val="en-US"/>
        </w:rPr>
        <w:t xml:space="preserve"> </w:t>
      </w:r>
      <w:r w:rsidR="0050475C" w:rsidRPr="00DD1B58">
        <w:rPr>
          <w:lang w:val="en-US"/>
        </w:rPr>
        <w:t>The level of detail in the hazard assessment is cognisant of the radiological hazard presented by the fire, with more significant hazards subject to suitable safety case assessment techniques such as:</w:t>
      </w:r>
    </w:p>
    <w:p w14:paraId="6DA3BA22" w14:textId="23979C7E" w:rsidR="0050475C" w:rsidRPr="00DD1B58" w:rsidRDefault="0050475C" w:rsidP="00973FF4">
      <w:pPr>
        <w:pStyle w:val="Bulletlist1"/>
        <w:rPr>
          <w:lang w:val="en-US"/>
        </w:rPr>
      </w:pPr>
      <w:r w:rsidRPr="00DD1B58">
        <w:rPr>
          <w:b/>
          <w:lang w:val="en-US"/>
        </w:rPr>
        <w:t>Layers of Protection Analysis (LOPA)</w:t>
      </w:r>
      <w:r w:rsidR="00135FC0" w:rsidRPr="00DD1B58">
        <w:rPr>
          <w:b/>
          <w:lang w:val="en-US"/>
        </w:rPr>
        <w:t>:</w:t>
      </w:r>
      <w:r w:rsidR="00135FC0" w:rsidRPr="00DD1B58">
        <w:rPr>
          <w:lang w:val="en-US"/>
        </w:rPr>
        <w:t xml:space="preserve"> a</w:t>
      </w:r>
      <w:r w:rsidRPr="00DD1B58">
        <w:rPr>
          <w:lang w:val="en-US"/>
        </w:rPr>
        <w:t xml:space="preserve"> semi-quantitative risk assessment method for analysing risks of scenarios with higher consequence potential</w:t>
      </w:r>
      <w:r w:rsidR="00E465FD" w:rsidRPr="00DD1B58">
        <w:rPr>
          <w:lang w:val="en-US"/>
        </w:rPr>
        <w:t>. This is</w:t>
      </w:r>
      <w:r w:rsidRPr="00DD1B58">
        <w:rPr>
          <w:lang w:val="en-US"/>
        </w:rPr>
        <w:t xml:space="preserve"> used</w:t>
      </w:r>
      <w:r w:rsidR="00135FC0" w:rsidRPr="00DD1B58">
        <w:rPr>
          <w:lang w:val="en-US"/>
        </w:rPr>
        <w:t xml:space="preserve"> by UUK</w:t>
      </w:r>
      <w:r w:rsidRPr="00DD1B58">
        <w:rPr>
          <w:lang w:val="en-US"/>
        </w:rPr>
        <w:t xml:space="preserve"> to identify the required independent protection layers to reduce the frequency of an initiating event to within a defined level of risk appetite.</w:t>
      </w:r>
    </w:p>
    <w:p w14:paraId="574CF2FF" w14:textId="4DDF184B" w:rsidR="0050475C" w:rsidRPr="00DD1B58" w:rsidRDefault="0050475C" w:rsidP="00973FF4">
      <w:pPr>
        <w:pStyle w:val="Bulletlist1"/>
        <w:rPr>
          <w:b/>
          <w:lang w:val="en-US"/>
        </w:rPr>
      </w:pPr>
      <w:r w:rsidRPr="00DD1B58">
        <w:rPr>
          <w:b/>
          <w:lang w:val="en-US"/>
        </w:rPr>
        <w:t>Design Basis Accident Analysis (DBAA)</w:t>
      </w:r>
      <w:r w:rsidR="00135FC0" w:rsidRPr="00DD1B58">
        <w:rPr>
          <w:b/>
          <w:lang w:val="en-US"/>
        </w:rPr>
        <w:t>:</w:t>
      </w:r>
      <w:r w:rsidR="00135FC0" w:rsidRPr="00DD1B58">
        <w:rPr>
          <w:lang w:val="en-US"/>
        </w:rPr>
        <w:t xml:space="preserve"> a</w:t>
      </w:r>
      <w:r w:rsidRPr="00DD1B58">
        <w:rPr>
          <w:lang w:val="en-US"/>
        </w:rPr>
        <w:t xml:space="preserve"> deterministic analysis used </w:t>
      </w:r>
      <w:r w:rsidR="00135FC0" w:rsidRPr="00DD1B58">
        <w:rPr>
          <w:lang w:val="en-US"/>
        </w:rPr>
        <w:t xml:space="preserve">by UUK </w:t>
      </w:r>
      <w:r w:rsidRPr="00DD1B58">
        <w:rPr>
          <w:lang w:val="en-US"/>
        </w:rPr>
        <w:t>to establish many of the conditions that are considered when designing or modifying a facility.</w:t>
      </w:r>
    </w:p>
    <w:p w14:paraId="7AC678FA" w14:textId="5A22BCA2" w:rsidR="0050475C" w:rsidRPr="00DD1B58" w:rsidRDefault="0050475C" w:rsidP="00973FF4">
      <w:pPr>
        <w:pStyle w:val="Bulletlist1"/>
        <w:rPr>
          <w:lang w:val="en-US"/>
        </w:rPr>
      </w:pPr>
      <w:r w:rsidRPr="00DD1B58">
        <w:rPr>
          <w:b/>
          <w:lang w:val="en-US"/>
        </w:rPr>
        <w:t>Probabilistic Safety Analysis (PSA)</w:t>
      </w:r>
      <w:r w:rsidR="00135FC0" w:rsidRPr="00DD1B58">
        <w:rPr>
          <w:b/>
          <w:lang w:val="en-US"/>
        </w:rPr>
        <w:t xml:space="preserve">: </w:t>
      </w:r>
      <w:r w:rsidR="00135FC0" w:rsidRPr="00DD1B58">
        <w:rPr>
          <w:lang w:val="en-US"/>
        </w:rPr>
        <w:t>a m</w:t>
      </w:r>
      <w:r w:rsidRPr="00DD1B58">
        <w:rPr>
          <w:lang w:val="en-US"/>
        </w:rPr>
        <w:t>ore detailed modelling of failure modes for the whole or parts of a plant</w:t>
      </w:r>
      <w:r w:rsidR="0041755A" w:rsidRPr="00DD1B58">
        <w:rPr>
          <w:lang w:val="en-US"/>
        </w:rPr>
        <w:t>, which</w:t>
      </w:r>
      <w:r w:rsidRPr="00DD1B58">
        <w:rPr>
          <w:lang w:val="en-US"/>
        </w:rPr>
        <w:t xml:space="preserve"> can be used to assist in identifying the importance of any dependencies, and identify if there is disproportionate reliance on particular systems or components. This analysis may lead to the identification of additional safety measures to further reduce risk.</w:t>
      </w:r>
    </w:p>
    <w:p w14:paraId="3B358D8B" w14:textId="2C25E103" w:rsidR="0050475C" w:rsidRPr="00DD1B58" w:rsidRDefault="0050475C" w:rsidP="00973FF4">
      <w:pPr>
        <w:pStyle w:val="Bulletlist1"/>
        <w:rPr>
          <w:lang w:val="en-US"/>
        </w:rPr>
      </w:pPr>
      <w:r w:rsidRPr="00DD1B58">
        <w:rPr>
          <w:b/>
          <w:lang w:val="en-US"/>
        </w:rPr>
        <w:t>As Low As Reasonably Practicable (ALARP) Review</w:t>
      </w:r>
      <w:r w:rsidR="002242EA" w:rsidRPr="00DD1B58">
        <w:rPr>
          <w:b/>
          <w:lang w:val="en-US"/>
        </w:rPr>
        <w:t xml:space="preserve">s: </w:t>
      </w:r>
      <w:r w:rsidR="002242EA" w:rsidRPr="00DD1B58">
        <w:rPr>
          <w:lang w:val="en-US"/>
        </w:rPr>
        <w:t>t</w:t>
      </w:r>
      <w:r w:rsidRPr="00DD1B58">
        <w:rPr>
          <w:lang w:val="en-US"/>
        </w:rPr>
        <w:t>he</w:t>
      </w:r>
      <w:r w:rsidR="002242EA" w:rsidRPr="00DD1B58">
        <w:rPr>
          <w:lang w:val="en-US"/>
        </w:rPr>
        <w:t xml:space="preserve"> approach applied by UUK to</w:t>
      </w:r>
      <w:r w:rsidRPr="00DD1B58">
        <w:rPr>
          <w:lang w:val="en-US"/>
        </w:rPr>
        <w:t xml:space="preserve"> </w:t>
      </w:r>
      <w:r w:rsidR="002242EA" w:rsidRPr="00DD1B58">
        <w:rPr>
          <w:lang w:val="en-US"/>
        </w:rPr>
        <w:t>demonstrate risks are reduced to</w:t>
      </w:r>
      <w:r w:rsidRPr="00DD1B58">
        <w:rPr>
          <w:lang w:val="en-US"/>
        </w:rPr>
        <w:t xml:space="preserve"> ALARP</w:t>
      </w:r>
      <w:r w:rsidR="002242EA" w:rsidRPr="00DD1B58">
        <w:rPr>
          <w:lang w:val="en-US"/>
        </w:rPr>
        <w:t xml:space="preserve">. It </w:t>
      </w:r>
      <w:r w:rsidRPr="00DD1B58">
        <w:rPr>
          <w:lang w:val="en-US"/>
        </w:rPr>
        <w:t xml:space="preserve">involves evaluating risks and the options for reducing them further, to determine whether existing safety measures should be enhanced. </w:t>
      </w:r>
      <w:r w:rsidR="002242EA" w:rsidRPr="00DD1B58">
        <w:rPr>
          <w:lang w:val="en-US"/>
        </w:rPr>
        <w:t>UUK</w:t>
      </w:r>
      <w:r w:rsidR="00900BBE" w:rsidRPr="00DD1B58">
        <w:rPr>
          <w:lang w:val="en-US"/>
        </w:rPr>
        <w:t xml:space="preserve"> considers that the r</w:t>
      </w:r>
      <w:r w:rsidRPr="00DD1B58">
        <w:rPr>
          <w:lang w:val="en-US"/>
        </w:rPr>
        <w:t>isk will be ALARP when the cost of making the next incremental risk reduction is grossly disproportionate to the value of the benefits gained.</w:t>
      </w:r>
    </w:p>
    <w:p w14:paraId="1083DB5A" w14:textId="75983EB6" w:rsidR="0050475C" w:rsidRPr="00DD1B58" w:rsidRDefault="00900BBE" w:rsidP="0050475C">
      <w:pPr>
        <w:rPr>
          <w:lang w:val="en-US"/>
        </w:rPr>
      </w:pPr>
      <w:r w:rsidRPr="00DD1B58">
        <w:rPr>
          <w:lang w:val="en-US"/>
        </w:rPr>
        <w:t>UUK state</w:t>
      </w:r>
      <w:r w:rsidR="000345A8" w:rsidRPr="00DD1B58">
        <w:rPr>
          <w:lang w:val="en-US"/>
        </w:rPr>
        <w:t>s</w:t>
      </w:r>
      <w:r w:rsidRPr="00DD1B58">
        <w:rPr>
          <w:lang w:val="en-US"/>
        </w:rPr>
        <w:t xml:space="preserve"> that</w:t>
      </w:r>
      <w:r w:rsidR="0050475C" w:rsidRPr="00DD1B58">
        <w:rPr>
          <w:lang w:val="en-US"/>
        </w:rPr>
        <w:t xml:space="preserve"> mitigative measures such as incident fire response are not typically claimed </w:t>
      </w:r>
      <w:r w:rsidR="00F618A6" w:rsidRPr="00DD1B58">
        <w:rPr>
          <w:lang w:val="en-US"/>
        </w:rPr>
        <w:t>for nuclear safety</w:t>
      </w:r>
      <w:r w:rsidR="0050475C" w:rsidRPr="00DD1B58">
        <w:rPr>
          <w:lang w:val="en-US"/>
        </w:rPr>
        <w:t xml:space="preserve"> but are discussed in the ALARP demonstration. </w:t>
      </w:r>
    </w:p>
    <w:p w14:paraId="2D82B49C" w14:textId="08E7CD55" w:rsidR="005E1702" w:rsidRPr="00DD1B58" w:rsidRDefault="001219C6" w:rsidP="00973FF4">
      <w:pPr>
        <w:pStyle w:val="QuoteText"/>
        <w:rPr>
          <w:lang w:val="en-US"/>
        </w:rPr>
      </w:pPr>
      <w:r w:rsidRPr="00DD1B58">
        <w:rPr>
          <w:lang w:val="en-US"/>
        </w:rPr>
        <w:t xml:space="preserve">UUK </w:t>
      </w:r>
      <w:r w:rsidR="0012196D" w:rsidRPr="00DD1B58">
        <w:rPr>
          <w:lang w:val="en-US"/>
        </w:rPr>
        <w:t xml:space="preserve">describe </w:t>
      </w:r>
      <w:r w:rsidRPr="00DD1B58">
        <w:rPr>
          <w:lang w:val="en-US"/>
        </w:rPr>
        <w:t>the following steps</w:t>
      </w:r>
      <w:r w:rsidR="0012196D" w:rsidRPr="00DD1B58">
        <w:rPr>
          <w:lang w:val="en-US"/>
        </w:rPr>
        <w:t xml:space="preserve"> for</w:t>
      </w:r>
      <w:r w:rsidRPr="00DD1B58">
        <w:rPr>
          <w:lang w:val="en-US"/>
        </w:rPr>
        <w:t xml:space="preserve"> </w:t>
      </w:r>
      <w:r w:rsidR="00276BE3" w:rsidRPr="00DD1B58">
        <w:rPr>
          <w:lang w:val="en-US"/>
        </w:rPr>
        <w:t>nuclear fire assessments</w:t>
      </w:r>
      <w:r w:rsidR="00076925" w:rsidRPr="00DD1B58">
        <w:rPr>
          <w:lang w:val="en-US"/>
        </w:rPr>
        <w:t>:</w:t>
      </w:r>
    </w:p>
    <w:p w14:paraId="0A577EE5" w14:textId="3753F394" w:rsidR="0050475C" w:rsidRPr="00DD1B58" w:rsidRDefault="0050475C" w:rsidP="00973FF4">
      <w:pPr>
        <w:pStyle w:val="NumList2"/>
        <w:numPr>
          <w:ilvl w:val="1"/>
          <w:numId w:val="52"/>
        </w:numPr>
        <w:rPr>
          <w:lang w:val="en-US"/>
        </w:rPr>
      </w:pPr>
      <w:r w:rsidRPr="00DD1B58">
        <w:rPr>
          <w:lang w:val="en-US"/>
        </w:rPr>
        <w:t xml:space="preserve">Determine if a fire could lead to a nuclear release (using fire calculations, CFAST modelling, or fire assessor judgement). </w:t>
      </w:r>
    </w:p>
    <w:p w14:paraId="59ABCFD6" w14:textId="3FBCE396" w:rsidR="0050475C" w:rsidRPr="00DD1B58" w:rsidRDefault="0050475C" w:rsidP="00973FF4">
      <w:pPr>
        <w:pStyle w:val="NumList2"/>
        <w:rPr>
          <w:lang w:val="en-US"/>
        </w:rPr>
      </w:pPr>
      <w:r w:rsidRPr="00DD1B58">
        <w:rPr>
          <w:lang w:val="en-US"/>
        </w:rPr>
        <w:t xml:space="preserve">Then determine the associated consequence context of the release (which consequence region is </w:t>
      </w:r>
      <w:r w:rsidR="00C52586" w:rsidRPr="00DD1B58">
        <w:rPr>
          <w:lang w:val="en-US"/>
        </w:rPr>
        <w:t xml:space="preserve">in </w:t>
      </w:r>
      <w:r w:rsidRPr="00DD1B58">
        <w:rPr>
          <w:lang w:val="en-US"/>
        </w:rPr>
        <w:t xml:space="preserve">line with the SAH e.g. DBAA, PSA, LCM, ALARP). </w:t>
      </w:r>
    </w:p>
    <w:p w14:paraId="2F512ADF" w14:textId="51C58108" w:rsidR="0050475C" w:rsidRPr="00DD1B58" w:rsidRDefault="0050475C" w:rsidP="00973FF4">
      <w:pPr>
        <w:pStyle w:val="NumList2"/>
        <w:rPr>
          <w:lang w:val="en-US"/>
        </w:rPr>
      </w:pPr>
      <w:r w:rsidRPr="00DD1B58">
        <w:rPr>
          <w:lang w:val="en-US"/>
        </w:rPr>
        <w:t>Then the fire assessor made a judgment on whether there were suitable and sufficient safeguards in place (using a ‘multi-barriered</w:t>
      </w:r>
      <w:r w:rsidR="00AA3EFE" w:rsidRPr="00DD1B58">
        <w:rPr>
          <w:lang w:val="en-US"/>
        </w:rPr>
        <w:t>’</w:t>
      </w:r>
      <w:r w:rsidRPr="00DD1B58">
        <w:rPr>
          <w:lang w:val="en-US"/>
        </w:rPr>
        <w:t xml:space="preserve"> approach akin to LOPA).</w:t>
      </w:r>
    </w:p>
    <w:p w14:paraId="70599DC3" w14:textId="141CE918" w:rsidR="00A64906" w:rsidRPr="00DD1B58" w:rsidRDefault="0050475C" w:rsidP="00973FF4">
      <w:pPr>
        <w:pStyle w:val="NumList2"/>
        <w:rPr>
          <w:szCs w:val="24"/>
          <w:lang w:val="en-US" w:eastAsia="en-GB"/>
        </w:rPr>
      </w:pPr>
      <w:r w:rsidRPr="00DD1B58">
        <w:rPr>
          <w:lang w:val="en-US"/>
        </w:rPr>
        <w:t>If insufficient measures were identified a qualitative judgement was made on the residual PSA risk (no numbers beyond a calculated IEF in some instances, PSA just qualitatively judged to be intolerable, tolerable or broadly acceptable).</w:t>
      </w:r>
    </w:p>
    <w:p w14:paraId="390631DC" w14:textId="77777777" w:rsidR="00C813BA" w:rsidRPr="00DD1B58" w:rsidRDefault="00C813BA" w:rsidP="00C813BA">
      <w:pPr>
        <w:pStyle w:val="Heading4"/>
        <w:rPr>
          <w:lang w:val="en-US"/>
        </w:rPr>
      </w:pPr>
      <w:r w:rsidRPr="00DD1B58">
        <w:rPr>
          <w:lang w:val="en-US"/>
        </w:rPr>
        <w:t>Key assumptions and methodologies</w:t>
      </w:r>
    </w:p>
    <w:p w14:paraId="2C4F0E00" w14:textId="4DD392DE" w:rsidR="002B19B8" w:rsidRPr="00DD1B58" w:rsidRDefault="002B19B8" w:rsidP="002B19B8">
      <w:pPr>
        <w:rPr>
          <w:lang w:val="en-US"/>
        </w:rPr>
      </w:pPr>
      <w:r w:rsidRPr="00DD1B58">
        <w:rPr>
          <w:lang w:val="en-US"/>
        </w:rPr>
        <w:t>UUK maintains internal nuclear fire assessment guidance within its Safety Case Manual (SCM) and Safety Assessment Handbook (SAH) which, in addition to fire, address hazardous material-radiological interaction, safety function categorisation and classification of safety measures, radiological fault sentencing and simplification of fault assessment, and environmental assessment.</w:t>
      </w:r>
      <w:r w:rsidR="002E78BA" w:rsidRPr="00DD1B58">
        <w:rPr>
          <w:lang w:val="en-US"/>
        </w:rPr>
        <w:t xml:space="preserve"> Th</w:t>
      </w:r>
      <w:r w:rsidR="00824E25" w:rsidRPr="00DD1B58">
        <w:rPr>
          <w:lang w:val="en-US"/>
        </w:rPr>
        <w:t>ese</w:t>
      </w:r>
      <w:r w:rsidR="002E78BA" w:rsidRPr="00DD1B58">
        <w:rPr>
          <w:lang w:val="en-US"/>
        </w:rPr>
        <w:t xml:space="preserve"> company</w:t>
      </w:r>
      <w:r w:rsidRPr="00DD1B58">
        <w:rPr>
          <w:lang w:val="en-US"/>
        </w:rPr>
        <w:t xml:space="preserve"> guidance notes have been informed by a range of wider guidance including ONR SAPs, ONR TAGs, IAEA and WENRA guidance documents.</w:t>
      </w:r>
    </w:p>
    <w:p w14:paraId="6FD8DBE8" w14:textId="77777777" w:rsidR="002B19B8" w:rsidRPr="00DD1B58" w:rsidRDefault="002B19B8" w:rsidP="002B19B8">
      <w:pPr>
        <w:rPr>
          <w:lang w:val="en-US"/>
        </w:rPr>
      </w:pPr>
      <w:r w:rsidRPr="00DD1B58">
        <w:rPr>
          <w:lang w:val="en-US"/>
        </w:rPr>
        <w:t>UUK Nuclear Fire Assessments identify SSCs in line with the following principles:</w:t>
      </w:r>
    </w:p>
    <w:p w14:paraId="6D793F2D" w14:textId="77777777" w:rsidR="002B19B8" w:rsidRPr="00DD1B58" w:rsidRDefault="002B19B8" w:rsidP="00973FF4">
      <w:pPr>
        <w:pStyle w:val="Bulletlist1"/>
        <w:rPr>
          <w:lang w:val="en-US"/>
        </w:rPr>
      </w:pPr>
      <w:r w:rsidRPr="00DD1B58">
        <w:rPr>
          <w:lang w:val="en-US"/>
        </w:rPr>
        <w:t xml:space="preserve">Primary measures against fire propagation or to limit explosion damage; </w:t>
      </w:r>
    </w:p>
    <w:p w14:paraId="5F7990C4" w14:textId="40836939" w:rsidR="00A52816" w:rsidRPr="00DD1B58" w:rsidRDefault="00A52816" w:rsidP="00973FF4">
      <w:pPr>
        <w:pStyle w:val="Bulletlist1"/>
        <w:rPr>
          <w:lang w:val="en-US"/>
        </w:rPr>
      </w:pPr>
      <w:r w:rsidRPr="00DD1B58">
        <w:rPr>
          <w:lang w:val="en-US"/>
        </w:rPr>
        <w:t>Risk reduction measures;</w:t>
      </w:r>
      <w:r w:rsidR="00824E25" w:rsidRPr="00DD1B58">
        <w:rPr>
          <w:lang w:val="en-US"/>
        </w:rPr>
        <w:t xml:space="preserve"> and</w:t>
      </w:r>
    </w:p>
    <w:p w14:paraId="55B38CF0" w14:textId="77777777" w:rsidR="00A52816" w:rsidRPr="00DD1B58" w:rsidRDefault="00A52816" w:rsidP="00973FF4">
      <w:pPr>
        <w:pStyle w:val="Bulletlist1"/>
        <w:rPr>
          <w:lang w:val="en-US"/>
        </w:rPr>
      </w:pPr>
      <w:r w:rsidRPr="00DD1B58">
        <w:rPr>
          <w:lang w:val="en-US"/>
        </w:rPr>
        <w:t>Personnel escape routes, detection and alarms.</w:t>
      </w:r>
    </w:p>
    <w:p w14:paraId="6432B5F1" w14:textId="5996A37A" w:rsidR="00E72AF1" w:rsidRPr="00DD1B58" w:rsidRDefault="00E72AF1" w:rsidP="002B19B8">
      <w:pPr>
        <w:rPr>
          <w:lang w:val="en-US"/>
        </w:rPr>
      </w:pPr>
      <w:r w:rsidRPr="00DD1B58">
        <w:rPr>
          <w:lang w:val="en-US"/>
        </w:rPr>
        <w:t xml:space="preserve">Where </w:t>
      </w:r>
      <w:r w:rsidR="00852D42" w:rsidRPr="00DD1B58">
        <w:rPr>
          <w:lang w:val="en-US"/>
        </w:rPr>
        <w:t>UUK identifies</w:t>
      </w:r>
      <w:r w:rsidRPr="00DD1B58">
        <w:rPr>
          <w:lang w:val="en-US"/>
        </w:rPr>
        <w:t xml:space="preserve"> safety measures as having a significant or principal role in nuclear fire safety,</w:t>
      </w:r>
      <w:r w:rsidR="000165A7" w:rsidRPr="00DD1B58">
        <w:rPr>
          <w:lang w:val="en-US"/>
        </w:rPr>
        <w:t xml:space="preserve"> </w:t>
      </w:r>
      <w:r w:rsidR="00852D42" w:rsidRPr="00DD1B58">
        <w:rPr>
          <w:lang w:val="en-US"/>
        </w:rPr>
        <w:t>it</w:t>
      </w:r>
      <w:r w:rsidRPr="00DD1B58">
        <w:rPr>
          <w:lang w:val="en-US"/>
        </w:rPr>
        <w:t xml:space="preserve"> designate</w:t>
      </w:r>
      <w:r w:rsidR="00852D42" w:rsidRPr="00DD1B58">
        <w:rPr>
          <w:lang w:val="en-US"/>
        </w:rPr>
        <w:t>s</w:t>
      </w:r>
      <w:r w:rsidRPr="00DD1B58">
        <w:rPr>
          <w:lang w:val="en-US"/>
        </w:rPr>
        <w:t xml:space="preserve"> according to their Safety Functional Category as discussed in the UUK</w:t>
      </w:r>
      <w:r w:rsidR="000165A7" w:rsidRPr="00DD1B58">
        <w:rPr>
          <w:lang w:val="en-US"/>
        </w:rPr>
        <w:t xml:space="preserve"> </w:t>
      </w:r>
      <w:r w:rsidRPr="00DD1B58">
        <w:rPr>
          <w:lang w:val="en-US"/>
        </w:rPr>
        <w:t>SAH</w:t>
      </w:r>
      <w:r w:rsidR="002B19B8" w:rsidRPr="00DD1B58">
        <w:rPr>
          <w:lang w:val="en-US"/>
        </w:rPr>
        <w:t xml:space="preserve"> for ‘Designation, Recording and Standards for Safety Measures’. </w:t>
      </w:r>
    </w:p>
    <w:p w14:paraId="087AC7D4" w14:textId="42F25169" w:rsidR="00E72AF1" w:rsidRPr="00DD1B58" w:rsidRDefault="008B2804" w:rsidP="002B19B8">
      <w:pPr>
        <w:rPr>
          <w:lang w:val="en-US"/>
        </w:rPr>
      </w:pPr>
      <w:r w:rsidRPr="00DD1B58">
        <w:rPr>
          <w:lang w:val="en-US"/>
        </w:rPr>
        <w:t xml:space="preserve">UUK determines </w:t>
      </w:r>
      <w:r w:rsidR="00824E25" w:rsidRPr="00DD1B58">
        <w:rPr>
          <w:lang w:val="en-US"/>
        </w:rPr>
        <w:t>f</w:t>
      </w:r>
      <w:r w:rsidR="00E72AF1" w:rsidRPr="00DD1B58">
        <w:rPr>
          <w:lang w:val="en-US"/>
        </w:rPr>
        <w:t xml:space="preserve">ire loadings by </w:t>
      </w:r>
      <w:r w:rsidRPr="00DD1B58">
        <w:rPr>
          <w:lang w:val="en-US"/>
        </w:rPr>
        <w:t>generating</w:t>
      </w:r>
      <w:r w:rsidR="00E72AF1" w:rsidRPr="00DD1B58">
        <w:rPr>
          <w:lang w:val="en-US"/>
        </w:rPr>
        <w:t xml:space="preserve"> list</w:t>
      </w:r>
      <w:r w:rsidR="00824E25" w:rsidRPr="00DD1B58">
        <w:rPr>
          <w:lang w:val="en-US"/>
        </w:rPr>
        <w:t>s</w:t>
      </w:r>
      <w:r w:rsidR="00E72AF1" w:rsidRPr="00DD1B58">
        <w:rPr>
          <w:lang w:val="en-US"/>
        </w:rPr>
        <w:t xml:space="preserve"> of items </w:t>
      </w:r>
      <w:r w:rsidR="00824E25" w:rsidRPr="00DD1B58">
        <w:rPr>
          <w:lang w:val="en-US"/>
        </w:rPr>
        <w:t xml:space="preserve">that </w:t>
      </w:r>
      <w:r w:rsidR="00E72AF1" w:rsidRPr="00DD1B58">
        <w:rPr>
          <w:lang w:val="en-US"/>
        </w:rPr>
        <w:t>are manufactured from or contain</w:t>
      </w:r>
      <w:r w:rsidR="000165A7" w:rsidRPr="00DD1B58">
        <w:rPr>
          <w:lang w:val="en-US"/>
        </w:rPr>
        <w:t xml:space="preserve"> </w:t>
      </w:r>
      <w:r w:rsidR="00E72AF1" w:rsidRPr="00DD1B58">
        <w:rPr>
          <w:lang w:val="en-US"/>
        </w:rPr>
        <w:t>combustible</w:t>
      </w:r>
      <w:r w:rsidR="00824E25" w:rsidRPr="00DD1B58">
        <w:rPr>
          <w:lang w:val="en-US"/>
        </w:rPr>
        <w:t xml:space="preserve"> or </w:t>
      </w:r>
      <w:r w:rsidR="00E72AF1" w:rsidRPr="00DD1B58">
        <w:rPr>
          <w:lang w:val="en-US"/>
        </w:rPr>
        <w:t>flammable materials</w:t>
      </w:r>
      <w:r w:rsidR="00681841" w:rsidRPr="00DD1B58">
        <w:rPr>
          <w:lang w:val="en-US"/>
        </w:rPr>
        <w:t xml:space="preserve">, recording the </w:t>
      </w:r>
      <w:r w:rsidR="00E72AF1" w:rsidRPr="00DD1B58">
        <w:rPr>
          <w:lang w:val="en-US"/>
        </w:rPr>
        <w:t xml:space="preserve">number, </w:t>
      </w:r>
      <w:r w:rsidR="00644F20" w:rsidRPr="00DD1B58">
        <w:rPr>
          <w:lang w:val="en-US"/>
        </w:rPr>
        <w:t>mass</w:t>
      </w:r>
      <w:r w:rsidR="002B19B8" w:rsidRPr="00DD1B58">
        <w:rPr>
          <w:lang w:val="en-US"/>
        </w:rPr>
        <w:t xml:space="preserve"> or volume.</w:t>
      </w:r>
      <w:r w:rsidR="00E72AF1" w:rsidRPr="00DD1B58">
        <w:rPr>
          <w:lang w:val="en-US"/>
        </w:rPr>
        <w:t xml:space="preserve"> </w:t>
      </w:r>
      <w:r w:rsidR="00681841" w:rsidRPr="00DD1B58">
        <w:rPr>
          <w:lang w:val="en-US"/>
        </w:rPr>
        <w:t xml:space="preserve">UUK then uses this </w:t>
      </w:r>
      <w:r w:rsidR="00E72AF1" w:rsidRPr="00DD1B58">
        <w:rPr>
          <w:lang w:val="en-US"/>
        </w:rPr>
        <w:t xml:space="preserve">information to </w:t>
      </w:r>
      <w:r w:rsidR="00681841" w:rsidRPr="00DD1B58">
        <w:rPr>
          <w:lang w:val="en-US"/>
        </w:rPr>
        <w:t xml:space="preserve">calculate a </w:t>
      </w:r>
      <w:r w:rsidR="00E72AF1" w:rsidRPr="00DD1B58">
        <w:rPr>
          <w:lang w:val="en-US"/>
        </w:rPr>
        <w:t xml:space="preserve">combustible load (in MJ). </w:t>
      </w:r>
      <w:r w:rsidR="00681841" w:rsidRPr="00DD1B58">
        <w:rPr>
          <w:lang w:val="en-US"/>
        </w:rPr>
        <w:t>UUK then defines the</w:t>
      </w:r>
      <w:r w:rsidR="00E72AF1" w:rsidRPr="00DD1B58">
        <w:rPr>
          <w:lang w:val="en-US"/>
        </w:rPr>
        <w:t xml:space="preserve"> fire load density (MJ/m</w:t>
      </w:r>
      <w:r w:rsidR="00E72AF1" w:rsidRPr="00DD1B58">
        <w:rPr>
          <w:vertAlign w:val="superscript"/>
          <w:lang w:val="en-US"/>
        </w:rPr>
        <w:t>2</w:t>
      </w:r>
      <w:r w:rsidR="00E72AF1" w:rsidRPr="00DD1B58">
        <w:rPr>
          <w:lang w:val="en-US"/>
        </w:rPr>
        <w:t>) as the</w:t>
      </w:r>
      <w:r w:rsidR="000165A7" w:rsidRPr="00DD1B58">
        <w:rPr>
          <w:lang w:val="en-US"/>
        </w:rPr>
        <w:t xml:space="preserve"> </w:t>
      </w:r>
      <w:r w:rsidR="00E72AF1" w:rsidRPr="00DD1B58">
        <w:rPr>
          <w:lang w:val="en-US"/>
        </w:rPr>
        <w:t>total fire load in the room divided by the floor area</w:t>
      </w:r>
      <w:r w:rsidR="00681841" w:rsidRPr="00DD1B58">
        <w:rPr>
          <w:lang w:val="en-US"/>
        </w:rPr>
        <w:t>, to</w:t>
      </w:r>
      <w:r w:rsidR="00E72AF1" w:rsidRPr="00DD1B58">
        <w:rPr>
          <w:lang w:val="en-US"/>
        </w:rPr>
        <w:t xml:space="preserve"> provide</w:t>
      </w:r>
      <w:r w:rsidR="0068489B" w:rsidRPr="00DD1B58">
        <w:rPr>
          <w:lang w:val="en-US"/>
        </w:rPr>
        <w:t xml:space="preserve"> </w:t>
      </w:r>
      <w:r w:rsidR="00E72AF1" w:rsidRPr="00DD1B58">
        <w:rPr>
          <w:lang w:val="en-US"/>
        </w:rPr>
        <w:t>an indication on the potential</w:t>
      </w:r>
      <w:r w:rsidR="000165A7" w:rsidRPr="00DD1B58">
        <w:rPr>
          <w:lang w:val="en-US"/>
        </w:rPr>
        <w:t xml:space="preserve"> </w:t>
      </w:r>
      <w:r w:rsidR="00E72AF1" w:rsidRPr="00DD1B58">
        <w:rPr>
          <w:lang w:val="en-US"/>
        </w:rPr>
        <w:t>severity of a fire initiating in the room.</w:t>
      </w:r>
      <w:r w:rsidR="002B19B8" w:rsidRPr="00DD1B58">
        <w:rPr>
          <w:lang w:val="en-US"/>
        </w:rPr>
        <w:t xml:space="preserve"> </w:t>
      </w:r>
    </w:p>
    <w:p w14:paraId="6950CB5B" w14:textId="34C320FA" w:rsidR="00E72AF1" w:rsidRPr="00DD1B58" w:rsidRDefault="008B7B5B" w:rsidP="002B19B8">
      <w:pPr>
        <w:rPr>
          <w:lang w:val="en-US"/>
        </w:rPr>
      </w:pPr>
      <w:r w:rsidRPr="00DD1B58">
        <w:rPr>
          <w:lang w:val="en-US"/>
        </w:rPr>
        <w:t>UUK report</w:t>
      </w:r>
      <w:r w:rsidR="007C04F2" w:rsidRPr="00DD1B58">
        <w:rPr>
          <w:lang w:val="en-US"/>
        </w:rPr>
        <w:t>s</w:t>
      </w:r>
      <w:r w:rsidRPr="00DD1B58">
        <w:rPr>
          <w:lang w:val="en-US"/>
        </w:rPr>
        <w:t xml:space="preserve"> that the</w:t>
      </w:r>
      <w:r w:rsidR="00E72AF1" w:rsidRPr="00DD1B58">
        <w:rPr>
          <w:lang w:val="en-US"/>
        </w:rPr>
        <w:t xml:space="preserve"> fire load inventory is maintained during safety case development, and Room Data Sheets aid</w:t>
      </w:r>
      <w:r w:rsidR="00336143" w:rsidRPr="00DD1B58">
        <w:rPr>
          <w:lang w:val="en-US"/>
        </w:rPr>
        <w:t xml:space="preserve"> </w:t>
      </w:r>
      <w:r w:rsidR="00E72AF1" w:rsidRPr="00DD1B58">
        <w:rPr>
          <w:lang w:val="en-US"/>
        </w:rPr>
        <w:t>in the identification of changes in fire loading that may impact the fire</w:t>
      </w:r>
      <w:r w:rsidR="00336143" w:rsidRPr="00DD1B58">
        <w:rPr>
          <w:lang w:val="en-US"/>
        </w:rPr>
        <w:t xml:space="preserve"> </w:t>
      </w:r>
      <w:r w:rsidR="00E72AF1" w:rsidRPr="00DD1B58">
        <w:rPr>
          <w:lang w:val="en-US"/>
        </w:rPr>
        <w:t xml:space="preserve">assessment for nuclear </w:t>
      </w:r>
      <w:r w:rsidR="00F04D1F" w:rsidRPr="00DD1B58">
        <w:rPr>
          <w:lang w:val="en-US"/>
        </w:rPr>
        <w:t xml:space="preserve">or </w:t>
      </w:r>
      <w:r w:rsidR="00E72AF1" w:rsidRPr="00DD1B58">
        <w:rPr>
          <w:lang w:val="en-US"/>
        </w:rPr>
        <w:t>significant non-nuclear materials</w:t>
      </w:r>
      <w:r w:rsidR="00F04D1F" w:rsidRPr="00DD1B58">
        <w:rPr>
          <w:lang w:val="en-US"/>
        </w:rPr>
        <w:t>,</w:t>
      </w:r>
      <w:r w:rsidR="00E72AF1" w:rsidRPr="00DD1B58">
        <w:rPr>
          <w:lang w:val="en-US"/>
        </w:rPr>
        <w:t xml:space="preserve"> or where SSCs may be affected.</w:t>
      </w:r>
      <w:r w:rsidR="00940D2A" w:rsidRPr="00DD1B58">
        <w:rPr>
          <w:lang w:val="en-US"/>
        </w:rPr>
        <w:t xml:space="preserve"> </w:t>
      </w:r>
      <w:r w:rsidR="002B19B8" w:rsidRPr="00DD1B58">
        <w:rPr>
          <w:lang w:val="en-US"/>
        </w:rPr>
        <w:t>The fire load may vary for different plant phases, including construction, commissioning, operations and maintenance</w:t>
      </w:r>
      <w:r w:rsidR="007C3F42" w:rsidRPr="00DD1B58">
        <w:rPr>
          <w:lang w:val="en-US"/>
        </w:rPr>
        <w:t>/</w:t>
      </w:r>
      <w:r w:rsidR="002B19B8" w:rsidRPr="00DD1B58">
        <w:rPr>
          <w:lang w:val="en-US"/>
        </w:rPr>
        <w:t>outages (e.g.</w:t>
      </w:r>
      <w:r w:rsidR="001B0CFD" w:rsidRPr="00DD1B58">
        <w:rPr>
          <w:lang w:val="en-US"/>
        </w:rPr>
        <w:t>,</w:t>
      </w:r>
      <w:r w:rsidR="00E72AF1" w:rsidRPr="00DD1B58">
        <w:rPr>
          <w:lang w:val="en-US"/>
        </w:rPr>
        <w:t xml:space="preserve"> additional ‘transient’ fire loads such as cleaning solvents and hot working equipment</w:t>
      </w:r>
      <w:r w:rsidR="00B03761" w:rsidRPr="00DD1B58">
        <w:rPr>
          <w:lang w:val="en-US"/>
        </w:rPr>
        <w:t xml:space="preserve"> </w:t>
      </w:r>
      <w:r w:rsidR="00E72AF1" w:rsidRPr="00DD1B58">
        <w:rPr>
          <w:lang w:val="en-US"/>
        </w:rPr>
        <w:t>may be required)</w:t>
      </w:r>
      <w:r w:rsidR="001B0CFD" w:rsidRPr="00DD1B58">
        <w:rPr>
          <w:lang w:val="en-US"/>
        </w:rPr>
        <w:t>. A</w:t>
      </w:r>
      <w:r w:rsidR="00E72AF1" w:rsidRPr="00DD1B58">
        <w:rPr>
          <w:lang w:val="en-US"/>
        </w:rPr>
        <w:t>dministrative controls are established to define the fire loading for all plant phases.</w:t>
      </w:r>
    </w:p>
    <w:p w14:paraId="50A3F04F" w14:textId="28370801" w:rsidR="002C054C" w:rsidRPr="00DD1B58" w:rsidRDefault="00BE6341" w:rsidP="00BA27B1">
      <w:pPr>
        <w:rPr>
          <w:lang w:val="en-US"/>
        </w:rPr>
      </w:pPr>
      <w:r w:rsidRPr="00DD1B58">
        <w:rPr>
          <w:lang w:val="en-US"/>
        </w:rPr>
        <w:t>UUK state</w:t>
      </w:r>
      <w:r w:rsidR="00EA7FF8" w:rsidRPr="00DD1B58">
        <w:rPr>
          <w:lang w:val="en-US"/>
        </w:rPr>
        <w:t>s</w:t>
      </w:r>
      <w:r w:rsidRPr="00DD1B58">
        <w:rPr>
          <w:lang w:val="en-US"/>
        </w:rPr>
        <w:t xml:space="preserve"> that the</w:t>
      </w:r>
      <w:r w:rsidR="002B19B8" w:rsidRPr="00DD1B58">
        <w:rPr>
          <w:lang w:val="en-US"/>
        </w:rPr>
        <w:t xml:space="preserve"> Nuclear Fire Assessment is subject to review, at sufficient detail, across the planned safety case review phases covering Short Term, Interim and Long</w:t>
      </w:r>
      <w:r w:rsidR="00C503C8" w:rsidRPr="00DD1B58">
        <w:rPr>
          <w:lang w:val="en-US"/>
        </w:rPr>
        <w:t>-</w:t>
      </w:r>
      <w:r w:rsidR="002B19B8" w:rsidRPr="00DD1B58">
        <w:rPr>
          <w:lang w:val="en-US"/>
        </w:rPr>
        <w:t xml:space="preserve">Term Periodic Review. Examples of administrative controls to </w:t>
      </w:r>
      <w:r w:rsidR="007A2CD2" w:rsidRPr="00DD1B58">
        <w:rPr>
          <w:iCs/>
          <w:lang w:val="en-US"/>
        </w:rPr>
        <w:t>underpin assumptions</w:t>
      </w:r>
      <w:r w:rsidR="002B19B8" w:rsidRPr="00DD1B58">
        <w:rPr>
          <w:iCs/>
          <w:lang w:val="en-US"/>
        </w:rPr>
        <w:t xml:space="preserve"> </w:t>
      </w:r>
      <w:r w:rsidR="00F56533" w:rsidRPr="00DD1B58">
        <w:rPr>
          <w:iCs/>
          <w:lang w:val="en-US"/>
        </w:rPr>
        <w:t xml:space="preserve">related to </w:t>
      </w:r>
      <w:r w:rsidR="002B19B8" w:rsidRPr="00DD1B58">
        <w:rPr>
          <w:lang w:val="en-US"/>
        </w:rPr>
        <w:t xml:space="preserve">fire loading </w:t>
      </w:r>
      <w:r w:rsidRPr="00DD1B58">
        <w:rPr>
          <w:iCs/>
          <w:lang w:val="en-US"/>
        </w:rPr>
        <w:t>w</w:t>
      </w:r>
      <w:r w:rsidR="00C73537" w:rsidRPr="00DD1B58">
        <w:rPr>
          <w:iCs/>
          <w:lang w:val="en-US"/>
        </w:rPr>
        <w:t>h</w:t>
      </w:r>
      <w:r w:rsidRPr="00DD1B58">
        <w:rPr>
          <w:iCs/>
          <w:lang w:val="en-US"/>
        </w:rPr>
        <w:t>ere</w:t>
      </w:r>
      <w:r w:rsidR="002B19B8" w:rsidRPr="00DD1B58">
        <w:rPr>
          <w:lang w:val="en-US"/>
        </w:rPr>
        <w:t xml:space="preserve"> routine inspections</w:t>
      </w:r>
      <w:r w:rsidR="002618A2" w:rsidRPr="00DD1B58">
        <w:rPr>
          <w:iCs/>
          <w:lang w:val="en-US"/>
        </w:rPr>
        <w:t>,</w:t>
      </w:r>
      <w:r w:rsidR="00C641E6" w:rsidRPr="00DD1B58">
        <w:rPr>
          <w:iCs/>
          <w:lang w:val="en-US"/>
        </w:rPr>
        <w:t xml:space="preserve"> which are</w:t>
      </w:r>
      <w:r w:rsidR="002618A2" w:rsidRPr="00DD1B58">
        <w:rPr>
          <w:iCs/>
          <w:lang w:val="en-US"/>
        </w:rPr>
        <w:t xml:space="preserve"> used</w:t>
      </w:r>
      <w:r w:rsidR="002B19B8" w:rsidRPr="00DD1B58">
        <w:rPr>
          <w:lang w:val="en-US"/>
        </w:rPr>
        <w:t xml:space="preserve"> to ensure good housekeeping is maintained</w:t>
      </w:r>
      <w:r w:rsidR="001B0CFD" w:rsidRPr="00DD1B58">
        <w:rPr>
          <w:lang w:val="en-US"/>
        </w:rPr>
        <w:t>,</w:t>
      </w:r>
      <w:r w:rsidR="002B19B8" w:rsidRPr="00DD1B58">
        <w:rPr>
          <w:lang w:val="en-US"/>
        </w:rPr>
        <w:t xml:space="preserve"> and restricted vehicle access.</w:t>
      </w:r>
      <w:r w:rsidR="00940D2A" w:rsidRPr="00DD1B58">
        <w:rPr>
          <w:lang w:val="en-US"/>
        </w:rPr>
        <w:t xml:space="preserve"> </w:t>
      </w:r>
      <w:r w:rsidR="002B19B8" w:rsidRPr="00DD1B58">
        <w:rPr>
          <w:lang w:val="en-US"/>
        </w:rPr>
        <w:t xml:space="preserve">The </w:t>
      </w:r>
      <w:r w:rsidR="000A32E5" w:rsidRPr="00DD1B58">
        <w:rPr>
          <w:lang w:val="en-US"/>
        </w:rPr>
        <w:t xml:space="preserve">UUK </w:t>
      </w:r>
      <w:r w:rsidR="002B19B8" w:rsidRPr="00DD1B58">
        <w:rPr>
          <w:lang w:val="en-US"/>
        </w:rPr>
        <w:t xml:space="preserve">nuclear fire </w:t>
      </w:r>
      <w:r w:rsidR="00AC7891" w:rsidRPr="00DD1B58">
        <w:rPr>
          <w:lang w:val="en-US"/>
        </w:rPr>
        <w:t>Hazard Analysis (</w:t>
      </w:r>
      <w:r w:rsidR="002B19B8" w:rsidRPr="00DD1B58">
        <w:rPr>
          <w:lang w:val="en-US"/>
        </w:rPr>
        <w:t>HAZAN</w:t>
      </w:r>
      <w:r w:rsidR="00AC7891" w:rsidRPr="00DD1B58">
        <w:rPr>
          <w:lang w:val="en-US"/>
        </w:rPr>
        <w:t>)</w:t>
      </w:r>
      <w:r w:rsidR="002B19B8" w:rsidRPr="00DD1B58">
        <w:rPr>
          <w:lang w:val="en-US"/>
        </w:rPr>
        <w:t xml:space="preserve"> modelling section lists </w:t>
      </w:r>
      <w:r w:rsidR="009A4757" w:rsidRPr="00DD1B58">
        <w:rPr>
          <w:iCs/>
          <w:lang w:val="en-US"/>
        </w:rPr>
        <w:t xml:space="preserve">three </w:t>
      </w:r>
      <w:r w:rsidR="002B19B8" w:rsidRPr="00DD1B58">
        <w:rPr>
          <w:lang w:val="en-US"/>
        </w:rPr>
        <w:t xml:space="preserve">potential </w:t>
      </w:r>
      <w:r w:rsidR="009A4757" w:rsidRPr="00DD1B58">
        <w:rPr>
          <w:iCs/>
          <w:lang w:val="en-US"/>
        </w:rPr>
        <w:t>methodologies</w:t>
      </w:r>
      <w:r w:rsidR="00B75BD4" w:rsidRPr="00DD1B58">
        <w:rPr>
          <w:lang w:val="en-US"/>
        </w:rPr>
        <w:t>:</w:t>
      </w:r>
      <w:r w:rsidR="002B19B8" w:rsidRPr="00DD1B58">
        <w:rPr>
          <w:lang w:val="en-US"/>
        </w:rPr>
        <w:t xml:space="preserve"> </w:t>
      </w:r>
      <w:r w:rsidR="009A4757" w:rsidRPr="00DD1B58">
        <w:rPr>
          <w:iCs/>
          <w:lang w:val="en-US"/>
        </w:rPr>
        <w:t xml:space="preserve">algebraic </w:t>
      </w:r>
      <w:r w:rsidR="002B19B8" w:rsidRPr="00DD1B58">
        <w:rPr>
          <w:lang w:val="en-US"/>
        </w:rPr>
        <w:t xml:space="preserve">models (empirical correlations), </w:t>
      </w:r>
      <w:r w:rsidR="009A4757" w:rsidRPr="00DD1B58">
        <w:rPr>
          <w:iCs/>
          <w:lang w:val="en-US"/>
        </w:rPr>
        <w:t xml:space="preserve">zone </w:t>
      </w:r>
      <w:r w:rsidR="002B19B8" w:rsidRPr="00DD1B58">
        <w:rPr>
          <w:lang w:val="en-US"/>
        </w:rPr>
        <w:t>model (CFAST) and CFD models.</w:t>
      </w:r>
      <w:r w:rsidR="00940D2A" w:rsidRPr="00DD1B58">
        <w:rPr>
          <w:lang w:val="en-US"/>
        </w:rPr>
        <w:t xml:space="preserve"> </w:t>
      </w:r>
      <w:r w:rsidR="002B19B8" w:rsidRPr="00DD1B58">
        <w:rPr>
          <w:lang w:val="en-US"/>
        </w:rPr>
        <w:t xml:space="preserve">It then </w:t>
      </w:r>
      <w:r w:rsidR="009A4757" w:rsidRPr="00DD1B58">
        <w:rPr>
          <w:iCs/>
          <w:lang w:val="en-US"/>
        </w:rPr>
        <w:t>states</w:t>
      </w:r>
      <w:r w:rsidR="002B19B8" w:rsidRPr="00DD1B58">
        <w:rPr>
          <w:lang w:val="en-US"/>
        </w:rPr>
        <w:t xml:space="preserve"> that only the first two have been used, supported by SQEP judgement if no modelling </w:t>
      </w:r>
      <w:r w:rsidR="00EE71AE" w:rsidRPr="00DD1B58">
        <w:rPr>
          <w:iCs/>
          <w:lang w:val="en-US"/>
        </w:rPr>
        <w:t xml:space="preserve">is </w:t>
      </w:r>
      <w:r w:rsidR="002B19B8" w:rsidRPr="00DD1B58">
        <w:rPr>
          <w:lang w:val="en-US"/>
        </w:rPr>
        <w:t>undertaken.</w:t>
      </w:r>
    </w:p>
    <w:p w14:paraId="07854FC6" w14:textId="21846C69" w:rsidR="00C813BA" w:rsidRPr="00DD1B58" w:rsidRDefault="00C813BA" w:rsidP="00C813BA">
      <w:pPr>
        <w:pStyle w:val="Heading4"/>
        <w:rPr>
          <w:lang w:val="en-US"/>
        </w:rPr>
      </w:pPr>
      <w:r w:rsidRPr="00DD1B58">
        <w:rPr>
          <w:lang w:val="en-US"/>
        </w:rPr>
        <w:t>Fire phenomena analyses: overview of models, data and consequences</w:t>
      </w:r>
    </w:p>
    <w:p w14:paraId="205205AB" w14:textId="27BCC23F" w:rsidR="00D736B8" w:rsidRPr="00DD1B58" w:rsidRDefault="000F2C66" w:rsidP="00095221">
      <w:pPr>
        <w:rPr>
          <w:lang w:val="en-US"/>
        </w:rPr>
      </w:pPr>
      <w:r w:rsidRPr="00DD1B58">
        <w:rPr>
          <w:lang w:val="en-US"/>
        </w:rPr>
        <w:t>UUK</w:t>
      </w:r>
      <w:r w:rsidR="001D6B8A" w:rsidRPr="00DD1B58">
        <w:rPr>
          <w:lang w:val="en-US"/>
        </w:rPr>
        <w:t xml:space="preserve"> state</w:t>
      </w:r>
      <w:r w:rsidR="00EA7FF8" w:rsidRPr="00DD1B58">
        <w:rPr>
          <w:lang w:val="en-US"/>
        </w:rPr>
        <w:t>s</w:t>
      </w:r>
      <w:r w:rsidR="001D6B8A" w:rsidRPr="00DD1B58">
        <w:rPr>
          <w:lang w:val="en-US"/>
        </w:rPr>
        <w:t xml:space="preserve"> that</w:t>
      </w:r>
      <w:r w:rsidR="00AB0359" w:rsidRPr="00DD1B58">
        <w:rPr>
          <w:lang w:val="en-US"/>
        </w:rPr>
        <w:t xml:space="preserve"> </w:t>
      </w:r>
      <w:r w:rsidRPr="00DD1B58">
        <w:rPr>
          <w:lang w:val="en-US"/>
        </w:rPr>
        <w:t xml:space="preserve">deterministic fire analysis is undertaken in accordance with </w:t>
      </w:r>
      <w:r w:rsidR="001D6B8A" w:rsidRPr="00DD1B58">
        <w:rPr>
          <w:lang w:val="en-US"/>
        </w:rPr>
        <w:t xml:space="preserve">its </w:t>
      </w:r>
      <w:r w:rsidRPr="00DD1B58">
        <w:rPr>
          <w:lang w:val="en-US"/>
        </w:rPr>
        <w:t>SAH guidance for ‘Fire, Explosion</w:t>
      </w:r>
      <w:r w:rsidR="00AB0359" w:rsidRPr="00DD1B58">
        <w:rPr>
          <w:lang w:val="en-US"/>
        </w:rPr>
        <w:t xml:space="preserve"> </w:t>
      </w:r>
      <w:r w:rsidRPr="00DD1B58">
        <w:rPr>
          <w:lang w:val="en-US"/>
        </w:rPr>
        <w:t>and Internal Hazards Assessment’.</w:t>
      </w:r>
      <w:r w:rsidR="00095221" w:rsidRPr="00DD1B58">
        <w:rPr>
          <w:lang w:val="en-US"/>
        </w:rPr>
        <w:t xml:space="preserve"> </w:t>
      </w:r>
      <w:r w:rsidR="001D6B8A" w:rsidRPr="00DD1B58">
        <w:rPr>
          <w:lang w:val="en-US"/>
        </w:rPr>
        <w:t>UUK also state</w:t>
      </w:r>
      <w:r w:rsidR="00EA7FF8" w:rsidRPr="00DD1B58">
        <w:rPr>
          <w:lang w:val="en-US"/>
        </w:rPr>
        <w:t>s</w:t>
      </w:r>
      <w:r w:rsidR="001D6B8A" w:rsidRPr="00DD1B58">
        <w:rPr>
          <w:lang w:val="en-US"/>
        </w:rPr>
        <w:t xml:space="preserve"> that during the assessment, a number of different effects must be considered and dealt with, in particular the potential for more than one system to be affected</w:t>
      </w:r>
      <w:r w:rsidR="00C76A14" w:rsidRPr="00DD1B58">
        <w:rPr>
          <w:lang w:val="en-US"/>
        </w:rPr>
        <w:t>,</w:t>
      </w:r>
      <w:r w:rsidR="001D6B8A" w:rsidRPr="00DD1B58">
        <w:rPr>
          <w:lang w:val="en-US"/>
        </w:rPr>
        <w:t xml:space="preserve"> and the focus is primarily on the damage to nuclear and hazardous material inventory that could result from a fire or explosion. </w:t>
      </w:r>
    </w:p>
    <w:p w14:paraId="05B04771" w14:textId="31EA7C02" w:rsidR="000F2C66" w:rsidRPr="00DD1B58" w:rsidRDefault="001D6B8A" w:rsidP="00095221">
      <w:pPr>
        <w:rPr>
          <w:lang w:val="en-US"/>
        </w:rPr>
      </w:pPr>
      <w:r w:rsidRPr="00DD1B58">
        <w:rPr>
          <w:lang w:val="en-US"/>
        </w:rPr>
        <w:t>UUK considers that as part of its</w:t>
      </w:r>
      <w:r w:rsidR="000F2C66" w:rsidRPr="00DD1B58">
        <w:rPr>
          <w:lang w:val="en-US"/>
        </w:rPr>
        <w:t xml:space="preserve"> deterministic assessment, fire modelling is likely to be employed to understand the fault</w:t>
      </w:r>
      <w:r w:rsidR="00D736B8" w:rsidRPr="00DD1B58">
        <w:rPr>
          <w:lang w:val="en-US"/>
        </w:rPr>
        <w:t xml:space="preserve"> </w:t>
      </w:r>
      <w:r w:rsidR="000F2C66" w:rsidRPr="00DD1B58">
        <w:rPr>
          <w:lang w:val="en-US"/>
        </w:rPr>
        <w:t>progression.</w:t>
      </w:r>
      <w:r w:rsidR="00940D2A" w:rsidRPr="00DD1B58">
        <w:rPr>
          <w:lang w:val="en-US"/>
        </w:rPr>
        <w:t xml:space="preserve"> </w:t>
      </w:r>
      <w:r w:rsidRPr="00DD1B58">
        <w:rPr>
          <w:lang w:val="en-US"/>
        </w:rPr>
        <w:t>It also states that f</w:t>
      </w:r>
      <w:r w:rsidR="00095221" w:rsidRPr="00DD1B58">
        <w:rPr>
          <w:lang w:val="en-US"/>
        </w:rPr>
        <w:t xml:space="preserve">ire modelling tools </w:t>
      </w:r>
      <w:r w:rsidRPr="00DD1B58">
        <w:rPr>
          <w:lang w:val="en-US"/>
        </w:rPr>
        <w:t xml:space="preserve">can </w:t>
      </w:r>
      <w:r w:rsidR="00095221" w:rsidRPr="00DD1B58">
        <w:rPr>
          <w:lang w:val="en-US"/>
        </w:rPr>
        <w:t>vary across assessments but are likely to involve algebraic models (empirical correlations), zone models or Computational Fluid Dynamics (CFD).</w:t>
      </w:r>
      <w:r w:rsidR="00940D2A" w:rsidRPr="00DD1B58">
        <w:rPr>
          <w:lang w:val="en-US"/>
        </w:rPr>
        <w:t xml:space="preserve"> </w:t>
      </w:r>
      <w:r w:rsidRPr="00DD1B58">
        <w:rPr>
          <w:lang w:val="en-US"/>
        </w:rPr>
        <w:t>UUK state</w:t>
      </w:r>
      <w:r w:rsidR="00EA7FF8" w:rsidRPr="00DD1B58">
        <w:rPr>
          <w:lang w:val="en-US"/>
        </w:rPr>
        <w:t>s</w:t>
      </w:r>
      <w:r w:rsidRPr="00DD1B58">
        <w:rPr>
          <w:lang w:val="en-US"/>
        </w:rPr>
        <w:t xml:space="preserve"> that the</w:t>
      </w:r>
      <w:r w:rsidR="00095221" w:rsidRPr="00DD1B58">
        <w:rPr>
          <w:lang w:val="en-US"/>
        </w:rPr>
        <w:t xml:space="preserve"> tool selected and the depth of modelling employed </w:t>
      </w:r>
      <w:r w:rsidRPr="00DD1B58">
        <w:rPr>
          <w:lang w:val="en-US"/>
        </w:rPr>
        <w:t>takes</w:t>
      </w:r>
      <w:r w:rsidR="00095221" w:rsidRPr="00DD1B58">
        <w:rPr>
          <w:lang w:val="en-US"/>
        </w:rPr>
        <w:t xml:space="preserve"> </w:t>
      </w:r>
      <w:r w:rsidRPr="00DD1B58">
        <w:rPr>
          <w:lang w:val="en-US"/>
        </w:rPr>
        <w:t xml:space="preserve">cognisance </w:t>
      </w:r>
      <w:r w:rsidR="00095221" w:rsidRPr="00DD1B58">
        <w:rPr>
          <w:lang w:val="en-US"/>
        </w:rPr>
        <w:t>of the hazard potential of the relevant fault and its consequences.</w:t>
      </w:r>
    </w:p>
    <w:p w14:paraId="56B1771E" w14:textId="0093C865" w:rsidR="00095221" w:rsidRPr="00DD1B58" w:rsidRDefault="0097573F" w:rsidP="00095221">
      <w:pPr>
        <w:rPr>
          <w:lang w:val="en-US"/>
        </w:rPr>
      </w:pPr>
      <w:r w:rsidRPr="00DD1B58">
        <w:rPr>
          <w:lang w:val="en-US"/>
        </w:rPr>
        <w:t>UUK recognise</w:t>
      </w:r>
      <w:r w:rsidR="0032102E" w:rsidRPr="00DD1B58">
        <w:rPr>
          <w:lang w:val="en-US"/>
        </w:rPr>
        <w:t>s</w:t>
      </w:r>
      <w:r w:rsidRPr="00DD1B58">
        <w:rPr>
          <w:lang w:val="en-US"/>
        </w:rPr>
        <w:t xml:space="preserve"> that the</w:t>
      </w:r>
      <w:r w:rsidR="00095221" w:rsidRPr="00DD1B58">
        <w:rPr>
          <w:lang w:val="en-US"/>
        </w:rPr>
        <w:t xml:space="preserve"> material data </w:t>
      </w:r>
      <w:r w:rsidRPr="00DD1B58">
        <w:rPr>
          <w:lang w:val="en-US"/>
        </w:rPr>
        <w:t xml:space="preserve">typically </w:t>
      </w:r>
      <w:r w:rsidR="00095221" w:rsidRPr="00DD1B58">
        <w:rPr>
          <w:lang w:val="en-US"/>
        </w:rPr>
        <w:t xml:space="preserve">utilised </w:t>
      </w:r>
      <w:r w:rsidRPr="00DD1B58">
        <w:rPr>
          <w:lang w:val="en-US"/>
        </w:rPr>
        <w:t xml:space="preserve">in </w:t>
      </w:r>
      <w:r w:rsidR="00095221" w:rsidRPr="00DD1B58">
        <w:rPr>
          <w:lang w:val="en-US"/>
        </w:rPr>
        <w:t xml:space="preserve">fire modelling </w:t>
      </w:r>
      <w:r w:rsidR="000D360F" w:rsidRPr="00DD1B58">
        <w:rPr>
          <w:lang w:val="en-US"/>
        </w:rPr>
        <w:t xml:space="preserve">would </w:t>
      </w:r>
      <w:r w:rsidR="00095221" w:rsidRPr="00DD1B58">
        <w:rPr>
          <w:lang w:val="en-US"/>
        </w:rPr>
        <w:t>be generic unless there are specific conditions or considerations which require specific site</w:t>
      </w:r>
      <w:r w:rsidR="000D360F" w:rsidRPr="00DD1B58">
        <w:rPr>
          <w:lang w:val="en-US"/>
        </w:rPr>
        <w:t>-</w:t>
      </w:r>
      <w:r w:rsidR="00095221" w:rsidRPr="00DD1B58">
        <w:rPr>
          <w:lang w:val="en-US"/>
        </w:rPr>
        <w:t>based data to be used</w:t>
      </w:r>
      <w:r w:rsidR="000A03CC" w:rsidRPr="00DD1B58">
        <w:rPr>
          <w:lang w:val="en-US"/>
        </w:rPr>
        <w:t>.</w:t>
      </w:r>
      <w:r w:rsidR="00095221" w:rsidRPr="00DD1B58">
        <w:rPr>
          <w:lang w:val="en-US"/>
        </w:rPr>
        <w:t xml:space="preserve"> </w:t>
      </w:r>
      <w:r w:rsidR="000A03CC" w:rsidRPr="00DD1B58">
        <w:rPr>
          <w:lang w:val="en-US"/>
        </w:rPr>
        <w:t>A</w:t>
      </w:r>
      <w:r w:rsidR="00095221" w:rsidRPr="00DD1B58">
        <w:rPr>
          <w:lang w:val="en-US"/>
        </w:rPr>
        <w:t xml:space="preserve">lthough all data used must be </w:t>
      </w:r>
      <w:r w:rsidR="000D360F" w:rsidRPr="00DD1B58">
        <w:rPr>
          <w:lang w:val="en-US"/>
        </w:rPr>
        <w:t xml:space="preserve">supported </w:t>
      </w:r>
      <w:r w:rsidR="00095221" w:rsidRPr="00DD1B58">
        <w:rPr>
          <w:lang w:val="en-US"/>
        </w:rPr>
        <w:t>as deterministic</w:t>
      </w:r>
      <w:r w:rsidR="000A03CC" w:rsidRPr="00DD1B58">
        <w:rPr>
          <w:lang w:val="en-US"/>
        </w:rPr>
        <w:t>,</w:t>
      </w:r>
      <w:r w:rsidR="00095221" w:rsidRPr="00DD1B58">
        <w:rPr>
          <w:lang w:val="en-US"/>
        </w:rPr>
        <w:t xml:space="preserve"> assessments are intended to be conservative and bounding.</w:t>
      </w:r>
      <w:r w:rsidR="00940D2A" w:rsidRPr="00DD1B58">
        <w:rPr>
          <w:lang w:val="en-US"/>
        </w:rPr>
        <w:t xml:space="preserve"> </w:t>
      </w:r>
      <w:r w:rsidR="00D56013" w:rsidRPr="00DD1B58">
        <w:rPr>
          <w:lang w:val="en-US"/>
        </w:rPr>
        <w:t>UUK state</w:t>
      </w:r>
      <w:r w:rsidR="00EA7FF8" w:rsidRPr="00DD1B58">
        <w:rPr>
          <w:lang w:val="en-US"/>
        </w:rPr>
        <w:t>s</w:t>
      </w:r>
      <w:r w:rsidR="00D56013" w:rsidRPr="00DD1B58">
        <w:rPr>
          <w:lang w:val="en-US"/>
        </w:rPr>
        <w:t xml:space="preserve"> that, w</w:t>
      </w:r>
      <w:r w:rsidR="00095221" w:rsidRPr="00DD1B58">
        <w:rPr>
          <w:lang w:val="en-US"/>
        </w:rPr>
        <w:t>here appropriate, sensitivity analysis may be used to examine an</w:t>
      </w:r>
      <w:r w:rsidR="000A03CC" w:rsidRPr="00DD1B58">
        <w:rPr>
          <w:lang w:val="en-US"/>
        </w:rPr>
        <w:t>y</w:t>
      </w:r>
      <w:r w:rsidR="00095221" w:rsidRPr="00DD1B58">
        <w:rPr>
          <w:lang w:val="en-US"/>
        </w:rPr>
        <w:t xml:space="preserve"> specific key criteria or conclusions.</w:t>
      </w:r>
      <w:r w:rsidR="00940D2A" w:rsidRPr="00DD1B58">
        <w:rPr>
          <w:lang w:val="en-US"/>
        </w:rPr>
        <w:t xml:space="preserve"> </w:t>
      </w:r>
    </w:p>
    <w:p w14:paraId="62EE28DF" w14:textId="15D4C3B2" w:rsidR="00095221" w:rsidRPr="00DD1B58" w:rsidRDefault="00D56013" w:rsidP="00095221">
      <w:pPr>
        <w:rPr>
          <w:lang w:val="en-US"/>
        </w:rPr>
      </w:pPr>
      <w:r w:rsidRPr="00DD1B58">
        <w:rPr>
          <w:lang w:val="en-US"/>
        </w:rPr>
        <w:t>Finally, UUK note</w:t>
      </w:r>
      <w:r w:rsidR="00EA7FF8" w:rsidRPr="00DD1B58">
        <w:rPr>
          <w:lang w:val="en-US"/>
        </w:rPr>
        <w:t>s</w:t>
      </w:r>
      <w:r w:rsidRPr="00DD1B58">
        <w:rPr>
          <w:lang w:val="en-US"/>
        </w:rPr>
        <w:t xml:space="preserve"> that,</w:t>
      </w:r>
      <w:r w:rsidR="00095221" w:rsidRPr="00DD1B58">
        <w:rPr>
          <w:lang w:val="en-US"/>
        </w:rPr>
        <w:t xml:space="preserve"> once the fire model has been developed, fire assessors work in conjunction with radiological assessors to determine the resultant radiological and hazardous material consequences using various hazard assessment consequence models such as constant concentration, time</w:t>
      </w:r>
      <w:r w:rsidR="000A03CC" w:rsidRPr="00DD1B58">
        <w:rPr>
          <w:lang w:val="en-US"/>
        </w:rPr>
        <w:t>-</w:t>
      </w:r>
      <w:r w:rsidR="00095221" w:rsidRPr="00DD1B58">
        <w:rPr>
          <w:lang w:val="en-US"/>
        </w:rPr>
        <w:t>varying concentrations or gaussian plume models</w:t>
      </w:r>
      <w:r w:rsidR="00920C93" w:rsidRPr="00DD1B58">
        <w:rPr>
          <w:lang w:val="en-US"/>
        </w:rPr>
        <w:t xml:space="preserve">, taking due </w:t>
      </w:r>
      <w:r w:rsidR="00095221" w:rsidRPr="00DD1B58">
        <w:rPr>
          <w:lang w:val="en-US"/>
        </w:rPr>
        <w:t>account of the potential for inventories to be pressurised or changing state due to the impact of fire.</w:t>
      </w:r>
      <w:r w:rsidR="00940D2A" w:rsidRPr="00DD1B58">
        <w:rPr>
          <w:lang w:val="en-US"/>
        </w:rPr>
        <w:t xml:space="preserve"> </w:t>
      </w:r>
    </w:p>
    <w:p w14:paraId="46375CE6" w14:textId="668BBAD3" w:rsidR="00C813BA" w:rsidRPr="00DD1B58" w:rsidRDefault="00C813BA" w:rsidP="00C813BA">
      <w:pPr>
        <w:pStyle w:val="Heading4"/>
        <w:rPr>
          <w:lang w:val="en-US"/>
        </w:rPr>
      </w:pPr>
      <w:r w:rsidRPr="00DD1B58">
        <w:rPr>
          <w:lang w:val="en-US"/>
        </w:rPr>
        <w:t>Main results/dominant events (licensee</w:t>
      </w:r>
      <w:r w:rsidR="003C0FB2" w:rsidRPr="00DD1B58">
        <w:rPr>
          <w:lang w:val="en-US"/>
        </w:rPr>
        <w:t>’</w:t>
      </w:r>
      <w:r w:rsidRPr="00DD1B58">
        <w:rPr>
          <w:lang w:val="en-US"/>
        </w:rPr>
        <w:t>s experience)</w:t>
      </w:r>
    </w:p>
    <w:p w14:paraId="54F3CE67" w14:textId="3CD4E4AC" w:rsidR="00FD28BD" w:rsidRPr="00DD1B58" w:rsidRDefault="00FD28BD" w:rsidP="00FD28BD">
      <w:pPr>
        <w:rPr>
          <w:lang w:val="en-US"/>
        </w:rPr>
      </w:pPr>
      <w:r w:rsidRPr="00DD1B58">
        <w:rPr>
          <w:lang w:val="en-US"/>
        </w:rPr>
        <w:t xml:space="preserve">UUK </w:t>
      </w:r>
      <w:r w:rsidR="008B61E4" w:rsidRPr="00DD1B58">
        <w:rPr>
          <w:lang w:val="en-US"/>
        </w:rPr>
        <w:t>report</w:t>
      </w:r>
      <w:r w:rsidR="00213192" w:rsidRPr="00DD1B58">
        <w:rPr>
          <w:lang w:val="en-US"/>
        </w:rPr>
        <w:t>s</w:t>
      </w:r>
      <w:r w:rsidR="008B61E4" w:rsidRPr="00DD1B58">
        <w:rPr>
          <w:lang w:val="en-US"/>
        </w:rPr>
        <w:t xml:space="preserve"> that it</w:t>
      </w:r>
      <w:r w:rsidRPr="00DD1B58">
        <w:rPr>
          <w:lang w:val="en-US"/>
        </w:rPr>
        <w:t xml:space="preserve"> qualitatively </w:t>
      </w:r>
      <w:r w:rsidR="008B61E4" w:rsidRPr="00DD1B58">
        <w:rPr>
          <w:lang w:val="en-US"/>
        </w:rPr>
        <w:t xml:space="preserve">applied </w:t>
      </w:r>
      <w:r w:rsidRPr="00DD1B58">
        <w:rPr>
          <w:lang w:val="en-US"/>
        </w:rPr>
        <w:t xml:space="preserve">probabilistic safety analysis to the recent updates to safety cases. For the most significant hazard this involved </w:t>
      </w:r>
      <w:r w:rsidR="009C3528" w:rsidRPr="00DD1B58">
        <w:rPr>
          <w:lang w:val="en-US"/>
        </w:rPr>
        <w:t xml:space="preserve">reviewing </w:t>
      </w:r>
      <w:r w:rsidRPr="00DD1B58">
        <w:rPr>
          <w:lang w:val="en-US"/>
        </w:rPr>
        <w:t xml:space="preserve">the suitability and sufficiency of the lines of protection available against the hazard and a qualitative estimate of the residual risk position. </w:t>
      </w:r>
    </w:p>
    <w:p w14:paraId="28422002" w14:textId="4E5569C2" w:rsidR="00FD28BD" w:rsidRPr="00DD1B58" w:rsidRDefault="00A268D0" w:rsidP="00FD28BD">
      <w:pPr>
        <w:rPr>
          <w:lang w:val="en-US"/>
        </w:rPr>
      </w:pPr>
      <w:r w:rsidRPr="00DD1B58">
        <w:rPr>
          <w:lang w:val="en-US"/>
        </w:rPr>
        <w:t xml:space="preserve">UUK </w:t>
      </w:r>
      <w:r w:rsidR="00FD28BD" w:rsidRPr="00DD1B58">
        <w:rPr>
          <w:lang w:val="en-US"/>
        </w:rPr>
        <w:t>predominantly identified</w:t>
      </w:r>
      <w:r w:rsidR="003C0FB2" w:rsidRPr="00DD1B58">
        <w:rPr>
          <w:lang w:val="en-US"/>
        </w:rPr>
        <w:t xml:space="preserve"> fire sources o</w:t>
      </w:r>
      <w:r w:rsidR="00FD28BD" w:rsidRPr="00DD1B58">
        <w:rPr>
          <w:lang w:val="en-US"/>
        </w:rPr>
        <w:t>f a conventional nature</w:t>
      </w:r>
      <w:r w:rsidR="006A7BB3" w:rsidRPr="00DD1B58">
        <w:rPr>
          <w:lang w:val="en-US"/>
        </w:rPr>
        <w:t>,</w:t>
      </w:r>
      <w:r w:rsidR="00FD28BD" w:rsidRPr="00DD1B58">
        <w:rPr>
          <w:lang w:val="en-US"/>
        </w:rPr>
        <w:t xml:space="preserve"> with the potential for nuclear fire risk subsequently generated from key plant or equipment threatened by radiative and conductive heat transfer.</w:t>
      </w:r>
      <w:r w:rsidR="0011282E" w:rsidRPr="00DD1B58">
        <w:rPr>
          <w:lang w:val="en-US"/>
        </w:rPr>
        <w:t xml:space="preserve"> The dominant fire hazards within UUK occur where there is significant combustible load in proximity to nuclear inventories. UUK </w:t>
      </w:r>
      <w:r w:rsidR="006D798B" w:rsidRPr="00DD1B58">
        <w:rPr>
          <w:lang w:val="en-US"/>
        </w:rPr>
        <w:t>reports that</w:t>
      </w:r>
      <w:r w:rsidR="0011282E" w:rsidRPr="00DD1B58">
        <w:rPr>
          <w:lang w:val="en-US"/>
        </w:rPr>
        <w:t xml:space="preserve"> this does not typically relate to transient combustible loads or presence of combustible waste material</w:t>
      </w:r>
      <w:r w:rsidR="006A7BB3" w:rsidRPr="00DD1B58">
        <w:rPr>
          <w:lang w:val="en-US"/>
        </w:rPr>
        <w:t>,</w:t>
      </w:r>
      <w:r w:rsidR="0011282E" w:rsidRPr="00DD1B58">
        <w:rPr>
          <w:lang w:val="en-US"/>
        </w:rPr>
        <w:t xml:space="preserve"> but rather permanent combustible loads within the facility such as potentially combustible insulated core panels both internal and external to building structures (learning from </w:t>
      </w:r>
      <w:r w:rsidR="006A7BB3" w:rsidRPr="00DD1B58">
        <w:rPr>
          <w:lang w:val="en-US"/>
        </w:rPr>
        <w:t xml:space="preserve">the </w:t>
      </w:r>
      <w:r w:rsidR="0011282E" w:rsidRPr="00DD1B58">
        <w:rPr>
          <w:lang w:val="en-US"/>
        </w:rPr>
        <w:t>outcome of</w:t>
      </w:r>
      <w:r w:rsidR="006A7BB3" w:rsidRPr="00DD1B58">
        <w:rPr>
          <w:lang w:val="en-US"/>
        </w:rPr>
        <w:t xml:space="preserve"> the</w:t>
      </w:r>
      <w:r w:rsidR="0011282E" w:rsidRPr="00DD1B58">
        <w:rPr>
          <w:lang w:val="en-US"/>
        </w:rPr>
        <w:t xml:space="preserve"> UK Grenfell Fire Inquiry and subsequent investigation reports).</w:t>
      </w:r>
    </w:p>
    <w:p w14:paraId="0BD2B75C" w14:textId="763A5804" w:rsidR="0009797D" w:rsidRPr="00DD1B58" w:rsidRDefault="003C0FB2" w:rsidP="00FD28BD">
      <w:pPr>
        <w:rPr>
          <w:lang w:val="en-US"/>
        </w:rPr>
      </w:pPr>
      <w:r w:rsidRPr="00DD1B58">
        <w:rPr>
          <w:lang w:val="en-US"/>
        </w:rPr>
        <w:t xml:space="preserve">UUK considers that the </w:t>
      </w:r>
      <w:r w:rsidR="00AA2416" w:rsidRPr="00DD1B58">
        <w:rPr>
          <w:lang w:val="en-US"/>
        </w:rPr>
        <w:t xml:space="preserve">residual risk from nuclear fire scenarios does not dominate the risk profile of facilities </w:t>
      </w:r>
      <w:r w:rsidR="00EF33BD" w:rsidRPr="00DD1B58">
        <w:rPr>
          <w:lang w:val="en-US"/>
        </w:rPr>
        <w:t xml:space="preserve">at the Capenhurst site. </w:t>
      </w:r>
      <w:r w:rsidR="00AA2416" w:rsidRPr="00DD1B58">
        <w:rPr>
          <w:lang w:val="en-US"/>
        </w:rPr>
        <w:t xml:space="preserve">However, </w:t>
      </w:r>
      <w:r w:rsidR="00EF33BD" w:rsidRPr="00DD1B58">
        <w:rPr>
          <w:lang w:val="en-US"/>
        </w:rPr>
        <w:t>it state</w:t>
      </w:r>
      <w:r w:rsidR="00EA7FF8" w:rsidRPr="00DD1B58">
        <w:rPr>
          <w:lang w:val="en-US"/>
        </w:rPr>
        <w:t>s</w:t>
      </w:r>
      <w:r w:rsidR="00EF33BD" w:rsidRPr="00DD1B58">
        <w:rPr>
          <w:lang w:val="en-US"/>
        </w:rPr>
        <w:t xml:space="preserve"> that where </w:t>
      </w:r>
      <w:r w:rsidR="00AA2416" w:rsidRPr="00DD1B58">
        <w:rPr>
          <w:lang w:val="en-US"/>
        </w:rPr>
        <w:t xml:space="preserve">required improvements </w:t>
      </w:r>
      <w:r w:rsidR="00EF33BD" w:rsidRPr="00DD1B58">
        <w:rPr>
          <w:lang w:val="en-US"/>
        </w:rPr>
        <w:t xml:space="preserve">had </w:t>
      </w:r>
      <w:r w:rsidR="00AA2416" w:rsidRPr="00DD1B58">
        <w:rPr>
          <w:lang w:val="en-US"/>
        </w:rPr>
        <w:t>been recommended to ensure sufficient lines</w:t>
      </w:r>
      <w:r w:rsidR="00EC0A95" w:rsidRPr="00DD1B58">
        <w:rPr>
          <w:lang w:val="en-US"/>
        </w:rPr>
        <w:t xml:space="preserve"> </w:t>
      </w:r>
      <w:r w:rsidR="00AA2416" w:rsidRPr="00DD1B58">
        <w:rPr>
          <w:lang w:val="en-US"/>
        </w:rPr>
        <w:t xml:space="preserve">of protection </w:t>
      </w:r>
      <w:r w:rsidR="00EF33BD" w:rsidRPr="00DD1B58">
        <w:rPr>
          <w:lang w:val="en-US"/>
        </w:rPr>
        <w:t xml:space="preserve">were </w:t>
      </w:r>
      <w:r w:rsidR="00AA2416" w:rsidRPr="00DD1B58">
        <w:rPr>
          <w:lang w:val="en-US"/>
        </w:rPr>
        <w:t xml:space="preserve">available and residual risks </w:t>
      </w:r>
      <w:r w:rsidR="00EF33BD" w:rsidRPr="00DD1B58">
        <w:rPr>
          <w:lang w:val="en-US"/>
        </w:rPr>
        <w:t xml:space="preserve">were </w:t>
      </w:r>
      <w:r w:rsidR="00AA2416" w:rsidRPr="00DD1B58">
        <w:rPr>
          <w:lang w:val="en-US"/>
        </w:rPr>
        <w:t>maintained at</w:t>
      </w:r>
      <w:r w:rsidR="00EC0A95" w:rsidRPr="00DD1B58">
        <w:rPr>
          <w:lang w:val="en-US"/>
        </w:rPr>
        <w:t xml:space="preserve"> </w:t>
      </w:r>
      <w:r w:rsidR="00AA2416" w:rsidRPr="00DD1B58">
        <w:rPr>
          <w:lang w:val="en-US"/>
        </w:rPr>
        <w:t>ALARP levels.</w:t>
      </w:r>
      <w:r w:rsidR="00FD28BD" w:rsidRPr="00DD1B58">
        <w:rPr>
          <w:lang w:val="en-US"/>
        </w:rPr>
        <w:t xml:space="preserve"> </w:t>
      </w:r>
    </w:p>
    <w:p w14:paraId="309EDD0D" w14:textId="77777777" w:rsidR="00C813BA" w:rsidRPr="00DD1B58" w:rsidRDefault="00C813BA" w:rsidP="00C813BA">
      <w:pPr>
        <w:pStyle w:val="Heading4"/>
        <w:rPr>
          <w:lang w:val="en-US"/>
        </w:rPr>
      </w:pPr>
      <w:r w:rsidRPr="00DD1B58">
        <w:rPr>
          <w:lang w:val="en-US"/>
        </w:rPr>
        <w:t>Periodic review and management of changes</w:t>
      </w:r>
    </w:p>
    <w:p w14:paraId="5993170F" w14:textId="77777777" w:rsidR="00C813BA" w:rsidRPr="00DD1B58" w:rsidRDefault="00C813BA" w:rsidP="00C813BA">
      <w:pPr>
        <w:pStyle w:val="Heading4"/>
        <w:numPr>
          <w:ilvl w:val="4"/>
          <w:numId w:val="3"/>
        </w:numPr>
        <w:rPr>
          <w:lang w:val="en-US"/>
        </w:rPr>
      </w:pPr>
      <w:r w:rsidRPr="00DD1B58">
        <w:rPr>
          <w:lang w:val="en-US"/>
        </w:rPr>
        <w:t>Overview of actions</w:t>
      </w:r>
    </w:p>
    <w:p w14:paraId="7AE88465" w14:textId="7D599061" w:rsidR="00A0258E" w:rsidRPr="00DD1B58" w:rsidRDefault="00A0258E" w:rsidP="007C1E28">
      <w:pPr>
        <w:rPr>
          <w:lang w:val="en-US"/>
        </w:rPr>
      </w:pPr>
      <w:r w:rsidRPr="00DD1B58">
        <w:rPr>
          <w:lang w:val="en-US"/>
        </w:rPr>
        <w:t>The Capenhurst site has been engaged in enrichment activities for approximately fifty years and has facilities and infrastructure of varying age within that period.</w:t>
      </w:r>
      <w:r w:rsidR="00940D2A" w:rsidRPr="00DD1B58">
        <w:rPr>
          <w:lang w:val="en-US"/>
        </w:rPr>
        <w:t xml:space="preserve"> </w:t>
      </w:r>
      <w:r w:rsidRPr="00DD1B58">
        <w:rPr>
          <w:lang w:val="en-US"/>
        </w:rPr>
        <w:t>This results in stages of development and renewal to support business growth and reflect the changing needs, including changes to infrastructure as well as operational activities with the potential to alter the fire safety profile</w:t>
      </w:r>
      <w:r w:rsidR="003E5A31" w:rsidRPr="00DD1B58">
        <w:rPr>
          <w:lang w:val="en-US"/>
        </w:rPr>
        <w:t>.</w:t>
      </w:r>
    </w:p>
    <w:p w14:paraId="452C10C0" w14:textId="77777777" w:rsidR="00C813BA" w:rsidRPr="00DD1B58" w:rsidRDefault="00C813BA" w:rsidP="00C813BA">
      <w:pPr>
        <w:pStyle w:val="Heading4"/>
        <w:numPr>
          <w:ilvl w:val="4"/>
          <w:numId w:val="3"/>
        </w:numPr>
        <w:rPr>
          <w:lang w:val="en-US"/>
        </w:rPr>
      </w:pPr>
      <w:r w:rsidRPr="00DD1B58">
        <w:rPr>
          <w:lang w:val="en-US"/>
        </w:rPr>
        <w:t>Implementation status of modifications/changes</w:t>
      </w:r>
    </w:p>
    <w:p w14:paraId="52859BEB" w14:textId="06F30E1C" w:rsidR="00CB4934" w:rsidRPr="00DD1B58" w:rsidRDefault="001108B6" w:rsidP="00E6612A">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Pr="00DD1B58">
        <w:rPr>
          <w:szCs w:val="24"/>
          <w:lang w:val="en-US"/>
        </w:rPr>
        <w:t>manages m</w:t>
      </w:r>
      <w:r w:rsidR="00CB4934" w:rsidRPr="00DD1B58">
        <w:rPr>
          <w:szCs w:val="24"/>
          <w:lang w:val="en-US"/>
        </w:rPr>
        <w:t xml:space="preserve">odifications </w:t>
      </w:r>
      <w:r w:rsidR="00E6612A" w:rsidRPr="00DD1B58">
        <w:rPr>
          <w:szCs w:val="24"/>
          <w:lang w:val="en-US" w:eastAsia="en-GB" w:bidi="ar-SA"/>
        </w:rPr>
        <w:t xml:space="preserve">to plant, equipment and controls via the Change Management Process Company Instruction. </w:t>
      </w:r>
      <w:r w:rsidRPr="00DD1B58">
        <w:rPr>
          <w:szCs w:val="24"/>
          <w:lang w:val="en-US" w:eastAsia="en-GB" w:bidi="ar-SA"/>
        </w:rPr>
        <w:t xml:space="preserve">The </w:t>
      </w:r>
      <w:r w:rsidR="00E6612A" w:rsidRPr="00DD1B58">
        <w:rPr>
          <w:szCs w:val="24"/>
          <w:lang w:val="en-US" w:eastAsia="en-GB" w:bidi="ar-SA"/>
        </w:rPr>
        <w:t xml:space="preserve">process requires documented hazard assessment of the change and its impact (if any) on the safety case. </w:t>
      </w:r>
      <w:r w:rsidR="00BC727E" w:rsidRPr="00DD1B58">
        <w:rPr>
          <w:szCs w:val="24"/>
          <w:lang w:val="en-US" w:eastAsia="en-GB" w:bidi="ar-SA"/>
        </w:rPr>
        <w:t>UUK considers f</w:t>
      </w:r>
      <w:r w:rsidR="00E6612A" w:rsidRPr="00DD1B58">
        <w:rPr>
          <w:szCs w:val="24"/>
          <w:lang w:val="en-US" w:eastAsia="en-GB" w:bidi="ar-SA"/>
        </w:rPr>
        <w:t xml:space="preserve">ire hazards </w:t>
      </w:r>
      <w:r w:rsidR="00BC727E" w:rsidRPr="00DD1B58">
        <w:rPr>
          <w:szCs w:val="24"/>
          <w:lang w:val="en-US" w:eastAsia="en-GB" w:bidi="ar-SA"/>
        </w:rPr>
        <w:t xml:space="preserve">as </w:t>
      </w:r>
      <w:r w:rsidR="00E6612A" w:rsidRPr="00DD1B58">
        <w:rPr>
          <w:szCs w:val="24"/>
          <w:lang w:val="en-US" w:eastAsia="en-GB" w:bidi="ar-SA"/>
        </w:rPr>
        <w:t>part of the baseline hazards considered within safety cases</w:t>
      </w:r>
      <w:r w:rsidR="00C75086" w:rsidRPr="00DD1B58">
        <w:rPr>
          <w:szCs w:val="24"/>
          <w:lang w:val="en-US" w:eastAsia="en-GB" w:bidi="ar-SA"/>
        </w:rPr>
        <w:t xml:space="preserve"> and this is therefore p</w:t>
      </w:r>
      <w:r w:rsidR="00E6612A" w:rsidRPr="00DD1B58">
        <w:rPr>
          <w:szCs w:val="24"/>
          <w:lang w:val="en-US" w:eastAsia="en-GB" w:bidi="ar-SA"/>
        </w:rPr>
        <w:t xml:space="preserve">art of </w:t>
      </w:r>
      <w:r w:rsidR="00C75086" w:rsidRPr="00DD1B58">
        <w:rPr>
          <w:szCs w:val="24"/>
          <w:lang w:val="en-US" w:eastAsia="en-GB" w:bidi="ar-SA"/>
        </w:rPr>
        <w:t xml:space="preserve">UUK’s </w:t>
      </w:r>
      <w:r w:rsidR="00E6612A" w:rsidRPr="00DD1B58">
        <w:rPr>
          <w:szCs w:val="24"/>
          <w:lang w:val="en-US" w:eastAsia="en-GB" w:bidi="ar-SA"/>
        </w:rPr>
        <w:t>periodic review stages of safety cases: Short</w:t>
      </w:r>
      <w:r w:rsidR="00D43D0B" w:rsidRPr="00DD1B58">
        <w:rPr>
          <w:szCs w:val="24"/>
          <w:lang w:val="en-US" w:eastAsia="en-GB" w:bidi="ar-SA"/>
        </w:rPr>
        <w:t>-</w:t>
      </w:r>
      <w:r w:rsidR="00E6612A" w:rsidRPr="00DD1B58">
        <w:rPr>
          <w:szCs w:val="24"/>
          <w:lang w:val="en-US" w:eastAsia="en-GB" w:bidi="ar-SA"/>
        </w:rPr>
        <w:t>Term, Interim and Long-Term Periodic Review. The level of review within these phases is cognisant of the level of detail each review stage involves.</w:t>
      </w:r>
      <w:r w:rsidR="00C75086" w:rsidRPr="00DD1B58">
        <w:rPr>
          <w:szCs w:val="24"/>
          <w:lang w:val="en-US" w:eastAsia="en-GB" w:bidi="ar-SA"/>
        </w:rPr>
        <w:t xml:space="preserve"> </w:t>
      </w:r>
      <w:r w:rsidR="00E6612A" w:rsidRPr="00DD1B58">
        <w:rPr>
          <w:szCs w:val="24"/>
          <w:lang w:val="en-US" w:eastAsia="en-GB" w:bidi="ar-SA"/>
        </w:rPr>
        <w:t xml:space="preserve">Beyond the specific safety case requirements, </w:t>
      </w:r>
      <w:r w:rsidR="00C75086" w:rsidRPr="00DD1B58">
        <w:rPr>
          <w:szCs w:val="24"/>
          <w:lang w:val="en-US" w:eastAsia="en-GB" w:bidi="ar-SA"/>
        </w:rPr>
        <w:t xml:space="preserve">UUK manages </w:t>
      </w:r>
      <w:r w:rsidR="00E6612A" w:rsidRPr="00DD1B58">
        <w:rPr>
          <w:szCs w:val="24"/>
          <w:lang w:val="en-US" w:eastAsia="en-GB" w:bidi="ar-SA"/>
        </w:rPr>
        <w:t xml:space="preserve">fire hazards </w:t>
      </w:r>
      <w:r w:rsidR="00C75086" w:rsidRPr="00DD1B58">
        <w:rPr>
          <w:szCs w:val="24"/>
          <w:lang w:val="en-US" w:eastAsia="en-GB" w:bidi="ar-SA"/>
        </w:rPr>
        <w:t>through the</w:t>
      </w:r>
      <w:r w:rsidR="00E6612A" w:rsidRPr="00DD1B58">
        <w:rPr>
          <w:szCs w:val="24"/>
          <w:lang w:val="en-US" w:eastAsia="en-GB" w:bidi="ar-SA"/>
        </w:rPr>
        <w:t xml:space="preserve"> conventional fire risk assessment reviews</w:t>
      </w:r>
      <w:r w:rsidR="003D2D4D" w:rsidRPr="00DD1B58">
        <w:rPr>
          <w:szCs w:val="24"/>
          <w:lang w:val="en-US" w:eastAsia="en-GB" w:bidi="ar-SA"/>
        </w:rPr>
        <w:t>. These also support safety case reviews.</w:t>
      </w:r>
    </w:p>
    <w:p w14:paraId="6ABB74BD" w14:textId="77777777" w:rsidR="00D51759" w:rsidRPr="00DD1B58" w:rsidRDefault="00D51759" w:rsidP="00E6612A">
      <w:pPr>
        <w:autoSpaceDE w:val="0"/>
        <w:autoSpaceDN w:val="0"/>
        <w:adjustRightInd w:val="0"/>
        <w:spacing w:after="0" w:line="240" w:lineRule="auto"/>
        <w:rPr>
          <w:szCs w:val="24"/>
          <w:lang w:val="en-US" w:eastAsia="en-GB" w:bidi="ar-SA"/>
        </w:rPr>
      </w:pPr>
    </w:p>
    <w:p w14:paraId="347A7152" w14:textId="77777777" w:rsidR="00C813BA" w:rsidRPr="00DD1B58" w:rsidRDefault="00C813BA" w:rsidP="00C813BA">
      <w:pPr>
        <w:pStyle w:val="Heading4"/>
        <w:rPr>
          <w:lang w:val="en-US"/>
        </w:rPr>
      </w:pPr>
      <w:r w:rsidRPr="00DD1B58">
        <w:rPr>
          <w:lang w:val="en-US"/>
        </w:rPr>
        <w:t xml:space="preserve">Licensee’s experience of fire safety analyses </w:t>
      </w:r>
    </w:p>
    <w:p w14:paraId="585A1787" w14:textId="77777777" w:rsidR="00C813BA" w:rsidRPr="00DD1B58" w:rsidRDefault="00C813BA" w:rsidP="00C813BA">
      <w:pPr>
        <w:pStyle w:val="Heading4"/>
        <w:numPr>
          <w:ilvl w:val="4"/>
          <w:numId w:val="3"/>
        </w:numPr>
        <w:rPr>
          <w:lang w:val="en-US"/>
        </w:rPr>
      </w:pPr>
      <w:r w:rsidRPr="00DD1B58">
        <w:rPr>
          <w:lang w:val="en-US"/>
        </w:rPr>
        <w:t>Overview of strengths and weaknesses identified</w:t>
      </w:r>
    </w:p>
    <w:p w14:paraId="55C402D1" w14:textId="4448D2B9" w:rsidR="009964F6" w:rsidRPr="00DD1B58" w:rsidRDefault="00A4176D" w:rsidP="00C57ADD">
      <w:pPr>
        <w:autoSpaceDE w:val="0"/>
        <w:autoSpaceDN w:val="0"/>
        <w:adjustRightInd w:val="0"/>
        <w:spacing w:after="0" w:line="240" w:lineRule="auto"/>
        <w:rPr>
          <w:szCs w:val="24"/>
          <w:lang w:val="en-US" w:eastAsia="en-GB" w:bidi="ar-SA"/>
        </w:rPr>
      </w:pPr>
      <w:r w:rsidRPr="00DD1B58">
        <w:rPr>
          <w:szCs w:val="24"/>
          <w:lang w:val="en-US"/>
        </w:rPr>
        <w:t xml:space="preserve">UUK considers that </w:t>
      </w:r>
      <w:r w:rsidR="00D51759" w:rsidRPr="00DD1B58">
        <w:rPr>
          <w:szCs w:val="24"/>
          <w:lang w:val="en-US" w:eastAsia="en-GB" w:bidi="ar-SA"/>
        </w:rPr>
        <w:t>nuclear safety case</w:t>
      </w:r>
      <w:r w:rsidRPr="00DD1B58">
        <w:rPr>
          <w:szCs w:val="24"/>
          <w:lang w:val="en-US" w:eastAsia="en-GB" w:bidi="ar-SA"/>
        </w:rPr>
        <w:t xml:space="preserve">s are </w:t>
      </w:r>
      <w:r w:rsidR="00D51759" w:rsidRPr="00DD1B58">
        <w:rPr>
          <w:szCs w:val="24"/>
          <w:lang w:val="en-US" w:eastAsia="en-GB" w:bidi="ar-SA"/>
        </w:rPr>
        <w:t>not significantly impacted by fire,</w:t>
      </w:r>
      <w:r w:rsidRPr="00DD1B58">
        <w:rPr>
          <w:szCs w:val="24"/>
          <w:lang w:val="en-US" w:eastAsia="en-GB" w:bidi="ar-SA"/>
        </w:rPr>
        <w:t xml:space="preserve"> and therefore</w:t>
      </w:r>
      <w:r w:rsidR="00D51759" w:rsidRPr="00DD1B58">
        <w:rPr>
          <w:szCs w:val="24"/>
          <w:lang w:val="en-US" w:eastAsia="en-GB" w:bidi="ar-SA"/>
        </w:rPr>
        <w:t xml:space="preserve"> the predominant focus is on conventional fire safety hazard identification and associated control measures which, in turn, provide additional nuclear fire risk assurance. </w:t>
      </w:r>
      <w:r w:rsidR="00C57ADD" w:rsidRPr="00DD1B58">
        <w:rPr>
          <w:szCs w:val="24"/>
          <w:lang w:val="en-US" w:eastAsia="en-GB" w:bidi="ar-SA"/>
        </w:rPr>
        <w:t>UUK state</w:t>
      </w:r>
      <w:r w:rsidR="00EA7FF8" w:rsidRPr="00DD1B58">
        <w:rPr>
          <w:szCs w:val="24"/>
          <w:lang w:val="en-US" w:eastAsia="en-GB" w:bidi="ar-SA"/>
        </w:rPr>
        <w:t>s</w:t>
      </w:r>
      <w:r w:rsidR="00C57ADD" w:rsidRPr="00DD1B58">
        <w:rPr>
          <w:szCs w:val="24"/>
          <w:lang w:val="en-US" w:eastAsia="en-GB" w:bidi="ar-SA"/>
        </w:rPr>
        <w:t xml:space="preserve"> that it has </w:t>
      </w:r>
      <w:r w:rsidR="00D51759" w:rsidRPr="00DD1B58">
        <w:rPr>
          <w:szCs w:val="24"/>
          <w:lang w:val="en-US" w:eastAsia="en-GB" w:bidi="ar-SA"/>
        </w:rPr>
        <w:t xml:space="preserve">on-site SQEP resource to maintain a detailed programme of inspection and review </w:t>
      </w:r>
      <w:r w:rsidR="00531A67" w:rsidRPr="00DD1B58">
        <w:rPr>
          <w:szCs w:val="24"/>
          <w:lang w:val="en-US" w:eastAsia="en-GB" w:bidi="ar-SA"/>
        </w:rPr>
        <w:t>and that</w:t>
      </w:r>
      <w:r w:rsidR="00D51759" w:rsidRPr="00DD1B58">
        <w:rPr>
          <w:szCs w:val="24"/>
          <w:lang w:val="en-US" w:eastAsia="en-GB" w:bidi="ar-SA"/>
        </w:rPr>
        <w:t xml:space="preserve"> this provides a dynamic model for compliance and support to operational activities.</w:t>
      </w:r>
      <w:r w:rsidR="00C57ADD" w:rsidRPr="00DD1B58">
        <w:rPr>
          <w:szCs w:val="24"/>
          <w:lang w:val="en-US" w:eastAsia="en-GB" w:bidi="ar-SA"/>
        </w:rPr>
        <w:t xml:space="preserve"> UUK acknowledges that the </w:t>
      </w:r>
      <w:r w:rsidR="0030085F" w:rsidRPr="00DD1B58">
        <w:rPr>
          <w:szCs w:val="24"/>
          <w:lang w:val="en-US" w:eastAsia="en-GB" w:bidi="ar-SA"/>
        </w:rPr>
        <w:t>routine focus</w:t>
      </w:r>
      <w:r w:rsidR="00C57ADD" w:rsidRPr="00DD1B58">
        <w:rPr>
          <w:szCs w:val="24"/>
          <w:lang w:val="en-US" w:eastAsia="en-GB" w:bidi="ar-SA"/>
        </w:rPr>
        <w:t xml:space="preserve"> on conventional fire hazards</w:t>
      </w:r>
      <w:r w:rsidR="009964F6" w:rsidRPr="00DD1B58">
        <w:rPr>
          <w:szCs w:val="24"/>
          <w:lang w:val="en-US" w:eastAsia="en-GB" w:bidi="ar-SA"/>
        </w:rPr>
        <w:t xml:space="preserve"> carries potential for cumulative change to develop in areas that may present an increase in nuclear fire risk</w:t>
      </w:r>
      <w:r w:rsidR="00531A67" w:rsidRPr="00DD1B58">
        <w:rPr>
          <w:szCs w:val="24"/>
          <w:lang w:val="en-US" w:eastAsia="en-GB" w:bidi="ar-SA"/>
        </w:rPr>
        <w:t xml:space="preserve">, which </w:t>
      </w:r>
      <w:r w:rsidR="009964F6" w:rsidRPr="00DD1B58">
        <w:rPr>
          <w:szCs w:val="24"/>
          <w:lang w:val="en-US" w:eastAsia="en-GB" w:bidi="ar-SA"/>
        </w:rPr>
        <w:t xml:space="preserve">could go undiscovered until periodic review of safety case assessments. To minimise </w:t>
      </w:r>
      <w:r w:rsidR="0030085F" w:rsidRPr="00DD1B58">
        <w:rPr>
          <w:szCs w:val="24"/>
          <w:lang w:val="en-US" w:eastAsia="en-GB" w:bidi="ar-SA"/>
        </w:rPr>
        <w:t>this</w:t>
      </w:r>
      <w:r w:rsidR="009964F6" w:rsidRPr="00DD1B58">
        <w:rPr>
          <w:szCs w:val="24"/>
          <w:lang w:val="en-US" w:eastAsia="en-GB" w:bidi="ar-SA"/>
        </w:rPr>
        <w:t xml:space="preserve">, </w:t>
      </w:r>
      <w:r w:rsidR="0030085F" w:rsidRPr="00DD1B58">
        <w:rPr>
          <w:szCs w:val="24"/>
          <w:lang w:val="en-US" w:eastAsia="en-GB" w:bidi="ar-SA"/>
        </w:rPr>
        <w:t xml:space="preserve">UUK states that </w:t>
      </w:r>
      <w:r w:rsidR="009964F6" w:rsidRPr="00DD1B58">
        <w:rPr>
          <w:szCs w:val="24"/>
          <w:lang w:val="en-US" w:eastAsia="en-GB" w:bidi="ar-SA"/>
        </w:rPr>
        <w:t xml:space="preserve">all change management proposals </w:t>
      </w:r>
      <w:r w:rsidR="00531A67" w:rsidRPr="00DD1B58">
        <w:rPr>
          <w:szCs w:val="24"/>
          <w:lang w:val="en-US" w:eastAsia="en-GB" w:bidi="ar-SA"/>
        </w:rPr>
        <w:t>involve</w:t>
      </w:r>
      <w:r w:rsidR="009964F6" w:rsidRPr="00DD1B58">
        <w:rPr>
          <w:szCs w:val="24"/>
          <w:lang w:val="en-US" w:eastAsia="en-GB" w:bidi="ar-SA"/>
        </w:rPr>
        <w:t xml:space="preserve"> a Safety Case Manager to identify where challenge to safety measures may be incurred.</w:t>
      </w:r>
    </w:p>
    <w:p w14:paraId="5BACF486" w14:textId="77777777" w:rsidR="00D51759" w:rsidRPr="00DD1B58" w:rsidRDefault="00D51759" w:rsidP="00D51759">
      <w:pPr>
        <w:autoSpaceDE w:val="0"/>
        <w:autoSpaceDN w:val="0"/>
        <w:adjustRightInd w:val="0"/>
        <w:spacing w:after="0" w:line="240" w:lineRule="auto"/>
        <w:rPr>
          <w:szCs w:val="24"/>
          <w:lang w:val="en-US" w:eastAsia="en-GB" w:bidi="ar-SA"/>
        </w:rPr>
      </w:pPr>
    </w:p>
    <w:p w14:paraId="152DA867" w14:textId="38C8E883" w:rsidR="00C813BA" w:rsidRPr="00DD1B58" w:rsidRDefault="00C813BA" w:rsidP="00C813BA">
      <w:pPr>
        <w:pStyle w:val="Heading4"/>
        <w:numPr>
          <w:ilvl w:val="4"/>
          <w:numId w:val="3"/>
        </w:numPr>
        <w:rPr>
          <w:lang w:val="en-US"/>
        </w:rPr>
      </w:pPr>
      <w:bookmarkStart w:id="41" w:name="_Ref139878933"/>
      <w:r w:rsidRPr="00DD1B58">
        <w:rPr>
          <w:lang w:val="en-US"/>
        </w:rPr>
        <w:t>Lessons learned from events, reviews, fire safety</w:t>
      </w:r>
      <w:r w:rsidR="00531A67" w:rsidRPr="00DD1B58">
        <w:rPr>
          <w:lang w:val="en-US"/>
        </w:rPr>
        <w:t>-</w:t>
      </w:r>
      <w:r w:rsidRPr="00DD1B58">
        <w:rPr>
          <w:lang w:val="en-US"/>
        </w:rPr>
        <w:t>related missions, etc.</w:t>
      </w:r>
      <w:bookmarkEnd w:id="41"/>
    </w:p>
    <w:p w14:paraId="4E54905F" w14:textId="0D73BF0D" w:rsidR="00B355B2" w:rsidRPr="00DD1B58" w:rsidRDefault="0030085F" w:rsidP="00B355B2">
      <w:pPr>
        <w:autoSpaceDE w:val="0"/>
        <w:autoSpaceDN w:val="0"/>
        <w:adjustRightInd w:val="0"/>
        <w:spacing w:after="0" w:line="240" w:lineRule="auto"/>
        <w:rPr>
          <w:szCs w:val="24"/>
          <w:lang w:val="en-US" w:eastAsia="en-GB" w:bidi="ar-SA"/>
        </w:rPr>
      </w:pPr>
      <w:r w:rsidRPr="00DD1B58">
        <w:rPr>
          <w:szCs w:val="24"/>
          <w:lang w:val="en-US"/>
        </w:rPr>
        <w:t>UUK records f</w:t>
      </w:r>
      <w:r w:rsidR="00A03F12" w:rsidRPr="00DD1B58">
        <w:rPr>
          <w:szCs w:val="24"/>
          <w:lang w:val="en-US"/>
        </w:rPr>
        <w:t xml:space="preserve">ire </w:t>
      </w:r>
      <w:r w:rsidR="005351CF" w:rsidRPr="00DD1B58">
        <w:rPr>
          <w:szCs w:val="24"/>
          <w:lang w:val="en-US" w:eastAsia="en-GB" w:bidi="ar-SA"/>
        </w:rPr>
        <w:t xml:space="preserve">events alongside all other safety related events in an electronic event reporting and investigation system, supported by a linked action recording and tracking module. </w:t>
      </w:r>
      <w:r w:rsidR="005F575B" w:rsidRPr="00DD1B58">
        <w:rPr>
          <w:szCs w:val="24"/>
          <w:lang w:val="en-US" w:eastAsia="en-GB" w:bidi="ar-SA"/>
        </w:rPr>
        <w:t>UUK uses the system to ensure</w:t>
      </w:r>
      <w:r w:rsidR="005351CF" w:rsidRPr="00DD1B58">
        <w:rPr>
          <w:szCs w:val="24"/>
          <w:lang w:val="en-US" w:eastAsia="en-GB" w:bidi="ar-SA"/>
        </w:rPr>
        <w:t xml:space="preserve"> visibility of all events and suitable response for action and learning.</w:t>
      </w:r>
    </w:p>
    <w:p w14:paraId="799D2B20" w14:textId="77777777" w:rsidR="00466BB3" w:rsidRPr="00DD1B58" w:rsidRDefault="00466BB3" w:rsidP="00B355B2">
      <w:pPr>
        <w:autoSpaceDE w:val="0"/>
        <w:autoSpaceDN w:val="0"/>
        <w:adjustRightInd w:val="0"/>
        <w:spacing w:after="0" w:line="240" w:lineRule="auto"/>
        <w:rPr>
          <w:szCs w:val="24"/>
          <w:lang w:val="en-US" w:eastAsia="en-GB" w:bidi="ar-SA"/>
        </w:rPr>
      </w:pPr>
    </w:p>
    <w:p w14:paraId="1D337B68" w14:textId="168BA070" w:rsidR="00883C33" w:rsidRPr="00DD1B58" w:rsidRDefault="003C556D" w:rsidP="00B355B2">
      <w:pPr>
        <w:autoSpaceDE w:val="0"/>
        <w:autoSpaceDN w:val="0"/>
        <w:adjustRightInd w:val="0"/>
        <w:spacing w:after="0" w:line="240" w:lineRule="auto"/>
        <w:rPr>
          <w:szCs w:val="24"/>
          <w:lang w:val="en-US" w:eastAsia="en-GB" w:bidi="ar-SA"/>
        </w:rPr>
      </w:pPr>
      <w:r w:rsidRPr="00DD1B58">
        <w:rPr>
          <w:szCs w:val="24"/>
          <w:lang w:val="en-US" w:eastAsia="en-GB" w:bidi="ar-SA"/>
        </w:rPr>
        <w:t>UUK state</w:t>
      </w:r>
      <w:r w:rsidR="00EA7FF8" w:rsidRPr="00DD1B58">
        <w:rPr>
          <w:szCs w:val="24"/>
          <w:lang w:val="en-US" w:eastAsia="en-GB" w:bidi="ar-SA"/>
        </w:rPr>
        <w:t>s</w:t>
      </w:r>
      <w:r w:rsidRPr="00DD1B58">
        <w:rPr>
          <w:szCs w:val="24"/>
          <w:lang w:val="en-US" w:eastAsia="en-GB" w:bidi="ar-SA"/>
        </w:rPr>
        <w:t xml:space="preserve"> that the above </w:t>
      </w:r>
      <w:r w:rsidR="005351CF" w:rsidRPr="00DD1B58">
        <w:rPr>
          <w:szCs w:val="24"/>
          <w:lang w:val="en-US" w:eastAsia="en-GB" w:bidi="ar-SA"/>
        </w:rPr>
        <w:t>is supplemented by learning gained external to the organisation from both within the nuclear</w:t>
      </w:r>
      <w:r w:rsidR="00B355B2" w:rsidRPr="00DD1B58">
        <w:rPr>
          <w:szCs w:val="24"/>
          <w:lang w:val="en-US" w:eastAsia="en-GB" w:bidi="ar-SA"/>
        </w:rPr>
        <w:t xml:space="preserve"> </w:t>
      </w:r>
      <w:r w:rsidR="005351CF" w:rsidRPr="00DD1B58">
        <w:rPr>
          <w:szCs w:val="24"/>
          <w:lang w:val="en-US" w:eastAsia="en-GB" w:bidi="ar-SA"/>
        </w:rPr>
        <w:t>sector and beyond</w:t>
      </w:r>
      <w:r w:rsidRPr="00DD1B58">
        <w:rPr>
          <w:szCs w:val="24"/>
          <w:lang w:val="en-US" w:eastAsia="en-GB" w:bidi="ar-SA"/>
        </w:rPr>
        <w:t>, and that d</w:t>
      </w:r>
      <w:r w:rsidR="005351CF" w:rsidRPr="00DD1B58">
        <w:rPr>
          <w:szCs w:val="24"/>
          <w:lang w:val="en-US" w:eastAsia="en-GB" w:bidi="ar-SA"/>
        </w:rPr>
        <w:t>uring periodic reviews of safety cases, a formal review of learning from</w:t>
      </w:r>
      <w:r w:rsidR="00B355B2" w:rsidRPr="00DD1B58">
        <w:rPr>
          <w:szCs w:val="24"/>
          <w:lang w:val="en-US" w:eastAsia="en-GB" w:bidi="ar-SA"/>
        </w:rPr>
        <w:t xml:space="preserve"> </w:t>
      </w:r>
      <w:r w:rsidR="005351CF" w:rsidRPr="00DD1B58">
        <w:rPr>
          <w:szCs w:val="24"/>
          <w:lang w:val="en-US" w:eastAsia="en-GB" w:bidi="ar-SA"/>
        </w:rPr>
        <w:t>experience is undertaken</w:t>
      </w:r>
      <w:r w:rsidR="00F50414" w:rsidRPr="00DD1B58">
        <w:rPr>
          <w:szCs w:val="24"/>
          <w:lang w:val="en-US" w:eastAsia="en-GB" w:bidi="ar-SA"/>
        </w:rPr>
        <w:t>.</w:t>
      </w:r>
    </w:p>
    <w:p w14:paraId="5B121806" w14:textId="77777777" w:rsidR="00B355B2" w:rsidRPr="00DD1B58" w:rsidRDefault="00B355B2" w:rsidP="00B355B2">
      <w:pPr>
        <w:autoSpaceDE w:val="0"/>
        <w:autoSpaceDN w:val="0"/>
        <w:adjustRightInd w:val="0"/>
        <w:spacing w:after="0" w:line="240" w:lineRule="auto"/>
        <w:rPr>
          <w:szCs w:val="24"/>
          <w:lang w:val="en-US" w:eastAsia="en-GB" w:bidi="ar-SA"/>
        </w:rPr>
      </w:pPr>
    </w:p>
    <w:p w14:paraId="603096D0" w14:textId="518FCC2B" w:rsidR="00C813BA" w:rsidRPr="00DD1B58" w:rsidRDefault="00C813BA" w:rsidP="003622B0">
      <w:pPr>
        <w:pStyle w:val="Heading4"/>
        <w:rPr>
          <w:lang w:val="en-US"/>
        </w:rPr>
      </w:pPr>
      <w:r w:rsidRPr="00DD1B58">
        <w:rPr>
          <w:lang w:val="en-US"/>
        </w:rPr>
        <w:t xml:space="preserve">Regulator’s assessment and conclusions on fire safety analyses </w:t>
      </w:r>
    </w:p>
    <w:p w14:paraId="43169456" w14:textId="77777777" w:rsidR="00C813BA" w:rsidRPr="00DD1B58" w:rsidRDefault="00C813BA" w:rsidP="009D2F4F">
      <w:pPr>
        <w:pStyle w:val="Heading4"/>
        <w:numPr>
          <w:ilvl w:val="4"/>
          <w:numId w:val="3"/>
        </w:numPr>
        <w:rPr>
          <w:lang w:val="en-US"/>
        </w:rPr>
      </w:pPr>
      <w:r w:rsidRPr="00DD1B58">
        <w:rPr>
          <w:lang w:val="en-US"/>
        </w:rPr>
        <w:t xml:space="preserve">Overview of strengths and weaknesses identified by the regulator </w:t>
      </w:r>
    </w:p>
    <w:p w14:paraId="54457ADC" w14:textId="5B76B143" w:rsidR="6CB98F91" w:rsidRPr="00DD1B58" w:rsidRDefault="6CB98F91" w:rsidP="4DD370BB">
      <w:pPr>
        <w:spacing w:line="257" w:lineRule="auto"/>
        <w:rPr>
          <w:b/>
          <w:szCs w:val="24"/>
          <w:lang w:val="en-US" w:eastAsia="en-GB" w:bidi="ar-SA"/>
        </w:rPr>
      </w:pPr>
      <w:r w:rsidRPr="00DD1B58">
        <w:rPr>
          <w:b/>
          <w:szCs w:val="24"/>
          <w:lang w:val="en-US" w:eastAsia="en-GB" w:bidi="ar-SA"/>
        </w:rPr>
        <w:t>Strengths</w:t>
      </w:r>
    </w:p>
    <w:p w14:paraId="16F2282F" w14:textId="15F3BF9A" w:rsidR="00443FA0" w:rsidRPr="00DD1B58" w:rsidRDefault="00F50414" w:rsidP="4DD370BB">
      <w:pPr>
        <w:rPr>
          <w:szCs w:val="24"/>
          <w:lang w:val="en-US" w:eastAsia="en-GB" w:bidi="ar-SA"/>
        </w:rPr>
      </w:pPr>
      <w:r w:rsidRPr="00DD1B58">
        <w:rPr>
          <w:szCs w:val="24"/>
          <w:lang w:val="en-US" w:eastAsia="en-GB" w:bidi="ar-SA"/>
        </w:rPr>
        <w:t>UUK’s</w:t>
      </w:r>
      <w:r w:rsidR="6CB98F91" w:rsidRPr="00DD1B58">
        <w:rPr>
          <w:szCs w:val="24"/>
          <w:lang w:val="en-US" w:eastAsia="en-GB" w:bidi="ar-SA"/>
        </w:rPr>
        <w:t xml:space="preserve"> </w:t>
      </w:r>
      <w:r w:rsidRPr="00DD1B58">
        <w:rPr>
          <w:szCs w:val="24"/>
          <w:lang w:val="en-US" w:eastAsia="en-GB" w:bidi="ar-SA"/>
        </w:rPr>
        <w:t xml:space="preserve">self-assessment </w:t>
      </w:r>
      <w:r w:rsidR="00CD2B0D" w:rsidRPr="00DD1B58">
        <w:rPr>
          <w:szCs w:val="24"/>
          <w:lang w:val="en-US" w:eastAsia="en-GB" w:bidi="ar-SA"/>
        </w:rPr>
        <w:t xml:space="preserve">concludes </w:t>
      </w:r>
      <w:r w:rsidR="6CB98F91" w:rsidRPr="00DD1B58">
        <w:rPr>
          <w:szCs w:val="24"/>
          <w:lang w:val="en-US" w:eastAsia="en-GB" w:bidi="ar-SA"/>
        </w:rPr>
        <w:t>that a low nuclear fire risk exists due to the inherent properties of the nuclear material handled and its treatment during operational processes.</w:t>
      </w:r>
      <w:r w:rsidR="00CD2B0D" w:rsidRPr="00DD1B58">
        <w:rPr>
          <w:szCs w:val="24"/>
          <w:lang w:val="en-US" w:eastAsia="en-GB" w:bidi="ar-SA"/>
        </w:rPr>
        <w:t xml:space="preserve"> </w:t>
      </w:r>
      <w:r w:rsidR="6CB98F91" w:rsidRPr="00DD1B58">
        <w:rPr>
          <w:szCs w:val="24"/>
          <w:lang w:val="en-US" w:eastAsia="en-GB" w:bidi="ar-SA"/>
        </w:rPr>
        <w:t xml:space="preserve">The licensee therefore </w:t>
      </w:r>
      <w:r w:rsidR="000A7C2A" w:rsidRPr="00DD1B58">
        <w:rPr>
          <w:szCs w:val="24"/>
          <w:lang w:val="en-US" w:eastAsia="en-GB" w:bidi="ar-SA"/>
        </w:rPr>
        <w:t xml:space="preserve">considers </w:t>
      </w:r>
      <w:r w:rsidR="6CB98F91" w:rsidRPr="00DD1B58">
        <w:rPr>
          <w:szCs w:val="24"/>
          <w:lang w:val="en-US" w:eastAsia="en-GB" w:bidi="ar-SA"/>
        </w:rPr>
        <w:t>that</w:t>
      </w:r>
      <w:r w:rsidR="007A3FA4" w:rsidRPr="00DD1B58">
        <w:rPr>
          <w:szCs w:val="24"/>
          <w:lang w:val="en-US" w:eastAsia="en-GB" w:bidi="ar-SA"/>
        </w:rPr>
        <w:t xml:space="preserve"> the</w:t>
      </w:r>
      <w:r w:rsidR="6CB98F91" w:rsidRPr="00DD1B58">
        <w:rPr>
          <w:szCs w:val="24"/>
          <w:lang w:val="en-US" w:eastAsia="en-GB" w:bidi="ar-SA"/>
        </w:rPr>
        <w:t xml:space="preserve"> predominant focus is on conventional fire safety hazard</w:t>
      </w:r>
      <w:r w:rsidR="006F1EAB" w:rsidRPr="00DD1B58">
        <w:rPr>
          <w:szCs w:val="24"/>
          <w:lang w:val="en-US" w:eastAsia="en-GB" w:bidi="ar-SA"/>
        </w:rPr>
        <w:t xml:space="preserve">s </w:t>
      </w:r>
      <w:r w:rsidR="6CB98F91" w:rsidRPr="00DD1B58">
        <w:rPr>
          <w:szCs w:val="24"/>
          <w:lang w:val="en-US" w:eastAsia="en-GB" w:bidi="ar-SA"/>
        </w:rPr>
        <w:t xml:space="preserve">and associated control measures. </w:t>
      </w:r>
    </w:p>
    <w:p w14:paraId="049E3037" w14:textId="4C73C3B0" w:rsidR="00AD1313" w:rsidRPr="00DD1B58" w:rsidRDefault="00213771" w:rsidP="0009353E">
      <w:pPr>
        <w:rPr>
          <w:lang w:val="en-US" w:eastAsia="en-GB" w:bidi="ar-SA"/>
        </w:rPr>
      </w:pPr>
      <w:r w:rsidRPr="00DD1B58">
        <w:rPr>
          <w:lang w:val="en-US" w:eastAsia="en-GB" w:bidi="ar-SA"/>
        </w:rPr>
        <w:t xml:space="preserve">UUK’s </w:t>
      </w:r>
      <w:r w:rsidR="0013220B" w:rsidRPr="00DD1B58">
        <w:rPr>
          <w:lang w:val="en-US" w:eastAsia="en-GB" w:bidi="ar-SA"/>
        </w:rPr>
        <w:t xml:space="preserve">self-assessment describes how a HAZID process is used to identify fire </w:t>
      </w:r>
      <w:r w:rsidR="00741917" w:rsidRPr="00DD1B58">
        <w:rPr>
          <w:lang w:val="en-US" w:eastAsia="en-GB" w:bidi="ar-SA"/>
        </w:rPr>
        <w:t xml:space="preserve">hazards which then go forward for </w:t>
      </w:r>
      <w:r w:rsidR="00CA2588" w:rsidRPr="00DD1B58">
        <w:rPr>
          <w:lang w:val="en-US" w:eastAsia="en-GB" w:bidi="ar-SA"/>
        </w:rPr>
        <w:t>nuclear fire assessment with the level of detail applied by the assessment being cognisant of the significance of the radiological hazard presented by the fire.</w:t>
      </w:r>
      <w:r w:rsidR="008C274B" w:rsidRPr="00DD1B58">
        <w:rPr>
          <w:lang w:val="en-US" w:eastAsia="en-GB" w:bidi="ar-SA"/>
        </w:rPr>
        <w:t xml:space="preserve"> </w:t>
      </w:r>
    </w:p>
    <w:p w14:paraId="43AC667A" w14:textId="03304CE3" w:rsidR="00AD1313" w:rsidRPr="00DD1B58" w:rsidRDefault="00AD1313" w:rsidP="00AD1313">
      <w:pPr>
        <w:rPr>
          <w:szCs w:val="24"/>
          <w:lang w:val="en-US" w:eastAsia="en-GB" w:bidi="ar-SA"/>
        </w:rPr>
      </w:pPr>
      <w:r w:rsidRPr="00DD1B58">
        <w:rPr>
          <w:szCs w:val="24"/>
          <w:lang w:val="en-US" w:eastAsia="en-GB" w:bidi="ar-SA"/>
        </w:rPr>
        <w:t xml:space="preserve">UUK describes a programme of conventional fire safety management, inspection and risk assessments, </w:t>
      </w:r>
      <w:r w:rsidR="003B59F7" w:rsidRPr="00DD1B58">
        <w:rPr>
          <w:szCs w:val="24"/>
          <w:lang w:val="en-US" w:eastAsia="en-GB" w:bidi="ar-SA"/>
        </w:rPr>
        <w:t xml:space="preserve">which references </w:t>
      </w:r>
      <w:r w:rsidRPr="00DD1B58">
        <w:rPr>
          <w:szCs w:val="24"/>
          <w:lang w:val="en-US" w:eastAsia="en-GB" w:bidi="ar-SA"/>
        </w:rPr>
        <w:t xml:space="preserve">appropriate guidance (BS9999 Fire Safety in the Design, Management and Use of Buildings Code of Practice </w:t>
      </w:r>
      <w:sdt>
        <w:sdtPr>
          <w:rPr>
            <w:szCs w:val="24"/>
            <w:lang w:val="en-US" w:eastAsia="en-GB" w:bidi="ar-SA"/>
          </w:rPr>
          <w:id w:val="-1246183086"/>
          <w:citation/>
        </w:sdtPr>
        <w:sdtContent>
          <w:r w:rsidRPr="00DD1B58">
            <w:rPr>
              <w:szCs w:val="24"/>
              <w:lang w:val="en-US" w:eastAsia="en-GB" w:bidi="ar-SA"/>
            </w:rPr>
            <w:fldChar w:fldCharType="begin"/>
          </w:r>
          <w:r w:rsidRPr="00DD1B58">
            <w:rPr>
              <w:szCs w:val="24"/>
              <w:lang w:val="en-US" w:eastAsia="en-GB" w:bidi="ar-SA"/>
            </w:rPr>
            <w:instrText xml:space="preserve"> CITATION BS9999 \l 2057 </w:instrText>
          </w:r>
          <w:r w:rsidRPr="00DD1B58">
            <w:rPr>
              <w:szCs w:val="24"/>
              <w:lang w:val="en-US" w:eastAsia="en-GB" w:bidi="ar-SA"/>
            </w:rPr>
            <w:fldChar w:fldCharType="separate"/>
          </w:r>
          <w:r w:rsidR="00DF47DA" w:rsidRPr="00DF47DA">
            <w:rPr>
              <w:noProof/>
              <w:szCs w:val="24"/>
              <w:lang w:val="en-US" w:eastAsia="en-GB" w:bidi="ar-SA"/>
            </w:rPr>
            <w:t>[71]</w:t>
          </w:r>
          <w:r w:rsidRPr="00DD1B58">
            <w:rPr>
              <w:szCs w:val="24"/>
              <w:lang w:val="en-US" w:eastAsia="en-GB" w:bidi="ar-SA"/>
            </w:rPr>
            <w:fldChar w:fldCharType="end"/>
          </w:r>
        </w:sdtContent>
      </w:sdt>
      <w:r w:rsidRPr="00DD1B58">
        <w:rPr>
          <w:szCs w:val="24"/>
          <w:lang w:val="en-US" w:eastAsia="en-GB" w:bidi="ar-SA"/>
        </w:rPr>
        <w:t xml:space="preserve"> and BS9997 Fire Risk Management Systems 2019</w:t>
      </w:r>
      <w:sdt>
        <w:sdtPr>
          <w:rPr>
            <w:szCs w:val="24"/>
            <w:lang w:val="en-US" w:eastAsia="en-GB" w:bidi="ar-SA"/>
          </w:rPr>
          <w:id w:val="-1868440593"/>
          <w:citation/>
        </w:sdtPr>
        <w:sdtContent>
          <w:r w:rsidR="00EF3800" w:rsidRPr="00DD1B58">
            <w:rPr>
              <w:szCs w:val="24"/>
              <w:lang w:val="en-US" w:eastAsia="en-GB" w:bidi="ar-SA"/>
            </w:rPr>
            <w:fldChar w:fldCharType="begin"/>
          </w:r>
          <w:r w:rsidR="00EF3800" w:rsidRPr="00DD1B58">
            <w:rPr>
              <w:szCs w:val="24"/>
              <w:lang w:val="en-US" w:eastAsia="en-GB" w:bidi="ar-SA"/>
            </w:rPr>
            <w:instrText xml:space="preserve"> CITATION Bri1999 \l 2057 </w:instrText>
          </w:r>
          <w:r w:rsidR="00EF3800" w:rsidRPr="00DD1B58">
            <w:rPr>
              <w:szCs w:val="24"/>
              <w:lang w:val="en-US" w:eastAsia="en-GB" w:bidi="ar-SA"/>
            </w:rPr>
            <w:fldChar w:fldCharType="separate"/>
          </w:r>
          <w:r w:rsidR="00DF47DA">
            <w:rPr>
              <w:noProof/>
              <w:szCs w:val="24"/>
              <w:lang w:val="en-US" w:eastAsia="en-GB" w:bidi="ar-SA"/>
            </w:rPr>
            <w:t xml:space="preserve"> </w:t>
          </w:r>
          <w:r w:rsidR="00DF47DA" w:rsidRPr="00DF47DA">
            <w:rPr>
              <w:noProof/>
              <w:szCs w:val="24"/>
              <w:lang w:val="en-US" w:eastAsia="en-GB" w:bidi="ar-SA"/>
            </w:rPr>
            <w:t>[72]</w:t>
          </w:r>
          <w:r w:rsidR="00EF3800" w:rsidRPr="00DD1B58">
            <w:rPr>
              <w:szCs w:val="24"/>
              <w:lang w:val="en-US" w:eastAsia="en-GB" w:bidi="ar-SA"/>
            </w:rPr>
            <w:fldChar w:fldCharType="end"/>
          </w:r>
        </w:sdtContent>
      </w:sdt>
      <w:r w:rsidRPr="00DD1B58">
        <w:rPr>
          <w:szCs w:val="24"/>
          <w:lang w:val="en-US" w:eastAsia="en-GB" w:bidi="ar-SA"/>
        </w:rPr>
        <w:t>– defining requirements with guidance for use)</w:t>
      </w:r>
    </w:p>
    <w:p w14:paraId="0116887A" w14:textId="3EF1DA19" w:rsidR="6CB98F91" w:rsidRPr="00DD1B58" w:rsidRDefault="001E3039" w:rsidP="4DD370BB">
      <w:pPr>
        <w:rPr>
          <w:szCs w:val="24"/>
          <w:lang w:val="en-US" w:eastAsia="en-GB" w:bidi="ar-SA"/>
        </w:rPr>
      </w:pPr>
      <w:r w:rsidRPr="00DD1B58">
        <w:rPr>
          <w:szCs w:val="24"/>
          <w:lang w:val="en-US" w:eastAsia="en-GB" w:bidi="ar-SA"/>
        </w:rPr>
        <w:t xml:space="preserve">UUK </w:t>
      </w:r>
      <w:r w:rsidR="6CB98F91" w:rsidRPr="00DD1B58">
        <w:rPr>
          <w:szCs w:val="24"/>
          <w:lang w:val="en-US" w:eastAsia="en-GB" w:bidi="ar-SA"/>
        </w:rPr>
        <w:t>report</w:t>
      </w:r>
      <w:r w:rsidR="004B2E86" w:rsidRPr="00DD1B58">
        <w:rPr>
          <w:szCs w:val="24"/>
          <w:lang w:val="en-US" w:eastAsia="en-GB" w:bidi="ar-SA"/>
        </w:rPr>
        <w:t>s</w:t>
      </w:r>
      <w:r w:rsidR="6CB98F91" w:rsidRPr="00DD1B58">
        <w:rPr>
          <w:szCs w:val="24"/>
          <w:lang w:val="en-US" w:eastAsia="en-GB" w:bidi="ar-SA"/>
        </w:rPr>
        <w:t xml:space="preserve"> that fire events are recorded in an electronic event reporting and investigation system, supported by a linked action recording and tracking module.</w:t>
      </w:r>
      <w:r w:rsidR="00B2735A" w:rsidRPr="00DD1B58">
        <w:rPr>
          <w:szCs w:val="24"/>
          <w:lang w:val="en-US" w:eastAsia="en-GB" w:bidi="ar-SA"/>
        </w:rPr>
        <w:t xml:space="preserve"> </w:t>
      </w:r>
      <w:r w:rsidRPr="00DD1B58">
        <w:rPr>
          <w:szCs w:val="24"/>
          <w:lang w:val="en-US" w:eastAsia="en-GB" w:bidi="ar-SA"/>
        </w:rPr>
        <w:t>Several</w:t>
      </w:r>
      <w:r w:rsidR="6CB98F91" w:rsidRPr="00DD1B58">
        <w:rPr>
          <w:szCs w:val="24"/>
          <w:lang w:val="en-US" w:eastAsia="en-GB" w:bidi="ar-SA"/>
        </w:rPr>
        <w:t xml:space="preserve"> examples of fire safety improvement projects </w:t>
      </w:r>
      <w:r w:rsidR="006613CC" w:rsidRPr="00DD1B58">
        <w:rPr>
          <w:szCs w:val="24"/>
          <w:lang w:val="en-US" w:eastAsia="en-GB" w:bidi="ar-SA"/>
        </w:rPr>
        <w:t xml:space="preserve">are </w:t>
      </w:r>
      <w:r w:rsidR="0050489F" w:rsidRPr="00DD1B58">
        <w:rPr>
          <w:szCs w:val="24"/>
          <w:lang w:val="en-US" w:eastAsia="en-GB" w:bidi="ar-SA"/>
        </w:rPr>
        <w:t>referenced</w:t>
      </w:r>
      <w:r w:rsidR="6CB98F91" w:rsidRPr="00DD1B58">
        <w:rPr>
          <w:szCs w:val="24"/>
          <w:lang w:val="en-US" w:eastAsia="en-GB" w:bidi="ar-SA"/>
        </w:rPr>
        <w:t xml:space="preserve"> involving emergency lighting, compartmentation and fire alarm and detection systems and further projects, not referenced in the submission includ</w:t>
      </w:r>
      <w:r w:rsidR="001F5E82" w:rsidRPr="00DD1B58">
        <w:rPr>
          <w:szCs w:val="24"/>
          <w:lang w:val="en-US" w:eastAsia="en-GB" w:bidi="ar-SA"/>
        </w:rPr>
        <w:t>e</w:t>
      </w:r>
      <w:r w:rsidR="6CB98F91" w:rsidRPr="00DD1B58">
        <w:rPr>
          <w:szCs w:val="24"/>
          <w:lang w:val="en-US" w:eastAsia="en-GB" w:bidi="ar-SA"/>
        </w:rPr>
        <w:t xml:space="preserve"> improvements to the emergency control centre and fire hydrant main system.</w:t>
      </w:r>
      <w:r w:rsidR="00E6384D" w:rsidRPr="00DD1B58">
        <w:rPr>
          <w:szCs w:val="24"/>
          <w:lang w:val="en-US" w:eastAsia="en-GB" w:bidi="ar-SA"/>
        </w:rPr>
        <w:t xml:space="preserve"> These are referred to in Chapter 3.</w:t>
      </w:r>
    </w:p>
    <w:p w14:paraId="07EA37C2" w14:textId="5F48BE1B" w:rsidR="004D46CD" w:rsidRPr="00DD1B58" w:rsidRDefault="004D46CD" w:rsidP="004D46CD">
      <w:pPr>
        <w:rPr>
          <w:szCs w:val="24"/>
          <w:lang w:val="en-US" w:eastAsia="en-GB" w:bidi="ar-SA"/>
        </w:rPr>
      </w:pPr>
      <w:r w:rsidRPr="00DD1B58">
        <w:rPr>
          <w:szCs w:val="24"/>
          <w:lang w:val="en-US" w:eastAsia="en-GB" w:bidi="ar-SA"/>
        </w:rPr>
        <w:t xml:space="preserve">UUK </w:t>
      </w:r>
      <w:r w:rsidR="009C2354" w:rsidRPr="00DD1B58">
        <w:rPr>
          <w:szCs w:val="24"/>
          <w:lang w:val="en-US" w:eastAsia="en-GB" w:bidi="ar-SA"/>
        </w:rPr>
        <w:t>self</w:t>
      </w:r>
      <w:r w:rsidR="004E60D6" w:rsidRPr="00DD1B58">
        <w:rPr>
          <w:szCs w:val="24"/>
          <w:lang w:val="en-US" w:eastAsia="en-GB" w:bidi="ar-SA"/>
        </w:rPr>
        <w:t>-</w:t>
      </w:r>
      <w:r w:rsidR="009C2354" w:rsidRPr="00DD1B58">
        <w:rPr>
          <w:szCs w:val="24"/>
          <w:lang w:val="en-US" w:eastAsia="en-GB" w:bidi="ar-SA"/>
        </w:rPr>
        <w:t>assessment</w:t>
      </w:r>
      <w:r w:rsidRPr="00DD1B58">
        <w:rPr>
          <w:szCs w:val="24"/>
          <w:lang w:val="en-US" w:eastAsia="en-GB" w:bidi="ar-SA"/>
        </w:rPr>
        <w:t xml:space="preserve"> describe</w:t>
      </w:r>
      <w:r w:rsidR="009C2354" w:rsidRPr="00DD1B58">
        <w:rPr>
          <w:szCs w:val="24"/>
          <w:lang w:val="en-US" w:eastAsia="en-GB" w:bidi="ar-SA"/>
        </w:rPr>
        <w:t>s</w:t>
      </w:r>
      <w:r w:rsidRPr="00DD1B58">
        <w:rPr>
          <w:szCs w:val="24"/>
          <w:lang w:val="en-US" w:eastAsia="en-GB" w:bidi="ar-SA"/>
        </w:rPr>
        <w:t xml:space="preserve"> fire sources as being predominantly conventional, with the potential for nuclear fire risk subsequently generated from key plant or equipment threatened by radiative and conductive heat transfer and that, where required, improvements had been recommended to ensure sufficient lines of protection are available and residual risks are maintained at ALARP levels. UUK </w:t>
      </w:r>
      <w:r w:rsidR="008F4C42" w:rsidRPr="00DD1B58">
        <w:rPr>
          <w:szCs w:val="24"/>
          <w:lang w:val="en-US" w:eastAsia="en-GB" w:bidi="ar-SA"/>
        </w:rPr>
        <w:t>describes</w:t>
      </w:r>
      <w:r w:rsidRPr="00DD1B58">
        <w:rPr>
          <w:szCs w:val="24"/>
          <w:lang w:val="en-US" w:eastAsia="en-GB" w:bidi="ar-SA"/>
        </w:rPr>
        <w:t xml:space="preserve"> that the dominant fire hazards ar</w:t>
      </w:r>
      <w:r w:rsidR="008F4C42" w:rsidRPr="00DD1B58">
        <w:rPr>
          <w:szCs w:val="24"/>
          <w:lang w:val="en-US" w:eastAsia="en-GB" w:bidi="ar-SA"/>
        </w:rPr>
        <w:t>i</w:t>
      </w:r>
      <w:r w:rsidRPr="00DD1B58">
        <w:rPr>
          <w:szCs w:val="24"/>
          <w:lang w:val="en-US" w:eastAsia="en-GB" w:bidi="ar-SA"/>
        </w:rPr>
        <w:t>se in areas where there is significant combustible load in proximity to nuclear inventory. It states that these relate to permanent combustible loads within the facility</w:t>
      </w:r>
      <w:r w:rsidR="0087328C" w:rsidRPr="00DD1B58">
        <w:rPr>
          <w:szCs w:val="24"/>
          <w:lang w:val="en-US" w:eastAsia="en-GB" w:bidi="ar-SA"/>
        </w:rPr>
        <w:t>,</w:t>
      </w:r>
      <w:r w:rsidRPr="00DD1B58">
        <w:rPr>
          <w:szCs w:val="24"/>
          <w:lang w:val="en-US" w:eastAsia="en-GB" w:bidi="ar-SA"/>
        </w:rPr>
        <w:t xml:space="preserve"> such as potentially combustible insulated core panels both internal and external to building structures. UUK’s self-assessment acknowledges the importance of adequately addressing the risks presented by insulated core panels and </w:t>
      </w:r>
      <w:r w:rsidR="008A2024" w:rsidRPr="00DD1B58">
        <w:rPr>
          <w:szCs w:val="24"/>
          <w:lang w:val="en-US" w:eastAsia="en-GB" w:bidi="ar-SA"/>
        </w:rPr>
        <w:t>understanding of this risk was demonstr</w:t>
      </w:r>
      <w:r w:rsidR="00FA01C4" w:rsidRPr="00DD1B58">
        <w:rPr>
          <w:szCs w:val="24"/>
          <w:lang w:val="en-US" w:eastAsia="en-GB" w:bidi="ar-SA"/>
        </w:rPr>
        <w:t>ated following a recent ONR fire inspection.</w:t>
      </w:r>
      <w:r w:rsidRPr="00DD1B58">
        <w:rPr>
          <w:szCs w:val="24"/>
          <w:lang w:val="en-US" w:eastAsia="en-GB" w:bidi="ar-SA"/>
        </w:rPr>
        <w:t xml:space="preserve"> </w:t>
      </w:r>
    </w:p>
    <w:p w14:paraId="00CD9D0F" w14:textId="7751C6FF" w:rsidR="6CB98F91" w:rsidRPr="00DD1B58" w:rsidRDefault="00C70E65" w:rsidP="4DD370BB">
      <w:pPr>
        <w:spacing w:line="257" w:lineRule="auto"/>
        <w:rPr>
          <w:b/>
          <w:szCs w:val="24"/>
          <w:lang w:val="en-US" w:eastAsia="en-GB" w:bidi="ar-SA"/>
        </w:rPr>
      </w:pPr>
      <w:r w:rsidRPr="00DD1B58">
        <w:rPr>
          <w:b/>
          <w:szCs w:val="24"/>
          <w:lang w:val="en-US" w:eastAsia="en-GB" w:bidi="ar-SA"/>
        </w:rPr>
        <w:t>W</w:t>
      </w:r>
      <w:r w:rsidR="6CB98F91" w:rsidRPr="00DD1B58">
        <w:rPr>
          <w:b/>
          <w:szCs w:val="24"/>
          <w:lang w:val="en-US" w:eastAsia="en-GB" w:bidi="ar-SA"/>
        </w:rPr>
        <w:t>eakness</w:t>
      </w:r>
      <w:r w:rsidRPr="00DD1B58">
        <w:rPr>
          <w:b/>
          <w:szCs w:val="24"/>
          <w:lang w:val="en-US" w:eastAsia="en-GB" w:bidi="ar-SA"/>
        </w:rPr>
        <w:t>es</w:t>
      </w:r>
      <w:r w:rsidR="6CB98F91" w:rsidRPr="00DD1B58">
        <w:rPr>
          <w:b/>
          <w:szCs w:val="24"/>
          <w:lang w:val="en-US" w:eastAsia="en-GB" w:bidi="ar-SA"/>
        </w:rPr>
        <w:t xml:space="preserve">  </w:t>
      </w:r>
    </w:p>
    <w:p w14:paraId="3C2EA9BC" w14:textId="46850D05" w:rsidR="00D87161" w:rsidRPr="00DD1B58" w:rsidRDefault="00B63E2C" w:rsidP="00D87161">
      <w:pPr>
        <w:rPr>
          <w:szCs w:val="24"/>
          <w:lang w:val="en-US" w:eastAsia="en-GB" w:bidi="ar-SA"/>
        </w:rPr>
      </w:pPr>
      <w:r w:rsidRPr="00DD1B58">
        <w:rPr>
          <w:szCs w:val="24"/>
          <w:lang w:val="en-US" w:eastAsia="en-GB" w:bidi="ar-SA"/>
        </w:rPr>
        <w:t>In consideration of the risk presented by insulated core panels</w:t>
      </w:r>
      <w:r w:rsidR="0039161D" w:rsidRPr="00DD1B58">
        <w:rPr>
          <w:szCs w:val="24"/>
          <w:lang w:val="en-US" w:eastAsia="en-GB" w:bidi="ar-SA"/>
        </w:rPr>
        <w:t>, UUK acknowledged</w:t>
      </w:r>
      <w:r w:rsidR="006B6CD5" w:rsidRPr="00DD1B58">
        <w:rPr>
          <w:szCs w:val="24"/>
          <w:lang w:val="en-US" w:eastAsia="en-GB" w:bidi="ar-SA"/>
        </w:rPr>
        <w:t xml:space="preserve"> in t</w:t>
      </w:r>
      <w:r w:rsidR="0031739B" w:rsidRPr="00DD1B58">
        <w:rPr>
          <w:szCs w:val="24"/>
          <w:lang w:val="en-US" w:eastAsia="en-GB" w:bidi="ar-SA"/>
        </w:rPr>
        <w:t xml:space="preserve">he UUK </w:t>
      </w:r>
      <w:r w:rsidR="00595C6E" w:rsidRPr="00DD1B58">
        <w:rPr>
          <w:szCs w:val="24"/>
          <w:lang w:val="en-US" w:eastAsia="en-GB" w:bidi="ar-SA"/>
        </w:rPr>
        <w:t>External Wall Cladding Register document</w:t>
      </w:r>
      <w:r w:rsidR="0003352C" w:rsidRPr="00DD1B58">
        <w:rPr>
          <w:szCs w:val="24"/>
          <w:lang w:val="en-US" w:eastAsia="en-GB" w:bidi="ar-SA"/>
        </w:rPr>
        <w:t>,</w:t>
      </w:r>
      <w:r w:rsidR="00595C6E" w:rsidRPr="00DD1B58">
        <w:rPr>
          <w:szCs w:val="24"/>
          <w:lang w:val="en-US" w:eastAsia="en-GB" w:bidi="ar-SA"/>
        </w:rPr>
        <w:t xml:space="preserve"> </w:t>
      </w:r>
      <w:r w:rsidR="0039161D" w:rsidRPr="00DD1B58">
        <w:rPr>
          <w:szCs w:val="24"/>
          <w:lang w:val="en-US" w:eastAsia="en-GB" w:bidi="ar-SA"/>
        </w:rPr>
        <w:t xml:space="preserve"> that there</w:t>
      </w:r>
      <w:r w:rsidR="00CB6D7A" w:rsidRPr="00DD1B58">
        <w:rPr>
          <w:szCs w:val="24"/>
          <w:lang w:val="en-US" w:eastAsia="en-GB" w:bidi="ar-SA"/>
        </w:rPr>
        <w:t xml:space="preserve"> </w:t>
      </w:r>
      <w:r w:rsidR="00F266F7" w:rsidRPr="00DD1B58">
        <w:rPr>
          <w:szCs w:val="24"/>
          <w:lang w:val="en-US" w:eastAsia="en-GB" w:bidi="ar-SA"/>
        </w:rPr>
        <w:t>are</w:t>
      </w:r>
      <w:r w:rsidR="00CB6D7A" w:rsidRPr="00DD1B58">
        <w:rPr>
          <w:szCs w:val="24"/>
          <w:lang w:val="en-US" w:eastAsia="en-GB" w:bidi="ar-SA"/>
        </w:rPr>
        <w:t xml:space="preserve"> examples </w:t>
      </w:r>
      <w:r w:rsidR="006A130B" w:rsidRPr="00DD1B58">
        <w:rPr>
          <w:szCs w:val="24"/>
          <w:lang w:val="en-US" w:eastAsia="en-GB" w:bidi="ar-SA"/>
        </w:rPr>
        <w:t xml:space="preserve">where </w:t>
      </w:r>
      <w:r w:rsidR="00F11E1C" w:rsidRPr="00DD1B58">
        <w:rPr>
          <w:szCs w:val="24"/>
          <w:lang w:val="en-US" w:eastAsia="en-GB" w:bidi="ar-SA"/>
        </w:rPr>
        <w:t>this risk is not co</w:t>
      </w:r>
      <w:r w:rsidR="001636DA" w:rsidRPr="00DD1B58">
        <w:rPr>
          <w:szCs w:val="24"/>
          <w:lang w:val="en-US" w:eastAsia="en-GB" w:bidi="ar-SA"/>
        </w:rPr>
        <w:t>nsidered</w:t>
      </w:r>
      <w:r w:rsidR="00F11E1C" w:rsidRPr="00DD1B58">
        <w:rPr>
          <w:szCs w:val="24"/>
          <w:lang w:val="en-US" w:eastAsia="en-GB" w:bidi="ar-SA"/>
        </w:rPr>
        <w:t xml:space="preserve"> in</w:t>
      </w:r>
      <w:r w:rsidR="006A130B" w:rsidRPr="00DD1B58">
        <w:rPr>
          <w:szCs w:val="24"/>
          <w:lang w:val="en-US" w:eastAsia="en-GB" w:bidi="ar-SA"/>
        </w:rPr>
        <w:t xml:space="preserve"> the </w:t>
      </w:r>
      <w:r w:rsidR="00F11E1C" w:rsidRPr="00DD1B58">
        <w:rPr>
          <w:szCs w:val="24"/>
          <w:lang w:val="en-US" w:eastAsia="en-GB" w:bidi="ar-SA"/>
        </w:rPr>
        <w:t>extant</w:t>
      </w:r>
      <w:r w:rsidR="00CB6D7A" w:rsidRPr="00DD1B58">
        <w:rPr>
          <w:szCs w:val="24"/>
          <w:lang w:val="en-US" w:eastAsia="en-GB" w:bidi="ar-SA"/>
        </w:rPr>
        <w:t xml:space="preserve"> </w:t>
      </w:r>
      <w:r w:rsidR="00DB76AD" w:rsidRPr="00DD1B58">
        <w:rPr>
          <w:szCs w:val="24"/>
          <w:lang w:val="en-US" w:eastAsia="en-GB" w:bidi="ar-SA"/>
        </w:rPr>
        <w:t>s</w:t>
      </w:r>
      <w:r w:rsidR="00CB6D7A" w:rsidRPr="00DD1B58">
        <w:rPr>
          <w:szCs w:val="24"/>
          <w:lang w:val="en-US" w:eastAsia="en-GB" w:bidi="ar-SA"/>
        </w:rPr>
        <w:t xml:space="preserve">afety </w:t>
      </w:r>
      <w:r w:rsidR="00DB76AD" w:rsidRPr="00DD1B58">
        <w:rPr>
          <w:szCs w:val="24"/>
          <w:lang w:val="en-US" w:eastAsia="en-GB" w:bidi="ar-SA"/>
        </w:rPr>
        <w:t>c</w:t>
      </w:r>
      <w:r w:rsidR="00CB6D7A" w:rsidRPr="00DD1B58">
        <w:rPr>
          <w:szCs w:val="24"/>
          <w:lang w:val="en-US" w:eastAsia="en-GB" w:bidi="ar-SA"/>
        </w:rPr>
        <w:t>ase</w:t>
      </w:r>
      <w:r w:rsidR="00A545A1" w:rsidRPr="00DD1B58">
        <w:rPr>
          <w:szCs w:val="24"/>
          <w:lang w:val="en-US" w:eastAsia="en-GB" w:bidi="ar-SA"/>
        </w:rPr>
        <w:t>,</w:t>
      </w:r>
      <w:r w:rsidR="00CB6D7A" w:rsidRPr="00DD1B58">
        <w:rPr>
          <w:szCs w:val="24"/>
          <w:lang w:val="en-US" w:eastAsia="en-GB" w:bidi="ar-SA"/>
        </w:rPr>
        <w:t xml:space="preserve"> </w:t>
      </w:r>
      <w:r w:rsidR="00316F73" w:rsidRPr="00DD1B58">
        <w:rPr>
          <w:szCs w:val="24"/>
          <w:lang w:val="en-US" w:eastAsia="en-GB" w:bidi="ar-SA"/>
        </w:rPr>
        <w:t>but that</w:t>
      </w:r>
      <w:r w:rsidR="001636DA" w:rsidRPr="00DD1B58">
        <w:rPr>
          <w:szCs w:val="24"/>
          <w:lang w:val="en-US" w:eastAsia="en-GB" w:bidi="ar-SA"/>
        </w:rPr>
        <w:t xml:space="preserve"> an</w:t>
      </w:r>
      <w:r w:rsidR="00316F73" w:rsidRPr="00DD1B58">
        <w:rPr>
          <w:szCs w:val="24"/>
          <w:lang w:val="en-US" w:eastAsia="en-GB" w:bidi="ar-SA"/>
        </w:rPr>
        <w:t xml:space="preserve"> assessment of the findings</w:t>
      </w:r>
      <w:r w:rsidR="00492DB6" w:rsidRPr="00DD1B58">
        <w:rPr>
          <w:szCs w:val="24"/>
          <w:lang w:val="en-US" w:eastAsia="en-GB" w:bidi="ar-SA"/>
        </w:rPr>
        <w:t xml:space="preserve"> concluded that the </w:t>
      </w:r>
      <w:r w:rsidR="00D87161" w:rsidRPr="00DD1B58">
        <w:rPr>
          <w:szCs w:val="24"/>
          <w:lang w:val="en-US" w:eastAsia="en-GB" w:bidi="ar-SA"/>
        </w:rPr>
        <w:t xml:space="preserve">nuclear fire safety risk from all buildings was acceptable </w:t>
      </w:r>
      <w:r w:rsidR="005F2ABF" w:rsidRPr="00DD1B58">
        <w:rPr>
          <w:szCs w:val="24"/>
          <w:lang w:val="en-US" w:eastAsia="en-GB" w:bidi="ar-SA"/>
        </w:rPr>
        <w:t>a</w:t>
      </w:r>
      <w:r w:rsidR="00D87161" w:rsidRPr="00DD1B58">
        <w:rPr>
          <w:szCs w:val="24"/>
          <w:lang w:val="en-US" w:eastAsia="en-GB" w:bidi="ar-SA"/>
        </w:rPr>
        <w:t>nd that the nuclear fire safety risk from building cladding did not require any acceleration of the planned Long Term Periodic Review of the safety cases.</w:t>
      </w:r>
      <w:r w:rsidR="00FA227D" w:rsidRPr="00DD1B58">
        <w:rPr>
          <w:szCs w:val="24"/>
          <w:lang w:val="en-US" w:eastAsia="en-GB" w:bidi="ar-SA"/>
        </w:rPr>
        <w:t xml:space="preserve"> </w:t>
      </w:r>
      <w:r w:rsidR="00FA60DE" w:rsidRPr="00DD1B58">
        <w:rPr>
          <w:szCs w:val="24"/>
          <w:lang w:val="en-US" w:eastAsia="en-GB" w:bidi="ar-SA"/>
        </w:rPr>
        <w:t xml:space="preserve">UUK should ensure that the nuclear fire risk presented by </w:t>
      </w:r>
      <w:r w:rsidR="00F07C5B" w:rsidRPr="00DD1B58">
        <w:rPr>
          <w:szCs w:val="24"/>
          <w:lang w:val="en-US" w:eastAsia="en-GB" w:bidi="ar-SA"/>
        </w:rPr>
        <w:t>fire sources, such as</w:t>
      </w:r>
      <w:r w:rsidR="00FA60DE" w:rsidRPr="00DD1B58">
        <w:rPr>
          <w:szCs w:val="24"/>
          <w:lang w:val="en-US" w:eastAsia="en-GB" w:bidi="ar-SA"/>
        </w:rPr>
        <w:t xml:space="preserve"> insulated core panels and other sources</w:t>
      </w:r>
      <w:r w:rsidR="00F07C5B" w:rsidRPr="00DD1B58">
        <w:rPr>
          <w:szCs w:val="24"/>
          <w:lang w:val="en-US" w:eastAsia="en-GB" w:bidi="ar-SA"/>
        </w:rPr>
        <w:t>,</w:t>
      </w:r>
      <w:r w:rsidR="00FA60DE" w:rsidRPr="00DD1B58">
        <w:rPr>
          <w:szCs w:val="24"/>
          <w:lang w:val="en-US" w:eastAsia="en-GB" w:bidi="ar-SA"/>
        </w:rPr>
        <w:t xml:space="preserve"> is identified and analysed within </w:t>
      </w:r>
      <w:r w:rsidR="00F07C5B" w:rsidRPr="00DD1B58">
        <w:rPr>
          <w:szCs w:val="24"/>
          <w:lang w:val="en-US" w:eastAsia="en-GB" w:bidi="ar-SA"/>
        </w:rPr>
        <w:t>future review of</w:t>
      </w:r>
      <w:r w:rsidR="00FA60DE" w:rsidRPr="00DD1B58">
        <w:rPr>
          <w:szCs w:val="24"/>
          <w:lang w:val="en-US" w:eastAsia="en-GB" w:bidi="ar-SA"/>
        </w:rPr>
        <w:t xml:space="preserve"> safety cases.</w:t>
      </w:r>
    </w:p>
    <w:p w14:paraId="653271A7" w14:textId="2DABFF8A" w:rsidR="00822D0F" w:rsidRPr="00DD1B58" w:rsidRDefault="006E741B" w:rsidP="00822D0F">
      <w:pPr>
        <w:rPr>
          <w:szCs w:val="24"/>
          <w:lang w:val="en-US" w:eastAsia="en-GB" w:bidi="ar-SA"/>
        </w:rPr>
      </w:pPr>
      <w:r w:rsidRPr="00DD1B58">
        <w:rPr>
          <w:szCs w:val="24"/>
          <w:lang w:val="en-US" w:eastAsia="en-GB" w:bidi="ar-SA"/>
        </w:rPr>
        <w:t>It was identified by ONR d</w:t>
      </w:r>
      <w:r w:rsidR="00C40898" w:rsidRPr="00DD1B58">
        <w:rPr>
          <w:szCs w:val="24"/>
          <w:lang w:val="en-US" w:eastAsia="en-GB" w:bidi="ar-SA"/>
        </w:rPr>
        <w:t>uring the</w:t>
      </w:r>
      <w:r w:rsidR="000F2CD8" w:rsidRPr="00DD1B58">
        <w:rPr>
          <w:szCs w:val="24"/>
          <w:lang w:val="en-US" w:eastAsia="en-GB" w:bidi="ar-SA"/>
        </w:rPr>
        <w:t xml:space="preserve"> </w:t>
      </w:r>
      <w:r w:rsidR="00C40898" w:rsidRPr="00DD1B58">
        <w:rPr>
          <w:szCs w:val="24"/>
          <w:lang w:val="en-US" w:eastAsia="en-GB" w:bidi="ar-SA"/>
        </w:rPr>
        <w:t xml:space="preserve">2023 fire safety intervention at </w:t>
      </w:r>
      <w:r w:rsidR="000F2CD8" w:rsidRPr="00DD1B58">
        <w:rPr>
          <w:szCs w:val="24"/>
          <w:lang w:val="en-US" w:eastAsia="en-GB" w:bidi="ar-SA"/>
        </w:rPr>
        <w:t>UUK</w:t>
      </w:r>
      <w:r w:rsidR="00C40898" w:rsidRPr="00DD1B58">
        <w:rPr>
          <w:szCs w:val="24"/>
          <w:lang w:val="en-US" w:eastAsia="en-GB" w:bidi="ar-SA"/>
        </w:rPr>
        <w:t>,</w:t>
      </w:r>
      <w:r w:rsidR="00373CE5" w:rsidRPr="00DD1B58">
        <w:rPr>
          <w:szCs w:val="24"/>
          <w:lang w:val="en-US" w:eastAsia="en-GB" w:bidi="ar-SA"/>
        </w:rPr>
        <w:t xml:space="preserve"> that a </w:t>
      </w:r>
      <w:r w:rsidR="0078099E" w:rsidRPr="00DD1B58">
        <w:rPr>
          <w:szCs w:val="24"/>
          <w:lang w:val="en-US" w:eastAsia="en-GB" w:bidi="ar-SA"/>
        </w:rPr>
        <w:t xml:space="preserve">UUK </w:t>
      </w:r>
      <w:r w:rsidR="00373CE5" w:rsidRPr="00DD1B58">
        <w:rPr>
          <w:szCs w:val="24"/>
          <w:lang w:val="en-US" w:eastAsia="en-GB" w:bidi="ar-SA"/>
        </w:rPr>
        <w:t>safety case</w:t>
      </w:r>
      <w:r w:rsidR="00C40898" w:rsidRPr="00DD1B58">
        <w:rPr>
          <w:szCs w:val="24"/>
          <w:lang w:val="en-US" w:eastAsia="en-GB" w:bidi="ar-SA"/>
        </w:rPr>
        <w:t xml:space="preserve"> </w:t>
      </w:r>
      <w:r w:rsidR="00822D0F" w:rsidRPr="00DD1B58">
        <w:rPr>
          <w:szCs w:val="24"/>
          <w:lang w:val="en-US" w:eastAsia="en-GB" w:bidi="ar-SA"/>
        </w:rPr>
        <w:t xml:space="preserve">originally produced in 2003 </w:t>
      </w:r>
      <w:r w:rsidR="000B451F" w:rsidRPr="00DD1B58">
        <w:rPr>
          <w:szCs w:val="24"/>
          <w:lang w:val="en-US" w:eastAsia="en-GB" w:bidi="ar-SA"/>
        </w:rPr>
        <w:t xml:space="preserve">was </w:t>
      </w:r>
      <w:r w:rsidR="00822D0F" w:rsidRPr="00DD1B58">
        <w:rPr>
          <w:szCs w:val="24"/>
          <w:lang w:val="en-US" w:eastAsia="en-GB" w:bidi="ar-SA"/>
        </w:rPr>
        <w:t>being updated to modern standards and that a Nuclear Fire &amp; Explosion Hazard Analysis document was being developed as part of this process</w:t>
      </w:r>
      <w:r w:rsidR="006B5CE5" w:rsidRPr="00DD1B58">
        <w:rPr>
          <w:szCs w:val="24"/>
          <w:lang w:val="en-US" w:eastAsia="en-GB" w:bidi="ar-SA"/>
        </w:rPr>
        <w:t xml:space="preserve"> and </w:t>
      </w:r>
      <w:r w:rsidR="00D751C8" w:rsidRPr="00DD1B58">
        <w:rPr>
          <w:szCs w:val="24"/>
          <w:lang w:val="en-US" w:eastAsia="en-GB" w:bidi="ar-SA"/>
        </w:rPr>
        <w:t>this process is encouraged by ONR</w:t>
      </w:r>
      <w:r w:rsidR="00822D0F" w:rsidRPr="00DD1B58">
        <w:rPr>
          <w:szCs w:val="24"/>
          <w:lang w:val="en-US" w:eastAsia="en-GB" w:bidi="ar-SA"/>
        </w:rPr>
        <w:t>.</w:t>
      </w:r>
      <w:r w:rsidR="006B5CE5" w:rsidRPr="00DD1B58">
        <w:rPr>
          <w:szCs w:val="24"/>
          <w:lang w:val="en-US" w:eastAsia="en-GB" w:bidi="ar-SA"/>
        </w:rPr>
        <w:t xml:space="preserve"> </w:t>
      </w:r>
    </w:p>
    <w:p w14:paraId="1B8E7ED8" w14:textId="2522CFD9" w:rsidR="00AC697E" w:rsidRPr="00DD1B58" w:rsidRDefault="00AD0B55" w:rsidP="00822D0F">
      <w:pPr>
        <w:rPr>
          <w:szCs w:val="24"/>
          <w:lang w:val="en-US" w:eastAsia="en-GB" w:bidi="ar-SA"/>
        </w:rPr>
      </w:pPr>
      <w:r w:rsidRPr="00DD1B58">
        <w:rPr>
          <w:szCs w:val="24"/>
          <w:lang w:val="en-US" w:eastAsia="en-GB" w:bidi="ar-SA"/>
        </w:rPr>
        <w:t xml:space="preserve">UUK referenced the </w:t>
      </w:r>
      <w:r w:rsidR="00921BAC" w:rsidRPr="00DD1B58">
        <w:rPr>
          <w:szCs w:val="24"/>
          <w:lang w:val="en-US" w:eastAsia="en-GB" w:bidi="ar-SA"/>
        </w:rPr>
        <w:t xml:space="preserve">Urenco Safety Case Manual (SCM) and Safety Assessment Handbook (SAH) </w:t>
      </w:r>
      <w:r w:rsidRPr="00DD1B58">
        <w:rPr>
          <w:szCs w:val="24"/>
          <w:lang w:val="en-US" w:eastAsia="en-GB" w:bidi="ar-SA"/>
        </w:rPr>
        <w:t>in its self-assessment and</w:t>
      </w:r>
      <w:r w:rsidR="00921BAC" w:rsidRPr="00DD1B58">
        <w:rPr>
          <w:szCs w:val="24"/>
          <w:lang w:val="en-US" w:eastAsia="en-GB" w:bidi="ar-SA"/>
        </w:rPr>
        <w:t xml:space="preserve"> </w:t>
      </w:r>
      <w:r w:rsidRPr="00DD1B58">
        <w:rPr>
          <w:szCs w:val="24"/>
          <w:lang w:val="en-US" w:eastAsia="en-GB" w:bidi="ar-SA"/>
        </w:rPr>
        <w:t xml:space="preserve">these </w:t>
      </w:r>
      <w:r w:rsidR="000808FF" w:rsidRPr="00DD1B58">
        <w:rPr>
          <w:szCs w:val="24"/>
          <w:lang w:val="en-US" w:eastAsia="en-GB" w:bidi="ar-SA"/>
        </w:rPr>
        <w:t xml:space="preserve">generically </w:t>
      </w:r>
      <w:r w:rsidRPr="00DD1B58">
        <w:rPr>
          <w:szCs w:val="24"/>
          <w:lang w:val="en-US" w:eastAsia="en-GB" w:bidi="ar-SA"/>
        </w:rPr>
        <w:t xml:space="preserve">reference </w:t>
      </w:r>
      <w:r w:rsidR="00921BAC" w:rsidRPr="00DD1B58">
        <w:rPr>
          <w:szCs w:val="24"/>
          <w:lang w:val="en-US" w:eastAsia="en-GB" w:bidi="ar-SA"/>
        </w:rPr>
        <w:t>a range of guidance including ONR SAPs and TAGs, IAEA and WENRA guidance</w:t>
      </w:r>
      <w:r w:rsidR="000808FF" w:rsidRPr="00DD1B58">
        <w:rPr>
          <w:szCs w:val="24"/>
          <w:lang w:val="en-US" w:eastAsia="en-GB" w:bidi="ar-SA"/>
        </w:rPr>
        <w:t>. ONR</w:t>
      </w:r>
      <w:r w:rsidR="000604E8" w:rsidRPr="00DD1B58">
        <w:rPr>
          <w:szCs w:val="24"/>
          <w:lang w:val="en-US" w:eastAsia="en-GB" w:bidi="ar-SA"/>
        </w:rPr>
        <w:t xml:space="preserve"> recommend</w:t>
      </w:r>
      <w:r w:rsidR="000808FF" w:rsidRPr="00DD1B58">
        <w:rPr>
          <w:szCs w:val="24"/>
          <w:lang w:val="en-US" w:eastAsia="en-GB" w:bidi="ar-SA"/>
        </w:rPr>
        <w:t>s</w:t>
      </w:r>
      <w:r w:rsidR="000604E8" w:rsidRPr="00DD1B58">
        <w:rPr>
          <w:szCs w:val="24"/>
          <w:lang w:val="en-US" w:eastAsia="en-GB" w:bidi="ar-SA"/>
        </w:rPr>
        <w:t xml:space="preserve"> that </w:t>
      </w:r>
      <w:r w:rsidR="000808FF" w:rsidRPr="00DD1B58">
        <w:rPr>
          <w:szCs w:val="24"/>
          <w:lang w:val="en-US" w:eastAsia="en-GB" w:bidi="ar-SA"/>
        </w:rPr>
        <w:t xml:space="preserve">UUK </w:t>
      </w:r>
      <w:r w:rsidR="000604E8" w:rsidRPr="00DD1B58">
        <w:rPr>
          <w:szCs w:val="24"/>
          <w:lang w:val="en-US" w:eastAsia="en-GB" w:bidi="ar-SA"/>
        </w:rPr>
        <w:t xml:space="preserve">maintains </w:t>
      </w:r>
      <w:r w:rsidR="008C18E7" w:rsidRPr="00DD1B58">
        <w:rPr>
          <w:szCs w:val="24"/>
          <w:lang w:val="en-US" w:eastAsia="en-GB" w:bidi="ar-SA"/>
        </w:rPr>
        <w:t xml:space="preserve">focus on the development of </w:t>
      </w:r>
      <w:r w:rsidR="00DB76AD" w:rsidRPr="00DD1B58">
        <w:rPr>
          <w:szCs w:val="24"/>
          <w:lang w:val="en-US" w:eastAsia="en-GB" w:bidi="ar-SA"/>
        </w:rPr>
        <w:t>s</w:t>
      </w:r>
      <w:r w:rsidR="008C18E7" w:rsidRPr="00DD1B58">
        <w:rPr>
          <w:szCs w:val="24"/>
          <w:lang w:val="en-US" w:eastAsia="en-GB" w:bidi="ar-SA"/>
        </w:rPr>
        <w:t xml:space="preserve">afety </w:t>
      </w:r>
      <w:r w:rsidR="00DB76AD" w:rsidRPr="00DD1B58">
        <w:rPr>
          <w:szCs w:val="24"/>
          <w:lang w:val="en-US" w:eastAsia="en-GB" w:bidi="ar-SA"/>
        </w:rPr>
        <w:t>c</w:t>
      </w:r>
      <w:r w:rsidR="008C18E7" w:rsidRPr="00DD1B58">
        <w:rPr>
          <w:szCs w:val="24"/>
          <w:lang w:val="en-US" w:eastAsia="en-GB" w:bidi="ar-SA"/>
        </w:rPr>
        <w:t xml:space="preserve">ase </w:t>
      </w:r>
      <w:r w:rsidR="009E6BE4" w:rsidRPr="00DD1B58">
        <w:rPr>
          <w:szCs w:val="24"/>
          <w:lang w:val="en-US" w:eastAsia="en-GB" w:bidi="ar-SA"/>
        </w:rPr>
        <w:t xml:space="preserve">standards and takes the opportunity to ensure </w:t>
      </w:r>
      <w:r w:rsidR="000808FF" w:rsidRPr="00DD1B58">
        <w:rPr>
          <w:szCs w:val="24"/>
          <w:lang w:val="en-US" w:eastAsia="en-GB" w:bidi="ar-SA"/>
        </w:rPr>
        <w:t xml:space="preserve">explicitly </w:t>
      </w:r>
      <w:r w:rsidR="00340F9D" w:rsidRPr="00DD1B58">
        <w:rPr>
          <w:szCs w:val="24"/>
          <w:lang w:val="en-US" w:eastAsia="en-GB" w:bidi="ar-SA"/>
        </w:rPr>
        <w:t>reference</w:t>
      </w:r>
      <w:r w:rsidR="00CC3C70" w:rsidRPr="00DD1B58">
        <w:rPr>
          <w:szCs w:val="24"/>
          <w:lang w:val="en-US" w:eastAsia="en-GB" w:bidi="ar-SA"/>
        </w:rPr>
        <w:t xml:space="preserve"> </w:t>
      </w:r>
      <w:r w:rsidR="000075BD" w:rsidRPr="00DD1B58">
        <w:rPr>
          <w:szCs w:val="24"/>
          <w:lang w:val="en-US" w:eastAsia="en-GB" w:bidi="ar-SA"/>
        </w:rPr>
        <w:t>and implementation of</w:t>
      </w:r>
      <w:r w:rsidR="00CC3C70" w:rsidRPr="00DD1B58">
        <w:rPr>
          <w:szCs w:val="24"/>
          <w:lang w:val="en-US" w:eastAsia="en-GB" w:bidi="ar-SA"/>
        </w:rPr>
        <w:t xml:space="preserve"> relevant good practice guidance</w:t>
      </w:r>
      <w:r w:rsidR="004D5AAC" w:rsidRPr="00DD1B58">
        <w:rPr>
          <w:szCs w:val="24"/>
          <w:lang w:val="en-US" w:eastAsia="en-GB" w:bidi="ar-SA"/>
        </w:rPr>
        <w:t xml:space="preserve"> for fuel cycle facilities</w:t>
      </w:r>
      <w:r w:rsidR="002A73D0" w:rsidRPr="00DD1B58">
        <w:rPr>
          <w:szCs w:val="24"/>
          <w:lang w:val="en-US" w:eastAsia="en-GB" w:bidi="ar-SA"/>
        </w:rPr>
        <w:t>.</w:t>
      </w:r>
      <w:r w:rsidR="00A15B43" w:rsidRPr="00DD1B58">
        <w:rPr>
          <w:szCs w:val="24"/>
          <w:lang w:val="en-US" w:eastAsia="en-GB" w:bidi="ar-SA"/>
        </w:rPr>
        <w:t xml:space="preserve"> </w:t>
      </w:r>
    </w:p>
    <w:p w14:paraId="44547297" w14:textId="77777777" w:rsidR="008A1D70" w:rsidRPr="00DD1B58" w:rsidRDefault="000F35CF" w:rsidP="003B408E">
      <w:pPr>
        <w:rPr>
          <w:szCs w:val="24"/>
          <w:lang w:val="en-US" w:eastAsia="en-GB" w:bidi="ar-SA"/>
        </w:rPr>
      </w:pPr>
      <w:r w:rsidRPr="00DD1B58">
        <w:rPr>
          <w:szCs w:val="24"/>
          <w:lang w:val="en-US" w:eastAsia="en-GB" w:bidi="ar-SA"/>
        </w:rPr>
        <w:t>UUK’s self-assessment</w:t>
      </w:r>
      <w:r w:rsidR="00A8369B" w:rsidRPr="00DD1B58">
        <w:rPr>
          <w:szCs w:val="24"/>
          <w:lang w:val="en-US" w:eastAsia="en-GB" w:bidi="ar-SA"/>
        </w:rPr>
        <w:t xml:space="preserve"> </w:t>
      </w:r>
      <w:r w:rsidR="005553F1" w:rsidRPr="00DD1B58">
        <w:rPr>
          <w:szCs w:val="24"/>
          <w:lang w:val="en-US" w:eastAsia="en-GB" w:bidi="ar-SA"/>
        </w:rPr>
        <w:t>acknowledged</w:t>
      </w:r>
      <w:r w:rsidR="00A8369B" w:rsidRPr="00DD1B58">
        <w:rPr>
          <w:szCs w:val="24"/>
          <w:lang w:val="en-US" w:eastAsia="en-GB" w:bidi="ar-SA"/>
        </w:rPr>
        <w:t xml:space="preserve"> </w:t>
      </w:r>
      <w:r w:rsidR="00B13A1F" w:rsidRPr="00DD1B58">
        <w:rPr>
          <w:szCs w:val="24"/>
          <w:lang w:val="en-US" w:eastAsia="en-GB" w:bidi="ar-SA"/>
        </w:rPr>
        <w:t>that the</w:t>
      </w:r>
      <w:r w:rsidR="00A8369B" w:rsidRPr="00DD1B58">
        <w:rPr>
          <w:szCs w:val="24"/>
          <w:lang w:val="en-US" w:eastAsia="en-GB" w:bidi="ar-SA"/>
        </w:rPr>
        <w:t xml:space="preserve"> transfer of fire safety</w:t>
      </w:r>
      <w:r w:rsidR="00B13A1F" w:rsidRPr="00DD1B58">
        <w:rPr>
          <w:szCs w:val="24"/>
          <w:lang w:val="en-US" w:eastAsia="en-GB" w:bidi="ar-SA"/>
        </w:rPr>
        <w:t>-related actions</w:t>
      </w:r>
      <w:r w:rsidR="00A8369B" w:rsidRPr="00DD1B58">
        <w:rPr>
          <w:szCs w:val="24"/>
          <w:lang w:val="en-US" w:eastAsia="en-GB" w:bidi="ar-SA"/>
        </w:rPr>
        <w:t xml:space="preserve"> to project management </w:t>
      </w:r>
      <w:r w:rsidR="00675C6A" w:rsidRPr="00DD1B58">
        <w:rPr>
          <w:szCs w:val="24"/>
          <w:lang w:val="en-US" w:eastAsia="en-GB" w:bidi="ar-SA"/>
        </w:rPr>
        <w:t xml:space="preserve">functions </w:t>
      </w:r>
      <w:r w:rsidR="00A8369B" w:rsidRPr="00DD1B58">
        <w:rPr>
          <w:szCs w:val="24"/>
          <w:lang w:val="en-US" w:eastAsia="en-GB" w:bidi="ar-SA"/>
        </w:rPr>
        <w:t xml:space="preserve">may result </w:t>
      </w:r>
      <w:r w:rsidR="00810C0E" w:rsidRPr="00DD1B58">
        <w:rPr>
          <w:szCs w:val="24"/>
          <w:lang w:val="en-US" w:eastAsia="en-GB" w:bidi="ar-SA"/>
        </w:rPr>
        <w:t>in undue deferrals or closure</w:t>
      </w:r>
      <w:r w:rsidR="008A1D70" w:rsidRPr="00DD1B58">
        <w:rPr>
          <w:szCs w:val="24"/>
          <w:lang w:val="en-US" w:eastAsia="en-GB" w:bidi="ar-SA"/>
        </w:rPr>
        <w:t xml:space="preserve"> </w:t>
      </w:r>
      <w:r w:rsidR="000B4BEC" w:rsidRPr="00DD1B58">
        <w:rPr>
          <w:szCs w:val="24"/>
          <w:lang w:val="en-US" w:eastAsia="en-GB" w:bidi="ar-SA"/>
        </w:rPr>
        <w:t>which</w:t>
      </w:r>
      <w:r w:rsidR="00152AD0" w:rsidRPr="00DD1B58">
        <w:rPr>
          <w:szCs w:val="24"/>
          <w:lang w:val="en-US" w:eastAsia="en-GB" w:bidi="ar-SA"/>
        </w:rPr>
        <w:t xml:space="preserve"> emphasises</w:t>
      </w:r>
      <w:r w:rsidR="00810C0E" w:rsidRPr="00DD1B58">
        <w:rPr>
          <w:szCs w:val="24"/>
          <w:lang w:val="en-US" w:eastAsia="en-GB" w:bidi="ar-SA"/>
        </w:rPr>
        <w:t xml:space="preserve"> the </w:t>
      </w:r>
      <w:r w:rsidR="00F84081" w:rsidRPr="00DD1B58">
        <w:rPr>
          <w:szCs w:val="24"/>
          <w:lang w:val="en-US" w:eastAsia="en-GB" w:bidi="ar-SA"/>
        </w:rPr>
        <w:t>i</w:t>
      </w:r>
      <w:r w:rsidR="00E34D83" w:rsidRPr="00DD1B58">
        <w:rPr>
          <w:szCs w:val="24"/>
          <w:lang w:val="en-US" w:eastAsia="en-GB" w:bidi="ar-SA"/>
        </w:rPr>
        <w:t xml:space="preserve">mportance of cooperation, </w:t>
      </w:r>
      <w:r w:rsidR="004D608B" w:rsidRPr="00DD1B58">
        <w:rPr>
          <w:szCs w:val="24"/>
          <w:lang w:val="en-US" w:eastAsia="en-GB" w:bidi="ar-SA"/>
        </w:rPr>
        <w:t xml:space="preserve">coordination </w:t>
      </w:r>
      <w:r w:rsidR="005669D5" w:rsidRPr="00DD1B58">
        <w:rPr>
          <w:szCs w:val="24"/>
          <w:lang w:val="en-US" w:eastAsia="en-GB" w:bidi="ar-SA"/>
        </w:rPr>
        <w:t xml:space="preserve">and prioritisation </w:t>
      </w:r>
      <w:r w:rsidR="00097557" w:rsidRPr="00DD1B58">
        <w:rPr>
          <w:szCs w:val="24"/>
          <w:lang w:val="en-US" w:eastAsia="en-GB" w:bidi="ar-SA"/>
        </w:rPr>
        <w:t xml:space="preserve">in </w:t>
      </w:r>
      <w:r w:rsidR="00810C0E" w:rsidRPr="00DD1B58">
        <w:rPr>
          <w:szCs w:val="24"/>
          <w:lang w:val="en-US" w:eastAsia="en-GB" w:bidi="ar-SA"/>
        </w:rPr>
        <w:t>fire safety management.</w:t>
      </w:r>
      <w:r w:rsidR="00EC08C6" w:rsidRPr="00DD1B58">
        <w:rPr>
          <w:szCs w:val="24"/>
          <w:lang w:val="en-US" w:eastAsia="en-GB" w:bidi="ar-SA"/>
        </w:rPr>
        <w:t xml:space="preserve"> </w:t>
      </w:r>
    </w:p>
    <w:p w14:paraId="3C91D43B" w14:textId="4F6945AB" w:rsidR="003B408E" w:rsidRPr="00DD1B58" w:rsidRDefault="003B408E" w:rsidP="003B408E">
      <w:pPr>
        <w:rPr>
          <w:szCs w:val="24"/>
          <w:lang w:val="en-US" w:eastAsia="en-GB" w:bidi="ar-SA"/>
        </w:rPr>
      </w:pPr>
      <w:r w:rsidRPr="00DD1B58">
        <w:rPr>
          <w:lang w:val="en-US"/>
        </w:rPr>
        <w:t xml:space="preserve">The </w:t>
      </w:r>
      <w:r w:rsidR="00B31176" w:rsidRPr="00DD1B58">
        <w:rPr>
          <w:lang w:val="en-US"/>
        </w:rPr>
        <w:t xml:space="preserve">UUK submission </w:t>
      </w:r>
      <w:r w:rsidRPr="00DD1B58">
        <w:rPr>
          <w:lang w:val="en-US"/>
        </w:rPr>
        <w:t xml:space="preserve">does not </w:t>
      </w:r>
      <w:r w:rsidR="00AD00DF" w:rsidRPr="00DD1B58">
        <w:rPr>
          <w:lang w:val="en-US"/>
        </w:rPr>
        <w:t>describe</w:t>
      </w:r>
      <w:r w:rsidR="002553FF" w:rsidRPr="00DD1B58">
        <w:rPr>
          <w:lang w:val="en-US"/>
        </w:rPr>
        <w:t xml:space="preserve"> </w:t>
      </w:r>
      <w:r w:rsidRPr="00DD1B58">
        <w:rPr>
          <w:lang w:val="en-US"/>
        </w:rPr>
        <w:t xml:space="preserve">combined or consequential hazards assessment as part of the current site safety case. This does not explicitly align with WENRA Safety Reference Level E 6.1 </w:t>
      </w:r>
      <w:sdt>
        <w:sdtPr>
          <w:rPr>
            <w:lang w:val="en-US"/>
          </w:rPr>
          <w:id w:val="-1017613512"/>
          <w:citation/>
        </w:sdtPr>
        <w:sdtContent>
          <w:r w:rsidRPr="00DD1B58">
            <w:rPr>
              <w:lang w:val="en-US"/>
            </w:rPr>
            <w:fldChar w:fldCharType="begin"/>
          </w:r>
          <w:r w:rsidR="001270D9" w:rsidRPr="00DD1B58">
            <w:rPr>
              <w:lang w:val="en-US"/>
            </w:rPr>
            <w:instrText xml:space="preserve">CITATION WEN2 \l 2057 </w:instrText>
          </w:r>
          <w:r w:rsidRPr="00DD1B58">
            <w:rPr>
              <w:lang w:val="en-US"/>
            </w:rPr>
            <w:fldChar w:fldCharType="separate"/>
          </w:r>
          <w:r w:rsidR="00DF47DA" w:rsidRPr="00DF47DA">
            <w:rPr>
              <w:noProof/>
              <w:lang w:val="en-US"/>
            </w:rPr>
            <w:t>[1]</w:t>
          </w:r>
          <w:r w:rsidRPr="00DD1B58">
            <w:rPr>
              <w:lang w:val="en-US"/>
            </w:rPr>
            <w:fldChar w:fldCharType="end"/>
          </w:r>
        </w:sdtContent>
      </w:sdt>
      <w:r w:rsidRPr="00DD1B58">
        <w:rPr>
          <w:lang w:val="en-US"/>
        </w:rPr>
        <w:t xml:space="preserve"> or IAEA SSG 64 </w:t>
      </w:r>
      <w:sdt>
        <w:sdtPr>
          <w:rPr>
            <w:lang w:val="en-US"/>
          </w:rPr>
          <w:id w:val="-1736462376"/>
          <w:citation/>
        </w:sdtPr>
        <w:sdtContent>
          <w:r w:rsidRPr="00DD1B58">
            <w:rPr>
              <w:lang w:val="en-US"/>
            </w:rPr>
            <w:fldChar w:fldCharType="begin"/>
          </w:r>
          <w:r w:rsidRPr="00DD1B58">
            <w:rPr>
              <w:lang w:val="en-US"/>
            </w:rPr>
            <w:instrText xml:space="preserve"> CITATION IAE5 \l 2057 </w:instrText>
          </w:r>
          <w:r w:rsidRPr="00DD1B58">
            <w:rPr>
              <w:lang w:val="en-US"/>
            </w:rPr>
            <w:fldChar w:fldCharType="separate"/>
          </w:r>
          <w:r w:rsidR="00DF47DA" w:rsidRPr="00DF47DA">
            <w:rPr>
              <w:noProof/>
              <w:lang w:val="en-US"/>
            </w:rPr>
            <w:t>[17]</w:t>
          </w:r>
          <w:r w:rsidRPr="00DD1B58">
            <w:rPr>
              <w:lang w:val="en-US"/>
            </w:rPr>
            <w:fldChar w:fldCharType="end"/>
          </w:r>
        </w:sdtContent>
      </w:sdt>
      <w:r w:rsidRPr="00DD1B58">
        <w:rPr>
          <w:lang w:val="en-US"/>
        </w:rPr>
        <w:t xml:space="preserve">; however, it should be noted that these apply to reactor facilities and therefore a graded approach should be considered in the context of the </w:t>
      </w:r>
      <w:r w:rsidR="00AD00DF" w:rsidRPr="00DD1B58">
        <w:rPr>
          <w:lang w:val="en-US"/>
        </w:rPr>
        <w:t xml:space="preserve">UUK </w:t>
      </w:r>
      <w:r w:rsidRPr="00DD1B58">
        <w:rPr>
          <w:lang w:val="en-US"/>
        </w:rPr>
        <w:t xml:space="preserve">site and low nuclear safety hazards and risks. Nevertheless, ONR Safety Assessment Principles </w:t>
      </w:r>
      <w:sdt>
        <w:sdtPr>
          <w:rPr>
            <w:lang w:val="en-US"/>
          </w:rPr>
          <w:id w:val="1263717597"/>
          <w:citation/>
        </w:sdtPr>
        <w:sdtContent>
          <w:r w:rsidRPr="00DD1B58">
            <w:rPr>
              <w:lang w:val="en-US"/>
            </w:rPr>
            <w:fldChar w:fldCharType="begin"/>
          </w:r>
          <w:r w:rsidRPr="00DD1B58">
            <w:rPr>
              <w:lang w:val="en-US"/>
            </w:rPr>
            <w:instrText xml:space="preserve"> CITATION Off20 \l 2057 </w:instrText>
          </w:r>
          <w:r w:rsidRPr="00DD1B58">
            <w:rPr>
              <w:lang w:val="en-US"/>
            </w:rPr>
            <w:fldChar w:fldCharType="separate"/>
          </w:r>
          <w:r w:rsidR="00DF47DA" w:rsidRPr="00DF47DA">
            <w:rPr>
              <w:noProof/>
              <w:lang w:val="en-US"/>
            </w:rPr>
            <w:t>[15]</w:t>
          </w:r>
          <w:r w:rsidRPr="00DD1B58">
            <w:rPr>
              <w:lang w:val="en-US"/>
            </w:rPr>
            <w:fldChar w:fldCharType="end"/>
          </w:r>
        </w:sdtContent>
      </w:sdt>
      <w:r w:rsidRPr="00DD1B58">
        <w:rPr>
          <w:lang w:val="en-US"/>
        </w:rPr>
        <w:t xml:space="preserve"> and Technical Assessment Guide on Internal Hazards </w:t>
      </w:r>
      <w:sdt>
        <w:sdtPr>
          <w:rPr>
            <w:lang w:val="en-US"/>
          </w:rPr>
          <w:id w:val="-1419713156"/>
          <w:citation/>
        </w:sdtPr>
        <w:sdtContent>
          <w:r w:rsidRPr="00DD1B58">
            <w:rPr>
              <w:lang w:val="en-US"/>
            </w:rPr>
            <w:fldChar w:fldCharType="begin"/>
          </w:r>
          <w:r w:rsidRPr="00DD1B58">
            <w:rPr>
              <w:lang w:val="en-US"/>
            </w:rPr>
            <w:instrText xml:space="preserve"> CITATION ONR4 \l 2057 </w:instrText>
          </w:r>
          <w:r w:rsidRPr="00DD1B58">
            <w:rPr>
              <w:lang w:val="en-US"/>
            </w:rPr>
            <w:fldChar w:fldCharType="separate"/>
          </w:r>
          <w:r w:rsidR="00DF47DA" w:rsidRPr="00DF47DA">
            <w:rPr>
              <w:noProof/>
              <w:lang w:val="en-US"/>
            </w:rPr>
            <w:t>[16]</w:t>
          </w:r>
          <w:r w:rsidRPr="00DD1B58">
            <w:rPr>
              <w:lang w:val="en-US"/>
            </w:rPr>
            <w:fldChar w:fldCharType="end"/>
          </w:r>
        </w:sdtContent>
      </w:sdt>
      <w:r w:rsidRPr="00DD1B58">
        <w:rPr>
          <w:lang w:val="en-US"/>
        </w:rPr>
        <w:t xml:space="preserve"> take due account of WENRA SRLs, and IAEA standards are applicable to fuel</w:t>
      </w:r>
      <w:r w:rsidR="00513639" w:rsidRPr="00DD1B58">
        <w:rPr>
          <w:lang w:val="en-US"/>
        </w:rPr>
        <w:t xml:space="preserve"> cycle</w:t>
      </w:r>
      <w:r w:rsidRPr="00DD1B58">
        <w:rPr>
          <w:lang w:val="en-US"/>
        </w:rPr>
        <w:t xml:space="preserve"> facilities as well as reactor facilities. </w:t>
      </w:r>
    </w:p>
    <w:p w14:paraId="60E2C5D8" w14:textId="77777777" w:rsidR="00C813BA" w:rsidRPr="00DD1B58" w:rsidRDefault="0EA37C74" w:rsidP="62CD6EAF">
      <w:pPr>
        <w:pStyle w:val="Heading4"/>
        <w:numPr>
          <w:ilvl w:val="4"/>
          <w:numId w:val="3"/>
        </w:numPr>
        <w:rPr>
          <w:lang w:val="en-US"/>
        </w:rPr>
      </w:pPr>
      <w:r w:rsidRPr="00DD1B58">
        <w:rPr>
          <w:lang w:val="en-US"/>
        </w:rPr>
        <w:t xml:space="preserve">Lessons learned from inspection and assessment as part of the regulatory oversight </w:t>
      </w:r>
    </w:p>
    <w:p w14:paraId="76CCEA20" w14:textId="3856B9DC" w:rsidR="00A643BB" w:rsidRPr="00DD1B58" w:rsidRDefault="00A643BB" w:rsidP="00A643BB">
      <w:pPr>
        <w:rPr>
          <w:lang w:val="en-US"/>
        </w:rPr>
      </w:pPr>
      <w:r w:rsidRPr="00DD1B58">
        <w:rPr>
          <w:lang w:val="en-US"/>
        </w:rPr>
        <w:t>ONR provides oversight of licensee operations through inspection and assessment</w:t>
      </w:r>
      <w:r w:rsidR="008C6261" w:rsidRPr="00DD1B58">
        <w:rPr>
          <w:lang w:val="en-US"/>
        </w:rPr>
        <w:t xml:space="preserve"> and has </w:t>
      </w:r>
      <w:r w:rsidR="00545F25" w:rsidRPr="00DD1B58">
        <w:rPr>
          <w:lang w:val="en-US"/>
        </w:rPr>
        <w:t xml:space="preserve">a </w:t>
      </w:r>
      <w:r w:rsidRPr="00DD1B58">
        <w:rPr>
          <w:lang w:val="en-US"/>
        </w:rPr>
        <w:t xml:space="preserve">nominated site inspector </w:t>
      </w:r>
      <w:r w:rsidR="008C6261" w:rsidRPr="00DD1B58">
        <w:rPr>
          <w:lang w:val="en-US"/>
        </w:rPr>
        <w:t>assigned to</w:t>
      </w:r>
      <w:r w:rsidR="00545F25" w:rsidRPr="00DD1B58">
        <w:rPr>
          <w:lang w:val="en-US"/>
        </w:rPr>
        <w:t xml:space="preserve"> UUK</w:t>
      </w:r>
      <w:r w:rsidR="008C6261" w:rsidRPr="00DD1B58">
        <w:rPr>
          <w:lang w:val="en-US"/>
        </w:rPr>
        <w:t>’s Capenhurst site</w:t>
      </w:r>
      <w:r w:rsidR="00545F25" w:rsidRPr="00DD1B58">
        <w:rPr>
          <w:lang w:val="en-US"/>
        </w:rPr>
        <w:t xml:space="preserve"> </w:t>
      </w:r>
      <w:r w:rsidRPr="00DD1B58">
        <w:rPr>
          <w:lang w:val="en-US"/>
        </w:rPr>
        <w:t>to monitor emerging site issues</w:t>
      </w:r>
      <w:r w:rsidR="008C6261" w:rsidRPr="00DD1B58">
        <w:rPr>
          <w:lang w:val="en-US"/>
        </w:rPr>
        <w:t xml:space="preserve"> </w:t>
      </w:r>
      <w:r w:rsidRPr="00DD1B58">
        <w:rPr>
          <w:lang w:val="en-US"/>
        </w:rPr>
        <w:t xml:space="preserve">and </w:t>
      </w:r>
      <w:r w:rsidR="008C6261" w:rsidRPr="00DD1B58">
        <w:rPr>
          <w:lang w:val="en-US"/>
        </w:rPr>
        <w:t>advi</w:t>
      </w:r>
      <w:r w:rsidR="00CE33F4" w:rsidRPr="00DD1B58">
        <w:rPr>
          <w:lang w:val="en-US"/>
        </w:rPr>
        <w:t xml:space="preserve">se project and </w:t>
      </w:r>
      <w:r w:rsidRPr="00DD1B58">
        <w:rPr>
          <w:lang w:val="en-US"/>
        </w:rPr>
        <w:t>specialist inspectors on areas of regulatory interest</w:t>
      </w:r>
      <w:r w:rsidR="00014466" w:rsidRPr="00DD1B58">
        <w:rPr>
          <w:lang w:val="en-US"/>
        </w:rPr>
        <w:t xml:space="preserve">, </w:t>
      </w:r>
      <w:r w:rsidR="00CB1AF4" w:rsidRPr="00DD1B58">
        <w:rPr>
          <w:lang w:val="en-US"/>
        </w:rPr>
        <w:t>including</w:t>
      </w:r>
      <w:r w:rsidR="00014466" w:rsidRPr="00DD1B58">
        <w:rPr>
          <w:lang w:val="en-US"/>
        </w:rPr>
        <w:t xml:space="preserve"> s</w:t>
      </w:r>
      <w:r w:rsidRPr="00DD1B58">
        <w:rPr>
          <w:lang w:val="en-US"/>
        </w:rPr>
        <w:t>ignificant construction, modification or decommissioning projects</w:t>
      </w:r>
      <w:r w:rsidR="00014466" w:rsidRPr="00DD1B58">
        <w:rPr>
          <w:lang w:val="en-US"/>
        </w:rPr>
        <w:t>.</w:t>
      </w:r>
    </w:p>
    <w:p w14:paraId="2E3EB4BA" w14:textId="2A131EFB" w:rsidR="005678C0" w:rsidRPr="00DD1B58" w:rsidRDefault="00A643BB" w:rsidP="005678C0">
      <w:pPr>
        <w:rPr>
          <w:lang w:val="en-US"/>
        </w:rPr>
      </w:pPr>
      <w:r w:rsidRPr="00DD1B58">
        <w:rPr>
          <w:lang w:val="en-US"/>
        </w:rPr>
        <w:t>ONR</w:t>
      </w:r>
      <w:r w:rsidR="0026015F" w:rsidRPr="00DD1B58">
        <w:rPr>
          <w:lang w:val="en-US"/>
        </w:rPr>
        <w:t>’s fire safety inspection</w:t>
      </w:r>
      <w:r w:rsidR="00B53179" w:rsidRPr="00DD1B58">
        <w:rPr>
          <w:lang w:val="en-US"/>
        </w:rPr>
        <w:t xml:space="preserve"> in 2023</w:t>
      </w:r>
      <w:r w:rsidR="001A57F8" w:rsidRPr="00DD1B58">
        <w:rPr>
          <w:lang w:val="en-US"/>
        </w:rPr>
        <w:t xml:space="preserve"> </w:t>
      </w:r>
      <w:r w:rsidR="00C07549" w:rsidRPr="00DD1B58">
        <w:rPr>
          <w:lang w:val="en-US"/>
        </w:rPr>
        <w:t>s</w:t>
      </w:r>
      <w:r w:rsidR="005678C0" w:rsidRPr="00DD1B58">
        <w:rPr>
          <w:lang w:val="en-US"/>
        </w:rPr>
        <w:t xml:space="preserve">ampled a safety case, originally produced in 2003, and confirmed that it </w:t>
      </w:r>
      <w:r w:rsidR="009C3571" w:rsidRPr="00DD1B58">
        <w:rPr>
          <w:lang w:val="en-US"/>
        </w:rPr>
        <w:t xml:space="preserve">is being </w:t>
      </w:r>
      <w:r w:rsidR="005678C0" w:rsidRPr="00DD1B58">
        <w:rPr>
          <w:lang w:val="en-US"/>
        </w:rPr>
        <w:t xml:space="preserve">updated to modern standards and that a Nuclear Fire &amp; Explosion Hazard Analysis document was being developed as part of this process. </w:t>
      </w:r>
      <w:r w:rsidR="00441D21" w:rsidRPr="00DD1B58">
        <w:rPr>
          <w:lang w:val="en-US"/>
        </w:rPr>
        <w:t xml:space="preserve">ONR continues to monitor </w:t>
      </w:r>
      <w:r w:rsidR="00994F9A" w:rsidRPr="00DD1B58">
        <w:rPr>
          <w:lang w:val="en-US"/>
        </w:rPr>
        <w:t xml:space="preserve">progress to ensure </w:t>
      </w:r>
      <w:r w:rsidR="005678C0" w:rsidRPr="00DD1B58">
        <w:rPr>
          <w:lang w:val="en-US"/>
        </w:rPr>
        <w:t xml:space="preserve">fire hazards </w:t>
      </w:r>
      <w:r w:rsidR="00441D21" w:rsidRPr="00DD1B58">
        <w:rPr>
          <w:lang w:val="en-US"/>
        </w:rPr>
        <w:t xml:space="preserve">at the facility, </w:t>
      </w:r>
      <w:r w:rsidR="005678C0" w:rsidRPr="00DD1B58">
        <w:rPr>
          <w:lang w:val="en-US"/>
        </w:rPr>
        <w:t xml:space="preserve">and other buildings on site, are fully considered and that guidance used </w:t>
      </w:r>
      <w:r w:rsidR="00617071" w:rsidRPr="00DD1B58">
        <w:rPr>
          <w:lang w:val="en-US"/>
        </w:rPr>
        <w:t xml:space="preserve">by UUK </w:t>
      </w:r>
      <w:r w:rsidR="005678C0" w:rsidRPr="00DD1B58">
        <w:rPr>
          <w:lang w:val="en-US"/>
        </w:rPr>
        <w:t>reflects current RGP.</w:t>
      </w:r>
    </w:p>
    <w:p w14:paraId="7E70D029" w14:textId="6F4C7496" w:rsidR="43777B41" w:rsidRPr="00DD1B58" w:rsidRDefault="43777B41" w:rsidP="62CD6EAF">
      <w:pPr>
        <w:rPr>
          <w:lang w:val="en-US"/>
        </w:rPr>
      </w:pPr>
      <w:r w:rsidRPr="00DD1B58">
        <w:rPr>
          <w:lang w:val="en-US"/>
        </w:rPr>
        <w:t xml:space="preserve">A recent </w:t>
      </w:r>
      <w:r w:rsidR="00B53179" w:rsidRPr="00DD1B58">
        <w:rPr>
          <w:lang w:val="en-US"/>
        </w:rPr>
        <w:t xml:space="preserve">ONR </w:t>
      </w:r>
      <w:r w:rsidRPr="00DD1B58">
        <w:rPr>
          <w:lang w:val="en-US"/>
        </w:rPr>
        <w:t>fire safety inspection</w:t>
      </w:r>
      <w:r w:rsidR="00B53179" w:rsidRPr="00DD1B58">
        <w:rPr>
          <w:lang w:val="en-US"/>
        </w:rPr>
        <w:t xml:space="preserve"> </w:t>
      </w:r>
      <w:r w:rsidR="003543F9" w:rsidRPr="00DD1B58">
        <w:rPr>
          <w:lang w:val="en-US"/>
        </w:rPr>
        <w:t>checked</w:t>
      </w:r>
      <w:r w:rsidR="00E928A1" w:rsidRPr="00DD1B58">
        <w:rPr>
          <w:lang w:val="en-US"/>
        </w:rPr>
        <w:t xml:space="preserve"> UUK’s </w:t>
      </w:r>
      <w:r w:rsidR="00FF156F" w:rsidRPr="00DD1B58">
        <w:rPr>
          <w:lang w:val="en-US"/>
        </w:rPr>
        <w:t>use of potentially combustible ins</w:t>
      </w:r>
      <w:r w:rsidR="00227D7E" w:rsidRPr="00DD1B58">
        <w:rPr>
          <w:lang w:val="en-US"/>
        </w:rPr>
        <w:t>ulated core panel construction on site.</w:t>
      </w:r>
      <w:r w:rsidR="00497D46" w:rsidRPr="00DD1B58">
        <w:rPr>
          <w:lang w:val="en-US"/>
        </w:rPr>
        <w:t xml:space="preserve"> </w:t>
      </w:r>
      <w:r w:rsidR="00B53179" w:rsidRPr="00DD1B58">
        <w:rPr>
          <w:lang w:val="en-US"/>
        </w:rPr>
        <w:t>ONR</w:t>
      </w:r>
      <w:r w:rsidR="00572AA5" w:rsidRPr="00DD1B58">
        <w:rPr>
          <w:lang w:val="en-US"/>
        </w:rPr>
        <w:t>’s</w:t>
      </w:r>
      <w:r w:rsidR="00B53179" w:rsidRPr="00DD1B58">
        <w:rPr>
          <w:lang w:val="en-US"/>
        </w:rPr>
        <w:t xml:space="preserve"> inspection </w:t>
      </w:r>
      <w:r w:rsidR="00572AA5" w:rsidRPr="00DD1B58">
        <w:rPr>
          <w:lang w:val="en-US"/>
        </w:rPr>
        <w:t>found</w:t>
      </w:r>
      <w:r w:rsidR="00497D46" w:rsidRPr="00DD1B58">
        <w:rPr>
          <w:lang w:val="en-US"/>
        </w:rPr>
        <w:t xml:space="preserve"> that </w:t>
      </w:r>
      <w:r w:rsidR="000A1971" w:rsidRPr="00DD1B58">
        <w:rPr>
          <w:lang w:val="en-US"/>
        </w:rPr>
        <w:t xml:space="preserve">the use of such panels had been surveyed with </w:t>
      </w:r>
      <w:r w:rsidR="00A81967" w:rsidRPr="00DD1B58">
        <w:rPr>
          <w:lang w:val="en-US"/>
        </w:rPr>
        <w:t>resultant</w:t>
      </w:r>
      <w:r w:rsidR="000A1971" w:rsidRPr="00DD1B58">
        <w:rPr>
          <w:lang w:val="en-US"/>
        </w:rPr>
        <w:t xml:space="preserve"> findings considered for nuclear and conventional fire safety implications.</w:t>
      </w:r>
      <w:r w:rsidR="00940D2A" w:rsidRPr="00DD1B58">
        <w:rPr>
          <w:lang w:val="en-US"/>
        </w:rPr>
        <w:t xml:space="preserve"> </w:t>
      </w:r>
      <w:r w:rsidR="007A69EC" w:rsidRPr="00DD1B58">
        <w:rPr>
          <w:lang w:val="en-US"/>
        </w:rPr>
        <w:t>Furthermore</w:t>
      </w:r>
      <w:r w:rsidR="006F2843" w:rsidRPr="00DD1B58">
        <w:rPr>
          <w:lang w:val="en-US"/>
        </w:rPr>
        <w:t>, a</w:t>
      </w:r>
      <w:r w:rsidR="007A69EC" w:rsidRPr="00DD1B58">
        <w:rPr>
          <w:lang w:val="en-US"/>
        </w:rPr>
        <w:t xml:space="preserve"> </w:t>
      </w:r>
      <w:r w:rsidRPr="00DD1B58">
        <w:rPr>
          <w:lang w:val="en-US"/>
        </w:rPr>
        <w:t>conventional fire safety inspection identified shortfalls in the provision and management of the automatic fire detection and alarm system</w:t>
      </w:r>
      <w:r w:rsidR="003F5B44" w:rsidRPr="00DD1B58">
        <w:rPr>
          <w:lang w:val="en-US"/>
        </w:rPr>
        <w:t xml:space="preserve"> in a building on site</w:t>
      </w:r>
      <w:r w:rsidR="00452EA8" w:rsidRPr="00DD1B58">
        <w:rPr>
          <w:lang w:val="en-US"/>
        </w:rPr>
        <w:t xml:space="preserve"> </w:t>
      </w:r>
      <w:r w:rsidR="009E1ED7" w:rsidRPr="00DD1B58">
        <w:rPr>
          <w:lang w:val="en-US"/>
        </w:rPr>
        <w:t xml:space="preserve">detail of </w:t>
      </w:r>
      <w:r w:rsidR="0038003C" w:rsidRPr="00DD1B58">
        <w:rPr>
          <w:lang w:val="en-US"/>
        </w:rPr>
        <w:t>which</w:t>
      </w:r>
      <w:r w:rsidR="009E1ED7" w:rsidRPr="00DD1B58">
        <w:rPr>
          <w:lang w:val="en-US"/>
        </w:rPr>
        <w:t xml:space="preserve"> may be found on the ONR website</w:t>
      </w:r>
      <w:r w:rsidR="00452EA8" w:rsidRPr="00DD1B58">
        <w:rPr>
          <w:lang w:val="en-US"/>
        </w:rPr>
        <w:t xml:space="preserve"> </w:t>
      </w:r>
      <w:r w:rsidR="0038003C" w:rsidRPr="00DD1B58">
        <w:rPr>
          <w:lang w:val="en-US"/>
        </w:rPr>
        <w:t>which</w:t>
      </w:r>
      <w:r w:rsidRPr="00DD1B58">
        <w:rPr>
          <w:lang w:val="en-US"/>
        </w:rPr>
        <w:t xml:space="preserve"> </w:t>
      </w:r>
      <w:r w:rsidR="00452EA8" w:rsidRPr="00DD1B58">
        <w:rPr>
          <w:lang w:val="en-US"/>
        </w:rPr>
        <w:t>UUK is addressing through an</w:t>
      </w:r>
      <w:r w:rsidRPr="00DD1B58">
        <w:rPr>
          <w:lang w:val="en-US"/>
        </w:rPr>
        <w:t xml:space="preserve"> improvement project across site</w:t>
      </w:r>
      <w:r w:rsidR="00452EA8" w:rsidRPr="00DD1B58">
        <w:rPr>
          <w:lang w:val="en-US"/>
        </w:rPr>
        <w:t>.</w:t>
      </w:r>
    </w:p>
    <w:p w14:paraId="062DEE49" w14:textId="77777777" w:rsidR="00C813BA" w:rsidRPr="00DD1B58" w:rsidRDefault="0EA37C74" w:rsidP="00C813BA">
      <w:pPr>
        <w:pStyle w:val="Heading4"/>
        <w:numPr>
          <w:ilvl w:val="4"/>
          <w:numId w:val="3"/>
        </w:numPr>
        <w:rPr>
          <w:lang w:val="en-US"/>
        </w:rPr>
      </w:pPr>
      <w:r w:rsidRPr="00DD1B58">
        <w:rPr>
          <w:lang w:val="en-US"/>
        </w:rPr>
        <w:t xml:space="preserve">Conclusions drawn on the adequacy of the licensee’s fire safety analyses </w:t>
      </w:r>
    </w:p>
    <w:p w14:paraId="6E155119" w14:textId="7996E1F2" w:rsidR="00563A34" w:rsidRPr="00DD1B58" w:rsidRDefault="00E55400" w:rsidP="00012AA8">
      <w:pPr>
        <w:rPr>
          <w:szCs w:val="24"/>
          <w:lang w:val="en-US" w:eastAsia="en-GB" w:bidi="ar-SA"/>
        </w:rPr>
      </w:pPr>
      <w:r w:rsidRPr="00DD1B58">
        <w:rPr>
          <w:szCs w:val="24"/>
          <w:lang w:val="en-US" w:eastAsia="en-GB" w:bidi="ar-SA"/>
        </w:rPr>
        <w:t>UUK’s self-assessment</w:t>
      </w:r>
      <w:r w:rsidR="001E2CB7" w:rsidRPr="00DD1B58">
        <w:rPr>
          <w:szCs w:val="24"/>
          <w:lang w:val="en-US" w:eastAsia="en-GB" w:bidi="ar-SA"/>
        </w:rPr>
        <w:t xml:space="preserve"> submission </w:t>
      </w:r>
      <w:r w:rsidR="00012AA8" w:rsidRPr="00DD1B58">
        <w:rPr>
          <w:szCs w:val="24"/>
          <w:lang w:val="en-US" w:eastAsia="en-GB" w:bidi="ar-SA"/>
        </w:rPr>
        <w:t>consider</w:t>
      </w:r>
      <w:r w:rsidR="005375A7" w:rsidRPr="00DD1B58">
        <w:rPr>
          <w:szCs w:val="24"/>
          <w:lang w:val="en-US" w:eastAsia="en-GB" w:bidi="ar-SA"/>
        </w:rPr>
        <w:t>ed</w:t>
      </w:r>
      <w:r w:rsidR="00012AA8" w:rsidRPr="00DD1B58">
        <w:rPr>
          <w:szCs w:val="24"/>
          <w:lang w:val="en-US" w:eastAsia="en-GB" w:bidi="ar-SA"/>
        </w:rPr>
        <w:t xml:space="preserve"> that a low nuclear fire risk exists</w:t>
      </w:r>
      <w:r w:rsidR="000F59D4" w:rsidRPr="00DD1B58">
        <w:rPr>
          <w:szCs w:val="24"/>
          <w:lang w:val="en-US" w:eastAsia="en-GB" w:bidi="ar-SA"/>
        </w:rPr>
        <w:t>,</w:t>
      </w:r>
      <w:r w:rsidR="00012AA8" w:rsidRPr="00DD1B58">
        <w:rPr>
          <w:szCs w:val="24"/>
          <w:lang w:val="en-US" w:eastAsia="en-GB" w:bidi="ar-SA"/>
        </w:rPr>
        <w:t xml:space="preserve"> due to the inherent properties of the nuclear material handled and its treatment during operational processes</w:t>
      </w:r>
      <w:r w:rsidR="00400BE6" w:rsidRPr="00DD1B58">
        <w:rPr>
          <w:szCs w:val="24"/>
          <w:lang w:val="en-US" w:eastAsia="en-GB" w:bidi="ar-SA"/>
        </w:rPr>
        <w:t>. It also considered</w:t>
      </w:r>
      <w:r w:rsidR="000F59D4" w:rsidRPr="00DD1B58">
        <w:rPr>
          <w:szCs w:val="24"/>
          <w:lang w:val="en-US" w:eastAsia="en-GB" w:bidi="ar-SA"/>
        </w:rPr>
        <w:t xml:space="preserve"> </w:t>
      </w:r>
      <w:r w:rsidR="00CD3804" w:rsidRPr="00DD1B58">
        <w:rPr>
          <w:szCs w:val="24"/>
          <w:lang w:val="en-US" w:eastAsia="en-GB" w:bidi="ar-SA"/>
        </w:rPr>
        <w:t>that safety case conclus</w:t>
      </w:r>
      <w:r w:rsidR="00FB6147" w:rsidRPr="00DD1B58">
        <w:rPr>
          <w:szCs w:val="24"/>
          <w:lang w:val="en-US" w:eastAsia="en-GB" w:bidi="ar-SA"/>
        </w:rPr>
        <w:t xml:space="preserve">ions are not significantly impacted by fire events and that focus is therefore </w:t>
      </w:r>
      <w:r w:rsidR="00627BC5" w:rsidRPr="00DD1B58">
        <w:rPr>
          <w:szCs w:val="24"/>
          <w:lang w:val="en-US" w:eastAsia="en-GB" w:bidi="ar-SA"/>
        </w:rPr>
        <w:t>on</w:t>
      </w:r>
      <w:r w:rsidR="00530C52" w:rsidRPr="00DD1B58">
        <w:rPr>
          <w:szCs w:val="24"/>
          <w:lang w:val="en-US" w:eastAsia="en-GB" w:bidi="ar-SA"/>
        </w:rPr>
        <w:t xml:space="preserve"> an adequate programme</w:t>
      </w:r>
      <w:r w:rsidR="00927D56" w:rsidRPr="00DD1B58">
        <w:rPr>
          <w:szCs w:val="24"/>
          <w:lang w:val="en-US" w:eastAsia="en-GB" w:bidi="ar-SA"/>
        </w:rPr>
        <w:t xml:space="preserve"> of </w:t>
      </w:r>
      <w:r w:rsidR="00627BC5" w:rsidRPr="00DD1B58">
        <w:rPr>
          <w:szCs w:val="24"/>
          <w:lang w:val="en-US" w:eastAsia="en-GB" w:bidi="ar-SA"/>
        </w:rPr>
        <w:t xml:space="preserve">conventional fire safety. </w:t>
      </w:r>
      <w:r w:rsidR="005375A7" w:rsidRPr="00DD1B58">
        <w:rPr>
          <w:szCs w:val="24"/>
          <w:lang w:val="en-US" w:eastAsia="en-GB" w:bidi="ar-SA"/>
        </w:rPr>
        <w:t xml:space="preserve">UUK’s self-assessment </w:t>
      </w:r>
      <w:r w:rsidR="0077511B" w:rsidRPr="00DD1B58">
        <w:rPr>
          <w:szCs w:val="24"/>
          <w:lang w:val="en-US" w:eastAsia="en-GB" w:bidi="ar-SA"/>
        </w:rPr>
        <w:t>describe</w:t>
      </w:r>
      <w:r w:rsidR="005375A7" w:rsidRPr="00DD1B58">
        <w:rPr>
          <w:szCs w:val="24"/>
          <w:lang w:val="en-US" w:eastAsia="en-GB" w:bidi="ar-SA"/>
        </w:rPr>
        <w:t>d</w:t>
      </w:r>
      <w:r w:rsidR="00927D56" w:rsidRPr="00DD1B58">
        <w:rPr>
          <w:szCs w:val="24"/>
          <w:lang w:val="en-US" w:eastAsia="en-GB" w:bidi="ar-SA"/>
        </w:rPr>
        <w:t xml:space="preserve"> a dominant fire </w:t>
      </w:r>
      <w:r w:rsidR="0077511B" w:rsidRPr="00DD1B58">
        <w:rPr>
          <w:szCs w:val="24"/>
          <w:lang w:val="en-US" w:eastAsia="en-GB" w:bidi="ar-SA"/>
        </w:rPr>
        <w:t>hazard</w:t>
      </w:r>
      <w:r w:rsidR="00927D56" w:rsidRPr="00DD1B58">
        <w:rPr>
          <w:szCs w:val="24"/>
          <w:lang w:val="en-US" w:eastAsia="en-GB" w:bidi="ar-SA"/>
        </w:rPr>
        <w:t xml:space="preserve"> in terms of structural building </w:t>
      </w:r>
      <w:r w:rsidR="001D3C8D" w:rsidRPr="00DD1B58">
        <w:rPr>
          <w:szCs w:val="24"/>
          <w:lang w:val="en-US" w:eastAsia="en-GB" w:bidi="ar-SA"/>
        </w:rPr>
        <w:t xml:space="preserve">fire loading, </w:t>
      </w:r>
      <w:r w:rsidR="001E33A9" w:rsidRPr="00DD1B58">
        <w:rPr>
          <w:szCs w:val="24"/>
          <w:lang w:val="en-US" w:eastAsia="en-GB" w:bidi="ar-SA"/>
        </w:rPr>
        <w:t xml:space="preserve">which had </w:t>
      </w:r>
      <w:r w:rsidR="000F098F" w:rsidRPr="00DD1B58">
        <w:rPr>
          <w:szCs w:val="24"/>
          <w:lang w:val="en-US" w:eastAsia="en-GB" w:bidi="ar-SA"/>
        </w:rPr>
        <w:t xml:space="preserve">been </w:t>
      </w:r>
      <w:r w:rsidR="00F54F9B" w:rsidRPr="00DD1B58">
        <w:rPr>
          <w:szCs w:val="24"/>
          <w:lang w:val="en-US" w:eastAsia="en-GB" w:bidi="ar-SA"/>
        </w:rPr>
        <w:t>sampled</w:t>
      </w:r>
      <w:r w:rsidR="00A441AA" w:rsidRPr="00DD1B58">
        <w:rPr>
          <w:szCs w:val="24"/>
          <w:lang w:val="en-US" w:eastAsia="en-GB" w:bidi="ar-SA"/>
        </w:rPr>
        <w:t xml:space="preserve"> </w:t>
      </w:r>
      <w:r w:rsidR="001E33A9" w:rsidRPr="00DD1B58">
        <w:rPr>
          <w:szCs w:val="24"/>
          <w:lang w:val="en-US" w:eastAsia="en-GB" w:bidi="ar-SA"/>
        </w:rPr>
        <w:t xml:space="preserve">in </w:t>
      </w:r>
      <w:r w:rsidR="007E50CB" w:rsidRPr="00DD1B58">
        <w:rPr>
          <w:szCs w:val="24"/>
          <w:lang w:val="en-US" w:eastAsia="en-GB" w:bidi="ar-SA"/>
        </w:rPr>
        <w:t xml:space="preserve">a </w:t>
      </w:r>
      <w:r w:rsidR="00A441AA" w:rsidRPr="00DD1B58">
        <w:rPr>
          <w:szCs w:val="24"/>
          <w:lang w:val="en-US" w:eastAsia="en-GB" w:bidi="ar-SA"/>
        </w:rPr>
        <w:t xml:space="preserve">recent </w:t>
      </w:r>
      <w:r w:rsidR="00F54F9B" w:rsidRPr="00DD1B58">
        <w:rPr>
          <w:szCs w:val="24"/>
          <w:lang w:val="en-US" w:eastAsia="en-GB" w:bidi="ar-SA"/>
        </w:rPr>
        <w:t xml:space="preserve">ONR </w:t>
      </w:r>
      <w:r w:rsidR="00A441AA" w:rsidRPr="00DD1B58">
        <w:rPr>
          <w:szCs w:val="24"/>
          <w:lang w:val="en-US" w:eastAsia="en-GB" w:bidi="ar-SA"/>
        </w:rPr>
        <w:t>intervention</w:t>
      </w:r>
      <w:r w:rsidR="001E33A9" w:rsidRPr="00DD1B58">
        <w:rPr>
          <w:szCs w:val="24"/>
          <w:lang w:val="en-US" w:eastAsia="en-GB" w:bidi="ar-SA"/>
        </w:rPr>
        <w:t xml:space="preserve"> and</w:t>
      </w:r>
      <w:r w:rsidR="00430220" w:rsidRPr="00DD1B58">
        <w:rPr>
          <w:szCs w:val="24"/>
          <w:lang w:val="en-US" w:eastAsia="en-GB" w:bidi="ar-SA"/>
        </w:rPr>
        <w:t xml:space="preserve"> confirmed as being </w:t>
      </w:r>
      <w:r w:rsidR="00A441AA" w:rsidRPr="00DD1B58">
        <w:rPr>
          <w:szCs w:val="24"/>
          <w:lang w:val="en-US" w:eastAsia="en-GB" w:bidi="ar-SA"/>
        </w:rPr>
        <w:t>adequately assessed</w:t>
      </w:r>
      <w:r w:rsidR="0077511B" w:rsidRPr="00DD1B58">
        <w:rPr>
          <w:szCs w:val="24"/>
          <w:lang w:val="en-US" w:eastAsia="en-GB" w:bidi="ar-SA"/>
        </w:rPr>
        <w:t>.</w:t>
      </w:r>
    </w:p>
    <w:p w14:paraId="1D8870E9" w14:textId="710D8218" w:rsidR="009D2F4F" w:rsidRPr="00DD1B58" w:rsidRDefault="00E55400" w:rsidP="00C813BA">
      <w:pPr>
        <w:rPr>
          <w:szCs w:val="24"/>
          <w:lang w:val="en-US" w:eastAsia="en-GB" w:bidi="ar-SA"/>
        </w:rPr>
      </w:pPr>
      <w:r w:rsidRPr="00DD1B58">
        <w:rPr>
          <w:szCs w:val="24"/>
          <w:lang w:val="en-US" w:eastAsia="en-GB" w:bidi="ar-SA"/>
        </w:rPr>
        <w:t xml:space="preserve">UUK </w:t>
      </w:r>
      <w:r w:rsidR="001934D0" w:rsidRPr="00DD1B58">
        <w:rPr>
          <w:szCs w:val="24"/>
          <w:lang w:val="en-US" w:eastAsia="en-GB" w:bidi="ar-SA"/>
        </w:rPr>
        <w:t>recognise</w:t>
      </w:r>
      <w:r w:rsidR="005375A7" w:rsidRPr="00DD1B58">
        <w:rPr>
          <w:szCs w:val="24"/>
          <w:lang w:val="en-US" w:eastAsia="en-GB" w:bidi="ar-SA"/>
        </w:rPr>
        <w:t>d</w:t>
      </w:r>
      <w:r w:rsidR="001934D0" w:rsidRPr="00DD1B58">
        <w:rPr>
          <w:szCs w:val="24"/>
          <w:lang w:val="en-US" w:eastAsia="en-GB" w:bidi="ar-SA"/>
        </w:rPr>
        <w:t xml:space="preserve"> </w:t>
      </w:r>
      <w:r w:rsidR="004B26A0" w:rsidRPr="00DD1B58">
        <w:rPr>
          <w:szCs w:val="24"/>
          <w:lang w:val="en-US" w:eastAsia="en-GB" w:bidi="ar-SA"/>
        </w:rPr>
        <w:t xml:space="preserve">a </w:t>
      </w:r>
      <w:r w:rsidR="00BD1196" w:rsidRPr="00DD1B58">
        <w:rPr>
          <w:szCs w:val="24"/>
          <w:lang w:val="en-US" w:eastAsia="en-GB" w:bidi="ar-SA"/>
        </w:rPr>
        <w:t>need</w:t>
      </w:r>
      <w:r w:rsidR="00DE3621" w:rsidRPr="00DD1B58">
        <w:rPr>
          <w:szCs w:val="24"/>
          <w:lang w:val="en-US" w:eastAsia="en-GB" w:bidi="ar-SA"/>
        </w:rPr>
        <w:t xml:space="preserve"> to update</w:t>
      </w:r>
      <w:r w:rsidR="007D3407" w:rsidRPr="00DD1B58">
        <w:rPr>
          <w:szCs w:val="24"/>
          <w:lang w:val="en-US" w:eastAsia="en-GB" w:bidi="ar-SA"/>
        </w:rPr>
        <w:t xml:space="preserve"> </w:t>
      </w:r>
      <w:r w:rsidR="00D43FF6" w:rsidRPr="00DD1B58">
        <w:rPr>
          <w:szCs w:val="24"/>
          <w:lang w:val="en-US" w:eastAsia="en-GB" w:bidi="ar-SA"/>
        </w:rPr>
        <w:t xml:space="preserve">its </w:t>
      </w:r>
      <w:r w:rsidR="007D3407" w:rsidRPr="00DD1B58">
        <w:rPr>
          <w:szCs w:val="24"/>
          <w:lang w:val="en-US" w:eastAsia="en-GB" w:bidi="ar-SA"/>
        </w:rPr>
        <w:t xml:space="preserve">safety case </w:t>
      </w:r>
      <w:r w:rsidR="00652644" w:rsidRPr="00DD1B58">
        <w:rPr>
          <w:szCs w:val="24"/>
          <w:lang w:val="en-US" w:eastAsia="en-GB" w:bidi="ar-SA"/>
        </w:rPr>
        <w:t>arrangements and</w:t>
      </w:r>
      <w:r w:rsidR="002F4B82" w:rsidRPr="00DD1B58">
        <w:rPr>
          <w:szCs w:val="24"/>
          <w:lang w:val="en-US" w:eastAsia="en-GB" w:bidi="ar-SA"/>
        </w:rPr>
        <w:t xml:space="preserve"> </w:t>
      </w:r>
      <w:r w:rsidR="008F26EB" w:rsidRPr="00DD1B58">
        <w:rPr>
          <w:szCs w:val="24"/>
          <w:lang w:val="en-US" w:eastAsia="en-GB" w:bidi="ar-SA"/>
        </w:rPr>
        <w:t>guidance</w:t>
      </w:r>
      <w:r w:rsidR="00652644" w:rsidRPr="00DD1B58">
        <w:rPr>
          <w:szCs w:val="24"/>
          <w:lang w:val="en-US" w:eastAsia="en-GB" w:bidi="ar-SA"/>
        </w:rPr>
        <w:t xml:space="preserve"> for consideration of nuclear fire safety in </w:t>
      </w:r>
      <w:r w:rsidR="008D17FC" w:rsidRPr="00DD1B58">
        <w:rPr>
          <w:szCs w:val="24"/>
          <w:lang w:val="en-US" w:eastAsia="en-GB" w:bidi="ar-SA"/>
        </w:rPr>
        <w:t xml:space="preserve">light </w:t>
      </w:r>
      <w:r w:rsidR="002065BF" w:rsidRPr="00DD1B58">
        <w:rPr>
          <w:szCs w:val="24"/>
          <w:lang w:val="en-US" w:eastAsia="en-GB" w:bidi="ar-SA"/>
        </w:rPr>
        <w:t xml:space="preserve">of </w:t>
      </w:r>
      <w:r w:rsidR="00E72FDF" w:rsidRPr="00DD1B58">
        <w:rPr>
          <w:szCs w:val="24"/>
          <w:lang w:val="en-US" w:eastAsia="en-GB" w:bidi="ar-SA"/>
        </w:rPr>
        <w:t>IAEA</w:t>
      </w:r>
      <w:r w:rsidR="00652644" w:rsidRPr="00DD1B58">
        <w:rPr>
          <w:szCs w:val="24"/>
          <w:lang w:val="en-US" w:eastAsia="en-GB" w:bidi="ar-SA"/>
        </w:rPr>
        <w:t xml:space="preserve"> </w:t>
      </w:r>
      <w:r w:rsidR="00AD405F" w:rsidRPr="00DD1B58">
        <w:rPr>
          <w:szCs w:val="24"/>
          <w:lang w:val="en-US" w:eastAsia="en-GB" w:bidi="ar-SA"/>
        </w:rPr>
        <w:t>e.g. SSG-64 in so far they are transferable to fuel cycle facilities</w:t>
      </w:r>
      <w:r w:rsidR="009C1482" w:rsidRPr="00DD1B58">
        <w:rPr>
          <w:szCs w:val="24"/>
          <w:lang w:val="en-US" w:eastAsia="en-GB" w:bidi="ar-SA"/>
        </w:rPr>
        <w:t>,</w:t>
      </w:r>
      <w:r w:rsidR="00AD405F" w:rsidRPr="00DD1B58">
        <w:rPr>
          <w:szCs w:val="24"/>
          <w:lang w:val="en-US" w:eastAsia="en-GB" w:bidi="ar-SA"/>
        </w:rPr>
        <w:t xml:space="preserve"> applying a graded approach. </w:t>
      </w:r>
      <w:r w:rsidR="001610AE" w:rsidRPr="00DD1B58">
        <w:rPr>
          <w:szCs w:val="24"/>
          <w:lang w:val="en-US" w:eastAsia="en-GB" w:bidi="ar-SA"/>
        </w:rPr>
        <w:t>Through this review</w:t>
      </w:r>
      <w:r w:rsidR="00082D7F" w:rsidRPr="00DD1B58">
        <w:rPr>
          <w:szCs w:val="24"/>
          <w:lang w:val="en-US" w:eastAsia="en-GB" w:bidi="ar-SA"/>
        </w:rPr>
        <w:t xml:space="preserve"> and ONR inspections</w:t>
      </w:r>
      <w:r w:rsidR="001610AE" w:rsidRPr="00DD1B58">
        <w:rPr>
          <w:szCs w:val="24"/>
          <w:lang w:val="en-US" w:eastAsia="en-GB" w:bidi="ar-SA"/>
        </w:rPr>
        <w:t xml:space="preserve"> UUK recognised an opportunity to</w:t>
      </w:r>
      <w:r w:rsidR="00843692" w:rsidRPr="00DD1B58">
        <w:rPr>
          <w:szCs w:val="24"/>
          <w:lang w:val="en-US" w:eastAsia="en-GB" w:bidi="ar-SA"/>
        </w:rPr>
        <w:t xml:space="preserve"> </w:t>
      </w:r>
      <w:r w:rsidR="006840C3" w:rsidRPr="00DD1B58">
        <w:rPr>
          <w:szCs w:val="24"/>
          <w:lang w:val="en-US" w:eastAsia="en-GB" w:bidi="ar-SA"/>
        </w:rPr>
        <w:t xml:space="preserve">make </w:t>
      </w:r>
      <w:r w:rsidR="00E44B12" w:rsidRPr="00DD1B58">
        <w:rPr>
          <w:szCs w:val="24"/>
          <w:lang w:val="en-US" w:eastAsia="en-GB" w:bidi="ar-SA"/>
        </w:rPr>
        <w:t>secondary improvements to documen</w:t>
      </w:r>
      <w:r w:rsidR="00A14A02" w:rsidRPr="00DD1B58">
        <w:rPr>
          <w:szCs w:val="24"/>
          <w:lang w:val="en-US" w:eastAsia="en-GB" w:bidi="ar-SA"/>
        </w:rPr>
        <w:t>t</w:t>
      </w:r>
      <w:r w:rsidR="00DF5E50" w:rsidRPr="00DD1B58">
        <w:rPr>
          <w:szCs w:val="24"/>
          <w:lang w:val="en-US" w:eastAsia="en-GB" w:bidi="ar-SA"/>
        </w:rPr>
        <w:t>s to fire safety action and follow up, closure and link</w:t>
      </w:r>
      <w:r w:rsidR="00D90332" w:rsidRPr="00DD1B58">
        <w:rPr>
          <w:szCs w:val="24"/>
          <w:lang w:val="en-US" w:eastAsia="en-GB" w:bidi="ar-SA"/>
        </w:rPr>
        <w:t xml:space="preserve"> with safety cases.</w:t>
      </w:r>
      <w:r w:rsidR="001610AE" w:rsidRPr="00DD1B58">
        <w:rPr>
          <w:szCs w:val="24"/>
          <w:lang w:val="en-US" w:eastAsia="en-GB" w:bidi="ar-SA"/>
        </w:rPr>
        <w:t xml:space="preserve"> </w:t>
      </w:r>
      <w:r w:rsidR="005375A7" w:rsidRPr="00DD1B58">
        <w:rPr>
          <w:lang w:val="en-US"/>
        </w:rPr>
        <w:t>ONR</w:t>
      </w:r>
      <w:r w:rsidR="00A14A02" w:rsidRPr="00DD1B58">
        <w:rPr>
          <w:lang w:val="en-US"/>
        </w:rPr>
        <w:t xml:space="preserve"> has raised a </w:t>
      </w:r>
      <w:r w:rsidR="005375A7" w:rsidRPr="00DD1B58">
        <w:rPr>
          <w:lang w:val="en-US"/>
        </w:rPr>
        <w:t>recommendation</w:t>
      </w:r>
      <w:r w:rsidRPr="00DD1B58">
        <w:rPr>
          <w:lang w:val="en-US"/>
        </w:rPr>
        <w:t xml:space="preserve"> that </w:t>
      </w:r>
      <w:r w:rsidR="00DB7864" w:rsidRPr="00DD1B58">
        <w:rPr>
          <w:lang w:val="en-US"/>
        </w:rPr>
        <w:t>UUK reviews</w:t>
      </w:r>
      <w:r w:rsidR="00452077" w:rsidRPr="00DD1B58">
        <w:rPr>
          <w:lang w:val="en-US"/>
        </w:rPr>
        <w:t xml:space="preserve"> </w:t>
      </w:r>
      <w:r w:rsidR="00430220" w:rsidRPr="00DD1B58">
        <w:rPr>
          <w:lang w:val="en-US"/>
        </w:rPr>
        <w:t xml:space="preserve">and </w:t>
      </w:r>
      <w:r w:rsidR="00DB7864" w:rsidRPr="00DD1B58">
        <w:rPr>
          <w:lang w:val="en-US"/>
        </w:rPr>
        <w:t>makes any necessary improvements to its safety case arrangements and guidance</w:t>
      </w:r>
      <w:r w:rsidR="00452077" w:rsidRPr="00DD1B58">
        <w:rPr>
          <w:lang w:val="en-US"/>
        </w:rPr>
        <w:t xml:space="preserve"> in</w:t>
      </w:r>
      <w:r w:rsidRPr="00DD1B58">
        <w:rPr>
          <w:lang w:val="en-US"/>
        </w:rPr>
        <w:t xml:space="preserve"> </w:t>
      </w:r>
      <w:r w:rsidR="00DB7864" w:rsidRPr="00DD1B58">
        <w:rPr>
          <w:lang w:val="en-US"/>
        </w:rPr>
        <w:t>relation to the</w:t>
      </w:r>
      <w:r w:rsidRPr="00DD1B58">
        <w:rPr>
          <w:lang w:val="en-US"/>
        </w:rPr>
        <w:t xml:space="preserve"> </w:t>
      </w:r>
      <w:r w:rsidR="00452077" w:rsidRPr="00DD1B58">
        <w:rPr>
          <w:lang w:val="en-US"/>
        </w:rPr>
        <w:t>consideration</w:t>
      </w:r>
      <w:r w:rsidRPr="00DD1B58">
        <w:rPr>
          <w:lang w:val="en-US"/>
        </w:rPr>
        <w:t xml:space="preserve"> of fire </w:t>
      </w:r>
      <w:r w:rsidR="00DB7864" w:rsidRPr="00DD1B58">
        <w:rPr>
          <w:lang w:val="en-US"/>
        </w:rPr>
        <w:t>and of its combinations with other hazards</w:t>
      </w:r>
      <w:r w:rsidR="007201F0" w:rsidRPr="00DD1B58">
        <w:rPr>
          <w:lang w:val="en-US"/>
        </w:rPr>
        <w:t xml:space="preserve"> </w:t>
      </w:r>
      <w:r w:rsidR="00C21D5E" w:rsidRPr="00DD1B58">
        <w:rPr>
          <w:lang w:val="en-US"/>
        </w:rPr>
        <w:t>including traceability of fire-related</w:t>
      </w:r>
      <w:r w:rsidR="00DB7864" w:rsidRPr="00DD1B58">
        <w:rPr>
          <w:lang w:val="en-US"/>
        </w:rPr>
        <w:t xml:space="preserve"> action follow up and closure </w:t>
      </w:r>
      <w:r w:rsidR="00C21D5E" w:rsidRPr="00DD1B58">
        <w:rPr>
          <w:lang w:val="en-US"/>
        </w:rPr>
        <w:t>in</w:t>
      </w:r>
      <w:r w:rsidR="00DB7864" w:rsidRPr="00DD1B58">
        <w:rPr>
          <w:lang w:val="en-US"/>
        </w:rPr>
        <w:t xml:space="preserve"> safety cases</w:t>
      </w:r>
      <w:r w:rsidR="00430220" w:rsidRPr="00DD1B58">
        <w:rPr>
          <w:lang w:val="en-US"/>
        </w:rPr>
        <w:t>.</w:t>
      </w:r>
      <w:r w:rsidR="00422E04" w:rsidRPr="00DD1B58">
        <w:rPr>
          <w:lang w:val="en-US"/>
        </w:rPr>
        <w:t xml:space="preserve"> </w:t>
      </w:r>
      <w:bookmarkStart w:id="42" w:name="_Hlk148610749"/>
      <w:r w:rsidR="00422E04" w:rsidRPr="00DD1B58">
        <w:rPr>
          <w:lang w:val="en-US"/>
        </w:rPr>
        <w:t xml:space="preserve">A combined </w:t>
      </w:r>
      <w:r w:rsidR="000F2E4A" w:rsidRPr="00DD1B58">
        <w:rPr>
          <w:lang w:val="en-US"/>
        </w:rPr>
        <w:t xml:space="preserve">nuclear fire safety and life fire safety inspection is planned at the Capenhurst site for early 2024 </w:t>
      </w:r>
      <w:r w:rsidR="004B46AE" w:rsidRPr="00DD1B58">
        <w:rPr>
          <w:lang w:val="en-US"/>
        </w:rPr>
        <w:t xml:space="preserve">which will examine the linkage between the nuclear fire safety case and </w:t>
      </w:r>
      <w:r w:rsidR="00A94DFE" w:rsidRPr="00DD1B58">
        <w:rPr>
          <w:lang w:val="en-US"/>
        </w:rPr>
        <w:t>implementation of fire safety measures</w:t>
      </w:r>
      <w:r w:rsidR="00790669" w:rsidRPr="00DD1B58">
        <w:rPr>
          <w:lang w:val="en-US"/>
        </w:rPr>
        <w:t>, including any identified hazard combinations.</w:t>
      </w:r>
      <w:r w:rsidR="00932D78" w:rsidRPr="00DD1B58">
        <w:rPr>
          <w:lang w:val="en-US"/>
        </w:rPr>
        <w:t xml:space="preserve"> Any </w:t>
      </w:r>
      <w:r w:rsidR="00E11B25" w:rsidRPr="00DD1B58">
        <w:rPr>
          <w:lang w:val="en-US"/>
        </w:rPr>
        <w:t xml:space="preserve">outstanding actions </w:t>
      </w:r>
      <w:r w:rsidR="0086327F" w:rsidRPr="00DD1B58">
        <w:rPr>
          <w:lang w:val="en-US"/>
        </w:rPr>
        <w:t xml:space="preserve">required </w:t>
      </w:r>
      <w:r w:rsidR="00E11B25" w:rsidRPr="00DD1B58">
        <w:rPr>
          <w:lang w:val="en-US"/>
        </w:rPr>
        <w:t>to address TPR2 findings will be tracked through regulatory issues.</w:t>
      </w:r>
      <w:bookmarkEnd w:id="42"/>
      <w:r w:rsidR="009D2F4F" w:rsidRPr="00DD1B58">
        <w:rPr>
          <w:lang w:val="en-US"/>
        </w:rPr>
        <w:br w:type="page"/>
      </w:r>
    </w:p>
    <w:p w14:paraId="1660699F" w14:textId="488208A5" w:rsidR="00122065" w:rsidRPr="00DD1B58" w:rsidRDefault="007B2265" w:rsidP="009D7709">
      <w:pPr>
        <w:pStyle w:val="Heading3"/>
        <w:rPr>
          <w:lang w:val="en-US"/>
        </w:rPr>
      </w:pPr>
      <w:bookmarkStart w:id="43" w:name="_Toc147090630"/>
      <w:r w:rsidRPr="00DD1B58">
        <w:rPr>
          <w:lang w:val="en-US"/>
        </w:rPr>
        <w:t xml:space="preserve">Fuel </w:t>
      </w:r>
      <w:r w:rsidR="00A210BF" w:rsidRPr="00DD1B58">
        <w:rPr>
          <w:lang w:val="en-US"/>
        </w:rPr>
        <w:t>f</w:t>
      </w:r>
      <w:r w:rsidR="00D507F9" w:rsidRPr="00DD1B58">
        <w:rPr>
          <w:lang w:val="en-US"/>
        </w:rPr>
        <w:t xml:space="preserve">abrication </w:t>
      </w:r>
      <w:r w:rsidR="00A210BF" w:rsidRPr="00DD1B58">
        <w:rPr>
          <w:lang w:val="en-US"/>
        </w:rPr>
        <w:t>f</w:t>
      </w:r>
      <w:r w:rsidR="00D507F9" w:rsidRPr="00DD1B58">
        <w:rPr>
          <w:lang w:val="en-US"/>
        </w:rPr>
        <w:t>acilities</w:t>
      </w:r>
      <w:r w:rsidR="00C813BA" w:rsidRPr="00DD1B58">
        <w:rPr>
          <w:lang w:val="en-US"/>
        </w:rPr>
        <w:t xml:space="preserve"> </w:t>
      </w:r>
      <w:r w:rsidR="00C74BC3" w:rsidRPr="00DD1B58">
        <w:rPr>
          <w:lang w:val="en-US"/>
        </w:rPr>
        <w:t>–</w:t>
      </w:r>
      <w:r w:rsidR="00C813BA" w:rsidRPr="00DD1B58">
        <w:rPr>
          <w:lang w:val="en-US"/>
        </w:rPr>
        <w:t xml:space="preserve"> </w:t>
      </w:r>
      <w:r w:rsidR="00134292" w:rsidRPr="00DD1B58">
        <w:rPr>
          <w:lang w:val="en-US"/>
        </w:rPr>
        <w:t>Springfields Fuels Ltd</w:t>
      </w:r>
      <w:bookmarkEnd w:id="43"/>
    </w:p>
    <w:p w14:paraId="0BC0BD79" w14:textId="77777777" w:rsidR="6EFDD43C" w:rsidRPr="00DD1B58" w:rsidRDefault="6EFDD43C" w:rsidP="009D7709">
      <w:pPr>
        <w:pStyle w:val="Heading4"/>
        <w:rPr>
          <w:lang w:val="en-US"/>
        </w:rPr>
      </w:pPr>
      <w:bookmarkStart w:id="44" w:name="_Ref139985586"/>
      <w:r w:rsidRPr="00DD1B58">
        <w:rPr>
          <w:lang w:val="en-US"/>
        </w:rPr>
        <w:t>Types and scope of the fire safety analyses</w:t>
      </w:r>
      <w:bookmarkEnd w:id="44"/>
      <w:r w:rsidRPr="00DD1B58">
        <w:rPr>
          <w:lang w:val="en-US"/>
        </w:rPr>
        <w:t xml:space="preserve"> </w:t>
      </w:r>
    </w:p>
    <w:p w14:paraId="7C319415" w14:textId="203E8F74" w:rsidR="009F32C1" w:rsidRPr="00DD1B58" w:rsidRDefault="00C74BC3" w:rsidP="6C4D33C6">
      <w:pPr>
        <w:rPr>
          <w:rFonts w:eastAsia="Arial"/>
          <w:szCs w:val="24"/>
          <w:lang w:val="en-US"/>
        </w:rPr>
      </w:pPr>
      <w:r w:rsidRPr="00DD1B58">
        <w:rPr>
          <w:szCs w:val="24"/>
          <w:lang w:val="en-US"/>
        </w:rPr>
        <w:t xml:space="preserve">Springfields Fuels </w:t>
      </w:r>
      <w:r w:rsidR="00BF0D1B" w:rsidRPr="00DD1B58">
        <w:rPr>
          <w:szCs w:val="24"/>
          <w:lang w:val="en-US"/>
        </w:rPr>
        <w:t>Ltd</w:t>
      </w:r>
      <w:r w:rsidR="00014C51" w:rsidRPr="00DD1B58">
        <w:rPr>
          <w:szCs w:val="24"/>
          <w:lang w:val="en-US"/>
        </w:rPr>
        <w:t>’s</w:t>
      </w:r>
      <w:r w:rsidRPr="00DD1B58">
        <w:rPr>
          <w:szCs w:val="24"/>
          <w:lang w:val="en-US"/>
        </w:rPr>
        <w:t xml:space="preserve"> </w:t>
      </w:r>
      <w:r w:rsidR="009F32C1" w:rsidRPr="00DD1B58">
        <w:rPr>
          <w:szCs w:val="24"/>
          <w:lang w:val="en-US"/>
        </w:rPr>
        <w:t xml:space="preserve">overarching requirements for the production and management of </w:t>
      </w:r>
      <w:r w:rsidR="00076E5B" w:rsidRPr="00DD1B58">
        <w:rPr>
          <w:szCs w:val="24"/>
          <w:lang w:val="en-US"/>
        </w:rPr>
        <w:t>s</w:t>
      </w:r>
      <w:r w:rsidR="009F32C1" w:rsidRPr="00DD1B58">
        <w:rPr>
          <w:szCs w:val="24"/>
          <w:lang w:val="en-US"/>
        </w:rPr>
        <w:t xml:space="preserve">afety </w:t>
      </w:r>
      <w:r w:rsidR="00076E5B" w:rsidRPr="00DD1B58">
        <w:rPr>
          <w:szCs w:val="24"/>
          <w:lang w:val="en-US"/>
        </w:rPr>
        <w:t>c</w:t>
      </w:r>
      <w:r w:rsidR="009F32C1" w:rsidRPr="00DD1B58">
        <w:rPr>
          <w:szCs w:val="24"/>
          <w:lang w:val="en-US"/>
        </w:rPr>
        <w:t>ases are set out in Springfields</w:t>
      </w:r>
      <w:r w:rsidR="00CF7D31" w:rsidRPr="00DD1B58">
        <w:rPr>
          <w:szCs w:val="24"/>
          <w:lang w:val="en-US"/>
        </w:rPr>
        <w:t>’</w:t>
      </w:r>
      <w:r w:rsidR="009F32C1" w:rsidRPr="00DD1B58">
        <w:rPr>
          <w:szCs w:val="24"/>
          <w:lang w:val="en-US"/>
        </w:rPr>
        <w:t xml:space="preserve"> </w:t>
      </w:r>
      <w:r w:rsidR="00CF7D31" w:rsidRPr="00DD1B58">
        <w:rPr>
          <w:szCs w:val="24"/>
          <w:lang w:val="en-US"/>
        </w:rPr>
        <w:t>‘</w:t>
      </w:r>
      <w:r w:rsidR="009F32C1" w:rsidRPr="00DD1B58">
        <w:rPr>
          <w:szCs w:val="24"/>
          <w:lang w:val="en-US"/>
        </w:rPr>
        <w:t>Arrangements for compliance with licence Condition 14 – Safety Documentation</w:t>
      </w:r>
      <w:r w:rsidR="00CF7D31" w:rsidRPr="00DD1B58">
        <w:rPr>
          <w:szCs w:val="24"/>
          <w:lang w:val="en-US"/>
        </w:rPr>
        <w:t>’</w:t>
      </w:r>
      <w:r w:rsidR="009F32C1" w:rsidRPr="00DD1B58">
        <w:rPr>
          <w:szCs w:val="24"/>
          <w:lang w:val="en-US"/>
        </w:rPr>
        <w:t xml:space="preserve"> (primarily SSI350). These are underpinned by a range of further Site Safety Instructions</w:t>
      </w:r>
      <w:r w:rsidR="00CF7D31" w:rsidRPr="00DD1B58">
        <w:rPr>
          <w:szCs w:val="24"/>
          <w:lang w:val="en-US"/>
        </w:rPr>
        <w:t>,</w:t>
      </w:r>
      <w:r w:rsidR="009F32C1" w:rsidRPr="00DD1B58">
        <w:rPr>
          <w:szCs w:val="24"/>
          <w:lang w:val="en-US"/>
        </w:rPr>
        <w:t xml:space="preserve"> including SSI 917</w:t>
      </w:r>
      <w:r w:rsidR="009F32C1" w:rsidRPr="00DD1B58" w:rsidDel="00DC1BC0">
        <w:rPr>
          <w:szCs w:val="24"/>
          <w:lang w:val="en-US"/>
        </w:rPr>
        <w:t xml:space="preserve"> </w:t>
      </w:r>
      <w:sdt>
        <w:sdtPr>
          <w:rPr>
            <w:szCs w:val="24"/>
            <w:lang w:val="en-US"/>
          </w:rPr>
          <w:id w:val="1095063230"/>
          <w:citation/>
        </w:sdtPr>
        <w:sdtContent>
          <w:r w:rsidR="007E520E" w:rsidRPr="00DD1B58">
            <w:rPr>
              <w:szCs w:val="24"/>
              <w:lang w:val="en-US"/>
            </w:rPr>
            <w:fldChar w:fldCharType="begin"/>
          </w:r>
          <w:r w:rsidR="007E520E" w:rsidRPr="00DD1B58">
            <w:rPr>
              <w:szCs w:val="24"/>
              <w:lang w:val="en-US"/>
            </w:rPr>
            <w:instrText xml:space="preserve"> CITATION SSI \l 2057 </w:instrText>
          </w:r>
          <w:r w:rsidR="007E520E" w:rsidRPr="00DD1B58">
            <w:rPr>
              <w:szCs w:val="24"/>
              <w:lang w:val="en-US"/>
            </w:rPr>
            <w:fldChar w:fldCharType="separate"/>
          </w:r>
          <w:r w:rsidR="00DF47DA" w:rsidRPr="00DF47DA">
            <w:rPr>
              <w:noProof/>
              <w:szCs w:val="24"/>
              <w:lang w:val="en-US"/>
            </w:rPr>
            <w:t>[73]</w:t>
          </w:r>
          <w:r w:rsidR="007E520E" w:rsidRPr="00DD1B58">
            <w:rPr>
              <w:szCs w:val="24"/>
              <w:lang w:val="en-US"/>
            </w:rPr>
            <w:fldChar w:fldCharType="end"/>
          </w:r>
        </w:sdtContent>
      </w:sdt>
      <w:r w:rsidR="00CF7D31" w:rsidRPr="00DD1B58">
        <w:rPr>
          <w:szCs w:val="24"/>
          <w:lang w:val="en-US"/>
        </w:rPr>
        <w:t>,</w:t>
      </w:r>
      <w:r w:rsidR="009F32C1" w:rsidRPr="00DD1B58">
        <w:rPr>
          <w:szCs w:val="24"/>
          <w:lang w:val="en-US"/>
        </w:rPr>
        <w:t xml:space="preserve"> which govern the process of substantiating all systems structures and components with a safety</w:t>
      </w:r>
      <w:r w:rsidR="00CF7D31" w:rsidRPr="00DD1B58">
        <w:rPr>
          <w:szCs w:val="24"/>
          <w:lang w:val="en-US"/>
        </w:rPr>
        <w:t>-</w:t>
      </w:r>
      <w:r w:rsidR="009F32C1" w:rsidRPr="00DD1B58">
        <w:rPr>
          <w:szCs w:val="24"/>
          <w:lang w:val="en-US"/>
        </w:rPr>
        <w:t>related role.</w:t>
      </w:r>
    </w:p>
    <w:p w14:paraId="150AF4A0" w14:textId="32F629D9" w:rsidR="2C65400E" w:rsidRPr="00DD1B58" w:rsidRDefault="00014C51" w:rsidP="6C4D33C6">
      <w:pPr>
        <w:rPr>
          <w:lang w:val="en-US"/>
        </w:rPr>
      </w:pPr>
      <w:r w:rsidRPr="00DD1B58">
        <w:rPr>
          <w:rFonts w:eastAsia="Arial"/>
          <w:szCs w:val="24"/>
          <w:lang w:val="en-US"/>
        </w:rPr>
        <w:t>Springfield</w:t>
      </w:r>
      <w:r w:rsidR="00EC7F05" w:rsidRPr="00DD1B58">
        <w:rPr>
          <w:rFonts w:eastAsia="Arial"/>
          <w:szCs w:val="24"/>
          <w:lang w:val="en-US"/>
        </w:rPr>
        <w:t xml:space="preserve">s Fuels </w:t>
      </w:r>
      <w:r w:rsidR="00BF0D1B" w:rsidRPr="00DD1B58">
        <w:rPr>
          <w:rFonts w:eastAsia="Arial"/>
          <w:szCs w:val="24"/>
          <w:lang w:val="en-US"/>
        </w:rPr>
        <w:t>Ltd</w:t>
      </w:r>
      <w:r w:rsidR="00EC7F05" w:rsidRPr="00DD1B58">
        <w:rPr>
          <w:rFonts w:eastAsia="Arial"/>
          <w:szCs w:val="24"/>
          <w:lang w:val="en-US"/>
        </w:rPr>
        <w:t xml:space="preserve"> undertakes</w:t>
      </w:r>
      <w:r w:rsidRPr="00DD1B58">
        <w:rPr>
          <w:rFonts w:eastAsia="Arial"/>
          <w:szCs w:val="24"/>
          <w:lang w:val="en-US"/>
        </w:rPr>
        <w:t xml:space="preserve"> </w:t>
      </w:r>
      <w:r w:rsidR="2C65400E" w:rsidRPr="00DD1B58">
        <w:rPr>
          <w:rFonts w:eastAsia="Arial"/>
          <w:szCs w:val="24"/>
          <w:lang w:val="en-US"/>
        </w:rPr>
        <w:t xml:space="preserve">nuclear and chemotoxic fire hazard analysis in support of the </w:t>
      </w:r>
      <w:r w:rsidR="000E27F6" w:rsidRPr="00DD1B58">
        <w:rPr>
          <w:rFonts w:eastAsia="Arial"/>
          <w:szCs w:val="24"/>
          <w:lang w:val="en-US"/>
        </w:rPr>
        <w:t>Continued Operations Safety Report (</w:t>
      </w:r>
      <w:r w:rsidR="2C65400E" w:rsidRPr="00DD1B58">
        <w:rPr>
          <w:rFonts w:eastAsia="Arial"/>
          <w:szCs w:val="24"/>
          <w:lang w:val="en-US"/>
        </w:rPr>
        <w:t>COSR</w:t>
      </w:r>
      <w:r w:rsidR="000E27F6" w:rsidRPr="00DD1B58">
        <w:rPr>
          <w:rFonts w:eastAsia="Arial"/>
          <w:szCs w:val="24"/>
          <w:lang w:val="en-US"/>
        </w:rPr>
        <w:t>)</w:t>
      </w:r>
      <w:r w:rsidR="2C65400E" w:rsidRPr="00DD1B58">
        <w:rPr>
          <w:rFonts w:eastAsia="Arial"/>
          <w:szCs w:val="24"/>
          <w:lang w:val="en-US"/>
        </w:rPr>
        <w:t xml:space="preserve"> process</w:t>
      </w:r>
      <w:r w:rsidR="00EC7F05" w:rsidRPr="00DD1B58">
        <w:rPr>
          <w:rFonts w:eastAsia="Arial"/>
          <w:szCs w:val="24"/>
          <w:lang w:val="en-US"/>
        </w:rPr>
        <w:t xml:space="preserve">. </w:t>
      </w:r>
      <w:r w:rsidR="00C30F7C" w:rsidRPr="00DD1B58">
        <w:rPr>
          <w:rFonts w:eastAsia="Arial"/>
          <w:szCs w:val="24"/>
          <w:lang w:val="en-US"/>
        </w:rPr>
        <w:t xml:space="preserve">It </w:t>
      </w:r>
      <w:r w:rsidR="00445908" w:rsidRPr="00DD1B58">
        <w:rPr>
          <w:rFonts w:eastAsia="Arial"/>
          <w:szCs w:val="24"/>
          <w:lang w:val="en-US"/>
        </w:rPr>
        <w:t xml:space="preserve">also </w:t>
      </w:r>
      <w:r w:rsidR="00C30F7C" w:rsidRPr="00DD1B58">
        <w:rPr>
          <w:rFonts w:eastAsia="Arial"/>
          <w:szCs w:val="24"/>
          <w:lang w:val="en-US"/>
        </w:rPr>
        <w:t>considers the</w:t>
      </w:r>
      <w:r w:rsidR="2C65400E" w:rsidRPr="00DD1B58">
        <w:rPr>
          <w:rFonts w:eastAsia="Arial"/>
          <w:szCs w:val="24"/>
          <w:lang w:val="en-US"/>
        </w:rPr>
        <w:t xml:space="preserve"> potential for fire as an initiator for faults elsewhere in the analysis</w:t>
      </w:r>
      <w:r w:rsidR="00CF7D31" w:rsidRPr="00DD1B58">
        <w:rPr>
          <w:rFonts w:eastAsia="Arial"/>
          <w:szCs w:val="24"/>
          <w:lang w:val="en-US"/>
        </w:rPr>
        <w:t>,</w:t>
      </w:r>
      <w:r w:rsidR="2C65400E" w:rsidRPr="00DD1B58">
        <w:rPr>
          <w:rFonts w:eastAsia="Arial"/>
          <w:szCs w:val="24"/>
          <w:lang w:val="en-US"/>
        </w:rPr>
        <w:t xml:space="preserve"> </w:t>
      </w:r>
      <w:r w:rsidR="00CF7D31" w:rsidRPr="00DD1B58">
        <w:rPr>
          <w:rFonts w:eastAsia="Arial"/>
          <w:szCs w:val="24"/>
          <w:lang w:val="en-US"/>
        </w:rPr>
        <w:t>for example,</w:t>
      </w:r>
      <w:r w:rsidR="2C65400E" w:rsidRPr="00DD1B58">
        <w:rPr>
          <w:rFonts w:eastAsia="Arial"/>
          <w:szCs w:val="24"/>
          <w:lang w:val="en-US"/>
        </w:rPr>
        <w:t xml:space="preserve"> fault sequences in the Radiological and Criticality HAZAN</w:t>
      </w:r>
      <w:r w:rsidR="00AC7891" w:rsidRPr="00DD1B58">
        <w:rPr>
          <w:rFonts w:eastAsia="Arial"/>
          <w:szCs w:val="24"/>
          <w:lang w:val="en-US"/>
        </w:rPr>
        <w:t>s</w:t>
      </w:r>
      <w:r w:rsidR="2C65400E" w:rsidRPr="00DD1B58">
        <w:rPr>
          <w:rFonts w:eastAsia="Arial"/>
          <w:szCs w:val="24"/>
          <w:lang w:val="en-US"/>
        </w:rPr>
        <w:t>. Where</w:t>
      </w:r>
      <w:r w:rsidR="00DA6426" w:rsidRPr="00DD1B58">
        <w:rPr>
          <w:rFonts w:eastAsia="Arial"/>
          <w:szCs w:val="24"/>
          <w:lang w:val="en-US"/>
        </w:rPr>
        <w:t xml:space="preserve"> Springfields Fuels </w:t>
      </w:r>
      <w:r w:rsidR="00BF0D1B" w:rsidRPr="00DD1B58">
        <w:rPr>
          <w:rFonts w:eastAsia="Arial"/>
          <w:szCs w:val="24"/>
          <w:lang w:val="en-US"/>
        </w:rPr>
        <w:t>Ltd</w:t>
      </w:r>
      <w:r w:rsidR="00DA6426" w:rsidRPr="00DD1B58">
        <w:rPr>
          <w:rFonts w:eastAsia="Arial"/>
          <w:szCs w:val="24"/>
          <w:lang w:val="en-US"/>
        </w:rPr>
        <w:t xml:space="preserve"> considers that</w:t>
      </w:r>
      <w:r w:rsidR="2C65400E" w:rsidRPr="00DD1B58">
        <w:rPr>
          <w:rFonts w:eastAsia="Arial"/>
          <w:szCs w:val="24"/>
          <w:lang w:val="en-US"/>
        </w:rPr>
        <w:t xml:space="preserve"> there is a significant </w:t>
      </w:r>
      <w:r w:rsidR="007A37D6" w:rsidRPr="00DD1B58">
        <w:rPr>
          <w:rFonts w:eastAsia="Arial"/>
          <w:szCs w:val="24"/>
          <w:lang w:val="en-US"/>
        </w:rPr>
        <w:t xml:space="preserve">potential </w:t>
      </w:r>
      <w:r w:rsidR="2C65400E" w:rsidRPr="00DD1B58">
        <w:rPr>
          <w:rFonts w:eastAsia="Arial"/>
          <w:szCs w:val="24"/>
          <w:lang w:val="en-US"/>
        </w:rPr>
        <w:t>consequence either to worker</w:t>
      </w:r>
      <w:r w:rsidR="007A37D6" w:rsidRPr="00DD1B58">
        <w:rPr>
          <w:rFonts w:eastAsia="Arial"/>
          <w:szCs w:val="24"/>
          <w:lang w:val="en-US"/>
        </w:rPr>
        <w:t>s</w:t>
      </w:r>
      <w:r w:rsidR="2C65400E" w:rsidRPr="00DD1B58">
        <w:rPr>
          <w:rFonts w:eastAsia="Arial"/>
          <w:szCs w:val="24"/>
          <w:lang w:val="en-US"/>
        </w:rPr>
        <w:t xml:space="preserve"> or </w:t>
      </w:r>
      <w:r w:rsidR="007A37D6" w:rsidRPr="00DD1B58">
        <w:rPr>
          <w:rFonts w:eastAsia="Arial"/>
          <w:szCs w:val="24"/>
          <w:lang w:val="en-US"/>
        </w:rPr>
        <w:t>the</w:t>
      </w:r>
      <w:r w:rsidR="2C65400E" w:rsidRPr="00DD1B58">
        <w:rPr>
          <w:rFonts w:eastAsia="Arial"/>
          <w:szCs w:val="24"/>
          <w:lang w:val="en-US"/>
        </w:rPr>
        <w:t xml:space="preserve"> public</w:t>
      </w:r>
      <w:r w:rsidR="00DA6426" w:rsidRPr="00DD1B58">
        <w:rPr>
          <w:rFonts w:eastAsia="Arial"/>
          <w:szCs w:val="24"/>
          <w:lang w:val="en-US"/>
        </w:rPr>
        <w:t>,</w:t>
      </w:r>
      <w:r w:rsidR="2C65400E" w:rsidRPr="00DD1B58">
        <w:rPr>
          <w:rFonts w:eastAsia="Arial"/>
          <w:szCs w:val="24"/>
          <w:lang w:val="en-US"/>
        </w:rPr>
        <w:t xml:space="preserve"> </w:t>
      </w:r>
      <w:r w:rsidR="006D3EA0" w:rsidRPr="00DD1B58">
        <w:rPr>
          <w:rFonts w:eastAsia="Arial"/>
          <w:szCs w:val="24"/>
          <w:lang w:val="en-US"/>
        </w:rPr>
        <w:t xml:space="preserve">it assesses </w:t>
      </w:r>
      <w:r w:rsidR="2C65400E" w:rsidRPr="00DD1B58">
        <w:rPr>
          <w:rFonts w:eastAsia="Arial"/>
          <w:szCs w:val="24"/>
          <w:lang w:val="en-US"/>
        </w:rPr>
        <w:t>the effects of fire on engineered safety measures such as Safety Mechanisms (SMs) or Safety Features (SFs</w:t>
      </w:r>
      <w:r w:rsidR="00DA6426" w:rsidRPr="00DD1B58">
        <w:rPr>
          <w:rFonts w:eastAsia="Arial"/>
          <w:szCs w:val="24"/>
          <w:lang w:val="en-US"/>
        </w:rPr>
        <w:t>)</w:t>
      </w:r>
      <w:r w:rsidR="006D3EA0" w:rsidRPr="00DD1B58">
        <w:rPr>
          <w:rFonts w:eastAsia="Arial"/>
          <w:szCs w:val="24"/>
          <w:lang w:val="en-US"/>
        </w:rPr>
        <w:t>, to</w:t>
      </w:r>
      <w:r w:rsidR="2C65400E" w:rsidRPr="00DD1B58">
        <w:rPr>
          <w:rFonts w:eastAsia="Arial"/>
          <w:szCs w:val="24"/>
          <w:lang w:val="en-US"/>
        </w:rPr>
        <w:t xml:space="preserve"> demonstrate</w:t>
      </w:r>
      <w:r w:rsidR="006D3EA0" w:rsidRPr="00DD1B58">
        <w:rPr>
          <w:rFonts w:eastAsia="Arial"/>
          <w:szCs w:val="24"/>
          <w:lang w:val="en-US"/>
        </w:rPr>
        <w:t xml:space="preserve"> that</w:t>
      </w:r>
      <w:r w:rsidR="2C65400E" w:rsidRPr="00DD1B58">
        <w:rPr>
          <w:rFonts w:eastAsia="Arial"/>
          <w:szCs w:val="24"/>
          <w:lang w:val="en-US"/>
        </w:rPr>
        <w:t xml:space="preserve"> they are robust to fire and the contribution to risk is low. </w:t>
      </w:r>
    </w:p>
    <w:p w14:paraId="1091D63E" w14:textId="75EA4101" w:rsidR="2C65400E" w:rsidRPr="00DD1B58" w:rsidRDefault="00F33939"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does not assume the effects</w:t>
      </w:r>
      <w:r w:rsidR="2C65400E" w:rsidRPr="00DD1B58">
        <w:rPr>
          <w:rFonts w:eastAsia="Arial"/>
          <w:szCs w:val="24"/>
          <w:lang w:val="en-US"/>
        </w:rPr>
        <w:t xml:space="preserve"> of severe natural phenomena</w:t>
      </w:r>
      <w:r w:rsidR="007A37D6" w:rsidRPr="00DD1B58">
        <w:rPr>
          <w:rFonts w:eastAsia="Arial"/>
          <w:szCs w:val="24"/>
          <w:lang w:val="en-US"/>
        </w:rPr>
        <w:t>,</w:t>
      </w:r>
      <w:r w:rsidR="2C65400E" w:rsidRPr="00DD1B58">
        <w:rPr>
          <w:rFonts w:eastAsia="Arial"/>
          <w:szCs w:val="24"/>
          <w:lang w:val="en-US"/>
        </w:rPr>
        <w:t xml:space="preserve"> such as flooding and seismic events</w:t>
      </w:r>
      <w:r w:rsidR="007A37D6" w:rsidRPr="00DD1B58">
        <w:rPr>
          <w:rFonts w:eastAsia="Arial"/>
          <w:szCs w:val="24"/>
          <w:lang w:val="en-US"/>
        </w:rPr>
        <w:t>,</w:t>
      </w:r>
      <w:r w:rsidR="2C65400E" w:rsidRPr="00DD1B58">
        <w:rPr>
          <w:rFonts w:eastAsia="Arial"/>
          <w:szCs w:val="24"/>
          <w:lang w:val="en-US"/>
        </w:rPr>
        <w:t xml:space="preserve"> to occur concurrent with a fire. In addition, </w:t>
      </w:r>
      <w:r w:rsidR="00484D8C" w:rsidRPr="00DD1B58">
        <w:rPr>
          <w:rFonts w:eastAsia="Arial"/>
          <w:szCs w:val="24"/>
          <w:lang w:val="en-US"/>
        </w:rPr>
        <w:t xml:space="preserve">Springfields Fuels </w:t>
      </w:r>
      <w:r w:rsidR="00BF0D1B" w:rsidRPr="00DD1B58">
        <w:rPr>
          <w:rFonts w:eastAsia="Arial"/>
          <w:szCs w:val="24"/>
          <w:lang w:val="en-US"/>
        </w:rPr>
        <w:t>Ltd</w:t>
      </w:r>
      <w:r w:rsidR="00484D8C" w:rsidRPr="00DD1B58">
        <w:rPr>
          <w:rFonts w:eastAsia="Arial"/>
          <w:szCs w:val="24"/>
          <w:lang w:val="en-US"/>
        </w:rPr>
        <w:t xml:space="preserve"> does not consider </w:t>
      </w:r>
      <w:r w:rsidR="2C65400E" w:rsidRPr="00DD1B58">
        <w:rPr>
          <w:rFonts w:eastAsia="Arial"/>
          <w:szCs w:val="24"/>
          <w:lang w:val="en-US"/>
        </w:rPr>
        <w:t>seismically</w:t>
      </w:r>
      <w:r w:rsidR="00484D8C" w:rsidRPr="00DD1B58">
        <w:rPr>
          <w:rFonts w:eastAsia="Arial"/>
          <w:szCs w:val="24"/>
          <w:lang w:val="en-US"/>
        </w:rPr>
        <w:t>-</w:t>
      </w:r>
      <w:r w:rsidR="2C65400E" w:rsidRPr="00DD1B58">
        <w:rPr>
          <w:rFonts w:eastAsia="Arial"/>
          <w:szCs w:val="24"/>
          <w:lang w:val="en-US"/>
        </w:rPr>
        <w:t>induced fire specifically although it recognise</w:t>
      </w:r>
      <w:r w:rsidR="00484D8C" w:rsidRPr="00DD1B58">
        <w:rPr>
          <w:rFonts w:eastAsia="Arial"/>
          <w:szCs w:val="24"/>
          <w:lang w:val="en-US"/>
        </w:rPr>
        <w:t>s</w:t>
      </w:r>
      <w:r w:rsidR="2C65400E" w:rsidRPr="00DD1B58">
        <w:rPr>
          <w:rFonts w:eastAsia="Arial"/>
          <w:szCs w:val="24"/>
          <w:lang w:val="en-US"/>
        </w:rPr>
        <w:t xml:space="preserve"> that such </w:t>
      </w:r>
      <w:r w:rsidR="00484D8C" w:rsidRPr="00DD1B58">
        <w:rPr>
          <w:rFonts w:eastAsia="Arial"/>
          <w:szCs w:val="24"/>
          <w:lang w:val="en-US"/>
        </w:rPr>
        <w:t>h</w:t>
      </w:r>
      <w:r w:rsidR="2C65400E" w:rsidRPr="00DD1B58">
        <w:rPr>
          <w:rFonts w:eastAsia="Arial"/>
          <w:szCs w:val="24"/>
          <w:lang w:val="en-US"/>
        </w:rPr>
        <w:t>azards could occur</w:t>
      </w:r>
      <w:r w:rsidR="00484D8C" w:rsidRPr="00DD1B58">
        <w:rPr>
          <w:rFonts w:eastAsia="Arial"/>
          <w:szCs w:val="24"/>
          <w:lang w:val="en-US"/>
        </w:rPr>
        <w:t xml:space="preserve"> in combination</w:t>
      </w:r>
      <w:r w:rsidR="00467917" w:rsidRPr="00DD1B58">
        <w:rPr>
          <w:rFonts w:eastAsia="Arial"/>
          <w:szCs w:val="24"/>
          <w:lang w:val="en-US"/>
        </w:rPr>
        <w:t>.</w:t>
      </w:r>
      <w:r w:rsidR="00A97743" w:rsidRPr="00DD1B58">
        <w:rPr>
          <w:rFonts w:eastAsia="Arial"/>
          <w:szCs w:val="24"/>
          <w:lang w:val="en-US"/>
        </w:rPr>
        <w:t xml:space="preserve"> </w:t>
      </w:r>
      <w:r w:rsidR="2C65400E" w:rsidRPr="00DD1B58">
        <w:rPr>
          <w:rFonts w:eastAsia="Arial"/>
          <w:szCs w:val="24"/>
          <w:lang w:val="en-US"/>
        </w:rPr>
        <w:t>The Springfields site is in a low seismic activity area and no specific seismic qualification is deemed necessary for general building structural elements, safety mechanisms, safety features or safety</w:t>
      </w:r>
      <w:r w:rsidR="0000360A" w:rsidRPr="00DD1B58">
        <w:rPr>
          <w:rFonts w:eastAsia="Arial"/>
          <w:szCs w:val="24"/>
          <w:lang w:val="en-US"/>
        </w:rPr>
        <w:t>-</w:t>
      </w:r>
      <w:r w:rsidR="2C65400E" w:rsidRPr="00DD1B58">
        <w:rPr>
          <w:rFonts w:eastAsia="Arial"/>
          <w:szCs w:val="24"/>
          <w:lang w:val="en-US"/>
        </w:rPr>
        <w:t>related instrumentation</w:t>
      </w:r>
      <w:r w:rsidR="0000360A" w:rsidRPr="00DD1B58">
        <w:rPr>
          <w:rFonts w:eastAsia="Arial"/>
          <w:szCs w:val="24"/>
          <w:lang w:val="en-US"/>
        </w:rPr>
        <w:t xml:space="preserve"> and </w:t>
      </w:r>
      <w:r w:rsidR="2C65400E" w:rsidRPr="00DD1B58">
        <w:rPr>
          <w:rFonts w:eastAsia="Arial"/>
          <w:szCs w:val="24"/>
          <w:lang w:val="en-US"/>
        </w:rPr>
        <w:t xml:space="preserve">equipment. </w:t>
      </w:r>
      <w:r w:rsidR="00224310" w:rsidRPr="00DD1B58">
        <w:rPr>
          <w:rFonts w:eastAsia="Arial"/>
          <w:szCs w:val="24"/>
          <w:lang w:val="en-US"/>
        </w:rPr>
        <w:t xml:space="preserve">The </w:t>
      </w:r>
      <w:r w:rsidR="00471F38" w:rsidRPr="00DD1B58">
        <w:rPr>
          <w:rFonts w:eastAsia="Arial"/>
          <w:szCs w:val="24"/>
          <w:lang w:val="en-US"/>
        </w:rPr>
        <w:t>d</w:t>
      </w:r>
      <w:r w:rsidR="2C65400E" w:rsidRPr="00DD1B58">
        <w:rPr>
          <w:rFonts w:eastAsia="Arial"/>
          <w:szCs w:val="24"/>
          <w:lang w:val="en-US"/>
        </w:rPr>
        <w:t>rum store racking for enriched material is seismically qualified.</w:t>
      </w:r>
    </w:p>
    <w:p w14:paraId="45D4BBD9" w14:textId="77777777" w:rsidR="2C65400E" w:rsidRPr="00DD1B58" w:rsidRDefault="2C65400E" w:rsidP="00A14372">
      <w:pPr>
        <w:rPr>
          <w:b/>
          <w:szCs w:val="24"/>
          <w:lang w:val="en-US"/>
        </w:rPr>
      </w:pPr>
      <w:r w:rsidRPr="00DD1B58">
        <w:rPr>
          <w:b/>
          <w:lang w:val="en-US"/>
        </w:rPr>
        <w:t xml:space="preserve">Internal Fire Hazards </w:t>
      </w:r>
    </w:p>
    <w:p w14:paraId="0D375DEF" w14:textId="55772BE5" w:rsidR="2C65400E" w:rsidRPr="00DD1B58" w:rsidRDefault="00A83A0A"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defines </w:t>
      </w:r>
      <w:r w:rsidR="00451E7E" w:rsidRPr="00DD1B58">
        <w:rPr>
          <w:rFonts w:eastAsia="Arial"/>
          <w:szCs w:val="24"/>
          <w:lang w:val="en-US"/>
        </w:rPr>
        <w:t>i</w:t>
      </w:r>
      <w:r w:rsidR="2C65400E" w:rsidRPr="00DD1B58">
        <w:rPr>
          <w:rFonts w:eastAsia="Arial"/>
          <w:szCs w:val="24"/>
          <w:lang w:val="en-US"/>
        </w:rPr>
        <w:t>nternal fire hazards</w:t>
      </w:r>
      <w:r w:rsidRPr="00DD1B58">
        <w:rPr>
          <w:rFonts w:eastAsia="Arial"/>
          <w:szCs w:val="24"/>
          <w:lang w:val="en-US"/>
        </w:rPr>
        <w:t xml:space="preserve"> </w:t>
      </w:r>
      <w:r w:rsidR="2C65400E" w:rsidRPr="00DD1B58">
        <w:rPr>
          <w:rFonts w:eastAsia="Arial"/>
          <w:szCs w:val="24"/>
          <w:lang w:val="en-US"/>
        </w:rPr>
        <w:t>as those that originate both within a building or facility and within the Springfields site boundary external to the building or facility and include:</w:t>
      </w:r>
    </w:p>
    <w:p w14:paraId="201B5518" w14:textId="57DBC8FB" w:rsidR="66895AD6" w:rsidRPr="00DD1B58" w:rsidRDefault="66895AD6" w:rsidP="00F26E1A">
      <w:pPr>
        <w:pStyle w:val="Bulletlist1"/>
        <w:rPr>
          <w:szCs w:val="24"/>
          <w:lang w:val="en-US"/>
        </w:rPr>
      </w:pPr>
      <w:r w:rsidRPr="00DD1B58">
        <w:rPr>
          <w:rFonts w:eastAsia="Arial"/>
          <w:lang w:val="en-US"/>
        </w:rPr>
        <w:t>Fire spread from buildings</w:t>
      </w:r>
      <w:r w:rsidR="00F3224F" w:rsidRPr="00DD1B58">
        <w:rPr>
          <w:rFonts w:eastAsia="Arial"/>
          <w:lang w:val="en-US"/>
        </w:rPr>
        <w:t>;</w:t>
      </w:r>
    </w:p>
    <w:p w14:paraId="539C4732" w14:textId="25BA2864" w:rsidR="66895AD6" w:rsidRPr="00DD1B58" w:rsidRDefault="66895AD6" w:rsidP="00F26E1A">
      <w:pPr>
        <w:pStyle w:val="Bulletlist1"/>
        <w:rPr>
          <w:szCs w:val="24"/>
          <w:lang w:val="en-US"/>
        </w:rPr>
      </w:pPr>
      <w:r w:rsidRPr="00DD1B58">
        <w:rPr>
          <w:rFonts w:eastAsia="Arial"/>
          <w:lang w:val="en-US"/>
        </w:rPr>
        <w:t>Fires originating from vehicles operating on the site</w:t>
      </w:r>
      <w:r w:rsidR="00F3224F" w:rsidRPr="00DD1B58">
        <w:rPr>
          <w:rFonts w:eastAsia="Arial"/>
          <w:lang w:val="en-US"/>
        </w:rPr>
        <w:t>;</w:t>
      </w:r>
    </w:p>
    <w:p w14:paraId="2D641BF6" w14:textId="71AC4AAF" w:rsidR="66895AD6" w:rsidRPr="00DD1B58" w:rsidRDefault="66895AD6" w:rsidP="00F26E1A">
      <w:pPr>
        <w:pStyle w:val="Bulletlist1"/>
        <w:rPr>
          <w:szCs w:val="24"/>
          <w:lang w:val="en-US"/>
        </w:rPr>
      </w:pPr>
      <w:r w:rsidRPr="00DD1B58">
        <w:rPr>
          <w:rFonts w:eastAsia="Arial"/>
          <w:lang w:val="en-US"/>
        </w:rPr>
        <w:t>Fire involving vegetation on</w:t>
      </w:r>
      <w:r w:rsidR="00F3224F" w:rsidRPr="00DD1B58">
        <w:rPr>
          <w:rFonts w:eastAsia="Arial"/>
          <w:lang w:val="en-US"/>
        </w:rPr>
        <w:t xml:space="preserve"> </w:t>
      </w:r>
      <w:r w:rsidRPr="00DD1B58">
        <w:rPr>
          <w:rFonts w:eastAsia="Arial"/>
          <w:lang w:val="en-US"/>
        </w:rPr>
        <w:t>site</w:t>
      </w:r>
      <w:r w:rsidR="00F3224F" w:rsidRPr="00DD1B58">
        <w:rPr>
          <w:rFonts w:eastAsia="Arial"/>
          <w:lang w:val="en-US"/>
        </w:rPr>
        <w:t>; and</w:t>
      </w:r>
    </w:p>
    <w:p w14:paraId="74917B30" w14:textId="77777777" w:rsidR="00F26E1A" w:rsidRPr="00DD1B58" w:rsidRDefault="66895AD6" w:rsidP="6C4D33C6">
      <w:pPr>
        <w:pStyle w:val="Bulletlist1"/>
        <w:rPr>
          <w:szCs w:val="24"/>
          <w:lang w:val="en-US"/>
        </w:rPr>
      </w:pPr>
      <w:r w:rsidRPr="00DD1B58">
        <w:rPr>
          <w:rFonts w:eastAsia="Arial"/>
          <w:lang w:val="en-US"/>
        </w:rPr>
        <w:t>Normal process and maintenance activities.</w:t>
      </w:r>
    </w:p>
    <w:p w14:paraId="0C2FE3F1" w14:textId="377C61C6" w:rsidR="66895AD6" w:rsidRPr="00DD1B58" w:rsidRDefault="66895AD6" w:rsidP="6C4D33C6">
      <w:pPr>
        <w:rPr>
          <w:lang w:val="en-US"/>
        </w:rPr>
      </w:pPr>
      <w:r w:rsidRPr="00DD1B58">
        <w:rPr>
          <w:rFonts w:eastAsia="Arial"/>
          <w:szCs w:val="24"/>
          <w:lang w:val="en-US"/>
        </w:rPr>
        <w:t xml:space="preserve">The design of a building or an area within the Springfields site storing radiological or chemotoxic material typically includes structures, systems or components (SSCs) which perform safety functions. Some of these SSCs are essentially passive SFs such as shielding offered by concrete walls and bunds. </w:t>
      </w:r>
      <w:r w:rsidR="00F3224F" w:rsidRPr="00DD1B58">
        <w:rPr>
          <w:rFonts w:eastAsia="Arial"/>
          <w:szCs w:val="24"/>
          <w:lang w:val="en-US"/>
        </w:rPr>
        <w:t>Other</w:t>
      </w:r>
      <w:r w:rsidRPr="00DD1B58">
        <w:rPr>
          <w:rFonts w:eastAsia="Arial"/>
          <w:szCs w:val="24"/>
          <w:lang w:val="en-US"/>
        </w:rPr>
        <w:t xml:space="preserve"> SSCs are engineering measures which, in the event of a malfunction of the plant</w:t>
      </w:r>
      <w:r w:rsidR="00C66E12" w:rsidRPr="00DD1B58">
        <w:rPr>
          <w:rFonts w:eastAsia="Arial"/>
          <w:szCs w:val="24"/>
          <w:lang w:val="en-US"/>
        </w:rPr>
        <w:t>,</w:t>
      </w:r>
      <w:r w:rsidRPr="00DD1B58">
        <w:rPr>
          <w:rFonts w:eastAsia="Arial"/>
          <w:szCs w:val="24"/>
          <w:lang w:val="en-US"/>
        </w:rPr>
        <w:t xml:space="preserve"> intervene to mitigate or terminate the risk of radiation exposure to plant operators or the general public.</w:t>
      </w:r>
    </w:p>
    <w:p w14:paraId="24483FA3" w14:textId="39BFC4B8" w:rsidR="66895AD6" w:rsidRPr="00DD1B58" w:rsidRDefault="66895AD6" w:rsidP="6C4D33C6">
      <w:pPr>
        <w:rPr>
          <w:lang w:val="en-US"/>
        </w:rPr>
      </w:pPr>
      <w:r w:rsidRPr="00DD1B58">
        <w:rPr>
          <w:rFonts w:eastAsia="Arial"/>
          <w:szCs w:val="24"/>
          <w:lang w:val="en-US"/>
        </w:rPr>
        <w:t>In certain circumstances</w:t>
      </w:r>
      <w:r w:rsidR="00C66E12" w:rsidRPr="00DD1B58">
        <w:rPr>
          <w:rFonts w:eastAsia="Arial"/>
          <w:szCs w:val="24"/>
          <w:lang w:val="en-US"/>
        </w:rPr>
        <w:t>,</w:t>
      </w:r>
      <w:r w:rsidRPr="00DD1B58">
        <w:rPr>
          <w:rFonts w:eastAsia="Arial"/>
          <w:szCs w:val="24"/>
          <w:lang w:val="en-US"/>
        </w:rPr>
        <w:t xml:space="preserve"> a malfunction of an SSC important to safety or the inability to implement a plant operating requirement (ORQ) may be the precursor to an off</w:t>
      </w:r>
      <w:r w:rsidR="00C66E12" w:rsidRPr="00DD1B58">
        <w:rPr>
          <w:rFonts w:eastAsia="Arial"/>
          <w:szCs w:val="24"/>
          <w:lang w:val="en-US"/>
        </w:rPr>
        <w:t>-</w:t>
      </w:r>
      <w:r w:rsidRPr="00DD1B58">
        <w:rPr>
          <w:rFonts w:eastAsia="Arial"/>
          <w:szCs w:val="24"/>
          <w:lang w:val="en-US"/>
        </w:rPr>
        <w:t>site radiological release above normal conditions. Such an event could cause failure of a deterministic safety feature or the simultaneous malfunction of multiple protection systems and potentially lead to a radiological release or radiation exposure. Fire or explosion can be one internal hazard, which could either directly or indirectly lead to such an event and prevent the safety</w:t>
      </w:r>
      <w:r w:rsidR="007C3F42" w:rsidRPr="00DD1B58">
        <w:rPr>
          <w:rFonts w:eastAsia="Arial"/>
          <w:szCs w:val="24"/>
          <w:lang w:val="en-US"/>
        </w:rPr>
        <w:t>/</w:t>
      </w:r>
      <w:r w:rsidRPr="00DD1B58">
        <w:rPr>
          <w:rFonts w:eastAsia="Arial"/>
          <w:szCs w:val="24"/>
          <w:lang w:val="en-US"/>
        </w:rPr>
        <w:t>protection system from performing its safety function.</w:t>
      </w:r>
    </w:p>
    <w:p w14:paraId="02BE14B4" w14:textId="226DA039" w:rsidR="66895AD6" w:rsidRPr="00DD1B58" w:rsidRDefault="00A91710"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583111" w:rsidRPr="00DD1B58">
        <w:rPr>
          <w:rFonts w:eastAsia="Arial"/>
          <w:szCs w:val="24"/>
          <w:lang w:val="en-US"/>
        </w:rPr>
        <w:t>s</w:t>
      </w:r>
      <w:r w:rsidRPr="00DD1B58">
        <w:rPr>
          <w:rFonts w:eastAsia="Arial"/>
          <w:szCs w:val="24"/>
          <w:lang w:val="en-US"/>
        </w:rPr>
        <w:t xml:space="preserve"> that </w:t>
      </w:r>
      <w:r w:rsidR="66895AD6" w:rsidRPr="00DD1B58">
        <w:rPr>
          <w:rFonts w:eastAsia="Arial"/>
          <w:szCs w:val="24"/>
          <w:lang w:val="en-US"/>
        </w:rPr>
        <w:t xml:space="preserve">SSCs important to safety are where practicable designed and located to minimise the likelihood and effects of internal fires and explosions caused by internal events. </w:t>
      </w:r>
      <w:r w:rsidRPr="00DD1B58">
        <w:rPr>
          <w:rFonts w:eastAsia="Arial"/>
          <w:szCs w:val="24"/>
          <w:lang w:val="en-US"/>
        </w:rPr>
        <w:t>It also state</w:t>
      </w:r>
      <w:r w:rsidR="00583111" w:rsidRPr="00DD1B58">
        <w:rPr>
          <w:rFonts w:eastAsia="Arial"/>
          <w:szCs w:val="24"/>
          <w:lang w:val="en-US"/>
        </w:rPr>
        <w:t>s</w:t>
      </w:r>
      <w:r w:rsidRPr="00DD1B58">
        <w:rPr>
          <w:rFonts w:eastAsia="Arial"/>
          <w:szCs w:val="24"/>
          <w:lang w:val="en-US"/>
        </w:rPr>
        <w:t xml:space="preserve"> that, w</w:t>
      </w:r>
      <w:r w:rsidR="66895AD6" w:rsidRPr="00DD1B58">
        <w:rPr>
          <w:rFonts w:eastAsia="Arial"/>
          <w:szCs w:val="24"/>
          <w:lang w:val="en-US"/>
        </w:rPr>
        <w:t>hen assessing existing buildings</w:t>
      </w:r>
      <w:r w:rsidR="001E3299" w:rsidRPr="00DD1B58">
        <w:rPr>
          <w:rFonts w:eastAsia="Arial"/>
          <w:szCs w:val="24"/>
          <w:lang w:val="en-US"/>
        </w:rPr>
        <w:t>,</w:t>
      </w:r>
      <w:r w:rsidR="00230723" w:rsidRPr="00DD1B58">
        <w:rPr>
          <w:rFonts w:eastAsia="Arial"/>
          <w:szCs w:val="24"/>
          <w:lang w:val="en-US"/>
        </w:rPr>
        <w:t xml:space="preserve"> </w:t>
      </w:r>
      <w:r w:rsidR="66895AD6" w:rsidRPr="00DD1B58">
        <w:rPr>
          <w:rFonts w:eastAsia="Arial"/>
          <w:szCs w:val="24"/>
          <w:lang w:val="en-US"/>
        </w:rPr>
        <w:t xml:space="preserve">fire protection measures may </w:t>
      </w:r>
      <w:r w:rsidR="00E40415" w:rsidRPr="00DD1B58">
        <w:rPr>
          <w:rFonts w:eastAsia="Arial"/>
          <w:szCs w:val="24"/>
          <w:lang w:val="en-US"/>
        </w:rPr>
        <w:t xml:space="preserve">need </w:t>
      </w:r>
      <w:r w:rsidR="66895AD6" w:rsidRPr="00DD1B58">
        <w:rPr>
          <w:rFonts w:eastAsia="Arial"/>
          <w:szCs w:val="24"/>
          <w:lang w:val="en-US"/>
        </w:rPr>
        <w:t>to be implemented retrospectively to protect these measures.</w:t>
      </w:r>
    </w:p>
    <w:p w14:paraId="512CF19D" w14:textId="5F74D491" w:rsidR="66895AD6" w:rsidRPr="00DD1B58" w:rsidRDefault="001E3299"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583111" w:rsidRPr="00DD1B58">
        <w:rPr>
          <w:rFonts w:eastAsia="Arial"/>
          <w:szCs w:val="24"/>
          <w:lang w:val="en-US"/>
        </w:rPr>
        <w:t>s</w:t>
      </w:r>
      <w:r w:rsidRPr="00DD1B58">
        <w:rPr>
          <w:rFonts w:eastAsia="Arial"/>
          <w:szCs w:val="24"/>
          <w:lang w:val="en-US"/>
        </w:rPr>
        <w:t xml:space="preserve"> that fire</w:t>
      </w:r>
      <w:r w:rsidR="66895AD6" w:rsidRPr="00DD1B58">
        <w:rPr>
          <w:rFonts w:eastAsia="Arial"/>
          <w:szCs w:val="24"/>
          <w:lang w:val="en-US"/>
        </w:rPr>
        <w:t xml:space="preserve"> requirements are met by achieving an appropriate level of defence in depth</w:t>
      </w:r>
      <w:r w:rsidR="00E40415" w:rsidRPr="00DD1B58">
        <w:rPr>
          <w:rFonts w:eastAsia="Arial"/>
          <w:szCs w:val="24"/>
          <w:lang w:val="en-US"/>
        </w:rPr>
        <w:t>,</w:t>
      </w:r>
      <w:r w:rsidR="66895AD6" w:rsidRPr="00DD1B58">
        <w:rPr>
          <w:rFonts w:eastAsia="Arial"/>
          <w:szCs w:val="24"/>
          <w:lang w:val="en-US"/>
        </w:rPr>
        <w:t xml:space="preserve"> which is maintained throughout the lifetime of the plant by the suitable incorporation of redundant parts, diverse systems, physical separation, independence and</w:t>
      </w:r>
      <w:r w:rsidR="007C3F42" w:rsidRPr="00DD1B58">
        <w:rPr>
          <w:rFonts w:eastAsia="Arial"/>
          <w:szCs w:val="24"/>
          <w:lang w:val="en-US"/>
        </w:rPr>
        <w:t>/</w:t>
      </w:r>
      <w:r w:rsidR="66895AD6" w:rsidRPr="00DD1B58">
        <w:rPr>
          <w:rFonts w:eastAsia="Arial"/>
          <w:szCs w:val="24"/>
          <w:lang w:val="en-US"/>
        </w:rPr>
        <w:t>or design for failsafe operation</w:t>
      </w:r>
      <w:r w:rsidR="00E40415" w:rsidRPr="00DD1B58">
        <w:rPr>
          <w:rFonts w:eastAsia="Arial"/>
          <w:szCs w:val="24"/>
          <w:lang w:val="en-US"/>
        </w:rPr>
        <w:t>,</w:t>
      </w:r>
      <w:r w:rsidR="66895AD6" w:rsidRPr="00DD1B58">
        <w:rPr>
          <w:rFonts w:eastAsia="Arial"/>
          <w:szCs w:val="24"/>
          <w:lang w:val="en-US"/>
        </w:rPr>
        <w:t xml:space="preserve"> such that the following objectives are achieved:</w:t>
      </w:r>
    </w:p>
    <w:p w14:paraId="443E0508" w14:textId="200B9572" w:rsidR="66895AD6" w:rsidRPr="00DD1B58" w:rsidRDefault="66895AD6" w:rsidP="00F26E1A">
      <w:pPr>
        <w:pStyle w:val="Bulletlist1"/>
        <w:rPr>
          <w:lang w:val="en-US"/>
        </w:rPr>
      </w:pPr>
      <w:r w:rsidRPr="00DD1B58">
        <w:rPr>
          <w:lang w:val="en-US"/>
        </w:rPr>
        <w:t>The probability of a fire starting is minimised by management controls of ignition sources and the use of non-flammable materials, and by minimising as far as practicable the quantity of combustible materials</w:t>
      </w:r>
      <w:r w:rsidR="00E40415" w:rsidRPr="00DD1B58">
        <w:rPr>
          <w:lang w:val="en-US"/>
        </w:rPr>
        <w:t>;</w:t>
      </w:r>
    </w:p>
    <w:p w14:paraId="1A53CB17" w14:textId="7770F6ED" w:rsidR="66895AD6" w:rsidRPr="00DD1B58" w:rsidRDefault="66895AD6" w:rsidP="00F26E1A">
      <w:pPr>
        <w:pStyle w:val="Bulletlist1"/>
        <w:rPr>
          <w:lang w:val="en-US"/>
        </w:rPr>
      </w:pPr>
      <w:r w:rsidRPr="00DD1B58">
        <w:rPr>
          <w:lang w:val="en-US"/>
        </w:rPr>
        <w:t>Early detection of fires by means of an appropriate fire detection and alarm system allows early manual fire suppression using portable equipment or intervention by the site fire service</w:t>
      </w:r>
      <w:r w:rsidR="00E40415" w:rsidRPr="00DD1B58">
        <w:rPr>
          <w:lang w:val="en-US"/>
        </w:rPr>
        <w:t>;</w:t>
      </w:r>
    </w:p>
    <w:p w14:paraId="1BA2FA43" w14:textId="43BDCAFF" w:rsidR="66895AD6" w:rsidRPr="00DD1B58" w:rsidRDefault="66895AD6" w:rsidP="00F26E1A">
      <w:pPr>
        <w:pStyle w:val="Bulletlist1"/>
        <w:rPr>
          <w:lang w:val="en-US"/>
        </w:rPr>
      </w:pPr>
      <w:r w:rsidRPr="00DD1B58">
        <w:rPr>
          <w:lang w:val="en-US"/>
        </w:rPr>
        <w:t>Structural stability of any buildings containing radiological materials in the event of fire is ensured by either inherent or applied fire resistance capable of withstanding the worst credible fire</w:t>
      </w:r>
      <w:r w:rsidR="00E40415" w:rsidRPr="00DD1B58">
        <w:rPr>
          <w:lang w:val="en-US"/>
        </w:rPr>
        <w:t>;</w:t>
      </w:r>
    </w:p>
    <w:p w14:paraId="5667AC10" w14:textId="63217DDD" w:rsidR="66895AD6" w:rsidRPr="00DD1B58" w:rsidRDefault="66895AD6" w:rsidP="00F26E1A">
      <w:pPr>
        <w:pStyle w:val="Bulletlist1"/>
        <w:rPr>
          <w:lang w:val="en-US"/>
        </w:rPr>
      </w:pPr>
      <w:r w:rsidRPr="00DD1B58">
        <w:rPr>
          <w:lang w:val="en-US"/>
        </w:rPr>
        <w:t>Special fire risks (if any) are protected by appropriate localised fire suppression systems</w:t>
      </w:r>
      <w:r w:rsidR="00E40415" w:rsidRPr="00DD1B58">
        <w:rPr>
          <w:lang w:val="en-US"/>
        </w:rPr>
        <w:t>; and</w:t>
      </w:r>
    </w:p>
    <w:p w14:paraId="6240C5D7" w14:textId="77777777" w:rsidR="6C4D33C6" w:rsidRPr="00DD1B58" w:rsidRDefault="66895AD6" w:rsidP="6C4D33C6">
      <w:pPr>
        <w:pStyle w:val="Bulletlist1"/>
        <w:rPr>
          <w:szCs w:val="24"/>
          <w:lang w:val="en-US"/>
        </w:rPr>
      </w:pPr>
      <w:r w:rsidRPr="00DD1B58">
        <w:rPr>
          <w:lang w:val="en-US"/>
        </w:rPr>
        <w:t>Those SSCs required to perform critical safety functions are protected such that fires will not prevent the safety function of the SSC from being carried out.</w:t>
      </w:r>
    </w:p>
    <w:p w14:paraId="69F2B5C0" w14:textId="2170600C" w:rsidR="66895AD6" w:rsidRPr="00DD1B58" w:rsidRDefault="66895AD6" w:rsidP="00A14372">
      <w:pPr>
        <w:rPr>
          <w:b/>
          <w:lang w:val="en-US"/>
        </w:rPr>
      </w:pPr>
      <w:r w:rsidRPr="00DD1B58">
        <w:rPr>
          <w:b/>
          <w:lang w:val="en-US"/>
        </w:rPr>
        <w:t xml:space="preserve">External </w:t>
      </w:r>
      <w:r w:rsidR="00E40415" w:rsidRPr="00DD1B58">
        <w:rPr>
          <w:b/>
          <w:lang w:val="en-US"/>
        </w:rPr>
        <w:t>f</w:t>
      </w:r>
      <w:r w:rsidRPr="00DD1B58">
        <w:rPr>
          <w:b/>
          <w:lang w:val="en-US"/>
        </w:rPr>
        <w:t xml:space="preserve">ire </w:t>
      </w:r>
      <w:r w:rsidR="00E40415" w:rsidRPr="00DD1B58">
        <w:rPr>
          <w:b/>
          <w:lang w:val="en-US"/>
        </w:rPr>
        <w:t>h</w:t>
      </w:r>
      <w:r w:rsidRPr="00DD1B58">
        <w:rPr>
          <w:b/>
          <w:lang w:val="en-US"/>
        </w:rPr>
        <w:t>azard</w:t>
      </w:r>
      <w:r w:rsidR="007D2A89" w:rsidRPr="00DD1B58">
        <w:rPr>
          <w:b/>
          <w:lang w:val="en-US"/>
        </w:rPr>
        <w:t>s</w:t>
      </w:r>
    </w:p>
    <w:p w14:paraId="1F336F21" w14:textId="792E4791" w:rsidR="66895AD6" w:rsidRPr="00DD1B58" w:rsidRDefault="000B70ED"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583111" w:rsidRPr="00DD1B58">
        <w:rPr>
          <w:rFonts w:eastAsia="Arial"/>
          <w:szCs w:val="24"/>
          <w:lang w:val="en-US"/>
        </w:rPr>
        <w:t>s</w:t>
      </w:r>
      <w:r w:rsidRPr="00DD1B58">
        <w:rPr>
          <w:rFonts w:eastAsia="Arial"/>
          <w:szCs w:val="24"/>
          <w:lang w:val="en-US"/>
        </w:rPr>
        <w:t xml:space="preserve"> that </w:t>
      </w:r>
      <w:r w:rsidR="00E40415" w:rsidRPr="00DD1B58">
        <w:rPr>
          <w:rFonts w:eastAsia="Arial"/>
          <w:szCs w:val="24"/>
          <w:lang w:val="en-US"/>
        </w:rPr>
        <w:t>e</w:t>
      </w:r>
      <w:r w:rsidR="66895AD6" w:rsidRPr="00DD1B58">
        <w:rPr>
          <w:rFonts w:eastAsia="Arial"/>
          <w:szCs w:val="24"/>
          <w:lang w:val="en-US"/>
        </w:rPr>
        <w:t xml:space="preserve">xternal </w:t>
      </w:r>
      <w:r w:rsidR="00E40415" w:rsidRPr="00DD1B58">
        <w:rPr>
          <w:rFonts w:eastAsia="Arial"/>
          <w:szCs w:val="24"/>
          <w:lang w:val="en-US"/>
        </w:rPr>
        <w:t>h</w:t>
      </w:r>
      <w:r w:rsidR="66895AD6" w:rsidRPr="00DD1B58">
        <w:rPr>
          <w:rFonts w:eastAsia="Arial"/>
          <w:szCs w:val="24"/>
          <w:lang w:val="en-US"/>
        </w:rPr>
        <w:t>azards are addressed in accordance with Westinghouse Safety Assessment Guidance</w:t>
      </w:r>
      <w:r w:rsidR="66895AD6" w:rsidRPr="00DD1B58" w:rsidDel="000B70ED">
        <w:rPr>
          <w:rFonts w:eastAsia="Arial"/>
          <w:szCs w:val="24"/>
          <w:lang w:val="en-US"/>
        </w:rPr>
        <w:t xml:space="preserve"> </w:t>
      </w:r>
      <w:sdt>
        <w:sdtPr>
          <w:rPr>
            <w:rFonts w:eastAsia="Arial"/>
            <w:szCs w:val="24"/>
            <w:lang w:val="en-US"/>
          </w:rPr>
          <w:id w:val="1195811547"/>
          <w:citation/>
        </w:sdtPr>
        <w:sdtContent>
          <w:r w:rsidR="00B0055E" w:rsidRPr="00DD1B58">
            <w:rPr>
              <w:rFonts w:eastAsia="Arial"/>
              <w:szCs w:val="24"/>
              <w:lang w:val="en-US"/>
            </w:rPr>
            <w:fldChar w:fldCharType="begin"/>
          </w:r>
          <w:r w:rsidR="00B0055E" w:rsidRPr="00DD1B58">
            <w:rPr>
              <w:rFonts w:eastAsia="Arial"/>
              <w:szCs w:val="24"/>
              <w:lang w:val="en-US"/>
            </w:rPr>
            <w:instrText xml:space="preserve"> CITATION SAG \l 2057 </w:instrText>
          </w:r>
          <w:r w:rsidR="00B0055E" w:rsidRPr="00DD1B58">
            <w:rPr>
              <w:rFonts w:eastAsia="Arial"/>
              <w:szCs w:val="24"/>
              <w:lang w:val="en-US"/>
            </w:rPr>
            <w:fldChar w:fldCharType="separate"/>
          </w:r>
          <w:r w:rsidR="00DF47DA" w:rsidRPr="00DF47DA">
            <w:rPr>
              <w:rFonts w:eastAsia="Arial"/>
              <w:noProof/>
              <w:szCs w:val="24"/>
              <w:lang w:val="en-US"/>
            </w:rPr>
            <w:t>[74]</w:t>
          </w:r>
          <w:r w:rsidR="00B0055E" w:rsidRPr="00DD1B58">
            <w:rPr>
              <w:rFonts w:eastAsia="Arial"/>
              <w:szCs w:val="24"/>
              <w:lang w:val="en-US"/>
            </w:rPr>
            <w:fldChar w:fldCharType="end"/>
          </w:r>
        </w:sdtContent>
      </w:sdt>
      <w:r w:rsidR="66895AD6" w:rsidRPr="00DD1B58">
        <w:rPr>
          <w:rFonts w:eastAsia="Arial"/>
          <w:szCs w:val="24"/>
          <w:lang w:val="en-US"/>
        </w:rPr>
        <w:t>. External fire hazards include</w:t>
      </w:r>
      <w:r w:rsidR="003F3D86" w:rsidRPr="00DD1B58">
        <w:rPr>
          <w:rFonts w:eastAsia="Arial"/>
          <w:szCs w:val="24"/>
          <w:lang w:val="en-US"/>
        </w:rPr>
        <w:t xml:space="preserve"> </w:t>
      </w:r>
      <w:r w:rsidR="0045346E" w:rsidRPr="00DD1B58">
        <w:rPr>
          <w:rFonts w:eastAsia="Arial"/>
          <w:szCs w:val="24"/>
          <w:lang w:val="en-US"/>
        </w:rPr>
        <w:t xml:space="preserve">aircraft impact, lightning </w:t>
      </w:r>
      <w:r w:rsidR="00403910" w:rsidRPr="00DD1B58">
        <w:rPr>
          <w:rFonts w:eastAsia="Arial"/>
          <w:szCs w:val="24"/>
          <w:lang w:val="en-US"/>
        </w:rPr>
        <w:t>and fires originating off</w:t>
      </w:r>
      <w:r w:rsidR="00941C20" w:rsidRPr="00DD1B58">
        <w:rPr>
          <w:rFonts w:eastAsia="Arial"/>
          <w:szCs w:val="24"/>
          <w:lang w:val="en-US"/>
        </w:rPr>
        <w:t xml:space="preserve"> </w:t>
      </w:r>
      <w:r w:rsidR="00403910" w:rsidRPr="00DD1B58">
        <w:rPr>
          <w:rFonts w:eastAsia="Arial"/>
          <w:szCs w:val="24"/>
          <w:lang w:val="en-US"/>
        </w:rPr>
        <w:t>site.</w:t>
      </w:r>
    </w:p>
    <w:p w14:paraId="133AF971" w14:textId="3376EB79" w:rsidR="6C4D33C6" w:rsidRPr="00DD1B58" w:rsidRDefault="000B70ED" w:rsidP="6C4D33C6">
      <w:pPr>
        <w:rPr>
          <w:szCs w:val="24"/>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does not assess e</w:t>
      </w:r>
      <w:r w:rsidR="19701951" w:rsidRPr="00DD1B58">
        <w:rPr>
          <w:rFonts w:eastAsia="Arial"/>
          <w:szCs w:val="24"/>
          <w:lang w:val="en-US"/>
        </w:rPr>
        <w:t xml:space="preserve">xternal </w:t>
      </w:r>
      <w:r w:rsidRPr="00DD1B58">
        <w:rPr>
          <w:rFonts w:eastAsia="Arial"/>
          <w:szCs w:val="24"/>
          <w:lang w:val="en-US"/>
        </w:rPr>
        <w:t xml:space="preserve">fire </w:t>
      </w:r>
      <w:r w:rsidR="19701951" w:rsidRPr="00DD1B58">
        <w:rPr>
          <w:rFonts w:eastAsia="Arial"/>
          <w:szCs w:val="24"/>
          <w:lang w:val="en-US"/>
        </w:rPr>
        <w:t>hazards as part of the nuclear fire hazard assessment but include</w:t>
      </w:r>
      <w:r w:rsidRPr="00DD1B58">
        <w:rPr>
          <w:rFonts w:eastAsia="Arial"/>
          <w:szCs w:val="24"/>
          <w:lang w:val="en-US"/>
        </w:rPr>
        <w:t>s it</w:t>
      </w:r>
      <w:r w:rsidR="00506ACE" w:rsidRPr="00DD1B58">
        <w:rPr>
          <w:rFonts w:eastAsia="Arial"/>
          <w:szCs w:val="24"/>
          <w:lang w:val="en-US"/>
        </w:rPr>
        <w:t xml:space="preserve"> in the </w:t>
      </w:r>
      <w:r w:rsidR="19701951" w:rsidRPr="00DD1B58">
        <w:rPr>
          <w:rFonts w:eastAsia="Arial"/>
          <w:szCs w:val="24"/>
          <w:lang w:val="en-US"/>
        </w:rPr>
        <w:t>external hazards assessment. Specific hazards associated with the Springfields site</w:t>
      </w:r>
      <w:r w:rsidR="00F562BA" w:rsidRPr="00DD1B58">
        <w:rPr>
          <w:rFonts w:eastAsia="Arial"/>
          <w:szCs w:val="24"/>
          <w:lang w:val="en-US"/>
        </w:rPr>
        <w:t>,</w:t>
      </w:r>
      <w:r w:rsidR="19701951" w:rsidRPr="00DD1B58">
        <w:rPr>
          <w:rFonts w:eastAsia="Arial"/>
          <w:szCs w:val="24"/>
          <w:lang w:val="en-US"/>
        </w:rPr>
        <w:t xml:space="preserve"> </w:t>
      </w:r>
      <w:r w:rsidR="00506ACE" w:rsidRPr="00DD1B58">
        <w:rPr>
          <w:rFonts w:eastAsia="Arial"/>
          <w:szCs w:val="24"/>
          <w:lang w:val="en-US"/>
        </w:rPr>
        <w:t xml:space="preserve">which were assessed by </w:t>
      </w:r>
      <w:r w:rsidR="00134292" w:rsidRPr="00DD1B58">
        <w:rPr>
          <w:rFonts w:eastAsia="Arial"/>
          <w:szCs w:val="24"/>
          <w:lang w:val="en-US"/>
        </w:rPr>
        <w:t>Springfields Fuels Ltd</w:t>
      </w:r>
      <w:r w:rsidR="19701951" w:rsidRPr="00DD1B58">
        <w:rPr>
          <w:rFonts w:eastAsia="Arial"/>
          <w:szCs w:val="24"/>
          <w:lang w:val="en-US"/>
        </w:rPr>
        <w:t xml:space="preserve"> as part of the external hazards assessment</w:t>
      </w:r>
      <w:r w:rsidR="00F562BA" w:rsidRPr="00DD1B58">
        <w:rPr>
          <w:rFonts w:eastAsia="Arial"/>
          <w:szCs w:val="24"/>
          <w:lang w:val="en-US"/>
        </w:rPr>
        <w:t>,</w:t>
      </w:r>
      <w:r w:rsidR="19701951" w:rsidRPr="00DD1B58">
        <w:rPr>
          <w:rFonts w:eastAsia="Arial"/>
          <w:szCs w:val="24"/>
          <w:lang w:val="en-US"/>
        </w:rPr>
        <w:t xml:space="preserve"> include natural gas pipeline</w:t>
      </w:r>
      <w:r w:rsidR="00625A83" w:rsidRPr="00DD1B58">
        <w:rPr>
          <w:rFonts w:eastAsia="Arial"/>
          <w:szCs w:val="24"/>
          <w:lang w:val="en-US"/>
        </w:rPr>
        <w:t xml:space="preserve"> failure</w:t>
      </w:r>
      <w:r w:rsidR="19701951" w:rsidRPr="00DD1B58">
        <w:rPr>
          <w:rFonts w:eastAsia="Arial"/>
          <w:szCs w:val="24"/>
          <w:lang w:val="en-US"/>
        </w:rPr>
        <w:t>, ethylene pipe failure, hazards arising from the use of hydrogen tankers and hazards arising from aircraft movements around the Springfields site</w:t>
      </w:r>
      <w:r w:rsidR="00407AB5" w:rsidRPr="00DD1B58">
        <w:rPr>
          <w:rFonts w:eastAsia="Arial"/>
          <w:szCs w:val="24"/>
          <w:lang w:val="en-US"/>
        </w:rPr>
        <w:t>.</w:t>
      </w:r>
    </w:p>
    <w:p w14:paraId="58801D38" w14:textId="77777777" w:rsidR="6EFDD43C" w:rsidRPr="00DD1B58" w:rsidRDefault="6EFDD43C" w:rsidP="00BF6CD4">
      <w:pPr>
        <w:pStyle w:val="Heading4"/>
        <w:rPr>
          <w:lang w:val="en-US"/>
        </w:rPr>
      </w:pPr>
      <w:bookmarkStart w:id="45" w:name="_Ref139877221"/>
      <w:r w:rsidRPr="00DD1B58">
        <w:rPr>
          <w:lang w:val="en-US"/>
        </w:rPr>
        <w:t>Key assumptions and methodologies</w:t>
      </w:r>
      <w:bookmarkEnd w:id="45"/>
      <w:r w:rsidRPr="00DD1B58">
        <w:rPr>
          <w:lang w:val="en-US"/>
        </w:rPr>
        <w:t xml:space="preserve"> </w:t>
      </w:r>
    </w:p>
    <w:p w14:paraId="45EDDDE3" w14:textId="16B4EB40" w:rsidR="73201B07" w:rsidRPr="00DD1B58" w:rsidRDefault="00506ACE"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583111" w:rsidRPr="00DD1B58">
        <w:rPr>
          <w:rFonts w:eastAsia="Arial"/>
          <w:szCs w:val="24"/>
          <w:lang w:val="en-US"/>
        </w:rPr>
        <w:t>s</w:t>
      </w:r>
      <w:r w:rsidRPr="00DD1B58">
        <w:rPr>
          <w:rFonts w:eastAsia="Arial"/>
          <w:szCs w:val="24"/>
          <w:lang w:val="en-US"/>
        </w:rPr>
        <w:t xml:space="preserve"> that its f</w:t>
      </w:r>
      <w:r w:rsidR="73201B07" w:rsidRPr="00DD1B58">
        <w:rPr>
          <w:rFonts w:eastAsia="Arial"/>
          <w:szCs w:val="24"/>
          <w:lang w:val="en-US"/>
        </w:rPr>
        <w:t>ire hazard analyses are based on IAEA guidanc</w:t>
      </w:r>
      <w:r w:rsidRPr="00DD1B58">
        <w:rPr>
          <w:rFonts w:eastAsia="Arial"/>
          <w:szCs w:val="24"/>
          <w:lang w:val="en-US"/>
        </w:rPr>
        <w:t>e</w:t>
      </w:r>
      <w:r w:rsidR="00614698" w:rsidRPr="00DD1B58">
        <w:rPr>
          <w:rFonts w:eastAsia="Arial"/>
          <w:szCs w:val="24"/>
          <w:lang w:val="en-US"/>
        </w:rPr>
        <w:t xml:space="preserve"> </w:t>
      </w:r>
      <w:sdt>
        <w:sdtPr>
          <w:rPr>
            <w:rFonts w:eastAsia="Arial"/>
            <w:szCs w:val="24"/>
            <w:lang w:val="en-US"/>
          </w:rPr>
          <w:id w:val="1634753168"/>
          <w:citation/>
        </w:sdtPr>
        <w:sdtContent>
          <w:r w:rsidR="00B84ADE" w:rsidRPr="00DD1B58">
            <w:rPr>
              <w:rFonts w:eastAsia="Arial"/>
              <w:szCs w:val="24"/>
              <w:lang w:val="en-US"/>
            </w:rPr>
            <w:fldChar w:fldCharType="begin"/>
          </w:r>
          <w:r w:rsidR="00B84ADE" w:rsidRPr="00DD1B58">
            <w:rPr>
              <w:rFonts w:eastAsia="Arial"/>
              <w:szCs w:val="24"/>
              <w:lang w:val="en-US"/>
            </w:rPr>
            <w:instrText xml:space="preserve"> CITATION INT17 \l 2057 </w:instrText>
          </w:r>
          <w:r w:rsidR="00B84ADE" w:rsidRPr="00DD1B58">
            <w:rPr>
              <w:rFonts w:eastAsia="Arial"/>
              <w:szCs w:val="24"/>
              <w:lang w:val="en-US"/>
            </w:rPr>
            <w:fldChar w:fldCharType="separate"/>
          </w:r>
          <w:r w:rsidR="00DF47DA" w:rsidRPr="00DF47DA">
            <w:rPr>
              <w:rFonts w:eastAsia="Arial"/>
              <w:noProof/>
              <w:szCs w:val="24"/>
              <w:lang w:val="en-US"/>
            </w:rPr>
            <w:t>[19]</w:t>
          </w:r>
          <w:r w:rsidR="00B84ADE" w:rsidRPr="00DD1B58">
            <w:rPr>
              <w:rFonts w:eastAsia="Arial"/>
              <w:szCs w:val="24"/>
              <w:lang w:val="en-US"/>
            </w:rPr>
            <w:fldChar w:fldCharType="end"/>
          </w:r>
        </w:sdtContent>
      </w:sdt>
      <w:r w:rsidR="73201B07" w:rsidRPr="00DD1B58">
        <w:rPr>
          <w:rFonts w:eastAsia="Arial"/>
          <w:szCs w:val="24"/>
          <w:lang w:val="en-US"/>
        </w:rPr>
        <w:t xml:space="preserve"> and </w:t>
      </w:r>
      <w:sdt>
        <w:sdtPr>
          <w:rPr>
            <w:rFonts w:eastAsia="Arial"/>
            <w:szCs w:val="24"/>
            <w:lang w:val="en-US"/>
          </w:rPr>
          <w:id w:val="411281559"/>
          <w:citation/>
        </w:sdtPr>
        <w:sdtContent>
          <w:r w:rsidR="00FB0ECE" w:rsidRPr="00DD1B58">
            <w:rPr>
              <w:rFonts w:eastAsia="Arial"/>
              <w:szCs w:val="24"/>
              <w:lang w:val="en-US"/>
            </w:rPr>
            <w:fldChar w:fldCharType="begin"/>
          </w:r>
          <w:r w:rsidR="00FB0ECE" w:rsidRPr="00DD1B58">
            <w:rPr>
              <w:rFonts w:eastAsia="Arial"/>
              <w:szCs w:val="24"/>
              <w:lang w:val="en-US"/>
            </w:rPr>
            <w:instrText xml:space="preserve"> CITATION Int4 \l 2057 </w:instrText>
          </w:r>
          <w:r w:rsidR="00FB0ECE" w:rsidRPr="00DD1B58">
            <w:rPr>
              <w:rFonts w:eastAsia="Arial"/>
              <w:szCs w:val="24"/>
              <w:lang w:val="en-US"/>
            </w:rPr>
            <w:fldChar w:fldCharType="separate"/>
          </w:r>
          <w:r w:rsidR="00DF47DA" w:rsidRPr="00DF47DA">
            <w:rPr>
              <w:rFonts w:eastAsia="Arial"/>
              <w:noProof/>
              <w:szCs w:val="24"/>
              <w:lang w:val="en-US"/>
            </w:rPr>
            <w:t>[75]</w:t>
          </w:r>
          <w:r w:rsidR="00FB0ECE" w:rsidRPr="00DD1B58">
            <w:rPr>
              <w:rFonts w:eastAsia="Arial"/>
              <w:szCs w:val="24"/>
              <w:lang w:val="en-US"/>
            </w:rPr>
            <w:fldChar w:fldCharType="end"/>
          </w:r>
        </w:sdtContent>
      </w:sdt>
      <w:r w:rsidR="73201B07" w:rsidRPr="00DD1B58">
        <w:rPr>
          <w:rFonts w:eastAsia="Arial"/>
          <w:szCs w:val="24"/>
          <w:lang w:val="en-US"/>
        </w:rPr>
        <w:t xml:space="preserve"> </w:t>
      </w:r>
      <w:r w:rsidRPr="00DD1B58">
        <w:rPr>
          <w:rFonts w:eastAsia="Arial"/>
          <w:szCs w:val="24"/>
          <w:lang w:val="en-US"/>
        </w:rPr>
        <w:t>checked</w:t>
      </w:r>
      <w:r w:rsidR="73201B07" w:rsidRPr="00DD1B58">
        <w:rPr>
          <w:rFonts w:eastAsia="Arial"/>
          <w:szCs w:val="24"/>
          <w:lang w:val="en-US"/>
        </w:rPr>
        <w:t xml:space="preserve"> against ONR </w:t>
      </w:r>
      <w:r w:rsidRPr="00DD1B58">
        <w:rPr>
          <w:rFonts w:eastAsia="Arial"/>
          <w:szCs w:val="24"/>
          <w:lang w:val="en-US"/>
        </w:rPr>
        <w:t xml:space="preserve">SAPs </w:t>
      </w:r>
      <w:sdt>
        <w:sdtPr>
          <w:rPr>
            <w:rFonts w:eastAsia="Arial"/>
            <w:szCs w:val="24"/>
            <w:lang w:val="en-US"/>
          </w:rPr>
          <w:id w:val="31548747"/>
          <w:citation/>
        </w:sdtPr>
        <w:sdtContent>
          <w:r w:rsidR="00FB0ECE" w:rsidRPr="00DD1B58">
            <w:rPr>
              <w:rFonts w:eastAsia="Arial"/>
              <w:szCs w:val="24"/>
              <w:lang w:val="en-US"/>
            </w:rPr>
            <w:fldChar w:fldCharType="begin"/>
          </w:r>
          <w:r w:rsidR="009C6919" w:rsidRPr="00DD1B58">
            <w:rPr>
              <w:rFonts w:eastAsia="Arial"/>
              <w:szCs w:val="24"/>
              <w:lang w:val="en-US"/>
            </w:rPr>
            <w:instrText xml:space="preserve">CITATION Off20 \l 2057 </w:instrText>
          </w:r>
          <w:r w:rsidR="00FB0ECE" w:rsidRPr="00DD1B58">
            <w:rPr>
              <w:rFonts w:eastAsia="Arial"/>
              <w:szCs w:val="24"/>
              <w:lang w:val="en-US"/>
            </w:rPr>
            <w:fldChar w:fldCharType="separate"/>
          </w:r>
          <w:r w:rsidR="00DF47DA" w:rsidRPr="00DF47DA">
            <w:rPr>
              <w:rFonts w:eastAsia="Arial"/>
              <w:noProof/>
              <w:szCs w:val="24"/>
              <w:lang w:val="en-US"/>
            </w:rPr>
            <w:t>[15]</w:t>
          </w:r>
          <w:r w:rsidR="00FB0ECE" w:rsidRPr="00DD1B58">
            <w:rPr>
              <w:rFonts w:eastAsia="Arial"/>
              <w:szCs w:val="24"/>
              <w:lang w:val="en-US"/>
            </w:rPr>
            <w:fldChar w:fldCharType="end"/>
          </w:r>
        </w:sdtContent>
      </w:sdt>
      <w:r w:rsidR="00FB0ECE" w:rsidRPr="00DD1B58">
        <w:rPr>
          <w:rFonts w:eastAsia="Arial"/>
          <w:szCs w:val="24"/>
          <w:lang w:val="en-US"/>
        </w:rPr>
        <w:t xml:space="preserve"> </w:t>
      </w:r>
      <w:r w:rsidR="73201B07" w:rsidRPr="00DD1B58">
        <w:rPr>
          <w:rFonts w:eastAsia="Arial"/>
          <w:szCs w:val="24"/>
          <w:lang w:val="en-US"/>
        </w:rPr>
        <w:t xml:space="preserve">and </w:t>
      </w:r>
      <w:r w:rsidRPr="00DD1B58">
        <w:rPr>
          <w:rFonts w:eastAsia="Arial"/>
          <w:szCs w:val="24"/>
          <w:lang w:val="en-US"/>
        </w:rPr>
        <w:t xml:space="preserve">TAGs </w:t>
      </w:r>
      <w:sdt>
        <w:sdtPr>
          <w:rPr>
            <w:rFonts w:eastAsia="Arial"/>
            <w:szCs w:val="24"/>
            <w:lang w:val="en-US"/>
          </w:rPr>
          <w:id w:val="-1552689110"/>
          <w:citation/>
        </w:sdtPr>
        <w:sdtContent>
          <w:r w:rsidR="008C6722" w:rsidRPr="00DD1B58">
            <w:rPr>
              <w:rFonts w:eastAsia="Arial"/>
              <w:szCs w:val="24"/>
              <w:lang w:val="en-US"/>
            </w:rPr>
            <w:fldChar w:fldCharType="begin"/>
          </w:r>
          <w:r w:rsidR="008C6722" w:rsidRPr="00DD1B58">
            <w:rPr>
              <w:rFonts w:eastAsia="Arial"/>
              <w:szCs w:val="24"/>
              <w:lang w:val="en-US"/>
            </w:rPr>
            <w:instrText xml:space="preserve"> CITATION ONR4 \l 2057 </w:instrText>
          </w:r>
          <w:r w:rsidR="008C6722" w:rsidRPr="00DD1B58">
            <w:rPr>
              <w:rFonts w:eastAsia="Arial"/>
              <w:szCs w:val="24"/>
              <w:lang w:val="en-US"/>
            </w:rPr>
            <w:fldChar w:fldCharType="separate"/>
          </w:r>
          <w:r w:rsidR="00DF47DA" w:rsidRPr="00DF47DA">
            <w:rPr>
              <w:rFonts w:eastAsia="Arial"/>
              <w:noProof/>
              <w:szCs w:val="24"/>
              <w:lang w:val="en-US"/>
            </w:rPr>
            <w:t>[16]</w:t>
          </w:r>
          <w:r w:rsidR="008C6722" w:rsidRPr="00DD1B58">
            <w:rPr>
              <w:rFonts w:eastAsia="Arial"/>
              <w:szCs w:val="24"/>
              <w:lang w:val="en-US"/>
            </w:rPr>
            <w:fldChar w:fldCharType="end"/>
          </w:r>
        </w:sdtContent>
      </w:sdt>
      <w:r w:rsidR="00614698" w:rsidRPr="00DD1B58">
        <w:rPr>
          <w:rFonts w:eastAsia="Arial"/>
          <w:szCs w:val="24"/>
          <w:lang w:val="en-US"/>
        </w:rPr>
        <w:t xml:space="preserve"> </w:t>
      </w:r>
      <w:r w:rsidR="73201B07" w:rsidRPr="00DD1B58">
        <w:rPr>
          <w:rFonts w:eastAsia="Arial"/>
          <w:szCs w:val="24"/>
          <w:lang w:val="en-US"/>
        </w:rPr>
        <w:t>and NFPA 801</w:t>
      </w:r>
      <w:r w:rsidR="008C6722" w:rsidRPr="00DD1B58" w:rsidDel="00506ACE">
        <w:rPr>
          <w:rFonts w:eastAsia="Arial"/>
          <w:szCs w:val="24"/>
          <w:lang w:val="en-US"/>
        </w:rPr>
        <w:t xml:space="preserve"> </w:t>
      </w:r>
      <w:sdt>
        <w:sdtPr>
          <w:rPr>
            <w:rFonts w:eastAsia="Arial"/>
            <w:szCs w:val="24"/>
            <w:lang w:val="en-US"/>
          </w:rPr>
          <w:id w:val="-1031641427"/>
          <w:citation/>
        </w:sdtPr>
        <w:sdtContent>
          <w:r w:rsidR="008C6722" w:rsidRPr="00DD1B58">
            <w:rPr>
              <w:rFonts w:eastAsia="Arial"/>
              <w:szCs w:val="24"/>
              <w:lang w:val="en-US"/>
            </w:rPr>
            <w:fldChar w:fldCharType="begin"/>
          </w:r>
          <w:r w:rsidR="008C6722" w:rsidRPr="00DD1B58">
            <w:rPr>
              <w:rFonts w:eastAsia="Arial"/>
              <w:szCs w:val="24"/>
              <w:lang w:val="en-US"/>
            </w:rPr>
            <w:instrText xml:space="preserve"> CITATION Nat \l 2057 </w:instrText>
          </w:r>
          <w:r w:rsidR="008C6722" w:rsidRPr="00DD1B58">
            <w:rPr>
              <w:rFonts w:eastAsia="Arial"/>
              <w:szCs w:val="24"/>
              <w:lang w:val="en-US"/>
            </w:rPr>
            <w:fldChar w:fldCharType="separate"/>
          </w:r>
          <w:r w:rsidR="00DF47DA" w:rsidRPr="00DF47DA">
            <w:rPr>
              <w:rFonts w:eastAsia="Arial"/>
              <w:noProof/>
              <w:szCs w:val="24"/>
              <w:lang w:val="en-US"/>
            </w:rPr>
            <w:t>[76]</w:t>
          </w:r>
          <w:r w:rsidR="008C6722" w:rsidRPr="00DD1B58">
            <w:rPr>
              <w:rFonts w:eastAsia="Arial"/>
              <w:szCs w:val="24"/>
              <w:lang w:val="en-US"/>
            </w:rPr>
            <w:fldChar w:fldCharType="end"/>
          </w:r>
        </w:sdtContent>
      </w:sdt>
      <w:r w:rsidR="008B1E0B" w:rsidRPr="00DD1B58">
        <w:rPr>
          <w:rFonts w:eastAsia="Arial"/>
          <w:szCs w:val="24"/>
          <w:lang w:val="en-US"/>
        </w:rPr>
        <w:t>. It also state</w:t>
      </w:r>
      <w:r w:rsidR="00583111" w:rsidRPr="00DD1B58">
        <w:rPr>
          <w:rFonts w:eastAsia="Arial"/>
          <w:szCs w:val="24"/>
          <w:lang w:val="en-US"/>
        </w:rPr>
        <w:t>s</w:t>
      </w:r>
      <w:r w:rsidR="008B1E0B" w:rsidRPr="00DD1B58">
        <w:rPr>
          <w:rFonts w:eastAsia="Arial"/>
          <w:szCs w:val="24"/>
          <w:lang w:val="en-US"/>
        </w:rPr>
        <w:t xml:space="preserve"> </w:t>
      </w:r>
      <w:r w:rsidR="008E46F3" w:rsidRPr="00DD1B58">
        <w:rPr>
          <w:rFonts w:eastAsia="Arial"/>
          <w:szCs w:val="24"/>
          <w:lang w:val="en-US"/>
        </w:rPr>
        <w:t>that n</w:t>
      </w:r>
      <w:r w:rsidR="73201B07" w:rsidRPr="00DD1B58">
        <w:rPr>
          <w:rFonts w:eastAsia="Arial"/>
          <w:szCs w:val="24"/>
          <w:lang w:val="en-US"/>
        </w:rPr>
        <w:t>o formal probabilistic fire hazard analysis is undertaken</w:t>
      </w:r>
      <w:r w:rsidR="008B1E0B" w:rsidRPr="00DD1B58">
        <w:rPr>
          <w:rFonts w:eastAsia="Arial"/>
          <w:szCs w:val="24"/>
          <w:lang w:val="en-US"/>
        </w:rPr>
        <w:t>, although</w:t>
      </w:r>
      <w:r w:rsidR="00DE1EBA" w:rsidRPr="00DD1B58">
        <w:rPr>
          <w:rFonts w:eastAsia="Arial"/>
          <w:szCs w:val="24"/>
          <w:lang w:val="en-US"/>
        </w:rPr>
        <w:t xml:space="preserve"> it note</w:t>
      </w:r>
      <w:r w:rsidR="0032102E" w:rsidRPr="00DD1B58">
        <w:rPr>
          <w:rFonts w:eastAsia="Arial"/>
          <w:szCs w:val="24"/>
          <w:lang w:val="en-US"/>
        </w:rPr>
        <w:t>s</w:t>
      </w:r>
      <w:r w:rsidR="00DE1EBA" w:rsidRPr="00DD1B58">
        <w:rPr>
          <w:rFonts w:eastAsia="Arial"/>
          <w:szCs w:val="24"/>
          <w:lang w:val="en-US"/>
        </w:rPr>
        <w:t xml:space="preserve"> that</w:t>
      </w:r>
      <w:r w:rsidR="008B1E0B" w:rsidRPr="00DD1B58">
        <w:rPr>
          <w:rFonts w:eastAsia="Arial"/>
          <w:szCs w:val="24"/>
          <w:lang w:val="en-US"/>
        </w:rPr>
        <w:t xml:space="preserve"> f</w:t>
      </w:r>
      <w:r w:rsidR="73201B07" w:rsidRPr="00DD1B58">
        <w:rPr>
          <w:rFonts w:eastAsia="Arial"/>
          <w:szCs w:val="24"/>
          <w:lang w:val="en-US"/>
        </w:rPr>
        <w:t xml:space="preserve">ire frequencies for electrical equipment </w:t>
      </w:r>
      <w:r w:rsidR="00150D33" w:rsidRPr="00DD1B58">
        <w:rPr>
          <w:rFonts w:eastAsia="Arial"/>
          <w:szCs w:val="24"/>
          <w:lang w:val="en-US"/>
        </w:rPr>
        <w:t>(</w:t>
      </w:r>
      <w:r w:rsidR="73201B07" w:rsidRPr="00DD1B58">
        <w:rPr>
          <w:rFonts w:eastAsia="Arial"/>
          <w:szCs w:val="24"/>
          <w:lang w:val="en-US"/>
        </w:rPr>
        <w:t>e.g., electrical cabinets</w:t>
      </w:r>
      <w:r w:rsidR="00150D33" w:rsidRPr="00DD1B58">
        <w:rPr>
          <w:rFonts w:eastAsia="Arial"/>
          <w:szCs w:val="24"/>
          <w:lang w:val="en-US"/>
        </w:rPr>
        <w:t>)</w:t>
      </w:r>
      <w:r w:rsidR="73201B07" w:rsidRPr="00DD1B58">
        <w:rPr>
          <w:rFonts w:eastAsia="Arial"/>
          <w:szCs w:val="24"/>
          <w:lang w:val="en-US"/>
        </w:rPr>
        <w:t xml:space="preserve"> can be used in support of arguments in fire safety cases. </w:t>
      </w:r>
      <w:r w:rsidR="009A43D4" w:rsidRPr="00DD1B58">
        <w:rPr>
          <w:rFonts w:eastAsia="Arial"/>
          <w:szCs w:val="24"/>
          <w:lang w:val="en-US"/>
        </w:rPr>
        <w:t xml:space="preserve">Springfields Fuels Ltd </w:t>
      </w:r>
      <w:r w:rsidR="00DE1EBA" w:rsidRPr="00DD1B58">
        <w:rPr>
          <w:rFonts w:eastAsia="Arial"/>
          <w:szCs w:val="24"/>
          <w:lang w:val="en-US"/>
        </w:rPr>
        <w:t>uses frequency data</w:t>
      </w:r>
      <w:r w:rsidR="009A43D4" w:rsidRPr="00DD1B58">
        <w:rPr>
          <w:rFonts w:eastAsia="Arial"/>
          <w:szCs w:val="24"/>
          <w:lang w:val="en-US"/>
        </w:rPr>
        <w:t xml:space="preserve"> </w:t>
      </w:r>
      <w:r w:rsidR="73201B07" w:rsidRPr="00DD1B58">
        <w:rPr>
          <w:rFonts w:eastAsia="Arial"/>
          <w:szCs w:val="24"/>
          <w:lang w:val="en-US"/>
        </w:rPr>
        <w:t>derived from EPRI/NUREG documented sources</w:t>
      </w:r>
      <w:r w:rsidR="73201B07" w:rsidRPr="00DD1B58" w:rsidDel="009A43D4">
        <w:rPr>
          <w:rFonts w:eastAsia="Arial"/>
          <w:szCs w:val="24"/>
          <w:lang w:val="en-US"/>
        </w:rPr>
        <w:t xml:space="preserve"> </w:t>
      </w:r>
      <w:sdt>
        <w:sdtPr>
          <w:rPr>
            <w:rFonts w:eastAsia="Arial"/>
            <w:szCs w:val="24"/>
            <w:lang w:val="en-US"/>
          </w:rPr>
          <w:id w:val="-2091071575"/>
          <w:citation/>
        </w:sdtPr>
        <w:sdtContent>
          <w:r w:rsidR="00DC22A7" w:rsidRPr="00DD1B58">
            <w:rPr>
              <w:rFonts w:eastAsia="Arial"/>
              <w:szCs w:val="24"/>
              <w:lang w:val="en-US"/>
            </w:rPr>
            <w:fldChar w:fldCharType="begin"/>
          </w:r>
          <w:r w:rsidR="00DC22A7" w:rsidRPr="00DD1B58">
            <w:rPr>
              <w:rFonts w:eastAsia="Arial"/>
              <w:szCs w:val="24"/>
              <w:lang w:val="en-US"/>
            </w:rPr>
            <w:instrText xml:space="preserve"> CITATION Uni1 \l 2057 </w:instrText>
          </w:r>
          <w:r w:rsidR="00DC22A7" w:rsidRPr="00DD1B58">
            <w:rPr>
              <w:rFonts w:eastAsia="Arial"/>
              <w:szCs w:val="24"/>
              <w:lang w:val="en-US"/>
            </w:rPr>
            <w:fldChar w:fldCharType="separate"/>
          </w:r>
          <w:r w:rsidR="00DF47DA" w:rsidRPr="00DF47DA">
            <w:rPr>
              <w:rFonts w:eastAsia="Arial"/>
              <w:noProof/>
              <w:szCs w:val="24"/>
              <w:lang w:val="en-US"/>
            </w:rPr>
            <w:t>[77]</w:t>
          </w:r>
          <w:r w:rsidR="00DC22A7" w:rsidRPr="00DD1B58">
            <w:rPr>
              <w:rFonts w:eastAsia="Arial"/>
              <w:szCs w:val="24"/>
              <w:lang w:val="en-US"/>
            </w:rPr>
            <w:fldChar w:fldCharType="end"/>
          </w:r>
        </w:sdtContent>
      </w:sdt>
      <w:r w:rsidR="00C20E9B" w:rsidRPr="00DD1B58">
        <w:rPr>
          <w:rFonts w:eastAsia="Arial"/>
          <w:szCs w:val="24"/>
          <w:lang w:val="en-US"/>
        </w:rPr>
        <w:t xml:space="preserve"> and state</w:t>
      </w:r>
      <w:r w:rsidR="00583111" w:rsidRPr="00DD1B58">
        <w:rPr>
          <w:rFonts w:eastAsia="Arial"/>
          <w:szCs w:val="24"/>
          <w:lang w:val="en-US"/>
        </w:rPr>
        <w:t>s</w:t>
      </w:r>
      <w:r w:rsidR="00C20E9B" w:rsidRPr="00DD1B58">
        <w:rPr>
          <w:rFonts w:eastAsia="Arial"/>
          <w:szCs w:val="24"/>
          <w:lang w:val="en-US"/>
        </w:rPr>
        <w:t xml:space="preserve"> that no </w:t>
      </w:r>
      <w:r w:rsidR="73201B07" w:rsidRPr="00DD1B58">
        <w:rPr>
          <w:rFonts w:eastAsia="Arial"/>
          <w:szCs w:val="24"/>
          <w:lang w:val="en-US"/>
        </w:rPr>
        <w:t>tools or models other than N</w:t>
      </w:r>
      <w:r w:rsidR="008C6722" w:rsidRPr="00DD1B58">
        <w:rPr>
          <w:rFonts w:eastAsia="Arial"/>
          <w:szCs w:val="24"/>
          <w:lang w:val="en-US"/>
        </w:rPr>
        <w:t>UREG</w:t>
      </w:r>
      <w:r w:rsidR="73201B07" w:rsidRPr="00DD1B58">
        <w:rPr>
          <w:rFonts w:eastAsia="Arial"/>
          <w:szCs w:val="24"/>
          <w:lang w:val="en-US"/>
        </w:rPr>
        <w:t xml:space="preserve"> spreadsheets </w:t>
      </w:r>
      <w:sdt>
        <w:sdtPr>
          <w:rPr>
            <w:rFonts w:eastAsia="Arial"/>
            <w:szCs w:val="24"/>
            <w:lang w:val="en-US"/>
          </w:rPr>
          <w:id w:val="595369844"/>
          <w:citation/>
        </w:sdtPr>
        <w:sdtContent>
          <w:r w:rsidR="00DC22A7" w:rsidRPr="00DD1B58">
            <w:rPr>
              <w:rFonts w:eastAsia="Arial"/>
              <w:szCs w:val="24"/>
              <w:lang w:val="en-US"/>
            </w:rPr>
            <w:fldChar w:fldCharType="begin"/>
          </w:r>
          <w:r w:rsidR="00DC22A7" w:rsidRPr="00DD1B58">
            <w:rPr>
              <w:rFonts w:eastAsia="Arial"/>
              <w:szCs w:val="24"/>
              <w:lang w:val="en-US"/>
            </w:rPr>
            <w:instrText xml:space="preserve"> CITATION Uni04 \l 2057 </w:instrText>
          </w:r>
          <w:r w:rsidR="00DC22A7" w:rsidRPr="00DD1B58">
            <w:rPr>
              <w:rFonts w:eastAsia="Arial"/>
              <w:szCs w:val="24"/>
              <w:lang w:val="en-US"/>
            </w:rPr>
            <w:fldChar w:fldCharType="separate"/>
          </w:r>
          <w:r w:rsidR="00DF47DA" w:rsidRPr="00DF47DA">
            <w:rPr>
              <w:rFonts w:eastAsia="Arial"/>
              <w:noProof/>
              <w:szCs w:val="24"/>
              <w:lang w:val="en-US"/>
            </w:rPr>
            <w:t>[78]</w:t>
          </w:r>
          <w:r w:rsidR="00DC22A7" w:rsidRPr="00DD1B58">
            <w:rPr>
              <w:rFonts w:eastAsia="Arial"/>
              <w:szCs w:val="24"/>
              <w:lang w:val="en-US"/>
            </w:rPr>
            <w:fldChar w:fldCharType="end"/>
          </w:r>
        </w:sdtContent>
      </w:sdt>
      <w:r w:rsidR="73201B07" w:rsidRPr="00DD1B58" w:rsidDel="00C20E9B">
        <w:rPr>
          <w:rFonts w:eastAsia="Arial"/>
          <w:szCs w:val="24"/>
          <w:lang w:val="en-US"/>
        </w:rPr>
        <w:t xml:space="preserve"> </w:t>
      </w:r>
      <w:r w:rsidR="73201B07" w:rsidRPr="00DD1B58">
        <w:rPr>
          <w:rFonts w:eastAsia="Arial"/>
          <w:szCs w:val="24"/>
          <w:lang w:val="en-US"/>
        </w:rPr>
        <w:t>and hand calculations are undertaken.</w:t>
      </w:r>
    </w:p>
    <w:p w14:paraId="5166208F" w14:textId="5F2BBF10" w:rsidR="73201B07" w:rsidRPr="00DD1B58" w:rsidRDefault="00C20E9B"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has n</w:t>
      </w:r>
      <w:r w:rsidR="73201B07" w:rsidRPr="00DD1B58">
        <w:rPr>
          <w:rFonts w:eastAsia="Arial"/>
          <w:szCs w:val="24"/>
          <w:lang w:val="en-US"/>
        </w:rPr>
        <w:t>o licensee</w:t>
      </w:r>
      <w:r w:rsidRPr="00DD1B58">
        <w:rPr>
          <w:rFonts w:eastAsia="Arial"/>
          <w:szCs w:val="24"/>
          <w:lang w:val="en-US"/>
        </w:rPr>
        <w:t>-</w:t>
      </w:r>
      <w:r w:rsidR="73201B07" w:rsidRPr="00DD1B58">
        <w:rPr>
          <w:rFonts w:eastAsia="Arial"/>
          <w:szCs w:val="24"/>
          <w:lang w:val="en-US"/>
        </w:rPr>
        <w:t>specific fire analysis guidance</w:t>
      </w:r>
      <w:r w:rsidR="00BB42CC" w:rsidRPr="00DD1B58">
        <w:rPr>
          <w:rFonts w:eastAsia="Arial"/>
          <w:szCs w:val="24"/>
          <w:lang w:val="en-US"/>
        </w:rPr>
        <w:t xml:space="preserve"> and confirmed that, for</w:t>
      </w:r>
      <w:r w:rsidR="73201B07" w:rsidRPr="00DD1B58">
        <w:rPr>
          <w:rFonts w:eastAsia="Arial"/>
          <w:szCs w:val="24"/>
          <w:lang w:val="en-US"/>
        </w:rPr>
        <w:t xml:space="preserve"> COSR reviews</w:t>
      </w:r>
      <w:r w:rsidR="00BB42CC" w:rsidRPr="00DD1B58">
        <w:rPr>
          <w:rFonts w:eastAsia="Arial"/>
          <w:szCs w:val="24"/>
          <w:lang w:val="en-US"/>
        </w:rPr>
        <w:t xml:space="preserve">, </w:t>
      </w:r>
      <w:r w:rsidR="73201B07" w:rsidRPr="00DD1B58">
        <w:rPr>
          <w:rFonts w:eastAsia="Arial"/>
          <w:szCs w:val="24"/>
          <w:lang w:val="en-US"/>
        </w:rPr>
        <w:t>F1.10</w:t>
      </w:r>
      <w:r w:rsidR="00BB42CC" w:rsidRPr="00DD1B58">
        <w:rPr>
          <w:rFonts w:eastAsia="Arial"/>
          <w:szCs w:val="24"/>
          <w:lang w:val="en-US"/>
        </w:rPr>
        <w:t xml:space="preserve"> guidance </w:t>
      </w:r>
      <w:r w:rsidR="73201B07" w:rsidRPr="00DD1B58">
        <w:rPr>
          <w:rFonts w:eastAsia="Arial"/>
          <w:szCs w:val="24"/>
          <w:lang w:val="en-US"/>
        </w:rPr>
        <w:t xml:space="preserve">produced by </w:t>
      </w:r>
      <w:r w:rsidR="004668E0" w:rsidRPr="00DD1B58">
        <w:rPr>
          <w:rFonts w:eastAsia="Arial"/>
          <w:szCs w:val="24"/>
          <w:lang w:val="en-US"/>
        </w:rPr>
        <w:t xml:space="preserve">Sellafield Ltd. </w:t>
      </w:r>
      <w:r w:rsidR="73201B07" w:rsidRPr="00DD1B58">
        <w:rPr>
          <w:rFonts w:eastAsia="Arial"/>
          <w:szCs w:val="24"/>
          <w:lang w:val="en-US"/>
        </w:rPr>
        <w:t xml:space="preserve">was initially used for the assessments. </w:t>
      </w:r>
      <w:r w:rsidR="00BB42CC" w:rsidRPr="00DD1B58">
        <w:rPr>
          <w:rFonts w:eastAsia="Arial"/>
          <w:szCs w:val="24"/>
          <w:lang w:val="en-US"/>
        </w:rPr>
        <w:t xml:space="preserve">Springfields Fuels </w:t>
      </w:r>
      <w:r w:rsidR="00BF0D1B" w:rsidRPr="00DD1B58">
        <w:rPr>
          <w:rFonts w:eastAsia="Arial"/>
          <w:szCs w:val="24"/>
          <w:lang w:val="en-US"/>
        </w:rPr>
        <w:t>Ltd</w:t>
      </w:r>
      <w:r w:rsidR="00BB42CC" w:rsidRPr="00DD1B58">
        <w:rPr>
          <w:rFonts w:eastAsia="Arial"/>
          <w:szCs w:val="24"/>
          <w:lang w:val="en-US"/>
        </w:rPr>
        <w:t xml:space="preserve"> state</w:t>
      </w:r>
      <w:r w:rsidR="00583111" w:rsidRPr="00DD1B58">
        <w:rPr>
          <w:rFonts w:eastAsia="Arial"/>
          <w:szCs w:val="24"/>
          <w:lang w:val="en-US"/>
        </w:rPr>
        <w:t>s</w:t>
      </w:r>
      <w:r w:rsidR="00BB42CC" w:rsidRPr="00DD1B58">
        <w:rPr>
          <w:rFonts w:eastAsia="Arial"/>
          <w:szCs w:val="24"/>
          <w:lang w:val="en-US"/>
        </w:rPr>
        <w:t xml:space="preserve"> that it has superseded this practice and it currently undertakes the reviews using</w:t>
      </w:r>
      <w:r w:rsidR="73201B07" w:rsidRPr="00DD1B58">
        <w:rPr>
          <w:rFonts w:eastAsia="Arial"/>
          <w:szCs w:val="24"/>
          <w:lang w:val="en-US"/>
        </w:rPr>
        <w:t xml:space="preserve"> IAEA guidance</w:t>
      </w:r>
      <w:r w:rsidR="00BB42CC" w:rsidRPr="00DD1B58">
        <w:rPr>
          <w:rFonts w:eastAsia="Arial"/>
          <w:szCs w:val="24"/>
          <w:lang w:val="en-US"/>
        </w:rPr>
        <w:t xml:space="preserve">, </w:t>
      </w:r>
      <w:r w:rsidR="73201B07" w:rsidRPr="00DD1B58">
        <w:rPr>
          <w:rFonts w:eastAsia="Arial"/>
          <w:szCs w:val="24"/>
          <w:lang w:val="en-US"/>
        </w:rPr>
        <w:t>ONR SAP</w:t>
      </w:r>
      <w:r w:rsidR="00BB42CC" w:rsidRPr="00DD1B58">
        <w:rPr>
          <w:rFonts w:eastAsia="Arial"/>
          <w:szCs w:val="24"/>
          <w:lang w:val="en-US"/>
        </w:rPr>
        <w:t>s</w:t>
      </w:r>
      <w:r w:rsidR="73201B07" w:rsidRPr="00DD1B58">
        <w:rPr>
          <w:rFonts w:eastAsia="Arial"/>
          <w:szCs w:val="24"/>
          <w:lang w:val="en-US"/>
        </w:rPr>
        <w:t xml:space="preserve"> and TAG</w:t>
      </w:r>
      <w:r w:rsidR="00BB42CC" w:rsidRPr="00DD1B58">
        <w:rPr>
          <w:rFonts w:eastAsia="Arial"/>
          <w:szCs w:val="24"/>
          <w:lang w:val="en-US"/>
        </w:rPr>
        <w:t>s</w:t>
      </w:r>
      <w:r w:rsidR="73201B07" w:rsidRPr="00DD1B58">
        <w:rPr>
          <w:rFonts w:eastAsia="Arial"/>
          <w:szCs w:val="24"/>
          <w:lang w:val="en-US"/>
        </w:rPr>
        <w:t>.</w:t>
      </w:r>
    </w:p>
    <w:p w14:paraId="55FBF8A5" w14:textId="2C4DA3ED" w:rsidR="73201B07" w:rsidRPr="00DD1B58" w:rsidRDefault="00BB42CC"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w:t>
      </w:r>
      <w:r w:rsidR="007670B9" w:rsidRPr="00DD1B58">
        <w:rPr>
          <w:rFonts w:eastAsia="Arial"/>
          <w:szCs w:val="24"/>
          <w:lang w:val="en-US"/>
        </w:rPr>
        <w:t>state</w:t>
      </w:r>
      <w:r w:rsidR="00583111" w:rsidRPr="00DD1B58">
        <w:rPr>
          <w:rFonts w:eastAsia="Arial"/>
          <w:szCs w:val="24"/>
          <w:lang w:val="en-US"/>
        </w:rPr>
        <w:t>s</w:t>
      </w:r>
      <w:r w:rsidR="007670B9" w:rsidRPr="00DD1B58">
        <w:rPr>
          <w:rFonts w:eastAsia="Arial"/>
          <w:szCs w:val="24"/>
          <w:lang w:val="en-US"/>
        </w:rPr>
        <w:t xml:space="preserve"> that </w:t>
      </w:r>
      <w:r w:rsidR="73201B07" w:rsidRPr="00DD1B58">
        <w:rPr>
          <w:rFonts w:eastAsia="Arial"/>
          <w:szCs w:val="24"/>
          <w:lang w:val="en-US"/>
        </w:rPr>
        <w:t>SSCs</w:t>
      </w:r>
      <w:r w:rsidR="007C3F42" w:rsidRPr="00DD1B58">
        <w:rPr>
          <w:rFonts w:eastAsia="Arial"/>
          <w:szCs w:val="24"/>
          <w:lang w:val="en-US"/>
        </w:rPr>
        <w:t>/</w:t>
      </w:r>
      <w:r w:rsidR="73201B07" w:rsidRPr="00DD1B58">
        <w:rPr>
          <w:rFonts w:eastAsia="Arial"/>
          <w:szCs w:val="24"/>
          <w:lang w:val="en-US"/>
        </w:rPr>
        <w:t>targets are identified through review of the relevant Radiological/Chemotoxic and Criticality HAZANs produced as part of the safety case.</w:t>
      </w:r>
      <w:r w:rsidR="00785253" w:rsidRPr="00DD1B58">
        <w:rPr>
          <w:lang w:val="en-US"/>
        </w:rPr>
        <w:t xml:space="preserve"> </w:t>
      </w:r>
      <w:r w:rsidR="007670B9" w:rsidRPr="00DD1B58">
        <w:rPr>
          <w:rFonts w:eastAsia="Arial"/>
          <w:szCs w:val="24"/>
          <w:lang w:val="en-US"/>
        </w:rPr>
        <w:t>It also state</w:t>
      </w:r>
      <w:r w:rsidR="00583111" w:rsidRPr="00DD1B58">
        <w:rPr>
          <w:rFonts w:eastAsia="Arial"/>
          <w:szCs w:val="24"/>
          <w:lang w:val="en-US"/>
        </w:rPr>
        <w:t>s</w:t>
      </w:r>
      <w:r w:rsidR="007670B9" w:rsidRPr="00DD1B58">
        <w:rPr>
          <w:rFonts w:eastAsia="Arial"/>
          <w:szCs w:val="24"/>
          <w:lang w:val="en-US"/>
        </w:rPr>
        <w:t xml:space="preserve"> that these </w:t>
      </w:r>
      <w:r w:rsidR="73201B07" w:rsidRPr="00DD1B58">
        <w:rPr>
          <w:rFonts w:eastAsia="Arial"/>
          <w:szCs w:val="24"/>
          <w:lang w:val="en-US"/>
        </w:rPr>
        <w:t>assessments consider the radiological and criticality risks associated with faults which could result in a significant risk to the public or workforce when compared to company targets.</w:t>
      </w:r>
    </w:p>
    <w:p w14:paraId="3ABF102B" w14:textId="08F4858E" w:rsidR="73201B07" w:rsidRPr="00DD1B58" w:rsidRDefault="007670B9" w:rsidP="6C4D33C6">
      <w:pPr>
        <w:rPr>
          <w:rFonts w:eastAsia="Arial"/>
          <w:szCs w:val="24"/>
          <w:lang w:val="en-US"/>
        </w:rPr>
      </w:pPr>
      <w:r w:rsidRPr="00DD1B58">
        <w:rPr>
          <w:rFonts w:eastAsia="Arial"/>
          <w:szCs w:val="24"/>
          <w:lang w:val="en-US"/>
        </w:rPr>
        <w:t xml:space="preserve">Springfields Fuels </w:t>
      </w:r>
      <w:r w:rsidR="00BF0D1B" w:rsidRPr="00DD1B58">
        <w:rPr>
          <w:rFonts w:eastAsia="Arial"/>
          <w:szCs w:val="24"/>
          <w:lang w:val="en-US"/>
        </w:rPr>
        <w:t>Ltd</w:t>
      </w:r>
      <w:r w:rsidR="00AC7891" w:rsidRPr="00DD1B58">
        <w:rPr>
          <w:rFonts w:eastAsia="Arial"/>
          <w:szCs w:val="24"/>
          <w:lang w:val="en-US"/>
        </w:rPr>
        <w:t>’s</w:t>
      </w:r>
      <w:r w:rsidRPr="00DD1B58">
        <w:rPr>
          <w:rFonts w:eastAsia="Arial"/>
          <w:szCs w:val="24"/>
          <w:lang w:val="en-US"/>
        </w:rPr>
        <w:t xml:space="preserve"> practice is to compare e</w:t>
      </w:r>
      <w:r w:rsidR="73201B07" w:rsidRPr="00DD1B58">
        <w:rPr>
          <w:rFonts w:eastAsia="Arial"/>
          <w:szCs w:val="24"/>
          <w:lang w:val="en-US"/>
        </w:rPr>
        <w:t xml:space="preserve">ach Fault Sequence Group in </w:t>
      </w:r>
      <w:r w:rsidRPr="00DD1B58">
        <w:rPr>
          <w:rFonts w:eastAsia="Arial"/>
          <w:szCs w:val="24"/>
          <w:lang w:val="en-US"/>
        </w:rPr>
        <w:t xml:space="preserve">the </w:t>
      </w:r>
      <w:r w:rsidR="73201B07" w:rsidRPr="00DD1B58">
        <w:rPr>
          <w:rFonts w:eastAsia="Arial"/>
          <w:szCs w:val="24"/>
          <w:lang w:val="en-US"/>
        </w:rPr>
        <w:t xml:space="preserve">assessments against company criteria and Design Basis Accident (DBA) </w:t>
      </w:r>
      <w:r w:rsidR="00AC7891" w:rsidRPr="00DD1B58">
        <w:rPr>
          <w:rFonts w:eastAsia="Arial"/>
          <w:szCs w:val="24"/>
          <w:lang w:val="en-US"/>
        </w:rPr>
        <w:t>a</w:t>
      </w:r>
      <w:r w:rsidR="73201B07" w:rsidRPr="00DD1B58">
        <w:rPr>
          <w:rFonts w:eastAsia="Arial"/>
          <w:szCs w:val="24"/>
          <w:lang w:val="en-US"/>
        </w:rPr>
        <w:t xml:space="preserve">nalysis criteria. </w:t>
      </w: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583111" w:rsidRPr="00DD1B58">
        <w:rPr>
          <w:rFonts w:eastAsia="Arial"/>
          <w:szCs w:val="24"/>
          <w:lang w:val="en-US"/>
        </w:rPr>
        <w:t>s</w:t>
      </w:r>
      <w:r w:rsidRPr="00DD1B58">
        <w:rPr>
          <w:rFonts w:eastAsia="Arial"/>
          <w:szCs w:val="24"/>
          <w:lang w:val="en-US"/>
        </w:rPr>
        <w:t xml:space="preserve"> that a</w:t>
      </w:r>
      <w:r w:rsidR="73201B07" w:rsidRPr="00DD1B58">
        <w:rPr>
          <w:rFonts w:eastAsia="Arial"/>
          <w:szCs w:val="24"/>
          <w:lang w:val="en-US"/>
        </w:rPr>
        <w:t>ny fault with an Initiating Event frequency in excess of 10</w:t>
      </w:r>
      <w:r w:rsidR="73201B07" w:rsidRPr="00DD1B58">
        <w:rPr>
          <w:rFonts w:eastAsia="Arial"/>
          <w:szCs w:val="24"/>
          <w:vertAlign w:val="superscript"/>
          <w:lang w:val="en-US"/>
        </w:rPr>
        <w:t>-5</w:t>
      </w:r>
      <w:r w:rsidR="73201B07" w:rsidRPr="00DD1B58">
        <w:rPr>
          <w:rFonts w:eastAsia="Arial"/>
          <w:szCs w:val="24"/>
          <w:lang w:val="en-US"/>
        </w:rPr>
        <w:t xml:space="preserve"> per year </w:t>
      </w:r>
      <w:r w:rsidRPr="00DD1B58">
        <w:rPr>
          <w:rFonts w:eastAsia="Arial"/>
          <w:szCs w:val="24"/>
          <w:lang w:val="en-US"/>
        </w:rPr>
        <w:t xml:space="preserve">and </w:t>
      </w:r>
      <w:r w:rsidR="73201B07" w:rsidRPr="00DD1B58">
        <w:rPr>
          <w:rFonts w:eastAsia="Arial"/>
          <w:szCs w:val="24"/>
          <w:lang w:val="en-US"/>
        </w:rPr>
        <w:t xml:space="preserve">an </w:t>
      </w:r>
      <w:r w:rsidRPr="00DD1B58">
        <w:rPr>
          <w:rFonts w:eastAsia="Arial"/>
          <w:szCs w:val="24"/>
          <w:lang w:val="en-US"/>
        </w:rPr>
        <w:t>u</w:t>
      </w:r>
      <w:r w:rsidR="73201B07" w:rsidRPr="00DD1B58">
        <w:rPr>
          <w:rFonts w:eastAsia="Arial"/>
          <w:szCs w:val="24"/>
          <w:lang w:val="en-US"/>
        </w:rPr>
        <w:t>nmitigated consequence in excess of 20mSv (on site) or 0.1mSv (</w:t>
      </w:r>
      <w:r w:rsidR="00AC7891" w:rsidRPr="00DD1B58">
        <w:rPr>
          <w:rFonts w:eastAsia="Arial"/>
          <w:szCs w:val="24"/>
          <w:lang w:val="en-US"/>
        </w:rPr>
        <w:t>aerial/</w:t>
      </w:r>
      <w:r w:rsidR="73201B07" w:rsidRPr="00DD1B58">
        <w:rPr>
          <w:rFonts w:eastAsia="Arial"/>
          <w:szCs w:val="24"/>
          <w:lang w:val="en-US"/>
        </w:rPr>
        <w:t>off site) is subject to DBA.</w:t>
      </w:r>
      <w:r w:rsidRPr="00DD1B58">
        <w:rPr>
          <w:rFonts w:eastAsia="Arial"/>
          <w:szCs w:val="24"/>
          <w:lang w:val="en-US"/>
        </w:rPr>
        <w:t xml:space="preserve"> </w:t>
      </w:r>
      <w:r w:rsidR="73201B07" w:rsidRPr="00DD1B58">
        <w:rPr>
          <w:rFonts w:eastAsia="Arial"/>
          <w:szCs w:val="24"/>
          <w:lang w:val="en-US"/>
        </w:rPr>
        <w:t>Where consequences of the fault sequence exceed company criteria</w:t>
      </w:r>
      <w:r w:rsidRPr="00DD1B58">
        <w:rPr>
          <w:rFonts w:eastAsia="Arial"/>
          <w:szCs w:val="24"/>
          <w:lang w:val="en-US"/>
        </w:rPr>
        <w:t xml:space="preserve">, </w:t>
      </w:r>
      <w:r w:rsidR="00134292" w:rsidRPr="00DD1B58">
        <w:rPr>
          <w:rFonts w:eastAsia="Arial"/>
          <w:szCs w:val="24"/>
          <w:lang w:val="en-US"/>
        </w:rPr>
        <w:t>Springfields Fuels Ltd</w:t>
      </w:r>
      <w:r w:rsidRPr="00DD1B58">
        <w:rPr>
          <w:rFonts w:eastAsia="Arial"/>
          <w:szCs w:val="24"/>
          <w:lang w:val="en-US"/>
        </w:rPr>
        <w:t xml:space="preserve"> specifies</w:t>
      </w:r>
      <w:r w:rsidR="73201B07" w:rsidRPr="00DD1B58">
        <w:rPr>
          <w:rFonts w:eastAsia="Arial"/>
          <w:szCs w:val="24"/>
          <w:lang w:val="en-US"/>
        </w:rPr>
        <w:t xml:space="preserve"> Operating Rules and each </w:t>
      </w:r>
      <w:r w:rsidRPr="00DD1B58">
        <w:rPr>
          <w:rFonts w:eastAsia="Arial"/>
          <w:szCs w:val="24"/>
          <w:lang w:val="en-US"/>
        </w:rPr>
        <w:t>would be</w:t>
      </w:r>
      <w:r w:rsidR="73201B07" w:rsidRPr="00DD1B58">
        <w:rPr>
          <w:rFonts w:eastAsia="Arial"/>
          <w:szCs w:val="24"/>
          <w:lang w:val="en-US"/>
        </w:rPr>
        <w:t xml:space="preserve"> supported by two suitable Safety Measures meeting </w:t>
      </w:r>
      <w:r w:rsidRPr="00DD1B58">
        <w:rPr>
          <w:rFonts w:eastAsia="Arial"/>
          <w:szCs w:val="24"/>
          <w:lang w:val="en-US"/>
        </w:rPr>
        <w:t xml:space="preserve">company </w:t>
      </w:r>
      <w:r w:rsidR="73201B07" w:rsidRPr="00DD1B58">
        <w:rPr>
          <w:rFonts w:eastAsia="Arial"/>
          <w:szCs w:val="24"/>
          <w:lang w:val="en-US"/>
        </w:rPr>
        <w:t>criteria.</w:t>
      </w:r>
      <w:r w:rsidR="003644B7" w:rsidRPr="00DD1B58">
        <w:rPr>
          <w:lang w:val="en-US"/>
        </w:rPr>
        <w:t xml:space="preserve"> </w:t>
      </w:r>
      <w:r w:rsidR="73201B07" w:rsidRPr="00DD1B58">
        <w:rPr>
          <w:rFonts w:eastAsia="Arial"/>
          <w:szCs w:val="24"/>
          <w:lang w:val="en-US"/>
        </w:rPr>
        <w:t xml:space="preserve">Where </w:t>
      </w:r>
      <w:r w:rsidRPr="00DD1B58">
        <w:rPr>
          <w:rFonts w:eastAsia="Arial"/>
          <w:szCs w:val="24"/>
          <w:lang w:val="en-US"/>
        </w:rPr>
        <w:t xml:space="preserve">it identifies </w:t>
      </w:r>
      <w:r w:rsidR="73201B07" w:rsidRPr="00DD1B58">
        <w:rPr>
          <w:rFonts w:eastAsia="Arial"/>
          <w:szCs w:val="24"/>
          <w:lang w:val="en-US"/>
        </w:rPr>
        <w:t xml:space="preserve">two safety measures, </w:t>
      </w:r>
      <w:r w:rsidRPr="00DD1B58">
        <w:rPr>
          <w:rFonts w:eastAsia="Arial"/>
          <w:szCs w:val="24"/>
          <w:lang w:val="en-US"/>
        </w:rPr>
        <w:t xml:space="preserve">Springfields Fuels Ltd gives </w:t>
      </w:r>
      <w:r w:rsidR="73201B07" w:rsidRPr="00DD1B58">
        <w:rPr>
          <w:rFonts w:eastAsia="Arial"/>
          <w:szCs w:val="24"/>
          <w:lang w:val="en-US"/>
        </w:rPr>
        <w:t xml:space="preserve">consideration to the potential for common cause failure due to fire. Where </w:t>
      </w:r>
      <w:r w:rsidRPr="00DD1B58">
        <w:rPr>
          <w:rFonts w:eastAsia="Arial"/>
          <w:szCs w:val="24"/>
          <w:lang w:val="en-US"/>
        </w:rPr>
        <w:t xml:space="preserve">it </w:t>
      </w:r>
      <w:r w:rsidR="0091376F" w:rsidRPr="00DD1B58">
        <w:rPr>
          <w:rFonts w:eastAsia="Arial"/>
          <w:szCs w:val="24"/>
          <w:lang w:val="en-US"/>
        </w:rPr>
        <w:t xml:space="preserve">identifies a </w:t>
      </w:r>
      <w:r w:rsidR="73201B07" w:rsidRPr="00DD1B58">
        <w:rPr>
          <w:rFonts w:eastAsia="Arial"/>
          <w:szCs w:val="24"/>
          <w:lang w:val="en-US"/>
        </w:rPr>
        <w:t xml:space="preserve">single safety measure </w:t>
      </w:r>
      <w:r w:rsidR="0091376F" w:rsidRPr="00DD1B58">
        <w:rPr>
          <w:rFonts w:eastAsia="Arial"/>
          <w:szCs w:val="24"/>
          <w:lang w:val="en-US"/>
        </w:rPr>
        <w:t xml:space="preserve">only, Springfields Fuels </w:t>
      </w:r>
      <w:r w:rsidR="00BF0D1B" w:rsidRPr="00DD1B58">
        <w:rPr>
          <w:rFonts w:eastAsia="Arial"/>
          <w:szCs w:val="24"/>
          <w:lang w:val="en-US"/>
        </w:rPr>
        <w:t>Ltd</w:t>
      </w:r>
      <w:r w:rsidR="0091376F" w:rsidRPr="00DD1B58">
        <w:rPr>
          <w:rFonts w:eastAsia="Arial"/>
          <w:szCs w:val="24"/>
          <w:lang w:val="en-US"/>
        </w:rPr>
        <w:t xml:space="preserve"> </w:t>
      </w:r>
      <w:r w:rsidR="73201B07" w:rsidRPr="00DD1B58">
        <w:rPr>
          <w:rFonts w:eastAsia="Arial"/>
          <w:szCs w:val="24"/>
          <w:lang w:val="en-US"/>
        </w:rPr>
        <w:t>assume</w:t>
      </w:r>
      <w:r w:rsidR="0091376F" w:rsidRPr="00DD1B58">
        <w:rPr>
          <w:rFonts w:eastAsia="Arial"/>
          <w:szCs w:val="24"/>
          <w:lang w:val="en-US"/>
        </w:rPr>
        <w:t>s</w:t>
      </w:r>
      <w:r w:rsidR="73201B07" w:rsidRPr="00DD1B58">
        <w:rPr>
          <w:rFonts w:eastAsia="Arial"/>
          <w:szCs w:val="24"/>
          <w:lang w:val="en-US"/>
        </w:rPr>
        <w:t xml:space="preserve"> that loss of the measure could be caused by initiators other than fire</w:t>
      </w:r>
      <w:r w:rsidR="005D4F0F" w:rsidRPr="00DD1B58">
        <w:rPr>
          <w:rFonts w:eastAsia="Arial"/>
          <w:szCs w:val="24"/>
          <w:lang w:val="en-US"/>
        </w:rPr>
        <w:t xml:space="preserve">, such as </w:t>
      </w:r>
      <w:r w:rsidR="73201B07" w:rsidRPr="00DD1B58">
        <w:rPr>
          <w:rFonts w:eastAsia="Arial"/>
          <w:szCs w:val="24"/>
          <w:lang w:val="en-US"/>
        </w:rPr>
        <w:t>mechanical damage</w:t>
      </w:r>
      <w:r w:rsidR="005D4F0F" w:rsidRPr="00DD1B58">
        <w:rPr>
          <w:rFonts w:eastAsia="Arial"/>
          <w:szCs w:val="24"/>
          <w:lang w:val="en-US"/>
        </w:rPr>
        <w:t xml:space="preserve"> or</w:t>
      </w:r>
      <w:r w:rsidR="73201B07" w:rsidRPr="00DD1B58">
        <w:rPr>
          <w:rFonts w:eastAsia="Arial"/>
          <w:szCs w:val="24"/>
          <w:lang w:val="en-US"/>
        </w:rPr>
        <w:t xml:space="preserve"> loss of power. </w:t>
      </w:r>
      <w:r w:rsidR="0091376F" w:rsidRPr="00DD1B58">
        <w:rPr>
          <w:rFonts w:eastAsia="Arial"/>
          <w:szCs w:val="24"/>
          <w:lang w:val="en-US"/>
        </w:rPr>
        <w:t xml:space="preserve">Springfields Fuels </w:t>
      </w:r>
      <w:r w:rsidR="00BF0D1B" w:rsidRPr="00DD1B58">
        <w:rPr>
          <w:rFonts w:eastAsia="Arial"/>
          <w:szCs w:val="24"/>
          <w:lang w:val="en-US"/>
        </w:rPr>
        <w:t>Ltd</w:t>
      </w:r>
      <w:r w:rsidR="0091376F" w:rsidRPr="00DD1B58">
        <w:rPr>
          <w:rFonts w:eastAsia="Arial"/>
          <w:szCs w:val="24"/>
          <w:lang w:val="en-US"/>
        </w:rPr>
        <w:t xml:space="preserve"> applies an </w:t>
      </w:r>
      <w:r w:rsidR="73201B07" w:rsidRPr="00DD1B58">
        <w:rPr>
          <w:rFonts w:eastAsia="Arial"/>
          <w:szCs w:val="24"/>
          <w:lang w:val="en-US"/>
        </w:rPr>
        <w:t>exception for chemotoxic consequences that could result in serious harm to worker</w:t>
      </w:r>
      <w:r w:rsidR="00D90ADF" w:rsidRPr="00DD1B58">
        <w:rPr>
          <w:rFonts w:eastAsia="Arial"/>
          <w:szCs w:val="24"/>
          <w:lang w:val="en-US"/>
        </w:rPr>
        <w:t>s</w:t>
      </w:r>
      <w:r w:rsidR="73201B07" w:rsidRPr="00DD1B58">
        <w:rPr>
          <w:rFonts w:eastAsia="Arial"/>
          <w:szCs w:val="24"/>
          <w:lang w:val="en-US"/>
        </w:rPr>
        <w:t xml:space="preserve"> or</w:t>
      </w:r>
      <w:r w:rsidR="00D90ADF" w:rsidRPr="00DD1B58">
        <w:rPr>
          <w:rFonts w:eastAsia="Arial"/>
          <w:szCs w:val="24"/>
          <w:lang w:val="en-US"/>
        </w:rPr>
        <w:t xml:space="preserve"> the</w:t>
      </w:r>
      <w:r w:rsidR="73201B07" w:rsidRPr="00DD1B58">
        <w:rPr>
          <w:rFonts w:eastAsia="Arial"/>
          <w:szCs w:val="24"/>
          <w:lang w:val="en-US"/>
        </w:rPr>
        <w:t xml:space="preserve"> public and where only one safety measure has been identified that requires a high degree of reliability. In </w:t>
      </w:r>
      <w:r w:rsidR="0091376F" w:rsidRPr="00DD1B58">
        <w:rPr>
          <w:rFonts w:eastAsia="Arial"/>
          <w:szCs w:val="24"/>
          <w:lang w:val="en-US"/>
        </w:rPr>
        <w:t xml:space="preserve">those </w:t>
      </w:r>
      <w:r w:rsidR="73201B07" w:rsidRPr="00DD1B58">
        <w:rPr>
          <w:rFonts w:eastAsia="Arial"/>
          <w:szCs w:val="24"/>
          <w:lang w:val="en-US"/>
        </w:rPr>
        <w:t xml:space="preserve">cases, </w:t>
      </w:r>
      <w:r w:rsidR="00073028" w:rsidRPr="00DD1B58">
        <w:rPr>
          <w:rFonts w:eastAsia="Arial"/>
          <w:szCs w:val="24"/>
          <w:lang w:val="en-US"/>
        </w:rPr>
        <w:t xml:space="preserve">Springfields Fuels </w:t>
      </w:r>
      <w:r w:rsidR="00BF0D1B" w:rsidRPr="00DD1B58">
        <w:rPr>
          <w:rFonts w:eastAsia="Arial"/>
          <w:szCs w:val="24"/>
          <w:lang w:val="en-US"/>
        </w:rPr>
        <w:t>Ltd</w:t>
      </w:r>
      <w:r w:rsidR="00073028" w:rsidRPr="00DD1B58">
        <w:rPr>
          <w:rFonts w:eastAsia="Arial"/>
          <w:szCs w:val="24"/>
          <w:lang w:val="en-US"/>
        </w:rPr>
        <w:t xml:space="preserve"> considers t</w:t>
      </w:r>
      <w:r w:rsidR="73201B07" w:rsidRPr="00DD1B58">
        <w:rPr>
          <w:rFonts w:eastAsia="Arial"/>
          <w:szCs w:val="24"/>
          <w:lang w:val="en-US"/>
        </w:rPr>
        <w:t>he effects of failure of the single safety measure due to fire</w:t>
      </w:r>
      <w:r w:rsidR="00073028" w:rsidRPr="00DD1B58">
        <w:rPr>
          <w:rFonts w:eastAsia="Arial"/>
          <w:szCs w:val="24"/>
          <w:lang w:val="en-US"/>
        </w:rPr>
        <w:t>.</w:t>
      </w:r>
    </w:p>
    <w:p w14:paraId="4EDC1AA3" w14:textId="3B9CBE4C" w:rsidR="73201B07" w:rsidRPr="00DD1B58" w:rsidRDefault="73201B07" w:rsidP="6C4D33C6">
      <w:pPr>
        <w:rPr>
          <w:lang w:val="en-US"/>
        </w:rPr>
      </w:pPr>
      <w:r w:rsidRPr="00DD1B58">
        <w:rPr>
          <w:rFonts w:eastAsia="Arial"/>
          <w:szCs w:val="24"/>
          <w:lang w:val="en-US"/>
        </w:rPr>
        <w:t>In general</w:t>
      </w:r>
      <w:r w:rsidR="00073028" w:rsidRPr="00DD1B58">
        <w:rPr>
          <w:rFonts w:eastAsia="Arial"/>
          <w:szCs w:val="24"/>
          <w:lang w:val="en-US"/>
        </w:rPr>
        <w:t xml:space="preserve">, Springfields Fuels </w:t>
      </w:r>
      <w:r w:rsidR="00BF0D1B" w:rsidRPr="00DD1B58">
        <w:rPr>
          <w:rFonts w:eastAsia="Arial"/>
          <w:szCs w:val="24"/>
          <w:lang w:val="en-US"/>
        </w:rPr>
        <w:t>Ltd</w:t>
      </w:r>
      <w:r w:rsidR="00073028" w:rsidRPr="00DD1B58">
        <w:rPr>
          <w:rFonts w:eastAsia="Arial"/>
          <w:szCs w:val="24"/>
          <w:lang w:val="en-US"/>
        </w:rPr>
        <w:t xml:space="preserve"> assumes that </w:t>
      </w:r>
      <w:r w:rsidRPr="00DD1B58">
        <w:rPr>
          <w:rFonts w:eastAsia="Arial"/>
          <w:szCs w:val="24"/>
          <w:lang w:val="en-US"/>
        </w:rPr>
        <w:t>SF</w:t>
      </w:r>
      <w:r w:rsidR="00073028" w:rsidRPr="00DD1B58">
        <w:rPr>
          <w:rFonts w:eastAsia="Arial"/>
          <w:szCs w:val="24"/>
          <w:lang w:val="en-US"/>
        </w:rPr>
        <w:t>s</w:t>
      </w:r>
      <w:r w:rsidRPr="00DD1B58">
        <w:rPr>
          <w:rFonts w:eastAsia="Arial"/>
          <w:szCs w:val="24"/>
          <w:lang w:val="en-US"/>
        </w:rPr>
        <w:t xml:space="preserve"> such as concrete, walls</w:t>
      </w:r>
      <w:r w:rsidR="00DD6593" w:rsidRPr="00DD1B58">
        <w:rPr>
          <w:rFonts w:eastAsia="Arial"/>
          <w:szCs w:val="24"/>
          <w:lang w:val="en-US"/>
        </w:rPr>
        <w:t xml:space="preserve"> and</w:t>
      </w:r>
      <w:r w:rsidRPr="00DD1B58">
        <w:rPr>
          <w:rFonts w:eastAsia="Arial"/>
          <w:szCs w:val="24"/>
          <w:lang w:val="en-US"/>
        </w:rPr>
        <w:t xml:space="preserve"> bunds </w:t>
      </w:r>
      <w:r w:rsidR="00073028" w:rsidRPr="00DD1B58">
        <w:rPr>
          <w:rFonts w:eastAsia="Arial"/>
          <w:szCs w:val="24"/>
          <w:lang w:val="en-US"/>
        </w:rPr>
        <w:t>are</w:t>
      </w:r>
      <w:r w:rsidRPr="00DD1B58">
        <w:rPr>
          <w:rFonts w:eastAsia="Arial"/>
          <w:szCs w:val="24"/>
          <w:lang w:val="en-US"/>
        </w:rPr>
        <w:t xml:space="preserve"> robust items that are inherently reliable and that are not likely to be threatened by fire. </w:t>
      </w:r>
      <w:r w:rsidR="00073028" w:rsidRPr="00DD1B58">
        <w:rPr>
          <w:rFonts w:eastAsia="Arial"/>
          <w:szCs w:val="24"/>
          <w:lang w:val="en-US"/>
        </w:rPr>
        <w:t>It nevertheless state</w:t>
      </w:r>
      <w:r w:rsidR="00583111" w:rsidRPr="00DD1B58">
        <w:rPr>
          <w:rFonts w:eastAsia="Arial"/>
          <w:szCs w:val="24"/>
          <w:lang w:val="en-US"/>
        </w:rPr>
        <w:t>s</w:t>
      </w:r>
      <w:r w:rsidR="00073028" w:rsidRPr="00DD1B58">
        <w:rPr>
          <w:rFonts w:eastAsia="Arial"/>
          <w:szCs w:val="24"/>
          <w:lang w:val="en-US"/>
        </w:rPr>
        <w:t xml:space="preserve"> that s</w:t>
      </w:r>
      <w:r w:rsidRPr="00DD1B58">
        <w:rPr>
          <w:rFonts w:eastAsia="Arial"/>
          <w:szCs w:val="24"/>
          <w:lang w:val="en-US"/>
        </w:rPr>
        <w:t xml:space="preserve">uch </w:t>
      </w:r>
      <w:r w:rsidR="00073028" w:rsidRPr="00DD1B58">
        <w:rPr>
          <w:rFonts w:eastAsia="Arial"/>
          <w:szCs w:val="24"/>
          <w:lang w:val="en-US"/>
        </w:rPr>
        <w:t>SFs</w:t>
      </w:r>
      <w:r w:rsidRPr="00DD1B58">
        <w:rPr>
          <w:rFonts w:eastAsia="Arial"/>
          <w:szCs w:val="24"/>
          <w:lang w:val="en-US"/>
        </w:rPr>
        <w:t xml:space="preserve"> are assessed during COSR reviews to confirm that they will still perform their safety function</w:t>
      </w:r>
      <w:r w:rsidR="001F57F2" w:rsidRPr="00DD1B58">
        <w:rPr>
          <w:rFonts w:eastAsia="Arial"/>
          <w:szCs w:val="24"/>
          <w:lang w:val="en-US"/>
        </w:rPr>
        <w:t>,</w:t>
      </w:r>
      <w:r w:rsidRPr="00DD1B58">
        <w:rPr>
          <w:rFonts w:eastAsia="Arial"/>
          <w:szCs w:val="24"/>
          <w:lang w:val="en-US"/>
        </w:rPr>
        <w:t xml:space="preserve"> </w:t>
      </w:r>
      <w:r w:rsidR="001F57F2" w:rsidRPr="00DD1B58">
        <w:rPr>
          <w:rFonts w:eastAsia="Arial"/>
          <w:szCs w:val="24"/>
          <w:lang w:val="en-US"/>
        </w:rPr>
        <w:t>for example</w:t>
      </w:r>
      <w:r w:rsidRPr="00DD1B58">
        <w:rPr>
          <w:rFonts w:eastAsia="Arial"/>
          <w:szCs w:val="24"/>
          <w:lang w:val="en-US"/>
        </w:rPr>
        <w:t>, fire loads do not exceed the designated fire resistance and</w:t>
      </w:r>
      <w:r w:rsidR="001F57F2" w:rsidRPr="00DD1B58">
        <w:rPr>
          <w:rFonts w:eastAsia="Arial"/>
          <w:szCs w:val="24"/>
          <w:lang w:val="en-US"/>
        </w:rPr>
        <w:t xml:space="preserve"> </w:t>
      </w:r>
      <w:r w:rsidRPr="00DD1B58">
        <w:rPr>
          <w:rFonts w:eastAsia="Arial"/>
          <w:szCs w:val="24"/>
          <w:lang w:val="en-US"/>
        </w:rPr>
        <w:t xml:space="preserve">there are no penetrations that could be </w:t>
      </w:r>
      <w:r w:rsidR="005F6C9C" w:rsidRPr="00DD1B58">
        <w:rPr>
          <w:rFonts w:eastAsia="Arial"/>
          <w:szCs w:val="24"/>
          <w:lang w:val="en-US"/>
        </w:rPr>
        <w:t xml:space="preserve">a </w:t>
      </w:r>
      <w:r w:rsidRPr="00DD1B58">
        <w:rPr>
          <w:rFonts w:eastAsia="Arial"/>
          <w:szCs w:val="24"/>
          <w:lang w:val="en-US"/>
        </w:rPr>
        <w:t>route for fire or smoke spread.</w:t>
      </w:r>
    </w:p>
    <w:p w14:paraId="6CF6B0F6" w14:textId="76A7F4DA" w:rsidR="73201B07" w:rsidRPr="00DD1B58" w:rsidRDefault="00073028" w:rsidP="6C4D33C6">
      <w:pPr>
        <w:rPr>
          <w:rFonts w:eastAsia="Arial"/>
          <w:szCs w:val="24"/>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B32C1A" w:rsidRPr="00DD1B58">
        <w:rPr>
          <w:rFonts w:eastAsia="Arial"/>
          <w:szCs w:val="24"/>
          <w:lang w:val="en-US"/>
        </w:rPr>
        <w:t>s</w:t>
      </w:r>
      <w:r w:rsidRPr="00DD1B58">
        <w:rPr>
          <w:rFonts w:eastAsia="Arial"/>
          <w:szCs w:val="24"/>
          <w:lang w:val="en-US"/>
        </w:rPr>
        <w:t xml:space="preserve"> that d</w:t>
      </w:r>
      <w:r w:rsidR="73201B07" w:rsidRPr="00DD1B58">
        <w:rPr>
          <w:rFonts w:eastAsia="Arial"/>
          <w:szCs w:val="24"/>
          <w:lang w:val="en-US"/>
        </w:rPr>
        <w:t>amage</w:t>
      </w:r>
      <w:r w:rsidR="005F6C9C" w:rsidRPr="00DD1B58">
        <w:rPr>
          <w:rFonts w:eastAsia="Arial"/>
          <w:szCs w:val="24"/>
          <w:lang w:val="en-US"/>
        </w:rPr>
        <w:t xml:space="preserve"> or</w:t>
      </w:r>
      <w:r w:rsidR="73201B07" w:rsidRPr="00DD1B58">
        <w:rPr>
          <w:rFonts w:eastAsia="Arial"/>
          <w:szCs w:val="24"/>
          <w:lang w:val="en-US"/>
        </w:rPr>
        <w:t xml:space="preserve"> failure of safety measures such as safety mechanisms that comprise electrical cabling is assessed using NRC fire assessment guidance </w:t>
      </w:r>
      <w:sdt>
        <w:sdtPr>
          <w:rPr>
            <w:rFonts w:eastAsia="Arial"/>
            <w:szCs w:val="24"/>
            <w:lang w:val="en-US"/>
          </w:rPr>
          <w:id w:val="375743328"/>
          <w:citation/>
        </w:sdtPr>
        <w:sdtContent>
          <w:r w:rsidR="002D7E5F" w:rsidRPr="00DD1B58">
            <w:rPr>
              <w:rFonts w:eastAsia="Arial"/>
              <w:szCs w:val="24"/>
              <w:lang w:val="en-US"/>
            </w:rPr>
            <w:fldChar w:fldCharType="begin"/>
          </w:r>
          <w:r w:rsidR="002D7E5F" w:rsidRPr="00DD1B58">
            <w:rPr>
              <w:rFonts w:eastAsia="Arial"/>
              <w:szCs w:val="24"/>
              <w:lang w:val="en-US"/>
            </w:rPr>
            <w:instrText xml:space="preserve"> CITATION Uni2 \l 2057 </w:instrText>
          </w:r>
          <w:r w:rsidR="002D7E5F" w:rsidRPr="00DD1B58">
            <w:rPr>
              <w:rFonts w:eastAsia="Arial"/>
              <w:szCs w:val="24"/>
              <w:lang w:val="en-US"/>
            </w:rPr>
            <w:fldChar w:fldCharType="separate"/>
          </w:r>
          <w:r w:rsidR="00DF47DA" w:rsidRPr="00DF47DA">
            <w:rPr>
              <w:rFonts w:eastAsia="Arial"/>
              <w:noProof/>
              <w:szCs w:val="24"/>
              <w:lang w:val="en-US"/>
            </w:rPr>
            <w:t>[79]</w:t>
          </w:r>
          <w:r w:rsidR="002D7E5F" w:rsidRPr="00DD1B58">
            <w:rPr>
              <w:rFonts w:eastAsia="Arial"/>
              <w:szCs w:val="24"/>
              <w:lang w:val="en-US"/>
            </w:rPr>
            <w:fldChar w:fldCharType="end"/>
          </w:r>
        </w:sdtContent>
      </w:sdt>
      <w:r w:rsidR="00614698" w:rsidRPr="00DD1B58">
        <w:rPr>
          <w:rFonts w:eastAsia="Arial"/>
          <w:szCs w:val="24"/>
          <w:lang w:val="en-US"/>
        </w:rPr>
        <w:t xml:space="preserve"> </w:t>
      </w:r>
      <w:r w:rsidR="73201B07" w:rsidRPr="00DD1B58">
        <w:rPr>
          <w:rFonts w:eastAsia="Arial"/>
          <w:szCs w:val="24"/>
          <w:lang w:val="en-US"/>
        </w:rPr>
        <w:t>for nuclear power stations</w:t>
      </w:r>
      <w:r w:rsidR="00614698" w:rsidRPr="00DD1B58">
        <w:rPr>
          <w:rFonts w:eastAsia="Arial"/>
          <w:szCs w:val="24"/>
          <w:lang w:val="en-US"/>
        </w:rPr>
        <w:t xml:space="preserve">, </w:t>
      </w:r>
      <w:r w:rsidR="73201B07" w:rsidRPr="00DD1B58">
        <w:rPr>
          <w:rFonts w:eastAsia="Arial"/>
          <w:szCs w:val="24"/>
          <w:lang w:val="en-US"/>
        </w:rPr>
        <w:t xml:space="preserve">which provides vulnerability criteria for cables of both thermoplastic and thermosetting insulation type. </w:t>
      </w: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determines o</w:t>
      </w:r>
      <w:r w:rsidR="73201B07" w:rsidRPr="00DD1B58">
        <w:rPr>
          <w:rFonts w:eastAsia="Arial"/>
          <w:szCs w:val="24"/>
          <w:lang w:val="en-US"/>
        </w:rPr>
        <w:t xml:space="preserve">ther thresholds using publications such as an EPRI publication </w:t>
      </w:r>
      <w:sdt>
        <w:sdtPr>
          <w:rPr>
            <w:rFonts w:eastAsia="Arial"/>
            <w:szCs w:val="24"/>
            <w:lang w:val="en-US"/>
          </w:rPr>
          <w:id w:val="-643497649"/>
          <w:citation/>
        </w:sdtPr>
        <w:sdtContent>
          <w:r w:rsidR="00286223" w:rsidRPr="00DD1B58">
            <w:rPr>
              <w:rFonts w:eastAsia="Arial"/>
              <w:szCs w:val="24"/>
              <w:lang w:val="en-US"/>
            </w:rPr>
            <w:fldChar w:fldCharType="begin"/>
          </w:r>
          <w:r w:rsidR="00286223" w:rsidRPr="00DD1B58">
            <w:rPr>
              <w:rFonts w:eastAsia="Arial"/>
              <w:szCs w:val="24"/>
              <w:lang w:val="en-US"/>
            </w:rPr>
            <w:instrText xml:space="preserve"> CITATION Met \l 2057 </w:instrText>
          </w:r>
          <w:r w:rsidR="00286223" w:rsidRPr="00DD1B58">
            <w:rPr>
              <w:rFonts w:eastAsia="Arial"/>
              <w:szCs w:val="24"/>
              <w:lang w:val="en-US"/>
            </w:rPr>
            <w:fldChar w:fldCharType="separate"/>
          </w:r>
          <w:r w:rsidR="00DF47DA" w:rsidRPr="00DF47DA">
            <w:rPr>
              <w:rFonts w:eastAsia="Arial"/>
              <w:noProof/>
              <w:szCs w:val="24"/>
              <w:lang w:val="en-US"/>
            </w:rPr>
            <w:t>[80]</w:t>
          </w:r>
          <w:r w:rsidR="00286223" w:rsidRPr="00DD1B58">
            <w:rPr>
              <w:rFonts w:eastAsia="Arial"/>
              <w:szCs w:val="24"/>
              <w:lang w:val="en-US"/>
            </w:rPr>
            <w:fldChar w:fldCharType="end"/>
          </w:r>
        </w:sdtContent>
      </w:sdt>
      <w:r w:rsidR="00614698" w:rsidRPr="00DD1B58">
        <w:rPr>
          <w:rFonts w:eastAsia="Arial"/>
          <w:szCs w:val="24"/>
          <w:lang w:val="en-US"/>
        </w:rPr>
        <w:t xml:space="preserve">, </w:t>
      </w:r>
      <w:r w:rsidR="73201B07" w:rsidRPr="00DD1B58">
        <w:rPr>
          <w:rFonts w:eastAsia="Arial"/>
          <w:szCs w:val="24"/>
          <w:lang w:val="en-US"/>
        </w:rPr>
        <w:t>which provides simplified fire hazard analysis methods developed as part of the risk-based fire</w:t>
      </w:r>
      <w:r w:rsidR="003D7E70" w:rsidRPr="00DD1B58">
        <w:rPr>
          <w:rFonts w:eastAsia="Arial"/>
          <w:szCs w:val="24"/>
          <w:lang w:val="en-US"/>
        </w:rPr>
        <w:t>-</w:t>
      </w:r>
      <w:r w:rsidR="73201B07" w:rsidRPr="00DD1B58">
        <w:rPr>
          <w:rFonts w:eastAsia="Arial"/>
          <w:szCs w:val="24"/>
          <w:lang w:val="en-US"/>
        </w:rPr>
        <w:t xml:space="preserve">induced vulnerability evaluation </w:t>
      </w:r>
      <w:r w:rsidR="005F6C9C" w:rsidRPr="00DD1B58">
        <w:rPr>
          <w:rFonts w:eastAsia="Arial"/>
          <w:szCs w:val="24"/>
          <w:lang w:val="en-US"/>
        </w:rPr>
        <w:t>(FIVE)</w:t>
      </w:r>
      <w:r w:rsidR="73201B07" w:rsidRPr="00DD1B58">
        <w:rPr>
          <w:rFonts w:eastAsia="Arial"/>
          <w:szCs w:val="24"/>
          <w:lang w:val="en-US"/>
        </w:rPr>
        <w:t xml:space="preserve"> methodology for nuclear power plants. </w:t>
      </w:r>
      <w:r w:rsidR="004B69AB" w:rsidRPr="00DD1B58">
        <w:rPr>
          <w:rFonts w:eastAsia="Arial"/>
          <w:szCs w:val="24"/>
          <w:lang w:val="en-US"/>
        </w:rPr>
        <w:t xml:space="preserve">Springfields Fuels </w:t>
      </w:r>
      <w:r w:rsidR="00BF0D1B" w:rsidRPr="00DD1B58">
        <w:rPr>
          <w:rFonts w:eastAsia="Arial"/>
          <w:szCs w:val="24"/>
          <w:lang w:val="en-US"/>
        </w:rPr>
        <w:t>Ltd</w:t>
      </w:r>
      <w:r w:rsidR="004B69AB" w:rsidRPr="00DD1B58">
        <w:rPr>
          <w:rFonts w:eastAsia="Arial"/>
          <w:szCs w:val="24"/>
          <w:lang w:val="en-US"/>
        </w:rPr>
        <w:t xml:space="preserve"> considers that t</w:t>
      </w:r>
      <w:r w:rsidR="73201B07" w:rsidRPr="00DD1B58">
        <w:rPr>
          <w:rFonts w:eastAsia="Arial"/>
          <w:szCs w:val="24"/>
          <w:lang w:val="en-US"/>
        </w:rPr>
        <w:t xml:space="preserve">hese fire hazard analyses allow </w:t>
      </w:r>
      <w:r w:rsidR="004B69AB" w:rsidRPr="00DD1B58">
        <w:rPr>
          <w:rFonts w:eastAsia="Arial"/>
          <w:szCs w:val="24"/>
          <w:lang w:val="en-US"/>
        </w:rPr>
        <w:t xml:space="preserve">a </w:t>
      </w:r>
      <w:r w:rsidR="73201B07" w:rsidRPr="00DD1B58">
        <w:rPr>
          <w:rFonts w:eastAsia="Arial"/>
          <w:szCs w:val="24"/>
          <w:lang w:val="en-US"/>
        </w:rPr>
        <w:t>conservative evaluation of the potential for credible exposure fires to cause critical damage to essential safe-shutdown equipment and thereby screen from further analysis spaces where a significant fire hazard does not exist</w:t>
      </w:r>
      <w:r w:rsidR="005821B6" w:rsidRPr="00DD1B58">
        <w:rPr>
          <w:rFonts w:eastAsia="Arial"/>
          <w:szCs w:val="24"/>
          <w:lang w:val="en-US"/>
        </w:rPr>
        <w:t>.</w:t>
      </w:r>
    </w:p>
    <w:p w14:paraId="4EEFADB9" w14:textId="0312B5D6" w:rsidR="73201B07" w:rsidRPr="00DD1B58" w:rsidRDefault="004B69AB"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has not used </w:t>
      </w:r>
      <w:r w:rsidR="73201B07" w:rsidRPr="00DD1B58">
        <w:rPr>
          <w:rFonts w:eastAsia="Arial"/>
          <w:szCs w:val="24"/>
          <w:lang w:val="en-US"/>
        </w:rPr>
        <w:t xml:space="preserve">CFD models or zone models </w:t>
      </w:r>
      <w:r w:rsidRPr="00DD1B58">
        <w:rPr>
          <w:rFonts w:eastAsia="Arial"/>
          <w:szCs w:val="24"/>
          <w:lang w:val="en-US"/>
        </w:rPr>
        <w:t>at the</w:t>
      </w:r>
      <w:r w:rsidR="73201B07" w:rsidRPr="00DD1B58">
        <w:rPr>
          <w:rFonts w:eastAsia="Arial"/>
          <w:szCs w:val="24"/>
          <w:lang w:val="en-US"/>
        </w:rPr>
        <w:t xml:space="preserve"> site</w:t>
      </w:r>
      <w:r w:rsidR="00371CDD" w:rsidRPr="00DD1B58">
        <w:rPr>
          <w:rFonts w:eastAsia="Arial"/>
          <w:szCs w:val="24"/>
          <w:lang w:val="en-US"/>
        </w:rPr>
        <w:t>,</w:t>
      </w:r>
      <w:r w:rsidR="73201B07" w:rsidRPr="00DD1B58">
        <w:rPr>
          <w:rFonts w:eastAsia="Arial"/>
          <w:szCs w:val="24"/>
          <w:lang w:val="en-US"/>
        </w:rPr>
        <w:t xml:space="preserve"> </w:t>
      </w:r>
      <w:r w:rsidR="00371CDD" w:rsidRPr="00DD1B58">
        <w:rPr>
          <w:rFonts w:eastAsia="Arial"/>
          <w:szCs w:val="24"/>
          <w:lang w:val="en-US"/>
        </w:rPr>
        <w:t xml:space="preserve">and </w:t>
      </w:r>
      <w:r w:rsidRPr="00DD1B58">
        <w:rPr>
          <w:rFonts w:eastAsia="Arial"/>
          <w:szCs w:val="24"/>
          <w:lang w:val="en-US"/>
        </w:rPr>
        <w:t>takes a d</w:t>
      </w:r>
      <w:r w:rsidR="73201B07" w:rsidRPr="00DD1B58">
        <w:rPr>
          <w:rFonts w:eastAsia="Arial"/>
          <w:szCs w:val="24"/>
          <w:lang w:val="en-US"/>
        </w:rPr>
        <w:t xml:space="preserve">eterministic approach based on an adequate level of passive fire protection to contain the worst foreseeable fire. NUREG spreadsheets and hand calculations such as those in the SFPE </w:t>
      </w:r>
      <w:r w:rsidR="00371CDD" w:rsidRPr="00DD1B58">
        <w:rPr>
          <w:rFonts w:eastAsia="Arial"/>
          <w:szCs w:val="24"/>
          <w:lang w:val="en-US"/>
        </w:rPr>
        <w:t>h</w:t>
      </w:r>
      <w:r w:rsidR="73201B07" w:rsidRPr="00DD1B58">
        <w:rPr>
          <w:rFonts w:eastAsia="Arial"/>
          <w:szCs w:val="24"/>
          <w:lang w:val="en-US"/>
        </w:rPr>
        <w:t>andbook</w:t>
      </w:r>
      <w:r w:rsidR="00371CDD" w:rsidRPr="00DD1B58">
        <w:rPr>
          <w:rFonts w:eastAsia="Arial"/>
          <w:szCs w:val="24"/>
          <w:lang w:val="en-US"/>
        </w:rPr>
        <w:t>,</w:t>
      </w:r>
      <w:r w:rsidR="73201B07" w:rsidRPr="00DD1B58">
        <w:rPr>
          <w:rFonts w:eastAsia="Arial"/>
          <w:szCs w:val="24"/>
          <w:lang w:val="en-US"/>
        </w:rPr>
        <w:t xml:space="preserve"> </w:t>
      </w:r>
      <w:r w:rsidR="00371CDD" w:rsidRPr="00DD1B58">
        <w:rPr>
          <w:rFonts w:eastAsia="Arial"/>
          <w:szCs w:val="24"/>
          <w:lang w:val="en-US"/>
        </w:rPr>
        <w:t>‘</w:t>
      </w:r>
      <w:r w:rsidR="73201B07" w:rsidRPr="00DD1B58">
        <w:rPr>
          <w:rFonts w:eastAsia="Arial"/>
          <w:szCs w:val="24"/>
          <w:lang w:val="en-US"/>
        </w:rPr>
        <w:t>Introduction to Fire Dynamics or Structural Eurocodes</w:t>
      </w:r>
      <w:r w:rsidR="00371CDD" w:rsidRPr="00DD1B58">
        <w:rPr>
          <w:rFonts w:eastAsia="Arial"/>
          <w:szCs w:val="24"/>
          <w:lang w:val="en-US"/>
        </w:rPr>
        <w:t>’</w:t>
      </w:r>
      <w:r w:rsidR="73201B07" w:rsidRPr="00DD1B58">
        <w:rPr>
          <w:rFonts w:eastAsia="Arial"/>
          <w:szCs w:val="24"/>
          <w:lang w:val="en-US"/>
        </w:rPr>
        <w:t xml:space="preserve"> are examples of </w:t>
      </w:r>
      <w:r w:rsidR="008101F7" w:rsidRPr="00DD1B58">
        <w:rPr>
          <w:rFonts w:eastAsia="Arial"/>
          <w:szCs w:val="24"/>
          <w:lang w:val="en-US"/>
        </w:rPr>
        <w:t xml:space="preserve">methods </w:t>
      </w:r>
      <w:r w:rsidR="73201B07" w:rsidRPr="00DD1B58">
        <w:rPr>
          <w:rFonts w:eastAsia="Arial"/>
          <w:szCs w:val="24"/>
          <w:lang w:val="en-US"/>
        </w:rPr>
        <w:t xml:space="preserve">used </w:t>
      </w:r>
      <w:r w:rsidR="008101F7" w:rsidRPr="00DD1B58">
        <w:rPr>
          <w:rFonts w:eastAsia="Arial"/>
          <w:szCs w:val="24"/>
          <w:lang w:val="en-US"/>
        </w:rPr>
        <w:t>to calculate</w:t>
      </w:r>
      <w:r w:rsidR="73201B07" w:rsidRPr="00DD1B58">
        <w:rPr>
          <w:rFonts w:eastAsia="Arial"/>
          <w:szCs w:val="24"/>
          <w:lang w:val="en-US"/>
        </w:rPr>
        <w:t xml:space="preserve"> hazards such as pool fires and the effect of radiant heat flux on exposed equipment, building structures or inventories such as </w:t>
      </w:r>
      <w:r w:rsidR="00371CDD" w:rsidRPr="00DD1B58">
        <w:rPr>
          <w:rFonts w:eastAsia="Arial"/>
          <w:szCs w:val="24"/>
          <w:lang w:val="en-US"/>
        </w:rPr>
        <w:t>u</w:t>
      </w:r>
      <w:r w:rsidR="73201B07" w:rsidRPr="00DD1B58">
        <w:rPr>
          <w:rFonts w:eastAsia="Arial"/>
          <w:szCs w:val="24"/>
          <w:lang w:val="en-US"/>
        </w:rPr>
        <w:t xml:space="preserve">ranium </w:t>
      </w:r>
      <w:r w:rsidR="00371CDD" w:rsidRPr="00DD1B58">
        <w:rPr>
          <w:rFonts w:eastAsia="Arial"/>
          <w:szCs w:val="24"/>
          <w:lang w:val="en-US"/>
        </w:rPr>
        <w:t>h</w:t>
      </w:r>
      <w:r w:rsidR="73201B07" w:rsidRPr="00DD1B58">
        <w:rPr>
          <w:rFonts w:eastAsia="Arial"/>
          <w:szCs w:val="24"/>
          <w:lang w:val="en-US"/>
        </w:rPr>
        <w:t xml:space="preserve">exafluoride </w:t>
      </w:r>
      <w:r w:rsidR="00076E5B" w:rsidRPr="00DD1B58">
        <w:rPr>
          <w:rFonts w:eastAsia="Arial"/>
          <w:szCs w:val="24"/>
          <w:lang w:val="en-US"/>
        </w:rPr>
        <w:t>(hex)</w:t>
      </w:r>
      <w:r w:rsidR="73201B07" w:rsidRPr="00DD1B58">
        <w:rPr>
          <w:rFonts w:eastAsia="Arial"/>
          <w:szCs w:val="24"/>
          <w:lang w:val="en-US"/>
        </w:rPr>
        <w:t xml:space="preserve"> cylinders.</w:t>
      </w:r>
    </w:p>
    <w:p w14:paraId="5BE882D3" w14:textId="7FD68850" w:rsidR="73201B07" w:rsidRPr="00DD1B58" w:rsidRDefault="73201B07" w:rsidP="6C4D33C6">
      <w:pPr>
        <w:rPr>
          <w:lang w:val="en-US"/>
        </w:rPr>
      </w:pPr>
      <w:r w:rsidRPr="00DD1B58">
        <w:rPr>
          <w:rFonts w:eastAsia="Arial"/>
          <w:szCs w:val="24"/>
          <w:lang w:val="en-US"/>
        </w:rPr>
        <w:t>Key sources of data are site</w:t>
      </w:r>
      <w:r w:rsidR="007807F6" w:rsidRPr="00DD1B58">
        <w:rPr>
          <w:rFonts w:eastAsia="Arial"/>
          <w:szCs w:val="24"/>
          <w:lang w:val="en-US"/>
        </w:rPr>
        <w:t>-</w:t>
      </w:r>
      <w:r w:rsidRPr="00DD1B58">
        <w:rPr>
          <w:rFonts w:eastAsia="Arial"/>
          <w:szCs w:val="24"/>
          <w:lang w:val="en-US"/>
        </w:rPr>
        <w:t>specific flammable inventories for pool fires and fire loading calculations for assessing structural fire resistance (e.g., structural steel and fire compartment boundaries).</w:t>
      </w:r>
    </w:p>
    <w:p w14:paraId="01EFB2B8" w14:textId="0E2FB88B" w:rsidR="73201B07" w:rsidRPr="00DD1B58" w:rsidRDefault="73201B07" w:rsidP="6C4D33C6">
      <w:pPr>
        <w:rPr>
          <w:lang w:val="en-US"/>
        </w:rPr>
      </w:pPr>
      <w:r w:rsidRPr="00DD1B58">
        <w:rPr>
          <w:rFonts w:eastAsia="Arial"/>
          <w:szCs w:val="24"/>
          <w:lang w:val="en-US"/>
        </w:rPr>
        <w:t>Springfields</w:t>
      </w:r>
      <w:r w:rsidR="00155920" w:rsidRPr="00DD1B58">
        <w:rPr>
          <w:rFonts w:eastAsia="Arial"/>
          <w:szCs w:val="24"/>
          <w:lang w:val="en-US"/>
        </w:rPr>
        <w:t xml:space="preserve"> Fuels </w:t>
      </w:r>
      <w:r w:rsidR="00BF0D1B" w:rsidRPr="00DD1B58">
        <w:rPr>
          <w:rFonts w:eastAsia="Arial"/>
          <w:szCs w:val="24"/>
          <w:lang w:val="en-US"/>
        </w:rPr>
        <w:t>Ltd</w:t>
      </w:r>
      <w:r w:rsidRPr="00DD1B58">
        <w:rPr>
          <w:rFonts w:eastAsia="Arial"/>
          <w:szCs w:val="24"/>
          <w:lang w:val="en-US"/>
        </w:rPr>
        <w:t xml:space="preserve"> does not generally quantify consequences from fires specifically. Instead, the potential for fire as an initiator for faults is considered elsewhere in the analysis to demonstrate the contribution to risk is low</w:t>
      </w:r>
      <w:r w:rsidR="0006098E" w:rsidRPr="00DD1B58">
        <w:rPr>
          <w:rFonts w:eastAsia="Arial"/>
          <w:szCs w:val="24"/>
          <w:lang w:val="en-US"/>
        </w:rPr>
        <w:t>.</w:t>
      </w:r>
      <w:r w:rsidR="0006098E" w:rsidRPr="00DD1B58">
        <w:rPr>
          <w:lang w:val="en-US"/>
        </w:rPr>
        <w:t xml:space="preserve"> </w:t>
      </w:r>
      <w:r w:rsidRPr="00DD1B58">
        <w:rPr>
          <w:rFonts w:eastAsia="Arial"/>
          <w:szCs w:val="24"/>
          <w:lang w:val="en-US"/>
        </w:rPr>
        <w:t>Typically, worst case scenarios are considered</w:t>
      </w:r>
      <w:r w:rsidR="00076E5B" w:rsidRPr="00DD1B58">
        <w:rPr>
          <w:rFonts w:eastAsia="Arial"/>
          <w:szCs w:val="24"/>
          <w:lang w:val="en-US"/>
        </w:rPr>
        <w:t>, for example,</w:t>
      </w:r>
      <w:r w:rsidRPr="00DD1B58">
        <w:rPr>
          <w:rFonts w:eastAsia="Arial"/>
          <w:szCs w:val="24"/>
          <w:lang w:val="en-US"/>
        </w:rPr>
        <w:t xml:space="preserve"> tanks and vessels are assumed to contain 100% inventory. Calculations concerning </w:t>
      </w:r>
      <w:r w:rsidR="00076E5B" w:rsidRPr="00DD1B58">
        <w:rPr>
          <w:rFonts w:eastAsia="Arial"/>
          <w:szCs w:val="24"/>
          <w:lang w:val="en-US"/>
        </w:rPr>
        <w:t>h</w:t>
      </w:r>
      <w:r w:rsidRPr="00DD1B58">
        <w:rPr>
          <w:rFonts w:eastAsia="Arial"/>
          <w:szCs w:val="24"/>
          <w:lang w:val="en-US"/>
        </w:rPr>
        <w:t>ex cylinders and time to rupture assume a full cylinder.</w:t>
      </w:r>
    </w:p>
    <w:p w14:paraId="63A7FD0E" w14:textId="5AF332A5" w:rsidR="73201B07" w:rsidRPr="00DD1B58" w:rsidRDefault="73201B07" w:rsidP="6C4D33C6">
      <w:pPr>
        <w:rPr>
          <w:lang w:val="en-US"/>
        </w:rPr>
      </w:pPr>
      <w:r w:rsidRPr="00DD1B58">
        <w:rPr>
          <w:rFonts w:eastAsia="Arial"/>
          <w:szCs w:val="24"/>
          <w:lang w:val="en-US"/>
        </w:rPr>
        <w:t xml:space="preserve">Within the </w:t>
      </w:r>
      <w:r w:rsidR="00076E5B" w:rsidRPr="00DD1B58">
        <w:rPr>
          <w:rFonts w:eastAsia="Arial"/>
          <w:szCs w:val="24"/>
          <w:lang w:val="en-US"/>
        </w:rPr>
        <w:t>s</w:t>
      </w:r>
      <w:r w:rsidRPr="00DD1B58">
        <w:rPr>
          <w:rFonts w:eastAsia="Arial"/>
          <w:szCs w:val="24"/>
          <w:lang w:val="en-US"/>
        </w:rPr>
        <w:t xml:space="preserve">afety </w:t>
      </w:r>
      <w:r w:rsidR="00076E5B" w:rsidRPr="00DD1B58">
        <w:rPr>
          <w:rFonts w:eastAsia="Arial"/>
          <w:szCs w:val="24"/>
          <w:lang w:val="en-US"/>
        </w:rPr>
        <w:t>c</w:t>
      </w:r>
      <w:r w:rsidRPr="00DD1B58">
        <w:rPr>
          <w:rFonts w:eastAsia="Arial"/>
          <w:szCs w:val="24"/>
          <w:lang w:val="en-US"/>
        </w:rPr>
        <w:t xml:space="preserve">ases, Springfields </w:t>
      </w:r>
      <w:r w:rsidR="00155920" w:rsidRPr="00DD1B58">
        <w:rPr>
          <w:rFonts w:eastAsia="Arial"/>
          <w:szCs w:val="24"/>
          <w:lang w:val="en-US"/>
        </w:rPr>
        <w:t xml:space="preserve">Fuels </w:t>
      </w:r>
      <w:r w:rsidR="00BF0D1B" w:rsidRPr="00DD1B58">
        <w:rPr>
          <w:rFonts w:eastAsia="Arial"/>
          <w:szCs w:val="24"/>
          <w:lang w:val="en-US"/>
        </w:rPr>
        <w:t>Ltd</w:t>
      </w:r>
      <w:r w:rsidR="00155920" w:rsidRPr="00DD1B58">
        <w:rPr>
          <w:rFonts w:eastAsia="Arial"/>
          <w:szCs w:val="24"/>
          <w:lang w:val="en-US"/>
        </w:rPr>
        <w:t xml:space="preserve"> </w:t>
      </w:r>
      <w:r w:rsidRPr="00DD1B58">
        <w:rPr>
          <w:rFonts w:eastAsia="Arial"/>
          <w:szCs w:val="24"/>
          <w:lang w:val="en-US"/>
        </w:rPr>
        <w:t>use</w:t>
      </w:r>
      <w:r w:rsidR="00155920" w:rsidRPr="00DD1B58">
        <w:rPr>
          <w:rFonts w:eastAsia="Arial"/>
          <w:szCs w:val="24"/>
          <w:lang w:val="en-US"/>
        </w:rPr>
        <w:t>s</w:t>
      </w:r>
      <w:r w:rsidRPr="00DD1B58">
        <w:rPr>
          <w:rFonts w:eastAsia="Arial"/>
          <w:szCs w:val="24"/>
          <w:lang w:val="en-US"/>
        </w:rPr>
        <w:t xml:space="preserve"> a bespoke dispersion modelling model called ASTRA to determine doses to the most exposed individuals. This was originally developed for BNFL, but </w:t>
      </w:r>
      <w:r w:rsidR="00155920" w:rsidRPr="00DD1B58">
        <w:rPr>
          <w:rFonts w:eastAsia="Arial"/>
          <w:szCs w:val="24"/>
          <w:lang w:val="en-US"/>
        </w:rPr>
        <w:t>Springfields Fuels Ltd</w:t>
      </w:r>
      <w:r w:rsidR="00155920" w:rsidRPr="00DD1B58" w:rsidDel="00155920">
        <w:rPr>
          <w:rFonts w:eastAsia="Arial"/>
          <w:szCs w:val="24"/>
          <w:lang w:val="en-US"/>
        </w:rPr>
        <w:t xml:space="preserve"> </w:t>
      </w:r>
      <w:r w:rsidRPr="00DD1B58">
        <w:rPr>
          <w:rFonts w:eastAsia="Arial"/>
          <w:szCs w:val="24"/>
          <w:lang w:val="en-US"/>
        </w:rPr>
        <w:t>ha</w:t>
      </w:r>
      <w:r w:rsidR="00505799" w:rsidRPr="00DD1B58">
        <w:rPr>
          <w:rFonts w:eastAsia="Arial"/>
          <w:szCs w:val="24"/>
          <w:lang w:val="en-US"/>
        </w:rPr>
        <w:t>s</w:t>
      </w:r>
      <w:r w:rsidRPr="00DD1B58">
        <w:rPr>
          <w:rFonts w:eastAsia="Arial"/>
          <w:szCs w:val="24"/>
          <w:lang w:val="en-US"/>
        </w:rPr>
        <w:t xml:space="preserve"> a version specifically designed and underpinned with Springfields</w:t>
      </w:r>
      <w:r w:rsidR="008918DF" w:rsidRPr="00DD1B58">
        <w:rPr>
          <w:rFonts w:eastAsia="Arial"/>
          <w:szCs w:val="24"/>
          <w:lang w:val="en-US"/>
        </w:rPr>
        <w:t>’ site-</w:t>
      </w:r>
      <w:r w:rsidRPr="00DD1B58">
        <w:rPr>
          <w:rFonts w:eastAsia="Arial"/>
          <w:szCs w:val="24"/>
          <w:lang w:val="en-US"/>
        </w:rPr>
        <w:t>specific meteorological data</w:t>
      </w:r>
      <w:r w:rsidR="009A38AA" w:rsidRPr="00DD1B58">
        <w:rPr>
          <w:rFonts w:eastAsia="Arial"/>
          <w:szCs w:val="24"/>
          <w:lang w:val="en-US"/>
        </w:rPr>
        <w:t>.</w:t>
      </w:r>
      <w:r w:rsidRPr="00DD1B58">
        <w:rPr>
          <w:rFonts w:eastAsia="Arial"/>
          <w:szCs w:val="24"/>
          <w:lang w:val="en-US"/>
        </w:rPr>
        <w:t xml:space="preserve"> It uses a methodology referred to as the R91 model.</w:t>
      </w:r>
      <w:r w:rsidR="0006098E" w:rsidRPr="00DD1B58">
        <w:rPr>
          <w:lang w:val="en-US"/>
        </w:rPr>
        <w:t xml:space="preserve"> </w:t>
      </w:r>
      <w:r w:rsidRPr="00DD1B58">
        <w:rPr>
          <w:rFonts w:eastAsia="Arial"/>
          <w:szCs w:val="24"/>
          <w:lang w:val="en-US"/>
        </w:rPr>
        <w:t>When scaling for specific releases rather than generic baselines, Springfields</w:t>
      </w:r>
      <w:r w:rsidR="008918DF" w:rsidRPr="00DD1B58">
        <w:rPr>
          <w:rFonts w:eastAsia="Arial"/>
          <w:szCs w:val="24"/>
          <w:lang w:val="en-US"/>
        </w:rPr>
        <w:t xml:space="preserve"> Fuels </w:t>
      </w:r>
      <w:r w:rsidR="00BF0D1B" w:rsidRPr="00DD1B58">
        <w:rPr>
          <w:rFonts w:eastAsia="Arial"/>
          <w:szCs w:val="24"/>
          <w:lang w:val="en-US"/>
        </w:rPr>
        <w:t>Ltd</w:t>
      </w:r>
      <w:r w:rsidRPr="00DD1B58">
        <w:rPr>
          <w:rFonts w:eastAsia="Arial"/>
          <w:szCs w:val="24"/>
          <w:lang w:val="en-US"/>
        </w:rPr>
        <w:t xml:space="preserve"> use</w:t>
      </w:r>
      <w:r w:rsidR="00505799" w:rsidRPr="00DD1B58">
        <w:rPr>
          <w:rFonts w:eastAsia="Arial"/>
          <w:szCs w:val="24"/>
          <w:lang w:val="en-US"/>
        </w:rPr>
        <w:t>s</w:t>
      </w:r>
      <w:r w:rsidRPr="00DD1B58">
        <w:rPr>
          <w:rFonts w:eastAsia="Arial"/>
          <w:szCs w:val="24"/>
          <w:lang w:val="en-US"/>
        </w:rPr>
        <w:t xml:space="preserve"> Release Fractions and Decontamination Factors from a database currently managed by Sellafield on behalf of the NDA.</w:t>
      </w:r>
    </w:p>
    <w:p w14:paraId="3EA3F57A" w14:textId="77777777" w:rsidR="58DEEEDE" w:rsidRPr="00DD1B58" w:rsidRDefault="58DEEEDE" w:rsidP="006A33CD">
      <w:pPr>
        <w:rPr>
          <w:b/>
          <w:szCs w:val="24"/>
          <w:lang w:val="en-US"/>
        </w:rPr>
      </w:pPr>
      <w:r w:rsidRPr="00DD1B58">
        <w:rPr>
          <w:b/>
          <w:lang w:val="en-US"/>
        </w:rPr>
        <w:t>Fire loading</w:t>
      </w:r>
    </w:p>
    <w:p w14:paraId="330D2FAC" w14:textId="2D539318" w:rsidR="7E7D9A05" w:rsidRPr="00DD1B58" w:rsidRDefault="008918DF" w:rsidP="6C4D33C6">
      <w:pPr>
        <w:rPr>
          <w:lang w:val="en-US"/>
        </w:rPr>
      </w:pPr>
      <w:r w:rsidRPr="00DD1B58">
        <w:rPr>
          <w:rFonts w:eastAsia="Arial"/>
          <w:szCs w:val="24"/>
          <w:lang w:val="en-US"/>
        </w:rPr>
        <w:t>Springfields Fuels Ltd carries out f</w:t>
      </w:r>
      <w:r w:rsidR="7E7D9A05" w:rsidRPr="00DD1B58">
        <w:rPr>
          <w:rFonts w:eastAsia="Arial"/>
          <w:szCs w:val="24"/>
          <w:lang w:val="en-US"/>
        </w:rPr>
        <w:t xml:space="preserve">ire load quantification using the principles in BS EN 1991-1-2 Eurocode </w:t>
      </w:r>
      <w:sdt>
        <w:sdtPr>
          <w:rPr>
            <w:rFonts w:eastAsia="Arial"/>
            <w:szCs w:val="24"/>
            <w:lang w:val="en-US"/>
          </w:rPr>
          <w:id w:val="593446334"/>
          <w:citation/>
        </w:sdtPr>
        <w:sdtContent>
          <w:r w:rsidR="00F82623" w:rsidRPr="00DD1B58">
            <w:rPr>
              <w:rFonts w:eastAsia="Arial"/>
              <w:szCs w:val="24"/>
              <w:lang w:val="en-US"/>
            </w:rPr>
            <w:fldChar w:fldCharType="begin"/>
          </w:r>
          <w:r w:rsidR="00F82623" w:rsidRPr="00DD1B58">
            <w:rPr>
              <w:rFonts w:eastAsia="Arial"/>
              <w:szCs w:val="24"/>
              <w:lang w:val="en-US"/>
            </w:rPr>
            <w:instrText xml:space="preserve"> CITATION BSI3 \l 2057 </w:instrText>
          </w:r>
          <w:r w:rsidR="00F82623" w:rsidRPr="00DD1B58">
            <w:rPr>
              <w:rFonts w:eastAsia="Arial"/>
              <w:szCs w:val="24"/>
              <w:lang w:val="en-US"/>
            </w:rPr>
            <w:fldChar w:fldCharType="separate"/>
          </w:r>
          <w:r w:rsidR="00DF47DA" w:rsidRPr="00DF47DA">
            <w:rPr>
              <w:rFonts w:eastAsia="Arial"/>
              <w:noProof/>
              <w:szCs w:val="24"/>
              <w:lang w:val="en-US"/>
            </w:rPr>
            <w:t>[81]</w:t>
          </w:r>
          <w:r w:rsidR="00F82623" w:rsidRPr="00DD1B58">
            <w:rPr>
              <w:rFonts w:eastAsia="Arial"/>
              <w:szCs w:val="24"/>
              <w:lang w:val="en-US"/>
            </w:rPr>
            <w:fldChar w:fldCharType="end"/>
          </w:r>
        </w:sdtContent>
      </w:sdt>
      <w:r w:rsidR="7E7D9A05" w:rsidRPr="00DD1B58">
        <w:rPr>
          <w:rFonts w:eastAsia="Arial"/>
          <w:szCs w:val="24"/>
          <w:lang w:val="en-US"/>
        </w:rPr>
        <w:t xml:space="preserve"> and PD 6688-1-2: 2007 </w:t>
      </w:r>
      <w:sdt>
        <w:sdtPr>
          <w:rPr>
            <w:rFonts w:eastAsia="Arial"/>
            <w:szCs w:val="24"/>
            <w:lang w:val="en-US"/>
          </w:rPr>
          <w:id w:val="678247006"/>
          <w:citation/>
        </w:sdtPr>
        <w:sdtContent>
          <w:r w:rsidR="00325E6D" w:rsidRPr="00DD1B58">
            <w:rPr>
              <w:rFonts w:eastAsia="Arial"/>
              <w:szCs w:val="24"/>
              <w:lang w:val="en-US"/>
            </w:rPr>
            <w:fldChar w:fldCharType="begin"/>
          </w:r>
          <w:r w:rsidR="00325E6D" w:rsidRPr="00DD1B58">
            <w:rPr>
              <w:rFonts w:eastAsia="Arial"/>
              <w:szCs w:val="24"/>
              <w:lang w:val="en-US"/>
            </w:rPr>
            <w:instrText xml:space="preserve"> CITATION PD6 \l 2057 </w:instrText>
          </w:r>
          <w:r w:rsidR="00325E6D" w:rsidRPr="00DD1B58">
            <w:rPr>
              <w:rFonts w:eastAsia="Arial"/>
              <w:szCs w:val="24"/>
              <w:lang w:val="en-US"/>
            </w:rPr>
            <w:fldChar w:fldCharType="separate"/>
          </w:r>
          <w:r w:rsidR="00DF47DA" w:rsidRPr="00DF47DA">
            <w:rPr>
              <w:rFonts w:eastAsia="Arial"/>
              <w:noProof/>
              <w:szCs w:val="24"/>
              <w:lang w:val="en-US"/>
            </w:rPr>
            <w:t>[82]</w:t>
          </w:r>
          <w:r w:rsidR="00325E6D" w:rsidRPr="00DD1B58">
            <w:rPr>
              <w:rFonts w:eastAsia="Arial"/>
              <w:szCs w:val="24"/>
              <w:lang w:val="en-US"/>
            </w:rPr>
            <w:fldChar w:fldCharType="end"/>
          </w:r>
        </w:sdtContent>
      </w:sdt>
      <w:r w:rsidR="7E7D9A05" w:rsidRPr="00DD1B58">
        <w:rPr>
          <w:rFonts w:eastAsia="Arial"/>
          <w:szCs w:val="24"/>
          <w:lang w:val="en-US"/>
        </w:rPr>
        <w:t>, which is the background paper to the UK National Annex to this standard.</w:t>
      </w:r>
    </w:p>
    <w:p w14:paraId="16A080CF" w14:textId="20CF3A5A" w:rsidR="7E7D9A05" w:rsidRPr="00DD1B58" w:rsidRDefault="7E7D9A05" w:rsidP="6C4D33C6">
      <w:pPr>
        <w:rPr>
          <w:lang w:val="en-US"/>
        </w:rPr>
      </w:pPr>
      <w:r w:rsidRPr="00DD1B58">
        <w:rPr>
          <w:rFonts w:eastAsia="Arial"/>
          <w:szCs w:val="24"/>
          <w:lang w:val="en-US"/>
        </w:rPr>
        <w:t xml:space="preserve">The </w:t>
      </w:r>
      <w:r w:rsidR="00505799" w:rsidRPr="00DD1B58">
        <w:rPr>
          <w:rFonts w:eastAsia="Arial"/>
          <w:szCs w:val="24"/>
          <w:lang w:val="en-US"/>
        </w:rPr>
        <w:t>fire load</w:t>
      </w:r>
      <w:r w:rsidRPr="00DD1B58">
        <w:rPr>
          <w:rFonts w:eastAsia="Arial"/>
          <w:szCs w:val="24"/>
          <w:lang w:val="en-US"/>
        </w:rPr>
        <w:t xml:space="preserve"> represents the energy </w:t>
      </w:r>
      <w:r w:rsidR="00505799" w:rsidRPr="00DD1B58">
        <w:rPr>
          <w:rFonts w:eastAsia="Arial"/>
          <w:szCs w:val="24"/>
          <w:lang w:val="en-US"/>
        </w:rPr>
        <w:t>(measured in MJ)</w:t>
      </w:r>
      <w:r w:rsidRPr="00DD1B58">
        <w:rPr>
          <w:rFonts w:eastAsia="Arial"/>
          <w:szCs w:val="24"/>
          <w:lang w:val="en-US"/>
        </w:rPr>
        <w:t xml:space="preserve"> that can be released in a compartment as a result of a fire. The total fire load in a compartment is calculated by adding up the products of each combustible component mass and their calorific value. Typically,</w:t>
      </w:r>
      <w:r w:rsidR="00AB3F24" w:rsidRPr="00DD1B58">
        <w:rPr>
          <w:rFonts w:eastAsia="Arial"/>
          <w:szCs w:val="24"/>
          <w:lang w:val="en-US"/>
        </w:rPr>
        <w:t xml:space="preserve"> Springfields Fuels Ltd uses</w:t>
      </w:r>
      <w:r w:rsidRPr="00DD1B58">
        <w:rPr>
          <w:rFonts w:eastAsia="Arial"/>
          <w:szCs w:val="24"/>
          <w:lang w:val="en-US"/>
        </w:rPr>
        <w:t xml:space="preserve"> the Ingberg relationship for general area fire loads based on the standard time</w:t>
      </w:r>
      <w:r w:rsidR="007C3F42" w:rsidRPr="00DD1B58">
        <w:rPr>
          <w:rFonts w:eastAsia="Arial"/>
          <w:szCs w:val="24"/>
          <w:lang w:val="en-US"/>
        </w:rPr>
        <w:t>/</w:t>
      </w:r>
      <w:r w:rsidRPr="00DD1B58">
        <w:rPr>
          <w:rFonts w:eastAsia="Arial"/>
          <w:szCs w:val="24"/>
          <w:lang w:val="en-US"/>
        </w:rPr>
        <w:t xml:space="preserve">temperature curve. Distributed and </w:t>
      </w:r>
      <w:r w:rsidR="001F170B" w:rsidRPr="00DD1B58">
        <w:rPr>
          <w:rFonts w:eastAsia="Arial"/>
          <w:szCs w:val="24"/>
          <w:lang w:val="en-US"/>
        </w:rPr>
        <w:t>l</w:t>
      </w:r>
      <w:r w:rsidRPr="00DD1B58">
        <w:rPr>
          <w:rFonts w:eastAsia="Arial"/>
          <w:szCs w:val="24"/>
          <w:lang w:val="en-US"/>
        </w:rPr>
        <w:t xml:space="preserve">ocalised fire loads are calculated in accordance with NFPA 557 </w:t>
      </w:r>
      <w:sdt>
        <w:sdtPr>
          <w:rPr>
            <w:rFonts w:eastAsia="Arial"/>
            <w:szCs w:val="24"/>
            <w:lang w:val="en-US"/>
          </w:rPr>
          <w:id w:val="-974905703"/>
          <w:citation/>
        </w:sdtPr>
        <w:sdtContent>
          <w:r w:rsidR="00106EC9" w:rsidRPr="00DD1B58">
            <w:rPr>
              <w:rFonts w:eastAsia="Arial"/>
              <w:szCs w:val="24"/>
              <w:lang w:val="en-US"/>
            </w:rPr>
            <w:fldChar w:fldCharType="begin"/>
          </w:r>
          <w:r w:rsidR="00106EC9" w:rsidRPr="00DD1B58">
            <w:rPr>
              <w:rFonts w:eastAsia="Arial"/>
              <w:szCs w:val="24"/>
              <w:lang w:val="en-US"/>
            </w:rPr>
            <w:instrText xml:space="preserve"> CITATION NFP23 \l 2057 </w:instrText>
          </w:r>
          <w:r w:rsidR="00106EC9" w:rsidRPr="00DD1B58">
            <w:rPr>
              <w:rFonts w:eastAsia="Arial"/>
              <w:szCs w:val="24"/>
              <w:lang w:val="en-US"/>
            </w:rPr>
            <w:fldChar w:fldCharType="separate"/>
          </w:r>
          <w:r w:rsidR="00DF47DA" w:rsidRPr="00DF47DA">
            <w:rPr>
              <w:rFonts w:eastAsia="Arial"/>
              <w:noProof/>
              <w:szCs w:val="24"/>
              <w:lang w:val="en-US"/>
            </w:rPr>
            <w:t>[83]</w:t>
          </w:r>
          <w:r w:rsidR="00106EC9" w:rsidRPr="00DD1B58">
            <w:rPr>
              <w:rFonts w:eastAsia="Arial"/>
              <w:szCs w:val="24"/>
              <w:lang w:val="en-US"/>
            </w:rPr>
            <w:fldChar w:fldCharType="end"/>
          </w:r>
        </w:sdtContent>
      </w:sdt>
      <w:r w:rsidR="00106EC9" w:rsidRPr="00DD1B58">
        <w:rPr>
          <w:rFonts w:eastAsia="Arial"/>
          <w:szCs w:val="24"/>
          <w:lang w:val="en-US"/>
        </w:rPr>
        <w:t>.</w:t>
      </w:r>
      <w:r w:rsidR="00A52B58" w:rsidRPr="00DD1B58">
        <w:rPr>
          <w:rFonts w:eastAsia="Arial"/>
          <w:szCs w:val="24"/>
          <w:lang w:val="en-US"/>
        </w:rPr>
        <w:t xml:space="preserve"> </w:t>
      </w:r>
      <w:r w:rsidR="00AB3F24" w:rsidRPr="00DD1B58">
        <w:rPr>
          <w:rFonts w:eastAsia="Arial"/>
          <w:szCs w:val="24"/>
          <w:lang w:val="en-US"/>
        </w:rPr>
        <w:t>Springfields Fuels Ltd</w:t>
      </w:r>
      <w:r w:rsidRPr="00DD1B58">
        <w:rPr>
          <w:rFonts w:eastAsia="Arial"/>
          <w:szCs w:val="24"/>
          <w:lang w:val="en-US"/>
        </w:rPr>
        <w:t xml:space="preserve"> </w:t>
      </w:r>
      <w:r w:rsidR="00AB3F24" w:rsidRPr="00DD1B58">
        <w:rPr>
          <w:rFonts w:eastAsia="Arial"/>
          <w:szCs w:val="24"/>
          <w:lang w:val="en-US"/>
        </w:rPr>
        <w:t xml:space="preserve">then establishes </w:t>
      </w:r>
      <w:r w:rsidRPr="00DD1B58">
        <w:rPr>
          <w:rFonts w:eastAsia="Arial"/>
          <w:szCs w:val="24"/>
          <w:lang w:val="en-US"/>
        </w:rPr>
        <w:t>a fire load density (FLD)</w:t>
      </w:r>
      <w:r w:rsidR="00AB3F24" w:rsidRPr="00DD1B58">
        <w:rPr>
          <w:rFonts w:eastAsia="Arial"/>
          <w:szCs w:val="24"/>
          <w:lang w:val="en-US"/>
        </w:rPr>
        <w:t xml:space="preserve"> as </w:t>
      </w:r>
      <w:r w:rsidRPr="00DD1B58">
        <w:rPr>
          <w:rFonts w:eastAsia="Arial"/>
          <w:szCs w:val="24"/>
          <w:lang w:val="en-US"/>
        </w:rPr>
        <w:t>the total fire load per square metre of the floor area (MJ/m</w:t>
      </w:r>
      <w:r w:rsidRPr="00DD1B58">
        <w:rPr>
          <w:rFonts w:eastAsia="Arial"/>
          <w:szCs w:val="24"/>
          <w:vertAlign w:val="superscript"/>
          <w:lang w:val="en-US"/>
        </w:rPr>
        <w:t>2</w:t>
      </w:r>
      <w:r w:rsidRPr="00DD1B58">
        <w:rPr>
          <w:rFonts w:eastAsia="Arial"/>
          <w:szCs w:val="24"/>
          <w:lang w:val="en-US"/>
        </w:rPr>
        <w:t>)</w:t>
      </w:r>
      <w:r w:rsidR="00161CD9" w:rsidRPr="00DD1B58">
        <w:rPr>
          <w:rFonts w:eastAsia="Arial"/>
          <w:szCs w:val="24"/>
          <w:lang w:val="en-US"/>
        </w:rPr>
        <w:t>.</w:t>
      </w:r>
      <w:r w:rsidRPr="00DD1B58">
        <w:rPr>
          <w:rFonts w:eastAsia="Arial"/>
          <w:szCs w:val="24"/>
          <w:lang w:val="en-US"/>
        </w:rPr>
        <w:t xml:space="preserve"> </w:t>
      </w:r>
    </w:p>
    <w:p w14:paraId="267A4544" w14:textId="784DE3DB" w:rsidR="7E7D9A05" w:rsidRPr="00DD1B58" w:rsidRDefault="00A52B58" w:rsidP="6C4D33C6">
      <w:pPr>
        <w:rPr>
          <w:lang w:val="en-US"/>
        </w:rPr>
      </w:pPr>
      <w:r w:rsidRPr="00DD1B58">
        <w:rPr>
          <w:rFonts w:eastAsia="Arial"/>
          <w:szCs w:val="24"/>
          <w:lang w:val="en-US"/>
        </w:rPr>
        <w:t>Springfields Fuels Ltd determines the m</w:t>
      </w:r>
      <w:r w:rsidR="7E7D9A05" w:rsidRPr="00DD1B58">
        <w:rPr>
          <w:rFonts w:eastAsia="Arial"/>
          <w:szCs w:val="24"/>
          <w:lang w:val="en-US"/>
        </w:rPr>
        <w:t>inimum periods of fire resistance for industrial buildings on the Springfields site in accordance with Table A1 of the AD(B)</w:t>
      </w:r>
      <w:r w:rsidR="006D26BB" w:rsidRPr="00DD1B58">
        <w:rPr>
          <w:rFonts w:eastAsia="Arial"/>
          <w:szCs w:val="24"/>
          <w:lang w:val="en-US"/>
        </w:rPr>
        <w:t xml:space="preserve"> </w:t>
      </w:r>
      <w:sdt>
        <w:sdtPr>
          <w:rPr>
            <w:rFonts w:eastAsia="Arial"/>
            <w:szCs w:val="24"/>
            <w:lang w:val="en-US"/>
          </w:rPr>
          <w:id w:val="-20254294"/>
          <w:citation/>
        </w:sdtPr>
        <w:sdtContent>
          <w:r w:rsidR="00707357" w:rsidRPr="00DD1B58">
            <w:rPr>
              <w:rFonts w:eastAsia="Arial"/>
              <w:szCs w:val="24"/>
              <w:lang w:val="en-US"/>
            </w:rPr>
            <w:fldChar w:fldCharType="begin"/>
          </w:r>
          <w:r w:rsidR="005B050F" w:rsidRPr="00DD1B58">
            <w:rPr>
              <w:rFonts w:eastAsia="Arial"/>
              <w:szCs w:val="24"/>
              <w:lang w:val="en-US"/>
            </w:rPr>
            <w:instrText xml:space="preserve">CITATION HMG22 \l 2057 </w:instrText>
          </w:r>
          <w:r w:rsidR="00707357" w:rsidRPr="00DD1B58">
            <w:rPr>
              <w:rFonts w:eastAsia="Arial"/>
              <w:szCs w:val="24"/>
              <w:lang w:val="en-US"/>
            </w:rPr>
            <w:fldChar w:fldCharType="separate"/>
          </w:r>
          <w:r w:rsidR="00DF47DA" w:rsidRPr="00DF47DA">
            <w:rPr>
              <w:rFonts w:eastAsia="Arial"/>
              <w:noProof/>
              <w:szCs w:val="24"/>
              <w:lang w:val="en-US"/>
            </w:rPr>
            <w:t>[84]</w:t>
          </w:r>
          <w:r w:rsidR="00707357" w:rsidRPr="00DD1B58">
            <w:rPr>
              <w:rFonts w:eastAsia="Arial"/>
              <w:szCs w:val="24"/>
              <w:lang w:val="en-US"/>
            </w:rPr>
            <w:fldChar w:fldCharType="end"/>
          </w:r>
        </w:sdtContent>
      </w:sdt>
      <w:r w:rsidR="7E7D9A05" w:rsidRPr="00DD1B58">
        <w:rPr>
          <w:rFonts w:eastAsia="Arial"/>
          <w:szCs w:val="24"/>
          <w:lang w:val="en-US"/>
        </w:rPr>
        <w:t>. These requirements are based on post-war fire studies which refer to the fire grading of buildings according to the hazard and fire loading of the premises. This fire grading report recommends a buildings fire loading be graded into low, moderate and high with fire resistances of &lt;60 minutes, 60</w:t>
      </w:r>
      <w:r w:rsidR="001F170B" w:rsidRPr="00DD1B58">
        <w:rPr>
          <w:rFonts w:eastAsia="Arial"/>
          <w:szCs w:val="24"/>
          <w:lang w:val="en-US"/>
        </w:rPr>
        <w:t>–</w:t>
      </w:r>
      <w:r w:rsidR="7E7D9A05" w:rsidRPr="00DD1B58">
        <w:rPr>
          <w:rFonts w:eastAsia="Arial"/>
          <w:szCs w:val="24"/>
          <w:lang w:val="en-US"/>
        </w:rPr>
        <w:t>120 minutes and 120–240 minutes, respectively.</w:t>
      </w:r>
    </w:p>
    <w:p w14:paraId="3BC000CB" w14:textId="3A348AFE" w:rsidR="7E7D9A05" w:rsidRPr="00DD1B58" w:rsidRDefault="002A2E9C" w:rsidP="6C4D33C6">
      <w:pPr>
        <w:rPr>
          <w:lang w:val="en-US"/>
        </w:rPr>
      </w:pPr>
      <w:r w:rsidRPr="00DD1B58">
        <w:rPr>
          <w:rFonts w:eastAsia="Arial"/>
          <w:szCs w:val="24"/>
          <w:lang w:val="en-US"/>
        </w:rPr>
        <w:t xml:space="preserve">The above </w:t>
      </w:r>
      <w:r w:rsidR="7E7D9A05" w:rsidRPr="00DD1B58">
        <w:rPr>
          <w:rFonts w:eastAsia="Arial"/>
          <w:szCs w:val="24"/>
          <w:lang w:val="en-US"/>
        </w:rPr>
        <w:t xml:space="preserve">figures produce a linear relationship between fire loading and fire resistance requirements. </w:t>
      </w:r>
      <w:r w:rsidR="00984118" w:rsidRPr="00DD1B58">
        <w:rPr>
          <w:rFonts w:eastAsia="Arial"/>
          <w:szCs w:val="24"/>
          <w:lang w:val="en-US"/>
        </w:rPr>
        <w:t>Springfields Fuels Ltd</w:t>
      </w:r>
      <w:r w:rsidR="00984118" w:rsidRPr="00DD1B58" w:rsidDel="00984118">
        <w:rPr>
          <w:rFonts w:eastAsia="Arial"/>
          <w:szCs w:val="24"/>
          <w:lang w:val="en-US"/>
        </w:rPr>
        <w:t xml:space="preserve"> </w:t>
      </w:r>
      <w:r w:rsidR="00984118" w:rsidRPr="00DD1B58">
        <w:rPr>
          <w:rFonts w:eastAsia="Arial"/>
          <w:szCs w:val="24"/>
          <w:lang w:val="en-US"/>
        </w:rPr>
        <w:t xml:space="preserve">uses the </w:t>
      </w:r>
      <w:r w:rsidR="7E7D9A05" w:rsidRPr="00DD1B58">
        <w:rPr>
          <w:rFonts w:eastAsia="Arial"/>
          <w:szCs w:val="24"/>
          <w:lang w:val="en-US"/>
        </w:rPr>
        <w:t>figure</w:t>
      </w:r>
      <w:r w:rsidR="00984118" w:rsidRPr="00DD1B58">
        <w:rPr>
          <w:rFonts w:eastAsia="Arial"/>
          <w:szCs w:val="24"/>
          <w:lang w:val="en-US"/>
        </w:rPr>
        <w:t xml:space="preserve">s </w:t>
      </w:r>
      <w:r w:rsidR="7E7D9A05" w:rsidRPr="00DD1B58">
        <w:rPr>
          <w:rFonts w:eastAsia="Arial"/>
          <w:szCs w:val="24"/>
          <w:lang w:val="en-US"/>
        </w:rPr>
        <w:t>to determine an equivalent fire duration in minutes for each area</w:t>
      </w:r>
      <w:r w:rsidR="001F170B" w:rsidRPr="00DD1B58">
        <w:rPr>
          <w:rFonts w:eastAsia="Arial"/>
          <w:szCs w:val="24"/>
          <w:lang w:val="en-US"/>
        </w:rPr>
        <w:t xml:space="preserve"> or </w:t>
      </w:r>
      <w:r w:rsidR="7E7D9A05" w:rsidRPr="00DD1B58">
        <w:rPr>
          <w:rFonts w:eastAsia="Arial"/>
          <w:szCs w:val="24"/>
          <w:lang w:val="en-US"/>
        </w:rPr>
        <w:t>room of a building and record</w:t>
      </w:r>
      <w:r w:rsidR="00984118" w:rsidRPr="00DD1B58">
        <w:rPr>
          <w:rFonts w:eastAsia="Arial"/>
          <w:szCs w:val="24"/>
          <w:lang w:val="en-US"/>
        </w:rPr>
        <w:t>s them</w:t>
      </w:r>
      <w:r w:rsidR="7E7D9A05" w:rsidRPr="00DD1B58">
        <w:rPr>
          <w:rFonts w:eastAsia="Arial"/>
          <w:szCs w:val="24"/>
          <w:lang w:val="en-US"/>
        </w:rPr>
        <w:t xml:space="preserve"> in a fire loading table.</w:t>
      </w:r>
    </w:p>
    <w:p w14:paraId="4FEB4356" w14:textId="63B1FA61" w:rsidR="00534899" w:rsidRPr="00DD1B58" w:rsidRDefault="00984118" w:rsidP="6C4D33C6">
      <w:pPr>
        <w:rPr>
          <w:lang w:val="en-US"/>
        </w:rPr>
      </w:pPr>
      <w:r w:rsidRPr="00DD1B58">
        <w:rPr>
          <w:rFonts w:eastAsia="Arial"/>
          <w:szCs w:val="24"/>
          <w:lang w:val="en-US"/>
        </w:rPr>
        <w:t>Springfields Fuels Ltd uses e</w:t>
      </w:r>
      <w:r w:rsidR="7E7D9A05" w:rsidRPr="00DD1B58">
        <w:rPr>
          <w:rFonts w:eastAsia="Arial"/>
          <w:szCs w:val="24"/>
          <w:lang w:val="en-US"/>
        </w:rPr>
        <w:t>ngineering judgment</w:t>
      </w:r>
      <w:r w:rsidRPr="00DD1B58">
        <w:rPr>
          <w:rFonts w:eastAsia="Arial"/>
          <w:szCs w:val="24"/>
          <w:lang w:val="en-US"/>
        </w:rPr>
        <w:t xml:space="preserve"> </w:t>
      </w:r>
      <w:r w:rsidR="7E7D9A05" w:rsidRPr="00DD1B58">
        <w:rPr>
          <w:rFonts w:eastAsia="Arial"/>
          <w:szCs w:val="24"/>
          <w:lang w:val="en-US"/>
        </w:rPr>
        <w:t>to calculate the cable loading on trays and ladders based on the measured width of the ladder or tray</w:t>
      </w:r>
      <w:r w:rsidR="00534899" w:rsidRPr="00DD1B58">
        <w:rPr>
          <w:rFonts w:eastAsia="Arial"/>
          <w:szCs w:val="24"/>
          <w:lang w:val="en-US"/>
        </w:rPr>
        <w:t xml:space="preserve">, </w:t>
      </w:r>
      <w:r w:rsidR="7E7D9A05" w:rsidRPr="00DD1B58">
        <w:rPr>
          <w:rFonts w:eastAsia="Arial"/>
          <w:szCs w:val="24"/>
          <w:lang w:val="en-US"/>
        </w:rPr>
        <w:t xml:space="preserve">and a judgement </w:t>
      </w:r>
      <w:r w:rsidR="001F170B" w:rsidRPr="00DD1B58">
        <w:rPr>
          <w:rFonts w:eastAsia="Arial"/>
          <w:szCs w:val="24"/>
          <w:lang w:val="en-US"/>
        </w:rPr>
        <w:t>is</w:t>
      </w:r>
      <w:r w:rsidR="7E7D9A05" w:rsidRPr="00DD1B58">
        <w:rPr>
          <w:rFonts w:eastAsia="Arial"/>
          <w:szCs w:val="24"/>
          <w:lang w:val="en-US"/>
        </w:rPr>
        <w:t xml:space="preserve"> made </w:t>
      </w:r>
      <w:r w:rsidR="001F170B" w:rsidRPr="00DD1B58">
        <w:rPr>
          <w:rFonts w:eastAsia="Arial"/>
          <w:szCs w:val="24"/>
          <w:lang w:val="en-US"/>
        </w:rPr>
        <w:t>on</w:t>
      </w:r>
      <w:r w:rsidR="7E7D9A05" w:rsidRPr="00DD1B58">
        <w:rPr>
          <w:rFonts w:eastAsia="Arial"/>
          <w:szCs w:val="24"/>
          <w:lang w:val="en-US"/>
        </w:rPr>
        <w:t xml:space="preserve"> the percentage fill of the tray or ladder.</w:t>
      </w:r>
      <w:r w:rsidR="00A23C00" w:rsidRPr="00DD1B58">
        <w:rPr>
          <w:lang w:val="en-US"/>
        </w:rPr>
        <w:t xml:space="preserve"> </w:t>
      </w:r>
      <w:r w:rsidR="00E34E62" w:rsidRPr="00DD1B58">
        <w:rPr>
          <w:rFonts w:eastAsia="Arial"/>
          <w:szCs w:val="24"/>
          <w:lang w:val="en-US"/>
        </w:rPr>
        <w:t>Springfields Fuels Ltd also uses e</w:t>
      </w:r>
      <w:r w:rsidR="7E7D9A05" w:rsidRPr="00DD1B58">
        <w:rPr>
          <w:rFonts w:eastAsia="Arial"/>
          <w:szCs w:val="24"/>
          <w:lang w:val="en-US"/>
        </w:rPr>
        <w:t>ngineering judgement to estimate the fire loading in offices</w:t>
      </w:r>
      <w:r w:rsidR="001F170B" w:rsidRPr="00DD1B58">
        <w:rPr>
          <w:rFonts w:eastAsia="Arial"/>
          <w:szCs w:val="24"/>
          <w:lang w:val="en-US"/>
        </w:rPr>
        <w:t>,</w:t>
      </w:r>
      <w:r w:rsidR="7E7D9A05" w:rsidRPr="00DD1B58">
        <w:rPr>
          <w:rFonts w:eastAsia="Arial"/>
          <w:szCs w:val="24"/>
          <w:lang w:val="en-US"/>
        </w:rPr>
        <w:t xml:space="preserve"> as described below.</w:t>
      </w:r>
      <w:r w:rsidR="00DF504C" w:rsidRPr="00DD1B58">
        <w:rPr>
          <w:lang w:val="en-US"/>
        </w:rPr>
        <w:t xml:space="preserve"> </w:t>
      </w:r>
    </w:p>
    <w:p w14:paraId="349784EE" w14:textId="14951A58" w:rsidR="7E7D9A05" w:rsidRPr="00DD1B58" w:rsidRDefault="00E34E62" w:rsidP="6C4D33C6">
      <w:pPr>
        <w:rPr>
          <w:lang w:val="en-US"/>
        </w:rPr>
      </w:pPr>
      <w:r w:rsidRPr="00DD1B58">
        <w:rPr>
          <w:rFonts w:eastAsia="Arial"/>
          <w:szCs w:val="24"/>
          <w:lang w:val="en-US"/>
        </w:rPr>
        <w:t>Springfields Fuels Ltd uses f</w:t>
      </w:r>
      <w:r w:rsidR="7E7D9A05" w:rsidRPr="00DD1B58">
        <w:rPr>
          <w:rFonts w:eastAsia="Arial"/>
          <w:szCs w:val="24"/>
          <w:lang w:val="en-US"/>
        </w:rPr>
        <w:t xml:space="preserve">ire test data derived from a study by VTT of Finland </w:t>
      </w:r>
      <w:sdt>
        <w:sdtPr>
          <w:rPr>
            <w:rFonts w:eastAsia="Arial"/>
            <w:szCs w:val="24"/>
            <w:lang w:val="en-US"/>
          </w:rPr>
          <w:id w:val="-1948080072"/>
          <w:citation/>
        </w:sdtPr>
        <w:sdtContent>
          <w:r w:rsidR="00DB6F9C" w:rsidRPr="00DD1B58">
            <w:rPr>
              <w:rFonts w:eastAsia="Arial"/>
              <w:szCs w:val="24"/>
              <w:lang w:val="en-US"/>
            </w:rPr>
            <w:fldChar w:fldCharType="begin"/>
          </w:r>
          <w:r w:rsidR="00DB6F9C" w:rsidRPr="00DD1B58">
            <w:rPr>
              <w:rFonts w:eastAsia="Arial"/>
              <w:szCs w:val="24"/>
              <w:lang w:val="en-US"/>
            </w:rPr>
            <w:instrText xml:space="preserve"> CITATION Ful \l 2057 </w:instrText>
          </w:r>
          <w:r w:rsidR="00DB6F9C" w:rsidRPr="00DD1B58">
            <w:rPr>
              <w:rFonts w:eastAsia="Arial"/>
              <w:szCs w:val="24"/>
              <w:lang w:val="en-US"/>
            </w:rPr>
            <w:fldChar w:fldCharType="separate"/>
          </w:r>
          <w:r w:rsidR="00DF47DA" w:rsidRPr="00DF47DA">
            <w:rPr>
              <w:rFonts w:eastAsia="Arial"/>
              <w:noProof/>
              <w:szCs w:val="24"/>
              <w:lang w:val="en-US"/>
            </w:rPr>
            <w:t>[85]</w:t>
          </w:r>
          <w:r w:rsidR="00DB6F9C" w:rsidRPr="00DD1B58">
            <w:rPr>
              <w:rFonts w:eastAsia="Arial"/>
              <w:szCs w:val="24"/>
              <w:lang w:val="en-US"/>
            </w:rPr>
            <w:fldChar w:fldCharType="end"/>
          </w:r>
        </w:sdtContent>
      </w:sdt>
      <w:r w:rsidR="7E7D9A05" w:rsidRPr="00DD1B58">
        <w:rPr>
          <w:rFonts w:eastAsia="Arial"/>
          <w:szCs w:val="24"/>
          <w:lang w:val="en-US"/>
        </w:rPr>
        <w:t xml:space="preserve"> to calculate fire loading in electrical cubicles</w:t>
      </w:r>
      <w:r w:rsidR="0068035D" w:rsidRPr="00DD1B58">
        <w:rPr>
          <w:rFonts w:eastAsia="Arial"/>
          <w:szCs w:val="24"/>
          <w:lang w:val="en-US"/>
        </w:rPr>
        <w:t>.</w:t>
      </w:r>
      <w:r w:rsidR="00DF504C" w:rsidRPr="00DD1B58">
        <w:rPr>
          <w:lang w:val="en-US"/>
        </w:rPr>
        <w:t xml:space="preserve"> </w:t>
      </w:r>
      <w:r w:rsidR="7E7D9A05" w:rsidRPr="00DD1B58">
        <w:rPr>
          <w:rFonts w:eastAsia="Arial"/>
          <w:szCs w:val="24"/>
          <w:lang w:val="en-US"/>
        </w:rPr>
        <w:t>In rooms with highly varied fire loads</w:t>
      </w:r>
      <w:r w:rsidR="00B2402A" w:rsidRPr="00DD1B58">
        <w:rPr>
          <w:rFonts w:eastAsia="Arial"/>
          <w:szCs w:val="24"/>
          <w:lang w:val="en-US"/>
        </w:rPr>
        <w:t>,</w:t>
      </w:r>
      <w:r w:rsidR="7E7D9A05" w:rsidRPr="00DD1B58">
        <w:rPr>
          <w:rFonts w:eastAsia="Arial"/>
          <w:szCs w:val="24"/>
          <w:lang w:val="en-US"/>
        </w:rPr>
        <w:t xml:space="preserve"> a</w:t>
      </w:r>
      <w:r w:rsidR="00B2402A" w:rsidRPr="00DD1B58">
        <w:rPr>
          <w:rFonts w:eastAsia="Arial"/>
          <w:szCs w:val="24"/>
          <w:lang w:val="en-US"/>
        </w:rPr>
        <w:t xml:space="preserve"> conservative</w:t>
      </w:r>
      <w:r w:rsidR="7E7D9A05" w:rsidRPr="00DD1B58">
        <w:rPr>
          <w:rFonts w:eastAsia="Arial"/>
          <w:szCs w:val="24"/>
          <w:lang w:val="en-US"/>
        </w:rPr>
        <w:t xml:space="preserve"> addition of 10% may be used to account for </w:t>
      </w:r>
      <w:r w:rsidR="00B2402A" w:rsidRPr="00DD1B58">
        <w:rPr>
          <w:rFonts w:eastAsia="Arial"/>
          <w:szCs w:val="24"/>
          <w:lang w:val="en-US"/>
        </w:rPr>
        <w:t xml:space="preserve">potential </w:t>
      </w:r>
      <w:r w:rsidR="7E7D9A05" w:rsidRPr="00DD1B58">
        <w:rPr>
          <w:rFonts w:eastAsia="Arial"/>
          <w:szCs w:val="24"/>
          <w:lang w:val="en-US"/>
        </w:rPr>
        <w:t>inaccuracies in the calculations.</w:t>
      </w:r>
      <w:r w:rsidR="00534899" w:rsidRPr="00DD1B58">
        <w:rPr>
          <w:rFonts w:eastAsia="Arial"/>
          <w:szCs w:val="24"/>
          <w:lang w:val="en-US"/>
        </w:rPr>
        <w:t xml:space="preserve"> </w:t>
      </w:r>
      <w:r w:rsidR="7E7D9A05" w:rsidRPr="00DD1B58">
        <w:rPr>
          <w:rFonts w:eastAsia="Arial"/>
          <w:szCs w:val="24"/>
          <w:lang w:val="en-US"/>
        </w:rPr>
        <w:t xml:space="preserve">If the figures obtained by this approach exceed structural fire resistance </w:t>
      </w:r>
      <w:r w:rsidR="00F56EB0" w:rsidRPr="00DD1B58">
        <w:rPr>
          <w:rFonts w:eastAsia="Arial"/>
          <w:szCs w:val="24"/>
          <w:lang w:val="en-US"/>
        </w:rPr>
        <w:t>(</w:t>
      </w:r>
      <w:r w:rsidR="7E7D9A05" w:rsidRPr="00DD1B58">
        <w:rPr>
          <w:rFonts w:eastAsia="Arial"/>
          <w:szCs w:val="24"/>
          <w:lang w:val="en-US"/>
        </w:rPr>
        <w:t xml:space="preserve">e.g., </w:t>
      </w:r>
      <w:r w:rsidR="00C056BD" w:rsidRPr="00DD1B58">
        <w:rPr>
          <w:rFonts w:eastAsia="Arial"/>
          <w:szCs w:val="24"/>
          <w:lang w:val="en-US"/>
        </w:rPr>
        <w:t>that</w:t>
      </w:r>
      <w:r w:rsidR="7E7D9A05" w:rsidRPr="00DD1B58">
        <w:rPr>
          <w:rFonts w:eastAsia="Arial"/>
          <w:szCs w:val="24"/>
          <w:lang w:val="en-US"/>
        </w:rPr>
        <w:t xml:space="preserve"> of main structural members or fire compartment boundaries</w:t>
      </w:r>
      <w:r w:rsidR="00C056BD" w:rsidRPr="00DD1B58">
        <w:rPr>
          <w:rFonts w:eastAsia="Arial"/>
          <w:szCs w:val="24"/>
          <w:lang w:val="en-US"/>
        </w:rPr>
        <w:t>)</w:t>
      </w:r>
      <w:r w:rsidR="7E7D9A05" w:rsidRPr="00DD1B58">
        <w:rPr>
          <w:rFonts w:eastAsia="Arial"/>
          <w:szCs w:val="24"/>
          <w:lang w:val="en-US"/>
        </w:rPr>
        <w:t xml:space="preserve">, </w:t>
      </w:r>
      <w:r w:rsidR="00534899" w:rsidRPr="00DD1B58">
        <w:rPr>
          <w:rFonts w:eastAsia="Arial"/>
          <w:szCs w:val="24"/>
          <w:lang w:val="en-US"/>
        </w:rPr>
        <w:t xml:space="preserve">Springfields Fuels Ltd may undertake </w:t>
      </w:r>
      <w:r w:rsidR="7E7D9A05" w:rsidRPr="00DD1B58">
        <w:rPr>
          <w:rFonts w:eastAsia="Arial"/>
          <w:szCs w:val="24"/>
          <w:lang w:val="en-US"/>
        </w:rPr>
        <w:t>more detailed analysis to revisit some of the conservative assumptions and determine the approach to be taken</w:t>
      </w:r>
      <w:r w:rsidR="00C056BD" w:rsidRPr="00DD1B58">
        <w:rPr>
          <w:rFonts w:eastAsia="Arial"/>
          <w:szCs w:val="24"/>
          <w:lang w:val="en-US"/>
        </w:rPr>
        <w:t>. Such an approach may involve</w:t>
      </w:r>
      <w:r w:rsidR="7E7D9A05" w:rsidRPr="00DD1B58">
        <w:rPr>
          <w:rFonts w:eastAsia="Arial"/>
          <w:szCs w:val="24"/>
          <w:lang w:val="en-US"/>
        </w:rPr>
        <w:t xml:space="preserve"> a reduction in fire loading or enhancements to passive protection or provision of fire suppression.</w:t>
      </w:r>
    </w:p>
    <w:p w14:paraId="4F4E3B17" w14:textId="135AC193" w:rsidR="7E7D9A05" w:rsidRPr="00DD1B58" w:rsidRDefault="00534899" w:rsidP="6C4D33C6">
      <w:pPr>
        <w:rPr>
          <w:lang w:val="en-US"/>
        </w:rPr>
      </w:pPr>
      <w:r w:rsidRPr="00DD1B58">
        <w:rPr>
          <w:rFonts w:eastAsia="Arial"/>
          <w:szCs w:val="24"/>
          <w:lang w:val="en-US"/>
        </w:rPr>
        <w:t>Springfields Fuels Ltd calculates fire loads i</w:t>
      </w:r>
      <w:r w:rsidR="7E7D9A05" w:rsidRPr="00DD1B58">
        <w:rPr>
          <w:rFonts w:eastAsia="Arial"/>
          <w:szCs w:val="24"/>
          <w:lang w:val="en-US"/>
        </w:rPr>
        <w:t>n accordance with NFPA 557</w:t>
      </w:r>
      <w:r w:rsidR="003D6880" w:rsidRPr="00DD1B58">
        <w:rPr>
          <w:rFonts w:eastAsia="Arial"/>
          <w:szCs w:val="24"/>
          <w:lang w:val="en-US"/>
        </w:rPr>
        <w:t xml:space="preserve"> </w:t>
      </w:r>
      <w:sdt>
        <w:sdtPr>
          <w:rPr>
            <w:rFonts w:eastAsia="Arial"/>
            <w:szCs w:val="24"/>
            <w:lang w:val="en-US"/>
          </w:rPr>
          <w:id w:val="-1148203758"/>
          <w:citation/>
        </w:sdtPr>
        <w:sdtContent>
          <w:r w:rsidR="0079694B" w:rsidRPr="00DD1B58">
            <w:rPr>
              <w:rFonts w:eastAsia="Arial"/>
              <w:szCs w:val="24"/>
              <w:lang w:val="en-US"/>
            </w:rPr>
            <w:fldChar w:fldCharType="begin"/>
          </w:r>
          <w:r w:rsidR="0079694B" w:rsidRPr="00DD1B58">
            <w:rPr>
              <w:rFonts w:eastAsia="Arial"/>
              <w:szCs w:val="24"/>
              <w:lang w:val="en-US"/>
            </w:rPr>
            <w:instrText xml:space="preserve"> CITATION NFP23 \l 2057 </w:instrText>
          </w:r>
          <w:r w:rsidR="0079694B" w:rsidRPr="00DD1B58">
            <w:rPr>
              <w:rFonts w:eastAsia="Arial"/>
              <w:szCs w:val="24"/>
              <w:lang w:val="en-US"/>
            </w:rPr>
            <w:fldChar w:fldCharType="separate"/>
          </w:r>
          <w:r w:rsidR="00DF47DA" w:rsidRPr="00DF47DA">
            <w:rPr>
              <w:rFonts w:eastAsia="Arial"/>
              <w:noProof/>
              <w:szCs w:val="24"/>
              <w:lang w:val="en-US"/>
            </w:rPr>
            <w:t>[83]</w:t>
          </w:r>
          <w:r w:rsidR="0079694B" w:rsidRPr="00DD1B58">
            <w:rPr>
              <w:rFonts w:eastAsia="Arial"/>
              <w:szCs w:val="24"/>
              <w:lang w:val="en-US"/>
            </w:rPr>
            <w:fldChar w:fldCharType="end"/>
          </w:r>
        </w:sdtContent>
      </w:sdt>
      <w:r w:rsidR="7E7D9A05" w:rsidRPr="00DD1B58">
        <w:rPr>
          <w:rFonts w:eastAsia="Arial"/>
          <w:szCs w:val="24"/>
          <w:lang w:val="en-US"/>
        </w:rPr>
        <w:t>. Clause 5.4.1 as both localised and distributed fire loads</w:t>
      </w:r>
      <w:r w:rsidRPr="00DD1B58">
        <w:rPr>
          <w:rFonts w:eastAsia="Arial"/>
          <w:szCs w:val="24"/>
          <w:lang w:val="en-US"/>
        </w:rPr>
        <w:t xml:space="preserve">, and then uses this </w:t>
      </w:r>
      <w:r w:rsidR="7E7D9A05" w:rsidRPr="00DD1B58">
        <w:rPr>
          <w:rFonts w:eastAsia="Arial"/>
          <w:szCs w:val="24"/>
          <w:lang w:val="en-US"/>
        </w:rPr>
        <w:t>information</w:t>
      </w:r>
      <w:r w:rsidRPr="00DD1B58">
        <w:rPr>
          <w:rFonts w:eastAsia="Arial"/>
          <w:szCs w:val="24"/>
          <w:lang w:val="en-US"/>
        </w:rPr>
        <w:t xml:space="preserve"> </w:t>
      </w:r>
      <w:r w:rsidR="7E7D9A05" w:rsidRPr="00DD1B58">
        <w:rPr>
          <w:rFonts w:eastAsia="Arial"/>
          <w:szCs w:val="24"/>
          <w:lang w:val="en-US"/>
        </w:rPr>
        <w:t>to assess local vulnerabilities.</w:t>
      </w:r>
      <w:r w:rsidR="00922EDE" w:rsidRPr="00DD1B58">
        <w:rPr>
          <w:rFonts w:eastAsia="Arial"/>
          <w:szCs w:val="24"/>
          <w:lang w:val="en-US"/>
        </w:rPr>
        <w:t xml:space="preserve"> </w:t>
      </w:r>
      <w:r w:rsidR="7E7D9A05" w:rsidRPr="00DD1B58">
        <w:rPr>
          <w:rFonts w:eastAsia="Arial"/>
          <w:szCs w:val="24"/>
          <w:lang w:val="en-US"/>
        </w:rPr>
        <w:t xml:space="preserve">As an example, localised fire loads were considered as part of a study of cable risers and trays where they were near structural </w:t>
      </w:r>
      <w:r w:rsidR="007A01CB" w:rsidRPr="00DD1B58">
        <w:rPr>
          <w:rFonts w:eastAsia="Arial"/>
          <w:szCs w:val="24"/>
          <w:lang w:val="en-US"/>
        </w:rPr>
        <w:t>members</w:t>
      </w:r>
      <w:r w:rsidR="7E7D9A05" w:rsidRPr="00DD1B58">
        <w:rPr>
          <w:rFonts w:eastAsia="Arial"/>
          <w:szCs w:val="24"/>
          <w:lang w:val="en-US"/>
        </w:rPr>
        <w:t>. The original fire safety case for the building had not designated structural protection based on an assessment of low fire loading. In these areas it would have been impracticable to retrofit passive fire protection to the structural members. As a result of this study</w:t>
      </w:r>
      <w:r w:rsidR="00CC52F6" w:rsidRPr="00DD1B58">
        <w:rPr>
          <w:rFonts w:eastAsia="Arial"/>
          <w:szCs w:val="24"/>
          <w:lang w:val="en-US"/>
        </w:rPr>
        <w:t>,</w:t>
      </w:r>
      <w:r w:rsidR="7E7D9A05" w:rsidRPr="00DD1B58">
        <w:rPr>
          <w:rFonts w:eastAsia="Arial"/>
          <w:szCs w:val="24"/>
          <w:lang w:val="en-US"/>
        </w:rPr>
        <w:t xml:space="preserve"> cabling in areas where the steelwork was calculated to be vulnerable </w:t>
      </w:r>
      <w:r w:rsidR="00CC52F6" w:rsidRPr="00DD1B58">
        <w:rPr>
          <w:rFonts w:eastAsia="Arial"/>
          <w:szCs w:val="24"/>
          <w:lang w:val="en-US"/>
        </w:rPr>
        <w:t xml:space="preserve">was </w:t>
      </w:r>
      <w:r w:rsidR="7E7D9A05" w:rsidRPr="00DD1B58">
        <w:rPr>
          <w:rFonts w:eastAsia="Arial"/>
          <w:szCs w:val="24"/>
          <w:lang w:val="en-US"/>
        </w:rPr>
        <w:t>coated with ablative paint to prevent fire spread.</w:t>
      </w:r>
    </w:p>
    <w:p w14:paraId="073DB1AF" w14:textId="33E8332A" w:rsidR="7E7D9A05" w:rsidRPr="00DD1B58" w:rsidRDefault="7E7D9A05" w:rsidP="006A33CD">
      <w:pPr>
        <w:rPr>
          <w:b/>
          <w:szCs w:val="24"/>
          <w:lang w:val="en-US"/>
        </w:rPr>
      </w:pPr>
      <w:r w:rsidRPr="00DD1B58">
        <w:rPr>
          <w:b/>
          <w:lang w:val="en-US"/>
        </w:rPr>
        <w:t xml:space="preserve">Surveys of </w:t>
      </w:r>
      <w:r w:rsidR="00CC52F6" w:rsidRPr="00DD1B58">
        <w:rPr>
          <w:b/>
          <w:lang w:val="en-US"/>
        </w:rPr>
        <w:t>common combustible materials</w:t>
      </w:r>
    </w:p>
    <w:p w14:paraId="64D62F42" w14:textId="36857CE1" w:rsidR="7E7D9A05" w:rsidRPr="00DD1B58" w:rsidRDefault="00760407" w:rsidP="6C4D33C6">
      <w:pPr>
        <w:rPr>
          <w:rFonts w:eastAsia="Arial"/>
          <w:szCs w:val="24"/>
          <w:lang w:val="en-US"/>
        </w:rPr>
      </w:pPr>
      <w:r w:rsidRPr="00DD1B58">
        <w:rPr>
          <w:rFonts w:eastAsia="Arial"/>
          <w:szCs w:val="24"/>
          <w:lang w:val="en-US"/>
        </w:rPr>
        <w:t>Springfields Fuels Ltd</w:t>
      </w:r>
      <w:r w:rsidRPr="00DD1B58" w:rsidDel="00760407">
        <w:rPr>
          <w:rFonts w:eastAsia="Arial"/>
          <w:szCs w:val="24"/>
          <w:lang w:val="en-US"/>
        </w:rPr>
        <w:t xml:space="preserve"> </w:t>
      </w:r>
      <w:r w:rsidRPr="00DD1B58">
        <w:rPr>
          <w:rFonts w:eastAsia="Arial"/>
          <w:szCs w:val="24"/>
          <w:lang w:val="en-US"/>
        </w:rPr>
        <w:t>state</w:t>
      </w:r>
      <w:r w:rsidR="00583111" w:rsidRPr="00DD1B58">
        <w:rPr>
          <w:rFonts w:eastAsia="Arial"/>
          <w:szCs w:val="24"/>
          <w:lang w:val="en-US"/>
        </w:rPr>
        <w:t>s</w:t>
      </w:r>
      <w:r w:rsidRPr="00DD1B58">
        <w:rPr>
          <w:rFonts w:eastAsia="Arial"/>
          <w:szCs w:val="24"/>
          <w:lang w:val="en-US"/>
        </w:rPr>
        <w:t xml:space="preserve"> that </w:t>
      </w:r>
      <w:r w:rsidR="7E7D9A05" w:rsidRPr="00DD1B58">
        <w:rPr>
          <w:rFonts w:eastAsia="Arial"/>
          <w:szCs w:val="24"/>
          <w:lang w:val="en-US"/>
        </w:rPr>
        <w:t xml:space="preserve">a wide range of inventory items </w:t>
      </w:r>
      <w:r w:rsidRPr="00DD1B58">
        <w:rPr>
          <w:rFonts w:eastAsia="Arial"/>
          <w:szCs w:val="24"/>
          <w:lang w:val="en-US"/>
        </w:rPr>
        <w:t xml:space="preserve">are </w:t>
      </w:r>
      <w:r w:rsidR="7E7D9A05" w:rsidRPr="00DD1B58">
        <w:rPr>
          <w:rFonts w:eastAsia="Arial"/>
          <w:szCs w:val="24"/>
          <w:lang w:val="en-US"/>
        </w:rPr>
        <w:t xml:space="preserve">commonly encountered in Springfields buildings. </w:t>
      </w:r>
      <w:r w:rsidR="00A60BE2" w:rsidRPr="00DD1B58">
        <w:rPr>
          <w:rFonts w:eastAsia="Arial"/>
          <w:szCs w:val="24"/>
          <w:lang w:val="en-US"/>
        </w:rPr>
        <w:t>It state</w:t>
      </w:r>
      <w:r w:rsidR="00583111" w:rsidRPr="00DD1B58">
        <w:rPr>
          <w:rFonts w:eastAsia="Arial"/>
          <w:szCs w:val="24"/>
          <w:lang w:val="en-US"/>
        </w:rPr>
        <w:t>s</w:t>
      </w:r>
      <w:r w:rsidR="00A60BE2" w:rsidRPr="00DD1B58">
        <w:rPr>
          <w:rFonts w:eastAsia="Arial"/>
          <w:szCs w:val="24"/>
          <w:lang w:val="en-US"/>
        </w:rPr>
        <w:t xml:space="preserve"> that m</w:t>
      </w:r>
      <w:r w:rsidR="7E7D9A05" w:rsidRPr="00DD1B58">
        <w:rPr>
          <w:rFonts w:eastAsia="Arial"/>
          <w:szCs w:val="24"/>
          <w:lang w:val="en-US"/>
        </w:rPr>
        <w:t xml:space="preserve">any </w:t>
      </w:r>
      <w:r w:rsidR="00A60BE2" w:rsidRPr="00DD1B58">
        <w:rPr>
          <w:rFonts w:eastAsia="Arial"/>
          <w:szCs w:val="24"/>
          <w:lang w:val="en-US"/>
        </w:rPr>
        <w:t>of such items were</w:t>
      </w:r>
      <w:r w:rsidR="7E7D9A05" w:rsidRPr="00DD1B58">
        <w:rPr>
          <w:rFonts w:eastAsia="Arial"/>
          <w:szCs w:val="24"/>
          <w:lang w:val="en-US"/>
        </w:rPr>
        <w:t xml:space="preserve"> weighed and </w:t>
      </w:r>
      <w:r w:rsidR="00A60BE2" w:rsidRPr="00DD1B58">
        <w:rPr>
          <w:rFonts w:eastAsia="Arial"/>
          <w:szCs w:val="24"/>
          <w:lang w:val="en-US"/>
        </w:rPr>
        <w:t xml:space="preserve">a </w:t>
      </w:r>
      <w:r w:rsidR="7E7D9A05" w:rsidRPr="00DD1B58">
        <w:rPr>
          <w:rFonts w:eastAsia="Arial"/>
          <w:szCs w:val="24"/>
          <w:lang w:val="en-US"/>
        </w:rPr>
        <w:t xml:space="preserve">specific combustible contribution in MJ </w:t>
      </w:r>
      <w:r w:rsidR="00A60BE2" w:rsidRPr="00DD1B58">
        <w:rPr>
          <w:rFonts w:eastAsia="Arial"/>
          <w:szCs w:val="24"/>
          <w:lang w:val="en-US"/>
        </w:rPr>
        <w:t xml:space="preserve">was </w:t>
      </w:r>
      <w:r w:rsidR="7E7D9A05" w:rsidRPr="00DD1B58">
        <w:rPr>
          <w:rFonts w:eastAsia="Arial"/>
          <w:szCs w:val="24"/>
          <w:lang w:val="en-US"/>
        </w:rPr>
        <w:t>calculated for each item. For other ad hoc items</w:t>
      </w:r>
      <w:r w:rsidR="006116C0" w:rsidRPr="00DD1B58">
        <w:rPr>
          <w:rFonts w:eastAsia="Arial"/>
          <w:szCs w:val="24"/>
          <w:lang w:val="en-US"/>
        </w:rPr>
        <w:t xml:space="preserve">, Springfields Fuels </w:t>
      </w:r>
      <w:r w:rsidR="00BF0D1B" w:rsidRPr="00DD1B58">
        <w:rPr>
          <w:rFonts w:eastAsia="Arial"/>
          <w:szCs w:val="24"/>
          <w:lang w:val="en-US"/>
        </w:rPr>
        <w:t>Ltd</w:t>
      </w:r>
      <w:r w:rsidR="006116C0" w:rsidRPr="00DD1B58">
        <w:rPr>
          <w:rFonts w:eastAsia="Arial"/>
          <w:szCs w:val="24"/>
          <w:lang w:val="en-US"/>
        </w:rPr>
        <w:t xml:space="preserve"> calculates the </w:t>
      </w:r>
      <w:r w:rsidR="7E7D9A05" w:rsidRPr="00DD1B58">
        <w:rPr>
          <w:rFonts w:eastAsia="Arial"/>
          <w:szCs w:val="24"/>
          <w:lang w:val="en-US"/>
        </w:rPr>
        <w:t xml:space="preserve">combustible load based on the material involved and a calculation of the weight of the specific item. Where </w:t>
      </w:r>
      <w:r w:rsidR="000B36A5" w:rsidRPr="00DD1B58">
        <w:rPr>
          <w:rFonts w:eastAsia="Arial"/>
          <w:szCs w:val="24"/>
          <w:lang w:val="en-US"/>
        </w:rPr>
        <w:t xml:space="preserve">it cannot calculate </w:t>
      </w:r>
      <w:r w:rsidR="7E7D9A05" w:rsidRPr="00DD1B58">
        <w:rPr>
          <w:rFonts w:eastAsia="Arial"/>
          <w:szCs w:val="24"/>
          <w:lang w:val="en-US"/>
        </w:rPr>
        <w:t>weight accurately (e.g., the item is too heavy to weigh or is fixed)</w:t>
      </w:r>
      <w:r w:rsidR="000B36A5" w:rsidRPr="00DD1B58">
        <w:rPr>
          <w:rFonts w:eastAsia="Arial"/>
          <w:szCs w:val="24"/>
          <w:lang w:val="en-US"/>
        </w:rPr>
        <w:t xml:space="preserve">, Springfields Fuels Ltd makes </w:t>
      </w:r>
      <w:r w:rsidR="7E7D9A05" w:rsidRPr="00DD1B58">
        <w:rPr>
          <w:rFonts w:eastAsia="Arial"/>
          <w:szCs w:val="24"/>
          <w:lang w:val="en-US"/>
        </w:rPr>
        <w:t xml:space="preserve">a conservative estimate. </w:t>
      </w:r>
      <w:r w:rsidR="000B36A5" w:rsidRPr="00DD1B58">
        <w:rPr>
          <w:rFonts w:eastAsia="Arial"/>
          <w:szCs w:val="24"/>
          <w:lang w:val="en-US"/>
        </w:rPr>
        <w:t>Springfields Fuels Ltd uses d</w:t>
      </w:r>
      <w:r w:rsidR="7E7D9A05" w:rsidRPr="00DD1B58">
        <w:rPr>
          <w:rFonts w:eastAsia="Arial"/>
          <w:szCs w:val="24"/>
          <w:lang w:val="en-US"/>
        </w:rPr>
        <w:t xml:space="preserve">ata sources for common materials from references </w:t>
      </w:r>
      <w:sdt>
        <w:sdtPr>
          <w:rPr>
            <w:rFonts w:eastAsia="Arial"/>
            <w:szCs w:val="24"/>
            <w:lang w:val="en-US"/>
          </w:rPr>
          <w:id w:val="-1581054637"/>
          <w:citation/>
        </w:sdtPr>
        <w:sdtContent>
          <w:r w:rsidR="008616AE" w:rsidRPr="00DD1B58">
            <w:rPr>
              <w:rFonts w:eastAsia="Arial"/>
              <w:szCs w:val="24"/>
              <w:lang w:val="en-US"/>
            </w:rPr>
            <w:fldChar w:fldCharType="begin"/>
          </w:r>
          <w:r w:rsidR="008616AE" w:rsidRPr="00DD1B58">
            <w:rPr>
              <w:rFonts w:eastAsia="Arial"/>
              <w:szCs w:val="24"/>
              <w:lang w:val="en-US"/>
            </w:rPr>
            <w:instrText xml:space="preserve"> CITATION Dry11 \l 2057 </w:instrText>
          </w:r>
          <w:r w:rsidR="008616AE" w:rsidRPr="00DD1B58">
            <w:rPr>
              <w:rFonts w:eastAsia="Arial"/>
              <w:szCs w:val="24"/>
              <w:lang w:val="en-US"/>
            </w:rPr>
            <w:fldChar w:fldCharType="separate"/>
          </w:r>
          <w:r w:rsidR="00DF47DA" w:rsidRPr="00DF47DA">
            <w:rPr>
              <w:rFonts w:eastAsia="Arial"/>
              <w:noProof/>
              <w:szCs w:val="24"/>
              <w:lang w:val="en-US"/>
            </w:rPr>
            <w:t>[29]</w:t>
          </w:r>
          <w:r w:rsidR="008616AE"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1378121592"/>
          <w:citation/>
        </w:sdtPr>
        <w:sdtContent>
          <w:r w:rsidR="008616AE" w:rsidRPr="00DD1B58">
            <w:rPr>
              <w:rFonts w:eastAsia="Arial"/>
              <w:szCs w:val="24"/>
              <w:lang w:val="en-US"/>
            </w:rPr>
            <w:fldChar w:fldCharType="begin"/>
          </w:r>
          <w:r w:rsidR="008616AE" w:rsidRPr="00DD1B58">
            <w:rPr>
              <w:rFonts w:eastAsia="Arial"/>
              <w:szCs w:val="24"/>
              <w:lang w:val="en-US"/>
            </w:rPr>
            <w:instrText xml:space="preserve"> CITATION SFP \l 2057 </w:instrText>
          </w:r>
          <w:r w:rsidR="008616AE" w:rsidRPr="00DD1B58">
            <w:rPr>
              <w:rFonts w:eastAsia="Arial"/>
              <w:szCs w:val="24"/>
              <w:lang w:val="en-US"/>
            </w:rPr>
            <w:fldChar w:fldCharType="separate"/>
          </w:r>
          <w:r w:rsidR="00DF47DA" w:rsidRPr="00DF47DA">
            <w:rPr>
              <w:rFonts w:eastAsia="Arial"/>
              <w:noProof/>
              <w:szCs w:val="24"/>
              <w:lang w:val="en-US"/>
            </w:rPr>
            <w:t>[86]</w:t>
          </w:r>
          <w:r w:rsidR="008616AE"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1664893858"/>
          <w:citation/>
        </w:sdtPr>
        <w:sdtContent>
          <w:r w:rsidR="00B105F4" w:rsidRPr="00DD1B58">
            <w:rPr>
              <w:rFonts w:eastAsia="Arial"/>
              <w:szCs w:val="24"/>
              <w:lang w:val="en-US"/>
            </w:rPr>
            <w:fldChar w:fldCharType="begin"/>
          </w:r>
          <w:r w:rsidR="00B105F4" w:rsidRPr="00DD1B58">
            <w:rPr>
              <w:rFonts w:eastAsia="Arial"/>
              <w:szCs w:val="24"/>
              <w:lang w:val="en-US"/>
            </w:rPr>
            <w:instrText xml:space="preserve"> CITATION Bab03 \l 2057 </w:instrText>
          </w:r>
          <w:r w:rsidR="00B105F4" w:rsidRPr="00DD1B58">
            <w:rPr>
              <w:rFonts w:eastAsia="Arial"/>
              <w:szCs w:val="24"/>
              <w:lang w:val="en-US"/>
            </w:rPr>
            <w:fldChar w:fldCharType="separate"/>
          </w:r>
          <w:r w:rsidR="00DF47DA" w:rsidRPr="00DF47DA">
            <w:rPr>
              <w:rFonts w:eastAsia="Arial"/>
              <w:noProof/>
              <w:szCs w:val="24"/>
              <w:lang w:val="en-US"/>
            </w:rPr>
            <w:t>[87]</w:t>
          </w:r>
          <w:r w:rsidR="00B105F4"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1444035236"/>
          <w:citation/>
        </w:sdtPr>
        <w:sdtContent>
          <w:r w:rsidR="00E56197" w:rsidRPr="00DD1B58">
            <w:rPr>
              <w:rFonts w:eastAsia="Arial"/>
              <w:szCs w:val="24"/>
              <w:lang w:val="en-US"/>
            </w:rPr>
            <w:fldChar w:fldCharType="begin"/>
          </w:r>
          <w:r w:rsidR="00E56197" w:rsidRPr="00DD1B58">
            <w:rPr>
              <w:rFonts w:eastAsia="Arial"/>
              <w:szCs w:val="24"/>
              <w:lang w:val="en-US"/>
            </w:rPr>
            <w:instrText xml:space="preserve"> CITATION Hea \l 2057 </w:instrText>
          </w:r>
          <w:r w:rsidR="00E56197" w:rsidRPr="00DD1B58">
            <w:rPr>
              <w:rFonts w:eastAsia="Arial"/>
              <w:szCs w:val="24"/>
              <w:lang w:val="en-US"/>
            </w:rPr>
            <w:fldChar w:fldCharType="separate"/>
          </w:r>
          <w:r w:rsidR="00DF47DA" w:rsidRPr="00DF47DA">
            <w:rPr>
              <w:rFonts w:eastAsia="Arial"/>
              <w:noProof/>
              <w:szCs w:val="24"/>
              <w:lang w:val="en-US"/>
            </w:rPr>
            <w:t>[88]</w:t>
          </w:r>
          <w:r w:rsidR="00E56197"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796142588"/>
          <w:citation/>
        </w:sdtPr>
        <w:sdtContent>
          <w:r w:rsidR="00CB3C17" w:rsidRPr="00DD1B58">
            <w:rPr>
              <w:rFonts w:eastAsia="Arial"/>
              <w:szCs w:val="24"/>
              <w:lang w:val="en-US"/>
            </w:rPr>
            <w:fldChar w:fldCharType="begin"/>
          </w:r>
          <w:r w:rsidR="00CB3C17" w:rsidRPr="00DD1B58">
            <w:rPr>
              <w:rFonts w:eastAsia="Arial"/>
              <w:szCs w:val="24"/>
              <w:lang w:val="en-US"/>
            </w:rPr>
            <w:instrText xml:space="preserve"> CITATION Uni3 \l 2057 </w:instrText>
          </w:r>
          <w:r w:rsidR="00CB3C17" w:rsidRPr="00DD1B58">
            <w:rPr>
              <w:rFonts w:eastAsia="Arial"/>
              <w:szCs w:val="24"/>
              <w:lang w:val="en-US"/>
            </w:rPr>
            <w:fldChar w:fldCharType="separate"/>
          </w:r>
          <w:r w:rsidR="00DF47DA" w:rsidRPr="00DF47DA">
            <w:rPr>
              <w:rFonts w:eastAsia="Arial"/>
              <w:noProof/>
              <w:szCs w:val="24"/>
              <w:lang w:val="en-US"/>
            </w:rPr>
            <w:t>[89]</w:t>
          </w:r>
          <w:r w:rsidR="00CB3C17"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1129395295"/>
          <w:citation/>
        </w:sdtPr>
        <w:sdtContent>
          <w:r w:rsidR="00917FA9" w:rsidRPr="00DD1B58">
            <w:rPr>
              <w:rFonts w:eastAsia="Arial"/>
              <w:szCs w:val="24"/>
              <w:lang w:val="en-US"/>
            </w:rPr>
            <w:fldChar w:fldCharType="begin"/>
          </w:r>
          <w:r w:rsidR="00917FA9" w:rsidRPr="00DD1B58">
            <w:rPr>
              <w:rFonts w:eastAsia="Arial"/>
              <w:szCs w:val="24"/>
              <w:lang w:val="en-US"/>
            </w:rPr>
            <w:instrText xml:space="preserve"> CITATION B57 \l 2057 </w:instrText>
          </w:r>
          <w:r w:rsidR="00917FA9" w:rsidRPr="00DD1B58">
            <w:rPr>
              <w:rFonts w:eastAsia="Arial"/>
              <w:szCs w:val="24"/>
              <w:lang w:val="en-US"/>
            </w:rPr>
            <w:fldChar w:fldCharType="separate"/>
          </w:r>
          <w:r w:rsidR="00DF47DA" w:rsidRPr="00DF47DA">
            <w:rPr>
              <w:rFonts w:eastAsia="Arial"/>
              <w:noProof/>
              <w:szCs w:val="24"/>
              <w:lang w:val="en-US"/>
            </w:rPr>
            <w:t>[90]</w:t>
          </w:r>
          <w:r w:rsidR="00917FA9" w:rsidRPr="00DD1B58">
            <w:rPr>
              <w:rFonts w:eastAsia="Arial"/>
              <w:szCs w:val="24"/>
              <w:lang w:val="en-US"/>
            </w:rPr>
            <w:fldChar w:fldCharType="end"/>
          </w:r>
        </w:sdtContent>
      </w:sdt>
      <w:r w:rsidR="7E7D9A05" w:rsidRPr="00DD1B58">
        <w:rPr>
          <w:rFonts w:eastAsia="Arial"/>
          <w:szCs w:val="24"/>
          <w:lang w:val="en-US"/>
        </w:rPr>
        <w:t xml:space="preserve">, </w:t>
      </w:r>
      <w:sdt>
        <w:sdtPr>
          <w:rPr>
            <w:rFonts w:eastAsia="Arial"/>
            <w:szCs w:val="24"/>
            <w:lang w:val="en-US"/>
          </w:rPr>
          <w:id w:val="-221211102"/>
          <w:citation/>
        </w:sdtPr>
        <w:sdtContent>
          <w:r w:rsidR="00917FA9" w:rsidRPr="00DD1B58">
            <w:rPr>
              <w:rFonts w:eastAsia="Arial"/>
              <w:szCs w:val="24"/>
              <w:lang w:val="en-US"/>
            </w:rPr>
            <w:fldChar w:fldCharType="begin"/>
          </w:r>
          <w:r w:rsidR="00917FA9" w:rsidRPr="00DD1B58">
            <w:rPr>
              <w:rFonts w:eastAsia="Arial"/>
              <w:szCs w:val="24"/>
              <w:lang w:val="en-US"/>
            </w:rPr>
            <w:instrText xml:space="preserve"> CITATION NFP09 \l 2057 </w:instrText>
          </w:r>
          <w:r w:rsidR="00917FA9" w:rsidRPr="00DD1B58">
            <w:rPr>
              <w:rFonts w:eastAsia="Arial"/>
              <w:szCs w:val="24"/>
              <w:lang w:val="en-US"/>
            </w:rPr>
            <w:fldChar w:fldCharType="separate"/>
          </w:r>
          <w:r w:rsidR="00DF47DA" w:rsidRPr="00DF47DA">
            <w:rPr>
              <w:rFonts w:eastAsia="Arial"/>
              <w:noProof/>
              <w:szCs w:val="24"/>
              <w:lang w:val="en-US"/>
            </w:rPr>
            <w:t>[91]</w:t>
          </w:r>
          <w:r w:rsidR="00917FA9" w:rsidRPr="00DD1B58">
            <w:rPr>
              <w:rFonts w:eastAsia="Arial"/>
              <w:szCs w:val="24"/>
              <w:lang w:val="en-US"/>
            </w:rPr>
            <w:fldChar w:fldCharType="end"/>
          </w:r>
        </w:sdtContent>
      </w:sdt>
      <w:r w:rsidR="7E7D9A05" w:rsidRPr="00DD1B58">
        <w:rPr>
          <w:rFonts w:eastAsia="Arial"/>
          <w:szCs w:val="24"/>
          <w:lang w:val="en-US"/>
        </w:rPr>
        <w:t xml:space="preserve">, and </w:t>
      </w:r>
      <w:sdt>
        <w:sdtPr>
          <w:rPr>
            <w:rFonts w:eastAsia="Arial"/>
            <w:szCs w:val="24"/>
            <w:lang w:val="en-US"/>
          </w:rPr>
          <w:id w:val="-1809085310"/>
          <w:citation/>
        </w:sdtPr>
        <w:sdtContent>
          <w:r w:rsidR="00CB3C17" w:rsidRPr="00DD1B58">
            <w:rPr>
              <w:rFonts w:eastAsia="Arial"/>
              <w:szCs w:val="24"/>
              <w:lang w:val="en-US"/>
            </w:rPr>
            <w:fldChar w:fldCharType="begin"/>
          </w:r>
          <w:r w:rsidR="00CB3C17" w:rsidRPr="00DD1B58">
            <w:rPr>
              <w:rFonts w:eastAsia="Arial"/>
              <w:szCs w:val="24"/>
              <w:lang w:val="en-US"/>
            </w:rPr>
            <w:instrText xml:space="preserve"> CITATION NFP23 \l 2057 </w:instrText>
          </w:r>
          <w:r w:rsidR="00CB3C17" w:rsidRPr="00DD1B58">
            <w:rPr>
              <w:rFonts w:eastAsia="Arial"/>
              <w:szCs w:val="24"/>
              <w:lang w:val="en-US"/>
            </w:rPr>
            <w:fldChar w:fldCharType="separate"/>
          </w:r>
          <w:r w:rsidR="00DF47DA" w:rsidRPr="00DF47DA">
            <w:rPr>
              <w:rFonts w:eastAsia="Arial"/>
              <w:noProof/>
              <w:szCs w:val="24"/>
              <w:lang w:val="en-US"/>
            </w:rPr>
            <w:t>[83]</w:t>
          </w:r>
          <w:r w:rsidR="00CB3C17" w:rsidRPr="00DD1B58">
            <w:rPr>
              <w:rFonts w:eastAsia="Arial"/>
              <w:szCs w:val="24"/>
              <w:lang w:val="en-US"/>
            </w:rPr>
            <w:fldChar w:fldCharType="end"/>
          </w:r>
        </w:sdtContent>
      </w:sdt>
      <w:r w:rsidR="00CC52F6" w:rsidRPr="00DD1B58">
        <w:rPr>
          <w:rFonts w:eastAsia="Arial"/>
          <w:szCs w:val="24"/>
          <w:lang w:val="en-US"/>
        </w:rPr>
        <w:t>,</w:t>
      </w:r>
      <w:r w:rsidR="7E7D9A05" w:rsidRPr="00DD1B58">
        <w:rPr>
          <w:rFonts w:eastAsia="Arial"/>
          <w:szCs w:val="24"/>
          <w:lang w:val="en-US"/>
        </w:rPr>
        <w:t xml:space="preserve"> as well as documented sources for weights of items </w:t>
      </w:r>
      <w:r w:rsidR="00CC52F6" w:rsidRPr="00DD1B58">
        <w:rPr>
          <w:rFonts w:eastAsia="Arial"/>
          <w:szCs w:val="24"/>
          <w:lang w:val="en-US"/>
        </w:rPr>
        <w:t xml:space="preserve">such as </w:t>
      </w:r>
      <w:r w:rsidR="7E7D9A05" w:rsidRPr="00DD1B58">
        <w:rPr>
          <w:rFonts w:eastAsia="Arial"/>
          <w:szCs w:val="24"/>
          <w:lang w:val="en-US"/>
        </w:rPr>
        <w:t>manufacturers</w:t>
      </w:r>
      <w:r w:rsidR="00CC52F6" w:rsidRPr="00DD1B58">
        <w:rPr>
          <w:rFonts w:eastAsia="Arial"/>
          <w:szCs w:val="24"/>
          <w:lang w:val="en-US"/>
        </w:rPr>
        <w:t>’</w:t>
      </w:r>
      <w:r w:rsidR="7E7D9A05" w:rsidRPr="00DD1B58">
        <w:rPr>
          <w:rFonts w:eastAsia="Arial"/>
          <w:szCs w:val="24"/>
          <w:lang w:val="en-US"/>
        </w:rPr>
        <w:t xml:space="preserve"> information and published research.</w:t>
      </w:r>
    </w:p>
    <w:p w14:paraId="07DFE905" w14:textId="3FFBB42D" w:rsidR="6C4D33C6" w:rsidRPr="00DD1B58" w:rsidRDefault="003C24B2" w:rsidP="6C4D33C6">
      <w:pPr>
        <w:rPr>
          <w:rFonts w:eastAsia="Arial"/>
          <w:szCs w:val="24"/>
          <w:lang w:val="en-US"/>
        </w:rPr>
      </w:pPr>
      <w:r w:rsidRPr="00DD1B58">
        <w:rPr>
          <w:rFonts w:eastAsia="Arial"/>
          <w:szCs w:val="24"/>
          <w:lang w:val="en-US"/>
        </w:rPr>
        <w:t>Descriptions of s</w:t>
      </w:r>
      <w:r w:rsidR="000F362B" w:rsidRPr="00DD1B58">
        <w:rPr>
          <w:rFonts w:eastAsia="Arial"/>
          <w:szCs w:val="24"/>
          <w:lang w:val="en-US"/>
        </w:rPr>
        <w:t xml:space="preserve">pecific methodologies </w:t>
      </w:r>
      <w:r w:rsidR="00BE72FE" w:rsidRPr="00DD1B58">
        <w:rPr>
          <w:rFonts w:eastAsia="Arial"/>
          <w:szCs w:val="24"/>
          <w:lang w:val="en-US"/>
        </w:rPr>
        <w:t xml:space="preserve">for quantifying electrical cables, electrical cubicles and protected fire loads and office fire loads </w:t>
      </w:r>
      <w:r w:rsidR="00CC52F6" w:rsidRPr="00DD1B58">
        <w:rPr>
          <w:rFonts w:eastAsia="Arial"/>
          <w:szCs w:val="24"/>
          <w:lang w:val="en-US"/>
        </w:rPr>
        <w:t xml:space="preserve">are </w:t>
      </w:r>
      <w:r w:rsidR="00BE72FE" w:rsidRPr="00DD1B58">
        <w:rPr>
          <w:rFonts w:eastAsia="Arial"/>
          <w:szCs w:val="24"/>
          <w:lang w:val="en-US"/>
        </w:rPr>
        <w:t xml:space="preserve">provided in the Springfields </w:t>
      </w:r>
      <w:r w:rsidR="00CC035A" w:rsidRPr="00DD1B58">
        <w:rPr>
          <w:rFonts w:eastAsia="Arial"/>
          <w:szCs w:val="24"/>
          <w:lang w:val="en-US"/>
        </w:rPr>
        <w:t xml:space="preserve">self-assessment submission </w:t>
      </w:r>
      <w:r w:rsidR="005F6C7C" w:rsidRPr="00DD1B58">
        <w:rPr>
          <w:rFonts w:eastAsia="Arial"/>
          <w:szCs w:val="24"/>
          <w:lang w:val="en-US"/>
        </w:rPr>
        <w:t xml:space="preserve">to the NAR </w:t>
      </w:r>
      <w:sdt>
        <w:sdtPr>
          <w:rPr>
            <w:rFonts w:eastAsia="Arial"/>
            <w:szCs w:val="24"/>
            <w:lang w:val="en-US"/>
          </w:rPr>
          <w:id w:val="-577745825"/>
          <w:citation/>
        </w:sdtPr>
        <w:sdtContent>
          <w:r w:rsidR="00836017" w:rsidRPr="00DD1B58">
            <w:rPr>
              <w:rFonts w:eastAsia="Arial"/>
              <w:szCs w:val="24"/>
              <w:lang w:val="en-US"/>
            </w:rPr>
            <w:fldChar w:fldCharType="begin"/>
          </w:r>
          <w:r w:rsidR="00836017" w:rsidRPr="00DD1B58">
            <w:rPr>
              <w:rFonts w:eastAsia="Arial"/>
              <w:szCs w:val="24"/>
              <w:lang w:val="en-US"/>
            </w:rPr>
            <w:instrText xml:space="preserve"> CITATION ENS \l 2057 </w:instrText>
          </w:r>
          <w:r w:rsidR="00836017" w:rsidRPr="00DD1B58">
            <w:rPr>
              <w:rFonts w:eastAsia="Arial"/>
              <w:szCs w:val="24"/>
              <w:lang w:val="en-US"/>
            </w:rPr>
            <w:fldChar w:fldCharType="separate"/>
          </w:r>
          <w:r w:rsidR="00DF47DA" w:rsidRPr="00DF47DA">
            <w:rPr>
              <w:rFonts w:eastAsia="Arial"/>
              <w:noProof/>
              <w:szCs w:val="24"/>
              <w:lang w:val="en-US"/>
            </w:rPr>
            <w:t>[9]</w:t>
          </w:r>
          <w:r w:rsidR="00836017" w:rsidRPr="00DD1B58">
            <w:rPr>
              <w:rFonts w:eastAsia="Arial"/>
              <w:szCs w:val="24"/>
              <w:lang w:val="en-US"/>
            </w:rPr>
            <w:fldChar w:fldCharType="end"/>
          </w:r>
        </w:sdtContent>
      </w:sdt>
      <w:r w:rsidR="005F6C7C" w:rsidRPr="00DD1B58">
        <w:rPr>
          <w:rFonts w:eastAsia="Arial"/>
          <w:szCs w:val="24"/>
          <w:lang w:val="en-US"/>
        </w:rPr>
        <w:t>.</w:t>
      </w:r>
    </w:p>
    <w:p w14:paraId="33FB29D4" w14:textId="5AC83D0B" w:rsidR="7567FE62" w:rsidRPr="00DD1B58" w:rsidRDefault="7567FE62" w:rsidP="00973FF4">
      <w:pPr>
        <w:keepNext/>
        <w:rPr>
          <w:b/>
          <w:szCs w:val="24"/>
          <w:lang w:val="en-US"/>
        </w:rPr>
      </w:pPr>
      <w:r w:rsidRPr="00DD1B58">
        <w:rPr>
          <w:b/>
          <w:lang w:val="en-US"/>
        </w:rPr>
        <w:t xml:space="preserve">Frequency of </w:t>
      </w:r>
      <w:r w:rsidR="00F5060E" w:rsidRPr="00DD1B58">
        <w:rPr>
          <w:b/>
          <w:lang w:val="en-US"/>
        </w:rPr>
        <w:t>a</w:t>
      </w:r>
      <w:r w:rsidRPr="00DD1B58">
        <w:rPr>
          <w:b/>
          <w:lang w:val="en-US"/>
        </w:rPr>
        <w:t>ssessment</w:t>
      </w:r>
    </w:p>
    <w:p w14:paraId="458068A8" w14:textId="382DB95B" w:rsidR="6C4D33C6" w:rsidRPr="00DD1B58" w:rsidRDefault="00147EC2"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typically reviews the fire loading studies as </w:t>
      </w:r>
      <w:r w:rsidR="7567FE62" w:rsidRPr="00DD1B58">
        <w:rPr>
          <w:rFonts w:eastAsia="Arial"/>
          <w:szCs w:val="24"/>
          <w:lang w:val="en-US"/>
        </w:rPr>
        <w:t xml:space="preserve">part of the ten-year COSR review process. </w:t>
      </w:r>
      <w:r w:rsidR="00C66D8D" w:rsidRPr="00DD1B58">
        <w:rPr>
          <w:rFonts w:eastAsia="Arial"/>
          <w:szCs w:val="24"/>
          <w:lang w:val="en-US"/>
        </w:rPr>
        <w:t>It stat</w:t>
      </w:r>
      <w:r w:rsidR="00583111" w:rsidRPr="00DD1B58">
        <w:rPr>
          <w:rFonts w:eastAsia="Arial"/>
          <w:szCs w:val="24"/>
          <w:lang w:val="en-US"/>
        </w:rPr>
        <w:t>es</w:t>
      </w:r>
      <w:r w:rsidR="00C66D8D" w:rsidRPr="00DD1B58">
        <w:rPr>
          <w:rFonts w:eastAsia="Arial"/>
          <w:szCs w:val="24"/>
          <w:lang w:val="en-US"/>
        </w:rPr>
        <w:t xml:space="preserve"> that</w:t>
      </w:r>
      <w:r w:rsidR="00FB3660" w:rsidRPr="00DD1B58">
        <w:rPr>
          <w:rFonts w:eastAsia="Arial"/>
          <w:szCs w:val="24"/>
          <w:lang w:val="en-US"/>
        </w:rPr>
        <w:t xml:space="preserve"> a</w:t>
      </w:r>
      <w:r w:rsidR="00C66D8D" w:rsidRPr="00DD1B58">
        <w:rPr>
          <w:rFonts w:eastAsia="Arial"/>
          <w:szCs w:val="24"/>
          <w:lang w:val="en-US"/>
        </w:rPr>
        <w:t xml:space="preserve"> </w:t>
      </w:r>
      <w:r w:rsidR="7567FE62" w:rsidRPr="00DD1B58">
        <w:rPr>
          <w:rFonts w:eastAsia="Arial"/>
          <w:szCs w:val="24"/>
          <w:lang w:val="en-US"/>
        </w:rPr>
        <w:t xml:space="preserve">detailed study </w:t>
      </w:r>
      <w:r w:rsidR="00FB3660" w:rsidRPr="00DD1B58">
        <w:rPr>
          <w:rFonts w:eastAsia="Arial"/>
          <w:szCs w:val="24"/>
          <w:lang w:val="en-US"/>
        </w:rPr>
        <w:t xml:space="preserve">is </w:t>
      </w:r>
      <w:r w:rsidR="7567FE62" w:rsidRPr="00DD1B58">
        <w:rPr>
          <w:rFonts w:eastAsia="Arial"/>
          <w:szCs w:val="24"/>
          <w:lang w:val="en-US"/>
        </w:rPr>
        <w:t xml:space="preserve">only undertaken once as there tend to be few major building changes. </w:t>
      </w:r>
      <w:r w:rsidR="000156E3" w:rsidRPr="00DD1B58">
        <w:rPr>
          <w:rFonts w:eastAsia="Arial"/>
          <w:szCs w:val="24"/>
          <w:lang w:val="en-US"/>
        </w:rPr>
        <w:t>However,</w:t>
      </w:r>
      <w:r w:rsidR="00EA1F65" w:rsidRPr="00DD1B58">
        <w:rPr>
          <w:rFonts w:eastAsia="Arial"/>
          <w:szCs w:val="24"/>
          <w:lang w:val="en-US"/>
        </w:rPr>
        <w:t xml:space="preserve"> if </w:t>
      </w:r>
      <w:r w:rsidR="7567FE62" w:rsidRPr="00DD1B58">
        <w:rPr>
          <w:rFonts w:eastAsia="Arial"/>
          <w:szCs w:val="24"/>
          <w:lang w:val="en-US"/>
        </w:rPr>
        <w:t xml:space="preserve">changes have occurred during the ten-year period, </w:t>
      </w:r>
      <w:r w:rsidR="00F66A4A" w:rsidRPr="00DD1B58">
        <w:rPr>
          <w:rFonts w:eastAsia="Arial"/>
          <w:szCs w:val="24"/>
          <w:lang w:val="en-US"/>
        </w:rPr>
        <w:t xml:space="preserve">Springfields Fuels </w:t>
      </w:r>
      <w:r w:rsidR="00BF0D1B" w:rsidRPr="00DD1B58">
        <w:rPr>
          <w:rFonts w:eastAsia="Arial"/>
          <w:szCs w:val="24"/>
          <w:lang w:val="en-US"/>
        </w:rPr>
        <w:t>Ltd</w:t>
      </w:r>
      <w:r w:rsidR="00F66A4A" w:rsidRPr="00DD1B58">
        <w:rPr>
          <w:rFonts w:eastAsia="Arial"/>
          <w:szCs w:val="24"/>
          <w:lang w:val="en-US"/>
        </w:rPr>
        <w:t xml:space="preserve"> </w:t>
      </w:r>
      <w:r w:rsidR="000156E3" w:rsidRPr="00DD1B58">
        <w:rPr>
          <w:rFonts w:eastAsia="Arial"/>
          <w:szCs w:val="24"/>
          <w:lang w:val="en-US"/>
        </w:rPr>
        <w:t xml:space="preserve">amends the </w:t>
      </w:r>
      <w:r w:rsidR="7567FE62" w:rsidRPr="00DD1B58">
        <w:rPr>
          <w:rFonts w:eastAsia="Arial"/>
          <w:szCs w:val="24"/>
          <w:lang w:val="en-US"/>
        </w:rPr>
        <w:t>fire loading studie</w:t>
      </w:r>
      <w:r w:rsidR="000156E3" w:rsidRPr="00DD1B58">
        <w:rPr>
          <w:rFonts w:eastAsia="Arial"/>
          <w:szCs w:val="24"/>
          <w:lang w:val="en-US"/>
        </w:rPr>
        <w:t>s</w:t>
      </w:r>
      <w:r w:rsidR="7567FE62" w:rsidRPr="00DD1B58">
        <w:rPr>
          <w:rFonts w:eastAsia="Arial"/>
          <w:szCs w:val="24"/>
          <w:lang w:val="en-US"/>
        </w:rPr>
        <w:t xml:space="preserve">. In general, </w:t>
      </w:r>
      <w:r w:rsidR="00F66A4A" w:rsidRPr="00DD1B58">
        <w:rPr>
          <w:rFonts w:eastAsia="Arial"/>
          <w:szCs w:val="24"/>
          <w:lang w:val="en-US"/>
        </w:rPr>
        <w:t xml:space="preserve">once </w:t>
      </w:r>
      <w:r w:rsidR="7567FE62" w:rsidRPr="00DD1B58">
        <w:rPr>
          <w:rFonts w:eastAsia="Arial"/>
          <w:szCs w:val="24"/>
          <w:lang w:val="en-US"/>
        </w:rPr>
        <w:t>the quantitative assessment has been undertaken</w:t>
      </w:r>
      <w:r w:rsidR="00F66A4A" w:rsidRPr="00DD1B58">
        <w:rPr>
          <w:rFonts w:eastAsia="Arial"/>
          <w:szCs w:val="24"/>
          <w:lang w:val="en-US"/>
        </w:rPr>
        <w:t>, Sprin</w:t>
      </w:r>
      <w:r w:rsidR="0032102E" w:rsidRPr="00DD1B58">
        <w:rPr>
          <w:rFonts w:eastAsia="Arial"/>
          <w:szCs w:val="24"/>
          <w:lang w:val="en-US"/>
        </w:rPr>
        <w:t>g</w:t>
      </w:r>
      <w:r w:rsidR="00F66A4A" w:rsidRPr="00DD1B58">
        <w:rPr>
          <w:rFonts w:eastAsia="Arial"/>
          <w:szCs w:val="24"/>
          <w:lang w:val="en-US"/>
        </w:rPr>
        <w:t>fields Fuel</w:t>
      </w:r>
      <w:r w:rsidR="0032102E" w:rsidRPr="00DD1B58">
        <w:rPr>
          <w:rFonts w:eastAsia="Arial"/>
          <w:szCs w:val="24"/>
          <w:lang w:val="en-US"/>
        </w:rPr>
        <w:t>s</w:t>
      </w:r>
      <w:r w:rsidR="00F66A4A" w:rsidRPr="00DD1B58">
        <w:rPr>
          <w:rFonts w:eastAsia="Arial"/>
          <w:szCs w:val="24"/>
          <w:lang w:val="en-US"/>
        </w:rPr>
        <w:t xml:space="preserve"> </w:t>
      </w:r>
      <w:r w:rsidR="00BF0D1B" w:rsidRPr="00DD1B58">
        <w:rPr>
          <w:rFonts w:eastAsia="Arial"/>
          <w:szCs w:val="24"/>
          <w:lang w:val="en-US"/>
        </w:rPr>
        <w:t>Ltd</w:t>
      </w:r>
      <w:r w:rsidR="00F66A4A" w:rsidRPr="00DD1B58">
        <w:rPr>
          <w:rFonts w:eastAsia="Arial"/>
          <w:szCs w:val="24"/>
          <w:lang w:val="en-US"/>
        </w:rPr>
        <w:t xml:space="preserve">’s </w:t>
      </w:r>
      <w:r w:rsidR="7567FE62" w:rsidRPr="00DD1B58">
        <w:rPr>
          <w:rFonts w:eastAsia="Arial"/>
          <w:szCs w:val="24"/>
          <w:lang w:val="en-US"/>
        </w:rPr>
        <w:t xml:space="preserve">subsequent reviews </w:t>
      </w:r>
      <w:r w:rsidR="00F66A4A" w:rsidRPr="00DD1B58">
        <w:rPr>
          <w:rFonts w:eastAsia="Arial"/>
          <w:szCs w:val="24"/>
          <w:lang w:val="en-US"/>
        </w:rPr>
        <w:t xml:space="preserve">are </w:t>
      </w:r>
      <w:r w:rsidR="7567FE62" w:rsidRPr="00DD1B58">
        <w:rPr>
          <w:rFonts w:eastAsia="Arial"/>
          <w:szCs w:val="24"/>
          <w:lang w:val="en-US"/>
        </w:rPr>
        <w:t>qualitative</w:t>
      </w:r>
      <w:r w:rsidR="00F66A4A" w:rsidRPr="00DD1B58">
        <w:rPr>
          <w:rFonts w:eastAsia="Arial"/>
          <w:szCs w:val="24"/>
          <w:lang w:val="en-US"/>
        </w:rPr>
        <w:t>,</w:t>
      </w:r>
      <w:r w:rsidR="7567FE62" w:rsidRPr="00DD1B58">
        <w:rPr>
          <w:rFonts w:eastAsia="Arial"/>
          <w:szCs w:val="24"/>
          <w:lang w:val="en-US"/>
        </w:rPr>
        <w:t xml:space="preserve"> to confirm that the assumptions remain valid.</w:t>
      </w:r>
    </w:p>
    <w:p w14:paraId="6A3BC92C" w14:textId="4D2CB75E" w:rsidR="7567FE62" w:rsidRPr="00DD1B58" w:rsidRDefault="7567FE62" w:rsidP="006A33CD">
      <w:pPr>
        <w:rPr>
          <w:b/>
          <w:lang w:val="en-US"/>
        </w:rPr>
      </w:pPr>
      <w:r w:rsidRPr="00DD1B58">
        <w:rPr>
          <w:b/>
          <w:lang w:val="en-US"/>
        </w:rPr>
        <w:t xml:space="preserve">Transient </w:t>
      </w:r>
      <w:r w:rsidR="008E5167" w:rsidRPr="00DD1B58">
        <w:rPr>
          <w:b/>
          <w:lang w:val="en-US"/>
        </w:rPr>
        <w:t>c</w:t>
      </w:r>
      <w:r w:rsidRPr="00DD1B58">
        <w:rPr>
          <w:b/>
          <w:lang w:val="en-US"/>
        </w:rPr>
        <w:t>ombustibles</w:t>
      </w:r>
    </w:p>
    <w:p w14:paraId="5CFE2D46" w14:textId="7502AAE5" w:rsidR="7567FE62" w:rsidRPr="00DD1B58" w:rsidRDefault="00F66A4A"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typically assess</w:t>
      </w:r>
      <w:r w:rsidR="00EF47F9" w:rsidRPr="00DD1B58">
        <w:rPr>
          <w:rFonts w:eastAsia="Arial"/>
          <w:szCs w:val="24"/>
          <w:lang w:val="en-US"/>
        </w:rPr>
        <w:t>es</w:t>
      </w:r>
      <w:r w:rsidRPr="00DD1B58">
        <w:rPr>
          <w:rFonts w:eastAsia="Arial"/>
          <w:szCs w:val="24"/>
          <w:lang w:val="en-US"/>
        </w:rPr>
        <w:t xml:space="preserve"> t</w:t>
      </w:r>
      <w:r w:rsidR="7567FE62" w:rsidRPr="00DD1B58">
        <w:rPr>
          <w:rFonts w:eastAsia="Arial"/>
          <w:szCs w:val="24"/>
          <w:lang w:val="en-US"/>
        </w:rPr>
        <w:t>ransient combustibles qualitatively through daily walk downs by fire nominated persons and plant management</w:t>
      </w:r>
      <w:r w:rsidR="005409B2" w:rsidRPr="00DD1B58">
        <w:rPr>
          <w:rFonts w:eastAsia="Arial"/>
          <w:szCs w:val="24"/>
          <w:lang w:val="en-US"/>
        </w:rPr>
        <w:t>. Plant areas should be generally free from transient combustibles and any significant accumulations (assessed qualitatively) are required to be removed. O</w:t>
      </w:r>
      <w:r w:rsidR="7567FE62" w:rsidRPr="00DD1B58">
        <w:rPr>
          <w:rFonts w:eastAsia="Arial"/>
          <w:szCs w:val="24"/>
          <w:lang w:val="en-US"/>
        </w:rPr>
        <w:t xml:space="preserve">ffice/plant based walkdowns (SSI 638 </w:t>
      </w:r>
      <w:sdt>
        <w:sdtPr>
          <w:rPr>
            <w:rFonts w:eastAsia="Arial"/>
            <w:szCs w:val="24"/>
            <w:lang w:val="en-US"/>
          </w:rPr>
          <w:id w:val="184572043"/>
          <w:citation/>
        </w:sdtPr>
        <w:sdtContent>
          <w:r w:rsidR="00C51620" w:rsidRPr="00DD1B58">
            <w:rPr>
              <w:rFonts w:eastAsia="Arial"/>
              <w:szCs w:val="24"/>
              <w:lang w:val="en-US"/>
            </w:rPr>
            <w:fldChar w:fldCharType="begin"/>
          </w:r>
          <w:r w:rsidR="00C51620" w:rsidRPr="00DD1B58">
            <w:rPr>
              <w:rFonts w:eastAsia="Arial"/>
              <w:szCs w:val="24"/>
              <w:lang w:val="en-US"/>
            </w:rPr>
            <w:instrText xml:space="preserve"> CITATION SSI3 \l 2057 </w:instrText>
          </w:r>
          <w:r w:rsidR="00C51620" w:rsidRPr="00DD1B58">
            <w:rPr>
              <w:rFonts w:eastAsia="Arial"/>
              <w:szCs w:val="24"/>
              <w:lang w:val="en-US"/>
            </w:rPr>
            <w:fldChar w:fldCharType="separate"/>
          </w:r>
          <w:r w:rsidR="00DF47DA" w:rsidRPr="00DF47DA">
            <w:rPr>
              <w:rFonts w:eastAsia="Arial"/>
              <w:noProof/>
              <w:szCs w:val="24"/>
              <w:lang w:val="en-US"/>
            </w:rPr>
            <w:t>[92]</w:t>
          </w:r>
          <w:r w:rsidR="00C51620" w:rsidRPr="00DD1B58">
            <w:rPr>
              <w:rFonts w:eastAsia="Arial"/>
              <w:szCs w:val="24"/>
              <w:lang w:val="en-US"/>
            </w:rPr>
            <w:fldChar w:fldCharType="end"/>
          </w:r>
        </w:sdtContent>
      </w:sdt>
      <w:r w:rsidR="7567FE62" w:rsidRPr="00DD1B58">
        <w:rPr>
          <w:rFonts w:eastAsia="Arial"/>
          <w:szCs w:val="24"/>
          <w:lang w:val="en-US"/>
        </w:rPr>
        <w:t xml:space="preserve"> C and D) are completed within defined periods and fire risk assessments undertaken</w:t>
      </w:r>
      <w:r w:rsidR="008E5167" w:rsidRPr="00DD1B58">
        <w:rPr>
          <w:rFonts w:eastAsia="Arial"/>
          <w:szCs w:val="24"/>
          <w:lang w:val="en-US"/>
        </w:rPr>
        <w:t>.</w:t>
      </w:r>
      <w:r w:rsidR="7567FE62" w:rsidRPr="00DD1B58">
        <w:rPr>
          <w:rFonts w:eastAsia="Arial"/>
          <w:szCs w:val="24"/>
          <w:lang w:val="en-US"/>
        </w:rPr>
        <w:t xml:space="preserve"> </w:t>
      </w:r>
      <w:r w:rsidR="008E5167" w:rsidRPr="00DD1B58">
        <w:rPr>
          <w:rFonts w:eastAsia="Arial"/>
          <w:szCs w:val="24"/>
          <w:lang w:val="en-US"/>
        </w:rPr>
        <w:t>I</w:t>
      </w:r>
      <w:r w:rsidR="7567FE62" w:rsidRPr="00DD1B58">
        <w:rPr>
          <w:rFonts w:eastAsia="Arial"/>
          <w:szCs w:val="24"/>
          <w:lang w:val="en-US"/>
        </w:rPr>
        <w:t xml:space="preserve">ssues identified within the assessment are tracked via a fire actions database. </w:t>
      </w:r>
      <w:r w:rsidR="00FE77C5" w:rsidRPr="00DD1B58">
        <w:rPr>
          <w:rFonts w:eastAsia="Arial"/>
          <w:szCs w:val="24"/>
          <w:lang w:val="en-US"/>
        </w:rPr>
        <w:t>Fire risk assessments</w:t>
      </w:r>
      <w:r w:rsidR="7567FE62" w:rsidRPr="00DD1B58">
        <w:rPr>
          <w:rFonts w:eastAsia="Arial"/>
          <w:szCs w:val="24"/>
          <w:lang w:val="en-US"/>
        </w:rPr>
        <w:t xml:space="preserve"> are undertaken on a three yearly basis. </w:t>
      </w:r>
      <w:r w:rsidR="009742DD" w:rsidRPr="00DD1B58">
        <w:rPr>
          <w:rFonts w:eastAsia="Arial"/>
          <w:szCs w:val="24"/>
          <w:lang w:val="en-US"/>
        </w:rPr>
        <w:t xml:space="preserve">Springfields Fuels </w:t>
      </w:r>
      <w:r w:rsidR="00BF0D1B" w:rsidRPr="00DD1B58">
        <w:rPr>
          <w:rFonts w:eastAsia="Arial"/>
          <w:szCs w:val="24"/>
          <w:lang w:val="en-US"/>
        </w:rPr>
        <w:t>Ltd</w:t>
      </w:r>
      <w:r w:rsidR="009742DD" w:rsidRPr="00DD1B58">
        <w:rPr>
          <w:rFonts w:eastAsia="Arial"/>
          <w:szCs w:val="24"/>
          <w:lang w:val="en-US"/>
        </w:rPr>
        <w:t xml:space="preserve"> state</w:t>
      </w:r>
      <w:r w:rsidR="00583111" w:rsidRPr="00DD1B58">
        <w:rPr>
          <w:rFonts w:eastAsia="Arial"/>
          <w:szCs w:val="24"/>
          <w:lang w:val="en-US"/>
        </w:rPr>
        <w:t>s</w:t>
      </w:r>
      <w:r w:rsidR="009742DD" w:rsidRPr="00DD1B58">
        <w:rPr>
          <w:rFonts w:eastAsia="Arial"/>
          <w:szCs w:val="24"/>
          <w:lang w:val="en-US"/>
        </w:rPr>
        <w:t xml:space="preserve"> that there </w:t>
      </w:r>
      <w:r w:rsidR="7567FE62" w:rsidRPr="00DD1B58">
        <w:rPr>
          <w:rFonts w:eastAsia="Arial"/>
          <w:szCs w:val="24"/>
          <w:lang w:val="en-US"/>
        </w:rPr>
        <w:t xml:space="preserve">are limited laydown areas for timber scaffolding within plant areas and there is an expectation on site for the use of Euroclass C rated scaffold boards. </w:t>
      </w:r>
      <w:r w:rsidR="00677F1E" w:rsidRPr="00DD1B58">
        <w:rPr>
          <w:rFonts w:eastAsia="Arial"/>
          <w:szCs w:val="24"/>
          <w:lang w:val="en-US"/>
        </w:rPr>
        <w:t xml:space="preserve">Springfields Fuels </w:t>
      </w:r>
      <w:r w:rsidR="00BF0D1B" w:rsidRPr="00DD1B58">
        <w:rPr>
          <w:rFonts w:eastAsia="Arial"/>
          <w:szCs w:val="24"/>
          <w:lang w:val="en-US"/>
        </w:rPr>
        <w:t>Ltd</w:t>
      </w:r>
      <w:r w:rsidR="00677F1E" w:rsidRPr="00DD1B58">
        <w:rPr>
          <w:rFonts w:eastAsia="Arial"/>
          <w:szCs w:val="24"/>
          <w:lang w:val="en-US"/>
        </w:rPr>
        <w:t xml:space="preserve"> </w:t>
      </w:r>
      <w:r w:rsidR="00531608" w:rsidRPr="00DD1B58">
        <w:rPr>
          <w:rFonts w:eastAsia="Arial"/>
          <w:szCs w:val="24"/>
          <w:lang w:val="en-US"/>
        </w:rPr>
        <w:t xml:space="preserve">assesses </w:t>
      </w:r>
      <w:r w:rsidR="7567FE62" w:rsidRPr="00DD1B58">
        <w:rPr>
          <w:rFonts w:eastAsia="Arial"/>
          <w:szCs w:val="24"/>
          <w:lang w:val="en-US"/>
        </w:rPr>
        <w:t xml:space="preserve">areas of high fire load identified during a COSR review or fire risk assessment and </w:t>
      </w:r>
      <w:r w:rsidR="00531608" w:rsidRPr="00DD1B58">
        <w:rPr>
          <w:rFonts w:eastAsia="Arial"/>
          <w:szCs w:val="24"/>
          <w:lang w:val="en-US"/>
        </w:rPr>
        <w:t xml:space="preserve">makes </w:t>
      </w:r>
      <w:r w:rsidR="7567FE62" w:rsidRPr="00DD1B58">
        <w:rPr>
          <w:rFonts w:eastAsia="Arial"/>
          <w:szCs w:val="24"/>
          <w:lang w:val="en-US"/>
        </w:rPr>
        <w:t>recommendations for removal of combustibles, uprating the fire resistance of the storage area and/or passive fire protection measures.</w:t>
      </w:r>
      <w:r w:rsidR="002C3EA8" w:rsidRPr="00DD1B58">
        <w:rPr>
          <w:rFonts w:eastAsia="Arial"/>
          <w:szCs w:val="24"/>
          <w:lang w:val="en-US"/>
        </w:rPr>
        <w:t xml:space="preserve"> It also state</w:t>
      </w:r>
      <w:r w:rsidR="000C6D2F" w:rsidRPr="00DD1B58">
        <w:rPr>
          <w:rFonts w:eastAsia="Arial"/>
          <w:szCs w:val="24"/>
          <w:lang w:val="en-US"/>
        </w:rPr>
        <w:t>s</w:t>
      </w:r>
      <w:r w:rsidR="002C3EA8" w:rsidRPr="00DD1B58">
        <w:rPr>
          <w:rFonts w:eastAsia="Arial"/>
          <w:szCs w:val="24"/>
          <w:lang w:val="en-US"/>
        </w:rPr>
        <w:t xml:space="preserve"> that</w:t>
      </w:r>
      <w:r w:rsidR="00041EFA" w:rsidRPr="00DD1B58">
        <w:rPr>
          <w:rFonts w:eastAsia="Arial"/>
          <w:szCs w:val="24"/>
          <w:lang w:val="en-US"/>
        </w:rPr>
        <w:t>,</w:t>
      </w:r>
      <w:r w:rsidR="002C3EA8" w:rsidRPr="00DD1B58">
        <w:rPr>
          <w:rFonts w:eastAsia="Arial"/>
          <w:szCs w:val="24"/>
          <w:lang w:val="en-US"/>
        </w:rPr>
        <w:t xml:space="preserve"> i</w:t>
      </w:r>
      <w:r w:rsidR="7567FE62" w:rsidRPr="00DD1B58">
        <w:rPr>
          <w:rFonts w:eastAsia="Arial"/>
          <w:szCs w:val="24"/>
          <w:lang w:val="en-US"/>
        </w:rPr>
        <w:t>n some areas</w:t>
      </w:r>
      <w:r w:rsidR="00041EFA" w:rsidRPr="00DD1B58">
        <w:rPr>
          <w:rFonts w:eastAsia="Arial"/>
          <w:szCs w:val="24"/>
          <w:lang w:val="en-US"/>
        </w:rPr>
        <w:t>,</w:t>
      </w:r>
      <w:r w:rsidR="7567FE62" w:rsidRPr="00DD1B58">
        <w:rPr>
          <w:rFonts w:eastAsia="Arial"/>
          <w:szCs w:val="24"/>
          <w:lang w:val="en-US"/>
        </w:rPr>
        <w:t xml:space="preserve"> measures are augmented by signage prohibiting combustible materials. Typically, </w:t>
      </w:r>
      <w:r w:rsidR="00096C69" w:rsidRPr="00DD1B58">
        <w:rPr>
          <w:rFonts w:eastAsia="Arial"/>
          <w:szCs w:val="24"/>
          <w:lang w:val="en-US"/>
        </w:rPr>
        <w:t xml:space="preserve">Springfields Fuels </w:t>
      </w:r>
      <w:r w:rsidR="00BF0D1B" w:rsidRPr="00DD1B58">
        <w:rPr>
          <w:rFonts w:eastAsia="Arial"/>
          <w:szCs w:val="24"/>
          <w:lang w:val="en-US"/>
        </w:rPr>
        <w:t>Ltd</w:t>
      </w:r>
      <w:r w:rsidR="00096C69" w:rsidRPr="00DD1B58">
        <w:rPr>
          <w:rFonts w:eastAsia="Arial"/>
          <w:szCs w:val="24"/>
          <w:lang w:val="en-US"/>
        </w:rPr>
        <w:t xml:space="preserve"> allows </w:t>
      </w:r>
      <w:r w:rsidR="7567FE62" w:rsidRPr="00DD1B58">
        <w:rPr>
          <w:rFonts w:eastAsia="Arial"/>
          <w:szCs w:val="24"/>
          <w:lang w:val="en-US"/>
        </w:rPr>
        <w:t>a factor of 10% for uncertainty during the calculation of fire</w:t>
      </w:r>
      <w:r w:rsidR="000C6D2F" w:rsidRPr="00DD1B58">
        <w:rPr>
          <w:rFonts w:eastAsia="Arial"/>
          <w:szCs w:val="24"/>
          <w:lang w:val="en-US"/>
        </w:rPr>
        <w:t xml:space="preserve"> </w:t>
      </w:r>
      <w:r w:rsidR="7567FE62" w:rsidRPr="00DD1B58">
        <w:rPr>
          <w:rFonts w:eastAsia="Arial"/>
          <w:szCs w:val="24"/>
          <w:lang w:val="en-US"/>
        </w:rPr>
        <w:t>loads in areas with a wide range of materials</w:t>
      </w:r>
      <w:r w:rsidR="000C6D2F" w:rsidRPr="00DD1B58">
        <w:rPr>
          <w:rFonts w:eastAsia="Arial"/>
          <w:szCs w:val="24"/>
          <w:lang w:val="en-US"/>
        </w:rPr>
        <w:t xml:space="preserve">, which accounts </w:t>
      </w:r>
      <w:r w:rsidR="7567FE62" w:rsidRPr="00DD1B58">
        <w:rPr>
          <w:rFonts w:eastAsia="Arial"/>
          <w:szCs w:val="24"/>
          <w:lang w:val="en-US"/>
        </w:rPr>
        <w:t>for the presence of transient combustibles.</w:t>
      </w:r>
      <w:r w:rsidR="005409B2" w:rsidRPr="00DD1B58">
        <w:rPr>
          <w:rFonts w:eastAsia="Arial"/>
          <w:szCs w:val="24"/>
          <w:lang w:val="en-US"/>
        </w:rPr>
        <w:t xml:space="preserve"> </w:t>
      </w:r>
      <w:r w:rsidR="7567FE62" w:rsidRPr="00DD1B58">
        <w:rPr>
          <w:rFonts w:eastAsia="Arial"/>
          <w:szCs w:val="24"/>
          <w:lang w:val="en-US"/>
        </w:rPr>
        <w:t xml:space="preserve">No derived limits on transient combustibles are calculated. </w:t>
      </w:r>
      <w:r w:rsidR="7567FE62" w:rsidRPr="00DD1B58" w:rsidDel="005409B2">
        <w:rPr>
          <w:rFonts w:eastAsia="Arial"/>
          <w:szCs w:val="24"/>
          <w:lang w:val="en-US"/>
        </w:rPr>
        <w:t>Plant areas should be generally free from transient combustibles and any significant accumulations (assessed qualitatively) are required to be removed.</w:t>
      </w:r>
      <w:r w:rsidR="00DD7134" w:rsidRPr="00DD1B58" w:rsidDel="005409B2">
        <w:rPr>
          <w:lang w:val="en-US"/>
        </w:rPr>
        <w:t xml:space="preserve"> </w:t>
      </w:r>
      <w:r w:rsidR="7567FE62" w:rsidRPr="00DD1B58">
        <w:rPr>
          <w:rFonts w:eastAsia="Arial"/>
          <w:szCs w:val="24"/>
          <w:lang w:val="en-US"/>
        </w:rPr>
        <w:t>Limits are typically communicated for nuclear fire safety in the first instance through Operating Requirements in the facility HAZAN</w:t>
      </w:r>
      <w:r w:rsidR="00B3748E" w:rsidRPr="00DD1B58">
        <w:rPr>
          <w:rFonts w:eastAsia="Arial"/>
          <w:szCs w:val="24"/>
          <w:lang w:val="en-US"/>
        </w:rPr>
        <w:t>s</w:t>
      </w:r>
      <w:r w:rsidR="0035667F" w:rsidRPr="00DD1B58">
        <w:rPr>
          <w:rFonts w:eastAsia="Arial"/>
          <w:szCs w:val="24"/>
          <w:lang w:val="en-US"/>
        </w:rPr>
        <w:t>,</w:t>
      </w:r>
      <w:r w:rsidR="7567FE62" w:rsidRPr="00DD1B58">
        <w:rPr>
          <w:rFonts w:eastAsia="Arial"/>
          <w:szCs w:val="24"/>
          <w:lang w:val="en-US"/>
        </w:rPr>
        <w:t xml:space="preserve"> an example of which is given below.</w:t>
      </w:r>
    </w:p>
    <w:p w14:paraId="1E1BAE8C" w14:textId="3BD4B8C5" w:rsidR="7567FE62" w:rsidRPr="00DD1B58" w:rsidRDefault="7567FE62" w:rsidP="00973FF4">
      <w:pPr>
        <w:pStyle w:val="QuoteText"/>
        <w:rPr>
          <w:lang w:val="en-US"/>
        </w:rPr>
      </w:pPr>
      <w:r w:rsidRPr="00DD1B58">
        <w:rPr>
          <w:lang w:val="en-US"/>
        </w:rPr>
        <w:t>Operating Requirement: The accumulation and use of combustible materials (paper, polythene, cardboard etc.) MUST be minimised, consistent with operational requirements.</w:t>
      </w:r>
    </w:p>
    <w:p w14:paraId="2703FBB7" w14:textId="4D47B562" w:rsidR="00E47EBB" w:rsidRPr="00DD1B58" w:rsidRDefault="00956553"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35667F" w:rsidRPr="00DD1B58">
        <w:rPr>
          <w:rFonts w:eastAsia="Arial"/>
          <w:szCs w:val="24"/>
          <w:lang w:val="en-US"/>
        </w:rPr>
        <w:t>s</w:t>
      </w:r>
      <w:r w:rsidRPr="00DD1B58">
        <w:rPr>
          <w:rFonts w:eastAsia="Arial"/>
          <w:szCs w:val="24"/>
          <w:lang w:val="en-US"/>
        </w:rPr>
        <w:t xml:space="preserve"> that t</w:t>
      </w:r>
      <w:r w:rsidR="7567FE62" w:rsidRPr="00DD1B58">
        <w:rPr>
          <w:rFonts w:eastAsia="Arial"/>
          <w:szCs w:val="24"/>
          <w:lang w:val="en-US"/>
        </w:rPr>
        <w:t xml:space="preserve">here are regular management safety walkdowns which include housekeeping to ensure </w:t>
      </w:r>
      <w:r w:rsidR="004470FD" w:rsidRPr="00DD1B58">
        <w:rPr>
          <w:rFonts w:eastAsia="Arial"/>
          <w:szCs w:val="24"/>
          <w:lang w:val="en-US"/>
        </w:rPr>
        <w:t xml:space="preserve">the </w:t>
      </w:r>
      <w:r w:rsidR="7567FE62" w:rsidRPr="00DD1B58">
        <w:rPr>
          <w:rFonts w:eastAsia="Arial"/>
          <w:szCs w:val="24"/>
          <w:lang w:val="en-US"/>
        </w:rPr>
        <w:t>Operating Requirement is met.</w:t>
      </w:r>
      <w:r w:rsidR="00DD7134" w:rsidRPr="00DD1B58">
        <w:rPr>
          <w:lang w:val="en-US"/>
        </w:rPr>
        <w:t xml:space="preserve"> </w:t>
      </w:r>
      <w:r w:rsidR="007C30C2" w:rsidRPr="00DD1B58">
        <w:rPr>
          <w:lang w:val="en-US"/>
        </w:rPr>
        <w:t>It also note</w:t>
      </w:r>
      <w:r w:rsidR="0035667F" w:rsidRPr="00DD1B58">
        <w:rPr>
          <w:lang w:val="en-US"/>
        </w:rPr>
        <w:t>s</w:t>
      </w:r>
      <w:r w:rsidR="007C30C2" w:rsidRPr="00DD1B58">
        <w:rPr>
          <w:lang w:val="en-US"/>
        </w:rPr>
        <w:t xml:space="preserve"> that </w:t>
      </w:r>
      <w:r w:rsidR="007C30C2" w:rsidRPr="00DD1B58">
        <w:rPr>
          <w:rFonts w:eastAsia="Arial"/>
          <w:szCs w:val="24"/>
          <w:lang w:val="en-US"/>
        </w:rPr>
        <w:t>a</w:t>
      </w:r>
      <w:r w:rsidR="7567FE62" w:rsidRPr="00DD1B58">
        <w:rPr>
          <w:rFonts w:eastAsia="Arial"/>
          <w:szCs w:val="24"/>
          <w:lang w:val="en-US"/>
        </w:rPr>
        <w:t xml:space="preserve"> global Corrective Action Programme (CAP) is raised to the appropriate building owner</w:t>
      </w:r>
      <w:r w:rsidR="00C46D2B" w:rsidRPr="00DD1B58">
        <w:rPr>
          <w:rFonts w:eastAsia="Arial"/>
          <w:szCs w:val="24"/>
          <w:lang w:val="en-US"/>
        </w:rPr>
        <w:t xml:space="preserve"> or </w:t>
      </w:r>
      <w:r w:rsidR="7567FE62" w:rsidRPr="00DD1B58">
        <w:rPr>
          <w:rFonts w:eastAsia="Arial"/>
          <w:szCs w:val="24"/>
          <w:lang w:val="en-US"/>
        </w:rPr>
        <w:t>business unit head where improvements to premises keeping is required</w:t>
      </w:r>
      <w:r w:rsidR="00C46D2B" w:rsidRPr="00DD1B58">
        <w:rPr>
          <w:rFonts w:eastAsia="Arial"/>
          <w:szCs w:val="24"/>
          <w:lang w:val="en-US"/>
        </w:rPr>
        <w:t>,</w:t>
      </w:r>
      <w:r w:rsidR="7567FE62" w:rsidRPr="00DD1B58">
        <w:rPr>
          <w:rFonts w:eastAsia="Arial"/>
          <w:szCs w:val="24"/>
          <w:lang w:val="en-US"/>
        </w:rPr>
        <w:t xml:space="preserve"> based on </w:t>
      </w:r>
      <w:r w:rsidR="00C46D2B" w:rsidRPr="00DD1B58">
        <w:rPr>
          <w:rFonts w:eastAsia="Arial"/>
          <w:szCs w:val="24"/>
          <w:lang w:val="en-US"/>
        </w:rPr>
        <w:t xml:space="preserve">the </w:t>
      </w:r>
      <w:r w:rsidR="7567FE62" w:rsidRPr="00DD1B58">
        <w:rPr>
          <w:rFonts w:eastAsia="Arial"/>
          <w:szCs w:val="24"/>
          <w:lang w:val="en-US"/>
        </w:rPr>
        <w:t>subjective judgement of those undertaking the safety walkdowns.</w:t>
      </w:r>
    </w:p>
    <w:p w14:paraId="5EDC6090" w14:textId="20CF40C5" w:rsidR="00E47EBB" w:rsidRPr="00DD1B58" w:rsidRDefault="00E47EBB" w:rsidP="6C4D33C6">
      <w:pPr>
        <w:rPr>
          <w:lang w:val="en-US"/>
        </w:rPr>
      </w:pPr>
      <w:r w:rsidRPr="00DD1B58">
        <w:rPr>
          <w:lang w:val="en-US"/>
        </w:rPr>
        <w:t xml:space="preserve">CAP is Springfields Fuels </w:t>
      </w:r>
      <w:r w:rsidR="00BF0D1B" w:rsidRPr="00DD1B58">
        <w:rPr>
          <w:lang w:val="en-US"/>
        </w:rPr>
        <w:t>Ltd</w:t>
      </w:r>
      <w:r w:rsidRPr="00DD1B58">
        <w:rPr>
          <w:lang w:val="en-US"/>
        </w:rPr>
        <w:t>’s integrated process for identifying and prioritising issues that impact on compliance, customer confidence, product quality and cost-effective production. It allows each business to see the most important issues and ensures that practical and efficient corrective and preventive actions are implemented. CAP also supports improvement processes by promoting suggestions for improvement and sharing best practice. Springfields</w:t>
      </w:r>
      <w:r w:rsidR="00883881" w:rsidRPr="00DD1B58">
        <w:rPr>
          <w:lang w:val="en-US"/>
        </w:rPr>
        <w:t>’</w:t>
      </w:r>
      <w:r w:rsidRPr="00DD1B58">
        <w:rPr>
          <w:lang w:val="en-US"/>
        </w:rPr>
        <w:t xml:space="preserve"> internal, extrinsic and supplier audits</w:t>
      </w:r>
      <w:r w:rsidR="00883881" w:rsidRPr="00DD1B58">
        <w:rPr>
          <w:lang w:val="en-US"/>
        </w:rPr>
        <w:t>,</w:t>
      </w:r>
      <w:r w:rsidRPr="00DD1B58">
        <w:rPr>
          <w:lang w:val="en-US"/>
        </w:rPr>
        <w:t xml:space="preserve"> together with associated findings</w:t>
      </w:r>
      <w:r w:rsidR="00883881" w:rsidRPr="00DD1B58">
        <w:rPr>
          <w:lang w:val="en-US"/>
        </w:rPr>
        <w:t>,</w:t>
      </w:r>
      <w:r w:rsidRPr="00DD1B58">
        <w:rPr>
          <w:lang w:val="en-US"/>
        </w:rPr>
        <w:t xml:space="preserve"> are also managed through CAP. Near misses</w:t>
      </w:r>
      <w:r w:rsidR="00883881" w:rsidRPr="00DD1B58">
        <w:rPr>
          <w:lang w:val="en-US"/>
        </w:rPr>
        <w:t>,</w:t>
      </w:r>
      <w:r w:rsidRPr="00DD1B58">
        <w:rPr>
          <w:lang w:val="en-US"/>
        </w:rPr>
        <w:t xml:space="preserve"> includ</w:t>
      </w:r>
      <w:r w:rsidR="00883881" w:rsidRPr="00DD1B58">
        <w:rPr>
          <w:lang w:val="en-US"/>
        </w:rPr>
        <w:t>ing</w:t>
      </w:r>
      <w:r w:rsidRPr="00DD1B58">
        <w:rPr>
          <w:lang w:val="en-US"/>
        </w:rPr>
        <w:t xml:space="preserve"> </w:t>
      </w:r>
      <w:r w:rsidR="00883881" w:rsidRPr="00DD1B58">
        <w:rPr>
          <w:lang w:val="en-US"/>
        </w:rPr>
        <w:t>those</w:t>
      </w:r>
      <w:r w:rsidRPr="00DD1B58">
        <w:rPr>
          <w:lang w:val="en-US"/>
        </w:rPr>
        <w:t xml:space="preserve"> that could have led to a fire event</w:t>
      </w:r>
      <w:r w:rsidR="00883881" w:rsidRPr="00DD1B58">
        <w:rPr>
          <w:lang w:val="en-US"/>
        </w:rPr>
        <w:t>,</w:t>
      </w:r>
      <w:r w:rsidRPr="00DD1B58">
        <w:rPr>
          <w:lang w:val="en-US"/>
        </w:rPr>
        <w:t xml:space="preserve"> are also recorded using the CAP</w:t>
      </w:r>
      <w:r w:rsidR="00883881" w:rsidRPr="00DD1B58">
        <w:rPr>
          <w:lang w:val="en-US"/>
        </w:rPr>
        <w:t>.</w:t>
      </w:r>
    </w:p>
    <w:p w14:paraId="47716049" w14:textId="77777777" w:rsidR="6C4D33C6" w:rsidRPr="00DD1B58" w:rsidRDefault="7567FE62" w:rsidP="6C4D33C6">
      <w:pPr>
        <w:rPr>
          <w:lang w:val="en-US"/>
        </w:rPr>
      </w:pPr>
      <w:r w:rsidRPr="00DD1B58">
        <w:rPr>
          <w:rFonts w:eastAsia="Arial"/>
          <w:szCs w:val="24"/>
          <w:lang w:val="en-US"/>
        </w:rPr>
        <w:t>Limits are communicated to workers on a day-to-day basis by signage in certain areas prohibiting storage of combustible materials, toolbox talks and the CAP process.</w:t>
      </w:r>
    </w:p>
    <w:p w14:paraId="6387A08B" w14:textId="49F47CA3" w:rsidR="503959C7" w:rsidRPr="00DD1B58" w:rsidRDefault="503959C7" w:rsidP="006A33CD">
      <w:pPr>
        <w:rPr>
          <w:b/>
          <w:szCs w:val="24"/>
          <w:lang w:val="en-US"/>
        </w:rPr>
      </w:pPr>
      <w:r w:rsidRPr="00DD1B58">
        <w:rPr>
          <w:b/>
          <w:lang w:val="en-US"/>
        </w:rPr>
        <w:t xml:space="preserve">Fire </w:t>
      </w:r>
      <w:r w:rsidR="0078780E" w:rsidRPr="00DD1B58">
        <w:rPr>
          <w:b/>
          <w:lang w:val="en-US"/>
        </w:rPr>
        <w:t>s</w:t>
      </w:r>
      <w:r w:rsidRPr="00DD1B58">
        <w:rPr>
          <w:b/>
          <w:lang w:val="en-US"/>
        </w:rPr>
        <w:t>ervice intervention</w:t>
      </w:r>
    </w:p>
    <w:p w14:paraId="6526CE09" w14:textId="013AA3B4" w:rsidR="503959C7" w:rsidRPr="00DD1B58" w:rsidRDefault="00FB0EB0"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0060589C" w:rsidRPr="00DD1B58">
        <w:rPr>
          <w:rFonts w:eastAsia="Arial"/>
          <w:szCs w:val="24"/>
          <w:lang w:val="en-US"/>
        </w:rPr>
        <w:t xml:space="preserve"> </w:t>
      </w:r>
      <w:r w:rsidR="00F62AFD" w:rsidRPr="00DD1B58">
        <w:rPr>
          <w:rFonts w:eastAsia="Arial"/>
          <w:szCs w:val="24"/>
          <w:lang w:val="en-US"/>
        </w:rPr>
        <w:t xml:space="preserve">does not claim </w:t>
      </w:r>
      <w:r w:rsidR="503959C7" w:rsidRPr="00DD1B58">
        <w:rPr>
          <w:rFonts w:eastAsia="Arial"/>
          <w:szCs w:val="24"/>
          <w:lang w:val="en-US"/>
        </w:rPr>
        <w:t>intervention by site personnel such as operators in the analyses</w:t>
      </w:r>
      <w:r w:rsidR="00AC7DEE" w:rsidRPr="00DD1B58">
        <w:rPr>
          <w:lang w:val="en-US"/>
        </w:rPr>
        <w:t xml:space="preserve">. </w:t>
      </w:r>
      <w:r w:rsidR="503959C7" w:rsidRPr="00DD1B58">
        <w:rPr>
          <w:rFonts w:eastAsia="Arial"/>
          <w:szCs w:val="24"/>
          <w:lang w:val="en-US"/>
        </w:rPr>
        <w:t>On</w:t>
      </w:r>
      <w:r w:rsidR="0078780E" w:rsidRPr="00DD1B58">
        <w:rPr>
          <w:rFonts w:eastAsia="Arial"/>
          <w:szCs w:val="24"/>
          <w:lang w:val="en-US"/>
        </w:rPr>
        <w:t>-</w:t>
      </w:r>
      <w:r w:rsidR="503959C7" w:rsidRPr="00DD1B58">
        <w:rPr>
          <w:rFonts w:eastAsia="Arial"/>
          <w:szCs w:val="24"/>
          <w:lang w:val="en-US"/>
        </w:rPr>
        <w:t>site fire service intervention is claimed in nuclear fire safety assessments as part of defence in depth.</w:t>
      </w:r>
    </w:p>
    <w:p w14:paraId="1CBB0B6F" w14:textId="40990538" w:rsidR="503959C7" w:rsidRPr="00DD1B58" w:rsidRDefault="002B031E" w:rsidP="6C4D33C6">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w:t>
      </w:r>
      <w:r w:rsidR="00B038BC" w:rsidRPr="00DD1B58">
        <w:rPr>
          <w:rFonts w:eastAsia="Arial"/>
          <w:szCs w:val="24"/>
          <w:lang w:val="en-US"/>
        </w:rPr>
        <w:t>states</w:t>
      </w:r>
      <w:r w:rsidRPr="00DD1B58">
        <w:rPr>
          <w:rFonts w:eastAsia="Arial"/>
          <w:szCs w:val="24"/>
          <w:lang w:val="en-US"/>
        </w:rPr>
        <w:t xml:space="preserve"> that </w:t>
      </w:r>
      <w:r w:rsidR="009677E8" w:rsidRPr="00DD1B58">
        <w:rPr>
          <w:rFonts w:eastAsia="Arial"/>
          <w:szCs w:val="24"/>
          <w:lang w:val="en-US"/>
        </w:rPr>
        <w:t xml:space="preserve">it requires use of </w:t>
      </w:r>
      <w:r w:rsidR="503959C7" w:rsidRPr="00DD1B58">
        <w:rPr>
          <w:rFonts w:eastAsia="Arial"/>
          <w:szCs w:val="24"/>
          <w:lang w:val="en-US"/>
        </w:rPr>
        <w:t>non-hydrogenous</w:t>
      </w:r>
      <w:r w:rsidR="00E83B0B" w:rsidRPr="00DD1B58">
        <w:rPr>
          <w:rFonts w:eastAsia="Arial"/>
          <w:szCs w:val="24"/>
          <w:lang w:val="en-US"/>
        </w:rPr>
        <w:t xml:space="preserve"> </w:t>
      </w:r>
      <w:r w:rsidR="503959C7" w:rsidRPr="00DD1B58">
        <w:rPr>
          <w:rFonts w:eastAsia="Arial"/>
          <w:szCs w:val="24"/>
          <w:lang w:val="en-US"/>
        </w:rPr>
        <w:t xml:space="preserve">firefighting agents </w:t>
      </w:r>
      <w:r w:rsidR="00CB065C" w:rsidRPr="00DD1B58">
        <w:rPr>
          <w:rFonts w:eastAsia="Arial"/>
          <w:szCs w:val="24"/>
          <w:lang w:val="en-US"/>
        </w:rPr>
        <w:t>i</w:t>
      </w:r>
      <w:r w:rsidR="00F4535C" w:rsidRPr="00DD1B58">
        <w:rPr>
          <w:rFonts w:eastAsia="Arial"/>
          <w:szCs w:val="24"/>
          <w:lang w:val="en-US"/>
        </w:rPr>
        <w:t>n buildings where there is the potential for a criticality event.</w:t>
      </w:r>
      <w:r w:rsidR="503959C7" w:rsidRPr="00DD1B58">
        <w:rPr>
          <w:rFonts w:eastAsia="Arial"/>
          <w:szCs w:val="24"/>
          <w:lang w:val="en-US"/>
        </w:rPr>
        <w:t xml:space="preserve"> </w:t>
      </w:r>
      <w:r w:rsidR="009677E8" w:rsidRPr="00DD1B58">
        <w:rPr>
          <w:rFonts w:eastAsia="Arial"/>
          <w:szCs w:val="24"/>
          <w:lang w:val="en-US"/>
        </w:rPr>
        <w:t xml:space="preserve">It provides </w:t>
      </w:r>
      <w:r w:rsidR="503959C7" w:rsidRPr="00DD1B58">
        <w:rPr>
          <w:rFonts w:eastAsia="Arial"/>
          <w:szCs w:val="24"/>
          <w:lang w:val="en-US"/>
        </w:rPr>
        <w:t>50</w:t>
      </w:r>
      <w:r w:rsidR="0078780E" w:rsidRPr="00DD1B58">
        <w:rPr>
          <w:rFonts w:eastAsia="Arial"/>
          <w:szCs w:val="24"/>
          <w:lang w:val="en-US"/>
        </w:rPr>
        <w:t xml:space="preserve"> </w:t>
      </w:r>
      <w:r w:rsidR="503959C7" w:rsidRPr="00DD1B58">
        <w:rPr>
          <w:rFonts w:eastAsia="Arial"/>
          <w:szCs w:val="24"/>
          <w:lang w:val="en-US"/>
        </w:rPr>
        <w:t>kg dry powder trolley units for site fire service use</w:t>
      </w:r>
      <w:r w:rsidR="0089254F" w:rsidRPr="00DD1B58">
        <w:rPr>
          <w:rFonts w:eastAsia="Arial"/>
          <w:szCs w:val="24"/>
          <w:lang w:val="en-US"/>
        </w:rPr>
        <w:t xml:space="preserve"> and </w:t>
      </w:r>
      <w:r w:rsidR="009677E8" w:rsidRPr="00DD1B58">
        <w:rPr>
          <w:rFonts w:eastAsia="Arial"/>
          <w:szCs w:val="24"/>
          <w:lang w:val="en-US"/>
        </w:rPr>
        <w:t>does not expect</w:t>
      </w:r>
      <w:r w:rsidR="503959C7" w:rsidRPr="00DD1B58">
        <w:rPr>
          <w:rFonts w:eastAsia="Arial"/>
          <w:szCs w:val="24"/>
          <w:lang w:val="en-US"/>
        </w:rPr>
        <w:t xml:space="preserve"> the local authority fire service </w:t>
      </w:r>
      <w:r w:rsidR="00DA7627" w:rsidRPr="00DD1B58">
        <w:rPr>
          <w:rFonts w:eastAsia="Arial"/>
          <w:szCs w:val="24"/>
          <w:lang w:val="en-US"/>
        </w:rPr>
        <w:t xml:space="preserve">to </w:t>
      </w:r>
      <w:r w:rsidR="503959C7" w:rsidRPr="00DD1B58">
        <w:rPr>
          <w:rFonts w:eastAsia="Arial"/>
          <w:szCs w:val="24"/>
          <w:lang w:val="en-US"/>
        </w:rPr>
        <w:t>be familiar with firefighting in criticality areas.</w:t>
      </w:r>
      <w:r w:rsidR="006E6D2F" w:rsidRPr="00DD1B58">
        <w:rPr>
          <w:rFonts w:eastAsia="Arial"/>
          <w:szCs w:val="24"/>
          <w:lang w:val="en-US"/>
        </w:rPr>
        <w:t xml:space="preserve"> Springfields Fuels </w:t>
      </w:r>
      <w:r w:rsidR="00BF0D1B" w:rsidRPr="00DD1B58">
        <w:rPr>
          <w:rFonts w:eastAsia="Arial"/>
          <w:szCs w:val="24"/>
          <w:lang w:val="en-US"/>
        </w:rPr>
        <w:t>Ltd</w:t>
      </w:r>
      <w:r w:rsidR="006E6D2F" w:rsidRPr="00DD1B58">
        <w:rPr>
          <w:rFonts w:eastAsia="Arial"/>
          <w:szCs w:val="24"/>
          <w:lang w:val="en-US"/>
        </w:rPr>
        <w:t xml:space="preserve"> provided the following example:</w:t>
      </w:r>
    </w:p>
    <w:p w14:paraId="4EB264D6" w14:textId="332DAE79" w:rsidR="503959C7" w:rsidRPr="00DD1B58" w:rsidRDefault="503959C7" w:rsidP="00973FF4">
      <w:pPr>
        <w:pStyle w:val="QuoteText"/>
        <w:rPr>
          <w:lang w:val="en-US"/>
        </w:rPr>
      </w:pPr>
      <w:r w:rsidRPr="00DD1B58">
        <w:rPr>
          <w:lang w:val="en-US"/>
        </w:rPr>
        <w:t xml:space="preserve">In the case of the OFC Building there is no structural fire protection of steelwork and the partitions used for fire compartmentation provide only 12 minutes insulation. The inherent fire resistance of unprotected steel is typically in the region of 10-15 minutes. Fire loading studies in OFC have quantified the fire loads and where these cannot be reduced </w:t>
      </w:r>
      <w:r w:rsidR="00E83B0B" w:rsidRPr="00DD1B58">
        <w:rPr>
          <w:lang w:val="en-US"/>
        </w:rPr>
        <w:t>e.g.,</w:t>
      </w:r>
      <w:r w:rsidRPr="00DD1B58">
        <w:rPr>
          <w:lang w:val="en-US"/>
        </w:rPr>
        <w:t xml:space="preserve"> on cable ladders ablative paint has been applied. Elsewhere there are restrictions on transient combustibles. </w:t>
      </w:r>
      <w:r w:rsidR="00E0682C" w:rsidRPr="00DD1B58">
        <w:rPr>
          <w:lang w:val="en-US"/>
        </w:rPr>
        <w:t>T</w:t>
      </w:r>
      <w:r w:rsidRPr="00DD1B58">
        <w:rPr>
          <w:lang w:val="en-US"/>
        </w:rPr>
        <w:t>ogether with measures to protect steelwork and limit accumulation of transient combustibles, site fire service attendance is claimed in the safety case to extinguish fires</w:t>
      </w:r>
      <w:r w:rsidR="00F90B0D" w:rsidRPr="00DD1B58">
        <w:rPr>
          <w:lang w:val="en-US"/>
        </w:rPr>
        <w:t>, as part of defence in depth.</w:t>
      </w:r>
    </w:p>
    <w:p w14:paraId="2CD33278" w14:textId="49192FBF" w:rsidR="503959C7" w:rsidRPr="00DD1B58" w:rsidRDefault="503959C7" w:rsidP="006A33CD">
      <w:pPr>
        <w:rPr>
          <w:b/>
          <w:szCs w:val="24"/>
          <w:lang w:val="en-US"/>
        </w:rPr>
      </w:pPr>
      <w:r w:rsidRPr="00DD1B58">
        <w:rPr>
          <w:b/>
          <w:lang w:val="en-US"/>
        </w:rPr>
        <w:t>Off</w:t>
      </w:r>
      <w:r w:rsidR="00CE1D9E" w:rsidRPr="00DD1B58">
        <w:rPr>
          <w:b/>
          <w:lang w:val="en-US"/>
        </w:rPr>
        <w:t>-s</w:t>
      </w:r>
      <w:r w:rsidRPr="00DD1B58">
        <w:rPr>
          <w:b/>
          <w:lang w:val="en-US"/>
        </w:rPr>
        <w:t xml:space="preserve">ite </w:t>
      </w:r>
      <w:r w:rsidR="00CE1D9E" w:rsidRPr="00DD1B58">
        <w:rPr>
          <w:b/>
          <w:lang w:val="en-US"/>
        </w:rPr>
        <w:t>r</w:t>
      </w:r>
      <w:r w:rsidRPr="00DD1B58">
        <w:rPr>
          <w:b/>
          <w:lang w:val="en-US"/>
        </w:rPr>
        <w:t>esponse</w:t>
      </w:r>
    </w:p>
    <w:p w14:paraId="3D43FF6F" w14:textId="01874EDA" w:rsidR="503959C7" w:rsidRPr="00DD1B58" w:rsidRDefault="00A26FFB" w:rsidP="6C4D33C6">
      <w:pPr>
        <w:rPr>
          <w:lang w:val="en-US"/>
        </w:rPr>
      </w:pPr>
      <w:r w:rsidRPr="00DD1B58">
        <w:rPr>
          <w:rFonts w:eastAsia="Arial"/>
          <w:szCs w:val="24"/>
          <w:lang w:val="en-US"/>
        </w:rPr>
        <w:t>Springfields Fuel</w:t>
      </w:r>
      <w:r w:rsidR="00C63870" w:rsidRPr="00DD1B58">
        <w:rPr>
          <w:rFonts w:eastAsia="Arial"/>
          <w:szCs w:val="24"/>
          <w:lang w:val="en-US"/>
        </w:rPr>
        <w:t>s</w:t>
      </w:r>
      <w:r w:rsidRPr="00DD1B58">
        <w:rPr>
          <w:rFonts w:eastAsia="Arial"/>
          <w:szCs w:val="24"/>
          <w:lang w:val="en-US"/>
        </w:rPr>
        <w:t xml:space="preserve"> </w:t>
      </w:r>
      <w:r w:rsidR="00BF0D1B" w:rsidRPr="00DD1B58">
        <w:rPr>
          <w:rFonts w:eastAsia="Arial"/>
          <w:szCs w:val="24"/>
          <w:lang w:val="en-US"/>
        </w:rPr>
        <w:t>Ltd</w:t>
      </w:r>
      <w:r w:rsidRPr="00DD1B58">
        <w:rPr>
          <w:rFonts w:eastAsia="Arial"/>
          <w:szCs w:val="24"/>
          <w:lang w:val="en-US"/>
        </w:rPr>
        <w:t xml:space="preserve"> stat</w:t>
      </w:r>
      <w:r w:rsidR="00FF40D1" w:rsidRPr="00DD1B58">
        <w:rPr>
          <w:rFonts w:eastAsia="Arial"/>
          <w:szCs w:val="24"/>
          <w:lang w:val="en-US"/>
        </w:rPr>
        <w:t>es</w:t>
      </w:r>
      <w:r w:rsidRPr="00DD1B58">
        <w:rPr>
          <w:rFonts w:eastAsia="Arial"/>
          <w:szCs w:val="24"/>
          <w:lang w:val="en-US"/>
        </w:rPr>
        <w:t xml:space="preserve"> that the </w:t>
      </w:r>
      <w:r w:rsidR="503959C7" w:rsidRPr="00DD1B58">
        <w:rPr>
          <w:rFonts w:eastAsia="Arial"/>
          <w:szCs w:val="24"/>
          <w:lang w:val="en-US"/>
        </w:rPr>
        <w:t xml:space="preserve">Springfields Off-Site Emergency Plan </w:t>
      </w:r>
      <w:r w:rsidRPr="00DD1B58">
        <w:rPr>
          <w:rFonts w:eastAsia="Arial"/>
          <w:szCs w:val="24"/>
          <w:lang w:val="en-US"/>
        </w:rPr>
        <w:t>was</w:t>
      </w:r>
      <w:r w:rsidR="503959C7" w:rsidRPr="00DD1B58">
        <w:rPr>
          <w:rFonts w:eastAsia="Arial"/>
          <w:szCs w:val="24"/>
          <w:lang w:val="en-US"/>
        </w:rPr>
        <w:t xml:space="preserve"> prepared by </w:t>
      </w:r>
      <w:r w:rsidR="00FF40D1" w:rsidRPr="00DD1B58">
        <w:rPr>
          <w:rFonts w:eastAsia="Arial"/>
          <w:szCs w:val="24"/>
          <w:lang w:val="en-US"/>
        </w:rPr>
        <w:t xml:space="preserve">the </w:t>
      </w:r>
      <w:r w:rsidR="503959C7" w:rsidRPr="00DD1B58">
        <w:rPr>
          <w:rFonts w:eastAsia="Arial"/>
          <w:szCs w:val="24"/>
          <w:lang w:val="en-US"/>
        </w:rPr>
        <w:t>Lancashire County Council (LCC)</w:t>
      </w:r>
      <w:r w:rsidR="000B43A7" w:rsidRPr="00DD1B58">
        <w:rPr>
          <w:rFonts w:eastAsia="Arial"/>
          <w:szCs w:val="24"/>
          <w:lang w:val="en-US"/>
        </w:rPr>
        <w:t xml:space="preserve"> Emergency Planning Department in liaison with the Springfields Emergency Planning Team, </w:t>
      </w:r>
      <w:r w:rsidR="004F21CF" w:rsidRPr="00DD1B58">
        <w:rPr>
          <w:rFonts w:eastAsia="Arial"/>
          <w:szCs w:val="24"/>
          <w:lang w:val="en-US"/>
        </w:rPr>
        <w:t>further detailing that</w:t>
      </w:r>
      <w:r w:rsidR="000B43A7" w:rsidRPr="00DD1B58">
        <w:rPr>
          <w:rFonts w:eastAsia="Arial"/>
          <w:szCs w:val="24"/>
          <w:lang w:val="en-US"/>
        </w:rPr>
        <w:t>:</w:t>
      </w:r>
    </w:p>
    <w:p w14:paraId="74AB16FE" w14:textId="351CFE6F" w:rsidR="503959C7" w:rsidRPr="00DD1B58" w:rsidRDefault="004F21CF" w:rsidP="00973FF4">
      <w:pPr>
        <w:pStyle w:val="Bulletlist1"/>
        <w:rPr>
          <w:lang w:val="en-US"/>
        </w:rPr>
      </w:pPr>
      <w:r w:rsidRPr="00DD1B58">
        <w:rPr>
          <w:lang w:val="en-US"/>
        </w:rPr>
        <w:t>T</w:t>
      </w:r>
      <w:r w:rsidR="503959C7" w:rsidRPr="00DD1B58">
        <w:rPr>
          <w:lang w:val="en-US"/>
        </w:rPr>
        <w:t xml:space="preserve">he </w:t>
      </w:r>
      <w:r w:rsidRPr="00DD1B58">
        <w:rPr>
          <w:lang w:val="en-US"/>
        </w:rPr>
        <w:t>o</w:t>
      </w:r>
      <w:r w:rsidR="503959C7" w:rsidRPr="00DD1B58">
        <w:rPr>
          <w:lang w:val="en-US"/>
        </w:rPr>
        <w:t>ff-</w:t>
      </w:r>
      <w:r w:rsidRPr="00DD1B58">
        <w:rPr>
          <w:lang w:val="en-US"/>
        </w:rPr>
        <w:t>s</w:t>
      </w:r>
      <w:r w:rsidR="503959C7" w:rsidRPr="00DD1B58">
        <w:rPr>
          <w:lang w:val="en-US"/>
        </w:rPr>
        <w:t xml:space="preserve">ite plan covers the responses of all the organisations involved in mitigatory actions in the event of an </w:t>
      </w:r>
      <w:r w:rsidRPr="00DD1B58">
        <w:rPr>
          <w:lang w:val="en-US"/>
        </w:rPr>
        <w:t>o</w:t>
      </w:r>
      <w:r w:rsidR="503959C7" w:rsidRPr="00DD1B58">
        <w:rPr>
          <w:lang w:val="en-US"/>
        </w:rPr>
        <w:t>n-</w:t>
      </w:r>
      <w:r w:rsidRPr="00DD1B58">
        <w:rPr>
          <w:lang w:val="en-US"/>
        </w:rPr>
        <w:t>s</w:t>
      </w:r>
      <w:r w:rsidR="503959C7" w:rsidRPr="00DD1B58">
        <w:rPr>
          <w:lang w:val="en-US"/>
        </w:rPr>
        <w:t>ite event or an event that has the potential to escalate</w:t>
      </w:r>
      <w:r w:rsidRPr="00DD1B58">
        <w:rPr>
          <w:lang w:val="en-US"/>
        </w:rPr>
        <w:t>,</w:t>
      </w:r>
      <w:r w:rsidR="503959C7" w:rsidRPr="00DD1B58">
        <w:rPr>
          <w:lang w:val="en-US"/>
        </w:rPr>
        <w:t xml:space="preserve"> thereby threatening the general public and/or the environment in the vicinity of the site.</w:t>
      </w:r>
    </w:p>
    <w:p w14:paraId="629E0E06" w14:textId="723E39A5" w:rsidR="503959C7" w:rsidRPr="00DD1B58" w:rsidRDefault="503959C7" w:rsidP="00973FF4">
      <w:pPr>
        <w:pStyle w:val="Bulletlist1"/>
        <w:rPr>
          <w:lang w:val="en-US"/>
        </w:rPr>
      </w:pPr>
      <w:r w:rsidRPr="00DD1B58">
        <w:rPr>
          <w:lang w:val="en-US"/>
        </w:rPr>
        <w:t xml:space="preserve">No specific credit is taken in the nuclear fire safety cases for </w:t>
      </w:r>
      <w:r w:rsidR="004F21CF" w:rsidRPr="00DD1B58">
        <w:rPr>
          <w:lang w:val="en-US"/>
        </w:rPr>
        <w:t>o</w:t>
      </w:r>
      <w:r w:rsidRPr="00DD1B58">
        <w:rPr>
          <w:lang w:val="en-US"/>
        </w:rPr>
        <w:t>ff-</w:t>
      </w:r>
      <w:r w:rsidR="004F21CF" w:rsidRPr="00DD1B58">
        <w:rPr>
          <w:lang w:val="en-US"/>
        </w:rPr>
        <w:t>s</w:t>
      </w:r>
      <w:r w:rsidRPr="00DD1B58">
        <w:rPr>
          <w:lang w:val="en-US"/>
        </w:rPr>
        <w:t>ite response.</w:t>
      </w:r>
    </w:p>
    <w:p w14:paraId="648CF0D7" w14:textId="39C90E3D" w:rsidR="503959C7" w:rsidRPr="00DD1B58" w:rsidRDefault="503959C7" w:rsidP="00973FF4">
      <w:pPr>
        <w:pStyle w:val="Bulletlist1"/>
        <w:rPr>
          <w:lang w:val="en-US"/>
        </w:rPr>
      </w:pPr>
      <w:r w:rsidRPr="00DD1B58">
        <w:rPr>
          <w:lang w:val="en-US"/>
        </w:rPr>
        <w:t>Response times are not specifically quantified as all plant can be made safe by the plant operators or safety systems. There is no specific period over which any plant on the Springfields site would fail to an unsafe condition. Loss of ventilation</w:t>
      </w:r>
      <w:r w:rsidR="00967426" w:rsidRPr="00DD1B58">
        <w:rPr>
          <w:lang w:val="en-US"/>
        </w:rPr>
        <w:t>, including</w:t>
      </w:r>
      <w:r w:rsidRPr="00DD1B58">
        <w:rPr>
          <w:lang w:val="en-US"/>
        </w:rPr>
        <w:t xml:space="preserve"> </w:t>
      </w:r>
      <w:r w:rsidR="00967426" w:rsidRPr="00DD1B58">
        <w:rPr>
          <w:lang w:val="en-US"/>
        </w:rPr>
        <w:t>as a result of</w:t>
      </w:r>
      <w:r w:rsidRPr="00DD1B58">
        <w:rPr>
          <w:lang w:val="en-US"/>
        </w:rPr>
        <w:t xml:space="preserve"> fire</w:t>
      </w:r>
      <w:r w:rsidR="00967426" w:rsidRPr="00DD1B58">
        <w:rPr>
          <w:lang w:val="en-US"/>
        </w:rPr>
        <w:t>,</w:t>
      </w:r>
      <w:r w:rsidRPr="00DD1B58">
        <w:rPr>
          <w:lang w:val="en-US"/>
        </w:rPr>
        <w:t xml:space="preserve"> may result in a loss of containment</w:t>
      </w:r>
      <w:r w:rsidR="00967426" w:rsidRPr="00DD1B58">
        <w:rPr>
          <w:lang w:val="en-US"/>
        </w:rPr>
        <w:t>;</w:t>
      </w:r>
      <w:r w:rsidRPr="00DD1B58">
        <w:rPr>
          <w:lang w:val="en-US"/>
        </w:rPr>
        <w:t xml:space="preserve"> however</w:t>
      </w:r>
      <w:r w:rsidR="00967426" w:rsidRPr="00DD1B58">
        <w:rPr>
          <w:lang w:val="en-US"/>
        </w:rPr>
        <w:t>,</w:t>
      </w:r>
      <w:r w:rsidRPr="00DD1B58">
        <w:rPr>
          <w:lang w:val="en-US"/>
        </w:rPr>
        <w:t xml:space="preserve"> once restored and following confirmation by Health Physics</w:t>
      </w:r>
      <w:r w:rsidR="00967426" w:rsidRPr="00DD1B58">
        <w:rPr>
          <w:lang w:val="en-US"/>
        </w:rPr>
        <w:t>,</w:t>
      </w:r>
      <w:r w:rsidRPr="00DD1B58">
        <w:rPr>
          <w:lang w:val="en-US"/>
        </w:rPr>
        <w:t xml:space="preserve"> a building would typically be safe to re-enter.</w:t>
      </w:r>
    </w:p>
    <w:p w14:paraId="0E006131" w14:textId="77777777" w:rsidR="6EFDD43C" w:rsidRPr="00DD1B58" w:rsidRDefault="6EFDD43C" w:rsidP="00BF6CD4">
      <w:pPr>
        <w:pStyle w:val="Heading4"/>
        <w:rPr>
          <w:lang w:val="en-US"/>
        </w:rPr>
      </w:pPr>
      <w:r w:rsidRPr="00DD1B58">
        <w:rPr>
          <w:lang w:val="en-US"/>
        </w:rPr>
        <w:t xml:space="preserve">Fire phenomena analyses: overview of models, data and consequences </w:t>
      </w:r>
    </w:p>
    <w:p w14:paraId="3F9D5CA8" w14:textId="0A38AACB" w:rsidR="6C4D33C6" w:rsidRPr="00DD1B58" w:rsidRDefault="00875102" w:rsidP="6C4D33C6">
      <w:pPr>
        <w:rPr>
          <w:lang w:val="en-US"/>
        </w:rPr>
      </w:pPr>
      <w:r w:rsidRPr="00DD1B58">
        <w:rPr>
          <w:lang w:val="en-US"/>
        </w:rPr>
        <w:t xml:space="preserve">A description of the site approach to modelling and fire hazard data is provided in Section </w:t>
      </w:r>
      <w:r w:rsidR="004F2777" w:rsidRPr="00DD1B58">
        <w:rPr>
          <w:lang w:val="en-US"/>
        </w:rPr>
        <w:fldChar w:fldCharType="begin"/>
      </w:r>
      <w:r w:rsidR="004F2777" w:rsidRPr="00DD1B58">
        <w:rPr>
          <w:lang w:val="en-US"/>
        </w:rPr>
        <w:instrText xml:space="preserve"> REF _Ref139877221 \r \h </w:instrText>
      </w:r>
      <w:r w:rsidR="004F2777" w:rsidRPr="00DD1B58">
        <w:rPr>
          <w:lang w:val="en-US"/>
        </w:rPr>
      </w:r>
      <w:r w:rsidR="004F2777" w:rsidRPr="00DD1B58">
        <w:rPr>
          <w:lang w:val="en-US"/>
        </w:rPr>
        <w:fldChar w:fldCharType="separate"/>
      </w:r>
      <w:r w:rsidR="00DF47DA">
        <w:rPr>
          <w:lang w:val="en-US"/>
        </w:rPr>
        <w:t>II-2.3.2</w:t>
      </w:r>
      <w:r w:rsidR="004F2777" w:rsidRPr="00DD1B58">
        <w:rPr>
          <w:lang w:val="en-US"/>
        </w:rPr>
        <w:fldChar w:fldCharType="end"/>
      </w:r>
      <w:r w:rsidR="004F2777" w:rsidRPr="00DD1B58">
        <w:rPr>
          <w:lang w:val="en-US"/>
        </w:rPr>
        <w:t>.</w:t>
      </w:r>
    </w:p>
    <w:p w14:paraId="12F87A4B" w14:textId="75775B1A" w:rsidR="6EFDD43C" w:rsidRPr="00DD1B58" w:rsidRDefault="6EFDD43C" w:rsidP="00BF6CD4">
      <w:pPr>
        <w:pStyle w:val="Heading4"/>
        <w:rPr>
          <w:lang w:val="en-US"/>
        </w:rPr>
      </w:pPr>
      <w:r w:rsidRPr="00DD1B58">
        <w:rPr>
          <w:lang w:val="en-US"/>
        </w:rPr>
        <w:t>Main results</w:t>
      </w:r>
      <w:r w:rsidR="007C3F42" w:rsidRPr="00DD1B58">
        <w:rPr>
          <w:lang w:val="en-US"/>
        </w:rPr>
        <w:t>/</w:t>
      </w:r>
      <w:r w:rsidRPr="00DD1B58">
        <w:rPr>
          <w:lang w:val="en-US"/>
        </w:rPr>
        <w:t>dominant events (licensee</w:t>
      </w:r>
      <w:r w:rsidR="00177EEF" w:rsidRPr="00DD1B58">
        <w:rPr>
          <w:lang w:val="en-US"/>
        </w:rPr>
        <w:t>’</w:t>
      </w:r>
      <w:r w:rsidRPr="00DD1B58">
        <w:rPr>
          <w:lang w:val="en-US"/>
        </w:rPr>
        <w:t>s experience)</w:t>
      </w:r>
    </w:p>
    <w:p w14:paraId="617839E1" w14:textId="112E26D5" w:rsidR="0019273D" w:rsidRPr="00DD1B58" w:rsidRDefault="00FC544C" w:rsidP="0019273D">
      <w:pPr>
        <w:rPr>
          <w:lang w:val="en-US"/>
        </w:rPr>
      </w:pPr>
      <w:r w:rsidRPr="00DD1B58">
        <w:rPr>
          <w:lang w:val="en-US"/>
        </w:rPr>
        <w:t xml:space="preserve">As stated within Section </w:t>
      </w:r>
      <w:r w:rsidRPr="00DD1B58">
        <w:rPr>
          <w:lang w:val="en-US"/>
        </w:rPr>
        <w:fldChar w:fldCharType="begin"/>
      </w:r>
      <w:r w:rsidRPr="00DD1B58">
        <w:rPr>
          <w:lang w:val="en-US"/>
        </w:rPr>
        <w:instrText xml:space="preserve"> REF _Ref139877221 \r \h </w:instrText>
      </w:r>
      <w:r w:rsidRPr="00DD1B58">
        <w:rPr>
          <w:lang w:val="en-US"/>
        </w:rPr>
      </w:r>
      <w:r w:rsidRPr="00DD1B58">
        <w:rPr>
          <w:lang w:val="en-US"/>
        </w:rPr>
        <w:fldChar w:fldCharType="separate"/>
      </w:r>
      <w:r w:rsidR="00DF47DA">
        <w:rPr>
          <w:lang w:val="en-US"/>
        </w:rPr>
        <w:t>II-2.3.2</w:t>
      </w:r>
      <w:r w:rsidRPr="00DD1B58">
        <w:rPr>
          <w:lang w:val="en-US"/>
        </w:rPr>
        <w:fldChar w:fldCharType="end"/>
      </w:r>
      <w:r w:rsidR="000B43A7" w:rsidRPr="00DD1B58">
        <w:rPr>
          <w:lang w:val="en-US"/>
        </w:rPr>
        <w:t xml:space="preserve">, Springfields Fuels </w:t>
      </w:r>
      <w:r w:rsidR="00BF0D1B" w:rsidRPr="00DD1B58">
        <w:rPr>
          <w:lang w:val="en-US"/>
        </w:rPr>
        <w:t>Ltd</w:t>
      </w:r>
      <w:r w:rsidR="000B43A7" w:rsidRPr="00DD1B58">
        <w:rPr>
          <w:lang w:val="en-US"/>
        </w:rPr>
        <w:t xml:space="preserve"> does not undertake </w:t>
      </w:r>
      <w:r w:rsidRPr="00DD1B58">
        <w:rPr>
          <w:lang w:val="en-US"/>
        </w:rPr>
        <w:t>formal probabilistic fire hazard analysis characteris</w:t>
      </w:r>
      <w:r w:rsidR="000B43A7" w:rsidRPr="00DD1B58">
        <w:rPr>
          <w:lang w:val="en-US"/>
        </w:rPr>
        <w:t>ing the</w:t>
      </w:r>
      <w:r w:rsidRPr="00DD1B58">
        <w:rPr>
          <w:lang w:val="en-US"/>
        </w:rPr>
        <w:t xml:space="preserve"> </w:t>
      </w:r>
      <w:r w:rsidR="00FD5DFC" w:rsidRPr="00DD1B58">
        <w:rPr>
          <w:lang w:val="en-US"/>
        </w:rPr>
        <w:t>dominant hazards in a quantitative way</w:t>
      </w:r>
      <w:r w:rsidR="00730D70" w:rsidRPr="00DD1B58">
        <w:rPr>
          <w:lang w:val="en-US"/>
        </w:rPr>
        <w:t xml:space="preserve">. </w:t>
      </w:r>
      <w:r w:rsidR="00B61F7E" w:rsidRPr="00DD1B58">
        <w:rPr>
          <w:lang w:val="en-US"/>
        </w:rPr>
        <w:t xml:space="preserve">Assessments consider the </w:t>
      </w:r>
      <w:r w:rsidR="00434FEB" w:rsidRPr="00DD1B58">
        <w:rPr>
          <w:lang w:val="en-US"/>
        </w:rPr>
        <w:t xml:space="preserve">radiological and criticality risks associated with faults </w:t>
      </w:r>
      <w:r w:rsidR="00C0065C" w:rsidRPr="00DD1B58">
        <w:rPr>
          <w:lang w:val="en-US"/>
        </w:rPr>
        <w:t xml:space="preserve">that </w:t>
      </w:r>
      <w:r w:rsidR="00434FEB" w:rsidRPr="00DD1B58">
        <w:rPr>
          <w:lang w:val="en-US"/>
        </w:rPr>
        <w:t xml:space="preserve">could result in a significant risk </w:t>
      </w:r>
      <w:r w:rsidR="003112CE" w:rsidRPr="00DD1B58">
        <w:rPr>
          <w:lang w:val="en-US"/>
        </w:rPr>
        <w:t>to the public or workforce when compared to company targets.</w:t>
      </w:r>
    </w:p>
    <w:p w14:paraId="5C515423" w14:textId="77777777" w:rsidR="6EFDD43C" w:rsidRPr="00DD1B58" w:rsidRDefault="6EFDD43C" w:rsidP="00BF6CD4">
      <w:pPr>
        <w:pStyle w:val="Heading4"/>
        <w:rPr>
          <w:lang w:val="en-US"/>
        </w:rPr>
      </w:pPr>
      <w:r w:rsidRPr="00DD1B58">
        <w:rPr>
          <w:lang w:val="en-US"/>
        </w:rPr>
        <w:t>Periodic review and management of changes</w:t>
      </w:r>
    </w:p>
    <w:p w14:paraId="3715B608" w14:textId="61A199A4" w:rsidR="003112CE" w:rsidRPr="00DD1B58" w:rsidRDefault="00071C17" w:rsidP="003112CE">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C0065C" w:rsidRPr="00DD1B58">
        <w:rPr>
          <w:rFonts w:eastAsia="Arial"/>
          <w:szCs w:val="24"/>
          <w:lang w:val="en-US"/>
        </w:rPr>
        <w:t>s</w:t>
      </w:r>
      <w:r w:rsidRPr="00DD1B58">
        <w:rPr>
          <w:rFonts w:eastAsia="Arial"/>
          <w:szCs w:val="24"/>
          <w:lang w:val="en-US"/>
        </w:rPr>
        <w:t xml:space="preserve"> that a</w:t>
      </w:r>
      <w:r w:rsidR="003112CE" w:rsidRPr="00DD1B58">
        <w:rPr>
          <w:rFonts w:eastAsia="Arial"/>
          <w:szCs w:val="24"/>
          <w:lang w:val="en-US"/>
        </w:rPr>
        <w:t>ll designs and modifications of nuclear plant are subjected to detailed safety reviews of the engineered systems and operating</w:t>
      </w:r>
      <w:r w:rsidR="00313168" w:rsidRPr="00DD1B58">
        <w:rPr>
          <w:rFonts w:eastAsia="Arial"/>
          <w:szCs w:val="24"/>
          <w:lang w:val="en-US"/>
        </w:rPr>
        <w:t xml:space="preserve"> and </w:t>
      </w:r>
      <w:r w:rsidR="003112CE" w:rsidRPr="00DD1B58">
        <w:rPr>
          <w:rFonts w:eastAsia="Arial"/>
          <w:szCs w:val="24"/>
          <w:lang w:val="en-US"/>
        </w:rPr>
        <w:t>maintenance procedure</w:t>
      </w:r>
      <w:r w:rsidR="007A477A" w:rsidRPr="00DD1B58">
        <w:rPr>
          <w:rFonts w:eastAsia="Arial"/>
          <w:szCs w:val="24"/>
          <w:lang w:val="en-US"/>
        </w:rPr>
        <w:t>s</w:t>
      </w:r>
      <w:r w:rsidR="00313168" w:rsidRPr="00DD1B58">
        <w:rPr>
          <w:rFonts w:eastAsia="Arial"/>
          <w:szCs w:val="24"/>
          <w:lang w:val="en-US"/>
        </w:rPr>
        <w:t>.</w:t>
      </w:r>
      <w:r w:rsidR="007A477A" w:rsidRPr="00DD1B58">
        <w:rPr>
          <w:rFonts w:eastAsia="Arial"/>
          <w:szCs w:val="24"/>
          <w:lang w:val="en-US"/>
        </w:rPr>
        <w:t xml:space="preserve"> </w:t>
      </w:r>
      <w:r w:rsidR="00313168" w:rsidRPr="00DD1B58">
        <w:rPr>
          <w:rFonts w:eastAsia="Arial"/>
          <w:szCs w:val="24"/>
          <w:lang w:val="en-US"/>
        </w:rPr>
        <w:t>W</w:t>
      </w:r>
      <w:r w:rsidR="003112CE" w:rsidRPr="00DD1B58">
        <w:rPr>
          <w:rFonts w:eastAsia="Arial"/>
          <w:szCs w:val="24"/>
          <w:lang w:val="en-US"/>
        </w:rPr>
        <w:t>hen relevant</w:t>
      </w:r>
      <w:r w:rsidR="007A477A" w:rsidRPr="00DD1B58">
        <w:rPr>
          <w:rFonts w:eastAsia="Arial"/>
          <w:szCs w:val="24"/>
          <w:lang w:val="en-US"/>
        </w:rPr>
        <w:t>,</w:t>
      </w:r>
      <w:r w:rsidR="003112CE" w:rsidRPr="00DD1B58">
        <w:rPr>
          <w:rFonts w:eastAsia="Arial"/>
          <w:szCs w:val="24"/>
          <w:lang w:val="en-US"/>
        </w:rPr>
        <w:t xml:space="preserve"> this extends to reviewing changes to organisational structures and resources.</w:t>
      </w:r>
      <w:r w:rsidR="00940D2A" w:rsidRPr="00DD1B58">
        <w:rPr>
          <w:rFonts w:eastAsia="Arial"/>
          <w:szCs w:val="24"/>
          <w:lang w:val="en-US"/>
        </w:rPr>
        <w:t xml:space="preserve"> </w:t>
      </w:r>
      <w:r w:rsidR="007A477A" w:rsidRPr="00DD1B58">
        <w:rPr>
          <w:rFonts w:eastAsia="Arial"/>
          <w:szCs w:val="24"/>
          <w:lang w:val="en-US"/>
        </w:rPr>
        <w:t xml:space="preserve">Springfields Fuels </w:t>
      </w:r>
      <w:r w:rsidR="00BF0D1B" w:rsidRPr="00DD1B58">
        <w:rPr>
          <w:rFonts w:eastAsia="Arial"/>
          <w:szCs w:val="24"/>
          <w:lang w:val="en-US"/>
        </w:rPr>
        <w:t>Ltd</w:t>
      </w:r>
      <w:r w:rsidR="007A477A" w:rsidRPr="00DD1B58">
        <w:rPr>
          <w:rFonts w:eastAsia="Arial"/>
          <w:szCs w:val="24"/>
          <w:lang w:val="en-US"/>
        </w:rPr>
        <w:t xml:space="preserve"> uses i</w:t>
      </w:r>
      <w:r w:rsidR="003112CE" w:rsidRPr="00DD1B58">
        <w:rPr>
          <w:rFonts w:eastAsia="Arial"/>
          <w:szCs w:val="24"/>
          <w:lang w:val="en-US"/>
        </w:rPr>
        <w:t>ndependent expertise to check major changes within a plant. A Nuclear Safety Committee (NSC) advises the Managing Director of SFL on all aspects of safety operations. At Springfields the NSC is known as the Springfields Environment Health and Safety Committee (SEHSC) and contains independent members</w:t>
      </w:r>
      <w:r w:rsidR="00742A12" w:rsidRPr="00DD1B58">
        <w:rPr>
          <w:rFonts w:eastAsia="Arial"/>
          <w:szCs w:val="24"/>
          <w:lang w:val="en-US"/>
        </w:rPr>
        <w:t>,</w:t>
      </w:r>
      <w:r w:rsidR="003112CE" w:rsidRPr="00DD1B58">
        <w:rPr>
          <w:rFonts w:eastAsia="Arial"/>
          <w:szCs w:val="24"/>
          <w:lang w:val="en-US"/>
        </w:rPr>
        <w:t xml:space="preserve"> including a representative from another nuclear licensed site.</w:t>
      </w:r>
    </w:p>
    <w:p w14:paraId="56F51949" w14:textId="1722A1C6" w:rsidR="003112CE" w:rsidRPr="00DD1B58" w:rsidRDefault="00067A84" w:rsidP="003112CE">
      <w:pPr>
        <w:rPr>
          <w:rFonts w:eastAsia="Arial"/>
          <w:szCs w:val="24"/>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reviews c</w:t>
      </w:r>
      <w:r w:rsidR="003112CE" w:rsidRPr="00DD1B58">
        <w:rPr>
          <w:rFonts w:eastAsia="Arial"/>
          <w:szCs w:val="24"/>
          <w:lang w:val="en-US"/>
        </w:rPr>
        <w:t>onventional</w:t>
      </w:r>
      <w:r w:rsidR="00742A12" w:rsidRPr="00DD1B58">
        <w:rPr>
          <w:rFonts w:eastAsia="Arial"/>
          <w:szCs w:val="24"/>
          <w:lang w:val="en-US"/>
        </w:rPr>
        <w:t xml:space="preserve">, </w:t>
      </w:r>
      <w:r w:rsidR="003112CE" w:rsidRPr="00DD1B58">
        <w:rPr>
          <w:rFonts w:eastAsia="Arial"/>
          <w:szCs w:val="24"/>
          <w:lang w:val="en-US"/>
        </w:rPr>
        <w:t>nuclear</w:t>
      </w:r>
      <w:r w:rsidR="00742A12" w:rsidRPr="00DD1B58">
        <w:rPr>
          <w:rFonts w:eastAsia="Arial"/>
          <w:szCs w:val="24"/>
          <w:lang w:val="en-US"/>
        </w:rPr>
        <w:t xml:space="preserve"> and </w:t>
      </w:r>
      <w:r w:rsidR="003112CE" w:rsidRPr="00DD1B58">
        <w:rPr>
          <w:rFonts w:eastAsia="Arial"/>
          <w:szCs w:val="24"/>
          <w:lang w:val="en-US"/>
        </w:rPr>
        <w:t>chemotoxic fire safety as part of the COSR process on a ten</w:t>
      </w:r>
      <w:r w:rsidR="00742A12" w:rsidRPr="00DD1B58">
        <w:rPr>
          <w:rFonts w:eastAsia="Arial"/>
          <w:szCs w:val="24"/>
          <w:lang w:val="en-US"/>
        </w:rPr>
        <w:t>-</w:t>
      </w:r>
      <w:r w:rsidR="003112CE" w:rsidRPr="00DD1B58">
        <w:rPr>
          <w:rFonts w:eastAsia="Arial"/>
          <w:szCs w:val="24"/>
          <w:lang w:val="en-US"/>
        </w:rPr>
        <w:t xml:space="preserve">yearly basis with recommendations delivered to plant management via </w:t>
      </w:r>
      <w:r w:rsidR="00742A12" w:rsidRPr="00DD1B58">
        <w:rPr>
          <w:rFonts w:eastAsia="Arial"/>
          <w:szCs w:val="24"/>
          <w:lang w:val="en-US"/>
        </w:rPr>
        <w:t>the M</w:t>
      </w:r>
      <w:r w:rsidR="00A019FB" w:rsidRPr="00DD1B58">
        <w:rPr>
          <w:rFonts w:eastAsia="Arial"/>
          <w:szCs w:val="24"/>
          <w:lang w:val="en-US"/>
        </w:rPr>
        <w:t xml:space="preserve">anagement </w:t>
      </w:r>
      <w:r w:rsidR="00742A12" w:rsidRPr="00DD1B58">
        <w:rPr>
          <w:rFonts w:eastAsia="Arial"/>
          <w:szCs w:val="24"/>
          <w:lang w:val="en-US"/>
        </w:rPr>
        <w:t>S</w:t>
      </w:r>
      <w:r w:rsidR="00A019FB" w:rsidRPr="00DD1B58">
        <w:rPr>
          <w:rFonts w:eastAsia="Arial"/>
          <w:szCs w:val="24"/>
          <w:lang w:val="en-US"/>
        </w:rPr>
        <w:t xml:space="preserve">afety </w:t>
      </w:r>
      <w:r w:rsidR="00742A12" w:rsidRPr="00DD1B58">
        <w:rPr>
          <w:rFonts w:eastAsia="Arial"/>
          <w:szCs w:val="24"/>
          <w:lang w:val="en-US"/>
        </w:rPr>
        <w:t>C</w:t>
      </w:r>
      <w:r w:rsidR="00A019FB" w:rsidRPr="00DD1B58">
        <w:rPr>
          <w:rFonts w:eastAsia="Arial"/>
          <w:szCs w:val="24"/>
          <w:lang w:val="en-US"/>
        </w:rPr>
        <w:t>ommittee (</w:t>
      </w:r>
      <w:r w:rsidR="003112CE" w:rsidRPr="00DD1B58">
        <w:rPr>
          <w:rFonts w:eastAsia="Arial"/>
          <w:szCs w:val="24"/>
          <w:lang w:val="en-US"/>
        </w:rPr>
        <w:t>MSC</w:t>
      </w:r>
      <w:r w:rsidR="00A019FB" w:rsidRPr="00DD1B58">
        <w:rPr>
          <w:rFonts w:eastAsia="Arial"/>
          <w:szCs w:val="24"/>
          <w:lang w:val="en-US"/>
        </w:rPr>
        <w:t>).</w:t>
      </w:r>
    </w:p>
    <w:p w14:paraId="13D7F132" w14:textId="3B7FA544" w:rsidR="004F4655" w:rsidRPr="00DD1B58" w:rsidRDefault="004F4655" w:rsidP="004F4655">
      <w:pPr>
        <w:rPr>
          <w:lang w:val="en-US"/>
        </w:rPr>
      </w:pPr>
      <w:r w:rsidRPr="00DD1B58">
        <w:rPr>
          <w:rFonts w:eastAsia="Arial"/>
          <w:szCs w:val="24"/>
          <w:lang w:val="en-US"/>
        </w:rPr>
        <w:t xml:space="preserve">SSI 668A states that apart from conventional fire safety, there may be additional fire safety precautions identified (in the plant safety case) to ensure </w:t>
      </w:r>
      <w:r w:rsidR="00742A12" w:rsidRPr="00DD1B58">
        <w:rPr>
          <w:rFonts w:eastAsia="Arial"/>
          <w:szCs w:val="24"/>
          <w:lang w:val="en-US"/>
        </w:rPr>
        <w:t>nuclear and chemotoxic</w:t>
      </w:r>
      <w:r w:rsidRPr="00DD1B58">
        <w:rPr>
          <w:rFonts w:eastAsia="Arial"/>
          <w:szCs w:val="24"/>
          <w:lang w:val="en-US"/>
        </w:rPr>
        <w:t xml:space="preserve"> safety in the event of fire. SSI 668A states that it is therefore important that modification proposals should consider </w:t>
      </w:r>
      <w:r w:rsidR="00742A12" w:rsidRPr="00DD1B58">
        <w:rPr>
          <w:rFonts w:eastAsia="Arial"/>
          <w:szCs w:val="24"/>
          <w:lang w:val="en-US"/>
        </w:rPr>
        <w:t>nuclear and chemotoxic</w:t>
      </w:r>
      <w:r w:rsidRPr="00DD1B58">
        <w:rPr>
          <w:rFonts w:eastAsia="Arial"/>
          <w:szCs w:val="24"/>
          <w:lang w:val="en-US"/>
        </w:rPr>
        <w:t xml:space="preserve"> fire safety as well as conventional fire safety. In the same way, any fire risk assessments should consider any requirements for </w:t>
      </w:r>
      <w:r w:rsidR="00742A12" w:rsidRPr="00DD1B58">
        <w:rPr>
          <w:rFonts w:eastAsia="Arial"/>
          <w:szCs w:val="24"/>
          <w:lang w:val="en-US"/>
        </w:rPr>
        <w:t>nuclear and chemotoxic</w:t>
      </w:r>
      <w:r w:rsidRPr="00DD1B58">
        <w:rPr>
          <w:rFonts w:eastAsia="Arial"/>
          <w:szCs w:val="24"/>
          <w:lang w:val="en-US"/>
        </w:rPr>
        <w:t xml:space="preserve"> fire safety identified in the safety case. Where necessary a check should be made against the safety case.</w:t>
      </w:r>
    </w:p>
    <w:p w14:paraId="41544A16" w14:textId="11392974" w:rsidR="003112CE" w:rsidRPr="00DD1B58" w:rsidRDefault="00761BC0" w:rsidP="003112CE">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details t</w:t>
      </w:r>
      <w:r w:rsidR="003112CE" w:rsidRPr="00DD1B58">
        <w:rPr>
          <w:rFonts w:eastAsia="Arial"/>
          <w:szCs w:val="24"/>
          <w:lang w:val="en-US"/>
        </w:rPr>
        <w:t>he arrangements for plant modifications in a Springfield Site Instruction (Plant Modification Procedure – PMP)</w:t>
      </w:r>
      <w:r w:rsidR="006D755E" w:rsidRPr="00DD1B58">
        <w:rPr>
          <w:rFonts w:eastAsia="Arial"/>
          <w:szCs w:val="24"/>
          <w:lang w:val="en-US"/>
        </w:rPr>
        <w:t>.</w:t>
      </w:r>
      <w:r w:rsidR="003112CE" w:rsidRPr="00DD1B58">
        <w:rPr>
          <w:rFonts w:eastAsia="Arial"/>
          <w:szCs w:val="24"/>
          <w:lang w:val="en-US"/>
        </w:rPr>
        <w:t xml:space="preserve"> </w:t>
      </w:r>
      <w:r w:rsidR="006D755E" w:rsidRPr="00DD1B58">
        <w:rPr>
          <w:rFonts w:eastAsia="Arial"/>
          <w:szCs w:val="24"/>
          <w:lang w:val="en-US"/>
        </w:rPr>
        <w:t>T</w:t>
      </w:r>
      <w:r w:rsidR="00F16849" w:rsidRPr="00DD1B58">
        <w:rPr>
          <w:rFonts w:eastAsia="Arial"/>
          <w:szCs w:val="24"/>
          <w:lang w:val="en-US"/>
        </w:rPr>
        <w:t xml:space="preserve">he main aims of the </w:t>
      </w:r>
      <w:r w:rsidR="002063CA" w:rsidRPr="00DD1B58">
        <w:rPr>
          <w:rFonts w:eastAsia="Arial"/>
          <w:szCs w:val="24"/>
          <w:lang w:val="en-US"/>
        </w:rPr>
        <w:t xml:space="preserve">PMP are described in Springfields </w:t>
      </w:r>
      <w:r w:rsidR="006D755E" w:rsidRPr="00DD1B58">
        <w:rPr>
          <w:rFonts w:eastAsia="Arial"/>
          <w:szCs w:val="24"/>
          <w:lang w:val="en-US"/>
        </w:rPr>
        <w:t>‘</w:t>
      </w:r>
      <w:r w:rsidRPr="00DD1B58">
        <w:rPr>
          <w:rFonts w:eastAsia="Arial"/>
          <w:szCs w:val="24"/>
          <w:lang w:val="en-US"/>
        </w:rPr>
        <w:t>self-assessment submission for</w:t>
      </w:r>
      <w:r w:rsidR="00ED7832" w:rsidRPr="00DD1B58">
        <w:rPr>
          <w:rFonts w:eastAsia="Arial"/>
          <w:szCs w:val="24"/>
          <w:lang w:val="en-US"/>
        </w:rPr>
        <w:t xml:space="preserve"> the NAR</w:t>
      </w:r>
      <w:r w:rsidR="00422631" w:rsidRPr="00DD1B58">
        <w:rPr>
          <w:rFonts w:eastAsia="Arial"/>
          <w:szCs w:val="24"/>
          <w:lang w:val="en-US"/>
        </w:rPr>
        <w:t>’</w:t>
      </w:r>
      <w:r w:rsidR="00ED7832" w:rsidRPr="00DD1B58">
        <w:rPr>
          <w:rFonts w:eastAsia="Arial"/>
          <w:szCs w:val="24"/>
          <w:lang w:val="en-US"/>
        </w:rPr>
        <w:t xml:space="preserve"> </w:t>
      </w:r>
      <w:sdt>
        <w:sdtPr>
          <w:rPr>
            <w:rFonts w:eastAsia="Arial"/>
            <w:szCs w:val="24"/>
            <w:lang w:val="en-US"/>
          </w:rPr>
          <w:id w:val="2030446757"/>
          <w:citation/>
        </w:sdtPr>
        <w:sdtContent>
          <w:r w:rsidR="008A579E" w:rsidRPr="00DD1B58">
            <w:rPr>
              <w:rFonts w:eastAsia="Arial"/>
              <w:szCs w:val="24"/>
              <w:lang w:val="en-US"/>
            </w:rPr>
            <w:fldChar w:fldCharType="begin"/>
          </w:r>
          <w:r w:rsidR="008A579E" w:rsidRPr="00DD1B58">
            <w:rPr>
              <w:rFonts w:eastAsia="Arial"/>
              <w:szCs w:val="24"/>
              <w:lang w:val="en-US"/>
            </w:rPr>
            <w:instrText xml:space="preserve"> CITATION ENS \l 2057 </w:instrText>
          </w:r>
          <w:r w:rsidR="008A579E" w:rsidRPr="00DD1B58">
            <w:rPr>
              <w:rFonts w:eastAsia="Arial"/>
              <w:szCs w:val="24"/>
              <w:lang w:val="en-US"/>
            </w:rPr>
            <w:fldChar w:fldCharType="separate"/>
          </w:r>
          <w:r w:rsidR="00DF47DA" w:rsidRPr="00DF47DA">
            <w:rPr>
              <w:rFonts w:eastAsia="Arial"/>
              <w:noProof/>
              <w:szCs w:val="24"/>
              <w:lang w:val="en-US"/>
            </w:rPr>
            <w:t>[9]</w:t>
          </w:r>
          <w:r w:rsidR="008A579E" w:rsidRPr="00DD1B58">
            <w:rPr>
              <w:rFonts w:eastAsia="Arial"/>
              <w:szCs w:val="24"/>
              <w:lang w:val="en-US"/>
            </w:rPr>
            <w:fldChar w:fldCharType="end"/>
          </w:r>
        </w:sdtContent>
      </w:sdt>
      <w:r w:rsidR="00ED7832" w:rsidRPr="00DD1B58">
        <w:rPr>
          <w:rFonts w:eastAsia="Arial"/>
          <w:szCs w:val="24"/>
          <w:lang w:val="en-US"/>
        </w:rPr>
        <w:t>.</w:t>
      </w:r>
      <w:r w:rsidR="00826100" w:rsidRPr="00DD1B58">
        <w:rPr>
          <w:rFonts w:eastAsia="Arial"/>
          <w:szCs w:val="24"/>
          <w:lang w:val="en-US"/>
        </w:rPr>
        <w:t xml:space="preserve"> </w:t>
      </w:r>
      <w:r w:rsidR="00DA5221" w:rsidRPr="00DD1B58">
        <w:rPr>
          <w:rFonts w:eastAsia="Arial"/>
          <w:szCs w:val="24"/>
          <w:lang w:val="en-US"/>
        </w:rPr>
        <w:t xml:space="preserve">The following are </w:t>
      </w:r>
      <w:r w:rsidR="00134292" w:rsidRPr="00DD1B58">
        <w:rPr>
          <w:rFonts w:eastAsia="Arial"/>
          <w:szCs w:val="24"/>
          <w:lang w:val="en-US"/>
        </w:rPr>
        <w:t>Springfields Fuels Ltd</w:t>
      </w:r>
      <w:r w:rsidR="006D755E" w:rsidRPr="00DD1B58">
        <w:rPr>
          <w:rFonts w:eastAsia="Arial"/>
          <w:szCs w:val="24"/>
          <w:lang w:val="en-US"/>
        </w:rPr>
        <w:t>’s</w:t>
      </w:r>
      <w:r w:rsidR="00DA5221" w:rsidRPr="00DD1B58">
        <w:rPr>
          <w:rFonts w:eastAsia="Arial"/>
          <w:szCs w:val="24"/>
          <w:lang w:val="en-US"/>
        </w:rPr>
        <w:t xml:space="preserve"> expectations as provided in the self-assessment:</w:t>
      </w:r>
    </w:p>
    <w:p w14:paraId="59AB08A7" w14:textId="71052870" w:rsidR="003112CE" w:rsidRPr="00DD1B58" w:rsidRDefault="003112CE" w:rsidP="00973FF4">
      <w:pPr>
        <w:pStyle w:val="Bulletlist1"/>
        <w:rPr>
          <w:lang w:val="en-US"/>
        </w:rPr>
      </w:pPr>
      <w:r w:rsidRPr="00DD1B58">
        <w:rPr>
          <w:lang w:val="en-US"/>
        </w:rPr>
        <w:t>There is a standard PMP form to be completed before any modification is implemented</w:t>
      </w:r>
      <w:r w:rsidR="006D755E" w:rsidRPr="00DD1B58">
        <w:rPr>
          <w:lang w:val="en-US"/>
        </w:rPr>
        <w:t>,</w:t>
      </w:r>
      <w:r w:rsidRPr="00DD1B58">
        <w:rPr>
          <w:lang w:val="en-US"/>
        </w:rPr>
        <w:t xml:space="preserve"> which contains a checklist to prompt any possible effects on safety and safety case documentation. The modification proposal must be categorised in accordance with its potential effect on safety. This categorisation then determines the level of authorisation required for implementation, which ranges from the Site Managing Director down to the Plant Manager, and for higher category proposals some degree of </w:t>
      </w:r>
      <w:r w:rsidR="000E2BCF" w:rsidRPr="00DD1B58">
        <w:rPr>
          <w:lang w:val="en-US"/>
        </w:rPr>
        <w:t>r</w:t>
      </w:r>
      <w:r w:rsidRPr="00DD1B58">
        <w:rPr>
          <w:lang w:val="en-US"/>
        </w:rPr>
        <w:t>egulator involvement. The latter are also reviewed for approval by the SEHSC. All proposals except the most minor are put before the relevant Management Safety Committee for endorsement.</w:t>
      </w:r>
    </w:p>
    <w:p w14:paraId="1177E6A2" w14:textId="14152803" w:rsidR="003112CE" w:rsidRPr="00DD1B58" w:rsidDel="004F4655" w:rsidRDefault="003112CE" w:rsidP="00973FF4">
      <w:pPr>
        <w:pStyle w:val="Bulletlist1"/>
        <w:rPr>
          <w:lang w:val="en-US"/>
        </w:rPr>
      </w:pPr>
      <w:r w:rsidRPr="00DD1B58" w:rsidDel="004F4655">
        <w:rPr>
          <w:lang w:val="en-US"/>
        </w:rPr>
        <w:t xml:space="preserve">SSI 668A states that apart from conventional fire safety, there may be additional fire safety precautions identified (in the plant safety case) to ensure </w:t>
      </w:r>
      <w:r w:rsidR="00742A12" w:rsidRPr="00DD1B58">
        <w:rPr>
          <w:lang w:val="en-US"/>
        </w:rPr>
        <w:t>nuclear and chemotoxic</w:t>
      </w:r>
      <w:r w:rsidRPr="00DD1B58" w:rsidDel="004F4655">
        <w:rPr>
          <w:lang w:val="en-US"/>
        </w:rPr>
        <w:t xml:space="preserve"> safety in the event of fire. SSI 668A states that it is therefore important that modification proposals should consider </w:t>
      </w:r>
      <w:r w:rsidR="00742A12" w:rsidRPr="00DD1B58">
        <w:rPr>
          <w:lang w:val="en-US"/>
        </w:rPr>
        <w:t>nuclear and chemotoxic</w:t>
      </w:r>
      <w:r w:rsidRPr="00DD1B58" w:rsidDel="004F4655">
        <w:rPr>
          <w:lang w:val="en-US"/>
        </w:rPr>
        <w:t xml:space="preserve"> fire safety as well as conventional fire safety. In the same way, any fire risk assessments should consider any requirements for </w:t>
      </w:r>
      <w:r w:rsidR="00742A12" w:rsidRPr="00DD1B58">
        <w:rPr>
          <w:lang w:val="en-US"/>
        </w:rPr>
        <w:t>nuclear and chemotoxic</w:t>
      </w:r>
      <w:r w:rsidRPr="00DD1B58" w:rsidDel="004F4655">
        <w:rPr>
          <w:lang w:val="en-US"/>
        </w:rPr>
        <w:t xml:space="preserve"> fire safety identified in the safety case. Where necessary a check should be made against the safety case.</w:t>
      </w:r>
    </w:p>
    <w:p w14:paraId="49793CFE" w14:textId="775A46BD" w:rsidR="003112CE" w:rsidRPr="00DD1B58" w:rsidRDefault="003112CE" w:rsidP="00973FF4">
      <w:pPr>
        <w:pStyle w:val="Bulletlist1"/>
        <w:rPr>
          <w:lang w:val="en-US"/>
        </w:rPr>
      </w:pPr>
      <w:r w:rsidRPr="00DD1B58">
        <w:rPr>
          <w:lang w:val="en-US"/>
        </w:rPr>
        <w:t>Plant modification proposals which affect fire safety in an existing building, temporary accommodation or decommissioning area must be reviewed by the Core Fire Nominated Person/Building Fire Nominated Person and must be submitted to the Fire Safety Manager for vetting and approval prior to implementation.</w:t>
      </w:r>
      <w:r w:rsidR="00DD45F1" w:rsidRPr="00DD1B58">
        <w:rPr>
          <w:lang w:val="en-US"/>
        </w:rPr>
        <w:t xml:space="preserve"> </w:t>
      </w:r>
      <w:r w:rsidRPr="00DD1B58">
        <w:rPr>
          <w:lang w:val="en-US"/>
        </w:rPr>
        <w:t>Such modifications could include changes to building structures, internal layouts, fire separating and compartment boundaries and surface finishes (cladding, penetrations</w:t>
      </w:r>
      <w:r w:rsidR="00B36805" w:rsidRPr="00DD1B58">
        <w:rPr>
          <w:lang w:val="en-US"/>
        </w:rPr>
        <w:t>,</w:t>
      </w:r>
      <w:r w:rsidRPr="00DD1B58">
        <w:rPr>
          <w:lang w:val="en-US"/>
        </w:rPr>
        <w:t xml:space="preserve"> etc.), fire notices, emergency lighting, fire exits, fire assembly areas, firefighting equipment, fire alarm systems, temporary accommodation (including contractor</w:t>
      </w:r>
      <w:r w:rsidR="00B36805" w:rsidRPr="00DD1B58">
        <w:rPr>
          <w:lang w:val="en-US"/>
        </w:rPr>
        <w:t>s’</w:t>
      </w:r>
      <w:r w:rsidRPr="00DD1B58">
        <w:rPr>
          <w:lang w:val="en-US"/>
        </w:rPr>
        <w:t xml:space="preserve"> accommodation), significant changes in occupancy (i.e.</w:t>
      </w:r>
      <w:r w:rsidR="00B36805" w:rsidRPr="00DD1B58">
        <w:rPr>
          <w:lang w:val="en-US"/>
        </w:rPr>
        <w:t>,</w:t>
      </w:r>
      <w:r w:rsidRPr="00DD1B58">
        <w:rPr>
          <w:lang w:val="en-US"/>
        </w:rPr>
        <w:t xml:space="preserve"> manning levels or in silent hours), </w:t>
      </w:r>
      <w:r w:rsidR="00762B8B" w:rsidRPr="00DD1B58">
        <w:rPr>
          <w:lang w:val="en-US"/>
        </w:rPr>
        <w:t xml:space="preserve">and </w:t>
      </w:r>
      <w:r w:rsidRPr="00DD1B58">
        <w:rPr>
          <w:lang w:val="en-US"/>
        </w:rPr>
        <w:t>introduction of or significant increase in the use of flammable materials.</w:t>
      </w:r>
    </w:p>
    <w:p w14:paraId="4B25A7A7" w14:textId="26F3DAFC" w:rsidR="003112CE" w:rsidRPr="00DD1B58" w:rsidRDefault="00914264" w:rsidP="003112CE">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has a</w:t>
      </w:r>
      <w:r w:rsidR="003112CE" w:rsidRPr="00DD1B58">
        <w:rPr>
          <w:rFonts w:eastAsia="Arial"/>
          <w:szCs w:val="24"/>
          <w:lang w:val="en-US"/>
        </w:rPr>
        <w:t xml:space="preserve"> ten-year rolling programme for the Periodic Review of all </w:t>
      </w:r>
      <w:r w:rsidR="00762B8B" w:rsidRPr="00DD1B58">
        <w:rPr>
          <w:rFonts w:eastAsia="Arial"/>
          <w:szCs w:val="24"/>
          <w:lang w:val="en-US"/>
        </w:rPr>
        <w:t>s</w:t>
      </w:r>
      <w:r w:rsidR="003112CE" w:rsidRPr="00DD1B58">
        <w:rPr>
          <w:rFonts w:eastAsia="Arial"/>
          <w:szCs w:val="24"/>
          <w:lang w:val="en-US"/>
        </w:rPr>
        <w:t xml:space="preserve">afety </w:t>
      </w:r>
      <w:r w:rsidR="00762B8B" w:rsidRPr="00DD1B58">
        <w:rPr>
          <w:rFonts w:eastAsia="Arial"/>
          <w:szCs w:val="24"/>
          <w:lang w:val="en-US"/>
        </w:rPr>
        <w:t>c</w:t>
      </w:r>
      <w:r w:rsidR="003112CE" w:rsidRPr="00DD1B58">
        <w:rPr>
          <w:rFonts w:eastAsia="Arial"/>
          <w:szCs w:val="24"/>
          <w:lang w:val="en-US"/>
        </w:rPr>
        <w:t>ases across the Springfields site</w:t>
      </w:r>
      <w:r w:rsidRPr="00DD1B58">
        <w:rPr>
          <w:rFonts w:eastAsia="Arial"/>
          <w:szCs w:val="24"/>
          <w:lang w:val="en-US"/>
        </w:rPr>
        <w:t>, which</w:t>
      </w:r>
      <w:r w:rsidR="003112CE" w:rsidRPr="00DD1B58">
        <w:rPr>
          <w:rFonts w:eastAsia="Arial"/>
          <w:szCs w:val="24"/>
          <w:lang w:val="en-US"/>
        </w:rPr>
        <w:t xml:space="preserve"> is owned by the Springfields Safety Case Manager</w:t>
      </w:r>
      <w:r w:rsidR="003D6B64" w:rsidRPr="00DD1B58">
        <w:rPr>
          <w:rFonts w:eastAsia="Arial"/>
          <w:szCs w:val="24"/>
          <w:lang w:val="en-US"/>
        </w:rPr>
        <w:t>,</w:t>
      </w:r>
      <w:r w:rsidR="003112CE" w:rsidRPr="00DD1B58">
        <w:rPr>
          <w:rFonts w:eastAsia="Arial"/>
          <w:szCs w:val="24"/>
          <w:lang w:val="en-US"/>
        </w:rPr>
        <w:t xml:space="preserve"> monitored by the SEHSC </w:t>
      </w:r>
      <w:r w:rsidR="00762B8B" w:rsidRPr="00DD1B58">
        <w:rPr>
          <w:rFonts w:eastAsia="Arial"/>
          <w:szCs w:val="24"/>
          <w:lang w:val="en-US"/>
        </w:rPr>
        <w:t>(</w:t>
      </w:r>
      <w:r w:rsidR="003112CE" w:rsidRPr="00DD1B58">
        <w:rPr>
          <w:rFonts w:eastAsia="Arial"/>
          <w:szCs w:val="24"/>
          <w:lang w:val="en-US"/>
        </w:rPr>
        <w:t xml:space="preserve">the Springfields arrangement for LC 13, Nuclear Safety Committee) and shared with ONR. Every ten years, a facility </w:t>
      </w:r>
      <w:r w:rsidR="003D6B64" w:rsidRPr="00DD1B58">
        <w:rPr>
          <w:rFonts w:eastAsia="Arial"/>
          <w:szCs w:val="24"/>
          <w:lang w:val="en-US"/>
        </w:rPr>
        <w:t xml:space="preserve">with </w:t>
      </w:r>
      <w:r w:rsidR="003112CE" w:rsidRPr="00DD1B58">
        <w:rPr>
          <w:rFonts w:eastAsia="Arial"/>
          <w:szCs w:val="24"/>
          <w:lang w:val="en-US"/>
        </w:rPr>
        <w:t>a nuclear or chemotoxic safety case undertakes a review of nuclear and chemotoxic safety and presents that review in the form of a Continued Operations Safety Case (COSC)</w:t>
      </w:r>
      <w:r w:rsidR="003D6B64" w:rsidRPr="00DD1B58">
        <w:rPr>
          <w:rFonts w:eastAsia="Arial"/>
          <w:szCs w:val="24"/>
          <w:lang w:val="en-US"/>
        </w:rPr>
        <w:t>,</w:t>
      </w:r>
      <w:r w:rsidR="003112CE" w:rsidRPr="00DD1B58">
        <w:rPr>
          <w:rFonts w:eastAsia="Arial"/>
          <w:szCs w:val="24"/>
          <w:lang w:val="en-US"/>
        </w:rPr>
        <w:t xml:space="preserve"> which may be shared with ONR on request. The purpose of the review is to provide ongoing confidence that operations will continue to be adequately safe and risks are managed to be ALARP in order to justify continued operations for a timescale that is appropriate for that facility.</w:t>
      </w:r>
    </w:p>
    <w:p w14:paraId="7E9D812A" w14:textId="6ED36FA5" w:rsidR="003112CE" w:rsidRPr="00DD1B58" w:rsidRDefault="00134292" w:rsidP="003112CE">
      <w:pPr>
        <w:rPr>
          <w:lang w:val="en-US"/>
        </w:rPr>
      </w:pPr>
      <w:r w:rsidRPr="00DD1B58">
        <w:rPr>
          <w:rFonts w:eastAsia="Arial"/>
          <w:szCs w:val="24"/>
          <w:lang w:val="en-US"/>
        </w:rPr>
        <w:t>Springfields Fuels Ltd</w:t>
      </w:r>
      <w:r w:rsidR="00C1121F" w:rsidRPr="00DD1B58">
        <w:rPr>
          <w:rFonts w:eastAsia="Arial"/>
          <w:szCs w:val="24"/>
          <w:lang w:val="en-US"/>
        </w:rPr>
        <w:t xml:space="preserve"> state</w:t>
      </w:r>
      <w:r w:rsidR="001533CA" w:rsidRPr="00DD1B58">
        <w:rPr>
          <w:rFonts w:eastAsia="Arial"/>
          <w:szCs w:val="24"/>
          <w:lang w:val="en-US"/>
        </w:rPr>
        <w:t>s</w:t>
      </w:r>
      <w:r w:rsidR="00C1121F" w:rsidRPr="00DD1B58">
        <w:rPr>
          <w:rFonts w:eastAsia="Arial"/>
          <w:szCs w:val="24"/>
          <w:lang w:val="en-US"/>
        </w:rPr>
        <w:t xml:space="preserve"> that f</w:t>
      </w:r>
      <w:r w:rsidR="003112CE" w:rsidRPr="00DD1B58">
        <w:rPr>
          <w:rFonts w:eastAsia="Arial"/>
          <w:szCs w:val="24"/>
          <w:lang w:val="en-US"/>
        </w:rPr>
        <w:t>ire hazard calculations</w:t>
      </w:r>
      <w:r w:rsidR="00C1121F" w:rsidRPr="00DD1B58">
        <w:rPr>
          <w:rFonts w:eastAsia="Arial"/>
          <w:szCs w:val="24"/>
          <w:lang w:val="en-US"/>
        </w:rPr>
        <w:t>,</w:t>
      </w:r>
      <w:r w:rsidR="003112CE" w:rsidRPr="00DD1B58">
        <w:rPr>
          <w:rFonts w:eastAsia="Arial"/>
          <w:szCs w:val="24"/>
          <w:lang w:val="en-US"/>
        </w:rPr>
        <w:t xml:space="preserve"> if appropriate</w:t>
      </w:r>
      <w:r w:rsidR="00C1121F" w:rsidRPr="00DD1B58">
        <w:rPr>
          <w:rFonts w:eastAsia="Arial"/>
          <w:szCs w:val="24"/>
          <w:lang w:val="en-US"/>
        </w:rPr>
        <w:t>,</w:t>
      </w:r>
      <w:r w:rsidR="003112CE" w:rsidRPr="00DD1B58">
        <w:rPr>
          <w:rFonts w:eastAsia="Arial"/>
          <w:szCs w:val="24"/>
          <w:lang w:val="en-US"/>
        </w:rPr>
        <w:t xml:space="preserve"> are reviewed at the time of the ten</w:t>
      </w:r>
      <w:r w:rsidR="003D6B64" w:rsidRPr="00DD1B58">
        <w:rPr>
          <w:rFonts w:eastAsia="Arial"/>
          <w:szCs w:val="24"/>
          <w:lang w:val="en-US"/>
        </w:rPr>
        <w:t>-</w:t>
      </w:r>
      <w:r w:rsidR="003112CE" w:rsidRPr="00DD1B58">
        <w:rPr>
          <w:rFonts w:eastAsia="Arial"/>
          <w:szCs w:val="24"/>
          <w:lang w:val="en-US"/>
        </w:rPr>
        <w:t xml:space="preserve">yearly COSR review. </w:t>
      </w:r>
      <w:r w:rsidR="00093594" w:rsidRPr="00DD1B58">
        <w:rPr>
          <w:rFonts w:eastAsia="Arial"/>
          <w:szCs w:val="24"/>
          <w:lang w:val="en-US"/>
        </w:rPr>
        <w:t>It also state</w:t>
      </w:r>
      <w:r w:rsidR="001533CA" w:rsidRPr="00DD1B58">
        <w:rPr>
          <w:rFonts w:eastAsia="Arial"/>
          <w:szCs w:val="24"/>
          <w:lang w:val="en-US"/>
        </w:rPr>
        <w:t>s</w:t>
      </w:r>
      <w:r w:rsidR="00093594" w:rsidRPr="00DD1B58">
        <w:rPr>
          <w:rFonts w:eastAsia="Arial"/>
          <w:szCs w:val="24"/>
          <w:lang w:val="en-US"/>
        </w:rPr>
        <w:t xml:space="preserve"> that </w:t>
      </w:r>
      <w:r w:rsidR="003112CE" w:rsidRPr="00DD1B58">
        <w:rPr>
          <w:rFonts w:eastAsia="Arial"/>
          <w:szCs w:val="24"/>
          <w:lang w:val="en-US"/>
        </w:rPr>
        <w:t>HAZAN</w:t>
      </w:r>
      <w:r w:rsidR="00093594" w:rsidRPr="00DD1B58">
        <w:rPr>
          <w:rFonts w:eastAsia="Arial"/>
          <w:szCs w:val="24"/>
          <w:lang w:val="en-US"/>
        </w:rPr>
        <w:t>s</w:t>
      </w:r>
      <w:r w:rsidR="003112CE" w:rsidRPr="00DD1B58">
        <w:rPr>
          <w:rFonts w:eastAsia="Arial"/>
          <w:szCs w:val="24"/>
          <w:lang w:val="en-US"/>
        </w:rPr>
        <w:t xml:space="preserve"> are reviewed for changes affecting the consequences of fault sequences and</w:t>
      </w:r>
      <w:r w:rsidR="00B43868" w:rsidRPr="00DD1B58">
        <w:rPr>
          <w:rFonts w:eastAsia="Arial"/>
          <w:szCs w:val="24"/>
          <w:lang w:val="en-US"/>
        </w:rPr>
        <w:t>,</w:t>
      </w:r>
      <w:r w:rsidR="003112CE" w:rsidRPr="00DD1B58">
        <w:rPr>
          <w:rFonts w:eastAsia="Arial"/>
          <w:szCs w:val="24"/>
          <w:lang w:val="en-US"/>
        </w:rPr>
        <w:t xml:space="preserve"> if consequences to worker</w:t>
      </w:r>
      <w:r w:rsidR="00D90ADF" w:rsidRPr="00DD1B58">
        <w:rPr>
          <w:rFonts w:eastAsia="Arial"/>
          <w:szCs w:val="24"/>
          <w:lang w:val="en-US"/>
        </w:rPr>
        <w:t>s</w:t>
      </w:r>
      <w:r w:rsidR="003112CE" w:rsidRPr="00DD1B58">
        <w:rPr>
          <w:rFonts w:eastAsia="Arial"/>
          <w:szCs w:val="24"/>
          <w:lang w:val="en-US"/>
        </w:rPr>
        <w:t xml:space="preserve"> or</w:t>
      </w:r>
      <w:r w:rsidR="00D90ADF" w:rsidRPr="00DD1B58">
        <w:rPr>
          <w:rFonts w:eastAsia="Arial"/>
          <w:szCs w:val="24"/>
          <w:lang w:val="en-US"/>
        </w:rPr>
        <w:t xml:space="preserve"> the</w:t>
      </w:r>
      <w:r w:rsidR="003112CE" w:rsidRPr="00DD1B58">
        <w:rPr>
          <w:rFonts w:eastAsia="Arial"/>
          <w:szCs w:val="24"/>
          <w:lang w:val="en-US"/>
        </w:rPr>
        <w:t xml:space="preserve"> public have increased or additional fault sequence groups have been added</w:t>
      </w:r>
      <w:r w:rsidR="00B43868" w:rsidRPr="00DD1B58">
        <w:rPr>
          <w:rFonts w:eastAsia="Arial"/>
          <w:szCs w:val="24"/>
          <w:lang w:val="en-US"/>
        </w:rPr>
        <w:t>,</w:t>
      </w:r>
      <w:r w:rsidR="003112CE" w:rsidRPr="00DD1B58">
        <w:rPr>
          <w:rFonts w:eastAsia="Arial"/>
          <w:szCs w:val="24"/>
          <w:lang w:val="en-US"/>
        </w:rPr>
        <w:t xml:space="preserve"> further analysis of the potential for fire is undertaken.</w:t>
      </w:r>
    </w:p>
    <w:p w14:paraId="7B711DBE" w14:textId="371C7388" w:rsidR="003112CE" w:rsidRPr="00DD1B58" w:rsidRDefault="00093594" w:rsidP="003112CE">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state</w:t>
      </w:r>
      <w:r w:rsidR="001533CA" w:rsidRPr="00DD1B58">
        <w:rPr>
          <w:rFonts w:eastAsia="Arial"/>
          <w:szCs w:val="24"/>
          <w:lang w:val="en-US"/>
        </w:rPr>
        <w:t>s</w:t>
      </w:r>
      <w:r w:rsidRPr="00DD1B58">
        <w:rPr>
          <w:rFonts w:eastAsia="Arial"/>
          <w:szCs w:val="24"/>
          <w:lang w:val="en-US"/>
        </w:rPr>
        <w:t xml:space="preserve"> that</w:t>
      </w:r>
      <w:r w:rsidR="007E39D4" w:rsidRPr="00DD1B58">
        <w:rPr>
          <w:rFonts w:eastAsia="Arial"/>
          <w:szCs w:val="24"/>
          <w:lang w:val="en-US"/>
        </w:rPr>
        <w:t xml:space="preserve">, further to the </w:t>
      </w:r>
      <w:r w:rsidR="001533CA" w:rsidRPr="00DD1B58">
        <w:rPr>
          <w:rFonts w:eastAsia="Arial"/>
          <w:szCs w:val="24"/>
          <w:lang w:val="en-US"/>
        </w:rPr>
        <w:t>ten</w:t>
      </w:r>
      <w:r w:rsidR="007E39D4" w:rsidRPr="00DD1B58">
        <w:rPr>
          <w:rFonts w:eastAsia="Arial"/>
          <w:szCs w:val="24"/>
          <w:lang w:val="en-US"/>
        </w:rPr>
        <w:t xml:space="preserve">-yearly Long Term Periodic Review cycle, </w:t>
      </w:r>
      <w:r w:rsidR="003112CE" w:rsidRPr="00DD1B58">
        <w:rPr>
          <w:rFonts w:eastAsia="Arial"/>
          <w:szCs w:val="24"/>
          <w:lang w:val="en-US"/>
        </w:rPr>
        <w:t xml:space="preserve">all </w:t>
      </w:r>
      <w:r w:rsidR="00E208A0" w:rsidRPr="00DD1B58">
        <w:rPr>
          <w:rFonts w:eastAsia="Arial"/>
          <w:szCs w:val="24"/>
          <w:lang w:val="en-US"/>
        </w:rPr>
        <w:t>s</w:t>
      </w:r>
      <w:r w:rsidR="003112CE" w:rsidRPr="00DD1B58">
        <w:rPr>
          <w:rFonts w:eastAsia="Arial"/>
          <w:szCs w:val="24"/>
          <w:lang w:val="en-US"/>
        </w:rPr>
        <w:t xml:space="preserve">afety </w:t>
      </w:r>
      <w:r w:rsidR="00E208A0" w:rsidRPr="00DD1B58">
        <w:rPr>
          <w:rFonts w:eastAsia="Arial"/>
          <w:szCs w:val="24"/>
          <w:lang w:val="en-US"/>
        </w:rPr>
        <w:t>c</w:t>
      </w:r>
      <w:r w:rsidR="003112CE" w:rsidRPr="00DD1B58">
        <w:rPr>
          <w:rFonts w:eastAsia="Arial"/>
          <w:szCs w:val="24"/>
          <w:lang w:val="en-US"/>
        </w:rPr>
        <w:t xml:space="preserve">ases are also reviewed during their period of validity at a frequency appropriate to the complexity of the </w:t>
      </w:r>
      <w:r w:rsidR="00E208A0" w:rsidRPr="00DD1B58">
        <w:rPr>
          <w:rFonts w:eastAsia="Arial"/>
          <w:szCs w:val="24"/>
          <w:lang w:val="en-US"/>
        </w:rPr>
        <w:t>s</w:t>
      </w:r>
      <w:r w:rsidR="003112CE" w:rsidRPr="00DD1B58">
        <w:rPr>
          <w:rFonts w:eastAsia="Arial"/>
          <w:szCs w:val="24"/>
          <w:lang w:val="en-US"/>
        </w:rPr>
        <w:t xml:space="preserve">afety </w:t>
      </w:r>
      <w:r w:rsidR="00E208A0" w:rsidRPr="00DD1B58">
        <w:rPr>
          <w:rFonts w:eastAsia="Arial"/>
          <w:szCs w:val="24"/>
          <w:lang w:val="en-US"/>
        </w:rPr>
        <w:t>c</w:t>
      </w:r>
      <w:r w:rsidR="003112CE" w:rsidRPr="00DD1B58">
        <w:rPr>
          <w:rFonts w:eastAsia="Arial"/>
          <w:szCs w:val="24"/>
          <w:lang w:val="en-US"/>
        </w:rPr>
        <w:t xml:space="preserve">ase and the magnitude of the associated hazard. These interim reviews include specific consideration of the cumulative impact of plant modifications and operating experience upon the underpinning safety assessments (including </w:t>
      </w:r>
      <w:r w:rsidR="00E208A0" w:rsidRPr="00DD1B58">
        <w:rPr>
          <w:rFonts w:eastAsia="Arial"/>
          <w:szCs w:val="24"/>
          <w:lang w:val="en-US"/>
        </w:rPr>
        <w:t xml:space="preserve">those </w:t>
      </w:r>
      <w:r w:rsidR="003112CE" w:rsidRPr="00DD1B58">
        <w:rPr>
          <w:rFonts w:eastAsia="Arial"/>
          <w:szCs w:val="24"/>
          <w:lang w:val="en-US"/>
        </w:rPr>
        <w:t>for fire safety)</w:t>
      </w:r>
      <w:r w:rsidR="00E208A0" w:rsidRPr="00DD1B58">
        <w:rPr>
          <w:rFonts w:eastAsia="Arial"/>
          <w:szCs w:val="24"/>
          <w:lang w:val="en-US"/>
        </w:rPr>
        <w:t>,</w:t>
      </w:r>
      <w:r w:rsidR="003112CE" w:rsidRPr="00DD1B58">
        <w:rPr>
          <w:rFonts w:eastAsia="Arial"/>
          <w:szCs w:val="24"/>
          <w:lang w:val="en-US"/>
        </w:rPr>
        <w:t xml:space="preserve"> </w:t>
      </w:r>
      <w:r w:rsidR="00E208A0" w:rsidRPr="00DD1B58">
        <w:rPr>
          <w:rFonts w:eastAsia="Arial"/>
          <w:szCs w:val="24"/>
          <w:lang w:val="en-US"/>
        </w:rPr>
        <w:t xml:space="preserve">so </w:t>
      </w:r>
      <w:r w:rsidR="003112CE" w:rsidRPr="00DD1B58">
        <w:rPr>
          <w:rFonts w:eastAsia="Arial"/>
          <w:szCs w:val="24"/>
          <w:lang w:val="en-US"/>
        </w:rPr>
        <w:t>any emerging issues of concern may be identified and addressed as early as practicable.</w:t>
      </w:r>
    </w:p>
    <w:p w14:paraId="3D8EFB08" w14:textId="79AC0B19" w:rsidR="003112CE" w:rsidRPr="00DD1B58" w:rsidRDefault="004E2851" w:rsidP="003112CE">
      <w:pPr>
        <w:rPr>
          <w:lang w:val="en-US"/>
        </w:rPr>
      </w:pPr>
      <w:r w:rsidRPr="00DD1B58">
        <w:rPr>
          <w:rFonts w:eastAsia="Arial"/>
          <w:szCs w:val="24"/>
          <w:lang w:val="en-US"/>
        </w:rPr>
        <w:t xml:space="preserve">The </w:t>
      </w:r>
      <w:r w:rsidR="003112CE" w:rsidRPr="00DD1B58">
        <w:rPr>
          <w:rFonts w:eastAsia="Arial"/>
          <w:szCs w:val="24"/>
          <w:lang w:val="en-US"/>
        </w:rPr>
        <w:t>formal review processes are in addition to the routine monitoring of individual plant modifications for fire safety implications. Should a modification that would materially affect the nuclear fire safety analysis</w:t>
      </w:r>
      <w:r w:rsidR="00E208A0" w:rsidRPr="00DD1B58">
        <w:rPr>
          <w:rFonts w:eastAsia="Arial"/>
          <w:szCs w:val="24"/>
          <w:lang w:val="en-US"/>
        </w:rPr>
        <w:t xml:space="preserve"> be proposed</w:t>
      </w:r>
      <w:r w:rsidR="003112CE" w:rsidRPr="00DD1B58">
        <w:rPr>
          <w:rFonts w:eastAsia="Arial"/>
          <w:szCs w:val="24"/>
          <w:lang w:val="en-US"/>
        </w:rPr>
        <w:t>, actions to update that analysis would be specified and require completion before the modification is implemented.</w:t>
      </w:r>
    </w:p>
    <w:p w14:paraId="3141493C" w14:textId="0D313F49" w:rsidR="003112CE" w:rsidRPr="00DD1B58" w:rsidRDefault="00EC1B9C" w:rsidP="003112CE">
      <w:pPr>
        <w:rPr>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undertakes </w:t>
      </w:r>
      <w:r w:rsidR="003112CE" w:rsidRPr="00DD1B58">
        <w:rPr>
          <w:rFonts w:eastAsia="Arial"/>
          <w:szCs w:val="24"/>
          <w:lang w:val="en-US"/>
        </w:rPr>
        <w:t>separate fire hazard analysis of the plant for significant changes</w:t>
      </w:r>
      <w:r w:rsidR="00E208A0" w:rsidRPr="00DD1B58">
        <w:rPr>
          <w:rFonts w:eastAsia="Arial"/>
          <w:szCs w:val="24"/>
          <w:lang w:val="en-US"/>
        </w:rPr>
        <w:t xml:space="preserve">, for example, </w:t>
      </w:r>
      <w:r w:rsidR="003112CE" w:rsidRPr="00DD1B58">
        <w:rPr>
          <w:rFonts w:eastAsia="Arial"/>
          <w:szCs w:val="24"/>
          <w:lang w:val="en-US"/>
        </w:rPr>
        <w:t>as part of the EURRP Reconfiguration Project</w:t>
      </w:r>
      <w:r w:rsidR="00E208A0" w:rsidRPr="00DD1B58">
        <w:rPr>
          <w:rFonts w:eastAsia="Arial"/>
          <w:szCs w:val="24"/>
          <w:lang w:val="en-US"/>
        </w:rPr>
        <w:t>,</w:t>
      </w:r>
      <w:r w:rsidR="003112CE" w:rsidRPr="00DD1B58">
        <w:rPr>
          <w:rFonts w:eastAsia="Arial"/>
          <w:szCs w:val="24"/>
          <w:lang w:val="en-US"/>
        </w:rPr>
        <w:t xml:space="preserve"> </w:t>
      </w:r>
      <w:r w:rsidR="00E208A0" w:rsidRPr="00DD1B58">
        <w:rPr>
          <w:rFonts w:eastAsia="Arial"/>
          <w:szCs w:val="24"/>
          <w:lang w:val="en-US"/>
        </w:rPr>
        <w:t>for which</w:t>
      </w:r>
      <w:r w:rsidR="003112CE" w:rsidRPr="00DD1B58">
        <w:rPr>
          <w:rFonts w:eastAsia="Arial"/>
          <w:szCs w:val="24"/>
          <w:lang w:val="en-US"/>
        </w:rPr>
        <w:t xml:space="preserve"> a separate Nuclear and Chemotoxic Fire Safety Assessment addendum report was produced. </w:t>
      </w:r>
      <w:r w:rsidR="001B398D" w:rsidRPr="00DD1B58">
        <w:rPr>
          <w:rFonts w:eastAsia="Arial"/>
          <w:szCs w:val="24"/>
          <w:lang w:val="en-US"/>
        </w:rPr>
        <w:t xml:space="preserve">Springfields Fuels </w:t>
      </w:r>
      <w:r w:rsidR="00BF0D1B" w:rsidRPr="00DD1B58">
        <w:rPr>
          <w:rFonts w:eastAsia="Arial"/>
          <w:szCs w:val="24"/>
          <w:lang w:val="en-US"/>
        </w:rPr>
        <w:t>Ltd</w:t>
      </w:r>
      <w:r w:rsidR="001B398D" w:rsidRPr="00DD1B58">
        <w:rPr>
          <w:rFonts w:eastAsia="Arial"/>
          <w:szCs w:val="24"/>
          <w:lang w:val="en-US"/>
        </w:rPr>
        <w:t xml:space="preserve"> </w:t>
      </w:r>
      <w:r w:rsidR="003112CE" w:rsidRPr="00DD1B58">
        <w:rPr>
          <w:rFonts w:eastAsia="Arial"/>
          <w:szCs w:val="24"/>
          <w:lang w:val="en-US"/>
        </w:rPr>
        <w:t xml:space="preserve">incorporated </w:t>
      </w:r>
      <w:r w:rsidR="001B398D" w:rsidRPr="00DD1B58">
        <w:rPr>
          <w:rFonts w:eastAsia="Arial"/>
          <w:szCs w:val="24"/>
          <w:lang w:val="en-US"/>
        </w:rPr>
        <w:t xml:space="preserve">this separate analysis </w:t>
      </w:r>
      <w:r w:rsidR="003112CE" w:rsidRPr="00DD1B58">
        <w:rPr>
          <w:rFonts w:eastAsia="Arial"/>
          <w:szCs w:val="24"/>
          <w:lang w:val="en-US"/>
        </w:rPr>
        <w:t xml:space="preserve">into the continued operation safety case as part of the COSR process at the time of the periodic COSR review. </w:t>
      </w:r>
      <w:r w:rsidR="001B398D" w:rsidRPr="00DD1B58">
        <w:rPr>
          <w:rFonts w:eastAsia="Arial"/>
          <w:szCs w:val="24"/>
          <w:lang w:val="en-US"/>
        </w:rPr>
        <w:t xml:space="preserve">Springfields Fuels </w:t>
      </w:r>
      <w:r w:rsidR="00BF0D1B" w:rsidRPr="00DD1B58">
        <w:rPr>
          <w:rFonts w:eastAsia="Arial"/>
          <w:szCs w:val="24"/>
          <w:lang w:val="en-US"/>
        </w:rPr>
        <w:t>Ltd</w:t>
      </w:r>
      <w:r w:rsidR="001B398D" w:rsidRPr="00DD1B58">
        <w:rPr>
          <w:rFonts w:eastAsia="Arial"/>
          <w:szCs w:val="24"/>
          <w:lang w:val="en-US"/>
        </w:rPr>
        <w:t xml:space="preserve"> state</w:t>
      </w:r>
      <w:r w:rsidR="00E208A0" w:rsidRPr="00DD1B58">
        <w:rPr>
          <w:rFonts w:eastAsia="Arial"/>
          <w:szCs w:val="24"/>
          <w:lang w:val="en-US"/>
        </w:rPr>
        <w:t>s</w:t>
      </w:r>
      <w:r w:rsidR="001B398D" w:rsidRPr="00DD1B58">
        <w:rPr>
          <w:rFonts w:eastAsia="Arial"/>
          <w:szCs w:val="24"/>
          <w:lang w:val="en-US"/>
        </w:rPr>
        <w:t xml:space="preserve"> that al</w:t>
      </w:r>
      <w:r w:rsidR="003112CE" w:rsidRPr="00DD1B58">
        <w:rPr>
          <w:rFonts w:eastAsia="Arial"/>
          <w:szCs w:val="24"/>
          <w:lang w:val="en-US"/>
        </w:rPr>
        <w:t>l changes to plant are considered as part of the PMP process and</w:t>
      </w:r>
      <w:r w:rsidR="001B398D" w:rsidRPr="00DD1B58">
        <w:rPr>
          <w:rFonts w:eastAsia="Arial"/>
          <w:szCs w:val="24"/>
          <w:lang w:val="en-US"/>
        </w:rPr>
        <w:t>,</w:t>
      </w:r>
      <w:r w:rsidR="003112CE" w:rsidRPr="00DD1B58">
        <w:rPr>
          <w:rFonts w:eastAsia="Arial"/>
          <w:szCs w:val="24"/>
          <w:lang w:val="en-US"/>
        </w:rPr>
        <w:t xml:space="preserve"> if not significantly major to warrant a separate standalone report</w:t>
      </w:r>
      <w:r w:rsidR="001B398D" w:rsidRPr="00DD1B58">
        <w:rPr>
          <w:rFonts w:eastAsia="Arial"/>
          <w:szCs w:val="24"/>
          <w:lang w:val="en-US"/>
        </w:rPr>
        <w:t>, they are</w:t>
      </w:r>
      <w:r w:rsidR="003112CE" w:rsidRPr="00DD1B58">
        <w:rPr>
          <w:rFonts w:eastAsia="Arial"/>
          <w:szCs w:val="24"/>
          <w:lang w:val="en-US"/>
        </w:rPr>
        <w:t xml:space="preserve"> recorded and reviewed as part of the COSR process.</w:t>
      </w:r>
    </w:p>
    <w:p w14:paraId="30A348C8" w14:textId="77777777" w:rsidR="6EFDD43C" w:rsidRPr="00DD1B58" w:rsidRDefault="6EFDD43C" w:rsidP="00BF6CD4">
      <w:pPr>
        <w:pStyle w:val="Heading4"/>
        <w:numPr>
          <w:ilvl w:val="4"/>
          <w:numId w:val="3"/>
        </w:numPr>
        <w:rPr>
          <w:lang w:val="en-US"/>
        </w:rPr>
      </w:pPr>
      <w:r w:rsidRPr="00DD1B58">
        <w:rPr>
          <w:lang w:val="en-US"/>
        </w:rPr>
        <w:t>Overview of actions</w:t>
      </w:r>
    </w:p>
    <w:p w14:paraId="032BED29" w14:textId="53112481" w:rsidR="00B6426D" w:rsidRPr="00DD1B58" w:rsidRDefault="001A6EC5" w:rsidP="00B6426D">
      <w:pPr>
        <w:rPr>
          <w:lang w:val="en-US"/>
        </w:rPr>
      </w:pPr>
      <w:r w:rsidRPr="00DD1B58">
        <w:rPr>
          <w:lang w:val="en-US"/>
        </w:rPr>
        <w:t xml:space="preserve">A description of the site Fire Actions Database and examples of typical actions is provided within Section </w:t>
      </w:r>
      <w:r w:rsidR="00103AF8" w:rsidRPr="00DD1B58">
        <w:rPr>
          <w:lang w:val="en-US"/>
        </w:rPr>
        <w:fldChar w:fldCharType="begin"/>
      </w:r>
      <w:r w:rsidR="00103AF8" w:rsidRPr="00DD1B58">
        <w:rPr>
          <w:lang w:val="en-US"/>
        </w:rPr>
        <w:instrText xml:space="preserve"> REF _Ref139877987 \r \h </w:instrText>
      </w:r>
      <w:r w:rsidR="00103AF8" w:rsidRPr="00DD1B58">
        <w:rPr>
          <w:lang w:val="en-US"/>
        </w:rPr>
      </w:r>
      <w:r w:rsidR="00103AF8" w:rsidRPr="00DD1B58">
        <w:rPr>
          <w:lang w:val="en-US"/>
        </w:rPr>
        <w:fldChar w:fldCharType="separate"/>
      </w:r>
      <w:r w:rsidR="00DF47DA">
        <w:rPr>
          <w:lang w:val="en-US"/>
        </w:rPr>
        <w:t>C-II-3.1.2</w:t>
      </w:r>
      <w:r w:rsidR="00103AF8" w:rsidRPr="00DD1B58">
        <w:rPr>
          <w:lang w:val="en-US"/>
        </w:rPr>
        <w:fldChar w:fldCharType="end"/>
      </w:r>
      <w:r w:rsidR="00103AF8" w:rsidRPr="00DD1B58">
        <w:rPr>
          <w:lang w:val="en-US"/>
        </w:rPr>
        <w:t>.</w:t>
      </w:r>
    </w:p>
    <w:p w14:paraId="473602D4" w14:textId="77777777" w:rsidR="6EFDD43C" w:rsidRPr="00DD1B58" w:rsidRDefault="6EFDD43C" w:rsidP="00BF6CD4">
      <w:pPr>
        <w:pStyle w:val="Heading4"/>
        <w:numPr>
          <w:ilvl w:val="4"/>
          <w:numId w:val="3"/>
        </w:numPr>
        <w:rPr>
          <w:lang w:val="en-US"/>
        </w:rPr>
      </w:pPr>
      <w:r w:rsidRPr="00DD1B58">
        <w:rPr>
          <w:lang w:val="en-US"/>
        </w:rPr>
        <w:t>Implementation status of modifications/changes</w:t>
      </w:r>
    </w:p>
    <w:p w14:paraId="7E175D0D" w14:textId="7956BDD1" w:rsidR="00167D52" w:rsidRPr="00DD1B58" w:rsidRDefault="001B398D" w:rsidP="00167D52">
      <w:pPr>
        <w:rPr>
          <w:lang w:val="en-US"/>
        </w:rPr>
      </w:pPr>
      <w:r w:rsidRPr="00DD1B58">
        <w:rPr>
          <w:lang w:val="en-US"/>
        </w:rPr>
        <w:t xml:space="preserve">Springfields Fuels </w:t>
      </w:r>
      <w:r w:rsidR="00BF0D1B" w:rsidRPr="00DD1B58">
        <w:rPr>
          <w:lang w:val="en-US"/>
        </w:rPr>
        <w:t>Ltd</w:t>
      </w:r>
      <w:r w:rsidRPr="00DD1B58">
        <w:rPr>
          <w:lang w:val="en-US"/>
        </w:rPr>
        <w:t xml:space="preserve"> did not identify s</w:t>
      </w:r>
      <w:r w:rsidR="00167D52" w:rsidRPr="00DD1B58">
        <w:rPr>
          <w:lang w:val="en-US"/>
        </w:rPr>
        <w:t>pecific</w:t>
      </w:r>
      <w:r w:rsidR="00EC63E4" w:rsidRPr="00DD1B58">
        <w:rPr>
          <w:lang w:val="en-US"/>
        </w:rPr>
        <w:t xml:space="preserve"> current</w:t>
      </w:r>
      <w:r w:rsidR="00167D52" w:rsidRPr="00DD1B58">
        <w:rPr>
          <w:lang w:val="en-US"/>
        </w:rPr>
        <w:t xml:space="preserve"> </w:t>
      </w:r>
      <w:r w:rsidR="002D395B" w:rsidRPr="00DD1B58">
        <w:rPr>
          <w:lang w:val="en-US"/>
        </w:rPr>
        <w:t>modifications</w:t>
      </w:r>
      <w:r w:rsidR="00EC63E4" w:rsidRPr="00DD1B58">
        <w:rPr>
          <w:lang w:val="en-US"/>
        </w:rPr>
        <w:t xml:space="preserve"> relevant to nuclear fire safety</w:t>
      </w:r>
      <w:r w:rsidR="00EB6A3C" w:rsidRPr="00DD1B58">
        <w:rPr>
          <w:lang w:val="en-US"/>
        </w:rPr>
        <w:t xml:space="preserve">. </w:t>
      </w:r>
      <w:r w:rsidR="00EC63E4" w:rsidRPr="00DD1B58">
        <w:rPr>
          <w:lang w:val="en-US"/>
        </w:rPr>
        <w:t xml:space="preserve">Examples of modifications made </w:t>
      </w:r>
      <w:r w:rsidRPr="00DD1B58">
        <w:rPr>
          <w:lang w:val="en-US"/>
        </w:rPr>
        <w:t>by Springfields</w:t>
      </w:r>
      <w:r w:rsidRPr="00DD1B58">
        <w:rPr>
          <w:rFonts w:eastAsia="Arial"/>
          <w:szCs w:val="24"/>
          <w:lang w:val="en-US"/>
        </w:rPr>
        <w:t xml:space="preserve"> </w:t>
      </w:r>
      <w:r w:rsidR="000467A1" w:rsidRPr="00DD1B58">
        <w:rPr>
          <w:lang w:val="en-US"/>
        </w:rPr>
        <w:t xml:space="preserve">as a result of fire events are provided in Section </w:t>
      </w:r>
      <w:r w:rsidR="000467A1" w:rsidRPr="00DD1B58">
        <w:rPr>
          <w:lang w:val="en-US"/>
        </w:rPr>
        <w:fldChar w:fldCharType="begin"/>
      </w:r>
      <w:r w:rsidR="000467A1" w:rsidRPr="00DD1B58">
        <w:rPr>
          <w:lang w:val="en-US"/>
        </w:rPr>
        <w:instrText xml:space="preserve"> REF _Ref139878933 \r \h </w:instrText>
      </w:r>
      <w:r w:rsidR="000467A1" w:rsidRPr="00DD1B58">
        <w:rPr>
          <w:lang w:val="en-US"/>
        </w:rPr>
      </w:r>
      <w:r w:rsidR="000467A1" w:rsidRPr="00DD1B58">
        <w:rPr>
          <w:lang w:val="en-US"/>
        </w:rPr>
        <w:fldChar w:fldCharType="separate"/>
      </w:r>
      <w:r w:rsidR="00DF47DA">
        <w:rPr>
          <w:lang w:val="en-US"/>
        </w:rPr>
        <w:t>I-2.3.6.2</w:t>
      </w:r>
      <w:r w:rsidR="000467A1" w:rsidRPr="00DD1B58">
        <w:rPr>
          <w:lang w:val="en-US"/>
        </w:rPr>
        <w:fldChar w:fldCharType="end"/>
      </w:r>
      <w:r w:rsidR="000467A1" w:rsidRPr="00DD1B58">
        <w:rPr>
          <w:lang w:val="en-US"/>
        </w:rPr>
        <w:t>.</w:t>
      </w:r>
    </w:p>
    <w:p w14:paraId="6159AAFD" w14:textId="77777777" w:rsidR="00EB6A3C" w:rsidRPr="00DD1B58" w:rsidRDefault="6EFDD43C" w:rsidP="00C738EA">
      <w:pPr>
        <w:pStyle w:val="Heading4"/>
        <w:rPr>
          <w:lang w:val="en-US"/>
        </w:rPr>
      </w:pPr>
      <w:r w:rsidRPr="00DD1B58">
        <w:rPr>
          <w:lang w:val="en-US"/>
        </w:rPr>
        <w:t>Licensee’s experience of fire safety analyses</w:t>
      </w:r>
    </w:p>
    <w:p w14:paraId="4801A212" w14:textId="77777777" w:rsidR="6EFDD43C" w:rsidRPr="00DD1B58" w:rsidRDefault="6EFDD43C" w:rsidP="00BE590C">
      <w:pPr>
        <w:pStyle w:val="Heading4"/>
        <w:numPr>
          <w:ilvl w:val="4"/>
          <w:numId w:val="3"/>
        </w:numPr>
        <w:rPr>
          <w:lang w:val="en-US"/>
        </w:rPr>
      </w:pPr>
      <w:r w:rsidRPr="00DD1B58">
        <w:rPr>
          <w:lang w:val="en-US"/>
        </w:rPr>
        <w:t>Overview of strengths and weaknesses identified</w:t>
      </w:r>
    </w:p>
    <w:p w14:paraId="01B3778A" w14:textId="5FD2B48B" w:rsidR="00C22F52" w:rsidRPr="00DD1B58" w:rsidRDefault="001B398D" w:rsidP="00C22F52">
      <w:pPr>
        <w:rPr>
          <w:lang w:val="en-US"/>
        </w:rPr>
      </w:pPr>
      <w:r w:rsidRPr="00DD1B58">
        <w:rPr>
          <w:lang w:val="en-US"/>
        </w:rPr>
        <w:t xml:space="preserve">Springfields Fuels </w:t>
      </w:r>
      <w:r w:rsidR="00BF0D1B" w:rsidRPr="00DD1B58">
        <w:rPr>
          <w:lang w:val="en-US"/>
        </w:rPr>
        <w:t>Ltd</w:t>
      </w:r>
      <w:r w:rsidRPr="00DD1B58">
        <w:rPr>
          <w:lang w:val="en-US"/>
        </w:rPr>
        <w:t xml:space="preserve"> did not identify s</w:t>
      </w:r>
      <w:r w:rsidR="00C22F52" w:rsidRPr="00DD1B58">
        <w:rPr>
          <w:lang w:val="en-US"/>
        </w:rPr>
        <w:t xml:space="preserve">pecific strengths </w:t>
      </w:r>
      <w:r w:rsidR="00874E02" w:rsidRPr="00DD1B58">
        <w:rPr>
          <w:lang w:val="en-US"/>
        </w:rPr>
        <w:t>and weaknesses</w:t>
      </w:r>
      <w:r w:rsidR="00E208A0" w:rsidRPr="00DD1B58">
        <w:rPr>
          <w:lang w:val="en-US"/>
        </w:rPr>
        <w:t>.</w:t>
      </w:r>
      <w:r w:rsidRPr="00DD1B58">
        <w:rPr>
          <w:lang w:val="en-US"/>
        </w:rPr>
        <w:t xml:space="preserve"> </w:t>
      </w:r>
      <w:r w:rsidR="00E208A0" w:rsidRPr="00DD1B58">
        <w:rPr>
          <w:lang w:val="en-US"/>
        </w:rPr>
        <w:t>H</w:t>
      </w:r>
      <w:r w:rsidR="00874E02" w:rsidRPr="00DD1B58">
        <w:rPr>
          <w:lang w:val="en-US"/>
        </w:rPr>
        <w:t xml:space="preserve">owever, examples of weaknesses </w:t>
      </w:r>
      <w:r w:rsidR="00355758" w:rsidRPr="00DD1B58">
        <w:rPr>
          <w:lang w:val="en-US"/>
        </w:rPr>
        <w:t xml:space="preserve">identified </w:t>
      </w:r>
      <w:r w:rsidRPr="00DD1B58">
        <w:rPr>
          <w:lang w:val="en-US"/>
        </w:rPr>
        <w:t xml:space="preserve">following </w:t>
      </w:r>
      <w:r w:rsidR="00355758" w:rsidRPr="00DD1B58">
        <w:rPr>
          <w:lang w:val="en-US"/>
        </w:rPr>
        <w:t xml:space="preserve">fire events </w:t>
      </w:r>
      <w:r w:rsidR="003359CE" w:rsidRPr="00DD1B58">
        <w:rPr>
          <w:lang w:val="en-US"/>
        </w:rPr>
        <w:t xml:space="preserve">or other missions and associated corrective actions are </w:t>
      </w:r>
      <w:r w:rsidR="003A2E93" w:rsidRPr="00DD1B58">
        <w:rPr>
          <w:lang w:val="en-US"/>
        </w:rPr>
        <w:t xml:space="preserve">provided </w:t>
      </w:r>
      <w:r w:rsidR="003359CE" w:rsidRPr="00DD1B58">
        <w:rPr>
          <w:lang w:val="en-US"/>
        </w:rPr>
        <w:t xml:space="preserve">in </w:t>
      </w:r>
      <w:r w:rsidR="00E208A0" w:rsidRPr="00DD1B58">
        <w:rPr>
          <w:lang w:val="en-US"/>
        </w:rPr>
        <w:t xml:space="preserve">Section </w:t>
      </w:r>
      <w:r w:rsidR="003359CE" w:rsidRPr="00DD1B58">
        <w:rPr>
          <w:lang w:val="en-US"/>
        </w:rPr>
        <w:fldChar w:fldCharType="begin"/>
      </w:r>
      <w:r w:rsidR="003359CE" w:rsidRPr="00DD1B58">
        <w:rPr>
          <w:lang w:val="en-US"/>
        </w:rPr>
        <w:instrText xml:space="preserve"> REF _Ref139878933 \r \h </w:instrText>
      </w:r>
      <w:r w:rsidR="003359CE" w:rsidRPr="00DD1B58">
        <w:rPr>
          <w:lang w:val="en-US"/>
        </w:rPr>
      </w:r>
      <w:r w:rsidR="003359CE" w:rsidRPr="00DD1B58">
        <w:rPr>
          <w:lang w:val="en-US"/>
        </w:rPr>
        <w:fldChar w:fldCharType="separate"/>
      </w:r>
      <w:r w:rsidR="00DF47DA">
        <w:rPr>
          <w:lang w:val="en-US"/>
        </w:rPr>
        <w:t>I-2.3.6.2</w:t>
      </w:r>
      <w:r w:rsidR="003359CE" w:rsidRPr="00DD1B58">
        <w:rPr>
          <w:lang w:val="en-US"/>
        </w:rPr>
        <w:fldChar w:fldCharType="end"/>
      </w:r>
      <w:r w:rsidR="003359CE" w:rsidRPr="00DD1B58">
        <w:rPr>
          <w:lang w:val="en-US"/>
        </w:rPr>
        <w:t>.</w:t>
      </w:r>
    </w:p>
    <w:p w14:paraId="5CFDAB4B" w14:textId="77777777" w:rsidR="6EFDD43C" w:rsidRPr="00DD1B58" w:rsidRDefault="6EFDD43C" w:rsidP="00BE590C">
      <w:pPr>
        <w:pStyle w:val="Heading4"/>
        <w:numPr>
          <w:ilvl w:val="4"/>
          <w:numId w:val="3"/>
        </w:numPr>
        <w:rPr>
          <w:lang w:val="en-US"/>
        </w:rPr>
      </w:pPr>
      <w:r w:rsidRPr="00DD1B58">
        <w:rPr>
          <w:lang w:val="en-US"/>
        </w:rPr>
        <w:t xml:space="preserve">Lessons learned from events, reviews, fire safety related missions, etc. </w:t>
      </w:r>
    </w:p>
    <w:p w14:paraId="0AA14500" w14:textId="44088493" w:rsidR="5E199267" w:rsidRPr="00DD1B58" w:rsidRDefault="008C627A" w:rsidP="6C4D33C6">
      <w:pPr>
        <w:rPr>
          <w:rFonts w:eastAsia="Arial"/>
          <w:szCs w:val="24"/>
          <w:lang w:val="en-US"/>
        </w:rPr>
      </w:pPr>
      <w:r w:rsidRPr="00DD1B58">
        <w:rPr>
          <w:lang w:val="en-US"/>
        </w:rPr>
        <w:t xml:space="preserve">Springfields Fuels </w:t>
      </w:r>
      <w:r w:rsidR="00BF0D1B" w:rsidRPr="00DD1B58">
        <w:rPr>
          <w:lang w:val="en-US"/>
        </w:rPr>
        <w:t>Ltd</w:t>
      </w:r>
      <w:r w:rsidRPr="00DD1B58">
        <w:rPr>
          <w:lang w:val="en-US"/>
        </w:rPr>
        <w:t xml:space="preserve"> state</w:t>
      </w:r>
      <w:r w:rsidR="00E208A0" w:rsidRPr="00DD1B58">
        <w:rPr>
          <w:lang w:val="en-US"/>
        </w:rPr>
        <w:t>s</w:t>
      </w:r>
      <w:r w:rsidRPr="00DD1B58">
        <w:rPr>
          <w:lang w:val="en-US"/>
        </w:rPr>
        <w:t xml:space="preserve"> that, </w:t>
      </w:r>
      <w:r w:rsidRPr="00DD1B58">
        <w:rPr>
          <w:rFonts w:eastAsia="Arial"/>
          <w:szCs w:val="24"/>
          <w:lang w:val="en-US"/>
        </w:rPr>
        <w:t>i</w:t>
      </w:r>
      <w:r w:rsidR="5E199267" w:rsidRPr="00DD1B58">
        <w:rPr>
          <w:rFonts w:eastAsia="Arial"/>
          <w:szCs w:val="24"/>
          <w:lang w:val="en-US"/>
        </w:rPr>
        <w:t xml:space="preserve">n accordance with SSI 212 </w:t>
      </w:r>
      <w:sdt>
        <w:sdtPr>
          <w:rPr>
            <w:rFonts w:eastAsia="Arial"/>
            <w:szCs w:val="24"/>
            <w:lang w:val="en-US"/>
          </w:rPr>
          <w:id w:val="1508626650"/>
          <w:citation/>
        </w:sdtPr>
        <w:sdtContent>
          <w:r w:rsidR="00934A4F" w:rsidRPr="00DD1B58">
            <w:rPr>
              <w:rFonts w:eastAsia="Arial"/>
              <w:szCs w:val="24"/>
              <w:lang w:val="en-US"/>
            </w:rPr>
            <w:fldChar w:fldCharType="begin"/>
          </w:r>
          <w:r w:rsidR="00934A4F" w:rsidRPr="00DD1B58">
            <w:rPr>
              <w:rFonts w:eastAsia="Arial"/>
              <w:szCs w:val="24"/>
              <w:lang w:val="en-US"/>
            </w:rPr>
            <w:instrText xml:space="preserve"> CITATION Spr1 \l 2057 </w:instrText>
          </w:r>
          <w:r w:rsidR="00934A4F" w:rsidRPr="00DD1B58">
            <w:rPr>
              <w:rFonts w:eastAsia="Arial"/>
              <w:szCs w:val="24"/>
              <w:lang w:val="en-US"/>
            </w:rPr>
            <w:fldChar w:fldCharType="separate"/>
          </w:r>
          <w:r w:rsidR="00DF47DA" w:rsidRPr="00DF47DA">
            <w:rPr>
              <w:rFonts w:eastAsia="Arial"/>
              <w:noProof/>
              <w:szCs w:val="24"/>
              <w:lang w:val="en-US"/>
            </w:rPr>
            <w:t>[93]</w:t>
          </w:r>
          <w:r w:rsidR="00934A4F" w:rsidRPr="00DD1B58">
            <w:rPr>
              <w:rFonts w:eastAsia="Arial"/>
              <w:szCs w:val="24"/>
              <w:lang w:val="en-US"/>
            </w:rPr>
            <w:fldChar w:fldCharType="end"/>
          </w:r>
        </w:sdtContent>
      </w:sdt>
      <w:r w:rsidR="00E208A0" w:rsidRPr="00DD1B58">
        <w:rPr>
          <w:rFonts w:eastAsia="Arial"/>
          <w:szCs w:val="24"/>
          <w:lang w:val="en-US"/>
        </w:rPr>
        <w:t>,</w:t>
      </w:r>
      <w:r w:rsidR="5E199267" w:rsidRPr="00DD1B58">
        <w:rPr>
          <w:rFonts w:eastAsia="Arial"/>
          <w:szCs w:val="24"/>
          <w:lang w:val="en-US"/>
        </w:rPr>
        <w:t xml:space="preserve"> all accidents, near misses or abnormal occurrences must be reported to a line manager, supervisor, visit host or Superintending Officer</w:t>
      </w:r>
      <w:r w:rsidR="00E208A0" w:rsidRPr="00DD1B58">
        <w:rPr>
          <w:rFonts w:eastAsia="Arial"/>
          <w:szCs w:val="24"/>
          <w:lang w:val="en-US"/>
        </w:rPr>
        <w:t>,</w:t>
      </w:r>
      <w:r w:rsidR="5E199267" w:rsidRPr="00DD1B58">
        <w:rPr>
          <w:rFonts w:eastAsia="Arial"/>
          <w:szCs w:val="24"/>
          <w:lang w:val="en-US"/>
        </w:rPr>
        <w:t xml:space="preserve"> who will onward report to the Shift Plant Manager. </w:t>
      </w:r>
      <w:r w:rsidR="00CF661E" w:rsidRPr="00DD1B58">
        <w:rPr>
          <w:rFonts w:eastAsia="Arial"/>
          <w:szCs w:val="24"/>
          <w:lang w:val="en-US"/>
        </w:rPr>
        <w:t>It also state</w:t>
      </w:r>
      <w:r w:rsidR="00E208A0" w:rsidRPr="00DD1B58">
        <w:rPr>
          <w:rFonts w:eastAsia="Arial"/>
          <w:szCs w:val="24"/>
          <w:lang w:val="en-US"/>
        </w:rPr>
        <w:t>s</w:t>
      </w:r>
      <w:r w:rsidR="00CF661E" w:rsidRPr="00DD1B58">
        <w:rPr>
          <w:rFonts w:eastAsia="Arial"/>
          <w:szCs w:val="24"/>
          <w:lang w:val="en-US"/>
        </w:rPr>
        <w:t xml:space="preserve"> that a</w:t>
      </w:r>
      <w:r w:rsidR="5E199267" w:rsidRPr="00DD1B58">
        <w:rPr>
          <w:rFonts w:eastAsia="Arial"/>
          <w:szCs w:val="24"/>
          <w:lang w:val="en-US"/>
        </w:rPr>
        <w:t xml:space="preserve">ll accidents must be recorded using the Accident Report Form 5155C, as per SSI 234 </w:t>
      </w:r>
      <w:sdt>
        <w:sdtPr>
          <w:rPr>
            <w:rFonts w:eastAsia="Arial"/>
            <w:szCs w:val="24"/>
            <w:lang w:val="en-US"/>
          </w:rPr>
          <w:id w:val="387386501"/>
          <w:citation/>
        </w:sdtPr>
        <w:sdtContent>
          <w:r w:rsidR="00861B51" w:rsidRPr="00DD1B58">
            <w:rPr>
              <w:rFonts w:eastAsia="Arial"/>
              <w:szCs w:val="24"/>
              <w:lang w:val="en-US"/>
            </w:rPr>
            <w:fldChar w:fldCharType="begin"/>
          </w:r>
          <w:r w:rsidR="00861B51" w:rsidRPr="00DD1B58">
            <w:rPr>
              <w:rFonts w:eastAsia="Arial"/>
              <w:szCs w:val="24"/>
              <w:lang w:val="en-US"/>
            </w:rPr>
            <w:instrText xml:space="preserve"> CITATION SSI2 \l 2057 </w:instrText>
          </w:r>
          <w:r w:rsidR="00861B51" w:rsidRPr="00DD1B58">
            <w:rPr>
              <w:rFonts w:eastAsia="Arial"/>
              <w:szCs w:val="24"/>
              <w:lang w:val="en-US"/>
            </w:rPr>
            <w:fldChar w:fldCharType="separate"/>
          </w:r>
          <w:r w:rsidR="00DF47DA" w:rsidRPr="00DF47DA">
            <w:rPr>
              <w:rFonts w:eastAsia="Arial"/>
              <w:noProof/>
              <w:szCs w:val="24"/>
              <w:lang w:val="en-US"/>
            </w:rPr>
            <w:t>[94]</w:t>
          </w:r>
          <w:r w:rsidR="00861B51" w:rsidRPr="00DD1B58">
            <w:rPr>
              <w:rFonts w:eastAsia="Arial"/>
              <w:szCs w:val="24"/>
              <w:lang w:val="en-US"/>
            </w:rPr>
            <w:fldChar w:fldCharType="end"/>
          </w:r>
        </w:sdtContent>
      </w:sdt>
      <w:r w:rsidR="5E199267" w:rsidRPr="00DD1B58">
        <w:rPr>
          <w:rFonts w:eastAsia="Arial"/>
          <w:szCs w:val="24"/>
          <w:lang w:val="en-US"/>
        </w:rPr>
        <w:t>.</w:t>
      </w:r>
    </w:p>
    <w:p w14:paraId="67E0D8EE" w14:textId="6220A771" w:rsidR="5E199267" w:rsidRPr="00DD1B58" w:rsidRDefault="5E199267" w:rsidP="6C4D33C6">
      <w:pPr>
        <w:rPr>
          <w:lang w:val="en-US"/>
        </w:rPr>
      </w:pPr>
      <w:r w:rsidRPr="00DD1B58">
        <w:rPr>
          <w:rFonts w:eastAsia="Arial"/>
          <w:szCs w:val="24"/>
          <w:lang w:val="en-US"/>
        </w:rPr>
        <w:t xml:space="preserve">The Shift Plant Manager will provisionally decide whether the occurrence constitutes an </w:t>
      </w:r>
      <w:r w:rsidR="0012398A" w:rsidRPr="00DD1B58">
        <w:rPr>
          <w:rFonts w:eastAsia="Arial"/>
          <w:szCs w:val="24"/>
          <w:lang w:val="en-US"/>
        </w:rPr>
        <w:t>e</w:t>
      </w:r>
      <w:r w:rsidRPr="00DD1B58">
        <w:rPr>
          <w:rFonts w:eastAsia="Arial"/>
          <w:szCs w:val="24"/>
          <w:lang w:val="en-US"/>
        </w:rPr>
        <w:t>vent</w:t>
      </w:r>
      <w:r w:rsidR="00DD460A" w:rsidRPr="00DD1B58">
        <w:rPr>
          <w:rFonts w:eastAsia="Arial"/>
          <w:szCs w:val="24"/>
          <w:lang w:val="en-US"/>
        </w:rPr>
        <w:t>.</w:t>
      </w:r>
      <w:r w:rsidR="00DD460A" w:rsidRPr="00DD1B58">
        <w:rPr>
          <w:lang w:val="en-US"/>
        </w:rPr>
        <w:t xml:space="preserve"> </w:t>
      </w:r>
      <w:r w:rsidRPr="00DD1B58">
        <w:rPr>
          <w:rFonts w:eastAsia="Arial"/>
          <w:szCs w:val="24"/>
          <w:lang w:val="en-US"/>
        </w:rPr>
        <w:t>The Shift Plant will record the event in the Shift Plant Manager’s Logbook and in the EH&amp;S Event file.</w:t>
      </w:r>
      <w:r w:rsidR="000E6F2B" w:rsidRPr="00DD1B58">
        <w:rPr>
          <w:lang w:val="en-US"/>
        </w:rPr>
        <w:t xml:space="preserve"> </w:t>
      </w:r>
      <w:r w:rsidRPr="00DD1B58">
        <w:rPr>
          <w:rFonts w:eastAsia="Arial"/>
          <w:szCs w:val="24"/>
          <w:lang w:val="en-US"/>
        </w:rPr>
        <w:t>The Shift Plant Manager will determine a provisional severity based on Appendix 1 of SSI 212. Fire or explosion would be a Category A2 as follows</w:t>
      </w:r>
      <w:r w:rsidR="0012398A" w:rsidRPr="00DD1B58">
        <w:rPr>
          <w:rFonts w:eastAsia="Arial"/>
          <w:szCs w:val="24"/>
          <w:lang w:val="en-US"/>
        </w:rPr>
        <w:t>:</w:t>
      </w:r>
    </w:p>
    <w:p w14:paraId="37EF0AB0" w14:textId="341EEF11" w:rsidR="5E199267" w:rsidRPr="00DD1B58" w:rsidRDefault="0012398A" w:rsidP="00973FF4">
      <w:pPr>
        <w:pStyle w:val="QuoteText"/>
        <w:rPr>
          <w:lang w:val="en-US"/>
        </w:rPr>
      </w:pPr>
      <w:r w:rsidRPr="00DD1B58">
        <w:rPr>
          <w:lang w:val="en-US"/>
        </w:rPr>
        <w:t>…</w:t>
      </w:r>
      <w:r w:rsidR="5E199267" w:rsidRPr="00DD1B58">
        <w:rPr>
          <w:lang w:val="en-US"/>
        </w:rPr>
        <w:t>any explosion or outbreak of fire on a licensed site, being an explosion or outbreak affecting or likely to affect the safe working or safe condition of a nuclear installation</w:t>
      </w:r>
      <w:r w:rsidRPr="00DD1B58">
        <w:rPr>
          <w:lang w:val="en-US"/>
        </w:rPr>
        <w:t>.</w:t>
      </w:r>
    </w:p>
    <w:p w14:paraId="6879CED0" w14:textId="77777777" w:rsidR="5E199267" w:rsidRPr="00DD1B58" w:rsidRDefault="5E199267" w:rsidP="6C4D33C6">
      <w:pPr>
        <w:rPr>
          <w:lang w:val="en-US"/>
        </w:rPr>
      </w:pPr>
      <w:r w:rsidRPr="00DD1B58">
        <w:rPr>
          <w:rFonts w:eastAsia="Arial"/>
          <w:szCs w:val="24"/>
          <w:lang w:val="en-US"/>
        </w:rPr>
        <w:t>Appendix 1 requires external reporting for fire and explosion events.</w:t>
      </w:r>
    </w:p>
    <w:p w14:paraId="23FFE957" w14:textId="4D5D4D74" w:rsidR="5E199267" w:rsidRPr="00DD1B58" w:rsidRDefault="5E199267" w:rsidP="6C4D33C6">
      <w:pPr>
        <w:rPr>
          <w:lang w:val="en-US"/>
        </w:rPr>
      </w:pPr>
      <w:r w:rsidRPr="00DD1B58">
        <w:rPr>
          <w:rFonts w:eastAsia="Arial"/>
          <w:szCs w:val="24"/>
          <w:lang w:val="en-US"/>
        </w:rPr>
        <w:t xml:space="preserve">The </w:t>
      </w:r>
      <w:r w:rsidR="005A425B" w:rsidRPr="00DD1B58">
        <w:rPr>
          <w:rFonts w:eastAsia="Arial"/>
          <w:szCs w:val="24"/>
          <w:lang w:val="en-US"/>
        </w:rPr>
        <w:t>Environmental Health Safety &amp; Quality (</w:t>
      </w:r>
      <w:r w:rsidRPr="00DD1B58">
        <w:rPr>
          <w:rFonts w:eastAsia="Arial"/>
          <w:szCs w:val="24"/>
          <w:lang w:val="en-US"/>
        </w:rPr>
        <w:t>EHS&amp;Q</w:t>
      </w:r>
      <w:r w:rsidR="005A425B" w:rsidRPr="00DD1B58">
        <w:rPr>
          <w:rFonts w:eastAsia="Arial"/>
          <w:szCs w:val="24"/>
          <w:lang w:val="en-US"/>
        </w:rPr>
        <w:t>)</w:t>
      </w:r>
      <w:r w:rsidRPr="00DD1B58">
        <w:rPr>
          <w:rFonts w:eastAsia="Arial"/>
          <w:szCs w:val="24"/>
          <w:lang w:val="en-US"/>
        </w:rPr>
        <w:t xml:space="preserve"> Director (or nominated Deputy) will determine whether </w:t>
      </w:r>
      <w:r w:rsidR="0012398A" w:rsidRPr="00DD1B58">
        <w:rPr>
          <w:rFonts w:eastAsia="Arial"/>
          <w:szCs w:val="24"/>
          <w:lang w:val="en-US"/>
        </w:rPr>
        <w:t xml:space="preserve">an </w:t>
      </w:r>
      <w:r w:rsidRPr="00DD1B58">
        <w:rPr>
          <w:rFonts w:eastAsia="Arial"/>
          <w:szCs w:val="24"/>
          <w:lang w:val="en-US"/>
        </w:rPr>
        <w:t xml:space="preserve">event is reportable to any of the </w:t>
      </w:r>
      <w:r w:rsidR="0012398A" w:rsidRPr="00DD1B58">
        <w:rPr>
          <w:rFonts w:eastAsia="Arial"/>
          <w:szCs w:val="24"/>
          <w:lang w:val="en-US"/>
        </w:rPr>
        <w:t>r</w:t>
      </w:r>
      <w:r w:rsidRPr="00DD1B58">
        <w:rPr>
          <w:rFonts w:eastAsia="Arial"/>
          <w:szCs w:val="24"/>
          <w:lang w:val="en-US"/>
        </w:rPr>
        <w:t>egulatory authorities based on the following guidance</w:t>
      </w:r>
      <w:r w:rsidR="0012398A" w:rsidRPr="00DD1B58">
        <w:rPr>
          <w:rFonts w:eastAsia="Arial"/>
          <w:szCs w:val="24"/>
          <w:lang w:val="en-US"/>
        </w:rPr>
        <w:t>:</w:t>
      </w:r>
      <w:r w:rsidR="005E4E78" w:rsidRPr="00DD1B58">
        <w:rPr>
          <w:rFonts w:eastAsia="Arial"/>
          <w:szCs w:val="24"/>
          <w:lang w:val="en-US"/>
        </w:rPr>
        <w:t xml:space="preserve"> </w:t>
      </w:r>
      <w:sdt>
        <w:sdtPr>
          <w:rPr>
            <w:rFonts w:eastAsia="Arial"/>
            <w:szCs w:val="24"/>
            <w:lang w:val="en-US"/>
          </w:rPr>
          <w:id w:val="-521095115"/>
          <w:citation/>
        </w:sdtPr>
        <w:sdtContent>
          <w:r w:rsidR="003E4BB7" w:rsidRPr="00DD1B58">
            <w:rPr>
              <w:rFonts w:eastAsia="Arial"/>
              <w:szCs w:val="24"/>
              <w:lang w:val="en-US"/>
            </w:rPr>
            <w:fldChar w:fldCharType="begin"/>
          </w:r>
          <w:r w:rsidR="003E4BB7" w:rsidRPr="00DD1B58">
            <w:rPr>
              <w:rFonts w:eastAsia="Arial"/>
              <w:szCs w:val="24"/>
              <w:lang w:val="en-US"/>
            </w:rPr>
            <w:instrText xml:space="preserve"> CITATION BMS \l 2057 </w:instrText>
          </w:r>
          <w:r w:rsidR="003E4BB7" w:rsidRPr="00DD1B58">
            <w:rPr>
              <w:rFonts w:eastAsia="Arial"/>
              <w:szCs w:val="24"/>
              <w:lang w:val="en-US"/>
            </w:rPr>
            <w:fldChar w:fldCharType="separate"/>
          </w:r>
          <w:r w:rsidR="00DF47DA" w:rsidRPr="00DF47DA">
            <w:rPr>
              <w:rFonts w:eastAsia="Arial"/>
              <w:noProof/>
              <w:szCs w:val="24"/>
              <w:lang w:val="en-US"/>
            </w:rPr>
            <w:t>[95]</w:t>
          </w:r>
          <w:r w:rsidR="003E4BB7" w:rsidRPr="00DD1B58">
            <w:rPr>
              <w:rFonts w:eastAsia="Arial"/>
              <w:szCs w:val="24"/>
              <w:lang w:val="en-US"/>
            </w:rPr>
            <w:fldChar w:fldCharType="end"/>
          </w:r>
        </w:sdtContent>
      </w:sdt>
      <w:r w:rsidR="00604555" w:rsidRPr="00DD1B58">
        <w:rPr>
          <w:rFonts w:eastAsia="Arial"/>
          <w:szCs w:val="24"/>
          <w:lang w:val="en-US"/>
        </w:rPr>
        <w:t xml:space="preserve">, </w:t>
      </w:r>
      <w:sdt>
        <w:sdtPr>
          <w:rPr>
            <w:rFonts w:eastAsia="Arial"/>
            <w:szCs w:val="24"/>
            <w:lang w:val="en-US"/>
          </w:rPr>
          <w:id w:val="1983039239"/>
          <w:citation/>
        </w:sdtPr>
        <w:sdtContent>
          <w:r w:rsidR="009E695E" w:rsidRPr="00DD1B58">
            <w:rPr>
              <w:rFonts w:eastAsia="Arial"/>
              <w:szCs w:val="24"/>
              <w:lang w:val="en-US"/>
            </w:rPr>
            <w:fldChar w:fldCharType="begin"/>
          </w:r>
          <w:r w:rsidR="005B050F" w:rsidRPr="00DD1B58">
            <w:rPr>
              <w:rFonts w:eastAsia="Arial"/>
              <w:szCs w:val="24"/>
              <w:lang w:val="en-US"/>
            </w:rPr>
            <w:instrText xml:space="preserve">CITATION Off \l 2057 </w:instrText>
          </w:r>
          <w:r w:rsidR="009E695E" w:rsidRPr="00DD1B58">
            <w:rPr>
              <w:rFonts w:eastAsia="Arial"/>
              <w:szCs w:val="24"/>
              <w:lang w:val="en-US"/>
            </w:rPr>
            <w:fldChar w:fldCharType="separate"/>
          </w:r>
          <w:r w:rsidR="00DF47DA" w:rsidRPr="00DF47DA">
            <w:rPr>
              <w:rFonts w:eastAsia="Arial"/>
              <w:noProof/>
              <w:szCs w:val="24"/>
              <w:lang w:val="en-US"/>
            </w:rPr>
            <w:t>[96]</w:t>
          </w:r>
          <w:r w:rsidR="009E695E" w:rsidRPr="00DD1B58">
            <w:rPr>
              <w:rFonts w:eastAsia="Arial"/>
              <w:szCs w:val="24"/>
              <w:lang w:val="en-US"/>
            </w:rPr>
            <w:fldChar w:fldCharType="end"/>
          </w:r>
        </w:sdtContent>
      </w:sdt>
      <w:r w:rsidR="00604555" w:rsidRPr="00DD1B58">
        <w:rPr>
          <w:rFonts w:eastAsia="Arial"/>
          <w:szCs w:val="24"/>
          <w:lang w:val="en-US"/>
        </w:rPr>
        <w:t xml:space="preserve">, </w:t>
      </w:r>
      <w:sdt>
        <w:sdtPr>
          <w:rPr>
            <w:rFonts w:eastAsia="Arial"/>
            <w:szCs w:val="24"/>
            <w:lang w:val="en-US"/>
          </w:rPr>
          <w:id w:val="-935051811"/>
          <w:citation/>
        </w:sdtPr>
        <w:sdtContent>
          <w:r w:rsidR="009E695E" w:rsidRPr="00DD1B58">
            <w:rPr>
              <w:rFonts w:eastAsia="Arial"/>
              <w:szCs w:val="24"/>
              <w:lang w:val="en-US"/>
            </w:rPr>
            <w:fldChar w:fldCharType="begin"/>
          </w:r>
          <w:r w:rsidR="009E695E" w:rsidRPr="00DD1B58">
            <w:rPr>
              <w:rFonts w:eastAsia="Arial"/>
              <w:szCs w:val="24"/>
              <w:lang w:val="en-US"/>
            </w:rPr>
            <w:instrText xml:space="preserve"> CITATION Gui \l 2057 </w:instrText>
          </w:r>
          <w:r w:rsidR="009E695E" w:rsidRPr="00DD1B58">
            <w:rPr>
              <w:rFonts w:eastAsia="Arial"/>
              <w:szCs w:val="24"/>
              <w:lang w:val="en-US"/>
            </w:rPr>
            <w:fldChar w:fldCharType="separate"/>
          </w:r>
          <w:r w:rsidR="00DF47DA" w:rsidRPr="00DF47DA">
            <w:rPr>
              <w:rFonts w:eastAsia="Arial"/>
              <w:noProof/>
              <w:szCs w:val="24"/>
              <w:lang w:val="en-US"/>
            </w:rPr>
            <w:t>[97]</w:t>
          </w:r>
          <w:r w:rsidR="009E695E" w:rsidRPr="00DD1B58">
            <w:rPr>
              <w:rFonts w:eastAsia="Arial"/>
              <w:szCs w:val="24"/>
              <w:lang w:val="en-US"/>
            </w:rPr>
            <w:fldChar w:fldCharType="end"/>
          </w:r>
        </w:sdtContent>
      </w:sdt>
      <w:r w:rsidR="0012398A" w:rsidRPr="00DD1B58">
        <w:rPr>
          <w:rFonts w:eastAsia="Arial"/>
          <w:szCs w:val="24"/>
          <w:lang w:val="en-US"/>
        </w:rPr>
        <w:t xml:space="preserve"> and</w:t>
      </w:r>
      <w:r w:rsidR="00604555" w:rsidRPr="00DD1B58">
        <w:rPr>
          <w:rFonts w:eastAsia="Arial"/>
          <w:szCs w:val="24"/>
          <w:lang w:val="en-US"/>
        </w:rPr>
        <w:t xml:space="preserve"> </w:t>
      </w:r>
      <w:sdt>
        <w:sdtPr>
          <w:rPr>
            <w:rFonts w:eastAsia="Arial"/>
            <w:szCs w:val="24"/>
            <w:lang w:val="en-US"/>
          </w:rPr>
          <w:id w:val="1406794197"/>
          <w:citation/>
        </w:sdtPr>
        <w:sdtContent>
          <w:r w:rsidR="00604555" w:rsidRPr="00DD1B58">
            <w:rPr>
              <w:rFonts w:eastAsia="Arial"/>
              <w:szCs w:val="24"/>
              <w:lang w:val="en-US"/>
            </w:rPr>
            <w:fldChar w:fldCharType="begin"/>
          </w:r>
          <w:r w:rsidR="00604555" w:rsidRPr="00DD1B58">
            <w:rPr>
              <w:rFonts w:eastAsia="Arial"/>
              <w:szCs w:val="24"/>
              <w:lang w:val="en-US"/>
            </w:rPr>
            <w:instrText xml:space="preserve"> CITATION Wes1 \l 2057 </w:instrText>
          </w:r>
          <w:r w:rsidR="00604555" w:rsidRPr="00DD1B58">
            <w:rPr>
              <w:rFonts w:eastAsia="Arial"/>
              <w:szCs w:val="24"/>
              <w:lang w:val="en-US"/>
            </w:rPr>
            <w:fldChar w:fldCharType="separate"/>
          </w:r>
          <w:r w:rsidR="00DF47DA" w:rsidRPr="00DF47DA">
            <w:rPr>
              <w:rFonts w:eastAsia="Arial"/>
              <w:noProof/>
              <w:szCs w:val="24"/>
              <w:lang w:val="en-US"/>
            </w:rPr>
            <w:t>[98]</w:t>
          </w:r>
          <w:r w:rsidR="00604555" w:rsidRPr="00DD1B58">
            <w:rPr>
              <w:rFonts w:eastAsia="Arial"/>
              <w:szCs w:val="24"/>
              <w:lang w:val="en-US"/>
            </w:rPr>
            <w:fldChar w:fldCharType="end"/>
          </w:r>
        </w:sdtContent>
      </w:sdt>
      <w:r w:rsidR="00604555" w:rsidRPr="00DD1B58">
        <w:rPr>
          <w:rFonts w:eastAsia="Arial"/>
          <w:szCs w:val="24"/>
          <w:lang w:val="en-US"/>
        </w:rPr>
        <w:t>.</w:t>
      </w:r>
    </w:p>
    <w:p w14:paraId="2BA77809" w14:textId="35FDE7A6" w:rsidR="5E199267" w:rsidRPr="00DD1B58" w:rsidRDefault="000A1520" w:rsidP="6C4D33C6">
      <w:pPr>
        <w:rPr>
          <w:lang w:val="en-US"/>
        </w:rPr>
      </w:pPr>
      <w:r w:rsidRPr="00DD1B58">
        <w:rPr>
          <w:lang w:val="en-US"/>
        </w:rPr>
        <w:t xml:space="preserve">Springfields Fuels </w:t>
      </w:r>
      <w:r w:rsidR="00BF0D1B" w:rsidRPr="00DD1B58">
        <w:rPr>
          <w:lang w:val="en-US"/>
        </w:rPr>
        <w:t>Ltd</w:t>
      </w:r>
      <w:r w:rsidRPr="00DD1B58">
        <w:rPr>
          <w:lang w:val="en-US"/>
        </w:rPr>
        <w:t xml:space="preserve"> state</w:t>
      </w:r>
      <w:r w:rsidR="00904F8C" w:rsidRPr="00DD1B58">
        <w:rPr>
          <w:lang w:val="en-US"/>
        </w:rPr>
        <w:t>s</w:t>
      </w:r>
      <w:r w:rsidRPr="00DD1B58">
        <w:rPr>
          <w:lang w:val="en-US"/>
        </w:rPr>
        <w:t xml:space="preserve"> that there </w:t>
      </w:r>
      <w:r w:rsidR="5E199267" w:rsidRPr="00DD1B58">
        <w:rPr>
          <w:rFonts w:eastAsia="Arial"/>
          <w:szCs w:val="24"/>
          <w:lang w:val="en-US"/>
        </w:rPr>
        <w:t>is a daily EHS&amp;Q review meeting whe</w:t>
      </w:r>
      <w:r w:rsidR="0012398A" w:rsidRPr="00DD1B58">
        <w:rPr>
          <w:rFonts w:eastAsia="Arial"/>
          <w:szCs w:val="24"/>
          <w:lang w:val="en-US"/>
        </w:rPr>
        <w:t>re</w:t>
      </w:r>
      <w:r w:rsidR="5E199267" w:rsidRPr="00DD1B58">
        <w:rPr>
          <w:rFonts w:eastAsia="Arial"/>
          <w:szCs w:val="24"/>
          <w:lang w:val="en-US"/>
        </w:rPr>
        <w:t xml:space="preserve"> all events </w:t>
      </w:r>
      <w:r w:rsidR="00904F8C" w:rsidRPr="00DD1B58">
        <w:rPr>
          <w:rFonts w:eastAsia="Arial"/>
          <w:szCs w:val="24"/>
          <w:lang w:val="en-US"/>
        </w:rPr>
        <w:t>are</w:t>
      </w:r>
      <w:r w:rsidR="5E199267" w:rsidRPr="00DD1B58">
        <w:rPr>
          <w:rFonts w:eastAsia="Arial"/>
          <w:szCs w:val="24"/>
          <w:lang w:val="en-US"/>
        </w:rPr>
        <w:t xml:space="preserve"> discussed a</w:t>
      </w:r>
      <w:r w:rsidR="00904F8C" w:rsidRPr="00DD1B58">
        <w:rPr>
          <w:rFonts w:eastAsia="Arial"/>
          <w:szCs w:val="24"/>
          <w:lang w:val="en-US"/>
        </w:rPr>
        <w:t>long with whether</w:t>
      </w:r>
      <w:r w:rsidR="5E199267" w:rsidRPr="00DD1B58">
        <w:rPr>
          <w:rFonts w:eastAsia="Arial"/>
          <w:szCs w:val="24"/>
          <w:lang w:val="en-US"/>
        </w:rPr>
        <w:t xml:space="preserve"> a </w:t>
      </w:r>
      <w:r w:rsidR="005A425B" w:rsidRPr="00DD1B58">
        <w:rPr>
          <w:rFonts w:eastAsia="Arial"/>
          <w:szCs w:val="24"/>
          <w:lang w:val="en-US"/>
        </w:rPr>
        <w:t>Corrective Action Programme (</w:t>
      </w:r>
      <w:r w:rsidR="5E199267" w:rsidRPr="00DD1B58">
        <w:rPr>
          <w:rFonts w:eastAsia="Arial"/>
          <w:szCs w:val="24"/>
          <w:lang w:val="en-US"/>
        </w:rPr>
        <w:t>CAP</w:t>
      </w:r>
      <w:r w:rsidR="005A425B" w:rsidRPr="00DD1B58">
        <w:rPr>
          <w:rFonts w:eastAsia="Arial"/>
          <w:szCs w:val="24"/>
          <w:lang w:val="en-US"/>
        </w:rPr>
        <w:t>)</w:t>
      </w:r>
      <w:r w:rsidR="5E199267" w:rsidRPr="00DD1B58">
        <w:rPr>
          <w:rFonts w:eastAsia="Arial"/>
          <w:szCs w:val="24"/>
          <w:lang w:val="en-US"/>
        </w:rPr>
        <w:t xml:space="preserve"> </w:t>
      </w:r>
      <w:r w:rsidR="00904F8C" w:rsidRPr="00DD1B58">
        <w:rPr>
          <w:rFonts w:eastAsia="Arial"/>
          <w:szCs w:val="24"/>
          <w:lang w:val="en-US"/>
        </w:rPr>
        <w:t xml:space="preserve">should </w:t>
      </w:r>
      <w:r w:rsidR="5E199267" w:rsidRPr="00DD1B58">
        <w:rPr>
          <w:rFonts w:eastAsia="Arial"/>
          <w:szCs w:val="24"/>
          <w:lang w:val="en-US"/>
        </w:rPr>
        <w:t>be raised.</w:t>
      </w:r>
      <w:r w:rsidR="005769FE" w:rsidRPr="00DD1B58">
        <w:rPr>
          <w:lang w:val="en-US"/>
        </w:rPr>
        <w:t xml:space="preserve"> </w:t>
      </w:r>
      <w:r w:rsidR="00BB77F1" w:rsidRPr="00DD1B58">
        <w:rPr>
          <w:rFonts w:eastAsia="Arial"/>
          <w:szCs w:val="24"/>
          <w:lang w:val="en-US"/>
        </w:rPr>
        <w:t xml:space="preserve">It also noted that all </w:t>
      </w:r>
      <w:r w:rsidR="5E199267" w:rsidRPr="00DD1B58">
        <w:rPr>
          <w:rFonts w:eastAsia="Arial"/>
          <w:szCs w:val="24"/>
          <w:lang w:val="en-US"/>
        </w:rPr>
        <w:t xml:space="preserve">events raised on CAPs are reviewed by the appropriate Issue Review Committee. They are assigned a significance level with any required analysis and managed in accordance with the requirements of SSI 696 (which is a signpost to W2-5.1-101, </w:t>
      </w:r>
      <w:r w:rsidR="00904F8C" w:rsidRPr="00DD1B58">
        <w:rPr>
          <w:rFonts w:eastAsia="Arial"/>
          <w:szCs w:val="24"/>
          <w:lang w:val="en-US"/>
        </w:rPr>
        <w:t>‘</w:t>
      </w:r>
      <w:r w:rsidR="5E199267" w:rsidRPr="00DD1B58">
        <w:rPr>
          <w:rFonts w:eastAsia="Arial"/>
          <w:szCs w:val="24"/>
          <w:lang w:val="en-US"/>
        </w:rPr>
        <w:t>Westinghouse Corrective Action Program Procedure</w:t>
      </w:r>
      <w:r w:rsidR="00904F8C" w:rsidRPr="00DD1B58">
        <w:rPr>
          <w:rFonts w:eastAsia="Arial"/>
          <w:szCs w:val="24"/>
          <w:lang w:val="en-US"/>
        </w:rPr>
        <w:t>’,</w:t>
      </w:r>
      <w:r w:rsidR="5E199267" w:rsidRPr="00DD1B58">
        <w:rPr>
          <w:rFonts w:eastAsia="Arial"/>
          <w:szCs w:val="24"/>
          <w:lang w:val="en-US"/>
        </w:rPr>
        <w:t xml:space="preserve"> and associated procedures)</w:t>
      </w:r>
      <w:r w:rsidR="00904F8C" w:rsidRPr="00DD1B58">
        <w:rPr>
          <w:rFonts w:eastAsia="Arial"/>
          <w:szCs w:val="24"/>
          <w:lang w:val="en-US"/>
        </w:rPr>
        <w:t>.</w:t>
      </w:r>
    </w:p>
    <w:p w14:paraId="7CEC4253" w14:textId="52D31DEA" w:rsidR="5E199267" w:rsidRPr="00DD1B58" w:rsidRDefault="5E199267" w:rsidP="00F5106E">
      <w:pPr>
        <w:rPr>
          <w:b/>
          <w:szCs w:val="24"/>
          <w:lang w:val="en-US"/>
        </w:rPr>
      </w:pPr>
      <w:r w:rsidRPr="00DD1B58">
        <w:rPr>
          <w:b/>
          <w:szCs w:val="24"/>
          <w:lang w:val="en-US"/>
        </w:rPr>
        <w:t xml:space="preserve">Operational </w:t>
      </w:r>
      <w:r w:rsidR="00904F8C" w:rsidRPr="00DD1B58">
        <w:rPr>
          <w:b/>
          <w:szCs w:val="24"/>
          <w:lang w:val="en-US"/>
        </w:rPr>
        <w:t>e</w:t>
      </w:r>
      <w:r w:rsidRPr="00DD1B58">
        <w:rPr>
          <w:b/>
          <w:szCs w:val="24"/>
          <w:lang w:val="en-US"/>
        </w:rPr>
        <w:t xml:space="preserve">xperience </w:t>
      </w:r>
    </w:p>
    <w:p w14:paraId="0EB9596D" w14:textId="49FDB96B" w:rsidR="5E199267" w:rsidRPr="00DD1B58" w:rsidRDefault="5E199267" w:rsidP="6C4D33C6">
      <w:pPr>
        <w:rPr>
          <w:rFonts w:eastAsia="Arial"/>
          <w:szCs w:val="24"/>
          <w:lang w:val="en-US"/>
        </w:rPr>
      </w:pPr>
      <w:r w:rsidRPr="00DD1B58">
        <w:rPr>
          <w:rFonts w:eastAsia="Arial"/>
          <w:szCs w:val="24"/>
          <w:lang w:val="en-US"/>
        </w:rPr>
        <w:t xml:space="preserve">Operational </w:t>
      </w:r>
      <w:r w:rsidR="00904F8C" w:rsidRPr="00DD1B58">
        <w:rPr>
          <w:rFonts w:eastAsia="Arial"/>
          <w:szCs w:val="24"/>
          <w:lang w:val="en-US"/>
        </w:rPr>
        <w:t>e</w:t>
      </w:r>
      <w:r w:rsidRPr="00DD1B58">
        <w:rPr>
          <w:rFonts w:eastAsia="Arial"/>
          <w:szCs w:val="24"/>
          <w:lang w:val="en-US"/>
        </w:rPr>
        <w:t>xperience (OE)</w:t>
      </w:r>
      <w:r w:rsidR="0033395D" w:rsidRPr="00DD1B58">
        <w:rPr>
          <w:rFonts w:eastAsia="Arial"/>
          <w:szCs w:val="24"/>
          <w:lang w:val="en-US"/>
        </w:rPr>
        <w:t xml:space="preserve"> </w:t>
      </w:r>
      <w:r w:rsidRPr="00DD1B58">
        <w:rPr>
          <w:rFonts w:eastAsia="Arial"/>
          <w:szCs w:val="24"/>
          <w:lang w:val="en-US"/>
        </w:rPr>
        <w:t>is covered in SSI 212C</w:t>
      </w:r>
      <w:r w:rsidR="008B1FF5" w:rsidRPr="00DD1B58">
        <w:rPr>
          <w:rFonts w:eastAsia="Arial"/>
          <w:szCs w:val="24"/>
          <w:lang w:val="en-US"/>
        </w:rPr>
        <w:t xml:space="preserve"> </w:t>
      </w:r>
      <w:sdt>
        <w:sdtPr>
          <w:rPr>
            <w:rFonts w:eastAsia="Arial"/>
            <w:szCs w:val="24"/>
            <w:lang w:val="en-US"/>
          </w:rPr>
          <w:id w:val="-368683515"/>
          <w:citation/>
        </w:sdtPr>
        <w:sdtContent>
          <w:r w:rsidR="00B802F5" w:rsidRPr="00DD1B58">
            <w:rPr>
              <w:rFonts w:eastAsia="Arial"/>
              <w:szCs w:val="24"/>
              <w:lang w:val="en-US"/>
            </w:rPr>
            <w:fldChar w:fldCharType="begin"/>
          </w:r>
          <w:r w:rsidR="00B802F5" w:rsidRPr="00DD1B58">
            <w:rPr>
              <w:rFonts w:eastAsia="Arial"/>
              <w:szCs w:val="24"/>
              <w:lang w:val="en-US"/>
            </w:rPr>
            <w:instrText xml:space="preserve"> CITATION Spr1 \l 2057 </w:instrText>
          </w:r>
          <w:r w:rsidR="00B802F5" w:rsidRPr="00DD1B58">
            <w:rPr>
              <w:rFonts w:eastAsia="Arial"/>
              <w:szCs w:val="24"/>
              <w:lang w:val="en-US"/>
            </w:rPr>
            <w:fldChar w:fldCharType="separate"/>
          </w:r>
          <w:r w:rsidR="00DF47DA" w:rsidRPr="00DF47DA">
            <w:rPr>
              <w:rFonts w:eastAsia="Arial"/>
              <w:noProof/>
              <w:szCs w:val="24"/>
              <w:lang w:val="en-US"/>
            </w:rPr>
            <w:t>[93]</w:t>
          </w:r>
          <w:r w:rsidR="00B802F5" w:rsidRPr="00DD1B58">
            <w:rPr>
              <w:rFonts w:eastAsia="Arial"/>
              <w:szCs w:val="24"/>
              <w:lang w:val="en-US"/>
            </w:rPr>
            <w:fldChar w:fldCharType="end"/>
          </w:r>
        </w:sdtContent>
      </w:sdt>
      <w:r w:rsidR="0033395D" w:rsidRPr="00DD1B58">
        <w:rPr>
          <w:rFonts w:eastAsia="Arial"/>
          <w:szCs w:val="24"/>
          <w:lang w:val="en-US"/>
        </w:rPr>
        <w:t xml:space="preserve">. </w:t>
      </w:r>
      <w:r w:rsidR="00C74F2A" w:rsidRPr="00DD1B58">
        <w:rPr>
          <w:rFonts w:eastAsia="Arial"/>
          <w:szCs w:val="24"/>
          <w:lang w:val="en-US"/>
        </w:rPr>
        <w:t xml:space="preserve">Springfields Fuels </w:t>
      </w:r>
      <w:r w:rsidR="00BF0D1B" w:rsidRPr="00DD1B58">
        <w:rPr>
          <w:rFonts w:eastAsia="Arial"/>
          <w:szCs w:val="24"/>
          <w:lang w:val="en-US"/>
        </w:rPr>
        <w:t>Ltd</w:t>
      </w:r>
      <w:r w:rsidR="00C74F2A" w:rsidRPr="00DD1B58">
        <w:rPr>
          <w:rFonts w:eastAsia="Arial"/>
          <w:szCs w:val="24"/>
          <w:lang w:val="en-US"/>
        </w:rPr>
        <w:t xml:space="preserve"> provided the </w:t>
      </w:r>
      <w:r w:rsidRPr="00DD1B58">
        <w:rPr>
          <w:rFonts w:eastAsia="Arial"/>
          <w:szCs w:val="24"/>
          <w:lang w:val="en-US"/>
        </w:rPr>
        <w:t>flow chart</w:t>
      </w:r>
      <w:r w:rsidR="0009254A" w:rsidRPr="00DD1B58">
        <w:rPr>
          <w:rFonts w:eastAsia="Arial"/>
          <w:szCs w:val="24"/>
          <w:lang w:val="en-US"/>
        </w:rPr>
        <w:t xml:space="preserve"> in </w:t>
      </w:r>
      <w:r w:rsidR="0009254A" w:rsidRPr="00DD1B58">
        <w:rPr>
          <w:rFonts w:eastAsia="Arial"/>
          <w:szCs w:val="24"/>
          <w:lang w:val="en-US"/>
        </w:rPr>
        <w:fldChar w:fldCharType="begin"/>
      </w:r>
      <w:r w:rsidR="0009254A" w:rsidRPr="00DD1B58">
        <w:rPr>
          <w:rFonts w:eastAsia="Arial"/>
          <w:szCs w:val="24"/>
          <w:lang w:val="en-US"/>
        </w:rPr>
        <w:instrText xml:space="preserve"> REF _Ref143594763 \h </w:instrText>
      </w:r>
      <w:r w:rsidR="0009254A" w:rsidRPr="00DD1B58">
        <w:rPr>
          <w:rFonts w:eastAsia="Arial"/>
          <w:szCs w:val="24"/>
          <w:lang w:val="en-US"/>
        </w:rPr>
      </w:r>
      <w:r w:rsidR="0009254A" w:rsidRPr="00DD1B58">
        <w:rPr>
          <w:rFonts w:eastAsia="Arial"/>
          <w:szCs w:val="24"/>
          <w:lang w:val="en-US"/>
        </w:rPr>
        <w:fldChar w:fldCharType="separate"/>
      </w:r>
      <w:r w:rsidR="00DF47DA" w:rsidRPr="00DD1B58">
        <w:rPr>
          <w:lang w:val="en-US"/>
        </w:rPr>
        <w:t xml:space="preserve">Figure </w:t>
      </w:r>
      <w:r w:rsidR="00DF47DA">
        <w:rPr>
          <w:noProof/>
          <w:lang w:val="en-US"/>
        </w:rPr>
        <w:t>4</w:t>
      </w:r>
      <w:r w:rsidR="0009254A" w:rsidRPr="00DD1B58">
        <w:rPr>
          <w:rFonts w:eastAsia="Arial"/>
          <w:szCs w:val="24"/>
          <w:lang w:val="en-US"/>
        </w:rPr>
        <w:fldChar w:fldCharType="end"/>
      </w:r>
      <w:r w:rsidRPr="00DD1B58">
        <w:rPr>
          <w:rFonts w:eastAsia="Arial"/>
          <w:szCs w:val="24"/>
          <w:lang w:val="en-US"/>
        </w:rPr>
        <w:t xml:space="preserve"> below</w:t>
      </w:r>
      <w:r w:rsidR="00C74F2A" w:rsidRPr="00DD1B58">
        <w:rPr>
          <w:rFonts w:eastAsia="Arial"/>
          <w:szCs w:val="24"/>
          <w:lang w:val="en-US"/>
        </w:rPr>
        <w:t>,</w:t>
      </w:r>
      <w:r w:rsidRPr="00DD1B58">
        <w:rPr>
          <w:rFonts w:eastAsia="Arial"/>
          <w:szCs w:val="24"/>
          <w:lang w:val="en-US"/>
        </w:rPr>
        <w:t xml:space="preserve"> taken from SSI 212C</w:t>
      </w:r>
      <w:r w:rsidR="00C74F2A" w:rsidRPr="00DD1B58">
        <w:rPr>
          <w:rFonts w:eastAsia="Arial"/>
          <w:szCs w:val="24"/>
          <w:lang w:val="en-US"/>
        </w:rPr>
        <w:t>,</w:t>
      </w:r>
      <w:r w:rsidRPr="00DD1B58">
        <w:rPr>
          <w:rFonts w:eastAsia="Arial"/>
          <w:szCs w:val="24"/>
          <w:lang w:val="en-US"/>
        </w:rPr>
        <w:t xml:space="preserve"> </w:t>
      </w:r>
      <w:r w:rsidR="00C74F2A" w:rsidRPr="00DD1B58">
        <w:rPr>
          <w:rFonts w:eastAsia="Arial"/>
          <w:szCs w:val="24"/>
          <w:lang w:val="en-US"/>
        </w:rPr>
        <w:t xml:space="preserve">to give </w:t>
      </w:r>
      <w:r w:rsidRPr="00DD1B58">
        <w:rPr>
          <w:rFonts w:eastAsia="Arial"/>
          <w:szCs w:val="24"/>
          <w:lang w:val="en-US"/>
        </w:rPr>
        <w:t xml:space="preserve">an overview of the </w:t>
      </w:r>
      <w:r w:rsidR="00934818" w:rsidRPr="00DD1B58">
        <w:rPr>
          <w:rFonts w:eastAsia="Arial"/>
          <w:szCs w:val="24"/>
          <w:lang w:val="en-US"/>
        </w:rPr>
        <w:t>p</w:t>
      </w:r>
      <w:r w:rsidRPr="00DD1B58">
        <w:rPr>
          <w:rFonts w:eastAsia="Arial"/>
          <w:szCs w:val="24"/>
          <w:lang w:val="en-US"/>
        </w:rPr>
        <w:t>rocess</w:t>
      </w:r>
      <w:r w:rsidR="00C74F2A" w:rsidRPr="00DD1B58">
        <w:rPr>
          <w:rFonts w:eastAsia="Arial"/>
          <w:szCs w:val="24"/>
          <w:lang w:val="en-US"/>
        </w:rPr>
        <w:t>.</w:t>
      </w:r>
    </w:p>
    <w:p w14:paraId="77A85408" w14:textId="18A9B3D0" w:rsidR="00C74F2A" w:rsidRPr="00DD1B58" w:rsidRDefault="00C74F2A" w:rsidP="00973FF4">
      <w:pPr>
        <w:pStyle w:val="Caption"/>
        <w:jc w:val="center"/>
        <w:rPr>
          <w:rFonts w:eastAsia="Arial"/>
          <w:szCs w:val="24"/>
          <w:highlight w:val="yellow"/>
          <w:lang w:val="en-US"/>
        </w:rPr>
      </w:pPr>
      <w:bookmarkStart w:id="46" w:name="_Ref143594763"/>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4</w:t>
      </w:r>
      <w:r w:rsidRPr="00DD1B58">
        <w:rPr>
          <w:lang w:val="en-US"/>
        </w:rPr>
        <w:fldChar w:fldCharType="end"/>
      </w:r>
      <w:bookmarkEnd w:id="46"/>
      <w:r w:rsidR="0009254A" w:rsidRPr="00DD1B58">
        <w:rPr>
          <w:lang w:val="en-US"/>
        </w:rPr>
        <w:t xml:space="preserve">: Overview of Springfields Fuels </w:t>
      </w:r>
      <w:r w:rsidR="00BF0D1B" w:rsidRPr="00DD1B58">
        <w:rPr>
          <w:lang w:val="en-US"/>
        </w:rPr>
        <w:t>Ltd</w:t>
      </w:r>
      <w:r w:rsidR="0009254A" w:rsidRPr="00DD1B58">
        <w:rPr>
          <w:lang w:val="en-US"/>
        </w:rPr>
        <w:t xml:space="preserve"> </w:t>
      </w:r>
      <w:r w:rsidR="0009254A" w:rsidRPr="00DD1B58">
        <w:rPr>
          <w:rFonts w:eastAsia="Arial"/>
          <w:szCs w:val="24"/>
          <w:lang w:val="en-US"/>
        </w:rPr>
        <w:t>OE Process</w:t>
      </w:r>
    </w:p>
    <w:p w14:paraId="0FACA1E8" w14:textId="77777777" w:rsidR="5E199267" w:rsidRPr="00DD1B58" w:rsidRDefault="5E199267" w:rsidP="6C4D33C6">
      <w:pPr>
        <w:rPr>
          <w:lang w:val="en-US"/>
        </w:rPr>
      </w:pPr>
      <w:r w:rsidRPr="00DD1B58">
        <w:rPr>
          <w:noProof/>
          <w:lang w:val="en-US"/>
        </w:rPr>
        <w:drawing>
          <wp:inline distT="0" distB="0" distL="0" distR="0" wp14:anchorId="1BD728E2" wp14:editId="3066D9EF">
            <wp:extent cx="5834754" cy="3202800"/>
            <wp:effectExtent l="0" t="0" r="0" b="0"/>
            <wp:docPr id="487584153" name="Picture 487584153" descr="Diagram of Springfields Fuels Ltd operational experience process, including Collect (sources of information), Analyse (review processes) and Use/share (dissemination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84153" name="Picture 487584153" descr="Diagram of Springfields Fuels Ltd operational experience process, including Collect (sources of information), Analyse (review processes) and Use/share (dissemination methods)"/>
                    <pic:cNvPicPr/>
                  </pic:nvPicPr>
                  <pic:blipFill>
                    <a:blip r:embed="rId15">
                      <a:extLst>
                        <a:ext uri="{28A0092B-C50C-407E-A947-70E740481C1C}">
                          <a14:useLocalDpi xmlns:a14="http://schemas.microsoft.com/office/drawing/2010/main" val="0"/>
                        </a:ext>
                      </a:extLst>
                    </a:blip>
                    <a:srcRect l="23177" t="25000" r="28906" b="28240"/>
                    <a:stretch>
                      <a:fillRect/>
                    </a:stretch>
                  </pic:blipFill>
                  <pic:spPr>
                    <a:xfrm>
                      <a:off x="0" y="0"/>
                      <a:ext cx="5834754" cy="3202800"/>
                    </a:xfrm>
                    <a:prstGeom prst="rect">
                      <a:avLst/>
                    </a:prstGeom>
                  </pic:spPr>
                </pic:pic>
              </a:graphicData>
            </a:graphic>
          </wp:inline>
        </w:drawing>
      </w:r>
    </w:p>
    <w:p w14:paraId="6CCC0371" w14:textId="01315449" w:rsidR="5E199267" w:rsidRPr="00DD1B58" w:rsidRDefault="00CE1FB7" w:rsidP="6C4D33C6">
      <w:pPr>
        <w:rPr>
          <w:rFonts w:eastAsia="Arial"/>
          <w:szCs w:val="24"/>
          <w:lang w:val="en-US"/>
        </w:rPr>
      </w:pPr>
      <w:r w:rsidRPr="00DD1B58">
        <w:rPr>
          <w:rFonts w:eastAsia="Arial"/>
          <w:szCs w:val="24"/>
          <w:lang w:val="en-US"/>
        </w:rPr>
        <w:t xml:space="preserve">Springfields Fuels </w:t>
      </w:r>
      <w:r w:rsidR="00BF0D1B" w:rsidRPr="00DD1B58">
        <w:rPr>
          <w:rFonts w:eastAsia="Arial"/>
          <w:szCs w:val="24"/>
          <w:lang w:val="en-US"/>
        </w:rPr>
        <w:t>Ltd</w:t>
      </w:r>
      <w:r w:rsidRPr="00DD1B58">
        <w:rPr>
          <w:rFonts w:eastAsia="Arial"/>
          <w:szCs w:val="24"/>
          <w:lang w:val="en-US"/>
        </w:rPr>
        <w:t xml:space="preserve"> repor</w:t>
      </w:r>
      <w:r w:rsidR="00E43B38" w:rsidRPr="00DD1B58">
        <w:rPr>
          <w:rFonts w:eastAsia="Arial"/>
          <w:szCs w:val="24"/>
          <w:lang w:val="en-US"/>
        </w:rPr>
        <w:t>ts</w:t>
      </w:r>
      <w:r w:rsidRPr="00DD1B58">
        <w:rPr>
          <w:rFonts w:eastAsia="Arial"/>
          <w:szCs w:val="24"/>
          <w:lang w:val="en-US"/>
        </w:rPr>
        <w:t xml:space="preserve"> that t</w:t>
      </w:r>
      <w:r w:rsidR="5E199267" w:rsidRPr="00DD1B58">
        <w:rPr>
          <w:rFonts w:eastAsia="Arial"/>
          <w:szCs w:val="24"/>
          <w:lang w:val="en-US"/>
        </w:rPr>
        <w:t xml:space="preserve">here have been no significant recent fire </w:t>
      </w:r>
      <w:r w:rsidR="00A9005A" w:rsidRPr="00DD1B58">
        <w:rPr>
          <w:rFonts w:eastAsia="Arial"/>
          <w:szCs w:val="24"/>
          <w:lang w:val="en-US"/>
        </w:rPr>
        <w:t>events and</w:t>
      </w:r>
      <w:r w:rsidR="0072433C" w:rsidRPr="00DD1B58">
        <w:rPr>
          <w:rFonts w:eastAsia="Arial"/>
          <w:szCs w:val="24"/>
          <w:lang w:val="en-US"/>
        </w:rPr>
        <w:t xml:space="preserve"> provided information on s</w:t>
      </w:r>
      <w:r w:rsidR="5E199267" w:rsidRPr="00DD1B58">
        <w:rPr>
          <w:rFonts w:eastAsia="Arial"/>
          <w:szCs w:val="24"/>
          <w:lang w:val="en-US"/>
        </w:rPr>
        <w:t>ome historical fire events</w:t>
      </w:r>
      <w:r w:rsidR="0072433C" w:rsidRPr="00DD1B58">
        <w:rPr>
          <w:rFonts w:eastAsia="Arial"/>
          <w:szCs w:val="24"/>
          <w:lang w:val="en-US"/>
        </w:rPr>
        <w:t xml:space="preserve"> which are reproduced in turn below.</w:t>
      </w:r>
    </w:p>
    <w:p w14:paraId="69ACEECC" w14:textId="3B2DDC66" w:rsidR="00F5106E" w:rsidRPr="00DD1B58" w:rsidRDefault="7FE50804" w:rsidP="6C4D33C6">
      <w:pPr>
        <w:rPr>
          <w:b/>
          <w:szCs w:val="24"/>
          <w:lang w:val="en-US"/>
        </w:rPr>
      </w:pPr>
      <w:r w:rsidRPr="00DD1B58">
        <w:rPr>
          <w:rFonts w:eastAsia="Arial"/>
          <w:b/>
          <w:szCs w:val="24"/>
          <w:lang w:val="en-US"/>
        </w:rPr>
        <w:t xml:space="preserve">Fume </w:t>
      </w:r>
      <w:r w:rsidR="00904F8C" w:rsidRPr="00DD1B58">
        <w:rPr>
          <w:rFonts w:eastAsia="Arial"/>
          <w:b/>
          <w:szCs w:val="24"/>
          <w:lang w:val="en-US"/>
        </w:rPr>
        <w:t>c</w:t>
      </w:r>
      <w:r w:rsidRPr="00DD1B58">
        <w:rPr>
          <w:rFonts w:eastAsia="Arial"/>
          <w:b/>
          <w:szCs w:val="24"/>
          <w:lang w:val="en-US"/>
        </w:rPr>
        <w:t xml:space="preserve">upboard </w:t>
      </w:r>
      <w:r w:rsidR="00904F8C" w:rsidRPr="00DD1B58">
        <w:rPr>
          <w:rFonts w:eastAsia="Arial"/>
          <w:b/>
          <w:szCs w:val="24"/>
          <w:lang w:val="en-US"/>
        </w:rPr>
        <w:t>f</w:t>
      </w:r>
      <w:r w:rsidRPr="00DD1B58">
        <w:rPr>
          <w:rFonts w:eastAsia="Arial"/>
          <w:b/>
          <w:szCs w:val="24"/>
          <w:lang w:val="en-US"/>
        </w:rPr>
        <w:t>ire</w:t>
      </w:r>
    </w:p>
    <w:p w14:paraId="27B9BAE0" w14:textId="3D3FCED4" w:rsidR="00112423" w:rsidRPr="00DD1B58" w:rsidRDefault="7FE50804" w:rsidP="6C4D33C6">
      <w:pPr>
        <w:rPr>
          <w:rFonts w:eastAsia="Arial"/>
          <w:szCs w:val="24"/>
          <w:lang w:val="en-US"/>
        </w:rPr>
      </w:pPr>
      <w:r w:rsidRPr="00DD1B58">
        <w:rPr>
          <w:rFonts w:eastAsia="Arial"/>
          <w:szCs w:val="24"/>
          <w:lang w:val="en-US"/>
        </w:rPr>
        <w:t>In 2000 a fire occurred in a laboratory fume cupboard during a</w:t>
      </w:r>
      <w:r w:rsidR="000D532D" w:rsidRPr="00DD1B58">
        <w:rPr>
          <w:rFonts w:eastAsia="Arial"/>
          <w:szCs w:val="24"/>
          <w:lang w:val="en-US"/>
        </w:rPr>
        <w:t xml:space="preserve"> </w:t>
      </w:r>
      <w:r w:rsidR="00A65F14" w:rsidRPr="00DD1B58">
        <w:rPr>
          <w:rFonts w:eastAsia="Arial"/>
          <w:szCs w:val="24"/>
          <w:lang w:val="en-US"/>
        </w:rPr>
        <w:t>material</w:t>
      </w:r>
      <w:r w:rsidRPr="00DD1B58">
        <w:rPr>
          <w:rFonts w:eastAsia="Arial"/>
          <w:szCs w:val="24"/>
          <w:lang w:val="en-US"/>
        </w:rPr>
        <w:t xml:space="preserve"> fusion process </w:t>
      </w:r>
      <w:bookmarkStart w:id="47" w:name="_Hlk148610805"/>
      <w:r w:rsidR="00E73192" w:rsidRPr="00DD1B58">
        <w:rPr>
          <w:rFonts w:eastAsia="Arial"/>
          <w:szCs w:val="24"/>
          <w:lang w:val="en-US"/>
        </w:rPr>
        <w:t xml:space="preserve">(not involving nuclear material) </w:t>
      </w:r>
      <w:bookmarkEnd w:id="47"/>
      <w:r w:rsidRPr="00DD1B58">
        <w:rPr>
          <w:rFonts w:eastAsia="Arial"/>
          <w:szCs w:val="24"/>
          <w:lang w:val="en-US"/>
        </w:rPr>
        <w:t>carried out using a standalone burner supplied with propane and compressed air.</w:t>
      </w:r>
      <w:r w:rsidR="00820A37" w:rsidRPr="00DD1B58">
        <w:rPr>
          <w:b/>
          <w:szCs w:val="24"/>
          <w:lang w:val="en-US"/>
        </w:rPr>
        <w:t xml:space="preserve"> </w:t>
      </w:r>
      <w:r w:rsidRPr="00DD1B58">
        <w:rPr>
          <w:rFonts w:eastAsia="Arial"/>
          <w:szCs w:val="24"/>
          <w:lang w:val="en-US"/>
        </w:rPr>
        <w:t>The fusion process was undertaken in a crucible held in tongs over a flame by an operator.</w:t>
      </w:r>
      <w:r w:rsidR="008C1D31" w:rsidRPr="00DD1B58">
        <w:rPr>
          <w:rFonts w:eastAsia="Arial"/>
          <w:szCs w:val="24"/>
          <w:lang w:val="en-US"/>
        </w:rPr>
        <w:t xml:space="preserve"> </w:t>
      </w:r>
    </w:p>
    <w:p w14:paraId="1B42E730" w14:textId="00F27F4D" w:rsidR="7FE50804" w:rsidRPr="00DD1B58" w:rsidRDefault="7FE50804" w:rsidP="6C4D33C6">
      <w:pPr>
        <w:rPr>
          <w:rFonts w:eastAsia="Arial"/>
          <w:szCs w:val="24"/>
          <w:lang w:val="en-US"/>
        </w:rPr>
      </w:pPr>
      <w:r w:rsidRPr="00DD1B58">
        <w:rPr>
          <w:rFonts w:eastAsia="Arial"/>
          <w:szCs w:val="24"/>
          <w:lang w:val="en-US"/>
        </w:rPr>
        <w:t xml:space="preserve">As a result of </w:t>
      </w:r>
      <w:r w:rsidR="00112423" w:rsidRPr="00DD1B58">
        <w:rPr>
          <w:rFonts w:eastAsia="Arial"/>
          <w:szCs w:val="24"/>
          <w:lang w:val="en-US"/>
        </w:rPr>
        <w:t xml:space="preserve">the </w:t>
      </w:r>
      <w:r w:rsidRPr="00DD1B58">
        <w:rPr>
          <w:rFonts w:eastAsia="Arial"/>
          <w:szCs w:val="24"/>
          <w:lang w:val="en-US"/>
        </w:rPr>
        <w:t>incident</w:t>
      </w:r>
      <w:r w:rsidR="000F7B9B" w:rsidRPr="00DD1B58">
        <w:rPr>
          <w:rFonts w:eastAsia="Arial"/>
          <w:szCs w:val="24"/>
          <w:lang w:val="en-US"/>
        </w:rPr>
        <w:t xml:space="preserve">, Springfields Fuels </w:t>
      </w:r>
      <w:r w:rsidR="00BF0D1B" w:rsidRPr="00DD1B58">
        <w:rPr>
          <w:rFonts w:eastAsia="Arial"/>
          <w:szCs w:val="24"/>
          <w:lang w:val="en-US"/>
        </w:rPr>
        <w:t>Ltd</w:t>
      </w:r>
      <w:r w:rsidR="000F7B9B" w:rsidRPr="00DD1B58">
        <w:rPr>
          <w:rFonts w:eastAsia="Arial"/>
          <w:szCs w:val="24"/>
          <w:lang w:val="en-US"/>
        </w:rPr>
        <w:t xml:space="preserve"> undertook</w:t>
      </w:r>
      <w:r w:rsidRPr="00DD1B58">
        <w:rPr>
          <w:rFonts w:eastAsia="Arial"/>
          <w:szCs w:val="24"/>
          <w:lang w:val="en-US"/>
        </w:rPr>
        <w:t xml:space="preserve"> a fire risk assessment of all fume cupboards where fusion processes </w:t>
      </w:r>
      <w:r w:rsidR="000F7B9B" w:rsidRPr="00DD1B58">
        <w:rPr>
          <w:rFonts w:eastAsia="Arial"/>
          <w:szCs w:val="24"/>
          <w:lang w:val="en-US"/>
        </w:rPr>
        <w:t>took place and made a recommendation</w:t>
      </w:r>
      <w:r w:rsidRPr="00DD1B58">
        <w:rPr>
          <w:rFonts w:eastAsia="Arial"/>
          <w:szCs w:val="24"/>
          <w:lang w:val="en-US"/>
        </w:rPr>
        <w:t xml:space="preserve"> that the duct leading from one of the cupboards was cleaned of oil residues and that future work be carried out in a fume cupboard with the scrubber operational. Other recommendations </w:t>
      </w:r>
      <w:r w:rsidR="007A6BA1" w:rsidRPr="00DD1B58">
        <w:rPr>
          <w:rFonts w:eastAsia="Arial"/>
          <w:szCs w:val="24"/>
          <w:lang w:val="en-US"/>
        </w:rPr>
        <w:t>made included improvements</w:t>
      </w:r>
      <w:r w:rsidRPr="00DD1B58">
        <w:rPr>
          <w:rFonts w:eastAsia="Arial"/>
          <w:szCs w:val="24"/>
          <w:lang w:val="en-US"/>
        </w:rPr>
        <w:t xml:space="preserve"> to the control of transient combustibles, the method of igniting the burner and fitting of ventilation low flow alarms. This process is no longer undertaken on the Springfields site.</w:t>
      </w:r>
    </w:p>
    <w:p w14:paraId="70ABDEAC" w14:textId="282043EC" w:rsidR="00E92393" w:rsidRPr="00DD1B58" w:rsidRDefault="00E92393" w:rsidP="6C4D33C6">
      <w:pPr>
        <w:rPr>
          <w:rFonts w:eastAsia="Arial"/>
          <w:b/>
          <w:szCs w:val="24"/>
          <w:lang w:val="en-US"/>
        </w:rPr>
      </w:pPr>
      <w:r w:rsidRPr="00DD1B58">
        <w:rPr>
          <w:rFonts w:eastAsia="Arial"/>
          <w:b/>
          <w:szCs w:val="24"/>
          <w:lang w:val="en-US"/>
        </w:rPr>
        <w:t xml:space="preserve">Vibrating </w:t>
      </w:r>
      <w:r w:rsidR="00365515" w:rsidRPr="00DD1B58">
        <w:rPr>
          <w:rFonts w:eastAsia="Arial"/>
          <w:b/>
          <w:szCs w:val="24"/>
          <w:lang w:val="en-US"/>
        </w:rPr>
        <w:t>t</w:t>
      </w:r>
      <w:r w:rsidRPr="00DD1B58">
        <w:rPr>
          <w:rFonts w:eastAsia="Arial"/>
          <w:b/>
          <w:szCs w:val="24"/>
          <w:lang w:val="en-US"/>
        </w:rPr>
        <w:t xml:space="preserve">able </w:t>
      </w:r>
      <w:r w:rsidR="00365515" w:rsidRPr="00DD1B58">
        <w:rPr>
          <w:rFonts w:eastAsia="Arial"/>
          <w:b/>
          <w:szCs w:val="24"/>
          <w:lang w:val="en-US"/>
        </w:rPr>
        <w:t>p</w:t>
      </w:r>
      <w:r w:rsidRPr="00DD1B58">
        <w:rPr>
          <w:rFonts w:eastAsia="Arial"/>
          <w:b/>
          <w:szCs w:val="24"/>
          <w:lang w:val="en-US"/>
        </w:rPr>
        <w:t xml:space="preserve">owder </w:t>
      </w:r>
      <w:r w:rsidR="00365515" w:rsidRPr="00DD1B58">
        <w:rPr>
          <w:rFonts w:eastAsia="Arial"/>
          <w:b/>
          <w:szCs w:val="24"/>
          <w:lang w:val="en-US"/>
        </w:rPr>
        <w:t>f</w:t>
      </w:r>
      <w:r w:rsidRPr="00DD1B58">
        <w:rPr>
          <w:rFonts w:eastAsia="Arial"/>
          <w:b/>
          <w:szCs w:val="24"/>
          <w:lang w:val="en-US"/>
        </w:rPr>
        <w:t xml:space="preserve">eeder </w:t>
      </w:r>
      <w:r w:rsidR="00365515" w:rsidRPr="00DD1B58">
        <w:rPr>
          <w:rFonts w:eastAsia="Arial"/>
          <w:b/>
          <w:szCs w:val="24"/>
          <w:lang w:val="en-US"/>
        </w:rPr>
        <w:t>f</w:t>
      </w:r>
      <w:r w:rsidRPr="00DD1B58">
        <w:rPr>
          <w:rFonts w:eastAsia="Arial"/>
          <w:b/>
          <w:szCs w:val="24"/>
          <w:lang w:val="en-US"/>
        </w:rPr>
        <w:t>ire</w:t>
      </w:r>
    </w:p>
    <w:p w14:paraId="33000A23" w14:textId="5776365B" w:rsidR="000F51A6" w:rsidRPr="00DD1B58" w:rsidRDefault="000F51A6" w:rsidP="000F51A6">
      <w:pPr>
        <w:rPr>
          <w:lang w:val="en-US"/>
        </w:rPr>
      </w:pPr>
      <w:r w:rsidRPr="00DD1B58">
        <w:rPr>
          <w:lang w:val="en-US"/>
        </w:rPr>
        <w:t xml:space="preserve">In February 2000 a fire occurred involving a vibrating table powder feeder. </w:t>
      </w:r>
      <w:r w:rsidR="00D3062F" w:rsidRPr="00DD1B58">
        <w:rPr>
          <w:lang w:val="en-US"/>
        </w:rPr>
        <w:t xml:space="preserve">Following </w:t>
      </w:r>
      <w:r w:rsidRPr="00DD1B58">
        <w:rPr>
          <w:lang w:val="en-US"/>
        </w:rPr>
        <w:t>examination of the remaining components of the powder feeder and tests</w:t>
      </w:r>
      <w:r w:rsidR="0037050B" w:rsidRPr="00DD1B58">
        <w:rPr>
          <w:lang w:val="en-US"/>
        </w:rPr>
        <w:t>,</w:t>
      </w:r>
      <w:r w:rsidRPr="00DD1B58">
        <w:rPr>
          <w:lang w:val="en-US"/>
        </w:rPr>
        <w:t xml:space="preserve"> </w:t>
      </w:r>
      <w:r w:rsidR="00D3062F" w:rsidRPr="00DD1B58">
        <w:rPr>
          <w:lang w:val="en-US"/>
        </w:rPr>
        <w:t xml:space="preserve">Springfields Fuels </w:t>
      </w:r>
      <w:r w:rsidR="00BF0D1B" w:rsidRPr="00DD1B58">
        <w:rPr>
          <w:lang w:val="en-US"/>
        </w:rPr>
        <w:t>Ltd</w:t>
      </w:r>
      <w:r w:rsidR="00D3062F" w:rsidRPr="00DD1B58">
        <w:rPr>
          <w:lang w:val="en-US"/>
        </w:rPr>
        <w:t xml:space="preserve"> concluded </w:t>
      </w:r>
      <w:r w:rsidRPr="00DD1B58">
        <w:rPr>
          <w:lang w:val="en-US"/>
        </w:rPr>
        <w:t xml:space="preserve">that the fire was the result of an electrical defect affecting the incoming electrical supply cable. </w:t>
      </w:r>
    </w:p>
    <w:p w14:paraId="278C5852" w14:textId="24AE7389" w:rsidR="000F51A6" w:rsidRPr="00DD1B58" w:rsidRDefault="000A0804" w:rsidP="000F51A6">
      <w:pPr>
        <w:rPr>
          <w:lang w:val="en-US"/>
        </w:rPr>
      </w:pPr>
      <w:r w:rsidRPr="00DD1B58">
        <w:rPr>
          <w:lang w:val="en-US"/>
        </w:rPr>
        <w:t>As the</w:t>
      </w:r>
      <w:r w:rsidR="000F51A6" w:rsidRPr="00DD1B58">
        <w:rPr>
          <w:lang w:val="en-US"/>
        </w:rPr>
        <w:t xml:space="preserve"> unit </w:t>
      </w:r>
      <w:r w:rsidRPr="00DD1B58">
        <w:rPr>
          <w:lang w:val="en-US"/>
        </w:rPr>
        <w:t>had been</w:t>
      </w:r>
      <w:r w:rsidR="000F51A6" w:rsidRPr="00DD1B58">
        <w:rPr>
          <w:lang w:val="en-US"/>
        </w:rPr>
        <w:t xml:space="preserve"> designed to </w:t>
      </w:r>
      <w:r w:rsidRPr="00DD1B58">
        <w:rPr>
          <w:lang w:val="en-US"/>
        </w:rPr>
        <w:t xml:space="preserve">operate under a </w:t>
      </w:r>
      <w:r w:rsidR="000F51A6" w:rsidRPr="00DD1B58">
        <w:rPr>
          <w:lang w:val="en-US"/>
        </w:rPr>
        <w:t>nitrogen inert atmosphere,</w:t>
      </w:r>
      <w:r w:rsidR="002C00FB" w:rsidRPr="00DD1B58">
        <w:rPr>
          <w:lang w:val="en-US"/>
        </w:rPr>
        <w:t xml:space="preserve"> Springfields Fuels </w:t>
      </w:r>
      <w:r w:rsidR="00BF0D1B" w:rsidRPr="00DD1B58">
        <w:rPr>
          <w:lang w:val="en-US"/>
        </w:rPr>
        <w:t>Ltd</w:t>
      </w:r>
      <w:r w:rsidR="002C00FB" w:rsidRPr="00DD1B58">
        <w:rPr>
          <w:lang w:val="en-US"/>
        </w:rPr>
        <w:t xml:space="preserve"> concluded</w:t>
      </w:r>
      <w:r w:rsidR="000F51A6" w:rsidRPr="00DD1B58">
        <w:rPr>
          <w:lang w:val="en-US"/>
        </w:rPr>
        <w:t xml:space="preserve"> that sufficient oxygen must have been present to allow the fire to develop to the extent that it breached the containment of an acrylic sight glass. </w:t>
      </w:r>
      <w:r w:rsidR="00D420A4" w:rsidRPr="00DD1B58">
        <w:rPr>
          <w:lang w:val="en-US"/>
        </w:rPr>
        <w:t xml:space="preserve">Springfields Fuels </w:t>
      </w:r>
      <w:r w:rsidR="00BF0D1B" w:rsidRPr="00DD1B58">
        <w:rPr>
          <w:lang w:val="en-US"/>
        </w:rPr>
        <w:t>Ltd</w:t>
      </w:r>
      <w:r w:rsidR="00D420A4" w:rsidRPr="00DD1B58">
        <w:rPr>
          <w:lang w:val="en-US"/>
        </w:rPr>
        <w:t xml:space="preserve"> </w:t>
      </w:r>
      <w:r w:rsidR="000F51A6" w:rsidRPr="00DD1B58">
        <w:rPr>
          <w:lang w:val="en-US"/>
        </w:rPr>
        <w:t xml:space="preserve">established that an air atmosphere could have been possible within the confines of the neoprene seal where the electrical supply cable was connected to a solenoid vibrator. </w:t>
      </w:r>
      <w:r w:rsidR="008F5E43" w:rsidRPr="00DD1B58">
        <w:rPr>
          <w:lang w:val="en-US"/>
        </w:rPr>
        <w:t xml:space="preserve">There was no </w:t>
      </w:r>
      <w:r w:rsidR="000F51A6" w:rsidRPr="00DD1B58">
        <w:rPr>
          <w:lang w:val="en-US"/>
        </w:rPr>
        <w:t xml:space="preserve">monitoring of the nitrogen environment within the transfer system </w:t>
      </w:r>
      <w:r w:rsidR="00FF1036" w:rsidRPr="00DD1B58">
        <w:rPr>
          <w:lang w:val="en-US"/>
        </w:rPr>
        <w:t xml:space="preserve">this </w:t>
      </w:r>
      <w:r w:rsidR="000F51A6" w:rsidRPr="00DD1B58">
        <w:rPr>
          <w:lang w:val="en-US"/>
        </w:rPr>
        <w:t>equipment was a part</w:t>
      </w:r>
      <w:r w:rsidR="00FF1036" w:rsidRPr="00DD1B58">
        <w:rPr>
          <w:lang w:val="en-US"/>
        </w:rPr>
        <w:t xml:space="preserve"> of.</w:t>
      </w:r>
    </w:p>
    <w:p w14:paraId="4E251569" w14:textId="1E3E8698" w:rsidR="000F51A6" w:rsidRPr="00DD1B58" w:rsidRDefault="008F5E43" w:rsidP="000F51A6">
      <w:pPr>
        <w:rPr>
          <w:lang w:val="en-US"/>
        </w:rPr>
      </w:pPr>
      <w:r w:rsidRPr="00DD1B58">
        <w:rPr>
          <w:lang w:val="en-US"/>
        </w:rPr>
        <w:t xml:space="preserve">Springfields Fuels </w:t>
      </w:r>
      <w:r w:rsidR="00BF0D1B" w:rsidRPr="00DD1B58">
        <w:rPr>
          <w:lang w:val="en-US"/>
        </w:rPr>
        <w:t>Ltd</w:t>
      </w:r>
      <w:r w:rsidRPr="00DD1B58">
        <w:rPr>
          <w:lang w:val="en-US"/>
        </w:rPr>
        <w:t xml:space="preserve"> made the following </w:t>
      </w:r>
      <w:r w:rsidR="00587109" w:rsidRPr="00DD1B58">
        <w:rPr>
          <w:lang w:val="en-US"/>
        </w:rPr>
        <w:t xml:space="preserve">recommendations </w:t>
      </w:r>
      <w:r w:rsidRPr="00DD1B58">
        <w:rPr>
          <w:lang w:val="en-US"/>
        </w:rPr>
        <w:t>following the fire</w:t>
      </w:r>
      <w:r w:rsidR="00587109" w:rsidRPr="00DD1B58">
        <w:rPr>
          <w:lang w:val="en-US"/>
        </w:rPr>
        <w:t>:</w:t>
      </w:r>
    </w:p>
    <w:p w14:paraId="7FB32BE4" w14:textId="5C597392" w:rsidR="00587109" w:rsidRPr="00DD1B58" w:rsidRDefault="00F0695A" w:rsidP="009E0A0A">
      <w:pPr>
        <w:pStyle w:val="Bulletlist1"/>
        <w:rPr>
          <w:lang w:val="en-US"/>
        </w:rPr>
      </w:pPr>
      <w:r w:rsidRPr="00DD1B58">
        <w:rPr>
          <w:lang w:val="en-US"/>
        </w:rPr>
        <w:t>Residual Current Device (</w:t>
      </w:r>
      <w:r w:rsidR="009E0A0A" w:rsidRPr="00DD1B58">
        <w:rPr>
          <w:lang w:val="en-US"/>
        </w:rPr>
        <w:t>RCD</w:t>
      </w:r>
      <w:r w:rsidRPr="00DD1B58">
        <w:rPr>
          <w:lang w:val="en-US"/>
        </w:rPr>
        <w:t>)</w:t>
      </w:r>
      <w:r w:rsidR="009E0A0A" w:rsidRPr="00DD1B58">
        <w:rPr>
          <w:lang w:val="en-US"/>
        </w:rPr>
        <w:t xml:space="preserve"> protection to be provided</w:t>
      </w:r>
      <w:r w:rsidR="00E11457" w:rsidRPr="00DD1B58">
        <w:rPr>
          <w:lang w:val="en-US"/>
        </w:rPr>
        <w:t>;</w:t>
      </w:r>
    </w:p>
    <w:p w14:paraId="17A7C65D" w14:textId="6AE67775" w:rsidR="0020144D" w:rsidRPr="00DD1B58" w:rsidRDefault="00011FFE" w:rsidP="0020144D">
      <w:pPr>
        <w:pStyle w:val="Bulletlist1"/>
        <w:rPr>
          <w:lang w:val="en-US"/>
        </w:rPr>
      </w:pPr>
      <w:r w:rsidRPr="00DD1B58">
        <w:rPr>
          <w:lang w:val="en-US"/>
        </w:rPr>
        <w:t xml:space="preserve">Consideration </w:t>
      </w:r>
      <w:r w:rsidR="00E11457" w:rsidRPr="00DD1B58">
        <w:rPr>
          <w:lang w:val="en-US"/>
        </w:rPr>
        <w:t xml:space="preserve">to </w:t>
      </w:r>
      <w:r w:rsidRPr="00DD1B58">
        <w:rPr>
          <w:lang w:val="en-US"/>
        </w:rPr>
        <w:t xml:space="preserve">be given to using </w:t>
      </w:r>
      <w:r w:rsidR="002129CA" w:rsidRPr="00DD1B58">
        <w:rPr>
          <w:lang w:val="en-US"/>
        </w:rPr>
        <w:t>components within the powder feeder that will not support fire propagation</w:t>
      </w:r>
      <w:r w:rsidR="00E11457" w:rsidRPr="00DD1B58">
        <w:rPr>
          <w:lang w:val="en-US"/>
        </w:rPr>
        <w:t>;</w:t>
      </w:r>
    </w:p>
    <w:p w14:paraId="1A718D11" w14:textId="27BEB6EA" w:rsidR="00011FFE" w:rsidRPr="00DD1B58" w:rsidRDefault="0020144D">
      <w:pPr>
        <w:pStyle w:val="Bulletlist1"/>
        <w:rPr>
          <w:lang w:val="en-US"/>
        </w:rPr>
      </w:pPr>
      <w:r w:rsidRPr="00DD1B58">
        <w:rPr>
          <w:lang w:val="en-US"/>
        </w:rPr>
        <w:t>A</w:t>
      </w:r>
      <w:r w:rsidR="002129CA" w:rsidRPr="00DD1B58">
        <w:rPr>
          <w:lang w:val="en-US"/>
        </w:rPr>
        <w:t xml:space="preserve"> suitable gland </w:t>
      </w:r>
      <w:r w:rsidR="00E11457" w:rsidRPr="00DD1B58">
        <w:rPr>
          <w:lang w:val="en-US"/>
        </w:rPr>
        <w:t xml:space="preserve">to be </w:t>
      </w:r>
      <w:r w:rsidR="002129CA" w:rsidRPr="00DD1B58">
        <w:rPr>
          <w:lang w:val="en-US"/>
        </w:rPr>
        <w:t>fitted</w:t>
      </w:r>
      <w:r w:rsidR="00EC72FD" w:rsidRPr="00DD1B58">
        <w:rPr>
          <w:lang w:val="en-US"/>
        </w:rPr>
        <w:t xml:space="preserve"> </w:t>
      </w:r>
      <w:r w:rsidR="00097B1F" w:rsidRPr="00DD1B58">
        <w:rPr>
          <w:lang w:val="en-US"/>
        </w:rPr>
        <w:t>to the cable where it passed through the table base to prevent damage to the cable caused by vibration</w:t>
      </w:r>
      <w:r w:rsidR="00E11457" w:rsidRPr="00DD1B58">
        <w:rPr>
          <w:lang w:val="en-US"/>
        </w:rPr>
        <w:t>;</w:t>
      </w:r>
    </w:p>
    <w:p w14:paraId="113D9042" w14:textId="17FC6787" w:rsidR="00097B1F" w:rsidRPr="00DD1B58" w:rsidRDefault="00A01DA2" w:rsidP="009E0A0A">
      <w:pPr>
        <w:pStyle w:val="Bulletlist1"/>
        <w:rPr>
          <w:lang w:val="en-US"/>
        </w:rPr>
      </w:pPr>
      <w:r w:rsidRPr="00DD1B58">
        <w:rPr>
          <w:lang w:val="en-US"/>
        </w:rPr>
        <w:t>Consideration</w:t>
      </w:r>
      <w:r w:rsidR="00424C17" w:rsidRPr="00DD1B58">
        <w:rPr>
          <w:lang w:val="en-US"/>
        </w:rPr>
        <w:t xml:space="preserve"> </w:t>
      </w:r>
      <w:r w:rsidR="00E11457" w:rsidRPr="00DD1B58">
        <w:rPr>
          <w:lang w:val="en-US"/>
        </w:rPr>
        <w:t xml:space="preserve">to </w:t>
      </w:r>
      <w:r w:rsidR="00424C17" w:rsidRPr="00DD1B58">
        <w:rPr>
          <w:lang w:val="en-US"/>
        </w:rPr>
        <w:t>be given to continual oxygen moni</w:t>
      </w:r>
      <w:r w:rsidR="00B377A7" w:rsidRPr="00DD1B58">
        <w:rPr>
          <w:lang w:val="en-US"/>
        </w:rPr>
        <w:t>toring</w:t>
      </w:r>
      <w:r w:rsidR="00E11457" w:rsidRPr="00DD1B58">
        <w:rPr>
          <w:lang w:val="en-US"/>
        </w:rPr>
        <w:t>; and</w:t>
      </w:r>
    </w:p>
    <w:p w14:paraId="01D3E79B" w14:textId="4CAE8943" w:rsidR="000A22A6" w:rsidRPr="00DD1B58" w:rsidRDefault="003614B6" w:rsidP="009E0A0A">
      <w:pPr>
        <w:pStyle w:val="Bulletlist1"/>
        <w:rPr>
          <w:lang w:val="en-US"/>
        </w:rPr>
      </w:pPr>
      <w:r w:rsidRPr="00DD1B58">
        <w:rPr>
          <w:lang w:val="en-US"/>
        </w:rPr>
        <w:t>The</w:t>
      </w:r>
      <w:r w:rsidR="003E0B6C" w:rsidRPr="00DD1B58">
        <w:rPr>
          <w:lang w:val="en-US"/>
        </w:rPr>
        <w:t xml:space="preserve"> design of the powder feeder </w:t>
      </w:r>
      <w:r w:rsidR="00E11457" w:rsidRPr="00DD1B58">
        <w:rPr>
          <w:lang w:val="en-US"/>
        </w:rPr>
        <w:t xml:space="preserve">to be </w:t>
      </w:r>
      <w:r w:rsidR="003E0B6C" w:rsidRPr="00DD1B58">
        <w:rPr>
          <w:lang w:val="en-US"/>
        </w:rPr>
        <w:t>modified to allow nitrogen into the inner area containing the solenoid.</w:t>
      </w:r>
    </w:p>
    <w:p w14:paraId="3968DE8E" w14:textId="202E9297" w:rsidR="00106523" w:rsidRPr="00DD1B58" w:rsidRDefault="00106523" w:rsidP="00106523">
      <w:pPr>
        <w:pStyle w:val="Bulletlist1"/>
        <w:numPr>
          <w:ilvl w:val="0"/>
          <w:numId w:val="0"/>
        </w:numPr>
        <w:ind w:left="360" w:hanging="360"/>
        <w:rPr>
          <w:b/>
          <w:lang w:val="en-US"/>
        </w:rPr>
      </w:pPr>
      <w:r w:rsidRPr="00DD1B58">
        <w:rPr>
          <w:b/>
          <w:lang w:val="en-US"/>
        </w:rPr>
        <w:t xml:space="preserve">Electrical </w:t>
      </w:r>
      <w:r w:rsidR="00932B40" w:rsidRPr="00DD1B58">
        <w:rPr>
          <w:b/>
          <w:lang w:val="en-US"/>
        </w:rPr>
        <w:t>c</w:t>
      </w:r>
      <w:r w:rsidRPr="00DD1B58">
        <w:rPr>
          <w:b/>
          <w:lang w:val="en-US"/>
        </w:rPr>
        <w:t xml:space="preserve">ubicle </w:t>
      </w:r>
      <w:r w:rsidR="00932B40" w:rsidRPr="00DD1B58">
        <w:rPr>
          <w:b/>
          <w:lang w:val="en-US"/>
        </w:rPr>
        <w:t>f</w:t>
      </w:r>
      <w:r w:rsidRPr="00DD1B58">
        <w:rPr>
          <w:b/>
          <w:lang w:val="en-US"/>
        </w:rPr>
        <w:t>ire</w:t>
      </w:r>
    </w:p>
    <w:p w14:paraId="072EBEBD" w14:textId="71D2E3A1" w:rsidR="00703FF3" w:rsidRPr="00DD1B58" w:rsidRDefault="00703FF3" w:rsidP="00703FF3">
      <w:pPr>
        <w:autoSpaceDE w:val="0"/>
        <w:autoSpaceDN w:val="0"/>
        <w:adjustRightInd w:val="0"/>
        <w:spacing w:after="0" w:line="240" w:lineRule="auto"/>
        <w:rPr>
          <w:rFonts w:asciiTheme="minorHAnsi" w:hAnsiTheme="minorHAnsi" w:cstheme="minorHAnsi"/>
          <w:color w:val="000000"/>
          <w:szCs w:val="24"/>
          <w:lang w:val="en-US" w:eastAsia="en-GB" w:bidi="ar-SA"/>
        </w:rPr>
      </w:pPr>
      <w:r w:rsidRPr="00DD1B58">
        <w:rPr>
          <w:rFonts w:asciiTheme="minorHAnsi" w:hAnsiTheme="minorHAnsi" w:cstheme="minorHAnsi"/>
          <w:color w:val="000000"/>
          <w:szCs w:val="24"/>
          <w:lang w:val="en-US" w:eastAsia="en-GB" w:bidi="ar-SA"/>
        </w:rPr>
        <w:t>In July 2000 a fire occurred in an electrical cubicle in a switch</w:t>
      </w:r>
      <w:r w:rsidR="00932B40" w:rsidRPr="00DD1B58">
        <w:rPr>
          <w:rFonts w:asciiTheme="minorHAnsi" w:hAnsiTheme="minorHAnsi" w:cstheme="minorHAnsi"/>
          <w:color w:val="000000"/>
          <w:szCs w:val="24"/>
          <w:lang w:val="en-US" w:eastAsia="en-GB" w:bidi="ar-SA"/>
        </w:rPr>
        <w:t xml:space="preserve"> </w:t>
      </w:r>
      <w:r w:rsidRPr="00DD1B58">
        <w:rPr>
          <w:rFonts w:asciiTheme="minorHAnsi" w:hAnsiTheme="minorHAnsi" w:cstheme="minorHAnsi"/>
          <w:color w:val="000000"/>
          <w:szCs w:val="24"/>
          <w:lang w:val="en-US" w:eastAsia="en-GB" w:bidi="ar-SA"/>
        </w:rPr>
        <w:t>room of a building. The fire occurred in a tier of cubicles. The bottom cubicle in which the fire originated served the general building input ventilation fan. The fire was detected by the fire detection system in the switch</w:t>
      </w:r>
      <w:r w:rsidR="00932B40" w:rsidRPr="00DD1B58">
        <w:rPr>
          <w:rFonts w:asciiTheme="minorHAnsi" w:hAnsiTheme="minorHAnsi" w:cstheme="minorHAnsi"/>
          <w:color w:val="000000"/>
          <w:szCs w:val="24"/>
          <w:lang w:val="en-US" w:eastAsia="en-GB" w:bidi="ar-SA"/>
        </w:rPr>
        <w:t xml:space="preserve"> </w:t>
      </w:r>
      <w:r w:rsidRPr="00DD1B58">
        <w:rPr>
          <w:rFonts w:asciiTheme="minorHAnsi" w:hAnsiTheme="minorHAnsi" w:cstheme="minorHAnsi"/>
          <w:color w:val="000000"/>
          <w:szCs w:val="24"/>
          <w:lang w:val="en-US" w:eastAsia="en-GB" w:bidi="ar-SA"/>
        </w:rPr>
        <w:t xml:space="preserve">room. The point of origin was at a connection into a contactor. The cause was a slack connection that resulted in resistive heating and ultimately led to arcing and combustible cable insulation in the cubicle igniting. </w:t>
      </w:r>
    </w:p>
    <w:p w14:paraId="27581847" w14:textId="77777777" w:rsidR="00703FF3" w:rsidRPr="00DD1B58" w:rsidRDefault="00703FF3" w:rsidP="00703FF3">
      <w:pPr>
        <w:autoSpaceDE w:val="0"/>
        <w:autoSpaceDN w:val="0"/>
        <w:adjustRightInd w:val="0"/>
        <w:spacing w:after="0" w:line="240" w:lineRule="auto"/>
        <w:rPr>
          <w:rFonts w:asciiTheme="minorHAnsi" w:hAnsiTheme="minorHAnsi" w:cstheme="minorHAnsi"/>
          <w:color w:val="000000"/>
          <w:szCs w:val="24"/>
          <w:lang w:val="en-US" w:eastAsia="en-GB" w:bidi="ar-SA"/>
        </w:rPr>
      </w:pPr>
    </w:p>
    <w:p w14:paraId="79A8176F" w14:textId="6B7D2458" w:rsidR="00106523" w:rsidRPr="00DD1B58" w:rsidRDefault="00160E8E" w:rsidP="00703FF3">
      <w:pPr>
        <w:pStyle w:val="Bulletlist1"/>
        <w:numPr>
          <w:ilvl w:val="0"/>
          <w:numId w:val="0"/>
        </w:numPr>
        <w:ind w:left="360" w:hanging="360"/>
        <w:rPr>
          <w:rFonts w:asciiTheme="minorHAnsi" w:hAnsiTheme="minorHAnsi" w:cstheme="minorHAnsi"/>
          <w:noProof w:val="0"/>
          <w:color w:val="000000"/>
          <w:szCs w:val="24"/>
          <w:lang w:val="en-US" w:eastAsia="en-GB" w:bidi="ar-SA"/>
        </w:rPr>
      </w:pPr>
      <w:r w:rsidRPr="00DD1B58">
        <w:rPr>
          <w:lang w:val="en-US"/>
        </w:rPr>
        <w:t xml:space="preserve">Springfields Fuels </w:t>
      </w:r>
      <w:r w:rsidR="00BF0D1B" w:rsidRPr="00DD1B58">
        <w:rPr>
          <w:lang w:val="en-US"/>
        </w:rPr>
        <w:t>Ltd</w:t>
      </w:r>
      <w:r w:rsidRPr="00DD1B58">
        <w:rPr>
          <w:lang w:val="en-US"/>
        </w:rPr>
        <w:t xml:space="preserve"> </w:t>
      </w:r>
      <w:r w:rsidR="00A71960" w:rsidRPr="00DD1B58">
        <w:rPr>
          <w:lang w:val="en-US"/>
        </w:rPr>
        <w:t xml:space="preserve">listed the following </w:t>
      </w:r>
      <w:r w:rsidR="00A71960" w:rsidRPr="00DD1B58">
        <w:rPr>
          <w:rFonts w:asciiTheme="minorHAnsi" w:hAnsiTheme="minorHAnsi" w:cstheme="minorHAnsi"/>
          <w:noProof w:val="0"/>
          <w:color w:val="000000"/>
          <w:szCs w:val="24"/>
          <w:lang w:val="en-US" w:eastAsia="en-GB" w:bidi="ar-SA"/>
        </w:rPr>
        <w:t>r</w:t>
      </w:r>
      <w:r w:rsidR="00703FF3" w:rsidRPr="00DD1B58">
        <w:rPr>
          <w:rFonts w:asciiTheme="minorHAnsi" w:hAnsiTheme="minorHAnsi" w:cstheme="minorHAnsi"/>
          <w:noProof w:val="0"/>
          <w:color w:val="000000"/>
          <w:szCs w:val="24"/>
          <w:lang w:val="en-US" w:eastAsia="en-GB" w:bidi="ar-SA"/>
        </w:rPr>
        <w:t>ecommendations</w:t>
      </w:r>
      <w:r w:rsidR="00A71960" w:rsidRPr="00DD1B58">
        <w:rPr>
          <w:rFonts w:asciiTheme="minorHAnsi" w:hAnsiTheme="minorHAnsi" w:cstheme="minorHAnsi"/>
          <w:noProof w:val="0"/>
          <w:color w:val="000000"/>
          <w:szCs w:val="24"/>
          <w:lang w:val="en-US" w:eastAsia="en-GB" w:bidi="ar-SA"/>
        </w:rPr>
        <w:t>:</w:t>
      </w:r>
    </w:p>
    <w:p w14:paraId="4097EDA4" w14:textId="26C6EEB2" w:rsidR="00DA277B" w:rsidRPr="00DD1B58" w:rsidRDefault="00DA277B" w:rsidP="00DA277B">
      <w:pPr>
        <w:pStyle w:val="Bulletlist1"/>
        <w:rPr>
          <w:lang w:val="en-US"/>
        </w:rPr>
      </w:pPr>
      <w:r w:rsidRPr="00DD1B58">
        <w:rPr>
          <w:lang w:val="en-US"/>
        </w:rPr>
        <w:t xml:space="preserve">Connections to be periodically checked to </w:t>
      </w:r>
      <w:r w:rsidR="00DC2D54" w:rsidRPr="00DD1B58">
        <w:rPr>
          <w:lang w:val="en-US"/>
        </w:rPr>
        <w:t>confirm that they are tight</w:t>
      </w:r>
      <w:r w:rsidR="00932B40" w:rsidRPr="00DD1B58">
        <w:rPr>
          <w:lang w:val="en-US"/>
        </w:rPr>
        <w:t>;</w:t>
      </w:r>
    </w:p>
    <w:p w14:paraId="1F849136" w14:textId="32E2F09D" w:rsidR="00FB04EF" w:rsidRPr="00DD1B58" w:rsidRDefault="00DC2D54" w:rsidP="003F4B59">
      <w:pPr>
        <w:pStyle w:val="Bulletlist1"/>
        <w:rPr>
          <w:rFonts w:asciiTheme="minorHAnsi" w:hAnsiTheme="minorHAnsi" w:cstheme="minorHAnsi"/>
          <w:szCs w:val="24"/>
          <w:lang w:val="en-US"/>
        </w:rPr>
      </w:pPr>
      <w:r w:rsidRPr="00DD1B58">
        <w:rPr>
          <w:lang w:val="en-US"/>
        </w:rPr>
        <w:t xml:space="preserve">Consideration be given to firestopping </w:t>
      </w:r>
      <w:r w:rsidR="006A249B" w:rsidRPr="00DD1B58">
        <w:rPr>
          <w:lang w:val="en-US"/>
        </w:rPr>
        <w:t xml:space="preserve">open cable penetrations between cubicles and </w:t>
      </w:r>
      <w:r w:rsidR="006A249B" w:rsidRPr="00DD1B58">
        <w:rPr>
          <w:rFonts w:asciiTheme="minorHAnsi" w:hAnsiTheme="minorHAnsi" w:cstheme="minorBidi"/>
          <w:lang w:val="en-US"/>
        </w:rPr>
        <w:t>at the top of cubicles to prevent fire spread in the event of fire</w:t>
      </w:r>
      <w:r w:rsidR="00932B40" w:rsidRPr="00DD1B58">
        <w:rPr>
          <w:rFonts w:asciiTheme="minorHAnsi" w:hAnsiTheme="minorHAnsi" w:cstheme="minorBidi"/>
          <w:lang w:val="en-US"/>
        </w:rPr>
        <w:t>; and</w:t>
      </w:r>
    </w:p>
    <w:p w14:paraId="3BC375EC" w14:textId="6A6E90CA" w:rsidR="003F4B59" w:rsidRPr="00DD1B58" w:rsidRDefault="006A249B" w:rsidP="003F4B59">
      <w:pPr>
        <w:pStyle w:val="Bulletlist1"/>
        <w:rPr>
          <w:rFonts w:asciiTheme="minorHAnsi" w:hAnsiTheme="minorHAnsi" w:cstheme="minorHAnsi"/>
          <w:szCs w:val="24"/>
          <w:lang w:val="en-US"/>
        </w:rPr>
      </w:pPr>
      <w:r w:rsidRPr="00DD1B58">
        <w:rPr>
          <w:rFonts w:asciiTheme="minorHAnsi" w:hAnsiTheme="minorHAnsi" w:cstheme="minorBidi"/>
          <w:lang w:val="en-US"/>
        </w:rPr>
        <w:t xml:space="preserve">Procedures for </w:t>
      </w:r>
      <w:r w:rsidR="003F4B59" w:rsidRPr="00DD1B58">
        <w:rPr>
          <w:rFonts w:asciiTheme="minorHAnsi" w:hAnsiTheme="minorHAnsi" w:cstheme="minorBidi"/>
          <w:lang w:val="en-US"/>
        </w:rPr>
        <w:t>fighting electrical cubicle fires to be reviewed in the knowledge of the significant number of carbon dioxide extinguishers required to control the fire and their availability within the building</w:t>
      </w:r>
      <w:r w:rsidR="00932B40" w:rsidRPr="00DD1B58">
        <w:rPr>
          <w:rFonts w:asciiTheme="minorHAnsi" w:hAnsiTheme="minorHAnsi" w:cstheme="minorBidi"/>
          <w:lang w:val="en-US"/>
        </w:rPr>
        <w:t>.</w:t>
      </w:r>
    </w:p>
    <w:p w14:paraId="548FA624" w14:textId="2EB589E6" w:rsidR="7FE50804" w:rsidRPr="00DD1B58" w:rsidRDefault="7FE50804" w:rsidP="00313793">
      <w:pPr>
        <w:rPr>
          <w:b/>
          <w:lang w:val="en-US"/>
        </w:rPr>
      </w:pPr>
      <w:r w:rsidRPr="00DD1B58">
        <w:rPr>
          <w:b/>
          <w:lang w:val="en-US"/>
        </w:rPr>
        <w:t xml:space="preserve">Shredder </w:t>
      </w:r>
      <w:r w:rsidR="00932B40" w:rsidRPr="00DD1B58">
        <w:rPr>
          <w:b/>
          <w:lang w:val="en-US"/>
        </w:rPr>
        <w:t>f</w:t>
      </w:r>
      <w:r w:rsidRPr="00DD1B58">
        <w:rPr>
          <w:b/>
          <w:lang w:val="en-US"/>
        </w:rPr>
        <w:t>ire</w:t>
      </w:r>
    </w:p>
    <w:p w14:paraId="25E590E4" w14:textId="5C7B1AF5" w:rsidR="7FE50804" w:rsidRPr="00DD1B58" w:rsidRDefault="7FE50804" w:rsidP="6C4D33C6">
      <w:pPr>
        <w:rPr>
          <w:lang w:val="en-US"/>
        </w:rPr>
      </w:pPr>
      <w:r w:rsidRPr="00DD1B58">
        <w:rPr>
          <w:rFonts w:eastAsia="Arial"/>
          <w:szCs w:val="24"/>
          <w:lang w:val="en-US"/>
        </w:rPr>
        <w:t xml:space="preserve">In April 2006 a fire occurred due to ignition of oil mist in a shredder ignited by sparks due to rapid oxidation of </w:t>
      </w:r>
      <w:r w:rsidR="00932B40" w:rsidRPr="00DD1B58">
        <w:rPr>
          <w:rFonts w:eastAsia="Arial"/>
          <w:szCs w:val="24"/>
          <w:lang w:val="en-US"/>
        </w:rPr>
        <w:t>d</w:t>
      </w:r>
      <w:r w:rsidRPr="00DD1B58">
        <w:rPr>
          <w:rFonts w:eastAsia="Arial"/>
          <w:szCs w:val="24"/>
          <w:lang w:val="en-US"/>
        </w:rPr>
        <w:t xml:space="preserve">epleted </w:t>
      </w:r>
      <w:r w:rsidR="00932B40" w:rsidRPr="00DD1B58">
        <w:rPr>
          <w:rFonts w:eastAsia="Arial"/>
          <w:szCs w:val="24"/>
          <w:lang w:val="en-US"/>
        </w:rPr>
        <w:t>u</w:t>
      </w:r>
      <w:r w:rsidRPr="00DD1B58">
        <w:rPr>
          <w:rFonts w:eastAsia="Arial"/>
          <w:szCs w:val="24"/>
          <w:lang w:val="en-US"/>
        </w:rPr>
        <w:t xml:space="preserve">ranium (DU) swarf during shredding. </w:t>
      </w:r>
      <w:r w:rsidR="00692C3F" w:rsidRPr="00DD1B58">
        <w:rPr>
          <w:lang w:val="en-US"/>
        </w:rPr>
        <w:t xml:space="preserve">Springfields Fuels </w:t>
      </w:r>
      <w:r w:rsidR="00BF0D1B" w:rsidRPr="00DD1B58">
        <w:rPr>
          <w:lang w:val="en-US"/>
        </w:rPr>
        <w:t>Ltd</w:t>
      </w:r>
      <w:r w:rsidR="00692C3F" w:rsidRPr="00DD1B58">
        <w:rPr>
          <w:lang w:val="en-US"/>
        </w:rPr>
        <w:t xml:space="preserve"> </w:t>
      </w:r>
      <w:r w:rsidR="006D798B" w:rsidRPr="00DD1B58">
        <w:rPr>
          <w:lang w:val="en-US"/>
        </w:rPr>
        <w:t>reports that</w:t>
      </w:r>
      <w:r w:rsidR="00692C3F" w:rsidRPr="00DD1B58">
        <w:rPr>
          <w:lang w:val="en-US"/>
        </w:rPr>
        <w:t xml:space="preserve"> the </w:t>
      </w:r>
      <w:r w:rsidRPr="00DD1B58">
        <w:rPr>
          <w:rFonts w:eastAsia="Arial"/>
          <w:szCs w:val="24"/>
          <w:lang w:val="en-US"/>
        </w:rPr>
        <w:t>swarf had been exposed to atmospheric oxygen due to failure or reduced flow of coolant oil. The Risk Analysis Process (PMP</w:t>
      </w:r>
      <w:r w:rsidR="0035711F" w:rsidRPr="00DD1B58">
        <w:rPr>
          <w:rFonts w:eastAsia="Arial"/>
          <w:szCs w:val="24"/>
          <w:lang w:val="en-US"/>
        </w:rPr>
        <w:t>s</w:t>
      </w:r>
      <w:r w:rsidRPr="00DD1B58">
        <w:rPr>
          <w:rFonts w:eastAsia="Arial"/>
          <w:szCs w:val="24"/>
          <w:lang w:val="en-US"/>
        </w:rPr>
        <w:t xml:space="preserve"> and Risk Assessments) did not identify the fire hazard. </w:t>
      </w:r>
      <w:r w:rsidR="00692C3F" w:rsidRPr="00DD1B58">
        <w:rPr>
          <w:lang w:val="en-US"/>
        </w:rPr>
        <w:t xml:space="preserve">Springfields Fuels </w:t>
      </w:r>
      <w:r w:rsidR="00BF0D1B" w:rsidRPr="00DD1B58">
        <w:rPr>
          <w:lang w:val="en-US"/>
        </w:rPr>
        <w:t>Ltd</w:t>
      </w:r>
      <w:r w:rsidR="00692C3F" w:rsidRPr="00DD1B58">
        <w:rPr>
          <w:lang w:val="en-US"/>
        </w:rPr>
        <w:t xml:space="preserve"> </w:t>
      </w:r>
      <w:r w:rsidRPr="00DD1B58">
        <w:rPr>
          <w:rFonts w:eastAsia="Arial"/>
          <w:szCs w:val="24"/>
          <w:lang w:val="en-US"/>
        </w:rPr>
        <w:t>recognise</w:t>
      </w:r>
      <w:r w:rsidR="0032102E" w:rsidRPr="00DD1B58">
        <w:rPr>
          <w:rFonts w:eastAsia="Arial"/>
          <w:szCs w:val="24"/>
          <w:lang w:val="en-US"/>
        </w:rPr>
        <w:t>s</w:t>
      </w:r>
      <w:r w:rsidRPr="00DD1B58">
        <w:rPr>
          <w:rFonts w:eastAsia="Arial"/>
          <w:szCs w:val="24"/>
          <w:lang w:val="en-US"/>
        </w:rPr>
        <w:t xml:space="preserve"> that it was possible that other equipment on the Springfields site may be generating oil mists and </w:t>
      </w:r>
      <w:r w:rsidR="002F328E" w:rsidRPr="00DD1B58">
        <w:rPr>
          <w:rFonts w:eastAsia="Arial"/>
          <w:szCs w:val="24"/>
          <w:lang w:val="en-US"/>
        </w:rPr>
        <w:t>undertook a</w:t>
      </w:r>
      <w:r w:rsidRPr="00DD1B58">
        <w:rPr>
          <w:rFonts w:eastAsia="Arial"/>
          <w:szCs w:val="24"/>
          <w:lang w:val="en-US"/>
        </w:rPr>
        <w:t xml:space="preserve"> review. </w:t>
      </w:r>
      <w:r w:rsidR="002F328E" w:rsidRPr="00DD1B58">
        <w:rPr>
          <w:lang w:val="en-US"/>
        </w:rPr>
        <w:t xml:space="preserve">Springfields Fuels </w:t>
      </w:r>
      <w:r w:rsidR="00BF0D1B" w:rsidRPr="00DD1B58">
        <w:rPr>
          <w:lang w:val="en-US"/>
        </w:rPr>
        <w:t>Ltd</w:t>
      </w:r>
      <w:r w:rsidR="000F796E" w:rsidRPr="00DD1B58">
        <w:rPr>
          <w:lang w:val="en-US"/>
        </w:rPr>
        <w:t>’s</w:t>
      </w:r>
      <w:r w:rsidR="002F328E" w:rsidRPr="00DD1B58">
        <w:rPr>
          <w:lang w:val="en-US"/>
        </w:rPr>
        <w:t xml:space="preserve"> reported learning</w:t>
      </w:r>
      <w:r w:rsidR="002F328E" w:rsidRPr="00DD1B58">
        <w:rPr>
          <w:rFonts w:eastAsia="Arial"/>
          <w:szCs w:val="24"/>
          <w:lang w:val="en-US"/>
        </w:rPr>
        <w:t xml:space="preserve"> </w:t>
      </w:r>
      <w:r w:rsidRPr="00DD1B58">
        <w:rPr>
          <w:rFonts w:eastAsia="Arial"/>
          <w:szCs w:val="24"/>
          <w:lang w:val="en-US"/>
        </w:rPr>
        <w:t xml:space="preserve">included the acknowledgement that safety cases needed to consider the possibility of oil mists, in the same way as explosion hazards are considered. </w:t>
      </w:r>
      <w:r w:rsidR="002F328E" w:rsidRPr="00DD1B58">
        <w:rPr>
          <w:rFonts w:eastAsia="Arial"/>
          <w:szCs w:val="24"/>
          <w:lang w:val="en-US"/>
        </w:rPr>
        <w:t xml:space="preserve">It raised an </w:t>
      </w:r>
      <w:r w:rsidRPr="00DD1B58">
        <w:rPr>
          <w:rFonts w:eastAsia="Arial"/>
          <w:szCs w:val="24"/>
          <w:lang w:val="en-US"/>
        </w:rPr>
        <w:t>action</w:t>
      </w:r>
      <w:r w:rsidR="002F328E" w:rsidRPr="00DD1B58">
        <w:rPr>
          <w:rFonts w:eastAsia="Arial"/>
          <w:szCs w:val="24"/>
          <w:lang w:val="en-US"/>
        </w:rPr>
        <w:t xml:space="preserve"> so </w:t>
      </w:r>
      <w:r w:rsidRPr="00DD1B58">
        <w:rPr>
          <w:rFonts w:eastAsia="Arial"/>
          <w:szCs w:val="24"/>
          <w:lang w:val="en-US"/>
        </w:rPr>
        <w:t>that</w:t>
      </w:r>
      <w:r w:rsidR="002F328E" w:rsidRPr="00DD1B58">
        <w:rPr>
          <w:rFonts w:eastAsia="Arial"/>
          <w:szCs w:val="24"/>
          <w:lang w:val="en-US"/>
        </w:rPr>
        <w:t>,</w:t>
      </w:r>
      <w:r w:rsidRPr="00DD1B58">
        <w:rPr>
          <w:rFonts w:eastAsia="Arial"/>
          <w:szCs w:val="24"/>
          <w:lang w:val="en-US"/>
        </w:rPr>
        <w:t xml:space="preserve"> prior to processing operations, a search should be performed of all possible information to identify details and hazards</w:t>
      </w:r>
      <w:r w:rsidR="000F796E" w:rsidRPr="00DD1B58">
        <w:rPr>
          <w:rFonts w:eastAsia="Arial"/>
          <w:szCs w:val="24"/>
          <w:lang w:val="en-US"/>
        </w:rPr>
        <w:t>,</w:t>
      </w:r>
      <w:r w:rsidRPr="00DD1B58">
        <w:rPr>
          <w:rFonts w:eastAsia="Arial"/>
          <w:szCs w:val="24"/>
          <w:lang w:val="en-US"/>
        </w:rPr>
        <w:t xml:space="preserve"> in particular for historic residues which may have fire risks associated with them that are poorly recorded. </w:t>
      </w:r>
    </w:p>
    <w:p w14:paraId="72F43E30" w14:textId="77777777" w:rsidR="6EFDD43C" w:rsidRPr="00DD1B58" w:rsidRDefault="6EFDD43C" w:rsidP="00BE590C">
      <w:pPr>
        <w:pStyle w:val="Heading4"/>
        <w:rPr>
          <w:lang w:val="en-US"/>
        </w:rPr>
      </w:pPr>
      <w:r w:rsidRPr="00DD1B58">
        <w:rPr>
          <w:lang w:val="en-US"/>
        </w:rPr>
        <w:t>Regulator’s assessment and conclusions on fire safety analyses</w:t>
      </w:r>
    </w:p>
    <w:p w14:paraId="1F029C98" w14:textId="77777777" w:rsidR="6EFDD43C" w:rsidRPr="00DD1B58" w:rsidRDefault="6EFDD43C" w:rsidP="00BE590C">
      <w:pPr>
        <w:pStyle w:val="Heading4"/>
        <w:numPr>
          <w:ilvl w:val="4"/>
          <w:numId w:val="3"/>
        </w:numPr>
        <w:rPr>
          <w:lang w:val="en-US"/>
        </w:rPr>
      </w:pPr>
      <w:r w:rsidRPr="00DD1B58">
        <w:rPr>
          <w:lang w:val="en-US"/>
        </w:rPr>
        <w:t>Overview of strengths and weaknesses identified by the regulator</w:t>
      </w:r>
    </w:p>
    <w:p w14:paraId="423E2F16" w14:textId="77777777" w:rsidR="00F94DC5" w:rsidRPr="00DD1B58" w:rsidRDefault="00F94DC5" w:rsidP="00F94DC5">
      <w:pPr>
        <w:rPr>
          <w:b/>
          <w:lang w:val="en-US"/>
        </w:rPr>
      </w:pPr>
      <w:r w:rsidRPr="00DD1B58">
        <w:rPr>
          <w:b/>
          <w:lang w:val="en-US"/>
        </w:rPr>
        <w:t>Strengths</w:t>
      </w:r>
    </w:p>
    <w:p w14:paraId="66A13DD9" w14:textId="38E41A92" w:rsidR="00F94DC5" w:rsidRPr="00DD1B58" w:rsidRDefault="00F94DC5" w:rsidP="00F94DC5">
      <w:pPr>
        <w:rPr>
          <w:b/>
          <w:lang w:val="en-US"/>
        </w:rPr>
      </w:pPr>
      <w:r w:rsidRPr="00DD1B58">
        <w:rPr>
          <w:lang w:val="en-US"/>
        </w:rPr>
        <w:tab/>
      </w:r>
      <w:r w:rsidR="00285874" w:rsidRPr="00DD1B58">
        <w:rPr>
          <w:b/>
          <w:lang w:val="en-US"/>
        </w:rPr>
        <w:t xml:space="preserve">Fire </w:t>
      </w:r>
      <w:r w:rsidR="000F796E" w:rsidRPr="00DD1B58">
        <w:rPr>
          <w:b/>
          <w:lang w:val="en-US"/>
        </w:rPr>
        <w:t>s</w:t>
      </w:r>
      <w:r w:rsidR="00285874" w:rsidRPr="00DD1B58">
        <w:rPr>
          <w:b/>
          <w:lang w:val="en-US"/>
        </w:rPr>
        <w:t xml:space="preserve">afety </w:t>
      </w:r>
      <w:r w:rsidR="000F796E" w:rsidRPr="00DD1B58">
        <w:rPr>
          <w:b/>
          <w:lang w:val="en-US"/>
        </w:rPr>
        <w:t>a</w:t>
      </w:r>
      <w:r w:rsidR="00F965A2" w:rsidRPr="00DD1B58">
        <w:rPr>
          <w:b/>
          <w:lang w:val="en-US"/>
        </w:rPr>
        <w:t xml:space="preserve">nalysis </w:t>
      </w:r>
      <w:r w:rsidR="000F796E" w:rsidRPr="00DD1B58">
        <w:rPr>
          <w:b/>
          <w:lang w:val="en-US"/>
        </w:rPr>
        <w:t>m</w:t>
      </w:r>
      <w:r w:rsidR="00F965A2" w:rsidRPr="00DD1B58">
        <w:rPr>
          <w:b/>
          <w:lang w:val="en-US"/>
        </w:rPr>
        <w:t>ethodology</w:t>
      </w:r>
    </w:p>
    <w:p w14:paraId="52CEAC63" w14:textId="6A75D832" w:rsidR="00F965A2" w:rsidRPr="00DD1B58" w:rsidRDefault="00D33BDA" w:rsidP="00F94DC5">
      <w:pPr>
        <w:rPr>
          <w:lang w:val="en-US"/>
        </w:rPr>
      </w:pPr>
      <w:r w:rsidRPr="00DD1B58">
        <w:rPr>
          <w:lang w:val="en-US"/>
        </w:rPr>
        <w:t>The licensee has identified</w:t>
      </w:r>
      <w:r w:rsidR="00A4076E" w:rsidRPr="00DD1B58">
        <w:rPr>
          <w:lang w:val="en-US"/>
        </w:rPr>
        <w:t xml:space="preserve"> </w:t>
      </w:r>
      <w:r w:rsidRPr="00DD1B58">
        <w:rPr>
          <w:lang w:val="en-US"/>
        </w:rPr>
        <w:t xml:space="preserve">recognised </w:t>
      </w:r>
      <w:r w:rsidR="00A4076E" w:rsidRPr="00DD1B58">
        <w:rPr>
          <w:lang w:val="en-US"/>
        </w:rPr>
        <w:t xml:space="preserve">and relevant </w:t>
      </w:r>
      <w:r w:rsidRPr="00DD1B58">
        <w:rPr>
          <w:lang w:val="en-US"/>
        </w:rPr>
        <w:t xml:space="preserve">standards </w:t>
      </w:r>
      <w:r w:rsidR="00D53FF9" w:rsidRPr="00DD1B58">
        <w:rPr>
          <w:lang w:val="en-US"/>
        </w:rPr>
        <w:t xml:space="preserve">as the basis of </w:t>
      </w:r>
      <w:r w:rsidR="00A4076E" w:rsidRPr="00DD1B58">
        <w:rPr>
          <w:lang w:val="en-US"/>
        </w:rPr>
        <w:t xml:space="preserve">its </w:t>
      </w:r>
      <w:r w:rsidR="00D53FF9" w:rsidRPr="00DD1B58">
        <w:rPr>
          <w:lang w:val="en-US"/>
        </w:rPr>
        <w:t>fire safety analysis. This includes IAEA</w:t>
      </w:r>
      <w:r w:rsidR="00E3146B" w:rsidRPr="00DD1B58">
        <w:rPr>
          <w:lang w:val="en-US"/>
        </w:rPr>
        <w:t xml:space="preserve"> SSR-4 </w:t>
      </w:r>
      <w:sdt>
        <w:sdtPr>
          <w:rPr>
            <w:lang w:val="en-US"/>
          </w:rPr>
          <w:id w:val="1591971210"/>
          <w:citation/>
        </w:sdtPr>
        <w:sdtContent>
          <w:r w:rsidR="000A01AE" w:rsidRPr="00DD1B58">
            <w:rPr>
              <w:lang w:val="en-US"/>
            </w:rPr>
            <w:fldChar w:fldCharType="begin"/>
          </w:r>
          <w:r w:rsidR="000A01AE" w:rsidRPr="00DD1B58">
            <w:rPr>
              <w:lang w:val="en-US"/>
            </w:rPr>
            <w:instrText xml:space="preserve"> CITATION INT17 \l 2057 </w:instrText>
          </w:r>
          <w:r w:rsidR="000A01AE" w:rsidRPr="00DD1B58">
            <w:rPr>
              <w:lang w:val="en-US"/>
            </w:rPr>
            <w:fldChar w:fldCharType="separate"/>
          </w:r>
          <w:r w:rsidR="00DF47DA" w:rsidRPr="00DF47DA">
            <w:rPr>
              <w:noProof/>
              <w:lang w:val="en-US"/>
            </w:rPr>
            <w:t>[19]</w:t>
          </w:r>
          <w:r w:rsidR="000A01AE" w:rsidRPr="00DD1B58">
            <w:rPr>
              <w:lang w:val="en-US"/>
            </w:rPr>
            <w:fldChar w:fldCharType="end"/>
          </w:r>
        </w:sdtContent>
      </w:sdt>
      <w:r w:rsidR="000A01AE" w:rsidRPr="00DD1B58">
        <w:rPr>
          <w:lang w:val="en-US"/>
        </w:rPr>
        <w:t xml:space="preserve"> </w:t>
      </w:r>
      <w:r w:rsidR="002B6D0E" w:rsidRPr="00DD1B58">
        <w:rPr>
          <w:lang w:val="en-US"/>
        </w:rPr>
        <w:t xml:space="preserve">which contains </w:t>
      </w:r>
      <w:r w:rsidR="003745F0" w:rsidRPr="00DD1B58">
        <w:rPr>
          <w:lang w:val="en-US"/>
        </w:rPr>
        <w:t xml:space="preserve">specific requirements </w:t>
      </w:r>
      <w:r w:rsidR="007F76AA" w:rsidRPr="00DD1B58">
        <w:rPr>
          <w:lang w:val="en-US"/>
        </w:rPr>
        <w:t>for fire hazard assessment</w:t>
      </w:r>
      <w:r w:rsidR="00A4076E" w:rsidRPr="00DD1B58">
        <w:rPr>
          <w:lang w:val="en-US"/>
        </w:rPr>
        <w:t xml:space="preserve"> in fuel cycle facilities</w:t>
      </w:r>
      <w:r w:rsidR="007F76AA" w:rsidRPr="00DD1B58">
        <w:rPr>
          <w:lang w:val="en-US"/>
        </w:rPr>
        <w:t>.</w:t>
      </w:r>
      <w:r w:rsidR="005564C6" w:rsidRPr="00DD1B58">
        <w:rPr>
          <w:lang w:val="en-US"/>
        </w:rPr>
        <w:t xml:space="preserve"> This</w:t>
      </w:r>
      <w:r w:rsidR="00CC0D2B" w:rsidRPr="00DD1B58">
        <w:rPr>
          <w:lang w:val="en-US"/>
        </w:rPr>
        <w:t xml:space="preserve"> </w:t>
      </w:r>
      <w:r w:rsidR="00A4076E" w:rsidRPr="00DD1B58">
        <w:rPr>
          <w:lang w:val="en-US"/>
        </w:rPr>
        <w:t xml:space="preserve">IAEA standard </w:t>
      </w:r>
      <w:r w:rsidR="00CC0D2B" w:rsidRPr="00DD1B58">
        <w:rPr>
          <w:lang w:val="en-US"/>
        </w:rPr>
        <w:t>is aligned with ONR</w:t>
      </w:r>
      <w:r w:rsidR="00A4076E" w:rsidRPr="00DD1B58">
        <w:rPr>
          <w:lang w:val="en-US"/>
        </w:rPr>
        <w:t xml:space="preserve">’s </w:t>
      </w:r>
      <w:r w:rsidR="00CC0D2B" w:rsidRPr="00DD1B58">
        <w:rPr>
          <w:lang w:val="en-US"/>
        </w:rPr>
        <w:t xml:space="preserve">Technical Assessment Guide </w:t>
      </w:r>
      <w:r w:rsidR="00CE7E3F" w:rsidRPr="00DD1B58">
        <w:rPr>
          <w:lang w:val="en-US"/>
        </w:rPr>
        <w:t xml:space="preserve">on Internal Hazards </w:t>
      </w:r>
      <w:sdt>
        <w:sdtPr>
          <w:rPr>
            <w:lang w:val="en-US"/>
          </w:rPr>
          <w:id w:val="1077012883"/>
          <w:citation/>
        </w:sdtPr>
        <w:sdtContent>
          <w:r w:rsidR="00C20971" w:rsidRPr="00DD1B58">
            <w:rPr>
              <w:lang w:val="en-US"/>
            </w:rPr>
            <w:fldChar w:fldCharType="begin"/>
          </w:r>
          <w:r w:rsidR="00C20971" w:rsidRPr="00DD1B58">
            <w:rPr>
              <w:lang w:val="en-US"/>
            </w:rPr>
            <w:instrText xml:space="preserve"> CITATION ONR4 \l 2057 </w:instrText>
          </w:r>
          <w:r w:rsidR="00C20971" w:rsidRPr="00DD1B58">
            <w:rPr>
              <w:lang w:val="en-US"/>
            </w:rPr>
            <w:fldChar w:fldCharType="separate"/>
          </w:r>
          <w:r w:rsidR="00DF47DA" w:rsidRPr="00DF47DA">
            <w:rPr>
              <w:noProof/>
              <w:lang w:val="en-US"/>
            </w:rPr>
            <w:t>[16]</w:t>
          </w:r>
          <w:r w:rsidR="00C20971" w:rsidRPr="00DD1B58">
            <w:rPr>
              <w:lang w:val="en-US"/>
            </w:rPr>
            <w:fldChar w:fldCharType="end"/>
          </w:r>
        </w:sdtContent>
      </w:sdt>
      <w:r w:rsidR="00C20971" w:rsidRPr="00DD1B58">
        <w:rPr>
          <w:lang w:val="en-US"/>
        </w:rPr>
        <w:t xml:space="preserve">. </w:t>
      </w:r>
      <w:r w:rsidR="004A7E8C" w:rsidRPr="00DD1B58">
        <w:rPr>
          <w:lang w:val="en-US"/>
        </w:rPr>
        <w:t>The licensee’s consideration of f</w:t>
      </w:r>
      <w:r w:rsidR="00367FC6" w:rsidRPr="00DD1B58">
        <w:rPr>
          <w:lang w:val="en-US"/>
        </w:rPr>
        <w:t>ire frequencies</w:t>
      </w:r>
      <w:r w:rsidR="00B50690" w:rsidRPr="00DD1B58">
        <w:rPr>
          <w:lang w:val="en-US"/>
        </w:rPr>
        <w:t>, utilising</w:t>
      </w:r>
      <w:r w:rsidR="00367FC6" w:rsidRPr="00DD1B58">
        <w:rPr>
          <w:lang w:val="en-US"/>
        </w:rPr>
        <w:t xml:space="preserve"> </w:t>
      </w:r>
      <w:r w:rsidR="00B50690" w:rsidRPr="00DD1B58">
        <w:rPr>
          <w:lang w:val="en-US"/>
        </w:rPr>
        <w:t xml:space="preserve">guidance from the </w:t>
      </w:r>
      <w:r w:rsidR="00292DBA" w:rsidRPr="00DD1B58">
        <w:rPr>
          <w:lang w:val="en-US"/>
        </w:rPr>
        <w:t>United States Nuclear Regulatory Commission</w:t>
      </w:r>
      <w:r w:rsidR="0001117F" w:rsidRPr="00DD1B58">
        <w:rPr>
          <w:lang w:val="en-US"/>
        </w:rPr>
        <w:t xml:space="preserve"> (US NRC) and the Electric Power Research Institute </w:t>
      </w:r>
      <w:r w:rsidR="00A54EB1" w:rsidRPr="00DD1B58">
        <w:rPr>
          <w:lang w:val="en-US"/>
        </w:rPr>
        <w:t>(EPRI)</w:t>
      </w:r>
      <w:r w:rsidR="00597743" w:rsidRPr="00DD1B58">
        <w:rPr>
          <w:lang w:val="en-US"/>
        </w:rPr>
        <w:t xml:space="preserve"> </w:t>
      </w:r>
      <w:sdt>
        <w:sdtPr>
          <w:rPr>
            <w:lang w:val="en-US"/>
          </w:rPr>
          <w:id w:val="-541749713"/>
          <w:citation/>
        </w:sdtPr>
        <w:sdtContent>
          <w:r w:rsidR="004F27D6" w:rsidRPr="00DD1B58">
            <w:rPr>
              <w:lang w:val="en-US"/>
            </w:rPr>
            <w:fldChar w:fldCharType="begin"/>
          </w:r>
          <w:r w:rsidR="004F27D6" w:rsidRPr="00DD1B58">
            <w:rPr>
              <w:lang w:val="en-US"/>
            </w:rPr>
            <w:instrText xml:space="preserve"> CITATION Uni04 \l 2057 </w:instrText>
          </w:r>
          <w:r w:rsidR="004F27D6" w:rsidRPr="00DD1B58">
            <w:rPr>
              <w:lang w:val="en-US"/>
            </w:rPr>
            <w:fldChar w:fldCharType="separate"/>
          </w:r>
          <w:r w:rsidR="00DF47DA" w:rsidRPr="00DF47DA">
            <w:rPr>
              <w:noProof/>
              <w:lang w:val="en-US"/>
            </w:rPr>
            <w:t>[78]</w:t>
          </w:r>
          <w:r w:rsidR="004F27D6" w:rsidRPr="00DD1B58">
            <w:rPr>
              <w:lang w:val="en-US"/>
            </w:rPr>
            <w:fldChar w:fldCharType="end"/>
          </w:r>
        </w:sdtContent>
      </w:sdt>
      <w:sdt>
        <w:sdtPr>
          <w:rPr>
            <w:lang w:val="en-US"/>
          </w:rPr>
          <w:id w:val="-963501172"/>
          <w:citation/>
        </w:sdtPr>
        <w:sdtContent>
          <w:r w:rsidR="007A6350" w:rsidRPr="00DD1B58">
            <w:rPr>
              <w:lang w:val="en-US"/>
            </w:rPr>
            <w:fldChar w:fldCharType="begin"/>
          </w:r>
          <w:r w:rsidR="007A6350" w:rsidRPr="00DD1B58">
            <w:rPr>
              <w:lang w:val="en-US"/>
            </w:rPr>
            <w:instrText xml:space="preserve"> CITATION Uni1 \l 2057 </w:instrText>
          </w:r>
          <w:r w:rsidR="007A6350" w:rsidRPr="00DD1B58">
            <w:rPr>
              <w:lang w:val="en-US"/>
            </w:rPr>
            <w:fldChar w:fldCharType="separate"/>
          </w:r>
          <w:r w:rsidR="00DF47DA">
            <w:rPr>
              <w:noProof/>
              <w:lang w:val="en-US"/>
            </w:rPr>
            <w:t xml:space="preserve"> </w:t>
          </w:r>
          <w:r w:rsidR="00DF47DA" w:rsidRPr="00DF47DA">
            <w:rPr>
              <w:noProof/>
              <w:lang w:val="en-US"/>
            </w:rPr>
            <w:t>[77]</w:t>
          </w:r>
          <w:r w:rsidR="007A6350" w:rsidRPr="00DD1B58">
            <w:rPr>
              <w:lang w:val="en-US"/>
            </w:rPr>
            <w:fldChar w:fldCharType="end"/>
          </w:r>
        </w:sdtContent>
      </w:sdt>
      <w:sdt>
        <w:sdtPr>
          <w:rPr>
            <w:lang w:val="en-US"/>
          </w:rPr>
          <w:id w:val="1884280263"/>
          <w:citation/>
        </w:sdtPr>
        <w:sdtContent>
          <w:r w:rsidR="00C140BC" w:rsidRPr="00DD1B58">
            <w:rPr>
              <w:lang w:val="en-US"/>
            </w:rPr>
            <w:fldChar w:fldCharType="begin"/>
          </w:r>
          <w:r w:rsidR="00C140BC" w:rsidRPr="00DD1B58">
            <w:rPr>
              <w:lang w:val="en-US"/>
            </w:rPr>
            <w:instrText xml:space="preserve"> CITATION Met \l 2057 </w:instrText>
          </w:r>
          <w:r w:rsidR="00C140BC" w:rsidRPr="00DD1B58">
            <w:rPr>
              <w:lang w:val="en-US"/>
            </w:rPr>
            <w:fldChar w:fldCharType="separate"/>
          </w:r>
          <w:r w:rsidR="00DF47DA">
            <w:rPr>
              <w:noProof/>
              <w:lang w:val="en-US"/>
            </w:rPr>
            <w:t xml:space="preserve"> </w:t>
          </w:r>
          <w:r w:rsidR="00DF47DA" w:rsidRPr="00DF47DA">
            <w:rPr>
              <w:noProof/>
              <w:lang w:val="en-US"/>
            </w:rPr>
            <w:t>[80]</w:t>
          </w:r>
          <w:r w:rsidR="00C140BC" w:rsidRPr="00DD1B58">
            <w:rPr>
              <w:lang w:val="en-US"/>
            </w:rPr>
            <w:fldChar w:fldCharType="end"/>
          </w:r>
        </w:sdtContent>
      </w:sdt>
      <w:r w:rsidR="004A7E8C" w:rsidRPr="00DD1B58">
        <w:rPr>
          <w:lang w:val="en-US"/>
        </w:rPr>
        <w:t>,</w:t>
      </w:r>
      <w:r w:rsidR="00B50690" w:rsidRPr="00DD1B58">
        <w:rPr>
          <w:lang w:val="en-US"/>
        </w:rPr>
        <w:t xml:space="preserve"> provides</w:t>
      </w:r>
      <w:r w:rsidR="005A2DFA" w:rsidRPr="00DD1B58">
        <w:rPr>
          <w:lang w:val="en-US"/>
        </w:rPr>
        <w:t xml:space="preserve"> confidence that input data used to derive fire </w:t>
      </w:r>
      <w:r w:rsidR="00CA5573" w:rsidRPr="00DD1B58">
        <w:rPr>
          <w:lang w:val="en-US"/>
        </w:rPr>
        <w:t xml:space="preserve">hazard consequences is </w:t>
      </w:r>
      <w:r w:rsidR="00B50690" w:rsidRPr="00DD1B58">
        <w:rPr>
          <w:lang w:val="en-US"/>
        </w:rPr>
        <w:t xml:space="preserve">adequately </w:t>
      </w:r>
      <w:r w:rsidR="00CA5573" w:rsidRPr="00DD1B58">
        <w:rPr>
          <w:lang w:val="en-US"/>
        </w:rPr>
        <w:t>verified and validated</w:t>
      </w:r>
      <w:r w:rsidR="000845CA" w:rsidRPr="00DD1B58">
        <w:rPr>
          <w:lang w:val="en-US"/>
        </w:rPr>
        <w:t>.</w:t>
      </w:r>
    </w:p>
    <w:p w14:paraId="5DB823C9" w14:textId="19456768" w:rsidR="000845CA" w:rsidRPr="00DD1B58" w:rsidRDefault="000845CA" w:rsidP="00F94DC5">
      <w:pPr>
        <w:rPr>
          <w:lang w:val="en-US"/>
        </w:rPr>
      </w:pPr>
      <w:r w:rsidRPr="00DD1B58">
        <w:rPr>
          <w:lang w:val="en-US"/>
        </w:rPr>
        <w:t xml:space="preserve">The licensee </w:t>
      </w:r>
      <w:r w:rsidR="00D65B09" w:rsidRPr="00DD1B58">
        <w:rPr>
          <w:lang w:val="en-US"/>
        </w:rPr>
        <w:t xml:space="preserve">also </w:t>
      </w:r>
      <w:r w:rsidR="00B50690" w:rsidRPr="00DD1B58">
        <w:rPr>
          <w:lang w:val="en-US"/>
        </w:rPr>
        <w:t>reported that it completes</w:t>
      </w:r>
      <w:r w:rsidR="002E5FFC" w:rsidRPr="00DD1B58">
        <w:rPr>
          <w:lang w:val="en-US"/>
        </w:rPr>
        <w:t xml:space="preserve"> fire loading surveys on a </w:t>
      </w:r>
      <w:r w:rsidR="007D75B9" w:rsidRPr="00DD1B58">
        <w:rPr>
          <w:lang w:val="en-US"/>
        </w:rPr>
        <w:t>compartment-by-compartment</w:t>
      </w:r>
      <w:r w:rsidR="002E5FFC" w:rsidRPr="00DD1B58">
        <w:rPr>
          <w:lang w:val="en-US"/>
        </w:rPr>
        <w:t xml:space="preserve"> ba</w:t>
      </w:r>
      <w:r w:rsidR="00490DC0" w:rsidRPr="00DD1B58">
        <w:rPr>
          <w:lang w:val="en-US"/>
        </w:rPr>
        <w:t xml:space="preserve">sis and that </w:t>
      </w:r>
      <w:r w:rsidR="00B50690" w:rsidRPr="00DD1B58">
        <w:rPr>
          <w:lang w:val="en-US"/>
        </w:rPr>
        <w:t xml:space="preserve">it uses the </w:t>
      </w:r>
      <w:r w:rsidR="00490DC0" w:rsidRPr="00DD1B58">
        <w:rPr>
          <w:lang w:val="en-US"/>
        </w:rPr>
        <w:t xml:space="preserve">collected data to determine the required integrity rating </w:t>
      </w:r>
      <w:r w:rsidR="007D398B" w:rsidRPr="00DD1B58">
        <w:rPr>
          <w:lang w:val="en-US"/>
        </w:rPr>
        <w:t xml:space="preserve">of compartment lines. </w:t>
      </w:r>
      <w:r w:rsidR="007D5D6D" w:rsidRPr="00DD1B58">
        <w:rPr>
          <w:lang w:val="en-US"/>
        </w:rPr>
        <w:t xml:space="preserve">The licensee also reported that there are established </w:t>
      </w:r>
      <w:r w:rsidR="0052483B" w:rsidRPr="00DD1B58">
        <w:rPr>
          <w:lang w:val="en-US"/>
        </w:rPr>
        <w:t>requirements for the surveying</w:t>
      </w:r>
      <w:r w:rsidR="00F13643" w:rsidRPr="00DD1B58">
        <w:rPr>
          <w:lang w:val="en-US"/>
        </w:rPr>
        <w:t xml:space="preserve"> and quantification of</w:t>
      </w:r>
      <w:r w:rsidR="0052483B" w:rsidRPr="00DD1B58">
        <w:rPr>
          <w:lang w:val="en-US"/>
        </w:rPr>
        <w:t xml:space="preserve"> different types of combustible </w:t>
      </w:r>
      <w:r w:rsidR="00F13643" w:rsidRPr="00DD1B58">
        <w:rPr>
          <w:lang w:val="en-US"/>
        </w:rPr>
        <w:t xml:space="preserve">loads </w:t>
      </w:r>
      <w:r w:rsidR="007D5D6D" w:rsidRPr="00DD1B58">
        <w:rPr>
          <w:lang w:val="en-US"/>
        </w:rPr>
        <w:t>to ensure that</w:t>
      </w:r>
      <w:r w:rsidR="00294208" w:rsidRPr="00DD1B58">
        <w:rPr>
          <w:lang w:val="en-US"/>
        </w:rPr>
        <w:t xml:space="preserve"> compartmentation is </w:t>
      </w:r>
      <w:r w:rsidR="007D5D6D" w:rsidRPr="00DD1B58">
        <w:rPr>
          <w:lang w:val="en-US"/>
        </w:rPr>
        <w:t>adequately implemented</w:t>
      </w:r>
      <w:r w:rsidR="00831239" w:rsidRPr="00DD1B58">
        <w:rPr>
          <w:lang w:val="en-US"/>
        </w:rPr>
        <w:t xml:space="preserve">. </w:t>
      </w:r>
      <w:r w:rsidR="007D5D6D" w:rsidRPr="00DD1B58">
        <w:rPr>
          <w:lang w:val="en-US"/>
        </w:rPr>
        <w:t xml:space="preserve">The </w:t>
      </w:r>
      <w:r w:rsidR="00831239" w:rsidRPr="00DD1B58">
        <w:rPr>
          <w:lang w:val="en-US"/>
        </w:rPr>
        <w:t xml:space="preserve">approach is in line with the expectations </w:t>
      </w:r>
      <w:r w:rsidR="005E55DB" w:rsidRPr="00DD1B58">
        <w:rPr>
          <w:lang w:val="en-US"/>
        </w:rPr>
        <w:t xml:space="preserve">of the ONR Technical Assessment Guide on Internal Hazards </w:t>
      </w:r>
      <w:sdt>
        <w:sdtPr>
          <w:rPr>
            <w:lang w:val="en-US"/>
          </w:rPr>
          <w:id w:val="-1526559034"/>
          <w:citation/>
        </w:sdtPr>
        <w:sdtContent>
          <w:r w:rsidR="005E55DB" w:rsidRPr="00DD1B58">
            <w:rPr>
              <w:lang w:val="en-US"/>
            </w:rPr>
            <w:fldChar w:fldCharType="begin"/>
          </w:r>
          <w:r w:rsidR="005E55DB" w:rsidRPr="00DD1B58">
            <w:rPr>
              <w:lang w:val="en-US"/>
            </w:rPr>
            <w:instrText xml:space="preserve"> CITATION ONR4 \l 2057 </w:instrText>
          </w:r>
          <w:r w:rsidR="005E55DB" w:rsidRPr="00DD1B58">
            <w:rPr>
              <w:lang w:val="en-US"/>
            </w:rPr>
            <w:fldChar w:fldCharType="separate"/>
          </w:r>
          <w:r w:rsidR="00DF47DA" w:rsidRPr="00DF47DA">
            <w:rPr>
              <w:noProof/>
              <w:lang w:val="en-US"/>
            </w:rPr>
            <w:t>[16]</w:t>
          </w:r>
          <w:r w:rsidR="005E55DB" w:rsidRPr="00DD1B58">
            <w:rPr>
              <w:lang w:val="en-US"/>
            </w:rPr>
            <w:fldChar w:fldCharType="end"/>
          </w:r>
        </w:sdtContent>
      </w:sdt>
      <w:r w:rsidR="00C10CB3" w:rsidRPr="00DD1B58">
        <w:rPr>
          <w:lang w:val="en-US"/>
        </w:rPr>
        <w:t>.</w:t>
      </w:r>
    </w:p>
    <w:p w14:paraId="7C41BD58" w14:textId="77777777" w:rsidR="00C10CB3" w:rsidRPr="00DD1B58" w:rsidRDefault="00952451" w:rsidP="00F94DC5">
      <w:pPr>
        <w:rPr>
          <w:b/>
          <w:lang w:val="en-US"/>
        </w:rPr>
      </w:pPr>
      <w:r w:rsidRPr="00DD1B58">
        <w:rPr>
          <w:b/>
          <w:lang w:val="en-US"/>
        </w:rPr>
        <w:t>Weaknesses</w:t>
      </w:r>
    </w:p>
    <w:p w14:paraId="0109C552" w14:textId="64533FB4" w:rsidR="00952451" w:rsidRPr="00DD1B58" w:rsidRDefault="00952451" w:rsidP="00F94DC5">
      <w:pPr>
        <w:rPr>
          <w:b/>
          <w:lang w:val="en-US"/>
        </w:rPr>
      </w:pPr>
      <w:r w:rsidRPr="00DD1B58">
        <w:rPr>
          <w:lang w:val="en-US"/>
        </w:rPr>
        <w:tab/>
      </w:r>
      <w:bookmarkStart w:id="48" w:name="_Hlk144975012"/>
      <w:r w:rsidRPr="00DD1B58">
        <w:rPr>
          <w:b/>
          <w:lang w:val="en-US"/>
        </w:rPr>
        <w:t xml:space="preserve">Combined </w:t>
      </w:r>
      <w:r w:rsidR="000434ED" w:rsidRPr="00DD1B58">
        <w:rPr>
          <w:b/>
          <w:lang w:val="en-US"/>
        </w:rPr>
        <w:t>and c</w:t>
      </w:r>
      <w:r w:rsidRPr="00DD1B58">
        <w:rPr>
          <w:b/>
          <w:lang w:val="en-US"/>
        </w:rPr>
        <w:t>on</w:t>
      </w:r>
      <w:r w:rsidR="005A4BF7" w:rsidRPr="00DD1B58">
        <w:rPr>
          <w:b/>
          <w:lang w:val="en-US"/>
        </w:rPr>
        <w:t xml:space="preserve">sequential </w:t>
      </w:r>
      <w:r w:rsidR="000434ED" w:rsidRPr="00DD1B58">
        <w:rPr>
          <w:b/>
          <w:lang w:val="en-US"/>
        </w:rPr>
        <w:t>h</w:t>
      </w:r>
      <w:r w:rsidR="005A4BF7" w:rsidRPr="00DD1B58">
        <w:rPr>
          <w:b/>
          <w:lang w:val="en-US"/>
        </w:rPr>
        <w:t>azards</w:t>
      </w:r>
    </w:p>
    <w:p w14:paraId="0EDAB30D" w14:textId="05604474" w:rsidR="009C1883" w:rsidRPr="00DD1B58" w:rsidRDefault="00060842" w:rsidP="00F94DC5">
      <w:pPr>
        <w:rPr>
          <w:lang w:val="en-US"/>
        </w:rPr>
      </w:pPr>
      <w:r w:rsidRPr="00DD1B58">
        <w:rPr>
          <w:lang w:val="en-US"/>
        </w:rPr>
        <w:t xml:space="preserve">The licensee identified that </w:t>
      </w:r>
      <w:r w:rsidR="007D5D6D" w:rsidRPr="00DD1B58">
        <w:rPr>
          <w:lang w:val="en-US"/>
        </w:rPr>
        <w:t xml:space="preserve">it does not undertake </w:t>
      </w:r>
      <w:r w:rsidRPr="00DD1B58">
        <w:rPr>
          <w:lang w:val="en-US"/>
        </w:rPr>
        <w:t xml:space="preserve">combined </w:t>
      </w:r>
      <w:r w:rsidR="00E153BB" w:rsidRPr="00DD1B58">
        <w:rPr>
          <w:lang w:val="en-US"/>
        </w:rPr>
        <w:t xml:space="preserve">or consequential hazards assessment as </w:t>
      </w:r>
      <w:r w:rsidR="00D15646" w:rsidRPr="00DD1B58">
        <w:rPr>
          <w:lang w:val="en-US"/>
        </w:rPr>
        <w:t xml:space="preserve">part of the current </w:t>
      </w:r>
      <w:r w:rsidR="00051375" w:rsidRPr="00DD1B58">
        <w:rPr>
          <w:lang w:val="en-US"/>
        </w:rPr>
        <w:t xml:space="preserve">site safety case. </w:t>
      </w:r>
      <w:r w:rsidR="000A6FE6" w:rsidRPr="00DD1B58">
        <w:rPr>
          <w:lang w:val="en-US"/>
        </w:rPr>
        <w:t xml:space="preserve">This </w:t>
      </w:r>
      <w:r w:rsidR="00A47D05" w:rsidRPr="00DD1B58">
        <w:rPr>
          <w:lang w:val="en-US"/>
        </w:rPr>
        <w:t>does not explicitly align with WENRA Safety Reference Level</w:t>
      </w:r>
      <w:r w:rsidR="003B21A6" w:rsidRPr="00DD1B58">
        <w:rPr>
          <w:lang w:val="en-US"/>
        </w:rPr>
        <w:t xml:space="preserve"> E 6.1 </w:t>
      </w:r>
      <w:sdt>
        <w:sdtPr>
          <w:rPr>
            <w:lang w:val="en-US"/>
          </w:rPr>
          <w:id w:val="528916871"/>
          <w:citation/>
        </w:sdtPr>
        <w:sdtContent>
          <w:r w:rsidR="00D60148" w:rsidRPr="00DD1B58">
            <w:rPr>
              <w:lang w:val="en-US"/>
            </w:rPr>
            <w:fldChar w:fldCharType="begin"/>
          </w:r>
          <w:r w:rsidR="001270D9" w:rsidRPr="00DD1B58">
            <w:rPr>
              <w:lang w:val="en-US"/>
            </w:rPr>
            <w:instrText xml:space="preserve">CITATION WEN2 \l 2057 </w:instrText>
          </w:r>
          <w:r w:rsidR="00D60148" w:rsidRPr="00DD1B58">
            <w:rPr>
              <w:lang w:val="en-US"/>
            </w:rPr>
            <w:fldChar w:fldCharType="separate"/>
          </w:r>
          <w:r w:rsidR="00DF47DA" w:rsidRPr="00DF47DA">
            <w:rPr>
              <w:noProof/>
              <w:lang w:val="en-US"/>
            </w:rPr>
            <w:t>[1]</w:t>
          </w:r>
          <w:r w:rsidR="00D60148" w:rsidRPr="00DD1B58">
            <w:rPr>
              <w:lang w:val="en-US"/>
            </w:rPr>
            <w:fldChar w:fldCharType="end"/>
          </w:r>
        </w:sdtContent>
      </w:sdt>
      <w:r w:rsidR="003B21A6" w:rsidRPr="00DD1B58">
        <w:rPr>
          <w:lang w:val="en-US"/>
        </w:rPr>
        <w:t xml:space="preserve"> or IAEA SSG 64 </w:t>
      </w:r>
      <w:sdt>
        <w:sdtPr>
          <w:rPr>
            <w:lang w:val="en-US"/>
          </w:rPr>
          <w:id w:val="1279991121"/>
          <w:citation/>
        </w:sdtPr>
        <w:sdtContent>
          <w:r w:rsidR="00C45FB0" w:rsidRPr="00DD1B58">
            <w:rPr>
              <w:lang w:val="en-US"/>
            </w:rPr>
            <w:fldChar w:fldCharType="begin"/>
          </w:r>
          <w:r w:rsidR="00C45FB0" w:rsidRPr="00DD1B58">
            <w:rPr>
              <w:lang w:val="en-US"/>
            </w:rPr>
            <w:instrText xml:space="preserve"> CITATION IAE5 \l 2057 </w:instrText>
          </w:r>
          <w:r w:rsidR="00C45FB0" w:rsidRPr="00DD1B58">
            <w:rPr>
              <w:lang w:val="en-US"/>
            </w:rPr>
            <w:fldChar w:fldCharType="separate"/>
          </w:r>
          <w:r w:rsidR="00DF47DA" w:rsidRPr="00DF47DA">
            <w:rPr>
              <w:noProof/>
              <w:lang w:val="en-US"/>
            </w:rPr>
            <w:t>[17]</w:t>
          </w:r>
          <w:r w:rsidR="00C45FB0" w:rsidRPr="00DD1B58">
            <w:rPr>
              <w:lang w:val="en-US"/>
            </w:rPr>
            <w:fldChar w:fldCharType="end"/>
          </w:r>
        </w:sdtContent>
      </w:sdt>
      <w:r w:rsidR="007F5275" w:rsidRPr="00DD1B58">
        <w:rPr>
          <w:lang w:val="en-US"/>
        </w:rPr>
        <w:t>;</w:t>
      </w:r>
      <w:r w:rsidR="0039533E" w:rsidRPr="00DD1B58">
        <w:rPr>
          <w:lang w:val="en-US"/>
        </w:rPr>
        <w:t xml:space="preserve"> however, it should be noted that these apply </w:t>
      </w:r>
      <w:r w:rsidR="00B50349" w:rsidRPr="00DD1B58">
        <w:rPr>
          <w:lang w:val="en-US"/>
        </w:rPr>
        <w:t xml:space="preserve">to </w:t>
      </w:r>
      <w:r w:rsidR="00CE66EB" w:rsidRPr="00DD1B58">
        <w:rPr>
          <w:lang w:val="en-US"/>
        </w:rPr>
        <w:t xml:space="preserve">reactor facilities </w:t>
      </w:r>
      <w:r w:rsidR="00B32D5C" w:rsidRPr="00DD1B58">
        <w:rPr>
          <w:lang w:val="en-US"/>
        </w:rPr>
        <w:t xml:space="preserve">and therefore a graded approach </w:t>
      </w:r>
      <w:r w:rsidR="0039533E" w:rsidRPr="00DD1B58">
        <w:rPr>
          <w:lang w:val="en-US"/>
        </w:rPr>
        <w:t>should be considered in the context of the Springfields site</w:t>
      </w:r>
      <w:r w:rsidR="00244228" w:rsidRPr="00DD1B58">
        <w:rPr>
          <w:lang w:val="en-US"/>
        </w:rPr>
        <w:t xml:space="preserve"> and low nuclear safety hazards and risks</w:t>
      </w:r>
      <w:r w:rsidR="000C3972" w:rsidRPr="00DD1B58">
        <w:rPr>
          <w:lang w:val="en-US"/>
        </w:rPr>
        <w:t>.</w:t>
      </w:r>
      <w:r w:rsidR="000B1ACF" w:rsidRPr="00DD1B58">
        <w:rPr>
          <w:lang w:val="en-US"/>
        </w:rPr>
        <w:t xml:space="preserve"> </w:t>
      </w:r>
      <w:r w:rsidR="007F5275" w:rsidRPr="00DD1B58">
        <w:rPr>
          <w:lang w:val="en-US"/>
        </w:rPr>
        <w:t xml:space="preserve">Nevertheless, </w:t>
      </w:r>
      <w:r w:rsidR="000C3972" w:rsidRPr="00DD1B58">
        <w:rPr>
          <w:lang w:val="en-US"/>
        </w:rPr>
        <w:t xml:space="preserve">ONR Safety Assessment Principles </w:t>
      </w:r>
      <w:sdt>
        <w:sdtPr>
          <w:rPr>
            <w:lang w:val="en-US"/>
          </w:rPr>
          <w:id w:val="1473940969"/>
          <w:citation/>
        </w:sdtPr>
        <w:sdtContent>
          <w:r w:rsidR="008A6DAC" w:rsidRPr="00DD1B58">
            <w:rPr>
              <w:lang w:val="en-US"/>
            </w:rPr>
            <w:fldChar w:fldCharType="begin"/>
          </w:r>
          <w:r w:rsidR="008A6DAC" w:rsidRPr="00DD1B58">
            <w:rPr>
              <w:lang w:val="en-US"/>
            </w:rPr>
            <w:instrText xml:space="preserve"> CITATION Off20 \l 2057 </w:instrText>
          </w:r>
          <w:r w:rsidR="008A6DAC" w:rsidRPr="00DD1B58">
            <w:rPr>
              <w:lang w:val="en-US"/>
            </w:rPr>
            <w:fldChar w:fldCharType="separate"/>
          </w:r>
          <w:r w:rsidR="00DF47DA" w:rsidRPr="00DF47DA">
            <w:rPr>
              <w:noProof/>
              <w:lang w:val="en-US"/>
            </w:rPr>
            <w:t>[15]</w:t>
          </w:r>
          <w:r w:rsidR="008A6DAC" w:rsidRPr="00DD1B58">
            <w:rPr>
              <w:lang w:val="en-US"/>
            </w:rPr>
            <w:fldChar w:fldCharType="end"/>
          </w:r>
        </w:sdtContent>
      </w:sdt>
      <w:r w:rsidR="000C3972" w:rsidRPr="00DD1B58">
        <w:rPr>
          <w:lang w:val="en-US"/>
        </w:rPr>
        <w:t xml:space="preserve"> and Technical Assessment Guide on Internal Hazards </w:t>
      </w:r>
      <w:sdt>
        <w:sdtPr>
          <w:rPr>
            <w:lang w:val="en-US"/>
          </w:rPr>
          <w:id w:val="-758749655"/>
          <w:citation/>
        </w:sdtPr>
        <w:sdtContent>
          <w:r w:rsidR="00573CC0" w:rsidRPr="00DD1B58">
            <w:rPr>
              <w:lang w:val="en-US"/>
            </w:rPr>
            <w:fldChar w:fldCharType="begin"/>
          </w:r>
          <w:r w:rsidR="00573CC0" w:rsidRPr="00DD1B58">
            <w:rPr>
              <w:lang w:val="en-US"/>
            </w:rPr>
            <w:instrText xml:space="preserve"> CITATION ONR4 \l 2057 </w:instrText>
          </w:r>
          <w:r w:rsidR="00573CC0" w:rsidRPr="00DD1B58">
            <w:rPr>
              <w:lang w:val="en-US"/>
            </w:rPr>
            <w:fldChar w:fldCharType="separate"/>
          </w:r>
          <w:r w:rsidR="00DF47DA" w:rsidRPr="00DF47DA">
            <w:rPr>
              <w:noProof/>
              <w:lang w:val="en-US"/>
            </w:rPr>
            <w:t>[16]</w:t>
          </w:r>
          <w:r w:rsidR="00573CC0" w:rsidRPr="00DD1B58">
            <w:rPr>
              <w:lang w:val="en-US"/>
            </w:rPr>
            <w:fldChar w:fldCharType="end"/>
          </w:r>
        </w:sdtContent>
      </w:sdt>
      <w:r w:rsidR="006944F1" w:rsidRPr="00DD1B58">
        <w:rPr>
          <w:lang w:val="en-US"/>
        </w:rPr>
        <w:t xml:space="preserve"> </w:t>
      </w:r>
      <w:r w:rsidR="00573CC0" w:rsidRPr="00DD1B58">
        <w:rPr>
          <w:lang w:val="en-US"/>
        </w:rPr>
        <w:t xml:space="preserve">take due account of </w:t>
      </w:r>
      <w:r w:rsidR="00E05F3F" w:rsidRPr="00DD1B58">
        <w:rPr>
          <w:lang w:val="en-US"/>
        </w:rPr>
        <w:t xml:space="preserve">WENRA </w:t>
      </w:r>
      <w:r w:rsidR="00E22C07" w:rsidRPr="00DD1B58">
        <w:rPr>
          <w:lang w:val="en-US"/>
        </w:rPr>
        <w:t>SRLs</w:t>
      </w:r>
      <w:r w:rsidR="00E653CA" w:rsidRPr="00DD1B58">
        <w:rPr>
          <w:lang w:val="en-US"/>
        </w:rPr>
        <w:t>,</w:t>
      </w:r>
      <w:r w:rsidR="00E22C07" w:rsidRPr="00DD1B58">
        <w:rPr>
          <w:lang w:val="en-US"/>
        </w:rPr>
        <w:t xml:space="preserve"> </w:t>
      </w:r>
      <w:r w:rsidR="00E05F3F" w:rsidRPr="00DD1B58">
        <w:rPr>
          <w:lang w:val="en-US"/>
        </w:rPr>
        <w:t xml:space="preserve">and IAEA </w:t>
      </w:r>
      <w:r w:rsidR="00E22C07" w:rsidRPr="00DD1B58">
        <w:rPr>
          <w:lang w:val="en-US"/>
        </w:rPr>
        <w:t>standards</w:t>
      </w:r>
      <w:r w:rsidR="00E05F3F" w:rsidRPr="00DD1B58">
        <w:rPr>
          <w:lang w:val="en-US"/>
        </w:rPr>
        <w:t xml:space="preserve"> are applicable to fuel fabrication facilities as wel</w:t>
      </w:r>
      <w:r w:rsidR="004610EA" w:rsidRPr="00DD1B58">
        <w:rPr>
          <w:lang w:val="en-US"/>
        </w:rPr>
        <w:t xml:space="preserve">l as reactor </w:t>
      </w:r>
      <w:r w:rsidR="0090018E" w:rsidRPr="00DD1B58">
        <w:rPr>
          <w:lang w:val="en-US"/>
        </w:rPr>
        <w:t>facilities.</w:t>
      </w:r>
      <w:r w:rsidR="006944F1" w:rsidRPr="00DD1B58">
        <w:rPr>
          <w:lang w:val="en-US"/>
        </w:rPr>
        <w:t xml:space="preserve"> </w:t>
      </w:r>
      <w:r w:rsidR="00D773D9" w:rsidRPr="00DD1B58">
        <w:rPr>
          <w:lang w:val="en-US"/>
        </w:rPr>
        <w:t xml:space="preserve">ONR </w:t>
      </w:r>
      <w:r w:rsidR="006944F1" w:rsidRPr="00DD1B58">
        <w:rPr>
          <w:lang w:val="en-US"/>
        </w:rPr>
        <w:t>therefore conclude</w:t>
      </w:r>
      <w:r w:rsidR="007C219F" w:rsidRPr="00DD1B58">
        <w:rPr>
          <w:lang w:val="en-US"/>
        </w:rPr>
        <w:t>d</w:t>
      </w:r>
      <w:r w:rsidR="006944F1" w:rsidRPr="00DD1B58">
        <w:rPr>
          <w:lang w:val="en-US"/>
        </w:rPr>
        <w:t xml:space="preserve"> </w:t>
      </w:r>
      <w:r w:rsidR="00647C87" w:rsidRPr="00DD1B58">
        <w:rPr>
          <w:lang w:val="en-US"/>
        </w:rPr>
        <w:t xml:space="preserve">that </w:t>
      </w:r>
      <w:r w:rsidR="00E87BA7" w:rsidRPr="00DD1B58">
        <w:rPr>
          <w:lang w:val="en-US"/>
        </w:rPr>
        <w:t>it would be appropriate</w:t>
      </w:r>
      <w:r w:rsidR="00293253" w:rsidRPr="00DD1B58">
        <w:rPr>
          <w:lang w:val="en-US"/>
        </w:rPr>
        <w:t xml:space="preserve"> for </w:t>
      </w:r>
      <w:r w:rsidR="00134292" w:rsidRPr="00DD1B58">
        <w:rPr>
          <w:lang w:val="en-US"/>
        </w:rPr>
        <w:t>Springfields Fuels Ltd</w:t>
      </w:r>
      <w:r w:rsidR="00293253" w:rsidRPr="00DD1B58">
        <w:rPr>
          <w:lang w:val="en-US"/>
        </w:rPr>
        <w:t xml:space="preserve"> to</w:t>
      </w:r>
      <w:r w:rsidR="000B7B09" w:rsidRPr="00DD1B58">
        <w:rPr>
          <w:lang w:val="en-US"/>
        </w:rPr>
        <w:t xml:space="preserve"> </w:t>
      </w:r>
      <w:r w:rsidR="00293253" w:rsidRPr="00DD1B58">
        <w:rPr>
          <w:lang w:val="en-US"/>
        </w:rPr>
        <w:t>develop</w:t>
      </w:r>
      <w:r w:rsidR="000B7B09" w:rsidRPr="00DD1B58">
        <w:rPr>
          <w:lang w:val="en-US"/>
        </w:rPr>
        <w:t xml:space="preserve"> and </w:t>
      </w:r>
      <w:r w:rsidR="00293253" w:rsidRPr="00DD1B58">
        <w:rPr>
          <w:lang w:val="en-US"/>
        </w:rPr>
        <w:t>apply</w:t>
      </w:r>
      <w:r w:rsidR="000B7B09" w:rsidRPr="00DD1B58">
        <w:rPr>
          <w:lang w:val="en-US"/>
        </w:rPr>
        <w:t xml:space="preserve"> </w:t>
      </w:r>
      <w:r w:rsidR="00D23DE0" w:rsidRPr="00DD1B58">
        <w:rPr>
          <w:lang w:val="en-US"/>
        </w:rPr>
        <w:t xml:space="preserve">a suitable methodology for considering combined and consequential hazard analysis </w:t>
      </w:r>
      <w:r w:rsidR="00293253" w:rsidRPr="00DD1B58">
        <w:rPr>
          <w:lang w:val="en-US"/>
        </w:rPr>
        <w:t>proportionate to</w:t>
      </w:r>
      <w:r w:rsidR="000B7B09" w:rsidRPr="00DD1B58">
        <w:rPr>
          <w:lang w:val="en-US"/>
        </w:rPr>
        <w:t xml:space="preserve"> the site’s hazards and risks</w:t>
      </w:r>
      <w:r w:rsidR="00293253" w:rsidRPr="00DD1B58">
        <w:rPr>
          <w:lang w:val="en-US"/>
        </w:rPr>
        <w:t>.</w:t>
      </w:r>
      <w:r w:rsidR="000B7B09" w:rsidRPr="00DD1B58">
        <w:rPr>
          <w:lang w:val="en-US"/>
        </w:rPr>
        <w:t xml:space="preserve"> </w:t>
      </w:r>
      <w:r w:rsidR="00647C87" w:rsidRPr="00DD1B58">
        <w:rPr>
          <w:lang w:val="en-US"/>
        </w:rPr>
        <w:t xml:space="preserve">ONR raised this finding with the licensee, which provided </w:t>
      </w:r>
      <w:r w:rsidR="00293253" w:rsidRPr="00DD1B58">
        <w:rPr>
          <w:lang w:val="en-US"/>
        </w:rPr>
        <w:t>further information</w:t>
      </w:r>
      <w:bookmarkEnd w:id="48"/>
      <w:r w:rsidR="00647C87" w:rsidRPr="00DD1B58">
        <w:rPr>
          <w:lang w:val="en-US"/>
        </w:rPr>
        <w:t>:</w:t>
      </w:r>
    </w:p>
    <w:p w14:paraId="7713AB52" w14:textId="4C888EBD" w:rsidR="002D7AEF" w:rsidRPr="00DD1B58" w:rsidRDefault="009C1883" w:rsidP="00973FF4">
      <w:pPr>
        <w:pStyle w:val="QuoteText"/>
        <w:rPr>
          <w:rFonts w:ascii="Calibri" w:hAnsi="Calibri"/>
          <w:sz w:val="22"/>
          <w:lang w:val="en-US" w:eastAsia="en-GB" w:bidi="ar-SA"/>
        </w:rPr>
      </w:pPr>
      <w:r w:rsidRPr="00DD1B58">
        <w:rPr>
          <w:lang w:val="en-US"/>
        </w:rPr>
        <w:t xml:space="preserve">Combined hazards such as fire combined with flooding or fire post seismic event are considered </w:t>
      </w:r>
      <w:r w:rsidR="005C794E" w:rsidRPr="00DD1B58">
        <w:rPr>
          <w:lang w:val="en-US"/>
        </w:rPr>
        <w:t xml:space="preserve">as part of the safety case process. The nuclear fire hazard </w:t>
      </w:r>
      <w:r w:rsidR="002D7AEF" w:rsidRPr="00DD1B58">
        <w:rPr>
          <w:lang w:val="en-US"/>
        </w:rPr>
        <w:t xml:space="preserve">analysis assesses each fault sequence group in the Criticality, Radiological and Chemotoxic </w:t>
      </w:r>
      <w:r w:rsidR="00C247D4" w:rsidRPr="00DD1B58">
        <w:rPr>
          <w:lang w:val="en-US"/>
        </w:rPr>
        <w:t>HAZANs</w:t>
      </w:r>
      <w:r w:rsidR="002D7AEF" w:rsidRPr="00DD1B58">
        <w:rPr>
          <w:lang w:val="en-US"/>
        </w:rPr>
        <w:t xml:space="preserve">, including internal and external hazards, to determine whether the fault sequence could result in a consequential fire or if fire could increase the associated risk. Such nuclear fire analysis has been conducted for all legacy plant and no further improvements to the design are required. This position is reviewed at each </w:t>
      </w:r>
      <w:r w:rsidR="00E309B7" w:rsidRPr="00DD1B58">
        <w:rPr>
          <w:lang w:val="en-US"/>
        </w:rPr>
        <w:t>Long-Term</w:t>
      </w:r>
      <w:r w:rsidR="002D7AEF" w:rsidRPr="00DD1B58">
        <w:rPr>
          <w:lang w:val="en-US"/>
        </w:rPr>
        <w:t xml:space="preserve"> Periodic Review (conducted to meet the requirements of LC15) and whenever a substantive modification is made to a plant or facility. </w:t>
      </w:r>
    </w:p>
    <w:p w14:paraId="48A0726F" w14:textId="57B8C712" w:rsidR="002D7AEF" w:rsidRPr="00DD1B58" w:rsidRDefault="002D7AEF" w:rsidP="00973FF4">
      <w:pPr>
        <w:pStyle w:val="QuoteText"/>
        <w:rPr>
          <w:lang w:val="en-US"/>
        </w:rPr>
      </w:pPr>
      <w:r w:rsidRPr="00DD1B58">
        <w:rPr>
          <w:lang w:val="en-US"/>
        </w:rPr>
        <w:t xml:space="preserve">There are no water-based suppression systems that could result in flooding. The site is not prone to flooding. All processes on site can be shut down and do not require ongoing power supplies, </w:t>
      </w:r>
      <w:r w:rsidR="00D50725" w:rsidRPr="00DD1B58">
        <w:rPr>
          <w:lang w:val="en-US"/>
        </w:rPr>
        <w:t>cooling,</w:t>
      </w:r>
      <w:r w:rsidRPr="00DD1B58">
        <w:rPr>
          <w:lang w:val="en-US"/>
        </w:rPr>
        <w:t xml:space="preserve"> or other services to maintain nuclear safety. For new builds</w:t>
      </w:r>
      <w:r w:rsidR="00647C87" w:rsidRPr="00DD1B58">
        <w:rPr>
          <w:lang w:val="en-US"/>
        </w:rPr>
        <w:t>,</w:t>
      </w:r>
      <w:r w:rsidRPr="00DD1B58">
        <w:rPr>
          <w:lang w:val="en-US"/>
        </w:rPr>
        <w:t xml:space="preserve"> cognisance is taken of guidance given in the ONR TAG</w:t>
      </w:r>
      <w:r w:rsidR="00647C87" w:rsidRPr="00DD1B58">
        <w:rPr>
          <w:lang w:val="en-US"/>
        </w:rPr>
        <w:t>s</w:t>
      </w:r>
      <w:r w:rsidRPr="00DD1B58">
        <w:rPr>
          <w:lang w:val="en-US"/>
        </w:rPr>
        <w:t xml:space="preserve"> and SAP</w:t>
      </w:r>
      <w:r w:rsidR="00647C87" w:rsidRPr="00DD1B58">
        <w:rPr>
          <w:lang w:val="en-US"/>
        </w:rPr>
        <w:t>s</w:t>
      </w:r>
      <w:r w:rsidRPr="00DD1B58">
        <w:rPr>
          <w:lang w:val="en-US"/>
        </w:rPr>
        <w:t xml:space="preserve">. In the event that the site embarks on a significant programme of new </w:t>
      </w:r>
      <w:r w:rsidR="00E309B7" w:rsidRPr="00DD1B58">
        <w:rPr>
          <w:lang w:val="en-US"/>
        </w:rPr>
        <w:t>facilities consideration</w:t>
      </w:r>
      <w:r w:rsidRPr="00DD1B58">
        <w:rPr>
          <w:lang w:val="en-US"/>
        </w:rPr>
        <w:t xml:space="preserve"> will be given to developing a specific methodology for fire hazard analysis of combined events taking into consideration guidance given in IAEA </w:t>
      </w:r>
      <w:r w:rsidR="00FF6D25" w:rsidRPr="00DD1B58">
        <w:rPr>
          <w:lang w:val="en-US"/>
        </w:rPr>
        <w:t>Safety Standards Series no.</w:t>
      </w:r>
      <w:r w:rsidRPr="00DD1B58">
        <w:rPr>
          <w:lang w:val="en-US"/>
        </w:rPr>
        <w:t xml:space="preserve"> SSG</w:t>
      </w:r>
      <w:r w:rsidRPr="00DD1B58">
        <w:rPr>
          <w:lang w:val="en-US"/>
        </w:rPr>
        <w:noBreakHyphen/>
        <w:t>64</w:t>
      </w:r>
      <w:r w:rsidR="00FB040C" w:rsidRPr="00DD1B58">
        <w:rPr>
          <w:lang w:val="en-US"/>
        </w:rPr>
        <w:t xml:space="preserve"> </w:t>
      </w:r>
      <w:sdt>
        <w:sdtPr>
          <w:rPr>
            <w:lang w:val="en-US"/>
          </w:rPr>
          <w:id w:val="-708800607"/>
          <w:citation/>
        </w:sdtPr>
        <w:sdtContent>
          <w:r w:rsidR="00FB040C" w:rsidRPr="00DD1B58">
            <w:rPr>
              <w:lang w:val="en-US"/>
            </w:rPr>
            <w:fldChar w:fldCharType="begin"/>
          </w:r>
          <w:r w:rsidR="00FB040C" w:rsidRPr="00DD1B58">
            <w:rPr>
              <w:lang w:val="en-US"/>
            </w:rPr>
            <w:instrText xml:space="preserve"> CITATION IAE5 \l 2057 </w:instrText>
          </w:r>
          <w:r w:rsidR="00FB040C" w:rsidRPr="00DD1B58">
            <w:rPr>
              <w:lang w:val="en-US"/>
            </w:rPr>
            <w:fldChar w:fldCharType="separate"/>
          </w:r>
          <w:r w:rsidR="00DF47DA" w:rsidRPr="00DF47DA">
            <w:rPr>
              <w:noProof/>
              <w:lang w:val="en-US"/>
            </w:rPr>
            <w:t>[17]</w:t>
          </w:r>
          <w:r w:rsidR="00FB040C" w:rsidRPr="00DD1B58">
            <w:rPr>
              <w:lang w:val="en-US"/>
            </w:rPr>
            <w:fldChar w:fldCharType="end"/>
          </w:r>
        </w:sdtContent>
      </w:sdt>
      <w:r w:rsidR="00FB040C" w:rsidRPr="00DD1B58">
        <w:rPr>
          <w:lang w:val="en-US"/>
        </w:rPr>
        <w:t>.</w:t>
      </w:r>
    </w:p>
    <w:p w14:paraId="4E52D9B9" w14:textId="5E92B6A1" w:rsidR="002D7AEF" w:rsidRPr="00DD1B58" w:rsidRDefault="002D7AEF" w:rsidP="00973FF4">
      <w:pPr>
        <w:pStyle w:val="QuoteText"/>
        <w:rPr>
          <w:lang w:val="en-US"/>
        </w:rPr>
      </w:pPr>
      <w:r w:rsidRPr="00DD1B58">
        <w:rPr>
          <w:lang w:val="en-US"/>
        </w:rPr>
        <w:t>The existing on</w:t>
      </w:r>
      <w:r w:rsidR="00953D86" w:rsidRPr="00DD1B58">
        <w:rPr>
          <w:lang w:val="en-US"/>
        </w:rPr>
        <w:t>-</w:t>
      </w:r>
      <w:r w:rsidRPr="00DD1B58">
        <w:rPr>
          <w:lang w:val="en-US"/>
        </w:rPr>
        <w:t>site hazards are such that there is no requirement for seismic qualification of fire suppression systems. No suppression systems are required to ensure nuclear or chemotoxic safety. There are no suppression systems that if operated due to planned or inadvertent discharge would result in a radiological release. The only automatic systems are total flooding carbon dioxide suppression systems for protection of turbine enclosures in the CHP plant. The operation of these would be in response to a fire within the turbine enclosure and is for conventional fire safety</w:t>
      </w:r>
      <w:r w:rsidR="005D5C50" w:rsidRPr="00DD1B58">
        <w:rPr>
          <w:lang w:val="en-US"/>
        </w:rPr>
        <w:t>/</w:t>
      </w:r>
      <w:r w:rsidRPr="00DD1B58">
        <w:rPr>
          <w:lang w:val="en-US"/>
        </w:rPr>
        <w:t>business continuity purposes only.</w:t>
      </w:r>
    </w:p>
    <w:p w14:paraId="5B778065" w14:textId="47D999D2" w:rsidR="00A424A6" w:rsidRPr="00DD1B58" w:rsidRDefault="00E54767" w:rsidP="002D7AEF">
      <w:pPr>
        <w:rPr>
          <w:lang w:val="en-US"/>
        </w:rPr>
      </w:pPr>
      <w:r w:rsidRPr="00DD1B58">
        <w:rPr>
          <w:lang w:val="en-US"/>
        </w:rPr>
        <w:t xml:space="preserve">ONR welcomes that the licensee recognises </w:t>
      </w:r>
      <w:r w:rsidR="00132FA4" w:rsidRPr="00DD1B58">
        <w:rPr>
          <w:lang w:val="en-US"/>
        </w:rPr>
        <w:t xml:space="preserve">the need to consider combined hazards as part of </w:t>
      </w:r>
      <w:r w:rsidRPr="00DD1B58">
        <w:rPr>
          <w:lang w:val="en-US"/>
        </w:rPr>
        <w:t xml:space="preserve">its </w:t>
      </w:r>
      <w:r w:rsidR="00132FA4" w:rsidRPr="00DD1B58">
        <w:rPr>
          <w:lang w:val="en-US"/>
        </w:rPr>
        <w:t>suite of fire safety analysis</w:t>
      </w:r>
      <w:r w:rsidR="00981605" w:rsidRPr="00DD1B58">
        <w:rPr>
          <w:lang w:val="en-US"/>
        </w:rPr>
        <w:t xml:space="preserve"> and formalising the approach</w:t>
      </w:r>
      <w:r w:rsidRPr="00DD1B58">
        <w:rPr>
          <w:lang w:val="en-US"/>
        </w:rPr>
        <w:t>. ONR therefore</w:t>
      </w:r>
      <w:r w:rsidR="0074377B" w:rsidRPr="00DD1B58">
        <w:rPr>
          <w:lang w:val="en-US"/>
        </w:rPr>
        <w:t xml:space="preserve"> </w:t>
      </w:r>
      <w:r w:rsidR="001E0168" w:rsidRPr="00DD1B58">
        <w:rPr>
          <w:lang w:val="en-US"/>
        </w:rPr>
        <w:t>recommends</w:t>
      </w:r>
      <w:r w:rsidR="0074377B" w:rsidRPr="00DD1B58">
        <w:rPr>
          <w:lang w:val="en-US"/>
        </w:rPr>
        <w:t xml:space="preserve"> that </w:t>
      </w:r>
      <w:r w:rsidR="00134292" w:rsidRPr="00DD1B58">
        <w:rPr>
          <w:lang w:val="en-US"/>
        </w:rPr>
        <w:t>Springfields Fuels Ltd</w:t>
      </w:r>
      <w:r w:rsidRPr="00DD1B58">
        <w:rPr>
          <w:lang w:val="en-US"/>
        </w:rPr>
        <w:t xml:space="preserve"> </w:t>
      </w:r>
      <w:r w:rsidR="001E0168" w:rsidRPr="00DD1B58">
        <w:rPr>
          <w:lang w:val="en-US"/>
        </w:rPr>
        <w:t>reviews and makes any necessary improvements to its</w:t>
      </w:r>
      <w:r w:rsidR="00662CC2" w:rsidRPr="00DD1B58">
        <w:rPr>
          <w:lang w:val="en-US"/>
        </w:rPr>
        <w:t xml:space="preserve"> treatment of</w:t>
      </w:r>
      <w:r w:rsidR="001E0168" w:rsidRPr="00DD1B58">
        <w:rPr>
          <w:lang w:val="en-US"/>
        </w:rPr>
        <w:t xml:space="preserve"> combined hazards, </w:t>
      </w:r>
      <w:r w:rsidR="003F393F" w:rsidRPr="00DD1B58">
        <w:rPr>
          <w:lang w:val="en-US"/>
        </w:rPr>
        <w:t>for example,</w:t>
      </w:r>
      <w:r w:rsidR="007573F0" w:rsidRPr="00DD1B58">
        <w:rPr>
          <w:lang w:val="en-US"/>
        </w:rPr>
        <w:t xml:space="preserve"> by</w:t>
      </w:r>
      <w:r w:rsidR="001E0168" w:rsidRPr="00DD1B58">
        <w:rPr>
          <w:lang w:val="en-US"/>
        </w:rPr>
        <w:t xml:space="preserve"> </w:t>
      </w:r>
      <w:r w:rsidR="007573F0" w:rsidRPr="00DD1B58">
        <w:rPr>
          <w:lang w:val="en-US"/>
        </w:rPr>
        <w:t>formalising a suitable methodology for assessment of combined hazards including fire proportionate to the site’s hazards and risks</w:t>
      </w:r>
      <w:r w:rsidR="001E0168" w:rsidRPr="00DD1B58">
        <w:rPr>
          <w:lang w:val="en-US"/>
        </w:rPr>
        <w:t>.</w:t>
      </w:r>
    </w:p>
    <w:p w14:paraId="12859C01" w14:textId="77777777" w:rsidR="6EFDD43C" w:rsidRPr="00DD1B58" w:rsidRDefault="6EFDD43C" w:rsidP="00BE590C">
      <w:pPr>
        <w:pStyle w:val="Heading4"/>
        <w:numPr>
          <w:ilvl w:val="4"/>
          <w:numId w:val="3"/>
        </w:numPr>
        <w:rPr>
          <w:lang w:val="en-US"/>
        </w:rPr>
      </w:pPr>
      <w:bookmarkStart w:id="49" w:name="_Ref139978962"/>
      <w:r w:rsidRPr="00DD1B58">
        <w:rPr>
          <w:lang w:val="en-US"/>
        </w:rPr>
        <w:t>Lessons learned from inspection and assessment as part of the regulatory oversight</w:t>
      </w:r>
      <w:bookmarkEnd w:id="49"/>
      <w:r w:rsidRPr="00DD1B58">
        <w:rPr>
          <w:lang w:val="en-US"/>
        </w:rPr>
        <w:t xml:space="preserve"> </w:t>
      </w:r>
    </w:p>
    <w:p w14:paraId="6A9175BB" w14:textId="3DA0FC04" w:rsidR="000838B1" w:rsidRPr="00DD1B58" w:rsidRDefault="00D11844" w:rsidP="008077BA">
      <w:pPr>
        <w:rPr>
          <w:lang w:val="en-US"/>
        </w:rPr>
      </w:pPr>
      <w:r w:rsidRPr="00DD1B58">
        <w:rPr>
          <w:lang w:val="en-US"/>
        </w:rPr>
        <w:t>ONR’s regulatory approach</w:t>
      </w:r>
      <w:r w:rsidR="00850047" w:rsidRPr="00DD1B58">
        <w:rPr>
          <w:lang w:val="en-US"/>
        </w:rPr>
        <w:t xml:space="preserve"> as described in </w:t>
      </w:r>
      <w:r w:rsidR="003F393F" w:rsidRPr="00DD1B58">
        <w:rPr>
          <w:lang w:val="en-US"/>
        </w:rPr>
        <w:t>S</w:t>
      </w:r>
      <w:r w:rsidR="00850047" w:rsidRPr="00DD1B58">
        <w:rPr>
          <w:lang w:val="en-US"/>
        </w:rPr>
        <w:t>ection II-2.3.</w:t>
      </w:r>
      <w:r w:rsidR="003A1C7C" w:rsidRPr="00DD1B58">
        <w:rPr>
          <w:lang w:val="en-US"/>
        </w:rPr>
        <w:t>6.5 applies</w:t>
      </w:r>
      <w:r w:rsidR="002C4549" w:rsidRPr="00DD1B58">
        <w:rPr>
          <w:lang w:val="en-US"/>
        </w:rPr>
        <w:t xml:space="preserve"> to Springfields Fuels </w:t>
      </w:r>
      <w:r w:rsidR="00BF0D1B" w:rsidRPr="00DD1B58">
        <w:rPr>
          <w:lang w:val="en-US"/>
        </w:rPr>
        <w:t>Ltd</w:t>
      </w:r>
      <w:r w:rsidR="003F393F" w:rsidRPr="00DD1B58">
        <w:rPr>
          <w:lang w:val="en-US"/>
        </w:rPr>
        <w:t>.</w:t>
      </w:r>
      <w:r w:rsidR="003E3959" w:rsidRPr="00DD1B58">
        <w:rPr>
          <w:lang w:val="en-US"/>
        </w:rPr>
        <w:t xml:space="preserve"> </w:t>
      </w:r>
      <w:r w:rsidR="007A3DA8" w:rsidRPr="00DD1B58">
        <w:rPr>
          <w:lang w:val="en-US"/>
        </w:rPr>
        <w:t xml:space="preserve">ONR </w:t>
      </w:r>
      <w:r w:rsidR="00621784" w:rsidRPr="00DD1B58">
        <w:rPr>
          <w:lang w:val="en-US"/>
        </w:rPr>
        <w:t>has undertaken m</w:t>
      </w:r>
      <w:r w:rsidR="003E3959" w:rsidRPr="00DD1B58">
        <w:rPr>
          <w:lang w:val="en-US"/>
        </w:rPr>
        <w:t xml:space="preserve">ultiple fire safety </w:t>
      </w:r>
      <w:r w:rsidR="00596CC2" w:rsidRPr="00DD1B58">
        <w:rPr>
          <w:lang w:val="en-US"/>
        </w:rPr>
        <w:t xml:space="preserve">inspections </w:t>
      </w:r>
      <w:r w:rsidR="007A3DA8" w:rsidRPr="00DD1B58">
        <w:rPr>
          <w:lang w:val="en-US"/>
        </w:rPr>
        <w:t>at the site (2021, 2019, 2017 and 2016), focused on life fire</w:t>
      </w:r>
      <w:r w:rsidR="0018531F" w:rsidRPr="00DD1B58">
        <w:rPr>
          <w:lang w:val="en-US"/>
        </w:rPr>
        <w:t xml:space="preserve"> safety </w:t>
      </w:r>
      <w:r w:rsidR="007A3DA8" w:rsidRPr="00DD1B58">
        <w:rPr>
          <w:lang w:val="en-US"/>
        </w:rPr>
        <w:t>due to the site’s risk profiles</w:t>
      </w:r>
      <w:r w:rsidR="00167673" w:rsidRPr="00DD1B58">
        <w:rPr>
          <w:lang w:val="en-US"/>
        </w:rPr>
        <w:t>.</w:t>
      </w:r>
      <w:r w:rsidR="00C44362" w:rsidRPr="00DD1B58">
        <w:rPr>
          <w:lang w:val="en-US"/>
        </w:rPr>
        <w:t xml:space="preserve"> </w:t>
      </w:r>
      <w:r w:rsidR="00CC1027" w:rsidRPr="00DD1B58">
        <w:rPr>
          <w:lang w:val="en-US"/>
        </w:rPr>
        <w:t xml:space="preserve">These inspections resulted in three regulatory issues </w:t>
      </w:r>
      <w:r w:rsidR="00F70A68" w:rsidRPr="00DD1B58">
        <w:rPr>
          <w:lang w:val="en-US"/>
        </w:rPr>
        <w:t>at level 4 (lowest level)</w:t>
      </w:r>
      <w:r w:rsidR="0049132A" w:rsidRPr="00DD1B58">
        <w:rPr>
          <w:lang w:val="en-US"/>
        </w:rPr>
        <w:t xml:space="preserve"> which have all since been</w:t>
      </w:r>
      <w:r w:rsidR="00167673" w:rsidRPr="00DD1B58">
        <w:rPr>
          <w:lang w:val="en-US"/>
        </w:rPr>
        <w:t xml:space="preserve"> adequately addressed and</w:t>
      </w:r>
      <w:r w:rsidR="0049132A" w:rsidRPr="00DD1B58">
        <w:rPr>
          <w:lang w:val="en-US"/>
        </w:rPr>
        <w:t xml:space="preserve"> closed out. </w:t>
      </w:r>
      <w:r w:rsidR="009A1AD8" w:rsidRPr="00DD1B58">
        <w:rPr>
          <w:lang w:val="en-US"/>
        </w:rPr>
        <w:t xml:space="preserve">These issues </w:t>
      </w:r>
      <w:r w:rsidR="00A1052E" w:rsidRPr="00DD1B58">
        <w:rPr>
          <w:lang w:val="en-US"/>
        </w:rPr>
        <w:t xml:space="preserve">related to housekeeping, the implementation of suitable fire alarm and detection for life safety purposes and fire safety management with respect to FRA findings. </w:t>
      </w:r>
      <w:r w:rsidR="0049132A" w:rsidRPr="00DD1B58">
        <w:rPr>
          <w:lang w:val="en-US"/>
        </w:rPr>
        <w:t>A combined nuclear fi</w:t>
      </w:r>
      <w:r w:rsidR="00762A6C" w:rsidRPr="00DD1B58">
        <w:rPr>
          <w:lang w:val="en-US"/>
        </w:rPr>
        <w:t>re safety</w:t>
      </w:r>
      <w:r w:rsidR="007C3F42" w:rsidRPr="00DD1B58">
        <w:rPr>
          <w:lang w:val="en-US"/>
        </w:rPr>
        <w:t>/</w:t>
      </w:r>
      <w:r w:rsidR="00B662D2" w:rsidRPr="00DD1B58">
        <w:rPr>
          <w:lang w:val="en-US"/>
        </w:rPr>
        <w:t xml:space="preserve">life fire safety </w:t>
      </w:r>
      <w:r w:rsidR="00194D15" w:rsidRPr="00DD1B58">
        <w:rPr>
          <w:lang w:val="en-US"/>
        </w:rPr>
        <w:t xml:space="preserve">inspection is planned </w:t>
      </w:r>
      <w:r w:rsidR="004D30BF" w:rsidRPr="00DD1B58">
        <w:rPr>
          <w:lang w:val="en-US"/>
        </w:rPr>
        <w:t>for 2023.</w:t>
      </w:r>
    </w:p>
    <w:p w14:paraId="695E7F6B" w14:textId="77777777" w:rsidR="6EFDD43C" w:rsidRPr="00DD1B58" w:rsidRDefault="6EFDD43C" w:rsidP="00BE590C">
      <w:pPr>
        <w:pStyle w:val="Heading4"/>
        <w:numPr>
          <w:ilvl w:val="4"/>
          <w:numId w:val="3"/>
        </w:numPr>
        <w:rPr>
          <w:lang w:val="en-US"/>
        </w:rPr>
      </w:pPr>
      <w:r w:rsidRPr="00DD1B58">
        <w:rPr>
          <w:lang w:val="en-US"/>
        </w:rPr>
        <w:t>Conclusions drawn on the adequacy of the licensee’s fire safety analyses</w:t>
      </w:r>
    </w:p>
    <w:p w14:paraId="7E99E39D" w14:textId="44728845" w:rsidR="6C4D33C6" w:rsidRPr="00DD1B58" w:rsidRDefault="00555AF8" w:rsidP="0040025D">
      <w:pPr>
        <w:rPr>
          <w:lang w:val="en-US"/>
        </w:rPr>
      </w:pPr>
      <w:r w:rsidRPr="00DD1B58">
        <w:rPr>
          <w:lang w:val="en-US"/>
        </w:rPr>
        <w:t xml:space="preserve">ONR </w:t>
      </w:r>
      <w:r w:rsidR="00167673" w:rsidRPr="00DD1B58">
        <w:rPr>
          <w:lang w:val="en-US"/>
        </w:rPr>
        <w:t xml:space="preserve">concluded </w:t>
      </w:r>
      <w:r w:rsidRPr="00DD1B58">
        <w:rPr>
          <w:lang w:val="en-US"/>
        </w:rPr>
        <w:t xml:space="preserve">that </w:t>
      </w:r>
      <w:r w:rsidR="003F393F" w:rsidRPr="00DD1B58">
        <w:rPr>
          <w:lang w:val="en-US"/>
        </w:rPr>
        <w:t>Springfields Fuels Ltd</w:t>
      </w:r>
      <w:r w:rsidRPr="00DD1B58">
        <w:rPr>
          <w:lang w:val="en-US"/>
        </w:rPr>
        <w:t xml:space="preserve"> </w:t>
      </w:r>
      <w:r w:rsidR="00167673" w:rsidRPr="00DD1B58">
        <w:rPr>
          <w:lang w:val="en-US"/>
        </w:rPr>
        <w:t xml:space="preserve">developed and applies an adequate </w:t>
      </w:r>
      <w:r w:rsidRPr="00DD1B58">
        <w:rPr>
          <w:lang w:val="en-US"/>
        </w:rPr>
        <w:t xml:space="preserve">fire safety analysis process </w:t>
      </w:r>
      <w:r w:rsidR="00122E3B" w:rsidRPr="00DD1B58">
        <w:rPr>
          <w:lang w:val="en-US"/>
        </w:rPr>
        <w:t xml:space="preserve">which implements relevant </w:t>
      </w:r>
      <w:r w:rsidR="00167673" w:rsidRPr="00DD1B58">
        <w:rPr>
          <w:lang w:val="en-US"/>
        </w:rPr>
        <w:t>standards and guidance</w:t>
      </w:r>
      <w:r w:rsidR="00ED6FEA" w:rsidRPr="00DD1B58">
        <w:rPr>
          <w:lang w:val="en-US"/>
        </w:rPr>
        <w:t xml:space="preserve">. </w:t>
      </w:r>
      <w:r w:rsidR="004D6701" w:rsidRPr="00DD1B58">
        <w:rPr>
          <w:lang w:val="en-US"/>
        </w:rPr>
        <w:t xml:space="preserve">The fire safety analysis </w:t>
      </w:r>
      <w:r w:rsidR="00D417A1" w:rsidRPr="00DD1B58">
        <w:rPr>
          <w:lang w:val="en-US"/>
        </w:rPr>
        <w:t xml:space="preserve">relies on engineering judgement and </w:t>
      </w:r>
      <w:r w:rsidR="00500EC2" w:rsidRPr="00DD1B58">
        <w:rPr>
          <w:lang w:val="en-US"/>
        </w:rPr>
        <w:t>hand calculations</w:t>
      </w:r>
      <w:r w:rsidR="00167673" w:rsidRPr="00DD1B58">
        <w:rPr>
          <w:lang w:val="en-US"/>
        </w:rPr>
        <w:t xml:space="preserve">, </w:t>
      </w:r>
      <w:r w:rsidR="00B31A3B" w:rsidRPr="00DD1B58">
        <w:rPr>
          <w:lang w:val="en-US"/>
        </w:rPr>
        <w:t>but also</w:t>
      </w:r>
      <w:r w:rsidR="00167673" w:rsidRPr="00DD1B58">
        <w:rPr>
          <w:lang w:val="en-US"/>
        </w:rPr>
        <w:t xml:space="preserve"> assesses fire loading</w:t>
      </w:r>
      <w:r w:rsidR="00B31A3B" w:rsidRPr="00DD1B58">
        <w:rPr>
          <w:lang w:val="en-US"/>
        </w:rPr>
        <w:t>s</w:t>
      </w:r>
      <w:r w:rsidR="00167673" w:rsidRPr="00DD1B58">
        <w:rPr>
          <w:lang w:val="en-US"/>
        </w:rPr>
        <w:t xml:space="preserve"> </w:t>
      </w:r>
      <w:r w:rsidR="00500EC2" w:rsidRPr="00DD1B58">
        <w:rPr>
          <w:lang w:val="en-US"/>
        </w:rPr>
        <w:t>quantitatively</w:t>
      </w:r>
      <w:r w:rsidR="002A1524" w:rsidRPr="00DD1B58">
        <w:rPr>
          <w:lang w:val="en-US"/>
        </w:rPr>
        <w:t xml:space="preserve">. </w:t>
      </w:r>
      <w:r w:rsidR="00B31A3B" w:rsidRPr="00DD1B58">
        <w:rPr>
          <w:lang w:val="en-US"/>
        </w:rPr>
        <w:t>ONR judges that this is proportionate to the facilities’ radiological hazards and risks and aligned with ONR expectations in the SAPs and TAGs. ONR has nevertheless identified an ar</w:t>
      </w:r>
      <w:r w:rsidR="00360351" w:rsidRPr="00DD1B58">
        <w:rPr>
          <w:lang w:val="en-US"/>
        </w:rPr>
        <w:t>ea of improvement</w:t>
      </w:r>
      <w:r w:rsidR="00B31A3B" w:rsidRPr="00DD1B58">
        <w:rPr>
          <w:lang w:val="en-US"/>
        </w:rPr>
        <w:t xml:space="preserve"> for </w:t>
      </w:r>
      <w:r w:rsidR="00134292" w:rsidRPr="00DD1B58">
        <w:rPr>
          <w:lang w:val="en-US"/>
        </w:rPr>
        <w:t>Springfields Fuels Ltd</w:t>
      </w:r>
      <w:r w:rsidR="00B31A3B" w:rsidRPr="00DD1B58">
        <w:rPr>
          <w:lang w:val="en-US"/>
        </w:rPr>
        <w:t xml:space="preserve"> relating to </w:t>
      </w:r>
      <w:r w:rsidR="00E147D7" w:rsidRPr="00DD1B58">
        <w:rPr>
          <w:lang w:val="en-US"/>
        </w:rPr>
        <w:t>the assessment of combined and consequential hazards</w:t>
      </w:r>
      <w:r w:rsidR="00EC59DE" w:rsidRPr="00DD1B58">
        <w:rPr>
          <w:lang w:val="en-US"/>
        </w:rPr>
        <w:t>:</w:t>
      </w:r>
      <w:r w:rsidR="00E147D7" w:rsidRPr="00DD1B58">
        <w:rPr>
          <w:lang w:val="en-US"/>
        </w:rPr>
        <w:t xml:space="preserve"> </w:t>
      </w:r>
      <w:r w:rsidR="000B70E1" w:rsidRPr="00DD1B58">
        <w:rPr>
          <w:lang w:val="en-US"/>
        </w:rPr>
        <w:t>the development</w:t>
      </w:r>
      <w:r w:rsidR="00EC59DE" w:rsidRPr="00DD1B58">
        <w:rPr>
          <w:lang w:val="en-US"/>
        </w:rPr>
        <w:t xml:space="preserve">, formalisation and </w:t>
      </w:r>
      <w:r w:rsidR="000B70E1" w:rsidRPr="00DD1B58">
        <w:rPr>
          <w:lang w:val="en-US"/>
        </w:rPr>
        <w:t xml:space="preserve">application of a suitable methodology for </w:t>
      </w:r>
      <w:r w:rsidR="00EC59DE" w:rsidRPr="00DD1B58">
        <w:rPr>
          <w:lang w:val="en-US"/>
        </w:rPr>
        <w:t>assessment of</w:t>
      </w:r>
      <w:r w:rsidR="000B70E1" w:rsidRPr="00DD1B58">
        <w:rPr>
          <w:lang w:val="en-US"/>
        </w:rPr>
        <w:t xml:space="preserve"> combined hazard</w:t>
      </w:r>
      <w:r w:rsidR="00EC59DE" w:rsidRPr="00DD1B58">
        <w:rPr>
          <w:lang w:val="en-US"/>
        </w:rPr>
        <w:t>s</w:t>
      </w:r>
      <w:r w:rsidR="003F393F" w:rsidRPr="00DD1B58">
        <w:rPr>
          <w:lang w:val="en-US"/>
        </w:rPr>
        <w:t>,</w:t>
      </w:r>
      <w:r w:rsidR="00EC59DE" w:rsidRPr="00DD1B58">
        <w:rPr>
          <w:lang w:val="en-US"/>
        </w:rPr>
        <w:t xml:space="preserve"> </w:t>
      </w:r>
      <w:r w:rsidR="003C4CE7" w:rsidRPr="00DD1B58">
        <w:rPr>
          <w:lang w:val="en-US"/>
        </w:rPr>
        <w:t>including fire</w:t>
      </w:r>
      <w:r w:rsidR="003F393F" w:rsidRPr="00DD1B58">
        <w:rPr>
          <w:lang w:val="en-US"/>
        </w:rPr>
        <w:t>,</w:t>
      </w:r>
      <w:r w:rsidR="00EC59DE" w:rsidRPr="00DD1B58">
        <w:rPr>
          <w:lang w:val="en-US"/>
        </w:rPr>
        <w:t xml:space="preserve"> </w:t>
      </w:r>
      <w:r w:rsidR="003C4CE7" w:rsidRPr="00DD1B58">
        <w:rPr>
          <w:lang w:val="en-US"/>
        </w:rPr>
        <w:t>proportionate to</w:t>
      </w:r>
      <w:r w:rsidR="000B70E1" w:rsidRPr="00DD1B58">
        <w:rPr>
          <w:lang w:val="en-US"/>
        </w:rPr>
        <w:t xml:space="preserve"> the site’s hazards and risks</w:t>
      </w:r>
      <w:r w:rsidR="00EC59DE" w:rsidRPr="00DD1B58">
        <w:rPr>
          <w:lang w:val="en-US"/>
        </w:rPr>
        <w:t xml:space="preserve">. The </w:t>
      </w:r>
      <w:r w:rsidR="00B31A3B" w:rsidRPr="00DD1B58">
        <w:rPr>
          <w:lang w:val="en-US"/>
        </w:rPr>
        <w:t>licensee</w:t>
      </w:r>
      <w:r w:rsidR="00EC59DE" w:rsidRPr="00DD1B58">
        <w:rPr>
          <w:lang w:val="en-US"/>
        </w:rPr>
        <w:t xml:space="preserve"> has recognised the</w:t>
      </w:r>
      <w:r w:rsidR="009D7E07" w:rsidRPr="00DD1B58">
        <w:rPr>
          <w:lang w:val="en-US"/>
        </w:rPr>
        <w:t xml:space="preserve"> gap </w:t>
      </w:r>
      <w:r w:rsidR="00346B53" w:rsidRPr="00DD1B58">
        <w:rPr>
          <w:lang w:val="en-US"/>
        </w:rPr>
        <w:t xml:space="preserve">and ONR will </w:t>
      </w:r>
      <w:r w:rsidR="00BB4C7E" w:rsidRPr="00DD1B58">
        <w:rPr>
          <w:lang w:val="en-US"/>
        </w:rPr>
        <w:t xml:space="preserve">monitor progress </w:t>
      </w:r>
      <w:r w:rsidR="007573F0" w:rsidRPr="00DD1B58">
        <w:rPr>
          <w:lang w:val="en-US"/>
        </w:rPr>
        <w:t>to completion</w:t>
      </w:r>
      <w:r w:rsidR="00BB4C7E" w:rsidRPr="00DD1B58">
        <w:rPr>
          <w:lang w:val="en-US"/>
        </w:rPr>
        <w:t>.</w:t>
      </w:r>
      <w:bookmarkStart w:id="50" w:name="_Hlk148610856"/>
      <w:r w:rsidR="000B15D1" w:rsidRPr="00DD1B58">
        <w:rPr>
          <w:lang w:val="en-US"/>
        </w:rPr>
        <w:t xml:space="preserve"> A combined nuclear fire safety and life fire safety inspection is planned at the Spring</w:t>
      </w:r>
      <w:r w:rsidR="00346F47" w:rsidRPr="00DD1B58">
        <w:rPr>
          <w:lang w:val="en-US"/>
        </w:rPr>
        <w:t>fields</w:t>
      </w:r>
      <w:r w:rsidR="000B15D1" w:rsidRPr="00DD1B58">
        <w:rPr>
          <w:lang w:val="en-US"/>
        </w:rPr>
        <w:t xml:space="preserve"> site for early 2024 which will examine the linkage between the nuclear fire safety case and implementation of fire safety measures, including any identified hazard combinations. Any outstanding actions required to address TPR2 findings will be tracked through regulatory issues.</w:t>
      </w:r>
      <w:bookmarkEnd w:id="50"/>
    </w:p>
    <w:p w14:paraId="70BDF265" w14:textId="77777777" w:rsidR="00BE590C" w:rsidRPr="00DD1B58" w:rsidRDefault="00DB3279" w:rsidP="00327321">
      <w:pPr>
        <w:pStyle w:val="Heading2"/>
        <w:rPr>
          <w:lang w:val="en-US"/>
        </w:rPr>
      </w:pPr>
      <w:bookmarkStart w:id="51" w:name="_Toc147090631"/>
      <w:r w:rsidRPr="00DD1B58">
        <w:rPr>
          <w:lang w:val="en-US"/>
        </w:rPr>
        <w:t>Dedicated spent fuel storage facilities</w:t>
      </w:r>
      <w:bookmarkEnd w:id="51"/>
    </w:p>
    <w:p w14:paraId="42091057" w14:textId="596EF849" w:rsidR="00DB3279" w:rsidRPr="00DD1B58" w:rsidRDefault="00BE590C" w:rsidP="00BE590C">
      <w:pPr>
        <w:rPr>
          <w:lang w:val="en-US"/>
        </w:rPr>
      </w:pPr>
      <w:r w:rsidRPr="00DD1B58">
        <w:rPr>
          <w:lang w:val="en-US"/>
        </w:rPr>
        <w:t xml:space="preserve">Dedicated spent fuel facilities on reactor sites are reported in </w:t>
      </w:r>
      <w:r w:rsidR="003F393F" w:rsidRPr="00DD1B58">
        <w:rPr>
          <w:lang w:val="en-US"/>
        </w:rPr>
        <w:t>S</w:t>
      </w:r>
      <w:r w:rsidRPr="00DD1B58">
        <w:rPr>
          <w:lang w:val="en-US"/>
        </w:rPr>
        <w:t>ection 2.1</w:t>
      </w:r>
      <w:r w:rsidR="003944E0" w:rsidRPr="00DD1B58">
        <w:rPr>
          <w:lang w:val="en-US"/>
        </w:rPr>
        <w:t xml:space="preserve">. Spent fuel management facilities at Sellafield are reported in </w:t>
      </w:r>
      <w:r w:rsidR="003F393F" w:rsidRPr="00DD1B58">
        <w:rPr>
          <w:lang w:val="en-US"/>
        </w:rPr>
        <w:t>S</w:t>
      </w:r>
      <w:r w:rsidR="003944E0" w:rsidRPr="00DD1B58">
        <w:rPr>
          <w:lang w:val="en-US"/>
        </w:rPr>
        <w:t>ection 2.5.</w:t>
      </w:r>
      <w:r w:rsidR="00DB3279" w:rsidRPr="00DD1B58">
        <w:rPr>
          <w:lang w:val="en-US"/>
        </w:rPr>
        <w:t xml:space="preserve"> </w:t>
      </w:r>
    </w:p>
    <w:p w14:paraId="70C4B8FD" w14:textId="77777777" w:rsidR="00C23E2E" w:rsidRPr="00DD1B58" w:rsidRDefault="00C23E2E" w:rsidP="00BE590C">
      <w:pPr>
        <w:rPr>
          <w:lang w:val="en-US"/>
        </w:rPr>
        <w:sectPr w:rsidR="00C23E2E" w:rsidRPr="00DD1B58" w:rsidSect="00B82646">
          <w:pgSz w:w="11906" w:h="16838" w:code="9"/>
          <w:pgMar w:top="1440" w:right="1080" w:bottom="1440" w:left="1080" w:header="397" w:footer="397" w:gutter="0"/>
          <w:cols w:space="312"/>
          <w:docGrid w:linePitch="360"/>
        </w:sectPr>
      </w:pPr>
    </w:p>
    <w:p w14:paraId="45F9A484" w14:textId="77777777" w:rsidR="00DB3279" w:rsidRPr="00DD1B58" w:rsidRDefault="00DB3279" w:rsidP="00327321">
      <w:pPr>
        <w:pStyle w:val="Heading2"/>
        <w:rPr>
          <w:lang w:val="en-US"/>
        </w:rPr>
      </w:pPr>
      <w:bookmarkStart w:id="52" w:name="_Ref134618392"/>
      <w:bookmarkStart w:id="53" w:name="_Toc147090632"/>
      <w:r w:rsidRPr="00DD1B58">
        <w:rPr>
          <w:lang w:val="en-US"/>
        </w:rPr>
        <w:t>Waste storage facilities</w:t>
      </w:r>
      <w:bookmarkEnd w:id="52"/>
      <w:bookmarkEnd w:id="53"/>
      <w:r w:rsidRPr="00DD1B58">
        <w:rPr>
          <w:lang w:val="en-US"/>
        </w:rPr>
        <w:t xml:space="preserve"> </w:t>
      </w:r>
    </w:p>
    <w:p w14:paraId="1529374B" w14:textId="1137F77E" w:rsidR="004C70B6" w:rsidRPr="00DD1B58" w:rsidRDefault="004C70B6" w:rsidP="004C70B6">
      <w:pPr>
        <w:pStyle w:val="Heading3"/>
        <w:rPr>
          <w:lang w:val="en-US"/>
        </w:rPr>
      </w:pPr>
      <w:bookmarkStart w:id="54" w:name="_Toc147090633"/>
      <w:r w:rsidRPr="00DD1B58">
        <w:rPr>
          <w:lang w:val="en-US"/>
        </w:rPr>
        <w:t xml:space="preserve">Sellafield </w:t>
      </w:r>
      <w:r w:rsidR="003F393F" w:rsidRPr="00DD1B58">
        <w:rPr>
          <w:lang w:val="en-US"/>
        </w:rPr>
        <w:t>f</w:t>
      </w:r>
      <w:r w:rsidRPr="00DD1B58">
        <w:rPr>
          <w:lang w:val="en-US"/>
        </w:rPr>
        <w:t>acilities</w:t>
      </w:r>
      <w:bookmarkEnd w:id="54"/>
    </w:p>
    <w:p w14:paraId="693AFBD4" w14:textId="2DA2040E" w:rsidR="00DC0B04" w:rsidRPr="00DD1B58" w:rsidRDefault="00AE2886" w:rsidP="00DC0B04">
      <w:pPr>
        <w:rPr>
          <w:lang w:val="en-US"/>
        </w:rPr>
      </w:pPr>
      <w:r w:rsidRPr="00DD1B58">
        <w:rPr>
          <w:lang w:val="en-US"/>
        </w:rPr>
        <w:t xml:space="preserve">The text in this section of the report has been prepared by </w:t>
      </w:r>
      <w:r w:rsidR="00134292" w:rsidRPr="00DD1B58">
        <w:rPr>
          <w:lang w:val="en-US"/>
        </w:rPr>
        <w:t>Sellafield Ltd</w:t>
      </w:r>
      <w:r w:rsidRPr="00DD1B58">
        <w:rPr>
          <w:lang w:val="en-US"/>
        </w:rPr>
        <w:t xml:space="preserve">, with </w:t>
      </w:r>
      <w:r w:rsidR="00430AF4" w:rsidRPr="00DD1B58">
        <w:rPr>
          <w:lang w:val="en-US"/>
        </w:rPr>
        <w:t>minor changes for conciseness and clarity made by ONR</w:t>
      </w:r>
      <w:r w:rsidRPr="00DD1B58">
        <w:rPr>
          <w:lang w:val="en-US"/>
        </w:rPr>
        <w:t>.</w:t>
      </w:r>
      <w:r w:rsidR="00DC0B04" w:rsidRPr="00DD1B58">
        <w:rPr>
          <w:lang w:val="en-US"/>
        </w:rPr>
        <w:t xml:space="preserve"> </w:t>
      </w:r>
      <w:r w:rsidR="003F393F" w:rsidRPr="00DD1B58">
        <w:rPr>
          <w:lang w:val="en-US"/>
        </w:rPr>
        <w:t>To avoid</w:t>
      </w:r>
      <w:r w:rsidR="00DC0B04" w:rsidRPr="00DD1B58">
        <w:rPr>
          <w:lang w:val="en-US"/>
        </w:rPr>
        <w:t xml:space="preserve"> duplication, all </w:t>
      </w:r>
      <w:r w:rsidR="004668E0" w:rsidRPr="00DD1B58">
        <w:rPr>
          <w:lang w:val="en-US"/>
        </w:rPr>
        <w:t xml:space="preserve">Sellafield Ltd. </w:t>
      </w:r>
      <w:r w:rsidR="00DC0B04" w:rsidRPr="00DD1B58">
        <w:rPr>
          <w:lang w:val="en-US"/>
        </w:rPr>
        <w:t xml:space="preserve">facilities, including waste processing </w:t>
      </w:r>
      <w:r w:rsidR="00387B72" w:rsidRPr="00DD1B58">
        <w:rPr>
          <w:lang w:val="en-US"/>
        </w:rPr>
        <w:t xml:space="preserve">and decommissioning </w:t>
      </w:r>
      <w:r w:rsidR="00DC0B04" w:rsidRPr="00DD1B58">
        <w:rPr>
          <w:lang w:val="en-US"/>
        </w:rPr>
        <w:t>facilities</w:t>
      </w:r>
      <w:r w:rsidR="003F393F" w:rsidRPr="00DD1B58">
        <w:rPr>
          <w:lang w:val="en-US"/>
        </w:rPr>
        <w:t>,</w:t>
      </w:r>
      <w:r w:rsidR="00DC0B04" w:rsidRPr="00DD1B58">
        <w:rPr>
          <w:lang w:val="en-US"/>
        </w:rPr>
        <w:t xml:space="preserve"> are reported in this section.</w:t>
      </w:r>
    </w:p>
    <w:p w14:paraId="16DBEE14" w14:textId="77777777" w:rsidR="00325B7D" w:rsidRPr="00DD1B58" w:rsidRDefault="00325B7D" w:rsidP="003944E0">
      <w:pPr>
        <w:pStyle w:val="Heading4"/>
        <w:rPr>
          <w:lang w:val="en-US"/>
        </w:rPr>
      </w:pPr>
      <w:bookmarkStart w:id="55" w:name="_Ref139552667"/>
      <w:r w:rsidRPr="00DD1B58">
        <w:rPr>
          <w:lang w:val="en-US"/>
        </w:rPr>
        <w:t>Types and scope of the fire safety analyses</w:t>
      </w:r>
      <w:bookmarkEnd w:id="55"/>
      <w:r w:rsidRPr="00DD1B58">
        <w:rPr>
          <w:lang w:val="en-US"/>
        </w:rPr>
        <w:t xml:space="preserve"> </w:t>
      </w:r>
    </w:p>
    <w:p w14:paraId="0E4924A0" w14:textId="77777777" w:rsidR="00F26D71" w:rsidRPr="00DD1B58" w:rsidRDefault="00F26D71" w:rsidP="003944E0">
      <w:pPr>
        <w:pStyle w:val="Heading4"/>
        <w:numPr>
          <w:ilvl w:val="4"/>
          <w:numId w:val="3"/>
        </w:numPr>
        <w:rPr>
          <w:lang w:val="en-US"/>
        </w:rPr>
      </w:pPr>
      <w:r w:rsidRPr="00DD1B58">
        <w:rPr>
          <w:lang w:val="en-US"/>
        </w:rPr>
        <w:t>Principles</w:t>
      </w:r>
    </w:p>
    <w:p w14:paraId="270EB9CF" w14:textId="684A1ABC" w:rsidR="001048F7" w:rsidRPr="00DD1B58" w:rsidRDefault="006C364F" w:rsidP="001048F7">
      <w:pPr>
        <w:rPr>
          <w:lang w:val="en-US"/>
        </w:rPr>
      </w:pPr>
      <w:r w:rsidRPr="00DD1B58">
        <w:rPr>
          <w:lang w:val="en-US"/>
        </w:rPr>
        <w:t xml:space="preserve">Sellafield </w:t>
      </w:r>
      <w:r w:rsidR="00BF0D1B" w:rsidRPr="00DD1B58">
        <w:rPr>
          <w:lang w:val="en-US"/>
        </w:rPr>
        <w:t>Ltd</w:t>
      </w:r>
      <w:r w:rsidR="00D7676F" w:rsidRPr="00DD1B58">
        <w:rPr>
          <w:lang w:val="en-US"/>
        </w:rPr>
        <w:t>.</w:t>
      </w:r>
      <w:r w:rsidRPr="00DD1B58">
        <w:rPr>
          <w:lang w:val="en-US"/>
        </w:rPr>
        <w:t xml:space="preserve"> state</w:t>
      </w:r>
      <w:r w:rsidR="001743D2" w:rsidRPr="00DD1B58">
        <w:rPr>
          <w:lang w:val="en-US"/>
        </w:rPr>
        <w:t>s</w:t>
      </w:r>
      <w:r w:rsidRPr="00DD1B58">
        <w:rPr>
          <w:lang w:val="en-US"/>
        </w:rPr>
        <w:t xml:space="preserve"> that a</w:t>
      </w:r>
      <w:r w:rsidR="001048F7" w:rsidRPr="00DD1B58">
        <w:rPr>
          <w:lang w:val="en-US"/>
        </w:rPr>
        <w:t xml:space="preserve"> Nuclear Fire Safety Analysis </w:t>
      </w:r>
      <w:r w:rsidR="00502D6A" w:rsidRPr="00DD1B58">
        <w:rPr>
          <w:lang w:val="en-US"/>
        </w:rPr>
        <w:t xml:space="preserve">(NFSA) </w:t>
      </w:r>
      <w:r w:rsidR="001048F7" w:rsidRPr="00DD1B58">
        <w:rPr>
          <w:lang w:val="en-US"/>
        </w:rPr>
        <w:t xml:space="preserve">applies to all facilities that require a </w:t>
      </w:r>
      <w:r w:rsidR="001743D2" w:rsidRPr="00DD1B58">
        <w:rPr>
          <w:lang w:val="en-US"/>
        </w:rPr>
        <w:t>n</w:t>
      </w:r>
      <w:r w:rsidR="001048F7" w:rsidRPr="00DD1B58">
        <w:rPr>
          <w:lang w:val="en-US"/>
        </w:rPr>
        <w:t xml:space="preserve">uclear </w:t>
      </w:r>
      <w:r w:rsidR="001743D2" w:rsidRPr="00DD1B58">
        <w:rPr>
          <w:lang w:val="en-US"/>
        </w:rPr>
        <w:t>s</w:t>
      </w:r>
      <w:r w:rsidR="001048F7" w:rsidRPr="00DD1B58">
        <w:rPr>
          <w:lang w:val="en-US"/>
        </w:rPr>
        <w:t>afety</w:t>
      </w:r>
      <w:r w:rsidR="001743D2" w:rsidRPr="00DD1B58">
        <w:rPr>
          <w:lang w:val="en-US"/>
        </w:rPr>
        <w:t xml:space="preserve"> c</w:t>
      </w:r>
      <w:r w:rsidR="001048F7" w:rsidRPr="00DD1B58">
        <w:rPr>
          <w:lang w:val="en-US"/>
        </w:rPr>
        <w:t>ase and to all phases of the plant/facility life cycle</w:t>
      </w:r>
      <w:r w:rsidR="001743D2" w:rsidRPr="00DD1B58">
        <w:rPr>
          <w:lang w:val="en-US"/>
        </w:rPr>
        <w:t>,</w:t>
      </w:r>
      <w:r w:rsidR="001048F7" w:rsidRPr="00DD1B58">
        <w:rPr>
          <w:lang w:val="en-US"/>
        </w:rPr>
        <w:t xml:space="preserve"> from design through to decommissioning and returning the site back to the land</w:t>
      </w:r>
      <w:r w:rsidR="001743D2" w:rsidRPr="00DD1B58">
        <w:rPr>
          <w:lang w:val="en-US"/>
        </w:rPr>
        <w:t>’</w:t>
      </w:r>
      <w:r w:rsidR="001048F7" w:rsidRPr="00DD1B58">
        <w:rPr>
          <w:lang w:val="en-US"/>
        </w:rPr>
        <w:t>s original state as required by UK legislation and the Nuclear Site License.</w:t>
      </w:r>
    </w:p>
    <w:p w14:paraId="0CA43C2A" w14:textId="13B35D05" w:rsidR="001048F7" w:rsidRPr="00DD1B58" w:rsidRDefault="006C364F" w:rsidP="001048F7">
      <w:pPr>
        <w:rPr>
          <w:lang w:val="en-US"/>
        </w:rPr>
      </w:pPr>
      <w:r w:rsidRPr="00DD1B58">
        <w:rPr>
          <w:lang w:val="en-US"/>
        </w:rPr>
        <w:t xml:space="preserve">Sellafield </w:t>
      </w:r>
      <w:r w:rsidR="00BF0D1B" w:rsidRPr="00DD1B58">
        <w:rPr>
          <w:lang w:val="en-US"/>
        </w:rPr>
        <w:t>Ltd</w:t>
      </w:r>
      <w:r w:rsidR="00D7676F" w:rsidRPr="00DD1B58">
        <w:rPr>
          <w:lang w:val="en-US"/>
        </w:rPr>
        <w:t>.</w:t>
      </w:r>
      <w:r w:rsidRPr="00DD1B58">
        <w:rPr>
          <w:lang w:val="en-US"/>
        </w:rPr>
        <w:t xml:space="preserve"> report</w:t>
      </w:r>
      <w:r w:rsidR="006025D9" w:rsidRPr="00DD1B58">
        <w:rPr>
          <w:lang w:val="en-US"/>
        </w:rPr>
        <w:t>s</w:t>
      </w:r>
      <w:r w:rsidRPr="00DD1B58">
        <w:rPr>
          <w:lang w:val="en-US"/>
        </w:rPr>
        <w:t xml:space="preserve"> that the </w:t>
      </w:r>
      <w:r w:rsidR="001048F7" w:rsidRPr="00DD1B58">
        <w:rPr>
          <w:lang w:val="en-US"/>
        </w:rPr>
        <w:t xml:space="preserve">Safety Case Process and Methods Technical Guidance on </w:t>
      </w:r>
      <w:r w:rsidR="00502D6A" w:rsidRPr="00DD1B58">
        <w:rPr>
          <w:lang w:val="en-US"/>
        </w:rPr>
        <w:t>NFSA</w:t>
      </w:r>
      <w:r w:rsidR="001048F7" w:rsidRPr="00DD1B58">
        <w:rPr>
          <w:lang w:val="en-US"/>
        </w:rPr>
        <w:t xml:space="preserve"> </w:t>
      </w:r>
      <w:sdt>
        <w:sdtPr>
          <w:rPr>
            <w:lang w:val="en-US"/>
          </w:rPr>
          <w:id w:val="1309053681"/>
          <w:citation/>
        </w:sdtPr>
        <w:sdtContent>
          <w:r w:rsidR="00185BC6" w:rsidRPr="00DD1B58">
            <w:rPr>
              <w:lang w:val="en-US"/>
            </w:rPr>
            <w:fldChar w:fldCharType="begin"/>
          </w:r>
          <w:r w:rsidR="00E858D1" w:rsidRPr="00DD1B58">
            <w:rPr>
              <w:lang w:val="en-US"/>
            </w:rPr>
            <w:instrText xml:space="preserve">CITATION Sel161 \l 2057 </w:instrText>
          </w:r>
          <w:r w:rsidR="00185BC6" w:rsidRPr="00DD1B58">
            <w:rPr>
              <w:lang w:val="en-US"/>
            </w:rPr>
            <w:fldChar w:fldCharType="separate"/>
          </w:r>
          <w:r w:rsidR="00DF47DA" w:rsidRPr="00DF47DA">
            <w:rPr>
              <w:noProof/>
              <w:lang w:val="en-US"/>
            </w:rPr>
            <w:t>[99]</w:t>
          </w:r>
          <w:r w:rsidR="00185BC6" w:rsidRPr="00DD1B58">
            <w:rPr>
              <w:lang w:val="en-US"/>
            </w:rPr>
            <w:fldChar w:fldCharType="end"/>
          </w:r>
        </w:sdtContent>
      </w:sdt>
      <w:r w:rsidR="001048F7" w:rsidRPr="00DD1B58">
        <w:rPr>
          <w:lang w:val="en-US"/>
        </w:rPr>
        <w:t xml:space="preserve"> is proportionate to the radiological risks within the plant being assessed and offers a variety of methods and approaches for undertaking such assessments. The guide requires that an assessment of all fault sequences identified in supporting documentation</w:t>
      </w:r>
      <w:r w:rsidR="00000855" w:rsidRPr="00DD1B58">
        <w:rPr>
          <w:lang w:val="en-US"/>
        </w:rPr>
        <w:t>,</w:t>
      </w:r>
      <w:r w:rsidR="001048F7" w:rsidRPr="00DD1B58">
        <w:rPr>
          <w:lang w:val="en-US"/>
        </w:rPr>
        <w:t xml:space="preserve"> </w:t>
      </w:r>
      <w:r w:rsidR="00000855" w:rsidRPr="00DD1B58">
        <w:rPr>
          <w:lang w:val="en-US"/>
        </w:rPr>
        <w:t xml:space="preserve">such as </w:t>
      </w:r>
      <w:r w:rsidR="001048F7" w:rsidRPr="00DD1B58">
        <w:rPr>
          <w:lang w:val="en-US"/>
        </w:rPr>
        <w:t>Radiological Safety Assessments (and Criticality Assessments if applicable)</w:t>
      </w:r>
      <w:r w:rsidR="00000855" w:rsidRPr="00DD1B58">
        <w:rPr>
          <w:lang w:val="en-US"/>
        </w:rPr>
        <w:t>,</w:t>
      </w:r>
      <w:r w:rsidR="001048F7" w:rsidRPr="00DD1B58">
        <w:rPr>
          <w:lang w:val="en-US"/>
        </w:rPr>
        <w:t xml:space="preserve"> is carried out in an NFSA to ascertain whether fire could credibly impact upon them. The main points </w:t>
      </w:r>
      <w:r w:rsidR="001179A4" w:rsidRPr="00DD1B58">
        <w:rPr>
          <w:lang w:val="en-US"/>
        </w:rPr>
        <w:t>considered</w:t>
      </w:r>
      <w:r w:rsidR="00B852C3" w:rsidRPr="00DD1B58">
        <w:rPr>
          <w:lang w:val="en-US"/>
        </w:rPr>
        <w:t xml:space="preserve"> by </w:t>
      </w:r>
      <w:r w:rsidR="004668E0" w:rsidRPr="00DD1B58">
        <w:rPr>
          <w:lang w:val="en-US"/>
        </w:rPr>
        <w:t xml:space="preserve">Sellafield Ltd. </w:t>
      </w:r>
      <w:r w:rsidR="001179A4" w:rsidRPr="00DD1B58">
        <w:rPr>
          <w:lang w:val="en-US"/>
        </w:rPr>
        <w:t>are</w:t>
      </w:r>
      <w:r w:rsidR="001048F7" w:rsidRPr="00DD1B58">
        <w:rPr>
          <w:lang w:val="en-US"/>
        </w:rPr>
        <w:t xml:space="preserve">: </w:t>
      </w:r>
    </w:p>
    <w:p w14:paraId="13A4BE99" w14:textId="57A9B6E8" w:rsidR="001048F7" w:rsidRPr="00DD1B58" w:rsidRDefault="001048F7" w:rsidP="00327321">
      <w:pPr>
        <w:pStyle w:val="Bulletlist1"/>
        <w:rPr>
          <w:lang w:val="en-US"/>
        </w:rPr>
      </w:pPr>
      <w:r w:rsidRPr="00DD1B58">
        <w:rPr>
          <w:lang w:val="en-US"/>
        </w:rPr>
        <w:t>Can a fire event prevent the identified Safety Measures from completing their Safety Function?</w:t>
      </w:r>
    </w:p>
    <w:p w14:paraId="3230B4EC" w14:textId="04CB7569" w:rsidR="001048F7" w:rsidRPr="00DD1B58" w:rsidRDefault="001048F7" w:rsidP="00327321">
      <w:pPr>
        <w:pStyle w:val="Bulletlist1"/>
        <w:rPr>
          <w:lang w:val="en-US"/>
        </w:rPr>
      </w:pPr>
      <w:r w:rsidRPr="00DD1B58">
        <w:rPr>
          <w:lang w:val="en-US"/>
        </w:rPr>
        <w:t>Could a fire event initiate the fault sequence and if so, are there any common failures</w:t>
      </w:r>
      <w:r w:rsidR="00F133B9" w:rsidRPr="00DD1B58">
        <w:rPr>
          <w:lang w:val="en-US"/>
        </w:rPr>
        <w:t>,</w:t>
      </w:r>
      <w:r w:rsidRPr="00DD1B58">
        <w:rPr>
          <w:lang w:val="en-US"/>
        </w:rPr>
        <w:t xml:space="preserve"> i.e.</w:t>
      </w:r>
      <w:r w:rsidR="00000855" w:rsidRPr="00DD1B58">
        <w:rPr>
          <w:lang w:val="en-US"/>
        </w:rPr>
        <w:t>,</w:t>
      </w:r>
      <w:r w:rsidRPr="00DD1B58">
        <w:rPr>
          <w:lang w:val="en-US"/>
        </w:rPr>
        <w:t xml:space="preserve"> can the fire initiate the fault sequence whilst disabling the associated </w:t>
      </w:r>
      <w:r w:rsidR="00DB7C70" w:rsidRPr="00DD1B58">
        <w:rPr>
          <w:lang w:val="en-US"/>
        </w:rPr>
        <w:t>Safety Measures</w:t>
      </w:r>
      <w:r w:rsidRPr="00DD1B58">
        <w:rPr>
          <w:lang w:val="en-US"/>
        </w:rPr>
        <w:t>?</w:t>
      </w:r>
    </w:p>
    <w:p w14:paraId="11998433" w14:textId="0C63E143" w:rsidR="001048F7" w:rsidRPr="00DD1B58" w:rsidRDefault="001048F7" w:rsidP="00327321">
      <w:pPr>
        <w:pStyle w:val="Bulletlist1"/>
        <w:rPr>
          <w:lang w:val="en-US"/>
        </w:rPr>
      </w:pPr>
      <w:r w:rsidRPr="00DD1B58">
        <w:rPr>
          <w:lang w:val="en-US"/>
        </w:rPr>
        <w:t>If the fault sequence exceeds Design Basis Accident Analysis (DBAA) threshold bands, could a fire event increase the Initiating Event Frequency (IEF) of the fault sequence, such that a DBAA threshold band is exceeded?</w:t>
      </w:r>
      <w:r w:rsidR="00940D2A" w:rsidRPr="00DD1B58">
        <w:rPr>
          <w:lang w:val="en-US"/>
        </w:rPr>
        <w:t xml:space="preserve"> </w:t>
      </w:r>
    </w:p>
    <w:p w14:paraId="4971506C" w14:textId="43285F13" w:rsidR="001048F7" w:rsidRPr="00DD1B58" w:rsidRDefault="001048F7" w:rsidP="00327321">
      <w:pPr>
        <w:pStyle w:val="Bulletlist1"/>
        <w:rPr>
          <w:lang w:val="en-US"/>
        </w:rPr>
      </w:pPr>
      <w:r w:rsidRPr="00DD1B58">
        <w:rPr>
          <w:lang w:val="en-US"/>
        </w:rPr>
        <w:t xml:space="preserve">If the fault sequence does not exceed DBAA threshold bands, could a fire event increase the radiological consequences of the fault sequence, </w:t>
      </w:r>
      <w:r w:rsidR="000C22C4" w:rsidRPr="00DD1B58">
        <w:rPr>
          <w:lang w:val="en-US"/>
        </w:rPr>
        <w:t>such that it moves the fault sequence into a higher DBA region, i.e. DB1 to DB2</w:t>
      </w:r>
      <w:r w:rsidRPr="00DD1B58">
        <w:rPr>
          <w:lang w:val="en-US"/>
        </w:rPr>
        <w:t xml:space="preserve">? </w:t>
      </w:r>
    </w:p>
    <w:p w14:paraId="1B272C68" w14:textId="7ED43690" w:rsidR="00F222B2" w:rsidRPr="00DD1B58" w:rsidRDefault="00F222B2" w:rsidP="00F222B2">
      <w:pPr>
        <w:rPr>
          <w:lang w:val="en-US"/>
        </w:rPr>
      </w:pPr>
      <w:r w:rsidRPr="00DD1B58">
        <w:rPr>
          <w:lang w:val="en-US"/>
        </w:rPr>
        <w:t>The Nuclear Fire Safety Analyses assess the potential for fire as an initiator for faults considered elsewhere in the Nuclear Safety Case</w:t>
      </w:r>
      <w:r w:rsidR="00F133B9" w:rsidRPr="00DD1B58">
        <w:rPr>
          <w:lang w:val="en-US"/>
        </w:rPr>
        <w:t>,</w:t>
      </w:r>
      <w:r w:rsidRPr="00DD1B58">
        <w:rPr>
          <w:lang w:val="en-US"/>
        </w:rPr>
        <w:t xml:space="preserve"> for example, fault sequences in the Radiological and Criticality </w:t>
      </w:r>
      <w:r w:rsidR="00C32260" w:rsidRPr="00DD1B58">
        <w:rPr>
          <w:lang w:val="en-US"/>
        </w:rPr>
        <w:t>HAZANs</w:t>
      </w:r>
      <w:r w:rsidRPr="00DD1B58">
        <w:rPr>
          <w:lang w:val="en-US"/>
        </w:rPr>
        <w:t xml:space="preserve">. Where there is a </w:t>
      </w:r>
      <w:r w:rsidR="00D86E56" w:rsidRPr="00DD1B58">
        <w:rPr>
          <w:lang w:val="en-US"/>
        </w:rPr>
        <w:t>significant</w:t>
      </w:r>
      <w:r w:rsidRPr="00DD1B58">
        <w:rPr>
          <w:lang w:val="en-US"/>
        </w:rPr>
        <w:t xml:space="preserve"> consequence either to worker</w:t>
      </w:r>
      <w:r w:rsidR="00D90ADF" w:rsidRPr="00DD1B58">
        <w:rPr>
          <w:lang w:val="en-US"/>
        </w:rPr>
        <w:t>s</w:t>
      </w:r>
      <w:r w:rsidRPr="00DD1B58">
        <w:rPr>
          <w:lang w:val="en-US"/>
        </w:rPr>
        <w:t xml:space="preserve"> or </w:t>
      </w:r>
      <w:r w:rsidR="00254F8D" w:rsidRPr="00DD1B58">
        <w:rPr>
          <w:lang w:val="en-US"/>
        </w:rPr>
        <w:t xml:space="preserve">the </w:t>
      </w:r>
      <w:r w:rsidRPr="00DD1B58">
        <w:rPr>
          <w:lang w:val="en-US"/>
        </w:rPr>
        <w:t>public</w:t>
      </w:r>
      <w:r w:rsidR="00254F8D" w:rsidRPr="00DD1B58">
        <w:rPr>
          <w:lang w:val="en-US"/>
        </w:rPr>
        <w:t>,</w:t>
      </w:r>
      <w:r w:rsidRPr="00DD1B58">
        <w:rPr>
          <w:lang w:val="en-US"/>
        </w:rPr>
        <w:t xml:space="preserve"> the effects of fire on safety measures such as Safety Mechanisms (SM) or Safety Features (SF) is </w:t>
      </w:r>
      <w:r w:rsidR="00160489" w:rsidRPr="00DD1B58">
        <w:rPr>
          <w:lang w:val="en-US"/>
        </w:rPr>
        <w:t>assessed,</w:t>
      </w:r>
      <w:r w:rsidRPr="00DD1B58">
        <w:rPr>
          <w:lang w:val="en-US"/>
        </w:rPr>
        <w:t xml:space="preserve"> and control measures provided where necessary to demonstrate they are robust to fire and the contribution to risk is tolerable. </w:t>
      </w:r>
    </w:p>
    <w:p w14:paraId="48DF5E35" w14:textId="753F10A4" w:rsidR="001048F7" w:rsidRPr="00DD1B58" w:rsidRDefault="001048F7" w:rsidP="001048F7">
      <w:pPr>
        <w:rPr>
          <w:lang w:val="en-US"/>
        </w:rPr>
      </w:pPr>
      <w:r w:rsidRPr="00DD1B58">
        <w:rPr>
          <w:lang w:val="en-US"/>
        </w:rPr>
        <w:t xml:space="preserve">The guide requires an assessment of Safety Function Classes </w:t>
      </w:r>
      <w:r w:rsidR="00160489" w:rsidRPr="00DD1B58">
        <w:rPr>
          <w:lang w:val="en-US"/>
        </w:rPr>
        <w:t xml:space="preserve">(SFC) </w:t>
      </w:r>
      <w:r w:rsidRPr="00DD1B58">
        <w:rPr>
          <w:lang w:val="en-US"/>
        </w:rPr>
        <w:t xml:space="preserve">offering a normal operational safety function. </w:t>
      </w:r>
      <w:r w:rsidR="004668E0" w:rsidRPr="00DD1B58">
        <w:rPr>
          <w:lang w:val="en-US"/>
        </w:rPr>
        <w:t>Sellafield Ltd.</w:t>
      </w:r>
      <w:r w:rsidR="00892269" w:rsidRPr="00DD1B58">
        <w:rPr>
          <w:lang w:val="en-US"/>
        </w:rPr>
        <w:t xml:space="preserve"> state</w:t>
      </w:r>
      <w:r w:rsidR="00254F8D" w:rsidRPr="00DD1B58">
        <w:rPr>
          <w:lang w:val="en-US"/>
        </w:rPr>
        <w:t>s</w:t>
      </w:r>
      <w:r w:rsidR="00892269" w:rsidRPr="00DD1B58">
        <w:rPr>
          <w:lang w:val="en-US"/>
        </w:rPr>
        <w:t xml:space="preserve"> that</w:t>
      </w:r>
      <w:r w:rsidRPr="00DD1B58">
        <w:rPr>
          <w:lang w:val="en-US"/>
        </w:rPr>
        <w:t xml:space="preserve"> the implementation of provisions for conventional fire safety purposes help</w:t>
      </w:r>
      <w:r w:rsidR="00254F8D" w:rsidRPr="00DD1B58">
        <w:rPr>
          <w:lang w:val="en-US"/>
        </w:rPr>
        <w:t>s</w:t>
      </w:r>
      <w:r w:rsidRPr="00DD1B58">
        <w:rPr>
          <w:lang w:val="en-US"/>
        </w:rPr>
        <w:t xml:space="preserve"> </w:t>
      </w:r>
      <w:r w:rsidR="00686343" w:rsidRPr="00DD1B58">
        <w:rPr>
          <w:lang w:val="en-US"/>
        </w:rPr>
        <w:t>reduce</w:t>
      </w:r>
      <w:r w:rsidRPr="00DD1B58">
        <w:rPr>
          <w:lang w:val="en-US"/>
        </w:rPr>
        <w:t xml:space="preserve"> the risk of fire leading to an unsafe radiological condition by offering a level of defence in depth between ignition of a fire and an unacceptable radiological consequence. Within this context</w:t>
      </w:r>
      <w:r w:rsidR="0024187D" w:rsidRPr="00DD1B58">
        <w:rPr>
          <w:lang w:val="en-US"/>
        </w:rPr>
        <w:t xml:space="preserve">, and for </w:t>
      </w:r>
      <w:r w:rsidR="00134292" w:rsidRPr="00DD1B58">
        <w:rPr>
          <w:lang w:val="en-US"/>
        </w:rPr>
        <w:t>Sellafield Ltd</w:t>
      </w:r>
      <w:r w:rsidR="0024187D" w:rsidRPr="00DD1B58">
        <w:rPr>
          <w:lang w:val="en-US"/>
        </w:rPr>
        <w:t xml:space="preserve">, </w:t>
      </w:r>
      <w:r w:rsidRPr="00DD1B58">
        <w:rPr>
          <w:lang w:val="en-US"/>
        </w:rPr>
        <w:t>conventional fire safety relates to life safety, loss prevention for property and business continuity protection, and the general reduction of fire hazards.</w:t>
      </w:r>
    </w:p>
    <w:p w14:paraId="3C2DFB95" w14:textId="043572B7" w:rsidR="001D5E85" w:rsidRPr="00DD1B58" w:rsidRDefault="00134292" w:rsidP="001D5E85">
      <w:pPr>
        <w:rPr>
          <w:lang w:val="en-US"/>
        </w:rPr>
      </w:pPr>
      <w:r w:rsidRPr="00DD1B58">
        <w:rPr>
          <w:lang w:val="en-US"/>
        </w:rPr>
        <w:t>Sellafield Ltd</w:t>
      </w:r>
      <w:r w:rsidR="00142D3F" w:rsidRPr="00DD1B58">
        <w:rPr>
          <w:lang w:val="en-US"/>
        </w:rPr>
        <w:t>.</w:t>
      </w:r>
      <w:r w:rsidR="00482CB2" w:rsidRPr="00DD1B58">
        <w:rPr>
          <w:lang w:val="en-US"/>
        </w:rPr>
        <w:t xml:space="preserve">’s </w:t>
      </w:r>
      <w:r w:rsidR="001D5E85" w:rsidRPr="00DD1B58">
        <w:rPr>
          <w:lang w:val="en-US"/>
        </w:rPr>
        <w:t xml:space="preserve">key fire protection principles include: </w:t>
      </w:r>
    </w:p>
    <w:p w14:paraId="4B196549" w14:textId="72330A69" w:rsidR="001D5E85" w:rsidRPr="00DD1B58" w:rsidRDefault="001D5E85" w:rsidP="00327321">
      <w:pPr>
        <w:pStyle w:val="Bulletlist1"/>
        <w:rPr>
          <w:lang w:val="en-US"/>
        </w:rPr>
      </w:pPr>
      <w:r w:rsidRPr="00DD1B58">
        <w:rPr>
          <w:lang w:val="en-US"/>
        </w:rPr>
        <w:t>Reducing the potential for ignition</w:t>
      </w:r>
      <w:r w:rsidR="002849C4" w:rsidRPr="00DD1B58">
        <w:rPr>
          <w:lang w:val="en-US"/>
        </w:rPr>
        <w:t xml:space="preserve"> through</w:t>
      </w:r>
      <w:r w:rsidRPr="00DD1B58">
        <w:rPr>
          <w:lang w:val="en-US"/>
        </w:rPr>
        <w:t xml:space="preserve"> control of the types of materials used in the construction of the building (selection of non-combustible materials where reasonably practicable</w:t>
      </w:r>
      <w:r w:rsidR="002849C4" w:rsidRPr="00DD1B58">
        <w:rPr>
          <w:lang w:val="en-US"/>
        </w:rPr>
        <w:t>, or</w:t>
      </w:r>
      <w:r w:rsidR="000A4228" w:rsidRPr="00DD1B58">
        <w:rPr>
          <w:lang w:val="en-US"/>
        </w:rPr>
        <w:t xml:space="preserve"> fire-resisiting/</w:t>
      </w:r>
      <w:r w:rsidRPr="00DD1B58">
        <w:rPr>
          <w:lang w:val="en-US"/>
        </w:rPr>
        <w:t>flame</w:t>
      </w:r>
      <w:r w:rsidR="002849C4" w:rsidRPr="00DD1B58">
        <w:rPr>
          <w:lang w:val="en-US"/>
        </w:rPr>
        <w:t>-</w:t>
      </w:r>
      <w:r w:rsidRPr="00DD1B58">
        <w:rPr>
          <w:lang w:val="en-US"/>
        </w:rPr>
        <w:t>retardant alternatives)</w:t>
      </w:r>
      <w:r w:rsidR="002849C4" w:rsidRPr="00DD1B58">
        <w:rPr>
          <w:lang w:val="en-US"/>
        </w:rPr>
        <w:t>,</w:t>
      </w:r>
      <w:r w:rsidRPr="00DD1B58">
        <w:rPr>
          <w:lang w:val="en-US"/>
        </w:rPr>
        <w:t xml:space="preserve"> and, where possible, </w:t>
      </w:r>
      <w:r w:rsidR="002849C4" w:rsidRPr="00DD1B58">
        <w:rPr>
          <w:lang w:val="en-US"/>
        </w:rPr>
        <w:t>appropriate</w:t>
      </w:r>
      <w:r w:rsidRPr="00DD1B58">
        <w:rPr>
          <w:lang w:val="en-US"/>
        </w:rPr>
        <w:t xml:space="preserve"> selection of services and equipment</w:t>
      </w:r>
      <w:r w:rsidR="00686343" w:rsidRPr="00DD1B58">
        <w:rPr>
          <w:lang w:val="en-US"/>
        </w:rPr>
        <w:t>;</w:t>
      </w:r>
    </w:p>
    <w:p w14:paraId="284F796A" w14:textId="3574D3CE" w:rsidR="001D5E85" w:rsidRPr="00DD1B58" w:rsidRDefault="001D5E85" w:rsidP="00327321">
      <w:pPr>
        <w:pStyle w:val="Bulletlist1"/>
        <w:rPr>
          <w:lang w:val="en-US"/>
        </w:rPr>
      </w:pPr>
      <w:r w:rsidRPr="00DD1B58">
        <w:rPr>
          <w:lang w:val="en-US"/>
        </w:rPr>
        <w:t>Appropriate control of transient combustible material and ignition sources</w:t>
      </w:r>
      <w:r w:rsidR="00686343" w:rsidRPr="00DD1B58">
        <w:rPr>
          <w:lang w:val="en-US"/>
        </w:rPr>
        <w:t>;</w:t>
      </w:r>
    </w:p>
    <w:p w14:paraId="0BF18D76" w14:textId="567A2778" w:rsidR="001D5E85" w:rsidRPr="00DD1B58" w:rsidRDefault="001D5E85" w:rsidP="00327321">
      <w:pPr>
        <w:pStyle w:val="Bulletlist1"/>
        <w:rPr>
          <w:lang w:val="en-US"/>
        </w:rPr>
      </w:pPr>
      <w:r w:rsidRPr="00DD1B58">
        <w:rPr>
          <w:lang w:val="en-US"/>
        </w:rPr>
        <w:t xml:space="preserve">Preventing fire spread or structural failure, which may threaten radiological materials, with the use of fire compartmentation and/or passive fire protection of primary structural steelwork </w:t>
      </w:r>
      <w:r w:rsidR="00686343" w:rsidRPr="00DD1B58">
        <w:rPr>
          <w:lang w:val="en-US"/>
        </w:rPr>
        <w:t>(</w:t>
      </w:r>
      <w:r w:rsidRPr="00DD1B58">
        <w:rPr>
          <w:lang w:val="en-US"/>
        </w:rPr>
        <w:t xml:space="preserve">this also allows any multi-channel safety systems to be segregated by fire resistant barriers or </w:t>
      </w:r>
      <w:r w:rsidR="00903B09" w:rsidRPr="00DD1B58">
        <w:rPr>
          <w:lang w:val="en-US"/>
        </w:rPr>
        <w:t xml:space="preserve">fire </w:t>
      </w:r>
      <w:r w:rsidRPr="00DD1B58">
        <w:rPr>
          <w:lang w:val="en-US"/>
        </w:rPr>
        <w:t>compartments</w:t>
      </w:r>
      <w:r w:rsidR="00686343" w:rsidRPr="00DD1B58">
        <w:rPr>
          <w:lang w:val="en-US"/>
        </w:rPr>
        <w:t>);</w:t>
      </w:r>
    </w:p>
    <w:p w14:paraId="4CCC92F3" w14:textId="48BBF8BB" w:rsidR="001D5E85" w:rsidRPr="00DD1B58" w:rsidRDefault="001D5E85" w:rsidP="00327321">
      <w:pPr>
        <w:pStyle w:val="Bulletlist1"/>
        <w:rPr>
          <w:lang w:val="en-US"/>
        </w:rPr>
      </w:pPr>
      <w:r w:rsidRPr="00DD1B58">
        <w:rPr>
          <w:lang w:val="en-US"/>
        </w:rPr>
        <w:t xml:space="preserve">Provisions for means of escape </w:t>
      </w:r>
      <w:r w:rsidR="009A01BA" w:rsidRPr="00DD1B58">
        <w:rPr>
          <w:lang w:val="en-US"/>
        </w:rPr>
        <w:t>to</w:t>
      </w:r>
      <w:r w:rsidRPr="00DD1B58">
        <w:rPr>
          <w:lang w:val="en-US"/>
        </w:rPr>
        <w:t xml:space="preserve"> allow people in the building to evacuate as early as possible (primarily for conventional fire safety, but also supports nuclear fire safety), especially when coupled with an automatic fire detection and alarm system and automatic link to the fire station and therefore earliest intervention by the Sellafield </w:t>
      </w:r>
      <w:r w:rsidR="00BF0D1B" w:rsidRPr="00DD1B58">
        <w:rPr>
          <w:lang w:val="en-US"/>
        </w:rPr>
        <w:t>Ltd</w:t>
      </w:r>
      <w:r w:rsidR="00903B09" w:rsidRPr="00DD1B58">
        <w:rPr>
          <w:lang w:val="en-US"/>
        </w:rPr>
        <w:t>.</w:t>
      </w:r>
      <w:r w:rsidRPr="00DD1B58">
        <w:rPr>
          <w:lang w:val="en-US"/>
        </w:rPr>
        <w:t xml:space="preserve"> Fire and Rescue Service (SF&amp;RS)</w:t>
      </w:r>
      <w:r w:rsidR="00686343" w:rsidRPr="00DD1B58">
        <w:rPr>
          <w:lang w:val="en-US"/>
        </w:rPr>
        <w:t>; and</w:t>
      </w:r>
    </w:p>
    <w:p w14:paraId="5F2E5F20" w14:textId="71FE1D34" w:rsidR="001D5E85" w:rsidRPr="00DD1B58" w:rsidRDefault="001D5E85" w:rsidP="00327321">
      <w:pPr>
        <w:pStyle w:val="Bulletlist1"/>
        <w:rPr>
          <w:lang w:val="en-US"/>
        </w:rPr>
      </w:pPr>
      <w:r w:rsidRPr="00DD1B58">
        <w:rPr>
          <w:lang w:val="en-US"/>
        </w:rPr>
        <w:t>Facilities provided for SF&amp;RS</w:t>
      </w:r>
      <w:r w:rsidR="009A01BA" w:rsidRPr="00DD1B58">
        <w:rPr>
          <w:lang w:val="en-US"/>
        </w:rPr>
        <w:t>,</w:t>
      </w:r>
      <w:r w:rsidRPr="00DD1B58">
        <w:rPr>
          <w:lang w:val="en-US"/>
        </w:rPr>
        <w:t xml:space="preserve"> </w:t>
      </w:r>
      <w:r w:rsidR="009A01BA" w:rsidRPr="00DD1B58">
        <w:rPr>
          <w:lang w:val="en-US"/>
        </w:rPr>
        <w:t>such as</w:t>
      </w:r>
      <w:r w:rsidRPr="00DD1B58">
        <w:rPr>
          <w:lang w:val="en-US"/>
        </w:rPr>
        <w:t xml:space="preserve"> </w:t>
      </w:r>
      <w:r w:rsidR="004F5760" w:rsidRPr="00DD1B58">
        <w:rPr>
          <w:lang w:val="en-US"/>
        </w:rPr>
        <w:t>firefight</w:t>
      </w:r>
      <w:r w:rsidRPr="00DD1B58">
        <w:rPr>
          <w:lang w:val="en-US"/>
        </w:rPr>
        <w:t>ing shafts</w:t>
      </w:r>
      <w:r w:rsidR="009A01BA" w:rsidRPr="00DD1B58">
        <w:rPr>
          <w:lang w:val="en-US"/>
        </w:rPr>
        <w:t>,</w:t>
      </w:r>
      <w:r w:rsidRPr="00DD1B58">
        <w:rPr>
          <w:lang w:val="en-US"/>
        </w:rPr>
        <w:t xml:space="preserve"> dry risers and private fire hydrants for firefighting</w:t>
      </w:r>
      <w:r w:rsidR="009A01BA" w:rsidRPr="00DD1B58">
        <w:rPr>
          <w:lang w:val="en-US"/>
        </w:rPr>
        <w:t xml:space="preserve"> </w:t>
      </w:r>
      <w:r w:rsidRPr="00DD1B58">
        <w:rPr>
          <w:lang w:val="en-US"/>
        </w:rPr>
        <w:t>water supplies.</w:t>
      </w:r>
    </w:p>
    <w:p w14:paraId="11042937" w14:textId="77777777" w:rsidR="00F26D71" w:rsidRPr="00DD1B58" w:rsidRDefault="00F26D71" w:rsidP="008814AA">
      <w:pPr>
        <w:pStyle w:val="Heading4"/>
        <w:numPr>
          <w:ilvl w:val="4"/>
          <w:numId w:val="3"/>
        </w:numPr>
        <w:rPr>
          <w:lang w:val="en-US"/>
        </w:rPr>
      </w:pPr>
      <w:r w:rsidRPr="00DD1B58">
        <w:rPr>
          <w:lang w:val="en-US"/>
        </w:rPr>
        <w:t>Plant specific example – BEPPS-DIF</w:t>
      </w:r>
    </w:p>
    <w:p w14:paraId="67ADED9B" w14:textId="041E6E28" w:rsidR="000C4735" w:rsidRPr="00DD1B58" w:rsidRDefault="009A01BA" w:rsidP="000C4735">
      <w:pPr>
        <w:rPr>
          <w:lang w:val="en-US"/>
        </w:rPr>
      </w:pPr>
      <w:r w:rsidRPr="00DD1B58">
        <w:rPr>
          <w:lang w:val="en-US"/>
        </w:rPr>
        <w:t xml:space="preserve">The </w:t>
      </w:r>
      <w:r w:rsidR="000C4735" w:rsidRPr="00DD1B58">
        <w:rPr>
          <w:lang w:val="en-US"/>
        </w:rPr>
        <w:t>BEPPS</w:t>
      </w:r>
      <w:r w:rsidR="00854449" w:rsidRPr="00DD1B58">
        <w:rPr>
          <w:lang w:val="en-US"/>
        </w:rPr>
        <w:t>-</w:t>
      </w:r>
      <w:r w:rsidR="000C4735" w:rsidRPr="00DD1B58">
        <w:rPr>
          <w:lang w:val="en-US"/>
        </w:rPr>
        <w:t xml:space="preserve">DIF </w:t>
      </w:r>
      <w:r w:rsidR="00EC63CC" w:rsidRPr="00DD1B58">
        <w:rPr>
          <w:lang w:val="en-US"/>
        </w:rPr>
        <w:t xml:space="preserve">plant </w:t>
      </w:r>
      <w:r w:rsidR="000C4735" w:rsidRPr="00DD1B58">
        <w:rPr>
          <w:lang w:val="en-US"/>
        </w:rPr>
        <w:t xml:space="preserve">is a recent example where the Nuclear Fire </w:t>
      </w:r>
      <w:r w:rsidR="00D03922" w:rsidRPr="00DD1B58">
        <w:rPr>
          <w:lang w:val="en-US"/>
        </w:rPr>
        <w:t xml:space="preserve">Safety </w:t>
      </w:r>
      <w:r w:rsidR="000C4735" w:rsidRPr="00DD1B58">
        <w:rPr>
          <w:lang w:val="en-US"/>
        </w:rPr>
        <w:t xml:space="preserve">Analysis process detailed above was followed. </w:t>
      </w:r>
      <w:r w:rsidR="00A6195A" w:rsidRPr="00DD1B58">
        <w:rPr>
          <w:lang w:val="en-US"/>
        </w:rPr>
        <w:t xml:space="preserve">Sellafield </w:t>
      </w:r>
      <w:r w:rsidR="00BF0D1B" w:rsidRPr="00DD1B58">
        <w:rPr>
          <w:lang w:val="en-US"/>
        </w:rPr>
        <w:t>Ltd</w:t>
      </w:r>
      <w:r w:rsidR="00A078E5" w:rsidRPr="00DD1B58">
        <w:rPr>
          <w:lang w:val="en-US"/>
        </w:rPr>
        <w:t>.</w:t>
      </w:r>
      <w:r w:rsidR="00A6195A" w:rsidRPr="00DD1B58">
        <w:rPr>
          <w:lang w:val="en-US"/>
        </w:rPr>
        <w:t xml:space="preserve"> conducted a </w:t>
      </w:r>
      <w:r w:rsidR="000C4735" w:rsidRPr="00DD1B58">
        <w:rPr>
          <w:lang w:val="en-US"/>
        </w:rPr>
        <w:t>Nuclear Fire Collaborative Review (NFCR)</w:t>
      </w:r>
      <w:r w:rsidRPr="00DD1B58">
        <w:rPr>
          <w:lang w:val="en-US"/>
        </w:rPr>
        <w:t>, the</w:t>
      </w:r>
      <w:r w:rsidR="000C4735" w:rsidRPr="00DD1B58">
        <w:rPr>
          <w:lang w:val="en-US"/>
        </w:rPr>
        <w:t xml:space="preserve"> </w:t>
      </w:r>
      <w:r w:rsidRPr="00DD1B58">
        <w:rPr>
          <w:lang w:val="en-US"/>
        </w:rPr>
        <w:t xml:space="preserve">purpose of which </w:t>
      </w:r>
      <w:r w:rsidR="000C4735" w:rsidRPr="00DD1B58">
        <w:rPr>
          <w:lang w:val="en-US"/>
        </w:rPr>
        <w:t xml:space="preserve">is for the various disciplines involved in the project to </w:t>
      </w:r>
      <w:r w:rsidR="00C2199F" w:rsidRPr="00DD1B58">
        <w:rPr>
          <w:lang w:val="en-US"/>
        </w:rPr>
        <w:t>assess</w:t>
      </w:r>
      <w:r w:rsidR="000C4735" w:rsidRPr="00DD1B58">
        <w:rPr>
          <w:lang w:val="en-US"/>
        </w:rPr>
        <w:t xml:space="preserve"> the impact of a fire on the main plant items and systems that may be relied on in the building design to maintain the radiological safety of the plant. The review uses keywords related to nuclear fire and its effects to prompt discussion of the design features and determine whether there are any issues arising from the impact of fire, smoke</w:t>
      </w:r>
      <w:r w:rsidR="00C2199F" w:rsidRPr="00DD1B58">
        <w:rPr>
          <w:lang w:val="en-US"/>
        </w:rPr>
        <w:t xml:space="preserve">, </w:t>
      </w:r>
      <w:r w:rsidR="000C4735" w:rsidRPr="00DD1B58">
        <w:rPr>
          <w:lang w:val="en-US"/>
        </w:rPr>
        <w:t xml:space="preserve">hot gases, heat or firefighting extinguishants. The review identifies fire requirements such as nuclear fire </w:t>
      </w:r>
      <w:r w:rsidR="0048119D" w:rsidRPr="00DD1B58">
        <w:rPr>
          <w:lang w:val="en-US"/>
        </w:rPr>
        <w:t>compartments</w:t>
      </w:r>
      <w:r w:rsidR="0046370C" w:rsidRPr="00DD1B58">
        <w:rPr>
          <w:lang w:val="en-US"/>
        </w:rPr>
        <w:t>/</w:t>
      </w:r>
      <w:r w:rsidR="000C4735" w:rsidRPr="00DD1B58">
        <w:rPr>
          <w:lang w:val="en-US"/>
        </w:rPr>
        <w:t xml:space="preserve">barriers and passive fire protection of </w:t>
      </w:r>
      <w:r w:rsidR="000A2F4B" w:rsidRPr="00DD1B58">
        <w:rPr>
          <w:lang w:val="en-US"/>
        </w:rPr>
        <w:t>SSCs</w:t>
      </w:r>
      <w:r w:rsidR="000C4735" w:rsidRPr="00DD1B58">
        <w:rPr>
          <w:lang w:val="en-US"/>
        </w:rPr>
        <w:t>.</w:t>
      </w:r>
    </w:p>
    <w:p w14:paraId="16815038" w14:textId="1E74A0BE" w:rsidR="000C4735" w:rsidRPr="00DD1B58" w:rsidRDefault="00134292" w:rsidP="000C4735">
      <w:pPr>
        <w:rPr>
          <w:lang w:val="en-US"/>
        </w:rPr>
      </w:pPr>
      <w:r w:rsidRPr="00DD1B58">
        <w:rPr>
          <w:lang w:val="en-US"/>
        </w:rPr>
        <w:t>Sellafield Ltd</w:t>
      </w:r>
      <w:r w:rsidR="00A078E5" w:rsidRPr="00DD1B58">
        <w:rPr>
          <w:lang w:val="en-US"/>
        </w:rPr>
        <w:t>.</w:t>
      </w:r>
      <w:r w:rsidR="0040025D" w:rsidRPr="00DD1B58">
        <w:rPr>
          <w:lang w:val="en-US"/>
        </w:rPr>
        <w:t xml:space="preserve"> </w:t>
      </w:r>
      <w:r w:rsidR="00F32A62" w:rsidRPr="00DD1B58">
        <w:rPr>
          <w:lang w:val="en-US"/>
        </w:rPr>
        <w:t>report</w:t>
      </w:r>
      <w:r w:rsidR="00C2199F" w:rsidRPr="00DD1B58">
        <w:rPr>
          <w:lang w:val="en-US"/>
        </w:rPr>
        <w:t>s</w:t>
      </w:r>
      <w:r w:rsidR="00F32A62" w:rsidRPr="00DD1B58">
        <w:rPr>
          <w:lang w:val="en-US"/>
        </w:rPr>
        <w:t xml:space="preserve"> that the </w:t>
      </w:r>
      <w:r w:rsidR="000C4735" w:rsidRPr="00DD1B58">
        <w:rPr>
          <w:lang w:val="en-US"/>
        </w:rPr>
        <w:t>NFCR was carried out based on the fault sequence groups for the BEPPS</w:t>
      </w:r>
      <w:r w:rsidR="0048119D" w:rsidRPr="00DD1B58">
        <w:rPr>
          <w:lang w:val="en-US"/>
        </w:rPr>
        <w:t>-</w:t>
      </w:r>
      <w:r w:rsidR="000C4735" w:rsidRPr="00DD1B58">
        <w:rPr>
          <w:lang w:val="en-US"/>
        </w:rPr>
        <w:t xml:space="preserve">DIF project, but other fire scenarios and various fire effects considered appropriate by competent </w:t>
      </w:r>
      <w:r w:rsidR="000A2F4B" w:rsidRPr="00DD1B58">
        <w:rPr>
          <w:lang w:val="en-US"/>
        </w:rPr>
        <w:t>f</w:t>
      </w:r>
      <w:r w:rsidR="000C4735" w:rsidRPr="00DD1B58">
        <w:rPr>
          <w:lang w:val="en-US"/>
        </w:rPr>
        <w:t xml:space="preserve">ire </w:t>
      </w:r>
      <w:r w:rsidR="000A2F4B" w:rsidRPr="00DD1B58">
        <w:rPr>
          <w:lang w:val="en-US"/>
        </w:rPr>
        <w:t>e</w:t>
      </w:r>
      <w:r w:rsidR="000C4735" w:rsidRPr="00DD1B58">
        <w:rPr>
          <w:lang w:val="en-US"/>
        </w:rPr>
        <w:t xml:space="preserve">ngineers were included. The discussions within the review included potential impact on SSC, and any conclusions relating to the potential nuclear consequences of failure of those SSCs or the impact of fire on them have been used as the basis of the nuclear fire analysis. </w:t>
      </w:r>
    </w:p>
    <w:p w14:paraId="79EF1FF3" w14:textId="2C6EB593" w:rsidR="000C4735" w:rsidRPr="00DD1B58" w:rsidRDefault="00134292" w:rsidP="000C4735">
      <w:pPr>
        <w:rPr>
          <w:lang w:val="en-US"/>
        </w:rPr>
      </w:pPr>
      <w:r w:rsidRPr="00DD1B58">
        <w:rPr>
          <w:lang w:val="en-US"/>
        </w:rPr>
        <w:t>Sellafield Ltd</w:t>
      </w:r>
      <w:r w:rsidR="00A078E5" w:rsidRPr="00DD1B58">
        <w:rPr>
          <w:lang w:val="en-US"/>
        </w:rPr>
        <w:t>.</w:t>
      </w:r>
      <w:r w:rsidR="005A0ED7" w:rsidRPr="00DD1B58">
        <w:rPr>
          <w:lang w:val="en-US"/>
        </w:rPr>
        <w:t xml:space="preserve"> performed a </w:t>
      </w:r>
      <w:r w:rsidR="000A2F4B" w:rsidRPr="00DD1B58">
        <w:rPr>
          <w:lang w:val="en-US"/>
        </w:rPr>
        <w:t>h</w:t>
      </w:r>
      <w:r w:rsidR="000C4735" w:rsidRPr="00DD1B58">
        <w:rPr>
          <w:lang w:val="en-US"/>
        </w:rPr>
        <w:t xml:space="preserve">azard </w:t>
      </w:r>
      <w:r w:rsidR="000A2F4B" w:rsidRPr="00DD1B58">
        <w:rPr>
          <w:lang w:val="en-US"/>
        </w:rPr>
        <w:t>i</w:t>
      </w:r>
      <w:r w:rsidR="000C4735" w:rsidRPr="00DD1B58">
        <w:rPr>
          <w:lang w:val="en-US"/>
        </w:rPr>
        <w:t xml:space="preserve">dentification and familiarisation exercise of the plant and processes as part of the </w:t>
      </w:r>
      <w:r w:rsidR="001F74A2" w:rsidRPr="00DD1B58">
        <w:rPr>
          <w:lang w:val="en-US"/>
        </w:rPr>
        <w:t xml:space="preserve">NFCR </w:t>
      </w:r>
      <w:r w:rsidR="000C4735" w:rsidRPr="00DD1B58">
        <w:rPr>
          <w:lang w:val="en-US"/>
        </w:rPr>
        <w:t xml:space="preserve">and this allows an appreciation of the Baseline Nuclear Safety Case to be made, such that further nuclear fire assessment of the vulnerability of significant elements to fire can be completed and recorded. </w:t>
      </w:r>
    </w:p>
    <w:p w14:paraId="65A9A28A" w14:textId="6912707E" w:rsidR="00F26D71" w:rsidRPr="00DD1B58" w:rsidRDefault="000C4735" w:rsidP="000C4735">
      <w:pPr>
        <w:rPr>
          <w:lang w:val="en-US"/>
        </w:rPr>
      </w:pPr>
      <w:r w:rsidRPr="00DD1B58">
        <w:rPr>
          <w:lang w:val="en-US"/>
        </w:rPr>
        <w:t xml:space="preserve">The </w:t>
      </w:r>
      <w:r w:rsidR="003408F1" w:rsidRPr="00DD1B58">
        <w:rPr>
          <w:lang w:val="en-US"/>
        </w:rPr>
        <w:t xml:space="preserve">NFSA </w:t>
      </w:r>
      <w:r w:rsidRPr="00DD1B58">
        <w:rPr>
          <w:lang w:val="en-US"/>
        </w:rPr>
        <w:t>for BEPPS</w:t>
      </w:r>
      <w:r w:rsidR="00B31C10" w:rsidRPr="00DD1B58">
        <w:rPr>
          <w:lang w:val="en-US"/>
        </w:rPr>
        <w:t>-</w:t>
      </w:r>
      <w:r w:rsidRPr="00DD1B58">
        <w:rPr>
          <w:lang w:val="en-US"/>
        </w:rPr>
        <w:t>DIF includes a review of conventional fire engineering provisions both passive, active and managerial controls, assessment of potentially high consequence faults determined from the hazard identification process within the HAZANs for example, Radiological and Criticality Safety HAZANs, and a review of process description and normal SSCs considered important to the Radiological Safety of the building, which are taken from the Engineering Schedule (ES). From the review of the Radiological HAZANs for BEPPS</w:t>
      </w:r>
      <w:r w:rsidR="00B31C10" w:rsidRPr="00DD1B58">
        <w:rPr>
          <w:lang w:val="en-US"/>
        </w:rPr>
        <w:t>-</w:t>
      </w:r>
      <w:r w:rsidRPr="00DD1B58">
        <w:rPr>
          <w:lang w:val="en-US"/>
        </w:rPr>
        <w:t xml:space="preserve">DIF and from the discussions held in the NFCR, </w:t>
      </w:r>
      <w:r w:rsidR="004668E0" w:rsidRPr="00DD1B58">
        <w:rPr>
          <w:lang w:val="en-US"/>
        </w:rPr>
        <w:t xml:space="preserve">Sellafield Ltd. </w:t>
      </w:r>
      <w:r w:rsidR="002C7403" w:rsidRPr="00DD1B58">
        <w:rPr>
          <w:lang w:val="en-US"/>
        </w:rPr>
        <w:t>established an</w:t>
      </w:r>
      <w:r w:rsidRPr="00DD1B58">
        <w:rPr>
          <w:lang w:val="en-US"/>
        </w:rPr>
        <w:t xml:space="preserve"> understanding of the basis of safety for these operations and the consequences of various faults. This then allowed the Nuclear Fire </w:t>
      </w:r>
      <w:r w:rsidR="00803759" w:rsidRPr="00DD1B58">
        <w:rPr>
          <w:lang w:val="en-US"/>
        </w:rPr>
        <w:t xml:space="preserve">Safety </w:t>
      </w:r>
      <w:r w:rsidRPr="00DD1B58">
        <w:rPr>
          <w:lang w:val="en-US"/>
        </w:rPr>
        <w:t>Analysis to be completed for fire scenarios that may impact upon the measures and SSCs that are deemed important to the radiological safety associated with BEPPS</w:t>
      </w:r>
      <w:r w:rsidR="00B31C10" w:rsidRPr="00DD1B58">
        <w:rPr>
          <w:lang w:val="en-US"/>
        </w:rPr>
        <w:t>-</w:t>
      </w:r>
      <w:r w:rsidRPr="00DD1B58">
        <w:rPr>
          <w:lang w:val="en-US"/>
        </w:rPr>
        <w:t>DIF.</w:t>
      </w:r>
    </w:p>
    <w:p w14:paraId="37CD6C50" w14:textId="77777777" w:rsidR="00D24691" w:rsidRPr="00DD1B58" w:rsidRDefault="00D24691" w:rsidP="008814AA">
      <w:pPr>
        <w:pStyle w:val="Heading4"/>
        <w:numPr>
          <w:ilvl w:val="4"/>
          <w:numId w:val="3"/>
        </w:numPr>
        <w:rPr>
          <w:lang w:val="en-US"/>
        </w:rPr>
      </w:pPr>
      <w:bookmarkStart w:id="56" w:name="_Ref136515173"/>
      <w:r w:rsidRPr="00DD1B58">
        <w:rPr>
          <w:lang w:val="en-US"/>
        </w:rPr>
        <w:t>Combined hazards</w:t>
      </w:r>
      <w:bookmarkEnd w:id="56"/>
    </w:p>
    <w:p w14:paraId="5EC10D48" w14:textId="21EBBBFE" w:rsidR="00B74878" w:rsidRPr="00DD1B58" w:rsidRDefault="00B74878" w:rsidP="00B74878">
      <w:pPr>
        <w:rPr>
          <w:b/>
          <w:lang w:val="en-US"/>
        </w:rPr>
      </w:pPr>
      <w:r w:rsidRPr="00DD1B58">
        <w:rPr>
          <w:b/>
          <w:lang w:val="en-US"/>
        </w:rPr>
        <w:t xml:space="preserve">Internal and </w:t>
      </w:r>
      <w:r w:rsidR="00CC0B26" w:rsidRPr="00DD1B58">
        <w:rPr>
          <w:b/>
          <w:lang w:val="en-US"/>
        </w:rPr>
        <w:t xml:space="preserve">external </w:t>
      </w:r>
      <w:r w:rsidRPr="00DD1B58">
        <w:rPr>
          <w:b/>
          <w:lang w:val="en-US"/>
        </w:rPr>
        <w:t xml:space="preserve">hazard </w:t>
      </w:r>
      <w:r w:rsidR="00CC0B26" w:rsidRPr="00DD1B58">
        <w:rPr>
          <w:b/>
          <w:lang w:val="en-US"/>
        </w:rPr>
        <w:t>definitions</w:t>
      </w:r>
    </w:p>
    <w:p w14:paraId="2F27634A" w14:textId="235B5D25" w:rsidR="00057B15" w:rsidRPr="00DD1B58" w:rsidRDefault="00134292" w:rsidP="00057B15">
      <w:pPr>
        <w:rPr>
          <w:lang w:val="en-US"/>
        </w:rPr>
      </w:pPr>
      <w:r w:rsidRPr="00DD1B58">
        <w:rPr>
          <w:lang w:val="en-US"/>
        </w:rPr>
        <w:t>Sellafield Ltd</w:t>
      </w:r>
      <w:r w:rsidR="00A078E5" w:rsidRPr="00DD1B58">
        <w:rPr>
          <w:lang w:val="en-US"/>
        </w:rPr>
        <w:t>.</w:t>
      </w:r>
      <w:r w:rsidR="00057B15" w:rsidRPr="00DD1B58">
        <w:rPr>
          <w:lang w:val="en-US"/>
        </w:rPr>
        <w:t xml:space="preserve"> </w:t>
      </w:r>
      <w:r w:rsidR="00513A64" w:rsidRPr="00DD1B58">
        <w:rPr>
          <w:lang w:val="en-US"/>
        </w:rPr>
        <w:t xml:space="preserve">defines an internal hazard </w:t>
      </w:r>
      <w:r w:rsidR="00057B15" w:rsidRPr="00DD1B58">
        <w:rPr>
          <w:lang w:val="en-US"/>
        </w:rPr>
        <w:t xml:space="preserve">as “a hazard generated within a facility outside of the facility’s process that could affect either its </w:t>
      </w:r>
      <w:r w:rsidR="0040025D" w:rsidRPr="00DD1B58">
        <w:rPr>
          <w:lang w:val="en-US"/>
        </w:rPr>
        <w:t>SSCs</w:t>
      </w:r>
      <w:r w:rsidR="00057B15" w:rsidRPr="00DD1B58">
        <w:rPr>
          <w:lang w:val="en-US"/>
        </w:rPr>
        <w:t xml:space="preserve"> or its operational measures and that is within the control of the facility</w:t>
      </w:r>
      <w:r w:rsidR="003B0591" w:rsidRPr="00DD1B58">
        <w:rPr>
          <w:lang w:val="en-US"/>
        </w:rPr>
        <w:t>, including (but not limited to)</w:t>
      </w:r>
      <w:r w:rsidR="00057B15" w:rsidRPr="00DD1B58">
        <w:rPr>
          <w:lang w:val="en-US"/>
        </w:rPr>
        <w:t xml:space="preserve"> flooding, missiles”. </w:t>
      </w:r>
      <w:r w:rsidRPr="00DD1B58">
        <w:rPr>
          <w:lang w:val="en-US"/>
        </w:rPr>
        <w:t>Sellafield Ltd</w:t>
      </w:r>
      <w:r w:rsidR="003B5460" w:rsidRPr="00DD1B58">
        <w:rPr>
          <w:lang w:val="en-US"/>
        </w:rPr>
        <w:t>.</w:t>
      </w:r>
      <w:r w:rsidR="00F9123E" w:rsidRPr="00DD1B58">
        <w:rPr>
          <w:lang w:val="en-US"/>
        </w:rPr>
        <w:t xml:space="preserve"> considers that this</w:t>
      </w:r>
      <w:r w:rsidR="00057B15" w:rsidRPr="00DD1B58">
        <w:rPr>
          <w:lang w:val="en-US"/>
        </w:rPr>
        <w:t xml:space="preserve"> includes hazards identified in </w:t>
      </w:r>
      <w:r w:rsidR="008E3777" w:rsidRPr="00DD1B58">
        <w:rPr>
          <w:lang w:val="en-US"/>
        </w:rPr>
        <w:t>IAEA</w:t>
      </w:r>
      <w:r w:rsidR="00057B15" w:rsidRPr="00DD1B58">
        <w:rPr>
          <w:lang w:val="en-US"/>
        </w:rPr>
        <w:t xml:space="preserve"> SSR-4</w:t>
      </w:r>
      <w:r w:rsidR="00F1565C" w:rsidRPr="00DD1B58">
        <w:rPr>
          <w:lang w:val="en-US"/>
        </w:rPr>
        <w:t xml:space="preserve"> </w:t>
      </w:r>
      <w:sdt>
        <w:sdtPr>
          <w:rPr>
            <w:lang w:val="en-US"/>
          </w:rPr>
          <w:id w:val="-1100418982"/>
          <w:citation/>
        </w:sdtPr>
        <w:sdtContent>
          <w:r w:rsidR="00DF49BF" w:rsidRPr="00DD1B58">
            <w:rPr>
              <w:lang w:val="en-US"/>
            </w:rPr>
            <w:fldChar w:fldCharType="begin"/>
          </w:r>
          <w:r w:rsidR="0042353C" w:rsidRPr="00DD1B58">
            <w:rPr>
              <w:lang w:val="en-US"/>
            </w:rPr>
            <w:instrText xml:space="preserve">CITATION INT17 \l 2057 </w:instrText>
          </w:r>
          <w:r w:rsidR="00DF49BF" w:rsidRPr="00DD1B58">
            <w:rPr>
              <w:lang w:val="en-US"/>
            </w:rPr>
            <w:fldChar w:fldCharType="separate"/>
          </w:r>
          <w:r w:rsidR="00DF47DA" w:rsidRPr="00DF47DA">
            <w:rPr>
              <w:noProof/>
              <w:lang w:val="en-US"/>
            </w:rPr>
            <w:t>[19]</w:t>
          </w:r>
          <w:r w:rsidR="00DF49BF" w:rsidRPr="00DD1B58">
            <w:rPr>
              <w:lang w:val="en-US"/>
            </w:rPr>
            <w:fldChar w:fldCharType="end"/>
          </w:r>
        </w:sdtContent>
      </w:sdt>
      <w:r w:rsidR="00057B15" w:rsidRPr="00DD1B58">
        <w:rPr>
          <w:lang w:val="en-US"/>
        </w:rPr>
        <w:t xml:space="preserve">. </w:t>
      </w:r>
    </w:p>
    <w:p w14:paraId="1518E973" w14:textId="1A36336A" w:rsidR="00B74878" w:rsidRPr="00DD1B58" w:rsidRDefault="004668E0" w:rsidP="00B74878">
      <w:pPr>
        <w:rPr>
          <w:lang w:val="en-US"/>
        </w:rPr>
      </w:pPr>
      <w:r w:rsidRPr="00DD1B58">
        <w:rPr>
          <w:lang w:val="en-US"/>
        </w:rPr>
        <w:t xml:space="preserve">Sellafield Ltd. </w:t>
      </w:r>
      <w:r w:rsidR="00B74878" w:rsidRPr="00DD1B58">
        <w:rPr>
          <w:lang w:val="en-US"/>
        </w:rPr>
        <w:t>consider</w:t>
      </w:r>
      <w:r w:rsidR="00513A64" w:rsidRPr="00DD1B58">
        <w:rPr>
          <w:lang w:val="en-US"/>
        </w:rPr>
        <w:t>s</w:t>
      </w:r>
      <w:r w:rsidR="00B74878" w:rsidRPr="00DD1B58">
        <w:rPr>
          <w:lang w:val="en-US"/>
        </w:rPr>
        <w:t xml:space="preserve"> </w:t>
      </w:r>
      <w:r w:rsidR="00DE0589" w:rsidRPr="00DD1B58">
        <w:rPr>
          <w:lang w:val="en-US"/>
        </w:rPr>
        <w:t>f</w:t>
      </w:r>
      <w:r w:rsidR="00B74878" w:rsidRPr="00DD1B58">
        <w:rPr>
          <w:lang w:val="en-US"/>
        </w:rPr>
        <w:t xml:space="preserve">ire as an </w:t>
      </w:r>
      <w:r w:rsidR="00DE0589" w:rsidRPr="00DD1B58">
        <w:rPr>
          <w:lang w:val="en-US"/>
        </w:rPr>
        <w:t>i</w:t>
      </w:r>
      <w:r w:rsidR="00B74878" w:rsidRPr="00DD1B58">
        <w:rPr>
          <w:lang w:val="en-US"/>
        </w:rPr>
        <w:t xml:space="preserve">nternal </w:t>
      </w:r>
      <w:r w:rsidR="00DE0589" w:rsidRPr="00DD1B58">
        <w:rPr>
          <w:lang w:val="en-US"/>
        </w:rPr>
        <w:t>h</w:t>
      </w:r>
      <w:r w:rsidR="00B74878" w:rsidRPr="00DD1B58">
        <w:rPr>
          <w:lang w:val="en-US"/>
        </w:rPr>
        <w:t xml:space="preserve">azard with bespoke assessment arrangements as detailed in </w:t>
      </w:r>
      <w:r w:rsidR="007F5DFE" w:rsidRPr="00DD1B58">
        <w:rPr>
          <w:lang w:val="en-US"/>
        </w:rPr>
        <w:t xml:space="preserve">Nuclear </w:t>
      </w:r>
      <w:r w:rsidR="00B74878" w:rsidRPr="00DD1B58">
        <w:rPr>
          <w:lang w:val="en-US"/>
        </w:rPr>
        <w:t xml:space="preserve">Safety Case Process and Methods Technical Guidance </w:t>
      </w:r>
      <w:sdt>
        <w:sdtPr>
          <w:rPr>
            <w:lang w:val="en-US"/>
          </w:rPr>
          <w:id w:val="391325599"/>
          <w:citation/>
        </w:sdtPr>
        <w:sdtContent>
          <w:r w:rsidR="00DF49BF" w:rsidRPr="00DD1B58">
            <w:rPr>
              <w:lang w:val="en-US"/>
            </w:rPr>
            <w:fldChar w:fldCharType="begin"/>
          </w:r>
          <w:r w:rsidR="00E858D1" w:rsidRPr="00DD1B58">
            <w:rPr>
              <w:lang w:val="en-US"/>
            </w:rPr>
            <w:instrText xml:space="preserve">CITATION Sel161 \l 2057 </w:instrText>
          </w:r>
          <w:r w:rsidR="00DF49BF" w:rsidRPr="00DD1B58">
            <w:rPr>
              <w:lang w:val="en-US"/>
            </w:rPr>
            <w:fldChar w:fldCharType="separate"/>
          </w:r>
          <w:r w:rsidR="00DF47DA" w:rsidRPr="00DF47DA">
            <w:rPr>
              <w:noProof/>
              <w:lang w:val="en-US"/>
            </w:rPr>
            <w:t>[99]</w:t>
          </w:r>
          <w:r w:rsidR="00DF49BF" w:rsidRPr="00DD1B58">
            <w:rPr>
              <w:lang w:val="en-US"/>
            </w:rPr>
            <w:fldChar w:fldCharType="end"/>
          </w:r>
        </w:sdtContent>
      </w:sdt>
      <w:r w:rsidR="00B74878" w:rsidRPr="00DD1B58">
        <w:rPr>
          <w:lang w:val="en-US"/>
        </w:rPr>
        <w:t>. The Nuclear Fire Safety Analysis considers fire hazards arising within the boundary (or battery) limits of a facility that have the potential to harm the facility or to jeopardise normal safe conditions.</w:t>
      </w:r>
    </w:p>
    <w:p w14:paraId="77C092E7" w14:textId="7D186AD4" w:rsidR="00B74878" w:rsidRPr="00DD1B58" w:rsidRDefault="00B74878" w:rsidP="00B74878">
      <w:pPr>
        <w:rPr>
          <w:lang w:val="en-US"/>
        </w:rPr>
      </w:pPr>
      <w:r w:rsidRPr="00DD1B58">
        <w:rPr>
          <w:lang w:val="en-US"/>
        </w:rPr>
        <w:t xml:space="preserve">External hazards are considered by </w:t>
      </w:r>
      <w:r w:rsidR="00134292" w:rsidRPr="00DD1B58">
        <w:rPr>
          <w:lang w:val="en-US"/>
        </w:rPr>
        <w:t>Sellafield Ltd</w:t>
      </w:r>
      <w:r w:rsidR="00696412" w:rsidRPr="00DD1B58">
        <w:rPr>
          <w:lang w:val="en-US"/>
        </w:rPr>
        <w:t>.</w:t>
      </w:r>
      <w:r w:rsidRPr="00DD1B58">
        <w:rPr>
          <w:lang w:val="en-US"/>
        </w:rPr>
        <w:t xml:space="preserve"> to be natural or man-made hazards (fires and explosions) originating externally to the site and its processes whereby Sellafield </w:t>
      </w:r>
      <w:r w:rsidR="00BF0D1B" w:rsidRPr="00DD1B58">
        <w:rPr>
          <w:lang w:val="en-US"/>
        </w:rPr>
        <w:t>Ltd</w:t>
      </w:r>
      <w:r w:rsidR="00696412" w:rsidRPr="00DD1B58">
        <w:rPr>
          <w:lang w:val="en-US"/>
        </w:rPr>
        <w:t>.</w:t>
      </w:r>
      <w:r w:rsidRPr="00DD1B58">
        <w:rPr>
          <w:lang w:val="en-US"/>
        </w:rPr>
        <w:t xml:space="preserve"> ha</w:t>
      </w:r>
      <w:r w:rsidR="00C15DF0" w:rsidRPr="00DD1B58">
        <w:rPr>
          <w:lang w:val="en-US"/>
        </w:rPr>
        <w:t>s</w:t>
      </w:r>
      <w:r w:rsidRPr="00DD1B58">
        <w:rPr>
          <w:lang w:val="en-US"/>
        </w:rPr>
        <w:t xml:space="preserve"> very little or no control over the initiating event.</w:t>
      </w:r>
      <w:r w:rsidR="00940D2A" w:rsidRPr="00DD1B58">
        <w:rPr>
          <w:lang w:val="en-US"/>
        </w:rPr>
        <w:t xml:space="preserve"> </w:t>
      </w:r>
      <w:r w:rsidRPr="00DD1B58">
        <w:rPr>
          <w:lang w:val="en-US"/>
        </w:rPr>
        <w:t xml:space="preserve">Examples of external hazards considered by </w:t>
      </w:r>
      <w:r w:rsidR="00134292" w:rsidRPr="00DD1B58">
        <w:rPr>
          <w:lang w:val="en-US"/>
        </w:rPr>
        <w:t>Sellafield Ltd</w:t>
      </w:r>
      <w:r w:rsidR="00696412" w:rsidRPr="00DD1B58">
        <w:rPr>
          <w:lang w:val="en-US"/>
        </w:rPr>
        <w:t>.</w:t>
      </w:r>
      <w:r w:rsidRPr="00DD1B58">
        <w:rPr>
          <w:lang w:val="en-US"/>
        </w:rPr>
        <w:t xml:space="preserve"> are in</w:t>
      </w:r>
      <w:r w:rsidR="00C15DF0" w:rsidRPr="00DD1B58">
        <w:rPr>
          <w:lang w:val="en-US"/>
        </w:rPr>
        <w:t xml:space="preserve"> </w:t>
      </w:r>
      <w:r w:rsidRPr="00DD1B58">
        <w:rPr>
          <w:lang w:val="en-US"/>
        </w:rPr>
        <w:t>line with IAEA SSR-4 (Requirement 16) and include (but are not limited to) aircraft crashes, fires originating off</w:t>
      </w:r>
      <w:r w:rsidR="00C15DF0" w:rsidRPr="00DD1B58">
        <w:rPr>
          <w:lang w:val="en-US"/>
        </w:rPr>
        <w:t xml:space="preserve"> </w:t>
      </w:r>
      <w:r w:rsidRPr="00DD1B58">
        <w:rPr>
          <w:lang w:val="en-US"/>
        </w:rPr>
        <w:t>site, seismic events and flooding</w:t>
      </w:r>
      <w:r w:rsidR="003800F5" w:rsidRPr="00DD1B58">
        <w:rPr>
          <w:lang w:val="en-US"/>
        </w:rPr>
        <w:t xml:space="preserve"> </w:t>
      </w:r>
      <w:sdt>
        <w:sdtPr>
          <w:rPr>
            <w:lang w:val="en-US"/>
          </w:rPr>
          <w:id w:val="-1871601966"/>
          <w:citation/>
        </w:sdtPr>
        <w:sdtContent>
          <w:r w:rsidR="003800F5" w:rsidRPr="00DD1B58">
            <w:rPr>
              <w:lang w:val="en-US"/>
            </w:rPr>
            <w:fldChar w:fldCharType="begin"/>
          </w:r>
          <w:r w:rsidR="0042353C" w:rsidRPr="00DD1B58">
            <w:rPr>
              <w:lang w:val="en-US"/>
            </w:rPr>
            <w:instrText xml:space="preserve">CITATION INT17 \l 2057 </w:instrText>
          </w:r>
          <w:r w:rsidR="003800F5" w:rsidRPr="00DD1B58">
            <w:rPr>
              <w:lang w:val="en-US"/>
            </w:rPr>
            <w:fldChar w:fldCharType="separate"/>
          </w:r>
          <w:r w:rsidR="00DF47DA" w:rsidRPr="00DF47DA">
            <w:rPr>
              <w:noProof/>
              <w:lang w:val="en-US"/>
            </w:rPr>
            <w:t>[19]</w:t>
          </w:r>
          <w:r w:rsidR="003800F5" w:rsidRPr="00DD1B58">
            <w:rPr>
              <w:lang w:val="en-US"/>
            </w:rPr>
            <w:fldChar w:fldCharType="end"/>
          </w:r>
        </w:sdtContent>
      </w:sdt>
      <w:r w:rsidRPr="00DD1B58">
        <w:rPr>
          <w:lang w:val="en-US"/>
        </w:rPr>
        <w:t xml:space="preserve">. </w:t>
      </w:r>
    </w:p>
    <w:p w14:paraId="31D0959D" w14:textId="6C1A33B5" w:rsidR="00B74878" w:rsidRPr="00DD1B58" w:rsidRDefault="00B74878" w:rsidP="00B74878">
      <w:pPr>
        <w:rPr>
          <w:lang w:val="en-US"/>
        </w:rPr>
      </w:pPr>
      <w:r w:rsidRPr="00DD1B58">
        <w:rPr>
          <w:lang w:val="en-US"/>
        </w:rPr>
        <w:t xml:space="preserve">In addition to the above definition of an external hazard, all hazards external to the boundary limits are to be considered as an external hazard </w:t>
      </w:r>
      <w:r w:rsidR="003E0CAD" w:rsidRPr="00DD1B58">
        <w:rPr>
          <w:lang w:val="en-US"/>
        </w:rPr>
        <w:t>(</w:t>
      </w:r>
      <w:r w:rsidR="00D956AF" w:rsidRPr="00DD1B58">
        <w:rPr>
          <w:lang w:val="en-US"/>
        </w:rPr>
        <w:t>e.g.</w:t>
      </w:r>
      <w:r w:rsidRPr="00DD1B58">
        <w:rPr>
          <w:lang w:val="en-US"/>
        </w:rPr>
        <w:t>, vehicle fires external to the boundary limits</w:t>
      </w:r>
      <w:r w:rsidR="003E0CAD" w:rsidRPr="00DD1B58">
        <w:rPr>
          <w:lang w:val="en-US"/>
        </w:rPr>
        <w:t>)</w:t>
      </w:r>
      <w:r w:rsidRPr="00DD1B58">
        <w:rPr>
          <w:lang w:val="en-US"/>
        </w:rPr>
        <w:t>, with the exception of those safety measures or fault SSCs that fall within the boundary limits of a different plant (located either upstream or downstream) upon which a claim has been made.</w:t>
      </w:r>
    </w:p>
    <w:p w14:paraId="2A087EE1" w14:textId="05498E7B" w:rsidR="00B74878" w:rsidRPr="00DD1B58" w:rsidRDefault="00134292" w:rsidP="00B74878">
      <w:pPr>
        <w:rPr>
          <w:lang w:val="en-US"/>
        </w:rPr>
      </w:pPr>
      <w:r w:rsidRPr="00DD1B58">
        <w:rPr>
          <w:lang w:val="en-US"/>
        </w:rPr>
        <w:t>Sellafield Ltd</w:t>
      </w:r>
      <w:r w:rsidR="00696412" w:rsidRPr="00DD1B58">
        <w:rPr>
          <w:lang w:val="en-US"/>
        </w:rPr>
        <w:t>.</w:t>
      </w:r>
      <w:r w:rsidR="00B74878" w:rsidRPr="00DD1B58">
        <w:rPr>
          <w:lang w:val="en-US"/>
        </w:rPr>
        <w:t xml:space="preserve"> </w:t>
      </w:r>
      <w:r w:rsidR="008E3777" w:rsidRPr="00DD1B58">
        <w:rPr>
          <w:lang w:val="en-US"/>
        </w:rPr>
        <w:t xml:space="preserve">has </w:t>
      </w:r>
      <w:r w:rsidR="00696412" w:rsidRPr="00DD1B58">
        <w:rPr>
          <w:lang w:val="en-US"/>
        </w:rPr>
        <w:t xml:space="preserve">Nuclear </w:t>
      </w:r>
      <w:r w:rsidR="00B74878" w:rsidRPr="00DD1B58">
        <w:rPr>
          <w:lang w:val="en-US"/>
        </w:rPr>
        <w:t xml:space="preserve">Safety Case Process and Methods Technical Guidance on how to undertake an </w:t>
      </w:r>
      <w:r w:rsidR="0000326B" w:rsidRPr="00DD1B58">
        <w:rPr>
          <w:lang w:val="en-US"/>
        </w:rPr>
        <w:t>e</w:t>
      </w:r>
      <w:r w:rsidR="00B74878" w:rsidRPr="00DD1B58">
        <w:rPr>
          <w:lang w:val="en-US"/>
        </w:rPr>
        <w:t xml:space="preserve">xternal </w:t>
      </w:r>
      <w:r w:rsidR="0000326B" w:rsidRPr="00DD1B58">
        <w:rPr>
          <w:lang w:val="en-US"/>
        </w:rPr>
        <w:t>h</w:t>
      </w:r>
      <w:r w:rsidR="00B74878" w:rsidRPr="00DD1B58">
        <w:rPr>
          <w:lang w:val="en-US"/>
        </w:rPr>
        <w:t xml:space="preserve">azard </w:t>
      </w:r>
      <w:r w:rsidR="0000326B" w:rsidRPr="00DD1B58">
        <w:rPr>
          <w:lang w:val="en-US"/>
        </w:rPr>
        <w:t>a</w:t>
      </w:r>
      <w:r w:rsidR="00B74878" w:rsidRPr="00DD1B58">
        <w:rPr>
          <w:lang w:val="en-US"/>
        </w:rPr>
        <w:t xml:space="preserve">nalysis. Individual plant </w:t>
      </w:r>
      <w:r w:rsidR="0000326B" w:rsidRPr="00DD1B58">
        <w:rPr>
          <w:lang w:val="en-US"/>
        </w:rPr>
        <w:t>n</w:t>
      </w:r>
      <w:r w:rsidR="00B74878" w:rsidRPr="00DD1B58">
        <w:rPr>
          <w:lang w:val="en-US"/>
        </w:rPr>
        <w:t xml:space="preserve">uclear </w:t>
      </w:r>
      <w:r w:rsidR="0000326B" w:rsidRPr="00DD1B58">
        <w:rPr>
          <w:lang w:val="en-US"/>
        </w:rPr>
        <w:t>s</w:t>
      </w:r>
      <w:r w:rsidR="00B74878" w:rsidRPr="00DD1B58">
        <w:rPr>
          <w:lang w:val="en-US"/>
        </w:rPr>
        <w:t xml:space="preserve">afety </w:t>
      </w:r>
      <w:r w:rsidR="0000326B" w:rsidRPr="00DD1B58">
        <w:rPr>
          <w:lang w:val="en-US"/>
        </w:rPr>
        <w:t>c</w:t>
      </w:r>
      <w:r w:rsidR="00B74878" w:rsidRPr="00DD1B58">
        <w:rPr>
          <w:lang w:val="en-US"/>
        </w:rPr>
        <w:t xml:space="preserve">ases contain an </w:t>
      </w:r>
      <w:r w:rsidR="0000326B" w:rsidRPr="00DD1B58">
        <w:rPr>
          <w:lang w:val="en-US"/>
        </w:rPr>
        <w:t>e</w:t>
      </w:r>
      <w:r w:rsidR="00B74878" w:rsidRPr="00DD1B58">
        <w:rPr>
          <w:lang w:val="en-US"/>
        </w:rPr>
        <w:t xml:space="preserve">xternal </w:t>
      </w:r>
      <w:r w:rsidR="0000326B" w:rsidRPr="00DD1B58">
        <w:rPr>
          <w:lang w:val="en-US"/>
        </w:rPr>
        <w:t>h</w:t>
      </w:r>
      <w:r w:rsidR="00B74878" w:rsidRPr="00DD1B58">
        <w:rPr>
          <w:lang w:val="en-US"/>
        </w:rPr>
        <w:t xml:space="preserve">azard </w:t>
      </w:r>
      <w:r w:rsidR="0000326B" w:rsidRPr="00DD1B58">
        <w:rPr>
          <w:lang w:val="en-US"/>
        </w:rPr>
        <w:t>a</w:t>
      </w:r>
      <w:r w:rsidR="00B74878" w:rsidRPr="00DD1B58">
        <w:rPr>
          <w:lang w:val="en-US"/>
        </w:rPr>
        <w:t xml:space="preserve">nalysis and there is also a holistic </w:t>
      </w:r>
      <w:r w:rsidR="0000326B" w:rsidRPr="00DD1B58">
        <w:rPr>
          <w:lang w:val="en-US"/>
        </w:rPr>
        <w:t>s</w:t>
      </w:r>
      <w:r w:rsidR="00B74878" w:rsidRPr="00DD1B58">
        <w:rPr>
          <w:lang w:val="en-US"/>
        </w:rPr>
        <w:t xml:space="preserve">ite </w:t>
      </w:r>
      <w:r w:rsidR="0000326B" w:rsidRPr="00DD1B58">
        <w:rPr>
          <w:lang w:val="en-US"/>
        </w:rPr>
        <w:t>w</w:t>
      </w:r>
      <w:r w:rsidR="00B74878" w:rsidRPr="00DD1B58">
        <w:rPr>
          <w:lang w:val="en-US"/>
        </w:rPr>
        <w:t xml:space="preserve">ide </w:t>
      </w:r>
      <w:r w:rsidR="0000326B" w:rsidRPr="00DD1B58">
        <w:rPr>
          <w:lang w:val="en-US"/>
        </w:rPr>
        <w:t>e</w:t>
      </w:r>
      <w:r w:rsidR="00B74878" w:rsidRPr="00DD1B58">
        <w:rPr>
          <w:lang w:val="en-US"/>
        </w:rPr>
        <w:t xml:space="preserve">xternal </w:t>
      </w:r>
      <w:r w:rsidR="0000326B" w:rsidRPr="00DD1B58">
        <w:rPr>
          <w:lang w:val="en-US"/>
        </w:rPr>
        <w:t>h</w:t>
      </w:r>
      <w:r w:rsidR="00B74878" w:rsidRPr="00DD1B58">
        <w:rPr>
          <w:lang w:val="en-US"/>
        </w:rPr>
        <w:t xml:space="preserve">azard </w:t>
      </w:r>
      <w:r w:rsidR="0000326B" w:rsidRPr="00DD1B58">
        <w:rPr>
          <w:lang w:val="en-US"/>
        </w:rPr>
        <w:t>a</w:t>
      </w:r>
      <w:r w:rsidR="00B74878" w:rsidRPr="00DD1B58">
        <w:rPr>
          <w:lang w:val="en-US"/>
        </w:rPr>
        <w:t>nalysis.</w:t>
      </w:r>
    </w:p>
    <w:p w14:paraId="22F84539" w14:textId="306A83C8" w:rsidR="00B74878" w:rsidRPr="00DD1B58" w:rsidRDefault="00DF2B1D" w:rsidP="00973FF4">
      <w:pPr>
        <w:keepNext/>
        <w:rPr>
          <w:b/>
          <w:lang w:val="en-US"/>
        </w:rPr>
      </w:pPr>
      <w:r w:rsidRPr="00DD1B58">
        <w:rPr>
          <w:b/>
          <w:lang w:val="en-US"/>
        </w:rPr>
        <w:t xml:space="preserve">Fault </w:t>
      </w:r>
      <w:r w:rsidR="00B74878" w:rsidRPr="00DD1B58">
        <w:rPr>
          <w:b/>
          <w:lang w:val="en-US"/>
        </w:rPr>
        <w:t>Combinations</w:t>
      </w:r>
      <w:r w:rsidRPr="00DD1B58">
        <w:rPr>
          <w:b/>
          <w:lang w:val="en-US"/>
        </w:rPr>
        <w:t xml:space="preserve"> and Consequential Hazards</w:t>
      </w:r>
    </w:p>
    <w:p w14:paraId="29845A20" w14:textId="77FDE1F2" w:rsidR="003B1ED9" w:rsidRPr="00DD1B58" w:rsidRDefault="004D5993" w:rsidP="00B74878">
      <w:pPr>
        <w:rPr>
          <w:lang w:val="en-US"/>
        </w:rPr>
      </w:pPr>
      <w:r w:rsidRPr="00DD1B58">
        <w:rPr>
          <w:lang w:val="en-US"/>
        </w:rPr>
        <w:t xml:space="preserve">To ensure fault combinations and consequential hazards are understood and protected against, </w:t>
      </w:r>
      <w:r w:rsidR="00134292" w:rsidRPr="00DD1B58">
        <w:rPr>
          <w:lang w:val="en-US"/>
        </w:rPr>
        <w:t>Sellafield Ltd</w:t>
      </w:r>
      <w:r w:rsidR="00696412" w:rsidRPr="00DD1B58">
        <w:rPr>
          <w:lang w:val="en-US"/>
        </w:rPr>
        <w:t>.</w:t>
      </w:r>
      <w:r w:rsidRPr="00DD1B58">
        <w:rPr>
          <w:lang w:val="en-US"/>
        </w:rPr>
        <w:t xml:space="preserve"> </w:t>
      </w:r>
      <w:r w:rsidR="008E3777" w:rsidRPr="00DD1B58">
        <w:rPr>
          <w:lang w:val="en-US"/>
        </w:rPr>
        <w:t>state</w:t>
      </w:r>
      <w:r w:rsidR="003E0CAD" w:rsidRPr="00DD1B58">
        <w:rPr>
          <w:lang w:val="en-US"/>
        </w:rPr>
        <w:t>s</w:t>
      </w:r>
      <w:r w:rsidR="008E3777" w:rsidRPr="00DD1B58">
        <w:rPr>
          <w:lang w:val="en-US"/>
        </w:rPr>
        <w:t xml:space="preserve"> that it undertakes </w:t>
      </w:r>
      <w:r w:rsidR="00C547DE" w:rsidRPr="00DD1B58">
        <w:rPr>
          <w:rFonts w:eastAsia="Times New Roman"/>
          <w:lang w:val="en-US"/>
        </w:rPr>
        <w:t>r</w:t>
      </w:r>
      <w:r w:rsidR="00B07748" w:rsidRPr="00DD1B58">
        <w:rPr>
          <w:rFonts w:eastAsia="Times New Roman"/>
          <w:lang w:val="en-US"/>
        </w:rPr>
        <w:t xml:space="preserve">obust </w:t>
      </w:r>
      <w:r w:rsidR="00C547DE" w:rsidRPr="00DD1B58">
        <w:rPr>
          <w:rFonts w:eastAsia="Times New Roman"/>
          <w:lang w:val="en-US"/>
        </w:rPr>
        <w:t>h</w:t>
      </w:r>
      <w:r w:rsidR="00B07748" w:rsidRPr="00DD1B58">
        <w:rPr>
          <w:rFonts w:eastAsia="Times New Roman"/>
          <w:lang w:val="en-US"/>
        </w:rPr>
        <w:t>azard identification (ID) using a number of different techniques as appropriate and proportionate to the risk, particularly Hazard and Operability Studies (HAZOP)</w:t>
      </w:r>
      <w:r w:rsidR="00C547DE" w:rsidRPr="00DD1B58">
        <w:rPr>
          <w:rFonts w:eastAsia="Times New Roman"/>
          <w:lang w:val="en-US"/>
        </w:rPr>
        <w:t xml:space="preserve"> and</w:t>
      </w:r>
      <w:r w:rsidR="00B07748" w:rsidRPr="00DD1B58">
        <w:rPr>
          <w:rFonts w:eastAsia="Times New Roman"/>
          <w:lang w:val="en-US"/>
        </w:rPr>
        <w:t xml:space="preserve"> </w:t>
      </w:r>
      <w:r w:rsidR="00C547DE" w:rsidRPr="00DD1B58">
        <w:rPr>
          <w:rFonts w:eastAsia="Times New Roman"/>
          <w:lang w:val="en-US"/>
        </w:rPr>
        <w:t>i</w:t>
      </w:r>
      <w:r w:rsidR="00B07748" w:rsidRPr="00DD1B58">
        <w:rPr>
          <w:rFonts w:eastAsia="Times New Roman"/>
          <w:lang w:val="en-US"/>
        </w:rPr>
        <w:t xml:space="preserve">nternal </w:t>
      </w:r>
      <w:r w:rsidR="00C547DE" w:rsidRPr="00DD1B58">
        <w:rPr>
          <w:rFonts w:eastAsia="Times New Roman"/>
          <w:lang w:val="en-US"/>
        </w:rPr>
        <w:t>h</w:t>
      </w:r>
      <w:r w:rsidR="00B07748" w:rsidRPr="00DD1B58">
        <w:rPr>
          <w:rFonts w:eastAsia="Times New Roman"/>
          <w:lang w:val="en-US"/>
        </w:rPr>
        <w:t>azards walkdown</w:t>
      </w:r>
      <w:r w:rsidR="003A2ED5" w:rsidRPr="00DD1B58">
        <w:rPr>
          <w:rFonts w:eastAsia="Times New Roman"/>
          <w:lang w:val="en-US"/>
        </w:rPr>
        <w:t>s</w:t>
      </w:r>
      <w:r w:rsidR="00B07748" w:rsidRPr="00DD1B58">
        <w:rPr>
          <w:rFonts w:eastAsia="Times New Roman"/>
          <w:lang w:val="en-US"/>
        </w:rPr>
        <w:t xml:space="preserve"> which prompt the consideration of ‘</w:t>
      </w:r>
      <w:r w:rsidR="003E0CAD" w:rsidRPr="00DD1B58">
        <w:rPr>
          <w:rFonts w:eastAsia="Times New Roman"/>
          <w:lang w:val="en-US"/>
        </w:rPr>
        <w:t>d</w:t>
      </w:r>
      <w:r w:rsidR="00B07748" w:rsidRPr="00DD1B58">
        <w:rPr>
          <w:rFonts w:eastAsia="Times New Roman"/>
          <w:lang w:val="en-US"/>
        </w:rPr>
        <w:t>omino’ and coincident events</w:t>
      </w:r>
      <w:r w:rsidR="00B319F3" w:rsidRPr="00DD1B58">
        <w:rPr>
          <w:rFonts w:eastAsia="Times New Roman"/>
          <w:lang w:val="en-US"/>
        </w:rPr>
        <w:t xml:space="preserve"> </w:t>
      </w:r>
      <w:sdt>
        <w:sdtPr>
          <w:rPr>
            <w:rFonts w:eastAsia="Times New Roman"/>
            <w:lang w:val="en-US"/>
          </w:rPr>
          <w:id w:val="-481230533"/>
          <w:citation/>
        </w:sdtPr>
        <w:sdtContent>
          <w:r w:rsidR="003020B4" w:rsidRPr="00DD1B58">
            <w:rPr>
              <w:rFonts w:eastAsia="Times New Roman"/>
              <w:lang w:val="en-US"/>
            </w:rPr>
            <w:fldChar w:fldCharType="begin"/>
          </w:r>
          <w:r w:rsidR="00E858D1" w:rsidRPr="00DD1B58">
            <w:rPr>
              <w:rFonts w:eastAsia="Times New Roman"/>
              <w:lang w:val="en-US"/>
            </w:rPr>
            <w:instrText xml:space="preserve">CITATION Sel30 \l 2057 </w:instrText>
          </w:r>
          <w:r w:rsidR="003020B4" w:rsidRPr="00DD1B58">
            <w:rPr>
              <w:rFonts w:eastAsia="Times New Roman"/>
              <w:lang w:val="en-US"/>
            </w:rPr>
            <w:fldChar w:fldCharType="separate"/>
          </w:r>
          <w:r w:rsidR="00DF47DA" w:rsidRPr="00DF47DA">
            <w:rPr>
              <w:rFonts w:eastAsia="Times New Roman"/>
              <w:noProof/>
              <w:lang w:val="en-US"/>
            </w:rPr>
            <w:t>[100]</w:t>
          </w:r>
          <w:r w:rsidR="003020B4" w:rsidRPr="00DD1B58">
            <w:rPr>
              <w:rFonts w:eastAsia="Times New Roman"/>
              <w:lang w:val="en-US"/>
            </w:rPr>
            <w:fldChar w:fldCharType="end"/>
          </w:r>
        </w:sdtContent>
      </w:sdt>
      <w:r w:rsidR="00B07748" w:rsidRPr="00DD1B58">
        <w:rPr>
          <w:rFonts w:eastAsia="Times New Roman"/>
          <w:lang w:val="en-US"/>
        </w:rPr>
        <w:t>. </w:t>
      </w:r>
    </w:p>
    <w:p w14:paraId="55823CDD" w14:textId="226F1A36" w:rsidR="003B1ED9" w:rsidRPr="00DD1B58" w:rsidRDefault="0070320C" w:rsidP="00B74878">
      <w:pPr>
        <w:rPr>
          <w:lang w:val="en-US"/>
        </w:rPr>
      </w:pPr>
      <w:r w:rsidRPr="00DD1B58">
        <w:rPr>
          <w:rFonts w:eastAsia="Times New Roman"/>
          <w:lang w:val="en-US"/>
        </w:rPr>
        <w:t xml:space="preserve">An internal hazards walkdown (or desktop study if a walkdown is not possible) is </w:t>
      </w:r>
      <w:r w:rsidR="003A2ED5" w:rsidRPr="00DD1B58">
        <w:rPr>
          <w:rFonts w:eastAsia="Times New Roman"/>
          <w:lang w:val="en-US"/>
        </w:rPr>
        <w:t xml:space="preserve">defined by </w:t>
      </w:r>
      <w:r w:rsidR="00134292" w:rsidRPr="00DD1B58">
        <w:rPr>
          <w:rFonts w:eastAsia="Times New Roman"/>
          <w:lang w:val="en-US"/>
        </w:rPr>
        <w:t>Sellafield Ltd</w:t>
      </w:r>
      <w:r w:rsidR="00324F6F" w:rsidRPr="00DD1B58">
        <w:rPr>
          <w:rFonts w:eastAsia="Times New Roman"/>
          <w:lang w:val="en-US"/>
        </w:rPr>
        <w:t>.</w:t>
      </w:r>
      <w:r w:rsidR="003A2ED5" w:rsidRPr="00DD1B58">
        <w:rPr>
          <w:rFonts w:eastAsia="Times New Roman"/>
          <w:lang w:val="en-US"/>
        </w:rPr>
        <w:t xml:space="preserve"> as </w:t>
      </w:r>
      <w:r w:rsidRPr="00DD1B58">
        <w:rPr>
          <w:rFonts w:eastAsia="Times New Roman"/>
          <w:lang w:val="en-US"/>
        </w:rPr>
        <w:t>a systematic hazard ID study of potential hazards in a facility, but outside of the facilities process, which can challenge the SSCs providing nuclear safety in that facility.</w:t>
      </w:r>
      <w:r w:rsidRPr="00DD1B58">
        <w:rPr>
          <w:lang w:val="en-US"/>
        </w:rPr>
        <w:t xml:space="preserve"> However, </w:t>
      </w:r>
      <w:r w:rsidR="00134292" w:rsidRPr="00DD1B58">
        <w:rPr>
          <w:lang w:val="en-US"/>
        </w:rPr>
        <w:t>Sellafield Ltd</w:t>
      </w:r>
      <w:r w:rsidR="00324F6F" w:rsidRPr="00DD1B58">
        <w:rPr>
          <w:lang w:val="en-US"/>
        </w:rPr>
        <w:t>.</w:t>
      </w:r>
      <w:r w:rsidR="00292269" w:rsidRPr="00DD1B58">
        <w:rPr>
          <w:lang w:val="en-US"/>
        </w:rPr>
        <w:t xml:space="preserve"> carries out </w:t>
      </w:r>
      <w:r w:rsidRPr="00DD1B58">
        <w:rPr>
          <w:lang w:val="en-US"/>
        </w:rPr>
        <w:t>detailed analysis of the significance</w:t>
      </w:r>
      <w:r w:rsidR="00E71BD6" w:rsidRPr="00DD1B58">
        <w:rPr>
          <w:lang w:val="en-US"/>
        </w:rPr>
        <w:t xml:space="preserve"> and </w:t>
      </w:r>
      <w:r w:rsidRPr="00DD1B58">
        <w:rPr>
          <w:lang w:val="en-US"/>
        </w:rPr>
        <w:t xml:space="preserve">magnitude of the consequences </w:t>
      </w:r>
      <w:r w:rsidR="00E71BD6" w:rsidRPr="00DD1B58">
        <w:rPr>
          <w:lang w:val="en-US"/>
        </w:rPr>
        <w:t xml:space="preserve">that </w:t>
      </w:r>
      <w:r w:rsidRPr="00DD1B58">
        <w:rPr>
          <w:lang w:val="en-US"/>
        </w:rPr>
        <w:t>may be derived from these faults as a separate exercise</w:t>
      </w:r>
      <w:r w:rsidR="00E71BD6" w:rsidRPr="00DD1B58">
        <w:rPr>
          <w:lang w:val="en-US"/>
        </w:rPr>
        <w:t xml:space="preserve">. This analysis is </w:t>
      </w:r>
      <w:r w:rsidRPr="00DD1B58">
        <w:rPr>
          <w:lang w:val="en-US"/>
        </w:rPr>
        <w:t xml:space="preserve">presented in the </w:t>
      </w:r>
      <w:r w:rsidR="00292269" w:rsidRPr="00DD1B58">
        <w:rPr>
          <w:lang w:val="en-US"/>
        </w:rPr>
        <w:t>HAZANs</w:t>
      </w:r>
      <w:r w:rsidRPr="00DD1B58">
        <w:rPr>
          <w:lang w:val="en-US"/>
        </w:rPr>
        <w:t>, which consider the range of faults applicable to new</w:t>
      </w:r>
      <w:r w:rsidR="00E71BD6" w:rsidRPr="00DD1B58">
        <w:rPr>
          <w:lang w:val="en-US"/>
        </w:rPr>
        <w:t xml:space="preserve"> or </w:t>
      </w:r>
      <w:r w:rsidRPr="00DD1B58">
        <w:rPr>
          <w:lang w:val="en-US"/>
        </w:rPr>
        <w:t>modified operations and where the safeguards applicable to the faults are identified.</w:t>
      </w:r>
      <w:r w:rsidR="00940D2A" w:rsidRPr="00DD1B58">
        <w:rPr>
          <w:lang w:val="en-US"/>
        </w:rPr>
        <w:t xml:space="preserve"> </w:t>
      </w:r>
      <w:r w:rsidRPr="00DD1B58">
        <w:rPr>
          <w:lang w:val="en-US"/>
        </w:rPr>
        <w:t xml:space="preserve">Where </w:t>
      </w:r>
      <w:r w:rsidR="00134292" w:rsidRPr="00DD1B58">
        <w:rPr>
          <w:lang w:val="en-US"/>
        </w:rPr>
        <w:t>Sellafield Ltd</w:t>
      </w:r>
      <w:r w:rsidR="00324F6F" w:rsidRPr="00DD1B58">
        <w:rPr>
          <w:lang w:val="en-US"/>
        </w:rPr>
        <w:t>.</w:t>
      </w:r>
      <w:r w:rsidR="00270176" w:rsidRPr="00DD1B58">
        <w:rPr>
          <w:lang w:val="en-US"/>
        </w:rPr>
        <w:t xml:space="preserve"> considers that </w:t>
      </w:r>
      <w:r w:rsidRPr="00DD1B58">
        <w:rPr>
          <w:lang w:val="en-US"/>
        </w:rPr>
        <w:t>a combination of faults</w:t>
      </w:r>
      <w:r w:rsidR="004A5A6D" w:rsidRPr="00DD1B58">
        <w:rPr>
          <w:lang w:val="en-US"/>
        </w:rPr>
        <w:t xml:space="preserve"> and </w:t>
      </w:r>
      <w:r w:rsidRPr="00DD1B58">
        <w:rPr>
          <w:lang w:val="en-US"/>
        </w:rPr>
        <w:t xml:space="preserve">conditions is required for a significant radiological release, </w:t>
      </w:r>
      <w:r w:rsidR="00270176" w:rsidRPr="00DD1B58">
        <w:rPr>
          <w:lang w:val="en-US"/>
        </w:rPr>
        <w:t xml:space="preserve">it highlights </w:t>
      </w:r>
      <w:r w:rsidR="004A5A6D" w:rsidRPr="00DD1B58">
        <w:rPr>
          <w:lang w:val="en-US"/>
        </w:rPr>
        <w:t>this</w:t>
      </w:r>
      <w:r w:rsidRPr="00DD1B58">
        <w:rPr>
          <w:lang w:val="en-US"/>
        </w:rPr>
        <w:t xml:space="preserve"> in the HAZAN and </w:t>
      </w:r>
      <w:r w:rsidR="00270176" w:rsidRPr="00DD1B58">
        <w:rPr>
          <w:lang w:val="en-US"/>
        </w:rPr>
        <w:t>then takes it into</w:t>
      </w:r>
      <w:r w:rsidRPr="00DD1B58">
        <w:rPr>
          <w:lang w:val="en-US"/>
        </w:rPr>
        <w:t xml:space="preserve"> account in the fault sequence frequency and risk assessment.</w:t>
      </w:r>
    </w:p>
    <w:p w14:paraId="0065CFD1" w14:textId="7A9C9FC1" w:rsidR="00E739BF" w:rsidRPr="00DD1B58" w:rsidRDefault="00134292" w:rsidP="00B74878">
      <w:pPr>
        <w:rPr>
          <w:lang w:val="en-US"/>
        </w:rPr>
      </w:pPr>
      <w:r w:rsidRPr="00DD1B58">
        <w:rPr>
          <w:rFonts w:eastAsia="Times New Roman"/>
          <w:lang w:val="en-US"/>
        </w:rPr>
        <w:t>Sellafield Ltd</w:t>
      </w:r>
      <w:r w:rsidR="00324F6F" w:rsidRPr="00DD1B58">
        <w:rPr>
          <w:rFonts w:eastAsia="Times New Roman"/>
          <w:lang w:val="en-US"/>
        </w:rPr>
        <w:t>.</w:t>
      </w:r>
      <w:r w:rsidR="00A76711" w:rsidRPr="00DD1B58">
        <w:rPr>
          <w:rFonts w:eastAsia="Times New Roman"/>
          <w:lang w:val="en-US"/>
        </w:rPr>
        <w:t>’s</w:t>
      </w:r>
      <w:r w:rsidR="00E739BF" w:rsidRPr="00DD1B58">
        <w:rPr>
          <w:rFonts w:eastAsia="Times New Roman"/>
          <w:lang w:val="en-US"/>
        </w:rPr>
        <w:t xml:space="preserve"> process for assessing </w:t>
      </w:r>
      <w:r w:rsidR="00A76711" w:rsidRPr="00DD1B58">
        <w:rPr>
          <w:rFonts w:eastAsia="Times New Roman"/>
          <w:lang w:val="en-US"/>
        </w:rPr>
        <w:t xml:space="preserve">identified </w:t>
      </w:r>
      <w:r w:rsidR="00E739BF" w:rsidRPr="00DD1B58">
        <w:rPr>
          <w:rFonts w:eastAsia="Times New Roman"/>
          <w:lang w:val="en-US"/>
        </w:rPr>
        <w:t xml:space="preserve">hazards and faults </w:t>
      </w:r>
      <w:r w:rsidR="00A76711" w:rsidRPr="00DD1B58">
        <w:rPr>
          <w:rFonts w:eastAsia="Times New Roman"/>
          <w:lang w:val="en-US"/>
        </w:rPr>
        <w:t>is in a</w:t>
      </w:r>
      <w:r w:rsidR="00E739BF" w:rsidRPr="00DD1B58">
        <w:rPr>
          <w:rFonts w:eastAsia="Times New Roman"/>
          <w:lang w:val="en-US"/>
        </w:rPr>
        <w:t xml:space="preserve"> </w:t>
      </w:r>
      <w:r w:rsidR="00D2087D" w:rsidRPr="00DD1B58">
        <w:rPr>
          <w:rFonts w:eastAsia="Times New Roman"/>
          <w:lang w:val="en-US"/>
        </w:rPr>
        <w:t xml:space="preserve">Nuclear </w:t>
      </w:r>
      <w:r w:rsidR="00E739BF" w:rsidRPr="00DD1B58">
        <w:rPr>
          <w:rFonts w:eastAsia="Times New Roman"/>
          <w:lang w:val="en-US"/>
        </w:rPr>
        <w:t xml:space="preserve">Safety Case Process and Methods Technical Guidance. </w:t>
      </w:r>
      <w:r w:rsidR="00A76711" w:rsidRPr="00DD1B58">
        <w:rPr>
          <w:rFonts w:eastAsia="Times New Roman"/>
          <w:lang w:val="en-US"/>
        </w:rPr>
        <w:t xml:space="preserve">The guidance </w:t>
      </w:r>
      <w:r w:rsidR="00E739BF" w:rsidRPr="00DD1B58">
        <w:rPr>
          <w:rFonts w:eastAsia="Times New Roman"/>
          <w:lang w:val="en-US"/>
        </w:rPr>
        <w:t xml:space="preserve">requires a consideration of the level of independence and </w:t>
      </w:r>
      <w:r w:rsidR="00B62C89" w:rsidRPr="00DD1B58">
        <w:rPr>
          <w:rFonts w:eastAsia="Times New Roman"/>
          <w:lang w:val="en-US"/>
        </w:rPr>
        <w:t>d</w:t>
      </w:r>
      <w:r w:rsidR="00E739BF" w:rsidRPr="00DD1B58">
        <w:rPr>
          <w:rFonts w:eastAsia="Times New Roman"/>
          <w:lang w:val="en-US"/>
        </w:rPr>
        <w:t xml:space="preserve">efence in </w:t>
      </w:r>
      <w:r w:rsidR="00B62C89" w:rsidRPr="00DD1B58">
        <w:rPr>
          <w:rFonts w:eastAsia="Times New Roman"/>
          <w:lang w:val="en-US"/>
        </w:rPr>
        <w:t>d</w:t>
      </w:r>
      <w:r w:rsidR="00E739BF" w:rsidRPr="00DD1B58">
        <w:rPr>
          <w:rFonts w:eastAsia="Times New Roman"/>
          <w:lang w:val="en-US"/>
        </w:rPr>
        <w:t>epth of the safety measures, ensuring they are not overly susceptible to common cause failures and coincident failure modes and identifying where th</w:t>
      </w:r>
      <w:r w:rsidR="00616C6A" w:rsidRPr="00DD1B58">
        <w:rPr>
          <w:rFonts w:eastAsia="Times New Roman"/>
          <w:lang w:val="en-US"/>
        </w:rPr>
        <w:t>is may be the case</w:t>
      </w:r>
      <w:r w:rsidR="00775EF6" w:rsidRPr="00DD1B58">
        <w:rPr>
          <w:rFonts w:eastAsia="Times New Roman"/>
          <w:lang w:val="en-US"/>
        </w:rPr>
        <w:t>.</w:t>
      </w:r>
      <w:r w:rsidR="00E739BF" w:rsidRPr="00DD1B58">
        <w:rPr>
          <w:rFonts w:eastAsia="Times New Roman"/>
          <w:lang w:val="en-US"/>
        </w:rPr>
        <w:t xml:space="preserve"> </w:t>
      </w:r>
      <w:r w:rsidR="00775EF6" w:rsidRPr="00DD1B58">
        <w:rPr>
          <w:rFonts w:eastAsia="Times New Roman"/>
          <w:lang w:val="en-US"/>
        </w:rPr>
        <w:t>F</w:t>
      </w:r>
      <w:r w:rsidR="00E739BF" w:rsidRPr="00DD1B58">
        <w:rPr>
          <w:rFonts w:eastAsia="Times New Roman"/>
          <w:lang w:val="en-US"/>
        </w:rPr>
        <w:t>or example, loss of power may prompt the requirement for a non-interruptible power supply.</w:t>
      </w:r>
    </w:p>
    <w:p w14:paraId="6E4FB0F1" w14:textId="59413BD3" w:rsidR="00BB12B7" w:rsidRPr="00DD1B58" w:rsidRDefault="00E739BF" w:rsidP="00BF005D">
      <w:pPr>
        <w:rPr>
          <w:color w:val="FF0000"/>
          <w:lang w:val="en-US"/>
        </w:rPr>
      </w:pPr>
      <w:r w:rsidRPr="00DD1B58">
        <w:rPr>
          <w:rFonts w:eastAsia="Times New Roman"/>
          <w:lang w:val="en-US"/>
        </w:rPr>
        <w:t>Specific specialist nuclear safety assessments are used where coincident failures or domino effects may be more likely</w:t>
      </w:r>
      <w:r w:rsidR="00616C6A" w:rsidRPr="00DD1B58">
        <w:rPr>
          <w:rFonts w:eastAsia="Times New Roman"/>
          <w:lang w:val="en-US"/>
        </w:rPr>
        <w:t>,</w:t>
      </w:r>
      <w:r w:rsidRPr="00DD1B58">
        <w:rPr>
          <w:rFonts w:eastAsia="Times New Roman"/>
          <w:lang w:val="en-US"/>
        </w:rPr>
        <w:t xml:space="preserve"> </w:t>
      </w:r>
      <w:r w:rsidR="00616C6A" w:rsidRPr="00DD1B58">
        <w:rPr>
          <w:rFonts w:eastAsia="Times New Roman"/>
          <w:lang w:val="en-US"/>
        </w:rPr>
        <w:t xml:space="preserve">for example, </w:t>
      </w:r>
      <w:r w:rsidRPr="00DD1B58">
        <w:rPr>
          <w:rFonts w:eastAsia="Times New Roman"/>
          <w:lang w:val="en-US"/>
        </w:rPr>
        <w:t>Construction Crane Assessments</w:t>
      </w:r>
      <w:r w:rsidR="00616C6A" w:rsidRPr="00DD1B58">
        <w:rPr>
          <w:rFonts w:eastAsia="Times New Roman"/>
          <w:lang w:val="en-US"/>
        </w:rPr>
        <w:t xml:space="preserve"> or</w:t>
      </w:r>
      <w:r w:rsidRPr="00DD1B58">
        <w:rPr>
          <w:rFonts w:eastAsia="Times New Roman"/>
          <w:lang w:val="en-US"/>
        </w:rPr>
        <w:t xml:space="preserve"> Loss of Service Assessments (either a bespoke assessment or incorporated into </w:t>
      </w:r>
      <w:r w:rsidR="00616C6A" w:rsidRPr="00DD1B58">
        <w:rPr>
          <w:rFonts w:eastAsia="Times New Roman"/>
          <w:lang w:val="en-US"/>
        </w:rPr>
        <w:t xml:space="preserve">existing </w:t>
      </w:r>
      <w:r w:rsidRPr="00DD1B58">
        <w:rPr>
          <w:rFonts w:eastAsia="Times New Roman"/>
          <w:lang w:val="en-US"/>
        </w:rPr>
        <w:t>assessments).</w:t>
      </w:r>
      <w:r w:rsidR="00BF005D" w:rsidRPr="00DD1B58">
        <w:rPr>
          <w:rFonts w:eastAsia="Times New Roman"/>
          <w:lang w:val="en-US"/>
        </w:rPr>
        <w:t xml:space="preserve"> </w:t>
      </w:r>
      <w:r w:rsidR="00D7676F" w:rsidRPr="00DD1B58">
        <w:rPr>
          <w:rFonts w:eastAsia="Times New Roman"/>
          <w:lang w:val="en-US"/>
        </w:rPr>
        <w:t>Sellafield Ltd.</w:t>
      </w:r>
      <w:r w:rsidR="00BF005D" w:rsidRPr="00DD1B58">
        <w:rPr>
          <w:rFonts w:eastAsia="Times New Roman"/>
          <w:lang w:val="en-US"/>
        </w:rPr>
        <w:t xml:space="preserve"> considers</w:t>
      </w:r>
      <w:r w:rsidRPr="00DD1B58">
        <w:rPr>
          <w:rFonts w:eastAsia="Times New Roman"/>
          <w:lang w:val="en-US"/>
        </w:rPr>
        <w:t xml:space="preserve"> leak</w:t>
      </w:r>
      <w:r w:rsidR="00BF005D" w:rsidRPr="00DD1B58">
        <w:rPr>
          <w:rFonts w:eastAsia="Times New Roman"/>
          <w:lang w:val="en-US"/>
        </w:rPr>
        <w:t>s</w:t>
      </w:r>
      <w:r w:rsidRPr="00DD1B58">
        <w:rPr>
          <w:rFonts w:eastAsia="Times New Roman"/>
          <w:lang w:val="en-US"/>
        </w:rPr>
        <w:t xml:space="preserve"> from process water damaging power supply leading to fire, </w:t>
      </w:r>
      <w:r w:rsidR="00B62C89" w:rsidRPr="00DD1B58">
        <w:rPr>
          <w:rFonts w:eastAsia="Times New Roman"/>
          <w:lang w:val="en-US"/>
        </w:rPr>
        <w:t>n</w:t>
      </w:r>
      <w:r w:rsidRPr="00DD1B58">
        <w:rPr>
          <w:rFonts w:eastAsia="Times New Roman"/>
          <w:lang w:val="en-US"/>
        </w:rPr>
        <w:t xml:space="preserve">uclear </w:t>
      </w:r>
      <w:r w:rsidR="00B62C89" w:rsidRPr="00DD1B58">
        <w:rPr>
          <w:rFonts w:eastAsia="Times New Roman"/>
          <w:lang w:val="en-US"/>
        </w:rPr>
        <w:t>f</w:t>
      </w:r>
      <w:r w:rsidRPr="00DD1B58">
        <w:rPr>
          <w:rFonts w:eastAsia="Times New Roman"/>
          <w:lang w:val="en-US"/>
        </w:rPr>
        <w:t xml:space="preserve">ire (for example seismically induced fires) and </w:t>
      </w:r>
      <w:r w:rsidR="00B62C89" w:rsidRPr="00DD1B58">
        <w:rPr>
          <w:rFonts w:eastAsia="Times New Roman"/>
          <w:lang w:val="en-US"/>
        </w:rPr>
        <w:t>e</w:t>
      </w:r>
      <w:r w:rsidRPr="00DD1B58">
        <w:rPr>
          <w:rFonts w:eastAsia="Times New Roman"/>
          <w:lang w:val="en-US"/>
        </w:rPr>
        <w:t>xternal hazard</w:t>
      </w:r>
      <w:r w:rsidR="005B5B1B" w:rsidRPr="00DD1B58">
        <w:rPr>
          <w:rFonts w:eastAsia="Times New Roman"/>
          <w:lang w:val="en-US"/>
        </w:rPr>
        <w:t>s combinations</w:t>
      </w:r>
      <w:r w:rsidRPr="00DD1B58">
        <w:rPr>
          <w:rFonts w:eastAsia="Times New Roman"/>
          <w:lang w:val="en-US"/>
        </w:rPr>
        <w:t xml:space="preserve"> (for example aircraft crash result</w:t>
      </w:r>
      <w:r w:rsidR="005B5B1B" w:rsidRPr="00DD1B58">
        <w:rPr>
          <w:rFonts w:eastAsia="Times New Roman"/>
          <w:lang w:val="en-US"/>
        </w:rPr>
        <w:t>ing</w:t>
      </w:r>
      <w:r w:rsidRPr="00DD1B58">
        <w:rPr>
          <w:rFonts w:eastAsia="Times New Roman"/>
          <w:lang w:val="en-US"/>
        </w:rPr>
        <w:t xml:space="preserve"> in fires</w:t>
      </w:r>
      <w:r w:rsidR="00331282" w:rsidRPr="00DD1B58">
        <w:rPr>
          <w:rFonts w:eastAsia="Times New Roman"/>
          <w:lang w:val="en-US"/>
        </w:rPr>
        <w:t>,</w:t>
      </w:r>
      <w:r w:rsidRPr="00DD1B58">
        <w:rPr>
          <w:rFonts w:eastAsia="Times New Roman"/>
          <w:lang w:val="en-US"/>
        </w:rPr>
        <w:t xml:space="preserve"> </w:t>
      </w:r>
      <w:r w:rsidR="00E3485C" w:rsidRPr="00DD1B58">
        <w:rPr>
          <w:rFonts w:eastAsia="Times New Roman"/>
          <w:lang w:val="en-US"/>
        </w:rPr>
        <w:t xml:space="preserve">adverse </w:t>
      </w:r>
      <w:r w:rsidRPr="00DD1B58">
        <w:rPr>
          <w:rFonts w:eastAsia="Times New Roman"/>
          <w:lang w:val="en-US"/>
        </w:rPr>
        <w:t xml:space="preserve">weather </w:t>
      </w:r>
      <w:r w:rsidR="009A76A2" w:rsidRPr="00DD1B58">
        <w:rPr>
          <w:rFonts w:eastAsia="Times New Roman"/>
          <w:lang w:val="en-US"/>
        </w:rPr>
        <w:t xml:space="preserve">e.g. </w:t>
      </w:r>
      <w:r w:rsidRPr="00DD1B58">
        <w:rPr>
          <w:rFonts w:eastAsia="Times New Roman"/>
          <w:lang w:val="en-US"/>
        </w:rPr>
        <w:t>flooding resulting in fires</w:t>
      </w:r>
      <w:r w:rsidR="00331282" w:rsidRPr="00DD1B58">
        <w:rPr>
          <w:rFonts w:eastAsia="Times New Roman"/>
          <w:lang w:val="en-US"/>
        </w:rPr>
        <w:t>, among others</w:t>
      </w:r>
      <w:r w:rsidRPr="00DD1B58">
        <w:rPr>
          <w:rFonts w:eastAsia="Times New Roman"/>
          <w:lang w:val="en-US"/>
        </w:rPr>
        <w:t xml:space="preserve">). The detailed specific analyses provide further confidence that the Hazard Management Strategies (HMS) identified in the </w:t>
      </w:r>
      <w:r w:rsidR="00C611CB" w:rsidRPr="00DD1B58">
        <w:rPr>
          <w:rFonts w:eastAsia="Times New Roman"/>
          <w:lang w:val="en-US"/>
        </w:rPr>
        <w:t>s</w:t>
      </w:r>
      <w:r w:rsidRPr="00DD1B58">
        <w:rPr>
          <w:rFonts w:eastAsia="Times New Roman"/>
          <w:lang w:val="en-US"/>
        </w:rPr>
        <w:t xml:space="preserve">afety </w:t>
      </w:r>
      <w:r w:rsidR="00C611CB" w:rsidRPr="00DD1B58">
        <w:rPr>
          <w:rFonts w:eastAsia="Times New Roman"/>
          <w:lang w:val="en-US"/>
        </w:rPr>
        <w:t>c</w:t>
      </w:r>
      <w:r w:rsidRPr="00DD1B58">
        <w:rPr>
          <w:rFonts w:eastAsia="Times New Roman"/>
          <w:lang w:val="en-US"/>
        </w:rPr>
        <w:t>ase are robust to other hazards, or combinations of hazards, which originate outside of the primary process of a particular facility.</w:t>
      </w:r>
    </w:p>
    <w:p w14:paraId="0243FE3F" w14:textId="3EFF711E" w:rsidR="00057B15" w:rsidRPr="00DD1B58" w:rsidRDefault="00057B15" w:rsidP="00057B15">
      <w:pPr>
        <w:rPr>
          <w:lang w:val="en-US"/>
        </w:rPr>
      </w:pPr>
      <w:r w:rsidRPr="00DD1B58">
        <w:rPr>
          <w:lang w:val="en-US"/>
        </w:rPr>
        <w:t xml:space="preserve">The assessment reviews possible effects of fire on safety equipment. This includes confirming that the fire loading in each room is as previously documented and </w:t>
      </w:r>
      <w:r w:rsidR="00822D26" w:rsidRPr="00DD1B58">
        <w:rPr>
          <w:lang w:val="en-US"/>
        </w:rPr>
        <w:t xml:space="preserve">remains </w:t>
      </w:r>
      <w:r w:rsidRPr="00DD1B58">
        <w:rPr>
          <w:lang w:val="en-US"/>
        </w:rPr>
        <w:t xml:space="preserve">valid when taking into account factors such as housekeeping, modifications and changes of use. This also confirms that all hazards identified have been addressed in the </w:t>
      </w:r>
      <w:r w:rsidR="00E73F32" w:rsidRPr="00DD1B58">
        <w:rPr>
          <w:lang w:val="en-US"/>
        </w:rPr>
        <w:t>NFSA</w:t>
      </w:r>
      <w:r w:rsidRPr="00DD1B58">
        <w:rPr>
          <w:lang w:val="en-US"/>
        </w:rPr>
        <w:t xml:space="preserve">. The </w:t>
      </w:r>
      <w:r w:rsidR="00E73F32" w:rsidRPr="00DD1B58">
        <w:rPr>
          <w:lang w:val="en-US"/>
        </w:rPr>
        <w:t xml:space="preserve">NFSA </w:t>
      </w:r>
      <w:r w:rsidRPr="00DD1B58">
        <w:rPr>
          <w:lang w:val="en-US"/>
        </w:rPr>
        <w:t xml:space="preserve">also assesses the effect of fire on nuclear safety. </w:t>
      </w:r>
    </w:p>
    <w:p w14:paraId="057D718F" w14:textId="5C697906" w:rsidR="007D0A5B" w:rsidRPr="00DD1B58" w:rsidRDefault="00134292" w:rsidP="007D0A5B">
      <w:pPr>
        <w:rPr>
          <w:lang w:val="en-US"/>
        </w:rPr>
      </w:pPr>
      <w:r w:rsidRPr="00DD1B58">
        <w:rPr>
          <w:lang w:val="en-US"/>
        </w:rPr>
        <w:t>Sellafield Ltd</w:t>
      </w:r>
      <w:r w:rsidR="00E73F32" w:rsidRPr="00DD1B58">
        <w:rPr>
          <w:lang w:val="en-US"/>
        </w:rPr>
        <w:t>.</w:t>
      </w:r>
      <w:r w:rsidR="004673A9" w:rsidRPr="00DD1B58">
        <w:rPr>
          <w:lang w:val="en-US"/>
        </w:rPr>
        <w:t xml:space="preserve"> is currently updating </w:t>
      </w:r>
      <w:r w:rsidR="002D6B07" w:rsidRPr="00DD1B58">
        <w:rPr>
          <w:lang w:val="en-US"/>
        </w:rPr>
        <w:t>the</w:t>
      </w:r>
      <w:r w:rsidR="004673A9" w:rsidRPr="00DD1B58">
        <w:rPr>
          <w:lang w:val="en-US"/>
        </w:rPr>
        <w:t xml:space="preserve"> </w:t>
      </w:r>
      <w:r w:rsidR="007D0A5B" w:rsidRPr="00DD1B58">
        <w:rPr>
          <w:lang w:val="en-US"/>
        </w:rPr>
        <w:t>NFSA Safety Case Process and Methods Technical Guidance methodology</w:t>
      </w:r>
      <w:r w:rsidR="002D6B07" w:rsidRPr="00DD1B58">
        <w:rPr>
          <w:lang w:val="en-US"/>
        </w:rPr>
        <w:t xml:space="preserve"> (financial year 2023-24)</w:t>
      </w:r>
      <w:r w:rsidR="007D0A5B" w:rsidRPr="00DD1B58">
        <w:rPr>
          <w:lang w:val="en-US"/>
        </w:rPr>
        <w:t>. T</w:t>
      </w:r>
      <w:r w:rsidR="007D0A5B" w:rsidRPr="00DD1B58">
        <w:rPr>
          <w:rFonts w:cstheme="minorHAnsi"/>
          <w:lang w:val="en-US"/>
        </w:rPr>
        <w:t>he newly updated NFSA methodology (awaiting internal approval) provides improved specific guidance to ensure appropriate advice is given for the systematic identification and screening of combined and consequential hazards.</w:t>
      </w:r>
    </w:p>
    <w:p w14:paraId="387A370B" w14:textId="77777777" w:rsidR="00A0528C" w:rsidRPr="00DD1B58" w:rsidRDefault="00A0528C" w:rsidP="000E23A3">
      <w:pPr>
        <w:pStyle w:val="Heading4"/>
        <w:numPr>
          <w:ilvl w:val="4"/>
          <w:numId w:val="3"/>
        </w:numPr>
        <w:rPr>
          <w:lang w:val="en-US"/>
        </w:rPr>
      </w:pPr>
      <w:bookmarkStart w:id="57" w:name="_Ref139553556"/>
      <w:r w:rsidRPr="00DD1B58">
        <w:rPr>
          <w:lang w:val="en-US"/>
        </w:rPr>
        <w:t>Probabilistic analysis</w:t>
      </w:r>
      <w:bookmarkEnd w:id="57"/>
    </w:p>
    <w:p w14:paraId="439E8564" w14:textId="5C1ACE84" w:rsidR="00123F5A" w:rsidRPr="00DD1B58" w:rsidRDefault="00123F5A" w:rsidP="00123F5A">
      <w:pPr>
        <w:rPr>
          <w:lang w:val="en-US"/>
        </w:rPr>
      </w:pPr>
      <w:r w:rsidRPr="00DD1B58">
        <w:rPr>
          <w:lang w:val="en-US"/>
        </w:rPr>
        <w:t xml:space="preserve">The NFSA </w:t>
      </w:r>
      <w:r w:rsidR="00E73F32" w:rsidRPr="00DD1B58">
        <w:rPr>
          <w:lang w:val="en-US"/>
        </w:rPr>
        <w:t xml:space="preserve">Nuclear </w:t>
      </w:r>
      <w:r w:rsidRPr="00DD1B58">
        <w:rPr>
          <w:lang w:val="en-US"/>
        </w:rPr>
        <w:t>Safety Case Process and Methods Technical Guidance provides direction on the application of Probabilistic Safety Assessment (PSA) tools. Probabilistic</w:t>
      </w:r>
      <w:r w:rsidR="006A766D" w:rsidRPr="00DD1B58">
        <w:rPr>
          <w:lang w:val="en-US"/>
        </w:rPr>
        <w:t>,</w:t>
      </w:r>
      <w:r w:rsidRPr="00DD1B58">
        <w:rPr>
          <w:lang w:val="en-US"/>
        </w:rPr>
        <w:t xml:space="preserve"> </w:t>
      </w:r>
      <w:r w:rsidR="00E1360E" w:rsidRPr="00DD1B58">
        <w:rPr>
          <w:lang w:val="en-US"/>
        </w:rPr>
        <w:t>r</w:t>
      </w:r>
      <w:r w:rsidRPr="00DD1B58">
        <w:rPr>
          <w:lang w:val="en-US"/>
        </w:rPr>
        <w:t>isk</w:t>
      </w:r>
      <w:r w:rsidR="006A766D" w:rsidRPr="00DD1B58">
        <w:rPr>
          <w:lang w:val="en-US"/>
        </w:rPr>
        <w:t>-</w:t>
      </w:r>
      <w:r w:rsidR="00E1360E" w:rsidRPr="00DD1B58">
        <w:rPr>
          <w:lang w:val="en-US"/>
        </w:rPr>
        <w:t>b</w:t>
      </w:r>
      <w:r w:rsidRPr="00DD1B58">
        <w:rPr>
          <w:lang w:val="en-US"/>
        </w:rPr>
        <w:t xml:space="preserve">ased </w:t>
      </w:r>
      <w:r w:rsidR="00E1360E" w:rsidRPr="00DD1B58">
        <w:rPr>
          <w:lang w:val="en-US"/>
        </w:rPr>
        <w:t>a</w:t>
      </w:r>
      <w:r w:rsidRPr="00DD1B58">
        <w:rPr>
          <w:lang w:val="en-US"/>
        </w:rPr>
        <w:t>rguments articulate the level of fire risk</w:t>
      </w:r>
      <w:r w:rsidR="00EB145C" w:rsidRPr="00DD1B58">
        <w:rPr>
          <w:lang w:val="en-US"/>
        </w:rPr>
        <w:t>,</w:t>
      </w:r>
      <w:r w:rsidRPr="00DD1B58">
        <w:rPr>
          <w:lang w:val="en-US"/>
        </w:rPr>
        <w:t xml:space="preserve"> which is integral for the NFSA</w:t>
      </w:r>
      <w:r w:rsidR="00EB145C" w:rsidRPr="00DD1B58">
        <w:rPr>
          <w:lang w:val="en-US"/>
        </w:rPr>
        <w:t>,</w:t>
      </w:r>
      <w:r w:rsidRPr="00DD1B58">
        <w:rPr>
          <w:lang w:val="en-US"/>
        </w:rPr>
        <w:t xml:space="preserve"> and where required form part of a holistic ALARP argument. </w:t>
      </w:r>
    </w:p>
    <w:p w14:paraId="3370272B" w14:textId="7199001A" w:rsidR="00CF6E4A" w:rsidRPr="00DD1B58" w:rsidRDefault="00134292" w:rsidP="00123F5A">
      <w:pPr>
        <w:rPr>
          <w:lang w:val="en-US"/>
        </w:rPr>
      </w:pPr>
      <w:r w:rsidRPr="00DD1B58">
        <w:rPr>
          <w:lang w:val="en-US"/>
        </w:rPr>
        <w:t>Sellafield Ltd</w:t>
      </w:r>
      <w:r w:rsidR="002231F2" w:rsidRPr="00DD1B58">
        <w:rPr>
          <w:lang w:val="en-US"/>
        </w:rPr>
        <w:t>.</w:t>
      </w:r>
      <w:r w:rsidR="002D06C6" w:rsidRPr="00DD1B58">
        <w:rPr>
          <w:lang w:val="en-US"/>
        </w:rPr>
        <w:t xml:space="preserve"> establishes the </w:t>
      </w:r>
      <w:r w:rsidR="00123F5A" w:rsidRPr="00DD1B58">
        <w:rPr>
          <w:lang w:val="en-US"/>
        </w:rPr>
        <w:t xml:space="preserve">consequences of a fire using </w:t>
      </w:r>
      <w:r w:rsidR="00E1360E" w:rsidRPr="00DD1B58">
        <w:rPr>
          <w:lang w:val="en-US"/>
        </w:rPr>
        <w:t>f</w:t>
      </w:r>
      <w:r w:rsidR="00123F5A" w:rsidRPr="00DD1B58">
        <w:rPr>
          <w:lang w:val="en-US"/>
        </w:rPr>
        <w:t xml:space="preserve">ire </w:t>
      </w:r>
      <w:r w:rsidR="00E1360E" w:rsidRPr="00DD1B58">
        <w:rPr>
          <w:lang w:val="en-US"/>
        </w:rPr>
        <w:t>e</w:t>
      </w:r>
      <w:r w:rsidR="00123F5A" w:rsidRPr="00DD1B58">
        <w:rPr>
          <w:lang w:val="en-US"/>
        </w:rPr>
        <w:t xml:space="preserve">ngineering </w:t>
      </w:r>
      <w:r w:rsidR="00E1360E" w:rsidRPr="00DD1B58">
        <w:rPr>
          <w:lang w:val="en-US"/>
        </w:rPr>
        <w:t>c</w:t>
      </w:r>
      <w:r w:rsidR="00123F5A" w:rsidRPr="00DD1B58">
        <w:rPr>
          <w:lang w:val="en-US"/>
        </w:rPr>
        <w:t xml:space="preserve">alculations, </w:t>
      </w:r>
      <w:r w:rsidR="00E1360E" w:rsidRPr="00DD1B58">
        <w:rPr>
          <w:lang w:val="en-US"/>
        </w:rPr>
        <w:t>f</w:t>
      </w:r>
      <w:r w:rsidR="00123F5A" w:rsidRPr="00DD1B58">
        <w:rPr>
          <w:lang w:val="en-US"/>
        </w:rPr>
        <w:t xml:space="preserve">ire </w:t>
      </w:r>
      <w:r w:rsidR="00E1360E" w:rsidRPr="00DD1B58">
        <w:rPr>
          <w:lang w:val="en-US"/>
        </w:rPr>
        <w:t>m</w:t>
      </w:r>
      <w:r w:rsidR="00123F5A" w:rsidRPr="00DD1B58">
        <w:rPr>
          <w:lang w:val="en-US"/>
        </w:rPr>
        <w:t xml:space="preserve">odelling or through the application of </w:t>
      </w:r>
      <w:r w:rsidR="00E1360E" w:rsidRPr="00DD1B58">
        <w:rPr>
          <w:lang w:val="en-US"/>
        </w:rPr>
        <w:t>fire engineering judgement</w:t>
      </w:r>
      <w:r w:rsidR="00123F5A" w:rsidRPr="00DD1B58">
        <w:rPr>
          <w:lang w:val="en-US"/>
        </w:rPr>
        <w:t xml:space="preserve"> and </w:t>
      </w:r>
      <w:r w:rsidR="005A1745" w:rsidRPr="00DD1B58">
        <w:rPr>
          <w:lang w:val="en-US"/>
        </w:rPr>
        <w:t>presents them</w:t>
      </w:r>
      <w:r w:rsidR="00123F5A" w:rsidRPr="00DD1B58">
        <w:rPr>
          <w:lang w:val="en-US"/>
        </w:rPr>
        <w:t xml:space="preserve"> qualitatively, quantitatively or through a combination of the two. </w:t>
      </w:r>
    </w:p>
    <w:p w14:paraId="42689784" w14:textId="5554CD72" w:rsidR="00123F5A" w:rsidRPr="00DD1B58" w:rsidRDefault="00134292" w:rsidP="00123F5A">
      <w:pPr>
        <w:rPr>
          <w:lang w:val="en-US"/>
        </w:rPr>
      </w:pPr>
      <w:r w:rsidRPr="00DD1B58">
        <w:rPr>
          <w:lang w:val="en-US"/>
        </w:rPr>
        <w:t>Sellafield Ltd</w:t>
      </w:r>
      <w:r w:rsidR="002231F2" w:rsidRPr="00DD1B58">
        <w:rPr>
          <w:lang w:val="en-US"/>
        </w:rPr>
        <w:t>.</w:t>
      </w:r>
      <w:r w:rsidR="005A1745" w:rsidRPr="00DD1B58">
        <w:rPr>
          <w:lang w:val="en-US"/>
        </w:rPr>
        <w:t xml:space="preserve"> state</w:t>
      </w:r>
      <w:r w:rsidR="00EB145C" w:rsidRPr="00DD1B58">
        <w:rPr>
          <w:lang w:val="en-US"/>
        </w:rPr>
        <w:t>s</w:t>
      </w:r>
      <w:r w:rsidR="005A1745" w:rsidRPr="00DD1B58">
        <w:rPr>
          <w:lang w:val="en-US"/>
        </w:rPr>
        <w:t xml:space="preserve"> that the </w:t>
      </w:r>
      <w:r w:rsidR="00123F5A" w:rsidRPr="00DD1B58">
        <w:rPr>
          <w:lang w:val="en-US"/>
        </w:rPr>
        <w:t>likelihood of the consequences being realised can be demonstrated both quantitatively (probabilistic study)</w:t>
      </w:r>
      <w:r w:rsidR="002B4A7C" w:rsidRPr="00DD1B58">
        <w:rPr>
          <w:lang w:val="en-US"/>
        </w:rPr>
        <w:t>,</w:t>
      </w:r>
      <w:r w:rsidR="00123F5A" w:rsidRPr="00DD1B58">
        <w:rPr>
          <w:lang w:val="en-US"/>
        </w:rPr>
        <w:t xml:space="preserve"> qualitatively</w:t>
      </w:r>
      <w:r w:rsidR="002B4A7C" w:rsidRPr="00DD1B58">
        <w:rPr>
          <w:lang w:val="en-US"/>
        </w:rPr>
        <w:t xml:space="preserve"> and semi-qualitatively</w:t>
      </w:r>
      <w:r w:rsidR="00123F5A" w:rsidRPr="00DD1B58">
        <w:rPr>
          <w:lang w:val="en-US"/>
        </w:rPr>
        <w:t xml:space="preserve">. Probabilistic assessment is a fundamental tool for </w:t>
      </w:r>
      <w:r w:rsidR="00E1360E" w:rsidRPr="00DD1B58">
        <w:rPr>
          <w:lang w:val="en-US"/>
        </w:rPr>
        <w:t>radiological safety assessment</w:t>
      </w:r>
      <w:r w:rsidR="00DB4488" w:rsidRPr="00DD1B58">
        <w:rPr>
          <w:lang w:val="en-US"/>
        </w:rPr>
        <w:t>;</w:t>
      </w:r>
      <w:r w:rsidR="00123F5A" w:rsidRPr="00DD1B58">
        <w:rPr>
          <w:lang w:val="en-US"/>
        </w:rPr>
        <w:t xml:space="preserve"> however</w:t>
      </w:r>
      <w:r w:rsidR="00DB4488" w:rsidRPr="00DD1B58">
        <w:rPr>
          <w:lang w:val="en-US"/>
        </w:rPr>
        <w:t>,</w:t>
      </w:r>
      <w:r w:rsidR="00123F5A" w:rsidRPr="00DD1B58">
        <w:rPr>
          <w:lang w:val="en-US"/>
        </w:rPr>
        <w:t xml:space="preserve"> due to a lack of validated statistical data it has not been used extensively for NFSA of </w:t>
      </w:r>
      <w:r w:rsidRPr="00DD1B58">
        <w:rPr>
          <w:lang w:val="en-US"/>
        </w:rPr>
        <w:t>Sellafield Ltd</w:t>
      </w:r>
      <w:r w:rsidR="00820499" w:rsidRPr="00DD1B58">
        <w:rPr>
          <w:lang w:val="en-US"/>
        </w:rPr>
        <w:t>.</w:t>
      </w:r>
      <w:r w:rsidR="00123F5A" w:rsidRPr="00DD1B58">
        <w:rPr>
          <w:lang w:val="en-US"/>
        </w:rPr>
        <w:t xml:space="preserve"> facilities.</w:t>
      </w:r>
      <w:r w:rsidR="008313A5" w:rsidRPr="00DD1B58">
        <w:rPr>
          <w:lang w:val="en-US"/>
        </w:rPr>
        <w:t xml:space="preserve"> </w:t>
      </w:r>
      <w:r w:rsidR="00123F5A" w:rsidRPr="00DD1B58">
        <w:rPr>
          <w:lang w:val="en-US"/>
        </w:rPr>
        <w:t xml:space="preserve">If the NFSA identifies probabilistic assessment as the most appropriate methodology, </w:t>
      </w:r>
      <w:r w:rsidRPr="00DD1B58">
        <w:rPr>
          <w:lang w:val="en-US"/>
        </w:rPr>
        <w:t>Sellafield Ltd</w:t>
      </w:r>
      <w:r w:rsidR="00820499" w:rsidRPr="00DD1B58">
        <w:rPr>
          <w:lang w:val="en-US"/>
        </w:rPr>
        <w:t>.</w:t>
      </w:r>
      <w:r w:rsidR="00A2790F" w:rsidRPr="00DD1B58">
        <w:rPr>
          <w:lang w:val="en-US"/>
        </w:rPr>
        <w:t xml:space="preserve"> </w:t>
      </w:r>
      <w:r w:rsidR="00123F5A" w:rsidRPr="00DD1B58">
        <w:rPr>
          <w:lang w:val="en-US"/>
        </w:rPr>
        <w:t>judge</w:t>
      </w:r>
      <w:r w:rsidR="00A2790F" w:rsidRPr="00DD1B58">
        <w:rPr>
          <w:lang w:val="en-US"/>
        </w:rPr>
        <w:t xml:space="preserve">s that the decision </w:t>
      </w:r>
      <w:r w:rsidR="00123F5A" w:rsidRPr="00DD1B58">
        <w:rPr>
          <w:lang w:val="en-US"/>
        </w:rPr>
        <w:t>fall</w:t>
      </w:r>
      <w:r w:rsidR="00A2790F" w:rsidRPr="00DD1B58">
        <w:rPr>
          <w:lang w:val="en-US"/>
        </w:rPr>
        <w:t>s</w:t>
      </w:r>
      <w:r w:rsidR="00123F5A" w:rsidRPr="00DD1B58">
        <w:rPr>
          <w:lang w:val="en-US"/>
        </w:rPr>
        <w:t xml:space="preserve"> under the remit of High</w:t>
      </w:r>
      <w:r w:rsidR="006067D2" w:rsidRPr="00DD1B58">
        <w:rPr>
          <w:lang w:val="en-US"/>
        </w:rPr>
        <w:t>-</w:t>
      </w:r>
      <w:r w:rsidR="00123F5A" w:rsidRPr="00DD1B58">
        <w:rPr>
          <w:lang w:val="en-US"/>
        </w:rPr>
        <w:t>Level Engineering Judgement and should therefore be subject to the rigorous levels of peer review.</w:t>
      </w:r>
      <w:r w:rsidR="00CF6E4A" w:rsidRPr="00DD1B58">
        <w:rPr>
          <w:lang w:val="en-US"/>
        </w:rPr>
        <w:t xml:space="preserve"> </w:t>
      </w:r>
      <w:r w:rsidRPr="00DD1B58">
        <w:rPr>
          <w:lang w:val="en-US"/>
        </w:rPr>
        <w:t>Sellafield Ltd</w:t>
      </w:r>
      <w:r w:rsidR="00820499" w:rsidRPr="00DD1B58">
        <w:rPr>
          <w:lang w:val="en-US"/>
        </w:rPr>
        <w:t>.</w:t>
      </w:r>
      <w:r w:rsidR="00511D4C" w:rsidRPr="00DD1B58">
        <w:rPr>
          <w:lang w:val="en-US"/>
        </w:rPr>
        <w:t xml:space="preserve"> state</w:t>
      </w:r>
      <w:r w:rsidR="00DB4488" w:rsidRPr="00DD1B58">
        <w:rPr>
          <w:lang w:val="en-US"/>
        </w:rPr>
        <w:t>s</w:t>
      </w:r>
      <w:r w:rsidR="00511D4C" w:rsidRPr="00DD1B58">
        <w:rPr>
          <w:lang w:val="en-US"/>
        </w:rPr>
        <w:t xml:space="preserve"> that </w:t>
      </w:r>
      <w:r w:rsidR="004C6C58" w:rsidRPr="00DD1B58">
        <w:rPr>
          <w:lang w:val="en-US"/>
        </w:rPr>
        <w:t>it is more common for it to e</w:t>
      </w:r>
      <w:r w:rsidR="00123F5A" w:rsidRPr="00DD1B58">
        <w:rPr>
          <w:lang w:val="en-US"/>
        </w:rPr>
        <w:t xml:space="preserve">xpress the likelihood qualitatively </w:t>
      </w:r>
      <w:r w:rsidR="004C6C58" w:rsidRPr="00DD1B58">
        <w:rPr>
          <w:lang w:val="en-US"/>
        </w:rPr>
        <w:t>and that it applies</w:t>
      </w:r>
      <w:r w:rsidR="00123F5A" w:rsidRPr="00DD1B58">
        <w:rPr>
          <w:lang w:val="en-US"/>
        </w:rPr>
        <w:t xml:space="preserve"> a number of techniques, for example:</w:t>
      </w:r>
    </w:p>
    <w:p w14:paraId="418975AD" w14:textId="315A6854" w:rsidR="00123F5A" w:rsidRPr="00DD1B58" w:rsidRDefault="00123F5A" w:rsidP="00327321">
      <w:pPr>
        <w:pStyle w:val="Bulletlist1"/>
        <w:rPr>
          <w:lang w:val="en-US"/>
        </w:rPr>
      </w:pPr>
      <w:r w:rsidRPr="00DD1B58">
        <w:rPr>
          <w:lang w:val="en-US"/>
        </w:rPr>
        <w:t xml:space="preserve">Barrier </w:t>
      </w:r>
      <w:r w:rsidR="00C36B89" w:rsidRPr="00DD1B58">
        <w:rPr>
          <w:lang w:val="en-US"/>
        </w:rPr>
        <w:t>analysis</w:t>
      </w:r>
      <w:r w:rsidRPr="00DD1B58">
        <w:rPr>
          <w:lang w:val="en-US"/>
        </w:rPr>
        <w:t xml:space="preserve">; </w:t>
      </w:r>
    </w:p>
    <w:p w14:paraId="517435B4" w14:textId="11C29450" w:rsidR="00123F5A" w:rsidRPr="00DD1B58" w:rsidRDefault="00123F5A" w:rsidP="00327321">
      <w:pPr>
        <w:pStyle w:val="Bulletlist1"/>
        <w:rPr>
          <w:lang w:val="en-US"/>
        </w:rPr>
      </w:pPr>
      <w:r w:rsidRPr="00DD1B58">
        <w:rPr>
          <w:lang w:val="en-US"/>
        </w:rPr>
        <w:t xml:space="preserve">Defence in depth arguments; </w:t>
      </w:r>
      <w:r w:rsidR="00DB4488" w:rsidRPr="00DD1B58">
        <w:rPr>
          <w:lang w:val="en-US"/>
        </w:rPr>
        <w:t>and</w:t>
      </w:r>
    </w:p>
    <w:p w14:paraId="723D1BA5" w14:textId="125C29E1" w:rsidR="00123F5A" w:rsidRPr="00DD1B58" w:rsidRDefault="00820499" w:rsidP="00327321">
      <w:pPr>
        <w:pStyle w:val="Bulletlist1"/>
        <w:rPr>
          <w:lang w:val="en-US"/>
        </w:rPr>
      </w:pPr>
      <w:r w:rsidRPr="00DD1B58">
        <w:rPr>
          <w:lang w:val="en-US"/>
        </w:rPr>
        <w:t>F</w:t>
      </w:r>
      <w:r w:rsidR="00123F5A" w:rsidRPr="00DD1B58">
        <w:rPr>
          <w:lang w:val="en-US"/>
        </w:rPr>
        <w:t>ault</w:t>
      </w:r>
      <w:r w:rsidR="001D05C9" w:rsidRPr="00DD1B58">
        <w:rPr>
          <w:lang w:val="en-US"/>
        </w:rPr>
        <w:t xml:space="preserve"> </w:t>
      </w:r>
      <w:r w:rsidRPr="00DD1B58">
        <w:rPr>
          <w:lang w:val="en-US"/>
        </w:rPr>
        <w:t>analysis</w:t>
      </w:r>
      <w:r w:rsidR="00123F5A" w:rsidRPr="00DD1B58">
        <w:rPr>
          <w:lang w:val="en-US"/>
        </w:rPr>
        <w:t xml:space="preserve">. </w:t>
      </w:r>
    </w:p>
    <w:p w14:paraId="2D5A804E" w14:textId="2F479054" w:rsidR="00123F5A" w:rsidRPr="00DD1B58" w:rsidRDefault="00134292" w:rsidP="00123F5A">
      <w:pPr>
        <w:rPr>
          <w:lang w:val="en-US"/>
        </w:rPr>
      </w:pPr>
      <w:r w:rsidRPr="00DD1B58">
        <w:rPr>
          <w:lang w:val="en-US"/>
        </w:rPr>
        <w:t>Sellafield Ltd</w:t>
      </w:r>
      <w:r w:rsidR="00820499" w:rsidRPr="00DD1B58">
        <w:rPr>
          <w:lang w:val="en-US"/>
        </w:rPr>
        <w:t>.</w:t>
      </w:r>
      <w:r w:rsidR="00A42FD0" w:rsidRPr="00DD1B58">
        <w:rPr>
          <w:lang w:val="en-US"/>
        </w:rPr>
        <w:t xml:space="preserve"> considers that the </w:t>
      </w:r>
      <w:r w:rsidR="00123F5A" w:rsidRPr="00DD1B58">
        <w:rPr>
          <w:lang w:val="en-US"/>
        </w:rPr>
        <w:t>techniques present a means to demonstrate what needs to occur for the consequence to be realised and can ultimately support qualitative risk techniques such as a Qualitative Risk Matrix.</w:t>
      </w:r>
    </w:p>
    <w:p w14:paraId="03F8F174" w14:textId="3A6CDFE8" w:rsidR="00123F5A" w:rsidRPr="00DD1B58" w:rsidRDefault="00134292" w:rsidP="00123F5A">
      <w:pPr>
        <w:rPr>
          <w:lang w:val="en-US"/>
        </w:rPr>
      </w:pPr>
      <w:r w:rsidRPr="00DD1B58">
        <w:rPr>
          <w:lang w:val="en-US"/>
        </w:rPr>
        <w:t>Sellafield Ltd</w:t>
      </w:r>
      <w:r w:rsidR="00820499" w:rsidRPr="00DD1B58">
        <w:rPr>
          <w:lang w:val="en-US"/>
        </w:rPr>
        <w:t>.</w:t>
      </w:r>
      <w:r w:rsidR="00123F5A" w:rsidRPr="00DD1B58">
        <w:rPr>
          <w:lang w:val="en-US"/>
        </w:rPr>
        <w:t xml:space="preserve"> </w:t>
      </w:r>
      <w:r w:rsidR="00A42FD0" w:rsidRPr="00DD1B58">
        <w:rPr>
          <w:lang w:val="en-US"/>
        </w:rPr>
        <w:t xml:space="preserve">has </w:t>
      </w:r>
      <w:r w:rsidR="00123F5A" w:rsidRPr="00DD1B58">
        <w:rPr>
          <w:lang w:val="en-US"/>
        </w:rPr>
        <w:t xml:space="preserve">used </w:t>
      </w:r>
      <w:r w:rsidR="003529D4" w:rsidRPr="00DD1B58">
        <w:rPr>
          <w:lang w:val="en-US"/>
        </w:rPr>
        <w:t xml:space="preserve">probabilistic techniques </w:t>
      </w:r>
      <w:r w:rsidR="00123F5A" w:rsidRPr="00DD1B58">
        <w:rPr>
          <w:lang w:val="en-US"/>
        </w:rPr>
        <w:t xml:space="preserve">to assess the impact of potential vehicle fires on nuclear inventory and </w:t>
      </w:r>
      <w:r w:rsidR="00F874BD" w:rsidRPr="00DD1B58">
        <w:rPr>
          <w:lang w:val="en-US"/>
        </w:rPr>
        <w:t>SSCs</w:t>
      </w:r>
      <w:r w:rsidR="00123F5A" w:rsidRPr="00DD1B58">
        <w:rPr>
          <w:lang w:val="en-US"/>
        </w:rPr>
        <w:t xml:space="preserve">. </w:t>
      </w:r>
      <w:r w:rsidR="0076389A" w:rsidRPr="00DD1B58">
        <w:rPr>
          <w:lang w:val="en-US"/>
        </w:rPr>
        <w:t xml:space="preserve">A </w:t>
      </w:r>
      <w:r w:rsidR="00123F5A" w:rsidRPr="00DD1B58">
        <w:rPr>
          <w:lang w:val="en-US"/>
        </w:rPr>
        <w:t xml:space="preserve">method is described in </w:t>
      </w:r>
      <w:r w:rsidRPr="00DD1B58">
        <w:rPr>
          <w:lang w:val="en-US"/>
        </w:rPr>
        <w:t>Sellafield Ltd</w:t>
      </w:r>
      <w:r w:rsidR="008C06EE" w:rsidRPr="00DD1B58">
        <w:rPr>
          <w:lang w:val="en-US"/>
        </w:rPr>
        <w:t>.</w:t>
      </w:r>
      <w:r w:rsidR="0076389A" w:rsidRPr="00DD1B58">
        <w:rPr>
          <w:lang w:val="en-US"/>
        </w:rPr>
        <w:t xml:space="preserve">’s </w:t>
      </w:r>
      <w:r w:rsidR="00123F5A" w:rsidRPr="00DD1B58">
        <w:rPr>
          <w:lang w:val="en-US"/>
        </w:rPr>
        <w:t xml:space="preserve">Safety Case and Process Methods Technical Guidance on Transporters Fire Generic Risk Profile </w:t>
      </w:r>
      <w:sdt>
        <w:sdtPr>
          <w:rPr>
            <w:lang w:val="en-US"/>
          </w:rPr>
          <w:id w:val="1229659270"/>
          <w:citation/>
        </w:sdtPr>
        <w:sdtContent>
          <w:r w:rsidR="008A64C3" w:rsidRPr="00DD1B58">
            <w:rPr>
              <w:lang w:val="en-US"/>
            </w:rPr>
            <w:fldChar w:fldCharType="begin"/>
          </w:r>
          <w:r w:rsidR="00E858D1" w:rsidRPr="00DD1B58">
            <w:rPr>
              <w:lang w:val="en-US"/>
            </w:rPr>
            <w:instrText xml:space="preserve">CITATION Sel221 \l 2057 </w:instrText>
          </w:r>
          <w:r w:rsidR="008A64C3" w:rsidRPr="00DD1B58">
            <w:rPr>
              <w:lang w:val="en-US"/>
            </w:rPr>
            <w:fldChar w:fldCharType="separate"/>
          </w:r>
          <w:r w:rsidR="00DF47DA" w:rsidRPr="00DF47DA">
            <w:rPr>
              <w:noProof/>
              <w:lang w:val="en-US"/>
            </w:rPr>
            <w:t>[101]</w:t>
          </w:r>
          <w:r w:rsidR="008A64C3" w:rsidRPr="00DD1B58">
            <w:rPr>
              <w:lang w:val="en-US"/>
            </w:rPr>
            <w:fldChar w:fldCharType="end"/>
          </w:r>
        </w:sdtContent>
      </w:sdt>
      <w:r w:rsidR="008A64C3" w:rsidRPr="00DD1B58">
        <w:rPr>
          <w:lang w:val="en-US"/>
        </w:rPr>
        <w:t>.</w:t>
      </w:r>
      <w:r w:rsidR="00123F5A" w:rsidRPr="00DD1B58">
        <w:rPr>
          <w:lang w:val="en-US"/>
        </w:rPr>
        <w:t xml:space="preserve"> The risk associated with vehicle fires is a common consideration within </w:t>
      </w:r>
      <w:r w:rsidR="000B3AE8" w:rsidRPr="00DD1B58">
        <w:rPr>
          <w:lang w:val="en-US"/>
        </w:rPr>
        <w:t>nuclear fire safety assessment</w:t>
      </w:r>
      <w:r w:rsidR="00123F5A" w:rsidRPr="00DD1B58">
        <w:rPr>
          <w:lang w:val="en-US"/>
        </w:rPr>
        <w:t xml:space="preserve"> and there is internal guidance detailing the fire risk profile of transporters. The document does not place this risk within the context of nuclear safety (i.e.</w:t>
      </w:r>
      <w:r w:rsidR="001D05C9" w:rsidRPr="00DD1B58">
        <w:rPr>
          <w:lang w:val="en-US"/>
        </w:rPr>
        <w:t>,</w:t>
      </w:r>
      <w:r w:rsidR="00123F5A" w:rsidRPr="00DD1B58">
        <w:rPr>
          <w:lang w:val="en-US"/>
        </w:rPr>
        <w:t xml:space="preserve"> account for the impact on and consequence associated with any nuclear material being transported)</w:t>
      </w:r>
      <w:r w:rsidR="001D05C9" w:rsidRPr="00DD1B58">
        <w:rPr>
          <w:lang w:val="en-US"/>
        </w:rPr>
        <w:t>.</w:t>
      </w:r>
      <w:r w:rsidR="00123F5A" w:rsidRPr="00DD1B58">
        <w:rPr>
          <w:lang w:val="en-US"/>
        </w:rPr>
        <w:t xml:space="preserve"> </w:t>
      </w:r>
      <w:r w:rsidR="001D05C9" w:rsidRPr="00DD1B58">
        <w:rPr>
          <w:lang w:val="en-US"/>
        </w:rPr>
        <w:t>H</w:t>
      </w:r>
      <w:r w:rsidR="00123F5A" w:rsidRPr="00DD1B58">
        <w:rPr>
          <w:lang w:val="en-US"/>
        </w:rPr>
        <w:t>owever</w:t>
      </w:r>
      <w:r w:rsidR="001D05C9" w:rsidRPr="00DD1B58">
        <w:rPr>
          <w:lang w:val="en-US"/>
        </w:rPr>
        <w:t>,</w:t>
      </w:r>
      <w:r w:rsidR="00123F5A" w:rsidRPr="00DD1B58">
        <w:rPr>
          <w:lang w:val="en-US"/>
        </w:rPr>
        <w:t xml:space="preserve"> it does provide a referenceable baseline from which further, context</w:t>
      </w:r>
      <w:r w:rsidR="001D05C9" w:rsidRPr="00DD1B58">
        <w:rPr>
          <w:lang w:val="en-US"/>
        </w:rPr>
        <w:t>-</w:t>
      </w:r>
      <w:r w:rsidR="00123F5A" w:rsidRPr="00DD1B58">
        <w:rPr>
          <w:lang w:val="en-US"/>
        </w:rPr>
        <w:t xml:space="preserve">specific detailed </w:t>
      </w:r>
      <w:r w:rsidR="000B3AE8" w:rsidRPr="00DD1B58">
        <w:rPr>
          <w:lang w:val="en-US"/>
        </w:rPr>
        <w:t>nuclear fire hazard analysis</w:t>
      </w:r>
      <w:r w:rsidR="00123F5A" w:rsidRPr="00DD1B58">
        <w:rPr>
          <w:lang w:val="en-US"/>
        </w:rPr>
        <w:t xml:space="preserve"> can be undertaken. </w:t>
      </w:r>
    </w:p>
    <w:p w14:paraId="00539CB4" w14:textId="00C96A4E" w:rsidR="00123F5A" w:rsidRPr="00DD1B58" w:rsidRDefault="00123F5A" w:rsidP="00123F5A">
      <w:pPr>
        <w:rPr>
          <w:lang w:val="en-US"/>
        </w:rPr>
      </w:pPr>
      <w:r w:rsidRPr="00DD1B58">
        <w:rPr>
          <w:lang w:val="en-US"/>
        </w:rPr>
        <w:t xml:space="preserve">In addition, the </w:t>
      </w:r>
      <w:r w:rsidR="00134292" w:rsidRPr="00DD1B58">
        <w:rPr>
          <w:lang w:val="en-US"/>
        </w:rPr>
        <w:t>Sellafield Ltd</w:t>
      </w:r>
      <w:r w:rsidR="008C06EE" w:rsidRPr="00DD1B58">
        <w:rPr>
          <w:lang w:val="en-US"/>
        </w:rPr>
        <w:t>.</w:t>
      </w:r>
      <w:r w:rsidR="00D2367D" w:rsidRPr="00DD1B58">
        <w:rPr>
          <w:lang w:val="en-US"/>
        </w:rPr>
        <w:t xml:space="preserve"> </w:t>
      </w:r>
      <w:r w:rsidRPr="00DD1B58">
        <w:rPr>
          <w:lang w:val="en-US"/>
        </w:rPr>
        <w:t xml:space="preserve">NFSA process also utilises data on the probability of electrical fire risks to provide guidance to assessors on how to evaluate electrical fire risks that could </w:t>
      </w:r>
      <w:r w:rsidR="003529D4" w:rsidRPr="00DD1B58">
        <w:rPr>
          <w:lang w:val="en-US"/>
        </w:rPr>
        <w:t>affect</w:t>
      </w:r>
      <w:r w:rsidRPr="00DD1B58">
        <w:rPr>
          <w:lang w:val="en-US"/>
        </w:rPr>
        <w:t xml:space="preserve"> nuclear safety</w:t>
      </w:r>
      <w:r w:rsidR="000B3AE8" w:rsidRPr="00DD1B58">
        <w:rPr>
          <w:lang w:val="en-US"/>
        </w:rPr>
        <w:t>,</w:t>
      </w:r>
      <w:r w:rsidRPr="00DD1B58">
        <w:rPr>
          <w:lang w:val="en-US"/>
        </w:rPr>
        <w:t xml:space="preserve"> and this is presented in </w:t>
      </w:r>
      <w:r w:rsidR="007F7C19" w:rsidRPr="00DD1B58">
        <w:rPr>
          <w:lang w:val="en-US"/>
        </w:rPr>
        <w:t xml:space="preserve">Nuclear </w:t>
      </w:r>
      <w:r w:rsidRPr="00DD1B58">
        <w:rPr>
          <w:lang w:val="en-US"/>
        </w:rPr>
        <w:t>Safety Case Process and Methods Technical Manual as Nuclear Fire Guidance for the Assessment of Electrical Items</w:t>
      </w:r>
      <w:r w:rsidR="0054289B" w:rsidRPr="00DD1B58">
        <w:rPr>
          <w:lang w:val="en-US"/>
        </w:rPr>
        <w:t xml:space="preserve"> </w:t>
      </w:r>
      <w:sdt>
        <w:sdtPr>
          <w:rPr>
            <w:lang w:val="en-US"/>
          </w:rPr>
          <w:id w:val="-1080207000"/>
          <w:citation/>
        </w:sdtPr>
        <w:sdtContent>
          <w:r w:rsidR="00327E10" w:rsidRPr="00DD1B58">
            <w:rPr>
              <w:lang w:val="en-US"/>
            </w:rPr>
            <w:fldChar w:fldCharType="begin"/>
          </w:r>
          <w:r w:rsidR="00327E10" w:rsidRPr="00DD1B58">
            <w:rPr>
              <w:lang w:val="en-US"/>
            </w:rPr>
            <w:instrText xml:space="preserve">CITATION Sel32 \l 2057 </w:instrText>
          </w:r>
          <w:r w:rsidR="00327E10" w:rsidRPr="00DD1B58">
            <w:rPr>
              <w:lang w:val="en-US"/>
            </w:rPr>
            <w:fldChar w:fldCharType="separate"/>
          </w:r>
          <w:r w:rsidR="00DF47DA" w:rsidRPr="00DF47DA">
            <w:rPr>
              <w:noProof/>
              <w:lang w:val="en-US"/>
            </w:rPr>
            <w:t>[102]</w:t>
          </w:r>
          <w:r w:rsidR="00327E10" w:rsidRPr="00DD1B58">
            <w:rPr>
              <w:lang w:val="en-US"/>
            </w:rPr>
            <w:fldChar w:fldCharType="end"/>
          </w:r>
        </w:sdtContent>
      </w:sdt>
      <w:r w:rsidRPr="00DD1B58">
        <w:rPr>
          <w:lang w:val="en-US"/>
        </w:rPr>
        <w:t xml:space="preserve">. </w:t>
      </w:r>
    </w:p>
    <w:p w14:paraId="22AF434A" w14:textId="43DA76EF" w:rsidR="00A0528C" w:rsidRPr="00DD1B58" w:rsidRDefault="00123F5A" w:rsidP="00123F5A">
      <w:pPr>
        <w:rPr>
          <w:lang w:val="en-US"/>
        </w:rPr>
      </w:pPr>
      <w:r w:rsidRPr="00DD1B58">
        <w:rPr>
          <w:lang w:val="en-US"/>
        </w:rPr>
        <w:t xml:space="preserve">This provides guidance on the undertaking of qualitative </w:t>
      </w:r>
      <w:r w:rsidR="000B3AE8" w:rsidRPr="00DD1B58">
        <w:rPr>
          <w:lang w:val="en-US"/>
        </w:rPr>
        <w:t>nuclear fire safety assessment</w:t>
      </w:r>
      <w:r w:rsidRPr="00DD1B58">
        <w:rPr>
          <w:lang w:val="en-US"/>
        </w:rPr>
        <w:t xml:space="preserve"> of electrical items (cables, electrical panels, switchgear and transformers). </w:t>
      </w:r>
      <w:r w:rsidR="00134292" w:rsidRPr="00DD1B58">
        <w:rPr>
          <w:lang w:val="en-US"/>
        </w:rPr>
        <w:t>Sellafield Ltd</w:t>
      </w:r>
      <w:r w:rsidR="008C06EE" w:rsidRPr="00DD1B58">
        <w:rPr>
          <w:lang w:val="en-US"/>
        </w:rPr>
        <w:t>.</w:t>
      </w:r>
      <w:r w:rsidR="0097585A" w:rsidRPr="00DD1B58">
        <w:rPr>
          <w:lang w:val="en-US"/>
        </w:rPr>
        <w:t xml:space="preserve"> considers that i</w:t>
      </w:r>
      <w:r w:rsidRPr="00DD1B58">
        <w:rPr>
          <w:lang w:val="en-US"/>
        </w:rPr>
        <w:t xml:space="preserve">t also provides evidence to support removal of </w:t>
      </w:r>
      <w:r w:rsidR="003529D4" w:rsidRPr="00DD1B58">
        <w:rPr>
          <w:lang w:val="en-US"/>
        </w:rPr>
        <w:t>non</w:t>
      </w:r>
      <w:r w:rsidR="00E17254" w:rsidRPr="00DD1B58">
        <w:rPr>
          <w:lang w:val="en-US"/>
        </w:rPr>
        <w:t>-</w:t>
      </w:r>
      <w:r w:rsidR="003529D4" w:rsidRPr="00DD1B58">
        <w:rPr>
          <w:lang w:val="en-US"/>
        </w:rPr>
        <w:t>credible</w:t>
      </w:r>
      <w:r w:rsidRPr="00DD1B58">
        <w:rPr>
          <w:lang w:val="en-US"/>
        </w:rPr>
        <w:t xml:space="preserve"> electrical faults </w:t>
      </w:r>
      <w:r w:rsidR="00F0301A" w:rsidRPr="00DD1B58">
        <w:rPr>
          <w:lang w:val="en-US"/>
        </w:rPr>
        <w:t>for</w:t>
      </w:r>
      <w:r w:rsidRPr="00DD1B58">
        <w:rPr>
          <w:lang w:val="en-US"/>
        </w:rPr>
        <w:t xml:space="preserve"> a </w:t>
      </w:r>
      <w:r w:rsidR="006B572B" w:rsidRPr="00DD1B58">
        <w:rPr>
          <w:lang w:val="en-US"/>
        </w:rPr>
        <w:t xml:space="preserve">proportionate, </w:t>
      </w:r>
      <w:r w:rsidRPr="00DD1B58">
        <w:rPr>
          <w:lang w:val="en-US"/>
        </w:rPr>
        <w:t>streamlined NFSA and to improve consistency between assessments</w:t>
      </w:r>
      <w:r w:rsidR="00567B4E" w:rsidRPr="00DD1B58">
        <w:rPr>
          <w:lang w:val="en-US"/>
        </w:rPr>
        <w:t xml:space="preserve">, demonstrating mitigation </w:t>
      </w:r>
      <w:r w:rsidRPr="00DD1B58">
        <w:rPr>
          <w:lang w:val="en-US"/>
        </w:rPr>
        <w:t xml:space="preserve">of electrical fire risks through existing engineering safety management system arrangements. </w:t>
      </w:r>
      <w:r w:rsidR="004668E0" w:rsidRPr="00DD1B58">
        <w:rPr>
          <w:lang w:val="en-US"/>
        </w:rPr>
        <w:t>Sellafield Ltd.</w:t>
      </w:r>
      <w:r w:rsidR="00342FB7" w:rsidRPr="00DD1B58">
        <w:rPr>
          <w:lang w:val="en-US"/>
        </w:rPr>
        <w:t xml:space="preserve"> has a </w:t>
      </w:r>
      <w:r w:rsidRPr="00DD1B58">
        <w:rPr>
          <w:lang w:val="en-US"/>
        </w:rPr>
        <w:t xml:space="preserve">supporting document to </w:t>
      </w:r>
      <w:r w:rsidR="00C55E55" w:rsidRPr="00DD1B58">
        <w:rPr>
          <w:lang w:val="en-US"/>
        </w:rPr>
        <w:t>the above</w:t>
      </w:r>
      <w:r w:rsidR="00342FB7" w:rsidRPr="00DD1B58">
        <w:rPr>
          <w:lang w:val="en-US"/>
        </w:rPr>
        <w:t xml:space="preserve"> guidance</w:t>
      </w:r>
      <w:r w:rsidR="00C55E55" w:rsidRPr="00DD1B58">
        <w:rPr>
          <w:lang w:val="en-US"/>
        </w:rPr>
        <w:t xml:space="preserve">, </w:t>
      </w:r>
      <w:r w:rsidR="00342FB7" w:rsidRPr="00DD1B58">
        <w:rPr>
          <w:lang w:val="en-US"/>
        </w:rPr>
        <w:t>covering</w:t>
      </w:r>
      <w:r w:rsidRPr="00DD1B58">
        <w:rPr>
          <w:lang w:val="en-US"/>
        </w:rPr>
        <w:t xml:space="preserve"> the risk and probability of ignition and propagation for common electrical equipment</w:t>
      </w:r>
      <w:r w:rsidR="00C55E55" w:rsidRPr="00DD1B58">
        <w:rPr>
          <w:lang w:val="en-US"/>
        </w:rPr>
        <w:t>, to</w:t>
      </w:r>
      <w:r w:rsidRPr="00DD1B58">
        <w:rPr>
          <w:lang w:val="en-US"/>
        </w:rPr>
        <w:t xml:space="preserve"> support the undertaking of </w:t>
      </w:r>
      <w:r w:rsidR="003529D4" w:rsidRPr="00DD1B58">
        <w:rPr>
          <w:lang w:val="en-US"/>
        </w:rPr>
        <w:t>risk-based</w:t>
      </w:r>
      <w:r w:rsidRPr="00DD1B58">
        <w:rPr>
          <w:lang w:val="en-US"/>
        </w:rPr>
        <w:t xml:space="preserve"> analysis. </w:t>
      </w:r>
      <w:r w:rsidR="004668E0" w:rsidRPr="00DD1B58">
        <w:rPr>
          <w:lang w:val="en-US"/>
        </w:rPr>
        <w:t>Sellafield Ltd.</w:t>
      </w:r>
      <w:r w:rsidR="00C55E55" w:rsidRPr="00DD1B58">
        <w:rPr>
          <w:lang w:val="en-US"/>
        </w:rPr>
        <w:t xml:space="preserve"> </w:t>
      </w:r>
      <w:r w:rsidR="007376D6" w:rsidRPr="00DD1B58">
        <w:rPr>
          <w:lang w:val="en-US"/>
        </w:rPr>
        <w:t>states that</w:t>
      </w:r>
      <w:r w:rsidR="00C55E55" w:rsidRPr="00DD1B58">
        <w:rPr>
          <w:lang w:val="en-US"/>
        </w:rPr>
        <w:t xml:space="preserve"> this </w:t>
      </w:r>
      <w:r w:rsidRPr="00DD1B58">
        <w:rPr>
          <w:lang w:val="en-US"/>
        </w:rPr>
        <w:t xml:space="preserve">level of consideration will not necessarily be required if the safety measures are proven to be deterministically safe. </w:t>
      </w:r>
      <w:r w:rsidR="00DC0470" w:rsidRPr="00DD1B58">
        <w:rPr>
          <w:lang w:val="en-US"/>
        </w:rPr>
        <w:t xml:space="preserve">The </w:t>
      </w:r>
      <w:r w:rsidRPr="00DD1B58">
        <w:rPr>
          <w:lang w:val="en-US"/>
        </w:rPr>
        <w:t>technical guidance has been shared within the UK Nuclear Industry through the Nuclear Industry Fire Safety Co-ordinating Committee (NIFSCC) to promote learning and to share relevant good practice within the industry.</w:t>
      </w:r>
    </w:p>
    <w:p w14:paraId="38B53392" w14:textId="77777777" w:rsidR="00325B7D" w:rsidRPr="00DD1B58" w:rsidRDefault="00325B7D" w:rsidP="000E23A3">
      <w:pPr>
        <w:pStyle w:val="Heading4"/>
        <w:rPr>
          <w:lang w:val="en-US"/>
        </w:rPr>
      </w:pPr>
      <w:r w:rsidRPr="00DD1B58">
        <w:rPr>
          <w:lang w:val="en-US"/>
        </w:rPr>
        <w:t xml:space="preserve">Key assumptions and methodologies </w:t>
      </w:r>
    </w:p>
    <w:p w14:paraId="1A88270E" w14:textId="77777777" w:rsidR="000631C1" w:rsidRPr="00DD1B58" w:rsidRDefault="000631C1" w:rsidP="000E23A3">
      <w:pPr>
        <w:pStyle w:val="Heading4"/>
        <w:numPr>
          <w:ilvl w:val="4"/>
          <w:numId w:val="3"/>
        </w:numPr>
        <w:rPr>
          <w:lang w:val="en-US"/>
        </w:rPr>
      </w:pPr>
      <w:r w:rsidRPr="00DD1B58">
        <w:rPr>
          <w:lang w:val="en-US"/>
        </w:rPr>
        <w:t>Guidance</w:t>
      </w:r>
      <w:r w:rsidR="003C7964" w:rsidRPr="00DD1B58">
        <w:rPr>
          <w:lang w:val="en-US"/>
        </w:rPr>
        <w:t>, relevant good practice</w:t>
      </w:r>
      <w:r w:rsidRPr="00DD1B58">
        <w:rPr>
          <w:lang w:val="en-US"/>
        </w:rPr>
        <w:t xml:space="preserve"> and legislation</w:t>
      </w:r>
    </w:p>
    <w:p w14:paraId="744F14B5" w14:textId="2F1199C0" w:rsidR="00E0029F" w:rsidRPr="00DD1B58" w:rsidRDefault="00134292" w:rsidP="00E0029F">
      <w:pPr>
        <w:rPr>
          <w:lang w:val="en-US"/>
        </w:rPr>
      </w:pPr>
      <w:r w:rsidRPr="00DD1B58">
        <w:rPr>
          <w:lang w:val="en-US"/>
        </w:rPr>
        <w:t>Sellafield Ltd</w:t>
      </w:r>
      <w:r w:rsidR="00434DFD" w:rsidRPr="00DD1B58">
        <w:rPr>
          <w:lang w:val="en-US"/>
        </w:rPr>
        <w:t>.</w:t>
      </w:r>
      <w:r w:rsidR="00DC0470" w:rsidRPr="00DD1B58">
        <w:rPr>
          <w:lang w:val="en-US"/>
        </w:rPr>
        <w:t xml:space="preserve"> produces </w:t>
      </w:r>
      <w:r w:rsidR="00E0029F" w:rsidRPr="00DD1B58">
        <w:rPr>
          <w:lang w:val="en-US"/>
        </w:rPr>
        <w:t xml:space="preserve">Mandatory Standards for various topic areas such as Fire Protection, which identify obligations placed on Sellafield with respect to Fire Protection and specifically nuclear fire hazard analyses. </w:t>
      </w:r>
      <w:r w:rsidR="006455F7" w:rsidRPr="00DD1B58">
        <w:rPr>
          <w:lang w:val="en-US"/>
        </w:rPr>
        <w:t>The Nuclear Safety Cases mandatory standard outlines what Sellafield are obliged to do, in relation to the requirement to develop and implement Nuclear Safety Cases in support of Sellafield Ltd</w:t>
      </w:r>
      <w:r w:rsidR="004668E0" w:rsidRPr="00DD1B58">
        <w:rPr>
          <w:lang w:val="en-US"/>
        </w:rPr>
        <w:t>.</w:t>
      </w:r>
      <w:r w:rsidR="006455F7" w:rsidRPr="00DD1B58">
        <w:rPr>
          <w:lang w:val="en-US"/>
        </w:rPr>
        <w:t xml:space="preserve"> endeavours, and what we will do to meet their obligations. </w:t>
      </w:r>
      <w:r w:rsidR="00E0029F" w:rsidRPr="00DD1B58">
        <w:rPr>
          <w:lang w:val="en-US"/>
        </w:rPr>
        <w:t>These standards refer to (not exclusively):</w:t>
      </w:r>
    </w:p>
    <w:p w14:paraId="18DA4EAE" w14:textId="2876DC73" w:rsidR="00E0029F" w:rsidRPr="00DD1B58" w:rsidRDefault="00E0029F" w:rsidP="00327321">
      <w:pPr>
        <w:pStyle w:val="Bulletlist1"/>
        <w:rPr>
          <w:lang w:val="en-US"/>
        </w:rPr>
      </w:pPr>
      <w:r w:rsidRPr="00DD1B58">
        <w:rPr>
          <w:lang w:val="en-US"/>
        </w:rPr>
        <w:t>Legislation</w:t>
      </w:r>
      <w:r w:rsidR="00961593" w:rsidRPr="00DD1B58">
        <w:rPr>
          <w:lang w:val="en-US"/>
        </w:rPr>
        <w:t>,</w:t>
      </w:r>
      <w:r w:rsidRPr="00DD1B58">
        <w:rPr>
          <w:lang w:val="en-US"/>
        </w:rPr>
        <w:t xml:space="preserve"> e.g.</w:t>
      </w:r>
      <w:r w:rsidR="00961593" w:rsidRPr="00DD1B58">
        <w:rPr>
          <w:lang w:val="en-US"/>
        </w:rPr>
        <w:t>,</w:t>
      </w:r>
      <w:r w:rsidRPr="00DD1B58">
        <w:rPr>
          <w:lang w:val="en-US"/>
        </w:rPr>
        <w:t xml:space="preserve"> Nuclear Installations Act 1964 </w:t>
      </w:r>
      <w:sdt>
        <w:sdtPr>
          <w:rPr>
            <w:lang w:val="en-US"/>
          </w:rPr>
          <w:id w:val="3098457"/>
          <w:citation/>
        </w:sdtPr>
        <w:sdtContent>
          <w:r w:rsidR="008A64C3" w:rsidRPr="00DD1B58">
            <w:rPr>
              <w:lang w:val="en-US"/>
            </w:rPr>
            <w:fldChar w:fldCharType="begin"/>
          </w:r>
          <w:r w:rsidR="008A64C3" w:rsidRPr="00DD1B58">
            <w:rPr>
              <w:lang w:val="en-US"/>
            </w:rPr>
            <w:instrText xml:space="preserve"> CITATION Nuc65 \l 2057 </w:instrText>
          </w:r>
          <w:r w:rsidR="008A64C3" w:rsidRPr="00DD1B58">
            <w:rPr>
              <w:lang w:val="en-US"/>
            </w:rPr>
            <w:fldChar w:fldCharType="separate"/>
          </w:r>
          <w:r w:rsidR="00DF47DA" w:rsidRPr="00DF47DA">
            <w:rPr>
              <w:lang w:val="en-US"/>
            </w:rPr>
            <w:t>[103]</w:t>
          </w:r>
          <w:r w:rsidR="008A64C3" w:rsidRPr="00DD1B58">
            <w:rPr>
              <w:lang w:val="en-US"/>
            </w:rPr>
            <w:fldChar w:fldCharType="end"/>
          </w:r>
        </w:sdtContent>
      </w:sdt>
      <w:r w:rsidRPr="00DD1B58">
        <w:rPr>
          <w:lang w:val="en-US"/>
        </w:rPr>
        <w:t xml:space="preserve">, Regulatory Reform (Fire Safety) Order 2005 </w:t>
      </w:r>
      <w:sdt>
        <w:sdtPr>
          <w:rPr>
            <w:lang w:val="en-US"/>
          </w:rPr>
          <w:id w:val="-899825703"/>
          <w:citation/>
        </w:sdtPr>
        <w:sdtContent>
          <w:r w:rsidR="00223D3D" w:rsidRPr="00DD1B58">
            <w:rPr>
              <w:lang w:val="en-US"/>
            </w:rPr>
            <w:fldChar w:fldCharType="begin"/>
          </w:r>
          <w:r w:rsidR="00601B0B" w:rsidRPr="00DD1B58">
            <w:rPr>
              <w:lang w:val="en-US"/>
            </w:rPr>
            <w:instrText xml:space="preserve">CITATION The05 \l 2057 </w:instrText>
          </w:r>
          <w:r w:rsidR="00223D3D" w:rsidRPr="00DD1B58">
            <w:rPr>
              <w:lang w:val="en-US"/>
            </w:rPr>
            <w:fldChar w:fldCharType="separate"/>
          </w:r>
          <w:r w:rsidR="00DF47DA" w:rsidRPr="00DF47DA">
            <w:rPr>
              <w:lang w:val="en-US"/>
            </w:rPr>
            <w:t>[20]</w:t>
          </w:r>
          <w:r w:rsidR="00223D3D" w:rsidRPr="00DD1B58">
            <w:rPr>
              <w:lang w:val="en-US"/>
            </w:rPr>
            <w:fldChar w:fldCharType="end"/>
          </w:r>
        </w:sdtContent>
      </w:sdt>
      <w:r w:rsidRPr="00DD1B58">
        <w:rPr>
          <w:lang w:val="en-US"/>
        </w:rPr>
        <w:t>, Building Regulations;</w:t>
      </w:r>
    </w:p>
    <w:p w14:paraId="0A09247C" w14:textId="77777777" w:rsidR="00E0029F" w:rsidRPr="00DD1B58" w:rsidRDefault="00E0029F" w:rsidP="00327321">
      <w:pPr>
        <w:pStyle w:val="Bulletlist1"/>
        <w:rPr>
          <w:lang w:val="en-US"/>
        </w:rPr>
      </w:pPr>
      <w:r w:rsidRPr="00DD1B58">
        <w:rPr>
          <w:lang w:val="en-US"/>
        </w:rPr>
        <w:t>Nuclear Site Licence Conditions;</w:t>
      </w:r>
    </w:p>
    <w:p w14:paraId="1BC95029" w14:textId="5304FE1B" w:rsidR="00E0029F" w:rsidRPr="00DD1B58" w:rsidRDefault="00E0029F" w:rsidP="00327321">
      <w:pPr>
        <w:pStyle w:val="Bulletlist1"/>
        <w:rPr>
          <w:lang w:val="en-US"/>
        </w:rPr>
      </w:pPr>
      <w:r w:rsidRPr="00DD1B58">
        <w:rPr>
          <w:lang w:val="en-US"/>
        </w:rPr>
        <w:t>IAEA Standards</w:t>
      </w:r>
      <w:r w:rsidR="00961593" w:rsidRPr="00DD1B58">
        <w:rPr>
          <w:lang w:val="en-US"/>
        </w:rPr>
        <w:t>,</w:t>
      </w:r>
      <w:r w:rsidRPr="00DD1B58">
        <w:rPr>
          <w:lang w:val="en-US"/>
        </w:rPr>
        <w:t xml:space="preserve"> e.g.</w:t>
      </w:r>
      <w:r w:rsidR="00961593" w:rsidRPr="00DD1B58">
        <w:rPr>
          <w:lang w:val="en-US"/>
        </w:rPr>
        <w:t>,</w:t>
      </w:r>
      <w:r w:rsidRPr="00DD1B58">
        <w:rPr>
          <w:lang w:val="en-US"/>
        </w:rPr>
        <w:t xml:space="preserve"> Specific Safety Requirements No. SSR-4</w:t>
      </w:r>
      <w:r w:rsidR="00894A6D" w:rsidRPr="00DD1B58">
        <w:rPr>
          <w:lang w:val="en-US"/>
        </w:rPr>
        <w:t xml:space="preserve"> </w:t>
      </w:r>
      <w:sdt>
        <w:sdtPr>
          <w:rPr>
            <w:lang w:val="en-US"/>
          </w:rPr>
          <w:id w:val="622196620"/>
          <w:citation/>
        </w:sdtPr>
        <w:sdtContent>
          <w:r w:rsidR="009D32A1" w:rsidRPr="00DD1B58">
            <w:rPr>
              <w:lang w:val="en-US"/>
            </w:rPr>
            <w:fldChar w:fldCharType="begin"/>
          </w:r>
          <w:r w:rsidR="0042353C" w:rsidRPr="00DD1B58">
            <w:rPr>
              <w:lang w:val="en-US"/>
            </w:rPr>
            <w:instrText xml:space="preserve">CITATION INT17 \l 2057 </w:instrText>
          </w:r>
          <w:r w:rsidR="009D32A1" w:rsidRPr="00DD1B58">
            <w:rPr>
              <w:lang w:val="en-US"/>
            </w:rPr>
            <w:fldChar w:fldCharType="separate"/>
          </w:r>
          <w:r w:rsidR="00DF47DA" w:rsidRPr="00DF47DA">
            <w:rPr>
              <w:lang w:val="en-US"/>
            </w:rPr>
            <w:t>[19]</w:t>
          </w:r>
          <w:r w:rsidR="009D32A1" w:rsidRPr="00DD1B58">
            <w:rPr>
              <w:lang w:val="en-US"/>
            </w:rPr>
            <w:fldChar w:fldCharType="end"/>
          </w:r>
        </w:sdtContent>
      </w:sdt>
      <w:r w:rsidRPr="00DD1B58">
        <w:rPr>
          <w:lang w:val="en-US"/>
        </w:rPr>
        <w:t xml:space="preserve">; </w:t>
      </w:r>
    </w:p>
    <w:p w14:paraId="151507B1" w14:textId="3650E22D" w:rsidR="00E0029F" w:rsidRPr="00DD1B58" w:rsidRDefault="00E0029F" w:rsidP="00327321">
      <w:pPr>
        <w:pStyle w:val="Bulletlist1"/>
        <w:rPr>
          <w:lang w:val="en-US"/>
        </w:rPr>
      </w:pPr>
      <w:r w:rsidRPr="00DD1B58">
        <w:rPr>
          <w:lang w:val="en-US"/>
        </w:rPr>
        <w:t xml:space="preserve">WANO Performance Objectives &amp; Criteria </w:t>
      </w:r>
      <w:sdt>
        <w:sdtPr>
          <w:rPr>
            <w:lang w:val="en-US"/>
          </w:rPr>
          <w:id w:val="2113779470"/>
          <w:citation/>
        </w:sdtPr>
        <w:sdtContent>
          <w:r w:rsidR="00D6163D" w:rsidRPr="00DD1B58">
            <w:rPr>
              <w:lang w:val="en-US"/>
            </w:rPr>
            <w:fldChar w:fldCharType="begin"/>
          </w:r>
          <w:r w:rsidR="00D6163D" w:rsidRPr="00DD1B58">
            <w:rPr>
              <w:lang w:val="en-US"/>
            </w:rPr>
            <w:instrText xml:space="preserve"> CITATION WAN \l 2057 </w:instrText>
          </w:r>
          <w:r w:rsidR="00D6163D" w:rsidRPr="00DD1B58">
            <w:rPr>
              <w:lang w:val="en-US"/>
            </w:rPr>
            <w:fldChar w:fldCharType="separate"/>
          </w:r>
          <w:r w:rsidR="00DF47DA" w:rsidRPr="00DF47DA">
            <w:rPr>
              <w:lang w:val="en-US"/>
            </w:rPr>
            <w:t>[104]</w:t>
          </w:r>
          <w:r w:rsidR="00D6163D" w:rsidRPr="00DD1B58">
            <w:rPr>
              <w:lang w:val="en-US"/>
            </w:rPr>
            <w:fldChar w:fldCharType="end"/>
          </w:r>
        </w:sdtContent>
      </w:sdt>
      <w:r w:rsidRPr="00DD1B58">
        <w:rPr>
          <w:lang w:val="en-US"/>
        </w:rPr>
        <w:t>;</w:t>
      </w:r>
      <w:r w:rsidR="00961593" w:rsidRPr="00DD1B58">
        <w:rPr>
          <w:lang w:val="en-US"/>
        </w:rPr>
        <w:t xml:space="preserve"> and</w:t>
      </w:r>
    </w:p>
    <w:p w14:paraId="62D4E020" w14:textId="58257FF2" w:rsidR="00E0029F" w:rsidRPr="00DD1B58" w:rsidRDefault="00E0029F" w:rsidP="00327321">
      <w:pPr>
        <w:pStyle w:val="Bulletlist1"/>
        <w:rPr>
          <w:lang w:val="en-US"/>
        </w:rPr>
      </w:pPr>
      <w:r w:rsidRPr="00DD1B58">
        <w:rPr>
          <w:lang w:val="en-US"/>
        </w:rPr>
        <w:t xml:space="preserve">Industry standards and </w:t>
      </w:r>
      <w:r w:rsidR="003400DD" w:rsidRPr="00DD1B58">
        <w:rPr>
          <w:lang w:val="en-US"/>
        </w:rPr>
        <w:t>r</w:t>
      </w:r>
      <w:r w:rsidRPr="00DD1B58">
        <w:rPr>
          <w:lang w:val="en-US"/>
        </w:rPr>
        <w:t>elevant Good Practice such as WENRA Safety Reference levels.</w:t>
      </w:r>
    </w:p>
    <w:p w14:paraId="1BA708C3" w14:textId="105931C3" w:rsidR="00E0029F" w:rsidRPr="00DD1B58" w:rsidRDefault="00E0029F" w:rsidP="00E0029F">
      <w:pPr>
        <w:rPr>
          <w:lang w:val="en-US"/>
        </w:rPr>
      </w:pPr>
      <w:r w:rsidRPr="00DD1B58">
        <w:rPr>
          <w:lang w:val="en-US"/>
        </w:rPr>
        <w:t xml:space="preserve">Nuclear fire </w:t>
      </w:r>
      <w:r w:rsidR="00D21AE1" w:rsidRPr="00DD1B58">
        <w:rPr>
          <w:lang w:val="en-US"/>
        </w:rPr>
        <w:t xml:space="preserve">safety </w:t>
      </w:r>
      <w:r w:rsidRPr="00DD1B58">
        <w:rPr>
          <w:lang w:val="en-US"/>
        </w:rPr>
        <w:t>analyses are based on UK legislative requirements and codes of practice, International Atomic Energy Authority (IAEA)/World Association of Nuclear Operators (WANO) standards</w:t>
      </w:r>
      <w:r w:rsidR="003400DD" w:rsidRPr="00DD1B58">
        <w:rPr>
          <w:lang w:val="en-US"/>
        </w:rPr>
        <w:t xml:space="preserve"> and </w:t>
      </w:r>
      <w:r w:rsidRPr="00DD1B58">
        <w:rPr>
          <w:lang w:val="en-US"/>
        </w:rPr>
        <w:t>guidance</w:t>
      </w:r>
      <w:r w:rsidR="003400DD" w:rsidRPr="00DD1B58">
        <w:rPr>
          <w:lang w:val="en-US"/>
        </w:rPr>
        <w:t>,</w:t>
      </w:r>
      <w:r w:rsidRPr="00DD1B58">
        <w:rPr>
          <w:lang w:val="en-US"/>
        </w:rPr>
        <w:t xml:space="preserve"> and associated British and European Standards and relevant good practice (RGP).</w:t>
      </w:r>
    </w:p>
    <w:p w14:paraId="0A566483" w14:textId="77777777" w:rsidR="00554B27" w:rsidRPr="00DD1B58" w:rsidRDefault="00554B27" w:rsidP="00554B27">
      <w:pPr>
        <w:rPr>
          <w:lang w:val="en-US"/>
        </w:rPr>
      </w:pPr>
      <w:r w:rsidRPr="00DD1B58">
        <w:rPr>
          <w:lang w:val="en-US"/>
        </w:rPr>
        <w:t>Requirements linking back to obligations outlined in the Mandatory Standards are detailed in the Nuclear Safety Case suite of documents within the SLMS (Nuclear Safety Cases Manual and Sellafield Ltd. Practices).</w:t>
      </w:r>
    </w:p>
    <w:p w14:paraId="435CCB20" w14:textId="77777777" w:rsidR="00554B27" w:rsidRPr="00DD1B58" w:rsidRDefault="00554B27" w:rsidP="00554B27">
      <w:pPr>
        <w:rPr>
          <w:lang w:val="en-US"/>
        </w:rPr>
      </w:pPr>
      <w:r w:rsidRPr="00DD1B58">
        <w:rPr>
          <w:lang w:val="en-US"/>
        </w:rPr>
        <w:t xml:space="preserve">In addition, there is an extensive suite of supporting ‘how to’ guidance, including those for assessing nuclear fire risks.  These guides cover topics such as risk profiles of transporters and a relevant good practice note on roofing system fire requirements. </w:t>
      </w:r>
    </w:p>
    <w:p w14:paraId="35E3E57F" w14:textId="78E4F82A" w:rsidR="006B24C0" w:rsidRPr="00DD1B58" w:rsidRDefault="00554B27" w:rsidP="006B24C0">
      <w:pPr>
        <w:rPr>
          <w:lang w:val="en-US"/>
        </w:rPr>
      </w:pPr>
      <w:r w:rsidRPr="00DD1B58">
        <w:rPr>
          <w:lang w:val="en-US"/>
        </w:rPr>
        <w:t>Fire analyses specifically are undertaken by Sellafield Ltd. through application of the supporting Nuclear Safety Case Process and Methods suite of Nuclear Fire Analysis Technical Guidance.</w:t>
      </w:r>
      <w:r w:rsidR="006B24C0" w:rsidRPr="00DD1B58">
        <w:rPr>
          <w:lang w:val="en-US"/>
        </w:rPr>
        <w:t xml:space="preserve"> </w:t>
      </w:r>
    </w:p>
    <w:p w14:paraId="02E817ED" w14:textId="4986C134" w:rsidR="006B24C0" w:rsidRPr="00DD1B58" w:rsidRDefault="006B24C0" w:rsidP="006B24C0">
      <w:pPr>
        <w:rPr>
          <w:lang w:val="en-US"/>
        </w:rPr>
      </w:pPr>
      <w:r w:rsidRPr="00DD1B58">
        <w:rPr>
          <w:lang w:val="en-US"/>
        </w:rPr>
        <w:t xml:space="preserve">The </w:t>
      </w:r>
      <w:r w:rsidR="00134292" w:rsidRPr="00DD1B58">
        <w:rPr>
          <w:lang w:val="en-US"/>
        </w:rPr>
        <w:t>Sellafield Ltd</w:t>
      </w:r>
      <w:r w:rsidR="00554B27" w:rsidRPr="00DD1B58">
        <w:rPr>
          <w:lang w:val="en-US"/>
        </w:rPr>
        <w:t>.</w:t>
      </w:r>
      <w:r w:rsidRPr="00DD1B58">
        <w:rPr>
          <w:lang w:val="en-US"/>
        </w:rPr>
        <w:t xml:space="preserve"> Technical Guides are applied by </w:t>
      </w:r>
      <w:r w:rsidR="00D33E87" w:rsidRPr="00DD1B58">
        <w:rPr>
          <w:lang w:val="en-US"/>
        </w:rPr>
        <w:t>Sellafield Ltd.’s</w:t>
      </w:r>
      <w:r w:rsidR="00D1304A" w:rsidRPr="00DD1B58">
        <w:rPr>
          <w:lang w:val="en-US"/>
        </w:rPr>
        <w:t xml:space="preserve"> </w:t>
      </w:r>
      <w:r w:rsidR="00CD5B8E" w:rsidRPr="00DD1B58">
        <w:rPr>
          <w:lang w:val="en-US"/>
        </w:rPr>
        <w:t>nuclear fire engineers</w:t>
      </w:r>
      <w:r w:rsidR="00181BF9" w:rsidRPr="00DD1B58">
        <w:rPr>
          <w:lang w:val="en-US"/>
        </w:rPr>
        <w:t xml:space="preserve">, deemed </w:t>
      </w:r>
      <w:r w:rsidR="006C24F2" w:rsidRPr="00DD1B58">
        <w:rPr>
          <w:lang w:val="en-US"/>
        </w:rPr>
        <w:t>SQEP to</w:t>
      </w:r>
      <w:r w:rsidRPr="00DD1B58">
        <w:rPr>
          <w:lang w:val="en-US"/>
        </w:rPr>
        <w:t xml:space="preserve"> </w:t>
      </w:r>
      <w:r w:rsidR="006C24F2" w:rsidRPr="00DD1B58">
        <w:rPr>
          <w:lang w:val="en-US"/>
        </w:rPr>
        <w:t xml:space="preserve">undertake </w:t>
      </w:r>
      <w:r w:rsidRPr="00DD1B58">
        <w:rPr>
          <w:lang w:val="en-US"/>
        </w:rPr>
        <w:t xml:space="preserve">such analyses for all nuclear facilities where applicable. </w:t>
      </w:r>
      <w:r w:rsidR="00134292" w:rsidRPr="00DD1B58">
        <w:rPr>
          <w:lang w:val="en-US"/>
        </w:rPr>
        <w:t>Sellafield Ltd</w:t>
      </w:r>
      <w:r w:rsidR="00554B27" w:rsidRPr="00DD1B58">
        <w:rPr>
          <w:lang w:val="en-US"/>
        </w:rPr>
        <w:t>.</w:t>
      </w:r>
      <w:r w:rsidR="00C132B8" w:rsidRPr="00DD1B58">
        <w:rPr>
          <w:lang w:val="en-US"/>
        </w:rPr>
        <w:t xml:space="preserve"> expects application of </w:t>
      </w:r>
      <w:r w:rsidRPr="00DD1B58">
        <w:rPr>
          <w:lang w:val="en-US"/>
        </w:rPr>
        <w:t xml:space="preserve">relevant good practice </w:t>
      </w:r>
      <w:r w:rsidR="00C132B8" w:rsidRPr="00DD1B58">
        <w:rPr>
          <w:lang w:val="en-US"/>
        </w:rPr>
        <w:t>as part of the process</w:t>
      </w:r>
      <w:r w:rsidR="009628FE" w:rsidRPr="00DD1B58">
        <w:rPr>
          <w:lang w:val="en-US"/>
        </w:rPr>
        <w:t>.</w:t>
      </w:r>
    </w:p>
    <w:p w14:paraId="1CEA89F6" w14:textId="4A1C73D3" w:rsidR="006B24C0" w:rsidRPr="00DD1B58" w:rsidRDefault="006B24C0" w:rsidP="006B24C0">
      <w:pPr>
        <w:rPr>
          <w:lang w:val="en-US"/>
        </w:rPr>
      </w:pPr>
      <w:r w:rsidRPr="00DD1B58">
        <w:rPr>
          <w:lang w:val="en-US"/>
        </w:rPr>
        <w:t>Sellafield</w:t>
      </w:r>
      <w:r w:rsidR="00554B27" w:rsidRPr="00DD1B58">
        <w:rPr>
          <w:lang w:val="en-US"/>
        </w:rPr>
        <w:t xml:space="preserve"> Ltd.</w:t>
      </w:r>
      <w:r w:rsidRPr="00DD1B58">
        <w:rPr>
          <w:lang w:val="en-US"/>
        </w:rPr>
        <w:t xml:space="preserve"> </w:t>
      </w:r>
      <w:r w:rsidR="00E00125" w:rsidRPr="00DD1B58">
        <w:rPr>
          <w:lang w:val="en-US"/>
        </w:rPr>
        <w:t>report</w:t>
      </w:r>
      <w:r w:rsidR="003400DD" w:rsidRPr="00DD1B58">
        <w:rPr>
          <w:lang w:val="en-US"/>
        </w:rPr>
        <w:t>s</w:t>
      </w:r>
      <w:r w:rsidR="00E00125" w:rsidRPr="00DD1B58">
        <w:rPr>
          <w:lang w:val="en-US"/>
        </w:rPr>
        <w:t xml:space="preserve"> that it continues to</w:t>
      </w:r>
      <w:r w:rsidRPr="00DD1B58">
        <w:rPr>
          <w:lang w:val="en-US"/>
        </w:rPr>
        <w:t xml:space="preserve"> update internal standards and processes in line with updates to relevant good practice, changes to national and international standards and </w:t>
      </w:r>
      <w:r w:rsidR="003641BC" w:rsidRPr="00DD1B58">
        <w:rPr>
          <w:lang w:val="en-US"/>
        </w:rPr>
        <w:t xml:space="preserve">UK </w:t>
      </w:r>
      <w:r w:rsidRPr="00DD1B58">
        <w:rPr>
          <w:lang w:val="en-US"/>
        </w:rPr>
        <w:t>legislation.</w:t>
      </w:r>
    </w:p>
    <w:p w14:paraId="6943AEDE" w14:textId="4D0F9938" w:rsidR="00A52FA6" w:rsidRPr="00DD1B58" w:rsidRDefault="005109F8">
      <w:pPr>
        <w:rPr>
          <w:lang w:val="en-US"/>
        </w:rPr>
      </w:pPr>
      <w:r w:rsidRPr="00DD1B58">
        <w:rPr>
          <w:lang w:val="en-US"/>
        </w:rPr>
        <w:t xml:space="preserve">As part of the assessment process </w:t>
      </w:r>
      <w:r w:rsidR="00134292" w:rsidRPr="00DD1B58">
        <w:rPr>
          <w:lang w:val="en-US"/>
        </w:rPr>
        <w:t>Sellafield Ltd</w:t>
      </w:r>
      <w:r w:rsidR="00554B27" w:rsidRPr="00DD1B58">
        <w:rPr>
          <w:lang w:val="en-US"/>
        </w:rPr>
        <w:t>.</w:t>
      </w:r>
      <w:r w:rsidRPr="00DD1B58">
        <w:rPr>
          <w:lang w:val="en-US"/>
        </w:rPr>
        <w:t xml:space="preserve"> expects its Fire Engineer to apply relevant good practice to support production of the Safety Case Fire Analyses. </w:t>
      </w:r>
      <w:r w:rsidR="00A52FA6" w:rsidRPr="00DD1B58">
        <w:rPr>
          <w:lang w:val="en-US"/>
        </w:rPr>
        <w:t>In addition to the IAEA Standards</w:t>
      </w:r>
      <w:r w:rsidR="00A055F4" w:rsidRPr="00DD1B58">
        <w:rPr>
          <w:lang w:val="en-US"/>
        </w:rPr>
        <w:t xml:space="preserve"> and </w:t>
      </w:r>
      <w:r w:rsidR="00A52FA6" w:rsidRPr="00DD1B58">
        <w:rPr>
          <w:lang w:val="en-US"/>
        </w:rPr>
        <w:t xml:space="preserve">WANO </w:t>
      </w:r>
      <w:r w:rsidR="005322C7" w:rsidRPr="00DD1B58">
        <w:rPr>
          <w:lang w:val="en-US"/>
        </w:rPr>
        <w:t>Performance Objectives and Criteria (</w:t>
      </w:r>
      <w:r w:rsidR="00A52FA6" w:rsidRPr="00DD1B58">
        <w:rPr>
          <w:lang w:val="en-US"/>
        </w:rPr>
        <w:t>PO&amp;Cs</w:t>
      </w:r>
      <w:r w:rsidR="005322C7" w:rsidRPr="00DD1B58">
        <w:rPr>
          <w:lang w:val="en-US"/>
        </w:rPr>
        <w:t>)</w:t>
      </w:r>
      <w:r w:rsidR="00A52FA6" w:rsidRPr="00DD1B58">
        <w:rPr>
          <w:lang w:val="en-US"/>
        </w:rPr>
        <w:t xml:space="preserve">, </w:t>
      </w:r>
      <w:r w:rsidR="00134292" w:rsidRPr="00DD1B58">
        <w:rPr>
          <w:lang w:val="en-US"/>
        </w:rPr>
        <w:t>Sellafield Ltd</w:t>
      </w:r>
      <w:r w:rsidR="00554B27" w:rsidRPr="00DD1B58">
        <w:rPr>
          <w:lang w:val="en-US"/>
        </w:rPr>
        <w:t>.</w:t>
      </w:r>
      <w:r w:rsidR="00A055F4" w:rsidRPr="00DD1B58">
        <w:rPr>
          <w:lang w:val="en-US"/>
        </w:rPr>
        <w:t xml:space="preserve"> NFSAs</w:t>
      </w:r>
      <w:r w:rsidR="00A52FA6" w:rsidRPr="00DD1B58">
        <w:rPr>
          <w:lang w:val="en-US"/>
        </w:rPr>
        <w:t xml:space="preserve"> utilise British Standards, British Standard European Norms, </w:t>
      </w:r>
      <w:r w:rsidR="003B36E1" w:rsidRPr="00DD1B58">
        <w:rPr>
          <w:lang w:val="en-US"/>
        </w:rPr>
        <w:t>t</w:t>
      </w:r>
      <w:r w:rsidR="00A52FA6" w:rsidRPr="00DD1B58">
        <w:rPr>
          <w:lang w:val="en-US"/>
        </w:rPr>
        <w:t xml:space="preserve">rade </w:t>
      </w:r>
      <w:r w:rsidR="003B36E1" w:rsidRPr="00DD1B58">
        <w:rPr>
          <w:lang w:val="en-US"/>
        </w:rPr>
        <w:t>a</w:t>
      </w:r>
      <w:r w:rsidR="00A52FA6" w:rsidRPr="00DD1B58">
        <w:rPr>
          <w:lang w:val="en-US"/>
        </w:rPr>
        <w:t xml:space="preserve">ssociation and </w:t>
      </w:r>
      <w:r w:rsidR="003B36E1" w:rsidRPr="00DD1B58">
        <w:rPr>
          <w:lang w:val="en-US"/>
        </w:rPr>
        <w:t>r</w:t>
      </w:r>
      <w:r w:rsidR="00A52FA6" w:rsidRPr="00DD1B58">
        <w:rPr>
          <w:lang w:val="en-US"/>
        </w:rPr>
        <w:t>egulator guidance</w:t>
      </w:r>
      <w:r w:rsidR="00A055F4" w:rsidRPr="00DD1B58">
        <w:rPr>
          <w:lang w:val="en-US"/>
        </w:rPr>
        <w:t xml:space="preserve"> including </w:t>
      </w:r>
      <w:r w:rsidR="00A52FA6" w:rsidRPr="00DD1B58">
        <w:rPr>
          <w:lang w:val="en-US"/>
        </w:rPr>
        <w:t>ONR SAP</w:t>
      </w:r>
      <w:r w:rsidR="003B36E1" w:rsidRPr="00DD1B58">
        <w:rPr>
          <w:lang w:val="en-US"/>
        </w:rPr>
        <w:t>s</w:t>
      </w:r>
      <w:r w:rsidR="00A52FA6" w:rsidRPr="00DD1B58">
        <w:rPr>
          <w:lang w:val="en-US"/>
        </w:rPr>
        <w:t xml:space="preserve"> </w:t>
      </w:r>
      <w:r w:rsidR="006205C4" w:rsidRPr="00DD1B58">
        <w:rPr>
          <w:lang w:val="en-US"/>
        </w:rPr>
        <w:fldChar w:fldCharType="begin"/>
      </w:r>
      <w:r w:rsidR="006205C4" w:rsidRPr="00DD1B58">
        <w:rPr>
          <w:lang w:val="en-US"/>
        </w:rPr>
        <w:instrText xml:space="preserve"> CITATION Off20 \l 2057 </w:instrText>
      </w:r>
      <w:r w:rsidR="006205C4" w:rsidRPr="00DD1B58">
        <w:rPr>
          <w:lang w:val="en-US"/>
        </w:rPr>
        <w:fldChar w:fldCharType="separate"/>
      </w:r>
      <w:r w:rsidR="00DF47DA">
        <w:rPr>
          <w:noProof/>
          <w:lang w:val="en-US"/>
        </w:rPr>
        <w:t xml:space="preserve"> </w:t>
      </w:r>
      <w:r w:rsidR="00DF47DA" w:rsidRPr="00DF47DA">
        <w:rPr>
          <w:noProof/>
          <w:lang w:val="en-US"/>
        </w:rPr>
        <w:t>[15]</w:t>
      </w:r>
      <w:r w:rsidR="006205C4" w:rsidRPr="00DD1B58">
        <w:rPr>
          <w:lang w:val="en-US"/>
        </w:rPr>
        <w:fldChar w:fldCharType="end"/>
      </w:r>
      <w:r w:rsidR="00A52FA6" w:rsidRPr="00DD1B58">
        <w:rPr>
          <w:lang w:val="en-US"/>
        </w:rPr>
        <w:t xml:space="preserve"> and ONR </w:t>
      </w:r>
      <w:r w:rsidR="00E00125" w:rsidRPr="00DD1B58">
        <w:rPr>
          <w:lang w:val="en-US"/>
        </w:rPr>
        <w:t>TAGs</w:t>
      </w:r>
      <w:r w:rsidR="00A52FA6" w:rsidRPr="00DD1B58">
        <w:rPr>
          <w:lang w:val="en-US"/>
        </w:rPr>
        <w:t xml:space="preserve">. </w:t>
      </w:r>
      <w:r w:rsidR="00134292" w:rsidRPr="00DD1B58">
        <w:rPr>
          <w:lang w:val="en-US"/>
        </w:rPr>
        <w:t>Sellafield Ltd</w:t>
      </w:r>
      <w:r w:rsidR="00554B27" w:rsidRPr="00DD1B58">
        <w:rPr>
          <w:lang w:val="en-US"/>
        </w:rPr>
        <w:t>.</w:t>
      </w:r>
      <w:r w:rsidR="00A52FA6" w:rsidRPr="00DD1B58">
        <w:rPr>
          <w:lang w:val="en-US"/>
        </w:rPr>
        <w:t xml:space="preserve"> </w:t>
      </w:r>
      <w:r w:rsidR="009A7709" w:rsidRPr="00DD1B58">
        <w:rPr>
          <w:lang w:val="en-US"/>
        </w:rPr>
        <w:t>also has</w:t>
      </w:r>
      <w:r w:rsidR="00A52FA6" w:rsidRPr="00DD1B58">
        <w:rPr>
          <w:lang w:val="en-US"/>
        </w:rPr>
        <w:t xml:space="preserve"> established practice</w:t>
      </w:r>
      <w:r w:rsidR="00334624" w:rsidRPr="00DD1B58">
        <w:rPr>
          <w:lang w:val="en-US"/>
        </w:rPr>
        <w:t>s</w:t>
      </w:r>
      <w:r w:rsidR="00A52FA6" w:rsidRPr="00DD1B58">
        <w:rPr>
          <w:lang w:val="en-US"/>
        </w:rPr>
        <w:t xml:space="preserve"> for engineering design </w:t>
      </w:r>
      <w:r w:rsidR="00334624" w:rsidRPr="00DD1B58">
        <w:rPr>
          <w:lang w:val="en-US"/>
        </w:rPr>
        <w:t xml:space="preserve">to </w:t>
      </w:r>
      <w:r w:rsidR="00A52FA6" w:rsidRPr="00DD1B58">
        <w:rPr>
          <w:lang w:val="en-US"/>
        </w:rPr>
        <w:t>promote the delivery of safe design solutions</w:t>
      </w:r>
      <w:r w:rsidR="009A7709" w:rsidRPr="00DD1B58">
        <w:rPr>
          <w:lang w:val="en-US"/>
        </w:rPr>
        <w:t xml:space="preserve">, and it </w:t>
      </w:r>
      <w:r w:rsidR="00334624" w:rsidRPr="00DD1B58">
        <w:rPr>
          <w:lang w:val="en-US"/>
        </w:rPr>
        <w:t>report</w:t>
      </w:r>
      <w:r w:rsidR="003B36E1" w:rsidRPr="00DD1B58">
        <w:rPr>
          <w:lang w:val="en-US"/>
        </w:rPr>
        <w:t>s</w:t>
      </w:r>
      <w:r w:rsidR="00334624" w:rsidRPr="00DD1B58">
        <w:rPr>
          <w:lang w:val="en-US"/>
        </w:rPr>
        <w:t xml:space="preserve"> that </w:t>
      </w:r>
      <w:r w:rsidR="003B36E1" w:rsidRPr="00DD1B58">
        <w:rPr>
          <w:lang w:val="en-US"/>
        </w:rPr>
        <w:t>these</w:t>
      </w:r>
      <w:r w:rsidR="00334624" w:rsidRPr="00DD1B58">
        <w:rPr>
          <w:lang w:val="en-US"/>
        </w:rPr>
        <w:t xml:space="preserve"> are</w:t>
      </w:r>
      <w:r w:rsidR="00A52FA6" w:rsidRPr="00DD1B58">
        <w:rPr>
          <w:lang w:val="en-US"/>
        </w:rPr>
        <w:t xml:space="preserve"> based on ONR</w:t>
      </w:r>
      <w:r w:rsidR="000C1638" w:rsidRPr="00DD1B58">
        <w:rPr>
          <w:lang w:val="en-US"/>
        </w:rPr>
        <w:t xml:space="preserve"> </w:t>
      </w:r>
      <w:r w:rsidR="00A52FA6" w:rsidRPr="00DD1B58">
        <w:rPr>
          <w:lang w:val="en-US"/>
        </w:rPr>
        <w:t>SAPs</w:t>
      </w:r>
      <w:r w:rsidR="00E778A5" w:rsidRPr="00DD1B58">
        <w:rPr>
          <w:lang w:val="en-US"/>
        </w:rPr>
        <w:t xml:space="preserve"> </w:t>
      </w:r>
      <w:sdt>
        <w:sdtPr>
          <w:rPr>
            <w:lang w:val="en-US"/>
          </w:rPr>
          <w:id w:val="720646102"/>
          <w:citation/>
        </w:sdtPr>
        <w:sdtContent>
          <w:r w:rsidR="00636863" w:rsidRPr="00DD1B58">
            <w:rPr>
              <w:lang w:val="en-US"/>
            </w:rPr>
            <w:fldChar w:fldCharType="begin"/>
          </w:r>
          <w:r w:rsidR="00636863" w:rsidRPr="00DD1B58">
            <w:rPr>
              <w:lang w:val="en-US"/>
            </w:rPr>
            <w:instrText xml:space="preserve"> CITATION Off20 \l 2057 </w:instrText>
          </w:r>
          <w:r w:rsidR="00636863" w:rsidRPr="00DD1B58">
            <w:rPr>
              <w:lang w:val="en-US"/>
            </w:rPr>
            <w:fldChar w:fldCharType="separate"/>
          </w:r>
          <w:r w:rsidR="00DF47DA" w:rsidRPr="00DF47DA">
            <w:rPr>
              <w:noProof/>
              <w:lang w:val="en-US"/>
            </w:rPr>
            <w:t>[15]</w:t>
          </w:r>
          <w:r w:rsidR="00636863" w:rsidRPr="00DD1B58">
            <w:rPr>
              <w:lang w:val="en-US"/>
            </w:rPr>
            <w:fldChar w:fldCharType="end"/>
          </w:r>
        </w:sdtContent>
      </w:sdt>
      <w:r w:rsidR="00A52FA6" w:rsidRPr="00DD1B58">
        <w:rPr>
          <w:lang w:val="en-US"/>
        </w:rPr>
        <w:t xml:space="preserve">. </w:t>
      </w:r>
      <w:r w:rsidR="00134292" w:rsidRPr="00DD1B58">
        <w:rPr>
          <w:lang w:val="en-US"/>
        </w:rPr>
        <w:t>Sellafield Ltd</w:t>
      </w:r>
      <w:r w:rsidR="00554B27" w:rsidRPr="00DD1B58">
        <w:rPr>
          <w:lang w:val="en-US"/>
        </w:rPr>
        <w:t>.</w:t>
      </w:r>
      <w:r w:rsidR="00334624" w:rsidRPr="00DD1B58">
        <w:rPr>
          <w:lang w:val="en-US"/>
        </w:rPr>
        <w:t xml:space="preserve"> </w:t>
      </w:r>
      <w:r w:rsidRPr="00DD1B58">
        <w:rPr>
          <w:lang w:val="en-US"/>
        </w:rPr>
        <w:t>also report</w:t>
      </w:r>
      <w:r w:rsidR="003B36E1" w:rsidRPr="00DD1B58">
        <w:rPr>
          <w:lang w:val="en-US"/>
        </w:rPr>
        <w:t>s</w:t>
      </w:r>
      <w:r w:rsidR="00334624" w:rsidRPr="00DD1B58">
        <w:rPr>
          <w:lang w:val="en-US"/>
        </w:rPr>
        <w:t xml:space="preserve"> that it </w:t>
      </w:r>
      <w:r w:rsidR="00A52FA6" w:rsidRPr="00DD1B58">
        <w:rPr>
          <w:lang w:val="en-US"/>
        </w:rPr>
        <w:t>appl</w:t>
      </w:r>
      <w:r w:rsidR="00334624" w:rsidRPr="00DD1B58">
        <w:rPr>
          <w:lang w:val="en-US"/>
        </w:rPr>
        <w:t>ies</w:t>
      </w:r>
      <w:r w:rsidR="00A52FA6" w:rsidRPr="00DD1B58">
        <w:rPr>
          <w:lang w:val="en-US"/>
        </w:rPr>
        <w:t xml:space="preserve"> mandatory Engineering Design Safety Principles (EDSP</w:t>
      </w:r>
      <w:r w:rsidR="000C1638" w:rsidRPr="00DD1B58">
        <w:rPr>
          <w:lang w:val="en-US"/>
        </w:rPr>
        <w:t>s</w:t>
      </w:r>
      <w:r w:rsidR="00A52FA6" w:rsidRPr="00DD1B58">
        <w:rPr>
          <w:lang w:val="en-US"/>
        </w:rPr>
        <w:t>) that include nuclear fire requirements.</w:t>
      </w:r>
    </w:p>
    <w:p w14:paraId="64986186" w14:textId="77777777" w:rsidR="00812489" w:rsidRPr="00DD1B58" w:rsidRDefault="00812489" w:rsidP="000E23A3">
      <w:pPr>
        <w:pStyle w:val="Heading4"/>
        <w:numPr>
          <w:ilvl w:val="4"/>
          <w:numId w:val="3"/>
        </w:numPr>
        <w:rPr>
          <w:lang w:val="en-US"/>
        </w:rPr>
      </w:pPr>
      <w:bookmarkStart w:id="58" w:name="_Ref135207688"/>
      <w:r w:rsidRPr="00DD1B58">
        <w:rPr>
          <w:lang w:val="en-US"/>
        </w:rPr>
        <w:t>Fire loading assessment</w:t>
      </w:r>
      <w:bookmarkEnd w:id="58"/>
    </w:p>
    <w:p w14:paraId="44E23A94" w14:textId="77777777" w:rsidR="00D677ED" w:rsidRPr="00DD1B58" w:rsidRDefault="00D677ED" w:rsidP="00C76E97">
      <w:pPr>
        <w:rPr>
          <w:b/>
          <w:lang w:val="en-US"/>
        </w:rPr>
      </w:pPr>
      <w:r w:rsidRPr="00DD1B58">
        <w:rPr>
          <w:b/>
          <w:lang w:val="en-US"/>
        </w:rPr>
        <w:t>Approach</w:t>
      </w:r>
    </w:p>
    <w:p w14:paraId="35EE24FF" w14:textId="34BFA809" w:rsidR="00C76E97" w:rsidRPr="00DD1B58" w:rsidRDefault="00134292" w:rsidP="00C76E97">
      <w:pPr>
        <w:rPr>
          <w:lang w:val="en-US"/>
        </w:rPr>
      </w:pPr>
      <w:r w:rsidRPr="00DD1B58">
        <w:rPr>
          <w:lang w:val="en-US"/>
        </w:rPr>
        <w:t>Sellafield Ltd</w:t>
      </w:r>
      <w:r w:rsidR="003641BC" w:rsidRPr="00DD1B58">
        <w:rPr>
          <w:lang w:val="en-US"/>
        </w:rPr>
        <w:t>.</w:t>
      </w:r>
      <w:r w:rsidR="0077190D" w:rsidRPr="00DD1B58">
        <w:rPr>
          <w:lang w:val="en-US"/>
        </w:rPr>
        <w:t xml:space="preserve"> assesses f</w:t>
      </w:r>
      <w:r w:rsidR="00C76E97" w:rsidRPr="00DD1B58">
        <w:rPr>
          <w:lang w:val="en-US"/>
        </w:rPr>
        <w:t>ire loads (fixed and transient) according to the building lifecycle stage</w:t>
      </w:r>
      <w:r w:rsidR="0077190D" w:rsidRPr="00DD1B58">
        <w:rPr>
          <w:lang w:val="en-US"/>
        </w:rPr>
        <w:t>,</w:t>
      </w:r>
      <w:r w:rsidR="00C76E97" w:rsidRPr="00DD1B58">
        <w:rPr>
          <w:lang w:val="en-US"/>
        </w:rPr>
        <w:t xml:space="preserve"> for example</w:t>
      </w:r>
      <w:r w:rsidR="0077190D" w:rsidRPr="00DD1B58">
        <w:rPr>
          <w:lang w:val="en-US"/>
        </w:rPr>
        <w:t>,</w:t>
      </w:r>
      <w:r w:rsidR="00A05125" w:rsidRPr="00DD1B58">
        <w:rPr>
          <w:lang w:val="en-US"/>
        </w:rPr>
        <w:t xml:space="preserve"> at</w:t>
      </w:r>
      <w:r w:rsidR="0077190D" w:rsidRPr="00DD1B58">
        <w:rPr>
          <w:lang w:val="en-US"/>
        </w:rPr>
        <w:t xml:space="preserve"> </w:t>
      </w:r>
      <w:r w:rsidR="00C76E97" w:rsidRPr="00DD1B58">
        <w:rPr>
          <w:lang w:val="en-US"/>
        </w:rPr>
        <w:t xml:space="preserve">design stage, operational stage, decommissioning stage or care and maintenance stage. Where there are threats to fire compartments, </w:t>
      </w:r>
      <w:r w:rsidR="00E8775D" w:rsidRPr="00DD1B58">
        <w:rPr>
          <w:lang w:val="en-US"/>
        </w:rPr>
        <w:t>SSCs</w:t>
      </w:r>
      <w:r w:rsidR="00C76E97" w:rsidRPr="00DD1B58">
        <w:rPr>
          <w:lang w:val="en-US"/>
        </w:rPr>
        <w:t xml:space="preserve"> for nuclear safety, or nuclear inventory, </w:t>
      </w:r>
      <w:r w:rsidR="004668E0" w:rsidRPr="00DD1B58">
        <w:rPr>
          <w:lang w:val="en-US"/>
        </w:rPr>
        <w:t xml:space="preserve">Sellafield Ltd. </w:t>
      </w:r>
      <w:r w:rsidR="00A05125" w:rsidRPr="00DD1B58">
        <w:rPr>
          <w:lang w:val="en-US"/>
        </w:rPr>
        <w:t xml:space="preserve">assesses </w:t>
      </w:r>
      <w:r w:rsidR="00C76E97" w:rsidRPr="00DD1B58">
        <w:rPr>
          <w:lang w:val="en-US"/>
        </w:rPr>
        <w:t xml:space="preserve">the fire loads qualitatively and/or quantitatively in the </w:t>
      </w:r>
      <w:r w:rsidR="00E8775D" w:rsidRPr="00DD1B58">
        <w:rPr>
          <w:lang w:val="en-US"/>
        </w:rPr>
        <w:t>conventional fire analysis</w:t>
      </w:r>
      <w:r w:rsidR="003B36E1" w:rsidRPr="00DD1B58">
        <w:rPr>
          <w:lang w:val="en-US"/>
        </w:rPr>
        <w:t xml:space="preserve"> and </w:t>
      </w:r>
      <w:r w:rsidR="00E8775D" w:rsidRPr="00DD1B58">
        <w:rPr>
          <w:lang w:val="en-US"/>
        </w:rPr>
        <w:t>fire safety strategy</w:t>
      </w:r>
      <w:r w:rsidR="00C76E97" w:rsidRPr="00DD1B58">
        <w:rPr>
          <w:lang w:val="en-US"/>
        </w:rPr>
        <w:t xml:space="preserve"> </w:t>
      </w:r>
      <w:r w:rsidR="00C77A50" w:rsidRPr="00DD1B58">
        <w:rPr>
          <w:lang w:val="en-US"/>
        </w:rPr>
        <w:t>(</w:t>
      </w:r>
      <w:r w:rsidR="00C76E97" w:rsidRPr="00DD1B58">
        <w:rPr>
          <w:lang w:val="en-US"/>
        </w:rPr>
        <w:t>for a new building design</w:t>
      </w:r>
      <w:r w:rsidR="00C77A50" w:rsidRPr="00DD1B58">
        <w:rPr>
          <w:lang w:val="en-US"/>
        </w:rPr>
        <w:t>)</w:t>
      </w:r>
      <w:r w:rsidR="00A05125" w:rsidRPr="00DD1B58">
        <w:rPr>
          <w:lang w:val="en-US"/>
        </w:rPr>
        <w:t>,</w:t>
      </w:r>
      <w:r w:rsidR="00C76E97" w:rsidRPr="00DD1B58">
        <w:rPr>
          <w:lang w:val="en-US"/>
        </w:rPr>
        <w:t xml:space="preserve"> and as part of the fire analyses </w:t>
      </w:r>
      <w:r w:rsidR="00C77A50" w:rsidRPr="00DD1B58">
        <w:rPr>
          <w:lang w:val="en-US"/>
        </w:rPr>
        <w:t>(</w:t>
      </w:r>
      <w:r w:rsidR="00C76E97" w:rsidRPr="00DD1B58">
        <w:rPr>
          <w:lang w:val="en-US"/>
        </w:rPr>
        <w:t xml:space="preserve">for the </w:t>
      </w:r>
      <w:r w:rsidR="00E8775D" w:rsidRPr="00DD1B58">
        <w:rPr>
          <w:lang w:val="en-US"/>
        </w:rPr>
        <w:t xml:space="preserve">safety case </w:t>
      </w:r>
      <w:r w:rsidR="00C77A50" w:rsidRPr="00DD1B58">
        <w:rPr>
          <w:lang w:val="en-US"/>
        </w:rPr>
        <w:t>of</w:t>
      </w:r>
      <w:r w:rsidR="00A05125" w:rsidRPr="00DD1B58">
        <w:rPr>
          <w:lang w:val="en-US"/>
        </w:rPr>
        <w:t xml:space="preserve"> all types of nuclear facilities</w:t>
      </w:r>
      <w:r w:rsidR="00C77A50" w:rsidRPr="00DD1B58">
        <w:rPr>
          <w:lang w:val="en-US"/>
        </w:rPr>
        <w:t xml:space="preserve">, </w:t>
      </w:r>
      <w:r w:rsidR="00A05125" w:rsidRPr="00DD1B58">
        <w:rPr>
          <w:lang w:val="en-US"/>
        </w:rPr>
        <w:t>as per</w:t>
      </w:r>
      <w:r w:rsidR="00A163F1" w:rsidRPr="00DD1B58">
        <w:rPr>
          <w:lang w:val="en-US"/>
        </w:rPr>
        <w:t xml:space="preserve"> the</w:t>
      </w:r>
      <w:r w:rsidR="00C76E97" w:rsidRPr="00DD1B58">
        <w:rPr>
          <w:lang w:val="en-US"/>
        </w:rPr>
        <w:t xml:space="preserve"> </w:t>
      </w:r>
      <w:r w:rsidR="00E8775D" w:rsidRPr="00DD1B58">
        <w:rPr>
          <w:lang w:val="en-US"/>
        </w:rPr>
        <w:t>safety case manual</w:t>
      </w:r>
      <w:r w:rsidR="00C76E97" w:rsidRPr="00DD1B58">
        <w:rPr>
          <w:lang w:val="en-US"/>
        </w:rPr>
        <w:t xml:space="preserve"> </w:t>
      </w:r>
      <w:r w:rsidR="00A05125" w:rsidRPr="00DD1B58">
        <w:rPr>
          <w:lang w:val="en-US"/>
        </w:rPr>
        <w:t>previously described)</w:t>
      </w:r>
      <w:r w:rsidR="00C76E97" w:rsidRPr="00DD1B58">
        <w:rPr>
          <w:lang w:val="en-US"/>
        </w:rPr>
        <w:t xml:space="preserve">. </w:t>
      </w:r>
    </w:p>
    <w:p w14:paraId="0C0E0D54" w14:textId="5621EC8E" w:rsidR="00C76E97" w:rsidRPr="00DD1B58" w:rsidRDefault="00134292" w:rsidP="00C76E97">
      <w:pPr>
        <w:rPr>
          <w:lang w:val="en-US"/>
        </w:rPr>
      </w:pPr>
      <w:r w:rsidRPr="00DD1B58">
        <w:rPr>
          <w:lang w:val="en-US"/>
        </w:rPr>
        <w:t>Sellafield Ltd</w:t>
      </w:r>
      <w:r w:rsidR="00746676" w:rsidRPr="00DD1B58">
        <w:rPr>
          <w:lang w:val="en-US"/>
        </w:rPr>
        <w:t>.</w:t>
      </w:r>
      <w:r w:rsidR="00A163F1" w:rsidRPr="00DD1B58">
        <w:rPr>
          <w:lang w:val="en-US"/>
        </w:rPr>
        <w:t xml:space="preserve"> report</w:t>
      </w:r>
      <w:r w:rsidR="003B36E1" w:rsidRPr="00DD1B58">
        <w:rPr>
          <w:lang w:val="en-US"/>
        </w:rPr>
        <w:t>s</w:t>
      </w:r>
      <w:r w:rsidR="00A163F1" w:rsidRPr="00DD1B58">
        <w:rPr>
          <w:lang w:val="en-US"/>
        </w:rPr>
        <w:t xml:space="preserve"> that f</w:t>
      </w:r>
      <w:r w:rsidR="00C76E97" w:rsidRPr="00DD1B58">
        <w:rPr>
          <w:lang w:val="en-US"/>
        </w:rPr>
        <w:t xml:space="preserve">ire load data is updated periodically in line with the </w:t>
      </w:r>
      <w:r w:rsidR="00E8775D" w:rsidRPr="00DD1B58">
        <w:rPr>
          <w:lang w:val="en-US"/>
        </w:rPr>
        <w:t>safety case</w:t>
      </w:r>
      <w:r w:rsidR="00C76E97" w:rsidRPr="00DD1B58">
        <w:rPr>
          <w:lang w:val="en-US"/>
        </w:rPr>
        <w:t xml:space="preserve"> periodic review programme required by the Nuclear Site Licence</w:t>
      </w:r>
      <w:r w:rsidR="007B1092" w:rsidRPr="00DD1B58">
        <w:rPr>
          <w:lang w:val="en-US"/>
        </w:rPr>
        <w:t>.</w:t>
      </w:r>
      <w:r w:rsidR="00C76E97" w:rsidRPr="00DD1B58">
        <w:rPr>
          <w:lang w:val="en-US"/>
        </w:rPr>
        <w:t xml:space="preserve"> </w:t>
      </w:r>
      <w:r w:rsidR="007B1092" w:rsidRPr="00DD1B58">
        <w:rPr>
          <w:lang w:val="en-US"/>
        </w:rPr>
        <w:t>W</w:t>
      </w:r>
      <w:r w:rsidR="00C76E97" w:rsidRPr="00DD1B58">
        <w:rPr>
          <w:lang w:val="en-US"/>
        </w:rPr>
        <w:t>hen there are plant modifications or changes</w:t>
      </w:r>
      <w:r w:rsidR="007B1092" w:rsidRPr="00DD1B58">
        <w:rPr>
          <w:lang w:val="en-US"/>
        </w:rPr>
        <w:t>,</w:t>
      </w:r>
      <w:r w:rsidR="00C76E97" w:rsidRPr="00DD1B58">
        <w:rPr>
          <w:lang w:val="en-US"/>
        </w:rPr>
        <w:t xml:space="preserve"> depending on the significance</w:t>
      </w:r>
      <w:r w:rsidR="007B1092" w:rsidRPr="00DD1B58">
        <w:rPr>
          <w:lang w:val="en-US"/>
        </w:rPr>
        <w:t>,</w:t>
      </w:r>
      <w:r w:rsidR="00C76E97" w:rsidRPr="00DD1B58">
        <w:rPr>
          <w:lang w:val="en-US"/>
        </w:rPr>
        <w:t xml:space="preserve"> this can be either quantitative or qualitative. Fire loads are also considered qualitatively as part of the fire risk assessment process for compliance with Regulatory Reform (Fire Safety) Order 2005 for life fire safety. </w:t>
      </w:r>
    </w:p>
    <w:p w14:paraId="1221F5F5" w14:textId="379E2A66" w:rsidR="00C76E97" w:rsidRPr="00DD1B58" w:rsidRDefault="00134292" w:rsidP="00C76E97">
      <w:pPr>
        <w:rPr>
          <w:lang w:val="en-US"/>
        </w:rPr>
      </w:pPr>
      <w:r w:rsidRPr="00DD1B58">
        <w:rPr>
          <w:lang w:val="en-US"/>
        </w:rPr>
        <w:t>Sellafield Ltd</w:t>
      </w:r>
      <w:r w:rsidR="00746676" w:rsidRPr="00DD1B58">
        <w:rPr>
          <w:lang w:val="en-US"/>
        </w:rPr>
        <w:t>.</w:t>
      </w:r>
      <w:r w:rsidR="00240D30" w:rsidRPr="00DD1B58">
        <w:rPr>
          <w:lang w:val="en-US"/>
        </w:rPr>
        <w:t xml:space="preserve"> has</w:t>
      </w:r>
      <w:r w:rsidR="00C76E97" w:rsidRPr="00DD1B58">
        <w:rPr>
          <w:lang w:val="en-US"/>
        </w:rPr>
        <w:t xml:space="preserve"> a </w:t>
      </w:r>
      <w:r w:rsidR="00746676" w:rsidRPr="00DD1B58">
        <w:rPr>
          <w:lang w:val="en-US"/>
        </w:rPr>
        <w:t>Nuclear</w:t>
      </w:r>
      <w:r w:rsidR="00C76E97" w:rsidRPr="00DD1B58">
        <w:rPr>
          <w:lang w:val="en-US"/>
        </w:rPr>
        <w:t xml:space="preserve"> Safety Case Process and Methods Manual and </w:t>
      </w:r>
      <w:r w:rsidR="0074075A" w:rsidRPr="00DD1B58">
        <w:rPr>
          <w:lang w:val="en-US"/>
        </w:rPr>
        <w:t xml:space="preserve">a </w:t>
      </w:r>
      <w:r w:rsidR="00C76E97" w:rsidRPr="00DD1B58">
        <w:rPr>
          <w:lang w:val="en-US"/>
        </w:rPr>
        <w:t xml:space="preserve">programme for </w:t>
      </w:r>
      <w:r w:rsidR="0074075A" w:rsidRPr="00DD1B58">
        <w:rPr>
          <w:lang w:val="en-US"/>
        </w:rPr>
        <w:t xml:space="preserve">the </w:t>
      </w:r>
      <w:r w:rsidR="00C76E97" w:rsidRPr="00DD1B58">
        <w:rPr>
          <w:lang w:val="en-US"/>
        </w:rPr>
        <w:t>production of new technical guides</w:t>
      </w:r>
      <w:r w:rsidR="00AA07BB" w:rsidRPr="00DD1B58">
        <w:rPr>
          <w:lang w:val="en-US"/>
        </w:rPr>
        <w:t xml:space="preserve">. </w:t>
      </w:r>
      <w:r w:rsidRPr="00DD1B58">
        <w:rPr>
          <w:lang w:val="en-US"/>
        </w:rPr>
        <w:t>Sellafield Ltd</w:t>
      </w:r>
      <w:r w:rsidR="00746676" w:rsidRPr="00DD1B58">
        <w:rPr>
          <w:lang w:val="en-US"/>
        </w:rPr>
        <w:t>.</w:t>
      </w:r>
      <w:r w:rsidR="00AA07BB" w:rsidRPr="00DD1B58">
        <w:rPr>
          <w:lang w:val="en-US"/>
        </w:rPr>
        <w:t xml:space="preserve"> report</w:t>
      </w:r>
      <w:r w:rsidR="007B1092" w:rsidRPr="00DD1B58">
        <w:rPr>
          <w:lang w:val="en-US"/>
        </w:rPr>
        <w:t>s</w:t>
      </w:r>
      <w:r w:rsidR="00AA07BB" w:rsidRPr="00DD1B58">
        <w:rPr>
          <w:lang w:val="en-US"/>
        </w:rPr>
        <w:t xml:space="preserve"> that a</w:t>
      </w:r>
      <w:r w:rsidR="00C76E97" w:rsidRPr="00DD1B58">
        <w:rPr>
          <w:lang w:val="en-US"/>
        </w:rPr>
        <w:t xml:space="preserve"> technical guide on the process of how to undertake a fire load assessment</w:t>
      </w:r>
      <w:r w:rsidR="0074075A" w:rsidRPr="00DD1B58">
        <w:rPr>
          <w:lang w:val="en-US"/>
        </w:rPr>
        <w:t xml:space="preserve"> is planned for </w:t>
      </w:r>
      <w:r w:rsidR="00DD7918" w:rsidRPr="00DD1B58">
        <w:rPr>
          <w:lang w:val="en-US"/>
        </w:rPr>
        <w:t xml:space="preserve">development </w:t>
      </w:r>
      <w:r w:rsidR="0074075A" w:rsidRPr="00DD1B58">
        <w:rPr>
          <w:lang w:val="en-US"/>
        </w:rPr>
        <w:t>in Financial Year 2023/2024. This is</w:t>
      </w:r>
      <w:r w:rsidR="00C76E97" w:rsidRPr="00DD1B58">
        <w:rPr>
          <w:lang w:val="en-US"/>
        </w:rPr>
        <w:t xml:space="preserve"> to include a suite of tools to enable relevant stakeholders to undertake fire load assessments to manage and control the risk</w:t>
      </w:r>
      <w:r w:rsidR="00161EB4" w:rsidRPr="00DD1B58">
        <w:rPr>
          <w:lang w:val="en-US"/>
        </w:rPr>
        <w:t>s site-wide.</w:t>
      </w:r>
    </w:p>
    <w:p w14:paraId="4ABA9002" w14:textId="50DE6B4B" w:rsidR="00C76E97" w:rsidRPr="00DD1B58" w:rsidRDefault="00134292" w:rsidP="00C76E97">
      <w:pPr>
        <w:rPr>
          <w:lang w:val="en-US"/>
        </w:rPr>
      </w:pPr>
      <w:r w:rsidRPr="00DD1B58">
        <w:rPr>
          <w:lang w:val="en-US"/>
        </w:rPr>
        <w:t>Sellafield Ltd</w:t>
      </w:r>
      <w:r w:rsidR="00746676" w:rsidRPr="00DD1B58">
        <w:rPr>
          <w:lang w:val="en-US"/>
        </w:rPr>
        <w:t>.</w:t>
      </w:r>
      <w:r w:rsidR="00161EB4" w:rsidRPr="00DD1B58">
        <w:rPr>
          <w:lang w:val="en-US"/>
        </w:rPr>
        <w:t xml:space="preserve"> report</w:t>
      </w:r>
      <w:r w:rsidR="007B1092" w:rsidRPr="00DD1B58">
        <w:rPr>
          <w:lang w:val="en-US"/>
        </w:rPr>
        <w:t>s</w:t>
      </w:r>
      <w:r w:rsidR="00161EB4" w:rsidRPr="00DD1B58">
        <w:rPr>
          <w:lang w:val="en-US"/>
        </w:rPr>
        <w:t xml:space="preserve"> that f</w:t>
      </w:r>
      <w:r w:rsidR="00C76E97" w:rsidRPr="00DD1B58">
        <w:rPr>
          <w:lang w:val="en-US"/>
        </w:rPr>
        <w:t xml:space="preserve">ire load assessments are generally carried out in accordance with the principles in BS EN 1991-1-2 Eurocode 1 </w:t>
      </w:r>
      <w:sdt>
        <w:sdtPr>
          <w:rPr>
            <w:lang w:val="en-US"/>
          </w:rPr>
          <w:id w:val="1600060915"/>
          <w:citation/>
        </w:sdtPr>
        <w:sdtContent>
          <w:r w:rsidR="000A665C" w:rsidRPr="00DD1B58">
            <w:rPr>
              <w:lang w:val="en-US"/>
            </w:rPr>
            <w:fldChar w:fldCharType="begin"/>
          </w:r>
          <w:r w:rsidR="00BC3D8B" w:rsidRPr="00DD1B58">
            <w:rPr>
              <w:lang w:val="en-US"/>
            </w:rPr>
            <w:instrText xml:space="preserve">CITATION BSI3 \l 2057 </w:instrText>
          </w:r>
          <w:r w:rsidR="000A665C" w:rsidRPr="00DD1B58">
            <w:rPr>
              <w:lang w:val="en-US"/>
            </w:rPr>
            <w:fldChar w:fldCharType="separate"/>
          </w:r>
          <w:r w:rsidR="00DF47DA" w:rsidRPr="00DF47DA">
            <w:rPr>
              <w:noProof/>
              <w:lang w:val="en-US"/>
            </w:rPr>
            <w:t>[81]</w:t>
          </w:r>
          <w:r w:rsidR="000A665C" w:rsidRPr="00DD1B58">
            <w:rPr>
              <w:lang w:val="en-US"/>
            </w:rPr>
            <w:fldChar w:fldCharType="end"/>
          </w:r>
        </w:sdtContent>
      </w:sdt>
      <w:r w:rsidR="000A665C" w:rsidRPr="00DD1B58">
        <w:rPr>
          <w:lang w:val="en-US"/>
        </w:rPr>
        <w:t xml:space="preserve"> </w:t>
      </w:r>
      <w:r w:rsidR="00C76E97" w:rsidRPr="00DD1B58">
        <w:rPr>
          <w:lang w:val="en-US"/>
        </w:rPr>
        <w:t xml:space="preserve">and PD 6688-1-2: 2007 </w:t>
      </w:r>
      <w:sdt>
        <w:sdtPr>
          <w:rPr>
            <w:lang w:val="en-US"/>
          </w:rPr>
          <w:id w:val="-1862744166"/>
          <w:citation/>
        </w:sdtPr>
        <w:sdtContent>
          <w:r w:rsidR="00BC3D8B" w:rsidRPr="00DD1B58">
            <w:rPr>
              <w:lang w:val="en-US"/>
            </w:rPr>
            <w:fldChar w:fldCharType="begin"/>
          </w:r>
          <w:r w:rsidR="00BC3D8B" w:rsidRPr="00DD1B58">
            <w:rPr>
              <w:lang w:val="en-US"/>
            </w:rPr>
            <w:instrText xml:space="preserve"> CITATION Bri07 \l 2057 </w:instrText>
          </w:r>
          <w:r w:rsidR="00BC3D8B" w:rsidRPr="00DD1B58">
            <w:rPr>
              <w:lang w:val="en-US"/>
            </w:rPr>
            <w:fldChar w:fldCharType="separate"/>
          </w:r>
          <w:r w:rsidR="00DF47DA" w:rsidRPr="00DF47DA">
            <w:rPr>
              <w:noProof/>
              <w:lang w:val="en-US"/>
            </w:rPr>
            <w:t>[105]</w:t>
          </w:r>
          <w:r w:rsidR="00BC3D8B" w:rsidRPr="00DD1B58">
            <w:rPr>
              <w:lang w:val="en-US"/>
            </w:rPr>
            <w:fldChar w:fldCharType="end"/>
          </w:r>
        </w:sdtContent>
      </w:sdt>
      <w:r w:rsidR="00C76E97" w:rsidRPr="00DD1B58">
        <w:rPr>
          <w:lang w:val="en-US"/>
        </w:rPr>
        <w:t>.</w:t>
      </w:r>
      <w:r w:rsidR="00F02E6C" w:rsidRPr="00DD1B58">
        <w:rPr>
          <w:lang w:val="en-US"/>
        </w:rPr>
        <w:t xml:space="preserve"> </w:t>
      </w:r>
      <w:r w:rsidR="004668E0" w:rsidRPr="00DD1B58">
        <w:rPr>
          <w:lang w:val="en-US"/>
        </w:rPr>
        <w:t>Sellafield Ltd.</w:t>
      </w:r>
      <w:r w:rsidR="00F02E6C" w:rsidRPr="00DD1B58">
        <w:rPr>
          <w:lang w:val="en-US"/>
        </w:rPr>
        <w:t xml:space="preserve"> uses </w:t>
      </w:r>
      <w:r w:rsidR="00C76E97" w:rsidRPr="00DD1B58">
        <w:rPr>
          <w:lang w:val="en-US"/>
        </w:rPr>
        <w:t xml:space="preserve">“Fire loads applicable to new builds on </w:t>
      </w:r>
      <w:r w:rsidR="00AA3ECC" w:rsidRPr="00DD1B58">
        <w:rPr>
          <w:lang w:val="en-US"/>
        </w:rPr>
        <w:t>Sellafield Site</w:t>
      </w:r>
      <w:r w:rsidR="00C76E97" w:rsidRPr="00DD1B58">
        <w:rPr>
          <w:lang w:val="en-US"/>
        </w:rPr>
        <w:t xml:space="preserve">” </w:t>
      </w:r>
      <w:sdt>
        <w:sdtPr>
          <w:rPr>
            <w:lang w:val="en-US"/>
          </w:rPr>
          <w:id w:val="-42912382"/>
          <w:citation/>
        </w:sdtPr>
        <w:sdtContent>
          <w:r w:rsidR="00BF1A23" w:rsidRPr="00DD1B58">
            <w:rPr>
              <w:lang w:val="en-US"/>
            </w:rPr>
            <w:fldChar w:fldCharType="begin"/>
          </w:r>
          <w:r w:rsidR="00BF1A23" w:rsidRPr="00DD1B58">
            <w:rPr>
              <w:lang w:val="en-US"/>
            </w:rPr>
            <w:instrText xml:space="preserve"> CITATION BNF89 \l 2057 </w:instrText>
          </w:r>
          <w:r w:rsidR="00BF1A23" w:rsidRPr="00DD1B58">
            <w:rPr>
              <w:lang w:val="en-US"/>
            </w:rPr>
            <w:fldChar w:fldCharType="separate"/>
          </w:r>
          <w:r w:rsidR="00DF47DA" w:rsidRPr="00DF47DA">
            <w:rPr>
              <w:noProof/>
              <w:lang w:val="en-US"/>
            </w:rPr>
            <w:t>[106]</w:t>
          </w:r>
          <w:r w:rsidR="00BF1A23" w:rsidRPr="00DD1B58">
            <w:rPr>
              <w:lang w:val="en-US"/>
            </w:rPr>
            <w:fldChar w:fldCharType="end"/>
          </w:r>
        </w:sdtContent>
      </w:sdt>
      <w:r w:rsidR="00F02E6C" w:rsidRPr="00DD1B58">
        <w:rPr>
          <w:lang w:val="en-US"/>
        </w:rPr>
        <w:t>,</w:t>
      </w:r>
      <w:r w:rsidR="00BF1A23" w:rsidRPr="00DD1B58">
        <w:rPr>
          <w:lang w:val="en-US"/>
        </w:rPr>
        <w:t xml:space="preserve"> </w:t>
      </w:r>
      <w:r w:rsidR="00C76E97" w:rsidRPr="00DD1B58">
        <w:rPr>
          <w:lang w:val="en-US"/>
        </w:rPr>
        <w:t>a report by BNFL Engineering</w:t>
      </w:r>
      <w:r w:rsidR="00F02E6C" w:rsidRPr="00DD1B58">
        <w:rPr>
          <w:lang w:val="en-US"/>
        </w:rPr>
        <w:t>,</w:t>
      </w:r>
      <w:r w:rsidR="00C76E97" w:rsidRPr="00DD1B58">
        <w:rPr>
          <w:lang w:val="en-US"/>
        </w:rPr>
        <w:t xml:space="preserve"> as a standard reference point based on published data and fire load studies carried out on Sellafield </w:t>
      </w:r>
      <w:r w:rsidR="00F02E6C" w:rsidRPr="00DD1B58">
        <w:rPr>
          <w:lang w:val="en-US"/>
        </w:rPr>
        <w:t xml:space="preserve">new build projects.  The </w:t>
      </w:r>
      <w:r w:rsidR="00C76E97" w:rsidRPr="00DD1B58">
        <w:rPr>
          <w:lang w:val="en-US"/>
        </w:rPr>
        <w:t>requirements are based on early post war fire studies which refer to the fire grading of buildings according to the hazard and fire loading of the premises</w:t>
      </w:r>
      <w:r w:rsidR="00E8775D" w:rsidRPr="00DD1B58">
        <w:rPr>
          <w:lang w:val="en-US"/>
        </w:rPr>
        <w:t>.</w:t>
      </w:r>
      <w:r w:rsidR="00AA377A" w:rsidRPr="00DD1B58">
        <w:rPr>
          <w:lang w:val="en-US"/>
        </w:rPr>
        <w:t xml:space="preserve"> </w:t>
      </w:r>
      <w:r w:rsidR="00C76E97" w:rsidRPr="00DD1B58">
        <w:rPr>
          <w:lang w:val="en-US"/>
        </w:rPr>
        <w:t>The report recommend</w:t>
      </w:r>
      <w:r w:rsidR="00AA377A" w:rsidRPr="00DD1B58">
        <w:rPr>
          <w:lang w:val="en-US"/>
        </w:rPr>
        <w:t>s</w:t>
      </w:r>
      <w:r w:rsidR="00C76E97" w:rsidRPr="00DD1B58">
        <w:rPr>
          <w:lang w:val="en-US"/>
        </w:rPr>
        <w:t xml:space="preserve"> that buildings should be graded into </w:t>
      </w:r>
      <w:r w:rsidR="00DF1A83" w:rsidRPr="00DD1B58">
        <w:rPr>
          <w:lang w:val="en-US"/>
        </w:rPr>
        <w:t>three</w:t>
      </w:r>
      <w:r w:rsidR="00C76E97" w:rsidRPr="00DD1B58">
        <w:rPr>
          <w:lang w:val="en-US"/>
        </w:rPr>
        <w:t xml:space="preserve"> categories of fire load:</w:t>
      </w:r>
    </w:p>
    <w:p w14:paraId="7233882C" w14:textId="3675FD50" w:rsidR="00C76E97" w:rsidRPr="00DD1B58" w:rsidRDefault="00C76E97" w:rsidP="008421C9">
      <w:pPr>
        <w:pStyle w:val="NumList1"/>
        <w:numPr>
          <w:ilvl w:val="0"/>
          <w:numId w:val="63"/>
        </w:numPr>
        <w:rPr>
          <w:lang w:val="en-US"/>
        </w:rPr>
      </w:pPr>
      <w:r w:rsidRPr="00DD1B58">
        <w:rPr>
          <w:b/>
          <w:lang w:val="en-US"/>
        </w:rPr>
        <w:t xml:space="preserve">Low fire </w:t>
      </w:r>
      <w:r w:rsidRPr="00DD1B58">
        <w:rPr>
          <w:b/>
          <w:bCs/>
          <w:lang w:val="en-US"/>
        </w:rPr>
        <w:t>load</w:t>
      </w:r>
      <w:r w:rsidR="00AB37AD" w:rsidRPr="00DD1B58">
        <w:rPr>
          <w:b/>
          <w:bCs/>
          <w:lang w:val="en-US"/>
        </w:rPr>
        <w:t>s</w:t>
      </w:r>
      <w:r w:rsidR="00AB37AD" w:rsidRPr="00DD1B58">
        <w:rPr>
          <w:lang w:val="en-US"/>
        </w:rPr>
        <w:t>,</w:t>
      </w:r>
      <w:r w:rsidRPr="00DD1B58">
        <w:rPr>
          <w:lang w:val="en-US"/>
        </w:rPr>
        <w:t xml:space="preserve"> where the combustible contents do not exceed on average 1100 MJ/m</w:t>
      </w:r>
      <w:r w:rsidRPr="00DD1B58">
        <w:rPr>
          <w:vertAlign w:val="superscript"/>
          <w:lang w:val="en-US"/>
        </w:rPr>
        <w:t>2</w:t>
      </w:r>
      <w:r w:rsidRPr="00DD1B58">
        <w:rPr>
          <w:lang w:val="en-US"/>
        </w:rPr>
        <w:t xml:space="preserve"> (equivalent to approximately 60 kg/m</w:t>
      </w:r>
      <w:r w:rsidRPr="00DD1B58">
        <w:rPr>
          <w:vertAlign w:val="superscript"/>
          <w:lang w:val="en-US"/>
        </w:rPr>
        <w:t>2</w:t>
      </w:r>
      <w:r w:rsidRPr="00DD1B58">
        <w:rPr>
          <w:lang w:val="en-US"/>
        </w:rPr>
        <w:t xml:space="preserve"> of wood) of net floor area. This equates to a fire resistance period of up to </w:t>
      </w:r>
      <w:r w:rsidR="00AB37AD" w:rsidRPr="00DD1B58">
        <w:rPr>
          <w:lang w:val="en-US"/>
        </w:rPr>
        <w:t>one</w:t>
      </w:r>
      <w:r w:rsidRPr="00DD1B58">
        <w:rPr>
          <w:lang w:val="en-US"/>
        </w:rPr>
        <w:t xml:space="preserve"> hour in the standard fire test in BS EN 1991-1-2</w:t>
      </w:r>
      <w:r w:rsidR="00BF1A23" w:rsidRPr="00DD1B58">
        <w:rPr>
          <w:lang w:val="en-US"/>
        </w:rPr>
        <w:t xml:space="preserve"> </w:t>
      </w:r>
      <w:sdt>
        <w:sdtPr>
          <w:rPr>
            <w:lang w:val="en-US"/>
          </w:rPr>
          <w:id w:val="584729000"/>
          <w:citation/>
        </w:sdtPr>
        <w:sdtContent>
          <w:r w:rsidR="00BF1A23" w:rsidRPr="00DD1B58">
            <w:rPr>
              <w:lang w:val="en-US"/>
            </w:rPr>
            <w:fldChar w:fldCharType="begin"/>
          </w:r>
          <w:r w:rsidR="00BF1A23" w:rsidRPr="00DD1B58">
            <w:rPr>
              <w:lang w:val="en-US"/>
            </w:rPr>
            <w:instrText xml:space="preserve"> CITATION BSI3 \l 2057 </w:instrText>
          </w:r>
          <w:r w:rsidR="00BF1A23" w:rsidRPr="00DD1B58">
            <w:rPr>
              <w:lang w:val="en-US"/>
            </w:rPr>
            <w:fldChar w:fldCharType="separate"/>
          </w:r>
          <w:r w:rsidR="00DF47DA" w:rsidRPr="00DF47DA">
            <w:rPr>
              <w:lang w:val="en-US"/>
            </w:rPr>
            <w:t>[81]</w:t>
          </w:r>
          <w:r w:rsidR="00BF1A23" w:rsidRPr="00DD1B58">
            <w:rPr>
              <w:lang w:val="en-US"/>
            </w:rPr>
            <w:fldChar w:fldCharType="end"/>
          </w:r>
        </w:sdtContent>
      </w:sdt>
      <w:r w:rsidR="00CA303A" w:rsidRPr="00DD1B58">
        <w:rPr>
          <w:lang w:val="en-US"/>
        </w:rPr>
        <w:t>;</w:t>
      </w:r>
    </w:p>
    <w:p w14:paraId="3DFBEBF5" w14:textId="241D93C0" w:rsidR="00C76E97" w:rsidRPr="00DD1B58" w:rsidRDefault="00C76E97" w:rsidP="00973FF4">
      <w:pPr>
        <w:pStyle w:val="NumList1"/>
        <w:rPr>
          <w:lang w:val="en-US"/>
        </w:rPr>
      </w:pPr>
      <w:r w:rsidRPr="00DD1B58">
        <w:rPr>
          <w:b/>
          <w:lang w:val="en-US"/>
        </w:rPr>
        <w:t>Moderate</w:t>
      </w:r>
      <w:r w:rsidRPr="00DD1B58">
        <w:rPr>
          <w:lang w:val="en-US"/>
        </w:rPr>
        <w:t xml:space="preserve"> </w:t>
      </w:r>
      <w:r w:rsidRPr="00DD1B58">
        <w:rPr>
          <w:b/>
          <w:lang w:val="en-US"/>
        </w:rPr>
        <w:t>fire loads</w:t>
      </w:r>
      <w:r w:rsidR="00AB37AD" w:rsidRPr="00DD1B58">
        <w:rPr>
          <w:lang w:val="en-US"/>
        </w:rPr>
        <w:t>,</w:t>
      </w:r>
      <w:r w:rsidRPr="00DD1B58">
        <w:rPr>
          <w:lang w:val="en-US"/>
        </w:rPr>
        <w:t xml:space="preserve"> where the combustible content lies between 1100 MJ/m</w:t>
      </w:r>
      <w:r w:rsidRPr="00DD1B58">
        <w:rPr>
          <w:vertAlign w:val="superscript"/>
          <w:lang w:val="en-US"/>
        </w:rPr>
        <w:t>2</w:t>
      </w:r>
      <w:r w:rsidRPr="00DD1B58">
        <w:rPr>
          <w:lang w:val="en-US"/>
        </w:rPr>
        <w:t xml:space="preserve"> and 2200 MJ/m</w:t>
      </w:r>
      <w:r w:rsidRPr="00DD1B58">
        <w:rPr>
          <w:vertAlign w:val="superscript"/>
          <w:lang w:val="en-US"/>
        </w:rPr>
        <w:t>2</w:t>
      </w:r>
      <w:r w:rsidRPr="00DD1B58">
        <w:rPr>
          <w:lang w:val="en-US"/>
        </w:rPr>
        <w:t xml:space="preserve"> (i.e. between </w:t>
      </w:r>
      <w:r w:rsidR="00AB37AD" w:rsidRPr="00DD1B58">
        <w:rPr>
          <w:lang w:val="en-US"/>
        </w:rPr>
        <w:t>one</w:t>
      </w:r>
      <w:r w:rsidRPr="00DD1B58">
        <w:rPr>
          <w:lang w:val="en-US"/>
        </w:rPr>
        <w:t xml:space="preserve"> and </w:t>
      </w:r>
      <w:r w:rsidR="00AB37AD" w:rsidRPr="00DD1B58">
        <w:rPr>
          <w:lang w:val="en-US"/>
        </w:rPr>
        <w:t>two</w:t>
      </w:r>
      <w:r w:rsidRPr="00DD1B58">
        <w:rPr>
          <w:lang w:val="en-US"/>
        </w:rPr>
        <w:t xml:space="preserve"> hours fire resistance)</w:t>
      </w:r>
      <w:r w:rsidR="00CA303A" w:rsidRPr="00DD1B58">
        <w:rPr>
          <w:lang w:val="en-US"/>
        </w:rPr>
        <w:t>; and</w:t>
      </w:r>
    </w:p>
    <w:p w14:paraId="0497E61B" w14:textId="7F829B3D" w:rsidR="00C76E97" w:rsidRPr="00DD1B58" w:rsidRDefault="00C76E97" w:rsidP="00973FF4">
      <w:pPr>
        <w:pStyle w:val="NumList1"/>
        <w:rPr>
          <w:lang w:val="en-US"/>
        </w:rPr>
      </w:pPr>
      <w:r w:rsidRPr="00DD1B58">
        <w:rPr>
          <w:b/>
          <w:lang w:val="en-US"/>
        </w:rPr>
        <w:t>High fire loads</w:t>
      </w:r>
      <w:r w:rsidR="00AB37AD" w:rsidRPr="00DD1B58">
        <w:rPr>
          <w:lang w:val="en-US"/>
        </w:rPr>
        <w:t>,</w:t>
      </w:r>
      <w:r w:rsidRPr="00DD1B58">
        <w:rPr>
          <w:lang w:val="en-US"/>
        </w:rPr>
        <w:t xml:space="preserve"> where the combustible content lies between 2200 MJ/m</w:t>
      </w:r>
      <w:r w:rsidRPr="00DD1B58">
        <w:rPr>
          <w:vertAlign w:val="superscript"/>
          <w:lang w:val="en-US"/>
        </w:rPr>
        <w:t>2</w:t>
      </w:r>
      <w:r w:rsidRPr="00DD1B58">
        <w:rPr>
          <w:lang w:val="en-US"/>
        </w:rPr>
        <w:t xml:space="preserve"> and 4400 MJ/m</w:t>
      </w:r>
      <w:r w:rsidRPr="00DD1B58">
        <w:rPr>
          <w:vertAlign w:val="superscript"/>
          <w:lang w:val="en-US"/>
        </w:rPr>
        <w:t>2</w:t>
      </w:r>
      <w:r w:rsidRPr="00DD1B58">
        <w:rPr>
          <w:lang w:val="en-US"/>
        </w:rPr>
        <w:t xml:space="preserve"> (i.e. between </w:t>
      </w:r>
      <w:r w:rsidR="00AB37AD" w:rsidRPr="00DD1B58">
        <w:rPr>
          <w:lang w:val="en-US"/>
        </w:rPr>
        <w:t>two</w:t>
      </w:r>
      <w:r w:rsidRPr="00DD1B58">
        <w:rPr>
          <w:lang w:val="en-US"/>
        </w:rPr>
        <w:t xml:space="preserve"> and </w:t>
      </w:r>
      <w:r w:rsidR="00AB37AD" w:rsidRPr="00DD1B58">
        <w:rPr>
          <w:lang w:val="en-US"/>
        </w:rPr>
        <w:t>four</w:t>
      </w:r>
      <w:r w:rsidRPr="00DD1B58">
        <w:rPr>
          <w:lang w:val="en-US"/>
        </w:rPr>
        <w:t xml:space="preserve"> hours fire resistance).</w:t>
      </w:r>
    </w:p>
    <w:p w14:paraId="47988FAE" w14:textId="272ABDA7" w:rsidR="0080519D" w:rsidRPr="00DD1B58" w:rsidRDefault="00134292" w:rsidP="00C76E97">
      <w:pPr>
        <w:rPr>
          <w:lang w:val="en-US"/>
        </w:rPr>
      </w:pPr>
      <w:r w:rsidRPr="00DD1B58">
        <w:rPr>
          <w:lang w:val="en-US"/>
        </w:rPr>
        <w:t>Sellafield Ltd</w:t>
      </w:r>
      <w:r w:rsidR="00315F9C" w:rsidRPr="00DD1B58">
        <w:rPr>
          <w:lang w:val="en-US"/>
        </w:rPr>
        <w:t>.</w:t>
      </w:r>
      <w:r w:rsidR="00AA377A" w:rsidRPr="00DD1B58">
        <w:rPr>
          <w:lang w:val="en-US"/>
        </w:rPr>
        <w:t xml:space="preserve"> derives the </w:t>
      </w:r>
      <w:r w:rsidR="00C76E97" w:rsidRPr="00DD1B58">
        <w:rPr>
          <w:lang w:val="en-US"/>
        </w:rPr>
        <w:t>total fire load in MJ/m</w:t>
      </w:r>
      <w:r w:rsidR="00C76E97" w:rsidRPr="00DD1B58">
        <w:rPr>
          <w:vertAlign w:val="superscript"/>
          <w:lang w:val="en-US"/>
        </w:rPr>
        <w:t>2</w:t>
      </w:r>
      <w:r w:rsidR="00C76E97" w:rsidRPr="00DD1B58">
        <w:rPr>
          <w:lang w:val="en-US"/>
        </w:rPr>
        <w:t xml:space="preserve"> for each room and area by dividing the total fire load by the area of the room. </w:t>
      </w:r>
      <w:r w:rsidRPr="00DD1B58">
        <w:rPr>
          <w:lang w:val="en-US"/>
        </w:rPr>
        <w:t>Sellafield Ltd</w:t>
      </w:r>
      <w:r w:rsidR="005C30CF" w:rsidRPr="00DD1B58">
        <w:rPr>
          <w:lang w:val="en-US"/>
        </w:rPr>
        <w:t>.</w:t>
      </w:r>
      <w:r w:rsidR="002169E7" w:rsidRPr="00DD1B58">
        <w:rPr>
          <w:lang w:val="en-US"/>
        </w:rPr>
        <w:t xml:space="preserve"> state</w:t>
      </w:r>
      <w:r w:rsidR="00AB37AD" w:rsidRPr="00DD1B58">
        <w:rPr>
          <w:lang w:val="en-US"/>
        </w:rPr>
        <w:t>s</w:t>
      </w:r>
      <w:r w:rsidR="002169E7" w:rsidRPr="00DD1B58">
        <w:rPr>
          <w:lang w:val="en-US"/>
        </w:rPr>
        <w:t xml:space="preserve"> that the</w:t>
      </w:r>
      <w:r w:rsidR="00AA377A" w:rsidRPr="00DD1B58">
        <w:rPr>
          <w:lang w:val="en-US"/>
        </w:rPr>
        <w:t xml:space="preserve"> </w:t>
      </w:r>
      <w:r w:rsidR="00C76E97" w:rsidRPr="00DD1B58">
        <w:rPr>
          <w:lang w:val="en-US"/>
        </w:rPr>
        <w:t>figures produce a linear relationship between fire loading and fire resistance requirements</w:t>
      </w:r>
      <w:r w:rsidR="002169E7" w:rsidRPr="00DD1B58">
        <w:rPr>
          <w:lang w:val="en-US"/>
        </w:rPr>
        <w:t>, and u</w:t>
      </w:r>
      <w:r w:rsidR="00C76E97" w:rsidRPr="00DD1B58">
        <w:rPr>
          <w:lang w:val="en-US"/>
        </w:rPr>
        <w:t xml:space="preserve">sing </w:t>
      </w:r>
      <w:r w:rsidR="00AA377A" w:rsidRPr="00DD1B58">
        <w:rPr>
          <w:lang w:val="en-US"/>
        </w:rPr>
        <w:t xml:space="preserve">the </w:t>
      </w:r>
      <w:r w:rsidR="00C76E97" w:rsidRPr="00DD1B58">
        <w:rPr>
          <w:lang w:val="en-US"/>
        </w:rPr>
        <w:t>Ingberg correlation</w:t>
      </w:r>
      <w:r w:rsidR="002169E7" w:rsidRPr="00DD1B58">
        <w:rPr>
          <w:lang w:val="en-US"/>
        </w:rPr>
        <w:t xml:space="preserve">, it </w:t>
      </w:r>
      <w:r w:rsidR="00C76E97" w:rsidRPr="00DD1B58">
        <w:rPr>
          <w:lang w:val="en-US"/>
        </w:rPr>
        <w:t xml:space="preserve">provides </w:t>
      </w:r>
      <w:r w:rsidR="002169E7" w:rsidRPr="00DD1B58">
        <w:rPr>
          <w:lang w:val="en-US"/>
        </w:rPr>
        <w:t xml:space="preserve">the </w:t>
      </w:r>
      <w:r w:rsidR="00C76E97" w:rsidRPr="00DD1B58">
        <w:rPr>
          <w:lang w:val="en-US"/>
        </w:rPr>
        <w:t xml:space="preserve">fire resistance equivalence. </w:t>
      </w:r>
      <w:r w:rsidR="002169E7" w:rsidRPr="00DD1B58">
        <w:rPr>
          <w:lang w:val="en-US"/>
        </w:rPr>
        <w:t>Sellafield</w:t>
      </w:r>
      <w:r w:rsidR="00315F9C" w:rsidRPr="00DD1B58">
        <w:rPr>
          <w:lang w:val="en-US"/>
        </w:rPr>
        <w:t xml:space="preserve"> Ltd.</w:t>
      </w:r>
      <w:r w:rsidR="002169E7" w:rsidRPr="00DD1B58">
        <w:rPr>
          <w:lang w:val="en-US"/>
        </w:rPr>
        <w:t xml:space="preserve"> uses the </w:t>
      </w:r>
      <w:r w:rsidR="00C76E97" w:rsidRPr="00DD1B58">
        <w:rPr>
          <w:lang w:val="en-US"/>
        </w:rPr>
        <w:t>figure to determine an equivalent fire duration in minutes for each area and room of a building and record</w:t>
      </w:r>
      <w:r w:rsidR="00ED61E2" w:rsidRPr="00DD1B58">
        <w:rPr>
          <w:lang w:val="en-US"/>
        </w:rPr>
        <w:t xml:space="preserve">s it </w:t>
      </w:r>
      <w:r w:rsidR="00C76E97" w:rsidRPr="00DD1B58">
        <w:rPr>
          <w:lang w:val="en-US"/>
        </w:rPr>
        <w:t>in a fire loading table</w:t>
      </w:r>
      <w:r w:rsidR="004A207B" w:rsidRPr="00DD1B58">
        <w:rPr>
          <w:lang w:val="en-US"/>
        </w:rPr>
        <w:t>,</w:t>
      </w:r>
      <w:r w:rsidR="00ED61E2" w:rsidRPr="00DD1B58">
        <w:rPr>
          <w:lang w:val="en-US"/>
        </w:rPr>
        <w:t xml:space="preserve"> which is</w:t>
      </w:r>
      <w:r w:rsidR="00C76E97" w:rsidRPr="00DD1B58">
        <w:rPr>
          <w:lang w:val="en-US"/>
        </w:rPr>
        <w:t xml:space="preserve"> referenced </w:t>
      </w:r>
      <w:r w:rsidR="00ED61E2" w:rsidRPr="00DD1B58">
        <w:rPr>
          <w:lang w:val="en-US"/>
        </w:rPr>
        <w:t xml:space="preserve">in </w:t>
      </w:r>
      <w:r w:rsidR="00C76E97" w:rsidRPr="00DD1B58">
        <w:rPr>
          <w:lang w:val="en-US"/>
        </w:rPr>
        <w:t xml:space="preserve">the </w:t>
      </w:r>
      <w:r w:rsidR="00130ABA" w:rsidRPr="00DD1B58">
        <w:rPr>
          <w:lang w:val="en-US"/>
        </w:rPr>
        <w:t>safety case.</w:t>
      </w:r>
    </w:p>
    <w:p w14:paraId="42CCF076" w14:textId="22591FAA" w:rsidR="00755B85" w:rsidRPr="00DD1B58" w:rsidRDefault="00755B85" w:rsidP="00C76E97">
      <w:pPr>
        <w:rPr>
          <w:b/>
          <w:lang w:val="en-US"/>
        </w:rPr>
      </w:pPr>
      <w:r w:rsidRPr="00DD1B58">
        <w:rPr>
          <w:b/>
          <w:lang w:val="en-US"/>
        </w:rPr>
        <w:t xml:space="preserve">Data </w:t>
      </w:r>
      <w:r w:rsidR="004A207B" w:rsidRPr="00DD1B58">
        <w:rPr>
          <w:b/>
          <w:lang w:val="en-US"/>
        </w:rPr>
        <w:t>s</w:t>
      </w:r>
      <w:r w:rsidRPr="00DD1B58">
        <w:rPr>
          <w:b/>
          <w:lang w:val="en-US"/>
        </w:rPr>
        <w:t>ources</w:t>
      </w:r>
    </w:p>
    <w:p w14:paraId="4B31A812" w14:textId="0D4564B0" w:rsidR="00304B5F" w:rsidRPr="00DD1B58" w:rsidRDefault="00134292" w:rsidP="00C76E97">
      <w:pPr>
        <w:rPr>
          <w:lang w:val="en-US"/>
        </w:rPr>
      </w:pPr>
      <w:r w:rsidRPr="00DD1B58">
        <w:rPr>
          <w:lang w:val="en-US"/>
        </w:rPr>
        <w:t>Sellafield Ltd</w:t>
      </w:r>
      <w:r w:rsidR="00315F9C" w:rsidRPr="00DD1B58">
        <w:rPr>
          <w:lang w:val="en-US"/>
        </w:rPr>
        <w:t>.</w:t>
      </w:r>
      <w:r w:rsidR="00ED61E2" w:rsidRPr="00DD1B58">
        <w:rPr>
          <w:lang w:val="en-US"/>
        </w:rPr>
        <w:t xml:space="preserve"> report</w:t>
      </w:r>
      <w:r w:rsidR="004A207B" w:rsidRPr="00DD1B58">
        <w:rPr>
          <w:lang w:val="en-US"/>
        </w:rPr>
        <w:t>s</w:t>
      </w:r>
      <w:r w:rsidR="00ED61E2" w:rsidRPr="00DD1B58">
        <w:rPr>
          <w:lang w:val="en-US"/>
        </w:rPr>
        <w:t xml:space="preserve"> that a </w:t>
      </w:r>
      <w:r w:rsidR="00BE3C7C" w:rsidRPr="00DD1B58">
        <w:rPr>
          <w:lang w:val="en-US"/>
        </w:rPr>
        <w:t>supply chain</w:t>
      </w:r>
      <w:r w:rsidR="00ED61E2" w:rsidRPr="00DD1B58">
        <w:rPr>
          <w:lang w:val="en-US"/>
        </w:rPr>
        <w:t xml:space="preserve"> </w:t>
      </w:r>
      <w:r w:rsidR="00130ABA" w:rsidRPr="00DD1B58">
        <w:rPr>
          <w:lang w:val="en-US"/>
        </w:rPr>
        <w:t>fire engineering</w:t>
      </w:r>
      <w:r w:rsidR="00916DEC" w:rsidRPr="00DD1B58">
        <w:rPr>
          <w:lang w:val="en-US"/>
        </w:rPr>
        <w:t xml:space="preserve"> company (RPS) </w:t>
      </w:r>
      <w:sdt>
        <w:sdtPr>
          <w:rPr>
            <w:lang w:val="en-US"/>
          </w:rPr>
          <w:id w:val="1835803027"/>
          <w:citation/>
        </w:sdtPr>
        <w:sdtContent>
          <w:r w:rsidR="00C719BC" w:rsidRPr="00DD1B58">
            <w:rPr>
              <w:lang w:val="en-US"/>
            </w:rPr>
            <w:fldChar w:fldCharType="begin"/>
          </w:r>
          <w:r w:rsidR="00C719BC" w:rsidRPr="00DD1B58">
            <w:rPr>
              <w:lang w:val="en-US"/>
            </w:rPr>
            <w:instrText xml:space="preserve"> CITATION RPS15 \l 2057 </w:instrText>
          </w:r>
          <w:r w:rsidR="00C719BC" w:rsidRPr="00DD1B58">
            <w:rPr>
              <w:lang w:val="en-US"/>
            </w:rPr>
            <w:fldChar w:fldCharType="separate"/>
          </w:r>
          <w:r w:rsidR="00DF47DA" w:rsidRPr="00DF47DA">
            <w:rPr>
              <w:noProof/>
              <w:lang w:val="en-US"/>
            </w:rPr>
            <w:t>[107]</w:t>
          </w:r>
          <w:r w:rsidR="00C719BC" w:rsidRPr="00DD1B58">
            <w:rPr>
              <w:lang w:val="en-US"/>
            </w:rPr>
            <w:fldChar w:fldCharType="end"/>
          </w:r>
        </w:sdtContent>
      </w:sdt>
      <w:r w:rsidR="00916DEC" w:rsidRPr="00DD1B58">
        <w:rPr>
          <w:lang w:val="en-US"/>
        </w:rPr>
        <w:t xml:space="preserve"> with </w:t>
      </w:r>
      <w:r w:rsidRPr="00DD1B58">
        <w:rPr>
          <w:lang w:val="en-US"/>
        </w:rPr>
        <w:t>Sellafield Ltd</w:t>
      </w:r>
      <w:r w:rsidR="00315F9C" w:rsidRPr="00DD1B58">
        <w:rPr>
          <w:lang w:val="en-US"/>
        </w:rPr>
        <w:t>.</w:t>
      </w:r>
      <w:r w:rsidR="00916DEC" w:rsidRPr="00DD1B58">
        <w:rPr>
          <w:lang w:val="en-US"/>
        </w:rPr>
        <w:t xml:space="preserve"> </w:t>
      </w:r>
      <w:r w:rsidR="00ED61E2" w:rsidRPr="00DD1B58">
        <w:rPr>
          <w:lang w:val="en-US"/>
        </w:rPr>
        <w:t>ha</w:t>
      </w:r>
      <w:r w:rsidR="004A207B" w:rsidRPr="00DD1B58">
        <w:rPr>
          <w:lang w:val="en-US"/>
        </w:rPr>
        <w:t>s</w:t>
      </w:r>
      <w:r w:rsidR="00ED61E2" w:rsidRPr="00DD1B58">
        <w:rPr>
          <w:lang w:val="en-US"/>
        </w:rPr>
        <w:t xml:space="preserve"> developed a fire loading calculation tool, and that the tool includes a </w:t>
      </w:r>
      <w:r w:rsidR="00916DEC" w:rsidRPr="00DD1B58">
        <w:rPr>
          <w:lang w:val="en-US"/>
        </w:rPr>
        <w:t xml:space="preserve">methodology and data sources for calculating </w:t>
      </w:r>
      <w:r w:rsidR="005F0ADA" w:rsidRPr="00DD1B58">
        <w:rPr>
          <w:lang w:val="en-US"/>
        </w:rPr>
        <w:t xml:space="preserve">fire loadings arising from </w:t>
      </w:r>
      <w:r w:rsidR="00916DEC" w:rsidRPr="00DD1B58">
        <w:rPr>
          <w:lang w:val="en-US"/>
        </w:rPr>
        <w:t xml:space="preserve">electrical cabinets, cable trays and </w:t>
      </w:r>
      <w:r w:rsidR="005F0ADA" w:rsidRPr="00DD1B58">
        <w:rPr>
          <w:lang w:val="en-US"/>
        </w:rPr>
        <w:t xml:space="preserve">other </w:t>
      </w:r>
      <w:r w:rsidR="00916DEC" w:rsidRPr="00DD1B58">
        <w:rPr>
          <w:lang w:val="en-US"/>
        </w:rPr>
        <w:t>common items</w:t>
      </w:r>
      <w:r w:rsidR="005F0ADA" w:rsidRPr="00DD1B58">
        <w:rPr>
          <w:lang w:val="en-US"/>
        </w:rPr>
        <w:t>.</w:t>
      </w:r>
    </w:p>
    <w:p w14:paraId="4C376042" w14:textId="70B11B29" w:rsidR="00E379A3" w:rsidRPr="00DD1B58" w:rsidRDefault="00134292" w:rsidP="004910A3">
      <w:pPr>
        <w:rPr>
          <w:lang w:val="en-US"/>
        </w:rPr>
      </w:pPr>
      <w:r w:rsidRPr="00DD1B58">
        <w:rPr>
          <w:lang w:val="en-US"/>
        </w:rPr>
        <w:t>Sellafield Ltd</w:t>
      </w:r>
      <w:r w:rsidR="00BE72D2" w:rsidRPr="00DD1B58">
        <w:rPr>
          <w:lang w:val="en-US"/>
        </w:rPr>
        <w:t>.</w:t>
      </w:r>
      <w:r w:rsidR="005F0ADA" w:rsidRPr="00DD1B58">
        <w:rPr>
          <w:lang w:val="en-US"/>
        </w:rPr>
        <w:t xml:space="preserve"> stat</w:t>
      </w:r>
      <w:r w:rsidR="004A207B" w:rsidRPr="00DD1B58">
        <w:rPr>
          <w:lang w:val="en-US"/>
        </w:rPr>
        <w:t>es</w:t>
      </w:r>
      <w:r w:rsidR="005F0ADA" w:rsidRPr="00DD1B58">
        <w:rPr>
          <w:lang w:val="en-US"/>
        </w:rPr>
        <w:t xml:space="preserve"> that s</w:t>
      </w:r>
      <w:r w:rsidR="004910A3" w:rsidRPr="00DD1B58">
        <w:rPr>
          <w:lang w:val="en-US"/>
        </w:rPr>
        <w:t xml:space="preserve">everal data sources </w:t>
      </w:r>
      <w:r w:rsidR="000F523C" w:rsidRPr="00DD1B58">
        <w:rPr>
          <w:lang w:val="en-US"/>
        </w:rPr>
        <w:t xml:space="preserve">are </w:t>
      </w:r>
      <w:r w:rsidR="004910A3" w:rsidRPr="00DD1B58">
        <w:rPr>
          <w:lang w:val="en-US"/>
        </w:rPr>
        <w:t>utilised to quantify fire loading</w:t>
      </w:r>
      <w:r w:rsidR="000F523C" w:rsidRPr="00DD1B58">
        <w:rPr>
          <w:lang w:val="en-US"/>
        </w:rPr>
        <w:t xml:space="preserve">, in addition to </w:t>
      </w:r>
      <w:r w:rsidR="004910A3" w:rsidRPr="00DD1B58">
        <w:rPr>
          <w:lang w:val="en-US"/>
        </w:rPr>
        <w:t xml:space="preserve">the RPS fire loading calculation tool. </w:t>
      </w:r>
      <w:r w:rsidR="004A207B" w:rsidRPr="00DD1B58">
        <w:rPr>
          <w:lang w:val="en-US"/>
        </w:rPr>
        <w:t>These include f</w:t>
      </w:r>
      <w:r w:rsidR="004910A3" w:rsidRPr="00DD1B58">
        <w:rPr>
          <w:lang w:val="en-US"/>
        </w:rPr>
        <w:t xml:space="preserve">ire </w:t>
      </w:r>
      <w:r w:rsidR="004A207B" w:rsidRPr="00DD1B58">
        <w:rPr>
          <w:lang w:val="en-US"/>
        </w:rPr>
        <w:t>d</w:t>
      </w:r>
      <w:r w:rsidR="004910A3" w:rsidRPr="00DD1B58">
        <w:rPr>
          <w:lang w:val="en-US"/>
        </w:rPr>
        <w:t>ata in terms of calorific values</w:t>
      </w:r>
      <w:r w:rsidR="004A207B" w:rsidRPr="00DD1B58">
        <w:rPr>
          <w:lang w:val="en-US"/>
        </w:rPr>
        <w:t xml:space="preserve"> and</w:t>
      </w:r>
      <w:r w:rsidR="004910A3" w:rsidRPr="00DD1B58">
        <w:rPr>
          <w:lang w:val="en-US"/>
        </w:rPr>
        <w:t xml:space="preserve"> heat release rates</w:t>
      </w:r>
      <w:r w:rsidR="004A207B" w:rsidRPr="00DD1B58">
        <w:rPr>
          <w:lang w:val="en-US"/>
        </w:rPr>
        <w:t>.</w:t>
      </w:r>
      <w:r w:rsidR="004910A3" w:rsidRPr="00DD1B58">
        <w:rPr>
          <w:lang w:val="en-US"/>
        </w:rPr>
        <w:t xml:space="preserve"> </w:t>
      </w:r>
      <w:r w:rsidR="004A207B" w:rsidRPr="00DD1B58">
        <w:rPr>
          <w:lang w:val="en-US"/>
        </w:rPr>
        <w:t>S</w:t>
      </w:r>
      <w:r w:rsidR="004910A3" w:rsidRPr="00DD1B58">
        <w:rPr>
          <w:lang w:val="en-US"/>
        </w:rPr>
        <w:t xml:space="preserve">ources </w:t>
      </w:r>
      <w:r w:rsidR="004A207B" w:rsidRPr="00DD1B58">
        <w:rPr>
          <w:lang w:val="en-US"/>
        </w:rPr>
        <w:t>of</w:t>
      </w:r>
      <w:r w:rsidR="004910A3" w:rsidRPr="00DD1B58">
        <w:rPr>
          <w:lang w:val="en-US"/>
        </w:rPr>
        <w:t xml:space="preserve"> fire science data for materials used in nuclear facilities also include publications such as </w:t>
      </w:r>
      <w:r w:rsidR="004A207B" w:rsidRPr="00DD1B58">
        <w:rPr>
          <w:lang w:val="en-US"/>
        </w:rPr>
        <w:t>A</w:t>
      </w:r>
      <w:r w:rsidR="004910A3" w:rsidRPr="00DD1B58">
        <w:rPr>
          <w:lang w:val="en-US"/>
        </w:rPr>
        <w:t xml:space="preserve">n Introduction to Fire Dynamics, </w:t>
      </w:r>
      <w:r w:rsidR="004A207B" w:rsidRPr="00DD1B58">
        <w:rPr>
          <w:lang w:val="en-US"/>
        </w:rPr>
        <w:t>T</w:t>
      </w:r>
      <w:r w:rsidR="004910A3" w:rsidRPr="00DD1B58">
        <w:rPr>
          <w:lang w:val="en-US"/>
        </w:rPr>
        <w:t>he Society of Fire Protection Engineers (SFPE) Handbook</w:t>
      </w:r>
      <w:r w:rsidR="00497C06" w:rsidRPr="00DD1B58">
        <w:rPr>
          <w:lang w:val="en-US"/>
        </w:rPr>
        <w:t xml:space="preserve"> </w:t>
      </w:r>
      <w:sdt>
        <w:sdtPr>
          <w:rPr>
            <w:lang w:val="en-US"/>
          </w:rPr>
          <w:id w:val="1429163917"/>
          <w:citation/>
        </w:sdtPr>
        <w:sdtContent>
          <w:r w:rsidR="00497C06" w:rsidRPr="00DD1B58">
            <w:rPr>
              <w:lang w:val="en-US"/>
            </w:rPr>
            <w:fldChar w:fldCharType="begin"/>
          </w:r>
          <w:r w:rsidR="00CE4450" w:rsidRPr="00DD1B58">
            <w:rPr>
              <w:lang w:val="en-US"/>
            </w:rPr>
            <w:instrText xml:space="preserve">CITATION SFP16 \l 2057 </w:instrText>
          </w:r>
          <w:r w:rsidR="00497C06" w:rsidRPr="00DD1B58">
            <w:rPr>
              <w:lang w:val="en-US"/>
            </w:rPr>
            <w:fldChar w:fldCharType="separate"/>
          </w:r>
          <w:r w:rsidR="00DF47DA" w:rsidRPr="00DF47DA">
            <w:rPr>
              <w:noProof/>
              <w:lang w:val="en-US"/>
            </w:rPr>
            <w:t>[28]</w:t>
          </w:r>
          <w:r w:rsidR="00497C06" w:rsidRPr="00DD1B58">
            <w:rPr>
              <w:lang w:val="en-US"/>
            </w:rPr>
            <w:fldChar w:fldCharType="end"/>
          </w:r>
        </w:sdtContent>
      </w:sdt>
      <w:r w:rsidR="004910A3" w:rsidRPr="00DD1B58">
        <w:rPr>
          <w:lang w:val="en-US"/>
        </w:rPr>
        <w:t xml:space="preserve">, </w:t>
      </w:r>
      <w:r w:rsidR="004A207B" w:rsidRPr="00DD1B58">
        <w:rPr>
          <w:lang w:val="en-US"/>
        </w:rPr>
        <w:t>T</w:t>
      </w:r>
      <w:r w:rsidR="004910A3" w:rsidRPr="00DD1B58">
        <w:rPr>
          <w:lang w:val="en-US"/>
        </w:rPr>
        <w:t>he Ignition Handbook</w:t>
      </w:r>
      <w:r w:rsidR="00497C06" w:rsidRPr="00DD1B58">
        <w:rPr>
          <w:lang w:val="en-US"/>
        </w:rPr>
        <w:t xml:space="preserve"> </w:t>
      </w:r>
      <w:sdt>
        <w:sdtPr>
          <w:rPr>
            <w:lang w:val="en-US"/>
          </w:rPr>
          <w:id w:val="519201996"/>
          <w:citation/>
        </w:sdtPr>
        <w:sdtContent>
          <w:r w:rsidR="00402FBE" w:rsidRPr="00DD1B58">
            <w:rPr>
              <w:lang w:val="en-US"/>
            </w:rPr>
            <w:fldChar w:fldCharType="begin"/>
          </w:r>
          <w:r w:rsidR="00402FBE" w:rsidRPr="00DD1B58">
            <w:rPr>
              <w:lang w:val="en-US"/>
            </w:rPr>
            <w:instrText xml:space="preserve"> CITATION Bab03 \l 2057 </w:instrText>
          </w:r>
          <w:r w:rsidR="00402FBE" w:rsidRPr="00DD1B58">
            <w:rPr>
              <w:lang w:val="en-US"/>
            </w:rPr>
            <w:fldChar w:fldCharType="separate"/>
          </w:r>
          <w:r w:rsidR="00DF47DA" w:rsidRPr="00DF47DA">
            <w:rPr>
              <w:noProof/>
              <w:lang w:val="en-US"/>
            </w:rPr>
            <w:t>[87]</w:t>
          </w:r>
          <w:r w:rsidR="00402FBE" w:rsidRPr="00DD1B58">
            <w:rPr>
              <w:lang w:val="en-US"/>
            </w:rPr>
            <w:fldChar w:fldCharType="end"/>
          </w:r>
        </w:sdtContent>
      </w:sdt>
      <w:r w:rsidR="004A207B" w:rsidRPr="00DD1B58">
        <w:rPr>
          <w:lang w:val="en-US"/>
        </w:rPr>
        <w:t xml:space="preserve"> and</w:t>
      </w:r>
      <w:r w:rsidR="004910A3" w:rsidRPr="00DD1B58">
        <w:rPr>
          <w:lang w:val="en-US"/>
        </w:rPr>
        <w:t xml:space="preserve"> National Fire Protection Association (NFPA) 557</w:t>
      </w:r>
      <w:r w:rsidR="00E55594" w:rsidRPr="00DD1B58">
        <w:rPr>
          <w:lang w:val="en-US"/>
        </w:rPr>
        <w:t xml:space="preserve"> </w:t>
      </w:r>
      <w:sdt>
        <w:sdtPr>
          <w:rPr>
            <w:lang w:val="en-US"/>
          </w:rPr>
          <w:id w:val="-1078827309"/>
          <w:citation/>
        </w:sdtPr>
        <w:sdtContent>
          <w:r w:rsidR="0098765F" w:rsidRPr="00DD1B58">
            <w:rPr>
              <w:lang w:val="en-US"/>
            </w:rPr>
            <w:fldChar w:fldCharType="begin"/>
          </w:r>
          <w:r w:rsidR="0098765F" w:rsidRPr="00DD1B58">
            <w:rPr>
              <w:lang w:val="en-US"/>
            </w:rPr>
            <w:instrText xml:space="preserve"> CITATION NFP23 \l 2057 </w:instrText>
          </w:r>
          <w:r w:rsidR="0098765F" w:rsidRPr="00DD1B58">
            <w:rPr>
              <w:lang w:val="en-US"/>
            </w:rPr>
            <w:fldChar w:fldCharType="separate"/>
          </w:r>
          <w:r w:rsidR="00DF47DA" w:rsidRPr="00DF47DA">
            <w:rPr>
              <w:noProof/>
              <w:lang w:val="en-US"/>
            </w:rPr>
            <w:t>[83]</w:t>
          </w:r>
          <w:r w:rsidR="0098765F" w:rsidRPr="00DD1B58">
            <w:rPr>
              <w:lang w:val="en-US"/>
            </w:rPr>
            <w:fldChar w:fldCharType="end"/>
          </w:r>
        </w:sdtContent>
      </w:sdt>
      <w:r w:rsidR="004910A3" w:rsidRPr="00DD1B58">
        <w:rPr>
          <w:lang w:val="en-US"/>
        </w:rPr>
        <w:t>.</w:t>
      </w:r>
    </w:p>
    <w:p w14:paraId="0374B220" w14:textId="77777777" w:rsidR="000A62B7" w:rsidRPr="00DD1B58" w:rsidRDefault="000A62B7" w:rsidP="000A62B7">
      <w:pPr>
        <w:rPr>
          <w:i/>
          <w:iCs/>
          <w:lang w:val="en-US"/>
        </w:rPr>
      </w:pPr>
      <w:r w:rsidRPr="00DD1B58">
        <w:rPr>
          <w:i/>
          <w:iCs/>
          <w:lang w:val="en-US"/>
        </w:rPr>
        <w:t>Electrical Cabinet and Cable Tray</w:t>
      </w:r>
      <w:r w:rsidR="000F475E" w:rsidRPr="00DD1B58">
        <w:rPr>
          <w:i/>
          <w:iCs/>
          <w:lang w:val="en-US"/>
        </w:rPr>
        <w:t xml:space="preserve"> Example</w:t>
      </w:r>
    </w:p>
    <w:p w14:paraId="2EE2298D" w14:textId="77777777" w:rsidR="000A62B7" w:rsidRPr="00DD1B58" w:rsidRDefault="000A62B7" w:rsidP="000A62B7">
      <w:pPr>
        <w:rPr>
          <w:i/>
          <w:iCs/>
          <w:lang w:val="en-US"/>
        </w:rPr>
      </w:pPr>
      <w:r w:rsidRPr="00DD1B58">
        <w:rPr>
          <w:i/>
          <w:iCs/>
          <w:lang w:val="en-US"/>
        </w:rPr>
        <w:t>Methodology (Electrical Cabinet)</w:t>
      </w:r>
    </w:p>
    <w:p w14:paraId="5FCB7FA1" w14:textId="5F747814" w:rsidR="000A62B7" w:rsidRPr="00DD1B58" w:rsidRDefault="00134292" w:rsidP="000A62B7">
      <w:pPr>
        <w:rPr>
          <w:lang w:val="en-US"/>
        </w:rPr>
      </w:pPr>
      <w:r w:rsidRPr="00DD1B58">
        <w:rPr>
          <w:lang w:val="en-US"/>
        </w:rPr>
        <w:t>Sellafield Ltd</w:t>
      </w:r>
      <w:r w:rsidR="00BE72D2" w:rsidRPr="00DD1B58">
        <w:rPr>
          <w:lang w:val="en-US"/>
        </w:rPr>
        <w:t>.</w:t>
      </w:r>
      <w:r w:rsidR="003E0EED" w:rsidRPr="00DD1B58">
        <w:rPr>
          <w:lang w:val="en-US"/>
        </w:rPr>
        <w:t xml:space="preserve"> takes the </w:t>
      </w:r>
      <w:r w:rsidR="000A62B7" w:rsidRPr="00DD1B58">
        <w:rPr>
          <w:lang w:val="en-US"/>
        </w:rPr>
        <w:t xml:space="preserve">information for calculating the fire load density of an electrical cabinet from ‘Full scale fire experiments on electrical cabinets II’ </w:t>
      </w:r>
      <w:sdt>
        <w:sdtPr>
          <w:rPr>
            <w:lang w:val="en-US"/>
          </w:rPr>
          <w:id w:val="-965113669"/>
          <w:citation/>
        </w:sdtPr>
        <w:sdtContent>
          <w:r w:rsidR="00F46914" w:rsidRPr="00DD1B58">
            <w:rPr>
              <w:lang w:val="en-US"/>
            </w:rPr>
            <w:fldChar w:fldCharType="begin"/>
          </w:r>
          <w:r w:rsidR="00086DD1" w:rsidRPr="00DD1B58">
            <w:rPr>
              <w:lang w:val="en-US"/>
            </w:rPr>
            <w:instrText xml:space="preserve">CITATION JMa96 \l 2057 </w:instrText>
          </w:r>
          <w:r w:rsidR="00F46914" w:rsidRPr="00DD1B58">
            <w:rPr>
              <w:lang w:val="en-US"/>
            </w:rPr>
            <w:fldChar w:fldCharType="separate"/>
          </w:r>
          <w:r w:rsidR="00DF47DA" w:rsidRPr="00DF47DA">
            <w:rPr>
              <w:noProof/>
              <w:lang w:val="en-US"/>
            </w:rPr>
            <w:t>[108]</w:t>
          </w:r>
          <w:r w:rsidR="00F46914" w:rsidRPr="00DD1B58">
            <w:rPr>
              <w:lang w:val="en-US"/>
            </w:rPr>
            <w:fldChar w:fldCharType="end"/>
          </w:r>
        </w:sdtContent>
      </w:sdt>
      <w:r w:rsidR="000A62B7" w:rsidRPr="00DD1B58">
        <w:rPr>
          <w:lang w:val="en-US"/>
        </w:rPr>
        <w:t xml:space="preserve">. </w:t>
      </w:r>
      <w:r w:rsidR="001F2880" w:rsidRPr="00DD1B58">
        <w:rPr>
          <w:lang w:val="en-US"/>
        </w:rPr>
        <w:t>This reference reports</w:t>
      </w:r>
      <w:r w:rsidR="000A62B7" w:rsidRPr="00DD1B58">
        <w:rPr>
          <w:lang w:val="en-US"/>
        </w:rPr>
        <w:t xml:space="preserve"> tests conducted on electrical cabinets</w:t>
      </w:r>
      <w:r w:rsidR="001F2880" w:rsidRPr="00DD1B58">
        <w:rPr>
          <w:lang w:val="en-US"/>
        </w:rPr>
        <w:t xml:space="preserve">, </w:t>
      </w:r>
      <w:r w:rsidR="007003D0" w:rsidRPr="00DD1B58">
        <w:rPr>
          <w:lang w:val="en-US"/>
        </w:rPr>
        <w:t>with</w:t>
      </w:r>
      <w:r w:rsidR="000A62B7" w:rsidRPr="00DD1B58">
        <w:rPr>
          <w:lang w:val="en-US"/>
        </w:rPr>
        <w:t xml:space="preserve"> two of </w:t>
      </w:r>
      <w:r w:rsidR="001F2880" w:rsidRPr="00DD1B58">
        <w:rPr>
          <w:lang w:val="en-US"/>
        </w:rPr>
        <w:t xml:space="preserve">the </w:t>
      </w:r>
      <w:r w:rsidR="000A62B7" w:rsidRPr="00DD1B58">
        <w:rPr>
          <w:lang w:val="en-US"/>
        </w:rPr>
        <w:t xml:space="preserve">tests </w:t>
      </w:r>
      <w:r w:rsidR="00BC4BBB" w:rsidRPr="00DD1B58">
        <w:rPr>
          <w:lang w:val="en-US"/>
        </w:rPr>
        <w:t>leading to a complete burn</w:t>
      </w:r>
      <w:r w:rsidR="000A62B7" w:rsidRPr="00DD1B58">
        <w:rPr>
          <w:lang w:val="en-US"/>
        </w:rPr>
        <w:t xml:space="preserve">. </w:t>
      </w:r>
      <w:r w:rsidR="00622CB4" w:rsidRPr="00DD1B58">
        <w:rPr>
          <w:lang w:val="en-US"/>
        </w:rPr>
        <w:t xml:space="preserve">Sellafield </w:t>
      </w:r>
      <w:r w:rsidR="004A207B" w:rsidRPr="00DD1B58">
        <w:rPr>
          <w:lang w:val="en-US"/>
        </w:rPr>
        <w:t>Ltd</w:t>
      </w:r>
      <w:r w:rsidR="00BE72D2" w:rsidRPr="00DD1B58">
        <w:rPr>
          <w:lang w:val="en-US"/>
        </w:rPr>
        <w:t>.</w:t>
      </w:r>
      <w:r w:rsidR="00622CB4" w:rsidRPr="00DD1B58">
        <w:rPr>
          <w:lang w:val="en-US"/>
        </w:rPr>
        <w:t xml:space="preserve"> report</w:t>
      </w:r>
      <w:r w:rsidR="004A207B" w:rsidRPr="00DD1B58">
        <w:rPr>
          <w:lang w:val="en-US"/>
        </w:rPr>
        <w:t>s</w:t>
      </w:r>
      <w:r w:rsidR="00622CB4" w:rsidRPr="00DD1B58">
        <w:rPr>
          <w:lang w:val="en-US"/>
        </w:rPr>
        <w:t xml:space="preserve"> that it takes the results from </w:t>
      </w:r>
      <w:r w:rsidR="000A62B7" w:rsidRPr="00DD1B58">
        <w:rPr>
          <w:lang w:val="en-US"/>
        </w:rPr>
        <w:t xml:space="preserve">experiment </w:t>
      </w:r>
      <w:r w:rsidR="004A207B" w:rsidRPr="00DD1B58">
        <w:rPr>
          <w:lang w:val="en-US"/>
        </w:rPr>
        <w:t>one</w:t>
      </w:r>
      <w:r w:rsidR="000A62B7" w:rsidRPr="00DD1B58">
        <w:rPr>
          <w:lang w:val="en-US"/>
        </w:rPr>
        <w:t>, as this provide</w:t>
      </w:r>
      <w:r w:rsidR="004A207B" w:rsidRPr="00DD1B58">
        <w:rPr>
          <w:lang w:val="en-US"/>
        </w:rPr>
        <w:t>s</w:t>
      </w:r>
      <w:r w:rsidR="000A62B7" w:rsidRPr="00DD1B58">
        <w:rPr>
          <w:lang w:val="en-US"/>
        </w:rPr>
        <w:t xml:space="preserve"> a higher fire load density value, </w:t>
      </w:r>
      <w:r w:rsidR="001F2880" w:rsidRPr="00DD1B58">
        <w:rPr>
          <w:lang w:val="en-US"/>
        </w:rPr>
        <w:t xml:space="preserve">allowing </w:t>
      </w:r>
      <w:r w:rsidR="000A62B7" w:rsidRPr="00DD1B58">
        <w:rPr>
          <w:lang w:val="en-US"/>
        </w:rPr>
        <w:t>a ‘worst case’ approach.</w:t>
      </w:r>
      <w:r w:rsidR="00BC4BBB" w:rsidRPr="00DD1B58">
        <w:rPr>
          <w:lang w:val="en-US"/>
        </w:rPr>
        <w:t xml:space="preserve"> </w:t>
      </w:r>
      <w:r w:rsidR="000A62B7" w:rsidRPr="00DD1B58">
        <w:rPr>
          <w:lang w:val="en-US"/>
        </w:rPr>
        <w:t>To calculate the fire load density, two values are required</w:t>
      </w:r>
      <w:r w:rsidR="004A207B" w:rsidRPr="00DD1B58">
        <w:rPr>
          <w:lang w:val="en-US"/>
        </w:rPr>
        <w:t>:</w:t>
      </w:r>
      <w:r w:rsidR="000A62B7" w:rsidRPr="00DD1B58">
        <w:rPr>
          <w:lang w:val="en-US"/>
        </w:rPr>
        <w:t xml:space="preserve"> the volume of the cabinet and the total energy </w:t>
      </w:r>
      <w:r w:rsidR="00BC4BBB" w:rsidRPr="00DD1B58">
        <w:rPr>
          <w:lang w:val="en-US"/>
        </w:rPr>
        <w:t xml:space="preserve">released in </w:t>
      </w:r>
      <w:r w:rsidR="000A62B7" w:rsidRPr="00DD1B58">
        <w:rPr>
          <w:lang w:val="en-US"/>
        </w:rPr>
        <w:t>combustion.</w:t>
      </w:r>
    </w:p>
    <w:p w14:paraId="1CEC3A54" w14:textId="550DB6F9" w:rsidR="00C1311E" w:rsidRPr="00DD1B58" w:rsidRDefault="00BC4BBB" w:rsidP="00C1311E">
      <w:pPr>
        <w:rPr>
          <w:lang w:val="en-US"/>
        </w:rPr>
      </w:pPr>
      <w:r w:rsidRPr="00DD1B58">
        <w:rPr>
          <w:lang w:val="en-US"/>
        </w:rPr>
        <w:t xml:space="preserve">Sellafield </w:t>
      </w:r>
      <w:r w:rsidR="004A207B" w:rsidRPr="00DD1B58">
        <w:rPr>
          <w:lang w:val="en-US"/>
        </w:rPr>
        <w:t>Ltd</w:t>
      </w:r>
      <w:r w:rsidR="00BE72D2" w:rsidRPr="00DD1B58">
        <w:rPr>
          <w:lang w:val="en-US"/>
        </w:rPr>
        <w:t>.</w:t>
      </w:r>
      <w:r w:rsidR="004A207B" w:rsidRPr="00DD1B58">
        <w:rPr>
          <w:lang w:val="en-US"/>
        </w:rPr>
        <w:t xml:space="preserve"> </w:t>
      </w:r>
      <w:r w:rsidRPr="00DD1B58">
        <w:rPr>
          <w:lang w:val="en-US"/>
        </w:rPr>
        <w:t>state</w:t>
      </w:r>
      <w:r w:rsidR="004A207B" w:rsidRPr="00DD1B58">
        <w:rPr>
          <w:lang w:val="en-US"/>
        </w:rPr>
        <w:t>s</w:t>
      </w:r>
      <w:r w:rsidRPr="00DD1B58">
        <w:rPr>
          <w:lang w:val="en-US"/>
        </w:rPr>
        <w:t xml:space="preserve"> that, i</w:t>
      </w:r>
      <w:r w:rsidR="00C1311E" w:rsidRPr="00DD1B58">
        <w:rPr>
          <w:lang w:val="en-US"/>
        </w:rPr>
        <w:t>n many cases</w:t>
      </w:r>
      <w:r w:rsidRPr="00DD1B58">
        <w:rPr>
          <w:lang w:val="en-US"/>
        </w:rPr>
        <w:t xml:space="preserve">, </w:t>
      </w:r>
      <w:r w:rsidR="00C1311E" w:rsidRPr="00DD1B58">
        <w:rPr>
          <w:lang w:val="en-US"/>
        </w:rPr>
        <w:t xml:space="preserve">the figures used for electrical cabinets </w:t>
      </w:r>
      <w:r w:rsidR="004A207B" w:rsidRPr="00DD1B58">
        <w:rPr>
          <w:lang w:val="en-US"/>
        </w:rPr>
        <w:t xml:space="preserve">are </w:t>
      </w:r>
      <w:r w:rsidR="00C1311E" w:rsidRPr="00DD1B58">
        <w:rPr>
          <w:lang w:val="en-US"/>
        </w:rPr>
        <w:t xml:space="preserve">conservative as many cubicles will contain less combustible fire loading than the figures used </w:t>
      </w:r>
      <w:r w:rsidR="00687DA0" w:rsidRPr="00DD1B58">
        <w:rPr>
          <w:lang w:val="en-US"/>
        </w:rPr>
        <w:t xml:space="preserve">in </w:t>
      </w:r>
      <w:r w:rsidR="00C1311E" w:rsidRPr="00DD1B58">
        <w:rPr>
          <w:lang w:val="en-US"/>
        </w:rPr>
        <w:t xml:space="preserve">the VTT Technical Research Centre of Finland </w:t>
      </w:r>
      <w:r w:rsidR="003D7E70" w:rsidRPr="00DD1B58">
        <w:rPr>
          <w:lang w:val="en-US"/>
        </w:rPr>
        <w:t>Ltd</w:t>
      </w:r>
      <w:r w:rsidR="00C1311E" w:rsidRPr="00DD1B58">
        <w:rPr>
          <w:lang w:val="en-US"/>
        </w:rPr>
        <w:t xml:space="preserve"> fire tests</w:t>
      </w:r>
      <w:r w:rsidR="00687DA0" w:rsidRPr="00DD1B58">
        <w:rPr>
          <w:lang w:val="en-US"/>
        </w:rPr>
        <w:t xml:space="preserve"> </w:t>
      </w:r>
      <w:sdt>
        <w:sdtPr>
          <w:rPr>
            <w:lang w:val="en-US"/>
          </w:rPr>
          <w:id w:val="1456980166"/>
          <w:citation/>
        </w:sdtPr>
        <w:sdtContent>
          <w:r w:rsidR="00687DA0" w:rsidRPr="00DD1B58">
            <w:rPr>
              <w:lang w:val="en-US"/>
            </w:rPr>
            <w:fldChar w:fldCharType="begin"/>
          </w:r>
          <w:r w:rsidR="00687DA0" w:rsidRPr="00DD1B58">
            <w:rPr>
              <w:lang w:val="en-US"/>
            </w:rPr>
            <w:instrText xml:space="preserve">CITATION JMa96 \l 2057 </w:instrText>
          </w:r>
          <w:r w:rsidR="00687DA0" w:rsidRPr="00DD1B58">
            <w:rPr>
              <w:lang w:val="en-US"/>
            </w:rPr>
            <w:fldChar w:fldCharType="separate"/>
          </w:r>
          <w:r w:rsidR="00DF47DA" w:rsidRPr="00DF47DA">
            <w:rPr>
              <w:noProof/>
              <w:lang w:val="en-US"/>
            </w:rPr>
            <w:t>[108]</w:t>
          </w:r>
          <w:r w:rsidR="00687DA0" w:rsidRPr="00DD1B58">
            <w:rPr>
              <w:lang w:val="en-US"/>
            </w:rPr>
            <w:fldChar w:fldCharType="end"/>
          </w:r>
        </w:sdtContent>
      </w:sdt>
      <w:r w:rsidR="00687DA0" w:rsidRPr="00DD1B58">
        <w:rPr>
          <w:lang w:val="en-US"/>
        </w:rPr>
        <w:t xml:space="preserve"> </w:t>
      </w:r>
      <w:r w:rsidR="00C1311E" w:rsidRPr="00DD1B58">
        <w:rPr>
          <w:lang w:val="en-US"/>
        </w:rPr>
        <w:t>for electrical panels.</w:t>
      </w:r>
    </w:p>
    <w:p w14:paraId="2D865F24" w14:textId="77777777" w:rsidR="000A62B7" w:rsidRPr="00DD1B58" w:rsidRDefault="000A62B7" w:rsidP="000A62B7">
      <w:pPr>
        <w:rPr>
          <w:i/>
          <w:iCs/>
          <w:lang w:val="en-US"/>
        </w:rPr>
      </w:pPr>
      <w:r w:rsidRPr="00DD1B58">
        <w:rPr>
          <w:i/>
          <w:iCs/>
          <w:lang w:val="en-US"/>
        </w:rPr>
        <w:t>Methodology (Cable Tray)</w:t>
      </w:r>
    </w:p>
    <w:p w14:paraId="16FCAB84" w14:textId="3F589920" w:rsidR="000A62B7" w:rsidRPr="00DD1B58" w:rsidRDefault="00134292" w:rsidP="000A62B7">
      <w:pPr>
        <w:rPr>
          <w:lang w:val="en-US"/>
        </w:rPr>
      </w:pPr>
      <w:r w:rsidRPr="00DD1B58">
        <w:rPr>
          <w:lang w:val="en-US"/>
        </w:rPr>
        <w:t>Sellafield Ltd</w:t>
      </w:r>
      <w:r w:rsidR="00264159" w:rsidRPr="00DD1B58">
        <w:rPr>
          <w:lang w:val="en-US"/>
        </w:rPr>
        <w:t>.</w:t>
      </w:r>
      <w:r w:rsidR="0092527A" w:rsidRPr="00DD1B58">
        <w:rPr>
          <w:lang w:val="en-US"/>
        </w:rPr>
        <w:t xml:space="preserve"> report</w:t>
      </w:r>
      <w:r w:rsidR="004A207B" w:rsidRPr="00DD1B58">
        <w:rPr>
          <w:lang w:val="en-US"/>
        </w:rPr>
        <w:t>s</w:t>
      </w:r>
      <w:r w:rsidR="0092527A" w:rsidRPr="00DD1B58">
        <w:rPr>
          <w:lang w:val="en-US"/>
        </w:rPr>
        <w:t xml:space="preserve"> that </w:t>
      </w:r>
      <w:r w:rsidR="000A62B7" w:rsidRPr="00DD1B58">
        <w:rPr>
          <w:lang w:val="en-US"/>
        </w:rPr>
        <w:t xml:space="preserve">a few assumptions </w:t>
      </w:r>
      <w:r w:rsidR="004A207B" w:rsidRPr="00DD1B58">
        <w:rPr>
          <w:lang w:val="en-US"/>
        </w:rPr>
        <w:t xml:space="preserve">are needed </w:t>
      </w:r>
      <w:r w:rsidR="0092527A" w:rsidRPr="00DD1B58">
        <w:rPr>
          <w:lang w:val="en-US"/>
        </w:rPr>
        <w:t xml:space="preserve">to calculate the fire load of a cable tray </w:t>
      </w:r>
      <w:r w:rsidR="000A62B7" w:rsidRPr="00DD1B58">
        <w:rPr>
          <w:lang w:val="en-US"/>
        </w:rPr>
        <w:t xml:space="preserve">unless specific cable data </w:t>
      </w:r>
      <w:r w:rsidR="004A207B" w:rsidRPr="00DD1B58">
        <w:rPr>
          <w:lang w:val="en-US"/>
        </w:rPr>
        <w:t>i</w:t>
      </w:r>
      <w:r w:rsidR="0092527A" w:rsidRPr="00DD1B58">
        <w:rPr>
          <w:lang w:val="en-US"/>
        </w:rPr>
        <w:t xml:space="preserve">s </w:t>
      </w:r>
      <w:r w:rsidR="000A62B7" w:rsidRPr="00DD1B58">
        <w:rPr>
          <w:lang w:val="en-US"/>
        </w:rPr>
        <w:t>available (as may</w:t>
      </w:r>
      <w:r w:rsidR="004A207B" w:rsidRPr="00DD1B58">
        <w:rPr>
          <w:lang w:val="en-US"/>
        </w:rPr>
        <w:t xml:space="preserve"> </w:t>
      </w:r>
      <w:r w:rsidR="000A62B7" w:rsidRPr="00DD1B58">
        <w:rPr>
          <w:lang w:val="en-US"/>
        </w:rPr>
        <w:t xml:space="preserve">be the case in new build facilities). From </w:t>
      </w:r>
      <w:r w:rsidR="004A207B" w:rsidRPr="00DD1B58">
        <w:rPr>
          <w:lang w:val="en-US"/>
        </w:rPr>
        <w:t>Sellafield Ltd</w:t>
      </w:r>
      <w:r w:rsidR="00264159" w:rsidRPr="00DD1B58">
        <w:rPr>
          <w:lang w:val="en-US"/>
        </w:rPr>
        <w:t>.</w:t>
      </w:r>
      <w:r w:rsidR="004A207B" w:rsidRPr="00DD1B58">
        <w:rPr>
          <w:lang w:val="en-US"/>
        </w:rPr>
        <w:t>’</w:t>
      </w:r>
      <w:r w:rsidR="0092527A" w:rsidRPr="00DD1B58">
        <w:rPr>
          <w:lang w:val="en-US"/>
        </w:rPr>
        <w:t xml:space="preserve">s </w:t>
      </w:r>
      <w:r w:rsidR="000A62B7" w:rsidRPr="00DD1B58">
        <w:rPr>
          <w:lang w:val="en-US"/>
        </w:rPr>
        <w:t>experience</w:t>
      </w:r>
      <w:r w:rsidR="0092527A" w:rsidRPr="00DD1B58">
        <w:rPr>
          <w:lang w:val="en-US"/>
        </w:rPr>
        <w:t>,</w:t>
      </w:r>
      <w:r w:rsidR="000A62B7" w:rsidRPr="00DD1B58">
        <w:rPr>
          <w:lang w:val="en-US"/>
        </w:rPr>
        <w:t xml:space="preserve"> detailed cable data is typically not available for older facilities; the following section presents the methodology followed to determine a generic fire load value for cable trays.</w:t>
      </w:r>
    </w:p>
    <w:p w14:paraId="3F2BF0B7" w14:textId="0FF74F5F" w:rsidR="00431949" w:rsidRPr="00DD1B58" w:rsidRDefault="00134292" w:rsidP="000A62B7">
      <w:pPr>
        <w:rPr>
          <w:lang w:val="en-US"/>
        </w:rPr>
      </w:pPr>
      <w:r w:rsidRPr="00DD1B58">
        <w:rPr>
          <w:lang w:val="en-US"/>
        </w:rPr>
        <w:t>Sellafield Ltd</w:t>
      </w:r>
      <w:r w:rsidR="006665B6" w:rsidRPr="00DD1B58">
        <w:rPr>
          <w:lang w:val="en-US"/>
        </w:rPr>
        <w:t>.</w:t>
      </w:r>
      <w:r w:rsidR="003B4165" w:rsidRPr="00DD1B58">
        <w:rPr>
          <w:lang w:val="en-US"/>
        </w:rPr>
        <w:t xml:space="preserve"> state</w:t>
      </w:r>
      <w:r w:rsidR="004A207B" w:rsidRPr="00DD1B58">
        <w:rPr>
          <w:lang w:val="en-US"/>
        </w:rPr>
        <w:t>s</w:t>
      </w:r>
      <w:r w:rsidR="003B4165" w:rsidRPr="00DD1B58">
        <w:rPr>
          <w:lang w:val="en-US"/>
        </w:rPr>
        <w:t xml:space="preserve"> that the </w:t>
      </w:r>
      <w:r w:rsidR="000A62B7" w:rsidRPr="00DD1B58">
        <w:rPr>
          <w:lang w:val="en-US"/>
        </w:rPr>
        <w:t xml:space="preserve">first assumption </w:t>
      </w:r>
      <w:r w:rsidR="00AD11F5" w:rsidRPr="00DD1B58">
        <w:rPr>
          <w:lang w:val="en-US"/>
        </w:rPr>
        <w:t>is</w:t>
      </w:r>
      <w:r w:rsidR="003B4165" w:rsidRPr="00DD1B58">
        <w:rPr>
          <w:lang w:val="en-US"/>
        </w:rPr>
        <w:t xml:space="preserve"> </w:t>
      </w:r>
      <w:r w:rsidR="000A62B7" w:rsidRPr="00DD1B58">
        <w:rPr>
          <w:lang w:val="en-US"/>
        </w:rPr>
        <w:t xml:space="preserve">the </w:t>
      </w:r>
      <w:r w:rsidR="003A7BFF" w:rsidRPr="00DD1B58">
        <w:rPr>
          <w:lang w:val="en-US"/>
        </w:rPr>
        <w:t>cable material</w:t>
      </w:r>
      <w:r w:rsidR="000835C1" w:rsidRPr="00DD1B58">
        <w:rPr>
          <w:lang w:val="en-US"/>
        </w:rPr>
        <w:t>, assumed</w:t>
      </w:r>
      <w:r w:rsidR="000A62B7" w:rsidRPr="00DD1B58">
        <w:rPr>
          <w:lang w:val="en-US"/>
        </w:rPr>
        <w:t xml:space="preserve"> to be XLPE (</w:t>
      </w:r>
      <w:r w:rsidR="000835C1" w:rsidRPr="00DD1B58">
        <w:rPr>
          <w:lang w:val="en-US"/>
        </w:rPr>
        <w:t>c</w:t>
      </w:r>
      <w:r w:rsidR="000A62B7" w:rsidRPr="00DD1B58">
        <w:rPr>
          <w:lang w:val="en-US"/>
        </w:rPr>
        <w:t xml:space="preserve">ross-linked polyethylene) as </w:t>
      </w:r>
      <w:r w:rsidR="000835C1" w:rsidRPr="00DD1B58">
        <w:rPr>
          <w:lang w:val="en-US"/>
        </w:rPr>
        <w:t>this</w:t>
      </w:r>
      <w:r w:rsidR="000A62B7" w:rsidRPr="00DD1B58">
        <w:rPr>
          <w:lang w:val="en-US"/>
        </w:rPr>
        <w:t xml:space="preserve"> is a common insulation type </w:t>
      </w:r>
      <w:r w:rsidR="003B4165" w:rsidRPr="00DD1B58">
        <w:rPr>
          <w:lang w:val="en-US"/>
        </w:rPr>
        <w:t>giving</w:t>
      </w:r>
      <w:r w:rsidR="000A62B7" w:rsidRPr="00DD1B58">
        <w:rPr>
          <w:lang w:val="en-US"/>
        </w:rPr>
        <w:t xml:space="preserve"> a pessimistic fire load. </w:t>
      </w:r>
      <w:r w:rsidR="000835C1" w:rsidRPr="00DD1B58">
        <w:rPr>
          <w:lang w:val="en-US"/>
        </w:rPr>
        <w:t>T</w:t>
      </w:r>
      <w:r w:rsidR="003B4165" w:rsidRPr="00DD1B58">
        <w:rPr>
          <w:lang w:val="en-US"/>
        </w:rPr>
        <w:t xml:space="preserve">he </w:t>
      </w:r>
      <w:r w:rsidR="000A62B7" w:rsidRPr="00DD1B58">
        <w:rPr>
          <w:lang w:val="en-US"/>
        </w:rPr>
        <w:t xml:space="preserve">value for the energy density of XLPE cable </w:t>
      </w:r>
      <w:r w:rsidR="000A62B7" w:rsidRPr="00DD1B58" w:rsidDel="003B4165">
        <w:rPr>
          <w:lang w:val="en-US"/>
        </w:rPr>
        <w:t xml:space="preserve">was taken </w:t>
      </w:r>
      <w:r w:rsidR="000A62B7" w:rsidRPr="00DD1B58">
        <w:rPr>
          <w:lang w:val="en-US"/>
        </w:rPr>
        <w:t xml:space="preserve">from ‘ESBWR Design Control Document’, section 9B.5.3 </w:t>
      </w:r>
      <w:sdt>
        <w:sdtPr>
          <w:rPr>
            <w:lang w:val="en-US"/>
          </w:rPr>
          <w:id w:val="-526022963"/>
          <w:citation/>
        </w:sdtPr>
        <w:sdtContent>
          <w:r w:rsidR="004940BB" w:rsidRPr="00DD1B58">
            <w:rPr>
              <w:lang w:val="en-US"/>
            </w:rPr>
            <w:fldChar w:fldCharType="begin"/>
          </w:r>
          <w:r w:rsidR="007C42F5" w:rsidRPr="00DD1B58">
            <w:rPr>
              <w:lang w:val="en-US"/>
            </w:rPr>
            <w:instrText xml:space="preserve">CITATION GEH14 \l 2057 </w:instrText>
          </w:r>
          <w:r w:rsidR="004940BB" w:rsidRPr="00DD1B58">
            <w:rPr>
              <w:lang w:val="en-US"/>
            </w:rPr>
            <w:fldChar w:fldCharType="separate"/>
          </w:r>
          <w:r w:rsidR="00DF47DA" w:rsidRPr="00DF47DA">
            <w:rPr>
              <w:noProof/>
              <w:lang w:val="en-US"/>
            </w:rPr>
            <w:t>[109]</w:t>
          </w:r>
          <w:r w:rsidR="004940BB" w:rsidRPr="00DD1B58">
            <w:rPr>
              <w:lang w:val="en-US"/>
            </w:rPr>
            <w:fldChar w:fldCharType="end"/>
          </w:r>
        </w:sdtContent>
      </w:sdt>
      <w:r w:rsidR="000A62B7" w:rsidRPr="00DD1B58">
        <w:rPr>
          <w:lang w:val="en-US"/>
        </w:rPr>
        <w:t xml:space="preserve"> </w:t>
      </w:r>
      <w:r w:rsidR="003B4165" w:rsidRPr="00DD1B58">
        <w:rPr>
          <w:lang w:val="en-US"/>
        </w:rPr>
        <w:t>and the</w:t>
      </w:r>
      <w:r w:rsidR="000A62B7" w:rsidRPr="00DD1B58">
        <w:rPr>
          <w:lang w:val="en-US"/>
        </w:rPr>
        <w:t xml:space="preserve"> energy per unit volume </w:t>
      </w:r>
      <w:r w:rsidR="000835C1" w:rsidRPr="00DD1B58">
        <w:rPr>
          <w:lang w:val="en-US"/>
        </w:rPr>
        <w:t xml:space="preserve">calculated </w:t>
      </w:r>
      <w:r w:rsidR="003B4165" w:rsidRPr="00DD1B58">
        <w:rPr>
          <w:lang w:val="en-US"/>
        </w:rPr>
        <w:t>from the energy density and the mass density values.</w:t>
      </w:r>
      <w:r w:rsidR="00120A7D" w:rsidRPr="00DD1B58">
        <w:rPr>
          <w:lang w:val="en-US"/>
        </w:rPr>
        <w:t xml:space="preserve"> </w:t>
      </w:r>
      <w:r w:rsidRPr="00DD1B58">
        <w:rPr>
          <w:lang w:val="en-US"/>
        </w:rPr>
        <w:t>Sellafield Ltd</w:t>
      </w:r>
      <w:r w:rsidR="006665B6" w:rsidRPr="00DD1B58">
        <w:rPr>
          <w:lang w:val="en-US"/>
        </w:rPr>
        <w:t>.</w:t>
      </w:r>
      <w:r w:rsidR="003B4165" w:rsidRPr="00DD1B58">
        <w:rPr>
          <w:lang w:val="en-US"/>
        </w:rPr>
        <w:t xml:space="preserve"> then </w:t>
      </w:r>
      <w:r w:rsidR="00120A7D" w:rsidRPr="00DD1B58">
        <w:rPr>
          <w:lang w:val="en-US"/>
        </w:rPr>
        <w:t>multipl</w:t>
      </w:r>
      <w:r w:rsidR="000835C1" w:rsidRPr="00DD1B58">
        <w:rPr>
          <w:lang w:val="en-US"/>
        </w:rPr>
        <w:t>ie</w:t>
      </w:r>
      <w:r w:rsidR="00120A7D" w:rsidRPr="00DD1B58">
        <w:rPr>
          <w:lang w:val="en-US"/>
        </w:rPr>
        <w:t xml:space="preserve">s </w:t>
      </w:r>
      <w:r w:rsidR="000A62B7" w:rsidRPr="00DD1B58">
        <w:rPr>
          <w:lang w:val="en-US"/>
        </w:rPr>
        <w:t xml:space="preserve">by a factor of 0.8 to </w:t>
      </w:r>
      <w:r w:rsidR="00120A7D" w:rsidRPr="00DD1B58">
        <w:rPr>
          <w:lang w:val="en-US"/>
        </w:rPr>
        <w:t xml:space="preserve">take into account </w:t>
      </w:r>
      <w:r w:rsidR="000A62B7" w:rsidRPr="00DD1B58">
        <w:rPr>
          <w:lang w:val="en-US"/>
        </w:rPr>
        <w:t xml:space="preserve">the cross section of the cable inside the cable tray as a circle instead of a square or rectangle. The true reduction factor is 0.785, </w:t>
      </w:r>
      <w:r w:rsidR="00C82F38" w:rsidRPr="00DD1B58">
        <w:rPr>
          <w:lang w:val="en-US"/>
        </w:rPr>
        <w:t>but</w:t>
      </w:r>
      <w:r w:rsidR="000A62B7" w:rsidRPr="00DD1B58">
        <w:rPr>
          <w:lang w:val="en-US"/>
        </w:rPr>
        <w:t xml:space="preserve"> 0.8 is used </w:t>
      </w:r>
      <w:r w:rsidR="000835C1" w:rsidRPr="00DD1B58">
        <w:rPr>
          <w:lang w:val="en-US"/>
        </w:rPr>
        <w:t xml:space="preserve">to give </w:t>
      </w:r>
      <w:r w:rsidR="000A62B7" w:rsidRPr="00DD1B58">
        <w:rPr>
          <w:lang w:val="en-US"/>
        </w:rPr>
        <w:t xml:space="preserve">a slightly pessimistic approximation. </w:t>
      </w:r>
      <w:r w:rsidRPr="00DD1B58">
        <w:rPr>
          <w:lang w:val="en-US"/>
        </w:rPr>
        <w:t>Sellafield Ltd</w:t>
      </w:r>
      <w:r w:rsidR="006665B6" w:rsidRPr="00DD1B58">
        <w:rPr>
          <w:lang w:val="en-US"/>
        </w:rPr>
        <w:t>.</w:t>
      </w:r>
      <w:r w:rsidR="00286486" w:rsidRPr="00DD1B58">
        <w:rPr>
          <w:lang w:val="en-US"/>
        </w:rPr>
        <w:t xml:space="preserve"> then considers that the</w:t>
      </w:r>
      <w:r w:rsidR="000A62B7" w:rsidRPr="00DD1B58">
        <w:rPr>
          <w:lang w:val="en-US"/>
        </w:rPr>
        <w:t xml:space="preserve"> metal core of the cable occupies 5% of the cable volume and </w:t>
      </w:r>
      <w:r w:rsidR="00286486" w:rsidRPr="00DD1B58">
        <w:rPr>
          <w:lang w:val="en-US"/>
        </w:rPr>
        <w:t xml:space="preserve">that portion </w:t>
      </w:r>
      <w:r w:rsidR="000A62B7" w:rsidRPr="00DD1B58">
        <w:rPr>
          <w:lang w:val="en-US"/>
        </w:rPr>
        <w:t xml:space="preserve">will not contribute to the fire load. </w:t>
      </w:r>
      <w:r w:rsidR="00AD11F5" w:rsidRPr="00DD1B58">
        <w:rPr>
          <w:lang w:val="en-US"/>
        </w:rPr>
        <w:t>This conservative assumption is based on</w:t>
      </w:r>
      <w:r w:rsidR="000A62B7" w:rsidRPr="00DD1B58">
        <w:rPr>
          <w:lang w:val="en-US"/>
        </w:rPr>
        <w:t xml:space="preserve"> project experience, assuming a room features power or mixed cable types, as some cable core occupies a much greater volume</w:t>
      </w:r>
      <w:r w:rsidR="00AD11F5" w:rsidRPr="00DD1B58">
        <w:rPr>
          <w:lang w:val="en-US"/>
        </w:rPr>
        <w:t xml:space="preserve">, upwards of </w:t>
      </w:r>
      <w:r w:rsidR="000A62B7" w:rsidRPr="00DD1B58">
        <w:rPr>
          <w:lang w:val="en-US"/>
        </w:rPr>
        <w:t>50%.</w:t>
      </w:r>
      <w:r w:rsidR="00286486" w:rsidRPr="00DD1B58">
        <w:rPr>
          <w:lang w:val="en-US"/>
        </w:rPr>
        <w:t xml:space="preserve"> </w:t>
      </w:r>
      <w:r w:rsidR="00431949" w:rsidRPr="00DD1B58">
        <w:rPr>
          <w:lang w:val="en-US"/>
        </w:rPr>
        <w:t>In legacy buildings,</w:t>
      </w:r>
      <w:r w:rsidR="00286486" w:rsidRPr="00DD1B58">
        <w:rPr>
          <w:lang w:val="en-US"/>
        </w:rPr>
        <w:t xml:space="preserve"> </w:t>
      </w:r>
      <w:r w:rsidRPr="00DD1B58">
        <w:rPr>
          <w:lang w:val="en-US"/>
        </w:rPr>
        <w:t>Sellafield Ltd</w:t>
      </w:r>
      <w:r w:rsidR="006665B6" w:rsidRPr="00DD1B58">
        <w:rPr>
          <w:lang w:val="en-US"/>
        </w:rPr>
        <w:t>.</w:t>
      </w:r>
      <w:r w:rsidR="00286486" w:rsidRPr="00DD1B58">
        <w:rPr>
          <w:lang w:val="en-US"/>
        </w:rPr>
        <w:t xml:space="preserve"> applies</w:t>
      </w:r>
      <w:r w:rsidR="00431949" w:rsidRPr="00DD1B58">
        <w:rPr>
          <w:lang w:val="en-US"/>
        </w:rPr>
        <w:t xml:space="preserve"> engineering judgment to calculate the cable loading on trays and ladders based on the measured width of the ladder or tray </w:t>
      </w:r>
      <w:r w:rsidR="009D05CD" w:rsidRPr="00DD1B58">
        <w:rPr>
          <w:lang w:val="en-US"/>
        </w:rPr>
        <w:t xml:space="preserve">and makes a judgement on </w:t>
      </w:r>
      <w:r w:rsidR="00431949" w:rsidRPr="00DD1B58">
        <w:rPr>
          <w:lang w:val="en-US"/>
        </w:rPr>
        <w:t>the percentage fill of the tray or ladder</w:t>
      </w:r>
      <w:r w:rsidR="009D05CD" w:rsidRPr="00DD1B58">
        <w:rPr>
          <w:lang w:val="en-US"/>
        </w:rPr>
        <w:t>,</w:t>
      </w:r>
      <w:r w:rsidR="00431949" w:rsidRPr="00DD1B58">
        <w:rPr>
          <w:lang w:val="en-US"/>
        </w:rPr>
        <w:t xml:space="preserve"> unless design information is available </w:t>
      </w:r>
      <w:r w:rsidR="009D05CD" w:rsidRPr="00DD1B58">
        <w:rPr>
          <w:lang w:val="en-US"/>
        </w:rPr>
        <w:t>(e.g.</w:t>
      </w:r>
      <w:r w:rsidR="00AD11F5" w:rsidRPr="00DD1B58">
        <w:rPr>
          <w:lang w:val="en-US"/>
        </w:rPr>
        <w:t>,</w:t>
      </w:r>
      <w:r w:rsidR="009D05CD" w:rsidRPr="00DD1B58">
        <w:rPr>
          <w:lang w:val="en-US"/>
        </w:rPr>
        <w:t xml:space="preserve"> as per </w:t>
      </w:r>
      <w:r w:rsidR="00431949" w:rsidRPr="00DD1B58">
        <w:rPr>
          <w:lang w:val="en-US"/>
        </w:rPr>
        <w:t>new build</w:t>
      </w:r>
      <w:r w:rsidR="009D05CD" w:rsidRPr="00DD1B58">
        <w:rPr>
          <w:lang w:val="en-US"/>
        </w:rPr>
        <w:t xml:space="preserve"> facilities)</w:t>
      </w:r>
      <w:r w:rsidR="00431949" w:rsidRPr="00DD1B58">
        <w:rPr>
          <w:lang w:val="en-US"/>
        </w:rPr>
        <w:t>.</w:t>
      </w:r>
    </w:p>
    <w:p w14:paraId="13BE610B" w14:textId="5844F419" w:rsidR="000A62B7" w:rsidRPr="00DD1B58" w:rsidRDefault="000A62B7" w:rsidP="000A62B7">
      <w:pPr>
        <w:rPr>
          <w:i/>
          <w:iCs/>
          <w:lang w:val="en-US"/>
        </w:rPr>
      </w:pPr>
      <w:r w:rsidRPr="00DD1B58">
        <w:rPr>
          <w:i/>
          <w:iCs/>
          <w:lang w:val="en-US"/>
        </w:rPr>
        <w:t xml:space="preserve">Common </w:t>
      </w:r>
      <w:r w:rsidR="00AD11F5" w:rsidRPr="00DD1B58">
        <w:rPr>
          <w:i/>
          <w:iCs/>
          <w:lang w:val="en-US"/>
        </w:rPr>
        <w:t>i</w:t>
      </w:r>
      <w:r w:rsidRPr="00DD1B58">
        <w:rPr>
          <w:i/>
          <w:iCs/>
          <w:lang w:val="en-US"/>
        </w:rPr>
        <w:t xml:space="preserve">tems </w:t>
      </w:r>
      <w:r w:rsidR="00AD11F5" w:rsidRPr="00DD1B58">
        <w:rPr>
          <w:i/>
          <w:iCs/>
          <w:lang w:val="en-US"/>
        </w:rPr>
        <w:t>f</w:t>
      </w:r>
      <w:r w:rsidRPr="00DD1B58">
        <w:rPr>
          <w:i/>
          <w:iCs/>
          <w:lang w:val="en-US"/>
        </w:rPr>
        <w:t xml:space="preserve">ire </w:t>
      </w:r>
      <w:r w:rsidR="00AD11F5" w:rsidRPr="00DD1B58">
        <w:rPr>
          <w:i/>
          <w:iCs/>
          <w:lang w:val="en-US"/>
        </w:rPr>
        <w:t>l</w:t>
      </w:r>
      <w:r w:rsidRPr="00DD1B58">
        <w:rPr>
          <w:i/>
          <w:iCs/>
          <w:lang w:val="en-US"/>
        </w:rPr>
        <w:t>oad</w:t>
      </w:r>
    </w:p>
    <w:p w14:paraId="099D9E31" w14:textId="4C44804D" w:rsidR="00755B85" w:rsidRPr="00DD1B58" w:rsidRDefault="00134292" w:rsidP="000A62B7">
      <w:pPr>
        <w:rPr>
          <w:lang w:val="en-US"/>
        </w:rPr>
      </w:pPr>
      <w:r w:rsidRPr="00DD1B58">
        <w:rPr>
          <w:lang w:val="en-US"/>
        </w:rPr>
        <w:t>Sellafield Ltd</w:t>
      </w:r>
      <w:r w:rsidR="006665B6" w:rsidRPr="00DD1B58">
        <w:rPr>
          <w:lang w:val="en-US"/>
        </w:rPr>
        <w:t>.</w:t>
      </w:r>
      <w:r w:rsidR="00F86437" w:rsidRPr="00DD1B58">
        <w:rPr>
          <w:lang w:val="en-US"/>
        </w:rPr>
        <w:t xml:space="preserve"> </w:t>
      </w:r>
      <w:r w:rsidR="001673DE" w:rsidRPr="00DD1B58">
        <w:rPr>
          <w:lang w:val="en-US"/>
        </w:rPr>
        <w:t>report</w:t>
      </w:r>
      <w:r w:rsidR="00AD11F5" w:rsidRPr="00DD1B58">
        <w:rPr>
          <w:lang w:val="en-US"/>
        </w:rPr>
        <w:t>s</w:t>
      </w:r>
      <w:r w:rsidR="001673DE" w:rsidRPr="00DD1B58">
        <w:rPr>
          <w:lang w:val="en-US"/>
        </w:rPr>
        <w:t xml:space="preserve"> that </w:t>
      </w:r>
      <w:r w:rsidR="000A62B7" w:rsidRPr="00DD1B58">
        <w:rPr>
          <w:lang w:val="en-US"/>
        </w:rPr>
        <w:t xml:space="preserve">items encountered in </w:t>
      </w:r>
      <w:r w:rsidR="00D429C8" w:rsidRPr="00DD1B58">
        <w:rPr>
          <w:lang w:val="en-US"/>
        </w:rPr>
        <w:t xml:space="preserve">the </w:t>
      </w:r>
      <w:r w:rsidR="000A62B7" w:rsidRPr="00DD1B58">
        <w:rPr>
          <w:lang w:val="en-US"/>
        </w:rPr>
        <w:t xml:space="preserve">nuclear </w:t>
      </w:r>
      <w:r w:rsidR="00726254" w:rsidRPr="00DD1B58">
        <w:rPr>
          <w:lang w:val="en-US"/>
        </w:rPr>
        <w:t xml:space="preserve">facilities </w:t>
      </w:r>
      <w:r w:rsidR="00D429C8" w:rsidRPr="00DD1B58">
        <w:rPr>
          <w:lang w:val="en-US"/>
        </w:rPr>
        <w:t>are</w:t>
      </w:r>
      <w:r w:rsidR="00B8502C" w:rsidRPr="00DD1B58">
        <w:rPr>
          <w:lang w:val="en-US"/>
        </w:rPr>
        <w:t xml:space="preserve"> either</w:t>
      </w:r>
      <w:r w:rsidR="00D429C8" w:rsidRPr="00DD1B58">
        <w:rPr>
          <w:lang w:val="en-US"/>
        </w:rPr>
        <w:t xml:space="preserve"> </w:t>
      </w:r>
      <w:r w:rsidR="000A62B7" w:rsidRPr="00DD1B58">
        <w:rPr>
          <w:lang w:val="en-US"/>
        </w:rPr>
        <w:t>weighed</w:t>
      </w:r>
      <w:r w:rsidR="007D0141" w:rsidRPr="00DD1B58">
        <w:rPr>
          <w:lang w:val="en-US"/>
        </w:rPr>
        <w:t>, measured</w:t>
      </w:r>
      <w:r w:rsidR="00F86437" w:rsidRPr="00DD1B58">
        <w:rPr>
          <w:lang w:val="en-US"/>
        </w:rPr>
        <w:t>,</w:t>
      </w:r>
      <w:r w:rsidR="007D0141" w:rsidRPr="00DD1B58">
        <w:rPr>
          <w:lang w:val="en-US"/>
        </w:rPr>
        <w:t xml:space="preserve"> </w:t>
      </w:r>
      <w:r w:rsidR="00BB42B2" w:rsidRPr="00DD1B58">
        <w:rPr>
          <w:lang w:val="en-US"/>
        </w:rPr>
        <w:t xml:space="preserve">or average values used to calculate </w:t>
      </w:r>
      <w:r w:rsidR="000A62B7" w:rsidRPr="00DD1B58">
        <w:rPr>
          <w:lang w:val="en-US"/>
        </w:rPr>
        <w:t>the specific combustible contribution in MJ</w:t>
      </w:r>
      <w:r w:rsidR="00F86437" w:rsidRPr="00DD1B58">
        <w:rPr>
          <w:lang w:val="en-US"/>
        </w:rPr>
        <w:t>. It also note</w:t>
      </w:r>
      <w:r w:rsidR="00AD11F5" w:rsidRPr="00DD1B58">
        <w:rPr>
          <w:lang w:val="en-US"/>
        </w:rPr>
        <w:t>s</w:t>
      </w:r>
      <w:r w:rsidR="00F86437" w:rsidRPr="00DD1B58">
        <w:rPr>
          <w:lang w:val="en-US"/>
        </w:rPr>
        <w:t xml:space="preserve"> that where weights</w:t>
      </w:r>
      <w:r w:rsidR="000A62B7" w:rsidRPr="00DD1B58">
        <w:rPr>
          <w:lang w:val="en-US"/>
        </w:rPr>
        <w:t xml:space="preserve"> cannot be accurately </w:t>
      </w:r>
      <w:r w:rsidR="00F86437" w:rsidRPr="00DD1B58">
        <w:rPr>
          <w:lang w:val="en-US"/>
        </w:rPr>
        <w:t>estimated</w:t>
      </w:r>
      <w:r w:rsidR="00AD11F5" w:rsidRPr="00DD1B58">
        <w:rPr>
          <w:lang w:val="en-US"/>
        </w:rPr>
        <w:t>,</w:t>
      </w:r>
      <w:r w:rsidR="00F86437" w:rsidRPr="00DD1B58">
        <w:rPr>
          <w:lang w:val="en-US"/>
        </w:rPr>
        <w:t xml:space="preserve"> </w:t>
      </w:r>
      <w:r w:rsidR="00AD11F5" w:rsidRPr="00DD1B58">
        <w:rPr>
          <w:lang w:val="en-US"/>
        </w:rPr>
        <w:t xml:space="preserve">such as when </w:t>
      </w:r>
      <w:r w:rsidR="000A62B7" w:rsidRPr="00DD1B58">
        <w:rPr>
          <w:lang w:val="en-US"/>
        </w:rPr>
        <w:t xml:space="preserve">the item is too heavy or fixed </w:t>
      </w:r>
      <w:r w:rsidR="00F86437" w:rsidRPr="00DD1B58">
        <w:rPr>
          <w:lang w:val="en-US"/>
        </w:rPr>
        <w:t>in place, it makes a</w:t>
      </w:r>
      <w:r w:rsidR="000A62B7" w:rsidRPr="00DD1B58">
        <w:rPr>
          <w:lang w:val="en-US"/>
        </w:rPr>
        <w:t xml:space="preserve"> conservative estimate </w:t>
      </w:r>
      <w:r w:rsidR="00F86437" w:rsidRPr="00DD1B58">
        <w:rPr>
          <w:lang w:val="en-US"/>
        </w:rPr>
        <w:t>that</w:t>
      </w:r>
      <w:r w:rsidR="000A62B7" w:rsidRPr="00DD1B58">
        <w:rPr>
          <w:lang w:val="en-US"/>
        </w:rPr>
        <w:t xml:space="preserve"> is documented in the RPS fire loading tool.</w:t>
      </w:r>
    </w:p>
    <w:p w14:paraId="7ECA844E" w14:textId="77777777" w:rsidR="0062218A" w:rsidRPr="00DD1B58" w:rsidRDefault="00FA0B38" w:rsidP="000A62B7">
      <w:pPr>
        <w:rPr>
          <w:b/>
          <w:lang w:val="en-US"/>
        </w:rPr>
      </w:pPr>
      <w:r w:rsidRPr="00DD1B58">
        <w:rPr>
          <w:b/>
          <w:lang w:val="en-US"/>
        </w:rPr>
        <w:t>Fire loading surveys</w:t>
      </w:r>
    </w:p>
    <w:p w14:paraId="3A42A19E" w14:textId="491A81B3" w:rsidR="00FA0B38" w:rsidRPr="00DD1B58" w:rsidRDefault="004668E0" w:rsidP="000A62B7">
      <w:pPr>
        <w:rPr>
          <w:lang w:val="en-US"/>
        </w:rPr>
      </w:pPr>
      <w:r w:rsidRPr="00DD1B58">
        <w:rPr>
          <w:lang w:val="en-US"/>
        </w:rPr>
        <w:t>Sellafield Ltd.</w:t>
      </w:r>
      <w:r w:rsidR="007164ED" w:rsidRPr="00DD1B58">
        <w:rPr>
          <w:lang w:val="en-US"/>
        </w:rPr>
        <w:t xml:space="preserve"> report</w:t>
      </w:r>
      <w:r w:rsidR="00AD11F5" w:rsidRPr="00DD1B58">
        <w:rPr>
          <w:lang w:val="en-US"/>
        </w:rPr>
        <w:t>s</w:t>
      </w:r>
      <w:r w:rsidR="007164ED" w:rsidRPr="00DD1B58">
        <w:rPr>
          <w:lang w:val="en-US"/>
        </w:rPr>
        <w:t xml:space="preserve"> that f</w:t>
      </w:r>
      <w:r w:rsidR="008A1DA6" w:rsidRPr="00DD1B58">
        <w:rPr>
          <w:lang w:val="en-US"/>
        </w:rPr>
        <w:t xml:space="preserve">ire loading studies are typically undertaken quantitatively during the design process for new build and documented in </w:t>
      </w:r>
      <w:r w:rsidR="002312E5" w:rsidRPr="00DD1B58">
        <w:rPr>
          <w:lang w:val="en-US"/>
        </w:rPr>
        <w:t>(</w:t>
      </w:r>
      <w:r w:rsidR="008A1DA6" w:rsidRPr="00DD1B58">
        <w:rPr>
          <w:lang w:val="en-US"/>
        </w:rPr>
        <w:t>or referenced out</w:t>
      </w:r>
      <w:r w:rsidR="002312E5" w:rsidRPr="00DD1B58">
        <w:rPr>
          <w:lang w:val="en-US"/>
        </w:rPr>
        <w:t>)</w:t>
      </w:r>
      <w:r w:rsidR="008A1DA6" w:rsidRPr="00DD1B58">
        <w:rPr>
          <w:lang w:val="en-US"/>
        </w:rPr>
        <w:t xml:space="preserve"> of the Conventional Fire Hazard Analysis/Fire Safety Strategy</w:t>
      </w:r>
      <w:r w:rsidR="00B335E6" w:rsidRPr="00DD1B58">
        <w:rPr>
          <w:lang w:val="en-US"/>
        </w:rPr>
        <w:t>.</w:t>
      </w:r>
      <w:r w:rsidR="008A1DA6" w:rsidRPr="00DD1B58">
        <w:rPr>
          <w:lang w:val="en-US"/>
        </w:rPr>
        <w:t xml:space="preserve"> </w:t>
      </w:r>
      <w:r w:rsidR="007164ED" w:rsidRPr="00DD1B58">
        <w:rPr>
          <w:lang w:val="en-US"/>
        </w:rPr>
        <w:t>It also state</w:t>
      </w:r>
      <w:r w:rsidR="001E61CF" w:rsidRPr="00DD1B58">
        <w:rPr>
          <w:lang w:val="en-US"/>
        </w:rPr>
        <w:t>s</w:t>
      </w:r>
      <w:r w:rsidR="007164ED" w:rsidRPr="00DD1B58">
        <w:rPr>
          <w:lang w:val="en-US"/>
        </w:rPr>
        <w:t xml:space="preserve"> that q</w:t>
      </w:r>
      <w:r w:rsidR="008A1DA6" w:rsidRPr="00DD1B58">
        <w:rPr>
          <w:lang w:val="en-US"/>
        </w:rPr>
        <w:t xml:space="preserve">ualitative fire load assessments are undertaken for legacy buildings where design information may not be available. </w:t>
      </w:r>
      <w:r w:rsidRPr="00DD1B58">
        <w:rPr>
          <w:lang w:val="en-US"/>
        </w:rPr>
        <w:t>Sellafield Ltd.</w:t>
      </w:r>
      <w:r w:rsidR="007164ED" w:rsidRPr="00DD1B58">
        <w:rPr>
          <w:lang w:val="en-US"/>
        </w:rPr>
        <w:t xml:space="preserve"> reviews f</w:t>
      </w:r>
      <w:r w:rsidR="008A1DA6" w:rsidRPr="00DD1B58">
        <w:rPr>
          <w:lang w:val="en-US"/>
        </w:rPr>
        <w:t xml:space="preserve">ire loads as part of the ten-year Periodic Safety Review. </w:t>
      </w:r>
      <w:r w:rsidR="00A55D21" w:rsidRPr="00DD1B58">
        <w:rPr>
          <w:lang w:val="en-US"/>
        </w:rPr>
        <w:t>Q</w:t>
      </w:r>
      <w:r w:rsidR="008A1DA6" w:rsidRPr="00DD1B58">
        <w:rPr>
          <w:lang w:val="en-US"/>
        </w:rPr>
        <w:t xml:space="preserve">uantitative </w:t>
      </w:r>
      <w:r w:rsidR="00A55D21" w:rsidRPr="00DD1B58">
        <w:rPr>
          <w:lang w:val="en-US"/>
        </w:rPr>
        <w:t>studies are</w:t>
      </w:r>
      <w:r w:rsidR="008A1DA6" w:rsidRPr="00DD1B58">
        <w:rPr>
          <w:lang w:val="en-US"/>
        </w:rPr>
        <w:t xml:space="preserve"> undertaken </w:t>
      </w:r>
      <w:r w:rsidR="0088415D" w:rsidRPr="00DD1B58">
        <w:rPr>
          <w:lang w:val="en-US"/>
        </w:rPr>
        <w:t xml:space="preserve">once, </w:t>
      </w:r>
      <w:r w:rsidR="008A1DA6" w:rsidRPr="00DD1B58">
        <w:rPr>
          <w:lang w:val="en-US"/>
        </w:rPr>
        <w:t xml:space="preserve">prior to </w:t>
      </w:r>
      <w:r w:rsidR="0088415D" w:rsidRPr="00DD1B58">
        <w:rPr>
          <w:lang w:val="en-US"/>
        </w:rPr>
        <w:t xml:space="preserve">the facilities becoming </w:t>
      </w:r>
      <w:r w:rsidR="008A1DA6" w:rsidRPr="00DD1B58">
        <w:rPr>
          <w:lang w:val="en-US"/>
        </w:rPr>
        <w:t>activ</w:t>
      </w:r>
      <w:r w:rsidR="00C0259F" w:rsidRPr="00DD1B58">
        <w:rPr>
          <w:lang w:val="en-US"/>
        </w:rPr>
        <w:t>e,</w:t>
      </w:r>
      <w:r w:rsidR="008A1DA6" w:rsidRPr="00DD1B58">
        <w:rPr>
          <w:lang w:val="en-US"/>
        </w:rPr>
        <w:t xml:space="preserve"> as there tend to be few major building changes.</w:t>
      </w:r>
      <w:r w:rsidR="00C0259F" w:rsidRPr="00DD1B58">
        <w:rPr>
          <w:lang w:val="en-US"/>
        </w:rPr>
        <w:t xml:space="preserve"> Sellafield report</w:t>
      </w:r>
      <w:r w:rsidR="001E61CF" w:rsidRPr="00DD1B58">
        <w:rPr>
          <w:lang w:val="en-US"/>
        </w:rPr>
        <w:t>s</w:t>
      </w:r>
      <w:r w:rsidR="00C0259F" w:rsidRPr="00DD1B58">
        <w:rPr>
          <w:lang w:val="en-US"/>
        </w:rPr>
        <w:t xml:space="preserve"> that </w:t>
      </w:r>
      <w:r w:rsidR="008A1DA6" w:rsidRPr="00DD1B58">
        <w:rPr>
          <w:lang w:val="en-US"/>
        </w:rPr>
        <w:t xml:space="preserve">the fire loading studies </w:t>
      </w:r>
      <w:r w:rsidR="00C0259F" w:rsidRPr="00DD1B58">
        <w:rPr>
          <w:lang w:val="en-US"/>
        </w:rPr>
        <w:t xml:space="preserve">are </w:t>
      </w:r>
      <w:r w:rsidR="008A1DA6" w:rsidRPr="00DD1B58">
        <w:rPr>
          <w:lang w:val="en-US"/>
        </w:rPr>
        <w:t>changed to reflect the as-built status</w:t>
      </w:r>
      <w:r w:rsidR="00C0259F" w:rsidRPr="00DD1B58">
        <w:rPr>
          <w:lang w:val="en-US"/>
        </w:rPr>
        <w:t xml:space="preserve"> </w:t>
      </w:r>
      <w:r w:rsidR="001E61CF" w:rsidRPr="00DD1B58">
        <w:rPr>
          <w:lang w:val="en-US"/>
        </w:rPr>
        <w:t>i</w:t>
      </w:r>
      <w:r w:rsidR="00C0259F" w:rsidRPr="00DD1B58">
        <w:rPr>
          <w:lang w:val="en-US"/>
        </w:rPr>
        <w:t>f changes have occurred during the ten-year period</w:t>
      </w:r>
      <w:r w:rsidR="008A1DA6" w:rsidRPr="00DD1B58">
        <w:rPr>
          <w:lang w:val="en-US"/>
        </w:rPr>
        <w:t xml:space="preserve">, and </w:t>
      </w:r>
      <w:r w:rsidR="00C0259F" w:rsidRPr="00DD1B58">
        <w:rPr>
          <w:lang w:val="en-US"/>
        </w:rPr>
        <w:t xml:space="preserve">that </w:t>
      </w:r>
      <w:r w:rsidR="008A1DA6" w:rsidRPr="00DD1B58">
        <w:rPr>
          <w:lang w:val="en-US"/>
        </w:rPr>
        <w:t xml:space="preserve">these are also assessed as part of PMP procedures. </w:t>
      </w:r>
      <w:r w:rsidRPr="00DD1B58">
        <w:rPr>
          <w:lang w:val="en-US"/>
        </w:rPr>
        <w:t>Sellafield Ltd.</w:t>
      </w:r>
      <w:r w:rsidR="001E61CF" w:rsidRPr="00DD1B58">
        <w:rPr>
          <w:lang w:val="en-US"/>
        </w:rPr>
        <w:t xml:space="preserve"> </w:t>
      </w:r>
      <w:r w:rsidR="00C0259F" w:rsidRPr="00DD1B58">
        <w:rPr>
          <w:lang w:val="en-US"/>
        </w:rPr>
        <w:t>not</w:t>
      </w:r>
      <w:r w:rsidR="001E61CF" w:rsidRPr="00DD1B58">
        <w:rPr>
          <w:lang w:val="en-US"/>
        </w:rPr>
        <w:t>es</w:t>
      </w:r>
      <w:r w:rsidR="00C0259F" w:rsidRPr="00DD1B58">
        <w:rPr>
          <w:lang w:val="en-US"/>
        </w:rPr>
        <w:t xml:space="preserve"> that, i</w:t>
      </w:r>
      <w:r w:rsidR="008A1DA6" w:rsidRPr="00DD1B58">
        <w:rPr>
          <w:lang w:val="en-US"/>
        </w:rPr>
        <w:t xml:space="preserve">n general, reviews </w:t>
      </w:r>
      <w:r w:rsidR="001E61CF" w:rsidRPr="00DD1B58">
        <w:rPr>
          <w:lang w:val="en-US"/>
        </w:rPr>
        <w:t xml:space="preserve">undertaken after </w:t>
      </w:r>
      <w:r w:rsidR="00C0259F" w:rsidRPr="00DD1B58">
        <w:rPr>
          <w:lang w:val="en-US"/>
        </w:rPr>
        <w:t>the quantitative assessment</w:t>
      </w:r>
      <w:r w:rsidR="001E61CF" w:rsidRPr="00DD1B58">
        <w:rPr>
          <w:lang w:val="en-US"/>
        </w:rPr>
        <w:t xml:space="preserve"> </w:t>
      </w:r>
      <w:r w:rsidR="008A1DA6" w:rsidRPr="00DD1B58">
        <w:rPr>
          <w:lang w:val="en-US"/>
        </w:rPr>
        <w:t>will be qualitative</w:t>
      </w:r>
      <w:r w:rsidR="001E61CF" w:rsidRPr="00DD1B58">
        <w:rPr>
          <w:lang w:val="en-US"/>
        </w:rPr>
        <w:t xml:space="preserve"> </w:t>
      </w:r>
      <w:r w:rsidR="008A1DA6" w:rsidRPr="00DD1B58">
        <w:rPr>
          <w:lang w:val="en-US"/>
        </w:rPr>
        <w:t xml:space="preserve">to confirm that the assumptions made remain valid. </w:t>
      </w:r>
      <w:r w:rsidR="00C0259F" w:rsidRPr="00DD1B58">
        <w:rPr>
          <w:lang w:val="en-US"/>
        </w:rPr>
        <w:t xml:space="preserve">Finally, </w:t>
      </w:r>
      <w:r w:rsidRPr="00DD1B58">
        <w:rPr>
          <w:lang w:val="en-US"/>
        </w:rPr>
        <w:t xml:space="preserve">Sellafield Ltd. </w:t>
      </w:r>
      <w:r w:rsidR="00C0259F" w:rsidRPr="00DD1B58">
        <w:rPr>
          <w:lang w:val="en-US"/>
        </w:rPr>
        <w:t>undertakes q</w:t>
      </w:r>
      <w:r w:rsidR="008A1DA6" w:rsidRPr="00DD1B58">
        <w:rPr>
          <w:lang w:val="en-US"/>
        </w:rPr>
        <w:t xml:space="preserve">ualitative fire load reviews as part of compliance with life safety requirements of the Regulatory Reform (Fire Safety) Order and </w:t>
      </w:r>
      <w:r w:rsidR="00F42BDA" w:rsidRPr="00DD1B58">
        <w:rPr>
          <w:lang w:val="en-US"/>
        </w:rPr>
        <w:t xml:space="preserve">as </w:t>
      </w:r>
      <w:r w:rsidR="008A1DA6" w:rsidRPr="00DD1B58">
        <w:rPr>
          <w:lang w:val="en-US"/>
        </w:rPr>
        <w:t>part of the Internal Hazard Assessment process.</w:t>
      </w:r>
    </w:p>
    <w:p w14:paraId="293EF8DA" w14:textId="77777777" w:rsidR="0029035D" w:rsidRPr="00DD1B58" w:rsidRDefault="0029035D" w:rsidP="000A62B7">
      <w:pPr>
        <w:rPr>
          <w:b/>
          <w:lang w:val="en-US"/>
        </w:rPr>
      </w:pPr>
      <w:r w:rsidRPr="00DD1B58">
        <w:rPr>
          <w:b/>
          <w:lang w:val="en-US"/>
        </w:rPr>
        <w:t>Transient combustibles</w:t>
      </w:r>
    </w:p>
    <w:p w14:paraId="6FDD7D7D" w14:textId="337E76F0" w:rsidR="00D67748" w:rsidRPr="00DD1B58" w:rsidRDefault="00053CDE" w:rsidP="00D67748">
      <w:pPr>
        <w:rPr>
          <w:lang w:val="en-US"/>
        </w:rPr>
      </w:pPr>
      <w:r w:rsidRPr="00DD1B58">
        <w:rPr>
          <w:lang w:val="en-US"/>
        </w:rPr>
        <w:t>Sellafie</w:t>
      </w:r>
      <w:r w:rsidR="001E61CF" w:rsidRPr="00DD1B58">
        <w:rPr>
          <w:lang w:val="en-US"/>
        </w:rPr>
        <w:t>l</w:t>
      </w:r>
      <w:r w:rsidRPr="00DD1B58">
        <w:rPr>
          <w:lang w:val="en-US"/>
        </w:rPr>
        <w:t xml:space="preserve">d </w:t>
      </w:r>
      <w:r w:rsidR="003D7E70" w:rsidRPr="00DD1B58">
        <w:rPr>
          <w:lang w:val="en-US"/>
        </w:rPr>
        <w:t>Ltd</w:t>
      </w:r>
      <w:r w:rsidR="0066758E" w:rsidRPr="00DD1B58">
        <w:rPr>
          <w:lang w:val="en-US"/>
        </w:rPr>
        <w:t>.</w:t>
      </w:r>
      <w:r w:rsidRPr="00DD1B58">
        <w:rPr>
          <w:lang w:val="en-US"/>
        </w:rPr>
        <w:t xml:space="preserve"> refer</w:t>
      </w:r>
      <w:r w:rsidR="001E61CF" w:rsidRPr="00DD1B58">
        <w:rPr>
          <w:lang w:val="en-US"/>
        </w:rPr>
        <w:t>s</w:t>
      </w:r>
      <w:r w:rsidRPr="00DD1B58">
        <w:rPr>
          <w:lang w:val="en-US"/>
        </w:rPr>
        <w:t xml:space="preserve"> to</w:t>
      </w:r>
      <w:r w:rsidR="00D67748" w:rsidRPr="00DD1B58">
        <w:rPr>
          <w:lang w:val="en-US"/>
        </w:rPr>
        <w:t xml:space="preserve"> fire safety requirements</w:t>
      </w:r>
      <w:r w:rsidR="00E87E2D" w:rsidRPr="00DD1B58">
        <w:rPr>
          <w:lang w:val="en-US"/>
        </w:rPr>
        <w:t xml:space="preserve">, including </w:t>
      </w:r>
      <w:r w:rsidR="00D67748" w:rsidRPr="00DD1B58">
        <w:rPr>
          <w:lang w:val="en-US"/>
        </w:rPr>
        <w:t>prevent</w:t>
      </w:r>
      <w:r w:rsidR="00E87E2D" w:rsidRPr="00DD1B58">
        <w:rPr>
          <w:lang w:val="en-US"/>
        </w:rPr>
        <w:t>ing</w:t>
      </w:r>
      <w:r w:rsidR="00D67748" w:rsidRPr="00DD1B58">
        <w:rPr>
          <w:lang w:val="en-US"/>
        </w:rPr>
        <w:t xml:space="preserve"> fires from starting </w:t>
      </w:r>
      <w:r w:rsidR="00E87E2D" w:rsidRPr="00DD1B58">
        <w:rPr>
          <w:lang w:val="en-US"/>
        </w:rPr>
        <w:t xml:space="preserve">and maintaining appropriate levels of defence in depth as per </w:t>
      </w:r>
      <w:r w:rsidR="00946FC6" w:rsidRPr="00DD1B58">
        <w:rPr>
          <w:lang w:val="en-US"/>
        </w:rPr>
        <w:t xml:space="preserve">ONR SAPs </w:t>
      </w:r>
      <w:sdt>
        <w:sdtPr>
          <w:rPr>
            <w:lang w:val="en-US"/>
          </w:rPr>
          <w:id w:val="179403615"/>
          <w:citation/>
        </w:sdtPr>
        <w:sdtContent>
          <w:r w:rsidR="00636863" w:rsidRPr="00DD1B58">
            <w:rPr>
              <w:lang w:val="en-US"/>
            </w:rPr>
            <w:fldChar w:fldCharType="begin"/>
          </w:r>
          <w:r w:rsidR="00636863" w:rsidRPr="00DD1B58">
            <w:rPr>
              <w:lang w:val="en-US"/>
            </w:rPr>
            <w:instrText xml:space="preserve"> CITATION Off20 \l 2057 </w:instrText>
          </w:r>
          <w:r w:rsidR="00636863" w:rsidRPr="00DD1B58">
            <w:rPr>
              <w:lang w:val="en-US"/>
            </w:rPr>
            <w:fldChar w:fldCharType="separate"/>
          </w:r>
          <w:r w:rsidR="00DF47DA" w:rsidRPr="00DF47DA">
            <w:rPr>
              <w:noProof/>
              <w:lang w:val="en-US"/>
            </w:rPr>
            <w:t>[15]</w:t>
          </w:r>
          <w:r w:rsidR="00636863" w:rsidRPr="00DD1B58">
            <w:rPr>
              <w:lang w:val="en-US"/>
            </w:rPr>
            <w:fldChar w:fldCharType="end"/>
          </w:r>
        </w:sdtContent>
      </w:sdt>
      <w:r w:rsidR="00D67748" w:rsidRPr="00DD1B58">
        <w:rPr>
          <w:lang w:val="en-US"/>
        </w:rPr>
        <w:t xml:space="preserve"> </w:t>
      </w:r>
      <w:r w:rsidR="00E87E2D" w:rsidRPr="00DD1B58">
        <w:rPr>
          <w:lang w:val="en-US"/>
        </w:rPr>
        <w:t xml:space="preserve">IAEA standards. </w:t>
      </w:r>
      <w:r w:rsidR="00D67748" w:rsidRPr="00DD1B58">
        <w:rPr>
          <w:lang w:val="en-US"/>
        </w:rPr>
        <w:t xml:space="preserve">It </w:t>
      </w:r>
      <w:r w:rsidR="002437C7" w:rsidRPr="00DD1B58">
        <w:rPr>
          <w:lang w:val="en-US"/>
        </w:rPr>
        <w:t>also refer</w:t>
      </w:r>
      <w:r w:rsidR="001E61CF" w:rsidRPr="00DD1B58">
        <w:rPr>
          <w:lang w:val="en-US"/>
        </w:rPr>
        <w:t>s</w:t>
      </w:r>
      <w:r w:rsidR="002437C7" w:rsidRPr="00DD1B58">
        <w:rPr>
          <w:lang w:val="en-US"/>
        </w:rPr>
        <w:t xml:space="preserve"> to the </w:t>
      </w:r>
      <w:r w:rsidR="00D67748" w:rsidRPr="00DD1B58">
        <w:rPr>
          <w:lang w:val="en-US"/>
        </w:rPr>
        <w:t>principles of fire prevention in Article 10, Part 3 of Schedule 1 of The Regulatory Reform (Fire Safety) Order</w:t>
      </w:r>
      <w:r w:rsidR="00A27C9E" w:rsidRPr="00DD1B58">
        <w:rPr>
          <w:lang w:val="en-US"/>
        </w:rPr>
        <w:t xml:space="preserve"> </w:t>
      </w:r>
      <w:sdt>
        <w:sdtPr>
          <w:rPr>
            <w:lang w:val="en-US"/>
          </w:rPr>
          <w:id w:val="-1677340196"/>
          <w:citation/>
        </w:sdtPr>
        <w:sdtContent>
          <w:r w:rsidR="00A27C9E" w:rsidRPr="00DD1B58">
            <w:rPr>
              <w:lang w:val="en-US"/>
            </w:rPr>
            <w:fldChar w:fldCharType="begin"/>
          </w:r>
          <w:r w:rsidR="00601B0B" w:rsidRPr="00DD1B58">
            <w:rPr>
              <w:lang w:val="en-US"/>
            </w:rPr>
            <w:instrText xml:space="preserve">CITATION The05 \l 2057 </w:instrText>
          </w:r>
          <w:r w:rsidR="00A27C9E" w:rsidRPr="00DD1B58">
            <w:rPr>
              <w:lang w:val="en-US"/>
            </w:rPr>
            <w:fldChar w:fldCharType="separate"/>
          </w:r>
          <w:r w:rsidR="00DF47DA" w:rsidRPr="00DF47DA">
            <w:rPr>
              <w:noProof/>
              <w:lang w:val="en-US"/>
            </w:rPr>
            <w:t>[20]</w:t>
          </w:r>
          <w:r w:rsidR="00A27C9E" w:rsidRPr="00DD1B58">
            <w:rPr>
              <w:lang w:val="en-US"/>
            </w:rPr>
            <w:fldChar w:fldCharType="end"/>
          </w:r>
        </w:sdtContent>
      </w:sdt>
      <w:r w:rsidR="002437C7" w:rsidRPr="00DD1B58">
        <w:rPr>
          <w:lang w:val="en-US"/>
        </w:rPr>
        <w:t xml:space="preserve">, which </w:t>
      </w:r>
      <w:r w:rsidR="00D67748" w:rsidRPr="00DD1B58">
        <w:rPr>
          <w:lang w:val="en-US"/>
        </w:rPr>
        <w:t xml:space="preserve">sets out the hierarchy for combustible management through avoiding risks, evaluating the risks that cannot be avoided, combating at source, adapting to technical progress, replacing dangerous </w:t>
      </w:r>
      <w:r w:rsidR="001E61CF" w:rsidRPr="00DD1B58">
        <w:rPr>
          <w:lang w:val="en-US"/>
        </w:rPr>
        <w:t xml:space="preserve">with </w:t>
      </w:r>
      <w:r w:rsidR="00D67748" w:rsidRPr="00DD1B58">
        <w:rPr>
          <w:lang w:val="en-US"/>
        </w:rPr>
        <w:t>non</w:t>
      </w:r>
      <w:r w:rsidR="001E61CF" w:rsidRPr="00DD1B58">
        <w:rPr>
          <w:lang w:val="en-US"/>
        </w:rPr>
        <w:t>-</w:t>
      </w:r>
      <w:r w:rsidR="00D67748" w:rsidRPr="00DD1B58">
        <w:rPr>
          <w:lang w:val="en-US"/>
        </w:rPr>
        <w:t xml:space="preserve"> or less dangerous, giving appropriate instruction to employees</w:t>
      </w:r>
      <w:r w:rsidR="001E61CF" w:rsidRPr="00DD1B58">
        <w:rPr>
          <w:lang w:val="en-US"/>
        </w:rPr>
        <w:t xml:space="preserve"> and developing policy to cover technology, organisation of the work and the influence of factors relating to the working environment</w:t>
      </w:r>
      <w:r w:rsidR="00D67748" w:rsidRPr="00DD1B58">
        <w:rPr>
          <w:lang w:val="en-US"/>
        </w:rPr>
        <w:t xml:space="preserve">. </w:t>
      </w:r>
      <w:r w:rsidR="00134292" w:rsidRPr="00DD1B58">
        <w:rPr>
          <w:lang w:val="en-US"/>
        </w:rPr>
        <w:t>Sellafield Ltd</w:t>
      </w:r>
      <w:r w:rsidR="0066758E" w:rsidRPr="00DD1B58">
        <w:rPr>
          <w:lang w:val="en-US"/>
        </w:rPr>
        <w:t>.</w:t>
      </w:r>
      <w:r w:rsidR="00782DCA" w:rsidRPr="00DD1B58">
        <w:rPr>
          <w:lang w:val="en-US"/>
        </w:rPr>
        <w:t xml:space="preserve"> state</w:t>
      </w:r>
      <w:r w:rsidR="001E61CF" w:rsidRPr="00DD1B58">
        <w:rPr>
          <w:lang w:val="en-US"/>
        </w:rPr>
        <w:t>s</w:t>
      </w:r>
      <w:r w:rsidR="00782DCA" w:rsidRPr="00DD1B58">
        <w:rPr>
          <w:lang w:val="en-US"/>
        </w:rPr>
        <w:t xml:space="preserve"> that it</w:t>
      </w:r>
      <w:r w:rsidR="00D67748" w:rsidRPr="00DD1B58">
        <w:rPr>
          <w:lang w:val="en-US"/>
        </w:rPr>
        <w:t xml:space="preserve"> follows </w:t>
      </w:r>
      <w:r w:rsidR="00C8363D" w:rsidRPr="00DD1B58">
        <w:rPr>
          <w:lang w:val="en-US"/>
        </w:rPr>
        <w:t xml:space="preserve">a </w:t>
      </w:r>
      <w:r w:rsidR="00D67748" w:rsidRPr="00DD1B58">
        <w:rPr>
          <w:lang w:val="en-US"/>
        </w:rPr>
        <w:t>hierarchy of control aiming to minimise combustibles at source and</w:t>
      </w:r>
      <w:r w:rsidR="00C8363D" w:rsidRPr="00DD1B58">
        <w:rPr>
          <w:lang w:val="en-US"/>
        </w:rPr>
        <w:t>,</w:t>
      </w:r>
      <w:r w:rsidR="00D67748" w:rsidRPr="00DD1B58">
        <w:rPr>
          <w:lang w:val="en-US"/>
        </w:rPr>
        <w:t xml:space="preserve"> where </w:t>
      </w:r>
      <w:r w:rsidR="00C8363D" w:rsidRPr="00DD1B58">
        <w:rPr>
          <w:lang w:val="en-US"/>
        </w:rPr>
        <w:t>necessary</w:t>
      </w:r>
      <w:r w:rsidR="00D67748" w:rsidRPr="00DD1B58">
        <w:rPr>
          <w:lang w:val="en-US"/>
        </w:rPr>
        <w:t xml:space="preserve">, appropriate controls are in place to minimise the risk of fire. </w:t>
      </w:r>
      <w:r w:rsidR="00610772" w:rsidRPr="00DD1B58">
        <w:rPr>
          <w:lang w:val="en-US"/>
        </w:rPr>
        <w:t>It also state</w:t>
      </w:r>
      <w:r w:rsidR="001E61CF" w:rsidRPr="00DD1B58">
        <w:rPr>
          <w:lang w:val="en-US"/>
        </w:rPr>
        <w:t>s</w:t>
      </w:r>
      <w:r w:rsidR="00610772" w:rsidRPr="00DD1B58">
        <w:rPr>
          <w:lang w:val="en-US"/>
        </w:rPr>
        <w:t xml:space="preserve"> that r</w:t>
      </w:r>
      <w:r w:rsidR="00D67748" w:rsidRPr="00DD1B58">
        <w:rPr>
          <w:lang w:val="en-US"/>
        </w:rPr>
        <w:t>eferences and signpost</w:t>
      </w:r>
      <w:r w:rsidR="00610772" w:rsidRPr="00DD1B58">
        <w:rPr>
          <w:lang w:val="en-US"/>
        </w:rPr>
        <w:t xml:space="preserve">ing </w:t>
      </w:r>
      <w:r w:rsidR="00D67748" w:rsidRPr="00DD1B58">
        <w:rPr>
          <w:lang w:val="en-US"/>
        </w:rPr>
        <w:t>are available as self-assessment tools for combustible management, enabl</w:t>
      </w:r>
      <w:r w:rsidR="00610772" w:rsidRPr="00DD1B58">
        <w:rPr>
          <w:lang w:val="en-US"/>
        </w:rPr>
        <w:t>ing</w:t>
      </w:r>
      <w:r w:rsidR="00D67748" w:rsidRPr="00DD1B58">
        <w:rPr>
          <w:lang w:val="en-US"/>
        </w:rPr>
        <w:t xml:space="preserve"> </w:t>
      </w:r>
      <w:r w:rsidR="00A62087" w:rsidRPr="00DD1B58">
        <w:rPr>
          <w:lang w:val="en-US"/>
        </w:rPr>
        <w:t xml:space="preserve">Sellafield </w:t>
      </w:r>
      <w:r w:rsidR="00915F52" w:rsidRPr="00DD1B58">
        <w:rPr>
          <w:lang w:val="en-US"/>
        </w:rPr>
        <w:t>Ltd</w:t>
      </w:r>
      <w:r w:rsidR="0066758E" w:rsidRPr="00DD1B58">
        <w:rPr>
          <w:lang w:val="en-US"/>
        </w:rPr>
        <w:t>.</w:t>
      </w:r>
      <w:r w:rsidR="00915F52" w:rsidRPr="00DD1B58">
        <w:rPr>
          <w:lang w:val="en-US"/>
        </w:rPr>
        <w:t xml:space="preserve"> </w:t>
      </w:r>
      <w:r w:rsidR="00A62087" w:rsidRPr="00DD1B58">
        <w:rPr>
          <w:lang w:val="en-US"/>
        </w:rPr>
        <w:t>p</w:t>
      </w:r>
      <w:r w:rsidR="00D67748" w:rsidRPr="00DD1B58">
        <w:rPr>
          <w:lang w:val="en-US"/>
        </w:rPr>
        <w:t>lants to implement fit</w:t>
      </w:r>
      <w:r w:rsidR="00610772" w:rsidRPr="00DD1B58">
        <w:rPr>
          <w:lang w:val="en-US"/>
        </w:rPr>
        <w:t>-</w:t>
      </w:r>
      <w:r w:rsidR="00D67748" w:rsidRPr="00DD1B58">
        <w:rPr>
          <w:lang w:val="en-US"/>
        </w:rPr>
        <w:t>for</w:t>
      </w:r>
      <w:r w:rsidR="00610772" w:rsidRPr="00DD1B58">
        <w:rPr>
          <w:lang w:val="en-US"/>
        </w:rPr>
        <w:t>-</w:t>
      </w:r>
      <w:r w:rsidR="00D67748" w:rsidRPr="00DD1B58">
        <w:rPr>
          <w:lang w:val="en-US"/>
        </w:rPr>
        <w:t>purpose solutions</w:t>
      </w:r>
      <w:r w:rsidR="00122A03" w:rsidRPr="00DD1B58">
        <w:rPr>
          <w:lang w:val="en-US"/>
        </w:rPr>
        <w:t>.</w:t>
      </w:r>
    </w:p>
    <w:p w14:paraId="44AF5A0C" w14:textId="04C3086F" w:rsidR="0029035D" w:rsidRPr="00DD1B58" w:rsidRDefault="00134292" w:rsidP="00D67748">
      <w:pPr>
        <w:rPr>
          <w:lang w:val="en-US"/>
        </w:rPr>
      </w:pPr>
      <w:r w:rsidRPr="00DD1B58">
        <w:rPr>
          <w:lang w:val="en-US"/>
        </w:rPr>
        <w:t>Sellafield Ltd</w:t>
      </w:r>
      <w:r w:rsidR="0066758E" w:rsidRPr="00DD1B58">
        <w:rPr>
          <w:lang w:val="en-US"/>
        </w:rPr>
        <w:t>.</w:t>
      </w:r>
      <w:r w:rsidR="00610772" w:rsidRPr="00DD1B58">
        <w:rPr>
          <w:lang w:val="en-US"/>
        </w:rPr>
        <w:t xml:space="preserve"> typically</w:t>
      </w:r>
      <w:r w:rsidR="00D67748" w:rsidRPr="00DD1B58">
        <w:rPr>
          <w:lang w:val="en-US"/>
        </w:rPr>
        <w:t xml:space="preserve"> consider</w:t>
      </w:r>
      <w:r w:rsidR="00610772" w:rsidRPr="00DD1B58">
        <w:rPr>
          <w:lang w:val="en-US"/>
        </w:rPr>
        <w:t xml:space="preserve">s transient combustible inventories </w:t>
      </w:r>
      <w:r w:rsidR="00D67748" w:rsidRPr="00DD1B58">
        <w:rPr>
          <w:lang w:val="en-US"/>
        </w:rPr>
        <w:t>through regular inspections carried out by Building Managers, or other</w:t>
      </w:r>
      <w:r w:rsidR="00610772" w:rsidRPr="00DD1B58">
        <w:rPr>
          <w:lang w:val="en-US"/>
        </w:rPr>
        <w:t>s</w:t>
      </w:r>
      <w:r w:rsidR="00D67748" w:rsidRPr="00DD1B58">
        <w:rPr>
          <w:lang w:val="en-US"/>
        </w:rPr>
        <w:t xml:space="preserve"> in the facility </w:t>
      </w:r>
      <w:r w:rsidR="00610772" w:rsidRPr="00DD1B58">
        <w:rPr>
          <w:lang w:val="en-US"/>
        </w:rPr>
        <w:t>with</w:t>
      </w:r>
      <w:r w:rsidR="00D67748" w:rsidRPr="00DD1B58">
        <w:rPr>
          <w:lang w:val="en-US"/>
        </w:rPr>
        <w:t xml:space="preserve"> a duty to minimise combustible fire loading. </w:t>
      </w:r>
      <w:r w:rsidRPr="00DD1B58">
        <w:rPr>
          <w:lang w:val="en-US"/>
        </w:rPr>
        <w:t>Sellafield Ltd</w:t>
      </w:r>
      <w:r w:rsidR="0066758E" w:rsidRPr="00DD1B58">
        <w:rPr>
          <w:lang w:val="en-US"/>
        </w:rPr>
        <w:t>.</w:t>
      </w:r>
      <w:r w:rsidR="00610772" w:rsidRPr="00DD1B58">
        <w:rPr>
          <w:lang w:val="en-US"/>
        </w:rPr>
        <w:t xml:space="preserve"> also report</w:t>
      </w:r>
      <w:r w:rsidR="00A1416E" w:rsidRPr="00DD1B58">
        <w:rPr>
          <w:lang w:val="en-US"/>
        </w:rPr>
        <w:t>s</w:t>
      </w:r>
      <w:r w:rsidR="00610772" w:rsidRPr="00DD1B58">
        <w:rPr>
          <w:lang w:val="en-US"/>
        </w:rPr>
        <w:t xml:space="preserve"> that a</w:t>
      </w:r>
      <w:r w:rsidR="00D67748" w:rsidRPr="00DD1B58">
        <w:rPr>
          <w:lang w:val="en-US"/>
        </w:rPr>
        <w:t xml:space="preserve"> team of Fire Protection Advisors assess</w:t>
      </w:r>
      <w:r w:rsidR="00915F52" w:rsidRPr="00DD1B58">
        <w:rPr>
          <w:lang w:val="en-US"/>
        </w:rPr>
        <w:t>es</w:t>
      </w:r>
      <w:r w:rsidR="00D67748" w:rsidRPr="00DD1B58">
        <w:rPr>
          <w:lang w:val="en-US"/>
        </w:rPr>
        <w:t xml:space="preserve"> combustible loads qualitatively as part of the Fire Risk Assessment process and provide</w:t>
      </w:r>
      <w:r w:rsidR="00915F52" w:rsidRPr="00DD1B58">
        <w:rPr>
          <w:lang w:val="en-US"/>
        </w:rPr>
        <w:t>s</w:t>
      </w:r>
      <w:r w:rsidR="00D67748" w:rsidRPr="00DD1B58">
        <w:rPr>
          <w:lang w:val="en-US"/>
        </w:rPr>
        <w:t xml:space="preserve"> training to employees on fire load management techniques.</w:t>
      </w:r>
    </w:p>
    <w:p w14:paraId="161E4F49" w14:textId="1812B7D2" w:rsidR="00C43D46" w:rsidRPr="00DD1B58" w:rsidRDefault="00134292" w:rsidP="00D67748">
      <w:pPr>
        <w:rPr>
          <w:lang w:val="en-US"/>
        </w:rPr>
      </w:pPr>
      <w:r w:rsidRPr="00DD1B58">
        <w:rPr>
          <w:lang w:val="en-US"/>
        </w:rPr>
        <w:t>Sellafield Ltd</w:t>
      </w:r>
      <w:r w:rsidR="0066758E" w:rsidRPr="00DD1B58">
        <w:rPr>
          <w:lang w:val="en-US"/>
        </w:rPr>
        <w:t>.</w:t>
      </w:r>
      <w:r w:rsidR="00610772" w:rsidRPr="00DD1B58">
        <w:rPr>
          <w:lang w:val="en-US"/>
        </w:rPr>
        <w:t xml:space="preserve"> estimates t</w:t>
      </w:r>
      <w:r w:rsidR="00C43D46" w:rsidRPr="00DD1B58">
        <w:rPr>
          <w:lang w:val="en-US"/>
        </w:rPr>
        <w:t>ransient combustible</w:t>
      </w:r>
      <w:r w:rsidR="00610772" w:rsidRPr="00DD1B58">
        <w:rPr>
          <w:lang w:val="en-US"/>
        </w:rPr>
        <w:t xml:space="preserve"> inventories </w:t>
      </w:r>
      <w:r w:rsidR="00C43D46" w:rsidRPr="00DD1B58">
        <w:rPr>
          <w:lang w:val="en-US"/>
        </w:rPr>
        <w:t>quantitatively during the fire design assessment process</w:t>
      </w:r>
      <w:r w:rsidR="00610772" w:rsidRPr="00DD1B58">
        <w:rPr>
          <w:lang w:val="en-US"/>
        </w:rPr>
        <w:t xml:space="preserve">, which is </w:t>
      </w:r>
      <w:r w:rsidR="00C43D46" w:rsidRPr="00DD1B58">
        <w:rPr>
          <w:lang w:val="en-US"/>
        </w:rPr>
        <w:t xml:space="preserve">part of the </w:t>
      </w:r>
      <w:r w:rsidR="00754217" w:rsidRPr="00DD1B58">
        <w:rPr>
          <w:lang w:val="en-US"/>
        </w:rPr>
        <w:t>safety case assessment</w:t>
      </w:r>
      <w:r w:rsidR="00C43D46" w:rsidRPr="00DD1B58">
        <w:rPr>
          <w:lang w:val="en-US"/>
        </w:rPr>
        <w:t xml:space="preserve"> process</w:t>
      </w:r>
      <w:r w:rsidR="00A266F5" w:rsidRPr="00DD1B58">
        <w:rPr>
          <w:lang w:val="en-US"/>
        </w:rPr>
        <w:t xml:space="preserve"> to provide </w:t>
      </w:r>
      <w:r w:rsidR="00C43D46" w:rsidRPr="00DD1B58">
        <w:rPr>
          <w:lang w:val="en-US"/>
        </w:rPr>
        <w:t xml:space="preserve">physical and managerial controls. </w:t>
      </w:r>
      <w:r w:rsidRPr="00DD1B58">
        <w:rPr>
          <w:lang w:val="en-US"/>
        </w:rPr>
        <w:t>Sellafield Ltd</w:t>
      </w:r>
      <w:r w:rsidR="0066758E" w:rsidRPr="00DD1B58">
        <w:rPr>
          <w:lang w:val="en-US"/>
        </w:rPr>
        <w:t>.</w:t>
      </w:r>
      <w:r w:rsidR="00A266F5" w:rsidRPr="00DD1B58">
        <w:rPr>
          <w:lang w:val="en-US"/>
        </w:rPr>
        <w:t xml:space="preserve"> report</w:t>
      </w:r>
      <w:r w:rsidR="00915F52" w:rsidRPr="00DD1B58">
        <w:rPr>
          <w:lang w:val="en-US"/>
        </w:rPr>
        <w:t>s</w:t>
      </w:r>
      <w:r w:rsidR="00A266F5" w:rsidRPr="00DD1B58">
        <w:rPr>
          <w:lang w:val="en-US"/>
        </w:rPr>
        <w:t xml:space="preserve"> that o</w:t>
      </w:r>
      <w:r w:rsidR="00C43D46" w:rsidRPr="00DD1B58">
        <w:rPr>
          <w:lang w:val="en-US"/>
        </w:rPr>
        <w:t>perational plants utilise a combination of design data and internal standards to control and manage</w:t>
      </w:r>
      <w:r w:rsidR="001D7656" w:rsidRPr="00DD1B58">
        <w:rPr>
          <w:lang w:val="en-US"/>
        </w:rPr>
        <w:t xml:space="preserve"> </w:t>
      </w:r>
      <w:r w:rsidR="00C43D46" w:rsidRPr="00DD1B58">
        <w:rPr>
          <w:lang w:val="en-US"/>
        </w:rPr>
        <w:t xml:space="preserve">combustibles throughout the nuclear facilities lifecycle. </w:t>
      </w:r>
      <w:r w:rsidR="00E62A20" w:rsidRPr="00DD1B58">
        <w:rPr>
          <w:lang w:val="en-US"/>
        </w:rPr>
        <w:t xml:space="preserve">Fire Risk Assessments consider transient fire loading qualitatively and, where a fire risk is identified, control measures and actions are raised, documented, and tracked to address fire load problems. </w:t>
      </w:r>
      <w:r w:rsidR="00C43D46" w:rsidRPr="00DD1B58">
        <w:rPr>
          <w:lang w:val="en-US"/>
        </w:rPr>
        <w:t>Fire Risk Assessments consider transient fire loading qualitatively and</w:t>
      </w:r>
      <w:r w:rsidR="00B604C1" w:rsidRPr="00DD1B58">
        <w:rPr>
          <w:lang w:val="en-US"/>
        </w:rPr>
        <w:t>,</w:t>
      </w:r>
      <w:r w:rsidR="00C43D46" w:rsidRPr="00DD1B58">
        <w:rPr>
          <w:lang w:val="en-US"/>
        </w:rPr>
        <w:t xml:space="preserve"> where a fire risk is identified</w:t>
      </w:r>
      <w:r w:rsidR="00B604C1" w:rsidRPr="00DD1B58">
        <w:rPr>
          <w:lang w:val="en-US"/>
        </w:rPr>
        <w:t>,</w:t>
      </w:r>
      <w:r w:rsidR="00C43D46" w:rsidRPr="00DD1B58">
        <w:rPr>
          <w:lang w:val="en-US"/>
        </w:rPr>
        <w:t xml:space="preserve"> control measures and actions are raised, documented and tracked to address fire load problems. </w:t>
      </w:r>
    </w:p>
    <w:p w14:paraId="23D45D97" w14:textId="3F1C1CEA" w:rsidR="005A04A0" w:rsidRPr="00DD1B58" w:rsidRDefault="00134292" w:rsidP="005A04A0">
      <w:pPr>
        <w:rPr>
          <w:lang w:val="en-US"/>
        </w:rPr>
      </w:pPr>
      <w:r w:rsidRPr="00DD1B58">
        <w:rPr>
          <w:lang w:val="en-US"/>
        </w:rPr>
        <w:t>Sellafield Ltd</w:t>
      </w:r>
      <w:r w:rsidR="0066758E" w:rsidRPr="00DD1B58">
        <w:rPr>
          <w:lang w:val="en-US"/>
        </w:rPr>
        <w:t>.</w:t>
      </w:r>
      <w:r w:rsidR="005A04A0" w:rsidRPr="00DD1B58">
        <w:rPr>
          <w:lang w:val="en-US"/>
        </w:rPr>
        <w:t xml:space="preserve"> has a </w:t>
      </w:r>
      <w:r w:rsidR="00754217" w:rsidRPr="00DD1B58">
        <w:rPr>
          <w:lang w:val="en-US"/>
        </w:rPr>
        <w:t>supporting practice</w:t>
      </w:r>
      <w:r w:rsidR="005A04A0" w:rsidRPr="00DD1B58">
        <w:rPr>
          <w:lang w:val="en-US"/>
        </w:rPr>
        <w:t xml:space="preserve"> document on Combustible Management Principles and Guidance</w:t>
      </w:r>
      <w:r w:rsidR="00B55065" w:rsidRPr="00DD1B58">
        <w:rPr>
          <w:lang w:val="en-US"/>
        </w:rPr>
        <w:t xml:space="preserve"> </w:t>
      </w:r>
      <w:sdt>
        <w:sdtPr>
          <w:rPr>
            <w:lang w:val="en-US"/>
          </w:rPr>
          <w:id w:val="1999847895"/>
          <w:citation/>
        </w:sdtPr>
        <w:sdtContent>
          <w:r w:rsidR="00B55065" w:rsidRPr="00DD1B58">
            <w:rPr>
              <w:lang w:val="en-US"/>
            </w:rPr>
            <w:fldChar w:fldCharType="begin"/>
          </w:r>
          <w:r w:rsidR="00E858D1" w:rsidRPr="00DD1B58">
            <w:rPr>
              <w:lang w:val="en-US"/>
            </w:rPr>
            <w:instrText xml:space="preserve">CITATION Placeholder1 \l 2057 </w:instrText>
          </w:r>
          <w:r w:rsidR="00B55065" w:rsidRPr="00DD1B58">
            <w:rPr>
              <w:lang w:val="en-US"/>
            </w:rPr>
            <w:fldChar w:fldCharType="separate"/>
          </w:r>
          <w:r w:rsidR="00DF47DA" w:rsidRPr="00DF47DA">
            <w:rPr>
              <w:noProof/>
              <w:lang w:val="en-US"/>
            </w:rPr>
            <w:t>[110]</w:t>
          </w:r>
          <w:r w:rsidR="00B55065" w:rsidRPr="00DD1B58">
            <w:rPr>
              <w:lang w:val="en-US"/>
            </w:rPr>
            <w:fldChar w:fldCharType="end"/>
          </w:r>
        </w:sdtContent>
      </w:sdt>
      <w:r w:rsidR="00B55065" w:rsidRPr="00DD1B58">
        <w:rPr>
          <w:lang w:val="en-US"/>
        </w:rPr>
        <w:t>.</w:t>
      </w:r>
      <w:r w:rsidR="005A04A0" w:rsidRPr="00DD1B58">
        <w:rPr>
          <w:lang w:val="en-US"/>
        </w:rPr>
        <w:t xml:space="preserve"> </w:t>
      </w:r>
      <w:r w:rsidR="00052145" w:rsidRPr="00DD1B58">
        <w:rPr>
          <w:lang w:val="en-US"/>
        </w:rPr>
        <w:t xml:space="preserve">The </w:t>
      </w:r>
      <w:r w:rsidR="005A04A0" w:rsidRPr="00DD1B58">
        <w:rPr>
          <w:lang w:val="en-US"/>
        </w:rPr>
        <w:t>document sets out the scope</w:t>
      </w:r>
      <w:r w:rsidR="000B1EA4" w:rsidRPr="00DD1B58">
        <w:rPr>
          <w:lang w:val="en-US"/>
        </w:rPr>
        <w:t xml:space="preserve"> and</w:t>
      </w:r>
      <w:r w:rsidR="005A04A0" w:rsidRPr="00DD1B58">
        <w:rPr>
          <w:lang w:val="en-US"/>
        </w:rPr>
        <w:t xml:space="preserve"> references other relevant standards and requirements</w:t>
      </w:r>
      <w:r w:rsidR="009377B9" w:rsidRPr="00DD1B58">
        <w:rPr>
          <w:lang w:val="en-US"/>
        </w:rPr>
        <w:t>,</w:t>
      </w:r>
      <w:r w:rsidR="005A04A0" w:rsidRPr="00DD1B58">
        <w:rPr>
          <w:lang w:val="en-US"/>
        </w:rPr>
        <w:t xml:space="preserve"> </w:t>
      </w:r>
      <w:r w:rsidR="009377B9" w:rsidRPr="00DD1B58">
        <w:rPr>
          <w:lang w:val="en-US"/>
        </w:rPr>
        <w:t>assumptions,</w:t>
      </w:r>
      <w:r w:rsidR="005A04A0" w:rsidRPr="00DD1B58">
        <w:rPr>
          <w:lang w:val="en-US"/>
        </w:rPr>
        <w:t xml:space="preserve"> and management principles. </w:t>
      </w:r>
    </w:p>
    <w:p w14:paraId="25173AEE" w14:textId="0BA51CE1" w:rsidR="00C723A0" w:rsidRPr="00DD1B58" w:rsidRDefault="005A04A0" w:rsidP="005A04A0">
      <w:pPr>
        <w:rPr>
          <w:lang w:val="en-US"/>
        </w:rPr>
      </w:pPr>
      <w:r w:rsidRPr="00DD1B58">
        <w:rPr>
          <w:lang w:val="en-US"/>
        </w:rPr>
        <w:t>Sellafield</w:t>
      </w:r>
      <w:r w:rsidR="00915F52" w:rsidRPr="00DD1B58">
        <w:rPr>
          <w:lang w:val="en-US"/>
        </w:rPr>
        <w:t xml:space="preserve"> Ltd</w:t>
      </w:r>
      <w:r w:rsidR="0066758E" w:rsidRPr="00DD1B58">
        <w:rPr>
          <w:lang w:val="en-US"/>
        </w:rPr>
        <w:t>.</w:t>
      </w:r>
      <w:r w:rsidRPr="00DD1B58">
        <w:rPr>
          <w:lang w:val="en-US"/>
        </w:rPr>
        <w:t xml:space="preserve"> </w:t>
      </w:r>
      <w:r w:rsidR="00F638DD" w:rsidRPr="00DD1B58">
        <w:rPr>
          <w:lang w:val="en-US"/>
        </w:rPr>
        <w:t xml:space="preserve">has </w:t>
      </w:r>
      <w:r w:rsidRPr="00DD1B58">
        <w:rPr>
          <w:lang w:val="en-US"/>
        </w:rPr>
        <w:t xml:space="preserve">produced methods and tools </w:t>
      </w:r>
      <w:r w:rsidR="00CC7C0D" w:rsidRPr="00DD1B58">
        <w:rPr>
          <w:lang w:val="en-US"/>
        </w:rPr>
        <w:t>for</w:t>
      </w:r>
      <w:r w:rsidRPr="00DD1B58">
        <w:rPr>
          <w:lang w:val="en-US"/>
        </w:rPr>
        <w:t xml:space="preserve"> quantification of fire loading</w:t>
      </w:r>
      <w:r w:rsidR="009C2069" w:rsidRPr="00DD1B58">
        <w:rPr>
          <w:lang w:val="en-US"/>
        </w:rPr>
        <w:t xml:space="preserve"> to</w:t>
      </w:r>
      <w:r w:rsidRPr="00DD1B58">
        <w:rPr>
          <w:lang w:val="en-US"/>
        </w:rPr>
        <w:t xml:space="preserve"> enable</w:t>
      </w:r>
      <w:r w:rsidR="009C2069" w:rsidRPr="00DD1B58">
        <w:rPr>
          <w:lang w:val="en-US"/>
        </w:rPr>
        <w:t xml:space="preserve"> </w:t>
      </w:r>
      <w:r w:rsidRPr="00DD1B58">
        <w:rPr>
          <w:lang w:val="en-US"/>
        </w:rPr>
        <w:t>plant</w:t>
      </w:r>
      <w:r w:rsidR="00667643" w:rsidRPr="00DD1B58">
        <w:rPr>
          <w:lang w:val="en-US"/>
        </w:rPr>
        <w:t xml:space="preserve">s </w:t>
      </w:r>
      <w:r w:rsidRPr="00DD1B58">
        <w:rPr>
          <w:lang w:val="en-US"/>
        </w:rPr>
        <w:t>to undertake high-level assessment</w:t>
      </w:r>
      <w:r w:rsidR="00667643" w:rsidRPr="00DD1B58">
        <w:rPr>
          <w:lang w:val="en-US"/>
        </w:rPr>
        <w:t>s</w:t>
      </w:r>
      <w:r w:rsidRPr="00DD1B58">
        <w:rPr>
          <w:lang w:val="en-US"/>
        </w:rPr>
        <w:t xml:space="preserve"> </w:t>
      </w:r>
      <w:r w:rsidR="009C2069" w:rsidRPr="00DD1B58">
        <w:rPr>
          <w:lang w:val="en-US"/>
        </w:rPr>
        <w:t>of</w:t>
      </w:r>
      <w:r w:rsidRPr="00DD1B58">
        <w:rPr>
          <w:lang w:val="en-US"/>
        </w:rPr>
        <w:t xml:space="preserve"> permanent and temporary laydown and storage areas. </w:t>
      </w:r>
      <w:r w:rsidR="00915F52" w:rsidRPr="00DD1B58">
        <w:rPr>
          <w:lang w:val="en-US"/>
        </w:rPr>
        <w:t xml:space="preserve">These are </w:t>
      </w:r>
      <w:r w:rsidRPr="00DD1B58">
        <w:rPr>
          <w:lang w:val="en-US"/>
        </w:rPr>
        <w:t xml:space="preserve">undertaken by non-specialist personnel </w:t>
      </w:r>
      <w:r w:rsidR="002E0179" w:rsidRPr="00DD1B58">
        <w:rPr>
          <w:lang w:val="en-US"/>
        </w:rPr>
        <w:t>and therefore</w:t>
      </w:r>
      <w:r w:rsidR="0084444D" w:rsidRPr="00DD1B58">
        <w:rPr>
          <w:lang w:val="en-US"/>
        </w:rPr>
        <w:t xml:space="preserve"> incorporate</w:t>
      </w:r>
      <w:r w:rsidRPr="00DD1B58">
        <w:rPr>
          <w:lang w:val="en-US"/>
        </w:rPr>
        <w:t xml:space="preserve"> conservatism</w:t>
      </w:r>
      <w:r w:rsidR="0084444D" w:rsidRPr="00DD1B58">
        <w:rPr>
          <w:lang w:val="en-US"/>
        </w:rPr>
        <w:t xml:space="preserve">s. </w:t>
      </w:r>
      <w:r w:rsidR="004668E0" w:rsidRPr="00DD1B58">
        <w:rPr>
          <w:lang w:val="en-US"/>
        </w:rPr>
        <w:t>Sellafield Ltd.</w:t>
      </w:r>
      <w:r w:rsidR="002A6E59" w:rsidRPr="00DD1B58">
        <w:rPr>
          <w:lang w:val="en-US"/>
        </w:rPr>
        <w:t xml:space="preserve"> state</w:t>
      </w:r>
      <w:r w:rsidR="00915F52" w:rsidRPr="00DD1B58">
        <w:rPr>
          <w:lang w:val="en-US"/>
        </w:rPr>
        <w:t>s</w:t>
      </w:r>
      <w:r w:rsidR="002A6E59" w:rsidRPr="00DD1B58">
        <w:rPr>
          <w:lang w:val="en-US"/>
        </w:rPr>
        <w:t xml:space="preserve"> that, where challenges arise, more detailed risk-based assessment are undertaken by SQEP in consultation with the </w:t>
      </w:r>
      <w:r w:rsidRPr="00DD1B58">
        <w:rPr>
          <w:lang w:val="en-US"/>
        </w:rPr>
        <w:t xml:space="preserve">Sellafield </w:t>
      </w:r>
      <w:r w:rsidR="00980F91" w:rsidRPr="00DD1B58">
        <w:rPr>
          <w:lang w:val="en-US"/>
        </w:rPr>
        <w:t xml:space="preserve">Ltd. </w:t>
      </w:r>
      <w:r w:rsidRPr="00DD1B58">
        <w:rPr>
          <w:lang w:val="en-US"/>
        </w:rPr>
        <w:t xml:space="preserve">Fire Engineering Team. </w:t>
      </w:r>
      <w:r w:rsidR="00134292" w:rsidRPr="00DD1B58">
        <w:rPr>
          <w:lang w:val="en-US"/>
        </w:rPr>
        <w:t>Sellafield Ltd</w:t>
      </w:r>
      <w:r w:rsidR="00980F91" w:rsidRPr="00DD1B58">
        <w:rPr>
          <w:lang w:val="en-US"/>
        </w:rPr>
        <w:t>.</w:t>
      </w:r>
      <w:r w:rsidR="00667643" w:rsidRPr="00DD1B58">
        <w:rPr>
          <w:lang w:val="en-US"/>
        </w:rPr>
        <w:t xml:space="preserve"> has shared these with the</w:t>
      </w:r>
      <w:r w:rsidRPr="00DD1B58">
        <w:rPr>
          <w:lang w:val="en-US"/>
        </w:rPr>
        <w:t xml:space="preserve"> NIFSCC and WANO </w:t>
      </w:r>
      <w:r w:rsidR="00667643" w:rsidRPr="00DD1B58">
        <w:rPr>
          <w:lang w:val="en-US"/>
        </w:rPr>
        <w:t xml:space="preserve">as examples of good </w:t>
      </w:r>
      <w:r w:rsidR="0066623B" w:rsidRPr="00DD1B58">
        <w:rPr>
          <w:lang w:val="en-US"/>
        </w:rPr>
        <w:t>practice</w:t>
      </w:r>
      <w:r w:rsidR="00667643" w:rsidRPr="00DD1B58">
        <w:rPr>
          <w:lang w:val="en-US"/>
        </w:rPr>
        <w:t>.</w:t>
      </w:r>
      <w:r w:rsidR="00E3278F" w:rsidRPr="00DD1B58">
        <w:rPr>
          <w:lang w:val="en-US"/>
        </w:rPr>
        <w:t xml:space="preserve"> The approach is as follows</w:t>
      </w:r>
      <w:r w:rsidR="00915F52" w:rsidRPr="00DD1B58">
        <w:rPr>
          <w:lang w:val="en-US"/>
        </w:rPr>
        <w:t>.</w:t>
      </w:r>
    </w:p>
    <w:p w14:paraId="073C8479" w14:textId="4EBDF828" w:rsidR="004D0DAB" w:rsidRPr="00DD1B58" w:rsidRDefault="00E3278F" w:rsidP="004D0DAB">
      <w:pPr>
        <w:rPr>
          <w:rFonts w:cs="Calibri"/>
          <w:color w:val="000000" w:themeColor="text2"/>
          <w:lang w:val="en-US" w:eastAsia="de-DE"/>
        </w:rPr>
      </w:pPr>
      <w:r w:rsidRPr="00DD1B58">
        <w:rPr>
          <w:lang w:val="en-US"/>
        </w:rPr>
        <w:t>For</w:t>
      </w:r>
      <w:r w:rsidR="0074432C" w:rsidRPr="00DD1B58">
        <w:rPr>
          <w:lang w:val="en-US"/>
        </w:rPr>
        <w:t xml:space="preserve"> laydown area</w:t>
      </w:r>
      <w:r w:rsidR="00915F52" w:rsidRPr="00DD1B58">
        <w:rPr>
          <w:lang w:val="en-US"/>
        </w:rPr>
        <w:t>,</w:t>
      </w:r>
      <w:r w:rsidR="0074432C" w:rsidRPr="00DD1B58">
        <w:rPr>
          <w:lang w:val="en-US"/>
        </w:rPr>
        <w:t xml:space="preserve"> </w:t>
      </w:r>
      <w:r w:rsidR="00A25790" w:rsidRPr="00DD1B58">
        <w:rPr>
          <w:lang w:val="en-US"/>
        </w:rPr>
        <w:t xml:space="preserve">five questions are </w:t>
      </w:r>
      <w:r w:rsidR="00682A44" w:rsidRPr="00DD1B58">
        <w:rPr>
          <w:lang w:val="en-US"/>
        </w:rPr>
        <w:t>answ</w:t>
      </w:r>
      <w:r w:rsidR="00C5230B" w:rsidRPr="00DD1B58">
        <w:rPr>
          <w:lang w:val="en-US"/>
        </w:rPr>
        <w:t>ered to produce a</w:t>
      </w:r>
      <w:r w:rsidR="00B1238E" w:rsidRPr="00DD1B58">
        <w:rPr>
          <w:lang w:val="en-US"/>
        </w:rPr>
        <w:t>n</w:t>
      </w:r>
      <w:r w:rsidR="00C5230B" w:rsidRPr="00DD1B58">
        <w:rPr>
          <w:lang w:val="en-US"/>
        </w:rPr>
        <w:t xml:space="preserve"> </w:t>
      </w:r>
      <w:r w:rsidR="00346577" w:rsidRPr="00DD1B58">
        <w:rPr>
          <w:lang w:val="en-US"/>
        </w:rPr>
        <w:t xml:space="preserve">accumulative </w:t>
      </w:r>
      <w:r w:rsidR="00B1238E" w:rsidRPr="00DD1B58">
        <w:rPr>
          <w:lang w:val="en-US"/>
        </w:rPr>
        <w:t>sco</w:t>
      </w:r>
      <w:r w:rsidRPr="00DD1B58">
        <w:rPr>
          <w:lang w:val="en-US"/>
        </w:rPr>
        <w:t>re</w:t>
      </w:r>
      <w:r w:rsidR="00915F52" w:rsidRPr="00DD1B58">
        <w:rPr>
          <w:lang w:val="en-US"/>
        </w:rPr>
        <w:t>.</w:t>
      </w:r>
      <w:r w:rsidRPr="00DD1B58">
        <w:rPr>
          <w:lang w:val="en-US"/>
        </w:rPr>
        <w:t xml:space="preserve"> </w:t>
      </w:r>
      <w:r w:rsidR="00346577" w:rsidRPr="00DD1B58">
        <w:rPr>
          <w:lang w:val="en-US"/>
        </w:rPr>
        <w:t xml:space="preserve">This is then compared </w:t>
      </w:r>
      <w:r w:rsidR="00032F73" w:rsidRPr="00DD1B58">
        <w:rPr>
          <w:lang w:val="en-US"/>
        </w:rPr>
        <w:t xml:space="preserve">to defined scoring criteria </w:t>
      </w:r>
      <w:r w:rsidR="00866F33" w:rsidRPr="00DD1B58">
        <w:rPr>
          <w:lang w:val="en-US"/>
        </w:rPr>
        <w:t xml:space="preserve">to </w:t>
      </w:r>
      <w:r w:rsidR="004E5873" w:rsidRPr="00DD1B58">
        <w:rPr>
          <w:lang w:val="en-US"/>
        </w:rPr>
        <w:t xml:space="preserve">produce an upper limit </w:t>
      </w:r>
      <w:r w:rsidR="00B63F06" w:rsidRPr="00DD1B58">
        <w:rPr>
          <w:lang w:val="en-US"/>
        </w:rPr>
        <w:t>fo</w:t>
      </w:r>
      <w:r w:rsidR="00B1238E" w:rsidRPr="00DD1B58">
        <w:rPr>
          <w:lang w:val="en-US"/>
        </w:rPr>
        <w:t>r combustible loa</w:t>
      </w:r>
      <w:r w:rsidR="00CB0562" w:rsidRPr="00DD1B58">
        <w:rPr>
          <w:lang w:val="en-US"/>
        </w:rPr>
        <w:t>d</w:t>
      </w:r>
      <w:r w:rsidR="00B1238E" w:rsidRPr="00DD1B58">
        <w:rPr>
          <w:lang w:val="en-US"/>
        </w:rPr>
        <w:t xml:space="preserve"> in the laydown area.</w:t>
      </w:r>
      <w:r w:rsidR="00F237C2" w:rsidRPr="00DD1B58">
        <w:rPr>
          <w:lang w:val="en-US"/>
        </w:rPr>
        <w:t xml:space="preserve"> </w:t>
      </w:r>
      <w:r w:rsidR="00F237C2" w:rsidRPr="00DD1B58">
        <w:rPr>
          <w:rFonts w:cs="Calibri"/>
          <w:color w:val="000000" w:themeColor="text2"/>
          <w:lang w:val="en-US" w:eastAsia="de-DE"/>
        </w:rPr>
        <w:t xml:space="preserve">Once the </w:t>
      </w:r>
      <w:r w:rsidR="00980F91" w:rsidRPr="00DD1B58">
        <w:rPr>
          <w:rFonts w:cs="Calibri"/>
          <w:color w:val="000000" w:themeColor="text2"/>
          <w:lang w:val="en-US" w:eastAsia="de-DE"/>
        </w:rPr>
        <w:t>combustible limit</w:t>
      </w:r>
      <w:r w:rsidR="00F237C2" w:rsidRPr="00DD1B58">
        <w:rPr>
          <w:rFonts w:cs="Calibri"/>
          <w:color w:val="000000" w:themeColor="text2"/>
          <w:lang w:val="en-US" w:eastAsia="de-DE"/>
        </w:rPr>
        <w:t xml:space="preserve"> for the laydown area is identified, a comparison </w:t>
      </w:r>
      <w:r w:rsidRPr="00DD1B58">
        <w:rPr>
          <w:rFonts w:cs="Calibri"/>
          <w:color w:val="000000" w:themeColor="text2"/>
          <w:lang w:val="en-US" w:eastAsia="de-DE"/>
        </w:rPr>
        <w:t>is</w:t>
      </w:r>
      <w:r w:rsidR="00F237C2" w:rsidRPr="00DD1B58">
        <w:rPr>
          <w:rFonts w:cs="Calibri"/>
          <w:color w:val="000000" w:themeColor="text2"/>
          <w:lang w:val="en-US" w:eastAsia="de-DE"/>
        </w:rPr>
        <w:t xml:space="preserve"> made with the items and</w:t>
      </w:r>
      <w:r w:rsidR="007B3269" w:rsidRPr="00DD1B58">
        <w:rPr>
          <w:rFonts w:cs="Calibri"/>
          <w:color w:val="000000" w:themeColor="text2"/>
          <w:lang w:val="en-US" w:eastAsia="de-DE"/>
        </w:rPr>
        <w:t xml:space="preserve"> </w:t>
      </w:r>
      <w:r w:rsidR="00F237C2" w:rsidRPr="00DD1B58">
        <w:rPr>
          <w:rFonts w:cs="Calibri"/>
          <w:color w:val="000000" w:themeColor="text2"/>
          <w:lang w:val="en-US" w:eastAsia="de-DE"/>
        </w:rPr>
        <w:t>materials to be stored within the area using the values presented within</w:t>
      </w:r>
      <w:r w:rsidR="007B3269" w:rsidRPr="00DD1B58">
        <w:rPr>
          <w:rFonts w:cs="Calibri"/>
          <w:color w:val="000000" w:themeColor="text2"/>
          <w:lang w:val="en-US" w:eastAsia="de-DE"/>
        </w:rPr>
        <w:t xml:space="preserve"> the </w:t>
      </w:r>
      <w:r w:rsidR="008F78FA" w:rsidRPr="00DD1B58">
        <w:rPr>
          <w:rFonts w:cs="Calibri"/>
          <w:color w:val="000000" w:themeColor="text2"/>
          <w:lang w:val="en-US" w:eastAsia="de-DE"/>
        </w:rPr>
        <w:t xml:space="preserve">Sellafield </w:t>
      </w:r>
      <w:r w:rsidR="004D0DAB" w:rsidRPr="00DD1B58">
        <w:rPr>
          <w:rFonts w:cs="Calibri"/>
          <w:color w:val="000000" w:themeColor="text2"/>
          <w:lang w:val="en-US" w:eastAsia="de-DE"/>
        </w:rPr>
        <w:t>g</w:t>
      </w:r>
      <w:r w:rsidR="008F78FA" w:rsidRPr="00DD1B58">
        <w:rPr>
          <w:rFonts w:cs="Calibri"/>
          <w:color w:val="000000" w:themeColor="text2"/>
          <w:lang w:val="en-US" w:eastAsia="de-DE"/>
        </w:rPr>
        <w:t>uidance.</w:t>
      </w:r>
      <w:r w:rsidR="004D0DAB" w:rsidRPr="00DD1B58">
        <w:rPr>
          <w:rFonts w:cs="Calibri"/>
          <w:color w:val="000000" w:themeColor="text2"/>
          <w:lang w:val="en-US" w:eastAsia="de-DE"/>
        </w:rPr>
        <w:t xml:space="preserve"> If the cumulative score of all items to be stored is less than the Combustible Limit for the area, the risk associated with the storage of the combustible material is deemed to be tolerable.</w:t>
      </w:r>
    </w:p>
    <w:p w14:paraId="3C4CC2D9" w14:textId="3B72B68B" w:rsidR="00135627" w:rsidRPr="00DD1B58" w:rsidRDefault="004668E0" w:rsidP="000E77A7">
      <w:pPr>
        <w:rPr>
          <w:lang w:val="en-US"/>
        </w:rPr>
      </w:pPr>
      <w:r w:rsidRPr="00DD1B58">
        <w:rPr>
          <w:lang w:val="en-US"/>
        </w:rPr>
        <w:t>Sellafield Ltd.</w:t>
      </w:r>
      <w:r w:rsidR="00806433" w:rsidRPr="00DD1B58">
        <w:rPr>
          <w:lang w:val="en-US"/>
        </w:rPr>
        <w:t xml:space="preserve"> state</w:t>
      </w:r>
      <w:r w:rsidR="00915F52" w:rsidRPr="00DD1B58">
        <w:rPr>
          <w:lang w:val="en-US"/>
        </w:rPr>
        <w:t>s</w:t>
      </w:r>
      <w:r w:rsidR="00806433" w:rsidRPr="00DD1B58">
        <w:rPr>
          <w:lang w:val="en-US"/>
        </w:rPr>
        <w:t xml:space="preserve"> that</w:t>
      </w:r>
      <w:r w:rsidR="00FD580B" w:rsidRPr="00DD1B58">
        <w:rPr>
          <w:lang w:val="en-US"/>
        </w:rPr>
        <w:t>,</w:t>
      </w:r>
      <w:r w:rsidR="00FD580B" w:rsidRPr="00DD1B58" w:rsidDel="00FD580B">
        <w:rPr>
          <w:lang w:val="en-US"/>
        </w:rPr>
        <w:t xml:space="preserve"> </w:t>
      </w:r>
      <w:r w:rsidR="00FD580B" w:rsidRPr="00DD1B58">
        <w:rPr>
          <w:lang w:val="en-US"/>
        </w:rPr>
        <w:t xml:space="preserve">where there is a nuclear safety consequence associated with combustibles management, Radiological Safety Assessment HAZANs will detail </w:t>
      </w:r>
      <w:r w:rsidR="00396DF1" w:rsidRPr="00DD1B58">
        <w:rPr>
          <w:lang w:val="en-US"/>
        </w:rPr>
        <w:t>Operating Assumptions (</w:t>
      </w:r>
      <w:r w:rsidR="00FD580B" w:rsidRPr="00DD1B58">
        <w:rPr>
          <w:lang w:val="en-US"/>
        </w:rPr>
        <w:t>OAs</w:t>
      </w:r>
      <w:r w:rsidR="00396DF1" w:rsidRPr="00DD1B58">
        <w:rPr>
          <w:lang w:val="en-US"/>
        </w:rPr>
        <w:t xml:space="preserve">) </w:t>
      </w:r>
      <w:r w:rsidR="00FD580B" w:rsidRPr="00DD1B58">
        <w:rPr>
          <w:lang w:val="en-US"/>
        </w:rPr>
        <w:t xml:space="preserve">and </w:t>
      </w:r>
      <w:r w:rsidR="00396DF1" w:rsidRPr="00DD1B58">
        <w:rPr>
          <w:lang w:val="en-US"/>
        </w:rPr>
        <w:t>required Operating Instructions (</w:t>
      </w:r>
      <w:r w:rsidR="00FD580B" w:rsidRPr="00DD1B58">
        <w:rPr>
          <w:lang w:val="en-US"/>
        </w:rPr>
        <w:t>rOI</w:t>
      </w:r>
      <w:r w:rsidR="00396DF1" w:rsidRPr="00DD1B58">
        <w:rPr>
          <w:lang w:val="en-US"/>
        </w:rPr>
        <w:t>s)</w:t>
      </w:r>
      <w:r w:rsidR="00FD580B" w:rsidRPr="00DD1B58">
        <w:rPr>
          <w:lang w:val="en-US"/>
        </w:rPr>
        <w:t xml:space="preserve"> to control and limit combustibles. It also state</w:t>
      </w:r>
      <w:r w:rsidR="00915F52" w:rsidRPr="00DD1B58">
        <w:rPr>
          <w:lang w:val="en-US"/>
        </w:rPr>
        <w:t>s</w:t>
      </w:r>
      <w:r w:rsidR="00FD580B" w:rsidRPr="00DD1B58">
        <w:rPr>
          <w:lang w:val="en-US"/>
        </w:rPr>
        <w:t xml:space="preserve"> that </w:t>
      </w:r>
      <w:r w:rsidR="00806433" w:rsidRPr="00DD1B58">
        <w:rPr>
          <w:lang w:val="en-US"/>
        </w:rPr>
        <w:t>it communicates the limits through</w:t>
      </w:r>
      <w:r w:rsidR="000E77A7" w:rsidRPr="00DD1B58">
        <w:rPr>
          <w:lang w:val="en-US"/>
        </w:rPr>
        <w:t xml:space="preserve"> operational fire risk assessments, local rules </w:t>
      </w:r>
      <w:r w:rsidR="00915F52" w:rsidRPr="00DD1B58">
        <w:rPr>
          <w:lang w:val="en-US"/>
        </w:rPr>
        <w:t>(</w:t>
      </w:r>
      <w:r w:rsidR="00E40DC8" w:rsidRPr="00DD1B58">
        <w:rPr>
          <w:lang w:val="en-US"/>
        </w:rPr>
        <w:t>i</w:t>
      </w:r>
      <w:r w:rsidR="00915F52" w:rsidRPr="00DD1B58">
        <w:rPr>
          <w:lang w:val="en-US"/>
        </w:rPr>
        <w:t>.</w:t>
      </w:r>
      <w:r w:rsidR="00E40DC8" w:rsidRPr="00DD1B58">
        <w:rPr>
          <w:lang w:val="en-US"/>
        </w:rPr>
        <w:t>e.</w:t>
      </w:r>
      <w:r w:rsidR="00915F52" w:rsidRPr="00DD1B58">
        <w:rPr>
          <w:lang w:val="en-US"/>
        </w:rPr>
        <w:t>,</w:t>
      </w:r>
      <w:r w:rsidR="00E40DC8" w:rsidRPr="00DD1B58">
        <w:rPr>
          <w:lang w:val="en-US"/>
        </w:rPr>
        <w:t xml:space="preserve"> </w:t>
      </w:r>
      <w:r w:rsidR="008C01E6" w:rsidRPr="00DD1B58">
        <w:rPr>
          <w:lang w:val="en-US"/>
        </w:rPr>
        <w:t xml:space="preserve">the </w:t>
      </w:r>
      <w:r w:rsidR="000E77A7" w:rsidRPr="00DD1B58">
        <w:rPr>
          <w:lang w:val="en-US"/>
        </w:rPr>
        <w:t>OAs</w:t>
      </w:r>
      <w:r w:rsidR="004E3C0D" w:rsidRPr="00DD1B58">
        <w:rPr>
          <w:lang w:val="en-US"/>
        </w:rPr>
        <w:t xml:space="preserve"> </w:t>
      </w:r>
      <w:r w:rsidR="000E77A7" w:rsidRPr="00DD1B58">
        <w:rPr>
          <w:lang w:val="en-US"/>
        </w:rPr>
        <w:t>and rOI in the HAZANs and Safety Case</w:t>
      </w:r>
      <w:r w:rsidR="00E40DC8" w:rsidRPr="00DD1B58">
        <w:rPr>
          <w:lang w:val="en-US"/>
        </w:rPr>
        <w:t>s</w:t>
      </w:r>
      <w:r w:rsidR="00915F52" w:rsidRPr="00DD1B58">
        <w:rPr>
          <w:lang w:val="en-US"/>
        </w:rPr>
        <w:t>)</w:t>
      </w:r>
      <w:r w:rsidR="000E77A7" w:rsidRPr="00DD1B58">
        <w:rPr>
          <w:lang w:val="en-US"/>
        </w:rPr>
        <w:t xml:space="preserve">, safety procedures and plant specific toolbox talks. </w:t>
      </w:r>
      <w:r w:rsidRPr="00DD1B58">
        <w:rPr>
          <w:lang w:val="en-US"/>
        </w:rPr>
        <w:t>Sellafield Ltd.</w:t>
      </w:r>
      <w:r w:rsidR="004E3C0D" w:rsidRPr="00DD1B58">
        <w:rPr>
          <w:lang w:val="en-US"/>
        </w:rPr>
        <w:t xml:space="preserve"> </w:t>
      </w:r>
      <w:r w:rsidR="00E40DC8" w:rsidRPr="00DD1B58">
        <w:rPr>
          <w:lang w:val="en-US"/>
        </w:rPr>
        <w:t>report</w:t>
      </w:r>
      <w:r w:rsidR="00915F52" w:rsidRPr="00DD1B58">
        <w:rPr>
          <w:lang w:val="en-US"/>
        </w:rPr>
        <w:t>s</w:t>
      </w:r>
      <w:r w:rsidR="00E40DC8" w:rsidRPr="00DD1B58">
        <w:rPr>
          <w:lang w:val="en-US"/>
        </w:rPr>
        <w:t xml:space="preserve"> that laydown areas </w:t>
      </w:r>
      <w:r w:rsidR="000E77A7" w:rsidRPr="00DD1B58">
        <w:rPr>
          <w:lang w:val="en-US"/>
        </w:rPr>
        <w:t>may then be demarcated within the facility</w:t>
      </w:r>
      <w:r w:rsidR="00915F52" w:rsidRPr="00DD1B58">
        <w:rPr>
          <w:lang w:val="en-US"/>
        </w:rPr>
        <w:t>,</w:t>
      </w:r>
      <w:r w:rsidR="000E77A7" w:rsidRPr="00DD1B58">
        <w:rPr>
          <w:lang w:val="en-US"/>
        </w:rPr>
        <w:t xml:space="preserve"> </w:t>
      </w:r>
      <w:r w:rsidR="00E40DC8" w:rsidRPr="00DD1B58">
        <w:rPr>
          <w:lang w:val="en-US"/>
        </w:rPr>
        <w:t xml:space="preserve">requiring that </w:t>
      </w:r>
      <w:r w:rsidR="000E77A7" w:rsidRPr="00DD1B58">
        <w:rPr>
          <w:lang w:val="en-US"/>
        </w:rPr>
        <w:t xml:space="preserve">any materials must be stored within </w:t>
      </w:r>
      <w:r w:rsidR="00E40DC8" w:rsidRPr="00DD1B58">
        <w:rPr>
          <w:lang w:val="en-US"/>
        </w:rPr>
        <w:t>it</w:t>
      </w:r>
      <w:r w:rsidR="00915F52" w:rsidRPr="00DD1B58">
        <w:rPr>
          <w:lang w:val="en-US"/>
        </w:rPr>
        <w:t xml:space="preserve"> temporarily</w:t>
      </w:r>
      <w:r w:rsidR="00E40DC8" w:rsidRPr="00DD1B58">
        <w:rPr>
          <w:lang w:val="en-US"/>
        </w:rPr>
        <w:t>.</w:t>
      </w:r>
    </w:p>
    <w:p w14:paraId="67DBC4BD" w14:textId="163B0CFF" w:rsidR="000E77A7" w:rsidRPr="00DD1B58" w:rsidDel="00FD580B" w:rsidRDefault="00135627" w:rsidP="000E77A7">
      <w:pPr>
        <w:rPr>
          <w:lang w:val="en-US"/>
        </w:rPr>
      </w:pPr>
      <w:r w:rsidRPr="00DD1B58">
        <w:rPr>
          <w:lang w:val="en-US"/>
        </w:rPr>
        <w:t xml:space="preserve">Finally, </w:t>
      </w:r>
      <w:r w:rsidR="004668E0" w:rsidRPr="00DD1B58">
        <w:rPr>
          <w:lang w:val="en-US"/>
        </w:rPr>
        <w:t xml:space="preserve">Sellafield Ltd. </w:t>
      </w:r>
      <w:r w:rsidRPr="00DD1B58">
        <w:rPr>
          <w:lang w:val="en-US"/>
        </w:rPr>
        <w:t>report</w:t>
      </w:r>
      <w:r w:rsidR="00915F52" w:rsidRPr="00DD1B58">
        <w:rPr>
          <w:lang w:val="en-US"/>
        </w:rPr>
        <w:t>s</w:t>
      </w:r>
      <w:r w:rsidRPr="00DD1B58">
        <w:rPr>
          <w:lang w:val="en-US"/>
        </w:rPr>
        <w:t xml:space="preserve"> that</w:t>
      </w:r>
      <w:r w:rsidR="00D7681B" w:rsidRPr="00DD1B58">
        <w:rPr>
          <w:lang w:val="en-US"/>
        </w:rPr>
        <w:t xml:space="preserve">, </w:t>
      </w:r>
      <w:r w:rsidR="00D7681B" w:rsidRPr="00DD1B58" w:rsidDel="00FD580B">
        <w:rPr>
          <w:lang w:val="en-US"/>
        </w:rPr>
        <w:t>where there is a nuclear safety consequence associated with combustibles management</w:t>
      </w:r>
      <w:r w:rsidR="00D7681B" w:rsidRPr="00DD1B58">
        <w:rPr>
          <w:lang w:val="en-US"/>
        </w:rPr>
        <w:t>,</w:t>
      </w:r>
      <w:r w:rsidRPr="00DD1B58">
        <w:rPr>
          <w:lang w:val="en-US"/>
        </w:rPr>
        <w:t xml:space="preserve"> </w:t>
      </w:r>
      <w:r w:rsidR="000E77A7" w:rsidRPr="00DD1B58" w:rsidDel="00FD580B">
        <w:rPr>
          <w:lang w:val="en-US"/>
        </w:rPr>
        <w:t>Radiological Safety Assessment HAZANs will detail OAs and rOI to control and limit combustibles.</w:t>
      </w:r>
    </w:p>
    <w:p w14:paraId="7517728E" w14:textId="23943B3F" w:rsidR="000E77A7" w:rsidRPr="00DD1B58" w:rsidRDefault="00EF2049" w:rsidP="000E77A7">
      <w:pPr>
        <w:rPr>
          <w:lang w:val="en-US"/>
        </w:rPr>
      </w:pPr>
      <w:r w:rsidRPr="00DD1B58">
        <w:rPr>
          <w:lang w:val="en-US"/>
        </w:rPr>
        <w:t>FRA</w:t>
      </w:r>
      <w:r w:rsidR="00AA3696" w:rsidRPr="00DD1B58">
        <w:rPr>
          <w:lang w:val="en-US"/>
        </w:rPr>
        <w:t>s</w:t>
      </w:r>
      <w:r w:rsidR="000E77A7" w:rsidRPr="00DD1B58">
        <w:rPr>
          <w:lang w:val="en-US"/>
        </w:rPr>
        <w:t xml:space="preserve"> for legislative compliance for life safety are produced and reviewed internally. The </w:t>
      </w:r>
      <w:r w:rsidRPr="00DD1B58">
        <w:rPr>
          <w:lang w:val="en-US"/>
        </w:rPr>
        <w:t>FRA</w:t>
      </w:r>
      <w:r w:rsidR="000E77A7" w:rsidRPr="00DD1B58">
        <w:rPr>
          <w:lang w:val="en-US"/>
        </w:rPr>
        <w:t xml:space="preserve"> details fuel sources and combustible management recommendations and control measures required to minimise fire loads across the whole of the Sellafield</w:t>
      </w:r>
      <w:r w:rsidR="00AA3696" w:rsidRPr="00DD1B58">
        <w:rPr>
          <w:lang w:val="en-US"/>
        </w:rPr>
        <w:t xml:space="preserve"> site</w:t>
      </w:r>
      <w:r w:rsidR="000E77A7" w:rsidRPr="00DD1B58">
        <w:rPr>
          <w:lang w:val="en-US"/>
        </w:rPr>
        <w:t xml:space="preserve">, since high standards of life </w:t>
      </w:r>
      <w:r w:rsidR="00AA3696" w:rsidRPr="00DD1B58">
        <w:rPr>
          <w:lang w:val="en-US"/>
        </w:rPr>
        <w:t xml:space="preserve">fire </w:t>
      </w:r>
      <w:r w:rsidR="000E77A7" w:rsidRPr="00DD1B58">
        <w:rPr>
          <w:lang w:val="en-US"/>
        </w:rPr>
        <w:t>safety contribute to the overall fire risk reduction methods to ensure high levels of nuclear fire safety.</w:t>
      </w:r>
    </w:p>
    <w:p w14:paraId="1F92A102" w14:textId="703FBFA0" w:rsidR="00190522" w:rsidRPr="00DD1B58" w:rsidRDefault="00146ECD" w:rsidP="000E77A7">
      <w:pPr>
        <w:rPr>
          <w:b/>
          <w:lang w:val="en-US"/>
        </w:rPr>
      </w:pPr>
      <w:r w:rsidRPr="00DD1B58">
        <w:rPr>
          <w:b/>
          <w:lang w:val="en-US"/>
        </w:rPr>
        <w:t>Candidate facilities examples</w:t>
      </w:r>
    </w:p>
    <w:p w14:paraId="57378119" w14:textId="77777777" w:rsidR="002E2DED" w:rsidRPr="00DD1B58" w:rsidRDefault="002E2DED" w:rsidP="002E2DED">
      <w:pPr>
        <w:rPr>
          <w:i/>
          <w:iCs/>
          <w:lang w:val="en-US"/>
        </w:rPr>
      </w:pPr>
      <w:r w:rsidRPr="00DD1B58">
        <w:rPr>
          <w:i/>
          <w:iCs/>
          <w:lang w:val="en-US"/>
        </w:rPr>
        <w:t>Waste Vitrification Plants, Magnox Reprocessing and Encapsulation Plants</w:t>
      </w:r>
    </w:p>
    <w:p w14:paraId="07607ED7" w14:textId="69FF49CC" w:rsidR="002E2DED" w:rsidRPr="00DD1B58" w:rsidRDefault="00134292" w:rsidP="002E2DED">
      <w:pPr>
        <w:rPr>
          <w:lang w:val="en-US"/>
        </w:rPr>
      </w:pPr>
      <w:r w:rsidRPr="00DD1B58">
        <w:rPr>
          <w:lang w:val="en-US"/>
        </w:rPr>
        <w:t>Sellafield Ltd</w:t>
      </w:r>
      <w:r w:rsidR="004668E0" w:rsidRPr="00DD1B58">
        <w:rPr>
          <w:lang w:val="en-US"/>
        </w:rPr>
        <w:t>.</w:t>
      </w:r>
      <w:r w:rsidR="006A1342" w:rsidRPr="00DD1B58">
        <w:rPr>
          <w:lang w:val="en-US"/>
        </w:rPr>
        <w:t xml:space="preserve"> report</w:t>
      </w:r>
      <w:r w:rsidR="00AA3696" w:rsidRPr="00DD1B58">
        <w:rPr>
          <w:lang w:val="en-US"/>
        </w:rPr>
        <w:t>s</w:t>
      </w:r>
      <w:r w:rsidR="006A1342" w:rsidRPr="00DD1B58">
        <w:rPr>
          <w:lang w:val="en-US"/>
        </w:rPr>
        <w:t xml:space="preserve"> that q</w:t>
      </w:r>
      <w:r w:rsidR="002E2DED" w:rsidRPr="00DD1B58">
        <w:rPr>
          <w:lang w:val="en-US"/>
        </w:rPr>
        <w:t xml:space="preserve">uantitative fire loads </w:t>
      </w:r>
      <w:r w:rsidR="00D810E8" w:rsidRPr="00DD1B58">
        <w:rPr>
          <w:lang w:val="en-US"/>
        </w:rPr>
        <w:t xml:space="preserve">were </w:t>
      </w:r>
      <w:r w:rsidR="002E2DED" w:rsidRPr="00DD1B58">
        <w:rPr>
          <w:lang w:val="en-US"/>
        </w:rPr>
        <w:t xml:space="preserve">assessed and detailed in the Continued Operations Safety Case (COSC) Conventional Fire Hazard Analysis for Waste Vitrification Plants, Magnox Reprocessing and Encapsulation Plants. </w:t>
      </w:r>
      <w:r w:rsidR="004668E0" w:rsidRPr="00DD1B58">
        <w:rPr>
          <w:lang w:val="en-US"/>
        </w:rPr>
        <w:t>Sellafield Ltd.</w:t>
      </w:r>
      <w:r w:rsidR="006A1342" w:rsidRPr="00DD1B58">
        <w:rPr>
          <w:lang w:val="en-US"/>
        </w:rPr>
        <w:t xml:space="preserve"> state</w:t>
      </w:r>
      <w:r w:rsidR="00D810E8" w:rsidRPr="00DD1B58">
        <w:rPr>
          <w:lang w:val="en-US"/>
        </w:rPr>
        <w:t>s</w:t>
      </w:r>
      <w:r w:rsidR="006A1342" w:rsidRPr="00DD1B58">
        <w:rPr>
          <w:lang w:val="en-US"/>
        </w:rPr>
        <w:t xml:space="preserve"> that this </w:t>
      </w:r>
      <w:r w:rsidR="002E2DED" w:rsidRPr="00DD1B58">
        <w:rPr>
          <w:lang w:val="en-US"/>
        </w:rPr>
        <w:t>was subsequently updated in the Continued Operations Safety Report (COSR) Conventional Fire Hazard Analysis</w:t>
      </w:r>
      <w:r w:rsidR="006A1342" w:rsidRPr="00DD1B58">
        <w:rPr>
          <w:lang w:val="en-US"/>
        </w:rPr>
        <w:t xml:space="preserve"> and that an </w:t>
      </w:r>
      <w:r w:rsidR="002E2DED" w:rsidRPr="00DD1B58">
        <w:rPr>
          <w:lang w:val="en-US"/>
        </w:rPr>
        <w:t>explicit quantitative fire loading study was not carried out for the COSR</w:t>
      </w:r>
      <w:r w:rsidR="006A1342" w:rsidRPr="00DD1B58">
        <w:rPr>
          <w:lang w:val="en-US"/>
        </w:rPr>
        <w:t>. It instead carried out a</w:t>
      </w:r>
      <w:r w:rsidR="002E2DED" w:rsidRPr="00DD1B58">
        <w:rPr>
          <w:lang w:val="en-US"/>
        </w:rPr>
        <w:t xml:space="preserve"> semi-quantitative assessment</w:t>
      </w:r>
      <w:r w:rsidR="006A1342" w:rsidRPr="00DD1B58">
        <w:rPr>
          <w:lang w:val="en-US"/>
        </w:rPr>
        <w:t>, assessing</w:t>
      </w:r>
      <w:r w:rsidR="002E2DED" w:rsidRPr="00DD1B58">
        <w:rPr>
          <w:lang w:val="en-US"/>
        </w:rPr>
        <w:t xml:space="preserve"> the fire loading in each area and assign</w:t>
      </w:r>
      <w:r w:rsidR="006A1342" w:rsidRPr="00DD1B58">
        <w:rPr>
          <w:lang w:val="en-US"/>
        </w:rPr>
        <w:t>ing</w:t>
      </w:r>
      <w:r w:rsidR="002E2DED" w:rsidRPr="00DD1B58">
        <w:rPr>
          <w:lang w:val="en-US"/>
        </w:rPr>
        <w:t xml:space="preserve"> values based upon observations. </w:t>
      </w:r>
      <w:r w:rsidR="004668E0" w:rsidRPr="00DD1B58">
        <w:rPr>
          <w:lang w:val="en-US"/>
        </w:rPr>
        <w:t>Sellafield Ltd.</w:t>
      </w:r>
      <w:r w:rsidR="00D810E8" w:rsidRPr="00DD1B58">
        <w:rPr>
          <w:lang w:val="en-US"/>
        </w:rPr>
        <w:t xml:space="preserve"> states</w:t>
      </w:r>
      <w:r w:rsidR="006A1342" w:rsidRPr="00DD1B58">
        <w:rPr>
          <w:lang w:val="en-US"/>
        </w:rPr>
        <w:t xml:space="preserve"> that s</w:t>
      </w:r>
      <w:r w:rsidR="002E2DED" w:rsidRPr="00DD1B58">
        <w:rPr>
          <w:lang w:val="en-US"/>
        </w:rPr>
        <w:t xml:space="preserve">ome areas identified during the plant walkdowns of the facility where the fire loading </w:t>
      </w:r>
      <w:r w:rsidR="006A1342" w:rsidRPr="00DD1B58">
        <w:rPr>
          <w:lang w:val="en-US"/>
        </w:rPr>
        <w:t xml:space="preserve">could </w:t>
      </w:r>
      <w:r w:rsidR="002E2DED" w:rsidRPr="00DD1B58">
        <w:rPr>
          <w:lang w:val="en-US"/>
        </w:rPr>
        <w:t xml:space="preserve">potentially threaten fire compartmentation </w:t>
      </w:r>
      <w:r w:rsidR="00C05B59" w:rsidRPr="00DD1B58">
        <w:rPr>
          <w:lang w:val="en-US"/>
        </w:rPr>
        <w:t xml:space="preserve">were subject to </w:t>
      </w:r>
      <w:r w:rsidR="002E2DED" w:rsidRPr="00DD1B58">
        <w:rPr>
          <w:lang w:val="en-US"/>
        </w:rPr>
        <w:t xml:space="preserve">quantitative fire loading </w:t>
      </w:r>
      <w:r w:rsidR="00C05B59" w:rsidRPr="00DD1B58">
        <w:rPr>
          <w:lang w:val="en-US"/>
        </w:rPr>
        <w:t>assessment</w:t>
      </w:r>
      <w:r w:rsidR="002E2DED" w:rsidRPr="00DD1B58">
        <w:rPr>
          <w:lang w:val="en-US"/>
        </w:rPr>
        <w:t xml:space="preserve">. </w:t>
      </w:r>
      <w:r w:rsidR="00C05B59" w:rsidRPr="00DD1B58">
        <w:rPr>
          <w:lang w:val="en-US"/>
        </w:rPr>
        <w:t xml:space="preserve">It used the </w:t>
      </w:r>
      <w:r w:rsidR="002E2DED" w:rsidRPr="00DD1B58">
        <w:rPr>
          <w:lang w:val="en-US"/>
        </w:rPr>
        <w:t xml:space="preserve">information to generate recommendations </w:t>
      </w:r>
      <w:r w:rsidR="00C05B59" w:rsidRPr="00DD1B58">
        <w:rPr>
          <w:lang w:val="en-US"/>
        </w:rPr>
        <w:t>to</w:t>
      </w:r>
      <w:r w:rsidR="002E2DED" w:rsidRPr="00DD1B58">
        <w:rPr>
          <w:lang w:val="en-US"/>
        </w:rPr>
        <w:t xml:space="preserve"> control and manage the fire loads within expected design parameters.</w:t>
      </w:r>
    </w:p>
    <w:p w14:paraId="1BEEC105" w14:textId="01BEFBBE" w:rsidR="002E2DED" w:rsidRPr="00DD1B58" w:rsidRDefault="006428CB" w:rsidP="002E2DED">
      <w:pPr>
        <w:rPr>
          <w:i/>
          <w:iCs/>
          <w:lang w:val="en-US"/>
        </w:rPr>
      </w:pPr>
      <w:r w:rsidRPr="00DD1B58">
        <w:rPr>
          <w:i/>
          <w:iCs/>
          <w:lang w:val="en-US"/>
        </w:rPr>
        <w:t>BEPPS-DIF</w:t>
      </w:r>
      <w:r w:rsidR="002E2DED" w:rsidRPr="00DD1B58">
        <w:rPr>
          <w:i/>
          <w:iCs/>
          <w:lang w:val="en-US"/>
        </w:rPr>
        <w:t xml:space="preserve"> and SPRS</w:t>
      </w:r>
    </w:p>
    <w:p w14:paraId="316F9829" w14:textId="7DF46783" w:rsidR="002E2DED" w:rsidRPr="00DD1B58" w:rsidRDefault="004668E0" w:rsidP="002E2DED">
      <w:pPr>
        <w:rPr>
          <w:lang w:val="en-US"/>
        </w:rPr>
      </w:pPr>
      <w:r w:rsidRPr="00DD1B58">
        <w:rPr>
          <w:lang w:val="en-US"/>
        </w:rPr>
        <w:t>Sellafield Ltd.</w:t>
      </w:r>
      <w:r w:rsidR="00E32045" w:rsidRPr="00DD1B58">
        <w:rPr>
          <w:lang w:val="en-US"/>
        </w:rPr>
        <w:t xml:space="preserve"> state</w:t>
      </w:r>
      <w:r w:rsidR="00D810E8" w:rsidRPr="00DD1B58">
        <w:rPr>
          <w:lang w:val="en-US"/>
        </w:rPr>
        <w:t>s</w:t>
      </w:r>
      <w:r w:rsidR="00E32045" w:rsidRPr="00DD1B58">
        <w:rPr>
          <w:lang w:val="en-US"/>
        </w:rPr>
        <w:t xml:space="preserve"> that </w:t>
      </w:r>
      <w:r w:rsidR="006428CB" w:rsidRPr="00DD1B58">
        <w:rPr>
          <w:lang w:val="en-US"/>
        </w:rPr>
        <w:t>BEPPS-</w:t>
      </w:r>
      <w:r w:rsidR="002E2DED" w:rsidRPr="00DD1B58">
        <w:rPr>
          <w:lang w:val="en-US"/>
        </w:rPr>
        <w:t>DIF and SPRS are relatively new build</w:t>
      </w:r>
      <w:r w:rsidR="00C05B59" w:rsidRPr="00DD1B58">
        <w:rPr>
          <w:lang w:val="en-US"/>
        </w:rPr>
        <w:t xml:space="preserve"> </w:t>
      </w:r>
      <w:r w:rsidR="00D54EFF" w:rsidRPr="00DD1B58">
        <w:rPr>
          <w:lang w:val="en-US"/>
        </w:rPr>
        <w:t>facilities</w:t>
      </w:r>
      <w:r w:rsidR="00C05B59" w:rsidRPr="00DD1B58">
        <w:rPr>
          <w:lang w:val="en-US"/>
        </w:rPr>
        <w:t xml:space="preserve">. </w:t>
      </w:r>
      <w:r w:rsidR="00D810E8" w:rsidRPr="00DD1B58">
        <w:rPr>
          <w:lang w:val="en-US"/>
        </w:rPr>
        <w:t xml:space="preserve">It </w:t>
      </w:r>
      <w:r w:rsidR="00C05B59" w:rsidRPr="00DD1B58">
        <w:rPr>
          <w:lang w:val="en-US"/>
        </w:rPr>
        <w:t>report</w:t>
      </w:r>
      <w:r w:rsidR="00D810E8" w:rsidRPr="00DD1B58">
        <w:rPr>
          <w:lang w:val="en-US"/>
        </w:rPr>
        <w:t xml:space="preserve">s </w:t>
      </w:r>
      <w:r w:rsidR="00C05B59" w:rsidRPr="00DD1B58">
        <w:rPr>
          <w:lang w:val="en-US"/>
        </w:rPr>
        <w:t xml:space="preserve">that fire loading </w:t>
      </w:r>
      <w:r w:rsidR="00D810E8" w:rsidRPr="00DD1B58">
        <w:rPr>
          <w:lang w:val="en-US"/>
        </w:rPr>
        <w:t xml:space="preserve">was </w:t>
      </w:r>
      <w:r w:rsidR="002E2DED" w:rsidRPr="00DD1B58">
        <w:rPr>
          <w:lang w:val="en-US"/>
        </w:rPr>
        <w:t xml:space="preserve">quantitatively assessed as part of the conventional fire analyses detailed in the design Nuclear Safety Case production. The Operational Safety Case Conventional Fire and Internal Hazard Analyses assessed the fire loads qualitatively and </w:t>
      </w:r>
      <w:r w:rsidR="00633664" w:rsidRPr="00DD1B58">
        <w:rPr>
          <w:lang w:val="en-US"/>
        </w:rPr>
        <w:t xml:space="preserve">took </w:t>
      </w:r>
      <w:r w:rsidR="00D810E8" w:rsidRPr="00DD1B58">
        <w:rPr>
          <w:lang w:val="en-US"/>
        </w:rPr>
        <w:t xml:space="preserve">into </w:t>
      </w:r>
      <w:r w:rsidR="002E2DED" w:rsidRPr="00DD1B58">
        <w:rPr>
          <w:lang w:val="en-US"/>
        </w:rPr>
        <w:t xml:space="preserve">account transient and fixed fire loads. </w:t>
      </w:r>
      <w:r w:rsidR="002F68FD" w:rsidRPr="00DD1B58">
        <w:rPr>
          <w:lang w:val="en-US"/>
        </w:rPr>
        <w:t>Sellafield report</w:t>
      </w:r>
      <w:r w:rsidR="00D810E8" w:rsidRPr="00DD1B58">
        <w:rPr>
          <w:lang w:val="en-US"/>
        </w:rPr>
        <w:t>s</w:t>
      </w:r>
      <w:r w:rsidR="002F68FD" w:rsidRPr="00DD1B58">
        <w:rPr>
          <w:lang w:val="en-US"/>
        </w:rPr>
        <w:t xml:space="preserve"> that the information was</w:t>
      </w:r>
      <w:r w:rsidR="002E2DED" w:rsidRPr="00DD1B58">
        <w:rPr>
          <w:lang w:val="en-US"/>
        </w:rPr>
        <w:t xml:space="preserve"> used to generate recommendations </w:t>
      </w:r>
      <w:r w:rsidR="00633664" w:rsidRPr="00DD1B58">
        <w:rPr>
          <w:lang w:val="en-US"/>
        </w:rPr>
        <w:t>to</w:t>
      </w:r>
      <w:r w:rsidR="002E2DED" w:rsidRPr="00DD1B58">
        <w:rPr>
          <w:lang w:val="en-US"/>
        </w:rPr>
        <w:t xml:space="preserve"> manage fire loads within expected design parameters.</w:t>
      </w:r>
    </w:p>
    <w:p w14:paraId="212D3157" w14:textId="77777777" w:rsidR="002E2DED" w:rsidRPr="00DD1B58" w:rsidRDefault="002E2DED" w:rsidP="002E2DED">
      <w:pPr>
        <w:rPr>
          <w:i/>
          <w:iCs/>
          <w:lang w:val="en-US"/>
        </w:rPr>
      </w:pPr>
      <w:r w:rsidRPr="00DD1B58">
        <w:rPr>
          <w:i/>
          <w:iCs/>
          <w:lang w:val="en-US"/>
        </w:rPr>
        <w:t>Pile 1</w:t>
      </w:r>
    </w:p>
    <w:p w14:paraId="5DCAA547" w14:textId="1929C3B8" w:rsidR="00146ECD" w:rsidRPr="00DD1B58" w:rsidRDefault="00134292" w:rsidP="002E2DED">
      <w:pPr>
        <w:rPr>
          <w:lang w:val="en-US"/>
        </w:rPr>
      </w:pPr>
      <w:r w:rsidRPr="00DD1B58">
        <w:rPr>
          <w:lang w:val="en-US"/>
        </w:rPr>
        <w:t>Sellafield Ltd</w:t>
      </w:r>
      <w:r w:rsidR="004668E0" w:rsidRPr="00DD1B58">
        <w:rPr>
          <w:lang w:val="en-US"/>
        </w:rPr>
        <w:t>.</w:t>
      </w:r>
      <w:r w:rsidR="002F68FD" w:rsidRPr="00DD1B58">
        <w:rPr>
          <w:lang w:val="en-US"/>
        </w:rPr>
        <w:t xml:space="preserve"> considers </w:t>
      </w:r>
      <w:r w:rsidR="002E2DED" w:rsidRPr="00DD1B58">
        <w:rPr>
          <w:lang w:val="en-US"/>
        </w:rPr>
        <w:t xml:space="preserve">Pile 1 </w:t>
      </w:r>
      <w:r w:rsidR="002F68FD" w:rsidRPr="00DD1B58">
        <w:rPr>
          <w:lang w:val="en-US"/>
        </w:rPr>
        <w:t xml:space="preserve">as </w:t>
      </w:r>
      <w:r w:rsidR="002E2DED" w:rsidRPr="00DD1B58">
        <w:rPr>
          <w:lang w:val="en-US"/>
        </w:rPr>
        <w:t xml:space="preserve">a low hazard facility </w:t>
      </w:r>
      <w:r w:rsidR="00396E9A" w:rsidRPr="00DD1B58">
        <w:rPr>
          <w:lang w:val="en-US"/>
        </w:rPr>
        <w:t>that is in</w:t>
      </w:r>
      <w:r w:rsidR="002E2DED" w:rsidRPr="00DD1B58">
        <w:rPr>
          <w:lang w:val="en-US"/>
        </w:rPr>
        <w:t xml:space="preserve"> a quiescent state under</w:t>
      </w:r>
      <w:r w:rsidR="00EB54DE" w:rsidRPr="00DD1B58">
        <w:rPr>
          <w:lang w:val="en-US"/>
        </w:rPr>
        <w:t xml:space="preserve"> </w:t>
      </w:r>
      <w:r w:rsidR="002E2DED" w:rsidRPr="00DD1B58">
        <w:rPr>
          <w:lang w:val="en-US"/>
        </w:rPr>
        <w:t xml:space="preserve">a regime of care and maintenance. </w:t>
      </w:r>
      <w:r w:rsidR="002F68FD" w:rsidRPr="00DD1B58">
        <w:rPr>
          <w:lang w:val="en-US"/>
        </w:rPr>
        <w:t>It report</w:t>
      </w:r>
      <w:r w:rsidR="00D810E8" w:rsidRPr="00DD1B58">
        <w:rPr>
          <w:lang w:val="en-US"/>
        </w:rPr>
        <w:t>s</w:t>
      </w:r>
      <w:r w:rsidR="002F68FD" w:rsidRPr="00DD1B58">
        <w:rPr>
          <w:lang w:val="en-US"/>
        </w:rPr>
        <w:t xml:space="preserve"> that the </w:t>
      </w:r>
      <w:r w:rsidR="002E2DED" w:rsidRPr="00DD1B58">
        <w:rPr>
          <w:lang w:val="en-US"/>
        </w:rPr>
        <w:t>radiological and non-radiological fire load</w:t>
      </w:r>
      <w:r w:rsidR="002F68FD" w:rsidRPr="00DD1B58">
        <w:rPr>
          <w:lang w:val="en-US"/>
        </w:rPr>
        <w:t>s</w:t>
      </w:r>
      <w:r w:rsidR="002E2DED" w:rsidRPr="00DD1B58">
        <w:rPr>
          <w:lang w:val="en-US"/>
        </w:rPr>
        <w:t xml:space="preserve"> </w:t>
      </w:r>
      <w:r w:rsidR="00D810E8" w:rsidRPr="00DD1B58">
        <w:rPr>
          <w:lang w:val="en-US"/>
        </w:rPr>
        <w:t xml:space="preserve">were </w:t>
      </w:r>
      <w:r w:rsidR="002E2DED" w:rsidRPr="00DD1B58">
        <w:rPr>
          <w:lang w:val="en-US"/>
        </w:rPr>
        <w:t xml:space="preserve">quantified within the </w:t>
      </w:r>
      <w:r w:rsidR="002F68FD" w:rsidRPr="00DD1B58">
        <w:rPr>
          <w:lang w:val="en-US"/>
        </w:rPr>
        <w:t>HAZANs and that it used the information</w:t>
      </w:r>
      <w:r w:rsidR="002E2DED" w:rsidRPr="00DD1B58">
        <w:rPr>
          <w:lang w:val="en-US"/>
        </w:rPr>
        <w:t xml:space="preserve"> to manage </w:t>
      </w:r>
      <w:r w:rsidR="002F68FD" w:rsidRPr="00DD1B58">
        <w:rPr>
          <w:lang w:val="en-US"/>
        </w:rPr>
        <w:t>them</w:t>
      </w:r>
      <w:r w:rsidR="002E2DED" w:rsidRPr="00DD1B58">
        <w:rPr>
          <w:lang w:val="en-US"/>
        </w:rPr>
        <w:t xml:space="preserve"> within expected design parameters.</w:t>
      </w:r>
    </w:p>
    <w:p w14:paraId="42338A5B" w14:textId="77777777" w:rsidR="004B5675" w:rsidRPr="00DD1B58" w:rsidRDefault="004B5675" w:rsidP="009D551D">
      <w:pPr>
        <w:pStyle w:val="Heading4"/>
        <w:numPr>
          <w:ilvl w:val="4"/>
          <w:numId w:val="3"/>
        </w:numPr>
        <w:rPr>
          <w:lang w:val="en-US"/>
        </w:rPr>
      </w:pPr>
      <w:r w:rsidRPr="00DD1B58">
        <w:rPr>
          <w:lang w:val="en-US"/>
        </w:rPr>
        <w:t xml:space="preserve">Fire service intervention </w:t>
      </w:r>
    </w:p>
    <w:p w14:paraId="62E42F37" w14:textId="3140C3D9" w:rsidR="008B629D" w:rsidRPr="00DD1B58" w:rsidRDefault="00134292">
      <w:pPr>
        <w:rPr>
          <w:lang w:val="en-US"/>
        </w:rPr>
      </w:pPr>
      <w:r w:rsidRPr="00DD1B58">
        <w:rPr>
          <w:lang w:val="en-US"/>
        </w:rPr>
        <w:t>Sellafield Ltd</w:t>
      </w:r>
      <w:r w:rsidR="004668E0" w:rsidRPr="00DD1B58">
        <w:rPr>
          <w:lang w:val="en-US"/>
        </w:rPr>
        <w:t>.</w:t>
      </w:r>
      <w:r w:rsidR="000C68C9" w:rsidRPr="00DD1B58">
        <w:rPr>
          <w:lang w:val="en-US"/>
        </w:rPr>
        <w:t xml:space="preserve"> report</w:t>
      </w:r>
      <w:r w:rsidR="00392664" w:rsidRPr="00DD1B58">
        <w:rPr>
          <w:lang w:val="en-US"/>
        </w:rPr>
        <w:t>s</w:t>
      </w:r>
      <w:r w:rsidR="000C68C9" w:rsidRPr="00DD1B58">
        <w:rPr>
          <w:lang w:val="en-US"/>
        </w:rPr>
        <w:t xml:space="preserve"> that f</w:t>
      </w:r>
      <w:r w:rsidR="008B629D" w:rsidRPr="00DD1B58">
        <w:rPr>
          <w:lang w:val="en-US"/>
        </w:rPr>
        <w:t xml:space="preserve">ire service intervention is considered </w:t>
      </w:r>
      <w:r w:rsidR="00392664" w:rsidRPr="00DD1B58">
        <w:rPr>
          <w:lang w:val="en-US"/>
        </w:rPr>
        <w:t>a defence in depth mitigation measure,</w:t>
      </w:r>
      <w:r w:rsidR="008B629D" w:rsidRPr="00DD1B58">
        <w:rPr>
          <w:lang w:val="en-US"/>
        </w:rPr>
        <w:t xml:space="preserve"> but not claimed, designated or substantiated</w:t>
      </w:r>
      <w:r w:rsidR="00142AB2" w:rsidRPr="00DD1B58">
        <w:rPr>
          <w:lang w:val="en-US"/>
        </w:rPr>
        <w:t xml:space="preserve"> in </w:t>
      </w:r>
      <w:r w:rsidR="000C68C9" w:rsidRPr="00DD1B58">
        <w:rPr>
          <w:lang w:val="en-US"/>
        </w:rPr>
        <w:t xml:space="preserve">its </w:t>
      </w:r>
      <w:r w:rsidR="00142AB2" w:rsidRPr="00DD1B58">
        <w:rPr>
          <w:lang w:val="en-US"/>
        </w:rPr>
        <w:t>safety cases</w:t>
      </w:r>
      <w:r w:rsidR="008B629D" w:rsidRPr="00DD1B58">
        <w:rPr>
          <w:lang w:val="en-US"/>
        </w:rPr>
        <w:t xml:space="preserve">. </w:t>
      </w:r>
      <w:r w:rsidRPr="00DD1B58">
        <w:rPr>
          <w:lang w:val="en-US"/>
        </w:rPr>
        <w:t>Sellafield Ltd</w:t>
      </w:r>
      <w:r w:rsidR="004668E0" w:rsidRPr="00DD1B58">
        <w:rPr>
          <w:lang w:val="en-US"/>
        </w:rPr>
        <w:t>.</w:t>
      </w:r>
      <w:r w:rsidR="00650CF9" w:rsidRPr="00DD1B58">
        <w:rPr>
          <w:lang w:val="en-US"/>
        </w:rPr>
        <w:t xml:space="preserve"> also report</w:t>
      </w:r>
      <w:r w:rsidR="00392664" w:rsidRPr="00DD1B58">
        <w:rPr>
          <w:lang w:val="en-US"/>
        </w:rPr>
        <w:t>s</w:t>
      </w:r>
      <w:r w:rsidR="00650CF9" w:rsidRPr="00DD1B58">
        <w:rPr>
          <w:lang w:val="en-US"/>
        </w:rPr>
        <w:t xml:space="preserve"> that f</w:t>
      </w:r>
      <w:r w:rsidR="008B629D" w:rsidRPr="00DD1B58">
        <w:rPr>
          <w:lang w:val="en-US"/>
        </w:rPr>
        <w:t xml:space="preserve">irefighting access and facilities are assessed and provided in accordance with the Building Regulations and Sellafield EDSPs commensurate with the worst-case fire scenarios. </w:t>
      </w:r>
    </w:p>
    <w:p w14:paraId="2B0F11AE" w14:textId="2F44EF06" w:rsidR="008B629D" w:rsidRPr="00DD1B58" w:rsidRDefault="008B629D" w:rsidP="008B629D">
      <w:pPr>
        <w:rPr>
          <w:lang w:val="en-US"/>
        </w:rPr>
      </w:pPr>
      <w:r w:rsidRPr="00DD1B58">
        <w:rPr>
          <w:lang w:val="en-US"/>
        </w:rPr>
        <w:t>The service provided by Sellafield Fire &amp; Rescue Service (SF&amp;RS) is a 24/7 first strike, rapid response capability</w:t>
      </w:r>
      <w:r w:rsidR="00965772" w:rsidRPr="00DD1B58">
        <w:rPr>
          <w:lang w:val="en-US"/>
        </w:rPr>
        <w:t xml:space="preserve"> for </w:t>
      </w:r>
      <w:r w:rsidRPr="00DD1B58">
        <w:rPr>
          <w:lang w:val="en-US"/>
        </w:rPr>
        <w:t>the containment and extinguis</w:t>
      </w:r>
      <w:r w:rsidR="00965772" w:rsidRPr="00DD1B58">
        <w:rPr>
          <w:lang w:val="en-US"/>
        </w:rPr>
        <w:t>hment</w:t>
      </w:r>
      <w:r w:rsidRPr="00DD1B58">
        <w:rPr>
          <w:lang w:val="en-US"/>
        </w:rPr>
        <w:t xml:space="preserve"> </w:t>
      </w:r>
      <w:r w:rsidR="00285069" w:rsidRPr="00DD1B58">
        <w:rPr>
          <w:lang w:val="en-US"/>
        </w:rPr>
        <w:t xml:space="preserve">of </w:t>
      </w:r>
      <w:r w:rsidRPr="00DD1B58">
        <w:rPr>
          <w:lang w:val="en-US"/>
        </w:rPr>
        <w:t>fire</w:t>
      </w:r>
      <w:r w:rsidR="00285069" w:rsidRPr="00DD1B58">
        <w:rPr>
          <w:lang w:val="en-US"/>
        </w:rPr>
        <w:t>s</w:t>
      </w:r>
      <w:r w:rsidRPr="00DD1B58">
        <w:rPr>
          <w:lang w:val="en-US"/>
        </w:rPr>
        <w:t xml:space="preserve">. </w:t>
      </w:r>
      <w:r w:rsidR="00965772" w:rsidRPr="00DD1B58">
        <w:rPr>
          <w:lang w:val="en-US"/>
        </w:rPr>
        <w:t xml:space="preserve">Following </w:t>
      </w:r>
      <w:r w:rsidRPr="00DD1B58">
        <w:rPr>
          <w:lang w:val="en-US"/>
        </w:rPr>
        <w:t>prompt activation of the fire alarm and detection system and subsequent notification to SF&amp;RS</w:t>
      </w:r>
      <w:r w:rsidR="00285069" w:rsidRPr="00DD1B58">
        <w:rPr>
          <w:lang w:val="en-US"/>
        </w:rPr>
        <w:t xml:space="preserve">, </w:t>
      </w:r>
      <w:r w:rsidR="004668E0" w:rsidRPr="00DD1B58">
        <w:rPr>
          <w:lang w:val="en-US"/>
        </w:rPr>
        <w:t xml:space="preserve">Sellafield Ltd. </w:t>
      </w:r>
      <w:r w:rsidR="00AD3BE9" w:rsidRPr="00DD1B58">
        <w:rPr>
          <w:lang w:val="en-US"/>
        </w:rPr>
        <w:t xml:space="preserve">considers </w:t>
      </w:r>
      <w:r w:rsidR="00965772" w:rsidRPr="00DD1B58">
        <w:rPr>
          <w:lang w:val="en-US"/>
        </w:rPr>
        <w:t xml:space="preserve">it </w:t>
      </w:r>
      <w:r w:rsidRPr="00DD1B58">
        <w:rPr>
          <w:lang w:val="en-US"/>
        </w:rPr>
        <w:t xml:space="preserve">reasonable to </w:t>
      </w:r>
      <w:r w:rsidR="00285069" w:rsidRPr="00DD1B58">
        <w:rPr>
          <w:lang w:val="en-US"/>
        </w:rPr>
        <w:t>assume</w:t>
      </w:r>
      <w:r w:rsidR="00965772" w:rsidRPr="00DD1B58">
        <w:rPr>
          <w:lang w:val="en-US"/>
        </w:rPr>
        <w:t xml:space="preserve"> </w:t>
      </w:r>
      <w:r w:rsidRPr="00DD1B58">
        <w:rPr>
          <w:lang w:val="en-US"/>
        </w:rPr>
        <w:t xml:space="preserve">that SF&amp;RS </w:t>
      </w:r>
      <w:r w:rsidR="00965772" w:rsidRPr="00DD1B58">
        <w:rPr>
          <w:lang w:val="en-US"/>
        </w:rPr>
        <w:t xml:space="preserve">will </w:t>
      </w:r>
      <w:r w:rsidRPr="00DD1B58">
        <w:rPr>
          <w:lang w:val="en-US"/>
        </w:rPr>
        <w:t>respond to the alarm promptly</w:t>
      </w:r>
      <w:r w:rsidR="00285069" w:rsidRPr="00DD1B58">
        <w:rPr>
          <w:lang w:val="en-US"/>
        </w:rPr>
        <w:t xml:space="preserve">. </w:t>
      </w:r>
      <w:r w:rsidR="004668E0" w:rsidRPr="00DD1B58">
        <w:rPr>
          <w:lang w:val="en-US"/>
        </w:rPr>
        <w:t>Sellafield Ltd.</w:t>
      </w:r>
      <w:r w:rsidR="00285069" w:rsidRPr="00DD1B58">
        <w:rPr>
          <w:lang w:val="en-US"/>
        </w:rPr>
        <w:t xml:space="preserve"> has assessed and qua</w:t>
      </w:r>
      <w:r w:rsidR="00965772" w:rsidRPr="00DD1B58">
        <w:rPr>
          <w:lang w:val="en-US"/>
        </w:rPr>
        <w:t>n</w:t>
      </w:r>
      <w:r w:rsidR="00285069" w:rsidRPr="00DD1B58">
        <w:rPr>
          <w:lang w:val="en-US"/>
        </w:rPr>
        <w:t>tified o</w:t>
      </w:r>
      <w:r w:rsidRPr="00DD1B58">
        <w:rPr>
          <w:lang w:val="en-US"/>
        </w:rPr>
        <w:t>n</w:t>
      </w:r>
      <w:r w:rsidR="00392664" w:rsidRPr="00DD1B58">
        <w:rPr>
          <w:lang w:val="en-US"/>
        </w:rPr>
        <w:t>-</w:t>
      </w:r>
      <w:r w:rsidRPr="00DD1B58">
        <w:rPr>
          <w:lang w:val="en-US"/>
        </w:rPr>
        <w:t>site SF&amp;RS response times</w:t>
      </w:r>
      <w:r w:rsidR="00285069" w:rsidRPr="00DD1B58">
        <w:rPr>
          <w:lang w:val="en-US"/>
        </w:rPr>
        <w:t xml:space="preserve">. </w:t>
      </w:r>
      <w:r w:rsidR="00392664" w:rsidRPr="00DD1B58">
        <w:rPr>
          <w:lang w:val="en-US"/>
        </w:rPr>
        <w:t>H</w:t>
      </w:r>
      <w:r w:rsidRPr="00DD1B58">
        <w:rPr>
          <w:lang w:val="en-US"/>
        </w:rPr>
        <w:t>owever</w:t>
      </w:r>
      <w:r w:rsidR="00285069" w:rsidRPr="00DD1B58">
        <w:rPr>
          <w:lang w:val="en-US"/>
        </w:rPr>
        <w:t>,</w:t>
      </w:r>
      <w:r w:rsidRPr="00DD1B58">
        <w:rPr>
          <w:lang w:val="en-US"/>
        </w:rPr>
        <w:t xml:space="preserve"> </w:t>
      </w:r>
      <w:r w:rsidR="00C27288" w:rsidRPr="00DD1B58">
        <w:rPr>
          <w:lang w:val="en-US"/>
        </w:rPr>
        <w:t>th</w:t>
      </w:r>
      <w:r w:rsidR="00392664" w:rsidRPr="00DD1B58">
        <w:rPr>
          <w:lang w:val="en-US"/>
        </w:rPr>
        <w:t>is</w:t>
      </w:r>
      <w:r w:rsidR="00C27288" w:rsidRPr="00DD1B58">
        <w:rPr>
          <w:lang w:val="en-US"/>
        </w:rPr>
        <w:t xml:space="preserve"> </w:t>
      </w:r>
      <w:r w:rsidRPr="00DD1B58">
        <w:rPr>
          <w:lang w:val="en-US"/>
        </w:rPr>
        <w:t>data is not used in fire analysis. The main aim of deterministic fire analysis is to ensure fires are addressed and designed out and</w:t>
      </w:r>
      <w:r w:rsidR="00392664" w:rsidRPr="00DD1B58">
        <w:rPr>
          <w:lang w:val="en-US"/>
        </w:rPr>
        <w:t>,</w:t>
      </w:r>
      <w:r w:rsidRPr="00DD1B58">
        <w:rPr>
          <w:lang w:val="en-US"/>
        </w:rPr>
        <w:t xml:space="preserve"> where </w:t>
      </w:r>
      <w:r w:rsidR="00392664" w:rsidRPr="00DD1B58">
        <w:rPr>
          <w:lang w:val="en-US"/>
        </w:rPr>
        <w:t>this is not possible</w:t>
      </w:r>
      <w:r w:rsidRPr="00DD1B58">
        <w:rPr>
          <w:lang w:val="en-US"/>
        </w:rPr>
        <w:t xml:space="preserve">, appropriate control measures are put in place. The fire service is required if all other measures have failed and </w:t>
      </w:r>
      <w:r w:rsidR="00D9567B" w:rsidRPr="00DD1B58">
        <w:rPr>
          <w:lang w:val="en-US"/>
        </w:rPr>
        <w:t xml:space="preserve">a </w:t>
      </w:r>
      <w:r w:rsidRPr="00DD1B58">
        <w:rPr>
          <w:lang w:val="en-US"/>
        </w:rPr>
        <w:t>fire occurs.</w:t>
      </w:r>
      <w:r w:rsidR="00D9567B" w:rsidRPr="00DD1B58">
        <w:rPr>
          <w:lang w:val="en-US"/>
        </w:rPr>
        <w:t xml:space="preserve"> </w:t>
      </w:r>
      <w:r w:rsidR="00A64053" w:rsidRPr="00DD1B58">
        <w:rPr>
          <w:lang w:val="en-US"/>
        </w:rPr>
        <w:t>S</w:t>
      </w:r>
      <w:r w:rsidRPr="00DD1B58">
        <w:rPr>
          <w:lang w:val="en-US"/>
        </w:rPr>
        <w:t xml:space="preserve">hould a fire propagate </w:t>
      </w:r>
      <w:r w:rsidR="00A64053" w:rsidRPr="00DD1B58">
        <w:rPr>
          <w:lang w:val="en-US"/>
        </w:rPr>
        <w:t xml:space="preserve">and </w:t>
      </w:r>
      <w:r w:rsidR="00392664" w:rsidRPr="00DD1B58">
        <w:rPr>
          <w:lang w:val="en-US"/>
        </w:rPr>
        <w:t xml:space="preserve">become unmanageable </w:t>
      </w:r>
      <w:r w:rsidRPr="00DD1B58">
        <w:rPr>
          <w:lang w:val="en-US"/>
        </w:rPr>
        <w:t>by the onsite fire service</w:t>
      </w:r>
      <w:r w:rsidR="00422FE0" w:rsidRPr="00DD1B58">
        <w:rPr>
          <w:lang w:val="en-US"/>
        </w:rPr>
        <w:t xml:space="preserve">, </w:t>
      </w:r>
      <w:r w:rsidR="004668E0" w:rsidRPr="00DD1B58">
        <w:rPr>
          <w:lang w:val="en-US"/>
        </w:rPr>
        <w:t xml:space="preserve">Sellafield Ltd. </w:t>
      </w:r>
      <w:r w:rsidR="00422FE0" w:rsidRPr="00DD1B58">
        <w:rPr>
          <w:lang w:val="en-US"/>
        </w:rPr>
        <w:t>state</w:t>
      </w:r>
      <w:r w:rsidR="00392664" w:rsidRPr="00DD1B58">
        <w:rPr>
          <w:lang w:val="en-US"/>
        </w:rPr>
        <w:t>s</w:t>
      </w:r>
      <w:r w:rsidR="00422FE0" w:rsidRPr="00DD1B58">
        <w:rPr>
          <w:lang w:val="en-US"/>
        </w:rPr>
        <w:t xml:space="preserve"> that</w:t>
      </w:r>
      <w:r w:rsidR="00940D2A" w:rsidRPr="00DD1B58">
        <w:rPr>
          <w:lang w:val="en-US"/>
        </w:rPr>
        <w:t xml:space="preserve"> </w:t>
      </w:r>
      <w:r w:rsidRPr="00DD1B58">
        <w:rPr>
          <w:lang w:val="en-US"/>
        </w:rPr>
        <w:t>off</w:t>
      </w:r>
      <w:r w:rsidR="00392664" w:rsidRPr="00DD1B58">
        <w:rPr>
          <w:lang w:val="en-US"/>
        </w:rPr>
        <w:t>-</w:t>
      </w:r>
      <w:r w:rsidRPr="00DD1B58">
        <w:rPr>
          <w:lang w:val="en-US"/>
        </w:rPr>
        <w:t xml:space="preserve">site </w:t>
      </w:r>
      <w:r w:rsidR="00422FE0" w:rsidRPr="00DD1B58">
        <w:rPr>
          <w:lang w:val="en-US"/>
        </w:rPr>
        <w:t>support would</w:t>
      </w:r>
      <w:r w:rsidRPr="00DD1B58">
        <w:rPr>
          <w:lang w:val="en-US"/>
        </w:rPr>
        <w:t xml:space="preserve"> be summoned to control and extinguish the fire.</w:t>
      </w:r>
    </w:p>
    <w:p w14:paraId="7C26158D" w14:textId="3991C2E0" w:rsidR="00325B7D" w:rsidRPr="00DD1B58" w:rsidRDefault="004C70B6" w:rsidP="004C70B6">
      <w:pPr>
        <w:pStyle w:val="Heading4"/>
        <w:rPr>
          <w:lang w:val="en-US"/>
        </w:rPr>
      </w:pPr>
      <w:r w:rsidRPr="00DD1B58">
        <w:rPr>
          <w:lang w:val="en-US"/>
        </w:rPr>
        <w:t xml:space="preserve">  </w:t>
      </w:r>
      <w:r w:rsidR="00325B7D" w:rsidRPr="00DD1B58">
        <w:rPr>
          <w:lang w:val="en-US"/>
        </w:rPr>
        <w:t xml:space="preserve">Fire phenomena analyses: overview of models, data and consequences </w:t>
      </w:r>
    </w:p>
    <w:p w14:paraId="492CC8CA" w14:textId="129751DE" w:rsidR="00A40234" w:rsidRPr="00DD1B58" w:rsidRDefault="004668E0" w:rsidP="00A40234">
      <w:pPr>
        <w:rPr>
          <w:lang w:val="en-US"/>
        </w:rPr>
      </w:pPr>
      <w:r w:rsidRPr="00DD1B58">
        <w:rPr>
          <w:lang w:val="en-US"/>
        </w:rPr>
        <w:t xml:space="preserve">Sellafield Ltd. </w:t>
      </w:r>
      <w:r w:rsidR="00422FE0" w:rsidRPr="00DD1B58">
        <w:rPr>
          <w:lang w:val="en-US"/>
        </w:rPr>
        <w:t>report</w:t>
      </w:r>
      <w:r w:rsidR="00392664" w:rsidRPr="00DD1B58">
        <w:rPr>
          <w:lang w:val="en-US"/>
        </w:rPr>
        <w:t>s</w:t>
      </w:r>
      <w:r w:rsidR="00422FE0" w:rsidRPr="00DD1B58">
        <w:rPr>
          <w:lang w:val="en-US"/>
        </w:rPr>
        <w:t xml:space="preserve"> that a </w:t>
      </w:r>
      <w:r w:rsidR="00FF407F" w:rsidRPr="00DD1B58">
        <w:rPr>
          <w:lang w:val="en-US"/>
        </w:rPr>
        <w:t xml:space="preserve">deterministic approach is undertaken based on an adequate level of passive fire protection to contain the worst foreseeable fire. </w:t>
      </w:r>
      <w:r w:rsidRPr="00DD1B58">
        <w:rPr>
          <w:lang w:val="en-US"/>
        </w:rPr>
        <w:t>Sellafield Ltd.</w:t>
      </w:r>
      <w:r w:rsidR="00FF407F" w:rsidRPr="00DD1B58">
        <w:rPr>
          <w:lang w:val="en-US"/>
        </w:rPr>
        <w:t xml:space="preserve"> </w:t>
      </w:r>
      <w:r w:rsidR="00FF466E" w:rsidRPr="00DD1B58">
        <w:rPr>
          <w:lang w:val="en-US"/>
        </w:rPr>
        <w:t>f</w:t>
      </w:r>
      <w:r w:rsidR="00FF407F" w:rsidRPr="00DD1B58">
        <w:rPr>
          <w:lang w:val="en-US"/>
        </w:rPr>
        <w:t xml:space="preserve">ire </w:t>
      </w:r>
      <w:r w:rsidR="00FF466E" w:rsidRPr="00DD1B58">
        <w:rPr>
          <w:lang w:val="en-US"/>
        </w:rPr>
        <w:t>e</w:t>
      </w:r>
      <w:r w:rsidR="00FF407F" w:rsidRPr="00DD1B58">
        <w:rPr>
          <w:lang w:val="en-US"/>
        </w:rPr>
        <w:t xml:space="preserve">ngineering utilises various techniques such as US Nuclear Regulatory Commission Regulation (NRC) Nuclear Regulatory Report (NUREG) spreadsheets </w:t>
      </w:r>
      <w:sdt>
        <w:sdtPr>
          <w:rPr>
            <w:lang w:val="en-US"/>
          </w:rPr>
          <w:id w:val="296656174"/>
          <w:citation/>
        </w:sdtPr>
        <w:sdtContent>
          <w:r w:rsidR="00FF407F" w:rsidRPr="00DD1B58">
            <w:rPr>
              <w:lang w:val="en-US"/>
            </w:rPr>
            <w:fldChar w:fldCharType="begin"/>
          </w:r>
          <w:r w:rsidR="00D13B44" w:rsidRPr="00DD1B58">
            <w:rPr>
              <w:lang w:val="en-US"/>
            </w:rPr>
            <w:instrText xml:space="preserve"> CITATION Uni04 \l 2057 </w:instrText>
          </w:r>
          <w:r w:rsidR="00FF407F" w:rsidRPr="00DD1B58">
            <w:rPr>
              <w:lang w:val="en-US"/>
            </w:rPr>
            <w:fldChar w:fldCharType="separate"/>
          </w:r>
          <w:r w:rsidR="00DF47DA" w:rsidRPr="00DF47DA">
            <w:rPr>
              <w:noProof/>
              <w:lang w:val="en-US"/>
            </w:rPr>
            <w:t>[78]</w:t>
          </w:r>
          <w:r w:rsidR="00FF407F" w:rsidRPr="00DD1B58">
            <w:rPr>
              <w:lang w:val="en-US"/>
            </w:rPr>
            <w:fldChar w:fldCharType="end"/>
          </w:r>
        </w:sdtContent>
      </w:sdt>
      <w:r w:rsidR="00D13B44" w:rsidRPr="00DD1B58">
        <w:rPr>
          <w:lang w:val="en-US"/>
        </w:rPr>
        <w:t xml:space="preserve"> </w:t>
      </w:r>
      <w:r w:rsidR="00FF407F" w:rsidRPr="00DD1B58">
        <w:rPr>
          <w:lang w:val="en-US"/>
        </w:rPr>
        <w:t xml:space="preserve">and </w:t>
      </w:r>
      <w:r w:rsidR="00FF466E" w:rsidRPr="00DD1B58">
        <w:rPr>
          <w:lang w:val="en-US"/>
        </w:rPr>
        <w:t>f</w:t>
      </w:r>
      <w:r w:rsidR="00FF407F" w:rsidRPr="00DD1B58">
        <w:rPr>
          <w:lang w:val="en-US"/>
        </w:rPr>
        <w:t xml:space="preserve">ire </w:t>
      </w:r>
      <w:r w:rsidR="00FF466E" w:rsidRPr="00DD1B58">
        <w:rPr>
          <w:lang w:val="en-US"/>
        </w:rPr>
        <w:t>e</w:t>
      </w:r>
      <w:r w:rsidR="00FF407F" w:rsidRPr="00DD1B58">
        <w:rPr>
          <w:lang w:val="en-US"/>
        </w:rPr>
        <w:t>ngineering calculations contained in the Society of Fire Protection Engineer</w:t>
      </w:r>
      <w:r w:rsidR="00246687" w:rsidRPr="00DD1B58">
        <w:rPr>
          <w:lang w:val="en-US"/>
        </w:rPr>
        <w:t>s</w:t>
      </w:r>
      <w:r w:rsidR="00FF407F" w:rsidRPr="00DD1B58">
        <w:rPr>
          <w:lang w:val="en-US"/>
        </w:rPr>
        <w:t xml:space="preserve"> (SFPE) Handbook</w:t>
      </w:r>
      <w:r w:rsidR="00E77809" w:rsidRPr="00DD1B58">
        <w:rPr>
          <w:lang w:val="en-US"/>
        </w:rPr>
        <w:t xml:space="preserve"> </w:t>
      </w:r>
      <w:sdt>
        <w:sdtPr>
          <w:rPr>
            <w:lang w:val="en-US"/>
          </w:rPr>
          <w:id w:val="-2010435972"/>
          <w:citation/>
        </w:sdtPr>
        <w:sdtContent>
          <w:r w:rsidR="00E77809" w:rsidRPr="00DD1B58">
            <w:rPr>
              <w:lang w:val="en-US"/>
            </w:rPr>
            <w:fldChar w:fldCharType="begin"/>
          </w:r>
          <w:r w:rsidR="00CE4450" w:rsidRPr="00DD1B58">
            <w:rPr>
              <w:lang w:val="en-US"/>
            </w:rPr>
            <w:instrText xml:space="preserve">CITATION SFP16 \l 2057 </w:instrText>
          </w:r>
          <w:r w:rsidR="00E77809" w:rsidRPr="00DD1B58">
            <w:rPr>
              <w:lang w:val="en-US"/>
            </w:rPr>
            <w:fldChar w:fldCharType="separate"/>
          </w:r>
          <w:r w:rsidR="00DF47DA" w:rsidRPr="00DF47DA">
            <w:rPr>
              <w:noProof/>
              <w:lang w:val="en-US"/>
            </w:rPr>
            <w:t>[28]</w:t>
          </w:r>
          <w:r w:rsidR="00E77809" w:rsidRPr="00DD1B58">
            <w:rPr>
              <w:lang w:val="en-US"/>
            </w:rPr>
            <w:fldChar w:fldCharType="end"/>
          </w:r>
        </w:sdtContent>
      </w:sdt>
      <w:r w:rsidR="00FF407F" w:rsidRPr="00DD1B58">
        <w:rPr>
          <w:lang w:val="en-US"/>
        </w:rPr>
        <w:t xml:space="preserve">, Introduction to Fire Dynamics </w:t>
      </w:r>
      <w:sdt>
        <w:sdtPr>
          <w:rPr>
            <w:lang w:val="en-US"/>
          </w:rPr>
          <w:id w:val="2079316924"/>
          <w:citation/>
        </w:sdtPr>
        <w:sdtContent>
          <w:r w:rsidR="00BF26F9" w:rsidRPr="00DD1B58">
            <w:rPr>
              <w:lang w:val="en-US"/>
            </w:rPr>
            <w:fldChar w:fldCharType="begin"/>
          </w:r>
          <w:r w:rsidR="00BF26F9" w:rsidRPr="00DD1B58">
            <w:rPr>
              <w:lang w:val="en-US"/>
            </w:rPr>
            <w:instrText xml:space="preserve"> CITATION Dry11 \l 2057 </w:instrText>
          </w:r>
          <w:r w:rsidR="00BF26F9" w:rsidRPr="00DD1B58">
            <w:rPr>
              <w:lang w:val="en-US"/>
            </w:rPr>
            <w:fldChar w:fldCharType="separate"/>
          </w:r>
          <w:r w:rsidR="00DF47DA" w:rsidRPr="00DF47DA">
            <w:rPr>
              <w:noProof/>
              <w:lang w:val="en-US"/>
            </w:rPr>
            <w:t>[29]</w:t>
          </w:r>
          <w:r w:rsidR="00BF26F9" w:rsidRPr="00DD1B58">
            <w:rPr>
              <w:lang w:val="en-US"/>
            </w:rPr>
            <w:fldChar w:fldCharType="end"/>
          </w:r>
        </w:sdtContent>
      </w:sdt>
      <w:r w:rsidR="00BF26F9" w:rsidRPr="00DD1B58">
        <w:rPr>
          <w:lang w:val="en-US"/>
        </w:rPr>
        <w:t xml:space="preserve"> </w:t>
      </w:r>
      <w:r w:rsidR="00FF407F" w:rsidRPr="00DD1B58">
        <w:rPr>
          <w:lang w:val="en-US"/>
        </w:rPr>
        <w:t>or Structural Eurocodes</w:t>
      </w:r>
      <w:r w:rsidR="00E77809" w:rsidRPr="00DD1B58">
        <w:rPr>
          <w:lang w:val="en-US"/>
        </w:rPr>
        <w:t xml:space="preserve"> </w:t>
      </w:r>
      <w:sdt>
        <w:sdtPr>
          <w:rPr>
            <w:lang w:val="en-US"/>
          </w:rPr>
          <w:id w:val="-594020550"/>
          <w:citation/>
        </w:sdtPr>
        <w:sdtContent>
          <w:r w:rsidR="008622FF" w:rsidRPr="00DD1B58">
            <w:rPr>
              <w:lang w:val="en-US"/>
            </w:rPr>
            <w:fldChar w:fldCharType="begin"/>
          </w:r>
          <w:r w:rsidR="008622FF" w:rsidRPr="00DD1B58">
            <w:rPr>
              <w:lang w:val="en-US"/>
            </w:rPr>
            <w:instrText xml:space="preserve"> CITATION BSI3 \l 2057 </w:instrText>
          </w:r>
          <w:r w:rsidR="008622FF" w:rsidRPr="00DD1B58">
            <w:rPr>
              <w:lang w:val="en-US"/>
            </w:rPr>
            <w:fldChar w:fldCharType="separate"/>
          </w:r>
          <w:r w:rsidR="00DF47DA" w:rsidRPr="00DF47DA">
            <w:rPr>
              <w:noProof/>
              <w:lang w:val="en-US"/>
            </w:rPr>
            <w:t>[81]</w:t>
          </w:r>
          <w:r w:rsidR="008622FF" w:rsidRPr="00DD1B58">
            <w:rPr>
              <w:lang w:val="en-US"/>
            </w:rPr>
            <w:fldChar w:fldCharType="end"/>
          </w:r>
        </w:sdtContent>
      </w:sdt>
      <w:r w:rsidR="00FF407F" w:rsidRPr="00DD1B58">
        <w:rPr>
          <w:lang w:val="en-US"/>
        </w:rPr>
        <w:t xml:space="preserve">. </w:t>
      </w:r>
      <w:r w:rsidRPr="00DD1B58">
        <w:rPr>
          <w:lang w:val="en-US"/>
        </w:rPr>
        <w:t>Sellafield Ltd.</w:t>
      </w:r>
      <w:r w:rsidR="00BA6085" w:rsidRPr="00DD1B58">
        <w:rPr>
          <w:lang w:val="en-US"/>
        </w:rPr>
        <w:t xml:space="preserve"> uses calculation tools</w:t>
      </w:r>
      <w:r w:rsidR="00FF407F" w:rsidRPr="00DD1B58">
        <w:rPr>
          <w:lang w:val="en-US"/>
        </w:rPr>
        <w:t xml:space="preserve"> to assess pool fires and the effect of radiant heat flux on structures, systems</w:t>
      </w:r>
      <w:r w:rsidR="004E6D5D" w:rsidRPr="00DD1B58">
        <w:rPr>
          <w:lang w:val="en-US"/>
        </w:rPr>
        <w:t xml:space="preserve">, </w:t>
      </w:r>
      <w:r w:rsidR="00FF407F" w:rsidRPr="00DD1B58">
        <w:rPr>
          <w:lang w:val="en-US"/>
        </w:rPr>
        <w:t>components and nuclear inventory.</w:t>
      </w:r>
      <w:r w:rsidR="00BA6085" w:rsidRPr="00DD1B58">
        <w:rPr>
          <w:lang w:val="en-US"/>
        </w:rPr>
        <w:t xml:space="preserve"> </w:t>
      </w:r>
      <w:r w:rsidR="00FF407F" w:rsidRPr="00DD1B58">
        <w:rPr>
          <w:lang w:val="en-US"/>
        </w:rPr>
        <w:t>Key sources of data are site</w:t>
      </w:r>
      <w:r w:rsidR="00BA6085" w:rsidRPr="00DD1B58">
        <w:rPr>
          <w:lang w:val="en-US"/>
        </w:rPr>
        <w:t>-</w:t>
      </w:r>
      <w:r w:rsidR="00FF407F" w:rsidRPr="00DD1B58">
        <w:rPr>
          <w:lang w:val="en-US"/>
        </w:rPr>
        <w:t>specific flammable inventories for pool fires and fire loading calculations for assessing structural fire resistance</w:t>
      </w:r>
      <w:r w:rsidR="004E6D5D" w:rsidRPr="00DD1B58">
        <w:rPr>
          <w:lang w:val="en-US"/>
        </w:rPr>
        <w:t>,</w:t>
      </w:r>
      <w:r w:rsidR="00FF407F" w:rsidRPr="00DD1B58">
        <w:rPr>
          <w:lang w:val="en-US"/>
        </w:rPr>
        <w:t xml:space="preserve"> for example</w:t>
      </w:r>
      <w:r w:rsidR="004E6D5D" w:rsidRPr="00DD1B58">
        <w:rPr>
          <w:lang w:val="en-US"/>
        </w:rPr>
        <w:t>,</w:t>
      </w:r>
      <w:r w:rsidR="00FF407F" w:rsidRPr="00DD1B58">
        <w:rPr>
          <w:lang w:val="en-US"/>
        </w:rPr>
        <w:t xml:space="preserve"> fire resistance of structural steel and whether fire compartment boundaries are adequate for the type of fire load.</w:t>
      </w:r>
    </w:p>
    <w:p w14:paraId="561FD96E" w14:textId="77777777" w:rsidR="00AC794D" w:rsidRPr="00DD1B58" w:rsidRDefault="00E00CC8" w:rsidP="004C70B6">
      <w:pPr>
        <w:pStyle w:val="Heading4"/>
        <w:numPr>
          <w:ilvl w:val="4"/>
          <w:numId w:val="3"/>
        </w:numPr>
        <w:rPr>
          <w:lang w:val="en-US"/>
        </w:rPr>
      </w:pPr>
      <w:r w:rsidRPr="00DD1B58">
        <w:rPr>
          <w:lang w:val="en-US"/>
        </w:rPr>
        <w:t xml:space="preserve">Analysis </w:t>
      </w:r>
      <w:r w:rsidR="005D0271" w:rsidRPr="00DD1B58">
        <w:rPr>
          <w:lang w:val="en-US"/>
        </w:rPr>
        <w:t>t</w:t>
      </w:r>
      <w:r w:rsidR="007115DE" w:rsidRPr="00DD1B58">
        <w:rPr>
          <w:lang w:val="en-US"/>
        </w:rPr>
        <w:t xml:space="preserve">ool </w:t>
      </w:r>
      <w:r w:rsidR="005D0271" w:rsidRPr="00DD1B58">
        <w:rPr>
          <w:lang w:val="en-US"/>
        </w:rPr>
        <w:t>s</w:t>
      </w:r>
      <w:r w:rsidR="007115DE" w:rsidRPr="00DD1B58">
        <w:rPr>
          <w:lang w:val="en-US"/>
        </w:rPr>
        <w:t>election</w:t>
      </w:r>
    </w:p>
    <w:p w14:paraId="5FBA51E6" w14:textId="7B6FC1C7" w:rsidR="000E7F92" w:rsidRPr="00DD1B58" w:rsidRDefault="004668E0" w:rsidP="000E7F92">
      <w:pPr>
        <w:rPr>
          <w:lang w:val="en-US"/>
        </w:rPr>
      </w:pPr>
      <w:r w:rsidRPr="00DD1B58">
        <w:rPr>
          <w:lang w:val="en-US"/>
        </w:rPr>
        <w:t>Sellafield Ltd.</w:t>
      </w:r>
      <w:r w:rsidR="00D22A35" w:rsidRPr="00DD1B58">
        <w:rPr>
          <w:lang w:val="en-US"/>
        </w:rPr>
        <w:t xml:space="preserve"> </w:t>
      </w:r>
      <w:r w:rsidR="00BA6085" w:rsidRPr="00DD1B58">
        <w:rPr>
          <w:lang w:val="en-US"/>
        </w:rPr>
        <w:t>report</w:t>
      </w:r>
      <w:r w:rsidR="004E6D5D" w:rsidRPr="00DD1B58">
        <w:rPr>
          <w:lang w:val="en-US"/>
        </w:rPr>
        <w:t>s</w:t>
      </w:r>
      <w:r w:rsidR="00BA6085" w:rsidRPr="00DD1B58">
        <w:rPr>
          <w:lang w:val="en-US"/>
        </w:rPr>
        <w:t xml:space="preserve"> that it </w:t>
      </w:r>
      <w:r w:rsidR="00D22A35" w:rsidRPr="00DD1B58">
        <w:rPr>
          <w:lang w:val="en-US"/>
        </w:rPr>
        <w:t xml:space="preserve">applies a wide variety of models for the prediction of a various fire behaviours. These range from simple </w:t>
      </w:r>
      <w:r w:rsidR="004E6D5D" w:rsidRPr="00DD1B58">
        <w:rPr>
          <w:lang w:val="en-US"/>
        </w:rPr>
        <w:t>a</w:t>
      </w:r>
      <w:r w:rsidR="00D22A35" w:rsidRPr="00DD1B58">
        <w:rPr>
          <w:lang w:val="en-US"/>
        </w:rPr>
        <w:t>lgebraic correlations</w:t>
      </w:r>
      <w:r w:rsidR="00B649C3" w:rsidRPr="00DD1B58">
        <w:rPr>
          <w:lang w:val="en-US"/>
        </w:rPr>
        <w:t xml:space="preserve"> through to </w:t>
      </w:r>
      <w:r w:rsidR="004E6D5D" w:rsidRPr="00DD1B58">
        <w:rPr>
          <w:lang w:val="en-US"/>
        </w:rPr>
        <w:t>z</w:t>
      </w:r>
      <w:r w:rsidR="00D22A35" w:rsidRPr="00DD1B58">
        <w:rPr>
          <w:lang w:val="en-US"/>
        </w:rPr>
        <w:t xml:space="preserve">one </w:t>
      </w:r>
      <w:r w:rsidR="00B649C3" w:rsidRPr="00DD1B58">
        <w:rPr>
          <w:lang w:val="en-US"/>
        </w:rPr>
        <w:t>m</w:t>
      </w:r>
      <w:r w:rsidR="00D22A35" w:rsidRPr="00DD1B58">
        <w:rPr>
          <w:lang w:val="en-US"/>
        </w:rPr>
        <w:t xml:space="preserve">odels </w:t>
      </w:r>
      <w:r w:rsidR="00B649C3" w:rsidRPr="00DD1B58">
        <w:rPr>
          <w:lang w:val="en-US"/>
        </w:rPr>
        <w:t xml:space="preserve">and </w:t>
      </w:r>
      <w:r w:rsidR="00D22A35" w:rsidRPr="00DD1B58">
        <w:rPr>
          <w:lang w:val="en-US"/>
        </w:rPr>
        <w:t>Computational Fluid Dynamics (CFD)</w:t>
      </w:r>
      <w:r w:rsidR="00B649C3" w:rsidRPr="00DD1B58">
        <w:rPr>
          <w:lang w:val="en-US"/>
        </w:rPr>
        <w:t xml:space="preserve"> models. </w:t>
      </w:r>
      <w:r w:rsidRPr="00DD1B58">
        <w:rPr>
          <w:lang w:val="en-US"/>
        </w:rPr>
        <w:t>Sellafield Ltd.</w:t>
      </w:r>
      <w:r w:rsidR="00D22A35" w:rsidRPr="00DD1B58">
        <w:rPr>
          <w:lang w:val="en-US"/>
        </w:rPr>
        <w:t xml:space="preserve"> </w:t>
      </w:r>
      <w:r w:rsidR="00BA6085" w:rsidRPr="00DD1B58">
        <w:rPr>
          <w:lang w:val="en-US"/>
        </w:rPr>
        <w:t>report</w:t>
      </w:r>
      <w:r w:rsidR="004E6D5D" w:rsidRPr="00DD1B58">
        <w:rPr>
          <w:lang w:val="en-US"/>
        </w:rPr>
        <w:t>s</w:t>
      </w:r>
      <w:r w:rsidR="00BA6085" w:rsidRPr="00DD1B58">
        <w:rPr>
          <w:lang w:val="en-US"/>
        </w:rPr>
        <w:t xml:space="preserve"> that it </w:t>
      </w:r>
      <w:r w:rsidR="00D22A35" w:rsidRPr="00DD1B58">
        <w:rPr>
          <w:lang w:val="en-US"/>
        </w:rPr>
        <w:t>frequently use</w:t>
      </w:r>
      <w:r w:rsidR="00BA6085" w:rsidRPr="00DD1B58">
        <w:rPr>
          <w:lang w:val="en-US"/>
        </w:rPr>
        <w:t>s</w:t>
      </w:r>
      <w:r w:rsidR="00D22A35" w:rsidRPr="00DD1B58">
        <w:rPr>
          <w:lang w:val="en-US"/>
        </w:rPr>
        <w:t xml:space="preserve"> algebraic models in deterministic </w:t>
      </w:r>
      <w:r w:rsidR="009A2338" w:rsidRPr="00DD1B58">
        <w:rPr>
          <w:lang w:val="en-US"/>
        </w:rPr>
        <w:t>NFSA</w:t>
      </w:r>
      <w:r w:rsidR="00B649C3" w:rsidRPr="00DD1B58">
        <w:rPr>
          <w:lang w:val="en-US"/>
        </w:rPr>
        <w:t xml:space="preserve">, </w:t>
      </w:r>
      <w:r w:rsidR="00CE7248" w:rsidRPr="00DD1B58">
        <w:rPr>
          <w:lang w:val="en-US"/>
        </w:rPr>
        <w:t>including</w:t>
      </w:r>
      <w:r w:rsidR="001469E4" w:rsidRPr="00DD1B58">
        <w:rPr>
          <w:lang w:val="en-US"/>
        </w:rPr>
        <w:t xml:space="preserve"> equations </w:t>
      </w:r>
      <w:r w:rsidR="00D22A35" w:rsidRPr="00DD1B58">
        <w:rPr>
          <w:lang w:val="en-US"/>
        </w:rPr>
        <w:t>that consider flame height, heat release rate, plume and ceiling jet velocities, gas layer temperatures and depth, thermal radiation, and other</w:t>
      </w:r>
      <w:r w:rsidR="00B649C3" w:rsidRPr="00DD1B58">
        <w:rPr>
          <w:lang w:val="en-US"/>
        </w:rPr>
        <w:t xml:space="preserve"> descriptors of fire </w:t>
      </w:r>
      <w:r w:rsidR="00D22A35" w:rsidRPr="00DD1B58">
        <w:rPr>
          <w:lang w:val="en-US"/>
        </w:rPr>
        <w:t xml:space="preserve">phenomena. </w:t>
      </w:r>
      <w:r w:rsidRPr="00DD1B58">
        <w:rPr>
          <w:lang w:val="en-US"/>
        </w:rPr>
        <w:t>Sellafield Ltd.</w:t>
      </w:r>
      <w:r w:rsidR="00CE7248" w:rsidRPr="00DD1B58">
        <w:rPr>
          <w:lang w:val="en-US"/>
        </w:rPr>
        <w:t xml:space="preserve"> also</w:t>
      </w:r>
      <w:r w:rsidR="00B649C3" w:rsidRPr="00DD1B58">
        <w:rPr>
          <w:lang w:val="en-US"/>
        </w:rPr>
        <w:t xml:space="preserve"> state</w:t>
      </w:r>
      <w:r w:rsidR="004E6D5D" w:rsidRPr="00DD1B58">
        <w:rPr>
          <w:lang w:val="en-US"/>
        </w:rPr>
        <w:t>s</w:t>
      </w:r>
      <w:r w:rsidR="00B649C3" w:rsidRPr="00DD1B58">
        <w:rPr>
          <w:lang w:val="en-US"/>
        </w:rPr>
        <w:t xml:space="preserve"> that it applies z</w:t>
      </w:r>
      <w:r w:rsidR="00D22A35" w:rsidRPr="00DD1B58">
        <w:rPr>
          <w:lang w:val="en-US"/>
        </w:rPr>
        <w:t>one models, such as CFAST</w:t>
      </w:r>
      <w:r w:rsidR="004E6D5D" w:rsidRPr="00DD1B58">
        <w:rPr>
          <w:lang w:val="en-US"/>
        </w:rPr>
        <w:t>,</w:t>
      </w:r>
      <w:r w:rsidR="00CE7248" w:rsidRPr="00DD1B58">
        <w:rPr>
          <w:lang w:val="en-US"/>
        </w:rPr>
        <w:t xml:space="preserve"> </w:t>
      </w:r>
      <w:r w:rsidR="004E6D5D" w:rsidRPr="00DD1B58">
        <w:rPr>
          <w:lang w:val="en-US"/>
        </w:rPr>
        <w:t xml:space="preserve">more often than </w:t>
      </w:r>
      <w:r w:rsidR="00D22A35" w:rsidRPr="00DD1B58">
        <w:rPr>
          <w:lang w:val="en-US"/>
        </w:rPr>
        <w:t xml:space="preserve">CFD models, such as Fire Dynamics Simulator (FDS). </w:t>
      </w:r>
      <w:r w:rsidRPr="00DD1B58">
        <w:rPr>
          <w:lang w:val="en-US"/>
        </w:rPr>
        <w:t>Sellafield Ltd.</w:t>
      </w:r>
      <w:r w:rsidR="00CE7248" w:rsidRPr="00DD1B58">
        <w:rPr>
          <w:lang w:val="en-US"/>
        </w:rPr>
        <w:t xml:space="preserve"> state</w:t>
      </w:r>
      <w:r w:rsidR="004E6D5D" w:rsidRPr="00DD1B58">
        <w:rPr>
          <w:lang w:val="en-US"/>
        </w:rPr>
        <w:t>s</w:t>
      </w:r>
      <w:r w:rsidR="00CE7248" w:rsidRPr="00DD1B58">
        <w:rPr>
          <w:lang w:val="en-US"/>
        </w:rPr>
        <w:t xml:space="preserve"> that the</w:t>
      </w:r>
      <w:r w:rsidR="000E7F92" w:rsidRPr="00DD1B58">
        <w:rPr>
          <w:lang w:val="en-US"/>
        </w:rPr>
        <w:t xml:space="preserve"> </w:t>
      </w:r>
      <w:r w:rsidR="00CE7248" w:rsidRPr="00DD1B58">
        <w:rPr>
          <w:lang w:val="en-US"/>
        </w:rPr>
        <w:t xml:space="preserve">selection of the appropriate </w:t>
      </w:r>
      <w:r w:rsidR="000E7F92" w:rsidRPr="00DD1B58">
        <w:rPr>
          <w:lang w:val="en-US"/>
        </w:rPr>
        <w:t xml:space="preserve">fire analysis technique </w:t>
      </w:r>
      <w:r w:rsidR="00CE7248" w:rsidRPr="00DD1B58">
        <w:rPr>
          <w:lang w:val="en-US"/>
        </w:rPr>
        <w:t>depends</w:t>
      </w:r>
      <w:r w:rsidR="000E7F92" w:rsidRPr="00DD1B58">
        <w:rPr>
          <w:lang w:val="en-US"/>
        </w:rPr>
        <w:t xml:space="preserve"> upon numerous factors</w:t>
      </w:r>
      <w:r w:rsidR="00CE7248" w:rsidRPr="00DD1B58">
        <w:rPr>
          <w:lang w:val="en-US"/>
        </w:rPr>
        <w:t>, including:</w:t>
      </w:r>
    </w:p>
    <w:p w14:paraId="09E4C30B" w14:textId="440ECAC0" w:rsidR="000E7F92" w:rsidRPr="00DD1B58" w:rsidRDefault="004E6D5D" w:rsidP="00327321">
      <w:pPr>
        <w:pStyle w:val="Bulletlist1"/>
        <w:rPr>
          <w:lang w:val="en-US"/>
        </w:rPr>
      </w:pPr>
      <w:r w:rsidRPr="00DD1B58">
        <w:rPr>
          <w:lang w:val="en-US"/>
        </w:rPr>
        <w:t>W</w:t>
      </w:r>
      <w:r w:rsidR="000E7F92" w:rsidRPr="00DD1B58">
        <w:rPr>
          <w:lang w:val="en-US"/>
        </w:rPr>
        <w:t>hether or not the equations and assumptions in the model are appropriate for the problem under review;</w:t>
      </w:r>
    </w:p>
    <w:p w14:paraId="281B3259" w14:textId="0684FC20" w:rsidR="000E7F92" w:rsidRPr="00DD1B58" w:rsidRDefault="004E6D5D" w:rsidP="00327321">
      <w:pPr>
        <w:pStyle w:val="Bulletlist1"/>
        <w:rPr>
          <w:lang w:val="en-US"/>
        </w:rPr>
      </w:pPr>
      <w:r w:rsidRPr="00DD1B58">
        <w:rPr>
          <w:lang w:val="en-US"/>
        </w:rPr>
        <w:t>R</w:t>
      </w:r>
      <w:r w:rsidR="000E7F92" w:rsidRPr="00DD1B58">
        <w:rPr>
          <w:lang w:val="en-US"/>
        </w:rPr>
        <w:t>equired level of accuracy;</w:t>
      </w:r>
    </w:p>
    <w:p w14:paraId="36674066" w14:textId="36C8F8F8" w:rsidR="000E7F92" w:rsidRPr="00DD1B58" w:rsidRDefault="004E6D5D" w:rsidP="00327321">
      <w:pPr>
        <w:pStyle w:val="Bulletlist1"/>
        <w:rPr>
          <w:lang w:val="en-US"/>
        </w:rPr>
      </w:pPr>
      <w:r w:rsidRPr="00DD1B58">
        <w:rPr>
          <w:lang w:val="en-US"/>
        </w:rPr>
        <w:t>T</w:t>
      </w:r>
      <w:r w:rsidR="000E7F92" w:rsidRPr="00DD1B58">
        <w:rPr>
          <w:lang w:val="en-US"/>
        </w:rPr>
        <w:t>ime limitations;</w:t>
      </w:r>
      <w:r w:rsidRPr="00DD1B58">
        <w:rPr>
          <w:lang w:val="en-US"/>
        </w:rPr>
        <w:t xml:space="preserve"> and</w:t>
      </w:r>
    </w:p>
    <w:p w14:paraId="321E4825" w14:textId="5704156A" w:rsidR="000E7F92" w:rsidRPr="00DD1B58" w:rsidRDefault="004E6D5D" w:rsidP="00327321">
      <w:pPr>
        <w:pStyle w:val="Bulletlist1"/>
        <w:rPr>
          <w:lang w:val="en-US"/>
        </w:rPr>
      </w:pPr>
      <w:r w:rsidRPr="00DD1B58">
        <w:rPr>
          <w:lang w:val="en-US"/>
        </w:rPr>
        <w:t>A</w:t>
      </w:r>
      <w:r w:rsidR="000E7F92" w:rsidRPr="00DD1B58">
        <w:rPr>
          <w:lang w:val="en-US"/>
        </w:rPr>
        <w:t>vailability of appropriate computational resources.</w:t>
      </w:r>
    </w:p>
    <w:p w14:paraId="185C98B6" w14:textId="77777777" w:rsidR="005D0271" w:rsidRPr="00DD1B58" w:rsidRDefault="005D0271" w:rsidP="004C70B6">
      <w:pPr>
        <w:pStyle w:val="Heading4"/>
        <w:numPr>
          <w:ilvl w:val="4"/>
          <w:numId w:val="3"/>
        </w:numPr>
        <w:rPr>
          <w:lang w:val="en-US"/>
        </w:rPr>
      </w:pPr>
      <w:r w:rsidRPr="00DD1B58">
        <w:rPr>
          <w:lang w:val="en-US"/>
        </w:rPr>
        <w:t>Analysis data</w:t>
      </w:r>
    </w:p>
    <w:p w14:paraId="335B39B0" w14:textId="0BF7219B" w:rsidR="00C96405" w:rsidRPr="00DD1B58" w:rsidRDefault="004668E0" w:rsidP="00C96405">
      <w:pPr>
        <w:rPr>
          <w:lang w:val="en-US"/>
        </w:rPr>
      </w:pPr>
      <w:r w:rsidRPr="00DD1B58">
        <w:rPr>
          <w:lang w:val="en-US"/>
        </w:rPr>
        <w:t>Sellafield Ltd.</w:t>
      </w:r>
      <w:r w:rsidR="00EC5407" w:rsidRPr="00DD1B58">
        <w:rPr>
          <w:lang w:val="en-US"/>
        </w:rPr>
        <w:t xml:space="preserve"> state</w:t>
      </w:r>
      <w:r w:rsidR="00634E0C" w:rsidRPr="00DD1B58">
        <w:rPr>
          <w:lang w:val="en-US"/>
        </w:rPr>
        <w:t>s</w:t>
      </w:r>
      <w:r w:rsidR="00EC5407" w:rsidRPr="00DD1B58">
        <w:rPr>
          <w:lang w:val="en-US"/>
        </w:rPr>
        <w:t xml:space="preserve"> that</w:t>
      </w:r>
      <w:r w:rsidR="00F22927" w:rsidRPr="00DD1B58">
        <w:rPr>
          <w:lang w:val="en-US"/>
        </w:rPr>
        <w:t>,</w:t>
      </w:r>
      <w:r w:rsidR="00EC5407" w:rsidRPr="00DD1B58">
        <w:rPr>
          <w:lang w:val="en-US"/>
        </w:rPr>
        <w:t xml:space="preserve"> in </w:t>
      </w:r>
      <w:r w:rsidR="00C96405" w:rsidRPr="00DD1B58">
        <w:rPr>
          <w:lang w:val="en-US"/>
        </w:rPr>
        <w:t>the majority of cases, fire engineering analysis will be based upon site</w:t>
      </w:r>
      <w:r w:rsidR="00634E0C" w:rsidRPr="00DD1B58">
        <w:rPr>
          <w:lang w:val="en-US"/>
        </w:rPr>
        <w:t>-</w:t>
      </w:r>
      <w:r w:rsidR="00C96405" w:rsidRPr="00DD1B58">
        <w:rPr>
          <w:lang w:val="en-US"/>
        </w:rPr>
        <w:t>specific informatio</w:t>
      </w:r>
      <w:r w:rsidR="00F22927" w:rsidRPr="00DD1B58">
        <w:rPr>
          <w:lang w:val="en-US"/>
        </w:rPr>
        <w:t>n</w:t>
      </w:r>
      <w:r w:rsidR="00C46F7C" w:rsidRPr="00DD1B58">
        <w:rPr>
          <w:lang w:val="en-US"/>
        </w:rPr>
        <w:t xml:space="preserve">. </w:t>
      </w:r>
      <w:r w:rsidR="00333B1E" w:rsidRPr="00DD1B58">
        <w:rPr>
          <w:lang w:val="en-US"/>
        </w:rPr>
        <w:t>Th</w:t>
      </w:r>
      <w:r w:rsidR="0027746C" w:rsidRPr="00DD1B58">
        <w:rPr>
          <w:lang w:val="en-US"/>
        </w:rPr>
        <w:t>is</w:t>
      </w:r>
      <w:r w:rsidR="00333B1E" w:rsidRPr="00DD1B58">
        <w:rPr>
          <w:lang w:val="en-US"/>
        </w:rPr>
        <w:t xml:space="preserve"> include</w:t>
      </w:r>
      <w:r w:rsidR="0027746C" w:rsidRPr="00DD1B58">
        <w:rPr>
          <w:lang w:val="en-US"/>
        </w:rPr>
        <w:t>s</w:t>
      </w:r>
      <w:r w:rsidR="00333B1E" w:rsidRPr="00DD1B58">
        <w:rPr>
          <w:lang w:val="en-US"/>
        </w:rPr>
        <w:t xml:space="preserve"> </w:t>
      </w:r>
      <w:r w:rsidR="00C96405" w:rsidRPr="00DD1B58">
        <w:rPr>
          <w:lang w:val="en-US"/>
        </w:rPr>
        <w:t xml:space="preserve">existing buildings </w:t>
      </w:r>
      <w:r w:rsidR="00C76F9D" w:rsidRPr="00DD1B58">
        <w:rPr>
          <w:lang w:val="en-US"/>
        </w:rPr>
        <w:t>through building inspection of</w:t>
      </w:r>
      <w:r w:rsidR="00C96405" w:rsidRPr="00DD1B58">
        <w:rPr>
          <w:lang w:val="en-US"/>
        </w:rPr>
        <w:t xml:space="preserve"> fire loads, building dimensions and ventilation characteristics</w:t>
      </w:r>
      <w:r w:rsidR="0027746C" w:rsidRPr="00DD1B58">
        <w:rPr>
          <w:lang w:val="en-US"/>
        </w:rPr>
        <w:t>,</w:t>
      </w:r>
      <w:r w:rsidR="00C96405" w:rsidRPr="00DD1B58">
        <w:rPr>
          <w:lang w:val="en-US"/>
        </w:rPr>
        <w:t xml:space="preserve"> and where there is sufficient background information readily available. Similarly,</w:t>
      </w:r>
      <w:r w:rsidR="003A61EA" w:rsidRPr="00DD1B58">
        <w:rPr>
          <w:lang w:val="en-US"/>
        </w:rPr>
        <w:t xml:space="preserve"> </w:t>
      </w:r>
      <w:r w:rsidRPr="00DD1B58">
        <w:rPr>
          <w:lang w:val="en-US"/>
        </w:rPr>
        <w:t>Sellafield Ltd.</w:t>
      </w:r>
      <w:r w:rsidR="00333B1E" w:rsidRPr="00DD1B58">
        <w:rPr>
          <w:lang w:val="en-US"/>
        </w:rPr>
        <w:t xml:space="preserve"> </w:t>
      </w:r>
      <w:r w:rsidR="003A61EA" w:rsidRPr="00DD1B58">
        <w:rPr>
          <w:lang w:val="en-US"/>
        </w:rPr>
        <w:t>consider</w:t>
      </w:r>
      <w:r w:rsidR="00333B1E" w:rsidRPr="00DD1B58">
        <w:rPr>
          <w:lang w:val="en-US"/>
        </w:rPr>
        <w:t>s</w:t>
      </w:r>
      <w:r w:rsidR="003A61EA" w:rsidRPr="00DD1B58">
        <w:rPr>
          <w:lang w:val="en-US"/>
        </w:rPr>
        <w:t xml:space="preserve"> that,</w:t>
      </w:r>
      <w:r w:rsidR="00C96405" w:rsidRPr="00DD1B58">
        <w:rPr>
          <w:lang w:val="en-US"/>
        </w:rPr>
        <w:t xml:space="preserve"> during building design, worst case design fires </w:t>
      </w:r>
      <w:r w:rsidR="0027746C" w:rsidRPr="00DD1B58">
        <w:rPr>
          <w:lang w:val="en-US"/>
        </w:rPr>
        <w:t>are</w:t>
      </w:r>
      <w:r w:rsidR="00C96405" w:rsidRPr="00DD1B58">
        <w:rPr>
          <w:lang w:val="en-US"/>
        </w:rPr>
        <w:t xml:space="preserve"> established with the use of fire load</w:t>
      </w:r>
      <w:r w:rsidR="00D05769" w:rsidRPr="00DD1B58">
        <w:rPr>
          <w:lang w:val="en-US"/>
        </w:rPr>
        <w:t xml:space="preserve">s, </w:t>
      </w:r>
      <w:r w:rsidR="00C96405" w:rsidRPr="00DD1B58">
        <w:rPr>
          <w:lang w:val="en-US"/>
        </w:rPr>
        <w:t>location, building layout</w:t>
      </w:r>
      <w:r w:rsidR="00D05769" w:rsidRPr="00DD1B58">
        <w:rPr>
          <w:lang w:val="en-US"/>
        </w:rPr>
        <w:t>s</w:t>
      </w:r>
      <w:r w:rsidR="00C96405" w:rsidRPr="00DD1B58">
        <w:rPr>
          <w:lang w:val="en-US"/>
        </w:rPr>
        <w:t xml:space="preserve"> and review</w:t>
      </w:r>
      <w:r w:rsidR="00D05769" w:rsidRPr="00DD1B58">
        <w:rPr>
          <w:lang w:val="en-US"/>
        </w:rPr>
        <w:t>s</w:t>
      </w:r>
      <w:r w:rsidR="00C96405" w:rsidRPr="00DD1B58">
        <w:rPr>
          <w:lang w:val="en-US"/>
        </w:rPr>
        <w:t xml:space="preserve"> of the Building Information Models (BIM).</w:t>
      </w:r>
    </w:p>
    <w:p w14:paraId="7A286168" w14:textId="012541B4" w:rsidR="00D52F0B" w:rsidRPr="00DD1B58" w:rsidRDefault="004668E0" w:rsidP="00D52F0B">
      <w:pPr>
        <w:rPr>
          <w:lang w:val="en-US"/>
        </w:rPr>
      </w:pPr>
      <w:r w:rsidRPr="00DD1B58">
        <w:rPr>
          <w:lang w:val="en-US"/>
        </w:rPr>
        <w:t>Sellafield Ltd.</w:t>
      </w:r>
      <w:r w:rsidR="00C304E7" w:rsidRPr="00DD1B58">
        <w:rPr>
          <w:lang w:val="en-US"/>
        </w:rPr>
        <w:t xml:space="preserve"> report</w:t>
      </w:r>
      <w:r w:rsidR="0027746C" w:rsidRPr="00DD1B58">
        <w:rPr>
          <w:lang w:val="en-US"/>
        </w:rPr>
        <w:t>s</w:t>
      </w:r>
      <w:r w:rsidR="00C304E7" w:rsidRPr="00DD1B58">
        <w:rPr>
          <w:lang w:val="en-US"/>
        </w:rPr>
        <w:t xml:space="preserve"> that </w:t>
      </w:r>
      <w:r w:rsidR="00C96405" w:rsidRPr="00DD1B58">
        <w:rPr>
          <w:lang w:val="en-US"/>
        </w:rPr>
        <w:t xml:space="preserve">generic data </w:t>
      </w:r>
      <w:r w:rsidR="0027746C" w:rsidRPr="00DD1B58">
        <w:rPr>
          <w:lang w:val="en-US"/>
        </w:rPr>
        <w:t>may</w:t>
      </w:r>
      <w:r w:rsidR="00C304E7" w:rsidRPr="00DD1B58">
        <w:rPr>
          <w:lang w:val="en-US"/>
        </w:rPr>
        <w:t xml:space="preserve"> </w:t>
      </w:r>
      <w:r w:rsidR="00C96405" w:rsidRPr="00DD1B58">
        <w:rPr>
          <w:lang w:val="en-US"/>
        </w:rPr>
        <w:t>be used</w:t>
      </w:r>
      <w:r w:rsidR="00C304E7" w:rsidRPr="00DD1B58">
        <w:rPr>
          <w:lang w:val="en-US"/>
        </w:rPr>
        <w:t xml:space="preserve"> oc</w:t>
      </w:r>
      <w:r w:rsidR="00333B1E" w:rsidRPr="00DD1B58">
        <w:rPr>
          <w:lang w:val="en-US"/>
        </w:rPr>
        <w:t>c</w:t>
      </w:r>
      <w:r w:rsidR="00C304E7" w:rsidRPr="00DD1B58">
        <w:rPr>
          <w:lang w:val="en-US"/>
        </w:rPr>
        <w:t>asional</w:t>
      </w:r>
      <w:r w:rsidR="00333B1E" w:rsidRPr="00DD1B58">
        <w:rPr>
          <w:lang w:val="en-US"/>
        </w:rPr>
        <w:t>l</w:t>
      </w:r>
      <w:r w:rsidR="00C304E7" w:rsidRPr="00DD1B58">
        <w:rPr>
          <w:lang w:val="en-US"/>
        </w:rPr>
        <w:t>y</w:t>
      </w:r>
      <w:r w:rsidR="00C96405" w:rsidRPr="00DD1B58">
        <w:rPr>
          <w:lang w:val="en-US"/>
        </w:rPr>
        <w:t>, but only where there is an absence of supporting information on the specific nature of the fire load</w:t>
      </w:r>
      <w:r w:rsidR="0027746C" w:rsidRPr="00DD1B58">
        <w:rPr>
          <w:lang w:val="en-US"/>
        </w:rPr>
        <w:t>. W</w:t>
      </w:r>
      <w:r w:rsidR="00C96405" w:rsidRPr="00DD1B58">
        <w:rPr>
          <w:lang w:val="en-US"/>
        </w:rPr>
        <w:t xml:space="preserve">hen applied, the approach </w:t>
      </w:r>
      <w:r w:rsidR="00282F57" w:rsidRPr="00DD1B58">
        <w:rPr>
          <w:lang w:val="en-US"/>
        </w:rPr>
        <w:t xml:space="preserve">will be </w:t>
      </w:r>
      <w:r w:rsidR="00C96405" w:rsidRPr="00DD1B58">
        <w:rPr>
          <w:lang w:val="en-US"/>
        </w:rPr>
        <w:t xml:space="preserve">conservative and bounding. An example of where </w:t>
      </w:r>
      <w:r w:rsidRPr="00DD1B58">
        <w:rPr>
          <w:lang w:val="en-US"/>
        </w:rPr>
        <w:t xml:space="preserve">Sellafield Ltd. </w:t>
      </w:r>
      <w:r w:rsidR="00C96405" w:rsidRPr="00DD1B58">
        <w:rPr>
          <w:lang w:val="en-US"/>
        </w:rPr>
        <w:t>may appl</w:t>
      </w:r>
      <w:r w:rsidR="0059357E" w:rsidRPr="00DD1B58">
        <w:rPr>
          <w:lang w:val="en-US"/>
        </w:rPr>
        <w:t>y this</w:t>
      </w:r>
      <w:r w:rsidR="00C96405" w:rsidRPr="00DD1B58">
        <w:rPr>
          <w:lang w:val="en-US"/>
        </w:rPr>
        <w:t xml:space="preserve"> is during concept design</w:t>
      </w:r>
      <w:r w:rsidR="0059357E" w:rsidRPr="00DD1B58">
        <w:rPr>
          <w:lang w:val="en-US"/>
        </w:rPr>
        <w:t>,</w:t>
      </w:r>
      <w:r w:rsidR="00C96405" w:rsidRPr="00DD1B58">
        <w:rPr>
          <w:lang w:val="en-US"/>
        </w:rPr>
        <w:t xml:space="preserve"> when detailed information on combustible inventories and fire load is not available </w:t>
      </w:r>
      <w:r w:rsidR="0059357E" w:rsidRPr="00DD1B58">
        <w:rPr>
          <w:lang w:val="en-US"/>
        </w:rPr>
        <w:t>for</w:t>
      </w:r>
      <w:r w:rsidR="00C96405" w:rsidRPr="00DD1B58">
        <w:rPr>
          <w:lang w:val="en-US"/>
        </w:rPr>
        <w:t xml:space="preserve"> analysis.</w:t>
      </w:r>
      <w:r w:rsidR="00835B90" w:rsidRPr="00DD1B58">
        <w:rPr>
          <w:lang w:val="en-US"/>
        </w:rPr>
        <w:t xml:space="preserve"> </w:t>
      </w:r>
      <w:r w:rsidRPr="00DD1B58">
        <w:rPr>
          <w:lang w:val="en-US"/>
        </w:rPr>
        <w:t>Sellafield Ltd.</w:t>
      </w:r>
      <w:r w:rsidR="00835B90" w:rsidRPr="00DD1B58">
        <w:rPr>
          <w:lang w:val="en-US"/>
        </w:rPr>
        <w:t xml:space="preserve"> list</w:t>
      </w:r>
      <w:r w:rsidR="00282F57" w:rsidRPr="00DD1B58">
        <w:rPr>
          <w:lang w:val="en-US"/>
        </w:rPr>
        <w:t>s</w:t>
      </w:r>
      <w:r w:rsidR="00835B90" w:rsidRPr="00DD1B58">
        <w:rPr>
          <w:lang w:val="en-US"/>
        </w:rPr>
        <w:t xml:space="preserve"> the </w:t>
      </w:r>
      <w:r w:rsidR="00D52F0B" w:rsidRPr="00DD1B58">
        <w:rPr>
          <w:lang w:val="en-US"/>
        </w:rPr>
        <w:t xml:space="preserve">key types of data </w:t>
      </w:r>
      <w:r w:rsidR="00835B90" w:rsidRPr="00DD1B58">
        <w:rPr>
          <w:lang w:val="en-US"/>
        </w:rPr>
        <w:t>as follows:</w:t>
      </w:r>
    </w:p>
    <w:p w14:paraId="7A2DC977" w14:textId="66F12B2D" w:rsidR="00D52F0B" w:rsidRPr="00DD1B58" w:rsidRDefault="00D52F0B" w:rsidP="00327321">
      <w:pPr>
        <w:pStyle w:val="Bulletlist1"/>
        <w:rPr>
          <w:lang w:val="en-US"/>
        </w:rPr>
      </w:pPr>
      <w:r w:rsidRPr="00DD1B58">
        <w:rPr>
          <w:lang w:val="en-US"/>
        </w:rPr>
        <w:t>Characteristics of the fire load for the design fire</w:t>
      </w:r>
      <w:r w:rsidR="00282F57" w:rsidRPr="00DD1B58">
        <w:rPr>
          <w:lang w:val="en-US"/>
        </w:rPr>
        <w:t>;</w:t>
      </w:r>
    </w:p>
    <w:p w14:paraId="4996CFA5" w14:textId="4D125C93" w:rsidR="00D52F0B" w:rsidRPr="00DD1B58" w:rsidRDefault="00D52F0B" w:rsidP="00327321">
      <w:pPr>
        <w:pStyle w:val="Bulletlist1"/>
        <w:rPr>
          <w:lang w:val="en-US"/>
        </w:rPr>
      </w:pPr>
      <w:r w:rsidRPr="00DD1B58">
        <w:rPr>
          <w:lang w:val="en-US"/>
        </w:rPr>
        <w:t>Construction of the room, compartment or building</w:t>
      </w:r>
      <w:r w:rsidR="00282F57" w:rsidRPr="00DD1B58">
        <w:rPr>
          <w:lang w:val="en-US"/>
        </w:rPr>
        <w:t>;</w:t>
      </w:r>
    </w:p>
    <w:p w14:paraId="39A8B8B2" w14:textId="51B213E9" w:rsidR="00D52F0B" w:rsidRPr="00DD1B58" w:rsidRDefault="00D52F0B" w:rsidP="00327321">
      <w:pPr>
        <w:pStyle w:val="Bulletlist1"/>
        <w:rPr>
          <w:lang w:val="en-US"/>
        </w:rPr>
      </w:pPr>
      <w:r w:rsidRPr="00DD1B58">
        <w:rPr>
          <w:lang w:val="en-US"/>
        </w:rPr>
        <w:t>Materials of construction of targets, radiological boundaries, etc.</w:t>
      </w:r>
      <w:r w:rsidR="00282F57" w:rsidRPr="00DD1B58">
        <w:rPr>
          <w:lang w:val="en-US"/>
        </w:rPr>
        <w:t>;</w:t>
      </w:r>
    </w:p>
    <w:p w14:paraId="18C250A5" w14:textId="54765D93" w:rsidR="00D52F0B" w:rsidRPr="00DD1B58" w:rsidRDefault="00D52F0B" w:rsidP="00327321">
      <w:pPr>
        <w:pStyle w:val="Bulletlist1"/>
        <w:rPr>
          <w:lang w:val="en-US"/>
        </w:rPr>
      </w:pPr>
      <w:r w:rsidRPr="00DD1B58">
        <w:rPr>
          <w:lang w:val="en-US"/>
        </w:rPr>
        <w:t>Location of the fire loads</w:t>
      </w:r>
      <w:r w:rsidR="00282F57" w:rsidRPr="00DD1B58">
        <w:rPr>
          <w:lang w:val="en-US"/>
        </w:rPr>
        <w:t>;</w:t>
      </w:r>
    </w:p>
    <w:p w14:paraId="719C8475" w14:textId="5BF0B900" w:rsidR="00D52F0B" w:rsidRPr="00DD1B58" w:rsidRDefault="00D52F0B" w:rsidP="00327321">
      <w:pPr>
        <w:pStyle w:val="Bulletlist1"/>
        <w:rPr>
          <w:lang w:val="en-US"/>
        </w:rPr>
      </w:pPr>
      <w:r w:rsidRPr="00DD1B58">
        <w:rPr>
          <w:lang w:val="en-US"/>
        </w:rPr>
        <w:t>Layout of the room, compartment or building</w:t>
      </w:r>
      <w:r w:rsidR="00282F57" w:rsidRPr="00DD1B58">
        <w:rPr>
          <w:lang w:val="en-US"/>
        </w:rPr>
        <w:t>;</w:t>
      </w:r>
    </w:p>
    <w:p w14:paraId="1C927764" w14:textId="3CF624B8" w:rsidR="00D52F0B" w:rsidRPr="00DD1B58" w:rsidRDefault="00D52F0B" w:rsidP="00327321">
      <w:pPr>
        <w:pStyle w:val="Bulletlist1"/>
        <w:rPr>
          <w:lang w:val="en-US"/>
        </w:rPr>
      </w:pPr>
      <w:r w:rsidRPr="00DD1B58">
        <w:rPr>
          <w:lang w:val="en-US"/>
        </w:rPr>
        <w:t>Ventilation characteristics</w:t>
      </w:r>
      <w:r w:rsidR="00282F57" w:rsidRPr="00DD1B58">
        <w:rPr>
          <w:lang w:val="en-US"/>
        </w:rPr>
        <w:t>;</w:t>
      </w:r>
    </w:p>
    <w:p w14:paraId="39FAE69C" w14:textId="49EB7A04" w:rsidR="00D52F0B" w:rsidRPr="00DD1B58" w:rsidRDefault="00D52F0B" w:rsidP="00327321">
      <w:pPr>
        <w:pStyle w:val="Bulletlist1"/>
        <w:rPr>
          <w:lang w:val="en-US"/>
        </w:rPr>
      </w:pPr>
      <w:r w:rsidRPr="00DD1B58">
        <w:rPr>
          <w:lang w:val="en-US"/>
        </w:rPr>
        <w:t>Ambient temperature</w:t>
      </w:r>
      <w:r w:rsidR="00282F57" w:rsidRPr="00DD1B58">
        <w:rPr>
          <w:lang w:val="en-US"/>
        </w:rPr>
        <w:t>;</w:t>
      </w:r>
    </w:p>
    <w:p w14:paraId="696DB9BF" w14:textId="69B4B6C1" w:rsidR="00D52F0B" w:rsidRPr="00DD1B58" w:rsidRDefault="00D52F0B" w:rsidP="00327321">
      <w:pPr>
        <w:pStyle w:val="Bulletlist1"/>
        <w:rPr>
          <w:lang w:val="en-US"/>
        </w:rPr>
      </w:pPr>
      <w:r w:rsidRPr="00DD1B58">
        <w:rPr>
          <w:lang w:val="en-US"/>
        </w:rPr>
        <w:t>Location of targets, radiological boundaries, etc</w:t>
      </w:r>
      <w:r w:rsidR="00282F57" w:rsidRPr="00DD1B58">
        <w:rPr>
          <w:lang w:val="en-US"/>
        </w:rPr>
        <w:t>;</w:t>
      </w:r>
    </w:p>
    <w:p w14:paraId="317BD4BD" w14:textId="54D3F902" w:rsidR="00D52F0B" w:rsidRPr="00DD1B58" w:rsidRDefault="00D52F0B" w:rsidP="00327321">
      <w:pPr>
        <w:pStyle w:val="Bulletlist1"/>
        <w:rPr>
          <w:lang w:val="en-US"/>
        </w:rPr>
      </w:pPr>
      <w:r w:rsidRPr="00DD1B58">
        <w:rPr>
          <w:lang w:val="en-US"/>
        </w:rPr>
        <w:t>Available fire protection in the room, compartment or building</w:t>
      </w:r>
      <w:r w:rsidR="00282F57" w:rsidRPr="00DD1B58">
        <w:rPr>
          <w:lang w:val="en-US"/>
        </w:rPr>
        <w:t>; and</w:t>
      </w:r>
    </w:p>
    <w:p w14:paraId="769D3644" w14:textId="77777777" w:rsidR="00D52F0B" w:rsidRPr="00DD1B58" w:rsidRDefault="00D52F0B" w:rsidP="00327321">
      <w:pPr>
        <w:pStyle w:val="Bulletlist1"/>
        <w:rPr>
          <w:lang w:val="en-US"/>
        </w:rPr>
      </w:pPr>
      <w:r w:rsidRPr="00DD1B58">
        <w:rPr>
          <w:lang w:val="en-US"/>
        </w:rPr>
        <w:t>Occupancy.</w:t>
      </w:r>
    </w:p>
    <w:p w14:paraId="01445848" w14:textId="35ABE53D" w:rsidR="005D0271" w:rsidRPr="00DD1B58" w:rsidRDefault="00D52F0B" w:rsidP="008D3AC1">
      <w:pPr>
        <w:rPr>
          <w:lang w:val="en-US"/>
        </w:rPr>
      </w:pPr>
      <w:r w:rsidRPr="00DD1B58">
        <w:rPr>
          <w:lang w:val="en-US"/>
        </w:rPr>
        <w:t xml:space="preserve">The first three bullets are associated with the establishment of the design fire and how it can impact upon the room, compartment of building. </w:t>
      </w:r>
      <w:r w:rsidR="004668E0" w:rsidRPr="00DD1B58">
        <w:rPr>
          <w:lang w:val="en-US"/>
        </w:rPr>
        <w:t>Sellafield Ltd.</w:t>
      </w:r>
      <w:r w:rsidR="00E40EF4" w:rsidRPr="00DD1B58">
        <w:rPr>
          <w:lang w:val="en-US"/>
        </w:rPr>
        <w:t xml:space="preserve"> report</w:t>
      </w:r>
      <w:r w:rsidR="004F2B12" w:rsidRPr="00DD1B58">
        <w:rPr>
          <w:lang w:val="en-US"/>
        </w:rPr>
        <w:t>s</w:t>
      </w:r>
      <w:r w:rsidR="00E40EF4" w:rsidRPr="00DD1B58">
        <w:rPr>
          <w:lang w:val="en-US"/>
        </w:rPr>
        <w:t xml:space="preserve"> that the </w:t>
      </w:r>
      <w:r w:rsidRPr="00DD1B58">
        <w:rPr>
          <w:lang w:val="en-US"/>
        </w:rPr>
        <w:t>design fire is generally established by first understanding the combustible constituents of the fire and then using data from reference material to establish the design fire heat release rate curve or the peak heat release rate</w:t>
      </w:r>
      <w:r w:rsidR="000D2EAD" w:rsidRPr="00DD1B58">
        <w:rPr>
          <w:lang w:val="en-US"/>
        </w:rPr>
        <w:t xml:space="preserve">. </w:t>
      </w:r>
      <w:r w:rsidR="004668E0" w:rsidRPr="00DD1B58">
        <w:rPr>
          <w:lang w:val="en-US"/>
        </w:rPr>
        <w:t>Sellafield Ltd.</w:t>
      </w:r>
      <w:r w:rsidR="000D2EAD" w:rsidRPr="00DD1B58">
        <w:rPr>
          <w:lang w:val="en-US"/>
        </w:rPr>
        <w:t xml:space="preserve"> report</w:t>
      </w:r>
      <w:r w:rsidR="004F2B12" w:rsidRPr="00DD1B58">
        <w:rPr>
          <w:lang w:val="en-US"/>
        </w:rPr>
        <w:t>s</w:t>
      </w:r>
      <w:r w:rsidR="000D2EAD" w:rsidRPr="00DD1B58">
        <w:rPr>
          <w:lang w:val="en-US"/>
        </w:rPr>
        <w:t xml:space="preserve"> that it uses a plethora of</w:t>
      </w:r>
      <w:r w:rsidRPr="00DD1B58">
        <w:rPr>
          <w:lang w:val="en-US"/>
        </w:rPr>
        <w:t xml:space="preserve"> Fire Engineering reference material to establish this</w:t>
      </w:r>
      <w:r w:rsidR="000D2EAD" w:rsidRPr="00DD1B58">
        <w:rPr>
          <w:lang w:val="en-US"/>
        </w:rPr>
        <w:t xml:space="preserve">, including </w:t>
      </w:r>
      <w:r w:rsidR="00F75DDC" w:rsidRPr="00DD1B58">
        <w:rPr>
          <w:lang w:val="en-US"/>
        </w:rPr>
        <w:t xml:space="preserve">the </w:t>
      </w:r>
      <w:r w:rsidR="00C67F71" w:rsidRPr="00DD1B58">
        <w:rPr>
          <w:lang w:val="en-US"/>
        </w:rPr>
        <w:t>Society</w:t>
      </w:r>
      <w:r w:rsidRPr="00DD1B58">
        <w:rPr>
          <w:lang w:val="en-US"/>
        </w:rPr>
        <w:t xml:space="preserve"> of Fire Protection Engineering Handbook of Fire Protection Engineering </w:t>
      </w:r>
      <w:sdt>
        <w:sdtPr>
          <w:rPr>
            <w:lang w:val="en-US"/>
          </w:rPr>
          <w:id w:val="287865450"/>
          <w:citation/>
        </w:sdtPr>
        <w:sdtContent>
          <w:r w:rsidR="007B156B" w:rsidRPr="00DD1B58">
            <w:rPr>
              <w:lang w:val="en-US"/>
            </w:rPr>
            <w:fldChar w:fldCharType="begin"/>
          </w:r>
          <w:r w:rsidR="00CE4450" w:rsidRPr="00DD1B58">
            <w:rPr>
              <w:lang w:val="en-US"/>
            </w:rPr>
            <w:instrText xml:space="preserve">CITATION SFP16 \l 2057 </w:instrText>
          </w:r>
          <w:r w:rsidR="007B156B" w:rsidRPr="00DD1B58">
            <w:rPr>
              <w:lang w:val="en-US"/>
            </w:rPr>
            <w:fldChar w:fldCharType="separate"/>
          </w:r>
          <w:r w:rsidR="00DF47DA" w:rsidRPr="00DF47DA">
            <w:rPr>
              <w:noProof/>
              <w:lang w:val="en-US"/>
            </w:rPr>
            <w:t>[28]</w:t>
          </w:r>
          <w:r w:rsidR="007B156B" w:rsidRPr="00DD1B58">
            <w:rPr>
              <w:lang w:val="en-US"/>
            </w:rPr>
            <w:fldChar w:fldCharType="end"/>
          </w:r>
        </w:sdtContent>
      </w:sdt>
      <w:r w:rsidR="000D2EAD" w:rsidRPr="00DD1B58">
        <w:rPr>
          <w:lang w:val="en-US"/>
        </w:rPr>
        <w:t>, t</w:t>
      </w:r>
      <w:r w:rsidRPr="00DD1B58">
        <w:rPr>
          <w:lang w:val="en-US"/>
        </w:rPr>
        <w:t xml:space="preserve">he Introduction to Fire Dynamics </w:t>
      </w:r>
      <w:sdt>
        <w:sdtPr>
          <w:rPr>
            <w:lang w:val="en-US"/>
          </w:rPr>
          <w:id w:val="-1938352310"/>
          <w:citation/>
        </w:sdtPr>
        <w:sdtContent>
          <w:r w:rsidR="007B156B" w:rsidRPr="00DD1B58">
            <w:rPr>
              <w:lang w:val="en-US"/>
            </w:rPr>
            <w:fldChar w:fldCharType="begin"/>
          </w:r>
          <w:r w:rsidR="007B156B" w:rsidRPr="00DD1B58">
            <w:rPr>
              <w:lang w:val="en-US"/>
            </w:rPr>
            <w:instrText xml:space="preserve"> CITATION Dry11 \l 2057 </w:instrText>
          </w:r>
          <w:r w:rsidR="007B156B" w:rsidRPr="00DD1B58">
            <w:rPr>
              <w:lang w:val="en-US"/>
            </w:rPr>
            <w:fldChar w:fldCharType="separate"/>
          </w:r>
          <w:r w:rsidR="00DF47DA" w:rsidRPr="00DF47DA">
            <w:rPr>
              <w:noProof/>
              <w:lang w:val="en-US"/>
            </w:rPr>
            <w:t>[29]</w:t>
          </w:r>
          <w:r w:rsidR="007B156B" w:rsidRPr="00DD1B58">
            <w:rPr>
              <w:lang w:val="en-US"/>
            </w:rPr>
            <w:fldChar w:fldCharType="end"/>
          </w:r>
        </w:sdtContent>
      </w:sdt>
      <w:r w:rsidR="000D2EAD" w:rsidRPr="00DD1B58">
        <w:rPr>
          <w:lang w:val="en-US"/>
        </w:rPr>
        <w:t xml:space="preserve">, </w:t>
      </w:r>
      <w:r w:rsidRPr="00DD1B58">
        <w:rPr>
          <w:lang w:val="en-US"/>
        </w:rPr>
        <w:t xml:space="preserve">Published Document 7974-6 Fire Safety Engineering </w:t>
      </w:r>
      <w:sdt>
        <w:sdtPr>
          <w:rPr>
            <w:lang w:val="en-US"/>
          </w:rPr>
          <w:id w:val="-1542207722"/>
          <w:citation/>
        </w:sdtPr>
        <w:sdtContent>
          <w:r w:rsidR="007B156B" w:rsidRPr="00DD1B58">
            <w:rPr>
              <w:lang w:val="en-US"/>
            </w:rPr>
            <w:fldChar w:fldCharType="begin"/>
          </w:r>
          <w:r w:rsidR="007B156B" w:rsidRPr="00DD1B58">
            <w:rPr>
              <w:lang w:val="en-US"/>
            </w:rPr>
            <w:instrText xml:space="preserve"> CITATION Bri19 \l 2057 </w:instrText>
          </w:r>
          <w:r w:rsidR="007B156B" w:rsidRPr="00DD1B58">
            <w:rPr>
              <w:lang w:val="en-US"/>
            </w:rPr>
            <w:fldChar w:fldCharType="separate"/>
          </w:r>
          <w:r w:rsidR="00DF47DA" w:rsidRPr="00DF47DA">
            <w:rPr>
              <w:noProof/>
              <w:lang w:val="en-US"/>
            </w:rPr>
            <w:t>[111]</w:t>
          </w:r>
          <w:r w:rsidR="007B156B" w:rsidRPr="00DD1B58">
            <w:rPr>
              <w:lang w:val="en-US"/>
            </w:rPr>
            <w:fldChar w:fldCharType="end"/>
          </w:r>
        </w:sdtContent>
      </w:sdt>
      <w:r w:rsidR="000D2EAD" w:rsidRPr="00DD1B58">
        <w:rPr>
          <w:lang w:val="en-US"/>
        </w:rPr>
        <w:t xml:space="preserve">, </w:t>
      </w:r>
      <w:r w:rsidR="004F2B12" w:rsidRPr="00DD1B58">
        <w:rPr>
          <w:lang w:val="en-US"/>
        </w:rPr>
        <w:t>and</w:t>
      </w:r>
      <w:r w:rsidR="000D2EAD" w:rsidRPr="00DD1B58">
        <w:rPr>
          <w:lang w:val="en-US"/>
        </w:rPr>
        <w:t xml:space="preserve"> </w:t>
      </w:r>
      <w:r w:rsidR="00F75DDC" w:rsidRPr="00DD1B58">
        <w:rPr>
          <w:lang w:val="en-US"/>
        </w:rPr>
        <w:t xml:space="preserve">various </w:t>
      </w:r>
      <w:r w:rsidRPr="00DD1B58">
        <w:rPr>
          <w:lang w:val="en-US"/>
        </w:rPr>
        <w:t xml:space="preserve">National Fire Protection Association </w:t>
      </w:r>
      <w:r w:rsidR="000D2EAD" w:rsidRPr="00DD1B58">
        <w:rPr>
          <w:lang w:val="en-US"/>
        </w:rPr>
        <w:t xml:space="preserve">and </w:t>
      </w:r>
      <w:r w:rsidRPr="00DD1B58">
        <w:rPr>
          <w:lang w:val="en-US"/>
        </w:rPr>
        <w:t>NUREG guidance documents.</w:t>
      </w:r>
      <w:r w:rsidR="002A45EE" w:rsidRPr="00DD1B58">
        <w:rPr>
          <w:lang w:val="en-US"/>
        </w:rPr>
        <w:t xml:space="preserve"> Sellafield note</w:t>
      </w:r>
      <w:r w:rsidR="004F2B12" w:rsidRPr="00DD1B58">
        <w:rPr>
          <w:lang w:val="en-US"/>
        </w:rPr>
        <w:t>s</w:t>
      </w:r>
      <w:r w:rsidR="002A45EE" w:rsidRPr="00DD1B58">
        <w:rPr>
          <w:lang w:val="en-US"/>
        </w:rPr>
        <w:t xml:space="preserve"> that the list is not meant to be exhaustive and that </w:t>
      </w:r>
      <w:r w:rsidR="00AC5B85" w:rsidRPr="00DD1B58">
        <w:rPr>
          <w:lang w:val="en-US"/>
        </w:rPr>
        <w:t>s</w:t>
      </w:r>
      <w:r w:rsidRPr="00DD1B58">
        <w:rPr>
          <w:lang w:val="en-US"/>
        </w:rPr>
        <w:t xml:space="preserve">ome of the references </w:t>
      </w:r>
      <w:r w:rsidR="004F2B12" w:rsidRPr="00DD1B58">
        <w:rPr>
          <w:lang w:val="en-US"/>
        </w:rPr>
        <w:t xml:space="preserve">listed </w:t>
      </w:r>
      <w:r w:rsidRPr="00DD1B58">
        <w:rPr>
          <w:lang w:val="en-US"/>
        </w:rPr>
        <w:t xml:space="preserve">above also provide good information </w:t>
      </w:r>
      <w:r w:rsidR="004F2B12" w:rsidRPr="00DD1B58">
        <w:rPr>
          <w:lang w:val="en-US"/>
        </w:rPr>
        <w:t xml:space="preserve">on </w:t>
      </w:r>
      <w:r w:rsidRPr="00DD1B58">
        <w:rPr>
          <w:lang w:val="en-US"/>
        </w:rPr>
        <w:t>the characteristics of building materials that may need to be input into a specific fire engineering analysis approach.</w:t>
      </w:r>
      <w:r w:rsidR="008D3AC1" w:rsidRPr="00DD1B58">
        <w:rPr>
          <w:lang w:val="en-US"/>
        </w:rPr>
        <w:t xml:space="preserve"> S</w:t>
      </w:r>
      <w:r w:rsidRPr="00DD1B58">
        <w:rPr>
          <w:lang w:val="en-US"/>
        </w:rPr>
        <w:t>pecific information relating to building characteristics, layout, ventilation, etc. would be ascertained either by building inspection or by review of design information.</w:t>
      </w:r>
    </w:p>
    <w:p w14:paraId="0ABFDAD2" w14:textId="520793F0" w:rsidR="00097CA4" w:rsidRPr="00DD1B58" w:rsidRDefault="004668E0" w:rsidP="00097CA4">
      <w:pPr>
        <w:rPr>
          <w:lang w:val="en-US"/>
        </w:rPr>
      </w:pPr>
      <w:r w:rsidRPr="00DD1B58">
        <w:rPr>
          <w:lang w:val="en-US"/>
        </w:rPr>
        <w:t>Sellafield Ltd.</w:t>
      </w:r>
      <w:r w:rsidR="008D3AC1" w:rsidRPr="00DD1B58">
        <w:rPr>
          <w:lang w:val="en-US"/>
        </w:rPr>
        <w:t xml:space="preserve"> report</w:t>
      </w:r>
      <w:r w:rsidR="00C91D12" w:rsidRPr="00DD1B58">
        <w:rPr>
          <w:lang w:val="en-US"/>
        </w:rPr>
        <w:t>s</w:t>
      </w:r>
      <w:r w:rsidR="008D3AC1" w:rsidRPr="00DD1B58">
        <w:rPr>
          <w:lang w:val="en-US"/>
        </w:rPr>
        <w:t xml:space="preserve"> that i</w:t>
      </w:r>
      <w:r w:rsidR="00C91D12" w:rsidRPr="00DD1B58">
        <w:rPr>
          <w:lang w:val="en-US"/>
        </w:rPr>
        <w:t>f</w:t>
      </w:r>
      <w:r w:rsidR="008D3AC1" w:rsidRPr="00DD1B58">
        <w:rPr>
          <w:lang w:val="en-US"/>
        </w:rPr>
        <w:t xml:space="preserve"> </w:t>
      </w:r>
      <w:r w:rsidR="00097CA4" w:rsidRPr="00DD1B58">
        <w:rPr>
          <w:lang w:val="en-US"/>
        </w:rPr>
        <w:t xml:space="preserve">there are uncertainties in the data </w:t>
      </w:r>
      <w:r w:rsidR="000709A1" w:rsidRPr="00DD1B58">
        <w:rPr>
          <w:lang w:val="en-US"/>
        </w:rPr>
        <w:t>used in</w:t>
      </w:r>
      <w:r w:rsidR="00097CA4" w:rsidRPr="00DD1B58">
        <w:rPr>
          <w:lang w:val="en-US"/>
        </w:rPr>
        <w:t xml:space="preserve"> the fire engineering analysis technique, a conservative and bounding input is selected based upon the available information. A sensitivity analysis </w:t>
      </w:r>
      <w:r w:rsidR="000709A1" w:rsidRPr="00DD1B58">
        <w:rPr>
          <w:lang w:val="en-US"/>
        </w:rPr>
        <w:t xml:space="preserve">may </w:t>
      </w:r>
      <w:r w:rsidR="00097CA4" w:rsidRPr="00DD1B58">
        <w:rPr>
          <w:lang w:val="en-US"/>
        </w:rPr>
        <w:t xml:space="preserve">also be applied to understand the potential impact of varying the values of the uncertain input. If there are </w:t>
      </w:r>
      <w:r w:rsidR="00010B76" w:rsidRPr="00DD1B58">
        <w:rPr>
          <w:lang w:val="en-US"/>
        </w:rPr>
        <w:t xml:space="preserve">intolerable </w:t>
      </w:r>
      <w:r w:rsidR="00097CA4" w:rsidRPr="00DD1B58">
        <w:rPr>
          <w:lang w:val="en-US"/>
        </w:rPr>
        <w:t xml:space="preserve">uncertainties in the output from the analysis, ultimately the output will not be used. A more sophisticated modelling technique might </w:t>
      </w:r>
      <w:r w:rsidR="000709A1" w:rsidRPr="00DD1B58">
        <w:rPr>
          <w:lang w:val="en-US"/>
        </w:rPr>
        <w:t xml:space="preserve">instead </w:t>
      </w:r>
      <w:r w:rsidR="00097CA4" w:rsidRPr="00DD1B58">
        <w:rPr>
          <w:lang w:val="en-US"/>
        </w:rPr>
        <w:t>be applied to achieve a greater level of certainty.</w:t>
      </w:r>
    </w:p>
    <w:p w14:paraId="7D3A6BA0" w14:textId="77777777" w:rsidR="0098758E" w:rsidRPr="00DD1B58" w:rsidRDefault="0098758E" w:rsidP="004C70B6">
      <w:pPr>
        <w:pStyle w:val="Heading4"/>
        <w:numPr>
          <w:ilvl w:val="4"/>
          <w:numId w:val="3"/>
        </w:numPr>
        <w:rPr>
          <w:lang w:val="en-US"/>
        </w:rPr>
      </w:pPr>
      <w:r w:rsidRPr="00DD1B58">
        <w:rPr>
          <w:lang w:val="en-US"/>
        </w:rPr>
        <w:t>Fire consequence analysis</w:t>
      </w:r>
    </w:p>
    <w:p w14:paraId="453FC1F3" w14:textId="69CA395F" w:rsidR="0098758E" w:rsidRPr="00DD1B58" w:rsidRDefault="004668E0" w:rsidP="0098758E">
      <w:pPr>
        <w:rPr>
          <w:lang w:val="en-US"/>
        </w:rPr>
      </w:pPr>
      <w:r w:rsidRPr="00DD1B58">
        <w:rPr>
          <w:lang w:val="en-US"/>
        </w:rPr>
        <w:t xml:space="preserve">Sellafield Ltd. </w:t>
      </w:r>
      <w:r w:rsidR="00060B9E" w:rsidRPr="00DD1B58">
        <w:rPr>
          <w:lang w:val="en-US"/>
        </w:rPr>
        <w:t>report</w:t>
      </w:r>
      <w:r w:rsidR="00E65FA6" w:rsidRPr="00DD1B58">
        <w:rPr>
          <w:lang w:val="en-US"/>
        </w:rPr>
        <w:t>s</w:t>
      </w:r>
      <w:r w:rsidR="00060B9E" w:rsidRPr="00DD1B58">
        <w:rPr>
          <w:lang w:val="en-US"/>
        </w:rPr>
        <w:t xml:space="preserve"> that it applies numerous methods, </w:t>
      </w:r>
      <w:r w:rsidR="00E65FA6" w:rsidRPr="00DD1B58">
        <w:rPr>
          <w:lang w:val="en-US"/>
        </w:rPr>
        <w:t>some of which are listed below.</w:t>
      </w:r>
    </w:p>
    <w:p w14:paraId="3A00659D" w14:textId="3196C79C" w:rsidR="002D2DAE" w:rsidRPr="00DD1B58" w:rsidRDefault="002D2DAE" w:rsidP="002D2DAE">
      <w:pPr>
        <w:rPr>
          <w:b/>
          <w:lang w:val="en-US"/>
        </w:rPr>
      </w:pPr>
      <w:r w:rsidRPr="00DD1B58">
        <w:rPr>
          <w:b/>
          <w:lang w:val="en-US"/>
        </w:rPr>
        <w:t xml:space="preserve">Fire </w:t>
      </w:r>
      <w:r w:rsidR="004A5136" w:rsidRPr="00DD1B58">
        <w:rPr>
          <w:b/>
          <w:lang w:val="en-US"/>
        </w:rPr>
        <w:t>l</w:t>
      </w:r>
      <w:r w:rsidRPr="00DD1B58">
        <w:rPr>
          <w:b/>
          <w:lang w:val="en-US"/>
        </w:rPr>
        <w:t xml:space="preserve">oading </w:t>
      </w:r>
      <w:r w:rsidR="004A5136" w:rsidRPr="00DD1B58">
        <w:rPr>
          <w:b/>
          <w:lang w:val="en-US"/>
        </w:rPr>
        <w:t xml:space="preserve">assessment </w:t>
      </w:r>
      <w:r w:rsidRPr="00DD1B58">
        <w:rPr>
          <w:b/>
          <w:lang w:val="en-US"/>
        </w:rPr>
        <w:t xml:space="preserve">and </w:t>
      </w:r>
      <w:r w:rsidR="004A5136" w:rsidRPr="00DD1B58">
        <w:rPr>
          <w:b/>
          <w:lang w:val="en-US"/>
        </w:rPr>
        <w:t xml:space="preserve">time equivalence </w:t>
      </w:r>
    </w:p>
    <w:p w14:paraId="3C4705D0" w14:textId="6201A8F4" w:rsidR="002D2DAE" w:rsidRPr="00DD1B58" w:rsidRDefault="004668E0" w:rsidP="002D2DAE">
      <w:pPr>
        <w:rPr>
          <w:lang w:val="en-US"/>
        </w:rPr>
      </w:pPr>
      <w:r w:rsidRPr="00DD1B58">
        <w:rPr>
          <w:lang w:val="en-US"/>
        </w:rPr>
        <w:t>Sellafield Ltd.</w:t>
      </w:r>
      <w:r w:rsidR="00480E59" w:rsidRPr="00DD1B58">
        <w:rPr>
          <w:lang w:val="en-US"/>
        </w:rPr>
        <w:t xml:space="preserve"> report</w:t>
      </w:r>
      <w:r w:rsidR="000709A1" w:rsidRPr="00DD1B58">
        <w:rPr>
          <w:lang w:val="en-US"/>
        </w:rPr>
        <w:t>s</w:t>
      </w:r>
      <w:r w:rsidR="00480E59" w:rsidRPr="00DD1B58">
        <w:rPr>
          <w:lang w:val="en-US"/>
        </w:rPr>
        <w:t xml:space="preserve"> that it completes a </w:t>
      </w:r>
      <w:r w:rsidR="002D2DAE" w:rsidRPr="00DD1B58">
        <w:rPr>
          <w:lang w:val="en-US"/>
        </w:rPr>
        <w:t xml:space="preserve">fire loading </w:t>
      </w:r>
      <w:r w:rsidR="002D2DAE" w:rsidRPr="00DD1B58" w:rsidDel="00480E59">
        <w:rPr>
          <w:lang w:val="en-US"/>
        </w:rPr>
        <w:t xml:space="preserve">assessment </w:t>
      </w:r>
      <w:r w:rsidR="002D2DAE" w:rsidRPr="00DD1B58">
        <w:rPr>
          <w:lang w:val="en-US"/>
        </w:rPr>
        <w:t xml:space="preserve">for all buildings. This </w:t>
      </w:r>
      <w:r w:rsidR="005A51AA" w:rsidRPr="00DD1B58">
        <w:rPr>
          <w:lang w:val="en-US"/>
        </w:rPr>
        <w:t>involves a</w:t>
      </w:r>
      <w:r w:rsidR="00480E59" w:rsidRPr="00DD1B58">
        <w:rPr>
          <w:lang w:val="en-US"/>
        </w:rPr>
        <w:t xml:space="preserve"> </w:t>
      </w:r>
      <w:r w:rsidR="002D2DAE" w:rsidRPr="00DD1B58">
        <w:rPr>
          <w:lang w:val="en-US"/>
        </w:rPr>
        <w:t xml:space="preserve">calculation of the fire load density per room or fire compartment in the building. </w:t>
      </w:r>
      <w:r w:rsidR="00376F3A" w:rsidRPr="00DD1B58">
        <w:rPr>
          <w:lang w:val="en-US"/>
        </w:rPr>
        <w:t xml:space="preserve">It then applies the </w:t>
      </w:r>
      <w:r w:rsidR="002D2DAE" w:rsidRPr="00DD1B58">
        <w:rPr>
          <w:lang w:val="en-US"/>
        </w:rPr>
        <w:t xml:space="preserve">fire load density to calculate the time equivalence, which in turn </w:t>
      </w:r>
      <w:r w:rsidR="00376F3A" w:rsidRPr="00DD1B58">
        <w:rPr>
          <w:lang w:val="en-US"/>
        </w:rPr>
        <w:t>allows it to</w:t>
      </w:r>
      <w:r w:rsidR="002D2DAE" w:rsidRPr="00DD1B58">
        <w:rPr>
          <w:lang w:val="en-US"/>
        </w:rPr>
        <w:t xml:space="preserve"> review the fire resistance requirements for fire compartmentation</w:t>
      </w:r>
      <w:r w:rsidR="00376F3A" w:rsidRPr="00DD1B58">
        <w:rPr>
          <w:lang w:val="en-US"/>
        </w:rPr>
        <w:t>.</w:t>
      </w:r>
    </w:p>
    <w:p w14:paraId="0BB6C4DF" w14:textId="7CD079E6" w:rsidR="002D2DAE" w:rsidRPr="00DD1B58" w:rsidRDefault="004668E0" w:rsidP="002D2DAE">
      <w:pPr>
        <w:rPr>
          <w:lang w:val="en-US"/>
        </w:rPr>
      </w:pPr>
      <w:r w:rsidRPr="00DD1B58">
        <w:rPr>
          <w:lang w:val="en-US"/>
        </w:rPr>
        <w:t>Sellafield Ltd.</w:t>
      </w:r>
      <w:r w:rsidR="00376F3A" w:rsidRPr="00DD1B58">
        <w:rPr>
          <w:lang w:val="en-US"/>
        </w:rPr>
        <w:t xml:space="preserve"> report</w:t>
      </w:r>
      <w:r w:rsidR="000709A1" w:rsidRPr="00DD1B58">
        <w:rPr>
          <w:lang w:val="en-US"/>
        </w:rPr>
        <w:t>s</w:t>
      </w:r>
      <w:r w:rsidR="00376F3A" w:rsidRPr="00DD1B58">
        <w:rPr>
          <w:lang w:val="en-US"/>
        </w:rPr>
        <w:t xml:space="preserve"> that the </w:t>
      </w:r>
      <w:r w:rsidR="002D2DAE" w:rsidRPr="00DD1B58">
        <w:rPr>
          <w:lang w:val="en-US"/>
        </w:rPr>
        <w:t>fire loading assessment include</w:t>
      </w:r>
      <w:r w:rsidR="00376F3A" w:rsidRPr="00DD1B58">
        <w:rPr>
          <w:lang w:val="en-US"/>
        </w:rPr>
        <w:t>s</w:t>
      </w:r>
      <w:r w:rsidR="002D2DAE" w:rsidRPr="00DD1B58">
        <w:rPr>
          <w:lang w:val="en-US"/>
        </w:rPr>
        <w:t xml:space="preserve"> all combustible inventories in a room or fire compartment. </w:t>
      </w:r>
      <w:r w:rsidR="00160EEC" w:rsidRPr="00DD1B58">
        <w:rPr>
          <w:lang w:val="en-US"/>
        </w:rPr>
        <w:t>It also state</w:t>
      </w:r>
      <w:r w:rsidR="00D12484" w:rsidRPr="00DD1B58">
        <w:rPr>
          <w:lang w:val="en-US"/>
        </w:rPr>
        <w:t>s</w:t>
      </w:r>
      <w:r w:rsidR="00160EEC" w:rsidRPr="00DD1B58">
        <w:rPr>
          <w:lang w:val="en-US"/>
        </w:rPr>
        <w:t xml:space="preserve"> that the </w:t>
      </w:r>
      <w:r w:rsidR="002D2DAE" w:rsidRPr="00DD1B58">
        <w:rPr>
          <w:lang w:val="en-US"/>
        </w:rPr>
        <w:t>fire loading assessment and time equivalence techniques applied</w:t>
      </w:r>
      <w:r w:rsidR="00160EEC" w:rsidRPr="00DD1B58">
        <w:rPr>
          <w:lang w:val="en-US"/>
        </w:rPr>
        <w:t xml:space="preserve"> use </w:t>
      </w:r>
      <w:r w:rsidR="002D2DAE" w:rsidRPr="00DD1B58">
        <w:rPr>
          <w:lang w:val="en-US"/>
        </w:rPr>
        <w:t>standard</w:t>
      </w:r>
      <w:r w:rsidR="00160EEC" w:rsidRPr="00DD1B58">
        <w:rPr>
          <w:lang w:val="en-US"/>
        </w:rPr>
        <w:t xml:space="preserve"> approaches</w:t>
      </w:r>
      <w:r w:rsidR="002D2DAE" w:rsidRPr="00DD1B58">
        <w:rPr>
          <w:lang w:val="en-US"/>
        </w:rPr>
        <w:t xml:space="preserve"> such as the Published Document (PD) 7974 suite of standards</w:t>
      </w:r>
      <w:r w:rsidR="00CE28CC" w:rsidRPr="00DD1B58">
        <w:rPr>
          <w:lang w:val="en-US"/>
        </w:rPr>
        <w:t xml:space="preserve"> </w:t>
      </w:r>
      <w:sdt>
        <w:sdtPr>
          <w:rPr>
            <w:lang w:val="en-US"/>
          </w:rPr>
          <w:id w:val="-562948133"/>
          <w:citation/>
        </w:sdtPr>
        <w:sdtContent>
          <w:r w:rsidR="00CE28CC" w:rsidRPr="00DD1B58">
            <w:rPr>
              <w:lang w:val="en-US"/>
            </w:rPr>
            <w:fldChar w:fldCharType="begin"/>
          </w:r>
          <w:r w:rsidR="00CE28CC" w:rsidRPr="00DD1B58">
            <w:rPr>
              <w:lang w:val="en-US"/>
            </w:rPr>
            <w:instrText xml:space="preserve"> CITATION Bri19 \l 2057 </w:instrText>
          </w:r>
          <w:r w:rsidR="00CE28CC" w:rsidRPr="00DD1B58">
            <w:rPr>
              <w:lang w:val="en-US"/>
            </w:rPr>
            <w:fldChar w:fldCharType="separate"/>
          </w:r>
          <w:r w:rsidR="00DF47DA" w:rsidRPr="00DF47DA">
            <w:rPr>
              <w:noProof/>
              <w:lang w:val="en-US"/>
            </w:rPr>
            <w:t>[111]</w:t>
          </w:r>
          <w:r w:rsidR="00CE28CC" w:rsidRPr="00DD1B58">
            <w:rPr>
              <w:lang w:val="en-US"/>
            </w:rPr>
            <w:fldChar w:fldCharType="end"/>
          </w:r>
        </w:sdtContent>
      </w:sdt>
      <w:r w:rsidR="002D2DAE" w:rsidRPr="00DD1B58">
        <w:rPr>
          <w:lang w:val="en-US"/>
        </w:rPr>
        <w:t xml:space="preserve">. </w:t>
      </w:r>
      <w:r w:rsidR="00862A9F" w:rsidRPr="00DD1B58">
        <w:rPr>
          <w:lang w:val="en-US"/>
        </w:rPr>
        <w:t>Depending on the arrangement in question, i</w:t>
      </w:r>
      <w:r w:rsidR="009059E5" w:rsidRPr="00DD1B58">
        <w:rPr>
          <w:lang w:val="en-US"/>
        </w:rPr>
        <w:t>t then follows</w:t>
      </w:r>
      <w:r w:rsidR="002D2DAE" w:rsidRPr="00DD1B58">
        <w:rPr>
          <w:lang w:val="en-US"/>
        </w:rPr>
        <w:t xml:space="preserve"> a time equivalence calculation technique using the ventilation characteristics of the room or compartment</w:t>
      </w:r>
      <w:r w:rsidR="009059E5" w:rsidRPr="00DD1B58">
        <w:rPr>
          <w:lang w:val="en-US"/>
        </w:rPr>
        <w:t>,</w:t>
      </w:r>
      <w:r w:rsidR="002D2DAE" w:rsidRPr="00DD1B58">
        <w:rPr>
          <w:lang w:val="en-US"/>
        </w:rPr>
        <w:t xml:space="preserve"> or a more linear equation comparing fire load density to time equivalence. </w:t>
      </w:r>
      <w:r w:rsidRPr="00DD1B58">
        <w:rPr>
          <w:lang w:val="en-US"/>
        </w:rPr>
        <w:t>Sellafield Ltd.</w:t>
      </w:r>
      <w:r w:rsidR="00937CF4" w:rsidRPr="00DD1B58">
        <w:rPr>
          <w:lang w:val="en-US"/>
        </w:rPr>
        <w:t xml:space="preserve"> also state</w:t>
      </w:r>
      <w:r w:rsidR="00862A9F" w:rsidRPr="00DD1B58">
        <w:rPr>
          <w:lang w:val="en-US"/>
        </w:rPr>
        <w:t>s</w:t>
      </w:r>
      <w:r w:rsidR="00937CF4" w:rsidRPr="00DD1B58">
        <w:rPr>
          <w:lang w:val="en-US"/>
        </w:rPr>
        <w:t xml:space="preserve"> that the </w:t>
      </w:r>
      <w:r w:rsidR="002D2DAE" w:rsidRPr="00DD1B58">
        <w:rPr>
          <w:lang w:val="en-US"/>
        </w:rPr>
        <w:t xml:space="preserve">propensity of the </w:t>
      </w:r>
      <w:r w:rsidR="00862A9F" w:rsidRPr="00DD1B58">
        <w:rPr>
          <w:lang w:val="en-US"/>
        </w:rPr>
        <w:t xml:space="preserve">applied </w:t>
      </w:r>
      <w:r w:rsidR="002D2DAE" w:rsidRPr="00DD1B58">
        <w:rPr>
          <w:lang w:val="en-US"/>
        </w:rPr>
        <w:t>technique to over</w:t>
      </w:r>
      <w:r w:rsidR="00862A9F" w:rsidRPr="00DD1B58">
        <w:rPr>
          <w:lang w:val="en-US"/>
        </w:rPr>
        <w:t>-</w:t>
      </w:r>
      <w:r w:rsidR="002D2DAE" w:rsidRPr="00DD1B58">
        <w:rPr>
          <w:lang w:val="en-US"/>
        </w:rPr>
        <w:t xml:space="preserve"> or underestimate the time equivalence </w:t>
      </w:r>
      <w:r w:rsidR="00937CF4" w:rsidRPr="00DD1B58">
        <w:rPr>
          <w:lang w:val="en-US"/>
        </w:rPr>
        <w:t>is</w:t>
      </w:r>
      <w:r w:rsidR="002D2DAE" w:rsidRPr="00DD1B58">
        <w:rPr>
          <w:lang w:val="en-US"/>
        </w:rPr>
        <w:t xml:space="preserve"> reviewed </w:t>
      </w:r>
      <w:r w:rsidR="00937CF4" w:rsidRPr="00DD1B58">
        <w:rPr>
          <w:lang w:val="en-US"/>
        </w:rPr>
        <w:t>through</w:t>
      </w:r>
      <w:r w:rsidR="002D2DAE" w:rsidRPr="00DD1B58">
        <w:rPr>
          <w:lang w:val="en-US"/>
        </w:rPr>
        <w:t xml:space="preserve"> sensitivity analysis</w:t>
      </w:r>
      <w:r w:rsidR="00937CF4" w:rsidRPr="00DD1B58">
        <w:rPr>
          <w:lang w:val="en-US"/>
        </w:rPr>
        <w:t xml:space="preserve"> as appropriate.</w:t>
      </w:r>
    </w:p>
    <w:p w14:paraId="7DAB5D59" w14:textId="435F884C" w:rsidR="00F94848" w:rsidRPr="00DD1B58" w:rsidRDefault="004668E0" w:rsidP="002D2DAE">
      <w:pPr>
        <w:rPr>
          <w:lang w:val="en-US"/>
        </w:rPr>
      </w:pPr>
      <w:r w:rsidRPr="00DD1B58">
        <w:rPr>
          <w:lang w:val="en-US"/>
        </w:rPr>
        <w:t>Sellafield Ltd.</w:t>
      </w:r>
      <w:r w:rsidR="00937CF4" w:rsidRPr="00DD1B58">
        <w:rPr>
          <w:lang w:val="en-US"/>
        </w:rPr>
        <w:t xml:space="preserve"> also report</w:t>
      </w:r>
      <w:r w:rsidR="006D237E" w:rsidRPr="00DD1B58">
        <w:rPr>
          <w:lang w:val="en-US"/>
        </w:rPr>
        <w:t xml:space="preserve">s </w:t>
      </w:r>
      <w:r w:rsidR="00937CF4" w:rsidRPr="00DD1B58">
        <w:rPr>
          <w:lang w:val="en-US"/>
        </w:rPr>
        <w:t>that f</w:t>
      </w:r>
      <w:r w:rsidR="002D2DAE" w:rsidRPr="00DD1B58">
        <w:rPr>
          <w:lang w:val="en-US"/>
        </w:rPr>
        <w:t>ire load assessments are completed for all plants to provide evidence that the fire compartments and fire barriers have suitable and sufficient fire resistance.</w:t>
      </w:r>
    </w:p>
    <w:p w14:paraId="32292455" w14:textId="3E9CB689" w:rsidR="00A869D3" w:rsidRPr="00DD1B58" w:rsidRDefault="00A869D3" w:rsidP="00A869D3">
      <w:pPr>
        <w:rPr>
          <w:b/>
          <w:lang w:val="en-US"/>
        </w:rPr>
      </w:pPr>
      <w:r w:rsidRPr="00DD1B58">
        <w:rPr>
          <w:b/>
          <w:lang w:val="en-US"/>
        </w:rPr>
        <w:t xml:space="preserve">Heat </w:t>
      </w:r>
      <w:r w:rsidR="006D237E" w:rsidRPr="00DD1B58">
        <w:rPr>
          <w:b/>
          <w:lang w:val="en-US"/>
        </w:rPr>
        <w:t>r</w:t>
      </w:r>
      <w:r w:rsidRPr="00DD1B58">
        <w:rPr>
          <w:b/>
          <w:lang w:val="en-US"/>
        </w:rPr>
        <w:t xml:space="preserve">elease </w:t>
      </w:r>
      <w:r w:rsidR="006D237E" w:rsidRPr="00DD1B58">
        <w:rPr>
          <w:b/>
          <w:lang w:val="en-US"/>
        </w:rPr>
        <w:t>r</w:t>
      </w:r>
      <w:r w:rsidRPr="00DD1B58">
        <w:rPr>
          <w:b/>
          <w:lang w:val="en-US"/>
        </w:rPr>
        <w:t xml:space="preserve">ate </w:t>
      </w:r>
      <w:r w:rsidR="006D237E" w:rsidRPr="00DD1B58">
        <w:rPr>
          <w:b/>
          <w:lang w:val="en-US"/>
        </w:rPr>
        <w:t>e</w:t>
      </w:r>
      <w:r w:rsidRPr="00DD1B58">
        <w:rPr>
          <w:b/>
          <w:lang w:val="en-US"/>
        </w:rPr>
        <w:t xml:space="preserve">stablishment and </w:t>
      </w:r>
      <w:r w:rsidR="006D237E" w:rsidRPr="00DD1B58">
        <w:rPr>
          <w:b/>
          <w:lang w:val="en-US"/>
        </w:rPr>
        <w:t>t</w:t>
      </w:r>
      <w:r w:rsidRPr="00DD1B58">
        <w:rPr>
          <w:b/>
          <w:lang w:val="en-US"/>
        </w:rPr>
        <w:t xml:space="preserve">hermal </w:t>
      </w:r>
      <w:r w:rsidR="006D237E" w:rsidRPr="00DD1B58">
        <w:rPr>
          <w:b/>
          <w:lang w:val="en-US"/>
        </w:rPr>
        <w:t>r</w:t>
      </w:r>
      <w:r w:rsidRPr="00DD1B58">
        <w:rPr>
          <w:b/>
          <w:lang w:val="en-US"/>
        </w:rPr>
        <w:t>adiation</w:t>
      </w:r>
    </w:p>
    <w:p w14:paraId="6F63943D" w14:textId="18714964" w:rsidR="00A869D3" w:rsidRPr="00DD1B58" w:rsidRDefault="004668E0" w:rsidP="00A869D3">
      <w:pPr>
        <w:rPr>
          <w:lang w:val="en-US"/>
        </w:rPr>
      </w:pPr>
      <w:r w:rsidRPr="00DD1B58">
        <w:rPr>
          <w:lang w:val="en-US"/>
        </w:rPr>
        <w:t>Sellafield Ltd.</w:t>
      </w:r>
      <w:r w:rsidR="00A869D3" w:rsidRPr="00DD1B58">
        <w:rPr>
          <w:lang w:val="en-US"/>
        </w:rPr>
        <w:t xml:space="preserve"> establish</w:t>
      </w:r>
      <w:r w:rsidR="006E483B" w:rsidRPr="00DD1B58">
        <w:rPr>
          <w:lang w:val="en-US"/>
        </w:rPr>
        <w:t>es</w:t>
      </w:r>
      <w:r w:rsidR="00A869D3" w:rsidRPr="00DD1B58">
        <w:rPr>
          <w:lang w:val="en-US"/>
        </w:rPr>
        <w:t xml:space="preserve"> the heat release rate of a design fire as a start point for further Fire Engineering Analyses. The Fire Engineering techniques subsequently drive </w:t>
      </w:r>
      <w:r w:rsidR="00F9634F" w:rsidRPr="00DD1B58">
        <w:rPr>
          <w:lang w:val="en-US"/>
        </w:rPr>
        <w:t>how it establishes</w:t>
      </w:r>
      <w:r w:rsidR="00940D2A" w:rsidRPr="00DD1B58">
        <w:rPr>
          <w:lang w:val="en-US"/>
        </w:rPr>
        <w:t xml:space="preserve"> </w:t>
      </w:r>
      <w:r w:rsidR="00A869D3" w:rsidRPr="00DD1B58">
        <w:rPr>
          <w:lang w:val="en-US"/>
        </w:rPr>
        <w:t xml:space="preserve">the heat release rate. Where </w:t>
      </w:r>
      <w:r w:rsidR="00F9634F" w:rsidRPr="00DD1B58">
        <w:rPr>
          <w:lang w:val="en-US"/>
        </w:rPr>
        <w:t xml:space="preserve">it applies </w:t>
      </w:r>
      <w:r w:rsidR="00A869D3" w:rsidRPr="00DD1B58">
        <w:rPr>
          <w:lang w:val="en-US"/>
        </w:rPr>
        <w:t>algebraic models, the peak heat release rate might be established through the application of the combustion characteristics of the fire load from reference data (area, mass loss rate</w:t>
      </w:r>
      <w:r w:rsidR="006D237E" w:rsidRPr="00DD1B58">
        <w:rPr>
          <w:lang w:val="en-US"/>
        </w:rPr>
        <w:t xml:space="preserve"> and</w:t>
      </w:r>
      <w:r w:rsidR="00A869D3" w:rsidRPr="00DD1B58">
        <w:rPr>
          <w:lang w:val="en-US"/>
        </w:rPr>
        <w:t xml:space="preserve"> heat of combustion). Should more complex algebraic calculations or a zone or CFD model be the next step, a heat release rate curve might be calculated using the principles of t</w:t>
      </w:r>
      <w:r w:rsidR="00A869D3" w:rsidRPr="00DD1B58">
        <w:rPr>
          <w:vertAlign w:val="superscript"/>
          <w:lang w:val="en-US"/>
        </w:rPr>
        <w:t>2</w:t>
      </w:r>
      <w:r w:rsidR="00A869D3" w:rsidRPr="00DD1B58">
        <w:rPr>
          <w:lang w:val="en-US"/>
        </w:rPr>
        <w:t xml:space="preserve"> growth, steady state phase and decay (as defined in reference</w:t>
      </w:r>
      <w:r w:rsidR="006D237E" w:rsidRPr="00DD1B58">
        <w:rPr>
          <w:lang w:val="en-US"/>
        </w:rPr>
        <w:t>s</w:t>
      </w:r>
      <w:r w:rsidR="00A869D3" w:rsidRPr="00DD1B58">
        <w:rPr>
          <w:lang w:val="en-US"/>
        </w:rPr>
        <w:t xml:space="preserve"> such as PD 7974-1</w:t>
      </w:r>
      <w:r w:rsidR="00057881" w:rsidRPr="00DD1B58">
        <w:rPr>
          <w:lang w:val="en-US"/>
        </w:rPr>
        <w:t xml:space="preserve"> </w:t>
      </w:r>
      <w:sdt>
        <w:sdtPr>
          <w:rPr>
            <w:lang w:val="en-US"/>
          </w:rPr>
          <w:id w:val="1953368847"/>
          <w:citation/>
        </w:sdtPr>
        <w:sdtContent>
          <w:r w:rsidR="00057881" w:rsidRPr="00DD1B58">
            <w:rPr>
              <w:lang w:val="en-US"/>
            </w:rPr>
            <w:fldChar w:fldCharType="begin"/>
          </w:r>
          <w:r w:rsidR="00057881" w:rsidRPr="00DD1B58">
            <w:rPr>
              <w:lang w:val="en-US"/>
            </w:rPr>
            <w:instrText xml:space="preserve"> CITATION Bri19 \l 2057 </w:instrText>
          </w:r>
          <w:r w:rsidR="00057881" w:rsidRPr="00DD1B58">
            <w:rPr>
              <w:lang w:val="en-US"/>
            </w:rPr>
            <w:fldChar w:fldCharType="separate"/>
          </w:r>
          <w:r w:rsidR="00DF47DA" w:rsidRPr="00DF47DA">
            <w:rPr>
              <w:noProof/>
              <w:lang w:val="en-US"/>
            </w:rPr>
            <w:t>[111]</w:t>
          </w:r>
          <w:r w:rsidR="00057881" w:rsidRPr="00DD1B58">
            <w:rPr>
              <w:lang w:val="en-US"/>
            </w:rPr>
            <w:fldChar w:fldCharType="end"/>
          </w:r>
        </w:sdtContent>
      </w:sdt>
      <w:r w:rsidR="00A869D3" w:rsidRPr="00DD1B58">
        <w:rPr>
          <w:lang w:val="en-US"/>
        </w:rPr>
        <w:t xml:space="preserve">). </w:t>
      </w:r>
    </w:p>
    <w:p w14:paraId="5A3ACD50" w14:textId="461B4774" w:rsidR="005D6024" w:rsidRPr="00DD1B58" w:rsidRDefault="004668E0" w:rsidP="00A869D3">
      <w:pPr>
        <w:rPr>
          <w:lang w:val="en-US"/>
        </w:rPr>
      </w:pPr>
      <w:r w:rsidRPr="00DD1B58">
        <w:rPr>
          <w:lang w:val="en-US"/>
        </w:rPr>
        <w:t>Sellafield Ltd.</w:t>
      </w:r>
      <w:r w:rsidR="00801723" w:rsidRPr="00DD1B58">
        <w:rPr>
          <w:lang w:val="en-US"/>
        </w:rPr>
        <w:t xml:space="preserve"> report</w:t>
      </w:r>
      <w:r w:rsidR="006D237E" w:rsidRPr="00DD1B58">
        <w:rPr>
          <w:lang w:val="en-US"/>
        </w:rPr>
        <w:t>s</w:t>
      </w:r>
      <w:r w:rsidR="00801723" w:rsidRPr="00DD1B58">
        <w:rPr>
          <w:lang w:val="en-US"/>
        </w:rPr>
        <w:t xml:space="preserve"> that t</w:t>
      </w:r>
      <w:r w:rsidR="00A869D3" w:rsidRPr="00DD1B58">
        <w:rPr>
          <w:lang w:val="en-US"/>
        </w:rPr>
        <w:t>hermal radiation received from a fire can be calculated using simple algebraic models, such as the point source model</w:t>
      </w:r>
      <w:r w:rsidR="006D237E" w:rsidRPr="00DD1B58">
        <w:rPr>
          <w:lang w:val="en-US"/>
        </w:rPr>
        <w:t>,</w:t>
      </w:r>
      <w:r w:rsidR="00A869D3" w:rsidRPr="00DD1B58">
        <w:rPr>
          <w:lang w:val="en-US"/>
        </w:rPr>
        <w:t xml:space="preserve"> or by </w:t>
      </w:r>
      <w:r w:rsidR="008E03C8" w:rsidRPr="00DD1B58">
        <w:rPr>
          <w:lang w:val="en-US"/>
        </w:rPr>
        <w:t>applying</w:t>
      </w:r>
      <w:r w:rsidR="00A869D3" w:rsidRPr="00DD1B58">
        <w:rPr>
          <w:lang w:val="en-US"/>
        </w:rPr>
        <w:t xml:space="preserve"> more complex software</w:t>
      </w:r>
      <w:r w:rsidR="008E03C8" w:rsidRPr="00DD1B58">
        <w:rPr>
          <w:lang w:val="en-US"/>
        </w:rPr>
        <w:t xml:space="preserve"> tools</w:t>
      </w:r>
      <w:r w:rsidR="00A869D3" w:rsidRPr="00DD1B58">
        <w:rPr>
          <w:lang w:val="en-US"/>
        </w:rPr>
        <w:t xml:space="preserve">. </w:t>
      </w:r>
      <w:r w:rsidRPr="00DD1B58">
        <w:rPr>
          <w:lang w:val="en-US"/>
        </w:rPr>
        <w:t>Sellafield Ltd.</w:t>
      </w:r>
      <w:r w:rsidR="00A869D3" w:rsidRPr="00DD1B58">
        <w:rPr>
          <w:lang w:val="en-US"/>
        </w:rPr>
        <w:t xml:space="preserve"> utilise</w:t>
      </w:r>
      <w:r w:rsidR="008E03C8" w:rsidRPr="00DD1B58">
        <w:rPr>
          <w:lang w:val="en-US"/>
        </w:rPr>
        <w:t>s</w:t>
      </w:r>
      <w:r w:rsidR="00A869D3" w:rsidRPr="00DD1B58">
        <w:rPr>
          <w:lang w:val="en-US"/>
        </w:rPr>
        <w:t xml:space="preserve"> both approaches, but </w:t>
      </w:r>
      <w:r w:rsidR="009512E5" w:rsidRPr="00DD1B58">
        <w:rPr>
          <w:lang w:val="en-US"/>
        </w:rPr>
        <w:t>conclude</w:t>
      </w:r>
      <w:r w:rsidR="006D237E" w:rsidRPr="00DD1B58">
        <w:rPr>
          <w:lang w:val="en-US"/>
        </w:rPr>
        <w:t>s</w:t>
      </w:r>
      <w:r w:rsidR="009512E5" w:rsidRPr="00DD1B58">
        <w:rPr>
          <w:lang w:val="en-US"/>
        </w:rPr>
        <w:t xml:space="preserve"> that </w:t>
      </w:r>
      <w:r w:rsidR="00A869D3" w:rsidRPr="00DD1B58">
        <w:rPr>
          <w:lang w:val="en-US"/>
        </w:rPr>
        <w:t>simple algebraic approach</w:t>
      </w:r>
      <w:r w:rsidR="006D237E" w:rsidRPr="00DD1B58">
        <w:rPr>
          <w:lang w:val="en-US"/>
        </w:rPr>
        <w:t>es</w:t>
      </w:r>
      <w:r w:rsidR="00A869D3" w:rsidRPr="00DD1B58">
        <w:rPr>
          <w:lang w:val="en-US"/>
        </w:rPr>
        <w:t xml:space="preserve"> </w:t>
      </w:r>
      <w:r w:rsidR="009512E5" w:rsidRPr="00DD1B58">
        <w:rPr>
          <w:lang w:val="en-US"/>
        </w:rPr>
        <w:t>are</w:t>
      </w:r>
      <w:r w:rsidR="00A869D3" w:rsidRPr="00DD1B58">
        <w:rPr>
          <w:lang w:val="en-US"/>
        </w:rPr>
        <w:t xml:space="preserve"> utilised</w:t>
      </w:r>
      <w:r w:rsidR="006D237E" w:rsidRPr="00DD1B58">
        <w:rPr>
          <w:lang w:val="en-US"/>
        </w:rPr>
        <w:t xml:space="preserve"> more often</w:t>
      </w:r>
      <w:r w:rsidR="00A869D3" w:rsidRPr="00DD1B58">
        <w:rPr>
          <w:lang w:val="en-US"/>
        </w:rPr>
        <w:t xml:space="preserve">. </w:t>
      </w:r>
      <w:r w:rsidR="00057881" w:rsidRPr="00DD1B58">
        <w:rPr>
          <w:lang w:val="en-US"/>
        </w:rPr>
        <w:t xml:space="preserve">NUREG 1805 </w:t>
      </w:r>
      <w:r w:rsidR="00A869D3" w:rsidRPr="00DD1B58">
        <w:rPr>
          <w:lang w:val="en-US"/>
        </w:rPr>
        <w:t xml:space="preserve">Quantitative Fire Hazard Analysis Methods </w:t>
      </w:r>
      <w:r w:rsidR="00B9599F" w:rsidRPr="00DD1B58">
        <w:rPr>
          <w:lang w:val="en-US"/>
        </w:rPr>
        <w:t xml:space="preserve">from </w:t>
      </w:r>
      <w:r w:rsidR="00A869D3" w:rsidRPr="00DD1B58">
        <w:rPr>
          <w:lang w:val="en-US"/>
        </w:rPr>
        <w:t>the U.S. Nuclear Regulatory Commission Fire Protection Inspection Program – NUREG Calculation Spreadsheets</w:t>
      </w:r>
      <w:r w:rsidR="00057881" w:rsidRPr="00DD1B58">
        <w:rPr>
          <w:lang w:val="en-US"/>
        </w:rPr>
        <w:t xml:space="preserve"> </w:t>
      </w:r>
      <w:sdt>
        <w:sdtPr>
          <w:rPr>
            <w:lang w:val="en-US"/>
          </w:rPr>
          <w:id w:val="1513259650"/>
          <w:citation/>
        </w:sdtPr>
        <w:sdtContent>
          <w:r w:rsidR="00057881" w:rsidRPr="00DD1B58">
            <w:rPr>
              <w:lang w:val="en-US"/>
            </w:rPr>
            <w:fldChar w:fldCharType="begin"/>
          </w:r>
          <w:r w:rsidR="00057881" w:rsidRPr="00DD1B58">
            <w:rPr>
              <w:lang w:val="en-US"/>
            </w:rPr>
            <w:instrText xml:space="preserve"> CITATION Uni04 \l 2057 </w:instrText>
          </w:r>
          <w:r w:rsidR="00057881" w:rsidRPr="00DD1B58">
            <w:rPr>
              <w:lang w:val="en-US"/>
            </w:rPr>
            <w:fldChar w:fldCharType="separate"/>
          </w:r>
          <w:r w:rsidR="00DF47DA" w:rsidRPr="00DF47DA">
            <w:rPr>
              <w:noProof/>
              <w:lang w:val="en-US"/>
            </w:rPr>
            <w:t>[78]</w:t>
          </w:r>
          <w:r w:rsidR="00057881" w:rsidRPr="00DD1B58">
            <w:rPr>
              <w:lang w:val="en-US"/>
            </w:rPr>
            <w:fldChar w:fldCharType="end"/>
          </w:r>
        </w:sdtContent>
      </w:sdt>
      <w:r w:rsidR="00A869D3" w:rsidRPr="00DD1B58">
        <w:rPr>
          <w:lang w:val="en-US"/>
        </w:rPr>
        <w:t xml:space="preserve"> were recently used on the </w:t>
      </w:r>
      <w:r w:rsidR="006428CB" w:rsidRPr="00DD1B58">
        <w:rPr>
          <w:lang w:val="en-US"/>
        </w:rPr>
        <w:t>BEPPS-DIF</w:t>
      </w:r>
      <w:r w:rsidR="00A869D3" w:rsidRPr="00DD1B58">
        <w:rPr>
          <w:lang w:val="en-US"/>
        </w:rPr>
        <w:t xml:space="preserve"> Project. These hand-based fire engineering calculations were used </w:t>
      </w:r>
      <w:r w:rsidR="00B9599F" w:rsidRPr="00DD1B58">
        <w:rPr>
          <w:lang w:val="en-US"/>
        </w:rPr>
        <w:t xml:space="preserve">by </w:t>
      </w:r>
      <w:r w:rsidRPr="00DD1B58">
        <w:rPr>
          <w:lang w:val="en-US"/>
        </w:rPr>
        <w:t xml:space="preserve">Sellafield Ltd. </w:t>
      </w:r>
      <w:r w:rsidR="00A869D3" w:rsidRPr="00DD1B58">
        <w:rPr>
          <w:lang w:val="en-US"/>
        </w:rPr>
        <w:t xml:space="preserve">to </w:t>
      </w:r>
      <w:r w:rsidR="00B9599F" w:rsidRPr="00DD1B58">
        <w:rPr>
          <w:lang w:val="en-US"/>
        </w:rPr>
        <w:t xml:space="preserve">show </w:t>
      </w:r>
      <w:r w:rsidR="00A869D3" w:rsidRPr="00DD1B58">
        <w:rPr>
          <w:lang w:val="en-US"/>
        </w:rPr>
        <w:t xml:space="preserve">that a fire </w:t>
      </w:r>
      <w:r w:rsidR="00101CBD" w:rsidRPr="00DD1B58">
        <w:rPr>
          <w:lang w:val="en-US"/>
        </w:rPr>
        <w:t xml:space="preserve">involving </w:t>
      </w:r>
      <w:r w:rsidR="00A869D3" w:rsidRPr="00DD1B58">
        <w:rPr>
          <w:lang w:val="en-US"/>
        </w:rPr>
        <w:t xml:space="preserve">crane </w:t>
      </w:r>
      <w:r w:rsidR="00101CBD" w:rsidRPr="00DD1B58">
        <w:rPr>
          <w:lang w:val="en-US"/>
        </w:rPr>
        <w:t xml:space="preserve">components </w:t>
      </w:r>
      <w:r w:rsidR="00A869D3" w:rsidRPr="00DD1B58">
        <w:rPr>
          <w:lang w:val="en-US"/>
        </w:rPr>
        <w:t xml:space="preserve">would not </w:t>
      </w:r>
      <w:r w:rsidR="00101CBD" w:rsidRPr="00DD1B58">
        <w:rPr>
          <w:lang w:val="en-US"/>
        </w:rPr>
        <w:t>have</w:t>
      </w:r>
      <w:r w:rsidR="00A869D3" w:rsidRPr="00DD1B58">
        <w:rPr>
          <w:lang w:val="en-US"/>
        </w:rPr>
        <w:t xml:space="preserve"> detrimental effect</w:t>
      </w:r>
      <w:r w:rsidR="00101CBD" w:rsidRPr="00DD1B58">
        <w:rPr>
          <w:lang w:val="en-US"/>
        </w:rPr>
        <w:t>s</w:t>
      </w:r>
      <w:r w:rsidR="00A869D3" w:rsidRPr="00DD1B58">
        <w:rPr>
          <w:lang w:val="en-US"/>
        </w:rPr>
        <w:t xml:space="preserve"> on the nuclear packages transported. </w:t>
      </w:r>
    </w:p>
    <w:p w14:paraId="1CE3584C" w14:textId="0357A2D2" w:rsidR="00851088" w:rsidRPr="00DD1B58" w:rsidRDefault="00851088" w:rsidP="00851088">
      <w:pPr>
        <w:rPr>
          <w:b/>
          <w:lang w:val="en-US"/>
        </w:rPr>
      </w:pPr>
      <w:r w:rsidRPr="00DD1B58">
        <w:rPr>
          <w:b/>
          <w:lang w:val="en-US"/>
        </w:rPr>
        <w:t xml:space="preserve">Consolidated model of Fire And Smoke Transport (CFAST) </w:t>
      </w:r>
      <w:r w:rsidR="00C35DD3" w:rsidRPr="00DD1B58">
        <w:rPr>
          <w:b/>
          <w:lang w:val="en-US"/>
        </w:rPr>
        <w:t>z</w:t>
      </w:r>
      <w:r w:rsidRPr="00DD1B58">
        <w:rPr>
          <w:b/>
          <w:lang w:val="en-US"/>
        </w:rPr>
        <w:t>one</w:t>
      </w:r>
      <w:r w:rsidR="00C35DD3" w:rsidRPr="00DD1B58">
        <w:rPr>
          <w:b/>
          <w:lang w:val="en-US"/>
        </w:rPr>
        <w:t xml:space="preserve"> m</w:t>
      </w:r>
      <w:r w:rsidRPr="00DD1B58">
        <w:rPr>
          <w:b/>
          <w:lang w:val="en-US"/>
        </w:rPr>
        <w:t>odelling</w:t>
      </w:r>
    </w:p>
    <w:p w14:paraId="35732800" w14:textId="3495AC60" w:rsidR="00851088" w:rsidRPr="00DD1B58" w:rsidRDefault="004668E0" w:rsidP="00851088">
      <w:pPr>
        <w:rPr>
          <w:lang w:val="en-US"/>
        </w:rPr>
      </w:pPr>
      <w:r w:rsidRPr="00DD1B58">
        <w:rPr>
          <w:lang w:val="en-US"/>
        </w:rPr>
        <w:t>Sellafield Ltd.</w:t>
      </w:r>
      <w:r w:rsidR="00BB7985" w:rsidRPr="00DD1B58">
        <w:rPr>
          <w:lang w:val="en-US"/>
        </w:rPr>
        <w:t xml:space="preserve"> state</w:t>
      </w:r>
      <w:r w:rsidR="00C35DD3" w:rsidRPr="00DD1B58">
        <w:rPr>
          <w:lang w:val="en-US"/>
        </w:rPr>
        <w:t>s</w:t>
      </w:r>
      <w:r w:rsidR="00BB7985" w:rsidRPr="00DD1B58">
        <w:rPr>
          <w:lang w:val="en-US"/>
        </w:rPr>
        <w:t xml:space="preserve"> that it</w:t>
      </w:r>
      <w:r w:rsidR="00851088" w:rsidRPr="00DD1B58">
        <w:rPr>
          <w:lang w:val="en-US"/>
        </w:rPr>
        <w:t xml:space="preserve"> use</w:t>
      </w:r>
      <w:r w:rsidR="00BB7985" w:rsidRPr="00DD1B58">
        <w:rPr>
          <w:lang w:val="en-US"/>
        </w:rPr>
        <w:t>s</w:t>
      </w:r>
      <w:r w:rsidR="00851088" w:rsidRPr="00DD1B58">
        <w:rPr>
          <w:lang w:val="en-US"/>
        </w:rPr>
        <w:t xml:space="preserve"> zone models </w:t>
      </w:r>
      <w:r w:rsidR="00C35DD3" w:rsidRPr="00DD1B58">
        <w:rPr>
          <w:lang w:val="en-US"/>
        </w:rPr>
        <w:t>where appropriate</w:t>
      </w:r>
      <w:r w:rsidR="00851088" w:rsidRPr="00DD1B58">
        <w:rPr>
          <w:lang w:val="en-US"/>
        </w:rPr>
        <w:t xml:space="preserve">. </w:t>
      </w:r>
      <w:r w:rsidR="00BB7985" w:rsidRPr="00DD1B58">
        <w:rPr>
          <w:lang w:val="en-US"/>
        </w:rPr>
        <w:t>It report</w:t>
      </w:r>
      <w:r w:rsidR="00C35DD3" w:rsidRPr="00DD1B58">
        <w:rPr>
          <w:lang w:val="en-US"/>
        </w:rPr>
        <w:t>s</w:t>
      </w:r>
      <w:r w:rsidR="00BB7985" w:rsidRPr="00DD1B58">
        <w:rPr>
          <w:lang w:val="en-US"/>
        </w:rPr>
        <w:t xml:space="preserve"> that the </w:t>
      </w:r>
      <w:r w:rsidR="00851088" w:rsidRPr="00DD1B58">
        <w:rPr>
          <w:lang w:val="en-US"/>
        </w:rPr>
        <w:t xml:space="preserve">limitations of </w:t>
      </w:r>
      <w:r w:rsidR="003E0764" w:rsidRPr="00DD1B58">
        <w:rPr>
          <w:lang w:val="en-US"/>
        </w:rPr>
        <w:t>these</w:t>
      </w:r>
      <w:r w:rsidR="00851088" w:rsidRPr="00DD1B58">
        <w:rPr>
          <w:lang w:val="en-US"/>
        </w:rPr>
        <w:t xml:space="preserve"> models </w:t>
      </w:r>
      <w:r w:rsidR="00C35DD3" w:rsidRPr="00DD1B58">
        <w:rPr>
          <w:lang w:val="en-US"/>
        </w:rPr>
        <w:t>are</w:t>
      </w:r>
      <w:r w:rsidR="00BB74BE" w:rsidRPr="00DD1B58">
        <w:rPr>
          <w:lang w:val="en-US"/>
        </w:rPr>
        <w:t xml:space="preserve"> </w:t>
      </w:r>
      <w:r w:rsidR="00851088" w:rsidRPr="00DD1B58">
        <w:rPr>
          <w:lang w:val="en-US"/>
        </w:rPr>
        <w:t xml:space="preserve">well understood, with one of the primary limitations being that the output </w:t>
      </w:r>
      <w:r w:rsidR="00BB74BE" w:rsidRPr="00DD1B58">
        <w:rPr>
          <w:lang w:val="en-US"/>
        </w:rPr>
        <w:t>is</w:t>
      </w:r>
      <w:r w:rsidR="00851088" w:rsidRPr="00DD1B58">
        <w:rPr>
          <w:lang w:val="en-US"/>
        </w:rPr>
        <w:t xml:space="preserve"> an average temperature for each of two zones, so care should be taken if localised temperatures </w:t>
      </w:r>
      <w:r w:rsidR="00047D8A" w:rsidRPr="00DD1B58">
        <w:rPr>
          <w:lang w:val="en-US"/>
        </w:rPr>
        <w:t xml:space="preserve">are an expected </w:t>
      </w:r>
      <w:r w:rsidR="00851088" w:rsidRPr="00DD1B58">
        <w:rPr>
          <w:lang w:val="en-US"/>
        </w:rPr>
        <w:t>output</w:t>
      </w:r>
      <w:r w:rsidR="00047D8A" w:rsidRPr="00DD1B58">
        <w:rPr>
          <w:lang w:val="en-US"/>
        </w:rPr>
        <w:t>.</w:t>
      </w:r>
      <w:r w:rsidR="00A741DA" w:rsidRPr="00DD1B58">
        <w:rPr>
          <w:lang w:val="en-US"/>
        </w:rPr>
        <w:t xml:space="preserve"> </w:t>
      </w:r>
      <w:r w:rsidRPr="00DD1B58">
        <w:rPr>
          <w:lang w:val="en-US"/>
        </w:rPr>
        <w:t>Sellafield Ltd.</w:t>
      </w:r>
      <w:r w:rsidR="00851088" w:rsidRPr="00DD1B58">
        <w:rPr>
          <w:lang w:val="en-US"/>
        </w:rPr>
        <w:t xml:space="preserve"> </w:t>
      </w:r>
      <w:r w:rsidR="00A741DA" w:rsidRPr="00DD1B58">
        <w:rPr>
          <w:lang w:val="en-US"/>
        </w:rPr>
        <w:t>report</w:t>
      </w:r>
      <w:r w:rsidR="003E0764" w:rsidRPr="00DD1B58">
        <w:rPr>
          <w:lang w:val="en-US"/>
        </w:rPr>
        <w:t>s</w:t>
      </w:r>
      <w:r w:rsidR="00A741DA" w:rsidRPr="00DD1B58">
        <w:rPr>
          <w:lang w:val="en-US"/>
        </w:rPr>
        <w:t xml:space="preserve"> that it </w:t>
      </w:r>
      <w:r w:rsidR="00851088" w:rsidRPr="00DD1B58">
        <w:rPr>
          <w:lang w:val="en-US"/>
        </w:rPr>
        <w:t>use</w:t>
      </w:r>
      <w:r w:rsidR="00A741DA" w:rsidRPr="00DD1B58">
        <w:rPr>
          <w:lang w:val="en-US"/>
        </w:rPr>
        <w:t>s</w:t>
      </w:r>
      <w:r w:rsidR="00851088" w:rsidRPr="00DD1B58">
        <w:rPr>
          <w:lang w:val="en-US"/>
        </w:rPr>
        <w:t xml:space="preserve"> this software within the bounds of </w:t>
      </w:r>
      <w:r w:rsidR="00A741DA" w:rsidRPr="00DD1B58">
        <w:rPr>
          <w:lang w:val="en-US"/>
        </w:rPr>
        <w:t>applicability reported in</w:t>
      </w:r>
      <w:r w:rsidR="00851088" w:rsidRPr="00DD1B58">
        <w:rPr>
          <w:lang w:val="en-US"/>
        </w:rPr>
        <w:t xml:space="preserve"> reference material</w:t>
      </w:r>
      <w:r w:rsidR="00A741DA" w:rsidRPr="00DD1B58">
        <w:rPr>
          <w:lang w:val="en-US"/>
        </w:rPr>
        <w:t xml:space="preserve"> and that the </w:t>
      </w:r>
      <w:r w:rsidR="00851088" w:rsidRPr="00DD1B58">
        <w:rPr>
          <w:lang w:val="en-US"/>
        </w:rPr>
        <w:t xml:space="preserve">output </w:t>
      </w:r>
      <w:r w:rsidR="003E0764" w:rsidRPr="00DD1B58">
        <w:rPr>
          <w:lang w:val="en-US"/>
        </w:rPr>
        <w:t>is</w:t>
      </w:r>
      <w:r w:rsidR="00851088" w:rsidRPr="00DD1B58">
        <w:rPr>
          <w:lang w:val="en-US"/>
        </w:rPr>
        <w:t xml:space="preserve"> reviewed against defined failure criteria</w:t>
      </w:r>
      <w:r w:rsidR="003E0764" w:rsidRPr="00DD1B58">
        <w:rPr>
          <w:lang w:val="en-US"/>
        </w:rPr>
        <w:t>. I</w:t>
      </w:r>
      <w:r w:rsidR="00851088" w:rsidRPr="00DD1B58">
        <w:rPr>
          <w:lang w:val="en-US"/>
        </w:rPr>
        <w:t xml:space="preserve">f the safety margin </w:t>
      </w:r>
      <w:r w:rsidR="00A741DA" w:rsidRPr="00DD1B58">
        <w:rPr>
          <w:lang w:val="en-US"/>
        </w:rPr>
        <w:t xml:space="preserve">was </w:t>
      </w:r>
      <w:r w:rsidR="00851088" w:rsidRPr="00DD1B58">
        <w:rPr>
          <w:lang w:val="en-US"/>
        </w:rPr>
        <w:t xml:space="preserve">not considered to be sufficiently large, further modelling </w:t>
      </w:r>
      <w:r w:rsidR="00A741DA" w:rsidRPr="00DD1B58">
        <w:rPr>
          <w:lang w:val="en-US"/>
        </w:rPr>
        <w:t xml:space="preserve">would </w:t>
      </w:r>
      <w:r w:rsidR="00851088" w:rsidRPr="00DD1B58">
        <w:rPr>
          <w:lang w:val="en-US"/>
        </w:rPr>
        <w:t>be completed to validate results.</w:t>
      </w:r>
      <w:r w:rsidR="00940D2A" w:rsidRPr="00DD1B58">
        <w:rPr>
          <w:lang w:val="en-US"/>
        </w:rPr>
        <w:t xml:space="preserve"> </w:t>
      </w:r>
    </w:p>
    <w:p w14:paraId="29CCB49E" w14:textId="7A8CF5CF" w:rsidR="00851088" w:rsidRPr="00DD1B58" w:rsidRDefault="004668E0" w:rsidP="00851088">
      <w:pPr>
        <w:rPr>
          <w:lang w:val="en-US"/>
        </w:rPr>
      </w:pPr>
      <w:r w:rsidRPr="00DD1B58">
        <w:rPr>
          <w:lang w:val="en-US"/>
        </w:rPr>
        <w:t>Sellafield Ltd.</w:t>
      </w:r>
      <w:r w:rsidR="00A741DA" w:rsidRPr="00DD1B58">
        <w:rPr>
          <w:lang w:val="en-US"/>
        </w:rPr>
        <w:t xml:space="preserve"> report</w:t>
      </w:r>
      <w:r w:rsidR="003E0764" w:rsidRPr="00DD1B58">
        <w:rPr>
          <w:lang w:val="en-US"/>
        </w:rPr>
        <w:t>s</w:t>
      </w:r>
      <w:r w:rsidR="00A741DA" w:rsidRPr="00DD1B58">
        <w:rPr>
          <w:lang w:val="en-US"/>
        </w:rPr>
        <w:t xml:space="preserve"> that </w:t>
      </w:r>
      <w:r w:rsidR="00851088" w:rsidRPr="00DD1B58">
        <w:rPr>
          <w:lang w:val="en-US"/>
        </w:rPr>
        <w:t xml:space="preserve">CFAST </w:t>
      </w:r>
      <w:r w:rsidR="003E0764" w:rsidRPr="00DD1B58">
        <w:rPr>
          <w:lang w:val="en-US"/>
        </w:rPr>
        <w:t>z</w:t>
      </w:r>
      <w:r w:rsidR="00851088" w:rsidRPr="00DD1B58">
        <w:rPr>
          <w:lang w:val="en-US"/>
        </w:rPr>
        <w:t xml:space="preserve">one modelling was recently utilised in the </w:t>
      </w:r>
      <w:r w:rsidR="006428CB" w:rsidRPr="00DD1B58">
        <w:rPr>
          <w:lang w:val="en-US"/>
        </w:rPr>
        <w:t>BEPPS-</w:t>
      </w:r>
      <w:r w:rsidR="00851088" w:rsidRPr="00DD1B58">
        <w:rPr>
          <w:lang w:val="en-US"/>
        </w:rPr>
        <w:t>DIF Nuclear Fire Hazard Analysis</w:t>
      </w:r>
      <w:r w:rsidR="00A741DA" w:rsidRPr="00DD1B58">
        <w:rPr>
          <w:lang w:val="en-US"/>
        </w:rPr>
        <w:t>,</w:t>
      </w:r>
      <w:r w:rsidR="00851088" w:rsidRPr="00DD1B58">
        <w:rPr>
          <w:lang w:val="en-US"/>
        </w:rPr>
        <w:t xml:space="preserve"> to understand the impact of a transporter fire within the plant. The first step in the fire modelling process was to define the parameters of the fire. This was achieved by using transporter cab and trailer specifications and associated fire loads. The information was then used to develop a heat release rate curve for all the materials to ascertain how a full transporter fire would grow. The output </w:t>
      </w:r>
      <w:r w:rsidR="00A741DA" w:rsidRPr="00DD1B58">
        <w:rPr>
          <w:lang w:val="en-US"/>
        </w:rPr>
        <w:t xml:space="preserve">was </w:t>
      </w:r>
      <w:r w:rsidR="00851088" w:rsidRPr="00DD1B58">
        <w:rPr>
          <w:lang w:val="en-US"/>
        </w:rPr>
        <w:t xml:space="preserve">shown graphically as the fire growth rate and average peak temperature achieved. </w:t>
      </w:r>
      <w:r w:rsidRPr="00DD1B58">
        <w:rPr>
          <w:lang w:val="en-US"/>
        </w:rPr>
        <w:t>Sellafield Ltd.</w:t>
      </w:r>
      <w:r w:rsidR="00A741DA" w:rsidRPr="00DD1B58">
        <w:rPr>
          <w:lang w:val="en-US"/>
        </w:rPr>
        <w:t xml:space="preserve"> also </w:t>
      </w:r>
      <w:r w:rsidR="00963DE6" w:rsidRPr="00DD1B58">
        <w:rPr>
          <w:lang w:val="en-US"/>
        </w:rPr>
        <w:t>showed</w:t>
      </w:r>
      <w:r w:rsidR="00851088" w:rsidRPr="00DD1B58">
        <w:rPr>
          <w:lang w:val="en-US"/>
        </w:rPr>
        <w:t xml:space="preserve"> the Upper Gas Layer Temperature in the particular area of the plant. </w:t>
      </w:r>
      <w:r w:rsidRPr="00DD1B58">
        <w:rPr>
          <w:lang w:val="en-US"/>
        </w:rPr>
        <w:t>Sellafield Ltd.</w:t>
      </w:r>
      <w:r w:rsidR="00A741DA" w:rsidRPr="00DD1B58">
        <w:rPr>
          <w:lang w:val="en-US"/>
        </w:rPr>
        <w:t xml:space="preserve"> state</w:t>
      </w:r>
      <w:r w:rsidR="006A20C3" w:rsidRPr="00DD1B58">
        <w:rPr>
          <w:lang w:val="en-US"/>
        </w:rPr>
        <w:t>s</w:t>
      </w:r>
      <w:r w:rsidR="00A741DA" w:rsidRPr="00DD1B58">
        <w:rPr>
          <w:lang w:val="en-US"/>
        </w:rPr>
        <w:t xml:space="preserve"> that a</w:t>
      </w:r>
      <w:r w:rsidR="00851088" w:rsidRPr="00DD1B58">
        <w:rPr>
          <w:lang w:val="en-US"/>
        </w:rPr>
        <w:t xml:space="preserve">ll the structural steel members in the particular area </w:t>
      </w:r>
      <w:r w:rsidR="00A741DA" w:rsidRPr="00DD1B58">
        <w:rPr>
          <w:lang w:val="en-US"/>
        </w:rPr>
        <w:t xml:space="preserve">were </w:t>
      </w:r>
      <w:r w:rsidR="00851088" w:rsidRPr="00DD1B58">
        <w:rPr>
          <w:lang w:val="en-US"/>
        </w:rPr>
        <w:t xml:space="preserve">provided with a </w:t>
      </w:r>
      <w:r w:rsidR="006A20C3" w:rsidRPr="00DD1B58">
        <w:rPr>
          <w:lang w:val="en-US"/>
        </w:rPr>
        <w:t>two-hour</w:t>
      </w:r>
      <w:r w:rsidR="00851088" w:rsidRPr="00DD1B58">
        <w:rPr>
          <w:lang w:val="en-US"/>
        </w:rPr>
        <w:t xml:space="preserve"> load bearing fire resistance capability to BS 476 Part 20-21</w:t>
      </w:r>
      <w:r w:rsidR="00F63F58" w:rsidRPr="00DD1B58">
        <w:rPr>
          <w:lang w:val="en-US"/>
        </w:rPr>
        <w:t xml:space="preserve"> </w:t>
      </w:r>
      <w:sdt>
        <w:sdtPr>
          <w:rPr>
            <w:lang w:val="en-US"/>
          </w:rPr>
          <w:id w:val="129522976"/>
          <w:citation/>
        </w:sdtPr>
        <w:sdtContent>
          <w:r w:rsidR="00F63F58" w:rsidRPr="00DD1B58">
            <w:rPr>
              <w:lang w:val="en-US"/>
            </w:rPr>
            <w:fldChar w:fldCharType="begin"/>
          </w:r>
          <w:r w:rsidR="00F63F58" w:rsidRPr="00DD1B58">
            <w:rPr>
              <w:lang w:val="en-US"/>
            </w:rPr>
            <w:instrText xml:space="preserve"> CITATION Bri87 \l 2057 </w:instrText>
          </w:r>
          <w:r w:rsidR="00F63F58" w:rsidRPr="00DD1B58">
            <w:rPr>
              <w:lang w:val="en-US"/>
            </w:rPr>
            <w:fldChar w:fldCharType="separate"/>
          </w:r>
          <w:r w:rsidR="00DF47DA" w:rsidRPr="00DF47DA">
            <w:rPr>
              <w:noProof/>
              <w:lang w:val="en-US"/>
            </w:rPr>
            <w:t>[112]</w:t>
          </w:r>
          <w:r w:rsidR="00F63F58" w:rsidRPr="00DD1B58">
            <w:rPr>
              <w:lang w:val="en-US"/>
            </w:rPr>
            <w:fldChar w:fldCharType="end"/>
          </w:r>
        </w:sdtContent>
      </w:sdt>
      <w:sdt>
        <w:sdtPr>
          <w:rPr>
            <w:lang w:val="en-US"/>
          </w:rPr>
          <w:id w:val="-1146508721"/>
          <w:citation/>
        </w:sdtPr>
        <w:sdtContent>
          <w:r w:rsidR="00F63F58" w:rsidRPr="00DD1B58">
            <w:rPr>
              <w:lang w:val="en-US"/>
            </w:rPr>
            <w:fldChar w:fldCharType="begin"/>
          </w:r>
          <w:r w:rsidR="00F63F58" w:rsidRPr="00DD1B58">
            <w:rPr>
              <w:lang w:val="en-US"/>
            </w:rPr>
            <w:instrText xml:space="preserve"> CITATION Bri871 \l 2057 </w:instrText>
          </w:r>
          <w:r w:rsidR="00F63F58" w:rsidRPr="00DD1B58">
            <w:rPr>
              <w:lang w:val="en-US"/>
            </w:rPr>
            <w:fldChar w:fldCharType="separate"/>
          </w:r>
          <w:r w:rsidR="00DF47DA">
            <w:rPr>
              <w:noProof/>
              <w:lang w:val="en-US"/>
            </w:rPr>
            <w:t xml:space="preserve"> </w:t>
          </w:r>
          <w:r w:rsidR="00DF47DA" w:rsidRPr="00DF47DA">
            <w:rPr>
              <w:noProof/>
              <w:lang w:val="en-US"/>
            </w:rPr>
            <w:t>[113]</w:t>
          </w:r>
          <w:r w:rsidR="00F63F58" w:rsidRPr="00DD1B58">
            <w:rPr>
              <w:lang w:val="en-US"/>
            </w:rPr>
            <w:fldChar w:fldCharType="end"/>
          </w:r>
        </w:sdtContent>
      </w:sdt>
      <w:r w:rsidR="00A741DA" w:rsidRPr="00DD1B58">
        <w:rPr>
          <w:lang w:val="en-US"/>
        </w:rPr>
        <w:t xml:space="preserve">, </w:t>
      </w:r>
      <w:r w:rsidR="00963DE6" w:rsidRPr="00DD1B58">
        <w:rPr>
          <w:lang w:val="en-US"/>
        </w:rPr>
        <w:t>concluding</w:t>
      </w:r>
      <w:r w:rsidR="00A741DA" w:rsidRPr="00DD1B58">
        <w:rPr>
          <w:lang w:val="en-US"/>
        </w:rPr>
        <w:t xml:space="preserve"> that this </w:t>
      </w:r>
      <w:r w:rsidR="00851088" w:rsidRPr="00DD1B58">
        <w:rPr>
          <w:lang w:val="en-US"/>
        </w:rPr>
        <w:t xml:space="preserve">protection </w:t>
      </w:r>
      <w:r w:rsidR="00963DE6" w:rsidRPr="00DD1B58">
        <w:rPr>
          <w:lang w:val="en-US"/>
        </w:rPr>
        <w:t>met the</w:t>
      </w:r>
      <w:r w:rsidR="00851088" w:rsidRPr="00DD1B58">
        <w:rPr>
          <w:lang w:val="en-US"/>
        </w:rPr>
        <w:t xml:space="preserve"> withstand r</w:t>
      </w:r>
      <w:r w:rsidR="00A741DA" w:rsidRPr="00DD1B58">
        <w:rPr>
          <w:lang w:val="en-US"/>
        </w:rPr>
        <w:t xml:space="preserve">equirement </w:t>
      </w:r>
      <w:r w:rsidR="00851088" w:rsidRPr="00DD1B58">
        <w:rPr>
          <w:lang w:val="en-US"/>
        </w:rPr>
        <w:t xml:space="preserve">calculated </w:t>
      </w:r>
      <w:r w:rsidR="00A741DA" w:rsidRPr="00DD1B58">
        <w:rPr>
          <w:lang w:val="en-US"/>
        </w:rPr>
        <w:t>with</w:t>
      </w:r>
      <w:r w:rsidR="00851088" w:rsidRPr="00DD1B58">
        <w:rPr>
          <w:lang w:val="en-US"/>
        </w:rPr>
        <w:t xml:space="preserve"> CFAST </w:t>
      </w:r>
      <w:r w:rsidR="00963DE6" w:rsidRPr="00DD1B58">
        <w:rPr>
          <w:lang w:val="en-US"/>
        </w:rPr>
        <w:t>(</w:t>
      </w:r>
      <w:r w:rsidR="006A20C3" w:rsidRPr="00DD1B58">
        <w:rPr>
          <w:lang w:val="en-US"/>
        </w:rPr>
        <w:t>t</w:t>
      </w:r>
      <w:r w:rsidR="00963DE6" w:rsidRPr="00DD1B58">
        <w:rPr>
          <w:lang w:val="en-US"/>
        </w:rPr>
        <w:t>he burn</w:t>
      </w:r>
      <w:r w:rsidR="00851088" w:rsidRPr="00DD1B58">
        <w:rPr>
          <w:lang w:val="en-US"/>
        </w:rPr>
        <w:t xml:space="preserve"> duration </w:t>
      </w:r>
      <w:r w:rsidR="00963DE6" w:rsidRPr="00DD1B58">
        <w:rPr>
          <w:lang w:val="en-US"/>
        </w:rPr>
        <w:t xml:space="preserve">was </w:t>
      </w:r>
      <w:r w:rsidR="00851088" w:rsidRPr="00DD1B58">
        <w:rPr>
          <w:lang w:val="en-US"/>
        </w:rPr>
        <w:t xml:space="preserve">significantly </w:t>
      </w:r>
      <w:r w:rsidR="00963DE6" w:rsidRPr="00DD1B58">
        <w:rPr>
          <w:lang w:val="en-US"/>
        </w:rPr>
        <w:t xml:space="preserve">shorter </w:t>
      </w:r>
      <w:r w:rsidR="00851088" w:rsidRPr="00DD1B58">
        <w:rPr>
          <w:lang w:val="en-US"/>
        </w:rPr>
        <w:t>than the fire resistance rating of the</w:t>
      </w:r>
      <w:r w:rsidR="007A20BF" w:rsidRPr="00DD1B58">
        <w:rPr>
          <w:lang w:val="en-US"/>
        </w:rPr>
        <w:t xml:space="preserve"> steelwork’s passive fire protection).</w:t>
      </w:r>
    </w:p>
    <w:p w14:paraId="1F08971B" w14:textId="2A5F5F20" w:rsidR="00851088" w:rsidRPr="00DD1B58" w:rsidRDefault="004668E0" w:rsidP="00362CEB">
      <w:pPr>
        <w:rPr>
          <w:lang w:val="en-US"/>
        </w:rPr>
      </w:pPr>
      <w:r w:rsidRPr="00DD1B58">
        <w:rPr>
          <w:lang w:val="en-US"/>
        </w:rPr>
        <w:t>Sellafield Ltd.</w:t>
      </w:r>
      <w:r w:rsidR="008537C9" w:rsidRPr="00DD1B58">
        <w:rPr>
          <w:lang w:val="en-US"/>
        </w:rPr>
        <w:t xml:space="preserve"> acknowledge that the </w:t>
      </w:r>
      <w:r w:rsidR="00851088" w:rsidRPr="00DD1B58">
        <w:rPr>
          <w:lang w:val="en-US"/>
        </w:rPr>
        <w:t xml:space="preserve">modelling </w:t>
      </w:r>
      <w:r w:rsidR="008537C9" w:rsidRPr="00DD1B58">
        <w:rPr>
          <w:lang w:val="en-US"/>
        </w:rPr>
        <w:t xml:space="preserve">output </w:t>
      </w:r>
      <w:r w:rsidR="00851088" w:rsidRPr="00DD1B58">
        <w:rPr>
          <w:lang w:val="en-US"/>
        </w:rPr>
        <w:t xml:space="preserve">is an average value over the volume of the particular area, and </w:t>
      </w:r>
      <w:r w:rsidR="008537C9" w:rsidRPr="00DD1B58">
        <w:rPr>
          <w:lang w:val="en-US"/>
        </w:rPr>
        <w:t xml:space="preserve">that the </w:t>
      </w:r>
      <w:r w:rsidR="00851088" w:rsidRPr="00DD1B58">
        <w:rPr>
          <w:lang w:val="en-US"/>
        </w:rPr>
        <w:t>value will be significantly higher in the locality of the fire, with the potential to challenge the integrity of the structural steel beams if they were not protected</w:t>
      </w:r>
      <w:r w:rsidR="006A20C3" w:rsidRPr="00DD1B58">
        <w:rPr>
          <w:lang w:val="en-US"/>
        </w:rPr>
        <w:t>,</w:t>
      </w:r>
      <w:r w:rsidR="00851088" w:rsidRPr="00DD1B58">
        <w:rPr>
          <w:lang w:val="en-US"/>
        </w:rPr>
        <w:t xml:space="preserve"> as is the case for </w:t>
      </w:r>
      <w:r w:rsidR="006428CB" w:rsidRPr="00DD1B58">
        <w:rPr>
          <w:lang w:val="en-US"/>
        </w:rPr>
        <w:t>BEPPS-DIF</w:t>
      </w:r>
      <w:r w:rsidR="00851088" w:rsidRPr="00DD1B58">
        <w:rPr>
          <w:lang w:val="en-US"/>
        </w:rPr>
        <w:t xml:space="preserve">. </w:t>
      </w:r>
    </w:p>
    <w:p w14:paraId="2799ABBF" w14:textId="77777777" w:rsidR="00CC4B87" w:rsidRPr="00DD1B58" w:rsidRDefault="00CC4B87" w:rsidP="00851088">
      <w:pPr>
        <w:rPr>
          <w:b/>
          <w:lang w:val="en-US"/>
        </w:rPr>
      </w:pPr>
      <w:r w:rsidRPr="00DD1B58">
        <w:rPr>
          <w:b/>
          <w:lang w:val="en-US"/>
        </w:rPr>
        <w:t>Dispersion modelling</w:t>
      </w:r>
    </w:p>
    <w:p w14:paraId="4D5E760F" w14:textId="19BA6091" w:rsidR="005B5655" w:rsidRPr="00DD1B58" w:rsidRDefault="004668E0" w:rsidP="005B5655">
      <w:pPr>
        <w:rPr>
          <w:lang w:val="en-US"/>
        </w:rPr>
      </w:pPr>
      <w:r w:rsidRPr="00DD1B58">
        <w:rPr>
          <w:lang w:val="en-US"/>
        </w:rPr>
        <w:t>Sellafield Ltd.</w:t>
      </w:r>
      <w:r w:rsidR="005B5655" w:rsidRPr="00DD1B58">
        <w:rPr>
          <w:lang w:val="en-US"/>
        </w:rPr>
        <w:t xml:space="preserve"> ha</w:t>
      </w:r>
      <w:r w:rsidR="00F03F72" w:rsidRPr="00DD1B58">
        <w:rPr>
          <w:lang w:val="en-US"/>
        </w:rPr>
        <w:t>s</w:t>
      </w:r>
      <w:r w:rsidR="005B5655" w:rsidRPr="00DD1B58">
        <w:rPr>
          <w:lang w:val="en-US"/>
        </w:rPr>
        <w:t xml:space="preserve"> methodologies for modelling release and dispersion of radioactive material. The Release Fraction Database (RFDB) contains a repository of release fractions relevant to fires for different material types and scenarios.</w:t>
      </w:r>
    </w:p>
    <w:p w14:paraId="3BE3F5B7" w14:textId="72337319" w:rsidR="005B5655" w:rsidRPr="00DD1B58" w:rsidRDefault="004668E0" w:rsidP="005B5655">
      <w:pPr>
        <w:rPr>
          <w:lang w:val="en-US"/>
        </w:rPr>
      </w:pPr>
      <w:r w:rsidRPr="00DD1B58">
        <w:rPr>
          <w:lang w:val="en-US"/>
        </w:rPr>
        <w:t xml:space="preserve">Sellafield Ltd. </w:t>
      </w:r>
      <w:r w:rsidR="005B5655" w:rsidRPr="00DD1B58">
        <w:rPr>
          <w:lang w:val="en-US"/>
        </w:rPr>
        <w:t>also ha</w:t>
      </w:r>
      <w:r w:rsidR="006A20C3" w:rsidRPr="00DD1B58">
        <w:rPr>
          <w:lang w:val="en-US"/>
        </w:rPr>
        <w:t>s</w:t>
      </w:r>
      <w:r w:rsidR="005B5655" w:rsidRPr="00DD1B58">
        <w:rPr>
          <w:lang w:val="en-US"/>
        </w:rPr>
        <w:t xml:space="preserve"> methodologies for calculating dispersion of material off</w:t>
      </w:r>
      <w:r w:rsidR="006A20C3" w:rsidRPr="00DD1B58">
        <w:rPr>
          <w:lang w:val="en-US"/>
        </w:rPr>
        <w:t xml:space="preserve"> </w:t>
      </w:r>
      <w:r w:rsidR="005B5655" w:rsidRPr="00DD1B58">
        <w:rPr>
          <w:lang w:val="en-US"/>
        </w:rPr>
        <w:t xml:space="preserve">site following a release of activity. Although the cause of the release is not specified in this methodology, </w:t>
      </w:r>
      <w:r w:rsidRPr="00DD1B58">
        <w:rPr>
          <w:lang w:val="en-US"/>
        </w:rPr>
        <w:t xml:space="preserve">Sellafield Ltd. </w:t>
      </w:r>
      <w:r w:rsidR="005B5655" w:rsidRPr="00DD1B58">
        <w:rPr>
          <w:lang w:val="en-US"/>
        </w:rPr>
        <w:t>consider</w:t>
      </w:r>
      <w:r w:rsidR="006A20C3" w:rsidRPr="00DD1B58">
        <w:rPr>
          <w:lang w:val="en-US"/>
        </w:rPr>
        <w:t>s</w:t>
      </w:r>
      <w:r w:rsidR="005B5655" w:rsidRPr="00DD1B58">
        <w:rPr>
          <w:lang w:val="en-US"/>
        </w:rPr>
        <w:t xml:space="preserve"> that it would be equally valid for a fire as for any other form of release</w:t>
      </w:r>
      <w:r w:rsidR="009F06D6" w:rsidRPr="00DD1B58">
        <w:rPr>
          <w:lang w:val="en-US"/>
        </w:rPr>
        <w:t xml:space="preserve"> (a</w:t>
      </w:r>
      <w:r w:rsidR="005B5655" w:rsidRPr="00DD1B58">
        <w:rPr>
          <w:lang w:val="en-US"/>
        </w:rPr>
        <w:t>lthough a fire may be more energetic than other causes of release, this will already be factored into the Release Fraction applied</w:t>
      </w:r>
      <w:r w:rsidR="009F06D6" w:rsidRPr="00DD1B58">
        <w:rPr>
          <w:lang w:val="en-US"/>
        </w:rPr>
        <w:t>)</w:t>
      </w:r>
      <w:r w:rsidR="005B5655" w:rsidRPr="00DD1B58">
        <w:rPr>
          <w:lang w:val="en-US"/>
        </w:rPr>
        <w:t xml:space="preserve">. </w:t>
      </w:r>
    </w:p>
    <w:p w14:paraId="0FD2A846" w14:textId="34EFF512" w:rsidR="005B5655" w:rsidRPr="00DD1B58" w:rsidRDefault="004668E0" w:rsidP="005B5655">
      <w:pPr>
        <w:rPr>
          <w:lang w:val="en-US"/>
        </w:rPr>
      </w:pPr>
      <w:r w:rsidRPr="00DD1B58">
        <w:rPr>
          <w:lang w:val="en-US"/>
        </w:rPr>
        <w:t>Sellafield Ltd.</w:t>
      </w:r>
      <w:r w:rsidR="009F06D6" w:rsidRPr="00DD1B58">
        <w:rPr>
          <w:lang w:val="en-US"/>
        </w:rPr>
        <w:t xml:space="preserve"> </w:t>
      </w:r>
      <w:r w:rsidR="00F70D88" w:rsidRPr="00DD1B58">
        <w:rPr>
          <w:lang w:val="en-US"/>
        </w:rPr>
        <w:t>estimates activity releases</w:t>
      </w:r>
      <w:r w:rsidR="005B5655" w:rsidRPr="00DD1B58">
        <w:rPr>
          <w:lang w:val="en-US"/>
        </w:rPr>
        <w:t xml:space="preserve"> a using the software tool</w:t>
      </w:r>
      <w:r w:rsidR="006072DB" w:rsidRPr="00DD1B58">
        <w:rPr>
          <w:lang w:val="en-US"/>
        </w:rPr>
        <w:t xml:space="preserve"> called </w:t>
      </w:r>
      <w:r w:rsidR="005B5655" w:rsidRPr="00DD1B58">
        <w:rPr>
          <w:lang w:val="en-US"/>
        </w:rPr>
        <w:t xml:space="preserve">HAZCALC, which takes into account Dose Release Ratios (DRRs) for different isotopes. </w:t>
      </w:r>
      <w:r w:rsidR="009F06D6" w:rsidRPr="00DD1B58">
        <w:rPr>
          <w:lang w:val="en-US"/>
        </w:rPr>
        <w:t xml:space="preserve">This is underpinned </w:t>
      </w:r>
      <w:r w:rsidR="005B5655" w:rsidRPr="00DD1B58">
        <w:rPr>
          <w:lang w:val="en-US"/>
        </w:rPr>
        <w:t xml:space="preserve">by </w:t>
      </w:r>
      <w:r w:rsidR="009F06D6" w:rsidRPr="00DD1B58">
        <w:rPr>
          <w:lang w:val="en-US"/>
        </w:rPr>
        <w:t xml:space="preserve">the </w:t>
      </w:r>
      <w:r w:rsidR="005B5655" w:rsidRPr="00DD1B58">
        <w:rPr>
          <w:lang w:val="en-US"/>
        </w:rPr>
        <w:t xml:space="preserve">National Radiological Protection Board R91 </w:t>
      </w:r>
      <w:r w:rsidR="00974C9E" w:rsidRPr="00DD1B58">
        <w:rPr>
          <w:lang w:val="en-US"/>
        </w:rPr>
        <w:t xml:space="preserve">Model for dispersion of radionuclides in the atmosphere for public doses </w:t>
      </w:r>
      <w:sdt>
        <w:sdtPr>
          <w:rPr>
            <w:lang w:val="en-US"/>
          </w:rPr>
          <w:id w:val="-1916773219"/>
          <w:citation/>
        </w:sdtPr>
        <w:sdtContent>
          <w:r w:rsidR="00974C9E" w:rsidRPr="00DD1B58">
            <w:rPr>
              <w:lang w:val="en-US"/>
            </w:rPr>
            <w:fldChar w:fldCharType="begin"/>
          </w:r>
          <w:r w:rsidR="00974C9E" w:rsidRPr="00DD1B58">
            <w:rPr>
              <w:lang w:val="en-US"/>
            </w:rPr>
            <w:instrText xml:space="preserve"> CITATION Nat79 \l 2057 </w:instrText>
          </w:r>
          <w:r w:rsidR="00974C9E" w:rsidRPr="00DD1B58">
            <w:rPr>
              <w:lang w:val="en-US"/>
            </w:rPr>
            <w:fldChar w:fldCharType="separate"/>
          </w:r>
          <w:r w:rsidR="00DF47DA" w:rsidRPr="00DF47DA">
            <w:rPr>
              <w:noProof/>
              <w:lang w:val="en-US"/>
            </w:rPr>
            <w:t>[114]</w:t>
          </w:r>
          <w:r w:rsidR="00974C9E" w:rsidRPr="00DD1B58">
            <w:rPr>
              <w:lang w:val="en-US"/>
            </w:rPr>
            <w:fldChar w:fldCharType="end"/>
          </w:r>
        </w:sdtContent>
      </w:sdt>
      <w:r w:rsidR="00974C9E" w:rsidRPr="00DD1B58">
        <w:rPr>
          <w:lang w:val="en-US"/>
        </w:rPr>
        <w:t xml:space="preserve"> and also International Commission Radiological Protection (ICRP) Publication 68 </w:t>
      </w:r>
      <w:sdt>
        <w:sdtPr>
          <w:rPr>
            <w:lang w:val="en-US"/>
          </w:rPr>
          <w:id w:val="-1898200589"/>
          <w:citation/>
        </w:sdtPr>
        <w:sdtContent>
          <w:r w:rsidR="00974C9E" w:rsidRPr="00DD1B58">
            <w:rPr>
              <w:lang w:val="en-US"/>
            </w:rPr>
            <w:fldChar w:fldCharType="begin"/>
          </w:r>
          <w:r w:rsidR="00974C9E" w:rsidRPr="00DD1B58">
            <w:rPr>
              <w:lang w:val="en-US"/>
            </w:rPr>
            <w:instrText xml:space="preserve"> CITATION ICR94 \l 2057 </w:instrText>
          </w:r>
          <w:r w:rsidR="00974C9E" w:rsidRPr="00DD1B58">
            <w:rPr>
              <w:lang w:val="en-US"/>
            </w:rPr>
            <w:fldChar w:fldCharType="separate"/>
          </w:r>
          <w:r w:rsidR="00DF47DA" w:rsidRPr="00DF47DA">
            <w:rPr>
              <w:noProof/>
              <w:lang w:val="en-US"/>
            </w:rPr>
            <w:t>[115]</w:t>
          </w:r>
          <w:r w:rsidR="00974C9E" w:rsidRPr="00DD1B58">
            <w:rPr>
              <w:lang w:val="en-US"/>
            </w:rPr>
            <w:fldChar w:fldCharType="end"/>
          </w:r>
        </w:sdtContent>
      </w:sdt>
      <w:r w:rsidR="00974C9E" w:rsidRPr="00DD1B58">
        <w:rPr>
          <w:lang w:val="en-US"/>
        </w:rPr>
        <w:t xml:space="preserve"> for worker doses. </w:t>
      </w:r>
      <w:r w:rsidR="005B5655" w:rsidRPr="00DD1B58">
        <w:rPr>
          <w:lang w:val="en-US"/>
        </w:rPr>
        <w:t>Further detail is provided in Safety Case Process and Methods Technical Guidance and supporting documents:</w:t>
      </w:r>
    </w:p>
    <w:p w14:paraId="1F8E4BCA" w14:textId="77777777" w:rsidR="005B5655" w:rsidRPr="00DD1B58" w:rsidRDefault="005B5655" w:rsidP="00973FF4">
      <w:pPr>
        <w:pStyle w:val="Bulletlist1"/>
        <w:rPr>
          <w:lang w:val="en-US"/>
        </w:rPr>
      </w:pPr>
      <w:r w:rsidRPr="00DD1B58">
        <w:rPr>
          <w:lang w:val="en-US"/>
        </w:rPr>
        <w:t>Assessment of Consequences from Releases of Activity;</w:t>
      </w:r>
    </w:p>
    <w:p w14:paraId="30FE4D5D" w14:textId="7B999327" w:rsidR="005B5655" w:rsidRPr="00DD1B58" w:rsidRDefault="005B5655" w:rsidP="00973FF4">
      <w:pPr>
        <w:pStyle w:val="Bulletlist1"/>
        <w:rPr>
          <w:lang w:val="en-US"/>
        </w:rPr>
      </w:pPr>
      <w:r w:rsidRPr="00DD1B58">
        <w:rPr>
          <w:lang w:val="en-US"/>
        </w:rPr>
        <w:t xml:space="preserve">Dose Release Ratios; </w:t>
      </w:r>
      <w:r w:rsidR="005934D3" w:rsidRPr="00DD1B58">
        <w:rPr>
          <w:lang w:val="en-US"/>
        </w:rPr>
        <w:t>and</w:t>
      </w:r>
    </w:p>
    <w:p w14:paraId="26EABF7B" w14:textId="77777777" w:rsidR="005B5655" w:rsidRPr="00DD1B58" w:rsidRDefault="005B5655" w:rsidP="00973FF4">
      <w:pPr>
        <w:pStyle w:val="Bulletlist1"/>
        <w:rPr>
          <w:lang w:val="en-US"/>
        </w:rPr>
      </w:pPr>
      <w:r w:rsidRPr="00DD1B58">
        <w:rPr>
          <w:lang w:val="en-US"/>
        </w:rPr>
        <w:t xml:space="preserve">Calculation of Worker and Public Doses from an Aerial Release. </w:t>
      </w:r>
    </w:p>
    <w:p w14:paraId="16C08B3B" w14:textId="01CB1BFE" w:rsidR="00CC4B87" w:rsidRPr="00DD1B58" w:rsidRDefault="004668E0" w:rsidP="005B5655">
      <w:pPr>
        <w:rPr>
          <w:lang w:val="en-US"/>
        </w:rPr>
      </w:pPr>
      <w:r w:rsidRPr="00DD1B58">
        <w:rPr>
          <w:lang w:val="en-US"/>
        </w:rPr>
        <w:t>Sellafield Ltd.</w:t>
      </w:r>
      <w:r w:rsidR="00525EEE" w:rsidRPr="00DD1B58">
        <w:rPr>
          <w:lang w:val="en-US"/>
        </w:rPr>
        <w:t xml:space="preserve"> note</w:t>
      </w:r>
      <w:r w:rsidR="00C04E78" w:rsidRPr="00DD1B58">
        <w:rPr>
          <w:lang w:val="en-US"/>
        </w:rPr>
        <w:t>s</w:t>
      </w:r>
      <w:r w:rsidR="00525EEE" w:rsidRPr="00DD1B58">
        <w:rPr>
          <w:lang w:val="en-US"/>
        </w:rPr>
        <w:t xml:space="preserve"> that the </w:t>
      </w:r>
      <w:r w:rsidR="005B5655" w:rsidRPr="00DD1B58">
        <w:rPr>
          <w:lang w:val="en-US"/>
        </w:rPr>
        <w:t>Release Fraction Database contains Release Fractions and Decontamination Factors, some of which are specific to releases from fires. The values on the RFDB are provided on the Nuclear Decommissioning Authority (NDA) hub for all personnel to access.</w:t>
      </w:r>
    </w:p>
    <w:p w14:paraId="73AA1D17" w14:textId="31255F7E" w:rsidR="00325B7D" w:rsidRPr="00DD1B58" w:rsidRDefault="00325B7D" w:rsidP="004C70B6">
      <w:pPr>
        <w:pStyle w:val="Heading4"/>
        <w:rPr>
          <w:lang w:val="en-US"/>
        </w:rPr>
      </w:pPr>
      <w:r w:rsidRPr="00DD1B58">
        <w:rPr>
          <w:lang w:val="en-US"/>
        </w:rPr>
        <w:t>Main results</w:t>
      </w:r>
      <w:r w:rsidR="007C3F42" w:rsidRPr="00DD1B58">
        <w:rPr>
          <w:lang w:val="en-US"/>
        </w:rPr>
        <w:t>/</w:t>
      </w:r>
      <w:r w:rsidRPr="00DD1B58">
        <w:rPr>
          <w:lang w:val="en-US"/>
        </w:rPr>
        <w:t>dominant events (licensee</w:t>
      </w:r>
      <w:r w:rsidR="00C04E78" w:rsidRPr="00DD1B58">
        <w:rPr>
          <w:lang w:val="en-US"/>
        </w:rPr>
        <w:t>’</w:t>
      </w:r>
      <w:r w:rsidRPr="00DD1B58">
        <w:rPr>
          <w:lang w:val="en-US"/>
        </w:rPr>
        <w:t xml:space="preserve">s experience) </w:t>
      </w:r>
    </w:p>
    <w:p w14:paraId="67E83DF9" w14:textId="0C50C368" w:rsidR="00AC794D" w:rsidRPr="00DD1B58" w:rsidRDefault="004668E0" w:rsidP="00AC794D">
      <w:pPr>
        <w:rPr>
          <w:lang w:val="en-US"/>
        </w:rPr>
      </w:pPr>
      <w:r w:rsidRPr="00DD1B58">
        <w:rPr>
          <w:lang w:val="en-US"/>
        </w:rPr>
        <w:t>Sellafield Ltd.</w:t>
      </w:r>
      <w:r w:rsidR="007A3DFA" w:rsidRPr="00DD1B58">
        <w:rPr>
          <w:lang w:val="en-US"/>
        </w:rPr>
        <w:t xml:space="preserve"> report</w:t>
      </w:r>
      <w:r w:rsidR="00C04E78" w:rsidRPr="00DD1B58">
        <w:rPr>
          <w:lang w:val="en-US"/>
        </w:rPr>
        <w:t>s</w:t>
      </w:r>
      <w:r w:rsidR="007A3DFA" w:rsidRPr="00DD1B58">
        <w:rPr>
          <w:lang w:val="en-US"/>
        </w:rPr>
        <w:t xml:space="preserve"> that probabilistic </w:t>
      </w:r>
      <w:r w:rsidR="00812FE8" w:rsidRPr="00DD1B58">
        <w:rPr>
          <w:lang w:val="en-US"/>
        </w:rPr>
        <w:t>fire hazard analysis is undertaken for nuclear facilities.</w:t>
      </w:r>
      <w:r w:rsidR="007A3DFA" w:rsidRPr="00DD1B58">
        <w:rPr>
          <w:lang w:val="en-US"/>
        </w:rPr>
        <w:t xml:space="preserve"> The t</w:t>
      </w:r>
      <w:r w:rsidR="00812FE8" w:rsidRPr="00DD1B58">
        <w:rPr>
          <w:lang w:val="en-US"/>
        </w:rPr>
        <w:t xml:space="preserve">echniques and tools applied to fire scenarios </w:t>
      </w:r>
      <w:r w:rsidR="007A3DFA" w:rsidRPr="00DD1B58">
        <w:rPr>
          <w:lang w:val="en-US"/>
        </w:rPr>
        <w:t xml:space="preserve">are covered in methodologies such </w:t>
      </w:r>
      <w:r w:rsidR="00812FE8" w:rsidRPr="00DD1B58">
        <w:rPr>
          <w:lang w:val="en-US"/>
        </w:rPr>
        <w:t>as the transporter fire risk profile methodology for assessing the impact of a vehicle fire and</w:t>
      </w:r>
      <w:r w:rsidR="002156F2" w:rsidRPr="00DD1B58">
        <w:rPr>
          <w:lang w:val="en-US"/>
        </w:rPr>
        <w:t xml:space="preserve"> </w:t>
      </w:r>
      <w:r w:rsidRPr="00DD1B58">
        <w:rPr>
          <w:lang w:val="en-US"/>
        </w:rPr>
        <w:t xml:space="preserve">Sellafield Ltd. </w:t>
      </w:r>
      <w:r w:rsidR="00812FE8" w:rsidRPr="00DD1B58">
        <w:rPr>
          <w:lang w:val="en-US"/>
        </w:rPr>
        <w:t>guidance for assessing electrical items in the nuclear fire context.</w:t>
      </w:r>
      <w:r w:rsidR="00940D2A" w:rsidRPr="00DD1B58">
        <w:rPr>
          <w:lang w:val="en-US"/>
        </w:rPr>
        <w:t xml:space="preserve"> </w:t>
      </w:r>
      <w:r w:rsidRPr="00DD1B58">
        <w:rPr>
          <w:lang w:val="en-US"/>
        </w:rPr>
        <w:t>Sellafield Ltd.</w:t>
      </w:r>
      <w:r w:rsidR="002156F2" w:rsidRPr="00DD1B58">
        <w:rPr>
          <w:lang w:val="en-US"/>
        </w:rPr>
        <w:t xml:space="preserve"> report</w:t>
      </w:r>
      <w:r w:rsidR="00C04E78" w:rsidRPr="00DD1B58">
        <w:rPr>
          <w:lang w:val="en-US"/>
        </w:rPr>
        <w:t>s</w:t>
      </w:r>
      <w:r w:rsidR="002156F2" w:rsidRPr="00DD1B58">
        <w:rPr>
          <w:lang w:val="en-US"/>
        </w:rPr>
        <w:t xml:space="preserve"> that worst case scenarios in</w:t>
      </w:r>
      <w:r w:rsidR="00812FE8" w:rsidRPr="00DD1B58">
        <w:rPr>
          <w:lang w:val="en-US"/>
        </w:rPr>
        <w:t xml:space="preserve"> nuclear facilities are considered, for example, </w:t>
      </w:r>
      <w:r w:rsidR="003F5782" w:rsidRPr="00DD1B58">
        <w:rPr>
          <w:lang w:val="en-US"/>
        </w:rPr>
        <w:t xml:space="preserve">the </w:t>
      </w:r>
      <w:r w:rsidR="006428CB" w:rsidRPr="00DD1B58">
        <w:rPr>
          <w:lang w:val="en-US"/>
        </w:rPr>
        <w:t>BEPPS-DIF</w:t>
      </w:r>
      <w:r w:rsidR="00812FE8" w:rsidRPr="00DD1B58">
        <w:rPr>
          <w:lang w:val="en-US"/>
        </w:rPr>
        <w:t xml:space="preserve"> worse case fire scenario is associated with a vehicle fire in a particular area of the facility.</w:t>
      </w:r>
    </w:p>
    <w:p w14:paraId="539E68CD" w14:textId="77777777" w:rsidR="00325B7D" w:rsidRPr="00DD1B58" w:rsidRDefault="00325B7D" w:rsidP="004C70B6">
      <w:pPr>
        <w:pStyle w:val="Heading4"/>
        <w:rPr>
          <w:lang w:val="en-US"/>
        </w:rPr>
      </w:pPr>
      <w:r w:rsidRPr="00DD1B58">
        <w:rPr>
          <w:lang w:val="en-US"/>
        </w:rPr>
        <w:t xml:space="preserve">Periodic review and management of changes </w:t>
      </w:r>
    </w:p>
    <w:p w14:paraId="7035282B" w14:textId="2910A0E0" w:rsidR="007E61F1" w:rsidRPr="00DD1B58" w:rsidRDefault="007E61F1" w:rsidP="007E61F1">
      <w:pPr>
        <w:rPr>
          <w:lang w:val="en-US"/>
        </w:rPr>
      </w:pPr>
      <w:r w:rsidRPr="00DD1B58">
        <w:rPr>
          <w:lang w:val="en-US"/>
        </w:rPr>
        <w:t xml:space="preserve">In accordance with Nuclear Site Licence Condition 15 (Periodic Review) and </w:t>
      </w:r>
      <w:r w:rsidR="00D33E87" w:rsidRPr="00DD1B58">
        <w:rPr>
          <w:lang w:val="en-US"/>
        </w:rPr>
        <w:t>Sellafield Ltd.’s</w:t>
      </w:r>
      <w:r w:rsidRPr="00DD1B58">
        <w:rPr>
          <w:lang w:val="en-US"/>
        </w:rPr>
        <w:t xml:space="preserve"> internal arrangements, a ten-year rolling Periodic Safety Review (PSR) programme is owned by the Head of Safety Cases and monitored by ONR. That is, every ten years, a facility (which has a nuclear safety case) undertakes a review of nuclear safety and submits that review to ONR. The purpose of the review is to provide ongoing confidence that operations continue to be adequately safe, and risks are managed to be ALARP. The overriding principle of the PSR arrangements is that the PSR is not an assurance activity and instead should seek to confirm (or otherwise) that the organisation operates diagnostically and the implemented arrangements are applied effectively.  By evidencing this, (e.g. issues are being identified at the time and being corrected promptly, learning is proactively sought and shared, changes to standards etc are communicated at the time rather than being ‘stored up’ for ten years etc.), the risk of the organisation of operating with potential threats to safety for a long period of time is minimised. This programme is significant in terms of the number of facilities on the Sellafield Site and involves a lot of planning and preparation work. </w:t>
      </w:r>
      <w:r w:rsidR="00D7676F" w:rsidRPr="00DD1B58">
        <w:rPr>
          <w:lang w:val="en-US"/>
        </w:rPr>
        <w:t>Sellafield Ltd.</w:t>
      </w:r>
      <w:r w:rsidRPr="00DD1B58">
        <w:rPr>
          <w:lang w:val="en-US"/>
        </w:rPr>
        <w:t xml:space="preserve"> considers that it manages this large portfolio of </w:t>
      </w:r>
      <w:r w:rsidR="004668E0" w:rsidRPr="00DD1B58">
        <w:rPr>
          <w:lang w:val="en-US"/>
        </w:rPr>
        <w:t>reviews of nuclear</w:t>
      </w:r>
      <w:r w:rsidRPr="00DD1B58">
        <w:rPr>
          <w:lang w:val="en-US"/>
        </w:rPr>
        <w:t xml:space="preserve"> safety cases well, and that it sets an example of good practice.</w:t>
      </w:r>
    </w:p>
    <w:p w14:paraId="2347C62B" w14:textId="7A60371F" w:rsidR="001C4E64" w:rsidRPr="00DD1B58" w:rsidRDefault="004668E0" w:rsidP="001C4E64">
      <w:pPr>
        <w:rPr>
          <w:lang w:val="en-US"/>
        </w:rPr>
      </w:pPr>
      <w:r w:rsidRPr="00DD1B58">
        <w:rPr>
          <w:lang w:val="en-US"/>
        </w:rPr>
        <w:t xml:space="preserve">Sellafield Ltd. </w:t>
      </w:r>
      <w:r w:rsidR="00196BDD" w:rsidRPr="00DD1B58">
        <w:rPr>
          <w:lang w:val="en-US"/>
        </w:rPr>
        <w:t>state</w:t>
      </w:r>
      <w:r w:rsidR="00E34856" w:rsidRPr="00DD1B58">
        <w:rPr>
          <w:lang w:val="en-US"/>
        </w:rPr>
        <w:t>s</w:t>
      </w:r>
      <w:r w:rsidR="00196BDD" w:rsidRPr="00DD1B58">
        <w:rPr>
          <w:lang w:val="en-US"/>
        </w:rPr>
        <w:t xml:space="preserve"> that its</w:t>
      </w:r>
      <w:r w:rsidR="001C4E64" w:rsidRPr="00DD1B58">
        <w:rPr>
          <w:lang w:val="en-US"/>
        </w:rPr>
        <w:t xml:space="preserve"> arrangements for maintaining a </w:t>
      </w:r>
      <w:r w:rsidRPr="00DD1B58">
        <w:rPr>
          <w:lang w:val="en-US"/>
        </w:rPr>
        <w:t xml:space="preserve">nuclear </w:t>
      </w:r>
      <w:r w:rsidR="00E34856" w:rsidRPr="00DD1B58">
        <w:rPr>
          <w:lang w:val="en-US"/>
        </w:rPr>
        <w:t>s</w:t>
      </w:r>
      <w:r w:rsidR="001C4E64" w:rsidRPr="00DD1B58">
        <w:rPr>
          <w:lang w:val="en-US"/>
        </w:rPr>
        <w:t xml:space="preserve">afety </w:t>
      </w:r>
      <w:r w:rsidR="00E34856" w:rsidRPr="00DD1B58">
        <w:rPr>
          <w:lang w:val="en-US"/>
        </w:rPr>
        <w:t>c</w:t>
      </w:r>
      <w:r w:rsidR="001C4E64" w:rsidRPr="00DD1B58">
        <w:rPr>
          <w:lang w:val="en-US"/>
        </w:rPr>
        <w:t>ase</w:t>
      </w:r>
      <w:r w:rsidR="00196BDD" w:rsidRPr="00DD1B58">
        <w:rPr>
          <w:lang w:val="en-US"/>
        </w:rPr>
        <w:t xml:space="preserve"> </w:t>
      </w:r>
      <w:r w:rsidRPr="00DD1B58">
        <w:rPr>
          <w:lang w:val="en-US"/>
        </w:rPr>
        <w:t>help</w:t>
      </w:r>
      <w:r w:rsidR="00196BDD" w:rsidRPr="00DD1B58">
        <w:rPr>
          <w:lang w:val="en-US"/>
        </w:rPr>
        <w:t xml:space="preserve"> ensure that </w:t>
      </w:r>
      <w:r w:rsidR="0092368F" w:rsidRPr="00DD1B58">
        <w:rPr>
          <w:lang w:val="en-US"/>
        </w:rPr>
        <w:t>it</w:t>
      </w:r>
      <w:r w:rsidR="00196BDD" w:rsidRPr="00DD1B58">
        <w:rPr>
          <w:lang w:val="en-US"/>
        </w:rPr>
        <w:t xml:space="preserve"> is</w:t>
      </w:r>
      <w:r w:rsidR="001C4E64" w:rsidRPr="00DD1B58">
        <w:rPr>
          <w:lang w:val="en-US"/>
        </w:rPr>
        <w:t xml:space="preserve"> kept live, </w:t>
      </w:r>
      <w:r w:rsidR="00196BDD" w:rsidRPr="00DD1B58">
        <w:rPr>
          <w:lang w:val="en-US"/>
        </w:rPr>
        <w:t>presenting</w:t>
      </w:r>
      <w:r w:rsidR="001C4E64" w:rsidRPr="00DD1B58">
        <w:rPr>
          <w:lang w:val="en-US"/>
        </w:rPr>
        <w:t xml:space="preserve"> a clear and visible safety argument</w:t>
      </w:r>
      <w:r w:rsidR="00196BDD" w:rsidRPr="00DD1B58">
        <w:rPr>
          <w:lang w:val="en-US"/>
        </w:rPr>
        <w:t xml:space="preserve"> that reflects </w:t>
      </w:r>
      <w:r w:rsidR="001C4E64" w:rsidRPr="00DD1B58">
        <w:rPr>
          <w:lang w:val="en-US"/>
        </w:rPr>
        <w:t xml:space="preserve">the operational status and the configuration of the plant, processes </w:t>
      </w:r>
      <w:r w:rsidR="00196BDD" w:rsidRPr="00DD1B58">
        <w:rPr>
          <w:lang w:val="en-US"/>
        </w:rPr>
        <w:t xml:space="preserve">or </w:t>
      </w:r>
      <w:r w:rsidR="001C4E64" w:rsidRPr="00DD1B58">
        <w:rPr>
          <w:lang w:val="en-US"/>
        </w:rPr>
        <w:t>equipment</w:t>
      </w:r>
      <w:r w:rsidR="00196BDD" w:rsidRPr="00DD1B58">
        <w:rPr>
          <w:lang w:val="en-US"/>
        </w:rPr>
        <w:t xml:space="preserve">. </w:t>
      </w:r>
      <w:r w:rsidRPr="00DD1B58">
        <w:rPr>
          <w:lang w:val="en-US"/>
        </w:rPr>
        <w:t>Sellafield Ltd.</w:t>
      </w:r>
      <w:r w:rsidR="006B4A7F" w:rsidRPr="00DD1B58">
        <w:rPr>
          <w:lang w:val="en-US"/>
        </w:rPr>
        <w:t xml:space="preserve"> conclude</w:t>
      </w:r>
      <w:r w:rsidR="0092368F" w:rsidRPr="00DD1B58">
        <w:rPr>
          <w:lang w:val="en-US"/>
        </w:rPr>
        <w:t>s</w:t>
      </w:r>
      <w:r w:rsidR="006B4A7F" w:rsidRPr="00DD1B58">
        <w:rPr>
          <w:lang w:val="en-US"/>
        </w:rPr>
        <w:t xml:space="preserve"> that it sets expectations on</w:t>
      </w:r>
      <w:r w:rsidR="001C4E64" w:rsidRPr="00DD1B58">
        <w:rPr>
          <w:lang w:val="en-US"/>
        </w:rPr>
        <w:t xml:space="preserve"> the currency of the </w:t>
      </w:r>
      <w:r w:rsidRPr="00DD1B58">
        <w:rPr>
          <w:lang w:val="en-US"/>
        </w:rPr>
        <w:t xml:space="preserve">nuclear </w:t>
      </w:r>
      <w:r w:rsidR="00A43BAC" w:rsidRPr="00DD1B58">
        <w:rPr>
          <w:lang w:val="en-US"/>
        </w:rPr>
        <w:t>s</w:t>
      </w:r>
      <w:r w:rsidR="001C4E64" w:rsidRPr="00DD1B58">
        <w:rPr>
          <w:lang w:val="en-US"/>
        </w:rPr>
        <w:t xml:space="preserve">afety </w:t>
      </w:r>
      <w:r w:rsidR="00A43BAC" w:rsidRPr="00DD1B58">
        <w:rPr>
          <w:lang w:val="en-US"/>
        </w:rPr>
        <w:t>c</w:t>
      </w:r>
      <w:r w:rsidR="001C4E64" w:rsidRPr="00DD1B58">
        <w:rPr>
          <w:lang w:val="en-US"/>
        </w:rPr>
        <w:t xml:space="preserve">ase (including supporting evidence and analyses) as well as decision points for escalation if </w:t>
      </w:r>
      <w:r w:rsidR="009C1416" w:rsidRPr="00DD1B58">
        <w:rPr>
          <w:lang w:val="en-US"/>
        </w:rPr>
        <w:t>changes are expected</w:t>
      </w:r>
      <w:r w:rsidR="0092368F" w:rsidRPr="00DD1B58">
        <w:rPr>
          <w:lang w:val="en-US"/>
        </w:rPr>
        <w:t>,</w:t>
      </w:r>
      <w:r w:rsidR="009C1416" w:rsidRPr="00DD1B58">
        <w:rPr>
          <w:lang w:val="en-US"/>
        </w:rPr>
        <w:t xml:space="preserve"> which would be managed th</w:t>
      </w:r>
      <w:r w:rsidR="001C4E64" w:rsidRPr="00DD1B58">
        <w:rPr>
          <w:lang w:val="en-US"/>
        </w:rPr>
        <w:t xml:space="preserve">rough </w:t>
      </w:r>
      <w:r w:rsidR="009C1416" w:rsidRPr="00DD1B58">
        <w:rPr>
          <w:lang w:val="en-US"/>
        </w:rPr>
        <w:t xml:space="preserve">its </w:t>
      </w:r>
      <w:r w:rsidR="001C4E64" w:rsidRPr="00DD1B58">
        <w:rPr>
          <w:lang w:val="en-US"/>
        </w:rPr>
        <w:t>process for maintaining safety cases.</w:t>
      </w:r>
    </w:p>
    <w:p w14:paraId="138A2648" w14:textId="58A741E7" w:rsidR="00325B7D" w:rsidRPr="00DD1B58" w:rsidRDefault="00325B7D" w:rsidP="00064A8D">
      <w:pPr>
        <w:pStyle w:val="Heading4"/>
        <w:numPr>
          <w:ilvl w:val="4"/>
          <w:numId w:val="3"/>
        </w:numPr>
        <w:rPr>
          <w:lang w:val="en-US"/>
        </w:rPr>
      </w:pPr>
      <w:r w:rsidRPr="00DD1B58">
        <w:rPr>
          <w:lang w:val="en-US"/>
        </w:rPr>
        <w:t xml:space="preserve">Overview of actions </w:t>
      </w:r>
    </w:p>
    <w:p w14:paraId="35EB56A6" w14:textId="77777777" w:rsidR="004A28FD" w:rsidRPr="00DD1B58" w:rsidRDefault="004A28FD" w:rsidP="004A28FD">
      <w:pPr>
        <w:rPr>
          <w:b/>
          <w:lang w:val="en-US"/>
        </w:rPr>
      </w:pPr>
      <w:r w:rsidRPr="00DD1B58">
        <w:rPr>
          <w:b/>
          <w:lang w:val="en-US"/>
        </w:rPr>
        <w:t>Waste Vitrification Plant</w:t>
      </w:r>
    </w:p>
    <w:p w14:paraId="2067E484" w14:textId="587F93CE" w:rsidR="004A28FD" w:rsidRPr="00DD1B58" w:rsidRDefault="004668E0" w:rsidP="004A28FD">
      <w:pPr>
        <w:rPr>
          <w:lang w:val="en-US"/>
        </w:rPr>
      </w:pPr>
      <w:r w:rsidRPr="00DD1B58">
        <w:rPr>
          <w:lang w:val="en-US"/>
        </w:rPr>
        <w:t>Sellafield Ltd.</w:t>
      </w:r>
      <w:r w:rsidR="0030059D" w:rsidRPr="00DD1B58">
        <w:rPr>
          <w:lang w:val="en-US"/>
        </w:rPr>
        <w:t xml:space="preserve"> report</w:t>
      </w:r>
      <w:r w:rsidR="0092368F" w:rsidRPr="00DD1B58">
        <w:rPr>
          <w:lang w:val="en-US"/>
        </w:rPr>
        <w:t>s</w:t>
      </w:r>
      <w:r w:rsidR="0030059D" w:rsidRPr="00DD1B58">
        <w:rPr>
          <w:lang w:val="en-US"/>
        </w:rPr>
        <w:t xml:space="preserve"> that there </w:t>
      </w:r>
      <w:r w:rsidR="004A28FD" w:rsidRPr="00DD1B58">
        <w:rPr>
          <w:lang w:val="en-US"/>
        </w:rPr>
        <w:t>are no physical modifications planned that would affect nuclear fire safety</w:t>
      </w:r>
      <w:r w:rsidR="0030059D" w:rsidRPr="00DD1B58">
        <w:rPr>
          <w:lang w:val="en-US"/>
        </w:rPr>
        <w:t xml:space="preserve"> </w:t>
      </w:r>
      <w:r w:rsidR="004A28FD" w:rsidRPr="00DD1B58">
        <w:rPr>
          <w:lang w:val="en-US"/>
        </w:rPr>
        <w:t>but</w:t>
      </w:r>
      <w:r w:rsidR="0030059D" w:rsidRPr="00DD1B58">
        <w:rPr>
          <w:lang w:val="en-US"/>
        </w:rPr>
        <w:t>,</w:t>
      </w:r>
      <w:r w:rsidR="004A28FD" w:rsidRPr="00DD1B58">
        <w:rPr>
          <w:lang w:val="en-US"/>
        </w:rPr>
        <w:t xml:space="preserve"> as there is a programme in place to implement revised nuclear fire safety assessments</w:t>
      </w:r>
      <w:r w:rsidR="00492616" w:rsidRPr="00DD1B58">
        <w:rPr>
          <w:lang w:val="en-US"/>
        </w:rPr>
        <w:t xml:space="preserve"> </w:t>
      </w:r>
      <w:bookmarkStart w:id="59" w:name="_Hlk148611120"/>
      <w:r w:rsidR="00492616" w:rsidRPr="00DD1B58">
        <w:rPr>
          <w:lang w:val="en-US"/>
        </w:rPr>
        <w:t>(prompted by a finding from the 2022 periodic safety case review)</w:t>
      </w:r>
      <w:r w:rsidR="004A28FD" w:rsidRPr="00DD1B58">
        <w:rPr>
          <w:lang w:val="en-US"/>
        </w:rPr>
        <w:t xml:space="preserve">, </w:t>
      </w:r>
      <w:bookmarkEnd w:id="59"/>
      <w:r w:rsidR="004A28FD" w:rsidRPr="00DD1B58">
        <w:rPr>
          <w:lang w:val="en-US"/>
        </w:rPr>
        <w:t xml:space="preserve">emergent work may arise. </w:t>
      </w:r>
    </w:p>
    <w:p w14:paraId="4CB656FF" w14:textId="77777777" w:rsidR="004A28FD" w:rsidRPr="00DD1B58" w:rsidRDefault="004A28FD" w:rsidP="004A28FD">
      <w:pPr>
        <w:rPr>
          <w:b/>
          <w:lang w:val="en-US"/>
        </w:rPr>
      </w:pPr>
      <w:r w:rsidRPr="00DD1B58">
        <w:rPr>
          <w:b/>
          <w:lang w:val="en-US"/>
        </w:rPr>
        <w:t>Magnox Reprocessing</w:t>
      </w:r>
    </w:p>
    <w:p w14:paraId="0A345393" w14:textId="6973E9A6" w:rsidR="004A28FD" w:rsidRPr="00DD1B58" w:rsidRDefault="004668E0" w:rsidP="0030059D">
      <w:pPr>
        <w:rPr>
          <w:lang w:val="en-US"/>
        </w:rPr>
      </w:pPr>
      <w:r w:rsidRPr="00DD1B58">
        <w:rPr>
          <w:lang w:val="en-US"/>
        </w:rPr>
        <w:t>Sellafield Ltd.</w:t>
      </w:r>
      <w:r w:rsidR="0030059D" w:rsidRPr="00DD1B58">
        <w:rPr>
          <w:lang w:val="en-US"/>
        </w:rPr>
        <w:t xml:space="preserve"> report</w:t>
      </w:r>
      <w:r w:rsidR="0092368F" w:rsidRPr="00DD1B58">
        <w:rPr>
          <w:lang w:val="en-US"/>
        </w:rPr>
        <w:t>s</w:t>
      </w:r>
      <w:r w:rsidR="0030059D" w:rsidRPr="00DD1B58">
        <w:rPr>
          <w:lang w:val="en-US"/>
        </w:rPr>
        <w:t xml:space="preserve"> that t</w:t>
      </w:r>
      <w:r w:rsidR="004A28FD" w:rsidRPr="00DD1B58">
        <w:rPr>
          <w:lang w:val="en-US"/>
        </w:rPr>
        <w:t>here are no plant modifications planned that would impact nuclear fire safety</w:t>
      </w:r>
      <w:r w:rsidR="00704672" w:rsidRPr="00DD1B58">
        <w:rPr>
          <w:lang w:val="en-US"/>
        </w:rPr>
        <w:t xml:space="preserve"> and that </w:t>
      </w:r>
      <w:r w:rsidR="004A28FD" w:rsidRPr="00DD1B58">
        <w:rPr>
          <w:lang w:val="en-US"/>
        </w:rPr>
        <w:t xml:space="preserve">there have been no significant modifications historically that claimed to impact nuclear fire safety. </w:t>
      </w:r>
    </w:p>
    <w:p w14:paraId="1476E733" w14:textId="77777777" w:rsidR="004A28FD" w:rsidRPr="00DD1B58" w:rsidRDefault="004A28FD" w:rsidP="004A28FD">
      <w:pPr>
        <w:rPr>
          <w:b/>
          <w:lang w:val="en-US"/>
        </w:rPr>
      </w:pPr>
      <w:r w:rsidRPr="00DD1B58">
        <w:rPr>
          <w:b/>
          <w:lang w:val="en-US"/>
        </w:rPr>
        <w:t>Encapsulation Plants</w:t>
      </w:r>
    </w:p>
    <w:p w14:paraId="30905D3B" w14:textId="49C2A515" w:rsidR="004A28FD" w:rsidRPr="00DD1B58" w:rsidRDefault="004668E0" w:rsidP="00704672">
      <w:pPr>
        <w:rPr>
          <w:lang w:val="en-US"/>
        </w:rPr>
      </w:pPr>
      <w:r w:rsidRPr="00DD1B58">
        <w:rPr>
          <w:lang w:val="en-US"/>
        </w:rPr>
        <w:t>Sellafield Ltd.</w:t>
      </w:r>
      <w:r w:rsidR="00704672" w:rsidRPr="00DD1B58">
        <w:rPr>
          <w:lang w:val="en-US"/>
        </w:rPr>
        <w:t xml:space="preserve"> report</w:t>
      </w:r>
      <w:r w:rsidR="0092368F" w:rsidRPr="00DD1B58">
        <w:rPr>
          <w:lang w:val="en-US"/>
        </w:rPr>
        <w:t>s</w:t>
      </w:r>
      <w:r w:rsidR="00704672" w:rsidRPr="00DD1B58">
        <w:rPr>
          <w:lang w:val="en-US"/>
        </w:rPr>
        <w:t xml:space="preserve"> that </w:t>
      </w:r>
      <w:r w:rsidR="004A28FD" w:rsidRPr="00DD1B58">
        <w:rPr>
          <w:lang w:val="en-US"/>
        </w:rPr>
        <w:t xml:space="preserve">Encapsulation Plants have had no major structural modifications since the buildings were constructed. </w:t>
      </w:r>
      <w:r w:rsidR="00704672" w:rsidRPr="00DD1B58">
        <w:rPr>
          <w:lang w:val="en-US"/>
        </w:rPr>
        <w:t>It state</w:t>
      </w:r>
      <w:r w:rsidR="0092368F" w:rsidRPr="00DD1B58">
        <w:rPr>
          <w:lang w:val="en-US"/>
        </w:rPr>
        <w:t>s</w:t>
      </w:r>
      <w:r w:rsidR="00704672" w:rsidRPr="00DD1B58">
        <w:rPr>
          <w:lang w:val="en-US"/>
        </w:rPr>
        <w:t xml:space="preserve"> that there </w:t>
      </w:r>
      <w:r w:rsidR="004A28FD" w:rsidRPr="00DD1B58">
        <w:rPr>
          <w:lang w:val="en-US"/>
        </w:rPr>
        <w:t xml:space="preserve">have been modifications to installed equipment and modifications to allow different flasks to be encapsulated but nothing that impacted nuclear fire safety or required changes to the nuclear or conventional fire safety analyses. </w:t>
      </w:r>
    </w:p>
    <w:p w14:paraId="2D5561C6" w14:textId="77777777" w:rsidR="004A28FD" w:rsidRPr="00DD1B58" w:rsidRDefault="004A28FD" w:rsidP="004A28FD">
      <w:pPr>
        <w:rPr>
          <w:b/>
          <w:lang w:val="en-US"/>
        </w:rPr>
      </w:pPr>
      <w:r w:rsidRPr="00DD1B58">
        <w:rPr>
          <w:b/>
          <w:lang w:val="en-US"/>
        </w:rPr>
        <w:t xml:space="preserve">SPRS </w:t>
      </w:r>
    </w:p>
    <w:p w14:paraId="3F94AB64" w14:textId="0B8379B4" w:rsidR="004A28FD" w:rsidRPr="00DD1B58" w:rsidRDefault="004668E0" w:rsidP="00704672">
      <w:pPr>
        <w:rPr>
          <w:lang w:val="en-US"/>
        </w:rPr>
      </w:pPr>
      <w:r w:rsidRPr="00DD1B58">
        <w:rPr>
          <w:lang w:val="en-US"/>
        </w:rPr>
        <w:t>Sellafield Ltd.</w:t>
      </w:r>
      <w:r w:rsidR="00704672" w:rsidRPr="00DD1B58">
        <w:rPr>
          <w:lang w:val="en-US"/>
        </w:rPr>
        <w:t xml:space="preserve"> report</w:t>
      </w:r>
      <w:r w:rsidR="0092368F" w:rsidRPr="00DD1B58">
        <w:rPr>
          <w:lang w:val="en-US"/>
        </w:rPr>
        <w:t>s</w:t>
      </w:r>
      <w:r w:rsidR="00704672" w:rsidRPr="00DD1B58">
        <w:rPr>
          <w:lang w:val="en-US"/>
        </w:rPr>
        <w:t xml:space="preserve"> that s</w:t>
      </w:r>
      <w:r w:rsidR="004A28FD" w:rsidRPr="00DD1B58">
        <w:rPr>
          <w:lang w:val="en-US"/>
        </w:rPr>
        <w:t xml:space="preserve">ince operations commenced in SPRS, there have been no PMPs which have significantly had an impact on either </w:t>
      </w:r>
      <w:r w:rsidR="00CE4944" w:rsidRPr="00DD1B58">
        <w:rPr>
          <w:lang w:val="en-US"/>
        </w:rPr>
        <w:t>n</w:t>
      </w:r>
      <w:r w:rsidR="004A28FD" w:rsidRPr="00DD1B58">
        <w:rPr>
          <w:lang w:val="en-US"/>
        </w:rPr>
        <w:t xml:space="preserve">uclear or </w:t>
      </w:r>
      <w:r w:rsidR="00CE4944" w:rsidRPr="00DD1B58">
        <w:rPr>
          <w:lang w:val="en-US"/>
        </w:rPr>
        <w:t>c</w:t>
      </w:r>
      <w:r w:rsidR="004A28FD" w:rsidRPr="00DD1B58">
        <w:rPr>
          <w:lang w:val="en-US"/>
        </w:rPr>
        <w:t xml:space="preserve">onventional </w:t>
      </w:r>
      <w:r w:rsidR="00CE4944" w:rsidRPr="00DD1B58">
        <w:rPr>
          <w:lang w:val="en-US"/>
        </w:rPr>
        <w:t>f</w:t>
      </w:r>
      <w:r w:rsidR="004A28FD" w:rsidRPr="00DD1B58">
        <w:rPr>
          <w:lang w:val="en-US"/>
        </w:rPr>
        <w:t xml:space="preserve">ire </w:t>
      </w:r>
      <w:r w:rsidR="00CE4944" w:rsidRPr="00DD1B58">
        <w:rPr>
          <w:lang w:val="en-US"/>
        </w:rPr>
        <w:t>s</w:t>
      </w:r>
      <w:r w:rsidR="004A28FD" w:rsidRPr="00DD1B58">
        <w:rPr>
          <w:lang w:val="en-US"/>
        </w:rPr>
        <w:t>afety. The SPRS Modifications Project</w:t>
      </w:r>
      <w:r w:rsidR="00704672" w:rsidRPr="00DD1B58">
        <w:rPr>
          <w:lang w:val="en-US"/>
        </w:rPr>
        <w:t>,</w:t>
      </w:r>
      <w:r w:rsidR="004A28FD" w:rsidRPr="00DD1B58">
        <w:rPr>
          <w:lang w:val="en-US"/>
        </w:rPr>
        <w:t xml:space="preserve"> which is necessary to install new SSCs within SPRS to allow transfer of packages between SPRS and a new facility on Sellafield Site, will require the Nuclear and Conventional Fire Safety Case to be reviewed. </w:t>
      </w:r>
      <w:r w:rsidR="00CE4944" w:rsidRPr="00DD1B58">
        <w:rPr>
          <w:lang w:val="en-US"/>
        </w:rPr>
        <w:t>T</w:t>
      </w:r>
      <w:r w:rsidR="004A28FD" w:rsidRPr="00DD1B58">
        <w:rPr>
          <w:lang w:val="en-US"/>
        </w:rPr>
        <w:t xml:space="preserve">he new SPRS Control Systems upgrade may </w:t>
      </w:r>
      <w:r w:rsidR="00CE4944" w:rsidRPr="00DD1B58">
        <w:rPr>
          <w:lang w:val="en-US"/>
        </w:rPr>
        <w:t xml:space="preserve">also </w:t>
      </w:r>
      <w:r w:rsidR="004A28FD" w:rsidRPr="00DD1B58">
        <w:rPr>
          <w:lang w:val="en-US"/>
        </w:rPr>
        <w:t xml:space="preserve">introduce changes, </w:t>
      </w:r>
      <w:r w:rsidR="00CE4944" w:rsidRPr="00DD1B58">
        <w:rPr>
          <w:lang w:val="en-US"/>
        </w:rPr>
        <w:t>so</w:t>
      </w:r>
      <w:r w:rsidR="004A28FD" w:rsidRPr="00DD1B58">
        <w:rPr>
          <w:lang w:val="en-US"/>
        </w:rPr>
        <w:t xml:space="preserve"> </w:t>
      </w:r>
      <w:r w:rsidR="00CE4944" w:rsidRPr="00DD1B58">
        <w:rPr>
          <w:lang w:val="en-US"/>
        </w:rPr>
        <w:t xml:space="preserve">fire safety will be given adequate consideration </w:t>
      </w:r>
      <w:r w:rsidR="004A28FD" w:rsidRPr="00DD1B58">
        <w:rPr>
          <w:lang w:val="en-US"/>
        </w:rPr>
        <w:t xml:space="preserve">during production of the PMP(s) for this upgrade. </w:t>
      </w:r>
    </w:p>
    <w:p w14:paraId="457FF997" w14:textId="4DE0B306" w:rsidR="004A28FD" w:rsidRPr="00DD1B58" w:rsidRDefault="006428CB" w:rsidP="00973FF4">
      <w:pPr>
        <w:keepNext/>
        <w:rPr>
          <w:b/>
          <w:lang w:val="en-US"/>
        </w:rPr>
      </w:pPr>
      <w:r w:rsidRPr="00DD1B58">
        <w:rPr>
          <w:b/>
          <w:lang w:val="en-US"/>
        </w:rPr>
        <w:t>BEPPS-DIF</w:t>
      </w:r>
    </w:p>
    <w:p w14:paraId="5996DCA9" w14:textId="138EB11B" w:rsidR="004A28FD" w:rsidRPr="00DD1B58" w:rsidRDefault="006428CB" w:rsidP="00F944E9">
      <w:pPr>
        <w:rPr>
          <w:lang w:val="en-US"/>
        </w:rPr>
      </w:pPr>
      <w:r w:rsidRPr="00DD1B58">
        <w:rPr>
          <w:lang w:val="en-US"/>
        </w:rPr>
        <w:t>BEPPS-</w:t>
      </w:r>
      <w:r w:rsidR="004A28FD" w:rsidRPr="00DD1B58">
        <w:rPr>
          <w:lang w:val="en-US"/>
        </w:rPr>
        <w:t xml:space="preserve">DIF is a relatively new facility and has not had any nuclear fire risk significant modifications since it was built in 2016. </w:t>
      </w:r>
      <w:r w:rsidR="004668E0" w:rsidRPr="00DD1B58">
        <w:rPr>
          <w:lang w:val="en-US"/>
        </w:rPr>
        <w:t xml:space="preserve">Sellafield Ltd. </w:t>
      </w:r>
      <w:r w:rsidR="006D798B" w:rsidRPr="00DD1B58">
        <w:rPr>
          <w:lang w:val="en-US"/>
        </w:rPr>
        <w:t>reports that</w:t>
      </w:r>
      <w:r w:rsidR="00F944E9" w:rsidRPr="00DD1B58">
        <w:rPr>
          <w:lang w:val="en-US"/>
        </w:rPr>
        <w:t xml:space="preserve"> </w:t>
      </w:r>
      <w:r w:rsidR="00CE4944" w:rsidRPr="00DD1B58">
        <w:rPr>
          <w:lang w:val="en-US"/>
        </w:rPr>
        <w:t>n</w:t>
      </w:r>
      <w:r w:rsidR="004A28FD" w:rsidRPr="00DD1B58">
        <w:rPr>
          <w:lang w:val="en-US"/>
        </w:rPr>
        <w:t xml:space="preserve">uclear fire safety consideration was designed into the building. </w:t>
      </w:r>
    </w:p>
    <w:p w14:paraId="0B9C3230" w14:textId="77777777" w:rsidR="004A28FD" w:rsidRPr="00DD1B58" w:rsidRDefault="004A28FD" w:rsidP="004A28FD">
      <w:pPr>
        <w:rPr>
          <w:b/>
          <w:lang w:val="en-US"/>
        </w:rPr>
      </w:pPr>
      <w:r w:rsidRPr="00DD1B58">
        <w:rPr>
          <w:b/>
          <w:lang w:val="en-US"/>
        </w:rPr>
        <w:t>Pile 1</w:t>
      </w:r>
    </w:p>
    <w:p w14:paraId="023E1968" w14:textId="5271DAA2" w:rsidR="004A28FD" w:rsidRPr="00DD1B58" w:rsidRDefault="004668E0" w:rsidP="00F944E9">
      <w:pPr>
        <w:rPr>
          <w:lang w:val="en-US"/>
        </w:rPr>
      </w:pPr>
      <w:r w:rsidRPr="00DD1B58">
        <w:rPr>
          <w:lang w:val="en-US"/>
        </w:rPr>
        <w:t>Sellafield Ltd.</w:t>
      </w:r>
      <w:r w:rsidR="00F944E9" w:rsidRPr="00DD1B58">
        <w:rPr>
          <w:lang w:val="en-US"/>
        </w:rPr>
        <w:t xml:space="preserve"> </w:t>
      </w:r>
      <w:r w:rsidR="006D798B" w:rsidRPr="00DD1B58">
        <w:rPr>
          <w:lang w:val="en-US"/>
        </w:rPr>
        <w:t>reports that</w:t>
      </w:r>
      <w:r w:rsidR="00F944E9" w:rsidRPr="00DD1B58">
        <w:rPr>
          <w:lang w:val="en-US"/>
        </w:rPr>
        <w:t xml:space="preserve"> </w:t>
      </w:r>
      <w:r w:rsidR="004A28FD" w:rsidRPr="00DD1B58">
        <w:rPr>
          <w:lang w:val="en-US"/>
        </w:rPr>
        <w:t xml:space="preserve">Pile 1 is a low hazard facility in a quiescent state of operation under a regime of care and maintenance. The scope of operations routinely carried out in Pile 1 and associated buildings </w:t>
      </w:r>
      <w:r w:rsidR="00670150" w:rsidRPr="00DD1B58">
        <w:rPr>
          <w:lang w:val="en-US"/>
        </w:rPr>
        <w:t xml:space="preserve">is </w:t>
      </w:r>
      <w:r w:rsidR="004A28FD" w:rsidRPr="00DD1B58">
        <w:rPr>
          <w:lang w:val="en-US"/>
        </w:rPr>
        <w:t>limited and ha</w:t>
      </w:r>
      <w:r w:rsidR="00670150" w:rsidRPr="00DD1B58">
        <w:rPr>
          <w:lang w:val="en-US"/>
        </w:rPr>
        <w:t>s</w:t>
      </w:r>
      <w:r w:rsidR="004A28FD" w:rsidRPr="00DD1B58">
        <w:rPr>
          <w:lang w:val="en-US"/>
        </w:rPr>
        <w:t xml:space="preserve"> not changed significantly since the last review. </w:t>
      </w:r>
      <w:r w:rsidR="00C33651" w:rsidRPr="00DD1B58">
        <w:rPr>
          <w:lang w:val="en-US"/>
        </w:rPr>
        <w:t>The operations are</w:t>
      </w:r>
      <w:r w:rsidR="004A28FD" w:rsidRPr="00DD1B58">
        <w:rPr>
          <w:lang w:val="en-US"/>
        </w:rPr>
        <w:t xml:space="preserve"> all associated with maintaining Pile 1 and associated buildings in a safe and stable state, and include routine surveys, tests and maintenance as well as the continued operation of the Pile 1 ventilation system.</w:t>
      </w:r>
    </w:p>
    <w:p w14:paraId="23616693" w14:textId="77777777" w:rsidR="00325B7D" w:rsidRPr="00DD1B58" w:rsidRDefault="00325B7D" w:rsidP="00064A8D">
      <w:pPr>
        <w:pStyle w:val="Heading4"/>
        <w:numPr>
          <w:ilvl w:val="4"/>
          <w:numId w:val="3"/>
        </w:numPr>
        <w:rPr>
          <w:lang w:val="en-US"/>
        </w:rPr>
      </w:pPr>
      <w:r w:rsidRPr="00DD1B58">
        <w:rPr>
          <w:lang w:val="en-US"/>
        </w:rPr>
        <w:t xml:space="preserve">Implementation status of modifications/changes </w:t>
      </w:r>
    </w:p>
    <w:p w14:paraId="6AA8ED4B" w14:textId="6CCADEAA" w:rsidR="00ED125D" w:rsidRPr="00DD1B58" w:rsidRDefault="004668E0" w:rsidP="00ED125D">
      <w:pPr>
        <w:rPr>
          <w:lang w:val="en-US"/>
        </w:rPr>
      </w:pPr>
      <w:r w:rsidRPr="00DD1B58">
        <w:rPr>
          <w:lang w:val="en-US"/>
        </w:rPr>
        <w:t xml:space="preserve">Sellafield Ltd. </w:t>
      </w:r>
      <w:r w:rsidR="00ED125D" w:rsidRPr="00DD1B58">
        <w:rPr>
          <w:lang w:val="en-US"/>
        </w:rPr>
        <w:t>recognise</w:t>
      </w:r>
      <w:r w:rsidR="00C33651" w:rsidRPr="00DD1B58">
        <w:rPr>
          <w:lang w:val="en-US"/>
        </w:rPr>
        <w:t>s</w:t>
      </w:r>
      <w:r w:rsidR="00ED125D" w:rsidRPr="00DD1B58">
        <w:rPr>
          <w:lang w:val="en-US"/>
        </w:rPr>
        <w:t xml:space="preserve"> they have obligations in terms of implementing modifications or changes to plant</w:t>
      </w:r>
      <w:r w:rsidR="00670150" w:rsidRPr="00DD1B58">
        <w:rPr>
          <w:lang w:val="en-US"/>
        </w:rPr>
        <w:t>.</w:t>
      </w:r>
      <w:r w:rsidR="00ED125D" w:rsidRPr="00DD1B58">
        <w:rPr>
          <w:lang w:val="en-US"/>
        </w:rPr>
        <w:t xml:space="preserve"> </w:t>
      </w:r>
      <w:r w:rsidR="00670150" w:rsidRPr="00DD1B58">
        <w:rPr>
          <w:lang w:val="en-US"/>
        </w:rPr>
        <w:t>T</w:t>
      </w:r>
      <w:r w:rsidR="00ED125D" w:rsidRPr="00DD1B58">
        <w:rPr>
          <w:lang w:val="en-US"/>
        </w:rPr>
        <w:t>hese obligations are in reference to:</w:t>
      </w:r>
    </w:p>
    <w:p w14:paraId="6DA4498F" w14:textId="629B20B4" w:rsidR="00ED125D" w:rsidRPr="00DD1B58" w:rsidRDefault="00ED125D" w:rsidP="00327321">
      <w:pPr>
        <w:pStyle w:val="Bulletlist1"/>
        <w:rPr>
          <w:lang w:val="en-US"/>
        </w:rPr>
      </w:pPr>
      <w:r w:rsidRPr="00DD1B58">
        <w:rPr>
          <w:lang w:val="en-US"/>
        </w:rPr>
        <w:t xml:space="preserve">Legislation e.g. Control of Major Accident Hazards (COMAH) Regulations 2015 </w:t>
      </w:r>
      <w:sdt>
        <w:sdtPr>
          <w:rPr>
            <w:lang w:val="en-US"/>
          </w:rPr>
          <w:id w:val="236680923"/>
          <w:citation/>
        </w:sdtPr>
        <w:sdtContent>
          <w:r w:rsidR="006B0DDA" w:rsidRPr="00DD1B58">
            <w:rPr>
              <w:lang w:val="en-US"/>
            </w:rPr>
            <w:fldChar w:fldCharType="begin"/>
          </w:r>
          <w:r w:rsidR="005B050F" w:rsidRPr="00DD1B58">
            <w:rPr>
              <w:lang w:val="en-US"/>
            </w:rPr>
            <w:instrText xml:space="preserve">CITATION COMAH \l 2057 </w:instrText>
          </w:r>
          <w:r w:rsidR="006B0DDA" w:rsidRPr="00DD1B58">
            <w:rPr>
              <w:lang w:val="en-US"/>
            </w:rPr>
            <w:fldChar w:fldCharType="separate"/>
          </w:r>
          <w:r w:rsidR="00DF47DA" w:rsidRPr="00DF47DA">
            <w:rPr>
              <w:lang w:val="en-US"/>
            </w:rPr>
            <w:t>[23]</w:t>
          </w:r>
          <w:r w:rsidR="006B0DDA" w:rsidRPr="00DD1B58">
            <w:rPr>
              <w:lang w:val="en-US"/>
            </w:rPr>
            <w:fldChar w:fldCharType="end"/>
          </w:r>
        </w:sdtContent>
      </w:sdt>
      <w:r w:rsidR="00670150" w:rsidRPr="00DD1B58">
        <w:rPr>
          <w:lang w:val="en-US"/>
        </w:rPr>
        <w:t>;</w:t>
      </w:r>
    </w:p>
    <w:p w14:paraId="52A6E1B1" w14:textId="77777777" w:rsidR="00ED125D" w:rsidRPr="00DD1B58" w:rsidRDefault="00ED125D" w:rsidP="00327321">
      <w:pPr>
        <w:pStyle w:val="Bulletlist1"/>
        <w:rPr>
          <w:lang w:val="en-US"/>
        </w:rPr>
      </w:pPr>
      <w:r w:rsidRPr="00DD1B58">
        <w:rPr>
          <w:lang w:val="en-US"/>
        </w:rPr>
        <w:t>Nuclear Site Licence Conditions;</w:t>
      </w:r>
    </w:p>
    <w:p w14:paraId="672D2F1F" w14:textId="57A9B135" w:rsidR="00ED125D" w:rsidRPr="00DD1B58" w:rsidRDefault="00ED125D" w:rsidP="00327321">
      <w:pPr>
        <w:pStyle w:val="Bulletlist1"/>
        <w:rPr>
          <w:lang w:val="en-US"/>
        </w:rPr>
      </w:pPr>
      <w:r w:rsidRPr="00DD1B58">
        <w:rPr>
          <w:lang w:val="en-US"/>
        </w:rPr>
        <w:t xml:space="preserve">WANO Performance Objectives </w:t>
      </w:r>
      <w:r w:rsidR="00670150" w:rsidRPr="00DD1B58">
        <w:rPr>
          <w:lang w:val="en-US"/>
        </w:rPr>
        <w:t>and</w:t>
      </w:r>
      <w:r w:rsidRPr="00DD1B58">
        <w:rPr>
          <w:lang w:val="en-US"/>
        </w:rPr>
        <w:t xml:space="preserve"> Criteria;</w:t>
      </w:r>
      <w:r w:rsidR="00670150" w:rsidRPr="00DD1B58">
        <w:rPr>
          <w:lang w:val="en-US"/>
        </w:rPr>
        <w:t xml:space="preserve"> and</w:t>
      </w:r>
    </w:p>
    <w:p w14:paraId="4B75A0B6" w14:textId="77777777" w:rsidR="00ED125D" w:rsidRPr="00DD1B58" w:rsidRDefault="00ED125D" w:rsidP="00327321">
      <w:pPr>
        <w:pStyle w:val="Bulletlist1"/>
        <w:rPr>
          <w:lang w:val="en-US"/>
        </w:rPr>
      </w:pPr>
      <w:r w:rsidRPr="00DD1B58">
        <w:rPr>
          <w:lang w:val="en-US"/>
        </w:rPr>
        <w:t>Environmental Permits.</w:t>
      </w:r>
    </w:p>
    <w:p w14:paraId="7AA347E5" w14:textId="127BFBE1" w:rsidR="00ED125D" w:rsidRPr="00DD1B58" w:rsidRDefault="00ED125D" w:rsidP="00ED125D">
      <w:pPr>
        <w:rPr>
          <w:lang w:val="en-US"/>
        </w:rPr>
      </w:pPr>
      <w:r w:rsidRPr="00DD1B58">
        <w:rPr>
          <w:lang w:val="en-US"/>
        </w:rPr>
        <w:t xml:space="preserve">To comply with these requirements, </w:t>
      </w:r>
      <w:r w:rsidR="004668E0" w:rsidRPr="00DD1B58">
        <w:rPr>
          <w:lang w:val="en-US"/>
        </w:rPr>
        <w:t xml:space="preserve">Sellafield Ltd. </w:t>
      </w:r>
      <w:r w:rsidR="00035036" w:rsidRPr="00DD1B58">
        <w:rPr>
          <w:lang w:val="en-US"/>
        </w:rPr>
        <w:t xml:space="preserve">has </w:t>
      </w:r>
      <w:r w:rsidRPr="00DD1B58">
        <w:rPr>
          <w:lang w:val="en-US"/>
        </w:rPr>
        <w:t>established arrangements to assess and mitigate risks associated with the modification of existing plants or processes which may affect safety (</w:t>
      </w:r>
      <w:r w:rsidR="00670150" w:rsidRPr="00DD1B58">
        <w:rPr>
          <w:lang w:val="en-US"/>
        </w:rPr>
        <w:t>n</w:t>
      </w:r>
      <w:r w:rsidRPr="00DD1B58">
        <w:rPr>
          <w:lang w:val="en-US"/>
        </w:rPr>
        <w:t xml:space="preserve">uclear, </w:t>
      </w:r>
      <w:r w:rsidR="00670150" w:rsidRPr="00DD1B58">
        <w:rPr>
          <w:lang w:val="en-US"/>
        </w:rPr>
        <w:t>e</w:t>
      </w:r>
      <w:r w:rsidRPr="00DD1B58">
        <w:rPr>
          <w:lang w:val="en-US"/>
        </w:rPr>
        <w:t xml:space="preserve">nvironmental and COMAH). </w:t>
      </w:r>
      <w:r w:rsidR="004668E0" w:rsidRPr="00DD1B58">
        <w:rPr>
          <w:lang w:val="en-US"/>
        </w:rPr>
        <w:t>Sellafield Ltd.</w:t>
      </w:r>
      <w:r w:rsidR="00035036" w:rsidRPr="00DD1B58">
        <w:rPr>
          <w:lang w:val="en-US"/>
        </w:rPr>
        <w:t xml:space="preserve"> has</w:t>
      </w:r>
      <w:r w:rsidRPr="00DD1B58">
        <w:rPr>
          <w:lang w:val="en-US"/>
        </w:rPr>
        <w:t xml:space="preserve"> also established governance and scrutiny via various committees </w:t>
      </w:r>
      <w:r w:rsidR="0035711F" w:rsidRPr="00DD1B58">
        <w:rPr>
          <w:lang w:val="en-US"/>
        </w:rPr>
        <w:t xml:space="preserve">to </w:t>
      </w:r>
      <w:r w:rsidRPr="00DD1B58">
        <w:rPr>
          <w:lang w:val="en-US"/>
        </w:rPr>
        <w:t>ensure those involved in the review, approval and implementation of PMP</w:t>
      </w:r>
      <w:r w:rsidR="0035711F" w:rsidRPr="00DD1B58">
        <w:rPr>
          <w:lang w:val="en-US"/>
        </w:rPr>
        <w:t>s</w:t>
      </w:r>
      <w:r w:rsidRPr="00DD1B58">
        <w:rPr>
          <w:lang w:val="en-US"/>
        </w:rPr>
        <w:t xml:space="preserve"> are competent. </w:t>
      </w:r>
      <w:r w:rsidR="004668E0" w:rsidRPr="00DD1B58">
        <w:rPr>
          <w:lang w:val="en-US"/>
        </w:rPr>
        <w:t>Sellafield Ltd.</w:t>
      </w:r>
      <w:r w:rsidR="00920B68" w:rsidRPr="00DD1B58">
        <w:rPr>
          <w:lang w:val="en-US"/>
        </w:rPr>
        <w:t xml:space="preserve"> report</w:t>
      </w:r>
      <w:r w:rsidR="0035711F" w:rsidRPr="00DD1B58">
        <w:rPr>
          <w:lang w:val="en-US"/>
        </w:rPr>
        <w:t>s</w:t>
      </w:r>
      <w:r w:rsidR="00920B68" w:rsidRPr="00DD1B58">
        <w:rPr>
          <w:lang w:val="en-US"/>
        </w:rPr>
        <w:t xml:space="preserve"> that </w:t>
      </w:r>
      <w:r w:rsidRPr="00DD1B58">
        <w:rPr>
          <w:lang w:val="en-US"/>
        </w:rPr>
        <w:t>PMP arrangements are applied to:</w:t>
      </w:r>
    </w:p>
    <w:p w14:paraId="650A1DF7" w14:textId="3E0DAF3D" w:rsidR="00ED125D" w:rsidRPr="00DD1B58" w:rsidRDefault="00ED125D" w:rsidP="00327321">
      <w:pPr>
        <w:pStyle w:val="Bulletlist1"/>
        <w:rPr>
          <w:lang w:val="en-US"/>
        </w:rPr>
      </w:pPr>
      <w:r w:rsidRPr="00DD1B58">
        <w:rPr>
          <w:lang w:val="en-US"/>
        </w:rPr>
        <w:t>All modifications or experiments on existing plant or processes on the Sellafield Nuclear Licensed Site</w:t>
      </w:r>
      <w:r w:rsidR="00B16ED4" w:rsidRPr="00DD1B58">
        <w:rPr>
          <w:lang w:val="en-US"/>
        </w:rPr>
        <w:t xml:space="preserve"> that </w:t>
      </w:r>
      <w:r w:rsidRPr="00DD1B58">
        <w:rPr>
          <w:lang w:val="en-US"/>
        </w:rPr>
        <w:t>could have an effect on radiological or nuclear safety, environmental performance or COMAH safety</w:t>
      </w:r>
      <w:r w:rsidR="00B16ED4" w:rsidRPr="00DD1B58">
        <w:rPr>
          <w:lang w:val="en-US"/>
        </w:rPr>
        <w:t>; and</w:t>
      </w:r>
    </w:p>
    <w:p w14:paraId="502C7DA6" w14:textId="2E087C78" w:rsidR="00ED125D" w:rsidRPr="00DD1B58" w:rsidRDefault="00ED125D" w:rsidP="00327321">
      <w:pPr>
        <w:pStyle w:val="Bulletlist1"/>
        <w:rPr>
          <w:lang w:val="en-US"/>
        </w:rPr>
      </w:pPr>
      <w:r w:rsidRPr="00DD1B58">
        <w:rPr>
          <w:lang w:val="en-US"/>
        </w:rPr>
        <w:t xml:space="preserve">All modifications on existing plant or processes </w:t>
      </w:r>
      <w:r w:rsidR="00B16ED4" w:rsidRPr="00DD1B58">
        <w:rPr>
          <w:lang w:val="en-US"/>
        </w:rPr>
        <w:t xml:space="preserve">that </w:t>
      </w:r>
      <w:r w:rsidRPr="00DD1B58">
        <w:rPr>
          <w:lang w:val="en-US"/>
        </w:rPr>
        <w:t>are required to mitigate hazards associated with adjacent plant.</w:t>
      </w:r>
    </w:p>
    <w:p w14:paraId="1E1045D5" w14:textId="56DC6FCF" w:rsidR="00ED125D" w:rsidRPr="00DD1B58" w:rsidRDefault="004668E0" w:rsidP="00ED125D">
      <w:pPr>
        <w:rPr>
          <w:lang w:val="en-US"/>
        </w:rPr>
      </w:pPr>
      <w:r w:rsidRPr="00DD1B58">
        <w:rPr>
          <w:lang w:val="en-US"/>
        </w:rPr>
        <w:t>Sellafield Ltd.</w:t>
      </w:r>
      <w:r w:rsidR="00920B68" w:rsidRPr="00DD1B58">
        <w:rPr>
          <w:lang w:val="en-US"/>
        </w:rPr>
        <w:t xml:space="preserve"> assigns </w:t>
      </w:r>
      <w:r w:rsidR="00ED125D" w:rsidRPr="00DD1B58">
        <w:rPr>
          <w:lang w:val="en-US"/>
        </w:rPr>
        <w:t>a radiological</w:t>
      </w:r>
      <w:r w:rsidR="00B16ED4" w:rsidRPr="00DD1B58">
        <w:rPr>
          <w:lang w:val="en-US"/>
        </w:rPr>
        <w:t>,</w:t>
      </w:r>
      <w:r w:rsidR="00ED125D" w:rsidRPr="00DD1B58">
        <w:rPr>
          <w:lang w:val="en-US"/>
        </w:rPr>
        <w:t xml:space="preserve"> environmental and COMAH classification </w:t>
      </w:r>
      <w:r w:rsidR="00920B68" w:rsidRPr="00DD1B58">
        <w:rPr>
          <w:lang w:val="en-US"/>
        </w:rPr>
        <w:t xml:space="preserve">to each proposal </w:t>
      </w:r>
      <w:r w:rsidR="00ED125D" w:rsidRPr="00DD1B58">
        <w:rPr>
          <w:lang w:val="en-US"/>
        </w:rPr>
        <w:t xml:space="preserve">to ensure that </w:t>
      </w:r>
      <w:r w:rsidR="00B16ED4" w:rsidRPr="00DD1B58">
        <w:rPr>
          <w:lang w:val="en-US"/>
        </w:rPr>
        <w:t xml:space="preserve">they are </w:t>
      </w:r>
      <w:r w:rsidR="00ED125D" w:rsidRPr="00DD1B58">
        <w:rPr>
          <w:lang w:val="en-US"/>
        </w:rPr>
        <w:t xml:space="preserve">subject to adequate scrutiny. </w:t>
      </w:r>
      <w:r w:rsidRPr="00DD1B58">
        <w:rPr>
          <w:lang w:val="en-US"/>
        </w:rPr>
        <w:t>Sellafield Ltd.</w:t>
      </w:r>
      <w:r w:rsidR="00920B68" w:rsidRPr="00DD1B58">
        <w:rPr>
          <w:lang w:val="en-US"/>
        </w:rPr>
        <w:t xml:space="preserve"> considers that the </w:t>
      </w:r>
      <w:r w:rsidR="00ED125D" w:rsidRPr="00DD1B58">
        <w:rPr>
          <w:lang w:val="en-US"/>
        </w:rPr>
        <w:t xml:space="preserve">classification system for safety significance is consistent with that used for Nuclear Site Licence Condition </w:t>
      </w:r>
      <w:r w:rsidR="007153D0" w:rsidRPr="00DD1B58">
        <w:rPr>
          <w:lang w:val="en-US"/>
        </w:rPr>
        <w:t>22</w:t>
      </w:r>
      <w:r w:rsidR="00ED125D" w:rsidRPr="00DD1B58">
        <w:rPr>
          <w:lang w:val="en-US"/>
        </w:rPr>
        <w:t xml:space="preserve">. </w:t>
      </w:r>
      <w:r w:rsidR="00D44D10" w:rsidRPr="00DD1B58">
        <w:rPr>
          <w:lang w:val="en-US"/>
        </w:rPr>
        <w:t>Finally, Sellafield state</w:t>
      </w:r>
      <w:r w:rsidR="00B16ED4" w:rsidRPr="00DD1B58">
        <w:rPr>
          <w:lang w:val="en-US"/>
        </w:rPr>
        <w:t>s</w:t>
      </w:r>
      <w:r w:rsidR="00D44D10" w:rsidRPr="00DD1B58">
        <w:rPr>
          <w:lang w:val="en-US"/>
        </w:rPr>
        <w:t xml:space="preserve"> that, w</w:t>
      </w:r>
      <w:r w:rsidR="00ED125D" w:rsidRPr="00DD1B58">
        <w:rPr>
          <w:lang w:val="en-US"/>
        </w:rPr>
        <w:t xml:space="preserve">here appropriate, </w:t>
      </w:r>
      <w:r w:rsidR="00D44D10" w:rsidRPr="00DD1B58">
        <w:rPr>
          <w:lang w:val="en-US"/>
        </w:rPr>
        <w:t xml:space="preserve">it divides </w:t>
      </w:r>
      <w:r w:rsidR="00ED125D" w:rsidRPr="00DD1B58">
        <w:rPr>
          <w:lang w:val="en-US"/>
        </w:rPr>
        <w:t xml:space="preserve">the modification or experiment into stages </w:t>
      </w:r>
      <w:r w:rsidR="00D44D10" w:rsidRPr="00DD1B58">
        <w:rPr>
          <w:lang w:val="en-US"/>
        </w:rPr>
        <w:t>laid out in a</w:t>
      </w:r>
      <w:r w:rsidR="00ED125D" w:rsidRPr="00DD1B58">
        <w:rPr>
          <w:lang w:val="en-US"/>
        </w:rPr>
        <w:t xml:space="preserve"> hold point control plan</w:t>
      </w:r>
      <w:r w:rsidR="00963C8F" w:rsidRPr="00DD1B58">
        <w:rPr>
          <w:lang w:val="en-US"/>
        </w:rPr>
        <w:t xml:space="preserve"> if associated with a permissioning activity which is used as an engagement tool with ONR. </w:t>
      </w:r>
      <w:r w:rsidR="00ED125D" w:rsidRPr="00DD1B58">
        <w:rPr>
          <w:lang w:val="en-US"/>
        </w:rPr>
        <w:t xml:space="preserve">Provision of adequate documentation to justify the safety of the proposed modification or experiment and where appropriate, submission of the documentation to ONR and/or </w:t>
      </w:r>
      <w:r w:rsidR="00B16ED4" w:rsidRPr="00DD1B58">
        <w:rPr>
          <w:lang w:val="en-US"/>
        </w:rPr>
        <w:t xml:space="preserve">the </w:t>
      </w:r>
      <w:r w:rsidR="00ED125D" w:rsidRPr="00DD1B58">
        <w:rPr>
          <w:lang w:val="en-US"/>
        </w:rPr>
        <w:t xml:space="preserve">Environment Agency is also required as part of the proposal. </w:t>
      </w:r>
    </w:p>
    <w:p w14:paraId="7153CAE7" w14:textId="3E04C7FB" w:rsidR="00ED125D" w:rsidRPr="00DD1B58" w:rsidRDefault="004668E0" w:rsidP="00ED125D">
      <w:pPr>
        <w:rPr>
          <w:lang w:val="en-US"/>
        </w:rPr>
      </w:pPr>
      <w:r w:rsidRPr="00DD1B58">
        <w:rPr>
          <w:lang w:val="en-US"/>
        </w:rPr>
        <w:t>Sellafield Ltd.</w:t>
      </w:r>
      <w:r w:rsidR="005A6F26" w:rsidRPr="00DD1B58">
        <w:rPr>
          <w:lang w:val="en-US"/>
        </w:rPr>
        <w:t xml:space="preserve"> has a </w:t>
      </w:r>
      <w:r w:rsidR="00ED125D" w:rsidRPr="00DD1B58">
        <w:rPr>
          <w:lang w:val="en-US"/>
        </w:rPr>
        <w:t>process to control any modification or experiment, carried out on any part of an existing plant or process</w:t>
      </w:r>
      <w:r w:rsidR="00B16ED4" w:rsidRPr="00DD1B58">
        <w:rPr>
          <w:lang w:val="en-US"/>
        </w:rPr>
        <w:t>,</w:t>
      </w:r>
      <w:r w:rsidR="00ED125D" w:rsidRPr="00DD1B58">
        <w:rPr>
          <w:lang w:val="en-US"/>
        </w:rPr>
        <w:t xml:space="preserve"> which may affect safety, environmental or COMAH performance </w:t>
      </w:r>
      <w:r w:rsidR="005A6F26" w:rsidRPr="00DD1B58">
        <w:rPr>
          <w:lang w:val="en-US"/>
        </w:rPr>
        <w:t>as part of its</w:t>
      </w:r>
      <w:r w:rsidR="00ED125D" w:rsidRPr="00DD1B58">
        <w:rPr>
          <w:lang w:val="en-US"/>
        </w:rPr>
        <w:t xml:space="preserve"> arrangements under Nuclear Site Licence Condition 22. </w:t>
      </w:r>
    </w:p>
    <w:p w14:paraId="369BE78B" w14:textId="28EF51ED" w:rsidR="00ED125D" w:rsidRPr="00DD1B58" w:rsidRDefault="004668E0" w:rsidP="00ED125D">
      <w:pPr>
        <w:rPr>
          <w:lang w:val="en-US"/>
        </w:rPr>
      </w:pPr>
      <w:r w:rsidRPr="00DD1B58">
        <w:rPr>
          <w:lang w:val="en-US"/>
        </w:rPr>
        <w:t xml:space="preserve">Sellafield Ltd. </w:t>
      </w:r>
      <w:r w:rsidR="005A6F26" w:rsidRPr="00DD1B58">
        <w:rPr>
          <w:lang w:val="en-US"/>
        </w:rPr>
        <w:t>state</w:t>
      </w:r>
      <w:r w:rsidR="00B16ED4" w:rsidRPr="00DD1B58">
        <w:rPr>
          <w:lang w:val="en-US"/>
        </w:rPr>
        <w:t>s</w:t>
      </w:r>
      <w:r w:rsidR="005A6F26" w:rsidRPr="00DD1B58">
        <w:rPr>
          <w:lang w:val="en-US"/>
        </w:rPr>
        <w:t xml:space="preserve"> that application of</w:t>
      </w:r>
      <w:r w:rsidR="00ED125D" w:rsidRPr="00DD1B58">
        <w:rPr>
          <w:lang w:val="en-US"/>
        </w:rPr>
        <w:t xml:space="preserve"> the PMP process ensure</w:t>
      </w:r>
      <w:r w:rsidR="005A6F26" w:rsidRPr="00DD1B58">
        <w:rPr>
          <w:lang w:val="en-US"/>
        </w:rPr>
        <w:t>s</w:t>
      </w:r>
      <w:r w:rsidR="00ED125D" w:rsidRPr="00DD1B58">
        <w:rPr>
          <w:lang w:val="en-US"/>
        </w:rPr>
        <w:t xml:space="preserve"> that:</w:t>
      </w:r>
    </w:p>
    <w:p w14:paraId="160EA16E" w14:textId="220CC315" w:rsidR="00ED125D" w:rsidRPr="00DD1B58" w:rsidRDefault="00ED125D" w:rsidP="00327321">
      <w:pPr>
        <w:pStyle w:val="Bulletlist1"/>
        <w:rPr>
          <w:lang w:val="en-US"/>
        </w:rPr>
      </w:pPr>
      <w:r w:rsidRPr="00DD1B58">
        <w:rPr>
          <w:lang w:val="en-US"/>
        </w:rPr>
        <w:t>The full extent of what is or could be affected by the modification, both during and following its implementation, is identified and adequately considered</w:t>
      </w:r>
      <w:r w:rsidR="00B16ED4" w:rsidRPr="00DD1B58">
        <w:rPr>
          <w:lang w:val="en-US"/>
        </w:rPr>
        <w:t>;</w:t>
      </w:r>
    </w:p>
    <w:p w14:paraId="4A53BBF2" w14:textId="5EA4CE39" w:rsidR="00ED125D" w:rsidRPr="00DD1B58" w:rsidRDefault="00ED125D" w:rsidP="00327321">
      <w:pPr>
        <w:pStyle w:val="Bulletlist1"/>
        <w:rPr>
          <w:lang w:val="en-US"/>
        </w:rPr>
      </w:pPr>
      <w:r w:rsidRPr="00DD1B58">
        <w:rPr>
          <w:lang w:val="en-US"/>
        </w:rPr>
        <w:t>All new and increased risks to safety, the environment and nuclear fire measures are identified, assessed and adequately controlled</w:t>
      </w:r>
      <w:r w:rsidR="00B16ED4" w:rsidRPr="00DD1B58">
        <w:rPr>
          <w:lang w:val="en-US"/>
        </w:rPr>
        <w:t>;</w:t>
      </w:r>
    </w:p>
    <w:p w14:paraId="095E1B98" w14:textId="7110B5B6" w:rsidR="00ED125D" w:rsidRPr="00DD1B58" w:rsidRDefault="00ED125D" w:rsidP="00327321">
      <w:pPr>
        <w:pStyle w:val="Bulletlist1"/>
        <w:rPr>
          <w:lang w:val="en-US"/>
        </w:rPr>
      </w:pPr>
      <w:r w:rsidRPr="00DD1B58">
        <w:rPr>
          <w:lang w:val="en-US"/>
        </w:rPr>
        <w:t xml:space="preserve">Safety, environmental and COMAH classifications are assigned to the modification </w:t>
      </w:r>
      <w:r w:rsidR="00C95AC9" w:rsidRPr="00DD1B58">
        <w:rPr>
          <w:lang w:val="en-US"/>
        </w:rPr>
        <w:t xml:space="preserve">to </w:t>
      </w:r>
      <w:r w:rsidRPr="00DD1B58">
        <w:rPr>
          <w:lang w:val="en-US"/>
        </w:rPr>
        <w:t>reflect its safety significance and ensure it is the subject of adequate scrutiny</w:t>
      </w:r>
      <w:r w:rsidR="00B16ED4" w:rsidRPr="00DD1B58">
        <w:rPr>
          <w:lang w:val="en-US"/>
        </w:rPr>
        <w:t>;</w:t>
      </w:r>
    </w:p>
    <w:p w14:paraId="7A55402D" w14:textId="291803F3" w:rsidR="00ED125D" w:rsidRPr="00DD1B58" w:rsidRDefault="00ED125D" w:rsidP="00327321">
      <w:pPr>
        <w:pStyle w:val="Bulletlist1"/>
        <w:rPr>
          <w:lang w:val="en-US"/>
        </w:rPr>
      </w:pPr>
      <w:r w:rsidRPr="00DD1B58">
        <w:rPr>
          <w:lang w:val="en-US"/>
        </w:rPr>
        <w:t>The correct standards and procedures are applied to any engineering or operational changes</w:t>
      </w:r>
      <w:r w:rsidR="00B16ED4" w:rsidRPr="00DD1B58">
        <w:rPr>
          <w:lang w:val="en-US"/>
        </w:rPr>
        <w:t>;</w:t>
      </w:r>
    </w:p>
    <w:p w14:paraId="338BF3C3" w14:textId="195C4C6F" w:rsidR="00ED125D" w:rsidRPr="00DD1B58" w:rsidRDefault="00ED125D" w:rsidP="00327321">
      <w:pPr>
        <w:pStyle w:val="Bulletlist1"/>
        <w:rPr>
          <w:lang w:val="en-US"/>
        </w:rPr>
      </w:pPr>
      <w:r w:rsidRPr="00DD1B58">
        <w:rPr>
          <w:lang w:val="en-US"/>
        </w:rPr>
        <w:t>The correct standards and procedures are applied to any design changes</w:t>
      </w:r>
      <w:r w:rsidR="00B16ED4" w:rsidRPr="00DD1B58">
        <w:rPr>
          <w:lang w:val="en-US"/>
        </w:rPr>
        <w:t>;</w:t>
      </w:r>
    </w:p>
    <w:p w14:paraId="1B134B98" w14:textId="04ECF8EC" w:rsidR="00ED125D" w:rsidRPr="00DD1B58" w:rsidRDefault="00ED125D" w:rsidP="00327321">
      <w:pPr>
        <w:pStyle w:val="Bulletlist1"/>
        <w:rPr>
          <w:lang w:val="en-US"/>
        </w:rPr>
      </w:pPr>
      <w:r w:rsidRPr="00DD1B58">
        <w:rPr>
          <w:lang w:val="en-US"/>
        </w:rPr>
        <w:t>All requirements to update any records associated with the modification are identified</w:t>
      </w:r>
      <w:r w:rsidR="00B16ED4" w:rsidRPr="00DD1B58">
        <w:rPr>
          <w:lang w:val="en-US"/>
        </w:rPr>
        <w:t>; and</w:t>
      </w:r>
    </w:p>
    <w:p w14:paraId="4E47D232" w14:textId="77777777" w:rsidR="00ED125D" w:rsidRPr="00DD1B58" w:rsidRDefault="00ED125D" w:rsidP="00327321">
      <w:pPr>
        <w:pStyle w:val="Bulletlist1"/>
        <w:rPr>
          <w:lang w:val="en-US"/>
        </w:rPr>
      </w:pPr>
      <w:r w:rsidRPr="00DD1B58">
        <w:rPr>
          <w:lang w:val="en-US"/>
        </w:rPr>
        <w:t>All training and communication requirements associated with the modification are identified.</w:t>
      </w:r>
    </w:p>
    <w:p w14:paraId="3457A90C" w14:textId="41E7EDD4" w:rsidR="00ED125D" w:rsidRPr="00DD1B58" w:rsidRDefault="005A6F26" w:rsidP="00ED125D">
      <w:pPr>
        <w:rPr>
          <w:lang w:val="en-US"/>
        </w:rPr>
      </w:pPr>
      <w:r w:rsidRPr="00DD1B58">
        <w:rPr>
          <w:lang w:val="en-US"/>
        </w:rPr>
        <w:t>Sellafield report</w:t>
      </w:r>
      <w:r w:rsidR="00C95AC9" w:rsidRPr="00DD1B58">
        <w:rPr>
          <w:lang w:val="en-US"/>
        </w:rPr>
        <w:t>s</w:t>
      </w:r>
      <w:r w:rsidRPr="00DD1B58">
        <w:rPr>
          <w:lang w:val="en-US"/>
        </w:rPr>
        <w:t xml:space="preserve"> that a </w:t>
      </w:r>
      <w:r w:rsidR="00ED125D" w:rsidRPr="00DD1B58">
        <w:rPr>
          <w:lang w:val="en-US"/>
        </w:rPr>
        <w:t xml:space="preserve">PMP form is produced to categorise and assess the modifications to identify any nuclear fire requirements to be completed before the modification is instigated. As part of that process and form, the </w:t>
      </w:r>
      <w:r w:rsidR="00C029E5" w:rsidRPr="00DD1B58">
        <w:rPr>
          <w:lang w:val="en-US"/>
        </w:rPr>
        <w:t>PMP author</w:t>
      </w:r>
      <w:r w:rsidRPr="00DD1B58">
        <w:rPr>
          <w:lang w:val="en-US"/>
        </w:rPr>
        <w:t xml:space="preserve"> </w:t>
      </w:r>
      <w:r w:rsidR="00ED125D" w:rsidRPr="00DD1B58">
        <w:rPr>
          <w:lang w:val="en-US"/>
        </w:rPr>
        <w:t xml:space="preserve">in conjunction with the Fire Prevention Advisor and Fire Engineer </w:t>
      </w:r>
      <w:r w:rsidR="00C029E5" w:rsidRPr="00DD1B58">
        <w:rPr>
          <w:lang w:val="en-US"/>
        </w:rPr>
        <w:t xml:space="preserve">identifies </w:t>
      </w:r>
      <w:r w:rsidR="00C95AC9" w:rsidRPr="00DD1B58">
        <w:rPr>
          <w:lang w:val="en-US"/>
        </w:rPr>
        <w:t xml:space="preserve">the </w:t>
      </w:r>
      <w:r w:rsidR="00C029E5" w:rsidRPr="00DD1B58">
        <w:rPr>
          <w:lang w:val="en-US"/>
        </w:rPr>
        <w:t xml:space="preserve">requirement to undertake nuclear fire analysis </w:t>
      </w:r>
      <w:r w:rsidR="00ED125D" w:rsidRPr="00DD1B58">
        <w:rPr>
          <w:lang w:val="en-US"/>
        </w:rPr>
        <w:t>and</w:t>
      </w:r>
      <w:r w:rsidR="00C029E5" w:rsidRPr="00DD1B58">
        <w:rPr>
          <w:lang w:val="en-US"/>
        </w:rPr>
        <w:t>,</w:t>
      </w:r>
      <w:r w:rsidR="00ED125D" w:rsidRPr="00DD1B58">
        <w:rPr>
          <w:lang w:val="en-US"/>
        </w:rPr>
        <w:t xml:space="preserve"> if </w:t>
      </w:r>
      <w:r w:rsidR="00DE1FBA" w:rsidRPr="00DD1B58">
        <w:rPr>
          <w:lang w:val="en-US"/>
        </w:rPr>
        <w:t>necessary</w:t>
      </w:r>
      <w:r w:rsidR="00C029E5" w:rsidRPr="00DD1B58">
        <w:rPr>
          <w:lang w:val="en-US"/>
        </w:rPr>
        <w:t>,</w:t>
      </w:r>
      <w:r w:rsidR="00ED125D" w:rsidRPr="00DD1B58">
        <w:rPr>
          <w:lang w:val="en-US"/>
        </w:rPr>
        <w:t xml:space="preserve"> the nuclear fire assessment is appended to the PMP for approval at the PMP committee and subsequent implementation. </w:t>
      </w:r>
    </w:p>
    <w:p w14:paraId="21FD05E1" w14:textId="486E9BB2" w:rsidR="0072125C" w:rsidRPr="00DD1B58" w:rsidRDefault="00ED125D" w:rsidP="00ED125D">
      <w:pPr>
        <w:rPr>
          <w:lang w:val="en-US"/>
        </w:rPr>
      </w:pPr>
      <w:r w:rsidRPr="00DD1B58">
        <w:rPr>
          <w:lang w:val="en-US"/>
        </w:rPr>
        <w:t xml:space="preserve">In addition, </w:t>
      </w:r>
      <w:r w:rsidR="004668E0" w:rsidRPr="00DD1B58">
        <w:rPr>
          <w:lang w:val="en-US"/>
        </w:rPr>
        <w:t>Sellafield Ltd.</w:t>
      </w:r>
      <w:r w:rsidR="00370272" w:rsidRPr="00DD1B58">
        <w:rPr>
          <w:lang w:val="en-US"/>
        </w:rPr>
        <w:t xml:space="preserve"> undertakes a </w:t>
      </w:r>
      <w:r w:rsidRPr="00DD1B58">
        <w:rPr>
          <w:lang w:val="en-US"/>
        </w:rPr>
        <w:t xml:space="preserve">fire risk assessment of the life safety, property protection, business continuity and environmental fire issues to ensure compliance with fire safety legislation and relevant good practice with respect to assessing, controlling, and managing fire issues holistically. </w:t>
      </w:r>
      <w:r w:rsidR="004668E0" w:rsidRPr="00DD1B58">
        <w:rPr>
          <w:lang w:val="en-US"/>
        </w:rPr>
        <w:t>Sellafield Ltd.</w:t>
      </w:r>
      <w:r w:rsidR="00DE1FBA" w:rsidRPr="00DD1B58">
        <w:rPr>
          <w:lang w:val="en-US"/>
        </w:rPr>
        <w:t xml:space="preserve"> </w:t>
      </w:r>
      <w:r w:rsidR="00370272" w:rsidRPr="00DD1B58">
        <w:rPr>
          <w:lang w:val="en-US"/>
        </w:rPr>
        <w:t>consider</w:t>
      </w:r>
      <w:r w:rsidR="00DE1FBA" w:rsidRPr="00DD1B58">
        <w:rPr>
          <w:lang w:val="en-US"/>
        </w:rPr>
        <w:t>s</w:t>
      </w:r>
      <w:r w:rsidR="00370272" w:rsidRPr="00DD1B58">
        <w:rPr>
          <w:lang w:val="en-US"/>
        </w:rPr>
        <w:t xml:space="preserve"> that this </w:t>
      </w:r>
      <w:r w:rsidRPr="00DD1B58">
        <w:rPr>
          <w:lang w:val="en-US"/>
        </w:rPr>
        <w:t>ultimately provides a defence in depth approach to nuclear fire since well</w:t>
      </w:r>
      <w:r w:rsidR="00DE1FBA" w:rsidRPr="00DD1B58">
        <w:rPr>
          <w:lang w:val="en-US"/>
        </w:rPr>
        <w:t>-</w:t>
      </w:r>
      <w:r w:rsidRPr="00DD1B58">
        <w:rPr>
          <w:lang w:val="en-US"/>
        </w:rPr>
        <w:t xml:space="preserve">controlled and </w:t>
      </w:r>
      <w:r w:rsidR="00DE1FBA" w:rsidRPr="00DD1B58">
        <w:rPr>
          <w:lang w:val="en-US"/>
        </w:rPr>
        <w:t>-</w:t>
      </w:r>
      <w:r w:rsidRPr="00DD1B58">
        <w:rPr>
          <w:lang w:val="en-US"/>
        </w:rPr>
        <w:t xml:space="preserve">managed conventional fire safety issues help reduce the potential for fire to initiate, develop and </w:t>
      </w:r>
      <w:r w:rsidR="00370272" w:rsidRPr="00DD1B58">
        <w:rPr>
          <w:lang w:val="en-US"/>
        </w:rPr>
        <w:t>a</w:t>
      </w:r>
      <w:r w:rsidRPr="00DD1B58">
        <w:rPr>
          <w:lang w:val="en-US"/>
        </w:rPr>
        <w:t>ffect nuclear safety SSCs and inventory where reasonably practicable.</w:t>
      </w:r>
    </w:p>
    <w:p w14:paraId="02D75E63" w14:textId="77777777" w:rsidR="00325B7D" w:rsidRPr="00DD1B58" w:rsidRDefault="00325B7D" w:rsidP="00064A8D">
      <w:pPr>
        <w:pStyle w:val="Heading4"/>
        <w:rPr>
          <w:lang w:val="en-US"/>
        </w:rPr>
      </w:pPr>
      <w:r w:rsidRPr="00DD1B58">
        <w:rPr>
          <w:lang w:val="en-US"/>
        </w:rPr>
        <w:t xml:space="preserve">Licensee’s experience of fire safety analyses </w:t>
      </w:r>
    </w:p>
    <w:p w14:paraId="1B4CA0AF" w14:textId="77777777" w:rsidR="00325B7D" w:rsidRPr="00DD1B58" w:rsidRDefault="00325B7D" w:rsidP="00064A8D">
      <w:pPr>
        <w:pStyle w:val="Heading4"/>
        <w:numPr>
          <w:ilvl w:val="4"/>
          <w:numId w:val="3"/>
        </w:numPr>
        <w:rPr>
          <w:lang w:val="en-US"/>
        </w:rPr>
      </w:pPr>
      <w:r w:rsidRPr="00DD1B58">
        <w:rPr>
          <w:lang w:val="en-US"/>
        </w:rPr>
        <w:t xml:space="preserve">Overview of strengths and weaknesses identified </w:t>
      </w:r>
    </w:p>
    <w:p w14:paraId="65BD0D33" w14:textId="03056345" w:rsidR="002B19F6" w:rsidRPr="00DD1B58" w:rsidRDefault="004668E0" w:rsidP="002B19F6">
      <w:pPr>
        <w:rPr>
          <w:lang w:val="en-US"/>
        </w:rPr>
      </w:pPr>
      <w:r w:rsidRPr="00DD1B58">
        <w:rPr>
          <w:lang w:val="en-US"/>
        </w:rPr>
        <w:t>Sellafield Ltd.</w:t>
      </w:r>
      <w:r w:rsidR="00DC1B73" w:rsidRPr="00DD1B58">
        <w:rPr>
          <w:lang w:val="en-US"/>
        </w:rPr>
        <w:t xml:space="preserve"> </w:t>
      </w:r>
      <w:r w:rsidR="00615249" w:rsidRPr="00DD1B58">
        <w:rPr>
          <w:lang w:val="en-US"/>
        </w:rPr>
        <w:t>state</w:t>
      </w:r>
      <w:r w:rsidR="00DE1FBA" w:rsidRPr="00DD1B58">
        <w:rPr>
          <w:lang w:val="en-US"/>
        </w:rPr>
        <w:t>s</w:t>
      </w:r>
      <w:r w:rsidR="00615249" w:rsidRPr="00DD1B58">
        <w:rPr>
          <w:lang w:val="en-US"/>
        </w:rPr>
        <w:t xml:space="preserve"> that it takes a</w:t>
      </w:r>
      <w:r w:rsidR="00DC1B73" w:rsidRPr="00DD1B58">
        <w:rPr>
          <w:lang w:val="en-US"/>
        </w:rPr>
        <w:t xml:space="preserve"> proactive lead in sharing internal Safety Case Process, Methods and Standards internationally with WANO and</w:t>
      </w:r>
      <w:r w:rsidR="00615249" w:rsidRPr="00DD1B58">
        <w:rPr>
          <w:lang w:val="en-US"/>
        </w:rPr>
        <w:t xml:space="preserve">, </w:t>
      </w:r>
      <w:r w:rsidR="00DC1B73" w:rsidRPr="00DD1B58">
        <w:rPr>
          <w:lang w:val="en-US"/>
        </w:rPr>
        <w:t>within the UK</w:t>
      </w:r>
      <w:r w:rsidR="00615249" w:rsidRPr="00DD1B58">
        <w:rPr>
          <w:lang w:val="en-US"/>
        </w:rPr>
        <w:t>,</w:t>
      </w:r>
      <w:r w:rsidR="00DC1B73" w:rsidRPr="00DD1B58">
        <w:rPr>
          <w:lang w:val="en-US"/>
        </w:rPr>
        <w:t xml:space="preserve"> with NIFSCC members and </w:t>
      </w:r>
      <w:r w:rsidR="00615249" w:rsidRPr="00DD1B58">
        <w:rPr>
          <w:lang w:val="en-US"/>
        </w:rPr>
        <w:t xml:space="preserve">that </w:t>
      </w:r>
      <w:r w:rsidR="00DC1B73" w:rsidRPr="00DD1B58">
        <w:rPr>
          <w:lang w:val="en-US"/>
        </w:rPr>
        <w:t xml:space="preserve">this demonstrates a healthy appetite for learning and sharing good practice and benchmarking with the nuclear industry. This includes (but </w:t>
      </w:r>
      <w:r w:rsidR="00711877" w:rsidRPr="00DD1B58">
        <w:rPr>
          <w:lang w:val="en-US"/>
        </w:rPr>
        <w:t>is</w:t>
      </w:r>
      <w:r w:rsidR="00DC1B73" w:rsidRPr="00DD1B58">
        <w:rPr>
          <w:lang w:val="en-US"/>
        </w:rPr>
        <w:t xml:space="preserve"> not limited to) the Nuclear Fire Hazard Analysis Techniques, combustible fire load management quantification methods and the classification of fire events.</w:t>
      </w:r>
    </w:p>
    <w:p w14:paraId="20B05424" w14:textId="77777777" w:rsidR="00325B7D" w:rsidRPr="00DD1B58" w:rsidRDefault="00325B7D" w:rsidP="00064A8D">
      <w:pPr>
        <w:pStyle w:val="Heading4"/>
        <w:numPr>
          <w:ilvl w:val="4"/>
          <w:numId w:val="3"/>
        </w:numPr>
        <w:rPr>
          <w:lang w:val="en-US"/>
        </w:rPr>
      </w:pPr>
      <w:bookmarkStart w:id="60" w:name="_Ref139553597"/>
      <w:r w:rsidRPr="00DD1B58">
        <w:rPr>
          <w:lang w:val="en-US"/>
        </w:rPr>
        <w:t>Lessons learned from events, reviews, fire safety related missions, etc.</w:t>
      </w:r>
      <w:bookmarkEnd w:id="60"/>
      <w:r w:rsidRPr="00DD1B58">
        <w:rPr>
          <w:lang w:val="en-US"/>
        </w:rPr>
        <w:t xml:space="preserve"> </w:t>
      </w:r>
    </w:p>
    <w:p w14:paraId="2798B129" w14:textId="77777777" w:rsidR="000C6A5C" w:rsidRPr="00DD1B58" w:rsidRDefault="000C6A5C" w:rsidP="008D5FC3">
      <w:pPr>
        <w:rPr>
          <w:b/>
          <w:lang w:val="en-US"/>
        </w:rPr>
      </w:pPr>
      <w:r w:rsidRPr="00DD1B58">
        <w:rPr>
          <w:b/>
          <w:lang w:val="en-US"/>
        </w:rPr>
        <w:t xml:space="preserve">Fire </w:t>
      </w:r>
      <w:r w:rsidR="00722D20" w:rsidRPr="00DD1B58">
        <w:rPr>
          <w:b/>
          <w:lang w:val="en-US"/>
        </w:rPr>
        <w:t>event recording</w:t>
      </w:r>
    </w:p>
    <w:p w14:paraId="21D20E4D" w14:textId="04C63828" w:rsidR="008D5FC3" w:rsidRPr="00DD1B58" w:rsidRDefault="004668E0" w:rsidP="008D5FC3">
      <w:pPr>
        <w:rPr>
          <w:lang w:val="en-US"/>
        </w:rPr>
      </w:pPr>
      <w:r w:rsidRPr="00DD1B58">
        <w:rPr>
          <w:lang w:val="en-US"/>
        </w:rPr>
        <w:t xml:space="preserve">Sellafield Ltd. </w:t>
      </w:r>
      <w:r w:rsidR="008F5B6D" w:rsidRPr="00DD1B58">
        <w:rPr>
          <w:lang w:val="en-US"/>
        </w:rPr>
        <w:t>report</w:t>
      </w:r>
      <w:r w:rsidR="00711877" w:rsidRPr="00DD1B58">
        <w:rPr>
          <w:lang w:val="en-US"/>
        </w:rPr>
        <w:t>s</w:t>
      </w:r>
      <w:r w:rsidR="008F5B6D" w:rsidRPr="00DD1B58">
        <w:rPr>
          <w:lang w:val="en-US"/>
        </w:rPr>
        <w:t xml:space="preserve"> that, fo</w:t>
      </w:r>
      <w:r w:rsidR="008D5FC3" w:rsidRPr="00DD1B58">
        <w:rPr>
          <w:lang w:val="en-US"/>
        </w:rPr>
        <w:t>llowing a fire event on the Sellafield Site</w:t>
      </w:r>
      <w:r w:rsidR="008F5B6D" w:rsidRPr="00DD1B58">
        <w:rPr>
          <w:lang w:val="en-US"/>
        </w:rPr>
        <w:t xml:space="preserve"> and </w:t>
      </w:r>
      <w:r w:rsidR="008D5FC3" w:rsidRPr="00DD1B58">
        <w:rPr>
          <w:lang w:val="en-US"/>
        </w:rPr>
        <w:t xml:space="preserve">depending on the scale of the fire, an investigation may be convened. </w:t>
      </w:r>
      <w:r w:rsidRPr="00DD1B58">
        <w:rPr>
          <w:lang w:val="en-US"/>
        </w:rPr>
        <w:t>Sellafield Ltd.</w:t>
      </w:r>
      <w:r w:rsidR="008F5B6D" w:rsidRPr="00DD1B58">
        <w:rPr>
          <w:lang w:val="en-US"/>
        </w:rPr>
        <w:t xml:space="preserve"> </w:t>
      </w:r>
      <w:r w:rsidR="003E04B6" w:rsidRPr="00DD1B58">
        <w:rPr>
          <w:lang w:val="en-US"/>
        </w:rPr>
        <w:t>report</w:t>
      </w:r>
      <w:r w:rsidR="00711877" w:rsidRPr="00DD1B58">
        <w:rPr>
          <w:lang w:val="en-US"/>
        </w:rPr>
        <w:t>s</w:t>
      </w:r>
      <w:r w:rsidR="008D5FC3" w:rsidRPr="00DD1B58">
        <w:rPr>
          <w:lang w:val="en-US"/>
        </w:rPr>
        <w:t xml:space="preserve"> varying levels of investigation: Basic Cause Investigations, Management Investigations and a Board of Inquiry. </w:t>
      </w:r>
      <w:r w:rsidR="003E04B6" w:rsidRPr="00DD1B58">
        <w:rPr>
          <w:lang w:val="en-US"/>
        </w:rPr>
        <w:t>It also state</w:t>
      </w:r>
      <w:r w:rsidR="00711877" w:rsidRPr="00DD1B58">
        <w:rPr>
          <w:lang w:val="en-US"/>
        </w:rPr>
        <w:t>s</w:t>
      </w:r>
      <w:r w:rsidR="003E04B6" w:rsidRPr="00DD1B58">
        <w:rPr>
          <w:lang w:val="en-US"/>
        </w:rPr>
        <w:t xml:space="preserve"> that c</w:t>
      </w:r>
      <w:r w:rsidR="008D5FC3" w:rsidRPr="00DD1B58">
        <w:rPr>
          <w:lang w:val="en-US"/>
        </w:rPr>
        <w:t>ontractors working on the site convene their own independent investigation. These investigations identify recommendations which are assimilated and addressed in the relevant parts of the company safety management systems.</w:t>
      </w:r>
      <w:r w:rsidR="00711877" w:rsidRPr="00DD1B58">
        <w:rPr>
          <w:lang w:val="en-US"/>
        </w:rPr>
        <w:t xml:space="preserve"> </w:t>
      </w:r>
      <w:r w:rsidR="008D5FC3" w:rsidRPr="00DD1B58">
        <w:rPr>
          <w:lang w:val="en-US"/>
        </w:rPr>
        <w:t xml:space="preserve">Sitewide and individual project bulletins and/or videos are also posted such as </w:t>
      </w:r>
      <w:r w:rsidR="00711877" w:rsidRPr="00DD1B58">
        <w:rPr>
          <w:lang w:val="en-US"/>
        </w:rPr>
        <w:t>t</w:t>
      </w:r>
      <w:r w:rsidR="008D5FC3" w:rsidRPr="00DD1B58">
        <w:rPr>
          <w:lang w:val="en-US"/>
        </w:rPr>
        <w:t>oolbox talks</w:t>
      </w:r>
      <w:r w:rsidR="004B3DD4" w:rsidRPr="00DD1B58">
        <w:rPr>
          <w:lang w:val="en-US"/>
        </w:rPr>
        <w:t>,</w:t>
      </w:r>
      <w:r w:rsidR="008D5FC3" w:rsidRPr="00DD1B58">
        <w:rPr>
          <w:lang w:val="en-US"/>
        </w:rPr>
        <w:t xml:space="preserve"> which share the learning from events and identify the root causes so repeat events can be prevented. This is supplemented by regular fire safety shares at beginning of meetings</w:t>
      </w:r>
      <w:r w:rsidR="004B3DD4" w:rsidRPr="00DD1B58">
        <w:rPr>
          <w:lang w:val="en-US"/>
        </w:rPr>
        <w:t>,</w:t>
      </w:r>
      <w:r w:rsidR="008D5FC3" w:rsidRPr="00DD1B58">
        <w:rPr>
          <w:lang w:val="en-US"/>
        </w:rPr>
        <w:t xml:space="preserve"> for example, within the Safety Case</w:t>
      </w:r>
      <w:r w:rsidR="004B3DD4" w:rsidRPr="00DD1B58">
        <w:rPr>
          <w:lang w:val="en-US"/>
        </w:rPr>
        <w:t xml:space="preserve"> or </w:t>
      </w:r>
      <w:r w:rsidR="008D5FC3" w:rsidRPr="00DD1B58">
        <w:rPr>
          <w:lang w:val="en-US"/>
        </w:rPr>
        <w:t>Fire Professions and on plant.</w:t>
      </w:r>
    </w:p>
    <w:p w14:paraId="127B6223" w14:textId="1488D40F" w:rsidR="008D5FC3" w:rsidRPr="00DD1B58" w:rsidRDefault="00D33E87" w:rsidP="008D5FC3">
      <w:pPr>
        <w:rPr>
          <w:lang w:val="en-US"/>
        </w:rPr>
      </w:pPr>
      <w:r w:rsidRPr="00DD1B58">
        <w:rPr>
          <w:lang w:val="en-US"/>
        </w:rPr>
        <w:t>Sellafield Ltd.’s</w:t>
      </w:r>
      <w:r w:rsidR="008D5FC3" w:rsidRPr="00DD1B58">
        <w:rPr>
          <w:lang w:val="en-US"/>
        </w:rPr>
        <w:t xml:space="preserve"> Fire Engineering provide</w:t>
      </w:r>
      <w:r w:rsidR="00EA0F39" w:rsidRPr="00DD1B58">
        <w:rPr>
          <w:lang w:val="en-US"/>
        </w:rPr>
        <w:t>s</w:t>
      </w:r>
      <w:r w:rsidR="008D5FC3" w:rsidRPr="00DD1B58">
        <w:rPr>
          <w:lang w:val="en-US"/>
        </w:rPr>
        <w:t xml:space="preserve"> regular updates on fire events to the Safety Case Profession and Programme Project Partners (PPP) to ensure learning is shared and enable improvements to be addressed and embedded in new projects, designs, modifications and existing legacy plants</w:t>
      </w:r>
      <w:r w:rsidR="004B3DD4" w:rsidRPr="00DD1B58">
        <w:rPr>
          <w:lang w:val="en-US"/>
        </w:rPr>
        <w:t>,</w:t>
      </w:r>
      <w:r w:rsidR="008D5FC3" w:rsidRPr="00DD1B58">
        <w:rPr>
          <w:lang w:val="en-US"/>
        </w:rPr>
        <w:t xml:space="preserve"> </w:t>
      </w:r>
      <w:r w:rsidR="004B3DD4" w:rsidRPr="00DD1B58">
        <w:rPr>
          <w:lang w:val="en-US"/>
        </w:rPr>
        <w:t xml:space="preserve">thus </w:t>
      </w:r>
      <w:r w:rsidR="008D5FC3" w:rsidRPr="00DD1B58">
        <w:rPr>
          <w:lang w:val="en-US"/>
        </w:rPr>
        <w:t>reduc</w:t>
      </w:r>
      <w:r w:rsidR="004B3DD4" w:rsidRPr="00DD1B58">
        <w:rPr>
          <w:lang w:val="en-US"/>
        </w:rPr>
        <w:t>ing</w:t>
      </w:r>
      <w:r w:rsidR="008D5FC3" w:rsidRPr="00DD1B58">
        <w:rPr>
          <w:lang w:val="en-US"/>
        </w:rPr>
        <w:t xml:space="preserve"> the potential of a reoccurrence of the fire event.</w:t>
      </w:r>
    </w:p>
    <w:p w14:paraId="54FB0BBC" w14:textId="47E3F727" w:rsidR="00DC1B73" w:rsidRPr="00DD1B58" w:rsidRDefault="004668E0" w:rsidP="008D5FC3">
      <w:pPr>
        <w:rPr>
          <w:lang w:val="en-US"/>
        </w:rPr>
      </w:pPr>
      <w:r w:rsidRPr="00DD1B58">
        <w:rPr>
          <w:lang w:val="en-US"/>
        </w:rPr>
        <w:t>Sellafield Ltd.</w:t>
      </w:r>
      <w:r w:rsidR="008D5FC3" w:rsidRPr="00DD1B58">
        <w:rPr>
          <w:lang w:val="en-US"/>
        </w:rPr>
        <w:t xml:space="preserve"> ha</w:t>
      </w:r>
      <w:r w:rsidR="00F03F72" w:rsidRPr="00DD1B58">
        <w:rPr>
          <w:lang w:val="en-US"/>
        </w:rPr>
        <w:t>s</w:t>
      </w:r>
      <w:r w:rsidR="008D5FC3" w:rsidRPr="00DD1B58">
        <w:rPr>
          <w:lang w:val="en-US"/>
        </w:rPr>
        <w:t xml:space="preserve"> access through ONR to the Organisation for Economic Co-operation and Development (OECD) fire event database from nuclear facilities internationally</w:t>
      </w:r>
      <w:r w:rsidR="00095C5C" w:rsidRPr="00DD1B58">
        <w:rPr>
          <w:lang w:val="en-US"/>
        </w:rPr>
        <w:t>,</w:t>
      </w:r>
      <w:r w:rsidR="008D5FC3" w:rsidRPr="00DD1B58">
        <w:rPr>
          <w:lang w:val="en-US"/>
        </w:rPr>
        <w:t xml:space="preserve"> which is utilised as a source of learning to prevent similar fires on the </w:t>
      </w:r>
      <w:r w:rsidR="00AA3ECC" w:rsidRPr="00DD1B58">
        <w:rPr>
          <w:lang w:val="en-US"/>
        </w:rPr>
        <w:t>Sellafield Site</w:t>
      </w:r>
      <w:r w:rsidR="008D5FC3" w:rsidRPr="00DD1B58">
        <w:rPr>
          <w:lang w:val="en-US"/>
        </w:rPr>
        <w:t>.</w:t>
      </w:r>
      <w:r w:rsidR="00095C5C" w:rsidRPr="00DD1B58">
        <w:rPr>
          <w:lang w:val="en-US"/>
        </w:rPr>
        <w:t xml:space="preserve"> </w:t>
      </w:r>
      <w:r w:rsidR="008D5FC3" w:rsidRPr="00DD1B58">
        <w:rPr>
          <w:lang w:val="en-US"/>
        </w:rPr>
        <w:t xml:space="preserve">In addition, </w:t>
      </w:r>
      <w:r w:rsidRPr="00DD1B58">
        <w:rPr>
          <w:lang w:val="en-US"/>
        </w:rPr>
        <w:t xml:space="preserve">Sellafield Ltd. </w:t>
      </w:r>
      <w:r w:rsidR="00F03F72" w:rsidRPr="00DD1B58">
        <w:rPr>
          <w:lang w:val="en-US"/>
        </w:rPr>
        <w:t xml:space="preserve">is a </w:t>
      </w:r>
      <w:r w:rsidR="008D5FC3" w:rsidRPr="00DD1B58">
        <w:rPr>
          <w:lang w:val="en-US"/>
        </w:rPr>
        <w:t xml:space="preserve">member of </w:t>
      </w:r>
      <w:r w:rsidR="00095C5C" w:rsidRPr="00DD1B58">
        <w:rPr>
          <w:lang w:val="en-US"/>
        </w:rPr>
        <w:t>NIFSCC. L</w:t>
      </w:r>
      <w:r w:rsidR="008D5FC3" w:rsidRPr="00DD1B58">
        <w:rPr>
          <w:lang w:val="en-US"/>
        </w:rPr>
        <w:t>earning is briefed out at site and project levels to embed any learning within new projects or existing facilities as appropriate.</w:t>
      </w:r>
    </w:p>
    <w:p w14:paraId="3DFE1C97" w14:textId="6B21FA8B" w:rsidR="00D06147" w:rsidRPr="00DD1B58" w:rsidRDefault="004668E0" w:rsidP="00D06147">
      <w:pPr>
        <w:rPr>
          <w:lang w:val="en-US"/>
        </w:rPr>
      </w:pPr>
      <w:r w:rsidRPr="00DD1B58">
        <w:rPr>
          <w:lang w:val="en-US"/>
        </w:rPr>
        <w:t>Sellafield Ltd.</w:t>
      </w:r>
      <w:r w:rsidR="00095C5C" w:rsidRPr="00DD1B58">
        <w:rPr>
          <w:lang w:val="en-US"/>
        </w:rPr>
        <w:t xml:space="preserve"> records f</w:t>
      </w:r>
      <w:r w:rsidR="00D06147" w:rsidRPr="00DD1B58">
        <w:rPr>
          <w:lang w:val="en-US"/>
        </w:rPr>
        <w:t>ire events on the ATLAS (Analysing, Trending, Learning And Safety) system where the plant raise a condition report to capture the fire event. If SF&amp;RS respond to the fire, they also raise a condition report. The condition report is coded by the Performance Improvement team using guidance provided by Fire Protection in terms of fire classification. The classification of fires has been produced and shared with</w:t>
      </w:r>
      <w:r w:rsidR="00FB4715" w:rsidRPr="00DD1B58">
        <w:rPr>
          <w:lang w:val="en-US"/>
        </w:rPr>
        <w:t xml:space="preserve"> the NIFSCC </w:t>
      </w:r>
      <w:r w:rsidR="00D06147" w:rsidRPr="00DD1B58">
        <w:rPr>
          <w:lang w:val="en-US"/>
        </w:rPr>
        <w:t xml:space="preserve">where other nuclear licensees adopt the same classifications of </w:t>
      </w:r>
      <w:r w:rsidR="005A3E85" w:rsidRPr="00DD1B58">
        <w:rPr>
          <w:lang w:val="en-US"/>
        </w:rPr>
        <w:t xml:space="preserve">Major, Notable, Minor and </w:t>
      </w:r>
      <w:r w:rsidR="00D06147" w:rsidRPr="00DD1B58">
        <w:rPr>
          <w:lang w:val="en-US"/>
        </w:rPr>
        <w:t>Smouldering</w:t>
      </w:r>
      <w:r w:rsidR="005A3E85" w:rsidRPr="00DD1B58">
        <w:rPr>
          <w:lang w:val="en-US"/>
        </w:rPr>
        <w:t xml:space="preserve"> </w:t>
      </w:r>
      <w:r w:rsidR="00FB4715" w:rsidRPr="00DD1B58">
        <w:rPr>
          <w:lang w:val="en-US"/>
        </w:rPr>
        <w:t>fires.</w:t>
      </w:r>
      <w:r w:rsidR="00D06147" w:rsidRPr="00DD1B58">
        <w:rPr>
          <w:lang w:val="en-US"/>
        </w:rPr>
        <w:t xml:space="preserve"> </w:t>
      </w:r>
      <w:r w:rsidR="00FB4715" w:rsidRPr="00DD1B58">
        <w:rPr>
          <w:lang w:val="en-US"/>
        </w:rPr>
        <w:t xml:space="preserve">The </w:t>
      </w:r>
      <w:r w:rsidR="00D06147" w:rsidRPr="00DD1B58">
        <w:rPr>
          <w:lang w:val="en-US"/>
        </w:rPr>
        <w:t>classification has been shared with</w:t>
      </w:r>
      <w:r w:rsidR="00FB4715" w:rsidRPr="00DD1B58">
        <w:rPr>
          <w:lang w:val="en-US"/>
        </w:rPr>
        <w:t xml:space="preserve"> WANO.</w:t>
      </w:r>
      <w:r w:rsidR="009A6078" w:rsidRPr="00DD1B58">
        <w:rPr>
          <w:lang w:val="en-US"/>
        </w:rPr>
        <w:t xml:space="preserve"> </w:t>
      </w:r>
      <w:r w:rsidRPr="00DD1B58">
        <w:rPr>
          <w:lang w:val="en-US"/>
        </w:rPr>
        <w:t>Sellafield Ltd.</w:t>
      </w:r>
      <w:r w:rsidR="009A6078" w:rsidRPr="00DD1B58">
        <w:rPr>
          <w:lang w:val="en-US"/>
        </w:rPr>
        <w:t xml:space="preserve"> </w:t>
      </w:r>
      <w:r w:rsidR="006D798B" w:rsidRPr="00DD1B58">
        <w:rPr>
          <w:lang w:val="en-US"/>
        </w:rPr>
        <w:t>reports that</w:t>
      </w:r>
      <w:r w:rsidR="009A6078" w:rsidRPr="00DD1B58">
        <w:rPr>
          <w:lang w:val="en-US"/>
        </w:rPr>
        <w:t xml:space="preserve"> c</w:t>
      </w:r>
      <w:r w:rsidR="00D06147" w:rsidRPr="00DD1B58">
        <w:rPr>
          <w:lang w:val="en-US"/>
        </w:rPr>
        <w:t xml:space="preserve">ondition reports with </w:t>
      </w:r>
      <w:r w:rsidR="009A6078" w:rsidRPr="00DD1B58">
        <w:rPr>
          <w:lang w:val="en-US"/>
        </w:rPr>
        <w:t xml:space="preserve">a </w:t>
      </w:r>
      <w:r w:rsidR="00D06147" w:rsidRPr="00DD1B58">
        <w:rPr>
          <w:lang w:val="en-US"/>
        </w:rPr>
        <w:t xml:space="preserve">Fire Protection code are reviewed periodically by the Fire Protection team to identify potential trends. Prior to this classification system, fire events were recorded on the Firecall database which was managed by SF&amp;RS. </w:t>
      </w:r>
    </w:p>
    <w:p w14:paraId="589B98E8" w14:textId="327CD18E" w:rsidR="00D06147" w:rsidRPr="00DD1B58" w:rsidRDefault="004668E0" w:rsidP="00D06147">
      <w:pPr>
        <w:rPr>
          <w:lang w:val="en-US"/>
        </w:rPr>
      </w:pPr>
      <w:r w:rsidRPr="00DD1B58">
        <w:rPr>
          <w:lang w:val="en-US"/>
        </w:rPr>
        <w:t xml:space="preserve">Sellafield Ltd. </w:t>
      </w:r>
      <w:r w:rsidR="009A6078" w:rsidRPr="00DD1B58">
        <w:rPr>
          <w:lang w:val="en-US"/>
        </w:rPr>
        <w:t>fire c</w:t>
      </w:r>
      <w:r w:rsidR="00D06147" w:rsidRPr="00DD1B58">
        <w:rPr>
          <w:lang w:val="en-US"/>
        </w:rPr>
        <w:t>ategorisation criteria</w:t>
      </w:r>
      <w:r w:rsidR="009A6078" w:rsidRPr="00DD1B58">
        <w:rPr>
          <w:lang w:val="en-US"/>
        </w:rPr>
        <w:t xml:space="preserve"> are as follow</w:t>
      </w:r>
      <w:r w:rsidR="005A3E85" w:rsidRPr="00DD1B58">
        <w:rPr>
          <w:lang w:val="en-US"/>
        </w:rPr>
        <w:t>s:</w:t>
      </w:r>
    </w:p>
    <w:p w14:paraId="6445E421" w14:textId="0A15E917" w:rsidR="00D06147" w:rsidRPr="00DD1B58" w:rsidRDefault="00D06147" w:rsidP="00327321">
      <w:pPr>
        <w:pStyle w:val="Bulletlist1"/>
        <w:rPr>
          <w:lang w:val="en-US"/>
        </w:rPr>
      </w:pPr>
      <w:r w:rsidRPr="00DD1B58">
        <w:rPr>
          <w:b/>
          <w:lang w:val="en-US"/>
        </w:rPr>
        <w:t>Major Fire</w:t>
      </w:r>
      <w:r w:rsidR="005A3E85" w:rsidRPr="00DD1B58">
        <w:rPr>
          <w:b/>
          <w:lang w:val="en-US"/>
        </w:rPr>
        <w:t>:</w:t>
      </w:r>
      <w:r w:rsidRPr="00DD1B58">
        <w:rPr>
          <w:lang w:val="en-US"/>
        </w:rPr>
        <w:t xml:space="preserve"> </w:t>
      </w:r>
      <w:r w:rsidR="005A3E85" w:rsidRPr="00DD1B58">
        <w:rPr>
          <w:lang w:val="en-US"/>
        </w:rPr>
        <w:t>A</w:t>
      </w:r>
      <w:r w:rsidRPr="00DD1B58">
        <w:rPr>
          <w:lang w:val="en-US"/>
        </w:rPr>
        <w:t>nything in the below categories plus fatality, significant loss of production/plant shutdown or property loss of over £2.5m</w:t>
      </w:r>
      <w:r w:rsidR="005A3E85" w:rsidRPr="00DD1B58">
        <w:rPr>
          <w:lang w:val="en-US"/>
        </w:rPr>
        <w:t>;</w:t>
      </w:r>
    </w:p>
    <w:p w14:paraId="684DBCBF" w14:textId="7D144248" w:rsidR="00D06147" w:rsidRPr="00DD1B58" w:rsidRDefault="00D06147" w:rsidP="00327321">
      <w:pPr>
        <w:pStyle w:val="Bulletlist1"/>
        <w:rPr>
          <w:lang w:val="en-US"/>
        </w:rPr>
      </w:pPr>
      <w:r w:rsidRPr="00DD1B58">
        <w:rPr>
          <w:b/>
          <w:lang w:val="en-US"/>
        </w:rPr>
        <w:t>Notable Fire</w:t>
      </w:r>
      <w:r w:rsidR="005A3E85" w:rsidRPr="00DD1B58">
        <w:rPr>
          <w:b/>
          <w:lang w:val="en-US"/>
        </w:rPr>
        <w:t>:</w:t>
      </w:r>
      <w:r w:rsidRPr="00DD1B58">
        <w:rPr>
          <w:lang w:val="en-US"/>
        </w:rPr>
        <w:t xml:space="preserve"> Extinguishment from </w:t>
      </w:r>
      <w:r w:rsidR="005A3E85" w:rsidRPr="00DD1B58">
        <w:rPr>
          <w:lang w:val="en-US"/>
        </w:rPr>
        <w:t>two</w:t>
      </w:r>
      <w:r w:rsidRPr="00DD1B58">
        <w:rPr>
          <w:lang w:val="en-US"/>
        </w:rPr>
        <w:t xml:space="preserve"> or more handheld extinguishers, portable foam system, fixed fire suppression system or hoses ran from fire hydrant system</w:t>
      </w:r>
      <w:r w:rsidR="005A3E85" w:rsidRPr="00DD1B58">
        <w:rPr>
          <w:lang w:val="en-US"/>
        </w:rPr>
        <w:t>; and,</w:t>
      </w:r>
      <w:r w:rsidRPr="00DD1B58">
        <w:rPr>
          <w:lang w:val="en-US"/>
        </w:rPr>
        <w:t xml:space="preserve"> fire spread beyond first item of ignition, caused long-term unavailability of plant and equipment, triggered a</w:t>
      </w:r>
      <w:r w:rsidR="00940D2A" w:rsidRPr="00DD1B58">
        <w:rPr>
          <w:lang w:val="en-US"/>
        </w:rPr>
        <w:t xml:space="preserve"> </w:t>
      </w:r>
      <w:r w:rsidRPr="00DD1B58">
        <w:rPr>
          <w:lang w:val="en-US"/>
        </w:rPr>
        <w:t xml:space="preserve">Reporting of Injuries, Diseases and Dangerous Occurrences Regulations (RIDDOR) Dangerous Occurrence or reportable injury, </w:t>
      </w:r>
      <w:r w:rsidR="005A3E85" w:rsidRPr="00DD1B58">
        <w:rPr>
          <w:lang w:val="en-US"/>
        </w:rPr>
        <w:t xml:space="preserve">caused </w:t>
      </w:r>
      <w:r w:rsidRPr="00DD1B58">
        <w:rPr>
          <w:lang w:val="en-US"/>
        </w:rPr>
        <w:t xml:space="preserve">significant distraction to safe operation or </w:t>
      </w:r>
      <w:r w:rsidR="005A3E85" w:rsidRPr="00DD1B58">
        <w:rPr>
          <w:lang w:val="en-US"/>
        </w:rPr>
        <w:t xml:space="preserve">caused </w:t>
      </w:r>
      <w:r w:rsidRPr="00DD1B58">
        <w:rPr>
          <w:lang w:val="en-US"/>
        </w:rPr>
        <w:t>spread of contamination and/or nuclear fire</w:t>
      </w:r>
      <w:r w:rsidR="005A3E85" w:rsidRPr="00DD1B58">
        <w:rPr>
          <w:lang w:val="en-US"/>
        </w:rPr>
        <w:t>;</w:t>
      </w:r>
    </w:p>
    <w:p w14:paraId="094EE7C5" w14:textId="5F9F6EB9" w:rsidR="00D06147" w:rsidRPr="00DD1B58" w:rsidRDefault="00D06147" w:rsidP="00327321">
      <w:pPr>
        <w:pStyle w:val="Bulletlist1"/>
        <w:rPr>
          <w:lang w:val="en-US"/>
        </w:rPr>
      </w:pPr>
      <w:r w:rsidRPr="00DD1B58">
        <w:rPr>
          <w:b/>
          <w:lang w:val="en-US"/>
        </w:rPr>
        <w:t>Minor Fire</w:t>
      </w:r>
      <w:r w:rsidR="005A3E85" w:rsidRPr="00DD1B58">
        <w:rPr>
          <w:b/>
          <w:bCs/>
          <w:lang w:val="en-US"/>
        </w:rPr>
        <w:t>:</w:t>
      </w:r>
      <w:r w:rsidRPr="00DD1B58">
        <w:rPr>
          <w:lang w:val="en-US"/>
        </w:rPr>
        <w:t xml:space="preserve"> Sustained flame where one extinguisher is used, or power isolated manually or undetected fire which has spread beyond first item of ignition but has self-extinguished</w:t>
      </w:r>
      <w:r w:rsidR="005A3E85" w:rsidRPr="00DD1B58">
        <w:rPr>
          <w:lang w:val="en-US"/>
        </w:rPr>
        <w:t>; and</w:t>
      </w:r>
    </w:p>
    <w:p w14:paraId="331E3820" w14:textId="7FD7B6C8" w:rsidR="00D06147" w:rsidRPr="00DD1B58" w:rsidRDefault="00D06147" w:rsidP="00327321">
      <w:pPr>
        <w:pStyle w:val="Bulletlist1"/>
        <w:rPr>
          <w:lang w:val="en-US"/>
        </w:rPr>
      </w:pPr>
      <w:r w:rsidRPr="00DD1B58">
        <w:rPr>
          <w:b/>
          <w:lang w:val="en-US"/>
        </w:rPr>
        <w:t>Smouldering Fire</w:t>
      </w:r>
      <w:r w:rsidR="005A3E85" w:rsidRPr="00DD1B58">
        <w:rPr>
          <w:b/>
          <w:lang w:val="en-US"/>
        </w:rPr>
        <w:t>:</w:t>
      </w:r>
      <w:r w:rsidRPr="00DD1B58">
        <w:rPr>
          <w:lang w:val="en-US"/>
        </w:rPr>
        <w:t xml:space="preserve"> No sustained flames where action has been taken</w:t>
      </w:r>
      <w:r w:rsidR="005A3E85" w:rsidRPr="00DD1B58">
        <w:rPr>
          <w:lang w:val="en-US"/>
        </w:rPr>
        <w:t>,</w:t>
      </w:r>
      <w:r w:rsidRPr="00DD1B58">
        <w:rPr>
          <w:lang w:val="en-US"/>
        </w:rPr>
        <w:t xml:space="preserve"> </w:t>
      </w:r>
      <w:r w:rsidR="005A3E85" w:rsidRPr="00DD1B58">
        <w:rPr>
          <w:lang w:val="en-US"/>
        </w:rPr>
        <w:t>i</w:t>
      </w:r>
      <w:r w:rsidRPr="00DD1B58">
        <w:rPr>
          <w:lang w:val="en-US"/>
        </w:rPr>
        <w:t>tems overheating or smoking</w:t>
      </w:r>
      <w:r w:rsidR="005A3E85" w:rsidRPr="00DD1B58">
        <w:rPr>
          <w:lang w:val="en-US"/>
        </w:rPr>
        <w:t>, fi</w:t>
      </w:r>
      <w:r w:rsidRPr="00DD1B58">
        <w:rPr>
          <w:lang w:val="en-US"/>
        </w:rPr>
        <w:t>re has not spread beyond first point of ignition and has self-extinguished</w:t>
      </w:r>
      <w:r w:rsidR="005A3E85" w:rsidRPr="00DD1B58">
        <w:rPr>
          <w:lang w:val="en-US"/>
        </w:rPr>
        <w:t>, m</w:t>
      </w:r>
      <w:r w:rsidRPr="00DD1B58">
        <w:rPr>
          <w:lang w:val="en-US"/>
        </w:rPr>
        <w:t>anual call points or fire alarm and detection systems have been triggered.</w:t>
      </w:r>
    </w:p>
    <w:p w14:paraId="295BE903" w14:textId="77777777" w:rsidR="000C6A5C" w:rsidRPr="00DD1B58" w:rsidRDefault="004539EA" w:rsidP="000C6A5C">
      <w:pPr>
        <w:pStyle w:val="Bulletlist1"/>
        <w:numPr>
          <w:ilvl w:val="0"/>
          <w:numId w:val="0"/>
        </w:numPr>
        <w:ind w:left="360" w:hanging="360"/>
        <w:rPr>
          <w:b/>
          <w:lang w:val="en-US"/>
        </w:rPr>
      </w:pPr>
      <w:r w:rsidRPr="00DD1B58">
        <w:rPr>
          <w:b/>
          <w:lang w:val="en-US"/>
        </w:rPr>
        <w:t>Fire events</w:t>
      </w:r>
    </w:p>
    <w:p w14:paraId="4606D335" w14:textId="0342C7C5" w:rsidR="00A812A5" w:rsidRPr="00DD1B58" w:rsidRDefault="00A812A5" w:rsidP="00A812A5">
      <w:pPr>
        <w:rPr>
          <w:lang w:val="en-US"/>
        </w:rPr>
      </w:pPr>
      <w:r w:rsidRPr="00DD1B58">
        <w:rPr>
          <w:lang w:val="en-US"/>
        </w:rPr>
        <w:t xml:space="preserve">Since </w:t>
      </w:r>
      <w:r w:rsidR="004668E0" w:rsidRPr="00DD1B58">
        <w:rPr>
          <w:lang w:val="en-US"/>
        </w:rPr>
        <w:t>Sellafield Ltd.</w:t>
      </w:r>
      <w:r w:rsidR="009A6078" w:rsidRPr="00DD1B58">
        <w:rPr>
          <w:lang w:val="en-US"/>
        </w:rPr>
        <w:t xml:space="preserve"> adopted the above </w:t>
      </w:r>
      <w:r w:rsidRPr="00DD1B58">
        <w:rPr>
          <w:lang w:val="en-US"/>
        </w:rPr>
        <w:t xml:space="preserve">classification </w:t>
      </w:r>
      <w:r w:rsidR="009A6078" w:rsidRPr="00DD1B58">
        <w:rPr>
          <w:lang w:val="en-US"/>
        </w:rPr>
        <w:t>criteria</w:t>
      </w:r>
      <w:r w:rsidRPr="00DD1B58">
        <w:rPr>
          <w:lang w:val="en-US"/>
        </w:rPr>
        <w:t xml:space="preserve"> in 2018, there have been no recordable fires in Waste Vitrification Plants, Encapsulation Plants, Sellafield Product </w:t>
      </w:r>
      <w:r w:rsidR="0091389C" w:rsidRPr="00DD1B58">
        <w:rPr>
          <w:lang w:val="en-US"/>
        </w:rPr>
        <w:t>and Residue</w:t>
      </w:r>
      <w:r w:rsidRPr="00DD1B58">
        <w:rPr>
          <w:lang w:val="en-US"/>
        </w:rPr>
        <w:t xml:space="preserve"> Store</w:t>
      </w:r>
      <w:r w:rsidR="006428CB" w:rsidRPr="00DD1B58">
        <w:rPr>
          <w:lang w:val="en-US"/>
        </w:rPr>
        <w:t xml:space="preserve"> or </w:t>
      </w:r>
      <w:r w:rsidRPr="00DD1B58">
        <w:rPr>
          <w:lang w:val="en-US"/>
        </w:rPr>
        <w:t>BEPPS</w:t>
      </w:r>
      <w:r w:rsidR="006428CB" w:rsidRPr="00DD1B58">
        <w:rPr>
          <w:lang w:val="en-US"/>
        </w:rPr>
        <w:t>-</w:t>
      </w:r>
      <w:r w:rsidRPr="00DD1B58">
        <w:rPr>
          <w:lang w:val="en-US"/>
        </w:rPr>
        <w:t xml:space="preserve">DIF nuclear </w:t>
      </w:r>
      <w:r w:rsidR="0091389C" w:rsidRPr="00DD1B58">
        <w:rPr>
          <w:lang w:val="en-US"/>
        </w:rPr>
        <w:t>facilities</w:t>
      </w:r>
      <w:r w:rsidRPr="00DD1B58">
        <w:rPr>
          <w:lang w:val="en-US"/>
        </w:rPr>
        <w:t xml:space="preserve">. </w:t>
      </w:r>
    </w:p>
    <w:p w14:paraId="0EE17E29" w14:textId="61CA5625" w:rsidR="00A812A5" w:rsidRPr="00DD1B58" w:rsidRDefault="00AD2CE3" w:rsidP="00A812A5">
      <w:pPr>
        <w:rPr>
          <w:lang w:val="en-US"/>
        </w:rPr>
      </w:pPr>
      <w:r w:rsidRPr="00DD1B58">
        <w:rPr>
          <w:lang w:val="en-US"/>
        </w:rPr>
        <w:t>Sellafield report</w:t>
      </w:r>
      <w:r w:rsidR="005A50FE" w:rsidRPr="00DD1B58">
        <w:rPr>
          <w:lang w:val="en-US"/>
        </w:rPr>
        <w:t>s</w:t>
      </w:r>
      <w:r w:rsidRPr="00DD1B58">
        <w:rPr>
          <w:lang w:val="en-US"/>
        </w:rPr>
        <w:t xml:space="preserve"> that M</w:t>
      </w:r>
      <w:r w:rsidR="00A812A5" w:rsidRPr="00DD1B58">
        <w:rPr>
          <w:lang w:val="en-US"/>
        </w:rPr>
        <w:t xml:space="preserve">agnox Reprocessing had a notable fire in one of the adjacent facilities within a higher contaminated area in 2021. The fire did not have any significant nuclear or radiological consequences and no personnel were injured. The fire began in an electrical light fitting </w:t>
      </w:r>
      <w:r w:rsidR="00AB1810" w:rsidRPr="00DD1B58">
        <w:rPr>
          <w:lang w:val="en-US"/>
        </w:rPr>
        <w:t xml:space="preserve">which </w:t>
      </w:r>
      <w:r w:rsidR="00A812A5" w:rsidRPr="00DD1B58">
        <w:rPr>
          <w:lang w:val="en-US"/>
        </w:rPr>
        <w:t xml:space="preserve">ignited some combustible scaffolding boards and sheeting in the local area. It was extinguished by the SF&amp;RS. </w:t>
      </w:r>
      <w:r w:rsidR="004668E0" w:rsidRPr="00DD1B58">
        <w:rPr>
          <w:lang w:val="en-US"/>
        </w:rPr>
        <w:t>Sellafield Ltd.</w:t>
      </w:r>
      <w:r w:rsidR="00F72EAC" w:rsidRPr="00DD1B58">
        <w:rPr>
          <w:lang w:val="en-US"/>
        </w:rPr>
        <w:t xml:space="preserve"> undertook an </w:t>
      </w:r>
      <w:r w:rsidR="00A812A5" w:rsidRPr="00DD1B58">
        <w:rPr>
          <w:lang w:val="en-US"/>
        </w:rPr>
        <w:t xml:space="preserve">investigation and learning </w:t>
      </w:r>
      <w:r w:rsidR="00F72EAC" w:rsidRPr="00DD1B58">
        <w:rPr>
          <w:lang w:val="en-US"/>
        </w:rPr>
        <w:t xml:space="preserve">was </w:t>
      </w:r>
      <w:r w:rsidR="00A812A5" w:rsidRPr="00DD1B58">
        <w:rPr>
          <w:lang w:val="en-US"/>
        </w:rPr>
        <w:t>implemented across site</w:t>
      </w:r>
      <w:r w:rsidR="002E5532" w:rsidRPr="00DD1B58">
        <w:rPr>
          <w:lang w:val="en-US"/>
        </w:rPr>
        <w:t>,</w:t>
      </w:r>
      <w:r w:rsidR="00A812A5" w:rsidRPr="00DD1B58">
        <w:rPr>
          <w:lang w:val="en-US"/>
        </w:rPr>
        <w:t xml:space="preserve"> resulting in changes to fire policy for use of combustible scaffolding boards and a programme of work to replace fluorescent tube lighting across site in line with the European Directive</w:t>
      </w:r>
      <w:r w:rsidR="00321157" w:rsidRPr="00DD1B58">
        <w:rPr>
          <w:lang w:val="en-US"/>
        </w:rPr>
        <w:t xml:space="preserve"> </w:t>
      </w:r>
      <w:sdt>
        <w:sdtPr>
          <w:rPr>
            <w:lang w:val="en-US"/>
          </w:rPr>
          <w:id w:val="-991790350"/>
          <w:citation/>
        </w:sdtPr>
        <w:sdtContent>
          <w:r w:rsidR="00321157" w:rsidRPr="00DD1B58">
            <w:rPr>
              <w:lang w:val="en-US"/>
            </w:rPr>
            <w:fldChar w:fldCharType="begin"/>
          </w:r>
          <w:r w:rsidR="005B050F" w:rsidRPr="00DD1B58">
            <w:rPr>
              <w:lang w:val="en-US"/>
            </w:rPr>
            <w:instrText xml:space="preserve">CITATION HMG12 \l 2057 </w:instrText>
          </w:r>
          <w:r w:rsidR="00321157" w:rsidRPr="00DD1B58">
            <w:rPr>
              <w:lang w:val="en-US"/>
            </w:rPr>
            <w:fldChar w:fldCharType="separate"/>
          </w:r>
          <w:r w:rsidR="00DF47DA" w:rsidRPr="00DF47DA">
            <w:rPr>
              <w:noProof/>
              <w:lang w:val="en-US"/>
            </w:rPr>
            <w:t>[116]</w:t>
          </w:r>
          <w:r w:rsidR="00321157" w:rsidRPr="00DD1B58">
            <w:rPr>
              <w:lang w:val="en-US"/>
            </w:rPr>
            <w:fldChar w:fldCharType="end"/>
          </w:r>
        </w:sdtContent>
      </w:sdt>
      <w:r w:rsidR="00A812A5" w:rsidRPr="00DD1B58">
        <w:rPr>
          <w:lang w:val="en-US"/>
        </w:rPr>
        <w:t xml:space="preserve">. Magnox Reprocessing </w:t>
      </w:r>
      <w:r w:rsidR="002E5532" w:rsidRPr="00DD1B58">
        <w:rPr>
          <w:lang w:val="en-US"/>
        </w:rPr>
        <w:t xml:space="preserve">also </w:t>
      </w:r>
      <w:r w:rsidR="00A812A5" w:rsidRPr="00DD1B58">
        <w:rPr>
          <w:lang w:val="en-US"/>
        </w:rPr>
        <w:t>had a small fire in 2022 where a computer screen was found to have small flames and smoke emissions</w:t>
      </w:r>
      <w:r w:rsidR="002E5532" w:rsidRPr="00DD1B58">
        <w:rPr>
          <w:lang w:val="en-US"/>
        </w:rPr>
        <w:t>;</w:t>
      </w:r>
      <w:r w:rsidR="00A812A5" w:rsidRPr="00DD1B58">
        <w:rPr>
          <w:lang w:val="en-US"/>
        </w:rPr>
        <w:t xml:space="preserve"> </w:t>
      </w:r>
      <w:r w:rsidR="002E5532" w:rsidRPr="00DD1B58">
        <w:rPr>
          <w:lang w:val="en-US"/>
        </w:rPr>
        <w:t>this</w:t>
      </w:r>
      <w:r w:rsidR="00A812A5" w:rsidRPr="00DD1B58">
        <w:rPr>
          <w:lang w:val="en-US"/>
        </w:rPr>
        <w:t xml:space="preserve"> was locally extinguished. In both cases, the fire did not have any consequences beyond the immediate damage, and there was no nuclear or radiological consequence.</w:t>
      </w:r>
      <w:r w:rsidR="00940D2A" w:rsidRPr="00DD1B58">
        <w:rPr>
          <w:lang w:val="en-US"/>
        </w:rPr>
        <w:t xml:space="preserve"> </w:t>
      </w:r>
    </w:p>
    <w:p w14:paraId="7BB19F91" w14:textId="6D4AA506" w:rsidR="004539EA" w:rsidRPr="00DD1B58" w:rsidRDefault="004668E0" w:rsidP="00A812A5">
      <w:pPr>
        <w:rPr>
          <w:lang w:val="en-US"/>
        </w:rPr>
      </w:pPr>
      <w:r w:rsidRPr="00DD1B58">
        <w:rPr>
          <w:lang w:val="en-US"/>
        </w:rPr>
        <w:t>Sellafield Ltd.</w:t>
      </w:r>
      <w:r w:rsidR="003754AA" w:rsidRPr="00DD1B58">
        <w:rPr>
          <w:lang w:val="en-US"/>
        </w:rPr>
        <w:t xml:space="preserve"> report</w:t>
      </w:r>
      <w:r w:rsidR="005A50FE" w:rsidRPr="00DD1B58">
        <w:rPr>
          <w:lang w:val="en-US"/>
        </w:rPr>
        <w:t>s</w:t>
      </w:r>
      <w:r w:rsidR="003754AA" w:rsidRPr="00DD1B58">
        <w:rPr>
          <w:lang w:val="en-US"/>
        </w:rPr>
        <w:t xml:space="preserve"> that there </w:t>
      </w:r>
      <w:r w:rsidR="00A812A5" w:rsidRPr="00DD1B58">
        <w:rPr>
          <w:lang w:val="en-US"/>
        </w:rPr>
        <w:t xml:space="preserve">have been several small fires in the facilities over the years that have been attributed to Uninterruptible Power Supplies (UPS) panels burning out, minor fires from hot work and overheating equipment. If using the classification retrospectively, </w:t>
      </w:r>
      <w:r w:rsidRPr="00DD1B58">
        <w:rPr>
          <w:lang w:val="en-US"/>
        </w:rPr>
        <w:t xml:space="preserve">Sellafield Ltd. </w:t>
      </w:r>
      <w:r w:rsidR="003754AA" w:rsidRPr="00DD1B58">
        <w:rPr>
          <w:lang w:val="en-US"/>
        </w:rPr>
        <w:t xml:space="preserve">considered that </w:t>
      </w:r>
      <w:r w:rsidR="00A812A5" w:rsidRPr="00DD1B58">
        <w:rPr>
          <w:lang w:val="en-US"/>
        </w:rPr>
        <w:t xml:space="preserve">most would be smouldering fires as they were found to </w:t>
      </w:r>
      <w:r w:rsidR="003D4FB9" w:rsidRPr="00DD1B58">
        <w:rPr>
          <w:lang w:val="en-US"/>
        </w:rPr>
        <w:t>have</w:t>
      </w:r>
      <w:r w:rsidR="00A812A5" w:rsidRPr="00DD1B58">
        <w:rPr>
          <w:lang w:val="en-US"/>
        </w:rPr>
        <w:t xml:space="preserve"> burned out and did not require extinguishing. </w:t>
      </w:r>
      <w:r w:rsidR="00440447" w:rsidRPr="00DD1B58">
        <w:rPr>
          <w:lang w:val="en-US"/>
        </w:rPr>
        <w:t xml:space="preserve">Finally, </w:t>
      </w:r>
      <w:r w:rsidRPr="00DD1B58">
        <w:rPr>
          <w:lang w:val="en-US"/>
        </w:rPr>
        <w:t xml:space="preserve">Sellafield Ltd. </w:t>
      </w:r>
      <w:r w:rsidR="00440447" w:rsidRPr="00DD1B58">
        <w:rPr>
          <w:lang w:val="en-US"/>
        </w:rPr>
        <w:t>conclude</w:t>
      </w:r>
      <w:r w:rsidR="003D4FB9" w:rsidRPr="00DD1B58">
        <w:rPr>
          <w:lang w:val="en-US"/>
        </w:rPr>
        <w:t>s</w:t>
      </w:r>
      <w:r w:rsidR="00440447" w:rsidRPr="00DD1B58">
        <w:rPr>
          <w:lang w:val="en-US"/>
        </w:rPr>
        <w:t xml:space="preserve"> that r</w:t>
      </w:r>
      <w:r w:rsidR="00A812A5" w:rsidRPr="00DD1B58">
        <w:rPr>
          <w:lang w:val="en-US"/>
        </w:rPr>
        <w:t>egular analysis of condition reports allows common cause fact finding to determine any potential trends</w:t>
      </w:r>
      <w:r w:rsidR="00440447" w:rsidRPr="00DD1B58">
        <w:rPr>
          <w:lang w:val="en-US"/>
        </w:rPr>
        <w:t>, and that in</w:t>
      </w:r>
      <w:r w:rsidR="00A812A5" w:rsidRPr="00DD1B58">
        <w:rPr>
          <w:lang w:val="en-US"/>
        </w:rPr>
        <w:t xml:space="preserve"> recent years there </w:t>
      </w:r>
      <w:r w:rsidR="00440447" w:rsidRPr="00DD1B58">
        <w:rPr>
          <w:lang w:val="en-US"/>
        </w:rPr>
        <w:t xml:space="preserve">had </w:t>
      </w:r>
      <w:r w:rsidR="00A812A5" w:rsidRPr="00DD1B58">
        <w:rPr>
          <w:lang w:val="en-US"/>
        </w:rPr>
        <w:t xml:space="preserve">been no adverse trends </w:t>
      </w:r>
      <w:r w:rsidR="00440447" w:rsidRPr="00DD1B58">
        <w:rPr>
          <w:lang w:val="en-US"/>
        </w:rPr>
        <w:t xml:space="preserve">to </w:t>
      </w:r>
      <w:r w:rsidR="00A812A5" w:rsidRPr="00DD1B58">
        <w:rPr>
          <w:lang w:val="en-US"/>
        </w:rPr>
        <w:t>suggest any issues in particular facilities or processes.</w:t>
      </w:r>
    </w:p>
    <w:p w14:paraId="6843721D" w14:textId="77777777" w:rsidR="003C41D1" w:rsidRPr="00DD1B58" w:rsidRDefault="0033600E" w:rsidP="00A812A5">
      <w:pPr>
        <w:rPr>
          <w:b/>
          <w:lang w:val="en-US"/>
        </w:rPr>
      </w:pPr>
      <w:r w:rsidRPr="00DD1B58">
        <w:rPr>
          <w:b/>
          <w:lang w:val="en-US"/>
        </w:rPr>
        <w:t>Learning from fire events</w:t>
      </w:r>
    </w:p>
    <w:p w14:paraId="7E7DA6DC" w14:textId="03576217" w:rsidR="008C55DB" w:rsidRPr="00DD1B58" w:rsidRDefault="004668E0" w:rsidP="008C55DB">
      <w:pPr>
        <w:rPr>
          <w:lang w:val="en-US"/>
        </w:rPr>
      </w:pPr>
      <w:r w:rsidRPr="00DD1B58">
        <w:rPr>
          <w:lang w:val="en-US"/>
        </w:rPr>
        <w:t>Sellafield Ltd.</w:t>
      </w:r>
      <w:r w:rsidR="00440447" w:rsidRPr="00DD1B58">
        <w:rPr>
          <w:lang w:val="en-US"/>
        </w:rPr>
        <w:t xml:space="preserve"> report</w:t>
      </w:r>
      <w:r w:rsidR="003D4FB9" w:rsidRPr="00DD1B58">
        <w:rPr>
          <w:lang w:val="en-US"/>
        </w:rPr>
        <w:t>s</w:t>
      </w:r>
      <w:r w:rsidR="00440447" w:rsidRPr="00DD1B58">
        <w:rPr>
          <w:lang w:val="en-US"/>
        </w:rPr>
        <w:t xml:space="preserve"> that there </w:t>
      </w:r>
      <w:r w:rsidR="008C55DB" w:rsidRPr="00DD1B58">
        <w:rPr>
          <w:lang w:val="en-US"/>
        </w:rPr>
        <w:t xml:space="preserve">was a fire within a breakdown cell in Waste Vitrification Plants in 2000, </w:t>
      </w:r>
      <w:r w:rsidR="003D4FB9" w:rsidRPr="00DD1B58">
        <w:rPr>
          <w:lang w:val="en-US"/>
        </w:rPr>
        <w:t>which</w:t>
      </w:r>
      <w:r w:rsidR="008C55DB" w:rsidRPr="00DD1B58">
        <w:rPr>
          <w:lang w:val="en-US"/>
        </w:rPr>
        <w:t xml:space="preserve"> occurred when sparks from grinding operations ignited some combustible waste. </w:t>
      </w:r>
      <w:r w:rsidRPr="00DD1B58">
        <w:rPr>
          <w:lang w:val="en-US"/>
        </w:rPr>
        <w:t>Sellafield Ltd.</w:t>
      </w:r>
      <w:r w:rsidR="00D00FD9" w:rsidRPr="00DD1B58">
        <w:rPr>
          <w:lang w:val="en-US"/>
        </w:rPr>
        <w:t xml:space="preserve"> state</w:t>
      </w:r>
      <w:r w:rsidR="003D4FB9" w:rsidRPr="00DD1B58">
        <w:rPr>
          <w:lang w:val="en-US"/>
        </w:rPr>
        <w:t>s</w:t>
      </w:r>
      <w:r w:rsidR="00D00FD9" w:rsidRPr="00DD1B58">
        <w:rPr>
          <w:lang w:val="en-US"/>
        </w:rPr>
        <w:t xml:space="preserve"> that, following the fire, </w:t>
      </w:r>
      <w:r w:rsidR="008C55DB" w:rsidRPr="00DD1B58">
        <w:rPr>
          <w:lang w:val="en-US"/>
        </w:rPr>
        <w:t xml:space="preserve">additional fire extinguishing measures were fitted in the cell and an extent of condition was carried out to ensure there was no combustible waste in any other cells in the building. </w:t>
      </w:r>
    </w:p>
    <w:p w14:paraId="35774E71" w14:textId="5C2D3FE4" w:rsidR="008C55DB" w:rsidRPr="00DD1B58" w:rsidRDefault="008C55DB" w:rsidP="008C55DB">
      <w:pPr>
        <w:rPr>
          <w:lang w:val="en-US"/>
        </w:rPr>
      </w:pPr>
      <w:r w:rsidRPr="00DD1B58">
        <w:rPr>
          <w:lang w:val="en-US"/>
        </w:rPr>
        <w:t xml:space="preserve">Since </w:t>
      </w:r>
      <w:r w:rsidR="004668E0" w:rsidRPr="00DD1B58">
        <w:rPr>
          <w:lang w:val="en-US"/>
        </w:rPr>
        <w:t>Sellafield Ltd.</w:t>
      </w:r>
      <w:r w:rsidR="00CA7696" w:rsidRPr="00DD1B58">
        <w:rPr>
          <w:lang w:val="en-US"/>
        </w:rPr>
        <w:t xml:space="preserve"> adopted the </w:t>
      </w:r>
      <w:r w:rsidRPr="00DD1B58">
        <w:rPr>
          <w:lang w:val="en-US"/>
        </w:rPr>
        <w:t xml:space="preserve">new </w:t>
      </w:r>
      <w:r w:rsidR="00CA7696" w:rsidRPr="00DD1B58">
        <w:rPr>
          <w:lang w:val="en-US"/>
        </w:rPr>
        <w:t xml:space="preserve">fire event </w:t>
      </w:r>
      <w:r w:rsidRPr="00DD1B58">
        <w:rPr>
          <w:lang w:val="en-US"/>
        </w:rPr>
        <w:t>classification</w:t>
      </w:r>
      <w:r w:rsidR="00CA7696" w:rsidRPr="00DD1B58">
        <w:rPr>
          <w:lang w:val="en-US"/>
        </w:rPr>
        <w:t xml:space="preserve">, it </w:t>
      </w:r>
      <w:r w:rsidR="006D798B" w:rsidRPr="00DD1B58">
        <w:rPr>
          <w:lang w:val="en-US"/>
        </w:rPr>
        <w:t>reports that</w:t>
      </w:r>
      <w:r w:rsidR="00CA7696" w:rsidRPr="00DD1B58">
        <w:rPr>
          <w:lang w:val="en-US"/>
        </w:rPr>
        <w:t xml:space="preserve"> </w:t>
      </w:r>
      <w:r w:rsidRPr="00DD1B58">
        <w:rPr>
          <w:lang w:val="en-US"/>
        </w:rPr>
        <w:t xml:space="preserve">there </w:t>
      </w:r>
      <w:r w:rsidR="00CA7696" w:rsidRPr="00DD1B58">
        <w:rPr>
          <w:lang w:val="en-US"/>
        </w:rPr>
        <w:t xml:space="preserve">had </w:t>
      </w:r>
      <w:r w:rsidRPr="00DD1B58">
        <w:rPr>
          <w:lang w:val="en-US"/>
        </w:rPr>
        <w:t xml:space="preserve">been changes following fire events in areas of the Sellafield Site. This </w:t>
      </w:r>
      <w:r w:rsidR="00CA7696" w:rsidRPr="00DD1B58">
        <w:rPr>
          <w:lang w:val="en-US"/>
        </w:rPr>
        <w:t xml:space="preserve">included </w:t>
      </w:r>
      <w:r w:rsidRPr="00DD1B58">
        <w:rPr>
          <w:lang w:val="en-US"/>
        </w:rPr>
        <w:t>adopting the hierarchical approach to choosing scaffold boards (non-combustible) and increased oversight of contractors</w:t>
      </w:r>
      <w:r w:rsidR="009F526E" w:rsidRPr="00DD1B58">
        <w:rPr>
          <w:lang w:val="en-US"/>
        </w:rPr>
        <w:t>’</w:t>
      </w:r>
      <w:r w:rsidRPr="00DD1B58">
        <w:rPr>
          <w:lang w:val="en-US"/>
        </w:rPr>
        <w:t xml:space="preserve"> fire safety arrangements. </w:t>
      </w:r>
    </w:p>
    <w:p w14:paraId="3D091D18" w14:textId="60D27F02" w:rsidR="0033600E" w:rsidRPr="00DD1B58" w:rsidRDefault="00927C0C" w:rsidP="00A812A5">
      <w:pPr>
        <w:rPr>
          <w:lang w:val="en-US"/>
        </w:rPr>
      </w:pPr>
      <w:r w:rsidRPr="00DD1B58">
        <w:rPr>
          <w:lang w:val="en-US"/>
        </w:rPr>
        <w:t xml:space="preserve">Finally, </w:t>
      </w:r>
      <w:r w:rsidR="004668E0" w:rsidRPr="00DD1B58">
        <w:rPr>
          <w:lang w:val="en-US"/>
        </w:rPr>
        <w:t>Sellafield Ltd.</w:t>
      </w:r>
      <w:r w:rsidRPr="00DD1B58">
        <w:rPr>
          <w:lang w:val="en-US"/>
        </w:rPr>
        <w:t xml:space="preserve"> report</w:t>
      </w:r>
      <w:r w:rsidR="00590CD0" w:rsidRPr="00DD1B58">
        <w:rPr>
          <w:lang w:val="en-US"/>
        </w:rPr>
        <w:t>s</w:t>
      </w:r>
      <w:r w:rsidRPr="00DD1B58">
        <w:rPr>
          <w:lang w:val="en-US"/>
        </w:rPr>
        <w:t xml:space="preserve"> that</w:t>
      </w:r>
      <w:r w:rsidR="008C55DB" w:rsidRPr="00DD1B58">
        <w:rPr>
          <w:lang w:val="en-US"/>
        </w:rPr>
        <w:t xml:space="preserve"> most of the recordable fires on </w:t>
      </w:r>
      <w:r w:rsidRPr="00DD1B58">
        <w:rPr>
          <w:lang w:val="en-US"/>
        </w:rPr>
        <w:t xml:space="preserve">the </w:t>
      </w:r>
      <w:r w:rsidR="00AA3ECC" w:rsidRPr="00DD1B58">
        <w:rPr>
          <w:lang w:val="en-US"/>
        </w:rPr>
        <w:t xml:space="preserve">Sellafield </w:t>
      </w:r>
      <w:r w:rsidRPr="00DD1B58">
        <w:rPr>
          <w:lang w:val="en-US"/>
        </w:rPr>
        <w:t>s</w:t>
      </w:r>
      <w:r w:rsidR="00AA3ECC" w:rsidRPr="00DD1B58">
        <w:rPr>
          <w:lang w:val="en-US"/>
        </w:rPr>
        <w:t>ite</w:t>
      </w:r>
      <w:r w:rsidR="008C55DB" w:rsidRPr="00DD1B58">
        <w:rPr>
          <w:lang w:val="en-US"/>
        </w:rPr>
        <w:t xml:space="preserve"> have been due to electrical failures such as light fittings failing. Visibility of obsolescence and maintenance is a priority for Sellafield currently, to manage all electrical assets and prevent any failures.</w:t>
      </w:r>
    </w:p>
    <w:p w14:paraId="21ADE59B" w14:textId="77777777" w:rsidR="00325B7D" w:rsidRPr="00DD1B58" w:rsidRDefault="00325B7D" w:rsidP="00064A8D">
      <w:pPr>
        <w:pStyle w:val="Heading4"/>
        <w:rPr>
          <w:lang w:val="en-US"/>
        </w:rPr>
      </w:pPr>
      <w:r w:rsidRPr="00DD1B58">
        <w:rPr>
          <w:lang w:val="en-US"/>
        </w:rPr>
        <w:t xml:space="preserve">Regulator’s assessment and conclusions on fire safety analyses </w:t>
      </w:r>
    </w:p>
    <w:p w14:paraId="274E3484" w14:textId="77777777" w:rsidR="00325B7D" w:rsidRPr="00DD1B58" w:rsidRDefault="00325B7D" w:rsidP="00064A8D">
      <w:pPr>
        <w:pStyle w:val="Heading4"/>
        <w:numPr>
          <w:ilvl w:val="4"/>
          <w:numId w:val="3"/>
        </w:numPr>
        <w:rPr>
          <w:lang w:val="en-US"/>
        </w:rPr>
      </w:pPr>
      <w:r w:rsidRPr="00DD1B58">
        <w:rPr>
          <w:lang w:val="en-US"/>
        </w:rPr>
        <w:t xml:space="preserve">Overview of strengths and weaknesses identified by the regulator </w:t>
      </w:r>
    </w:p>
    <w:p w14:paraId="7E41712F" w14:textId="77777777" w:rsidR="003A1E94" w:rsidRPr="00DD1B58" w:rsidRDefault="003A1E94" w:rsidP="003A1E94">
      <w:pPr>
        <w:rPr>
          <w:b/>
          <w:lang w:val="en-US"/>
        </w:rPr>
      </w:pPr>
      <w:r w:rsidRPr="00DD1B58">
        <w:rPr>
          <w:b/>
          <w:lang w:val="en-US"/>
        </w:rPr>
        <w:t>Guidance</w:t>
      </w:r>
    </w:p>
    <w:p w14:paraId="2FA011FC" w14:textId="1DB8B02F" w:rsidR="00E06D53" w:rsidRPr="00DD1B58" w:rsidRDefault="004668E0" w:rsidP="008027A4">
      <w:pPr>
        <w:rPr>
          <w:lang w:val="en-US"/>
        </w:rPr>
      </w:pPr>
      <w:r w:rsidRPr="00DD1B58">
        <w:rPr>
          <w:lang w:val="en-US"/>
        </w:rPr>
        <w:t xml:space="preserve">Sellafield Ltd. </w:t>
      </w:r>
      <w:r w:rsidR="00943BDF" w:rsidRPr="00DD1B58">
        <w:rPr>
          <w:lang w:val="en-US"/>
        </w:rPr>
        <w:t>detail</w:t>
      </w:r>
      <w:r w:rsidR="009F526E" w:rsidRPr="00DD1B58">
        <w:rPr>
          <w:lang w:val="en-US"/>
        </w:rPr>
        <w:t>s</w:t>
      </w:r>
      <w:r w:rsidR="00943BDF" w:rsidRPr="00DD1B58">
        <w:rPr>
          <w:lang w:val="en-US"/>
        </w:rPr>
        <w:t xml:space="preserve"> the guidance it applies for fire hazard analysis across its facilities</w:t>
      </w:r>
      <w:r w:rsidR="007B293F" w:rsidRPr="00DD1B58">
        <w:rPr>
          <w:lang w:val="en-US"/>
        </w:rPr>
        <w:t xml:space="preserve"> in </w:t>
      </w:r>
      <w:r w:rsidR="009018AC" w:rsidRPr="00DD1B58">
        <w:rPr>
          <w:lang w:val="en-US"/>
        </w:rPr>
        <w:t>S</w:t>
      </w:r>
      <w:r w:rsidR="001A2006" w:rsidRPr="00DD1B58">
        <w:rPr>
          <w:lang w:val="en-US"/>
        </w:rPr>
        <w:t xml:space="preserve">ection </w:t>
      </w:r>
      <w:r w:rsidR="00896F90" w:rsidRPr="00DD1B58">
        <w:rPr>
          <w:lang w:val="en-US"/>
        </w:rPr>
        <w:fldChar w:fldCharType="begin"/>
      </w:r>
      <w:r w:rsidR="00896F90" w:rsidRPr="00DD1B58">
        <w:rPr>
          <w:lang w:val="en-US"/>
        </w:rPr>
        <w:instrText xml:space="preserve"> REF _Ref139552667 \r \h </w:instrText>
      </w:r>
      <w:r w:rsidR="00896F90" w:rsidRPr="00DD1B58">
        <w:rPr>
          <w:lang w:val="en-US"/>
        </w:rPr>
      </w:r>
      <w:r w:rsidR="00896F90" w:rsidRPr="00DD1B58">
        <w:rPr>
          <w:lang w:val="en-US"/>
        </w:rPr>
        <w:fldChar w:fldCharType="separate"/>
      </w:r>
      <w:r w:rsidR="00DF47DA">
        <w:rPr>
          <w:lang w:val="en-US"/>
        </w:rPr>
        <w:t>I-2.5.1</w:t>
      </w:r>
      <w:r w:rsidR="00896F90" w:rsidRPr="00DD1B58">
        <w:rPr>
          <w:lang w:val="en-US"/>
        </w:rPr>
        <w:fldChar w:fldCharType="end"/>
      </w:r>
      <w:r w:rsidR="00943BDF" w:rsidRPr="00DD1B58">
        <w:rPr>
          <w:lang w:val="en-US"/>
        </w:rPr>
        <w:t xml:space="preserve">. </w:t>
      </w:r>
      <w:r w:rsidR="008A2D51" w:rsidRPr="00DD1B58">
        <w:rPr>
          <w:lang w:val="en-US"/>
        </w:rPr>
        <w:t xml:space="preserve">In this </w:t>
      </w:r>
      <w:r w:rsidR="003B6D40" w:rsidRPr="00DD1B58">
        <w:rPr>
          <w:lang w:val="en-US"/>
        </w:rPr>
        <w:t xml:space="preserve">section </w:t>
      </w:r>
      <w:r w:rsidRPr="00DD1B58">
        <w:rPr>
          <w:lang w:val="en-US"/>
        </w:rPr>
        <w:t xml:space="preserve">Sellafield Ltd. </w:t>
      </w:r>
      <w:r w:rsidR="008A2D51" w:rsidRPr="00DD1B58">
        <w:rPr>
          <w:lang w:val="en-US"/>
        </w:rPr>
        <w:t>describ</w:t>
      </w:r>
      <w:r w:rsidR="009F526E" w:rsidRPr="00DD1B58">
        <w:rPr>
          <w:lang w:val="en-US"/>
        </w:rPr>
        <w:t>es</w:t>
      </w:r>
      <w:r w:rsidR="009E3D70" w:rsidRPr="00DD1B58">
        <w:rPr>
          <w:lang w:val="en-US"/>
        </w:rPr>
        <w:t xml:space="preserve"> how national standards and legislation flow</w:t>
      </w:r>
      <w:r w:rsidR="000B7291" w:rsidRPr="00DD1B58">
        <w:rPr>
          <w:lang w:val="en-US"/>
        </w:rPr>
        <w:t xml:space="preserve"> down into company guidance. In addition, t</w:t>
      </w:r>
      <w:r w:rsidR="003B0A7C" w:rsidRPr="00DD1B58">
        <w:rPr>
          <w:lang w:val="en-US"/>
        </w:rPr>
        <w:t>he licensee claims that</w:t>
      </w:r>
      <w:r w:rsidR="00DE0C3B" w:rsidRPr="00DD1B58">
        <w:rPr>
          <w:lang w:val="en-US"/>
        </w:rPr>
        <w:t xml:space="preserve"> their fire analysis </w:t>
      </w:r>
      <w:r w:rsidR="003F2CAC" w:rsidRPr="00DD1B58">
        <w:rPr>
          <w:lang w:val="en-US"/>
        </w:rPr>
        <w:t>guidance</w:t>
      </w:r>
      <w:r w:rsidR="00D26187" w:rsidRPr="00DD1B58">
        <w:rPr>
          <w:lang w:val="en-US"/>
        </w:rPr>
        <w:t xml:space="preserve"> aligns</w:t>
      </w:r>
      <w:r w:rsidR="003F2CAC" w:rsidRPr="00DD1B58">
        <w:rPr>
          <w:lang w:val="en-US"/>
        </w:rPr>
        <w:t xml:space="preserve"> </w:t>
      </w:r>
      <w:r w:rsidR="007A2640" w:rsidRPr="00DD1B58">
        <w:rPr>
          <w:lang w:val="en-US"/>
        </w:rPr>
        <w:t>with</w:t>
      </w:r>
      <w:r w:rsidR="003B6D40" w:rsidRPr="00DD1B58">
        <w:rPr>
          <w:lang w:val="en-US"/>
        </w:rPr>
        <w:t xml:space="preserve"> and incorporates</w:t>
      </w:r>
      <w:r w:rsidR="007A2640" w:rsidRPr="00DD1B58">
        <w:rPr>
          <w:lang w:val="en-US"/>
        </w:rPr>
        <w:t xml:space="preserve"> IAEA standards and WENRA reference levels</w:t>
      </w:r>
      <w:r w:rsidR="00D26187" w:rsidRPr="00DD1B58">
        <w:rPr>
          <w:lang w:val="en-US"/>
        </w:rPr>
        <w:t xml:space="preserve"> </w:t>
      </w:r>
      <w:r w:rsidR="007A2640" w:rsidRPr="00DD1B58">
        <w:rPr>
          <w:lang w:val="en-US"/>
        </w:rPr>
        <w:t>into</w:t>
      </w:r>
      <w:r w:rsidR="00E06D53" w:rsidRPr="00DD1B58">
        <w:rPr>
          <w:lang w:val="en-US"/>
        </w:rPr>
        <w:t>:</w:t>
      </w:r>
    </w:p>
    <w:p w14:paraId="2ADEB868" w14:textId="36E81DCC" w:rsidR="00E06D53" w:rsidRPr="00DD1B58" w:rsidRDefault="004668E0" w:rsidP="008F0253">
      <w:pPr>
        <w:pStyle w:val="Bulletlist1"/>
        <w:rPr>
          <w:lang w:val="en-US"/>
        </w:rPr>
      </w:pPr>
      <w:r w:rsidRPr="00DD1B58">
        <w:rPr>
          <w:lang w:val="en-US"/>
        </w:rPr>
        <w:t xml:space="preserve">Sellafield Ltd. </w:t>
      </w:r>
      <w:r w:rsidR="008027A4" w:rsidRPr="00DD1B58">
        <w:rPr>
          <w:lang w:val="en-US"/>
        </w:rPr>
        <w:t>Management System (SLMS)</w:t>
      </w:r>
      <w:r w:rsidR="009F526E" w:rsidRPr="00DD1B58">
        <w:rPr>
          <w:lang w:val="en-US"/>
        </w:rPr>
        <w:t>;</w:t>
      </w:r>
    </w:p>
    <w:p w14:paraId="3D5528AD" w14:textId="0941774A" w:rsidR="007A2640" w:rsidRPr="00DD1B58" w:rsidRDefault="00E43ECA" w:rsidP="008F0253">
      <w:pPr>
        <w:pStyle w:val="Bulletlist1"/>
        <w:rPr>
          <w:lang w:val="en-US"/>
        </w:rPr>
      </w:pPr>
      <w:r w:rsidRPr="00DD1B58">
        <w:rPr>
          <w:lang w:val="en-US"/>
        </w:rPr>
        <w:t>T</w:t>
      </w:r>
      <w:r w:rsidR="008027A4" w:rsidRPr="00DD1B58">
        <w:rPr>
          <w:lang w:val="en-US"/>
        </w:rPr>
        <w:t xml:space="preserve">he suite of supporting </w:t>
      </w:r>
      <w:r w:rsidR="00A8636A" w:rsidRPr="00DD1B58">
        <w:rPr>
          <w:lang w:val="en-US"/>
        </w:rPr>
        <w:t xml:space="preserve">Nuclear </w:t>
      </w:r>
      <w:r w:rsidR="008027A4" w:rsidRPr="00DD1B58">
        <w:rPr>
          <w:lang w:val="en-US"/>
        </w:rPr>
        <w:t xml:space="preserve">Safety Case Process and Methods Technical Guidance for all aspects of the </w:t>
      </w:r>
      <w:r w:rsidR="00A8636A" w:rsidRPr="00DD1B58">
        <w:rPr>
          <w:lang w:val="en-US"/>
        </w:rPr>
        <w:t>nuclear safety case</w:t>
      </w:r>
      <w:r w:rsidR="008027A4" w:rsidRPr="00DD1B58">
        <w:rPr>
          <w:lang w:val="en-US"/>
        </w:rPr>
        <w:t xml:space="preserve"> including nuclear fire safety</w:t>
      </w:r>
      <w:r w:rsidR="009F526E" w:rsidRPr="00DD1B58">
        <w:rPr>
          <w:lang w:val="en-US"/>
        </w:rPr>
        <w:t>; and</w:t>
      </w:r>
    </w:p>
    <w:p w14:paraId="070645D9" w14:textId="5F37F92D" w:rsidR="00E06D53" w:rsidRPr="00DD1B58" w:rsidRDefault="00E06D53" w:rsidP="008F0253">
      <w:pPr>
        <w:pStyle w:val="Bulletlist1"/>
        <w:rPr>
          <w:lang w:val="en-US"/>
        </w:rPr>
      </w:pPr>
      <w:r w:rsidRPr="00DD1B58">
        <w:rPr>
          <w:lang w:val="en-US"/>
        </w:rPr>
        <w:t>Engineering Design Safety Principles (EDSP</w:t>
      </w:r>
      <w:r w:rsidR="002B6CDC" w:rsidRPr="00DD1B58">
        <w:rPr>
          <w:lang w:val="en-US"/>
        </w:rPr>
        <w:t>s</w:t>
      </w:r>
      <w:r w:rsidRPr="00DD1B58">
        <w:rPr>
          <w:lang w:val="en-US"/>
        </w:rPr>
        <w:t>)</w:t>
      </w:r>
      <w:r w:rsidR="009F526E" w:rsidRPr="00DD1B58">
        <w:rPr>
          <w:lang w:val="en-US"/>
        </w:rPr>
        <w:t>.</w:t>
      </w:r>
    </w:p>
    <w:p w14:paraId="16B256DF" w14:textId="5BC8F0ED" w:rsidR="009A04C3" w:rsidRPr="00DD1B58" w:rsidRDefault="00CD4C28" w:rsidP="009A04C3">
      <w:pPr>
        <w:rPr>
          <w:lang w:val="en-US"/>
        </w:rPr>
      </w:pPr>
      <w:r w:rsidRPr="00DD1B58">
        <w:rPr>
          <w:lang w:val="en-US"/>
        </w:rPr>
        <w:t>ONR’s assessment confirm</w:t>
      </w:r>
      <w:r w:rsidR="009F526E" w:rsidRPr="00DD1B58">
        <w:rPr>
          <w:lang w:val="en-US"/>
        </w:rPr>
        <w:t>s</w:t>
      </w:r>
      <w:r w:rsidRPr="00DD1B58">
        <w:rPr>
          <w:lang w:val="en-US"/>
        </w:rPr>
        <w:t xml:space="preserve"> that these documents reflect the higher</w:t>
      </w:r>
      <w:r w:rsidR="002B6CDC" w:rsidRPr="00DD1B58">
        <w:rPr>
          <w:lang w:val="en-US"/>
        </w:rPr>
        <w:t>-</w:t>
      </w:r>
      <w:r w:rsidRPr="00DD1B58">
        <w:rPr>
          <w:lang w:val="en-US"/>
        </w:rPr>
        <w:t>level nuclear fire requirements set in the international standards.</w:t>
      </w:r>
      <w:r w:rsidR="00C55B12" w:rsidRPr="00DD1B58">
        <w:rPr>
          <w:lang w:val="en-US"/>
        </w:rPr>
        <w:t xml:space="preserve"> The</w:t>
      </w:r>
      <w:r w:rsidR="002E3994" w:rsidRPr="00DD1B58">
        <w:rPr>
          <w:lang w:val="en-US"/>
        </w:rPr>
        <w:t xml:space="preserve"> ONR SAPs and TAGs</w:t>
      </w:r>
      <w:r w:rsidR="00C55B12" w:rsidRPr="00DD1B58">
        <w:rPr>
          <w:lang w:val="en-US"/>
        </w:rPr>
        <w:t xml:space="preserve">, </w:t>
      </w:r>
      <w:r w:rsidR="009B4929" w:rsidRPr="00DD1B58">
        <w:rPr>
          <w:lang w:val="en-US"/>
        </w:rPr>
        <w:t>benchmarked against international RGP</w:t>
      </w:r>
      <w:r w:rsidR="009F526E" w:rsidRPr="00DD1B58">
        <w:rPr>
          <w:lang w:val="en-US"/>
        </w:rPr>
        <w:t>,</w:t>
      </w:r>
      <w:r w:rsidR="009B4929" w:rsidRPr="00DD1B58">
        <w:rPr>
          <w:lang w:val="en-US"/>
        </w:rPr>
        <w:t xml:space="preserve"> form the basis for ONR assessment of </w:t>
      </w:r>
      <w:r w:rsidR="00124A0F" w:rsidRPr="00DD1B58">
        <w:rPr>
          <w:lang w:val="en-US"/>
        </w:rPr>
        <w:t xml:space="preserve">licensee safety cases. </w:t>
      </w:r>
      <w:r w:rsidR="004668E0" w:rsidRPr="00DD1B58">
        <w:rPr>
          <w:lang w:val="en-US"/>
        </w:rPr>
        <w:t>Sellafield Ltd.</w:t>
      </w:r>
      <w:r w:rsidR="009D1233" w:rsidRPr="00DD1B58">
        <w:rPr>
          <w:lang w:val="en-US"/>
        </w:rPr>
        <w:t xml:space="preserve"> ha</w:t>
      </w:r>
      <w:r w:rsidR="00F03F72" w:rsidRPr="00DD1B58">
        <w:rPr>
          <w:lang w:val="en-US"/>
        </w:rPr>
        <w:t>s</w:t>
      </w:r>
      <w:r w:rsidR="009D1233" w:rsidRPr="00DD1B58">
        <w:rPr>
          <w:lang w:val="en-US"/>
        </w:rPr>
        <w:t xml:space="preserve"> identified </w:t>
      </w:r>
      <w:r w:rsidR="002B6CDC" w:rsidRPr="00DD1B58">
        <w:rPr>
          <w:lang w:val="en-US"/>
        </w:rPr>
        <w:t>these as an input to the licensee’s own EDSPs</w:t>
      </w:r>
      <w:r w:rsidR="004B5941" w:rsidRPr="00DD1B58">
        <w:rPr>
          <w:lang w:val="en-US"/>
        </w:rPr>
        <w:t xml:space="preserve"> and ha</w:t>
      </w:r>
      <w:r w:rsidR="009F526E" w:rsidRPr="00DD1B58">
        <w:rPr>
          <w:lang w:val="en-US"/>
        </w:rPr>
        <w:t>s</w:t>
      </w:r>
      <w:r w:rsidR="004B5941" w:rsidRPr="00DD1B58">
        <w:rPr>
          <w:lang w:val="en-US"/>
        </w:rPr>
        <w:t xml:space="preserve"> demonstrated consistency with the principles set out in </w:t>
      </w:r>
      <w:r w:rsidR="002712A7" w:rsidRPr="00DD1B58">
        <w:rPr>
          <w:lang w:val="en-US"/>
        </w:rPr>
        <w:t xml:space="preserve">the </w:t>
      </w:r>
      <w:r w:rsidR="004B5941" w:rsidRPr="00DD1B58">
        <w:rPr>
          <w:lang w:val="en-US"/>
        </w:rPr>
        <w:t>documents in line with ONR expectations</w:t>
      </w:r>
      <w:r w:rsidR="00226956" w:rsidRPr="00DD1B58">
        <w:rPr>
          <w:lang w:val="en-US"/>
        </w:rPr>
        <w:t>.</w:t>
      </w:r>
    </w:p>
    <w:p w14:paraId="52BB75F6" w14:textId="77777777" w:rsidR="003A1E94" w:rsidRPr="00DD1B58" w:rsidRDefault="00D33F42" w:rsidP="003A1E94">
      <w:pPr>
        <w:rPr>
          <w:b/>
          <w:lang w:val="en-US"/>
        </w:rPr>
      </w:pPr>
      <w:r w:rsidRPr="00DD1B58">
        <w:rPr>
          <w:b/>
          <w:lang w:val="en-US"/>
        </w:rPr>
        <w:t xml:space="preserve">Fire loading and </w:t>
      </w:r>
      <w:r w:rsidR="00EE511E" w:rsidRPr="00DD1B58">
        <w:rPr>
          <w:b/>
          <w:lang w:val="en-US"/>
        </w:rPr>
        <w:t>d</w:t>
      </w:r>
      <w:r w:rsidRPr="00DD1B58">
        <w:rPr>
          <w:b/>
          <w:lang w:val="en-US"/>
        </w:rPr>
        <w:t xml:space="preserve">ata </w:t>
      </w:r>
      <w:r w:rsidR="00EE511E" w:rsidRPr="00DD1B58">
        <w:rPr>
          <w:b/>
          <w:lang w:val="en-US"/>
        </w:rPr>
        <w:t>s</w:t>
      </w:r>
      <w:r w:rsidRPr="00DD1B58">
        <w:rPr>
          <w:b/>
          <w:lang w:val="en-US"/>
        </w:rPr>
        <w:t>ources</w:t>
      </w:r>
    </w:p>
    <w:p w14:paraId="47EAD117" w14:textId="5C1564F1" w:rsidR="00920228" w:rsidRPr="00DD1B58" w:rsidRDefault="00920228" w:rsidP="00920228">
      <w:pPr>
        <w:pStyle w:val="Default"/>
        <w:spacing w:after="240"/>
        <w:rPr>
          <w:lang w:val="en-US"/>
        </w:rPr>
      </w:pPr>
      <w:r w:rsidRPr="00DD1B58">
        <w:rPr>
          <w:lang w:val="en-US"/>
        </w:rPr>
        <w:t xml:space="preserve">ONR assesses the adequacy of licensee’ fire load analyses against the Internal Hazards TAG </w:t>
      </w:r>
      <w:sdt>
        <w:sdtPr>
          <w:rPr>
            <w:lang w:val="en-US"/>
          </w:rPr>
          <w:id w:val="1715935520"/>
          <w:citation/>
        </w:sdtPr>
        <w:sdtContent>
          <w:r w:rsidRPr="00DD1B58">
            <w:rPr>
              <w:lang w:val="en-US"/>
            </w:rPr>
            <w:fldChar w:fldCharType="begin"/>
          </w:r>
          <w:r w:rsidRPr="00DD1B58">
            <w:rPr>
              <w:lang w:val="en-US"/>
            </w:rPr>
            <w:instrText xml:space="preserve"> CITATION ONR4 \l 2057 </w:instrText>
          </w:r>
          <w:r w:rsidRPr="00DD1B58">
            <w:rPr>
              <w:lang w:val="en-US"/>
            </w:rPr>
            <w:fldChar w:fldCharType="separate"/>
          </w:r>
          <w:r w:rsidR="00DF47DA" w:rsidRPr="00DF47DA">
            <w:rPr>
              <w:noProof/>
              <w:lang w:val="en-US"/>
            </w:rPr>
            <w:t>[16]</w:t>
          </w:r>
          <w:r w:rsidRPr="00DD1B58">
            <w:rPr>
              <w:lang w:val="en-US"/>
            </w:rPr>
            <w:fldChar w:fldCharType="end"/>
          </w:r>
        </w:sdtContent>
      </w:sdt>
      <w:r w:rsidRPr="00DD1B58">
        <w:rPr>
          <w:lang w:val="en-US"/>
        </w:rPr>
        <w:t xml:space="preserve"> and this expects the safety case to provide reference to surveys or studies of combustible substances, which should be systematic and demonstrably complete. This should include consideration of solids, gases, liquids, vapours and transient loads. ONR SAPs AV.3 also expects that the data used in the analysis of plant with safety significance should be valid for the circumstances by reference to established physical data, experiment or other appropriate means. </w:t>
      </w:r>
    </w:p>
    <w:p w14:paraId="060016D9" w14:textId="0E45A436" w:rsidR="006D5E1C" w:rsidRPr="00DD1B58" w:rsidRDefault="006D5E1C" w:rsidP="006D5E1C">
      <w:pPr>
        <w:rPr>
          <w:lang w:val="en-US"/>
        </w:rPr>
      </w:pPr>
      <w:r w:rsidRPr="00DD1B58">
        <w:rPr>
          <w:lang w:val="en-US"/>
        </w:rPr>
        <w:t xml:space="preserve">The licensee self-assessment </w:t>
      </w:r>
      <w:r w:rsidR="00382758" w:rsidRPr="00DD1B58">
        <w:rPr>
          <w:lang w:val="en-US"/>
        </w:rPr>
        <w:t>describe</w:t>
      </w:r>
      <w:r w:rsidR="006625F9" w:rsidRPr="00DD1B58">
        <w:rPr>
          <w:lang w:val="en-US"/>
        </w:rPr>
        <w:t>s</w:t>
      </w:r>
      <w:r w:rsidR="00382758" w:rsidRPr="00DD1B58">
        <w:rPr>
          <w:lang w:val="en-US"/>
        </w:rPr>
        <w:t xml:space="preserve"> </w:t>
      </w:r>
      <w:r w:rsidRPr="00DD1B58">
        <w:rPr>
          <w:lang w:val="en-US"/>
        </w:rPr>
        <w:t>how both fixed and transient loads are considered</w:t>
      </w:r>
      <w:r w:rsidR="00382758" w:rsidRPr="00DD1B58">
        <w:rPr>
          <w:lang w:val="en-US"/>
        </w:rPr>
        <w:t>. This include</w:t>
      </w:r>
      <w:r w:rsidR="006625F9" w:rsidRPr="00DD1B58">
        <w:rPr>
          <w:lang w:val="en-US"/>
        </w:rPr>
        <w:t>s</w:t>
      </w:r>
      <w:r w:rsidR="00382758" w:rsidRPr="00DD1B58">
        <w:rPr>
          <w:lang w:val="en-US"/>
        </w:rPr>
        <w:t xml:space="preserve"> confirmation that </w:t>
      </w:r>
      <w:r w:rsidRPr="00DD1B58">
        <w:rPr>
          <w:lang w:val="en-US"/>
        </w:rPr>
        <w:t xml:space="preserve">load data is periodically reviewed </w:t>
      </w:r>
      <w:r w:rsidR="0037774F" w:rsidRPr="00DD1B58">
        <w:rPr>
          <w:lang w:val="en-US"/>
        </w:rPr>
        <w:t xml:space="preserve">and </w:t>
      </w:r>
      <w:r w:rsidRPr="00DD1B58">
        <w:rPr>
          <w:lang w:val="en-US"/>
        </w:rPr>
        <w:t xml:space="preserve">underpinning data is based on experimentation and relevant validation testing. It also details how </w:t>
      </w:r>
      <w:r w:rsidR="0037774F" w:rsidRPr="00DD1B58">
        <w:rPr>
          <w:lang w:val="en-US"/>
        </w:rPr>
        <w:t xml:space="preserve">the </w:t>
      </w:r>
      <w:r w:rsidRPr="00DD1B58">
        <w:rPr>
          <w:lang w:val="en-US"/>
        </w:rPr>
        <w:t>information feeds into both hazard analysis and operational limits placed on facilities as appropriate. As a result, ONR judge</w:t>
      </w:r>
      <w:r w:rsidR="0037774F" w:rsidRPr="00DD1B58">
        <w:rPr>
          <w:lang w:val="en-US"/>
        </w:rPr>
        <w:t>s</w:t>
      </w:r>
      <w:r w:rsidRPr="00DD1B58">
        <w:rPr>
          <w:lang w:val="en-US"/>
        </w:rPr>
        <w:t xml:space="preserve"> that </w:t>
      </w:r>
      <w:r w:rsidR="004668E0" w:rsidRPr="00DD1B58">
        <w:rPr>
          <w:lang w:val="en-US"/>
        </w:rPr>
        <w:t xml:space="preserve">Sellafield Ltd. </w:t>
      </w:r>
      <w:r w:rsidRPr="00DD1B58">
        <w:rPr>
          <w:lang w:val="en-US"/>
        </w:rPr>
        <w:t>has</w:t>
      </w:r>
      <w:r w:rsidR="0037774F" w:rsidRPr="00DD1B58">
        <w:rPr>
          <w:lang w:val="en-US"/>
        </w:rPr>
        <w:t xml:space="preserve"> shown understanding of regulatory expectations in this area.</w:t>
      </w:r>
    </w:p>
    <w:p w14:paraId="4C79370E" w14:textId="77777777" w:rsidR="00EE511E" w:rsidRPr="00DD1B58" w:rsidRDefault="00517394" w:rsidP="003A1E94">
      <w:pPr>
        <w:rPr>
          <w:b/>
          <w:lang w:val="en-US"/>
        </w:rPr>
      </w:pPr>
      <w:r w:rsidRPr="00DD1B58">
        <w:rPr>
          <w:b/>
          <w:lang w:val="en-US"/>
        </w:rPr>
        <w:t>Deterministic a</w:t>
      </w:r>
      <w:r w:rsidR="00EE511E" w:rsidRPr="00DD1B58">
        <w:rPr>
          <w:b/>
          <w:lang w:val="en-US"/>
        </w:rPr>
        <w:t>nalysis approach</w:t>
      </w:r>
    </w:p>
    <w:p w14:paraId="61420513" w14:textId="693D13E9" w:rsidR="002A5A5C" w:rsidRPr="00DD1B58" w:rsidRDefault="006257EF" w:rsidP="003A1E94">
      <w:pPr>
        <w:rPr>
          <w:lang w:val="en-US"/>
        </w:rPr>
      </w:pPr>
      <w:r w:rsidRPr="00DD1B58">
        <w:rPr>
          <w:lang w:val="en-US"/>
        </w:rPr>
        <w:t>ONR</w:t>
      </w:r>
      <w:r w:rsidR="00604240" w:rsidRPr="00DD1B58">
        <w:rPr>
          <w:lang w:val="en-US"/>
        </w:rPr>
        <w:t xml:space="preserve">’s expectations for fire hazard analysis are </w:t>
      </w:r>
      <w:r w:rsidR="00C744BA" w:rsidRPr="00DD1B58">
        <w:rPr>
          <w:lang w:val="en-US"/>
        </w:rPr>
        <w:t xml:space="preserve">set out in the internal </w:t>
      </w:r>
      <w:r w:rsidR="001D15C1" w:rsidRPr="00DD1B58">
        <w:rPr>
          <w:lang w:val="en-US"/>
        </w:rPr>
        <w:t>hazards</w:t>
      </w:r>
      <w:r w:rsidR="00C744BA" w:rsidRPr="00DD1B58">
        <w:rPr>
          <w:lang w:val="en-US"/>
        </w:rPr>
        <w:t xml:space="preserve"> TAG</w:t>
      </w:r>
      <w:sdt>
        <w:sdtPr>
          <w:rPr>
            <w:lang w:val="en-US"/>
          </w:rPr>
          <w:id w:val="1188874881"/>
          <w:citation/>
        </w:sdtPr>
        <w:sdtContent>
          <w:r w:rsidR="00083367" w:rsidRPr="00DD1B58">
            <w:rPr>
              <w:lang w:val="en-US"/>
            </w:rPr>
            <w:fldChar w:fldCharType="begin"/>
          </w:r>
          <w:r w:rsidR="00083367" w:rsidRPr="00DD1B58">
            <w:rPr>
              <w:lang w:val="en-US"/>
            </w:rPr>
            <w:instrText xml:space="preserve"> CITATION ONR4 \l 2057 </w:instrText>
          </w:r>
          <w:r w:rsidR="00083367" w:rsidRPr="00DD1B58">
            <w:rPr>
              <w:lang w:val="en-US"/>
            </w:rPr>
            <w:fldChar w:fldCharType="separate"/>
          </w:r>
          <w:r w:rsidR="00DF47DA">
            <w:rPr>
              <w:noProof/>
              <w:lang w:val="en-US"/>
            </w:rPr>
            <w:t xml:space="preserve"> </w:t>
          </w:r>
          <w:r w:rsidR="00DF47DA" w:rsidRPr="00DF47DA">
            <w:rPr>
              <w:noProof/>
              <w:lang w:val="en-US"/>
            </w:rPr>
            <w:t>[16]</w:t>
          </w:r>
          <w:r w:rsidR="00083367" w:rsidRPr="00DD1B58">
            <w:rPr>
              <w:lang w:val="en-US"/>
            </w:rPr>
            <w:fldChar w:fldCharType="end"/>
          </w:r>
        </w:sdtContent>
      </w:sdt>
      <w:r w:rsidR="00083367" w:rsidRPr="00DD1B58">
        <w:rPr>
          <w:lang w:val="en-US"/>
        </w:rPr>
        <w:t xml:space="preserve"> </w:t>
      </w:r>
      <w:r w:rsidR="00C744BA" w:rsidRPr="00DD1B58">
        <w:rPr>
          <w:lang w:val="en-US"/>
        </w:rPr>
        <w:t xml:space="preserve">and the </w:t>
      </w:r>
      <w:r w:rsidR="0037774F" w:rsidRPr="00DD1B58">
        <w:rPr>
          <w:lang w:val="en-US"/>
        </w:rPr>
        <w:t>SAPs</w:t>
      </w:r>
      <w:r w:rsidR="00083367" w:rsidRPr="00DD1B58">
        <w:rPr>
          <w:lang w:val="en-US"/>
        </w:rPr>
        <w:t xml:space="preserve"> </w:t>
      </w:r>
      <w:sdt>
        <w:sdtPr>
          <w:rPr>
            <w:lang w:val="en-US"/>
          </w:rPr>
          <w:id w:val="-1465809191"/>
          <w:citation/>
        </w:sdtPr>
        <w:sdtContent>
          <w:r w:rsidR="00083367" w:rsidRPr="00DD1B58">
            <w:rPr>
              <w:lang w:val="en-US"/>
            </w:rPr>
            <w:fldChar w:fldCharType="begin"/>
          </w:r>
          <w:r w:rsidR="00083367" w:rsidRPr="00DD1B58">
            <w:rPr>
              <w:lang w:val="en-US"/>
            </w:rPr>
            <w:instrText xml:space="preserve"> CITATION Off20 \l 2057 </w:instrText>
          </w:r>
          <w:r w:rsidR="00083367" w:rsidRPr="00DD1B58">
            <w:rPr>
              <w:lang w:val="en-US"/>
            </w:rPr>
            <w:fldChar w:fldCharType="separate"/>
          </w:r>
          <w:r w:rsidR="00DF47DA" w:rsidRPr="00DF47DA">
            <w:rPr>
              <w:noProof/>
              <w:lang w:val="en-US"/>
            </w:rPr>
            <w:t>[15]</w:t>
          </w:r>
          <w:r w:rsidR="00083367" w:rsidRPr="00DD1B58">
            <w:rPr>
              <w:lang w:val="en-US"/>
            </w:rPr>
            <w:fldChar w:fldCharType="end"/>
          </w:r>
        </w:sdtContent>
      </w:sdt>
      <w:sdt>
        <w:sdtPr>
          <w:rPr>
            <w:lang w:val="en-US"/>
          </w:rPr>
          <w:id w:val="554511276"/>
          <w:citation/>
        </w:sdtPr>
        <w:sdtContent>
          <w:r w:rsidR="00083367" w:rsidRPr="00DD1B58">
            <w:rPr>
              <w:lang w:val="en-US"/>
            </w:rPr>
            <w:fldChar w:fldCharType="begin"/>
          </w:r>
          <w:r w:rsidR="00083367" w:rsidRPr="00DD1B58">
            <w:rPr>
              <w:lang w:val="en-US"/>
            </w:rPr>
            <w:instrText xml:space="preserve"> CITATION ONR4 \l 2057 </w:instrText>
          </w:r>
          <w:r w:rsidR="00083367" w:rsidRPr="00DD1B58">
            <w:rPr>
              <w:lang w:val="en-US"/>
            </w:rPr>
            <w:fldChar w:fldCharType="separate"/>
          </w:r>
          <w:r w:rsidR="00DF47DA">
            <w:rPr>
              <w:noProof/>
              <w:lang w:val="en-US"/>
            </w:rPr>
            <w:t xml:space="preserve"> </w:t>
          </w:r>
          <w:r w:rsidR="00DF47DA" w:rsidRPr="00DF47DA">
            <w:rPr>
              <w:noProof/>
              <w:lang w:val="en-US"/>
            </w:rPr>
            <w:t>[16]</w:t>
          </w:r>
          <w:r w:rsidR="00083367" w:rsidRPr="00DD1B58">
            <w:rPr>
              <w:lang w:val="en-US"/>
            </w:rPr>
            <w:fldChar w:fldCharType="end"/>
          </w:r>
        </w:sdtContent>
      </w:sdt>
      <w:r w:rsidR="001D15C1" w:rsidRPr="00DD1B58">
        <w:rPr>
          <w:lang w:val="en-US"/>
        </w:rPr>
        <w:t>.</w:t>
      </w:r>
      <w:r w:rsidR="00C744BA" w:rsidRPr="00DD1B58">
        <w:rPr>
          <w:lang w:val="en-US"/>
        </w:rPr>
        <w:t xml:space="preserve"> </w:t>
      </w:r>
      <w:r w:rsidR="001D15C1" w:rsidRPr="00DD1B58">
        <w:rPr>
          <w:lang w:val="en-US"/>
        </w:rPr>
        <w:t>C</w:t>
      </w:r>
      <w:r w:rsidR="00C744BA" w:rsidRPr="00DD1B58">
        <w:rPr>
          <w:lang w:val="en-US"/>
        </w:rPr>
        <w:t xml:space="preserve">onsistent with the </w:t>
      </w:r>
      <w:r w:rsidR="00EC13C6" w:rsidRPr="00DD1B58">
        <w:rPr>
          <w:lang w:val="en-US"/>
        </w:rPr>
        <w:t>relevant IAEA and WENRA documentation</w:t>
      </w:r>
      <w:r w:rsidR="001D15C1" w:rsidRPr="00DD1B58">
        <w:rPr>
          <w:lang w:val="en-US"/>
        </w:rPr>
        <w:t xml:space="preserve">, </w:t>
      </w:r>
      <w:r w:rsidR="0037774F" w:rsidRPr="00DD1B58">
        <w:rPr>
          <w:lang w:val="en-US"/>
        </w:rPr>
        <w:t>ONR expects</w:t>
      </w:r>
      <w:r w:rsidR="003F2A9A" w:rsidRPr="00DD1B58">
        <w:rPr>
          <w:lang w:val="en-US"/>
        </w:rPr>
        <w:t xml:space="preserve"> suitable fire consequence analysis methods and models </w:t>
      </w:r>
      <w:r w:rsidR="0037774F" w:rsidRPr="00DD1B58">
        <w:rPr>
          <w:lang w:val="en-US"/>
        </w:rPr>
        <w:t xml:space="preserve">to be </w:t>
      </w:r>
      <w:r w:rsidR="003F2A9A" w:rsidRPr="00DD1B58">
        <w:rPr>
          <w:lang w:val="en-US"/>
        </w:rPr>
        <w:t xml:space="preserve">applied </w:t>
      </w:r>
      <w:r w:rsidR="0037774F" w:rsidRPr="00DD1B58">
        <w:rPr>
          <w:lang w:val="en-US"/>
        </w:rPr>
        <w:t>in the estimation of fire severity</w:t>
      </w:r>
      <w:r w:rsidR="003F2A9A" w:rsidRPr="00DD1B58">
        <w:rPr>
          <w:lang w:val="en-US"/>
        </w:rPr>
        <w:t xml:space="preserve"> (SAPs EHA.1, EHA.5, EHA.6</w:t>
      </w:r>
      <w:r w:rsidR="00730CAE" w:rsidRPr="00DD1B58">
        <w:rPr>
          <w:lang w:val="en-US"/>
        </w:rPr>
        <w:t xml:space="preserve"> </w:t>
      </w:r>
      <w:sdt>
        <w:sdtPr>
          <w:rPr>
            <w:lang w:val="en-US"/>
          </w:rPr>
          <w:id w:val="-694848752"/>
          <w:citation/>
        </w:sdtPr>
        <w:sdtContent>
          <w:r w:rsidR="0017435B" w:rsidRPr="00DD1B58">
            <w:rPr>
              <w:lang w:val="en-US"/>
            </w:rPr>
            <w:fldChar w:fldCharType="begin"/>
          </w:r>
          <w:r w:rsidR="0017435B" w:rsidRPr="00DD1B58">
            <w:rPr>
              <w:lang w:val="en-US"/>
            </w:rPr>
            <w:instrText xml:space="preserve"> CITATION Off20 \l 2057 </w:instrText>
          </w:r>
          <w:r w:rsidR="0017435B" w:rsidRPr="00DD1B58">
            <w:rPr>
              <w:lang w:val="en-US"/>
            </w:rPr>
            <w:fldChar w:fldCharType="separate"/>
          </w:r>
          <w:r w:rsidR="00DF47DA" w:rsidRPr="00DF47DA">
            <w:rPr>
              <w:noProof/>
              <w:lang w:val="en-US"/>
            </w:rPr>
            <w:t>[15]</w:t>
          </w:r>
          <w:r w:rsidR="0017435B" w:rsidRPr="00DD1B58">
            <w:rPr>
              <w:lang w:val="en-US"/>
            </w:rPr>
            <w:fldChar w:fldCharType="end"/>
          </w:r>
        </w:sdtContent>
      </w:sdt>
      <w:r w:rsidR="003F2A9A" w:rsidRPr="00DD1B58">
        <w:rPr>
          <w:lang w:val="en-US"/>
        </w:rPr>
        <w:t xml:space="preserve">) and that the outputs from fire and ignition source identification </w:t>
      </w:r>
      <w:r w:rsidR="009018AC" w:rsidRPr="00DD1B58">
        <w:rPr>
          <w:lang w:val="en-US"/>
        </w:rPr>
        <w:t xml:space="preserve">are </w:t>
      </w:r>
      <w:r w:rsidR="0039299B" w:rsidRPr="00DD1B58">
        <w:rPr>
          <w:lang w:val="en-US"/>
        </w:rPr>
        <w:t>taken</w:t>
      </w:r>
      <w:r w:rsidR="003F2A9A" w:rsidRPr="00DD1B58">
        <w:rPr>
          <w:lang w:val="en-US"/>
        </w:rPr>
        <w:t xml:space="preserve"> forward for analysis.</w:t>
      </w:r>
      <w:r w:rsidR="00AF09F1" w:rsidRPr="00DD1B58">
        <w:rPr>
          <w:lang w:val="en-US"/>
        </w:rPr>
        <w:t xml:space="preserve"> Consequences to SSCs and performance requirements for fire safety measures should</w:t>
      </w:r>
      <w:r w:rsidR="0039299B" w:rsidRPr="00DD1B58">
        <w:rPr>
          <w:lang w:val="en-US"/>
        </w:rPr>
        <w:t xml:space="preserve"> then</w:t>
      </w:r>
      <w:r w:rsidR="00AF09F1" w:rsidRPr="00DD1B58">
        <w:rPr>
          <w:lang w:val="en-US"/>
        </w:rPr>
        <w:t xml:space="preserve"> be determined.</w:t>
      </w:r>
    </w:p>
    <w:p w14:paraId="1F11252C" w14:textId="3E923D63" w:rsidR="00AE30AA" w:rsidRPr="00DD1B58" w:rsidRDefault="004668E0" w:rsidP="003A1E94">
      <w:pPr>
        <w:rPr>
          <w:lang w:val="en-US"/>
        </w:rPr>
      </w:pPr>
      <w:r w:rsidRPr="00DD1B58">
        <w:rPr>
          <w:lang w:val="en-US"/>
        </w:rPr>
        <w:t>Sellafield Ltd.</w:t>
      </w:r>
      <w:r w:rsidR="00861E9B" w:rsidRPr="00DD1B58">
        <w:rPr>
          <w:lang w:val="en-US"/>
        </w:rPr>
        <w:t xml:space="preserve"> set</w:t>
      </w:r>
      <w:r w:rsidR="009018AC" w:rsidRPr="00DD1B58">
        <w:rPr>
          <w:lang w:val="en-US"/>
        </w:rPr>
        <w:t>s</w:t>
      </w:r>
      <w:r w:rsidR="00861E9B" w:rsidRPr="00DD1B58">
        <w:rPr>
          <w:lang w:val="en-US"/>
        </w:rPr>
        <w:t xml:space="preserve"> out how tools are selected for analysis of fire behaviour and provide</w:t>
      </w:r>
      <w:r w:rsidR="009018AC" w:rsidRPr="00DD1B58">
        <w:rPr>
          <w:lang w:val="en-US"/>
        </w:rPr>
        <w:t>s</w:t>
      </w:r>
      <w:r w:rsidR="00861E9B" w:rsidRPr="00DD1B58">
        <w:rPr>
          <w:lang w:val="en-US"/>
        </w:rPr>
        <w:t xml:space="preserve"> description of the factors applied in these decisions. This include</w:t>
      </w:r>
      <w:r w:rsidR="009018AC" w:rsidRPr="00DD1B58">
        <w:rPr>
          <w:lang w:val="en-US"/>
        </w:rPr>
        <w:t>s</w:t>
      </w:r>
      <w:r w:rsidR="00861E9B" w:rsidRPr="00DD1B58">
        <w:rPr>
          <w:lang w:val="en-US"/>
        </w:rPr>
        <w:t xml:space="preserve"> hand calculations, zone models, and where appropriate, CFD. </w:t>
      </w:r>
      <w:r w:rsidRPr="00DD1B58">
        <w:rPr>
          <w:lang w:val="en-US"/>
        </w:rPr>
        <w:t>Sellafield Ltd.</w:t>
      </w:r>
      <w:r w:rsidR="00932E26" w:rsidRPr="00DD1B58">
        <w:rPr>
          <w:lang w:val="en-US"/>
        </w:rPr>
        <w:t xml:space="preserve"> describ</w:t>
      </w:r>
      <w:r w:rsidR="009018AC" w:rsidRPr="00DD1B58">
        <w:rPr>
          <w:lang w:val="en-US"/>
        </w:rPr>
        <w:t>es</w:t>
      </w:r>
      <w:r w:rsidR="00932E26" w:rsidRPr="00DD1B58">
        <w:rPr>
          <w:lang w:val="en-US"/>
        </w:rPr>
        <w:t xml:space="preserve"> a proportionate, graded approach to tool selection that is in line with ONR expectations</w:t>
      </w:r>
      <w:r w:rsidR="00C129F7" w:rsidRPr="00DD1B58">
        <w:rPr>
          <w:lang w:val="en-US"/>
        </w:rPr>
        <w:t>.</w:t>
      </w:r>
      <w:r w:rsidR="0039299B" w:rsidRPr="00DD1B58">
        <w:rPr>
          <w:lang w:val="en-US"/>
        </w:rPr>
        <w:t xml:space="preserve"> Furthermore, the </w:t>
      </w:r>
      <w:r w:rsidR="00D31A51" w:rsidRPr="00DD1B58">
        <w:rPr>
          <w:lang w:val="en-US"/>
        </w:rPr>
        <w:t>use of site-specific data utilising building layout and review of the Building Information Models (BIM) is seen as a specific area of good practice</w:t>
      </w:r>
      <w:r w:rsidR="0027310A" w:rsidRPr="00DD1B58">
        <w:rPr>
          <w:lang w:val="en-US"/>
        </w:rPr>
        <w:t xml:space="preserve"> against SAPs AV.1</w:t>
      </w:r>
      <w:r w:rsidR="00821B2E" w:rsidRPr="00DD1B58">
        <w:rPr>
          <w:lang w:val="en-US"/>
        </w:rPr>
        <w:t xml:space="preserve"> by ONR</w:t>
      </w:r>
      <w:r w:rsidR="0017435B" w:rsidRPr="00DD1B58">
        <w:rPr>
          <w:lang w:val="en-US"/>
        </w:rPr>
        <w:t xml:space="preserve"> </w:t>
      </w:r>
      <w:sdt>
        <w:sdtPr>
          <w:rPr>
            <w:lang w:val="en-US"/>
          </w:rPr>
          <w:id w:val="-198325324"/>
          <w:citation/>
        </w:sdtPr>
        <w:sdtContent>
          <w:r w:rsidR="0017435B" w:rsidRPr="00DD1B58">
            <w:rPr>
              <w:lang w:val="en-US"/>
            </w:rPr>
            <w:fldChar w:fldCharType="begin"/>
          </w:r>
          <w:r w:rsidR="0017435B" w:rsidRPr="00DD1B58">
            <w:rPr>
              <w:lang w:val="en-US"/>
            </w:rPr>
            <w:instrText xml:space="preserve"> CITATION Off20 \l 2057 </w:instrText>
          </w:r>
          <w:r w:rsidR="0017435B" w:rsidRPr="00DD1B58">
            <w:rPr>
              <w:lang w:val="en-US"/>
            </w:rPr>
            <w:fldChar w:fldCharType="separate"/>
          </w:r>
          <w:r w:rsidR="00DF47DA" w:rsidRPr="00DF47DA">
            <w:rPr>
              <w:noProof/>
              <w:lang w:val="en-US"/>
            </w:rPr>
            <w:t>[15]</w:t>
          </w:r>
          <w:r w:rsidR="0017435B" w:rsidRPr="00DD1B58">
            <w:rPr>
              <w:lang w:val="en-US"/>
            </w:rPr>
            <w:fldChar w:fldCharType="end"/>
          </w:r>
        </w:sdtContent>
      </w:sdt>
      <w:r w:rsidR="0027310A" w:rsidRPr="00DD1B58">
        <w:rPr>
          <w:lang w:val="en-US"/>
        </w:rPr>
        <w:t>.</w:t>
      </w:r>
    </w:p>
    <w:p w14:paraId="7A25DD34" w14:textId="5043DD7D" w:rsidR="00AE30AA" w:rsidRPr="00DD1B58" w:rsidRDefault="000312AE" w:rsidP="003A1E94">
      <w:pPr>
        <w:rPr>
          <w:lang w:val="en-US"/>
        </w:rPr>
      </w:pPr>
      <w:r w:rsidRPr="00DD1B58">
        <w:rPr>
          <w:lang w:val="en-US"/>
        </w:rPr>
        <w:t xml:space="preserve">As described in </w:t>
      </w:r>
      <w:r w:rsidR="009018AC" w:rsidRPr="00DD1B58">
        <w:rPr>
          <w:lang w:val="en-US"/>
        </w:rPr>
        <w:t>S</w:t>
      </w:r>
      <w:r w:rsidRPr="00DD1B58">
        <w:rPr>
          <w:lang w:val="en-US"/>
        </w:rPr>
        <w:t xml:space="preserve">ection </w:t>
      </w:r>
      <w:r w:rsidR="00C21491" w:rsidRPr="00DD1B58">
        <w:rPr>
          <w:lang w:val="en-US"/>
        </w:rPr>
        <w:fldChar w:fldCharType="begin"/>
      </w:r>
      <w:r w:rsidR="00C21491" w:rsidRPr="00DD1B58">
        <w:rPr>
          <w:lang w:val="en-US"/>
        </w:rPr>
        <w:instrText xml:space="preserve"> REF _Ref139552667 \r \h </w:instrText>
      </w:r>
      <w:r w:rsidR="00C21491" w:rsidRPr="00DD1B58">
        <w:rPr>
          <w:lang w:val="en-US"/>
        </w:rPr>
      </w:r>
      <w:r w:rsidR="00C21491" w:rsidRPr="00DD1B58">
        <w:rPr>
          <w:lang w:val="en-US"/>
        </w:rPr>
        <w:fldChar w:fldCharType="separate"/>
      </w:r>
      <w:r w:rsidR="00DF47DA">
        <w:rPr>
          <w:lang w:val="en-US"/>
        </w:rPr>
        <w:t>I-2.5.1</w:t>
      </w:r>
      <w:r w:rsidR="00C21491" w:rsidRPr="00DD1B58">
        <w:rPr>
          <w:lang w:val="en-US"/>
        </w:rPr>
        <w:fldChar w:fldCharType="end"/>
      </w:r>
      <w:r w:rsidRPr="00DD1B58">
        <w:rPr>
          <w:lang w:val="en-US"/>
        </w:rPr>
        <w:t xml:space="preserve">, </w:t>
      </w:r>
      <w:r w:rsidR="004668E0" w:rsidRPr="00DD1B58">
        <w:rPr>
          <w:lang w:val="en-US"/>
        </w:rPr>
        <w:t xml:space="preserve">Sellafield Ltd. </w:t>
      </w:r>
      <w:r w:rsidR="00F9697A" w:rsidRPr="00DD1B58">
        <w:rPr>
          <w:lang w:val="en-US"/>
        </w:rPr>
        <w:t>considers</w:t>
      </w:r>
      <w:r w:rsidR="007E635A" w:rsidRPr="00DD1B58">
        <w:rPr>
          <w:lang w:val="en-US"/>
        </w:rPr>
        <w:t>, via</w:t>
      </w:r>
      <w:r w:rsidR="00F9697A" w:rsidRPr="00DD1B58">
        <w:rPr>
          <w:lang w:val="en-US"/>
        </w:rPr>
        <w:t xml:space="preserve"> application of</w:t>
      </w:r>
      <w:r w:rsidR="007E635A" w:rsidRPr="00DD1B58">
        <w:rPr>
          <w:lang w:val="en-US"/>
        </w:rPr>
        <w:t xml:space="preserve"> its </w:t>
      </w:r>
      <w:r w:rsidR="00C34BB5" w:rsidRPr="00DD1B58">
        <w:rPr>
          <w:rFonts w:asciiTheme="minorHAnsi" w:hAnsiTheme="minorHAnsi" w:cstheme="minorHAnsi"/>
          <w:color w:val="000000"/>
          <w:lang w:val="en-US" w:eastAsia="de-DE"/>
        </w:rPr>
        <w:t>Safety Case Process and Methods Technical Guidance on Nuclear Fire Safety Analysis</w:t>
      </w:r>
      <w:r w:rsidR="00F9697A" w:rsidRPr="00DD1B58">
        <w:rPr>
          <w:lang w:val="en-US"/>
        </w:rPr>
        <w:t xml:space="preserve">, </w:t>
      </w:r>
      <w:r w:rsidR="00690072" w:rsidRPr="00DD1B58">
        <w:rPr>
          <w:lang w:val="en-US"/>
        </w:rPr>
        <w:t xml:space="preserve">key </w:t>
      </w:r>
      <w:r w:rsidR="00EA04F1" w:rsidRPr="00DD1B58">
        <w:rPr>
          <w:lang w:val="en-US"/>
        </w:rPr>
        <w:t>principles</w:t>
      </w:r>
      <w:r w:rsidR="00690072" w:rsidRPr="00DD1B58">
        <w:rPr>
          <w:lang w:val="en-US"/>
        </w:rPr>
        <w:t xml:space="preserve"> including </w:t>
      </w:r>
      <w:r w:rsidR="00605397" w:rsidRPr="00DD1B58">
        <w:rPr>
          <w:lang w:val="en-US"/>
        </w:rPr>
        <w:t xml:space="preserve">fire effects on safety functions, </w:t>
      </w:r>
      <w:r w:rsidR="00FC2773" w:rsidRPr="00DD1B58">
        <w:rPr>
          <w:lang w:val="en-US"/>
        </w:rPr>
        <w:t xml:space="preserve">fire </w:t>
      </w:r>
      <w:r w:rsidR="00EA04F1" w:rsidRPr="00DD1B58">
        <w:rPr>
          <w:lang w:val="en-US"/>
        </w:rPr>
        <w:t>initiation</w:t>
      </w:r>
      <w:r w:rsidR="00FC2773" w:rsidRPr="00DD1B58">
        <w:rPr>
          <w:lang w:val="en-US"/>
        </w:rPr>
        <w:t xml:space="preserve"> of fault sequences,</w:t>
      </w:r>
      <w:r w:rsidR="00EA04F1" w:rsidRPr="00DD1B58">
        <w:rPr>
          <w:lang w:val="en-US"/>
        </w:rPr>
        <w:t xml:space="preserve"> fire impacts on consequences and initiation frequencies</w:t>
      </w:r>
      <w:r w:rsidR="00AB36A0" w:rsidRPr="00DD1B58">
        <w:rPr>
          <w:lang w:val="en-US"/>
        </w:rPr>
        <w:t xml:space="preserve"> and a deterministic approach based on an adequate level of passive fire protection to contain the worst foreseeable fire.</w:t>
      </w:r>
      <w:r w:rsidR="001279C9" w:rsidRPr="00DD1B58">
        <w:rPr>
          <w:lang w:val="en-US"/>
        </w:rPr>
        <w:t xml:space="preserve"> </w:t>
      </w:r>
      <w:r w:rsidR="006156A2" w:rsidRPr="00DD1B58">
        <w:rPr>
          <w:lang w:val="en-US"/>
        </w:rPr>
        <w:t xml:space="preserve">ONR </w:t>
      </w:r>
      <w:r w:rsidR="001279C9" w:rsidRPr="00DD1B58">
        <w:rPr>
          <w:lang w:val="en-US"/>
        </w:rPr>
        <w:t xml:space="preserve">judges </w:t>
      </w:r>
      <w:r w:rsidR="006156A2" w:rsidRPr="00DD1B58">
        <w:rPr>
          <w:lang w:val="en-US"/>
        </w:rPr>
        <w:t>that t</w:t>
      </w:r>
      <w:r w:rsidR="00863F45" w:rsidRPr="00DD1B58">
        <w:rPr>
          <w:lang w:val="en-US"/>
        </w:rPr>
        <w:t>his</w:t>
      </w:r>
      <w:r w:rsidR="006156A2" w:rsidRPr="00DD1B58">
        <w:rPr>
          <w:lang w:val="en-US"/>
        </w:rPr>
        <w:t xml:space="preserve"> approach</w:t>
      </w:r>
      <w:r w:rsidR="00863F45" w:rsidRPr="00DD1B58">
        <w:rPr>
          <w:lang w:val="en-US"/>
        </w:rPr>
        <w:t xml:space="preserve"> </w:t>
      </w:r>
      <w:r w:rsidR="001279C9" w:rsidRPr="00DD1B58">
        <w:rPr>
          <w:lang w:val="en-US"/>
        </w:rPr>
        <w:t xml:space="preserve">is aligned </w:t>
      </w:r>
      <w:r w:rsidR="00C20EE5" w:rsidRPr="00DD1B58">
        <w:rPr>
          <w:lang w:val="en-US"/>
        </w:rPr>
        <w:t>with k</w:t>
      </w:r>
      <w:r w:rsidR="00FC4141" w:rsidRPr="00DD1B58">
        <w:rPr>
          <w:lang w:val="en-US"/>
        </w:rPr>
        <w:t>ey</w:t>
      </w:r>
      <w:r w:rsidR="0027310A" w:rsidRPr="00DD1B58">
        <w:rPr>
          <w:lang w:val="en-US"/>
        </w:rPr>
        <w:t xml:space="preserve"> </w:t>
      </w:r>
      <w:r w:rsidR="00FC4141" w:rsidRPr="00DD1B58">
        <w:rPr>
          <w:lang w:val="en-US"/>
        </w:rPr>
        <w:t xml:space="preserve">principles </w:t>
      </w:r>
      <w:r w:rsidR="0027310A" w:rsidRPr="00DD1B58">
        <w:rPr>
          <w:lang w:val="en-US"/>
        </w:rPr>
        <w:t xml:space="preserve">for deterministic fire hazard analysis </w:t>
      </w:r>
      <w:r w:rsidR="008661E6" w:rsidRPr="00DD1B58">
        <w:rPr>
          <w:lang w:val="en-US"/>
        </w:rPr>
        <w:t>as set out in IAEA SSG-2</w:t>
      </w:r>
      <w:r w:rsidR="00836C82" w:rsidRPr="00DD1B58">
        <w:rPr>
          <w:lang w:val="en-US"/>
        </w:rPr>
        <w:t xml:space="preserve"> </w:t>
      </w:r>
      <w:sdt>
        <w:sdtPr>
          <w:rPr>
            <w:lang w:val="en-US"/>
          </w:rPr>
          <w:id w:val="708760633"/>
          <w:citation/>
        </w:sdtPr>
        <w:sdtContent>
          <w:r w:rsidR="003E3A16" w:rsidRPr="00DD1B58">
            <w:rPr>
              <w:lang w:val="en-US"/>
            </w:rPr>
            <w:fldChar w:fldCharType="begin"/>
          </w:r>
          <w:r w:rsidR="003E3A16" w:rsidRPr="00DD1B58">
            <w:rPr>
              <w:lang w:val="en-US"/>
            </w:rPr>
            <w:instrText xml:space="preserve"> CITATION Int19 \l 2057 </w:instrText>
          </w:r>
          <w:r w:rsidR="003E3A16" w:rsidRPr="00DD1B58">
            <w:rPr>
              <w:lang w:val="en-US"/>
            </w:rPr>
            <w:fldChar w:fldCharType="separate"/>
          </w:r>
          <w:r w:rsidR="00DF47DA" w:rsidRPr="00DF47DA">
            <w:rPr>
              <w:noProof/>
              <w:lang w:val="en-US"/>
            </w:rPr>
            <w:t>[34]</w:t>
          </w:r>
          <w:r w:rsidR="003E3A16" w:rsidRPr="00DD1B58">
            <w:rPr>
              <w:lang w:val="en-US"/>
            </w:rPr>
            <w:fldChar w:fldCharType="end"/>
          </w:r>
        </w:sdtContent>
      </w:sdt>
      <w:r w:rsidR="008661E6" w:rsidRPr="00DD1B58">
        <w:rPr>
          <w:lang w:val="en-US"/>
        </w:rPr>
        <w:t xml:space="preserve">, </w:t>
      </w:r>
      <w:r w:rsidR="003F4EC7" w:rsidRPr="00DD1B58">
        <w:rPr>
          <w:lang w:val="en-US"/>
        </w:rPr>
        <w:t xml:space="preserve">SSG-64 </w:t>
      </w:r>
      <w:sdt>
        <w:sdtPr>
          <w:rPr>
            <w:lang w:val="en-US"/>
          </w:rPr>
          <w:id w:val="495388181"/>
          <w:citation/>
        </w:sdtPr>
        <w:sdtContent>
          <w:r w:rsidR="00AC7F95" w:rsidRPr="00DD1B58">
            <w:rPr>
              <w:lang w:val="en-US"/>
            </w:rPr>
            <w:fldChar w:fldCharType="begin"/>
          </w:r>
          <w:r w:rsidR="00AC7F95" w:rsidRPr="00DD1B58">
            <w:rPr>
              <w:lang w:val="en-US"/>
            </w:rPr>
            <w:instrText xml:space="preserve"> CITATION IAE5 \l 2057 </w:instrText>
          </w:r>
          <w:r w:rsidR="00AC7F95" w:rsidRPr="00DD1B58">
            <w:rPr>
              <w:lang w:val="en-US"/>
            </w:rPr>
            <w:fldChar w:fldCharType="separate"/>
          </w:r>
          <w:r w:rsidR="00DF47DA" w:rsidRPr="00DF47DA">
            <w:rPr>
              <w:noProof/>
              <w:lang w:val="en-US"/>
            </w:rPr>
            <w:t>[17]</w:t>
          </w:r>
          <w:r w:rsidR="00AC7F95" w:rsidRPr="00DD1B58">
            <w:rPr>
              <w:lang w:val="en-US"/>
            </w:rPr>
            <w:fldChar w:fldCharType="end"/>
          </w:r>
        </w:sdtContent>
      </w:sdt>
      <w:r w:rsidR="00AC7F95" w:rsidRPr="00DD1B58">
        <w:rPr>
          <w:lang w:val="en-US"/>
        </w:rPr>
        <w:t xml:space="preserve"> </w:t>
      </w:r>
      <w:r w:rsidR="003F4EC7" w:rsidRPr="00DD1B58">
        <w:rPr>
          <w:lang w:val="en-US"/>
        </w:rPr>
        <w:t xml:space="preserve">and ONR SAPs </w:t>
      </w:r>
      <w:r w:rsidR="00AF351A" w:rsidRPr="00DD1B58">
        <w:rPr>
          <w:lang w:val="en-US"/>
        </w:rPr>
        <w:t>and TAGs</w:t>
      </w:r>
      <w:r w:rsidR="0017435B" w:rsidRPr="00DD1B58">
        <w:rPr>
          <w:lang w:val="en-US"/>
        </w:rPr>
        <w:t xml:space="preserve"> </w:t>
      </w:r>
      <w:sdt>
        <w:sdtPr>
          <w:rPr>
            <w:lang w:val="en-US"/>
          </w:rPr>
          <w:id w:val="-1643342026"/>
          <w:citation/>
        </w:sdtPr>
        <w:sdtContent>
          <w:r w:rsidR="0017435B" w:rsidRPr="00DD1B58">
            <w:rPr>
              <w:lang w:val="en-US"/>
            </w:rPr>
            <w:fldChar w:fldCharType="begin"/>
          </w:r>
          <w:r w:rsidR="0017435B" w:rsidRPr="00DD1B58">
            <w:rPr>
              <w:lang w:val="en-US"/>
            </w:rPr>
            <w:instrText xml:space="preserve"> CITATION Off20 \l 2057 </w:instrText>
          </w:r>
          <w:r w:rsidR="0017435B" w:rsidRPr="00DD1B58">
            <w:rPr>
              <w:lang w:val="en-US"/>
            </w:rPr>
            <w:fldChar w:fldCharType="separate"/>
          </w:r>
          <w:r w:rsidR="00DF47DA" w:rsidRPr="00DF47DA">
            <w:rPr>
              <w:noProof/>
              <w:lang w:val="en-US"/>
            </w:rPr>
            <w:t>[15]</w:t>
          </w:r>
          <w:r w:rsidR="0017435B" w:rsidRPr="00DD1B58">
            <w:rPr>
              <w:lang w:val="en-US"/>
            </w:rPr>
            <w:fldChar w:fldCharType="end"/>
          </w:r>
        </w:sdtContent>
      </w:sdt>
      <w:sdt>
        <w:sdtPr>
          <w:rPr>
            <w:lang w:val="en-US"/>
          </w:rPr>
          <w:id w:val="1238517789"/>
          <w:citation/>
        </w:sdtPr>
        <w:sdtContent>
          <w:r w:rsidR="00083367" w:rsidRPr="00DD1B58">
            <w:rPr>
              <w:lang w:val="en-US"/>
            </w:rPr>
            <w:fldChar w:fldCharType="begin"/>
          </w:r>
          <w:r w:rsidR="00083367" w:rsidRPr="00DD1B58">
            <w:rPr>
              <w:lang w:val="en-US"/>
            </w:rPr>
            <w:instrText xml:space="preserve"> CITATION ONR4 \l 2057 </w:instrText>
          </w:r>
          <w:r w:rsidR="00083367" w:rsidRPr="00DD1B58">
            <w:rPr>
              <w:lang w:val="en-US"/>
            </w:rPr>
            <w:fldChar w:fldCharType="separate"/>
          </w:r>
          <w:r w:rsidR="00DF47DA">
            <w:rPr>
              <w:noProof/>
              <w:lang w:val="en-US"/>
            </w:rPr>
            <w:t xml:space="preserve"> </w:t>
          </w:r>
          <w:r w:rsidR="00DF47DA" w:rsidRPr="00DF47DA">
            <w:rPr>
              <w:noProof/>
              <w:lang w:val="en-US"/>
            </w:rPr>
            <w:t>[16]</w:t>
          </w:r>
          <w:r w:rsidR="00083367" w:rsidRPr="00DD1B58">
            <w:rPr>
              <w:lang w:val="en-US"/>
            </w:rPr>
            <w:fldChar w:fldCharType="end"/>
          </w:r>
        </w:sdtContent>
      </w:sdt>
      <w:r w:rsidR="00CD0442" w:rsidRPr="00DD1B58">
        <w:rPr>
          <w:lang w:val="en-US"/>
        </w:rPr>
        <w:t>.</w:t>
      </w:r>
    </w:p>
    <w:p w14:paraId="19A40782" w14:textId="12D76C15" w:rsidR="00D31A51" w:rsidRPr="00DD1B58" w:rsidRDefault="001279C9" w:rsidP="003A1E94">
      <w:pPr>
        <w:rPr>
          <w:lang w:val="en-US"/>
        </w:rPr>
      </w:pPr>
      <w:r w:rsidRPr="00DD1B58">
        <w:rPr>
          <w:lang w:val="en-US"/>
        </w:rPr>
        <w:t xml:space="preserve">Sellafield’s </w:t>
      </w:r>
      <w:r w:rsidR="00132C94" w:rsidRPr="00DD1B58">
        <w:rPr>
          <w:lang w:val="en-US"/>
        </w:rPr>
        <w:t>reporting of the BEPPS-DIF fire analysis</w:t>
      </w:r>
      <w:r w:rsidR="00D31A51" w:rsidRPr="00DD1B58">
        <w:rPr>
          <w:lang w:val="en-US"/>
        </w:rPr>
        <w:t xml:space="preserve"> </w:t>
      </w:r>
      <w:r w:rsidRPr="00DD1B58">
        <w:rPr>
          <w:lang w:val="en-US"/>
        </w:rPr>
        <w:t xml:space="preserve">shows </w:t>
      </w:r>
      <w:r w:rsidR="00015C60" w:rsidRPr="00DD1B58">
        <w:rPr>
          <w:lang w:val="en-US"/>
        </w:rPr>
        <w:t>some of the</w:t>
      </w:r>
      <w:r w:rsidR="00D31A51" w:rsidRPr="00DD1B58">
        <w:rPr>
          <w:lang w:val="en-US"/>
        </w:rPr>
        <w:t xml:space="preserve"> breadth of fire hazard analysis applied at Sellafield and how a deterministic approach is generally taken</w:t>
      </w:r>
      <w:r w:rsidRPr="00DD1B58">
        <w:rPr>
          <w:lang w:val="en-US"/>
        </w:rPr>
        <w:t>,</w:t>
      </w:r>
      <w:r w:rsidR="00D31A51" w:rsidRPr="00DD1B58">
        <w:rPr>
          <w:lang w:val="en-US"/>
        </w:rPr>
        <w:t xml:space="preserve"> based on an adequate level of passive fire protection to contain the worst foreseeable fire in line with ONR’s expectations. </w:t>
      </w:r>
      <w:r w:rsidR="004668E0" w:rsidRPr="00DD1B58">
        <w:rPr>
          <w:lang w:val="en-US"/>
        </w:rPr>
        <w:t>Sellafield Ltd.</w:t>
      </w:r>
      <w:r w:rsidR="00E4082D" w:rsidRPr="00DD1B58">
        <w:rPr>
          <w:lang w:val="en-US"/>
        </w:rPr>
        <w:t xml:space="preserve"> </w:t>
      </w:r>
      <w:r w:rsidR="004A36F8" w:rsidRPr="00DD1B58">
        <w:rPr>
          <w:lang w:val="en-US"/>
        </w:rPr>
        <w:t>provide</w:t>
      </w:r>
      <w:r w:rsidR="009018AC" w:rsidRPr="00DD1B58">
        <w:rPr>
          <w:lang w:val="en-US"/>
        </w:rPr>
        <w:t>s</w:t>
      </w:r>
      <w:r w:rsidR="004A36F8" w:rsidRPr="00DD1B58">
        <w:rPr>
          <w:lang w:val="en-US"/>
        </w:rPr>
        <w:t xml:space="preserve"> evidence that </w:t>
      </w:r>
      <w:r w:rsidRPr="00DD1B58">
        <w:rPr>
          <w:lang w:val="en-US"/>
        </w:rPr>
        <w:t xml:space="preserve">the </w:t>
      </w:r>
      <w:r w:rsidR="00CD3FCF" w:rsidRPr="00DD1B58">
        <w:rPr>
          <w:lang w:val="en-US"/>
        </w:rPr>
        <w:t>approach is generically applied across its estate as appropriate and supported by well-established and benchmarked arrangements.</w:t>
      </w:r>
    </w:p>
    <w:p w14:paraId="44C0C431" w14:textId="624EB09A" w:rsidR="0062581D" w:rsidRPr="00DD1B58" w:rsidRDefault="004668E0" w:rsidP="003A1E94">
      <w:pPr>
        <w:rPr>
          <w:lang w:val="en-US"/>
        </w:rPr>
      </w:pPr>
      <w:r w:rsidRPr="00DD1B58">
        <w:rPr>
          <w:lang w:val="en-US"/>
        </w:rPr>
        <w:t>Sellafield Ltd.</w:t>
      </w:r>
      <w:r w:rsidR="0062581D" w:rsidRPr="00DD1B58">
        <w:rPr>
          <w:lang w:val="en-US"/>
        </w:rPr>
        <w:t xml:space="preserve"> </w:t>
      </w:r>
      <w:r w:rsidR="005E068A" w:rsidRPr="00DD1B58">
        <w:rPr>
          <w:lang w:val="en-US"/>
        </w:rPr>
        <w:t>describe</w:t>
      </w:r>
      <w:r w:rsidR="009018AC" w:rsidRPr="00DD1B58">
        <w:rPr>
          <w:lang w:val="en-US"/>
        </w:rPr>
        <w:t>s</w:t>
      </w:r>
      <w:r w:rsidR="005E068A" w:rsidRPr="00DD1B58">
        <w:rPr>
          <w:lang w:val="en-US"/>
        </w:rPr>
        <w:t xml:space="preserve"> </w:t>
      </w:r>
      <w:r w:rsidR="00B165C0" w:rsidRPr="00DD1B58">
        <w:rPr>
          <w:lang w:val="en-US"/>
        </w:rPr>
        <w:t>how fire service intervention is considered but not claimed within the analysis</w:t>
      </w:r>
      <w:r w:rsidR="00F61D5E" w:rsidRPr="00DD1B58">
        <w:rPr>
          <w:lang w:val="en-US"/>
        </w:rPr>
        <w:t xml:space="preserve"> and how contributions to defence in depth are defined as </w:t>
      </w:r>
      <w:r w:rsidR="00F0357C" w:rsidRPr="00DD1B58">
        <w:rPr>
          <w:lang w:val="en-US"/>
        </w:rPr>
        <w:t>part of building design</w:t>
      </w:r>
      <w:r w:rsidR="00B165C0" w:rsidRPr="00DD1B58">
        <w:rPr>
          <w:lang w:val="en-US"/>
        </w:rPr>
        <w:t>. This approach is in line with ONR SAP</w:t>
      </w:r>
      <w:r w:rsidR="00F13228" w:rsidRPr="00DD1B58">
        <w:rPr>
          <w:lang w:val="en-US"/>
        </w:rPr>
        <w:t>s EKP.3 and para</w:t>
      </w:r>
      <w:r w:rsidR="001279C9" w:rsidRPr="00DD1B58">
        <w:rPr>
          <w:lang w:val="en-US"/>
        </w:rPr>
        <w:t>.</w:t>
      </w:r>
      <w:r w:rsidR="00F13228" w:rsidRPr="00DD1B58">
        <w:rPr>
          <w:lang w:val="en-US"/>
        </w:rPr>
        <w:t xml:space="preserve"> 155</w:t>
      </w:r>
      <w:r w:rsidR="0017435B" w:rsidRPr="00DD1B58">
        <w:rPr>
          <w:lang w:val="en-US"/>
        </w:rPr>
        <w:t xml:space="preserve"> </w:t>
      </w:r>
      <w:sdt>
        <w:sdtPr>
          <w:rPr>
            <w:lang w:val="en-US"/>
          </w:rPr>
          <w:id w:val="1332028908"/>
          <w:citation/>
        </w:sdtPr>
        <w:sdtContent>
          <w:r w:rsidR="0017435B" w:rsidRPr="00DD1B58">
            <w:rPr>
              <w:lang w:val="en-US"/>
            </w:rPr>
            <w:fldChar w:fldCharType="begin"/>
          </w:r>
          <w:r w:rsidR="0017435B" w:rsidRPr="00DD1B58">
            <w:rPr>
              <w:lang w:val="en-US"/>
            </w:rPr>
            <w:instrText xml:space="preserve"> CITATION Off20 \l 2057 </w:instrText>
          </w:r>
          <w:r w:rsidR="0017435B" w:rsidRPr="00DD1B58">
            <w:rPr>
              <w:lang w:val="en-US"/>
            </w:rPr>
            <w:fldChar w:fldCharType="separate"/>
          </w:r>
          <w:r w:rsidR="00DF47DA" w:rsidRPr="00DF47DA">
            <w:rPr>
              <w:noProof/>
              <w:lang w:val="en-US"/>
            </w:rPr>
            <w:t>[15]</w:t>
          </w:r>
          <w:r w:rsidR="0017435B" w:rsidRPr="00DD1B58">
            <w:rPr>
              <w:lang w:val="en-US"/>
            </w:rPr>
            <w:fldChar w:fldCharType="end"/>
          </w:r>
        </w:sdtContent>
      </w:sdt>
      <w:r w:rsidR="009018AC" w:rsidRPr="00DD1B58">
        <w:rPr>
          <w:lang w:val="en-US"/>
        </w:rPr>
        <w:t>, and</w:t>
      </w:r>
      <w:r w:rsidR="007A6C6C" w:rsidRPr="00DD1B58">
        <w:rPr>
          <w:lang w:val="en-US"/>
        </w:rPr>
        <w:t xml:space="preserve"> meets the expectations of IAEA SSG.64</w:t>
      </w:r>
      <w:r w:rsidR="00F0357C" w:rsidRPr="00DD1B58">
        <w:rPr>
          <w:lang w:val="en-US"/>
        </w:rPr>
        <w:t xml:space="preserve"> </w:t>
      </w:r>
      <w:sdt>
        <w:sdtPr>
          <w:rPr>
            <w:lang w:val="en-US"/>
          </w:rPr>
          <w:id w:val="-1268306026"/>
          <w:citation/>
        </w:sdtPr>
        <w:sdtContent>
          <w:r w:rsidR="00AC7F95" w:rsidRPr="00DD1B58">
            <w:rPr>
              <w:lang w:val="en-US"/>
            </w:rPr>
            <w:fldChar w:fldCharType="begin"/>
          </w:r>
          <w:r w:rsidR="00AC7F95" w:rsidRPr="00DD1B58">
            <w:rPr>
              <w:lang w:val="en-US"/>
            </w:rPr>
            <w:instrText xml:space="preserve"> CITATION IAE5 \l 2057 </w:instrText>
          </w:r>
          <w:r w:rsidR="00AC7F95" w:rsidRPr="00DD1B58">
            <w:rPr>
              <w:lang w:val="en-US"/>
            </w:rPr>
            <w:fldChar w:fldCharType="separate"/>
          </w:r>
          <w:r w:rsidR="00DF47DA" w:rsidRPr="00DF47DA">
            <w:rPr>
              <w:noProof/>
              <w:lang w:val="en-US"/>
            </w:rPr>
            <w:t>[17]</w:t>
          </w:r>
          <w:r w:rsidR="00AC7F95" w:rsidRPr="00DD1B58">
            <w:rPr>
              <w:lang w:val="en-US"/>
            </w:rPr>
            <w:fldChar w:fldCharType="end"/>
          </w:r>
        </w:sdtContent>
      </w:sdt>
      <w:r w:rsidR="00F0357C" w:rsidRPr="00DD1B58">
        <w:rPr>
          <w:lang w:val="en-US"/>
        </w:rPr>
        <w:t xml:space="preserve"> (the extent of reliance on on</w:t>
      </w:r>
      <w:r w:rsidR="00F0357C" w:rsidRPr="00DD1B58">
        <w:rPr>
          <w:rFonts w:ascii="Cambria Math" w:hAnsi="Cambria Math" w:cs="Cambria Math"/>
          <w:lang w:val="en-US"/>
        </w:rPr>
        <w:t>‑</w:t>
      </w:r>
      <w:r w:rsidR="00F0357C" w:rsidRPr="00DD1B58">
        <w:rPr>
          <w:lang w:val="en-US"/>
        </w:rPr>
        <w:t>site and off</w:t>
      </w:r>
      <w:r w:rsidR="00F0357C" w:rsidRPr="00DD1B58">
        <w:rPr>
          <w:rFonts w:ascii="Cambria Math" w:hAnsi="Cambria Math" w:cs="Cambria Math"/>
          <w:lang w:val="en-US"/>
        </w:rPr>
        <w:t>‑</w:t>
      </w:r>
      <w:r w:rsidR="00F0357C" w:rsidRPr="00DD1B58">
        <w:rPr>
          <w:lang w:val="en-US"/>
        </w:rPr>
        <w:t>site fire services should be established at the design stage).</w:t>
      </w:r>
    </w:p>
    <w:p w14:paraId="32336DF5" w14:textId="77777777" w:rsidR="00EE511E" w:rsidRPr="00DD1B58" w:rsidRDefault="00EE511E" w:rsidP="003A1E94">
      <w:pPr>
        <w:rPr>
          <w:b/>
          <w:lang w:val="en-US"/>
        </w:rPr>
      </w:pPr>
      <w:r w:rsidRPr="00DD1B58">
        <w:rPr>
          <w:b/>
          <w:lang w:val="en-US"/>
        </w:rPr>
        <w:t xml:space="preserve">Combined </w:t>
      </w:r>
      <w:r w:rsidR="009F7562" w:rsidRPr="00DD1B58">
        <w:rPr>
          <w:b/>
          <w:lang w:val="en-US"/>
        </w:rPr>
        <w:t>and consequential hazards</w:t>
      </w:r>
    </w:p>
    <w:p w14:paraId="0C1D5882" w14:textId="771E6999" w:rsidR="00216777" w:rsidRPr="00DD1B58" w:rsidRDefault="00216777" w:rsidP="00216777">
      <w:pPr>
        <w:rPr>
          <w:lang w:val="en-US"/>
        </w:rPr>
      </w:pPr>
      <w:r w:rsidRPr="00DD1B58">
        <w:rPr>
          <w:lang w:val="en-US"/>
        </w:rPr>
        <w:t xml:space="preserve">WENRA E 6.1 expects that </w:t>
      </w:r>
      <w:r w:rsidR="00CD3FCF" w:rsidRPr="00DD1B58">
        <w:rPr>
          <w:lang w:val="en-US"/>
        </w:rPr>
        <w:t>c</w:t>
      </w:r>
      <w:r w:rsidRPr="00DD1B58">
        <w:rPr>
          <w:lang w:val="en-US"/>
        </w:rPr>
        <w:t>redible combinations of individual events</w:t>
      </w:r>
      <w:r w:rsidR="009018AC" w:rsidRPr="00DD1B58">
        <w:rPr>
          <w:lang w:val="en-US"/>
        </w:rPr>
        <w:t xml:space="preserve"> </w:t>
      </w:r>
      <w:r w:rsidRPr="00DD1B58">
        <w:rPr>
          <w:lang w:val="en-US"/>
        </w:rPr>
        <w:t xml:space="preserve">that could lead to anticipated operational occurrences or design basis accidents, </w:t>
      </w:r>
      <w:r w:rsidR="009018AC" w:rsidRPr="00DD1B58">
        <w:rPr>
          <w:lang w:val="en-US"/>
        </w:rPr>
        <w:t>including internal and external hazards,</w:t>
      </w:r>
      <w:r w:rsidRPr="00DD1B58">
        <w:rPr>
          <w:lang w:val="en-US"/>
        </w:rPr>
        <w:t xml:space="preserve"> shall be considered in the design</w:t>
      </w:r>
      <w:r w:rsidR="00083367" w:rsidRPr="00DD1B58">
        <w:rPr>
          <w:lang w:val="en-US"/>
        </w:rPr>
        <w:t xml:space="preserve"> </w:t>
      </w:r>
      <w:sdt>
        <w:sdtPr>
          <w:rPr>
            <w:lang w:val="en-US"/>
          </w:rPr>
          <w:id w:val="953674748"/>
          <w:citation/>
        </w:sdtPr>
        <w:sdtContent>
          <w:r w:rsidR="007C04F1" w:rsidRPr="00DD1B58">
            <w:rPr>
              <w:lang w:val="en-US"/>
            </w:rPr>
            <w:fldChar w:fldCharType="begin"/>
          </w:r>
          <w:r w:rsidR="007C04F1" w:rsidRPr="00DD1B58">
            <w:rPr>
              <w:lang w:val="en-US"/>
            </w:rPr>
            <w:instrText xml:space="preserve"> CITATION WEN \l 2057 </w:instrText>
          </w:r>
          <w:r w:rsidR="007C04F1" w:rsidRPr="00DD1B58">
            <w:rPr>
              <w:lang w:val="en-US"/>
            </w:rPr>
            <w:fldChar w:fldCharType="separate"/>
          </w:r>
          <w:r w:rsidR="00DF47DA" w:rsidRPr="00DF47DA">
            <w:rPr>
              <w:noProof/>
              <w:lang w:val="en-US"/>
            </w:rPr>
            <w:t>[33]</w:t>
          </w:r>
          <w:r w:rsidR="007C04F1" w:rsidRPr="00DD1B58">
            <w:rPr>
              <w:lang w:val="en-US"/>
            </w:rPr>
            <w:fldChar w:fldCharType="end"/>
          </w:r>
        </w:sdtContent>
      </w:sdt>
      <w:r w:rsidRPr="00DD1B58">
        <w:rPr>
          <w:lang w:val="en-US"/>
        </w:rPr>
        <w:t>.</w:t>
      </w:r>
      <w:r w:rsidR="00C41963" w:rsidRPr="00DD1B58">
        <w:rPr>
          <w:lang w:val="en-US"/>
        </w:rPr>
        <w:t xml:space="preserve"> </w:t>
      </w:r>
      <w:r w:rsidRPr="00DD1B58">
        <w:rPr>
          <w:lang w:val="en-US"/>
        </w:rPr>
        <w:t>It is noted that WENRA SRL E 6.1, developed to specifically correspond to the consideration of event combinations for nuclear power plants, might be considered as appropriate also for fuel cycle facilities, subject to a graded approach</w:t>
      </w:r>
      <w:r w:rsidR="007C04F1" w:rsidRPr="00DD1B58">
        <w:rPr>
          <w:lang w:val="en-US"/>
        </w:rPr>
        <w:t xml:space="preserve"> </w:t>
      </w:r>
      <w:sdt>
        <w:sdtPr>
          <w:rPr>
            <w:lang w:val="en-US"/>
          </w:rPr>
          <w:id w:val="-800768737"/>
          <w:citation/>
        </w:sdtPr>
        <w:sdtContent>
          <w:r w:rsidR="007C04F1" w:rsidRPr="00DD1B58">
            <w:rPr>
              <w:lang w:val="en-US"/>
            </w:rPr>
            <w:fldChar w:fldCharType="begin"/>
          </w:r>
          <w:r w:rsidR="007C04F1" w:rsidRPr="00DD1B58">
            <w:rPr>
              <w:lang w:val="en-US"/>
            </w:rPr>
            <w:instrText xml:space="preserve"> CITATION WEN \l 2057 </w:instrText>
          </w:r>
          <w:r w:rsidR="007C04F1" w:rsidRPr="00DD1B58">
            <w:rPr>
              <w:lang w:val="en-US"/>
            </w:rPr>
            <w:fldChar w:fldCharType="separate"/>
          </w:r>
          <w:r w:rsidR="00DF47DA" w:rsidRPr="00DF47DA">
            <w:rPr>
              <w:noProof/>
              <w:lang w:val="en-US"/>
            </w:rPr>
            <w:t>[33]</w:t>
          </w:r>
          <w:r w:rsidR="007C04F1" w:rsidRPr="00DD1B58">
            <w:rPr>
              <w:lang w:val="en-US"/>
            </w:rPr>
            <w:fldChar w:fldCharType="end"/>
          </w:r>
        </w:sdtContent>
      </w:sdt>
      <w:r w:rsidRPr="00DD1B58">
        <w:rPr>
          <w:lang w:val="en-US"/>
        </w:rPr>
        <w:t>.</w:t>
      </w:r>
    </w:p>
    <w:p w14:paraId="5CD91E4F" w14:textId="2118A659" w:rsidR="00A23A9C" w:rsidRPr="00DD1B58" w:rsidRDefault="009729EC" w:rsidP="00A23A9C">
      <w:pPr>
        <w:pStyle w:val="Default"/>
        <w:rPr>
          <w:rFonts w:ascii="Times New Roman" w:hAnsi="Times New Roman" w:cs="Times New Roman"/>
          <w:lang w:val="en-US"/>
        </w:rPr>
      </w:pPr>
      <w:r w:rsidRPr="00DD1B58">
        <w:rPr>
          <w:lang w:val="en-US"/>
        </w:rPr>
        <w:t xml:space="preserve">In </w:t>
      </w:r>
      <w:r w:rsidR="009018AC" w:rsidRPr="00DD1B58">
        <w:rPr>
          <w:lang w:val="en-US"/>
        </w:rPr>
        <w:t>S</w:t>
      </w:r>
      <w:r w:rsidRPr="00DD1B58">
        <w:rPr>
          <w:lang w:val="en-US"/>
        </w:rPr>
        <w:t xml:space="preserve">ection </w:t>
      </w:r>
      <w:r w:rsidR="00EC3555" w:rsidRPr="00DD1B58">
        <w:rPr>
          <w:lang w:val="en-US"/>
        </w:rPr>
        <w:fldChar w:fldCharType="begin"/>
      </w:r>
      <w:r w:rsidR="00EC3555" w:rsidRPr="00DD1B58">
        <w:rPr>
          <w:lang w:val="en-US"/>
        </w:rPr>
        <w:instrText xml:space="preserve"> REF _Ref136515173 \w \h </w:instrText>
      </w:r>
      <w:r w:rsidR="00EC3555" w:rsidRPr="00DD1B58">
        <w:rPr>
          <w:lang w:val="en-US"/>
        </w:rPr>
      </w:r>
      <w:r w:rsidR="00EC3555" w:rsidRPr="00DD1B58">
        <w:rPr>
          <w:lang w:val="en-US"/>
        </w:rPr>
        <w:fldChar w:fldCharType="separate"/>
      </w:r>
      <w:r w:rsidR="00DF47DA">
        <w:rPr>
          <w:lang w:val="en-US"/>
        </w:rPr>
        <w:t>I-2.5.1.3</w:t>
      </w:r>
      <w:r w:rsidR="00EC3555" w:rsidRPr="00DD1B58">
        <w:rPr>
          <w:lang w:val="en-US"/>
        </w:rPr>
        <w:fldChar w:fldCharType="end"/>
      </w:r>
      <w:r w:rsidR="001924C6" w:rsidRPr="00DD1B58">
        <w:rPr>
          <w:lang w:val="en-US"/>
        </w:rPr>
        <w:t xml:space="preserve">, </w:t>
      </w:r>
      <w:r w:rsidR="004668E0" w:rsidRPr="00DD1B58">
        <w:rPr>
          <w:lang w:val="en-US"/>
        </w:rPr>
        <w:t xml:space="preserve">Sellafield Ltd. </w:t>
      </w:r>
      <w:r w:rsidR="00C53A49" w:rsidRPr="00DD1B58">
        <w:rPr>
          <w:lang w:val="en-US"/>
        </w:rPr>
        <w:t>state</w:t>
      </w:r>
      <w:r w:rsidR="009018AC" w:rsidRPr="00DD1B58">
        <w:rPr>
          <w:lang w:val="en-US"/>
        </w:rPr>
        <w:t>s</w:t>
      </w:r>
      <w:r w:rsidR="00C53A49" w:rsidRPr="00DD1B58">
        <w:rPr>
          <w:lang w:val="en-US"/>
        </w:rPr>
        <w:t xml:space="preserve"> that </w:t>
      </w:r>
      <w:r w:rsidR="000B5BCE" w:rsidRPr="00DD1B58">
        <w:rPr>
          <w:lang w:val="en-US"/>
        </w:rPr>
        <w:t xml:space="preserve">its </w:t>
      </w:r>
      <w:r w:rsidR="0054510F" w:rsidRPr="00DD1B58">
        <w:rPr>
          <w:lang w:val="en-US"/>
        </w:rPr>
        <w:t>hazard definition</w:t>
      </w:r>
      <w:r w:rsidR="000B5BCE" w:rsidRPr="00DD1B58">
        <w:rPr>
          <w:lang w:val="en-US"/>
        </w:rPr>
        <w:t>s</w:t>
      </w:r>
      <w:r w:rsidR="0054510F" w:rsidRPr="00DD1B58">
        <w:rPr>
          <w:lang w:val="en-US"/>
        </w:rPr>
        <w:t xml:space="preserve"> </w:t>
      </w:r>
      <w:r w:rsidR="009523DA" w:rsidRPr="00DD1B58">
        <w:rPr>
          <w:lang w:val="en-US"/>
        </w:rPr>
        <w:t xml:space="preserve">include hazards </w:t>
      </w:r>
      <w:r w:rsidR="00075C12" w:rsidRPr="00DD1B58">
        <w:rPr>
          <w:lang w:val="en-US"/>
        </w:rPr>
        <w:t>identified in IAEA guidance SSR-4</w:t>
      </w:r>
      <w:r w:rsidR="00831FE9" w:rsidRPr="00DD1B58">
        <w:rPr>
          <w:lang w:val="en-US"/>
        </w:rPr>
        <w:t xml:space="preserve"> </w:t>
      </w:r>
      <w:sdt>
        <w:sdtPr>
          <w:rPr>
            <w:lang w:val="en-US"/>
          </w:rPr>
          <w:id w:val="-1947991751"/>
          <w:citation/>
        </w:sdtPr>
        <w:sdtContent>
          <w:r w:rsidR="00831FE9" w:rsidRPr="00DD1B58">
            <w:rPr>
              <w:lang w:val="en-US"/>
            </w:rPr>
            <w:fldChar w:fldCharType="begin"/>
          </w:r>
          <w:r w:rsidR="0042353C" w:rsidRPr="00DD1B58">
            <w:rPr>
              <w:lang w:val="en-US"/>
            </w:rPr>
            <w:instrText xml:space="preserve">CITATION INT17 \l 2057 </w:instrText>
          </w:r>
          <w:r w:rsidR="00831FE9" w:rsidRPr="00DD1B58">
            <w:rPr>
              <w:lang w:val="en-US"/>
            </w:rPr>
            <w:fldChar w:fldCharType="separate"/>
          </w:r>
          <w:r w:rsidR="00DF47DA" w:rsidRPr="00DF47DA">
            <w:rPr>
              <w:noProof/>
              <w:lang w:val="en-US"/>
            </w:rPr>
            <w:t>[19]</w:t>
          </w:r>
          <w:r w:rsidR="00831FE9" w:rsidRPr="00DD1B58">
            <w:rPr>
              <w:lang w:val="en-US"/>
            </w:rPr>
            <w:fldChar w:fldCharType="end"/>
          </w:r>
        </w:sdtContent>
      </w:sdt>
      <w:r w:rsidR="00CF1006" w:rsidRPr="00DD1B58">
        <w:rPr>
          <w:lang w:val="en-US"/>
        </w:rPr>
        <w:t>.</w:t>
      </w:r>
      <w:r w:rsidR="00BB6138" w:rsidRPr="00DD1B58">
        <w:rPr>
          <w:lang w:val="en-US"/>
        </w:rPr>
        <w:t xml:space="preserve"> SSR-4 </w:t>
      </w:r>
      <w:r w:rsidR="00FF2B35" w:rsidRPr="00DD1B58">
        <w:rPr>
          <w:lang w:val="en-US"/>
        </w:rPr>
        <w:t xml:space="preserve">Requirement 15 </w:t>
      </w:r>
      <w:r w:rsidR="00060C65" w:rsidRPr="00DD1B58">
        <w:rPr>
          <w:lang w:val="en-US"/>
        </w:rPr>
        <w:t>sets out expectations in paragraph</w:t>
      </w:r>
      <w:r w:rsidR="0092584D" w:rsidRPr="00DD1B58">
        <w:rPr>
          <w:lang w:val="en-US"/>
        </w:rPr>
        <w:t>s 6.4</w:t>
      </w:r>
      <w:r w:rsidR="00137EAF" w:rsidRPr="00DD1B58">
        <w:rPr>
          <w:lang w:val="en-US"/>
        </w:rPr>
        <w:t xml:space="preserve">4-6.47 that </w:t>
      </w:r>
      <w:r w:rsidR="006A6B2B" w:rsidRPr="00DD1B58">
        <w:rPr>
          <w:lang w:val="en-US"/>
        </w:rPr>
        <w:t>all foreseeable hazards and correlated events shall be examined systematically and in combination with facility conditions</w:t>
      </w:r>
      <w:r w:rsidR="008D28F2" w:rsidRPr="00DD1B58">
        <w:rPr>
          <w:lang w:val="en-US"/>
        </w:rPr>
        <w:t xml:space="preserve"> and that the interrelation or interaction of external events with internal hazards shall also be considered in the design where appropriate.</w:t>
      </w:r>
      <w:r w:rsidR="00910A50" w:rsidRPr="00DD1B58">
        <w:rPr>
          <w:lang w:val="en-US"/>
        </w:rPr>
        <w:t xml:space="preserve"> Requirement </w:t>
      </w:r>
      <w:r w:rsidR="000A755B" w:rsidRPr="00DD1B58">
        <w:rPr>
          <w:lang w:val="en-US"/>
        </w:rPr>
        <w:t xml:space="preserve">19 also sets out expectations that </w:t>
      </w:r>
      <w:r w:rsidR="00D6117F" w:rsidRPr="00DD1B58">
        <w:rPr>
          <w:lang w:val="en-US"/>
        </w:rPr>
        <w:t>the impact of multiple correlated events on a single facility shall be considered in the safety analysis</w:t>
      </w:r>
      <w:r w:rsidR="00A74985" w:rsidRPr="00DD1B58">
        <w:rPr>
          <w:lang w:val="en-US"/>
        </w:rPr>
        <w:t xml:space="preserve"> a</w:t>
      </w:r>
      <w:r w:rsidR="00A23A9C" w:rsidRPr="00DD1B58">
        <w:rPr>
          <w:lang w:val="en-US"/>
        </w:rPr>
        <w:t xml:space="preserve">nd that the </w:t>
      </w:r>
    </w:p>
    <w:p w14:paraId="106CA78D" w14:textId="77777777" w:rsidR="00A23A9C" w:rsidRPr="00DD1B58" w:rsidRDefault="00A23A9C" w:rsidP="00A23A9C">
      <w:pPr>
        <w:rPr>
          <w:lang w:val="en-US" w:eastAsia="en-GB" w:bidi="ar-SA"/>
        </w:rPr>
      </w:pPr>
      <w:r w:rsidRPr="00DD1B58">
        <w:rPr>
          <w:lang w:val="en-US" w:eastAsia="en-GB" w:bidi="ar-SA"/>
        </w:rPr>
        <w:t>set of identified postulated initiating events shall be confirmed to be comprehensive.</w:t>
      </w:r>
    </w:p>
    <w:p w14:paraId="33648073" w14:textId="2E8D0260" w:rsidR="00216777" w:rsidRPr="00DD1B58" w:rsidRDefault="00216777" w:rsidP="00216777">
      <w:pPr>
        <w:rPr>
          <w:lang w:val="en-US"/>
        </w:rPr>
      </w:pPr>
      <w:r w:rsidRPr="00DD1B58">
        <w:rPr>
          <w:lang w:val="en-US"/>
        </w:rPr>
        <w:t xml:space="preserve">ONR </w:t>
      </w:r>
      <w:r w:rsidR="00C41963" w:rsidRPr="00DD1B58">
        <w:rPr>
          <w:lang w:val="en-US"/>
        </w:rPr>
        <w:t xml:space="preserve">adopts </w:t>
      </w:r>
      <w:r w:rsidR="00026EDE" w:rsidRPr="00DD1B58">
        <w:rPr>
          <w:lang w:val="en-US"/>
        </w:rPr>
        <w:t xml:space="preserve">these requirements in the </w:t>
      </w:r>
      <w:r w:rsidR="00072B9F" w:rsidRPr="00DD1B58">
        <w:rPr>
          <w:lang w:val="en-US"/>
        </w:rPr>
        <w:t>internal hazards</w:t>
      </w:r>
      <w:r w:rsidRPr="00DD1B58">
        <w:rPr>
          <w:lang w:val="en-US"/>
        </w:rPr>
        <w:t xml:space="preserve"> TAG </w:t>
      </w:r>
      <w:sdt>
        <w:sdtPr>
          <w:rPr>
            <w:lang w:val="en-US"/>
          </w:rPr>
          <w:id w:val="1706137526"/>
          <w:citation/>
        </w:sdtPr>
        <w:sdtContent>
          <w:r w:rsidR="00232886" w:rsidRPr="00DD1B58">
            <w:rPr>
              <w:lang w:val="en-US"/>
            </w:rPr>
            <w:fldChar w:fldCharType="begin"/>
          </w:r>
          <w:r w:rsidR="00232886" w:rsidRPr="00DD1B58">
            <w:rPr>
              <w:lang w:val="en-US"/>
            </w:rPr>
            <w:instrText xml:space="preserve"> CITATION ONR4 \l 2057 </w:instrText>
          </w:r>
          <w:r w:rsidR="00232886" w:rsidRPr="00DD1B58">
            <w:rPr>
              <w:lang w:val="en-US"/>
            </w:rPr>
            <w:fldChar w:fldCharType="separate"/>
          </w:r>
          <w:r w:rsidR="00DF47DA" w:rsidRPr="00DF47DA">
            <w:rPr>
              <w:noProof/>
              <w:lang w:val="en-US"/>
            </w:rPr>
            <w:t>[16]</w:t>
          </w:r>
          <w:r w:rsidR="00232886" w:rsidRPr="00DD1B58">
            <w:rPr>
              <w:lang w:val="en-US"/>
            </w:rPr>
            <w:fldChar w:fldCharType="end"/>
          </w:r>
        </w:sdtContent>
      </w:sdt>
      <w:r w:rsidR="00232886" w:rsidRPr="00DD1B58">
        <w:rPr>
          <w:lang w:val="en-US"/>
        </w:rPr>
        <w:t xml:space="preserve"> </w:t>
      </w:r>
      <w:r w:rsidRPr="00DD1B58">
        <w:rPr>
          <w:lang w:val="en-US"/>
        </w:rPr>
        <w:t>and SAPs</w:t>
      </w:r>
      <w:r w:rsidR="00831FE9" w:rsidRPr="00DD1B58">
        <w:rPr>
          <w:lang w:val="en-US"/>
        </w:rPr>
        <w:t xml:space="preserve"> </w:t>
      </w:r>
      <w:sdt>
        <w:sdtPr>
          <w:rPr>
            <w:lang w:val="en-US"/>
          </w:rPr>
          <w:id w:val="-530191322"/>
          <w:citation/>
        </w:sdtPr>
        <w:sdtContent>
          <w:r w:rsidR="00D21ACC" w:rsidRPr="00DD1B58">
            <w:rPr>
              <w:lang w:val="en-US"/>
            </w:rPr>
            <w:fldChar w:fldCharType="begin"/>
          </w:r>
          <w:r w:rsidR="00D21ACC" w:rsidRPr="00DD1B58">
            <w:rPr>
              <w:lang w:val="en-US"/>
            </w:rPr>
            <w:instrText xml:space="preserve"> CITATION Off20 \l 2057 </w:instrText>
          </w:r>
          <w:r w:rsidR="00D21ACC" w:rsidRPr="00DD1B58">
            <w:rPr>
              <w:lang w:val="en-US"/>
            </w:rPr>
            <w:fldChar w:fldCharType="separate"/>
          </w:r>
          <w:r w:rsidR="00DF47DA" w:rsidRPr="00DF47DA">
            <w:rPr>
              <w:noProof/>
              <w:lang w:val="en-US"/>
            </w:rPr>
            <w:t>[15]</w:t>
          </w:r>
          <w:r w:rsidR="00D21ACC" w:rsidRPr="00DD1B58">
            <w:rPr>
              <w:lang w:val="en-US"/>
            </w:rPr>
            <w:fldChar w:fldCharType="end"/>
          </w:r>
        </w:sdtContent>
      </w:sdt>
      <w:r w:rsidR="00CF2E5C" w:rsidRPr="00DD1B58">
        <w:rPr>
          <w:lang w:val="en-US"/>
        </w:rPr>
        <w:t xml:space="preserve">. </w:t>
      </w:r>
      <w:r w:rsidR="004A2683" w:rsidRPr="00DD1B58">
        <w:rPr>
          <w:lang w:val="en-US"/>
        </w:rPr>
        <w:t xml:space="preserve">This ONR guidance </w:t>
      </w:r>
      <w:r w:rsidRPr="00DD1B58">
        <w:rPr>
          <w:lang w:val="en-US"/>
        </w:rPr>
        <w:t>also expect</w:t>
      </w:r>
      <w:r w:rsidR="004A2683" w:rsidRPr="00DD1B58">
        <w:rPr>
          <w:lang w:val="en-US"/>
        </w:rPr>
        <w:t>s</w:t>
      </w:r>
      <w:r w:rsidRPr="00DD1B58">
        <w:rPr>
          <w:lang w:val="en-US"/>
        </w:rPr>
        <w:t xml:space="preserve"> that hazard analysis should take into account hazard combinations, simultaneous effects, common cause failures, defence in depth and consequential effects. ONR expects that </w:t>
      </w:r>
      <w:r w:rsidR="003D2712" w:rsidRPr="00DD1B58">
        <w:rPr>
          <w:lang w:val="en-US"/>
        </w:rPr>
        <w:t xml:space="preserve">a </w:t>
      </w:r>
      <w:r w:rsidRPr="00DD1B58">
        <w:rPr>
          <w:lang w:val="en-US"/>
        </w:rPr>
        <w:t xml:space="preserve">systematic identification and screening process </w:t>
      </w:r>
      <w:r w:rsidR="00847EE3" w:rsidRPr="00DD1B58">
        <w:rPr>
          <w:lang w:val="en-US"/>
        </w:rPr>
        <w:t>is</w:t>
      </w:r>
      <w:r w:rsidRPr="00DD1B58">
        <w:rPr>
          <w:lang w:val="en-US"/>
        </w:rPr>
        <w:t xml:space="preserve"> applied to develop a combinations list that represents a credible and reasonable set of plant challenges.</w:t>
      </w:r>
      <w:r w:rsidR="00775916" w:rsidRPr="00DD1B58">
        <w:rPr>
          <w:lang w:val="en-US"/>
        </w:rPr>
        <w:t xml:space="preserve"> </w:t>
      </w:r>
      <w:r w:rsidR="00F87844" w:rsidRPr="00DD1B58">
        <w:rPr>
          <w:lang w:val="en-US"/>
        </w:rPr>
        <w:t>The TAG identifies that t</w:t>
      </w:r>
      <w:r w:rsidR="00775916" w:rsidRPr="00DD1B58">
        <w:rPr>
          <w:lang w:val="en-US"/>
        </w:rPr>
        <w:t xml:space="preserve">his </w:t>
      </w:r>
      <w:r w:rsidR="00F87844" w:rsidRPr="00DD1B58">
        <w:rPr>
          <w:lang w:val="en-US"/>
        </w:rPr>
        <w:t>often takes the form of a hazard combination matrix, developed from a consolidated list of all internal and external hazards.</w:t>
      </w:r>
      <w:r w:rsidR="00D70BAD" w:rsidRPr="00DD1B58">
        <w:rPr>
          <w:lang w:val="en-US"/>
        </w:rPr>
        <w:t xml:space="preserve"> Furthermore, it is expected that safety cases record any assumptions made to dismiss hazard combinations or their effects.</w:t>
      </w:r>
    </w:p>
    <w:p w14:paraId="206BB420" w14:textId="66913B1F" w:rsidR="00BA181F" w:rsidRPr="00DD1B58" w:rsidRDefault="00134292" w:rsidP="00761F31">
      <w:pPr>
        <w:rPr>
          <w:lang w:val="en-US"/>
        </w:rPr>
      </w:pPr>
      <w:r w:rsidRPr="00DD1B58">
        <w:rPr>
          <w:lang w:val="en-US"/>
        </w:rPr>
        <w:t>Sellafield Ltd</w:t>
      </w:r>
      <w:r w:rsidR="0062539A" w:rsidRPr="00DD1B58">
        <w:rPr>
          <w:lang w:val="en-US"/>
        </w:rPr>
        <w:t>.</w:t>
      </w:r>
      <w:r w:rsidR="00216777" w:rsidRPr="00DD1B58">
        <w:rPr>
          <w:lang w:val="en-US"/>
        </w:rPr>
        <w:t>’s self-assessment recognises that combinations such as seismically</w:t>
      </w:r>
      <w:r w:rsidR="00136A55" w:rsidRPr="00DD1B58">
        <w:rPr>
          <w:lang w:val="en-US"/>
        </w:rPr>
        <w:t>-</w:t>
      </w:r>
      <w:r w:rsidR="00216777" w:rsidRPr="00DD1B58">
        <w:rPr>
          <w:lang w:val="en-US"/>
        </w:rPr>
        <w:t>induced fire</w:t>
      </w:r>
      <w:r w:rsidR="00136A55" w:rsidRPr="00DD1B58">
        <w:rPr>
          <w:lang w:val="en-US"/>
        </w:rPr>
        <w:t>s</w:t>
      </w:r>
      <w:r w:rsidR="00216777" w:rsidRPr="00DD1B58">
        <w:rPr>
          <w:lang w:val="en-US"/>
        </w:rPr>
        <w:t xml:space="preserve"> </w:t>
      </w:r>
      <w:r w:rsidR="00136A55" w:rsidRPr="00DD1B58">
        <w:rPr>
          <w:lang w:val="en-US"/>
        </w:rPr>
        <w:t>are credible</w:t>
      </w:r>
      <w:r w:rsidR="00216777" w:rsidRPr="00DD1B58">
        <w:rPr>
          <w:lang w:val="en-US"/>
        </w:rPr>
        <w:t xml:space="preserve">, </w:t>
      </w:r>
      <w:r w:rsidR="00611D8C" w:rsidRPr="00DD1B58">
        <w:rPr>
          <w:lang w:val="en-US"/>
        </w:rPr>
        <w:t xml:space="preserve">and that these </w:t>
      </w:r>
      <w:r w:rsidR="002564F9" w:rsidRPr="00DD1B58">
        <w:rPr>
          <w:lang w:val="en-US"/>
        </w:rPr>
        <w:t xml:space="preserve">would </w:t>
      </w:r>
      <w:r w:rsidR="00611D8C" w:rsidRPr="00DD1B58">
        <w:rPr>
          <w:lang w:val="en-US"/>
        </w:rPr>
        <w:t>be considered w</w:t>
      </w:r>
      <w:r w:rsidR="00E30A4A" w:rsidRPr="00DD1B58">
        <w:rPr>
          <w:lang w:val="en-US"/>
        </w:rPr>
        <w:t xml:space="preserve">ithin safety assessment processes. </w:t>
      </w:r>
      <w:r w:rsidR="008404B9" w:rsidRPr="00DD1B58">
        <w:rPr>
          <w:lang w:val="en-US"/>
        </w:rPr>
        <w:t xml:space="preserve">However, the </w:t>
      </w:r>
      <w:r w:rsidR="004668E0" w:rsidRPr="00DD1B58">
        <w:rPr>
          <w:lang w:val="en-US"/>
        </w:rPr>
        <w:t xml:space="preserve">Sellafield Ltd. </w:t>
      </w:r>
      <w:r w:rsidR="0053483D" w:rsidRPr="00DD1B58">
        <w:rPr>
          <w:lang w:val="en-US"/>
        </w:rPr>
        <w:t xml:space="preserve">submission does not indicate that a full </w:t>
      </w:r>
      <w:r w:rsidR="008E6058" w:rsidRPr="00DD1B58">
        <w:rPr>
          <w:lang w:val="en-US"/>
        </w:rPr>
        <w:t xml:space="preserve">systematic combined hazards </w:t>
      </w:r>
      <w:r w:rsidR="008404B9" w:rsidRPr="00DD1B58">
        <w:rPr>
          <w:lang w:val="en-US"/>
        </w:rPr>
        <w:t xml:space="preserve">identification and </w:t>
      </w:r>
      <w:r w:rsidR="008E6058" w:rsidRPr="00DD1B58">
        <w:rPr>
          <w:lang w:val="en-US"/>
        </w:rPr>
        <w:t>screening process is</w:t>
      </w:r>
      <w:r w:rsidR="002564F9" w:rsidRPr="00DD1B58">
        <w:rPr>
          <w:lang w:val="en-US"/>
        </w:rPr>
        <w:t xml:space="preserve"> undertaken</w:t>
      </w:r>
      <w:r w:rsidR="008E6058" w:rsidRPr="00DD1B58">
        <w:rPr>
          <w:lang w:val="en-US"/>
        </w:rPr>
        <w:t xml:space="preserve">. </w:t>
      </w:r>
      <w:r w:rsidR="004668E0" w:rsidRPr="00DD1B58">
        <w:rPr>
          <w:lang w:val="en-US"/>
        </w:rPr>
        <w:t>Sellafield Ltd.</w:t>
      </w:r>
      <w:r w:rsidR="00CF5E60" w:rsidRPr="00DD1B58">
        <w:rPr>
          <w:lang w:val="en-US"/>
        </w:rPr>
        <w:t xml:space="preserve"> </w:t>
      </w:r>
      <w:r w:rsidR="00CF61C4" w:rsidRPr="00DD1B58">
        <w:rPr>
          <w:lang w:val="en-US"/>
        </w:rPr>
        <w:t xml:space="preserve">recognised this </w:t>
      </w:r>
      <w:r w:rsidR="00D8544F" w:rsidRPr="00DD1B58">
        <w:rPr>
          <w:lang w:val="en-US"/>
        </w:rPr>
        <w:t>ga</w:t>
      </w:r>
      <w:r w:rsidR="00555028" w:rsidRPr="00DD1B58">
        <w:rPr>
          <w:lang w:val="en-US"/>
        </w:rPr>
        <w:t>p</w:t>
      </w:r>
      <w:r w:rsidR="00CF61C4" w:rsidRPr="00DD1B58">
        <w:rPr>
          <w:lang w:val="en-US"/>
        </w:rPr>
        <w:t xml:space="preserve"> </w:t>
      </w:r>
      <w:r w:rsidR="00CF5E60" w:rsidRPr="00DD1B58">
        <w:rPr>
          <w:lang w:val="en-US"/>
        </w:rPr>
        <w:t xml:space="preserve">and </w:t>
      </w:r>
      <w:r w:rsidR="00B004B0" w:rsidRPr="00DD1B58">
        <w:rPr>
          <w:lang w:val="en-US"/>
        </w:rPr>
        <w:t>identifie</w:t>
      </w:r>
      <w:r w:rsidR="00F965CD" w:rsidRPr="00DD1B58">
        <w:rPr>
          <w:lang w:val="en-US"/>
        </w:rPr>
        <w:t>d</w:t>
      </w:r>
      <w:r w:rsidR="00B004B0" w:rsidRPr="00DD1B58">
        <w:rPr>
          <w:lang w:val="en-US"/>
        </w:rPr>
        <w:t xml:space="preserve"> changes to the </w:t>
      </w:r>
      <w:r w:rsidR="00AB4A9A" w:rsidRPr="00DD1B58">
        <w:rPr>
          <w:lang w:val="en-US"/>
        </w:rPr>
        <w:t>NF</w:t>
      </w:r>
      <w:r w:rsidR="001F1BEC" w:rsidRPr="00DD1B58">
        <w:rPr>
          <w:lang w:val="en-US"/>
        </w:rPr>
        <w:t>S</w:t>
      </w:r>
      <w:r w:rsidR="00AB4A9A" w:rsidRPr="00DD1B58">
        <w:rPr>
          <w:lang w:val="en-US"/>
        </w:rPr>
        <w:t xml:space="preserve">A </w:t>
      </w:r>
      <w:r w:rsidR="00C80AA6" w:rsidRPr="00DD1B58">
        <w:rPr>
          <w:lang w:val="en-US"/>
        </w:rPr>
        <w:t>Safety Case Process</w:t>
      </w:r>
      <w:r w:rsidR="00070E6A" w:rsidRPr="00DD1B58">
        <w:rPr>
          <w:lang w:val="en-US"/>
        </w:rPr>
        <w:t xml:space="preserve"> to address </w:t>
      </w:r>
      <w:r w:rsidR="00933B26" w:rsidRPr="00DD1B58">
        <w:rPr>
          <w:lang w:val="en-US"/>
        </w:rPr>
        <w:t xml:space="preserve">the gap. </w:t>
      </w:r>
      <w:r w:rsidR="004668E0" w:rsidRPr="00DD1B58">
        <w:rPr>
          <w:lang w:val="en-US"/>
        </w:rPr>
        <w:t>Sellafield Ltd.</w:t>
      </w:r>
      <w:r w:rsidR="00555028" w:rsidRPr="00DD1B58">
        <w:rPr>
          <w:lang w:val="en-US"/>
        </w:rPr>
        <w:t xml:space="preserve"> state</w:t>
      </w:r>
      <w:r w:rsidR="00F965CD" w:rsidRPr="00DD1B58">
        <w:rPr>
          <w:lang w:val="en-US"/>
        </w:rPr>
        <w:t>s</w:t>
      </w:r>
      <w:r w:rsidR="00555028" w:rsidRPr="00DD1B58">
        <w:rPr>
          <w:lang w:val="en-US"/>
        </w:rPr>
        <w:t xml:space="preserve"> that the revised </w:t>
      </w:r>
      <w:r w:rsidR="00933B26" w:rsidRPr="00DD1B58">
        <w:rPr>
          <w:lang w:val="en-US"/>
        </w:rPr>
        <w:t xml:space="preserve">guidance </w:t>
      </w:r>
      <w:r w:rsidR="00555028" w:rsidRPr="00DD1B58">
        <w:rPr>
          <w:lang w:val="en-US"/>
        </w:rPr>
        <w:t xml:space="preserve">would </w:t>
      </w:r>
      <w:r w:rsidR="00C011C8" w:rsidRPr="00DD1B58">
        <w:rPr>
          <w:lang w:val="en-US"/>
        </w:rPr>
        <w:t>speci</w:t>
      </w:r>
      <w:r w:rsidR="00BA181F" w:rsidRPr="00DD1B58">
        <w:rPr>
          <w:lang w:val="en-US"/>
        </w:rPr>
        <w:t xml:space="preserve">ally consider the systematic identification and screening of combined and consequential hazards in </w:t>
      </w:r>
      <w:r w:rsidR="00555028" w:rsidRPr="00DD1B58">
        <w:rPr>
          <w:lang w:val="en-US"/>
        </w:rPr>
        <w:t>its</w:t>
      </w:r>
      <w:r w:rsidR="00BA181F" w:rsidRPr="00DD1B58">
        <w:rPr>
          <w:lang w:val="en-US"/>
        </w:rPr>
        <w:t xml:space="preserve"> hazards safety cases</w:t>
      </w:r>
      <w:r w:rsidR="00555028" w:rsidRPr="00DD1B58">
        <w:rPr>
          <w:lang w:val="en-US"/>
        </w:rPr>
        <w:t>, and is currently awaiting internal approval</w:t>
      </w:r>
      <w:r w:rsidR="004B6F6D" w:rsidRPr="00DD1B58">
        <w:rPr>
          <w:lang w:val="en-US"/>
        </w:rPr>
        <w:t>.</w:t>
      </w:r>
    </w:p>
    <w:p w14:paraId="5EE9FEAC" w14:textId="77777777" w:rsidR="009F7562" w:rsidRPr="00DD1B58" w:rsidRDefault="00517394" w:rsidP="003A1E94">
      <w:pPr>
        <w:rPr>
          <w:b/>
          <w:lang w:val="en-US"/>
        </w:rPr>
      </w:pPr>
      <w:r w:rsidRPr="00DD1B58">
        <w:rPr>
          <w:b/>
          <w:lang w:val="en-US"/>
        </w:rPr>
        <w:t>Probabilistic safety analysis</w:t>
      </w:r>
    </w:p>
    <w:p w14:paraId="51DBFE86" w14:textId="58043E5D" w:rsidR="009555DA" w:rsidRPr="00DD1B58" w:rsidRDefault="00854BEF" w:rsidP="00431F6B">
      <w:pPr>
        <w:rPr>
          <w:lang w:val="en-US"/>
        </w:rPr>
      </w:pPr>
      <w:r w:rsidRPr="00DD1B58">
        <w:rPr>
          <w:lang w:val="en-US"/>
        </w:rPr>
        <w:t xml:space="preserve">While </w:t>
      </w:r>
      <w:r w:rsidR="009555DA" w:rsidRPr="00DD1B58">
        <w:rPr>
          <w:lang w:val="en-US"/>
        </w:rPr>
        <w:t xml:space="preserve">WENRA </w:t>
      </w:r>
      <w:r w:rsidR="00FA76FF" w:rsidRPr="00DD1B58">
        <w:rPr>
          <w:lang w:val="en-US"/>
        </w:rPr>
        <w:t>SRLs have not yet been specifically developed regarding fire safety analyses for fuel cycle facilities</w:t>
      </w:r>
      <w:r w:rsidR="004B6F6D" w:rsidRPr="00DD1B58">
        <w:rPr>
          <w:lang w:val="en-US"/>
        </w:rPr>
        <w:t>, t</w:t>
      </w:r>
      <w:r w:rsidR="00431F6B" w:rsidRPr="00DD1B58">
        <w:rPr>
          <w:lang w:val="en-US"/>
        </w:rPr>
        <w:t xml:space="preserve">he TPR </w:t>
      </w:r>
      <w:r w:rsidR="008724BB" w:rsidRPr="00DD1B58">
        <w:rPr>
          <w:lang w:val="en-US"/>
        </w:rPr>
        <w:t xml:space="preserve">specification </w:t>
      </w:r>
      <w:r w:rsidR="00431F6B" w:rsidRPr="00DD1B58">
        <w:rPr>
          <w:lang w:val="en-US"/>
        </w:rPr>
        <w:t>outlines how the WENRA SRLs for other installations</w:t>
      </w:r>
      <w:r w:rsidR="00F965CD" w:rsidRPr="00DD1B58">
        <w:rPr>
          <w:lang w:val="en-US"/>
        </w:rPr>
        <w:t xml:space="preserve"> –</w:t>
      </w:r>
      <w:r w:rsidR="00431F6B" w:rsidRPr="00DD1B58">
        <w:rPr>
          <w:lang w:val="en-US"/>
        </w:rPr>
        <w:t xml:space="preserve"> </w:t>
      </w:r>
      <w:r w:rsidR="00F965CD" w:rsidRPr="00DD1B58">
        <w:rPr>
          <w:lang w:val="en-US"/>
        </w:rPr>
        <w:t>for example,</w:t>
      </w:r>
      <w:r w:rsidR="00431F6B" w:rsidRPr="00DD1B58">
        <w:rPr>
          <w:lang w:val="en-US"/>
        </w:rPr>
        <w:t xml:space="preserve"> SV 3.1, SV 3.2 and SV 3.3</w:t>
      </w:r>
      <w:r w:rsidR="00F965CD" w:rsidRPr="00DD1B58">
        <w:rPr>
          <w:lang w:val="en-US"/>
        </w:rPr>
        <w:t xml:space="preserve"> –</w:t>
      </w:r>
      <w:r w:rsidR="00431F6B" w:rsidRPr="00DD1B58">
        <w:rPr>
          <w:lang w:val="en-US"/>
        </w:rPr>
        <w:t xml:space="preserve"> should be considered</w:t>
      </w:r>
      <w:r w:rsidR="006D1599" w:rsidRPr="00DD1B58">
        <w:rPr>
          <w:lang w:val="en-US"/>
        </w:rPr>
        <w:t xml:space="preserve"> </w:t>
      </w:r>
      <w:r w:rsidR="00431F6B" w:rsidRPr="00DD1B58">
        <w:rPr>
          <w:lang w:val="en-US"/>
        </w:rPr>
        <w:t>proportionately in the NAR according to the graded approach.</w:t>
      </w:r>
      <w:r w:rsidR="00FA76FF" w:rsidRPr="00DD1B58">
        <w:rPr>
          <w:lang w:val="en-US"/>
        </w:rPr>
        <w:t xml:space="preserve"> WENRA SRL </w:t>
      </w:r>
      <w:r w:rsidR="009555DA" w:rsidRPr="00DD1B58">
        <w:rPr>
          <w:lang w:val="en-US"/>
        </w:rPr>
        <w:t xml:space="preserve">SV 3.1 expects that probabilistic methods are applied as far as practicable for </w:t>
      </w:r>
      <w:r w:rsidR="00F83AC0" w:rsidRPr="00DD1B58">
        <w:rPr>
          <w:lang w:val="en-US"/>
        </w:rPr>
        <w:t>internal hazards</w:t>
      </w:r>
      <w:r w:rsidR="009555DA" w:rsidRPr="00DD1B58">
        <w:rPr>
          <w:lang w:val="en-US"/>
        </w:rPr>
        <w:t xml:space="preserve">. Similarly, ONR expects </w:t>
      </w:r>
      <w:r w:rsidR="007C0F28" w:rsidRPr="00DD1B58">
        <w:rPr>
          <w:lang w:val="en-US"/>
        </w:rPr>
        <w:t>l</w:t>
      </w:r>
      <w:r w:rsidR="009555DA" w:rsidRPr="00DD1B58">
        <w:rPr>
          <w:lang w:val="en-US"/>
        </w:rPr>
        <w:t xml:space="preserve">icensees to place greater emphasis on deterministic means of demonstrating safety. However, probabilistic arguments may be of some use when assessing proportionality and on optimising the effectiveness of measures, consistent with ALARP principles. </w:t>
      </w:r>
      <w:r w:rsidR="00ED7801" w:rsidRPr="00DD1B58">
        <w:rPr>
          <w:lang w:val="en-US"/>
        </w:rPr>
        <w:t xml:space="preserve">In </w:t>
      </w:r>
      <w:r w:rsidR="009018AC" w:rsidRPr="00DD1B58">
        <w:rPr>
          <w:lang w:val="en-US"/>
        </w:rPr>
        <w:t>S</w:t>
      </w:r>
      <w:r w:rsidR="00ED7801" w:rsidRPr="00DD1B58">
        <w:rPr>
          <w:lang w:val="en-US"/>
        </w:rPr>
        <w:t xml:space="preserve">ection </w:t>
      </w:r>
      <w:r w:rsidR="005E6119" w:rsidRPr="00DD1B58">
        <w:rPr>
          <w:lang w:val="en-US"/>
        </w:rPr>
        <w:fldChar w:fldCharType="begin"/>
      </w:r>
      <w:r w:rsidR="005E6119" w:rsidRPr="00DD1B58">
        <w:rPr>
          <w:lang w:val="en-US"/>
        </w:rPr>
        <w:instrText xml:space="preserve"> REF _Ref139553556 \r \h </w:instrText>
      </w:r>
      <w:r w:rsidR="005E6119" w:rsidRPr="00DD1B58">
        <w:rPr>
          <w:lang w:val="en-US"/>
        </w:rPr>
      </w:r>
      <w:r w:rsidR="005E6119" w:rsidRPr="00DD1B58">
        <w:rPr>
          <w:lang w:val="en-US"/>
        </w:rPr>
        <w:fldChar w:fldCharType="separate"/>
      </w:r>
      <w:r w:rsidR="00DF47DA">
        <w:rPr>
          <w:lang w:val="en-US"/>
        </w:rPr>
        <w:t>I-2.5.1.4</w:t>
      </w:r>
      <w:r w:rsidR="005E6119" w:rsidRPr="00DD1B58">
        <w:rPr>
          <w:lang w:val="en-US"/>
        </w:rPr>
        <w:fldChar w:fldCharType="end"/>
      </w:r>
      <w:r w:rsidR="00ED7801" w:rsidRPr="00DD1B58">
        <w:rPr>
          <w:lang w:val="en-US"/>
        </w:rPr>
        <w:t xml:space="preserve">, </w:t>
      </w:r>
      <w:r w:rsidR="004668E0" w:rsidRPr="00DD1B58">
        <w:rPr>
          <w:lang w:val="en-US"/>
        </w:rPr>
        <w:t>Sellafield Ltd.</w:t>
      </w:r>
      <w:r w:rsidR="009555DA" w:rsidRPr="00DD1B58">
        <w:rPr>
          <w:lang w:val="en-US"/>
        </w:rPr>
        <w:t xml:space="preserve"> report</w:t>
      </w:r>
      <w:r w:rsidR="00140D01" w:rsidRPr="00DD1B58">
        <w:rPr>
          <w:lang w:val="en-US"/>
        </w:rPr>
        <w:t>s</w:t>
      </w:r>
      <w:r w:rsidR="009555DA" w:rsidRPr="00DD1B58">
        <w:rPr>
          <w:lang w:val="en-US"/>
        </w:rPr>
        <w:t xml:space="preserve"> how specific probabilistic arguments are used in support of fire hazard analyses. This meets ONR expectations.</w:t>
      </w:r>
    </w:p>
    <w:p w14:paraId="7FC0460C" w14:textId="77777777" w:rsidR="00340054" w:rsidRPr="00DD1B58" w:rsidRDefault="00340054" w:rsidP="003A1E94">
      <w:pPr>
        <w:rPr>
          <w:b/>
          <w:lang w:val="en-US"/>
        </w:rPr>
      </w:pPr>
      <w:r w:rsidRPr="00DD1B58">
        <w:rPr>
          <w:b/>
          <w:lang w:val="en-US"/>
        </w:rPr>
        <w:t>Periodic safety r</w:t>
      </w:r>
      <w:r w:rsidR="00FB2504" w:rsidRPr="00DD1B58">
        <w:rPr>
          <w:b/>
          <w:lang w:val="en-US"/>
        </w:rPr>
        <w:t>eview</w:t>
      </w:r>
    </w:p>
    <w:p w14:paraId="0E4C45BB" w14:textId="77777777" w:rsidR="005F1734" w:rsidRPr="00DD1B58" w:rsidRDefault="005F1734" w:rsidP="003A1E94">
      <w:pPr>
        <w:rPr>
          <w:lang w:val="en-US"/>
        </w:rPr>
      </w:pPr>
      <w:r w:rsidRPr="00DD1B58">
        <w:rPr>
          <w:lang w:val="en-US"/>
        </w:rPr>
        <w:t xml:space="preserve">ONR requires </w:t>
      </w:r>
      <w:r w:rsidR="00616ABF" w:rsidRPr="00DD1B58">
        <w:rPr>
          <w:lang w:val="en-US"/>
        </w:rPr>
        <w:t>PSR</w:t>
      </w:r>
      <w:r w:rsidRPr="00DD1B58">
        <w:rPr>
          <w:lang w:val="en-US"/>
        </w:rPr>
        <w:t xml:space="preserve"> under license condition </w:t>
      </w:r>
      <w:r w:rsidR="00452754" w:rsidRPr="00DD1B58">
        <w:rPr>
          <w:lang w:val="en-US"/>
        </w:rPr>
        <w:t>15</w:t>
      </w:r>
      <w:r w:rsidR="00E03120" w:rsidRPr="00DD1B58">
        <w:rPr>
          <w:lang w:val="en-US"/>
        </w:rPr>
        <w:t xml:space="preserve">. </w:t>
      </w:r>
      <w:r w:rsidR="00616ABF" w:rsidRPr="00DD1B58">
        <w:rPr>
          <w:lang w:val="en-US"/>
        </w:rPr>
        <w:t xml:space="preserve">PSR provides a ten-yearly review of safety at the plants. ONR can confirm that fire </w:t>
      </w:r>
      <w:r w:rsidR="00F556E8" w:rsidRPr="00DD1B58">
        <w:rPr>
          <w:lang w:val="en-US"/>
        </w:rPr>
        <w:t>as an internal hazard</w:t>
      </w:r>
      <w:r w:rsidR="00FD645B" w:rsidRPr="00DD1B58">
        <w:rPr>
          <w:lang w:val="en-US"/>
        </w:rPr>
        <w:t xml:space="preserve"> </w:t>
      </w:r>
      <w:r w:rsidR="00616ABF" w:rsidRPr="00DD1B58">
        <w:rPr>
          <w:lang w:val="en-US"/>
        </w:rPr>
        <w:t xml:space="preserve">is included in the licensee’s PSR process as set out in the IAEA’s Safety Guide SSG-25. </w:t>
      </w:r>
    </w:p>
    <w:p w14:paraId="1F1BC4B8" w14:textId="0C82B571" w:rsidR="000161EB" w:rsidRPr="00DD1B58" w:rsidRDefault="00DB0A05" w:rsidP="003A1E94">
      <w:pPr>
        <w:rPr>
          <w:lang w:val="en-US"/>
        </w:rPr>
      </w:pPr>
      <w:r w:rsidRPr="00DD1B58">
        <w:rPr>
          <w:lang w:val="en-US"/>
        </w:rPr>
        <w:t>The most recently reviewed PSR submission</w:t>
      </w:r>
      <w:r w:rsidR="00EA621A" w:rsidRPr="00DD1B58">
        <w:rPr>
          <w:lang w:val="en-US"/>
        </w:rPr>
        <w:t xml:space="preserve"> for a candi</w:t>
      </w:r>
      <w:r w:rsidR="00E06A82" w:rsidRPr="00DD1B58">
        <w:rPr>
          <w:lang w:val="en-US"/>
        </w:rPr>
        <w:t xml:space="preserve">date facility </w:t>
      </w:r>
      <w:r w:rsidR="00EA621A" w:rsidRPr="00DD1B58">
        <w:rPr>
          <w:lang w:val="en-US"/>
        </w:rPr>
        <w:t xml:space="preserve">was for WVP in 2023. </w:t>
      </w:r>
      <w:r w:rsidR="000161EB" w:rsidRPr="00DD1B58">
        <w:rPr>
          <w:lang w:val="en-US"/>
        </w:rPr>
        <w:t xml:space="preserve">No significant </w:t>
      </w:r>
      <w:r w:rsidR="00CE454B" w:rsidRPr="00DD1B58">
        <w:rPr>
          <w:lang w:val="en-US"/>
        </w:rPr>
        <w:t xml:space="preserve">issues were identified in ONR’s </w:t>
      </w:r>
      <w:r w:rsidR="003D4691" w:rsidRPr="00DD1B58">
        <w:rPr>
          <w:lang w:val="en-US"/>
        </w:rPr>
        <w:t xml:space="preserve">assessment </w:t>
      </w:r>
      <w:r w:rsidR="00CE454B" w:rsidRPr="00DD1B58">
        <w:rPr>
          <w:lang w:val="en-US"/>
        </w:rPr>
        <w:t xml:space="preserve">of </w:t>
      </w:r>
      <w:r w:rsidR="0045300A" w:rsidRPr="00DD1B58">
        <w:rPr>
          <w:lang w:val="en-US"/>
        </w:rPr>
        <w:t>the top-level suite of PSR documentation for WVP.</w:t>
      </w:r>
    </w:p>
    <w:p w14:paraId="075679A6" w14:textId="77777777" w:rsidR="00F47DAB" w:rsidRPr="00DD1B58" w:rsidRDefault="00507B99" w:rsidP="003A1E94">
      <w:pPr>
        <w:rPr>
          <w:b/>
          <w:lang w:val="en-US"/>
        </w:rPr>
      </w:pPr>
      <w:r w:rsidRPr="00DD1B58">
        <w:rPr>
          <w:b/>
          <w:lang w:val="en-US"/>
        </w:rPr>
        <w:t>Learning from experience</w:t>
      </w:r>
    </w:p>
    <w:p w14:paraId="1B858EA1" w14:textId="6E51AD77" w:rsidR="00F47DAB" w:rsidRPr="00DD1B58" w:rsidRDefault="004668E0" w:rsidP="003A1E94">
      <w:pPr>
        <w:rPr>
          <w:lang w:val="en-US"/>
        </w:rPr>
      </w:pPr>
      <w:r w:rsidRPr="00DD1B58">
        <w:rPr>
          <w:lang w:val="en-US"/>
        </w:rPr>
        <w:t>Sellafield Ltd.</w:t>
      </w:r>
      <w:r w:rsidR="00373C31" w:rsidRPr="00DD1B58">
        <w:rPr>
          <w:lang w:val="en-US"/>
        </w:rPr>
        <w:t xml:space="preserve"> set</w:t>
      </w:r>
      <w:r w:rsidR="00C462CD" w:rsidRPr="00DD1B58">
        <w:rPr>
          <w:lang w:val="en-US"/>
        </w:rPr>
        <w:t>s</w:t>
      </w:r>
      <w:r w:rsidR="0060270F" w:rsidRPr="00DD1B58">
        <w:rPr>
          <w:lang w:val="en-US"/>
        </w:rPr>
        <w:t xml:space="preserve"> out in </w:t>
      </w:r>
      <w:r w:rsidR="00C462CD" w:rsidRPr="00DD1B58">
        <w:rPr>
          <w:lang w:val="en-US"/>
        </w:rPr>
        <w:t>S</w:t>
      </w:r>
      <w:r w:rsidR="0060270F" w:rsidRPr="00DD1B58">
        <w:rPr>
          <w:lang w:val="en-US"/>
        </w:rPr>
        <w:t xml:space="preserve">ection </w:t>
      </w:r>
      <w:r w:rsidR="00A461F5" w:rsidRPr="00DD1B58">
        <w:rPr>
          <w:lang w:val="en-US"/>
        </w:rPr>
        <w:fldChar w:fldCharType="begin"/>
      </w:r>
      <w:r w:rsidR="00A461F5" w:rsidRPr="00DD1B58">
        <w:rPr>
          <w:lang w:val="en-US"/>
        </w:rPr>
        <w:instrText xml:space="preserve"> REF _Ref139553597 \r \h </w:instrText>
      </w:r>
      <w:r w:rsidR="00A461F5" w:rsidRPr="00DD1B58">
        <w:rPr>
          <w:lang w:val="en-US"/>
        </w:rPr>
      </w:r>
      <w:r w:rsidR="00A461F5" w:rsidRPr="00DD1B58">
        <w:rPr>
          <w:lang w:val="en-US"/>
        </w:rPr>
        <w:fldChar w:fldCharType="separate"/>
      </w:r>
      <w:r w:rsidR="00DF47DA">
        <w:rPr>
          <w:lang w:val="en-US"/>
        </w:rPr>
        <w:t>I-2.5.6.2</w:t>
      </w:r>
      <w:r w:rsidR="00A461F5" w:rsidRPr="00DD1B58">
        <w:rPr>
          <w:lang w:val="en-US"/>
        </w:rPr>
        <w:fldChar w:fldCharType="end"/>
      </w:r>
      <w:r w:rsidR="0060270F" w:rsidRPr="00DD1B58">
        <w:rPr>
          <w:lang w:val="en-US"/>
        </w:rPr>
        <w:t xml:space="preserve"> </w:t>
      </w:r>
      <w:r w:rsidR="001E42FE" w:rsidRPr="00DD1B58">
        <w:rPr>
          <w:lang w:val="en-US"/>
        </w:rPr>
        <w:t xml:space="preserve">a systematic approach to recording </w:t>
      </w:r>
      <w:r w:rsidR="002A559B" w:rsidRPr="00DD1B58">
        <w:rPr>
          <w:lang w:val="en-US"/>
        </w:rPr>
        <w:t>and categorising fires at the site.</w:t>
      </w:r>
      <w:r w:rsidR="00D807C4" w:rsidRPr="00DD1B58">
        <w:rPr>
          <w:lang w:val="en-US"/>
        </w:rPr>
        <w:t xml:space="preserve"> This method </w:t>
      </w:r>
      <w:r w:rsidR="00291DD8" w:rsidRPr="00DD1B58">
        <w:rPr>
          <w:lang w:val="en-US"/>
        </w:rPr>
        <w:t xml:space="preserve">was </w:t>
      </w:r>
      <w:r w:rsidR="00D807C4" w:rsidRPr="00DD1B58">
        <w:rPr>
          <w:lang w:val="en-US"/>
        </w:rPr>
        <w:t>shared with WANO as an example of good practice.</w:t>
      </w:r>
      <w:r w:rsidR="00D03657" w:rsidRPr="00DD1B58">
        <w:rPr>
          <w:lang w:val="en-US"/>
        </w:rPr>
        <w:t xml:space="preserve"> </w:t>
      </w:r>
      <w:r w:rsidRPr="00DD1B58">
        <w:rPr>
          <w:lang w:val="en-US"/>
        </w:rPr>
        <w:t>Sellafield Ltd.</w:t>
      </w:r>
      <w:r w:rsidR="00D03657" w:rsidRPr="00DD1B58">
        <w:rPr>
          <w:lang w:val="en-US"/>
        </w:rPr>
        <w:t xml:space="preserve"> demonstrate</w:t>
      </w:r>
      <w:r w:rsidR="00C462CD" w:rsidRPr="00DD1B58">
        <w:rPr>
          <w:lang w:val="en-US"/>
        </w:rPr>
        <w:t>s</w:t>
      </w:r>
      <w:r w:rsidR="00D03657" w:rsidRPr="00DD1B58">
        <w:rPr>
          <w:lang w:val="en-US"/>
        </w:rPr>
        <w:t xml:space="preserve"> how fires at site have </w:t>
      </w:r>
      <w:r w:rsidR="00A01209" w:rsidRPr="00DD1B58">
        <w:rPr>
          <w:lang w:val="en-US"/>
        </w:rPr>
        <w:t xml:space="preserve">led to specific improvements in arrangements. </w:t>
      </w:r>
      <w:r w:rsidR="002B0D2C" w:rsidRPr="00DD1B58">
        <w:rPr>
          <w:lang w:val="en-US"/>
        </w:rPr>
        <w:t xml:space="preserve">ONR assesses this as a strength of the licensee’s arrangements, in accordance with SAPs </w:t>
      </w:r>
      <w:r w:rsidR="0083022F" w:rsidRPr="00DD1B58">
        <w:rPr>
          <w:lang w:val="en-US"/>
        </w:rPr>
        <w:t>MS.4</w:t>
      </w:r>
      <w:sdt>
        <w:sdtPr>
          <w:rPr>
            <w:lang w:val="en-US"/>
          </w:rPr>
          <w:id w:val="799575998"/>
          <w:citation/>
        </w:sdtPr>
        <w:sdtContent>
          <w:r w:rsidR="00BB4940" w:rsidRPr="00DD1B58">
            <w:rPr>
              <w:lang w:val="en-US"/>
            </w:rPr>
            <w:fldChar w:fldCharType="begin"/>
          </w:r>
          <w:r w:rsidR="0042353C" w:rsidRPr="00DD1B58">
            <w:rPr>
              <w:lang w:val="en-US"/>
            </w:rPr>
            <w:instrText xml:space="preserve">CITATION nsg21 \l 2057 </w:instrText>
          </w:r>
          <w:r w:rsidR="00BB4940" w:rsidRPr="00DD1B58">
            <w:rPr>
              <w:lang w:val="en-US"/>
            </w:rPr>
            <w:fldChar w:fldCharType="separate"/>
          </w:r>
          <w:r w:rsidR="00DF47DA">
            <w:rPr>
              <w:noProof/>
              <w:lang w:val="en-US"/>
            </w:rPr>
            <w:t xml:space="preserve"> </w:t>
          </w:r>
          <w:r w:rsidR="00DF47DA" w:rsidRPr="00DF47DA">
            <w:rPr>
              <w:noProof/>
              <w:lang w:val="en-US"/>
            </w:rPr>
            <w:t>[117]</w:t>
          </w:r>
          <w:r w:rsidR="00BB4940" w:rsidRPr="00DD1B58">
            <w:rPr>
              <w:lang w:val="en-US"/>
            </w:rPr>
            <w:fldChar w:fldCharType="end"/>
          </w:r>
        </w:sdtContent>
      </w:sdt>
      <w:r w:rsidR="0042504B" w:rsidRPr="00DD1B58">
        <w:rPr>
          <w:lang w:val="en-US"/>
        </w:rPr>
        <w:t xml:space="preserve"> and IAEA SSG-77</w:t>
      </w:r>
      <w:r w:rsidR="00131A72" w:rsidRPr="00DD1B58">
        <w:rPr>
          <w:lang w:val="en-US"/>
        </w:rPr>
        <w:t xml:space="preserve"> </w:t>
      </w:r>
      <w:sdt>
        <w:sdtPr>
          <w:rPr>
            <w:lang w:val="en-US"/>
          </w:rPr>
          <w:id w:val="255335348"/>
          <w:citation/>
        </w:sdtPr>
        <w:sdtContent>
          <w:r w:rsidR="0042504B" w:rsidRPr="00DD1B58">
            <w:rPr>
              <w:lang w:val="en-US"/>
            </w:rPr>
            <w:fldChar w:fldCharType="begin"/>
          </w:r>
          <w:r w:rsidR="0042504B" w:rsidRPr="00DD1B58">
            <w:rPr>
              <w:lang w:val="en-US"/>
            </w:rPr>
            <w:instrText xml:space="preserve"> CITATION Int22 \l 2057 </w:instrText>
          </w:r>
          <w:r w:rsidR="0042504B" w:rsidRPr="00DD1B58">
            <w:rPr>
              <w:lang w:val="en-US"/>
            </w:rPr>
            <w:fldChar w:fldCharType="separate"/>
          </w:r>
          <w:r w:rsidR="00DF47DA" w:rsidRPr="00DF47DA">
            <w:rPr>
              <w:noProof/>
              <w:lang w:val="en-US"/>
            </w:rPr>
            <w:t>[18]</w:t>
          </w:r>
          <w:r w:rsidR="0042504B" w:rsidRPr="00DD1B58">
            <w:rPr>
              <w:lang w:val="en-US"/>
            </w:rPr>
            <w:fldChar w:fldCharType="end"/>
          </w:r>
        </w:sdtContent>
      </w:sdt>
      <w:r w:rsidR="0042504B" w:rsidRPr="00DD1B58">
        <w:rPr>
          <w:lang w:val="en-US"/>
        </w:rPr>
        <w:t xml:space="preserve">. </w:t>
      </w:r>
      <w:r w:rsidR="00A10615" w:rsidRPr="00DD1B58">
        <w:rPr>
          <w:lang w:val="en-US"/>
        </w:rPr>
        <w:t xml:space="preserve"> </w:t>
      </w:r>
    </w:p>
    <w:p w14:paraId="6DBD683D" w14:textId="77777777" w:rsidR="00EA4074" w:rsidRPr="00DD1B58" w:rsidRDefault="00EA4074" w:rsidP="003A1E94">
      <w:pPr>
        <w:rPr>
          <w:b/>
          <w:lang w:val="en-US"/>
        </w:rPr>
      </w:pPr>
      <w:r w:rsidRPr="00DD1B58">
        <w:rPr>
          <w:b/>
          <w:lang w:val="en-US"/>
        </w:rPr>
        <w:t>Summary</w:t>
      </w:r>
    </w:p>
    <w:p w14:paraId="1654DD61" w14:textId="6DD94AF5" w:rsidR="009D1934" w:rsidRPr="00DD1B58" w:rsidRDefault="009D1934" w:rsidP="003A1E94">
      <w:pPr>
        <w:rPr>
          <w:lang w:val="en-US"/>
        </w:rPr>
      </w:pPr>
      <w:r w:rsidRPr="00DD1B58">
        <w:rPr>
          <w:lang w:val="en-US"/>
        </w:rPr>
        <w:t xml:space="preserve">In summary, </w:t>
      </w:r>
      <w:r w:rsidR="00291DD8" w:rsidRPr="00DD1B58">
        <w:rPr>
          <w:lang w:val="en-US"/>
        </w:rPr>
        <w:t>ONR conclude</w:t>
      </w:r>
      <w:r w:rsidR="00C462CD" w:rsidRPr="00DD1B58">
        <w:rPr>
          <w:lang w:val="en-US"/>
        </w:rPr>
        <w:t>s</w:t>
      </w:r>
      <w:r w:rsidR="00291DD8" w:rsidRPr="00DD1B58">
        <w:rPr>
          <w:lang w:val="en-US"/>
        </w:rPr>
        <w:t xml:space="preserve"> t</w:t>
      </w:r>
      <w:r w:rsidRPr="00DD1B58">
        <w:rPr>
          <w:lang w:val="en-US"/>
        </w:rPr>
        <w:t xml:space="preserve">hat </w:t>
      </w:r>
      <w:r w:rsidR="00565561" w:rsidRPr="00DD1B58">
        <w:rPr>
          <w:lang w:val="en-US"/>
        </w:rPr>
        <w:t xml:space="preserve">the licensee has </w:t>
      </w:r>
      <w:r w:rsidR="003D7BEC" w:rsidRPr="00DD1B58">
        <w:rPr>
          <w:lang w:val="en-US"/>
        </w:rPr>
        <w:t>adequate</w:t>
      </w:r>
      <w:r w:rsidR="00565561" w:rsidRPr="00DD1B58">
        <w:rPr>
          <w:lang w:val="en-US"/>
        </w:rPr>
        <w:t xml:space="preserve"> </w:t>
      </w:r>
      <w:r w:rsidR="003D7BEC" w:rsidRPr="00DD1B58">
        <w:rPr>
          <w:lang w:val="en-US"/>
        </w:rPr>
        <w:t>arrangements</w:t>
      </w:r>
      <w:r w:rsidR="00565561" w:rsidRPr="00DD1B58">
        <w:rPr>
          <w:lang w:val="en-US"/>
        </w:rPr>
        <w:t xml:space="preserve"> for </w:t>
      </w:r>
      <w:r w:rsidR="003D7BEC" w:rsidRPr="00DD1B58">
        <w:rPr>
          <w:lang w:val="en-US"/>
        </w:rPr>
        <w:t>undertaking nuclear fire hazard analysis</w:t>
      </w:r>
      <w:r w:rsidR="00C462CD" w:rsidRPr="00DD1B58">
        <w:rPr>
          <w:lang w:val="en-US"/>
        </w:rPr>
        <w:t>,</w:t>
      </w:r>
      <w:r w:rsidR="000304FF" w:rsidRPr="00DD1B58">
        <w:rPr>
          <w:lang w:val="en-US"/>
        </w:rPr>
        <w:t xml:space="preserve"> with one area for potential improvement identified</w:t>
      </w:r>
      <w:r w:rsidR="00C462CD" w:rsidRPr="00DD1B58">
        <w:rPr>
          <w:lang w:val="en-US"/>
        </w:rPr>
        <w:t>:</w:t>
      </w:r>
      <w:r w:rsidR="00291DD8" w:rsidRPr="00DD1B58">
        <w:rPr>
          <w:lang w:val="en-US"/>
        </w:rPr>
        <w:t xml:space="preserve"> the systematic consideration of combined hazards.</w:t>
      </w:r>
    </w:p>
    <w:p w14:paraId="50BD9765" w14:textId="77777777" w:rsidR="00325B7D" w:rsidRPr="00DD1B58" w:rsidRDefault="00325B7D" w:rsidP="00064A8D">
      <w:pPr>
        <w:pStyle w:val="Heading4"/>
        <w:numPr>
          <w:ilvl w:val="4"/>
          <w:numId w:val="3"/>
        </w:numPr>
        <w:rPr>
          <w:lang w:val="en-US"/>
        </w:rPr>
      </w:pPr>
      <w:r w:rsidRPr="00DD1B58">
        <w:rPr>
          <w:lang w:val="en-US"/>
        </w:rPr>
        <w:t xml:space="preserve">Lessons learned from inspection and assessment as part of the regulatory oversight </w:t>
      </w:r>
    </w:p>
    <w:p w14:paraId="1465F0A2" w14:textId="441D855A" w:rsidR="00FD7C41" w:rsidRPr="00DD1B58" w:rsidRDefault="00D94E06" w:rsidP="00FD7C41">
      <w:pPr>
        <w:rPr>
          <w:lang w:val="en-US"/>
        </w:rPr>
      </w:pPr>
      <w:r w:rsidRPr="00DD1B58">
        <w:rPr>
          <w:lang w:val="en-US"/>
        </w:rPr>
        <w:t>ONR</w:t>
      </w:r>
      <w:r w:rsidR="00FE0F31" w:rsidRPr="00DD1B58">
        <w:rPr>
          <w:lang w:val="en-US"/>
        </w:rPr>
        <w:t xml:space="preserve"> provides regulatory oversight of licensees’ activities through its inspection and assessment functions. </w:t>
      </w:r>
      <w:r w:rsidR="00835BC5" w:rsidRPr="00DD1B58">
        <w:rPr>
          <w:lang w:val="en-US"/>
        </w:rPr>
        <w:t>Se</w:t>
      </w:r>
      <w:r w:rsidR="00DF4625" w:rsidRPr="00DD1B58">
        <w:rPr>
          <w:lang w:val="en-US"/>
        </w:rPr>
        <w:t xml:space="preserve">llafield </w:t>
      </w:r>
      <w:r w:rsidR="00513C36" w:rsidRPr="00DD1B58">
        <w:rPr>
          <w:lang w:val="en-US"/>
        </w:rPr>
        <w:t xml:space="preserve">has a nominated site inspector for the </w:t>
      </w:r>
      <w:r w:rsidR="004D27CF" w:rsidRPr="00DD1B58">
        <w:rPr>
          <w:lang w:val="en-US"/>
        </w:rPr>
        <w:t xml:space="preserve">whole licensed site, in addition to several site inspectors for </w:t>
      </w:r>
      <w:r w:rsidR="00460F2C" w:rsidRPr="00DD1B58">
        <w:rPr>
          <w:lang w:val="en-US"/>
        </w:rPr>
        <w:t xml:space="preserve">specific facility groups. Project inspectors are assigned to </w:t>
      </w:r>
      <w:r w:rsidR="001F2E1F" w:rsidRPr="00DD1B58">
        <w:rPr>
          <w:lang w:val="en-US"/>
        </w:rPr>
        <w:t xml:space="preserve">significant modification, </w:t>
      </w:r>
      <w:r w:rsidR="00A73F43" w:rsidRPr="00DD1B58">
        <w:rPr>
          <w:lang w:val="en-US"/>
        </w:rPr>
        <w:t>construction</w:t>
      </w:r>
      <w:r w:rsidR="001F2E1F" w:rsidRPr="00DD1B58">
        <w:rPr>
          <w:lang w:val="en-US"/>
        </w:rPr>
        <w:t xml:space="preserve"> or demolition activities. Specialist inspectors support </w:t>
      </w:r>
      <w:r w:rsidR="00176313" w:rsidRPr="00DD1B58">
        <w:rPr>
          <w:lang w:val="en-US"/>
        </w:rPr>
        <w:t xml:space="preserve">in </w:t>
      </w:r>
      <w:r w:rsidR="00A73F43" w:rsidRPr="00DD1B58">
        <w:rPr>
          <w:lang w:val="en-US"/>
        </w:rPr>
        <w:t>all</w:t>
      </w:r>
      <w:r w:rsidR="00176313" w:rsidRPr="00DD1B58">
        <w:rPr>
          <w:lang w:val="en-US"/>
        </w:rPr>
        <w:t xml:space="preserve"> these areas.</w:t>
      </w:r>
    </w:p>
    <w:p w14:paraId="25CD42C1" w14:textId="35870265" w:rsidR="00831A6A" w:rsidRPr="00DD1B58" w:rsidRDefault="00B82FC4" w:rsidP="00FD7C41">
      <w:pPr>
        <w:rPr>
          <w:lang w:val="en-US"/>
        </w:rPr>
      </w:pPr>
      <w:r w:rsidRPr="00DD1B58">
        <w:rPr>
          <w:lang w:val="en-US"/>
        </w:rPr>
        <w:t>ONR ass</w:t>
      </w:r>
      <w:r w:rsidR="00F169F6" w:rsidRPr="00DD1B58">
        <w:rPr>
          <w:lang w:val="en-US"/>
        </w:rPr>
        <w:t xml:space="preserve">essed </w:t>
      </w:r>
      <w:r w:rsidR="00F561C2" w:rsidRPr="00DD1B58">
        <w:rPr>
          <w:lang w:val="en-US"/>
        </w:rPr>
        <w:t xml:space="preserve">the internal </w:t>
      </w:r>
      <w:r w:rsidR="00474666" w:rsidRPr="00DD1B58">
        <w:rPr>
          <w:lang w:val="en-US"/>
        </w:rPr>
        <w:t xml:space="preserve">hazards aspects of </w:t>
      </w:r>
      <w:r w:rsidR="003A44EA" w:rsidRPr="00DD1B58">
        <w:rPr>
          <w:lang w:val="en-US"/>
        </w:rPr>
        <w:t xml:space="preserve">BEPPS-DIF at the pre-inactive </w:t>
      </w:r>
      <w:r w:rsidR="000C4F91" w:rsidRPr="00DD1B58">
        <w:rPr>
          <w:lang w:val="en-US"/>
        </w:rPr>
        <w:t>commissioning report stage in 2021</w:t>
      </w:r>
      <w:r w:rsidR="00AD16FB" w:rsidRPr="00DD1B58">
        <w:rPr>
          <w:lang w:val="en-US"/>
        </w:rPr>
        <w:t xml:space="preserve"> </w:t>
      </w:r>
      <w:sdt>
        <w:sdtPr>
          <w:rPr>
            <w:lang w:val="en-US"/>
          </w:rPr>
          <w:id w:val="-1883232945"/>
          <w:citation/>
        </w:sdtPr>
        <w:sdtContent>
          <w:r w:rsidR="002F294B" w:rsidRPr="00DD1B58">
            <w:rPr>
              <w:lang w:val="en-US"/>
            </w:rPr>
            <w:fldChar w:fldCharType="begin"/>
          </w:r>
          <w:r w:rsidR="002F294B" w:rsidRPr="00DD1B58">
            <w:rPr>
              <w:lang w:val="en-US"/>
            </w:rPr>
            <w:instrText xml:space="preserve"> CITATION ONR2 \l 2057 </w:instrText>
          </w:r>
          <w:r w:rsidR="002F294B" w:rsidRPr="00DD1B58">
            <w:rPr>
              <w:lang w:val="en-US"/>
            </w:rPr>
            <w:fldChar w:fldCharType="separate"/>
          </w:r>
          <w:r w:rsidR="00DF47DA" w:rsidRPr="00DF47DA">
            <w:rPr>
              <w:noProof/>
              <w:lang w:val="en-US"/>
            </w:rPr>
            <w:t>[118]</w:t>
          </w:r>
          <w:r w:rsidR="002F294B" w:rsidRPr="00DD1B58">
            <w:rPr>
              <w:lang w:val="en-US"/>
            </w:rPr>
            <w:fldChar w:fldCharType="end"/>
          </w:r>
        </w:sdtContent>
      </w:sdt>
      <w:r w:rsidR="000C4F91" w:rsidRPr="00DD1B58">
        <w:rPr>
          <w:lang w:val="en-US"/>
        </w:rPr>
        <w:t xml:space="preserve">. </w:t>
      </w:r>
      <w:r w:rsidR="00971EBA" w:rsidRPr="00DD1B58">
        <w:rPr>
          <w:lang w:val="en-US"/>
        </w:rPr>
        <w:t>This assessment concluded that Sellafield had demonstrated that relevant good practice has been met with regards to the Internal Hazards and Nuclear Fire Safety aspects of the safety case to support inactive commissioning of BEPPS-DIF.</w:t>
      </w:r>
      <w:r w:rsidR="0035366B" w:rsidRPr="00DD1B58">
        <w:rPr>
          <w:lang w:val="en-US"/>
        </w:rPr>
        <w:t xml:space="preserve"> Some shortfalls relating to </w:t>
      </w:r>
      <w:r w:rsidR="00F1128E" w:rsidRPr="00DD1B58">
        <w:rPr>
          <w:lang w:val="en-US"/>
        </w:rPr>
        <w:t xml:space="preserve">vehicle fire suppression and passive fire protection in the roadbay were identified. </w:t>
      </w:r>
      <w:r w:rsidR="00D90020" w:rsidRPr="00DD1B58">
        <w:rPr>
          <w:lang w:val="en-US"/>
        </w:rPr>
        <w:t xml:space="preserve">ONR assessed the </w:t>
      </w:r>
      <w:r w:rsidR="006B6D55" w:rsidRPr="00DD1B58">
        <w:rPr>
          <w:lang w:val="en-US"/>
        </w:rPr>
        <w:t>licensee’s</w:t>
      </w:r>
      <w:r w:rsidR="00D90020" w:rsidRPr="00DD1B58">
        <w:rPr>
          <w:lang w:val="en-US"/>
        </w:rPr>
        <w:t xml:space="preserve"> response to these shortfalls at the </w:t>
      </w:r>
      <w:r w:rsidR="007B1109" w:rsidRPr="00DD1B58">
        <w:rPr>
          <w:lang w:val="en-US"/>
        </w:rPr>
        <w:t xml:space="preserve">pre-active commissioning report stage in 2023, finding that the </w:t>
      </w:r>
      <w:r w:rsidR="006B6D55" w:rsidRPr="00DD1B58">
        <w:rPr>
          <w:lang w:val="en-US"/>
        </w:rPr>
        <w:t>shortfalls had been adequately closed</w:t>
      </w:r>
      <w:r w:rsidR="002F294B" w:rsidRPr="00DD1B58">
        <w:rPr>
          <w:lang w:val="en-US"/>
        </w:rPr>
        <w:t xml:space="preserve"> </w:t>
      </w:r>
      <w:sdt>
        <w:sdtPr>
          <w:rPr>
            <w:lang w:val="en-US"/>
          </w:rPr>
          <w:id w:val="-534422307"/>
          <w:citation/>
        </w:sdtPr>
        <w:sdtContent>
          <w:r w:rsidR="002F294B" w:rsidRPr="00DD1B58">
            <w:rPr>
              <w:lang w:val="en-US"/>
            </w:rPr>
            <w:fldChar w:fldCharType="begin"/>
          </w:r>
          <w:r w:rsidR="002F294B" w:rsidRPr="00DD1B58">
            <w:rPr>
              <w:lang w:val="en-US"/>
            </w:rPr>
            <w:instrText xml:space="preserve"> CITATION BEP \l 2057 </w:instrText>
          </w:r>
          <w:r w:rsidR="002F294B" w:rsidRPr="00DD1B58">
            <w:rPr>
              <w:lang w:val="en-US"/>
            </w:rPr>
            <w:fldChar w:fldCharType="separate"/>
          </w:r>
          <w:r w:rsidR="00DF47DA" w:rsidRPr="00DF47DA">
            <w:rPr>
              <w:noProof/>
              <w:lang w:val="en-US"/>
            </w:rPr>
            <w:t>[119]</w:t>
          </w:r>
          <w:r w:rsidR="002F294B" w:rsidRPr="00DD1B58">
            <w:rPr>
              <w:lang w:val="en-US"/>
            </w:rPr>
            <w:fldChar w:fldCharType="end"/>
          </w:r>
        </w:sdtContent>
      </w:sdt>
      <w:r w:rsidR="00BD0229" w:rsidRPr="00DD1B58">
        <w:rPr>
          <w:lang w:val="en-US"/>
        </w:rPr>
        <w:t xml:space="preserve"> by providing</w:t>
      </w:r>
      <w:r w:rsidR="00346401" w:rsidRPr="00DD1B58">
        <w:rPr>
          <w:lang w:val="en-US"/>
        </w:rPr>
        <w:t xml:space="preserve"> automatic fire suppression within all </w:t>
      </w:r>
      <w:r w:rsidR="00304776" w:rsidRPr="00DD1B58">
        <w:rPr>
          <w:lang w:val="en-US"/>
        </w:rPr>
        <w:t>transporters in use on the site.</w:t>
      </w:r>
    </w:p>
    <w:p w14:paraId="4E86C007" w14:textId="163994FD" w:rsidR="002A0C9C" w:rsidRPr="00DD1B58" w:rsidRDefault="002A0C9C" w:rsidP="00FD7C41">
      <w:pPr>
        <w:rPr>
          <w:lang w:val="en-US"/>
        </w:rPr>
      </w:pPr>
      <w:r w:rsidRPr="00DD1B58">
        <w:rPr>
          <w:lang w:val="en-US"/>
        </w:rPr>
        <w:t xml:space="preserve">As part of the </w:t>
      </w:r>
      <w:r w:rsidR="005755D7" w:rsidRPr="00DD1B58">
        <w:rPr>
          <w:lang w:val="en-US"/>
        </w:rPr>
        <w:t>p</w:t>
      </w:r>
      <w:r w:rsidRPr="00DD1B58">
        <w:rPr>
          <w:lang w:val="en-US"/>
        </w:rPr>
        <w:t xml:space="preserve">re-active commissioning </w:t>
      </w:r>
      <w:r w:rsidR="005755D7" w:rsidRPr="00DD1B58">
        <w:rPr>
          <w:lang w:val="en-US"/>
        </w:rPr>
        <w:t xml:space="preserve">report </w:t>
      </w:r>
      <w:r w:rsidRPr="00DD1B58">
        <w:rPr>
          <w:lang w:val="en-US"/>
        </w:rPr>
        <w:t xml:space="preserve">assessment </w:t>
      </w:r>
      <w:r w:rsidR="008B7A26" w:rsidRPr="00DD1B58">
        <w:rPr>
          <w:lang w:val="en-US"/>
        </w:rPr>
        <w:t xml:space="preserve">ONR specifically sampled the </w:t>
      </w:r>
      <w:r w:rsidR="000A1806" w:rsidRPr="00DD1B58">
        <w:rPr>
          <w:lang w:val="en-US"/>
        </w:rPr>
        <w:t xml:space="preserve">roadbay fire modelling in BEPPS-DIF, finding that </w:t>
      </w:r>
      <w:r w:rsidR="004668E0" w:rsidRPr="00DD1B58">
        <w:rPr>
          <w:lang w:val="en-US"/>
        </w:rPr>
        <w:t xml:space="preserve">Sellafield Ltd. </w:t>
      </w:r>
      <w:r w:rsidR="000A1806" w:rsidRPr="00DD1B58">
        <w:rPr>
          <w:lang w:val="en-US"/>
        </w:rPr>
        <w:t>had met the expectations of SAPs AV.1, AV.2, AV.3 and AV.6 in the modelling undertaken, EHA.1 and EHA.14 in characterisation and analysis of the fire and EKP.4 and EKP.5 in the safety measures identified.</w:t>
      </w:r>
    </w:p>
    <w:p w14:paraId="2281A52F" w14:textId="7D58E95A" w:rsidR="00FE0F31" w:rsidRPr="00DD1B58" w:rsidRDefault="00F3155A" w:rsidP="00FD7C41">
      <w:pPr>
        <w:rPr>
          <w:lang w:val="en-US"/>
        </w:rPr>
      </w:pPr>
      <w:r w:rsidRPr="00DD1B58">
        <w:rPr>
          <w:lang w:val="en-US"/>
        </w:rPr>
        <w:t xml:space="preserve">In 2022 </w:t>
      </w:r>
      <w:r w:rsidR="0009157E" w:rsidRPr="00DD1B58">
        <w:rPr>
          <w:lang w:val="en-US"/>
        </w:rPr>
        <w:t xml:space="preserve">ONR conducted </w:t>
      </w:r>
      <w:r w:rsidR="00754DD7" w:rsidRPr="00DD1B58">
        <w:rPr>
          <w:lang w:val="en-US"/>
        </w:rPr>
        <w:t>fire focused system</w:t>
      </w:r>
      <w:r w:rsidR="002655CB" w:rsidRPr="00DD1B58">
        <w:rPr>
          <w:lang w:val="en-US"/>
        </w:rPr>
        <w:t>-</w:t>
      </w:r>
      <w:r w:rsidR="00754DD7" w:rsidRPr="00DD1B58">
        <w:rPr>
          <w:lang w:val="en-US"/>
        </w:rPr>
        <w:t xml:space="preserve">based inspections at Sellafield’s </w:t>
      </w:r>
      <w:r w:rsidR="008E1324" w:rsidRPr="00DD1B58">
        <w:rPr>
          <w:lang w:val="en-US"/>
        </w:rPr>
        <w:t>Magnox East River (MER) and Thermal Oxide R</w:t>
      </w:r>
      <w:r w:rsidR="00C369AD" w:rsidRPr="00DD1B58">
        <w:rPr>
          <w:lang w:val="en-US"/>
        </w:rPr>
        <w:t>eprocessing Plant (THORP)</w:t>
      </w:r>
      <w:r w:rsidR="002655CB" w:rsidRPr="00DD1B58">
        <w:rPr>
          <w:lang w:val="en-US"/>
        </w:rPr>
        <w:t>. While outside of the candidate facility list</w:t>
      </w:r>
      <w:r w:rsidR="006D3EFE" w:rsidRPr="00DD1B58">
        <w:rPr>
          <w:lang w:val="en-US"/>
        </w:rPr>
        <w:t xml:space="preserve">, these </w:t>
      </w:r>
      <w:r w:rsidR="00094FB7" w:rsidRPr="00DD1B58">
        <w:rPr>
          <w:lang w:val="en-US"/>
        </w:rPr>
        <w:t>inspections allow</w:t>
      </w:r>
      <w:r w:rsidR="00BD0229" w:rsidRPr="00DD1B58">
        <w:rPr>
          <w:lang w:val="en-US"/>
        </w:rPr>
        <w:t>ed</w:t>
      </w:r>
      <w:r w:rsidR="00094FB7" w:rsidRPr="00DD1B58">
        <w:rPr>
          <w:lang w:val="en-US"/>
        </w:rPr>
        <w:t xml:space="preserve"> ONR to form a view on general nuclear fire safety at the site. Both inspections were rated as </w:t>
      </w:r>
      <w:r w:rsidR="00B21ECD" w:rsidRPr="00DD1B58">
        <w:rPr>
          <w:lang w:val="en-US"/>
        </w:rPr>
        <w:t xml:space="preserve">green </w:t>
      </w:r>
      <w:r w:rsidR="00993E2B" w:rsidRPr="00DD1B58">
        <w:rPr>
          <w:lang w:val="en-US"/>
        </w:rPr>
        <w:t xml:space="preserve">(no formal action) </w:t>
      </w:r>
      <w:r w:rsidR="00B21ECD" w:rsidRPr="00DD1B58">
        <w:rPr>
          <w:lang w:val="en-US"/>
        </w:rPr>
        <w:t xml:space="preserve">across all </w:t>
      </w:r>
      <w:r w:rsidR="003B0853" w:rsidRPr="00DD1B58">
        <w:rPr>
          <w:lang w:val="en-US"/>
        </w:rPr>
        <w:t>licen</w:t>
      </w:r>
      <w:r w:rsidR="00396CA4" w:rsidRPr="00DD1B58">
        <w:rPr>
          <w:lang w:val="en-US"/>
        </w:rPr>
        <w:t>c</w:t>
      </w:r>
      <w:r w:rsidR="003B0853" w:rsidRPr="00DD1B58">
        <w:rPr>
          <w:lang w:val="en-US"/>
        </w:rPr>
        <w:t xml:space="preserve">e conditions. </w:t>
      </w:r>
      <w:r w:rsidR="00993E2B" w:rsidRPr="00DD1B58">
        <w:rPr>
          <w:lang w:val="en-US"/>
        </w:rPr>
        <w:t xml:space="preserve">Regulatory advice was provided on </w:t>
      </w:r>
      <w:r w:rsidR="00DA7799" w:rsidRPr="00DD1B58">
        <w:rPr>
          <w:lang w:val="en-US"/>
        </w:rPr>
        <w:t>laydown area control and</w:t>
      </w:r>
      <w:r w:rsidR="00F811EE" w:rsidRPr="00DD1B58">
        <w:rPr>
          <w:lang w:val="en-US"/>
        </w:rPr>
        <w:t xml:space="preserve"> fire damper </w:t>
      </w:r>
      <w:r w:rsidR="000139CC" w:rsidRPr="00DD1B58">
        <w:rPr>
          <w:lang w:val="en-US"/>
        </w:rPr>
        <w:t>requirements assessment at MER</w:t>
      </w:r>
      <w:r w:rsidR="00EE2CFE" w:rsidRPr="00DD1B58">
        <w:rPr>
          <w:lang w:val="en-US"/>
        </w:rPr>
        <w:t>.</w:t>
      </w:r>
      <w:r w:rsidR="00557AFD" w:rsidRPr="00DD1B58">
        <w:rPr>
          <w:lang w:val="en-US"/>
        </w:rPr>
        <w:t xml:space="preserve"> The holistic fire strategy approach employed by MER was raised as a point of good practice and </w:t>
      </w:r>
      <w:r w:rsidR="0092135D" w:rsidRPr="00DD1B58">
        <w:rPr>
          <w:lang w:val="en-US"/>
        </w:rPr>
        <w:t xml:space="preserve">ONR </w:t>
      </w:r>
      <w:r w:rsidR="008C12A3" w:rsidRPr="00DD1B58">
        <w:rPr>
          <w:lang w:val="en-US"/>
        </w:rPr>
        <w:t xml:space="preserve">has </w:t>
      </w:r>
      <w:r w:rsidR="008C1B17" w:rsidRPr="00DD1B58">
        <w:rPr>
          <w:lang w:val="en-US"/>
        </w:rPr>
        <w:t>highlighted this as</w:t>
      </w:r>
      <w:r w:rsidR="0078370D" w:rsidRPr="00DD1B58">
        <w:rPr>
          <w:lang w:val="en-US"/>
        </w:rPr>
        <w:t xml:space="preserve"> a practice that should be adopted</w:t>
      </w:r>
      <w:r w:rsidR="008C1B17" w:rsidRPr="00DD1B58">
        <w:rPr>
          <w:lang w:val="en-US"/>
        </w:rPr>
        <w:t xml:space="preserve"> across the Sellafield facility groups.</w:t>
      </w:r>
    </w:p>
    <w:p w14:paraId="62AAD157" w14:textId="16A53793" w:rsidR="00EE2CFE" w:rsidRPr="00DD1B58" w:rsidRDefault="00BE4D08" w:rsidP="00FD7C41">
      <w:pPr>
        <w:rPr>
          <w:lang w:val="en-US"/>
        </w:rPr>
      </w:pPr>
      <w:r w:rsidRPr="00DD1B58">
        <w:rPr>
          <w:lang w:val="en-US"/>
        </w:rPr>
        <w:t xml:space="preserve">Within the </w:t>
      </w:r>
      <w:r w:rsidR="007E47BA" w:rsidRPr="00DD1B58">
        <w:rPr>
          <w:lang w:val="en-US"/>
        </w:rPr>
        <w:t>candidate facilities</w:t>
      </w:r>
      <w:r w:rsidR="00254218" w:rsidRPr="00DD1B58">
        <w:rPr>
          <w:lang w:val="en-US"/>
        </w:rPr>
        <w:t>, Magnox Reprocessing was the subject of a fire protection SBI</w:t>
      </w:r>
      <w:r w:rsidR="006A0D55" w:rsidRPr="00DD1B58">
        <w:rPr>
          <w:lang w:val="en-US"/>
        </w:rPr>
        <w:t xml:space="preserve"> in 2017</w:t>
      </w:r>
      <w:r w:rsidR="006B1C76" w:rsidRPr="00DD1B58">
        <w:rPr>
          <w:lang w:val="en-US"/>
        </w:rPr>
        <w:t xml:space="preserve">. </w:t>
      </w:r>
      <w:bookmarkStart w:id="61" w:name="_Hlk148611180"/>
      <w:r w:rsidR="00525266" w:rsidRPr="00DD1B58">
        <w:rPr>
          <w:lang w:val="en-US"/>
        </w:rPr>
        <w:t>This was rated green against LCs 10, 23, 24, 28 and 34. LC27, was rated as amber with a regulatory issue relating to condition of suppression system components. This has since been addressed by Sellafield Ltd.</w:t>
      </w:r>
      <w:bookmarkEnd w:id="61"/>
    </w:p>
    <w:p w14:paraId="4E2DEB91" w14:textId="239E869D" w:rsidR="00FA7231" w:rsidRPr="00DD1B58" w:rsidRDefault="00FA7231" w:rsidP="00FD7C41">
      <w:pPr>
        <w:rPr>
          <w:lang w:val="en-US"/>
        </w:rPr>
      </w:pPr>
      <w:r w:rsidRPr="00DD1B58">
        <w:rPr>
          <w:lang w:val="en-US"/>
        </w:rPr>
        <w:t>In July 2021, ONR undertook a</w:t>
      </w:r>
      <w:r w:rsidR="007C2FF6" w:rsidRPr="00DD1B58">
        <w:rPr>
          <w:lang w:val="en-US"/>
        </w:rPr>
        <w:t xml:space="preserve"> Licence Condition 23 (Operating Rules) Nuclear Fire Safety</w:t>
      </w:r>
      <w:r w:rsidRPr="00DD1B58">
        <w:rPr>
          <w:lang w:val="en-US"/>
        </w:rPr>
        <w:t xml:space="preserve"> </w:t>
      </w:r>
      <w:r w:rsidR="007C2FF6" w:rsidRPr="00DD1B58">
        <w:rPr>
          <w:lang w:val="en-US"/>
        </w:rPr>
        <w:t xml:space="preserve">inspection at </w:t>
      </w:r>
      <w:r w:rsidRPr="00DD1B58">
        <w:rPr>
          <w:lang w:val="en-US"/>
        </w:rPr>
        <w:t>SPRS</w:t>
      </w:r>
      <w:r w:rsidR="007C2FF6" w:rsidRPr="00DD1B58">
        <w:rPr>
          <w:lang w:val="en-US"/>
        </w:rPr>
        <w:t>.</w:t>
      </w:r>
      <w:r w:rsidR="007678AC" w:rsidRPr="00DD1B58">
        <w:rPr>
          <w:lang w:val="en-US"/>
        </w:rPr>
        <w:t xml:space="preserve"> ONR observed that the licensee ha</w:t>
      </w:r>
      <w:r w:rsidR="0047297D" w:rsidRPr="00DD1B58">
        <w:rPr>
          <w:lang w:val="en-US"/>
        </w:rPr>
        <w:t>d</w:t>
      </w:r>
      <w:r w:rsidR="007678AC" w:rsidRPr="00DD1B58">
        <w:rPr>
          <w:lang w:val="en-US"/>
        </w:rPr>
        <w:t xml:space="preserve"> a good understanding of the LC 23 arrangements from a nuclear fire safety perspective. On a sample basis, evidence was seen that </w:t>
      </w:r>
      <w:r w:rsidR="007317A0" w:rsidRPr="00DD1B58">
        <w:rPr>
          <w:lang w:val="en-US"/>
        </w:rPr>
        <w:t>the dutyholder</w:t>
      </w:r>
      <w:r w:rsidR="007678AC" w:rsidRPr="00DD1B58">
        <w:rPr>
          <w:lang w:val="en-US"/>
        </w:rPr>
        <w:t xml:space="preserve"> had adequately implemented required Operating Instructions (rOIs) associated with the Nuclear Fire Safety Assessments and compliance checklists were adequately completed and updated in accordance with the plant status.</w:t>
      </w:r>
      <w:r w:rsidR="00F40D07" w:rsidRPr="00DD1B58">
        <w:rPr>
          <w:lang w:val="en-US"/>
        </w:rPr>
        <w:t xml:space="preserve"> An inspection rating of </w:t>
      </w:r>
      <w:r w:rsidR="00410E0A" w:rsidRPr="00DD1B58">
        <w:rPr>
          <w:lang w:val="en-US"/>
        </w:rPr>
        <w:t>g</w:t>
      </w:r>
      <w:r w:rsidR="00F40D07" w:rsidRPr="00DD1B58">
        <w:rPr>
          <w:lang w:val="en-US"/>
        </w:rPr>
        <w:t>reen (no formal action) was assigned for compliance against this LC.</w:t>
      </w:r>
    </w:p>
    <w:p w14:paraId="52B30845" w14:textId="00400057" w:rsidR="000E590F" w:rsidRPr="00DD1B58" w:rsidRDefault="00771036" w:rsidP="00FD7C41">
      <w:pPr>
        <w:rPr>
          <w:rStyle w:val="Hyperlink"/>
          <w:b/>
          <w:u w:val="none"/>
          <w:lang w:val="en-US"/>
        </w:rPr>
      </w:pPr>
      <w:r w:rsidRPr="00DD1B58">
        <w:rPr>
          <w:lang w:val="en-US"/>
        </w:rPr>
        <w:t xml:space="preserve">ONR </w:t>
      </w:r>
      <w:r w:rsidR="00E14C2F" w:rsidRPr="00DD1B58">
        <w:rPr>
          <w:lang w:val="en-US"/>
        </w:rPr>
        <w:t xml:space="preserve">also inspects the </w:t>
      </w:r>
      <w:r w:rsidR="004668E0" w:rsidRPr="00DD1B58">
        <w:rPr>
          <w:lang w:val="en-US"/>
        </w:rPr>
        <w:t>Sellafield Ltd.</w:t>
      </w:r>
      <w:r w:rsidR="00E14C2F" w:rsidRPr="00DD1B58">
        <w:rPr>
          <w:lang w:val="en-US"/>
        </w:rPr>
        <w:t xml:space="preserve"> facilities und</w:t>
      </w:r>
      <w:r w:rsidR="0003279F" w:rsidRPr="00DD1B58">
        <w:rPr>
          <w:lang w:val="en-US"/>
        </w:rPr>
        <w:t xml:space="preserve">er its Nuclear </w:t>
      </w:r>
      <w:r w:rsidR="00E321D6" w:rsidRPr="00DD1B58">
        <w:rPr>
          <w:lang w:val="en-US"/>
        </w:rPr>
        <w:t>S</w:t>
      </w:r>
      <w:r w:rsidR="0003279F" w:rsidRPr="00DD1B58">
        <w:rPr>
          <w:lang w:val="en-US"/>
        </w:rPr>
        <w:t>ite Health and Safety purpose</w:t>
      </w:r>
      <w:r w:rsidR="00680AF2" w:rsidRPr="00DD1B58">
        <w:rPr>
          <w:lang w:val="en-US"/>
        </w:rPr>
        <w:t xml:space="preserve"> in the area of life fire safety. This comprises regular inspections against the requirements of the Regulatory Reform Fire Safety </w:t>
      </w:r>
      <w:r w:rsidR="00A44971" w:rsidRPr="00DD1B58">
        <w:rPr>
          <w:lang w:val="en-US"/>
        </w:rPr>
        <w:t>O</w:t>
      </w:r>
      <w:r w:rsidR="00680AF2" w:rsidRPr="00DD1B58">
        <w:rPr>
          <w:lang w:val="en-US"/>
        </w:rPr>
        <w:t>rder</w:t>
      </w:r>
      <w:r w:rsidR="00A44971" w:rsidRPr="00DD1B58">
        <w:rPr>
          <w:lang w:val="en-US"/>
        </w:rPr>
        <w:t xml:space="preserve"> 2005</w:t>
      </w:r>
      <w:r w:rsidR="00AF4E89" w:rsidRPr="00DD1B58">
        <w:rPr>
          <w:lang w:val="en-US"/>
        </w:rPr>
        <w:t xml:space="preserve"> </w:t>
      </w:r>
      <w:sdt>
        <w:sdtPr>
          <w:rPr>
            <w:lang w:val="en-US"/>
          </w:rPr>
          <w:id w:val="1458675408"/>
          <w:citation/>
        </w:sdtPr>
        <w:sdtContent>
          <w:r w:rsidR="00AF4E89" w:rsidRPr="00DD1B58">
            <w:rPr>
              <w:lang w:val="en-US"/>
            </w:rPr>
            <w:fldChar w:fldCharType="begin"/>
          </w:r>
          <w:r w:rsidR="00601B0B" w:rsidRPr="00DD1B58">
            <w:rPr>
              <w:lang w:val="en-US"/>
            </w:rPr>
            <w:instrText xml:space="preserve">CITATION The05 \l 2057 </w:instrText>
          </w:r>
          <w:r w:rsidR="00AF4E89" w:rsidRPr="00DD1B58">
            <w:rPr>
              <w:lang w:val="en-US"/>
            </w:rPr>
            <w:fldChar w:fldCharType="separate"/>
          </w:r>
          <w:r w:rsidR="00DF47DA" w:rsidRPr="00DF47DA">
            <w:rPr>
              <w:noProof/>
              <w:lang w:val="en-US"/>
            </w:rPr>
            <w:t>[20]</w:t>
          </w:r>
          <w:r w:rsidR="00AF4E89" w:rsidRPr="00DD1B58">
            <w:rPr>
              <w:lang w:val="en-US"/>
            </w:rPr>
            <w:fldChar w:fldCharType="end"/>
          </w:r>
        </w:sdtContent>
      </w:sdt>
      <w:r w:rsidR="00680AF2" w:rsidRPr="00DD1B58">
        <w:rPr>
          <w:lang w:val="en-US"/>
        </w:rPr>
        <w:t xml:space="preserve">, </w:t>
      </w:r>
      <w:r w:rsidR="005449DB" w:rsidRPr="00DD1B58">
        <w:rPr>
          <w:lang w:val="en-US"/>
        </w:rPr>
        <w:t>and/or the Construction Design and Management Regulations</w:t>
      </w:r>
      <w:r w:rsidR="00A44971" w:rsidRPr="00DD1B58">
        <w:rPr>
          <w:lang w:val="en-US"/>
        </w:rPr>
        <w:t xml:space="preserve"> 2015</w:t>
      </w:r>
      <w:r w:rsidR="00AF4E89" w:rsidRPr="00DD1B58">
        <w:rPr>
          <w:lang w:val="en-US"/>
        </w:rPr>
        <w:t xml:space="preserve"> </w:t>
      </w:r>
      <w:sdt>
        <w:sdtPr>
          <w:rPr>
            <w:lang w:val="en-US"/>
          </w:rPr>
          <w:id w:val="252791507"/>
          <w:citation/>
        </w:sdtPr>
        <w:sdtContent>
          <w:r w:rsidR="00AF4E89" w:rsidRPr="00DD1B58">
            <w:rPr>
              <w:lang w:val="en-US"/>
            </w:rPr>
            <w:fldChar w:fldCharType="begin"/>
          </w:r>
          <w:r w:rsidR="005B050F" w:rsidRPr="00DD1B58">
            <w:rPr>
              <w:lang w:val="en-US"/>
            </w:rPr>
            <w:instrText xml:space="preserve">CITATION CDM \l 2057 </w:instrText>
          </w:r>
          <w:r w:rsidR="00AF4E89" w:rsidRPr="00DD1B58">
            <w:rPr>
              <w:lang w:val="en-US"/>
            </w:rPr>
            <w:fldChar w:fldCharType="separate"/>
          </w:r>
          <w:r w:rsidR="00DF47DA" w:rsidRPr="00DF47DA">
            <w:rPr>
              <w:noProof/>
              <w:lang w:val="en-US"/>
            </w:rPr>
            <w:t>[120]</w:t>
          </w:r>
          <w:r w:rsidR="00AF4E89" w:rsidRPr="00DD1B58">
            <w:rPr>
              <w:lang w:val="en-US"/>
            </w:rPr>
            <w:fldChar w:fldCharType="end"/>
          </w:r>
        </w:sdtContent>
      </w:sdt>
      <w:r w:rsidR="00A44971" w:rsidRPr="00DD1B58">
        <w:rPr>
          <w:lang w:val="en-US"/>
        </w:rPr>
        <w:t>.</w:t>
      </w:r>
      <w:r w:rsidR="00852621" w:rsidRPr="00DD1B58">
        <w:rPr>
          <w:lang w:val="en-US"/>
        </w:rPr>
        <w:t xml:space="preserve"> </w:t>
      </w:r>
      <w:r w:rsidR="00FA75B7" w:rsidRPr="00DD1B58">
        <w:rPr>
          <w:lang w:val="en-US"/>
        </w:rPr>
        <w:t xml:space="preserve">The findings of these inspections and incident investigations </w:t>
      </w:r>
      <w:r w:rsidR="00AB1DB4" w:rsidRPr="00DD1B58">
        <w:rPr>
          <w:lang w:val="en-US"/>
        </w:rPr>
        <w:t xml:space="preserve">relate primarily to fire protection and so </w:t>
      </w:r>
      <w:r w:rsidR="00FA75B7" w:rsidRPr="00DD1B58">
        <w:rPr>
          <w:lang w:val="en-US"/>
        </w:rPr>
        <w:t xml:space="preserve">are reported in Section </w:t>
      </w:r>
      <w:r w:rsidR="00083113" w:rsidRPr="00DD1B58">
        <w:rPr>
          <w:lang w:val="en-US"/>
        </w:rPr>
        <w:fldChar w:fldCharType="begin"/>
      </w:r>
      <w:r w:rsidR="00083113" w:rsidRPr="00DD1B58">
        <w:rPr>
          <w:lang w:val="en-US"/>
        </w:rPr>
        <w:instrText xml:space="preserve"> REF _Ref134617867 \r \h </w:instrText>
      </w:r>
      <w:r w:rsidR="00083113" w:rsidRPr="00DD1B58">
        <w:rPr>
          <w:lang w:val="en-US"/>
        </w:rPr>
      </w:r>
      <w:r w:rsidR="00083113" w:rsidRPr="00DD1B58">
        <w:rPr>
          <w:lang w:val="en-US"/>
        </w:rPr>
        <w:fldChar w:fldCharType="separate"/>
      </w:r>
      <w:r w:rsidR="00DF47DA">
        <w:rPr>
          <w:lang w:val="en-US"/>
        </w:rPr>
        <w:t>3.5</w:t>
      </w:r>
      <w:r w:rsidR="00083113" w:rsidRPr="00DD1B58">
        <w:rPr>
          <w:lang w:val="en-US"/>
        </w:rPr>
        <w:fldChar w:fldCharType="end"/>
      </w:r>
      <w:r w:rsidR="00083113" w:rsidRPr="00DD1B58">
        <w:rPr>
          <w:lang w:val="en-US"/>
        </w:rPr>
        <w:t>.</w:t>
      </w:r>
    </w:p>
    <w:p w14:paraId="39511CCD" w14:textId="77777777" w:rsidR="00325B7D" w:rsidRPr="00DD1B58" w:rsidRDefault="00325B7D" w:rsidP="00064A8D">
      <w:pPr>
        <w:pStyle w:val="Heading4"/>
        <w:numPr>
          <w:ilvl w:val="4"/>
          <w:numId w:val="3"/>
        </w:numPr>
        <w:rPr>
          <w:lang w:val="en-US"/>
        </w:rPr>
      </w:pPr>
      <w:r w:rsidRPr="00DD1B58">
        <w:rPr>
          <w:lang w:val="en-US"/>
        </w:rPr>
        <w:t xml:space="preserve">Conclusions drawn on the adequacy of the licensee’s fire safety analyses </w:t>
      </w:r>
    </w:p>
    <w:p w14:paraId="3949E558" w14:textId="18C6DFBA" w:rsidR="007F6E41" w:rsidRPr="00DD1B58" w:rsidRDefault="00E66048" w:rsidP="0002114D">
      <w:pPr>
        <w:rPr>
          <w:lang w:val="en-US"/>
        </w:rPr>
      </w:pPr>
      <w:r w:rsidRPr="00DD1B58">
        <w:rPr>
          <w:lang w:val="en-US" w:eastAsia="en-GB" w:bidi="ar-SA"/>
        </w:rPr>
        <w:t xml:space="preserve">For </w:t>
      </w:r>
      <w:r w:rsidR="00134292" w:rsidRPr="00DD1B58">
        <w:rPr>
          <w:lang w:val="en-US" w:eastAsia="en-GB" w:bidi="ar-SA"/>
        </w:rPr>
        <w:t>Sellafield Ltd</w:t>
      </w:r>
      <w:r w:rsidRPr="00DD1B58">
        <w:rPr>
          <w:lang w:val="en-US" w:eastAsia="en-GB" w:bidi="ar-SA"/>
        </w:rPr>
        <w:t xml:space="preserve">, ONR </w:t>
      </w:r>
      <w:r w:rsidR="00E11DC2" w:rsidRPr="00DD1B58">
        <w:rPr>
          <w:lang w:val="en-US" w:eastAsia="en-GB" w:bidi="ar-SA"/>
        </w:rPr>
        <w:t xml:space="preserve">concludes </w:t>
      </w:r>
      <w:r w:rsidRPr="00DD1B58">
        <w:rPr>
          <w:lang w:val="en-US" w:eastAsia="en-GB" w:bidi="ar-SA"/>
        </w:rPr>
        <w:t xml:space="preserve">that </w:t>
      </w:r>
      <w:r w:rsidR="00930840" w:rsidRPr="00DD1B58">
        <w:rPr>
          <w:lang w:val="en-US" w:eastAsia="en-GB" w:bidi="ar-SA"/>
        </w:rPr>
        <w:t>the licensee has</w:t>
      </w:r>
      <w:r w:rsidR="00AF0D70" w:rsidRPr="00DD1B58">
        <w:rPr>
          <w:lang w:val="en-US" w:eastAsia="en-GB" w:bidi="ar-SA"/>
        </w:rPr>
        <w:t xml:space="preserve"> adequate</w:t>
      </w:r>
      <w:r w:rsidR="00930840" w:rsidRPr="00DD1B58">
        <w:rPr>
          <w:lang w:val="en-US" w:eastAsia="en-GB" w:bidi="ar-SA"/>
        </w:rPr>
        <w:t xml:space="preserve"> processes</w:t>
      </w:r>
      <w:r w:rsidR="00C30BF6" w:rsidRPr="00DD1B58">
        <w:rPr>
          <w:lang w:val="en-US" w:eastAsia="en-GB" w:bidi="ar-SA"/>
        </w:rPr>
        <w:t xml:space="preserve"> and guidance</w:t>
      </w:r>
      <w:r w:rsidR="00930840" w:rsidRPr="00DD1B58">
        <w:rPr>
          <w:lang w:val="en-US" w:eastAsia="en-GB" w:bidi="ar-SA"/>
        </w:rPr>
        <w:t xml:space="preserve"> for developing nuclear fire hazard</w:t>
      </w:r>
      <w:r w:rsidR="004E3F30" w:rsidRPr="00DD1B58">
        <w:rPr>
          <w:lang w:val="en-US" w:eastAsia="en-GB" w:bidi="ar-SA"/>
        </w:rPr>
        <w:t xml:space="preserve"> analysis</w:t>
      </w:r>
      <w:r w:rsidR="00C30BF6" w:rsidRPr="00DD1B58">
        <w:rPr>
          <w:lang w:val="en-US" w:eastAsia="en-GB" w:bidi="ar-SA"/>
        </w:rPr>
        <w:t xml:space="preserve"> such as the</w:t>
      </w:r>
      <w:r w:rsidR="007346D6" w:rsidRPr="00DD1B58">
        <w:rPr>
          <w:lang w:val="en-US" w:eastAsia="en-GB" w:bidi="ar-SA"/>
        </w:rPr>
        <w:t xml:space="preserve"> </w:t>
      </w:r>
      <w:r w:rsidR="00304776" w:rsidRPr="00DD1B58">
        <w:rPr>
          <w:lang w:val="en-US" w:eastAsia="en-GB" w:bidi="ar-SA"/>
        </w:rPr>
        <w:t xml:space="preserve">Nuclear </w:t>
      </w:r>
      <w:r w:rsidR="00927BA7" w:rsidRPr="00DD1B58">
        <w:rPr>
          <w:lang w:val="en-US"/>
        </w:rPr>
        <w:t>Safety Case Process and Methods Technical Guidance and EDSPs</w:t>
      </w:r>
      <w:r w:rsidR="007346D6" w:rsidRPr="00DD1B58">
        <w:rPr>
          <w:lang w:val="en-US"/>
        </w:rPr>
        <w:t xml:space="preserve">. </w:t>
      </w:r>
      <w:r w:rsidR="00710685" w:rsidRPr="00DD1B58">
        <w:rPr>
          <w:lang w:val="en-US"/>
        </w:rPr>
        <w:t xml:space="preserve">ONR </w:t>
      </w:r>
      <w:r w:rsidR="00CE5D66" w:rsidRPr="00DD1B58">
        <w:rPr>
          <w:lang w:val="en-US"/>
        </w:rPr>
        <w:t>is content that the</w:t>
      </w:r>
      <w:r w:rsidR="00710685" w:rsidRPr="00DD1B58">
        <w:rPr>
          <w:lang w:val="en-US"/>
        </w:rPr>
        <w:t xml:space="preserve"> arrangements are consistent with good practice</w:t>
      </w:r>
      <w:r w:rsidR="00E04A64" w:rsidRPr="00DD1B58">
        <w:rPr>
          <w:lang w:val="en-US"/>
        </w:rPr>
        <w:t>.</w:t>
      </w:r>
      <w:r w:rsidR="0090116A" w:rsidRPr="00DD1B58">
        <w:rPr>
          <w:lang w:val="en-US"/>
        </w:rPr>
        <w:t xml:space="preserve"> </w:t>
      </w:r>
      <w:r w:rsidR="007F6E41" w:rsidRPr="00DD1B58">
        <w:rPr>
          <w:lang w:val="en-US"/>
        </w:rPr>
        <w:t xml:space="preserve">ONR </w:t>
      </w:r>
      <w:r w:rsidR="00F125E4" w:rsidRPr="00DD1B58">
        <w:rPr>
          <w:lang w:val="en-US"/>
        </w:rPr>
        <w:t>nevertheless judge</w:t>
      </w:r>
      <w:r w:rsidR="00410E0A" w:rsidRPr="00DD1B58">
        <w:rPr>
          <w:lang w:val="en-US"/>
        </w:rPr>
        <w:t>s</w:t>
      </w:r>
      <w:r w:rsidR="00F125E4" w:rsidRPr="00DD1B58">
        <w:rPr>
          <w:lang w:val="en-US"/>
        </w:rPr>
        <w:t xml:space="preserve"> </w:t>
      </w:r>
      <w:r w:rsidR="007F6E41" w:rsidRPr="00DD1B58">
        <w:rPr>
          <w:lang w:val="en-US"/>
        </w:rPr>
        <w:t xml:space="preserve">that there is one area where secondary improvements to fire safety analysis on the </w:t>
      </w:r>
      <w:r w:rsidR="004668E0" w:rsidRPr="00DD1B58">
        <w:rPr>
          <w:lang w:val="en-US"/>
        </w:rPr>
        <w:t xml:space="preserve">Sellafield Ltd. </w:t>
      </w:r>
      <w:r w:rsidR="007F6E41" w:rsidRPr="00DD1B58">
        <w:rPr>
          <w:lang w:val="en-US"/>
        </w:rPr>
        <w:t xml:space="preserve">site would be beneficial. </w:t>
      </w:r>
      <w:r w:rsidR="00F125E4" w:rsidRPr="00DD1B58">
        <w:rPr>
          <w:lang w:val="en-US"/>
        </w:rPr>
        <w:t xml:space="preserve">There </w:t>
      </w:r>
      <w:r w:rsidR="0002114D" w:rsidRPr="00DD1B58">
        <w:rPr>
          <w:lang w:val="en-US"/>
        </w:rPr>
        <w:t xml:space="preserve">is a need </w:t>
      </w:r>
      <w:r w:rsidR="00F125E4" w:rsidRPr="00DD1B58">
        <w:rPr>
          <w:lang w:val="en-US"/>
        </w:rPr>
        <w:t xml:space="preserve">for </w:t>
      </w:r>
      <w:r w:rsidR="004668E0" w:rsidRPr="00DD1B58">
        <w:rPr>
          <w:lang w:val="en-US"/>
        </w:rPr>
        <w:t xml:space="preserve">Sellafield Ltd. </w:t>
      </w:r>
      <w:r w:rsidR="00F125E4" w:rsidRPr="00DD1B58">
        <w:rPr>
          <w:lang w:val="en-US"/>
        </w:rPr>
        <w:t xml:space="preserve">to </w:t>
      </w:r>
      <w:r w:rsidR="0002114D" w:rsidRPr="00DD1B58">
        <w:rPr>
          <w:lang w:val="en-US"/>
        </w:rPr>
        <w:t>r</w:t>
      </w:r>
      <w:r w:rsidR="007F6E41" w:rsidRPr="00DD1B58">
        <w:rPr>
          <w:lang w:val="en-US"/>
        </w:rPr>
        <w:t>eview the guidance for fire hazard analysis to ensure appropriate advice is given for the systematic identification</w:t>
      </w:r>
      <w:r w:rsidR="00A309B0" w:rsidRPr="00DD1B58">
        <w:rPr>
          <w:lang w:val="en-US"/>
        </w:rPr>
        <w:t xml:space="preserve"> and screening</w:t>
      </w:r>
      <w:r w:rsidR="007F6E41" w:rsidRPr="00DD1B58">
        <w:rPr>
          <w:lang w:val="en-US"/>
        </w:rPr>
        <w:t xml:space="preserve"> of combined and consequential hazards.</w:t>
      </w:r>
      <w:r w:rsidR="0002114D" w:rsidRPr="00DD1B58">
        <w:rPr>
          <w:lang w:val="en-US"/>
        </w:rPr>
        <w:t xml:space="preserve"> </w:t>
      </w:r>
      <w:r w:rsidR="00966FC3" w:rsidRPr="00DD1B58">
        <w:rPr>
          <w:lang w:val="en-US"/>
        </w:rPr>
        <w:t>ONR is content that t</w:t>
      </w:r>
      <w:r w:rsidR="0002114D" w:rsidRPr="00DD1B58">
        <w:rPr>
          <w:lang w:val="en-US"/>
        </w:rPr>
        <w:t xml:space="preserve">his task is being </w:t>
      </w:r>
      <w:r w:rsidR="007569F0" w:rsidRPr="00DD1B58">
        <w:rPr>
          <w:lang w:val="en-US"/>
        </w:rPr>
        <w:t xml:space="preserve">progressed </w:t>
      </w:r>
      <w:r w:rsidR="0002114D" w:rsidRPr="00DD1B58">
        <w:rPr>
          <w:lang w:val="en-US"/>
        </w:rPr>
        <w:t xml:space="preserve">by </w:t>
      </w:r>
      <w:r w:rsidR="004668E0" w:rsidRPr="00DD1B58">
        <w:rPr>
          <w:lang w:val="en-US"/>
        </w:rPr>
        <w:t xml:space="preserve">Sellafield Ltd. </w:t>
      </w:r>
      <w:r w:rsidR="0002114D" w:rsidRPr="00DD1B58">
        <w:rPr>
          <w:lang w:val="en-US"/>
        </w:rPr>
        <w:t xml:space="preserve">and </w:t>
      </w:r>
      <w:r w:rsidR="007569F0" w:rsidRPr="00DD1B58">
        <w:rPr>
          <w:lang w:val="en-US"/>
        </w:rPr>
        <w:t>will monitor it to completion.</w:t>
      </w:r>
      <w:r w:rsidR="00F43976" w:rsidRPr="00DD1B58">
        <w:rPr>
          <w:lang w:val="en-US"/>
        </w:rPr>
        <w:t xml:space="preserve"> </w:t>
      </w:r>
      <w:bookmarkStart w:id="62" w:name="_Hlk148611218"/>
      <w:r w:rsidR="00F43976" w:rsidRPr="00DD1B58">
        <w:rPr>
          <w:lang w:val="en-US"/>
        </w:rPr>
        <w:t xml:space="preserve">Several nuclear fire safety inspections are planned at the Sellafield site for 2024/25 which will </w:t>
      </w:r>
      <w:r w:rsidR="003D2982" w:rsidRPr="00DD1B58">
        <w:rPr>
          <w:lang w:val="en-US"/>
        </w:rPr>
        <w:t>give specific opportunities for ONR to assess progress</w:t>
      </w:r>
      <w:r w:rsidR="00F43976" w:rsidRPr="00DD1B58">
        <w:rPr>
          <w:lang w:val="en-US"/>
        </w:rPr>
        <w:t>. Any outstanding actions required to address TPR2 findings will be tracked through regulatory issues.</w:t>
      </w:r>
      <w:bookmarkEnd w:id="62"/>
    </w:p>
    <w:p w14:paraId="62F042C0" w14:textId="77777777" w:rsidR="00B35426" w:rsidRPr="00DD1B58" w:rsidRDefault="00B35426">
      <w:pPr>
        <w:spacing w:after="0" w:line="240" w:lineRule="auto"/>
        <w:rPr>
          <w:lang w:val="en-US"/>
        </w:rPr>
      </w:pPr>
      <w:r w:rsidRPr="00DD1B58">
        <w:rPr>
          <w:lang w:val="en-US"/>
        </w:rPr>
        <w:br w:type="page"/>
      </w:r>
    </w:p>
    <w:p w14:paraId="363D9B2A" w14:textId="6AEE230F" w:rsidR="00DB3279" w:rsidRPr="00DD1B58" w:rsidRDefault="00DB3279" w:rsidP="00327321">
      <w:pPr>
        <w:pStyle w:val="Heading2"/>
        <w:rPr>
          <w:lang w:val="en-US"/>
        </w:rPr>
      </w:pPr>
      <w:bookmarkStart w:id="63" w:name="_Toc147090634"/>
      <w:r w:rsidRPr="00DD1B58">
        <w:rPr>
          <w:lang w:val="en-US"/>
        </w:rPr>
        <w:t xml:space="preserve">Facilities under </w:t>
      </w:r>
      <w:r w:rsidR="001B7D03" w:rsidRPr="00DD1B58">
        <w:rPr>
          <w:lang w:val="en-US"/>
        </w:rPr>
        <w:t>d</w:t>
      </w:r>
      <w:r w:rsidRPr="00DD1B58">
        <w:rPr>
          <w:lang w:val="en-US"/>
        </w:rPr>
        <w:t>ecommissioning</w:t>
      </w:r>
      <w:bookmarkEnd w:id="63"/>
      <w:r w:rsidRPr="00DD1B58">
        <w:rPr>
          <w:lang w:val="en-US"/>
        </w:rPr>
        <w:t xml:space="preserve"> </w:t>
      </w:r>
    </w:p>
    <w:p w14:paraId="7D064F22" w14:textId="11641953" w:rsidR="00035CD8" w:rsidRPr="00DD1B58" w:rsidRDefault="00AA6A42" w:rsidP="00C64C0F">
      <w:pPr>
        <w:rPr>
          <w:lang w:val="en-US"/>
        </w:rPr>
      </w:pPr>
      <w:r w:rsidRPr="00DD1B58">
        <w:rPr>
          <w:lang w:val="en-US"/>
        </w:rPr>
        <w:t xml:space="preserve">Pile 1 at Sellafield is a facility under decommissioning. To reduce repetition, all </w:t>
      </w:r>
      <w:r w:rsidR="004668E0" w:rsidRPr="00DD1B58">
        <w:rPr>
          <w:lang w:val="en-US"/>
        </w:rPr>
        <w:t xml:space="preserve">Sellafield Ltd. </w:t>
      </w:r>
      <w:r w:rsidRPr="00DD1B58">
        <w:rPr>
          <w:lang w:val="en-US"/>
        </w:rPr>
        <w:t xml:space="preserve">facilities are reported within Section </w:t>
      </w:r>
      <w:r w:rsidR="003A3686" w:rsidRPr="00DD1B58">
        <w:rPr>
          <w:lang w:val="en-US"/>
        </w:rPr>
        <w:t>2.5</w:t>
      </w:r>
      <w:r w:rsidR="006422B7" w:rsidRPr="00DD1B58">
        <w:rPr>
          <w:lang w:val="en-US"/>
        </w:rPr>
        <w:t>.</w:t>
      </w:r>
      <w:r w:rsidR="00714B15" w:rsidRPr="00DD1B58">
        <w:rPr>
          <w:lang w:val="en-US"/>
        </w:rPr>
        <w:t xml:space="preserve"> </w:t>
      </w:r>
      <w:r w:rsidR="00035CD8" w:rsidRPr="00DD1B58">
        <w:rPr>
          <w:lang w:val="en-US"/>
        </w:rPr>
        <w:t>The te</w:t>
      </w:r>
      <w:r w:rsidR="001F5C8E" w:rsidRPr="00DD1B58">
        <w:rPr>
          <w:lang w:val="en-US"/>
        </w:rPr>
        <w:t>x</w:t>
      </w:r>
      <w:r w:rsidR="00035CD8" w:rsidRPr="00DD1B58">
        <w:rPr>
          <w:lang w:val="en-US"/>
        </w:rPr>
        <w:t>t in the Sections below</w:t>
      </w:r>
      <w:r w:rsidR="001F5C8E" w:rsidRPr="00DD1B58">
        <w:rPr>
          <w:lang w:val="en-US"/>
        </w:rPr>
        <w:t xml:space="preserve"> ha</w:t>
      </w:r>
      <w:r w:rsidR="00955F97" w:rsidRPr="00DD1B58">
        <w:rPr>
          <w:lang w:val="en-US"/>
        </w:rPr>
        <w:t>s</w:t>
      </w:r>
      <w:r w:rsidR="001F5C8E" w:rsidRPr="00DD1B58">
        <w:rPr>
          <w:lang w:val="en-US"/>
        </w:rPr>
        <w:t xml:space="preserve"> been prepared by Dounreay Site Restoration </w:t>
      </w:r>
      <w:r w:rsidR="00BF0D1B" w:rsidRPr="00DD1B58">
        <w:rPr>
          <w:lang w:val="en-US"/>
        </w:rPr>
        <w:t>Ltd</w:t>
      </w:r>
      <w:r w:rsidR="00DD21E8" w:rsidRPr="00DD1B58">
        <w:rPr>
          <w:lang w:val="en-US"/>
        </w:rPr>
        <w:t xml:space="preserve"> Background information</w:t>
      </w:r>
      <w:r w:rsidR="008F543D" w:rsidRPr="00DD1B58">
        <w:rPr>
          <w:lang w:val="en-US"/>
        </w:rPr>
        <w:t xml:space="preserve"> </w:t>
      </w:r>
      <w:r w:rsidR="00127558" w:rsidRPr="00DD1B58">
        <w:rPr>
          <w:lang w:val="en-US"/>
        </w:rPr>
        <w:t xml:space="preserve">on the site and the range of installations </w:t>
      </w:r>
      <w:r w:rsidR="0062051B" w:rsidRPr="00DD1B58">
        <w:rPr>
          <w:lang w:val="en-US"/>
        </w:rPr>
        <w:t xml:space="preserve">considered in the scope of the assessment is provided in Sections </w:t>
      </w:r>
      <w:r w:rsidR="0062051B" w:rsidRPr="00DD1B58">
        <w:rPr>
          <w:lang w:val="en-US"/>
        </w:rPr>
        <w:fldChar w:fldCharType="begin"/>
      </w:r>
      <w:r w:rsidR="0062051B" w:rsidRPr="00DD1B58">
        <w:rPr>
          <w:lang w:val="en-US"/>
        </w:rPr>
        <w:instrText xml:space="preserve"> REF _Ref135231533 \r \h </w:instrText>
      </w:r>
      <w:r w:rsidR="0062051B" w:rsidRPr="00DD1B58">
        <w:rPr>
          <w:lang w:val="en-US"/>
        </w:rPr>
      </w:r>
      <w:r w:rsidR="0062051B" w:rsidRPr="00DD1B58">
        <w:rPr>
          <w:lang w:val="en-US"/>
        </w:rPr>
        <w:fldChar w:fldCharType="separate"/>
      </w:r>
      <w:r w:rsidR="00DF47DA">
        <w:rPr>
          <w:lang w:val="en-US"/>
        </w:rPr>
        <w:t>1.1.2</w:t>
      </w:r>
      <w:r w:rsidR="0062051B" w:rsidRPr="00DD1B58">
        <w:rPr>
          <w:lang w:val="en-US"/>
        </w:rPr>
        <w:fldChar w:fldCharType="end"/>
      </w:r>
      <w:r w:rsidR="0062051B" w:rsidRPr="00DD1B58">
        <w:rPr>
          <w:lang w:val="en-US"/>
        </w:rPr>
        <w:t xml:space="preserve"> and </w:t>
      </w:r>
      <w:r w:rsidR="0062051B" w:rsidRPr="00DD1B58">
        <w:rPr>
          <w:lang w:val="en-US"/>
        </w:rPr>
        <w:fldChar w:fldCharType="begin"/>
      </w:r>
      <w:r w:rsidR="0062051B" w:rsidRPr="00DD1B58">
        <w:rPr>
          <w:lang w:val="en-US"/>
        </w:rPr>
        <w:instrText xml:space="preserve"> REF _Ref135231543 \r \h </w:instrText>
      </w:r>
      <w:r w:rsidR="0062051B" w:rsidRPr="00DD1B58">
        <w:rPr>
          <w:lang w:val="en-US"/>
        </w:rPr>
      </w:r>
      <w:r w:rsidR="0062051B" w:rsidRPr="00DD1B58">
        <w:rPr>
          <w:lang w:val="en-US"/>
        </w:rPr>
        <w:fldChar w:fldCharType="separate"/>
      </w:r>
      <w:r w:rsidR="00DF47DA">
        <w:rPr>
          <w:lang w:val="en-US"/>
        </w:rPr>
        <w:t>1.1.3</w:t>
      </w:r>
      <w:r w:rsidR="0062051B" w:rsidRPr="00DD1B58">
        <w:rPr>
          <w:lang w:val="en-US"/>
        </w:rPr>
        <w:fldChar w:fldCharType="end"/>
      </w:r>
      <w:r w:rsidR="0062051B" w:rsidRPr="00DD1B58">
        <w:rPr>
          <w:lang w:val="en-US"/>
        </w:rPr>
        <w:t>.</w:t>
      </w:r>
    </w:p>
    <w:p w14:paraId="7616C7F4" w14:textId="77777777" w:rsidR="00BC7AA3" w:rsidRPr="00DD1B58" w:rsidRDefault="00BC7AA3" w:rsidP="00BC7AA3">
      <w:pPr>
        <w:pStyle w:val="Heading3"/>
        <w:rPr>
          <w:lang w:val="en-US"/>
        </w:rPr>
      </w:pPr>
      <w:bookmarkStart w:id="64" w:name="_Toc147090635"/>
      <w:r w:rsidRPr="00DD1B58">
        <w:rPr>
          <w:lang w:val="en-US"/>
        </w:rPr>
        <w:t>Dounreay</w:t>
      </w:r>
      <w:bookmarkEnd w:id="64"/>
    </w:p>
    <w:p w14:paraId="59C33A8F" w14:textId="346580AF" w:rsidR="00AA1CFE" w:rsidRPr="00DD1B58" w:rsidRDefault="0040121E" w:rsidP="00AA1CFE">
      <w:pPr>
        <w:rPr>
          <w:i/>
          <w:iCs/>
          <w:lang w:val="en-US"/>
        </w:rPr>
      </w:pPr>
      <w:r w:rsidRPr="00DD1B58">
        <w:rPr>
          <w:lang w:val="en-US"/>
        </w:rPr>
        <w:t xml:space="preserve">Dounreay </w:t>
      </w:r>
      <w:r w:rsidR="00AB533B" w:rsidRPr="00DD1B58">
        <w:rPr>
          <w:lang w:val="en-US"/>
        </w:rPr>
        <w:t>report</w:t>
      </w:r>
      <w:r w:rsidR="00F92728" w:rsidRPr="00DD1B58">
        <w:rPr>
          <w:lang w:val="en-US"/>
        </w:rPr>
        <w:t>s</w:t>
      </w:r>
      <w:r w:rsidR="00B6648F" w:rsidRPr="00DD1B58">
        <w:rPr>
          <w:lang w:val="en-US"/>
        </w:rPr>
        <w:t xml:space="preserve"> that it ensures </w:t>
      </w:r>
      <w:r w:rsidRPr="00DD1B58">
        <w:rPr>
          <w:lang w:val="en-US"/>
        </w:rPr>
        <w:t xml:space="preserve">adequate provision of fire safety and prevention measures through adherence with the Fire (Scotland) Act 2005 (FSA) </w:t>
      </w:r>
      <w:sdt>
        <w:sdtPr>
          <w:rPr>
            <w:lang w:val="en-US"/>
          </w:rPr>
          <w:id w:val="462852024"/>
          <w:citation/>
        </w:sdtPr>
        <w:sdtContent>
          <w:r w:rsidR="00CF0D04" w:rsidRPr="00DD1B58">
            <w:rPr>
              <w:lang w:val="en-US"/>
            </w:rPr>
            <w:fldChar w:fldCharType="begin"/>
          </w:r>
          <w:r w:rsidR="001A3492" w:rsidRPr="00DD1B58">
            <w:rPr>
              <w:lang w:val="en-US"/>
            </w:rPr>
            <w:instrText xml:space="preserve">CITATION Fir05 \l 2057 </w:instrText>
          </w:r>
          <w:r w:rsidR="00CF0D04" w:rsidRPr="00DD1B58">
            <w:rPr>
              <w:lang w:val="en-US"/>
            </w:rPr>
            <w:fldChar w:fldCharType="separate"/>
          </w:r>
          <w:r w:rsidR="00DF47DA" w:rsidRPr="00DF47DA">
            <w:rPr>
              <w:noProof/>
              <w:lang w:val="en-US"/>
            </w:rPr>
            <w:t>[21]</w:t>
          </w:r>
          <w:r w:rsidR="00CF0D04" w:rsidRPr="00DD1B58">
            <w:rPr>
              <w:lang w:val="en-US"/>
            </w:rPr>
            <w:fldChar w:fldCharType="end"/>
          </w:r>
        </w:sdtContent>
      </w:sdt>
      <w:r w:rsidRPr="00DD1B58">
        <w:rPr>
          <w:lang w:val="en-US"/>
        </w:rPr>
        <w:t xml:space="preserve"> and associated legislation including the Fire Safety (Scotland) Regulations 2006 </w:t>
      </w:r>
      <w:sdt>
        <w:sdtPr>
          <w:rPr>
            <w:lang w:val="en-US"/>
          </w:rPr>
          <w:id w:val="-1225754927"/>
          <w:citation/>
        </w:sdtPr>
        <w:sdtContent>
          <w:r w:rsidR="00CF0D04" w:rsidRPr="00DD1B58">
            <w:rPr>
              <w:lang w:val="en-US"/>
            </w:rPr>
            <w:fldChar w:fldCharType="begin"/>
          </w:r>
          <w:r w:rsidR="001A3492" w:rsidRPr="00DD1B58">
            <w:rPr>
              <w:lang w:val="en-US"/>
            </w:rPr>
            <w:instrText xml:space="preserve">CITATION Fir06 \l 2057 </w:instrText>
          </w:r>
          <w:r w:rsidR="00CF0D04" w:rsidRPr="00DD1B58">
            <w:rPr>
              <w:lang w:val="en-US"/>
            </w:rPr>
            <w:fldChar w:fldCharType="separate"/>
          </w:r>
          <w:r w:rsidR="00DF47DA" w:rsidRPr="00DF47DA">
            <w:rPr>
              <w:noProof/>
              <w:lang w:val="en-US"/>
            </w:rPr>
            <w:t>[121]</w:t>
          </w:r>
          <w:r w:rsidR="00CF0D04" w:rsidRPr="00DD1B58">
            <w:rPr>
              <w:lang w:val="en-US"/>
            </w:rPr>
            <w:fldChar w:fldCharType="end"/>
          </w:r>
        </w:sdtContent>
      </w:sdt>
      <w:r w:rsidRPr="00DD1B58">
        <w:rPr>
          <w:lang w:val="en-US"/>
        </w:rPr>
        <w:t xml:space="preserve">. </w:t>
      </w:r>
      <w:r w:rsidR="004E5B8A" w:rsidRPr="00DD1B58">
        <w:rPr>
          <w:lang w:val="en-US"/>
        </w:rPr>
        <w:t>Dounreay considers that c</w:t>
      </w:r>
      <w:r w:rsidRPr="00DD1B58">
        <w:rPr>
          <w:lang w:val="en-US"/>
        </w:rPr>
        <w:t>ompliance ensures that the likelihood of fire development and spread is minimised, people and the environment are protected from the effects of fire, a fire risk assessment is completed, and lessons are learned from previous events and good practice.</w:t>
      </w:r>
      <w:r w:rsidR="00B6648F" w:rsidRPr="00DD1B58">
        <w:rPr>
          <w:lang w:val="en-US"/>
        </w:rPr>
        <w:t xml:space="preserve"> Dounreay</w:t>
      </w:r>
      <w:r w:rsidR="00B6648F" w:rsidRPr="00DD1B58" w:rsidDel="00B6648F">
        <w:rPr>
          <w:lang w:val="en-US"/>
        </w:rPr>
        <w:t xml:space="preserve"> </w:t>
      </w:r>
      <w:r w:rsidR="00B6648F" w:rsidRPr="00DD1B58">
        <w:rPr>
          <w:lang w:val="en-US"/>
        </w:rPr>
        <w:t xml:space="preserve">considers that this </w:t>
      </w:r>
      <w:r w:rsidR="00AA1CFE" w:rsidRPr="00DD1B58">
        <w:rPr>
          <w:lang w:val="en-US"/>
        </w:rPr>
        <w:t xml:space="preserve">aligns with WENRA </w:t>
      </w:r>
      <w:r w:rsidR="003C7A1C" w:rsidRPr="00DD1B58">
        <w:rPr>
          <w:lang w:val="en-US"/>
        </w:rPr>
        <w:t xml:space="preserve">SRL </w:t>
      </w:r>
      <w:r w:rsidR="00AA1CFE" w:rsidRPr="00DD1B58">
        <w:rPr>
          <w:lang w:val="en-US"/>
        </w:rPr>
        <w:t>S-30</w:t>
      </w:r>
      <w:r w:rsidR="003C7A1C" w:rsidRPr="00DD1B58">
        <w:rPr>
          <w:lang w:val="en-US"/>
        </w:rPr>
        <w:t>.</w:t>
      </w:r>
    </w:p>
    <w:p w14:paraId="31AA6567" w14:textId="4E854D4E" w:rsidR="00AA1CFE" w:rsidRPr="00DD1B58" w:rsidRDefault="00446582" w:rsidP="00AA1CFE">
      <w:pPr>
        <w:rPr>
          <w:lang w:val="en-US"/>
        </w:rPr>
      </w:pPr>
      <w:r w:rsidRPr="00DD1B58">
        <w:rPr>
          <w:lang w:val="en-US"/>
        </w:rPr>
        <w:t>Dounreay stat</w:t>
      </w:r>
      <w:r w:rsidR="00F92728" w:rsidRPr="00DD1B58">
        <w:rPr>
          <w:lang w:val="en-US"/>
        </w:rPr>
        <w:t>es</w:t>
      </w:r>
      <w:r w:rsidRPr="00DD1B58">
        <w:rPr>
          <w:lang w:val="en-US"/>
        </w:rPr>
        <w:t xml:space="preserve"> that</w:t>
      </w:r>
      <w:r w:rsidR="00A54A33" w:rsidRPr="00DD1B58">
        <w:rPr>
          <w:lang w:val="en-US"/>
        </w:rPr>
        <w:t xml:space="preserve"> </w:t>
      </w:r>
      <w:r w:rsidRPr="00DD1B58">
        <w:rPr>
          <w:lang w:val="en-US"/>
        </w:rPr>
        <w:t xml:space="preserve">the </w:t>
      </w:r>
      <w:r w:rsidR="00AA1CFE" w:rsidRPr="00DD1B58">
        <w:rPr>
          <w:lang w:val="en-US"/>
        </w:rPr>
        <w:t xml:space="preserve">fire risk assessment reflects the potentially increased risk </w:t>
      </w:r>
      <w:r w:rsidR="00A54A33" w:rsidRPr="00DD1B58">
        <w:rPr>
          <w:lang w:val="en-US"/>
        </w:rPr>
        <w:t xml:space="preserve">for facilities built prior to 2005 that cannot fully comply with the FSA </w:t>
      </w:r>
      <w:sdt>
        <w:sdtPr>
          <w:rPr>
            <w:lang w:val="en-US"/>
          </w:rPr>
          <w:id w:val="496159032"/>
          <w:citation/>
        </w:sdtPr>
        <w:sdtContent>
          <w:r w:rsidR="00A54A33" w:rsidRPr="00DD1B58">
            <w:rPr>
              <w:lang w:val="en-US"/>
            </w:rPr>
            <w:fldChar w:fldCharType="begin"/>
          </w:r>
          <w:r w:rsidR="001A3492" w:rsidRPr="00DD1B58">
            <w:rPr>
              <w:lang w:val="en-US"/>
            </w:rPr>
            <w:instrText xml:space="preserve">CITATION Fir05 \l 2057 </w:instrText>
          </w:r>
          <w:r w:rsidR="00A54A33" w:rsidRPr="00DD1B58">
            <w:rPr>
              <w:lang w:val="en-US"/>
            </w:rPr>
            <w:fldChar w:fldCharType="separate"/>
          </w:r>
          <w:r w:rsidR="00DF47DA" w:rsidRPr="00DF47DA">
            <w:rPr>
              <w:noProof/>
              <w:lang w:val="en-US"/>
            </w:rPr>
            <w:t>[21]</w:t>
          </w:r>
          <w:r w:rsidR="00A54A33" w:rsidRPr="00DD1B58">
            <w:rPr>
              <w:lang w:val="en-US"/>
            </w:rPr>
            <w:fldChar w:fldCharType="end"/>
          </w:r>
        </w:sdtContent>
      </w:sdt>
      <w:r w:rsidR="00A54A33" w:rsidRPr="00DD1B58">
        <w:rPr>
          <w:lang w:val="en-US"/>
        </w:rPr>
        <w:t xml:space="preserve">, </w:t>
      </w:r>
      <w:r w:rsidR="00AA1CFE" w:rsidRPr="00DD1B58">
        <w:rPr>
          <w:lang w:val="en-US"/>
        </w:rPr>
        <w:t xml:space="preserve">and the requirement for additional fire control measures. </w:t>
      </w:r>
      <w:r w:rsidR="00A54A33" w:rsidRPr="00DD1B58">
        <w:rPr>
          <w:lang w:val="en-US"/>
        </w:rPr>
        <w:t xml:space="preserve">Dounreay carries out </w:t>
      </w:r>
      <w:r w:rsidR="00AA1CFE" w:rsidRPr="00DD1B58">
        <w:rPr>
          <w:lang w:val="en-US"/>
        </w:rPr>
        <w:t xml:space="preserve">Fire Risk Assessments </w:t>
      </w:r>
      <w:r w:rsidR="00C822F4" w:rsidRPr="00DD1B58">
        <w:rPr>
          <w:lang w:val="en-US"/>
        </w:rPr>
        <w:t xml:space="preserve">at </w:t>
      </w:r>
      <w:r w:rsidR="00AA1CFE" w:rsidRPr="00DD1B58">
        <w:rPr>
          <w:lang w:val="en-US"/>
        </w:rPr>
        <w:t>least annually to continually monitor compliance with current legislation</w:t>
      </w:r>
      <w:r w:rsidR="00C822F4" w:rsidRPr="00DD1B58">
        <w:rPr>
          <w:lang w:val="en-US"/>
        </w:rPr>
        <w:t xml:space="preserve"> and </w:t>
      </w:r>
      <w:r w:rsidR="006D798B" w:rsidRPr="00DD1B58">
        <w:rPr>
          <w:lang w:val="en-US"/>
        </w:rPr>
        <w:t>reports that</w:t>
      </w:r>
      <w:r w:rsidR="00C822F4" w:rsidRPr="00DD1B58">
        <w:rPr>
          <w:lang w:val="en-US"/>
        </w:rPr>
        <w:t xml:space="preserve"> a</w:t>
      </w:r>
      <w:r w:rsidR="00AA1CFE" w:rsidRPr="00DD1B58">
        <w:rPr>
          <w:lang w:val="en-US"/>
        </w:rPr>
        <w:t>ny modifications to any part of a building must not take place without approval from the Fire Safety Advisor.</w:t>
      </w:r>
    </w:p>
    <w:p w14:paraId="7100F802" w14:textId="4406DDF1" w:rsidR="00AA1CFE" w:rsidRPr="00DD1B58" w:rsidRDefault="00AA1CFE" w:rsidP="00AA1CFE">
      <w:pPr>
        <w:rPr>
          <w:lang w:val="en-US"/>
        </w:rPr>
      </w:pPr>
      <w:r w:rsidRPr="00DD1B58">
        <w:rPr>
          <w:lang w:val="en-US"/>
        </w:rPr>
        <w:t xml:space="preserve">The Dangerous Substances and Explosive Atmosphere Regulations 2002 (DSEAR) </w:t>
      </w:r>
      <w:sdt>
        <w:sdtPr>
          <w:rPr>
            <w:lang w:val="en-US"/>
          </w:rPr>
          <w:id w:val="-967204760"/>
          <w:citation/>
        </w:sdtPr>
        <w:sdtContent>
          <w:r w:rsidR="00CF0D04" w:rsidRPr="00DD1B58">
            <w:rPr>
              <w:lang w:val="en-US"/>
            </w:rPr>
            <w:fldChar w:fldCharType="begin"/>
          </w:r>
          <w:r w:rsidR="00601B0B" w:rsidRPr="00DD1B58">
            <w:rPr>
              <w:lang w:val="en-US"/>
            </w:rPr>
            <w:instrText xml:space="preserve">CITATION The \l 2057 </w:instrText>
          </w:r>
          <w:r w:rsidR="00CF0D04" w:rsidRPr="00DD1B58">
            <w:rPr>
              <w:lang w:val="en-US"/>
            </w:rPr>
            <w:fldChar w:fldCharType="separate"/>
          </w:r>
          <w:r w:rsidR="00DF47DA" w:rsidRPr="00DF47DA">
            <w:rPr>
              <w:noProof/>
              <w:lang w:val="en-US"/>
            </w:rPr>
            <w:t>[122]</w:t>
          </w:r>
          <w:r w:rsidR="00CF0D04" w:rsidRPr="00DD1B58">
            <w:rPr>
              <w:lang w:val="en-US"/>
            </w:rPr>
            <w:fldChar w:fldCharType="end"/>
          </w:r>
        </w:sdtContent>
      </w:sdt>
      <w:r w:rsidRPr="00DD1B58">
        <w:rPr>
          <w:lang w:val="en-US"/>
        </w:rPr>
        <w:t xml:space="preserve"> are concerned with the protection against risk from fire, explosion and similar events arising from dangerous substances used or present in the workplace. </w:t>
      </w:r>
      <w:r w:rsidR="008D2BBE" w:rsidRPr="00DD1B58">
        <w:rPr>
          <w:lang w:val="en-US"/>
        </w:rPr>
        <w:t>Dounreay requires a</w:t>
      </w:r>
      <w:r w:rsidRPr="00DD1B58">
        <w:rPr>
          <w:lang w:val="en-US"/>
        </w:rPr>
        <w:t xml:space="preserve"> DSEAR assessment for areas where materials are likely to constitute a dangerous substance.</w:t>
      </w:r>
    </w:p>
    <w:p w14:paraId="4D374B87" w14:textId="4AC62A90" w:rsidR="00AA1CFE" w:rsidRPr="00DD1B58" w:rsidRDefault="00B138BB" w:rsidP="00AA1CFE">
      <w:pPr>
        <w:rPr>
          <w:lang w:val="en-US"/>
        </w:rPr>
      </w:pPr>
      <w:r w:rsidRPr="00DD1B58">
        <w:rPr>
          <w:lang w:val="en-US"/>
        </w:rPr>
        <w:t>Dounreay report</w:t>
      </w:r>
      <w:r w:rsidR="00F92728" w:rsidRPr="00DD1B58">
        <w:rPr>
          <w:lang w:val="en-US"/>
        </w:rPr>
        <w:t>s</w:t>
      </w:r>
      <w:r w:rsidRPr="00DD1B58">
        <w:rPr>
          <w:lang w:val="en-US"/>
        </w:rPr>
        <w:t xml:space="preserve"> that e</w:t>
      </w:r>
      <w:r w:rsidR="00AA1CFE" w:rsidRPr="00DD1B58">
        <w:rPr>
          <w:lang w:val="en-US"/>
        </w:rPr>
        <w:t>ach of the facilities at Dounreay were constructed mindful of the fire standards of the day. These may vary considerably from the construction of the FCA in the 1950s through PFR in the 1960s and the Dounreay Cementation Plant (DCP) Store Extension 2 in 2020.</w:t>
      </w:r>
    </w:p>
    <w:p w14:paraId="482A48CE" w14:textId="47C00269" w:rsidR="00AA1CFE" w:rsidRPr="00DD1B58" w:rsidRDefault="00B138BB" w:rsidP="00AA1CFE">
      <w:pPr>
        <w:rPr>
          <w:lang w:val="en-US"/>
        </w:rPr>
      </w:pPr>
      <w:r w:rsidRPr="00DD1B58">
        <w:rPr>
          <w:lang w:val="en-US"/>
        </w:rPr>
        <w:t>Dounreay also report</w:t>
      </w:r>
      <w:r w:rsidR="00F92728" w:rsidRPr="00DD1B58">
        <w:rPr>
          <w:lang w:val="en-US"/>
        </w:rPr>
        <w:t xml:space="preserve">s </w:t>
      </w:r>
      <w:r w:rsidRPr="00DD1B58">
        <w:rPr>
          <w:lang w:val="en-US"/>
        </w:rPr>
        <w:t>that a</w:t>
      </w:r>
      <w:r w:rsidR="00AA1CFE" w:rsidRPr="00DD1B58">
        <w:rPr>
          <w:lang w:val="en-US"/>
        </w:rPr>
        <w:t xml:space="preserve">ll facilities at Dounreay are subject to a Deterministic Fire Risk Assessment (DFRA), which primarily assesses fire and explosion hazards that have the potential for radiological consequences. </w:t>
      </w:r>
      <w:r w:rsidRPr="00DD1B58">
        <w:rPr>
          <w:lang w:val="en-US"/>
        </w:rPr>
        <w:t xml:space="preserve">It also </w:t>
      </w:r>
      <w:r w:rsidR="007376D6" w:rsidRPr="00DD1B58">
        <w:rPr>
          <w:lang w:val="en-US"/>
        </w:rPr>
        <w:t>states that</w:t>
      </w:r>
      <w:r w:rsidRPr="00DD1B58">
        <w:rPr>
          <w:lang w:val="en-US"/>
        </w:rPr>
        <w:t xml:space="preserve"> the </w:t>
      </w:r>
      <w:r w:rsidR="00AA1CFE" w:rsidRPr="00DD1B58">
        <w:rPr>
          <w:lang w:val="en-US"/>
        </w:rPr>
        <w:t xml:space="preserve">methodology for the DFRA applied at PFR is the same as elsewhere on the site and </w:t>
      </w:r>
      <w:r w:rsidR="00CA1901" w:rsidRPr="00DD1B58">
        <w:rPr>
          <w:lang w:val="en-US"/>
        </w:rPr>
        <w:t xml:space="preserve">that it </w:t>
      </w:r>
      <w:r w:rsidR="00AA1CFE" w:rsidRPr="00DD1B58">
        <w:rPr>
          <w:lang w:val="en-US"/>
        </w:rPr>
        <w:t>consider</w:t>
      </w:r>
      <w:r w:rsidR="00CA1901" w:rsidRPr="00DD1B58">
        <w:rPr>
          <w:lang w:val="en-US"/>
        </w:rPr>
        <w:t xml:space="preserve">s it </w:t>
      </w:r>
      <w:r w:rsidR="00AA1CFE" w:rsidRPr="00DD1B58">
        <w:rPr>
          <w:lang w:val="en-US"/>
        </w:rPr>
        <w:t>representative of the process.</w:t>
      </w:r>
      <w:r w:rsidR="00CA1901" w:rsidRPr="00DD1B58">
        <w:rPr>
          <w:lang w:val="en-US"/>
        </w:rPr>
        <w:t xml:space="preserve"> Dounreay state</w:t>
      </w:r>
      <w:r w:rsidR="00F92728" w:rsidRPr="00DD1B58">
        <w:rPr>
          <w:lang w:val="en-US"/>
        </w:rPr>
        <w:t>s</w:t>
      </w:r>
      <w:r w:rsidR="00CA1901" w:rsidRPr="00DD1B58">
        <w:rPr>
          <w:lang w:val="en-US"/>
        </w:rPr>
        <w:t xml:space="preserve"> that its</w:t>
      </w:r>
      <w:r w:rsidR="00AA1CFE" w:rsidRPr="00DD1B58">
        <w:rPr>
          <w:lang w:val="en-US"/>
        </w:rPr>
        <w:t xml:space="preserve"> DFRA considers the potential sources of ignition, the probability of ignition resulting in a sustained fire or explosion, the probability and rate of fire spread and the radiological and fire containment barriers. The assessor walks down the facility to identify combustible inventories and ignition sources in order to qualitatively identify credible fire scenarios that could result in a radiological release. Credible scenarios require radiological hazard assessment.</w:t>
      </w:r>
    </w:p>
    <w:p w14:paraId="11EC44EB" w14:textId="30E64345" w:rsidR="007B1C88" w:rsidRPr="00DD1B58" w:rsidRDefault="00CA1901" w:rsidP="00CC0DAB">
      <w:pPr>
        <w:rPr>
          <w:lang w:val="en-US"/>
        </w:rPr>
      </w:pPr>
      <w:r w:rsidRPr="00DD1B58">
        <w:rPr>
          <w:lang w:val="en-US"/>
        </w:rPr>
        <w:t xml:space="preserve">Dounreay </w:t>
      </w:r>
      <w:r w:rsidR="00F6351C" w:rsidRPr="00DD1B58">
        <w:rPr>
          <w:lang w:val="en-US"/>
        </w:rPr>
        <w:t>reviews</w:t>
      </w:r>
      <w:r w:rsidRPr="00DD1B58">
        <w:rPr>
          <w:lang w:val="en-US"/>
        </w:rPr>
        <w:t xml:space="preserve"> s</w:t>
      </w:r>
      <w:r w:rsidR="00AA1CFE" w:rsidRPr="00DD1B58">
        <w:rPr>
          <w:lang w:val="en-US"/>
        </w:rPr>
        <w:t>afety cases</w:t>
      </w:r>
      <w:r w:rsidR="00F6351C" w:rsidRPr="00DD1B58">
        <w:rPr>
          <w:lang w:val="en-US"/>
        </w:rPr>
        <w:t xml:space="preserve"> periodically</w:t>
      </w:r>
      <w:r w:rsidR="00AA1CFE" w:rsidRPr="00DD1B58">
        <w:rPr>
          <w:lang w:val="en-US"/>
        </w:rPr>
        <w:t xml:space="preserve">, including the DFRA, under Licence Condition 15 (a defined period of usually 10 years). </w:t>
      </w:r>
      <w:r w:rsidR="00F6351C" w:rsidRPr="00DD1B58">
        <w:rPr>
          <w:lang w:val="en-US"/>
        </w:rPr>
        <w:t xml:space="preserve">Dounreay </w:t>
      </w:r>
      <w:r w:rsidR="008B578F" w:rsidRPr="00DD1B58">
        <w:rPr>
          <w:lang w:val="en-US"/>
        </w:rPr>
        <w:t>state</w:t>
      </w:r>
      <w:r w:rsidR="00F6351C" w:rsidRPr="00DD1B58">
        <w:rPr>
          <w:lang w:val="en-US"/>
        </w:rPr>
        <w:t>s</w:t>
      </w:r>
      <w:r w:rsidR="008B578F" w:rsidRPr="00DD1B58">
        <w:rPr>
          <w:lang w:val="en-US"/>
        </w:rPr>
        <w:t xml:space="preserve"> that, as </w:t>
      </w:r>
      <w:r w:rsidR="00AA1CFE" w:rsidRPr="00DD1B58">
        <w:rPr>
          <w:lang w:val="en-US"/>
        </w:rPr>
        <w:t>the extant DFRA would be provided to the fire assessor for information, the periodic review is likely to require a walkdown by the new fire assessor to ensure that all credible ignition sources and fire scenarios are freshly identified.</w:t>
      </w:r>
      <w:r w:rsidR="009834D6" w:rsidRPr="00DD1B58">
        <w:rPr>
          <w:lang w:val="en-US"/>
        </w:rPr>
        <w:t xml:space="preserve"> </w:t>
      </w:r>
      <w:r w:rsidR="00AA1CFE" w:rsidRPr="00DD1B58">
        <w:rPr>
          <w:lang w:val="en-US"/>
        </w:rPr>
        <w:t>For existing facilities where it may not be possible to eliminate fire hazards,</w:t>
      </w:r>
      <w:r w:rsidR="009834D6" w:rsidRPr="00DD1B58">
        <w:rPr>
          <w:lang w:val="en-US"/>
        </w:rPr>
        <w:t xml:space="preserve"> Dounreay applies</w:t>
      </w:r>
      <w:r w:rsidR="00AA1CFE" w:rsidRPr="00DD1B58">
        <w:rPr>
          <w:lang w:val="en-US"/>
        </w:rPr>
        <w:t xml:space="preserve"> the hierarchy of controls</w:t>
      </w:r>
      <w:r w:rsidR="009834D6" w:rsidRPr="00DD1B58">
        <w:rPr>
          <w:lang w:val="en-US"/>
        </w:rPr>
        <w:t xml:space="preserve"> and considers a</w:t>
      </w:r>
      <w:r w:rsidR="00AA1CFE" w:rsidRPr="00DD1B58">
        <w:rPr>
          <w:lang w:val="en-US"/>
        </w:rPr>
        <w:t>ny fire related improvements at ALARP review alongside any other safety case recommendations.</w:t>
      </w:r>
    </w:p>
    <w:p w14:paraId="301C940F" w14:textId="77777777" w:rsidR="00DB3279" w:rsidRPr="00DD1B58" w:rsidRDefault="004135CF" w:rsidP="003A3686">
      <w:pPr>
        <w:pStyle w:val="Heading4"/>
        <w:rPr>
          <w:lang w:val="en-US"/>
        </w:rPr>
      </w:pPr>
      <w:bookmarkStart w:id="65" w:name="_Ref140140652"/>
      <w:r w:rsidRPr="00DD1B58">
        <w:rPr>
          <w:lang w:val="en-US"/>
        </w:rPr>
        <w:t xml:space="preserve">Types </w:t>
      </w:r>
      <w:r w:rsidR="00607F08" w:rsidRPr="00DD1B58">
        <w:rPr>
          <w:lang w:val="en-US"/>
        </w:rPr>
        <w:t>and scope of the fire analyses</w:t>
      </w:r>
      <w:bookmarkEnd w:id="65"/>
    </w:p>
    <w:p w14:paraId="5368CF20" w14:textId="028C7766" w:rsidR="002F34B0" w:rsidRPr="00DD1B58" w:rsidRDefault="002F34B0" w:rsidP="002F34B0">
      <w:pPr>
        <w:pStyle w:val="Default"/>
        <w:rPr>
          <w:lang w:val="en-US"/>
        </w:rPr>
      </w:pPr>
      <w:r w:rsidRPr="00DD1B58">
        <w:rPr>
          <w:lang w:val="en-US"/>
        </w:rPr>
        <w:t xml:space="preserve">The work undertaken at PFR is outlined in Section </w:t>
      </w:r>
      <w:r w:rsidR="00E81C64" w:rsidRPr="00DD1B58">
        <w:rPr>
          <w:lang w:val="en-US"/>
        </w:rPr>
        <w:fldChar w:fldCharType="begin"/>
      </w:r>
      <w:r w:rsidR="00E81C64" w:rsidRPr="00DD1B58">
        <w:rPr>
          <w:lang w:val="en-US"/>
        </w:rPr>
        <w:instrText xml:space="preserve"> REF _Ref136531090 \r \h </w:instrText>
      </w:r>
      <w:r w:rsidR="00E81C64" w:rsidRPr="00DD1B58">
        <w:rPr>
          <w:lang w:val="en-US"/>
        </w:rPr>
      </w:r>
      <w:r w:rsidR="00E81C64" w:rsidRPr="00DD1B58">
        <w:rPr>
          <w:lang w:val="en-US"/>
        </w:rPr>
        <w:fldChar w:fldCharType="separate"/>
      </w:r>
      <w:r w:rsidR="00DF47DA">
        <w:rPr>
          <w:lang w:val="en-US"/>
        </w:rPr>
        <w:t>1.1.3.6</w:t>
      </w:r>
      <w:r w:rsidR="00E81C64" w:rsidRPr="00DD1B58">
        <w:rPr>
          <w:lang w:val="en-US"/>
        </w:rPr>
        <w:fldChar w:fldCharType="end"/>
      </w:r>
      <w:r w:rsidRPr="00DD1B58">
        <w:rPr>
          <w:lang w:val="en-US"/>
        </w:rPr>
        <w:t xml:space="preserve"> and this was the scope of the PFR LC15 Review DFRA.</w:t>
      </w:r>
    </w:p>
    <w:p w14:paraId="76DEE9FF" w14:textId="77777777" w:rsidR="002F34B0" w:rsidRPr="00DD1B58" w:rsidRDefault="002F34B0" w:rsidP="002F34B0">
      <w:pPr>
        <w:pStyle w:val="Default"/>
        <w:rPr>
          <w:lang w:val="en-US"/>
        </w:rPr>
      </w:pPr>
    </w:p>
    <w:p w14:paraId="60C3C0A3" w14:textId="214E97D9" w:rsidR="00D06C88" w:rsidRPr="00DD1B58" w:rsidRDefault="00333EBA" w:rsidP="00E53255">
      <w:pPr>
        <w:pStyle w:val="Default"/>
        <w:rPr>
          <w:lang w:val="en-US"/>
        </w:rPr>
      </w:pPr>
      <w:r w:rsidRPr="00DD1B58">
        <w:rPr>
          <w:lang w:val="en-US"/>
        </w:rPr>
        <w:t>Dounreay identifies f</w:t>
      </w:r>
      <w:r w:rsidR="00E53255" w:rsidRPr="00DD1B58">
        <w:rPr>
          <w:lang w:val="en-US"/>
        </w:rPr>
        <w:t>aults including those pertaining to fire through a hazard identification process and capture</w:t>
      </w:r>
      <w:r w:rsidR="000B5DE2" w:rsidRPr="00DD1B58">
        <w:rPr>
          <w:lang w:val="en-US"/>
        </w:rPr>
        <w:t xml:space="preserve">s them </w:t>
      </w:r>
      <w:r w:rsidR="00E53255" w:rsidRPr="00DD1B58">
        <w:rPr>
          <w:lang w:val="en-US"/>
        </w:rPr>
        <w:t xml:space="preserve">in a Fault Schedule. For the DFRA, the due process considers the identification and assessment of fire hazards. </w:t>
      </w:r>
      <w:r w:rsidR="000B5DE2" w:rsidRPr="00DD1B58">
        <w:rPr>
          <w:lang w:val="en-US"/>
        </w:rPr>
        <w:t>Dounreay considers this as</w:t>
      </w:r>
      <w:r w:rsidR="00E53255" w:rsidRPr="00DD1B58">
        <w:rPr>
          <w:lang w:val="en-US"/>
        </w:rPr>
        <w:t xml:space="preserve"> a specialist task carried out by </w:t>
      </w:r>
      <w:r w:rsidR="000B5DE2" w:rsidRPr="00DD1B58">
        <w:rPr>
          <w:lang w:val="en-US"/>
        </w:rPr>
        <w:t>SQEP</w:t>
      </w:r>
      <w:r w:rsidR="00D12DBC" w:rsidRPr="00DD1B58">
        <w:rPr>
          <w:lang w:val="en-US"/>
        </w:rPr>
        <w:t>s</w:t>
      </w:r>
      <w:r w:rsidR="00E53255" w:rsidRPr="00DD1B58">
        <w:rPr>
          <w:lang w:val="en-US"/>
        </w:rPr>
        <w:t>, such as a practicing fire engineer</w:t>
      </w:r>
      <w:r w:rsidR="00D06C88" w:rsidRPr="00DD1B58">
        <w:rPr>
          <w:lang w:val="en-US"/>
        </w:rPr>
        <w:t>, with the following steps:</w:t>
      </w:r>
    </w:p>
    <w:p w14:paraId="50C227B9" w14:textId="77777777" w:rsidR="00D06C88" w:rsidRPr="00DD1B58" w:rsidRDefault="00D06C88" w:rsidP="00E53255">
      <w:pPr>
        <w:pStyle w:val="Default"/>
        <w:rPr>
          <w:lang w:val="en-US"/>
        </w:rPr>
      </w:pPr>
    </w:p>
    <w:p w14:paraId="437ABD5F" w14:textId="0A020177" w:rsidR="00E53255" w:rsidRPr="00DD1B58" w:rsidRDefault="00E53255" w:rsidP="00973FF4">
      <w:pPr>
        <w:pStyle w:val="Bulletlist1"/>
        <w:rPr>
          <w:lang w:val="en-US"/>
        </w:rPr>
      </w:pPr>
      <w:r w:rsidRPr="00DD1B58">
        <w:rPr>
          <w:lang w:val="en-US"/>
        </w:rPr>
        <w:t xml:space="preserve">The Fault Schedule </w:t>
      </w:r>
      <w:r w:rsidR="007E53CB" w:rsidRPr="00DD1B58">
        <w:rPr>
          <w:lang w:val="en-US"/>
        </w:rPr>
        <w:t xml:space="preserve">is </w:t>
      </w:r>
      <w:r w:rsidRPr="00DD1B58">
        <w:rPr>
          <w:lang w:val="en-US"/>
        </w:rPr>
        <w:t>provided to the fire engineer responsible for the completion of the DFRA.</w:t>
      </w:r>
    </w:p>
    <w:p w14:paraId="56BFC532" w14:textId="77777777" w:rsidR="00D06C88" w:rsidRPr="00DD1B58" w:rsidRDefault="00E55D1D" w:rsidP="00973FF4">
      <w:pPr>
        <w:pStyle w:val="Bulletlist1"/>
        <w:rPr>
          <w:lang w:val="en-US"/>
        </w:rPr>
      </w:pPr>
      <w:r w:rsidRPr="00DD1B58">
        <w:rPr>
          <w:lang w:val="en-US"/>
        </w:rPr>
        <w:t xml:space="preserve">Each area of the building is considered in turn to identify the ways in which a radiological release or loss of an SSSC could occur due to fire in that area and then describes potential fire scenarios which may initiate there. </w:t>
      </w:r>
    </w:p>
    <w:p w14:paraId="15FCE748" w14:textId="77777777" w:rsidR="00DC190F" w:rsidRPr="00DD1B58" w:rsidRDefault="00E55D1D" w:rsidP="00973FF4">
      <w:pPr>
        <w:pStyle w:val="Bulletlist1"/>
        <w:rPr>
          <w:lang w:val="en-US"/>
        </w:rPr>
      </w:pPr>
      <w:r w:rsidRPr="00DD1B58">
        <w:rPr>
          <w:lang w:val="en-US"/>
        </w:rPr>
        <w:t>Each fire scenario is considered qualitatively, as to whether development to the point of causing the radiological consequences is clearly incredible therefore able to be dismissed, or not. This consideration takes into account passive features (e.g. walls, fire doors), and also qualitative assessments of the likelihood of a fire and its potential severity. Active measures (e.g. firefighting by operators or the on-site fire service,</w:t>
      </w:r>
      <w:r w:rsidR="00DC190F" w:rsidRPr="00DD1B58">
        <w:rPr>
          <w:lang w:val="en-US"/>
        </w:rPr>
        <w:t xml:space="preserve"> activation of fire dampers) are not taken into account in the qualitative assessment.</w:t>
      </w:r>
    </w:p>
    <w:p w14:paraId="45D8B82C" w14:textId="69392D30" w:rsidR="00DC190F" w:rsidRPr="00DD1B58" w:rsidRDefault="00D06C88" w:rsidP="00DC190F">
      <w:pPr>
        <w:pStyle w:val="Default"/>
        <w:rPr>
          <w:lang w:val="en-US"/>
        </w:rPr>
      </w:pPr>
      <w:r w:rsidRPr="00DD1B58">
        <w:rPr>
          <w:lang w:val="en-US"/>
        </w:rPr>
        <w:t>Dounreay considers that the</w:t>
      </w:r>
      <w:r w:rsidR="00DC190F" w:rsidRPr="00DD1B58">
        <w:rPr>
          <w:lang w:val="en-US"/>
        </w:rPr>
        <w:t xml:space="preserve"> approach </w:t>
      </w:r>
      <w:r w:rsidRPr="00DD1B58">
        <w:rPr>
          <w:lang w:val="en-US"/>
        </w:rPr>
        <w:t xml:space="preserve">is aligned </w:t>
      </w:r>
      <w:r w:rsidR="00DC190F" w:rsidRPr="00DD1B58">
        <w:rPr>
          <w:lang w:val="en-US"/>
        </w:rPr>
        <w:t xml:space="preserve">with WENRA </w:t>
      </w:r>
      <w:r w:rsidRPr="00DD1B58">
        <w:rPr>
          <w:lang w:val="en-US"/>
        </w:rPr>
        <w:t>SRL</w:t>
      </w:r>
      <w:r w:rsidR="00DC190F" w:rsidRPr="00DD1B58">
        <w:rPr>
          <w:lang w:val="en-US"/>
        </w:rPr>
        <w:t xml:space="preserve"> S</w:t>
      </w:r>
      <w:r w:rsidR="0088199B" w:rsidRPr="00DD1B58">
        <w:rPr>
          <w:lang w:val="en-US"/>
        </w:rPr>
        <w:t>V</w:t>
      </w:r>
      <w:r w:rsidR="00DC190F" w:rsidRPr="00DD1B58">
        <w:rPr>
          <w:lang w:val="en-US"/>
        </w:rPr>
        <w:t xml:space="preserve"> 6.1</w:t>
      </w:r>
    </w:p>
    <w:p w14:paraId="261E5BF5" w14:textId="77777777" w:rsidR="00DC190F" w:rsidRPr="00DD1B58" w:rsidRDefault="00DC190F" w:rsidP="00DC190F">
      <w:pPr>
        <w:pStyle w:val="Default"/>
        <w:rPr>
          <w:lang w:val="en-US"/>
        </w:rPr>
      </w:pPr>
    </w:p>
    <w:p w14:paraId="75BA9606" w14:textId="5A033FA3" w:rsidR="006E3EA5" w:rsidRPr="00DD1B58" w:rsidRDefault="006E3EA5" w:rsidP="006E3EA5">
      <w:pPr>
        <w:pStyle w:val="Default"/>
        <w:rPr>
          <w:lang w:val="en-US"/>
        </w:rPr>
      </w:pPr>
      <w:r w:rsidRPr="00DD1B58">
        <w:rPr>
          <w:lang w:val="en-US"/>
        </w:rPr>
        <w:t xml:space="preserve">The DFRA provides a qualitative assessment of fire scenarios involving significant combustible inventories and ignition sources within PFR and associated buildings. </w:t>
      </w:r>
      <w:r w:rsidR="00FC3DBA" w:rsidRPr="00DD1B58">
        <w:rPr>
          <w:lang w:val="en-US"/>
        </w:rPr>
        <w:t>Dounreay</w:t>
      </w:r>
      <w:r w:rsidRPr="00DD1B58">
        <w:rPr>
          <w:lang w:val="en-US"/>
        </w:rPr>
        <w:t xml:space="preserve"> subjected</w:t>
      </w:r>
      <w:r w:rsidR="00FC3DBA" w:rsidRPr="00DD1B58">
        <w:rPr>
          <w:lang w:val="en-US"/>
        </w:rPr>
        <w:t xml:space="preserve"> the scenarios to</w:t>
      </w:r>
      <w:r w:rsidRPr="00DD1B58">
        <w:rPr>
          <w:lang w:val="en-US"/>
        </w:rPr>
        <w:t xml:space="preserve"> a detailed quantitative assessment to determine whether radiological releases were possible, and if so, the radiological inventories involved and a bounding frequency for the fire affecting that inventory. In the case of PFR,</w:t>
      </w:r>
      <w:r w:rsidR="00CD5A89" w:rsidRPr="00DD1B58">
        <w:rPr>
          <w:lang w:val="en-US"/>
        </w:rPr>
        <w:t xml:space="preserve"> Dounreay found </w:t>
      </w:r>
      <w:r w:rsidRPr="00DD1B58">
        <w:rPr>
          <w:lang w:val="en-US"/>
        </w:rPr>
        <w:t xml:space="preserve">the fire scenarios identified within the DFRA as requiring further assessment to have been considered or to be bounded by existing assessments. One scenario, an external vehicle fire adjacent to hydrogen cylinders, required </w:t>
      </w:r>
      <w:r w:rsidR="00506E11" w:rsidRPr="00DD1B58">
        <w:rPr>
          <w:lang w:val="en-US"/>
        </w:rPr>
        <w:t>additional</w:t>
      </w:r>
      <w:r w:rsidRPr="00DD1B58">
        <w:rPr>
          <w:lang w:val="en-US"/>
        </w:rPr>
        <w:t xml:space="preserve"> measures to prevent the fault from being realised.</w:t>
      </w:r>
    </w:p>
    <w:p w14:paraId="121A6416" w14:textId="77777777" w:rsidR="006E3EA5" w:rsidRPr="00DD1B58" w:rsidRDefault="006E3EA5" w:rsidP="006E3EA5">
      <w:pPr>
        <w:pStyle w:val="Default"/>
        <w:rPr>
          <w:lang w:val="en-US"/>
        </w:rPr>
      </w:pPr>
    </w:p>
    <w:p w14:paraId="197E55DE" w14:textId="442BCA65" w:rsidR="006E3EA5" w:rsidRPr="00DD1B58" w:rsidRDefault="00506E11" w:rsidP="006E3EA5">
      <w:pPr>
        <w:pStyle w:val="Default"/>
        <w:rPr>
          <w:lang w:val="en-US"/>
        </w:rPr>
      </w:pPr>
      <w:r w:rsidRPr="00DD1B58">
        <w:rPr>
          <w:lang w:val="en-US"/>
        </w:rPr>
        <w:t xml:space="preserve">Dounreay </w:t>
      </w:r>
      <w:r w:rsidR="00F6351C" w:rsidRPr="00DD1B58">
        <w:rPr>
          <w:lang w:val="en-US"/>
        </w:rPr>
        <w:t>reports</w:t>
      </w:r>
      <w:r w:rsidRPr="00DD1B58">
        <w:rPr>
          <w:lang w:val="en-US"/>
        </w:rPr>
        <w:t xml:space="preserve"> that there</w:t>
      </w:r>
      <w:r w:rsidR="006E3EA5" w:rsidRPr="00DD1B58">
        <w:rPr>
          <w:lang w:val="en-US"/>
        </w:rPr>
        <w:t xml:space="preserve"> are a number of fire loads located at PFR, generally defined as electrical switchgear, storage of combustible waste, electrical equipment and panels, vehicles, hydraulics associated with tools and alkali metal contaminated components. </w:t>
      </w:r>
    </w:p>
    <w:p w14:paraId="1EB0F021" w14:textId="77777777" w:rsidR="006E3EA5" w:rsidRPr="00DD1B58" w:rsidRDefault="006E3EA5" w:rsidP="006E3EA5">
      <w:pPr>
        <w:pStyle w:val="Default"/>
        <w:rPr>
          <w:lang w:val="en-US"/>
        </w:rPr>
      </w:pPr>
    </w:p>
    <w:p w14:paraId="04F8EA99" w14:textId="5CC93BA3" w:rsidR="00606B4A" w:rsidRPr="00DD1B58" w:rsidRDefault="00506E11" w:rsidP="00606B4A">
      <w:pPr>
        <w:pStyle w:val="Default"/>
        <w:rPr>
          <w:lang w:val="en-US"/>
        </w:rPr>
      </w:pPr>
      <w:r w:rsidRPr="00DD1B58">
        <w:rPr>
          <w:lang w:val="en-US"/>
        </w:rPr>
        <w:t xml:space="preserve">Dounreay’s </w:t>
      </w:r>
      <w:r w:rsidR="00606B4A" w:rsidRPr="00DD1B58">
        <w:rPr>
          <w:lang w:val="en-US"/>
        </w:rPr>
        <w:t>Liquid Metal Fires HAZAN</w:t>
      </w:r>
      <w:r w:rsidRPr="00DD1B58">
        <w:rPr>
          <w:lang w:val="en-US"/>
        </w:rPr>
        <w:t xml:space="preserve"> for PFR</w:t>
      </w:r>
      <w:r w:rsidR="00606B4A" w:rsidRPr="00DD1B58">
        <w:rPr>
          <w:lang w:val="en-US"/>
        </w:rPr>
        <w:t xml:space="preserve"> considered liquid metal fires, noting that the External Events HAZAN considered fires as a consequence of external events separately as discussed below. The Liquid Metal Fires HAZANs considered the consequences of small NaK fires arising because of intrusive maintenance and bagging operations on alkali metal contaminated components. </w:t>
      </w:r>
      <w:r w:rsidRPr="00DD1B58">
        <w:rPr>
          <w:lang w:val="en-US"/>
        </w:rPr>
        <w:t>The assessment considered a</w:t>
      </w:r>
      <w:r w:rsidR="00606B4A" w:rsidRPr="00DD1B58">
        <w:rPr>
          <w:lang w:val="en-US"/>
        </w:rPr>
        <w:t xml:space="preserve"> large liquid metal fire as a consequence of a dropped load resulting in loss of containment of bulk alkali metal. All faults considered in the Liquid metal HAZAN were assessed to fall below the threshold for risk assessment</w:t>
      </w:r>
      <w:r w:rsidR="00650E7E" w:rsidRPr="00DD1B58">
        <w:rPr>
          <w:lang w:val="en-US"/>
        </w:rPr>
        <w:t xml:space="preserve"> (2 mSv low consequence meth</w:t>
      </w:r>
      <w:r w:rsidR="003437DB" w:rsidRPr="00DD1B58">
        <w:rPr>
          <w:lang w:val="en-US"/>
        </w:rPr>
        <w:t>odology)</w:t>
      </w:r>
      <w:r w:rsidR="00606B4A" w:rsidRPr="00DD1B58">
        <w:rPr>
          <w:lang w:val="en-US"/>
        </w:rPr>
        <w:t xml:space="preserve">. </w:t>
      </w:r>
    </w:p>
    <w:p w14:paraId="5C4CA36E" w14:textId="77777777" w:rsidR="00606B4A" w:rsidRPr="00DD1B58" w:rsidRDefault="00606B4A" w:rsidP="006E3EA5">
      <w:pPr>
        <w:pStyle w:val="Default"/>
        <w:rPr>
          <w:lang w:val="en-US"/>
        </w:rPr>
      </w:pPr>
    </w:p>
    <w:p w14:paraId="28B1B4B9" w14:textId="569BDA57" w:rsidR="00025487" w:rsidRPr="00DD1B58" w:rsidRDefault="006E7675" w:rsidP="00025487">
      <w:pPr>
        <w:pStyle w:val="Default"/>
        <w:rPr>
          <w:lang w:val="en-US"/>
        </w:rPr>
      </w:pPr>
      <w:r w:rsidRPr="00DD1B58">
        <w:rPr>
          <w:lang w:val="en-US"/>
        </w:rPr>
        <w:t xml:space="preserve">Dounreay </w:t>
      </w:r>
      <w:r w:rsidR="00254E9C" w:rsidRPr="00DD1B58">
        <w:rPr>
          <w:lang w:val="en-US"/>
        </w:rPr>
        <w:t>considers</w:t>
      </w:r>
      <w:r w:rsidRPr="00DD1B58">
        <w:rPr>
          <w:lang w:val="en-US"/>
        </w:rPr>
        <w:t xml:space="preserve"> that a</w:t>
      </w:r>
      <w:r w:rsidR="00845D69" w:rsidRPr="00DD1B58">
        <w:rPr>
          <w:lang w:val="en-US"/>
        </w:rPr>
        <w:t xml:space="preserve"> seismic event at Dounreay </w:t>
      </w:r>
      <w:r w:rsidRPr="00DD1B58">
        <w:rPr>
          <w:lang w:val="en-US"/>
        </w:rPr>
        <w:t xml:space="preserve">would </w:t>
      </w:r>
      <w:r w:rsidR="00845D69" w:rsidRPr="00DD1B58">
        <w:rPr>
          <w:lang w:val="en-US"/>
        </w:rPr>
        <w:t xml:space="preserve">affect all PFR facilities simultaneously. </w:t>
      </w:r>
      <w:r w:rsidR="009C76B2" w:rsidRPr="00DD1B58">
        <w:rPr>
          <w:lang w:val="en-US"/>
        </w:rPr>
        <w:t>T</w:t>
      </w:r>
      <w:r w:rsidR="00845D69" w:rsidRPr="00DD1B58">
        <w:rPr>
          <w:lang w:val="en-US"/>
        </w:rPr>
        <w:t xml:space="preserve">he External Events HAZAN </w:t>
      </w:r>
      <w:r w:rsidR="009C76B2" w:rsidRPr="00DD1B58">
        <w:rPr>
          <w:lang w:val="en-US"/>
        </w:rPr>
        <w:t>considers scenarios such as a</w:t>
      </w:r>
      <w:r w:rsidR="00845D69" w:rsidRPr="00DD1B58">
        <w:rPr>
          <w:lang w:val="en-US"/>
        </w:rPr>
        <w:t xml:space="preserve"> collapse of the Secondary Containment Building </w:t>
      </w:r>
      <w:r w:rsidR="009C76B2" w:rsidRPr="00DD1B58">
        <w:rPr>
          <w:lang w:val="en-US"/>
        </w:rPr>
        <w:t xml:space="preserve">with </w:t>
      </w:r>
      <w:r w:rsidR="00845D69" w:rsidRPr="00DD1B58">
        <w:rPr>
          <w:lang w:val="en-US"/>
        </w:rPr>
        <w:t xml:space="preserve">cracking of the reactor roof </w:t>
      </w:r>
      <w:r w:rsidR="009C76B2" w:rsidRPr="00DD1B58">
        <w:rPr>
          <w:lang w:val="en-US"/>
        </w:rPr>
        <w:t>which could lead to</w:t>
      </w:r>
      <w:r w:rsidR="00845D69" w:rsidRPr="00DD1B58">
        <w:rPr>
          <w:lang w:val="en-US"/>
        </w:rPr>
        <w:t xml:space="preserve"> fire involving the residual sodium and release of radioactivity.</w:t>
      </w:r>
      <w:r w:rsidR="009C76B2" w:rsidRPr="00DD1B58">
        <w:rPr>
          <w:lang w:val="en-US"/>
        </w:rPr>
        <w:t xml:space="preserve"> Similarly, Dounreay assessed </w:t>
      </w:r>
      <w:r w:rsidR="00025487" w:rsidRPr="00DD1B58">
        <w:rPr>
          <w:lang w:val="en-US"/>
        </w:rPr>
        <w:t>aircraft crash onto the PFR facilities. The total public risk arising from radiological events and accidents associated with PFR is 1.</w:t>
      </w:r>
      <w:r w:rsidR="00347599" w:rsidRPr="00DD1B58">
        <w:rPr>
          <w:lang w:val="en-US"/>
        </w:rPr>
        <w:t>3x10</w:t>
      </w:r>
      <w:r w:rsidR="00025487" w:rsidRPr="00DD1B58">
        <w:rPr>
          <w:vertAlign w:val="superscript"/>
          <w:lang w:val="en-US"/>
        </w:rPr>
        <w:t>-12</w:t>
      </w:r>
      <w:r w:rsidR="00025487" w:rsidRPr="00DD1B58">
        <w:rPr>
          <w:lang w:val="en-US"/>
        </w:rPr>
        <w:t xml:space="preserve"> </w:t>
      </w:r>
      <w:r w:rsidR="00347599" w:rsidRPr="00DD1B58">
        <w:rPr>
          <w:lang w:val="en-US"/>
        </w:rPr>
        <w:t>per year</w:t>
      </w:r>
      <w:r w:rsidR="00025487" w:rsidRPr="00DD1B58">
        <w:rPr>
          <w:lang w:val="en-US"/>
        </w:rPr>
        <w:t xml:space="preserve">, this is dominated by aircraft crash causing severe damage to the structural containment resulting in a loss of containment and fire. This risk is less than the ONR Safety Assessment Principles </w:t>
      </w:r>
      <w:sdt>
        <w:sdtPr>
          <w:rPr>
            <w:lang w:val="en-US"/>
          </w:rPr>
          <w:id w:val="908426779"/>
          <w:citation/>
        </w:sdtPr>
        <w:sdtContent>
          <w:r w:rsidR="00CF0D04" w:rsidRPr="00DD1B58">
            <w:rPr>
              <w:lang w:val="en-US"/>
            </w:rPr>
            <w:fldChar w:fldCharType="begin"/>
          </w:r>
          <w:r w:rsidR="009C6919" w:rsidRPr="00DD1B58">
            <w:rPr>
              <w:lang w:val="en-US"/>
            </w:rPr>
            <w:instrText xml:space="preserve">CITATION Off20 \l 2057 </w:instrText>
          </w:r>
          <w:r w:rsidR="00CF0D04" w:rsidRPr="00DD1B58">
            <w:rPr>
              <w:lang w:val="en-US"/>
            </w:rPr>
            <w:fldChar w:fldCharType="separate"/>
          </w:r>
          <w:r w:rsidR="00DF47DA" w:rsidRPr="00DF47DA">
            <w:rPr>
              <w:noProof/>
              <w:lang w:val="en-US"/>
            </w:rPr>
            <w:t>[15]</w:t>
          </w:r>
          <w:r w:rsidR="00CF0D04" w:rsidRPr="00DD1B58">
            <w:rPr>
              <w:lang w:val="en-US"/>
            </w:rPr>
            <w:fldChar w:fldCharType="end"/>
          </w:r>
        </w:sdtContent>
      </w:sdt>
      <w:r w:rsidR="00025487" w:rsidRPr="00DD1B58">
        <w:rPr>
          <w:lang w:val="en-US"/>
        </w:rPr>
        <w:t xml:space="preserve"> Target 7 of </w:t>
      </w:r>
      <w:r w:rsidR="00347599" w:rsidRPr="00DD1B58">
        <w:rPr>
          <w:lang w:val="en-US"/>
        </w:rPr>
        <w:t>1x10</w:t>
      </w:r>
      <w:r w:rsidR="00347599" w:rsidRPr="00DD1B58">
        <w:rPr>
          <w:vertAlign w:val="superscript"/>
          <w:lang w:val="en-US"/>
        </w:rPr>
        <w:t>-6</w:t>
      </w:r>
      <w:r w:rsidR="00347599" w:rsidRPr="00DD1B58">
        <w:rPr>
          <w:lang w:val="en-US"/>
        </w:rPr>
        <w:t xml:space="preserve"> per year</w:t>
      </w:r>
      <w:r w:rsidR="00025487" w:rsidRPr="00DD1B58">
        <w:rPr>
          <w:lang w:val="en-US"/>
        </w:rPr>
        <w:t>.</w:t>
      </w:r>
    </w:p>
    <w:p w14:paraId="446EE1EB" w14:textId="77777777" w:rsidR="00C027F1" w:rsidRPr="00DD1B58" w:rsidRDefault="00C027F1" w:rsidP="00CE3C28">
      <w:pPr>
        <w:pStyle w:val="Default"/>
        <w:rPr>
          <w:lang w:val="en-US"/>
        </w:rPr>
      </w:pPr>
    </w:p>
    <w:p w14:paraId="6CDDBD80" w14:textId="0A87F31B" w:rsidR="00CE3C28" w:rsidRPr="00DD1B58" w:rsidRDefault="00CE3C28" w:rsidP="00CE3C28">
      <w:pPr>
        <w:pStyle w:val="Default"/>
        <w:rPr>
          <w:sz w:val="23"/>
          <w:szCs w:val="23"/>
          <w:lang w:val="en-US"/>
        </w:rPr>
      </w:pPr>
      <w:r w:rsidRPr="00DD1B58">
        <w:rPr>
          <w:lang w:val="en-US"/>
        </w:rPr>
        <w:t xml:space="preserve">Dounreay is a decommissioning site and therefore in accordance with WENRA </w:t>
      </w:r>
      <w:r w:rsidR="00AB0974" w:rsidRPr="00DD1B58">
        <w:rPr>
          <w:lang w:val="en-US"/>
        </w:rPr>
        <w:t xml:space="preserve">SRLs for decommissioning facilities </w:t>
      </w:r>
      <w:r w:rsidRPr="00DD1B58">
        <w:rPr>
          <w:lang w:val="en-US"/>
        </w:rPr>
        <w:t>does not require the completion of a full Probabilistic Fire Hazard Analysis</w:t>
      </w:r>
      <w:r w:rsidRPr="00DD1B58">
        <w:rPr>
          <w:sz w:val="23"/>
          <w:szCs w:val="23"/>
          <w:lang w:val="en-US"/>
        </w:rPr>
        <w:t>.</w:t>
      </w:r>
    </w:p>
    <w:p w14:paraId="11BBBC22" w14:textId="77777777" w:rsidR="006D2FF2" w:rsidRPr="00DD1B58" w:rsidRDefault="006D2FF2" w:rsidP="00CE3C28">
      <w:pPr>
        <w:pStyle w:val="Default"/>
        <w:rPr>
          <w:sz w:val="23"/>
          <w:szCs w:val="23"/>
          <w:lang w:val="en-US"/>
        </w:rPr>
      </w:pPr>
    </w:p>
    <w:p w14:paraId="6A2D15BA" w14:textId="77777777" w:rsidR="006D2FF2" w:rsidRPr="00DD1B58" w:rsidRDefault="00BD22B1" w:rsidP="003A3686">
      <w:pPr>
        <w:pStyle w:val="Heading4"/>
        <w:rPr>
          <w:lang w:val="en-US"/>
        </w:rPr>
      </w:pPr>
      <w:r w:rsidRPr="00DD1B58">
        <w:rPr>
          <w:lang w:val="en-US"/>
        </w:rPr>
        <w:t xml:space="preserve"> Key assumptions and methodologies</w:t>
      </w:r>
    </w:p>
    <w:p w14:paraId="5EA7754F" w14:textId="4FB8B9FC" w:rsidR="00B93384" w:rsidRPr="00DD1B58" w:rsidRDefault="00AB0974" w:rsidP="00B93384">
      <w:pPr>
        <w:pStyle w:val="Default"/>
        <w:rPr>
          <w:lang w:val="en-US"/>
        </w:rPr>
      </w:pPr>
      <w:r w:rsidRPr="00DD1B58">
        <w:rPr>
          <w:lang w:val="en-US"/>
        </w:rPr>
        <w:t>Dounreay report</w:t>
      </w:r>
      <w:r w:rsidR="00254E9C" w:rsidRPr="00DD1B58">
        <w:rPr>
          <w:lang w:val="en-US"/>
        </w:rPr>
        <w:t>s</w:t>
      </w:r>
      <w:r w:rsidRPr="00DD1B58">
        <w:rPr>
          <w:lang w:val="en-US"/>
        </w:rPr>
        <w:t xml:space="preserve"> that the </w:t>
      </w:r>
      <w:r w:rsidR="00B93384" w:rsidRPr="00DD1B58">
        <w:rPr>
          <w:lang w:val="en-US"/>
        </w:rPr>
        <w:t xml:space="preserve">DFRA </w:t>
      </w:r>
      <w:r w:rsidRPr="00DD1B58">
        <w:rPr>
          <w:lang w:val="en-US"/>
        </w:rPr>
        <w:t>for PFR</w:t>
      </w:r>
      <w:r w:rsidR="00B93384" w:rsidRPr="00DD1B58">
        <w:rPr>
          <w:lang w:val="en-US"/>
        </w:rPr>
        <w:t xml:space="preserve"> was completed in accordance with the site due process</w:t>
      </w:r>
      <w:r w:rsidR="00D258F3" w:rsidRPr="00DD1B58">
        <w:rPr>
          <w:lang w:val="en-US"/>
        </w:rPr>
        <w:t xml:space="preserve"> and that</w:t>
      </w:r>
      <w:r w:rsidR="00B93384" w:rsidRPr="00DD1B58">
        <w:rPr>
          <w:lang w:val="en-US"/>
        </w:rPr>
        <w:t xml:space="preserve"> British Standards were considered throughout</w:t>
      </w:r>
      <w:r w:rsidR="00E20B0D" w:rsidRPr="00DD1B58">
        <w:rPr>
          <w:lang w:val="en-US"/>
        </w:rPr>
        <w:t xml:space="preserve"> as follows:</w:t>
      </w:r>
    </w:p>
    <w:p w14:paraId="594C3163" w14:textId="77777777" w:rsidR="00975B38" w:rsidRPr="00DD1B58" w:rsidRDefault="00975B38" w:rsidP="00B93384">
      <w:pPr>
        <w:pStyle w:val="Default"/>
        <w:rPr>
          <w:lang w:val="en-US"/>
        </w:rPr>
      </w:pPr>
    </w:p>
    <w:p w14:paraId="5B0F8D10" w14:textId="77777777" w:rsidR="00BB151E" w:rsidRPr="00DD1B58" w:rsidRDefault="00367128" w:rsidP="00E20B0D">
      <w:pPr>
        <w:pStyle w:val="Bulletlist1"/>
        <w:rPr>
          <w:lang w:val="en-US"/>
        </w:rPr>
      </w:pPr>
      <w:r w:rsidRPr="00DD1B58">
        <w:rPr>
          <w:lang w:val="en-US"/>
        </w:rPr>
        <w:t xml:space="preserve">In accordance with Safety Case due processes, hazards and operability issues are identified, and the consequences assessed. </w:t>
      </w:r>
    </w:p>
    <w:p w14:paraId="7EA38071" w14:textId="77777777" w:rsidR="00BB151E" w:rsidRPr="00DD1B58" w:rsidRDefault="00367128" w:rsidP="00E20B0D">
      <w:pPr>
        <w:pStyle w:val="Bulletlist1"/>
        <w:rPr>
          <w:lang w:val="en-US"/>
        </w:rPr>
      </w:pPr>
      <w:r w:rsidRPr="00DD1B58">
        <w:rPr>
          <w:lang w:val="en-US"/>
        </w:rPr>
        <w:t xml:space="preserve">The preventative and mitigatory controls are then assigned a class based on the assessments. Safety functions and performance requirements are identified against each SSSC including any pertaining to fire protection in an Engineering Schedule. </w:t>
      </w:r>
    </w:p>
    <w:p w14:paraId="087597C7" w14:textId="72B302BB" w:rsidR="008D40D2" w:rsidRPr="00DD1B58" w:rsidRDefault="00367128" w:rsidP="00973FF4">
      <w:pPr>
        <w:pStyle w:val="Bulletlist1"/>
        <w:rPr>
          <w:lang w:val="en-US"/>
        </w:rPr>
      </w:pPr>
      <w:r w:rsidRPr="00DD1B58">
        <w:rPr>
          <w:lang w:val="en-US"/>
        </w:rPr>
        <w:t>The SSSCs are substantiated to consider if they can meet the cited functions and performance requirements. The only SSSC that was identified to protect against the consequences of fire was the PFR Fire Detection and Alarm System.</w:t>
      </w:r>
    </w:p>
    <w:p w14:paraId="7FF31A48" w14:textId="3B0DAE5E" w:rsidR="008D40D2" w:rsidRPr="00DD1B58" w:rsidRDefault="0041205B" w:rsidP="00973FF4">
      <w:pPr>
        <w:pStyle w:val="Bulletlist1"/>
        <w:rPr>
          <w:lang w:val="en-US"/>
        </w:rPr>
      </w:pPr>
      <w:r w:rsidRPr="00DD1B58">
        <w:rPr>
          <w:lang w:val="en-US"/>
        </w:rPr>
        <w:t xml:space="preserve">The fire loading </w:t>
      </w:r>
      <w:r w:rsidR="00E20B0D" w:rsidRPr="00DD1B58">
        <w:rPr>
          <w:lang w:val="en-US"/>
        </w:rPr>
        <w:t>was</w:t>
      </w:r>
      <w:r w:rsidRPr="00DD1B58">
        <w:rPr>
          <w:lang w:val="en-US"/>
        </w:rPr>
        <w:t xml:space="preserve"> recorded throughout all areas of the buildings in the PFR complex. It was quantified by considering the mass against the Heat of Combustion (SFPE Handbook of Fire Protection Engineering) </w:t>
      </w:r>
      <w:sdt>
        <w:sdtPr>
          <w:rPr>
            <w:lang w:val="en-US"/>
          </w:rPr>
          <w:id w:val="-362058640"/>
          <w:citation/>
        </w:sdtPr>
        <w:sdtContent>
          <w:r w:rsidR="004C28F9" w:rsidRPr="00DD1B58">
            <w:rPr>
              <w:lang w:val="en-US"/>
            </w:rPr>
            <w:fldChar w:fldCharType="begin"/>
          </w:r>
          <w:r w:rsidR="004C28F9" w:rsidRPr="00DD1B58">
            <w:rPr>
              <w:lang w:val="en-US"/>
            </w:rPr>
            <w:instrText xml:space="preserve"> CITATION Soc16 \l 2057 </w:instrText>
          </w:r>
          <w:r w:rsidR="004C28F9" w:rsidRPr="00DD1B58">
            <w:rPr>
              <w:lang w:val="en-US"/>
            </w:rPr>
            <w:fldChar w:fldCharType="separate"/>
          </w:r>
          <w:r w:rsidR="00DF47DA" w:rsidRPr="00DF47DA">
            <w:rPr>
              <w:lang w:val="en-US"/>
            </w:rPr>
            <w:t>[123]</w:t>
          </w:r>
          <w:r w:rsidR="004C28F9" w:rsidRPr="00DD1B58">
            <w:rPr>
              <w:lang w:val="en-US"/>
            </w:rPr>
            <w:fldChar w:fldCharType="end"/>
          </w:r>
        </w:sdtContent>
      </w:sdt>
      <w:r w:rsidRPr="00DD1B58">
        <w:rPr>
          <w:lang w:val="en-US"/>
        </w:rPr>
        <w:t xml:space="preserve">. </w:t>
      </w:r>
    </w:p>
    <w:p w14:paraId="513F61FF" w14:textId="63DFF0FE" w:rsidR="001A161C" w:rsidRPr="00DD1B58" w:rsidRDefault="001A161C" w:rsidP="00973FF4">
      <w:pPr>
        <w:pStyle w:val="Bulletlist1"/>
        <w:numPr>
          <w:ilvl w:val="0"/>
          <w:numId w:val="0"/>
        </w:numPr>
        <w:rPr>
          <w:lang w:val="en-US"/>
        </w:rPr>
      </w:pPr>
      <w:r w:rsidRPr="00DD1B58">
        <w:rPr>
          <w:lang w:val="en-US"/>
        </w:rPr>
        <w:t>As the buildings are largely open plan in the areas where SSSCs are located, the number of fire barriers in the building is low and the distribution of fire loading is widespread and in accumulations</w:t>
      </w:r>
      <w:r w:rsidR="00772D42" w:rsidRPr="00DD1B58">
        <w:rPr>
          <w:lang w:val="en-US"/>
        </w:rPr>
        <w:t>,</w:t>
      </w:r>
      <w:r w:rsidR="00A66985" w:rsidRPr="00DD1B58">
        <w:rPr>
          <w:lang w:val="en-US"/>
        </w:rPr>
        <w:t xml:space="preserve"> Dounreay </w:t>
      </w:r>
      <w:r w:rsidR="007376D6" w:rsidRPr="00DD1B58">
        <w:rPr>
          <w:lang w:val="en-US"/>
        </w:rPr>
        <w:t>considers that</w:t>
      </w:r>
      <w:r w:rsidRPr="00DD1B58">
        <w:rPr>
          <w:lang w:val="en-US"/>
        </w:rPr>
        <w:t xml:space="preserve"> there </w:t>
      </w:r>
      <w:r w:rsidR="00772D42" w:rsidRPr="00DD1B58">
        <w:rPr>
          <w:lang w:val="en-US"/>
        </w:rPr>
        <w:t xml:space="preserve">was </w:t>
      </w:r>
      <w:r w:rsidRPr="00DD1B58">
        <w:rPr>
          <w:lang w:val="en-US"/>
        </w:rPr>
        <w:t xml:space="preserve">no benefit from completing a global fire load density assessment for individual rooms. </w:t>
      </w:r>
      <w:r w:rsidR="00BB151E" w:rsidRPr="00DD1B58">
        <w:rPr>
          <w:lang w:val="en-US"/>
        </w:rPr>
        <w:t>Dou</w:t>
      </w:r>
      <w:r w:rsidR="00772D42" w:rsidRPr="00DD1B58">
        <w:rPr>
          <w:lang w:val="en-US"/>
        </w:rPr>
        <w:t>nreay placed emphasis</w:t>
      </w:r>
      <w:r w:rsidRPr="00DD1B58">
        <w:rPr>
          <w:lang w:val="en-US"/>
        </w:rPr>
        <w:t xml:space="preserve"> on calculating the fire load in discrete areas in the building and </w:t>
      </w:r>
      <w:r w:rsidR="00772D42" w:rsidRPr="00DD1B58">
        <w:rPr>
          <w:lang w:val="en-US"/>
        </w:rPr>
        <w:t xml:space="preserve">on </w:t>
      </w:r>
      <w:r w:rsidRPr="00DD1B58">
        <w:rPr>
          <w:lang w:val="en-US"/>
        </w:rPr>
        <w:t>assessing the potential local impact of a fire involving these combustibles. However, where it consider</w:t>
      </w:r>
      <w:r w:rsidR="007376D6" w:rsidRPr="00DD1B58">
        <w:rPr>
          <w:lang w:val="en-US"/>
        </w:rPr>
        <w:t>s</w:t>
      </w:r>
      <w:r w:rsidRPr="00DD1B58">
        <w:rPr>
          <w:lang w:val="en-US"/>
        </w:rPr>
        <w:t xml:space="preserve"> </w:t>
      </w:r>
      <w:r w:rsidR="00821016" w:rsidRPr="00DD1B58">
        <w:rPr>
          <w:lang w:val="en-US"/>
        </w:rPr>
        <w:t>it</w:t>
      </w:r>
      <w:r w:rsidRPr="00DD1B58">
        <w:rPr>
          <w:lang w:val="en-US"/>
        </w:rPr>
        <w:t xml:space="preserve"> credible for the total fire load in a room to be involved in a fire and there </w:t>
      </w:r>
      <w:r w:rsidR="00AC7086" w:rsidRPr="00DD1B58">
        <w:rPr>
          <w:lang w:val="en-US"/>
        </w:rPr>
        <w:t xml:space="preserve">was </w:t>
      </w:r>
      <w:r w:rsidRPr="00DD1B58">
        <w:rPr>
          <w:lang w:val="en-US"/>
        </w:rPr>
        <w:t xml:space="preserve">a potential impact upon nuclear safety, </w:t>
      </w:r>
      <w:r w:rsidR="00AC7086" w:rsidRPr="00DD1B58">
        <w:rPr>
          <w:lang w:val="en-US"/>
        </w:rPr>
        <w:t>Doureay assesse</w:t>
      </w:r>
      <w:r w:rsidR="007376D6" w:rsidRPr="00DD1B58">
        <w:rPr>
          <w:lang w:val="en-US"/>
        </w:rPr>
        <w:t>s</w:t>
      </w:r>
      <w:r w:rsidR="00AC7086" w:rsidRPr="00DD1B58">
        <w:rPr>
          <w:lang w:val="en-US"/>
        </w:rPr>
        <w:t xml:space="preserve"> the </w:t>
      </w:r>
      <w:r w:rsidRPr="00DD1B58">
        <w:rPr>
          <w:lang w:val="en-US"/>
        </w:rPr>
        <w:t>fire load explicitly.</w:t>
      </w:r>
    </w:p>
    <w:p w14:paraId="079F489C" w14:textId="77777777" w:rsidR="00D04F11" w:rsidRPr="00DD1B58" w:rsidRDefault="00D04F11" w:rsidP="001A161C">
      <w:pPr>
        <w:pStyle w:val="Default"/>
        <w:rPr>
          <w:lang w:val="en-US"/>
        </w:rPr>
      </w:pPr>
    </w:p>
    <w:p w14:paraId="04B13B67" w14:textId="5EFC729D" w:rsidR="00B412EE" w:rsidRPr="00DD1B58" w:rsidRDefault="00AC7086" w:rsidP="00B412EE">
      <w:pPr>
        <w:pStyle w:val="Default"/>
        <w:rPr>
          <w:lang w:val="en-US"/>
        </w:rPr>
      </w:pPr>
      <w:r w:rsidRPr="00DD1B58">
        <w:rPr>
          <w:lang w:val="en-US"/>
        </w:rPr>
        <w:t xml:space="preserve">Dounreay </w:t>
      </w:r>
      <w:r w:rsidR="00771B95" w:rsidRPr="00DD1B58">
        <w:rPr>
          <w:lang w:val="en-US"/>
        </w:rPr>
        <w:t>reports</w:t>
      </w:r>
      <w:r w:rsidRPr="00DD1B58">
        <w:rPr>
          <w:lang w:val="en-US"/>
        </w:rPr>
        <w:t xml:space="preserve"> that it identified t</w:t>
      </w:r>
      <w:r w:rsidR="00B412EE" w:rsidRPr="00DD1B58">
        <w:rPr>
          <w:lang w:val="en-US"/>
        </w:rPr>
        <w:t>ransient combustible</w:t>
      </w:r>
      <w:r w:rsidRPr="00DD1B58">
        <w:rPr>
          <w:lang w:val="en-US"/>
        </w:rPr>
        <w:t xml:space="preserve"> inventories</w:t>
      </w:r>
      <w:r w:rsidR="00B412EE" w:rsidRPr="00DD1B58">
        <w:rPr>
          <w:lang w:val="en-US"/>
        </w:rPr>
        <w:t xml:space="preserve"> as part of the facility walkdowns completed in support of the DFRA. The Fire Safety Engineer consider</w:t>
      </w:r>
      <w:r w:rsidR="007376D6" w:rsidRPr="00DD1B58">
        <w:rPr>
          <w:lang w:val="en-US"/>
        </w:rPr>
        <w:t xml:space="preserve">s </w:t>
      </w:r>
      <w:r w:rsidR="00B412EE" w:rsidRPr="00DD1B58">
        <w:rPr>
          <w:lang w:val="en-US"/>
        </w:rPr>
        <w:t>quantities, origin, etc. of the combustibles</w:t>
      </w:r>
      <w:r w:rsidRPr="00DD1B58">
        <w:rPr>
          <w:lang w:val="en-US"/>
        </w:rPr>
        <w:t>. Dounreay</w:t>
      </w:r>
      <w:r w:rsidR="00B412EE" w:rsidRPr="00DD1B58">
        <w:rPr>
          <w:lang w:val="en-US"/>
        </w:rPr>
        <w:t xml:space="preserve"> recognis</w:t>
      </w:r>
      <w:r w:rsidR="007376D6" w:rsidRPr="00DD1B58">
        <w:rPr>
          <w:lang w:val="en-US"/>
        </w:rPr>
        <w:t>es</w:t>
      </w:r>
      <w:r w:rsidR="00B412EE" w:rsidRPr="00DD1B58">
        <w:rPr>
          <w:lang w:val="en-US"/>
        </w:rPr>
        <w:t xml:space="preserve"> that such a plant inspection can only provide a “snapshot”, but </w:t>
      </w:r>
      <w:r w:rsidR="007376D6" w:rsidRPr="00DD1B58">
        <w:rPr>
          <w:lang w:val="en-US"/>
        </w:rPr>
        <w:t>states that</w:t>
      </w:r>
      <w:r w:rsidR="00B412EE" w:rsidRPr="00DD1B58">
        <w:rPr>
          <w:lang w:val="en-US"/>
        </w:rPr>
        <w:t xml:space="preserve"> the provision of local expertise </w:t>
      </w:r>
      <w:r w:rsidR="00BA340A" w:rsidRPr="00DD1B58">
        <w:rPr>
          <w:lang w:val="en-US"/>
        </w:rPr>
        <w:t xml:space="preserve">enabled </w:t>
      </w:r>
      <w:r w:rsidR="00B412EE" w:rsidRPr="00DD1B58">
        <w:rPr>
          <w:lang w:val="en-US"/>
        </w:rPr>
        <w:t xml:space="preserve">the surveyor to determine how typical the plant status on the day of the survey is, and how conditions may vary during normal operations. </w:t>
      </w:r>
      <w:r w:rsidR="000E648B" w:rsidRPr="00DD1B58">
        <w:rPr>
          <w:lang w:val="en-US"/>
        </w:rPr>
        <w:t xml:space="preserve">Dounreay also </w:t>
      </w:r>
      <w:r w:rsidR="007376D6" w:rsidRPr="00DD1B58">
        <w:rPr>
          <w:lang w:val="en-US"/>
        </w:rPr>
        <w:t>states that</w:t>
      </w:r>
      <w:r w:rsidR="000E648B" w:rsidRPr="00DD1B58">
        <w:rPr>
          <w:lang w:val="en-US"/>
        </w:rPr>
        <w:t xml:space="preserve"> p</w:t>
      </w:r>
      <w:r w:rsidR="00B412EE" w:rsidRPr="00DD1B58">
        <w:rPr>
          <w:lang w:val="en-US"/>
        </w:rPr>
        <w:t>roject</w:t>
      </w:r>
      <w:r w:rsidR="000E648B" w:rsidRPr="00DD1B58">
        <w:rPr>
          <w:lang w:val="en-US"/>
        </w:rPr>
        <w:t>-</w:t>
      </w:r>
      <w:r w:rsidR="00B412EE" w:rsidRPr="00DD1B58">
        <w:rPr>
          <w:lang w:val="en-US"/>
        </w:rPr>
        <w:t>specific fire risk assessments consider the generation of combustibles as a result of specific tasks. The regular planned general inspections of the facility and project areas also consider combustibles within the facility.</w:t>
      </w:r>
    </w:p>
    <w:p w14:paraId="1E4090C6" w14:textId="77777777" w:rsidR="00B412EE" w:rsidRPr="00DD1B58" w:rsidRDefault="00B412EE" w:rsidP="00B412EE">
      <w:pPr>
        <w:pStyle w:val="Default"/>
        <w:rPr>
          <w:lang w:val="en-US"/>
        </w:rPr>
      </w:pPr>
    </w:p>
    <w:p w14:paraId="2DFEB1CE" w14:textId="15C5E28E" w:rsidR="00210218" w:rsidRPr="00DD1B58" w:rsidRDefault="00210218" w:rsidP="00210218">
      <w:pPr>
        <w:pStyle w:val="Default"/>
        <w:rPr>
          <w:lang w:val="en-US"/>
        </w:rPr>
      </w:pPr>
      <w:r w:rsidRPr="00DD1B58">
        <w:rPr>
          <w:lang w:val="en-US"/>
        </w:rPr>
        <w:t>PFR was recently subject to a periodic review</w:t>
      </w:r>
      <w:r w:rsidR="000E648B" w:rsidRPr="00DD1B58">
        <w:rPr>
          <w:lang w:val="en-US"/>
        </w:rPr>
        <w:t xml:space="preserve">, </w:t>
      </w:r>
      <w:r w:rsidR="00771B95" w:rsidRPr="00DD1B58">
        <w:rPr>
          <w:lang w:val="en-US"/>
        </w:rPr>
        <w:t xml:space="preserve">and Dounreay reports that </w:t>
      </w:r>
      <w:r w:rsidR="000E648B" w:rsidRPr="00DD1B58">
        <w:rPr>
          <w:lang w:val="en-US"/>
        </w:rPr>
        <w:t>a</w:t>
      </w:r>
      <w:r w:rsidRPr="00DD1B58">
        <w:rPr>
          <w:lang w:val="en-US"/>
        </w:rPr>
        <w:t xml:space="preserve">ll faults </w:t>
      </w:r>
      <w:r w:rsidR="00DB0437" w:rsidRPr="00DD1B58">
        <w:rPr>
          <w:lang w:val="en-US"/>
        </w:rPr>
        <w:t>and associated</w:t>
      </w:r>
      <w:r w:rsidRPr="00DD1B58">
        <w:rPr>
          <w:lang w:val="en-US"/>
        </w:rPr>
        <w:t xml:space="preserve"> HAZANs were </w:t>
      </w:r>
      <w:r w:rsidR="000E648B" w:rsidRPr="00DD1B58">
        <w:rPr>
          <w:lang w:val="en-US"/>
        </w:rPr>
        <w:t>reviewed and that a</w:t>
      </w:r>
      <w:r w:rsidRPr="00DD1B58">
        <w:rPr>
          <w:lang w:val="en-US"/>
        </w:rPr>
        <w:t xml:space="preserve"> new DFRA was issued.</w:t>
      </w:r>
      <w:r w:rsidR="000D5C20" w:rsidRPr="00DD1B58">
        <w:rPr>
          <w:lang w:val="en-US"/>
        </w:rPr>
        <w:t xml:space="preserve"> </w:t>
      </w:r>
      <w:r w:rsidR="000E648B" w:rsidRPr="00DD1B58">
        <w:rPr>
          <w:lang w:val="en-US"/>
        </w:rPr>
        <w:t>Dounreay concluded that</w:t>
      </w:r>
      <w:r w:rsidRPr="00DD1B58">
        <w:rPr>
          <w:lang w:val="en-US"/>
        </w:rPr>
        <w:t xml:space="preserve"> modifications consider any implications to the fire risk assessment through consultation with a fire advisor.</w:t>
      </w:r>
    </w:p>
    <w:p w14:paraId="1EF7F651" w14:textId="77777777" w:rsidR="00210218" w:rsidRPr="00DD1B58" w:rsidRDefault="00210218" w:rsidP="00210218">
      <w:pPr>
        <w:pStyle w:val="Default"/>
        <w:rPr>
          <w:sz w:val="23"/>
          <w:szCs w:val="23"/>
          <w:lang w:val="en-US"/>
        </w:rPr>
      </w:pPr>
    </w:p>
    <w:p w14:paraId="29B14A08" w14:textId="77777777" w:rsidR="00210218" w:rsidRPr="00DD1B58" w:rsidRDefault="007635B0" w:rsidP="003A3686">
      <w:pPr>
        <w:pStyle w:val="Heading4"/>
        <w:rPr>
          <w:lang w:val="en-US"/>
        </w:rPr>
      </w:pPr>
      <w:r w:rsidRPr="00DD1B58">
        <w:rPr>
          <w:lang w:val="en-US"/>
        </w:rPr>
        <w:t xml:space="preserve"> Fire pheno</w:t>
      </w:r>
      <w:r w:rsidR="00EC6B6F" w:rsidRPr="00DD1B58">
        <w:rPr>
          <w:lang w:val="en-US"/>
        </w:rPr>
        <w:t>mena analyses: overview of models, data and consequences</w:t>
      </w:r>
    </w:p>
    <w:p w14:paraId="1171EF20" w14:textId="50F2EC33" w:rsidR="00301DF8" w:rsidRPr="00DD1B58" w:rsidRDefault="00941C00" w:rsidP="00301DF8">
      <w:pPr>
        <w:pStyle w:val="Default"/>
        <w:rPr>
          <w:lang w:val="en-US"/>
        </w:rPr>
      </w:pPr>
      <w:r w:rsidRPr="00DD1B58">
        <w:rPr>
          <w:lang w:val="en-US"/>
        </w:rPr>
        <w:t>Dounreay report</w:t>
      </w:r>
      <w:r w:rsidR="00A5143B" w:rsidRPr="00DD1B58">
        <w:rPr>
          <w:lang w:val="en-US"/>
        </w:rPr>
        <w:t>s</w:t>
      </w:r>
      <w:r w:rsidRPr="00DD1B58">
        <w:rPr>
          <w:lang w:val="en-US"/>
        </w:rPr>
        <w:t xml:space="preserve"> that the</w:t>
      </w:r>
      <w:r w:rsidR="00301DF8" w:rsidRPr="00DD1B58">
        <w:rPr>
          <w:lang w:val="en-US"/>
        </w:rPr>
        <w:t xml:space="preserve"> DFRA considered each area of PFR, identified the ways in which a radiological release or loss of an SSSC could occur due to fire in that area and then described the potential fire scenarios which may initiate. </w:t>
      </w:r>
      <w:r w:rsidR="00576D66" w:rsidRPr="00DD1B58">
        <w:rPr>
          <w:lang w:val="en-US"/>
        </w:rPr>
        <w:t>E</w:t>
      </w:r>
      <w:r w:rsidRPr="00DD1B58">
        <w:rPr>
          <w:lang w:val="en-US"/>
        </w:rPr>
        <w:t>ach</w:t>
      </w:r>
      <w:r w:rsidR="00301DF8" w:rsidRPr="00DD1B58">
        <w:rPr>
          <w:lang w:val="en-US"/>
        </w:rPr>
        <w:t xml:space="preserve"> fire scenario was considered qualitatively as to whether development to the point of causing the radiological consequences was credible or could be dismissed. </w:t>
      </w:r>
      <w:r w:rsidRPr="00DD1B58">
        <w:rPr>
          <w:lang w:val="en-US"/>
        </w:rPr>
        <w:t>Dounreay’s</w:t>
      </w:r>
      <w:r w:rsidR="00301DF8" w:rsidRPr="00DD1B58">
        <w:rPr>
          <w:lang w:val="en-US"/>
        </w:rPr>
        <w:t xml:space="preserve"> assessment considered passive features and qualitative assessments of the likelihood of a fire and its potential severity. </w:t>
      </w:r>
      <w:r w:rsidRPr="00DD1B58">
        <w:rPr>
          <w:lang w:val="en-US"/>
        </w:rPr>
        <w:t xml:space="preserve">Dounreay </w:t>
      </w:r>
      <w:r w:rsidR="000E234C" w:rsidRPr="00DD1B58">
        <w:rPr>
          <w:lang w:val="en-US"/>
        </w:rPr>
        <w:t>reports</w:t>
      </w:r>
      <w:r w:rsidRPr="00DD1B58">
        <w:rPr>
          <w:lang w:val="en-US"/>
        </w:rPr>
        <w:t xml:space="preserve"> that a</w:t>
      </w:r>
      <w:r w:rsidR="00301DF8" w:rsidRPr="00DD1B58">
        <w:rPr>
          <w:lang w:val="en-US"/>
        </w:rPr>
        <w:t xml:space="preserve">ctive measures were not considered in the qualitative assessment. </w:t>
      </w:r>
    </w:p>
    <w:p w14:paraId="5AEF4669" w14:textId="77777777" w:rsidR="00301DF8" w:rsidRPr="00DD1B58" w:rsidRDefault="00301DF8" w:rsidP="00301DF8">
      <w:pPr>
        <w:pStyle w:val="Default"/>
        <w:rPr>
          <w:lang w:val="en-US"/>
        </w:rPr>
      </w:pPr>
    </w:p>
    <w:p w14:paraId="75EB4679" w14:textId="58F06C7B" w:rsidR="008862F6" w:rsidRPr="00DD1B58" w:rsidRDefault="00A84081" w:rsidP="008862F6">
      <w:pPr>
        <w:autoSpaceDE w:val="0"/>
        <w:autoSpaceDN w:val="0"/>
        <w:adjustRightInd w:val="0"/>
        <w:spacing w:after="0" w:line="240" w:lineRule="auto"/>
        <w:rPr>
          <w:color w:val="000000"/>
          <w:szCs w:val="24"/>
          <w:lang w:val="en-US" w:eastAsia="en-GB" w:bidi="ar-SA"/>
        </w:rPr>
      </w:pPr>
      <w:r w:rsidRPr="00DD1B58">
        <w:rPr>
          <w:lang w:val="en-US"/>
        </w:rPr>
        <w:t>T</w:t>
      </w:r>
      <w:r w:rsidR="00941C00" w:rsidRPr="00DD1B58">
        <w:rPr>
          <w:lang w:val="en-US"/>
        </w:rPr>
        <w:t xml:space="preserve">he </w:t>
      </w:r>
      <w:r w:rsidR="008862F6" w:rsidRPr="00DD1B58">
        <w:rPr>
          <w:lang w:val="en-US"/>
        </w:rPr>
        <w:t xml:space="preserve">DFRA identified </w:t>
      </w:r>
      <w:r w:rsidR="00941C00" w:rsidRPr="00DD1B58">
        <w:rPr>
          <w:lang w:val="en-US"/>
        </w:rPr>
        <w:t xml:space="preserve">the </w:t>
      </w:r>
      <w:r w:rsidR="008862F6" w:rsidRPr="00DD1B58">
        <w:rPr>
          <w:lang w:val="en-US"/>
        </w:rPr>
        <w:t xml:space="preserve">faults which required quantitative assessment, and </w:t>
      </w:r>
      <w:r w:rsidR="00941C00" w:rsidRPr="00DD1B58">
        <w:rPr>
          <w:lang w:val="en-US"/>
        </w:rPr>
        <w:t>it</w:t>
      </w:r>
      <w:r w:rsidR="008862F6" w:rsidRPr="00DD1B58">
        <w:rPr>
          <w:lang w:val="en-US"/>
        </w:rPr>
        <w:t xml:space="preserve"> then group</w:t>
      </w:r>
      <w:r w:rsidRPr="00DD1B58">
        <w:rPr>
          <w:lang w:val="en-US"/>
        </w:rPr>
        <w:t>s</w:t>
      </w:r>
      <w:r w:rsidR="008862F6" w:rsidRPr="00DD1B58">
        <w:rPr>
          <w:lang w:val="en-US"/>
        </w:rPr>
        <w:t xml:space="preserve"> </w:t>
      </w:r>
      <w:r w:rsidR="00941C00" w:rsidRPr="00DD1B58">
        <w:rPr>
          <w:lang w:val="en-US"/>
        </w:rPr>
        <w:t>them</w:t>
      </w:r>
      <w:r w:rsidR="008862F6" w:rsidRPr="00DD1B58">
        <w:rPr>
          <w:lang w:val="en-US"/>
        </w:rPr>
        <w:t xml:space="preserve"> into fire scenarios on the basis of similarities of consequences or initiation, namely fires impinging on structural steelwork, office fires, combustible liquid fires, cable fires, vehicle fires etc.</w:t>
      </w:r>
      <w:r w:rsidR="00235736" w:rsidRPr="00DD1B58">
        <w:rPr>
          <w:color w:val="000000"/>
          <w:szCs w:val="24"/>
          <w:lang w:val="en-US" w:eastAsia="en-GB" w:bidi="ar-SA"/>
        </w:rPr>
        <w:t xml:space="preserve"> Dounreay report</w:t>
      </w:r>
      <w:r w:rsidRPr="00DD1B58">
        <w:rPr>
          <w:color w:val="000000"/>
          <w:szCs w:val="24"/>
          <w:lang w:val="en-US" w:eastAsia="en-GB" w:bidi="ar-SA"/>
        </w:rPr>
        <w:t>s</w:t>
      </w:r>
      <w:r w:rsidR="00235736" w:rsidRPr="00DD1B58">
        <w:rPr>
          <w:color w:val="000000"/>
          <w:szCs w:val="24"/>
          <w:lang w:val="en-US" w:eastAsia="en-GB" w:bidi="ar-SA"/>
        </w:rPr>
        <w:t xml:space="preserve"> that it quantitatively assessed e</w:t>
      </w:r>
      <w:r w:rsidR="008862F6" w:rsidRPr="00DD1B58">
        <w:rPr>
          <w:color w:val="000000"/>
          <w:szCs w:val="24"/>
          <w:lang w:val="en-US" w:eastAsia="en-GB" w:bidi="ar-SA"/>
        </w:rPr>
        <w:t xml:space="preserve">ach of the fire loads to ascertain whether they could lead to structural failure should they be involved in a fire. </w:t>
      </w:r>
      <w:r w:rsidR="00235736" w:rsidRPr="00DD1B58">
        <w:rPr>
          <w:color w:val="000000"/>
          <w:szCs w:val="24"/>
          <w:lang w:val="en-US" w:eastAsia="en-GB" w:bidi="ar-SA"/>
        </w:rPr>
        <w:t xml:space="preserve">It </w:t>
      </w:r>
      <w:r w:rsidR="007376D6" w:rsidRPr="00DD1B58">
        <w:rPr>
          <w:color w:val="000000"/>
          <w:szCs w:val="24"/>
          <w:lang w:val="en-US" w:eastAsia="en-GB" w:bidi="ar-SA"/>
        </w:rPr>
        <w:t>states that</w:t>
      </w:r>
      <w:r w:rsidR="00235736" w:rsidRPr="00DD1B58">
        <w:rPr>
          <w:color w:val="000000"/>
          <w:szCs w:val="24"/>
          <w:lang w:val="en-US" w:eastAsia="en-GB" w:bidi="ar-SA"/>
        </w:rPr>
        <w:t xml:space="preserve"> a</w:t>
      </w:r>
      <w:r w:rsidR="008862F6" w:rsidRPr="00DD1B58">
        <w:rPr>
          <w:color w:val="000000"/>
          <w:szCs w:val="24"/>
          <w:lang w:val="en-US" w:eastAsia="en-GB" w:bidi="ar-SA"/>
        </w:rPr>
        <w:t xml:space="preserve"> variety of analysis tools and data </w:t>
      </w:r>
      <w:sdt>
        <w:sdtPr>
          <w:rPr>
            <w:color w:val="000000"/>
            <w:szCs w:val="24"/>
            <w:lang w:val="en-US" w:eastAsia="en-GB" w:bidi="ar-SA"/>
          </w:rPr>
          <w:id w:val="2055262848"/>
          <w:citation/>
        </w:sdtPr>
        <w:sdtContent>
          <w:r w:rsidR="00111F44" w:rsidRPr="00DD1B58">
            <w:rPr>
              <w:color w:val="000000"/>
              <w:szCs w:val="24"/>
              <w:lang w:val="en-US" w:eastAsia="en-GB" w:bidi="ar-SA"/>
            </w:rPr>
            <w:fldChar w:fldCharType="begin"/>
          </w:r>
          <w:r w:rsidR="00111F44" w:rsidRPr="00DD1B58">
            <w:rPr>
              <w:color w:val="000000"/>
              <w:szCs w:val="24"/>
              <w:lang w:val="en-US" w:eastAsia="en-GB" w:bidi="ar-SA"/>
            </w:rPr>
            <w:instrText xml:space="preserve"> CITATION Soc16 \l 2057 </w:instrText>
          </w:r>
          <w:r w:rsidR="00111F44" w:rsidRPr="00DD1B58">
            <w:rPr>
              <w:color w:val="000000"/>
              <w:szCs w:val="24"/>
              <w:lang w:val="en-US" w:eastAsia="en-GB" w:bidi="ar-SA"/>
            </w:rPr>
            <w:fldChar w:fldCharType="separate"/>
          </w:r>
          <w:r w:rsidR="00DF47DA" w:rsidRPr="00DF47DA">
            <w:rPr>
              <w:noProof/>
              <w:color w:val="000000"/>
              <w:szCs w:val="24"/>
              <w:lang w:val="en-US" w:eastAsia="en-GB" w:bidi="ar-SA"/>
            </w:rPr>
            <w:t>[123]</w:t>
          </w:r>
          <w:r w:rsidR="00111F44" w:rsidRPr="00DD1B58">
            <w:rPr>
              <w:color w:val="000000"/>
              <w:szCs w:val="24"/>
              <w:lang w:val="en-US" w:eastAsia="en-GB" w:bidi="ar-SA"/>
            </w:rPr>
            <w:fldChar w:fldCharType="end"/>
          </w:r>
        </w:sdtContent>
      </w:sdt>
      <w:sdt>
        <w:sdtPr>
          <w:rPr>
            <w:color w:val="000000"/>
            <w:szCs w:val="24"/>
            <w:lang w:val="en-US" w:eastAsia="en-GB" w:bidi="ar-SA"/>
          </w:rPr>
          <w:id w:val="-2080203699"/>
          <w:citation/>
        </w:sdtPr>
        <w:sdtContent>
          <w:r w:rsidR="007B4CF2" w:rsidRPr="00DD1B58">
            <w:rPr>
              <w:color w:val="000000"/>
              <w:szCs w:val="24"/>
              <w:lang w:val="en-US" w:eastAsia="en-GB" w:bidi="ar-SA"/>
            </w:rPr>
            <w:fldChar w:fldCharType="begin"/>
          </w:r>
          <w:r w:rsidR="00D13B44" w:rsidRPr="00DD1B58">
            <w:rPr>
              <w:color w:val="000000"/>
              <w:szCs w:val="24"/>
              <w:lang w:val="en-US" w:eastAsia="en-GB" w:bidi="ar-SA"/>
            </w:rPr>
            <w:instrText xml:space="preserve">CITATION Uni04 \l 2057 </w:instrText>
          </w:r>
          <w:r w:rsidR="007B4CF2" w:rsidRPr="00DD1B58">
            <w:rPr>
              <w:color w:val="000000"/>
              <w:szCs w:val="24"/>
              <w:lang w:val="en-US" w:eastAsia="en-GB" w:bidi="ar-SA"/>
            </w:rPr>
            <w:fldChar w:fldCharType="separate"/>
          </w:r>
          <w:r w:rsidR="00DF47DA">
            <w:rPr>
              <w:noProof/>
              <w:color w:val="000000"/>
              <w:szCs w:val="24"/>
              <w:lang w:val="en-US" w:eastAsia="en-GB" w:bidi="ar-SA"/>
            </w:rPr>
            <w:t xml:space="preserve"> </w:t>
          </w:r>
          <w:r w:rsidR="00DF47DA" w:rsidRPr="00DF47DA">
            <w:rPr>
              <w:noProof/>
              <w:color w:val="000000"/>
              <w:szCs w:val="24"/>
              <w:lang w:val="en-US" w:eastAsia="en-GB" w:bidi="ar-SA"/>
            </w:rPr>
            <w:t>[78]</w:t>
          </w:r>
          <w:r w:rsidR="007B4CF2" w:rsidRPr="00DD1B58">
            <w:rPr>
              <w:color w:val="000000"/>
              <w:szCs w:val="24"/>
              <w:lang w:val="en-US" w:eastAsia="en-GB" w:bidi="ar-SA"/>
            </w:rPr>
            <w:fldChar w:fldCharType="end"/>
          </w:r>
        </w:sdtContent>
      </w:sdt>
      <w:sdt>
        <w:sdtPr>
          <w:rPr>
            <w:color w:val="000000"/>
            <w:szCs w:val="24"/>
            <w:lang w:val="en-US" w:eastAsia="en-GB" w:bidi="ar-SA"/>
          </w:rPr>
          <w:id w:val="1813140164"/>
          <w:citation/>
        </w:sdtPr>
        <w:sdtContent>
          <w:r w:rsidR="005777A3" w:rsidRPr="00DD1B58">
            <w:rPr>
              <w:color w:val="000000"/>
              <w:szCs w:val="24"/>
              <w:lang w:val="en-US" w:eastAsia="en-GB" w:bidi="ar-SA"/>
            </w:rPr>
            <w:fldChar w:fldCharType="begin"/>
          </w:r>
          <w:r w:rsidR="005777A3" w:rsidRPr="00DD1B58">
            <w:rPr>
              <w:color w:val="000000"/>
              <w:szCs w:val="24"/>
              <w:lang w:val="en-US" w:eastAsia="en-GB" w:bidi="ar-SA"/>
            </w:rPr>
            <w:instrText xml:space="preserve"> CITATION Int00 \l 2057 </w:instrText>
          </w:r>
          <w:r w:rsidR="005777A3" w:rsidRPr="00DD1B58">
            <w:rPr>
              <w:color w:val="000000"/>
              <w:szCs w:val="24"/>
              <w:lang w:val="en-US" w:eastAsia="en-GB" w:bidi="ar-SA"/>
            </w:rPr>
            <w:fldChar w:fldCharType="separate"/>
          </w:r>
          <w:r w:rsidR="00DF47DA">
            <w:rPr>
              <w:noProof/>
              <w:color w:val="000000"/>
              <w:szCs w:val="24"/>
              <w:lang w:val="en-US" w:eastAsia="en-GB" w:bidi="ar-SA"/>
            </w:rPr>
            <w:t xml:space="preserve"> </w:t>
          </w:r>
          <w:r w:rsidR="00DF47DA" w:rsidRPr="00DF47DA">
            <w:rPr>
              <w:noProof/>
              <w:color w:val="000000"/>
              <w:szCs w:val="24"/>
              <w:lang w:val="en-US" w:eastAsia="en-GB" w:bidi="ar-SA"/>
            </w:rPr>
            <w:t>[124]</w:t>
          </w:r>
          <w:r w:rsidR="005777A3" w:rsidRPr="00DD1B58">
            <w:rPr>
              <w:color w:val="000000"/>
              <w:szCs w:val="24"/>
              <w:lang w:val="en-US" w:eastAsia="en-GB" w:bidi="ar-SA"/>
            </w:rPr>
            <w:fldChar w:fldCharType="end"/>
          </w:r>
        </w:sdtContent>
      </w:sdt>
      <w:sdt>
        <w:sdtPr>
          <w:rPr>
            <w:color w:val="000000"/>
            <w:szCs w:val="24"/>
            <w:lang w:val="en-US" w:eastAsia="en-GB" w:bidi="ar-SA"/>
          </w:rPr>
          <w:id w:val="-1526705571"/>
          <w:citation/>
        </w:sdtPr>
        <w:sdtContent>
          <w:r w:rsidR="00B7775A" w:rsidRPr="00DD1B58">
            <w:rPr>
              <w:color w:val="000000"/>
              <w:szCs w:val="24"/>
              <w:lang w:val="en-US" w:eastAsia="en-GB" w:bidi="ar-SA"/>
            </w:rPr>
            <w:fldChar w:fldCharType="begin"/>
          </w:r>
          <w:r w:rsidR="00D13B44" w:rsidRPr="00DD1B58">
            <w:rPr>
              <w:color w:val="000000"/>
              <w:szCs w:val="24"/>
              <w:lang w:val="en-US" w:eastAsia="en-GB" w:bidi="ar-SA"/>
            </w:rPr>
            <w:instrText xml:space="preserve">CITATION Uni \l 2057 </w:instrText>
          </w:r>
          <w:r w:rsidR="00B7775A" w:rsidRPr="00DD1B58">
            <w:rPr>
              <w:color w:val="000000"/>
              <w:szCs w:val="24"/>
              <w:lang w:val="en-US" w:eastAsia="en-GB" w:bidi="ar-SA"/>
            </w:rPr>
            <w:fldChar w:fldCharType="separate"/>
          </w:r>
          <w:r w:rsidR="00DF47DA">
            <w:rPr>
              <w:noProof/>
              <w:color w:val="000000"/>
              <w:szCs w:val="24"/>
              <w:lang w:val="en-US" w:eastAsia="en-GB" w:bidi="ar-SA"/>
            </w:rPr>
            <w:t xml:space="preserve"> </w:t>
          </w:r>
          <w:r w:rsidR="00DF47DA" w:rsidRPr="00DF47DA">
            <w:rPr>
              <w:noProof/>
              <w:color w:val="000000"/>
              <w:szCs w:val="24"/>
              <w:lang w:val="en-US" w:eastAsia="en-GB" w:bidi="ar-SA"/>
            </w:rPr>
            <w:t>[125]</w:t>
          </w:r>
          <w:r w:rsidR="00B7775A" w:rsidRPr="00DD1B58">
            <w:rPr>
              <w:color w:val="000000"/>
              <w:szCs w:val="24"/>
              <w:lang w:val="en-US" w:eastAsia="en-GB" w:bidi="ar-SA"/>
            </w:rPr>
            <w:fldChar w:fldCharType="end"/>
          </w:r>
        </w:sdtContent>
      </w:sdt>
      <w:r w:rsidR="00E26F4B" w:rsidRPr="00DD1B58">
        <w:rPr>
          <w:color w:val="000000"/>
          <w:szCs w:val="24"/>
          <w:lang w:val="en-US" w:eastAsia="en-GB" w:bidi="ar-SA"/>
        </w:rPr>
        <w:fldChar w:fldCharType="begin"/>
      </w:r>
      <w:r w:rsidR="00E26F4B" w:rsidRPr="00DD1B58">
        <w:rPr>
          <w:color w:val="000000"/>
          <w:szCs w:val="24"/>
          <w:lang w:val="en-US" w:eastAsia="en-GB" w:bidi="ar-SA"/>
        </w:rPr>
        <w:instrText xml:space="preserve"> CITATION Bri10 \l 2057 </w:instrText>
      </w:r>
      <w:r w:rsidR="00E26F4B" w:rsidRPr="00DD1B58">
        <w:rPr>
          <w:color w:val="000000"/>
          <w:szCs w:val="24"/>
          <w:lang w:val="en-US" w:eastAsia="en-GB" w:bidi="ar-SA"/>
        </w:rPr>
        <w:fldChar w:fldCharType="separate"/>
      </w:r>
      <w:r w:rsidR="00DF47DA">
        <w:rPr>
          <w:noProof/>
          <w:color w:val="000000"/>
          <w:szCs w:val="24"/>
          <w:lang w:val="en-US" w:eastAsia="en-GB" w:bidi="ar-SA"/>
        </w:rPr>
        <w:t xml:space="preserve"> </w:t>
      </w:r>
      <w:r w:rsidR="00DF47DA" w:rsidRPr="00DF47DA">
        <w:rPr>
          <w:noProof/>
          <w:color w:val="000000"/>
          <w:szCs w:val="24"/>
          <w:lang w:val="en-US" w:eastAsia="en-GB" w:bidi="ar-SA"/>
        </w:rPr>
        <w:t>[126]</w:t>
      </w:r>
      <w:r w:rsidR="00E26F4B" w:rsidRPr="00DD1B58">
        <w:rPr>
          <w:color w:val="000000"/>
          <w:szCs w:val="24"/>
          <w:lang w:val="en-US" w:eastAsia="en-GB" w:bidi="ar-SA"/>
        </w:rPr>
        <w:fldChar w:fldCharType="end"/>
      </w:r>
      <w:sdt>
        <w:sdtPr>
          <w:rPr>
            <w:color w:val="000000"/>
            <w:szCs w:val="24"/>
            <w:lang w:val="en-US" w:eastAsia="en-GB" w:bidi="ar-SA"/>
          </w:rPr>
          <w:id w:val="-1688904495"/>
          <w:citation/>
        </w:sdtPr>
        <w:sdtContent>
          <w:r w:rsidR="00E26F4B" w:rsidRPr="00DD1B58">
            <w:rPr>
              <w:color w:val="000000"/>
              <w:szCs w:val="24"/>
              <w:lang w:val="en-US" w:eastAsia="en-GB" w:bidi="ar-SA"/>
            </w:rPr>
            <w:fldChar w:fldCharType="begin"/>
          </w:r>
          <w:r w:rsidR="007B156B" w:rsidRPr="00DD1B58">
            <w:rPr>
              <w:color w:val="000000"/>
              <w:szCs w:val="24"/>
              <w:lang w:val="en-US" w:eastAsia="en-GB" w:bidi="ar-SA"/>
            </w:rPr>
            <w:instrText xml:space="preserve">CITATION Bri19 \l 2057 </w:instrText>
          </w:r>
          <w:r w:rsidR="00E26F4B" w:rsidRPr="00DD1B58">
            <w:rPr>
              <w:color w:val="000000"/>
              <w:szCs w:val="24"/>
              <w:lang w:val="en-US" w:eastAsia="en-GB" w:bidi="ar-SA"/>
            </w:rPr>
            <w:fldChar w:fldCharType="separate"/>
          </w:r>
          <w:r w:rsidR="00DF47DA">
            <w:rPr>
              <w:noProof/>
              <w:color w:val="000000"/>
              <w:szCs w:val="24"/>
              <w:lang w:val="en-US" w:eastAsia="en-GB" w:bidi="ar-SA"/>
            </w:rPr>
            <w:t xml:space="preserve"> </w:t>
          </w:r>
          <w:r w:rsidR="00DF47DA" w:rsidRPr="00DF47DA">
            <w:rPr>
              <w:noProof/>
              <w:color w:val="000000"/>
              <w:szCs w:val="24"/>
              <w:lang w:val="en-US" w:eastAsia="en-GB" w:bidi="ar-SA"/>
            </w:rPr>
            <w:t>[111]</w:t>
          </w:r>
          <w:r w:rsidR="00E26F4B" w:rsidRPr="00DD1B58">
            <w:rPr>
              <w:color w:val="000000"/>
              <w:szCs w:val="24"/>
              <w:lang w:val="en-US" w:eastAsia="en-GB" w:bidi="ar-SA"/>
            </w:rPr>
            <w:fldChar w:fldCharType="end"/>
          </w:r>
        </w:sdtContent>
      </w:sdt>
      <w:r w:rsidR="00235736" w:rsidRPr="00DD1B58">
        <w:rPr>
          <w:color w:val="000000"/>
          <w:szCs w:val="24"/>
          <w:lang w:val="en-US" w:eastAsia="en-GB" w:bidi="ar-SA"/>
        </w:rPr>
        <w:t xml:space="preserve"> were used</w:t>
      </w:r>
      <w:r w:rsidR="00E26F4B" w:rsidRPr="00DD1B58">
        <w:rPr>
          <w:color w:val="000000"/>
          <w:szCs w:val="24"/>
          <w:lang w:val="en-US" w:eastAsia="en-GB" w:bidi="ar-SA"/>
        </w:rPr>
        <w:t>.</w:t>
      </w:r>
    </w:p>
    <w:p w14:paraId="5DFB8E5C" w14:textId="77777777" w:rsidR="0081535B" w:rsidRPr="00DD1B58" w:rsidRDefault="0081535B" w:rsidP="0081535B">
      <w:pPr>
        <w:autoSpaceDE w:val="0"/>
        <w:autoSpaceDN w:val="0"/>
        <w:adjustRightInd w:val="0"/>
        <w:spacing w:after="0" w:line="240" w:lineRule="auto"/>
        <w:rPr>
          <w:color w:val="000000"/>
          <w:szCs w:val="24"/>
          <w:lang w:val="en-US" w:eastAsia="en-GB" w:bidi="ar-SA"/>
        </w:rPr>
      </w:pPr>
    </w:p>
    <w:p w14:paraId="169149BF" w14:textId="1A8B7F2D" w:rsidR="0081535B" w:rsidRPr="00DD1B58" w:rsidRDefault="00235736" w:rsidP="0081535B">
      <w:pPr>
        <w:autoSpaceDE w:val="0"/>
        <w:autoSpaceDN w:val="0"/>
        <w:adjustRightInd w:val="0"/>
        <w:spacing w:after="0" w:line="240" w:lineRule="auto"/>
        <w:rPr>
          <w:color w:val="000000"/>
          <w:szCs w:val="24"/>
          <w:lang w:val="en-US" w:eastAsia="en-GB" w:bidi="ar-SA"/>
        </w:rPr>
      </w:pPr>
      <w:r w:rsidRPr="00DD1B58">
        <w:rPr>
          <w:color w:val="000000"/>
          <w:szCs w:val="24"/>
          <w:lang w:val="en-US" w:eastAsia="en-GB" w:bidi="ar-SA"/>
        </w:rPr>
        <w:t>Dounreay incorporated no claims for Decontamination Factors (DF) i</w:t>
      </w:r>
      <w:r w:rsidR="0081535B" w:rsidRPr="00DD1B58">
        <w:rPr>
          <w:color w:val="000000"/>
          <w:szCs w:val="24"/>
          <w:lang w:val="en-US" w:eastAsia="en-GB" w:bidi="ar-SA"/>
        </w:rPr>
        <w:t xml:space="preserve">n the Liquid Metals Fire HAZAN e.g. the DF provided by either the site or structure of the vessel in which the incident takes place or by the operators using Respiratory Protective Equipment (RPE). </w:t>
      </w:r>
      <w:r w:rsidR="00A62141" w:rsidRPr="00DD1B58">
        <w:rPr>
          <w:color w:val="000000"/>
          <w:szCs w:val="24"/>
          <w:lang w:val="en-US" w:eastAsia="en-GB" w:bidi="ar-SA"/>
        </w:rPr>
        <w:t>Dounreay report</w:t>
      </w:r>
      <w:r w:rsidR="006D0ACF" w:rsidRPr="00DD1B58">
        <w:rPr>
          <w:color w:val="000000"/>
          <w:szCs w:val="24"/>
          <w:lang w:val="en-US" w:eastAsia="en-GB" w:bidi="ar-SA"/>
        </w:rPr>
        <w:t>ed</w:t>
      </w:r>
      <w:r w:rsidR="00A62141" w:rsidRPr="00DD1B58">
        <w:rPr>
          <w:color w:val="000000"/>
          <w:szCs w:val="24"/>
          <w:lang w:val="en-US" w:eastAsia="en-GB" w:bidi="ar-SA"/>
        </w:rPr>
        <w:t xml:space="preserve"> that its approach was</w:t>
      </w:r>
      <w:r w:rsidR="0081535B" w:rsidRPr="00DD1B58">
        <w:rPr>
          <w:color w:val="000000"/>
          <w:szCs w:val="24"/>
          <w:lang w:val="en-US" w:eastAsia="en-GB" w:bidi="ar-SA"/>
        </w:rPr>
        <w:t xml:space="preserve"> to create bounding assessments that assumed all the alkali metals are involved; even with adopting this pessimistic approach the analyses determined that such an event would give rise to very low radiological consequences and chemotoxic implications that are below Dangerous Dose thresholds. </w:t>
      </w:r>
      <w:r w:rsidR="00A62141" w:rsidRPr="00DD1B58">
        <w:rPr>
          <w:color w:val="000000"/>
          <w:szCs w:val="24"/>
          <w:lang w:val="en-US" w:eastAsia="en-GB" w:bidi="ar-SA"/>
        </w:rPr>
        <w:t>Dounreay concluded that the</w:t>
      </w:r>
      <w:r w:rsidR="0081535B" w:rsidRPr="00DD1B58">
        <w:rPr>
          <w:color w:val="000000"/>
          <w:szCs w:val="24"/>
          <w:lang w:val="en-US" w:eastAsia="en-GB" w:bidi="ar-SA"/>
        </w:rPr>
        <w:t xml:space="preserve"> DFs for the structures were incorporated and applied in the External Events HAZAN.</w:t>
      </w:r>
    </w:p>
    <w:p w14:paraId="5EC6F48F" w14:textId="77777777" w:rsidR="00831A43" w:rsidRPr="00DD1B58" w:rsidRDefault="00831A43" w:rsidP="0081535B">
      <w:pPr>
        <w:autoSpaceDE w:val="0"/>
        <w:autoSpaceDN w:val="0"/>
        <w:adjustRightInd w:val="0"/>
        <w:spacing w:after="0" w:line="240" w:lineRule="auto"/>
        <w:rPr>
          <w:color w:val="000000"/>
          <w:sz w:val="23"/>
          <w:szCs w:val="23"/>
          <w:lang w:val="en-US" w:eastAsia="en-GB" w:bidi="ar-SA"/>
        </w:rPr>
      </w:pPr>
    </w:p>
    <w:p w14:paraId="11A0F96E" w14:textId="77777777" w:rsidR="00831A43" w:rsidRPr="00DD1B58" w:rsidRDefault="00831A43" w:rsidP="003A3686">
      <w:pPr>
        <w:pStyle w:val="Heading4"/>
        <w:rPr>
          <w:lang w:val="en-US" w:eastAsia="en-GB" w:bidi="ar-SA"/>
        </w:rPr>
      </w:pPr>
      <w:r w:rsidRPr="00DD1B58">
        <w:rPr>
          <w:lang w:val="en-US" w:eastAsia="en-GB" w:bidi="ar-SA"/>
        </w:rPr>
        <w:t xml:space="preserve"> Main results</w:t>
      </w:r>
      <w:r w:rsidR="00B37B8E" w:rsidRPr="00DD1B58">
        <w:rPr>
          <w:lang w:val="en-US" w:eastAsia="en-GB" w:bidi="ar-SA"/>
        </w:rPr>
        <w:t>/dominant events (licensee’s experience)</w:t>
      </w:r>
    </w:p>
    <w:p w14:paraId="678D9E84" w14:textId="441D08DB" w:rsidR="00BA221A" w:rsidRPr="00DD1B58" w:rsidRDefault="00BA221A" w:rsidP="00BA221A">
      <w:pPr>
        <w:pStyle w:val="Default"/>
        <w:rPr>
          <w:rFonts w:ascii="Times New Roman" w:hAnsi="Times New Roman" w:cs="Times New Roman"/>
          <w:lang w:val="en-US"/>
        </w:rPr>
      </w:pPr>
      <w:r w:rsidRPr="00DD1B58">
        <w:rPr>
          <w:rFonts w:asciiTheme="minorHAnsi" w:hAnsiTheme="minorHAnsi" w:cstheme="minorHAnsi"/>
          <w:lang w:val="en-US"/>
        </w:rPr>
        <w:t xml:space="preserve">N/A </w:t>
      </w:r>
      <w:r w:rsidR="00A62141" w:rsidRPr="00DD1B58">
        <w:rPr>
          <w:rFonts w:asciiTheme="minorHAnsi" w:hAnsiTheme="minorHAnsi" w:cstheme="minorHAnsi"/>
          <w:lang w:val="en-US"/>
        </w:rPr>
        <w:t>– Dounreay reported it had</w:t>
      </w:r>
      <w:r w:rsidRPr="00DD1B58">
        <w:rPr>
          <w:rFonts w:asciiTheme="minorHAnsi" w:hAnsiTheme="minorHAnsi" w:cstheme="minorHAnsi"/>
          <w:lang w:val="en-US"/>
        </w:rPr>
        <w:t xml:space="preserve"> no requirement for probabilistic fire hazard analysis to be undertaken</w:t>
      </w:r>
      <w:r w:rsidRPr="00DD1B58">
        <w:rPr>
          <w:rFonts w:ascii="Times New Roman" w:hAnsi="Times New Roman" w:cs="Times New Roman"/>
          <w:lang w:val="en-US"/>
        </w:rPr>
        <w:t>.</w:t>
      </w:r>
    </w:p>
    <w:p w14:paraId="3F071894" w14:textId="77777777" w:rsidR="00BA221A" w:rsidRPr="00DD1B58" w:rsidRDefault="00BA221A" w:rsidP="00BA221A">
      <w:pPr>
        <w:pStyle w:val="Default"/>
        <w:rPr>
          <w:rFonts w:ascii="Times New Roman" w:hAnsi="Times New Roman" w:cs="Times New Roman"/>
          <w:lang w:val="en-US"/>
        </w:rPr>
      </w:pPr>
    </w:p>
    <w:p w14:paraId="0E46AB74" w14:textId="77777777" w:rsidR="00BA221A" w:rsidRPr="00DD1B58" w:rsidRDefault="00BA221A" w:rsidP="003A3686">
      <w:pPr>
        <w:pStyle w:val="Heading4"/>
        <w:rPr>
          <w:lang w:val="en-US"/>
        </w:rPr>
      </w:pPr>
      <w:r w:rsidRPr="00DD1B58">
        <w:rPr>
          <w:lang w:val="en-US"/>
        </w:rPr>
        <w:t>Periodic review and management of changes</w:t>
      </w:r>
    </w:p>
    <w:p w14:paraId="1CD0CB16" w14:textId="0A1CE32B" w:rsidR="00ED4D6A" w:rsidRPr="00DD1B58" w:rsidRDefault="00A62141" w:rsidP="00ED4D6A">
      <w:pPr>
        <w:pStyle w:val="Default"/>
        <w:rPr>
          <w:lang w:val="en-US"/>
        </w:rPr>
      </w:pPr>
      <w:r w:rsidRPr="00DD1B58">
        <w:rPr>
          <w:lang w:val="en-US"/>
        </w:rPr>
        <w:t>Dounreay considers f</w:t>
      </w:r>
      <w:r w:rsidR="0038467A" w:rsidRPr="00DD1B58">
        <w:rPr>
          <w:lang w:val="en-US"/>
        </w:rPr>
        <w:t>ire analyses as part of the periodic review of the safety case as per the site due process. Plant modifications consider if there are implications to the fire analyses.</w:t>
      </w:r>
      <w:r w:rsidRPr="00DD1B58">
        <w:rPr>
          <w:lang w:val="en-US"/>
        </w:rPr>
        <w:t xml:space="preserve"> </w:t>
      </w:r>
      <w:r w:rsidR="00ED4D6A" w:rsidRPr="00DD1B58">
        <w:rPr>
          <w:lang w:val="en-US"/>
        </w:rPr>
        <w:t>The Periodic Review considers changes to the facility, processes, activities and any life limiting factors and the resultant impact onto the Safe Operating Envelope. The periodic review considers changes to due process requirements.</w:t>
      </w:r>
    </w:p>
    <w:p w14:paraId="110BCAFC" w14:textId="77777777" w:rsidR="00ED4D6A" w:rsidRPr="00DD1B58" w:rsidRDefault="00ED4D6A" w:rsidP="00ED4D6A">
      <w:pPr>
        <w:pStyle w:val="Default"/>
        <w:rPr>
          <w:lang w:val="en-US"/>
        </w:rPr>
      </w:pPr>
    </w:p>
    <w:p w14:paraId="0C76DDAC" w14:textId="77777777" w:rsidR="00ED4D6A" w:rsidRPr="00DD1B58" w:rsidRDefault="00ED4D6A" w:rsidP="00ED4D6A">
      <w:pPr>
        <w:pStyle w:val="Default"/>
        <w:rPr>
          <w:lang w:val="en-US"/>
        </w:rPr>
      </w:pPr>
      <w:r w:rsidRPr="00DD1B58">
        <w:rPr>
          <w:lang w:val="en-US"/>
        </w:rPr>
        <w:t xml:space="preserve">The key changes identified </w:t>
      </w:r>
      <w:r w:rsidR="00A62141" w:rsidRPr="00DD1B58">
        <w:rPr>
          <w:lang w:val="en-US"/>
        </w:rPr>
        <w:t xml:space="preserve">by Dounreay </w:t>
      </w:r>
      <w:r w:rsidRPr="00DD1B58">
        <w:rPr>
          <w:lang w:val="en-US"/>
        </w:rPr>
        <w:t>during the periodic review of PFR were:</w:t>
      </w:r>
    </w:p>
    <w:p w14:paraId="4722C4D5" w14:textId="77777777" w:rsidR="00ED4D6A" w:rsidRPr="00DD1B58" w:rsidRDefault="00ED4D6A" w:rsidP="00ED4D6A">
      <w:pPr>
        <w:pStyle w:val="Default"/>
        <w:rPr>
          <w:lang w:val="en-US"/>
        </w:rPr>
      </w:pPr>
    </w:p>
    <w:p w14:paraId="1BE605CF" w14:textId="6935A359" w:rsidR="00656B8C" w:rsidRPr="00DD1B58" w:rsidRDefault="002D77AF" w:rsidP="00963A58">
      <w:pPr>
        <w:pStyle w:val="Bulletlist1"/>
        <w:rPr>
          <w:lang w:val="en-US"/>
        </w:rPr>
      </w:pPr>
      <w:r w:rsidRPr="00DD1B58">
        <w:rPr>
          <w:lang w:val="en-US"/>
        </w:rPr>
        <w:t xml:space="preserve">The </w:t>
      </w:r>
      <w:r w:rsidR="00656B8C" w:rsidRPr="00DD1B58">
        <w:rPr>
          <w:lang w:val="en-US"/>
        </w:rPr>
        <w:t xml:space="preserve">removal of the bulk sodium </w:t>
      </w:r>
      <w:r w:rsidR="00D008E6" w:rsidRPr="00DD1B58">
        <w:rPr>
          <w:lang w:val="en-US"/>
        </w:rPr>
        <w:t>was complete</w:t>
      </w:r>
      <w:r w:rsidR="00656B8C" w:rsidRPr="00DD1B58">
        <w:rPr>
          <w:lang w:val="en-US"/>
        </w:rPr>
        <w:t xml:space="preserve"> and, more recently, the heel pool of sodium </w:t>
      </w:r>
      <w:r w:rsidR="00D008E6" w:rsidRPr="00DD1B58">
        <w:rPr>
          <w:lang w:val="en-US"/>
        </w:rPr>
        <w:t xml:space="preserve">had </w:t>
      </w:r>
      <w:r w:rsidR="00656B8C" w:rsidRPr="00DD1B58">
        <w:rPr>
          <w:lang w:val="en-US"/>
        </w:rPr>
        <w:t>been removed from the base of the Reactor Vessel (RV).</w:t>
      </w:r>
    </w:p>
    <w:p w14:paraId="62799549" w14:textId="49C87914" w:rsidR="005F6EFD" w:rsidRPr="00DD1B58" w:rsidRDefault="00656B8C" w:rsidP="00963A58">
      <w:pPr>
        <w:pStyle w:val="Bulletlist1"/>
        <w:rPr>
          <w:lang w:val="en-US"/>
        </w:rPr>
      </w:pPr>
      <w:r w:rsidRPr="00DD1B58">
        <w:rPr>
          <w:lang w:val="en-US"/>
        </w:rPr>
        <w:t xml:space="preserve">All of the Irradiated Oxide Fuel (IOF) </w:t>
      </w:r>
      <w:r w:rsidR="00D008E6" w:rsidRPr="00DD1B58">
        <w:rPr>
          <w:lang w:val="en-US"/>
        </w:rPr>
        <w:t>had been</w:t>
      </w:r>
      <w:r w:rsidRPr="00DD1B58">
        <w:rPr>
          <w:lang w:val="en-US"/>
        </w:rPr>
        <w:t xml:space="preserve"> removed from the pond within the IFBS, but the pond remains full of water. The IOF was transferred to the IFC where it will be stored until the Intermediate Level Waste Size Reduction Facility is operational. </w:t>
      </w:r>
    </w:p>
    <w:p w14:paraId="6D610F79" w14:textId="43957CB8" w:rsidR="005F6EFD" w:rsidRPr="00DD1B58" w:rsidRDefault="009169EB" w:rsidP="005F6EFD">
      <w:pPr>
        <w:pStyle w:val="Default"/>
        <w:rPr>
          <w:lang w:val="en-US"/>
        </w:rPr>
      </w:pPr>
      <w:r w:rsidRPr="00DD1B58">
        <w:rPr>
          <w:lang w:val="en-US"/>
        </w:rPr>
        <w:t>T</w:t>
      </w:r>
      <w:r w:rsidR="00D008E6" w:rsidRPr="00DD1B58">
        <w:rPr>
          <w:lang w:val="en-US"/>
        </w:rPr>
        <w:t>he</w:t>
      </w:r>
      <w:r w:rsidR="005F6EFD" w:rsidRPr="00DD1B58">
        <w:rPr>
          <w:lang w:val="en-US"/>
        </w:rPr>
        <w:t xml:space="preserve"> DFRA was prepared as a new document with the previous assessment used as a reference only. </w:t>
      </w:r>
      <w:r w:rsidR="00A5143B" w:rsidRPr="00DD1B58">
        <w:rPr>
          <w:lang w:val="en-US"/>
        </w:rPr>
        <w:t xml:space="preserve">Dounreay </w:t>
      </w:r>
      <w:r w:rsidR="00D008E6" w:rsidRPr="00DD1B58">
        <w:rPr>
          <w:lang w:val="en-US"/>
        </w:rPr>
        <w:t>report</w:t>
      </w:r>
      <w:r w:rsidR="00A5143B" w:rsidRPr="00DD1B58">
        <w:rPr>
          <w:lang w:val="en-US"/>
        </w:rPr>
        <w:t>s</w:t>
      </w:r>
      <w:r w:rsidR="00D008E6" w:rsidRPr="00DD1B58">
        <w:rPr>
          <w:lang w:val="en-US"/>
        </w:rPr>
        <w:t xml:space="preserve"> that a</w:t>
      </w:r>
      <w:r w:rsidR="005F6EFD" w:rsidRPr="00DD1B58">
        <w:rPr>
          <w:lang w:val="en-US"/>
        </w:rPr>
        <w:t>ll new walkdowns were undertaken and engineering judgement was based on the status of the plant at the time the assessment was prepared.</w:t>
      </w:r>
    </w:p>
    <w:p w14:paraId="3F9B7BC2" w14:textId="77777777" w:rsidR="00781291" w:rsidRPr="00DD1B58" w:rsidRDefault="00781291" w:rsidP="005F6EFD">
      <w:pPr>
        <w:pStyle w:val="Default"/>
        <w:rPr>
          <w:sz w:val="23"/>
          <w:szCs w:val="23"/>
          <w:lang w:val="en-US"/>
        </w:rPr>
      </w:pPr>
    </w:p>
    <w:p w14:paraId="4AE7A368" w14:textId="77777777" w:rsidR="005F6EFD" w:rsidRPr="00DD1B58" w:rsidRDefault="00781291" w:rsidP="003A3686">
      <w:pPr>
        <w:pStyle w:val="Heading4"/>
        <w:numPr>
          <w:ilvl w:val="4"/>
          <w:numId w:val="3"/>
        </w:numPr>
        <w:rPr>
          <w:lang w:val="en-US"/>
        </w:rPr>
      </w:pPr>
      <w:r w:rsidRPr="00DD1B58">
        <w:rPr>
          <w:lang w:val="en-US"/>
        </w:rPr>
        <w:t>Overview of actions</w:t>
      </w:r>
    </w:p>
    <w:p w14:paraId="3374B622" w14:textId="05347FED" w:rsidR="00781291" w:rsidRPr="00DD1B58" w:rsidRDefault="00D008E6" w:rsidP="00F93AAB">
      <w:pPr>
        <w:pStyle w:val="Default"/>
        <w:rPr>
          <w:lang w:val="en-US"/>
        </w:rPr>
      </w:pPr>
      <w:r w:rsidRPr="00DD1B58">
        <w:rPr>
          <w:lang w:val="en-US"/>
        </w:rPr>
        <w:t>Dounreay’s</w:t>
      </w:r>
      <w:r w:rsidR="00F93AAB" w:rsidRPr="00DD1B58">
        <w:rPr>
          <w:lang w:val="en-US"/>
        </w:rPr>
        <w:t xml:space="preserve"> DFRA identified a small number of recommendations pertaining to location and storage of combustibles. </w:t>
      </w:r>
    </w:p>
    <w:p w14:paraId="1F7BF8AA" w14:textId="77777777" w:rsidR="00F93AAB" w:rsidRPr="00DD1B58" w:rsidRDefault="00F93AAB" w:rsidP="00F93AAB">
      <w:pPr>
        <w:pStyle w:val="Default"/>
        <w:rPr>
          <w:lang w:val="en-US"/>
        </w:rPr>
      </w:pPr>
    </w:p>
    <w:p w14:paraId="71FF6214" w14:textId="77777777" w:rsidR="00781291" w:rsidRPr="00DD1B58" w:rsidRDefault="007A154E" w:rsidP="003A3686">
      <w:pPr>
        <w:pStyle w:val="Heading4"/>
        <w:numPr>
          <w:ilvl w:val="4"/>
          <w:numId w:val="3"/>
        </w:numPr>
        <w:rPr>
          <w:lang w:val="en-US"/>
        </w:rPr>
      </w:pPr>
      <w:r w:rsidRPr="00DD1B58">
        <w:rPr>
          <w:lang w:val="en-US"/>
        </w:rPr>
        <w:t>Implementation status of modifications/change</w:t>
      </w:r>
    </w:p>
    <w:p w14:paraId="6D628EAD" w14:textId="749A998A" w:rsidR="00CA0EF1" w:rsidRPr="00DD1B58" w:rsidRDefault="00D008E6" w:rsidP="00CA0EF1">
      <w:pPr>
        <w:rPr>
          <w:lang w:val="en-US"/>
        </w:rPr>
      </w:pPr>
      <w:r w:rsidRPr="00DD1B58">
        <w:rPr>
          <w:lang w:val="en-US"/>
        </w:rPr>
        <w:t xml:space="preserve">Dounreay </w:t>
      </w:r>
      <w:r w:rsidR="006D798B" w:rsidRPr="00DD1B58">
        <w:rPr>
          <w:lang w:val="en-US"/>
        </w:rPr>
        <w:t>reports that</w:t>
      </w:r>
      <w:r w:rsidRPr="00DD1B58">
        <w:rPr>
          <w:lang w:val="en-US"/>
        </w:rPr>
        <w:t xml:space="preserve"> all</w:t>
      </w:r>
      <w:r w:rsidR="00F93AAB" w:rsidRPr="00DD1B58">
        <w:rPr>
          <w:lang w:val="en-US"/>
        </w:rPr>
        <w:t xml:space="preserve"> the recommendations identified in the DFRA </w:t>
      </w:r>
      <w:r w:rsidRPr="00DD1B58">
        <w:rPr>
          <w:lang w:val="en-US"/>
        </w:rPr>
        <w:t xml:space="preserve">had </w:t>
      </w:r>
      <w:r w:rsidR="00F93AAB" w:rsidRPr="00DD1B58">
        <w:rPr>
          <w:lang w:val="en-US"/>
        </w:rPr>
        <w:t xml:space="preserve">been resolved. </w:t>
      </w:r>
    </w:p>
    <w:p w14:paraId="790874F6" w14:textId="77777777" w:rsidR="00CA0EF1" w:rsidRPr="00DD1B58" w:rsidRDefault="00CA0EF1" w:rsidP="003A3686">
      <w:pPr>
        <w:pStyle w:val="Heading4"/>
        <w:rPr>
          <w:lang w:val="en-US"/>
        </w:rPr>
      </w:pPr>
      <w:r w:rsidRPr="00DD1B58">
        <w:rPr>
          <w:lang w:val="en-US"/>
        </w:rPr>
        <w:t xml:space="preserve"> Licensee’s experience of fire safety analysis</w:t>
      </w:r>
    </w:p>
    <w:p w14:paraId="547BF3C8" w14:textId="6A014C2D" w:rsidR="00CA0EF1" w:rsidRPr="00DD1B58" w:rsidRDefault="00F93AAB" w:rsidP="00CA0EF1">
      <w:pPr>
        <w:rPr>
          <w:lang w:val="en-US"/>
        </w:rPr>
      </w:pPr>
      <w:r w:rsidRPr="00DD1B58">
        <w:rPr>
          <w:lang w:val="en-US"/>
        </w:rPr>
        <w:t xml:space="preserve">The PFR DSC was subject to a periodic review in 2019. </w:t>
      </w:r>
      <w:r w:rsidR="0009791F" w:rsidRPr="00DD1B58">
        <w:rPr>
          <w:lang w:val="en-US"/>
        </w:rPr>
        <w:t>Dounreay  engaged c</w:t>
      </w:r>
      <w:r w:rsidRPr="00DD1B58">
        <w:rPr>
          <w:lang w:val="en-US"/>
        </w:rPr>
        <w:t xml:space="preserve">ontractors to </w:t>
      </w:r>
      <w:r w:rsidR="006378E7" w:rsidRPr="00DD1B58">
        <w:rPr>
          <w:lang w:val="en-US"/>
        </w:rPr>
        <w:t>produce</w:t>
      </w:r>
      <w:r w:rsidRPr="00DD1B58">
        <w:rPr>
          <w:lang w:val="en-US"/>
        </w:rPr>
        <w:t xml:space="preserve"> and peer review the DFRA.</w:t>
      </w:r>
    </w:p>
    <w:p w14:paraId="32442795" w14:textId="77777777" w:rsidR="00CA0EF1" w:rsidRPr="00DD1B58" w:rsidRDefault="00CA0EF1" w:rsidP="00BC7AA3">
      <w:pPr>
        <w:pStyle w:val="Heading4"/>
        <w:numPr>
          <w:ilvl w:val="4"/>
          <w:numId w:val="3"/>
        </w:numPr>
        <w:rPr>
          <w:lang w:val="en-US"/>
        </w:rPr>
      </w:pPr>
      <w:r w:rsidRPr="00DD1B58">
        <w:rPr>
          <w:lang w:val="en-US"/>
        </w:rPr>
        <w:t>Overview of strengths and weaknesses identified</w:t>
      </w:r>
    </w:p>
    <w:p w14:paraId="7BAF567E" w14:textId="4ED43CBA" w:rsidR="006378E7" w:rsidRPr="00DD1B58" w:rsidRDefault="006378E7" w:rsidP="006378E7">
      <w:pPr>
        <w:autoSpaceDE w:val="0"/>
        <w:autoSpaceDN w:val="0"/>
        <w:adjustRightInd w:val="0"/>
        <w:spacing w:after="140" w:line="240" w:lineRule="auto"/>
        <w:rPr>
          <w:color w:val="000000"/>
          <w:szCs w:val="24"/>
          <w:lang w:val="en-US" w:eastAsia="en-GB" w:bidi="ar-SA"/>
        </w:rPr>
      </w:pPr>
      <w:r w:rsidRPr="00DD1B58">
        <w:rPr>
          <w:color w:val="000000"/>
          <w:szCs w:val="24"/>
          <w:lang w:val="en-US" w:eastAsia="en-GB" w:bidi="ar-SA"/>
        </w:rPr>
        <w:t xml:space="preserve">Dounreay </w:t>
      </w:r>
      <w:r w:rsidR="0009791F" w:rsidRPr="00DD1B58">
        <w:rPr>
          <w:color w:val="000000"/>
          <w:szCs w:val="24"/>
          <w:lang w:val="en-US" w:eastAsia="en-GB" w:bidi="ar-SA"/>
        </w:rPr>
        <w:t>report</w:t>
      </w:r>
      <w:r w:rsidR="00394EDE" w:rsidRPr="00DD1B58">
        <w:rPr>
          <w:color w:val="000000"/>
          <w:szCs w:val="24"/>
          <w:lang w:val="en-US" w:eastAsia="en-GB" w:bidi="ar-SA"/>
        </w:rPr>
        <w:t>s</w:t>
      </w:r>
      <w:r w:rsidR="0009791F" w:rsidRPr="00DD1B58">
        <w:rPr>
          <w:color w:val="000000"/>
          <w:szCs w:val="24"/>
          <w:lang w:val="en-US" w:eastAsia="en-GB" w:bidi="ar-SA"/>
        </w:rPr>
        <w:t xml:space="preserve"> as strengths that it</w:t>
      </w:r>
      <w:r w:rsidRPr="00DD1B58">
        <w:rPr>
          <w:color w:val="000000"/>
          <w:szCs w:val="24"/>
          <w:lang w:val="en-US" w:eastAsia="en-GB" w:bidi="ar-SA"/>
        </w:rPr>
        <w:t xml:space="preserve"> has an on-site Fire Safety Advisor who is familiar with the on-site hazards and can provide advice on optioneering, modification and design. </w:t>
      </w:r>
      <w:r w:rsidR="004A300E" w:rsidRPr="00DD1B58">
        <w:rPr>
          <w:color w:val="000000"/>
          <w:szCs w:val="24"/>
          <w:lang w:val="en-US" w:eastAsia="en-GB" w:bidi="ar-SA"/>
        </w:rPr>
        <w:t>It considers that, given</w:t>
      </w:r>
      <w:r w:rsidRPr="00DD1B58">
        <w:rPr>
          <w:color w:val="000000"/>
          <w:szCs w:val="24"/>
          <w:lang w:val="en-US" w:eastAsia="en-GB" w:bidi="ar-SA"/>
        </w:rPr>
        <w:t xml:space="preserve"> the on-site capability of DFARS</w:t>
      </w:r>
      <w:r w:rsidR="004A300E" w:rsidRPr="00DD1B58">
        <w:rPr>
          <w:color w:val="000000"/>
          <w:szCs w:val="24"/>
          <w:lang w:val="en-US" w:eastAsia="en-GB" w:bidi="ar-SA"/>
        </w:rPr>
        <w:t>,</w:t>
      </w:r>
      <w:r w:rsidRPr="00DD1B58">
        <w:rPr>
          <w:color w:val="000000"/>
          <w:szCs w:val="24"/>
          <w:lang w:val="en-US" w:eastAsia="en-GB" w:bidi="ar-SA"/>
        </w:rPr>
        <w:t xml:space="preserve"> a prompt response to fire is assured. </w:t>
      </w:r>
      <w:r w:rsidR="004A300E" w:rsidRPr="00DD1B58">
        <w:rPr>
          <w:color w:val="000000"/>
          <w:szCs w:val="24"/>
          <w:lang w:val="en-US" w:eastAsia="en-GB" w:bidi="ar-SA"/>
        </w:rPr>
        <w:t xml:space="preserve">It also </w:t>
      </w:r>
      <w:r w:rsidR="006D798B" w:rsidRPr="00DD1B58">
        <w:rPr>
          <w:color w:val="000000"/>
          <w:szCs w:val="24"/>
          <w:lang w:val="en-US" w:eastAsia="en-GB" w:bidi="ar-SA"/>
        </w:rPr>
        <w:t>reports that</w:t>
      </w:r>
      <w:r w:rsidR="004A300E" w:rsidRPr="00DD1B58">
        <w:rPr>
          <w:color w:val="000000"/>
          <w:szCs w:val="24"/>
          <w:lang w:val="en-US" w:eastAsia="en-GB" w:bidi="ar-SA"/>
        </w:rPr>
        <w:t xml:space="preserve"> a</w:t>
      </w:r>
      <w:r w:rsidRPr="00DD1B58">
        <w:rPr>
          <w:color w:val="000000"/>
          <w:szCs w:val="24"/>
          <w:lang w:val="en-US" w:eastAsia="en-GB" w:bidi="ar-SA"/>
        </w:rPr>
        <w:t xml:space="preserve">ll site personnel receive mandatory fire safety training which is periodically refreshed. </w:t>
      </w:r>
    </w:p>
    <w:p w14:paraId="10961809" w14:textId="3B46CBB8" w:rsidR="006378E7" w:rsidRPr="00DD1B58" w:rsidRDefault="006378E7" w:rsidP="006378E7">
      <w:pPr>
        <w:autoSpaceDE w:val="0"/>
        <w:autoSpaceDN w:val="0"/>
        <w:adjustRightInd w:val="0"/>
        <w:spacing w:after="0" w:line="240" w:lineRule="auto"/>
        <w:rPr>
          <w:color w:val="000000"/>
          <w:szCs w:val="24"/>
          <w:lang w:val="en-US" w:eastAsia="en-GB" w:bidi="ar-SA"/>
        </w:rPr>
      </w:pPr>
      <w:r w:rsidRPr="00DD1B58">
        <w:rPr>
          <w:color w:val="000000"/>
          <w:szCs w:val="24"/>
          <w:lang w:val="en-US" w:eastAsia="en-GB" w:bidi="ar-SA"/>
        </w:rPr>
        <w:t xml:space="preserve">Dounreay </w:t>
      </w:r>
      <w:r w:rsidR="004A300E" w:rsidRPr="00DD1B58">
        <w:rPr>
          <w:color w:val="000000"/>
          <w:szCs w:val="24"/>
          <w:lang w:val="en-US" w:eastAsia="en-GB" w:bidi="ar-SA"/>
        </w:rPr>
        <w:t>report</w:t>
      </w:r>
      <w:r w:rsidR="00394EDE" w:rsidRPr="00DD1B58">
        <w:rPr>
          <w:color w:val="000000"/>
          <w:szCs w:val="24"/>
          <w:lang w:val="en-US" w:eastAsia="en-GB" w:bidi="ar-SA"/>
        </w:rPr>
        <w:t>s</w:t>
      </w:r>
      <w:r w:rsidR="004A300E" w:rsidRPr="00DD1B58">
        <w:rPr>
          <w:color w:val="000000"/>
          <w:szCs w:val="24"/>
          <w:lang w:val="en-US" w:eastAsia="en-GB" w:bidi="ar-SA"/>
        </w:rPr>
        <w:t xml:space="preserve"> as </w:t>
      </w:r>
      <w:r w:rsidR="00BC7BEA" w:rsidRPr="00DD1B58">
        <w:rPr>
          <w:color w:val="000000"/>
          <w:szCs w:val="24"/>
          <w:lang w:val="en-US" w:eastAsia="en-GB" w:bidi="ar-SA"/>
        </w:rPr>
        <w:t xml:space="preserve">a </w:t>
      </w:r>
      <w:r w:rsidR="004A300E" w:rsidRPr="00DD1B58">
        <w:rPr>
          <w:color w:val="000000"/>
          <w:szCs w:val="24"/>
          <w:lang w:val="en-US" w:eastAsia="en-GB" w:bidi="ar-SA"/>
        </w:rPr>
        <w:t>weaknes</w:t>
      </w:r>
      <w:r w:rsidR="00BC7BEA" w:rsidRPr="00DD1B58">
        <w:rPr>
          <w:color w:val="000000"/>
          <w:szCs w:val="24"/>
          <w:lang w:val="en-US" w:eastAsia="en-GB" w:bidi="ar-SA"/>
        </w:rPr>
        <w:t>s</w:t>
      </w:r>
      <w:r w:rsidR="004A300E" w:rsidRPr="00DD1B58">
        <w:rPr>
          <w:color w:val="000000"/>
          <w:szCs w:val="24"/>
          <w:lang w:val="en-US" w:eastAsia="en-GB" w:bidi="ar-SA"/>
        </w:rPr>
        <w:t xml:space="preserve"> that it</w:t>
      </w:r>
      <w:r w:rsidRPr="00DD1B58">
        <w:rPr>
          <w:color w:val="000000"/>
          <w:szCs w:val="24"/>
          <w:lang w:val="en-US" w:eastAsia="en-GB" w:bidi="ar-SA"/>
        </w:rPr>
        <w:t xml:space="preserve"> does not have in-house fire engineers to complete DFRAs and </w:t>
      </w:r>
      <w:r w:rsidR="004A300E" w:rsidRPr="00DD1B58">
        <w:rPr>
          <w:color w:val="000000"/>
          <w:szCs w:val="24"/>
          <w:lang w:val="en-US" w:eastAsia="en-GB" w:bidi="ar-SA"/>
        </w:rPr>
        <w:t xml:space="preserve">is </w:t>
      </w:r>
      <w:r w:rsidRPr="00DD1B58">
        <w:rPr>
          <w:color w:val="000000"/>
          <w:szCs w:val="24"/>
          <w:lang w:val="en-US" w:eastAsia="en-GB" w:bidi="ar-SA"/>
        </w:rPr>
        <w:t xml:space="preserve">reliant upon the expertise of contracting organisations. </w:t>
      </w:r>
      <w:r w:rsidR="00BC7BEA" w:rsidRPr="00DD1B58">
        <w:rPr>
          <w:color w:val="000000"/>
          <w:szCs w:val="24"/>
          <w:lang w:val="en-US" w:eastAsia="en-GB" w:bidi="ar-SA"/>
        </w:rPr>
        <w:t>Dounreay nevertheless note</w:t>
      </w:r>
      <w:r w:rsidR="00394EDE" w:rsidRPr="00DD1B58">
        <w:rPr>
          <w:color w:val="000000"/>
          <w:szCs w:val="24"/>
          <w:lang w:val="en-US" w:eastAsia="en-GB" w:bidi="ar-SA"/>
        </w:rPr>
        <w:t>s</w:t>
      </w:r>
      <w:r w:rsidR="00BC7BEA" w:rsidRPr="00DD1B58">
        <w:rPr>
          <w:color w:val="000000"/>
          <w:szCs w:val="24"/>
          <w:lang w:val="en-US" w:eastAsia="en-GB" w:bidi="ar-SA"/>
        </w:rPr>
        <w:t xml:space="preserve"> that c</w:t>
      </w:r>
      <w:r w:rsidRPr="00DD1B58">
        <w:rPr>
          <w:color w:val="000000"/>
          <w:szCs w:val="24"/>
          <w:lang w:val="en-US" w:eastAsia="en-GB" w:bidi="ar-SA"/>
        </w:rPr>
        <w:t>ontract frameworks are in place to assure that personnel are available to support.</w:t>
      </w:r>
    </w:p>
    <w:p w14:paraId="6924D946" w14:textId="77777777" w:rsidR="003E4341" w:rsidRPr="00DD1B58" w:rsidRDefault="003E4341" w:rsidP="006378E7">
      <w:pPr>
        <w:autoSpaceDE w:val="0"/>
        <w:autoSpaceDN w:val="0"/>
        <w:adjustRightInd w:val="0"/>
        <w:spacing w:after="0" w:line="240" w:lineRule="auto"/>
        <w:rPr>
          <w:color w:val="000000"/>
          <w:szCs w:val="24"/>
          <w:lang w:val="en-US" w:eastAsia="en-GB" w:bidi="ar-SA"/>
        </w:rPr>
      </w:pPr>
    </w:p>
    <w:p w14:paraId="45B041A0" w14:textId="77777777" w:rsidR="003E4341" w:rsidRPr="00DD1B58" w:rsidRDefault="003E4341" w:rsidP="00BC7AA3">
      <w:pPr>
        <w:pStyle w:val="Heading4"/>
        <w:numPr>
          <w:ilvl w:val="4"/>
          <w:numId w:val="3"/>
        </w:numPr>
        <w:rPr>
          <w:lang w:val="en-US" w:eastAsia="en-GB" w:bidi="ar-SA"/>
        </w:rPr>
      </w:pPr>
      <w:bookmarkStart w:id="66" w:name="_Ref136872886"/>
      <w:r w:rsidRPr="00DD1B58">
        <w:rPr>
          <w:lang w:val="en-US" w:eastAsia="en-GB" w:bidi="ar-SA"/>
        </w:rPr>
        <w:t>Lessons</w:t>
      </w:r>
      <w:r w:rsidR="00751D91" w:rsidRPr="00DD1B58">
        <w:rPr>
          <w:lang w:val="en-US" w:eastAsia="en-GB" w:bidi="ar-SA"/>
        </w:rPr>
        <w:t xml:space="preserve"> learned from events, reviews, fire safety related missions, etc.</w:t>
      </w:r>
      <w:bookmarkEnd w:id="66"/>
    </w:p>
    <w:p w14:paraId="15D25FE2" w14:textId="79B3054D" w:rsidR="004677D1" w:rsidRPr="00DD1B58" w:rsidRDefault="00BC7BEA" w:rsidP="004677D1">
      <w:pPr>
        <w:pStyle w:val="Default"/>
        <w:rPr>
          <w:lang w:val="en-US"/>
        </w:rPr>
      </w:pPr>
      <w:r w:rsidRPr="00DD1B58">
        <w:rPr>
          <w:lang w:val="en-US"/>
        </w:rPr>
        <w:t>Dounreay report</w:t>
      </w:r>
      <w:r w:rsidR="003D0C5C" w:rsidRPr="00DD1B58">
        <w:rPr>
          <w:lang w:val="en-US"/>
        </w:rPr>
        <w:t>s</w:t>
      </w:r>
      <w:r w:rsidRPr="00DD1B58">
        <w:rPr>
          <w:lang w:val="en-US"/>
        </w:rPr>
        <w:t xml:space="preserve"> that f</w:t>
      </w:r>
      <w:r w:rsidR="004677D1" w:rsidRPr="00DD1B58">
        <w:rPr>
          <w:lang w:val="en-US"/>
        </w:rPr>
        <w:t xml:space="preserve">ires are recorded as Unusual Occurrence Reports (UNORs). </w:t>
      </w:r>
      <w:r w:rsidRPr="00DD1B58">
        <w:rPr>
          <w:lang w:val="en-US"/>
        </w:rPr>
        <w:t xml:space="preserve">Dounreay uses </w:t>
      </w:r>
      <w:r w:rsidR="004677D1" w:rsidRPr="00DD1B58">
        <w:rPr>
          <w:lang w:val="en-US"/>
        </w:rPr>
        <w:t xml:space="preserve">UNORs to record deviations from the norm, defects, situations which have or could have caused injury to people, damage to plant or equipment, harm to the environment of pose a quality non-conformance. </w:t>
      </w:r>
      <w:r w:rsidR="00D656A5" w:rsidRPr="00DD1B58">
        <w:rPr>
          <w:lang w:val="en-US"/>
        </w:rPr>
        <w:t>Dounreay report</w:t>
      </w:r>
      <w:r w:rsidR="003D0C5C" w:rsidRPr="00DD1B58">
        <w:rPr>
          <w:lang w:val="en-US"/>
        </w:rPr>
        <w:t>s</w:t>
      </w:r>
      <w:r w:rsidR="00D656A5" w:rsidRPr="00DD1B58">
        <w:rPr>
          <w:lang w:val="en-US"/>
        </w:rPr>
        <w:t xml:space="preserve"> that the</w:t>
      </w:r>
      <w:r w:rsidR="004677D1" w:rsidRPr="00DD1B58">
        <w:rPr>
          <w:lang w:val="en-US"/>
        </w:rPr>
        <w:t xml:space="preserve"> UNOR database is monitored to identify and analyse trends and provide reports.</w:t>
      </w:r>
    </w:p>
    <w:p w14:paraId="3A084ABD" w14:textId="0BE051B5" w:rsidR="004677D1" w:rsidRPr="00DD1B58" w:rsidRDefault="00527CBC" w:rsidP="004677D1">
      <w:pPr>
        <w:pStyle w:val="Default"/>
        <w:rPr>
          <w:lang w:val="en-US"/>
        </w:rPr>
      </w:pPr>
      <w:r w:rsidRPr="00DD1B58">
        <w:rPr>
          <w:lang w:val="en-US"/>
        </w:rPr>
        <w:t>Th</w:t>
      </w:r>
      <w:r w:rsidR="00D656A5" w:rsidRPr="00DD1B58">
        <w:rPr>
          <w:lang w:val="en-US"/>
        </w:rPr>
        <w:t>ere</w:t>
      </w:r>
      <w:r w:rsidR="004677D1" w:rsidRPr="00DD1B58">
        <w:rPr>
          <w:lang w:val="en-US"/>
        </w:rPr>
        <w:t xml:space="preserve"> have been two fires in the PFR facility in the last decade, one in 2014 and one in 2022</w:t>
      </w:r>
      <w:r w:rsidR="00763283" w:rsidRPr="00DD1B58">
        <w:rPr>
          <w:lang w:val="en-US"/>
        </w:rPr>
        <w:t>:</w:t>
      </w:r>
    </w:p>
    <w:p w14:paraId="6B27FA31" w14:textId="77777777" w:rsidR="004677D1" w:rsidRPr="00DD1B58" w:rsidRDefault="004677D1" w:rsidP="004677D1">
      <w:pPr>
        <w:pStyle w:val="Default"/>
        <w:rPr>
          <w:lang w:val="en-US"/>
        </w:rPr>
      </w:pPr>
    </w:p>
    <w:p w14:paraId="77B61937" w14:textId="5EB42806" w:rsidR="00763283" w:rsidRPr="00DD1B58" w:rsidRDefault="004677D1" w:rsidP="00763283">
      <w:pPr>
        <w:pStyle w:val="Bulletlist1"/>
        <w:rPr>
          <w:lang w:val="en-US"/>
        </w:rPr>
      </w:pPr>
      <w:r w:rsidRPr="00DD1B58">
        <w:rPr>
          <w:lang w:val="en-US"/>
        </w:rPr>
        <w:t xml:space="preserve">A sodium fire was discovered during sodium dig out in the Sodium Tank Farm (STF) in 2014. </w:t>
      </w:r>
      <w:r w:rsidR="00763283" w:rsidRPr="00DD1B58">
        <w:rPr>
          <w:lang w:val="en-US"/>
        </w:rPr>
        <w:t xml:space="preserve">Dounreay </w:t>
      </w:r>
      <w:r w:rsidRPr="00DD1B58">
        <w:rPr>
          <w:lang w:val="en-US"/>
        </w:rPr>
        <w:t xml:space="preserve">checked each aspect of the work and identified procedural non-compliances and behavioural practices </w:t>
      </w:r>
      <w:r w:rsidR="00527CBC" w:rsidRPr="00DD1B58">
        <w:rPr>
          <w:lang w:val="en-US"/>
        </w:rPr>
        <w:t>as</w:t>
      </w:r>
      <w:r w:rsidRPr="00DD1B58">
        <w:rPr>
          <w:lang w:val="en-US"/>
        </w:rPr>
        <w:t xml:space="preserve"> factors in the incident. </w:t>
      </w:r>
    </w:p>
    <w:p w14:paraId="1FF25715" w14:textId="40705129" w:rsidR="00751D91" w:rsidRPr="00DD1B58" w:rsidRDefault="00763283" w:rsidP="00973FF4">
      <w:pPr>
        <w:pStyle w:val="Bulletlist1"/>
        <w:rPr>
          <w:lang w:val="en-US"/>
        </w:rPr>
      </w:pPr>
      <w:r w:rsidRPr="00DD1B58">
        <w:rPr>
          <w:lang w:val="en-US"/>
        </w:rPr>
        <w:t xml:space="preserve">A second fire occurred in 2022 during treatment (enhanced weathering of sodium residues whereby a flow of humidified air is generated and is then passed through a tank) of sodium in the STF. </w:t>
      </w:r>
      <w:r w:rsidR="002A4021" w:rsidRPr="00DD1B58">
        <w:rPr>
          <w:lang w:val="en-US"/>
        </w:rPr>
        <w:t xml:space="preserve">Dounreay </w:t>
      </w:r>
      <w:r w:rsidR="00394EDE" w:rsidRPr="00DD1B58">
        <w:rPr>
          <w:lang w:val="en-US"/>
        </w:rPr>
        <w:t>concluded that this</w:t>
      </w:r>
      <w:r w:rsidRPr="00DD1B58">
        <w:rPr>
          <w:lang w:val="en-US"/>
        </w:rPr>
        <w:t xml:space="preserve"> was the result of blocked drainage.</w:t>
      </w:r>
    </w:p>
    <w:p w14:paraId="75FA3075" w14:textId="77777777" w:rsidR="00CE2926" w:rsidRPr="00DD1B58" w:rsidRDefault="00CE2926" w:rsidP="00BC7AA3">
      <w:pPr>
        <w:pStyle w:val="Heading4"/>
        <w:rPr>
          <w:lang w:val="en-US"/>
        </w:rPr>
      </w:pPr>
      <w:r w:rsidRPr="00DD1B58">
        <w:rPr>
          <w:lang w:val="en-US"/>
        </w:rPr>
        <w:t>Regulator’s assessment and conclusions on fire safety analyses</w:t>
      </w:r>
    </w:p>
    <w:p w14:paraId="1A21EA06" w14:textId="77777777" w:rsidR="00250936" w:rsidRPr="00DD1B58" w:rsidRDefault="00D83F38" w:rsidP="00BC7AA3">
      <w:pPr>
        <w:pStyle w:val="Heading4"/>
        <w:numPr>
          <w:ilvl w:val="4"/>
          <w:numId w:val="3"/>
        </w:numPr>
        <w:rPr>
          <w:lang w:val="en-US"/>
        </w:rPr>
      </w:pPr>
      <w:bookmarkStart w:id="67" w:name="_Ref140142297"/>
      <w:r w:rsidRPr="00DD1B58">
        <w:rPr>
          <w:lang w:val="en-US"/>
        </w:rPr>
        <w:t>Overview of strengths and weaknesses identified</w:t>
      </w:r>
      <w:r w:rsidR="00FF4448" w:rsidRPr="00DD1B58">
        <w:rPr>
          <w:lang w:val="en-US"/>
        </w:rPr>
        <w:t xml:space="preserve"> by the regulator</w:t>
      </w:r>
      <w:bookmarkEnd w:id="67"/>
    </w:p>
    <w:p w14:paraId="221BA2DA" w14:textId="77777777" w:rsidR="00CA79E2" w:rsidRPr="00DD1B58" w:rsidRDefault="00CA79E2" w:rsidP="00CA79E2">
      <w:pPr>
        <w:rPr>
          <w:b/>
          <w:lang w:val="en-US"/>
        </w:rPr>
      </w:pPr>
      <w:r w:rsidRPr="00DD1B58">
        <w:rPr>
          <w:b/>
          <w:lang w:val="en-US"/>
        </w:rPr>
        <w:t>Strengths</w:t>
      </w:r>
    </w:p>
    <w:p w14:paraId="1943414A" w14:textId="77777777" w:rsidR="00D83F38" w:rsidRPr="00DD1B58" w:rsidRDefault="009C4020" w:rsidP="00CA79E2">
      <w:pPr>
        <w:ind w:firstLine="720"/>
        <w:rPr>
          <w:b/>
          <w:lang w:val="en-US"/>
        </w:rPr>
      </w:pPr>
      <w:r w:rsidRPr="00DD1B58">
        <w:rPr>
          <w:b/>
          <w:lang w:val="en-US"/>
        </w:rPr>
        <w:t>Low Baseline Risk</w:t>
      </w:r>
    </w:p>
    <w:p w14:paraId="442C8149" w14:textId="667BC5E6" w:rsidR="002D3D11" w:rsidRPr="00DD1B58" w:rsidRDefault="00933409" w:rsidP="00D83F38">
      <w:pPr>
        <w:rPr>
          <w:lang w:val="en-US"/>
        </w:rPr>
      </w:pPr>
      <w:r w:rsidRPr="00DD1B58">
        <w:rPr>
          <w:lang w:val="en-US"/>
        </w:rPr>
        <w:t>The lic</w:t>
      </w:r>
      <w:r w:rsidR="00BC741E" w:rsidRPr="00DD1B58">
        <w:rPr>
          <w:lang w:val="en-US"/>
        </w:rPr>
        <w:t xml:space="preserve">ensee has identified </w:t>
      </w:r>
      <w:r w:rsidR="00AE0534" w:rsidRPr="00DD1B58">
        <w:rPr>
          <w:lang w:val="en-US"/>
        </w:rPr>
        <w:t xml:space="preserve">that the </w:t>
      </w:r>
      <w:r w:rsidR="00AF4A9C" w:rsidRPr="00DD1B58">
        <w:rPr>
          <w:lang w:val="en-US"/>
        </w:rPr>
        <w:t>baseline hazards and risks within</w:t>
      </w:r>
      <w:r w:rsidR="00A278FF" w:rsidRPr="00DD1B58">
        <w:rPr>
          <w:lang w:val="en-US"/>
        </w:rPr>
        <w:t xml:space="preserve"> </w:t>
      </w:r>
      <w:r w:rsidR="007E4B56" w:rsidRPr="00DD1B58">
        <w:rPr>
          <w:lang w:val="en-US"/>
        </w:rPr>
        <w:t xml:space="preserve">the PFR facility with respect to nuclear safety are low. </w:t>
      </w:r>
      <w:r w:rsidR="00965FAE" w:rsidRPr="00DD1B58">
        <w:rPr>
          <w:lang w:val="en-US"/>
        </w:rPr>
        <w:t xml:space="preserve">This is based on the PFR DSC. The </w:t>
      </w:r>
      <w:r w:rsidR="004306F6" w:rsidRPr="00DD1B58">
        <w:rPr>
          <w:lang w:val="en-US"/>
        </w:rPr>
        <w:t>worst-case</w:t>
      </w:r>
      <w:r w:rsidR="00965FAE" w:rsidRPr="00DD1B58">
        <w:rPr>
          <w:lang w:val="en-US"/>
        </w:rPr>
        <w:t xml:space="preserve"> unmitigated </w:t>
      </w:r>
      <w:r w:rsidR="00907B3A" w:rsidRPr="00DD1B58">
        <w:rPr>
          <w:lang w:val="en-US"/>
        </w:rPr>
        <w:t xml:space="preserve">dose and total public risk from the facility are already low and the </w:t>
      </w:r>
      <w:r w:rsidR="003255E9" w:rsidRPr="00DD1B58">
        <w:rPr>
          <w:lang w:val="en-US"/>
        </w:rPr>
        <w:t>risk-</w:t>
      </w:r>
      <w:r w:rsidR="00907B3A" w:rsidRPr="00DD1B58">
        <w:rPr>
          <w:lang w:val="en-US"/>
        </w:rPr>
        <w:t xml:space="preserve">dominant </w:t>
      </w:r>
      <w:r w:rsidR="003255E9" w:rsidRPr="00DD1B58">
        <w:rPr>
          <w:lang w:val="en-US"/>
        </w:rPr>
        <w:t xml:space="preserve">scenario </w:t>
      </w:r>
      <w:r w:rsidR="007D6803" w:rsidRPr="00DD1B58">
        <w:rPr>
          <w:lang w:val="en-US"/>
        </w:rPr>
        <w:t xml:space="preserve">is an external </w:t>
      </w:r>
      <w:r w:rsidR="00A50CBC" w:rsidRPr="00DD1B58">
        <w:rPr>
          <w:lang w:val="en-US"/>
        </w:rPr>
        <w:t xml:space="preserve">hazard (aircraft </w:t>
      </w:r>
      <w:r w:rsidR="00954BAB" w:rsidRPr="00DD1B58">
        <w:rPr>
          <w:lang w:val="en-US"/>
        </w:rPr>
        <w:t xml:space="preserve">impact). </w:t>
      </w:r>
      <w:r w:rsidR="004306F6" w:rsidRPr="00DD1B58">
        <w:rPr>
          <w:lang w:val="en-US"/>
        </w:rPr>
        <w:t>Th</w:t>
      </w:r>
      <w:r w:rsidR="000E0DD3" w:rsidRPr="00DD1B58">
        <w:rPr>
          <w:lang w:val="en-US"/>
        </w:rPr>
        <w:t xml:space="preserve">is is primarily due to the fact that the majority </w:t>
      </w:r>
      <w:r w:rsidR="006412C7" w:rsidRPr="00DD1B58">
        <w:rPr>
          <w:lang w:val="en-US"/>
        </w:rPr>
        <w:t xml:space="preserve">of the bulk radioactive sodium coolant </w:t>
      </w:r>
      <w:r w:rsidR="002807E7" w:rsidRPr="00DD1B58">
        <w:rPr>
          <w:lang w:val="en-US"/>
        </w:rPr>
        <w:t>has been removed from the facility</w:t>
      </w:r>
      <w:r w:rsidR="00003C73" w:rsidRPr="00DD1B58">
        <w:rPr>
          <w:lang w:val="en-US"/>
        </w:rPr>
        <w:t xml:space="preserve"> and residual sodium is </w:t>
      </w:r>
      <w:r w:rsidR="0084571D" w:rsidRPr="00DD1B58">
        <w:rPr>
          <w:lang w:val="en-US"/>
        </w:rPr>
        <w:t>held up in pipes/vessels as residues or</w:t>
      </w:r>
      <w:r w:rsidR="009A5C6E" w:rsidRPr="00DD1B58">
        <w:rPr>
          <w:lang w:val="en-US"/>
        </w:rPr>
        <w:t xml:space="preserve"> </w:t>
      </w:r>
      <w:r w:rsidR="0084571D" w:rsidRPr="00DD1B58">
        <w:rPr>
          <w:lang w:val="en-US"/>
        </w:rPr>
        <w:t>films</w:t>
      </w:r>
      <w:r w:rsidR="002807E7" w:rsidRPr="00DD1B58">
        <w:rPr>
          <w:lang w:val="en-US"/>
        </w:rPr>
        <w:t xml:space="preserve">. </w:t>
      </w:r>
      <w:r w:rsidR="00725D3B" w:rsidRPr="00DD1B58">
        <w:rPr>
          <w:lang w:val="en-US"/>
        </w:rPr>
        <w:t xml:space="preserve">The </w:t>
      </w:r>
      <w:r w:rsidR="00084F3B" w:rsidRPr="00DD1B58">
        <w:rPr>
          <w:lang w:val="en-US"/>
        </w:rPr>
        <w:t xml:space="preserve">DSC </w:t>
      </w:r>
      <w:r w:rsidR="001C2A77" w:rsidRPr="00DD1B58">
        <w:rPr>
          <w:lang w:val="en-US"/>
        </w:rPr>
        <w:t>which covers ca</w:t>
      </w:r>
      <w:r w:rsidR="0037391B" w:rsidRPr="00DD1B58">
        <w:rPr>
          <w:lang w:val="en-US"/>
        </w:rPr>
        <w:t>re</w:t>
      </w:r>
      <w:r w:rsidR="001C2A77" w:rsidRPr="00DD1B58">
        <w:rPr>
          <w:lang w:val="en-US"/>
        </w:rPr>
        <w:t xml:space="preserve"> and </w:t>
      </w:r>
      <w:r w:rsidR="008B41BB" w:rsidRPr="00DD1B58">
        <w:rPr>
          <w:lang w:val="en-US"/>
        </w:rPr>
        <w:t>maintenance operations, routine operations</w:t>
      </w:r>
      <w:r w:rsidR="003C5946" w:rsidRPr="00DD1B58">
        <w:rPr>
          <w:lang w:val="en-US"/>
        </w:rPr>
        <w:t xml:space="preserve">, </w:t>
      </w:r>
      <w:r w:rsidR="008B41BB" w:rsidRPr="00DD1B58">
        <w:rPr>
          <w:lang w:val="en-US"/>
        </w:rPr>
        <w:t xml:space="preserve">support to decommissioning activities </w:t>
      </w:r>
      <w:r w:rsidR="003C5946" w:rsidRPr="00DD1B58">
        <w:rPr>
          <w:lang w:val="en-US"/>
        </w:rPr>
        <w:t xml:space="preserve">and limited decommissioning tasks </w:t>
      </w:r>
      <w:r w:rsidR="00241E2C" w:rsidRPr="00DD1B58">
        <w:rPr>
          <w:lang w:val="en-US"/>
        </w:rPr>
        <w:t xml:space="preserve">has been reviewed recently </w:t>
      </w:r>
      <w:r w:rsidR="002D3D11" w:rsidRPr="00DD1B58">
        <w:rPr>
          <w:lang w:val="en-US"/>
        </w:rPr>
        <w:t>(2022)</w:t>
      </w:r>
      <w:r w:rsidR="004C0C9E" w:rsidRPr="00DD1B58">
        <w:rPr>
          <w:lang w:val="en-US"/>
        </w:rPr>
        <w:t xml:space="preserve"> as part of </w:t>
      </w:r>
      <w:r w:rsidR="006B3C01" w:rsidRPr="00DD1B58">
        <w:rPr>
          <w:lang w:val="en-US"/>
        </w:rPr>
        <w:t xml:space="preserve">Dounreay’s LC15 (Periodic Review) compliance arrangements. </w:t>
      </w:r>
      <w:r w:rsidR="002C35DA" w:rsidRPr="00DD1B58">
        <w:rPr>
          <w:lang w:val="en-US"/>
        </w:rPr>
        <w:t xml:space="preserve">ONR </w:t>
      </w:r>
      <w:r w:rsidR="00084168" w:rsidRPr="00DD1B58">
        <w:rPr>
          <w:lang w:val="en-US"/>
        </w:rPr>
        <w:t xml:space="preserve">has recently (2023) assessed the </w:t>
      </w:r>
      <w:r w:rsidR="00D66D50" w:rsidRPr="00DD1B58">
        <w:rPr>
          <w:lang w:val="en-US"/>
        </w:rPr>
        <w:t xml:space="preserve">Deterministic Fire </w:t>
      </w:r>
      <w:r w:rsidR="00036A50" w:rsidRPr="00DD1B58">
        <w:rPr>
          <w:lang w:val="en-US"/>
        </w:rPr>
        <w:t xml:space="preserve">Risk Assessment (DFRA) </w:t>
      </w:r>
      <w:r w:rsidR="0004281E" w:rsidRPr="00DD1B58">
        <w:rPr>
          <w:lang w:val="en-US"/>
        </w:rPr>
        <w:t>associated with the DSC LC15 review and confirmed that actions identified have been closed out.</w:t>
      </w:r>
      <w:r w:rsidR="006912C4" w:rsidRPr="00DD1B58">
        <w:rPr>
          <w:lang w:val="en-US"/>
        </w:rPr>
        <w:t xml:space="preserve"> ONR also confirmed that the analysis undertaken is appropriate for the hazards and risks within PFR.</w:t>
      </w:r>
    </w:p>
    <w:p w14:paraId="7A689958" w14:textId="77777777" w:rsidR="001F21EB" w:rsidRPr="00DD1B58" w:rsidRDefault="001F21EB" w:rsidP="00A372FF">
      <w:pPr>
        <w:ind w:firstLine="720"/>
        <w:rPr>
          <w:b/>
          <w:lang w:val="en-US"/>
        </w:rPr>
      </w:pPr>
      <w:r w:rsidRPr="00DD1B58">
        <w:rPr>
          <w:b/>
          <w:lang w:val="en-US"/>
        </w:rPr>
        <w:t>Modification Safety Case Process</w:t>
      </w:r>
    </w:p>
    <w:p w14:paraId="19CFBE48" w14:textId="1B86C5CE" w:rsidR="00FE1358" w:rsidRPr="00DD1B58" w:rsidRDefault="00CD64C6" w:rsidP="00D83F38">
      <w:pPr>
        <w:rPr>
          <w:lang w:val="en-US"/>
        </w:rPr>
      </w:pPr>
      <w:r w:rsidRPr="00DD1B58">
        <w:rPr>
          <w:lang w:val="en-US"/>
        </w:rPr>
        <w:t>S</w:t>
      </w:r>
      <w:r w:rsidR="004A0A65" w:rsidRPr="00DD1B58">
        <w:rPr>
          <w:lang w:val="en-US"/>
        </w:rPr>
        <w:t xml:space="preserve">ignificant </w:t>
      </w:r>
      <w:r w:rsidR="00617D72" w:rsidRPr="00DD1B58">
        <w:rPr>
          <w:lang w:val="en-US"/>
        </w:rPr>
        <w:t xml:space="preserve">activities </w:t>
      </w:r>
      <w:r w:rsidR="0036336E" w:rsidRPr="00DD1B58">
        <w:rPr>
          <w:lang w:val="en-US"/>
        </w:rPr>
        <w:t xml:space="preserve">or modifications </w:t>
      </w:r>
      <w:r w:rsidR="005D2D4A" w:rsidRPr="00DD1B58">
        <w:rPr>
          <w:lang w:val="en-US"/>
        </w:rPr>
        <w:t>to plant not</w:t>
      </w:r>
      <w:r w:rsidR="0036336E" w:rsidRPr="00DD1B58">
        <w:rPr>
          <w:lang w:val="en-US"/>
        </w:rPr>
        <w:t xml:space="preserve"> </w:t>
      </w:r>
      <w:r w:rsidR="006646A8" w:rsidRPr="00DD1B58">
        <w:rPr>
          <w:lang w:val="en-US"/>
        </w:rPr>
        <w:t xml:space="preserve">covered by the DSC are subject </w:t>
      </w:r>
      <w:r w:rsidR="00F16895" w:rsidRPr="00DD1B58">
        <w:rPr>
          <w:lang w:val="en-US"/>
        </w:rPr>
        <w:t xml:space="preserve">to the </w:t>
      </w:r>
      <w:r w:rsidR="00EA6742" w:rsidRPr="00DD1B58">
        <w:rPr>
          <w:lang w:val="en-US"/>
        </w:rPr>
        <w:t>licensee’s</w:t>
      </w:r>
      <w:r w:rsidR="00166482" w:rsidRPr="00DD1B58">
        <w:rPr>
          <w:lang w:val="en-US"/>
        </w:rPr>
        <w:t xml:space="preserve"> modification safety case process. This forms part </w:t>
      </w:r>
      <w:r w:rsidR="00EA6742" w:rsidRPr="00DD1B58">
        <w:rPr>
          <w:lang w:val="en-US"/>
        </w:rPr>
        <w:t xml:space="preserve">of the licensees’ arrangements for compliance </w:t>
      </w:r>
      <w:r w:rsidR="000D69A1" w:rsidRPr="00DD1B58">
        <w:rPr>
          <w:lang w:val="en-US"/>
        </w:rPr>
        <w:t>with LC22</w:t>
      </w:r>
      <w:r w:rsidR="00DB0E0E" w:rsidRPr="00DD1B58">
        <w:rPr>
          <w:lang w:val="en-US"/>
        </w:rPr>
        <w:t xml:space="preserve"> </w:t>
      </w:r>
      <w:r w:rsidR="00A37A65" w:rsidRPr="00DD1B58">
        <w:rPr>
          <w:lang w:val="en-US"/>
        </w:rPr>
        <w:t>(modification or experiment on existing plant)</w:t>
      </w:r>
      <w:r w:rsidR="00F411DB" w:rsidRPr="00DD1B58">
        <w:rPr>
          <w:lang w:val="en-US"/>
        </w:rPr>
        <w:t xml:space="preserve">. </w:t>
      </w:r>
      <w:r w:rsidR="00FE1358" w:rsidRPr="00DD1B58">
        <w:rPr>
          <w:lang w:val="en-US"/>
        </w:rPr>
        <w:t xml:space="preserve">Modification safety cases are subject to </w:t>
      </w:r>
      <w:r w:rsidR="00911C96" w:rsidRPr="00DD1B58">
        <w:rPr>
          <w:lang w:val="en-US"/>
        </w:rPr>
        <w:t xml:space="preserve">the licensee’s arrangements, </w:t>
      </w:r>
      <w:r w:rsidR="00FE1358" w:rsidRPr="00DD1B58">
        <w:rPr>
          <w:lang w:val="en-US"/>
        </w:rPr>
        <w:t>hold point control plan</w:t>
      </w:r>
      <w:r w:rsidR="00911C96" w:rsidRPr="00DD1B58">
        <w:rPr>
          <w:lang w:val="en-US"/>
        </w:rPr>
        <w:t xml:space="preserve"> and ONR’s permissioning</w:t>
      </w:r>
      <w:r w:rsidR="002C014D" w:rsidRPr="00DD1B58">
        <w:rPr>
          <w:lang w:val="en-US"/>
        </w:rPr>
        <w:t xml:space="preserve"> process</w:t>
      </w:r>
      <w:r w:rsidR="000F2410" w:rsidRPr="00DD1B58">
        <w:rPr>
          <w:lang w:val="en-US"/>
        </w:rPr>
        <w:t xml:space="preserve"> </w:t>
      </w:r>
      <w:sdt>
        <w:sdtPr>
          <w:rPr>
            <w:lang w:val="en-US"/>
          </w:rPr>
          <w:id w:val="945582203"/>
          <w:citation/>
        </w:sdtPr>
        <w:sdtContent>
          <w:r w:rsidR="00254BFB" w:rsidRPr="00DD1B58">
            <w:rPr>
              <w:lang w:val="en-US"/>
            </w:rPr>
            <w:fldChar w:fldCharType="begin"/>
          </w:r>
          <w:r w:rsidR="00254BFB" w:rsidRPr="00DD1B58">
            <w:rPr>
              <w:lang w:val="en-US"/>
            </w:rPr>
            <w:instrText xml:space="preserve"> CITATION Off9 \l 2057 </w:instrText>
          </w:r>
          <w:r w:rsidR="00254BFB" w:rsidRPr="00DD1B58">
            <w:rPr>
              <w:lang w:val="en-US"/>
            </w:rPr>
            <w:fldChar w:fldCharType="separate"/>
          </w:r>
          <w:r w:rsidR="00DF47DA" w:rsidRPr="00DF47DA">
            <w:rPr>
              <w:noProof/>
              <w:lang w:val="en-US"/>
            </w:rPr>
            <w:t>[127]</w:t>
          </w:r>
          <w:r w:rsidR="00254BFB" w:rsidRPr="00DD1B58">
            <w:rPr>
              <w:lang w:val="en-US"/>
            </w:rPr>
            <w:fldChar w:fldCharType="end"/>
          </w:r>
        </w:sdtContent>
      </w:sdt>
      <w:r w:rsidR="002C014D" w:rsidRPr="00DD1B58">
        <w:rPr>
          <w:lang w:val="en-US"/>
        </w:rPr>
        <w:t>.</w:t>
      </w:r>
      <w:r w:rsidR="00911C96" w:rsidRPr="00DD1B58">
        <w:rPr>
          <w:lang w:val="en-US"/>
        </w:rPr>
        <w:t xml:space="preserve"> </w:t>
      </w:r>
    </w:p>
    <w:p w14:paraId="51C386A1" w14:textId="7F6243FA" w:rsidR="00D7302A" w:rsidRPr="00DD1B58" w:rsidRDefault="00F411DB" w:rsidP="00D83F38">
      <w:pPr>
        <w:rPr>
          <w:lang w:val="en-US"/>
        </w:rPr>
      </w:pPr>
      <w:r w:rsidRPr="00DD1B58">
        <w:rPr>
          <w:lang w:val="en-US"/>
        </w:rPr>
        <w:t xml:space="preserve">The licensee provided relevant </w:t>
      </w:r>
      <w:r w:rsidR="00055BC8" w:rsidRPr="00DD1B58">
        <w:rPr>
          <w:lang w:val="en-US"/>
        </w:rPr>
        <w:t xml:space="preserve">examples including the PFR Reactor Vessel Treatment and Reactor Dismantling Projects. The licensee also highlighted that </w:t>
      </w:r>
      <w:r w:rsidR="003A201F" w:rsidRPr="00DD1B58">
        <w:rPr>
          <w:lang w:val="en-US"/>
        </w:rPr>
        <w:t>its processes required</w:t>
      </w:r>
      <w:r w:rsidR="00055BC8" w:rsidRPr="00DD1B58">
        <w:rPr>
          <w:lang w:val="en-US"/>
        </w:rPr>
        <w:t xml:space="preserve"> any modifications to any part of a building </w:t>
      </w:r>
      <w:r w:rsidR="003A201F" w:rsidRPr="00DD1B58">
        <w:rPr>
          <w:lang w:val="en-US"/>
        </w:rPr>
        <w:t xml:space="preserve">to </w:t>
      </w:r>
      <w:r w:rsidR="00DE11E7" w:rsidRPr="00DD1B58">
        <w:rPr>
          <w:lang w:val="en-US"/>
        </w:rPr>
        <w:t xml:space="preserve">be consulted </w:t>
      </w:r>
      <w:r w:rsidR="003A201F" w:rsidRPr="00DD1B58">
        <w:rPr>
          <w:lang w:val="en-US"/>
        </w:rPr>
        <w:t>with</w:t>
      </w:r>
      <w:r w:rsidR="00DE11E7" w:rsidRPr="00DD1B58">
        <w:rPr>
          <w:lang w:val="en-US"/>
        </w:rPr>
        <w:t xml:space="preserve"> the fire safety advisor.</w:t>
      </w:r>
      <w:r w:rsidR="00A82B28" w:rsidRPr="00DD1B58">
        <w:rPr>
          <w:lang w:val="en-US"/>
        </w:rPr>
        <w:t xml:space="preserve"> This is aligned with the expectations of IAEA SSG</w:t>
      </w:r>
      <w:r w:rsidR="00E82388" w:rsidRPr="00DD1B58">
        <w:rPr>
          <w:lang w:val="en-US"/>
        </w:rPr>
        <w:t>-77 I.14</w:t>
      </w:r>
      <w:r w:rsidR="00E6493D" w:rsidRPr="00DD1B58">
        <w:rPr>
          <w:lang w:val="en-US"/>
        </w:rPr>
        <w:t xml:space="preserve"> </w:t>
      </w:r>
      <w:sdt>
        <w:sdtPr>
          <w:rPr>
            <w:lang w:val="en-US"/>
          </w:rPr>
          <w:id w:val="-98113413"/>
          <w:citation/>
        </w:sdtPr>
        <w:sdtContent>
          <w:r w:rsidR="00E6493D" w:rsidRPr="00DD1B58">
            <w:rPr>
              <w:lang w:val="en-US"/>
            </w:rPr>
            <w:fldChar w:fldCharType="begin"/>
          </w:r>
          <w:r w:rsidR="00E6493D" w:rsidRPr="00DD1B58">
            <w:rPr>
              <w:lang w:val="en-US"/>
            </w:rPr>
            <w:instrText xml:space="preserve"> CITATION Int22 \l 2057 </w:instrText>
          </w:r>
          <w:r w:rsidR="00E6493D" w:rsidRPr="00DD1B58">
            <w:rPr>
              <w:lang w:val="en-US"/>
            </w:rPr>
            <w:fldChar w:fldCharType="separate"/>
          </w:r>
          <w:r w:rsidR="00DF47DA" w:rsidRPr="00DF47DA">
            <w:rPr>
              <w:noProof/>
              <w:lang w:val="en-US"/>
            </w:rPr>
            <w:t>[18]</w:t>
          </w:r>
          <w:r w:rsidR="00E6493D" w:rsidRPr="00DD1B58">
            <w:rPr>
              <w:lang w:val="en-US"/>
            </w:rPr>
            <w:fldChar w:fldCharType="end"/>
          </w:r>
        </w:sdtContent>
      </w:sdt>
      <w:r w:rsidR="00E82388" w:rsidRPr="00DD1B58">
        <w:rPr>
          <w:lang w:val="en-US"/>
        </w:rPr>
        <w:t xml:space="preserve"> which identifies the </w:t>
      </w:r>
      <w:r w:rsidR="00643E46" w:rsidRPr="00DD1B58">
        <w:rPr>
          <w:lang w:val="en-US"/>
        </w:rPr>
        <w:t xml:space="preserve">need </w:t>
      </w:r>
      <w:r w:rsidR="00E82388" w:rsidRPr="00DD1B58">
        <w:rPr>
          <w:lang w:val="en-US"/>
        </w:rPr>
        <w:t xml:space="preserve">to review implications for nuclear fire safety </w:t>
      </w:r>
      <w:r w:rsidR="00E6493D" w:rsidRPr="00DD1B58">
        <w:rPr>
          <w:lang w:val="en-US"/>
        </w:rPr>
        <w:t>due to plant modification</w:t>
      </w:r>
      <w:r w:rsidR="009F5228" w:rsidRPr="00DD1B58">
        <w:rPr>
          <w:lang w:val="en-US"/>
        </w:rPr>
        <w:t>s</w:t>
      </w:r>
      <w:r w:rsidR="00E6493D" w:rsidRPr="00DD1B58">
        <w:rPr>
          <w:lang w:val="en-US"/>
        </w:rPr>
        <w:t>.</w:t>
      </w:r>
      <w:r w:rsidR="00DE11E7" w:rsidRPr="00DD1B58">
        <w:rPr>
          <w:lang w:val="en-US"/>
        </w:rPr>
        <w:t xml:space="preserve"> </w:t>
      </w:r>
      <w:r w:rsidR="00AB112A" w:rsidRPr="00DD1B58">
        <w:rPr>
          <w:lang w:val="en-US"/>
        </w:rPr>
        <w:t xml:space="preserve">ONR </w:t>
      </w:r>
      <w:r w:rsidR="00FE1E91" w:rsidRPr="00DD1B58">
        <w:rPr>
          <w:lang w:val="en-US"/>
        </w:rPr>
        <w:t xml:space="preserve">has </w:t>
      </w:r>
      <w:r w:rsidR="00BB08B7" w:rsidRPr="00DD1B58">
        <w:rPr>
          <w:lang w:val="en-US"/>
        </w:rPr>
        <w:t xml:space="preserve">assessed </w:t>
      </w:r>
      <w:r w:rsidR="00F33754" w:rsidRPr="00DD1B58">
        <w:rPr>
          <w:lang w:val="en-US"/>
        </w:rPr>
        <w:t xml:space="preserve">modification safety case </w:t>
      </w:r>
      <w:r w:rsidR="008F2F6C" w:rsidRPr="00DD1B58">
        <w:rPr>
          <w:lang w:val="en-US"/>
        </w:rPr>
        <w:t xml:space="preserve">hazard </w:t>
      </w:r>
      <w:r w:rsidR="00AC3F4D" w:rsidRPr="00DD1B58">
        <w:rPr>
          <w:lang w:val="en-US"/>
        </w:rPr>
        <w:t xml:space="preserve">analysis (including fire) for the </w:t>
      </w:r>
      <w:r w:rsidR="009D0887" w:rsidRPr="00DD1B58">
        <w:rPr>
          <w:lang w:val="en-US"/>
        </w:rPr>
        <w:t xml:space="preserve">Reactor Vessel </w:t>
      </w:r>
      <w:r w:rsidR="004E7D98" w:rsidRPr="00DD1B58">
        <w:rPr>
          <w:lang w:val="en-US"/>
        </w:rPr>
        <w:t>Water Vapour Nitrogen (</w:t>
      </w:r>
      <w:r w:rsidR="00AC3F4D" w:rsidRPr="00DD1B58">
        <w:rPr>
          <w:lang w:val="en-US"/>
        </w:rPr>
        <w:t>RWVN</w:t>
      </w:r>
      <w:r w:rsidR="004E7D98" w:rsidRPr="00DD1B58">
        <w:rPr>
          <w:lang w:val="en-US"/>
        </w:rPr>
        <w:t>)</w:t>
      </w:r>
      <w:r w:rsidR="00AC3F4D" w:rsidRPr="00DD1B58">
        <w:rPr>
          <w:lang w:val="en-US"/>
        </w:rPr>
        <w:t xml:space="preserve"> </w:t>
      </w:r>
      <w:r w:rsidR="004E7D98" w:rsidRPr="00DD1B58">
        <w:rPr>
          <w:lang w:val="en-US"/>
        </w:rPr>
        <w:t>P</w:t>
      </w:r>
      <w:r w:rsidR="00AC3F4D" w:rsidRPr="00DD1B58">
        <w:rPr>
          <w:lang w:val="en-US"/>
        </w:rPr>
        <w:t xml:space="preserve">roject and found the analysis to be adequate </w:t>
      </w:r>
      <w:r w:rsidR="00382D7A" w:rsidRPr="00DD1B58">
        <w:rPr>
          <w:lang w:val="en-US"/>
        </w:rPr>
        <w:t>and broadly aligned with ONR SAPs and TAGs.</w:t>
      </w:r>
    </w:p>
    <w:p w14:paraId="5510AA59" w14:textId="77777777" w:rsidR="00A372FF" w:rsidRPr="00DD1B58" w:rsidRDefault="00A372FF" w:rsidP="00D83F38">
      <w:pPr>
        <w:rPr>
          <w:b/>
          <w:lang w:val="en-US"/>
        </w:rPr>
      </w:pPr>
      <w:r w:rsidRPr="00DD1B58">
        <w:rPr>
          <w:b/>
          <w:lang w:val="en-US"/>
        </w:rPr>
        <w:t>Weaknesses</w:t>
      </w:r>
    </w:p>
    <w:p w14:paraId="7B640CB1" w14:textId="77777777" w:rsidR="001F21EB" w:rsidRPr="00DD1B58" w:rsidRDefault="002B3BC8" w:rsidP="00A372FF">
      <w:pPr>
        <w:ind w:firstLine="720"/>
        <w:rPr>
          <w:b/>
          <w:lang w:val="en-US"/>
        </w:rPr>
      </w:pPr>
      <w:r w:rsidRPr="00DD1B58">
        <w:rPr>
          <w:b/>
          <w:lang w:val="en-US"/>
        </w:rPr>
        <w:t>Resourcing of Fire Engineering Support</w:t>
      </w:r>
    </w:p>
    <w:p w14:paraId="4847E5E0" w14:textId="1162F659" w:rsidR="00D86941" w:rsidRPr="00DD1B58" w:rsidRDefault="004A7199" w:rsidP="00D83F38">
      <w:pPr>
        <w:rPr>
          <w:lang w:val="en-US"/>
        </w:rPr>
      </w:pPr>
      <w:r w:rsidRPr="00DD1B58">
        <w:rPr>
          <w:lang w:val="en-US"/>
        </w:rPr>
        <w:t xml:space="preserve">Dounreay </w:t>
      </w:r>
      <w:r w:rsidR="009F5228" w:rsidRPr="00DD1B58">
        <w:rPr>
          <w:lang w:val="en-US"/>
        </w:rPr>
        <w:t>self-</w:t>
      </w:r>
      <w:r w:rsidRPr="00DD1B58">
        <w:rPr>
          <w:lang w:val="en-US"/>
        </w:rPr>
        <w:t xml:space="preserve">identified a potential weakness in that </w:t>
      </w:r>
      <w:r w:rsidR="009F5228" w:rsidRPr="00DD1B58">
        <w:rPr>
          <w:lang w:val="en-US"/>
        </w:rPr>
        <w:t xml:space="preserve">it </w:t>
      </w:r>
      <w:r w:rsidR="00D35329" w:rsidRPr="00DD1B58">
        <w:rPr>
          <w:lang w:val="en-US"/>
        </w:rPr>
        <w:t>do</w:t>
      </w:r>
      <w:r w:rsidR="009F5228" w:rsidRPr="00DD1B58">
        <w:rPr>
          <w:lang w:val="en-US"/>
        </w:rPr>
        <w:t>es</w:t>
      </w:r>
      <w:r w:rsidR="00D35329" w:rsidRPr="00DD1B58">
        <w:rPr>
          <w:lang w:val="en-US"/>
        </w:rPr>
        <w:t xml:space="preserve"> not currently have in-house fire specialist </w:t>
      </w:r>
      <w:r w:rsidR="00F32EA0" w:rsidRPr="00DD1B58">
        <w:rPr>
          <w:lang w:val="en-US"/>
        </w:rPr>
        <w:t xml:space="preserve">engineers who would be able to complete </w:t>
      </w:r>
      <w:r w:rsidR="0069790E" w:rsidRPr="00DD1B58">
        <w:rPr>
          <w:lang w:val="en-US"/>
        </w:rPr>
        <w:t xml:space="preserve">new DFRAs. This places a reliance on </w:t>
      </w:r>
      <w:r w:rsidR="00E81296" w:rsidRPr="00DD1B58">
        <w:rPr>
          <w:lang w:val="en-US"/>
        </w:rPr>
        <w:t>contracting organisations</w:t>
      </w:r>
      <w:r w:rsidR="00EF0B20" w:rsidRPr="00DD1B58">
        <w:rPr>
          <w:lang w:val="en-US"/>
        </w:rPr>
        <w:t xml:space="preserve"> and </w:t>
      </w:r>
      <w:r w:rsidR="00ED10F4" w:rsidRPr="00DD1B58">
        <w:rPr>
          <w:lang w:val="en-US"/>
        </w:rPr>
        <w:t xml:space="preserve">potentially creates a lag between site changes and a complete </w:t>
      </w:r>
      <w:r w:rsidR="00271316" w:rsidRPr="00DD1B58">
        <w:rPr>
          <w:lang w:val="en-US"/>
        </w:rPr>
        <w:t xml:space="preserve">understanding of any new fire risks. </w:t>
      </w:r>
      <w:r w:rsidR="00346A5A" w:rsidRPr="00DD1B58">
        <w:rPr>
          <w:lang w:val="en-US"/>
        </w:rPr>
        <w:t>Large changes would be captured by the site modification safety case process (see above) however, smaller changes such as the relocation of combustibles</w:t>
      </w:r>
      <w:r w:rsidR="00070146" w:rsidRPr="00DD1B58">
        <w:rPr>
          <w:lang w:val="en-US"/>
        </w:rPr>
        <w:t xml:space="preserve"> or the introduction of new ignition sources (such as for hot works) </w:t>
      </w:r>
      <w:r w:rsidR="004C11C5" w:rsidRPr="00DD1B58">
        <w:rPr>
          <w:lang w:val="en-US"/>
        </w:rPr>
        <w:t>would not</w:t>
      </w:r>
      <w:r w:rsidR="00652B5E" w:rsidRPr="00DD1B58">
        <w:rPr>
          <w:lang w:val="en-US"/>
        </w:rPr>
        <w:t>.</w:t>
      </w:r>
      <w:r w:rsidR="00FD4116" w:rsidRPr="00DD1B58">
        <w:rPr>
          <w:lang w:val="en-US"/>
        </w:rPr>
        <w:t xml:space="preserve"> </w:t>
      </w:r>
      <w:r w:rsidR="00446EAC" w:rsidRPr="00DD1B58">
        <w:rPr>
          <w:lang w:val="en-US"/>
        </w:rPr>
        <w:t xml:space="preserve">As part of a recent intervention, </w:t>
      </w:r>
      <w:r w:rsidR="00FD4116" w:rsidRPr="00DD1B58">
        <w:rPr>
          <w:lang w:val="en-US"/>
        </w:rPr>
        <w:t xml:space="preserve">ONR </w:t>
      </w:r>
      <w:r w:rsidR="00F83349" w:rsidRPr="00DD1B58">
        <w:rPr>
          <w:lang w:val="en-US"/>
        </w:rPr>
        <w:t xml:space="preserve">sampled </w:t>
      </w:r>
      <w:r w:rsidR="00446EAC" w:rsidRPr="00DD1B58">
        <w:rPr>
          <w:lang w:val="en-US"/>
        </w:rPr>
        <w:t>the</w:t>
      </w:r>
      <w:r w:rsidR="00F83349" w:rsidRPr="00DD1B58">
        <w:rPr>
          <w:lang w:val="en-US"/>
        </w:rPr>
        <w:t xml:space="preserve"> fire safety </w:t>
      </w:r>
      <w:r w:rsidR="009B3975" w:rsidRPr="00DD1B58">
        <w:rPr>
          <w:lang w:val="en-US"/>
        </w:rPr>
        <w:t xml:space="preserve">analysis </w:t>
      </w:r>
      <w:r w:rsidR="005B1CE9" w:rsidRPr="00DD1B58">
        <w:rPr>
          <w:lang w:val="en-US"/>
        </w:rPr>
        <w:t xml:space="preserve">for PFR </w:t>
      </w:r>
      <w:r w:rsidR="001F34E4" w:rsidRPr="00DD1B58">
        <w:rPr>
          <w:lang w:val="en-US"/>
        </w:rPr>
        <w:t>prepared by e</w:t>
      </w:r>
      <w:r w:rsidR="00FA475C" w:rsidRPr="00DD1B58">
        <w:rPr>
          <w:lang w:val="en-US"/>
        </w:rPr>
        <w:t>x</w:t>
      </w:r>
      <w:r w:rsidR="001F34E4" w:rsidRPr="00DD1B58">
        <w:rPr>
          <w:lang w:val="en-US"/>
        </w:rPr>
        <w:t>ternal contractors</w:t>
      </w:r>
      <w:r w:rsidR="00E76980" w:rsidRPr="00DD1B58">
        <w:rPr>
          <w:lang w:val="en-US"/>
        </w:rPr>
        <w:t xml:space="preserve"> </w:t>
      </w:r>
      <w:sdt>
        <w:sdtPr>
          <w:rPr>
            <w:lang w:val="en-US"/>
          </w:rPr>
          <w:id w:val="816840387"/>
          <w:citation/>
        </w:sdtPr>
        <w:sdtContent>
          <w:r w:rsidR="00E76980" w:rsidRPr="00DD1B58">
            <w:rPr>
              <w:lang w:val="en-US"/>
            </w:rPr>
            <w:fldChar w:fldCharType="begin"/>
          </w:r>
          <w:r w:rsidR="00E76980" w:rsidRPr="00DD1B58">
            <w:rPr>
              <w:lang w:val="en-US"/>
            </w:rPr>
            <w:instrText xml:space="preserve"> CITATION Off7 \l 2057 </w:instrText>
          </w:r>
          <w:r w:rsidR="00E76980" w:rsidRPr="00DD1B58">
            <w:rPr>
              <w:lang w:val="en-US"/>
            </w:rPr>
            <w:fldChar w:fldCharType="separate"/>
          </w:r>
          <w:r w:rsidR="00DF47DA" w:rsidRPr="00DF47DA">
            <w:rPr>
              <w:noProof/>
              <w:lang w:val="en-US"/>
            </w:rPr>
            <w:t>[128]</w:t>
          </w:r>
          <w:r w:rsidR="00E76980" w:rsidRPr="00DD1B58">
            <w:rPr>
              <w:lang w:val="en-US"/>
            </w:rPr>
            <w:fldChar w:fldCharType="end"/>
          </w:r>
        </w:sdtContent>
      </w:sdt>
      <w:r w:rsidR="001F34E4" w:rsidRPr="00DD1B58">
        <w:rPr>
          <w:lang w:val="en-US"/>
        </w:rPr>
        <w:t xml:space="preserve"> and found that the expectations of the ONR </w:t>
      </w:r>
      <w:r w:rsidR="001A141E" w:rsidRPr="00DD1B58">
        <w:rPr>
          <w:lang w:val="en-US"/>
        </w:rPr>
        <w:t>TAG on internal hazards</w:t>
      </w:r>
      <w:r w:rsidR="00777632" w:rsidRPr="00DD1B58">
        <w:rPr>
          <w:lang w:val="en-US"/>
        </w:rPr>
        <w:t xml:space="preserve"> </w:t>
      </w:r>
      <w:sdt>
        <w:sdtPr>
          <w:rPr>
            <w:lang w:val="en-US"/>
          </w:rPr>
          <w:id w:val="1480423261"/>
          <w:citation/>
        </w:sdtPr>
        <w:sdtContent>
          <w:r w:rsidR="00700D63" w:rsidRPr="00DD1B58">
            <w:rPr>
              <w:lang w:val="en-US"/>
            </w:rPr>
            <w:fldChar w:fldCharType="begin"/>
          </w:r>
          <w:r w:rsidR="00700D63" w:rsidRPr="00DD1B58">
            <w:rPr>
              <w:lang w:val="en-US"/>
            </w:rPr>
            <w:instrText xml:space="preserve"> CITATION ONR4 \l 2057 </w:instrText>
          </w:r>
          <w:r w:rsidR="00700D63" w:rsidRPr="00DD1B58">
            <w:rPr>
              <w:lang w:val="en-US"/>
            </w:rPr>
            <w:fldChar w:fldCharType="separate"/>
          </w:r>
          <w:r w:rsidR="00DF47DA" w:rsidRPr="00DF47DA">
            <w:rPr>
              <w:noProof/>
              <w:lang w:val="en-US"/>
            </w:rPr>
            <w:t>[16]</w:t>
          </w:r>
          <w:r w:rsidR="00700D63" w:rsidRPr="00DD1B58">
            <w:rPr>
              <w:lang w:val="en-US"/>
            </w:rPr>
            <w:fldChar w:fldCharType="end"/>
          </w:r>
        </w:sdtContent>
      </w:sdt>
      <w:r w:rsidR="001A141E" w:rsidRPr="00DD1B58">
        <w:rPr>
          <w:lang w:val="en-US"/>
        </w:rPr>
        <w:t xml:space="preserve"> had been met</w:t>
      </w:r>
      <w:r w:rsidR="00F907D2" w:rsidRPr="00DD1B58">
        <w:rPr>
          <w:lang w:val="en-US"/>
        </w:rPr>
        <w:t xml:space="preserve">. This included the use of </w:t>
      </w:r>
      <w:r w:rsidR="00E13CCD" w:rsidRPr="00DD1B58">
        <w:rPr>
          <w:lang w:val="en-US"/>
        </w:rPr>
        <w:t xml:space="preserve">recognised fire hazard characterisation and calculation techniques. </w:t>
      </w:r>
    </w:p>
    <w:p w14:paraId="094A9AB8" w14:textId="77777777" w:rsidR="002B3BC8" w:rsidRPr="00DD1B58" w:rsidRDefault="002B3BC8" w:rsidP="00A372FF">
      <w:pPr>
        <w:ind w:firstLine="720"/>
        <w:rPr>
          <w:b/>
          <w:lang w:val="en-US"/>
        </w:rPr>
      </w:pPr>
      <w:r w:rsidRPr="00DD1B58">
        <w:rPr>
          <w:b/>
          <w:lang w:val="en-US"/>
        </w:rPr>
        <w:t>Fire Loading and Data Sources</w:t>
      </w:r>
    </w:p>
    <w:p w14:paraId="0E1E3E3E" w14:textId="6D2189F8" w:rsidR="009946A1" w:rsidRPr="00DD1B58" w:rsidRDefault="00FB764A" w:rsidP="00D83F38">
      <w:pPr>
        <w:rPr>
          <w:lang w:val="en-US"/>
        </w:rPr>
      </w:pPr>
      <w:r w:rsidRPr="00DD1B58">
        <w:rPr>
          <w:lang w:val="en-US"/>
        </w:rPr>
        <w:t xml:space="preserve">ONR TAG 14 </w:t>
      </w:r>
      <w:sdt>
        <w:sdtPr>
          <w:rPr>
            <w:lang w:val="en-US"/>
          </w:rPr>
          <w:id w:val="-1861425868"/>
          <w:citation/>
        </w:sdtPr>
        <w:sdtContent>
          <w:r w:rsidR="006C01CB" w:rsidRPr="00DD1B58">
            <w:rPr>
              <w:lang w:val="en-US"/>
            </w:rPr>
            <w:fldChar w:fldCharType="begin"/>
          </w:r>
          <w:r w:rsidR="006C01CB" w:rsidRPr="00DD1B58">
            <w:rPr>
              <w:lang w:val="en-US"/>
            </w:rPr>
            <w:instrText xml:space="preserve"> CITATION ONR4 \l 2057 </w:instrText>
          </w:r>
          <w:r w:rsidR="006C01CB" w:rsidRPr="00DD1B58">
            <w:rPr>
              <w:lang w:val="en-US"/>
            </w:rPr>
            <w:fldChar w:fldCharType="separate"/>
          </w:r>
          <w:r w:rsidR="00DF47DA" w:rsidRPr="00DF47DA">
            <w:rPr>
              <w:noProof/>
              <w:lang w:val="en-US"/>
            </w:rPr>
            <w:t>[16]</w:t>
          </w:r>
          <w:r w:rsidR="006C01CB" w:rsidRPr="00DD1B58">
            <w:rPr>
              <w:lang w:val="en-US"/>
            </w:rPr>
            <w:fldChar w:fldCharType="end"/>
          </w:r>
        </w:sdtContent>
      </w:sdt>
      <w:r w:rsidR="00506125" w:rsidRPr="00DD1B58">
        <w:rPr>
          <w:lang w:val="en-US"/>
        </w:rPr>
        <w:t xml:space="preserve"> </w:t>
      </w:r>
      <w:r w:rsidRPr="00DD1B58">
        <w:rPr>
          <w:lang w:val="en-US"/>
        </w:rPr>
        <w:t xml:space="preserve">on </w:t>
      </w:r>
      <w:r w:rsidR="00591846" w:rsidRPr="00DD1B58">
        <w:rPr>
          <w:lang w:val="en-US"/>
        </w:rPr>
        <w:t xml:space="preserve">Internal Hazards provides guidance to inspectors on the </w:t>
      </w:r>
      <w:r w:rsidR="00016F43" w:rsidRPr="00DD1B58">
        <w:rPr>
          <w:lang w:val="en-US"/>
        </w:rPr>
        <w:t xml:space="preserve">adequacy of data related to fire loading </w:t>
      </w:r>
      <w:r w:rsidR="00DF0E14" w:rsidRPr="00DD1B58">
        <w:rPr>
          <w:lang w:val="en-US"/>
        </w:rPr>
        <w:t xml:space="preserve">including specific examples of loading categories. This guidance </w:t>
      </w:r>
      <w:r w:rsidR="00906DF8" w:rsidRPr="00DD1B58">
        <w:rPr>
          <w:lang w:val="en-US"/>
        </w:rPr>
        <w:t>build</w:t>
      </w:r>
      <w:r w:rsidR="00652B53" w:rsidRPr="00DD1B58">
        <w:rPr>
          <w:lang w:val="en-US"/>
        </w:rPr>
        <w:t>s</w:t>
      </w:r>
      <w:r w:rsidR="00906DF8" w:rsidRPr="00DD1B58">
        <w:rPr>
          <w:lang w:val="en-US"/>
        </w:rPr>
        <w:t xml:space="preserve"> on </w:t>
      </w:r>
      <w:r w:rsidR="006D4474" w:rsidRPr="00DD1B58">
        <w:rPr>
          <w:lang w:val="en-US"/>
        </w:rPr>
        <w:t xml:space="preserve">ONR </w:t>
      </w:r>
      <w:r w:rsidR="00906DF8" w:rsidRPr="00DD1B58">
        <w:rPr>
          <w:lang w:val="en-US"/>
        </w:rPr>
        <w:t>SAP EHA.14</w:t>
      </w:r>
      <w:r w:rsidR="00251D34" w:rsidRPr="00DD1B58">
        <w:rPr>
          <w:lang w:val="en-US"/>
        </w:rPr>
        <w:t xml:space="preserve"> – sources of harm</w:t>
      </w:r>
      <w:r w:rsidR="00506125" w:rsidRPr="00DD1B58">
        <w:rPr>
          <w:lang w:val="en-US"/>
        </w:rPr>
        <w:t xml:space="preserve"> </w:t>
      </w:r>
      <w:sdt>
        <w:sdtPr>
          <w:rPr>
            <w:lang w:val="en-US"/>
          </w:rPr>
          <w:id w:val="-976452030"/>
          <w:citation/>
        </w:sdtPr>
        <w:sdtContent>
          <w:r w:rsidR="002A0DF9" w:rsidRPr="00DD1B58">
            <w:rPr>
              <w:lang w:val="en-US"/>
            </w:rPr>
            <w:fldChar w:fldCharType="begin"/>
          </w:r>
          <w:r w:rsidR="009C6919" w:rsidRPr="00DD1B58">
            <w:rPr>
              <w:lang w:val="en-US"/>
            </w:rPr>
            <w:instrText xml:space="preserve">CITATION Off20 \l 2057 </w:instrText>
          </w:r>
          <w:r w:rsidR="002A0DF9" w:rsidRPr="00DD1B58">
            <w:rPr>
              <w:lang w:val="en-US"/>
            </w:rPr>
            <w:fldChar w:fldCharType="separate"/>
          </w:r>
          <w:r w:rsidR="00DF47DA" w:rsidRPr="00DF47DA">
            <w:rPr>
              <w:noProof/>
              <w:lang w:val="en-US"/>
            </w:rPr>
            <w:t>[15]</w:t>
          </w:r>
          <w:r w:rsidR="002A0DF9" w:rsidRPr="00DD1B58">
            <w:rPr>
              <w:lang w:val="en-US"/>
            </w:rPr>
            <w:fldChar w:fldCharType="end"/>
          </w:r>
        </w:sdtContent>
      </w:sdt>
      <w:r w:rsidR="00652B53" w:rsidRPr="00DD1B58">
        <w:rPr>
          <w:lang w:val="en-US"/>
        </w:rPr>
        <w:t>. TAG 14</w:t>
      </w:r>
      <w:r w:rsidR="00506125" w:rsidRPr="00DD1B58">
        <w:rPr>
          <w:lang w:val="en-US"/>
        </w:rPr>
        <w:t xml:space="preserve"> </w:t>
      </w:r>
      <w:sdt>
        <w:sdtPr>
          <w:rPr>
            <w:lang w:val="en-US"/>
          </w:rPr>
          <w:id w:val="-486476452"/>
          <w:citation/>
        </w:sdtPr>
        <w:sdtContent>
          <w:r w:rsidR="002A0DF9" w:rsidRPr="00DD1B58">
            <w:rPr>
              <w:lang w:val="en-US"/>
            </w:rPr>
            <w:fldChar w:fldCharType="begin"/>
          </w:r>
          <w:r w:rsidR="002A0DF9" w:rsidRPr="00DD1B58">
            <w:rPr>
              <w:lang w:val="en-US"/>
            </w:rPr>
            <w:instrText xml:space="preserve"> CITATION ONR4 \l 2057 </w:instrText>
          </w:r>
          <w:r w:rsidR="002A0DF9" w:rsidRPr="00DD1B58">
            <w:rPr>
              <w:lang w:val="en-US"/>
            </w:rPr>
            <w:fldChar w:fldCharType="separate"/>
          </w:r>
          <w:r w:rsidR="00DF47DA" w:rsidRPr="00DF47DA">
            <w:rPr>
              <w:noProof/>
              <w:lang w:val="en-US"/>
            </w:rPr>
            <w:t>[16]</w:t>
          </w:r>
          <w:r w:rsidR="002A0DF9" w:rsidRPr="00DD1B58">
            <w:rPr>
              <w:lang w:val="en-US"/>
            </w:rPr>
            <w:fldChar w:fldCharType="end"/>
          </w:r>
        </w:sdtContent>
      </w:sdt>
      <w:r w:rsidR="00652B53" w:rsidRPr="00DD1B58">
        <w:rPr>
          <w:lang w:val="en-US"/>
        </w:rPr>
        <w:t xml:space="preserve"> states that </w:t>
      </w:r>
      <w:r w:rsidR="003D1BCF" w:rsidRPr="00DD1B58">
        <w:rPr>
          <w:lang w:val="en-US"/>
        </w:rPr>
        <w:t>“the safety case should provide reference to surveys or studies of combustible substances</w:t>
      </w:r>
      <w:r w:rsidR="00602D19" w:rsidRPr="00DD1B58">
        <w:rPr>
          <w:lang w:val="en-US"/>
        </w:rPr>
        <w:t xml:space="preserve">, which should be </w:t>
      </w:r>
      <w:r w:rsidR="00756D1D" w:rsidRPr="00DD1B58">
        <w:rPr>
          <w:lang w:val="en-US"/>
        </w:rPr>
        <w:t>systematic and demonstrably complete”.</w:t>
      </w:r>
      <w:r w:rsidR="009946A1" w:rsidRPr="00DD1B58">
        <w:rPr>
          <w:lang w:val="en-US"/>
        </w:rPr>
        <w:t xml:space="preserve"> </w:t>
      </w:r>
      <w:r w:rsidR="000832AE" w:rsidRPr="00DD1B58">
        <w:rPr>
          <w:lang w:val="en-US"/>
        </w:rPr>
        <w:t xml:space="preserve">This is aligned with the expectations of IAEA SSG-77 </w:t>
      </w:r>
      <w:r w:rsidR="005A3D59" w:rsidRPr="00DD1B58">
        <w:rPr>
          <w:lang w:val="en-US"/>
        </w:rPr>
        <w:t>Appendix</w:t>
      </w:r>
      <w:r w:rsidR="000832AE" w:rsidRPr="00DD1B58">
        <w:rPr>
          <w:lang w:val="en-US"/>
        </w:rPr>
        <w:t xml:space="preserve"> I-25 </w:t>
      </w:r>
      <w:sdt>
        <w:sdtPr>
          <w:rPr>
            <w:lang w:val="en-US"/>
          </w:rPr>
          <w:id w:val="1956746032"/>
          <w:citation/>
        </w:sdtPr>
        <w:sdtContent>
          <w:r w:rsidR="008B0B71" w:rsidRPr="00DD1B58">
            <w:rPr>
              <w:lang w:val="en-US"/>
            </w:rPr>
            <w:fldChar w:fldCharType="begin"/>
          </w:r>
          <w:r w:rsidR="008B0B71" w:rsidRPr="00DD1B58">
            <w:rPr>
              <w:lang w:val="en-US"/>
            </w:rPr>
            <w:instrText xml:space="preserve"> CITATION Int22 \l 2057 </w:instrText>
          </w:r>
          <w:r w:rsidR="008B0B71" w:rsidRPr="00DD1B58">
            <w:rPr>
              <w:lang w:val="en-US"/>
            </w:rPr>
            <w:fldChar w:fldCharType="separate"/>
          </w:r>
          <w:r w:rsidR="00DF47DA" w:rsidRPr="00DF47DA">
            <w:rPr>
              <w:noProof/>
              <w:lang w:val="en-US"/>
            </w:rPr>
            <w:t>[18]</w:t>
          </w:r>
          <w:r w:rsidR="008B0B71" w:rsidRPr="00DD1B58">
            <w:rPr>
              <w:lang w:val="en-US"/>
            </w:rPr>
            <w:fldChar w:fldCharType="end"/>
          </w:r>
        </w:sdtContent>
      </w:sdt>
      <w:r w:rsidR="008B0B71" w:rsidRPr="00DD1B58">
        <w:rPr>
          <w:lang w:val="en-US"/>
        </w:rPr>
        <w:t xml:space="preserve"> </w:t>
      </w:r>
      <w:r w:rsidR="00DB4887" w:rsidRPr="00DD1B58">
        <w:rPr>
          <w:lang w:val="en-US"/>
        </w:rPr>
        <w:t>to establish and record maximum permissible fire loadings.</w:t>
      </w:r>
    </w:p>
    <w:p w14:paraId="3946893F" w14:textId="5E140629" w:rsidR="00251084" w:rsidRPr="00DD1B58" w:rsidRDefault="002375DE" w:rsidP="00D83F38">
      <w:pPr>
        <w:rPr>
          <w:lang w:val="en-US"/>
        </w:rPr>
      </w:pPr>
      <w:r w:rsidRPr="00DD1B58">
        <w:rPr>
          <w:lang w:val="en-US"/>
        </w:rPr>
        <w:t xml:space="preserve">The licensee </w:t>
      </w:r>
      <w:r w:rsidR="00D766B9" w:rsidRPr="00DD1B58">
        <w:rPr>
          <w:lang w:val="en-US"/>
        </w:rPr>
        <w:t>acknowledged</w:t>
      </w:r>
      <w:r w:rsidRPr="00DD1B58">
        <w:rPr>
          <w:lang w:val="en-US"/>
        </w:rPr>
        <w:t xml:space="preserve"> </w:t>
      </w:r>
      <w:r w:rsidR="00C55750" w:rsidRPr="00DD1B58">
        <w:rPr>
          <w:lang w:val="en-US"/>
        </w:rPr>
        <w:t xml:space="preserve">that a global </w:t>
      </w:r>
      <w:r w:rsidR="00210E40" w:rsidRPr="00DD1B58">
        <w:rPr>
          <w:lang w:val="en-US"/>
        </w:rPr>
        <w:t>(room</w:t>
      </w:r>
      <w:r w:rsidR="00D766B9" w:rsidRPr="00DD1B58">
        <w:rPr>
          <w:lang w:val="en-US"/>
        </w:rPr>
        <w:t>-</w:t>
      </w:r>
      <w:r w:rsidR="00210E40" w:rsidRPr="00DD1B58">
        <w:rPr>
          <w:lang w:val="en-US"/>
        </w:rPr>
        <w:t>by</w:t>
      </w:r>
      <w:r w:rsidR="00D766B9" w:rsidRPr="00DD1B58">
        <w:rPr>
          <w:lang w:val="en-US"/>
        </w:rPr>
        <w:t>-</w:t>
      </w:r>
      <w:r w:rsidR="00210E40" w:rsidRPr="00DD1B58">
        <w:rPr>
          <w:lang w:val="en-US"/>
        </w:rPr>
        <w:t xml:space="preserve">room) </w:t>
      </w:r>
      <w:r w:rsidR="00314597" w:rsidRPr="00DD1B58">
        <w:rPr>
          <w:lang w:val="en-US"/>
        </w:rPr>
        <w:t xml:space="preserve">fire load assessment </w:t>
      </w:r>
      <w:r w:rsidR="00D766B9" w:rsidRPr="00DD1B58">
        <w:rPr>
          <w:lang w:val="en-US"/>
        </w:rPr>
        <w:t>had</w:t>
      </w:r>
      <w:r w:rsidR="00314597" w:rsidRPr="00DD1B58">
        <w:rPr>
          <w:lang w:val="en-US"/>
        </w:rPr>
        <w:t xml:space="preserve"> not</w:t>
      </w:r>
      <w:r w:rsidR="00373594" w:rsidRPr="00DD1B58">
        <w:rPr>
          <w:lang w:val="en-US"/>
        </w:rPr>
        <w:t xml:space="preserve"> been carried out for PFR </w:t>
      </w:r>
      <w:r w:rsidR="00367CF1" w:rsidRPr="00DD1B58">
        <w:rPr>
          <w:lang w:val="en-US"/>
        </w:rPr>
        <w:t xml:space="preserve">and </w:t>
      </w:r>
      <w:r w:rsidR="001D5A6C" w:rsidRPr="00DD1B58">
        <w:rPr>
          <w:lang w:val="en-US"/>
        </w:rPr>
        <w:t>limits on fire loading were not derived from the DSC</w:t>
      </w:r>
      <w:r w:rsidR="00C06302" w:rsidRPr="00DD1B58">
        <w:rPr>
          <w:lang w:val="en-US"/>
        </w:rPr>
        <w:t xml:space="preserve">. </w:t>
      </w:r>
      <w:r w:rsidR="00CB70AC" w:rsidRPr="00DD1B58">
        <w:rPr>
          <w:lang w:val="en-US"/>
        </w:rPr>
        <w:t xml:space="preserve">It should be noted that </w:t>
      </w:r>
      <w:r w:rsidR="00C06302" w:rsidRPr="00DD1B58">
        <w:rPr>
          <w:lang w:val="en-US"/>
        </w:rPr>
        <w:t xml:space="preserve">PFR is in advanced stages of decommissioning </w:t>
      </w:r>
      <w:r w:rsidR="003D4A1A" w:rsidRPr="00DD1B58">
        <w:rPr>
          <w:lang w:val="en-US"/>
        </w:rPr>
        <w:t>with a low baseline nuclear safety risk</w:t>
      </w:r>
      <w:r w:rsidR="00044718" w:rsidRPr="00DD1B58">
        <w:rPr>
          <w:lang w:val="en-US"/>
        </w:rPr>
        <w:t xml:space="preserve">. </w:t>
      </w:r>
      <w:r w:rsidR="00817ABA" w:rsidRPr="00DD1B58">
        <w:rPr>
          <w:lang w:val="en-US"/>
        </w:rPr>
        <w:t>Additionally,</w:t>
      </w:r>
      <w:r w:rsidR="00044718" w:rsidRPr="00DD1B58">
        <w:rPr>
          <w:lang w:val="en-US"/>
        </w:rPr>
        <w:t xml:space="preserve"> the licensee </w:t>
      </w:r>
      <w:r w:rsidR="00CB70AC" w:rsidRPr="00DD1B58">
        <w:rPr>
          <w:lang w:val="en-US"/>
        </w:rPr>
        <w:t>stated</w:t>
      </w:r>
      <w:r w:rsidR="00044718" w:rsidRPr="00DD1B58">
        <w:rPr>
          <w:lang w:val="en-US"/>
        </w:rPr>
        <w:t xml:space="preserve"> </w:t>
      </w:r>
      <w:r w:rsidR="00262D48" w:rsidRPr="00DD1B58">
        <w:rPr>
          <w:lang w:val="en-US"/>
        </w:rPr>
        <w:t xml:space="preserve">that </w:t>
      </w:r>
      <w:r w:rsidR="00BE0779" w:rsidRPr="00DD1B58">
        <w:rPr>
          <w:lang w:val="en-US"/>
        </w:rPr>
        <w:t xml:space="preserve">fire loading is largely contained in </w:t>
      </w:r>
      <w:r w:rsidR="009309A4" w:rsidRPr="00DD1B58">
        <w:rPr>
          <w:lang w:val="en-US"/>
        </w:rPr>
        <w:t>discrete accumulations.</w:t>
      </w:r>
      <w:r w:rsidR="00817ABA" w:rsidRPr="00DD1B58">
        <w:rPr>
          <w:lang w:val="en-US"/>
        </w:rPr>
        <w:t xml:space="preserve"> </w:t>
      </w:r>
      <w:r w:rsidR="00AA1F2F" w:rsidRPr="00DD1B58">
        <w:rPr>
          <w:lang w:val="en-US"/>
        </w:rPr>
        <w:t>This is reflective of the largely open plan nature of the facility with limit</w:t>
      </w:r>
      <w:r w:rsidR="00376BF7" w:rsidRPr="00DD1B58">
        <w:rPr>
          <w:lang w:val="en-US"/>
        </w:rPr>
        <w:t>ed</w:t>
      </w:r>
      <w:r w:rsidR="00AA1F2F" w:rsidRPr="00DD1B58">
        <w:rPr>
          <w:lang w:val="en-US"/>
        </w:rPr>
        <w:t xml:space="preserve"> barriers </w:t>
      </w:r>
      <w:r w:rsidR="0050538F" w:rsidRPr="00DD1B58">
        <w:rPr>
          <w:lang w:val="en-US"/>
        </w:rPr>
        <w:t>to</w:t>
      </w:r>
      <w:r w:rsidR="00C718A6" w:rsidRPr="00DD1B58">
        <w:rPr>
          <w:lang w:val="en-US"/>
        </w:rPr>
        <w:t xml:space="preserve"> bound </w:t>
      </w:r>
      <w:r w:rsidR="00376BF7" w:rsidRPr="00DD1B58">
        <w:rPr>
          <w:lang w:val="en-US"/>
        </w:rPr>
        <w:t>a fire loading survey.</w:t>
      </w:r>
    </w:p>
    <w:p w14:paraId="00E72539" w14:textId="0A3085F9" w:rsidR="009627A5" w:rsidRPr="00DD1B58" w:rsidRDefault="008B0B71" w:rsidP="00D83F38">
      <w:pPr>
        <w:rPr>
          <w:lang w:val="en-US"/>
        </w:rPr>
      </w:pPr>
      <w:r w:rsidRPr="00DD1B58">
        <w:rPr>
          <w:lang w:val="en-US"/>
        </w:rPr>
        <w:t xml:space="preserve">ONR </w:t>
      </w:r>
      <w:r w:rsidR="006F20C7" w:rsidRPr="00DD1B58">
        <w:rPr>
          <w:lang w:val="en-US"/>
        </w:rPr>
        <w:t xml:space="preserve">inspected </w:t>
      </w:r>
      <w:r w:rsidR="002C4DF5" w:rsidRPr="00DD1B58">
        <w:rPr>
          <w:lang w:val="en-US"/>
        </w:rPr>
        <w:t xml:space="preserve">Dounreay’s </w:t>
      </w:r>
      <w:r w:rsidRPr="00DD1B58">
        <w:rPr>
          <w:lang w:val="en-US"/>
        </w:rPr>
        <w:t xml:space="preserve">control of fire loading </w:t>
      </w:r>
      <w:r w:rsidR="00CB0E60" w:rsidRPr="00DD1B58">
        <w:rPr>
          <w:lang w:val="en-US"/>
        </w:rPr>
        <w:t xml:space="preserve">at PFR </w:t>
      </w:r>
      <w:r w:rsidR="006F20C7" w:rsidRPr="00DD1B58">
        <w:rPr>
          <w:lang w:val="en-US"/>
        </w:rPr>
        <w:t xml:space="preserve">as part of a recent intervention </w:t>
      </w:r>
      <w:r w:rsidR="002C4DF5" w:rsidRPr="00DD1B58">
        <w:rPr>
          <w:lang w:val="en-US"/>
        </w:rPr>
        <w:t>and</w:t>
      </w:r>
      <w:r w:rsidR="006F20C7" w:rsidRPr="00DD1B58">
        <w:rPr>
          <w:lang w:val="en-US"/>
        </w:rPr>
        <w:t xml:space="preserve"> judged it </w:t>
      </w:r>
      <w:r w:rsidR="00CB0E60" w:rsidRPr="00DD1B58">
        <w:rPr>
          <w:lang w:val="en-US"/>
        </w:rPr>
        <w:t>to be adequate, see</w:t>
      </w:r>
      <w:r w:rsidR="006F20C7" w:rsidRPr="00DD1B58">
        <w:rPr>
          <w:lang w:val="en-US"/>
        </w:rPr>
        <w:t xml:space="preserve"> </w:t>
      </w:r>
      <w:r w:rsidR="00CB0E60" w:rsidRPr="00DD1B58">
        <w:rPr>
          <w:lang w:val="en-US"/>
        </w:rPr>
        <w:t xml:space="preserve">Section </w:t>
      </w:r>
      <w:r w:rsidR="006D6A67" w:rsidRPr="00DD1B58">
        <w:rPr>
          <w:lang w:val="en-US"/>
        </w:rPr>
        <w:fldChar w:fldCharType="begin"/>
      </w:r>
      <w:r w:rsidR="006D6A67" w:rsidRPr="00DD1B58">
        <w:rPr>
          <w:lang w:val="en-US"/>
        </w:rPr>
        <w:instrText xml:space="preserve"> REF _Ref140140429 \r \h </w:instrText>
      </w:r>
      <w:r w:rsidR="006D6A67" w:rsidRPr="00DD1B58">
        <w:rPr>
          <w:lang w:val="en-US"/>
        </w:rPr>
      </w:r>
      <w:r w:rsidR="006D6A67" w:rsidRPr="00DD1B58">
        <w:rPr>
          <w:lang w:val="en-US"/>
        </w:rPr>
        <w:fldChar w:fldCharType="separate"/>
      </w:r>
      <w:r w:rsidR="00DF47DA">
        <w:rPr>
          <w:lang w:val="en-US"/>
        </w:rPr>
        <w:t>I-2.6.7.2</w:t>
      </w:r>
      <w:r w:rsidR="006D6A67" w:rsidRPr="00DD1B58">
        <w:rPr>
          <w:lang w:val="en-US"/>
        </w:rPr>
        <w:fldChar w:fldCharType="end"/>
      </w:r>
      <w:r w:rsidR="006F20C7" w:rsidRPr="00DD1B58">
        <w:rPr>
          <w:lang w:val="en-US"/>
        </w:rPr>
        <w:t xml:space="preserve">. ONR nevertheless </w:t>
      </w:r>
      <w:r w:rsidR="002C4DF5" w:rsidRPr="00DD1B58">
        <w:rPr>
          <w:lang w:val="en-US"/>
        </w:rPr>
        <w:t>considers</w:t>
      </w:r>
      <w:r w:rsidR="006F20C7" w:rsidRPr="00DD1B58">
        <w:rPr>
          <w:lang w:val="en-US"/>
        </w:rPr>
        <w:t xml:space="preserve"> that</w:t>
      </w:r>
      <w:r w:rsidR="00E8726C" w:rsidRPr="00DD1B58">
        <w:rPr>
          <w:lang w:val="en-US"/>
        </w:rPr>
        <w:t xml:space="preserve"> decommissioning work being undertaken could introduce significant transient combustibles into PFR, </w:t>
      </w:r>
      <w:r w:rsidR="00CD64B9" w:rsidRPr="00DD1B58">
        <w:rPr>
          <w:lang w:val="en-US"/>
        </w:rPr>
        <w:t xml:space="preserve">particularly low level </w:t>
      </w:r>
      <w:r w:rsidR="009C4631" w:rsidRPr="00DD1B58">
        <w:rPr>
          <w:lang w:val="en-US"/>
        </w:rPr>
        <w:t>or non-classified waste and scaffold</w:t>
      </w:r>
      <w:r w:rsidR="009D78F8" w:rsidRPr="00DD1B58">
        <w:rPr>
          <w:lang w:val="en-US"/>
        </w:rPr>
        <w:t xml:space="preserve"> board used to reach areas in the reactor hall.</w:t>
      </w:r>
      <w:r w:rsidR="00A07E12" w:rsidRPr="00DD1B58">
        <w:rPr>
          <w:lang w:val="en-US"/>
        </w:rPr>
        <w:t xml:space="preserve"> </w:t>
      </w:r>
      <w:r w:rsidR="009627A5" w:rsidRPr="00DD1B58">
        <w:rPr>
          <w:lang w:val="en-US"/>
        </w:rPr>
        <w:t xml:space="preserve">ONR </w:t>
      </w:r>
      <w:r w:rsidR="00A07E12" w:rsidRPr="00DD1B58">
        <w:rPr>
          <w:lang w:val="en-US"/>
        </w:rPr>
        <w:t>concludes</w:t>
      </w:r>
      <w:r w:rsidR="009627A5" w:rsidRPr="00DD1B58">
        <w:rPr>
          <w:lang w:val="en-US"/>
        </w:rPr>
        <w:t xml:space="preserve"> that </w:t>
      </w:r>
      <w:r w:rsidR="00720991" w:rsidRPr="00DD1B58">
        <w:rPr>
          <w:lang w:val="en-US"/>
        </w:rPr>
        <w:t xml:space="preserve">Dounreay should </w:t>
      </w:r>
      <w:r w:rsidR="009627A5" w:rsidRPr="00DD1B58">
        <w:rPr>
          <w:lang w:val="en-US"/>
        </w:rPr>
        <w:t>develop</w:t>
      </w:r>
      <w:r w:rsidR="00720991" w:rsidRPr="00DD1B58">
        <w:rPr>
          <w:lang w:val="en-US"/>
        </w:rPr>
        <w:t xml:space="preserve"> and implement</w:t>
      </w:r>
      <w:r w:rsidR="00D409DE" w:rsidRPr="00DD1B58">
        <w:rPr>
          <w:lang w:val="en-US"/>
        </w:rPr>
        <w:t xml:space="preserve"> a methodology </w:t>
      </w:r>
      <w:r w:rsidR="00E74AE3" w:rsidRPr="00DD1B58">
        <w:rPr>
          <w:lang w:val="en-US"/>
        </w:rPr>
        <w:t xml:space="preserve">for characterising fire loading in a proportionate way, </w:t>
      </w:r>
      <w:r w:rsidR="003A19FD" w:rsidRPr="00DD1B58">
        <w:rPr>
          <w:lang w:val="en-US"/>
        </w:rPr>
        <w:t>considering</w:t>
      </w:r>
      <w:r w:rsidR="00E74AE3" w:rsidRPr="00DD1B58">
        <w:rPr>
          <w:lang w:val="en-US"/>
        </w:rPr>
        <w:t xml:space="preserve"> the range of projects/facilities </w:t>
      </w:r>
      <w:r w:rsidR="00EC7661" w:rsidRPr="00DD1B58">
        <w:rPr>
          <w:lang w:val="en-US"/>
        </w:rPr>
        <w:t xml:space="preserve">which are present at Dounreay </w:t>
      </w:r>
      <w:r w:rsidR="00337485" w:rsidRPr="00DD1B58">
        <w:rPr>
          <w:lang w:val="en-US"/>
        </w:rPr>
        <w:t xml:space="preserve">and </w:t>
      </w:r>
      <w:r w:rsidR="00F70BB4" w:rsidRPr="00DD1B58">
        <w:rPr>
          <w:lang w:val="en-US"/>
        </w:rPr>
        <w:t xml:space="preserve">therefore </w:t>
      </w:r>
      <w:r w:rsidR="009F5FAF" w:rsidRPr="00DD1B58">
        <w:rPr>
          <w:lang w:val="en-US"/>
        </w:rPr>
        <w:t>raise</w:t>
      </w:r>
      <w:r w:rsidR="00720991" w:rsidRPr="00DD1B58">
        <w:rPr>
          <w:lang w:val="en-US"/>
        </w:rPr>
        <w:t>s it</w:t>
      </w:r>
      <w:r w:rsidR="009F5FAF" w:rsidRPr="00DD1B58">
        <w:rPr>
          <w:lang w:val="en-US"/>
        </w:rPr>
        <w:t xml:space="preserve"> a</w:t>
      </w:r>
      <w:r w:rsidR="00566F8B" w:rsidRPr="00DD1B58">
        <w:rPr>
          <w:lang w:val="en-US"/>
        </w:rPr>
        <w:t>s a</w:t>
      </w:r>
      <w:r w:rsidR="009F2592" w:rsidRPr="00DD1B58">
        <w:rPr>
          <w:lang w:val="en-US"/>
        </w:rPr>
        <w:t xml:space="preserve"> recommendation for </w:t>
      </w:r>
      <w:r w:rsidR="00566F8B" w:rsidRPr="00DD1B58">
        <w:rPr>
          <w:lang w:val="en-US"/>
        </w:rPr>
        <w:t xml:space="preserve">improvement. </w:t>
      </w:r>
      <w:r w:rsidR="00720991" w:rsidRPr="00DD1B58">
        <w:rPr>
          <w:lang w:val="en-US"/>
        </w:rPr>
        <w:t xml:space="preserve">The </w:t>
      </w:r>
      <w:r w:rsidR="00CF530B" w:rsidRPr="00DD1B58">
        <w:rPr>
          <w:lang w:val="en-US"/>
        </w:rPr>
        <w:t>methodology</w:t>
      </w:r>
      <w:r w:rsidR="00C71B75" w:rsidRPr="00DD1B58">
        <w:rPr>
          <w:lang w:val="en-US"/>
        </w:rPr>
        <w:t xml:space="preserve"> would </w:t>
      </w:r>
      <w:r w:rsidR="00720991" w:rsidRPr="00DD1B58">
        <w:rPr>
          <w:lang w:val="en-US"/>
        </w:rPr>
        <w:t xml:space="preserve">enable Dounreay </w:t>
      </w:r>
      <w:r w:rsidR="006D359E" w:rsidRPr="00DD1B58">
        <w:rPr>
          <w:lang w:val="en-US"/>
        </w:rPr>
        <w:t>to clearly demonstrate the</w:t>
      </w:r>
      <w:r w:rsidR="00C71B75" w:rsidRPr="00DD1B58">
        <w:rPr>
          <w:lang w:val="en-US"/>
        </w:rPr>
        <w:t xml:space="preserve"> </w:t>
      </w:r>
      <w:r w:rsidR="00C52FFF" w:rsidRPr="00DD1B58">
        <w:rPr>
          <w:lang w:val="en-US"/>
        </w:rPr>
        <w:t xml:space="preserve">link between the nuclear safety case and </w:t>
      </w:r>
      <w:r w:rsidR="006D359E" w:rsidRPr="00DD1B58">
        <w:rPr>
          <w:lang w:val="en-US"/>
        </w:rPr>
        <w:t>its</w:t>
      </w:r>
      <w:r w:rsidR="00C52FFF" w:rsidRPr="00DD1B58">
        <w:rPr>
          <w:lang w:val="en-US"/>
        </w:rPr>
        <w:t xml:space="preserve"> </w:t>
      </w:r>
      <w:r w:rsidR="00386C95" w:rsidRPr="00DD1B58">
        <w:rPr>
          <w:lang w:val="en-US"/>
        </w:rPr>
        <w:t>day-to-day</w:t>
      </w:r>
      <w:r w:rsidR="00C52FFF" w:rsidRPr="00DD1B58">
        <w:rPr>
          <w:lang w:val="en-US"/>
        </w:rPr>
        <w:t xml:space="preserve"> </w:t>
      </w:r>
      <w:r w:rsidR="00F727F9" w:rsidRPr="00DD1B58">
        <w:rPr>
          <w:lang w:val="en-US"/>
        </w:rPr>
        <w:t>management of</w:t>
      </w:r>
      <w:r w:rsidR="00C52FFF" w:rsidRPr="00DD1B58">
        <w:rPr>
          <w:lang w:val="en-US"/>
        </w:rPr>
        <w:t xml:space="preserve"> fire loading </w:t>
      </w:r>
      <w:r w:rsidR="002011E1" w:rsidRPr="00DD1B58">
        <w:rPr>
          <w:lang w:val="en-US"/>
        </w:rPr>
        <w:t>across PFR</w:t>
      </w:r>
      <w:r w:rsidR="006D359E" w:rsidRPr="00DD1B58">
        <w:rPr>
          <w:lang w:val="en-US"/>
        </w:rPr>
        <w:t>,</w:t>
      </w:r>
      <w:r w:rsidR="00F727F9" w:rsidRPr="00DD1B58">
        <w:rPr>
          <w:lang w:val="en-US"/>
        </w:rPr>
        <w:t xml:space="preserve"> and the site</w:t>
      </w:r>
      <w:r w:rsidR="006D359E" w:rsidRPr="00DD1B58">
        <w:rPr>
          <w:lang w:val="en-US"/>
        </w:rPr>
        <w:t xml:space="preserve"> more generally</w:t>
      </w:r>
      <w:r w:rsidR="00F727F9" w:rsidRPr="00DD1B58">
        <w:rPr>
          <w:lang w:val="en-US"/>
        </w:rPr>
        <w:t>.</w:t>
      </w:r>
    </w:p>
    <w:p w14:paraId="3E8BBDCB" w14:textId="77777777" w:rsidR="002B3BC8" w:rsidRPr="00DD1B58" w:rsidRDefault="00902904" w:rsidP="0036572E">
      <w:pPr>
        <w:ind w:firstLine="720"/>
        <w:rPr>
          <w:b/>
          <w:lang w:val="en-US"/>
        </w:rPr>
      </w:pPr>
      <w:r w:rsidRPr="00DD1B58">
        <w:rPr>
          <w:b/>
          <w:lang w:val="en-US"/>
        </w:rPr>
        <w:t>Combined and Consequential Hazards</w:t>
      </w:r>
    </w:p>
    <w:p w14:paraId="11FCF688" w14:textId="093C153B" w:rsidR="00204CB1" w:rsidRPr="00DD1B58" w:rsidRDefault="00F02758" w:rsidP="00D83F38">
      <w:pPr>
        <w:rPr>
          <w:lang w:val="en-US"/>
        </w:rPr>
      </w:pPr>
      <w:r w:rsidRPr="00DD1B58">
        <w:rPr>
          <w:lang w:val="en-US"/>
        </w:rPr>
        <w:t>ONR expectations on the</w:t>
      </w:r>
      <w:r w:rsidR="002F020C" w:rsidRPr="00DD1B58">
        <w:rPr>
          <w:lang w:val="en-US"/>
        </w:rPr>
        <w:t xml:space="preserve"> analysis of combined hazards </w:t>
      </w:r>
      <w:r w:rsidR="00A96720" w:rsidRPr="00DD1B58">
        <w:rPr>
          <w:lang w:val="en-US"/>
        </w:rPr>
        <w:t>is captured within TAG 14</w:t>
      </w:r>
      <w:r w:rsidR="00FA2D7E" w:rsidRPr="00DD1B58">
        <w:rPr>
          <w:lang w:val="en-US"/>
        </w:rPr>
        <w:t xml:space="preserve"> </w:t>
      </w:r>
      <w:sdt>
        <w:sdtPr>
          <w:rPr>
            <w:lang w:val="en-US"/>
          </w:rPr>
          <w:id w:val="271294300"/>
          <w:citation/>
        </w:sdtPr>
        <w:sdtContent>
          <w:r w:rsidR="00FA2D7E" w:rsidRPr="00DD1B58">
            <w:rPr>
              <w:lang w:val="en-US"/>
            </w:rPr>
            <w:fldChar w:fldCharType="begin"/>
          </w:r>
          <w:r w:rsidR="00FA2D7E" w:rsidRPr="00DD1B58">
            <w:rPr>
              <w:lang w:val="en-US"/>
            </w:rPr>
            <w:instrText xml:space="preserve"> CITATION ONR4 \l 2057 </w:instrText>
          </w:r>
          <w:r w:rsidR="00FA2D7E" w:rsidRPr="00DD1B58">
            <w:rPr>
              <w:lang w:val="en-US"/>
            </w:rPr>
            <w:fldChar w:fldCharType="separate"/>
          </w:r>
          <w:r w:rsidR="00DF47DA" w:rsidRPr="00DF47DA">
            <w:rPr>
              <w:noProof/>
              <w:lang w:val="en-US"/>
            </w:rPr>
            <w:t>[16]</w:t>
          </w:r>
          <w:r w:rsidR="00FA2D7E" w:rsidRPr="00DD1B58">
            <w:rPr>
              <w:lang w:val="en-US"/>
            </w:rPr>
            <w:fldChar w:fldCharType="end"/>
          </w:r>
        </w:sdtContent>
      </w:sdt>
      <w:r w:rsidR="00A96720" w:rsidRPr="00DD1B58">
        <w:rPr>
          <w:lang w:val="en-US"/>
        </w:rPr>
        <w:t xml:space="preserve"> and </w:t>
      </w:r>
      <w:r w:rsidRPr="00DD1B58">
        <w:rPr>
          <w:lang w:val="en-US"/>
        </w:rPr>
        <w:t xml:space="preserve">ONR </w:t>
      </w:r>
      <w:r w:rsidR="00A96720" w:rsidRPr="00DD1B58">
        <w:rPr>
          <w:lang w:val="en-US"/>
        </w:rPr>
        <w:t>SAP</w:t>
      </w:r>
      <w:r w:rsidR="00052E35" w:rsidRPr="00DD1B58">
        <w:rPr>
          <w:lang w:val="en-US"/>
        </w:rPr>
        <w:t xml:space="preserve"> EHA.6</w:t>
      </w:r>
      <w:r w:rsidR="00FA2D7E" w:rsidRPr="00DD1B58">
        <w:rPr>
          <w:lang w:val="en-US"/>
        </w:rPr>
        <w:t xml:space="preserve"> </w:t>
      </w:r>
      <w:sdt>
        <w:sdtPr>
          <w:rPr>
            <w:lang w:val="en-US"/>
          </w:rPr>
          <w:id w:val="1303037801"/>
          <w:citation/>
        </w:sdtPr>
        <w:sdtContent>
          <w:r w:rsidR="00FA2D7E" w:rsidRPr="00DD1B58">
            <w:rPr>
              <w:lang w:val="en-US"/>
            </w:rPr>
            <w:fldChar w:fldCharType="begin"/>
          </w:r>
          <w:r w:rsidR="009C6919" w:rsidRPr="00DD1B58">
            <w:rPr>
              <w:lang w:val="en-US"/>
            </w:rPr>
            <w:instrText xml:space="preserve">CITATION Off20 \l 2057 </w:instrText>
          </w:r>
          <w:r w:rsidR="00FA2D7E" w:rsidRPr="00DD1B58">
            <w:rPr>
              <w:lang w:val="en-US"/>
            </w:rPr>
            <w:fldChar w:fldCharType="separate"/>
          </w:r>
          <w:r w:rsidR="00DF47DA" w:rsidRPr="00DF47DA">
            <w:rPr>
              <w:noProof/>
              <w:lang w:val="en-US"/>
            </w:rPr>
            <w:t>[15]</w:t>
          </w:r>
          <w:r w:rsidR="00FA2D7E" w:rsidRPr="00DD1B58">
            <w:rPr>
              <w:lang w:val="en-US"/>
            </w:rPr>
            <w:fldChar w:fldCharType="end"/>
          </w:r>
        </w:sdtContent>
      </w:sdt>
      <w:r w:rsidR="0017742C" w:rsidRPr="00DD1B58">
        <w:rPr>
          <w:lang w:val="en-US"/>
        </w:rPr>
        <w:t>. These are in turn aligned with WENRA SRL E 6.1</w:t>
      </w:r>
      <w:r w:rsidR="00923831" w:rsidRPr="00DD1B58">
        <w:rPr>
          <w:lang w:val="en-US"/>
        </w:rPr>
        <w:t xml:space="preserve"> </w:t>
      </w:r>
      <w:sdt>
        <w:sdtPr>
          <w:rPr>
            <w:lang w:val="en-US"/>
          </w:rPr>
          <w:id w:val="202988720"/>
          <w:citation/>
        </w:sdtPr>
        <w:sdtContent>
          <w:r w:rsidR="00923831" w:rsidRPr="00DD1B58">
            <w:rPr>
              <w:lang w:val="en-US"/>
            </w:rPr>
            <w:fldChar w:fldCharType="begin"/>
          </w:r>
          <w:r w:rsidR="001270D9" w:rsidRPr="00DD1B58">
            <w:rPr>
              <w:lang w:val="en-US"/>
            </w:rPr>
            <w:instrText xml:space="preserve">CITATION WEN2 \l 2057 </w:instrText>
          </w:r>
          <w:r w:rsidR="00923831" w:rsidRPr="00DD1B58">
            <w:rPr>
              <w:lang w:val="en-US"/>
            </w:rPr>
            <w:fldChar w:fldCharType="separate"/>
          </w:r>
          <w:r w:rsidR="00DF47DA" w:rsidRPr="00DF47DA">
            <w:rPr>
              <w:noProof/>
              <w:lang w:val="en-US"/>
            </w:rPr>
            <w:t>[1]</w:t>
          </w:r>
          <w:r w:rsidR="00923831" w:rsidRPr="00DD1B58">
            <w:rPr>
              <w:lang w:val="en-US"/>
            </w:rPr>
            <w:fldChar w:fldCharType="end"/>
          </w:r>
        </w:sdtContent>
      </w:sdt>
      <w:r w:rsidR="0017742C" w:rsidRPr="00DD1B58">
        <w:rPr>
          <w:lang w:val="en-US"/>
        </w:rPr>
        <w:t xml:space="preserve"> and </w:t>
      </w:r>
      <w:r w:rsidR="0006391D" w:rsidRPr="00DD1B58">
        <w:rPr>
          <w:lang w:val="en-US"/>
        </w:rPr>
        <w:t>IAEA SSG</w:t>
      </w:r>
      <w:r w:rsidR="004C7536" w:rsidRPr="00DD1B58">
        <w:rPr>
          <w:lang w:val="en-US"/>
        </w:rPr>
        <w:t>-64</w:t>
      </w:r>
      <w:r w:rsidR="00923831" w:rsidRPr="00DD1B58">
        <w:rPr>
          <w:lang w:val="en-US"/>
        </w:rPr>
        <w:t xml:space="preserve"> </w:t>
      </w:r>
      <w:sdt>
        <w:sdtPr>
          <w:rPr>
            <w:lang w:val="en-US"/>
          </w:rPr>
          <w:id w:val="-1417550171"/>
          <w:citation/>
        </w:sdtPr>
        <w:sdtContent>
          <w:r w:rsidR="00130635" w:rsidRPr="00DD1B58">
            <w:rPr>
              <w:lang w:val="en-US"/>
            </w:rPr>
            <w:fldChar w:fldCharType="begin"/>
          </w:r>
          <w:r w:rsidR="00130635" w:rsidRPr="00DD1B58">
            <w:rPr>
              <w:lang w:val="en-US"/>
            </w:rPr>
            <w:instrText xml:space="preserve"> CITATION IAE5 \l 2057 </w:instrText>
          </w:r>
          <w:r w:rsidR="00130635" w:rsidRPr="00DD1B58">
            <w:rPr>
              <w:lang w:val="en-US"/>
            </w:rPr>
            <w:fldChar w:fldCharType="separate"/>
          </w:r>
          <w:r w:rsidR="00DF47DA" w:rsidRPr="00DF47DA">
            <w:rPr>
              <w:noProof/>
              <w:lang w:val="en-US"/>
            </w:rPr>
            <w:t>[17]</w:t>
          </w:r>
          <w:r w:rsidR="00130635" w:rsidRPr="00DD1B58">
            <w:rPr>
              <w:lang w:val="en-US"/>
            </w:rPr>
            <w:fldChar w:fldCharType="end"/>
          </w:r>
        </w:sdtContent>
      </w:sdt>
      <w:r w:rsidR="00F501D0" w:rsidRPr="00DD1B58">
        <w:rPr>
          <w:lang w:val="en-US"/>
        </w:rPr>
        <w:t>.</w:t>
      </w:r>
      <w:r w:rsidR="001332F9" w:rsidRPr="00DD1B58">
        <w:rPr>
          <w:lang w:val="en-US"/>
        </w:rPr>
        <w:t xml:space="preserve"> As described in Section </w:t>
      </w:r>
      <w:r w:rsidR="007B53E2" w:rsidRPr="00DD1B58">
        <w:rPr>
          <w:lang w:val="en-US"/>
        </w:rPr>
        <w:fldChar w:fldCharType="begin"/>
      </w:r>
      <w:r w:rsidR="007B53E2" w:rsidRPr="00DD1B58">
        <w:rPr>
          <w:lang w:val="en-US"/>
        </w:rPr>
        <w:instrText xml:space="preserve"> REF _Ref140140652 \r \h  \* MERGEFORMAT </w:instrText>
      </w:r>
      <w:r w:rsidR="007B53E2" w:rsidRPr="00DD1B58">
        <w:rPr>
          <w:lang w:val="en-US"/>
        </w:rPr>
      </w:r>
      <w:r w:rsidR="007B53E2" w:rsidRPr="00DD1B58">
        <w:rPr>
          <w:lang w:val="en-US"/>
        </w:rPr>
        <w:fldChar w:fldCharType="separate"/>
      </w:r>
      <w:r w:rsidR="00DF47DA">
        <w:rPr>
          <w:lang w:val="en-US"/>
        </w:rPr>
        <w:t>I-2.6.1</w:t>
      </w:r>
      <w:r w:rsidR="007B53E2" w:rsidRPr="00DD1B58">
        <w:rPr>
          <w:lang w:val="en-US"/>
        </w:rPr>
        <w:fldChar w:fldCharType="end"/>
      </w:r>
      <w:r w:rsidR="001332F9" w:rsidRPr="00DD1B58">
        <w:rPr>
          <w:lang w:val="en-US"/>
        </w:rPr>
        <w:t xml:space="preserve">, </w:t>
      </w:r>
      <w:r w:rsidR="00CD36CC" w:rsidRPr="00DD1B58">
        <w:rPr>
          <w:lang w:val="en-US"/>
        </w:rPr>
        <w:t xml:space="preserve">Dounreay’s </w:t>
      </w:r>
      <w:r w:rsidR="001332F9" w:rsidRPr="00DD1B58">
        <w:rPr>
          <w:lang w:val="en-US"/>
        </w:rPr>
        <w:t>DSC consider</w:t>
      </w:r>
      <w:r w:rsidR="00CD36CC" w:rsidRPr="00DD1B58">
        <w:rPr>
          <w:lang w:val="en-US"/>
        </w:rPr>
        <w:t>s</w:t>
      </w:r>
      <w:r w:rsidR="001332F9" w:rsidRPr="00DD1B58">
        <w:rPr>
          <w:lang w:val="en-US"/>
        </w:rPr>
        <w:t xml:space="preserve"> the</w:t>
      </w:r>
      <w:r w:rsidR="00414A5F" w:rsidRPr="00DD1B58">
        <w:rPr>
          <w:lang w:val="en-US"/>
        </w:rPr>
        <w:t xml:space="preserve"> </w:t>
      </w:r>
      <w:r w:rsidR="006C6369" w:rsidRPr="00DD1B58">
        <w:rPr>
          <w:lang w:val="en-US"/>
        </w:rPr>
        <w:t xml:space="preserve">effects </w:t>
      </w:r>
      <w:r w:rsidR="006D3268" w:rsidRPr="00DD1B58">
        <w:rPr>
          <w:lang w:val="en-US"/>
        </w:rPr>
        <w:t>of secondary fires due to seismic events or aircraft impact</w:t>
      </w:r>
      <w:r w:rsidR="00754497" w:rsidRPr="00DD1B58">
        <w:rPr>
          <w:lang w:val="en-US"/>
        </w:rPr>
        <w:t xml:space="preserve"> as well as discrete scenarios such as dropped loads leading to fire</w:t>
      </w:r>
      <w:r w:rsidR="006D3268" w:rsidRPr="00DD1B58">
        <w:rPr>
          <w:lang w:val="en-US"/>
        </w:rPr>
        <w:t>. Th</w:t>
      </w:r>
      <w:r w:rsidR="00754497" w:rsidRPr="00DD1B58">
        <w:rPr>
          <w:lang w:val="en-US"/>
        </w:rPr>
        <w:t>e seismic hazard</w:t>
      </w:r>
      <w:r w:rsidR="006D3268" w:rsidRPr="00DD1B58">
        <w:rPr>
          <w:lang w:val="en-US"/>
        </w:rPr>
        <w:t xml:space="preserve"> analysis </w:t>
      </w:r>
      <w:r w:rsidR="00DF0970" w:rsidRPr="00DD1B58">
        <w:rPr>
          <w:lang w:val="en-US"/>
        </w:rPr>
        <w:t xml:space="preserve">assumes the complete inventory of radioactive sodium is released due to collapse of the </w:t>
      </w:r>
      <w:r w:rsidR="00D346FA" w:rsidRPr="00DD1B58">
        <w:rPr>
          <w:lang w:val="en-US"/>
        </w:rPr>
        <w:t>secondary containment building.</w:t>
      </w:r>
      <w:r w:rsidR="003B37CC" w:rsidRPr="00DD1B58">
        <w:rPr>
          <w:lang w:val="en-US"/>
        </w:rPr>
        <w:t xml:space="preserve"> </w:t>
      </w:r>
      <w:r w:rsidR="00602840" w:rsidRPr="00DD1B58">
        <w:rPr>
          <w:lang w:val="en-US"/>
        </w:rPr>
        <w:t>ONR has assessed Dounreay’s consideration of c</w:t>
      </w:r>
      <w:r w:rsidR="006171EA" w:rsidRPr="00DD1B58">
        <w:rPr>
          <w:lang w:val="en-US"/>
        </w:rPr>
        <w:t xml:space="preserve">ombined hazards within specific processes </w:t>
      </w:r>
      <w:r w:rsidR="000463E8" w:rsidRPr="00DD1B58">
        <w:rPr>
          <w:lang w:val="en-US"/>
        </w:rPr>
        <w:t>in</w:t>
      </w:r>
      <w:r w:rsidR="00ED1741" w:rsidRPr="00DD1B58">
        <w:rPr>
          <w:lang w:val="en-US"/>
        </w:rPr>
        <w:t xml:space="preserve"> </w:t>
      </w:r>
      <w:r w:rsidR="006171EA" w:rsidRPr="00DD1B58">
        <w:rPr>
          <w:lang w:val="en-US"/>
        </w:rPr>
        <w:t>modification safety cases</w:t>
      </w:r>
      <w:r w:rsidR="007E4C31" w:rsidRPr="00DD1B58">
        <w:rPr>
          <w:lang w:val="en-US"/>
        </w:rPr>
        <w:t xml:space="preserve"> and </w:t>
      </w:r>
      <w:r w:rsidR="00F061F3" w:rsidRPr="00DD1B58">
        <w:rPr>
          <w:lang w:val="en-US"/>
        </w:rPr>
        <w:t xml:space="preserve">concluded that, for </w:t>
      </w:r>
      <w:r w:rsidR="006171EA" w:rsidRPr="00DD1B58">
        <w:rPr>
          <w:lang w:val="en-US"/>
        </w:rPr>
        <w:t>example</w:t>
      </w:r>
      <w:r w:rsidR="00F501D0" w:rsidRPr="00DD1B58">
        <w:rPr>
          <w:lang w:val="en-US"/>
        </w:rPr>
        <w:t>,</w:t>
      </w:r>
      <w:r w:rsidR="006171EA" w:rsidRPr="00DD1B58">
        <w:rPr>
          <w:lang w:val="en-US"/>
        </w:rPr>
        <w:t xml:space="preserve"> </w:t>
      </w:r>
      <w:r w:rsidR="00C75DA2" w:rsidRPr="00DD1B58">
        <w:rPr>
          <w:lang w:val="en-US"/>
        </w:rPr>
        <w:t xml:space="preserve">fire and hydrogen deflagration from the same source </w:t>
      </w:r>
      <w:r w:rsidR="00ED1741" w:rsidRPr="00DD1B58">
        <w:rPr>
          <w:lang w:val="en-US"/>
        </w:rPr>
        <w:t>are considered within R</w:t>
      </w:r>
      <w:r w:rsidR="00C924BB" w:rsidRPr="00DD1B58">
        <w:rPr>
          <w:lang w:val="en-US"/>
        </w:rPr>
        <w:t>V</w:t>
      </w:r>
      <w:r w:rsidR="00ED1741" w:rsidRPr="00DD1B58">
        <w:rPr>
          <w:lang w:val="en-US"/>
        </w:rPr>
        <w:t>WVN hazard analysis</w:t>
      </w:r>
      <w:r w:rsidR="00D330EA" w:rsidRPr="00DD1B58">
        <w:rPr>
          <w:lang w:val="en-US"/>
        </w:rPr>
        <w:t>.</w:t>
      </w:r>
    </w:p>
    <w:p w14:paraId="4C5A4345" w14:textId="169D433D" w:rsidR="00593BE6" w:rsidRPr="00DD1B58" w:rsidRDefault="009216B0" w:rsidP="00D83F38">
      <w:pPr>
        <w:rPr>
          <w:lang w:val="en-US"/>
        </w:rPr>
      </w:pPr>
      <w:r w:rsidRPr="00DD1B58">
        <w:rPr>
          <w:lang w:val="en-US"/>
        </w:rPr>
        <w:t xml:space="preserve">ONR judges that </w:t>
      </w:r>
      <w:r w:rsidR="00F501D0" w:rsidRPr="00DD1B58">
        <w:rPr>
          <w:lang w:val="en-US"/>
        </w:rPr>
        <w:t>Dounreay’s DSC for PFR does not include a systematic identification of combined hazard scenarios, and these are not systematically reported in the DFRA</w:t>
      </w:r>
      <w:r w:rsidR="00787410" w:rsidRPr="00DD1B58">
        <w:rPr>
          <w:lang w:val="en-US"/>
        </w:rPr>
        <w:t xml:space="preserve">. </w:t>
      </w:r>
      <w:r w:rsidR="00D330EA" w:rsidRPr="00DD1B58">
        <w:rPr>
          <w:lang w:val="en-US"/>
        </w:rPr>
        <w:t xml:space="preserve">Whilst </w:t>
      </w:r>
      <w:r w:rsidR="00CA019A" w:rsidRPr="00DD1B58">
        <w:rPr>
          <w:lang w:val="en-US"/>
        </w:rPr>
        <w:t>Dounreay has shown that</w:t>
      </w:r>
      <w:r w:rsidR="00D330EA" w:rsidRPr="00DD1B58">
        <w:rPr>
          <w:lang w:val="en-US"/>
        </w:rPr>
        <w:t xml:space="preserve"> assessment of potential </w:t>
      </w:r>
      <w:r w:rsidR="00C62CA6" w:rsidRPr="00DD1B58">
        <w:rPr>
          <w:lang w:val="en-US"/>
        </w:rPr>
        <w:t xml:space="preserve">fire </w:t>
      </w:r>
      <w:r w:rsidR="00D330EA" w:rsidRPr="00DD1B58">
        <w:rPr>
          <w:lang w:val="en-US"/>
        </w:rPr>
        <w:t>hazard combinations is undertaken</w:t>
      </w:r>
      <w:r w:rsidR="007453AA" w:rsidRPr="00DD1B58">
        <w:rPr>
          <w:lang w:val="en-US"/>
        </w:rPr>
        <w:t xml:space="preserve"> within PFR</w:t>
      </w:r>
      <w:r w:rsidR="007F3DE7" w:rsidRPr="00DD1B58">
        <w:rPr>
          <w:lang w:val="en-US"/>
        </w:rPr>
        <w:t>,</w:t>
      </w:r>
      <w:r w:rsidR="007453AA" w:rsidRPr="00DD1B58">
        <w:rPr>
          <w:lang w:val="en-US"/>
        </w:rPr>
        <w:t xml:space="preserve"> </w:t>
      </w:r>
      <w:r w:rsidR="007F3DE7" w:rsidRPr="00DD1B58">
        <w:rPr>
          <w:lang w:val="en-US"/>
        </w:rPr>
        <w:t xml:space="preserve">its </w:t>
      </w:r>
      <w:r w:rsidR="007453AA" w:rsidRPr="00DD1B58">
        <w:rPr>
          <w:lang w:val="en-US"/>
        </w:rPr>
        <w:t>analysis</w:t>
      </w:r>
      <w:r w:rsidR="00F10803" w:rsidRPr="00DD1B58">
        <w:rPr>
          <w:lang w:val="en-US"/>
        </w:rPr>
        <w:t xml:space="preserve"> does not </w:t>
      </w:r>
      <w:r w:rsidR="007F3DE7" w:rsidRPr="00DD1B58">
        <w:rPr>
          <w:lang w:val="en-US"/>
        </w:rPr>
        <w:t>demonstrate that</w:t>
      </w:r>
      <w:r w:rsidR="00F10803" w:rsidRPr="00DD1B58">
        <w:rPr>
          <w:lang w:val="en-US"/>
        </w:rPr>
        <w:t xml:space="preserve"> all potential combinations </w:t>
      </w:r>
      <w:r w:rsidR="007E6D1B" w:rsidRPr="00DD1B58">
        <w:rPr>
          <w:lang w:val="en-US"/>
        </w:rPr>
        <w:t>are considered</w:t>
      </w:r>
      <w:r w:rsidR="004F3888" w:rsidRPr="00DD1B58">
        <w:rPr>
          <w:lang w:val="en-US"/>
        </w:rPr>
        <w:t>. PFR be</w:t>
      </w:r>
      <w:r w:rsidR="00832442" w:rsidRPr="00DD1B58">
        <w:rPr>
          <w:lang w:val="en-US"/>
        </w:rPr>
        <w:t>nefits from a low baseline nuclear safety risk</w:t>
      </w:r>
      <w:r w:rsidR="003C232A" w:rsidRPr="00DD1B58">
        <w:rPr>
          <w:lang w:val="en-US"/>
        </w:rPr>
        <w:t xml:space="preserve"> an</w:t>
      </w:r>
      <w:r w:rsidR="00323AA8" w:rsidRPr="00DD1B58">
        <w:rPr>
          <w:lang w:val="en-US"/>
        </w:rPr>
        <w:t xml:space="preserve">d contains few SSCs which </w:t>
      </w:r>
      <w:r w:rsidR="00160D65" w:rsidRPr="00DD1B58">
        <w:rPr>
          <w:lang w:val="en-US"/>
        </w:rPr>
        <w:t xml:space="preserve">have a hazard </w:t>
      </w:r>
      <w:r w:rsidR="00BC79B3" w:rsidRPr="00DD1B58">
        <w:rPr>
          <w:lang w:val="en-US"/>
        </w:rPr>
        <w:t xml:space="preserve">withstand </w:t>
      </w:r>
      <w:r w:rsidR="00160D65" w:rsidRPr="00DD1B58">
        <w:rPr>
          <w:lang w:val="en-US"/>
        </w:rPr>
        <w:t xml:space="preserve">claim </w:t>
      </w:r>
      <w:r w:rsidR="00BC79B3" w:rsidRPr="00DD1B58">
        <w:rPr>
          <w:lang w:val="en-US"/>
        </w:rPr>
        <w:t xml:space="preserve">attached (including from fire). </w:t>
      </w:r>
      <w:r w:rsidR="00A468AC" w:rsidRPr="00DD1B58">
        <w:rPr>
          <w:lang w:val="en-US"/>
        </w:rPr>
        <w:t xml:space="preserve">ONR has assessed both the PFR DSC and associated modification safety cases and found that the </w:t>
      </w:r>
      <w:r w:rsidR="004548FB" w:rsidRPr="00DD1B58">
        <w:rPr>
          <w:lang w:val="en-US"/>
        </w:rPr>
        <w:t>assessment of hazard combinations is commensurate with the facility type</w:t>
      </w:r>
      <w:r w:rsidR="00500A79" w:rsidRPr="00DD1B58">
        <w:rPr>
          <w:lang w:val="en-US"/>
        </w:rPr>
        <w:t xml:space="preserve"> and residual </w:t>
      </w:r>
      <w:r w:rsidR="004548FB" w:rsidRPr="00DD1B58">
        <w:rPr>
          <w:lang w:val="en-US"/>
        </w:rPr>
        <w:t>risk</w:t>
      </w:r>
      <w:r w:rsidR="00D54792" w:rsidRPr="00DD1B58">
        <w:rPr>
          <w:lang w:val="en-US"/>
        </w:rPr>
        <w:t>.</w:t>
      </w:r>
      <w:r w:rsidR="00FA1447" w:rsidRPr="00DD1B58">
        <w:rPr>
          <w:lang w:val="en-US"/>
        </w:rPr>
        <w:t xml:space="preserve"> Nevertheless, </w:t>
      </w:r>
      <w:r w:rsidR="00913CFF" w:rsidRPr="00DD1B58">
        <w:rPr>
          <w:lang w:val="en-US"/>
        </w:rPr>
        <w:t xml:space="preserve">ONR considers that </w:t>
      </w:r>
      <w:r w:rsidR="00FA1447" w:rsidRPr="00DD1B58">
        <w:rPr>
          <w:lang w:val="en-US"/>
        </w:rPr>
        <w:t xml:space="preserve">Dounreay’s should </w:t>
      </w:r>
      <w:r w:rsidR="00B46879" w:rsidRPr="00DD1B58">
        <w:rPr>
          <w:lang w:val="en-US"/>
        </w:rPr>
        <w:t>develop</w:t>
      </w:r>
      <w:r w:rsidR="00FA1447" w:rsidRPr="00DD1B58">
        <w:rPr>
          <w:lang w:val="en-US"/>
        </w:rPr>
        <w:t xml:space="preserve"> and implement </w:t>
      </w:r>
      <w:r w:rsidR="00B46879" w:rsidRPr="00DD1B58">
        <w:rPr>
          <w:lang w:val="en-US"/>
        </w:rPr>
        <w:t xml:space="preserve">a methodology for combined and consequential hazard analysis </w:t>
      </w:r>
      <w:r w:rsidR="006911CF" w:rsidRPr="00DD1B58">
        <w:rPr>
          <w:lang w:val="en-US"/>
        </w:rPr>
        <w:t xml:space="preserve">(proportionate to the </w:t>
      </w:r>
      <w:r w:rsidR="00C7773E" w:rsidRPr="00DD1B58">
        <w:rPr>
          <w:lang w:val="en-US"/>
        </w:rPr>
        <w:t>hazards a</w:t>
      </w:r>
      <w:r w:rsidR="000A5925" w:rsidRPr="00DD1B58">
        <w:rPr>
          <w:lang w:val="en-US"/>
        </w:rPr>
        <w:t>nd risks associated with the decommissioning site</w:t>
      </w:r>
      <w:r w:rsidR="006911CF" w:rsidRPr="00DD1B58">
        <w:rPr>
          <w:lang w:val="en-US"/>
        </w:rPr>
        <w:t>)</w:t>
      </w:r>
      <w:r w:rsidR="00913CFF" w:rsidRPr="00DD1B58">
        <w:rPr>
          <w:lang w:val="en-US"/>
        </w:rPr>
        <w:t xml:space="preserve"> </w:t>
      </w:r>
      <w:r w:rsidR="001938EF" w:rsidRPr="00DD1B58">
        <w:rPr>
          <w:lang w:val="en-US"/>
        </w:rPr>
        <w:t xml:space="preserve">and therefore raises it as a </w:t>
      </w:r>
      <w:r w:rsidR="00465544" w:rsidRPr="00DD1B58">
        <w:rPr>
          <w:lang w:val="en-US"/>
        </w:rPr>
        <w:t>recommendation</w:t>
      </w:r>
      <w:r w:rsidR="001938EF" w:rsidRPr="00DD1B58">
        <w:rPr>
          <w:lang w:val="en-US"/>
        </w:rPr>
        <w:t xml:space="preserve"> for improvement</w:t>
      </w:r>
      <w:r w:rsidR="00465544" w:rsidRPr="00DD1B58">
        <w:rPr>
          <w:lang w:val="en-US"/>
        </w:rPr>
        <w:t>.</w:t>
      </w:r>
      <w:r w:rsidR="006911CF" w:rsidRPr="00DD1B58">
        <w:rPr>
          <w:lang w:val="en-US"/>
        </w:rPr>
        <w:t xml:space="preserve"> </w:t>
      </w:r>
    </w:p>
    <w:p w14:paraId="3DD3934C" w14:textId="77777777" w:rsidR="00D83F38" w:rsidRPr="00DD1B58" w:rsidRDefault="004F267C" w:rsidP="00BC7AA3">
      <w:pPr>
        <w:pStyle w:val="Heading4"/>
        <w:numPr>
          <w:ilvl w:val="4"/>
          <w:numId w:val="3"/>
        </w:numPr>
        <w:rPr>
          <w:lang w:val="en-US"/>
        </w:rPr>
      </w:pPr>
      <w:bookmarkStart w:id="68" w:name="_Ref140140429"/>
      <w:r w:rsidRPr="00DD1B58">
        <w:rPr>
          <w:lang w:val="en-US"/>
        </w:rPr>
        <w:t>Lessons learned from inspection and assessment</w:t>
      </w:r>
      <w:r w:rsidR="00FF4448" w:rsidRPr="00DD1B58">
        <w:rPr>
          <w:lang w:val="en-US"/>
        </w:rPr>
        <w:t xml:space="preserve"> as part of regulatory oversight</w:t>
      </w:r>
      <w:bookmarkEnd w:id="68"/>
    </w:p>
    <w:p w14:paraId="78C68D4B" w14:textId="403B93AC" w:rsidR="00406045" w:rsidRPr="00DD1B58" w:rsidRDefault="00331EBD" w:rsidP="00756570">
      <w:pPr>
        <w:rPr>
          <w:lang w:val="en-US"/>
        </w:rPr>
      </w:pPr>
      <w:r w:rsidRPr="00DD1B58">
        <w:rPr>
          <w:lang w:val="en-US"/>
        </w:rPr>
        <w:t xml:space="preserve">ONR provides oversight of licensee’s operations through its inspection and assessment functions. Dounreay has two nominated site inspectors who are present onsite approximately </w:t>
      </w:r>
      <w:r w:rsidR="009A29E2" w:rsidRPr="00DD1B58">
        <w:rPr>
          <w:lang w:val="en-US"/>
        </w:rPr>
        <w:t xml:space="preserve">one week </w:t>
      </w:r>
      <w:r w:rsidR="002808C4" w:rsidRPr="00DD1B58">
        <w:rPr>
          <w:lang w:val="en-US"/>
        </w:rPr>
        <w:t xml:space="preserve">per </w:t>
      </w:r>
      <w:r w:rsidR="00DC6EBA" w:rsidRPr="00DD1B58">
        <w:rPr>
          <w:lang w:val="en-US"/>
        </w:rPr>
        <w:t xml:space="preserve">month </w:t>
      </w:r>
      <w:r w:rsidR="00071AEF" w:rsidRPr="00DD1B58">
        <w:rPr>
          <w:lang w:val="en-US"/>
        </w:rPr>
        <w:t>to monitor emerging site issues and advise specialist inspectors on areas of regulatory interest. Significant</w:t>
      </w:r>
      <w:r w:rsidR="009278DF" w:rsidRPr="00DD1B58">
        <w:rPr>
          <w:lang w:val="en-US"/>
        </w:rPr>
        <w:t xml:space="preserve"> construction, modification or decommissioning</w:t>
      </w:r>
      <w:r w:rsidR="00071AEF" w:rsidRPr="00DD1B58">
        <w:rPr>
          <w:lang w:val="en-US"/>
        </w:rPr>
        <w:t xml:space="preserve"> projects which are planned or undertaken by site </w:t>
      </w:r>
      <w:r w:rsidR="00C463C8" w:rsidRPr="00DD1B58">
        <w:rPr>
          <w:lang w:val="en-US"/>
        </w:rPr>
        <w:t>are assigned a project inspector</w:t>
      </w:r>
      <w:r w:rsidR="00302763" w:rsidRPr="00DD1B58">
        <w:rPr>
          <w:lang w:val="en-US"/>
        </w:rPr>
        <w:t>, supported by specialist inspectors as required.</w:t>
      </w:r>
    </w:p>
    <w:p w14:paraId="74276968" w14:textId="3A319980" w:rsidR="00302763" w:rsidRPr="00DD1B58" w:rsidRDefault="00302763" w:rsidP="00756570">
      <w:pPr>
        <w:rPr>
          <w:lang w:val="en-US"/>
        </w:rPr>
      </w:pPr>
      <w:r w:rsidRPr="00DD1B58">
        <w:rPr>
          <w:lang w:val="en-US"/>
        </w:rPr>
        <w:t>ONR undertook a nuclear fire safety themed inspection at PFR in February 202</w:t>
      </w:r>
      <w:r w:rsidR="00F95336" w:rsidRPr="00DD1B58">
        <w:rPr>
          <w:lang w:val="en-US"/>
        </w:rPr>
        <w:t>3</w:t>
      </w:r>
      <w:r w:rsidR="00E64510" w:rsidRPr="00DD1B58">
        <w:rPr>
          <w:lang w:val="en-US"/>
        </w:rPr>
        <w:t xml:space="preserve">. </w:t>
      </w:r>
      <w:r w:rsidR="001463F5" w:rsidRPr="00DD1B58">
        <w:rPr>
          <w:lang w:val="en-US"/>
        </w:rPr>
        <w:t xml:space="preserve">The inspection focussed on </w:t>
      </w:r>
      <w:r w:rsidR="006C7017" w:rsidRPr="00DD1B58">
        <w:rPr>
          <w:lang w:val="en-US"/>
        </w:rPr>
        <w:t>L</w:t>
      </w:r>
      <w:r w:rsidR="008F55DC" w:rsidRPr="00DD1B58">
        <w:rPr>
          <w:lang w:val="en-US"/>
        </w:rPr>
        <w:t xml:space="preserve">Cs associated </w:t>
      </w:r>
      <w:r w:rsidR="002D4383" w:rsidRPr="00DD1B58">
        <w:rPr>
          <w:lang w:val="en-US"/>
        </w:rPr>
        <w:t>with</w:t>
      </w:r>
      <w:r w:rsidR="006027BE" w:rsidRPr="00DD1B58">
        <w:rPr>
          <w:lang w:val="en-US"/>
        </w:rPr>
        <w:t xml:space="preserve"> Operating Rules</w:t>
      </w:r>
      <w:r w:rsidR="0036572E" w:rsidRPr="00DD1B58">
        <w:rPr>
          <w:lang w:val="en-US"/>
        </w:rPr>
        <w:t xml:space="preserve"> </w:t>
      </w:r>
      <w:r w:rsidR="00AB5900" w:rsidRPr="00DD1B58">
        <w:rPr>
          <w:lang w:val="en-US"/>
        </w:rPr>
        <w:t>(LC23)</w:t>
      </w:r>
      <w:r w:rsidR="006027BE" w:rsidRPr="00DD1B58">
        <w:rPr>
          <w:lang w:val="en-US"/>
        </w:rPr>
        <w:t>, Operating Ins</w:t>
      </w:r>
      <w:r w:rsidR="0021018F" w:rsidRPr="00DD1B58">
        <w:rPr>
          <w:lang w:val="en-US"/>
        </w:rPr>
        <w:t>tructions</w:t>
      </w:r>
      <w:r w:rsidR="00AB5900" w:rsidRPr="00DD1B58">
        <w:rPr>
          <w:lang w:val="en-US"/>
        </w:rPr>
        <w:t xml:space="preserve"> (LC24)</w:t>
      </w:r>
      <w:r w:rsidR="00995A32" w:rsidRPr="00DD1B58">
        <w:rPr>
          <w:lang w:val="en-US"/>
        </w:rPr>
        <w:t>, Safety Mechanisms, Devices and Circuits</w:t>
      </w:r>
      <w:r w:rsidR="00AB5900" w:rsidRPr="00DD1B58">
        <w:rPr>
          <w:lang w:val="en-US"/>
        </w:rPr>
        <w:t xml:space="preserve"> (LC27)</w:t>
      </w:r>
      <w:r w:rsidR="00995A32" w:rsidRPr="00DD1B58">
        <w:rPr>
          <w:lang w:val="en-US"/>
        </w:rPr>
        <w:t xml:space="preserve"> and EMIT</w:t>
      </w:r>
      <w:r w:rsidR="00AB5900" w:rsidRPr="00DD1B58">
        <w:rPr>
          <w:lang w:val="en-US"/>
        </w:rPr>
        <w:t xml:space="preserve"> (LC28)</w:t>
      </w:r>
      <w:r w:rsidR="00BE50AC" w:rsidRPr="00DD1B58">
        <w:rPr>
          <w:lang w:val="en-US"/>
        </w:rPr>
        <w:t xml:space="preserve"> in the context of nuclear fire safety. </w:t>
      </w:r>
      <w:r w:rsidR="00B21087" w:rsidRPr="00DD1B58">
        <w:rPr>
          <w:lang w:val="en-US"/>
        </w:rPr>
        <w:t xml:space="preserve">A particular focus was placed on the control of combustibles and actions identified in the DFRA. </w:t>
      </w:r>
      <w:r w:rsidR="00BE50AC" w:rsidRPr="00DD1B58">
        <w:rPr>
          <w:lang w:val="en-US"/>
        </w:rPr>
        <w:t xml:space="preserve">The inspection found that generally </w:t>
      </w:r>
      <w:r w:rsidR="00B94C8A" w:rsidRPr="00DD1B58">
        <w:rPr>
          <w:lang w:val="en-US"/>
        </w:rPr>
        <w:t xml:space="preserve">PFRs arrangements </w:t>
      </w:r>
      <w:r w:rsidR="004D2334" w:rsidRPr="00DD1B58">
        <w:rPr>
          <w:lang w:val="en-US"/>
        </w:rPr>
        <w:t>were adequate</w:t>
      </w:r>
      <w:r w:rsidR="00A6645B" w:rsidRPr="00DD1B58">
        <w:rPr>
          <w:lang w:val="en-US"/>
        </w:rPr>
        <w:t xml:space="preserve"> and</w:t>
      </w:r>
      <w:r w:rsidR="000E474B" w:rsidRPr="00DD1B58">
        <w:rPr>
          <w:lang w:val="en-US"/>
        </w:rPr>
        <w:t xml:space="preserve"> an </w:t>
      </w:r>
      <w:r w:rsidR="00B36083" w:rsidRPr="00DD1B58">
        <w:rPr>
          <w:lang w:val="en-US"/>
        </w:rPr>
        <w:t>inspection</w:t>
      </w:r>
      <w:r w:rsidR="000E474B" w:rsidRPr="00DD1B58">
        <w:rPr>
          <w:lang w:val="en-US"/>
        </w:rPr>
        <w:t xml:space="preserve"> rating of green – no formal action was awarded. A level 4 regulatory issue (lowest </w:t>
      </w:r>
      <w:r w:rsidR="00D013F1" w:rsidRPr="00DD1B58">
        <w:rPr>
          <w:lang w:val="en-US"/>
        </w:rPr>
        <w:t>significance</w:t>
      </w:r>
      <w:r w:rsidR="000E474B" w:rsidRPr="00DD1B58">
        <w:rPr>
          <w:lang w:val="en-US"/>
        </w:rPr>
        <w:t>) was assigned to PFR</w:t>
      </w:r>
      <w:r w:rsidR="00D013F1" w:rsidRPr="00DD1B58">
        <w:rPr>
          <w:lang w:val="en-US"/>
        </w:rPr>
        <w:t xml:space="preserve">. This </w:t>
      </w:r>
      <w:r w:rsidR="000E474B" w:rsidRPr="00DD1B58">
        <w:rPr>
          <w:lang w:val="en-US"/>
        </w:rPr>
        <w:t>related to record keeping of fire alarm</w:t>
      </w:r>
      <w:r w:rsidR="0098194D" w:rsidRPr="00DD1B58">
        <w:rPr>
          <w:lang w:val="en-US"/>
        </w:rPr>
        <w:t xml:space="preserve"> maintenance work. Whilst the licensee was able to demonstrate that </w:t>
      </w:r>
      <w:r w:rsidR="00F11826" w:rsidRPr="00DD1B58">
        <w:rPr>
          <w:lang w:val="en-US"/>
        </w:rPr>
        <w:t>all</w:t>
      </w:r>
      <w:r w:rsidR="00B9258E" w:rsidRPr="00DD1B58">
        <w:rPr>
          <w:lang w:val="en-US"/>
        </w:rPr>
        <w:t xml:space="preserve"> alarm addresses were working on the fire alarm panel</w:t>
      </w:r>
      <w:r w:rsidR="0005446F" w:rsidRPr="00DD1B58">
        <w:rPr>
          <w:lang w:val="en-US"/>
        </w:rPr>
        <w:t xml:space="preserve">, </w:t>
      </w:r>
      <w:r w:rsidR="0056050A" w:rsidRPr="00DD1B58">
        <w:rPr>
          <w:lang w:val="en-US"/>
        </w:rPr>
        <w:t xml:space="preserve">the documented trail of </w:t>
      </w:r>
      <w:r w:rsidR="002F125E" w:rsidRPr="00DD1B58">
        <w:rPr>
          <w:lang w:val="en-US"/>
        </w:rPr>
        <w:t>repairs was not fully traceable to</w:t>
      </w:r>
      <w:r w:rsidR="00CE3D04" w:rsidRPr="00DD1B58">
        <w:rPr>
          <w:lang w:val="en-US"/>
        </w:rPr>
        <w:t xml:space="preserve"> closure. </w:t>
      </w:r>
      <w:r w:rsidR="002C244B" w:rsidRPr="00DD1B58">
        <w:rPr>
          <w:lang w:val="en-US"/>
        </w:rPr>
        <w:t>This action has now been closed as Dounreay has provided adequate evidence of improvements to record keeping and confirmed that any residual defects on the PFR fire alarm and detection system have been resolved or a suitable work order is in place</w:t>
      </w:r>
      <w:r w:rsidR="000269A5" w:rsidRPr="00DD1B58">
        <w:rPr>
          <w:lang w:val="en-US"/>
        </w:rPr>
        <w:t>.</w:t>
      </w:r>
    </w:p>
    <w:p w14:paraId="2703C207" w14:textId="5F86DFB2" w:rsidR="00503C4D" w:rsidRPr="00DD1B58" w:rsidRDefault="00641124" w:rsidP="00756570">
      <w:pPr>
        <w:rPr>
          <w:lang w:val="en-US"/>
        </w:rPr>
      </w:pPr>
      <w:r w:rsidRPr="00DD1B58">
        <w:rPr>
          <w:lang w:val="en-US"/>
        </w:rPr>
        <w:t xml:space="preserve">ONR </w:t>
      </w:r>
      <w:r w:rsidR="009468AB" w:rsidRPr="00DD1B58">
        <w:rPr>
          <w:lang w:val="en-US"/>
        </w:rPr>
        <w:t xml:space="preserve">also inspected </w:t>
      </w:r>
      <w:r w:rsidR="002022BB" w:rsidRPr="00DD1B58">
        <w:rPr>
          <w:lang w:val="en-US"/>
        </w:rPr>
        <w:t xml:space="preserve">the PFR facility </w:t>
      </w:r>
      <w:r w:rsidR="009468AB" w:rsidRPr="00DD1B58">
        <w:rPr>
          <w:lang w:val="en-US"/>
        </w:rPr>
        <w:t>as part of a life fire safety intervention</w:t>
      </w:r>
      <w:r w:rsidR="002022BB" w:rsidRPr="00DD1B58">
        <w:rPr>
          <w:lang w:val="en-US"/>
        </w:rPr>
        <w:t xml:space="preserve"> </w:t>
      </w:r>
      <w:r w:rsidR="00BB4C36" w:rsidRPr="00DD1B58">
        <w:rPr>
          <w:lang w:val="en-US"/>
        </w:rPr>
        <w:t>i</w:t>
      </w:r>
      <w:r w:rsidR="002C7E50" w:rsidRPr="00DD1B58">
        <w:rPr>
          <w:lang w:val="en-US"/>
        </w:rPr>
        <w:t xml:space="preserve">n </w:t>
      </w:r>
      <w:r w:rsidR="00792C9A" w:rsidRPr="00DD1B58">
        <w:rPr>
          <w:lang w:val="en-US"/>
        </w:rPr>
        <w:t>July</w:t>
      </w:r>
      <w:r w:rsidR="002C7E50" w:rsidRPr="00DD1B58">
        <w:rPr>
          <w:lang w:val="en-US"/>
        </w:rPr>
        <w:t xml:space="preserve"> 202</w:t>
      </w:r>
      <w:r w:rsidR="00F95336" w:rsidRPr="00DD1B58">
        <w:rPr>
          <w:lang w:val="en-US"/>
        </w:rPr>
        <w:t>2</w:t>
      </w:r>
      <w:r w:rsidR="00D5532D" w:rsidRPr="00DD1B58">
        <w:rPr>
          <w:lang w:val="en-US"/>
        </w:rPr>
        <w:t xml:space="preserve">. </w:t>
      </w:r>
      <w:r w:rsidR="00F95336" w:rsidRPr="00DD1B58">
        <w:rPr>
          <w:lang w:val="en-US"/>
        </w:rPr>
        <w:t xml:space="preserve">Whilst this inspection focussed on the requirements of the </w:t>
      </w:r>
      <w:r w:rsidR="007841B3" w:rsidRPr="00DD1B58">
        <w:rPr>
          <w:lang w:val="en-US"/>
        </w:rPr>
        <w:t xml:space="preserve">Fire Scotland Act </w:t>
      </w:r>
      <w:sdt>
        <w:sdtPr>
          <w:rPr>
            <w:lang w:val="en-US"/>
          </w:rPr>
          <w:id w:val="-320120571"/>
          <w:citation/>
        </w:sdtPr>
        <w:sdtContent>
          <w:r w:rsidR="00995FCD" w:rsidRPr="00DD1B58">
            <w:rPr>
              <w:lang w:val="en-US"/>
            </w:rPr>
            <w:fldChar w:fldCharType="begin"/>
          </w:r>
          <w:r w:rsidR="001A3492" w:rsidRPr="00DD1B58">
            <w:rPr>
              <w:lang w:val="en-US"/>
            </w:rPr>
            <w:instrText xml:space="preserve">CITATION Fir05 \l 2057 </w:instrText>
          </w:r>
          <w:r w:rsidR="00995FCD" w:rsidRPr="00DD1B58">
            <w:rPr>
              <w:lang w:val="en-US"/>
            </w:rPr>
            <w:fldChar w:fldCharType="separate"/>
          </w:r>
          <w:r w:rsidR="00DF47DA" w:rsidRPr="00DF47DA">
            <w:rPr>
              <w:noProof/>
              <w:lang w:val="en-US"/>
            </w:rPr>
            <w:t>[21]</w:t>
          </w:r>
          <w:r w:rsidR="00995FCD" w:rsidRPr="00DD1B58">
            <w:rPr>
              <w:lang w:val="en-US"/>
            </w:rPr>
            <w:fldChar w:fldCharType="end"/>
          </w:r>
        </w:sdtContent>
      </w:sdt>
      <w:r w:rsidR="00780983" w:rsidRPr="00DD1B58">
        <w:rPr>
          <w:lang w:val="en-US"/>
        </w:rPr>
        <w:t>,</w:t>
      </w:r>
      <w:r w:rsidR="00F95336" w:rsidRPr="00DD1B58">
        <w:rPr>
          <w:lang w:val="en-US"/>
        </w:rPr>
        <w:t xml:space="preserve"> which is no</w:t>
      </w:r>
      <w:r w:rsidR="00B7269B" w:rsidRPr="00DD1B58">
        <w:rPr>
          <w:lang w:val="en-US"/>
        </w:rPr>
        <w:t xml:space="preserve">t </w:t>
      </w:r>
      <w:r w:rsidR="00F95336" w:rsidRPr="00DD1B58">
        <w:rPr>
          <w:lang w:val="en-US"/>
        </w:rPr>
        <w:t>nuclear</w:t>
      </w:r>
      <w:r w:rsidR="00B7269B" w:rsidRPr="00DD1B58">
        <w:rPr>
          <w:lang w:val="en-US"/>
        </w:rPr>
        <w:t xml:space="preserve"> site-</w:t>
      </w:r>
      <w:r w:rsidR="00F95336" w:rsidRPr="00DD1B58">
        <w:rPr>
          <w:lang w:val="en-US"/>
        </w:rPr>
        <w:t>specific legislation</w:t>
      </w:r>
      <w:r w:rsidR="007D4E20" w:rsidRPr="00DD1B58">
        <w:rPr>
          <w:lang w:val="en-US"/>
        </w:rPr>
        <w:t>,</w:t>
      </w:r>
      <w:r w:rsidR="00F95336" w:rsidRPr="00DD1B58">
        <w:rPr>
          <w:lang w:val="en-US"/>
        </w:rPr>
        <w:t xml:space="preserve"> </w:t>
      </w:r>
      <w:r w:rsidR="00714FBC" w:rsidRPr="00DD1B58">
        <w:rPr>
          <w:lang w:val="en-US"/>
        </w:rPr>
        <w:t>aspects relevant to nuclear fire safety were examined including ageing and obsolescence of fire systems</w:t>
      </w:r>
      <w:r w:rsidR="00827CB9" w:rsidRPr="00DD1B58">
        <w:rPr>
          <w:lang w:val="en-US"/>
        </w:rPr>
        <w:t>,</w:t>
      </w:r>
      <w:r w:rsidR="007C31B9" w:rsidRPr="00DD1B58">
        <w:rPr>
          <w:lang w:val="en-US"/>
        </w:rPr>
        <w:t xml:space="preserve"> staff training</w:t>
      </w:r>
      <w:r w:rsidR="00827CB9" w:rsidRPr="00DD1B58">
        <w:rPr>
          <w:lang w:val="en-US"/>
        </w:rPr>
        <w:t xml:space="preserve"> and general fire safety management</w:t>
      </w:r>
      <w:r w:rsidR="007C31B9" w:rsidRPr="00DD1B58">
        <w:rPr>
          <w:lang w:val="en-US"/>
        </w:rPr>
        <w:t xml:space="preserve">. </w:t>
      </w:r>
      <w:r w:rsidR="00A25EC9" w:rsidRPr="00DD1B58">
        <w:rPr>
          <w:lang w:val="en-US"/>
        </w:rPr>
        <w:t xml:space="preserve">The inspection </w:t>
      </w:r>
      <w:r w:rsidR="00440D04" w:rsidRPr="00DD1B58">
        <w:rPr>
          <w:lang w:val="en-US"/>
        </w:rPr>
        <w:t>concluded that</w:t>
      </w:r>
      <w:r w:rsidR="009E5644" w:rsidRPr="00DD1B58">
        <w:rPr>
          <w:lang w:val="en-US"/>
        </w:rPr>
        <w:t xml:space="preserve"> Dounreay’s </w:t>
      </w:r>
      <w:r w:rsidR="00440D04" w:rsidRPr="00DD1B58">
        <w:rPr>
          <w:lang w:val="en-US"/>
        </w:rPr>
        <w:t xml:space="preserve">was in compliance with the Act and </w:t>
      </w:r>
      <w:r w:rsidR="00503C4D" w:rsidRPr="00DD1B58">
        <w:rPr>
          <w:lang w:val="en-US"/>
        </w:rPr>
        <w:t xml:space="preserve">an inspection rating of </w:t>
      </w:r>
      <w:r w:rsidR="00440D04" w:rsidRPr="00DD1B58">
        <w:rPr>
          <w:lang w:val="en-US"/>
        </w:rPr>
        <w:t>‘</w:t>
      </w:r>
      <w:r w:rsidR="00503C4D" w:rsidRPr="00DD1B58">
        <w:rPr>
          <w:lang w:val="en-US"/>
        </w:rPr>
        <w:t>green</w:t>
      </w:r>
      <w:r w:rsidR="00440D04" w:rsidRPr="00DD1B58">
        <w:rPr>
          <w:lang w:val="en-US"/>
        </w:rPr>
        <w:t>’ was given.</w:t>
      </w:r>
      <w:r w:rsidR="002C48DA" w:rsidRPr="00DD1B58">
        <w:rPr>
          <w:lang w:val="en-US"/>
        </w:rPr>
        <w:t xml:space="preserve"> </w:t>
      </w:r>
      <w:r w:rsidR="007B77B2" w:rsidRPr="00DD1B58">
        <w:rPr>
          <w:lang w:val="en-US"/>
        </w:rPr>
        <w:t xml:space="preserve">ONR </w:t>
      </w:r>
      <w:r w:rsidR="00344BF7" w:rsidRPr="00DD1B58">
        <w:rPr>
          <w:lang w:val="en-US"/>
        </w:rPr>
        <w:t xml:space="preserve">also </w:t>
      </w:r>
      <w:r w:rsidR="00E425BF" w:rsidRPr="00DD1B58">
        <w:rPr>
          <w:lang w:val="en-US"/>
        </w:rPr>
        <w:t>sampled Dounreay’s</w:t>
      </w:r>
      <w:r w:rsidR="00A74DA6" w:rsidRPr="00DD1B58">
        <w:rPr>
          <w:lang w:val="en-US"/>
        </w:rPr>
        <w:t xml:space="preserve"> </w:t>
      </w:r>
      <w:r w:rsidR="004A5DBB" w:rsidRPr="00DD1B58">
        <w:rPr>
          <w:lang w:val="en-US"/>
        </w:rPr>
        <w:t>maintenance and replacement of fire alarm systems</w:t>
      </w:r>
      <w:r w:rsidR="006A7589" w:rsidRPr="00DD1B58">
        <w:rPr>
          <w:lang w:val="en-US"/>
        </w:rPr>
        <w:t xml:space="preserve"> </w:t>
      </w:r>
      <w:r w:rsidR="00E425BF" w:rsidRPr="00DD1B58">
        <w:rPr>
          <w:lang w:val="en-US"/>
        </w:rPr>
        <w:t>and advised Dounreay to take a proactive approach</w:t>
      </w:r>
      <w:r w:rsidR="00F65E17" w:rsidRPr="00DD1B58">
        <w:rPr>
          <w:lang w:val="en-US"/>
        </w:rPr>
        <w:t xml:space="preserve"> to manage system obsolescence.</w:t>
      </w:r>
      <w:r w:rsidR="00AE6D6A" w:rsidRPr="00DD1B58">
        <w:rPr>
          <w:lang w:val="en-US"/>
        </w:rPr>
        <w:t xml:space="preserve"> </w:t>
      </w:r>
      <w:r w:rsidR="001E18BB" w:rsidRPr="00DD1B58">
        <w:rPr>
          <w:lang w:val="en-US"/>
        </w:rPr>
        <w:t xml:space="preserve">Dounreay have </w:t>
      </w:r>
      <w:r w:rsidR="00E47DAF" w:rsidRPr="00DD1B58">
        <w:rPr>
          <w:lang w:val="en-US"/>
        </w:rPr>
        <w:t>adopted this approach to manage the</w:t>
      </w:r>
      <w:r w:rsidR="007A3E7B" w:rsidRPr="00DD1B58">
        <w:rPr>
          <w:lang w:val="en-US"/>
        </w:rPr>
        <w:t xml:space="preserve"> condition of assets </w:t>
      </w:r>
      <w:r w:rsidR="00BE5ED6" w:rsidRPr="00DD1B58">
        <w:rPr>
          <w:lang w:val="en-US"/>
        </w:rPr>
        <w:t>across site</w:t>
      </w:r>
      <w:r w:rsidR="00DD19FF" w:rsidRPr="00DD1B58">
        <w:rPr>
          <w:lang w:val="en-US"/>
        </w:rPr>
        <w:t xml:space="preserve"> and ensure availability of critical spares</w:t>
      </w:r>
      <w:r w:rsidR="00BE5ED6" w:rsidRPr="00DD1B58">
        <w:rPr>
          <w:lang w:val="en-US"/>
        </w:rPr>
        <w:t>.</w:t>
      </w:r>
      <w:r w:rsidR="00382C6F" w:rsidRPr="00DD1B58">
        <w:rPr>
          <w:lang w:val="en-US"/>
        </w:rPr>
        <w:t xml:space="preserve"> </w:t>
      </w:r>
    </w:p>
    <w:p w14:paraId="56375B23" w14:textId="77777777" w:rsidR="00756570" w:rsidRPr="00DD1B58" w:rsidRDefault="00BF6518" w:rsidP="00BC7AA3">
      <w:pPr>
        <w:pStyle w:val="Heading4"/>
        <w:numPr>
          <w:ilvl w:val="4"/>
          <w:numId w:val="3"/>
        </w:numPr>
        <w:rPr>
          <w:lang w:val="en-US"/>
        </w:rPr>
      </w:pPr>
      <w:r w:rsidRPr="00DD1B58">
        <w:rPr>
          <w:lang w:val="en-US"/>
        </w:rPr>
        <w:t>Conclusions drawn on the adequacy of the licensee’s fire safety analysis</w:t>
      </w:r>
    </w:p>
    <w:p w14:paraId="15549F7A" w14:textId="1F3C3E06" w:rsidR="00AE4F8E" w:rsidRPr="00DD1B58" w:rsidRDefault="00AE4F8E" w:rsidP="007A2409">
      <w:pPr>
        <w:rPr>
          <w:lang w:val="en-US"/>
        </w:rPr>
      </w:pPr>
      <w:r w:rsidRPr="00DD1B58">
        <w:rPr>
          <w:lang w:val="en-US"/>
        </w:rPr>
        <w:t xml:space="preserve">For </w:t>
      </w:r>
      <w:r w:rsidR="00841AE5" w:rsidRPr="00DD1B58">
        <w:rPr>
          <w:lang w:val="en-US"/>
        </w:rPr>
        <w:t>Dounreay</w:t>
      </w:r>
      <w:r w:rsidR="00AD4EF0" w:rsidRPr="00DD1B58">
        <w:rPr>
          <w:lang w:val="en-US"/>
        </w:rPr>
        <w:t>,</w:t>
      </w:r>
      <w:r w:rsidRPr="00DD1B58">
        <w:rPr>
          <w:lang w:val="en-US"/>
        </w:rPr>
        <w:t xml:space="preserve"> ONR </w:t>
      </w:r>
      <w:r w:rsidR="00382C6F" w:rsidRPr="00DD1B58">
        <w:rPr>
          <w:lang w:val="en-US"/>
        </w:rPr>
        <w:t xml:space="preserve">concludes </w:t>
      </w:r>
      <w:r w:rsidRPr="00DD1B58">
        <w:rPr>
          <w:lang w:val="en-US"/>
        </w:rPr>
        <w:t xml:space="preserve">that </w:t>
      </w:r>
      <w:r w:rsidR="00841AE5" w:rsidRPr="00DD1B58">
        <w:rPr>
          <w:lang w:val="en-US"/>
        </w:rPr>
        <w:t>a</w:t>
      </w:r>
      <w:r w:rsidRPr="00DD1B58">
        <w:rPr>
          <w:lang w:val="en-US"/>
        </w:rPr>
        <w:t xml:space="preserve"> fire safety analysis process is in place </w:t>
      </w:r>
      <w:r w:rsidR="00382C6F" w:rsidRPr="00DD1B58">
        <w:rPr>
          <w:lang w:val="en-US"/>
        </w:rPr>
        <w:t>and that it is</w:t>
      </w:r>
      <w:r w:rsidRPr="00DD1B58">
        <w:rPr>
          <w:lang w:val="en-US"/>
        </w:rPr>
        <w:t xml:space="preserve"> based on recognised sources of relevant good practice. </w:t>
      </w:r>
      <w:r w:rsidR="00382C6F" w:rsidRPr="00DD1B58">
        <w:rPr>
          <w:lang w:val="en-US"/>
        </w:rPr>
        <w:t xml:space="preserve">Dounreay’s </w:t>
      </w:r>
      <w:r w:rsidR="00ED20FB" w:rsidRPr="00DD1B58">
        <w:rPr>
          <w:lang w:val="en-US"/>
        </w:rPr>
        <w:t xml:space="preserve">fire safety analysis is completed largely by external contractors </w:t>
      </w:r>
      <w:r w:rsidR="00151FCD" w:rsidRPr="00DD1B58">
        <w:rPr>
          <w:lang w:val="en-US"/>
        </w:rPr>
        <w:t xml:space="preserve">and primarily utilises hand calculation techniques and engineering judgement. </w:t>
      </w:r>
      <w:r w:rsidR="00382C6F" w:rsidRPr="00DD1B58">
        <w:rPr>
          <w:lang w:val="en-US"/>
        </w:rPr>
        <w:t>Dounreay assesses f</w:t>
      </w:r>
      <w:r w:rsidR="00BC6CBA" w:rsidRPr="00DD1B58">
        <w:rPr>
          <w:lang w:val="en-US"/>
        </w:rPr>
        <w:t>ire loading quanti</w:t>
      </w:r>
      <w:r w:rsidR="007A55C7" w:rsidRPr="00DD1B58">
        <w:rPr>
          <w:lang w:val="en-US"/>
        </w:rPr>
        <w:t xml:space="preserve">tatively </w:t>
      </w:r>
      <w:r w:rsidR="00382C6F" w:rsidRPr="00DD1B58">
        <w:rPr>
          <w:lang w:val="en-US"/>
        </w:rPr>
        <w:t>for</w:t>
      </w:r>
      <w:r w:rsidR="007A55C7" w:rsidRPr="00DD1B58">
        <w:rPr>
          <w:lang w:val="en-US"/>
        </w:rPr>
        <w:t xml:space="preserve"> defined </w:t>
      </w:r>
      <w:r w:rsidR="00AF3275" w:rsidRPr="00DD1B58">
        <w:rPr>
          <w:lang w:val="en-US"/>
        </w:rPr>
        <w:t xml:space="preserve">fire scenarios </w:t>
      </w:r>
      <w:r w:rsidR="00440AA8" w:rsidRPr="00DD1B58">
        <w:rPr>
          <w:lang w:val="en-US"/>
        </w:rPr>
        <w:t>and</w:t>
      </w:r>
      <w:r w:rsidR="00382C6F" w:rsidRPr="00DD1B58">
        <w:rPr>
          <w:lang w:val="en-US"/>
        </w:rPr>
        <w:t xml:space="preserve"> </w:t>
      </w:r>
      <w:r w:rsidR="00AF3275" w:rsidRPr="00DD1B58">
        <w:rPr>
          <w:lang w:val="en-US"/>
        </w:rPr>
        <w:t>not globally.</w:t>
      </w:r>
      <w:r w:rsidR="00E76801" w:rsidRPr="00DD1B58">
        <w:rPr>
          <w:lang w:val="en-US"/>
        </w:rPr>
        <w:t xml:space="preserve"> ONR has </w:t>
      </w:r>
      <w:r w:rsidR="009633C0" w:rsidRPr="00DD1B58">
        <w:rPr>
          <w:lang w:val="en-US"/>
        </w:rPr>
        <w:t xml:space="preserve">assessed examples </w:t>
      </w:r>
      <w:r w:rsidR="00F82F33" w:rsidRPr="00DD1B58">
        <w:rPr>
          <w:lang w:val="en-US"/>
        </w:rPr>
        <w:t xml:space="preserve">of </w:t>
      </w:r>
      <w:r w:rsidR="00440AA8" w:rsidRPr="00DD1B58">
        <w:rPr>
          <w:lang w:val="en-US"/>
        </w:rPr>
        <w:t>Dounreay’s</w:t>
      </w:r>
      <w:r w:rsidR="00F82F33" w:rsidRPr="00DD1B58">
        <w:rPr>
          <w:lang w:val="en-US"/>
        </w:rPr>
        <w:t xml:space="preserve"> </w:t>
      </w:r>
      <w:r w:rsidR="00952258" w:rsidRPr="00DD1B58">
        <w:rPr>
          <w:lang w:val="en-US"/>
        </w:rPr>
        <w:t xml:space="preserve">fire safety analysis </w:t>
      </w:r>
      <w:r w:rsidR="00440AA8" w:rsidRPr="00DD1B58">
        <w:rPr>
          <w:lang w:val="en-US"/>
        </w:rPr>
        <w:t>and raised two recommendations</w:t>
      </w:r>
      <w:r w:rsidR="00B2777F" w:rsidRPr="00DD1B58">
        <w:rPr>
          <w:lang w:val="en-US"/>
        </w:rPr>
        <w:t>,</w:t>
      </w:r>
      <w:r w:rsidR="00440AA8" w:rsidRPr="00DD1B58">
        <w:rPr>
          <w:lang w:val="en-US"/>
        </w:rPr>
        <w:t xml:space="preserve"> for Dounreay to develop and implement proportionate approaches </w:t>
      </w:r>
      <w:r w:rsidR="00B2777F" w:rsidRPr="00DD1B58">
        <w:rPr>
          <w:lang w:val="en-US"/>
        </w:rPr>
        <w:t>to systematic</w:t>
      </w:r>
      <w:r w:rsidR="00440AA8" w:rsidRPr="00DD1B58">
        <w:rPr>
          <w:lang w:val="en-US"/>
        </w:rPr>
        <w:t xml:space="preserve"> assessment of</w:t>
      </w:r>
      <w:r w:rsidR="002431F6" w:rsidRPr="00DD1B58">
        <w:rPr>
          <w:lang w:val="en-US"/>
        </w:rPr>
        <w:t xml:space="preserve"> </w:t>
      </w:r>
      <w:r w:rsidR="00440AA8" w:rsidRPr="00DD1B58">
        <w:rPr>
          <w:lang w:val="en-US"/>
        </w:rPr>
        <w:t xml:space="preserve">combined </w:t>
      </w:r>
      <w:r w:rsidR="002431F6" w:rsidRPr="00DD1B58">
        <w:rPr>
          <w:lang w:val="en-US"/>
        </w:rPr>
        <w:t xml:space="preserve">hazards and the </w:t>
      </w:r>
      <w:r w:rsidR="00A30F98" w:rsidRPr="00DD1B58">
        <w:rPr>
          <w:lang w:val="en-US"/>
        </w:rPr>
        <w:t>characterisation of fire loading</w:t>
      </w:r>
      <w:r w:rsidR="00B2777F" w:rsidRPr="00DD1B58">
        <w:rPr>
          <w:lang w:val="en-US"/>
        </w:rPr>
        <w:t>s</w:t>
      </w:r>
      <w:r w:rsidR="007D7923" w:rsidRPr="00DD1B58">
        <w:rPr>
          <w:lang w:val="en-US"/>
        </w:rPr>
        <w:t xml:space="preserve">. Dounreay </w:t>
      </w:r>
      <w:r w:rsidRPr="00DD1B58">
        <w:rPr>
          <w:lang w:val="en-US"/>
        </w:rPr>
        <w:t xml:space="preserve">have recognised </w:t>
      </w:r>
      <w:r w:rsidR="00B2777F" w:rsidRPr="00DD1B58">
        <w:rPr>
          <w:lang w:val="en-US"/>
        </w:rPr>
        <w:t>the</w:t>
      </w:r>
      <w:r w:rsidR="00440AA8" w:rsidRPr="00DD1B58">
        <w:rPr>
          <w:lang w:val="en-US"/>
        </w:rPr>
        <w:t xml:space="preserve"> </w:t>
      </w:r>
      <w:r w:rsidRPr="00DD1B58">
        <w:rPr>
          <w:lang w:val="en-US"/>
        </w:rPr>
        <w:t>gap</w:t>
      </w:r>
      <w:r w:rsidR="00440AA8" w:rsidRPr="00DD1B58">
        <w:rPr>
          <w:lang w:val="en-US"/>
        </w:rPr>
        <w:t>s</w:t>
      </w:r>
      <w:r w:rsidRPr="00DD1B58">
        <w:rPr>
          <w:lang w:val="en-US"/>
        </w:rPr>
        <w:t xml:space="preserve"> in the safety case methodology and</w:t>
      </w:r>
      <w:r w:rsidR="00FE0D0F" w:rsidRPr="00DD1B58">
        <w:rPr>
          <w:lang w:val="en-US"/>
        </w:rPr>
        <w:t xml:space="preserve"> committed</w:t>
      </w:r>
      <w:r w:rsidR="00B2777F" w:rsidRPr="00DD1B58">
        <w:rPr>
          <w:lang w:val="en-US"/>
        </w:rPr>
        <w:t xml:space="preserve"> to </w:t>
      </w:r>
      <w:r w:rsidR="00FE0D0F" w:rsidRPr="00DD1B58">
        <w:rPr>
          <w:lang w:val="en-US"/>
        </w:rPr>
        <w:t>address them</w:t>
      </w:r>
      <w:r w:rsidR="00B2777F" w:rsidRPr="00DD1B58">
        <w:rPr>
          <w:lang w:val="en-US"/>
        </w:rPr>
        <w:t xml:space="preserve">. </w:t>
      </w:r>
      <w:bookmarkStart w:id="69" w:name="_Hlk148611250"/>
      <w:r w:rsidR="00F354E2" w:rsidRPr="00DD1B58">
        <w:rPr>
          <w:lang w:val="en-US"/>
        </w:rPr>
        <w:t xml:space="preserve">A life fire safety based inspection is planned at the Dounreay site for January 2024. This </w:t>
      </w:r>
      <w:r w:rsidR="006E7B23" w:rsidRPr="00DD1B58">
        <w:rPr>
          <w:lang w:val="en-US"/>
        </w:rPr>
        <w:t xml:space="preserve">will include consideration of TPR2 findings and the approach taken to suitably close these out. </w:t>
      </w:r>
      <w:r w:rsidR="004F4E91" w:rsidRPr="00DD1B58">
        <w:rPr>
          <w:lang w:val="en-US"/>
        </w:rPr>
        <w:t xml:space="preserve">It is intended that a representative from Magnox’s central fire team will also attend </w:t>
      </w:r>
      <w:r w:rsidR="00846070" w:rsidRPr="00DD1B58">
        <w:rPr>
          <w:lang w:val="en-US"/>
        </w:rPr>
        <w:t>to provide clarity on Dounreay’s ongoing resource profile for fire safety</w:t>
      </w:r>
      <w:r w:rsidR="008F208F" w:rsidRPr="00DD1B58">
        <w:rPr>
          <w:lang w:val="en-US"/>
        </w:rPr>
        <w:t>. Any outstanding actions required to address TPR2 findings will be tracked through regulatory issues.</w:t>
      </w:r>
      <w:bookmarkEnd w:id="69"/>
    </w:p>
    <w:p w14:paraId="6A76BF51" w14:textId="77777777" w:rsidR="005F6EFD" w:rsidRPr="00DD1B58" w:rsidRDefault="005F6EFD" w:rsidP="00BA221A">
      <w:pPr>
        <w:rPr>
          <w:lang w:val="en-US"/>
        </w:rPr>
      </w:pPr>
    </w:p>
    <w:p w14:paraId="689688E0" w14:textId="77777777" w:rsidR="00656B8C" w:rsidRPr="00DD1B58" w:rsidRDefault="00656B8C" w:rsidP="00BA221A">
      <w:pPr>
        <w:rPr>
          <w:lang w:val="en-US"/>
        </w:rPr>
      </w:pPr>
    </w:p>
    <w:p w14:paraId="720DDC47" w14:textId="77777777" w:rsidR="00BA221A" w:rsidRPr="00DD1B58" w:rsidRDefault="00BA221A" w:rsidP="00BA221A">
      <w:pPr>
        <w:rPr>
          <w:lang w:val="en-US" w:eastAsia="en-GB" w:bidi="ar-SA"/>
        </w:rPr>
      </w:pPr>
    </w:p>
    <w:p w14:paraId="18C88702" w14:textId="77777777" w:rsidR="00C47917" w:rsidRPr="00DD1B58" w:rsidRDefault="00C47917" w:rsidP="008862F6">
      <w:pPr>
        <w:autoSpaceDE w:val="0"/>
        <w:autoSpaceDN w:val="0"/>
        <w:adjustRightInd w:val="0"/>
        <w:spacing w:after="0" w:line="240" w:lineRule="auto"/>
        <w:rPr>
          <w:color w:val="000000"/>
          <w:sz w:val="23"/>
          <w:szCs w:val="23"/>
          <w:lang w:val="en-US" w:eastAsia="en-GB" w:bidi="ar-SA"/>
        </w:rPr>
      </w:pPr>
    </w:p>
    <w:p w14:paraId="5FF00AE7" w14:textId="77777777" w:rsidR="008862F6" w:rsidRPr="00DD1B58" w:rsidRDefault="008862F6" w:rsidP="008862F6">
      <w:pPr>
        <w:pStyle w:val="Default"/>
        <w:rPr>
          <w:lang w:val="en-US"/>
        </w:rPr>
      </w:pPr>
    </w:p>
    <w:p w14:paraId="16DF1C15" w14:textId="77777777" w:rsidR="00EC6B6F" w:rsidRPr="00DD1B58" w:rsidRDefault="00EC6B6F" w:rsidP="00EC6B6F">
      <w:pPr>
        <w:rPr>
          <w:lang w:val="en-US"/>
        </w:rPr>
      </w:pPr>
    </w:p>
    <w:p w14:paraId="08451525" w14:textId="77777777" w:rsidR="00210218" w:rsidRPr="00DD1B58" w:rsidRDefault="00210218" w:rsidP="00210218">
      <w:pPr>
        <w:pStyle w:val="Default"/>
        <w:rPr>
          <w:lang w:val="en-US"/>
        </w:rPr>
      </w:pPr>
    </w:p>
    <w:p w14:paraId="5D48D2CE" w14:textId="77777777" w:rsidR="00DC190F" w:rsidRPr="00DD1B58" w:rsidRDefault="00DC190F" w:rsidP="00DC190F">
      <w:pPr>
        <w:pStyle w:val="Default"/>
        <w:rPr>
          <w:lang w:val="en-US"/>
        </w:rPr>
      </w:pPr>
    </w:p>
    <w:p w14:paraId="4DCC02AD" w14:textId="77777777" w:rsidR="00DC190F" w:rsidRPr="00DD1B58" w:rsidRDefault="00DC190F" w:rsidP="00DC190F">
      <w:pPr>
        <w:pStyle w:val="Default"/>
        <w:rPr>
          <w:lang w:val="en-US"/>
        </w:rPr>
      </w:pPr>
    </w:p>
    <w:p w14:paraId="268F7885" w14:textId="77777777" w:rsidR="00E55D1D" w:rsidRPr="00DD1B58" w:rsidRDefault="00E55D1D" w:rsidP="00E55D1D">
      <w:pPr>
        <w:pStyle w:val="Default"/>
        <w:rPr>
          <w:lang w:val="en-US"/>
        </w:rPr>
      </w:pPr>
    </w:p>
    <w:p w14:paraId="690F5FB4" w14:textId="77777777" w:rsidR="00E55D1D" w:rsidRPr="00DD1B58" w:rsidRDefault="00E55D1D" w:rsidP="00E53255">
      <w:pPr>
        <w:pStyle w:val="Default"/>
        <w:rPr>
          <w:lang w:val="en-US"/>
        </w:rPr>
      </w:pPr>
    </w:p>
    <w:p w14:paraId="0DD770FC" w14:textId="77777777" w:rsidR="002F34B0" w:rsidRPr="00DD1B58" w:rsidRDefault="002F34B0" w:rsidP="002F34B0">
      <w:pPr>
        <w:pStyle w:val="Default"/>
        <w:rPr>
          <w:lang w:val="en-US"/>
        </w:rPr>
      </w:pPr>
    </w:p>
    <w:p w14:paraId="1D1618F0" w14:textId="77777777" w:rsidR="00607F08" w:rsidRPr="00DD1B58" w:rsidRDefault="00607F08" w:rsidP="00607F08">
      <w:pPr>
        <w:rPr>
          <w:lang w:val="en-US"/>
        </w:rPr>
      </w:pPr>
    </w:p>
    <w:p w14:paraId="73C77B29" w14:textId="77777777" w:rsidR="009F5251" w:rsidRPr="00DD1B58" w:rsidRDefault="009F5251" w:rsidP="00327321">
      <w:pPr>
        <w:pStyle w:val="Heading1"/>
        <w:rPr>
          <w:lang w:val="en-US"/>
        </w:rPr>
        <w:sectPr w:rsidR="009F5251" w:rsidRPr="00DD1B58" w:rsidSect="00B82646">
          <w:pgSz w:w="11906" w:h="16838" w:code="9"/>
          <w:pgMar w:top="1440" w:right="1080" w:bottom="1440" w:left="1080" w:header="397" w:footer="397" w:gutter="0"/>
          <w:cols w:space="312"/>
          <w:docGrid w:linePitch="360"/>
        </w:sectPr>
      </w:pPr>
    </w:p>
    <w:p w14:paraId="46CCDB24" w14:textId="2EA6C5FD" w:rsidR="00D34C6F" w:rsidRPr="00DD1B58" w:rsidRDefault="00D34C6F" w:rsidP="00905CCB">
      <w:pPr>
        <w:pStyle w:val="Heading1A"/>
        <w:rPr>
          <w:lang w:val="en-US"/>
        </w:rPr>
      </w:pPr>
      <w:bookmarkStart w:id="70" w:name="_Toc147090636"/>
      <w:r w:rsidRPr="00DD1B58">
        <w:rPr>
          <w:lang w:val="en-US"/>
        </w:rPr>
        <w:t xml:space="preserve">Fire </w:t>
      </w:r>
      <w:r w:rsidR="001B7D03" w:rsidRPr="00DD1B58">
        <w:rPr>
          <w:lang w:val="en-US"/>
        </w:rPr>
        <w:t>p</w:t>
      </w:r>
      <w:r w:rsidRPr="00DD1B58">
        <w:rPr>
          <w:lang w:val="en-US"/>
        </w:rPr>
        <w:t xml:space="preserve">rotection </w:t>
      </w:r>
      <w:r w:rsidR="001B7D03" w:rsidRPr="00DD1B58">
        <w:rPr>
          <w:lang w:val="en-US"/>
        </w:rPr>
        <w:t>c</w:t>
      </w:r>
      <w:r w:rsidRPr="00DD1B58">
        <w:rPr>
          <w:lang w:val="en-US"/>
        </w:rPr>
        <w:t xml:space="preserve">oncept and </w:t>
      </w:r>
      <w:r w:rsidR="001B7D03" w:rsidRPr="00DD1B58">
        <w:rPr>
          <w:lang w:val="en-US"/>
        </w:rPr>
        <w:t>i</w:t>
      </w:r>
      <w:r w:rsidRPr="00DD1B58">
        <w:rPr>
          <w:lang w:val="en-US"/>
        </w:rPr>
        <w:t xml:space="preserve">ts </w:t>
      </w:r>
      <w:r w:rsidR="001B7D03" w:rsidRPr="00DD1B58">
        <w:rPr>
          <w:lang w:val="en-US"/>
        </w:rPr>
        <w:t>i</w:t>
      </w:r>
      <w:r w:rsidRPr="00DD1B58">
        <w:rPr>
          <w:lang w:val="en-US"/>
        </w:rPr>
        <w:t>mplementation</w:t>
      </w:r>
      <w:bookmarkEnd w:id="70"/>
      <w:r w:rsidRPr="00DD1B58">
        <w:rPr>
          <w:lang w:val="en-US"/>
        </w:rPr>
        <w:t xml:space="preserve"> </w:t>
      </w:r>
    </w:p>
    <w:p w14:paraId="3BFFC8AC" w14:textId="77777777" w:rsidR="00D34C6F" w:rsidRPr="00DD1B58" w:rsidRDefault="00D34C6F" w:rsidP="00177432">
      <w:pPr>
        <w:pStyle w:val="Heading2A"/>
        <w:rPr>
          <w:lang w:val="en-US"/>
        </w:rPr>
      </w:pPr>
      <w:bookmarkStart w:id="71" w:name="_Toc147090637"/>
      <w:r w:rsidRPr="00DD1B58">
        <w:rPr>
          <w:lang w:val="en-US"/>
        </w:rPr>
        <w:t>Fire prevention</w:t>
      </w:r>
      <w:bookmarkEnd w:id="71"/>
      <w:r w:rsidRPr="00DD1B58">
        <w:rPr>
          <w:lang w:val="en-US"/>
        </w:rPr>
        <w:t xml:space="preserve"> </w:t>
      </w:r>
    </w:p>
    <w:p w14:paraId="5EC24B18" w14:textId="1E2753B8" w:rsidR="005935F1" w:rsidRPr="00DD1B58" w:rsidRDefault="005935F1" w:rsidP="00973FF4">
      <w:pPr>
        <w:rPr>
          <w:bCs/>
          <w:lang w:val="en-US"/>
        </w:rPr>
      </w:pPr>
      <w:bookmarkStart w:id="72" w:name="_Ref135218010"/>
      <w:r w:rsidRPr="00DD1B58">
        <w:rPr>
          <w:bCs/>
          <w:lang w:val="en-US"/>
        </w:rPr>
        <w:t xml:space="preserve">This section contains the elements of the fire protection concepts applied for the installations in the scope of the TPR covering the three levels of defence in depth with regard to fire safety and their implementation in the installations, commencing with the </w:t>
      </w:r>
      <w:r w:rsidR="00666C05" w:rsidRPr="00DD1B58">
        <w:rPr>
          <w:bCs/>
          <w:lang w:val="en-US"/>
        </w:rPr>
        <w:t>first level of defence in depth, namely prevention of fire</w:t>
      </w:r>
      <w:r w:rsidRPr="00DD1B58">
        <w:rPr>
          <w:bCs/>
          <w:lang w:val="en-US"/>
        </w:rPr>
        <w:t>.</w:t>
      </w:r>
    </w:p>
    <w:p w14:paraId="5EC7C50A" w14:textId="4D52FF56" w:rsidR="00F2161B" w:rsidRPr="00DD1B58" w:rsidRDefault="006A1A16" w:rsidP="00177432">
      <w:pPr>
        <w:pStyle w:val="Heading3A"/>
        <w:rPr>
          <w:lang w:val="en-US"/>
        </w:rPr>
      </w:pPr>
      <w:bookmarkStart w:id="73" w:name="_Toc147090638"/>
      <w:r w:rsidRPr="00DD1B58">
        <w:rPr>
          <w:lang w:val="en-US"/>
        </w:rPr>
        <w:t xml:space="preserve">Nuclear </w:t>
      </w:r>
      <w:r w:rsidR="00A210BF" w:rsidRPr="00DD1B58">
        <w:rPr>
          <w:lang w:val="en-US"/>
        </w:rPr>
        <w:t>p</w:t>
      </w:r>
      <w:r w:rsidRPr="00DD1B58">
        <w:rPr>
          <w:lang w:val="en-US"/>
        </w:rPr>
        <w:t xml:space="preserve">ower </w:t>
      </w:r>
      <w:r w:rsidR="00A210BF" w:rsidRPr="00DD1B58">
        <w:rPr>
          <w:lang w:val="en-US"/>
        </w:rPr>
        <w:t>p</w:t>
      </w:r>
      <w:r w:rsidRPr="00DD1B58">
        <w:rPr>
          <w:lang w:val="en-US"/>
        </w:rPr>
        <w:t>lants</w:t>
      </w:r>
      <w:bookmarkEnd w:id="72"/>
      <w:bookmarkEnd w:id="73"/>
    </w:p>
    <w:p w14:paraId="30DEEAFF" w14:textId="0AD50C38" w:rsidR="007C7963" w:rsidRPr="00DD1B58" w:rsidRDefault="007C7963" w:rsidP="00973FF4">
      <w:pPr>
        <w:rPr>
          <w:lang w:val="en-US"/>
        </w:rPr>
      </w:pPr>
      <w:r w:rsidRPr="00DD1B58">
        <w:rPr>
          <w:lang w:val="en-US"/>
        </w:rPr>
        <w:t xml:space="preserve">The text in the sections below has been prepared by EDF </w:t>
      </w:r>
      <w:r w:rsidR="00CD4862" w:rsidRPr="00DD1B58">
        <w:rPr>
          <w:lang w:val="en-US"/>
        </w:rPr>
        <w:t>NGL</w:t>
      </w:r>
      <w:r w:rsidRPr="00DD1B58">
        <w:rPr>
          <w:lang w:val="en-US"/>
        </w:rPr>
        <w:t xml:space="preserve"> and NNB </w:t>
      </w:r>
      <w:r w:rsidR="00CD4862" w:rsidRPr="00DD1B58">
        <w:rPr>
          <w:lang w:val="en-US"/>
        </w:rPr>
        <w:t>GenCo</w:t>
      </w:r>
      <w:r w:rsidRPr="00DD1B58">
        <w:rPr>
          <w:lang w:val="en-US"/>
        </w:rPr>
        <w:t xml:space="preserve"> (HPC) </w:t>
      </w:r>
      <w:r w:rsidR="00950BD0" w:rsidRPr="00DD1B58">
        <w:rPr>
          <w:lang w:val="en-US"/>
        </w:rPr>
        <w:t>Ltd</w:t>
      </w:r>
      <w:r w:rsidRPr="00DD1B58">
        <w:rPr>
          <w:lang w:val="en-US"/>
        </w:rPr>
        <w:t xml:space="preserve"> with minimal editing by ONR</w:t>
      </w:r>
      <w:r w:rsidR="008F5402" w:rsidRPr="00DD1B58">
        <w:rPr>
          <w:lang w:val="en-US"/>
        </w:rPr>
        <w:t>.</w:t>
      </w:r>
    </w:p>
    <w:p w14:paraId="72EA14B9" w14:textId="77777777" w:rsidR="00D36AB8" w:rsidRPr="00DD1B58" w:rsidRDefault="00D36AB8" w:rsidP="00177432">
      <w:pPr>
        <w:pStyle w:val="Heading4A"/>
        <w:rPr>
          <w:lang w:val="en-US"/>
        </w:rPr>
      </w:pPr>
      <w:r w:rsidRPr="00DD1B58">
        <w:rPr>
          <w:lang w:val="en-US"/>
        </w:rPr>
        <w:t>Operating Facilities</w:t>
      </w:r>
      <w:r w:rsidR="00C90E0B" w:rsidRPr="00DD1B58">
        <w:rPr>
          <w:lang w:val="en-US"/>
        </w:rPr>
        <w:t xml:space="preserve"> – EDF NG</w:t>
      </w:r>
      <w:r w:rsidR="003F7F3F" w:rsidRPr="00DD1B58">
        <w:rPr>
          <w:lang w:val="en-US"/>
        </w:rPr>
        <w:t>L</w:t>
      </w:r>
    </w:p>
    <w:p w14:paraId="1929E01D" w14:textId="65C36DEB" w:rsidR="00E65EAA" w:rsidRPr="00DD1B58" w:rsidRDefault="00E65EAA" w:rsidP="00177432">
      <w:pPr>
        <w:pStyle w:val="Heading5A"/>
        <w:rPr>
          <w:lang w:val="en-US"/>
        </w:rPr>
      </w:pPr>
      <w:r w:rsidRPr="00DD1B58">
        <w:rPr>
          <w:lang w:val="en-US"/>
        </w:rPr>
        <w:t xml:space="preserve">Design considerations and prevention means </w:t>
      </w:r>
    </w:p>
    <w:p w14:paraId="76878961" w14:textId="14479EA7" w:rsidR="00EB2E83" w:rsidRPr="00DD1B58" w:rsidRDefault="236D3A22" w:rsidP="69C23859">
      <w:pPr>
        <w:rPr>
          <w:lang w:val="en-US"/>
        </w:rPr>
      </w:pPr>
      <w:r w:rsidRPr="00DD1B58">
        <w:rPr>
          <w:b/>
          <w:lang w:val="en-US"/>
        </w:rPr>
        <w:t>General</w:t>
      </w:r>
      <w:r w:rsidR="00950BD0" w:rsidRPr="00DD1B58">
        <w:rPr>
          <w:b/>
          <w:lang w:val="en-US"/>
        </w:rPr>
        <w:t>:</w:t>
      </w:r>
      <w:r w:rsidR="00BB6056" w:rsidRPr="00DD1B58">
        <w:rPr>
          <w:b/>
          <w:lang w:val="en-US"/>
        </w:rPr>
        <w:t xml:space="preserve"> </w:t>
      </w:r>
      <w:r w:rsidR="00CD4862" w:rsidRPr="00DD1B58">
        <w:rPr>
          <w:bCs/>
          <w:lang w:val="en-US"/>
        </w:rPr>
        <w:t>EDF NGL report</w:t>
      </w:r>
      <w:r w:rsidR="00E81290" w:rsidRPr="00DD1B58">
        <w:rPr>
          <w:bCs/>
          <w:lang w:val="en-US"/>
        </w:rPr>
        <w:t>s</w:t>
      </w:r>
      <w:r w:rsidR="00CD4862" w:rsidRPr="00DD1B58">
        <w:rPr>
          <w:bCs/>
          <w:lang w:val="en-US"/>
        </w:rPr>
        <w:t xml:space="preserve"> that </w:t>
      </w:r>
      <w:r w:rsidR="00CD4862" w:rsidRPr="00DD1B58">
        <w:rPr>
          <w:lang w:val="en-US"/>
        </w:rPr>
        <w:t>h</w:t>
      </w:r>
      <w:r w:rsidRPr="00DD1B58">
        <w:rPr>
          <w:lang w:val="en-US"/>
        </w:rPr>
        <w:t xml:space="preserve">ot works </w:t>
      </w:r>
      <w:r w:rsidR="00CD4862" w:rsidRPr="00DD1B58">
        <w:rPr>
          <w:lang w:val="en-US"/>
        </w:rPr>
        <w:t>are only</w:t>
      </w:r>
      <w:r w:rsidRPr="00DD1B58">
        <w:rPr>
          <w:lang w:val="en-US"/>
        </w:rPr>
        <w:t xml:space="preserve"> considered when all alternative cold work methods, technology and approaches</w:t>
      </w:r>
      <w:r w:rsidR="73BD5B58" w:rsidRPr="00DD1B58">
        <w:rPr>
          <w:lang w:val="en-US"/>
        </w:rPr>
        <w:t xml:space="preserve"> </w:t>
      </w:r>
      <w:r w:rsidRPr="00DD1B58">
        <w:rPr>
          <w:lang w:val="en-US"/>
        </w:rPr>
        <w:t xml:space="preserve">have been considered and discounted as unsuitable. </w:t>
      </w:r>
      <w:r w:rsidR="00E23BD3" w:rsidRPr="00DD1B58">
        <w:rPr>
          <w:bCs/>
          <w:lang w:val="en-US"/>
        </w:rPr>
        <w:t>EDF NGL</w:t>
      </w:r>
      <w:r w:rsidRPr="00DD1B58">
        <w:rPr>
          <w:lang w:val="en-US"/>
        </w:rPr>
        <w:t xml:space="preserve"> </w:t>
      </w:r>
      <w:r w:rsidR="00BE7E96" w:rsidRPr="00DD1B58">
        <w:rPr>
          <w:lang w:val="en-US"/>
        </w:rPr>
        <w:t xml:space="preserve">considers </w:t>
      </w:r>
      <w:r w:rsidR="00E23BD3" w:rsidRPr="00DD1B58">
        <w:rPr>
          <w:lang w:val="en-US"/>
        </w:rPr>
        <w:t>this</w:t>
      </w:r>
      <w:r w:rsidRPr="00DD1B58">
        <w:rPr>
          <w:lang w:val="en-US"/>
        </w:rPr>
        <w:t xml:space="preserve"> through individual task risk</w:t>
      </w:r>
      <w:r w:rsidR="10E14309" w:rsidRPr="00DD1B58">
        <w:rPr>
          <w:lang w:val="en-US"/>
        </w:rPr>
        <w:t xml:space="preserve"> </w:t>
      </w:r>
      <w:r w:rsidRPr="00DD1B58">
        <w:rPr>
          <w:lang w:val="en-US"/>
        </w:rPr>
        <w:t>assessment when the need for hot work is identified.</w:t>
      </w:r>
    </w:p>
    <w:p w14:paraId="48AE4E11" w14:textId="6D7DC5FF" w:rsidR="00EB2E83" w:rsidRPr="00DD1B58" w:rsidRDefault="00BE7E96" w:rsidP="69C23859">
      <w:pPr>
        <w:rPr>
          <w:lang w:val="en-US"/>
        </w:rPr>
      </w:pPr>
      <w:r w:rsidRPr="00DD1B58">
        <w:rPr>
          <w:lang w:val="en-US"/>
        </w:rPr>
        <w:t xml:space="preserve">EDF </w:t>
      </w:r>
      <w:r w:rsidR="00602B88" w:rsidRPr="00DD1B58">
        <w:rPr>
          <w:lang w:val="en-US"/>
        </w:rPr>
        <w:t>NGL</w:t>
      </w:r>
      <w:r w:rsidRPr="00DD1B58">
        <w:rPr>
          <w:lang w:val="en-US"/>
        </w:rPr>
        <w:t xml:space="preserve"> state</w:t>
      </w:r>
      <w:r w:rsidR="00E81290" w:rsidRPr="00DD1B58">
        <w:rPr>
          <w:lang w:val="en-US"/>
        </w:rPr>
        <w:t>s</w:t>
      </w:r>
      <w:r w:rsidRPr="00DD1B58">
        <w:rPr>
          <w:lang w:val="en-US"/>
        </w:rPr>
        <w:t xml:space="preserve"> that </w:t>
      </w:r>
      <w:r w:rsidR="236D3A22" w:rsidRPr="00DD1B58">
        <w:rPr>
          <w:lang w:val="en-US"/>
        </w:rPr>
        <w:t>persons producing hot work task risk assessment</w:t>
      </w:r>
      <w:r w:rsidRPr="00DD1B58">
        <w:rPr>
          <w:lang w:val="en-US"/>
        </w:rPr>
        <w:t>s</w:t>
      </w:r>
      <w:r w:rsidR="236D3A22" w:rsidRPr="00DD1B58">
        <w:rPr>
          <w:lang w:val="en-US"/>
        </w:rPr>
        <w:t xml:space="preserve"> are ‘Selected Persons’ and trained in hot work</w:t>
      </w:r>
      <w:r w:rsidR="333C7FB6" w:rsidRPr="00DD1B58">
        <w:rPr>
          <w:lang w:val="en-US"/>
        </w:rPr>
        <w:t xml:space="preserve"> </w:t>
      </w:r>
      <w:r w:rsidR="236D3A22" w:rsidRPr="00DD1B58">
        <w:rPr>
          <w:lang w:val="en-US"/>
        </w:rPr>
        <w:t>methodologies and associated risks, as well as the impact of any hot work in the affected plant areas</w:t>
      </w:r>
      <w:r w:rsidR="3933895C" w:rsidRPr="00DD1B58">
        <w:rPr>
          <w:lang w:val="en-US"/>
        </w:rPr>
        <w:t xml:space="preserve"> </w:t>
      </w:r>
      <w:r w:rsidR="236D3A22" w:rsidRPr="00DD1B58">
        <w:rPr>
          <w:lang w:val="en-US"/>
        </w:rPr>
        <w:t xml:space="preserve">and any plant fire protection systems in the area. </w:t>
      </w:r>
      <w:r w:rsidR="00247E38" w:rsidRPr="00DD1B58">
        <w:rPr>
          <w:lang w:val="en-US"/>
        </w:rPr>
        <w:t>I</w:t>
      </w:r>
      <w:r w:rsidR="004C7AE9" w:rsidRPr="00DD1B58">
        <w:rPr>
          <w:lang w:val="en-US"/>
        </w:rPr>
        <w:t xml:space="preserve">t states that </w:t>
      </w:r>
      <w:r w:rsidR="236D3A22" w:rsidRPr="00DD1B58">
        <w:rPr>
          <w:lang w:val="en-US"/>
        </w:rPr>
        <w:t>individuals receive formal authorisation to</w:t>
      </w:r>
      <w:r w:rsidR="5E1ECEC5" w:rsidRPr="00DD1B58">
        <w:rPr>
          <w:lang w:val="en-US"/>
        </w:rPr>
        <w:t xml:space="preserve"> </w:t>
      </w:r>
      <w:r w:rsidR="236D3A22" w:rsidRPr="00DD1B58">
        <w:rPr>
          <w:lang w:val="en-US"/>
        </w:rPr>
        <w:t>perform the role of ‘Hot Work Selected Person’ on completion of the necessary training and an</w:t>
      </w:r>
      <w:r w:rsidR="61B5BD2A" w:rsidRPr="00DD1B58">
        <w:rPr>
          <w:lang w:val="en-US"/>
        </w:rPr>
        <w:t xml:space="preserve"> </w:t>
      </w:r>
      <w:r w:rsidR="236D3A22" w:rsidRPr="00DD1B58">
        <w:rPr>
          <w:lang w:val="en-US"/>
        </w:rPr>
        <w:t>authorisation interview demonstrating competence.</w:t>
      </w:r>
    </w:p>
    <w:p w14:paraId="61F5B784" w14:textId="14B8846F" w:rsidR="00EB2E83" w:rsidRPr="00DD1B58" w:rsidRDefault="00602B88" w:rsidP="00EB2E83">
      <w:pPr>
        <w:rPr>
          <w:lang w:val="en-US"/>
        </w:rPr>
      </w:pPr>
      <w:r w:rsidRPr="00DD1B58">
        <w:rPr>
          <w:lang w:val="en-US"/>
        </w:rPr>
        <w:t xml:space="preserve">EDF NGL’s </w:t>
      </w:r>
      <w:r w:rsidR="236D3A22" w:rsidRPr="00DD1B58">
        <w:rPr>
          <w:lang w:val="en-US"/>
        </w:rPr>
        <w:t>Hot Work Controller assess</w:t>
      </w:r>
      <w:r w:rsidRPr="00DD1B58">
        <w:rPr>
          <w:lang w:val="en-US"/>
        </w:rPr>
        <w:t>es</w:t>
      </w:r>
      <w:r w:rsidR="236D3A22" w:rsidRPr="00DD1B58">
        <w:rPr>
          <w:lang w:val="en-US"/>
        </w:rPr>
        <w:t xml:space="preserve"> the status of work instructions, affected work area and the training</w:t>
      </w:r>
      <w:r w:rsidR="75F6445F" w:rsidRPr="00DD1B58">
        <w:rPr>
          <w:lang w:val="en-US"/>
        </w:rPr>
        <w:t xml:space="preserve"> </w:t>
      </w:r>
      <w:r w:rsidR="236D3A22" w:rsidRPr="00DD1B58">
        <w:rPr>
          <w:lang w:val="en-US"/>
        </w:rPr>
        <w:t>of the work party to ensure it is safe for hot work to commence. The Hot Work Controller approve</w:t>
      </w:r>
      <w:r w:rsidR="00A95C0A" w:rsidRPr="00DD1B58">
        <w:rPr>
          <w:lang w:val="en-US"/>
        </w:rPr>
        <w:t>s</w:t>
      </w:r>
      <w:r w:rsidR="6B15D449" w:rsidRPr="00DD1B58">
        <w:rPr>
          <w:lang w:val="en-US"/>
        </w:rPr>
        <w:t xml:space="preserve"> </w:t>
      </w:r>
      <w:r w:rsidR="236D3A22" w:rsidRPr="00DD1B58">
        <w:rPr>
          <w:lang w:val="en-US"/>
        </w:rPr>
        <w:t xml:space="preserve">start permission for hot work when satisfied that all controls are in place. </w:t>
      </w:r>
      <w:r w:rsidR="009D05CB" w:rsidRPr="00DD1B58">
        <w:rPr>
          <w:lang w:val="en-US"/>
        </w:rPr>
        <w:t>EDF NGL requires f</w:t>
      </w:r>
      <w:r w:rsidR="236D3A22" w:rsidRPr="00DD1B58">
        <w:rPr>
          <w:lang w:val="en-US"/>
        </w:rPr>
        <w:t>urther Independent</w:t>
      </w:r>
      <w:r w:rsidR="2C285D2F" w:rsidRPr="00DD1B58">
        <w:rPr>
          <w:lang w:val="en-US"/>
        </w:rPr>
        <w:t xml:space="preserve"> </w:t>
      </w:r>
      <w:r w:rsidR="236D3A22" w:rsidRPr="00DD1B58">
        <w:rPr>
          <w:lang w:val="en-US"/>
        </w:rPr>
        <w:t>Verification (IV) of hot work controls and work area set up prior to receiving work start</w:t>
      </w:r>
      <w:r w:rsidR="17653636" w:rsidRPr="00DD1B58">
        <w:rPr>
          <w:lang w:val="en-US"/>
        </w:rPr>
        <w:t xml:space="preserve"> </w:t>
      </w:r>
      <w:r w:rsidR="236D3A22" w:rsidRPr="00DD1B58">
        <w:rPr>
          <w:lang w:val="en-US"/>
        </w:rPr>
        <w:t>permission in areas classed as high fire risk. Other high fire risk hot work activities, such as plasma</w:t>
      </w:r>
      <w:r w:rsidR="766B8A20" w:rsidRPr="00DD1B58">
        <w:rPr>
          <w:lang w:val="en-US"/>
        </w:rPr>
        <w:t xml:space="preserve"> </w:t>
      </w:r>
      <w:r w:rsidR="236D3A22" w:rsidRPr="00DD1B58">
        <w:rPr>
          <w:lang w:val="en-US"/>
        </w:rPr>
        <w:t>cutting, require IV before start permission is received.</w:t>
      </w:r>
    </w:p>
    <w:p w14:paraId="2A8E3EE3" w14:textId="77777777" w:rsidR="00A75690" w:rsidRPr="00DD1B58" w:rsidRDefault="00A75690" w:rsidP="00177432">
      <w:pPr>
        <w:pStyle w:val="Heading5A"/>
        <w:rPr>
          <w:lang w:val="en-US"/>
        </w:rPr>
      </w:pPr>
      <w:r w:rsidRPr="00DD1B58">
        <w:rPr>
          <w:lang w:val="en-US"/>
        </w:rPr>
        <w:t xml:space="preserve">Overview of arrangements for management and control of fire load and ignition sources </w:t>
      </w:r>
    </w:p>
    <w:p w14:paraId="2E0F4E93" w14:textId="58F028EE" w:rsidR="00AA09D5" w:rsidRPr="00DD1B58" w:rsidRDefault="3A7DD8A5" w:rsidP="69C23859">
      <w:pPr>
        <w:rPr>
          <w:lang w:val="en-US"/>
        </w:rPr>
      </w:pPr>
      <w:r w:rsidRPr="00DD1B58">
        <w:rPr>
          <w:b/>
          <w:lang w:val="en-US"/>
        </w:rPr>
        <w:t>General</w:t>
      </w:r>
      <w:r w:rsidR="00BB6056" w:rsidRPr="00DD1B58">
        <w:rPr>
          <w:b/>
          <w:lang w:val="en-US"/>
        </w:rPr>
        <w:t xml:space="preserve"> - </w:t>
      </w:r>
      <w:r w:rsidR="007A2409" w:rsidRPr="00DD1B58">
        <w:rPr>
          <w:bCs/>
          <w:lang w:val="en-US"/>
        </w:rPr>
        <w:t xml:space="preserve">EDF NGL </w:t>
      </w:r>
      <w:r w:rsidR="00A259B5" w:rsidRPr="00DD1B58">
        <w:rPr>
          <w:bCs/>
          <w:lang w:val="en-US"/>
        </w:rPr>
        <w:t>reports</w:t>
      </w:r>
      <w:r w:rsidR="007A2409" w:rsidRPr="00DD1B58">
        <w:rPr>
          <w:bCs/>
          <w:lang w:val="en-US"/>
        </w:rPr>
        <w:t xml:space="preserve"> that </w:t>
      </w:r>
      <w:r w:rsidR="007A2409" w:rsidRPr="00DD1B58">
        <w:rPr>
          <w:lang w:val="en-US"/>
        </w:rPr>
        <w:t>l</w:t>
      </w:r>
      <w:r w:rsidRPr="00DD1B58">
        <w:rPr>
          <w:lang w:val="en-US"/>
        </w:rPr>
        <w:t>aydown and storage areas are registered, clearly identified and controlled in accordance with the laydown and storage approval process.</w:t>
      </w:r>
    </w:p>
    <w:p w14:paraId="1C463B84" w14:textId="0D21C37F" w:rsidR="00AA09D5" w:rsidRPr="00DD1B58" w:rsidRDefault="007A2409" w:rsidP="00AA09D5">
      <w:pPr>
        <w:rPr>
          <w:lang w:val="en-US"/>
        </w:rPr>
      </w:pPr>
      <w:r w:rsidRPr="00DD1B58">
        <w:rPr>
          <w:lang w:val="en-US"/>
        </w:rPr>
        <w:t>EDF NGL completes f</w:t>
      </w:r>
      <w:r w:rsidR="3A7DD8A5" w:rsidRPr="00DD1B58">
        <w:rPr>
          <w:lang w:val="en-US"/>
        </w:rPr>
        <w:t xml:space="preserve">ixed fire loading assessments as part of Periodic Safety Reviews (PSR) to ensure the fire loadings remain within the limits afforded by the fire barriers. </w:t>
      </w:r>
      <w:r w:rsidR="000C3B8C" w:rsidRPr="00DD1B58">
        <w:rPr>
          <w:lang w:val="en-US"/>
        </w:rPr>
        <w:t>It report</w:t>
      </w:r>
      <w:r w:rsidR="00AE4B3E" w:rsidRPr="00DD1B58">
        <w:rPr>
          <w:lang w:val="en-US"/>
        </w:rPr>
        <w:t>s</w:t>
      </w:r>
      <w:r w:rsidR="000C3B8C" w:rsidRPr="00DD1B58">
        <w:rPr>
          <w:lang w:val="en-US"/>
        </w:rPr>
        <w:t xml:space="preserve"> that a</w:t>
      </w:r>
      <w:r w:rsidR="3A7DD8A5" w:rsidRPr="00DD1B58">
        <w:rPr>
          <w:lang w:val="en-US"/>
        </w:rPr>
        <w:t xml:space="preserve">ny change to fixed fire loading is subject to the Engineering Change process and respective fire protection specialist assessment. </w:t>
      </w:r>
      <w:r w:rsidR="000C3B8C" w:rsidRPr="00DD1B58">
        <w:rPr>
          <w:lang w:val="en-US"/>
        </w:rPr>
        <w:t>EDF NGL applies l</w:t>
      </w:r>
      <w:r w:rsidR="3A7DD8A5" w:rsidRPr="00DD1B58">
        <w:rPr>
          <w:lang w:val="en-US"/>
        </w:rPr>
        <w:t>imits</w:t>
      </w:r>
      <w:r w:rsidR="7082F399" w:rsidRPr="00DD1B58">
        <w:rPr>
          <w:lang w:val="en-US"/>
        </w:rPr>
        <w:t xml:space="preserve"> </w:t>
      </w:r>
      <w:r w:rsidR="3A7DD8A5" w:rsidRPr="00DD1B58">
        <w:rPr>
          <w:lang w:val="en-US"/>
        </w:rPr>
        <w:t>on the basis that a 1</w:t>
      </w:r>
      <w:r w:rsidR="000C3B8C" w:rsidRPr="00DD1B58">
        <w:rPr>
          <w:lang w:val="en-US"/>
        </w:rPr>
        <w:t>-</w:t>
      </w:r>
      <w:r w:rsidR="3A7DD8A5" w:rsidRPr="00DD1B58">
        <w:rPr>
          <w:lang w:val="en-US"/>
        </w:rPr>
        <w:t>hour fire barrier will withstand energy from fire loading up to 900MJ/m</w:t>
      </w:r>
      <w:r w:rsidR="3A7DD8A5" w:rsidRPr="00DD1B58">
        <w:rPr>
          <w:vertAlign w:val="superscript"/>
          <w:lang w:val="en-US"/>
        </w:rPr>
        <w:t>2</w:t>
      </w:r>
      <w:r w:rsidR="3A7DD8A5" w:rsidRPr="00DD1B58">
        <w:rPr>
          <w:lang w:val="en-US"/>
        </w:rPr>
        <w:t>.</w:t>
      </w:r>
    </w:p>
    <w:p w14:paraId="4D65EFD3" w14:textId="5A42EEF9" w:rsidR="056BB87D" w:rsidRPr="00DD1B58" w:rsidRDefault="056BB87D" w:rsidP="69C23859">
      <w:pPr>
        <w:rPr>
          <w:lang w:val="en-US"/>
        </w:rPr>
      </w:pPr>
      <w:r w:rsidRPr="00DD1B58">
        <w:rPr>
          <w:lang w:val="en-US"/>
        </w:rPr>
        <w:t>The laydown</w:t>
      </w:r>
      <w:r w:rsidR="007C3F42" w:rsidRPr="00DD1B58">
        <w:rPr>
          <w:lang w:val="en-US"/>
        </w:rPr>
        <w:t>/</w:t>
      </w:r>
      <w:r w:rsidRPr="00DD1B58">
        <w:rPr>
          <w:lang w:val="en-US"/>
        </w:rPr>
        <w:t xml:space="preserve">storage process for managing transient fire loads (as </w:t>
      </w:r>
      <w:r w:rsidR="028ECFA1" w:rsidRPr="00DD1B58">
        <w:rPr>
          <w:lang w:val="en-US"/>
        </w:rPr>
        <w:t>discuss</w:t>
      </w:r>
      <w:r w:rsidR="697E6B22" w:rsidRPr="00DD1B58">
        <w:rPr>
          <w:lang w:val="en-US"/>
        </w:rPr>
        <w:t xml:space="preserve">ed in </w:t>
      </w:r>
      <w:r w:rsidR="26DBF2D7" w:rsidRPr="00DD1B58">
        <w:rPr>
          <w:lang w:val="en-US"/>
        </w:rPr>
        <w:t>I-</w:t>
      </w:r>
      <w:r w:rsidR="697E6B22" w:rsidRPr="00DD1B58">
        <w:rPr>
          <w:lang w:val="en-US"/>
        </w:rPr>
        <w:t>2.1.2</w:t>
      </w:r>
      <w:r w:rsidR="5B5784BF" w:rsidRPr="00DD1B58">
        <w:rPr>
          <w:lang w:val="en-US"/>
        </w:rPr>
        <w:t>.4</w:t>
      </w:r>
      <w:r w:rsidR="41F41565" w:rsidRPr="00DD1B58">
        <w:rPr>
          <w:lang w:val="en-US"/>
        </w:rPr>
        <w:t xml:space="preserve"> and </w:t>
      </w:r>
      <w:r w:rsidRPr="00DD1B58">
        <w:rPr>
          <w:lang w:val="en-US"/>
        </w:rPr>
        <w:t xml:space="preserve">referenced in </w:t>
      </w:r>
      <w:r w:rsidR="41F41565" w:rsidRPr="00DD1B58">
        <w:rPr>
          <w:lang w:val="en-US"/>
        </w:rPr>
        <w:t>the licensee</w:t>
      </w:r>
      <w:r w:rsidR="00E70DCC" w:rsidRPr="00DD1B58">
        <w:rPr>
          <w:lang w:val="en-US"/>
        </w:rPr>
        <w:t>’s self-</w:t>
      </w:r>
      <w:r w:rsidR="00EE1EB9" w:rsidRPr="00DD1B58">
        <w:rPr>
          <w:lang w:val="en-US"/>
        </w:rPr>
        <w:t>assessment</w:t>
      </w:r>
      <w:r w:rsidR="41F41565" w:rsidRPr="00DD1B58">
        <w:rPr>
          <w:lang w:val="en-US"/>
        </w:rPr>
        <w:t xml:space="preserve"> </w:t>
      </w:r>
      <w:sdt>
        <w:sdtPr>
          <w:rPr>
            <w:lang w:val="en-US"/>
          </w:rPr>
          <w:id w:val="1671675226"/>
          <w:citation/>
        </w:sdtPr>
        <w:sdtContent>
          <w:r w:rsidR="0008184F" w:rsidRPr="00DD1B58">
            <w:rPr>
              <w:lang w:val="en-US"/>
            </w:rPr>
            <w:fldChar w:fldCharType="begin"/>
          </w:r>
          <w:r w:rsidR="0008184F" w:rsidRPr="00DD1B58">
            <w:rPr>
              <w:lang w:val="en-US"/>
            </w:rPr>
            <w:instrText xml:space="preserve"> CITATION EDF231 \l 2057 </w:instrText>
          </w:r>
          <w:r w:rsidR="0008184F" w:rsidRPr="00DD1B58">
            <w:rPr>
              <w:lang w:val="en-US"/>
            </w:rPr>
            <w:fldChar w:fldCharType="separate"/>
          </w:r>
          <w:r w:rsidR="00DF47DA" w:rsidRPr="00DF47DA">
            <w:rPr>
              <w:noProof/>
              <w:lang w:val="en-US"/>
            </w:rPr>
            <w:t>[25]</w:t>
          </w:r>
          <w:r w:rsidR="0008184F" w:rsidRPr="00DD1B58">
            <w:rPr>
              <w:lang w:val="en-US"/>
            </w:rPr>
            <w:fldChar w:fldCharType="end"/>
          </w:r>
        </w:sdtContent>
      </w:sdt>
      <w:r w:rsidR="0008184F" w:rsidRPr="00DD1B58" w:rsidDel="0008184F">
        <w:rPr>
          <w:lang w:val="en-US"/>
        </w:rPr>
        <w:t xml:space="preserve"> </w:t>
      </w:r>
      <w:r w:rsidR="00C10159" w:rsidRPr="00DD1B58">
        <w:rPr>
          <w:lang w:val="en-US"/>
        </w:rPr>
        <w:t>)</w:t>
      </w:r>
      <w:r w:rsidRPr="00DD1B58">
        <w:rPr>
          <w:lang w:val="en-US"/>
        </w:rPr>
        <w:t xml:space="preserve"> considers the impact of the additional fire loading on the compartment fire barrier ability to withstand energy from an all-consuming fire involving both fixed and transient fire loads.</w:t>
      </w:r>
    </w:p>
    <w:p w14:paraId="5AAE4652" w14:textId="312B7449" w:rsidR="2C100AD2" w:rsidRPr="00DD1B58" w:rsidRDefault="00E7469A" w:rsidP="1B2B0ECE">
      <w:pPr>
        <w:rPr>
          <w:lang w:val="en-US"/>
        </w:rPr>
      </w:pPr>
      <w:r w:rsidRPr="00DD1B58">
        <w:rPr>
          <w:lang w:val="en-US"/>
        </w:rPr>
        <w:t>EDF NGL identifies and demarcates p</w:t>
      </w:r>
      <w:r w:rsidR="2C100AD2" w:rsidRPr="00DD1B58">
        <w:rPr>
          <w:lang w:val="en-US"/>
        </w:rPr>
        <w:t xml:space="preserve">redetermined laydown areas at each location for temporary and permanent storage. </w:t>
      </w:r>
      <w:r w:rsidRPr="00DD1B58">
        <w:rPr>
          <w:lang w:val="en-US"/>
        </w:rPr>
        <w:t xml:space="preserve">EDF NGL </w:t>
      </w:r>
      <w:r w:rsidR="00A259B5" w:rsidRPr="00DD1B58">
        <w:rPr>
          <w:lang w:val="en-US"/>
        </w:rPr>
        <w:t>reports</w:t>
      </w:r>
      <w:r w:rsidRPr="00DD1B58">
        <w:rPr>
          <w:lang w:val="en-US"/>
        </w:rPr>
        <w:t xml:space="preserve"> that s</w:t>
      </w:r>
      <w:r w:rsidR="2C100AD2" w:rsidRPr="00DD1B58">
        <w:rPr>
          <w:lang w:val="en-US"/>
        </w:rPr>
        <w:t>torage of combustible items is risk assessed by the location Fire</w:t>
      </w:r>
      <w:r w:rsidR="215960CB" w:rsidRPr="00DD1B58">
        <w:rPr>
          <w:lang w:val="en-US"/>
        </w:rPr>
        <w:t xml:space="preserve"> Safety Co-ordinator, considering existing risks and control measures</w:t>
      </w:r>
      <w:r w:rsidR="4CA40AD8" w:rsidRPr="00DD1B58">
        <w:rPr>
          <w:lang w:val="en-US"/>
        </w:rPr>
        <w:t xml:space="preserve"> and noting any restrictions or control measures to be applied. </w:t>
      </w:r>
      <w:r w:rsidR="00403A18" w:rsidRPr="00DD1B58">
        <w:rPr>
          <w:lang w:val="en-US"/>
        </w:rPr>
        <w:t xml:space="preserve">It also </w:t>
      </w:r>
      <w:r w:rsidR="00A259B5" w:rsidRPr="00DD1B58">
        <w:rPr>
          <w:lang w:val="en-US"/>
        </w:rPr>
        <w:t>reports</w:t>
      </w:r>
      <w:r w:rsidR="00403A18" w:rsidRPr="00DD1B58">
        <w:rPr>
          <w:lang w:val="en-US"/>
        </w:rPr>
        <w:t xml:space="preserve"> that c</w:t>
      </w:r>
      <w:r w:rsidR="29AC3B8C" w:rsidRPr="00DD1B58">
        <w:rPr>
          <w:lang w:val="en-US"/>
        </w:rPr>
        <w:t xml:space="preserve">hecks are made of the laydown areas </w:t>
      </w:r>
      <w:r w:rsidR="00FA5744" w:rsidRPr="00DD1B58">
        <w:rPr>
          <w:lang w:val="en-US"/>
        </w:rPr>
        <w:t>during plant walkdowns</w:t>
      </w:r>
      <w:r w:rsidR="29AC3B8C" w:rsidRPr="00DD1B58">
        <w:rPr>
          <w:lang w:val="en-US"/>
        </w:rPr>
        <w:t xml:space="preserve"> ensuring all laydown areas are </w:t>
      </w:r>
      <w:r w:rsidR="5CB56517" w:rsidRPr="00DD1B58">
        <w:rPr>
          <w:lang w:val="en-US"/>
        </w:rPr>
        <w:t xml:space="preserve">compliant with these measures. </w:t>
      </w:r>
      <w:r w:rsidR="51F4803D" w:rsidRPr="00DD1B58">
        <w:rPr>
          <w:lang w:val="en-US"/>
        </w:rPr>
        <w:t xml:space="preserve">Further details of these and other </w:t>
      </w:r>
      <w:r w:rsidR="1E21826F" w:rsidRPr="00DD1B58">
        <w:rPr>
          <w:lang w:val="en-US"/>
        </w:rPr>
        <w:t xml:space="preserve">walkdowns are provided in the licensee’s </w:t>
      </w:r>
      <w:r w:rsidR="0008184F" w:rsidRPr="00DD1B58">
        <w:rPr>
          <w:lang w:val="en-US"/>
        </w:rPr>
        <w:t xml:space="preserve">self-assessment </w:t>
      </w:r>
      <w:sdt>
        <w:sdtPr>
          <w:rPr>
            <w:lang w:val="en-US"/>
          </w:rPr>
          <w:id w:val="57667945"/>
          <w:citation/>
        </w:sdtPr>
        <w:sdtContent>
          <w:r w:rsidR="00A76DA9" w:rsidRPr="00DD1B58">
            <w:rPr>
              <w:lang w:val="en-US"/>
            </w:rPr>
            <w:fldChar w:fldCharType="begin"/>
          </w:r>
          <w:r w:rsidR="00A76DA9" w:rsidRPr="00DD1B58">
            <w:rPr>
              <w:lang w:val="en-US"/>
            </w:rPr>
            <w:instrText xml:space="preserve"> CITATION EDF231 \l 2057 </w:instrText>
          </w:r>
          <w:r w:rsidR="00A76DA9" w:rsidRPr="00DD1B58">
            <w:rPr>
              <w:lang w:val="en-US"/>
            </w:rPr>
            <w:fldChar w:fldCharType="separate"/>
          </w:r>
          <w:r w:rsidR="00DF47DA" w:rsidRPr="00DF47DA">
            <w:rPr>
              <w:noProof/>
              <w:lang w:val="en-US"/>
            </w:rPr>
            <w:t>[25]</w:t>
          </w:r>
          <w:r w:rsidR="00A76DA9" w:rsidRPr="00DD1B58">
            <w:rPr>
              <w:lang w:val="en-US"/>
            </w:rPr>
            <w:fldChar w:fldCharType="end"/>
          </w:r>
        </w:sdtContent>
      </w:sdt>
      <w:r w:rsidR="649DFFC3" w:rsidRPr="00DD1B58">
        <w:rPr>
          <w:lang w:val="en-US"/>
        </w:rPr>
        <w:t xml:space="preserve"> along with </w:t>
      </w:r>
      <w:r w:rsidR="39454A7F" w:rsidRPr="00DD1B58">
        <w:rPr>
          <w:lang w:val="en-US"/>
        </w:rPr>
        <w:t>the on-site role</w:t>
      </w:r>
      <w:r w:rsidR="649DFFC3" w:rsidRPr="00DD1B58">
        <w:rPr>
          <w:lang w:val="en-US"/>
        </w:rPr>
        <w:t>s</w:t>
      </w:r>
      <w:r w:rsidR="4B6CA36A" w:rsidRPr="00DD1B58">
        <w:rPr>
          <w:lang w:val="en-US"/>
        </w:rPr>
        <w:t xml:space="preserve"> who perform them</w:t>
      </w:r>
      <w:r w:rsidR="1E21826F" w:rsidRPr="00DD1B58">
        <w:rPr>
          <w:lang w:val="en-US"/>
        </w:rPr>
        <w:t>.</w:t>
      </w:r>
    </w:p>
    <w:p w14:paraId="6ACC9B5E" w14:textId="77777777" w:rsidR="171A15A1" w:rsidRPr="00DD1B58" w:rsidRDefault="171A15A1" w:rsidP="00177432">
      <w:pPr>
        <w:pStyle w:val="Heading5A"/>
        <w:numPr>
          <w:ilvl w:val="5"/>
          <w:numId w:val="7"/>
        </w:numPr>
        <w:rPr>
          <w:lang w:val="en-US"/>
        </w:rPr>
      </w:pPr>
      <w:r w:rsidRPr="00DD1B58">
        <w:rPr>
          <w:lang w:val="en-US"/>
        </w:rPr>
        <w:t>Key examples of fire strategies</w:t>
      </w:r>
    </w:p>
    <w:p w14:paraId="46714E59" w14:textId="2D3EDD33" w:rsidR="28EBCF10" w:rsidRPr="00DD1B58" w:rsidRDefault="28EBCF10" w:rsidP="69C23859">
      <w:pPr>
        <w:rPr>
          <w:lang w:val="en-US"/>
        </w:rPr>
      </w:pPr>
      <w:r w:rsidRPr="00DD1B58">
        <w:rPr>
          <w:b/>
          <w:lang w:val="en-US"/>
        </w:rPr>
        <w:t>General</w:t>
      </w:r>
      <w:r w:rsidR="00323467" w:rsidRPr="00DD1B58">
        <w:rPr>
          <w:b/>
          <w:lang w:val="en-US"/>
        </w:rPr>
        <w:t xml:space="preserve"> </w:t>
      </w:r>
      <w:r w:rsidR="00FF7B12" w:rsidRPr="00DD1B58">
        <w:rPr>
          <w:lang w:val="en-US"/>
        </w:rPr>
        <w:t>EDF NGL has s</w:t>
      </w:r>
      <w:r w:rsidRPr="00DD1B58">
        <w:rPr>
          <w:lang w:val="en-US"/>
        </w:rPr>
        <w:t>tation and fleet wide standards documented and communicated for managing the following:</w:t>
      </w:r>
    </w:p>
    <w:p w14:paraId="03D78713" w14:textId="77777777" w:rsidR="28EBCF10" w:rsidRPr="00DD1B58" w:rsidRDefault="59BB0902" w:rsidP="001B13EA">
      <w:pPr>
        <w:pStyle w:val="Bulletlist1"/>
        <w:ind w:left="450"/>
        <w:rPr>
          <w:lang w:val="en-US"/>
        </w:rPr>
      </w:pPr>
      <w:r w:rsidRPr="00DD1B58">
        <w:rPr>
          <w:lang w:val="en-US"/>
        </w:rPr>
        <w:t>Laydown and work area – control of combustibles which specifies the</w:t>
      </w:r>
      <w:r w:rsidR="590F91CC" w:rsidRPr="00DD1B58">
        <w:rPr>
          <w:lang w:val="en-US"/>
        </w:rPr>
        <w:t xml:space="preserve"> control of laydown areas, their inspection, their proximity to ignition sources and </w:t>
      </w:r>
      <w:r w:rsidR="03F09317" w:rsidRPr="00DD1B58">
        <w:rPr>
          <w:lang w:val="en-US"/>
        </w:rPr>
        <w:t>how</w:t>
      </w:r>
      <w:r w:rsidR="0C4425D2" w:rsidRPr="00DD1B58">
        <w:rPr>
          <w:lang w:val="en-US"/>
        </w:rPr>
        <w:t xml:space="preserve"> flammable or combustible material should be stored.</w:t>
      </w:r>
    </w:p>
    <w:p w14:paraId="7E65961A" w14:textId="5FB8B9F4" w:rsidR="6B02E7AA" w:rsidRPr="00DD1B58" w:rsidRDefault="28EBCF10" w:rsidP="1B2B0ECE">
      <w:pPr>
        <w:pStyle w:val="ListParagraph"/>
        <w:rPr>
          <w:lang w:val="en-US"/>
        </w:rPr>
      </w:pPr>
      <w:r w:rsidRPr="00DD1B58">
        <w:rPr>
          <w:lang w:val="en-US"/>
        </w:rPr>
        <w:t xml:space="preserve">Flammable and chemical storage control which specifies </w:t>
      </w:r>
      <w:r w:rsidR="5A3472C8" w:rsidRPr="00DD1B58">
        <w:rPr>
          <w:lang w:val="en-US"/>
        </w:rPr>
        <w:t>how such</w:t>
      </w:r>
      <w:r w:rsidRPr="00DD1B58">
        <w:rPr>
          <w:lang w:val="en-US"/>
        </w:rPr>
        <w:t xml:space="preserve"> locations are approved and registered</w:t>
      </w:r>
      <w:r w:rsidR="7BD4FAFB" w:rsidRPr="00DD1B58">
        <w:rPr>
          <w:lang w:val="en-US"/>
        </w:rPr>
        <w:t>, the ownership and limitations of such locations</w:t>
      </w:r>
      <w:r w:rsidR="194820A4" w:rsidRPr="00DD1B58">
        <w:rPr>
          <w:lang w:val="en-US"/>
        </w:rPr>
        <w:t>, and how the flammable materials should be stored and located.</w:t>
      </w:r>
      <w:r w:rsidR="59BB0902" w:rsidRPr="00DD1B58">
        <w:rPr>
          <w:lang w:val="en-US"/>
        </w:rPr>
        <w:t xml:space="preserve">  </w:t>
      </w:r>
    </w:p>
    <w:p w14:paraId="1A3C581C" w14:textId="72A34982" w:rsidR="6B02E7AA" w:rsidRPr="00DD1B58" w:rsidRDefault="6B02E7AA" w:rsidP="1B2B0ECE">
      <w:pPr>
        <w:pStyle w:val="Bulletlist1"/>
        <w:ind w:left="450"/>
        <w:rPr>
          <w:lang w:val="en-US"/>
        </w:rPr>
      </w:pPr>
      <w:r w:rsidRPr="00DD1B58">
        <w:rPr>
          <w:lang w:val="en-US"/>
        </w:rPr>
        <w:t xml:space="preserve">Oil leak management which specifies the </w:t>
      </w:r>
      <w:r w:rsidR="36F52626" w:rsidRPr="00DD1B58">
        <w:rPr>
          <w:lang w:val="en-US"/>
        </w:rPr>
        <w:t xml:space="preserve">reporting, recording and catching of </w:t>
      </w:r>
      <w:r w:rsidRPr="00DD1B58">
        <w:rPr>
          <w:lang w:val="en-US"/>
        </w:rPr>
        <w:t>oil leaks</w:t>
      </w:r>
      <w:r w:rsidR="36F52626" w:rsidRPr="00DD1B58">
        <w:rPr>
          <w:lang w:val="en-US"/>
        </w:rPr>
        <w:t xml:space="preserve">. </w:t>
      </w:r>
      <w:r w:rsidR="00C362CA" w:rsidRPr="00DD1B58">
        <w:rPr>
          <w:lang w:val="en-US"/>
        </w:rPr>
        <w:t>EDF NGL</w:t>
      </w:r>
      <w:r w:rsidRPr="00DD1B58">
        <w:rPr>
          <w:lang w:val="en-US"/>
        </w:rPr>
        <w:t xml:space="preserve"> sites, in conjunction with its scaffold contract partner, implemented a standard of</w:t>
      </w:r>
      <w:r w:rsidR="266D651D" w:rsidRPr="00DD1B58">
        <w:rPr>
          <w:lang w:val="en-US"/>
        </w:rPr>
        <w:t xml:space="preserve"> </w:t>
      </w:r>
      <w:r w:rsidRPr="00DD1B58">
        <w:rPr>
          <w:lang w:val="en-US"/>
        </w:rPr>
        <w:t>using aluminium scaffold boards in place of wooden boards removing the introduction of fire loading</w:t>
      </w:r>
      <w:r w:rsidR="264561A3" w:rsidRPr="00DD1B58">
        <w:rPr>
          <w:lang w:val="en-US"/>
        </w:rPr>
        <w:t xml:space="preserve"> </w:t>
      </w:r>
      <w:r w:rsidRPr="00DD1B58">
        <w:rPr>
          <w:lang w:val="en-US"/>
        </w:rPr>
        <w:t xml:space="preserve">into plant areas where access platforms were required. </w:t>
      </w:r>
      <w:r w:rsidR="00D52315" w:rsidRPr="00DD1B58">
        <w:rPr>
          <w:lang w:val="en-US"/>
        </w:rPr>
        <w:t>EDF NGL report</w:t>
      </w:r>
      <w:r w:rsidR="00AE4B3E" w:rsidRPr="00DD1B58">
        <w:rPr>
          <w:lang w:val="en-US"/>
        </w:rPr>
        <w:t>s</w:t>
      </w:r>
      <w:r w:rsidR="00D52315" w:rsidRPr="00DD1B58">
        <w:rPr>
          <w:lang w:val="en-US"/>
        </w:rPr>
        <w:t xml:space="preserve"> that this</w:t>
      </w:r>
      <w:r w:rsidRPr="00DD1B58">
        <w:rPr>
          <w:lang w:val="en-US"/>
        </w:rPr>
        <w:t xml:space="preserve"> also removed a vast amount of fire loading</w:t>
      </w:r>
      <w:r w:rsidR="0D523754" w:rsidRPr="00DD1B58">
        <w:rPr>
          <w:lang w:val="en-US"/>
        </w:rPr>
        <w:t xml:space="preserve"> </w:t>
      </w:r>
      <w:r w:rsidRPr="00DD1B58">
        <w:rPr>
          <w:lang w:val="en-US"/>
        </w:rPr>
        <w:t>in scaffold storage areas and buildings.</w:t>
      </w:r>
    </w:p>
    <w:p w14:paraId="180CFCF8" w14:textId="3CA42D93" w:rsidR="6B02E7AA" w:rsidRPr="00DD1B58" w:rsidRDefault="37ED22D9" w:rsidP="69C23859">
      <w:pPr>
        <w:rPr>
          <w:lang w:val="en-US"/>
        </w:rPr>
      </w:pPr>
      <w:r w:rsidRPr="00DD1B58">
        <w:rPr>
          <w:lang w:val="en-US"/>
        </w:rPr>
        <w:t>Further detail is provided in the licensee</w:t>
      </w:r>
      <w:r w:rsidR="00D52315" w:rsidRPr="00DD1B58">
        <w:rPr>
          <w:lang w:val="en-US"/>
        </w:rPr>
        <w:t>’s self-assessment</w:t>
      </w:r>
      <w:sdt>
        <w:sdtPr>
          <w:rPr>
            <w:lang w:val="en-US"/>
          </w:rPr>
          <w:id w:val="-2050299839"/>
          <w:citation/>
        </w:sdtPr>
        <w:sdtContent>
          <w:r w:rsidR="00A76DA9" w:rsidRPr="00DD1B58">
            <w:rPr>
              <w:lang w:val="en-US"/>
            </w:rPr>
            <w:fldChar w:fldCharType="begin"/>
          </w:r>
          <w:r w:rsidR="00A76DA9" w:rsidRPr="00DD1B58">
            <w:rPr>
              <w:lang w:val="en-US"/>
            </w:rPr>
            <w:instrText xml:space="preserve"> CITATION EDF231 \l 2057 </w:instrText>
          </w:r>
          <w:r w:rsidR="00A76DA9" w:rsidRPr="00DD1B58">
            <w:rPr>
              <w:lang w:val="en-US"/>
            </w:rPr>
            <w:fldChar w:fldCharType="separate"/>
          </w:r>
          <w:r w:rsidR="00DF47DA">
            <w:rPr>
              <w:noProof/>
              <w:lang w:val="en-US"/>
            </w:rPr>
            <w:t xml:space="preserve"> </w:t>
          </w:r>
          <w:r w:rsidR="00DF47DA" w:rsidRPr="00DF47DA">
            <w:rPr>
              <w:noProof/>
              <w:lang w:val="en-US"/>
            </w:rPr>
            <w:t>[25]</w:t>
          </w:r>
          <w:r w:rsidR="00A76DA9" w:rsidRPr="00DD1B58">
            <w:rPr>
              <w:lang w:val="en-US"/>
            </w:rPr>
            <w:fldChar w:fldCharType="end"/>
          </w:r>
        </w:sdtContent>
      </w:sdt>
      <w:r w:rsidRPr="00DD1B58">
        <w:rPr>
          <w:lang w:val="en-US"/>
        </w:rPr>
        <w:t xml:space="preserve">. </w:t>
      </w:r>
    </w:p>
    <w:p w14:paraId="3604349A" w14:textId="035EF9AE" w:rsidR="479F24A6" w:rsidRPr="00DD1B58" w:rsidRDefault="00D52315" w:rsidP="69C23859">
      <w:pPr>
        <w:rPr>
          <w:lang w:val="en-US"/>
        </w:rPr>
      </w:pPr>
      <w:r w:rsidRPr="00DD1B58">
        <w:rPr>
          <w:lang w:val="en-US"/>
        </w:rPr>
        <w:t xml:space="preserve">EDF NGL </w:t>
      </w:r>
      <w:r w:rsidR="00A259B5" w:rsidRPr="00DD1B58">
        <w:rPr>
          <w:lang w:val="en-US"/>
        </w:rPr>
        <w:t>reports</w:t>
      </w:r>
      <w:r w:rsidRPr="00DD1B58">
        <w:rPr>
          <w:lang w:val="en-US"/>
        </w:rPr>
        <w:t xml:space="preserve"> that e</w:t>
      </w:r>
      <w:r w:rsidR="6B02E7AA" w:rsidRPr="00DD1B58">
        <w:rPr>
          <w:lang w:val="en-US"/>
        </w:rPr>
        <w:t>ach plant area and building has been risk assessed with identified risks and control measures recorded</w:t>
      </w:r>
      <w:r w:rsidR="3D1CB945" w:rsidRPr="00DD1B58">
        <w:rPr>
          <w:lang w:val="en-US"/>
        </w:rPr>
        <w:t xml:space="preserve"> </w:t>
      </w:r>
      <w:r w:rsidR="6B02E7AA" w:rsidRPr="00DD1B58">
        <w:rPr>
          <w:lang w:val="en-US"/>
        </w:rPr>
        <w:t xml:space="preserve">in an area specific fire risk assessment report. </w:t>
      </w:r>
      <w:r w:rsidRPr="00DD1B58">
        <w:rPr>
          <w:lang w:val="en-US"/>
        </w:rPr>
        <w:t xml:space="preserve">It also </w:t>
      </w:r>
      <w:r w:rsidR="00A259B5" w:rsidRPr="00DD1B58">
        <w:rPr>
          <w:lang w:val="en-US"/>
        </w:rPr>
        <w:t>reports</w:t>
      </w:r>
      <w:r w:rsidRPr="00DD1B58">
        <w:rPr>
          <w:lang w:val="en-US"/>
        </w:rPr>
        <w:t xml:space="preserve"> that e</w:t>
      </w:r>
      <w:r w:rsidR="6B02E7AA" w:rsidRPr="00DD1B58">
        <w:rPr>
          <w:lang w:val="en-US"/>
        </w:rPr>
        <w:t>ach area</w:t>
      </w:r>
      <w:r w:rsidR="007C3F42" w:rsidRPr="00DD1B58">
        <w:rPr>
          <w:lang w:val="en-US"/>
        </w:rPr>
        <w:t>/</w:t>
      </w:r>
      <w:r w:rsidR="6B02E7AA" w:rsidRPr="00DD1B58">
        <w:rPr>
          <w:lang w:val="en-US"/>
        </w:rPr>
        <w:t>building is allocated a fire risk rating based</w:t>
      </w:r>
      <w:r w:rsidR="2CE4BF9A" w:rsidRPr="00DD1B58">
        <w:rPr>
          <w:lang w:val="en-US"/>
        </w:rPr>
        <w:t xml:space="preserve"> </w:t>
      </w:r>
      <w:r w:rsidR="6B02E7AA" w:rsidRPr="00DD1B58">
        <w:rPr>
          <w:lang w:val="en-US"/>
        </w:rPr>
        <w:t xml:space="preserve">on the risk assessment findings. The ratings are High, Medium or Low. </w:t>
      </w:r>
      <w:r w:rsidRPr="00DD1B58">
        <w:rPr>
          <w:lang w:val="en-US"/>
        </w:rPr>
        <w:t xml:space="preserve">EDF NGL aligns the </w:t>
      </w:r>
      <w:r w:rsidR="6B02E7AA" w:rsidRPr="00DD1B58">
        <w:rPr>
          <w:lang w:val="en-US"/>
        </w:rPr>
        <w:t>frequency of re-assessment</w:t>
      </w:r>
      <w:r w:rsidR="00940D2A" w:rsidRPr="00DD1B58">
        <w:rPr>
          <w:lang w:val="en-US"/>
        </w:rPr>
        <w:t xml:space="preserve"> </w:t>
      </w:r>
      <w:r w:rsidR="6B02E7AA" w:rsidRPr="00DD1B58">
        <w:rPr>
          <w:lang w:val="en-US"/>
        </w:rPr>
        <w:t>with the area risk rating with High</w:t>
      </w:r>
      <w:r w:rsidR="207D0281" w:rsidRPr="00DD1B58">
        <w:rPr>
          <w:lang w:val="en-US"/>
        </w:rPr>
        <w:t>-</w:t>
      </w:r>
      <w:r w:rsidR="6B02E7AA" w:rsidRPr="00DD1B58">
        <w:rPr>
          <w:lang w:val="en-US"/>
        </w:rPr>
        <w:t>risk areas being re-assessed yearly, Medium</w:t>
      </w:r>
      <w:r w:rsidR="2633BADB" w:rsidRPr="00DD1B58">
        <w:rPr>
          <w:lang w:val="en-US"/>
        </w:rPr>
        <w:t>-</w:t>
      </w:r>
      <w:r w:rsidR="6B02E7AA" w:rsidRPr="00DD1B58">
        <w:rPr>
          <w:lang w:val="en-US"/>
        </w:rPr>
        <w:t>risk ratings</w:t>
      </w:r>
      <w:r w:rsidR="268715DC" w:rsidRPr="00DD1B58">
        <w:rPr>
          <w:lang w:val="en-US"/>
        </w:rPr>
        <w:t xml:space="preserve"> </w:t>
      </w:r>
      <w:r w:rsidR="6B02E7AA" w:rsidRPr="00DD1B58">
        <w:rPr>
          <w:lang w:val="en-US"/>
        </w:rPr>
        <w:t>every 2 years and Low risk ratings every 3 years.</w:t>
      </w:r>
      <w:r w:rsidRPr="00DD1B58">
        <w:rPr>
          <w:lang w:val="en-US"/>
        </w:rPr>
        <w:t xml:space="preserve"> </w:t>
      </w:r>
      <w:r w:rsidR="57ED05D5" w:rsidRPr="00DD1B58">
        <w:rPr>
          <w:lang w:val="en-US"/>
        </w:rPr>
        <w:t>The risk assessments record the following for each area</w:t>
      </w:r>
      <w:r w:rsidR="007C3F42" w:rsidRPr="00DD1B58">
        <w:rPr>
          <w:lang w:val="en-US"/>
        </w:rPr>
        <w:t>/</w:t>
      </w:r>
      <w:r w:rsidR="57ED05D5" w:rsidRPr="00DD1B58">
        <w:rPr>
          <w:lang w:val="en-US"/>
        </w:rPr>
        <w:t>building</w:t>
      </w:r>
      <w:r w:rsidR="5D8C482D" w:rsidRPr="00DD1B58">
        <w:rPr>
          <w:lang w:val="en-US"/>
        </w:rPr>
        <w:t xml:space="preserve"> its construction, main use, occupancy characteristics, key hazards and processes, fire protection measures and the means of escape strategy.</w:t>
      </w:r>
      <w:r w:rsidRPr="00DD1B58">
        <w:rPr>
          <w:lang w:val="en-US"/>
        </w:rPr>
        <w:t xml:space="preserve"> EDF NGL derives t</w:t>
      </w:r>
      <w:r w:rsidR="479F24A6" w:rsidRPr="00DD1B58">
        <w:rPr>
          <w:lang w:val="en-US"/>
        </w:rPr>
        <w:t>he overall risk rating by assessing the following:</w:t>
      </w:r>
    </w:p>
    <w:p w14:paraId="5A62B576" w14:textId="1528B2A5" w:rsidR="479F24A6" w:rsidRPr="00DD1B58" w:rsidRDefault="479F24A6" w:rsidP="001B13EA">
      <w:pPr>
        <w:pStyle w:val="Bulletlist1"/>
        <w:ind w:left="450"/>
        <w:rPr>
          <w:lang w:val="en-US"/>
        </w:rPr>
      </w:pPr>
      <w:r w:rsidRPr="00DD1B58">
        <w:rPr>
          <w:lang w:val="en-US"/>
        </w:rPr>
        <w:t xml:space="preserve">Risk of fire occurring by considering control of combustibles, </w:t>
      </w:r>
      <w:r w:rsidR="0069001E" w:rsidRPr="00DD1B58">
        <w:rPr>
          <w:lang w:val="en-US"/>
        </w:rPr>
        <w:t>s</w:t>
      </w:r>
      <w:r w:rsidRPr="00DD1B58">
        <w:rPr>
          <w:lang w:val="en-US"/>
        </w:rPr>
        <w:t>ources of ignition</w:t>
      </w:r>
      <w:r w:rsidR="007C3F42" w:rsidRPr="00DD1B58">
        <w:rPr>
          <w:lang w:val="en-US"/>
        </w:rPr>
        <w:t>/</w:t>
      </w:r>
      <w:r w:rsidRPr="00DD1B58">
        <w:rPr>
          <w:lang w:val="en-US"/>
        </w:rPr>
        <w:t>heat,</w:t>
      </w:r>
      <w:r w:rsidR="5F2FE60C" w:rsidRPr="00DD1B58">
        <w:rPr>
          <w:lang w:val="en-US"/>
        </w:rPr>
        <w:t xml:space="preserve"> </w:t>
      </w:r>
      <w:r w:rsidRPr="00DD1B58">
        <w:rPr>
          <w:lang w:val="en-US"/>
        </w:rPr>
        <w:t>building construction and any flammables or explosive atmospheres present.</w:t>
      </w:r>
    </w:p>
    <w:p w14:paraId="17D84E94" w14:textId="77777777" w:rsidR="479F24A6" w:rsidRPr="00DD1B58" w:rsidRDefault="479F24A6" w:rsidP="001B13EA">
      <w:pPr>
        <w:pStyle w:val="Bulletlist1"/>
        <w:ind w:left="450"/>
        <w:rPr>
          <w:lang w:val="en-US"/>
        </w:rPr>
      </w:pPr>
      <w:r w:rsidRPr="00DD1B58">
        <w:rPr>
          <w:lang w:val="en-US"/>
        </w:rPr>
        <w:t>Potential for fire to affect people by considering the area risk profile (type of fuel and people</w:t>
      </w:r>
      <w:r w:rsidR="00B168DE" w:rsidRPr="00DD1B58">
        <w:rPr>
          <w:lang w:val="en-US"/>
        </w:rPr>
        <w:t xml:space="preserve"> </w:t>
      </w:r>
      <w:r w:rsidRPr="00DD1B58">
        <w:rPr>
          <w:lang w:val="en-US"/>
        </w:rPr>
        <w:t>present), means of escape, fire safety signage present, emergency lighting provisions,</w:t>
      </w:r>
      <w:r w:rsidR="1CA98B1A" w:rsidRPr="00DD1B58">
        <w:rPr>
          <w:lang w:val="en-US"/>
        </w:rPr>
        <w:t xml:space="preserve"> </w:t>
      </w:r>
      <w:r w:rsidRPr="00DD1B58">
        <w:rPr>
          <w:lang w:val="en-US"/>
        </w:rPr>
        <w:t>presence of fire detection and alarm systems as well as fire barriers, suppression systems an</w:t>
      </w:r>
      <w:r w:rsidR="739478CD" w:rsidRPr="00DD1B58">
        <w:rPr>
          <w:lang w:val="en-US"/>
        </w:rPr>
        <w:t xml:space="preserve">d </w:t>
      </w:r>
      <w:r w:rsidRPr="00DD1B58">
        <w:rPr>
          <w:lang w:val="en-US"/>
        </w:rPr>
        <w:t>portable fire extinguishers.</w:t>
      </w:r>
    </w:p>
    <w:p w14:paraId="604B4E05" w14:textId="77777777" w:rsidR="479F24A6" w:rsidRPr="00DD1B58" w:rsidRDefault="479F24A6" w:rsidP="001B13EA">
      <w:pPr>
        <w:pStyle w:val="Bulletlist1"/>
        <w:ind w:left="450"/>
        <w:rPr>
          <w:lang w:val="en-US"/>
        </w:rPr>
      </w:pPr>
      <w:r w:rsidRPr="00DD1B58">
        <w:rPr>
          <w:lang w:val="en-US"/>
        </w:rPr>
        <w:t>Potential for fire to affect nuclear safety with reference to nuclear safety case claims made on the area or plant located within the area.</w:t>
      </w:r>
    </w:p>
    <w:p w14:paraId="43FCEFE1" w14:textId="77777777" w:rsidR="479F24A6" w:rsidRPr="00DD1B58" w:rsidRDefault="479F24A6" w:rsidP="001B13EA">
      <w:pPr>
        <w:pStyle w:val="Bulletlist1"/>
        <w:ind w:left="450"/>
        <w:rPr>
          <w:lang w:val="en-US"/>
        </w:rPr>
      </w:pPr>
      <w:r w:rsidRPr="00DD1B58">
        <w:rPr>
          <w:lang w:val="en-US"/>
        </w:rPr>
        <w:t>Potential for fire to affect the commercial operation of the station.</w:t>
      </w:r>
    </w:p>
    <w:p w14:paraId="598B7150" w14:textId="0849A6F4" w:rsidR="479F24A6" w:rsidRPr="00DD1B58" w:rsidRDefault="479F24A6" w:rsidP="69C23859">
      <w:pPr>
        <w:rPr>
          <w:lang w:val="en-US"/>
        </w:rPr>
      </w:pPr>
      <w:r w:rsidRPr="00DD1B58">
        <w:rPr>
          <w:lang w:val="en-US"/>
        </w:rPr>
        <w:t xml:space="preserve">In addition to area fire risk assessments, </w:t>
      </w:r>
      <w:r w:rsidR="00D52315" w:rsidRPr="00DD1B58">
        <w:rPr>
          <w:lang w:val="en-US"/>
        </w:rPr>
        <w:t xml:space="preserve">EDF NGL </w:t>
      </w:r>
      <w:r w:rsidR="00A259B5" w:rsidRPr="00DD1B58">
        <w:rPr>
          <w:lang w:val="en-US"/>
        </w:rPr>
        <w:t>reports</w:t>
      </w:r>
      <w:r w:rsidR="00D52315" w:rsidRPr="00DD1B58">
        <w:rPr>
          <w:lang w:val="en-US"/>
        </w:rPr>
        <w:t xml:space="preserve"> that</w:t>
      </w:r>
      <w:r w:rsidRPr="00DD1B58">
        <w:rPr>
          <w:lang w:val="en-US"/>
        </w:rPr>
        <w:t xml:space="preserve"> each site has a DSEAR (Dangerous Substances and Explosive</w:t>
      </w:r>
      <w:r w:rsidR="45EFD165" w:rsidRPr="00DD1B58">
        <w:rPr>
          <w:lang w:val="en-US"/>
        </w:rPr>
        <w:t xml:space="preserve"> </w:t>
      </w:r>
      <w:r w:rsidRPr="00DD1B58">
        <w:rPr>
          <w:lang w:val="en-US"/>
        </w:rPr>
        <w:t>Atmospheres Regulations) risk assessment which specifies the presence and extent of potentially</w:t>
      </w:r>
      <w:r w:rsidR="01D5C1C6" w:rsidRPr="00DD1B58">
        <w:rPr>
          <w:lang w:val="en-US"/>
        </w:rPr>
        <w:t xml:space="preserve"> </w:t>
      </w:r>
      <w:r w:rsidRPr="00DD1B58">
        <w:rPr>
          <w:lang w:val="en-US"/>
        </w:rPr>
        <w:t>explosive atmospheres along with record of plant and other components located within these DSEAR</w:t>
      </w:r>
      <w:r w:rsidR="41849A10" w:rsidRPr="00DD1B58">
        <w:rPr>
          <w:lang w:val="en-US"/>
        </w:rPr>
        <w:t xml:space="preserve"> </w:t>
      </w:r>
      <w:r w:rsidRPr="00DD1B58">
        <w:rPr>
          <w:lang w:val="en-US"/>
        </w:rPr>
        <w:t xml:space="preserve">zones that may provide an ignition source. </w:t>
      </w:r>
      <w:r w:rsidR="002246D5" w:rsidRPr="00DD1B58">
        <w:rPr>
          <w:lang w:val="en-US"/>
        </w:rPr>
        <w:t xml:space="preserve">EDF NGL </w:t>
      </w:r>
      <w:r w:rsidR="00E81290" w:rsidRPr="00DD1B58">
        <w:rPr>
          <w:lang w:val="en-US"/>
        </w:rPr>
        <w:t>states</w:t>
      </w:r>
      <w:r w:rsidR="002246D5" w:rsidRPr="00DD1B58">
        <w:rPr>
          <w:lang w:val="en-US"/>
        </w:rPr>
        <w:t xml:space="preserve"> that </w:t>
      </w:r>
      <w:r w:rsidR="0069001E" w:rsidRPr="00DD1B58">
        <w:rPr>
          <w:lang w:val="en-US"/>
        </w:rPr>
        <w:t xml:space="preserve">it reassesses </w:t>
      </w:r>
      <w:r w:rsidR="002246D5" w:rsidRPr="00DD1B58">
        <w:rPr>
          <w:lang w:val="en-US"/>
        </w:rPr>
        <w:t>each</w:t>
      </w:r>
      <w:r w:rsidRPr="00DD1B58">
        <w:rPr>
          <w:lang w:val="en-US"/>
        </w:rPr>
        <w:t xml:space="preserve"> zone along with its plant and other ignition sources on a 3 yearly frequency.</w:t>
      </w:r>
    </w:p>
    <w:p w14:paraId="5586FD73" w14:textId="77777777" w:rsidR="00A75690" w:rsidRPr="00DD1B58" w:rsidRDefault="00A75690" w:rsidP="00177432">
      <w:pPr>
        <w:pStyle w:val="Heading5A"/>
        <w:rPr>
          <w:lang w:val="en-US"/>
        </w:rPr>
      </w:pPr>
      <w:bookmarkStart w:id="74" w:name="_Ref135316345"/>
      <w:r w:rsidRPr="00DD1B58">
        <w:rPr>
          <w:lang w:val="en-US"/>
        </w:rPr>
        <w:t>Licensee’s experience of the implementation of the fire prevention</w:t>
      </w:r>
      <w:bookmarkEnd w:id="74"/>
    </w:p>
    <w:p w14:paraId="36B61A7E" w14:textId="77777777" w:rsidR="008A3BAC" w:rsidRPr="00DD1B58" w:rsidRDefault="008A3BAC" w:rsidP="00177432">
      <w:pPr>
        <w:pStyle w:val="Heading5A"/>
        <w:numPr>
          <w:ilvl w:val="5"/>
          <w:numId w:val="7"/>
        </w:numPr>
        <w:ind w:left="0" w:firstLine="0"/>
        <w:rPr>
          <w:lang w:val="en-US"/>
        </w:rPr>
      </w:pPr>
      <w:r w:rsidRPr="00DD1B58">
        <w:rPr>
          <w:lang w:val="en-US"/>
        </w:rPr>
        <w:t>Overview of strengths and weaknesses</w:t>
      </w:r>
    </w:p>
    <w:p w14:paraId="032314F7" w14:textId="463DE722" w:rsidR="3E8258A5" w:rsidRPr="00DD1B58" w:rsidRDefault="00C362CA" w:rsidP="00712FEF">
      <w:pPr>
        <w:rPr>
          <w:lang w:val="en-US"/>
        </w:rPr>
      </w:pPr>
      <w:r w:rsidRPr="00DD1B58">
        <w:rPr>
          <w:lang w:val="en-US"/>
        </w:rPr>
        <w:t>EDF NGL</w:t>
      </w:r>
      <w:r w:rsidR="3E8258A5" w:rsidRPr="00DD1B58">
        <w:rPr>
          <w:lang w:val="en-US"/>
        </w:rPr>
        <w:t xml:space="preserve"> </w:t>
      </w:r>
      <w:r w:rsidR="00A259B5" w:rsidRPr="00DD1B58">
        <w:rPr>
          <w:lang w:val="en-US"/>
        </w:rPr>
        <w:t>reports</w:t>
      </w:r>
      <w:r w:rsidR="00B310DC" w:rsidRPr="00DD1B58">
        <w:rPr>
          <w:lang w:val="en-US"/>
        </w:rPr>
        <w:t xml:space="preserve"> that</w:t>
      </w:r>
      <w:r w:rsidR="3E8258A5" w:rsidRPr="00DD1B58">
        <w:rPr>
          <w:lang w:val="en-US"/>
        </w:rPr>
        <w:t xml:space="preserve"> hot work control arrangements </w:t>
      </w:r>
      <w:r w:rsidR="00B310DC" w:rsidRPr="00DD1B58">
        <w:rPr>
          <w:lang w:val="en-US"/>
        </w:rPr>
        <w:t xml:space="preserve">had </w:t>
      </w:r>
      <w:r w:rsidR="3E8258A5" w:rsidRPr="00DD1B58">
        <w:rPr>
          <w:lang w:val="en-US"/>
        </w:rPr>
        <w:t>been recognised as industry best practice both within the UK and within the World Association of Nuclear Operator Fire Safety Peer Groups.</w:t>
      </w:r>
    </w:p>
    <w:p w14:paraId="73E7FC41" w14:textId="0771A2EC" w:rsidR="3E8258A5" w:rsidRPr="00DD1B58" w:rsidRDefault="00B310DC" w:rsidP="00712FEF">
      <w:pPr>
        <w:rPr>
          <w:lang w:val="en-US"/>
        </w:rPr>
      </w:pPr>
      <w:r w:rsidRPr="00DD1B58">
        <w:rPr>
          <w:lang w:val="en-US"/>
        </w:rPr>
        <w:t>EDF NGL considers e</w:t>
      </w:r>
      <w:r w:rsidR="3E8258A5" w:rsidRPr="00DD1B58">
        <w:rPr>
          <w:lang w:val="en-US"/>
        </w:rPr>
        <w:t>ach station’s organisational arrangements for fire safety process implementation, governance and oversight to be strong with responsibility for Fire Safety built ‘into the line’, promoting strong cross functional engagement and ownership of fire safety performance and improvement.</w:t>
      </w:r>
    </w:p>
    <w:p w14:paraId="25C5301F" w14:textId="08CF0ACC" w:rsidR="3E8258A5" w:rsidRPr="00DD1B58" w:rsidRDefault="00B310DC" w:rsidP="00712FEF">
      <w:pPr>
        <w:rPr>
          <w:lang w:val="en-US"/>
        </w:rPr>
      </w:pPr>
      <w:r w:rsidRPr="00DD1B58">
        <w:rPr>
          <w:lang w:val="en-US"/>
        </w:rPr>
        <w:t>EDF NGL recognises</w:t>
      </w:r>
      <w:r w:rsidR="3E8258A5" w:rsidRPr="00DD1B58">
        <w:rPr>
          <w:lang w:val="en-US"/>
        </w:rPr>
        <w:t xml:space="preserve"> that station operations are dynamic with ongoing maintenance and operational activities</w:t>
      </w:r>
      <w:r w:rsidR="74877399" w:rsidRPr="00DD1B58">
        <w:rPr>
          <w:lang w:val="en-US"/>
        </w:rPr>
        <w:t xml:space="preserve"> </w:t>
      </w:r>
      <w:r w:rsidR="3E8258A5" w:rsidRPr="00DD1B58">
        <w:rPr>
          <w:lang w:val="en-US"/>
        </w:rPr>
        <w:t xml:space="preserve">taking place involving core staff and contract partners. </w:t>
      </w:r>
      <w:r w:rsidR="00E30028" w:rsidRPr="00DD1B58">
        <w:rPr>
          <w:lang w:val="en-US"/>
        </w:rPr>
        <w:t xml:space="preserve">It also </w:t>
      </w:r>
      <w:r w:rsidR="00A259B5" w:rsidRPr="00DD1B58">
        <w:rPr>
          <w:lang w:val="en-US"/>
        </w:rPr>
        <w:t>reports</w:t>
      </w:r>
      <w:r w:rsidR="00E30028" w:rsidRPr="00DD1B58">
        <w:rPr>
          <w:lang w:val="en-US"/>
        </w:rPr>
        <w:t xml:space="preserve"> that f</w:t>
      </w:r>
      <w:r w:rsidR="3E8258A5" w:rsidRPr="00DD1B58">
        <w:rPr>
          <w:lang w:val="en-US"/>
        </w:rPr>
        <w:t xml:space="preserve">ire </w:t>
      </w:r>
      <w:r w:rsidR="00E30028" w:rsidRPr="00DD1B58">
        <w:rPr>
          <w:lang w:val="en-US"/>
        </w:rPr>
        <w:t>s</w:t>
      </w:r>
      <w:r w:rsidR="3E8258A5" w:rsidRPr="00DD1B58">
        <w:rPr>
          <w:lang w:val="en-US"/>
        </w:rPr>
        <w:t>afety culture, behaviours and standards</w:t>
      </w:r>
      <w:r w:rsidR="3585F9E7" w:rsidRPr="00DD1B58">
        <w:rPr>
          <w:lang w:val="en-US"/>
        </w:rPr>
        <w:t xml:space="preserve"> </w:t>
      </w:r>
      <w:r w:rsidR="3E8258A5" w:rsidRPr="00DD1B58">
        <w:rPr>
          <w:lang w:val="en-US"/>
        </w:rPr>
        <w:t>always need re-enforcing to minimise fire risk</w:t>
      </w:r>
      <w:r w:rsidR="2B5BBDAF" w:rsidRPr="00DD1B58">
        <w:rPr>
          <w:lang w:val="en-US"/>
        </w:rPr>
        <w:t xml:space="preserve"> </w:t>
      </w:r>
      <w:r w:rsidR="3E8258A5" w:rsidRPr="00DD1B58">
        <w:rPr>
          <w:lang w:val="en-US"/>
        </w:rPr>
        <w:t>associated with these tasks.</w:t>
      </w:r>
    </w:p>
    <w:p w14:paraId="104746A5" w14:textId="47724E35" w:rsidR="3E8258A5" w:rsidRPr="00DD1B58" w:rsidRDefault="006D7E0D" w:rsidP="00712FEF">
      <w:pPr>
        <w:rPr>
          <w:lang w:val="en-US"/>
        </w:rPr>
      </w:pPr>
      <w:r w:rsidRPr="00DD1B58">
        <w:rPr>
          <w:lang w:val="en-US"/>
        </w:rPr>
        <w:t>A</w:t>
      </w:r>
      <w:r w:rsidR="3E8258A5" w:rsidRPr="00DD1B58">
        <w:rPr>
          <w:lang w:val="en-US"/>
        </w:rPr>
        <w:t xml:space="preserve">nother potential ignition source is from electrical circuits. </w:t>
      </w:r>
      <w:r w:rsidRPr="00DD1B58">
        <w:rPr>
          <w:lang w:val="en-US"/>
        </w:rPr>
        <w:t xml:space="preserve">EDF NGL </w:t>
      </w:r>
      <w:r w:rsidR="00275847" w:rsidRPr="00DD1B58">
        <w:rPr>
          <w:lang w:val="en-US"/>
        </w:rPr>
        <w:t>s</w:t>
      </w:r>
      <w:r w:rsidR="00333497" w:rsidRPr="00DD1B58">
        <w:rPr>
          <w:lang w:val="en-US"/>
        </w:rPr>
        <w:t xml:space="preserve">tates that </w:t>
      </w:r>
      <w:r w:rsidR="00275847" w:rsidRPr="00DD1B58">
        <w:rPr>
          <w:lang w:val="en-US"/>
        </w:rPr>
        <w:t>there is</w:t>
      </w:r>
      <w:r w:rsidR="3E8258A5" w:rsidRPr="00DD1B58">
        <w:rPr>
          <w:lang w:val="en-US"/>
        </w:rPr>
        <w:t xml:space="preserve"> a preventative maintenance</w:t>
      </w:r>
      <w:r w:rsidR="6BAF0F0B" w:rsidRPr="00DD1B58">
        <w:rPr>
          <w:lang w:val="en-US"/>
        </w:rPr>
        <w:t xml:space="preserve"> </w:t>
      </w:r>
      <w:r w:rsidR="3E8258A5" w:rsidRPr="00DD1B58">
        <w:rPr>
          <w:lang w:val="en-US"/>
        </w:rPr>
        <w:t>programme of work on all electrical equipment, which includes inspection of lighting and small power</w:t>
      </w:r>
      <w:r w:rsidR="70DE4330" w:rsidRPr="00DD1B58">
        <w:rPr>
          <w:lang w:val="en-US"/>
        </w:rPr>
        <w:t xml:space="preserve"> </w:t>
      </w:r>
      <w:r w:rsidR="3E8258A5" w:rsidRPr="00DD1B58">
        <w:rPr>
          <w:lang w:val="en-US"/>
        </w:rPr>
        <w:t>circuits, electric motors, and portable and transportable equipment. This gives</w:t>
      </w:r>
      <w:r w:rsidRPr="00DD1B58">
        <w:rPr>
          <w:lang w:val="en-US"/>
        </w:rPr>
        <w:t xml:space="preserve"> EDF NGL</w:t>
      </w:r>
      <w:r w:rsidR="3E8258A5" w:rsidRPr="00DD1B58">
        <w:rPr>
          <w:lang w:val="en-US"/>
        </w:rPr>
        <w:t xml:space="preserve"> confidence that the</w:t>
      </w:r>
      <w:r w:rsidR="72A47407" w:rsidRPr="00DD1B58">
        <w:rPr>
          <w:lang w:val="en-US"/>
        </w:rPr>
        <w:t xml:space="preserve"> </w:t>
      </w:r>
      <w:r w:rsidR="3E8258A5" w:rsidRPr="00DD1B58">
        <w:rPr>
          <w:lang w:val="en-US"/>
        </w:rPr>
        <w:t>electrical supplies provided are robust and that the potential for electrically induced ignition sources are</w:t>
      </w:r>
      <w:r w:rsidR="61227013" w:rsidRPr="00DD1B58">
        <w:rPr>
          <w:lang w:val="en-US"/>
        </w:rPr>
        <w:t xml:space="preserve"> </w:t>
      </w:r>
      <w:r w:rsidR="3E8258A5" w:rsidRPr="00DD1B58">
        <w:rPr>
          <w:lang w:val="en-US"/>
        </w:rPr>
        <w:t>minimised.</w:t>
      </w:r>
      <w:r w:rsidR="004C5F4F" w:rsidRPr="00DD1B58">
        <w:rPr>
          <w:lang w:val="en-US"/>
        </w:rPr>
        <w:t xml:space="preserve"> EDF NGL supports this through</w:t>
      </w:r>
      <w:r w:rsidR="3E8258A5" w:rsidRPr="00DD1B58">
        <w:rPr>
          <w:lang w:val="en-US"/>
        </w:rPr>
        <w:t xml:space="preserve"> routine fire risk assessments</w:t>
      </w:r>
      <w:r w:rsidR="004C5F4F" w:rsidRPr="00DD1B58">
        <w:rPr>
          <w:lang w:val="en-US"/>
        </w:rPr>
        <w:t>.</w:t>
      </w:r>
    </w:p>
    <w:p w14:paraId="196DE576" w14:textId="77777777" w:rsidR="008A3BAC" w:rsidRPr="00DD1B58" w:rsidRDefault="008A3BAC" w:rsidP="00177432">
      <w:pPr>
        <w:pStyle w:val="Heading5A"/>
        <w:numPr>
          <w:ilvl w:val="5"/>
          <w:numId w:val="7"/>
        </w:numPr>
        <w:rPr>
          <w:lang w:val="en-US"/>
        </w:rPr>
      </w:pPr>
      <w:r w:rsidRPr="00DD1B58">
        <w:rPr>
          <w:lang w:val="en-US"/>
        </w:rPr>
        <w:t>Lessons learned from events, reviews fire safety related missions, etc.</w:t>
      </w:r>
    </w:p>
    <w:p w14:paraId="28089837" w14:textId="072F255E" w:rsidR="5484E60F" w:rsidRPr="00DD1B58" w:rsidRDefault="004C5F4F" w:rsidP="00712FEF">
      <w:pPr>
        <w:rPr>
          <w:lang w:val="en-US"/>
        </w:rPr>
      </w:pPr>
      <w:r w:rsidRPr="00DD1B58">
        <w:rPr>
          <w:lang w:val="en-US"/>
        </w:rPr>
        <w:t>EDF state</w:t>
      </w:r>
      <w:r w:rsidR="00275847" w:rsidRPr="00DD1B58">
        <w:rPr>
          <w:lang w:val="en-US"/>
        </w:rPr>
        <w:t>s</w:t>
      </w:r>
      <w:r w:rsidRPr="00DD1B58">
        <w:rPr>
          <w:lang w:val="en-US"/>
        </w:rPr>
        <w:t xml:space="preserve"> that all</w:t>
      </w:r>
      <w:r w:rsidR="5484E60F" w:rsidRPr="00DD1B58">
        <w:rPr>
          <w:lang w:val="en-US"/>
        </w:rPr>
        <w:t xml:space="preserve"> major and minor fire events are shared across the sites as well as with the </w:t>
      </w:r>
      <w:r w:rsidR="009D09AA" w:rsidRPr="00DD1B58">
        <w:rPr>
          <w:lang w:val="en-US"/>
        </w:rPr>
        <w:t xml:space="preserve">regulator and that it shares the outcome of regulator </w:t>
      </w:r>
      <w:r w:rsidR="5484E60F" w:rsidRPr="00DD1B58">
        <w:rPr>
          <w:lang w:val="en-US"/>
        </w:rPr>
        <w:t xml:space="preserve">fire safety inspections across sites for learning and proactive action to address any similar shortfalls elsewhere in the </w:t>
      </w:r>
      <w:r w:rsidR="00C362CA" w:rsidRPr="00DD1B58">
        <w:rPr>
          <w:lang w:val="en-US"/>
        </w:rPr>
        <w:t>EDF NGL</w:t>
      </w:r>
      <w:r w:rsidR="5484E60F" w:rsidRPr="00DD1B58">
        <w:rPr>
          <w:lang w:val="en-US"/>
        </w:rPr>
        <w:t xml:space="preserve"> fleet.</w:t>
      </w:r>
    </w:p>
    <w:p w14:paraId="3FE117DC" w14:textId="7BD9D47B" w:rsidR="5484E60F" w:rsidRPr="00DD1B58" w:rsidRDefault="00C362CA" w:rsidP="0004656B">
      <w:pPr>
        <w:rPr>
          <w:lang w:val="en-US"/>
        </w:rPr>
      </w:pPr>
      <w:r w:rsidRPr="00DD1B58">
        <w:rPr>
          <w:lang w:val="en-US"/>
        </w:rPr>
        <w:t>EDF NGL</w:t>
      </w:r>
      <w:r w:rsidR="5484E60F" w:rsidRPr="00DD1B58">
        <w:rPr>
          <w:lang w:val="en-US"/>
        </w:rPr>
        <w:t xml:space="preserve"> currently hold</w:t>
      </w:r>
      <w:r w:rsidR="00F169C6" w:rsidRPr="00DD1B58">
        <w:rPr>
          <w:lang w:val="en-US"/>
        </w:rPr>
        <w:t>s</w:t>
      </w:r>
      <w:r w:rsidR="5484E60F" w:rsidRPr="00DD1B58">
        <w:rPr>
          <w:lang w:val="en-US"/>
        </w:rPr>
        <w:t xml:space="preserve"> the position of Deputy Chairperson of the UK Nuclear Industry Fire Safety Co-ordination Committee where events and learning are shared with other UK nuclear licen</w:t>
      </w:r>
      <w:r w:rsidR="009D09AA" w:rsidRPr="00DD1B58">
        <w:rPr>
          <w:lang w:val="en-US"/>
        </w:rPr>
        <w:t>see</w:t>
      </w:r>
      <w:r w:rsidR="5484E60F" w:rsidRPr="00DD1B58">
        <w:rPr>
          <w:lang w:val="en-US"/>
        </w:rPr>
        <w:t xml:space="preserve">s. </w:t>
      </w:r>
      <w:r w:rsidRPr="00DD1B58">
        <w:rPr>
          <w:lang w:val="en-US"/>
        </w:rPr>
        <w:t>EDF NGL</w:t>
      </w:r>
      <w:r w:rsidR="5484E60F" w:rsidRPr="00DD1B58">
        <w:rPr>
          <w:lang w:val="en-US"/>
        </w:rPr>
        <w:t xml:space="preserve"> </w:t>
      </w:r>
      <w:r w:rsidR="009D09AA" w:rsidRPr="00DD1B58">
        <w:rPr>
          <w:lang w:val="en-US"/>
        </w:rPr>
        <w:t>is an ac</w:t>
      </w:r>
      <w:r w:rsidR="5484E60F" w:rsidRPr="00DD1B58">
        <w:rPr>
          <w:lang w:val="en-US"/>
        </w:rPr>
        <w:t>tive member and participant on the WANO Industry Fire Protection Working</w:t>
      </w:r>
      <w:r w:rsidR="00531411" w:rsidRPr="00DD1B58">
        <w:rPr>
          <w:lang w:val="en-US"/>
        </w:rPr>
        <w:t xml:space="preserve">. </w:t>
      </w:r>
      <w:r w:rsidR="009D09AA" w:rsidRPr="00DD1B58">
        <w:rPr>
          <w:lang w:val="en-US"/>
        </w:rPr>
        <w:t>EDF NGL report</w:t>
      </w:r>
      <w:r w:rsidR="003A12D2" w:rsidRPr="00DD1B58">
        <w:rPr>
          <w:lang w:val="en-US"/>
        </w:rPr>
        <w:t>s</w:t>
      </w:r>
      <w:r w:rsidR="006D798B" w:rsidRPr="00DD1B58">
        <w:rPr>
          <w:lang w:val="en-US"/>
        </w:rPr>
        <w:t xml:space="preserve"> that</w:t>
      </w:r>
      <w:r w:rsidR="009D09AA" w:rsidRPr="00DD1B58">
        <w:rPr>
          <w:lang w:val="en-US"/>
        </w:rPr>
        <w:t xml:space="preserve"> a</w:t>
      </w:r>
      <w:r w:rsidR="5484E60F" w:rsidRPr="00DD1B58">
        <w:rPr>
          <w:lang w:val="en-US"/>
        </w:rPr>
        <w:t>ll learning opportunities for the fleet are shared and tracked at the Fleet Fire Safety Task Team.</w:t>
      </w:r>
    </w:p>
    <w:p w14:paraId="395D39A6" w14:textId="77777777" w:rsidR="00AA09D5" w:rsidRPr="00DD1B58" w:rsidRDefault="008A3BAC" w:rsidP="00177432">
      <w:pPr>
        <w:pStyle w:val="Heading5A"/>
        <w:numPr>
          <w:ilvl w:val="5"/>
          <w:numId w:val="7"/>
        </w:numPr>
        <w:rPr>
          <w:lang w:val="en-US"/>
        </w:rPr>
      </w:pPr>
      <w:r w:rsidRPr="00DD1B58">
        <w:rPr>
          <w:lang w:val="en-US"/>
        </w:rPr>
        <w:t>Overview of actions and implementation status</w:t>
      </w:r>
    </w:p>
    <w:p w14:paraId="48797044" w14:textId="54A78D40" w:rsidR="545E1854" w:rsidRPr="00DD1B58" w:rsidRDefault="545E1854" w:rsidP="1B2B0ECE">
      <w:pPr>
        <w:rPr>
          <w:szCs w:val="24"/>
          <w:lang w:val="en-US"/>
        </w:rPr>
      </w:pPr>
      <w:r w:rsidRPr="00DD1B58">
        <w:rPr>
          <w:b/>
          <w:lang w:val="en-US"/>
        </w:rPr>
        <w:t>General</w:t>
      </w:r>
      <w:r w:rsidR="00323467" w:rsidRPr="00DD1B58">
        <w:rPr>
          <w:b/>
          <w:lang w:val="en-US"/>
        </w:rPr>
        <w:t xml:space="preserve"> -</w:t>
      </w:r>
      <w:r w:rsidR="00940D2A" w:rsidRPr="00DD1B58">
        <w:rPr>
          <w:b/>
          <w:lang w:val="en-US"/>
        </w:rPr>
        <w:t xml:space="preserve"> </w:t>
      </w:r>
      <w:r w:rsidR="00A259B5" w:rsidRPr="00DD1B58">
        <w:rPr>
          <w:bCs/>
          <w:lang w:val="en-US"/>
        </w:rPr>
        <w:t>Actions</w:t>
      </w:r>
      <w:r w:rsidRPr="00DD1B58">
        <w:rPr>
          <w:bCs/>
          <w:lang w:val="en-US"/>
        </w:rPr>
        <w:t xml:space="preserve"> </w:t>
      </w:r>
      <w:r w:rsidRPr="00DD1B58">
        <w:rPr>
          <w:lang w:val="en-US"/>
        </w:rPr>
        <w:t xml:space="preserve">and implementation of the actions are </w:t>
      </w:r>
      <w:r w:rsidR="00775AE7" w:rsidRPr="00DD1B58">
        <w:rPr>
          <w:lang w:val="en-US"/>
        </w:rPr>
        <w:t>managed</w:t>
      </w:r>
      <w:r w:rsidR="00940D2A" w:rsidRPr="00DD1B58">
        <w:rPr>
          <w:lang w:val="en-US"/>
        </w:rPr>
        <w:t xml:space="preserve"> </w:t>
      </w:r>
      <w:r w:rsidRPr="00DD1B58">
        <w:rPr>
          <w:lang w:val="en-US"/>
        </w:rPr>
        <w:t xml:space="preserve">by </w:t>
      </w:r>
      <w:r w:rsidR="00775AE7" w:rsidRPr="00DD1B58">
        <w:rPr>
          <w:lang w:val="en-US"/>
        </w:rPr>
        <w:t>the</w:t>
      </w:r>
      <w:r w:rsidRPr="00DD1B58">
        <w:rPr>
          <w:lang w:val="en-US"/>
        </w:rPr>
        <w:t xml:space="preserve"> Fleet Fire Safety Manager and deputy Fleet Fire Safety Manager.</w:t>
      </w:r>
      <w:r w:rsidR="78560BCE" w:rsidRPr="00DD1B58">
        <w:rPr>
          <w:lang w:val="en-US"/>
        </w:rPr>
        <w:t xml:space="preserve"> </w:t>
      </w:r>
      <w:r w:rsidR="00A259B5" w:rsidRPr="00DD1B58">
        <w:rPr>
          <w:lang w:val="en-US"/>
        </w:rPr>
        <w:t>EDF NGL has</w:t>
      </w:r>
      <w:r w:rsidRPr="00DD1B58">
        <w:rPr>
          <w:lang w:val="en-US"/>
        </w:rPr>
        <w:t xml:space="preserve"> two Fire Safety Engineers in </w:t>
      </w:r>
      <w:r w:rsidR="00775AE7" w:rsidRPr="00DD1B58">
        <w:rPr>
          <w:lang w:val="en-US"/>
        </w:rPr>
        <w:t xml:space="preserve">EDF NGL’s </w:t>
      </w:r>
      <w:r w:rsidRPr="00DD1B58">
        <w:rPr>
          <w:lang w:val="en-US"/>
        </w:rPr>
        <w:t>Engineering Function, who also provide hazards</w:t>
      </w:r>
      <w:r w:rsidR="4D7A802C" w:rsidRPr="00DD1B58">
        <w:rPr>
          <w:lang w:val="en-US"/>
        </w:rPr>
        <w:t xml:space="preserve"> </w:t>
      </w:r>
      <w:r w:rsidRPr="00DD1B58">
        <w:rPr>
          <w:lang w:val="en-US"/>
        </w:rPr>
        <w:t>advice to the Design Authority.</w:t>
      </w:r>
      <w:r w:rsidR="00F5D60C" w:rsidRPr="00DD1B58">
        <w:rPr>
          <w:lang w:val="en-US"/>
        </w:rPr>
        <w:t xml:space="preserve"> </w:t>
      </w:r>
      <w:r w:rsidR="00775AE7" w:rsidRPr="00DD1B58">
        <w:rPr>
          <w:lang w:val="en-US"/>
        </w:rPr>
        <w:t>EDF NGL records A</w:t>
      </w:r>
      <w:r w:rsidRPr="00DD1B58">
        <w:rPr>
          <w:lang w:val="en-US"/>
        </w:rPr>
        <w:t>ction Requests (ARs) in the station management system</w:t>
      </w:r>
      <w:r w:rsidR="00775AE7" w:rsidRPr="00DD1B58">
        <w:rPr>
          <w:lang w:val="en-US"/>
        </w:rPr>
        <w:t>, tracking c</w:t>
      </w:r>
      <w:r w:rsidRPr="00DD1B58">
        <w:rPr>
          <w:lang w:val="en-US"/>
        </w:rPr>
        <w:t>ommitments</w:t>
      </w:r>
      <w:r w:rsidR="00D64F15" w:rsidRPr="00DD1B58">
        <w:rPr>
          <w:lang w:val="en-US"/>
        </w:rPr>
        <w:t xml:space="preserve"> e.g. from the engineering change process</w:t>
      </w:r>
      <w:r w:rsidRPr="00DD1B58">
        <w:rPr>
          <w:lang w:val="en-US"/>
        </w:rPr>
        <w:t xml:space="preserve"> in the station management system.</w:t>
      </w:r>
      <w:r w:rsidR="5A795C27" w:rsidRPr="00DD1B58">
        <w:rPr>
          <w:lang w:val="en-US"/>
        </w:rPr>
        <w:t xml:space="preserve"> </w:t>
      </w:r>
      <w:r w:rsidR="00D64F15" w:rsidRPr="00DD1B58">
        <w:rPr>
          <w:lang w:val="en-US"/>
        </w:rPr>
        <w:t xml:space="preserve">EDF NGL </w:t>
      </w:r>
      <w:r w:rsidRPr="00DD1B58">
        <w:rPr>
          <w:lang w:val="en-US"/>
        </w:rPr>
        <w:t>Technical Governance processes include compliance trackers.</w:t>
      </w:r>
      <w:r w:rsidR="3E16DF6D" w:rsidRPr="00DD1B58">
        <w:rPr>
          <w:lang w:val="en-US"/>
        </w:rPr>
        <w:t xml:space="preserve"> </w:t>
      </w:r>
      <w:r w:rsidRPr="00DD1B58">
        <w:rPr>
          <w:lang w:val="en-US"/>
        </w:rPr>
        <w:t>There is a Corrective Action Programme including condition reports this assesses all</w:t>
      </w:r>
      <w:r w:rsidR="2CE0E942" w:rsidRPr="00DD1B58">
        <w:rPr>
          <w:lang w:val="en-US"/>
        </w:rPr>
        <w:t xml:space="preserve"> </w:t>
      </w:r>
      <w:r w:rsidRPr="00DD1B58">
        <w:rPr>
          <w:lang w:val="en-US"/>
        </w:rPr>
        <w:t>identified issues.</w:t>
      </w:r>
    </w:p>
    <w:p w14:paraId="75D4CE2C" w14:textId="51B0D627" w:rsidR="545E1854" w:rsidRPr="00DD1B58" w:rsidRDefault="00D64F15" w:rsidP="1B2B0ECE">
      <w:pPr>
        <w:pStyle w:val="Bulletlist1"/>
        <w:numPr>
          <w:ilvl w:val="0"/>
          <w:numId w:val="0"/>
        </w:numPr>
        <w:rPr>
          <w:color w:val="22413A"/>
          <w:lang w:val="en-US"/>
        </w:rPr>
      </w:pPr>
      <w:r w:rsidRPr="00DD1B58">
        <w:rPr>
          <w:lang w:val="en-US"/>
        </w:rPr>
        <w:t>EDF NGL report</w:t>
      </w:r>
      <w:r w:rsidR="00207726" w:rsidRPr="00DD1B58">
        <w:rPr>
          <w:lang w:val="en-US"/>
        </w:rPr>
        <w:t>s</w:t>
      </w:r>
      <w:r w:rsidRPr="00DD1B58">
        <w:rPr>
          <w:lang w:val="en-US"/>
        </w:rPr>
        <w:t xml:space="preserve"> that</w:t>
      </w:r>
      <w:r w:rsidR="24CF9218" w:rsidRPr="00DD1B58">
        <w:rPr>
          <w:lang w:val="en-US"/>
        </w:rPr>
        <w:t xml:space="preserve"> t</w:t>
      </w:r>
      <w:r w:rsidR="3B4454DA" w:rsidRPr="00DD1B58">
        <w:rPr>
          <w:lang w:val="en-US"/>
        </w:rPr>
        <w:t>here</w:t>
      </w:r>
      <w:r w:rsidR="545E1854" w:rsidRPr="00DD1B58">
        <w:rPr>
          <w:lang w:val="en-US"/>
        </w:rPr>
        <w:t xml:space="preserve"> are fire safety action teams at all the stations</w:t>
      </w:r>
      <w:r w:rsidRPr="00DD1B58">
        <w:rPr>
          <w:lang w:val="en-US"/>
        </w:rPr>
        <w:t>, which hold</w:t>
      </w:r>
      <w:r w:rsidR="545E1854" w:rsidRPr="00DD1B58">
        <w:rPr>
          <w:lang w:val="en-US"/>
        </w:rPr>
        <w:t xml:space="preserve"> regular meetings with ONR.</w:t>
      </w:r>
      <w:r w:rsidR="4AF3D033" w:rsidRPr="00DD1B58">
        <w:rPr>
          <w:lang w:val="en-US"/>
        </w:rPr>
        <w:t xml:space="preserve"> </w:t>
      </w:r>
      <w:r w:rsidRPr="00DD1B58">
        <w:rPr>
          <w:lang w:val="en-US"/>
        </w:rPr>
        <w:t>It also state</w:t>
      </w:r>
      <w:r w:rsidR="00207726" w:rsidRPr="00DD1B58">
        <w:rPr>
          <w:lang w:val="en-US"/>
        </w:rPr>
        <w:t>s</w:t>
      </w:r>
      <w:r w:rsidRPr="00DD1B58">
        <w:rPr>
          <w:lang w:val="en-US"/>
        </w:rPr>
        <w:t xml:space="preserve"> that there </w:t>
      </w:r>
      <w:r w:rsidR="545E1854" w:rsidRPr="00DD1B58">
        <w:rPr>
          <w:lang w:val="en-US"/>
        </w:rPr>
        <w:t xml:space="preserve">are WANO reviews and </w:t>
      </w:r>
      <w:r w:rsidRPr="00DD1B58">
        <w:rPr>
          <w:lang w:val="en-US"/>
        </w:rPr>
        <w:t>and</w:t>
      </w:r>
      <w:r w:rsidR="545E1854" w:rsidRPr="00DD1B58">
        <w:rPr>
          <w:lang w:val="en-US"/>
        </w:rPr>
        <w:t xml:space="preserve"> Periodic Safety Review actions.</w:t>
      </w:r>
      <w:r w:rsidR="6B7BC5B8" w:rsidRPr="00DD1B58">
        <w:rPr>
          <w:lang w:val="en-US"/>
        </w:rPr>
        <w:t xml:space="preserve"> </w:t>
      </w:r>
      <w:r w:rsidRPr="00DD1B58">
        <w:rPr>
          <w:lang w:val="en-US"/>
        </w:rPr>
        <w:t xml:space="preserve">EDF NGL deals with anomalies </w:t>
      </w:r>
      <w:r w:rsidR="545E1854" w:rsidRPr="00DD1B58">
        <w:rPr>
          <w:lang w:val="en-US"/>
        </w:rPr>
        <w:t>through the safety case anomalies process until closed</w:t>
      </w:r>
      <w:r w:rsidRPr="00DD1B58">
        <w:rPr>
          <w:lang w:val="en-US"/>
        </w:rPr>
        <w:t>,</w:t>
      </w:r>
      <w:r w:rsidR="545E1854" w:rsidRPr="00DD1B58">
        <w:rPr>
          <w:lang w:val="en-US"/>
        </w:rPr>
        <w:t xml:space="preserve"> tracked to completion by the Design Authority.</w:t>
      </w:r>
      <w:r w:rsidR="633B70D5" w:rsidRPr="00DD1B58">
        <w:rPr>
          <w:lang w:val="en-US"/>
        </w:rPr>
        <w:t xml:space="preserve"> </w:t>
      </w:r>
      <w:r w:rsidRPr="00DD1B58">
        <w:rPr>
          <w:lang w:val="en-US"/>
        </w:rPr>
        <w:t>EDF NGL stations</w:t>
      </w:r>
      <w:r w:rsidR="545E1854" w:rsidRPr="00DD1B58">
        <w:rPr>
          <w:lang w:val="en-US"/>
        </w:rPr>
        <w:t xml:space="preserve"> have System Engineers allocated to ensure that fire protection arrangements are</w:t>
      </w:r>
      <w:r w:rsidR="34521297" w:rsidRPr="00DD1B58">
        <w:rPr>
          <w:lang w:val="en-US"/>
        </w:rPr>
        <w:t xml:space="preserve"> </w:t>
      </w:r>
      <w:r w:rsidR="545E1854" w:rsidRPr="00DD1B58">
        <w:rPr>
          <w:lang w:val="en-US"/>
        </w:rPr>
        <w:t>maintained</w:t>
      </w:r>
      <w:r w:rsidRPr="00DD1B58">
        <w:rPr>
          <w:lang w:val="en-US"/>
        </w:rPr>
        <w:t xml:space="preserve">. </w:t>
      </w:r>
      <w:r w:rsidR="00A259B5" w:rsidRPr="00DD1B58">
        <w:rPr>
          <w:lang w:val="en-US"/>
        </w:rPr>
        <w:t>R</w:t>
      </w:r>
      <w:r w:rsidR="545E1854" w:rsidRPr="00DD1B58">
        <w:rPr>
          <w:lang w:val="en-US"/>
        </w:rPr>
        <w:t>egular user groups are convened to share operating experience.</w:t>
      </w:r>
      <w:r w:rsidR="5D25D0B2" w:rsidRPr="00DD1B58">
        <w:rPr>
          <w:lang w:val="en-US"/>
        </w:rPr>
        <w:t xml:space="preserve"> </w:t>
      </w:r>
      <w:r w:rsidRPr="00DD1B58">
        <w:rPr>
          <w:lang w:val="en-US"/>
        </w:rPr>
        <w:t>EDF NGL’s</w:t>
      </w:r>
      <w:r w:rsidR="545E1854" w:rsidRPr="00DD1B58">
        <w:rPr>
          <w:lang w:val="en-US"/>
        </w:rPr>
        <w:t xml:space="preserve"> company Independent Nuclear Assessment (INA) provides an oversight of</w:t>
      </w:r>
      <w:r w:rsidR="2864B70B" w:rsidRPr="00DD1B58">
        <w:rPr>
          <w:lang w:val="en-US"/>
        </w:rPr>
        <w:t xml:space="preserve"> </w:t>
      </w:r>
      <w:r w:rsidR="545E1854" w:rsidRPr="00DD1B58">
        <w:rPr>
          <w:lang w:val="en-US"/>
        </w:rPr>
        <w:t>company and station safety arrangements</w:t>
      </w:r>
      <w:r w:rsidR="545E1854" w:rsidRPr="00DD1B58">
        <w:rPr>
          <w:color w:val="22413A"/>
          <w:lang w:val="en-US"/>
        </w:rPr>
        <w:t>.</w:t>
      </w:r>
    </w:p>
    <w:p w14:paraId="7FF65648" w14:textId="77777777" w:rsidR="6B71D7F6" w:rsidRPr="00DD1B58" w:rsidRDefault="6B71D7F6" w:rsidP="00712FEF">
      <w:pPr>
        <w:rPr>
          <w:b/>
          <w:lang w:val="en-US"/>
        </w:rPr>
      </w:pPr>
      <w:r w:rsidRPr="00DD1B58">
        <w:rPr>
          <w:b/>
          <w:lang w:val="en-US"/>
        </w:rPr>
        <w:t>Fire Safety Metrics</w:t>
      </w:r>
    </w:p>
    <w:p w14:paraId="2DEFE83C" w14:textId="168F2692" w:rsidR="6B71D7F6" w:rsidRPr="00DD1B58" w:rsidRDefault="00D64F15" w:rsidP="69C23859">
      <w:pPr>
        <w:rPr>
          <w:noProof/>
          <w:szCs w:val="24"/>
          <w:lang w:val="en-US"/>
        </w:rPr>
      </w:pPr>
      <w:r w:rsidRPr="00DD1B58">
        <w:rPr>
          <w:noProof/>
          <w:lang w:val="en-US"/>
        </w:rPr>
        <w:t>EDF NGL track</w:t>
      </w:r>
      <w:r w:rsidR="00207726" w:rsidRPr="00DD1B58">
        <w:rPr>
          <w:noProof/>
          <w:lang w:val="en-US"/>
        </w:rPr>
        <w:t>s</w:t>
      </w:r>
      <w:r w:rsidRPr="00DD1B58">
        <w:rPr>
          <w:noProof/>
          <w:lang w:val="en-US"/>
        </w:rPr>
        <w:t xml:space="preserve"> f</w:t>
      </w:r>
      <w:r w:rsidR="6B71D7F6" w:rsidRPr="00DD1B58">
        <w:rPr>
          <w:noProof/>
          <w:lang w:val="en-US"/>
        </w:rPr>
        <w:t xml:space="preserve">ire safety metrics for </w:t>
      </w:r>
      <w:r w:rsidRPr="00DD1B58">
        <w:rPr>
          <w:noProof/>
          <w:lang w:val="en-US"/>
        </w:rPr>
        <w:t xml:space="preserve">fire safety </w:t>
      </w:r>
      <w:r w:rsidR="6B71D7F6" w:rsidRPr="00DD1B58">
        <w:rPr>
          <w:noProof/>
          <w:lang w:val="en-US"/>
        </w:rPr>
        <w:t>system health across all sites.</w:t>
      </w:r>
      <w:r w:rsidRPr="00DD1B58">
        <w:rPr>
          <w:noProof/>
          <w:lang w:val="en-US"/>
        </w:rPr>
        <w:t xml:space="preserve"> </w:t>
      </w:r>
      <w:r w:rsidR="6B71D7F6" w:rsidRPr="00DD1B58">
        <w:rPr>
          <w:noProof/>
          <w:lang w:val="en-US"/>
        </w:rPr>
        <w:t xml:space="preserve">The metrics track defects relating to detection, suppression, fire barriers, fire doors, fire dampers etc. </w:t>
      </w:r>
      <w:r w:rsidR="004E17BC" w:rsidRPr="00DD1B58">
        <w:rPr>
          <w:noProof/>
          <w:lang w:val="en-US"/>
        </w:rPr>
        <w:t>to</w:t>
      </w:r>
      <w:r w:rsidR="6B71D7F6" w:rsidRPr="00DD1B58">
        <w:rPr>
          <w:noProof/>
          <w:lang w:val="en-US"/>
        </w:rPr>
        <w:t xml:space="preserve"> identify </w:t>
      </w:r>
      <w:r w:rsidR="004E17BC" w:rsidRPr="00DD1B58">
        <w:rPr>
          <w:noProof/>
          <w:lang w:val="en-US"/>
        </w:rPr>
        <w:t xml:space="preserve">at a glance </w:t>
      </w:r>
      <w:r w:rsidR="6B71D7F6" w:rsidRPr="00DD1B58">
        <w:rPr>
          <w:noProof/>
          <w:lang w:val="en-US"/>
        </w:rPr>
        <w:t>whether the stations are meeting the requirements to maintain safe systems under fire safety.</w:t>
      </w:r>
      <w:r w:rsidR="004E17BC" w:rsidRPr="00DD1B58">
        <w:rPr>
          <w:noProof/>
          <w:lang w:val="en-US"/>
        </w:rPr>
        <w:t xml:space="preserve"> EDF NGL </w:t>
      </w:r>
      <w:r w:rsidR="00A259B5" w:rsidRPr="00DD1B58">
        <w:rPr>
          <w:noProof/>
          <w:lang w:val="en-US"/>
        </w:rPr>
        <w:t xml:space="preserve">reports </w:t>
      </w:r>
      <w:r w:rsidR="004E17BC" w:rsidRPr="00DD1B58">
        <w:rPr>
          <w:noProof/>
          <w:lang w:val="en-US"/>
        </w:rPr>
        <w:t xml:space="preserve">that </w:t>
      </w:r>
      <w:r w:rsidR="6B71D7F6" w:rsidRPr="00DD1B58">
        <w:rPr>
          <w:noProof/>
          <w:lang w:val="en-US"/>
        </w:rPr>
        <w:t>long standing defects and those recently raised allow station Fire Safety Co-ordinators (FSCs) to highlight these and work closely with the Engineering departments to ensure work is planned to bring systems back into line.</w:t>
      </w:r>
      <w:r w:rsidR="004E17BC" w:rsidRPr="00DD1B58">
        <w:rPr>
          <w:noProof/>
          <w:lang w:val="en-US"/>
        </w:rPr>
        <w:t xml:space="preserve"> EDF NGL </w:t>
      </w:r>
      <w:r w:rsidR="00A259B5" w:rsidRPr="00DD1B58">
        <w:rPr>
          <w:noProof/>
          <w:lang w:val="en-US"/>
        </w:rPr>
        <w:t>considers</w:t>
      </w:r>
      <w:r w:rsidR="004E17BC" w:rsidRPr="00DD1B58">
        <w:rPr>
          <w:noProof/>
          <w:lang w:val="en-US"/>
        </w:rPr>
        <w:t xml:space="preserve"> that the</w:t>
      </w:r>
      <w:r w:rsidR="6B71D7F6" w:rsidRPr="00DD1B58">
        <w:rPr>
          <w:noProof/>
          <w:lang w:val="en-US"/>
        </w:rPr>
        <w:t xml:space="preserve"> Fire Safety Metrics allow the central fire function to see the progress of any required maintenance activities</w:t>
      </w:r>
      <w:r w:rsidR="004E17BC" w:rsidRPr="00DD1B58">
        <w:rPr>
          <w:noProof/>
          <w:lang w:val="en-US"/>
        </w:rPr>
        <w:t>, and w</w:t>
      </w:r>
      <w:r w:rsidR="6B71D7F6" w:rsidRPr="00DD1B58">
        <w:rPr>
          <w:noProof/>
          <w:lang w:val="en-US"/>
        </w:rPr>
        <w:t>here necessary</w:t>
      </w:r>
      <w:r w:rsidR="004E17BC" w:rsidRPr="00DD1B58">
        <w:rPr>
          <w:noProof/>
          <w:lang w:val="en-US"/>
        </w:rPr>
        <w:t>,</w:t>
      </w:r>
      <w:r w:rsidR="6B71D7F6" w:rsidRPr="00DD1B58">
        <w:rPr>
          <w:noProof/>
          <w:lang w:val="en-US"/>
        </w:rPr>
        <w:t xml:space="preserve"> the central fire function provides support to the individual stations. In addition, FSCs support other stations </w:t>
      </w:r>
      <w:r w:rsidR="009A73C5" w:rsidRPr="00DD1B58">
        <w:rPr>
          <w:noProof/>
          <w:lang w:val="en-US"/>
        </w:rPr>
        <w:t>a</w:t>
      </w:r>
      <w:r w:rsidR="6B71D7F6" w:rsidRPr="00DD1B58">
        <w:rPr>
          <w:noProof/>
          <w:lang w:val="en-US"/>
        </w:rPr>
        <w:t>s appropriate.</w:t>
      </w:r>
      <w:r w:rsidR="009A73C5" w:rsidRPr="00DD1B58">
        <w:rPr>
          <w:noProof/>
          <w:lang w:val="en-US"/>
        </w:rPr>
        <w:t xml:space="preserve"> EDF NGL report</w:t>
      </w:r>
      <w:r w:rsidR="00A259B5" w:rsidRPr="00DD1B58">
        <w:rPr>
          <w:noProof/>
          <w:lang w:val="en-US"/>
        </w:rPr>
        <w:t>s</w:t>
      </w:r>
      <w:r w:rsidR="009A73C5" w:rsidRPr="00DD1B58">
        <w:rPr>
          <w:noProof/>
          <w:lang w:val="en-US"/>
        </w:rPr>
        <w:t xml:space="preserve"> that </w:t>
      </w:r>
      <w:r w:rsidR="6B71D7F6" w:rsidRPr="00DD1B58">
        <w:rPr>
          <w:noProof/>
          <w:lang w:val="en-US"/>
        </w:rPr>
        <w:t>monthly</w:t>
      </w:r>
      <w:r w:rsidR="009A73C5" w:rsidRPr="00DD1B58">
        <w:rPr>
          <w:noProof/>
          <w:lang w:val="en-US"/>
        </w:rPr>
        <w:t xml:space="preserve"> discussions</w:t>
      </w:r>
      <w:r w:rsidR="6B71D7F6" w:rsidRPr="00DD1B58">
        <w:rPr>
          <w:noProof/>
          <w:lang w:val="en-US"/>
        </w:rPr>
        <w:t xml:space="preserve"> allow cross station support and co-ordination.</w:t>
      </w:r>
    </w:p>
    <w:p w14:paraId="739E702F" w14:textId="77777777" w:rsidR="00416B7C" w:rsidRPr="00DD1B58" w:rsidRDefault="00416B7C" w:rsidP="00177432">
      <w:pPr>
        <w:pStyle w:val="Heading5A"/>
        <w:rPr>
          <w:lang w:val="en-US"/>
        </w:rPr>
      </w:pPr>
      <w:bookmarkStart w:id="75" w:name="_Ref145057642"/>
      <w:r w:rsidRPr="00DD1B58">
        <w:rPr>
          <w:lang w:val="en-US"/>
        </w:rPr>
        <w:t>Regulator’s assessment of the fire prevention</w:t>
      </w:r>
      <w:bookmarkEnd w:id="75"/>
    </w:p>
    <w:p w14:paraId="2042A600" w14:textId="77777777" w:rsidR="00810C92" w:rsidRPr="00DD1B58" w:rsidRDefault="00810C92" w:rsidP="00177432">
      <w:pPr>
        <w:pStyle w:val="Heading5A"/>
        <w:numPr>
          <w:ilvl w:val="5"/>
          <w:numId w:val="7"/>
        </w:numPr>
        <w:rPr>
          <w:lang w:val="en-US"/>
        </w:rPr>
      </w:pPr>
      <w:r w:rsidRPr="00DD1B58">
        <w:rPr>
          <w:lang w:val="en-US"/>
        </w:rPr>
        <w:t>Overview of strengths and weaknesses in the fire prevention</w:t>
      </w:r>
    </w:p>
    <w:p w14:paraId="355B698B" w14:textId="0D3876A4" w:rsidR="52DCF100" w:rsidRPr="00DD1B58" w:rsidRDefault="52DCF100">
      <w:pPr>
        <w:rPr>
          <w:lang w:val="en-US"/>
        </w:rPr>
      </w:pPr>
      <w:r w:rsidRPr="00DD1B58">
        <w:rPr>
          <w:rFonts w:eastAsia="Arial"/>
          <w:noProof/>
          <w:szCs w:val="24"/>
          <w:lang w:val="en-US"/>
        </w:rPr>
        <w:t xml:space="preserve">The process described by EDF NGL for fire load accounting and management </w:t>
      </w:r>
      <w:r w:rsidR="000E73EC" w:rsidRPr="00DD1B58">
        <w:rPr>
          <w:rFonts w:eastAsia="Arial"/>
          <w:noProof/>
          <w:szCs w:val="24"/>
          <w:lang w:val="en-US"/>
        </w:rPr>
        <w:t xml:space="preserve">meets the expections in </w:t>
      </w:r>
      <w:r w:rsidRPr="00DD1B58">
        <w:rPr>
          <w:rFonts w:eastAsia="Arial"/>
          <w:noProof/>
          <w:szCs w:val="24"/>
          <w:lang w:val="en-US"/>
        </w:rPr>
        <w:t xml:space="preserve">ONR’s Internal Hazards TAG </w:t>
      </w:r>
      <w:sdt>
        <w:sdtPr>
          <w:rPr>
            <w:rFonts w:eastAsia="Arial"/>
            <w:noProof/>
            <w:szCs w:val="24"/>
            <w:lang w:val="en-US"/>
          </w:rPr>
          <w:id w:val="-1424957497"/>
          <w:citation/>
        </w:sdtPr>
        <w:sdtContent>
          <w:r w:rsidR="00F45FBF" w:rsidRPr="00DD1B58">
            <w:rPr>
              <w:rFonts w:eastAsia="Arial"/>
              <w:noProof/>
              <w:szCs w:val="24"/>
              <w:lang w:val="en-US"/>
            </w:rPr>
            <w:fldChar w:fldCharType="begin"/>
          </w:r>
          <w:r w:rsidR="00F45FBF" w:rsidRPr="00DD1B58">
            <w:rPr>
              <w:rFonts w:eastAsia="Arial"/>
              <w:noProof/>
              <w:szCs w:val="24"/>
              <w:lang w:val="en-US"/>
            </w:rPr>
            <w:instrText xml:space="preserve"> CITATION ONR4 \l 2057 </w:instrText>
          </w:r>
          <w:r w:rsidR="00F45FBF" w:rsidRPr="00DD1B58">
            <w:rPr>
              <w:rFonts w:eastAsia="Arial"/>
              <w:noProof/>
              <w:szCs w:val="24"/>
              <w:lang w:val="en-US"/>
            </w:rPr>
            <w:fldChar w:fldCharType="separate"/>
          </w:r>
          <w:r w:rsidR="00DF47DA" w:rsidRPr="00DF47DA">
            <w:rPr>
              <w:rFonts w:eastAsia="Arial"/>
              <w:noProof/>
              <w:szCs w:val="24"/>
              <w:lang w:val="en-US"/>
            </w:rPr>
            <w:t>[16]</w:t>
          </w:r>
          <w:r w:rsidR="00F45FBF" w:rsidRPr="00DD1B58">
            <w:rPr>
              <w:rFonts w:eastAsia="Arial"/>
              <w:noProof/>
              <w:szCs w:val="24"/>
              <w:lang w:val="en-US"/>
            </w:rPr>
            <w:fldChar w:fldCharType="end"/>
          </w:r>
        </w:sdtContent>
      </w:sdt>
      <w:r w:rsidR="000E73EC" w:rsidRPr="00DD1B58">
        <w:rPr>
          <w:rFonts w:eastAsia="Arial"/>
          <w:noProof/>
          <w:szCs w:val="24"/>
          <w:lang w:val="en-US"/>
        </w:rPr>
        <w:t xml:space="preserve">, </w:t>
      </w:r>
      <w:r w:rsidRPr="00DD1B58">
        <w:rPr>
          <w:rFonts w:eastAsia="Arial"/>
          <w:noProof/>
          <w:szCs w:val="24"/>
          <w:lang w:val="en-US"/>
        </w:rPr>
        <w:t xml:space="preserve">which </w:t>
      </w:r>
      <w:r w:rsidR="000E73EC" w:rsidRPr="00DD1B58">
        <w:rPr>
          <w:rFonts w:eastAsia="Arial"/>
          <w:noProof/>
          <w:szCs w:val="24"/>
          <w:lang w:val="en-US"/>
        </w:rPr>
        <w:t xml:space="preserve">expects </w:t>
      </w:r>
      <w:r w:rsidRPr="00DD1B58">
        <w:rPr>
          <w:rFonts w:eastAsia="Arial"/>
          <w:noProof/>
          <w:szCs w:val="24"/>
          <w:lang w:val="en-US"/>
        </w:rPr>
        <w:t xml:space="preserve">the safety case to </w:t>
      </w:r>
      <w:r w:rsidR="000E73EC" w:rsidRPr="00DD1B58">
        <w:rPr>
          <w:rFonts w:eastAsia="Arial"/>
          <w:noProof/>
          <w:szCs w:val="24"/>
          <w:lang w:val="en-US"/>
        </w:rPr>
        <w:t>be underpinned by</w:t>
      </w:r>
      <w:r w:rsidRPr="00DD1B58">
        <w:rPr>
          <w:rFonts w:eastAsia="Arial"/>
          <w:noProof/>
          <w:szCs w:val="24"/>
          <w:lang w:val="en-US"/>
        </w:rPr>
        <w:t xml:space="preserve"> surveys of combustible substances, which should be systematic and demonstrably complete. This should include consideration of solids, gases, liquids, vapours and transient loads. The licensee has demonstrated a process that is in accordance with the expectations of IAEA </w:t>
      </w:r>
      <w:r w:rsidR="00306543" w:rsidRPr="00DD1B58">
        <w:rPr>
          <w:rFonts w:eastAsia="Arial"/>
          <w:noProof/>
          <w:szCs w:val="24"/>
          <w:lang w:val="en-US"/>
        </w:rPr>
        <w:t>SSG-</w:t>
      </w:r>
      <w:r w:rsidR="0008127C" w:rsidRPr="00DD1B58">
        <w:rPr>
          <w:rFonts w:eastAsia="Arial"/>
          <w:noProof/>
          <w:szCs w:val="24"/>
          <w:lang w:val="en-US"/>
        </w:rPr>
        <w:t>77</w:t>
      </w:r>
      <w:r w:rsidRPr="00DD1B58">
        <w:rPr>
          <w:rFonts w:eastAsia="Arial"/>
          <w:noProof/>
          <w:szCs w:val="24"/>
          <w:lang w:val="en-US"/>
        </w:rPr>
        <w:t xml:space="preserve"> </w:t>
      </w:r>
      <w:sdt>
        <w:sdtPr>
          <w:rPr>
            <w:rFonts w:eastAsia="Arial"/>
            <w:noProof/>
            <w:szCs w:val="24"/>
            <w:lang w:val="en-US"/>
          </w:rPr>
          <w:id w:val="1191651957"/>
          <w:citation/>
        </w:sdtPr>
        <w:sdtContent>
          <w:r w:rsidR="00EA7D25" w:rsidRPr="00DD1B58">
            <w:rPr>
              <w:rFonts w:eastAsia="Arial"/>
              <w:noProof/>
              <w:szCs w:val="24"/>
              <w:lang w:val="en-US"/>
            </w:rPr>
            <w:fldChar w:fldCharType="begin"/>
          </w:r>
          <w:r w:rsidR="00EA7D25" w:rsidRPr="00DD1B58">
            <w:rPr>
              <w:rFonts w:eastAsia="Arial"/>
              <w:noProof/>
              <w:szCs w:val="24"/>
              <w:lang w:val="en-US"/>
            </w:rPr>
            <w:instrText xml:space="preserve"> CITATION Int22 \l 2057 </w:instrText>
          </w:r>
          <w:r w:rsidR="00EA7D25" w:rsidRPr="00DD1B58">
            <w:rPr>
              <w:rFonts w:eastAsia="Arial"/>
              <w:noProof/>
              <w:szCs w:val="24"/>
              <w:lang w:val="en-US"/>
            </w:rPr>
            <w:fldChar w:fldCharType="separate"/>
          </w:r>
          <w:r w:rsidR="00DF47DA" w:rsidRPr="00DF47DA">
            <w:rPr>
              <w:rFonts w:eastAsia="Arial"/>
              <w:noProof/>
              <w:szCs w:val="24"/>
              <w:lang w:val="en-US"/>
            </w:rPr>
            <w:t>[18]</w:t>
          </w:r>
          <w:r w:rsidR="00EA7D25" w:rsidRPr="00DD1B58">
            <w:rPr>
              <w:rFonts w:eastAsia="Arial"/>
              <w:noProof/>
              <w:szCs w:val="24"/>
              <w:lang w:val="en-US"/>
            </w:rPr>
            <w:fldChar w:fldCharType="end"/>
          </w:r>
        </w:sdtContent>
      </w:sdt>
      <w:r w:rsidR="00491DF1" w:rsidRPr="00DD1B58">
        <w:rPr>
          <w:rFonts w:eastAsia="Arial"/>
          <w:noProof/>
          <w:szCs w:val="24"/>
          <w:lang w:val="en-US"/>
        </w:rPr>
        <w:t xml:space="preserve"> </w:t>
      </w:r>
      <w:r w:rsidRPr="00DD1B58">
        <w:rPr>
          <w:rFonts w:eastAsia="Arial"/>
          <w:noProof/>
          <w:szCs w:val="24"/>
          <w:lang w:val="en-US"/>
        </w:rPr>
        <w:t>that procedures should be established for the purpose of ensuring that amounts of combustible materials (the fire load) and the numbers of ignition sources be minimised. EDF NGL has described a process for management of hot work that meets this expectation.</w:t>
      </w:r>
    </w:p>
    <w:p w14:paraId="0EECCC4C" w14:textId="77777777" w:rsidR="00810C92" w:rsidRPr="00DD1B58" w:rsidRDefault="00810C92"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2D662812" w14:textId="44F06ACF" w:rsidR="00AA09D5" w:rsidRPr="00DD1B58" w:rsidRDefault="40B19218" w:rsidP="00AA09D5">
      <w:pPr>
        <w:rPr>
          <w:lang w:val="en-US"/>
        </w:rPr>
      </w:pPr>
      <w:r w:rsidRPr="00DD1B58">
        <w:rPr>
          <w:rFonts w:eastAsia="Arial"/>
          <w:noProof/>
          <w:szCs w:val="24"/>
          <w:lang w:val="en-US"/>
        </w:rPr>
        <w:t xml:space="preserve">ONR undertakes regulatory </w:t>
      </w:r>
      <w:r w:rsidR="0011145F" w:rsidRPr="00DD1B58">
        <w:rPr>
          <w:rFonts w:eastAsia="Arial"/>
          <w:noProof/>
          <w:szCs w:val="24"/>
          <w:lang w:val="en-US"/>
        </w:rPr>
        <w:t xml:space="preserve">interventions across EDF NGL sites including </w:t>
      </w:r>
      <w:r w:rsidRPr="00DD1B58">
        <w:rPr>
          <w:rFonts w:eastAsia="Arial"/>
          <w:noProof/>
          <w:szCs w:val="24"/>
          <w:lang w:val="en-US"/>
        </w:rPr>
        <w:t>inspection</w:t>
      </w:r>
      <w:r w:rsidR="0011145F" w:rsidRPr="00DD1B58">
        <w:rPr>
          <w:rFonts w:eastAsia="Arial"/>
          <w:noProof/>
          <w:szCs w:val="24"/>
          <w:lang w:val="en-US"/>
        </w:rPr>
        <w:t>s</w:t>
      </w:r>
      <w:r w:rsidRPr="00DD1B58">
        <w:rPr>
          <w:rFonts w:eastAsia="Arial"/>
          <w:noProof/>
          <w:szCs w:val="24"/>
          <w:lang w:val="en-US"/>
        </w:rPr>
        <w:t xml:space="preserve"> </w:t>
      </w:r>
      <w:r w:rsidR="0011145F" w:rsidRPr="00DD1B58">
        <w:rPr>
          <w:rFonts w:eastAsia="Arial"/>
          <w:noProof/>
          <w:szCs w:val="24"/>
          <w:lang w:val="en-US"/>
        </w:rPr>
        <w:t>coverin</w:t>
      </w:r>
      <w:r w:rsidR="00E27161" w:rsidRPr="00DD1B58">
        <w:rPr>
          <w:rFonts w:eastAsia="Arial"/>
          <w:noProof/>
          <w:szCs w:val="24"/>
          <w:lang w:val="en-US"/>
        </w:rPr>
        <w:t>g</w:t>
      </w:r>
      <w:r w:rsidR="0011145F" w:rsidRPr="00DD1B58">
        <w:rPr>
          <w:rFonts w:eastAsia="Arial"/>
          <w:noProof/>
          <w:szCs w:val="24"/>
          <w:lang w:val="en-US"/>
        </w:rPr>
        <w:t xml:space="preserve"> fire prevention matters </w:t>
      </w:r>
      <w:r w:rsidR="003E695C" w:rsidRPr="00DD1B58">
        <w:rPr>
          <w:rFonts w:eastAsia="Arial"/>
          <w:noProof/>
          <w:szCs w:val="24"/>
          <w:lang w:val="en-US"/>
        </w:rPr>
        <w:t xml:space="preserve">from </w:t>
      </w:r>
      <w:r w:rsidRPr="00DD1B58">
        <w:rPr>
          <w:rFonts w:eastAsia="Arial"/>
          <w:noProof/>
          <w:szCs w:val="24"/>
          <w:lang w:val="en-US"/>
        </w:rPr>
        <w:t xml:space="preserve">both </w:t>
      </w:r>
      <w:r w:rsidR="0011145F" w:rsidRPr="00DD1B58">
        <w:rPr>
          <w:rFonts w:eastAsia="Arial"/>
          <w:noProof/>
          <w:szCs w:val="24"/>
          <w:lang w:val="en-US"/>
        </w:rPr>
        <w:t xml:space="preserve">a </w:t>
      </w:r>
      <w:r w:rsidRPr="00DD1B58">
        <w:rPr>
          <w:rFonts w:eastAsia="Arial"/>
          <w:noProof/>
          <w:szCs w:val="24"/>
          <w:lang w:val="en-US"/>
        </w:rPr>
        <w:t>nuclear fire safety and life fire safety</w:t>
      </w:r>
      <w:r w:rsidR="0011145F" w:rsidRPr="00DD1B58">
        <w:rPr>
          <w:rFonts w:eastAsia="Arial"/>
          <w:noProof/>
          <w:szCs w:val="24"/>
          <w:lang w:val="en-US"/>
        </w:rPr>
        <w:t xml:space="preserve"> perspectives</w:t>
      </w:r>
      <w:r w:rsidRPr="00DD1B58">
        <w:rPr>
          <w:rFonts w:eastAsia="Arial"/>
          <w:noProof/>
          <w:szCs w:val="24"/>
          <w:lang w:val="en-US"/>
        </w:rPr>
        <w:t xml:space="preserve">. </w:t>
      </w:r>
      <w:r w:rsidR="0011145F" w:rsidRPr="00DD1B58">
        <w:rPr>
          <w:rFonts w:eastAsia="Arial"/>
          <w:noProof/>
          <w:szCs w:val="24"/>
          <w:lang w:val="en-US"/>
        </w:rPr>
        <w:t xml:space="preserve">There have been no </w:t>
      </w:r>
      <w:r w:rsidRPr="00DD1B58">
        <w:rPr>
          <w:rFonts w:eastAsia="Arial"/>
          <w:noProof/>
          <w:szCs w:val="24"/>
          <w:lang w:val="en-US"/>
        </w:rPr>
        <w:t xml:space="preserve">issues </w:t>
      </w:r>
      <w:r w:rsidR="001A6423" w:rsidRPr="00DD1B58">
        <w:rPr>
          <w:rFonts w:eastAsia="Arial"/>
          <w:noProof/>
          <w:szCs w:val="24"/>
          <w:lang w:val="en-US"/>
        </w:rPr>
        <w:t xml:space="preserve">of </w:t>
      </w:r>
      <w:r w:rsidR="0011145F" w:rsidRPr="00DD1B58">
        <w:rPr>
          <w:rFonts w:eastAsia="Arial"/>
          <w:noProof/>
          <w:szCs w:val="24"/>
          <w:lang w:val="en-US"/>
        </w:rPr>
        <w:t>note</w:t>
      </w:r>
      <w:r w:rsidR="001A6423" w:rsidRPr="00DD1B58">
        <w:rPr>
          <w:rFonts w:eastAsia="Arial"/>
          <w:noProof/>
          <w:szCs w:val="24"/>
          <w:lang w:val="en-US"/>
        </w:rPr>
        <w:t xml:space="preserve"> </w:t>
      </w:r>
      <w:r w:rsidR="0011145F" w:rsidRPr="00DD1B58">
        <w:rPr>
          <w:rFonts w:eastAsia="Arial"/>
          <w:noProof/>
          <w:szCs w:val="24"/>
          <w:lang w:val="en-US"/>
        </w:rPr>
        <w:t>in relation</w:t>
      </w:r>
      <w:r w:rsidR="001A6423" w:rsidRPr="00DD1B58">
        <w:rPr>
          <w:rFonts w:eastAsia="Arial"/>
          <w:noProof/>
          <w:szCs w:val="24"/>
          <w:lang w:val="en-US"/>
        </w:rPr>
        <w:t xml:space="preserve"> </w:t>
      </w:r>
      <w:r w:rsidR="0011145F" w:rsidRPr="00DD1B58">
        <w:rPr>
          <w:rFonts w:eastAsia="Arial"/>
          <w:noProof/>
          <w:szCs w:val="24"/>
          <w:lang w:val="en-US"/>
        </w:rPr>
        <w:t xml:space="preserve">to fire prevention at </w:t>
      </w:r>
      <w:r w:rsidRPr="00DD1B58">
        <w:rPr>
          <w:rFonts w:eastAsia="Arial"/>
          <w:noProof/>
          <w:szCs w:val="24"/>
          <w:lang w:val="en-US"/>
        </w:rPr>
        <w:t>EDF NGL sites.</w:t>
      </w:r>
    </w:p>
    <w:p w14:paraId="431C17AD" w14:textId="77777777" w:rsidR="00D36AB8" w:rsidRPr="00DD1B58" w:rsidRDefault="00D36AB8" w:rsidP="00177432">
      <w:pPr>
        <w:pStyle w:val="Heading4A"/>
        <w:rPr>
          <w:lang w:val="en-US"/>
        </w:rPr>
      </w:pPr>
      <w:r w:rsidRPr="00DD1B58">
        <w:rPr>
          <w:lang w:val="en-US"/>
        </w:rPr>
        <w:t>New Build Facilities</w:t>
      </w:r>
      <w:r w:rsidR="00C90E0B" w:rsidRPr="00DD1B58">
        <w:rPr>
          <w:lang w:val="en-US"/>
        </w:rPr>
        <w:t xml:space="preserve"> – NNB GenCo</w:t>
      </w:r>
    </w:p>
    <w:p w14:paraId="27C51939" w14:textId="77777777" w:rsidR="00D3121A" w:rsidRPr="00DD1B58" w:rsidRDefault="00D3121A" w:rsidP="00177432">
      <w:pPr>
        <w:pStyle w:val="Heading5A"/>
        <w:rPr>
          <w:lang w:val="en-US"/>
        </w:rPr>
      </w:pPr>
      <w:r w:rsidRPr="00DD1B58">
        <w:rPr>
          <w:lang w:val="en-US"/>
        </w:rPr>
        <w:t xml:space="preserve">Design considerations and prevention means </w:t>
      </w:r>
    </w:p>
    <w:p w14:paraId="4F655D39" w14:textId="24B486FF" w:rsidR="00D3121A" w:rsidRPr="00DD1B58" w:rsidRDefault="7EEF0BB3" w:rsidP="00712FEF">
      <w:pPr>
        <w:rPr>
          <w:lang w:val="en-US"/>
        </w:rPr>
      </w:pPr>
      <w:r w:rsidRPr="00DD1B58">
        <w:rPr>
          <w:lang w:val="en-US"/>
        </w:rPr>
        <w:t xml:space="preserve">The general principles for preventing a fire from starting or reducing the likelihood of a fire are outlined in PCSR3 Section 13.2 </w:t>
      </w:r>
      <w:sdt>
        <w:sdtPr>
          <w:rPr>
            <w:lang w:val="en-US"/>
          </w:rPr>
          <w:id w:val="2065598801"/>
          <w:citation/>
        </w:sdtPr>
        <w:sdtContent>
          <w:r w:rsidR="00701539" w:rsidRPr="00DD1B58">
            <w:rPr>
              <w:lang w:val="en-US"/>
            </w:rPr>
            <w:fldChar w:fldCharType="begin"/>
          </w:r>
          <w:r w:rsidR="00701539" w:rsidRPr="00DD1B58">
            <w:rPr>
              <w:lang w:val="en-US"/>
            </w:rPr>
            <w:instrText xml:space="preserve"> CITATION NNB174 \l 2057 </w:instrText>
          </w:r>
          <w:r w:rsidR="00701539" w:rsidRPr="00DD1B58">
            <w:rPr>
              <w:lang w:val="en-US"/>
            </w:rPr>
            <w:fldChar w:fldCharType="separate"/>
          </w:r>
          <w:r w:rsidR="00DF47DA" w:rsidRPr="00DF47DA">
            <w:rPr>
              <w:noProof/>
              <w:lang w:val="en-US"/>
            </w:rPr>
            <w:t>[129]</w:t>
          </w:r>
          <w:r w:rsidR="00701539" w:rsidRPr="00DD1B58">
            <w:rPr>
              <w:lang w:val="en-US"/>
            </w:rPr>
            <w:fldChar w:fldCharType="end"/>
          </w:r>
        </w:sdtContent>
      </w:sdt>
      <w:r w:rsidRPr="00DD1B58">
        <w:rPr>
          <w:lang w:val="en-US"/>
        </w:rPr>
        <w:t xml:space="preserve">, the FAD </w:t>
      </w:r>
      <w:sdt>
        <w:sdtPr>
          <w:rPr>
            <w:lang w:val="en-US"/>
          </w:rPr>
          <w:id w:val="589200935"/>
          <w:citation/>
        </w:sdtPr>
        <w:sdtContent>
          <w:r w:rsidR="00BA493C" w:rsidRPr="00DD1B58">
            <w:rPr>
              <w:lang w:val="en-US"/>
            </w:rPr>
            <w:fldChar w:fldCharType="begin"/>
          </w:r>
          <w:r w:rsidR="00BA493C" w:rsidRPr="00DD1B58">
            <w:rPr>
              <w:lang w:val="en-US"/>
            </w:rPr>
            <w:instrText xml:space="preserve"> CITATION NNB19 \l 2057 </w:instrText>
          </w:r>
          <w:r w:rsidR="00BA493C" w:rsidRPr="00DD1B58">
            <w:rPr>
              <w:lang w:val="en-US"/>
            </w:rPr>
            <w:fldChar w:fldCharType="separate"/>
          </w:r>
          <w:r w:rsidR="00DF47DA" w:rsidRPr="00DF47DA">
            <w:rPr>
              <w:noProof/>
              <w:lang w:val="en-US"/>
            </w:rPr>
            <w:t>[48]</w:t>
          </w:r>
          <w:r w:rsidR="00BA493C" w:rsidRPr="00DD1B58">
            <w:rPr>
              <w:lang w:val="en-US"/>
            </w:rPr>
            <w:fldChar w:fldCharType="end"/>
          </w:r>
        </w:sdtContent>
      </w:sdt>
      <w:r w:rsidRPr="00DD1B58">
        <w:rPr>
          <w:lang w:val="en-US"/>
        </w:rPr>
        <w:t xml:space="preserve"> Section 4.2 and HPC fire strategy document </w:t>
      </w:r>
      <w:sdt>
        <w:sdtPr>
          <w:rPr>
            <w:lang w:val="en-US"/>
          </w:rPr>
          <w:id w:val="571001846"/>
          <w:citation/>
        </w:sdtPr>
        <w:sdtContent>
          <w:r w:rsidR="007057BD" w:rsidRPr="00DD1B58">
            <w:rPr>
              <w:lang w:val="en-US"/>
            </w:rPr>
            <w:fldChar w:fldCharType="begin"/>
          </w:r>
          <w:r w:rsidR="007057BD" w:rsidRPr="00DD1B58">
            <w:rPr>
              <w:lang w:val="en-US"/>
            </w:rPr>
            <w:instrText xml:space="preserve"> CITATION NNB21 \l 2057 </w:instrText>
          </w:r>
          <w:r w:rsidR="007057BD" w:rsidRPr="00DD1B58">
            <w:rPr>
              <w:lang w:val="en-US"/>
            </w:rPr>
            <w:fldChar w:fldCharType="separate"/>
          </w:r>
          <w:r w:rsidR="00DF47DA" w:rsidRPr="00DF47DA">
            <w:rPr>
              <w:noProof/>
              <w:lang w:val="en-US"/>
            </w:rPr>
            <w:t>[130]</w:t>
          </w:r>
          <w:r w:rsidR="007057BD" w:rsidRPr="00DD1B58">
            <w:rPr>
              <w:lang w:val="en-US"/>
            </w:rPr>
            <w:fldChar w:fldCharType="end"/>
          </w:r>
        </w:sdtContent>
      </w:sdt>
      <w:r w:rsidRPr="00DD1B58">
        <w:rPr>
          <w:lang w:val="en-US"/>
        </w:rPr>
        <w:t xml:space="preserve"> are to limit fire loads, to separate them or effectively remove them with passive fire protection (enclosure or encasement), and to minimise potential ignition sources near combustible equipment. </w:t>
      </w:r>
      <w:r w:rsidR="0011145F" w:rsidRPr="00DD1B58">
        <w:rPr>
          <w:lang w:val="en-US"/>
        </w:rPr>
        <w:t>NNB GenC</w:t>
      </w:r>
      <w:r w:rsidR="009D792A" w:rsidRPr="00DD1B58">
        <w:rPr>
          <w:lang w:val="en-US"/>
        </w:rPr>
        <w:t>o</w:t>
      </w:r>
      <w:r w:rsidR="0011145F" w:rsidRPr="00DD1B58">
        <w:rPr>
          <w:lang w:val="en-US"/>
        </w:rPr>
        <w:t xml:space="preserve"> repor</w:t>
      </w:r>
      <w:r w:rsidR="00A259B5" w:rsidRPr="00DD1B58">
        <w:rPr>
          <w:lang w:val="en-US"/>
        </w:rPr>
        <w:t>ts</w:t>
      </w:r>
      <w:r w:rsidR="0011145F" w:rsidRPr="00DD1B58">
        <w:rPr>
          <w:lang w:val="en-US"/>
        </w:rPr>
        <w:t xml:space="preserve"> that p</w:t>
      </w:r>
      <w:r w:rsidRPr="00DD1B58">
        <w:rPr>
          <w:lang w:val="en-US"/>
        </w:rPr>
        <w:t xml:space="preserve">revention is achieved by the following design specifications which </w:t>
      </w:r>
      <w:r w:rsidR="0011145F" w:rsidRPr="00DD1B58">
        <w:rPr>
          <w:lang w:val="en-US"/>
        </w:rPr>
        <w:t xml:space="preserve">it </w:t>
      </w:r>
      <w:r w:rsidRPr="00DD1B58">
        <w:rPr>
          <w:lang w:val="en-US"/>
        </w:rPr>
        <w:t>included in equipment procurement specifications</w:t>
      </w:r>
      <w:r w:rsidR="009D792A" w:rsidRPr="00DD1B58">
        <w:rPr>
          <w:lang w:val="en-US"/>
        </w:rPr>
        <w:t xml:space="preserve"> (reproduced literally from NNB GenC</w:t>
      </w:r>
      <w:r w:rsidR="00EE1EB9" w:rsidRPr="00DD1B58">
        <w:rPr>
          <w:lang w:val="en-US"/>
        </w:rPr>
        <w:t>o</w:t>
      </w:r>
      <w:r w:rsidR="009D792A" w:rsidRPr="00DD1B58">
        <w:rPr>
          <w:lang w:val="en-US"/>
        </w:rPr>
        <w:t>’s self-assessment)</w:t>
      </w:r>
      <w:r w:rsidRPr="00DD1B58">
        <w:rPr>
          <w:lang w:val="en-US"/>
        </w:rPr>
        <w:t>:</w:t>
      </w:r>
      <w:r w:rsidR="73F3F53C" w:rsidRPr="00DD1B58">
        <w:rPr>
          <w:lang w:val="en-US"/>
        </w:rPr>
        <w:t xml:space="preserve"> </w:t>
      </w:r>
    </w:p>
    <w:p w14:paraId="7EB6326A" w14:textId="77777777" w:rsidR="00D3121A" w:rsidRPr="00DD1B58" w:rsidRDefault="34F65B2C" w:rsidP="00712FEF">
      <w:pPr>
        <w:pStyle w:val="Bulletlist1"/>
        <w:rPr>
          <w:i/>
          <w:iCs/>
          <w:lang w:val="en-US"/>
        </w:rPr>
      </w:pPr>
      <w:r w:rsidRPr="00DD1B58">
        <w:rPr>
          <w:b/>
          <w:bCs/>
          <w:i/>
          <w:iCs/>
          <w:lang w:val="en-US"/>
        </w:rPr>
        <w:t>Choice of material:</w:t>
      </w:r>
      <w:r w:rsidRPr="00DD1B58">
        <w:rPr>
          <w:i/>
          <w:iCs/>
          <w:lang w:val="en-US"/>
        </w:rPr>
        <w:t xml:space="preserve"> Materials used shall preferentially be non-combustible (e.g., A1 or A2S1d0 in accordance with EN 13501-1). The use of combustible materials in the fresh nuclear fuel storage room is heavily restricted. Materials which are not Class A1 must be at least type Ba1d0 or Cs1d0, in accordance with EN 13501, and must be chosen to reduce smoke production and toxicit</w:t>
      </w:r>
      <w:r w:rsidR="70609D22" w:rsidRPr="00DD1B58">
        <w:rPr>
          <w:i/>
          <w:iCs/>
          <w:lang w:val="en-US"/>
        </w:rPr>
        <w:t>y.</w:t>
      </w:r>
    </w:p>
    <w:p w14:paraId="09D38EC4" w14:textId="31C88119" w:rsidR="00741B5D" w:rsidRPr="00DD1B58" w:rsidRDefault="7027D15A" w:rsidP="00741B5D">
      <w:pPr>
        <w:pStyle w:val="Bulletlist1"/>
        <w:rPr>
          <w:i/>
          <w:iCs/>
          <w:lang w:val="en-US"/>
        </w:rPr>
      </w:pPr>
      <w:r w:rsidRPr="00DD1B58">
        <w:rPr>
          <w:b/>
          <w:bCs/>
          <w:i/>
          <w:iCs/>
          <w:lang w:val="en-US"/>
        </w:rPr>
        <w:t>Mechanical equipment characteristics:</w:t>
      </w:r>
      <w:r w:rsidR="6445EE5D" w:rsidRPr="00DD1B58">
        <w:rPr>
          <w:b/>
          <w:bCs/>
          <w:i/>
          <w:iCs/>
          <w:lang w:val="en-US"/>
        </w:rPr>
        <w:t xml:space="preserve"> </w:t>
      </w:r>
      <w:r w:rsidR="426E5BE4" w:rsidRPr="00DD1B58">
        <w:rPr>
          <w:i/>
          <w:iCs/>
          <w:lang w:val="en-US"/>
        </w:rPr>
        <w:t>Cooling systems shall only use non-flammable coolants.</w:t>
      </w:r>
      <w:r w:rsidR="4EEE60D0" w:rsidRPr="00DD1B58">
        <w:rPr>
          <w:i/>
          <w:iCs/>
          <w:lang w:val="en-US"/>
        </w:rPr>
        <w:t xml:space="preserve"> </w:t>
      </w:r>
      <w:r w:rsidR="426E5BE4" w:rsidRPr="00DD1B58">
        <w:rPr>
          <w:i/>
          <w:iCs/>
          <w:lang w:val="en-US"/>
        </w:rPr>
        <w:t xml:space="preserve">Reactor coolant </w:t>
      </w:r>
      <w:r w:rsidR="0CCE2673" w:rsidRPr="00DD1B58">
        <w:rPr>
          <w:i/>
          <w:iCs/>
          <w:lang w:val="en-US"/>
        </w:rPr>
        <w:t>pump</w:t>
      </w:r>
      <w:r w:rsidR="3D9CE500" w:rsidRPr="00DD1B58">
        <w:rPr>
          <w:i/>
          <w:iCs/>
          <w:lang w:val="en-US"/>
        </w:rPr>
        <w:t>s</w:t>
      </w:r>
      <w:r w:rsidR="426E5BE4" w:rsidRPr="00DD1B58">
        <w:rPr>
          <w:i/>
          <w:iCs/>
          <w:lang w:val="en-US"/>
        </w:rPr>
        <w:t xml:space="preserve"> shall be provided with level transmitters to monitor oil levels in the tank and equipment.</w:t>
      </w:r>
      <w:r w:rsidR="708EC56F" w:rsidRPr="00DD1B58">
        <w:rPr>
          <w:i/>
          <w:iCs/>
          <w:lang w:val="en-US"/>
        </w:rPr>
        <w:t xml:space="preserve"> </w:t>
      </w:r>
      <w:r w:rsidR="426E5BE4" w:rsidRPr="00DD1B58">
        <w:rPr>
          <w:i/>
          <w:iCs/>
          <w:lang w:val="en-US"/>
        </w:rPr>
        <w:t>Pumps and motors with more than 50 litres of oil shall be fitted with collecting systems and holding pans with sufficient capacity for all the oil that might leak.</w:t>
      </w:r>
      <w:r w:rsidR="5BA62420" w:rsidRPr="00DD1B58">
        <w:rPr>
          <w:i/>
          <w:iCs/>
          <w:lang w:val="en-US"/>
        </w:rPr>
        <w:t xml:space="preserve"> </w:t>
      </w:r>
      <w:r w:rsidR="426E5BE4" w:rsidRPr="00DD1B58">
        <w:rPr>
          <w:i/>
          <w:iCs/>
          <w:lang w:val="en-US"/>
        </w:rPr>
        <w:t>Crane reducers containing combustible fluid should be separated from the control and power cubicles or cabinets by 3 metres or more.</w:t>
      </w:r>
      <w:r w:rsidR="5FBD642C" w:rsidRPr="00DD1B58">
        <w:rPr>
          <w:i/>
          <w:iCs/>
          <w:lang w:val="en-US"/>
        </w:rPr>
        <w:t xml:space="preserve"> </w:t>
      </w:r>
      <w:r w:rsidR="426E5BE4" w:rsidRPr="00DD1B58">
        <w:rPr>
          <w:i/>
          <w:iCs/>
          <w:lang w:val="en-US"/>
        </w:rPr>
        <w:t>Tanks used for storage of toxic, radioactive, flammable, corrosive or explosive liquids shall be leak tight and able to withstand the physical and chemical properties of their contents.</w:t>
      </w:r>
      <w:r w:rsidR="7A893C4C" w:rsidRPr="00DD1B58">
        <w:rPr>
          <w:i/>
          <w:iCs/>
          <w:lang w:val="en-US"/>
        </w:rPr>
        <w:t xml:space="preserve"> </w:t>
      </w:r>
      <w:r w:rsidR="426E5BE4" w:rsidRPr="00DD1B58">
        <w:rPr>
          <w:i/>
          <w:iCs/>
          <w:lang w:val="en-US"/>
        </w:rPr>
        <w:t xml:space="preserve">The risk of fire associated with sumps which may contain combustible liquid should be assessed on a case-by-case basis. </w:t>
      </w:r>
      <w:r w:rsidR="00741B5D" w:rsidRPr="00DD1B58">
        <w:rPr>
          <w:i/>
          <w:iCs/>
          <w:lang w:val="en-US"/>
        </w:rPr>
        <w:t xml:space="preserve"> </w:t>
      </w:r>
    </w:p>
    <w:p w14:paraId="1418BC63" w14:textId="77777777" w:rsidR="00D3121A" w:rsidRPr="00DD1B58" w:rsidRDefault="307AC098" w:rsidP="00973FF4">
      <w:pPr>
        <w:pStyle w:val="Bulletlist1"/>
        <w:numPr>
          <w:ilvl w:val="0"/>
          <w:numId w:val="0"/>
        </w:numPr>
        <w:ind w:left="360"/>
        <w:rPr>
          <w:i/>
          <w:iCs/>
          <w:lang w:val="en-US"/>
        </w:rPr>
      </w:pPr>
      <w:r w:rsidRPr="00DD1B58">
        <w:rPr>
          <w:i/>
          <w:iCs/>
          <w:lang w:val="en-US"/>
        </w:rPr>
        <w:t xml:space="preserve">In addition, </w:t>
      </w:r>
      <w:r w:rsidR="00741B5D" w:rsidRPr="00DD1B58">
        <w:rPr>
          <w:i/>
          <w:iCs/>
          <w:lang w:val="en-US"/>
        </w:rPr>
        <w:t>t</w:t>
      </w:r>
      <w:r w:rsidR="0CCE2673" w:rsidRPr="00DD1B58">
        <w:rPr>
          <w:i/>
          <w:iCs/>
          <w:lang w:val="en-US"/>
        </w:rPr>
        <w:t>he</w:t>
      </w:r>
      <w:r w:rsidR="426E5BE4" w:rsidRPr="00DD1B58">
        <w:rPr>
          <w:i/>
          <w:iCs/>
          <w:lang w:val="en-US"/>
        </w:rPr>
        <w:t xml:space="preserve"> use of oil filled transformers or switchgear equipment should be avoided as far as possible. All oil filled transformers and switchgear should be provided with fixed firefighting systems. Oil filled transformers should be separated from each other and from nearby buildings by fire and blast walls with at least 2 hours fire rating. The use of combustible materials in dry nuclear fuel storage rooms is strictly forbidden.</w:t>
      </w:r>
    </w:p>
    <w:p w14:paraId="13FFEAE0" w14:textId="01394D46" w:rsidR="00D3121A" w:rsidRPr="00DD1B58" w:rsidRDefault="7027D15A" w:rsidP="008E2408">
      <w:pPr>
        <w:pStyle w:val="Bulletlist1"/>
        <w:rPr>
          <w:i/>
          <w:iCs/>
          <w:lang w:val="en-US"/>
        </w:rPr>
      </w:pPr>
      <w:r w:rsidRPr="00DD1B58">
        <w:rPr>
          <w:b/>
          <w:bCs/>
          <w:i/>
          <w:iCs/>
          <w:lang w:val="en-US"/>
        </w:rPr>
        <w:t>Electrical equipment and cabling:</w:t>
      </w:r>
      <w:r w:rsidRPr="00DD1B58">
        <w:rPr>
          <w:i/>
          <w:iCs/>
          <w:lang w:val="en-US"/>
        </w:rPr>
        <w:t xml:space="preserve"> The fire resistance standards of cabling and wiring depend on the type of cabling or wiring but include the modern standards NF</w:t>
      </w:r>
      <w:r w:rsidR="008A5ACC" w:rsidRPr="00DD1B58">
        <w:rPr>
          <w:i/>
          <w:iCs/>
          <w:lang w:val="en-US"/>
        </w:rPr>
        <w:t xml:space="preserve"> </w:t>
      </w:r>
      <w:r w:rsidRPr="00DD1B58">
        <w:rPr>
          <w:i/>
          <w:iCs/>
          <w:lang w:val="en-US"/>
        </w:rPr>
        <w:t>C32</w:t>
      </w:r>
      <w:r w:rsidR="008A5ACC" w:rsidRPr="00DD1B58">
        <w:rPr>
          <w:i/>
          <w:iCs/>
          <w:lang w:val="en-US"/>
        </w:rPr>
        <w:t>-</w:t>
      </w:r>
      <w:r w:rsidRPr="00DD1B58">
        <w:rPr>
          <w:i/>
          <w:iCs/>
          <w:lang w:val="en-US"/>
        </w:rPr>
        <w:t>070, BS EN IEC 60332-3-23, BS EN IEC 60332-3-24. Limits are imposed on the mass of cable per metre. Specific provisions are required for transformers containing flammable dielectric materials. Cabinets shall be metal construction. Connections shall be as short as possible and enter the cabinet from the underside through the floor. Arcing shall be considered in the arrangement of electrical equipment. Junction boxes should be metallic and rated to IP55 according to IEC 60529.</w:t>
      </w:r>
    </w:p>
    <w:p w14:paraId="5BE23CBC" w14:textId="77777777" w:rsidR="00D3121A" w:rsidRPr="00DD1B58" w:rsidRDefault="7027D15A" w:rsidP="008E2408">
      <w:pPr>
        <w:pStyle w:val="Bulletlist1"/>
        <w:rPr>
          <w:b/>
          <w:bCs/>
          <w:i/>
          <w:iCs/>
          <w:lang w:val="en-US"/>
        </w:rPr>
      </w:pPr>
      <w:r w:rsidRPr="00DD1B58">
        <w:rPr>
          <w:b/>
          <w:bCs/>
          <w:i/>
          <w:iCs/>
          <w:lang w:val="en-US"/>
        </w:rPr>
        <w:t>Layout rules:</w:t>
      </w:r>
    </w:p>
    <w:p w14:paraId="1140DC54" w14:textId="77777777" w:rsidR="00D3121A" w:rsidRPr="00DD1B58" w:rsidRDefault="426E5BE4" w:rsidP="00973FF4">
      <w:pPr>
        <w:pStyle w:val="Bulletlist2"/>
        <w:rPr>
          <w:i/>
          <w:iCs/>
          <w:lang w:val="en-US"/>
        </w:rPr>
      </w:pPr>
      <w:r w:rsidRPr="00DD1B58">
        <w:rPr>
          <w:b/>
          <w:i/>
          <w:iCs/>
          <w:lang w:val="en-US"/>
        </w:rPr>
        <w:t>Staircases and corridors</w:t>
      </w:r>
      <w:r w:rsidRPr="00DD1B58">
        <w:rPr>
          <w:i/>
          <w:iCs/>
          <w:lang w:val="en-US"/>
        </w:rPr>
        <w:t>: Fire loads and fire risks shall be minimised in main staircases and corridors.</w:t>
      </w:r>
    </w:p>
    <w:p w14:paraId="005148CD" w14:textId="77777777" w:rsidR="00D3121A" w:rsidRPr="00DD1B58" w:rsidRDefault="426E5BE4" w:rsidP="00973FF4">
      <w:pPr>
        <w:pStyle w:val="Bulletlist2"/>
        <w:rPr>
          <w:i/>
          <w:iCs/>
          <w:lang w:val="en-US"/>
        </w:rPr>
      </w:pPr>
      <w:r w:rsidRPr="00DD1B58">
        <w:rPr>
          <w:b/>
          <w:i/>
          <w:iCs/>
          <w:lang w:val="en-US"/>
        </w:rPr>
        <w:t>Piping:</w:t>
      </w:r>
      <w:r w:rsidRPr="00DD1B58">
        <w:rPr>
          <w:i/>
          <w:iCs/>
          <w:lang w:val="en-US"/>
        </w:rPr>
        <w:t xml:space="preserve"> Hot spots which could ignite sprayed fuel fluid leaks shall be provided with heat insulation with a leak tight lining. Pipe connections shall be welded to limit the risk of leakage from flammable fluid lines, and where flanged joints cannot be avoided, they shall be socket weld type and all nuts shall be locked. The number of fittings and hoses shall be minimised, and any hoses that cannot be designed out shall be chosen from those which have the best fire performance. Pipes containing</w:t>
      </w:r>
      <w:r w:rsidR="3C6101FD" w:rsidRPr="00DD1B58">
        <w:rPr>
          <w:i/>
          <w:iCs/>
          <w:lang w:val="en-US"/>
        </w:rPr>
        <w:t xml:space="preserve"> hydrogen should be routed through areas or rooms with limited fire risk, and kept away from high voltage equipment, electrical cabinets or pumps containing oil.</w:t>
      </w:r>
    </w:p>
    <w:p w14:paraId="4962A27C" w14:textId="77777777" w:rsidR="00D3121A" w:rsidRPr="00DD1B58" w:rsidRDefault="3C6101FD" w:rsidP="00973FF4">
      <w:pPr>
        <w:pStyle w:val="Bulletlist2"/>
        <w:rPr>
          <w:i/>
          <w:iCs/>
          <w:lang w:val="en-US"/>
        </w:rPr>
      </w:pPr>
      <w:r w:rsidRPr="00DD1B58">
        <w:rPr>
          <w:b/>
          <w:i/>
          <w:iCs/>
          <w:lang w:val="en-US"/>
        </w:rPr>
        <w:t>Tanks and storage areas:</w:t>
      </w:r>
      <w:r w:rsidRPr="00DD1B58">
        <w:rPr>
          <w:i/>
          <w:iCs/>
          <w:lang w:val="en-US"/>
        </w:rPr>
        <w:t xml:space="preserve"> The layout rules for flammable liquids include requirements for fire resistance of floor areas and requirements for spill collection and holding tanks or bunds with sufficient capacity for the tank contents and firewater runoff. Areas for handling liquid or liquefied flammable or explosive products must be leak tight and have provision for leak recovery. Explosive or oxidising gases must not be stored in rooms containing safety related systems. Storage of flammable liquids and gas lines in SFA or SFP should be avoided.</w:t>
      </w:r>
    </w:p>
    <w:p w14:paraId="680049DC" w14:textId="77777777" w:rsidR="00D3121A" w:rsidRPr="00DD1B58" w:rsidRDefault="3C6101FD" w:rsidP="00973FF4">
      <w:pPr>
        <w:pStyle w:val="Bulletlist2"/>
        <w:rPr>
          <w:i/>
          <w:iCs/>
          <w:lang w:val="en-US"/>
        </w:rPr>
      </w:pPr>
      <w:r w:rsidRPr="00DD1B58">
        <w:rPr>
          <w:b/>
          <w:i/>
          <w:iCs/>
          <w:lang w:val="en-US"/>
        </w:rPr>
        <w:t>Electrical:</w:t>
      </w:r>
      <w:r w:rsidRPr="00DD1B58">
        <w:rPr>
          <w:i/>
          <w:iCs/>
          <w:lang w:val="en-US"/>
        </w:rPr>
        <w:t xml:space="preserve"> Cable raceways shall be at least 1m away from ducts or equipment containing hot or flammable fluids, except for connection of equipment installed on such ducts.</w:t>
      </w:r>
    </w:p>
    <w:p w14:paraId="6E1E6AD7" w14:textId="150C401D" w:rsidR="00D3121A" w:rsidRPr="00DD1B58" w:rsidRDefault="3C6101FD" w:rsidP="00973FF4">
      <w:pPr>
        <w:pStyle w:val="Bulletlist2"/>
        <w:rPr>
          <w:i/>
          <w:iCs/>
          <w:lang w:val="en-US"/>
        </w:rPr>
      </w:pPr>
      <w:r w:rsidRPr="00DD1B58">
        <w:rPr>
          <w:b/>
          <w:i/>
          <w:iCs/>
          <w:lang w:val="en-US"/>
        </w:rPr>
        <w:t>Hot works and transient ignition sources:</w:t>
      </w:r>
      <w:r w:rsidRPr="00DD1B58">
        <w:rPr>
          <w:i/>
          <w:iCs/>
          <w:lang w:val="en-US"/>
        </w:rPr>
        <w:t xml:space="preserve"> HPC is not yet operational so a full set of procedures is not in place, but it is intended to implement a permit to work system for all hot works outside areas such as maintenance workshops that are designated for such works, in accordance with European Mutual Associated for Nuclear Loss Control Standards (EMANI) </w:t>
      </w:r>
      <w:sdt>
        <w:sdtPr>
          <w:rPr>
            <w:i/>
            <w:iCs/>
            <w:lang w:val="en-US"/>
          </w:rPr>
          <w:id w:val="1731274453"/>
          <w:citation/>
        </w:sdtPr>
        <w:sdtContent>
          <w:r w:rsidR="007A60A8" w:rsidRPr="00DD1B58">
            <w:rPr>
              <w:i/>
              <w:iCs/>
              <w:lang w:val="en-US"/>
            </w:rPr>
            <w:fldChar w:fldCharType="begin"/>
          </w:r>
          <w:r w:rsidR="007A60A8" w:rsidRPr="00DD1B58">
            <w:rPr>
              <w:lang w:val="en-US"/>
            </w:rPr>
            <w:instrText xml:space="preserve"> CITATION EMA09 \l 2057 </w:instrText>
          </w:r>
          <w:r w:rsidR="007A60A8" w:rsidRPr="00DD1B58">
            <w:rPr>
              <w:i/>
              <w:iCs/>
              <w:lang w:val="en-US"/>
            </w:rPr>
            <w:fldChar w:fldCharType="separate"/>
          </w:r>
          <w:r w:rsidR="00DF47DA" w:rsidRPr="00DF47DA">
            <w:rPr>
              <w:lang w:val="en-US"/>
            </w:rPr>
            <w:t>[131]</w:t>
          </w:r>
          <w:r w:rsidR="007A60A8" w:rsidRPr="00DD1B58">
            <w:rPr>
              <w:i/>
              <w:iCs/>
              <w:lang w:val="en-US"/>
            </w:rPr>
            <w:fldChar w:fldCharType="end"/>
          </w:r>
        </w:sdtContent>
      </w:sdt>
      <w:r w:rsidR="2E329048" w:rsidRPr="00DD1B58">
        <w:rPr>
          <w:i/>
          <w:iCs/>
          <w:lang w:val="en-US"/>
        </w:rPr>
        <w:t xml:space="preserve">, </w:t>
      </w:r>
      <w:sdt>
        <w:sdtPr>
          <w:rPr>
            <w:i/>
            <w:iCs/>
            <w:lang w:val="en-US"/>
          </w:rPr>
          <w:id w:val="2007544571"/>
          <w:citation/>
        </w:sdtPr>
        <w:sdtContent>
          <w:r w:rsidR="007057BD" w:rsidRPr="00DD1B58">
            <w:rPr>
              <w:i/>
              <w:iCs/>
              <w:lang w:val="en-US"/>
            </w:rPr>
            <w:fldChar w:fldCharType="begin"/>
          </w:r>
          <w:r w:rsidR="007057BD" w:rsidRPr="00DD1B58">
            <w:rPr>
              <w:lang w:val="en-US"/>
            </w:rPr>
            <w:instrText xml:space="preserve"> CITATION NNB21 \l 2057 </w:instrText>
          </w:r>
          <w:r w:rsidR="007057BD" w:rsidRPr="00DD1B58">
            <w:rPr>
              <w:i/>
              <w:iCs/>
              <w:lang w:val="en-US"/>
            </w:rPr>
            <w:fldChar w:fldCharType="separate"/>
          </w:r>
          <w:r w:rsidR="00DF47DA" w:rsidRPr="00DF47DA">
            <w:rPr>
              <w:lang w:val="en-US"/>
            </w:rPr>
            <w:t>[130]</w:t>
          </w:r>
          <w:r w:rsidR="007057BD" w:rsidRPr="00DD1B58">
            <w:rPr>
              <w:i/>
              <w:iCs/>
              <w:lang w:val="en-US"/>
            </w:rPr>
            <w:fldChar w:fldCharType="end"/>
          </w:r>
        </w:sdtContent>
      </w:sdt>
      <w:r w:rsidR="007A60A8" w:rsidRPr="00DD1B58">
        <w:rPr>
          <w:i/>
          <w:iCs/>
          <w:lang w:val="en-US"/>
        </w:rPr>
        <w:t>.</w:t>
      </w:r>
    </w:p>
    <w:p w14:paraId="2DE87DD4" w14:textId="77777777" w:rsidR="00D3121A" w:rsidRPr="00DD1B58" w:rsidRDefault="00D3121A" w:rsidP="00177432">
      <w:pPr>
        <w:pStyle w:val="Heading5A"/>
        <w:ind w:left="0"/>
        <w:rPr>
          <w:lang w:val="en-US"/>
        </w:rPr>
      </w:pPr>
      <w:r w:rsidRPr="00DD1B58">
        <w:rPr>
          <w:lang w:val="en-US"/>
        </w:rPr>
        <w:t xml:space="preserve">Overview of arrangements for management and control of fire load and ignition sources </w:t>
      </w:r>
    </w:p>
    <w:p w14:paraId="4B2FFB7E" w14:textId="711B8AEC" w:rsidR="1895AFFB" w:rsidRPr="00DD1B58" w:rsidRDefault="1895AFFB" w:rsidP="00C55313">
      <w:pPr>
        <w:rPr>
          <w:szCs w:val="24"/>
          <w:lang w:val="en-US"/>
        </w:rPr>
      </w:pPr>
      <w:r w:rsidRPr="00DD1B58">
        <w:rPr>
          <w:lang w:val="en-US"/>
        </w:rPr>
        <w:t>HPC is currently under construction, so the arrangements and procedures for controlling fire load and ignition sources are no</w:t>
      </w:r>
      <w:r w:rsidRPr="00DD1B58">
        <w:rPr>
          <w:szCs w:val="24"/>
          <w:lang w:val="en-US"/>
        </w:rPr>
        <w:t xml:space="preserve">t yet in place for once the reactors become operational. However, the operational procedures are expected to include measures to restrict the fire load and ignition sources to those assumed in the fire hazards assessments. </w:t>
      </w:r>
      <w:r w:rsidR="002B71B5" w:rsidRPr="00DD1B58">
        <w:rPr>
          <w:szCs w:val="24"/>
          <w:lang w:val="en-US"/>
        </w:rPr>
        <w:t>NNB GenCo report</w:t>
      </w:r>
      <w:r w:rsidR="00B1190A" w:rsidRPr="00DD1B58">
        <w:rPr>
          <w:szCs w:val="24"/>
          <w:lang w:val="en-US"/>
        </w:rPr>
        <w:t>s</w:t>
      </w:r>
      <w:r w:rsidR="002B71B5" w:rsidRPr="00DD1B58">
        <w:rPr>
          <w:szCs w:val="24"/>
          <w:lang w:val="en-US"/>
        </w:rPr>
        <w:t xml:space="preserve"> that a</w:t>
      </w:r>
      <w:r w:rsidRPr="00DD1B58">
        <w:rPr>
          <w:szCs w:val="24"/>
          <w:lang w:val="en-US"/>
        </w:rPr>
        <w:t xml:space="preserve">ny changes will be subject to the station modification control process. </w:t>
      </w:r>
      <w:r w:rsidR="002B71B5" w:rsidRPr="00DD1B58">
        <w:rPr>
          <w:szCs w:val="24"/>
          <w:lang w:val="en-US"/>
        </w:rPr>
        <w:t xml:space="preserve">NNB GenCo expects these </w:t>
      </w:r>
      <w:r w:rsidRPr="00DD1B58">
        <w:rPr>
          <w:szCs w:val="24"/>
          <w:lang w:val="en-US"/>
        </w:rPr>
        <w:t xml:space="preserve">procedures to include restrictions on quantity and flashpoint of combustible materials permanently present in the plant or temporarily brought in for maintenance, and strict controls on hot work and any other transient hazards associated with maintenance. </w:t>
      </w:r>
      <w:r w:rsidR="002B71B5" w:rsidRPr="00DD1B58">
        <w:rPr>
          <w:szCs w:val="24"/>
          <w:lang w:val="en-US"/>
        </w:rPr>
        <w:t>NNB GenCo also state</w:t>
      </w:r>
      <w:r w:rsidR="000A6B0D" w:rsidRPr="00DD1B58">
        <w:rPr>
          <w:szCs w:val="24"/>
          <w:lang w:val="en-US"/>
        </w:rPr>
        <w:t>s</w:t>
      </w:r>
      <w:r w:rsidR="002B71B5" w:rsidRPr="00DD1B58">
        <w:rPr>
          <w:szCs w:val="24"/>
          <w:lang w:val="en-US"/>
        </w:rPr>
        <w:t xml:space="preserve"> that </w:t>
      </w:r>
      <w:r w:rsidRPr="00DD1B58">
        <w:rPr>
          <w:szCs w:val="24"/>
          <w:lang w:val="en-US"/>
        </w:rPr>
        <w:t xml:space="preserve">combustible content of waste brought into processing or storage facilities </w:t>
      </w:r>
      <w:r w:rsidR="002B71B5" w:rsidRPr="00DD1B58">
        <w:rPr>
          <w:szCs w:val="24"/>
          <w:lang w:val="en-US"/>
        </w:rPr>
        <w:t xml:space="preserve">would </w:t>
      </w:r>
      <w:r w:rsidRPr="00DD1B58">
        <w:rPr>
          <w:szCs w:val="24"/>
          <w:lang w:val="en-US"/>
        </w:rPr>
        <w:t>also be subject to procedural controls.</w:t>
      </w:r>
    </w:p>
    <w:p w14:paraId="0ACFE393" w14:textId="00B65B17" w:rsidR="1895AFFB" w:rsidRPr="00DD1B58" w:rsidRDefault="1895AFFB" w:rsidP="1B2B0ECE">
      <w:pPr>
        <w:rPr>
          <w:szCs w:val="24"/>
          <w:lang w:val="en-US"/>
        </w:rPr>
      </w:pPr>
      <w:r w:rsidRPr="00DD1B58">
        <w:rPr>
          <w:lang w:val="en-US"/>
        </w:rPr>
        <w:t>The HPC Fire Strategy Document</w:t>
      </w:r>
      <w:sdt>
        <w:sdtPr>
          <w:rPr>
            <w:lang w:val="en-US"/>
          </w:rPr>
          <w:id w:val="-409923269"/>
          <w:citation/>
        </w:sdtPr>
        <w:sdtContent>
          <w:r w:rsidR="00C97EC5" w:rsidRPr="00DD1B58">
            <w:rPr>
              <w:lang w:val="en-US"/>
            </w:rPr>
            <w:fldChar w:fldCharType="begin"/>
          </w:r>
          <w:r w:rsidR="00C97EC5" w:rsidRPr="00DD1B58">
            <w:rPr>
              <w:lang w:val="en-US"/>
            </w:rPr>
            <w:instrText xml:space="preserve"> CITATION NNB21 \l 2057 </w:instrText>
          </w:r>
          <w:r w:rsidR="00C97EC5" w:rsidRPr="00DD1B58">
            <w:rPr>
              <w:lang w:val="en-US"/>
            </w:rPr>
            <w:fldChar w:fldCharType="separate"/>
          </w:r>
          <w:r w:rsidR="00DF47DA">
            <w:rPr>
              <w:noProof/>
              <w:lang w:val="en-US"/>
            </w:rPr>
            <w:t xml:space="preserve"> </w:t>
          </w:r>
          <w:r w:rsidR="00DF47DA" w:rsidRPr="00DF47DA">
            <w:rPr>
              <w:noProof/>
              <w:lang w:val="en-US"/>
            </w:rPr>
            <w:t>[130]</w:t>
          </w:r>
          <w:r w:rsidR="00C97EC5" w:rsidRPr="00DD1B58">
            <w:rPr>
              <w:lang w:val="en-US"/>
            </w:rPr>
            <w:fldChar w:fldCharType="end"/>
          </w:r>
        </w:sdtContent>
      </w:sdt>
      <w:r w:rsidRPr="00DD1B58">
        <w:rPr>
          <w:lang w:val="en-US"/>
        </w:rPr>
        <w:t xml:space="preserve"> indicates that procedural measures to be introduced to control fire load and ignition sources for nuclear safety and life safety include</w:t>
      </w:r>
      <w:r w:rsidR="77B5CAB7" w:rsidRPr="00DD1B58">
        <w:rPr>
          <w:lang w:val="en-US"/>
        </w:rPr>
        <w:t xml:space="preserve"> p</w:t>
      </w:r>
      <w:r w:rsidR="2BAB8E23" w:rsidRPr="00DD1B58">
        <w:rPr>
          <w:lang w:val="en-US"/>
        </w:rPr>
        <w:t>rocedural</w:t>
      </w:r>
      <w:r w:rsidRPr="00DD1B58">
        <w:rPr>
          <w:lang w:val="en-US"/>
        </w:rPr>
        <w:t xml:space="preserve"> controls, firefighting equipment, and spill kits where necessary when vehicles enter buildings for deliveries.</w:t>
      </w:r>
      <w:r w:rsidR="002B71B5" w:rsidRPr="00DD1B58">
        <w:rPr>
          <w:lang w:val="en-US"/>
        </w:rPr>
        <w:t xml:space="preserve"> </w:t>
      </w:r>
      <w:r w:rsidR="002B71B5" w:rsidRPr="00DD1B58">
        <w:rPr>
          <w:szCs w:val="24"/>
          <w:lang w:val="en-US"/>
        </w:rPr>
        <w:t>NNB GenCo report</w:t>
      </w:r>
      <w:r w:rsidR="00B1190A" w:rsidRPr="00DD1B58">
        <w:rPr>
          <w:szCs w:val="24"/>
          <w:lang w:val="en-US"/>
        </w:rPr>
        <w:t>s</w:t>
      </w:r>
      <w:r w:rsidR="002B71B5" w:rsidRPr="00DD1B58">
        <w:rPr>
          <w:szCs w:val="24"/>
          <w:lang w:val="en-US"/>
        </w:rPr>
        <w:t xml:space="preserve"> that </w:t>
      </w:r>
      <w:r w:rsidRPr="00DD1B58">
        <w:rPr>
          <w:lang w:val="en-US"/>
        </w:rPr>
        <w:t xml:space="preserve">Atmosphere Explosible (ATEX) rated equipment </w:t>
      </w:r>
      <w:r w:rsidR="002B71B5" w:rsidRPr="00DD1B58">
        <w:rPr>
          <w:lang w:val="en-US"/>
        </w:rPr>
        <w:t xml:space="preserve">will </w:t>
      </w:r>
      <w:r w:rsidR="29A2EC99" w:rsidRPr="00DD1B58">
        <w:rPr>
          <w:lang w:val="en-US"/>
        </w:rPr>
        <w:t>be installed</w:t>
      </w:r>
      <w:r w:rsidR="2BAB8E23" w:rsidRPr="00DD1B58">
        <w:rPr>
          <w:lang w:val="en-US"/>
        </w:rPr>
        <w:t xml:space="preserve"> </w:t>
      </w:r>
      <w:r w:rsidRPr="00DD1B58">
        <w:rPr>
          <w:lang w:val="en-US"/>
        </w:rPr>
        <w:t xml:space="preserve">for hazardous zones </w:t>
      </w:r>
      <w:r w:rsidR="000C7509" w:rsidRPr="00DD1B58">
        <w:rPr>
          <w:lang w:val="en-US"/>
        </w:rPr>
        <w:t xml:space="preserve">as required </w:t>
      </w:r>
      <w:r w:rsidRPr="00DD1B58">
        <w:rPr>
          <w:lang w:val="en-US"/>
        </w:rPr>
        <w:t>by the DSEAR regulations, based on building specific DSEAR assessments.</w:t>
      </w:r>
      <w:r w:rsidR="6E2A360C" w:rsidRPr="00DD1B58">
        <w:rPr>
          <w:lang w:val="en-US"/>
        </w:rPr>
        <w:t xml:space="preserve"> </w:t>
      </w:r>
      <w:r w:rsidR="00330EE1" w:rsidRPr="00DD1B58">
        <w:rPr>
          <w:lang w:val="en-US"/>
        </w:rPr>
        <w:t xml:space="preserve">It also </w:t>
      </w:r>
      <w:r w:rsidR="007376D6" w:rsidRPr="00DD1B58">
        <w:rPr>
          <w:lang w:val="en-US"/>
        </w:rPr>
        <w:t>states that</w:t>
      </w:r>
      <w:r w:rsidR="00330EE1" w:rsidRPr="00DD1B58">
        <w:rPr>
          <w:lang w:val="en-US"/>
        </w:rPr>
        <w:t xml:space="preserve"> any </w:t>
      </w:r>
      <w:r w:rsidRPr="00DD1B58">
        <w:rPr>
          <w:lang w:val="en-US"/>
        </w:rPr>
        <w:t xml:space="preserve">handling of liquid or liquefied flammable or explosive products </w:t>
      </w:r>
      <w:r w:rsidR="14F6BD34" w:rsidRPr="00DD1B58">
        <w:rPr>
          <w:lang w:val="en-US"/>
        </w:rPr>
        <w:t>will</w:t>
      </w:r>
      <w:r w:rsidRPr="00DD1B58">
        <w:rPr>
          <w:lang w:val="en-US"/>
        </w:rPr>
        <w:t xml:space="preserve"> be carried out in leak</w:t>
      </w:r>
      <w:r w:rsidR="001E5B6D" w:rsidRPr="00DD1B58">
        <w:rPr>
          <w:lang w:val="en-US"/>
        </w:rPr>
        <w:t>-</w:t>
      </w:r>
      <w:r w:rsidRPr="00DD1B58">
        <w:rPr>
          <w:lang w:val="en-US"/>
        </w:rPr>
        <w:t>tight areas that are laid out for recovery of leaks.</w:t>
      </w:r>
      <w:r w:rsidR="3856B476" w:rsidRPr="00DD1B58">
        <w:rPr>
          <w:lang w:val="en-US"/>
        </w:rPr>
        <w:t xml:space="preserve"> </w:t>
      </w:r>
      <w:r w:rsidR="000B5DBE" w:rsidRPr="00DD1B58">
        <w:rPr>
          <w:lang w:val="en-US"/>
        </w:rPr>
        <w:t>NNB GenC</w:t>
      </w:r>
      <w:r w:rsidR="006B6F2F" w:rsidRPr="00DD1B58">
        <w:rPr>
          <w:lang w:val="en-US"/>
        </w:rPr>
        <w:t>o</w:t>
      </w:r>
      <w:r w:rsidR="000B5DBE" w:rsidRPr="00DD1B58">
        <w:rPr>
          <w:lang w:val="en-US"/>
        </w:rPr>
        <w:t xml:space="preserve"> expresse</w:t>
      </w:r>
      <w:r w:rsidR="006B6F2F" w:rsidRPr="00DD1B58">
        <w:rPr>
          <w:lang w:val="en-US"/>
        </w:rPr>
        <w:t>s</w:t>
      </w:r>
      <w:r w:rsidR="000B5DBE" w:rsidRPr="00DD1B58">
        <w:rPr>
          <w:lang w:val="en-US"/>
        </w:rPr>
        <w:t xml:space="preserve"> its </w:t>
      </w:r>
      <w:r w:rsidR="001E5B6D" w:rsidRPr="00DD1B58">
        <w:rPr>
          <w:lang w:val="en-US"/>
        </w:rPr>
        <w:t>commitment</w:t>
      </w:r>
      <w:r w:rsidR="000B5DBE" w:rsidRPr="00DD1B58">
        <w:rPr>
          <w:lang w:val="en-US"/>
        </w:rPr>
        <w:t xml:space="preserve"> to </w:t>
      </w:r>
      <w:r w:rsidR="001E5B6D" w:rsidRPr="00DD1B58">
        <w:rPr>
          <w:lang w:val="en-US"/>
        </w:rPr>
        <w:t>follow</w:t>
      </w:r>
      <w:r w:rsidR="000B5DBE" w:rsidRPr="00DD1B58">
        <w:rPr>
          <w:lang w:val="en-US"/>
        </w:rPr>
        <w:t xml:space="preserve"> </w:t>
      </w:r>
      <w:r w:rsidR="452F3E5F" w:rsidRPr="00DD1B58">
        <w:rPr>
          <w:lang w:val="en-US"/>
        </w:rPr>
        <w:t>s</w:t>
      </w:r>
      <w:r w:rsidR="2BAB8E23" w:rsidRPr="00DD1B58">
        <w:rPr>
          <w:lang w:val="en-US"/>
        </w:rPr>
        <w:t>tandard</w:t>
      </w:r>
      <w:r w:rsidRPr="00DD1B58">
        <w:rPr>
          <w:lang w:val="en-US"/>
        </w:rPr>
        <w:t xml:space="preserve"> HSE guidance and good practice for on-site receipt and handling of flammable and combustible materials at designated storage facilities</w:t>
      </w:r>
      <w:r w:rsidR="000B5DBE" w:rsidRPr="00DD1B58">
        <w:rPr>
          <w:lang w:val="en-US"/>
        </w:rPr>
        <w:t xml:space="preserve">, </w:t>
      </w:r>
      <w:r w:rsidR="00C3696F" w:rsidRPr="00DD1B58">
        <w:rPr>
          <w:lang w:val="en-US"/>
        </w:rPr>
        <w:t>p</w:t>
      </w:r>
      <w:r w:rsidRPr="00DD1B58">
        <w:rPr>
          <w:lang w:val="en-US"/>
        </w:rPr>
        <w:t xml:space="preserve">rocedural controls, </w:t>
      </w:r>
      <w:r w:rsidR="001E5B6D" w:rsidRPr="00DD1B58">
        <w:rPr>
          <w:lang w:val="en-US"/>
        </w:rPr>
        <w:t xml:space="preserve">provide </w:t>
      </w:r>
      <w:r w:rsidRPr="00DD1B58">
        <w:rPr>
          <w:lang w:val="en-US"/>
        </w:rPr>
        <w:t>firefighting equipment, and spill kits where necessary</w:t>
      </w:r>
      <w:r w:rsidR="001E5B6D" w:rsidRPr="00DD1B58">
        <w:rPr>
          <w:lang w:val="en-US"/>
        </w:rPr>
        <w:t>,</w:t>
      </w:r>
      <w:r w:rsidRPr="00DD1B58">
        <w:rPr>
          <w:lang w:val="en-US"/>
        </w:rPr>
        <w:t xml:space="preserve"> when vehicles enter buildings for deliveries. </w:t>
      </w:r>
    </w:p>
    <w:p w14:paraId="645A26DD" w14:textId="77777777" w:rsidR="00810C92" w:rsidRPr="00DD1B58" w:rsidRDefault="00810C92" w:rsidP="00177432">
      <w:pPr>
        <w:pStyle w:val="Heading5A"/>
        <w:rPr>
          <w:lang w:val="en-US"/>
        </w:rPr>
      </w:pPr>
      <w:bookmarkStart w:id="76" w:name="_Ref145058043"/>
      <w:r w:rsidRPr="00DD1B58">
        <w:rPr>
          <w:lang w:val="en-US"/>
        </w:rPr>
        <w:t>Licensee’s experience of the implementation of the fire prevention</w:t>
      </w:r>
      <w:bookmarkEnd w:id="76"/>
    </w:p>
    <w:p w14:paraId="7191C96B" w14:textId="77777777" w:rsidR="00810C92" w:rsidRPr="00DD1B58" w:rsidRDefault="00810C92" w:rsidP="00177432">
      <w:pPr>
        <w:pStyle w:val="Heading5A"/>
        <w:numPr>
          <w:ilvl w:val="5"/>
          <w:numId w:val="7"/>
        </w:numPr>
        <w:rPr>
          <w:lang w:val="en-US"/>
        </w:rPr>
      </w:pPr>
      <w:r w:rsidRPr="00DD1B58">
        <w:rPr>
          <w:lang w:val="en-US"/>
        </w:rPr>
        <w:t>Overview of strengths and weaknesses</w:t>
      </w:r>
    </w:p>
    <w:p w14:paraId="00E9059C" w14:textId="48BD9A0C" w:rsidR="2AD3B221" w:rsidRPr="00DD1B58" w:rsidRDefault="001E5B6D" w:rsidP="009E58E2">
      <w:pPr>
        <w:rPr>
          <w:szCs w:val="24"/>
          <w:lang w:val="en-US"/>
        </w:rPr>
      </w:pPr>
      <w:r w:rsidRPr="00DD1B58">
        <w:rPr>
          <w:lang w:val="en-US"/>
        </w:rPr>
        <w:t xml:space="preserve">NNB GenCo considers that the </w:t>
      </w:r>
      <w:r w:rsidR="2AD3B221" w:rsidRPr="00DD1B58">
        <w:rPr>
          <w:lang w:val="en-US"/>
        </w:rPr>
        <w:t>fire prevention measures described have been developed from the modern standards described in Section 1.2 and judge</w:t>
      </w:r>
      <w:r w:rsidR="2AD3B221" w:rsidRPr="00DD1B58">
        <w:rPr>
          <w:szCs w:val="24"/>
          <w:lang w:val="en-US"/>
        </w:rPr>
        <w:t xml:space="preserve">d </w:t>
      </w:r>
      <w:r w:rsidRPr="00DD1B58">
        <w:rPr>
          <w:szCs w:val="24"/>
          <w:lang w:val="en-US"/>
        </w:rPr>
        <w:t xml:space="preserve">them </w:t>
      </w:r>
      <w:r w:rsidR="2AD3B221" w:rsidRPr="00DD1B58">
        <w:rPr>
          <w:szCs w:val="24"/>
          <w:lang w:val="en-US"/>
        </w:rPr>
        <w:t>to satisfy WENRA requirements.</w:t>
      </w:r>
    </w:p>
    <w:p w14:paraId="0688EF57" w14:textId="0CECFC00" w:rsidR="2AD3B221" w:rsidRPr="00DD1B58" w:rsidRDefault="001E5B6D" w:rsidP="009E58E2">
      <w:pPr>
        <w:rPr>
          <w:szCs w:val="24"/>
          <w:lang w:val="en-US"/>
        </w:rPr>
      </w:pPr>
      <w:r w:rsidRPr="00DD1B58">
        <w:rPr>
          <w:lang w:val="en-US"/>
        </w:rPr>
        <w:t>NNB GenCo summarise</w:t>
      </w:r>
      <w:r w:rsidR="000411C0" w:rsidRPr="00DD1B58">
        <w:rPr>
          <w:lang w:val="en-US"/>
        </w:rPr>
        <w:t>s</w:t>
      </w:r>
      <w:r w:rsidRPr="00DD1B58">
        <w:rPr>
          <w:lang w:val="en-US"/>
        </w:rPr>
        <w:t xml:space="preserve"> the main </w:t>
      </w:r>
      <w:r w:rsidR="4C006934" w:rsidRPr="00DD1B58">
        <w:rPr>
          <w:lang w:val="en-US"/>
        </w:rPr>
        <w:t xml:space="preserve">adaptations made when applying UK context to the French-derived ETC-F codes below, based on the HPC Codes and Standards Review </w:t>
      </w:r>
      <w:sdt>
        <w:sdtPr>
          <w:rPr>
            <w:lang w:val="en-US"/>
          </w:rPr>
          <w:id w:val="613016940"/>
          <w:citation/>
        </w:sdtPr>
        <w:sdtContent>
          <w:r w:rsidR="00D936A3" w:rsidRPr="00DD1B58">
            <w:rPr>
              <w:lang w:val="en-US"/>
            </w:rPr>
            <w:fldChar w:fldCharType="begin"/>
          </w:r>
          <w:r w:rsidR="00D936A3" w:rsidRPr="00DD1B58">
            <w:rPr>
              <w:lang w:val="en-US"/>
            </w:rPr>
            <w:instrText xml:space="preserve"> CITATION NNB228 \l 2057 </w:instrText>
          </w:r>
          <w:r w:rsidR="00D936A3" w:rsidRPr="00DD1B58">
            <w:rPr>
              <w:lang w:val="en-US"/>
            </w:rPr>
            <w:fldChar w:fldCharType="separate"/>
          </w:r>
          <w:r w:rsidR="00DF47DA" w:rsidRPr="00DF47DA">
            <w:rPr>
              <w:noProof/>
              <w:lang w:val="en-US"/>
            </w:rPr>
            <w:t>[132]</w:t>
          </w:r>
          <w:r w:rsidR="00D936A3" w:rsidRPr="00DD1B58">
            <w:rPr>
              <w:lang w:val="en-US"/>
            </w:rPr>
            <w:fldChar w:fldCharType="end"/>
          </w:r>
        </w:sdtContent>
      </w:sdt>
      <w:r w:rsidR="4C006934" w:rsidRPr="00DD1B58">
        <w:rPr>
          <w:szCs w:val="24"/>
          <w:lang w:val="en-US"/>
        </w:rPr>
        <w:t xml:space="preserve"> Section 7.</w:t>
      </w:r>
      <w:r w:rsidRPr="00DD1B58">
        <w:rPr>
          <w:szCs w:val="24"/>
          <w:lang w:val="en-US"/>
        </w:rPr>
        <w:t xml:space="preserve"> Please note the text is taken literally from NNB GenCo’s self-assessment:</w:t>
      </w:r>
    </w:p>
    <w:p w14:paraId="4E52A2E4" w14:textId="77777777" w:rsidR="2AD3B221" w:rsidRPr="00DD1B58" w:rsidRDefault="2AD3B221" w:rsidP="009E58E2">
      <w:pPr>
        <w:pStyle w:val="Bulletlist1"/>
        <w:rPr>
          <w:i/>
          <w:iCs/>
          <w:lang w:val="en-US"/>
        </w:rPr>
      </w:pPr>
      <w:r w:rsidRPr="00DD1B58">
        <w:rPr>
          <w:i/>
          <w:iCs/>
          <w:lang w:val="en-US"/>
        </w:rPr>
        <w:t xml:space="preserve">The original intention was to omit modelling studies to demonstrate robustness of fire compartmentation for rooms which are served by automatic fire extinguishing systems. The scope has now been extended to include such rooms, rather than omitting them from further study based on claims on the active fire protection systems. This brings the approach in line </w:t>
      </w:r>
    </w:p>
    <w:p w14:paraId="533FD256" w14:textId="77777777" w:rsidR="2AD3B221" w:rsidRPr="00DD1B58" w:rsidRDefault="2AD3B221" w:rsidP="009E58E2">
      <w:pPr>
        <w:pStyle w:val="Bulletlist1"/>
        <w:rPr>
          <w:i/>
          <w:iCs/>
          <w:lang w:val="en-US"/>
        </w:rPr>
      </w:pPr>
      <w:r w:rsidRPr="00DD1B58">
        <w:rPr>
          <w:i/>
          <w:iCs/>
          <w:lang w:val="en-US"/>
        </w:rPr>
        <w:t>Differences between the accepted practice of fire resistance duration between the EPR design and other stations in the UK fleet.</w:t>
      </w:r>
    </w:p>
    <w:p w14:paraId="52750F19" w14:textId="77777777" w:rsidR="2AD3B221" w:rsidRPr="00DD1B58" w:rsidRDefault="2AD3B221" w:rsidP="009E58E2">
      <w:pPr>
        <w:pStyle w:val="Bulletlist1"/>
        <w:rPr>
          <w:lang w:val="en-US"/>
        </w:rPr>
      </w:pPr>
      <w:r w:rsidRPr="00DD1B58">
        <w:rPr>
          <w:i/>
          <w:iCs/>
          <w:lang w:val="en-US"/>
        </w:rPr>
        <w:t>The fire resistance ratings for the different fire zones have been modified. The fire resistance of the Access Fire Compartment (SFA) has been increased from one-hour to two-hours. The requirements for the ‘insulation’ fire resistance (‘I’ requirement in the EN 13501 classification scheme) for some fire barrier elements within the conventional fire compartments (those not directly claimed for nuclear safety) have been amended to be more consistent with UK practice</w:t>
      </w:r>
      <w:r w:rsidRPr="00DD1B58">
        <w:rPr>
          <w:lang w:val="en-US"/>
        </w:rPr>
        <w:t>.</w:t>
      </w:r>
    </w:p>
    <w:p w14:paraId="6FD11476" w14:textId="77777777" w:rsidR="00810C92" w:rsidRPr="00DD1B58" w:rsidRDefault="00810C92" w:rsidP="00177432">
      <w:pPr>
        <w:pStyle w:val="Heading5A"/>
        <w:numPr>
          <w:ilvl w:val="5"/>
          <w:numId w:val="7"/>
        </w:numPr>
        <w:rPr>
          <w:lang w:val="en-US"/>
        </w:rPr>
      </w:pPr>
      <w:r w:rsidRPr="00DD1B58">
        <w:rPr>
          <w:lang w:val="en-US"/>
        </w:rPr>
        <w:t>Lessons learned from events, reviews fire safety related missions, etc.</w:t>
      </w:r>
    </w:p>
    <w:p w14:paraId="430ADFAA" w14:textId="1BE795EA" w:rsidR="4DFAD65A" w:rsidRPr="00DD1B58" w:rsidRDefault="2B6A3AA7" w:rsidP="009E58E2">
      <w:pPr>
        <w:rPr>
          <w:szCs w:val="24"/>
          <w:lang w:val="en-US"/>
        </w:rPr>
      </w:pPr>
      <w:r w:rsidRPr="00DD1B58">
        <w:rPr>
          <w:lang w:val="en-US"/>
        </w:rPr>
        <w:t>Feedback from the French nucl</w:t>
      </w:r>
      <w:r w:rsidRPr="00DD1B58">
        <w:rPr>
          <w:szCs w:val="24"/>
          <w:lang w:val="en-US"/>
        </w:rPr>
        <w:t xml:space="preserve">ear fleet reported in the HPC Fire Strategy document </w:t>
      </w:r>
      <w:sdt>
        <w:sdtPr>
          <w:rPr>
            <w:szCs w:val="24"/>
            <w:lang w:val="en-US"/>
          </w:rPr>
          <w:id w:val="1846588237"/>
          <w:citation/>
        </w:sdtPr>
        <w:sdtContent>
          <w:r w:rsidR="006202D5" w:rsidRPr="00DD1B58">
            <w:rPr>
              <w:szCs w:val="24"/>
              <w:lang w:val="en-US"/>
            </w:rPr>
            <w:fldChar w:fldCharType="begin"/>
          </w:r>
          <w:r w:rsidR="006202D5" w:rsidRPr="00DD1B58">
            <w:rPr>
              <w:szCs w:val="24"/>
              <w:lang w:val="en-US"/>
            </w:rPr>
            <w:instrText xml:space="preserve"> CITATION NNB21 \l 2057 </w:instrText>
          </w:r>
          <w:r w:rsidR="006202D5" w:rsidRPr="00DD1B58">
            <w:rPr>
              <w:szCs w:val="24"/>
              <w:lang w:val="en-US"/>
            </w:rPr>
            <w:fldChar w:fldCharType="separate"/>
          </w:r>
          <w:r w:rsidR="00DF47DA" w:rsidRPr="00DF47DA">
            <w:rPr>
              <w:noProof/>
              <w:szCs w:val="24"/>
              <w:lang w:val="en-US"/>
            </w:rPr>
            <w:t>[130]</w:t>
          </w:r>
          <w:r w:rsidR="006202D5" w:rsidRPr="00DD1B58">
            <w:rPr>
              <w:szCs w:val="24"/>
              <w:lang w:val="en-US"/>
            </w:rPr>
            <w:fldChar w:fldCharType="end"/>
          </w:r>
        </w:sdtContent>
      </w:sdt>
      <w:r w:rsidRPr="00DD1B58">
        <w:rPr>
          <w:szCs w:val="24"/>
          <w:lang w:val="en-US"/>
        </w:rPr>
        <w:t xml:space="preserve"> suggested that the fire risk posed by electrical cables is low. Self-ignition events outside gallery spaces all involved high voltage cables and some form of installation error, and only a very small number of fires have been reported within cable galleries.</w:t>
      </w:r>
    </w:p>
    <w:p w14:paraId="13334CB6" w14:textId="77777777" w:rsidR="00810C92" w:rsidRPr="00DD1B58" w:rsidRDefault="00810C92" w:rsidP="00177432">
      <w:pPr>
        <w:pStyle w:val="Heading5A"/>
        <w:numPr>
          <w:ilvl w:val="5"/>
          <w:numId w:val="7"/>
        </w:numPr>
        <w:rPr>
          <w:lang w:val="en-US"/>
        </w:rPr>
      </w:pPr>
      <w:r w:rsidRPr="00DD1B58">
        <w:rPr>
          <w:lang w:val="en-US"/>
        </w:rPr>
        <w:t>Overview of actions and implementation status</w:t>
      </w:r>
    </w:p>
    <w:p w14:paraId="32128E53" w14:textId="77777777" w:rsidR="298221CC" w:rsidRPr="00DD1B58" w:rsidRDefault="298221CC" w:rsidP="40F088B1">
      <w:pPr>
        <w:rPr>
          <w:lang w:val="en-US"/>
        </w:rPr>
      </w:pPr>
      <w:r w:rsidRPr="00DD1B58">
        <w:rPr>
          <w:lang w:val="en-US"/>
        </w:rPr>
        <w:t>No actions were identified by NNB GenCo.</w:t>
      </w:r>
    </w:p>
    <w:p w14:paraId="0CEAE670" w14:textId="77777777" w:rsidR="00810C92" w:rsidRPr="00DD1B58" w:rsidRDefault="00810C92" w:rsidP="00177432">
      <w:pPr>
        <w:pStyle w:val="Heading5A"/>
        <w:rPr>
          <w:lang w:val="en-US"/>
        </w:rPr>
      </w:pPr>
      <w:bookmarkStart w:id="77" w:name="_Ref145058300"/>
      <w:r w:rsidRPr="00DD1B58">
        <w:rPr>
          <w:lang w:val="en-US"/>
        </w:rPr>
        <w:t>Regulator’s assessment of the fire prevention</w:t>
      </w:r>
      <w:bookmarkEnd w:id="77"/>
    </w:p>
    <w:p w14:paraId="2A9719D3" w14:textId="77777777" w:rsidR="00810C92" w:rsidRPr="00DD1B58" w:rsidRDefault="00810C92" w:rsidP="00177432">
      <w:pPr>
        <w:pStyle w:val="Heading5A"/>
        <w:numPr>
          <w:ilvl w:val="5"/>
          <w:numId w:val="7"/>
        </w:numPr>
        <w:rPr>
          <w:lang w:val="en-US"/>
        </w:rPr>
      </w:pPr>
      <w:r w:rsidRPr="00DD1B58">
        <w:rPr>
          <w:lang w:val="en-US"/>
        </w:rPr>
        <w:t>Overview of strengths and weaknesses in the fire prevention</w:t>
      </w:r>
    </w:p>
    <w:p w14:paraId="01C683E8" w14:textId="0CC0CF31" w:rsidR="3135122E" w:rsidRPr="00DD1B58" w:rsidRDefault="3135122E">
      <w:pPr>
        <w:rPr>
          <w:lang w:val="en-US"/>
        </w:rPr>
      </w:pPr>
      <w:r w:rsidRPr="00DD1B58">
        <w:rPr>
          <w:rFonts w:eastAsia="Arial"/>
          <w:noProof/>
          <w:szCs w:val="24"/>
          <w:lang w:val="en-US"/>
        </w:rPr>
        <w:t>The licensee</w:t>
      </w:r>
      <w:r w:rsidR="000626E9" w:rsidRPr="00DD1B58">
        <w:rPr>
          <w:rFonts w:eastAsia="Arial"/>
          <w:noProof/>
          <w:szCs w:val="24"/>
          <w:lang w:val="en-US"/>
        </w:rPr>
        <w:t xml:space="preserve">’s self-assessment </w:t>
      </w:r>
      <w:sdt>
        <w:sdtPr>
          <w:rPr>
            <w:rFonts w:eastAsia="Arial"/>
            <w:noProof/>
            <w:szCs w:val="24"/>
            <w:lang w:val="en-US"/>
          </w:rPr>
          <w:id w:val="-862511093"/>
          <w:citation/>
        </w:sdtPr>
        <w:sdtContent>
          <w:r w:rsidR="000626E9" w:rsidRPr="00DD1B58">
            <w:rPr>
              <w:rFonts w:eastAsia="Arial"/>
              <w:noProof/>
              <w:szCs w:val="24"/>
              <w:lang w:val="en-US"/>
            </w:rPr>
            <w:fldChar w:fldCharType="begin"/>
          </w:r>
          <w:r w:rsidR="000626E9" w:rsidRPr="00DD1B58">
            <w:rPr>
              <w:rFonts w:eastAsia="Arial"/>
              <w:noProof/>
              <w:szCs w:val="24"/>
              <w:lang w:val="en-US"/>
            </w:rPr>
            <w:instrText xml:space="preserve"> CITATION NNB236 \l 2057 </w:instrText>
          </w:r>
          <w:r w:rsidR="000626E9" w:rsidRPr="00DD1B58">
            <w:rPr>
              <w:rFonts w:eastAsia="Arial"/>
              <w:noProof/>
              <w:szCs w:val="24"/>
              <w:lang w:val="en-US"/>
            </w:rPr>
            <w:fldChar w:fldCharType="separate"/>
          </w:r>
          <w:r w:rsidR="00DF47DA" w:rsidRPr="00DF47DA">
            <w:rPr>
              <w:rFonts w:eastAsia="Arial"/>
              <w:noProof/>
              <w:szCs w:val="24"/>
              <w:lang w:val="en-US"/>
            </w:rPr>
            <w:t>[49]</w:t>
          </w:r>
          <w:r w:rsidR="000626E9" w:rsidRPr="00DD1B58">
            <w:rPr>
              <w:rFonts w:eastAsia="Arial"/>
              <w:noProof/>
              <w:szCs w:val="24"/>
              <w:lang w:val="en-US"/>
            </w:rPr>
            <w:fldChar w:fldCharType="end"/>
          </w:r>
        </w:sdtContent>
      </w:sdt>
      <w:r w:rsidR="000626E9" w:rsidRPr="00DD1B58">
        <w:rPr>
          <w:rFonts w:eastAsia="Arial"/>
          <w:noProof/>
          <w:szCs w:val="24"/>
          <w:lang w:val="en-US"/>
        </w:rPr>
        <w:t xml:space="preserve"> </w:t>
      </w:r>
      <w:r w:rsidRPr="00DD1B58">
        <w:rPr>
          <w:rFonts w:eastAsia="Arial"/>
          <w:noProof/>
          <w:szCs w:val="24"/>
          <w:lang w:val="en-US"/>
        </w:rPr>
        <w:t xml:space="preserve">identifies fire load accounting and management </w:t>
      </w:r>
      <w:r w:rsidR="003B24AA" w:rsidRPr="00DD1B58">
        <w:rPr>
          <w:rFonts w:eastAsia="Arial"/>
          <w:noProof/>
          <w:szCs w:val="24"/>
          <w:lang w:val="en-US"/>
        </w:rPr>
        <w:t xml:space="preserve">as an area of focus for future operational procedures. </w:t>
      </w:r>
      <w:r w:rsidR="00E05B2A" w:rsidRPr="00DD1B58">
        <w:rPr>
          <w:rFonts w:eastAsia="Arial"/>
          <w:noProof/>
          <w:szCs w:val="24"/>
          <w:lang w:val="en-US"/>
        </w:rPr>
        <w:t>It also acknowledges the need to develop administrative procedures for the management of hot wor</w:t>
      </w:r>
      <w:r w:rsidR="00AA4F53" w:rsidRPr="00DD1B58">
        <w:rPr>
          <w:rFonts w:eastAsia="Arial"/>
          <w:noProof/>
          <w:szCs w:val="24"/>
          <w:lang w:val="en-US"/>
        </w:rPr>
        <w:t>k</w:t>
      </w:r>
      <w:r w:rsidR="00E05B2A" w:rsidRPr="00DD1B58">
        <w:rPr>
          <w:rFonts w:eastAsia="Arial"/>
          <w:noProof/>
          <w:szCs w:val="24"/>
          <w:lang w:val="en-US"/>
        </w:rPr>
        <w:t>. NNB GenCo’s</w:t>
      </w:r>
      <w:r w:rsidRPr="00DD1B58">
        <w:rPr>
          <w:rFonts w:eastAsia="Arial"/>
          <w:noProof/>
          <w:szCs w:val="24"/>
          <w:lang w:val="en-US"/>
        </w:rPr>
        <w:t xml:space="preserve"> procedures are not yet develope</w:t>
      </w:r>
      <w:r w:rsidR="00E05B2A" w:rsidRPr="00DD1B58">
        <w:rPr>
          <w:rFonts w:eastAsia="Arial"/>
          <w:noProof/>
          <w:szCs w:val="24"/>
          <w:lang w:val="en-US"/>
        </w:rPr>
        <w:t>d, however, this is commensurate with the stage of the HPC project and ONR will monitor progress through normal</w:t>
      </w:r>
      <w:r w:rsidRPr="00DD1B58">
        <w:rPr>
          <w:rFonts w:eastAsia="Arial"/>
          <w:noProof/>
          <w:szCs w:val="24"/>
          <w:lang w:val="en-US"/>
        </w:rPr>
        <w:t xml:space="preserve"> regulatory </w:t>
      </w:r>
      <w:r w:rsidR="00E05B2A" w:rsidRPr="00DD1B58">
        <w:rPr>
          <w:rFonts w:eastAsia="Arial"/>
          <w:noProof/>
          <w:szCs w:val="24"/>
          <w:lang w:val="en-US"/>
        </w:rPr>
        <w:t>business</w:t>
      </w:r>
      <w:r w:rsidR="00AA4F53" w:rsidRPr="00DD1B58">
        <w:rPr>
          <w:rFonts w:eastAsia="Arial"/>
          <w:noProof/>
          <w:szCs w:val="24"/>
          <w:lang w:val="en-US"/>
        </w:rPr>
        <w:t xml:space="preserve"> and with reference to ONR’s Internal Hazards TAG </w:t>
      </w:r>
      <w:sdt>
        <w:sdtPr>
          <w:rPr>
            <w:rFonts w:eastAsia="Arial"/>
            <w:noProof/>
            <w:szCs w:val="24"/>
            <w:lang w:val="en-US"/>
          </w:rPr>
          <w:id w:val="-397132972"/>
          <w:citation/>
        </w:sdtPr>
        <w:sdtContent>
          <w:r w:rsidR="00AA4F53" w:rsidRPr="00DD1B58">
            <w:rPr>
              <w:rFonts w:eastAsia="Arial"/>
              <w:noProof/>
              <w:szCs w:val="24"/>
              <w:lang w:val="en-US"/>
            </w:rPr>
            <w:fldChar w:fldCharType="begin"/>
          </w:r>
          <w:r w:rsidR="00AA4F53" w:rsidRPr="00DD1B58">
            <w:rPr>
              <w:rFonts w:eastAsia="Arial"/>
              <w:noProof/>
              <w:szCs w:val="24"/>
              <w:lang w:val="en-US"/>
            </w:rPr>
            <w:instrText xml:space="preserve"> CITATION ONR4 \l 2057 </w:instrText>
          </w:r>
          <w:r w:rsidR="00AA4F53" w:rsidRPr="00DD1B58">
            <w:rPr>
              <w:rFonts w:eastAsia="Arial"/>
              <w:noProof/>
              <w:szCs w:val="24"/>
              <w:lang w:val="en-US"/>
            </w:rPr>
            <w:fldChar w:fldCharType="separate"/>
          </w:r>
          <w:r w:rsidR="00DF47DA" w:rsidRPr="00DF47DA">
            <w:rPr>
              <w:rFonts w:eastAsia="Arial"/>
              <w:noProof/>
              <w:szCs w:val="24"/>
              <w:lang w:val="en-US"/>
            </w:rPr>
            <w:t>[16]</w:t>
          </w:r>
          <w:r w:rsidR="00AA4F53" w:rsidRPr="00DD1B58">
            <w:rPr>
              <w:rFonts w:eastAsia="Arial"/>
              <w:noProof/>
              <w:szCs w:val="24"/>
              <w:lang w:val="en-US"/>
            </w:rPr>
            <w:fldChar w:fldCharType="end"/>
          </w:r>
        </w:sdtContent>
      </w:sdt>
      <w:r w:rsidR="002B580E" w:rsidRPr="00DD1B58">
        <w:rPr>
          <w:rFonts w:eastAsia="Arial"/>
          <w:noProof/>
          <w:szCs w:val="24"/>
          <w:lang w:val="en-US"/>
        </w:rPr>
        <w:t xml:space="preserve"> </w:t>
      </w:r>
      <w:r w:rsidR="00C43212" w:rsidRPr="00DD1B58">
        <w:rPr>
          <w:rFonts w:eastAsia="Arial"/>
          <w:noProof/>
          <w:szCs w:val="24"/>
          <w:lang w:val="en-US"/>
        </w:rPr>
        <w:t xml:space="preserve">and IAEA SSG-77 </w:t>
      </w:r>
      <w:sdt>
        <w:sdtPr>
          <w:rPr>
            <w:rFonts w:eastAsia="Arial"/>
            <w:noProof/>
            <w:szCs w:val="24"/>
            <w:lang w:val="en-US"/>
          </w:rPr>
          <w:id w:val="-1756808846"/>
          <w:citation/>
        </w:sdtPr>
        <w:sdtContent>
          <w:r w:rsidR="00C43212" w:rsidRPr="00DD1B58">
            <w:rPr>
              <w:rFonts w:eastAsia="Arial"/>
              <w:noProof/>
              <w:szCs w:val="24"/>
              <w:lang w:val="en-US"/>
            </w:rPr>
            <w:fldChar w:fldCharType="begin"/>
          </w:r>
          <w:r w:rsidR="00C43212" w:rsidRPr="00DD1B58">
            <w:rPr>
              <w:rFonts w:eastAsia="Arial"/>
              <w:noProof/>
              <w:szCs w:val="24"/>
              <w:lang w:val="en-US"/>
            </w:rPr>
            <w:instrText xml:space="preserve"> CITATION Int22 \l 2057 </w:instrText>
          </w:r>
          <w:r w:rsidR="00C43212" w:rsidRPr="00DD1B58">
            <w:rPr>
              <w:rFonts w:eastAsia="Arial"/>
              <w:noProof/>
              <w:szCs w:val="24"/>
              <w:lang w:val="en-US"/>
            </w:rPr>
            <w:fldChar w:fldCharType="separate"/>
          </w:r>
          <w:r w:rsidR="00DF47DA" w:rsidRPr="00DF47DA">
            <w:rPr>
              <w:rFonts w:eastAsia="Arial"/>
              <w:noProof/>
              <w:szCs w:val="24"/>
              <w:lang w:val="en-US"/>
            </w:rPr>
            <w:t>[18]</w:t>
          </w:r>
          <w:r w:rsidR="00C43212" w:rsidRPr="00DD1B58">
            <w:rPr>
              <w:rFonts w:eastAsia="Arial"/>
              <w:noProof/>
              <w:szCs w:val="24"/>
              <w:lang w:val="en-US"/>
            </w:rPr>
            <w:fldChar w:fldCharType="end"/>
          </w:r>
        </w:sdtContent>
      </w:sdt>
      <w:r w:rsidR="00C43212" w:rsidRPr="00DD1B58">
        <w:rPr>
          <w:rFonts w:eastAsia="Arial"/>
          <w:noProof/>
          <w:szCs w:val="24"/>
          <w:lang w:val="en-US"/>
        </w:rPr>
        <w:t>.</w:t>
      </w:r>
    </w:p>
    <w:p w14:paraId="34FCB8CD" w14:textId="77777777" w:rsidR="00D3121A" w:rsidRPr="00DD1B58" w:rsidRDefault="00810C92"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15A1A293" w14:textId="1F8E0170" w:rsidR="001716E3" w:rsidRPr="00DD1B58" w:rsidRDefault="16173E2B">
      <w:pPr>
        <w:rPr>
          <w:rFonts w:eastAsia="Arial"/>
          <w:noProof/>
          <w:color w:val="111111"/>
          <w:szCs w:val="24"/>
          <w:lang w:val="en-US"/>
        </w:rPr>
      </w:pPr>
      <w:r w:rsidRPr="00DD1B58">
        <w:rPr>
          <w:rFonts w:eastAsia="Arial"/>
          <w:noProof/>
          <w:szCs w:val="24"/>
          <w:lang w:val="en-US"/>
        </w:rPr>
        <w:t xml:space="preserve">ONR has carried out a number of life fire safety inspections at </w:t>
      </w:r>
      <w:r w:rsidR="00ED1CE5" w:rsidRPr="00DD1B58">
        <w:rPr>
          <w:rFonts w:eastAsia="Arial"/>
          <w:noProof/>
          <w:szCs w:val="24"/>
          <w:lang w:val="en-US"/>
        </w:rPr>
        <w:t xml:space="preserve">the </w:t>
      </w:r>
      <w:r w:rsidRPr="00DD1B58">
        <w:rPr>
          <w:rFonts w:eastAsia="Arial"/>
          <w:noProof/>
          <w:szCs w:val="24"/>
          <w:lang w:val="en-US"/>
        </w:rPr>
        <w:t xml:space="preserve">HPC </w:t>
      </w:r>
      <w:r w:rsidR="00ED1CE5" w:rsidRPr="00DD1B58">
        <w:rPr>
          <w:rFonts w:eastAsia="Arial"/>
          <w:noProof/>
          <w:szCs w:val="24"/>
          <w:lang w:val="en-US"/>
        </w:rPr>
        <w:t xml:space="preserve">construction site, providing </w:t>
      </w:r>
      <w:r w:rsidRPr="00DD1B58">
        <w:rPr>
          <w:rFonts w:eastAsia="Arial"/>
          <w:noProof/>
          <w:szCs w:val="24"/>
          <w:lang w:val="en-US"/>
        </w:rPr>
        <w:t xml:space="preserve">regulatory intelligence </w:t>
      </w:r>
      <w:r w:rsidR="00ED1CE5" w:rsidRPr="00DD1B58">
        <w:rPr>
          <w:rFonts w:eastAsia="Arial"/>
          <w:noProof/>
          <w:szCs w:val="24"/>
          <w:lang w:val="en-US"/>
        </w:rPr>
        <w:t>on</w:t>
      </w:r>
      <w:r w:rsidRPr="00DD1B58">
        <w:rPr>
          <w:rFonts w:eastAsia="Arial"/>
          <w:noProof/>
          <w:szCs w:val="24"/>
          <w:lang w:val="en-US"/>
        </w:rPr>
        <w:t xml:space="preserve"> </w:t>
      </w:r>
      <w:r w:rsidR="00ED1CE5" w:rsidRPr="00DD1B58">
        <w:rPr>
          <w:rFonts w:eastAsia="Arial"/>
          <w:noProof/>
          <w:szCs w:val="24"/>
          <w:lang w:val="en-US"/>
        </w:rPr>
        <w:t>the management of fire safety during the build process</w:t>
      </w:r>
      <w:r w:rsidRPr="00DD1B58">
        <w:rPr>
          <w:rFonts w:eastAsia="Arial"/>
          <w:noProof/>
          <w:szCs w:val="24"/>
          <w:lang w:val="en-US"/>
        </w:rPr>
        <w:t>.</w:t>
      </w:r>
      <w:r w:rsidR="00ED1CE5" w:rsidRPr="00DD1B58">
        <w:rPr>
          <w:rFonts w:eastAsia="Arial"/>
          <w:noProof/>
          <w:szCs w:val="24"/>
          <w:lang w:val="en-US"/>
        </w:rPr>
        <w:t xml:space="preserve"> A</w:t>
      </w:r>
      <w:r w:rsidRPr="00DD1B58">
        <w:rPr>
          <w:rFonts w:eastAsia="Arial"/>
          <w:noProof/>
          <w:szCs w:val="24"/>
          <w:lang w:val="en-US"/>
        </w:rPr>
        <w:t xml:space="preserve"> life fire inspection </w:t>
      </w:r>
      <w:r w:rsidR="00ED1CE5" w:rsidRPr="00DD1B58">
        <w:rPr>
          <w:rFonts w:eastAsia="Arial"/>
          <w:noProof/>
          <w:szCs w:val="24"/>
          <w:lang w:val="en-US"/>
        </w:rPr>
        <w:t>in 2023</w:t>
      </w:r>
      <w:sdt>
        <w:sdtPr>
          <w:rPr>
            <w:rFonts w:eastAsia="Arial"/>
            <w:noProof/>
            <w:szCs w:val="24"/>
            <w:lang w:val="en-US"/>
          </w:rPr>
          <w:id w:val="-302009298"/>
          <w:citation/>
        </w:sdtPr>
        <w:sdtContent>
          <w:r w:rsidR="00BC2142" w:rsidRPr="00DD1B58">
            <w:rPr>
              <w:rFonts w:eastAsia="Arial"/>
              <w:noProof/>
              <w:szCs w:val="24"/>
              <w:lang w:val="en-US"/>
            </w:rPr>
            <w:fldChar w:fldCharType="begin"/>
          </w:r>
          <w:r w:rsidR="005534BB" w:rsidRPr="00DD1B58">
            <w:rPr>
              <w:rFonts w:eastAsia="Arial"/>
              <w:noProof/>
              <w:szCs w:val="24"/>
              <w:lang w:val="en-US"/>
            </w:rPr>
            <w:instrText xml:space="preserve">CITATION ONR232 \l 2057 </w:instrText>
          </w:r>
          <w:r w:rsidR="00BC2142" w:rsidRPr="00DD1B58">
            <w:rPr>
              <w:rFonts w:eastAsia="Arial"/>
              <w:noProof/>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[133]</w:t>
          </w:r>
          <w:r w:rsidR="00BC2142" w:rsidRPr="00DD1B58">
            <w:rPr>
              <w:rFonts w:eastAsia="Arial"/>
              <w:noProof/>
              <w:szCs w:val="24"/>
              <w:lang w:val="en-US"/>
            </w:rPr>
            <w:fldChar w:fldCharType="end"/>
          </w:r>
        </w:sdtContent>
      </w:sdt>
      <w:r w:rsidR="00ED1CE5" w:rsidRPr="00DD1B58">
        <w:rPr>
          <w:rFonts w:eastAsia="Arial"/>
          <w:noProof/>
          <w:szCs w:val="24"/>
          <w:lang w:val="en-US"/>
        </w:rPr>
        <w:t xml:space="preserve"> </w:t>
      </w:r>
      <w:r w:rsidRPr="00DD1B58">
        <w:rPr>
          <w:rFonts w:eastAsia="Arial"/>
          <w:noProof/>
          <w:szCs w:val="24"/>
          <w:lang w:val="en-US"/>
        </w:rPr>
        <w:t>identifie</w:t>
      </w:r>
      <w:r w:rsidR="00C43212" w:rsidRPr="00DD1B58">
        <w:rPr>
          <w:rFonts w:eastAsia="Arial"/>
          <w:noProof/>
          <w:szCs w:val="24"/>
          <w:lang w:val="en-US"/>
        </w:rPr>
        <w:t>d</w:t>
      </w:r>
      <w:r w:rsidR="0091280B" w:rsidRPr="00DD1B58">
        <w:rPr>
          <w:rFonts w:eastAsia="Arial"/>
          <w:noProof/>
          <w:color w:val="111111"/>
          <w:szCs w:val="24"/>
          <w:lang w:val="en-US"/>
        </w:rPr>
        <w:t xml:space="preserve"> shortfalls </w:t>
      </w:r>
      <w:r w:rsidRPr="00DD1B58">
        <w:rPr>
          <w:rFonts w:eastAsia="Arial"/>
          <w:noProof/>
          <w:color w:val="111111"/>
          <w:szCs w:val="24"/>
          <w:lang w:val="en-US"/>
        </w:rPr>
        <w:t>relating to the control and management of combustible materials and ignition sources</w:t>
      </w:r>
      <w:r w:rsidR="00ED1CE5" w:rsidRPr="00DD1B58">
        <w:rPr>
          <w:rFonts w:eastAsia="Arial"/>
          <w:noProof/>
          <w:color w:val="111111"/>
          <w:szCs w:val="24"/>
          <w:lang w:val="en-US"/>
        </w:rPr>
        <w:t xml:space="preserve"> at the construction site</w:t>
      </w:r>
      <w:r w:rsidRPr="00DD1B58">
        <w:rPr>
          <w:rFonts w:eastAsia="Arial"/>
          <w:noProof/>
          <w:color w:val="111111"/>
          <w:szCs w:val="24"/>
          <w:lang w:val="en-US"/>
        </w:rPr>
        <w:t>, and the failure to adequately manage and monitor fire alarm systems required immediate intervention.</w:t>
      </w:r>
      <w:r w:rsidRPr="00DD1B58">
        <w:rPr>
          <w:rFonts w:eastAsia="Arial"/>
          <w:noProof/>
          <w:color w:val="111111"/>
          <w:sz w:val="20"/>
          <w:szCs w:val="20"/>
          <w:lang w:val="en-US"/>
        </w:rPr>
        <w:t xml:space="preserve"> </w:t>
      </w:r>
      <w:r w:rsidRPr="00DD1B58">
        <w:rPr>
          <w:rFonts w:eastAsia="Arial"/>
          <w:noProof/>
          <w:szCs w:val="24"/>
          <w:lang w:val="en-US"/>
        </w:rPr>
        <w:t xml:space="preserve">A 2022 life fire inspection </w:t>
      </w:r>
      <w:sdt>
        <w:sdtPr>
          <w:rPr>
            <w:rFonts w:eastAsia="Arial"/>
            <w:noProof/>
            <w:szCs w:val="24"/>
            <w:lang w:val="en-US"/>
          </w:rPr>
          <w:id w:val="1491216705"/>
          <w:citation/>
        </w:sdtPr>
        <w:sdtContent>
          <w:r w:rsidR="00A15897" w:rsidRPr="00DD1B58">
            <w:rPr>
              <w:rFonts w:eastAsia="Arial"/>
              <w:noProof/>
              <w:szCs w:val="24"/>
              <w:lang w:val="en-US"/>
            </w:rPr>
            <w:fldChar w:fldCharType="begin"/>
          </w:r>
          <w:r w:rsidR="005534BB" w:rsidRPr="00DD1B58">
            <w:rPr>
              <w:rFonts w:eastAsia="Arial"/>
              <w:noProof/>
              <w:szCs w:val="24"/>
              <w:lang w:val="en-US"/>
            </w:rPr>
            <w:instrText xml:space="preserve">CITATION ONR224 \l 2057 </w:instrText>
          </w:r>
          <w:r w:rsidR="00A15897" w:rsidRPr="00DD1B58">
            <w:rPr>
              <w:rFonts w:eastAsia="Arial"/>
              <w:noProof/>
              <w:szCs w:val="24"/>
              <w:lang w:val="en-US"/>
            </w:rPr>
            <w:fldChar w:fldCharType="separate"/>
          </w:r>
          <w:r w:rsidR="00DF47DA" w:rsidRPr="00DF47DA">
            <w:rPr>
              <w:rFonts w:eastAsia="Arial"/>
              <w:noProof/>
              <w:szCs w:val="24"/>
              <w:lang w:val="en-US"/>
            </w:rPr>
            <w:t>[134]</w:t>
          </w:r>
          <w:r w:rsidR="00A15897" w:rsidRPr="00DD1B58">
            <w:rPr>
              <w:rFonts w:eastAsia="Arial"/>
              <w:noProof/>
              <w:szCs w:val="24"/>
              <w:lang w:val="en-US"/>
            </w:rPr>
            <w:fldChar w:fldCharType="end"/>
          </w:r>
        </w:sdtContent>
      </w:sdt>
      <w:r w:rsidRPr="00DD1B58">
        <w:rPr>
          <w:rFonts w:eastAsia="Arial"/>
          <w:noProof/>
          <w:szCs w:val="24"/>
          <w:lang w:val="en-US"/>
        </w:rPr>
        <w:t xml:space="preserve"> found that </w:t>
      </w:r>
      <w:r w:rsidRPr="00DD1B58">
        <w:rPr>
          <w:rFonts w:eastAsia="Arial"/>
          <w:noProof/>
          <w:color w:val="111111"/>
          <w:szCs w:val="24"/>
          <w:lang w:val="en-US"/>
        </w:rPr>
        <w:t>there were inadequate procedures for controlling hot works in the HGE gallery (the raw water supply and storage liaison gallery). These centred around inadequate control of hot works, including the absence of a task specific hot works permit and fire watch arrangements.</w:t>
      </w:r>
      <w:r w:rsidR="00FF5847" w:rsidRPr="00DD1B58">
        <w:rPr>
          <w:rFonts w:eastAsia="Arial"/>
          <w:noProof/>
          <w:color w:val="111111"/>
          <w:szCs w:val="24"/>
          <w:lang w:val="en-US"/>
        </w:rPr>
        <w:t xml:space="preserve"> Many of the </w:t>
      </w:r>
      <w:r w:rsidR="0074084D" w:rsidRPr="00DD1B58">
        <w:rPr>
          <w:rFonts w:eastAsia="Arial"/>
          <w:noProof/>
          <w:color w:val="111111"/>
          <w:szCs w:val="24"/>
          <w:lang w:val="en-US"/>
        </w:rPr>
        <w:t>issues identified have been resolved but others are still being addressed</w:t>
      </w:r>
      <w:r w:rsidR="003E5F47" w:rsidRPr="00DD1B58">
        <w:rPr>
          <w:rFonts w:eastAsia="Arial"/>
          <w:noProof/>
          <w:color w:val="111111"/>
          <w:szCs w:val="24"/>
          <w:lang w:val="en-US"/>
        </w:rPr>
        <w:t>.</w:t>
      </w:r>
      <w:r w:rsidR="0034760B" w:rsidRPr="00DD1B58">
        <w:rPr>
          <w:rFonts w:eastAsia="Arial"/>
          <w:noProof/>
          <w:color w:val="111111"/>
          <w:szCs w:val="24"/>
          <w:lang w:val="en-US"/>
        </w:rPr>
        <w:t xml:space="preserve"> ONR continues to undertake fire safety interventions at th</w:t>
      </w:r>
      <w:r w:rsidR="009E10A5" w:rsidRPr="00DD1B58">
        <w:rPr>
          <w:rFonts w:eastAsia="Arial"/>
          <w:noProof/>
          <w:color w:val="111111"/>
          <w:szCs w:val="24"/>
          <w:lang w:val="en-US"/>
        </w:rPr>
        <w:t>e</w:t>
      </w:r>
      <w:r w:rsidR="0034760B" w:rsidRPr="00DD1B58">
        <w:rPr>
          <w:rFonts w:eastAsia="Arial"/>
          <w:noProof/>
          <w:color w:val="111111"/>
          <w:szCs w:val="24"/>
          <w:lang w:val="en-US"/>
        </w:rPr>
        <w:t xml:space="preserve"> construction site.</w:t>
      </w:r>
    </w:p>
    <w:p w14:paraId="68224DA1" w14:textId="218F6851" w:rsidR="16173E2B" w:rsidRPr="00DD1B58" w:rsidRDefault="00844CC8">
      <w:pPr>
        <w:rPr>
          <w:lang w:val="en-US"/>
        </w:rPr>
      </w:pPr>
      <w:r w:rsidRPr="00DD1B58">
        <w:rPr>
          <w:rFonts w:eastAsia="Arial"/>
          <w:noProof/>
          <w:color w:val="111111"/>
          <w:szCs w:val="24"/>
          <w:lang w:val="en-US"/>
        </w:rPr>
        <w:t>Whilst the shortfalls related to fire issues in the construction site and are not per se representative of the future operation of the site, ONR stressed the importance of reinforcing safety culture for fire safety (from both a life protection and nuclear safety perspective).</w:t>
      </w:r>
    </w:p>
    <w:p w14:paraId="07090311" w14:textId="0D966067" w:rsidR="006A1A16" w:rsidRPr="00DD1B58" w:rsidRDefault="006A1A16" w:rsidP="00177432">
      <w:pPr>
        <w:pStyle w:val="Heading3A"/>
        <w:rPr>
          <w:lang w:val="en-US"/>
        </w:rPr>
      </w:pPr>
      <w:bookmarkStart w:id="78" w:name="_Toc147090639"/>
      <w:r w:rsidRPr="00DD1B58">
        <w:rPr>
          <w:lang w:val="en-US"/>
        </w:rPr>
        <w:t xml:space="preserve">Research </w:t>
      </w:r>
      <w:r w:rsidR="00161918" w:rsidRPr="00DD1B58">
        <w:rPr>
          <w:lang w:val="en-US"/>
        </w:rPr>
        <w:t>r</w:t>
      </w:r>
      <w:r w:rsidRPr="00DD1B58">
        <w:rPr>
          <w:lang w:val="en-US"/>
        </w:rPr>
        <w:t>eactors</w:t>
      </w:r>
      <w:bookmarkEnd w:id="78"/>
    </w:p>
    <w:p w14:paraId="7FC75407" w14:textId="3BAA6E09" w:rsidR="00C90E0B" w:rsidRPr="00DD1B58" w:rsidRDefault="00C90E0B" w:rsidP="00C90E0B">
      <w:pPr>
        <w:rPr>
          <w:lang w:val="en-US"/>
        </w:rPr>
      </w:pPr>
      <w:r w:rsidRPr="00DD1B58">
        <w:rPr>
          <w:lang w:val="en-US"/>
        </w:rPr>
        <w:t xml:space="preserve">The UK has no </w:t>
      </w:r>
      <w:r w:rsidR="005041BC" w:rsidRPr="00DD1B58">
        <w:rPr>
          <w:lang w:val="en-US"/>
        </w:rPr>
        <w:t>resea</w:t>
      </w:r>
      <w:r w:rsidR="00A811BB" w:rsidRPr="00DD1B58">
        <w:rPr>
          <w:lang w:val="en-US"/>
        </w:rPr>
        <w:t>rch reactors in operation.</w:t>
      </w:r>
    </w:p>
    <w:p w14:paraId="1CEF7ADE" w14:textId="3F1C7E5A" w:rsidR="006A1A16" w:rsidRPr="00DD1B58" w:rsidRDefault="006A1A16" w:rsidP="00177432">
      <w:pPr>
        <w:pStyle w:val="Heading3A"/>
        <w:rPr>
          <w:lang w:val="en-US"/>
        </w:rPr>
      </w:pPr>
      <w:bookmarkStart w:id="79" w:name="_Toc147090640"/>
      <w:r w:rsidRPr="00DD1B58">
        <w:rPr>
          <w:lang w:val="en-US"/>
        </w:rPr>
        <w:t xml:space="preserve">Fuel </w:t>
      </w:r>
      <w:r w:rsidR="00161918" w:rsidRPr="00DD1B58">
        <w:rPr>
          <w:lang w:val="en-US"/>
        </w:rPr>
        <w:t>c</w:t>
      </w:r>
      <w:r w:rsidRPr="00DD1B58">
        <w:rPr>
          <w:lang w:val="en-US"/>
        </w:rPr>
        <w:t xml:space="preserve">ycle </w:t>
      </w:r>
      <w:r w:rsidR="00161918" w:rsidRPr="00DD1B58">
        <w:rPr>
          <w:lang w:val="en-US"/>
        </w:rPr>
        <w:t>f</w:t>
      </w:r>
      <w:r w:rsidRPr="00DD1B58">
        <w:rPr>
          <w:lang w:val="en-US"/>
        </w:rPr>
        <w:t>acilities</w:t>
      </w:r>
      <w:bookmarkEnd w:id="79"/>
    </w:p>
    <w:p w14:paraId="5CFD4DA2" w14:textId="165D17A5" w:rsidR="00CF457F" w:rsidRPr="00DD1B58" w:rsidRDefault="000F4D3F" w:rsidP="000F4D3F">
      <w:pPr>
        <w:rPr>
          <w:lang w:val="en-US"/>
        </w:rPr>
      </w:pPr>
      <w:r w:rsidRPr="00DD1B58">
        <w:rPr>
          <w:lang w:val="en-US"/>
        </w:rPr>
        <w:t>To avoid duplication, reprocessing facilities at Sellafield are reported</w:t>
      </w:r>
      <w:r w:rsidR="0091280B" w:rsidRPr="00DD1B58">
        <w:rPr>
          <w:lang w:val="en-US"/>
        </w:rPr>
        <w:t xml:space="preserve"> alongside all Sellafield waste storage facilities in</w:t>
      </w:r>
      <w:r w:rsidRPr="00DD1B58">
        <w:rPr>
          <w:lang w:val="en-US"/>
        </w:rPr>
        <w:t xml:space="preserve"> section </w:t>
      </w:r>
      <w:r w:rsidRPr="00DD1B58">
        <w:rPr>
          <w:lang w:val="en-US"/>
        </w:rPr>
        <w:fldChar w:fldCharType="begin"/>
      </w:r>
      <w:r w:rsidRPr="00DD1B58">
        <w:rPr>
          <w:lang w:val="en-US"/>
        </w:rPr>
        <w:instrText xml:space="preserve"> REF _Ref135218093 \n \h </w:instrText>
      </w:r>
      <w:r w:rsidRPr="00DD1B58">
        <w:rPr>
          <w:lang w:val="en-US"/>
        </w:rPr>
      </w:r>
      <w:r w:rsidRPr="00DD1B58">
        <w:rPr>
          <w:lang w:val="en-US"/>
        </w:rPr>
        <w:fldChar w:fldCharType="separate"/>
      </w:r>
      <w:r w:rsidR="00DF47DA">
        <w:rPr>
          <w:lang w:val="en-US"/>
        </w:rPr>
        <w:t>E</w:t>
      </w:r>
      <w:r w:rsidRPr="00DD1B58">
        <w:rPr>
          <w:lang w:val="en-US"/>
        </w:rPr>
        <w:fldChar w:fldCharType="end"/>
      </w:r>
      <w:r w:rsidRPr="00DD1B58">
        <w:rPr>
          <w:lang w:val="en-US"/>
        </w:rPr>
        <w:t>.</w:t>
      </w:r>
      <w:r w:rsidR="0091280B" w:rsidRPr="00DD1B58">
        <w:rPr>
          <w:lang w:val="en-US"/>
        </w:rPr>
        <w:t xml:space="preserve"> </w:t>
      </w:r>
      <w:r w:rsidR="00CF457F" w:rsidRPr="00DD1B58">
        <w:rPr>
          <w:lang w:val="en-US"/>
        </w:rPr>
        <w:t>The text in Section</w:t>
      </w:r>
      <w:r w:rsidR="0091280B" w:rsidRPr="00DD1B58">
        <w:rPr>
          <w:lang w:val="en-US"/>
        </w:rPr>
        <w:t xml:space="preserve"> C</w:t>
      </w:r>
      <w:r w:rsidR="00CF457F" w:rsidRPr="00DD1B58">
        <w:rPr>
          <w:lang w:val="en-US"/>
        </w:rPr>
        <w:t xml:space="preserve"> has been prepared by Urenco UK Ltd </w:t>
      </w:r>
      <w:r w:rsidR="0091280B" w:rsidRPr="00DD1B58">
        <w:rPr>
          <w:lang w:val="en-US"/>
        </w:rPr>
        <w:t xml:space="preserve">(UUK) </w:t>
      </w:r>
      <w:r w:rsidR="00CF457F" w:rsidRPr="00DD1B58">
        <w:rPr>
          <w:lang w:val="en-US"/>
        </w:rPr>
        <w:t xml:space="preserve">and Springfields Fuels </w:t>
      </w:r>
      <w:r w:rsidR="00BF0D1B" w:rsidRPr="00DD1B58">
        <w:rPr>
          <w:lang w:val="en-US"/>
        </w:rPr>
        <w:t>Ltd</w:t>
      </w:r>
      <w:r w:rsidR="0099190E" w:rsidRPr="00DD1B58">
        <w:rPr>
          <w:lang w:val="en-US"/>
        </w:rPr>
        <w:t>.</w:t>
      </w:r>
      <w:r w:rsidR="00CF457F" w:rsidRPr="00DD1B58">
        <w:rPr>
          <w:lang w:val="en-US"/>
        </w:rPr>
        <w:t xml:space="preserve"> Background information on the sites and the range of installations considered in the scope of the assessment is provided in Sections </w:t>
      </w:r>
      <w:r w:rsidR="00CF457F" w:rsidRPr="00DD1B58">
        <w:rPr>
          <w:lang w:val="en-US"/>
        </w:rPr>
        <w:fldChar w:fldCharType="begin"/>
      </w:r>
      <w:r w:rsidR="00CF457F" w:rsidRPr="00DD1B58">
        <w:rPr>
          <w:lang w:val="en-US"/>
        </w:rPr>
        <w:instrText xml:space="preserve"> REF _Ref135231533 \r \h </w:instrText>
      </w:r>
      <w:r w:rsidR="00CF457F" w:rsidRPr="00DD1B58">
        <w:rPr>
          <w:lang w:val="en-US"/>
        </w:rPr>
      </w:r>
      <w:r w:rsidR="00CF457F" w:rsidRPr="00DD1B58">
        <w:rPr>
          <w:lang w:val="en-US"/>
        </w:rPr>
        <w:fldChar w:fldCharType="separate"/>
      </w:r>
      <w:r w:rsidR="00DF47DA">
        <w:rPr>
          <w:lang w:val="en-US"/>
        </w:rPr>
        <w:t>1.1.2</w:t>
      </w:r>
      <w:r w:rsidR="00CF457F" w:rsidRPr="00DD1B58">
        <w:rPr>
          <w:lang w:val="en-US"/>
        </w:rPr>
        <w:fldChar w:fldCharType="end"/>
      </w:r>
      <w:r w:rsidR="00CF457F" w:rsidRPr="00DD1B58">
        <w:rPr>
          <w:lang w:val="en-US"/>
        </w:rPr>
        <w:t xml:space="preserve"> and </w:t>
      </w:r>
      <w:r w:rsidR="00CF457F" w:rsidRPr="00DD1B58">
        <w:rPr>
          <w:lang w:val="en-US"/>
        </w:rPr>
        <w:fldChar w:fldCharType="begin"/>
      </w:r>
      <w:r w:rsidR="00CF457F" w:rsidRPr="00DD1B58">
        <w:rPr>
          <w:lang w:val="en-US"/>
        </w:rPr>
        <w:instrText xml:space="preserve"> REF _Ref135231543 \r \h </w:instrText>
      </w:r>
      <w:r w:rsidR="00CF457F" w:rsidRPr="00DD1B58">
        <w:rPr>
          <w:lang w:val="en-US"/>
        </w:rPr>
      </w:r>
      <w:r w:rsidR="00CF457F" w:rsidRPr="00DD1B58">
        <w:rPr>
          <w:lang w:val="en-US"/>
        </w:rPr>
        <w:fldChar w:fldCharType="separate"/>
      </w:r>
      <w:r w:rsidR="00DF47DA">
        <w:rPr>
          <w:lang w:val="en-US"/>
        </w:rPr>
        <w:t>1.1.3</w:t>
      </w:r>
      <w:r w:rsidR="00CF457F" w:rsidRPr="00DD1B58">
        <w:rPr>
          <w:lang w:val="en-US"/>
        </w:rPr>
        <w:fldChar w:fldCharType="end"/>
      </w:r>
      <w:r w:rsidR="00CF457F" w:rsidRPr="00DD1B58">
        <w:rPr>
          <w:lang w:val="en-US"/>
        </w:rPr>
        <w:t>.</w:t>
      </w:r>
    </w:p>
    <w:p w14:paraId="7C983603" w14:textId="73B93280" w:rsidR="00D36AB8" w:rsidRPr="00DD1B58" w:rsidRDefault="00D36AB8" w:rsidP="00177432">
      <w:pPr>
        <w:pStyle w:val="Heading4A"/>
        <w:rPr>
          <w:lang w:val="en-US"/>
        </w:rPr>
      </w:pPr>
      <w:r w:rsidRPr="00DD1B58">
        <w:rPr>
          <w:lang w:val="en-US"/>
        </w:rPr>
        <w:t xml:space="preserve">Enrichment </w:t>
      </w:r>
      <w:r w:rsidR="00161918" w:rsidRPr="00DD1B58">
        <w:rPr>
          <w:lang w:val="en-US"/>
        </w:rPr>
        <w:t>f</w:t>
      </w:r>
      <w:r w:rsidRPr="00DD1B58">
        <w:rPr>
          <w:lang w:val="en-US"/>
        </w:rPr>
        <w:t>acilities</w:t>
      </w:r>
      <w:r w:rsidR="00A67443" w:rsidRPr="00DD1B58">
        <w:rPr>
          <w:lang w:val="en-US"/>
        </w:rPr>
        <w:t xml:space="preserve"> – </w:t>
      </w:r>
      <w:r w:rsidR="0091280B" w:rsidRPr="00DD1B58">
        <w:rPr>
          <w:lang w:val="en-US"/>
        </w:rPr>
        <w:t>Urenco UK L</w:t>
      </w:r>
      <w:r w:rsidR="00950BD0" w:rsidRPr="00DD1B58">
        <w:rPr>
          <w:lang w:val="en-US"/>
        </w:rPr>
        <w:t>t</w:t>
      </w:r>
      <w:r w:rsidR="0091280B" w:rsidRPr="00DD1B58">
        <w:rPr>
          <w:lang w:val="en-US"/>
        </w:rPr>
        <w:t xml:space="preserve">d (UUK) </w:t>
      </w:r>
      <w:r w:rsidR="00A67443" w:rsidRPr="00DD1B58">
        <w:rPr>
          <w:lang w:val="en-US"/>
        </w:rPr>
        <w:t>Capenhurst</w:t>
      </w:r>
    </w:p>
    <w:p w14:paraId="765CFC16" w14:textId="77777777" w:rsidR="00D3121A" w:rsidRPr="00DD1B58" w:rsidRDefault="00D3121A" w:rsidP="00177432">
      <w:pPr>
        <w:pStyle w:val="Heading5A"/>
        <w:rPr>
          <w:lang w:val="en-US"/>
        </w:rPr>
      </w:pPr>
      <w:r w:rsidRPr="00DD1B58">
        <w:rPr>
          <w:lang w:val="en-US"/>
        </w:rPr>
        <w:t>Design considerations and prevention means</w:t>
      </w:r>
    </w:p>
    <w:p w14:paraId="683FC084" w14:textId="13AC1F67" w:rsidR="005F1BA3" w:rsidRPr="00DD1B58" w:rsidRDefault="0091280B" w:rsidP="00B77803">
      <w:pPr>
        <w:autoSpaceDE w:val="0"/>
        <w:autoSpaceDN w:val="0"/>
        <w:adjustRightInd w:val="0"/>
        <w:spacing w:after="0" w:line="240" w:lineRule="auto"/>
        <w:rPr>
          <w:szCs w:val="24"/>
          <w:lang w:val="en-US" w:eastAsia="en-GB" w:bidi="ar-SA"/>
        </w:rPr>
      </w:pPr>
      <w:r w:rsidRPr="00DD1B58">
        <w:rPr>
          <w:szCs w:val="24"/>
          <w:lang w:val="en-US"/>
        </w:rPr>
        <w:t>UUK’s b</w:t>
      </w:r>
      <w:r w:rsidR="00B77803" w:rsidRPr="00DD1B58">
        <w:rPr>
          <w:szCs w:val="24"/>
          <w:lang w:val="en-US"/>
        </w:rPr>
        <w:t xml:space="preserve">asis </w:t>
      </w:r>
      <w:r w:rsidR="00B77803" w:rsidRPr="00DD1B58">
        <w:rPr>
          <w:szCs w:val="24"/>
          <w:lang w:val="en-US" w:eastAsia="en-GB" w:bidi="ar-SA"/>
        </w:rPr>
        <w:t>of design for fire prevention in new build facilities and refurbishment standards for existing</w:t>
      </w:r>
      <w:r w:rsidR="005F1BA3" w:rsidRPr="00DD1B58">
        <w:rPr>
          <w:szCs w:val="24"/>
          <w:lang w:val="en-US" w:eastAsia="en-GB" w:bidi="ar-SA"/>
        </w:rPr>
        <w:t xml:space="preserve"> </w:t>
      </w:r>
      <w:r w:rsidR="00B77803" w:rsidRPr="00DD1B58">
        <w:rPr>
          <w:szCs w:val="24"/>
          <w:lang w:val="en-US" w:eastAsia="en-GB" w:bidi="ar-SA"/>
        </w:rPr>
        <w:t>facilities are based upon BS9997 (Fire Risk Management Systems – defining requirements with</w:t>
      </w:r>
      <w:r w:rsidR="005F1BA3" w:rsidRPr="00DD1B58">
        <w:rPr>
          <w:szCs w:val="24"/>
          <w:lang w:val="en-US" w:eastAsia="en-GB" w:bidi="ar-SA"/>
        </w:rPr>
        <w:t xml:space="preserve"> </w:t>
      </w:r>
      <w:r w:rsidR="00B77803" w:rsidRPr="00DD1B58">
        <w:rPr>
          <w:szCs w:val="24"/>
          <w:lang w:val="en-US" w:eastAsia="en-GB" w:bidi="ar-SA"/>
        </w:rPr>
        <w:t>guidance for use) and BS9999 (Fire Safety in the Design, Management and Use of Buildings Code</w:t>
      </w:r>
      <w:r w:rsidR="005F1BA3" w:rsidRPr="00DD1B58">
        <w:rPr>
          <w:szCs w:val="24"/>
          <w:lang w:val="en-US" w:eastAsia="en-GB" w:bidi="ar-SA"/>
        </w:rPr>
        <w:t xml:space="preserve"> </w:t>
      </w:r>
      <w:r w:rsidR="00B77803" w:rsidRPr="00DD1B58">
        <w:rPr>
          <w:szCs w:val="24"/>
          <w:lang w:val="en-US" w:eastAsia="en-GB" w:bidi="ar-SA"/>
        </w:rPr>
        <w:t xml:space="preserve">of Practice). Subsequently </w:t>
      </w:r>
      <w:r w:rsidR="00165F24" w:rsidRPr="00DD1B58">
        <w:rPr>
          <w:szCs w:val="24"/>
          <w:lang w:val="en-US" w:eastAsia="en-GB" w:bidi="ar-SA"/>
        </w:rPr>
        <w:t xml:space="preserve">UUK reported </w:t>
      </w:r>
      <w:r w:rsidR="00B77803" w:rsidRPr="00DD1B58">
        <w:rPr>
          <w:szCs w:val="24"/>
          <w:lang w:val="en-US" w:eastAsia="en-GB" w:bidi="ar-SA"/>
        </w:rPr>
        <w:t>three primary objectives at Capenhurst:</w:t>
      </w:r>
    </w:p>
    <w:p w14:paraId="70C970C6" w14:textId="77777777" w:rsidR="005F1BA3" w:rsidRPr="00DD1B58" w:rsidRDefault="005F1BA3" w:rsidP="00B77803">
      <w:pPr>
        <w:autoSpaceDE w:val="0"/>
        <w:autoSpaceDN w:val="0"/>
        <w:adjustRightInd w:val="0"/>
        <w:spacing w:after="0" w:line="240" w:lineRule="auto"/>
        <w:rPr>
          <w:szCs w:val="24"/>
          <w:lang w:val="en-US" w:eastAsia="en-GB" w:bidi="ar-SA"/>
        </w:rPr>
      </w:pPr>
    </w:p>
    <w:p w14:paraId="7AF8608D" w14:textId="77777777" w:rsidR="005F1BA3" w:rsidRPr="00DD1B58" w:rsidRDefault="00B77803" w:rsidP="00964B3C">
      <w:pPr>
        <w:pStyle w:val="Bulletlist1"/>
        <w:rPr>
          <w:lang w:val="en-US" w:eastAsia="en-GB" w:bidi="ar-SA"/>
        </w:rPr>
      </w:pPr>
      <w:r w:rsidRPr="00DD1B58">
        <w:rPr>
          <w:lang w:val="en-US" w:eastAsia="en-GB" w:bidi="ar-SA"/>
        </w:rPr>
        <w:t>Minimise potential for fire to occur</w:t>
      </w:r>
    </w:p>
    <w:p w14:paraId="259CEE8C" w14:textId="77777777" w:rsidR="005F1BA3" w:rsidRPr="00DD1B58" w:rsidRDefault="00B77803" w:rsidP="00964B3C">
      <w:pPr>
        <w:pStyle w:val="Bulletlist1"/>
        <w:rPr>
          <w:lang w:val="en-US" w:eastAsia="en-GB" w:bidi="ar-SA"/>
        </w:rPr>
      </w:pPr>
      <w:r w:rsidRPr="00DD1B58">
        <w:rPr>
          <w:lang w:val="en-US" w:eastAsia="en-GB" w:bidi="ar-SA"/>
        </w:rPr>
        <w:t>Reduce fire incidences</w:t>
      </w:r>
    </w:p>
    <w:p w14:paraId="107824F0" w14:textId="77777777" w:rsidR="00B77803" w:rsidRPr="00DD1B58" w:rsidRDefault="00B77803" w:rsidP="00964B3C">
      <w:pPr>
        <w:pStyle w:val="Bulletlist1"/>
        <w:rPr>
          <w:lang w:val="en-US" w:eastAsia="en-GB" w:bidi="ar-SA"/>
        </w:rPr>
      </w:pPr>
      <w:r w:rsidRPr="00DD1B58">
        <w:rPr>
          <w:lang w:val="en-US" w:eastAsia="en-GB" w:bidi="ar-SA"/>
        </w:rPr>
        <w:t>To safeguard all persons from harm in the event of fire</w:t>
      </w:r>
    </w:p>
    <w:p w14:paraId="6C2DC7E1" w14:textId="77777777" w:rsidR="003A5B17" w:rsidRPr="00DD1B58" w:rsidRDefault="005F1BA3" w:rsidP="003A5B17">
      <w:pPr>
        <w:autoSpaceDE w:val="0"/>
        <w:autoSpaceDN w:val="0"/>
        <w:adjustRightInd w:val="0"/>
        <w:spacing w:after="0" w:line="240" w:lineRule="auto"/>
        <w:rPr>
          <w:szCs w:val="24"/>
          <w:lang w:val="en-US" w:eastAsia="en-GB" w:bidi="ar-SA"/>
        </w:rPr>
      </w:pPr>
      <w:r w:rsidRPr="00DD1B58">
        <w:rPr>
          <w:szCs w:val="24"/>
          <w:lang w:val="en-US" w:eastAsia="en-GB" w:bidi="ar-SA"/>
        </w:rPr>
        <w:t xml:space="preserve">Fire </w:t>
      </w:r>
      <w:r w:rsidR="00DD35CF" w:rsidRPr="00DD1B58">
        <w:rPr>
          <w:szCs w:val="24"/>
          <w:lang w:val="en-US" w:eastAsia="en-GB" w:bidi="ar-SA"/>
        </w:rPr>
        <w:t xml:space="preserve">protection refers </w:t>
      </w:r>
      <w:r w:rsidR="003A5B17" w:rsidRPr="00DD1B58">
        <w:rPr>
          <w:szCs w:val="24"/>
          <w:lang w:val="en-US" w:eastAsia="en-GB" w:bidi="ar-SA"/>
        </w:rPr>
        <w:t xml:space="preserve">to measures taken to prevent fire from becoming destructive, reduce the impact of an uncontrolled fire, and save lives and property. Fire prevention measures </w:t>
      </w:r>
      <w:r w:rsidR="00165F24" w:rsidRPr="00DD1B58">
        <w:rPr>
          <w:szCs w:val="24"/>
          <w:lang w:val="en-US" w:eastAsia="en-GB" w:bidi="ar-SA"/>
        </w:rPr>
        <w:t xml:space="preserve">at UUK </w:t>
      </w:r>
      <w:r w:rsidR="003A5B17" w:rsidRPr="00DD1B58">
        <w:rPr>
          <w:szCs w:val="24"/>
          <w:lang w:val="en-US" w:eastAsia="en-GB" w:bidi="ar-SA"/>
        </w:rPr>
        <w:t>include:</w:t>
      </w:r>
    </w:p>
    <w:p w14:paraId="3359E186" w14:textId="77777777" w:rsidR="003A5B17" w:rsidRPr="00DD1B58" w:rsidRDefault="003A5B17" w:rsidP="003A5B17">
      <w:pPr>
        <w:autoSpaceDE w:val="0"/>
        <w:autoSpaceDN w:val="0"/>
        <w:adjustRightInd w:val="0"/>
        <w:spacing w:after="0" w:line="240" w:lineRule="auto"/>
        <w:rPr>
          <w:szCs w:val="24"/>
          <w:lang w:val="en-US" w:eastAsia="en-GB" w:bidi="ar-SA"/>
        </w:rPr>
      </w:pPr>
    </w:p>
    <w:p w14:paraId="1A2DA2FB" w14:textId="77777777" w:rsidR="003A5B17" w:rsidRPr="00DD1B58" w:rsidRDefault="003A5B17" w:rsidP="00964B3C">
      <w:pPr>
        <w:pStyle w:val="Bulletlist1"/>
        <w:rPr>
          <w:lang w:val="en-US" w:eastAsia="en-GB" w:bidi="ar-SA"/>
        </w:rPr>
      </w:pPr>
      <w:r w:rsidRPr="00DD1B58">
        <w:rPr>
          <w:lang w:val="en-US" w:eastAsia="en-GB" w:bidi="ar-SA"/>
        </w:rPr>
        <w:t>Fire-resistant building construction materials conforming to a facility specific Fire Strategy.</w:t>
      </w:r>
    </w:p>
    <w:p w14:paraId="63D22DBB" w14:textId="77777777" w:rsidR="003A5B17" w:rsidRPr="00DD1B58" w:rsidRDefault="003A5B17" w:rsidP="00964B3C">
      <w:pPr>
        <w:pStyle w:val="Bulletlist1"/>
        <w:rPr>
          <w:lang w:val="en-US" w:eastAsia="en-GB" w:bidi="ar-SA"/>
        </w:rPr>
      </w:pPr>
      <w:r w:rsidRPr="00DD1B58">
        <w:rPr>
          <w:lang w:val="en-US" w:eastAsia="en-GB" w:bidi="ar-SA"/>
        </w:rPr>
        <w:t>Safety planning, including Departmental Emergency Arrangements, management of temporary lay down areas, Standard Operating Procedures for Incident Response Service.</w:t>
      </w:r>
    </w:p>
    <w:p w14:paraId="113141C4" w14:textId="77777777" w:rsidR="003A5B17" w:rsidRPr="00DD1B58" w:rsidRDefault="003A5B17" w:rsidP="00964B3C">
      <w:pPr>
        <w:pStyle w:val="Bulletlist1"/>
        <w:rPr>
          <w:lang w:val="en-US" w:eastAsia="en-GB" w:bidi="ar-SA"/>
        </w:rPr>
      </w:pPr>
      <w:r w:rsidRPr="00DD1B58">
        <w:rPr>
          <w:lang w:val="en-US" w:eastAsia="en-GB" w:bidi="ar-SA"/>
        </w:rPr>
        <w:t>Safe operations, including management of fire loading, location of nuclear inventory, and ignition sources such as control of hot work, etc.</w:t>
      </w:r>
    </w:p>
    <w:p w14:paraId="29B4C616" w14:textId="77777777" w:rsidR="003A5B17" w:rsidRPr="00DD1B58" w:rsidRDefault="003A5B17" w:rsidP="00964B3C">
      <w:pPr>
        <w:pStyle w:val="Bulletlist1"/>
        <w:rPr>
          <w:lang w:val="en-US" w:eastAsia="en-GB" w:bidi="ar-SA"/>
        </w:rPr>
      </w:pPr>
      <w:r w:rsidRPr="00DD1B58">
        <w:rPr>
          <w:lang w:val="en-US" w:eastAsia="en-GB" w:bidi="ar-SA"/>
        </w:rPr>
        <w:t>Providing education on fire risks and safety.</w:t>
      </w:r>
    </w:p>
    <w:p w14:paraId="171FF138" w14:textId="77777777" w:rsidR="003A5B17" w:rsidRPr="00DD1B58" w:rsidRDefault="003A5B17" w:rsidP="00964B3C">
      <w:pPr>
        <w:pStyle w:val="Bulletlist1"/>
        <w:rPr>
          <w:lang w:val="en-US" w:eastAsia="en-GB" w:bidi="ar-SA"/>
        </w:rPr>
      </w:pPr>
      <w:r w:rsidRPr="00DD1B58">
        <w:rPr>
          <w:lang w:val="en-US" w:eastAsia="en-GB" w:bidi="ar-SA"/>
        </w:rPr>
        <w:t>Implementing safety planning practices and drills.</w:t>
      </w:r>
    </w:p>
    <w:p w14:paraId="3F759FCD" w14:textId="77777777" w:rsidR="003A5B17" w:rsidRPr="00DD1B58" w:rsidRDefault="003A5B17" w:rsidP="00964B3C">
      <w:pPr>
        <w:pStyle w:val="Bulletlist1"/>
        <w:rPr>
          <w:lang w:val="en-US" w:eastAsia="en-GB" w:bidi="ar-SA"/>
        </w:rPr>
      </w:pPr>
      <w:r w:rsidRPr="00DD1B58">
        <w:rPr>
          <w:lang w:val="en-US" w:eastAsia="en-GB" w:bidi="ar-SA"/>
        </w:rPr>
        <w:t>Training and testing of mitigating systems, including fire detection/suppression and automatic shutdown systems.</w:t>
      </w:r>
    </w:p>
    <w:p w14:paraId="1E8046A1" w14:textId="77777777" w:rsidR="00D91DAA" w:rsidRPr="00DD1B58" w:rsidRDefault="00D91DAA" w:rsidP="00964B3C">
      <w:pPr>
        <w:pStyle w:val="Bulletlist1"/>
        <w:rPr>
          <w:lang w:val="en-US" w:eastAsia="en-GB" w:bidi="ar-SA"/>
        </w:rPr>
      </w:pPr>
      <w:r w:rsidRPr="00DD1B58">
        <w:rPr>
          <w:lang w:val="en-US" w:eastAsia="en-GB" w:bidi="ar-SA"/>
        </w:rPr>
        <w:t>Conducting research and investigations.</w:t>
      </w:r>
    </w:p>
    <w:p w14:paraId="3A224915" w14:textId="4D3D752E" w:rsidR="00B73F81" w:rsidRPr="00DD1B58" w:rsidRDefault="00B73F81" w:rsidP="00B73F81">
      <w:pPr>
        <w:autoSpaceDE w:val="0"/>
        <w:autoSpaceDN w:val="0"/>
        <w:adjustRightInd w:val="0"/>
        <w:spacing w:after="0" w:line="240" w:lineRule="auto"/>
        <w:rPr>
          <w:szCs w:val="24"/>
          <w:lang w:val="en-US" w:eastAsia="en-GB" w:bidi="ar-SA"/>
        </w:rPr>
      </w:pPr>
      <w:r w:rsidRPr="00DD1B58">
        <w:rPr>
          <w:szCs w:val="24"/>
          <w:lang w:val="en-US" w:eastAsia="en-GB" w:bidi="ar-SA"/>
        </w:rPr>
        <w:t xml:space="preserve">The recommendations and guidance given in </w:t>
      </w:r>
      <w:r w:rsidR="00165F24" w:rsidRPr="00DD1B58">
        <w:rPr>
          <w:szCs w:val="24"/>
          <w:lang w:val="en-US" w:eastAsia="en-GB" w:bidi="ar-SA"/>
        </w:rPr>
        <w:t xml:space="preserve">the </w:t>
      </w:r>
      <w:r w:rsidRPr="00DD1B58">
        <w:rPr>
          <w:szCs w:val="24"/>
          <w:lang w:val="en-US" w:eastAsia="en-GB" w:bidi="ar-SA"/>
        </w:rPr>
        <w:t xml:space="preserve">British Standard </w:t>
      </w:r>
      <w:r w:rsidR="00A96945" w:rsidRPr="00DD1B58">
        <w:rPr>
          <w:szCs w:val="24"/>
          <w:lang w:val="en-US" w:eastAsia="en-GB" w:bidi="ar-SA"/>
        </w:rPr>
        <w:t>assume</w:t>
      </w:r>
      <w:r w:rsidR="00FD39AE" w:rsidRPr="00DD1B58">
        <w:rPr>
          <w:szCs w:val="24"/>
          <w:lang w:val="en-US" w:eastAsia="en-GB" w:bidi="ar-SA"/>
        </w:rPr>
        <w:t xml:space="preserve"> </w:t>
      </w:r>
      <w:r w:rsidRPr="00DD1B58">
        <w:rPr>
          <w:szCs w:val="24"/>
          <w:lang w:val="en-US" w:eastAsia="en-GB" w:bidi="ar-SA"/>
        </w:rPr>
        <w:t>that under normal circumstances (</w:t>
      </w:r>
      <w:r w:rsidR="00FD39AE" w:rsidRPr="00DD1B58">
        <w:rPr>
          <w:szCs w:val="24"/>
          <w:lang w:val="en-US" w:eastAsia="en-GB" w:bidi="ar-SA"/>
        </w:rPr>
        <w:t>i.e.,</w:t>
      </w:r>
      <w:r w:rsidRPr="00DD1B58">
        <w:rPr>
          <w:szCs w:val="24"/>
          <w:lang w:val="en-US" w:eastAsia="en-GB" w:bidi="ar-SA"/>
        </w:rPr>
        <w:t xml:space="preserve"> except in the case of arson) a fire is unlikely to start in two</w:t>
      </w:r>
      <w:r w:rsidR="00FD39AE" w:rsidRPr="00DD1B58">
        <w:rPr>
          <w:szCs w:val="24"/>
          <w:lang w:val="en-US" w:eastAsia="en-GB" w:bidi="ar-SA"/>
        </w:rPr>
        <w:t xml:space="preserve"> </w:t>
      </w:r>
      <w:r w:rsidRPr="00DD1B58">
        <w:rPr>
          <w:szCs w:val="24"/>
          <w:lang w:val="en-US" w:eastAsia="en-GB" w:bidi="ar-SA"/>
        </w:rPr>
        <w:t>different places in a building at the same time.</w:t>
      </w:r>
    </w:p>
    <w:p w14:paraId="505A861E" w14:textId="77777777" w:rsidR="00FD39AE" w:rsidRPr="00DD1B58" w:rsidRDefault="00FD39AE" w:rsidP="00B73F81">
      <w:pPr>
        <w:autoSpaceDE w:val="0"/>
        <w:autoSpaceDN w:val="0"/>
        <w:adjustRightInd w:val="0"/>
        <w:spacing w:after="0" w:line="240" w:lineRule="auto"/>
        <w:rPr>
          <w:szCs w:val="24"/>
          <w:lang w:val="en-US" w:eastAsia="en-GB" w:bidi="ar-SA"/>
        </w:rPr>
      </w:pPr>
    </w:p>
    <w:p w14:paraId="3BD7FE6C" w14:textId="0712C8B7" w:rsidR="00A96945" w:rsidRPr="00DD1B58" w:rsidRDefault="00165F24" w:rsidP="00B73F81">
      <w:pPr>
        <w:autoSpaceDE w:val="0"/>
        <w:autoSpaceDN w:val="0"/>
        <w:adjustRightInd w:val="0"/>
        <w:spacing w:after="0" w:line="240" w:lineRule="auto"/>
        <w:rPr>
          <w:szCs w:val="24"/>
          <w:lang w:val="en-US" w:eastAsia="en-GB" w:bidi="ar-SA"/>
        </w:rPr>
      </w:pPr>
      <w:r w:rsidRPr="00DD1B58">
        <w:rPr>
          <w:szCs w:val="24"/>
          <w:lang w:val="en-US" w:eastAsia="en-GB" w:bidi="ar-SA"/>
        </w:rPr>
        <w:t xml:space="preserve">UUK considers that </w:t>
      </w:r>
      <w:r w:rsidR="00B73F81" w:rsidRPr="00DD1B58">
        <w:rPr>
          <w:szCs w:val="24"/>
          <w:lang w:val="en-US" w:eastAsia="en-GB" w:bidi="ar-SA"/>
        </w:rPr>
        <w:t>fire is most likely to start within the occupied or operational areas subject to use of the facility</w:t>
      </w:r>
      <w:r w:rsidR="00FD39AE" w:rsidRPr="00DD1B58">
        <w:rPr>
          <w:szCs w:val="24"/>
          <w:lang w:val="en-US" w:eastAsia="en-GB" w:bidi="ar-SA"/>
        </w:rPr>
        <w:t xml:space="preserve"> </w:t>
      </w:r>
      <w:r w:rsidR="00B73F81" w:rsidRPr="00DD1B58">
        <w:rPr>
          <w:szCs w:val="24"/>
          <w:lang w:val="en-US" w:eastAsia="en-GB" w:bidi="ar-SA"/>
        </w:rPr>
        <w:t>rather than in the protected areas, access routes or stairwells, as these are</w:t>
      </w:r>
      <w:r w:rsidR="00FD39AE" w:rsidRPr="00DD1B58">
        <w:rPr>
          <w:szCs w:val="24"/>
          <w:lang w:val="en-US" w:eastAsia="en-GB" w:bidi="ar-SA"/>
        </w:rPr>
        <w:t xml:space="preserve"> </w:t>
      </w:r>
      <w:r w:rsidR="00B73F81" w:rsidRPr="00DD1B58">
        <w:rPr>
          <w:szCs w:val="24"/>
          <w:lang w:val="en-US" w:eastAsia="en-GB" w:bidi="ar-SA"/>
        </w:rPr>
        <w:t>designated areas and</w:t>
      </w:r>
      <w:r w:rsidR="00FD39AE" w:rsidRPr="00DD1B58">
        <w:rPr>
          <w:szCs w:val="24"/>
          <w:lang w:val="en-US" w:eastAsia="en-GB" w:bidi="ar-SA"/>
        </w:rPr>
        <w:t xml:space="preserve"> </w:t>
      </w:r>
      <w:r w:rsidR="00B73F81" w:rsidRPr="00DD1B58">
        <w:rPr>
          <w:szCs w:val="24"/>
          <w:lang w:val="en-US" w:eastAsia="en-GB" w:bidi="ar-SA"/>
        </w:rPr>
        <w:t xml:space="preserve">kept in a ‘sterile’ state. </w:t>
      </w:r>
      <w:r w:rsidR="00822E0E" w:rsidRPr="00DD1B58">
        <w:rPr>
          <w:szCs w:val="24"/>
          <w:lang w:val="en-US" w:eastAsia="en-GB" w:bidi="ar-SA"/>
        </w:rPr>
        <w:t xml:space="preserve">UUK </w:t>
      </w:r>
      <w:r w:rsidR="00433044" w:rsidRPr="00DD1B58">
        <w:rPr>
          <w:szCs w:val="24"/>
          <w:lang w:val="en-US" w:eastAsia="en-GB" w:bidi="ar-SA"/>
        </w:rPr>
        <w:t>states</w:t>
      </w:r>
      <w:r w:rsidR="00822E0E" w:rsidRPr="00DD1B58">
        <w:rPr>
          <w:szCs w:val="24"/>
          <w:lang w:val="en-US" w:eastAsia="en-GB" w:bidi="ar-SA"/>
        </w:rPr>
        <w:t xml:space="preserve"> that a </w:t>
      </w:r>
      <w:r w:rsidR="00B73F81" w:rsidRPr="00DD1B58">
        <w:rPr>
          <w:szCs w:val="24"/>
          <w:lang w:val="en-US" w:eastAsia="en-GB" w:bidi="ar-SA"/>
        </w:rPr>
        <w:t>fire occurring anywhere within a</w:t>
      </w:r>
      <w:r w:rsidR="00FD39AE" w:rsidRPr="00DD1B58">
        <w:rPr>
          <w:szCs w:val="24"/>
          <w:lang w:val="en-US" w:eastAsia="en-GB" w:bidi="ar-SA"/>
        </w:rPr>
        <w:t xml:space="preserve"> </w:t>
      </w:r>
      <w:r w:rsidR="00B73F81" w:rsidRPr="00DD1B58">
        <w:rPr>
          <w:szCs w:val="24"/>
          <w:lang w:val="en-US" w:eastAsia="en-GB" w:bidi="ar-SA"/>
        </w:rPr>
        <w:t>compartment of a building has, therefore,</w:t>
      </w:r>
      <w:r w:rsidR="00FD39AE" w:rsidRPr="00DD1B58">
        <w:rPr>
          <w:szCs w:val="24"/>
          <w:lang w:val="en-US" w:eastAsia="en-GB" w:bidi="ar-SA"/>
        </w:rPr>
        <w:t xml:space="preserve"> </w:t>
      </w:r>
      <w:r w:rsidR="00B73F81" w:rsidRPr="00DD1B58">
        <w:rPr>
          <w:szCs w:val="24"/>
          <w:lang w:val="en-US" w:eastAsia="en-GB" w:bidi="ar-SA"/>
        </w:rPr>
        <w:t>to be regarded as presenting a hazard to all</w:t>
      </w:r>
      <w:r w:rsidR="00FD39AE" w:rsidRPr="00DD1B58">
        <w:rPr>
          <w:szCs w:val="24"/>
          <w:lang w:val="en-US" w:eastAsia="en-GB" w:bidi="ar-SA"/>
        </w:rPr>
        <w:t xml:space="preserve"> </w:t>
      </w:r>
      <w:r w:rsidR="00B73F81" w:rsidRPr="00DD1B58">
        <w:rPr>
          <w:szCs w:val="24"/>
          <w:lang w:val="en-US" w:eastAsia="en-GB" w:bidi="ar-SA"/>
        </w:rPr>
        <w:t>occupants within that compartment, even though in</w:t>
      </w:r>
      <w:r w:rsidR="00FD39AE" w:rsidRPr="00DD1B58">
        <w:rPr>
          <w:szCs w:val="24"/>
          <w:lang w:val="en-US" w:eastAsia="en-GB" w:bidi="ar-SA"/>
        </w:rPr>
        <w:t xml:space="preserve"> </w:t>
      </w:r>
      <w:r w:rsidR="00B73F81" w:rsidRPr="00DD1B58">
        <w:rPr>
          <w:szCs w:val="24"/>
          <w:lang w:val="en-US" w:eastAsia="en-GB" w:bidi="ar-SA"/>
        </w:rPr>
        <w:t>the initial stages of fire development it</w:t>
      </w:r>
      <w:r w:rsidR="00FD39AE" w:rsidRPr="00DD1B58">
        <w:rPr>
          <w:szCs w:val="24"/>
          <w:lang w:val="en-US" w:eastAsia="en-GB" w:bidi="ar-SA"/>
        </w:rPr>
        <w:t xml:space="preserve"> </w:t>
      </w:r>
      <w:r w:rsidR="00B73F81" w:rsidRPr="00DD1B58">
        <w:rPr>
          <w:szCs w:val="24"/>
          <w:lang w:val="en-US" w:eastAsia="en-GB" w:bidi="ar-SA"/>
        </w:rPr>
        <w:t xml:space="preserve">might seem that the hazard is </w:t>
      </w:r>
      <w:r w:rsidR="00A96945" w:rsidRPr="00DD1B58">
        <w:rPr>
          <w:szCs w:val="24"/>
          <w:lang w:val="en-US" w:eastAsia="en-GB" w:bidi="ar-SA"/>
        </w:rPr>
        <w:t>small,</w:t>
      </w:r>
      <w:r w:rsidR="00B73F81" w:rsidRPr="00DD1B58">
        <w:rPr>
          <w:szCs w:val="24"/>
          <w:lang w:val="en-US" w:eastAsia="en-GB" w:bidi="ar-SA"/>
        </w:rPr>
        <w:t xml:space="preserve"> and people are in no</w:t>
      </w:r>
      <w:r w:rsidR="00FD39AE" w:rsidRPr="00DD1B58">
        <w:rPr>
          <w:szCs w:val="24"/>
          <w:lang w:val="en-US" w:eastAsia="en-GB" w:bidi="ar-SA"/>
        </w:rPr>
        <w:t xml:space="preserve"> </w:t>
      </w:r>
      <w:r w:rsidR="00B73F81" w:rsidRPr="00DD1B58">
        <w:rPr>
          <w:szCs w:val="24"/>
          <w:lang w:val="en-US" w:eastAsia="en-GB" w:bidi="ar-SA"/>
        </w:rPr>
        <w:t>immediate danger. The speed at</w:t>
      </w:r>
      <w:r w:rsidR="00FD39AE" w:rsidRPr="00DD1B58">
        <w:rPr>
          <w:szCs w:val="24"/>
          <w:lang w:val="en-US" w:eastAsia="en-GB" w:bidi="ar-SA"/>
        </w:rPr>
        <w:t xml:space="preserve"> </w:t>
      </w:r>
      <w:r w:rsidR="00B73F81" w:rsidRPr="00DD1B58">
        <w:rPr>
          <w:szCs w:val="24"/>
          <w:lang w:val="en-US" w:eastAsia="en-GB" w:bidi="ar-SA"/>
        </w:rPr>
        <w:t>which a compartment becomes untenable is dependent upon</w:t>
      </w:r>
      <w:r w:rsidR="00FD39AE" w:rsidRPr="00DD1B58">
        <w:rPr>
          <w:szCs w:val="24"/>
          <w:lang w:val="en-US" w:eastAsia="en-GB" w:bidi="ar-SA"/>
        </w:rPr>
        <w:t xml:space="preserve"> </w:t>
      </w:r>
      <w:r w:rsidR="00B73F81" w:rsidRPr="00DD1B58">
        <w:rPr>
          <w:szCs w:val="24"/>
          <w:lang w:val="en-US" w:eastAsia="en-GB" w:bidi="ar-SA"/>
        </w:rPr>
        <w:t xml:space="preserve">many intrinsically linked factors </w:t>
      </w:r>
      <w:r w:rsidR="00A96945" w:rsidRPr="00DD1B58">
        <w:rPr>
          <w:szCs w:val="24"/>
          <w:lang w:val="en-US" w:eastAsia="en-GB" w:bidi="ar-SA"/>
        </w:rPr>
        <w:t>including</w:t>
      </w:r>
      <w:r w:rsidR="00B73F81" w:rsidRPr="00DD1B58">
        <w:rPr>
          <w:szCs w:val="24"/>
          <w:lang w:val="en-US" w:eastAsia="en-GB" w:bidi="ar-SA"/>
        </w:rPr>
        <w:t xml:space="preserve"> spatial volume and geometry; fuel load and fire growth</w:t>
      </w:r>
      <w:r w:rsidR="00FD39AE" w:rsidRPr="00DD1B58">
        <w:rPr>
          <w:szCs w:val="24"/>
          <w:lang w:val="en-US" w:eastAsia="en-GB" w:bidi="ar-SA"/>
        </w:rPr>
        <w:t xml:space="preserve"> </w:t>
      </w:r>
      <w:r w:rsidR="00B73F81" w:rsidRPr="00DD1B58">
        <w:rPr>
          <w:szCs w:val="24"/>
          <w:lang w:val="en-US" w:eastAsia="en-GB" w:bidi="ar-SA"/>
        </w:rPr>
        <w:t>rate; passive and</w:t>
      </w:r>
      <w:r w:rsidR="00FD39AE" w:rsidRPr="00DD1B58">
        <w:rPr>
          <w:szCs w:val="24"/>
          <w:lang w:val="en-US" w:eastAsia="en-GB" w:bidi="ar-SA"/>
        </w:rPr>
        <w:t xml:space="preserve"> </w:t>
      </w:r>
      <w:r w:rsidR="00B73F81" w:rsidRPr="00DD1B58">
        <w:rPr>
          <w:szCs w:val="24"/>
          <w:lang w:val="en-US" w:eastAsia="en-GB" w:bidi="ar-SA"/>
        </w:rPr>
        <w:t>active fire precautions. These factors are particularly important when dealing with</w:t>
      </w:r>
      <w:r w:rsidR="00FD39AE" w:rsidRPr="00DD1B58">
        <w:rPr>
          <w:szCs w:val="24"/>
          <w:lang w:val="en-US" w:eastAsia="en-GB" w:bidi="ar-SA"/>
        </w:rPr>
        <w:t xml:space="preserve"> </w:t>
      </w:r>
      <w:r w:rsidR="00B73F81" w:rsidRPr="00DD1B58">
        <w:rPr>
          <w:szCs w:val="24"/>
          <w:lang w:val="en-US" w:eastAsia="en-GB" w:bidi="ar-SA"/>
        </w:rPr>
        <w:t>potential nuclear safety fire hazards/inventory and/or life safety of persons.</w:t>
      </w:r>
      <w:r w:rsidR="00A96945" w:rsidRPr="00DD1B58">
        <w:rPr>
          <w:szCs w:val="24"/>
          <w:lang w:val="en-US" w:eastAsia="en-GB" w:bidi="ar-SA"/>
        </w:rPr>
        <w:t xml:space="preserve"> </w:t>
      </w:r>
    </w:p>
    <w:p w14:paraId="684840AF" w14:textId="77777777" w:rsidR="00A96945" w:rsidRPr="00DD1B58" w:rsidRDefault="00A96945" w:rsidP="00B73F81">
      <w:pPr>
        <w:autoSpaceDE w:val="0"/>
        <w:autoSpaceDN w:val="0"/>
        <w:adjustRightInd w:val="0"/>
        <w:spacing w:after="0" w:line="240" w:lineRule="auto"/>
        <w:rPr>
          <w:szCs w:val="24"/>
          <w:lang w:val="en-US" w:eastAsia="en-GB" w:bidi="ar-SA"/>
        </w:rPr>
      </w:pPr>
    </w:p>
    <w:p w14:paraId="36E67668" w14:textId="11BFE86D" w:rsidR="0022688D" w:rsidRPr="00DD1B58" w:rsidRDefault="00822E0E" w:rsidP="0022688D">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00433044" w:rsidRPr="00DD1B58">
        <w:rPr>
          <w:szCs w:val="24"/>
          <w:lang w:val="en-US" w:eastAsia="en-GB" w:bidi="ar-SA"/>
        </w:rPr>
        <w:t>states</w:t>
      </w:r>
      <w:r w:rsidRPr="00DD1B58">
        <w:rPr>
          <w:szCs w:val="24"/>
          <w:lang w:val="en-US" w:eastAsia="en-GB" w:bidi="ar-SA"/>
        </w:rPr>
        <w:t xml:space="preserve"> that a</w:t>
      </w:r>
      <w:r w:rsidR="00B73F81" w:rsidRPr="00DD1B58">
        <w:rPr>
          <w:szCs w:val="24"/>
          <w:lang w:val="en-US" w:eastAsia="en-GB" w:bidi="ar-SA"/>
        </w:rPr>
        <w:t>ll personnel working on the Capenhurst site, irrespective of employer, are recognised to have a</w:t>
      </w:r>
      <w:r w:rsidR="00A96945" w:rsidRPr="00DD1B58">
        <w:rPr>
          <w:szCs w:val="24"/>
          <w:lang w:val="en-US" w:eastAsia="en-GB" w:bidi="ar-SA"/>
        </w:rPr>
        <w:t xml:space="preserve"> </w:t>
      </w:r>
      <w:r w:rsidR="00B73F81" w:rsidRPr="00DD1B58">
        <w:rPr>
          <w:szCs w:val="24"/>
          <w:lang w:val="en-US" w:eastAsia="en-GB" w:bidi="ar-SA"/>
        </w:rPr>
        <w:t xml:space="preserve">part to play in implementing the Fire Safety Policy and reducing the risk from fire. </w:t>
      </w:r>
      <w:r w:rsidR="00001F97" w:rsidRPr="00DD1B58">
        <w:rPr>
          <w:szCs w:val="24"/>
          <w:lang w:val="en-US" w:eastAsia="en-GB" w:bidi="ar-SA"/>
        </w:rPr>
        <w:t xml:space="preserve">UUK expects all </w:t>
      </w:r>
      <w:r w:rsidR="00B73F81" w:rsidRPr="00DD1B58">
        <w:rPr>
          <w:szCs w:val="24"/>
          <w:lang w:val="en-US" w:eastAsia="en-GB" w:bidi="ar-SA"/>
        </w:rPr>
        <w:t>working</w:t>
      </w:r>
      <w:r w:rsidR="00A96945" w:rsidRPr="00DD1B58">
        <w:rPr>
          <w:szCs w:val="24"/>
          <w:lang w:val="en-US" w:eastAsia="en-GB" w:bidi="ar-SA"/>
        </w:rPr>
        <w:t xml:space="preserve"> </w:t>
      </w:r>
      <w:r w:rsidR="00B73F81" w:rsidRPr="00DD1B58">
        <w:rPr>
          <w:szCs w:val="24"/>
          <w:lang w:val="en-US" w:eastAsia="en-GB" w:bidi="ar-SA"/>
        </w:rPr>
        <w:t xml:space="preserve">on site </w:t>
      </w:r>
      <w:r w:rsidR="00001F97" w:rsidRPr="00DD1B58">
        <w:rPr>
          <w:szCs w:val="24"/>
          <w:lang w:val="en-US" w:eastAsia="en-GB" w:bidi="ar-SA"/>
        </w:rPr>
        <w:t xml:space="preserve">to </w:t>
      </w:r>
      <w:r w:rsidR="00A96945" w:rsidRPr="00DD1B58">
        <w:rPr>
          <w:szCs w:val="24"/>
          <w:lang w:val="en-US" w:eastAsia="en-GB" w:bidi="ar-SA"/>
        </w:rPr>
        <w:t>act</w:t>
      </w:r>
      <w:r w:rsidR="00B73F81" w:rsidRPr="00DD1B58">
        <w:rPr>
          <w:szCs w:val="24"/>
          <w:lang w:val="en-US" w:eastAsia="en-GB" w:bidi="ar-SA"/>
        </w:rPr>
        <w:t>, appropriate to their role, to ensure that the general fire precautions are implemented by:</w:t>
      </w:r>
      <w:r w:rsidR="0022688D" w:rsidRPr="00DD1B58">
        <w:rPr>
          <w:szCs w:val="24"/>
          <w:lang w:val="en-US" w:eastAsia="en-GB" w:bidi="ar-SA"/>
        </w:rPr>
        <w:t xml:space="preserve"> </w:t>
      </w:r>
    </w:p>
    <w:p w14:paraId="42593EC9" w14:textId="77777777" w:rsidR="0022688D" w:rsidRPr="00DD1B58" w:rsidRDefault="0022688D" w:rsidP="0022688D">
      <w:pPr>
        <w:autoSpaceDE w:val="0"/>
        <w:autoSpaceDN w:val="0"/>
        <w:adjustRightInd w:val="0"/>
        <w:spacing w:after="0" w:line="240" w:lineRule="auto"/>
        <w:rPr>
          <w:szCs w:val="24"/>
          <w:lang w:val="en-US" w:eastAsia="en-GB" w:bidi="ar-SA"/>
        </w:rPr>
      </w:pPr>
    </w:p>
    <w:p w14:paraId="74CA780A" w14:textId="77777777" w:rsidR="0022688D" w:rsidRPr="00DD1B58" w:rsidRDefault="0022688D" w:rsidP="00964B3C">
      <w:pPr>
        <w:pStyle w:val="Bulletlist1"/>
        <w:rPr>
          <w:lang w:val="en-US" w:eastAsia="en-GB" w:bidi="ar-SA"/>
        </w:rPr>
      </w:pPr>
      <w:r w:rsidRPr="00DD1B58">
        <w:rPr>
          <w:lang w:val="en-US" w:eastAsia="en-GB" w:bidi="ar-SA"/>
        </w:rPr>
        <w:t>Reducing the risk of fire starting and spreading within their area of work by controlling sources of ignition and fuel particularly through maintaining good housekeeping standards.</w:t>
      </w:r>
    </w:p>
    <w:p w14:paraId="166BFB5E" w14:textId="77777777" w:rsidR="0022688D" w:rsidRPr="00DD1B58" w:rsidRDefault="0022688D" w:rsidP="00964B3C">
      <w:pPr>
        <w:pStyle w:val="Bulletlist1"/>
        <w:rPr>
          <w:lang w:val="en-US" w:eastAsia="en-GB" w:bidi="ar-SA"/>
        </w:rPr>
      </w:pPr>
      <w:r w:rsidRPr="00DD1B58">
        <w:rPr>
          <w:lang w:val="en-US" w:eastAsia="en-GB" w:bidi="ar-SA"/>
        </w:rPr>
        <w:t>Ensuring that means of escape from the premises can be safely and effectively used at all times.</w:t>
      </w:r>
    </w:p>
    <w:p w14:paraId="4796EFA2" w14:textId="77777777" w:rsidR="000E1F28" w:rsidRPr="00DD1B58" w:rsidRDefault="0022688D" w:rsidP="00964B3C">
      <w:pPr>
        <w:pStyle w:val="Bulletlist1"/>
        <w:rPr>
          <w:lang w:val="en-US" w:eastAsia="en-GB" w:bidi="ar-SA"/>
        </w:rPr>
      </w:pPr>
      <w:r w:rsidRPr="00DD1B58">
        <w:rPr>
          <w:lang w:val="en-US" w:eastAsia="en-GB" w:bidi="ar-SA"/>
        </w:rPr>
        <w:t>Ensuring that fire extinguishers remain in their designated location and reporting any defects or issues with extinguishers in the building where they work</w:t>
      </w:r>
      <w:r w:rsidR="000E1F28" w:rsidRPr="00DD1B58">
        <w:rPr>
          <w:lang w:val="en-US" w:eastAsia="en-GB" w:bidi="ar-SA"/>
        </w:rPr>
        <w:t>.</w:t>
      </w:r>
    </w:p>
    <w:p w14:paraId="0473F352" w14:textId="77777777" w:rsidR="000E1F28" w:rsidRPr="00DD1B58" w:rsidRDefault="0022688D" w:rsidP="00964B3C">
      <w:pPr>
        <w:pStyle w:val="Bulletlist1"/>
        <w:rPr>
          <w:lang w:val="en-US" w:eastAsia="en-GB" w:bidi="ar-SA"/>
        </w:rPr>
      </w:pPr>
      <w:r w:rsidRPr="00DD1B58">
        <w:rPr>
          <w:lang w:val="en-US" w:eastAsia="en-GB" w:bidi="ar-SA"/>
        </w:rPr>
        <w:t>Reporting any faults or issues with the fire detection and alarm system immediately</w:t>
      </w:r>
      <w:r w:rsidR="000E1F28" w:rsidRPr="00DD1B58">
        <w:rPr>
          <w:lang w:val="en-US" w:eastAsia="en-GB" w:bidi="ar-SA"/>
        </w:rPr>
        <w:t>.</w:t>
      </w:r>
    </w:p>
    <w:p w14:paraId="6F4A3F9E" w14:textId="77777777" w:rsidR="000E1F28" w:rsidRPr="00DD1B58" w:rsidRDefault="0022688D" w:rsidP="00964B3C">
      <w:pPr>
        <w:pStyle w:val="Bulletlist1"/>
        <w:rPr>
          <w:lang w:val="en-US" w:eastAsia="en-GB" w:bidi="ar-SA"/>
        </w:rPr>
      </w:pPr>
      <w:r w:rsidRPr="00DD1B58">
        <w:rPr>
          <w:lang w:val="en-US" w:eastAsia="en-GB" w:bidi="ar-SA"/>
        </w:rPr>
        <w:t>Understanding the action to be taken in the event of fire on the premises</w:t>
      </w:r>
      <w:r w:rsidR="000E1F28" w:rsidRPr="00DD1B58">
        <w:rPr>
          <w:lang w:val="en-US" w:eastAsia="en-GB" w:bidi="ar-SA"/>
        </w:rPr>
        <w:t>.</w:t>
      </w:r>
    </w:p>
    <w:p w14:paraId="0E777E66" w14:textId="77777777" w:rsidR="0059799E" w:rsidRPr="00DD1B58" w:rsidRDefault="0022688D" w:rsidP="00964B3C">
      <w:pPr>
        <w:pStyle w:val="Bulletlist1"/>
        <w:rPr>
          <w:lang w:val="en-US" w:eastAsia="en-GB" w:bidi="ar-SA"/>
        </w:rPr>
      </w:pPr>
      <w:r w:rsidRPr="00DD1B58">
        <w:rPr>
          <w:lang w:val="en-US" w:eastAsia="en-GB" w:bidi="ar-SA"/>
        </w:rPr>
        <w:t>Participating in fire safety training and evacuation drills as required.</w:t>
      </w:r>
    </w:p>
    <w:p w14:paraId="1938B50C" w14:textId="61453033" w:rsidR="00D55CF4" w:rsidRPr="00DD1B58" w:rsidRDefault="00630999" w:rsidP="00D55CF4">
      <w:pPr>
        <w:autoSpaceDE w:val="0"/>
        <w:autoSpaceDN w:val="0"/>
        <w:adjustRightInd w:val="0"/>
        <w:spacing w:after="0" w:line="240" w:lineRule="auto"/>
        <w:rPr>
          <w:szCs w:val="24"/>
          <w:lang w:val="en-US" w:eastAsia="en-GB" w:bidi="ar-SA"/>
        </w:rPr>
      </w:pPr>
      <w:r w:rsidRPr="00DD1B58">
        <w:rPr>
          <w:szCs w:val="24"/>
          <w:lang w:val="en-US" w:eastAsia="en-GB" w:bidi="ar-SA"/>
        </w:rPr>
        <w:t xml:space="preserve">UUK’s </w:t>
      </w:r>
      <w:r w:rsidR="00D55CF4" w:rsidRPr="00DD1B58">
        <w:rPr>
          <w:szCs w:val="24"/>
          <w:lang w:val="en-US" w:eastAsia="en-GB" w:bidi="ar-SA"/>
        </w:rPr>
        <w:t>fire prevention strategy for new facilities is for build in accordance with building regulations utilising BS 9999 methodology</w:t>
      </w:r>
      <w:r w:rsidRPr="00DD1B58">
        <w:rPr>
          <w:szCs w:val="24"/>
          <w:lang w:val="en-US" w:eastAsia="en-GB" w:bidi="ar-SA"/>
        </w:rPr>
        <w:t>,</w:t>
      </w:r>
      <w:r w:rsidR="00D55CF4" w:rsidRPr="00DD1B58">
        <w:rPr>
          <w:szCs w:val="24"/>
          <w:lang w:val="en-US" w:eastAsia="en-GB" w:bidi="ar-SA"/>
        </w:rPr>
        <w:t xml:space="preserve"> taking a holistic approach to the design, management and use of buildings and fire risk management systems in accordance with BS 9997 (Annex C) providing a methodology and mechanism for the scoring of fire risk assessment documents.</w:t>
      </w:r>
    </w:p>
    <w:p w14:paraId="2F86445C" w14:textId="77777777" w:rsidR="00D55CF4" w:rsidRPr="00DD1B58" w:rsidRDefault="00D55CF4" w:rsidP="00D55CF4">
      <w:pPr>
        <w:autoSpaceDE w:val="0"/>
        <w:autoSpaceDN w:val="0"/>
        <w:adjustRightInd w:val="0"/>
        <w:spacing w:after="0" w:line="240" w:lineRule="auto"/>
        <w:rPr>
          <w:szCs w:val="24"/>
          <w:lang w:val="en-US" w:eastAsia="en-GB" w:bidi="ar-SA"/>
        </w:rPr>
      </w:pPr>
    </w:p>
    <w:p w14:paraId="4CF93D56" w14:textId="0A4469CE" w:rsidR="00D55CF4" w:rsidRPr="00DD1B58" w:rsidRDefault="00D55CF4" w:rsidP="00D55CF4">
      <w:pPr>
        <w:autoSpaceDE w:val="0"/>
        <w:autoSpaceDN w:val="0"/>
        <w:adjustRightInd w:val="0"/>
        <w:spacing w:after="0" w:line="240" w:lineRule="auto"/>
        <w:rPr>
          <w:szCs w:val="24"/>
          <w:lang w:val="en-US" w:eastAsia="en-GB" w:bidi="ar-SA"/>
        </w:rPr>
      </w:pPr>
      <w:r w:rsidRPr="00DD1B58">
        <w:rPr>
          <w:szCs w:val="24"/>
          <w:lang w:val="en-US" w:eastAsia="en-GB" w:bidi="ar-SA"/>
        </w:rPr>
        <w:t xml:space="preserve">The Capenhurst HSSE Shared Service carry out assurance activities in relation to fire safety such as formal audits, formal inspections as part of fire risk assessment review, routine inspections of general fire safety provisions, fire logbook checks and witnessing of fire evacuation exercises. </w:t>
      </w:r>
      <w:r w:rsidR="00630999" w:rsidRPr="00DD1B58">
        <w:rPr>
          <w:szCs w:val="24"/>
          <w:lang w:val="en-US" w:eastAsia="en-GB" w:bidi="ar-SA"/>
        </w:rPr>
        <w:t xml:space="preserve">UUK </w:t>
      </w:r>
      <w:r w:rsidR="007376D6" w:rsidRPr="00DD1B58">
        <w:rPr>
          <w:szCs w:val="24"/>
          <w:lang w:val="en-US" w:eastAsia="en-GB" w:bidi="ar-SA"/>
        </w:rPr>
        <w:t>states that</w:t>
      </w:r>
      <w:r w:rsidR="00630999" w:rsidRPr="00DD1B58">
        <w:rPr>
          <w:szCs w:val="24"/>
          <w:lang w:val="en-US" w:eastAsia="en-GB" w:bidi="ar-SA"/>
        </w:rPr>
        <w:t xml:space="preserve"> it supplements these</w:t>
      </w:r>
      <w:r w:rsidRPr="00DD1B58">
        <w:rPr>
          <w:szCs w:val="24"/>
          <w:lang w:val="en-US" w:eastAsia="en-GB" w:bidi="ar-SA"/>
        </w:rPr>
        <w:t xml:space="preserve"> by self-verification activities such as local inspections and management walk downs which are arranged and recorded according to Company specific arrangements. </w:t>
      </w:r>
      <w:r w:rsidR="00630999" w:rsidRPr="00DD1B58">
        <w:rPr>
          <w:szCs w:val="24"/>
          <w:lang w:val="en-US" w:eastAsia="en-GB" w:bidi="ar-SA"/>
        </w:rPr>
        <w:t xml:space="preserve">UUK’s goal is to </w:t>
      </w:r>
      <w:r w:rsidRPr="00DD1B58">
        <w:rPr>
          <w:szCs w:val="24"/>
          <w:lang w:val="en-US" w:eastAsia="en-GB" w:bidi="ar-SA"/>
        </w:rPr>
        <w:t>ensur</w:t>
      </w:r>
      <w:r w:rsidR="00630999" w:rsidRPr="00DD1B58">
        <w:rPr>
          <w:szCs w:val="24"/>
          <w:lang w:val="en-US" w:eastAsia="en-GB" w:bidi="ar-SA"/>
        </w:rPr>
        <w:t>e</w:t>
      </w:r>
      <w:r w:rsidRPr="00DD1B58">
        <w:rPr>
          <w:szCs w:val="24"/>
          <w:lang w:val="en-US" w:eastAsia="en-GB" w:bidi="ar-SA"/>
        </w:rPr>
        <w:t xml:space="preserve"> an integrated approach (using the Plan-Do-Check-Act model) to deliver continuing improvement.</w:t>
      </w:r>
    </w:p>
    <w:p w14:paraId="10B2E3C3" w14:textId="77777777" w:rsidR="00D55CF4" w:rsidRPr="00DD1B58" w:rsidRDefault="00D55CF4" w:rsidP="00D55CF4">
      <w:pPr>
        <w:autoSpaceDE w:val="0"/>
        <w:autoSpaceDN w:val="0"/>
        <w:adjustRightInd w:val="0"/>
        <w:spacing w:after="0" w:line="240" w:lineRule="auto"/>
        <w:rPr>
          <w:szCs w:val="24"/>
          <w:lang w:val="en-US" w:eastAsia="en-GB" w:bidi="ar-SA"/>
        </w:rPr>
      </w:pPr>
    </w:p>
    <w:p w14:paraId="39D86950" w14:textId="77777777" w:rsidR="005F1BA3" w:rsidRPr="00DD1B58" w:rsidRDefault="00D55CF4" w:rsidP="00D55CF4">
      <w:pPr>
        <w:autoSpaceDE w:val="0"/>
        <w:autoSpaceDN w:val="0"/>
        <w:adjustRightInd w:val="0"/>
        <w:spacing w:after="0" w:line="240" w:lineRule="auto"/>
        <w:rPr>
          <w:szCs w:val="24"/>
          <w:lang w:val="en-US" w:eastAsia="en-GB" w:bidi="ar-SA"/>
        </w:rPr>
      </w:pPr>
      <w:r w:rsidRPr="00DD1B58">
        <w:rPr>
          <w:szCs w:val="24"/>
          <w:lang w:val="en-US" w:eastAsia="en-GB" w:bidi="ar-SA"/>
        </w:rPr>
        <w:t>BS9997 presents a strategic approach to fire risk management at organization level, and forms part of the BS999X series. Particular attention is given to BS9999:2017, Section 4, which provides guidance for those designing fire risk management into buildings.</w:t>
      </w:r>
    </w:p>
    <w:p w14:paraId="3E4CE1C1" w14:textId="77777777" w:rsidR="005F1BA3" w:rsidRPr="00DD1B58" w:rsidRDefault="005F1BA3" w:rsidP="005F1BA3">
      <w:pPr>
        <w:autoSpaceDE w:val="0"/>
        <w:autoSpaceDN w:val="0"/>
        <w:adjustRightInd w:val="0"/>
        <w:spacing w:after="0" w:line="240" w:lineRule="auto"/>
        <w:rPr>
          <w:szCs w:val="24"/>
          <w:lang w:val="en-US" w:eastAsia="en-GB" w:bidi="ar-SA"/>
        </w:rPr>
      </w:pPr>
    </w:p>
    <w:p w14:paraId="267D6BBA" w14:textId="77777777" w:rsidR="00D3121A" w:rsidRPr="00DD1B58" w:rsidRDefault="00D3121A" w:rsidP="00177432">
      <w:pPr>
        <w:pStyle w:val="Heading5A"/>
        <w:rPr>
          <w:szCs w:val="24"/>
          <w:lang w:val="en-US"/>
        </w:rPr>
      </w:pPr>
      <w:r w:rsidRPr="00DD1B58">
        <w:rPr>
          <w:szCs w:val="24"/>
          <w:lang w:val="en-US"/>
        </w:rPr>
        <w:t>Overview of arrangements for management and control of fire load and ignition sources</w:t>
      </w:r>
    </w:p>
    <w:p w14:paraId="349A8468" w14:textId="5B5DB1AD" w:rsidR="00064F40" w:rsidRPr="00DD1B58" w:rsidRDefault="00E0036A" w:rsidP="00064F40">
      <w:pPr>
        <w:pStyle w:val="BodyText"/>
        <w:rPr>
          <w:lang w:val="en-US"/>
        </w:rPr>
      </w:pPr>
      <w:r w:rsidRPr="00DD1B58">
        <w:rPr>
          <w:lang w:val="en-US"/>
        </w:rPr>
        <w:t>UUK governs h</w:t>
      </w:r>
      <w:r w:rsidR="00064F40" w:rsidRPr="00DD1B58">
        <w:rPr>
          <w:lang w:val="en-US"/>
        </w:rPr>
        <w:t>ot works by a Control of Hot Works Standard based upon the principles of the Fire Protection Association (FPA) ‘Recommendations for Hot Works’ (FPA RC7 &amp; Guide) which provides definition of associated terms, principles and requirements for risk assessments including control of ignition sources, fuel and associated activities with emphasis made on heightened precautions where work is undertaken in close proximity to insulated sandwich panels.</w:t>
      </w:r>
      <w:r w:rsidR="00940D2A" w:rsidRPr="00DD1B58">
        <w:rPr>
          <w:lang w:val="en-US"/>
        </w:rPr>
        <w:t xml:space="preserve"> </w:t>
      </w:r>
    </w:p>
    <w:p w14:paraId="26D64859" w14:textId="77777777" w:rsidR="00064F40" w:rsidRPr="00DD1B58" w:rsidRDefault="00064F40" w:rsidP="00064F40">
      <w:pPr>
        <w:pStyle w:val="BodyText"/>
        <w:rPr>
          <w:lang w:val="en-US"/>
        </w:rPr>
      </w:pPr>
      <w:r w:rsidRPr="00DD1B58">
        <w:rPr>
          <w:lang w:val="en-US"/>
        </w:rPr>
        <w:t>This document also includes hot work licensed area inspection checklist, Hot Work Certificate to permission work alongside the general Safe System of Work (SSoW) process and training requirements with supporting documents (the Golden Thread).</w:t>
      </w:r>
    </w:p>
    <w:p w14:paraId="05A24B83" w14:textId="5FE20BF5" w:rsidR="00064F40" w:rsidRPr="00DD1B58" w:rsidRDefault="00E0036A" w:rsidP="00064F40">
      <w:pPr>
        <w:pStyle w:val="BodyText"/>
        <w:rPr>
          <w:lang w:val="en-US"/>
        </w:rPr>
      </w:pPr>
      <w:r w:rsidRPr="00DD1B58">
        <w:rPr>
          <w:lang w:val="en-US"/>
        </w:rPr>
        <w:t xml:space="preserve">UUK </w:t>
      </w:r>
      <w:r w:rsidR="008E1B5A" w:rsidRPr="00DD1B58">
        <w:rPr>
          <w:lang w:val="en-US"/>
        </w:rPr>
        <w:t>states</w:t>
      </w:r>
      <w:r w:rsidRPr="00DD1B58">
        <w:rPr>
          <w:lang w:val="en-US"/>
        </w:rPr>
        <w:t xml:space="preserve"> that a</w:t>
      </w:r>
      <w:r w:rsidR="00064F40" w:rsidRPr="00DD1B58">
        <w:rPr>
          <w:lang w:val="en-US"/>
        </w:rPr>
        <w:t xml:space="preserve"> Hot Work Certificate can only be issued by personnel who are </w:t>
      </w:r>
      <w:r w:rsidRPr="00DD1B58">
        <w:rPr>
          <w:lang w:val="en-US"/>
        </w:rPr>
        <w:t>a</w:t>
      </w:r>
      <w:r w:rsidR="00064F40" w:rsidRPr="00DD1B58">
        <w:rPr>
          <w:lang w:val="en-US"/>
        </w:rPr>
        <w:t xml:space="preserve">ppointed to the </w:t>
      </w:r>
      <w:r w:rsidRPr="00DD1B58">
        <w:rPr>
          <w:lang w:val="en-US"/>
        </w:rPr>
        <w:t>role</w:t>
      </w:r>
      <w:r w:rsidR="00064F40" w:rsidRPr="00DD1B58">
        <w:rPr>
          <w:lang w:val="en-US"/>
        </w:rPr>
        <w:t>, having completed a Job Profile &amp; Competency Assessment interview.</w:t>
      </w:r>
      <w:r w:rsidR="00940D2A" w:rsidRPr="00DD1B58">
        <w:rPr>
          <w:lang w:val="en-US"/>
        </w:rPr>
        <w:t xml:space="preserve"> </w:t>
      </w:r>
      <w:r w:rsidRPr="00DD1B58">
        <w:rPr>
          <w:lang w:val="en-US"/>
        </w:rPr>
        <w:t>UUK’s p</w:t>
      </w:r>
      <w:r w:rsidR="00064F40" w:rsidRPr="00DD1B58">
        <w:rPr>
          <w:lang w:val="en-US"/>
        </w:rPr>
        <w:t>re-requisites include</w:t>
      </w:r>
      <w:r w:rsidR="0053577D" w:rsidRPr="00DD1B58">
        <w:rPr>
          <w:lang w:val="en-US"/>
        </w:rPr>
        <w:t>:</w:t>
      </w:r>
    </w:p>
    <w:p w14:paraId="3E379783" w14:textId="77777777" w:rsidR="00064F40" w:rsidRPr="00DD1B58" w:rsidRDefault="00064F40" w:rsidP="00600359">
      <w:pPr>
        <w:pStyle w:val="Bulletlist1"/>
        <w:rPr>
          <w:lang w:val="en-US"/>
        </w:rPr>
      </w:pPr>
      <w:r w:rsidRPr="00DD1B58">
        <w:rPr>
          <w:lang w:val="en-US"/>
        </w:rPr>
        <w:t>Fire Protection Association Hot Work Passport</w:t>
      </w:r>
    </w:p>
    <w:p w14:paraId="75BC5BE5" w14:textId="77777777" w:rsidR="00064F40" w:rsidRPr="00DD1B58" w:rsidRDefault="00064F40" w:rsidP="00600359">
      <w:pPr>
        <w:pStyle w:val="Bulletlist1"/>
        <w:rPr>
          <w:lang w:val="en-US"/>
        </w:rPr>
      </w:pPr>
      <w:r w:rsidRPr="00DD1B58">
        <w:rPr>
          <w:lang w:val="en-US"/>
        </w:rPr>
        <w:t>Annual Theoretical &amp; 3-yealy Practical Fire Training</w:t>
      </w:r>
    </w:p>
    <w:p w14:paraId="561E6231" w14:textId="77777777" w:rsidR="00064F40" w:rsidRPr="00DD1B58" w:rsidRDefault="00064F40" w:rsidP="00600359">
      <w:pPr>
        <w:pStyle w:val="Bulletlist1"/>
        <w:rPr>
          <w:lang w:val="en-US"/>
        </w:rPr>
      </w:pPr>
      <w:r w:rsidRPr="00DD1B58">
        <w:rPr>
          <w:lang w:val="en-US"/>
        </w:rPr>
        <w:t>Oxy-fuel equipment maintenance</w:t>
      </w:r>
    </w:p>
    <w:p w14:paraId="66A9D155" w14:textId="77777777" w:rsidR="00064F40" w:rsidRPr="00DD1B58" w:rsidRDefault="00064F40" w:rsidP="00600359">
      <w:pPr>
        <w:pStyle w:val="Bulletlist1"/>
        <w:rPr>
          <w:lang w:val="en-US"/>
        </w:rPr>
      </w:pPr>
      <w:r w:rsidRPr="00DD1B58">
        <w:rPr>
          <w:lang w:val="en-US"/>
        </w:rPr>
        <w:t>Use of the RS PRO RS700 Thermal Imaging Camera</w:t>
      </w:r>
    </w:p>
    <w:p w14:paraId="1BD09A6C" w14:textId="77777777" w:rsidR="00064F40" w:rsidRPr="00DD1B58" w:rsidRDefault="00064F40" w:rsidP="00600359">
      <w:pPr>
        <w:pStyle w:val="Bulletlist1"/>
        <w:rPr>
          <w:lang w:val="en-US"/>
        </w:rPr>
      </w:pPr>
      <w:r w:rsidRPr="00DD1B58">
        <w:rPr>
          <w:lang w:val="en-US"/>
        </w:rPr>
        <w:t xml:space="preserve">5-yearly DSEAR ½ Day course </w:t>
      </w:r>
    </w:p>
    <w:p w14:paraId="2CC0F455" w14:textId="77777777" w:rsidR="00064F40" w:rsidRPr="00DD1B58" w:rsidRDefault="00064F40" w:rsidP="00600359">
      <w:pPr>
        <w:pStyle w:val="Bulletlist1"/>
        <w:rPr>
          <w:lang w:val="en-US"/>
        </w:rPr>
      </w:pPr>
      <w:r w:rsidRPr="00DD1B58">
        <w:rPr>
          <w:lang w:val="en-US"/>
        </w:rPr>
        <w:t>Annual DSEAR e-Learning</w:t>
      </w:r>
    </w:p>
    <w:p w14:paraId="016A2538" w14:textId="77777777" w:rsidR="00064F40" w:rsidRPr="00DD1B58" w:rsidRDefault="00064F40" w:rsidP="00600359">
      <w:pPr>
        <w:pStyle w:val="Bulletlist1"/>
        <w:rPr>
          <w:lang w:val="en-US"/>
        </w:rPr>
      </w:pPr>
      <w:r w:rsidRPr="00DD1B58">
        <w:rPr>
          <w:lang w:val="en-US"/>
        </w:rPr>
        <w:t xml:space="preserve">Safe System of Work framework </w:t>
      </w:r>
    </w:p>
    <w:p w14:paraId="60227BA1" w14:textId="77777777" w:rsidR="00064F40" w:rsidRPr="00DD1B58" w:rsidRDefault="00064F40" w:rsidP="00600359">
      <w:pPr>
        <w:pStyle w:val="Bulletlist1"/>
        <w:rPr>
          <w:lang w:val="en-US"/>
        </w:rPr>
      </w:pPr>
      <w:r w:rsidRPr="00DD1B58">
        <w:rPr>
          <w:lang w:val="en-US"/>
        </w:rPr>
        <w:t>Control of Hot Work Standard</w:t>
      </w:r>
    </w:p>
    <w:p w14:paraId="25EDC8BA" w14:textId="77777777" w:rsidR="00064F40" w:rsidRPr="00DD1B58" w:rsidRDefault="00064F40" w:rsidP="00600359">
      <w:pPr>
        <w:pStyle w:val="Bulletlist1"/>
        <w:rPr>
          <w:lang w:val="en-US"/>
        </w:rPr>
      </w:pPr>
      <w:r w:rsidRPr="00DD1B58">
        <w:rPr>
          <w:lang w:val="en-US"/>
        </w:rPr>
        <w:t>Electronic Hot Work Certificate</w:t>
      </w:r>
    </w:p>
    <w:p w14:paraId="0C14A03B" w14:textId="1D49665A" w:rsidR="00E0036A" w:rsidRPr="00DD1B58" w:rsidRDefault="00064F40" w:rsidP="00600359">
      <w:pPr>
        <w:pStyle w:val="Bulletlist1"/>
        <w:rPr>
          <w:lang w:val="en-US"/>
        </w:rPr>
      </w:pPr>
      <w:r w:rsidRPr="00DD1B58">
        <w:rPr>
          <w:lang w:val="en-US"/>
        </w:rPr>
        <w:t>Hot Work Licensed Area Inspection Checklist</w:t>
      </w:r>
    </w:p>
    <w:p w14:paraId="3CD8C6E9" w14:textId="7E64D831" w:rsidR="00E77C2B" w:rsidRPr="00DD1B58" w:rsidRDefault="00004C7D" w:rsidP="00064F40">
      <w:pPr>
        <w:pStyle w:val="BodyText"/>
        <w:rPr>
          <w:lang w:val="en-US"/>
        </w:rPr>
      </w:pPr>
      <w:r w:rsidRPr="00DD1B58">
        <w:rPr>
          <w:lang w:val="en-US"/>
        </w:rPr>
        <w:t xml:space="preserve">UUK </w:t>
      </w:r>
      <w:r w:rsidR="008E1B5A" w:rsidRPr="00DD1B58">
        <w:rPr>
          <w:lang w:val="en-US"/>
        </w:rPr>
        <w:t>reports</w:t>
      </w:r>
      <w:r w:rsidRPr="00DD1B58">
        <w:rPr>
          <w:lang w:val="en-US"/>
        </w:rPr>
        <w:t xml:space="preserve"> that, s</w:t>
      </w:r>
      <w:r w:rsidR="00064F40" w:rsidRPr="00DD1B58">
        <w:rPr>
          <w:lang w:val="en-US"/>
        </w:rPr>
        <w:t xml:space="preserve">ubject to work location, </w:t>
      </w:r>
      <w:r w:rsidRPr="00DD1B58">
        <w:rPr>
          <w:lang w:val="en-US"/>
        </w:rPr>
        <w:t xml:space="preserve">hot work </w:t>
      </w:r>
      <w:r w:rsidR="00064F40" w:rsidRPr="00DD1B58">
        <w:rPr>
          <w:lang w:val="en-US"/>
        </w:rPr>
        <w:t xml:space="preserve">applications are made 72-hours in advance of the work being undertaken via the established Permit Offices. </w:t>
      </w:r>
      <w:r w:rsidR="00913D58" w:rsidRPr="00DD1B58">
        <w:rPr>
          <w:lang w:val="en-US"/>
        </w:rPr>
        <w:t xml:space="preserve">It also </w:t>
      </w:r>
      <w:r w:rsidR="007376D6" w:rsidRPr="00DD1B58">
        <w:rPr>
          <w:lang w:val="en-US"/>
        </w:rPr>
        <w:t>states that</w:t>
      </w:r>
      <w:r w:rsidR="00913D58" w:rsidRPr="00DD1B58">
        <w:rPr>
          <w:lang w:val="en-US"/>
        </w:rPr>
        <w:t xml:space="preserve"> </w:t>
      </w:r>
      <w:r w:rsidR="00064F40" w:rsidRPr="00DD1B58">
        <w:rPr>
          <w:lang w:val="en-US"/>
        </w:rPr>
        <w:t>work and competency documents are included in the General Work Permit and Risk Assessment</w:t>
      </w:r>
      <w:r w:rsidR="007C3F42" w:rsidRPr="00DD1B58">
        <w:rPr>
          <w:lang w:val="en-US"/>
        </w:rPr>
        <w:t>/</w:t>
      </w:r>
      <w:r w:rsidR="00064F40" w:rsidRPr="00DD1B58">
        <w:rPr>
          <w:lang w:val="en-US"/>
        </w:rPr>
        <w:t>Method Statement and positively verified via the Area Owner</w:t>
      </w:r>
      <w:r w:rsidR="007C3F42" w:rsidRPr="00DD1B58">
        <w:rPr>
          <w:lang w:val="en-US"/>
        </w:rPr>
        <w:t>/</w:t>
      </w:r>
      <w:r w:rsidR="00064F40" w:rsidRPr="00DD1B58">
        <w:rPr>
          <w:lang w:val="en-US"/>
        </w:rPr>
        <w:t>Duly Appointed Person</w:t>
      </w:r>
      <w:r w:rsidR="007C3F42" w:rsidRPr="00DD1B58">
        <w:rPr>
          <w:lang w:val="en-US"/>
        </w:rPr>
        <w:t>/</w:t>
      </w:r>
      <w:r w:rsidR="00064F40" w:rsidRPr="00DD1B58">
        <w:rPr>
          <w:lang w:val="en-US"/>
        </w:rPr>
        <w:t xml:space="preserve">Senior Shift Operator and/or Shift Manager. </w:t>
      </w:r>
      <w:r w:rsidR="00913D58" w:rsidRPr="00DD1B58">
        <w:rPr>
          <w:lang w:val="en-US"/>
        </w:rPr>
        <w:t>UUK limits</w:t>
      </w:r>
      <w:r w:rsidR="00064F40" w:rsidRPr="00DD1B58">
        <w:rPr>
          <w:lang w:val="en-US"/>
        </w:rPr>
        <w:t xml:space="preserve"> </w:t>
      </w:r>
      <w:r w:rsidR="00913D58" w:rsidRPr="00DD1B58">
        <w:rPr>
          <w:lang w:val="en-US"/>
        </w:rPr>
        <w:t xml:space="preserve">the </w:t>
      </w:r>
      <w:r w:rsidR="00064F40" w:rsidRPr="00DD1B58">
        <w:rPr>
          <w:lang w:val="en-US"/>
        </w:rPr>
        <w:t xml:space="preserve">Hot Work Certificate to </w:t>
      </w:r>
      <w:r w:rsidR="00913D58" w:rsidRPr="00DD1B58">
        <w:rPr>
          <w:lang w:val="en-US"/>
        </w:rPr>
        <w:t xml:space="preserve">a duration of </w:t>
      </w:r>
      <w:r w:rsidR="00064F40" w:rsidRPr="00DD1B58">
        <w:rPr>
          <w:lang w:val="en-US"/>
        </w:rPr>
        <w:t>12 hours (i.e. one working 12</w:t>
      </w:r>
      <w:r w:rsidR="00913D58" w:rsidRPr="00DD1B58">
        <w:rPr>
          <w:lang w:val="en-US"/>
        </w:rPr>
        <w:t>-</w:t>
      </w:r>
      <w:r w:rsidR="00064F40" w:rsidRPr="00DD1B58">
        <w:rPr>
          <w:lang w:val="en-US"/>
        </w:rPr>
        <w:t>hour shift)</w:t>
      </w:r>
      <w:r w:rsidR="00913D58" w:rsidRPr="00DD1B58">
        <w:rPr>
          <w:lang w:val="en-US"/>
        </w:rPr>
        <w:t xml:space="preserve">, </w:t>
      </w:r>
      <w:r w:rsidR="00064F40" w:rsidRPr="00DD1B58">
        <w:rPr>
          <w:lang w:val="en-US"/>
        </w:rPr>
        <w:t xml:space="preserve">issued by an Appointed Person in accordance with SSoW and Control of Hot Work Standards. </w:t>
      </w:r>
    </w:p>
    <w:p w14:paraId="55BEDBB5" w14:textId="5476FC9A" w:rsidR="00E77C2B" w:rsidRPr="00DD1B58" w:rsidRDefault="00913D58" w:rsidP="00E77C2B">
      <w:pPr>
        <w:pStyle w:val="BodyText"/>
        <w:rPr>
          <w:lang w:val="en-US"/>
        </w:rPr>
      </w:pPr>
      <w:r w:rsidRPr="00DD1B58">
        <w:rPr>
          <w:lang w:val="en-US"/>
        </w:rPr>
        <w:t>UUK</w:t>
      </w:r>
      <w:r w:rsidR="00E77C2B" w:rsidRPr="00DD1B58">
        <w:rPr>
          <w:lang w:val="en-US"/>
        </w:rPr>
        <w:t xml:space="preserve"> determine</w:t>
      </w:r>
      <w:r w:rsidRPr="00DD1B58">
        <w:rPr>
          <w:lang w:val="en-US"/>
        </w:rPr>
        <w:t>s fire loadings</w:t>
      </w:r>
      <w:r w:rsidR="00E77C2B" w:rsidRPr="00DD1B58">
        <w:rPr>
          <w:lang w:val="en-US"/>
        </w:rPr>
        <w:t xml:space="preserve"> by </w:t>
      </w:r>
      <w:r w:rsidRPr="00DD1B58">
        <w:rPr>
          <w:lang w:val="en-US"/>
        </w:rPr>
        <w:t>generating</w:t>
      </w:r>
      <w:r w:rsidR="00E77C2B" w:rsidRPr="00DD1B58">
        <w:rPr>
          <w:lang w:val="en-US"/>
        </w:rPr>
        <w:t xml:space="preserve"> a list of items manufactured from or contain combustible/flammable materials</w:t>
      </w:r>
      <w:r w:rsidRPr="00DD1B58">
        <w:rPr>
          <w:lang w:val="en-US"/>
        </w:rPr>
        <w:t xml:space="preserve">. UUK </w:t>
      </w:r>
      <w:r w:rsidR="00E77C2B" w:rsidRPr="00DD1B58">
        <w:rPr>
          <w:lang w:val="en-US"/>
        </w:rPr>
        <w:t>record</w:t>
      </w:r>
      <w:r w:rsidRPr="00DD1B58">
        <w:rPr>
          <w:lang w:val="en-US"/>
        </w:rPr>
        <w:t xml:space="preserve">s </w:t>
      </w:r>
      <w:r w:rsidR="00E77C2B" w:rsidRPr="00DD1B58">
        <w:rPr>
          <w:lang w:val="en-US"/>
        </w:rPr>
        <w:t xml:space="preserve">the number of items, mass or volume. </w:t>
      </w:r>
      <w:r w:rsidRPr="00DD1B58">
        <w:rPr>
          <w:lang w:val="en-US"/>
        </w:rPr>
        <w:t>It then converts the information into</w:t>
      </w:r>
      <w:r w:rsidR="00E77C2B" w:rsidRPr="00DD1B58">
        <w:rPr>
          <w:lang w:val="en-US"/>
        </w:rPr>
        <w:t xml:space="preserve"> combustible load (in MJ). </w:t>
      </w:r>
      <w:r w:rsidRPr="00DD1B58">
        <w:rPr>
          <w:lang w:val="en-US"/>
        </w:rPr>
        <w:t xml:space="preserve">UUK defines the </w:t>
      </w:r>
      <w:r w:rsidR="00E77C2B" w:rsidRPr="00DD1B58">
        <w:rPr>
          <w:lang w:val="en-US"/>
        </w:rPr>
        <w:t>fire load density (MJ/m</w:t>
      </w:r>
      <w:r w:rsidR="00E77C2B" w:rsidRPr="00DD1B58">
        <w:rPr>
          <w:vertAlign w:val="superscript"/>
          <w:lang w:val="en-US"/>
        </w:rPr>
        <w:t>2</w:t>
      </w:r>
      <w:r w:rsidR="00E77C2B" w:rsidRPr="00DD1B58">
        <w:rPr>
          <w:lang w:val="en-US"/>
        </w:rPr>
        <w:t>) as the total fire load in the room divided by the floor area</w:t>
      </w:r>
      <w:r w:rsidRPr="00DD1B58">
        <w:rPr>
          <w:lang w:val="en-US"/>
        </w:rPr>
        <w:t>, to provide</w:t>
      </w:r>
      <w:r w:rsidR="00E77C2B" w:rsidRPr="00DD1B58">
        <w:rPr>
          <w:lang w:val="en-US"/>
        </w:rPr>
        <w:t xml:space="preserve"> an indication on the potential severity of a fire initiating in the room.</w:t>
      </w:r>
      <w:r w:rsidRPr="00DD1B58">
        <w:rPr>
          <w:lang w:val="en-US"/>
        </w:rPr>
        <w:t xml:space="preserve"> </w:t>
      </w:r>
      <w:r w:rsidR="00E77C2B" w:rsidRPr="00DD1B58">
        <w:rPr>
          <w:lang w:val="en-US"/>
        </w:rPr>
        <w:t>Further to th</w:t>
      </w:r>
      <w:r w:rsidRPr="00DD1B58">
        <w:rPr>
          <w:lang w:val="en-US"/>
        </w:rPr>
        <w:t>is</w:t>
      </w:r>
      <w:r w:rsidR="00E77C2B" w:rsidRPr="00DD1B58">
        <w:rPr>
          <w:lang w:val="en-US"/>
        </w:rPr>
        <w:t xml:space="preserve">, </w:t>
      </w:r>
      <w:r w:rsidRPr="00DD1B58">
        <w:rPr>
          <w:lang w:val="en-US"/>
        </w:rPr>
        <w:t xml:space="preserve">UUK applies limits </w:t>
      </w:r>
      <w:r w:rsidR="00E77C2B" w:rsidRPr="00DD1B58">
        <w:rPr>
          <w:lang w:val="en-US"/>
        </w:rPr>
        <w:t>on fire loading within high risk areas, means of escape, etc.</w:t>
      </w:r>
      <w:r w:rsidR="00940D2A" w:rsidRPr="00DD1B58">
        <w:rPr>
          <w:lang w:val="en-US"/>
        </w:rPr>
        <w:t xml:space="preserve"> </w:t>
      </w:r>
    </w:p>
    <w:p w14:paraId="0994E4F6" w14:textId="7DC6D4F2" w:rsidR="00E77C2B" w:rsidRPr="00DD1B58" w:rsidRDefault="00E77C2B" w:rsidP="00E77C2B">
      <w:pPr>
        <w:pStyle w:val="BodyText"/>
        <w:rPr>
          <w:lang w:val="en-US"/>
        </w:rPr>
      </w:pPr>
      <w:r w:rsidRPr="00DD1B58">
        <w:rPr>
          <w:lang w:val="en-US"/>
        </w:rPr>
        <w:t>BS9999:2017 – Table 3 provides examples of Fire Growth Rates relevant to Category (</w:t>
      </w:r>
      <w:r w:rsidRPr="00DD1B58">
        <w:rPr>
          <w:i/>
          <w:iCs/>
          <w:lang w:val="en-US"/>
        </w:rPr>
        <w:t>1-4</w:t>
      </w:r>
      <w:r w:rsidRPr="00DD1B58">
        <w:rPr>
          <w:lang w:val="en-US"/>
        </w:rPr>
        <w:t>), Fire Growth Rate (</w:t>
      </w:r>
      <w:r w:rsidRPr="00DD1B58">
        <w:rPr>
          <w:i/>
          <w:iCs/>
          <w:lang w:val="en-US"/>
        </w:rPr>
        <w:t>Slow, Medium Fast &amp; Ultra-fast</w:t>
      </w:r>
      <w:r w:rsidRPr="00DD1B58">
        <w:rPr>
          <w:lang w:val="en-US"/>
        </w:rPr>
        <w:t>), Fire Growth Parameter (</w:t>
      </w:r>
      <w:r w:rsidRPr="00DD1B58">
        <w:rPr>
          <w:i/>
          <w:iCs/>
          <w:lang w:val="en-US"/>
        </w:rPr>
        <w:t>kJ/s</w:t>
      </w:r>
      <w:r w:rsidRPr="00DD1B58">
        <w:rPr>
          <w:i/>
          <w:iCs/>
          <w:vertAlign w:val="superscript"/>
          <w:lang w:val="en-US"/>
        </w:rPr>
        <w:t>3</w:t>
      </w:r>
      <w:r w:rsidRPr="00DD1B58">
        <w:rPr>
          <w:lang w:val="en-US"/>
        </w:rPr>
        <w:t>), Description and Typical Examples.</w:t>
      </w:r>
      <w:r w:rsidR="00940D2A" w:rsidRPr="00DD1B58">
        <w:rPr>
          <w:lang w:val="en-US"/>
        </w:rPr>
        <w:t xml:space="preserve"> </w:t>
      </w:r>
      <w:r w:rsidR="0053577D" w:rsidRPr="00DD1B58">
        <w:rPr>
          <w:lang w:val="en-US"/>
        </w:rPr>
        <w:t>The acceptable maximum fire load</w:t>
      </w:r>
      <w:r w:rsidRPr="00DD1B58">
        <w:rPr>
          <w:lang w:val="en-US"/>
        </w:rPr>
        <w:t xml:space="preserve"> is determined through a combination of reviewing the Fire Strategy, Fire Risk Assessment, building construction, assessing the constituents, quantity and circumstances and operational experience </w:t>
      </w:r>
      <w:r w:rsidRPr="00DD1B58">
        <w:rPr>
          <w:iCs/>
          <w:lang w:val="en-US"/>
        </w:rPr>
        <w:t>noting that a building</w:t>
      </w:r>
      <w:r w:rsidR="007C3F42" w:rsidRPr="00DD1B58">
        <w:rPr>
          <w:iCs/>
          <w:lang w:val="en-US"/>
        </w:rPr>
        <w:t>/</w:t>
      </w:r>
      <w:r w:rsidRPr="00DD1B58">
        <w:rPr>
          <w:iCs/>
          <w:lang w:val="en-US"/>
        </w:rPr>
        <w:t>compartment with a high fire load density will not necessarily have a rapid-fire growth rate, and a low fire density will not necessarily have a slow fire growth rate</w:t>
      </w:r>
      <w:r w:rsidRPr="00DD1B58">
        <w:rPr>
          <w:lang w:val="en-US"/>
        </w:rPr>
        <w:t>.</w:t>
      </w:r>
    </w:p>
    <w:p w14:paraId="648D525D" w14:textId="6796451C" w:rsidR="00E77C2B" w:rsidRPr="00DD1B58" w:rsidRDefault="006B59C1" w:rsidP="00E77C2B">
      <w:pPr>
        <w:pStyle w:val="BodyText"/>
        <w:rPr>
          <w:lang w:val="en-US"/>
        </w:rPr>
      </w:pPr>
      <w:r w:rsidRPr="00DD1B58">
        <w:rPr>
          <w:lang w:val="en-US"/>
        </w:rPr>
        <w:t>UUK captures the</w:t>
      </w:r>
      <w:r w:rsidR="00E77C2B" w:rsidRPr="00DD1B58">
        <w:rPr>
          <w:lang w:val="en-US"/>
        </w:rPr>
        <w:t xml:space="preserve"> limits identified/quantified within the Fire Risk Assessment (FRA) and communicate</w:t>
      </w:r>
      <w:r w:rsidRPr="00DD1B58">
        <w:rPr>
          <w:lang w:val="en-US"/>
        </w:rPr>
        <w:t>s them</w:t>
      </w:r>
      <w:r w:rsidR="00E77C2B" w:rsidRPr="00DD1B58">
        <w:rPr>
          <w:lang w:val="en-US"/>
        </w:rPr>
        <w:t xml:space="preserve"> to Buildings Owners and Workplace Operator</w:t>
      </w:r>
      <w:r w:rsidRPr="00DD1B58">
        <w:rPr>
          <w:lang w:val="en-US"/>
        </w:rPr>
        <w:t xml:space="preserve">s. UUK </w:t>
      </w:r>
      <w:r w:rsidR="004B46BA" w:rsidRPr="00DD1B58">
        <w:rPr>
          <w:lang w:val="en-US"/>
        </w:rPr>
        <w:t>reports</w:t>
      </w:r>
      <w:r w:rsidRPr="00DD1B58">
        <w:rPr>
          <w:lang w:val="en-US"/>
        </w:rPr>
        <w:t xml:space="preserve"> that these are </w:t>
      </w:r>
      <w:r w:rsidR="00E77C2B" w:rsidRPr="00DD1B58">
        <w:rPr>
          <w:lang w:val="en-US"/>
        </w:rPr>
        <w:t>subject to periodic inspections, audits and walkdowns to verify compliance.</w:t>
      </w:r>
      <w:r w:rsidR="00940D2A" w:rsidRPr="00DD1B58">
        <w:rPr>
          <w:lang w:val="en-US"/>
        </w:rPr>
        <w:t xml:space="preserve"> </w:t>
      </w:r>
      <w:r w:rsidRPr="00DD1B58">
        <w:rPr>
          <w:lang w:val="en-US"/>
        </w:rPr>
        <w:t xml:space="preserve">UUK </w:t>
      </w:r>
      <w:r w:rsidR="004B46BA" w:rsidRPr="00DD1B58">
        <w:rPr>
          <w:lang w:val="en-US"/>
        </w:rPr>
        <w:t>states</w:t>
      </w:r>
      <w:r w:rsidRPr="00DD1B58">
        <w:rPr>
          <w:lang w:val="en-US"/>
        </w:rPr>
        <w:t xml:space="preserve"> that, as </w:t>
      </w:r>
      <w:r w:rsidR="00E77C2B" w:rsidRPr="00DD1B58">
        <w:rPr>
          <w:lang w:val="en-US"/>
        </w:rPr>
        <w:t>far as reasonably practicable, specific laydown areas (permanent or temporary) are designated within non/low risk areas and subject to licensing to ensure levels of housekeeping and the reduction of combustible materials is kept to acceptable levels.</w:t>
      </w:r>
      <w:r w:rsidR="00940D2A" w:rsidRPr="00DD1B58">
        <w:rPr>
          <w:lang w:val="en-US"/>
        </w:rPr>
        <w:t xml:space="preserve"> </w:t>
      </w:r>
      <w:r w:rsidR="00F6520A" w:rsidRPr="00DD1B58">
        <w:rPr>
          <w:lang w:val="en-US"/>
        </w:rPr>
        <w:t>UUK report</w:t>
      </w:r>
      <w:r w:rsidR="004B46BA" w:rsidRPr="00DD1B58">
        <w:rPr>
          <w:lang w:val="en-US"/>
        </w:rPr>
        <w:t>s</w:t>
      </w:r>
      <w:r w:rsidR="00F6520A" w:rsidRPr="00DD1B58">
        <w:rPr>
          <w:lang w:val="en-US"/>
        </w:rPr>
        <w:t xml:space="preserve"> that </w:t>
      </w:r>
      <w:r w:rsidR="00E77C2B" w:rsidRPr="00DD1B58">
        <w:rPr>
          <w:lang w:val="en-US"/>
        </w:rPr>
        <w:t>the business site</w:t>
      </w:r>
      <w:r w:rsidR="00F6520A" w:rsidRPr="00DD1B58">
        <w:rPr>
          <w:lang w:val="en-US"/>
        </w:rPr>
        <w:t>-</w:t>
      </w:r>
      <w:r w:rsidR="00E77C2B" w:rsidRPr="00DD1B58">
        <w:rPr>
          <w:lang w:val="en-US"/>
        </w:rPr>
        <w:t xml:space="preserve">wide </w:t>
      </w:r>
      <w:r w:rsidR="00F6520A" w:rsidRPr="00DD1B58">
        <w:rPr>
          <w:lang w:val="en-US"/>
        </w:rPr>
        <w:t>(</w:t>
      </w:r>
      <w:r w:rsidR="00E77C2B" w:rsidRPr="00DD1B58">
        <w:rPr>
          <w:lang w:val="en-US"/>
        </w:rPr>
        <w:t xml:space="preserve">and </w:t>
      </w:r>
      <w:r w:rsidR="00F6520A" w:rsidRPr="00DD1B58">
        <w:rPr>
          <w:lang w:val="en-US"/>
        </w:rPr>
        <w:t xml:space="preserve">the </w:t>
      </w:r>
      <w:r w:rsidR="00E77C2B" w:rsidRPr="00DD1B58">
        <w:rPr>
          <w:lang w:val="en-US"/>
        </w:rPr>
        <w:t>building fire strategy</w:t>
      </w:r>
      <w:r w:rsidR="00F6520A" w:rsidRPr="00DD1B58">
        <w:rPr>
          <w:lang w:val="en-US"/>
        </w:rPr>
        <w:t>)</w:t>
      </w:r>
      <w:r w:rsidR="00E77C2B" w:rsidRPr="00DD1B58">
        <w:rPr>
          <w:lang w:val="en-US"/>
        </w:rPr>
        <w:t xml:space="preserve"> </w:t>
      </w:r>
      <w:r w:rsidR="00F6520A" w:rsidRPr="00DD1B58">
        <w:rPr>
          <w:lang w:val="en-US"/>
        </w:rPr>
        <w:t xml:space="preserve">has </w:t>
      </w:r>
      <w:r w:rsidR="00E77C2B" w:rsidRPr="00DD1B58">
        <w:rPr>
          <w:lang w:val="en-US"/>
        </w:rPr>
        <w:t xml:space="preserve">a requirement to restrict the use of wooden pallets/scaffold boards on plant and stores/equipment are removed from combustible packaging prior to entering plant. </w:t>
      </w:r>
      <w:r w:rsidR="00B65C83" w:rsidRPr="00DD1B58">
        <w:rPr>
          <w:lang w:val="en-US"/>
        </w:rPr>
        <w:t>UUK state</w:t>
      </w:r>
      <w:r w:rsidR="004B46BA" w:rsidRPr="00DD1B58">
        <w:rPr>
          <w:lang w:val="en-US"/>
        </w:rPr>
        <w:t>s</w:t>
      </w:r>
      <w:r w:rsidR="00B65C83" w:rsidRPr="00DD1B58">
        <w:rPr>
          <w:lang w:val="en-US"/>
        </w:rPr>
        <w:t xml:space="preserve"> that this </w:t>
      </w:r>
      <w:r w:rsidR="00E77C2B" w:rsidRPr="00DD1B58">
        <w:rPr>
          <w:lang w:val="en-US"/>
        </w:rPr>
        <w:t xml:space="preserve">is further reinforced through the Building Fire Strategy, FRA review and 5S Lean Process for workplace inspection which are underpinned through BS 9999:2017 methodology and legal requirements under the Regulatory Reform (Fire Safety) Order 2005 and FPA Guidance. </w:t>
      </w:r>
    </w:p>
    <w:p w14:paraId="68D57D83" w14:textId="0AE620E9" w:rsidR="009443E0" w:rsidRPr="00DD1B58" w:rsidRDefault="00E77C2B" w:rsidP="009443E0">
      <w:pPr>
        <w:pStyle w:val="BodyText"/>
        <w:rPr>
          <w:lang w:val="en-US"/>
        </w:rPr>
      </w:pPr>
      <w:r w:rsidRPr="00DD1B58">
        <w:rPr>
          <w:lang w:val="en-US"/>
        </w:rPr>
        <w:t xml:space="preserve">Following the significant fire event in the UK (Grenfell Tower Fire), external to the nuclear industry, </w:t>
      </w:r>
      <w:r w:rsidR="00B65C83" w:rsidRPr="00DD1B58">
        <w:rPr>
          <w:lang w:val="en-US"/>
        </w:rPr>
        <w:t xml:space="preserve">UUK carried out a </w:t>
      </w:r>
      <w:r w:rsidRPr="00DD1B58">
        <w:rPr>
          <w:lang w:val="en-US"/>
        </w:rPr>
        <w:t xml:space="preserve">review of building cladding combustibility and the impact on life safety and nuclear fire safety for all buildings. </w:t>
      </w:r>
      <w:r w:rsidR="00B65C83" w:rsidRPr="00DD1B58">
        <w:rPr>
          <w:lang w:val="en-US"/>
        </w:rPr>
        <w:t xml:space="preserve">UUK developed a </w:t>
      </w:r>
      <w:r w:rsidRPr="00DD1B58">
        <w:rPr>
          <w:lang w:val="en-US"/>
        </w:rPr>
        <w:t>cladding fire testing strategy</w:t>
      </w:r>
      <w:r w:rsidR="0028495F" w:rsidRPr="00DD1B58">
        <w:rPr>
          <w:lang w:val="en-US"/>
        </w:rPr>
        <w:t xml:space="preserve"> </w:t>
      </w:r>
      <w:r w:rsidR="00B65C83" w:rsidRPr="00DD1B58">
        <w:rPr>
          <w:lang w:val="en-US"/>
        </w:rPr>
        <w:t>and then inspected buildings</w:t>
      </w:r>
      <w:r w:rsidRPr="00DD1B58">
        <w:rPr>
          <w:lang w:val="en-US"/>
        </w:rPr>
        <w:t xml:space="preserve">. </w:t>
      </w:r>
      <w:r w:rsidR="00B65C83" w:rsidRPr="00DD1B58">
        <w:rPr>
          <w:lang w:val="en-US"/>
        </w:rPr>
        <w:t xml:space="preserve">UUK </w:t>
      </w:r>
      <w:r w:rsidR="006D798B" w:rsidRPr="00DD1B58">
        <w:rPr>
          <w:lang w:val="en-US"/>
        </w:rPr>
        <w:t>reports that</w:t>
      </w:r>
      <w:r w:rsidR="00B65C83" w:rsidRPr="00DD1B58">
        <w:rPr>
          <w:lang w:val="en-US"/>
        </w:rPr>
        <w:t xml:space="preserve"> for buildings under construction at the time of review</w:t>
      </w:r>
      <w:r w:rsidR="009443E0" w:rsidRPr="00DD1B58">
        <w:rPr>
          <w:lang w:val="en-US"/>
        </w:rPr>
        <w:t>, it completed a desktop study of the designs and construction. Where UUK did not have documented information on the type of insulation then it took the following actions for each building (reproduced literally from UUK’s self-assessment):</w:t>
      </w:r>
    </w:p>
    <w:p w14:paraId="7C473143" w14:textId="4FB16FE7" w:rsidR="00E77C2B" w:rsidRPr="00DD1B58" w:rsidRDefault="0084359E" w:rsidP="00E77C2B">
      <w:pPr>
        <w:pStyle w:val="BodyText"/>
        <w:rPr>
          <w:b/>
          <w:i/>
          <w:iCs/>
          <w:lang w:val="en-US"/>
        </w:rPr>
      </w:pPr>
      <w:r w:rsidRPr="00DD1B58">
        <w:rPr>
          <w:b/>
          <w:i/>
          <w:iCs/>
          <w:lang w:val="en-US"/>
        </w:rPr>
        <w:t xml:space="preserve">UUK </w:t>
      </w:r>
      <w:r w:rsidR="00E77C2B" w:rsidRPr="00DD1B58">
        <w:rPr>
          <w:b/>
          <w:i/>
          <w:iCs/>
          <w:lang w:val="en-US"/>
        </w:rPr>
        <w:t>Fire Testing Strategy</w:t>
      </w:r>
    </w:p>
    <w:p w14:paraId="5239D059" w14:textId="480668ED" w:rsidR="00E77C2B" w:rsidRPr="00DD1B58" w:rsidDel="009443E0" w:rsidRDefault="00E77C2B" w:rsidP="00E77C2B">
      <w:pPr>
        <w:pStyle w:val="BodyText"/>
        <w:rPr>
          <w:i/>
          <w:iCs/>
          <w:lang w:val="en-US"/>
        </w:rPr>
      </w:pPr>
      <w:r w:rsidRPr="00DD1B58" w:rsidDel="009443E0">
        <w:rPr>
          <w:i/>
          <w:iCs/>
          <w:lang w:val="en-US"/>
        </w:rPr>
        <w:t>Where documented information on the type of insulation was not available then the following actions were taken for each building:</w:t>
      </w:r>
    </w:p>
    <w:p w14:paraId="0EFACDA9" w14:textId="68F38A8B" w:rsidR="00E77C2B" w:rsidRPr="00DD1B58" w:rsidRDefault="00E77C2B" w:rsidP="00E77C2B">
      <w:pPr>
        <w:pStyle w:val="BodyText"/>
        <w:numPr>
          <w:ilvl w:val="0"/>
          <w:numId w:val="36"/>
        </w:numPr>
        <w:rPr>
          <w:i/>
          <w:iCs/>
          <w:lang w:val="en-US"/>
        </w:rPr>
      </w:pPr>
      <w:r w:rsidRPr="00DD1B58">
        <w:rPr>
          <w:i/>
          <w:iCs/>
          <w:lang w:val="en-US"/>
        </w:rPr>
        <w:t>inspection of the cladding from internal and external elevations ensuring that representative samples were taken/inspected. This determined any areas where the insulation was exposed and, if sufficiently exposed, a judgement was made on the composition of the cladding.</w:t>
      </w:r>
    </w:p>
    <w:p w14:paraId="46B09261" w14:textId="6216E8E9" w:rsidR="00E77C2B" w:rsidRPr="00DD1B58" w:rsidRDefault="00E77C2B" w:rsidP="00E77C2B">
      <w:pPr>
        <w:pStyle w:val="BodyText"/>
        <w:numPr>
          <w:ilvl w:val="0"/>
          <w:numId w:val="36"/>
        </w:numPr>
        <w:rPr>
          <w:i/>
          <w:iCs/>
          <w:lang w:val="en-US"/>
        </w:rPr>
      </w:pPr>
      <w:r w:rsidRPr="00DD1B58">
        <w:rPr>
          <w:i/>
          <w:iCs/>
          <w:lang w:val="en-US"/>
        </w:rPr>
        <w:t>where the cladding was fully sealed and no areas of insulation were exposed, arrangements were made to safely expose the insulation and an assessment made.</w:t>
      </w:r>
    </w:p>
    <w:p w14:paraId="7EEC5FBD" w14:textId="77777777" w:rsidR="00F020B8" w:rsidRPr="00DD1B58" w:rsidRDefault="00E77C2B">
      <w:pPr>
        <w:pStyle w:val="BodyText"/>
        <w:numPr>
          <w:ilvl w:val="0"/>
          <w:numId w:val="36"/>
        </w:numPr>
        <w:rPr>
          <w:i/>
          <w:iCs/>
          <w:lang w:val="en-US"/>
        </w:rPr>
      </w:pPr>
      <w:r w:rsidRPr="00DD1B58">
        <w:rPr>
          <w:i/>
          <w:iCs/>
          <w:lang w:val="en-US"/>
        </w:rPr>
        <w:t>if the material had a rigid foam appearance, the material was assumed to be combustible without further testing.</w:t>
      </w:r>
    </w:p>
    <w:p w14:paraId="22F4550A" w14:textId="77777777" w:rsidR="00E77C2B" w:rsidRPr="00DD1B58" w:rsidRDefault="00E77C2B" w:rsidP="00D32476">
      <w:pPr>
        <w:pStyle w:val="BodyText"/>
        <w:numPr>
          <w:ilvl w:val="0"/>
          <w:numId w:val="36"/>
        </w:numPr>
        <w:rPr>
          <w:i/>
          <w:iCs/>
          <w:lang w:val="en-US"/>
        </w:rPr>
      </w:pPr>
      <w:r w:rsidRPr="00DD1B58">
        <w:rPr>
          <w:i/>
          <w:iCs/>
          <w:lang w:val="en-US"/>
        </w:rPr>
        <w:t>if the material had a stone wool appearance, depending on the location it was either assumed to be combustible or a fire test (using the BS 476-11 fire test with small samples) carried out to determine if the material was either non-combustible or of limited combustibility.</w:t>
      </w:r>
    </w:p>
    <w:p w14:paraId="126F38E7" w14:textId="269A6A47" w:rsidR="00CD0C4D" w:rsidRPr="00DD1B58" w:rsidRDefault="00F020B8" w:rsidP="00E77C2B">
      <w:pPr>
        <w:pStyle w:val="BodyText"/>
        <w:rPr>
          <w:lang w:val="en-US"/>
        </w:rPr>
      </w:pPr>
      <w:r w:rsidRPr="00DD1B58">
        <w:rPr>
          <w:lang w:val="en-US"/>
        </w:rPr>
        <w:t xml:space="preserve">UUK carried out the </w:t>
      </w:r>
      <w:r w:rsidR="00E77C2B" w:rsidRPr="00DD1B58">
        <w:rPr>
          <w:lang w:val="en-US"/>
        </w:rPr>
        <w:t xml:space="preserve">inspections in consultation with nuclear </w:t>
      </w:r>
      <w:r w:rsidR="009443E0" w:rsidRPr="00DD1B58">
        <w:rPr>
          <w:lang w:val="en-US"/>
        </w:rPr>
        <w:t>s</w:t>
      </w:r>
      <w:r w:rsidR="00E77C2B" w:rsidRPr="00DD1B58">
        <w:rPr>
          <w:lang w:val="en-US"/>
        </w:rPr>
        <w:t xml:space="preserve">afety </w:t>
      </w:r>
      <w:r w:rsidR="009443E0" w:rsidRPr="00DD1B58">
        <w:rPr>
          <w:lang w:val="en-US"/>
        </w:rPr>
        <w:t>c</w:t>
      </w:r>
      <w:r w:rsidR="00E77C2B" w:rsidRPr="00DD1B58">
        <w:rPr>
          <w:lang w:val="en-US"/>
        </w:rPr>
        <w:t xml:space="preserve">ase </w:t>
      </w:r>
      <w:r w:rsidR="009443E0" w:rsidRPr="00DD1B58">
        <w:rPr>
          <w:lang w:val="en-US"/>
        </w:rPr>
        <w:t>a</w:t>
      </w:r>
      <w:r w:rsidR="00E77C2B" w:rsidRPr="00DD1B58">
        <w:rPr>
          <w:lang w:val="en-US"/>
        </w:rPr>
        <w:t xml:space="preserve">ssessors to determine the level of fire assessment that was appropriate based on the radiological risks identified within the safety case. </w:t>
      </w:r>
      <w:r w:rsidRPr="00DD1B58">
        <w:rPr>
          <w:lang w:val="en-US"/>
        </w:rPr>
        <w:t>UUK then produced a</w:t>
      </w:r>
      <w:r w:rsidR="00E77C2B" w:rsidRPr="00DD1B58">
        <w:rPr>
          <w:lang w:val="en-US"/>
        </w:rPr>
        <w:t xml:space="preserve"> register of external building cladding which detailed the cladding specification for all buildings with a nuclear inventory.</w:t>
      </w:r>
    </w:p>
    <w:p w14:paraId="308053B5" w14:textId="5D28D89D" w:rsidR="0087367C" w:rsidRPr="00DD1B58" w:rsidRDefault="00E77C2B" w:rsidP="00E77C2B">
      <w:pPr>
        <w:pStyle w:val="BodyText"/>
        <w:rPr>
          <w:lang w:val="en-US"/>
        </w:rPr>
      </w:pPr>
      <w:r w:rsidRPr="00DD1B58">
        <w:rPr>
          <w:lang w:val="en-US"/>
        </w:rPr>
        <w:t xml:space="preserve">In relation to life safety, the outcome of the review required the update of fire risk assessments and Building Information Packs for all buildings with cladding of unknown or combustible insulation. </w:t>
      </w:r>
      <w:r w:rsidR="00CD0C4D" w:rsidRPr="00DD1B58">
        <w:rPr>
          <w:lang w:val="en-US"/>
        </w:rPr>
        <w:t>UUK then updated the f</w:t>
      </w:r>
      <w:r w:rsidRPr="00DD1B58">
        <w:rPr>
          <w:lang w:val="en-US"/>
        </w:rPr>
        <w:t xml:space="preserve">ire risk assessments for all buildings as part of the normal review cycle. </w:t>
      </w:r>
    </w:p>
    <w:p w14:paraId="0C5B4AD2" w14:textId="62770D8B" w:rsidR="00E77C2B" w:rsidRPr="00DD1B58" w:rsidRDefault="00E77C2B" w:rsidP="00E77C2B">
      <w:pPr>
        <w:pStyle w:val="BodyText"/>
        <w:rPr>
          <w:lang w:val="en-US"/>
        </w:rPr>
      </w:pPr>
      <w:r w:rsidRPr="00DD1B58">
        <w:rPr>
          <w:lang w:val="en-US"/>
        </w:rPr>
        <w:t>The review identified that some buildings containing a nuclear inventory were constructed with either combustible or unknown cladding and, therefore, required further consideration.</w:t>
      </w:r>
      <w:r w:rsidR="0087367C" w:rsidRPr="00DD1B58">
        <w:rPr>
          <w:lang w:val="en-US"/>
        </w:rPr>
        <w:t xml:space="preserve"> UUK</w:t>
      </w:r>
      <w:r w:rsidRPr="00DD1B58">
        <w:rPr>
          <w:lang w:val="en-US"/>
        </w:rPr>
        <w:t xml:space="preserve"> </w:t>
      </w:r>
      <w:r w:rsidR="007376D6" w:rsidRPr="00DD1B58">
        <w:rPr>
          <w:lang w:val="en-US"/>
        </w:rPr>
        <w:t>states that</w:t>
      </w:r>
      <w:r w:rsidRPr="00DD1B58">
        <w:rPr>
          <w:lang w:val="en-US"/>
        </w:rPr>
        <w:t xml:space="preserve"> due to the Long Term Periodic Review cycle and timescales, several of the safety case Continued Operations Safety and Environmental Reports (COSER) included assessments of nuclear fire risk that were not in line with modern safety case standards and that updated assessments would be carried out as part of the COSER delivery, adoption and implementation programme. </w:t>
      </w:r>
    </w:p>
    <w:p w14:paraId="5AC6C8C4" w14:textId="27FD1ABE" w:rsidR="0087367C" w:rsidRPr="00DD1B58" w:rsidRDefault="00E77C2B" w:rsidP="00E77C2B">
      <w:pPr>
        <w:pStyle w:val="BodyText"/>
        <w:rPr>
          <w:lang w:val="en-US"/>
        </w:rPr>
      </w:pPr>
      <w:r w:rsidRPr="00DD1B58">
        <w:rPr>
          <w:lang w:val="en-US"/>
        </w:rPr>
        <w:t xml:space="preserve">In line with the fire testing strategy and pending formal assessment as part of the COSER programme, </w:t>
      </w:r>
      <w:r w:rsidR="00164CC2" w:rsidRPr="00DD1B58">
        <w:rPr>
          <w:lang w:val="en-US"/>
        </w:rPr>
        <w:t>UUK’s safety c</w:t>
      </w:r>
      <w:r w:rsidRPr="00DD1B58">
        <w:rPr>
          <w:lang w:val="en-US"/>
        </w:rPr>
        <w:t xml:space="preserve">ase </w:t>
      </w:r>
      <w:r w:rsidR="00164CC2" w:rsidRPr="00DD1B58">
        <w:rPr>
          <w:lang w:val="en-US"/>
        </w:rPr>
        <w:t>a</w:t>
      </w:r>
      <w:r w:rsidRPr="00DD1B58">
        <w:rPr>
          <w:lang w:val="en-US"/>
        </w:rPr>
        <w:t xml:space="preserve">ssessors reviewed the impact of building cladding on nuclear fire safety risk and the </w:t>
      </w:r>
      <w:r w:rsidR="00164CC2" w:rsidRPr="00DD1B58">
        <w:rPr>
          <w:lang w:val="en-US"/>
        </w:rPr>
        <w:t>s</w:t>
      </w:r>
      <w:r w:rsidRPr="00DD1B58">
        <w:rPr>
          <w:lang w:val="en-US"/>
        </w:rPr>
        <w:t xml:space="preserve">afety </w:t>
      </w:r>
      <w:r w:rsidR="00164CC2" w:rsidRPr="00DD1B58">
        <w:rPr>
          <w:lang w:val="en-US"/>
        </w:rPr>
        <w:t>c</w:t>
      </w:r>
      <w:r w:rsidRPr="00DD1B58">
        <w:rPr>
          <w:lang w:val="en-US"/>
        </w:rPr>
        <w:t xml:space="preserve">ase </w:t>
      </w:r>
      <w:r w:rsidR="00164CC2" w:rsidRPr="00DD1B58">
        <w:rPr>
          <w:lang w:val="en-US"/>
        </w:rPr>
        <w:t>o</w:t>
      </w:r>
      <w:r w:rsidRPr="00DD1B58">
        <w:rPr>
          <w:lang w:val="en-US"/>
        </w:rPr>
        <w:t>wners assessed the impact of these findings to determine if any immediate retrospective work or acceleration of their COSER programme was required.</w:t>
      </w:r>
    </w:p>
    <w:p w14:paraId="1710F3C7" w14:textId="33F7AE9C" w:rsidR="00E77C2B" w:rsidRPr="00DD1B58" w:rsidRDefault="00E65C5A" w:rsidP="00E77C2B">
      <w:pPr>
        <w:pStyle w:val="BodyText"/>
        <w:rPr>
          <w:lang w:val="en-US"/>
        </w:rPr>
      </w:pPr>
      <w:r w:rsidRPr="00DD1B58">
        <w:rPr>
          <w:lang w:val="en-US"/>
        </w:rPr>
        <w:t xml:space="preserve">UUK’s </w:t>
      </w:r>
      <w:r w:rsidR="00E77C2B" w:rsidRPr="00DD1B58">
        <w:rPr>
          <w:lang w:val="en-US"/>
        </w:rPr>
        <w:t>assessments concluded that the nuclear fire safety risk from all buildings was acceptable and that the nuclear fire safety risk from building cladding did not require any acceleration of the planned Long Term Periodic Review of the safety cases.</w:t>
      </w:r>
    </w:p>
    <w:p w14:paraId="0064D457" w14:textId="51E76DDE" w:rsidR="00E77C2B" w:rsidRPr="00DD1B58" w:rsidRDefault="00E65C5A" w:rsidP="00E77C2B">
      <w:pPr>
        <w:pStyle w:val="BodyText"/>
        <w:rPr>
          <w:lang w:val="en-US"/>
        </w:rPr>
      </w:pPr>
      <w:r w:rsidRPr="00DD1B58">
        <w:rPr>
          <w:lang w:val="en-US"/>
        </w:rPr>
        <w:t>UUK’s</w:t>
      </w:r>
      <w:r w:rsidR="00E77C2B" w:rsidRPr="00DD1B58">
        <w:rPr>
          <w:lang w:val="en-US"/>
        </w:rPr>
        <w:t xml:space="preserve"> post</w:t>
      </w:r>
      <w:r w:rsidRPr="00DD1B58">
        <w:rPr>
          <w:lang w:val="en-US"/>
        </w:rPr>
        <w:t>-</w:t>
      </w:r>
      <w:r w:rsidR="00E77C2B" w:rsidRPr="00DD1B58">
        <w:rPr>
          <w:lang w:val="en-US"/>
        </w:rPr>
        <w:t>Grenfell review also provided key findings in relation to:</w:t>
      </w:r>
    </w:p>
    <w:p w14:paraId="3732C62D" w14:textId="77777777" w:rsidR="00E77C2B" w:rsidRPr="00DD1B58" w:rsidRDefault="00E77C2B" w:rsidP="00600359">
      <w:pPr>
        <w:pStyle w:val="Bulletlist1"/>
        <w:rPr>
          <w:lang w:val="en-US"/>
        </w:rPr>
      </w:pPr>
      <w:r w:rsidRPr="00DD1B58">
        <w:rPr>
          <w:lang w:val="en-US"/>
        </w:rPr>
        <w:t>Fire Risk Assessment, frequency of review</w:t>
      </w:r>
    </w:p>
    <w:p w14:paraId="31E98B82" w14:textId="77777777" w:rsidR="00E77C2B" w:rsidRPr="00DD1B58" w:rsidRDefault="00E77C2B" w:rsidP="00600359">
      <w:pPr>
        <w:pStyle w:val="Bulletlist1"/>
        <w:rPr>
          <w:lang w:val="en-US"/>
        </w:rPr>
      </w:pPr>
      <w:r w:rsidRPr="00DD1B58">
        <w:rPr>
          <w:lang w:val="en-US"/>
        </w:rPr>
        <w:t>Training and competency</w:t>
      </w:r>
    </w:p>
    <w:p w14:paraId="6799D650" w14:textId="366EAFB2" w:rsidR="00E77C2B" w:rsidRPr="00DD1B58" w:rsidRDefault="00E77C2B" w:rsidP="00600359">
      <w:pPr>
        <w:pStyle w:val="Bulletlist1"/>
        <w:rPr>
          <w:lang w:val="en-US"/>
        </w:rPr>
      </w:pPr>
      <w:r w:rsidRPr="00DD1B58">
        <w:rPr>
          <w:lang w:val="en-US"/>
        </w:rPr>
        <w:t>Use of accredited 3</w:t>
      </w:r>
      <w:r w:rsidRPr="00DD1B58">
        <w:rPr>
          <w:vertAlign w:val="superscript"/>
          <w:lang w:val="en-US"/>
        </w:rPr>
        <w:t>rd</w:t>
      </w:r>
      <w:r w:rsidR="00E65C5A" w:rsidRPr="00DD1B58">
        <w:rPr>
          <w:lang w:val="en-US"/>
        </w:rPr>
        <w:t xml:space="preserve"> </w:t>
      </w:r>
      <w:r w:rsidRPr="00DD1B58">
        <w:rPr>
          <w:lang w:val="en-US"/>
        </w:rPr>
        <w:t>party/certified contractors</w:t>
      </w:r>
    </w:p>
    <w:p w14:paraId="13BF9DF9" w14:textId="77777777" w:rsidR="00E77C2B" w:rsidRPr="00DD1B58" w:rsidRDefault="00E77C2B" w:rsidP="00600359">
      <w:pPr>
        <w:pStyle w:val="Bulletlist1"/>
        <w:rPr>
          <w:lang w:val="en-US"/>
        </w:rPr>
      </w:pPr>
      <w:r w:rsidRPr="00DD1B58">
        <w:rPr>
          <w:lang w:val="en-US"/>
        </w:rPr>
        <w:t>Due diligence of materials used in construction or refurbishment</w:t>
      </w:r>
    </w:p>
    <w:p w14:paraId="391C03F1" w14:textId="77777777" w:rsidR="00E77C2B" w:rsidRPr="00DD1B58" w:rsidRDefault="00E77C2B" w:rsidP="00600359">
      <w:pPr>
        <w:pStyle w:val="Bulletlist1"/>
        <w:rPr>
          <w:lang w:val="en-US"/>
        </w:rPr>
      </w:pPr>
      <w:r w:rsidRPr="00DD1B58">
        <w:rPr>
          <w:lang w:val="en-US"/>
        </w:rPr>
        <w:t>Project sign-off following internal Com-T01 procedures</w:t>
      </w:r>
    </w:p>
    <w:p w14:paraId="02D00E05" w14:textId="77777777" w:rsidR="00E77C2B" w:rsidRPr="00DD1B58" w:rsidRDefault="00E77C2B" w:rsidP="00600359">
      <w:pPr>
        <w:pStyle w:val="Bulletlist1"/>
        <w:rPr>
          <w:lang w:val="en-US"/>
        </w:rPr>
      </w:pPr>
      <w:r w:rsidRPr="00DD1B58">
        <w:rPr>
          <w:lang w:val="en-US"/>
        </w:rPr>
        <w:t>Verbatim compliance with Building Regulation 38</w:t>
      </w:r>
    </w:p>
    <w:p w14:paraId="02B684A7" w14:textId="5E69F255" w:rsidR="00CF4122" w:rsidRPr="00DD1B58" w:rsidRDefault="00E65C5A" w:rsidP="00E77C2B">
      <w:pPr>
        <w:pStyle w:val="BodyText"/>
        <w:rPr>
          <w:lang w:val="en-US"/>
        </w:rPr>
      </w:pPr>
      <w:r w:rsidRPr="00DD1B58">
        <w:rPr>
          <w:lang w:val="en-US"/>
        </w:rPr>
        <w:t xml:space="preserve">UUK </w:t>
      </w:r>
      <w:r w:rsidR="004844B1" w:rsidRPr="00DD1B58">
        <w:rPr>
          <w:lang w:val="en-US"/>
        </w:rPr>
        <w:t>states</w:t>
      </w:r>
      <w:r w:rsidRPr="00DD1B58">
        <w:rPr>
          <w:lang w:val="en-US"/>
        </w:rPr>
        <w:t xml:space="preserve"> that the </w:t>
      </w:r>
      <w:r w:rsidR="00443948" w:rsidRPr="00DD1B58">
        <w:rPr>
          <w:lang w:val="en-US"/>
        </w:rPr>
        <w:t xml:space="preserve">learning provided a focus for review </w:t>
      </w:r>
      <w:r w:rsidR="00A619FA" w:rsidRPr="00DD1B58">
        <w:rPr>
          <w:lang w:val="en-US"/>
        </w:rPr>
        <w:t>of Capenhurst process and procedure with an outcome</w:t>
      </w:r>
      <w:r w:rsidR="00D359B8" w:rsidRPr="00DD1B58">
        <w:rPr>
          <w:lang w:val="en-US"/>
        </w:rPr>
        <w:t xml:space="preserve"> </w:t>
      </w:r>
      <w:r w:rsidR="00A619FA" w:rsidRPr="00DD1B58">
        <w:rPr>
          <w:lang w:val="en-US"/>
        </w:rPr>
        <w:t>resulting in:</w:t>
      </w:r>
    </w:p>
    <w:p w14:paraId="2F0B9BF1" w14:textId="26B6E3F5" w:rsidR="008059E2" w:rsidRPr="00DD1B58" w:rsidRDefault="0071423D" w:rsidP="00600359">
      <w:pPr>
        <w:pStyle w:val="Bulletlist1"/>
        <w:rPr>
          <w:lang w:val="en-US"/>
        </w:rPr>
      </w:pPr>
      <w:r w:rsidRPr="00DD1B58">
        <w:rPr>
          <w:lang w:val="en-US"/>
        </w:rPr>
        <w:t xml:space="preserve">An explicit </w:t>
      </w:r>
      <w:r w:rsidR="008059E2" w:rsidRPr="00DD1B58">
        <w:rPr>
          <w:lang w:val="en-US"/>
        </w:rPr>
        <w:t>ban on the use of combustible cladding on buildings regardless of height and remedial actions to determine constituents of installed cladding/aluminium composite materials.</w:t>
      </w:r>
      <w:r w:rsidR="00940D2A" w:rsidRPr="00DD1B58">
        <w:rPr>
          <w:lang w:val="en-US"/>
        </w:rPr>
        <w:t xml:space="preserve"> </w:t>
      </w:r>
    </w:p>
    <w:p w14:paraId="6B6A2989" w14:textId="5153E85F" w:rsidR="00E77C2B" w:rsidRPr="00DD1B58" w:rsidRDefault="00E77C2B" w:rsidP="00600359">
      <w:pPr>
        <w:pStyle w:val="Bulletlist1"/>
        <w:rPr>
          <w:lang w:val="en-US"/>
        </w:rPr>
      </w:pPr>
      <w:r w:rsidRPr="00DD1B58">
        <w:rPr>
          <w:lang w:val="en-US"/>
        </w:rPr>
        <w:t>Job profiles and competency assessments of staff and contractors have been reviewed to ensure demonstrable SQEP currency and continuation of professional development.</w:t>
      </w:r>
      <w:r w:rsidR="00940D2A" w:rsidRPr="00DD1B58">
        <w:rPr>
          <w:lang w:val="en-US"/>
        </w:rPr>
        <w:t xml:space="preserve"> </w:t>
      </w:r>
    </w:p>
    <w:p w14:paraId="62C85FC8" w14:textId="77777777" w:rsidR="00A619FA" w:rsidRPr="00DD1B58" w:rsidRDefault="008059E2" w:rsidP="00600359">
      <w:pPr>
        <w:pStyle w:val="Bulletlist1"/>
        <w:rPr>
          <w:lang w:val="en-US"/>
        </w:rPr>
      </w:pPr>
      <w:r w:rsidRPr="00DD1B58">
        <w:rPr>
          <w:lang w:val="en-US"/>
        </w:rPr>
        <w:t>Review and</w:t>
      </w:r>
      <w:r w:rsidR="00031D6A" w:rsidRPr="00DD1B58">
        <w:rPr>
          <w:lang w:val="en-US"/>
        </w:rPr>
        <w:t xml:space="preserve"> update of Building Information Packs.</w:t>
      </w:r>
    </w:p>
    <w:p w14:paraId="3C0F74F7" w14:textId="2AA45592" w:rsidR="00274B95" w:rsidRPr="00DD1B58" w:rsidRDefault="002F2668" w:rsidP="00E77C2B">
      <w:pPr>
        <w:pStyle w:val="BodyText"/>
        <w:rPr>
          <w:lang w:val="en-US"/>
        </w:rPr>
      </w:pPr>
      <w:r w:rsidRPr="00DD1B58">
        <w:rPr>
          <w:lang w:val="en-US"/>
        </w:rPr>
        <w:t xml:space="preserve">UUK </w:t>
      </w:r>
      <w:r w:rsidR="004844B1" w:rsidRPr="00DD1B58">
        <w:rPr>
          <w:lang w:val="en-US"/>
        </w:rPr>
        <w:t>states</w:t>
      </w:r>
      <w:r w:rsidRPr="00DD1B58">
        <w:rPr>
          <w:lang w:val="en-US"/>
        </w:rPr>
        <w:t xml:space="preserve"> that it took a</w:t>
      </w:r>
      <w:r w:rsidR="00274B95" w:rsidRPr="00DD1B58">
        <w:rPr>
          <w:lang w:val="en-US"/>
        </w:rPr>
        <w:t>ctions above and beyond subsequent regulatory changes, specifically to reduce</w:t>
      </w:r>
      <w:r w:rsidR="00B30470" w:rsidRPr="00DD1B58">
        <w:rPr>
          <w:lang w:val="en-US"/>
        </w:rPr>
        <w:t xml:space="preserve"> </w:t>
      </w:r>
      <w:r w:rsidR="00274B95" w:rsidRPr="00DD1B58">
        <w:rPr>
          <w:lang w:val="en-US"/>
        </w:rPr>
        <w:t>totality of combustible loads, maintenance and assessment of fire</w:t>
      </w:r>
      <w:r w:rsidR="00B30470" w:rsidRPr="00DD1B58">
        <w:rPr>
          <w:lang w:val="en-US"/>
        </w:rPr>
        <w:t xml:space="preserve"> </w:t>
      </w:r>
      <w:r w:rsidR="00274B95" w:rsidRPr="00DD1B58">
        <w:rPr>
          <w:lang w:val="en-US"/>
        </w:rPr>
        <w:t>compartmentation.</w:t>
      </w:r>
    </w:p>
    <w:p w14:paraId="3807047E" w14:textId="572738CC" w:rsidR="00E77C2B" w:rsidRPr="00DD1B58" w:rsidRDefault="002F2668" w:rsidP="00E77C2B">
      <w:pPr>
        <w:pStyle w:val="BodyText"/>
        <w:rPr>
          <w:lang w:val="en-US"/>
        </w:rPr>
      </w:pPr>
      <w:r w:rsidRPr="00DD1B58">
        <w:rPr>
          <w:lang w:val="en-US"/>
        </w:rPr>
        <w:t xml:space="preserve">UUK </w:t>
      </w:r>
      <w:r w:rsidR="004844B1" w:rsidRPr="00DD1B58">
        <w:rPr>
          <w:lang w:val="en-US"/>
        </w:rPr>
        <w:t>states</w:t>
      </w:r>
      <w:r w:rsidRPr="00DD1B58">
        <w:rPr>
          <w:lang w:val="en-US"/>
        </w:rPr>
        <w:t xml:space="preserve"> that f</w:t>
      </w:r>
      <w:r w:rsidR="00E77C2B" w:rsidRPr="00DD1B58">
        <w:rPr>
          <w:lang w:val="en-US"/>
        </w:rPr>
        <w:t>lammable liquids and gases are assessed within processes for management of hazardous substances aligned to the Dangerous Substances and Explosive Atmospheres Regulations (DSEAR), Health and Safety Executive Guidance HSG 51 and British Compressed Gas Association Guidance (BCGA), resulting in area classification where appropriate, and designated storage cabinets designed to BS EN 14470-1 and ANSI/NFPA 30.</w:t>
      </w:r>
      <w:r w:rsidR="00940D2A" w:rsidRPr="00DD1B58">
        <w:rPr>
          <w:lang w:val="en-US"/>
        </w:rPr>
        <w:t xml:space="preserve"> </w:t>
      </w:r>
      <w:r w:rsidR="00E77C2B" w:rsidRPr="00DD1B58">
        <w:rPr>
          <w:lang w:val="en-US"/>
        </w:rPr>
        <w:t>The storage of flammable and non-flammable cylinders are otherwise in accordance with BCGA CP44 ‘The Storage of Gas Cylinders Code of Practice Rev. 1 2022’ noting that the site security strategy currently prohibits the establishment of a centralised gas cylinder storage facility.</w:t>
      </w:r>
      <w:r w:rsidR="00940D2A" w:rsidRPr="00DD1B58">
        <w:rPr>
          <w:lang w:val="en-US"/>
        </w:rPr>
        <w:t xml:space="preserve"> </w:t>
      </w:r>
    </w:p>
    <w:p w14:paraId="00442AAC" w14:textId="38F42723" w:rsidR="00E77C2B" w:rsidRPr="00DD1B58" w:rsidRDefault="009661C3" w:rsidP="00E77C2B">
      <w:pPr>
        <w:pStyle w:val="BodyText"/>
        <w:rPr>
          <w:lang w:val="en-US"/>
        </w:rPr>
      </w:pPr>
      <w:r w:rsidRPr="00DD1B58">
        <w:rPr>
          <w:lang w:val="en-US"/>
        </w:rPr>
        <w:t xml:space="preserve">UUK </w:t>
      </w:r>
      <w:r w:rsidR="00A92A95" w:rsidRPr="00DD1B58">
        <w:rPr>
          <w:lang w:val="en-US"/>
        </w:rPr>
        <w:t xml:space="preserve">reports </w:t>
      </w:r>
      <w:r w:rsidRPr="00DD1B58">
        <w:rPr>
          <w:lang w:val="en-US"/>
        </w:rPr>
        <w:t xml:space="preserve">that the </w:t>
      </w:r>
      <w:r w:rsidR="00E77C2B" w:rsidRPr="00DD1B58">
        <w:rPr>
          <w:lang w:val="en-US"/>
        </w:rPr>
        <w:t>use and storage of portable gas cylinders on site follow the hierarchy of risk control methodology such that consideration is given to:</w:t>
      </w:r>
    </w:p>
    <w:p w14:paraId="5225B43E" w14:textId="77777777" w:rsidR="008205D5" w:rsidRPr="00DD1B58" w:rsidRDefault="006E2443" w:rsidP="00600359">
      <w:pPr>
        <w:pStyle w:val="Bulletlist1"/>
        <w:rPr>
          <w:lang w:val="en-US"/>
        </w:rPr>
      </w:pPr>
      <w:r w:rsidRPr="00DD1B58">
        <w:rPr>
          <w:lang w:val="en-US"/>
        </w:rPr>
        <w:t xml:space="preserve">Elimination </w:t>
      </w:r>
      <w:r w:rsidR="008205D5" w:rsidRPr="00DD1B58">
        <w:rPr>
          <w:lang w:val="en-US"/>
        </w:rPr>
        <w:t>–</w:t>
      </w:r>
      <w:r w:rsidRPr="00DD1B58">
        <w:rPr>
          <w:lang w:val="en-US"/>
        </w:rPr>
        <w:t xml:space="preserve"> </w:t>
      </w:r>
      <w:r w:rsidR="008205D5" w:rsidRPr="00DD1B58">
        <w:rPr>
          <w:lang w:val="en-US"/>
        </w:rPr>
        <w:t>storage locations remote from uranic inventory and occupied building areas</w:t>
      </w:r>
    </w:p>
    <w:p w14:paraId="0B808B5D" w14:textId="77777777" w:rsidR="00BE2B3A" w:rsidRPr="00DD1B58" w:rsidRDefault="008205D5" w:rsidP="00600359">
      <w:pPr>
        <w:pStyle w:val="Bulletlist1"/>
        <w:rPr>
          <w:lang w:val="en-US"/>
        </w:rPr>
      </w:pPr>
      <w:r w:rsidRPr="00DD1B58">
        <w:rPr>
          <w:lang w:val="en-US"/>
        </w:rPr>
        <w:t>Substitution – use of alternative gases of lower hazard potential where possible (propylene</w:t>
      </w:r>
      <w:r w:rsidR="00701B2D" w:rsidRPr="00DD1B58">
        <w:rPr>
          <w:lang w:val="en-US"/>
        </w:rPr>
        <w:t xml:space="preserve"> </w:t>
      </w:r>
      <w:r w:rsidRPr="00DD1B58">
        <w:rPr>
          <w:lang w:val="en-US"/>
        </w:rPr>
        <w:t>in preference to acetylene)</w:t>
      </w:r>
      <w:r w:rsidR="00E77C2B" w:rsidRPr="00DD1B58">
        <w:rPr>
          <w:lang w:val="en-US"/>
        </w:rPr>
        <w:t xml:space="preserve"> </w:t>
      </w:r>
    </w:p>
    <w:p w14:paraId="5D6F32AB" w14:textId="77777777" w:rsidR="00CE3DA5" w:rsidRPr="00DD1B58" w:rsidRDefault="008205D5" w:rsidP="00600359">
      <w:pPr>
        <w:pStyle w:val="Bulletlist1"/>
        <w:rPr>
          <w:lang w:val="en-US"/>
        </w:rPr>
      </w:pPr>
      <w:r w:rsidRPr="00DD1B58">
        <w:rPr>
          <w:lang w:val="en-US"/>
        </w:rPr>
        <w:t>Engineering controls – smallest possible volume cylinder, protective devices and</w:t>
      </w:r>
      <w:r w:rsidR="00CE3DA5" w:rsidRPr="00DD1B58">
        <w:rPr>
          <w:lang w:val="en-US"/>
        </w:rPr>
        <w:t xml:space="preserve"> </w:t>
      </w:r>
      <w:r w:rsidRPr="00DD1B58">
        <w:rPr>
          <w:lang w:val="en-US"/>
        </w:rPr>
        <w:t>associated Engineering, Maintenance, Inspection &amp; Testing (EMIT)</w:t>
      </w:r>
    </w:p>
    <w:p w14:paraId="0DF7B9B1" w14:textId="77777777" w:rsidR="00E77C2B" w:rsidRPr="00DD1B58" w:rsidRDefault="00E77C2B" w:rsidP="00600359">
      <w:pPr>
        <w:pStyle w:val="Bulletlist1"/>
        <w:rPr>
          <w:lang w:val="en-US"/>
        </w:rPr>
      </w:pPr>
      <w:r w:rsidRPr="00DD1B58">
        <w:rPr>
          <w:lang w:val="en-US"/>
        </w:rPr>
        <w:t>Administrative controls – ‘Just In Time’ stock control, Hot Work licenced area and certificates, Hot Work training, Hazardous Area and equipment specific training (i.e. oxy-fuel maintenance) and advanced fire training.</w:t>
      </w:r>
    </w:p>
    <w:p w14:paraId="739B8088" w14:textId="380BA820" w:rsidR="00E77C2B" w:rsidRPr="00DD1B58" w:rsidRDefault="009661C3" w:rsidP="00E77C2B">
      <w:pPr>
        <w:pStyle w:val="BodyText"/>
        <w:rPr>
          <w:lang w:val="en-US"/>
        </w:rPr>
      </w:pPr>
      <w:r w:rsidRPr="00DD1B58">
        <w:rPr>
          <w:lang w:val="en-US"/>
        </w:rPr>
        <w:t xml:space="preserve">UUK </w:t>
      </w:r>
      <w:r w:rsidR="004844B1" w:rsidRPr="00DD1B58">
        <w:rPr>
          <w:lang w:val="en-US"/>
        </w:rPr>
        <w:t>states</w:t>
      </w:r>
      <w:r w:rsidRPr="00DD1B58">
        <w:rPr>
          <w:lang w:val="en-US"/>
        </w:rPr>
        <w:t xml:space="preserve"> that c</w:t>
      </w:r>
      <w:r w:rsidR="00E77C2B" w:rsidRPr="00DD1B58">
        <w:rPr>
          <w:lang w:val="en-US"/>
        </w:rPr>
        <w:t>ylinders, including transient materials, are stored in low risk areas of plant within well-ventilated locations and are subject to periodic audits and inspections.</w:t>
      </w:r>
      <w:r w:rsidR="00940D2A" w:rsidRPr="00DD1B58">
        <w:rPr>
          <w:lang w:val="en-US"/>
        </w:rPr>
        <w:t xml:space="preserve"> </w:t>
      </w:r>
      <w:r w:rsidR="00203E8E" w:rsidRPr="00DD1B58">
        <w:rPr>
          <w:lang w:val="en-US"/>
        </w:rPr>
        <w:t xml:space="preserve">UUK </w:t>
      </w:r>
      <w:r w:rsidR="006D798B" w:rsidRPr="00DD1B58">
        <w:rPr>
          <w:lang w:val="en-US"/>
        </w:rPr>
        <w:t>reports that</w:t>
      </w:r>
      <w:r w:rsidR="00203E8E" w:rsidRPr="00DD1B58">
        <w:rPr>
          <w:lang w:val="en-US"/>
        </w:rPr>
        <w:t xml:space="preserve"> it</w:t>
      </w:r>
      <w:r w:rsidR="00E77C2B" w:rsidRPr="00DD1B58">
        <w:rPr>
          <w:lang w:val="en-US"/>
        </w:rPr>
        <w:t xml:space="preserve"> has also worked closely with suppliers to reduce the number of cylinders collectively on site and has adopted an ‘in time’ re-supply strategy.</w:t>
      </w:r>
    </w:p>
    <w:p w14:paraId="2F9EDB51" w14:textId="017CB3B1" w:rsidR="00E77C2B" w:rsidRPr="00DD1B58" w:rsidRDefault="00203E8E" w:rsidP="00E77C2B">
      <w:pPr>
        <w:pStyle w:val="BodyText"/>
        <w:rPr>
          <w:lang w:val="en-US"/>
        </w:rPr>
      </w:pPr>
      <w:r w:rsidRPr="00DD1B58">
        <w:rPr>
          <w:lang w:val="en-US"/>
        </w:rPr>
        <w:t xml:space="preserve">UUK </w:t>
      </w:r>
      <w:r w:rsidR="004844B1" w:rsidRPr="00DD1B58">
        <w:rPr>
          <w:lang w:val="en-US"/>
        </w:rPr>
        <w:t>reports</w:t>
      </w:r>
      <w:r w:rsidRPr="00DD1B58">
        <w:rPr>
          <w:lang w:val="en-US"/>
        </w:rPr>
        <w:t xml:space="preserve"> that it undertakes </w:t>
      </w:r>
      <w:r w:rsidR="00E77C2B" w:rsidRPr="00DD1B58">
        <w:rPr>
          <w:lang w:val="en-US"/>
        </w:rPr>
        <w:t>DSEAR risk assessments specific to facilities on a periodic cycle</w:t>
      </w:r>
      <w:r w:rsidRPr="00DD1B58">
        <w:rPr>
          <w:lang w:val="en-US"/>
        </w:rPr>
        <w:t>,</w:t>
      </w:r>
      <w:r w:rsidR="00E77C2B" w:rsidRPr="00DD1B58">
        <w:rPr>
          <w:lang w:val="en-US"/>
        </w:rPr>
        <w:t xml:space="preserve"> with annual reviews and periodic inspections/audits at least quarterly. </w:t>
      </w:r>
      <w:r w:rsidRPr="00DD1B58">
        <w:rPr>
          <w:lang w:val="en-US"/>
        </w:rPr>
        <w:t>UUK’s i</w:t>
      </w:r>
      <w:r w:rsidR="00E77C2B" w:rsidRPr="00DD1B58">
        <w:rPr>
          <w:lang w:val="en-US"/>
        </w:rPr>
        <w:t>dentified DSEAR hazardous areas include:</w:t>
      </w:r>
    </w:p>
    <w:p w14:paraId="7C507A47" w14:textId="77777777" w:rsidR="00E77C2B" w:rsidRPr="00DD1B58" w:rsidRDefault="00E77C2B" w:rsidP="00600359">
      <w:pPr>
        <w:pStyle w:val="Bulletlist1"/>
        <w:rPr>
          <w:lang w:val="en-US"/>
        </w:rPr>
      </w:pPr>
      <w:r w:rsidRPr="00DD1B58">
        <w:rPr>
          <w:lang w:val="en-US"/>
        </w:rPr>
        <w:t>Bulk hydrogen storage and associated pipework system</w:t>
      </w:r>
    </w:p>
    <w:p w14:paraId="366FFD6A" w14:textId="77777777" w:rsidR="00E77C2B" w:rsidRPr="00DD1B58" w:rsidRDefault="00E77C2B" w:rsidP="00600359">
      <w:pPr>
        <w:pStyle w:val="Bulletlist1"/>
        <w:rPr>
          <w:lang w:val="en-US"/>
        </w:rPr>
      </w:pPr>
      <w:r w:rsidRPr="00DD1B58">
        <w:rPr>
          <w:lang w:val="en-US"/>
        </w:rPr>
        <w:t>Natural Gas feed to steam boiler systems</w:t>
      </w:r>
    </w:p>
    <w:p w14:paraId="01599CA9" w14:textId="77777777" w:rsidR="00E77C2B" w:rsidRPr="00DD1B58" w:rsidRDefault="00E77C2B" w:rsidP="00600359">
      <w:pPr>
        <w:pStyle w:val="Bulletlist1"/>
        <w:rPr>
          <w:lang w:val="en-US"/>
        </w:rPr>
      </w:pPr>
      <w:r w:rsidRPr="00DD1B58">
        <w:rPr>
          <w:lang w:val="en-US"/>
        </w:rPr>
        <w:t>Diesel/Kerosene tanks</w:t>
      </w:r>
    </w:p>
    <w:p w14:paraId="65DBA801" w14:textId="77777777" w:rsidR="00E77C2B" w:rsidRPr="00DD1B58" w:rsidRDefault="00E77C2B" w:rsidP="00600359">
      <w:pPr>
        <w:pStyle w:val="Bulletlist1"/>
        <w:rPr>
          <w:lang w:val="en-US"/>
        </w:rPr>
      </w:pPr>
      <w:r w:rsidRPr="00DD1B58">
        <w:rPr>
          <w:lang w:val="en-US"/>
        </w:rPr>
        <w:t>Hot oil heat transfer systems</w:t>
      </w:r>
    </w:p>
    <w:p w14:paraId="36C91970" w14:textId="77777777" w:rsidR="00E77C2B" w:rsidRPr="00DD1B58" w:rsidRDefault="00E77C2B" w:rsidP="00600359">
      <w:pPr>
        <w:pStyle w:val="Bulletlist1"/>
        <w:rPr>
          <w:lang w:val="en-US"/>
        </w:rPr>
      </w:pPr>
      <w:r w:rsidRPr="00DD1B58">
        <w:rPr>
          <w:lang w:val="en-US"/>
        </w:rPr>
        <w:t>Battery charging stations</w:t>
      </w:r>
    </w:p>
    <w:p w14:paraId="5BE1B248" w14:textId="77777777" w:rsidR="00E77C2B" w:rsidRPr="00DD1B58" w:rsidRDefault="00E77C2B" w:rsidP="00600359">
      <w:pPr>
        <w:pStyle w:val="Bulletlist1"/>
        <w:rPr>
          <w:lang w:val="en-US"/>
        </w:rPr>
      </w:pPr>
      <w:r w:rsidRPr="00DD1B58">
        <w:rPr>
          <w:lang w:val="en-US"/>
        </w:rPr>
        <w:t>UPS systems</w:t>
      </w:r>
    </w:p>
    <w:p w14:paraId="7C8150C4" w14:textId="77777777" w:rsidR="00E77C2B" w:rsidRPr="00DD1B58" w:rsidRDefault="00E77C2B" w:rsidP="00600359">
      <w:pPr>
        <w:pStyle w:val="Bulletlist1"/>
        <w:rPr>
          <w:lang w:val="en-US"/>
        </w:rPr>
      </w:pPr>
      <w:r w:rsidRPr="00DD1B58">
        <w:rPr>
          <w:lang w:val="en-US"/>
        </w:rPr>
        <w:t>Gas cylinder storage and use (within defined workshop)</w:t>
      </w:r>
    </w:p>
    <w:p w14:paraId="08045C87" w14:textId="2806510A" w:rsidR="00DC02DB" w:rsidRPr="00DD1B58" w:rsidRDefault="00D94567" w:rsidP="00E77C2B">
      <w:pPr>
        <w:pStyle w:val="BodyText"/>
        <w:rPr>
          <w:lang w:val="en-US"/>
        </w:rPr>
      </w:pPr>
      <w:r w:rsidRPr="00DD1B58">
        <w:rPr>
          <w:lang w:val="en-US"/>
        </w:rPr>
        <w:t xml:space="preserve">UUK </w:t>
      </w:r>
      <w:r w:rsidR="00926573" w:rsidRPr="00DD1B58">
        <w:rPr>
          <w:lang w:val="en-US"/>
        </w:rPr>
        <w:t xml:space="preserve">reports </w:t>
      </w:r>
      <w:r w:rsidRPr="00DD1B58">
        <w:rPr>
          <w:lang w:val="en-US"/>
        </w:rPr>
        <w:t xml:space="preserve">that it </w:t>
      </w:r>
      <w:r w:rsidR="00CB4FD0" w:rsidRPr="00DD1B58">
        <w:rPr>
          <w:lang w:val="en-US"/>
        </w:rPr>
        <w:t>establish</w:t>
      </w:r>
      <w:r w:rsidRPr="00DD1B58">
        <w:rPr>
          <w:lang w:val="en-US"/>
        </w:rPr>
        <w:t>es</w:t>
      </w:r>
      <w:r w:rsidR="00CB4FD0" w:rsidRPr="00DD1B58">
        <w:rPr>
          <w:lang w:val="en-US"/>
        </w:rPr>
        <w:t xml:space="preserve"> requirements for additional</w:t>
      </w:r>
      <w:r w:rsidR="008825DB" w:rsidRPr="00DD1B58">
        <w:rPr>
          <w:lang w:val="en-US"/>
        </w:rPr>
        <w:t xml:space="preserve"> </w:t>
      </w:r>
      <w:r w:rsidR="00CB4FD0" w:rsidRPr="00DD1B58">
        <w:rPr>
          <w:lang w:val="en-US"/>
        </w:rPr>
        <w:t>prevention measures</w:t>
      </w:r>
      <w:r w:rsidRPr="00DD1B58">
        <w:rPr>
          <w:lang w:val="en-US"/>
        </w:rPr>
        <w:t xml:space="preserve"> through the hazardous area classification process:</w:t>
      </w:r>
    </w:p>
    <w:p w14:paraId="2A5E5B1F" w14:textId="72898666" w:rsidR="00E77C2B" w:rsidRPr="00DD1B58" w:rsidRDefault="00E77C2B" w:rsidP="00600359">
      <w:pPr>
        <w:pStyle w:val="Bulletlist1"/>
        <w:rPr>
          <w:lang w:val="en-US"/>
        </w:rPr>
      </w:pPr>
      <w:r w:rsidRPr="00DD1B58">
        <w:rPr>
          <w:lang w:val="en-US"/>
        </w:rPr>
        <w:t>Hydrogen gas monitoring and plant shutdown systems include automated nitrogen purge to minimise potential for the generation of explosive concentration conditions;</w:t>
      </w:r>
    </w:p>
    <w:p w14:paraId="00DA70F5" w14:textId="77777777" w:rsidR="00E77C2B" w:rsidRPr="00DD1B58" w:rsidRDefault="00E77C2B" w:rsidP="00600359">
      <w:pPr>
        <w:pStyle w:val="Bulletlist1"/>
        <w:rPr>
          <w:lang w:val="en-US"/>
        </w:rPr>
      </w:pPr>
      <w:r w:rsidRPr="00DD1B58">
        <w:rPr>
          <w:lang w:val="en-US"/>
        </w:rPr>
        <w:t>Plant design provides mechanical integrity in the event of a deflagration event;</w:t>
      </w:r>
    </w:p>
    <w:p w14:paraId="572C1F6C" w14:textId="06562FA4" w:rsidR="00E77C2B" w:rsidRPr="00DD1B58" w:rsidRDefault="00D1579A" w:rsidP="00600359">
      <w:pPr>
        <w:pStyle w:val="Bulletlist1"/>
        <w:rPr>
          <w:lang w:val="en-US"/>
        </w:rPr>
      </w:pPr>
      <w:r w:rsidRPr="00DD1B58">
        <w:rPr>
          <w:lang w:val="en-US"/>
        </w:rPr>
        <w:t xml:space="preserve">UUK </w:t>
      </w:r>
      <w:r w:rsidR="00FB741D" w:rsidRPr="00DD1B58">
        <w:rPr>
          <w:lang w:val="en-US"/>
        </w:rPr>
        <w:t>reports</w:t>
      </w:r>
      <w:r w:rsidRPr="00DD1B58">
        <w:rPr>
          <w:lang w:val="en-US"/>
        </w:rPr>
        <w:t xml:space="preserve"> that it </w:t>
      </w:r>
      <w:r w:rsidR="00E77C2B" w:rsidRPr="00DD1B58">
        <w:rPr>
          <w:lang w:val="en-US"/>
        </w:rPr>
        <w:t>assess</w:t>
      </w:r>
      <w:r w:rsidRPr="00DD1B58">
        <w:rPr>
          <w:lang w:val="en-US"/>
        </w:rPr>
        <w:t>ed the use of thermal and optical sensors to detect burning hydrogen taking into</w:t>
      </w:r>
      <w:r w:rsidR="00E77C2B" w:rsidRPr="00DD1B58">
        <w:rPr>
          <w:lang w:val="en-US"/>
        </w:rPr>
        <w:t xml:space="preserve"> consideration </w:t>
      </w:r>
      <w:r w:rsidRPr="00DD1B58">
        <w:rPr>
          <w:lang w:val="en-US"/>
        </w:rPr>
        <w:t xml:space="preserve">the </w:t>
      </w:r>
      <w:r w:rsidR="00E77C2B" w:rsidRPr="00DD1B58">
        <w:rPr>
          <w:lang w:val="en-US"/>
        </w:rPr>
        <w:t>area</w:t>
      </w:r>
      <w:r w:rsidR="007C3F42" w:rsidRPr="00DD1B58">
        <w:rPr>
          <w:lang w:val="en-US"/>
        </w:rPr>
        <w:t>/</w:t>
      </w:r>
      <w:r w:rsidR="00E77C2B" w:rsidRPr="00DD1B58">
        <w:rPr>
          <w:lang w:val="en-US"/>
        </w:rPr>
        <w:t>volume of potential coverage,</w:t>
      </w:r>
      <w:r w:rsidRPr="00DD1B58">
        <w:rPr>
          <w:lang w:val="en-US"/>
        </w:rPr>
        <w:t xml:space="preserve"> and</w:t>
      </w:r>
      <w:r w:rsidR="00E77C2B" w:rsidRPr="00DD1B58">
        <w:rPr>
          <w:lang w:val="en-US"/>
        </w:rPr>
        <w:t xml:space="preserve"> noting optical sensors operate in the ultraviolet or infra-red spectral region. </w:t>
      </w:r>
      <w:r w:rsidR="00715555" w:rsidRPr="00DD1B58">
        <w:rPr>
          <w:lang w:val="en-US"/>
        </w:rPr>
        <w:t>UUK discounted them b</w:t>
      </w:r>
      <w:r w:rsidR="00E77C2B" w:rsidRPr="00DD1B58">
        <w:rPr>
          <w:lang w:val="en-US"/>
        </w:rPr>
        <w:t xml:space="preserve">ased on the installation of </w:t>
      </w:r>
      <w:r w:rsidR="00715555" w:rsidRPr="00DD1B58">
        <w:rPr>
          <w:lang w:val="en-US"/>
        </w:rPr>
        <w:t xml:space="preserve">the </w:t>
      </w:r>
      <w:r w:rsidR="00E77C2B" w:rsidRPr="00DD1B58">
        <w:rPr>
          <w:lang w:val="en-US"/>
        </w:rPr>
        <w:t>safety system and other consideration (i.e. areas of natural ventilation</w:t>
      </w:r>
      <w:r w:rsidR="00715555" w:rsidRPr="00DD1B58">
        <w:rPr>
          <w:lang w:val="en-US"/>
        </w:rPr>
        <w:t>).</w:t>
      </w:r>
    </w:p>
    <w:p w14:paraId="52BE69D2" w14:textId="336E4F74" w:rsidR="00E77C2B" w:rsidRPr="00DD1B58" w:rsidRDefault="00E77C2B" w:rsidP="00600359">
      <w:pPr>
        <w:pStyle w:val="Bulletlist1"/>
        <w:rPr>
          <w:lang w:val="en-US"/>
        </w:rPr>
      </w:pPr>
      <w:r w:rsidRPr="00DD1B58">
        <w:rPr>
          <w:lang w:val="en-US"/>
        </w:rPr>
        <w:t xml:space="preserve">General EMIT of systems associated with DSEAR and specific </w:t>
      </w:r>
      <w:r w:rsidR="006A72AD" w:rsidRPr="00DD1B58">
        <w:rPr>
          <w:lang w:val="en-US"/>
        </w:rPr>
        <w:t xml:space="preserve">CompEX </w:t>
      </w:r>
      <w:r w:rsidRPr="00DD1B58">
        <w:rPr>
          <w:lang w:val="en-US"/>
        </w:rPr>
        <w:t>maintenance programmes for ATEX equipment within hazardous areas;</w:t>
      </w:r>
    </w:p>
    <w:p w14:paraId="6DEE7EB2" w14:textId="72806B69" w:rsidR="00E77C2B" w:rsidRPr="00DD1B58" w:rsidRDefault="00E77C2B" w:rsidP="00600359">
      <w:pPr>
        <w:pStyle w:val="Bulletlist1"/>
        <w:rPr>
          <w:lang w:val="en-US"/>
        </w:rPr>
      </w:pPr>
      <w:r w:rsidRPr="00DD1B58">
        <w:rPr>
          <w:lang w:val="en-US"/>
        </w:rPr>
        <w:t>Control of ignition/heat sources (Hot Work Standard) and designation of appropriate ATEX equipment, safety signage and associated inspection and maintenance routines by competent (</w:t>
      </w:r>
      <w:r w:rsidR="006A72AD" w:rsidRPr="00DD1B58">
        <w:rPr>
          <w:lang w:val="en-US"/>
        </w:rPr>
        <w:t>CompEX</w:t>
      </w:r>
      <w:r w:rsidRPr="00DD1B58">
        <w:rPr>
          <w:lang w:val="en-US"/>
        </w:rPr>
        <w:t>) personnel.</w:t>
      </w:r>
      <w:r w:rsidR="00940D2A" w:rsidRPr="00DD1B58">
        <w:rPr>
          <w:lang w:val="en-US"/>
        </w:rPr>
        <w:t xml:space="preserve"> </w:t>
      </w:r>
      <w:r w:rsidR="006B6A94" w:rsidRPr="00DD1B58">
        <w:rPr>
          <w:lang w:val="en-US"/>
        </w:rPr>
        <w:t xml:space="preserve">UUK </w:t>
      </w:r>
      <w:r w:rsidR="007376D6" w:rsidRPr="00DD1B58">
        <w:rPr>
          <w:lang w:val="en-US"/>
        </w:rPr>
        <w:t>states that</w:t>
      </w:r>
      <w:r w:rsidR="006B6A94" w:rsidRPr="00DD1B58">
        <w:rPr>
          <w:lang w:val="en-US"/>
        </w:rPr>
        <w:t xml:space="preserve"> it provides s</w:t>
      </w:r>
      <w:r w:rsidRPr="00DD1B58">
        <w:rPr>
          <w:lang w:val="en-US"/>
        </w:rPr>
        <w:t>pecific training for persons operating within these areas</w:t>
      </w:r>
      <w:r w:rsidR="001A1518" w:rsidRPr="00DD1B58">
        <w:rPr>
          <w:lang w:val="en-US"/>
        </w:rPr>
        <w:t xml:space="preserve"> is</w:t>
      </w:r>
      <w:r w:rsidRPr="00DD1B58">
        <w:rPr>
          <w:lang w:val="en-US"/>
        </w:rPr>
        <w:t xml:space="preserve"> via a three tier system</w:t>
      </w:r>
      <w:r w:rsidR="009F3B00" w:rsidRPr="00DD1B58">
        <w:rPr>
          <w:lang w:val="en-US"/>
        </w:rPr>
        <w:t xml:space="preserve"> which includes</w:t>
      </w:r>
      <w:r w:rsidRPr="00DD1B58">
        <w:rPr>
          <w:lang w:val="en-US"/>
        </w:rPr>
        <w:t xml:space="preserve"> e</w:t>
      </w:r>
      <w:r w:rsidR="00D52740" w:rsidRPr="00DD1B58">
        <w:rPr>
          <w:lang w:val="en-US"/>
        </w:rPr>
        <w:t>-l</w:t>
      </w:r>
      <w:r w:rsidRPr="00DD1B58">
        <w:rPr>
          <w:lang w:val="en-US"/>
        </w:rPr>
        <w:t>earning</w:t>
      </w:r>
      <w:r w:rsidR="001A1518" w:rsidRPr="00DD1B58">
        <w:rPr>
          <w:lang w:val="en-US"/>
        </w:rPr>
        <w:t xml:space="preserve"> and s</w:t>
      </w:r>
      <w:r w:rsidRPr="00DD1B58">
        <w:rPr>
          <w:lang w:val="en-US"/>
        </w:rPr>
        <w:t xml:space="preserve">pecialist </w:t>
      </w:r>
      <w:r w:rsidR="00D52740" w:rsidRPr="00DD1B58">
        <w:rPr>
          <w:lang w:val="en-US"/>
        </w:rPr>
        <w:t>i</w:t>
      </w:r>
      <w:r w:rsidRPr="00DD1B58">
        <w:rPr>
          <w:lang w:val="en-US"/>
        </w:rPr>
        <w:t>nstructor led</w:t>
      </w:r>
      <w:r w:rsidR="001A1518" w:rsidRPr="00DD1B58">
        <w:rPr>
          <w:lang w:val="en-US"/>
        </w:rPr>
        <w:t xml:space="preserve"> train</w:t>
      </w:r>
      <w:r w:rsidR="00D52740" w:rsidRPr="00DD1B58">
        <w:rPr>
          <w:lang w:val="en-US"/>
        </w:rPr>
        <w:t>ing.</w:t>
      </w:r>
    </w:p>
    <w:p w14:paraId="717F5198" w14:textId="43A5A0AB" w:rsidR="00DC02DB" w:rsidRPr="00DD1B58" w:rsidRDefault="006B6A94" w:rsidP="00E77C2B">
      <w:pPr>
        <w:pStyle w:val="BodyText"/>
        <w:rPr>
          <w:lang w:val="en-US"/>
        </w:rPr>
      </w:pPr>
      <w:r w:rsidRPr="00DD1B58">
        <w:rPr>
          <w:lang w:val="en-US"/>
        </w:rPr>
        <w:t xml:space="preserve">UUK </w:t>
      </w:r>
      <w:r w:rsidR="00926573" w:rsidRPr="00DD1B58">
        <w:rPr>
          <w:lang w:val="en-US"/>
        </w:rPr>
        <w:t xml:space="preserve">reports </w:t>
      </w:r>
      <w:r w:rsidRPr="00DD1B58">
        <w:rPr>
          <w:lang w:val="en-US"/>
        </w:rPr>
        <w:t>as k</w:t>
      </w:r>
      <w:r w:rsidR="00DC02DB" w:rsidRPr="00DD1B58">
        <w:rPr>
          <w:lang w:val="en-US"/>
        </w:rPr>
        <w:t xml:space="preserve">ey learning </w:t>
      </w:r>
      <w:r w:rsidRPr="00DD1B58">
        <w:rPr>
          <w:lang w:val="en-US"/>
        </w:rPr>
        <w:t>the following points:</w:t>
      </w:r>
    </w:p>
    <w:p w14:paraId="3C6A39D1" w14:textId="77777777" w:rsidR="00E77C2B" w:rsidRPr="00DD1B58" w:rsidRDefault="00E77C2B" w:rsidP="00600359">
      <w:pPr>
        <w:pStyle w:val="Bulletlist1"/>
        <w:rPr>
          <w:lang w:val="en-US"/>
        </w:rPr>
      </w:pPr>
      <w:r w:rsidRPr="00DD1B58">
        <w:rPr>
          <w:lang w:val="en-US"/>
        </w:rPr>
        <w:t>replacement of transformer oil with a non-combustible alternative</w:t>
      </w:r>
    </w:p>
    <w:p w14:paraId="5238DBAB" w14:textId="77777777" w:rsidR="00E77C2B" w:rsidRPr="00DD1B58" w:rsidRDefault="00E77C2B" w:rsidP="00600359">
      <w:pPr>
        <w:pStyle w:val="Bulletlist1"/>
        <w:rPr>
          <w:lang w:val="en-US"/>
        </w:rPr>
      </w:pPr>
      <w:r w:rsidRPr="00DD1B58">
        <w:rPr>
          <w:lang w:val="en-US"/>
        </w:rPr>
        <w:t>review and update of arrangements for information, instruction &amp; training</w:t>
      </w:r>
    </w:p>
    <w:p w14:paraId="6A5019AB" w14:textId="77777777" w:rsidR="00E77C2B" w:rsidRPr="00DD1B58" w:rsidRDefault="00E77C2B" w:rsidP="00600359">
      <w:pPr>
        <w:pStyle w:val="Bulletlist1"/>
        <w:rPr>
          <w:lang w:val="en-US"/>
        </w:rPr>
      </w:pPr>
      <w:r w:rsidRPr="00DD1B58">
        <w:rPr>
          <w:lang w:val="en-US"/>
        </w:rPr>
        <w:t>reduced combustible gas cylinder sizes</w:t>
      </w:r>
    </w:p>
    <w:p w14:paraId="722971A3" w14:textId="06D8DE85" w:rsidR="00CF4122" w:rsidRPr="00DD1B58" w:rsidRDefault="00E77C2B" w:rsidP="00600359">
      <w:pPr>
        <w:pStyle w:val="Bulletlist1"/>
        <w:rPr>
          <w:szCs w:val="24"/>
          <w:lang w:val="en-US" w:eastAsia="en-GB" w:bidi="ar-SA"/>
        </w:rPr>
      </w:pPr>
      <w:r w:rsidRPr="00DD1B58">
        <w:rPr>
          <w:lang w:val="en-US"/>
        </w:rPr>
        <w:t>programme of lead acid battery replacement with VRLA batteries to reduce the potential risk of hydrogen.</w:t>
      </w:r>
    </w:p>
    <w:p w14:paraId="3AF9759F" w14:textId="6CE13F5D" w:rsidR="00755EE1" w:rsidRPr="00DD1B58" w:rsidRDefault="009763FB" w:rsidP="00755EE1">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00FB741D" w:rsidRPr="00DD1B58">
        <w:rPr>
          <w:szCs w:val="24"/>
          <w:lang w:val="en-US" w:eastAsia="en-GB" w:bidi="ar-SA"/>
        </w:rPr>
        <w:t xml:space="preserve">reports </w:t>
      </w:r>
      <w:r w:rsidRPr="00DD1B58">
        <w:rPr>
          <w:szCs w:val="24"/>
          <w:lang w:val="en-US" w:eastAsia="en-GB" w:bidi="ar-SA"/>
        </w:rPr>
        <w:t>that f</w:t>
      </w:r>
      <w:r w:rsidR="00755EE1" w:rsidRPr="00DD1B58">
        <w:rPr>
          <w:szCs w:val="24"/>
          <w:lang w:val="en-US" w:eastAsia="en-GB" w:bidi="ar-SA"/>
        </w:rPr>
        <w:t>ires of an electrical origin are controlled throughout the lifecycle of electrical systems and equipment.</w:t>
      </w:r>
    </w:p>
    <w:p w14:paraId="0F2234E6" w14:textId="77777777" w:rsidR="00755EE1" w:rsidRPr="00DD1B58" w:rsidRDefault="00755EE1" w:rsidP="00755EE1">
      <w:pPr>
        <w:autoSpaceDE w:val="0"/>
        <w:autoSpaceDN w:val="0"/>
        <w:adjustRightInd w:val="0"/>
        <w:spacing w:after="0" w:line="240" w:lineRule="auto"/>
        <w:rPr>
          <w:szCs w:val="24"/>
          <w:lang w:val="en-US" w:eastAsia="en-GB" w:bidi="ar-SA"/>
        </w:rPr>
      </w:pPr>
    </w:p>
    <w:p w14:paraId="2E5410C1" w14:textId="39C528D6" w:rsidR="00755EE1" w:rsidRPr="00DD1B58" w:rsidRDefault="00140813" w:rsidP="00755EE1">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00FB741D" w:rsidRPr="00DD1B58">
        <w:rPr>
          <w:szCs w:val="24"/>
          <w:lang w:val="en-US" w:eastAsia="en-GB" w:bidi="ar-SA"/>
        </w:rPr>
        <w:t>states</w:t>
      </w:r>
      <w:r w:rsidRPr="00DD1B58">
        <w:rPr>
          <w:szCs w:val="24"/>
          <w:lang w:val="en-US" w:eastAsia="en-GB" w:bidi="ar-SA"/>
        </w:rPr>
        <w:t xml:space="preserve"> that the d</w:t>
      </w:r>
      <w:r w:rsidR="00755EE1" w:rsidRPr="00DD1B58">
        <w:rPr>
          <w:szCs w:val="24"/>
          <w:lang w:val="en-US" w:eastAsia="en-GB" w:bidi="ar-SA"/>
        </w:rPr>
        <w:t xml:space="preserve">esign of electrical systems is carried out in accordance with the required company, national and international standards with an appropriate level of control and oversight by the Design Authority and Senior Authorised Person Electrical (SAPe) providing a governance framework for the production, assessment and approval of design documentation. </w:t>
      </w:r>
    </w:p>
    <w:p w14:paraId="6A13949A" w14:textId="77777777" w:rsidR="00755EE1" w:rsidRPr="00DD1B58" w:rsidRDefault="00755EE1" w:rsidP="00755EE1">
      <w:pPr>
        <w:autoSpaceDE w:val="0"/>
        <w:autoSpaceDN w:val="0"/>
        <w:adjustRightInd w:val="0"/>
        <w:spacing w:after="0" w:line="240" w:lineRule="auto"/>
        <w:rPr>
          <w:szCs w:val="24"/>
          <w:lang w:val="en-US" w:eastAsia="en-GB" w:bidi="ar-SA"/>
        </w:rPr>
      </w:pPr>
    </w:p>
    <w:p w14:paraId="0C38C5A5" w14:textId="64273547" w:rsidR="00755EE1" w:rsidRPr="00DD1B58" w:rsidRDefault="00140813" w:rsidP="00755EE1">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00FB741D" w:rsidRPr="00DD1B58">
        <w:rPr>
          <w:szCs w:val="24"/>
          <w:lang w:val="en-US" w:eastAsia="en-GB" w:bidi="ar-SA"/>
        </w:rPr>
        <w:t>reports</w:t>
      </w:r>
      <w:r w:rsidRPr="00DD1B58">
        <w:rPr>
          <w:szCs w:val="24"/>
          <w:lang w:val="en-US" w:eastAsia="en-GB" w:bidi="ar-SA"/>
        </w:rPr>
        <w:t xml:space="preserve"> that it has a</w:t>
      </w:r>
      <w:r w:rsidR="00755EE1" w:rsidRPr="00DD1B58">
        <w:rPr>
          <w:szCs w:val="24"/>
          <w:lang w:val="en-US" w:eastAsia="en-GB" w:bidi="ar-SA"/>
        </w:rPr>
        <w:t>rrangements in place to ensure safe work on or with electrical systems and electrical equipment including construction, installation, commissioning, modification, maintenance, testing, operation and decommissioning of electrical equipment. These arrangements specify the appointments and competency required for those persons with responsibilities for electrical safety and those persons undertaking electrical work.</w:t>
      </w:r>
      <w:r w:rsidR="00940D2A" w:rsidRPr="00DD1B58">
        <w:rPr>
          <w:szCs w:val="24"/>
          <w:lang w:val="en-US" w:eastAsia="en-GB" w:bidi="ar-SA"/>
        </w:rPr>
        <w:t xml:space="preserve"> </w:t>
      </w:r>
      <w:r w:rsidR="00A737DA" w:rsidRPr="00DD1B58">
        <w:rPr>
          <w:szCs w:val="24"/>
          <w:lang w:val="en-US" w:eastAsia="en-GB" w:bidi="ar-SA"/>
        </w:rPr>
        <w:t xml:space="preserve">UUK produces </w:t>
      </w:r>
      <w:r w:rsidR="00734C5C" w:rsidRPr="00DD1B58">
        <w:rPr>
          <w:szCs w:val="24"/>
          <w:lang w:val="en-US" w:eastAsia="en-GB" w:bidi="ar-SA"/>
        </w:rPr>
        <w:t>t</w:t>
      </w:r>
      <w:r w:rsidR="00755EE1" w:rsidRPr="00DD1B58">
        <w:rPr>
          <w:szCs w:val="24"/>
          <w:lang w:val="en-US" w:eastAsia="en-GB" w:bidi="ar-SA"/>
        </w:rPr>
        <w:t>his Company Instruction to comply with regulatory requirements and associated guidance documents.</w:t>
      </w:r>
    </w:p>
    <w:p w14:paraId="7902FB6B" w14:textId="77777777" w:rsidR="00755EE1" w:rsidRPr="00DD1B58" w:rsidRDefault="00755EE1" w:rsidP="00755EE1">
      <w:pPr>
        <w:autoSpaceDE w:val="0"/>
        <w:autoSpaceDN w:val="0"/>
        <w:adjustRightInd w:val="0"/>
        <w:spacing w:after="0" w:line="240" w:lineRule="auto"/>
        <w:rPr>
          <w:szCs w:val="24"/>
          <w:lang w:val="en-US" w:eastAsia="en-GB" w:bidi="ar-SA"/>
        </w:rPr>
      </w:pPr>
    </w:p>
    <w:p w14:paraId="027425B8" w14:textId="0EF2943C" w:rsidR="00755EE1" w:rsidRPr="00DD1B58" w:rsidRDefault="00892E4F" w:rsidP="00755EE1">
      <w:pPr>
        <w:autoSpaceDE w:val="0"/>
        <w:autoSpaceDN w:val="0"/>
        <w:adjustRightInd w:val="0"/>
        <w:spacing w:after="0" w:line="240" w:lineRule="auto"/>
        <w:rPr>
          <w:szCs w:val="24"/>
          <w:lang w:val="en-US" w:eastAsia="en-GB" w:bidi="ar-SA"/>
        </w:rPr>
      </w:pPr>
      <w:r w:rsidRPr="00DD1B58">
        <w:rPr>
          <w:szCs w:val="24"/>
          <w:lang w:val="en-US" w:eastAsia="en-GB" w:bidi="ar-SA"/>
        </w:rPr>
        <w:t xml:space="preserve">UUK </w:t>
      </w:r>
      <w:r w:rsidR="006D798B" w:rsidRPr="00DD1B58">
        <w:rPr>
          <w:szCs w:val="24"/>
          <w:lang w:val="en-US" w:eastAsia="en-GB" w:bidi="ar-SA"/>
        </w:rPr>
        <w:t>reports that</w:t>
      </w:r>
      <w:r w:rsidRPr="00DD1B58">
        <w:rPr>
          <w:szCs w:val="24"/>
          <w:lang w:val="en-US" w:eastAsia="en-GB" w:bidi="ar-SA"/>
        </w:rPr>
        <w:t xml:space="preserve"> d</w:t>
      </w:r>
      <w:r w:rsidR="00755EE1" w:rsidRPr="00DD1B58">
        <w:rPr>
          <w:szCs w:val="24"/>
          <w:lang w:val="en-US" w:eastAsia="en-GB" w:bidi="ar-SA"/>
        </w:rPr>
        <w:t xml:space="preserve">etailed instructions exist which comply with the relevant Codes of Practice for the specification and execution of preventative and reactive maintenance of the fixed electrical equipment. Electrical maintenance includes Examination, Inspection, Maintenance and Testing. </w:t>
      </w:r>
      <w:r w:rsidRPr="00DD1B58">
        <w:rPr>
          <w:szCs w:val="24"/>
          <w:lang w:val="en-US" w:eastAsia="en-GB" w:bidi="ar-SA"/>
        </w:rPr>
        <w:t xml:space="preserve">UUK acknowledged that the </w:t>
      </w:r>
      <w:r w:rsidR="00755EE1" w:rsidRPr="00DD1B58">
        <w:rPr>
          <w:szCs w:val="24"/>
          <w:lang w:val="en-US" w:eastAsia="en-GB" w:bidi="ar-SA"/>
        </w:rPr>
        <w:t xml:space="preserve">normally dormant state of electrical switchgear, distribution systems and associated control and protection equipment does not automatically draw attention to emerging faults, deterioration or danger resulting from neglect and the consequent need for maintenance. </w:t>
      </w:r>
      <w:r w:rsidR="001B37FA" w:rsidRPr="00DD1B58">
        <w:rPr>
          <w:szCs w:val="24"/>
          <w:lang w:val="en-US" w:eastAsia="en-GB" w:bidi="ar-SA"/>
        </w:rPr>
        <w:t xml:space="preserve">UUK </w:t>
      </w:r>
      <w:r w:rsidR="007376D6" w:rsidRPr="00DD1B58">
        <w:rPr>
          <w:szCs w:val="24"/>
          <w:lang w:val="en-US" w:eastAsia="en-GB" w:bidi="ar-SA"/>
        </w:rPr>
        <w:t>states that</w:t>
      </w:r>
      <w:r w:rsidR="001B37FA" w:rsidRPr="00DD1B58">
        <w:rPr>
          <w:szCs w:val="24"/>
          <w:lang w:val="en-US" w:eastAsia="en-GB" w:bidi="ar-SA"/>
        </w:rPr>
        <w:t xml:space="preserve"> it therefore implements </w:t>
      </w:r>
      <w:r w:rsidR="00755EE1" w:rsidRPr="00DD1B58">
        <w:rPr>
          <w:szCs w:val="24"/>
          <w:lang w:val="en-US" w:eastAsia="en-GB" w:bidi="ar-SA"/>
        </w:rPr>
        <w:t xml:space="preserve">an organised system of maintenance is </w:t>
      </w:r>
      <w:r w:rsidR="001B37FA" w:rsidRPr="00DD1B58">
        <w:rPr>
          <w:szCs w:val="24"/>
          <w:lang w:val="en-US" w:eastAsia="en-GB" w:bidi="ar-SA"/>
        </w:rPr>
        <w:t>t</w:t>
      </w:r>
      <w:r w:rsidR="00755EE1" w:rsidRPr="00DD1B58">
        <w:rPr>
          <w:szCs w:val="24"/>
          <w:lang w:val="en-US" w:eastAsia="en-GB" w:bidi="ar-SA"/>
        </w:rPr>
        <w:t>o facilitate continued safe and acceptable operation of an electrical system with the minimum risk of failure and consequent interruption of supply.</w:t>
      </w:r>
      <w:r w:rsidR="00940D2A" w:rsidRPr="00DD1B58">
        <w:rPr>
          <w:szCs w:val="24"/>
          <w:lang w:val="en-US" w:eastAsia="en-GB" w:bidi="ar-SA"/>
        </w:rPr>
        <w:t xml:space="preserve"> </w:t>
      </w:r>
      <w:r w:rsidR="001B37FA" w:rsidRPr="00DD1B58">
        <w:rPr>
          <w:szCs w:val="24"/>
          <w:lang w:val="en-US" w:eastAsia="en-GB" w:bidi="ar-SA"/>
        </w:rPr>
        <w:t xml:space="preserve">It listed that, for </w:t>
      </w:r>
      <w:r w:rsidR="00755EE1" w:rsidRPr="00DD1B58">
        <w:rPr>
          <w:szCs w:val="24"/>
          <w:lang w:val="en-US" w:eastAsia="en-GB" w:bidi="ar-SA"/>
        </w:rPr>
        <w:t xml:space="preserve">high voltage equipment, </w:t>
      </w:r>
      <w:r w:rsidR="001B37FA" w:rsidRPr="00DD1B58">
        <w:rPr>
          <w:szCs w:val="24"/>
          <w:lang w:val="en-US" w:eastAsia="en-GB" w:bidi="ar-SA"/>
        </w:rPr>
        <w:t>evidence and experience led checks ranged</w:t>
      </w:r>
      <w:r w:rsidR="00755EE1" w:rsidRPr="00DD1B58">
        <w:rPr>
          <w:szCs w:val="24"/>
          <w:lang w:val="en-US" w:eastAsia="en-GB" w:bidi="ar-SA"/>
        </w:rPr>
        <w:t xml:space="preserve"> from functional checks, non-intrusive testing</w:t>
      </w:r>
      <w:r w:rsidR="00D866A5" w:rsidRPr="00DD1B58">
        <w:rPr>
          <w:szCs w:val="24"/>
          <w:lang w:val="en-US" w:eastAsia="en-GB" w:bidi="ar-SA"/>
        </w:rPr>
        <w:t>,</w:t>
      </w:r>
      <w:r w:rsidR="00755EE1" w:rsidRPr="00DD1B58">
        <w:rPr>
          <w:szCs w:val="24"/>
          <w:lang w:val="en-US" w:eastAsia="en-GB" w:bidi="ar-SA"/>
        </w:rPr>
        <w:t xml:space="preserve"> progressive sampling (to assess the continuing condition of the equipment and its potential failure risk), through to complete replacement. </w:t>
      </w:r>
      <w:r w:rsidR="00D866A5" w:rsidRPr="00DD1B58">
        <w:rPr>
          <w:szCs w:val="24"/>
          <w:lang w:val="en-US" w:eastAsia="en-GB" w:bidi="ar-SA"/>
        </w:rPr>
        <w:t xml:space="preserve">UUK </w:t>
      </w:r>
      <w:r w:rsidR="006D798B" w:rsidRPr="00DD1B58">
        <w:rPr>
          <w:szCs w:val="24"/>
          <w:lang w:val="en-US" w:eastAsia="en-GB" w:bidi="ar-SA"/>
        </w:rPr>
        <w:t>reports that</w:t>
      </w:r>
      <w:r w:rsidR="00D866A5" w:rsidRPr="00DD1B58">
        <w:rPr>
          <w:szCs w:val="24"/>
          <w:lang w:val="en-US" w:eastAsia="en-GB" w:bidi="ar-SA"/>
        </w:rPr>
        <w:t xml:space="preserve"> it gathers e</w:t>
      </w:r>
      <w:r w:rsidR="00755EE1" w:rsidRPr="00DD1B58">
        <w:rPr>
          <w:szCs w:val="24"/>
          <w:lang w:val="en-US" w:eastAsia="en-GB" w:bidi="ar-SA"/>
        </w:rPr>
        <w:t xml:space="preserve">vidence </w:t>
      </w:r>
      <w:r w:rsidR="00D866A5" w:rsidRPr="00DD1B58">
        <w:rPr>
          <w:szCs w:val="24"/>
          <w:lang w:val="en-US" w:eastAsia="en-GB" w:bidi="ar-SA"/>
        </w:rPr>
        <w:t>from the</w:t>
      </w:r>
      <w:r w:rsidR="00755EE1" w:rsidRPr="00DD1B58">
        <w:rPr>
          <w:szCs w:val="24"/>
          <w:lang w:val="en-US" w:eastAsia="en-GB" w:bidi="ar-SA"/>
        </w:rPr>
        <w:t xml:space="preserve"> performance of the system, operational history, environmental exposure, physical condition, age and consequence of failure.</w:t>
      </w:r>
      <w:r w:rsidR="00521BF4" w:rsidRPr="00DD1B58">
        <w:rPr>
          <w:szCs w:val="24"/>
          <w:lang w:val="en-US" w:eastAsia="en-GB" w:bidi="ar-SA"/>
        </w:rPr>
        <w:t xml:space="preserve"> It also referred to e</w:t>
      </w:r>
      <w:r w:rsidR="00755EE1" w:rsidRPr="00DD1B58">
        <w:rPr>
          <w:szCs w:val="24"/>
          <w:lang w:val="en-US" w:eastAsia="en-GB" w:bidi="ar-SA"/>
        </w:rPr>
        <w:t>xperience from similar</w:t>
      </w:r>
      <w:r w:rsidR="00521BF4" w:rsidRPr="00DD1B58">
        <w:rPr>
          <w:szCs w:val="24"/>
          <w:lang w:val="en-US" w:eastAsia="en-GB" w:bidi="ar-SA"/>
        </w:rPr>
        <w:t xml:space="preserve"> systems, m</w:t>
      </w:r>
      <w:r w:rsidR="00755EE1" w:rsidRPr="00DD1B58">
        <w:rPr>
          <w:szCs w:val="24"/>
          <w:lang w:val="en-US" w:eastAsia="en-GB" w:bidi="ar-SA"/>
        </w:rPr>
        <w:t xml:space="preserve">anufacturer's </w:t>
      </w:r>
      <w:r w:rsidR="00521BF4" w:rsidRPr="00DD1B58">
        <w:rPr>
          <w:szCs w:val="24"/>
          <w:lang w:val="en-US" w:eastAsia="en-GB" w:bidi="ar-SA"/>
        </w:rPr>
        <w:t xml:space="preserve">maintenance </w:t>
      </w:r>
      <w:r w:rsidR="00755EE1" w:rsidRPr="00DD1B58">
        <w:rPr>
          <w:szCs w:val="24"/>
          <w:lang w:val="en-US" w:eastAsia="en-GB" w:bidi="ar-SA"/>
        </w:rPr>
        <w:t xml:space="preserve">guidance </w:t>
      </w:r>
      <w:r w:rsidR="0017584E" w:rsidRPr="00DD1B58">
        <w:rPr>
          <w:szCs w:val="24"/>
          <w:lang w:val="en-US" w:eastAsia="en-GB" w:bidi="ar-SA"/>
        </w:rPr>
        <w:t>in addition to the</w:t>
      </w:r>
      <w:r w:rsidR="00AC6337" w:rsidRPr="00DD1B58">
        <w:rPr>
          <w:szCs w:val="24"/>
          <w:lang w:val="en-US" w:eastAsia="en-GB" w:bidi="ar-SA"/>
        </w:rPr>
        <w:t xml:space="preserve"> process driven experience on failure modes unknown</w:t>
      </w:r>
      <w:r w:rsidR="0017584E" w:rsidRPr="00DD1B58">
        <w:rPr>
          <w:szCs w:val="24"/>
          <w:lang w:val="en-US" w:eastAsia="en-GB" w:bidi="ar-SA"/>
        </w:rPr>
        <w:t xml:space="preserve"> to manufacturers.</w:t>
      </w:r>
    </w:p>
    <w:p w14:paraId="3CD7C269" w14:textId="3A69A824" w:rsidR="00755EE1" w:rsidRPr="00DD1B58" w:rsidRDefault="00755EE1" w:rsidP="00755EE1">
      <w:pPr>
        <w:autoSpaceDE w:val="0"/>
        <w:autoSpaceDN w:val="0"/>
        <w:adjustRightInd w:val="0"/>
        <w:spacing w:after="0" w:line="240" w:lineRule="auto"/>
        <w:rPr>
          <w:szCs w:val="24"/>
          <w:lang w:val="en-US" w:eastAsia="en-GB" w:bidi="ar-SA"/>
        </w:rPr>
      </w:pPr>
      <w:r w:rsidRPr="00DD1B58">
        <w:rPr>
          <w:szCs w:val="24"/>
          <w:lang w:val="en-US" w:eastAsia="en-GB" w:bidi="ar-SA"/>
        </w:rPr>
        <w:br/>
      </w:r>
      <w:r w:rsidR="0017584E" w:rsidRPr="00DD1B58">
        <w:rPr>
          <w:szCs w:val="24"/>
          <w:lang w:val="en-US" w:eastAsia="en-GB" w:bidi="ar-SA"/>
        </w:rPr>
        <w:t>UUK</w:t>
      </w:r>
      <w:r w:rsidR="004844B1" w:rsidRPr="00DD1B58">
        <w:rPr>
          <w:szCs w:val="24"/>
          <w:lang w:val="en-US" w:eastAsia="en-GB" w:bidi="ar-SA"/>
        </w:rPr>
        <w:t xml:space="preserve">’s </w:t>
      </w:r>
      <w:r w:rsidR="0017584E" w:rsidRPr="00DD1B58">
        <w:rPr>
          <w:szCs w:val="24"/>
          <w:lang w:val="en-US" w:eastAsia="en-GB" w:bidi="ar-SA"/>
        </w:rPr>
        <w:t>m</w:t>
      </w:r>
      <w:r w:rsidRPr="00DD1B58">
        <w:rPr>
          <w:szCs w:val="24"/>
          <w:lang w:val="en-US" w:eastAsia="en-GB" w:bidi="ar-SA"/>
        </w:rPr>
        <w:t xml:space="preserve">aintenance is generally on a fixed periodic basis derived from a technical basis of maintenance </w:t>
      </w:r>
      <w:r w:rsidR="0053577D" w:rsidRPr="00DD1B58">
        <w:rPr>
          <w:szCs w:val="24"/>
          <w:lang w:val="en-US" w:eastAsia="en-GB" w:bidi="ar-SA"/>
        </w:rPr>
        <w:t>assessment but</w:t>
      </w:r>
      <w:r w:rsidRPr="00DD1B58">
        <w:rPr>
          <w:szCs w:val="24"/>
          <w:lang w:val="en-US" w:eastAsia="en-GB" w:bidi="ar-SA"/>
        </w:rPr>
        <w:t xml:space="preserve"> can be extended or brought forward using a technical risk based approach to provide justification. </w:t>
      </w:r>
      <w:r w:rsidR="0017584E" w:rsidRPr="00DD1B58">
        <w:rPr>
          <w:szCs w:val="24"/>
          <w:lang w:val="en-US" w:eastAsia="en-GB" w:bidi="ar-SA"/>
        </w:rPr>
        <w:t xml:space="preserve">UUK </w:t>
      </w:r>
      <w:r w:rsidR="004844B1" w:rsidRPr="00DD1B58">
        <w:rPr>
          <w:szCs w:val="24"/>
          <w:lang w:val="en-US" w:eastAsia="en-GB" w:bidi="ar-SA"/>
        </w:rPr>
        <w:t>states</w:t>
      </w:r>
      <w:r w:rsidR="0017584E" w:rsidRPr="00DD1B58">
        <w:rPr>
          <w:szCs w:val="24"/>
          <w:lang w:val="en-US" w:eastAsia="en-GB" w:bidi="ar-SA"/>
        </w:rPr>
        <w:t xml:space="preserve"> that, w</w:t>
      </w:r>
      <w:r w:rsidRPr="00DD1B58">
        <w:rPr>
          <w:szCs w:val="24"/>
          <w:lang w:val="en-US" w:eastAsia="en-GB" w:bidi="ar-SA"/>
        </w:rPr>
        <w:t xml:space="preserve">here possible and practicable, </w:t>
      </w:r>
      <w:r w:rsidR="0017584E" w:rsidRPr="00DD1B58">
        <w:rPr>
          <w:szCs w:val="24"/>
          <w:lang w:val="en-US" w:eastAsia="en-GB" w:bidi="ar-SA"/>
        </w:rPr>
        <w:t>it uses</w:t>
      </w:r>
      <w:r w:rsidRPr="00DD1B58">
        <w:rPr>
          <w:szCs w:val="24"/>
          <w:lang w:val="en-US" w:eastAsia="en-GB" w:bidi="ar-SA"/>
        </w:rPr>
        <w:t xml:space="preserve"> non-intrusive techniques (</w:t>
      </w:r>
      <w:r w:rsidRPr="00DD1B58">
        <w:rPr>
          <w:iCs/>
          <w:szCs w:val="24"/>
          <w:lang w:val="en-US" w:eastAsia="en-GB" w:bidi="ar-SA"/>
        </w:rPr>
        <w:t>for example, thermographic imaging</w:t>
      </w:r>
      <w:r w:rsidR="007C3F42" w:rsidRPr="00DD1B58">
        <w:rPr>
          <w:iCs/>
          <w:szCs w:val="24"/>
          <w:lang w:val="en-US" w:eastAsia="en-GB" w:bidi="ar-SA"/>
        </w:rPr>
        <w:t>/</w:t>
      </w:r>
      <w:r w:rsidRPr="00DD1B58">
        <w:rPr>
          <w:iCs/>
          <w:szCs w:val="24"/>
          <w:lang w:val="en-US" w:eastAsia="en-GB" w:bidi="ar-SA"/>
        </w:rPr>
        <w:t>inspection, partial discharge detection)</w:t>
      </w:r>
      <w:r w:rsidRPr="00DD1B58">
        <w:rPr>
          <w:szCs w:val="24"/>
          <w:lang w:val="en-US" w:eastAsia="en-GB" w:bidi="ar-SA"/>
        </w:rPr>
        <w:t>, to monitor the condition of plant and equipment between intrusive maintenance.</w:t>
      </w:r>
    </w:p>
    <w:p w14:paraId="3C4A0353" w14:textId="77777777" w:rsidR="00755EE1" w:rsidRPr="00DD1B58" w:rsidRDefault="00755EE1" w:rsidP="00CF4122">
      <w:pPr>
        <w:autoSpaceDE w:val="0"/>
        <w:autoSpaceDN w:val="0"/>
        <w:adjustRightInd w:val="0"/>
        <w:spacing w:after="0" w:line="240" w:lineRule="auto"/>
        <w:rPr>
          <w:szCs w:val="24"/>
          <w:lang w:val="en-US" w:eastAsia="en-GB" w:bidi="ar-SA"/>
        </w:rPr>
      </w:pPr>
    </w:p>
    <w:p w14:paraId="7E6E5513" w14:textId="77777777" w:rsidR="00810C92" w:rsidRPr="00DD1B58" w:rsidRDefault="00810C92" w:rsidP="00177432">
      <w:pPr>
        <w:pStyle w:val="Heading5A"/>
        <w:rPr>
          <w:lang w:val="en-US"/>
        </w:rPr>
      </w:pPr>
      <w:bookmarkStart w:id="80" w:name="_Ref145057085"/>
      <w:r w:rsidRPr="00DD1B58">
        <w:rPr>
          <w:lang w:val="en-US"/>
        </w:rPr>
        <w:t>Licensee’s experience of the implementation of the fire prevention</w:t>
      </w:r>
      <w:bookmarkEnd w:id="80"/>
    </w:p>
    <w:p w14:paraId="69C2B682" w14:textId="77777777" w:rsidR="00810C92" w:rsidRPr="00DD1B58" w:rsidRDefault="00810C92" w:rsidP="00177432">
      <w:pPr>
        <w:pStyle w:val="Heading5A"/>
        <w:numPr>
          <w:ilvl w:val="5"/>
          <w:numId w:val="7"/>
        </w:numPr>
        <w:rPr>
          <w:lang w:val="en-US"/>
        </w:rPr>
      </w:pPr>
      <w:r w:rsidRPr="00DD1B58">
        <w:rPr>
          <w:lang w:val="en-US"/>
        </w:rPr>
        <w:t>Overview of strengths and weaknesses</w:t>
      </w:r>
    </w:p>
    <w:p w14:paraId="6DE075C3" w14:textId="339927CB" w:rsidR="005E1C67" w:rsidRPr="00DD1B58" w:rsidRDefault="0017584E" w:rsidP="005E1C67">
      <w:pPr>
        <w:pStyle w:val="BodyText"/>
        <w:rPr>
          <w:lang w:val="en-US"/>
        </w:rPr>
      </w:pPr>
      <w:r w:rsidRPr="00DD1B58">
        <w:rPr>
          <w:lang w:val="en-US"/>
        </w:rPr>
        <w:t xml:space="preserve">UUK </w:t>
      </w:r>
      <w:r w:rsidR="006D798B" w:rsidRPr="00DD1B58">
        <w:rPr>
          <w:lang w:val="en-US"/>
        </w:rPr>
        <w:t>reports that</w:t>
      </w:r>
      <w:r w:rsidRPr="00DD1B58">
        <w:rPr>
          <w:lang w:val="en-US"/>
        </w:rPr>
        <w:t xml:space="preserve"> assessment </w:t>
      </w:r>
      <w:r w:rsidR="005E1C67" w:rsidRPr="00DD1B58">
        <w:rPr>
          <w:lang w:val="en-US"/>
        </w:rPr>
        <w:t xml:space="preserve">of nuclear fire, life </w:t>
      </w:r>
      <w:r w:rsidRPr="00DD1B58">
        <w:rPr>
          <w:lang w:val="en-US"/>
        </w:rPr>
        <w:t xml:space="preserve">fire </w:t>
      </w:r>
      <w:r w:rsidR="005E1C67" w:rsidRPr="00DD1B58">
        <w:rPr>
          <w:lang w:val="en-US"/>
        </w:rPr>
        <w:t>safety and asset protection risks have culminated in comparable recommendations in terms of prevention, mitigation and detection.</w:t>
      </w:r>
    </w:p>
    <w:p w14:paraId="5712A031" w14:textId="0316B30C" w:rsidR="005E1C67" w:rsidRPr="00DD1B58" w:rsidRDefault="00771A73" w:rsidP="005E1C67">
      <w:pPr>
        <w:pStyle w:val="BodyText"/>
        <w:rPr>
          <w:lang w:val="en-US"/>
        </w:rPr>
      </w:pPr>
      <w:r w:rsidRPr="00DD1B58">
        <w:rPr>
          <w:lang w:val="en-US"/>
        </w:rPr>
        <w:t>UUK</w:t>
      </w:r>
      <w:r w:rsidR="0017584E" w:rsidRPr="00DD1B58">
        <w:rPr>
          <w:lang w:val="en-US"/>
        </w:rPr>
        <w:t xml:space="preserve"> </w:t>
      </w:r>
      <w:r w:rsidR="007376D6" w:rsidRPr="00DD1B58">
        <w:rPr>
          <w:lang w:val="en-US"/>
        </w:rPr>
        <w:t>states that</w:t>
      </w:r>
      <w:r w:rsidR="0017584E" w:rsidRPr="00DD1B58">
        <w:rPr>
          <w:lang w:val="en-US"/>
        </w:rPr>
        <w:t xml:space="preserve"> following </w:t>
      </w:r>
      <w:r w:rsidR="005E1C67" w:rsidRPr="00DD1B58">
        <w:rPr>
          <w:lang w:val="en-US"/>
        </w:rPr>
        <w:t>re-organisation in 2020</w:t>
      </w:r>
      <w:r w:rsidR="0017584E" w:rsidRPr="00DD1B58">
        <w:rPr>
          <w:lang w:val="en-US"/>
        </w:rPr>
        <w:t>, it placed an</w:t>
      </w:r>
      <w:r w:rsidR="005E1C67" w:rsidRPr="00DD1B58">
        <w:rPr>
          <w:lang w:val="en-US"/>
        </w:rPr>
        <w:t xml:space="preserve"> increased focus was made on fire safety management and identified deficiencies. This was specific to the understanding and responsibility for the application and maintenance of life safety systems and adherence to the fire safety strategies through the implementation of a coherent prevention-protection-response approach.</w:t>
      </w:r>
    </w:p>
    <w:p w14:paraId="00985670" w14:textId="4B11C6E2" w:rsidR="00196DA5" w:rsidRPr="00DD1B58" w:rsidRDefault="00771A73" w:rsidP="005E1C67">
      <w:pPr>
        <w:pStyle w:val="BodyText"/>
        <w:rPr>
          <w:lang w:val="en-US"/>
        </w:rPr>
      </w:pPr>
      <w:r w:rsidRPr="00DD1B58">
        <w:rPr>
          <w:lang w:val="en-US"/>
        </w:rPr>
        <w:t xml:space="preserve">UUK </w:t>
      </w:r>
      <w:r w:rsidR="006D798B" w:rsidRPr="00DD1B58">
        <w:rPr>
          <w:lang w:val="en-US"/>
        </w:rPr>
        <w:t>reports that</w:t>
      </w:r>
      <w:r w:rsidRPr="00DD1B58">
        <w:rPr>
          <w:lang w:val="en-US"/>
        </w:rPr>
        <w:t xml:space="preserve"> continued </w:t>
      </w:r>
      <w:r w:rsidR="007D6188" w:rsidRPr="00DD1B58">
        <w:rPr>
          <w:lang w:val="en-US"/>
        </w:rPr>
        <w:t>assessment and review of fire prevention strategy implementation identified the</w:t>
      </w:r>
      <w:r w:rsidR="00196DA5" w:rsidRPr="00DD1B58">
        <w:rPr>
          <w:lang w:val="en-US"/>
        </w:rPr>
        <w:t xml:space="preserve"> </w:t>
      </w:r>
      <w:r w:rsidR="007D6188" w:rsidRPr="00DD1B58">
        <w:rPr>
          <w:lang w:val="en-US"/>
        </w:rPr>
        <w:t>following areas of strength:</w:t>
      </w:r>
    </w:p>
    <w:p w14:paraId="6F38C9F8" w14:textId="77777777" w:rsidR="005E1C67" w:rsidRPr="00DD1B58" w:rsidRDefault="005E1C67" w:rsidP="00600359">
      <w:pPr>
        <w:pStyle w:val="Bulletlist1"/>
        <w:rPr>
          <w:lang w:val="en-US"/>
        </w:rPr>
      </w:pPr>
      <w:r w:rsidRPr="00DD1B58">
        <w:rPr>
          <w:lang w:val="en-US"/>
        </w:rPr>
        <w:t xml:space="preserve">Fire-resistant building construction materials conforming to a facility specific Fire Strategy </w:t>
      </w:r>
    </w:p>
    <w:p w14:paraId="70A933A4" w14:textId="77777777" w:rsidR="005E1C67" w:rsidRPr="00DD1B58" w:rsidRDefault="005E1C67" w:rsidP="00600359">
      <w:pPr>
        <w:pStyle w:val="Bulletlist2"/>
        <w:rPr>
          <w:lang w:val="en-US"/>
        </w:rPr>
      </w:pPr>
      <w:r w:rsidRPr="00DD1B58">
        <w:rPr>
          <w:lang w:val="en-US"/>
        </w:rPr>
        <w:t>Robust programme of production of Fire Strategies as part of new build and refurbishment activities supporting FRA’s (Golden Thread);</w:t>
      </w:r>
    </w:p>
    <w:p w14:paraId="262F0C65" w14:textId="77777777" w:rsidR="005E1C67" w:rsidRPr="00DD1B58" w:rsidRDefault="005E1C67" w:rsidP="00600359">
      <w:pPr>
        <w:pStyle w:val="Bulletlist2"/>
        <w:rPr>
          <w:lang w:val="en-US"/>
        </w:rPr>
      </w:pPr>
      <w:r w:rsidRPr="00DD1B58">
        <w:rPr>
          <w:lang w:val="en-US"/>
        </w:rPr>
        <w:t>Use of drone technology to facilitate detailed inspection of existing facilities in relation to fire compartmentation;</w:t>
      </w:r>
    </w:p>
    <w:p w14:paraId="75FB553B" w14:textId="77777777" w:rsidR="000A3009" w:rsidRPr="00DD1B58" w:rsidRDefault="007D6188" w:rsidP="00600359">
      <w:pPr>
        <w:pStyle w:val="Bulletlist2"/>
        <w:rPr>
          <w:lang w:val="en-US"/>
        </w:rPr>
      </w:pPr>
      <w:r w:rsidRPr="00DD1B58">
        <w:rPr>
          <w:lang w:val="en-US"/>
        </w:rPr>
        <w:t xml:space="preserve">The planned application of building information modelling (BIM) for </w:t>
      </w:r>
      <w:r w:rsidR="000A3009" w:rsidRPr="00DD1B58">
        <w:rPr>
          <w:lang w:val="en-US"/>
        </w:rPr>
        <w:t xml:space="preserve">three-dimensional </w:t>
      </w:r>
      <w:r w:rsidRPr="00DD1B58">
        <w:rPr>
          <w:lang w:val="en-US"/>
        </w:rPr>
        <w:t>(3D) visualization and data/information storage for planning and</w:t>
      </w:r>
      <w:r w:rsidR="000A3009" w:rsidRPr="00DD1B58">
        <w:rPr>
          <w:lang w:val="en-US"/>
        </w:rPr>
        <w:t xml:space="preserve"> </w:t>
      </w:r>
      <w:r w:rsidRPr="00DD1B58">
        <w:rPr>
          <w:lang w:val="en-US"/>
        </w:rPr>
        <w:t>maintaining upcoming building projects.</w:t>
      </w:r>
    </w:p>
    <w:p w14:paraId="4601B0C5" w14:textId="77777777" w:rsidR="009C61EB" w:rsidRPr="00DD1B58" w:rsidRDefault="007D6188" w:rsidP="00600359">
      <w:pPr>
        <w:pStyle w:val="Bulletlist1"/>
        <w:rPr>
          <w:lang w:val="en-US"/>
        </w:rPr>
      </w:pPr>
      <w:r w:rsidRPr="00DD1B58">
        <w:rPr>
          <w:lang w:val="en-US"/>
        </w:rPr>
        <w:t>Safety planning, including Departmental Emergency Arrangements, management of</w:t>
      </w:r>
      <w:r w:rsidR="000A3009" w:rsidRPr="00DD1B58">
        <w:rPr>
          <w:lang w:val="en-US"/>
        </w:rPr>
        <w:t xml:space="preserve"> </w:t>
      </w:r>
      <w:r w:rsidRPr="00DD1B58">
        <w:rPr>
          <w:lang w:val="en-US"/>
        </w:rPr>
        <w:t>temporary lay down areas, Standard Operating Procedures for Incident Response</w:t>
      </w:r>
      <w:r w:rsidR="009C61EB" w:rsidRPr="00DD1B58">
        <w:rPr>
          <w:lang w:val="en-US"/>
        </w:rPr>
        <w:t xml:space="preserve"> </w:t>
      </w:r>
      <w:r w:rsidRPr="00DD1B58">
        <w:rPr>
          <w:lang w:val="en-US"/>
        </w:rPr>
        <w:t>Service</w:t>
      </w:r>
    </w:p>
    <w:p w14:paraId="49E7449E" w14:textId="313F951A" w:rsidR="00EB50F1" w:rsidRPr="00DD1B58" w:rsidRDefault="007D6188" w:rsidP="00600359">
      <w:pPr>
        <w:pStyle w:val="Bulletlist2"/>
        <w:rPr>
          <w:lang w:val="en-US"/>
        </w:rPr>
      </w:pPr>
      <w:r w:rsidRPr="00DD1B58">
        <w:rPr>
          <w:lang w:val="en-US"/>
        </w:rPr>
        <w:t>A fundamental review and creation of a single suite of Standards covering the</w:t>
      </w:r>
      <w:r w:rsidR="00604574" w:rsidRPr="00DD1B58">
        <w:rPr>
          <w:lang w:val="en-US"/>
        </w:rPr>
        <w:t xml:space="preserve"> </w:t>
      </w:r>
      <w:r w:rsidRPr="00DD1B58">
        <w:rPr>
          <w:lang w:val="en-US"/>
        </w:rPr>
        <w:t>Management of Fire Safety, Hot Works, DSEAR</w:t>
      </w:r>
      <w:r w:rsidR="007C3F42" w:rsidRPr="00DD1B58">
        <w:rPr>
          <w:lang w:val="en-US"/>
        </w:rPr>
        <w:t>/</w:t>
      </w:r>
      <w:r w:rsidRPr="00DD1B58">
        <w:rPr>
          <w:lang w:val="en-US"/>
        </w:rPr>
        <w:t>CoSHH, Automatic Fire Detection</w:t>
      </w:r>
      <w:r w:rsidR="002F1DBD" w:rsidRPr="00DD1B58">
        <w:rPr>
          <w:lang w:val="en-US"/>
        </w:rPr>
        <w:t xml:space="preserve"> </w:t>
      </w:r>
      <w:r w:rsidRPr="00DD1B58">
        <w:rPr>
          <w:lang w:val="en-US"/>
        </w:rPr>
        <w:t>System Testing &amp; Maintenance, Fire Compartmentation and</w:t>
      </w:r>
      <w:r w:rsidR="00EB6A1C" w:rsidRPr="00DD1B58">
        <w:rPr>
          <w:lang w:val="en-US"/>
        </w:rPr>
        <w:t xml:space="preserve"> </w:t>
      </w:r>
      <w:r w:rsidRPr="00DD1B58">
        <w:rPr>
          <w:lang w:val="en-US"/>
        </w:rPr>
        <w:t>Emergency Lighting.</w:t>
      </w:r>
      <w:r w:rsidR="005E1C67" w:rsidRPr="00DD1B58">
        <w:rPr>
          <w:lang w:val="en-US"/>
        </w:rPr>
        <w:t xml:space="preserve"> </w:t>
      </w:r>
    </w:p>
    <w:p w14:paraId="48402D13" w14:textId="77777777" w:rsidR="005E1C67" w:rsidRPr="00DD1B58" w:rsidRDefault="005E1C67" w:rsidP="00600359">
      <w:pPr>
        <w:pStyle w:val="Bulletlist2"/>
        <w:rPr>
          <w:lang w:val="en-US"/>
        </w:rPr>
      </w:pPr>
      <w:r w:rsidRPr="00DD1B58">
        <w:rPr>
          <w:lang w:val="en-US"/>
        </w:rPr>
        <w:t xml:space="preserve">Robust Change Management Processes </w:t>
      </w:r>
    </w:p>
    <w:p w14:paraId="610E1D46" w14:textId="32CD69B2" w:rsidR="005E1C67" w:rsidRPr="00DD1B58" w:rsidRDefault="005E1C67" w:rsidP="00600359">
      <w:pPr>
        <w:pStyle w:val="Bulletlist2"/>
        <w:rPr>
          <w:lang w:val="en-US"/>
        </w:rPr>
      </w:pPr>
      <w:r w:rsidRPr="00DD1B58">
        <w:rPr>
          <w:lang w:val="en-US"/>
        </w:rPr>
        <w:t>Designated</w:t>
      </w:r>
      <w:r w:rsidR="007C3F42" w:rsidRPr="00DD1B58">
        <w:rPr>
          <w:lang w:val="en-US"/>
        </w:rPr>
        <w:t>/</w:t>
      </w:r>
      <w:r w:rsidRPr="00DD1B58">
        <w:rPr>
          <w:lang w:val="en-US"/>
        </w:rPr>
        <w:t xml:space="preserve">Licenced Lay Down Areas </w:t>
      </w:r>
    </w:p>
    <w:p w14:paraId="7585EB6E" w14:textId="77777777" w:rsidR="005E1C67" w:rsidRPr="00DD1B58" w:rsidRDefault="005E1C67" w:rsidP="00600359">
      <w:pPr>
        <w:pStyle w:val="Bulletlist1"/>
        <w:rPr>
          <w:lang w:val="en-US"/>
        </w:rPr>
      </w:pPr>
      <w:r w:rsidRPr="00DD1B58">
        <w:rPr>
          <w:lang w:val="en-US"/>
        </w:rPr>
        <w:t xml:space="preserve">Safe operations, including management of fire loading, location of nuclear inventory, and ignition sources such as control of hot work, etc. </w:t>
      </w:r>
    </w:p>
    <w:p w14:paraId="2DA5D578" w14:textId="77777777" w:rsidR="00BC4F4F" w:rsidRPr="00DD1B58" w:rsidRDefault="007D6188" w:rsidP="00600359">
      <w:pPr>
        <w:pStyle w:val="Bulletlist2"/>
        <w:rPr>
          <w:lang w:val="en-US"/>
        </w:rPr>
      </w:pPr>
      <w:r w:rsidRPr="00DD1B58">
        <w:rPr>
          <w:lang w:val="en-US"/>
        </w:rPr>
        <w:t>The identification and appointment of Building Owners, Workplace Operators &amp;</w:t>
      </w:r>
      <w:r w:rsidR="00F54734" w:rsidRPr="00DD1B58">
        <w:rPr>
          <w:lang w:val="en-US"/>
        </w:rPr>
        <w:t xml:space="preserve"> </w:t>
      </w:r>
      <w:r w:rsidRPr="00DD1B58">
        <w:rPr>
          <w:lang w:val="en-US"/>
        </w:rPr>
        <w:t>Safety Case Owners with accountability for fire prevention and corrective actions.</w:t>
      </w:r>
    </w:p>
    <w:p w14:paraId="4DFB35D5" w14:textId="77777777" w:rsidR="00BC4F4F" w:rsidRPr="00DD1B58" w:rsidRDefault="007D6188" w:rsidP="00600359">
      <w:pPr>
        <w:pStyle w:val="Bulletlist2"/>
        <w:rPr>
          <w:lang w:val="en-US"/>
        </w:rPr>
      </w:pPr>
      <w:r w:rsidRPr="00DD1B58">
        <w:rPr>
          <w:lang w:val="en-US"/>
        </w:rPr>
        <w:t>Proactive reporting of non-compliance in fire safety related disciplines directly to the</w:t>
      </w:r>
      <w:r w:rsidR="00BC4F4F" w:rsidRPr="00DD1B58">
        <w:rPr>
          <w:lang w:val="en-US"/>
        </w:rPr>
        <w:t xml:space="preserve"> </w:t>
      </w:r>
      <w:r w:rsidRPr="00DD1B58">
        <w:rPr>
          <w:lang w:val="en-US"/>
        </w:rPr>
        <w:t>Urenco Intelligent Customer from the outsourced Incident Response Service as part</w:t>
      </w:r>
      <w:r w:rsidR="00BC4F4F" w:rsidRPr="00DD1B58">
        <w:rPr>
          <w:lang w:val="en-US"/>
        </w:rPr>
        <w:t xml:space="preserve"> </w:t>
      </w:r>
      <w:r w:rsidRPr="00DD1B58">
        <w:rPr>
          <w:lang w:val="en-US"/>
        </w:rPr>
        <w:t>of ‘business as usual’ activities.</w:t>
      </w:r>
    </w:p>
    <w:p w14:paraId="394D1308" w14:textId="77777777" w:rsidR="00EE10C9" w:rsidRPr="00DD1B58" w:rsidRDefault="007D6188" w:rsidP="00600359">
      <w:pPr>
        <w:pStyle w:val="Bulletlist1"/>
        <w:rPr>
          <w:lang w:val="en-US"/>
        </w:rPr>
      </w:pPr>
      <w:r w:rsidRPr="00DD1B58">
        <w:rPr>
          <w:lang w:val="en-US"/>
        </w:rPr>
        <w:t>Providing education on fire risks and safety</w:t>
      </w:r>
    </w:p>
    <w:p w14:paraId="5CDFEDE6" w14:textId="77777777" w:rsidR="005E1C67" w:rsidRPr="00DD1B58" w:rsidRDefault="005E1C67" w:rsidP="00600359">
      <w:pPr>
        <w:pStyle w:val="Bulletlist2"/>
        <w:rPr>
          <w:lang w:val="en-US"/>
        </w:rPr>
      </w:pPr>
      <w:r w:rsidRPr="00DD1B58">
        <w:rPr>
          <w:lang w:val="en-US"/>
        </w:rPr>
        <w:t>Refreshed E-Learning packages, 3-year theoretical and practical fire training and periodic issue of Fire Prevention Briefing Notes promoting workplace and home related fire safety</w:t>
      </w:r>
    </w:p>
    <w:p w14:paraId="15B68226" w14:textId="77777777" w:rsidR="004727F0" w:rsidRPr="00DD1B58" w:rsidRDefault="00EE10C9" w:rsidP="00600359">
      <w:pPr>
        <w:pStyle w:val="Bulletlist1"/>
        <w:rPr>
          <w:lang w:val="en-US"/>
        </w:rPr>
      </w:pPr>
      <w:r w:rsidRPr="00DD1B58">
        <w:rPr>
          <w:lang w:val="en-US"/>
        </w:rPr>
        <w:t>Implementing safety planning practices and drills</w:t>
      </w:r>
    </w:p>
    <w:p w14:paraId="15ABAD5F" w14:textId="77777777" w:rsidR="008203ED" w:rsidRPr="00DD1B58" w:rsidRDefault="00EE10C9" w:rsidP="00600359">
      <w:pPr>
        <w:pStyle w:val="Bulletlist2"/>
        <w:rPr>
          <w:lang w:val="en-US"/>
        </w:rPr>
      </w:pPr>
      <w:r w:rsidRPr="00DD1B58">
        <w:rPr>
          <w:lang w:val="en-US"/>
        </w:rPr>
        <w:t>Fire Inspections, Auditing and Assessment programme established</w:t>
      </w:r>
      <w:r w:rsidR="005E1C67" w:rsidRPr="00DD1B58">
        <w:rPr>
          <w:lang w:val="en-US"/>
        </w:rPr>
        <w:t xml:space="preserve"> </w:t>
      </w:r>
    </w:p>
    <w:p w14:paraId="7626C683" w14:textId="77777777" w:rsidR="005E1C67" w:rsidRPr="00DD1B58" w:rsidRDefault="005E1C67" w:rsidP="00600359">
      <w:pPr>
        <w:pStyle w:val="Bulletlist2"/>
        <w:rPr>
          <w:lang w:val="en-US"/>
        </w:rPr>
      </w:pPr>
      <w:r w:rsidRPr="00DD1B58">
        <w:rPr>
          <w:lang w:val="en-US"/>
        </w:rPr>
        <w:t xml:space="preserve">Weekly Safety &amp; Environmental Walk Downs </w:t>
      </w:r>
    </w:p>
    <w:p w14:paraId="489A87D9" w14:textId="0D5C8D89" w:rsidR="005E1C67" w:rsidRPr="00DD1B58" w:rsidRDefault="005E1C67" w:rsidP="00600359">
      <w:pPr>
        <w:pStyle w:val="Bulletlist2"/>
        <w:rPr>
          <w:lang w:val="en-US"/>
        </w:rPr>
      </w:pPr>
      <w:r w:rsidRPr="00DD1B58">
        <w:rPr>
          <w:lang w:val="en-US"/>
        </w:rPr>
        <w:t>5S Standard (Quarterly Audits)</w:t>
      </w:r>
      <w:r w:rsidR="00940D2A" w:rsidRPr="00DD1B58">
        <w:rPr>
          <w:lang w:val="en-US"/>
        </w:rPr>
        <w:t xml:space="preserve"> </w:t>
      </w:r>
    </w:p>
    <w:p w14:paraId="6B5A7E33" w14:textId="77777777" w:rsidR="00711679" w:rsidRPr="00DD1B58" w:rsidRDefault="00EE10C9" w:rsidP="00600359">
      <w:pPr>
        <w:pStyle w:val="Bulletlist1"/>
        <w:rPr>
          <w:lang w:val="en-US"/>
        </w:rPr>
      </w:pPr>
      <w:r w:rsidRPr="00DD1B58">
        <w:rPr>
          <w:lang w:val="en-US"/>
        </w:rPr>
        <w:t>Training and testing of mitigating systems, including fire detection/suppression and</w:t>
      </w:r>
      <w:r w:rsidR="00711679" w:rsidRPr="00DD1B58">
        <w:rPr>
          <w:lang w:val="en-US"/>
        </w:rPr>
        <w:t xml:space="preserve"> </w:t>
      </w:r>
      <w:r w:rsidRPr="00DD1B58">
        <w:rPr>
          <w:lang w:val="en-US"/>
        </w:rPr>
        <w:t>automatic shutdown systems</w:t>
      </w:r>
    </w:p>
    <w:p w14:paraId="09A859B9" w14:textId="77777777" w:rsidR="00711679" w:rsidRPr="00DD1B58" w:rsidRDefault="00EE10C9" w:rsidP="00600359">
      <w:pPr>
        <w:pStyle w:val="Bulletlist2"/>
        <w:rPr>
          <w:lang w:val="en-US"/>
        </w:rPr>
      </w:pPr>
      <w:r w:rsidRPr="00DD1B58">
        <w:rPr>
          <w:lang w:val="en-US"/>
        </w:rPr>
        <w:t>Transfer of fire detection/suppression EMIT to a specialist contractor with dedicated</w:t>
      </w:r>
      <w:r w:rsidR="00711679" w:rsidRPr="00DD1B58">
        <w:rPr>
          <w:lang w:val="en-US"/>
        </w:rPr>
        <w:t xml:space="preserve"> </w:t>
      </w:r>
      <w:r w:rsidRPr="00DD1B58">
        <w:rPr>
          <w:lang w:val="en-US"/>
        </w:rPr>
        <w:t>oversight and management from Urenco to ensure timely</w:t>
      </w:r>
      <w:r w:rsidR="00BA5B5F" w:rsidRPr="00DD1B58">
        <w:rPr>
          <w:lang w:val="en-US"/>
        </w:rPr>
        <w:t xml:space="preserve"> </w:t>
      </w:r>
      <w:r w:rsidRPr="00DD1B58">
        <w:rPr>
          <w:lang w:val="en-US"/>
        </w:rPr>
        <w:t>undertaking of routine</w:t>
      </w:r>
      <w:r w:rsidR="00711679" w:rsidRPr="00DD1B58">
        <w:rPr>
          <w:lang w:val="en-US"/>
        </w:rPr>
        <w:t xml:space="preserve"> </w:t>
      </w:r>
      <w:r w:rsidRPr="00DD1B58">
        <w:rPr>
          <w:lang w:val="en-US"/>
        </w:rPr>
        <w:t>maintenance with bi-weekly progress meetings identifying work schedules as well</w:t>
      </w:r>
      <w:r w:rsidR="00711679" w:rsidRPr="00DD1B58">
        <w:rPr>
          <w:lang w:val="en-US"/>
        </w:rPr>
        <w:t xml:space="preserve"> </w:t>
      </w:r>
      <w:r w:rsidRPr="00DD1B58">
        <w:rPr>
          <w:lang w:val="en-US"/>
        </w:rPr>
        <w:t>as reviewing remediation programme progress.</w:t>
      </w:r>
    </w:p>
    <w:p w14:paraId="1A86D6F7" w14:textId="77777777" w:rsidR="00711679" w:rsidRPr="00DD1B58" w:rsidRDefault="00EE10C9" w:rsidP="00600359">
      <w:pPr>
        <w:pStyle w:val="Bulletlist1"/>
        <w:rPr>
          <w:lang w:val="en-US"/>
        </w:rPr>
      </w:pPr>
      <w:r w:rsidRPr="00DD1B58">
        <w:rPr>
          <w:lang w:val="en-US"/>
        </w:rPr>
        <w:t>Conducting research and investigations</w:t>
      </w:r>
    </w:p>
    <w:p w14:paraId="41F18385" w14:textId="77777777" w:rsidR="006D195D" w:rsidRPr="00DD1B58" w:rsidRDefault="00EE10C9" w:rsidP="00600359">
      <w:pPr>
        <w:pStyle w:val="Bulletlist2"/>
        <w:rPr>
          <w:lang w:val="en-US"/>
        </w:rPr>
      </w:pPr>
      <w:r w:rsidRPr="00DD1B58">
        <w:rPr>
          <w:lang w:val="en-US"/>
        </w:rPr>
        <w:t>Investigation and Action Tracking via electronic platform following a reported</w:t>
      </w:r>
      <w:r w:rsidR="00711679" w:rsidRPr="00DD1B58">
        <w:rPr>
          <w:lang w:val="en-US"/>
        </w:rPr>
        <w:t xml:space="preserve"> </w:t>
      </w:r>
      <w:r w:rsidRPr="00DD1B58">
        <w:rPr>
          <w:lang w:val="en-US"/>
        </w:rPr>
        <w:t>thermal event on Urenco owned/occupied assets</w:t>
      </w:r>
    </w:p>
    <w:p w14:paraId="694F4B39" w14:textId="6A6EFDE4" w:rsidR="003761E0" w:rsidRPr="00DD1B58" w:rsidRDefault="006D195D" w:rsidP="00600359">
      <w:pPr>
        <w:pStyle w:val="Bulletlist2"/>
        <w:rPr>
          <w:lang w:val="en-US"/>
        </w:rPr>
      </w:pPr>
      <w:r w:rsidRPr="00DD1B58">
        <w:rPr>
          <w:lang w:val="en-US"/>
        </w:rPr>
        <w:t>Bi-annual meetings of Nuclear Industry Fire Safety Co-ordinating Committee and regular information sharing between scheduled events.</w:t>
      </w:r>
      <w:r w:rsidR="00940D2A" w:rsidRPr="00DD1B58">
        <w:rPr>
          <w:lang w:val="en-US"/>
        </w:rPr>
        <w:t xml:space="preserve"> </w:t>
      </w:r>
      <w:r w:rsidR="005E1C67" w:rsidRPr="00DD1B58">
        <w:rPr>
          <w:lang w:val="en-US"/>
        </w:rPr>
        <w:t>With collective representation at British Standards Institute working groups for standard setting.</w:t>
      </w:r>
    </w:p>
    <w:p w14:paraId="2205B59B" w14:textId="77777777" w:rsidR="00D1465C" w:rsidRPr="00DD1B58" w:rsidRDefault="006D195D" w:rsidP="00600359">
      <w:pPr>
        <w:pStyle w:val="Bulletlist2"/>
        <w:rPr>
          <w:lang w:val="en-US"/>
        </w:rPr>
      </w:pPr>
      <w:r w:rsidRPr="00DD1B58">
        <w:rPr>
          <w:lang w:val="en-US"/>
        </w:rPr>
        <w:t xml:space="preserve">Attendance at national and international fire safety related events </w:t>
      </w:r>
      <w:r w:rsidR="000E5B8C" w:rsidRPr="00DD1B58">
        <w:rPr>
          <w:lang w:val="en-US"/>
        </w:rPr>
        <w:t>i.e</w:t>
      </w:r>
      <w:r w:rsidR="005E1C67" w:rsidRPr="00DD1B58">
        <w:rPr>
          <w:lang w:val="en-US"/>
        </w:rPr>
        <w:t>.</w:t>
      </w:r>
      <w:r w:rsidRPr="00DD1B58">
        <w:rPr>
          <w:lang w:val="en-US"/>
        </w:rPr>
        <w:t xml:space="preserve"> FireEx</w:t>
      </w:r>
      <w:r w:rsidR="00D1465C" w:rsidRPr="00DD1B58">
        <w:rPr>
          <w:lang w:val="en-US"/>
        </w:rPr>
        <w:t xml:space="preserve"> </w:t>
      </w:r>
      <w:r w:rsidRPr="00DD1B58">
        <w:rPr>
          <w:lang w:val="en-US"/>
        </w:rPr>
        <w:t>International.</w:t>
      </w:r>
    </w:p>
    <w:p w14:paraId="5014C45D" w14:textId="77777777" w:rsidR="00BB7182" w:rsidRPr="00DD1B58" w:rsidRDefault="006D195D" w:rsidP="00600359">
      <w:pPr>
        <w:pStyle w:val="Bulletlist2"/>
        <w:rPr>
          <w:lang w:val="en-US"/>
        </w:rPr>
      </w:pPr>
      <w:r w:rsidRPr="00DD1B58">
        <w:rPr>
          <w:lang w:val="en-US"/>
        </w:rPr>
        <w:t>Membership of the Fire Protection Association enabling direct access to their</w:t>
      </w:r>
      <w:r w:rsidR="00D1465C" w:rsidRPr="00DD1B58">
        <w:rPr>
          <w:lang w:val="en-US"/>
        </w:rPr>
        <w:t xml:space="preserve"> </w:t>
      </w:r>
      <w:r w:rsidRPr="00DD1B58">
        <w:rPr>
          <w:lang w:val="en-US"/>
        </w:rPr>
        <w:t>resource library, webinars, access to experts and sharing of Learning from</w:t>
      </w:r>
      <w:r w:rsidR="00D1465C" w:rsidRPr="00DD1B58">
        <w:rPr>
          <w:lang w:val="en-US"/>
        </w:rPr>
        <w:t xml:space="preserve"> </w:t>
      </w:r>
      <w:r w:rsidRPr="00DD1B58">
        <w:rPr>
          <w:lang w:val="en-US"/>
        </w:rPr>
        <w:t>Experience.</w:t>
      </w:r>
    </w:p>
    <w:p w14:paraId="47BE0172" w14:textId="0407B442" w:rsidR="009958EF" w:rsidRPr="00DD1B58" w:rsidRDefault="00CB3267" w:rsidP="005E1C67">
      <w:pPr>
        <w:pStyle w:val="BodyText"/>
        <w:rPr>
          <w:lang w:val="en-US"/>
        </w:rPr>
      </w:pPr>
      <w:r w:rsidRPr="00DD1B58">
        <w:rPr>
          <w:lang w:val="en-US"/>
        </w:rPr>
        <w:t>UUK report</w:t>
      </w:r>
      <w:r w:rsidR="0016582B" w:rsidRPr="00DD1B58">
        <w:rPr>
          <w:lang w:val="en-US"/>
        </w:rPr>
        <w:t>s</w:t>
      </w:r>
      <w:r w:rsidRPr="00DD1B58">
        <w:rPr>
          <w:lang w:val="en-US"/>
        </w:rPr>
        <w:t xml:space="preserve"> the following points as self-identified w</w:t>
      </w:r>
      <w:r w:rsidR="00777A80" w:rsidRPr="00DD1B58">
        <w:rPr>
          <w:lang w:val="en-US"/>
        </w:rPr>
        <w:t>eaknesses:</w:t>
      </w:r>
    </w:p>
    <w:p w14:paraId="5F4A4E33" w14:textId="77777777" w:rsidR="005E1C67" w:rsidRPr="00DD1B58" w:rsidRDefault="005E1C67" w:rsidP="00600359">
      <w:pPr>
        <w:pStyle w:val="Bulletlist1"/>
        <w:rPr>
          <w:lang w:val="en-US"/>
        </w:rPr>
      </w:pPr>
      <w:r w:rsidRPr="00DD1B58">
        <w:rPr>
          <w:lang w:val="en-US"/>
        </w:rPr>
        <w:t>Underutilisation of the site risk register to promote visibility and priority of areas of identified weakness;</w:t>
      </w:r>
    </w:p>
    <w:p w14:paraId="40A6E7EC" w14:textId="7CFEECDA" w:rsidR="005E1C67" w:rsidRPr="00DD1B58" w:rsidRDefault="005E1C67" w:rsidP="00600359">
      <w:pPr>
        <w:pStyle w:val="Bulletlist1"/>
        <w:rPr>
          <w:lang w:val="en-US"/>
        </w:rPr>
      </w:pPr>
      <w:r w:rsidRPr="00DD1B58">
        <w:rPr>
          <w:lang w:val="en-US"/>
        </w:rPr>
        <w:t>Transfer of Actions to Projects, but then deferred</w:t>
      </w:r>
      <w:r w:rsidR="007C3F42" w:rsidRPr="00DD1B58">
        <w:rPr>
          <w:lang w:val="en-US"/>
        </w:rPr>
        <w:t>/</w:t>
      </w:r>
      <w:r w:rsidRPr="00DD1B58">
        <w:rPr>
          <w:lang w:val="en-US"/>
        </w:rPr>
        <w:t>cancelled with no impact assessment undertaken. Recognised improvement opportunity with remedial work underway</w:t>
      </w:r>
    </w:p>
    <w:p w14:paraId="5E1C2A11" w14:textId="77777777" w:rsidR="005E1C67" w:rsidRPr="00DD1B58" w:rsidRDefault="005E1C67" w:rsidP="00600359">
      <w:pPr>
        <w:pStyle w:val="Bulletlist1"/>
        <w:rPr>
          <w:lang w:val="en-US"/>
        </w:rPr>
      </w:pPr>
      <w:r w:rsidRPr="00DD1B58">
        <w:rPr>
          <w:lang w:val="en-US"/>
        </w:rPr>
        <w:t>Delay in progressive development of an established team of internal SQEP resources to support fire risk assessment programme to support significant increase in demand</w:t>
      </w:r>
    </w:p>
    <w:p w14:paraId="7986A623" w14:textId="77777777" w:rsidR="005E1C67" w:rsidRPr="00DD1B58" w:rsidRDefault="005E1C67" w:rsidP="00600359">
      <w:pPr>
        <w:pStyle w:val="Bulletlist1"/>
        <w:rPr>
          <w:lang w:val="en-US"/>
        </w:rPr>
      </w:pPr>
      <w:r w:rsidRPr="00DD1B58">
        <w:rPr>
          <w:lang w:val="en-US"/>
        </w:rPr>
        <w:t>Not all role holders with accountability for fire prevention and safety have completed formal training to demonstrate SQEP resulting in greater demand on process owner</w:t>
      </w:r>
    </w:p>
    <w:p w14:paraId="41ECAE7B" w14:textId="6B8A9809" w:rsidR="00276974" w:rsidRPr="00DD1B58" w:rsidRDefault="33C22548" w:rsidP="00600359">
      <w:pPr>
        <w:pStyle w:val="Bulletlist1"/>
        <w:rPr>
          <w:rFonts w:asciiTheme="minorHAnsi" w:hAnsiTheme="minorHAnsi" w:cstheme="minorHAnsi"/>
          <w:szCs w:val="24"/>
          <w:lang w:val="en-US" w:eastAsia="en-GB" w:bidi="ar-SA"/>
        </w:rPr>
      </w:pPr>
      <w:r w:rsidRPr="00DD1B58">
        <w:rPr>
          <w:lang w:val="en-US"/>
        </w:rPr>
        <w:t>High turnover in Incident Response Service personnel and recruitment shortfall in required</w:t>
      </w:r>
      <w:r w:rsidR="65BC3D91" w:rsidRPr="00DD1B58">
        <w:rPr>
          <w:lang w:val="en-US"/>
        </w:rPr>
        <w:t xml:space="preserve"> </w:t>
      </w:r>
      <w:r w:rsidRPr="00DD1B58">
        <w:rPr>
          <w:lang w:val="en-US"/>
        </w:rPr>
        <w:t>skillset resulting in loss of corporate knowledge and capability shortfalls.</w:t>
      </w:r>
    </w:p>
    <w:p w14:paraId="2FEE77A1" w14:textId="77777777" w:rsidR="00810C92" w:rsidRPr="00DD1B58" w:rsidRDefault="00810C92" w:rsidP="00177432">
      <w:pPr>
        <w:pStyle w:val="Heading5A"/>
        <w:numPr>
          <w:ilvl w:val="5"/>
          <w:numId w:val="7"/>
        </w:numPr>
        <w:rPr>
          <w:lang w:val="en-US"/>
        </w:rPr>
      </w:pPr>
      <w:r w:rsidRPr="00DD1B58">
        <w:rPr>
          <w:lang w:val="en-US"/>
        </w:rPr>
        <w:t>Lessons learned from events, reviews fire safety related missions, etc.</w:t>
      </w:r>
    </w:p>
    <w:p w14:paraId="6A70383F" w14:textId="3EF76F01" w:rsidR="00F32F4A" w:rsidRPr="00DD1B58" w:rsidRDefault="00403DF5" w:rsidP="60E054AF">
      <w:pPr>
        <w:autoSpaceDE w:val="0"/>
        <w:autoSpaceDN w:val="0"/>
        <w:adjustRightInd w:val="0"/>
        <w:spacing w:after="0" w:line="240" w:lineRule="auto"/>
        <w:rPr>
          <w:lang w:val="en-US" w:eastAsia="en-GB" w:bidi="ar-SA"/>
        </w:rPr>
      </w:pPr>
      <w:r w:rsidRPr="00DD1B58">
        <w:rPr>
          <w:lang w:val="en-US"/>
        </w:rPr>
        <w:t>The</w:t>
      </w:r>
      <w:r w:rsidR="00CB3267" w:rsidRPr="00DD1B58">
        <w:rPr>
          <w:lang w:val="en-US"/>
        </w:rPr>
        <w:t xml:space="preserve"> </w:t>
      </w:r>
      <w:r w:rsidR="00DC091E" w:rsidRPr="00DD1B58">
        <w:rPr>
          <w:lang w:val="en-US" w:eastAsia="en-GB" w:bidi="ar-SA"/>
        </w:rPr>
        <w:t xml:space="preserve">Capenhurst site has been in operation for over fifty years, with assets varying in age up to present day with further development underway. </w:t>
      </w: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the l</w:t>
      </w:r>
      <w:r w:rsidR="00DC091E" w:rsidRPr="00DD1B58">
        <w:rPr>
          <w:lang w:val="en-US" w:eastAsia="en-GB" w:bidi="ar-SA"/>
        </w:rPr>
        <w:t>essons learned from events</w:t>
      </w:r>
      <w:r w:rsidR="005D5C50" w:rsidRPr="00DD1B58">
        <w:rPr>
          <w:lang w:val="en-US" w:eastAsia="en-GB" w:bidi="ar-SA"/>
        </w:rPr>
        <w:t>/</w:t>
      </w:r>
      <w:r w:rsidR="00DC091E" w:rsidRPr="00DD1B58">
        <w:rPr>
          <w:lang w:val="en-US" w:eastAsia="en-GB" w:bidi="ar-SA"/>
        </w:rPr>
        <w:t>fire safety</w:t>
      </w:r>
      <w:r w:rsidRPr="00DD1B58">
        <w:rPr>
          <w:lang w:val="en-US" w:eastAsia="en-GB" w:bidi="ar-SA"/>
        </w:rPr>
        <w:t>-</w:t>
      </w:r>
      <w:r w:rsidR="00DC091E" w:rsidRPr="00DD1B58">
        <w:rPr>
          <w:lang w:val="en-US" w:eastAsia="en-GB" w:bidi="ar-SA"/>
        </w:rPr>
        <w:t>related missions are limited to the following incidents:</w:t>
      </w:r>
    </w:p>
    <w:p w14:paraId="6E2AC424" w14:textId="77777777" w:rsidR="00DC091E" w:rsidRPr="00DD1B58" w:rsidRDefault="00DC091E" w:rsidP="60E054AF">
      <w:pPr>
        <w:autoSpaceDE w:val="0"/>
        <w:autoSpaceDN w:val="0"/>
        <w:adjustRightInd w:val="0"/>
        <w:spacing w:after="0" w:line="240" w:lineRule="auto"/>
        <w:rPr>
          <w:lang w:val="en-US" w:eastAsia="en-GB" w:bidi="ar-SA"/>
        </w:rPr>
      </w:pPr>
    </w:p>
    <w:p w14:paraId="79B3918F" w14:textId="4C5FB40B" w:rsidR="005954D2" w:rsidRPr="00DD1B58" w:rsidRDefault="00A85A2F" w:rsidP="60E054AF">
      <w:pPr>
        <w:autoSpaceDE w:val="0"/>
        <w:autoSpaceDN w:val="0"/>
        <w:adjustRightInd w:val="0"/>
        <w:spacing w:after="0" w:line="240" w:lineRule="auto"/>
        <w:rPr>
          <w:lang w:val="en-US" w:eastAsia="en-GB" w:bidi="ar-SA"/>
        </w:rPr>
      </w:pPr>
      <w:r w:rsidRPr="00DD1B58">
        <w:rPr>
          <w:b/>
          <w:lang w:val="en-US" w:eastAsia="en-GB" w:bidi="ar-SA"/>
        </w:rPr>
        <w:t xml:space="preserve">Methoklone Cleaning </w:t>
      </w:r>
      <w:r w:rsidR="005954D2" w:rsidRPr="00DD1B58">
        <w:rPr>
          <w:b/>
          <w:lang w:val="en-US" w:eastAsia="en-GB" w:bidi="ar-SA"/>
        </w:rPr>
        <w:t>Tank Fire – February 2012</w:t>
      </w:r>
      <w:r w:rsidR="005954D2" w:rsidRPr="00DD1B58">
        <w:rPr>
          <w:lang w:val="en-US" w:eastAsia="en-GB" w:bidi="ar-SA"/>
        </w:rPr>
        <w:t>: A degreasing bath caught light through system</w:t>
      </w:r>
      <w:r w:rsidR="002554B8" w:rsidRPr="00DD1B58">
        <w:rPr>
          <w:lang w:val="en-US" w:eastAsia="en-GB" w:bidi="ar-SA"/>
        </w:rPr>
        <w:t xml:space="preserve"> </w:t>
      </w:r>
      <w:r w:rsidR="005954D2" w:rsidRPr="00DD1B58">
        <w:rPr>
          <w:lang w:val="en-US" w:eastAsia="en-GB" w:bidi="ar-SA"/>
        </w:rPr>
        <w:t>errors. The incident was further compounded by zonal isolation of fire detection without those</w:t>
      </w:r>
      <w:r w:rsidR="002554B8" w:rsidRPr="00DD1B58">
        <w:rPr>
          <w:lang w:val="en-US" w:eastAsia="en-GB" w:bidi="ar-SA"/>
        </w:rPr>
        <w:t xml:space="preserve"> </w:t>
      </w:r>
      <w:r w:rsidR="005954D2" w:rsidRPr="00DD1B58">
        <w:rPr>
          <w:lang w:val="en-US" w:eastAsia="en-GB" w:bidi="ar-SA"/>
        </w:rPr>
        <w:t xml:space="preserve">involved in the process understanding the </w:t>
      </w:r>
      <w:r w:rsidR="00C03BCA" w:rsidRPr="00DD1B58">
        <w:rPr>
          <w:lang w:val="en-US" w:eastAsia="en-GB" w:bidi="ar-SA"/>
        </w:rPr>
        <w:t>‘cause</w:t>
      </w:r>
      <w:r w:rsidR="005954D2" w:rsidRPr="00DD1B58">
        <w:rPr>
          <w:lang w:val="en-US" w:eastAsia="en-GB" w:bidi="ar-SA"/>
        </w:rPr>
        <w:t xml:space="preserve"> and effect’. The ro</w:t>
      </w:r>
      <w:r w:rsidR="001453F6" w:rsidRPr="00DD1B58">
        <w:rPr>
          <w:lang w:val="en-US" w:eastAsia="en-GB" w:bidi="ar-SA"/>
        </w:rPr>
        <w:t>ot</w:t>
      </w:r>
      <w:r w:rsidR="005954D2" w:rsidRPr="00DD1B58">
        <w:rPr>
          <w:lang w:val="en-US" w:eastAsia="en-GB" w:bidi="ar-SA"/>
        </w:rPr>
        <w:t xml:space="preserve"> cause identified the failure</w:t>
      </w:r>
      <w:r w:rsidR="002554B8" w:rsidRPr="00DD1B58">
        <w:rPr>
          <w:lang w:val="en-US" w:eastAsia="en-GB" w:bidi="ar-SA"/>
        </w:rPr>
        <w:t xml:space="preserve"> </w:t>
      </w:r>
      <w:r w:rsidR="005954D2" w:rsidRPr="00DD1B58">
        <w:rPr>
          <w:lang w:val="en-US" w:eastAsia="en-GB" w:bidi="ar-SA"/>
        </w:rPr>
        <w:t xml:space="preserve">of </w:t>
      </w:r>
      <w:r w:rsidR="002554B8" w:rsidRPr="00DD1B58">
        <w:rPr>
          <w:lang w:val="en-US" w:eastAsia="en-GB" w:bidi="ar-SA"/>
        </w:rPr>
        <w:t>third-party</w:t>
      </w:r>
      <w:r w:rsidR="005954D2" w:rsidRPr="00DD1B58">
        <w:rPr>
          <w:lang w:val="en-US" w:eastAsia="en-GB" w:bidi="ar-SA"/>
        </w:rPr>
        <w:t xml:space="preserve"> contractor to implement SSoW, such that the equipment was left energised despite</w:t>
      </w:r>
      <w:r w:rsidR="002554B8" w:rsidRPr="00DD1B58">
        <w:rPr>
          <w:lang w:val="en-US" w:eastAsia="en-GB" w:bidi="ar-SA"/>
        </w:rPr>
        <w:t xml:space="preserve"> </w:t>
      </w:r>
      <w:r w:rsidR="005954D2" w:rsidRPr="00DD1B58">
        <w:rPr>
          <w:lang w:val="en-US" w:eastAsia="en-GB" w:bidi="ar-SA"/>
        </w:rPr>
        <w:t>attending to fix the equipment with a known thermostatic fault. The resulting conflict with</w:t>
      </w:r>
      <w:r w:rsidR="002554B8" w:rsidRPr="00DD1B58">
        <w:rPr>
          <w:lang w:val="en-US" w:eastAsia="en-GB" w:bidi="ar-SA"/>
        </w:rPr>
        <w:t xml:space="preserve"> </w:t>
      </w:r>
      <w:r w:rsidR="005954D2" w:rsidRPr="00DD1B58">
        <w:rPr>
          <w:lang w:val="en-US" w:eastAsia="en-GB" w:bidi="ar-SA"/>
        </w:rPr>
        <w:t>simultaneous operations (SimOps) subsequently led to an initial change of degreasing agent to</w:t>
      </w:r>
      <w:r w:rsidR="002554B8" w:rsidRPr="00DD1B58">
        <w:rPr>
          <w:lang w:val="en-US" w:eastAsia="en-GB" w:bidi="ar-SA"/>
        </w:rPr>
        <w:t xml:space="preserve"> </w:t>
      </w:r>
      <w:r w:rsidR="005954D2" w:rsidRPr="00DD1B58">
        <w:rPr>
          <w:lang w:val="en-US" w:eastAsia="en-GB" w:bidi="ar-SA"/>
        </w:rPr>
        <w:t>reduce risk, and improved SSoW and SimOps control.</w:t>
      </w:r>
      <w:r w:rsidR="002554B8" w:rsidRPr="00DD1B58">
        <w:rPr>
          <w:lang w:val="en-US" w:eastAsia="en-GB" w:bidi="ar-SA"/>
        </w:rPr>
        <w:t xml:space="preserve"> </w:t>
      </w:r>
      <w:r w:rsidR="00557F40" w:rsidRPr="00DD1B58">
        <w:rPr>
          <w:lang w:val="en-US" w:eastAsia="en-GB" w:bidi="ar-SA"/>
        </w:rPr>
        <w:t xml:space="preserve">UUK </w:t>
      </w:r>
      <w:r w:rsidR="006D798B" w:rsidRPr="00DD1B58">
        <w:rPr>
          <w:lang w:val="en-US" w:eastAsia="en-GB" w:bidi="ar-SA"/>
        </w:rPr>
        <w:t>reports that</w:t>
      </w:r>
      <w:r w:rsidR="00557F40" w:rsidRPr="00DD1B58">
        <w:rPr>
          <w:lang w:val="en-US" w:eastAsia="en-GB" w:bidi="ar-SA"/>
        </w:rPr>
        <w:t>, s</w:t>
      </w:r>
      <w:r w:rsidR="005954D2" w:rsidRPr="00DD1B58">
        <w:rPr>
          <w:lang w:val="en-US" w:eastAsia="en-GB" w:bidi="ar-SA"/>
        </w:rPr>
        <w:t>hortly afterwards the equipment</w:t>
      </w:r>
      <w:r w:rsidR="002554B8" w:rsidRPr="00DD1B58">
        <w:rPr>
          <w:lang w:val="en-US" w:eastAsia="en-GB" w:bidi="ar-SA"/>
        </w:rPr>
        <w:t xml:space="preserve"> </w:t>
      </w:r>
      <w:r w:rsidR="005954D2" w:rsidRPr="00DD1B58">
        <w:rPr>
          <w:lang w:val="en-US" w:eastAsia="en-GB" w:bidi="ar-SA"/>
        </w:rPr>
        <w:t xml:space="preserve">was </w:t>
      </w:r>
      <w:r w:rsidR="00C03BCA" w:rsidRPr="00DD1B58">
        <w:rPr>
          <w:lang w:val="en-US" w:eastAsia="en-GB" w:bidi="ar-SA"/>
        </w:rPr>
        <w:t>removed,</w:t>
      </w:r>
      <w:r w:rsidR="005954D2" w:rsidRPr="00DD1B58">
        <w:rPr>
          <w:lang w:val="en-US" w:eastAsia="en-GB" w:bidi="ar-SA"/>
        </w:rPr>
        <w:t xml:space="preserve"> and </w:t>
      </w:r>
      <w:r w:rsidR="00557F40" w:rsidRPr="00DD1B58">
        <w:rPr>
          <w:lang w:val="en-US" w:eastAsia="en-GB" w:bidi="ar-SA"/>
        </w:rPr>
        <w:t xml:space="preserve">that </w:t>
      </w:r>
      <w:r w:rsidR="005954D2" w:rsidRPr="00DD1B58">
        <w:rPr>
          <w:lang w:val="en-US" w:eastAsia="en-GB" w:bidi="ar-SA"/>
        </w:rPr>
        <w:t>an alternative method was successfully trailed and implemented.</w:t>
      </w:r>
    </w:p>
    <w:p w14:paraId="78E41E25" w14:textId="77777777" w:rsidR="005954D2" w:rsidRPr="00DD1B58" w:rsidRDefault="005954D2" w:rsidP="60E054AF">
      <w:pPr>
        <w:autoSpaceDE w:val="0"/>
        <w:autoSpaceDN w:val="0"/>
        <w:adjustRightInd w:val="0"/>
        <w:spacing w:after="0" w:line="240" w:lineRule="auto"/>
        <w:rPr>
          <w:lang w:val="en-US" w:eastAsia="en-GB" w:bidi="ar-SA"/>
        </w:rPr>
      </w:pPr>
    </w:p>
    <w:p w14:paraId="0DC28239" w14:textId="1EAE9D8E" w:rsidR="007D4BDD" w:rsidRPr="00DD1B58" w:rsidRDefault="006A102A" w:rsidP="60E054AF">
      <w:pPr>
        <w:autoSpaceDE w:val="0"/>
        <w:autoSpaceDN w:val="0"/>
        <w:adjustRightInd w:val="0"/>
        <w:spacing w:after="0" w:line="240" w:lineRule="auto"/>
        <w:rPr>
          <w:lang w:val="en-US" w:eastAsia="en-GB" w:bidi="ar-SA"/>
        </w:rPr>
      </w:pPr>
      <w:r w:rsidRPr="00DD1B58">
        <w:rPr>
          <w:b/>
          <w:lang w:val="en-US" w:eastAsia="en-GB" w:bidi="ar-SA"/>
        </w:rPr>
        <w:t>Uninterruptible Power Supply (U</w:t>
      </w:r>
      <w:r w:rsidR="005954D2" w:rsidRPr="00DD1B58">
        <w:rPr>
          <w:b/>
          <w:lang w:val="en-US" w:eastAsia="en-GB" w:bidi="ar-SA"/>
        </w:rPr>
        <w:t>PS</w:t>
      </w:r>
      <w:r w:rsidRPr="00DD1B58">
        <w:rPr>
          <w:b/>
          <w:lang w:val="en-US" w:eastAsia="en-GB" w:bidi="ar-SA"/>
        </w:rPr>
        <w:t>)</w:t>
      </w:r>
      <w:r w:rsidR="005954D2" w:rsidRPr="00DD1B58">
        <w:rPr>
          <w:b/>
          <w:lang w:val="en-US" w:eastAsia="en-GB" w:bidi="ar-SA"/>
        </w:rPr>
        <w:t xml:space="preserve"> Fire – January 2015</w:t>
      </w:r>
      <w:r w:rsidR="005954D2" w:rsidRPr="00DD1B58">
        <w:rPr>
          <w:lang w:val="en-US" w:eastAsia="en-GB" w:bidi="ar-SA"/>
        </w:rPr>
        <w:t xml:space="preserve">: </w:t>
      </w:r>
      <w:r w:rsidR="00CD7436" w:rsidRPr="00DD1B58">
        <w:rPr>
          <w:lang w:val="en-US" w:eastAsia="en-GB" w:bidi="ar-SA"/>
        </w:rPr>
        <w:t>UUK reported</w:t>
      </w:r>
      <w:r w:rsidR="005F137D" w:rsidRPr="00DD1B58">
        <w:rPr>
          <w:lang w:val="en-US" w:eastAsia="en-GB" w:bidi="ar-SA"/>
        </w:rPr>
        <w:t xml:space="preserve"> </w:t>
      </w:r>
      <w:r w:rsidR="004A7E8F" w:rsidRPr="00DD1B58">
        <w:rPr>
          <w:lang w:val="en-US" w:eastAsia="en-GB" w:bidi="ar-SA"/>
        </w:rPr>
        <w:t xml:space="preserve">on </w:t>
      </w:r>
      <w:r w:rsidR="005F137D" w:rsidRPr="00DD1B58">
        <w:rPr>
          <w:lang w:val="en-US" w:eastAsia="en-GB" w:bidi="ar-SA"/>
        </w:rPr>
        <w:t>a</w:t>
      </w:r>
      <w:r w:rsidR="004A7E8F" w:rsidRPr="00DD1B58">
        <w:rPr>
          <w:lang w:val="en-US" w:eastAsia="en-GB" w:bidi="ar-SA"/>
        </w:rPr>
        <w:t xml:space="preserve"> </w:t>
      </w:r>
      <w:r w:rsidR="00C66BC1" w:rsidRPr="00DD1B58">
        <w:rPr>
          <w:lang w:val="en-US" w:eastAsia="en-GB" w:bidi="ar-SA"/>
        </w:rPr>
        <w:t>third-party</w:t>
      </w:r>
      <w:r w:rsidR="004A7E8F" w:rsidRPr="00DD1B58">
        <w:rPr>
          <w:lang w:val="en-US" w:eastAsia="en-GB" w:bidi="ar-SA"/>
        </w:rPr>
        <w:t xml:space="preserve"> specialist</w:t>
      </w:r>
      <w:r w:rsidR="005F137D" w:rsidRPr="00DD1B58">
        <w:rPr>
          <w:lang w:val="en-US" w:eastAsia="en-GB" w:bidi="ar-SA"/>
        </w:rPr>
        <w:t xml:space="preserve"> investigation </w:t>
      </w:r>
      <w:r w:rsidR="004A7E8F" w:rsidRPr="00DD1B58">
        <w:rPr>
          <w:lang w:val="en-US" w:eastAsia="en-GB" w:bidi="ar-SA"/>
        </w:rPr>
        <w:t xml:space="preserve">and learning from experience following the UPS fire incident. </w:t>
      </w:r>
      <w:r w:rsidR="00CD7436" w:rsidRPr="00DD1B58">
        <w:rPr>
          <w:lang w:val="en-US" w:eastAsia="en-GB" w:bidi="ar-SA"/>
        </w:rPr>
        <w:t xml:space="preserve"> </w:t>
      </w:r>
      <w:r w:rsidR="004A7E8F" w:rsidRPr="00DD1B58">
        <w:rPr>
          <w:lang w:val="en-US" w:eastAsia="en-GB" w:bidi="ar-SA"/>
        </w:rPr>
        <w:t xml:space="preserve">The investigation </w:t>
      </w:r>
      <w:r w:rsidR="005954D2" w:rsidRPr="00DD1B58">
        <w:rPr>
          <w:lang w:val="en-US" w:eastAsia="en-GB" w:bidi="ar-SA"/>
        </w:rPr>
        <w:t>identified</w:t>
      </w:r>
      <w:r w:rsidR="004A7E8F" w:rsidRPr="00DD1B58">
        <w:rPr>
          <w:lang w:val="en-US" w:eastAsia="en-GB" w:bidi="ar-SA"/>
        </w:rPr>
        <w:t xml:space="preserve"> the</w:t>
      </w:r>
      <w:r w:rsidR="005954D2" w:rsidRPr="00DD1B58">
        <w:rPr>
          <w:lang w:val="en-US" w:eastAsia="en-GB" w:bidi="ar-SA"/>
        </w:rPr>
        <w:t xml:space="preserve"> </w:t>
      </w:r>
      <w:r w:rsidR="00CD7436" w:rsidRPr="00DD1B58">
        <w:rPr>
          <w:lang w:val="en-US" w:eastAsia="en-GB" w:bidi="ar-SA"/>
        </w:rPr>
        <w:t>l</w:t>
      </w:r>
      <w:r w:rsidR="005954D2" w:rsidRPr="00DD1B58">
        <w:rPr>
          <w:lang w:val="en-US" w:eastAsia="en-GB" w:bidi="ar-SA"/>
        </w:rPr>
        <w:t>imitations of thermographic imagery as an EMIT technique</w:t>
      </w:r>
      <w:r w:rsidR="000B791A" w:rsidRPr="00DD1B58">
        <w:rPr>
          <w:lang w:val="en-US" w:eastAsia="en-GB" w:bidi="ar-SA"/>
        </w:rPr>
        <w:t xml:space="preserve"> as the fault condition was</w:t>
      </w:r>
      <w:r w:rsidR="008B3032" w:rsidRPr="00DD1B58">
        <w:rPr>
          <w:lang w:val="en-US" w:eastAsia="en-GB" w:bidi="ar-SA"/>
        </w:rPr>
        <w:t xml:space="preserve"> </w:t>
      </w:r>
      <w:r w:rsidR="005954D2" w:rsidRPr="00DD1B58">
        <w:rPr>
          <w:lang w:val="en-US" w:eastAsia="en-GB" w:bidi="ar-SA"/>
        </w:rPr>
        <w:t>affected by system</w:t>
      </w:r>
      <w:r w:rsidR="00C03BCA" w:rsidRPr="00DD1B58">
        <w:rPr>
          <w:lang w:val="en-US" w:eastAsia="en-GB" w:bidi="ar-SA"/>
        </w:rPr>
        <w:t xml:space="preserve"> </w:t>
      </w:r>
      <w:r w:rsidR="005954D2" w:rsidRPr="00DD1B58">
        <w:rPr>
          <w:lang w:val="en-US" w:eastAsia="en-GB" w:bidi="ar-SA"/>
        </w:rPr>
        <w:t>loading</w:t>
      </w:r>
      <w:r w:rsidR="00BC2373" w:rsidRPr="00DD1B58">
        <w:rPr>
          <w:lang w:val="en-US" w:eastAsia="en-GB" w:bidi="ar-SA"/>
        </w:rPr>
        <w:t>,</w:t>
      </w:r>
      <w:r w:rsidR="00C03BCA" w:rsidRPr="00DD1B58">
        <w:rPr>
          <w:lang w:val="en-US" w:eastAsia="en-GB" w:bidi="ar-SA"/>
        </w:rPr>
        <w:t xml:space="preserve"> </w:t>
      </w:r>
      <w:r w:rsidR="005954D2" w:rsidRPr="00DD1B58">
        <w:rPr>
          <w:lang w:val="en-US" w:eastAsia="en-GB" w:bidi="ar-SA"/>
        </w:rPr>
        <w:t xml:space="preserve">contributed to a fault condition not being </w:t>
      </w:r>
      <w:r w:rsidR="00E57F14" w:rsidRPr="00DD1B58">
        <w:rPr>
          <w:lang w:val="en-US" w:eastAsia="en-GB" w:bidi="ar-SA"/>
        </w:rPr>
        <w:t>seen through inspection</w:t>
      </w:r>
      <w:r w:rsidR="005954D2" w:rsidRPr="00DD1B58">
        <w:rPr>
          <w:lang w:val="en-US" w:eastAsia="en-GB" w:bidi="ar-SA"/>
        </w:rPr>
        <w:t>.</w:t>
      </w:r>
      <w:r w:rsidR="00150D60" w:rsidRPr="00DD1B58">
        <w:rPr>
          <w:lang w:val="en-US" w:eastAsia="en-GB" w:bidi="ar-SA"/>
        </w:rPr>
        <w:t xml:space="preserve"> </w:t>
      </w:r>
      <w:r w:rsidR="00E57F14" w:rsidRPr="00DD1B58">
        <w:rPr>
          <w:lang w:val="en-US" w:eastAsia="en-GB" w:bidi="ar-SA"/>
        </w:rPr>
        <w:t>The</w:t>
      </w:r>
      <w:r w:rsidR="005954D2" w:rsidRPr="00DD1B58">
        <w:rPr>
          <w:lang w:val="en-US" w:eastAsia="en-GB" w:bidi="ar-SA"/>
        </w:rPr>
        <w:t xml:space="preserve"> incident</w:t>
      </w:r>
      <w:r w:rsidR="00C03BCA" w:rsidRPr="00DD1B58">
        <w:rPr>
          <w:lang w:val="en-US" w:eastAsia="en-GB" w:bidi="ar-SA"/>
        </w:rPr>
        <w:t xml:space="preserve"> </w:t>
      </w:r>
      <w:r w:rsidR="005954D2" w:rsidRPr="00DD1B58">
        <w:rPr>
          <w:lang w:val="en-US" w:eastAsia="en-GB" w:bidi="ar-SA"/>
        </w:rPr>
        <w:t xml:space="preserve">led to </w:t>
      </w:r>
      <w:r w:rsidR="00E57F14" w:rsidRPr="00DD1B58">
        <w:rPr>
          <w:lang w:val="en-US" w:eastAsia="en-GB" w:bidi="ar-SA"/>
        </w:rPr>
        <w:t>c</w:t>
      </w:r>
      <w:r w:rsidR="005954D2" w:rsidRPr="00DD1B58">
        <w:rPr>
          <w:lang w:val="en-US" w:eastAsia="en-GB" w:bidi="ar-SA"/>
        </w:rPr>
        <w:t>ascade failure of installed battery units due to poor maintenance and life cycle</w:t>
      </w:r>
      <w:r w:rsidR="00C03BCA" w:rsidRPr="00DD1B58">
        <w:rPr>
          <w:lang w:val="en-US" w:eastAsia="en-GB" w:bidi="ar-SA"/>
        </w:rPr>
        <w:t xml:space="preserve"> </w:t>
      </w:r>
      <w:r w:rsidR="005954D2" w:rsidRPr="00DD1B58">
        <w:rPr>
          <w:lang w:val="en-US" w:eastAsia="en-GB" w:bidi="ar-SA"/>
        </w:rPr>
        <w:t xml:space="preserve">management. </w:t>
      </w:r>
      <w:r w:rsidR="00E57F14" w:rsidRPr="00DD1B58">
        <w:rPr>
          <w:lang w:val="en-US" w:eastAsia="en-GB" w:bidi="ar-SA"/>
        </w:rPr>
        <w:t>UUK</w:t>
      </w:r>
      <w:r w:rsidR="007D4BDD" w:rsidRPr="00DD1B58">
        <w:rPr>
          <w:lang w:val="en-US" w:eastAsia="en-GB" w:bidi="ar-SA"/>
        </w:rPr>
        <w:t>’s</w:t>
      </w:r>
      <w:r w:rsidR="00E57F14" w:rsidRPr="00DD1B58">
        <w:rPr>
          <w:lang w:val="en-US" w:eastAsia="en-GB" w:bidi="ar-SA"/>
        </w:rPr>
        <w:t xml:space="preserve"> o</w:t>
      </w:r>
      <w:r w:rsidR="005954D2" w:rsidRPr="00DD1B58">
        <w:rPr>
          <w:lang w:val="en-US" w:eastAsia="en-GB" w:bidi="ar-SA"/>
        </w:rPr>
        <w:t>ptions for improvement included change over to new battery technology</w:t>
      </w:r>
      <w:r w:rsidR="00E57F14" w:rsidRPr="00DD1B58">
        <w:rPr>
          <w:lang w:val="en-US" w:eastAsia="en-GB" w:bidi="ar-SA"/>
        </w:rPr>
        <w:t xml:space="preserve">, </w:t>
      </w:r>
      <w:r w:rsidR="005954D2" w:rsidRPr="00DD1B58">
        <w:rPr>
          <w:lang w:val="en-US" w:eastAsia="en-GB" w:bidi="ar-SA"/>
        </w:rPr>
        <w:t>Valve</w:t>
      </w:r>
      <w:r w:rsidR="00C03BCA" w:rsidRPr="00DD1B58">
        <w:rPr>
          <w:lang w:val="en-US" w:eastAsia="en-GB" w:bidi="ar-SA"/>
        </w:rPr>
        <w:t xml:space="preserve"> </w:t>
      </w:r>
      <w:r w:rsidR="005954D2" w:rsidRPr="00DD1B58">
        <w:rPr>
          <w:lang w:val="en-US" w:eastAsia="en-GB" w:bidi="ar-SA"/>
        </w:rPr>
        <w:t>Regulated Lead Acid (VRLA); Hot Connection Indicators to provide a permanent indication method.</w:t>
      </w:r>
    </w:p>
    <w:p w14:paraId="0F330D3D" w14:textId="77777777" w:rsidR="00DC091E" w:rsidRPr="00DD1B58" w:rsidRDefault="00DC091E" w:rsidP="60E054AF">
      <w:pPr>
        <w:autoSpaceDE w:val="0"/>
        <w:autoSpaceDN w:val="0"/>
        <w:adjustRightInd w:val="0"/>
        <w:spacing w:after="0" w:line="240" w:lineRule="auto"/>
        <w:rPr>
          <w:sz w:val="22"/>
          <w:lang w:val="en-US" w:eastAsia="en-GB" w:bidi="ar-SA"/>
        </w:rPr>
      </w:pPr>
    </w:p>
    <w:p w14:paraId="01E357F2" w14:textId="2BDF1320" w:rsidR="0060787D" w:rsidRPr="00DD1B58" w:rsidRDefault="00150D60" w:rsidP="60E054AF">
      <w:pPr>
        <w:autoSpaceDE w:val="0"/>
        <w:autoSpaceDN w:val="0"/>
        <w:adjustRightInd w:val="0"/>
        <w:spacing w:after="0" w:line="240" w:lineRule="auto"/>
        <w:rPr>
          <w:lang w:val="en-US" w:eastAsia="en-GB" w:bidi="ar-SA"/>
        </w:rPr>
      </w:pPr>
      <w:r w:rsidRPr="00DD1B58">
        <w:rPr>
          <w:b/>
          <w:lang w:val="en-US" w:eastAsia="en-GB" w:bidi="ar-SA"/>
        </w:rPr>
        <w:t>Process Pump Fire – July 2015</w:t>
      </w:r>
      <w:r w:rsidR="00232229" w:rsidRPr="00DD1B58">
        <w:rPr>
          <w:lang w:val="en-US" w:eastAsia="en-GB" w:bidi="ar-SA"/>
        </w:rPr>
        <w:t xml:space="preserve">: </w:t>
      </w:r>
      <w:r w:rsidR="006B4D07" w:rsidRPr="00DD1B58">
        <w:rPr>
          <w:lang w:val="en-US" w:eastAsia="en-GB" w:bidi="ar-SA"/>
        </w:rPr>
        <w:t>UUK undertook</w:t>
      </w:r>
      <w:r w:rsidRPr="00DD1B58">
        <w:rPr>
          <w:lang w:val="en-US" w:eastAsia="en-GB" w:bidi="ar-SA"/>
        </w:rPr>
        <w:t xml:space="preserve"> a</w:t>
      </w:r>
      <w:r w:rsidR="006B4D07" w:rsidRPr="00DD1B58">
        <w:rPr>
          <w:lang w:val="en-US" w:eastAsia="en-GB" w:bidi="ar-SA"/>
        </w:rPr>
        <w:t xml:space="preserve"> forensic</w:t>
      </w:r>
      <w:r w:rsidRPr="00DD1B58">
        <w:rPr>
          <w:lang w:val="en-US" w:eastAsia="en-GB" w:bidi="ar-SA"/>
        </w:rPr>
        <w:t xml:space="preserve"> </w:t>
      </w:r>
      <w:r w:rsidR="006B4D07" w:rsidRPr="00DD1B58">
        <w:rPr>
          <w:lang w:val="en-US" w:eastAsia="en-GB" w:bidi="ar-SA"/>
        </w:rPr>
        <w:t>investigation by a fire specialist and reported that the</w:t>
      </w:r>
      <w:r w:rsidRPr="00DD1B58">
        <w:rPr>
          <w:lang w:val="en-US" w:eastAsia="en-GB" w:bidi="ar-SA"/>
        </w:rPr>
        <w:t xml:space="preserve"> identified </w:t>
      </w:r>
      <w:r w:rsidR="006B4D07" w:rsidRPr="00DD1B58">
        <w:rPr>
          <w:lang w:val="en-US" w:eastAsia="en-GB" w:bidi="ar-SA"/>
        </w:rPr>
        <w:t>root case w</w:t>
      </w:r>
      <w:r w:rsidRPr="00DD1B58">
        <w:rPr>
          <w:lang w:val="en-US" w:eastAsia="en-GB" w:bidi="ar-SA"/>
        </w:rPr>
        <w:t>as an imbalanced fan element causing the bearing to</w:t>
      </w:r>
      <w:r w:rsidR="00232229" w:rsidRPr="00DD1B58">
        <w:rPr>
          <w:lang w:val="en-US" w:eastAsia="en-GB" w:bidi="ar-SA"/>
        </w:rPr>
        <w:t xml:space="preserve"> </w:t>
      </w:r>
      <w:r w:rsidRPr="00DD1B58">
        <w:rPr>
          <w:lang w:val="en-US" w:eastAsia="en-GB" w:bidi="ar-SA"/>
        </w:rPr>
        <w:t>overheat and eventually fail.</w:t>
      </w:r>
      <w:r w:rsidR="0044591C" w:rsidRPr="00DD1B58">
        <w:rPr>
          <w:lang w:val="en-US" w:eastAsia="en-GB" w:bidi="ar-SA"/>
        </w:rPr>
        <w:t xml:space="preserve"> </w:t>
      </w:r>
      <w:r w:rsidRPr="00DD1B58">
        <w:rPr>
          <w:lang w:val="en-US" w:eastAsia="en-GB" w:bidi="ar-SA"/>
        </w:rPr>
        <w:t>Contributing factors included poor quality control of spares and the</w:t>
      </w:r>
      <w:r w:rsidR="00232229" w:rsidRPr="00DD1B58">
        <w:rPr>
          <w:lang w:val="en-US" w:eastAsia="en-GB" w:bidi="ar-SA"/>
        </w:rPr>
        <w:t xml:space="preserve"> balancing of fans by the manufacturer and the relocation of emergency stop buttons purportedly</w:t>
      </w:r>
      <w:r w:rsidR="0044591C" w:rsidRPr="00DD1B58">
        <w:rPr>
          <w:lang w:val="en-US" w:eastAsia="en-GB" w:bidi="ar-SA"/>
        </w:rPr>
        <w:t xml:space="preserve"> </w:t>
      </w:r>
      <w:r w:rsidR="00232229" w:rsidRPr="00DD1B58">
        <w:rPr>
          <w:lang w:val="en-US" w:eastAsia="en-GB" w:bidi="ar-SA"/>
        </w:rPr>
        <w:t>made several years</w:t>
      </w:r>
      <w:r w:rsidR="00572A68" w:rsidRPr="00DD1B58">
        <w:rPr>
          <w:lang w:val="en-US" w:eastAsia="en-GB" w:bidi="ar-SA"/>
        </w:rPr>
        <w:t xml:space="preserve"> earlier</w:t>
      </w:r>
      <w:r w:rsidR="0060787D" w:rsidRPr="00DD1B58">
        <w:rPr>
          <w:lang w:val="en-US" w:eastAsia="en-GB" w:bidi="ar-SA"/>
        </w:rPr>
        <w:t>.</w:t>
      </w:r>
    </w:p>
    <w:p w14:paraId="09B17F83" w14:textId="77777777" w:rsidR="0060787D" w:rsidRPr="00DD1B58" w:rsidRDefault="0060787D" w:rsidP="60E054AF">
      <w:pPr>
        <w:autoSpaceDE w:val="0"/>
        <w:autoSpaceDN w:val="0"/>
        <w:adjustRightInd w:val="0"/>
        <w:spacing w:after="0" w:line="240" w:lineRule="auto"/>
        <w:rPr>
          <w:lang w:val="en-US" w:eastAsia="en-GB" w:bidi="ar-SA"/>
        </w:rPr>
      </w:pPr>
    </w:p>
    <w:p w14:paraId="5DC260E4" w14:textId="7C0BD377" w:rsidR="00B05A13" w:rsidRPr="00DD1B58" w:rsidRDefault="006B4D07" w:rsidP="60E054AF">
      <w:pPr>
        <w:autoSpaceDE w:val="0"/>
        <w:autoSpaceDN w:val="0"/>
        <w:adjustRightInd w:val="0"/>
        <w:spacing w:after="0" w:line="240" w:lineRule="auto"/>
        <w:rPr>
          <w:lang w:val="en-US" w:eastAsia="en-GB" w:bidi="ar-SA"/>
        </w:rPr>
      </w:pPr>
      <w:r w:rsidRPr="00DD1B58">
        <w:rPr>
          <w:b/>
          <w:lang w:val="en-US" w:eastAsia="en-GB" w:bidi="ar-SA"/>
        </w:rPr>
        <w:t>ONR r</w:t>
      </w:r>
      <w:r w:rsidR="00232229" w:rsidRPr="00DD1B58">
        <w:rPr>
          <w:b/>
          <w:lang w:val="en-US" w:eastAsia="en-GB" w:bidi="ar-SA"/>
        </w:rPr>
        <w:t xml:space="preserve">egulatory </w:t>
      </w:r>
      <w:r w:rsidRPr="00DD1B58">
        <w:rPr>
          <w:b/>
          <w:lang w:val="en-US" w:eastAsia="en-GB" w:bidi="ar-SA"/>
        </w:rPr>
        <w:t>i</w:t>
      </w:r>
      <w:r w:rsidR="00232229" w:rsidRPr="00DD1B58">
        <w:rPr>
          <w:b/>
          <w:lang w:val="en-US" w:eastAsia="en-GB" w:bidi="ar-SA"/>
        </w:rPr>
        <w:t>ntervention – December 2019</w:t>
      </w:r>
      <w:r w:rsidR="00232229" w:rsidRPr="00DD1B58">
        <w:rPr>
          <w:lang w:val="en-US" w:eastAsia="en-GB" w:bidi="ar-SA"/>
        </w:rPr>
        <w:t>: During a scheduled fire inspection,</w:t>
      </w:r>
      <w:r w:rsidR="00627A4F" w:rsidRPr="00DD1B58">
        <w:rPr>
          <w:lang w:val="en-US" w:eastAsia="en-GB" w:bidi="ar-SA"/>
        </w:rPr>
        <w:t xml:space="preserve"> </w:t>
      </w:r>
      <w:r w:rsidRPr="00DD1B58">
        <w:rPr>
          <w:lang w:val="en-US" w:eastAsia="en-GB" w:bidi="ar-SA"/>
        </w:rPr>
        <w:t xml:space="preserve">the ONR inspector noted </w:t>
      </w:r>
      <w:r w:rsidR="00232229" w:rsidRPr="00DD1B58">
        <w:rPr>
          <w:lang w:val="en-US" w:eastAsia="en-GB" w:bidi="ar-SA"/>
        </w:rPr>
        <w:t xml:space="preserve">several </w:t>
      </w:r>
      <w:r w:rsidRPr="00DD1B58">
        <w:rPr>
          <w:lang w:val="en-US" w:eastAsia="en-GB" w:bidi="ar-SA"/>
        </w:rPr>
        <w:t>w</w:t>
      </w:r>
      <w:r w:rsidR="00232229" w:rsidRPr="00DD1B58">
        <w:rPr>
          <w:lang w:val="en-US" w:eastAsia="en-GB" w:bidi="ar-SA"/>
        </w:rPr>
        <w:t>arnings</w:t>
      </w:r>
      <w:r w:rsidR="007C3F42" w:rsidRPr="00DD1B58">
        <w:rPr>
          <w:lang w:val="en-US" w:eastAsia="en-GB" w:bidi="ar-SA"/>
        </w:rPr>
        <w:t>/</w:t>
      </w:r>
      <w:r w:rsidRPr="00DD1B58">
        <w:rPr>
          <w:lang w:val="en-US" w:eastAsia="en-GB" w:bidi="ar-SA"/>
        </w:rPr>
        <w:t>f</w:t>
      </w:r>
      <w:r w:rsidR="00232229" w:rsidRPr="00DD1B58">
        <w:rPr>
          <w:lang w:val="en-US" w:eastAsia="en-GB" w:bidi="ar-SA"/>
        </w:rPr>
        <w:t>aults on the main fire alarm pane</w:t>
      </w:r>
      <w:r w:rsidR="0092465C" w:rsidRPr="00DD1B58">
        <w:rPr>
          <w:lang w:val="en-US" w:eastAsia="en-GB" w:bidi="ar-SA"/>
        </w:rPr>
        <w:t>l</w:t>
      </w:r>
      <w:r w:rsidR="00232229" w:rsidRPr="00DD1B58">
        <w:rPr>
          <w:lang w:val="en-US" w:eastAsia="en-GB" w:bidi="ar-SA"/>
        </w:rPr>
        <w:t>. Further investigatio</w:t>
      </w:r>
      <w:r w:rsidRPr="00DD1B58">
        <w:rPr>
          <w:lang w:val="en-US" w:eastAsia="en-GB" w:bidi="ar-SA"/>
        </w:rPr>
        <w:t xml:space="preserve">n </w:t>
      </w:r>
      <w:r w:rsidR="00232229" w:rsidRPr="00DD1B58">
        <w:rPr>
          <w:lang w:val="en-US" w:eastAsia="en-GB" w:bidi="ar-SA"/>
        </w:rPr>
        <w:t xml:space="preserve">identified </w:t>
      </w:r>
      <w:r w:rsidRPr="00DD1B58">
        <w:rPr>
          <w:lang w:val="en-US" w:eastAsia="en-GB" w:bidi="ar-SA"/>
        </w:rPr>
        <w:t xml:space="preserve">that </w:t>
      </w:r>
      <w:r w:rsidR="00232229" w:rsidRPr="00DD1B58">
        <w:rPr>
          <w:lang w:val="en-US" w:eastAsia="en-GB" w:bidi="ar-SA"/>
        </w:rPr>
        <w:t>EMIT</w:t>
      </w:r>
      <w:r w:rsidRPr="00DD1B58">
        <w:rPr>
          <w:lang w:val="en-US" w:eastAsia="en-GB" w:bidi="ar-SA"/>
        </w:rPr>
        <w:t xml:space="preserve"> had</w:t>
      </w:r>
      <w:r w:rsidR="00232229" w:rsidRPr="00DD1B58">
        <w:rPr>
          <w:lang w:val="en-US" w:eastAsia="en-GB" w:bidi="ar-SA"/>
        </w:rPr>
        <w:t xml:space="preserve"> not </w:t>
      </w:r>
      <w:r w:rsidRPr="00DD1B58">
        <w:rPr>
          <w:lang w:val="en-US" w:eastAsia="en-GB" w:bidi="ar-SA"/>
        </w:rPr>
        <w:t xml:space="preserve">been </w:t>
      </w:r>
      <w:r w:rsidR="00232229" w:rsidRPr="00DD1B58">
        <w:rPr>
          <w:lang w:val="en-US" w:eastAsia="en-GB" w:bidi="ar-SA"/>
        </w:rPr>
        <w:t>completed in accordance with BS5839 by the appointed Contractor</w:t>
      </w:r>
      <w:r w:rsidRPr="00DD1B58">
        <w:rPr>
          <w:lang w:val="en-US" w:eastAsia="en-GB" w:bidi="ar-SA"/>
        </w:rPr>
        <w:t>. UUK reported r</w:t>
      </w:r>
      <w:r w:rsidR="00232229" w:rsidRPr="00DD1B58">
        <w:rPr>
          <w:lang w:val="en-US" w:eastAsia="en-GB" w:bidi="ar-SA"/>
        </w:rPr>
        <w:t>emediation and subsequent improvements to fire detection faults and system warnings driven by a site</w:t>
      </w:r>
      <w:r w:rsidRPr="00DD1B58">
        <w:rPr>
          <w:lang w:val="en-US" w:eastAsia="en-GB" w:bidi="ar-SA"/>
        </w:rPr>
        <w:t>-</w:t>
      </w:r>
      <w:r w:rsidR="00232229" w:rsidRPr="00DD1B58">
        <w:rPr>
          <w:lang w:val="en-US" w:eastAsia="en-GB" w:bidi="ar-SA"/>
        </w:rPr>
        <w:t>wide survey of functionality and maintenance records. The business identified</w:t>
      </w:r>
      <w:r w:rsidR="00DD6B4A" w:rsidRPr="00DD1B58">
        <w:rPr>
          <w:lang w:val="en-US" w:eastAsia="en-GB" w:bidi="ar-SA"/>
        </w:rPr>
        <w:t xml:space="preserve"> </w:t>
      </w:r>
      <w:r w:rsidR="00232229" w:rsidRPr="00DD1B58">
        <w:rPr>
          <w:lang w:val="en-US" w:eastAsia="en-GB" w:bidi="ar-SA"/>
        </w:rPr>
        <w:t xml:space="preserve">significant inaccuracies of </w:t>
      </w:r>
      <w:r w:rsidR="00627A4F" w:rsidRPr="00DD1B58">
        <w:rPr>
          <w:lang w:val="en-US" w:eastAsia="en-GB" w:bidi="ar-SA"/>
        </w:rPr>
        <w:t>third-party</w:t>
      </w:r>
      <w:r w:rsidR="00232229" w:rsidRPr="00DD1B58">
        <w:rPr>
          <w:lang w:val="en-US" w:eastAsia="en-GB" w:bidi="ar-SA"/>
        </w:rPr>
        <w:t xml:space="preserve"> assurance certification and their failure to remediate faults</w:t>
      </w:r>
      <w:r w:rsidR="00627A4F" w:rsidRPr="00DD1B58">
        <w:rPr>
          <w:lang w:val="en-US" w:eastAsia="en-GB" w:bidi="ar-SA"/>
        </w:rPr>
        <w:t xml:space="preserve"> </w:t>
      </w:r>
      <w:r w:rsidR="00232229" w:rsidRPr="00DD1B58">
        <w:rPr>
          <w:lang w:val="en-US" w:eastAsia="en-GB" w:bidi="ar-SA"/>
        </w:rPr>
        <w:t>and warnings within a suitably adequate timeline. This led to the formulation of oversight</w:t>
      </w:r>
      <w:r w:rsidR="00627A4F" w:rsidRPr="00DD1B58">
        <w:rPr>
          <w:lang w:val="en-US" w:eastAsia="en-GB" w:bidi="ar-SA"/>
        </w:rPr>
        <w:t xml:space="preserve"> </w:t>
      </w:r>
      <w:r w:rsidR="00232229" w:rsidRPr="00DD1B58">
        <w:rPr>
          <w:lang w:val="en-US" w:eastAsia="en-GB" w:bidi="ar-SA"/>
        </w:rPr>
        <w:t xml:space="preserve">described in </w:t>
      </w:r>
      <w:r w:rsidR="00ED5298" w:rsidRPr="00DD1B58">
        <w:rPr>
          <w:lang w:val="en-US" w:eastAsia="en-GB" w:bidi="ar-SA"/>
        </w:rPr>
        <w:t>S</w:t>
      </w:r>
      <w:r w:rsidR="00232229" w:rsidRPr="00DD1B58">
        <w:rPr>
          <w:lang w:val="en-US" w:eastAsia="en-GB" w:bidi="ar-SA"/>
        </w:rPr>
        <w:t xml:space="preserve">ection </w:t>
      </w:r>
      <w:r w:rsidR="007B1070" w:rsidRPr="00DD1B58">
        <w:rPr>
          <w:lang w:val="en-US" w:eastAsia="en-GB" w:bidi="ar-SA"/>
        </w:rPr>
        <w:fldChar w:fldCharType="begin"/>
      </w:r>
      <w:r w:rsidR="007B1070" w:rsidRPr="00DD1B58">
        <w:rPr>
          <w:lang w:val="en-US" w:eastAsia="en-GB" w:bidi="ar-SA"/>
        </w:rPr>
        <w:instrText xml:space="preserve"> REF _Ref140140930 \r \h </w:instrText>
      </w:r>
      <w:r w:rsidR="007B1070" w:rsidRPr="00DD1B58">
        <w:rPr>
          <w:lang w:val="en-US" w:eastAsia="en-GB" w:bidi="ar-SA"/>
        </w:rPr>
      </w:r>
      <w:r w:rsidR="007B1070" w:rsidRPr="00DD1B58">
        <w:rPr>
          <w:lang w:val="en-US" w:eastAsia="en-GB" w:bidi="ar-SA"/>
        </w:rPr>
        <w:fldChar w:fldCharType="separate"/>
      </w:r>
      <w:r w:rsidR="00DF47DA">
        <w:rPr>
          <w:lang w:val="en-US" w:eastAsia="en-GB" w:bidi="ar-SA"/>
        </w:rPr>
        <w:t>C-II-3.1.3.1</w:t>
      </w:r>
      <w:r w:rsidR="007B1070" w:rsidRPr="00DD1B58">
        <w:rPr>
          <w:lang w:val="en-US" w:eastAsia="en-GB" w:bidi="ar-SA"/>
        </w:rPr>
        <w:fldChar w:fldCharType="end"/>
      </w:r>
      <w:r w:rsidR="007B1070" w:rsidRPr="00DD1B58">
        <w:rPr>
          <w:lang w:val="en-US" w:eastAsia="en-GB" w:bidi="ar-SA"/>
        </w:rPr>
        <w:t xml:space="preserve"> i</w:t>
      </w:r>
      <w:r w:rsidR="00232229" w:rsidRPr="00DD1B58">
        <w:rPr>
          <w:lang w:val="en-US" w:eastAsia="en-GB" w:bidi="ar-SA"/>
        </w:rPr>
        <w:t>ncluding:</w:t>
      </w:r>
    </w:p>
    <w:p w14:paraId="050BE858" w14:textId="77777777" w:rsidR="00B05A13" w:rsidRPr="00DD1B58" w:rsidRDefault="00B05A13" w:rsidP="60E054AF">
      <w:pPr>
        <w:autoSpaceDE w:val="0"/>
        <w:autoSpaceDN w:val="0"/>
        <w:adjustRightInd w:val="0"/>
        <w:spacing w:after="0" w:line="240" w:lineRule="auto"/>
        <w:rPr>
          <w:lang w:val="en-US" w:eastAsia="en-GB" w:bidi="ar-SA"/>
        </w:rPr>
      </w:pPr>
    </w:p>
    <w:p w14:paraId="34DD1F75" w14:textId="77777777" w:rsidR="00B05A13" w:rsidRPr="00DD1B58" w:rsidRDefault="00232229" w:rsidP="00057EEC">
      <w:pPr>
        <w:pStyle w:val="Bulletlist1"/>
        <w:rPr>
          <w:lang w:val="en-US" w:eastAsia="en-GB" w:bidi="ar-SA"/>
        </w:rPr>
      </w:pPr>
      <w:r w:rsidRPr="00DD1B58">
        <w:rPr>
          <w:lang w:val="en-US" w:eastAsia="en-GB" w:bidi="ar-SA"/>
        </w:rPr>
        <w:t>User Requirement Specification document for suppliers</w:t>
      </w:r>
    </w:p>
    <w:p w14:paraId="220C9AC8" w14:textId="77777777" w:rsidR="002B40D9" w:rsidRPr="00DD1B58" w:rsidRDefault="00232229" w:rsidP="00057EEC">
      <w:pPr>
        <w:pStyle w:val="Bulletlist1"/>
        <w:rPr>
          <w:lang w:val="en-US" w:eastAsia="en-GB" w:bidi="ar-SA"/>
        </w:rPr>
      </w:pPr>
      <w:r w:rsidRPr="00DD1B58">
        <w:rPr>
          <w:lang w:val="en-US" w:eastAsia="en-GB" w:bidi="ar-SA"/>
        </w:rPr>
        <w:t>Weekly Maintenance Scheduling and Review meetings with key stakeholders</w:t>
      </w:r>
    </w:p>
    <w:p w14:paraId="589AA4E0" w14:textId="77777777" w:rsidR="002B40D9" w:rsidRPr="00DD1B58" w:rsidRDefault="00232229" w:rsidP="00057EEC">
      <w:pPr>
        <w:pStyle w:val="Bulletlist1"/>
        <w:rPr>
          <w:lang w:val="en-US" w:eastAsia="en-GB" w:bidi="ar-SA"/>
        </w:rPr>
      </w:pPr>
      <w:r w:rsidRPr="00DD1B58">
        <w:rPr>
          <w:lang w:val="en-US" w:eastAsia="en-GB" w:bidi="ar-SA"/>
        </w:rPr>
        <w:t>Governance meetings</w:t>
      </w:r>
    </w:p>
    <w:p w14:paraId="3FB40462" w14:textId="77777777" w:rsidR="002B40D9" w:rsidRPr="00DD1B58" w:rsidRDefault="00232229" w:rsidP="00057EEC">
      <w:pPr>
        <w:pStyle w:val="Bulletlist1"/>
        <w:rPr>
          <w:lang w:val="en-US" w:eastAsia="en-GB" w:bidi="ar-SA"/>
        </w:rPr>
      </w:pPr>
      <w:r w:rsidRPr="00DD1B58">
        <w:rPr>
          <w:lang w:val="en-US" w:eastAsia="en-GB" w:bidi="ar-SA"/>
        </w:rPr>
        <w:t>Identification and Replacement of obsolete equipment</w:t>
      </w:r>
    </w:p>
    <w:p w14:paraId="781909BA" w14:textId="54521D11" w:rsidR="00232229" w:rsidRPr="00DD1B58" w:rsidRDefault="00232229" w:rsidP="00057EEC">
      <w:pPr>
        <w:pStyle w:val="Bulletlist1"/>
        <w:rPr>
          <w:lang w:val="en-US" w:eastAsia="en-GB" w:bidi="ar-SA"/>
        </w:rPr>
      </w:pPr>
      <w:r w:rsidRPr="00DD1B58">
        <w:rPr>
          <w:lang w:val="en-US" w:eastAsia="en-GB" w:bidi="ar-SA"/>
        </w:rPr>
        <w:t>Installation of L1</w:t>
      </w:r>
      <w:r w:rsidR="007C3F42" w:rsidRPr="00DD1B58">
        <w:rPr>
          <w:lang w:val="en-US" w:eastAsia="en-GB" w:bidi="ar-SA"/>
        </w:rPr>
        <w:t>/</w:t>
      </w:r>
      <w:r w:rsidRPr="00DD1B58">
        <w:rPr>
          <w:lang w:val="en-US" w:eastAsia="en-GB" w:bidi="ar-SA"/>
        </w:rPr>
        <w:t>P1 Automatic Fire Detection Systems for existing buildings and all new</w:t>
      </w:r>
      <w:r w:rsidR="002B40D9" w:rsidRPr="00DD1B58">
        <w:rPr>
          <w:lang w:val="en-US" w:eastAsia="en-GB" w:bidi="ar-SA"/>
        </w:rPr>
        <w:t xml:space="preserve"> </w:t>
      </w:r>
      <w:r w:rsidRPr="00DD1B58">
        <w:rPr>
          <w:lang w:val="en-US" w:eastAsia="en-GB" w:bidi="ar-SA"/>
        </w:rPr>
        <w:t>builds.</w:t>
      </w:r>
    </w:p>
    <w:p w14:paraId="73971483" w14:textId="64440679" w:rsidR="00150D60" w:rsidRPr="00DD1B58" w:rsidRDefault="00DE1DE5" w:rsidP="60E054AF">
      <w:pPr>
        <w:autoSpaceDE w:val="0"/>
        <w:autoSpaceDN w:val="0"/>
        <w:adjustRightInd w:val="0"/>
        <w:spacing w:after="0" w:line="240" w:lineRule="auto"/>
        <w:rPr>
          <w:lang w:val="en-US" w:eastAsia="en-GB" w:bidi="ar-SA"/>
        </w:rPr>
      </w:pPr>
      <w:r w:rsidRPr="00DD1B58">
        <w:rPr>
          <w:lang w:val="en-US" w:eastAsia="en-GB" w:bidi="ar-SA"/>
        </w:rPr>
        <w:t>UUK reported the subsequent</w:t>
      </w:r>
      <w:r w:rsidR="00232229" w:rsidRPr="00DD1B58">
        <w:rPr>
          <w:lang w:val="en-US" w:eastAsia="en-GB" w:bidi="ar-SA"/>
        </w:rPr>
        <w:t xml:space="preserve"> lessons learned included improvements to maintenance schedules, audits and</w:t>
      </w:r>
      <w:r w:rsidR="002B40D9" w:rsidRPr="00DD1B58">
        <w:rPr>
          <w:lang w:val="en-US" w:eastAsia="en-GB" w:bidi="ar-SA"/>
        </w:rPr>
        <w:t xml:space="preserve"> </w:t>
      </w:r>
      <w:r w:rsidR="00232229" w:rsidRPr="00DD1B58">
        <w:rPr>
          <w:lang w:val="en-US" w:eastAsia="en-GB" w:bidi="ar-SA"/>
        </w:rPr>
        <w:t>inspections and introduction of innovation (such as use of drones for fire compartmentation</w:t>
      </w:r>
      <w:r w:rsidR="002B40D9" w:rsidRPr="00DD1B58">
        <w:rPr>
          <w:lang w:val="en-US" w:eastAsia="en-GB" w:bidi="ar-SA"/>
        </w:rPr>
        <w:t xml:space="preserve"> </w:t>
      </w:r>
      <w:r w:rsidR="00232229" w:rsidRPr="00DD1B58">
        <w:rPr>
          <w:lang w:val="en-US" w:eastAsia="en-GB" w:bidi="ar-SA"/>
        </w:rPr>
        <w:t>surveys)</w:t>
      </w:r>
      <w:r w:rsidR="00A46349" w:rsidRPr="00DD1B58">
        <w:rPr>
          <w:lang w:val="en-US" w:eastAsia="en-GB" w:bidi="ar-SA"/>
        </w:rPr>
        <w:t>, a</w:t>
      </w:r>
      <w:r w:rsidR="00232229" w:rsidRPr="00DD1B58">
        <w:rPr>
          <w:lang w:val="en-US" w:eastAsia="en-GB" w:bidi="ar-SA"/>
        </w:rPr>
        <w:t>ppointments to specific roles with assured competencies, improved collaborative</w:t>
      </w:r>
      <w:r w:rsidR="0053013B" w:rsidRPr="00DD1B58">
        <w:rPr>
          <w:lang w:val="en-US" w:eastAsia="en-GB" w:bidi="ar-SA"/>
        </w:rPr>
        <w:t xml:space="preserve"> </w:t>
      </w:r>
      <w:r w:rsidR="00232229" w:rsidRPr="00DD1B58">
        <w:rPr>
          <w:lang w:val="en-US" w:eastAsia="en-GB" w:bidi="ar-SA"/>
        </w:rPr>
        <w:t>working (including oversight and governance) with specialist</w:t>
      </w:r>
      <w:r w:rsidR="0053013B" w:rsidRPr="00DD1B58">
        <w:rPr>
          <w:lang w:val="en-US" w:eastAsia="en-GB" w:bidi="ar-SA"/>
        </w:rPr>
        <w:t xml:space="preserve"> </w:t>
      </w:r>
      <w:r w:rsidR="00232229" w:rsidRPr="00DD1B58">
        <w:rPr>
          <w:lang w:val="en-US" w:eastAsia="en-GB" w:bidi="ar-SA"/>
        </w:rPr>
        <w:t>suppliers undertaking compliance</w:t>
      </w:r>
      <w:r w:rsidR="0053013B" w:rsidRPr="00DD1B58">
        <w:rPr>
          <w:lang w:val="en-US" w:eastAsia="en-GB" w:bidi="ar-SA"/>
        </w:rPr>
        <w:t xml:space="preserve"> </w:t>
      </w:r>
      <w:r w:rsidR="00232229" w:rsidRPr="00DD1B58">
        <w:rPr>
          <w:lang w:val="en-US" w:eastAsia="en-GB" w:bidi="ar-SA"/>
        </w:rPr>
        <w:t>activities (inspection and maintenance) and focus on continual improvement.</w:t>
      </w:r>
    </w:p>
    <w:p w14:paraId="05FACDD2" w14:textId="77777777" w:rsidR="00232229" w:rsidRPr="00DD1B58" w:rsidRDefault="00232229" w:rsidP="60E054AF">
      <w:pPr>
        <w:autoSpaceDE w:val="0"/>
        <w:autoSpaceDN w:val="0"/>
        <w:adjustRightInd w:val="0"/>
        <w:spacing w:after="0" w:line="240" w:lineRule="auto"/>
        <w:rPr>
          <w:sz w:val="22"/>
          <w:lang w:val="en-US" w:eastAsia="en-GB" w:bidi="ar-SA"/>
        </w:rPr>
      </w:pPr>
    </w:p>
    <w:p w14:paraId="01B697E2" w14:textId="77777777" w:rsidR="00810C92" w:rsidRPr="00DD1B58" w:rsidRDefault="00810C92" w:rsidP="00177432">
      <w:pPr>
        <w:pStyle w:val="Heading5A"/>
        <w:numPr>
          <w:ilvl w:val="5"/>
          <w:numId w:val="7"/>
        </w:numPr>
        <w:rPr>
          <w:lang w:val="en-US"/>
        </w:rPr>
      </w:pPr>
      <w:r w:rsidRPr="00DD1B58">
        <w:rPr>
          <w:lang w:val="en-US"/>
        </w:rPr>
        <w:t>Overview of actions and implementation status</w:t>
      </w:r>
    </w:p>
    <w:p w14:paraId="54ED5B1E" w14:textId="7E6D9BC6" w:rsidR="00281C0A" w:rsidRPr="00DD1B58" w:rsidRDefault="00A46349" w:rsidP="60E054AF">
      <w:pPr>
        <w:autoSpaceDE w:val="0"/>
        <w:autoSpaceDN w:val="0"/>
        <w:adjustRightInd w:val="0"/>
        <w:spacing w:after="0" w:line="240" w:lineRule="auto"/>
        <w:rPr>
          <w:szCs w:val="24"/>
          <w:lang w:val="en-US" w:eastAsia="en-GB" w:bidi="ar-SA"/>
        </w:rPr>
      </w:pPr>
      <w:r w:rsidRPr="00DD1B58">
        <w:rPr>
          <w:szCs w:val="24"/>
          <w:lang w:val="en-US"/>
        </w:rPr>
        <w:t>UUK reported the following as k</w:t>
      </w:r>
      <w:r w:rsidR="00281C0A" w:rsidRPr="00DD1B58">
        <w:rPr>
          <w:szCs w:val="24"/>
          <w:lang w:val="en-US"/>
        </w:rPr>
        <w:t xml:space="preserve">ey </w:t>
      </w:r>
      <w:r w:rsidR="00281C0A" w:rsidRPr="00DD1B58">
        <w:rPr>
          <w:szCs w:val="24"/>
          <w:lang w:val="en-US" w:eastAsia="en-GB" w:bidi="ar-SA"/>
        </w:rPr>
        <w:t>findings of recent assessments:</w:t>
      </w:r>
    </w:p>
    <w:p w14:paraId="55BDC78E" w14:textId="316AD432" w:rsidR="00BA014C" w:rsidRPr="00DD1B58" w:rsidRDefault="00281C0A" w:rsidP="00973FF4">
      <w:pPr>
        <w:pStyle w:val="Bulletlist1"/>
        <w:rPr>
          <w:lang w:val="en-US" w:eastAsia="en-GB" w:bidi="ar-SA"/>
        </w:rPr>
      </w:pPr>
      <w:r w:rsidRPr="00DD1B58">
        <w:rPr>
          <w:lang w:val="en-US" w:eastAsia="en-GB" w:bidi="ar-SA"/>
        </w:rPr>
        <w:t>Emergency Lighting improvements</w:t>
      </w:r>
      <w:r w:rsidR="00A46349" w:rsidRPr="00DD1B58">
        <w:rPr>
          <w:lang w:val="en-US" w:eastAsia="en-GB" w:bidi="ar-SA"/>
        </w:rPr>
        <w:t>: a s</w:t>
      </w:r>
      <w:r w:rsidRPr="00DD1B58">
        <w:rPr>
          <w:lang w:val="en-US" w:eastAsia="en-GB" w:bidi="ar-SA"/>
        </w:rPr>
        <w:t xml:space="preserve">ite-wide upgrade to emergency lighting systems and functionality </w:t>
      </w:r>
      <w:r w:rsidR="00A46349" w:rsidRPr="00DD1B58">
        <w:rPr>
          <w:lang w:val="en-US" w:eastAsia="en-GB" w:bidi="ar-SA"/>
        </w:rPr>
        <w:t xml:space="preserve">is </w:t>
      </w:r>
      <w:r w:rsidRPr="00DD1B58">
        <w:rPr>
          <w:lang w:val="en-US" w:eastAsia="en-GB" w:bidi="ar-SA"/>
        </w:rPr>
        <w:t>now fully</w:t>
      </w:r>
      <w:r w:rsidR="00BA014C" w:rsidRPr="00DD1B58">
        <w:rPr>
          <w:lang w:val="en-US" w:eastAsia="en-GB" w:bidi="ar-SA"/>
        </w:rPr>
        <w:t xml:space="preserve"> </w:t>
      </w:r>
      <w:r w:rsidRPr="00DD1B58">
        <w:rPr>
          <w:lang w:val="en-US" w:eastAsia="en-GB" w:bidi="ar-SA"/>
        </w:rPr>
        <w:t>installed with one asset awaiting final commissioning</w:t>
      </w:r>
      <w:r w:rsidR="005D2EF5" w:rsidRPr="00DD1B58">
        <w:rPr>
          <w:lang w:val="en-US" w:eastAsia="en-GB" w:bidi="ar-SA"/>
        </w:rPr>
        <w:t>.</w:t>
      </w:r>
    </w:p>
    <w:p w14:paraId="6F6676FB" w14:textId="63FB92E1" w:rsidR="005D2EF5" w:rsidRPr="00DD1B58" w:rsidRDefault="00281C0A" w:rsidP="00973FF4">
      <w:pPr>
        <w:pStyle w:val="Bulletlist1"/>
        <w:rPr>
          <w:lang w:val="en-US" w:eastAsia="en-GB" w:bidi="ar-SA"/>
        </w:rPr>
      </w:pPr>
      <w:r w:rsidRPr="00DD1B58">
        <w:rPr>
          <w:lang w:val="en-US" w:eastAsia="en-GB" w:bidi="ar-SA"/>
        </w:rPr>
        <w:t>Fire compartmentalisation</w:t>
      </w:r>
      <w:r w:rsidR="00A46349" w:rsidRPr="00DD1B58">
        <w:rPr>
          <w:lang w:val="en-US" w:eastAsia="en-GB" w:bidi="ar-SA"/>
        </w:rPr>
        <w:t>: i</w:t>
      </w:r>
      <w:r w:rsidRPr="00DD1B58">
        <w:rPr>
          <w:lang w:val="en-US" w:eastAsia="en-GB" w:bidi="ar-SA"/>
        </w:rPr>
        <w:t>nitially specific to operating assets, then extended to all occupied assets. Review</w:t>
      </w:r>
      <w:r w:rsidR="005D2EF5" w:rsidRPr="00DD1B58">
        <w:rPr>
          <w:lang w:val="en-US" w:eastAsia="en-GB" w:bidi="ar-SA"/>
        </w:rPr>
        <w:t xml:space="preserve"> </w:t>
      </w:r>
      <w:r w:rsidRPr="00DD1B58">
        <w:rPr>
          <w:lang w:val="en-US" w:eastAsia="en-GB" w:bidi="ar-SA"/>
        </w:rPr>
        <w:t>and upgrade completed.</w:t>
      </w:r>
    </w:p>
    <w:p w14:paraId="252124F0" w14:textId="0CF2BFDA" w:rsidR="00057EEC" w:rsidRPr="00DD1B58" w:rsidRDefault="00281C0A" w:rsidP="00973FF4">
      <w:pPr>
        <w:pStyle w:val="Bulletlist1"/>
        <w:rPr>
          <w:lang w:val="en-US" w:eastAsia="en-GB" w:bidi="ar-SA"/>
        </w:rPr>
      </w:pPr>
      <w:r w:rsidRPr="00DD1B58">
        <w:rPr>
          <w:lang w:val="en-US" w:eastAsia="en-GB" w:bidi="ar-SA"/>
        </w:rPr>
        <w:t>Fire Detection and Fire Alarm System upgrade</w:t>
      </w:r>
      <w:r w:rsidR="00A46349" w:rsidRPr="00DD1B58">
        <w:rPr>
          <w:lang w:val="en-US" w:eastAsia="en-GB" w:bidi="ar-SA"/>
        </w:rPr>
        <w:t>: s</w:t>
      </w:r>
      <w:r w:rsidRPr="00DD1B58">
        <w:rPr>
          <w:lang w:val="en-US" w:eastAsia="en-GB" w:bidi="ar-SA"/>
        </w:rPr>
        <w:t>cope extended to include maintenance, operational and obsolescence challenges</w:t>
      </w:r>
      <w:r w:rsidR="005D2EF5" w:rsidRPr="00DD1B58">
        <w:rPr>
          <w:lang w:val="en-US" w:eastAsia="en-GB" w:bidi="ar-SA"/>
        </w:rPr>
        <w:t xml:space="preserve"> </w:t>
      </w:r>
      <w:r w:rsidRPr="00DD1B58">
        <w:rPr>
          <w:lang w:val="en-US" w:eastAsia="en-GB" w:bidi="ar-SA"/>
        </w:rPr>
        <w:t>across the site to a single standard Category L1 (Maximum Life Protection)</w:t>
      </w:r>
      <w:r w:rsidR="007C3F42" w:rsidRPr="00DD1B58">
        <w:rPr>
          <w:lang w:val="en-US" w:eastAsia="en-GB" w:bidi="ar-SA"/>
        </w:rPr>
        <w:t>/</w:t>
      </w:r>
      <w:r w:rsidRPr="00DD1B58">
        <w:rPr>
          <w:lang w:val="en-US" w:eastAsia="en-GB" w:bidi="ar-SA"/>
        </w:rPr>
        <w:t>P1</w:t>
      </w:r>
      <w:r w:rsidR="005D2EF5" w:rsidRPr="00DD1B58">
        <w:rPr>
          <w:lang w:val="en-US" w:eastAsia="en-GB" w:bidi="ar-SA"/>
        </w:rPr>
        <w:t xml:space="preserve"> </w:t>
      </w:r>
      <w:r w:rsidRPr="00DD1B58">
        <w:rPr>
          <w:lang w:val="en-US" w:eastAsia="en-GB" w:bidi="ar-SA"/>
        </w:rPr>
        <w:t>(Maximum Property Protection) as defined in BS 5839-1:2017. All operating assets</w:t>
      </w:r>
      <w:r w:rsidR="005D2EF5" w:rsidRPr="00DD1B58">
        <w:rPr>
          <w:lang w:val="en-US" w:eastAsia="en-GB" w:bidi="ar-SA"/>
        </w:rPr>
        <w:t xml:space="preserve"> </w:t>
      </w:r>
      <w:r w:rsidRPr="00DD1B58">
        <w:rPr>
          <w:lang w:val="en-US" w:eastAsia="en-GB" w:bidi="ar-SA"/>
        </w:rPr>
        <w:t>due for completion by February 2024</w:t>
      </w:r>
      <w:r w:rsidR="005D2EF5" w:rsidRPr="00DD1B58">
        <w:rPr>
          <w:lang w:val="en-US" w:eastAsia="en-GB" w:bidi="ar-SA"/>
        </w:rPr>
        <w:t>.</w:t>
      </w:r>
    </w:p>
    <w:p w14:paraId="0392E482" w14:textId="77777777" w:rsidR="00810C92" w:rsidRPr="00DD1B58" w:rsidRDefault="00810C92" w:rsidP="00177432">
      <w:pPr>
        <w:pStyle w:val="Heading5A"/>
        <w:rPr>
          <w:lang w:val="en-US"/>
        </w:rPr>
      </w:pPr>
      <w:bookmarkStart w:id="81" w:name="_Ref145058584"/>
      <w:r w:rsidRPr="00DD1B58">
        <w:rPr>
          <w:lang w:val="en-US"/>
        </w:rPr>
        <w:t>Regulator’s assessment of the fire prevention</w:t>
      </w:r>
      <w:bookmarkEnd w:id="81"/>
    </w:p>
    <w:p w14:paraId="3554F01F" w14:textId="3C95B3C4" w:rsidR="5EA8E9E2" w:rsidRPr="00DD1B58" w:rsidRDefault="0EF2A0D6" w:rsidP="00177432">
      <w:pPr>
        <w:pStyle w:val="Heading5A"/>
        <w:numPr>
          <w:ilvl w:val="5"/>
          <w:numId w:val="7"/>
        </w:numPr>
        <w:rPr>
          <w:lang w:val="en-US"/>
        </w:rPr>
      </w:pPr>
      <w:r w:rsidRPr="00DD1B58">
        <w:rPr>
          <w:lang w:val="en-US"/>
        </w:rPr>
        <w:t>Overview of strengths and weaknesses in the fire prevention</w:t>
      </w:r>
      <w:r w:rsidR="09654398" w:rsidRPr="00DD1B58">
        <w:rPr>
          <w:lang w:val="en-US"/>
        </w:rPr>
        <w:t xml:space="preserve">              </w:t>
      </w:r>
      <w:r w:rsidR="00940D2A" w:rsidRPr="00DD1B58">
        <w:rPr>
          <w:lang w:val="en-US"/>
        </w:rPr>
        <w:t xml:space="preserve">        </w:t>
      </w:r>
    </w:p>
    <w:p w14:paraId="168CA523" w14:textId="155CB36E" w:rsidR="5EA8E9E2" w:rsidRPr="00DD1B58" w:rsidRDefault="211915DC" w:rsidP="4027578D">
      <w:pPr>
        <w:spacing w:line="257" w:lineRule="auto"/>
        <w:rPr>
          <w:noProof/>
          <w:lang w:val="en-US" w:eastAsia="en-GB" w:bidi="ar-SA"/>
        </w:rPr>
      </w:pPr>
      <w:r w:rsidRPr="00DD1B58">
        <w:rPr>
          <w:b/>
          <w:lang w:val="en-US" w:eastAsia="en-GB" w:bidi="ar-SA"/>
        </w:rPr>
        <w:t>Fire prevention strengths</w:t>
      </w:r>
      <w:r w:rsidRPr="00DD1B58">
        <w:rPr>
          <w:lang w:val="en-US" w:eastAsia="en-GB" w:bidi="ar-SA"/>
        </w:rPr>
        <w:t>:</w:t>
      </w:r>
    </w:p>
    <w:p w14:paraId="436136D4" w14:textId="7C29BCC5" w:rsidR="006E0632" w:rsidRPr="00DD1B58" w:rsidRDefault="003D1F81" w:rsidP="4027578D">
      <w:pPr>
        <w:spacing w:line="257" w:lineRule="auto"/>
        <w:rPr>
          <w:bCs/>
          <w:noProof/>
          <w:lang w:val="en-US" w:eastAsia="en-GB" w:bidi="ar-SA"/>
        </w:rPr>
      </w:pPr>
      <w:r w:rsidRPr="00DD1B58">
        <w:rPr>
          <w:lang w:val="en-US" w:eastAsia="en-GB" w:bidi="ar-SA"/>
        </w:rPr>
        <w:t xml:space="preserve">UUK described </w:t>
      </w:r>
      <w:r w:rsidR="00ED08FA" w:rsidRPr="00DD1B58">
        <w:rPr>
          <w:lang w:val="en-US" w:eastAsia="en-GB" w:bidi="ar-SA"/>
        </w:rPr>
        <w:t xml:space="preserve">that its </w:t>
      </w:r>
      <w:r w:rsidR="00880AA0" w:rsidRPr="00DD1B58">
        <w:rPr>
          <w:lang w:val="en-US" w:eastAsia="en-GB" w:bidi="ar-SA"/>
        </w:rPr>
        <w:t xml:space="preserve">arrangements for preventative measures </w:t>
      </w:r>
      <w:r w:rsidR="00ED08FA" w:rsidRPr="00DD1B58">
        <w:rPr>
          <w:lang w:val="en-US" w:eastAsia="en-GB" w:bidi="ar-SA"/>
        </w:rPr>
        <w:t xml:space="preserve">included </w:t>
      </w:r>
      <w:r w:rsidR="00880AA0" w:rsidRPr="00DD1B58">
        <w:rPr>
          <w:lang w:val="en-US" w:eastAsia="en-GB" w:bidi="ar-SA"/>
        </w:rPr>
        <w:t>a</w:t>
      </w:r>
      <w:r w:rsidR="211915DC" w:rsidRPr="00DD1B58">
        <w:rPr>
          <w:lang w:val="en-US" w:eastAsia="en-GB" w:bidi="ar-SA"/>
        </w:rPr>
        <w:t xml:space="preserve"> site fire prevention strategy </w:t>
      </w:r>
      <w:r w:rsidR="00ED08FA" w:rsidRPr="00DD1B58">
        <w:rPr>
          <w:lang w:val="en-US" w:eastAsia="en-GB" w:bidi="ar-SA"/>
        </w:rPr>
        <w:t>to drive the implementation of</w:t>
      </w:r>
      <w:r w:rsidR="003E7EAA" w:rsidRPr="00DD1B58">
        <w:rPr>
          <w:lang w:val="en-US" w:eastAsia="en-GB" w:bidi="ar-SA"/>
        </w:rPr>
        <w:t xml:space="preserve"> </w:t>
      </w:r>
      <w:r w:rsidR="00780AE1" w:rsidRPr="00DD1B58">
        <w:rPr>
          <w:bCs/>
          <w:noProof/>
          <w:lang w:val="en-US" w:eastAsia="en-GB" w:bidi="ar-SA"/>
        </w:rPr>
        <w:t>r</w:t>
      </w:r>
      <w:r w:rsidR="0059107B" w:rsidRPr="00DD1B58">
        <w:rPr>
          <w:bCs/>
          <w:noProof/>
          <w:lang w:val="en-US" w:eastAsia="en-GB" w:bidi="ar-SA"/>
        </w:rPr>
        <w:t>e</w:t>
      </w:r>
      <w:r w:rsidR="00780AE1" w:rsidRPr="00DD1B58">
        <w:rPr>
          <w:bCs/>
          <w:noProof/>
          <w:lang w:val="en-US" w:eastAsia="en-GB" w:bidi="ar-SA"/>
        </w:rPr>
        <w:t>levant good practice</w:t>
      </w:r>
      <w:r w:rsidR="003E7EAA" w:rsidRPr="00DD1B58">
        <w:rPr>
          <w:bCs/>
          <w:noProof/>
          <w:lang w:val="en-US" w:eastAsia="en-GB" w:bidi="ar-SA"/>
        </w:rPr>
        <w:t>, including</w:t>
      </w:r>
      <w:r w:rsidR="211915DC" w:rsidRPr="00DD1B58">
        <w:rPr>
          <w:lang w:val="en-US" w:eastAsia="en-GB" w:bidi="ar-SA"/>
        </w:rPr>
        <w:t xml:space="preserve"> BS9997</w:t>
      </w:r>
      <w:r w:rsidR="00915E4F" w:rsidRPr="00DD1B58">
        <w:rPr>
          <w:lang w:val="en-US" w:eastAsia="en-GB" w:bidi="ar-SA"/>
        </w:rPr>
        <w:t>: 2019</w:t>
      </w:r>
      <w:r w:rsidR="211915DC" w:rsidRPr="00DD1B58">
        <w:rPr>
          <w:lang w:val="en-US" w:eastAsia="en-GB" w:bidi="ar-SA"/>
        </w:rPr>
        <w:t xml:space="preserve"> Fire Risk Management </w:t>
      </w:r>
      <w:r w:rsidR="000573BD" w:rsidRPr="00DD1B58">
        <w:rPr>
          <w:lang w:val="en-US" w:eastAsia="en-GB" w:bidi="ar-SA"/>
        </w:rPr>
        <w:t>Systems and</w:t>
      </w:r>
      <w:r w:rsidR="211915DC" w:rsidRPr="00DD1B58">
        <w:rPr>
          <w:lang w:val="en-US" w:eastAsia="en-GB" w:bidi="ar-SA"/>
        </w:rPr>
        <w:t xml:space="preserve"> BS9999</w:t>
      </w:r>
      <w:r w:rsidR="005216F3" w:rsidRPr="00DD1B58">
        <w:rPr>
          <w:lang w:val="en-US" w:eastAsia="en-GB" w:bidi="ar-SA"/>
        </w:rPr>
        <w:t xml:space="preserve"> </w:t>
      </w:r>
      <w:sdt>
        <w:sdtPr>
          <w:rPr>
            <w:lang w:val="en-US" w:eastAsia="en-GB" w:bidi="ar-SA"/>
          </w:rPr>
          <w:id w:val="-2028006149"/>
          <w:citation/>
        </w:sdtPr>
        <w:sdtContent>
          <w:r w:rsidR="005216F3" w:rsidRPr="00DD1B58">
            <w:rPr>
              <w:lang w:val="en-US" w:eastAsia="en-GB" w:bidi="ar-SA"/>
            </w:rPr>
            <w:fldChar w:fldCharType="begin"/>
          </w:r>
          <w:r w:rsidR="005216F3" w:rsidRPr="00DD1B58">
            <w:rPr>
              <w:lang w:val="en-US" w:eastAsia="en-GB" w:bidi="ar-SA"/>
            </w:rPr>
            <w:instrText xml:space="preserve"> CITATION BS9999 \l 2057 </w:instrText>
          </w:r>
          <w:r w:rsidR="005216F3" w:rsidRPr="00DD1B58">
            <w:rPr>
              <w:lang w:val="en-US" w:eastAsia="en-GB" w:bidi="ar-SA"/>
            </w:rPr>
            <w:fldChar w:fldCharType="separate"/>
          </w:r>
          <w:r w:rsidR="00DF47DA" w:rsidRPr="00DF47DA">
            <w:rPr>
              <w:noProof/>
              <w:lang w:val="en-US" w:eastAsia="en-GB" w:bidi="ar-SA"/>
            </w:rPr>
            <w:t>[71]</w:t>
          </w:r>
          <w:r w:rsidR="005216F3" w:rsidRPr="00DD1B58">
            <w:rPr>
              <w:lang w:val="en-US" w:eastAsia="en-GB" w:bidi="ar-SA"/>
            </w:rPr>
            <w:fldChar w:fldCharType="end"/>
          </w:r>
        </w:sdtContent>
      </w:sdt>
      <w:r w:rsidR="211915DC" w:rsidRPr="00DD1B58">
        <w:rPr>
          <w:bCs/>
          <w:noProof/>
          <w:lang w:val="en-US" w:eastAsia="en-GB" w:bidi="ar-SA"/>
        </w:rPr>
        <w:t>.</w:t>
      </w:r>
      <w:r w:rsidR="003E7EAA" w:rsidRPr="00DD1B58">
        <w:rPr>
          <w:bCs/>
          <w:noProof/>
          <w:lang w:val="en-US" w:eastAsia="en-GB" w:bidi="ar-SA"/>
        </w:rPr>
        <w:t xml:space="preserve"> UUK provided s</w:t>
      </w:r>
      <w:r w:rsidR="006858CE" w:rsidRPr="00DD1B58">
        <w:rPr>
          <w:bCs/>
          <w:noProof/>
          <w:lang w:val="en-US" w:eastAsia="en-GB" w:bidi="ar-SA"/>
        </w:rPr>
        <w:t xml:space="preserve">pecific examples in relation to </w:t>
      </w:r>
      <w:r w:rsidR="00E3323D" w:rsidRPr="00DD1B58">
        <w:rPr>
          <w:bCs/>
          <w:noProof/>
          <w:lang w:val="en-US" w:eastAsia="en-GB" w:bidi="ar-SA"/>
        </w:rPr>
        <w:t xml:space="preserve">preventative measures </w:t>
      </w:r>
      <w:r w:rsidR="00ED08FA" w:rsidRPr="00DD1B58">
        <w:rPr>
          <w:bCs/>
          <w:noProof/>
          <w:lang w:val="en-US" w:eastAsia="en-GB" w:bidi="ar-SA"/>
        </w:rPr>
        <w:t xml:space="preserve">that are aligned with ONR expectations in </w:t>
      </w:r>
      <w:r w:rsidR="00750487" w:rsidRPr="00DD1B58">
        <w:rPr>
          <w:bCs/>
          <w:noProof/>
          <w:lang w:val="en-US" w:eastAsia="en-GB" w:bidi="ar-SA"/>
        </w:rPr>
        <w:t xml:space="preserve">the </w:t>
      </w:r>
      <w:r w:rsidR="00ED08FA" w:rsidRPr="00DD1B58">
        <w:rPr>
          <w:bCs/>
          <w:noProof/>
          <w:lang w:val="en-US" w:eastAsia="en-GB" w:bidi="ar-SA"/>
        </w:rPr>
        <w:t xml:space="preserve">ONR internal Hazards </w:t>
      </w:r>
      <w:r w:rsidR="00750487" w:rsidRPr="00DD1B58">
        <w:rPr>
          <w:bCs/>
          <w:noProof/>
          <w:lang w:val="en-US" w:eastAsia="en-GB" w:bidi="ar-SA"/>
        </w:rPr>
        <w:t xml:space="preserve">TAG </w:t>
      </w:r>
      <w:sdt>
        <w:sdtPr>
          <w:rPr>
            <w:bCs/>
            <w:noProof/>
            <w:lang w:val="en-US" w:eastAsia="en-GB" w:bidi="ar-SA"/>
          </w:rPr>
          <w:id w:val="-379795203"/>
          <w:citation/>
        </w:sdtPr>
        <w:sdtContent>
          <w:r w:rsidR="00750487" w:rsidRPr="00DD1B58">
            <w:rPr>
              <w:bCs/>
              <w:noProof/>
              <w:lang w:val="en-US" w:eastAsia="en-GB" w:bidi="ar-SA"/>
            </w:rPr>
            <w:fldChar w:fldCharType="begin"/>
          </w:r>
          <w:r w:rsidR="00750487" w:rsidRPr="00DD1B58">
            <w:rPr>
              <w:bCs/>
              <w:noProof/>
              <w:lang w:val="en-US" w:eastAsia="en-GB" w:bidi="ar-SA"/>
            </w:rPr>
            <w:instrText xml:space="preserve"> CITATION ONR4 \l 2057 </w:instrText>
          </w:r>
          <w:r w:rsidR="00750487" w:rsidRPr="00DD1B58">
            <w:rPr>
              <w:bCs/>
              <w:noProof/>
              <w:lang w:val="en-US" w:eastAsia="en-GB" w:bidi="ar-SA"/>
            </w:rPr>
            <w:fldChar w:fldCharType="separate"/>
          </w:r>
          <w:r w:rsidR="00DF47DA" w:rsidRPr="00DF47DA">
            <w:rPr>
              <w:noProof/>
              <w:lang w:val="en-US" w:eastAsia="en-GB" w:bidi="ar-SA"/>
            </w:rPr>
            <w:t>[16]</w:t>
          </w:r>
          <w:r w:rsidR="00750487" w:rsidRPr="00DD1B58">
            <w:rPr>
              <w:bCs/>
              <w:noProof/>
              <w:lang w:val="en-US" w:eastAsia="en-GB" w:bidi="ar-SA"/>
            </w:rPr>
            <w:fldChar w:fldCharType="end"/>
          </w:r>
        </w:sdtContent>
      </w:sdt>
      <w:r w:rsidR="007D39C0" w:rsidRPr="00DD1B58">
        <w:rPr>
          <w:bCs/>
          <w:noProof/>
          <w:lang w:val="en-US" w:eastAsia="en-GB" w:bidi="ar-SA"/>
        </w:rPr>
        <w:t>:</w:t>
      </w:r>
    </w:p>
    <w:p w14:paraId="03814C25" w14:textId="77777777" w:rsidR="5EA8E9E2" w:rsidRPr="00DD1B58" w:rsidRDefault="00CF1DE8" w:rsidP="00600359">
      <w:pPr>
        <w:pStyle w:val="Bulletlist1"/>
        <w:rPr>
          <w:lang w:val="en-US" w:eastAsia="en-GB" w:bidi="ar-SA"/>
        </w:rPr>
      </w:pPr>
      <w:r w:rsidRPr="00DD1B58">
        <w:rPr>
          <w:bCs/>
          <w:lang w:val="en-US" w:eastAsia="en-GB" w:bidi="ar-SA"/>
        </w:rPr>
        <w:t>A</w:t>
      </w:r>
      <w:r w:rsidR="211915DC" w:rsidRPr="00DD1B58">
        <w:rPr>
          <w:bCs/>
          <w:lang w:val="en-US" w:eastAsia="en-GB" w:bidi="ar-SA"/>
        </w:rPr>
        <w:t xml:space="preserve">dequate </w:t>
      </w:r>
      <w:r w:rsidRPr="00DD1B58">
        <w:rPr>
          <w:bCs/>
          <w:lang w:val="en-US" w:eastAsia="en-GB" w:bidi="ar-SA"/>
        </w:rPr>
        <w:t>arrangements for</w:t>
      </w:r>
      <w:r w:rsidR="211915DC" w:rsidRPr="00DD1B58">
        <w:rPr>
          <w:lang w:val="en-US" w:eastAsia="en-GB" w:bidi="ar-SA"/>
        </w:rPr>
        <w:t xml:space="preserve"> the control of hot works.</w:t>
      </w:r>
    </w:p>
    <w:p w14:paraId="1252D4DA" w14:textId="77777777" w:rsidR="5EA8E9E2" w:rsidRPr="00DD1B58" w:rsidRDefault="002D3D4C" w:rsidP="00600359">
      <w:pPr>
        <w:pStyle w:val="Bulletlist1"/>
        <w:rPr>
          <w:lang w:val="en-US" w:eastAsia="en-GB" w:bidi="ar-SA"/>
        </w:rPr>
      </w:pPr>
      <w:r w:rsidRPr="00DD1B58">
        <w:rPr>
          <w:bCs/>
          <w:lang w:val="en-US" w:eastAsia="en-GB" w:bidi="ar-SA"/>
        </w:rPr>
        <w:t>Arrangements are in place for</w:t>
      </w:r>
      <w:r w:rsidR="211915DC" w:rsidRPr="00DD1B58">
        <w:rPr>
          <w:lang w:val="en-US" w:eastAsia="en-GB" w:bidi="ar-SA"/>
        </w:rPr>
        <w:t xml:space="preserve"> the quantification of transient fire load, the capture of this information via </w:t>
      </w:r>
      <w:r w:rsidR="00CC0C06" w:rsidRPr="00DD1B58">
        <w:rPr>
          <w:bCs/>
          <w:lang w:val="en-US" w:eastAsia="en-GB" w:bidi="ar-SA"/>
        </w:rPr>
        <w:t>fire risk assessments</w:t>
      </w:r>
      <w:r w:rsidR="211915DC" w:rsidRPr="00DD1B58">
        <w:rPr>
          <w:lang w:val="en-US" w:eastAsia="en-GB" w:bidi="ar-SA"/>
        </w:rPr>
        <w:t xml:space="preserve">, communication to building owner and monitoring through area walkdowns. </w:t>
      </w:r>
    </w:p>
    <w:p w14:paraId="0EBC6586" w14:textId="6E393702" w:rsidR="5EA8E9E2" w:rsidRPr="00DD1B58" w:rsidRDefault="211915DC" w:rsidP="00600359">
      <w:pPr>
        <w:pStyle w:val="Bulletlist1"/>
        <w:rPr>
          <w:lang w:val="en-US" w:eastAsia="en-GB" w:bidi="ar-SA"/>
        </w:rPr>
      </w:pPr>
      <w:r w:rsidRPr="00DD1B58">
        <w:rPr>
          <w:lang w:val="en-US" w:eastAsia="en-GB" w:bidi="ar-SA"/>
        </w:rPr>
        <w:t>Specific examples regarding reduction of combustibles are described including, for example, control of pallets</w:t>
      </w:r>
      <w:r w:rsidR="005D5C50" w:rsidRPr="00DD1B58">
        <w:rPr>
          <w:lang w:val="en-US" w:eastAsia="en-GB" w:bidi="ar-SA"/>
        </w:rPr>
        <w:t>/</w:t>
      </w:r>
      <w:r w:rsidRPr="00DD1B58">
        <w:rPr>
          <w:lang w:val="en-US" w:eastAsia="en-GB" w:bidi="ar-SA"/>
        </w:rPr>
        <w:t>wooden scaffolding and a ban on the use of combustible cladding in buildings.</w:t>
      </w:r>
    </w:p>
    <w:p w14:paraId="6C8F6D3D" w14:textId="77777777" w:rsidR="5EA8E9E2" w:rsidRPr="00DD1B58" w:rsidRDefault="211915DC" w:rsidP="00600359">
      <w:pPr>
        <w:pStyle w:val="Bulletlist1"/>
        <w:rPr>
          <w:lang w:val="en-US" w:eastAsia="en-GB" w:bidi="ar-SA"/>
        </w:rPr>
      </w:pPr>
      <w:r w:rsidRPr="00DD1B58">
        <w:rPr>
          <w:lang w:val="en-US" w:eastAsia="en-GB" w:bidi="ar-SA"/>
        </w:rPr>
        <w:t>The approach to the control of flammable liquids and gases is described with reference to RGP in the form of the Dangerous Substances and Explosive Atmospheres Regulations (DSEAR), Health and Safety Executive Guidance HSG 51 and British Compressed Gas Association Guidance (BCGA Flammable liquids and gases).</w:t>
      </w:r>
    </w:p>
    <w:p w14:paraId="555EB9C4" w14:textId="77777777" w:rsidR="5EA8E9E2" w:rsidRPr="00DD1B58" w:rsidRDefault="211915DC" w:rsidP="4027578D">
      <w:pPr>
        <w:spacing w:line="257" w:lineRule="auto"/>
        <w:rPr>
          <w:b/>
          <w:lang w:val="en-US" w:eastAsia="en-GB" w:bidi="ar-SA"/>
        </w:rPr>
      </w:pPr>
      <w:r w:rsidRPr="00DD1B58">
        <w:rPr>
          <w:b/>
          <w:lang w:val="en-US" w:eastAsia="en-GB" w:bidi="ar-SA"/>
        </w:rPr>
        <w:t>Fire prevention weaknesses:</w:t>
      </w:r>
    </w:p>
    <w:p w14:paraId="2E0970BE" w14:textId="56458A27" w:rsidR="5EA8E9E2" w:rsidRPr="00DD1B58" w:rsidRDefault="007D39C0" w:rsidP="4027578D">
      <w:pPr>
        <w:spacing w:line="257" w:lineRule="auto"/>
        <w:rPr>
          <w:noProof/>
          <w:lang w:val="en-US" w:eastAsia="en-GB" w:bidi="ar-SA"/>
        </w:rPr>
      </w:pPr>
      <w:r w:rsidRPr="00DD1B58">
        <w:rPr>
          <w:bCs/>
          <w:noProof/>
          <w:lang w:val="en-US" w:eastAsia="en-GB" w:bidi="ar-SA"/>
        </w:rPr>
        <w:t xml:space="preserve">UUK’s self-assessment </w:t>
      </w:r>
      <w:r w:rsidR="006E0632" w:rsidRPr="00DD1B58">
        <w:rPr>
          <w:bCs/>
          <w:noProof/>
          <w:lang w:val="en-US" w:eastAsia="en-GB" w:bidi="ar-SA"/>
        </w:rPr>
        <w:t xml:space="preserve">does </w:t>
      </w:r>
      <w:r w:rsidR="002B5B6B" w:rsidRPr="00DD1B58">
        <w:rPr>
          <w:bCs/>
          <w:noProof/>
          <w:lang w:val="en-US" w:eastAsia="en-GB" w:bidi="ar-SA"/>
        </w:rPr>
        <w:t>not</w:t>
      </w:r>
      <w:r w:rsidR="0053355C" w:rsidRPr="00DD1B58">
        <w:rPr>
          <w:bCs/>
          <w:noProof/>
          <w:lang w:val="en-US" w:eastAsia="en-GB" w:bidi="ar-SA"/>
        </w:rPr>
        <w:t xml:space="preserve"> demonstr</w:t>
      </w:r>
      <w:r w:rsidR="00355464" w:rsidRPr="00DD1B58">
        <w:rPr>
          <w:bCs/>
          <w:noProof/>
          <w:lang w:val="en-US" w:eastAsia="en-GB" w:bidi="ar-SA"/>
        </w:rPr>
        <w:t>ate</w:t>
      </w:r>
      <w:r w:rsidR="002B5B6B" w:rsidRPr="00DD1B58">
        <w:rPr>
          <w:bCs/>
          <w:noProof/>
          <w:lang w:val="en-US" w:eastAsia="en-GB" w:bidi="ar-SA"/>
        </w:rPr>
        <w:t xml:space="preserve"> </w:t>
      </w:r>
      <w:r w:rsidR="00355464" w:rsidRPr="00DD1B58">
        <w:rPr>
          <w:bCs/>
          <w:noProof/>
          <w:lang w:val="en-US" w:eastAsia="en-GB" w:bidi="ar-SA"/>
        </w:rPr>
        <w:t>s</w:t>
      </w:r>
      <w:r w:rsidR="00980AF6" w:rsidRPr="00DD1B58">
        <w:rPr>
          <w:bCs/>
          <w:noProof/>
          <w:lang w:val="en-US" w:eastAsia="en-GB" w:bidi="ar-SA"/>
        </w:rPr>
        <w:t>ignificant weakness in terms of preventative measures</w:t>
      </w:r>
      <w:r w:rsidR="00355464" w:rsidRPr="00DD1B58">
        <w:rPr>
          <w:bCs/>
          <w:noProof/>
          <w:lang w:val="en-US" w:eastAsia="en-GB" w:bidi="ar-SA"/>
        </w:rPr>
        <w:t>.</w:t>
      </w:r>
    </w:p>
    <w:p w14:paraId="4495F693" w14:textId="77777777" w:rsidR="00810C92" w:rsidRPr="00DD1B58" w:rsidRDefault="00810C92"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4821411D" w14:textId="16ED830B" w:rsidR="4027578D" w:rsidRPr="00DD1B58" w:rsidRDefault="00742653" w:rsidP="001634EA">
      <w:pPr>
        <w:spacing w:line="257" w:lineRule="auto"/>
        <w:rPr>
          <w:szCs w:val="24"/>
          <w:lang w:val="en-US" w:eastAsia="en-GB" w:bidi="ar-SA"/>
        </w:rPr>
      </w:pPr>
      <w:r w:rsidRPr="00DD1B58">
        <w:rPr>
          <w:noProof/>
          <w:szCs w:val="24"/>
          <w:lang w:val="en-US" w:eastAsia="en-GB" w:bidi="ar-SA"/>
        </w:rPr>
        <w:t xml:space="preserve">A recent </w:t>
      </w:r>
      <w:r w:rsidR="00A02FDD" w:rsidRPr="00DD1B58">
        <w:rPr>
          <w:noProof/>
          <w:szCs w:val="24"/>
          <w:lang w:val="en-US" w:eastAsia="en-GB" w:bidi="ar-SA"/>
        </w:rPr>
        <w:t>ONR fire intervention</w:t>
      </w:r>
      <w:r w:rsidRPr="00DD1B58">
        <w:rPr>
          <w:noProof/>
          <w:szCs w:val="24"/>
          <w:lang w:val="en-US" w:eastAsia="en-GB" w:bidi="ar-SA"/>
        </w:rPr>
        <w:t xml:space="preserve"> </w:t>
      </w:r>
      <w:r w:rsidR="00495FE4" w:rsidRPr="00DD1B58">
        <w:rPr>
          <w:noProof/>
          <w:szCs w:val="24"/>
          <w:lang w:val="en-US" w:eastAsia="en-GB" w:bidi="ar-SA"/>
        </w:rPr>
        <w:t xml:space="preserve">identified </w:t>
      </w:r>
      <w:r w:rsidR="00A431DA" w:rsidRPr="00DD1B58">
        <w:rPr>
          <w:color w:val="000000"/>
          <w:lang w:val="en-US"/>
        </w:rPr>
        <w:t>minor shortfalls in housekeeping during walkdown</w:t>
      </w:r>
      <w:r w:rsidRPr="00DD1B58">
        <w:rPr>
          <w:color w:val="000000"/>
          <w:lang w:val="en-US"/>
        </w:rPr>
        <w:t>,</w:t>
      </w:r>
      <w:r w:rsidR="00B65C38" w:rsidRPr="00DD1B58">
        <w:rPr>
          <w:color w:val="000000"/>
          <w:lang w:val="en-US"/>
        </w:rPr>
        <w:t xml:space="preserve"> which emphasises the need for ongoing </w:t>
      </w:r>
      <w:r w:rsidR="00BE7222" w:rsidRPr="00DD1B58">
        <w:rPr>
          <w:color w:val="000000"/>
          <w:lang w:val="en-US"/>
        </w:rPr>
        <w:t>focus in this area</w:t>
      </w:r>
      <w:r w:rsidR="00A431DA" w:rsidRPr="00DD1B58">
        <w:rPr>
          <w:color w:val="000000"/>
          <w:lang w:val="en-US"/>
        </w:rPr>
        <w:t>.</w:t>
      </w:r>
      <w:r w:rsidR="005F4A56" w:rsidRPr="00DD1B58">
        <w:rPr>
          <w:color w:val="000000"/>
          <w:lang w:val="en-US"/>
        </w:rPr>
        <w:t xml:space="preserve"> A Regulatory Issue </w:t>
      </w:r>
      <w:r w:rsidR="00C104A3" w:rsidRPr="00DD1B58">
        <w:rPr>
          <w:color w:val="000000"/>
          <w:lang w:val="en-US"/>
        </w:rPr>
        <w:t xml:space="preserve">(level 4 – lowest level) </w:t>
      </w:r>
      <w:r w:rsidR="005F4A56" w:rsidRPr="00DD1B58">
        <w:rPr>
          <w:color w:val="000000"/>
          <w:lang w:val="en-US"/>
        </w:rPr>
        <w:t xml:space="preserve">was raised following </w:t>
      </w:r>
      <w:r w:rsidR="00BE7222" w:rsidRPr="00DD1B58">
        <w:rPr>
          <w:color w:val="000000"/>
          <w:lang w:val="en-US"/>
        </w:rPr>
        <w:t xml:space="preserve">ONR’s </w:t>
      </w:r>
      <w:r w:rsidR="005F4A56" w:rsidRPr="00DD1B58">
        <w:rPr>
          <w:color w:val="000000"/>
          <w:lang w:val="en-US"/>
        </w:rPr>
        <w:t xml:space="preserve">most recent inspection regarding </w:t>
      </w:r>
      <w:r w:rsidR="00E11DDB" w:rsidRPr="00DD1B58">
        <w:rPr>
          <w:color w:val="000000"/>
          <w:lang w:val="en-US"/>
        </w:rPr>
        <w:t>UUK’s</w:t>
      </w:r>
      <w:r w:rsidR="005F4A56" w:rsidRPr="00DD1B58">
        <w:rPr>
          <w:color w:val="000000"/>
          <w:lang w:val="en-US"/>
        </w:rPr>
        <w:t xml:space="preserve"> understanding of combustibility of insulated core </w:t>
      </w:r>
      <w:r w:rsidR="006626AA" w:rsidRPr="00DD1B58">
        <w:rPr>
          <w:color w:val="000000"/>
          <w:lang w:val="en-US"/>
        </w:rPr>
        <w:t>panels however the required actions have been adequately addressed</w:t>
      </w:r>
      <w:r w:rsidR="00807CAA" w:rsidRPr="00DD1B58">
        <w:rPr>
          <w:color w:val="000000"/>
          <w:lang w:val="en-US"/>
        </w:rPr>
        <w:t xml:space="preserve"> and understanding </w:t>
      </w:r>
      <w:r w:rsidR="00C41849" w:rsidRPr="00DD1B58">
        <w:rPr>
          <w:color w:val="000000"/>
          <w:lang w:val="en-US"/>
        </w:rPr>
        <w:t>demonstrated.</w:t>
      </w:r>
      <w:r w:rsidR="006626AA" w:rsidRPr="00DD1B58">
        <w:rPr>
          <w:color w:val="000000"/>
          <w:lang w:val="en-US"/>
        </w:rPr>
        <w:t xml:space="preserve"> </w:t>
      </w:r>
      <w:r w:rsidR="00A02FDD" w:rsidRPr="00DD1B58">
        <w:rPr>
          <w:noProof/>
          <w:szCs w:val="24"/>
          <w:lang w:val="en-US" w:eastAsia="en-GB" w:bidi="ar-SA"/>
        </w:rPr>
        <w:t xml:space="preserve"> </w:t>
      </w:r>
    </w:p>
    <w:p w14:paraId="2DC251D2" w14:textId="720B5303" w:rsidR="00D36AB8" w:rsidRPr="00DD1B58" w:rsidRDefault="00BC57FC" w:rsidP="00177432">
      <w:pPr>
        <w:pStyle w:val="Heading4A"/>
        <w:rPr>
          <w:lang w:val="en-US"/>
        </w:rPr>
      </w:pPr>
      <w:r w:rsidRPr="00DD1B58">
        <w:rPr>
          <w:lang w:val="en-US"/>
        </w:rPr>
        <w:t>Fuel Fabrication Facilities</w:t>
      </w:r>
      <w:r w:rsidR="00A67443" w:rsidRPr="00DD1B58">
        <w:rPr>
          <w:lang w:val="en-US"/>
        </w:rPr>
        <w:t xml:space="preserve"> </w:t>
      </w:r>
      <w:r w:rsidR="00E35983" w:rsidRPr="00DD1B58">
        <w:rPr>
          <w:lang w:val="en-US"/>
        </w:rPr>
        <w:t>–</w:t>
      </w:r>
      <w:r w:rsidR="00A67443" w:rsidRPr="00DD1B58">
        <w:rPr>
          <w:lang w:val="en-US"/>
        </w:rPr>
        <w:t xml:space="preserve"> Springfields</w:t>
      </w:r>
      <w:r w:rsidR="00E35983" w:rsidRPr="00DD1B58">
        <w:rPr>
          <w:lang w:val="en-US"/>
        </w:rPr>
        <w:t xml:space="preserve"> Fuels </w:t>
      </w:r>
      <w:r w:rsidR="00BF0D1B" w:rsidRPr="00DD1B58">
        <w:rPr>
          <w:lang w:val="en-US"/>
        </w:rPr>
        <w:t>Ltd</w:t>
      </w:r>
    </w:p>
    <w:p w14:paraId="12C9BCE2" w14:textId="77777777" w:rsidR="00D3121A" w:rsidRPr="00DD1B58" w:rsidRDefault="00D3121A" w:rsidP="00177432">
      <w:pPr>
        <w:pStyle w:val="Heading5A"/>
        <w:rPr>
          <w:lang w:val="en-US"/>
        </w:rPr>
      </w:pPr>
      <w:r w:rsidRPr="00DD1B58">
        <w:rPr>
          <w:lang w:val="en-US"/>
        </w:rPr>
        <w:t>Design considerations and prevention means</w:t>
      </w:r>
    </w:p>
    <w:p w14:paraId="605FEA8A" w14:textId="77777777" w:rsidR="00FE7A63" w:rsidRPr="00DD1B58" w:rsidRDefault="00FE7A63" w:rsidP="00FE7A63">
      <w:pPr>
        <w:rPr>
          <w:b/>
          <w:lang w:val="en-US"/>
        </w:rPr>
      </w:pPr>
      <w:r w:rsidRPr="00DD1B58">
        <w:rPr>
          <w:b/>
          <w:lang w:val="en-US"/>
        </w:rPr>
        <w:t>Hot Works</w:t>
      </w:r>
    </w:p>
    <w:p w14:paraId="5AB59210" w14:textId="124BB79E" w:rsidR="00825C76" w:rsidRPr="00DD1B58" w:rsidRDefault="00E35983" w:rsidP="001D55D9">
      <w:pPr>
        <w:rPr>
          <w:lang w:val="en-US"/>
        </w:rPr>
      </w:pPr>
      <w:r w:rsidRPr="00DD1B58">
        <w:rPr>
          <w:lang w:val="en-US"/>
        </w:rPr>
        <w:t xml:space="preserve">UK </w:t>
      </w:r>
      <w:r w:rsidR="001D55D9" w:rsidRPr="00DD1B58">
        <w:rPr>
          <w:lang w:val="en-US"/>
        </w:rPr>
        <w:t xml:space="preserve">fire safety legislation namely the Regulatory Reform (Fire Safety) Order 2005 </w:t>
      </w:r>
      <w:sdt>
        <w:sdtPr>
          <w:rPr>
            <w:lang w:val="en-US"/>
          </w:rPr>
          <w:id w:val="887386802"/>
          <w:citation/>
        </w:sdtPr>
        <w:sdtContent>
          <w:r w:rsidR="00794E75" w:rsidRPr="00DD1B58">
            <w:rPr>
              <w:lang w:val="en-US"/>
            </w:rPr>
            <w:fldChar w:fldCharType="begin"/>
          </w:r>
          <w:r w:rsidR="00601B0B" w:rsidRPr="00DD1B58">
            <w:rPr>
              <w:lang w:val="en-US"/>
            </w:rPr>
            <w:instrText xml:space="preserve">CITATION The05 \l 2057 </w:instrText>
          </w:r>
          <w:r w:rsidR="00794E75" w:rsidRPr="00DD1B58">
            <w:rPr>
              <w:lang w:val="en-US"/>
            </w:rPr>
            <w:fldChar w:fldCharType="separate"/>
          </w:r>
          <w:r w:rsidR="00DF47DA" w:rsidRPr="00DF47DA">
            <w:rPr>
              <w:noProof/>
              <w:lang w:val="en-US"/>
            </w:rPr>
            <w:t>[20]</w:t>
          </w:r>
          <w:r w:rsidR="00794E75" w:rsidRPr="00DD1B58">
            <w:rPr>
              <w:lang w:val="en-US"/>
            </w:rPr>
            <w:fldChar w:fldCharType="end"/>
          </w:r>
        </w:sdtContent>
      </w:sdt>
      <w:r w:rsidR="00794E75" w:rsidRPr="00DD1B58">
        <w:rPr>
          <w:lang w:val="en-US"/>
        </w:rPr>
        <w:t xml:space="preserve"> </w:t>
      </w:r>
      <w:r w:rsidR="001D55D9" w:rsidRPr="00DD1B58">
        <w:rPr>
          <w:lang w:val="en-US"/>
        </w:rPr>
        <w:t>requires that the responsible person for fire safety must ensure that suitable preventative and protective measures are implemented to control potentially hazardous activities one of those being hot works.</w:t>
      </w:r>
      <w:r w:rsidR="00B04D87" w:rsidRPr="00DD1B58">
        <w:rPr>
          <w:lang w:val="en-US"/>
        </w:rPr>
        <w:t xml:space="preserve"> </w:t>
      </w:r>
    </w:p>
    <w:p w14:paraId="68B66291" w14:textId="28B818F1" w:rsidR="001D55D9" w:rsidRPr="00DD1B58" w:rsidRDefault="00825C76" w:rsidP="001D55D9">
      <w:pPr>
        <w:rPr>
          <w:lang w:val="en-US"/>
        </w:rPr>
      </w:pPr>
      <w:r w:rsidRPr="00DD1B58">
        <w:rPr>
          <w:lang w:val="en-US"/>
        </w:rPr>
        <w:t xml:space="preserve">Springfields Fuels </w:t>
      </w:r>
      <w:r w:rsidR="00BF0D1B" w:rsidRPr="00DD1B58">
        <w:rPr>
          <w:lang w:val="en-US"/>
        </w:rPr>
        <w:t>Ltd</w:t>
      </w:r>
      <w:r w:rsidRPr="00DD1B58">
        <w:rPr>
          <w:lang w:val="en-US"/>
        </w:rPr>
        <w:t xml:space="preserve"> </w:t>
      </w:r>
      <w:r w:rsidR="00434629" w:rsidRPr="00DD1B58">
        <w:rPr>
          <w:lang w:val="en-US"/>
        </w:rPr>
        <w:t>reports</w:t>
      </w:r>
      <w:r w:rsidRPr="00DD1B58">
        <w:rPr>
          <w:lang w:val="en-US"/>
        </w:rPr>
        <w:t xml:space="preserve"> that h</w:t>
      </w:r>
      <w:r w:rsidR="001D55D9" w:rsidRPr="00DD1B58">
        <w:rPr>
          <w:lang w:val="en-US"/>
        </w:rPr>
        <w:t>ot works on site are only to be undertaken if all other avenues have first been exhausted i.e., cold cutting, pre-fabrication etc.</w:t>
      </w:r>
      <w:r w:rsidRPr="00DD1B58">
        <w:rPr>
          <w:lang w:val="en-US"/>
        </w:rPr>
        <w:t xml:space="preserve"> It also </w:t>
      </w:r>
      <w:r w:rsidR="007376D6" w:rsidRPr="00DD1B58">
        <w:rPr>
          <w:lang w:val="en-US"/>
        </w:rPr>
        <w:t>states that</w:t>
      </w:r>
      <w:r w:rsidRPr="00DD1B58">
        <w:rPr>
          <w:lang w:val="en-US"/>
        </w:rPr>
        <w:t xml:space="preserve"> a</w:t>
      </w:r>
      <w:r w:rsidR="001D55D9" w:rsidRPr="00DD1B58">
        <w:rPr>
          <w:lang w:val="en-US"/>
        </w:rPr>
        <w:t>ll hot works on-site are subject to a Hot Work Fire Risk Assessment (HWFRA)</w:t>
      </w:r>
      <w:r w:rsidR="008E1572" w:rsidRPr="00DD1B58">
        <w:rPr>
          <w:lang w:val="en-US"/>
        </w:rPr>
        <w:t xml:space="preserve"> and that the assessments </w:t>
      </w:r>
      <w:r w:rsidR="001D55D9" w:rsidRPr="00DD1B58">
        <w:rPr>
          <w:lang w:val="en-US"/>
        </w:rPr>
        <w:t xml:space="preserve">are undertaken by the Springfields site Fire Service who must have completed a hot work course prior to being permitted to carry out assessments. </w:t>
      </w:r>
      <w:r w:rsidR="00864A6D" w:rsidRPr="00DD1B58">
        <w:rPr>
          <w:lang w:val="en-US"/>
        </w:rPr>
        <w:t xml:space="preserve">Springfields Fuels </w:t>
      </w:r>
      <w:r w:rsidR="00BF0D1B" w:rsidRPr="00DD1B58">
        <w:rPr>
          <w:lang w:val="en-US"/>
        </w:rPr>
        <w:t>Ltd</w:t>
      </w:r>
      <w:r w:rsidR="00864A6D" w:rsidRPr="00DD1B58">
        <w:rPr>
          <w:lang w:val="en-US"/>
        </w:rPr>
        <w:t xml:space="preserve"> </w:t>
      </w:r>
      <w:r w:rsidR="007376D6" w:rsidRPr="00DD1B58">
        <w:rPr>
          <w:lang w:val="en-US"/>
        </w:rPr>
        <w:t>states that</w:t>
      </w:r>
      <w:r w:rsidR="00864A6D" w:rsidRPr="00DD1B58">
        <w:rPr>
          <w:lang w:val="en-US"/>
        </w:rPr>
        <w:t xml:space="preserve"> </w:t>
      </w:r>
      <w:r w:rsidR="001D55D9" w:rsidRPr="00DD1B58">
        <w:rPr>
          <w:lang w:val="en-US"/>
        </w:rPr>
        <w:t xml:space="preserve">HWFRA’s are produced with </w:t>
      </w:r>
      <w:r w:rsidR="00864A6D" w:rsidRPr="00DD1B58">
        <w:rPr>
          <w:lang w:val="en-US"/>
        </w:rPr>
        <w:t>SQEP</w:t>
      </w:r>
      <w:r w:rsidR="001D55D9" w:rsidRPr="00DD1B58">
        <w:rPr>
          <w:lang w:val="en-US"/>
        </w:rPr>
        <w:t xml:space="preserve"> with sufficient knowledge of the hazards and associated processes (i.e., Plant manager, duly authorised person, fire nominated person(s)). </w:t>
      </w:r>
      <w:r w:rsidR="00864A6D" w:rsidRPr="00DD1B58">
        <w:rPr>
          <w:lang w:val="en-US"/>
        </w:rPr>
        <w:t xml:space="preserve">Springfields Fuels </w:t>
      </w:r>
      <w:r w:rsidR="00BF0D1B" w:rsidRPr="00DD1B58">
        <w:rPr>
          <w:lang w:val="en-US"/>
        </w:rPr>
        <w:t>Ltd</w:t>
      </w:r>
      <w:r w:rsidR="00864A6D" w:rsidRPr="00DD1B58">
        <w:rPr>
          <w:lang w:val="en-US"/>
        </w:rPr>
        <w:t xml:space="preserve"> concluded that, o</w:t>
      </w:r>
      <w:r w:rsidR="001D55D9" w:rsidRPr="00DD1B58">
        <w:rPr>
          <w:lang w:val="en-US"/>
        </w:rPr>
        <w:t>nce completed</w:t>
      </w:r>
      <w:r w:rsidR="00864A6D" w:rsidRPr="00DD1B58">
        <w:rPr>
          <w:lang w:val="en-US"/>
        </w:rPr>
        <w:t>,</w:t>
      </w:r>
      <w:r w:rsidR="001D55D9" w:rsidRPr="00DD1B58">
        <w:rPr>
          <w:lang w:val="en-US"/>
        </w:rPr>
        <w:t xml:space="preserve"> the assessment must be signed onto by all parties involved in the hot work.</w:t>
      </w:r>
    </w:p>
    <w:p w14:paraId="37F04B5E" w14:textId="0799661F" w:rsidR="001D55D9" w:rsidRPr="00DD1B58" w:rsidRDefault="00864A6D" w:rsidP="001D55D9">
      <w:pPr>
        <w:rPr>
          <w:lang w:val="en-US"/>
        </w:rPr>
      </w:pPr>
      <w:r w:rsidRPr="00DD1B58">
        <w:rPr>
          <w:lang w:val="en-US"/>
        </w:rPr>
        <w:t xml:space="preserve">Springfields Fuels </w:t>
      </w:r>
      <w:r w:rsidR="00BF0D1B" w:rsidRPr="00DD1B58">
        <w:rPr>
          <w:lang w:val="en-US"/>
        </w:rPr>
        <w:t>Ltd</w:t>
      </w:r>
      <w:r w:rsidRPr="00DD1B58">
        <w:rPr>
          <w:lang w:val="en-US"/>
        </w:rPr>
        <w:t xml:space="preserve"> </w:t>
      </w:r>
      <w:r w:rsidR="00434629" w:rsidRPr="00DD1B58">
        <w:rPr>
          <w:lang w:val="en-US"/>
        </w:rPr>
        <w:t>states</w:t>
      </w:r>
      <w:r w:rsidRPr="00DD1B58">
        <w:rPr>
          <w:lang w:val="en-US"/>
        </w:rPr>
        <w:t xml:space="preserve"> that the </w:t>
      </w:r>
      <w:r w:rsidR="001D55D9" w:rsidRPr="00DD1B58">
        <w:rPr>
          <w:lang w:val="en-US"/>
        </w:rPr>
        <w:t xml:space="preserve">HWFRA’s </w:t>
      </w:r>
      <w:r w:rsidRPr="00DD1B58">
        <w:rPr>
          <w:lang w:val="en-US"/>
        </w:rPr>
        <w:t xml:space="preserve">is </w:t>
      </w:r>
      <w:r w:rsidR="001D55D9" w:rsidRPr="00DD1B58">
        <w:rPr>
          <w:lang w:val="en-US"/>
        </w:rPr>
        <w:t>normally issued for a fixed period for plant specific tasks. After completion of the risk assessment</w:t>
      </w:r>
      <w:r w:rsidRPr="00DD1B58">
        <w:rPr>
          <w:lang w:val="en-US"/>
        </w:rPr>
        <w:t xml:space="preserve">, Springfields Fuels </w:t>
      </w:r>
      <w:r w:rsidR="00BF0D1B" w:rsidRPr="00DD1B58">
        <w:rPr>
          <w:lang w:val="en-US"/>
        </w:rPr>
        <w:t>Ltd</w:t>
      </w:r>
      <w:r w:rsidRPr="00DD1B58">
        <w:rPr>
          <w:lang w:val="en-US"/>
        </w:rPr>
        <w:t xml:space="preserve"> considers that</w:t>
      </w:r>
      <w:r w:rsidR="001D55D9" w:rsidRPr="00DD1B58">
        <w:rPr>
          <w:lang w:val="en-US"/>
        </w:rPr>
        <w:t xml:space="preserve"> the assessment </w:t>
      </w:r>
      <w:r w:rsidRPr="00DD1B58">
        <w:rPr>
          <w:lang w:val="en-US"/>
        </w:rPr>
        <w:t>is</w:t>
      </w:r>
      <w:r w:rsidR="001D55D9" w:rsidRPr="00DD1B58">
        <w:rPr>
          <w:lang w:val="en-US"/>
        </w:rPr>
        <w:t xml:space="preserve"> valid for up to seven days. The validity of HWFRA’s may be extended beyond a seven-day period, but only at the discretion of </w:t>
      </w:r>
      <w:r w:rsidRPr="00DD1B58">
        <w:rPr>
          <w:lang w:val="en-US"/>
        </w:rPr>
        <w:t xml:space="preserve">Springfields Fuels </w:t>
      </w:r>
      <w:r w:rsidR="00BF0D1B" w:rsidRPr="00DD1B58">
        <w:rPr>
          <w:lang w:val="en-US"/>
        </w:rPr>
        <w:t>Ltd</w:t>
      </w:r>
      <w:r w:rsidRPr="00DD1B58">
        <w:rPr>
          <w:lang w:val="en-US"/>
        </w:rPr>
        <w:t xml:space="preserve">’s </w:t>
      </w:r>
      <w:r w:rsidR="001D55D9" w:rsidRPr="00DD1B58">
        <w:rPr>
          <w:lang w:val="en-US"/>
        </w:rPr>
        <w:t xml:space="preserve">Inspecting Fire Officer. </w:t>
      </w:r>
      <w:r w:rsidRPr="00DD1B58">
        <w:rPr>
          <w:lang w:val="en-US"/>
        </w:rPr>
        <w:t xml:space="preserve">Springfields Fuels </w:t>
      </w:r>
      <w:r w:rsidR="00BF0D1B" w:rsidRPr="00DD1B58">
        <w:rPr>
          <w:lang w:val="en-US"/>
        </w:rPr>
        <w:t>Ltd</w:t>
      </w:r>
      <w:r w:rsidRPr="00DD1B58">
        <w:rPr>
          <w:lang w:val="en-US"/>
        </w:rPr>
        <w:t xml:space="preserve"> requires daily gas monitor testing</w:t>
      </w:r>
      <w:r w:rsidR="001D55D9" w:rsidRPr="00DD1B58">
        <w:rPr>
          <w:lang w:val="en-US"/>
        </w:rPr>
        <w:t xml:space="preserve"> to ensure there are no explosive atmospheres present. In rapidly changing environments</w:t>
      </w:r>
      <w:r w:rsidR="002F6CC5" w:rsidRPr="00DD1B58">
        <w:rPr>
          <w:lang w:val="en-US"/>
        </w:rPr>
        <w:t xml:space="preserve">, Springfields Fuels </w:t>
      </w:r>
      <w:r w:rsidR="00BF0D1B" w:rsidRPr="00DD1B58">
        <w:rPr>
          <w:lang w:val="en-US"/>
        </w:rPr>
        <w:t>Ltd</w:t>
      </w:r>
      <w:r w:rsidR="002F6CC5" w:rsidRPr="00DD1B58">
        <w:rPr>
          <w:lang w:val="en-US"/>
        </w:rPr>
        <w:t xml:space="preserve"> may require</w:t>
      </w:r>
      <w:r w:rsidR="001D55D9" w:rsidRPr="00DD1B58">
        <w:rPr>
          <w:lang w:val="en-US"/>
        </w:rPr>
        <w:t xml:space="preserve"> constant gas monitoring in addition to all other requirements listed on the HWFRA.</w:t>
      </w:r>
    </w:p>
    <w:p w14:paraId="37943EB8" w14:textId="22EF5FC5" w:rsidR="00E34C70" w:rsidRPr="00DD1B58" w:rsidRDefault="002F6CC5" w:rsidP="001D55D9">
      <w:pPr>
        <w:rPr>
          <w:lang w:val="en-US"/>
        </w:rPr>
      </w:pPr>
      <w:r w:rsidRPr="00DD1B58">
        <w:rPr>
          <w:lang w:val="en-US"/>
        </w:rPr>
        <w:t>Springfields Fuels Ltd</w:t>
      </w:r>
      <w:r w:rsidR="00411A88" w:rsidRPr="00DD1B58">
        <w:rPr>
          <w:lang w:val="en-US"/>
        </w:rPr>
        <w:t>’s</w:t>
      </w:r>
      <w:r w:rsidRPr="00DD1B58">
        <w:rPr>
          <w:lang w:val="en-US"/>
        </w:rPr>
        <w:t xml:space="preserve"> HWFRA </w:t>
      </w:r>
      <w:r w:rsidR="001D55D9" w:rsidRPr="00DD1B58">
        <w:rPr>
          <w:lang w:val="en-US"/>
        </w:rPr>
        <w:t>process for hot works approval is</w:t>
      </w:r>
      <w:r w:rsidR="00411A88" w:rsidRPr="00DD1B58">
        <w:rPr>
          <w:lang w:val="en-US"/>
        </w:rPr>
        <w:t xml:space="preserve"> available in the licensee’s self-</w:t>
      </w:r>
      <w:r w:rsidR="00802C00" w:rsidRPr="00DD1B58">
        <w:rPr>
          <w:lang w:val="en-US"/>
        </w:rPr>
        <w:t>assessment.</w:t>
      </w:r>
    </w:p>
    <w:p w14:paraId="4D36DEAD" w14:textId="77777777" w:rsidR="00836762" w:rsidRPr="00DD1B58" w:rsidRDefault="00D3121A" w:rsidP="00177432">
      <w:pPr>
        <w:pStyle w:val="Heading5A"/>
        <w:rPr>
          <w:lang w:val="en-US"/>
        </w:rPr>
      </w:pPr>
      <w:bookmarkStart w:id="82" w:name="_Ref139877987"/>
      <w:r w:rsidRPr="00DD1B58">
        <w:rPr>
          <w:lang w:val="en-US"/>
        </w:rPr>
        <w:t>Overview of arrangements for management and control of fire load and ignition sources</w:t>
      </w:r>
      <w:bookmarkEnd w:id="82"/>
    </w:p>
    <w:p w14:paraId="4D0977C7" w14:textId="7AF202D3" w:rsidR="00B04D87" w:rsidRPr="00DD1B58" w:rsidRDefault="005E2440" w:rsidP="00B04D87">
      <w:pPr>
        <w:rPr>
          <w:lang w:val="en-US"/>
        </w:rPr>
      </w:pPr>
      <w:r w:rsidRPr="00DD1B58">
        <w:rPr>
          <w:lang w:val="en-US"/>
        </w:rPr>
        <w:t xml:space="preserve">Springfields Fuels </w:t>
      </w:r>
      <w:r w:rsidR="00BF0D1B" w:rsidRPr="00DD1B58">
        <w:rPr>
          <w:lang w:val="en-US"/>
        </w:rPr>
        <w:t>Ltd</w:t>
      </w:r>
      <w:r w:rsidRPr="00DD1B58">
        <w:rPr>
          <w:lang w:val="en-US"/>
        </w:rPr>
        <w:t xml:space="preserve"> defines the goal of its </w:t>
      </w:r>
      <w:r w:rsidR="00B04D87" w:rsidRPr="00DD1B58">
        <w:rPr>
          <w:lang w:val="en-US"/>
        </w:rPr>
        <w:t>fire loading</w:t>
      </w:r>
      <w:r w:rsidRPr="00DD1B58">
        <w:rPr>
          <w:lang w:val="en-US"/>
        </w:rPr>
        <w:t xml:space="preserve"> limits</w:t>
      </w:r>
      <w:r w:rsidR="00B04D87" w:rsidRPr="00DD1B58">
        <w:rPr>
          <w:lang w:val="en-US"/>
        </w:rPr>
        <w:t xml:space="preserve"> </w:t>
      </w:r>
      <w:r w:rsidRPr="00DD1B58">
        <w:rPr>
          <w:lang w:val="en-US"/>
        </w:rPr>
        <w:t>as t</w:t>
      </w:r>
      <w:r w:rsidR="00B04D87" w:rsidRPr="00DD1B58">
        <w:rPr>
          <w:lang w:val="en-US"/>
        </w:rPr>
        <w:t>o ensure that in all areas the fire loading is less than the fire resistance of the fire compartment boundaries or structural fire resistance of building elements.</w:t>
      </w:r>
    </w:p>
    <w:p w14:paraId="7F44DA77" w14:textId="4B144870" w:rsidR="00B04D87" w:rsidRPr="00DD1B58" w:rsidRDefault="005E2440" w:rsidP="00B04D87">
      <w:pPr>
        <w:rPr>
          <w:lang w:val="en-US"/>
        </w:rPr>
      </w:pPr>
      <w:r w:rsidRPr="00DD1B58">
        <w:rPr>
          <w:lang w:val="en-US"/>
        </w:rPr>
        <w:t xml:space="preserve">Springfields Fuels </w:t>
      </w:r>
      <w:r w:rsidR="00BF0D1B" w:rsidRPr="00DD1B58">
        <w:rPr>
          <w:lang w:val="en-US"/>
        </w:rPr>
        <w:t>Ltd</w:t>
      </w:r>
      <w:r w:rsidRPr="00DD1B58">
        <w:rPr>
          <w:lang w:val="en-US"/>
        </w:rPr>
        <w:t xml:space="preserve"> </w:t>
      </w:r>
      <w:r w:rsidR="00EE771C" w:rsidRPr="00DD1B58">
        <w:rPr>
          <w:lang w:val="en-US"/>
        </w:rPr>
        <w:t xml:space="preserve">states </w:t>
      </w:r>
      <w:r w:rsidRPr="00DD1B58">
        <w:rPr>
          <w:lang w:val="en-US"/>
        </w:rPr>
        <w:t>that f</w:t>
      </w:r>
      <w:r w:rsidR="00B04D87" w:rsidRPr="00DD1B58">
        <w:rPr>
          <w:lang w:val="en-US"/>
        </w:rPr>
        <w:t>ire loads in areas where there may be vulnerable equipment is strictly controlled</w:t>
      </w:r>
      <w:r w:rsidR="009E7F64" w:rsidRPr="00DD1B58">
        <w:rPr>
          <w:lang w:val="en-US"/>
        </w:rPr>
        <w:t xml:space="preserve"> and that l</w:t>
      </w:r>
      <w:r w:rsidR="00B04D87" w:rsidRPr="00DD1B58">
        <w:rPr>
          <w:lang w:val="en-US"/>
        </w:rPr>
        <w:t>imits are typically communicated for nuclear fire safety in the first instance through Operating requirements in the facility HAZAN</w:t>
      </w:r>
      <w:r w:rsidR="00A57E14" w:rsidRPr="00DD1B58">
        <w:rPr>
          <w:lang w:val="en-US"/>
        </w:rPr>
        <w:t>s</w:t>
      </w:r>
      <w:r w:rsidR="00B04D87" w:rsidRPr="00DD1B58">
        <w:rPr>
          <w:lang w:val="en-US"/>
        </w:rPr>
        <w:t xml:space="preserve"> an example of which is given below</w:t>
      </w:r>
      <w:r w:rsidR="009E7F64" w:rsidRPr="00DD1B58">
        <w:rPr>
          <w:lang w:val="en-US"/>
        </w:rPr>
        <w:t>:</w:t>
      </w:r>
    </w:p>
    <w:p w14:paraId="0F7E0AE2" w14:textId="77777777" w:rsidR="00B04D87" w:rsidRPr="00DD1B58" w:rsidRDefault="00B04D87" w:rsidP="00B04D87">
      <w:pPr>
        <w:rPr>
          <w:i/>
          <w:iCs/>
          <w:lang w:val="en-US"/>
        </w:rPr>
      </w:pPr>
      <w:r w:rsidRPr="00DD1B58">
        <w:rPr>
          <w:b/>
          <w:i/>
          <w:iCs/>
          <w:lang w:val="en-US"/>
        </w:rPr>
        <w:t>Operating Requirement</w:t>
      </w:r>
      <w:r w:rsidRPr="00DD1B58">
        <w:rPr>
          <w:i/>
          <w:iCs/>
          <w:lang w:val="en-US"/>
        </w:rPr>
        <w:t>: The accumulation and use of combustible materials (paper, polythene, cardboard etc.) MUST be minimised, consistent with operational requirements.</w:t>
      </w:r>
    </w:p>
    <w:p w14:paraId="7174391F" w14:textId="7718FBEE" w:rsidR="00B04D87" w:rsidRPr="00DD1B58" w:rsidRDefault="009E7F64" w:rsidP="00B04D87">
      <w:pPr>
        <w:rPr>
          <w:lang w:val="en-US"/>
        </w:rPr>
      </w:pPr>
      <w:r w:rsidRPr="00DD1B58">
        <w:rPr>
          <w:lang w:val="en-US"/>
        </w:rPr>
        <w:t>Springfields Fuels Ltd</w:t>
      </w:r>
      <w:r w:rsidRPr="00DD1B58" w:rsidDel="009E7F64">
        <w:rPr>
          <w:lang w:val="en-US"/>
        </w:rPr>
        <w:t xml:space="preserve"> </w:t>
      </w:r>
      <w:r w:rsidRPr="00DD1B58">
        <w:rPr>
          <w:lang w:val="en-US"/>
        </w:rPr>
        <w:t>undertakes</w:t>
      </w:r>
      <w:r w:rsidR="00B04D87" w:rsidRPr="00DD1B58">
        <w:rPr>
          <w:lang w:val="en-US"/>
        </w:rPr>
        <w:t xml:space="preserve"> regular management safety walkdowns which include housekeeping to ensure this Operating requirement is met.</w:t>
      </w:r>
      <w:r w:rsidR="00470B09" w:rsidRPr="00DD1B58">
        <w:rPr>
          <w:lang w:val="en-US"/>
        </w:rPr>
        <w:t xml:space="preserve"> </w:t>
      </w:r>
      <w:r w:rsidRPr="00DD1B58">
        <w:rPr>
          <w:lang w:val="en-US"/>
        </w:rPr>
        <w:t xml:space="preserve">It also </w:t>
      </w:r>
      <w:r w:rsidR="00792764" w:rsidRPr="00DD1B58">
        <w:rPr>
          <w:lang w:val="en-US"/>
        </w:rPr>
        <w:t>states</w:t>
      </w:r>
      <w:r w:rsidRPr="00DD1B58">
        <w:rPr>
          <w:lang w:val="en-US"/>
        </w:rPr>
        <w:t xml:space="preserve"> that a</w:t>
      </w:r>
      <w:r w:rsidR="00B04D87" w:rsidRPr="00DD1B58">
        <w:rPr>
          <w:lang w:val="en-US"/>
        </w:rPr>
        <w:t xml:space="preserve"> global Corrective Action Programme (CAP) is raised to the appropriate building owner/business unit head where improvements to premises keeping is required based on subjective judgement of those undertaking the safety walkdowns</w:t>
      </w:r>
      <w:r w:rsidR="00F82583" w:rsidRPr="00DD1B58">
        <w:rPr>
          <w:lang w:val="en-US"/>
        </w:rPr>
        <w:t>.</w:t>
      </w:r>
      <w:r w:rsidRPr="00DD1B58">
        <w:rPr>
          <w:lang w:val="en-US"/>
        </w:rPr>
        <w:t xml:space="preserve"> Springfields Fuels Ltd</w:t>
      </w:r>
      <w:r w:rsidR="00F82583" w:rsidRPr="00DD1B58">
        <w:rPr>
          <w:lang w:val="en-US"/>
        </w:rPr>
        <w:t xml:space="preserve"> </w:t>
      </w:r>
      <w:r w:rsidRPr="00DD1B58">
        <w:rPr>
          <w:lang w:val="en-US"/>
        </w:rPr>
        <w:t>communicates l</w:t>
      </w:r>
      <w:r w:rsidR="00D32476" w:rsidRPr="00DD1B58">
        <w:rPr>
          <w:lang w:val="en-US"/>
        </w:rPr>
        <w:t>imits</w:t>
      </w:r>
      <w:r w:rsidR="00B04D87" w:rsidRPr="00DD1B58">
        <w:rPr>
          <w:lang w:val="en-US"/>
        </w:rPr>
        <w:t xml:space="preserve"> to workers on a day-to-day basis by signage in certain areas prohibiting storage of combustible materials,</w:t>
      </w:r>
      <w:r w:rsidR="00357F46" w:rsidRPr="00DD1B58">
        <w:rPr>
          <w:lang w:val="en-US"/>
        </w:rPr>
        <w:t xml:space="preserve"> </w:t>
      </w:r>
      <w:r w:rsidR="007F289E" w:rsidRPr="00DD1B58">
        <w:rPr>
          <w:lang w:val="en-US"/>
        </w:rPr>
        <w:t>through</w:t>
      </w:r>
      <w:r w:rsidR="00B04D87" w:rsidRPr="00DD1B58">
        <w:rPr>
          <w:lang w:val="en-US"/>
        </w:rPr>
        <w:t xml:space="preserve"> toolbox talks and the CAP process.</w:t>
      </w:r>
    </w:p>
    <w:p w14:paraId="12C03CDF" w14:textId="6B55BF06" w:rsidR="00BF5C2E" w:rsidRPr="00DD1B58" w:rsidRDefault="007F289E" w:rsidP="00BF5C2E">
      <w:pPr>
        <w:rPr>
          <w:lang w:val="en-US"/>
        </w:rPr>
      </w:pPr>
      <w:r w:rsidRPr="00DD1B58">
        <w:rPr>
          <w:lang w:val="en-US"/>
        </w:rPr>
        <w:t>Springfields Fuels Ltd</w:t>
      </w:r>
      <w:r w:rsidRPr="00DD1B58" w:rsidDel="009E7F64">
        <w:rPr>
          <w:lang w:val="en-US"/>
        </w:rPr>
        <w:t xml:space="preserve"> </w:t>
      </w:r>
      <w:r w:rsidRPr="00DD1B58">
        <w:rPr>
          <w:lang w:val="en-US"/>
        </w:rPr>
        <w:t xml:space="preserve">does not use </w:t>
      </w:r>
      <w:r w:rsidR="00B04D87" w:rsidRPr="00DD1B58">
        <w:rPr>
          <w:lang w:val="en-US"/>
        </w:rPr>
        <w:t xml:space="preserve">specific processes within facilities </w:t>
      </w:r>
      <w:r w:rsidRPr="00DD1B58">
        <w:rPr>
          <w:lang w:val="en-US"/>
        </w:rPr>
        <w:t>storing</w:t>
      </w:r>
      <w:r w:rsidR="00B04D87" w:rsidRPr="00DD1B58">
        <w:rPr>
          <w:lang w:val="en-US"/>
        </w:rPr>
        <w:t xml:space="preserve"> radioactive wastes</w:t>
      </w:r>
      <w:r w:rsidRPr="00DD1B58">
        <w:rPr>
          <w:lang w:val="en-US"/>
        </w:rPr>
        <w:t>: b</w:t>
      </w:r>
      <w:r w:rsidR="00B04D87" w:rsidRPr="00DD1B58">
        <w:rPr>
          <w:lang w:val="en-US"/>
        </w:rPr>
        <w:t>uildings where waste is stored prior to processing (LLW and ILW) are subject to the same site wide processes as any other building where</w:t>
      </w:r>
      <w:r w:rsidR="00BF5C2E" w:rsidRPr="00DD1B58">
        <w:rPr>
          <w:lang w:val="en-US"/>
        </w:rPr>
        <w:t xml:space="preserve"> waste is processed. </w:t>
      </w:r>
      <w:r w:rsidRPr="00DD1B58">
        <w:rPr>
          <w:lang w:val="en-US"/>
        </w:rPr>
        <w:t>Springfields Fuels Ltd</w:t>
      </w:r>
      <w:r w:rsidRPr="00DD1B58" w:rsidDel="009E7F64">
        <w:rPr>
          <w:lang w:val="en-US"/>
        </w:rPr>
        <w:t xml:space="preserve"> </w:t>
      </w:r>
      <w:r w:rsidR="00EE771C" w:rsidRPr="00DD1B58">
        <w:rPr>
          <w:lang w:val="en-US"/>
        </w:rPr>
        <w:t xml:space="preserve">reports </w:t>
      </w:r>
      <w:r w:rsidRPr="00DD1B58">
        <w:rPr>
          <w:lang w:val="en-US"/>
        </w:rPr>
        <w:t>that the e</w:t>
      </w:r>
      <w:r w:rsidR="00BF5C2E" w:rsidRPr="00DD1B58">
        <w:rPr>
          <w:lang w:val="en-US"/>
        </w:rPr>
        <w:t>ffects of fire on safe geometry containers/safe geometry bins are considered</w:t>
      </w:r>
      <w:r w:rsidR="00737EC2" w:rsidRPr="00DD1B58">
        <w:rPr>
          <w:lang w:val="en-US"/>
        </w:rPr>
        <w:t>.</w:t>
      </w:r>
    </w:p>
    <w:p w14:paraId="73EBEBFC" w14:textId="293A8BA5" w:rsidR="00BF5C2E" w:rsidRPr="00DD1B58" w:rsidRDefault="00BF5C2E" w:rsidP="00BF5C2E">
      <w:pPr>
        <w:rPr>
          <w:lang w:val="en-US"/>
        </w:rPr>
      </w:pPr>
      <w:r w:rsidRPr="00DD1B58">
        <w:rPr>
          <w:lang w:val="en-US"/>
        </w:rPr>
        <w:t xml:space="preserve">SSI 688 </w:t>
      </w:r>
      <w:sdt>
        <w:sdtPr>
          <w:rPr>
            <w:lang w:val="en-US"/>
          </w:rPr>
          <w:id w:val="1129899050"/>
          <w:citation/>
        </w:sdtPr>
        <w:sdtContent>
          <w:r w:rsidR="00991688" w:rsidRPr="00DD1B58">
            <w:rPr>
              <w:lang w:val="en-US"/>
            </w:rPr>
            <w:fldChar w:fldCharType="begin"/>
          </w:r>
          <w:r w:rsidR="00991688" w:rsidRPr="00DD1B58">
            <w:rPr>
              <w:lang w:val="en-US"/>
            </w:rPr>
            <w:instrText xml:space="preserve"> CITATION SSI4 \l 2057 </w:instrText>
          </w:r>
          <w:r w:rsidR="00991688" w:rsidRPr="00DD1B58">
            <w:rPr>
              <w:lang w:val="en-US"/>
            </w:rPr>
            <w:fldChar w:fldCharType="separate"/>
          </w:r>
          <w:r w:rsidR="00DF47DA" w:rsidRPr="00DF47DA">
            <w:rPr>
              <w:noProof/>
              <w:lang w:val="en-US"/>
            </w:rPr>
            <w:t>[135]</w:t>
          </w:r>
          <w:r w:rsidR="00991688" w:rsidRPr="00DD1B58">
            <w:rPr>
              <w:lang w:val="en-US"/>
            </w:rPr>
            <w:fldChar w:fldCharType="end"/>
          </w:r>
        </w:sdtContent>
      </w:sdt>
      <w:r w:rsidRPr="00DD1B58">
        <w:rPr>
          <w:lang w:val="en-US"/>
        </w:rPr>
        <w:t xml:space="preserve"> requires Building Owners to ensure that the Plant Managers</w:t>
      </w:r>
      <w:r w:rsidR="007C3F42" w:rsidRPr="00DD1B58">
        <w:rPr>
          <w:lang w:val="en-US"/>
        </w:rPr>
        <w:t>/</w:t>
      </w:r>
      <w:r w:rsidRPr="00DD1B58">
        <w:rPr>
          <w:lang w:val="en-US"/>
        </w:rPr>
        <w:t xml:space="preserve">Building Managers carry out inspections on the housekeeping and fire safety arrangements within their plant. </w:t>
      </w:r>
      <w:r w:rsidR="00737EC2" w:rsidRPr="00DD1B58">
        <w:rPr>
          <w:lang w:val="en-US"/>
        </w:rPr>
        <w:t>Springfields Fuels Ltd</w:t>
      </w:r>
      <w:r w:rsidR="00737EC2" w:rsidRPr="00DD1B58" w:rsidDel="009E7F64">
        <w:rPr>
          <w:lang w:val="en-US"/>
        </w:rPr>
        <w:t xml:space="preserve"> </w:t>
      </w:r>
      <w:r w:rsidR="006D798B" w:rsidRPr="00DD1B58">
        <w:rPr>
          <w:lang w:val="en-US"/>
        </w:rPr>
        <w:t>reports that</w:t>
      </w:r>
      <w:r w:rsidR="00737EC2" w:rsidRPr="00DD1B58">
        <w:rPr>
          <w:lang w:val="en-US"/>
        </w:rPr>
        <w:t xml:space="preserve"> it ensures c</w:t>
      </w:r>
      <w:r w:rsidRPr="00DD1B58">
        <w:rPr>
          <w:lang w:val="en-US"/>
        </w:rPr>
        <w:t xml:space="preserve">onsistency across facilities by having a fire nominated person for each building each of whom have undertaken a fire nominated persons course. </w:t>
      </w:r>
      <w:r w:rsidR="00737EC2" w:rsidRPr="00DD1B58">
        <w:rPr>
          <w:lang w:val="en-US"/>
        </w:rPr>
        <w:t xml:space="preserve">It also </w:t>
      </w:r>
      <w:r w:rsidR="007376D6" w:rsidRPr="00DD1B58">
        <w:rPr>
          <w:lang w:val="en-US"/>
        </w:rPr>
        <w:t>states that</w:t>
      </w:r>
      <w:r w:rsidR="00737EC2" w:rsidRPr="00DD1B58">
        <w:rPr>
          <w:lang w:val="en-US"/>
        </w:rPr>
        <w:t xml:space="preserve"> a</w:t>
      </w:r>
      <w:r w:rsidRPr="00DD1B58">
        <w:rPr>
          <w:lang w:val="en-US"/>
        </w:rPr>
        <w:t>dequacy of control is confirmed by Core Fire Nominated Persons (CFNP’s) &amp; Building Fire Nominated Persons (BFNP’s) whose duties are detailed in SSI 688 (Fire Safety at Springfields) and which includes fire risk assessments that are undertaken on a three yearly basis, visits to buildings by the site fire service and ad hoc visits to buildings by the site fire safety manager.</w:t>
      </w:r>
    </w:p>
    <w:p w14:paraId="3CC90C7F" w14:textId="07FCD29E" w:rsidR="00BF5C2E" w:rsidRPr="00DD1B58" w:rsidRDefault="00BF5C2E" w:rsidP="00BF5C2E">
      <w:pPr>
        <w:rPr>
          <w:lang w:val="en-US"/>
        </w:rPr>
      </w:pPr>
      <w:r w:rsidRPr="00DD1B58">
        <w:rPr>
          <w:lang w:val="en-US"/>
        </w:rPr>
        <w:t xml:space="preserve">SSI 688 </w:t>
      </w:r>
      <w:sdt>
        <w:sdtPr>
          <w:rPr>
            <w:lang w:val="en-US"/>
          </w:rPr>
          <w:id w:val="1799022950"/>
          <w:citation/>
        </w:sdtPr>
        <w:sdtContent>
          <w:r w:rsidR="008C0701" w:rsidRPr="00DD1B58">
            <w:rPr>
              <w:lang w:val="en-US"/>
            </w:rPr>
            <w:fldChar w:fldCharType="begin"/>
          </w:r>
          <w:r w:rsidR="008C0701" w:rsidRPr="00DD1B58">
            <w:rPr>
              <w:lang w:val="en-US"/>
            </w:rPr>
            <w:instrText xml:space="preserve"> CITATION SSI4 \l 2057 </w:instrText>
          </w:r>
          <w:r w:rsidR="008C0701" w:rsidRPr="00DD1B58">
            <w:rPr>
              <w:lang w:val="en-US"/>
            </w:rPr>
            <w:fldChar w:fldCharType="separate"/>
          </w:r>
          <w:r w:rsidR="00DF47DA" w:rsidRPr="00DF47DA">
            <w:rPr>
              <w:noProof/>
              <w:lang w:val="en-US"/>
            </w:rPr>
            <w:t>[135]</w:t>
          </w:r>
          <w:r w:rsidR="008C0701" w:rsidRPr="00DD1B58">
            <w:rPr>
              <w:lang w:val="en-US"/>
            </w:rPr>
            <w:fldChar w:fldCharType="end"/>
          </w:r>
        </w:sdtContent>
      </w:sdt>
      <w:r w:rsidRPr="00DD1B58">
        <w:rPr>
          <w:lang w:val="en-US"/>
        </w:rPr>
        <w:t xml:space="preserve"> requires that CFNP’s review their “live” Fire Risk Assessments on a 3 yearly/5 yearly (maximum) basis or after any material or structural changes to the building, changes to material usage or storage, or any significant changes in occupancy or workplace practices along with assistance from the BFNP and ensure that the MSC endorses the original and all subsequent revisions to the Fire Risk Assessment.</w:t>
      </w:r>
    </w:p>
    <w:p w14:paraId="07F137FC" w14:textId="367B76A4" w:rsidR="00BF5C2E" w:rsidRPr="00DD1B58" w:rsidRDefault="00BF5C2E" w:rsidP="00BF5C2E">
      <w:pPr>
        <w:rPr>
          <w:lang w:val="en-US"/>
        </w:rPr>
      </w:pPr>
      <w:r w:rsidRPr="00DD1B58">
        <w:rPr>
          <w:lang w:val="en-US"/>
        </w:rPr>
        <w:t xml:space="preserve">SSI 688M </w:t>
      </w:r>
      <w:sdt>
        <w:sdtPr>
          <w:rPr>
            <w:lang w:val="en-US"/>
          </w:rPr>
          <w:id w:val="123511472"/>
          <w:citation/>
        </w:sdtPr>
        <w:sdtContent>
          <w:r w:rsidR="008C0701" w:rsidRPr="00DD1B58">
            <w:rPr>
              <w:lang w:val="en-US"/>
            </w:rPr>
            <w:fldChar w:fldCharType="begin"/>
          </w:r>
          <w:r w:rsidR="008C0701" w:rsidRPr="00DD1B58">
            <w:rPr>
              <w:lang w:val="en-US"/>
            </w:rPr>
            <w:instrText xml:space="preserve"> CITATION SSI5 \l 2057 </w:instrText>
          </w:r>
          <w:r w:rsidR="008C0701" w:rsidRPr="00DD1B58">
            <w:rPr>
              <w:lang w:val="en-US"/>
            </w:rPr>
            <w:fldChar w:fldCharType="separate"/>
          </w:r>
          <w:r w:rsidR="00DF47DA" w:rsidRPr="00DF47DA">
            <w:rPr>
              <w:noProof/>
              <w:lang w:val="en-US"/>
            </w:rPr>
            <w:t>[136]</w:t>
          </w:r>
          <w:r w:rsidR="008C0701" w:rsidRPr="00DD1B58">
            <w:rPr>
              <w:lang w:val="en-US"/>
            </w:rPr>
            <w:fldChar w:fldCharType="end"/>
          </w:r>
        </w:sdtContent>
      </w:sdt>
      <w:r w:rsidRPr="00DD1B58">
        <w:rPr>
          <w:lang w:val="en-US"/>
        </w:rPr>
        <w:t xml:space="preserve"> requires that Flexible Temporary Covering Materials on the Springfields site must, as a minimum be manufactured to conform with Loss Prevention Standard 1207 </w:t>
      </w:r>
      <w:sdt>
        <w:sdtPr>
          <w:rPr>
            <w:lang w:val="en-US"/>
          </w:rPr>
          <w:id w:val="144710960"/>
          <w:citation/>
        </w:sdtPr>
        <w:sdtContent>
          <w:r w:rsidR="006722BC" w:rsidRPr="00DD1B58">
            <w:rPr>
              <w:lang w:val="en-US"/>
            </w:rPr>
            <w:fldChar w:fldCharType="begin"/>
          </w:r>
          <w:r w:rsidR="006722BC" w:rsidRPr="00DD1B58">
            <w:rPr>
              <w:lang w:val="en-US"/>
            </w:rPr>
            <w:instrText xml:space="preserve"> CITATION Los \l 2057 </w:instrText>
          </w:r>
          <w:r w:rsidR="006722BC" w:rsidRPr="00DD1B58">
            <w:rPr>
              <w:lang w:val="en-US"/>
            </w:rPr>
            <w:fldChar w:fldCharType="separate"/>
          </w:r>
          <w:r w:rsidR="00DF47DA" w:rsidRPr="00DF47DA">
            <w:rPr>
              <w:noProof/>
              <w:lang w:val="en-US"/>
            </w:rPr>
            <w:t>[137]</w:t>
          </w:r>
          <w:r w:rsidR="006722BC" w:rsidRPr="00DD1B58">
            <w:rPr>
              <w:lang w:val="en-US"/>
            </w:rPr>
            <w:fldChar w:fldCharType="end"/>
          </w:r>
        </w:sdtContent>
      </w:sdt>
      <w:r w:rsidRPr="00DD1B58">
        <w:rPr>
          <w:lang w:val="en-US"/>
        </w:rPr>
        <w:t xml:space="preserve">; and any flexible temporary covering material used for scaffold cladding must, as a minimum be manufactured to Loss Prevention Standard 1215 </w:t>
      </w:r>
      <w:sdt>
        <w:sdtPr>
          <w:rPr>
            <w:lang w:val="en-US"/>
          </w:rPr>
          <w:id w:val="-15702733"/>
          <w:citation/>
        </w:sdtPr>
        <w:sdtContent>
          <w:r w:rsidR="006722BC" w:rsidRPr="00DD1B58">
            <w:rPr>
              <w:lang w:val="en-US"/>
            </w:rPr>
            <w:fldChar w:fldCharType="begin"/>
          </w:r>
          <w:r w:rsidR="006722BC" w:rsidRPr="00DD1B58">
            <w:rPr>
              <w:lang w:val="en-US"/>
            </w:rPr>
            <w:instrText xml:space="preserve"> CITATION Los1 \l 2057 </w:instrText>
          </w:r>
          <w:r w:rsidR="006722BC" w:rsidRPr="00DD1B58">
            <w:rPr>
              <w:lang w:val="en-US"/>
            </w:rPr>
            <w:fldChar w:fldCharType="separate"/>
          </w:r>
          <w:r w:rsidR="00DF47DA" w:rsidRPr="00DF47DA">
            <w:rPr>
              <w:noProof/>
              <w:lang w:val="en-US"/>
            </w:rPr>
            <w:t>[138]</w:t>
          </w:r>
          <w:r w:rsidR="006722BC" w:rsidRPr="00DD1B58">
            <w:rPr>
              <w:lang w:val="en-US"/>
            </w:rPr>
            <w:fldChar w:fldCharType="end"/>
          </w:r>
        </w:sdtContent>
      </w:sdt>
      <w:r w:rsidRPr="00DD1B58">
        <w:rPr>
          <w:lang w:val="en-US"/>
        </w:rPr>
        <w:t>.</w:t>
      </w:r>
    </w:p>
    <w:p w14:paraId="5684B0E9" w14:textId="409F0291" w:rsidR="00E315FD" w:rsidRPr="00DD1B58" w:rsidRDefault="00FF6E79" w:rsidP="00BF5C2E">
      <w:pPr>
        <w:rPr>
          <w:lang w:val="en-US"/>
        </w:rPr>
      </w:pPr>
      <w:r w:rsidRPr="00DD1B58">
        <w:rPr>
          <w:lang w:val="en-US"/>
        </w:rPr>
        <w:t xml:space="preserve">Springfields Fuels </w:t>
      </w:r>
      <w:r w:rsidR="00BF0D1B" w:rsidRPr="00DD1B58">
        <w:rPr>
          <w:lang w:val="en-US"/>
        </w:rPr>
        <w:t>Ltd</w:t>
      </w:r>
      <w:r w:rsidRPr="00DD1B58">
        <w:rPr>
          <w:lang w:val="en-US"/>
        </w:rPr>
        <w:t xml:space="preserve"> uses the </w:t>
      </w:r>
      <w:r w:rsidR="00BF5C2E" w:rsidRPr="00DD1B58">
        <w:rPr>
          <w:lang w:val="en-US"/>
        </w:rPr>
        <w:t xml:space="preserve">Joint Industry Guide for fire safety on construction sites </w:t>
      </w:r>
      <w:sdt>
        <w:sdtPr>
          <w:rPr>
            <w:lang w:val="en-US"/>
          </w:rPr>
          <w:id w:val="-219135352"/>
          <w:citation/>
        </w:sdtPr>
        <w:sdtContent>
          <w:r w:rsidR="00DE07C8" w:rsidRPr="00DD1B58">
            <w:rPr>
              <w:lang w:val="en-US"/>
            </w:rPr>
            <w:fldChar w:fldCharType="begin"/>
          </w:r>
          <w:r w:rsidR="00DE07C8" w:rsidRPr="00DD1B58">
            <w:rPr>
              <w:lang w:val="en-US"/>
            </w:rPr>
            <w:instrText xml:space="preserve"> CITATION Fir1 \l 2057 </w:instrText>
          </w:r>
          <w:r w:rsidR="00DE07C8" w:rsidRPr="00DD1B58">
            <w:rPr>
              <w:lang w:val="en-US"/>
            </w:rPr>
            <w:fldChar w:fldCharType="separate"/>
          </w:r>
          <w:r w:rsidR="00DF47DA" w:rsidRPr="00DF47DA">
            <w:rPr>
              <w:noProof/>
              <w:lang w:val="en-US"/>
            </w:rPr>
            <w:t>[139]</w:t>
          </w:r>
          <w:r w:rsidR="00DE07C8" w:rsidRPr="00DD1B58">
            <w:rPr>
              <w:lang w:val="en-US"/>
            </w:rPr>
            <w:fldChar w:fldCharType="end"/>
          </w:r>
        </w:sdtContent>
      </w:sdt>
      <w:r w:rsidRPr="00DD1B58">
        <w:rPr>
          <w:lang w:val="en-US"/>
        </w:rPr>
        <w:t>, as a</w:t>
      </w:r>
      <w:r w:rsidR="00BF5C2E" w:rsidRPr="00DD1B58">
        <w:rPr>
          <w:lang w:val="en-US"/>
        </w:rPr>
        <w:t xml:space="preserve">n example of external good practice guidance for construction and decommissioning activities. </w:t>
      </w:r>
      <w:r w:rsidR="004E5DCF" w:rsidRPr="00DD1B58">
        <w:rPr>
          <w:lang w:val="en-US"/>
        </w:rPr>
        <w:t>Springfields Fuels Ltd</w:t>
      </w:r>
      <w:r w:rsidR="004E5DCF" w:rsidRPr="00DD1B58" w:rsidDel="009E7F64">
        <w:rPr>
          <w:lang w:val="en-US"/>
        </w:rPr>
        <w:t xml:space="preserve"> </w:t>
      </w:r>
      <w:r w:rsidR="007376D6" w:rsidRPr="00DD1B58">
        <w:rPr>
          <w:lang w:val="en-US"/>
        </w:rPr>
        <w:t>states that</w:t>
      </w:r>
      <w:r w:rsidR="004E5DCF" w:rsidRPr="00DD1B58">
        <w:rPr>
          <w:lang w:val="en-US"/>
        </w:rPr>
        <w:t xml:space="preserve"> o</w:t>
      </w:r>
      <w:r w:rsidR="00BF5C2E" w:rsidRPr="00DD1B58">
        <w:rPr>
          <w:lang w:val="en-US"/>
        </w:rPr>
        <w:t>ther standards such as Loss Prevention Council (FPA) standards, Factory Mutual (FM) standards are consulted with respect to specific process fire hazards.</w:t>
      </w:r>
      <w:r w:rsidR="004E5DCF" w:rsidRPr="00DD1B58">
        <w:rPr>
          <w:lang w:val="en-US"/>
        </w:rPr>
        <w:t xml:space="preserve"> </w:t>
      </w:r>
    </w:p>
    <w:p w14:paraId="3B83B143" w14:textId="1892D3FF" w:rsidR="00524337" w:rsidRPr="00DD1B58" w:rsidRDefault="00BF5C2E" w:rsidP="00BF5C2E">
      <w:pPr>
        <w:rPr>
          <w:lang w:val="en-US"/>
        </w:rPr>
      </w:pPr>
      <w:r w:rsidRPr="00DD1B58">
        <w:rPr>
          <w:lang w:val="en-US"/>
        </w:rPr>
        <w:t xml:space="preserve">As an example, </w:t>
      </w:r>
      <w:r w:rsidR="004E5DCF" w:rsidRPr="00DD1B58">
        <w:rPr>
          <w:lang w:val="en-US"/>
        </w:rPr>
        <w:t>Springfields Fuels Ltd</w:t>
      </w:r>
      <w:r w:rsidR="004E5DCF" w:rsidRPr="00DD1B58" w:rsidDel="009E7F64">
        <w:rPr>
          <w:lang w:val="en-US"/>
        </w:rPr>
        <w:t xml:space="preserve"> </w:t>
      </w:r>
      <w:r w:rsidR="006D798B" w:rsidRPr="00DD1B58">
        <w:rPr>
          <w:lang w:val="en-US"/>
        </w:rPr>
        <w:t>reports that</w:t>
      </w:r>
      <w:r w:rsidR="004E5DCF" w:rsidRPr="00DD1B58">
        <w:rPr>
          <w:lang w:val="en-US"/>
        </w:rPr>
        <w:t xml:space="preserve"> </w:t>
      </w:r>
      <w:r w:rsidRPr="00DD1B58">
        <w:rPr>
          <w:lang w:val="en-US"/>
        </w:rPr>
        <w:t xml:space="preserve">ablative coatings have been used </w:t>
      </w:r>
      <w:r w:rsidR="004E5DCF" w:rsidRPr="00DD1B58">
        <w:rPr>
          <w:lang w:val="en-US"/>
        </w:rPr>
        <w:t xml:space="preserve">in the oxide fuel production facility </w:t>
      </w:r>
      <w:r w:rsidRPr="00DD1B58">
        <w:rPr>
          <w:lang w:val="en-US"/>
        </w:rPr>
        <w:t>to prevent fire propagation on cables. This was primarily to avoid providing structural protection to unprotected steel in an operational building. In this instance the cables were the primary fire</w:t>
      </w:r>
      <w:r w:rsidR="002F5423" w:rsidRPr="00DD1B58">
        <w:rPr>
          <w:lang w:val="en-US"/>
        </w:rPr>
        <w:t xml:space="preserve"> </w:t>
      </w:r>
      <w:r w:rsidRPr="00DD1B58">
        <w:rPr>
          <w:lang w:val="en-US"/>
        </w:rPr>
        <w:t xml:space="preserve">load and once coated there was no other permanent </w:t>
      </w:r>
      <w:r w:rsidR="002757A5" w:rsidRPr="00DD1B58">
        <w:rPr>
          <w:lang w:val="en-US"/>
        </w:rPr>
        <w:t xml:space="preserve">or transient </w:t>
      </w:r>
      <w:r w:rsidRPr="00DD1B58">
        <w:rPr>
          <w:lang w:val="en-US"/>
        </w:rPr>
        <w:t>fire</w:t>
      </w:r>
      <w:r w:rsidR="002F5423" w:rsidRPr="00DD1B58">
        <w:rPr>
          <w:lang w:val="en-US"/>
        </w:rPr>
        <w:t xml:space="preserve"> </w:t>
      </w:r>
      <w:r w:rsidRPr="00DD1B58">
        <w:rPr>
          <w:lang w:val="en-US"/>
        </w:rPr>
        <w:t>load in the vicinity that could result in a failure of the ablative paint and subsequent involvement of the cables.</w:t>
      </w:r>
      <w:r w:rsidR="002757A5" w:rsidRPr="00DD1B58">
        <w:rPr>
          <w:lang w:val="en-US"/>
        </w:rPr>
        <w:t xml:space="preserve"> </w:t>
      </w:r>
      <w:r w:rsidR="00134292" w:rsidRPr="00DD1B58">
        <w:rPr>
          <w:lang w:val="en-US"/>
        </w:rPr>
        <w:t>Springfields Fuels Ltd</w:t>
      </w:r>
      <w:r w:rsidR="002757A5" w:rsidRPr="00DD1B58">
        <w:rPr>
          <w:lang w:val="en-US"/>
        </w:rPr>
        <w:t xml:space="preserve"> </w:t>
      </w:r>
      <w:r w:rsidR="006D798B" w:rsidRPr="00DD1B58">
        <w:rPr>
          <w:lang w:val="en-US"/>
        </w:rPr>
        <w:t>reports that</w:t>
      </w:r>
      <w:r w:rsidR="002757A5" w:rsidRPr="00DD1B58">
        <w:rPr>
          <w:lang w:val="en-US"/>
        </w:rPr>
        <w:t xml:space="preserve"> abl</w:t>
      </w:r>
      <w:r w:rsidRPr="00DD1B58">
        <w:rPr>
          <w:lang w:val="en-US"/>
        </w:rPr>
        <w:t>ative coatings are examined as part of COSR reviews where any damaged coatings would be identified and rectified</w:t>
      </w:r>
      <w:r w:rsidR="002F5423" w:rsidRPr="00DD1B58">
        <w:rPr>
          <w:lang w:val="en-US"/>
        </w:rPr>
        <w:t>.</w:t>
      </w:r>
    </w:p>
    <w:p w14:paraId="46343048" w14:textId="77777777" w:rsidR="00733AEF" w:rsidRPr="00DD1B58" w:rsidRDefault="00733AEF" w:rsidP="00BF5C2E">
      <w:pPr>
        <w:rPr>
          <w:b/>
          <w:lang w:val="en-US"/>
        </w:rPr>
      </w:pPr>
      <w:r w:rsidRPr="00DD1B58">
        <w:rPr>
          <w:b/>
          <w:lang w:val="en-US"/>
        </w:rPr>
        <w:t>Control and Storage of Flammable Liquids and Gases</w:t>
      </w:r>
    </w:p>
    <w:p w14:paraId="5B2D04EF" w14:textId="064BB64B" w:rsidR="00F11096" w:rsidRPr="00DD1B58" w:rsidRDefault="003921A8" w:rsidP="00F11096">
      <w:pPr>
        <w:rPr>
          <w:lang w:val="en-US"/>
        </w:rPr>
      </w:pPr>
      <w:r w:rsidRPr="00DD1B58">
        <w:rPr>
          <w:lang w:val="en-US"/>
        </w:rPr>
        <w:t xml:space="preserve">Springfields Fuels </w:t>
      </w:r>
      <w:r w:rsidR="00BF0D1B" w:rsidRPr="00DD1B58">
        <w:rPr>
          <w:lang w:val="en-US"/>
        </w:rPr>
        <w:t>Ltd</w:t>
      </w:r>
      <w:r w:rsidRPr="00DD1B58">
        <w:rPr>
          <w:lang w:val="en-US"/>
        </w:rPr>
        <w:t xml:space="preserve"> stores f</w:t>
      </w:r>
      <w:r w:rsidR="00F11096" w:rsidRPr="00DD1B58">
        <w:rPr>
          <w:lang w:val="en-US"/>
        </w:rPr>
        <w:t xml:space="preserve">lammable and highly flammable liquids and gases including aerosols </w:t>
      </w:r>
      <w:r w:rsidRPr="00DD1B58">
        <w:rPr>
          <w:lang w:val="en-US"/>
        </w:rPr>
        <w:t xml:space="preserve">in </w:t>
      </w:r>
      <w:r w:rsidR="00F11096" w:rsidRPr="00DD1B58">
        <w:rPr>
          <w:lang w:val="en-US"/>
        </w:rPr>
        <w:t>proprietary fire safe COSHH cabinets located within plant areas.</w:t>
      </w:r>
    </w:p>
    <w:p w14:paraId="6923294D" w14:textId="77777777" w:rsidR="00733AEF" w:rsidRPr="00DD1B58" w:rsidRDefault="00F11096" w:rsidP="00F11096">
      <w:pPr>
        <w:rPr>
          <w:lang w:val="en-US"/>
        </w:rPr>
      </w:pPr>
      <w:r w:rsidRPr="00DD1B58">
        <w:rPr>
          <w:lang w:val="en-US"/>
        </w:rPr>
        <w:t>Acetone is used for cleaning new fuel assemblies in the oxide fuel fabrication facility. Acetone supplies are held in 2.5 litre bottles in a metal cupboard in the component preparation room. Elsewhere in the plant, acetone is held in approximately 2 litre metal containers with a plunger dispensing system which allows wetting of cleaning wipes. When not in use containers are returned to COSHH cabinets.</w:t>
      </w:r>
    </w:p>
    <w:p w14:paraId="04F45F12" w14:textId="77777777" w:rsidR="00CB53E6" w:rsidRPr="00DD1B58" w:rsidRDefault="00CB53E6" w:rsidP="00CB53E6">
      <w:pPr>
        <w:rPr>
          <w:lang w:val="en-US"/>
        </w:rPr>
      </w:pPr>
      <w:r w:rsidRPr="00DD1B58">
        <w:rPr>
          <w:lang w:val="en-US"/>
        </w:rPr>
        <w:t>Flammable gases e.g., those used as part of the fuel making process are stored in an open fronted weather protected enclosure at one end of the oxide fuel fabrication facility. Elsewhere e.g., for laboratories flammable gases are stored in purpose-built weather protected enclosures outside buildings.</w:t>
      </w:r>
      <w:r w:rsidR="00415533" w:rsidRPr="00DD1B58">
        <w:rPr>
          <w:lang w:val="en-US"/>
        </w:rPr>
        <w:t xml:space="preserve"> </w:t>
      </w:r>
      <w:r w:rsidRPr="00DD1B58">
        <w:rPr>
          <w:lang w:val="en-US"/>
        </w:rPr>
        <w:t>Flammable gases are kept separate from oxidising gases.</w:t>
      </w:r>
      <w:r w:rsidR="00415533" w:rsidRPr="00DD1B58">
        <w:rPr>
          <w:lang w:val="en-US"/>
        </w:rPr>
        <w:t xml:space="preserve"> </w:t>
      </w:r>
      <w:r w:rsidRPr="00DD1B58">
        <w:rPr>
          <w:lang w:val="en-US"/>
        </w:rPr>
        <w:t>The use of acetylene fuel gas on the Springfields site is subject to restriction.</w:t>
      </w:r>
    </w:p>
    <w:p w14:paraId="2DEFDED3" w14:textId="42973024" w:rsidR="00CB53E6" w:rsidRPr="00DD1B58" w:rsidRDefault="00C15F94" w:rsidP="00CB53E6">
      <w:pPr>
        <w:rPr>
          <w:lang w:val="en-US"/>
        </w:rPr>
      </w:pPr>
      <w:r w:rsidRPr="00DD1B58">
        <w:rPr>
          <w:lang w:val="en-US"/>
        </w:rPr>
        <w:t xml:space="preserve">Springfields Fuels </w:t>
      </w:r>
      <w:r w:rsidR="00BF0D1B" w:rsidRPr="00DD1B58">
        <w:rPr>
          <w:lang w:val="en-US"/>
        </w:rPr>
        <w:t>Ltd</w:t>
      </w:r>
      <w:r w:rsidRPr="00DD1B58">
        <w:rPr>
          <w:lang w:val="en-US"/>
        </w:rPr>
        <w:t xml:space="preserve"> </w:t>
      </w:r>
      <w:r w:rsidR="00792764" w:rsidRPr="00DD1B58">
        <w:rPr>
          <w:lang w:val="en-US"/>
        </w:rPr>
        <w:t>reports</w:t>
      </w:r>
      <w:r w:rsidRPr="00DD1B58">
        <w:rPr>
          <w:lang w:val="en-US"/>
        </w:rPr>
        <w:t xml:space="preserve"> that a</w:t>
      </w:r>
      <w:r w:rsidR="00CB53E6" w:rsidRPr="00DD1B58">
        <w:rPr>
          <w:lang w:val="en-US"/>
        </w:rPr>
        <w:t>ny areas where flammable gases e.g., hydrogen are produced during battery charging are subject to a DSEAR assessment. Areas where ammonia is used as part of the process are</w:t>
      </w:r>
      <w:r w:rsidRPr="00DD1B58">
        <w:rPr>
          <w:lang w:val="en-US"/>
        </w:rPr>
        <w:t xml:space="preserve"> also</w:t>
      </w:r>
      <w:r w:rsidR="00CB53E6" w:rsidRPr="00DD1B58">
        <w:rPr>
          <w:lang w:val="en-US"/>
        </w:rPr>
        <w:t xml:space="preserve"> subject to a DSEAR assessment. </w:t>
      </w:r>
      <w:r w:rsidRPr="00DD1B58">
        <w:rPr>
          <w:lang w:val="en-US"/>
        </w:rPr>
        <w:t xml:space="preserve">Springfields Fuels </w:t>
      </w:r>
      <w:r w:rsidR="00BF0D1B" w:rsidRPr="00DD1B58">
        <w:rPr>
          <w:lang w:val="en-US"/>
        </w:rPr>
        <w:t>Ltd</w:t>
      </w:r>
      <w:r w:rsidRPr="00DD1B58">
        <w:rPr>
          <w:lang w:val="en-US"/>
        </w:rPr>
        <w:t xml:space="preserve"> </w:t>
      </w:r>
      <w:r w:rsidR="007376D6" w:rsidRPr="00DD1B58">
        <w:rPr>
          <w:lang w:val="en-US"/>
        </w:rPr>
        <w:t>states that</w:t>
      </w:r>
      <w:r w:rsidRPr="00DD1B58">
        <w:rPr>
          <w:lang w:val="en-US"/>
        </w:rPr>
        <w:t xml:space="preserve"> a</w:t>
      </w:r>
      <w:r w:rsidR="00CB53E6" w:rsidRPr="00DD1B58">
        <w:rPr>
          <w:lang w:val="en-US"/>
        </w:rPr>
        <w:t xml:space="preserve"> hazardous area classification (HAC) paper is produced for each relevant building.</w:t>
      </w:r>
    </w:p>
    <w:p w14:paraId="664421B6" w14:textId="77777777" w:rsidR="00CB53E6" w:rsidRPr="00DD1B58" w:rsidRDefault="00CB53E6" w:rsidP="00CB53E6">
      <w:pPr>
        <w:rPr>
          <w:lang w:val="en-US"/>
        </w:rPr>
      </w:pPr>
      <w:r w:rsidRPr="00DD1B58">
        <w:rPr>
          <w:lang w:val="en-US"/>
        </w:rPr>
        <w:t>Hydrogen is used in reduction furnaces for the reduction of U</w:t>
      </w:r>
      <w:r w:rsidRPr="00DD1B58">
        <w:rPr>
          <w:vertAlign w:val="subscript"/>
          <w:lang w:val="en-US"/>
        </w:rPr>
        <w:t>3</w:t>
      </w:r>
      <w:r w:rsidRPr="00DD1B58">
        <w:rPr>
          <w:lang w:val="en-US"/>
        </w:rPr>
        <w:t>O</w:t>
      </w:r>
      <w:r w:rsidRPr="00DD1B58">
        <w:rPr>
          <w:vertAlign w:val="subscript"/>
          <w:lang w:val="en-US"/>
        </w:rPr>
        <w:t>8</w:t>
      </w:r>
      <w:r w:rsidRPr="00DD1B58">
        <w:rPr>
          <w:lang w:val="en-US"/>
        </w:rPr>
        <w:t xml:space="preserve"> to UO</w:t>
      </w:r>
      <w:r w:rsidRPr="00DD1B58">
        <w:rPr>
          <w:vertAlign w:val="subscript"/>
          <w:lang w:val="en-US"/>
        </w:rPr>
        <w:t>2</w:t>
      </w:r>
      <w:r w:rsidRPr="00DD1B58">
        <w:rPr>
          <w:lang w:val="en-US"/>
        </w:rPr>
        <w:t xml:space="preserve"> and for producing fuel pellets. Nitrogen inerting is used to prevent ignition in the furnaces. Furnaces are purged with nitrogen before admitting hydrogen. e.g., in EURRP safety measures include Nitrogen purge integrator/interlocks to prevent the opening of the hydrogen supply valves until the initial purge has reduced the furnace atmosphere to less than 1% v/v oxygen and an additional 0.5m</w:t>
      </w:r>
      <w:r w:rsidRPr="00DD1B58">
        <w:rPr>
          <w:vertAlign w:val="superscript"/>
          <w:lang w:val="en-US"/>
        </w:rPr>
        <w:t>3</w:t>
      </w:r>
      <w:r w:rsidRPr="00DD1B58">
        <w:rPr>
          <w:lang w:val="en-US"/>
        </w:rPr>
        <w:t xml:space="preserve"> of nitrogen has been fed to the furnace. A second safety measure is provided by temperature trips to initiate a nitrogen purge if the temperature is below the autoignition temperature of hydrogen. If a high temperature within a furnace is detected by any one of eight independent temperature trips an inerting supply of nitrogen to the furnace is initiated.</w:t>
      </w:r>
    </w:p>
    <w:p w14:paraId="5ECE33E2" w14:textId="7CF99B0C" w:rsidR="00CB53E6" w:rsidRPr="00DD1B58" w:rsidRDefault="00CB53E6" w:rsidP="00CB53E6">
      <w:pPr>
        <w:rPr>
          <w:lang w:val="en-US"/>
        </w:rPr>
      </w:pPr>
      <w:r w:rsidRPr="00DD1B58">
        <w:rPr>
          <w:lang w:val="en-US"/>
        </w:rPr>
        <w:t xml:space="preserve">There is some storage of zircalloy swarf in water in steel drums that has the potential to generate small amounts of hydrogen. </w:t>
      </w:r>
      <w:r w:rsidR="00134292" w:rsidRPr="00DD1B58">
        <w:rPr>
          <w:lang w:val="en-US"/>
        </w:rPr>
        <w:t>Springfields Fuels Ltd</w:t>
      </w:r>
      <w:r w:rsidR="00CD3ACA" w:rsidRPr="00DD1B58">
        <w:rPr>
          <w:lang w:val="en-US"/>
        </w:rPr>
        <w:t xml:space="preserve"> keeps the </w:t>
      </w:r>
      <w:r w:rsidRPr="00DD1B58">
        <w:rPr>
          <w:lang w:val="en-US"/>
        </w:rPr>
        <w:t>drums in a ventilated steel ISO freight container on one of the external storage rafts remote from any building.</w:t>
      </w:r>
    </w:p>
    <w:p w14:paraId="27A94D1B" w14:textId="77777777" w:rsidR="00CB53E6" w:rsidRPr="00DD1B58" w:rsidRDefault="00CB53E6" w:rsidP="00CB53E6">
      <w:pPr>
        <w:rPr>
          <w:lang w:val="en-US"/>
        </w:rPr>
      </w:pPr>
      <w:r w:rsidRPr="00DD1B58">
        <w:rPr>
          <w:lang w:val="en-US"/>
        </w:rPr>
        <w:t>TBP/OK is used as part of a process in EURPP. TBP/OK is a combustible liquid with a flashpoint of 72</w:t>
      </w:r>
      <w:r w:rsidRPr="00DD1B58">
        <w:rPr>
          <w:vertAlign w:val="superscript"/>
          <w:lang w:val="en-US"/>
        </w:rPr>
        <w:t>o</w:t>
      </w:r>
      <w:r w:rsidRPr="00DD1B58">
        <w:rPr>
          <w:lang w:val="en-US"/>
        </w:rPr>
        <w:t>C. The areas where TBP/OK is used are covered by a foam water spray suppression.</w:t>
      </w:r>
      <w:r w:rsidR="00415533" w:rsidRPr="00DD1B58">
        <w:rPr>
          <w:lang w:val="en-US"/>
        </w:rPr>
        <w:t xml:space="preserve"> </w:t>
      </w:r>
      <w:r w:rsidRPr="00DD1B58">
        <w:rPr>
          <w:lang w:val="en-US"/>
        </w:rPr>
        <w:t>Oxidisers are used in certain processes such as 60 % Nitric acid and Hydrogen peroxide 35%.</w:t>
      </w:r>
      <w:r w:rsidR="00415533" w:rsidRPr="00DD1B58">
        <w:rPr>
          <w:lang w:val="en-US"/>
        </w:rPr>
        <w:t xml:space="preserve"> </w:t>
      </w:r>
      <w:r w:rsidRPr="00DD1B58">
        <w:rPr>
          <w:lang w:val="en-US"/>
        </w:rPr>
        <w:t>Nitric acid within buildings is contained in robust tanks and pipework within bunds to contain any leakage.</w:t>
      </w:r>
    </w:p>
    <w:p w14:paraId="24FFBCC8" w14:textId="7A4C75AB" w:rsidR="00CB53E6" w:rsidRPr="00DD1B58" w:rsidRDefault="00663C66" w:rsidP="00CB53E6">
      <w:pPr>
        <w:rPr>
          <w:lang w:val="en-US"/>
        </w:rPr>
      </w:pPr>
      <w:r w:rsidRPr="00DD1B58">
        <w:rPr>
          <w:lang w:val="en-US"/>
        </w:rPr>
        <w:t xml:space="preserve">Springfields Fuels </w:t>
      </w:r>
      <w:r w:rsidR="00BF0D1B" w:rsidRPr="00DD1B58">
        <w:rPr>
          <w:lang w:val="en-US"/>
        </w:rPr>
        <w:t>Ltd</w:t>
      </w:r>
      <w:r w:rsidRPr="00DD1B58">
        <w:rPr>
          <w:lang w:val="en-US"/>
        </w:rPr>
        <w:t xml:space="preserve"> places r</w:t>
      </w:r>
      <w:r w:rsidR="00CB53E6" w:rsidRPr="00DD1B58">
        <w:rPr>
          <w:lang w:val="en-US"/>
        </w:rPr>
        <w:t>eliance on good housekeeping practices to ensure that any leakages of oxidising agents do not come into contact with organic materials.</w:t>
      </w:r>
      <w:r w:rsidR="00415533" w:rsidRPr="00DD1B58">
        <w:rPr>
          <w:lang w:val="en-US"/>
        </w:rPr>
        <w:t xml:space="preserve"> </w:t>
      </w:r>
      <w:r w:rsidRPr="00DD1B58">
        <w:rPr>
          <w:lang w:val="en-US"/>
        </w:rPr>
        <w:t xml:space="preserve">Springfields Fuels </w:t>
      </w:r>
      <w:r w:rsidR="00BF0D1B" w:rsidRPr="00DD1B58">
        <w:rPr>
          <w:lang w:val="en-US"/>
        </w:rPr>
        <w:t>Ltd</w:t>
      </w:r>
      <w:r w:rsidRPr="00DD1B58">
        <w:rPr>
          <w:lang w:val="en-US"/>
        </w:rPr>
        <w:t xml:space="preserve"> reviews s</w:t>
      </w:r>
      <w:r w:rsidR="00CB53E6" w:rsidRPr="00DD1B58">
        <w:rPr>
          <w:lang w:val="en-US"/>
        </w:rPr>
        <w:t xml:space="preserve">torage locations and arrangements as part of any PMP raised that involves relocating existing storage arrangements, creating new storage arrangements, or bringing new flammable liquids or gases onto the Springfields site. Bulk hydrogen is supplied as compressed hydrogen in tube trailers and the trailer parked in an open area on site. Hydrogen is drawn directly from storage and supplied by pipework on pipebridges to buildings throughout the site. The hazards associated with hydrogen storage are addressed in SAG R198 </w:t>
      </w:r>
      <w:sdt>
        <w:sdtPr>
          <w:rPr>
            <w:lang w:val="en-US"/>
          </w:rPr>
          <w:id w:val="1653870215"/>
          <w:citation/>
        </w:sdtPr>
        <w:sdtContent>
          <w:r w:rsidR="00E75D19" w:rsidRPr="00DD1B58">
            <w:rPr>
              <w:lang w:val="en-US"/>
            </w:rPr>
            <w:fldChar w:fldCharType="begin"/>
          </w:r>
          <w:r w:rsidR="00E75D19" w:rsidRPr="00DD1B58">
            <w:rPr>
              <w:lang w:val="en-US"/>
            </w:rPr>
            <w:instrText xml:space="preserve"> CITATION SAG \l 2057 </w:instrText>
          </w:r>
          <w:r w:rsidR="00E75D19" w:rsidRPr="00DD1B58">
            <w:rPr>
              <w:lang w:val="en-US"/>
            </w:rPr>
            <w:fldChar w:fldCharType="separate"/>
          </w:r>
          <w:r w:rsidR="00DF47DA" w:rsidRPr="00DF47DA">
            <w:rPr>
              <w:noProof/>
              <w:lang w:val="en-US"/>
            </w:rPr>
            <w:t>[74]</w:t>
          </w:r>
          <w:r w:rsidR="00E75D19" w:rsidRPr="00DD1B58">
            <w:rPr>
              <w:lang w:val="en-US"/>
            </w:rPr>
            <w:fldChar w:fldCharType="end"/>
          </w:r>
        </w:sdtContent>
      </w:sdt>
      <w:r w:rsidR="00CB53E6" w:rsidRPr="00DD1B58">
        <w:rPr>
          <w:lang w:val="en-US"/>
        </w:rPr>
        <w:t xml:space="preserve"> Appendix D.</w:t>
      </w:r>
    </w:p>
    <w:p w14:paraId="01FA1270" w14:textId="463AFBF5" w:rsidR="00CB53E6" w:rsidRPr="00DD1B58" w:rsidRDefault="00CB53E6" w:rsidP="00CB53E6">
      <w:pPr>
        <w:rPr>
          <w:lang w:val="en-US"/>
        </w:rPr>
      </w:pPr>
      <w:r w:rsidRPr="00DD1B58">
        <w:rPr>
          <w:lang w:val="en-US"/>
        </w:rPr>
        <w:t xml:space="preserve">Sources of good practice include HSE guidance; </w:t>
      </w:r>
      <w:sdt>
        <w:sdtPr>
          <w:rPr>
            <w:lang w:val="en-US"/>
          </w:rPr>
          <w:id w:val="-1581357798"/>
          <w:citation/>
        </w:sdtPr>
        <w:sdtContent>
          <w:r w:rsidR="00FB2B11" w:rsidRPr="00DD1B58">
            <w:rPr>
              <w:lang w:val="en-US"/>
            </w:rPr>
            <w:fldChar w:fldCharType="begin"/>
          </w:r>
          <w:r w:rsidR="00783586" w:rsidRPr="00DD1B58">
            <w:rPr>
              <w:lang w:val="en-US"/>
            </w:rPr>
            <w:instrText xml:space="preserve">CITATION HSG \l 2057 </w:instrText>
          </w:r>
          <w:r w:rsidR="00FB2B11" w:rsidRPr="00DD1B58">
            <w:rPr>
              <w:lang w:val="en-US"/>
            </w:rPr>
            <w:fldChar w:fldCharType="separate"/>
          </w:r>
          <w:r w:rsidR="00DF47DA" w:rsidRPr="00DF47DA">
            <w:rPr>
              <w:noProof/>
              <w:lang w:val="en-US"/>
            </w:rPr>
            <w:t>[140]</w:t>
          </w:r>
          <w:r w:rsidR="00FB2B11" w:rsidRPr="00DD1B58">
            <w:rPr>
              <w:lang w:val="en-US"/>
            </w:rPr>
            <w:fldChar w:fldCharType="end"/>
          </w:r>
        </w:sdtContent>
      </w:sdt>
      <w:r w:rsidRPr="00DD1B58">
        <w:rPr>
          <w:lang w:val="en-US"/>
        </w:rPr>
        <w:t xml:space="preserve">, </w:t>
      </w:r>
      <w:sdt>
        <w:sdtPr>
          <w:rPr>
            <w:lang w:val="en-US"/>
          </w:rPr>
          <w:id w:val="551736307"/>
          <w:citation/>
        </w:sdtPr>
        <w:sdtContent>
          <w:r w:rsidR="00FB2B11" w:rsidRPr="00DD1B58">
            <w:rPr>
              <w:lang w:val="en-US"/>
            </w:rPr>
            <w:fldChar w:fldCharType="begin"/>
          </w:r>
          <w:r w:rsidR="00783586" w:rsidRPr="00DD1B58">
            <w:rPr>
              <w:lang w:val="en-US"/>
            </w:rPr>
            <w:instrText xml:space="preserve">CITATION HSG1 \l 2057 </w:instrText>
          </w:r>
          <w:r w:rsidR="00FB2B11" w:rsidRPr="00DD1B58">
            <w:rPr>
              <w:lang w:val="en-US"/>
            </w:rPr>
            <w:fldChar w:fldCharType="separate"/>
          </w:r>
          <w:r w:rsidR="00DF47DA" w:rsidRPr="00DF47DA">
            <w:rPr>
              <w:noProof/>
              <w:lang w:val="en-US"/>
            </w:rPr>
            <w:t>[141]</w:t>
          </w:r>
          <w:r w:rsidR="00FB2B11" w:rsidRPr="00DD1B58">
            <w:rPr>
              <w:lang w:val="en-US"/>
            </w:rPr>
            <w:fldChar w:fldCharType="end"/>
          </w:r>
        </w:sdtContent>
      </w:sdt>
      <w:r w:rsidRPr="00DD1B58">
        <w:rPr>
          <w:lang w:val="en-US"/>
        </w:rPr>
        <w:t xml:space="preserve">; BCGA guides GN3 </w:t>
      </w:r>
      <w:sdt>
        <w:sdtPr>
          <w:rPr>
            <w:lang w:val="en-US"/>
          </w:rPr>
          <w:id w:val="812443451"/>
          <w:citation/>
        </w:sdtPr>
        <w:sdtContent>
          <w:r w:rsidR="001E5526" w:rsidRPr="00DD1B58">
            <w:rPr>
              <w:lang w:val="en-US"/>
            </w:rPr>
            <w:fldChar w:fldCharType="begin"/>
          </w:r>
          <w:r w:rsidR="001E5526" w:rsidRPr="00DD1B58">
            <w:rPr>
              <w:lang w:val="en-US"/>
            </w:rPr>
            <w:instrText xml:space="preserve"> CITATION BCG \l 2057 </w:instrText>
          </w:r>
          <w:r w:rsidR="001E5526" w:rsidRPr="00DD1B58">
            <w:rPr>
              <w:lang w:val="en-US"/>
            </w:rPr>
            <w:fldChar w:fldCharType="separate"/>
          </w:r>
          <w:r w:rsidR="00DF47DA" w:rsidRPr="00DF47DA">
            <w:rPr>
              <w:noProof/>
              <w:lang w:val="en-US"/>
            </w:rPr>
            <w:t>[142]</w:t>
          </w:r>
          <w:r w:rsidR="001E5526" w:rsidRPr="00DD1B58">
            <w:rPr>
              <w:lang w:val="en-US"/>
            </w:rPr>
            <w:fldChar w:fldCharType="end"/>
          </w:r>
        </w:sdtContent>
      </w:sdt>
      <w:r w:rsidRPr="00DD1B58">
        <w:rPr>
          <w:lang w:val="en-US"/>
        </w:rPr>
        <w:t xml:space="preserve">, GN11 </w:t>
      </w:r>
      <w:sdt>
        <w:sdtPr>
          <w:rPr>
            <w:lang w:val="en-US"/>
          </w:rPr>
          <w:id w:val="1059056996"/>
          <w:citation/>
        </w:sdtPr>
        <w:sdtContent>
          <w:r w:rsidR="001E5526" w:rsidRPr="00DD1B58">
            <w:rPr>
              <w:lang w:val="en-US"/>
            </w:rPr>
            <w:fldChar w:fldCharType="begin"/>
          </w:r>
          <w:r w:rsidR="001E5526" w:rsidRPr="00DD1B58">
            <w:rPr>
              <w:lang w:val="en-US"/>
            </w:rPr>
            <w:instrText xml:space="preserve"> CITATION BCG1 \l 2057 </w:instrText>
          </w:r>
          <w:r w:rsidR="001E5526" w:rsidRPr="00DD1B58">
            <w:rPr>
              <w:lang w:val="en-US"/>
            </w:rPr>
            <w:fldChar w:fldCharType="separate"/>
          </w:r>
          <w:r w:rsidR="00DF47DA" w:rsidRPr="00DF47DA">
            <w:rPr>
              <w:noProof/>
              <w:lang w:val="en-US"/>
            </w:rPr>
            <w:t>[143]</w:t>
          </w:r>
          <w:r w:rsidR="001E5526" w:rsidRPr="00DD1B58">
            <w:rPr>
              <w:lang w:val="en-US"/>
            </w:rPr>
            <w:fldChar w:fldCharType="end"/>
          </w:r>
        </w:sdtContent>
      </w:sdt>
      <w:r w:rsidRPr="00DD1B58">
        <w:rPr>
          <w:lang w:val="en-US"/>
        </w:rPr>
        <w:t xml:space="preserve">, GN13 </w:t>
      </w:r>
      <w:sdt>
        <w:sdtPr>
          <w:rPr>
            <w:lang w:val="en-US"/>
          </w:rPr>
          <w:id w:val="1475948343"/>
          <w:citation/>
        </w:sdtPr>
        <w:sdtContent>
          <w:r w:rsidR="00A23A1E" w:rsidRPr="00DD1B58">
            <w:rPr>
              <w:lang w:val="en-US"/>
            </w:rPr>
            <w:fldChar w:fldCharType="begin"/>
          </w:r>
          <w:r w:rsidR="00A23A1E" w:rsidRPr="00DD1B58">
            <w:rPr>
              <w:lang w:val="en-US"/>
            </w:rPr>
            <w:instrText xml:space="preserve"> CITATION BCG2 \l 2057 </w:instrText>
          </w:r>
          <w:r w:rsidR="00A23A1E" w:rsidRPr="00DD1B58">
            <w:rPr>
              <w:lang w:val="en-US"/>
            </w:rPr>
            <w:fldChar w:fldCharType="separate"/>
          </w:r>
          <w:r w:rsidR="00DF47DA" w:rsidRPr="00DF47DA">
            <w:rPr>
              <w:noProof/>
              <w:lang w:val="en-US"/>
            </w:rPr>
            <w:t>[144]</w:t>
          </w:r>
          <w:r w:rsidR="00A23A1E" w:rsidRPr="00DD1B58">
            <w:rPr>
              <w:lang w:val="en-US"/>
            </w:rPr>
            <w:fldChar w:fldCharType="end"/>
          </w:r>
        </w:sdtContent>
      </w:sdt>
      <w:r w:rsidRPr="00DD1B58">
        <w:rPr>
          <w:lang w:val="en-US"/>
        </w:rPr>
        <w:t xml:space="preserve">, GN41 </w:t>
      </w:r>
      <w:sdt>
        <w:sdtPr>
          <w:rPr>
            <w:lang w:val="en-US"/>
          </w:rPr>
          <w:id w:val="1861162161"/>
          <w:citation/>
        </w:sdtPr>
        <w:sdtContent>
          <w:r w:rsidR="00A23A1E" w:rsidRPr="00DD1B58">
            <w:rPr>
              <w:lang w:val="en-US"/>
            </w:rPr>
            <w:fldChar w:fldCharType="begin"/>
          </w:r>
          <w:r w:rsidR="00A23A1E" w:rsidRPr="00DD1B58">
            <w:rPr>
              <w:lang w:val="en-US"/>
            </w:rPr>
            <w:instrText xml:space="preserve"> CITATION BCG3 \l 2057 </w:instrText>
          </w:r>
          <w:r w:rsidR="00A23A1E" w:rsidRPr="00DD1B58">
            <w:rPr>
              <w:lang w:val="en-US"/>
            </w:rPr>
            <w:fldChar w:fldCharType="separate"/>
          </w:r>
          <w:r w:rsidR="00DF47DA" w:rsidRPr="00DF47DA">
            <w:rPr>
              <w:noProof/>
              <w:lang w:val="en-US"/>
            </w:rPr>
            <w:t>[145]</w:t>
          </w:r>
          <w:r w:rsidR="00A23A1E" w:rsidRPr="00DD1B58">
            <w:rPr>
              <w:lang w:val="en-US"/>
            </w:rPr>
            <w:fldChar w:fldCharType="end"/>
          </w:r>
        </w:sdtContent>
      </w:sdt>
      <w:r w:rsidRPr="00DD1B58">
        <w:rPr>
          <w:lang w:val="en-US"/>
        </w:rPr>
        <w:t xml:space="preserve">, GN44 </w:t>
      </w:r>
      <w:sdt>
        <w:sdtPr>
          <w:rPr>
            <w:lang w:val="en-US"/>
          </w:rPr>
          <w:id w:val="1053429042"/>
          <w:citation/>
        </w:sdtPr>
        <w:sdtContent>
          <w:r w:rsidR="00A23A1E" w:rsidRPr="00DD1B58">
            <w:rPr>
              <w:lang w:val="en-US"/>
            </w:rPr>
            <w:fldChar w:fldCharType="begin"/>
          </w:r>
          <w:r w:rsidR="00A23A1E" w:rsidRPr="00DD1B58">
            <w:rPr>
              <w:lang w:val="en-US"/>
            </w:rPr>
            <w:instrText xml:space="preserve"> CITATION BCG4 \l 2057 </w:instrText>
          </w:r>
          <w:r w:rsidR="00A23A1E" w:rsidRPr="00DD1B58">
            <w:rPr>
              <w:lang w:val="en-US"/>
            </w:rPr>
            <w:fldChar w:fldCharType="separate"/>
          </w:r>
          <w:r w:rsidR="00DF47DA" w:rsidRPr="00DF47DA">
            <w:rPr>
              <w:noProof/>
              <w:lang w:val="en-US"/>
            </w:rPr>
            <w:t>[146]</w:t>
          </w:r>
          <w:r w:rsidR="00A23A1E" w:rsidRPr="00DD1B58">
            <w:rPr>
              <w:lang w:val="en-US"/>
            </w:rPr>
            <w:fldChar w:fldCharType="end"/>
          </w:r>
        </w:sdtContent>
      </w:sdt>
      <w:r w:rsidRPr="00DD1B58">
        <w:rPr>
          <w:lang w:val="en-US"/>
        </w:rPr>
        <w:t xml:space="preserve"> and NFPA30 </w:t>
      </w:r>
      <w:sdt>
        <w:sdtPr>
          <w:rPr>
            <w:lang w:val="en-US"/>
          </w:rPr>
          <w:id w:val="-615066085"/>
          <w:citation/>
        </w:sdtPr>
        <w:sdtContent>
          <w:r w:rsidR="00A23A1E" w:rsidRPr="00DD1B58">
            <w:rPr>
              <w:lang w:val="en-US"/>
            </w:rPr>
            <w:fldChar w:fldCharType="begin"/>
          </w:r>
          <w:r w:rsidR="00A23A1E" w:rsidRPr="00DD1B58">
            <w:rPr>
              <w:lang w:val="en-US"/>
            </w:rPr>
            <w:instrText xml:space="preserve"> CITATION NFP1 \l 2057 </w:instrText>
          </w:r>
          <w:r w:rsidR="00A23A1E" w:rsidRPr="00DD1B58">
            <w:rPr>
              <w:lang w:val="en-US"/>
            </w:rPr>
            <w:fldChar w:fldCharType="separate"/>
          </w:r>
          <w:r w:rsidR="00DF47DA" w:rsidRPr="00DF47DA">
            <w:rPr>
              <w:noProof/>
              <w:lang w:val="en-US"/>
            </w:rPr>
            <w:t>[147]</w:t>
          </w:r>
          <w:r w:rsidR="00A23A1E" w:rsidRPr="00DD1B58">
            <w:rPr>
              <w:lang w:val="en-US"/>
            </w:rPr>
            <w:fldChar w:fldCharType="end"/>
          </w:r>
        </w:sdtContent>
      </w:sdt>
      <w:r w:rsidRPr="00DD1B58">
        <w:rPr>
          <w:lang w:val="en-US"/>
        </w:rPr>
        <w:t>.</w:t>
      </w:r>
    </w:p>
    <w:p w14:paraId="71A1F4A1" w14:textId="77777777" w:rsidR="00162DAA" w:rsidRPr="00DD1B58" w:rsidRDefault="00162DAA" w:rsidP="00CB53E6">
      <w:pPr>
        <w:rPr>
          <w:b/>
          <w:lang w:val="en-US"/>
        </w:rPr>
      </w:pPr>
      <w:r w:rsidRPr="00DD1B58">
        <w:rPr>
          <w:b/>
          <w:lang w:val="en-US"/>
        </w:rPr>
        <w:t>Control and Storage of Pyrophoric Materials</w:t>
      </w:r>
    </w:p>
    <w:p w14:paraId="6D32A931" w14:textId="0EED415D" w:rsidR="00BE7509" w:rsidRPr="00DD1B58" w:rsidRDefault="00CD3ACA" w:rsidP="00BE7509">
      <w:pPr>
        <w:rPr>
          <w:lang w:val="en-US"/>
        </w:rPr>
      </w:pPr>
      <w:r w:rsidRPr="00DD1B58">
        <w:rPr>
          <w:lang w:val="en-US"/>
        </w:rPr>
        <w:t xml:space="preserve">Springfields Fuels </w:t>
      </w:r>
      <w:r w:rsidR="00BF0D1B" w:rsidRPr="00DD1B58">
        <w:rPr>
          <w:lang w:val="en-US"/>
        </w:rPr>
        <w:t>Ltd</w:t>
      </w:r>
      <w:r w:rsidRPr="00DD1B58">
        <w:rPr>
          <w:lang w:val="en-US"/>
        </w:rPr>
        <w:t xml:space="preserve"> </w:t>
      </w:r>
      <w:r w:rsidR="007376D6" w:rsidRPr="00DD1B58">
        <w:rPr>
          <w:lang w:val="en-US"/>
        </w:rPr>
        <w:t>states that</w:t>
      </w:r>
      <w:r w:rsidRPr="00DD1B58">
        <w:rPr>
          <w:lang w:val="en-US"/>
        </w:rPr>
        <w:t xml:space="preserve"> z</w:t>
      </w:r>
      <w:r w:rsidR="00BE7509" w:rsidRPr="00DD1B58">
        <w:rPr>
          <w:lang w:val="en-US"/>
        </w:rPr>
        <w:t xml:space="preserve">irconium swarf </w:t>
      </w:r>
      <w:r w:rsidRPr="00DD1B58">
        <w:rPr>
          <w:lang w:val="en-US"/>
        </w:rPr>
        <w:t>was</w:t>
      </w:r>
      <w:r w:rsidR="00BE7509" w:rsidRPr="00DD1B58">
        <w:rPr>
          <w:lang w:val="en-US"/>
        </w:rPr>
        <w:t xml:space="preserve"> the only pyrophoric material which is present on site. </w:t>
      </w:r>
      <w:r w:rsidRPr="00DD1B58">
        <w:rPr>
          <w:lang w:val="en-US"/>
        </w:rPr>
        <w:t xml:space="preserve">It </w:t>
      </w:r>
      <w:r w:rsidR="006D798B" w:rsidRPr="00DD1B58">
        <w:rPr>
          <w:lang w:val="en-US"/>
        </w:rPr>
        <w:t>reports that</w:t>
      </w:r>
      <w:r w:rsidRPr="00DD1B58">
        <w:rPr>
          <w:lang w:val="en-US"/>
        </w:rPr>
        <w:t xml:space="preserve"> the </w:t>
      </w:r>
      <w:r w:rsidR="00BE7509" w:rsidRPr="00DD1B58">
        <w:rPr>
          <w:lang w:val="en-US"/>
        </w:rPr>
        <w:t>material is only present within the LWR fuel making facility and storage areas external to the building</w:t>
      </w:r>
      <w:r w:rsidRPr="00DD1B58">
        <w:rPr>
          <w:lang w:val="en-US"/>
        </w:rPr>
        <w:t>, and that c</w:t>
      </w:r>
      <w:r w:rsidR="00BE7509" w:rsidRPr="00DD1B58">
        <w:rPr>
          <w:lang w:val="en-US"/>
        </w:rPr>
        <w:t xml:space="preserve">oarse powders (&gt;0.84mm) turnings, and shavings are not pyrophoric under ambient conditions but may burn if ignited </w:t>
      </w:r>
      <w:sdt>
        <w:sdtPr>
          <w:rPr>
            <w:lang w:val="en-US"/>
          </w:rPr>
          <w:id w:val="1554127949"/>
          <w:citation/>
        </w:sdtPr>
        <w:sdtContent>
          <w:r w:rsidR="00357A78" w:rsidRPr="00DD1B58">
            <w:rPr>
              <w:lang w:val="en-US"/>
            </w:rPr>
            <w:fldChar w:fldCharType="begin"/>
          </w:r>
          <w:r w:rsidR="00357A78" w:rsidRPr="00DD1B58">
            <w:rPr>
              <w:lang w:val="en-US"/>
            </w:rPr>
            <w:instrText xml:space="preserve"> CITATION Coo \l 2057 </w:instrText>
          </w:r>
          <w:r w:rsidR="00357A78" w:rsidRPr="00DD1B58">
            <w:rPr>
              <w:lang w:val="en-US"/>
            </w:rPr>
            <w:fldChar w:fldCharType="separate"/>
          </w:r>
          <w:r w:rsidR="00DF47DA" w:rsidRPr="00DF47DA">
            <w:rPr>
              <w:noProof/>
              <w:lang w:val="en-US"/>
            </w:rPr>
            <w:t>[148]</w:t>
          </w:r>
          <w:r w:rsidR="00357A78" w:rsidRPr="00DD1B58">
            <w:rPr>
              <w:lang w:val="en-US"/>
            </w:rPr>
            <w:fldChar w:fldCharType="end"/>
          </w:r>
        </w:sdtContent>
      </w:sdt>
      <w:r w:rsidR="00BE7509" w:rsidRPr="00DD1B58">
        <w:rPr>
          <w:lang w:val="en-US"/>
        </w:rPr>
        <w:t xml:space="preserve">. </w:t>
      </w:r>
      <w:r w:rsidR="00F171D6" w:rsidRPr="00DD1B58">
        <w:rPr>
          <w:lang w:val="en-US"/>
        </w:rPr>
        <w:t xml:space="preserve">Springfields Fuels </w:t>
      </w:r>
      <w:r w:rsidR="00BF0D1B" w:rsidRPr="00DD1B58">
        <w:rPr>
          <w:lang w:val="en-US"/>
        </w:rPr>
        <w:t>Ltd</w:t>
      </w:r>
      <w:r w:rsidR="00F171D6" w:rsidRPr="00DD1B58">
        <w:rPr>
          <w:lang w:val="en-US"/>
        </w:rPr>
        <w:t xml:space="preserve"> also </w:t>
      </w:r>
      <w:r w:rsidR="007376D6" w:rsidRPr="00DD1B58">
        <w:rPr>
          <w:lang w:val="en-US"/>
        </w:rPr>
        <w:t>states that</w:t>
      </w:r>
      <w:r w:rsidR="00F171D6" w:rsidRPr="00DD1B58">
        <w:rPr>
          <w:lang w:val="en-US"/>
        </w:rPr>
        <w:t xml:space="preserve"> s</w:t>
      </w:r>
      <w:r w:rsidR="00BE7509" w:rsidRPr="00DD1B58">
        <w:rPr>
          <w:lang w:val="en-US"/>
        </w:rPr>
        <w:t>amples smaller than the 3mm will ignite if their temperature is raised</w:t>
      </w:r>
      <w:r w:rsidR="00F171D6" w:rsidRPr="00DD1B58">
        <w:rPr>
          <w:lang w:val="en-US"/>
        </w:rPr>
        <w:t xml:space="preserve"> and that s</w:t>
      </w:r>
      <w:r w:rsidR="00BE7509" w:rsidRPr="00DD1B58">
        <w:rPr>
          <w:lang w:val="en-US"/>
        </w:rPr>
        <w:t xml:space="preserve">warf produced at Springfields with smallest dimensions of around 0.4 millimetres </w:t>
      </w:r>
      <w:r w:rsidR="00904285" w:rsidRPr="00DD1B58">
        <w:rPr>
          <w:lang w:val="en-US"/>
        </w:rPr>
        <w:t xml:space="preserve">was </w:t>
      </w:r>
      <w:r w:rsidR="00BE7509" w:rsidRPr="00DD1B58">
        <w:rPr>
          <w:lang w:val="en-US"/>
        </w:rPr>
        <w:t>deemed both pyrophoric and capable of ignition from an external ignition source.</w:t>
      </w:r>
    </w:p>
    <w:p w14:paraId="4B91B283" w14:textId="07864AB1" w:rsidR="00BE7509" w:rsidRPr="00DD1B58" w:rsidRDefault="00F171D6" w:rsidP="00BE7509">
      <w:pPr>
        <w:rPr>
          <w:lang w:val="en-US"/>
        </w:rPr>
      </w:pPr>
      <w:r w:rsidRPr="00DD1B58">
        <w:rPr>
          <w:lang w:val="en-US"/>
        </w:rPr>
        <w:t xml:space="preserve">Springfields Fuels </w:t>
      </w:r>
      <w:r w:rsidR="00BF0D1B" w:rsidRPr="00DD1B58">
        <w:rPr>
          <w:lang w:val="en-US"/>
        </w:rPr>
        <w:t>Ltd</w:t>
      </w:r>
      <w:r w:rsidRPr="00DD1B58">
        <w:rPr>
          <w:lang w:val="en-US"/>
        </w:rPr>
        <w:t xml:space="preserve"> </w:t>
      </w:r>
      <w:r w:rsidR="007376D6" w:rsidRPr="00DD1B58">
        <w:rPr>
          <w:lang w:val="en-US"/>
        </w:rPr>
        <w:t>states that</w:t>
      </w:r>
      <w:r w:rsidRPr="00DD1B58">
        <w:rPr>
          <w:lang w:val="en-US"/>
        </w:rPr>
        <w:t xml:space="preserve"> </w:t>
      </w:r>
      <w:r w:rsidR="00BE7509" w:rsidRPr="00DD1B58">
        <w:rPr>
          <w:lang w:val="en-US"/>
        </w:rPr>
        <w:t>Continued Operations Safety Case for the fuel making plants dismissed the potential for a zirconium</w:t>
      </w:r>
      <w:r w:rsidRPr="00DD1B58">
        <w:rPr>
          <w:lang w:val="en-US"/>
        </w:rPr>
        <w:t xml:space="preserve"> </w:t>
      </w:r>
      <w:r w:rsidR="00BE7509" w:rsidRPr="00DD1B58">
        <w:rPr>
          <w:lang w:val="en-US"/>
        </w:rPr>
        <w:t xml:space="preserve">dust explosion based on the understanding that accumulations of significant quantities of zirconium dust will not arise. The safety case </w:t>
      </w:r>
      <w:r w:rsidR="00AF629D" w:rsidRPr="00DD1B58">
        <w:rPr>
          <w:lang w:val="en-US"/>
        </w:rPr>
        <w:t xml:space="preserve">concluded </w:t>
      </w:r>
      <w:r w:rsidR="00BE7509" w:rsidRPr="00DD1B58">
        <w:rPr>
          <w:lang w:val="en-US"/>
        </w:rPr>
        <w:t xml:space="preserve">that even with an accumulation of dust, the activities undertaken are such that dispersion leading to an extensive explosive atmosphere is not envisaged. </w:t>
      </w:r>
      <w:r w:rsidR="00AF629D" w:rsidRPr="00DD1B58">
        <w:rPr>
          <w:lang w:val="en-US"/>
        </w:rPr>
        <w:t xml:space="preserve">Springfields Fuels </w:t>
      </w:r>
      <w:r w:rsidR="00BF0D1B" w:rsidRPr="00DD1B58">
        <w:rPr>
          <w:lang w:val="en-US"/>
        </w:rPr>
        <w:t>Ltd</w:t>
      </w:r>
      <w:r w:rsidR="00AF629D" w:rsidRPr="00DD1B58">
        <w:rPr>
          <w:lang w:val="en-US"/>
        </w:rPr>
        <w:t xml:space="preserve"> safety case includes</w:t>
      </w:r>
      <w:r w:rsidR="00BE7509" w:rsidRPr="00DD1B58">
        <w:rPr>
          <w:lang w:val="en-US"/>
        </w:rPr>
        <w:t xml:space="preserve"> an Operating Assumption as follows:</w:t>
      </w:r>
    </w:p>
    <w:p w14:paraId="2F7A3338" w14:textId="77777777" w:rsidR="00BE7509" w:rsidRPr="00DD1B58" w:rsidRDefault="00BE7509" w:rsidP="00BE7509">
      <w:pPr>
        <w:rPr>
          <w:lang w:val="en-US"/>
        </w:rPr>
      </w:pPr>
      <w:r w:rsidRPr="00DD1B58">
        <w:rPr>
          <w:lang w:val="en-US"/>
        </w:rPr>
        <w:t xml:space="preserve">OA: </w:t>
      </w:r>
      <w:r w:rsidRPr="00DD1B58">
        <w:rPr>
          <w:i/>
          <w:iCs/>
          <w:lang w:val="en-US"/>
        </w:rPr>
        <w:t>Areas where zirconium dust can build up, including the repair lathes, gamma scanner inlet, rod loading area, wash tanks and wash tank pits, are subject to monthly inspections. If a significant build-up of zirconium dust is detected prompt appropriate action must be taken to remove the build-up</w:t>
      </w:r>
      <w:r w:rsidRPr="00DD1B58">
        <w:rPr>
          <w:lang w:val="en-US"/>
        </w:rPr>
        <w:t>.</w:t>
      </w:r>
    </w:p>
    <w:p w14:paraId="200C4220" w14:textId="45DAAB35" w:rsidR="00BE7509" w:rsidRPr="00DD1B58" w:rsidRDefault="00AF629D" w:rsidP="00BE7509">
      <w:pPr>
        <w:rPr>
          <w:lang w:val="en-US"/>
        </w:rPr>
      </w:pPr>
      <w:r w:rsidRPr="00DD1B58">
        <w:rPr>
          <w:lang w:val="en-US"/>
        </w:rPr>
        <w:t xml:space="preserve">Springfields Fuels </w:t>
      </w:r>
      <w:r w:rsidR="00BF0D1B" w:rsidRPr="00DD1B58">
        <w:rPr>
          <w:lang w:val="en-US"/>
        </w:rPr>
        <w:t>Ltd</w:t>
      </w:r>
      <w:r w:rsidRPr="00DD1B58">
        <w:rPr>
          <w:lang w:val="en-US"/>
        </w:rPr>
        <w:t xml:space="preserve"> </w:t>
      </w:r>
      <w:r w:rsidR="007376D6" w:rsidRPr="00DD1B58">
        <w:rPr>
          <w:lang w:val="en-US"/>
        </w:rPr>
        <w:t>states that</w:t>
      </w:r>
      <w:r w:rsidRPr="00DD1B58">
        <w:rPr>
          <w:lang w:val="en-US"/>
        </w:rPr>
        <w:t xml:space="preserve"> z</w:t>
      </w:r>
      <w:r w:rsidR="00BE7509" w:rsidRPr="00DD1B58">
        <w:rPr>
          <w:lang w:val="en-US"/>
        </w:rPr>
        <w:t xml:space="preserve">ircaloy fines and dust produced as part of the LWR </w:t>
      </w:r>
      <w:r w:rsidR="00E25BA8" w:rsidRPr="00DD1B58">
        <w:rPr>
          <w:lang w:val="en-US"/>
        </w:rPr>
        <w:t>Canning,</w:t>
      </w:r>
      <w:r w:rsidR="00BE7509" w:rsidRPr="00DD1B58">
        <w:rPr>
          <w:lang w:val="en-US"/>
        </w:rPr>
        <w:t xml:space="preserve"> and Assembly processes are currently swept up by hand and stored under water or Midel 7131.</w:t>
      </w:r>
      <w:r w:rsidRPr="00DD1B58">
        <w:rPr>
          <w:lang w:val="en-US"/>
        </w:rPr>
        <w:t xml:space="preserve"> Springfields Fuels </w:t>
      </w:r>
      <w:r w:rsidR="00BF0D1B" w:rsidRPr="00DD1B58">
        <w:rPr>
          <w:lang w:val="en-US"/>
        </w:rPr>
        <w:t>Ltd</w:t>
      </w:r>
      <w:r w:rsidRPr="00DD1B58">
        <w:rPr>
          <w:lang w:val="en-US"/>
        </w:rPr>
        <w:t xml:space="preserve"> </w:t>
      </w:r>
      <w:r w:rsidR="006D798B" w:rsidRPr="00DD1B58">
        <w:rPr>
          <w:lang w:val="en-US"/>
        </w:rPr>
        <w:t>reports that</w:t>
      </w:r>
      <w:r w:rsidRPr="00DD1B58">
        <w:rPr>
          <w:lang w:val="en-US"/>
        </w:rPr>
        <w:t xml:space="preserve"> it chose</w:t>
      </w:r>
      <w:r w:rsidR="00BE7509" w:rsidRPr="00DD1B58">
        <w:rPr>
          <w:lang w:val="en-US"/>
        </w:rPr>
        <w:t xml:space="preserve"> Midel 7131 as it is less combustible than kerosene which was formerly used for this purpose. Midel 7131 is a biodegradable synthetic ester fluid with a fire point of 3160C.</w:t>
      </w:r>
      <w:r w:rsidR="00561515" w:rsidRPr="00DD1B58">
        <w:rPr>
          <w:lang w:val="en-US"/>
        </w:rPr>
        <w:t xml:space="preserve"> </w:t>
      </w:r>
      <w:r w:rsidR="00BE7509" w:rsidRPr="00DD1B58">
        <w:rPr>
          <w:lang w:val="en-US"/>
        </w:rPr>
        <w:t xml:space="preserve">Good practice guidance and precautions are given in NFPA 484, and general guidance is given in Westinghouse, Western Zirconium, Safety Management Procedure E3, Handling of Flammable Metal Fines </w:t>
      </w:r>
      <w:sdt>
        <w:sdtPr>
          <w:rPr>
            <w:lang w:val="en-US"/>
          </w:rPr>
          <w:id w:val="2139288302"/>
          <w:citation/>
        </w:sdtPr>
        <w:sdtContent>
          <w:r w:rsidR="006D3A22" w:rsidRPr="00DD1B58">
            <w:rPr>
              <w:lang w:val="en-US"/>
            </w:rPr>
            <w:fldChar w:fldCharType="begin"/>
          </w:r>
          <w:r w:rsidR="006D3A22" w:rsidRPr="00DD1B58">
            <w:rPr>
              <w:lang w:val="en-US"/>
            </w:rPr>
            <w:instrText xml:space="preserve"> CITATION Wes2 \l 2057 </w:instrText>
          </w:r>
          <w:r w:rsidR="006D3A22" w:rsidRPr="00DD1B58">
            <w:rPr>
              <w:lang w:val="en-US"/>
            </w:rPr>
            <w:fldChar w:fldCharType="separate"/>
          </w:r>
          <w:r w:rsidR="00DF47DA" w:rsidRPr="00DF47DA">
            <w:rPr>
              <w:noProof/>
              <w:lang w:val="en-US"/>
            </w:rPr>
            <w:t>[149]</w:t>
          </w:r>
          <w:r w:rsidR="006D3A22" w:rsidRPr="00DD1B58">
            <w:rPr>
              <w:lang w:val="en-US"/>
            </w:rPr>
            <w:fldChar w:fldCharType="end"/>
          </w:r>
        </w:sdtContent>
      </w:sdt>
      <w:r w:rsidR="00BE7509" w:rsidRPr="00DD1B58">
        <w:rPr>
          <w:lang w:val="en-US"/>
        </w:rPr>
        <w:t xml:space="preserve"> and Westinghouse Western Zirconium Operating Procedure, Packaging and Shipping of Swarf </w:t>
      </w:r>
      <w:sdt>
        <w:sdtPr>
          <w:rPr>
            <w:lang w:val="en-US"/>
          </w:rPr>
          <w:id w:val="1264341502"/>
          <w:citation/>
        </w:sdtPr>
        <w:sdtContent>
          <w:r w:rsidR="006D3A22" w:rsidRPr="00DD1B58">
            <w:rPr>
              <w:lang w:val="en-US"/>
            </w:rPr>
            <w:fldChar w:fldCharType="begin"/>
          </w:r>
          <w:r w:rsidR="006D3A22" w:rsidRPr="00DD1B58">
            <w:rPr>
              <w:lang w:val="en-US"/>
            </w:rPr>
            <w:instrText xml:space="preserve"> CITATION Wes3 \l 2057 </w:instrText>
          </w:r>
          <w:r w:rsidR="006D3A22" w:rsidRPr="00DD1B58">
            <w:rPr>
              <w:lang w:val="en-US"/>
            </w:rPr>
            <w:fldChar w:fldCharType="separate"/>
          </w:r>
          <w:r w:rsidR="00DF47DA" w:rsidRPr="00DF47DA">
            <w:rPr>
              <w:noProof/>
              <w:lang w:val="en-US"/>
            </w:rPr>
            <w:t>[150]</w:t>
          </w:r>
          <w:r w:rsidR="006D3A22" w:rsidRPr="00DD1B58">
            <w:rPr>
              <w:lang w:val="en-US"/>
            </w:rPr>
            <w:fldChar w:fldCharType="end"/>
          </w:r>
        </w:sdtContent>
      </w:sdt>
      <w:r w:rsidR="00BE7509" w:rsidRPr="00DD1B58">
        <w:rPr>
          <w:lang w:val="en-US"/>
        </w:rPr>
        <w:t>.</w:t>
      </w:r>
    </w:p>
    <w:p w14:paraId="11518C23" w14:textId="04DD9D13" w:rsidR="00BE7509" w:rsidRPr="00DD1B58" w:rsidRDefault="003718CE" w:rsidP="00BE7509">
      <w:pPr>
        <w:rPr>
          <w:lang w:val="en-US"/>
        </w:rPr>
      </w:pPr>
      <w:r w:rsidRPr="00DD1B58">
        <w:rPr>
          <w:lang w:val="en-US"/>
        </w:rPr>
        <w:t xml:space="preserve">Springfields Fuels </w:t>
      </w:r>
      <w:r w:rsidR="00BF0D1B" w:rsidRPr="00DD1B58">
        <w:rPr>
          <w:lang w:val="en-US"/>
        </w:rPr>
        <w:t>Ltd</w:t>
      </w:r>
      <w:r w:rsidRPr="00DD1B58">
        <w:rPr>
          <w:lang w:val="en-US"/>
        </w:rPr>
        <w:t xml:space="preserve"> </w:t>
      </w:r>
      <w:r w:rsidR="007376D6" w:rsidRPr="00DD1B58">
        <w:rPr>
          <w:lang w:val="en-US"/>
        </w:rPr>
        <w:t>states that</w:t>
      </w:r>
      <w:r w:rsidRPr="00DD1B58">
        <w:rPr>
          <w:lang w:val="en-US"/>
        </w:rPr>
        <w:t xml:space="preserve"> the </w:t>
      </w:r>
      <w:r w:rsidR="00BE7509" w:rsidRPr="00DD1B58">
        <w:rPr>
          <w:lang w:val="en-US"/>
        </w:rPr>
        <w:t xml:space="preserve">only operation involving cutting of zirconium which generates swarf is parting off tubes within the lathes (top and bottom end), this generates large swarf. </w:t>
      </w:r>
      <w:r w:rsidR="006B6510" w:rsidRPr="00DD1B58">
        <w:rPr>
          <w:lang w:val="en-US"/>
        </w:rPr>
        <w:t>It noted that w</w:t>
      </w:r>
      <w:r w:rsidR="00BE7509" w:rsidRPr="00DD1B58">
        <w:rPr>
          <w:lang w:val="en-US"/>
        </w:rPr>
        <w:t xml:space="preserve">hilst fine dry zirconium powders (&lt;62μm) show extreme pyrophoricity, coarse powders, turnings and shavings are not pyrophoric under ambient conditions. Therefore, </w:t>
      </w:r>
      <w:r w:rsidR="006B6510" w:rsidRPr="00DD1B58">
        <w:rPr>
          <w:lang w:val="en-US"/>
        </w:rPr>
        <w:t xml:space="preserve">Springfields Fuels </w:t>
      </w:r>
      <w:r w:rsidR="00BF0D1B" w:rsidRPr="00DD1B58">
        <w:rPr>
          <w:lang w:val="en-US"/>
        </w:rPr>
        <w:t>Ltd</w:t>
      </w:r>
      <w:r w:rsidR="006B6510" w:rsidRPr="00DD1B58">
        <w:rPr>
          <w:lang w:val="en-US"/>
        </w:rPr>
        <w:t xml:space="preserve"> makes </w:t>
      </w:r>
      <w:r w:rsidR="00BE7509" w:rsidRPr="00DD1B58">
        <w:rPr>
          <w:lang w:val="en-US"/>
        </w:rPr>
        <w:t xml:space="preserve">no special arrangements for cutting zirconium tubes in lathes. However, </w:t>
      </w:r>
      <w:r w:rsidR="003156C6" w:rsidRPr="00DD1B58">
        <w:rPr>
          <w:lang w:val="en-US"/>
        </w:rPr>
        <w:t xml:space="preserve">Springfields Fuels </w:t>
      </w:r>
      <w:r w:rsidR="00BF0D1B" w:rsidRPr="00DD1B58">
        <w:rPr>
          <w:lang w:val="en-US"/>
        </w:rPr>
        <w:t>Ltd</w:t>
      </w:r>
      <w:r w:rsidR="003156C6" w:rsidRPr="00DD1B58">
        <w:rPr>
          <w:lang w:val="en-US"/>
        </w:rPr>
        <w:t xml:space="preserve"> collects </w:t>
      </w:r>
      <w:r w:rsidR="00BE7509" w:rsidRPr="00DD1B58">
        <w:rPr>
          <w:lang w:val="en-US"/>
        </w:rPr>
        <w:t xml:space="preserve">swarf routinely and stored </w:t>
      </w:r>
      <w:r w:rsidR="003156C6" w:rsidRPr="00DD1B58">
        <w:rPr>
          <w:lang w:val="en-US"/>
        </w:rPr>
        <w:t xml:space="preserve">it </w:t>
      </w:r>
      <w:r w:rsidR="00BE7509" w:rsidRPr="00DD1B58">
        <w:rPr>
          <w:lang w:val="en-US"/>
        </w:rPr>
        <w:t>under water or Midel 7131 to reduce the risk of fires from external sources of ignition and as best practice.</w:t>
      </w:r>
    </w:p>
    <w:p w14:paraId="0079CB46" w14:textId="2F2CDCB7" w:rsidR="0021717D" w:rsidRPr="00DD1B58" w:rsidRDefault="003156C6" w:rsidP="0021717D">
      <w:pPr>
        <w:rPr>
          <w:lang w:val="en-US"/>
        </w:rPr>
      </w:pPr>
      <w:r w:rsidRPr="00DD1B58">
        <w:rPr>
          <w:lang w:val="en-US"/>
        </w:rPr>
        <w:t xml:space="preserve">Springfields Fuels </w:t>
      </w:r>
      <w:r w:rsidR="00BF0D1B" w:rsidRPr="00DD1B58">
        <w:rPr>
          <w:lang w:val="en-US"/>
        </w:rPr>
        <w:t>Ltd</w:t>
      </w:r>
      <w:r w:rsidRPr="00DD1B58">
        <w:rPr>
          <w:lang w:val="en-US"/>
        </w:rPr>
        <w:t xml:space="preserve"> report</w:t>
      </w:r>
      <w:r w:rsidR="00B80E71" w:rsidRPr="00DD1B58">
        <w:rPr>
          <w:lang w:val="en-US"/>
        </w:rPr>
        <w:t>s</w:t>
      </w:r>
      <w:r w:rsidRPr="00DD1B58">
        <w:rPr>
          <w:lang w:val="en-US"/>
        </w:rPr>
        <w:t xml:space="preserve"> that s</w:t>
      </w:r>
      <w:r w:rsidR="00BE7509" w:rsidRPr="00DD1B58">
        <w:rPr>
          <w:lang w:val="en-US"/>
        </w:rPr>
        <w:t xml:space="preserve">maller swarf can be generated through rod pulling (pulling fuel rods into skeletons), </w:t>
      </w:r>
      <w:r w:rsidRPr="00DD1B58">
        <w:rPr>
          <w:lang w:val="en-US"/>
        </w:rPr>
        <w:t xml:space="preserve">and that </w:t>
      </w:r>
      <w:r w:rsidR="00BE7509" w:rsidRPr="00DD1B58">
        <w:rPr>
          <w:lang w:val="en-US"/>
        </w:rPr>
        <w:t xml:space="preserve">this only occurs on the rod pulling machine. For this process </w:t>
      </w:r>
      <w:r w:rsidRPr="00DD1B58">
        <w:rPr>
          <w:lang w:val="en-US"/>
        </w:rPr>
        <w:t xml:space="preserve">Springfields Fuels </w:t>
      </w:r>
      <w:r w:rsidR="00BF0D1B" w:rsidRPr="00DD1B58">
        <w:rPr>
          <w:lang w:val="en-US"/>
        </w:rPr>
        <w:t>Ltd</w:t>
      </w:r>
      <w:r w:rsidRPr="00DD1B58">
        <w:rPr>
          <w:lang w:val="en-US"/>
        </w:rPr>
        <w:t xml:space="preserve"> report</w:t>
      </w:r>
      <w:r w:rsidR="00B80E71" w:rsidRPr="00DD1B58">
        <w:rPr>
          <w:lang w:val="en-US"/>
        </w:rPr>
        <w:t>s</w:t>
      </w:r>
      <w:r w:rsidRPr="00DD1B58">
        <w:rPr>
          <w:lang w:val="en-US"/>
        </w:rPr>
        <w:t xml:space="preserve"> </w:t>
      </w:r>
      <w:r w:rsidR="00BE7509" w:rsidRPr="00DD1B58">
        <w:rPr>
          <w:lang w:val="en-US"/>
        </w:rPr>
        <w:t xml:space="preserve">a routine in place to clean down the machine and surrounding areas on a regular basis with hand tools and a specialist EX rated vacuum cleaner specifically designed for recovery of combustible dusts. </w:t>
      </w:r>
      <w:r w:rsidR="00655654" w:rsidRPr="00DD1B58">
        <w:rPr>
          <w:lang w:val="en-US"/>
        </w:rPr>
        <w:t xml:space="preserve">Springfields Fuels </w:t>
      </w:r>
      <w:r w:rsidR="00BF0D1B" w:rsidRPr="00DD1B58">
        <w:rPr>
          <w:lang w:val="en-US"/>
        </w:rPr>
        <w:t>Ltd</w:t>
      </w:r>
      <w:r w:rsidR="00655654" w:rsidRPr="00DD1B58">
        <w:rPr>
          <w:lang w:val="en-US"/>
        </w:rPr>
        <w:t xml:space="preserve"> </w:t>
      </w:r>
      <w:r w:rsidR="007376D6" w:rsidRPr="00DD1B58">
        <w:rPr>
          <w:lang w:val="en-US"/>
        </w:rPr>
        <w:t>states that</w:t>
      </w:r>
      <w:r w:rsidR="00655654" w:rsidRPr="00DD1B58">
        <w:rPr>
          <w:lang w:val="en-US"/>
        </w:rPr>
        <w:t xml:space="preserve"> during the procurement process for the vacuum cleaners, it made r</w:t>
      </w:r>
      <w:r w:rsidR="00BE7509" w:rsidRPr="00DD1B58">
        <w:rPr>
          <w:lang w:val="en-US"/>
        </w:rPr>
        <w:t>eferen</w:t>
      </w:r>
      <w:r w:rsidR="00655654" w:rsidRPr="00DD1B58">
        <w:rPr>
          <w:lang w:val="en-US"/>
        </w:rPr>
        <w:t xml:space="preserve">ce to </w:t>
      </w:r>
      <w:r w:rsidR="00BE7509" w:rsidRPr="00DD1B58">
        <w:rPr>
          <w:lang w:val="en-US"/>
        </w:rPr>
        <w:t xml:space="preserve">NFPA 484 </w:t>
      </w:r>
      <w:sdt>
        <w:sdtPr>
          <w:rPr>
            <w:lang w:val="en-US"/>
          </w:rPr>
          <w:id w:val="812221185"/>
          <w:citation/>
        </w:sdtPr>
        <w:sdtContent>
          <w:r w:rsidR="00402255" w:rsidRPr="00DD1B58">
            <w:rPr>
              <w:lang w:val="en-US"/>
            </w:rPr>
            <w:fldChar w:fldCharType="begin"/>
          </w:r>
          <w:r w:rsidR="00402255" w:rsidRPr="00DD1B58">
            <w:rPr>
              <w:lang w:val="en-US"/>
            </w:rPr>
            <w:instrText xml:space="preserve"> CITATION NFP2 \l 2057 </w:instrText>
          </w:r>
          <w:r w:rsidR="00402255" w:rsidRPr="00DD1B58">
            <w:rPr>
              <w:lang w:val="en-US"/>
            </w:rPr>
            <w:fldChar w:fldCharType="separate"/>
          </w:r>
          <w:r w:rsidR="00DF47DA" w:rsidRPr="00DF47DA">
            <w:rPr>
              <w:noProof/>
              <w:lang w:val="en-US"/>
            </w:rPr>
            <w:t>[151]</w:t>
          </w:r>
          <w:r w:rsidR="00402255" w:rsidRPr="00DD1B58">
            <w:rPr>
              <w:lang w:val="en-US"/>
            </w:rPr>
            <w:fldChar w:fldCharType="end"/>
          </w:r>
        </w:sdtContent>
      </w:sdt>
      <w:r w:rsidR="00963F78" w:rsidRPr="00DD1B58">
        <w:rPr>
          <w:lang w:val="en-US"/>
        </w:rPr>
        <w:t>,</w:t>
      </w:r>
      <w:r w:rsidR="00BE7509" w:rsidRPr="00DD1B58">
        <w:rPr>
          <w:lang w:val="en-US"/>
        </w:rPr>
        <w:t xml:space="preserve"> </w:t>
      </w:r>
      <w:r w:rsidR="00963F78" w:rsidRPr="00DD1B58">
        <w:rPr>
          <w:lang w:val="en-US"/>
        </w:rPr>
        <w:t xml:space="preserve">which addresses the use of portable vacuum cleaners for finely divided combustible dusts, </w:t>
      </w:r>
      <w:r w:rsidR="00BE7509" w:rsidRPr="00DD1B58">
        <w:rPr>
          <w:lang w:val="en-US"/>
        </w:rPr>
        <w:t xml:space="preserve">and </w:t>
      </w:r>
      <w:r w:rsidR="00963F78" w:rsidRPr="00DD1B58">
        <w:rPr>
          <w:lang w:val="en-US"/>
        </w:rPr>
        <w:t xml:space="preserve">to </w:t>
      </w:r>
      <w:r w:rsidR="00BE7509" w:rsidRPr="00DD1B58">
        <w:rPr>
          <w:lang w:val="en-US"/>
        </w:rPr>
        <w:t>relevant good practice at a UK MOD fuel manufacturing facility</w:t>
      </w:r>
      <w:r w:rsidR="00963F78" w:rsidRPr="00DD1B58">
        <w:rPr>
          <w:lang w:val="en-US"/>
        </w:rPr>
        <w:t xml:space="preserve">. </w:t>
      </w:r>
    </w:p>
    <w:p w14:paraId="21867C9D" w14:textId="5F9152D5" w:rsidR="0021717D" w:rsidRPr="00DD1B58" w:rsidRDefault="00963F78" w:rsidP="00C055C7">
      <w:pPr>
        <w:rPr>
          <w:lang w:val="en-US"/>
        </w:rPr>
      </w:pPr>
      <w:r w:rsidRPr="00DD1B58">
        <w:rPr>
          <w:lang w:val="en-US"/>
        </w:rPr>
        <w:t xml:space="preserve">Springfields Fuels </w:t>
      </w:r>
      <w:r w:rsidR="00BF0D1B" w:rsidRPr="00DD1B58">
        <w:rPr>
          <w:lang w:val="en-US"/>
        </w:rPr>
        <w:t>Ltd</w:t>
      </w:r>
      <w:r w:rsidRPr="00DD1B58">
        <w:rPr>
          <w:lang w:val="en-US"/>
        </w:rPr>
        <w:t xml:space="preserve"> stores s</w:t>
      </w:r>
      <w:r w:rsidR="0021717D" w:rsidRPr="00DD1B58">
        <w:rPr>
          <w:lang w:val="en-US"/>
        </w:rPr>
        <w:t>warf material under water</w:t>
      </w:r>
      <w:r w:rsidRPr="00DD1B58">
        <w:rPr>
          <w:lang w:val="en-US"/>
        </w:rPr>
        <w:t xml:space="preserve"> and uses n</w:t>
      </w:r>
      <w:r w:rsidR="0021717D" w:rsidRPr="00DD1B58">
        <w:rPr>
          <w:lang w:val="en-US"/>
        </w:rPr>
        <w:t>o inerting systems associated with zircalloy machining processes.</w:t>
      </w:r>
      <w:r w:rsidRPr="00DD1B58">
        <w:rPr>
          <w:lang w:val="en-US"/>
        </w:rPr>
        <w:t xml:space="preserve"> Springfields Fuels </w:t>
      </w:r>
      <w:r w:rsidR="00BF0D1B" w:rsidRPr="00DD1B58">
        <w:rPr>
          <w:lang w:val="en-US"/>
        </w:rPr>
        <w:t>Ltd</w:t>
      </w:r>
      <w:r w:rsidRPr="00DD1B58">
        <w:rPr>
          <w:lang w:val="en-US"/>
        </w:rPr>
        <w:t xml:space="preserve"> </w:t>
      </w:r>
      <w:r w:rsidR="006D798B" w:rsidRPr="00DD1B58">
        <w:rPr>
          <w:lang w:val="en-US"/>
        </w:rPr>
        <w:t>reports that</w:t>
      </w:r>
      <w:r w:rsidRPr="00DD1B58">
        <w:rPr>
          <w:lang w:val="en-US"/>
        </w:rPr>
        <w:t xml:space="preserve"> its o</w:t>
      </w:r>
      <w:r w:rsidR="0021717D" w:rsidRPr="00DD1B58">
        <w:rPr>
          <w:lang w:val="en-US"/>
        </w:rPr>
        <w:t>perational measures are derived</w:t>
      </w:r>
      <w:r w:rsidRPr="00DD1B58">
        <w:rPr>
          <w:lang w:val="en-US"/>
        </w:rPr>
        <w:t>,</w:t>
      </w:r>
      <w:r w:rsidR="0021717D" w:rsidRPr="00DD1B58">
        <w:rPr>
          <w:lang w:val="en-US"/>
        </w:rPr>
        <w:t xml:space="preserve"> as per all other hazards</w:t>
      </w:r>
      <w:r w:rsidRPr="00DD1B58">
        <w:rPr>
          <w:lang w:val="en-US"/>
        </w:rPr>
        <w:t>,</w:t>
      </w:r>
      <w:r w:rsidR="0021717D" w:rsidRPr="00DD1B58">
        <w:rPr>
          <w:lang w:val="en-US"/>
        </w:rPr>
        <w:t xml:space="preserve"> through the Safety Case process and specifically through Nuclear and Conventional fire reviews within the COSR</w:t>
      </w:r>
      <w:r w:rsidR="007C3F42" w:rsidRPr="00DD1B58">
        <w:rPr>
          <w:lang w:val="en-US"/>
        </w:rPr>
        <w:t>/</w:t>
      </w:r>
      <w:r w:rsidR="0021717D" w:rsidRPr="00DD1B58">
        <w:rPr>
          <w:lang w:val="en-US"/>
        </w:rPr>
        <w:t>COSC methodology.</w:t>
      </w:r>
      <w:r w:rsidR="00C9439F" w:rsidRPr="00DD1B58">
        <w:rPr>
          <w:lang w:val="en-US"/>
        </w:rPr>
        <w:t xml:space="preserve"> </w:t>
      </w:r>
      <w:r w:rsidR="00C9439F" w:rsidRPr="00DD1B58">
        <w:rPr>
          <w:lang w:val="en-US"/>
        </w:rPr>
        <w:fldChar w:fldCharType="begin"/>
      </w:r>
      <w:r w:rsidR="00C9439F" w:rsidRPr="00DD1B58">
        <w:rPr>
          <w:lang w:val="en-US"/>
        </w:rPr>
        <w:instrText xml:space="preserve"> REF _Ref143946459 \h </w:instrText>
      </w:r>
      <w:r w:rsidR="00C9439F" w:rsidRPr="00DD1B58">
        <w:rPr>
          <w:lang w:val="en-US"/>
        </w:rPr>
      </w:r>
      <w:r w:rsidR="00C9439F" w:rsidRPr="00DD1B58">
        <w:rPr>
          <w:lang w:val="en-US"/>
        </w:rPr>
        <w:fldChar w:fldCharType="separate"/>
      </w:r>
      <w:r w:rsidR="00DF47DA" w:rsidRPr="00DD1B58">
        <w:rPr>
          <w:lang w:val="en-US"/>
        </w:rPr>
        <w:t xml:space="preserve">Table </w:t>
      </w:r>
      <w:r w:rsidR="00DF47DA">
        <w:rPr>
          <w:noProof/>
          <w:lang w:val="en-US"/>
        </w:rPr>
        <w:t>4</w:t>
      </w:r>
      <w:r w:rsidR="00C9439F" w:rsidRPr="00DD1B58">
        <w:rPr>
          <w:lang w:val="en-US"/>
        </w:rPr>
        <w:fldChar w:fldCharType="end"/>
      </w:r>
      <w:r w:rsidR="00C9439F" w:rsidRPr="00DD1B58">
        <w:rPr>
          <w:lang w:val="en-US"/>
        </w:rPr>
        <w:t xml:space="preserve"> lists the </w:t>
      </w:r>
      <w:r w:rsidR="0021717D" w:rsidRPr="00DD1B58">
        <w:rPr>
          <w:lang w:val="en-US"/>
        </w:rPr>
        <w:t xml:space="preserve">Operating </w:t>
      </w:r>
      <w:r w:rsidR="00B909ED" w:rsidRPr="00DD1B58">
        <w:rPr>
          <w:lang w:val="en-US"/>
        </w:rPr>
        <w:t>Assumptions</w:t>
      </w:r>
      <w:r w:rsidR="00225E36" w:rsidRPr="00DD1B58">
        <w:rPr>
          <w:lang w:val="en-US"/>
        </w:rPr>
        <w:t>,</w:t>
      </w:r>
      <w:r w:rsidR="00B909ED" w:rsidRPr="00DD1B58">
        <w:rPr>
          <w:lang w:val="en-US"/>
        </w:rPr>
        <w:t xml:space="preserve"> derived from the nuclear fire COSR review</w:t>
      </w:r>
      <w:r w:rsidR="00C9439F" w:rsidRPr="00DD1B58">
        <w:rPr>
          <w:lang w:val="en-US"/>
        </w:rPr>
        <w:t xml:space="preserve">, which </w:t>
      </w:r>
      <w:r w:rsidR="0021717D" w:rsidRPr="00DD1B58">
        <w:rPr>
          <w:lang w:val="en-US"/>
        </w:rPr>
        <w:t>flow down into the Operational Clearance Certificate for the plant and then into local instructions and Operator Asset Care routines</w:t>
      </w:r>
      <w:r w:rsidR="00C9439F" w:rsidRPr="00DD1B58">
        <w:rPr>
          <w:lang w:val="en-US"/>
        </w:rPr>
        <w:t>.</w:t>
      </w:r>
    </w:p>
    <w:p w14:paraId="3F675E1D" w14:textId="69BC9D6B" w:rsidR="00963F78" w:rsidRPr="00DD1B58" w:rsidRDefault="00C9439F" w:rsidP="00973FF4">
      <w:pPr>
        <w:pStyle w:val="Caption"/>
        <w:rPr>
          <w:lang w:val="en-US"/>
        </w:rPr>
      </w:pPr>
      <w:bookmarkStart w:id="83" w:name="_Ref143946459"/>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4</w:t>
      </w:r>
      <w:r w:rsidRPr="00DD1B58">
        <w:rPr>
          <w:lang w:val="en-US"/>
        </w:rPr>
        <w:fldChar w:fldCharType="end"/>
      </w:r>
      <w:bookmarkEnd w:id="83"/>
      <w:r w:rsidRPr="00DD1B58">
        <w:rPr>
          <w:lang w:val="en-US"/>
        </w:rPr>
        <w:t xml:space="preserve">: Springfields Fuels </w:t>
      </w:r>
      <w:r w:rsidR="00BF0D1B" w:rsidRPr="00DD1B58">
        <w:rPr>
          <w:lang w:val="en-US"/>
        </w:rPr>
        <w:t>Ltd</w:t>
      </w:r>
      <w:r w:rsidRPr="00DD1B58">
        <w:rPr>
          <w:lang w:val="en-US"/>
        </w:rPr>
        <w:t xml:space="preserve"> Operating Assumptions associated with zirconium dust and zircaloy</w:t>
      </w:r>
    </w:p>
    <w:tbl>
      <w:tblPr>
        <w:tblStyle w:val="TableGrid"/>
        <w:tblW w:w="0" w:type="auto"/>
        <w:tblLook w:val="04A0" w:firstRow="1" w:lastRow="0" w:firstColumn="1" w:lastColumn="0" w:noHBand="0" w:noVBand="1"/>
      </w:tblPr>
      <w:tblGrid>
        <w:gridCol w:w="563"/>
        <w:gridCol w:w="1470"/>
        <w:gridCol w:w="1457"/>
        <w:gridCol w:w="3876"/>
        <w:gridCol w:w="2370"/>
      </w:tblGrid>
      <w:tr w:rsidR="00747301" w:rsidRPr="00DD1B58" w14:paraId="3ECACBC5" w14:textId="77777777" w:rsidTr="00747301">
        <w:tc>
          <w:tcPr>
            <w:tcW w:w="563" w:type="dxa"/>
          </w:tcPr>
          <w:p w14:paraId="7B925885" w14:textId="77777777" w:rsidR="00CE6EDD" w:rsidRPr="00DD1B58" w:rsidRDefault="00CE6EDD" w:rsidP="00CE6EDD">
            <w:pPr>
              <w:rPr>
                <w:szCs w:val="24"/>
                <w:lang w:val="en-US"/>
              </w:rPr>
            </w:pPr>
            <w:r w:rsidRPr="00DD1B58">
              <w:rPr>
                <w:szCs w:val="24"/>
                <w:lang w:val="en-US"/>
              </w:rPr>
              <w:t xml:space="preserve">OA </w:t>
            </w:r>
          </w:p>
        </w:tc>
        <w:tc>
          <w:tcPr>
            <w:tcW w:w="1470" w:type="dxa"/>
          </w:tcPr>
          <w:p w14:paraId="385AEC4A" w14:textId="77777777" w:rsidR="00CE6EDD" w:rsidRPr="00DD1B58" w:rsidRDefault="00CE6EDD" w:rsidP="00CE6EDD">
            <w:pPr>
              <w:rPr>
                <w:szCs w:val="24"/>
                <w:lang w:val="en-US"/>
              </w:rPr>
            </w:pPr>
            <w:r w:rsidRPr="00DD1B58">
              <w:rPr>
                <w:szCs w:val="24"/>
                <w:lang w:val="en-US"/>
              </w:rPr>
              <w:t xml:space="preserve">OA/LWR/xx </w:t>
            </w:r>
          </w:p>
        </w:tc>
        <w:tc>
          <w:tcPr>
            <w:tcW w:w="1457" w:type="dxa"/>
          </w:tcPr>
          <w:p w14:paraId="1327A409" w14:textId="638D29B7" w:rsidR="00CE6EDD" w:rsidRPr="00DD1B58" w:rsidRDefault="00CE6EDD" w:rsidP="00CE6EDD">
            <w:pPr>
              <w:rPr>
                <w:szCs w:val="24"/>
                <w:lang w:val="en-US"/>
              </w:rPr>
            </w:pPr>
            <w:r w:rsidRPr="00DD1B58">
              <w:rPr>
                <w:szCs w:val="24"/>
                <w:lang w:val="en-US"/>
              </w:rPr>
              <w:t xml:space="preserve">Normal Operations </w:t>
            </w:r>
          </w:p>
        </w:tc>
        <w:tc>
          <w:tcPr>
            <w:tcW w:w="3876" w:type="dxa"/>
          </w:tcPr>
          <w:p w14:paraId="72CC95E1" w14:textId="77777777" w:rsidR="00CE6EDD" w:rsidRPr="00DD1B58" w:rsidRDefault="00CE6EDD" w:rsidP="00CE6EDD">
            <w:pPr>
              <w:rPr>
                <w:szCs w:val="24"/>
                <w:lang w:val="en-US"/>
              </w:rPr>
            </w:pPr>
            <w:r w:rsidRPr="00DD1B58">
              <w:rPr>
                <w:szCs w:val="24"/>
                <w:lang w:val="en-US"/>
              </w:rPr>
              <w:t xml:space="preserve">Areas where zirconium dust can build up, including repair lathes, Gamma Scanner inlet, Rod Loading Area, Wash Tanks and Wash Tank Pits, are subject to monthly inspections. If a significant build-up of zirconium dust is detected prompt appropriate action must be taken to remove the build-up. </w:t>
            </w:r>
          </w:p>
        </w:tc>
        <w:tc>
          <w:tcPr>
            <w:tcW w:w="2370" w:type="dxa"/>
          </w:tcPr>
          <w:p w14:paraId="2D9EC3D0" w14:textId="77777777" w:rsidR="00CE6EDD" w:rsidRPr="00DD1B58" w:rsidRDefault="00CE6EDD" w:rsidP="00CE6EDD">
            <w:pPr>
              <w:rPr>
                <w:szCs w:val="24"/>
                <w:lang w:val="en-US"/>
              </w:rPr>
            </w:pPr>
            <w:r w:rsidRPr="00DD1B58">
              <w:rPr>
                <w:szCs w:val="24"/>
                <w:lang w:val="en-US"/>
              </w:rPr>
              <w:t xml:space="preserve">To prevent build-up of an explosive atmosphere </w:t>
            </w:r>
          </w:p>
        </w:tc>
      </w:tr>
      <w:tr w:rsidR="00747301" w:rsidRPr="00DD1B58" w14:paraId="7A3A9C03" w14:textId="77777777" w:rsidTr="00600359">
        <w:trPr>
          <w:trHeight w:val="2310"/>
        </w:trPr>
        <w:tc>
          <w:tcPr>
            <w:tcW w:w="563" w:type="dxa"/>
          </w:tcPr>
          <w:p w14:paraId="04F809CE" w14:textId="77777777" w:rsidR="00CE6EDD" w:rsidRPr="00DD1B58" w:rsidRDefault="00CE6EDD" w:rsidP="00CE6EDD">
            <w:pPr>
              <w:rPr>
                <w:szCs w:val="24"/>
                <w:lang w:val="en-US"/>
              </w:rPr>
            </w:pPr>
            <w:r w:rsidRPr="00DD1B58">
              <w:rPr>
                <w:szCs w:val="24"/>
                <w:lang w:val="en-US"/>
              </w:rPr>
              <w:t xml:space="preserve">OA </w:t>
            </w:r>
          </w:p>
        </w:tc>
        <w:tc>
          <w:tcPr>
            <w:tcW w:w="1470" w:type="dxa"/>
          </w:tcPr>
          <w:p w14:paraId="3A9CD105" w14:textId="77777777" w:rsidR="00CE6EDD" w:rsidRPr="00DD1B58" w:rsidRDefault="00CE6EDD" w:rsidP="00CE6EDD">
            <w:pPr>
              <w:rPr>
                <w:szCs w:val="24"/>
                <w:lang w:val="en-US"/>
              </w:rPr>
            </w:pPr>
            <w:r w:rsidRPr="00DD1B58">
              <w:rPr>
                <w:szCs w:val="24"/>
                <w:lang w:val="en-US"/>
              </w:rPr>
              <w:t xml:space="preserve">OA/LWR/xx </w:t>
            </w:r>
          </w:p>
        </w:tc>
        <w:tc>
          <w:tcPr>
            <w:tcW w:w="1457" w:type="dxa"/>
          </w:tcPr>
          <w:p w14:paraId="2D0B7499" w14:textId="39865009" w:rsidR="00CE6EDD" w:rsidRPr="00DD1B58" w:rsidRDefault="00CE6EDD" w:rsidP="00CE6EDD">
            <w:pPr>
              <w:rPr>
                <w:szCs w:val="24"/>
                <w:lang w:val="en-US"/>
              </w:rPr>
            </w:pPr>
            <w:r w:rsidRPr="00DD1B58">
              <w:rPr>
                <w:szCs w:val="24"/>
                <w:lang w:val="en-US"/>
              </w:rPr>
              <w:t xml:space="preserve">Normal Operations </w:t>
            </w:r>
          </w:p>
        </w:tc>
        <w:tc>
          <w:tcPr>
            <w:tcW w:w="3876" w:type="dxa"/>
          </w:tcPr>
          <w:p w14:paraId="2B84EBDF" w14:textId="77777777" w:rsidR="00CE6EDD" w:rsidRPr="00DD1B58" w:rsidRDefault="00CE6EDD" w:rsidP="00CE6EDD">
            <w:pPr>
              <w:rPr>
                <w:szCs w:val="24"/>
                <w:lang w:val="en-US"/>
              </w:rPr>
            </w:pPr>
            <w:r w:rsidRPr="00DD1B58">
              <w:rPr>
                <w:szCs w:val="24"/>
                <w:lang w:val="en-US"/>
              </w:rPr>
              <w:t xml:space="preserve">Zircaloy swarf under water or Midel 7131 oil may be stored in single containers. The containers must have a volume of 4 litres or less. </w:t>
            </w:r>
          </w:p>
        </w:tc>
        <w:tc>
          <w:tcPr>
            <w:tcW w:w="2370" w:type="dxa"/>
          </w:tcPr>
          <w:p w14:paraId="25599F22" w14:textId="77777777" w:rsidR="00CE6EDD" w:rsidRPr="00DD1B58" w:rsidRDefault="00CE6EDD" w:rsidP="00CE6EDD">
            <w:pPr>
              <w:rPr>
                <w:szCs w:val="24"/>
                <w:lang w:val="en-US"/>
              </w:rPr>
            </w:pPr>
            <w:r w:rsidRPr="00DD1B58">
              <w:rPr>
                <w:szCs w:val="24"/>
                <w:lang w:val="en-US"/>
              </w:rPr>
              <w:t xml:space="preserve">To define the normal operating limits with respect to the quantity of moderating material permitted for limited moderation areas. </w:t>
            </w:r>
          </w:p>
        </w:tc>
      </w:tr>
    </w:tbl>
    <w:p w14:paraId="2A301098" w14:textId="77777777" w:rsidR="00CC669F" w:rsidRPr="00DD1B58" w:rsidRDefault="00CC669F" w:rsidP="008204CE">
      <w:pPr>
        <w:rPr>
          <w:b/>
          <w:lang w:val="en-US"/>
        </w:rPr>
      </w:pPr>
    </w:p>
    <w:p w14:paraId="6620892B" w14:textId="26692152" w:rsidR="007A6563" w:rsidRPr="00DD1B58" w:rsidRDefault="00F0549A" w:rsidP="008204CE">
      <w:pPr>
        <w:rPr>
          <w:b/>
          <w:lang w:val="en-US"/>
        </w:rPr>
      </w:pPr>
      <w:r w:rsidRPr="00DD1B58">
        <w:rPr>
          <w:b/>
          <w:lang w:val="en-US"/>
        </w:rPr>
        <w:t>Identification and Control of Ignition Sources</w:t>
      </w:r>
    </w:p>
    <w:p w14:paraId="7F4104DE" w14:textId="7380B44C" w:rsidR="0048206C" w:rsidRPr="00DD1B58" w:rsidRDefault="00C9439F" w:rsidP="0048206C">
      <w:pPr>
        <w:rPr>
          <w:lang w:val="en-US"/>
        </w:rPr>
      </w:pPr>
      <w:r w:rsidRPr="00DD1B58">
        <w:rPr>
          <w:lang w:val="en-US"/>
        </w:rPr>
        <w:t xml:space="preserve">Springfields Fuels </w:t>
      </w:r>
      <w:r w:rsidR="00BF0D1B" w:rsidRPr="00DD1B58">
        <w:rPr>
          <w:lang w:val="en-US"/>
        </w:rPr>
        <w:t>Ltd</w:t>
      </w:r>
      <w:r w:rsidRPr="00DD1B58">
        <w:rPr>
          <w:lang w:val="en-US"/>
        </w:rPr>
        <w:t xml:space="preserve"> captures i</w:t>
      </w:r>
      <w:r w:rsidR="008204CE" w:rsidRPr="00DD1B58">
        <w:rPr>
          <w:lang w:val="en-US"/>
        </w:rPr>
        <w:t>gnition source identification</w:t>
      </w:r>
      <w:r w:rsidRPr="00DD1B58">
        <w:rPr>
          <w:lang w:val="en-US"/>
        </w:rPr>
        <w:t xml:space="preserve"> </w:t>
      </w:r>
      <w:r w:rsidR="008204CE" w:rsidRPr="00DD1B58">
        <w:rPr>
          <w:lang w:val="en-US"/>
        </w:rPr>
        <w:t>through Fire Risk Assessments (FRA’s), review of PMP’s, Task Risk Assessments, HWFRA’s, DSEAR assessments and hazardous area classification reports.</w:t>
      </w:r>
      <w:r w:rsidRPr="00DD1B58">
        <w:rPr>
          <w:lang w:val="en-US"/>
        </w:rPr>
        <w:t xml:space="preserve"> </w:t>
      </w:r>
      <w:r w:rsidR="00134292" w:rsidRPr="00DD1B58">
        <w:rPr>
          <w:lang w:val="en-US"/>
        </w:rPr>
        <w:t>Springfields Fuels Ltd</w:t>
      </w:r>
      <w:r w:rsidR="00660F9A" w:rsidRPr="00DD1B58">
        <w:rPr>
          <w:lang w:val="en-US"/>
        </w:rPr>
        <w:t xml:space="preserve"> </w:t>
      </w:r>
      <w:r w:rsidR="006D798B" w:rsidRPr="00DD1B58">
        <w:rPr>
          <w:lang w:val="en-US"/>
        </w:rPr>
        <w:t>reports that</w:t>
      </w:r>
      <w:r w:rsidR="00660F9A" w:rsidRPr="00DD1B58">
        <w:rPr>
          <w:lang w:val="en-US"/>
        </w:rPr>
        <w:t xml:space="preserve"> h</w:t>
      </w:r>
      <w:r w:rsidR="008204CE" w:rsidRPr="00DD1B58">
        <w:rPr>
          <w:lang w:val="en-US"/>
        </w:rPr>
        <w:t>azardous areas such as battery charging areas would be identified during an FRA</w:t>
      </w:r>
      <w:r w:rsidR="002644C7" w:rsidRPr="00DD1B58">
        <w:rPr>
          <w:lang w:val="en-US"/>
        </w:rPr>
        <w:t>,</w:t>
      </w:r>
      <w:r w:rsidR="008204CE" w:rsidRPr="00DD1B58">
        <w:rPr>
          <w:lang w:val="en-US"/>
        </w:rPr>
        <w:t xml:space="preserve"> which would then prompt a DSEAR assessment.</w:t>
      </w:r>
      <w:r w:rsidR="00660F9A" w:rsidRPr="00DD1B58">
        <w:rPr>
          <w:lang w:val="en-US"/>
        </w:rPr>
        <w:t xml:space="preserve"> It also </w:t>
      </w:r>
      <w:r w:rsidR="007376D6" w:rsidRPr="00DD1B58">
        <w:rPr>
          <w:lang w:val="en-US"/>
        </w:rPr>
        <w:t>states that</w:t>
      </w:r>
      <w:r w:rsidR="00660F9A" w:rsidRPr="00DD1B58">
        <w:rPr>
          <w:lang w:val="en-US"/>
        </w:rPr>
        <w:t xml:space="preserve"> p</w:t>
      </w:r>
      <w:r w:rsidR="008204CE" w:rsidRPr="00DD1B58">
        <w:rPr>
          <w:lang w:val="en-US"/>
        </w:rPr>
        <w:t xml:space="preserve">otential ignition sources for new builds e.g., use of solvents or pyrophoric materials </w:t>
      </w:r>
      <w:r w:rsidR="00660F9A" w:rsidRPr="00DD1B58">
        <w:rPr>
          <w:lang w:val="en-US"/>
        </w:rPr>
        <w:t xml:space="preserve">are </w:t>
      </w:r>
      <w:r w:rsidR="008204CE" w:rsidRPr="00DD1B58">
        <w:rPr>
          <w:lang w:val="en-US"/>
        </w:rPr>
        <w:t>captured in</w:t>
      </w:r>
      <w:r w:rsidR="00660F9A" w:rsidRPr="00DD1B58">
        <w:rPr>
          <w:lang w:val="en-US"/>
        </w:rPr>
        <w:t xml:space="preserve"> the</w:t>
      </w:r>
      <w:r w:rsidR="008204CE" w:rsidRPr="00DD1B58">
        <w:rPr>
          <w:lang w:val="en-US"/>
        </w:rPr>
        <w:t xml:space="preserve"> fire safety COSC reports (Conventional and nuclear)</w:t>
      </w:r>
      <w:r w:rsidR="00660F9A" w:rsidRPr="00DD1B58">
        <w:rPr>
          <w:lang w:val="en-US"/>
        </w:rPr>
        <w:t xml:space="preserve"> </w:t>
      </w:r>
      <w:r w:rsidR="002644C7" w:rsidRPr="00DD1B58">
        <w:rPr>
          <w:lang w:val="en-US"/>
        </w:rPr>
        <w:t xml:space="preserve">that </w:t>
      </w:r>
      <w:r w:rsidR="00660F9A" w:rsidRPr="00DD1B58">
        <w:rPr>
          <w:lang w:val="en-US"/>
        </w:rPr>
        <w:t xml:space="preserve">it undertakes </w:t>
      </w:r>
      <w:r w:rsidR="008204CE" w:rsidRPr="00DD1B58">
        <w:rPr>
          <w:lang w:val="en-US"/>
        </w:rPr>
        <w:t xml:space="preserve">in support of the design. Ignition sources </w:t>
      </w:r>
      <w:r w:rsidR="002644C7" w:rsidRPr="00DD1B58">
        <w:rPr>
          <w:lang w:val="en-US"/>
        </w:rPr>
        <w:t xml:space="preserve">would also be </w:t>
      </w:r>
      <w:r w:rsidR="008204CE" w:rsidRPr="00DD1B58">
        <w:rPr>
          <w:lang w:val="en-US"/>
        </w:rPr>
        <w:t>captured through the HAZOP process in support of the COSR.</w:t>
      </w:r>
      <w:r w:rsidR="002E21B0" w:rsidRPr="00DD1B58">
        <w:rPr>
          <w:lang w:val="en-US"/>
        </w:rPr>
        <w:t xml:space="preserve"> </w:t>
      </w:r>
      <w:r w:rsidR="00134292" w:rsidRPr="00DD1B58">
        <w:rPr>
          <w:lang w:val="en-US"/>
        </w:rPr>
        <w:t>Springfields Fuels Ltd</w:t>
      </w:r>
      <w:r w:rsidR="002E21B0" w:rsidRPr="00DD1B58">
        <w:rPr>
          <w:lang w:val="en-US"/>
        </w:rPr>
        <w:t xml:space="preserve"> </w:t>
      </w:r>
      <w:r w:rsidR="006D798B" w:rsidRPr="00DD1B58">
        <w:rPr>
          <w:lang w:val="en-US"/>
        </w:rPr>
        <w:t>reports that</w:t>
      </w:r>
      <w:r w:rsidR="002E21B0" w:rsidRPr="00DD1B58">
        <w:rPr>
          <w:lang w:val="en-US"/>
        </w:rPr>
        <w:t xml:space="preserve"> the </w:t>
      </w:r>
      <w:r w:rsidR="0048206C" w:rsidRPr="00DD1B58">
        <w:rPr>
          <w:lang w:val="en-US"/>
        </w:rPr>
        <w:t xml:space="preserve">COSC papers for Nuclear and </w:t>
      </w:r>
      <w:r w:rsidR="002E21B0" w:rsidRPr="00DD1B58">
        <w:rPr>
          <w:lang w:val="en-US"/>
        </w:rPr>
        <w:t xml:space="preserve">conventional </w:t>
      </w:r>
      <w:r w:rsidR="0048206C" w:rsidRPr="00DD1B58">
        <w:rPr>
          <w:lang w:val="en-US"/>
        </w:rPr>
        <w:t>fire safety also assess fire loading, ignition sources, etc where required. Plant modification procedures (PMP’s) require fire to be specifically assessed and reviewed where necessary by the Springfields fire safety manager.</w:t>
      </w:r>
    </w:p>
    <w:p w14:paraId="7C64B912" w14:textId="77A30A97" w:rsidR="0048206C" w:rsidRPr="00DD1B58" w:rsidRDefault="00971E99" w:rsidP="0048206C">
      <w:pPr>
        <w:rPr>
          <w:lang w:val="en-US"/>
        </w:rPr>
      </w:pPr>
      <w:r w:rsidRPr="00DD1B58">
        <w:rPr>
          <w:lang w:val="en-US"/>
        </w:rPr>
        <w:t>Springfields Fuels Ltd requires a</w:t>
      </w:r>
      <w:r w:rsidR="0048206C" w:rsidRPr="00DD1B58">
        <w:rPr>
          <w:lang w:val="en-US"/>
        </w:rPr>
        <w:t xml:space="preserve">ll buildings on site </w:t>
      </w:r>
      <w:r w:rsidR="00B80E71" w:rsidRPr="00DD1B58">
        <w:rPr>
          <w:lang w:val="en-US"/>
        </w:rPr>
        <w:t xml:space="preserve">to </w:t>
      </w:r>
      <w:r w:rsidR="0048206C" w:rsidRPr="00DD1B58">
        <w:rPr>
          <w:lang w:val="en-US"/>
        </w:rPr>
        <w:t>have an up-to-date Fire Risk Assessment stored on the site Fire Actions Database</w:t>
      </w:r>
      <w:r w:rsidRPr="00DD1B58">
        <w:rPr>
          <w:lang w:val="en-US"/>
        </w:rPr>
        <w:t xml:space="preserve"> and tracks</w:t>
      </w:r>
      <w:r w:rsidR="0048206C" w:rsidRPr="00DD1B58">
        <w:rPr>
          <w:lang w:val="en-US"/>
        </w:rPr>
        <w:t xml:space="preserve"> fire risk assessment actions/significant findings via the Fire Actions Data base. Whilst these primarily address conventional fire safety and compliance with the </w:t>
      </w:r>
      <w:r w:rsidR="00416322" w:rsidRPr="00DD1B58">
        <w:rPr>
          <w:lang w:val="en-US"/>
        </w:rPr>
        <w:t xml:space="preserve">FSO </w:t>
      </w:r>
      <w:r w:rsidR="0048206C" w:rsidRPr="00DD1B58">
        <w:rPr>
          <w:lang w:val="en-US"/>
        </w:rPr>
        <w:t>they provide a means for the identification of ignition sources.</w:t>
      </w:r>
      <w:r w:rsidR="00E76FC1" w:rsidRPr="00DD1B58">
        <w:rPr>
          <w:lang w:val="en-US"/>
        </w:rPr>
        <w:t xml:space="preserve"> </w:t>
      </w:r>
      <w:r w:rsidR="00A805CB" w:rsidRPr="00DD1B58">
        <w:rPr>
          <w:lang w:val="en-US"/>
        </w:rPr>
        <w:t>Springfields Fuels Ltd</w:t>
      </w:r>
      <w:r w:rsidR="00A805CB" w:rsidRPr="00DD1B58" w:rsidDel="00A805CB">
        <w:rPr>
          <w:lang w:val="en-US"/>
        </w:rPr>
        <w:t xml:space="preserve"> </w:t>
      </w:r>
      <w:r w:rsidR="00A805CB" w:rsidRPr="00DD1B58">
        <w:rPr>
          <w:lang w:val="en-US"/>
        </w:rPr>
        <w:t>applies the following</w:t>
      </w:r>
      <w:r w:rsidR="00E76FC1" w:rsidRPr="00DD1B58">
        <w:rPr>
          <w:lang w:val="en-US"/>
        </w:rPr>
        <w:t xml:space="preserve"> </w:t>
      </w:r>
      <w:r w:rsidR="006C2F79" w:rsidRPr="00DD1B58">
        <w:rPr>
          <w:lang w:val="en-US"/>
        </w:rPr>
        <w:t>principles and procedures:</w:t>
      </w:r>
    </w:p>
    <w:p w14:paraId="3F1CF4A1" w14:textId="77777777" w:rsidR="000106DF" w:rsidRPr="00DD1B58" w:rsidRDefault="0048206C" w:rsidP="0048206C">
      <w:pPr>
        <w:pStyle w:val="Bulletlist1"/>
        <w:rPr>
          <w:i/>
          <w:iCs/>
          <w:lang w:val="en-US"/>
        </w:rPr>
      </w:pPr>
      <w:r w:rsidRPr="00DD1B58">
        <w:rPr>
          <w:i/>
          <w:iCs/>
          <w:lang w:val="en-US"/>
        </w:rPr>
        <w:t>There are site arrangements for the maintenance of fixed electrical and portable electrical appliances to ensure they are inspected and tested on a periodic basis. The due date for PAT testing is interrogated during the FRA.</w:t>
      </w:r>
    </w:p>
    <w:p w14:paraId="54E19F86" w14:textId="77777777" w:rsidR="000106DF" w:rsidRPr="00DD1B58" w:rsidRDefault="0048206C" w:rsidP="0048206C">
      <w:pPr>
        <w:pStyle w:val="Bulletlist1"/>
        <w:rPr>
          <w:i/>
          <w:iCs/>
          <w:lang w:val="en-US"/>
        </w:rPr>
      </w:pPr>
      <w:r w:rsidRPr="00DD1B58">
        <w:rPr>
          <w:i/>
          <w:iCs/>
          <w:lang w:val="en-US"/>
        </w:rPr>
        <w:t>Consideration is given through the PMP process to ensure that new equipment does not pose a risk of ignition.</w:t>
      </w:r>
    </w:p>
    <w:p w14:paraId="6EB1CC1E" w14:textId="77777777" w:rsidR="000106DF" w:rsidRPr="00DD1B58" w:rsidRDefault="0048206C" w:rsidP="0048206C">
      <w:pPr>
        <w:pStyle w:val="Bulletlist1"/>
        <w:rPr>
          <w:i/>
          <w:iCs/>
          <w:lang w:val="en-US"/>
        </w:rPr>
      </w:pPr>
      <w:r w:rsidRPr="00DD1B58">
        <w:rPr>
          <w:i/>
          <w:iCs/>
          <w:lang w:val="en-US"/>
        </w:rPr>
        <w:t>In hazardous zoned areas equipment is EX rated.</w:t>
      </w:r>
    </w:p>
    <w:p w14:paraId="35F07F14" w14:textId="77777777" w:rsidR="000106DF" w:rsidRPr="00DD1B58" w:rsidRDefault="0048206C" w:rsidP="0048206C">
      <w:pPr>
        <w:pStyle w:val="Bulletlist1"/>
        <w:rPr>
          <w:i/>
          <w:iCs/>
          <w:lang w:val="en-US"/>
        </w:rPr>
      </w:pPr>
      <w:r w:rsidRPr="00DD1B58">
        <w:rPr>
          <w:i/>
          <w:iCs/>
          <w:lang w:val="en-US"/>
        </w:rPr>
        <w:t>Outside of hazardous areas good engineering practice is implemented.</w:t>
      </w:r>
    </w:p>
    <w:p w14:paraId="6647F68F" w14:textId="77777777" w:rsidR="000106DF" w:rsidRPr="00DD1B58" w:rsidRDefault="0048206C" w:rsidP="0048206C">
      <w:pPr>
        <w:pStyle w:val="Bulletlist1"/>
        <w:rPr>
          <w:i/>
          <w:iCs/>
          <w:lang w:val="en-US"/>
        </w:rPr>
      </w:pPr>
      <w:r w:rsidRPr="00DD1B58">
        <w:rPr>
          <w:i/>
          <w:iCs/>
          <w:lang w:val="en-US"/>
        </w:rPr>
        <w:t>Flammable and highly flammable solvents and flammable aerosols are stored in flammables cupboards.</w:t>
      </w:r>
    </w:p>
    <w:p w14:paraId="71CAB30C" w14:textId="54F98076" w:rsidR="000106DF" w:rsidRPr="00DD1B58" w:rsidRDefault="0048206C" w:rsidP="0048206C">
      <w:pPr>
        <w:pStyle w:val="Bulletlist1"/>
        <w:rPr>
          <w:i/>
          <w:iCs/>
          <w:lang w:val="en-US"/>
        </w:rPr>
      </w:pPr>
      <w:r w:rsidRPr="00DD1B58">
        <w:rPr>
          <w:i/>
          <w:iCs/>
          <w:lang w:val="en-US"/>
        </w:rPr>
        <w:t xml:space="preserve">In accordance with CLP regulations </w:t>
      </w:r>
      <w:sdt>
        <w:sdtPr>
          <w:rPr>
            <w:i/>
            <w:iCs/>
            <w:lang w:val="en-US"/>
          </w:rPr>
          <w:id w:val="1256017461"/>
          <w:citation/>
        </w:sdtPr>
        <w:sdtContent>
          <w:r w:rsidR="0028454B" w:rsidRPr="00DD1B58">
            <w:rPr>
              <w:i/>
              <w:iCs/>
              <w:lang w:val="en-US"/>
            </w:rPr>
            <w:fldChar w:fldCharType="begin"/>
          </w:r>
          <w:r w:rsidR="0028454B" w:rsidRPr="00DD1B58">
            <w:rPr>
              <w:lang w:val="en-US"/>
            </w:rPr>
            <w:instrText xml:space="preserve"> CITATION Eur3 \l 2057 </w:instrText>
          </w:r>
          <w:r w:rsidR="0028454B" w:rsidRPr="00DD1B58">
            <w:rPr>
              <w:i/>
              <w:iCs/>
              <w:lang w:val="en-US"/>
            </w:rPr>
            <w:fldChar w:fldCharType="separate"/>
          </w:r>
          <w:r w:rsidR="00DF47DA" w:rsidRPr="00DF47DA">
            <w:rPr>
              <w:lang w:val="en-US"/>
            </w:rPr>
            <w:t>[152]</w:t>
          </w:r>
          <w:r w:rsidR="0028454B" w:rsidRPr="00DD1B58">
            <w:rPr>
              <w:i/>
              <w:iCs/>
              <w:lang w:val="en-US"/>
            </w:rPr>
            <w:fldChar w:fldCharType="end"/>
          </w:r>
        </w:sdtContent>
      </w:sdt>
      <w:r w:rsidRPr="00DD1B58">
        <w:rPr>
          <w:i/>
          <w:iCs/>
          <w:lang w:val="en-US"/>
        </w:rPr>
        <w:t xml:space="preserve"> flammable aerosols are subject to a DSEAR risk assessment.</w:t>
      </w:r>
    </w:p>
    <w:p w14:paraId="0843D12B" w14:textId="77777777" w:rsidR="0048206C" w:rsidRPr="00DD1B58" w:rsidRDefault="0048206C" w:rsidP="0048206C">
      <w:pPr>
        <w:pStyle w:val="Bulletlist1"/>
        <w:rPr>
          <w:i/>
          <w:iCs/>
          <w:lang w:val="en-US"/>
        </w:rPr>
      </w:pPr>
      <w:r w:rsidRPr="00DD1B58">
        <w:rPr>
          <w:i/>
          <w:iCs/>
          <w:lang w:val="en-US"/>
        </w:rPr>
        <w:t>Wherever practicable</w:t>
      </w:r>
      <w:r w:rsidR="00A805CB" w:rsidRPr="00DD1B58">
        <w:rPr>
          <w:i/>
          <w:iCs/>
          <w:lang w:val="en-US"/>
        </w:rPr>
        <w:t>,</w:t>
      </w:r>
      <w:r w:rsidRPr="00DD1B58">
        <w:rPr>
          <w:i/>
          <w:iCs/>
          <w:lang w:val="en-US"/>
        </w:rPr>
        <w:t xml:space="preserve"> fire resisting hydraulic fluids are used e.g., in presses.</w:t>
      </w:r>
    </w:p>
    <w:p w14:paraId="2CBC1133" w14:textId="7786139C" w:rsidR="0048206C" w:rsidRPr="00DD1B58" w:rsidRDefault="0048206C" w:rsidP="0048206C">
      <w:pPr>
        <w:rPr>
          <w:lang w:val="en-US"/>
        </w:rPr>
      </w:pPr>
      <w:r w:rsidRPr="00DD1B58">
        <w:rPr>
          <w:lang w:val="en-US"/>
        </w:rPr>
        <w:t xml:space="preserve">As an </w:t>
      </w:r>
      <w:r w:rsidR="006C2F79" w:rsidRPr="00DD1B58">
        <w:rPr>
          <w:lang w:val="en-US"/>
        </w:rPr>
        <w:t>example,</w:t>
      </w:r>
      <w:r w:rsidRPr="00DD1B58">
        <w:rPr>
          <w:lang w:val="en-US"/>
        </w:rPr>
        <w:t xml:space="preserve"> as part of a COSR review of OFC </w:t>
      </w:r>
      <w:r w:rsidR="00A805CB" w:rsidRPr="00DD1B58">
        <w:rPr>
          <w:lang w:val="en-US"/>
        </w:rPr>
        <w:t xml:space="preserve">Springfields Fuels </w:t>
      </w:r>
      <w:r w:rsidR="00BF0D1B" w:rsidRPr="00DD1B58">
        <w:rPr>
          <w:lang w:val="en-US"/>
        </w:rPr>
        <w:t>Ltd</w:t>
      </w:r>
      <w:r w:rsidR="00A805CB" w:rsidRPr="00DD1B58">
        <w:rPr>
          <w:lang w:val="en-US"/>
        </w:rPr>
        <w:t xml:space="preserve"> </w:t>
      </w:r>
      <w:r w:rsidRPr="00DD1B58">
        <w:rPr>
          <w:lang w:val="en-US"/>
        </w:rPr>
        <w:t xml:space="preserve">determined that the potential for fires in Mechanical Area 1 and Mechanical Area 2 </w:t>
      </w:r>
      <w:r w:rsidR="00B65270" w:rsidRPr="00DD1B58">
        <w:rPr>
          <w:lang w:val="en-US"/>
        </w:rPr>
        <w:t>(</w:t>
      </w:r>
      <w:r w:rsidRPr="00DD1B58">
        <w:rPr>
          <w:lang w:val="en-US"/>
        </w:rPr>
        <w:t>requiring site fire service intervention and the use of water</w:t>
      </w:r>
      <w:r w:rsidR="00B65270" w:rsidRPr="00DD1B58">
        <w:rPr>
          <w:lang w:val="en-US"/>
        </w:rPr>
        <w:t>)</w:t>
      </w:r>
      <w:r w:rsidRPr="00DD1B58">
        <w:rPr>
          <w:lang w:val="en-US"/>
        </w:rPr>
        <w:t xml:space="preserve"> was increased by combustible material</w:t>
      </w:r>
      <w:r w:rsidR="003F7222" w:rsidRPr="00DD1B58">
        <w:rPr>
          <w:lang w:val="en-US"/>
        </w:rPr>
        <w:t xml:space="preserve"> storage</w:t>
      </w:r>
      <w:r w:rsidRPr="00DD1B58">
        <w:rPr>
          <w:lang w:val="en-US"/>
        </w:rPr>
        <w:t xml:space="preserve"> and </w:t>
      </w:r>
      <w:r w:rsidR="003F7222" w:rsidRPr="00DD1B58">
        <w:rPr>
          <w:lang w:val="en-US"/>
        </w:rPr>
        <w:t xml:space="preserve">by the creation of </w:t>
      </w:r>
      <w:r w:rsidRPr="00DD1B58">
        <w:rPr>
          <w:lang w:val="en-US"/>
        </w:rPr>
        <w:t>open administration areas</w:t>
      </w:r>
      <w:r w:rsidR="003F7222" w:rsidRPr="00DD1B58">
        <w:rPr>
          <w:lang w:val="en-US"/>
        </w:rPr>
        <w:t>.</w:t>
      </w:r>
      <w:r w:rsidR="00940D2A" w:rsidRPr="00DD1B58">
        <w:rPr>
          <w:lang w:val="en-US"/>
        </w:rPr>
        <w:t xml:space="preserve"> </w:t>
      </w:r>
      <w:r w:rsidR="003F7222" w:rsidRPr="00DD1B58">
        <w:rPr>
          <w:lang w:val="en-US"/>
        </w:rPr>
        <w:t>Springfields Fuels Ltd identified a</w:t>
      </w:r>
      <w:r w:rsidRPr="00DD1B58">
        <w:rPr>
          <w:lang w:val="en-US"/>
        </w:rPr>
        <w:t xml:space="preserve"> </w:t>
      </w:r>
      <w:r w:rsidR="003F7222" w:rsidRPr="00DD1B58">
        <w:rPr>
          <w:lang w:val="en-US"/>
        </w:rPr>
        <w:t xml:space="preserve">mitigation </w:t>
      </w:r>
      <w:r w:rsidR="00013887" w:rsidRPr="00DD1B58">
        <w:rPr>
          <w:lang w:val="en-US"/>
        </w:rPr>
        <w:t xml:space="preserve">- </w:t>
      </w:r>
      <w:r w:rsidRPr="00DD1B58">
        <w:rPr>
          <w:lang w:val="en-US"/>
        </w:rPr>
        <w:t xml:space="preserve">the areas are manned on a 24-hour basis </w:t>
      </w:r>
      <w:r w:rsidR="00013887" w:rsidRPr="00DD1B58">
        <w:rPr>
          <w:lang w:val="en-US"/>
        </w:rPr>
        <w:t>(</w:t>
      </w:r>
      <w:r w:rsidRPr="00DD1B58">
        <w:rPr>
          <w:lang w:val="en-US"/>
        </w:rPr>
        <w:t>and any fire should be discovered</w:t>
      </w:r>
      <w:r w:rsidR="00013887" w:rsidRPr="00DD1B58">
        <w:rPr>
          <w:lang w:val="en-US"/>
        </w:rPr>
        <w:t>)</w:t>
      </w:r>
      <w:r w:rsidR="00122A1A" w:rsidRPr="00DD1B58">
        <w:rPr>
          <w:lang w:val="en-US"/>
        </w:rPr>
        <w:t>.</w:t>
      </w:r>
    </w:p>
    <w:p w14:paraId="45EC9C4E" w14:textId="77777777" w:rsidR="00122A1A" w:rsidRPr="00DD1B58" w:rsidRDefault="00E4779B" w:rsidP="0048206C">
      <w:pPr>
        <w:rPr>
          <w:b/>
          <w:lang w:val="en-US"/>
        </w:rPr>
      </w:pPr>
      <w:r w:rsidRPr="00DD1B58">
        <w:rPr>
          <w:b/>
          <w:lang w:val="en-US"/>
        </w:rPr>
        <w:t>Ignition Risk Reduction</w:t>
      </w:r>
    </w:p>
    <w:p w14:paraId="13045BA9" w14:textId="6E188F1B" w:rsidR="00E4779B" w:rsidRPr="00DD1B58" w:rsidRDefault="00B3193C" w:rsidP="00B3193C">
      <w:pPr>
        <w:rPr>
          <w:lang w:val="en-US"/>
        </w:rPr>
      </w:pPr>
      <w:r w:rsidRPr="00DD1B58">
        <w:rPr>
          <w:lang w:val="en-US"/>
        </w:rPr>
        <w:t xml:space="preserve">SSI 668 A </w:t>
      </w:r>
      <w:sdt>
        <w:sdtPr>
          <w:rPr>
            <w:lang w:val="en-US"/>
          </w:rPr>
          <w:id w:val="15584034"/>
          <w:citation/>
        </w:sdtPr>
        <w:sdtContent>
          <w:r w:rsidR="0028454B" w:rsidRPr="00DD1B58">
            <w:rPr>
              <w:lang w:val="en-US"/>
            </w:rPr>
            <w:fldChar w:fldCharType="begin"/>
          </w:r>
          <w:r w:rsidR="0028454B" w:rsidRPr="00DD1B58">
            <w:rPr>
              <w:lang w:val="en-US"/>
            </w:rPr>
            <w:instrText xml:space="preserve"> CITATION SSI6 \l 2057 </w:instrText>
          </w:r>
          <w:r w:rsidR="0028454B" w:rsidRPr="00DD1B58">
            <w:rPr>
              <w:lang w:val="en-US"/>
            </w:rPr>
            <w:fldChar w:fldCharType="separate"/>
          </w:r>
          <w:r w:rsidR="00DF47DA" w:rsidRPr="00DF47DA">
            <w:rPr>
              <w:noProof/>
              <w:lang w:val="en-US"/>
            </w:rPr>
            <w:t>[153]</w:t>
          </w:r>
          <w:r w:rsidR="0028454B" w:rsidRPr="00DD1B58">
            <w:rPr>
              <w:lang w:val="en-US"/>
            </w:rPr>
            <w:fldChar w:fldCharType="end"/>
          </w:r>
        </w:sdtContent>
      </w:sdt>
      <w:r w:rsidRPr="00DD1B58">
        <w:rPr>
          <w:lang w:val="en-US"/>
        </w:rPr>
        <w:t xml:space="preserve"> requires that A Hot Work Fire Risk Assessment (SSI 688J) form must be completed before any hot work commences in a building</w:t>
      </w:r>
      <w:r w:rsidR="007C3F42" w:rsidRPr="00DD1B58">
        <w:rPr>
          <w:lang w:val="en-US"/>
        </w:rPr>
        <w:t>/</w:t>
      </w:r>
      <w:r w:rsidRPr="00DD1B58">
        <w:rPr>
          <w:lang w:val="en-US"/>
        </w:rPr>
        <w:t xml:space="preserve">plant as stated in SSI 688H instruction. </w:t>
      </w:r>
      <w:r w:rsidR="0056545D" w:rsidRPr="00DD1B58">
        <w:rPr>
          <w:lang w:val="en-US"/>
        </w:rPr>
        <w:t xml:space="preserve">Springfields Fuels </w:t>
      </w:r>
      <w:r w:rsidR="00BF0D1B" w:rsidRPr="00DD1B58">
        <w:rPr>
          <w:lang w:val="en-US"/>
        </w:rPr>
        <w:t>Ltd</w:t>
      </w:r>
      <w:r w:rsidR="0056545D" w:rsidRPr="00DD1B58">
        <w:rPr>
          <w:lang w:val="en-US"/>
        </w:rPr>
        <w:t xml:space="preserve"> </w:t>
      </w:r>
      <w:r w:rsidR="007376D6" w:rsidRPr="00DD1B58">
        <w:rPr>
          <w:lang w:val="en-US"/>
        </w:rPr>
        <w:t>states that</w:t>
      </w:r>
      <w:r w:rsidR="0056545D" w:rsidRPr="00DD1B58">
        <w:rPr>
          <w:lang w:val="en-US"/>
        </w:rPr>
        <w:t xml:space="preserve"> it </w:t>
      </w:r>
      <w:r w:rsidRPr="00DD1B58">
        <w:rPr>
          <w:lang w:val="en-US"/>
        </w:rPr>
        <w:t xml:space="preserve">is the building owner’s responsibility to ensure </w:t>
      </w:r>
      <w:r w:rsidR="0056545D" w:rsidRPr="00DD1B58">
        <w:rPr>
          <w:lang w:val="en-US"/>
        </w:rPr>
        <w:t xml:space="preserve">the </w:t>
      </w:r>
      <w:r w:rsidRPr="00DD1B58">
        <w:rPr>
          <w:lang w:val="en-US"/>
        </w:rPr>
        <w:t>assessment is carried out.</w:t>
      </w:r>
      <w:r w:rsidR="0056545D" w:rsidRPr="00DD1B58">
        <w:rPr>
          <w:lang w:val="en-US"/>
        </w:rPr>
        <w:t xml:space="preserve"> It also </w:t>
      </w:r>
      <w:r w:rsidR="006D798B" w:rsidRPr="00DD1B58">
        <w:rPr>
          <w:lang w:val="en-US"/>
        </w:rPr>
        <w:t>reports that</w:t>
      </w:r>
      <w:r w:rsidR="0056545D" w:rsidRPr="00DD1B58">
        <w:rPr>
          <w:lang w:val="en-US"/>
        </w:rPr>
        <w:t xml:space="preserve"> t</w:t>
      </w:r>
      <w:r w:rsidRPr="00DD1B58">
        <w:rPr>
          <w:lang w:val="en-US"/>
        </w:rPr>
        <w:t>he area and works are assessed by a competent individual and appropriate control measures i.e., fireproof sheeting, ensuring areas are clear of combustibles, etc. are in place before the works are commenced.</w:t>
      </w:r>
    </w:p>
    <w:p w14:paraId="293D0BAF" w14:textId="2974D473" w:rsidR="009E40C1" w:rsidRPr="00DD1B58" w:rsidRDefault="009E40C1" w:rsidP="00FC558F">
      <w:pPr>
        <w:rPr>
          <w:lang w:val="en-US"/>
        </w:rPr>
      </w:pPr>
      <w:r w:rsidRPr="00DD1B58">
        <w:rPr>
          <w:lang w:val="en-US"/>
        </w:rPr>
        <w:t xml:space="preserve">A draft document </w:t>
      </w:r>
      <w:sdt>
        <w:sdtPr>
          <w:rPr>
            <w:lang w:val="en-US"/>
          </w:rPr>
          <w:id w:val="1336503186"/>
          <w:citation/>
        </w:sdtPr>
        <w:sdtContent>
          <w:r w:rsidR="0028454B" w:rsidRPr="00DD1B58">
            <w:rPr>
              <w:lang w:val="en-US"/>
            </w:rPr>
            <w:fldChar w:fldCharType="begin"/>
          </w:r>
          <w:r w:rsidR="0028454B" w:rsidRPr="00DD1B58">
            <w:rPr>
              <w:lang w:val="en-US"/>
            </w:rPr>
            <w:instrText xml:space="preserve"> CITATION Use \l 2057 </w:instrText>
          </w:r>
          <w:r w:rsidR="0028454B" w:rsidRPr="00DD1B58">
            <w:rPr>
              <w:lang w:val="en-US"/>
            </w:rPr>
            <w:fldChar w:fldCharType="separate"/>
          </w:r>
          <w:r w:rsidR="00DF47DA" w:rsidRPr="00DF47DA">
            <w:rPr>
              <w:noProof/>
              <w:lang w:val="en-US"/>
            </w:rPr>
            <w:t>[154]</w:t>
          </w:r>
          <w:r w:rsidR="0028454B" w:rsidRPr="00DD1B58">
            <w:rPr>
              <w:lang w:val="en-US"/>
            </w:rPr>
            <w:fldChar w:fldCharType="end"/>
          </w:r>
        </w:sdtContent>
      </w:sdt>
      <w:r w:rsidRPr="00DD1B58">
        <w:rPr>
          <w:lang w:val="en-US"/>
        </w:rPr>
        <w:t xml:space="preserve"> prepared in 2017‚ Use of Acetylene and Alternative Fuel Gases for Welding and other Purposes at Springfields describes the responsibilities and requirements for ensuring the hazards associated with the use of fuel gases on the Springfield's site </w:t>
      </w:r>
      <w:r w:rsidR="009C147D" w:rsidRPr="00DD1B58">
        <w:rPr>
          <w:lang w:val="en-US"/>
        </w:rPr>
        <w:t xml:space="preserve">have </w:t>
      </w:r>
      <w:r w:rsidRPr="00DD1B58">
        <w:rPr>
          <w:lang w:val="en-US"/>
        </w:rPr>
        <w:t>been adequately considered with respect to the potential for fire and explosion. This document cover</w:t>
      </w:r>
      <w:r w:rsidR="00FC558F" w:rsidRPr="00DD1B58">
        <w:rPr>
          <w:lang w:val="en-US"/>
        </w:rPr>
        <w:t>s</w:t>
      </w:r>
      <w:r w:rsidRPr="00DD1B58">
        <w:rPr>
          <w:lang w:val="en-US"/>
        </w:rPr>
        <w:t xml:space="preserve"> preferred gases to be used for welding and </w:t>
      </w:r>
      <w:r w:rsidR="00FC558F" w:rsidRPr="00DD1B58">
        <w:rPr>
          <w:lang w:val="en-US"/>
        </w:rPr>
        <w:t xml:space="preserve">cutting, </w:t>
      </w:r>
      <w:r w:rsidRPr="00DD1B58">
        <w:rPr>
          <w:lang w:val="en-US"/>
        </w:rPr>
        <w:t>procedures to be followed if acetylene is to be brought onto site</w:t>
      </w:r>
      <w:r w:rsidR="00FC558F" w:rsidRPr="00DD1B58">
        <w:rPr>
          <w:lang w:val="en-US"/>
        </w:rPr>
        <w:t xml:space="preserve"> as well as e</w:t>
      </w:r>
      <w:r w:rsidRPr="00DD1B58">
        <w:rPr>
          <w:lang w:val="en-US"/>
        </w:rPr>
        <w:t>xempted use of acetylene for specific process and analytical activities.</w:t>
      </w:r>
    </w:p>
    <w:p w14:paraId="25F5EF46" w14:textId="29EE9FAB" w:rsidR="009E40C1" w:rsidRPr="00DD1B58" w:rsidRDefault="009C147D" w:rsidP="009E40C1">
      <w:pPr>
        <w:rPr>
          <w:lang w:val="en-US"/>
        </w:rPr>
      </w:pPr>
      <w:r w:rsidRPr="00DD1B58">
        <w:rPr>
          <w:lang w:val="en-US"/>
        </w:rPr>
        <w:t xml:space="preserve">Springfields Fuels </w:t>
      </w:r>
      <w:r w:rsidR="00BF0D1B" w:rsidRPr="00DD1B58">
        <w:rPr>
          <w:lang w:val="en-US"/>
        </w:rPr>
        <w:t>Ltd</w:t>
      </w:r>
      <w:r w:rsidRPr="00DD1B58">
        <w:rPr>
          <w:lang w:val="en-US"/>
        </w:rPr>
        <w:t xml:space="preserve"> </w:t>
      </w:r>
      <w:r w:rsidR="009E40C1" w:rsidRPr="00DD1B58">
        <w:rPr>
          <w:lang w:val="en-US"/>
        </w:rPr>
        <w:t>determined that the use of acetylene fuel gas on the Springfields site should be restricted in line with practices for the use of acetylene on other UK nuclear licensed sites and to reduce the risk of fire and explosion associated with the use of compressed flammable gases to as low as reasonably practicable.</w:t>
      </w:r>
    </w:p>
    <w:p w14:paraId="17B74562" w14:textId="1B3AD014" w:rsidR="009E40C1" w:rsidRPr="00DD1B58" w:rsidRDefault="0005120C" w:rsidP="009E40C1">
      <w:pPr>
        <w:rPr>
          <w:lang w:val="en-US"/>
        </w:rPr>
      </w:pPr>
      <w:r w:rsidRPr="00DD1B58">
        <w:rPr>
          <w:lang w:val="en-US"/>
        </w:rPr>
        <w:t xml:space="preserve">Springfields Fuels </w:t>
      </w:r>
      <w:r w:rsidR="00BF0D1B" w:rsidRPr="00DD1B58">
        <w:rPr>
          <w:lang w:val="en-US"/>
        </w:rPr>
        <w:t>Ltd</w:t>
      </w:r>
      <w:r w:rsidRPr="00DD1B58">
        <w:rPr>
          <w:lang w:val="en-US"/>
        </w:rPr>
        <w:t xml:space="preserve">’s </w:t>
      </w:r>
      <w:r w:rsidR="00B06FE7" w:rsidRPr="00DD1B58">
        <w:rPr>
          <w:lang w:val="en-US"/>
        </w:rPr>
        <w:t>Fire Safety Manager</w:t>
      </w:r>
      <w:r w:rsidR="009E40C1" w:rsidRPr="00DD1B58">
        <w:rPr>
          <w:lang w:val="en-US"/>
        </w:rPr>
        <w:t xml:space="preserve"> in consultation with the Resident Engineer</w:t>
      </w:r>
      <w:r w:rsidRPr="00DD1B58">
        <w:rPr>
          <w:lang w:val="en-US"/>
        </w:rPr>
        <w:t xml:space="preserve"> </w:t>
      </w:r>
      <w:r w:rsidR="009E40C1" w:rsidRPr="00DD1B58">
        <w:rPr>
          <w:lang w:val="en-US"/>
        </w:rPr>
        <w:t>restrict</w:t>
      </w:r>
      <w:r w:rsidRPr="00DD1B58">
        <w:rPr>
          <w:lang w:val="en-US"/>
        </w:rPr>
        <w:t xml:space="preserve">ed </w:t>
      </w:r>
      <w:r w:rsidR="009E40C1" w:rsidRPr="00DD1B58">
        <w:rPr>
          <w:lang w:val="en-US"/>
        </w:rPr>
        <w:t>the use of acetylene on the Springfield's site including use by contractors, unless there is a specific chemical process or analytical necessity. A less volatile LPG type gas must be used as the alternative (such as Propane).</w:t>
      </w:r>
      <w:r w:rsidR="007030E2" w:rsidRPr="00DD1B58">
        <w:rPr>
          <w:lang w:val="en-US"/>
        </w:rPr>
        <w:t xml:space="preserve"> </w:t>
      </w:r>
      <w:r w:rsidR="009E40C1" w:rsidRPr="00DD1B58">
        <w:rPr>
          <w:lang w:val="en-US"/>
        </w:rPr>
        <w:t xml:space="preserve">Only under specific circumstances </w:t>
      </w:r>
      <w:r w:rsidR="0019593E" w:rsidRPr="00DD1B58">
        <w:rPr>
          <w:lang w:val="en-US"/>
        </w:rPr>
        <w:t xml:space="preserve">acetylene use would be </w:t>
      </w:r>
      <w:r w:rsidR="009E40C1" w:rsidRPr="00DD1B58">
        <w:rPr>
          <w:lang w:val="en-US"/>
        </w:rPr>
        <w:t xml:space="preserve">allowed </w:t>
      </w:r>
      <w:r w:rsidR="0019593E" w:rsidRPr="00DD1B58">
        <w:rPr>
          <w:lang w:val="en-US"/>
        </w:rPr>
        <w:t xml:space="preserve">(e.g. </w:t>
      </w:r>
      <w:r w:rsidR="009E40C1" w:rsidRPr="00DD1B58">
        <w:rPr>
          <w:lang w:val="en-US"/>
        </w:rPr>
        <w:t>where it forms part of a chemical process, is required for specific quality purposes, cryogenic brazing or is used in analytical equipment</w:t>
      </w:r>
      <w:r w:rsidR="0019593E" w:rsidRPr="00DD1B58">
        <w:rPr>
          <w:lang w:val="en-US"/>
        </w:rPr>
        <w:t>)</w:t>
      </w:r>
      <w:r w:rsidR="009E40C1" w:rsidRPr="00DD1B58">
        <w:rPr>
          <w:lang w:val="en-US"/>
        </w:rPr>
        <w:t>.</w:t>
      </w:r>
    </w:p>
    <w:p w14:paraId="6CED7892" w14:textId="77777777" w:rsidR="009E40C1" w:rsidRPr="00DD1B58" w:rsidRDefault="009E40C1" w:rsidP="009E40C1">
      <w:pPr>
        <w:rPr>
          <w:lang w:val="en-US"/>
        </w:rPr>
      </w:pPr>
      <w:r w:rsidRPr="00DD1B58">
        <w:rPr>
          <w:lang w:val="en-US"/>
        </w:rPr>
        <w:t>SSI 668A addresses the use of acetylene and states that the use of Acetylene is prohibited on site unless prior arrangements have been agreed by the Fire safety Manager/Emergency Planning Manager. Prior to this being permitted all other avenues must first have been exhausted, if permitted cylinders must be stored outside buildings when not in use and their storage locations agreed with both SFL Fire and Rescue and the site Fire Safety Manager.</w:t>
      </w:r>
    </w:p>
    <w:p w14:paraId="6D376D2D" w14:textId="10C59074" w:rsidR="009E40C1" w:rsidRPr="00DD1B58" w:rsidRDefault="00DC3C5A" w:rsidP="009E40C1">
      <w:pPr>
        <w:rPr>
          <w:lang w:val="en-US"/>
        </w:rPr>
      </w:pPr>
      <w:r w:rsidRPr="00DD1B58">
        <w:rPr>
          <w:lang w:val="en-US"/>
        </w:rPr>
        <w:t xml:space="preserve">Springfields Fuels </w:t>
      </w:r>
      <w:r w:rsidR="00BF0D1B" w:rsidRPr="00DD1B58">
        <w:rPr>
          <w:lang w:val="en-US"/>
        </w:rPr>
        <w:t>Ltd</w:t>
      </w:r>
      <w:r w:rsidRPr="00DD1B58">
        <w:rPr>
          <w:lang w:val="en-US"/>
        </w:rPr>
        <w:t xml:space="preserve"> </w:t>
      </w:r>
      <w:r w:rsidR="00882BC7" w:rsidRPr="00DD1B58">
        <w:rPr>
          <w:lang w:val="en-US"/>
        </w:rPr>
        <w:t xml:space="preserve">reports </w:t>
      </w:r>
      <w:r w:rsidRPr="00DD1B58">
        <w:rPr>
          <w:lang w:val="en-US"/>
        </w:rPr>
        <w:t>that t</w:t>
      </w:r>
      <w:r w:rsidR="009E40C1" w:rsidRPr="00DD1B58">
        <w:rPr>
          <w:lang w:val="en-US"/>
        </w:rPr>
        <w:t xml:space="preserve">he requirement for hot work risk assessment is </w:t>
      </w:r>
      <w:r w:rsidR="00970A7A" w:rsidRPr="00DD1B58">
        <w:rPr>
          <w:lang w:val="en-US"/>
        </w:rPr>
        <w:t>site wide</w:t>
      </w:r>
      <w:r w:rsidR="009E40C1" w:rsidRPr="00DD1B58">
        <w:rPr>
          <w:lang w:val="en-US"/>
        </w:rPr>
        <w:t xml:space="preserve">. The restriction on the use of acetylene is </w:t>
      </w:r>
      <w:r w:rsidRPr="00DD1B58">
        <w:rPr>
          <w:lang w:val="en-US"/>
        </w:rPr>
        <w:t xml:space="preserve">also </w:t>
      </w:r>
      <w:r w:rsidR="00970A7A" w:rsidRPr="00DD1B58">
        <w:rPr>
          <w:lang w:val="en-US"/>
        </w:rPr>
        <w:t>site wide</w:t>
      </w:r>
      <w:r w:rsidR="009E40C1" w:rsidRPr="00DD1B58">
        <w:rPr>
          <w:lang w:val="en-US"/>
        </w:rPr>
        <w:t>.</w:t>
      </w:r>
      <w:r w:rsidR="00070E52" w:rsidRPr="00DD1B58">
        <w:rPr>
          <w:lang w:val="en-US"/>
        </w:rPr>
        <w:t xml:space="preserve"> </w:t>
      </w:r>
      <w:r w:rsidRPr="00DD1B58">
        <w:rPr>
          <w:lang w:val="en-US"/>
        </w:rPr>
        <w:t xml:space="preserve">Springfields Fuels </w:t>
      </w:r>
      <w:r w:rsidR="00BF0D1B" w:rsidRPr="00DD1B58">
        <w:rPr>
          <w:lang w:val="en-US"/>
        </w:rPr>
        <w:t>Ltd</w:t>
      </w:r>
      <w:r w:rsidRPr="00DD1B58">
        <w:rPr>
          <w:lang w:val="en-US"/>
        </w:rPr>
        <w:t xml:space="preserve"> also </w:t>
      </w:r>
      <w:r w:rsidR="002006E5" w:rsidRPr="00DD1B58">
        <w:rPr>
          <w:lang w:val="en-US"/>
        </w:rPr>
        <w:t xml:space="preserve">reports </w:t>
      </w:r>
      <w:r w:rsidRPr="00DD1B58">
        <w:rPr>
          <w:lang w:val="en-US"/>
        </w:rPr>
        <w:t>the</w:t>
      </w:r>
      <w:r w:rsidR="009E40C1" w:rsidRPr="00DD1B58">
        <w:rPr>
          <w:lang w:val="en-US"/>
        </w:rPr>
        <w:t xml:space="preserve"> </w:t>
      </w:r>
      <w:r w:rsidR="009862B0" w:rsidRPr="00DD1B58">
        <w:rPr>
          <w:lang w:val="en-US"/>
        </w:rPr>
        <w:t xml:space="preserve">requirement </w:t>
      </w:r>
      <w:r w:rsidR="009E40C1" w:rsidRPr="00DD1B58">
        <w:rPr>
          <w:lang w:val="en-US"/>
        </w:rPr>
        <w:t xml:space="preserve">that only scaffold boards meeting a EuroClass C as a minimum </w:t>
      </w:r>
      <w:r w:rsidR="009862B0" w:rsidRPr="00DD1B58">
        <w:rPr>
          <w:lang w:val="en-US"/>
        </w:rPr>
        <w:t>is</w:t>
      </w:r>
      <w:r w:rsidR="009E40C1" w:rsidRPr="00DD1B58">
        <w:rPr>
          <w:lang w:val="en-US"/>
        </w:rPr>
        <w:t xml:space="preserve"> used.</w:t>
      </w:r>
      <w:r w:rsidR="00070E52" w:rsidRPr="00DD1B58">
        <w:rPr>
          <w:lang w:val="en-US"/>
        </w:rPr>
        <w:t xml:space="preserve"> </w:t>
      </w:r>
      <w:r w:rsidR="00671B7E" w:rsidRPr="00DD1B58">
        <w:rPr>
          <w:lang w:val="en-US"/>
        </w:rPr>
        <w:t xml:space="preserve">It </w:t>
      </w:r>
      <w:r w:rsidR="0055184E" w:rsidRPr="00DD1B58">
        <w:rPr>
          <w:lang w:val="en-US"/>
        </w:rPr>
        <w:t xml:space="preserve">also </w:t>
      </w:r>
      <w:r w:rsidR="00671B7E" w:rsidRPr="00DD1B58">
        <w:rPr>
          <w:lang w:val="en-US"/>
        </w:rPr>
        <w:t>requires p</w:t>
      </w:r>
      <w:r w:rsidR="009E40C1" w:rsidRPr="00DD1B58">
        <w:rPr>
          <w:lang w:val="en-US"/>
        </w:rPr>
        <w:t xml:space="preserve">lastic sheeting </w:t>
      </w:r>
      <w:r w:rsidR="00671B7E" w:rsidRPr="00DD1B58">
        <w:rPr>
          <w:lang w:val="en-US"/>
        </w:rPr>
        <w:t>(</w:t>
      </w:r>
      <w:r w:rsidR="009E40C1" w:rsidRPr="00DD1B58">
        <w:rPr>
          <w:lang w:val="en-US"/>
        </w:rPr>
        <w:t>for construction of tented areas or general protection against dust and dirt</w:t>
      </w:r>
      <w:r w:rsidR="00671B7E" w:rsidRPr="00DD1B58">
        <w:rPr>
          <w:lang w:val="en-US"/>
        </w:rPr>
        <w:t>)</w:t>
      </w:r>
      <w:r w:rsidR="009E40C1" w:rsidRPr="00DD1B58">
        <w:rPr>
          <w:lang w:val="en-US"/>
        </w:rPr>
        <w:t xml:space="preserve"> to be </w:t>
      </w:r>
      <w:r w:rsidR="00DC1390" w:rsidRPr="00DD1B58">
        <w:rPr>
          <w:lang w:val="en-US"/>
        </w:rPr>
        <w:t>Loss Prevention Certification Board (</w:t>
      </w:r>
      <w:r w:rsidR="009E40C1" w:rsidRPr="00DD1B58">
        <w:rPr>
          <w:lang w:val="en-US"/>
        </w:rPr>
        <w:t>LPCB</w:t>
      </w:r>
      <w:r w:rsidR="00DC1390" w:rsidRPr="00DD1B58">
        <w:rPr>
          <w:lang w:val="en-US"/>
        </w:rPr>
        <w:t>)</w:t>
      </w:r>
      <w:r w:rsidR="009E40C1" w:rsidRPr="00DD1B58">
        <w:rPr>
          <w:lang w:val="en-US"/>
        </w:rPr>
        <w:t xml:space="preserve"> approved to </w:t>
      </w:r>
      <w:r w:rsidR="00B35DE7" w:rsidRPr="00DD1B58">
        <w:rPr>
          <w:lang w:val="en-US"/>
        </w:rPr>
        <w:t>Loss Prevention Scheme (</w:t>
      </w:r>
      <w:r w:rsidR="009E40C1" w:rsidRPr="00DD1B58">
        <w:rPr>
          <w:lang w:val="en-US"/>
        </w:rPr>
        <w:t>LPS</w:t>
      </w:r>
      <w:r w:rsidR="00B35DE7" w:rsidRPr="00DD1B58">
        <w:rPr>
          <w:lang w:val="en-US"/>
        </w:rPr>
        <w:t>)</w:t>
      </w:r>
      <w:r w:rsidR="009E40C1" w:rsidRPr="00DD1B58">
        <w:rPr>
          <w:lang w:val="en-US"/>
        </w:rPr>
        <w:t xml:space="preserve"> 1207 </w:t>
      </w:r>
      <w:sdt>
        <w:sdtPr>
          <w:rPr>
            <w:lang w:val="en-US"/>
          </w:rPr>
          <w:id w:val="416223266"/>
          <w:citation/>
        </w:sdtPr>
        <w:sdtContent>
          <w:r w:rsidR="00882601" w:rsidRPr="00DD1B58">
            <w:rPr>
              <w:lang w:val="en-US"/>
            </w:rPr>
            <w:fldChar w:fldCharType="begin"/>
          </w:r>
          <w:r w:rsidR="00882601" w:rsidRPr="00DD1B58">
            <w:rPr>
              <w:lang w:val="en-US"/>
            </w:rPr>
            <w:instrText xml:space="preserve"> CITATION Los \l 2057 </w:instrText>
          </w:r>
          <w:r w:rsidR="00882601" w:rsidRPr="00DD1B58">
            <w:rPr>
              <w:lang w:val="en-US"/>
            </w:rPr>
            <w:fldChar w:fldCharType="separate"/>
          </w:r>
          <w:r w:rsidR="00DF47DA" w:rsidRPr="00DF47DA">
            <w:rPr>
              <w:noProof/>
              <w:lang w:val="en-US"/>
            </w:rPr>
            <w:t>[137]</w:t>
          </w:r>
          <w:r w:rsidR="00882601" w:rsidRPr="00DD1B58">
            <w:rPr>
              <w:lang w:val="en-US"/>
            </w:rPr>
            <w:fldChar w:fldCharType="end"/>
          </w:r>
        </w:sdtContent>
      </w:sdt>
      <w:r w:rsidR="009E40C1" w:rsidRPr="00DD1B58">
        <w:rPr>
          <w:lang w:val="en-US"/>
        </w:rPr>
        <w:t xml:space="preserve">. Plastic netting e.g., for protection of scaffolds is required to be LPCB approved to LPS 1215 </w:t>
      </w:r>
      <w:sdt>
        <w:sdtPr>
          <w:rPr>
            <w:lang w:val="en-US"/>
          </w:rPr>
          <w:id w:val="-633174225"/>
          <w:citation/>
        </w:sdtPr>
        <w:sdtContent>
          <w:r w:rsidR="00882601" w:rsidRPr="00DD1B58">
            <w:rPr>
              <w:lang w:val="en-US"/>
            </w:rPr>
            <w:fldChar w:fldCharType="begin"/>
          </w:r>
          <w:r w:rsidR="00882601" w:rsidRPr="00DD1B58">
            <w:rPr>
              <w:lang w:val="en-US"/>
            </w:rPr>
            <w:instrText xml:space="preserve"> CITATION Los1 \l 2057 </w:instrText>
          </w:r>
          <w:r w:rsidR="00882601" w:rsidRPr="00DD1B58">
            <w:rPr>
              <w:lang w:val="en-US"/>
            </w:rPr>
            <w:fldChar w:fldCharType="separate"/>
          </w:r>
          <w:r w:rsidR="00DF47DA" w:rsidRPr="00DF47DA">
            <w:rPr>
              <w:noProof/>
              <w:lang w:val="en-US"/>
            </w:rPr>
            <w:t>[138]</w:t>
          </w:r>
          <w:r w:rsidR="00882601" w:rsidRPr="00DD1B58">
            <w:rPr>
              <w:lang w:val="en-US"/>
            </w:rPr>
            <w:fldChar w:fldCharType="end"/>
          </w:r>
        </w:sdtContent>
      </w:sdt>
      <w:r w:rsidR="009E40C1" w:rsidRPr="00DD1B58">
        <w:rPr>
          <w:lang w:val="en-US"/>
        </w:rPr>
        <w:t>.</w:t>
      </w:r>
      <w:r w:rsidR="00070E52" w:rsidRPr="00DD1B58">
        <w:rPr>
          <w:lang w:val="en-US"/>
        </w:rPr>
        <w:t xml:space="preserve"> </w:t>
      </w:r>
      <w:r w:rsidR="009E40C1" w:rsidRPr="00DD1B58">
        <w:rPr>
          <w:lang w:val="en-US"/>
        </w:rPr>
        <w:t>Cladding on any new building is required to be EuroClass A1 or A2 when classified to BSEN13501</w:t>
      </w:r>
      <w:sdt>
        <w:sdtPr>
          <w:rPr>
            <w:lang w:val="en-US"/>
          </w:rPr>
          <w:id w:val="633370519"/>
          <w:citation/>
        </w:sdtPr>
        <w:sdtContent>
          <w:r w:rsidR="00BD5750" w:rsidRPr="00DD1B58">
            <w:rPr>
              <w:lang w:val="en-US"/>
            </w:rPr>
            <w:fldChar w:fldCharType="begin"/>
          </w:r>
          <w:r w:rsidR="00BD5750" w:rsidRPr="00DD1B58">
            <w:rPr>
              <w:lang w:val="en-US"/>
            </w:rPr>
            <w:instrText xml:space="preserve"> CITATION Bri2 \l 2057 </w:instrText>
          </w:r>
          <w:r w:rsidR="00BD5750" w:rsidRPr="00DD1B58">
            <w:rPr>
              <w:lang w:val="en-US"/>
            </w:rPr>
            <w:fldChar w:fldCharType="separate"/>
          </w:r>
          <w:r w:rsidR="00DF47DA">
            <w:rPr>
              <w:noProof/>
              <w:lang w:val="en-US"/>
            </w:rPr>
            <w:t xml:space="preserve"> </w:t>
          </w:r>
          <w:r w:rsidR="00DF47DA" w:rsidRPr="00DF47DA">
            <w:rPr>
              <w:noProof/>
              <w:lang w:val="en-US"/>
            </w:rPr>
            <w:t>[155]</w:t>
          </w:r>
          <w:r w:rsidR="00BD5750" w:rsidRPr="00DD1B58">
            <w:rPr>
              <w:lang w:val="en-US"/>
            </w:rPr>
            <w:fldChar w:fldCharType="end"/>
          </w:r>
        </w:sdtContent>
      </w:sdt>
      <w:r w:rsidR="00F412C1" w:rsidRPr="00DD1B58">
        <w:rPr>
          <w:lang w:val="en-US"/>
        </w:rPr>
        <w:t>.</w:t>
      </w:r>
    </w:p>
    <w:p w14:paraId="5BE4ABF9" w14:textId="0DBCE9B0" w:rsidR="0055184E" w:rsidRPr="00DD1B58" w:rsidRDefault="005E7408" w:rsidP="009E40C1">
      <w:pPr>
        <w:rPr>
          <w:b/>
          <w:lang w:val="en-US"/>
        </w:rPr>
      </w:pPr>
      <w:r w:rsidRPr="00DD1B58">
        <w:rPr>
          <w:b/>
          <w:lang w:val="en-US"/>
        </w:rPr>
        <w:t xml:space="preserve">Characterisation and Control of </w:t>
      </w:r>
      <w:r w:rsidR="00FD3C48" w:rsidRPr="00DD1B58">
        <w:rPr>
          <w:b/>
          <w:lang w:val="en-US"/>
        </w:rPr>
        <w:t>Transient Combustibles</w:t>
      </w:r>
    </w:p>
    <w:p w14:paraId="7CDDEB34" w14:textId="0BC2714F" w:rsidR="000C481E" w:rsidRPr="00DD1B58" w:rsidRDefault="0055184E" w:rsidP="000C481E">
      <w:pPr>
        <w:rPr>
          <w:lang w:val="en-US"/>
        </w:rPr>
      </w:pPr>
      <w:r w:rsidRPr="00DD1B58">
        <w:rPr>
          <w:lang w:val="en-US"/>
        </w:rPr>
        <w:t xml:space="preserve">Springfields Fuels </w:t>
      </w:r>
      <w:r w:rsidR="00BF0D1B" w:rsidRPr="00DD1B58">
        <w:rPr>
          <w:lang w:val="en-US"/>
        </w:rPr>
        <w:t>Ltd</w:t>
      </w:r>
      <w:r w:rsidRPr="00DD1B58">
        <w:rPr>
          <w:lang w:val="en-US"/>
        </w:rPr>
        <w:t xml:space="preserve"> </w:t>
      </w:r>
      <w:r w:rsidR="002B2FBB" w:rsidRPr="00DD1B58">
        <w:rPr>
          <w:lang w:val="en-US"/>
        </w:rPr>
        <w:t>typically assesses t</w:t>
      </w:r>
      <w:r w:rsidR="00FD3C48" w:rsidRPr="00DD1B58">
        <w:rPr>
          <w:lang w:val="en-US"/>
        </w:rPr>
        <w:t>ransient combustibles qualitatively through daily walk downs by fire nominated persons and plant management; plant walkdowns (SSI 638C/D) are completed</w:t>
      </w:r>
      <w:r w:rsidR="00770B7C" w:rsidRPr="00DD1B58">
        <w:rPr>
          <w:lang w:val="en-US"/>
        </w:rPr>
        <w:t xml:space="preserve">, </w:t>
      </w:r>
      <w:r w:rsidR="00FD3C48" w:rsidRPr="00DD1B58">
        <w:rPr>
          <w:lang w:val="en-US"/>
        </w:rPr>
        <w:t xml:space="preserve">fire risk assessments undertaken, and actions highlighted within the assessment tracked via a fire actions database. </w:t>
      </w:r>
      <w:r w:rsidR="002B2FBB" w:rsidRPr="00DD1B58">
        <w:rPr>
          <w:lang w:val="en-US"/>
        </w:rPr>
        <w:t xml:space="preserve">Springfields Fuels </w:t>
      </w:r>
      <w:r w:rsidR="00BF0D1B" w:rsidRPr="00DD1B58">
        <w:rPr>
          <w:lang w:val="en-US"/>
        </w:rPr>
        <w:t>Ltd</w:t>
      </w:r>
      <w:r w:rsidR="002B2FBB" w:rsidRPr="00DD1B58">
        <w:rPr>
          <w:lang w:val="en-US"/>
        </w:rPr>
        <w:t xml:space="preserve"> </w:t>
      </w:r>
      <w:r w:rsidR="006D798B" w:rsidRPr="00DD1B58">
        <w:rPr>
          <w:lang w:val="en-US"/>
        </w:rPr>
        <w:t>reports that</w:t>
      </w:r>
      <w:r w:rsidR="002B2FBB" w:rsidRPr="00DD1B58">
        <w:rPr>
          <w:lang w:val="en-US"/>
        </w:rPr>
        <w:t xml:space="preserve"> the </w:t>
      </w:r>
      <w:r w:rsidR="00FD3C48" w:rsidRPr="00DD1B58">
        <w:rPr>
          <w:lang w:val="en-US"/>
        </w:rPr>
        <w:t>latter are undertaken on a three yearly basis.</w:t>
      </w:r>
      <w:r w:rsidR="00A3597A" w:rsidRPr="00DD1B58">
        <w:rPr>
          <w:lang w:val="en-US"/>
        </w:rPr>
        <w:t xml:space="preserve"> </w:t>
      </w:r>
      <w:r w:rsidR="000C481E" w:rsidRPr="00DD1B58">
        <w:rPr>
          <w:lang w:val="en-US"/>
        </w:rPr>
        <w:t xml:space="preserve">As an example, </w:t>
      </w:r>
      <w:r w:rsidR="006661EA" w:rsidRPr="00DD1B58">
        <w:rPr>
          <w:lang w:val="en-US"/>
        </w:rPr>
        <w:t xml:space="preserve">it provided that a </w:t>
      </w:r>
      <w:r w:rsidR="000C481E" w:rsidRPr="00DD1B58">
        <w:rPr>
          <w:lang w:val="en-US"/>
        </w:rPr>
        <w:t>criticality assessment derive</w:t>
      </w:r>
      <w:r w:rsidR="006661EA" w:rsidRPr="00DD1B58">
        <w:rPr>
          <w:lang w:val="en-US"/>
        </w:rPr>
        <w:t>d</w:t>
      </w:r>
      <w:r w:rsidR="000C481E" w:rsidRPr="00DD1B58">
        <w:rPr>
          <w:lang w:val="en-US"/>
        </w:rPr>
        <w:t xml:space="preserve"> an Operating Requirement for the control of transient combustible materials </w:t>
      </w:r>
      <w:sdt>
        <w:sdtPr>
          <w:rPr>
            <w:lang w:val="en-US"/>
          </w:rPr>
          <w:id w:val="-756905497"/>
          <w:citation/>
        </w:sdtPr>
        <w:sdtContent>
          <w:r w:rsidR="00733B48" w:rsidRPr="00DD1B58">
            <w:rPr>
              <w:lang w:val="en-US"/>
            </w:rPr>
            <w:fldChar w:fldCharType="begin"/>
          </w:r>
          <w:r w:rsidR="00733B48" w:rsidRPr="00DD1B58">
            <w:rPr>
              <w:lang w:val="en-US"/>
            </w:rPr>
            <w:instrText xml:space="preserve"> CITATION Con1 \l 2057 </w:instrText>
          </w:r>
          <w:r w:rsidR="00733B48" w:rsidRPr="00DD1B58">
            <w:rPr>
              <w:lang w:val="en-US"/>
            </w:rPr>
            <w:fldChar w:fldCharType="separate"/>
          </w:r>
          <w:r w:rsidR="00DF47DA" w:rsidRPr="00DF47DA">
            <w:rPr>
              <w:noProof/>
              <w:lang w:val="en-US"/>
            </w:rPr>
            <w:t>[156]</w:t>
          </w:r>
          <w:r w:rsidR="00733B48" w:rsidRPr="00DD1B58">
            <w:rPr>
              <w:lang w:val="en-US"/>
            </w:rPr>
            <w:fldChar w:fldCharType="end"/>
          </w:r>
        </w:sdtContent>
      </w:sdt>
      <w:r w:rsidR="000C481E" w:rsidRPr="00DD1B58">
        <w:rPr>
          <w:lang w:val="en-US"/>
        </w:rPr>
        <w:t>:</w:t>
      </w:r>
    </w:p>
    <w:p w14:paraId="3BC7C020" w14:textId="59672DFB" w:rsidR="000C481E" w:rsidRPr="00DD1B58" w:rsidRDefault="000C481E" w:rsidP="000C481E">
      <w:pPr>
        <w:rPr>
          <w:lang w:val="en-US"/>
        </w:rPr>
      </w:pPr>
      <w:r w:rsidRPr="00DD1B58">
        <w:rPr>
          <w:i/>
          <w:lang w:val="en-US"/>
        </w:rPr>
        <w:t>To reduce the potential for a developed fire requiring site fire service intervention and the use of water a second operating requirement is derived</w:t>
      </w:r>
      <w:r w:rsidR="00327BCF" w:rsidRPr="00DD1B58">
        <w:rPr>
          <w:i/>
          <w:lang w:val="en-US"/>
        </w:rPr>
        <w:t>,</w:t>
      </w:r>
      <w:r w:rsidRPr="00DD1B58">
        <w:rPr>
          <w:i/>
          <w:lang w:val="en-US"/>
        </w:rPr>
        <w:t xml:space="preserve"> this being</w:t>
      </w:r>
      <w:r w:rsidRPr="00DD1B58">
        <w:rPr>
          <w:lang w:val="en-US"/>
        </w:rPr>
        <w:t>:</w:t>
      </w:r>
      <w:r w:rsidR="00A3597A" w:rsidRPr="00DD1B58">
        <w:rPr>
          <w:b/>
          <w:i/>
          <w:lang w:val="en-US"/>
        </w:rPr>
        <w:t xml:space="preserve"> </w:t>
      </w:r>
      <w:r w:rsidRPr="00DD1B58">
        <w:rPr>
          <w:b/>
          <w:i/>
          <w:lang w:val="en-US"/>
        </w:rPr>
        <w:t>Operating Requirement</w:t>
      </w:r>
      <w:r w:rsidRPr="00DD1B58">
        <w:rPr>
          <w:i/>
          <w:lang w:val="en-US"/>
        </w:rPr>
        <w:t>: The accumulation and use of combustible materials (paper, polythene, cardboard etc.) MUST be minimised, consistent with operational requirements</w:t>
      </w:r>
      <w:r w:rsidRPr="00DD1B58">
        <w:rPr>
          <w:lang w:val="en-US"/>
        </w:rPr>
        <w:t>.</w:t>
      </w:r>
    </w:p>
    <w:p w14:paraId="79225234" w14:textId="5F51543B" w:rsidR="00FD3C48" w:rsidRPr="00DD1B58" w:rsidRDefault="00134292" w:rsidP="000C481E">
      <w:pPr>
        <w:rPr>
          <w:lang w:val="en-US"/>
        </w:rPr>
      </w:pPr>
      <w:r w:rsidRPr="00DD1B58">
        <w:rPr>
          <w:lang w:val="en-US"/>
        </w:rPr>
        <w:t>Springfields Fuels Ltd</w:t>
      </w:r>
      <w:r w:rsidR="00327BCF" w:rsidRPr="00DD1B58">
        <w:rPr>
          <w:lang w:val="en-US"/>
        </w:rPr>
        <w:t xml:space="preserve"> </w:t>
      </w:r>
      <w:r w:rsidR="00875809" w:rsidRPr="00DD1B58">
        <w:rPr>
          <w:lang w:val="en-US"/>
        </w:rPr>
        <w:t xml:space="preserve">reports </w:t>
      </w:r>
      <w:r w:rsidR="00327BCF" w:rsidRPr="00DD1B58">
        <w:rPr>
          <w:lang w:val="en-US"/>
        </w:rPr>
        <w:t xml:space="preserve">that there </w:t>
      </w:r>
      <w:r w:rsidR="000C481E" w:rsidRPr="00DD1B58">
        <w:rPr>
          <w:lang w:val="en-US"/>
        </w:rPr>
        <w:t xml:space="preserve">are regular management safety walkdowns which include housekeeping to ensure </w:t>
      </w:r>
      <w:r w:rsidR="00327BCF" w:rsidRPr="00DD1B58">
        <w:rPr>
          <w:lang w:val="en-US"/>
        </w:rPr>
        <w:t xml:space="preserve">the </w:t>
      </w:r>
      <w:r w:rsidR="000C481E" w:rsidRPr="00DD1B58">
        <w:rPr>
          <w:lang w:val="en-US"/>
        </w:rPr>
        <w:t>Operating Requirement is met.</w:t>
      </w:r>
      <w:r w:rsidR="00CF294C" w:rsidRPr="00DD1B58">
        <w:rPr>
          <w:lang w:val="en-US"/>
        </w:rPr>
        <w:t xml:space="preserve"> </w:t>
      </w:r>
      <w:r w:rsidR="00D8248B" w:rsidRPr="00DD1B58">
        <w:rPr>
          <w:lang w:val="en-US"/>
        </w:rPr>
        <w:t xml:space="preserve">Further information on the control of transient combustibles is provided in Section </w:t>
      </w:r>
      <w:r w:rsidR="00B65835" w:rsidRPr="00DD1B58">
        <w:rPr>
          <w:lang w:val="en-US"/>
        </w:rPr>
        <w:fldChar w:fldCharType="begin"/>
      </w:r>
      <w:r w:rsidR="00B65835" w:rsidRPr="00DD1B58">
        <w:rPr>
          <w:lang w:val="en-US"/>
        </w:rPr>
        <w:instrText xml:space="preserve"> REF _Ref139877221 \n \h </w:instrText>
      </w:r>
      <w:r w:rsidR="00B65835" w:rsidRPr="00DD1B58">
        <w:rPr>
          <w:lang w:val="en-US"/>
        </w:rPr>
      </w:r>
      <w:r w:rsidR="00B65835" w:rsidRPr="00DD1B58">
        <w:rPr>
          <w:lang w:val="en-US"/>
        </w:rPr>
        <w:fldChar w:fldCharType="separate"/>
      </w:r>
      <w:r w:rsidR="00DF47DA">
        <w:rPr>
          <w:lang w:val="en-US"/>
        </w:rPr>
        <w:t>II-2.3.2</w:t>
      </w:r>
      <w:r w:rsidR="00B65835" w:rsidRPr="00DD1B58">
        <w:rPr>
          <w:lang w:val="en-US"/>
        </w:rPr>
        <w:fldChar w:fldCharType="end"/>
      </w:r>
      <w:r w:rsidR="00B65835" w:rsidRPr="00DD1B58">
        <w:rPr>
          <w:lang w:val="en-US"/>
        </w:rPr>
        <w:t>.</w:t>
      </w:r>
    </w:p>
    <w:p w14:paraId="34B89924" w14:textId="77777777" w:rsidR="00810C92" w:rsidRPr="00DD1B58" w:rsidRDefault="00810C92" w:rsidP="00177432">
      <w:pPr>
        <w:pStyle w:val="Heading5A"/>
        <w:rPr>
          <w:lang w:val="en-US"/>
        </w:rPr>
      </w:pPr>
      <w:bookmarkStart w:id="84" w:name="_Ref140148136"/>
      <w:r w:rsidRPr="00DD1B58">
        <w:rPr>
          <w:lang w:val="en-US"/>
        </w:rPr>
        <w:t>Licensee’s experience of the implementation of the fire prevention</w:t>
      </w:r>
      <w:bookmarkEnd w:id="84"/>
    </w:p>
    <w:p w14:paraId="28D7C47C" w14:textId="77777777" w:rsidR="00810C92" w:rsidRPr="00DD1B58" w:rsidRDefault="00810C92" w:rsidP="00177432">
      <w:pPr>
        <w:pStyle w:val="Heading5A"/>
        <w:numPr>
          <w:ilvl w:val="5"/>
          <w:numId w:val="7"/>
        </w:numPr>
        <w:rPr>
          <w:lang w:val="en-US"/>
        </w:rPr>
      </w:pPr>
      <w:bookmarkStart w:id="85" w:name="_Ref140140930"/>
      <w:r w:rsidRPr="00DD1B58">
        <w:rPr>
          <w:lang w:val="en-US"/>
        </w:rPr>
        <w:t>Overview of strengths and weaknesses</w:t>
      </w:r>
      <w:bookmarkEnd w:id="85"/>
    </w:p>
    <w:p w14:paraId="78998AAE" w14:textId="141BE356" w:rsidR="002B0C03" w:rsidRPr="00DD1B58" w:rsidRDefault="00327BCF" w:rsidP="004A198A">
      <w:pPr>
        <w:rPr>
          <w:lang w:val="en-US"/>
        </w:rPr>
      </w:pPr>
      <w:r w:rsidRPr="00DD1B58">
        <w:rPr>
          <w:lang w:val="en-US"/>
        </w:rPr>
        <w:t xml:space="preserve">The licensee did not </w:t>
      </w:r>
      <w:r w:rsidR="00E245DE" w:rsidRPr="00DD1B58">
        <w:rPr>
          <w:lang w:val="en-US"/>
        </w:rPr>
        <w:t>identify</w:t>
      </w:r>
      <w:r w:rsidRPr="00DD1B58">
        <w:rPr>
          <w:lang w:val="en-US"/>
        </w:rPr>
        <w:t xml:space="preserve"> </w:t>
      </w:r>
      <w:r w:rsidR="004A198A" w:rsidRPr="00DD1B58">
        <w:rPr>
          <w:lang w:val="en-US"/>
        </w:rPr>
        <w:t xml:space="preserve">specific strengths and weaknesses however, examples of weaknesses which have been identified through fire events or other missions, and associated corrective actions are identified in Sections </w:t>
      </w:r>
      <w:r w:rsidR="000D7936" w:rsidRPr="00DD1B58">
        <w:rPr>
          <w:lang w:val="en-US"/>
        </w:rPr>
        <w:fldChar w:fldCharType="begin"/>
      </w:r>
      <w:r w:rsidR="000D7936" w:rsidRPr="00DD1B58">
        <w:rPr>
          <w:lang w:val="en-US"/>
        </w:rPr>
        <w:instrText xml:space="preserve"> REF _Ref139966092 \r \h </w:instrText>
      </w:r>
      <w:r w:rsidR="000D7936" w:rsidRPr="00DD1B58">
        <w:rPr>
          <w:lang w:val="en-US"/>
        </w:rPr>
      </w:r>
      <w:r w:rsidR="000D7936" w:rsidRPr="00DD1B58">
        <w:rPr>
          <w:lang w:val="en-US"/>
        </w:rPr>
        <w:fldChar w:fldCharType="separate"/>
      </w:r>
      <w:r w:rsidR="00DF47DA">
        <w:rPr>
          <w:lang w:val="en-US"/>
        </w:rPr>
        <w:t>C-II-3.1.3.2</w:t>
      </w:r>
      <w:r w:rsidR="000D7936" w:rsidRPr="00DD1B58">
        <w:rPr>
          <w:lang w:val="en-US"/>
        </w:rPr>
        <w:fldChar w:fldCharType="end"/>
      </w:r>
      <w:r w:rsidR="000D7936" w:rsidRPr="00DD1B58">
        <w:rPr>
          <w:lang w:val="en-US"/>
        </w:rPr>
        <w:t xml:space="preserve"> and </w:t>
      </w:r>
      <w:r w:rsidR="000D7936" w:rsidRPr="00DD1B58">
        <w:rPr>
          <w:lang w:val="en-US"/>
        </w:rPr>
        <w:fldChar w:fldCharType="begin"/>
      </w:r>
      <w:r w:rsidR="000D7936" w:rsidRPr="00DD1B58">
        <w:rPr>
          <w:lang w:val="en-US"/>
        </w:rPr>
        <w:instrText xml:space="preserve"> REF _Ref139966103 \r \h </w:instrText>
      </w:r>
      <w:r w:rsidR="000D7936" w:rsidRPr="00DD1B58">
        <w:rPr>
          <w:lang w:val="en-US"/>
        </w:rPr>
      </w:r>
      <w:r w:rsidR="000D7936" w:rsidRPr="00DD1B58">
        <w:rPr>
          <w:lang w:val="en-US"/>
        </w:rPr>
        <w:fldChar w:fldCharType="separate"/>
      </w:r>
      <w:r w:rsidR="00DF47DA">
        <w:rPr>
          <w:lang w:val="en-US"/>
        </w:rPr>
        <w:t>C-II-3.1.3.3</w:t>
      </w:r>
      <w:r w:rsidR="000D7936" w:rsidRPr="00DD1B58">
        <w:rPr>
          <w:lang w:val="en-US"/>
        </w:rPr>
        <w:fldChar w:fldCharType="end"/>
      </w:r>
      <w:r w:rsidR="000D7936" w:rsidRPr="00DD1B58">
        <w:rPr>
          <w:lang w:val="en-US"/>
        </w:rPr>
        <w:t>.</w:t>
      </w:r>
    </w:p>
    <w:p w14:paraId="356A39E9" w14:textId="77777777" w:rsidR="00810C92" w:rsidRPr="00DD1B58" w:rsidRDefault="00810C92" w:rsidP="00177432">
      <w:pPr>
        <w:pStyle w:val="Heading5A"/>
        <w:numPr>
          <w:ilvl w:val="5"/>
          <w:numId w:val="7"/>
        </w:numPr>
        <w:rPr>
          <w:lang w:val="en-US"/>
        </w:rPr>
      </w:pPr>
      <w:bookmarkStart w:id="86" w:name="_Ref139966092"/>
      <w:r w:rsidRPr="00DD1B58">
        <w:rPr>
          <w:lang w:val="en-US"/>
        </w:rPr>
        <w:t>Lessons learned from events, reviews fire safety related missions, etc.</w:t>
      </w:r>
      <w:bookmarkEnd w:id="86"/>
    </w:p>
    <w:p w14:paraId="473C6D7F" w14:textId="7C344906" w:rsidR="004B1629" w:rsidRPr="00DD1B58" w:rsidRDefault="004B1629" w:rsidP="004B1629">
      <w:pPr>
        <w:rPr>
          <w:lang w:val="en-US"/>
        </w:rPr>
      </w:pPr>
      <w:r w:rsidRPr="00DD1B58">
        <w:rPr>
          <w:lang w:val="en-US"/>
        </w:rPr>
        <w:t>Following the Grenfell tower fire in 2017 and in response to a letter from</w:t>
      </w:r>
      <w:r w:rsidR="00327BCF" w:rsidRPr="00DD1B58">
        <w:rPr>
          <w:lang w:val="en-US"/>
        </w:rPr>
        <w:t xml:space="preserve"> ONR</w:t>
      </w:r>
      <w:r w:rsidR="003A6A1B" w:rsidRPr="00DD1B58">
        <w:rPr>
          <w:lang w:val="en-US"/>
        </w:rPr>
        <w:t xml:space="preserve">, </w:t>
      </w:r>
      <w:r w:rsidR="009707DE" w:rsidRPr="00DD1B58">
        <w:rPr>
          <w:lang w:val="en-US"/>
        </w:rPr>
        <w:t xml:space="preserve">Springfields Fuels </w:t>
      </w:r>
      <w:r w:rsidR="00BF0D1B" w:rsidRPr="00DD1B58">
        <w:rPr>
          <w:lang w:val="en-US"/>
        </w:rPr>
        <w:t>Ltd</w:t>
      </w:r>
      <w:r w:rsidR="009707DE" w:rsidRPr="00DD1B58">
        <w:rPr>
          <w:lang w:val="en-US"/>
        </w:rPr>
        <w:t xml:space="preserve"> r</w:t>
      </w:r>
      <w:r w:rsidRPr="00DD1B58">
        <w:rPr>
          <w:lang w:val="en-US"/>
        </w:rPr>
        <w:t>eview</w:t>
      </w:r>
      <w:r w:rsidR="009707DE" w:rsidRPr="00DD1B58">
        <w:rPr>
          <w:lang w:val="en-US"/>
        </w:rPr>
        <w:t>ed</w:t>
      </w:r>
      <w:r w:rsidRPr="00DD1B58">
        <w:rPr>
          <w:lang w:val="en-US"/>
        </w:rPr>
        <w:t xml:space="preserve"> all cladding systems on site irrespective of building height or location.</w:t>
      </w:r>
      <w:r w:rsidR="005F1859" w:rsidRPr="00DD1B58">
        <w:rPr>
          <w:lang w:val="en-US"/>
        </w:rPr>
        <w:t xml:space="preserve"> </w:t>
      </w:r>
      <w:bookmarkStart w:id="87" w:name="_Hlk148611380"/>
      <w:r w:rsidR="008B0C49" w:rsidRPr="00DD1B58">
        <w:rPr>
          <w:lang w:val="en-US"/>
        </w:rPr>
        <w:t>K</w:t>
      </w:r>
      <w:r w:rsidR="005F1859" w:rsidRPr="00DD1B58">
        <w:rPr>
          <w:lang w:val="en-US"/>
        </w:rPr>
        <w:t>ey actions</w:t>
      </w:r>
      <w:r w:rsidR="008B0C49" w:rsidRPr="00DD1B58">
        <w:rPr>
          <w:lang w:val="en-US"/>
        </w:rPr>
        <w:t xml:space="preserve"> arising from this review are discussed in Section </w:t>
      </w:r>
      <w:r w:rsidR="005D0430" w:rsidRPr="00DD1B58">
        <w:rPr>
          <w:lang w:val="en-US"/>
        </w:rPr>
        <w:fldChar w:fldCharType="begin"/>
      </w:r>
      <w:r w:rsidR="005D0430" w:rsidRPr="00DD1B58">
        <w:rPr>
          <w:lang w:val="en-US"/>
        </w:rPr>
        <w:instrText xml:space="preserve"> REF _Ref139966103 \r \h </w:instrText>
      </w:r>
      <w:r w:rsidR="005D0430" w:rsidRPr="00DD1B58">
        <w:rPr>
          <w:lang w:val="en-US"/>
        </w:rPr>
      </w:r>
      <w:r w:rsidR="005D0430" w:rsidRPr="00DD1B58">
        <w:rPr>
          <w:lang w:val="en-US"/>
        </w:rPr>
        <w:fldChar w:fldCharType="separate"/>
      </w:r>
      <w:r w:rsidR="00DF47DA">
        <w:rPr>
          <w:lang w:val="en-US"/>
        </w:rPr>
        <w:t>C-II-3.1.3.3</w:t>
      </w:r>
      <w:r w:rsidR="005D0430" w:rsidRPr="00DD1B58">
        <w:rPr>
          <w:lang w:val="en-US"/>
        </w:rPr>
        <w:fldChar w:fldCharType="end"/>
      </w:r>
      <w:r w:rsidR="005D0430" w:rsidRPr="00DD1B58">
        <w:rPr>
          <w:lang w:val="en-US"/>
        </w:rPr>
        <w:t>.</w:t>
      </w:r>
      <w:r w:rsidR="005F1859" w:rsidRPr="00DD1B58">
        <w:rPr>
          <w:lang w:val="en-US"/>
        </w:rPr>
        <w:t xml:space="preserve"> </w:t>
      </w:r>
      <w:bookmarkEnd w:id="87"/>
    </w:p>
    <w:p w14:paraId="0D824CBB" w14:textId="08FB0AE6" w:rsidR="007B7862" w:rsidRPr="00DD1B58" w:rsidRDefault="00AA25E9" w:rsidP="00AA25E9">
      <w:pPr>
        <w:rPr>
          <w:lang w:val="en-US"/>
        </w:rPr>
      </w:pPr>
      <w:r w:rsidRPr="00DD1B58">
        <w:rPr>
          <w:lang w:val="en-US"/>
        </w:rPr>
        <w:t>The Springfields site is a member of WANO and takes part in WANO Peer Reviews. In terms of Learning from Experience (LFE) relating to Fire Prevention, the site is an active member of the Nuclear Industry Fire Safety Coordinating Committee (NIFSCC) and utilises an external Chartered Engineer of the Institution of Fire Engineers with significant expertise in Nuclear Fire Safety, in particular nuclear fire safety arrangements at Springfields. The site has two yearly assessments by the Nuclear Risk Insurance Assessors one of which focused solely of Fire Prevention and Emergency Response. There have been no significant findings raised during these inspections. ONR conduct Fire Safety inspections under the Regulatory Reform Order 2005. Syste</w:t>
      </w:r>
      <w:r w:rsidR="003A6A1B" w:rsidRPr="00DD1B58">
        <w:rPr>
          <w:lang w:val="en-US"/>
        </w:rPr>
        <w:t>m</w:t>
      </w:r>
      <w:r w:rsidR="007A14BD" w:rsidRPr="00DD1B58">
        <w:rPr>
          <w:lang w:val="en-US"/>
        </w:rPr>
        <w:t>-</w:t>
      </w:r>
      <w:r w:rsidRPr="00DD1B58">
        <w:rPr>
          <w:lang w:val="en-US"/>
        </w:rPr>
        <w:t>based inspections (e.g. fire alarm system inspections) also address Fire Prevention.</w:t>
      </w:r>
      <w:r w:rsidR="007A14BD" w:rsidRPr="00DD1B58">
        <w:rPr>
          <w:lang w:val="en-US"/>
        </w:rPr>
        <w:t xml:space="preserve"> </w:t>
      </w:r>
      <w:r w:rsidRPr="00DD1B58">
        <w:rPr>
          <w:lang w:val="en-US"/>
        </w:rPr>
        <w:t xml:space="preserve">ONR conduct site visits for specific facilities and produce </w:t>
      </w:r>
      <w:r w:rsidR="007A14BD" w:rsidRPr="00DD1B58">
        <w:rPr>
          <w:lang w:val="en-US"/>
        </w:rPr>
        <w:t xml:space="preserve">intervention records </w:t>
      </w:r>
      <w:r w:rsidRPr="00DD1B58">
        <w:rPr>
          <w:lang w:val="en-US"/>
        </w:rPr>
        <w:t>summarising findings which provide a RAG (Red Amber Green) rating.</w:t>
      </w:r>
    </w:p>
    <w:p w14:paraId="5AC65AA7" w14:textId="77777777" w:rsidR="00810C92" w:rsidRPr="00DD1B58" w:rsidRDefault="00810C92" w:rsidP="00177432">
      <w:pPr>
        <w:pStyle w:val="Heading5A"/>
        <w:numPr>
          <w:ilvl w:val="5"/>
          <w:numId w:val="7"/>
        </w:numPr>
        <w:rPr>
          <w:lang w:val="en-US"/>
        </w:rPr>
      </w:pPr>
      <w:bookmarkStart w:id="88" w:name="_Ref139966103"/>
      <w:r w:rsidRPr="00DD1B58">
        <w:rPr>
          <w:lang w:val="en-US"/>
        </w:rPr>
        <w:t>Overview of actions and implementation status</w:t>
      </w:r>
      <w:bookmarkEnd w:id="88"/>
    </w:p>
    <w:p w14:paraId="0690A5C4" w14:textId="0BD6CD37" w:rsidR="00C752D2" w:rsidRPr="00DD1B58" w:rsidRDefault="00C752D2" w:rsidP="00C752D2">
      <w:pPr>
        <w:rPr>
          <w:lang w:val="en-US"/>
        </w:rPr>
      </w:pPr>
      <w:r w:rsidRPr="00DD1B58">
        <w:rPr>
          <w:lang w:val="en-US"/>
        </w:rPr>
        <w:t xml:space="preserve">A recent newly constructed single storey building on site has walls and roof cladding complying with LPS1181-1 </w:t>
      </w:r>
      <w:sdt>
        <w:sdtPr>
          <w:rPr>
            <w:lang w:val="en-US"/>
          </w:rPr>
          <w:id w:val="2140838204"/>
          <w:citation/>
        </w:sdtPr>
        <w:sdtContent>
          <w:r w:rsidR="00452E7A" w:rsidRPr="00DD1B58">
            <w:rPr>
              <w:lang w:val="en-US"/>
            </w:rPr>
            <w:fldChar w:fldCharType="begin"/>
          </w:r>
          <w:r w:rsidR="00452E7A" w:rsidRPr="00DD1B58">
            <w:rPr>
              <w:lang w:val="en-US"/>
            </w:rPr>
            <w:instrText xml:space="preserve"> CITATION Los2 \l 2057 </w:instrText>
          </w:r>
          <w:r w:rsidR="00452E7A" w:rsidRPr="00DD1B58">
            <w:rPr>
              <w:lang w:val="en-US"/>
            </w:rPr>
            <w:fldChar w:fldCharType="separate"/>
          </w:r>
          <w:r w:rsidR="00DF47DA" w:rsidRPr="00DF47DA">
            <w:rPr>
              <w:noProof/>
              <w:lang w:val="en-US"/>
            </w:rPr>
            <w:t>[157]</w:t>
          </w:r>
          <w:r w:rsidR="00452E7A" w:rsidRPr="00DD1B58">
            <w:rPr>
              <w:lang w:val="en-US"/>
            </w:rPr>
            <w:fldChar w:fldCharType="end"/>
          </w:r>
        </w:sdtContent>
      </w:sdt>
      <w:r w:rsidR="00452E7A" w:rsidRPr="00DD1B58">
        <w:rPr>
          <w:lang w:val="en-US"/>
        </w:rPr>
        <w:t xml:space="preserve"> </w:t>
      </w:r>
      <w:r w:rsidRPr="00DD1B58">
        <w:rPr>
          <w:lang w:val="en-US"/>
        </w:rPr>
        <w:t>Ext B. LPS1181 tested or non-combustible insulated cladding is used for all new buildings that may store or process radiological materials.</w:t>
      </w:r>
    </w:p>
    <w:p w14:paraId="763415A9" w14:textId="77777777" w:rsidR="0047102A" w:rsidRPr="00DD1B58" w:rsidRDefault="0047102A" w:rsidP="0047102A">
      <w:pPr>
        <w:rPr>
          <w:lang w:val="en-US"/>
        </w:rPr>
      </w:pPr>
      <w:r w:rsidRPr="00DD1B58">
        <w:rPr>
          <w:lang w:val="en-US"/>
        </w:rPr>
        <w:t>Two buildings constructed over twenty years ago storing or processing radiological materials were found to have cladding with combustible insulation. Panels comprise an aluminium outer skin with a steel inner liner and polyurethane insulation approximately 25mm depth.</w:t>
      </w:r>
    </w:p>
    <w:p w14:paraId="472FDCD8" w14:textId="77777777" w:rsidR="0047102A" w:rsidRPr="00DD1B58" w:rsidRDefault="0047102A" w:rsidP="0047102A">
      <w:pPr>
        <w:rPr>
          <w:lang w:val="en-US"/>
        </w:rPr>
      </w:pPr>
      <w:r w:rsidRPr="00DD1B58">
        <w:rPr>
          <w:lang w:val="en-US"/>
        </w:rPr>
        <w:t>As a result, controls have been introduced to reduce the potential for ignition of the cladding. Examples of these are given below:</w:t>
      </w:r>
    </w:p>
    <w:p w14:paraId="12382C67" w14:textId="77777777" w:rsidR="0047102A" w:rsidRPr="00DD1B58" w:rsidRDefault="0047102A" w:rsidP="008E71DA">
      <w:pPr>
        <w:pStyle w:val="Bulletlist1"/>
        <w:rPr>
          <w:lang w:val="en-US"/>
        </w:rPr>
      </w:pPr>
      <w:r w:rsidRPr="00DD1B58">
        <w:rPr>
          <w:lang w:val="en-US"/>
        </w:rPr>
        <w:t>SSI 668A requires that special attention must be taken when hot works are conducted within 5m of buildings with external/internal cladding systems in these cases a management control procedure will be put in place for any operations that require cutting, drilling, or exposing combustible inner core material to ensure that the potential for ignition of the core material is minimised. This may include cold cutting, inspection of cladding systems after drilling or cutting with a thermal imaging camera, etc, Any PMP that involves working on panels with combustible core material will be assessed by the Springfields fire safety department on a case-by-case basis.</w:t>
      </w:r>
    </w:p>
    <w:p w14:paraId="100C2E68" w14:textId="77777777" w:rsidR="0047102A" w:rsidRPr="00DD1B58" w:rsidRDefault="0047102A" w:rsidP="008E71DA">
      <w:pPr>
        <w:pStyle w:val="Bulletlist1"/>
        <w:rPr>
          <w:lang w:val="en-US"/>
        </w:rPr>
      </w:pPr>
      <w:r w:rsidRPr="00DD1B58">
        <w:rPr>
          <w:lang w:val="en-US"/>
        </w:rPr>
        <w:t>A timber garage used as a store/workshop next to a building with combustible cladding has been demolished.</w:t>
      </w:r>
    </w:p>
    <w:p w14:paraId="3E5D0E18" w14:textId="77777777" w:rsidR="0047102A" w:rsidRPr="00DD1B58" w:rsidRDefault="0047102A" w:rsidP="008E71DA">
      <w:pPr>
        <w:pStyle w:val="Bulletlist1"/>
        <w:rPr>
          <w:lang w:val="en-US"/>
        </w:rPr>
      </w:pPr>
      <w:r w:rsidRPr="00DD1B58">
        <w:rPr>
          <w:lang w:val="en-US"/>
        </w:rPr>
        <w:t>No smoking is permitted next to combustible cladding and smoking shelters have been moved to the side of the road away from the building.</w:t>
      </w:r>
    </w:p>
    <w:p w14:paraId="12F27F0C" w14:textId="77777777" w:rsidR="0047102A" w:rsidRPr="00DD1B58" w:rsidRDefault="0047102A" w:rsidP="008E71DA">
      <w:pPr>
        <w:pStyle w:val="Bulletlist1"/>
        <w:rPr>
          <w:lang w:val="en-US"/>
        </w:rPr>
      </w:pPr>
      <w:r w:rsidRPr="00DD1B58">
        <w:rPr>
          <w:lang w:val="en-US"/>
        </w:rPr>
        <w:t>A timber roof on a receipt/despatch building next to a building with combustible cladding was replaced with a non-combustible roof. Limitations on the quantity of combustible materials permitted in this building is indicated by signage in the building.</w:t>
      </w:r>
    </w:p>
    <w:p w14:paraId="7C00980B" w14:textId="77777777" w:rsidR="0047102A" w:rsidRPr="00DD1B58" w:rsidRDefault="0047102A" w:rsidP="008E71DA">
      <w:pPr>
        <w:pStyle w:val="Bulletlist1"/>
        <w:rPr>
          <w:lang w:val="en-US"/>
        </w:rPr>
      </w:pPr>
      <w:r w:rsidRPr="00DD1B58">
        <w:rPr>
          <w:lang w:val="en-US"/>
        </w:rPr>
        <w:t>An assessment was made of the effect of changes in plant area where hydraulic presses were to be used. Cladding forms the outer wall of the area. As a fire could spread to the cladding which has a polyurethane core, a recommendation was made that fire resisting hydraulic fluid is used in the presses. Measures were also proposed to prevent the formation of a mist or spray of hydraulic fluid. An assessment concluded that provided these recommendations were followed no additional fire protection to the external cladding was deemed necessary</w:t>
      </w:r>
      <w:r w:rsidR="00AA5F31" w:rsidRPr="00DD1B58">
        <w:rPr>
          <w:lang w:val="en-US"/>
        </w:rPr>
        <w:t>.</w:t>
      </w:r>
    </w:p>
    <w:p w14:paraId="3DD5D00A" w14:textId="77777777" w:rsidR="00AA5F31" w:rsidRPr="00DD1B58" w:rsidRDefault="00AA5F31" w:rsidP="008E71DA">
      <w:pPr>
        <w:pStyle w:val="Bulletlist1"/>
        <w:rPr>
          <w:lang w:val="en-US"/>
        </w:rPr>
      </w:pPr>
      <w:r w:rsidRPr="00DD1B58">
        <w:rPr>
          <w:lang w:val="en-US"/>
        </w:rPr>
        <w:t>An office constructed next to the cladding inside a fuel making building was removed.</w:t>
      </w:r>
    </w:p>
    <w:p w14:paraId="4E9AD4CB" w14:textId="77777777" w:rsidR="00810C92" w:rsidRPr="00DD1B58" w:rsidRDefault="00810C92" w:rsidP="00177432">
      <w:pPr>
        <w:pStyle w:val="Heading5A"/>
        <w:rPr>
          <w:lang w:val="en-US"/>
        </w:rPr>
      </w:pPr>
      <w:bookmarkStart w:id="89" w:name="_Ref145058626"/>
      <w:r w:rsidRPr="00DD1B58">
        <w:rPr>
          <w:lang w:val="en-US"/>
        </w:rPr>
        <w:t>Regulator’s assessment of the fire prevention</w:t>
      </w:r>
      <w:bookmarkEnd w:id="89"/>
    </w:p>
    <w:p w14:paraId="24E23C53" w14:textId="77777777" w:rsidR="00810C92" w:rsidRPr="00DD1B58" w:rsidRDefault="00810C92" w:rsidP="00177432">
      <w:pPr>
        <w:pStyle w:val="Heading5A"/>
        <w:numPr>
          <w:ilvl w:val="5"/>
          <w:numId w:val="7"/>
        </w:numPr>
        <w:rPr>
          <w:lang w:val="en-US"/>
        </w:rPr>
      </w:pPr>
      <w:r w:rsidRPr="00DD1B58">
        <w:rPr>
          <w:lang w:val="en-US"/>
        </w:rPr>
        <w:t>Overview of strengths and weaknesses in the fire prevention</w:t>
      </w:r>
    </w:p>
    <w:p w14:paraId="1631080F" w14:textId="77777777" w:rsidR="000940A4" w:rsidRPr="00DD1B58" w:rsidRDefault="000940A4" w:rsidP="000940A4">
      <w:pPr>
        <w:rPr>
          <w:b/>
          <w:lang w:val="en-US"/>
        </w:rPr>
      </w:pPr>
      <w:r w:rsidRPr="00DD1B58">
        <w:rPr>
          <w:b/>
          <w:lang w:val="en-US"/>
        </w:rPr>
        <w:t>Strengths</w:t>
      </w:r>
    </w:p>
    <w:p w14:paraId="720EDAFF" w14:textId="77777777" w:rsidR="00411CBA" w:rsidRPr="00DD1B58" w:rsidRDefault="009C7B2A" w:rsidP="000940A4">
      <w:pPr>
        <w:rPr>
          <w:b/>
          <w:lang w:val="en-US"/>
        </w:rPr>
      </w:pPr>
      <w:r w:rsidRPr="00DD1B58">
        <w:rPr>
          <w:lang w:val="en-US"/>
        </w:rPr>
        <w:tab/>
      </w:r>
      <w:r w:rsidRPr="00DD1B58">
        <w:rPr>
          <w:b/>
          <w:lang w:val="en-US"/>
        </w:rPr>
        <w:t xml:space="preserve">Range of Fire </w:t>
      </w:r>
      <w:r w:rsidR="0085391D" w:rsidRPr="00DD1B58">
        <w:rPr>
          <w:b/>
          <w:lang w:val="en-US"/>
        </w:rPr>
        <w:t>Prevention Measures</w:t>
      </w:r>
    </w:p>
    <w:p w14:paraId="3EF467A4" w14:textId="6E7B125F" w:rsidR="0026772E" w:rsidRPr="00DD1B58" w:rsidRDefault="00034AB5" w:rsidP="000940A4">
      <w:pPr>
        <w:rPr>
          <w:lang w:val="en-US"/>
        </w:rPr>
      </w:pPr>
      <w:r w:rsidRPr="00DD1B58">
        <w:rPr>
          <w:lang w:val="en-US"/>
        </w:rPr>
        <w:t>Springfields</w:t>
      </w:r>
      <w:r w:rsidR="00BA08A2" w:rsidRPr="00DD1B58">
        <w:rPr>
          <w:lang w:val="en-US"/>
        </w:rPr>
        <w:t xml:space="preserve"> Fuels</w:t>
      </w:r>
      <w:r w:rsidRPr="00DD1B58">
        <w:rPr>
          <w:lang w:val="en-US"/>
        </w:rPr>
        <w:t xml:space="preserve"> </w:t>
      </w:r>
      <w:r w:rsidR="00BF0D1B" w:rsidRPr="00DD1B58">
        <w:rPr>
          <w:lang w:val="en-US"/>
        </w:rPr>
        <w:t>Ltd</w:t>
      </w:r>
      <w:r w:rsidRPr="00DD1B58">
        <w:rPr>
          <w:lang w:val="en-US"/>
        </w:rPr>
        <w:t xml:space="preserve"> identified a wide range of fire prevention measures </w:t>
      </w:r>
      <w:r w:rsidR="00CB02A4" w:rsidRPr="00DD1B58">
        <w:rPr>
          <w:lang w:val="en-US"/>
        </w:rPr>
        <w:t xml:space="preserve">including initiatives </w:t>
      </w:r>
      <w:r w:rsidR="00B16414" w:rsidRPr="00DD1B58">
        <w:rPr>
          <w:lang w:val="en-US"/>
        </w:rPr>
        <w:t xml:space="preserve">focussing on processes and </w:t>
      </w:r>
      <w:r w:rsidR="00B3278E" w:rsidRPr="00DD1B58">
        <w:rPr>
          <w:lang w:val="en-US"/>
        </w:rPr>
        <w:t>site-</w:t>
      </w:r>
      <w:r w:rsidR="00B16414" w:rsidRPr="00DD1B58">
        <w:rPr>
          <w:lang w:val="en-US"/>
        </w:rPr>
        <w:t>specific risks. These include</w:t>
      </w:r>
      <w:r w:rsidR="00760440" w:rsidRPr="00DD1B58">
        <w:rPr>
          <w:lang w:val="en-US"/>
        </w:rPr>
        <w:t>d</w:t>
      </w:r>
      <w:r w:rsidR="00B16414" w:rsidRPr="00DD1B58">
        <w:rPr>
          <w:lang w:val="en-US"/>
        </w:rPr>
        <w:t xml:space="preserve"> hot work </w:t>
      </w:r>
      <w:r w:rsidR="003E3D41" w:rsidRPr="00DD1B58">
        <w:rPr>
          <w:lang w:val="en-US"/>
        </w:rPr>
        <w:t>fire risk assessments, process</w:t>
      </w:r>
      <w:r w:rsidR="00792FCC" w:rsidRPr="00DD1B58">
        <w:rPr>
          <w:lang w:val="en-US"/>
        </w:rPr>
        <w:t xml:space="preserve">es requiring </w:t>
      </w:r>
      <w:r w:rsidR="0095672A" w:rsidRPr="00DD1B58">
        <w:rPr>
          <w:lang w:val="en-US"/>
        </w:rPr>
        <w:t xml:space="preserve">building owners to carryout housekeeping </w:t>
      </w:r>
      <w:r w:rsidR="00CB090C" w:rsidRPr="00DD1B58">
        <w:rPr>
          <w:lang w:val="en-US"/>
        </w:rPr>
        <w:t>inspection</w:t>
      </w:r>
      <w:r w:rsidR="003E0D7D" w:rsidRPr="00DD1B58">
        <w:rPr>
          <w:lang w:val="en-US"/>
        </w:rPr>
        <w:t xml:space="preserve">s, assigning a fire nominated person on a building-by-building </w:t>
      </w:r>
      <w:r w:rsidR="008D3576" w:rsidRPr="00DD1B58">
        <w:rPr>
          <w:lang w:val="en-US"/>
        </w:rPr>
        <w:t>basis</w:t>
      </w:r>
      <w:r w:rsidR="003E0D7D" w:rsidRPr="00DD1B58">
        <w:rPr>
          <w:lang w:val="en-US"/>
        </w:rPr>
        <w:t xml:space="preserve">, use of </w:t>
      </w:r>
      <w:r w:rsidR="00345F4B" w:rsidRPr="00DD1B58">
        <w:rPr>
          <w:lang w:val="en-US"/>
        </w:rPr>
        <w:t>local pr</w:t>
      </w:r>
      <w:r w:rsidR="00E0787C" w:rsidRPr="00DD1B58">
        <w:rPr>
          <w:lang w:val="en-US"/>
        </w:rPr>
        <w:t xml:space="preserve">otective measures to prevent damage to equipment, inerting of zircaloy swarf etc. </w:t>
      </w:r>
      <w:r w:rsidR="005E095C" w:rsidRPr="00DD1B58" w:rsidDel="00637473">
        <w:rPr>
          <w:lang w:val="en-US"/>
        </w:rPr>
        <w:t xml:space="preserve">These initiatives are </w:t>
      </w:r>
      <w:r w:rsidR="00A25F29" w:rsidRPr="00DD1B58" w:rsidDel="00637473">
        <w:rPr>
          <w:lang w:val="en-US"/>
        </w:rPr>
        <w:t xml:space="preserve">built from a strong foundation of referenced sources of good practice. </w:t>
      </w:r>
      <w:r w:rsidR="00236782" w:rsidRPr="00DD1B58">
        <w:rPr>
          <w:lang w:val="en-US"/>
        </w:rPr>
        <w:t xml:space="preserve">ONR </w:t>
      </w:r>
      <w:r w:rsidR="00B22C9F" w:rsidRPr="00DD1B58">
        <w:rPr>
          <w:lang w:val="en-US"/>
        </w:rPr>
        <w:t xml:space="preserve">judges that these arrangements </w:t>
      </w:r>
      <w:r w:rsidR="00637473" w:rsidRPr="00DD1B58">
        <w:rPr>
          <w:lang w:val="en-US"/>
        </w:rPr>
        <w:t>implement recognised sources of good practice</w:t>
      </w:r>
      <w:r w:rsidR="009C5D87" w:rsidRPr="00DD1B58">
        <w:rPr>
          <w:lang w:val="en-US"/>
        </w:rPr>
        <w:t xml:space="preserve"> and are</w:t>
      </w:r>
      <w:r w:rsidR="00637473" w:rsidRPr="00DD1B58">
        <w:rPr>
          <w:lang w:val="en-US"/>
        </w:rPr>
        <w:t xml:space="preserve"> in alignment</w:t>
      </w:r>
      <w:r w:rsidR="00B22C9F" w:rsidRPr="00DD1B58">
        <w:rPr>
          <w:lang w:val="en-US"/>
        </w:rPr>
        <w:t xml:space="preserve"> with WENRA Safety Reference Level SV 6.11</w:t>
      </w:r>
      <w:r w:rsidR="002052E7" w:rsidRPr="00DD1B58">
        <w:rPr>
          <w:lang w:val="en-US"/>
        </w:rPr>
        <w:t xml:space="preserve"> </w:t>
      </w:r>
      <w:sdt>
        <w:sdtPr>
          <w:rPr>
            <w:lang w:val="en-US"/>
          </w:rPr>
          <w:id w:val="-1465494459"/>
          <w:citation/>
        </w:sdtPr>
        <w:sdtContent>
          <w:r w:rsidR="00747799" w:rsidRPr="00DD1B58">
            <w:rPr>
              <w:lang w:val="en-US"/>
            </w:rPr>
            <w:fldChar w:fldCharType="begin"/>
          </w:r>
          <w:r w:rsidR="001270D9" w:rsidRPr="00DD1B58">
            <w:rPr>
              <w:lang w:val="en-US"/>
            </w:rPr>
            <w:instrText xml:space="preserve">CITATION WEN2 \l 2057 </w:instrText>
          </w:r>
          <w:r w:rsidR="00747799" w:rsidRPr="00DD1B58">
            <w:rPr>
              <w:lang w:val="en-US"/>
            </w:rPr>
            <w:fldChar w:fldCharType="separate"/>
          </w:r>
          <w:r w:rsidR="00DF47DA" w:rsidRPr="00DF47DA">
            <w:rPr>
              <w:noProof/>
              <w:lang w:val="en-US"/>
            </w:rPr>
            <w:t>[1]</w:t>
          </w:r>
          <w:r w:rsidR="00747799" w:rsidRPr="00DD1B58">
            <w:rPr>
              <w:lang w:val="en-US"/>
            </w:rPr>
            <w:fldChar w:fldCharType="end"/>
          </w:r>
        </w:sdtContent>
      </w:sdt>
      <w:r w:rsidR="00747799" w:rsidRPr="00DD1B58">
        <w:rPr>
          <w:lang w:val="en-US"/>
        </w:rPr>
        <w:t xml:space="preserve">. </w:t>
      </w:r>
    </w:p>
    <w:p w14:paraId="4138D3EC" w14:textId="404CF870" w:rsidR="000940A4" w:rsidRPr="00DD1B58" w:rsidRDefault="00445A8E" w:rsidP="000940A4">
      <w:pPr>
        <w:rPr>
          <w:lang w:val="en-US"/>
        </w:rPr>
      </w:pPr>
      <w:r w:rsidRPr="00DD1B58">
        <w:rPr>
          <w:lang w:val="en-US"/>
        </w:rPr>
        <w:t>Fire prevention is a key expectation of the ONR T</w:t>
      </w:r>
      <w:r w:rsidR="00954B03" w:rsidRPr="00DD1B58">
        <w:rPr>
          <w:lang w:val="en-US"/>
        </w:rPr>
        <w:t xml:space="preserve">echnical Assessment Guide on Internal Hazards </w:t>
      </w:r>
      <w:sdt>
        <w:sdtPr>
          <w:rPr>
            <w:lang w:val="en-US"/>
          </w:rPr>
          <w:id w:val="2050106372"/>
          <w:citation/>
        </w:sdtPr>
        <w:sdtContent>
          <w:r w:rsidR="002A1FDD" w:rsidRPr="00DD1B58">
            <w:rPr>
              <w:lang w:val="en-US"/>
            </w:rPr>
            <w:fldChar w:fldCharType="begin"/>
          </w:r>
          <w:r w:rsidR="002A1FDD" w:rsidRPr="00DD1B58">
            <w:rPr>
              <w:lang w:val="en-US"/>
            </w:rPr>
            <w:instrText xml:space="preserve"> CITATION ONR4 \l 2057 </w:instrText>
          </w:r>
          <w:r w:rsidR="002A1FDD" w:rsidRPr="00DD1B58">
            <w:rPr>
              <w:lang w:val="en-US"/>
            </w:rPr>
            <w:fldChar w:fldCharType="separate"/>
          </w:r>
          <w:r w:rsidR="00DF47DA" w:rsidRPr="00DF47DA">
            <w:rPr>
              <w:noProof/>
              <w:lang w:val="en-US"/>
            </w:rPr>
            <w:t>[16]</w:t>
          </w:r>
          <w:r w:rsidR="002A1FDD" w:rsidRPr="00DD1B58">
            <w:rPr>
              <w:lang w:val="en-US"/>
            </w:rPr>
            <w:fldChar w:fldCharType="end"/>
          </w:r>
        </w:sdtContent>
      </w:sdt>
      <w:r w:rsidR="00770E24" w:rsidRPr="00DD1B58">
        <w:rPr>
          <w:lang w:val="en-US"/>
        </w:rPr>
        <w:t xml:space="preserve">. </w:t>
      </w:r>
      <w:r w:rsidR="004448FE" w:rsidRPr="00DD1B58">
        <w:rPr>
          <w:lang w:val="en-US"/>
        </w:rPr>
        <w:t xml:space="preserve">ONR </w:t>
      </w:r>
      <w:r w:rsidR="009C5D87" w:rsidRPr="00DD1B58">
        <w:rPr>
          <w:lang w:val="en-US"/>
        </w:rPr>
        <w:t xml:space="preserve">judges </w:t>
      </w:r>
      <w:r w:rsidR="004448FE" w:rsidRPr="00DD1B58">
        <w:rPr>
          <w:lang w:val="en-US"/>
        </w:rPr>
        <w:t>that the range of</w:t>
      </w:r>
      <w:r w:rsidR="00FF7922" w:rsidRPr="00DD1B58">
        <w:rPr>
          <w:lang w:val="en-US"/>
        </w:rPr>
        <w:t xml:space="preserve"> measures outlined by Springfields meets </w:t>
      </w:r>
      <w:r w:rsidR="00EE3ECC" w:rsidRPr="00DD1B58">
        <w:rPr>
          <w:lang w:val="en-US"/>
        </w:rPr>
        <w:t xml:space="preserve">the expectations of ONR </w:t>
      </w:r>
      <w:r w:rsidR="00FF7922" w:rsidRPr="00DD1B58">
        <w:rPr>
          <w:lang w:val="en-US"/>
        </w:rPr>
        <w:t xml:space="preserve">SAPs </w:t>
      </w:r>
      <w:sdt>
        <w:sdtPr>
          <w:rPr>
            <w:lang w:val="en-US"/>
          </w:rPr>
          <w:id w:val="-1580130799"/>
          <w:citation/>
        </w:sdtPr>
        <w:sdtContent>
          <w:r w:rsidR="00636863" w:rsidRPr="00DD1B58">
            <w:rPr>
              <w:lang w:val="en-US"/>
            </w:rPr>
            <w:fldChar w:fldCharType="begin"/>
          </w:r>
          <w:r w:rsidR="00636863" w:rsidRPr="00DD1B58">
            <w:rPr>
              <w:lang w:val="en-US"/>
            </w:rPr>
            <w:instrText xml:space="preserve"> CITATION Off20 \l 2057 </w:instrText>
          </w:r>
          <w:r w:rsidR="00636863" w:rsidRPr="00DD1B58">
            <w:rPr>
              <w:lang w:val="en-US"/>
            </w:rPr>
            <w:fldChar w:fldCharType="separate"/>
          </w:r>
          <w:r w:rsidR="00DF47DA" w:rsidRPr="00DF47DA">
            <w:rPr>
              <w:noProof/>
              <w:lang w:val="en-US"/>
            </w:rPr>
            <w:t>[15]</w:t>
          </w:r>
          <w:r w:rsidR="00636863" w:rsidRPr="00DD1B58">
            <w:rPr>
              <w:lang w:val="en-US"/>
            </w:rPr>
            <w:fldChar w:fldCharType="end"/>
          </w:r>
        </w:sdtContent>
      </w:sdt>
      <w:r w:rsidR="00636863" w:rsidRPr="00DD1B58">
        <w:rPr>
          <w:lang w:val="en-US"/>
        </w:rPr>
        <w:t xml:space="preserve"> </w:t>
      </w:r>
      <w:r w:rsidR="00FF7922" w:rsidRPr="00DD1B58">
        <w:rPr>
          <w:lang w:val="en-US"/>
        </w:rPr>
        <w:t xml:space="preserve"> and the Internal Hazards TAG </w:t>
      </w:r>
      <w:sdt>
        <w:sdtPr>
          <w:rPr>
            <w:lang w:val="en-US"/>
          </w:rPr>
          <w:id w:val="-1507967751"/>
          <w:citation/>
        </w:sdtPr>
        <w:sdtContent>
          <w:r w:rsidR="00FF7922" w:rsidRPr="00DD1B58">
            <w:rPr>
              <w:lang w:val="en-US"/>
            </w:rPr>
            <w:fldChar w:fldCharType="begin"/>
          </w:r>
          <w:r w:rsidR="00FF7922" w:rsidRPr="00DD1B58">
            <w:rPr>
              <w:lang w:val="en-US"/>
            </w:rPr>
            <w:instrText xml:space="preserve"> CITATION ONR4 \l 2057 </w:instrText>
          </w:r>
          <w:r w:rsidR="00FF7922" w:rsidRPr="00DD1B58">
            <w:rPr>
              <w:lang w:val="en-US"/>
            </w:rPr>
            <w:fldChar w:fldCharType="separate"/>
          </w:r>
          <w:r w:rsidR="00DF47DA" w:rsidRPr="00DF47DA">
            <w:rPr>
              <w:noProof/>
              <w:lang w:val="en-US"/>
            </w:rPr>
            <w:t>[16]</w:t>
          </w:r>
          <w:r w:rsidR="00FF7922" w:rsidRPr="00DD1B58">
            <w:rPr>
              <w:lang w:val="en-US"/>
            </w:rPr>
            <w:fldChar w:fldCharType="end"/>
          </w:r>
        </w:sdtContent>
      </w:sdt>
      <w:r w:rsidR="00FF7922" w:rsidRPr="00DD1B58">
        <w:rPr>
          <w:lang w:val="en-US"/>
        </w:rPr>
        <w:t>.</w:t>
      </w:r>
    </w:p>
    <w:p w14:paraId="3C26DA4E" w14:textId="77777777" w:rsidR="00FF7922" w:rsidRPr="00DD1B58" w:rsidRDefault="00DE4561" w:rsidP="000940A4">
      <w:pPr>
        <w:rPr>
          <w:b/>
          <w:lang w:val="en-US"/>
        </w:rPr>
      </w:pPr>
      <w:r w:rsidRPr="00DD1B58">
        <w:rPr>
          <w:b/>
          <w:lang w:val="en-US"/>
        </w:rPr>
        <w:t>Weaknesses</w:t>
      </w:r>
    </w:p>
    <w:p w14:paraId="7BFD90E9" w14:textId="12AAB2A5" w:rsidR="00893D9D" w:rsidRPr="00DD1B58" w:rsidRDefault="00295EAF" w:rsidP="00893D9D">
      <w:pPr>
        <w:rPr>
          <w:rFonts w:ascii="Calibri" w:hAnsi="Calibri"/>
          <w:i/>
          <w:iCs/>
          <w:sz w:val="22"/>
          <w:lang w:val="en-US" w:eastAsia="en-GB" w:bidi="ar-SA"/>
        </w:rPr>
      </w:pPr>
      <w:r w:rsidRPr="00DD1B58">
        <w:rPr>
          <w:lang w:val="en-US"/>
        </w:rPr>
        <w:t xml:space="preserve">In </w:t>
      </w:r>
      <w:r w:rsidR="00507B3A" w:rsidRPr="00DD1B58">
        <w:rPr>
          <w:lang w:val="en-US"/>
        </w:rPr>
        <w:t>fire prevention and for Springfields Fuels Ltd,</w:t>
      </w:r>
      <w:r w:rsidRPr="00DD1B58">
        <w:rPr>
          <w:lang w:val="en-US"/>
        </w:rPr>
        <w:t xml:space="preserve"> </w:t>
      </w:r>
      <w:r w:rsidR="000D30A1" w:rsidRPr="00DD1B58">
        <w:rPr>
          <w:lang w:val="en-US"/>
        </w:rPr>
        <w:t xml:space="preserve">ONR </w:t>
      </w:r>
      <w:r w:rsidRPr="00DD1B58">
        <w:rPr>
          <w:lang w:val="en-US"/>
        </w:rPr>
        <w:t>questioned</w:t>
      </w:r>
      <w:r w:rsidR="00EC7A3C" w:rsidRPr="00DD1B58">
        <w:rPr>
          <w:lang w:val="en-US"/>
        </w:rPr>
        <w:t xml:space="preserve"> that the</w:t>
      </w:r>
      <w:r w:rsidR="00BE6A18" w:rsidRPr="00DD1B58">
        <w:rPr>
          <w:lang w:val="en-US"/>
        </w:rPr>
        <w:t xml:space="preserve"> relationship between </w:t>
      </w:r>
      <w:r w:rsidR="007D01AF" w:rsidRPr="00DD1B58">
        <w:rPr>
          <w:lang w:val="en-US"/>
        </w:rPr>
        <w:t xml:space="preserve">temporary laydown spaces and the assessment of the adequacy of fire loading </w:t>
      </w:r>
      <w:r w:rsidR="00EC7A3C" w:rsidRPr="00DD1B58">
        <w:rPr>
          <w:lang w:val="en-US"/>
        </w:rPr>
        <w:t xml:space="preserve">should be clearly </w:t>
      </w:r>
      <w:r w:rsidR="004613AC" w:rsidRPr="00DD1B58">
        <w:rPr>
          <w:lang w:val="en-US"/>
        </w:rPr>
        <w:t>outlined,</w:t>
      </w:r>
      <w:r w:rsidR="00EC7A3C" w:rsidRPr="00DD1B58">
        <w:rPr>
          <w:lang w:val="en-US"/>
        </w:rPr>
        <w:t xml:space="preserve"> as</w:t>
      </w:r>
      <w:r w:rsidR="007D01AF" w:rsidRPr="00DD1B58">
        <w:rPr>
          <w:lang w:val="en-US"/>
        </w:rPr>
        <w:t xml:space="preserve"> </w:t>
      </w:r>
      <w:r w:rsidR="004613AC" w:rsidRPr="00DD1B58">
        <w:rPr>
          <w:lang w:val="en-US"/>
        </w:rPr>
        <w:t>the adequacy of passive fire boundaries</w:t>
      </w:r>
      <w:r w:rsidR="004613AC" w:rsidRPr="00DD1B58" w:rsidDel="004613AC">
        <w:rPr>
          <w:lang w:val="en-US"/>
        </w:rPr>
        <w:t xml:space="preserve"> </w:t>
      </w:r>
      <w:r w:rsidR="002D4776" w:rsidRPr="00DD1B58">
        <w:rPr>
          <w:lang w:val="en-US"/>
        </w:rPr>
        <w:t>are initially based on a quantitative assessment of fire loading.</w:t>
      </w:r>
      <w:r w:rsidR="00C21F05" w:rsidRPr="00DD1B58">
        <w:rPr>
          <w:lang w:val="en-US"/>
        </w:rPr>
        <w:t xml:space="preserve"> </w:t>
      </w:r>
      <w:r w:rsidR="002D4776" w:rsidRPr="00DD1B58">
        <w:rPr>
          <w:lang w:val="en-US"/>
        </w:rPr>
        <w:t xml:space="preserve">Springfields </w:t>
      </w:r>
      <w:r w:rsidR="00C21F05" w:rsidRPr="00DD1B58">
        <w:rPr>
          <w:lang w:val="en-US"/>
        </w:rPr>
        <w:t xml:space="preserve">Fuels </w:t>
      </w:r>
      <w:r w:rsidR="002D4776" w:rsidRPr="00DD1B58">
        <w:rPr>
          <w:lang w:val="en-US"/>
        </w:rPr>
        <w:t xml:space="preserve">Ltd </w:t>
      </w:r>
      <w:r w:rsidR="00C21F05" w:rsidRPr="00DD1B58">
        <w:rPr>
          <w:lang w:val="en-US"/>
        </w:rPr>
        <w:t xml:space="preserve">responded that </w:t>
      </w:r>
      <w:r w:rsidR="00C21F05" w:rsidRPr="00DD1B58">
        <w:rPr>
          <w:i/>
          <w:iCs/>
          <w:lang w:val="en-US"/>
        </w:rPr>
        <w:t>d</w:t>
      </w:r>
      <w:r w:rsidR="007574CC" w:rsidRPr="00DD1B58">
        <w:rPr>
          <w:i/>
          <w:iCs/>
          <w:lang w:val="en-US"/>
        </w:rPr>
        <w:t xml:space="preserve">esignating laydown areas as might be encountered in Nuclear Power Stations </w:t>
      </w:r>
      <w:r w:rsidR="00893D9D" w:rsidRPr="00DD1B58">
        <w:rPr>
          <w:i/>
          <w:iCs/>
          <w:lang w:val="en-US"/>
        </w:rPr>
        <w:t>for storing large quantities of combustible materials such as scaffold boards is not practiced in any of the buildings at Springfields Fuels. Small transient laydown areas are used that are task specific and are only present during the task and potentially for a short period of time before removal when the task is complete.</w:t>
      </w:r>
    </w:p>
    <w:p w14:paraId="49AD35AD" w14:textId="77777777" w:rsidR="00893D9D" w:rsidRPr="00DD1B58" w:rsidRDefault="00893D9D" w:rsidP="00893D9D">
      <w:pPr>
        <w:rPr>
          <w:i/>
          <w:iCs/>
          <w:lang w:val="en-US"/>
        </w:rPr>
      </w:pPr>
      <w:r w:rsidRPr="00DD1B58">
        <w:rPr>
          <w:i/>
          <w:iCs/>
          <w:lang w:val="en-US"/>
        </w:rPr>
        <w:t>As an example, a temporary timber scaffold lay down area was assessed as part of the OFC fire loading study. The temporary timber scaffold lay down area comprised a small number of scaffold boards (8 x 2.4</w:t>
      </w:r>
      <w:r w:rsidR="0075437B" w:rsidRPr="00DD1B58">
        <w:rPr>
          <w:i/>
          <w:iCs/>
          <w:lang w:val="en-US"/>
        </w:rPr>
        <w:t>m</w:t>
      </w:r>
      <w:r w:rsidRPr="00DD1B58">
        <w:rPr>
          <w:i/>
          <w:iCs/>
          <w:lang w:val="en-US"/>
        </w:rPr>
        <w:t xml:space="preserve"> boards) - 66.4kg, a timber pallet 20kg and a 3.5m timber ladder (12kg timber). The total fire load density calculated for the lay down area was based on 89.9 kg of timber </w:t>
      </w:r>
      <w:r w:rsidR="00A8712E" w:rsidRPr="00DD1B58">
        <w:rPr>
          <w:i/>
          <w:iCs/>
          <w:lang w:val="en-US"/>
        </w:rPr>
        <w:t xml:space="preserve">and </w:t>
      </w:r>
      <w:r w:rsidR="00356159" w:rsidRPr="00DD1B58">
        <w:rPr>
          <w:i/>
          <w:iCs/>
          <w:lang w:val="en-US"/>
        </w:rPr>
        <w:t xml:space="preserve">was calculated at </w:t>
      </w:r>
      <w:r w:rsidRPr="00DD1B58">
        <w:rPr>
          <w:i/>
          <w:iCs/>
          <w:lang w:val="en-US"/>
        </w:rPr>
        <w:t>19.5MJ/kg.</w:t>
      </w:r>
    </w:p>
    <w:p w14:paraId="14F11195" w14:textId="77777777" w:rsidR="00893D9D" w:rsidRPr="00DD1B58" w:rsidRDefault="00893D9D" w:rsidP="00893D9D">
      <w:pPr>
        <w:rPr>
          <w:i/>
          <w:iCs/>
          <w:lang w:val="en-US"/>
        </w:rPr>
      </w:pPr>
      <w:r w:rsidRPr="00DD1B58">
        <w:rPr>
          <w:i/>
          <w:iCs/>
          <w:lang w:val="en-US"/>
        </w:rPr>
        <w:t>The total fire load for the area (electrical cabinets, cables and a crane festoon) was calculated as 4392MJ equating to 21MJ/m</w:t>
      </w:r>
      <w:r w:rsidRPr="00DD1B58">
        <w:rPr>
          <w:i/>
          <w:iCs/>
          <w:vertAlign w:val="superscript"/>
          <w:lang w:val="en-US"/>
        </w:rPr>
        <w:t>2</w:t>
      </w:r>
      <w:r w:rsidRPr="00DD1B58">
        <w:rPr>
          <w:i/>
          <w:iCs/>
          <w:lang w:val="en-US"/>
        </w:rPr>
        <w:t xml:space="preserve"> = 1.13 Mins Fire Resistance. As such there is very wide margin of safety before even unprotected steelwork could become affected. Any </w:t>
      </w:r>
      <w:r w:rsidR="00141ED6" w:rsidRPr="00DD1B58">
        <w:rPr>
          <w:i/>
          <w:iCs/>
          <w:lang w:val="en-US"/>
        </w:rPr>
        <w:t>stored combustible</w:t>
      </w:r>
      <w:r w:rsidRPr="00DD1B58">
        <w:rPr>
          <w:i/>
          <w:iCs/>
          <w:lang w:val="en-US"/>
        </w:rPr>
        <w:t xml:space="preserve"> materials that are not removed are identified during building management safety walkdowns, fire officer inspections or the fire risk assessment process and if </w:t>
      </w:r>
      <w:r w:rsidR="00141ED6" w:rsidRPr="00DD1B58">
        <w:rPr>
          <w:i/>
          <w:iCs/>
          <w:lang w:val="en-US"/>
        </w:rPr>
        <w:t>necessary,</w:t>
      </w:r>
      <w:r w:rsidRPr="00DD1B58">
        <w:rPr>
          <w:i/>
          <w:iCs/>
          <w:lang w:val="en-US"/>
        </w:rPr>
        <w:t xml:space="preserve"> a corrective action (CAP) raised.</w:t>
      </w:r>
      <w:r w:rsidR="00141ED6" w:rsidRPr="00DD1B58">
        <w:rPr>
          <w:i/>
          <w:iCs/>
          <w:lang w:val="en-US"/>
        </w:rPr>
        <w:t>”</w:t>
      </w:r>
    </w:p>
    <w:p w14:paraId="7F3C2B89" w14:textId="557ADB50" w:rsidR="002D4776" w:rsidRPr="00DD1B58" w:rsidRDefault="00F51FD1" w:rsidP="000940A4">
      <w:pPr>
        <w:rPr>
          <w:lang w:val="en-US"/>
        </w:rPr>
      </w:pPr>
      <w:r w:rsidRPr="00DD1B58" w:rsidDel="00246574">
        <w:rPr>
          <w:lang w:val="en-US"/>
        </w:rPr>
        <w:t xml:space="preserve">ONR </w:t>
      </w:r>
      <w:r w:rsidR="00413B5D" w:rsidRPr="00DD1B58" w:rsidDel="00246574">
        <w:rPr>
          <w:lang w:val="en-US"/>
        </w:rPr>
        <w:t>judges that the type of laydown space described</w:t>
      </w:r>
      <w:r w:rsidR="00CF275C" w:rsidRPr="00DD1B58" w:rsidDel="00246574">
        <w:rPr>
          <w:lang w:val="en-US"/>
        </w:rPr>
        <w:t xml:space="preserve"> (small, temporary and project specific) is unlikely to challenge nuclear safety significant passive barriers. </w:t>
      </w:r>
      <w:r w:rsidR="00283751" w:rsidRPr="00DD1B58">
        <w:rPr>
          <w:lang w:val="en-US"/>
        </w:rPr>
        <w:t xml:space="preserve">The use of the Ingberg method for calculating fire severity </w:t>
      </w:r>
      <w:r w:rsidR="00693E5C" w:rsidRPr="00DD1B58">
        <w:rPr>
          <w:lang w:val="en-US"/>
        </w:rPr>
        <w:t>in this context</w:t>
      </w:r>
      <w:r w:rsidR="00246574" w:rsidRPr="00DD1B58">
        <w:rPr>
          <w:lang w:val="en-US"/>
        </w:rPr>
        <w:t xml:space="preserve"> is</w:t>
      </w:r>
      <w:r w:rsidR="00693E5C" w:rsidRPr="00DD1B58">
        <w:rPr>
          <w:lang w:val="en-US"/>
        </w:rPr>
        <w:t xml:space="preserve"> part of </w:t>
      </w:r>
      <w:r w:rsidR="00246574" w:rsidRPr="00DD1B58">
        <w:rPr>
          <w:lang w:val="en-US"/>
        </w:rPr>
        <w:t xml:space="preserve">the </w:t>
      </w:r>
      <w:r w:rsidR="00693E5C" w:rsidRPr="00DD1B58">
        <w:rPr>
          <w:lang w:val="en-US"/>
        </w:rPr>
        <w:t>engineering judgement</w:t>
      </w:r>
      <w:r w:rsidR="00246574" w:rsidRPr="00DD1B58">
        <w:rPr>
          <w:lang w:val="en-US"/>
        </w:rPr>
        <w:t xml:space="preserve"> applied.</w:t>
      </w:r>
    </w:p>
    <w:p w14:paraId="5F11B7BC" w14:textId="293B3902" w:rsidR="00507B3A" w:rsidRPr="00DD1B58" w:rsidRDefault="00E3315D" w:rsidP="000940A4">
      <w:pPr>
        <w:rPr>
          <w:lang w:val="en-US"/>
        </w:rPr>
      </w:pPr>
      <w:r w:rsidRPr="00DD1B58">
        <w:rPr>
          <w:lang w:val="en-US"/>
        </w:rPr>
        <w:t>Fo</w:t>
      </w:r>
      <w:r w:rsidR="00394DC5" w:rsidRPr="00DD1B58">
        <w:rPr>
          <w:lang w:val="en-US"/>
        </w:rPr>
        <w:t xml:space="preserve">llowing </w:t>
      </w:r>
      <w:r w:rsidR="00F96838" w:rsidRPr="00DD1B58">
        <w:rPr>
          <w:lang w:val="en-US"/>
        </w:rPr>
        <w:t xml:space="preserve">the Grenfell </w:t>
      </w:r>
      <w:r w:rsidR="00007F9B" w:rsidRPr="00DD1B58">
        <w:rPr>
          <w:lang w:val="en-US"/>
        </w:rPr>
        <w:t>t</w:t>
      </w:r>
      <w:r w:rsidR="00394DC5" w:rsidRPr="00DD1B58">
        <w:rPr>
          <w:lang w:val="en-US"/>
        </w:rPr>
        <w:t xml:space="preserve">ower </w:t>
      </w:r>
      <w:r w:rsidR="00F96838" w:rsidRPr="00DD1B58">
        <w:rPr>
          <w:lang w:val="en-US"/>
        </w:rPr>
        <w:t>fire</w:t>
      </w:r>
      <w:r w:rsidR="00DF6F53" w:rsidRPr="00DD1B58">
        <w:rPr>
          <w:lang w:val="en-US"/>
        </w:rPr>
        <w:t xml:space="preserve"> and</w:t>
      </w:r>
      <w:r w:rsidRPr="00DD1B58">
        <w:rPr>
          <w:lang w:val="en-US"/>
        </w:rPr>
        <w:t xml:space="preserve"> as per statement in section </w:t>
      </w:r>
      <w:r w:rsidRPr="00DD1B58">
        <w:rPr>
          <w:lang w:val="en-US"/>
        </w:rPr>
        <w:fldChar w:fldCharType="begin"/>
      </w:r>
      <w:r w:rsidRPr="00DD1B58">
        <w:rPr>
          <w:lang w:val="en-US"/>
        </w:rPr>
        <w:instrText xml:space="preserve"> REF _Ref139966092 \r \h </w:instrText>
      </w:r>
      <w:r w:rsidRPr="00DD1B58">
        <w:rPr>
          <w:lang w:val="en-US"/>
        </w:rPr>
      </w:r>
      <w:r w:rsidRPr="00DD1B58">
        <w:rPr>
          <w:lang w:val="en-US"/>
        </w:rPr>
        <w:fldChar w:fldCharType="separate"/>
      </w:r>
      <w:r w:rsidR="00DF47DA">
        <w:rPr>
          <w:lang w:val="en-US"/>
        </w:rPr>
        <w:t>C-II-3.1.3.2</w:t>
      </w:r>
      <w:r w:rsidRPr="00DD1B58">
        <w:rPr>
          <w:lang w:val="en-US"/>
        </w:rPr>
        <w:fldChar w:fldCharType="end"/>
      </w:r>
      <w:r w:rsidRPr="00DD1B58">
        <w:rPr>
          <w:lang w:val="en-US"/>
        </w:rPr>
        <w:t>, ONR</w:t>
      </w:r>
      <w:r w:rsidR="00F96838" w:rsidRPr="00DD1B58">
        <w:rPr>
          <w:lang w:val="en-US"/>
        </w:rPr>
        <w:t xml:space="preserve"> wrote to </w:t>
      </w:r>
      <w:r w:rsidRPr="00DD1B58">
        <w:rPr>
          <w:lang w:val="en-US"/>
        </w:rPr>
        <w:t xml:space="preserve">all </w:t>
      </w:r>
      <w:r w:rsidR="00F96838" w:rsidRPr="00DD1B58">
        <w:rPr>
          <w:lang w:val="en-US"/>
        </w:rPr>
        <w:t xml:space="preserve">GB licensees </w:t>
      </w:r>
      <w:r w:rsidR="0046079E" w:rsidRPr="00DD1B58">
        <w:rPr>
          <w:lang w:val="en-US"/>
        </w:rPr>
        <w:t xml:space="preserve">so that </w:t>
      </w:r>
      <w:r w:rsidR="00394DC5" w:rsidRPr="00DD1B58">
        <w:rPr>
          <w:lang w:val="en-US"/>
        </w:rPr>
        <w:t>the use of</w:t>
      </w:r>
      <w:r w:rsidR="00001EE0" w:rsidRPr="00DD1B58">
        <w:rPr>
          <w:lang w:val="en-US"/>
        </w:rPr>
        <w:t xml:space="preserve"> combustible cladding and linings</w:t>
      </w:r>
      <w:r w:rsidR="00DF6F53" w:rsidRPr="00DD1B58">
        <w:rPr>
          <w:lang w:val="en-US"/>
        </w:rPr>
        <w:t xml:space="preserve"> was reviewed</w:t>
      </w:r>
      <w:r w:rsidR="0046079E" w:rsidRPr="00DD1B58">
        <w:rPr>
          <w:lang w:val="en-US"/>
        </w:rPr>
        <w:t xml:space="preserve">. ONR </w:t>
      </w:r>
      <w:r w:rsidR="000A776F" w:rsidRPr="00DD1B58">
        <w:rPr>
          <w:lang w:val="en-US"/>
        </w:rPr>
        <w:t xml:space="preserve">subsequently </w:t>
      </w:r>
      <w:r w:rsidR="0046079E" w:rsidRPr="00DD1B58">
        <w:rPr>
          <w:lang w:val="en-US"/>
        </w:rPr>
        <w:t xml:space="preserve">assessed the adequacy of the responses and </w:t>
      </w:r>
      <w:r w:rsidR="00001EE0" w:rsidRPr="00DD1B58">
        <w:rPr>
          <w:lang w:val="en-US"/>
        </w:rPr>
        <w:t xml:space="preserve">actions taken by </w:t>
      </w:r>
      <w:r w:rsidR="00843E9C" w:rsidRPr="00DD1B58">
        <w:rPr>
          <w:lang w:val="en-US"/>
        </w:rPr>
        <w:t xml:space="preserve">licensees to </w:t>
      </w:r>
      <w:r w:rsidR="00B436AC" w:rsidRPr="00DD1B58">
        <w:rPr>
          <w:lang w:val="en-US"/>
        </w:rPr>
        <w:t xml:space="preserve">reduce the risks </w:t>
      </w:r>
      <w:r w:rsidR="00435D0F" w:rsidRPr="00DD1B58">
        <w:rPr>
          <w:lang w:val="en-US"/>
        </w:rPr>
        <w:t xml:space="preserve">to </w:t>
      </w:r>
      <w:r w:rsidR="00B436AC" w:rsidRPr="00DD1B58">
        <w:rPr>
          <w:lang w:val="en-US"/>
        </w:rPr>
        <w:t xml:space="preserve">life and nuclear safety. </w:t>
      </w:r>
      <w:r w:rsidR="00D94065" w:rsidRPr="00DD1B58">
        <w:rPr>
          <w:lang w:val="en-US"/>
        </w:rPr>
        <w:t>The closure of actions and implementation of controls</w:t>
      </w:r>
      <w:r w:rsidR="0046079E" w:rsidRPr="00DD1B58">
        <w:rPr>
          <w:lang w:val="en-US"/>
        </w:rPr>
        <w:t>, such as those</w:t>
      </w:r>
      <w:r w:rsidR="00435D0F" w:rsidRPr="00DD1B58">
        <w:rPr>
          <w:lang w:val="en-US"/>
        </w:rPr>
        <w:t xml:space="preserve"> </w:t>
      </w:r>
      <w:r w:rsidR="0046079E" w:rsidRPr="00DD1B58">
        <w:rPr>
          <w:lang w:val="en-US"/>
        </w:rPr>
        <w:t xml:space="preserve">reported Springfields Fuels Ltd </w:t>
      </w:r>
      <w:r w:rsidR="00435D0F" w:rsidRPr="00DD1B58">
        <w:rPr>
          <w:lang w:val="en-US"/>
        </w:rPr>
        <w:t>in section C-II-3.1.3.3</w:t>
      </w:r>
      <w:r w:rsidR="00895C4E" w:rsidRPr="00DD1B58">
        <w:rPr>
          <w:lang w:val="en-US"/>
        </w:rPr>
        <w:t xml:space="preserve">, </w:t>
      </w:r>
      <w:r w:rsidR="00D94065" w:rsidRPr="00DD1B58">
        <w:rPr>
          <w:lang w:val="en-US"/>
        </w:rPr>
        <w:t>were</w:t>
      </w:r>
      <w:r w:rsidR="00435D0F" w:rsidRPr="00DD1B58">
        <w:rPr>
          <w:lang w:val="en-US"/>
        </w:rPr>
        <w:t xml:space="preserve"> subject to scrutiny</w:t>
      </w:r>
      <w:r w:rsidR="00D94065" w:rsidRPr="00DD1B58">
        <w:rPr>
          <w:lang w:val="en-US"/>
        </w:rPr>
        <w:t xml:space="preserve"> </w:t>
      </w:r>
      <w:r w:rsidR="00600827" w:rsidRPr="00DD1B58">
        <w:rPr>
          <w:lang w:val="en-US"/>
        </w:rPr>
        <w:t>by ONR</w:t>
      </w:r>
      <w:r w:rsidR="00895C4E" w:rsidRPr="00DD1B58">
        <w:rPr>
          <w:lang w:val="en-US"/>
        </w:rPr>
        <w:t xml:space="preserve"> </w:t>
      </w:r>
      <w:r w:rsidR="00BF18D9" w:rsidRPr="00DD1B58">
        <w:rPr>
          <w:lang w:val="en-US"/>
        </w:rPr>
        <w:t xml:space="preserve">at the time </w:t>
      </w:r>
      <w:r w:rsidR="00895C4E" w:rsidRPr="00DD1B58">
        <w:rPr>
          <w:lang w:val="en-US"/>
        </w:rPr>
        <w:t xml:space="preserve">and </w:t>
      </w:r>
      <w:r w:rsidR="00D94065" w:rsidRPr="00DD1B58">
        <w:rPr>
          <w:lang w:val="en-US"/>
        </w:rPr>
        <w:t xml:space="preserve">will continue to </w:t>
      </w:r>
      <w:r w:rsidR="00DF6F53" w:rsidRPr="00DD1B58">
        <w:rPr>
          <w:lang w:val="en-US"/>
        </w:rPr>
        <w:t>be</w:t>
      </w:r>
      <w:r w:rsidR="00895C4E" w:rsidRPr="00DD1B58">
        <w:rPr>
          <w:lang w:val="en-US"/>
        </w:rPr>
        <w:t>,</w:t>
      </w:r>
      <w:r w:rsidR="00153202" w:rsidRPr="00DD1B58">
        <w:rPr>
          <w:lang w:val="en-US"/>
        </w:rPr>
        <w:t xml:space="preserve"> </w:t>
      </w:r>
      <w:r w:rsidR="00435D0F" w:rsidRPr="00DD1B58">
        <w:rPr>
          <w:lang w:val="en-US"/>
        </w:rPr>
        <w:t xml:space="preserve">as per planned inspections highlighted in section </w:t>
      </w:r>
      <w:r w:rsidR="00435D0F" w:rsidRPr="00DD1B58">
        <w:rPr>
          <w:cs/>
          <w:lang w:val="en-US"/>
        </w:rPr>
        <w:t>‎</w:t>
      </w:r>
      <w:r w:rsidR="00435D0F" w:rsidRPr="00DD1B58">
        <w:rPr>
          <w:lang w:val="en-US"/>
        </w:rPr>
        <w:t xml:space="preserve">II-2.3.7.3. </w:t>
      </w:r>
    </w:p>
    <w:p w14:paraId="425F1FA1" w14:textId="77777777" w:rsidR="00810C92" w:rsidRPr="00DD1B58" w:rsidRDefault="00810C92"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6C2551F6" w14:textId="01B7C023" w:rsidR="00894B43" w:rsidRPr="00DD1B58" w:rsidRDefault="00440A1C" w:rsidP="00894B43">
      <w:pPr>
        <w:rPr>
          <w:lang w:val="en-US"/>
        </w:rPr>
      </w:pPr>
      <w:r w:rsidRPr="00DD1B58">
        <w:rPr>
          <w:lang w:val="en-US"/>
        </w:rPr>
        <w:t xml:space="preserve">ONR’s arrangements for regulating the Springfields site </w:t>
      </w:r>
      <w:r w:rsidR="00490C44" w:rsidRPr="00DD1B58">
        <w:rPr>
          <w:lang w:val="en-US"/>
        </w:rPr>
        <w:t xml:space="preserve">are </w:t>
      </w:r>
      <w:r w:rsidR="008D1B86" w:rsidRPr="00DD1B58">
        <w:rPr>
          <w:lang w:val="en-US"/>
        </w:rPr>
        <w:t xml:space="preserve">described in Section </w:t>
      </w:r>
      <w:r w:rsidR="008F5F63" w:rsidRPr="00DD1B58">
        <w:rPr>
          <w:lang w:val="en-US"/>
        </w:rPr>
        <w:fldChar w:fldCharType="begin"/>
      </w:r>
      <w:r w:rsidR="008F5F63" w:rsidRPr="00DD1B58">
        <w:rPr>
          <w:lang w:val="en-US"/>
        </w:rPr>
        <w:instrText xml:space="preserve"> REF _Ref139978962 \r \h </w:instrText>
      </w:r>
      <w:r w:rsidR="008F5F63" w:rsidRPr="00DD1B58">
        <w:rPr>
          <w:lang w:val="en-US"/>
        </w:rPr>
      </w:r>
      <w:r w:rsidR="008F5F63" w:rsidRPr="00DD1B58">
        <w:rPr>
          <w:lang w:val="en-US"/>
        </w:rPr>
        <w:fldChar w:fldCharType="separate"/>
      </w:r>
      <w:r w:rsidR="00DF47DA">
        <w:rPr>
          <w:lang w:val="en-US"/>
        </w:rPr>
        <w:t>II-2.3.7.2</w:t>
      </w:r>
      <w:r w:rsidR="008F5F63" w:rsidRPr="00DD1B58">
        <w:rPr>
          <w:lang w:val="en-US"/>
        </w:rPr>
        <w:fldChar w:fldCharType="end"/>
      </w:r>
      <w:r w:rsidR="008F5F63" w:rsidRPr="00DD1B58">
        <w:rPr>
          <w:lang w:val="en-US"/>
        </w:rPr>
        <w:t>.</w:t>
      </w:r>
      <w:r w:rsidR="00387A64" w:rsidRPr="00DD1B58">
        <w:rPr>
          <w:lang w:val="en-US"/>
        </w:rPr>
        <w:t xml:space="preserve"> </w:t>
      </w:r>
      <w:r w:rsidR="00F57258" w:rsidRPr="00DD1B58">
        <w:rPr>
          <w:lang w:val="en-US"/>
        </w:rPr>
        <w:t xml:space="preserve">ONR </w:t>
      </w:r>
      <w:r w:rsidR="00A53C7C" w:rsidRPr="00DD1B58">
        <w:rPr>
          <w:lang w:val="en-US"/>
        </w:rPr>
        <w:t>fire safety inspections</w:t>
      </w:r>
      <w:r w:rsidR="00387A64" w:rsidRPr="00DD1B58">
        <w:rPr>
          <w:lang w:val="en-US"/>
        </w:rPr>
        <w:t xml:space="preserve"> (with a focus on life fire safety) have </w:t>
      </w:r>
      <w:r w:rsidR="00A53C7C" w:rsidRPr="00DD1B58">
        <w:rPr>
          <w:lang w:val="en-US"/>
        </w:rPr>
        <w:t>identified minor shortfalls in the control of combustibles</w:t>
      </w:r>
      <w:r w:rsidR="00406280" w:rsidRPr="00DD1B58">
        <w:rPr>
          <w:lang w:val="en-US"/>
        </w:rPr>
        <w:t>. Following an inspection in 2021</w:t>
      </w:r>
      <w:r w:rsidR="00EF5F9E" w:rsidRPr="00DD1B58">
        <w:rPr>
          <w:lang w:val="en-US"/>
        </w:rPr>
        <w:t xml:space="preserve"> </w:t>
      </w:r>
      <w:sdt>
        <w:sdtPr>
          <w:rPr>
            <w:lang w:val="en-US"/>
          </w:rPr>
          <w:id w:val="966626446"/>
          <w:citation/>
        </w:sdtPr>
        <w:sdtContent>
          <w:r w:rsidR="002E7715" w:rsidRPr="00DD1B58">
            <w:rPr>
              <w:lang w:val="en-US"/>
            </w:rPr>
            <w:fldChar w:fldCharType="begin"/>
          </w:r>
          <w:r w:rsidR="002E7715" w:rsidRPr="00DD1B58">
            <w:rPr>
              <w:lang w:val="en-US"/>
            </w:rPr>
            <w:instrText xml:space="preserve"> CITATION Off6 \l 2057 </w:instrText>
          </w:r>
          <w:r w:rsidR="002E7715" w:rsidRPr="00DD1B58">
            <w:rPr>
              <w:lang w:val="en-US"/>
            </w:rPr>
            <w:fldChar w:fldCharType="separate"/>
          </w:r>
          <w:r w:rsidR="00DF47DA" w:rsidRPr="00DF47DA">
            <w:rPr>
              <w:noProof/>
              <w:lang w:val="en-US"/>
            </w:rPr>
            <w:t>[158]</w:t>
          </w:r>
          <w:r w:rsidR="002E7715" w:rsidRPr="00DD1B58">
            <w:rPr>
              <w:lang w:val="en-US"/>
            </w:rPr>
            <w:fldChar w:fldCharType="end"/>
          </w:r>
        </w:sdtContent>
      </w:sdt>
      <w:r w:rsidR="00406280" w:rsidRPr="00DD1B58">
        <w:rPr>
          <w:lang w:val="en-US"/>
        </w:rPr>
        <w:t xml:space="preserve"> a Level 4 Regulatory Issue (lowest level) was raised on the standard of housekeeping </w:t>
      </w:r>
      <w:r w:rsidR="004B741D" w:rsidRPr="00DD1B58">
        <w:rPr>
          <w:lang w:val="en-US"/>
        </w:rPr>
        <w:t xml:space="preserve">in relation to combustibles. This has since been closed out </w:t>
      </w:r>
      <w:r w:rsidR="00952504" w:rsidRPr="00DD1B58">
        <w:rPr>
          <w:lang w:val="en-US"/>
        </w:rPr>
        <w:t xml:space="preserve">and improvements </w:t>
      </w:r>
      <w:r w:rsidR="00387A64" w:rsidRPr="00DD1B58">
        <w:rPr>
          <w:lang w:val="en-US"/>
        </w:rPr>
        <w:t xml:space="preserve">confirmed </w:t>
      </w:r>
      <w:r w:rsidR="00952504" w:rsidRPr="00DD1B58">
        <w:rPr>
          <w:lang w:val="en-US"/>
        </w:rPr>
        <w:t>in a follow-up inspection.</w:t>
      </w:r>
    </w:p>
    <w:p w14:paraId="6EC63C7B" w14:textId="6BCC999D" w:rsidR="00F91BE7" w:rsidRPr="00DD1B58" w:rsidRDefault="00F91BE7" w:rsidP="00177432">
      <w:pPr>
        <w:pStyle w:val="Heading3A"/>
        <w:rPr>
          <w:lang w:val="en-US"/>
        </w:rPr>
      </w:pPr>
      <w:bookmarkStart w:id="90" w:name="_Toc147090641"/>
      <w:r w:rsidRPr="00DD1B58">
        <w:rPr>
          <w:lang w:val="en-US"/>
        </w:rPr>
        <w:t xml:space="preserve">Dedicated </w:t>
      </w:r>
      <w:r w:rsidR="002B3764" w:rsidRPr="00DD1B58">
        <w:rPr>
          <w:lang w:val="en-US"/>
        </w:rPr>
        <w:t>s</w:t>
      </w:r>
      <w:r w:rsidRPr="00DD1B58">
        <w:rPr>
          <w:lang w:val="en-US"/>
        </w:rPr>
        <w:t xml:space="preserve">pent </w:t>
      </w:r>
      <w:r w:rsidR="002B3764" w:rsidRPr="00DD1B58">
        <w:rPr>
          <w:lang w:val="en-US"/>
        </w:rPr>
        <w:t>f</w:t>
      </w:r>
      <w:r w:rsidRPr="00DD1B58">
        <w:rPr>
          <w:lang w:val="en-US"/>
        </w:rPr>
        <w:t xml:space="preserve">uel </w:t>
      </w:r>
      <w:r w:rsidR="002B3764" w:rsidRPr="00DD1B58">
        <w:rPr>
          <w:lang w:val="en-US"/>
        </w:rPr>
        <w:t>s</w:t>
      </w:r>
      <w:r w:rsidRPr="00DD1B58">
        <w:rPr>
          <w:lang w:val="en-US"/>
        </w:rPr>
        <w:t xml:space="preserve">torage </w:t>
      </w:r>
      <w:r w:rsidR="002B3764" w:rsidRPr="00DD1B58">
        <w:rPr>
          <w:lang w:val="en-US"/>
        </w:rPr>
        <w:t>f</w:t>
      </w:r>
      <w:r w:rsidRPr="00DD1B58">
        <w:rPr>
          <w:lang w:val="en-US"/>
        </w:rPr>
        <w:t>acilities</w:t>
      </w:r>
      <w:bookmarkEnd w:id="90"/>
    </w:p>
    <w:p w14:paraId="460B2D19" w14:textId="37ADA1C2" w:rsidR="00A2124C" w:rsidRPr="00DD1B58" w:rsidRDefault="003839F6" w:rsidP="00E158F4">
      <w:pPr>
        <w:rPr>
          <w:lang w:val="en-US"/>
        </w:rPr>
      </w:pPr>
      <w:r w:rsidRPr="00DD1B58">
        <w:rPr>
          <w:lang w:val="en-US"/>
        </w:rPr>
        <w:t xml:space="preserve">Spent fuel storage facilities associated with reactor sites are reported on under </w:t>
      </w:r>
      <w:r w:rsidR="009948B9" w:rsidRPr="00DD1B58">
        <w:rPr>
          <w:lang w:val="en-US"/>
        </w:rPr>
        <w:t>S</w:t>
      </w:r>
      <w:r w:rsidRPr="00DD1B58">
        <w:rPr>
          <w:lang w:val="en-US"/>
        </w:rPr>
        <w:t xml:space="preserve">ection </w:t>
      </w:r>
      <w:r w:rsidR="009948B9" w:rsidRPr="00DD1B58">
        <w:rPr>
          <w:lang w:val="en-US"/>
        </w:rPr>
        <w:fldChar w:fldCharType="begin"/>
      </w:r>
      <w:r w:rsidR="009948B9" w:rsidRPr="00DD1B58">
        <w:rPr>
          <w:lang w:val="en-US"/>
        </w:rPr>
        <w:instrText xml:space="preserve"> REF _Ref135218010 \n \h </w:instrText>
      </w:r>
      <w:r w:rsidR="009948B9" w:rsidRPr="00DD1B58">
        <w:rPr>
          <w:lang w:val="en-US"/>
        </w:rPr>
      </w:r>
      <w:r w:rsidR="009948B9" w:rsidRPr="00DD1B58">
        <w:rPr>
          <w:lang w:val="en-US"/>
        </w:rPr>
        <w:fldChar w:fldCharType="separate"/>
      </w:r>
      <w:r w:rsidR="00DF47DA">
        <w:rPr>
          <w:lang w:val="en-US"/>
        </w:rPr>
        <w:t>0</w:t>
      </w:r>
      <w:r w:rsidR="009948B9" w:rsidRPr="00DD1B58">
        <w:rPr>
          <w:lang w:val="en-US"/>
        </w:rPr>
        <w:fldChar w:fldCharType="end"/>
      </w:r>
      <w:r w:rsidR="009948B9" w:rsidRPr="00DD1B58">
        <w:rPr>
          <w:lang w:val="en-US"/>
        </w:rPr>
        <w:t xml:space="preserve"> -</w:t>
      </w:r>
      <w:r w:rsidRPr="00DD1B58">
        <w:rPr>
          <w:lang w:val="en-US"/>
        </w:rPr>
        <w:fldChar w:fldCharType="begin"/>
      </w:r>
      <w:r w:rsidRPr="00DD1B58">
        <w:rPr>
          <w:lang w:val="en-US"/>
        </w:rPr>
        <w:instrText xml:space="preserve"> REF _Ref135217969 \h </w:instrText>
      </w:r>
      <w:r w:rsidRPr="00DD1B58">
        <w:rPr>
          <w:lang w:val="en-US"/>
        </w:rPr>
      </w:r>
      <w:r w:rsidRPr="00DD1B58">
        <w:rPr>
          <w:lang w:val="en-US"/>
        </w:rPr>
        <w:fldChar w:fldCharType="separate"/>
      </w:r>
      <w:r w:rsidR="00DF47DA" w:rsidRPr="00DD1B58">
        <w:rPr>
          <w:lang w:val="en-US"/>
        </w:rPr>
        <w:t>Nuclear power plants</w:t>
      </w:r>
      <w:r w:rsidRPr="00DD1B58">
        <w:rPr>
          <w:lang w:val="en-US"/>
        </w:rPr>
        <w:fldChar w:fldCharType="end"/>
      </w:r>
      <w:r w:rsidR="009948B9" w:rsidRPr="00DD1B58">
        <w:rPr>
          <w:lang w:val="en-US"/>
        </w:rPr>
        <w:t>.</w:t>
      </w:r>
      <w:r w:rsidR="00275789" w:rsidRPr="00DD1B58">
        <w:rPr>
          <w:lang w:val="en-US"/>
        </w:rPr>
        <w:t xml:space="preserve"> </w:t>
      </w:r>
      <w:r w:rsidR="008E4469" w:rsidRPr="00DD1B58">
        <w:rPr>
          <w:lang w:val="en-US"/>
        </w:rPr>
        <w:t xml:space="preserve">Spent fuel storage facilities at Sellafield follow the same licensee arrangements as those reported </w:t>
      </w:r>
      <w:r w:rsidR="00275789" w:rsidRPr="00DD1B58">
        <w:rPr>
          <w:lang w:val="en-US"/>
        </w:rPr>
        <w:t xml:space="preserve">under Section </w:t>
      </w:r>
      <w:r w:rsidR="00946612" w:rsidRPr="00DD1B58">
        <w:rPr>
          <w:lang w:val="en-US"/>
        </w:rPr>
        <w:fldChar w:fldCharType="begin"/>
      </w:r>
      <w:r w:rsidR="00946612" w:rsidRPr="00DD1B58">
        <w:rPr>
          <w:lang w:val="en-US"/>
        </w:rPr>
        <w:instrText xml:space="preserve"> REF _Ref135218093 \r \h </w:instrText>
      </w:r>
      <w:r w:rsidR="00946612" w:rsidRPr="00DD1B58">
        <w:rPr>
          <w:lang w:val="en-US"/>
        </w:rPr>
      </w:r>
      <w:r w:rsidR="00946612" w:rsidRPr="00DD1B58">
        <w:rPr>
          <w:lang w:val="en-US"/>
        </w:rPr>
        <w:fldChar w:fldCharType="separate"/>
      </w:r>
      <w:r w:rsidR="00DF47DA">
        <w:rPr>
          <w:lang w:val="en-US"/>
        </w:rPr>
        <w:t>E</w:t>
      </w:r>
      <w:r w:rsidR="00946612" w:rsidRPr="00DD1B58">
        <w:rPr>
          <w:lang w:val="en-US"/>
        </w:rPr>
        <w:fldChar w:fldCharType="end"/>
      </w:r>
      <w:r w:rsidR="00946612" w:rsidRPr="00DD1B58">
        <w:rPr>
          <w:lang w:val="en-US"/>
        </w:rPr>
        <w:t xml:space="preserve"> - </w:t>
      </w:r>
      <w:r w:rsidR="00946612" w:rsidRPr="00DD1B58">
        <w:rPr>
          <w:lang w:val="en-US"/>
        </w:rPr>
        <w:fldChar w:fldCharType="begin"/>
      </w:r>
      <w:r w:rsidR="00946612" w:rsidRPr="00DD1B58">
        <w:rPr>
          <w:lang w:val="en-US"/>
        </w:rPr>
        <w:instrText xml:space="preserve"> REF _Ref135218093 \h </w:instrText>
      </w:r>
      <w:r w:rsidR="00946612" w:rsidRPr="00DD1B58">
        <w:rPr>
          <w:lang w:val="en-US"/>
        </w:rPr>
      </w:r>
      <w:r w:rsidR="00946612" w:rsidRPr="00DD1B58">
        <w:rPr>
          <w:lang w:val="en-US"/>
        </w:rPr>
        <w:fldChar w:fldCharType="separate"/>
      </w:r>
      <w:r w:rsidR="00DF47DA" w:rsidRPr="00DD1B58">
        <w:rPr>
          <w:lang w:val="en-US"/>
        </w:rPr>
        <w:t>Waste storage facilities</w:t>
      </w:r>
      <w:r w:rsidR="00946612" w:rsidRPr="00DD1B58">
        <w:rPr>
          <w:lang w:val="en-US"/>
        </w:rPr>
        <w:fldChar w:fldCharType="end"/>
      </w:r>
      <w:r w:rsidR="00946612" w:rsidRPr="00DD1B58">
        <w:rPr>
          <w:lang w:val="en-US"/>
        </w:rPr>
        <w:t>.</w:t>
      </w:r>
      <w:r w:rsidR="00A2124C" w:rsidRPr="00DD1B58">
        <w:rPr>
          <w:lang w:val="en-US"/>
        </w:rPr>
        <w:br w:type="page"/>
      </w:r>
    </w:p>
    <w:p w14:paraId="35CE0002" w14:textId="5D83ACF6" w:rsidR="00BC57FC" w:rsidRPr="00DD1B58" w:rsidRDefault="00F91BE7" w:rsidP="00177432">
      <w:pPr>
        <w:pStyle w:val="Heading3A"/>
        <w:rPr>
          <w:lang w:val="en-US"/>
        </w:rPr>
      </w:pPr>
      <w:bookmarkStart w:id="91" w:name="_Ref135218093"/>
      <w:bookmarkStart w:id="92" w:name="_Toc147090642"/>
      <w:r w:rsidRPr="00DD1B58">
        <w:rPr>
          <w:lang w:val="en-US"/>
        </w:rPr>
        <w:t xml:space="preserve">Waste </w:t>
      </w:r>
      <w:r w:rsidR="002B3764" w:rsidRPr="00DD1B58">
        <w:rPr>
          <w:lang w:val="en-US"/>
        </w:rPr>
        <w:t>s</w:t>
      </w:r>
      <w:r w:rsidRPr="00DD1B58">
        <w:rPr>
          <w:lang w:val="en-US"/>
        </w:rPr>
        <w:t xml:space="preserve">torage </w:t>
      </w:r>
      <w:r w:rsidR="002B3764" w:rsidRPr="00DD1B58">
        <w:rPr>
          <w:lang w:val="en-US"/>
        </w:rPr>
        <w:t>f</w:t>
      </w:r>
      <w:r w:rsidRPr="00DD1B58">
        <w:rPr>
          <w:lang w:val="en-US"/>
        </w:rPr>
        <w:t>acilities</w:t>
      </w:r>
      <w:bookmarkEnd w:id="91"/>
      <w:bookmarkEnd w:id="92"/>
    </w:p>
    <w:p w14:paraId="3AE32418" w14:textId="557DF4F9" w:rsidR="00394081" w:rsidRPr="00DD1B58" w:rsidRDefault="00394081" w:rsidP="00177432">
      <w:pPr>
        <w:pStyle w:val="Heading4A"/>
        <w:rPr>
          <w:lang w:val="en-US"/>
        </w:rPr>
      </w:pPr>
      <w:r w:rsidRPr="00DD1B58">
        <w:rPr>
          <w:lang w:val="en-US"/>
        </w:rPr>
        <w:t xml:space="preserve">Sellafield </w:t>
      </w:r>
      <w:r w:rsidR="002B3764" w:rsidRPr="00DD1B58">
        <w:rPr>
          <w:lang w:val="en-US"/>
        </w:rPr>
        <w:t>f</w:t>
      </w:r>
      <w:r w:rsidRPr="00DD1B58">
        <w:rPr>
          <w:lang w:val="en-US"/>
        </w:rPr>
        <w:t>acilities</w:t>
      </w:r>
    </w:p>
    <w:p w14:paraId="36EC7E9E" w14:textId="7DFF1B2D" w:rsidR="00A26A54" w:rsidRPr="00DD1B58" w:rsidRDefault="00A26A54" w:rsidP="00A26A54">
      <w:pPr>
        <w:rPr>
          <w:lang w:val="en-US"/>
        </w:rPr>
      </w:pPr>
      <w:r w:rsidRPr="00DD1B58">
        <w:rPr>
          <w:lang w:val="en-US"/>
        </w:rPr>
        <w:t>The text in this section</w:t>
      </w:r>
      <w:r w:rsidR="00B33E46" w:rsidRPr="00DD1B58">
        <w:rPr>
          <w:lang w:val="en-US"/>
        </w:rPr>
        <w:t xml:space="preserve"> (bar the regulator’s assessment subsections)</w:t>
      </w:r>
      <w:r w:rsidRPr="00DD1B58">
        <w:rPr>
          <w:lang w:val="en-US"/>
        </w:rPr>
        <w:t xml:space="preserve"> has been prepared by </w:t>
      </w:r>
      <w:r w:rsidR="00134292" w:rsidRPr="00DD1B58">
        <w:rPr>
          <w:lang w:val="en-US"/>
        </w:rPr>
        <w:t>Sellafield Ltd</w:t>
      </w:r>
      <w:r w:rsidRPr="00DD1B58">
        <w:rPr>
          <w:lang w:val="en-US"/>
        </w:rPr>
        <w:t xml:space="preserve">, with only minor changes </w:t>
      </w:r>
      <w:r w:rsidR="00DC0B04" w:rsidRPr="00DD1B58">
        <w:rPr>
          <w:lang w:val="en-US"/>
        </w:rPr>
        <w:t>for clarity and conciseness.</w:t>
      </w:r>
      <w:r w:rsidR="009726CB" w:rsidRPr="00DD1B58">
        <w:rPr>
          <w:lang w:val="en-US"/>
        </w:rPr>
        <w:t xml:space="preserve"> </w:t>
      </w:r>
      <w:r w:rsidR="009A1C72" w:rsidRPr="00DD1B58">
        <w:rPr>
          <w:lang w:val="en-US"/>
        </w:rPr>
        <w:t xml:space="preserve">For avoidance of duplication, all </w:t>
      </w:r>
      <w:r w:rsidR="004668E0" w:rsidRPr="00DD1B58">
        <w:rPr>
          <w:lang w:val="en-US"/>
        </w:rPr>
        <w:t xml:space="preserve">Sellafield Ltd. </w:t>
      </w:r>
      <w:r w:rsidR="009A1C72" w:rsidRPr="00DD1B58">
        <w:rPr>
          <w:lang w:val="en-US"/>
        </w:rPr>
        <w:t xml:space="preserve">facilities, including </w:t>
      </w:r>
      <w:r w:rsidR="00B33E46" w:rsidRPr="00DD1B58">
        <w:rPr>
          <w:lang w:val="en-US"/>
        </w:rPr>
        <w:t xml:space="preserve">waste </w:t>
      </w:r>
      <w:r w:rsidR="009A1C72" w:rsidRPr="00DD1B58">
        <w:rPr>
          <w:lang w:val="en-US"/>
        </w:rPr>
        <w:t xml:space="preserve">processing </w:t>
      </w:r>
      <w:r w:rsidR="00B33E46" w:rsidRPr="00DD1B58">
        <w:rPr>
          <w:lang w:val="en-US"/>
        </w:rPr>
        <w:t>facilities are reported in this section.</w:t>
      </w:r>
    </w:p>
    <w:p w14:paraId="29C23B55" w14:textId="77777777" w:rsidR="004508D8" w:rsidRPr="00DD1B58" w:rsidRDefault="004508D8" w:rsidP="00177432">
      <w:pPr>
        <w:pStyle w:val="Heading5A"/>
        <w:rPr>
          <w:lang w:val="en-US"/>
        </w:rPr>
      </w:pPr>
      <w:r w:rsidRPr="00DD1B58">
        <w:rPr>
          <w:lang w:val="en-US"/>
        </w:rPr>
        <w:t xml:space="preserve">Design considerations and prevention means </w:t>
      </w:r>
    </w:p>
    <w:p w14:paraId="1B6AEDBE" w14:textId="310D15FA" w:rsidR="0048135A" w:rsidRPr="00DD1B58" w:rsidRDefault="0048135A" w:rsidP="0048135A">
      <w:pPr>
        <w:rPr>
          <w:lang w:val="en-US"/>
        </w:rPr>
      </w:pPr>
      <w:r w:rsidRPr="00DD1B58">
        <w:rPr>
          <w:lang w:val="en-US"/>
        </w:rPr>
        <w:t>Stakeholder meetings provide specific advice in relation to risk control measures when hazards are identified for a project or work package</w:t>
      </w:r>
      <w:r w:rsidR="002C1FC5" w:rsidRPr="00DD1B58">
        <w:rPr>
          <w:lang w:val="en-US"/>
        </w:rPr>
        <w:t xml:space="preserve">. </w:t>
      </w:r>
      <w:r w:rsidR="004668E0" w:rsidRPr="00DD1B58">
        <w:rPr>
          <w:lang w:val="en-US"/>
        </w:rPr>
        <w:t xml:space="preserve">Sellafield Ltd. </w:t>
      </w:r>
      <w:r w:rsidR="002C1FC5" w:rsidRPr="00DD1B58">
        <w:rPr>
          <w:lang w:val="en-US"/>
        </w:rPr>
        <w:t xml:space="preserve">uses a form </w:t>
      </w:r>
      <w:r w:rsidRPr="00DD1B58">
        <w:rPr>
          <w:lang w:val="en-US"/>
        </w:rPr>
        <w:t xml:space="preserve">to document stakeholder’s advice and recommendations. For any hot work the stakeholders </w:t>
      </w:r>
      <w:r w:rsidR="004668E0" w:rsidRPr="00DD1B58">
        <w:rPr>
          <w:lang w:val="en-US"/>
        </w:rPr>
        <w:t xml:space="preserve">Sellafield Ltd. </w:t>
      </w:r>
      <w:r w:rsidR="00721C90" w:rsidRPr="00DD1B58">
        <w:rPr>
          <w:lang w:val="en-US"/>
        </w:rPr>
        <w:t>identifies stakeholders as</w:t>
      </w:r>
      <w:r w:rsidRPr="00DD1B58">
        <w:rPr>
          <w:lang w:val="en-US"/>
        </w:rPr>
        <w:t xml:space="preserve"> the Duly Authorised Person, Safety Advisor, Building Manager, Fire Protection Advisor or SF&amp;RS. This then allows the stakeholders input to be written into the Task based Risk Assessment to ensure relevant controls are put in place. </w:t>
      </w:r>
    </w:p>
    <w:p w14:paraId="32FFD762" w14:textId="34537B09" w:rsidR="009A5645" w:rsidRPr="00DD1B58" w:rsidRDefault="004668E0" w:rsidP="0048135A">
      <w:pPr>
        <w:rPr>
          <w:lang w:val="en-US"/>
        </w:rPr>
      </w:pPr>
      <w:r w:rsidRPr="00DD1B58">
        <w:rPr>
          <w:lang w:val="en-US"/>
        </w:rPr>
        <w:t>Sellafield Ltd.</w:t>
      </w:r>
      <w:r w:rsidR="00721C90" w:rsidRPr="00DD1B58">
        <w:rPr>
          <w:lang w:val="en-US"/>
        </w:rPr>
        <w:t xml:space="preserve"> </w:t>
      </w:r>
      <w:r w:rsidR="007376D6" w:rsidRPr="00DD1B58">
        <w:rPr>
          <w:lang w:val="en-US"/>
        </w:rPr>
        <w:t>states that</w:t>
      </w:r>
      <w:r w:rsidR="00721C90" w:rsidRPr="00DD1B58">
        <w:rPr>
          <w:lang w:val="en-US"/>
        </w:rPr>
        <w:t xml:space="preserve"> its</w:t>
      </w:r>
      <w:r w:rsidR="0048135A" w:rsidRPr="00DD1B58">
        <w:rPr>
          <w:lang w:val="en-US"/>
        </w:rPr>
        <w:t xml:space="preserve"> processes encourage personnel to follow </w:t>
      </w:r>
      <w:r w:rsidR="00721C90" w:rsidRPr="00DD1B58">
        <w:rPr>
          <w:lang w:val="en-US"/>
        </w:rPr>
        <w:t xml:space="preserve">a </w:t>
      </w:r>
      <w:r w:rsidR="0048135A" w:rsidRPr="00DD1B58">
        <w:rPr>
          <w:lang w:val="en-US"/>
        </w:rPr>
        <w:t>hierarchy of control. Size reduction work during demolition and decommissioning projects should utilise cold</w:t>
      </w:r>
      <w:r w:rsidR="006D2CD7" w:rsidRPr="00DD1B58">
        <w:rPr>
          <w:lang w:val="en-US"/>
        </w:rPr>
        <w:t>-</w:t>
      </w:r>
      <w:r w:rsidR="0048135A" w:rsidRPr="00DD1B58">
        <w:rPr>
          <w:lang w:val="en-US"/>
        </w:rPr>
        <w:t xml:space="preserve">cutting where possible. Where hot work is required due to the nature of the objects that need to be size reduced, </w:t>
      </w:r>
      <w:r w:rsidR="006D2CD7" w:rsidRPr="00DD1B58">
        <w:rPr>
          <w:lang w:val="en-US"/>
        </w:rPr>
        <w:t xml:space="preserve">Sellafield requires the use </w:t>
      </w:r>
      <w:r w:rsidR="0048135A" w:rsidRPr="00DD1B58">
        <w:rPr>
          <w:lang w:val="en-US"/>
        </w:rPr>
        <w:t>specific guidance on controlling hot work produced by the Fire Protection team. This pays particular attention to minimising combustible materials near the hot working area and highlights the requirements of fire watch. There is also guidance on hot work for Contractors working on the Sellafield Site (SCS 029)</w:t>
      </w:r>
      <w:r w:rsidR="00F35136" w:rsidRPr="00DD1B58">
        <w:rPr>
          <w:lang w:val="en-US"/>
        </w:rPr>
        <w:t xml:space="preserve"> </w:t>
      </w:r>
      <w:sdt>
        <w:sdtPr>
          <w:rPr>
            <w:lang w:val="en-US"/>
          </w:rPr>
          <w:id w:val="-1913303781"/>
          <w:citation/>
        </w:sdtPr>
        <w:sdtContent>
          <w:r w:rsidR="00F35136" w:rsidRPr="00DD1B58">
            <w:rPr>
              <w:lang w:val="en-US"/>
            </w:rPr>
            <w:fldChar w:fldCharType="begin"/>
          </w:r>
          <w:r w:rsidR="00E858D1" w:rsidRPr="00DD1B58">
            <w:rPr>
              <w:lang w:val="en-US"/>
            </w:rPr>
            <w:instrText xml:space="preserve">CITATION Sel31 \l 2057 </w:instrText>
          </w:r>
          <w:r w:rsidR="00F35136" w:rsidRPr="00DD1B58">
            <w:rPr>
              <w:lang w:val="en-US"/>
            </w:rPr>
            <w:fldChar w:fldCharType="separate"/>
          </w:r>
          <w:r w:rsidR="00DF47DA" w:rsidRPr="00DF47DA">
            <w:rPr>
              <w:noProof/>
              <w:lang w:val="en-US"/>
            </w:rPr>
            <w:t>[159]</w:t>
          </w:r>
          <w:r w:rsidR="00F35136" w:rsidRPr="00DD1B58">
            <w:rPr>
              <w:lang w:val="en-US"/>
            </w:rPr>
            <w:fldChar w:fldCharType="end"/>
          </w:r>
        </w:sdtContent>
      </w:sdt>
      <w:r w:rsidR="0048135A" w:rsidRPr="00DD1B58">
        <w:rPr>
          <w:lang w:val="en-US"/>
        </w:rPr>
        <w:t>.</w:t>
      </w:r>
    </w:p>
    <w:p w14:paraId="1BF6ABB6" w14:textId="673D5238" w:rsidR="0048135A" w:rsidRPr="00DD1B58" w:rsidRDefault="004668E0" w:rsidP="0048135A">
      <w:pPr>
        <w:rPr>
          <w:lang w:val="en-US"/>
        </w:rPr>
      </w:pPr>
      <w:r w:rsidRPr="00DD1B58">
        <w:rPr>
          <w:lang w:val="en-US"/>
        </w:rPr>
        <w:t>Sellafield Ltd.</w:t>
      </w:r>
      <w:r w:rsidR="009A5645" w:rsidRPr="00DD1B58">
        <w:rPr>
          <w:lang w:val="en-US"/>
        </w:rPr>
        <w:t xml:space="preserve"> classifies h</w:t>
      </w:r>
      <w:r w:rsidR="00F56FB8" w:rsidRPr="00DD1B58">
        <w:rPr>
          <w:lang w:val="en-US"/>
        </w:rPr>
        <w:t>ot work into routine and non-routine. Routine is usually in a dedicated workshop carried out by teams who perform hot work including welding, to then supply the rest of the site with pipework for example. This would involve a risk assessment that would be updated when any new processes, procedures or equipment were introduced. Non-routine is associated with decommissioning, construction, and other project work. Non-routine hot work would usually be captured in a task-based Risk Assessment with appropriate stakeholders, to identify any hazards and controls required for the work.</w:t>
      </w:r>
    </w:p>
    <w:p w14:paraId="0FE035FE" w14:textId="674EACBA" w:rsidR="003F12F2" w:rsidRPr="00DD1B58" w:rsidRDefault="00D33E87" w:rsidP="003F12F2">
      <w:pPr>
        <w:rPr>
          <w:lang w:val="en-US"/>
        </w:rPr>
      </w:pPr>
      <w:r w:rsidRPr="00DD1B58">
        <w:rPr>
          <w:lang w:val="en-US"/>
        </w:rPr>
        <w:t>Sellafield Ltd.’s</w:t>
      </w:r>
      <w:r w:rsidR="00D078C7" w:rsidRPr="00DD1B58">
        <w:rPr>
          <w:lang w:val="en-US"/>
        </w:rPr>
        <w:t xml:space="preserve"> </w:t>
      </w:r>
      <w:r w:rsidR="003F12F2" w:rsidRPr="00DD1B58">
        <w:rPr>
          <w:lang w:val="en-US"/>
        </w:rPr>
        <w:t xml:space="preserve">Duly Authorised Person (DAP) is responsible for Nuclear Safety on their facility. </w:t>
      </w:r>
      <w:r w:rsidR="004668E0" w:rsidRPr="00DD1B58">
        <w:rPr>
          <w:lang w:val="en-US"/>
        </w:rPr>
        <w:t>Sellafield Ltd.</w:t>
      </w:r>
      <w:r w:rsidR="00D078C7" w:rsidRPr="00DD1B58">
        <w:rPr>
          <w:lang w:val="en-US"/>
        </w:rPr>
        <w:t xml:space="preserve"> </w:t>
      </w:r>
      <w:r w:rsidR="007376D6" w:rsidRPr="00DD1B58">
        <w:rPr>
          <w:lang w:val="en-US"/>
        </w:rPr>
        <w:t>states that</w:t>
      </w:r>
      <w:r w:rsidR="00D078C7" w:rsidRPr="00DD1B58">
        <w:rPr>
          <w:lang w:val="en-US"/>
        </w:rPr>
        <w:t xml:space="preserve"> the </w:t>
      </w:r>
      <w:r w:rsidR="003F12F2" w:rsidRPr="00DD1B58">
        <w:rPr>
          <w:lang w:val="en-US"/>
        </w:rPr>
        <w:t>DAP must sign onto any hot work that is being carried out on their plant and ensure the Risk Assessment is suitable and sufficient. For hot work on non-nuclear facilities, the stakeholder meeting and associated task-based risk assessment requires signatures from key stakeholders, to allow the work to go ahead.</w:t>
      </w:r>
    </w:p>
    <w:p w14:paraId="27841D7A" w14:textId="77777777" w:rsidR="004508D8" w:rsidRPr="00DD1B58" w:rsidRDefault="004508D8" w:rsidP="00177432">
      <w:pPr>
        <w:pStyle w:val="Heading5A"/>
        <w:rPr>
          <w:lang w:val="en-US"/>
        </w:rPr>
      </w:pPr>
      <w:r w:rsidRPr="00DD1B58">
        <w:rPr>
          <w:lang w:val="en-US"/>
        </w:rPr>
        <w:t xml:space="preserve">Overview of arrangements for management and control of fire load and ignition sources </w:t>
      </w:r>
    </w:p>
    <w:p w14:paraId="126BA0BF" w14:textId="28AC6B41" w:rsidR="00F3597D" w:rsidRPr="00DD1B58" w:rsidRDefault="00F3597D" w:rsidP="00F3597D">
      <w:pPr>
        <w:rPr>
          <w:lang w:val="en-US"/>
        </w:rPr>
      </w:pPr>
      <w:r w:rsidRPr="00DD1B58">
        <w:rPr>
          <w:lang w:val="en-US"/>
        </w:rPr>
        <w:t xml:space="preserve">See section </w:t>
      </w:r>
      <w:r w:rsidR="00167EF3" w:rsidRPr="00DD1B58">
        <w:rPr>
          <w:lang w:val="en-US"/>
        </w:rPr>
        <w:fldChar w:fldCharType="begin"/>
      </w:r>
      <w:r w:rsidR="00167EF3" w:rsidRPr="00DD1B58">
        <w:rPr>
          <w:lang w:val="en-US"/>
        </w:rPr>
        <w:instrText xml:space="preserve"> REF _Ref135207688 \r \h </w:instrText>
      </w:r>
      <w:r w:rsidR="00167EF3" w:rsidRPr="00DD1B58">
        <w:rPr>
          <w:lang w:val="en-US"/>
        </w:rPr>
      </w:r>
      <w:r w:rsidR="00167EF3" w:rsidRPr="00DD1B58">
        <w:rPr>
          <w:lang w:val="en-US"/>
        </w:rPr>
        <w:fldChar w:fldCharType="separate"/>
      </w:r>
      <w:r w:rsidR="00DF47DA">
        <w:rPr>
          <w:lang w:val="en-US"/>
        </w:rPr>
        <w:t>I-2.5.2.2</w:t>
      </w:r>
      <w:r w:rsidR="00167EF3" w:rsidRPr="00DD1B58">
        <w:rPr>
          <w:lang w:val="en-US"/>
        </w:rPr>
        <w:fldChar w:fldCharType="end"/>
      </w:r>
      <w:r w:rsidRPr="00DD1B58">
        <w:rPr>
          <w:lang w:val="en-US"/>
        </w:rPr>
        <w:t xml:space="preserve"> for details on how fire loading assessments are completed and how the data is used during the lifecycle of the plant to manage and control fire loads. </w:t>
      </w:r>
      <w:r w:rsidR="004668E0" w:rsidRPr="00DD1B58">
        <w:rPr>
          <w:lang w:val="en-US"/>
        </w:rPr>
        <w:t>Sellafield Ltd.</w:t>
      </w:r>
      <w:r w:rsidR="002C5241" w:rsidRPr="00DD1B58">
        <w:rPr>
          <w:lang w:val="en-US"/>
        </w:rPr>
        <w:t xml:space="preserve"> </w:t>
      </w:r>
      <w:r w:rsidR="006D798B" w:rsidRPr="00DD1B58">
        <w:rPr>
          <w:lang w:val="en-US"/>
        </w:rPr>
        <w:t>reports that</w:t>
      </w:r>
      <w:r w:rsidR="002C5241" w:rsidRPr="00DD1B58">
        <w:rPr>
          <w:lang w:val="en-US"/>
        </w:rPr>
        <w:t xml:space="preserve"> i</w:t>
      </w:r>
      <w:r w:rsidRPr="00DD1B58">
        <w:rPr>
          <w:lang w:val="en-US"/>
        </w:rPr>
        <w:t xml:space="preserve">gnition sources are identified during Fire Risk Assessments (FRA) which are reviewed periodically depending on the category of building (one, two or three years). </w:t>
      </w:r>
      <w:r w:rsidR="004668E0" w:rsidRPr="00DD1B58">
        <w:rPr>
          <w:lang w:val="en-US"/>
        </w:rPr>
        <w:t>Sellafield Ltd.</w:t>
      </w:r>
      <w:r w:rsidR="002C5241" w:rsidRPr="00DD1B58">
        <w:rPr>
          <w:lang w:val="en-US"/>
        </w:rPr>
        <w:t xml:space="preserve"> </w:t>
      </w:r>
      <w:r w:rsidR="007376D6" w:rsidRPr="00DD1B58">
        <w:rPr>
          <w:lang w:val="en-US"/>
        </w:rPr>
        <w:t>states that</w:t>
      </w:r>
      <w:r w:rsidR="002C5241" w:rsidRPr="00DD1B58">
        <w:rPr>
          <w:lang w:val="en-US"/>
        </w:rPr>
        <w:t xml:space="preserve"> a</w:t>
      </w:r>
      <w:r w:rsidRPr="00DD1B58">
        <w:rPr>
          <w:lang w:val="en-US"/>
        </w:rPr>
        <w:t>ny ignition sources such as battery charging areas would be identified during an FRA</w:t>
      </w:r>
      <w:r w:rsidR="002C5241" w:rsidRPr="00DD1B58">
        <w:rPr>
          <w:lang w:val="en-US"/>
        </w:rPr>
        <w:t>,</w:t>
      </w:r>
      <w:r w:rsidRPr="00DD1B58">
        <w:rPr>
          <w:lang w:val="en-US"/>
        </w:rPr>
        <w:t xml:space="preserve"> which would then prompt a D</w:t>
      </w:r>
      <w:r w:rsidR="00456F7A" w:rsidRPr="00DD1B58">
        <w:rPr>
          <w:lang w:val="en-US"/>
        </w:rPr>
        <w:t>S</w:t>
      </w:r>
      <w:r w:rsidR="002C5241" w:rsidRPr="00DD1B58">
        <w:rPr>
          <w:lang w:val="en-US"/>
        </w:rPr>
        <w:t xml:space="preserve">EAR </w:t>
      </w:r>
      <w:r w:rsidRPr="00DD1B58">
        <w:rPr>
          <w:lang w:val="en-US"/>
        </w:rPr>
        <w:t xml:space="preserve">assessment. </w:t>
      </w:r>
      <w:r w:rsidR="004668E0" w:rsidRPr="00DD1B58">
        <w:rPr>
          <w:lang w:val="en-US"/>
        </w:rPr>
        <w:t>Sellafield Ltd.</w:t>
      </w:r>
      <w:r w:rsidR="00031C25" w:rsidRPr="00DD1B58">
        <w:rPr>
          <w:lang w:val="en-US"/>
        </w:rPr>
        <w:t xml:space="preserve"> recognises that r</w:t>
      </w:r>
      <w:r w:rsidRPr="00DD1B58">
        <w:rPr>
          <w:lang w:val="en-US"/>
        </w:rPr>
        <w:t>elevant good practice is to eliminate combustible materials around sources of ignition</w:t>
      </w:r>
      <w:r w:rsidR="00031C25" w:rsidRPr="00DD1B58">
        <w:rPr>
          <w:lang w:val="en-US"/>
        </w:rPr>
        <w:t xml:space="preserve"> or, </w:t>
      </w:r>
      <w:r w:rsidRPr="00DD1B58">
        <w:rPr>
          <w:lang w:val="en-US"/>
        </w:rPr>
        <w:t xml:space="preserve">where this is not possible, reasonable segregation </w:t>
      </w:r>
      <w:r w:rsidR="00031C25" w:rsidRPr="00DD1B58">
        <w:rPr>
          <w:lang w:val="en-US"/>
        </w:rPr>
        <w:t xml:space="preserve">to </w:t>
      </w:r>
      <w:r w:rsidRPr="00DD1B58">
        <w:rPr>
          <w:lang w:val="en-US"/>
        </w:rPr>
        <w:t>be put in place e.g. 3 metres.</w:t>
      </w:r>
    </w:p>
    <w:p w14:paraId="045B0F38" w14:textId="70A1D779" w:rsidR="003F12F2" w:rsidRPr="00DD1B58" w:rsidRDefault="004668E0" w:rsidP="003F12F2">
      <w:pPr>
        <w:rPr>
          <w:lang w:val="en-US"/>
        </w:rPr>
      </w:pPr>
      <w:r w:rsidRPr="00DD1B58">
        <w:rPr>
          <w:lang w:val="en-US"/>
        </w:rPr>
        <w:t>Sellafield Ltd.</w:t>
      </w:r>
      <w:r w:rsidR="00031C25" w:rsidRPr="00DD1B58">
        <w:rPr>
          <w:lang w:val="en-US"/>
        </w:rPr>
        <w:t xml:space="preserve"> </w:t>
      </w:r>
      <w:r w:rsidR="007376D6" w:rsidRPr="00DD1B58">
        <w:rPr>
          <w:lang w:val="en-US"/>
        </w:rPr>
        <w:t>states that</w:t>
      </w:r>
      <w:r w:rsidR="00031C25" w:rsidRPr="00DD1B58">
        <w:rPr>
          <w:lang w:val="en-US"/>
        </w:rPr>
        <w:t xml:space="preserve"> it has</w:t>
      </w:r>
      <w:r w:rsidR="00F3597D" w:rsidRPr="00DD1B58">
        <w:rPr>
          <w:lang w:val="en-US"/>
        </w:rPr>
        <w:t xml:space="preserve"> detailed Engineering and Maintenance arrangements on the maintenance of fixed electrical and portable electrical appliances to ensure </w:t>
      </w:r>
      <w:r w:rsidR="005A7168" w:rsidRPr="00DD1B58">
        <w:rPr>
          <w:lang w:val="en-US"/>
        </w:rPr>
        <w:t>inspection and testing</w:t>
      </w:r>
      <w:r w:rsidR="00F3597D" w:rsidRPr="00DD1B58">
        <w:rPr>
          <w:lang w:val="en-US"/>
        </w:rPr>
        <w:t xml:space="preserve"> on a periodic basis. </w:t>
      </w:r>
      <w:r w:rsidR="00031C25" w:rsidRPr="00DD1B58">
        <w:rPr>
          <w:lang w:val="en-US"/>
        </w:rPr>
        <w:t xml:space="preserve">It also </w:t>
      </w:r>
      <w:r w:rsidR="007376D6" w:rsidRPr="00DD1B58">
        <w:rPr>
          <w:lang w:val="en-US"/>
        </w:rPr>
        <w:t>states that</w:t>
      </w:r>
      <w:r w:rsidR="00031C25" w:rsidRPr="00DD1B58">
        <w:rPr>
          <w:lang w:val="en-US"/>
        </w:rPr>
        <w:t xml:space="preserve"> t</w:t>
      </w:r>
      <w:r w:rsidR="00F3597D" w:rsidRPr="00DD1B58">
        <w:rPr>
          <w:lang w:val="en-US"/>
        </w:rPr>
        <w:t>he Process Fire Analyses, Conventional Fire and Nuclear Fire Analysis identify ignition sources and any control measures necessary so that the risk</w:t>
      </w:r>
      <w:r w:rsidR="00B33923" w:rsidRPr="00DD1B58">
        <w:rPr>
          <w:lang w:val="en-US"/>
        </w:rPr>
        <w:t xml:space="preserve"> is</w:t>
      </w:r>
      <w:r w:rsidR="00F3597D" w:rsidRPr="00DD1B58">
        <w:rPr>
          <w:lang w:val="en-US"/>
        </w:rPr>
        <w:t xml:space="preserve"> ALARP</w:t>
      </w:r>
      <w:r w:rsidR="00B33923" w:rsidRPr="00DD1B58">
        <w:rPr>
          <w:lang w:val="en-US"/>
        </w:rPr>
        <w:t>.</w:t>
      </w:r>
      <w:r w:rsidR="0009527A" w:rsidRPr="00DD1B58">
        <w:rPr>
          <w:lang w:val="en-US"/>
        </w:rPr>
        <w:t xml:space="preserve"> </w:t>
      </w:r>
      <w:r w:rsidRPr="00DD1B58">
        <w:rPr>
          <w:lang w:val="en-US"/>
        </w:rPr>
        <w:t>Sellafield Ltd.</w:t>
      </w:r>
      <w:r w:rsidR="00031C25" w:rsidRPr="00DD1B58">
        <w:rPr>
          <w:lang w:val="en-US"/>
        </w:rPr>
        <w:t xml:space="preserve"> </w:t>
      </w:r>
      <w:r w:rsidR="007376D6" w:rsidRPr="00DD1B58">
        <w:rPr>
          <w:lang w:val="en-US"/>
        </w:rPr>
        <w:t>states that</w:t>
      </w:r>
      <w:r w:rsidR="00031C25" w:rsidRPr="00DD1B58">
        <w:rPr>
          <w:lang w:val="en-US"/>
        </w:rPr>
        <w:t xml:space="preserve"> it identifies requirements</w:t>
      </w:r>
      <w:r w:rsidR="0028226B" w:rsidRPr="00DD1B58">
        <w:rPr>
          <w:lang w:val="en-US"/>
        </w:rPr>
        <w:t xml:space="preserve"> throughout the whole lifespan of equipment</w:t>
      </w:r>
      <w:r w:rsidR="00D46AA9" w:rsidRPr="00DD1B58">
        <w:rPr>
          <w:lang w:val="en-US"/>
        </w:rPr>
        <w:t xml:space="preserve"> and, </w:t>
      </w:r>
      <w:r w:rsidR="0028226B" w:rsidRPr="00DD1B58">
        <w:rPr>
          <w:lang w:val="en-US"/>
        </w:rPr>
        <w:t>when designing plan</w:t>
      </w:r>
      <w:r w:rsidR="0009527A" w:rsidRPr="00DD1B58">
        <w:rPr>
          <w:lang w:val="en-US"/>
        </w:rPr>
        <w:t>t</w:t>
      </w:r>
      <w:r w:rsidR="00D46AA9" w:rsidRPr="00DD1B58">
        <w:rPr>
          <w:lang w:val="en-US"/>
        </w:rPr>
        <w:t>, the</w:t>
      </w:r>
      <w:r w:rsidR="0028226B" w:rsidRPr="00DD1B58">
        <w:rPr>
          <w:lang w:val="en-US"/>
        </w:rPr>
        <w:t xml:space="preserve"> risk of ignition will be considered. </w:t>
      </w:r>
      <w:r w:rsidRPr="00DD1B58">
        <w:rPr>
          <w:lang w:val="en-US"/>
        </w:rPr>
        <w:t>Sellafield Ltd.</w:t>
      </w:r>
      <w:r w:rsidR="00D46AA9" w:rsidRPr="00DD1B58">
        <w:rPr>
          <w:lang w:val="en-US"/>
        </w:rPr>
        <w:t xml:space="preserve"> implements m</w:t>
      </w:r>
      <w:r w:rsidR="0028226B" w:rsidRPr="00DD1B58">
        <w:rPr>
          <w:lang w:val="en-US"/>
        </w:rPr>
        <w:t>aintenance and asset care procedures when the equipment is introduced, and this is prompted</w:t>
      </w:r>
      <w:r w:rsidR="0009527A" w:rsidRPr="00DD1B58">
        <w:rPr>
          <w:lang w:val="en-US"/>
        </w:rPr>
        <w:t xml:space="preserve"> and recorded</w:t>
      </w:r>
      <w:r w:rsidR="0028226B" w:rsidRPr="00DD1B58">
        <w:rPr>
          <w:lang w:val="en-US"/>
        </w:rPr>
        <w:t xml:space="preserve"> electronically. </w:t>
      </w:r>
      <w:r w:rsidR="0009527A" w:rsidRPr="00DD1B58">
        <w:rPr>
          <w:lang w:val="en-US"/>
        </w:rPr>
        <w:t xml:space="preserve">The </w:t>
      </w:r>
      <w:r w:rsidR="0028226B" w:rsidRPr="00DD1B58">
        <w:rPr>
          <w:lang w:val="en-US"/>
        </w:rPr>
        <w:t xml:space="preserve">specific procedures </w:t>
      </w:r>
      <w:r w:rsidR="0009527A" w:rsidRPr="00DD1B58">
        <w:rPr>
          <w:lang w:val="en-US"/>
        </w:rPr>
        <w:t>cited included</w:t>
      </w:r>
      <w:r w:rsidR="0028226B" w:rsidRPr="00DD1B58">
        <w:rPr>
          <w:lang w:val="en-US"/>
        </w:rPr>
        <w:t xml:space="preserve"> requirements for Portable Appliance Testing appliances</w:t>
      </w:r>
      <w:r w:rsidR="00A379BD" w:rsidRPr="00DD1B58">
        <w:rPr>
          <w:lang w:val="en-US"/>
        </w:rPr>
        <w:t>,</w:t>
      </w:r>
      <w:r w:rsidR="0028226B" w:rsidRPr="00DD1B58">
        <w:rPr>
          <w:lang w:val="en-US"/>
        </w:rPr>
        <w:t xml:space="preserve"> which are detailed on the </w:t>
      </w:r>
      <w:r w:rsidRPr="00DD1B58">
        <w:rPr>
          <w:lang w:val="en-US"/>
        </w:rPr>
        <w:t xml:space="preserve">Sellafield Ltd. </w:t>
      </w:r>
      <w:r w:rsidR="0028226B" w:rsidRPr="00DD1B58">
        <w:rPr>
          <w:lang w:val="en-US"/>
        </w:rPr>
        <w:t>Management System.</w:t>
      </w:r>
    </w:p>
    <w:p w14:paraId="6C1331F7" w14:textId="2799153B" w:rsidR="000F369B" w:rsidRPr="00DD1B58" w:rsidRDefault="004668E0" w:rsidP="003F12F2">
      <w:pPr>
        <w:rPr>
          <w:lang w:val="en-US"/>
        </w:rPr>
      </w:pPr>
      <w:r w:rsidRPr="00DD1B58">
        <w:rPr>
          <w:lang w:val="en-US"/>
        </w:rPr>
        <w:t>Sellafield Ltd.</w:t>
      </w:r>
      <w:r w:rsidR="004F2CF2" w:rsidRPr="00DD1B58">
        <w:rPr>
          <w:lang w:val="en-US"/>
        </w:rPr>
        <w:t xml:space="preserve"> </w:t>
      </w:r>
      <w:r w:rsidR="007376D6" w:rsidRPr="00DD1B58">
        <w:rPr>
          <w:lang w:val="en-US"/>
        </w:rPr>
        <w:t>states that</w:t>
      </w:r>
      <w:r w:rsidR="004F2CF2" w:rsidRPr="00DD1B58">
        <w:rPr>
          <w:lang w:val="en-US"/>
        </w:rPr>
        <w:t xml:space="preserve"> i</w:t>
      </w:r>
      <w:r w:rsidR="001E4CCA" w:rsidRPr="00DD1B58">
        <w:rPr>
          <w:lang w:val="en-US"/>
        </w:rPr>
        <w:t>gnition risks associated with specific tasks are analysed and assessed during the task risk assessment process</w:t>
      </w:r>
      <w:r w:rsidR="004F2CF2" w:rsidRPr="00DD1B58">
        <w:rPr>
          <w:lang w:val="en-US"/>
        </w:rPr>
        <w:t>,</w:t>
      </w:r>
      <w:r w:rsidR="001E4CCA" w:rsidRPr="00DD1B58">
        <w:rPr>
          <w:lang w:val="en-US"/>
        </w:rPr>
        <w:t xml:space="preserve"> and controls would be documented in the Risk Assessment and Operating Instruction as required. </w:t>
      </w:r>
      <w:r w:rsidR="00D7676F" w:rsidRPr="00DD1B58">
        <w:rPr>
          <w:lang w:val="en-US"/>
        </w:rPr>
        <w:t>Sellafield Ltd.</w:t>
      </w:r>
      <w:r w:rsidR="00725A76" w:rsidRPr="00DD1B58">
        <w:rPr>
          <w:lang w:val="en-US"/>
        </w:rPr>
        <w:t xml:space="preserve"> then implements the </w:t>
      </w:r>
      <w:r w:rsidR="001E4CCA" w:rsidRPr="00DD1B58">
        <w:rPr>
          <w:lang w:val="en-US"/>
        </w:rPr>
        <w:t xml:space="preserve">findings from the assessment and </w:t>
      </w:r>
      <w:r w:rsidR="00725A76" w:rsidRPr="00DD1B58">
        <w:rPr>
          <w:lang w:val="en-US"/>
        </w:rPr>
        <w:t xml:space="preserve">the </w:t>
      </w:r>
      <w:r w:rsidR="001E4CCA" w:rsidRPr="00DD1B58">
        <w:rPr>
          <w:lang w:val="en-US"/>
        </w:rPr>
        <w:t xml:space="preserve">control measures identified to eliminate </w:t>
      </w:r>
      <w:r w:rsidR="00725A76" w:rsidRPr="00DD1B58">
        <w:rPr>
          <w:lang w:val="en-US"/>
        </w:rPr>
        <w:t xml:space="preserve">or </w:t>
      </w:r>
      <w:r w:rsidR="001E4CCA" w:rsidRPr="00DD1B58">
        <w:rPr>
          <w:lang w:val="en-US"/>
        </w:rPr>
        <w:t>reduce the risk of ignition.</w:t>
      </w:r>
      <w:r w:rsidR="00725A76" w:rsidRPr="00DD1B58">
        <w:rPr>
          <w:lang w:val="en-US"/>
        </w:rPr>
        <w:t xml:space="preserve"> The </w:t>
      </w:r>
      <w:r w:rsidR="000F369B" w:rsidRPr="00DD1B58">
        <w:rPr>
          <w:lang w:val="en-US"/>
        </w:rPr>
        <w:t xml:space="preserve">processes written in the </w:t>
      </w:r>
      <w:r w:rsidRPr="00DD1B58">
        <w:rPr>
          <w:lang w:val="en-US"/>
        </w:rPr>
        <w:t xml:space="preserve">Sellafield Ltd. </w:t>
      </w:r>
      <w:r w:rsidR="000F369B" w:rsidRPr="00DD1B58">
        <w:rPr>
          <w:lang w:val="en-US"/>
        </w:rPr>
        <w:t xml:space="preserve">Management System (SLMS) are arrangements for the whole site/enterprise. </w:t>
      </w:r>
      <w:r w:rsidRPr="00DD1B58">
        <w:rPr>
          <w:lang w:val="en-US"/>
        </w:rPr>
        <w:t>Sellafield Ltd.</w:t>
      </w:r>
      <w:r w:rsidR="00291737" w:rsidRPr="00DD1B58">
        <w:rPr>
          <w:lang w:val="en-US"/>
        </w:rPr>
        <w:t xml:space="preserve"> has l</w:t>
      </w:r>
      <w:r w:rsidR="000F369B" w:rsidRPr="00DD1B58">
        <w:rPr>
          <w:lang w:val="en-US"/>
        </w:rPr>
        <w:t xml:space="preserve">ocal management procedures within facilities, but overarching processes such as the Hot Work, Electrical Maintenance and Fire Risk Assessment </w:t>
      </w:r>
      <w:r w:rsidR="001A3F5A" w:rsidRPr="00DD1B58">
        <w:rPr>
          <w:lang w:val="en-US"/>
        </w:rPr>
        <w:t>are site-wide.</w:t>
      </w:r>
    </w:p>
    <w:p w14:paraId="3770B9C8" w14:textId="77777777" w:rsidR="00DE5A9E" w:rsidRPr="00DD1B58" w:rsidRDefault="00DE5A9E" w:rsidP="00177432">
      <w:pPr>
        <w:pStyle w:val="Heading5A"/>
        <w:rPr>
          <w:lang w:val="en-US"/>
        </w:rPr>
      </w:pPr>
      <w:bookmarkStart w:id="93" w:name="_Ref135316370"/>
      <w:r w:rsidRPr="00DD1B58">
        <w:rPr>
          <w:lang w:val="en-US"/>
        </w:rPr>
        <w:t>Licensee’s experience of the implementation of the fire prevention</w:t>
      </w:r>
      <w:bookmarkEnd w:id="93"/>
    </w:p>
    <w:p w14:paraId="7A93FA9B" w14:textId="205C3B62" w:rsidR="00DE5A9E" w:rsidRPr="00DD1B58" w:rsidRDefault="00DE5A9E" w:rsidP="00177432">
      <w:pPr>
        <w:pStyle w:val="Heading5A"/>
        <w:numPr>
          <w:ilvl w:val="5"/>
          <w:numId w:val="7"/>
        </w:numPr>
        <w:rPr>
          <w:lang w:val="en-US"/>
        </w:rPr>
      </w:pPr>
      <w:r w:rsidRPr="00DD1B58">
        <w:rPr>
          <w:lang w:val="en-US"/>
        </w:rPr>
        <w:t>Overview of strengths and weaknesses</w:t>
      </w:r>
    </w:p>
    <w:p w14:paraId="59090D8B" w14:textId="57D7C2F5" w:rsidR="00871DB2" w:rsidRPr="00DD1B58" w:rsidRDefault="004668E0" w:rsidP="00DF20C3">
      <w:pPr>
        <w:rPr>
          <w:lang w:val="en-US"/>
        </w:rPr>
      </w:pPr>
      <w:r w:rsidRPr="00DD1B58">
        <w:rPr>
          <w:lang w:val="en-US"/>
        </w:rPr>
        <w:t xml:space="preserve">Sellafield Ltd. </w:t>
      </w:r>
      <w:r w:rsidR="00A46958" w:rsidRPr="00DD1B58">
        <w:rPr>
          <w:lang w:val="en-US"/>
        </w:rPr>
        <w:t xml:space="preserve">identified a positive reporting culture allowing trending and learning from fire events and near misses. This has allowed </w:t>
      </w:r>
      <w:r w:rsidRPr="00DD1B58">
        <w:rPr>
          <w:lang w:val="en-US"/>
        </w:rPr>
        <w:t>Sellafield Ltd.</w:t>
      </w:r>
      <w:r w:rsidR="00A46958" w:rsidRPr="00DD1B58">
        <w:rPr>
          <w:lang w:val="en-US"/>
        </w:rPr>
        <w:t xml:space="preserve"> to share learning within the nuclear industry and increase visibility of </w:t>
      </w:r>
      <w:r w:rsidR="004020E2" w:rsidRPr="00DD1B58">
        <w:rPr>
          <w:lang w:val="en-US"/>
        </w:rPr>
        <w:t>obsolescence</w:t>
      </w:r>
      <w:r w:rsidR="00A46958" w:rsidRPr="00DD1B58">
        <w:rPr>
          <w:lang w:val="en-US"/>
        </w:rPr>
        <w:t xml:space="preserve">/maintenance issues which </w:t>
      </w:r>
      <w:r w:rsidR="00FD2BAA" w:rsidRPr="00DD1B58">
        <w:rPr>
          <w:lang w:val="en-US"/>
        </w:rPr>
        <w:t xml:space="preserve">had </w:t>
      </w:r>
      <w:r w:rsidR="00A46958" w:rsidRPr="00DD1B58">
        <w:rPr>
          <w:lang w:val="en-US"/>
        </w:rPr>
        <w:t xml:space="preserve">led to electrical fires. Identifying likely causes of fires (electrical failures) allows more </w:t>
      </w:r>
      <w:r w:rsidR="004020E2" w:rsidRPr="00DD1B58">
        <w:rPr>
          <w:lang w:val="en-US"/>
        </w:rPr>
        <w:t>targeted</w:t>
      </w:r>
      <w:r w:rsidR="00A46958" w:rsidRPr="00DD1B58">
        <w:rPr>
          <w:lang w:val="en-US"/>
        </w:rPr>
        <w:t xml:space="preserve"> assurance to be carried out. </w:t>
      </w:r>
      <w:r w:rsidR="001773D8" w:rsidRPr="00DD1B58">
        <w:rPr>
          <w:lang w:val="en-US"/>
        </w:rPr>
        <w:t xml:space="preserve">Section </w:t>
      </w:r>
      <w:r w:rsidR="001773D8" w:rsidRPr="00DD1B58">
        <w:rPr>
          <w:lang w:val="en-US"/>
        </w:rPr>
        <w:fldChar w:fldCharType="begin"/>
      </w:r>
      <w:r w:rsidR="001773D8" w:rsidRPr="00DD1B58">
        <w:rPr>
          <w:lang w:val="en-US"/>
        </w:rPr>
        <w:instrText xml:space="preserve"> REF _Ref135221682 \n \h </w:instrText>
      </w:r>
      <w:r w:rsidR="001773D8" w:rsidRPr="00DD1B58">
        <w:rPr>
          <w:lang w:val="en-US"/>
        </w:rPr>
      </w:r>
      <w:r w:rsidR="001773D8" w:rsidRPr="00DD1B58">
        <w:rPr>
          <w:lang w:val="en-US"/>
        </w:rPr>
        <w:fldChar w:fldCharType="separate"/>
      </w:r>
      <w:r w:rsidR="00DF47DA">
        <w:rPr>
          <w:lang w:val="en-US"/>
        </w:rPr>
        <w:t>E-I-3.1.3.2</w:t>
      </w:r>
      <w:r w:rsidR="001773D8" w:rsidRPr="00DD1B58">
        <w:rPr>
          <w:lang w:val="en-US"/>
        </w:rPr>
        <w:fldChar w:fldCharType="end"/>
      </w:r>
      <w:r w:rsidR="001773D8" w:rsidRPr="00DD1B58">
        <w:rPr>
          <w:lang w:val="en-US"/>
        </w:rPr>
        <w:t xml:space="preserve"> below outlines s</w:t>
      </w:r>
      <w:r w:rsidR="00B0057D" w:rsidRPr="00DD1B58">
        <w:rPr>
          <w:lang w:val="en-US"/>
        </w:rPr>
        <w:t xml:space="preserve">elf-identified weaknesses from </w:t>
      </w:r>
      <w:r w:rsidR="00D33E87" w:rsidRPr="00DD1B58">
        <w:rPr>
          <w:lang w:val="en-US"/>
        </w:rPr>
        <w:t>Sellafield Ltd.’s</w:t>
      </w:r>
      <w:r w:rsidR="00B0057D" w:rsidRPr="00DD1B58">
        <w:rPr>
          <w:lang w:val="en-US"/>
        </w:rPr>
        <w:t xml:space="preserve"> experience of implementing fire prevention.</w:t>
      </w:r>
    </w:p>
    <w:p w14:paraId="4B5975F2" w14:textId="77777777" w:rsidR="00DE5A9E" w:rsidRPr="00DD1B58" w:rsidRDefault="00DE5A9E" w:rsidP="00177432">
      <w:pPr>
        <w:pStyle w:val="Heading5A"/>
        <w:numPr>
          <w:ilvl w:val="5"/>
          <w:numId w:val="7"/>
        </w:numPr>
        <w:rPr>
          <w:lang w:val="en-US"/>
        </w:rPr>
      </w:pPr>
      <w:bookmarkStart w:id="94" w:name="_Ref135221682"/>
      <w:r w:rsidRPr="00DD1B58">
        <w:rPr>
          <w:lang w:val="en-US"/>
        </w:rPr>
        <w:t>Lessons learned from events, reviews fire safety related missions, etc.</w:t>
      </w:r>
      <w:bookmarkEnd w:id="94"/>
    </w:p>
    <w:p w14:paraId="5EAA87D1" w14:textId="7EBA58B6" w:rsidR="007473EF" w:rsidRPr="00DD1B58" w:rsidRDefault="007473EF" w:rsidP="007473EF">
      <w:pPr>
        <w:rPr>
          <w:lang w:val="en-US"/>
        </w:rPr>
      </w:pPr>
      <w:r w:rsidRPr="00DD1B58">
        <w:rPr>
          <w:lang w:val="en-US"/>
        </w:rPr>
        <w:t xml:space="preserve">Combustible management and segregation from ignition sources </w:t>
      </w:r>
      <w:r w:rsidR="00914871" w:rsidRPr="00DD1B58">
        <w:rPr>
          <w:lang w:val="en-US"/>
        </w:rPr>
        <w:t>were</w:t>
      </w:r>
      <w:r w:rsidRPr="00DD1B58">
        <w:rPr>
          <w:lang w:val="en-US"/>
        </w:rPr>
        <w:t xml:space="preserve"> identified as an area for improvement by WANO, </w:t>
      </w:r>
      <w:r w:rsidR="00D33E87" w:rsidRPr="00DD1B58">
        <w:rPr>
          <w:lang w:val="en-US"/>
        </w:rPr>
        <w:t>Sellafield Ltd.’s</w:t>
      </w:r>
      <w:r w:rsidR="00FD2BAA" w:rsidRPr="00DD1B58">
        <w:rPr>
          <w:lang w:val="en-US"/>
        </w:rPr>
        <w:t xml:space="preserve"> own </w:t>
      </w:r>
      <w:r w:rsidRPr="00DD1B58">
        <w:rPr>
          <w:lang w:val="en-US"/>
        </w:rPr>
        <w:t xml:space="preserve">internal regulator </w:t>
      </w:r>
      <w:r w:rsidR="00FD2BAA" w:rsidRPr="00DD1B58">
        <w:rPr>
          <w:lang w:val="en-US"/>
        </w:rPr>
        <w:t>(</w:t>
      </w:r>
      <w:r w:rsidRPr="00DD1B58">
        <w:rPr>
          <w:lang w:val="en-US"/>
        </w:rPr>
        <w:t>Nuclear Intelligence and Independent Oversight</w:t>
      </w:r>
      <w:r w:rsidR="00FD2BAA" w:rsidRPr="00DD1B58">
        <w:rPr>
          <w:lang w:val="en-US"/>
        </w:rPr>
        <w:t xml:space="preserve">; </w:t>
      </w:r>
      <w:r w:rsidRPr="00DD1B58">
        <w:rPr>
          <w:lang w:val="en-US"/>
        </w:rPr>
        <w:t>NI&amp;IO) and through inspections from Fire Protection and Building Management</w:t>
      </w:r>
      <w:r w:rsidR="004006C3" w:rsidRPr="00DD1B58">
        <w:rPr>
          <w:lang w:val="en-US"/>
        </w:rPr>
        <w:t>. These were identified at Sellafield’s</w:t>
      </w:r>
      <w:r w:rsidRPr="00DD1B58">
        <w:rPr>
          <w:lang w:val="en-US"/>
        </w:rPr>
        <w:t xml:space="preserve"> Waste Vitrification Plants</w:t>
      </w:r>
      <w:r w:rsidR="004006C3" w:rsidRPr="00DD1B58">
        <w:rPr>
          <w:lang w:val="en-US"/>
        </w:rPr>
        <w:t xml:space="preserve"> during a </w:t>
      </w:r>
      <w:r w:rsidRPr="00DD1B58">
        <w:rPr>
          <w:lang w:val="en-US"/>
        </w:rPr>
        <w:t xml:space="preserve">WANO review in 2021 and during </w:t>
      </w:r>
      <w:r w:rsidR="00D33E87" w:rsidRPr="00DD1B58">
        <w:rPr>
          <w:lang w:val="en-US"/>
        </w:rPr>
        <w:t>Sellafield Ltd.’s</w:t>
      </w:r>
      <w:r w:rsidR="00F94AA3" w:rsidRPr="00DD1B58">
        <w:rPr>
          <w:lang w:val="en-US"/>
        </w:rPr>
        <w:t xml:space="preserve"> own </w:t>
      </w:r>
      <w:r w:rsidRPr="00DD1B58">
        <w:rPr>
          <w:lang w:val="en-US"/>
        </w:rPr>
        <w:t>review of the</w:t>
      </w:r>
      <w:r w:rsidR="00F94AA3" w:rsidRPr="00DD1B58">
        <w:rPr>
          <w:lang w:val="en-US"/>
        </w:rPr>
        <w:t xml:space="preserve"> plants’</w:t>
      </w:r>
      <w:r w:rsidRPr="00DD1B58">
        <w:rPr>
          <w:lang w:val="en-US"/>
        </w:rPr>
        <w:t xml:space="preserve"> Fire Risk Assessment in 2022.</w:t>
      </w:r>
      <w:r w:rsidR="00940D2A" w:rsidRPr="00DD1B58">
        <w:rPr>
          <w:lang w:val="en-US"/>
        </w:rPr>
        <w:t xml:space="preserve"> </w:t>
      </w:r>
      <w:r w:rsidR="00F94AA3" w:rsidRPr="00DD1B58">
        <w:rPr>
          <w:lang w:val="en-US"/>
        </w:rPr>
        <w:t>Following the identification of</w:t>
      </w:r>
      <w:r w:rsidRPr="00DD1B58">
        <w:rPr>
          <w:lang w:val="en-US"/>
        </w:rPr>
        <w:t xml:space="preserve"> combustible management </w:t>
      </w:r>
      <w:r w:rsidR="00F94AA3" w:rsidRPr="00DD1B58">
        <w:rPr>
          <w:lang w:val="en-US"/>
        </w:rPr>
        <w:t xml:space="preserve">as </w:t>
      </w:r>
      <w:r w:rsidRPr="00DD1B58">
        <w:rPr>
          <w:lang w:val="en-US"/>
        </w:rPr>
        <w:t xml:space="preserve">a concern in multiple facilities, </w:t>
      </w:r>
      <w:r w:rsidR="004668E0" w:rsidRPr="00DD1B58">
        <w:rPr>
          <w:lang w:val="en-US"/>
        </w:rPr>
        <w:t xml:space="preserve">Sellafield Ltd. </w:t>
      </w:r>
      <w:r w:rsidR="00F94AA3" w:rsidRPr="00DD1B58">
        <w:rPr>
          <w:lang w:val="en-US"/>
        </w:rPr>
        <w:t xml:space="preserve">is developing a </w:t>
      </w:r>
      <w:r w:rsidRPr="00DD1B58">
        <w:rPr>
          <w:lang w:val="en-US"/>
        </w:rPr>
        <w:t>Key Performance Indicator (KPI) to highlight areas of concern (</w:t>
      </w:r>
      <w:r w:rsidR="00F94AA3" w:rsidRPr="00DD1B58">
        <w:rPr>
          <w:lang w:val="en-US"/>
        </w:rPr>
        <w:t xml:space="preserve">e.g. </w:t>
      </w:r>
      <w:r w:rsidRPr="00DD1B58">
        <w:rPr>
          <w:lang w:val="en-US"/>
        </w:rPr>
        <w:t xml:space="preserve">where </w:t>
      </w:r>
      <w:r w:rsidR="00F94AA3" w:rsidRPr="00DD1B58">
        <w:rPr>
          <w:lang w:val="en-US"/>
        </w:rPr>
        <w:t xml:space="preserve">combustible </w:t>
      </w:r>
      <w:r w:rsidRPr="00DD1B58">
        <w:rPr>
          <w:lang w:val="en-US"/>
        </w:rPr>
        <w:t xml:space="preserve">waste has been stored in </w:t>
      </w:r>
      <w:r w:rsidR="00F94AA3" w:rsidRPr="00DD1B58">
        <w:rPr>
          <w:lang w:val="en-US"/>
        </w:rPr>
        <w:t xml:space="preserve">a </w:t>
      </w:r>
      <w:r w:rsidRPr="00DD1B58">
        <w:rPr>
          <w:lang w:val="en-US"/>
        </w:rPr>
        <w:t xml:space="preserve">facility for a significant period) at a site level. </w:t>
      </w:r>
      <w:r w:rsidR="00D33E87" w:rsidRPr="00DD1B58">
        <w:rPr>
          <w:lang w:val="en-US"/>
        </w:rPr>
        <w:t>Sellafield Ltd.’s</w:t>
      </w:r>
      <w:r w:rsidR="00F94AA3" w:rsidRPr="00DD1B58">
        <w:rPr>
          <w:lang w:val="en-US"/>
        </w:rPr>
        <w:t xml:space="preserve"> </w:t>
      </w:r>
      <w:r w:rsidRPr="00DD1B58">
        <w:rPr>
          <w:lang w:val="en-US"/>
        </w:rPr>
        <w:t>checklists</w:t>
      </w:r>
      <w:r w:rsidR="00F94AA3" w:rsidRPr="00DD1B58">
        <w:rPr>
          <w:lang w:val="en-US"/>
        </w:rPr>
        <w:t xml:space="preserve"> for</w:t>
      </w:r>
      <w:r w:rsidRPr="00DD1B58">
        <w:rPr>
          <w:lang w:val="en-US"/>
        </w:rPr>
        <w:t xml:space="preserve"> </w:t>
      </w:r>
      <w:r w:rsidR="00F94AA3" w:rsidRPr="00DD1B58">
        <w:rPr>
          <w:lang w:val="en-US"/>
        </w:rPr>
        <w:t xml:space="preserve">Building Managers now </w:t>
      </w:r>
      <w:r w:rsidRPr="00DD1B58">
        <w:rPr>
          <w:lang w:val="en-US"/>
        </w:rPr>
        <w:t xml:space="preserve">include a section to </w:t>
      </w:r>
      <w:r w:rsidR="00F94AA3" w:rsidRPr="00DD1B58">
        <w:rPr>
          <w:lang w:val="en-US"/>
        </w:rPr>
        <w:t xml:space="preserve">highlight </w:t>
      </w:r>
      <w:r w:rsidRPr="00DD1B58">
        <w:rPr>
          <w:lang w:val="en-US"/>
        </w:rPr>
        <w:t xml:space="preserve">areas </w:t>
      </w:r>
      <w:r w:rsidR="00F94AA3" w:rsidRPr="00DD1B58">
        <w:rPr>
          <w:lang w:val="en-US"/>
        </w:rPr>
        <w:t xml:space="preserve">holding </w:t>
      </w:r>
      <w:r w:rsidRPr="00DD1B58">
        <w:rPr>
          <w:lang w:val="en-US"/>
        </w:rPr>
        <w:t xml:space="preserve">significant combustible </w:t>
      </w:r>
      <w:r w:rsidR="00F94AA3" w:rsidRPr="00DD1B58">
        <w:rPr>
          <w:lang w:val="en-US"/>
        </w:rPr>
        <w:t xml:space="preserve">inventories </w:t>
      </w:r>
      <w:r w:rsidRPr="00DD1B58">
        <w:rPr>
          <w:lang w:val="en-US"/>
        </w:rPr>
        <w:t>or</w:t>
      </w:r>
      <w:r w:rsidR="00F94AA3" w:rsidRPr="00DD1B58">
        <w:rPr>
          <w:lang w:val="en-US"/>
        </w:rPr>
        <w:t xml:space="preserve"> posing</w:t>
      </w:r>
      <w:r w:rsidRPr="00DD1B58">
        <w:rPr>
          <w:lang w:val="en-US"/>
        </w:rPr>
        <w:t xml:space="preserve"> ignition risks</w:t>
      </w:r>
      <w:r w:rsidR="00F94AA3" w:rsidRPr="00DD1B58">
        <w:rPr>
          <w:lang w:val="en-US"/>
        </w:rPr>
        <w:t xml:space="preserve">. </w:t>
      </w:r>
    </w:p>
    <w:p w14:paraId="4F2952DD" w14:textId="77777777" w:rsidR="00DE5A9E" w:rsidRPr="00DD1B58" w:rsidRDefault="00DE5A9E" w:rsidP="00177432">
      <w:pPr>
        <w:pStyle w:val="Heading5A"/>
        <w:numPr>
          <w:ilvl w:val="5"/>
          <w:numId w:val="7"/>
        </w:numPr>
        <w:rPr>
          <w:lang w:val="en-US"/>
        </w:rPr>
      </w:pPr>
      <w:r w:rsidRPr="00DD1B58">
        <w:rPr>
          <w:lang w:val="en-US"/>
        </w:rPr>
        <w:t>Overview of actions and implementation status</w:t>
      </w:r>
    </w:p>
    <w:p w14:paraId="7F5CBE60" w14:textId="3FBFC4A9" w:rsidR="00DF20C3" w:rsidRPr="00DD1B58" w:rsidRDefault="00D33E87" w:rsidP="00DF20C3">
      <w:pPr>
        <w:rPr>
          <w:lang w:val="en-US"/>
        </w:rPr>
      </w:pPr>
      <w:r w:rsidRPr="00DD1B58">
        <w:rPr>
          <w:lang w:val="en-US"/>
        </w:rPr>
        <w:t>Sellafield Ltd.’s</w:t>
      </w:r>
      <w:r w:rsidR="001321DC" w:rsidRPr="00DD1B58">
        <w:rPr>
          <w:lang w:val="en-US"/>
        </w:rPr>
        <w:t xml:space="preserve"> </w:t>
      </w:r>
      <w:r w:rsidR="00DF20C3" w:rsidRPr="00DD1B58">
        <w:rPr>
          <w:lang w:val="en-US"/>
        </w:rPr>
        <w:t xml:space="preserve">Building Manager </w:t>
      </w:r>
      <w:r w:rsidR="001321DC" w:rsidRPr="00DD1B58">
        <w:rPr>
          <w:lang w:val="en-US"/>
        </w:rPr>
        <w:t xml:space="preserve">inspections </w:t>
      </w:r>
      <w:r w:rsidR="00DF20C3" w:rsidRPr="00DD1B58">
        <w:rPr>
          <w:lang w:val="en-US"/>
        </w:rPr>
        <w:t xml:space="preserve">and Fire Risk Assessment reviews produce actions if shortfalls or fire safety deficiencies are identified. </w:t>
      </w:r>
      <w:r w:rsidR="004668E0" w:rsidRPr="00DD1B58">
        <w:rPr>
          <w:lang w:val="en-US"/>
        </w:rPr>
        <w:t>Sellafield Ltd.</w:t>
      </w:r>
      <w:r w:rsidR="001321DC" w:rsidRPr="00DD1B58">
        <w:rPr>
          <w:lang w:val="en-US"/>
        </w:rPr>
        <w:t xml:space="preserve"> categorises these</w:t>
      </w:r>
      <w:r w:rsidR="00DF20C3" w:rsidRPr="00DD1B58">
        <w:rPr>
          <w:lang w:val="en-US"/>
        </w:rPr>
        <w:t xml:space="preserve"> by cause e.g. fire alarm and detection system, ignition sources or maintenance. </w:t>
      </w:r>
      <w:r w:rsidR="000666AA" w:rsidRPr="00DD1B58">
        <w:rPr>
          <w:lang w:val="en-US"/>
        </w:rPr>
        <w:t xml:space="preserve">It then loads the </w:t>
      </w:r>
      <w:r w:rsidR="00DF20C3" w:rsidRPr="00DD1B58">
        <w:rPr>
          <w:lang w:val="en-US"/>
        </w:rPr>
        <w:t>actions onto the ATLAS system and track</w:t>
      </w:r>
      <w:r w:rsidR="000666AA" w:rsidRPr="00DD1B58">
        <w:rPr>
          <w:lang w:val="en-US"/>
        </w:rPr>
        <w:t>s them</w:t>
      </w:r>
      <w:r w:rsidR="00DF20C3" w:rsidRPr="00DD1B58">
        <w:rPr>
          <w:lang w:val="en-US"/>
        </w:rPr>
        <w:t xml:space="preserve"> to completion, holding the dutyholder and competent person responsible for closing out the action to rectify the issues. </w:t>
      </w:r>
    </w:p>
    <w:p w14:paraId="24005DC4" w14:textId="0A4013CC" w:rsidR="00DF20C3" w:rsidRPr="00DD1B58" w:rsidRDefault="00DF20C3" w:rsidP="00DF20C3">
      <w:pPr>
        <w:rPr>
          <w:lang w:val="en-US"/>
        </w:rPr>
      </w:pPr>
      <w:r w:rsidRPr="00DD1B58">
        <w:rPr>
          <w:lang w:val="en-US"/>
        </w:rPr>
        <w:t>The Waste Vitrification Plant is a member of WANO and takes part in WANO Peer Reviews. The most recent peer review was in 2022 and one Area For Improvement (AFI) in relation to Fire Protection, this was around Combustible Management. An action plan will be implemented to address shortfalls.</w:t>
      </w:r>
    </w:p>
    <w:p w14:paraId="3D19E977" w14:textId="01BE7743" w:rsidR="00DF20C3" w:rsidRPr="00DD1B58" w:rsidRDefault="004668E0" w:rsidP="00DF20C3">
      <w:pPr>
        <w:rPr>
          <w:lang w:val="en-US"/>
        </w:rPr>
      </w:pPr>
      <w:r w:rsidRPr="00DD1B58">
        <w:rPr>
          <w:lang w:val="en-US"/>
        </w:rPr>
        <w:t>Sellafield Ltd.</w:t>
      </w:r>
      <w:r w:rsidR="00DF20C3" w:rsidRPr="00DD1B58">
        <w:rPr>
          <w:lang w:val="en-US"/>
        </w:rPr>
        <w:t xml:space="preserve"> has its own internal regulator: Nuclear Intelligence and Independent Oversight. NI&amp;IO </w:t>
      </w:r>
      <w:r w:rsidR="00707E5B" w:rsidRPr="00DD1B58">
        <w:rPr>
          <w:lang w:val="en-US"/>
        </w:rPr>
        <w:t xml:space="preserve">has </w:t>
      </w:r>
      <w:r w:rsidR="00DF20C3" w:rsidRPr="00DD1B58">
        <w:rPr>
          <w:lang w:val="en-US"/>
        </w:rPr>
        <w:t>provided a higher degree of oversight since September 2019 with the addition of a Fire Protection subject matter expert (SME) being utilised within the Team.</w:t>
      </w:r>
      <w:r w:rsidR="00940D2A" w:rsidRPr="00DD1B58">
        <w:rPr>
          <w:lang w:val="en-US"/>
        </w:rPr>
        <w:t xml:space="preserve"> </w:t>
      </w:r>
      <w:r w:rsidR="00DF20C3" w:rsidRPr="00DD1B58">
        <w:rPr>
          <w:lang w:val="en-US"/>
        </w:rPr>
        <w:t xml:space="preserve">During this period of time the following upskilling and oversight has been carried out. </w:t>
      </w:r>
    </w:p>
    <w:p w14:paraId="261E5C17" w14:textId="5BB4E432" w:rsidR="00DF20C3" w:rsidRPr="00DD1B58" w:rsidRDefault="00DF20C3" w:rsidP="00DF20C3">
      <w:pPr>
        <w:rPr>
          <w:lang w:val="en-US"/>
        </w:rPr>
      </w:pPr>
      <w:r w:rsidRPr="00DD1B58">
        <w:rPr>
          <w:lang w:val="en-US"/>
        </w:rPr>
        <w:t xml:space="preserve">The Waste Vitrification Plant received a letter of </w:t>
      </w:r>
      <w:r w:rsidR="00C809D2" w:rsidRPr="00DD1B58">
        <w:rPr>
          <w:lang w:val="en-US"/>
        </w:rPr>
        <w:t>NI&amp;IO (internal regulator)</w:t>
      </w:r>
      <w:r w:rsidRPr="00DD1B58">
        <w:rPr>
          <w:lang w:val="en-US"/>
        </w:rPr>
        <w:t xml:space="preserve"> concern in 2022</w:t>
      </w:r>
      <w:r w:rsidR="00C809D2" w:rsidRPr="00DD1B58">
        <w:rPr>
          <w:lang w:val="en-US"/>
        </w:rPr>
        <w:t>,</w:t>
      </w:r>
      <w:r w:rsidRPr="00DD1B58">
        <w:rPr>
          <w:lang w:val="en-US"/>
        </w:rPr>
        <w:t xml:space="preserve"> following deficiencies relating to inadequate control of combustible materials. This was highlighted during the Fire Risk Assessment Review and escalated to the internal regulator. </w:t>
      </w:r>
      <w:r w:rsidR="00C809D2" w:rsidRPr="00DD1B58">
        <w:rPr>
          <w:lang w:val="en-US"/>
        </w:rPr>
        <w:t xml:space="preserve">Sellafield derived an </w:t>
      </w:r>
      <w:r w:rsidRPr="00DD1B58">
        <w:rPr>
          <w:lang w:val="en-US"/>
        </w:rPr>
        <w:t>action, and the internal regulator supported the plant to resolve and mitigate</w:t>
      </w:r>
      <w:r w:rsidR="00C809D2" w:rsidRPr="00DD1B58">
        <w:rPr>
          <w:lang w:val="en-US"/>
        </w:rPr>
        <w:t xml:space="preserve"> this and future</w:t>
      </w:r>
      <w:r w:rsidRPr="00DD1B58">
        <w:rPr>
          <w:lang w:val="en-US"/>
        </w:rPr>
        <w:t xml:space="preserve"> issues relating to waste management. </w:t>
      </w:r>
      <w:r w:rsidR="004668E0" w:rsidRPr="00DD1B58">
        <w:rPr>
          <w:lang w:val="en-US"/>
        </w:rPr>
        <w:t>Sellafield Ltd.</w:t>
      </w:r>
      <w:r w:rsidR="00C809D2" w:rsidRPr="00DD1B58">
        <w:rPr>
          <w:lang w:val="en-US"/>
        </w:rPr>
        <w:t xml:space="preserve"> </w:t>
      </w:r>
      <w:r w:rsidR="006D798B" w:rsidRPr="00DD1B58">
        <w:rPr>
          <w:lang w:val="en-US"/>
        </w:rPr>
        <w:t>reports that</w:t>
      </w:r>
      <w:r w:rsidR="00C809D2" w:rsidRPr="00DD1B58">
        <w:rPr>
          <w:lang w:val="en-US"/>
        </w:rPr>
        <w:t xml:space="preserve"> learning </w:t>
      </w:r>
      <w:r w:rsidRPr="00DD1B58">
        <w:rPr>
          <w:lang w:val="en-US"/>
        </w:rPr>
        <w:t xml:space="preserve">from </w:t>
      </w:r>
      <w:r w:rsidR="00C809D2" w:rsidRPr="00DD1B58">
        <w:rPr>
          <w:lang w:val="en-US"/>
        </w:rPr>
        <w:t xml:space="preserve">the </w:t>
      </w:r>
      <w:r w:rsidRPr="00DD1B58">
        <w:rPr>
          <w:lang w:val="en-US"/>
        </w:rPr>
        <w:t xml:space="preserve">findings is cascaded throughout the organisation through internal communications including Building Manager forums, Toolbox Talks and bulletins on the internal website. </w:t>
      </w:r>
    </w:p>
    <w:p w14:paraId="75BF9A5F" w14:textId="00125B12" w:rsidR="00497E7D" w:rsidRPr="00DD1B58" w:rsidRDefault="004668E0" w:rsidP="00497E7D">
      <w:pPr>
        <w:rPr>
          <w:lang w:val="en-US"/>
        </w:rPr>
      </w:pPr>
      <w:r w:rsidRPr="00DD1B58">
        <w:rPr>
          <w:lang w:val="en-US"/>
        </w:rPr>
        <w:t>Sellafield Ltd.</w:t>
      </w:r>
      <w:r w:rsidR="00707E5B" w:rsidRPr="00DD1B58">
        <w:rPr>
          <w:lang w:val="en-US"/>
        </w:rPr>
        <w:t xml:space="preserve"> </w:t>
      </w:r>
      <w:r w:rsidR="006D798B" w:rsidRPr="00DD1B58">
        <w:rPr>
          <w:lang w:val="en-US"/>
        </w:rPr>
        <w:t>reports that</w:t>
      </w:r>
      <w:r w:rsidR="00707E5B" w:rsidRPr="00DD1B58">
        <w:rPr>
          <w:lang w:val="en-US"/>
        </w:rPr>
        <w:t>, during ONR’s</w:t>
      </w:r>
      <w:r w:rsidR="002D2B20" w:rsidRPr="00DD1B58">
        <w:rPr>
          <w:lang w:val="en-US"/>
        </w:rPr>
        <w:t xml:space="preserve"> Licence Condition 15 Inspection in December 2015</w:t>
      </w:r>
      <w:r w:rsidR="00707E5B" w:rsidRPr="00DD1B58">
        <w:rPr>
          <w:lang w:val="en-US"/>
        </w:rPr>
        <w:t xml:space="preserve">, </w:t>
      </w:r>
      <w:r w:rsidR="002D2B20" w:rsidRPr="00DD1B58">
        <w:rPr>
          <w:lang w:val="en-US"/>
        </w:rPr>
        <w:t xml:space="preserve">a query was raised regarding the potential fire risk specifically the Diesel Alternator Set (DAS) housed within, poses to the structural stability of Pile 1. Following completion of the inspection, an action was raised to undertake a fire safety review of DAS. </w:t>
      </w:r>
      <w:r w:rsidRPr="00DD1B58">
        <w:rPr>
          <w:lang w:val="en-US"/>
        </w:rPr>
        <w:t>Sellafield Ltd.</w:t>
      </w:r>
      <w:r w:rsidR="003520E3" w:rsidRPr="00DD1B58">
        <w:rPr>
          <w:lang w:val="en-US"/>
        </w:rPr>
        <w:t xml:space="preserve"> produced a </w:t>
      </w:r>
      <w:r w:rsidR="002D2B20" w:rsidRPr="00DD1B58">
        <w:rPr>
          <w:lang w:val="en-US"/>
        </w:rPr>
        <w:t xml:space="preserve">nuclear fire assessment and fire engineering calculations in response. Whilst </w:t>
      </w:r>
      <w:r w:rsidR="003520E3" w:rsidRPr="00DD1B58">
        <w:rPr>
          <w:lang w:val="en-US"/>
        </w:rPr>
        <w:t xml:space="preserve">it recommended no </w:t>
      </w:r>
      <w:r w:rsidR="002D2B20" w:rsidRPr="00DD1B58">
        <w:rPr>
          <w:lang w:val="en-US"/>
        </w:rPr>
        <w:t>physical improvements</w:t>
      </w:r>
      <w:r w:rsidR="003520E3" w:rsidRPr="00DD1B58">
        <w:rPr>
          <w:lang w:val="en-US"/>
        </w:rPr>
        <w:t xml:space="preserve">, </w:t>
      </w:r>
      <w:r w:rsidR="009D0D5E" w:rsidRPr="00DD1B58">
        <w:rPr>
          <w:lang w:val="en-US"/>
        </w:rPr>
        <w:t xml:space="preserve">a </w:t>
      </w:r>
      <w:r w:rsidR="002D2B20" w:rsidRPr="00DD1B58">
        <w:rPr>
          <w:lang w:val="en-US"/>
        </w:rPr>
        <w:t>number of recommendations to control the</w:t>
      </w:r>
      <w:r w:rsidR="003520E3" w:rsidRPr="00DD1B58">
        <w:rPr>
          <w:lang w:val="en-US"/>
        </w:rPr>
        <w:t xml:space="preserve"> further control the</w:t>
      </w:r>
      <w:r w:rsidR="002D2B20" w:rsidRPr="00DD1B58">
        <w:rPr>
          <w:lang w:val="en-US"/>
        </w:rPr>
        <w:t xml:space="preserve"> risk</w:t>
      </w:r>
      <w:r w:rsidR="004922FE" w:rsidRPr="00DD1B58">
        <w:rPr>
          <w:lang w:val="en-US"/>
        </w:rPr>
        <w:t>, such</w:t>
      </w:r>
      <w:r w:rsidR="00A6344D" w:rsidRPr="00DD1B58">
        <w:rPr>
          <w:lang w:val="en-US"/>
        </w:rPr>
        <w:t xml:space="preserve"> </w:t>
      </w:r>
      <w:r w:rsidR="004922FE" w:rsidRPr="00DD1B58">
        <w:rPr>
          <w:lang w:val="en-US"/>
        </w:rPr>
        <w:t xml:space="preserve">as </w:t>
      </w:r>
      <w:r w:rsidR="006D187B" w:rsidRPr="00DD1B58">
        <w:rPr>
          <w:lang w:val="en-US"/>
        </w:rPr>
        <w:t>preventati</w:t>
      </w:r>
      <w:r w:rsidR="00A6344D" w:rsidRPr="00DD1B58">
        <w:rPr>
          <w:lang w:val="en-US"/>
        </w:rPr>
        <w:t xml:space="preserve">ve maintenance and combustible control requirements, </w:t>
      </w:r>
      <w:r w:rsidR="002D2B20" w:rsidRPr="00DD1B58">
        <w:rPr>
          <w:lang w:val="en-US"/>
        </w:rPr>
        <w:t>were identified and implemented</w:t>
      </w:r>
      <w:r w:rsidR="00BF0D27" w:rsidRPr="00DD1B58">
        <w:rPr>
          <w:lang w:val="en-US"/>
        </w:rPr>
        <w:t>.</w:t>
      </w:r>
    </w:p>
    <w:p w14:paraId="52921B4F" w14:textId="77777777" w:rsidR="00DE5A9E" w:rsidRPr="00DD1B58" w:rsidRDefault="00DE5A9E" w:rsidP="00177432">
      <w:pPr>
        <w:pStyle w:val="Heading5A"/>
        <w:rPr>
          <w:lang w:val="en-US"/>
        </w:rPr>
      </w:pPr>
      <w:bookmarkStart w:id="95" w:name="_Ref145058817"/>
      <w:r w:rsidRPr="00DD1B58">
        <w:rPr>
          <w:lang w:val="en-US"/>
        </w:rPr>
        <w:t>Regulator’s assessment of the fire prevention</w:t>
      </w:r>
      <w:bookmarkEnd w:id="95"/>
    </w:p>
    <w:p w14:paraId="4A2E75A6" w14:textId="77777777" w:rsidR="00DE5A9E" w:rsidRPr="00DD1B58" w:rsidRDefault="00DE5A9E" w:rsidP="00177432">
      <w:pPr>
        <w:pStyle w:val="Heading5A"/>
        <w:numPr>
          <w:ilvl w:val="5"/>
          <w:numId w:val="7"/>
        </w:numPr>
        <w:rPr>
          <w:lang w:val="en-US"/>
        </w:rPr>
      </w:pPr>
      <w:r w:rsidRPr="00DD1B58">
        <w:rPr>
          <w:lang w:val="en-US"/>
        </w:rPr>
        <w:t>Overview of strengths and weaknesses in the fire prevention</w:t>
      </w:r>
    </w:p>
    <w:p w14:paraId="736433DF" w14:textId="636566AC" w:rsidR="007012FE" w:rsidRPr="00DD1B58" w:rsidRDefault="00B0734C" w:rsidP="00EE18F1">
      <w:pPr>
        <w:rPr>
          <w:lang w:val="en-US"/>
        </w:rPr>
      </w:pPr>
      <w:r w:rsidRPr="00DD1B58">
        <w:rPr>
          <w:lang w:val="en-US"/>
        </w:rPr>
        <w:t xml:space="preserve">ONR assessed </w:t>
      </w:r>
      <w:r w:rsidR="00D33E87" w:rsidRPr="00DD1B58">
        <w:rPr>
          <w:lang w:val="en-US"/>
        </w:rPr>
        <w:t>Sellafield Ltd.’s</w:t>
      </w:r>
      <w:r w:rsidRPr="00DD1B58">
        <w:rPr>
          <w:lang w:val="en-US"/>
        </w:rPr>
        <w:t xml:space="preserve"> process </w:t>
      </w:r>
      <w:r w:rsidR="001F295E" w:rsidRPr="00DD1B58">
        <w:rPr>
          <w:lang w:val="en-US"/>
        </w:rPr>
        <w:t xml:space="preserve">for fire load accounting and management </w:t>
      </w:r>
      <w:r w:rsidRPr="00DD1B58">
        <w:rPr>
          <w:lang w:val="en-US"/>
        </w:rPr>
        <w:t>and judged that it meets the expectations in</w:t>
      </w:r>
      <w:r w:rsidR="007012FE" w:rsidRPr="00DD1B58">
        <w:rPr>
          <w:lang w:val="en-US"/>
        </w:rPr>
        <w:t xml:space="preserve"> ONR’s Internal Hazards TAG </w:t>
      </w:r>
      <w:sdt>
        <w:sdtPr>
          <w:rPr>
            <w:lang w:val="en-US"/>
          </w:rPr>
          <w:id w:val="-1706399329"/>
          <w:citation/>
        </w:sdtPr>
        <w:sdtContent>
          <w:r w:rsidR="00C210E3" w:rsidRPr="00DD1B58">
            <w:rPr>
              <w:lang w:val="en-US"/>
            </w:rPr>
            <w:fldChar w:fldCharType="begin"/>
          </w:r>
          <w:r w:rsidR="00C210E3" w:rsidRPr="00DD1B58">
            <w:rPr>
              <w:lang w:val="en-US"/>
            </w:rPr>
            <w:instrText xml:space="preserve"> CITATION ONR4 \l 2057 </w:instrText>
          </w:r>
          <w:r w:rsidR="00C210E3" w:rsidRPr="00DD1B58">
            <w:rPr>
              <w:lang w:val="en-US"/>
            </w:rPr>
            <w:fldChar w:fldCharType="separate"/>
          </w:r>
          <w:r w:rsidR="00DF47DA" w:rsidRPr="00DF47DA">
            <w:rPr>
              <w:noProof/>
              <w:lang w:val="en-US"/>
            </w:rPr>
            <w:t>[16]</w:t>
          </w:r>
          <w:r w:rsidR="00C210E3" w:rsidRPr="00DD1B58">
            <w:rPr>
              <w:lang w:val="en-US"/>
            </w:rPr>
            <w:fldChar w:fldCharType="end"/>
          </w:r>
        </w:sdtContent>
      </w:sdt>
      <w:r w:rsidR="00C210E3" w:rsidRPr="00DD1B58">
        <w:rPr>
          <w:lang w:val="en-US"/>
        </w:rPr>
        <w:t xml:space="preserve">. This expects </w:t>
      </w:r>
      <w:r w:rsidR="007012FE" w:rsidRPr="00DD1B58">
        <w:rPr>
          <w:lang w:val="en-US"/>
        </w:rPr>
        <w:t xml:space="preserve">the safety case to provide reference to surveys or studies of combustible substances, which should be systematic and demonstrably complete. This should include consideration of solids, gases, liquids, vapours and transient loads. </w:t>
      </w:r>
      <w:r w:rsidR="00EE18F1" w:rsidRPr="00DD1B58">
        <w:rPr>
          <w:lang w:val="en-US"/>
        </w:rPr>
        <w:t xml:space="preserve">The licensee also demonstrated </w:t>
      </w:r>
      <w:r w:rsidR="00117FB9" w:rsidRPr="00DD1B58">
        <w:rPr>
          <w:lang w:val="en-US"/>
        </w:rPr>
        <w:t xml:space="preserve">that the </w:t>
      </w:r>
      <w:r w:rsidR="00EE18F1" w:rsidRPr="00DD1B58">
        <w:rPr>
          <w:lang w:val="en-US"/>
        </w:rPr>
        <w:t xml:space="preserve">process is in accordance with the expectations of IAEA NS-G-2.1 </w:t>
      </w:r>
      <w:r w:rsidR="00117FB9" w:rsidRPr="00DD1B58">
        <w:rPr>
          <w:lang w:val="en-US"/>
        </w:rPr>
        <w:t xml:space="preserve">in </w:t>
      </w:r>
      <w:r w:rsidR="00EE18F1" w:rsidRPr="00DD1B58">
        <w:rPr>
          <w:lang w:val="en-US"/>
        </w:rPr>
        <w:t>that procedures should be established for the purpose of ensuring that amounts of combustible materials (the fire load) and the numbers of ignition sources be minimised</w:t>
      </w:r>
      <w:r w:rsidR="00DB4CE8" w:rsidRPr="00DD1B58">
        <w:rPr>
          <w:lang w:val="en-US"/>
        </w:rPr>
        <w:t xml:space="preserve"> </w:t>
      </w:r>
      <w:sdt>
        <w:sdtPr>
          <w:rPr>
            <w:lang w:val="en-US"/>
          </w:rPr>
          <w:id w:val="-894508477"/>
          <w:citation/>
        </w:sdtPr>
        <w:sdtContent>
          <w:r w:rsidR="004E3018" w:rsidRPr="00DD1B58">
            <w:rPr>
              <w:lang w:val="en-US"/>
            </w:rPr>
            <w:fldChar w:fldCharType="begin"/>
          </w:r>
          <w:r w:rsidR="0042353C" w:rsidRPr="00DD1B58">
            <w:rPr>
              <w:lang w:val="en-US"/>
            </w:rPr>
            <w:instrText xml:space="preserve">CITATION nsg21 \l 2057 </w:instrText>
          </w:r>
          <w:r w:rsidR="004E3018" w:rsidRPr="00DD1B58">
            <w:rPr>
              <w:lang w:val="en-US"/>
            </w:rPr>
            <w:fldChar w:fldCharType="separate"/>
          </w:r>
          <w:r w:rsidR="00DF47DA" w:rsidRPr="00DF47DA">
            <w:rPr>
              <w:noProof/>
              <w:lang w:val="en-US"/>
            </w:rPr>
            <w:t>[117]</w:t>
          </w:r>
          <w:r w:rsidR="004E3018" w:rsidRPr="00DD1B58">
            <w:rPr>
              <w:lang w:val="en-US"/>
            </w:rPr>
            <w:fldChar w:fldCharType="end"/>
          </w:r>
        </w:sdtContent>
      </w:sdt>
      <w:r w:rsidR="00EE18F1" w:rsidRPr="00DD1B58">
        <w:rPr>
          <w:lang w:val="en-US"/>
        </w:rPr>
        <w:t>.</w:t>
      </w:r>
    </w:p>
    <w:p w14:paraId="6626F8A8" w14:textId="4740B4BF" w:rsidR="007012FE" w:rsidRPr="00DD1B58" w:rsidRDefault="004668E0" w:rsidP="007012FE">
      <w:pPr>
        <w:rPr>
          <w:lang w:val="en-US"/>
        </w:rPr>
      </w:pPr>
      <w:r w:rsidRPr="00DD1B58">
        <w:rPr>
          <w:lang w:val="en-US"/>
        </w:rPr>
        <w:t>Sellafield Ltd.</w:t>
      </w:r>
      <w:r w:rsidR="007B6728" w:rsidRPr="00DD1B58">
        <w:rPr>
          <w:lang w:val="en-US"/>
        </w:rPr>
        <w:t xml:space="preserve"> </w:t>
      </w:r>
      <w:r w:rsidR="007012FE" w:rsidRPr="00DD1B58">
        <w:rPr>
          <w:lang w:val="en-US"/>
        </w:rPr>
        <w:t xml:space="preserve">identified the implementation of combustible management in some facilities as an area for improvement against SRL SV 6.11 and ONR is content that this </w:t>
      </w:r>
      <w:r w:rsidR="00117FB9" w:rsidRPr="00DD1B58">
        <w:rPr>
          <w:lang w:val="en-US"/>
        </w:rPr>
        <w:t xml:space="preserve">is being </w:t>
      </w:r>
      <w:r w:rsidR="007012FE" w:rsidRPr="00DD1B58">
        <w:rPr>
          <w:lang w:val="en-US"/>
        </w:rPr>
        <w:t xml:space="preserve">addressed as part of </w:t>
      </w:r>
      <w:r w:rsidR="00D33E87" w:rsidRPr="00DD1B58">
        <w:rPr>
          <w:lang w:val="en-US"/>
        </w:rPr>
        <w:t>Sellafield Ltd.’s</w:t>
      </w:r>
      <w:r w:rsidR="007012FE" w:rsidRPr="00DD1B58">
        <w:rPr>
          <w:lang w:val="en-US"/>
        </w:rPr>
        <w:t xml:space="preserve"> fire safety improvement programme.</w:t>
      </w:r>
    </w:p>
    <w:p w14:paraId="001E2E9C" w14:textId="5E6BE489" w:rsidR="001F295E" w:rsidRPr="00DD1B58" w:rsidRDefault="00582212" w:rsidP="00582212">
      <w:pPr>
        <w:rPr>
          <w:lang w:val="en-US"/>
        </w:rPr>
      </w:pPr>
      <w:r w:rsidRPr="00DD1B58">
        <w:rPr>
          <w:lang w:val="en-US"/>
        </w:rPr>
        <w:t>IAEA NS-G-2.1 expects administrative procedures to be established and implemented to control maintenance and modification activities that necessitate the use of a potential ignition source or that may themselves create an ignition source</w:t>
      </w:r>
      <w:r w:rsidR="004E3018" w:rsidRPr="00DD1B58">
        <w:rPr>
          <w:lang w:val="en-US"/>
        </w:rPr>
        <w:t xml:space="preserve"> </w:t>
      </w:r>
      <w:sdt>
        <w:sdtPr>
          <w:rPr>
            <w:lang w:val="en-US"/>
          </w:rPr>
          <w:id w:val="165670390"/>
          <w:citation/>
        </w:sdtPr>
        <w:sdtContent>
          <w:r w:rsidR="004E3018" w:rsidRPr="00DD1B58">
            <w:rPr>
              <w:lang w:val="en-US"/>
            </w:rPr>
            <w:fldChar w:fldCharType="begin"/>
          </w:r>
          <w:r w:rsidR="0042353C" w:rsidRPr="00DD1B58">
            <w:rPr>
              <w:lang w:val="en-US"/>
            </w:rPr>
            <w:instrText xml:space="preserve">CITATION nsg21 \l 2057 </w:instrText>
          </w:r>
          <w:r w:rsidR="004E3018" w:rsidRPr="00DD1B58">
            <w:rPr>
              <w:lang w:val="en-US"/>
            </w:rPr>
            <w:fldChar w:fldCharType="separate"/>
          </w:r>
          <w:r w:rsidR="00DF47DA" w:rsidRPr="00DF47DA">
            <w:rPr>
              <w:noProof/>
              <w:lang w:val="en-US"/>
            </w:rPr>
            <w:t>[117]</w:t>
          </w:r>
          <w:r w:rsidR="004E3018" w:rsidRPr="00DD1B58">
            <w:rPr>
              <w:lang w:val="en-US"/>
            </w:rPr>
            <w:fldChar w:fldCharType="end"/>
          </w:r>
        </w:sdtContent>
      </w:sdt>
      <w:r w:rsidRPr="00DD1B58">
        <w:rPr>
          <w:lang w:val="en-US"/>
        </w:rPr>
        <w:t xml:space="preserve">. </w:t>
      </w:r>
      <w:r w:rsidR="004668E0" w:rsidRPr="00DD1B58">
        <w:rPr>
          <w:lang w:val="en-US"/>
        </w:rPr>
        <w:t>Sellafield Ltd.</w:t>
      </w:r>
      <w:r w:rsidR="007B6728" w:rsidRPr="00DD1B58">
        <w:rPr>
          <w:lang w:val="en-US"/>
        </w:rPr>
        <w:t xml:space="preserve"> described a process for management of hot work</w:t>
      </w:r>
      <w:r w:rsidR="00BE444D" w:rsidRPr="00DD1B58">
        <w:rPr>
          <w:lang w:val="en-US"/>
        </w:rPr>
        <w:t xml:space="preserve"> that meets this expectation.</w:t>
      </w:r>
      <w:r w:rsidR="007264F7" w:rsidRPr="00DD1B58">
        <w:rPr>
          <w:lang w:val="en-US"/>
        </w:rPr>
        <w:t xml:space="preserve"> </w:t>
      </w:r>
      <w:r w:rsidR="00C530C4" w:rsidRPr="00DD1B58">
        <w:rPr>
          <w:lang w:val="en-US"/>
        </w:rPr>
        <w:t xml:space="preserve">However, </w:t>
      </w:r>
      <w:r w:rsidR="00536A3E" w:rsidRPr="00DD1B58">
        <w:rPr>
          <w:lang w:val="en-US"/>
        </w:rPr>
        <w:t>ONR are aware that there have been recent fire</w:t>
      </w:r>
      <w:r w:rsidR="00C530C4" w:rsidRPr="00DD1B58">
        <w:rPr>
          <w:lang w:val="en-US"/>
        </w:rPr>
        <w:t xml:space="preserve"> events at Sellafield</w:t>
      </w:r>
      <w:r w:rsidR="00536A3E" w:rsidRPr="00DD1B58">
        <w:rPr>
          <w:lang w:val="en-US"/>
        </w:rPr>
        <w:t xml:space="preserve"> </w:t>
      </w:r>
      <w:r w:rsidR="00C530C4" w:rsidRPr="00DD1B58">
        <w:rPr>
          <w:lang w:val="en-US"/>
        </w:rPr>
        <w:t xml:space="preserve">related to </w:t>
      </w:r>
      <w:r w:rsidR="00536A3E" w:rsidRPr="00DD1B58">
        <w:rPr>
          <w:lang w:val="en-US"/>
        </w:rPr>
        <w:t xml:space="preserve">the implementation of this </w:t>
      </w:r>
      <w:r w:rsidR="00C530C4" w:rsidRPr="00DD1B58">
        <w:rPr>
          <w:lang w:val="en-US"/>
        </w:rPr>
        <w:t>process.</w:t>
      </w:r>
    </w:p>
    <w:p w14:paraId="20EEC787" w14:textId="77777777" w:rsidR="00DE5A9E" w:rsidRPr="00DD1B58" w:rsidRDefault="00DE5A9E"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7948E6EB" w14:textId="504C01A0" w:rsidR="00203B87" w:rsidRPr="00DD1B58" w:rsidRDefault="00203B87" w:rsidP="00314E41">
      <w:pPr>
        <w:rPr>
          <w:lang w:val="en-US"/>
        </w:rPr>
      </w:pPr>
      <w:r w:rsidRPr="00DD1B58">
        <w:rPr>
          <w:lang w:val="en-US"/>
        </w:rPr>
        <w:t xml:space="preserve">ONR undertakes regulatory </w:t>
      </w:r>
      <w:r w:rsidR="002E7FE1" w:rsidRPr="00DD1B58">
        <w:rPr>
          <w:lang w:val="en-US"/>
        </w:rPr>
        <w:t xml:space="preserve">interventions </w:t>
      </w:r>
      <w:r w:rsidRPr="00DD1B58">
        <w:rPr>
          <w:lang w:val="en-US"/>
        </w:rPr>
        <w:t>such as inspection for both nuclear fire safety and life fire safety. When it comes to implementation of the fire protection concept these are intrinsically linked and life fire safety findings provide regulatory intelligence in support of ONR’s internal hazards activities.</w:t>
      </w:r>
      <w:r w:rsidR="002A5535" w:rsidRPr="00DD1B58">
        <w:rPr>
          <w:lang w:val="en-US"/>
        </w:rPr>
        <w:t xml:space="preserve"> </w:t>
      </w:r>
      <w:r w:rsidRPr="00DD1B58">
        <w:rPr>
          <w:lang w:val="en-US"/>
        </w:rPr>
        <w:t xml:space="preserve">A 2023 pre-assessment engagement with </w:t>
      </w:r>
      <w:r w:rsidR="004668E0" w:rsidRPr="00DD1B58">
        <w:rPr>
          <w:lang w:val="en-US"/>
        </w:rPr>
        <w:t xml:space="preserve">Sellafield Ltd. </w:t>
      </w:r>
      <w:r w:rsidRPr="00DD1B58">
        <w:rPr>
          <w:lang w:val="en-US"/>
        </w:rPr>
        <w:t xml:space="preserve">on the Pile 1 </w:t>
      </w:r>
      <w:r w:rsidR="00AB7126" w:rsidRPr="00DD1B58">
        <w:rPr>
          <w:lang w:val="en-US"/>
        </w:rPr>
        <w:t>chimney</w:t>
      </w:r>
      <w:r w:rsidRPr="00DD1B58">
        <w:rPr>
          <w:lang w:val="en-US"/>
        </w:rPr>
        <w:t xml:space="preserve"> demolition highlighted the </w:t>
      </w:r>
      <w:r w:rsidR="002E2C32" w:rsidRPr="00DD1B58">
        <w:rPr>
          <w:lang w:val="en-US"/>
        </w:rPr>
        <w:t>l</w:t>
      </w:r>
      <w:r w:rsidRPr="00DD1B58">
        <w:rPr>
          <w:lang w:val="en-US"/>
        </w:rPr>
        <w:t xml:space="preserve">icensee’s positive attitude towards learning from experience, specifically in relation to fires caused by hot cutting activities. </w:t>
      </w:r>
      <w:r w:rsidR="00D33E87" w:rsidRPr="00DD1B58">
        <w:rPr>
          <w:lang w:val="en-US"/>
        </w:rPr>
        <w:t>Sellafield Ltd.’s</w:t>
      </w:r>
      <w:r w:rsidRPr="00DD1B58">
        <w:rPr>
          <w:lang w:val="en-US"/>
        </w:rPr>
        <w:t xml:space="preserve"> intention to continue engagement with the fire and rescue service on a familiarisation basis was seen as a positive by ONR. However, Sellafield have reported an additional fire related to hot cutting on the Pile 1</w:t>
      </w:r>
      <w:r w:rsidR="00AB7126" w:rsidRPr="00DD1B58">
        <w:rPr>
          <w:lang w:val="en-US"/>
        </w:rPr>
        <w:t xml:space="preserve"> chimney</w:t>
      </w:r>
      <w:r w:rsidRPr="00DD1B58">
        <w:rPr>
          <w:lang w:val="en-US"/>
        </w:rPr>
        <w:t xml:space="preserve"> demolition project following this engagement.</w:t>
      </w:r>
    </w:p>
    <w:p w14:paraId="7CCFCE69" w14:textId="77777777" w:rsidR="009970F2" w:rsidRPr="00DD1B58" w:rsidRDefault="009970F2" w:rsidP="00314E41">
      <w:pPr>
        <w:rPr>
          <w:lang w:val="en-US"/>
        </w:rPr>
      </w:pPr>
    </w:p>
    <w:p w14:paraId="4B2E9AE3" w14:textId="77777777" w:rsidR="00A2124C" w:rsidRPr="00DD1B58" w:rsidRDefault="00A2124C" w:rsidP="00A2124C">
      <w:pPr>
        <w:rPr>
          <w:highlight w:val="yellow"/>
          <w:lang w:val="en-US"/>
        </w:rPr>
      </w:pPr>
      <w:r w:rsidRPr="00DD1B58">
        <w:rPr>
          <w:highlight w:val="yellow"/>
          <w:lang w:val="en-US"/>
        </w:rPr>
        <w:br w:type="page"/>
      </w:r>
    </w:p>
    <w:p w14:paraId="55F8E356" w14:textId="2C9F4135" w:rsidR="00F91BE7" w:rsidRPr="00DD1B58" w:rsidRDefault="008C3260" w:rsidP="00177432">
      <w:pPr>
        <w:pStyle w:val="Heading3A"/>
        <w:rPr>
          <w:lang w:val="en-US"/>
        </w:rPr>
      </w:pPr>
      <w:bookmarkStart w:id="96" w:name="_Toc147090643"/>
      <w:r w:rsidRPr="00DD1B58">
        <w:rPr>
          <w:lang w:val="en-US"/>
        </w:rPr>
        <w:t xml:space="preserve">Facilities </w:t>
      </w:r>
      <w:r w:rsidR="0068227F" w:rsidRPr="00DD1B58">
        <w:rPr>
          <w:lang w:val="en-US"/>
        </w:rPr>
        <w:t>u</w:t>
      </w:r>
      <w:r w:rsidRPr="00DD1B58">
        <w:rPr>
          <w:lang w:val="en-US"/>
        </w:rPr>
        <w:t xml:space="preserve">nder </w:t>
      </w:r>
      <w:r w:rsidR="0068227F" w:rsidRPr="00DD1B58">
        <w:rPr>
          <w:lang w:val="en-US"/>
        </w:rPr>
        <w:t>d</w:t>
      </w:r>
      <w:r w:rsidRPr="00DD1B58">
        <w:rPr>
          <w:lang w:val="en-US"/>
        </w:rPr>
        <w:t>ecommissioning</w:t>
      </w:r>
      <w:bookmarkEnd w:id="96"/>
    </w:p>
    <w:p w14:paraId="48363129" w14:textId="77777777" w:rsidR="000F4D3F" w:rsidRPr="00DD1B58" w:rsidRDefault="000F4D3F" w:rsidP="000F4D3F">
      <w:pPr>
        <w:rPr>
          <w:lang w:val="en-US"/>
        </w:rPr>
      </w:pPr>
      <w:r w:rsidRPr="00DD1B58">
        <w:rPr>
          <w:lang w:val="en-US"/>
        </w:rPr>
        <w:t xml:space="preserve">To avoid </w:t>
      </w:r>
      <w:r w:rsidR="002D19AC" w:rsidRPr="00DD1B58">
        <w:rPr>
          <w:lang w:val="en-US"/>
        </w:rPr>
        <w:t>duplication</w:t>
      </w:r>
      <w:r w:rsidR="006E723C" w:rsidRPr="00DD1B58">
        <w:rPr>
          <w:lang w:val="en-US"/>
        </w:rPr>
        <w:t>, the</w:t>
      </w:r>
      <w:r w:rsidR="00F96A16" w:rsidRPr="00DD1B58">
        <w:rPr>
          <w:lang w:val="en-US"/>
        </w:rPr>
        <w:t xml:space="preserve"> Pile 1</w:t>
      </w:r>
      <w:r w:rsidR="006E723C" w:rsidRPr="00DD1B58">
        <w:rPr>
          <w:lang w:val="en-US"/>
        </w:rPr>
        <w:t xml:space="preserve"> facility at Sellafield</w:t>
      </w:r>
      <w:r w:rsidR="00F96A16" w:rsidRPr="00DD1B58">
        <w:rPr>
          <w:lang w:val="en-US"/>
        </w:rPr>
        <w:t xml:space="preserve"> is reported under Section </w:t>
      </w:r>
      <w:r w:rsidR="00332BD0" w:rsidRPr="00DD1B58">
        <w:rPr>
          <w:lang w:val="en-US"/>
        </w:rPr>
        <w:t>E.</w:t>
      </w:r>
    </w:p>
    <w:p w14:paraId="6208C058" w14:textId="68D23294" w:rsidR="00390263" w:rsidRPr="00DD1B58" w:rsidRDefault="00390263" w:rsidP="000F4D3F">
      <w:pPr>
        <w:rPr>
          <w:lang w:val="en-US"/>
        </w:rPr>
      </w:pPr>
      <w:r w:rsidRPr="00DD1B58">
        <w:rPr>
          <w:lang w:val="en-US"/>
        </w:rPr>
        <w:t>The text in the Sections below ha</w:t>
      </w:r>
      <w:r w:rsidR="00955F97" w:rsidRPr="00DD1B58">
        <w:rPr>
          <w:lang w:val="en-US"/>
        </w:rPr>
        <w:t>s</w:t>
      </w:r>
      <w:r w:rsidRPr="00DD1B58">
        <w:rPr>
          <w:lang w:val="en-US"/>
        </w:rPr>
        <w:t xml:space="preserve"> been prepared by Dounreay Site Restoration </w:t>
      </w:r>
      <w:r w:rsidR="00BF0D1B" w:rsidRPr="00DD1B58">
        <w:rPr>
          <w:lang w:val="en-US"/>
        </w:rPr>
        <w:t>Ltd</w:t>
      </w:r>
      <w:r w:rsidRPr="00DD1B58">
        <w:rPr>
          <w:lang w:val="en-US"/>
        </w:rPr>
        <w:t xml:space="preserve"> Background information on the site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04C7D0A1" w14:textId="757DFB38" w:rsidR="00394081" w:rsidRPr="00DD1B58" w:rsidRDefault="00301E22" w:rsidP="00177432">
      <w:pPr>
        <w:pStyle w:val="Heading4A"/>
        <w:rPr>
          <w:lang w:val="en-US"/>
        </w:rPr>
      </w:pPr>
      <w:r w:rsidRPr="00DD1B58">
        <w:rPr>
          <w:lang w:val="en-US"/>
        </w:rPr>
        <w:t xml:space="preserve">  </w:t>
      </w:r>
      <w:r w:rsidR="00394081" w:rsidRPr="00DD1B58">
        <w:rPr>
          <w:lang w:val="en-US"/>
        </w:rPr>
        <w:t>Dounreay</w:t>
      </w:r>
    </w:p>
    <w:p w14:paraId="009B701B" w14:textId="77777777" w:rsidR="008A4361" w:rsidRPr="00DD1B58" w:rsidRDefault="004508D8" w:rsidP="00177432">
      <w:pPr>
        <w:pStyle w:val="Heading5A"/>
        <w:rPr>
          <w:lang w:val="en-US"/>
        </w:rPr>
      </w:pPr>
      <w:r w:rsidRPr="00DD1B58">
        <w:rPr>
          <w:lang w:val="en-US"/>
        </w:rPr>
        <w:t>Design considerations and prevention means</w:t>
      </w:r>
    </w:p>
    <w:p w14:paraId="66287773" w14:textId="67A900E4" w:rsidR="00F63F30" w:rsidRPr="00DD1B58" w:rsidRDefault="008A4361" w:rsidP="00365965">
      <w:pPr>
        <w:rPr>
          <w:lang w:val="en-US" w:eastAsia="en-GB" w:bidi="ar-SA"/>
        </w:rPr>
      </w:pPr>
      <w:r w:rsidRPr="00DD1B58">
        <w:rPr>
          <w:lang w:val="en-US" w:eastAsia="en-GB" w:bidi="ar-SA"/>
        </w:rPr>
        <w:t xml:space="preserve">Prior to commencement of any hot work, </w:t>
      </w:r>
      <w:r w:rsidR="009B6D06" w:rsidRPr="00DD1B58">
        <w:rPr>
          <w:lang w:val="en-US" w:eastAsia="en-GB" w:bidi="ar-SA"/>
        </w:rPr>
        <w:t xml:space="preserve">Dounreay requires </w:t>
      </w:r>
      <w:r w:rsidRPr="00DD1B58">
        <w:rPr>
          <w:lang w:val="en-US" w:eastAsia="en-GB" w:bidi="ar-SA"/>
        </w:rPr>
        <w:t xml:space="preserve">a Hot Works Permit </w:t>
      </w:r>
      <w:r w:rsidR="009B6D06" w:rsidRPr="00DD1B58">
        <w:rPr>
          <w:lang w:val="en-US" w:eastAsia="en-GB" w:bidi="ar-SA"/>
        </w:rPr>
        <w:t xml:space="preserve">to </w:t>
      </w:r>
      <w:r w:rsidRPr="00DD1B58">
        <w:rPr>
          <w:lang w:val="en-US" w:eastAsia="en-GB" w:bidi="ar-SA"/>
        </w:rPr>
        <w:t>be issued</w:t>
      </w:r>
      <w:r w:rsidR="00F63F30" w:rsidRPr="00DD1B58">
        <w:rPr>
          <w:lang w:val="en-US" w:eastAsia="en-GB" w:bidi="ar-SA"/>
        </w:rPr>
        <w:t xml:space="preserve">, </w:t>
      </w:r>
      <w:r w:rsidR="00FB52A7" w:rsidRPr="00DD1B58">
        <w:rPr>
          <w:lang w:val="en-US" w:eastAsia="en-GB" w:bidi="ar-SA"/>
        </w:rPr>
        <w:t>including</w:t>
      </w:r>
      <w:r w:rsidR="00F63F30" w:rsidRPr="00DD1B58">
        <w:rPr>
          <w:lang w:val="en-US" w:eastAsia="en-GB" w:bidi="ar-SA"/>
        </w:rPr>
        <w:t xml:space="preserve"> the following (taken from Dounreay’s self-assessment):</w:t>
      </w:r>
    </w:p>
    <w:p w14:paraId="397B6719" w14:textId="7055DF63" w:rsidR="00F63F30" w:rsidRPr="00DD1B58" w:rsidRDefault="008A4361">
      <w:pPr>
        <w:pStyle w:val="Bulletlist1"/>
        <w:rPr>
          <w:i/>
          <w:iCs/>
          <w:lang w:val="en-US" w:bidi="ar-SA"/>
        </w:rPr>
      </w:pPr>
      <w:r w:rsidRPr="00DD1B58">
        <w:rPr>
          <w:i/>
          <w:iCs/>
          <w:lang w:val="en-US" w:eastAsia="en-GB" w:bidi="ar-SA"/>
        </w:rPr>
        <w:t>DFARS are the Appointed Persons for</w:t>
      </w:r>
      <w:r w:rsidR="005A2DE8" w:rsidRPr="00DD1B58">
        <w:rPr>
          <w:i/>
          <w:iCs/>
          <w:lang w:val="en-US" w:eastAsia="en-GB" w:bidi="ar-SA"/>
        </w:rPr>
        <w:t xml:space="preserve"> issuing</w:t>
      </w:r>
      <w:r w:rsidRPr="00DD1B58">
        <w:rPr>
          <w:i/>
          <w:iCs/>
          <w:lang w:val="en-US" w:eastAsia="en-GB" w:bidi="ar-SA"/>
        </w:rPr>
        <w:t xml:space="preserve"> </w:t>
      </w:r>
      <w:r w:rsidR="005A2DE8" w:rsidRPr="00DD1B58">
        <w:rPr>
          <w:i/>
          <w:iCs/>
          <w:lang w:val="en-US" w:eastAsia="en-GB" w:bidi="ar-SA"/>
        </w:rPr>
        <w:t>hot works permits</w:t>
      </w:r>
      <w:r w:rsidRPr="00DD1B58">
        <w:rPr>
          <w:i/>
          <w:iCs/>
          <w:lang w:val="en-US" w:eastAsia="en-GB" w:bidi="ar-SA"/>
        </w:rPr>
        <w:t xml:space="preserve"> after an inspection of the work area and equipment. All fire safety prevention measures are detailed on the permit. </w:t>
      </w:r>
    </w:p>
    <w:p w14:paraId="4E2EF3BC" w14:textId="77777777" w:rsidR="00F63F30" w:rsidRPr="00DD1B58" w:rsidRDefault="008A4361">
      <w:pPr>
        <w:pStyle w:val="Bulletlist1"/>
        <w:rPr>
          <w:i/>
          <w:iCs/>
          <w:lang w:val="en-US" w:bidi="ar-SA"/>
        </w:rPr>
      </w:pPr>
      <w:r w:rsidRPr="00DD1B58">
        <w:rPr>
          <w:i/>
          <w:iCs/>
          <w:lang w:val="en-US" w:eastAsia="en-GB" w:bidi="ar-SA"/>
        </w:rPr>
        <w:t xml:space="preserve">A permanent fire permit is issued for areas where the use of flames, heat-producing apparatus, or fire is part of the routine work. A permanent fire permit is valid for one year and is renewed and re-authorised by DFARS. </w:t>
      </w:r>
    </w:p>
    <w:p w14:paraId="7A496256" w14:textId="77777777" w:rsidR="00F63F30" w:rsidRPr="00DD1B58" w:rsidRDefault="008A4361" w:rsidP="00F63F30">
      <w:pPr>
        <w:pStyle w:val="Bulletlist1"/>
        <w:rPr>
          <w:i/>
          <w:iCs/>
          <w:lang w:val="en-US" w:bidi="ar-SA"/>
        </w:rPr>
      </w:pPr>
      <w:r w:rsidRPr="00DD1B58">
        <w:rPr>
          <w:i/>
          <w:iCs/>
          <w:lang w:val="en-US" w:eastAsia="en-GB" w:bidi="ar-SA"/>
        </w:rPr>
        <w:t xml:space="preserve">Prior to commencing any work, an inspection of the work location and fire prevention equipment must be carried out by a member of the DFARS and a building representative. </w:t>
      </w:r>
    </w:p>
    <w:p w14:paraId="6C4E84C9" w14:textId="77777777" w:rsidR="00684C94" w:rsidRPr="00DD1B58" w:rsidRDefault="008A4361" w:rsidP="00973FF4">
      <w:pPr>
        <w:pStyle w:val="Bulletlist1"/>
        <w:rPr>
          <w:lang w:val="en-US" w:bidi="ar-SA"/>
        </w:rPr>
      </w:pPr>
      <w:r w:rsidRPr="00DD1B58">
        <w:rPr>
          <w:i/>
          <w:iCs/>
          <w:lang w:val="en-US" w:eastAsia="en-GB" w:bidi="ar-SA"/>
        </w:rPr>
        <w:t xml:space="preserve">A Temporary Use Permit for Hot Work Form must be completed at the start of each shift prior to the specified hot work commencing. Any changes to the conditions must be reassessed by DFARS. The Fire Safety Advisor and DFARS have the authority to carry out checks at any </w:t>
      </w:r>
      <w:r w:rsidR="00003453" w:rsidRPr="00DD1B58">
        <w:rPr>
          <w:i/>
          <w:iCs/>
          <w:lang w:val="en-US" w:eastAsia="en-GB" w:bidi="ar-SA"/>
        </w:rPr>
        <w:t>time</w:t>
      </w:r>
      <w:r w:rsidR="00003453" w:rsidRPr="00DD1B58">
        <w:rPr>
          <w:lang w:val="en-US" w:eastAsia="en-GB" w:bidi="ar-SA"/>
        </w:rPr>
        <w:t>.</w:t>
      </w:r>
    </w:p>
    <w:p w14:paraId="1B49037D" w14:textId="77777777" w:rsidR="004508D8" w:rsidRPr="00DD1B58" w:rsidRDefault="004508D8" w:rsidP="00177432">
      <w:pPr>
        <w:pStyle w:val="Heading5A"/>
        <w:rPr>
          <w:lang w:val="en-US"/>
        </w:rPr>
      </w:pPr>
      <w:bookmarkStart w:id="97" w:name="_Ref136874207"/>
      <w:r w:rsidRPr="00DD1B58">
        <w:rPr>
          <w:lang w:val="en-US"/>
        </w:rPr>
        <w:t>Overview of arrangements for management and control of fire load and ignition sources</w:t>
      </w:r>
      <w:bookmarkEnd w:id="97"/>
    </w:p>
    <w:p w14:paraId="5B179E9C" w14:textId="77777777" w:rsidR="00003453" w:rsidRPr="00DD1B58" w:rsidRDefault="00561AE4" w:rsidP="00003453">
      <w:pPr>
        <w:rPr>
          <w:b/>
          <w:lang w:val="en-US"/>
        </w:rPr>
      </w:pPr>
      <w:r w:rsidRPr="00DD1B58">
        <w:rPr>
          <w:b/>
          <w:lang w:val="en-US"/>
        </w:rPr>
        <w:t>General Arrangements</w:t>
      </w:r>
    </w:p>
    <w:p w14:paraId="342CBC76" w14:textId="5DDAE236" w:rsidR="00AD54BB" w:rsidRPr="00DD1B58" w:rsidRDefault="0037466C" w:rsidP="00AD54BB">
      <w:pPr>
        <w:pStyle w:val="Default"/>
        <w:rPr>
          <w:lang w:val="en-US"/>
        </w:rPr>
      </w:pPr>
      <w:r w:rsidRPr="00DD1B58">
        <w:rPr>
          <w:lang w:val="en-US"/>
        </w:rPr>
        <w:t>Dounreay report</w:t>
      </w:r>
      <w:r w:rsidR="00B9696D" w:rsidRPr="00DD1B58">
        <w:rPr>
          <w:lang w:val="en-US"/>
        </w:rPr>
        <w:t>s</w:t>
      </w:r>
      <w:r w:rsidRPr="00DD1B58">
        <w:rPr>
          <w:lang w:val="en-US"/>
        </w:rPr>
        <w:t xml:space="preserve"> that there </w:t>
      </w:r>
      <w:r w:rsidR="00663BB8" w:rsidRPr="00DD1B58">
        <w:rPr>
          <w:lang w:val="en-US"/>
        </w:rPr>
        <w:t xml:space="preserve">are no limits on fire loading </w:t>
      </w:r>
      <w:r w:rsidR="00B5797C" w:rsidRPr="00DD1B58">
        <w:rPr>
          <w:lang w:val="en-US"/>
        </w:rPr>
        <w:t xml:space="preserve">at PFR. </w:t>
      </w:r>
      <w:r w:rsidR="00B9696D" w:rsidRPr="00DD1B58">
        <w:rPr>
          <w:lang w:val="en-US"/>
        </w:rPr>
        <w:t>T</w:t>
      </w:r>
      <w:r w:rsidRPr="00DD1B58">
        <w:rPr>
          <w:lang w:val="en-US"/>
        </w:rPr>
        <w:t xml:space="preserve">here </w:t>
      </w:r>
      <w:r w:rsidR="00B5797C" w:rsidRPr="00DD1B58">
        <w:rPr>
          <w:lang w:val="en-US"/>
        </w:rPr>
        <w:t xml:space="preserve">is a site general requirement to minimise combustibles, and this is communicated to personnel in the site induction, toolbox talks/pre-job briefs and working instructions. </w:t>
      </w:r>
      <w:r w:rsidR="00517ED0" w:rsidRPr="00DD1B58">
        <w:rPr>
          <w:lang w:val="en-US"/>
        </w:rPr>
        <w:t xml:space="preserve">The </w:t>
      </w:r>
      <w:r w:rsidR="00B5797C" w:rsidRPr="00DD1B58">
        <w:rPr>
          <w:lang w:val="en-US"/>
        </w:rPr>
        <w:t xml:space="preserve">DFRA considered fire loading across the facility. </w:t>
      </w:r>
      <w:r w:rsidR="00517ED0" w:rsidRPr="00DD1B58">
        <w:rPr>
          <w:lang w:val="en-US"/>
        </w:rPr>
        <w:t>Dounreay state</w:t>
      </w:r>
      <w:r w:rsidR="00EC0A30" w:rsidRPr="00DD1B58">
        <w:rPr>
          <w:lang w:val="en-US"/>
        </w:rPr>
        <w:t>s</w:t>
      </w:r>
      <w:r w:rsidR="00517ED0" w:rsidRPr="00DD1B58">
        <w:rPr>
          <w:lang w:val="en-US"/>
        </w:rPr>
        <w:t xml:space="preserve"> that the </w:t>
      </w:r>
      <w:r w:rsidR="00B5797C" w:rsidRPr="00DD1B58">
        <w:rPr>
          <w:lang w:val="en-US"/>
        </w:rPr>
        <w:t xml:space="preserve">Fire Risk Assessment is revisited annually and any modifications that may impact on the fire risk assessment are considered with advice from the Fire Advisor. </w:t>
      </w:r>
      <w:r w:rsidR="00517ED0" w:rsidRPr="00DD1B58">
        <w:rPr>
          <w:lang w:val="en-US"/>
        </w:rPr>
        <w:t xml:space="preserve">Dounreay </w:t>
      </w:r>
      <w:r w:rsidR="006D798B" w:rsidRPr="00DD1B58">
        <w:rPr>
          <w:lang w:val="en-US"/>
        </w:rPr>
        <w:t>reports that</w:t>
      </w:r>
      <w:r w:rsidR="00517ED0" w:rsidRPr="00DD1B58">
        <w:rPr>
          <w:lang w:val="en-US"/>
        </w:rPr>
        <w:t xml:space="preserve"> it carries out p</w:t>
      </w:r>
      <w:r w:rsidR="00B5797C" w:rsidRPr="00DD1B58">
        <w:rPr>
          <w:lang w:val="en-US"/>
        </w:rPr>
        <w:t xml:space="preserve">lanned General Inspections routinely, and </w:t>
      </w:r>
      <w:r w:rsidR="00517ED0" w:rsidRPr="00DD1B58">
        <w:rPr>
          <w:lang w:val="en-US"/>
        </w:rPr>
        <w:t xml:space="preserve">that it considers </w:t>
      </w:r>
      <w:r w:rsidR="00B5797C" w:rsidRPr="00DD1B58">
        <w:rPr>
          <w:lang w:val="en-US"/>
        </w:rPr>
        <w:t xml:space="preserve">fire and housekeeping as part of these inspections. </w:t>
      </w:r>
      <w:r w:rsidR="00127B62" w:rsidRPr="00DD1B58">
        <w:rPr>
          <w:lang w:val="en-US"/>
        </w:rPr>
        <w:t xml:space="preserve">The site </w:t>
      </w:r>
      <w:r w:rsidR="00AD54BB" w:rsidRPr="00DD1B58">
        <w:rPr>
          <w:lang w:val="en-US"/>
        </w:rPr>
        <w:t>waste strategy requires that no waste is generated until a waste plan is approved for its disposal.</w:t>
      </w:r>
    </w:p>
    <w:p w14:paraId="3346C306" w14:textId="77777777" w:rsidR="00AD54BB" w:rsidRPr="00DD1B58" w:rsidRDefault="00AD54BB" w:rsidP="00AD54BB">
      <w:pPr>
        <w:pStyle w:val="Default"/>
        <w:rPr>
          <w:lang w:val="en-US"/>
        </w:rPr>
      </w:pPr>
    </w:p>
    <w:p w14:paraId="3CB493F2" w14:textId="74F8FBE4" w:rsidR="004165EE" w:rsidRPr="00DD1B58" w:rsidRDefault="00680A3B" w:rsidP="00B85E21">
      <w:pPr>
        <w:pStyle w:val="Default"/>
        <w:rPr>
          <w:lang w:val="en-US"/>
        </w:rPr>
      </w:pPr>
      <w:r w:rsidRPr="00DD1B58">
        <w:rPr>
          <w:lang w:val="en-US"/>
        </w:rPr>
        <w:t xml:space="preserve">Dounreay’s </w:t>
      </w:r>
      <w:r w:rsidR="00B85E21" w:rsidRPr="00DD1B58">
        <w:rPr>
          <w:lang w:val="en-US"/>
        </w:rPr>
        <w:t xml:space="preserve">Fire Safety Standard </w:t>
      </w:r>
      <w:r w:rsidRPr="00DD1B58">
        <w:rPr>
          <w:lang w:val="en-US"/>
        </w:rPr>
        <w:t>refers to the management of combustibles under housekeeping</w:t>
      </w:r>
      <w:r w:rsidR="009F70E9" w:rsidRPr="00DD1B58">
        <w:rPr>
          <w:lang w:val="en-US"/>
        </w:rPr>
        <w:t xml:space="preserve">. The standard </w:t>
      </w:r>
      <w:r w:rsidR="0056082A" w:rsidRPr="00DD1B58">
        <w:rPr>
          <w:lang w:val="en-US"/>
        </w:rPr>
        <w:t>outlines</w:t>
      </w:r>
      <w:r w:rsidR="00B85E21" w:rsidRPr="00DD1B58">
        <w:rPr>
          <w:lang w:val="en-US"/>
        </w:rPr>
        <w:t xml:space="preserve"> the need for tidiness</w:t>
      </w:r>
      <w:r w:rsidR="00DD23ED" w:rsidRPr="00DD1B58">
        <w:rPr>
          <w:lang w:val="en-US"/>
        </w:rPr>
        <w:t xml:space="preserve">, </w:t>
      </w:r>
      <w:r w:rsidR="00B85E21" w:rsidRPr="00DD1B58">
        <w:rPr>
          <w:lang w:val="en-US"/>
        </w:rPr>
        <w:t>cleanliness</w:t>
      </w:r>
      <w:r w:rsidR="00ED0E41" w:rsidRPr="00DD1B58">
        <w:rPr>
          <w:lang w:val="en-US"/>
        </w:rPr>
        <w:t>, minimisation</w:t>
      </w:r>
      <w:r w:rsidR="00B85E21" w:rsidRPr="00DD1B58">
        <w:rPr>
          <w:lang w:val="en-US"/>
        </w:rPr>
        <w:t xml:space="preserve"> of combustibles </w:t>
      </w:r>
      <w:r w:rsidR="00ED0E41" w:rsidRPr="00DD1B58">
        <w:rPr>
          <w:lang w:val="en-US"/>
        </w:rPr>
        <w:t>and the removal of waste.</w:t>
      </w:r>
      <w:r w:rsidR="00B85E21" w:rsidRPr="00DD1B58">
        <w:rPr>
          <w:lang w:val="en-US"/>
        </w:rPr>
        <w:t xml:space="preserve"> </w:t>
      </w:r>
      <w:r w:rsidR="00485D98" w:rsidRPr="00DD1B58">
        <w:rPr>
          <w:lang w:val="en-US"/>
        </w:rPr>
        <w:t xml:space="preserve">Dounreay </w:t>
      </w:r>
      <w:r w:rsidR="006527C1" w:rsidRPr="00DD1B58">
        <w:rPr>
          <w:lang w:val="en-US"/>
        </w:rPr>
        <w:t>ensure</w:t>
      </w:r>
      <w:r w:rsidR="00485D98" w:rsidRPr="00DD1B58">
        <w:rPr>
          <w:lang w:val="en-US"/>
        </w:rPr>
        <w:t>s c</w:t>
      </w:r>
      <w:r w:rsidR="00B85E21" w:rsidRPr="00DD1B58">
        <w:rPr>
          <w:lang w:val="en-US"/>
        </w:rPr>
        <w:t xml:space="preserve">ompliance </w:t>
      </w:r>
      <w:r w:rsidR="00485D98" w:rsidRPr="00DD1B58">
        <w:rPr>
          <w:lang w:val="en-US"/>
        </w:rPr>
        <w:t>with its standard</w:t>
      </w:r>
      <w:r w:rsidR="00B85E21" w:rsidRPr="00DD1B58">
        <w:rPr>
          <w:lang w:val="en-US"/>
        </w:rPr>
        <w:t xml:space="preserve"> through the annual fire risk assessment of buildings; ad</w:t>
      </w:r>
      <w:r w:rsidR="00485D98" w:rsidRPr="00DD1B58">
        <w:rPr>
          <w:lang w:val="en-US"/>
        </w:rPr>
        <w:t>-</w:t>
      </w:r>
      <w:r w:rsidR="00B85E21" w:rsidRPr="00DD1B58">
        <w:rPr>
          <w:lang w:val="en-US"/>
        </w:rPr>
        <w:t xml:space="preserve">hoc walk rounds and through planned general inspections carried out </w:t>
      </w:r>
      <w:r w:rsidR="00485D98" w:rsidRPr="00DD1B58">
        <w:rPr>
          <w:lang w:val="en-US"/>
        </w:rPr>
        <w:t xml:space="preserve">by </w:t>
      </w:r>
      <w:r w:rsidR="00B85E21" w:rsidRPr="00DD1B58">
        <w:rPr>
          <w:lang w:val="en-US"/>
        </w:rPr>
        <w:t>safety representatives and building management</w:t>
      </w:r>
      <w:r w:rsidR="00642D03" w:rsidRPr="00DD1B58">
        <w:rPr>
          <w:lang w:val="en-US"/>
        </w:rPr>
        <w:t>.</w:t>
      </w:r>
    </w:p>
    <w:p w14:paraId="769C91CA" w14:textId="77777777" w:rsidR="00F35D42" w:rsidRPr="00DD1B58" w:rsidRDefault="00F35D42" w:rsidP="00DA3F92">
      <w:pPr>
        <w:pStyle w:val="Default"/>
        <w:rPr>
          <w:sz w:val="23"/>
          <w:szCs w:val="23"/>
          <w:lang w:val="en-US"/>
        </w:rPr>
      </w:pPr>
    </w:p>
    <w:p w14:paraId="6F91DB48" w14:textId="0EE43D09" w:rsidR="00DA3F92" w:rsidRPr="00DD1B58" w:rsidRDefault="00485D98" w:rsidP="00DA3F92">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it gathers i</w:t>
      </w:r>
      <w:r w:rsidR="004165EE" w:rsidRPr="00DD1B58">
        <w:rPr>
          <w:lang w:val="en-US"/>
        </w:rPr>
        <w:t>nformatio</w:t>
      </w:r>
      <w:r w:rsidR="00DA3F92" w:rsidRPr="00DD1B58">
        <w:rPr>
          <w:lang w:val="en-US"/>
        </w:rPr>
        <w:t xml:space="preserve">n on external good practice </w:t>
      </w:r>
      <w:r w:rsidRPr="00DD1B58">
        <w:rPr>
          <w:lang w:val="en-US"/>
        </w:rPr>
        <w:t>and</w:t>
      </w:r>
      <w:r w:rsidR="00DA3F92" w:rsidRPr="00DD1B58">
        <w:rPr>
          <w:lang w:val="en-US"/>
        </w:rPr>
        <w:t xml:space="preserve"> cascade</w:t>
      </w:r>
      <w:r w:rsidRPr="00DD1B58">
        <w:rPr>
          <w:lang w:val="en-US"/>
        </w:rPr>
        <w:t xml:space="preserve">s </w:t>
      </w:r>
      <w:r w:rsidR="00FD0B9F" w:rsidRPr="00DD1B58">
        <w:rPr>
          <w:lang w:val="en-US"/>
        </w:rPr>
        <w:t xml:space="preserve">it </w:t>
      </w:r>
      <w:r w:rsidR="00DA3F92" w:rsidRPr="00DD1B58">
        <w:rPr>
          <w:lang w:val="en-US"/>
        </w:rPr>
        <w:t xml:space="preserve">through the Dounreay Learning from Experience and Professionalism team. </w:t>
      </w:r>
      <w:r w:rsidR="00A8771A" w:rsidRPr="00DD1B58">
        <w:rPr>
          <w:lang w:val="en-US"/>
        </w:rPr>
        <w:t>It cited a v</w:t>
      </w:r>
      <w:r w:rsidR="00DA3F92" w:rsidRPr="00DD1B58">
        <w:rPr>
          <w:lang w:val="en-US"/>
        </w:rPr>
        <w:t>ariety of sources including the Operational Experience Learning group, NDA working group, NDA flash alerts (SHE alerts)</w:t>
      </w:r>
      <w:r w:rsidR="00A8771A" w:rsidRPr="00DD1B58">
        <w:rPr>
          <w:lang w:val="en-US"/>
        </w:rPr>
        <w:t xml:space="preserve">, </w:t>
      </w:r>
      <w:r w:rsidR="00DA3F92" w:rsidRPr="00DD1B58">
        <w:rPr>
          <w:lang w:val="en-US"/>
        </w:rPr>
        <w:t>industry bodies</w:t>
      </w:r>
      <w:r w:rsidR="00A8771A" w:rsidRPr="00DD1B58">
        <w:rPr>
          <w:lang w:val="en-US"/>
        </w:rPr>
        <w:t xml:space="preserve"> including</w:t>
      </w:r>
      <w:r w:rsidR="007F2AA7" w:rsidRPr="00DD1B58">
        <w:rPr>
          <w:lang w:val="en-US"/>
        </w:rPr>
        <w:t xml:space="preserve"> </w:t>
      </w:r>
      <w:r w:rsidR="00DA3F92" w:rsidRPr="00DD1B58">
        <w:rPr>
          <w:lang w:val="en-US"/>
        </w:rPr>
        <w:t>fire safety good practice taken from the Nuclear Installations Fire Safety Co-ordinating meeting</w:t>
      </w:r>
      <w:r w:rsidR="00A8771A" w:rsidRPr="00DD1B58">
        <w:rPr>
          <w:lang w:val="en-US"/>
        </w:rPr>
        <w:t>.</w:t>
      </w:r>
    </w:p>
    <w:p w14:paraId="49963E62" w14:textId="77777777" w:rsidR="00DA3F92" w:rsidRPr="00DD1B58" w:rsidRDefault="00DA3F92" w:rsidP="00DA3F92">
      <w:pPr>
        <w:pStyle w:val="Default"/>
        <w:rPr>
          <w:lang w:val="en-US"/>
        </w:rPr>
      </w:pPr>
    </w:p>
    <w:p w14:paraId="23E41EBA" w14:textId="650648A0" w:rsidR="00DA3F92" w:rsidRPr="00DD1B58" w:rsidRDefault="00A8771A" w:rsidP="00DA3F92">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a</w:t>
      </w:r>
      <w:r w:rsidR="00DA3F92" w:rsidRPr="00DD1B58">
        <w:rPr>
          <w:lang w:val="en-US"/>
        </w:rPr>
        <w:t xml:space="preserve"> DFRA recommendation was made pertaining to the use of wooden scaffold boards</w:t>
      </w:r>
      <w:r w:rsidR="00AA11AC" w:rsidRPr="00DD1B58">
        <w:rPr>
          <w:lang w:val="en-US"/>
        </w:rPr>
        <w:t>: s</w:t>
      </w:r>
      <w:r w:rsidR="00DA3F92" w:rsidRPr="00DD1B58">
        <w:rPr>
          <w:lang w:val="en-US"/>
        </w:rPr>
        <w:t xml:space="preserve">torage racks have been subject to rationalisation to minimise combustible </w:t>
      </w:r>
      <w:r w:rsidR="00AA11AC" w:rsidRPr="00DD1B58">
        <w:rPr>
          <w:lang w:val="en-US"/>
        </w:rPr>
        <w:t xml:space="preserve">inventories; </w:t>
      </w:r>
      <w:r w:rsidR="0072210A" w:rsidRPr="00DD1B58">
        <w:rPr>
          <w:lang w:val="en-US"/>
        </w:rPr>
        <w:t>combustible</w:t>
      </w:r>
      <w:r w:rsidR="00DA3F92" w:rsidRPr="00DD1B58">
        <w:rPr>
          <w:lang w:val="en-US"/>
        </w:rPr>
        <w:t xml:space="preserve"> boards have been replaced with metal boards</w:t>
      </w:r>
      <w:r w:rsidR="0072210A" w:rsidRPr="00DD1B58">
        <w:rPr>
          <w:lang w:val="en-US"/>
        </w:rPr>
        <w:t xml:space="preserve">. </w:t>
      </w:r>
      <w:r w:rsidR="001847AD" w:rsidRPr="00DD1B58">
        <w:rPr>
          <w:lang w:val="en-US"/>
        </w:rPr>
        <w:t>The review</w:t>
      </w:r>
      <w:r w:rsidR="00DA3F92" w:rsidRPr="00DD1B58">
        <w:rPr>
          <w:lang w:val="en-US"/>
        </w:rPr>
        <w:t xml:space="preserve"> of scaffold boards within the PFR complex </w:t>
      </w:r>
      <w:r w:rsidR="0072210A" w:rsidRPr="00DD1B58">
        <w:rPr>
          <w:lang w:val="en-US"/>
        </w:rPr>
        <w:t>confirmed that they are</w:t>
      </w:r>
      <w:r w:rsidR="00DA3F92" w:rsidRPr="00DD1B58">
        <w:rPr>
          <w:lang w:val="en-US"/>
        </w:rPr>
        <w:t xml:space="preserve"> all are fire retardant.</w:t>
      </w:r>
    </w:p>
    <w:p w14:paraId="017B9958" w14:textId="77777777" w:rsidR="00D86F6D" w:rsidRPr="00DD1B58" w:rsidRDefault="00D86F6D" w:rsidP="00DA3F92">
      <w:pPr>
        <w:pStyle w:val="Default"/>
        <w:rPr>
          <w:lang w:val="en-US"/>
        </w:rPr>
      </w:pPr>
    </w:p>
    <w:p w14:paraId="7DB67B4A" w14:textId="77777777" w:rsidR="00D86F6D" w:rsidRPr="00DD1B58" w:rsidRDefault="00B9323D" w:rsidP="00DA3F92">
      <w:pPr>
        <w:pStyle w:val="Default"/>
        <w:rPr>
          <w:b/>
          <w:lang w:val="en-US"/>
        </w:rPr>
      </w:pPr>
      <w:r w:rsidRPr="00DD1B58">
        <w:rPr>
          <w:b/>
          <w:lang w:val="en-US"/>
        </w:rPr>
        <w:t>Flammable Liquids and Hazardous Substances</w:t>
      </w:r>
    </w:p>
    <w:p w14:paraId="5CA4BA2C" w14:textId="77777777" w:rsidR="00B9323D" w:rsidRPr="00DD1B58" w:rsidRDefault="00B9323D" w:rsidP="00DA3F92">
      <w:pPr>
        <w:pStyle w:val="Default"/>
        <w:rPr>
          <w:lang w:val="en-US"/>
        </w:rPr>
      </w:pPr>
    </w:p>
    <w:p w14:paraId="36870BC4" w14:textId="3D1D1178" w:rsidR="000D0008" w:rsidRPr="00DD1B58" w:rsidRDefault="000D0008" w:rsidP="000D0008">
      <w:pPr>
        <w:pStyle w:val="Default"/>
        <w:rPr>
          <w:lang w:val="en-US"/>
        </w:rPr>
      </w:pPr>
      <w:r w:rsidRPr="00DD1B58">
        <w:rPr>
          <w:lang w:val="en-US"/>
        </w:rPr>
        <w:t xml:space="preserve">Dounreay </w:t>
      </w:r>
      <w:r w:rsidR="006D798B" w:rsidRPr="00DD1B58">
        <w:rPr>
          <w:lang w:val="en-US"/>
        </w:rPr>
        <w:t>reports that</w:t>
      </w:r>
      <w:r w:rsidR="007246B0" w:rsidRPr="00DD1B58">
        <w:rPr>
          <w:lang w:val="en-US"/>
        </w:rPr>
        <w:t xml:space="preserve"> it has a </w:t>
      </w:r>
      <w:r w:rsidR="00BD3576" w:rsidRPr="00DD1B58">
        <w:rPr>
          <w:lang w:val="en-US"/>
        </w:rPr>
        <w:t xml:space="preserve">site-wide </w:t>
      </w:r>
      <w:r w:rsidR="007246B0" w:rsidRPr="00DD1B58">
        <w:rPr>
          <w:lang w:val="en-US"/>
        </w:rPr>
        <w:t>mandated limit on</w:t>
      </w:r>
      <w:r w:rsidRPr="00DD1B58">
        <w:rPr>
          <w:lang w:val="en-US"/>
        </w:rPr>
        <w:t xml:space="preserve"> the storage of flammable liquids within buildings to a maximum of 20 litres</w:t>
      </w:r>
      <w:r w:rsidR="007246B0" w:rsidRPr="00DD1B58">
        <w:rPr>
          <w:lang w:val="en-US"/>
        </w:rPr>
        <w:t>,</w:t>
      </w:r>
      <w:r w:rsidRPr="00DD1B58">
        <w:rPr>
          <w:lang w:val="en-US"/>
        </w:rPr>
        <w:t xml:space="preserve"> or </w:t>
      </w:r>
      <w:r w:rsidR="00BD3576" w:rsidRPr="00DD1B58">
        <w:rPr>
          <w:lang w:val="en-US"/>
        </w:rPr>
        <w:t xml:space="preserve">to the inventory </w:t>
      </w:r>
      <w:r w:rsidRPr="00DD1B58">
        <w:rPr>
          <w:lang w:val="en-US"/>
        </w:rPr>
        <w:t xml:space="preserve">required for day-to-day operations, whichever is less. </w:t>
      </w:r>
      <w:r w:rsidR="00BD3576" w:rsidRPr="00DD1B58">
        <w:rPr>
          <w:lang w:val="en-US"/>
        </w:rPr>
        <w:t xml:space="preserve">Dounreay mandates that flammable liquids </w:t>
      </w:r>
      <w:r w:rsidRPr="00DD1B58">
        <w:rPr>
          <w:lang w:val="en-US"/>
        </w:rPr>
        <w:t>must be stored in an approved flammable liquids cabinet.</w:t>
      </w:r>
    </w:p>
    <w:p w14:paraId="75DB399D" w14:textId="77777777" w:rsidR="000D0008" w:rsidRPr="00DD1B58" w:rsidRDefault="000D0008" w:rsidP="000D0008">
      <w:pPr>
        <w:pStyle w:val="Default"/>
        <w:rPr>
          <w:lang w:val="en-US"/>
        </w:rPr>
      </w:pPr>
    </w:p>
    <w:p w14:paraId="763E2CF3" w14:textId="1FBA099F" w:rsidR="000D0008" w:rsidRPr="00DD1B58" w:rsidRDefault="00BD3576" w:rsidP="000D0008">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w:t>
      </w:r>
      <w:r w:rsidR="000D0008" w:rsidRPr="00DD1B58">
        <w:rPr>
          <w:lang w:val="en-US"/>
        </w:rPr>
        <w:t xml:space="preserve">DSEAR </w:t>
      </w:r>
      <w:r w:rsidRPr="00DD1B58">
        <w:rPr>
          <w:lang w:val="en-US"/>
        </w:rPr>
        <w:t>z</w:t>
      </w:r>
      <w:r w:rsidR="000D0008" w:rsidRPr="00DD1B58">
        <w:rPr>
          <w:lang w:val="en-US"/>
        </w:rPr>
        <w:t xml:space="preserve">ones are reviewed annually as part of the fire risk assessment process. </w:t>
      </w:r>
      <w:r w:rsidRPr="00DD1B58">
        <w:rPr>
          <w:lang w:val="en-US"/>
        </w:rPr>
        <w:t xml:space="preserve">It also </w:t>
      </w:r>
      <w:r w:rsidR="006D798B" w:rsidRPr="00DD1B58">
        <w:rPr>
          <w:lang w:val="en-US"/>
        </w:rPr>
        <w:t>reports that</w:t>
      </w:r>
      <w:r w:rsidRPr="00DD1B58">
        <w:rPr>
          <w:lang w:val="en-US"/>
        </w:rPr>
        <w:t xml:space="preserve"> they </w:t>
      </w:r>
      <w:r w:rsidR="006D798B" w:rsidRPr="00DD1B58">
        <w:rPr>
          <w:lang w:val="en-US"/>
        </w:rPr>
        <w:t xml:space="preserve">are </w:t>
      </w:r>
      <w:r w:rsidR="000D0008" w:rsidRPr="00DD1B58">
        <w:rPr>
          <w:lang w:val="en-US"/>
        </w:rPr>
        <w:t>reviewed should there be a change in use of the facility and should there be any increase or decrease in the inventory.</w:t>
      </w:r>
      <w:r w:rsidR="0010232A" w:rsidRPr="00DD1B58">
        <w:rPr>
          <w:lang w:val="en-US"/>
        </w:rPr>
        <w:t xml:space="preserve"> </w:t>
      </w:r>
      <w:r w:rsidRPr="00DD1B58">
        <w:rPr>
          <w:lang w:val="en-US"/>
        </w:rPr>
        <w:t xml:space="preserve">Dounreay </w:t>
      </w:r>
      <w:r w:rsidR="006D798B" w:rsidRPr="00DD1B58">
        <w:rPr>
          <w:lang w:val="en-US"/>
        </w:rPr>
        <w:t>reports that</w:t>
      </w:r>
      <w:r w:rsidRPr="00DD1B58">
        <w:rPr>
          <w:lang w:val="en-US"/>
        </w:rPr>
        <w:t xml:space="preserve"> only a </w:t>
      </w:r>
      <w:r w:rsidR="000D0008" w:rsidRPr="00DD1B58">
        <w:rPr>
          <w:lang w:val="en-US"/>
        </w:rPr>
        <w:t>small number of hydrogen cylinders are held external to the PFR facility</w:t>
      </w:r>
      <w:r w:rsidR="007019CF" w:rsidRPr="00DD1B58">
        <w:rPr>
          <w:lang w:val="en-US"/>
        </w:rPr>
        <w:t>.</w:t>
      </w:r>
    </w:p>
    <w:p w14:paraId="4A4F5C4A" w14:textId="77777777" w:rsidR="000D0008" w:rsidRPr="00DD1B58" w:rsidRDefault="000D0008" w:rsidP="000D0008">
      <w:pPr>
        <w:pStyle w:val="Default"/>
        <w:rPr>
          <w:lang w:val="en-US"/>
        </w:rPr>
      </w:pPr>
    </w:p>
    <w:p w14:paraId="61946004" w14:textId="77777777" w:rsidR="004B2312" w:rsidRPr="00DD1B58" w:rsidRDefault="000D0008" w:rsidP="004B2312">
      <w:pPr>
        <w:pStyle w:val="Default"/>
        <w:rPr>
          <w:b/>
          <w:lang w:val="en-US"/>
        </w:rPr>
      </w:pPr>
      <w:r w:rsidRPr="00DD1B58">
        <w:rPr>
          <w:b/>
          <w:lang w:val="en-US"/>
        </w:rPr>
        <w:t xml:space="preserve">Alkali </w:t>
      </w:r>
      <w:r w:rsidR="002D7F1D" w:rsidRPr="00DD1B58">
        <w:rPr>
          <w:b/>
          <w:lang w:val="en-US"/>
        </w:rPr>
        <w:t>Metals</w:t>
      </w:r>
    </w:p>
    <w:p w14:paraId="14347131" w14:textId="77777777" w:rsidR="004B2312" w:rsidRPr="00DD1B58" w:rsidRDefault="004B2312" w:rsidP="004B2312">
      <w:pPr>
        <w:pStyle w:val="Default"/>
        <w:rPr>
          <w:lang w:val="en-US"/>
        </w:rPr>
      </w:pPr>
    </w:p>
    <w:p w14:paraId="3AE72251" w14:textId="5DC19ED2" w:rsidR="004B2312" w:rsidRPr="00DD1B58" w:rsidRDefault="00197A85" w:rsidP="004B2312">
      <w:pPr>
        <w:autoSpaceDE w:val="0"/>
        <w:autoSpaceDN w:val="0"/>
        <w:adjustRightInd w:val="0"/>
        <w:spacing w:after="140" w:line="240" w:lineRule="auto"/>
        <w:rPr>
          <w:color w:val="000000"/>
          <w:szCs w:val="24"/>
          <w:lang w:val="en-US" w:eastAsia="en-GB" w:bidi="ar-SA"/>
        </w:rPr>
      </w:pPr>
      <w:r w:rsidRPr="00DD1B58">
        <w:rPr>
          <w:color w:val="000000"/>
          <w:szCs w:val="24"/>
          <w:lang w:val="en-US" w:eastAsia="en-GB" w:bidi="ar-SA"/>
        </w:rPr>
        <w:t xml:space="preserve">Dounreay </w:t>
      </w:r>
      <w:r w:rsidR="006D798B" w:rsidRPr="00DD1B58">
        <w:rPr>
          <w:color w:val="000000"/>
          <w:szCs w:val="24"/>
          <w:lang w:val="en-US" w:eastAsia="en-GB" w:bidi="ar-SA"/>
        </w:rPr>
        <w:t>reports that</w:t>
      </w:r>
      <w:r w:rsidRPr="00DD1B58">
        <w:rPr>
          <w:color w:val="000000"/>
          <w:szCs w:val="24"/>
          <w:lang w:val="en-US" w:eastAsia="en-GB" w:bidi="ar-SA"/>
        </w:rPr>
        <w:t xml:space="preserve"> </w:t>
      </w:r>
      <w:r w:rsidR="004B2312" w:rsidRPr="00DD1B58">
        <w:rPr>
          <w:color w:val="000000"/>
          <w:szCs w:val="24"/>
          <w:lang w:val="en-US" w:eastAsia="en-GB" w:bidi="ar-SA"/>
        </w:rPr>
        <w:t xml:space="preserve">bulk sodium from the PFR Reactor Vessel (RV) has been destroyed. A heel pool remained and the majority of was recently removed from the RV and is currently stored within a dedicated Sodium Receipt Vessel awaiting treatment. </w:t>
      </w:r>
      <w:r w:rsidR="00B70681" w:rsidRPr="00DD1B58">
        <w:rPr>
          <w:color w:val="000000"/>
          <w:szCs w:val="24"/>
          <w:lang w:val="en-US" w:eastAsia="en-GB" w:bidi="ar-SA"/>
        </w:rPr>
        <w:t xml:space="preserve">Dounreay </w:t>
      </w:r>
      <w:r w:rsidR="007376D6" w:rsidRPr="00DD1B58">
        <w:rPr>
          <w:color w:val="000000"/>
          <w:szCs w:val="24"/>
          <w:lang w:val="en-US" w:eastAsia="en-GB" w:bidi="ar-SA"/>
        </w:rPr>
        <w:t>states that</w:t>
      </w:r>
      <w:r w:rsidR="00B70681" w:rsidRPr="00DD1B58">
        <w:rPr>
          <w:color w:val="000000"/>
          <w:szCs w:val="24"/>
          <w:lang w:val="en-US" w:eastAsia="en-GB" w:bidi="ar-SA"/>
        </w:rPr>
        <w:t xml:space="preserve"> o</w:t>
      </w:r>
      <w:r w:rsidR="004B2312" w:rsidRPr="00DD1B58">
        <w:rPr>
          <w:color w:val="000000"/>
          <w:szCs w:val="24"/>
          <w:lang w:val="en-US" w:eastAsia="en-GB" w:bidi="ar-SA"/>
        </w:rPr>
        <w:t>nly undrainable hold-ups, known as residues, remain within the RV</w:t>
      </w:r>
      <w:r w:rsidR="00B70681" w:rsidRPr="00DD1B58">
        <w:rPr>
          <w:color w:val="000000"/>
          <w:szCs w:val="24"/>
          <w:lang w:val="en-US" w:eastAsia="en-GB" w:bidi="ar-SA"/>
        </w:rPr>
        <w:t xml:space="preserve"> and that t</w:t>
      </w:r>
      <w:r w:rsidR="004B2312" w:rsidRPr="00DD1B58">
        <w:rPr>
          <w:color w:val="000000"/>
          <w:szCs w:val="24"/>
          <w:lang w:val="en-US" w:eastAsia="en-GB" w:bidi="ar-SA"/>
        </w:rPr>
        <w:t xml:space="preserve">hese </w:t>
      </w:r>
      <w:r w:rsidR="00B70681" w:rsidRPr="00DD1B58">
        <w:rPr>
          <w:color w:val="000000"/>
          <w:szCs w:val="24"/>
          <w:lang w:val="en-US" w:eastAsia="en-GB" w:bidi="ar-SA"/>
        </w:rPr>
        <w:t xml:space="preserve">would </w:t>
      </w:r>
      <w:r w:rsidR="004B2312" w:rsidRPr="00DD1B58">
        <w:rPr>
          <w:color w:val="000000"/>
          <w:szCs w:val="24"/>
          <w:lang w:val="en-US" w:eastAsia="en-GB" w:bidi="ar-SA"/>
        </w:rPr>
        <w:t xml:space="preserve">be treated in-situ as part of a future treatment project. </w:t>
      </w:r>
      <w:r w:rsidR="00FB52A7" w:rsidRPr="00DD1B58">
        <w:rPr>
          <w:color w:val="000000"/>
          <w:szCs w:val="24"/>
          <w:lang w:val="en-US" w:eastAsia="en-GB" w:bidi="ar-SA"/>
        </w:rPr>
        <w:t>Dounreay</w:t>
      </w:r>
      <w:r w:rsidR="00B70681" w:rsidRPr="00DD1B58">
        <w:rPr>
          <w:color w:val="000000"/>
          <w:szCs w:val="24"/>
          <w:lang w:val="en-US" w:eastAsia="en-GB" w:bidi="ar-SA"/>
        </w:rPr>
        <w:t xml:space="preserve"> considers that the </w:t>
      </w:r>
      <w:r w:rsidR="004B2312" w:rsidRPr="00DD1B58">
        <w:rPr>
          <w:color w:val="000000"/>
          <w:szCs w:val="24"/>
          <w:lang w:val="en-US" w:eastAsia="en-GB" w:bidi="ar-SA"/>
        </w:rPr>
        <w:t>removal of bulk sodium has substantially reduced the potential for widespread release of activity via a fire or explosion and treatment of the residual alkali metal residues will further reduce this risk.</w:t>
      </w:r>
    </w:p>
    <w:p w14:paraId="501C5C22" w14:textId="77777777" w:rsidR="004B2312" w:rsidRPr="00DD1B58" w:rsidRDefault="004B2312" w:rsidP="004B2312">
      <w:pPr>
        <w:autoSpaceDE w:val="0"/>
        <w:autoSpaceDN w:val="0"/>
        <w:adjustRightInd w:val="0"/>
        <w:spacing w:after="140" w:line="240" w:lineRule="auto"/>
        <w:rPr>
          <w:color w:val="000000"/>
          <w:szCs w:val="24"/>
          <w:lang w:val="en-US" w:eastAsia="en-GB" w:bidi="ar-SA"/>
        </w:rPr>
      </w:pPr>
      <w:r w:rsidRPr="00DD1B58">
        <w:rPr>
          <w:color w:val="000000"/>
          <w:szCs w:val="24"/>
          <w:lang w:val="en-US" w:eastAsia="en-GB" w:bidi="ar-SA"/>
        </w:rPr>
        <w:t>Additional bulk sodium and sodium or NaK contaminated components are stored at several locations within the PFR facility. The STF Tanks 1 and 2 still contain bulk tritiated sodium.</w:t>
      </w:r>
    </w:p>
    <w:p w14:paraId="6B0774F7" w14:textId="67F6BFB2" w:rsidR="004B2312" w:rsidRPr="00DD1B58" w:rsidRDefault="004B2312" w:rsidP="004B2312">
      <w:pPr>
        <w:autoSpaceDE w:val="0"/>
        <w:autoSpaceDN w:val="0"/>
        <w:adjustRightInd w:val="0"/>
        <w:spacing w:after="140" w:line="240" w:lineRule="auto"/>
        <w:rPr>
          <w:color w:val="000000"/>
          <w:szCs w:val="24"/>
          <w:lang w:val="en-US" w:eastAsia="en-GB" w:bidi="ar-SA"/>
        </w:rPr>
      </w:pPr>
      <w:r w:rsidRPr="00DD1B58">
        <w:rPr>
          <w:color w:val="000000"/>
          <w:szCs w:val="24"/>
          <w:lang w:val="en-US" w:eastAsia="en-GB" w:bidi="ar-SA"/>
        </w:rPr>
        <w:t xml:space="preserve">The Dump Tanks contain Tritiated eutectic NaK. </w:t>
      </w:r>
      <w:r w:rsidR="009151A9" w:rsidRPr="00DD1B58">
        <w:rPr>
          <w:color w:val="000000"/>
          <w:szCs w:val="24"/>
          <w:lang w:val="en-US" w:eastAsia="en-GB" w:bidi="ar-SA"/>
        </w:rPr>
        <w:t xml:space="preserve">Dounreay </w:t>
      </w:r>
      <w:r w:rsidR="006D798B" w:rsidRPr="00DD1B58">
        <w:rPr>
          <w:color w:val="000000"/>
          <w:szCs w:val="24"/>
          <w:lang w:val="en-US" w:eastAsia="en-GB" w:bidi="ar-SA"/>
        </w:rPr>
        <w:t>reports that</w:t>
      </w:r>
      <w:r w:rsidR="009151A9" w:rsidRPr="00DD1B58">
        <w:rPr>
          <w:color w:val="000000"/>
          <w:szCs w:val="24"/>
          <w:lang w:val="en-US" w:eastAsia="en-GB" w:bidi="ar-SA"/>
        </w:rPr>
        <w:t xml:space="preserve"> the </w:t>
      </w:r>
      <w:r w:rsidRPr="00DD1B58">
        <w:rPr>
          <w:color w:val="000000"/>
          <w:szCs w:val="24"/>
          <w:lang w:val="en-US" w:eastAsia="en-GB" w:bidi="ar-SA"/>
        </w:rPr>
        <w:t xml:space="preserve">material is held in a stable condition at ambient temperature under a nitrogen pad, </w:t>
      </w:r>
      <w:r w:rsidR="009151A9" w:rsidRPr="00DD1B58">
        <w:rPr>
          <w:color w:val="000000"/>
          <w:szCs w:val="24"/>
          <w:lang w:val="en-US" w:eastAsia="en-GB" w:bidi="ar-SA"/>
        </w:rPr>
        <w:t xml:space="preserve">and that it had assessed the </w:t>
      </w:r>
      <w:r w:rsidRPr="00DD1B58">
        <w:rPr>
          <w:color w:val="000000"/>
          <w:szCs w:val="24"/>
          <w:lang w:val="en-US" w:eastAsia="en-GB" w:bidi="ar-SA"/>
        </w:rPr>
        <w:t xml:space="preserve">reaction and ignition risks </w:t>
      </w:r>
      <w:r w:rsidR="009151A9" w:rsidRPr="00DD1B58">
        <w:rPr>
          <w:color w:val="000000"/>
          <w:szCs w:val="24"/>
          <w:lang w:val="en-US" w:eastAsia="en-GB" w:bidi="ar-SA"/>
        </w:rPr>
        <w:t>to be</w:t>
      </w:r>
      <w:r w:rsidRPr="00DD1B58">
        <w:rPr>
          <w:color w:val="000000"/>
          <w:szCs w:val="24"/>
          <w:lang w:val="en-US" w:eastAsia="en-GB" w:bidi="ar-SA"/>
        </w:rPr>
        <w:t xml:space="preserve"> low. </w:t>
      </w:r>
      <w:r w:rsidR="00B71FFA" w:rsidRPr="00DD1B58">
        <w:rPr>
          <w:color w:val="000000"/>
          <w:szCs w:val="24"/>
          <w:lang w:val="en-US" w:eastAsia="en-GB" w:bidi="ar-SA"/>
        </w:rPr>
        <w:t xml:space="preserve">Dounreay </w:t>
      </w:r>
      <w:r w:rsidR="009151A9" w:rsidRPr="00DD1B58">
        <w:rPr>
          <w:color w:val="000000"/>
          <w:szCs w:val="24"/>
          <w:lang w:val="en-US" w:eastAsia="en-GB" w:bidi="ar-SA"/>
        </w:rPr>
        <w:t xml:space="preserve">acknowledged </w:t>
      </w:r>
      <w:r w:rsidRPr="00DD1B58">
        <w:rPr>
          <w:color w:val="000000"/>
          <w:szCs w:val="24"/>
          <w:lang w:val="en-US" w:eastAsia="en-GB" w:bidi="ar-SA"/>
        </w:rPr>
        <w:t>that a vessel breach and leakage of NaK could lead to a fire</w:t>
      </w:r>
      <w:r w:rsidR="00B71FFA" w:rsidRPr="00DD1B58">
        <w:rPr>
          <w:color w:val="000000"/>
          <w:szCs w:val="24"/>
          <w:lang w:val="en-US" w:eastAsia="en-GB" w:bidi="ar-SA"/>
        </w:rPr>
        <w:t xml:space="preserve"> and </w:t>
      </w:r>
      <w:r w:rsidRPr="00DD1B58">
        <w:rPr>
          <w:color w:val="000000"/>
          <w:szCs w:val="24"/>
          <w:lang w:val="en-US" w:eastAsia="en-GB" w:bidi="ar-SA"/>
        </w:rPr>
        <w:t xml:space="preserve">that an in-leakage of air could </w:t>
      </w:r>
      <w:r w:rsidR="009151A9" w:rsidRPr="00DD1B58">
        <w:rPr>
          <w:color w:val="000000"/>
          <w:szCs w:val="24"/>
          <w:lang w:val="en-US" w:eastAsia="en-GB" w:bidi="ar-SA"/>
        </w:rPr>
        <w:t xml:space="preserve">also </w:t>
      </w:r>
      <w:r w:rsidRPr="00DD1B58">
        <w:rPr>
          <w:color w:val="000000"/>
          <w:szCs w:val="24"/>
          <w:lang w:val="en-US" w:eastAsia="en-GB" w:bidi="ar-SA"/>
        </w:rPr>
        <w:t>lead to fire within the vessel.</w:t>
      </w:r>
    </w:p>
    <w:p w14:paraId="181F2829" w14:textId="0024EE9A" w:rsidR="004B2312" w:rsidRPr="00DD1B58" w:rsidRDefault="004B2312" w:rsidP="004B2312">
      <w:pPr>
        <w:autoSpaceDE w:val="0"/>
        <w:autoSpaceDN w:val="0"/>
        <w:adjustRightInd w:val="0"/>
        <w:spacing w:after="140" w:line="240" w:lineRule="auto"/>
        <w:rPr>
          <w:color w:val="000000"/>
          <w:szCs w:val="24"/>
          <w:lang w:val="en-US" w:eastAsia="en-GB" w:bidi="ar-SA"/>
        </w:rPr>
      </w:pPr>
      <w:r w:rsidRPr="00DD1B58">
        <w:rPr>
          <w:color w:val="000000"/>
          <w:szCs w:val="24"/>
          <w:lang w:val="en-US" w:eastAsia="en-GB" w:bidi="ar-SA"/>
        </w:rPr>
        <w:t xml:space="preserve">The NaK Bowser is located on the 14ft floor level of the facility and contains eutectic NaK. </w:t>
      </w:r>
      <w:r w:rsidR="009151A9" w:rsidRPr="00DD1B58">
        <w:rPr>
          <w:color w:val="000000"/>
          <w:szCs w:val="24"/>
          <w:lang w:val="en-US" w:eastAsia="en-GB" w:bidi="ar-SA"/>
        </w:rPr>
        <w:t xml:space="preserve">Dounreay </w:t>
      </w:r>
      <w:r w:rsidR="006D798B" w:rsidRPr="00DD1B58">
        <w:rPr>
          <w:color w:val="000000"/>
          <w:szCs w:val="24"/>
          <w:lang w:val="en-US" w:eastAsia="en-GB" w:bidi="ar-SA"/>
        </w:rPr>
        <w:t>reports that</w:t>
      </w:r>
      <w:r w:rsidR="009151A9" w:rsidRPr="00DD1B58">
        <w:rPr>
          <w:color w:val="000000"/>
          <w:szCs w:val="24"/>
          <w:lang w:val="en-US" w:eastAsia="en-GB" w:bidi="ar-SA"/>
        </w:rPr>
        <w:t xml:space="preserve"> the </w:t>
      </w:r>
      <w:r w:rsidRPr="00DD1B58">
        <w:rPr>
          <w:color w:val="000000"/>
          <w:szCs w:val="24"/>
          <w:lang w:val="en-US" w:eastAsia="en-GB" w:bidi="ar-SA"/>
        </w:rPr>
        <w:t xml:space="preserve">material is held at ambient temperature under a nitrogen </w:t>
      </w:r>
      <w:r w:rsidR="001847AD" w:rsidRPr="00DD1B58">
        <w:rPr>
          <w:color w:val="000000"/>
          <w:szCs w:val="24"/>
          <w:lang w:val="en-US" w:eastAsia="en-GB" w:bidi="ar-SA"/>
        </w:rPr>
        <w:t>pad and</w:t>
      </w:r>
      <w:r w:rsidR="004B5AF4" w:rsidRPr="00DD1B58">
        <w:rPr>
          <w:color w:val="000000"/>
          <w:szCs w:val="24"/>
          <w:lang w:val="en-US" w:eastAsia="en-GB" w:bidi="ar-SA"/>
        </w:rPr>
        <w:t xml:space="preserve"> acknowledged that v</w:t>
      </w:r>
      <w:r w:rsidRPr="00DD1B58">
        <w:rPr>
          <w:color w:val="000000"/>
          <w:szCs w:val="24"/>
          <w:lang w:val="en-US" w:eastAsia="en-GB" w:bidi="ar-SA"/>
        </w:rPr>
        <w:t xml:space="preserve">essel breach and leakage of NaK could lead to fire. </w:t>
      </w:r>
      <w:r w:rsidR="004B5AF4" w:rsidRPr="00DD1B58">
        <w:rPr>
          <w:color w:val="000000"/>
          <w:szCs w:val="24"/>
          <w:lang w:val="en-US" w:eastAsia="en-GB" w:bidi="ar-SA"/>
        </w:rPr>
        <w:t>Similarly air i</w:t>
      </w:r>
      <w:r w:rsidRPr="00DD1B58">
        <w:rPr>
          <w:color w:val="000000"/>
          <w:szCs w:val="24"/>
          <w:lang w:val="en-US" w:eastAsia="en-GB" w:bidi="ar-SA"/>
        </w:rPr>
        <w:t>n-leakage of could lead to fire within the vessel.</w:t>
      </w:r>
    </w:p>
    <w:p w14:paraId="7E546D41" w14:textId="3A2740BA" w:rsidR="008A41D3" w:rsidRPr="00DD1B58" w:rsidRDefault="004B5AF4" w:rsidP="008A41D3">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the </w:t>
      </w:r>
      <w:r w:rsidR="00A47D8B" w:rsidRPr="00DD1B58">
        <w:rPr>
          <w:lang w:val="en-US"/>
        </w:rPr>
        <w:t xml:space="preserve">PFR Turbine Hall stores a large amount of Alkali Metal (either in drums, small vessels or pipework sections) </w:t>
      </w:r>
      <w:r w:rsidR="004A1002" w:rsidRPr="00DD1B58">
        <w:rPr>
          <w:lang w:val="en-US"/>
        </w:rPr>
        <w:t xml:space="preserve">which have </w:t>
      </w:r>
      <w:r w:rsidR="00A47D8B" w:rsidRPr="00DD1B58">
        <w:rPr>
          <w:lang w:val="en-US"/>
        </w:rPr>
        <w:t>been placed within ISO containers at ambient temperature.</w:t>
      </w:r>
      <w:r w:rsidR="004A1002" w:rsidRPr="00DD1B58">
        <w:rPr>
          <w:lang w:val="en-US"/>
        </w:rPr>
        <w:t xml:space="preserve"> Dounreay </w:t>
      </w:r>
      <w:r w:rsidR="007376D6" w:rsidRPr="00DD1B58">
        <w:rPr>
          <w:lang w:val="en-US"/>
        </w:rPr>
        <w:t>states that</w:t>
      </w:r>
      <w:r w:rsidR="004A1002" w:rsidRPr="00DD1B58">
        <w:rPr>
          <w:lang w:val="en-US"/>
        </w:rPr>
        <w:t xml:space="preserve"> </w:t>
      </w:r>
      <w:r w:rsidR="00A47D8B" w:rsidRPr="00DD1B58">
        <w:rPr>
          <w:lang w:val="en-US"/>
        </w:rPr>
        <w:t xml:space="preserve">gross damage to drums </w:t>
      </w:r>
      <w:r w:rsidR="004A1002" w:rsidRPr="00DD1B58">
        <w:rPr>
          <w:lang w:val="en-US"/>
        </w:rPr>
        <w:t xml:space="preserve">would be required </w:t>
      </w:r>
      <w:r w:rsidR="00A47D8B" w:rsidRPr="00DD1B58">
        <w:rPr>
          <w:lang w:val="en-US"/>
        </w:rPr>
        <w:t xml:space="preserve">to expose the </w:t>
      </w:r>
      <w:r w:rsidR="008A41D3" w:rsidRPr="00DD1B58">
        <w:rPr>
          <w:lang w:val="en-US"/>
        </w:rPr>
        <w:t xml:space="preserve">sodium or NaK </w:t>
      </w:r>
      <w:r w:rsidR="004A1002" w:rsidRPr="00DD1B58">
        <w:rPr>
          <w:lang w:val="en-US"/>
        </w:rPr>
        <w:t>to air</w:t>
      </w:r>
      <w:r w:rsidR="00FC4209" w:rsidRPr="00DD1B58">
        <w:rPr>
          <w:lang w:val="en-US"/>
        </w:rPr>
        <w:t xml:space="preserve"> as they </w:t>
      </w:r>
      <w:r w:rsidR="00362ED7" w:rsidRPr="00DD1B58">
        <w:rPr>
          <w:lang w:val="en-US"/>
        </w:rPr>
        <w:t>primarily contain only residues or thin films of sodium</w:t>
      </w:r>
      <w:r w:rsidR="008A41D3" w:rsidRPr="00DD1B58">
        <w:rPr>
          <w:lang w:val="en-US"/>
        </w:rPr>
        <w:t>. Damage to the packaging around pipework sections or small vessels that contain alkali metal residues may lead to exposure and/or spillage of very small amounts of sodium or NaK which may ignite, but combustion would be limited by low quantities.</w:t>
      </w:r>
    </w:p>
    <w:p w14:paraId="07F057F1" w14:textId="77777777" w:rsidR="00E96377" w:rsidRPr="00DD1B58" w:rsidRDefault="00E96377" w:rsidP="008A41D3">
      <w:pPr>
        <w:pStyle w:val="Default"/>
        <w:rPr>
          <w:lang w:val="en-US"/>
        </w:rPr>
      </w:pPr>
    </w:p>
    <w:p w14:paraId="29FABC82" w14:textId="73EAD746" w:rsidR="00C43347" w:rsidRPr="00DD1B58" w:rsidRDefault="00F31BD2" w:rsidP="00C43347">
      <w:pPr>
        <w:pStyle w:val="Default"/>
        <w:rPr>
          <w:lang w:val="en-US"/>
        </w:rPr>
      </w:pPr>
      <w:r w:rsidRPr="00DD1B58">
        <w:rPr>
          <w:lang w:val="en-US"/>
        </w:rPr>
        <w:t xml:space="preserve">Dounreay also </w:t>
      </w:r>
      <w:r w:rsidR="006D798B" w:rsidRPr="00DD1B58">
        <w:rPr>
          <w:lang w:val="en-US"/>
        </w:rPr>
        <w:t>reports that</w:t>
      </w:r>
      <w:r w:rsidRPr="00DD1B58">
        <w:rPr>
          <w:lang w:val="en-US"/>
        </w:rPr>
        <w:t>, i</w:t>
      </w:r>
      <w:r w:rsidR="00C43347" w:rsidRPr="00DD1B58">
        <w:rPr>
          <w:lang w:val="en-US"/>
        </w:rPr>
        <w:t>n general</w:t>
      </w:r>
      <w:r w:rsidRPr="00DD1B58">
        <w:rPr>
          <w:lang w:val="en-US"/>
        </w:rPr>
        <w:t>, it manages</w:t>
      </w:r>
      <w:r w:rsidR="00C43347" w:rsidRPr="00DD1B58">
        <w:rPr>
          <w:lang w:val="en-US"/>
        </w:rPr>
        <w:t xml:space="preserve"> </w:t>
      </w:r>
      <w:r w:rsidRPr="00DD1B58">
        <w:rPr>
          <w:lang w:val="en-US"/>
        </w:rPr>
        <w:t>the risk of</w:t>
      </w:r>
      <w:r w:rsidR="00C43347" w:rsidRPr="00DD1B58">
        <w:rPr>
          <w:lang w:val="en-US"/>
        </w:rPr>
        <w:t xml:space="preserve"> ignition</w:t>
      </w:r>
      <w:r w:rsidRPr="00DD1B58">
        <w:rPr>
          <w:lang w:val="en-US"/>
        </w:rPr>
        <w:t xml:space="preserve"> </w:t>
      </w:r>
      <w:r w:rsidR="00C43347" w:rsidRPr="00DD1B58">
        <w:rPr>
          <w:lang w:val="en-US"/>
        </w:rPr>
        <w:t>by ensuring that all alkali metal materials are held at ambient temperatures</w:t>
      </w:r>
      <w:r w:rsidR="00DC467A" w:rsidRPr="00DD1B58">
        <w:rPr>
          <w:lang w:val="en-US"/>
        </w:rPr>
        <w:t xml:space="preserve">. It </w:t>
      </w:r>
      <w:r w:rsidR="007376D6" w:rsidRPr="00DD1B58">
        <w:rPr>
          <w:lang w:val="en-US"/>
        </w:rPr>
        <w:t>states that</w:t>
      </w:r>
      <w:r w:rsidR="00DC467A" w:rsidRPr="00DD1B58">
        <w:rPr>
          <w:lang w:val="en-US"/>
        </w:rPr>
        <w:t xml:space="preserve"> so</w:t>
      </w:r>
      <w:r w:rsidR="00C43347" w:rsidRPr="00DD1B58">
        <w:rPr>
          <w:lang w:val="en-US"/>
        </w:rPr>
        <w:t>dium metal is a solid at all normal ambient temperatures (below 98°C)</w:t>
      </w:r>
      <w:r w:rsidR="00DC467A" w:rsidRPr="00DD1B58">
        <w:rPr>
          <w:lang w:val="en-US"/>
        </w:rPr>
        <w:t xml:space="preserve"> and that sodium would</w:t>
      </w:r>
      <w:r w:rsidR="00C43347" w:rsidRPr="00DD1B58">
        <w:rPr>
          <w:lang w:val="en-US"/>
        </w:rPr>
        <w:t xml:space="preserve"> generally only catch fire if heated to above 150°C.</w:t>
      </w:r>
      <w:r w:rsidR="00DC467A" w:rsidRPr="00DD1B58">
        <w:rPr>
          <w:lang w:val="en-US"/>
        </w:rPr>
        <w:t xml:space="preserve"> It considers that r</w:t>
      </w:r>
      <w:r w:rsidR="00C43347" w:rsidRPr="00DD1B58">
        <w:rPr>
          <w:lang w:val="en-US"/>
        </w:rPr>
        <w:t>eactions at room temperature are generally slow and predictable.</w:t>
      </w:r>
      <w:r w:rsidR="00F621A5" w:rsidRPr="00DD1B58">
        <w:rPr>
          <w:lang w:val="en-US"/>
        </w:rPr>
        <w:t xml:space="preserve"> Dounreay </w:t>
      </w:r>
      <w:r w:rsidR="007376D6" w:rsidRPr="00DD1B58">
        <w:rPr>
          <w:lang w:val="en-US"/>
        </w:rPr>
        <w:t>states that</w:t>
      </w:r>
      <w:r w:rsidR="00F621A5" w:rsidRPr="00DD1B58">
        <w:rPr>
          <w:lang w:val="en-US"/>
        </w:rPr>
        <w:t xml:space="preserve"> the </w:t>
      </w:r>
      <w:r w:rsidR="00C43347" w:rsidRPr="00DD1B58">
        <w:rPr>
          <w:lang w:val="en-US"/>
        </w:rPr>
        <w:t>associated SSSCs are subject to a maintenance regime and periodic inspections</w:t>
      </w:r>
      <w:r w:rsidR="00F621A5" w:rsidRPr="00DD1B58">
        <w:rPr>
          <w:lang w:val="en-US"/>
        </w:rPr>
        <w:t xml:space="preserve">, as expected from </w:t>
      </w:r>
      <w:r w:rsidR="00C43347" w:rsidRPr="00DD1B58">
        <w:rPr>
          <w:lang w:val="en-US"/>
        </w:rPr>
        <w:t xml:space="preserve">substantiation </w:t>
      </w:r>
      <w:r w:rsidR="00F621A5" w:rsidRPr="00DD1B58">
        <w:rPr>
          <w:lang w:val="en-US"/>
        </w:rPr>
        <w:t xml:space="preserve">and </w:t>
      </w:r>
      <w:r w:rsidR="00C43347" w:rsidRPr="00DD1B58">
        <w:rPr>
          <w:lang w:val="en-US"/>
        </w:rPr>
        <w:t>in support of the periodic review.</w:t>
      </w:r>
    </w:p>
    <w:p w14:paraId="131E8545" w14:textId="77777777" w:rsidR="00C43347" w:rsidRPr="00DD1B58" w:rsidRDefault="00C43347" w:rsidP="00C43347">
      <w:pPr>
        <w:pStyle w:val="Default"/>
        <w:rPr>
          <w:lang w:val="en-US"/>
        </w:rPr>
      </w:pPr>
    </w:p>
    <w:p w14:paraId="69066DB4" w14:textId="1351999C" w:rsidR="00C43347" w:rsidRPr="00DD1B58" w:rsidRDefault="00E5487C" w:rsidP="00C43347">
      <w:pPr>
        <w:pStyle w:val="Default"/>
        <w:rPr>
          <w:lang w:val="en-US"/>
        </w:rPr>
      </w:pPr>
      <w:r w:rsidRPr="00DD1B58">
        <w:rPr>
          <w:lang w:val="en-US"/>
        </w:rPr>
        <w:t>Dounreay referred to the u</w:t>
      </w:r>
      <w:r w:rsidR="00C43347" w:rsidRPr="00DD1B58">
        <w:rPr>
          <w:lang w:val="en-US"/>
        </w:rPr>
        <w:t>nit instructions in place for the management of alkali metals</w:t>
      </w:r>
      <w:r w:rsidR="00B55723" w:rsidRPr="00DD1B58">
        <w:rPr>
          <w:lang w:val="en-US"/>
        </w:rPr>
        <w:t xml:space="preserve">, and these </w:t>
      </w:r>
      <w:r w:rsidR="00FB52A7" w:rsidRPr="00DD1B58">
        <w:rPr>
          <w:lang w:val="en-US"/>
        </w:rPr>
        <w:t>outline</w:t>
      </w:r>
      <w:r w:rsidR="00B55723" w:rsidRPr="00DD1B58">
        <w:rPr>
          <w:lang w:val="en-US"/>
        </w:rPr>
        <w:t xml:space="preserve"> the relevant controls</w:t>
      </w:r>
      <w:r w:rsidR="00C43347" w:rsidRPr="00DD1B58">
        <w:rPr>
          <w:lang w:val="en-US"/>
        </w:rPr>
        <w:t xml:space="preserve">. An Alkali Metal Specialist provides expertise regarding their control and storage. The safety case considers the associated faults and identifies the relevant controls in place. </w:t>
      </w:r>
      <w:r w:rsidRPr="00DD1B58">
        <w:rPr>
          <w:lang w:val="en-US"/>
        </w:rPr>
        <w:t xml:space="preserve">Dounreay </w:t>
      </w:r>
      <w:r w:rsidR="007376D6" w:rsidRPr="00DD1B58">
        <w:rPr>
          <w:lang w:val="en-US"/>
        </w:rPr>
        <w:t>states that</w:t>
      </w:r>
      <w:r w:rsidR="00B55723" w:rsidRPr="00DD1B58">
        <w:rPr>
          <w:lang w:val="en-US"/>
        </w:rPr>
        <w:t xml:space="preserve"> i</w:t>
      </w:r>
      <w:r w:rsidR="00C43347" w:rsidRPr="00DD1B58">
        <w:rPr>
          <w:lang w:val="en-US"/>
        </w:rPr>
        <w:t xml:space="preserve">n all cases of work involving exposure </w:t>
      </w:r>
      <w:r w:rsidR="00B55723" w:rsidRPr="00DD1B58">
        <w:rPr>
          <w:lang w:val="en-US"/>
        </w:rPr>
        <w:t>(</w:t>
      </w:r>
      <w:r w:rsidR="00C43347" w:rsidRPr="00DD1B58">
        <w:rPr>
          <w:lang w:val="en-US"/>
        </w:rPr>
        <w:t>or potential exposure</w:t>
      </w:r>
      <w:r w:rsidR="00B55723" w:rsidRPr="00DD1B58">
        <w:rPr>
          <w:lang w:val="en-US"/>
        </w:rPr>
        <w:t>)</w:t>
      </w:r>
      <w:r w:rsidR="00C43347" w:rsidRPr="00DD1B58">
        <w:rPr>
          <w:lang w:val="en-US"/>
        </w:rPr>
        <w:t xml:space="preserve"> of liquid alkali metal to air, the project team must provide details of the work to the Fire Service in advance. The Fire Officer decides whether their attendance for any or all of the work is necessary</w:t>
      </w:r>
      <w:r w:rsidR="00472A71" w:rsidRPr="00DD1B58">
        <w:rPr>
          <w:lang w:val="en-US"/>
        </w:rPr>
        <w:t xml:space="preserve"> and w</w:t>
      </w:r>
      <w:r w:rsidR="00C43347" w:rsidRPr="00DD1B58">
        <w:rPr>
          <w:lang w:val="en-US"/>
        </w:rPr>
        <w:t>ork must not proceed until Fire Service permission is granted.</w:t>
      </w:r>
    </w:p>
    <w:p w14:paraId="36AB86AE" w14:textId="77777777" w:rsidR="00C43347" w:rsidRPr="00DD1B58" w:rsidRDefault="00C43347" w:rsidP="00C43347">
      <w:pPr>
        <w:pStyle w:val="Default"/>
        <w:rPr>
          <w:lang w:val="en-US"/>
        </w:rPr>
      </w:pPr>
    </w:p>
    <w:p w14:paraId="6D5A9773" w14:textId="3C7EBA62" w:rsidR="00C43347" w:rsidRPr="00DD1B58" w:rsidRDefault="00472A71" w:rsidP="00C43347">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all </w:t>
      </w:r>
      <w:r w:rsidR="00C43347" w:rsidRPr="00DD1B58">
        <w:rPr>
          <w:lang w:val="en-US"/>
        </w:rPr>
        <w:t>work that has the potential for an ignition source requires a hot work permit. The permit requires an inspection of the work area and the equipment to be used. This permit sets out conditions to be used. All electrical equipment used on site must be subject to Portable Appliance Testing (PAT). There is also an onus on the individual using the equipment to carry out a visual check prior to use. For areas that will use equipment that is used daily this is covered in a permanent fire permit. These areas are reviewed annually and also when the FRA is carried out.</w:t>
      </w:r>
    </w:p>
    <w:p w14:paraId="4771199A" w14:textId="77777777" w:rsidR="00C43347" w:rsidRPr="00DD1B58" w:rsidRDefault="00C43347" w:rsidP="00C43347">
      <w:pPr>
        <w:pStyle w:val="Default"/>
        <w:rPr>
          <w:lang w:val="en-US"/>
        </w:rPr>
      </w:pPr>
    </w:p>
    <w:p w14:paraId="58F0087A" w14:textId="21AE47FB" w:rsidR="00127B62" w:rsidRPr="00DD1B58" w:rsidRDefault="008545D1" w:rsidP="00ED429F">
      <w:pPr>
        <w:pStyle w:val="Default"/>
        <w:rPr>
          <w:lang w:val="en-US"/>
        </w:rPr>
      </w:pPr>
      <w:r w:rsidRPr="00DD1B58">
        <w:rPr>
          <w:lang w:val="en-US"/>
        </w:rPr>
        <w:t>Dounreay surveys t</w:t>
      </w:r>
      <w:r w:rsidR="00C43347" w:rsidRPr="00DD1B58">
        <w:rPr>
          <w:lang w:val="en-US"/>
        </w:rPr>
        <w:t>ransient combustible</w:t>
      </w:r>
      <w:r w:rsidRPr="00DD1B58">
        <w:rPr>
          <w:lang w:val="en-US"/>
        </w:rPr>
        <w:t xml:space="preserve"> inventories </w:t>
      </w:r>
      <w:r w:rsidR="00CA007E" w:rsidRPr="00DD1B58">
        <w:rPr>
          <w:lang w:val="en-US"/>
        </w:rPr>
        <w:t xml:space="preserve">on </w:t>
      </w:r>
      <w:r w:rsidR="00C43347" w:rsidRPr="00DD1B58">
        <w:rPr>
          <w:lang w:val="en-US"/>
        </w:rPr>
        <w:t>plant and</w:t>
      </w:r>
      <w:r w:rsidR="003644F3" w:rsidRPr="00DD1B58">
        <w:rPr>
          <w:lang w:val="en-US"/>
        </w:rPr>
        <w:t xml:space="preserve"> </w:t>
      </w:r>
      <w:r w:rsidR="006D798B" w:rsidRPr="00DD1B58">
        <w:rPr>
          <w:lang w:val="en-US"/>
        </w:rPr>
        <w:t>reports that</w:t>
      </w:r>
      <w:r w:rsidR="003644F3" w:rsidRPr="00DD1B58">
        <w:rPr>
          <w:lang w:val="en-US"/>
        </w:rPr>
        <w:t xml:space="preserve"> it keeps them</w:t>
      </w:r>
      <w:r w:rsidR="00C43347" w:rsidRPr="00DD1B58">
        <w:rPr>
          <w:lang w:val="en-US"/>
        </w:rPr>
        <w:t xml:space="preserve"> segregated from other waste. </w:t>
      </w:r>
      <w:r w:rsidRPr="00DD1B58">
        <w:rPr>
          <w:lang w:val="en-US"/>
        </w:rPr>
        <w:t>It</w:t>
      </w:r>
      <w:r w:rsidR="003644F3" w:rsidRPr="00DD1B58">
        <w:rPr>
          <w:lang w:val="en-US"/>
        </w:rPr>
        <w:t xml:space="preserve"> also</w:t>
      </w:r>
      <w:r w:rsidRPr="00DD1B58">
        <w:rPr>
          <w:lang w:val="en-US"/>
        </w:rPr>
        <w:t xml:space="preserve"> </w:t>
      </w:r>
      <w:r w:rsidR="006D798B" w:rsidRPr="00DD1B58">
        <w:rPr>
          <w:lang w:val="en-US"/>
        </w:rPr>
        <w:t>reports that</w:t>
      </w:r>
      <w:r w:rsidRPr="00DD1B58">
        <w:rPr>
          <w:lang w:val="en-US"/>
        </w:rPr>
        <w:t xml:space="preserve"> </w:t>
      </w:r>
      <w:r w:rsidR="00C43347" w:rsidRPr="00DD1B58">
        <w:rPr>
          <w:lang w:val="en-US"/>
        </w:rPr>
        <w:t>waste is held in allocated temporary laydown areas</w:t>
      </w:r>
      <w:r w:rsidR="007F088E" w:rsidRPr="00DD1B58">
        <w:rPr>
          <w:lang w:val="en-US"/>
        </w:rPr>
        <w:t xml:space="preserve"> from where it is</w:t>
      </w:r>
      <w:r w:rsidR="00C43347" w:rsidRPr="00DD1B58">
        <w:rPr>
          <w:lang w:val="en-US"/>
        </w:rPr>
        <w:t xml:space="preserve"> collected regularly, generally weekly</w:t>
      </w:r>
      <w:r w:rsidR="007F088E" w:rsidRPr="00DD1B58">
        <w:rPr>
          <w:lang w:val="en-US"/>
        </w:rPr>
        <w:t>,</w:t>
      </w:r>
      <w:r w:rsidR="00C43347" w:rsidRPr="00DD1B58">
        <w:rPr>
          <w:lang w:val="en-US"/>
        </w:rPr>
        <w:t xml:space="preserve"> and removed from the building to be processed. </w:t>
      </w:r>
      <w:r w:rsidR="007F088E" w:rsidRPr="00DD1B58">
        <w:rPr>
          <w:lang w:val="en-US"/>
        </w:rPr>
        <w:t xml:space="preserve">Dounreay referred to </w:t>
      </w:r>
      <w:r w:rsidR="00C43347" w:rsidRPr="00DD1B58">
        <w:rPr>
          <w:lang w:val="en-US"/>
        </w:rPr>
        <w:t xml:space="preserve">Project Specific Waste Plans (PSWPs) </w:t>
      </w:r>
      <w:r w:rsidR="007F088E" w:rsidRPr="00DD1B58">
        <w:rPr>
          <w:lang w:val="en-US"/>
        </w:rPr>
        <w:t xml:space="preserve">as </w:t>
      </w:r>
      <w:r w:rsidR="00C43347" w:rsidRPr="00DD1B58">
        <w:rPr>
          <w:lang w:val="en-US"/>
        </w:rPr>
        <w:t xml:space="preserve">the arrangement </w:t>
      </w:r>
      <w:r w:rsidR="00024AC6" w:rsidRPr="00DD1B58">
        <w:rPr>
          <w:lang w:val="en-US"/>
        </w:rPr>
        <w:t>to</w:t>
      </w:r>
      <w:r w:rsidR="00C43347" w:rsidRPr="00DD1B58">
        <w:rPr>
          <w:lang w:val="en-US"/>
        </w:rPr>
        <w:t xml:space="preserve"> allow</w:t>
      </w:r>
      <w:r w:rsidR="00024AC6" w:rsidRPr="00DD1B58">
        <w:rPr>
          <w:lang w:val="en-US"/>
        </w:rPr>
        <w:t xml:space="preserve">ing </w:t>
      </w:r>
      <w:r w:rsidR="00C43347" w:rsidRPr="00DD1B58">
        <w:rPr>
          <w:lang w:val="en-US"/>
        </w:rPr>
        <w:t>site to authorise projects or facilities to generate and consign waste in accordance with regulatory requirements and the Conditions for Acceptance of the receiving facilities.</w:t>
      </w:r>
      <w:r w:rsidR="00054083" w:rsidRPr="00DD1B58">
        <w:rPr>
          <w:lang w:val="en-US"/>
        </w:rPr>
        <w:t xml:space="preserve"> Dounreay </w:t>
      </w:r>
      <w:r w:rsidR="007376D6" w:rsidRPr="00DD1B58">
        <w:rPr>
          <w:lang w:val="en-US"/>
        </w:rPr>
        <w:t>states that</w:t>
      </w:r>
      <w:r w:rsidR="00054083" w:rsidRPr="00DD1B58">
        <w:rPr>
          <w:lang w:val="en-US"/>
        </w:rPr>
        <w:t xml:space="preserve"> t</w:t>
      </w:r>
      <w:r w:rsidR="00C43347" w:rsidRPr="00DD1B58">
        <w:rPr>
          <w:lang w:val="en-US"/>
        </w:rPr>
        <w:t>he PSWPs must be produced and approved before waste is generated.</w:t>
      </w:r>
    </w:p>
    <w:p w14:paraId="0B8220DE" w14:textId="77777777" w:rsidR="00054083" w:rsidRPr="00DD1B58" w:rsidRDefault="00054083" w:rsidP="00ED429F">
      <w:pPr>
        <w:pStyle w:val="Default"/>
        <w:rPr>
          <w:lang w:val="en-US"/>
        </w:rPr>
      </w:pPr>
    </w:p>
    <w:p w14:paraId="475D20F0" w14:textId="77777777" w:rsidR="007C54D5" w:rsidRPr="00DD1B58" w:rsidRDefault="00DE5A9E" w:rsidP="00177432">
      <w:pPr>
        <w:pStyle w:val="Heading5A"/>
        <w:rPr>
          <w:lang w:val="en-US"/>
        </w:rPr>
      </w:pPr>
      <w:bookmarkStart w:id="98" w:name="_Ref140147991"/>
      <w:r w:rsidRPr="00DD1B58">
        <w:rPr>
          <w:lang w:val="en-US"/>
        </w:rPr>
        <w:t>Licensee’s experience of the implementation of the fire prevention</w:t>
      </w:r>
      <w:bookmarkEnd w:id="98"/>
    </w:p>
    <w:p w14:paraId="5AC563D6" w14:textId="77777777" w:rsidR="00DE5A9E" w:rsidRPr="00DD1B58" w:rsidRDefault="00DE5A9E" w:rsidP="00177432">
      <w:pPr>
        <w:pStyle w:val="Heading5A"/>
        <w:numPr>
          <w:ilvl w:val="5"/>
          <w:numId w:val="7"/>
        </w:numPr>
        <w:rPr>
          <w:lang w:val="en-US"/>
        </w:rPr>
      </w:pPr>
      <w:r w:rsidRPr="00DD1B58">
        <w:rPr>
          <w:lang w:val="en-US"/>
        </w:rPr>
        <w:t>Overview of strengths and weaknesses</w:t>
      </w:r>
    </w:p>
    <w:p w14:paraId="14A3C50E" w14:textId="3B0131A7" w:rsidR="003E04E4" w:rsidRPr="00DD1B58" w:rsidRDefault="007D4600" w:rsidP="00973FF4">
      <w:pPr>
        <w:rPr>
          <w:color w:val="000000"/>
          <w:szCs w:val="24"/>
          <w:lang w:val="en-US" w:eastAsia="en-GB" w:bidi="ar-SA"/>
        </w:rPr>
      </w:pPr>
      <w:r w:rsidRPr="00DD1B58">
        <w:rPr>
          <w:szCs w:val="24"/>
          <w:lang w:val="en-US"/>
        </w:rPr>
        <w:t>Given its remote locatio</w:t>
      </w:r>
      <w:r w:rsidR="00D44F1D" w:rsidRPr="00DD1B58">
        <w:rPr>
          <w:szCs w:val="24"/>
          <w:lang w:val="en-US"/>
        </w:rPr>
        <w:t xml:space="preserve">n, Dounreay </w:t>
      </w:r>
      <w:r w:rsidR="003E04E4" w:rsidRPr="00DD1B58">
        <w:rPr>
          <w:szCs w:val="24"/>
          <w:lang w:val="en-US"/>
        </w:rPr>
        <w:t>has a retained on-site fire service.</w:t>
      </w:r>
      <w:r w:rsidR="00EC385B" w:rsidRPr="00DD1B58">
        <w:rPr>
          <w:szCs w:val="24"/>
          <w:lang w:val="en-US"/>
        </w:rPr>
        <w:t xml:space="preserve"> </w:t>
      </w:r>
      <w:r w:rsidR="00A1462E" w:rsidRPr="00DD1B58">
        <w:rPr>
          <w:color w:val="000000"/>
          <w:szCs w:val="24"/>
          <w:lang w:val="en-US" w:eastAsia="en-GB" w:bidi="ar-SA"/>
        </w:rPr>
        <w:t>DFR</w:t>
      </w:r>
      <w:r w:rsidR="007F3F6B" w:rsidRPr="00DD1B58">
        <w:rPr>
          <w:color w:val="000000"/>
          <w:szCs w:val="24"/>
          <w:lang w:val="en-US" w:eastAsia="en-GB" w:bidi="ar-SA"/>
        </w:rPr>
        <w:t>A</w:t>
      </w:r>
      <w:r w:rsidR="00FA5F53" w:rsidRPr="00DD1B58">
        <w:rPr>
          <w:color w:val="000000"/>
          <w:szCs w:val="24"/>
          <w:lang w:val="en-US" w:eastAsia="en-GB" w:bidi="ar-SA"/>
        </w:rPr>
        <w:t>s</w:t>
      </w:r>
      <w:r w:rsidR="00A1462E" w:rsidRPr="00DD1B58">
        <w:rPr>
          <w:color w:val="000000"/>
          <w:szCs w:val="24"/>
          <w:lang w:val="en-US" w:eastAsia="en-GB" w:bidi="ar-SA"/>
        </w:rPr>
        <w:t xml:space="preserve"> are subject to periodic review as part of the safety case. Dounreay</w:t>
      </w:r>
      <w:r w:rsidR="00054083" w:rsidRPr="00DD1B58">
        <w:rPr>
          <w:color w:val="000000"/>
          <w:szCs w:val="24"/>
          <w:lang w:val="en-US" w:eastAsia="en-GB" w:bidi="ar-SA"/>
        </w:rPr>
        <w:t xml:space="preserve"> </w:t>
      </w:r>
      <w:r w:rsidR="007376D6" w:rsidRPr="00DD1B58">
        <w:rPr>
          <w:color w:val="000000"/>
          <w:szCs w:val="24"/>
          <w:lang w:val="en-US" w:eastAsia="en-GB" w:bidi="ar-SA"/>
        </w:rPr>
        <w:t>states that</w:t>
      </w:r>
      <w:r w:rsidR="00054083" w:rsidRPr="00DD1B58">
        <w:rPr>
          <w:color w:val="000000"/>
          <w:szCs w:val="24"/>
          <w:lang w:val="en-US" w:eastAsia="en-GB" w:bidi="ar-SA"/>
        </w:rPr>
        <w:t xml:space="preserve"> it</w:t>
      </w:r>
      <w:r w:rsidR="00A1462E" w:rsidRPr="00DD1B58">
        <w:rPr>
          <w:color w:val="000000"/>
          <w:szCs w:val="24"/>
          <w:lang w:val="en-US" w:eastAsia="en-GB" w:bidi="ar-SA"/>
        </w:rPr>
        <w:t xml:space="preserve"> seeks to gain and share experience of implementation of fire prevention methods by not only reviewing the outcome of site UNORs, incidents and DFRAs but also by exchanging information with other licensees and subject matter experts.</w:t>
      </w:r>
      <w:r w:rsidR="00B42535" w:rsidRPr="00DD1B58">
        <w:rPr>
          <w:color w:val="000000"/>
          <w:szCs w:val="24"/>
          <w:lang w:val="en-US" w:eastAsia="en-GB" w:bidi="ar-SA"/>
        </w:rPr>
        <w:t xml:space="preserve"> It </w:t>
      </w:r>
      <w:r w:rsidR="006D798B" w:rsidRPr="00DD1B58">
        <w:rPr>
          <w:color w:val="000000"/>
          <w:szCs w:val="24"/>
          <w:lang w:val="en-US" w:eastAsia="en-GB" w:bidi="ar-SA"/>
        </w:rPr>
        <w:t>reports that</w:t>
      </w:r>
      <w:r w:rsidR="00B42535" w:rsidRPr="00DD1B58">
        <w:rPr>
          <w:color w:val="000000"/>
          <w:szCs w:val="24"/>
          <w:lang w:val="en-US" w:eastAsia="en-GB" w:bidi="ar-SA"/>
        </w:rPr>
        <w:t xml:space="preserve"> t</w:t>
      </w:r>
      <w:r w:rsidR="00A1462E" w:rsidRPr="00DD1B58">
        <w:rPr>
          <w:color w:val="000000"/>
          <w:szCs w:val="24"/>
          <w:lang w:val="en-US" w:eastAsia="en-GB" w:bidi="ar-SA"/>
        </w:rPr>
        <w:t xml:space="preserve">wo DFARS representatives are members of the </w:t>
      </w:r>
      <w:r w:rsidR="00B42535" w:rsidRPr="00DD1B58">
        <w:rPr>
          <w:color w:val="000000"/>
          <w:szCs w:val="24"/>
          <w:lang w:val="en-US" w:eastAsia="en-GB" w:bidi="ar-SA"/>
        </w:rPr>
        <w:t>NIFSCC</w:t>
      </w:r>
      <w:r w:rsidR="00A1462E" w:rsidRPr="00DD1B58">
        <w:rPr>
          <w:color w:val="000000"/>
          <w:szCs w:val="24"/>
          <w:lang w:val="en-US" w:eastAsia="en-GB" w:bidi="ar-SA"/>
        </w:rPr>
        <w:t>.</w:t>
      </w:r>
      <w:r w:rsidR="009B6954" w:rsidRPr="00DD1B58">
        <w:rPr>
          <w:color w:val="000000"/>
          <w:szCs w:val="24"/>
          <w:lang w:val="en-US" w:eastAsia="en-GB" w:bidi="ar-SA"/>
        </w:rPr>
        <w:t xml:space="preserve"> </w:t>
      </w:r>
      <w:r w:rsidR="00B42535" w:rsidRPr="00DD1B58">
        <w:rPr>
          <w:color w:val="000000"/>
          <w:szCs w:val="24"/>
          <w:lang w:val="en-US" w:eastAsia="en-GB" w:bidi="ar-SA"/>
        </w:rPr>
        <w:t>Dounreay</w:t>
      </w:r>
      <w:r w:rsidR="00B5669B" w:rsidRPr="00DD1B58">
        <w:rPr>
          <w:color w:val="000000"/>
          <w:szCs w:val="24"/>
          <w:lang w:val="en-US" w:eastAsia="en-GB" w:bidi="ar-SA"/>
        </w:rPr>
        <w:t xml:space="preserve">’s </w:t>
      </w:r>
      <w:r w:rsidR="00277C89" w:rsidRPr="00DD1B58">
        <w:rPr>
          <w:color w:val="000000"/>
          <w:szCs w:val="24"/>
          <w:lang w:val="en-US" w:eastAsia="en-GB" w:bidi="ar-SA"/>
        </w:rPr>
        <w:t xml:space="preserve">also </w:t>
      </w:r>
      <w:r w:rsidR="006D798B" w:rsidRPr="00DD1B58">
        <w:rPr>
          <w:color w:val="000000"/>
          <w:szCs w:val="24"/>
          <w:lang w:val="en-US" w:eastAsia="en-GB" w:bidi="ar-SA"/>
        </w:rPr>
        <w:t xml:space="preserve">cites </w:t>
      </w:r>
      <w:r w:rsidR="00B5669B" w:rsidRPr="00DD1B58">
        <w:rPr>
          <w:color w:val="000000"/>
          <w:szCs w:val="24"/>
          <w:lang w:val="en-US" w:eastAsia="en-GB" w:bidi="ar-SA"/>
        </w:rPr>
        <w:t xml:space="preserve">the Operational Experience Learning group, </w:t>
      </w:r>
      <w:r w:rsidR="00277C89" w:rsidRPr="00DD1B58">
        <w:rPr>
          <w:color w:val="000000"/>
          <w:szCs w:val="24"/>
          <w:lang w:val="en-US" w:eastAsia="en-GB" w:bidi="ar-SA"/>
        </w:rPr>
        <w:t xml:space="preserve">the </w:t>
      </w:r>
      <w:r w:rsidR="00B5669B" w:rsidRPr="00DD1B58">
        <w:rPr>
          <w:color w:val="000000"/>
          <w:szCs w:val="24"/>
          <w:lang w:val="en-US" w:eastAsia="en-GB" w:bidi="ar-SA"/>
        </w:rPr>
        <w:t>NDA working group, NDA flash alerts (SHE alerts)</w:t>
      </w:r>
      <w:r w:rsidR="00277C89" w:rsidRPr="00DD1B58">
        <w:rPr>
          <w:color w:val="000000"/>
          <w:szCs w:val="24"/>
          <w:lang w:val="en-US" w:eastAsia="en-GB" w:bidi="ar-SA"/>
        </w:rPr>
        <w:t xml:space="preserve"> and </w:t>
      </w:r>
      <w:r w:rsidR="006D798B" w:rsidRPr="00DD1B58">
        <w:rPr>
          <w:color w:val="000000"/>
          <w:szCs w:val="24"/>
          <w:lang w:val="en-US" w:eastAsia="en-GB" w:bidi="ar-SA"/>
        </w:rPr>
        <w:t>reports that</w:t>
      </w:r>
      <w:r w:rsidR="00B42535" w:rsidRPr="00DD1B58">
        <w:rPr>
          <w:color w:val="000000"/>
          <w:szCs w:val="24"/>
          <w:lang w:val="en-US" w:eastAsia="en-GB" w:bidi="ar-SA"/>
        </w:rPr>
        <w:t xml:space="preserve"> </w:t>
      </w:r>
      <w:r w:rsidR="00A1462E" w:rsidRPr="00DD1B58">
        <w:rPr>
          <w:color w:val="000000"/>
          <w:szCs w:val="24"/>
          <w:lang w:val="en-US" w:eastAsia="en-GB" w:bidi="ar-SA"/>
        </w:rPr>
        <w:t xml:space="preserve">external good practice </w:t>
      </w:r>
      <w:r w:rsidR="00277C89" w:rsidRPr="00DD1B58">
        <w:rPr>
          <w:color w:val="000000"/>
          <w:szCs w:val="24"/>
          <w:lang w:val="en-US" w:eastAsia="en-GB" w:bidi="ar-SA"/>
        </w:rPr>
        <w:t>is cascaded</w:t>
      </w:r>
      <w:r w:rsidR="00A1462E" w:rsidRPr="00DD1B58">
        <w:rPr>
          <w:color w:val="000000"/>
          <w:szCs w:val="24"/>
          <w:lang w:val="en-US" w:eastAsia="en-GB" w:bidi="ar-SA"/>
        </w:rPr>
        <w:t xml:space="preserve"> through the Dounreay Assurance Departments professionalism team. </w:t>
      </w:r>
      <w:r w:rsidR="00A1462E" w:rsidRPr="00DD1B58" w:rsidDel="00B5669B">
        <w:rPr>
          <w:color w:val="000000"/>
          <w:szCs w:val="24"/>
          <w:lang w:val="en-US" w:eastAsia="en-GB" w:bidi="ar-SA"/>
        </w:rPr>
        <w:t>Specific Information is gathered from the Operationa</w:t>
      </w:r>
      <w:r w:rsidR="00B87410" w:rsidRPr="00DD1B58" w:rsidDel="00B5669B">
        <w:rPr>
          <w:color w:val="000000"/>
          <w:szCs w:val="24"/>
          <w:lang w:val="en-US" w:eastAsia="en-GB" w:bidi="ar-SA"/>
        </w:rPr>
        <w:t>l Experience Learning group, NDA working group</w:t>
      </w:r>
      <w:r w:rsidR="00F07802" w:rsidRPr="00DD1B58" w:rsidDel="00B5669B">
        <w:rPr>
          <w:color w:val="000000"/>
          <w:szCs w:val="24"/>
          <w:lang w:val="en-US" w:eastAsia="en-GB" w:bidi="ar-SA"/>
        </w:rPr>
        <w:t xml:space="preserve">, NDA flash alerts </w:t>
      </w:r>
      <w:r w:rsidR="00B477AB" w:rsidRPr="00DD1B58" w:rsidDel="00B5669B">
        <w:rPr>
          <w:color w:val="000000"/>
          <w:szCs w:val="24"/>
          <w:lang w:val="en-US" w:eastAsia="en-GB" w:bidi="ar-SA"/>
        </w:rPr>
        <w:t>(SHE alerts).</w:t>
      </w:r>
    </w:p>
    <w:p w14:paraId="69CB5578" w14:textId="77777777" w:rsidR="00DE5A9E" w:rsidRPr="00DD1B58" w:rsidRDefault="00DE5A9E" w:rsidP="00177432">
      <w:pPr>
        <w:pStyle w:val="Heading5A"/>
        <w:numPr>
          <w:ilvl w:val="5"/>
          <w:numId w:val="7"/>
        </w:numPr>
        <w:rPr>
          <w:lang w:val="en-US"/>
        </w:rPr>
      </w:pPr>
      <w:r w:rsidRPr="00DD1B58">
        <w:rPr>
          <w:lang w:val="en-US"/>
        </w:rPr>
        <w:t>Lessons learned from events, reviews fire safety related missions, etc.</w:t>
      </w:r>
    </w:p>
    <w:p w14:paraId="389ABCF4" w14:textId="76B7D800" w:rsidR="00034E1B" w:rsidRPr="00DD1B58" w:rsidRDefault="00034E1B" w:rsidP="00034E1B">
      <w:pPr>
        <w:rPr>
          <w:lang w:val="en-US"/>
        </w:rPr>
      </w:pPr>
      <w:r w:rsidRPr="00DD1B58">
        <w:rPr>
          <w:lang w:val="en-US"/>
        </w:rPr>
        <w:t xml:space="preserve">No </w:t>
      </w:r>
      <w:r w:rsidR="0032598F" w:rsidRPr="00DD1B58">
        <w:rPr>
          <w:lang w:val="en-US"/>
        </w:rPr>
        <w:t xml:space="preserve">specific fire prevention </w:t>
      </w:r>
      <w:r w:rsidR="00932F4D" w:rsidRPr="00DD1B58">
        <w:rPr>
          <w:lang w:val="en-US"/>
        </w:rPr>
        <w:t xml:space="preserve">missions </w:t>
      </w:r>
      <w:r w:rsidR="000153BA" w:rsidRPr="00DD1B58">
        <w:rPr>
          <w:lang w:val="en-US"/>
        </w:rPr>
        <w:t xml:space="preserve">have been recorded. Lessons learned from </w:t>
      </w:r>
      <w:r w:rsidR="00615DD6" w:rsidRPr="00DD1B58">
        <w:rPr>
          <w:lang w:val="en-US"/>
        </w:rPr>
        <w:t>fire events which have occurred at the PFR facility are recorded in Section</w:t>
      </w:r>
      <w:r w:rsidR="00824C60" w:rsidRPr="00DD1B58">
        <w:rPr>
          <w:lang w:val="en-US"/>
        </w:rPr>
        <w:t xml:space="preserve"> </w:t>
      </w:r>
      <w:r w:rsidR="00824C60" w:rsidRPr="00DD1B58">
        <w:rPr>
          <w:lang w:val="en-US"/>
        </w:rPr>
        <w:fldChar w:fldCharType="begin"/>
      </w:r>
      <w:r w:rsidR="00824C60" w:rsidRPr="00DD1B58">
        <w:rPr>
          <w:lang w:val="en-US"/>
        </w:rPr>
        <w:instrText xml:space="preserve"> REF _Ref136872886 \r \h </w:instrText>
      </w:r>
      <w:r w:rsidR="00824C60" w:rsidRPr="00DD1B58">
        <w:rPr>
          <w:lang w:val="en-US"/>
        </w:rPr>
      </w:r>
      <w:r w:rsidR="00824C60" w:rsidRPr="00DD1B58">
        <w:rPr>
          <w:lang w:val="en-US"/>
        </w:rPr>
        <w:fldChar w:fldCharType="separate"/>
      </w:r>
      <w:r w:rsidR="00DF47DA">
        <w:rPr>
          <w:lang w:val="en-US"/>
        </w:rPr>
        <w:t>I-2.6.6.2</w:t>
      </w:r>
      <w:r w:rsidR="00824C60" w:rsidRPr="00DD1B58">
        <w:rPr>
          <w:lang w:val="en-US"/>
        </w:rPr>
        <w:fldChar w:fldCharType="end"/>
      </w:r>
      <w:r w:rsidR="00D0021E" w:rsidRPr="00DD1B58">
        <w:rPr>
          <w:lang w:val="en-US"/>
        </w:rPr>
        <w:t>.</w:t>
      </w:r>
      <w:r w:rsidR="006A0E28" w:rsidRPr="00DD1B58">
        <w:rPr>
          <w:lang w:val="en-US"/>
        </w:rPr>
        <w:t xml:space="preserve"> </w:t>
      </w:r>
    </w:p>
    <w:p w14:paraId="234FA6BF" w14:textId="77777777" w:rsidR="00DE5A9E" w:rsidRPr="00DD1B58" w:rsidRDefault="00DE5A9E" w:rsidP="00177432">
      <w:pPr>
        <w:pStyle w:val="Heading5A"/>
        <w:numPr>
          <w:ilvl w:val="5"/>
          <w:numId w:val="7"/>
        </w:numPr>
        <w:rPr>
          <w:lang w:val="en-US"/>
        </w:rPr>
      </w:pPr>
      <w:r w:rsidRPr="00DD1B58">
        <w:rPr>
          <w:lang w:val="en-US"/>
        </w:rPr>
        <w:t>Overview of actions and implementation status</w:t>
      </w:r>
    </w:p>
    <w:p w14:paraId="41BCB984" w14:textId="734B2F55" w:rsidR="000369CB" w:rsidRPr="00DD1B58" w:rsidRDefault="001C624E" w:rsidP="000F6994">
      <w:pPr>
        <w:rPr>
          <w:lang w:val="en-US"/>
        </w:rPr>
      </w:pPr>
      <w:r w:rsidRPr="00DD1B58">
        <w:rPr>
          <w:lang w:val="en-US"/>
        </w:rPr>
        <w:t xml:space="preserve">Dounreay </w:t>
      </w:r>
      <w:r w:rsidR="007376D6" w:rsidRPr="00DD1B58">
        <w:rPr>
          <w:lang w:val="en-US"/>
        </w:rPr>
        <w:t>states that</w:t>
      </w:r>
      <w:r w:rsidRPr="00DD1B58">
        <w:rPr>
          <w:lang w:val="en-US"/>
        </w:rPr>
        <w:t xml:space="preserve"> r</w:t>
      </w:r>
      <w:r w:rsidR="00EB2F0F" w:rsidRPr="00DD1B58">
        <w:rPr>
          <w:lang w:val="en-US"/>
        </w:rPr>
        <w:t xml:space="preserve">ecommendations to improve fire prevention </w:t>
      </w:r>
      <w:r w:rsidRPr="00DD1B58">
        <w:rPr>
          <w:lang w:val="en-US"/>
        </w:rPr>
        <w:t xml:space="preserve">had </w:t>
      </w:r>
      <w:r w:rsidR="00EB2F0F" w:rsidRPr="00DD1B58">
        <w:rPr>
          <w:lang w:val="en-US"/>
        </w:rPr>
        <w:t>been made as part of the deterministic fire risk assessment process</w:t>
      </w:r>
      <w:r w:rsidR="00A50874" w:rsidRPr="00DD1B58">
        <w:rPr>
          <w:lang w:val="en-US"/>
        </w:rPr>
        <w:t xml:space="preserve"> and </w:t>
      </w:r>
      <w:r w:rsidRPr="00DD1B58">
        <w:rPr>
          <w:lang w:val="en-US"/>
        </w:rPr>
        <w:t xml:space="preserve">that </w:t>
      </w:r>
      <w:r w:rsidR="00A50874" w:rsidRPr="00DD1B58">
        <w:rPr>
          <w:lang w:val="en-US"/>
        </w:rPr>
        <w:t xml:space="preserve">all </w:t>
      </w:r>
      <w:r w:rsidR="003C501D" w:rsidRPr="00DD1B58">
        <w:rPr>
          <w:lang w:val="en-US"/>
        </w:rPr>
        <w:t>actions have been closed</w:t>
      </w:r>
      <w:r w:rsidR="00EB2F0F" w:rsidRPr="00DD1B58">
        <w:rPr>
          <w:lang w:val="en-US"/>
        </w:rPr>
        <w:t xml:space="preserve">. An example of such a recommendation is </w:t>
      </w:r>
      <w:r w:rsidR="00653C06" w:rsidRPr="00DD1B58">
        <w:rPr>
          <w:lang w:val="en-US"/>
        </w:rPr>
        <w:t xml:space="preserve">provided in Section </w:t>
      </w:r>
      <w:r w:rsidR="00BD41B3" w:rsidRPr="00DD1B58">
        <w:rPr>
          <w:lang w:val="en-US"/>
        </w:rPr>
        <w:fldChar w:fldCharType="begin"/>
      </w:r>
      <w:r w:rsidR="00BD41B3" w:rsidRPr="00DD1B58">
        <w:rPr>
          <w:lang w:val="en-US"/>
        </w:rPr>
        <w:instrText xml:space="preserve"> REF _Ref136874207 \r \h </w:instrText>
      </w:r>
      <w:r w:rsidR="00BD41B3" w:rsidRPr="00DD1B58">
        <w:rPr>
          <w:lang w:val="en-US"/>
        </w:rPr>
      </w:r>
      <w:r w:rsidR="00BD41B3" w:rsidRPr="00DD1B58">
        <w:rPr>
          <w:lang w:val="en-US"/>
        </w:rPr>
        <w:fldChar w:fldCharType="separate"/>
      </w:r>
      <w:r w:rsidR="00DF47DA">
        <w:rPr>
          <w:lang w:val="en-US"/>
        </w:rPr>
        <w:t>F-I-3.1.2</w:t>
      </w:r>
      <w:r w:rsidR="00BD41B3" w:rsidRPr="00DD1B58">
        <w:rPr>
          <w:lang w:val="en-US"/>
        </w:rPr>
        <w:fldChar w:fldCharType="end"/>
      </w:r>
      <w:r w:rsidR="00BD41B3" w:rsidRPr="00DD1B58">
        <w:rPr>
          <w:lang w:val="en-US"/>
        </w:rPr>
        <w:t>.</w:t>
      </w:r>
    </w:p>
    <w:p w14:paraId="0025C56A" w14:textId="77777777" w:rsidR="003C501D" w:rsidRPr="00DD1B58" w:rsidRDefault="00DE5A9E" w:rsidP="00177432">
      <w:pPr>
        <w:pStyle w:val="Heading5A"/>
        <w:rPr>
          <w:lang w:val="en-US"/>
        </w:rPr>
      </w:pPr>
      <w:bookmarkStart w:id="99" w:name="_Ref145058850"/>
      <w:r w:rsidRPr="00DD1B58">
        <w:rPr>
          <w:lang w:val="en-US"/>
        </w:rPr>
        <w:t>Regulator’s assessment of the fire prevention</w:t>
      </w:r>
      <w:bookmarkEnd w:id="99"/>
    </w:p>
    <w:p w14:paraId="4413196C" w14:textId="77777777" w:rsidR="00DE5A9E" w:rsidRPr="00DD1B58" w:rsidRDefault="00DE5A9E" w:rsidP="00177432">
      <w:pPr>
        <w:pStyle w:val="Heading5A"/>
        <w:numPr>
          <w:ilvl w:val="5"/>
          <w:numId w:val="7"/>
        </w:numPr>
        <w:rPr>
          <w:lang w:val="en-US"/>
        </w:rPr>
      </w:pPr>
      <w:r w:rsidRPr="00DD1B58">
        <w:rPr>
          <w:lang w:val="en-US"/>
        </w:rPr>
        <w:t>Overview of strengths and weaknesses in the fire prevention</w:t>
      </w:r>
    </w:p>
    <w:p w14:paraId="2BC31AA1" w14:textId="77777777" w:rsidR="00E46AD1" w:rsidRPr="00DD1B58" w:rsidRDefault="00E46AD1" w:rsidP="00E46AD1">
      <w:pPr>
        <w:rPr>
          <w:b/>
          <w:lang w:val="en-US"/>
        </w:rPr>
      </w:pPr>
      <w:r w:rsidRPr="00DD1B58">
        <w:rPr>
          <w:b/>
          <w:lang w:val="en-US"/>
        </w:rPr>
        <w:t>Strengths</w:t>
      </w:r>
    </w:p>
    <w:p w14:paraId="3FE910FE" w14:textId="13942DEE" w:rsidR="00D603E8" w:rsidRPr="00DD1B58" w:rsidRDefault="00D603E8" w:rsidP="00E46AD1">
      <w:pPr>
        <w:rPr>
          <w:lang w:val="en-US"/>
        </w:rPr>
      </w:pPr>
      <w:r w:rsidRPr="00DD1B58">
        <w:rPr>
          <w:lang w:val="en-US"/>
        </w:rPr>
        <w:t>Dounreay</w:t>
      </w:r>
      <w:r w:rsidR="00BD58AD" w:rsidRPr="00DD1B58">
        <w:rPr>
          <w:lang w:val="en-US"/>
        </w:rPr>
        <w:t xml:space="preserve"> </w:t>
      </w:r>
      <w:r w:rsidRPr="00DD1B58">
        <w:rPr>
          <w:lang w:val="en-US"/>
        </w:rPr>
        <w:t xml:space="preserve">identified that reviews </w:t>
      </w:r>
      <w:r w:rsidR="00C765FF" w:rsidRPr="00DD1B58">
        <w:rPr>
          <w:lang w:val="en-US"/>
        </w:rPr>
        <w:t>of fire loading are undertaken through multiple different processes. These include Fire Risk Assessments for life safety purposes, safety cases</w:t>
      </w:r>
      <w:r w:rsidR="00BD58AD" w:rsidRPr="00DD1B58">
        <w:rPr>
          <w:lang w:val="en-US"/>
        </w:rPr>
        <w:t xml:space="preserve"> for modifications,</w:t>
      </w:r>
      <w:r w:rsidR="00C765FF" w:rsidRPr="00DD1B58">
        <w:rPr>
          <w:lang w:val="en-US"/>
        </w:rPr>
        <w:t xml:space="preserve"> and any required DFRA</w:t>
      </w:r>
      <w:r w:rsidR="000C3E63" w:rsidRPr="00DD1B58">
        <w:rPr>
          <w:lang w:val="en-US"/>
        </w:rPr>
        <w:t xml:space="preserve">s. ONR </w:t>
      </w:r>
      <w:r w:rsidR="00BD58AD" w:rsidRPr="00DD1B58">
        <w:rPr>
          <w:lang w:val="en-US"/>
        </w:rPr>
        <w:t xml:space="preserve">considers </w:t>
      </w:r>
      <w:r w:rsidR="000C3E63" w:rsidRPr="00DD1B58">
        <w:rPr>
          <w:lang w:val="en-US"/>
        </w:rPr>
        <w:t xml:space="preserve">that </w:t>
      </w:r>
      <w:r w:rsidR="00BD58AD" w:rsidRPr="00DD1B58">
        <w:rPr>
          <w:lang w:val="en-US"/>
        </w:rPr>
        <w:t xml:space="preserve">Dounreay’s </w:t>
      </w:r>
      <w:r w:rsidR="000C3E63" w:rsidRPr="00DD1B58">
        <w:rPr>
          <w:lang w:val="en-US"/>
        </w:rPr>
        <w:t xml:space="preserve">waste characterisation process also offers an opportunity to reduce fire loading. </w:t>
      </w:r>
      <w:r w:rsidR="00681BAD" w:rsidRPr="00DD1B58">
        <w:rPr>
          <w:lang w:val="en-US"/>
        </w:rPr>
        <w:t>ONR assessed the m</w:t>
      </w:r>
      <w:r w:rsidRPr="00DD1B58">
        <w:rPr>
          <w:lang w:val="en-US"/>
        </w:rPr>
        <w:t xml:space="preserve">ultiple recommendations attached to fire loading and general fire prevention identified as part of the Deterministic Fire Risk Assessment for PFR produced during the LC15 safety case review. </w:t>
      </w:r>
      <w:r w:rsidR="00681BAD" w:rsidRPr="00DD1B58">
        <w:rPr>
          <w:lang w:val="en-US"/>
        </w:rPr>
        <w:t>These</w:t>
      </w:r>
      <w:r w:rsidR="00A229B3" w:rsidRPr="00DD1B58">
        <w:rPr>
          <w:lang w:val="en-US"/>
        </w:rPr>
        <w:t xml:space="preserve"> recommendations</w:t>
      </w:r>
      <w:r w:rsidR="00681BAD" w:rsidRPr="00DD1B58">
        <w:rPr>
          <w:lang w:val="en-US"/>
        </w:rPr>
        <w:t xml:space="preserve"> </w:t>
      </w:r>
      <w:r w:rsidRPr="00DD1B58">
        <w:rPr>
          <w:lang w:val="en-US"/>
        </w:rPr>
        <w:t xml:space="preserve">included removal of unnecessary fire loading, replacement of equipment with a less combustible alternative and relocation of fire loading away from vulnerable area. </w:t>
      </w:r>
      <w:r w:rsidR="005959EF" w:rsidRPr="00DD1B58">
        <w:rPr>
          <w:lang w:val="en-US"/>
        </w:rPr>
        <w:t>ONR confirmed</w:t>
      </w:r>
      <w:r w:rsidR="00681BAD" w:rsidRPr="00DD1B58">
        <w:rPr>
          <w:lang w:val="en-US"/>
        </w:rPr>
        <w:t xml:space="preserve"> through inspection </w:t>
      </w:r>
      <w:sdt>
        <w:sdtPr>
          <w:rPr>
            <w:lang w:val="en-US"/>
          </w:rPr>
          <w:id w:val="1091889998"/>
          <w:citation/>
        </w:sdtPr>
        <w:sdtContent>
          <w:r w:rsidR="009A4EC6" w:rsidRPr="00DD1B58">
            <w:rPr>
              <w:lang w:val="en-US"/>
            </w:rPr>
            <w:fldChar w:fldCharType="begin"/>
          </w:r>
          <w:r w:rsidR="009A4EC6" w:rsidRPr="00DD1B58">
            <w:rPr>
              <w:lang w:val="en-US"/>
            </w:rPr>
            <w:instrText xml:space="preserve"> CITATION Off7 \l 2057 </w:instrText>
          </w:r>
          <w:r w:rsidR="009A4EC6" w:rsidRPr="00DD1B58">
            <w:rPr>
              <w:lang w:val="en-US"/>
            </w:rPr>
            <w:fldChar w:fldCharType="separate"/>
          </w:r>
          <w:r w:rsidR="00DF47DA" w:rsidRPr="00DF47DA">
            <w:rPr>
              <w:noProof/>
              <w:lang w:val="en-US"/>
            </w:rPr>
            <w:t>[128]</w:t>
          </w:r>
          <w:r w:rsidR="009A4EC6" w:rsidRPr="00DD1B58">
            <w:rPr>
              <w:lang w:val="en-US"/>
            </w:rPr>
            <w:fldChar w:fldCharType="end"/>
          </w:r>
        </w:sdtContent>
      </w:sdt>
      <w:r w:rsidR="009A4EC6" w:rsidRPr="00DD1B58">
        <w:rPr>
          <w:lang w:val="en-US"/>
        </w:rPr>
        <w:t xml:space="preserve"> </w:t>
      </w:r>
      <w:r w:rsidR="005959EF" w:rsidRPr="00DD1B58">
        <w:rPr>
          <w:lang w:val="en-US"/>
        </w:rPr>
        <w:t xml:space="preserve">that these have been </w:t>
      </w:r>
      <w:r w:rsidR="00681BAD" w:rsidRPr="00DD1B58">
        <w:rPr>
          <w:lang w:val="en-US"/>
        </w:rPr>
        <w:t xml:space="preserve">adequately </w:t>
      </w:r>
      <w:r w:rsidR="005959EF" w:rsidRPr="00DD1B58">
        <w:rPr>
          <w:lang w:val="en-US"/>
        </w:rPr>
        <w:t>closed out</w:t>
      </w:r>
      <w:r w:rsidR="00743384" w:rsidRPr="00DD1B58">
        <w:rPr>
          <w:lang w:val="en-US"/>
        </w:rPr>
        <w:t xml:space="preserve"> meeting that requirement in </w:t>
      </w:r>
      <w:r w:rsidRPr="00DD1B58">
        <w:rPr>
          <w:lang w:val="en-US"/>
        </w:rPr>
        <w:t>WENRA S</w:t>
      </w:r>
      <w:r w:rsidR="00FC7A27" w:rsidRPr="00DD1B58">
        <w:rPr>
          <w:lang w:val="en-US"/>
        </w:rPr>
        <w:t>RL</w:t>
      </w:r>
      <w:r w:rsidRPr="00DD1B58">
        <w:rPr>
          <w:lang w:val="en-US"/>
        </w:rPr>
        <w:t xml:space="preserve"> SV 6.11</w:t>
      </w:r>
      <w:r w:rsidR="00FC7A27" w:rsidRPr="00DD1B58">
        <w:rPr>
          <w:lang w:val="en-US"/>
        </w:rPr>
        <w:t xml:space="preserve"> </w:t>
      </w:r>
      <w:sdt>
        <w:sdtPr>
          <w:rPr>
            <w:lang w:val="en-US"/>
          </w:rPr>
          <w:id w:val="-531963582"/>
          <w:citation/>
        </w:sdtPr>
        <w:sdtContent>
          <w:r w:rsidR="00FC5C18" w:rsidRPr="00DD1B58">
            <w:rPr>
              <w:lang w:val="en-US"/>
            </w:rPr>
            <w:fldChar w:fldCharType="begin"/>
          </w:r>
          <w:r w:rsidR="001270D9" w:rsidRPr="00DD1B58">
            <w:rPr>
              <w:lang w:val="en-US"/>
            </w:rPr>
            <w:instrText xml:space="preserve">CITATION WEN2 \l 2057 </w:instrText>
          </w:r>
          <w:r w:rsidR="00FC5C18" w:rsidRPr="00DD1B58">
            <w:rPr>
              <w:lang w:val="en-US"/>
            </w:rPr>
            <w:fldChar w:fldCharType="separate"/>
          </w:r>
          <w:r w:rsidR="00DF47DA" w:rsidRPr="00DF47DA">
            <w:rPr>
              <w:noProof/>
              <w:lang w:val="en-US"/>
            </w:rPr>
            <w:t>[1]</w:t>
          </w:r>
          <w:r w:rsidR="00FC5C18" w:rsidRPr="00DD1B58">
            <w:rPr>
              <w:lang w:val="en-US"/>
            </w:rPr>
            <w:fldChar w:fldCharType="end"/>
          </w:r>
        </w:sdtContent>
      </w:sdt>
      <w:r w:rsidRPr="00DD1B58">
        <w:rPr>
          <w:lang w:val="en-US"/>
        </w:rPr>
        <w:t xml:space="preserve"> </w:t>
      </w:r>
      <w:r w:rsidR="00743384" w:rsidRPr="00DD1B58">
        <w:rPr>
          <w:lang w:val="en-US"/>
        </w:rPr>
        <w:t xml:space="preserve">that </w:t>
      </w:r>
      <w:r w:rsidRPr="00DD1B58">
        <w:rPr>
          <w:lang w:val="en-US"/>
        </w:rPr>
        <w:t>“in order to prevent fires, procedures shall be established to control and minimise the amount of combustibles and the potential ignition sources</w:t>
      </w:r>
      <w:r w:rsidR="00743384" w:rsidRPr="00DD1B58">
        <w:rPr>
          <w:lang w:val="en-US"/>
        </w:rPr>
        <w:t>.</w:t>
      </w:r>
    </w:p>
    <w:p w14:paraId="6B3DABB9" w14:textId="77777777" w:rsidR="00B80875" w:rsidRPr="00DD1B58" w:rsidRDefault="0001728D" w:rsidP="00E46AD1">
      <w:pPr>
        <w:rPr>
          <w:b/>
          <w:lang w:val="en-US"/>
        </w:rPr>
      </w:pPr>
      <w:r w:rsidRPr="00DD1B58">
        <w:rPr>
          <w:b/>
          <w:lang w:val="en-US"/>
        </w:rPr>
        <w:t>Weaknesses</w:t>
      </w:r>
    </w:p>
    <w:p w14:paraId="70791EF9" w14:textId="0EC15C64" w:rsidR="00D603E8" w:rsidRPr="00DD1B58" w:rsidRDefault="00EB0306" w:rsidP="00E674D1">
      <w:pPr>
        <w:rPr>
          <w:lang w:val="en-US"/>
        </w:rPr>
      </w:pPr>
      <w:r w:rsidRPr="00DD1B58">
        <w:rPr>
          <w:lang w:val="en-US"/>
        </w:rPr>
        <w:t>Dounreay has identified that t</w:t>
      </w:r>
      <w:r w:rsidR="00F03E7A" w:rsidRPr="00DD1B58">
        <w:rPr>
          <w:lang w:val="en-US"/>
        </w:rPr>
        <w:t xml:space="preserve">he </w:t>
      </w:r>
      <w:r w:rsidR="00F905FD" w:rsidRPr="00DD1B58">
        <w:rPr>
          <w:lang w:val="en-US"/>
        </w:rPr>
        <w:t>PFR facility</w:t>
      </w:r>
      <w:r w:rsidR="00872F8D" w:rsidRPr="00DD1B58">
        <w:rPr>
          <w:lang w:val="en-US"/>
        </w:rPr>
        <w:t xml:space="preserve"> </w:t>
      </w:r>
      <w:r w:rsidR="002234BC" w:rsidRPr="00DD1B58">
        <w:rPr>
          <w:lang w:val="en-US"/>
        </w:rPr>
        <w:t xml:space="preserve">contains </w:t>
      </w:r>
      <w:r w:rsidR="00CA5702" w:rsidRPr="00DD1B58">
        <w:rPr>
          <w:lang w:val="en-US"/>
        </w:rPr>
        <w:t xml:space="preserve">multiple sources of fire loading and </w:t>
      </w:r>
      <w:r w:rsidR="002234BC" w:rsidRPr="00DD1B58">
        <w:rPr>
          <w:lang w:val="en-US"/>
        </w:rPr>
        <w:t xml:space="preserve">that there is the </w:t>
      </w:r>
      <w:r w:rsidR="00743384" w:rsidRPr="00DD1B58">
        <w:rPr>
          <w:lang w:val="en-US"/>
        </w:rPr>
        <w:t xml:space="preserve">potential for </w:t>
      </w:r>
      <w:r w:rsidR="00CA5702" w:rsidRPr="00DD1B58">
        <w:rPr>
          <w:lang w:val="en-US"/>
        </w:rPr>
        <w:t xml:space="preserve">waste </w:t>
      </w:r>
      <w:r w:rsidR="00743384" w:rsidRPr="00DD1B58">
        <w:rPr>
          <w:lang w:val="en-US"/>
        </w:rPr>
        <w:t>to accumulate</w:t>
      </w:r>
      <w:r w:rsidR="00B5173F" w:rsidRPr="00DD1B58">
        <w:rPr>
          <w:lang w:val="en-US"/>
        </w:rPr>
        <w:t xml:space="preserve"> locally.</w:t>
      </w:r>
      <w:r w:rsidR="00CA5702" w:rsidRPr="00DD1B58">
        <w:rPr>
          <w:lang w:val="en-US"/>
        </w:rPr>
        <w:t xml:space="preserve"> </w:t>
      </w:r>
      <w:r w:rsidR="00E6132B" w:rsidRPr="00DD1B58">
        <w:rPr>
          <w:lang w:val="en-US"/>
        </w:rPr>
        <w:t xml:space="preserve">ONR </w:t>
      </w:r>
      <w:r w:rsidR="00743384" w:rsidRPr="00DD1B58">
        <w:rPr>
          <w:lang w:val="en-US"/>
        </w:rPr>
        <w:t>TAG</w:t>
      </w:r>
      <w:sdt>
        <w:sdtPr>
          <w:rPr>
            <w:lang w:val="en-US"/>
          </w:rPr>
          <w:id w:val="1407420906"/>
          <w:citation/>
        </w:sdtPr>
        <w:sdtContent>
          <w:r w:rsidR="00743384" w:rsidRPr="00DD1B58">
            <w:rPr>
              <w:lang w:val="en-US"/>
            </w:rPr>
            <w:fldChar w:fldCharType="begin"/>
          </w:r>
          <w:r w:rsidR="00743384" w:rsidRPr="00DD1B58">
            <w:rPr>
              <w:lang w:val="en-US"/>
            </w:rPr>
            <w:instrText xml:space="preserve"> CITATION ONR4 \l 2057 </w:instrText>
          </w:r>
          <w:r w:rsidR="00743384" w:rsidRPr="00DD1B58">
            <w:rPr>
              <w:lang w:val="en-US"/>
            </w:rPr>
            <w:fldChar w:fldCharType="separate"/>
          </w:r>
          <w:r w:rsidR="00DF47DA">
            <w:rPr>
              <w:noProof/>
              <w:lang w:val="en-US"/>
            </w:rPr>
            <w:t xml:space="preserve"> </w:t>
          </w:r>
          <w:r w:rsidR="00DF47DA" w:rsidRPr="00DF47DA">
            <w:rPr>
              <w:noProof/>
              <w:lang w:val="en-US"/>
            </w:rPr>
            <w:t>[16]</w:t>
          </w:r>
          <w:r w:rsidR="00743384" w:rsidRPr="00DD1B58">
            <w:rPr>
              <w:lang w:val="en-US"/>
            </w:rPr>
            <w:fldChar w:fldCharType="end"/>
          </w:r>
        </w:sdtContent>
      </w:sdt>
      <w:r w:rsidR="00E6132B" w:rsidRPr="00DD1B58">
        <w:rPr>
          <w:lang w:val="en-US"/>
        </w:rPr>
        <w:t xml:space="preserve"> for Internal Hazards </w:t>
      </w:r>
      <w:r w:rsidR="00743384" w:rsidRPr="00DD1B58">
        <w:rPr>
          <w:lang w:val="en-US"/>
        </w:rPr>
        <w:t xml:space="preserve">provides expectations </w:t>
      </w:r>
      <w:r w:rsidR="00042EAA" w:rsidRPr="00DD1B58">
        <w:rPr>
          <w:lang w:val="en-US"/>
        </w:rPr>
        <w:t xml:space="preserve">guidance on the surveying of fire loading and states that any such data should be “systematic and demonstrably complete”. </w:t>
      </w:r>
      <w:r w:rsidR="00636E09" w:rsidRPr="00DD1B58">
        <w:rPr>
          <w:lang w:val="en-US"/>
        </w:rPr>
        <w:t>The</w:t>
      </w:r>
      <w:r w:rsidR="00B5173F" w:rsidRPr="00DD1B58">
        <w:rPr>
          <w:lang w:val="en-US"/>
        </w:rPr>
        <w:t xml:space="preserve"> </w:t>
      </w:r>
      <w:r w:rsidR="00042EAA" w:rsidRPr="00DD1B58">
        <w:rPr>
          <w:lang w:val="en-US"/>
        </w:rPr>
        <w:t xml:space="preserve">PFR </w:t>
      </w:r>
      <w:r w:rsidR="00636E09" w:rsidRPr="00DD1B58">
        <w:rPr>
          <w:lang w:val="en-US"/>
        </w:rPr>
        <w:t xml:space="preserve">complex </w:t>
      </w:r>
      <w:r w:rsidR="00042EAA" w:rsidRPr="00DD1B58">
        <w:rPr>
          <w:lang w:val="en-US"/>
        </w:rPr>
        <w:t xml:space="preserve">is </w:t>
      </w:r>
      <w:r w:rsidR="005A5794" w:rsidRPr="00DD1B58">
        <w:rPr>
          <w:lang w:val="en-US"/>
        </w:rPr>
        <w:t>largely open plan</w:t>
      </w:r>
      <w:r w:rsidR="00B5173F" w:rsidRPr="00DD1B58">
        <w:rPr>
          <w:lang w:val="en-US"/>
        </w:rPr>
        <w:t>,</w:t>
      </w:r>
      <w:r w:rsidR="005A5794" w:rsidRPr="00DD1B58">
        <w:rPr>
          <w:lang w:val="en-US"/>
        </w:rPr>
        <w:t xml:space="preserve"> with limited compartmentation</w:t>
      </w:r>
      <w:r w:rsidR="00636E09" w:rsidRPr="00DD1B58">
        <w:rPr>
          <w:lang w:val="en-US"/>
        </w:rPr>
        <w:t xml:space="preserve"> with fire localised fire loadings. Dounreay quantifies fire </w:t>
      </w:r>
      <w:r w:rsidR="00FB52A7" w:rsidRPr="00DD1B58">
        <w:rPr>
          <w:lang w:val="en-US"/>
        </w:rPr>
        <w:t>loadings</w:t>
      </w:r>
      <w:r w:rsidR="00636E09" w:rsidRPr="00DD1B58">
        <w:rPr>
          <w:lang w:val="en-US"/>
        </w:rPr>
        <w:t xml:space="preserve"> </w:t>
      </w:r>
      <w:r w:rsidR="00E55988" w:rsidRPr="00DD1B58">
        <w:rPr>
          <w:lang w:val="en-US"/>
        </w:rPr>
        <w:t>in the context of specific identified scenarios</w:t>
      </w:r>
      <w:r w:rsidR="00586691" w:rsidRPr="00DD1B58">
        <w:rPr>
          <w:lang w:val="en-US"/>
        </w:rPr>
        <w:t xml:space="preserve"> rather that </w:t>
      </w:r>
      <w:r w:rsidR="00F93827" w:rsidRPr="00DD1B58">
        <w:rPr>
          <w:lang w:val="en-US"/>
        </w:rPr>
        <w:t>surveyed globally</w:t>
      </w:r>
      <w:r w:rsidR="00636E09" w:rsidRPr="00DD1B58">
        <w:rPr>
          <w:lang w:val="en-US"/>
        </w:rPr>
        <w:t xml:space="preserve"> as ONR Internal Hazard TAG expects.</w:t>
      </w:r>
      <w:r w:rsidR="00F93827" w:rsidRPr="00DD1B58">
        <w:rPr>
          <w:lang w:val="en-US"/>
        </w:rPr>
        <w:t xml:space="preserve"> Additionally, as described in Section </w:t>
      </w:r>
      <w:r w:rsidR="00946507" w:rsidRPr="00DD1B58">
        <w:rPr>
          <w:lang w:val="en-US"/>
        </w:rPr>
        <w:fldChar w:fldCharType="begin"/>
      </w:r>
      <w:r w:rsidR="00946507" w:rsidRPr="00DD1B58">
        <w:rPr>
          <w:lang w:val="en-US"/>
        </w:rPr>
        <w:instrText xml:space="preserve"> REF _Ref136874207 \r \h </w:instrText>
      </w:r>
      <w:r w:rsidR="00946507" w:rsidRPr="00DD1B58">
        <w:rPr>
          <w:lang w:val="en-US"/>
        </w:rPr>
      </w:r>
      <w:r w:rsidR="00946507" w:rsidRPr="00DD1B58">
        <w:rPr>
          <w:lang w:val="en-US"/>
        </w:rPr>
        <w:fldChar w:fldCharType="separate"/>
      </w:r>
      <w:r w:rsidR="00DF47DA">
        <w:rPr>
          <w:lang w:val="en-US"/>
        </w:rPr>
        <w:t>F-I-3.1.2</w:t>
      </w:r>
      <w:r w:rsidR="00946507" w:rsidRPr="00DD1B58">
        <w:rPr>
          <w:lang w:val="en-US"/>
        </w:rPr>
        <w:fldChar w:fldCharType="end"/>
      </w:r>
      <w:r w:rsidR="00946507" w:rsidRPr="00DD1B58">
        <w:rPr>
          <w:lang w:val="en-US"/>
        </w:rPr>
        <w:t xml:space="preserve">, </w:t>
      </w:r>
      <w:r w:rsidR="00636E09" w:rsidRPr="00DD1B58">
        <w:rPr>
          <w:lang w:val="en-US"/>
        </w:rPr>
        <w:t>Dounreay has not</w:t>
      </w:r>
      <w:r w:rsidR="00946507" w:rsidRPr="00DD1B58">
        <w:rPr>
          <w:lang w:val="en-US"/>
        </w:rPr>
        <w:t xml:space="preserve"> defined </w:t>
      </w:r>
      <w:r w:rsidR="00636E09" w:rsidRPr="00DD1B58">
        <w:rPr>
          <w:lang w:val="en-US"/>
        </w:rPr>
        <w:t>explicit</w:t>
      </w:r>
      <w:r w:rsidR="00946507" w:rsidRPr="00DD1B58">
        <w:rPr>
          <w:lang w:val="en-US"/>
        </w:rPr>
        <w:t xml:space="preserve"> fire loading </w:t>
      </w:r>
      <w:r w:rsidR="00636E09" w:rsidRPr="00DD1B58">
        <w:rPr>
          <w:lang w:val="en-US"/>
        </w:rPr>
        <w:t xml:space="preserve">limits </w:t>
      </w:r>
      <w:r w:rsidR="00946507" w:rsidRPr="00DD1B58">
        <w:rPr>
          <w:lang w:val="en-US"/>
        </w:rPr>
        <w:t>within PFR</w:t>
      </w:r>
      <w:r w:rsidR="00D30A21" w:rsidRPr="00DD1B58">
        <w:rPr>
          <w:lang w:val="en-US"/>
        </w:rPr>
        <w:t xml:space="preserve">. </w:t>
      </w:r>
      <w:r w:rsidR="00B26C6F" w:rsidRPr="00DD1B58">
        <w:rPr>
          <w:lang w:val="en-US"/>
        </w:rPr>
        <w:t xml:space="preserve">IAEA </w:t>
      </w:r>
      <w:r w:rsidR="0007148F" w:rsidRPr="00DD1B58">
        <w:rPr>
          <w:lang w:val="en-US"/>
        </w:rPr>
        <w:t>SSG</w:t>
      </w:r>
      <w:r w:rsidR="00E1758B" w:rsidRPr="00DD1B58">
        <w:rPr>
          <w:lang w:val="en-US"/>
        </w:rPr>
        <w:t xml:space="preserve">-77 I.25 </w:t>
      </w:r>
      <w:sdt>
        <w:sdtPr>
          <w:rPr>
            <w:lang w:val="en-US"/>
          </w:rPr>
          <w:id w:val="1664897926"/>
          <w:citation/>
        </w:sdtPr>
        <w:sdtContent>
          <w:r w:rsidR="00B76635" w:rsidRPr="00DD1B58">
            <w:rPr>
              <w:lang w:val="en-US"/>
            </w:rPr>
            <w:fldChar w:fldCharType="begin"/>
          </w:r>
          <w:r w:rsidR="00B76635" w:rsidRPr="00DD1B58">
            <w:rPr>
              <w:lang w:val="en-US"/>
            </w:rPr>
            <w:instrText xml:space="preserve"> CITATION Int22 \l 2057 </w:instrText>
          </w:r>
          <w:r w:rsidR="00B76635" w:rsidRPr="00DD1B58">
            <w:rPr>
              <w:lang w:val="en-US"/>
            </w:rPr>
            <w:fldChar w:fldCharType="separate"/>
          </w:r>
          <w:r w:rsidR="00DF47DA" w:rsidRPr="00DF47DA">
            <w:rPr>
              <w:noProof/>
              <w:lang w:val="en-US"/>
            </w:rPr>
            <w:t>[18]</w:t>
          </w:r>
          <w:r w:rsidR="00B76635" w:rsidRPr="00DD1B58">
            <w:rPr>
              <w:lang w:val="en-US"/>
            </w:rPr>
            <w:fldChar w:fldCharType="end"/>
          </w:r>
        </w:sdtContent>
      </w:sdt>
      <w:r w:rsidR="00B76635" w:rsidRPr="00DD1B58">
        <w:rPr>
          <w:lang w:val="en-US"/>
        </w:rPr>
        <w:t xml:space="preserve"> </w:t>
      </w:r>
      <w:r w:rsidR="00F56ACF" w:rsidRPr="00DD1B58">
        <w:rPr>
          <w:lang w:val="en-US"/>
        </w:rPr>
        <w:t>for NPPs could be considered in this context, and this expects t</w:t>
      </w:r>
      <w:r w:rsidR="00E1758B" w:rsidRPr="00DD1B58">
        <w:rPr>
          <w:lang w:val="en-US"/>
        </w:rPr>
        <w:t xml:space="preserve">he </w:t>
      </w:r>
      <w:r w:rsidR="00F56ACF" w:rsidRPr="00DD1B58">
        <w:rPr>
          <w:lang w:val="en-US"/>
        </w:rPr>
        <w:t>recording</w:t>
      </w:r>
      <w:r w:rsidR="00CF4E1F" w:rsidRPr="00DD1B58">
        <w:rPr>
          <w:lang w:val="en-US"/>
        </w:rPr>
        <w:t xml:space="preserve"> maximum permissible fire loads within defined compartment</w:t>
      </w:r>
      <w:r w:rsidR="00F56ACF" w:rsidRPr="00DD1B58">
        <w:rPr>
          <w:lang w:val="en-US"/>
        </w:rPr>
        <w:t xml:space="preserve">s. It should be noted </w:t>
      </w:r>
      <w:r w:rsidR="00CF4E1F" w:rsidRPr="00DD1B58">
        <w:rPr>
          <w:lang w:val="en-US"/>
        </w:rPr>
        <w:t xml:space="preserve">that this </w:t>
      </w:r>
      <w:r w:rsidR="00F56ACF" w:rsidRPr="00DD1B58">
        <w:rPr>
          <w:lang w:val="en-US"/>
        </w:rPr>
        <w:t xml:space="preserve">IAEA guide </w:t>
      </w:r>
      <w:r w:rsidR="00CF4E1F" w:rsidRPr="00DD1B58">
        <w:rPr>
          <w:lang w:val="en-US"/>
        </w:rPr>
        <w:t>is not directly applicable to a reactor under decommissioning</w:t>
      </w:r>
      <w:r w:rsidR="00F56ACF" w:rsidRPr="00DD1B58">
        <w:rPr>
          <w:lang w:val="en-US"/>
        </w:rPr>
        <w:t>, however, ONR recognises as good practice the development of combustible inventory limits</w:t>
      </w:r>
      <w:r w:rsidR="00323691" w:rsidRPr="00DD1B58">
        <w:rPr>
          <w:lang w:val="en-US"/>
        </w:rPr>
        <w:t xml:space="preserve"> and </w:t>
      </w:r>
      <w:r w:rsidR="00D603E8" w:rsidRPr="00DD1B58">
        <w:rPr>
          <w:lang w:val="en-US"/>
        </w:rPr>
        <w:t>has already identified</w:t>
      </w:r>
      <w:r w:rsidR="00323691" w:rsidRPr="00DD1B58">
        <w:rPr>
          <w:lang w:val="en-US"/>
        </w:rPr>
        <w:t xml:space="preserve"> t</w:t>
      </w:r>
      <w:r w:rsidR="00D603E8" w:rsidRPr="00DD1B58">
        <w:rPr>
          <w:lang w:val="en-US"/>
        </w:rPr>
        <w:t xml:space="preserve"> an area of improvement related to the assessment of fire loading in Section </w:t>
      </w:r>
      <w:r w:rsidR="00C64B74" w:rsidRPr="00DD1B58">
        <w:rPr>
          <w:lang w:val="en-US"/>
        </w:rPr>
        <w:fldChar w:fldCharType="begin"/>
      </w:r>
      <w:r w:rsidR="00C64B74" w:rsidRPr="00DD1B58">
        <w:rPr>
          <w:lang w:val="en-US"/>
        </w:rPr>
        <w:instrText xml:space="preserve"> REF _Ref140142297 \r \h </w:instrText>
      </w:r>
      <w:r w:rsidR="00C64B74" w:rsidRPr="00DD1B58">
        <w:rPr>
          <w:lang w:val="en-US"/>
        </w:rPr>
      </w:r>
      <w:r w:rsidR="00C64B74" w:rsidRPr="00DD1B58">
        <w:rPr>
          <w:lang w:val="en-US"/>
        </w:rPr>
        <w:fldChar w:fldCharType="separate"/>
      </w:r>
      <w:r w:rsidR="00DF47DA">
        <w:rPr>
          <w:lang w:val="en-US"/>
        </w:rPr>
        <w:t>I-2.6.7.1</w:t>
      </w:r>
      <w:r w:rsidR="00C64B74" w:rsidRPr="00DD1B58">
        <w:rPr>
          <w:lang w:val="en-US"/>
        </w:rPr>
        <w:fldChar w:fldCharType="end"/>
      </w:r>
      <w:r w:rsidR="008D1426" w:rsidRPr="00DD1B58">
        <w:rPr>
          <w:lang w:val="en-US"/>
        </w:rPr>
        <w:t xml:space="preserve"> (proportionate methodology for </w:t>
      </w:r>
      <w:r w:rsidR="00C449C2" w:rsidRPr="00DD1B58">
        <w:rPr>
          <w:lang w:val="en-US"/>
        </w:rPr>
        <w:t>surveying fire loading)</w:t>
      </w:r>
      <w:r w:rsidR="008D1426" w:rsidRPr="00DD1B58">
        <w:rPr>
          <w:lang w:val="en-US"/>
        </w:rPr>
        <w:t xml:space="preserve">. </w:t>
      </w:r>
    </w:p>
    <w:p w14:paraId="71A6384E" w14:textId="77777777" w:rsidR="00DE5A9E" w:rsidRPr="00DD1B58" w:rsidRDefault="00DE5A9E" w:rsidP="00177432">
      <w:pPr>
        <w:pStyle w:val="Heading5A"/>
        <w:numPr>
          <w:ilvl w:val="5"/>
          <w:numId w:val="7"/>
        </w:numPr>
        <w:rPr>
          <w:lang w:val="en-US"/>
        </w:rPr>
      </w:pPr>
      <w:r w:rsidRPr="00DD1B58">
        <w:rPr>
          <w:lang w:val="en-US"/>
        </w:rPr>
        <w:t>Lessons learned from inspection and assessment on the fire prevention as part of its regulatory oversight</w:t>
      </w:r>
    </w:p>
    <w:p w14:paraId="56D7361B" w14:textId="2F72CC9E" w:rsidR="00C46E1F" w:rsidRPr="00DD1B58" w:rsidRDefault="00D57795" w:rsidP="00C46E1F">
      <w:pPr>
        <w:rPr>
          <w:highlight w:val="yellow"/>
          <w:lang w:val="en-US"/>
        </w:rPr>
      </w:pPr>
      <w:r w:rsidRPr="00DD1B58">
        <w:rPr>
          <w:lang w:val="en-US"/>
        </w:rPr>
        <w:t>ONR has undertaken targeted inspections at PFR in July 2022</w:t>
      </w:r>
      <w:r w:rsidR="0084275E" w:rsidRPr="00DD1B58">
        <w:rPr>
          <w:lang w:val="en-US"/>
        </w:rPr>
        <w:t xml:space="preserve"> </w:t>
      </w:r>
      <w:sdt>
        <w:sdtPr>
          <w:rPr>
            <w:lang w:val="en-US"/>
          </w:rPr>
          <w:id w:val="-2057845538"/>
          <w:citation/>
        </w:sdtPr>
        <w:sdtContent>
          <w:r w:rsidR="008561FB" w:rsidRPr="00DD1B58">
            <w:rPr>
              <w:lang w:val="en-US"/>
            </w:rPr>
            <w:fldChar w:fldCharType="begin"/>
          </w:r>
          <w:r w:rsidR="008561FB" w:rsidRPr="00DD1B58">
            <w:rPr>
              <w:lang w:val="en-US"/>
            </w:rPr>
            <w:instrText xml:space="preserve"> CITATION Off8 \l 2057 </w:instrText>
          </w:r>
          <w:r w:rsidR="008561FB" w:rsidRPr="00DD1B58">
            <w:rPr>
              <w:lang w:val="en-US"/>
            </w:rPr>
            <w:fldChar w:fldCharType="separate"/>
          </w:r>
          <w:r w:rsidR="00DF47DA" w:rsidRPr="00DF47DA">
            <w:rPr>
              <w:noProof/>
              <w:lang w:val="en-US"/>
            </w:rPr>
            <w:t>[160]</w:t>
          </w:r>
          <w:r w:rsidR="008561FB" w:rsidRPr="00DD1B58">
            <w:rPr>
              <w:lang w:val="en-US"/>
            </w:rPr>
            <w:fldChar w:fldCharType="end"/>
          </w:r>
        </w:sdtContent>
      </w:sdt>
      <w:r w:rsidRPr="00DD1B58">
        <w:rPr>
          <w:lang w:val="en-US"/>
        </w:rPr>
        <w:t xml:space="preserve"> and February 2023 </w:t>
      </w:r>
      <w:sdt>
        <w:sdtPr>
          <w:rPr>
            <w:lang w:val="en-US"/>
          </w:rPr>
          <w:id w:val="-1963344304"/>
          <w:citation/>
        </w:sdtPr>
        <w:sdtContent>
          <w:r w:rsidR="008561FB" w:rsidRPr="00DD1B58">
            <w:rPr>
              <w:lang w:val="en-US"/>
            </w:rPr>
            <w:fldChar w:fldCharType="begin"/>
          </w:r>
          <w:r w:rsidR="008561FB" w:rsidRPr="00DD1B58">
            <w:rPr>
              <w:lang w:val="en-US"/>
            </w:rPr>
            <w:instrText xml:space="preserve"> CITATION Off7 \l 2057 </w:instrText>
          </w:r>
          <w:r w:rsidR="008561FB" w:rsidRPr="00DD1B58">
            <w:rPr>
              <w:lang w:val="en-US"/>
            </w:rPr>
            <w:fldChar w:fldCharType="separate"/>
          </w:r>
          <w:r w:rsidR="00DF47DA" w:rsidRPr="00DF47DA">
            <w:rPr>
              <w:noProof/>
              <w:lang w:val="en-US"/>
            </w:rPr>
            <w:t>[128]</w:t>
          </w:r>
          <w:r w:rsidR="008561FB" w:rsidRPr="00DD1B58">
            <w:rPr>
              <w:lang w:val="en-US"/>
            </w:rPr>
            <w:fldChar w:fldCharType="end"/>
          </w:r>
        </w:sdtContent>
      </w:sdt>
      <w:r w:rsidR="008561FB" w:rsidRPr="00DD1B58">
        <w:rPr>
          <w:lang w:val="en-US"/>
        </w:rPr>
        <w:t xml:space="preserve"> </w:t>
      </w:r>
      <w:r w:rsidRPr="00DD1B58">
        <w:rPr>
          <w:lang w:val="en-US"/>
        </w:rPr>
        <w:t xml:space="preserve">which both </w:t>
      </w:r>
      <w:r w:rsidR="00323691" w:rsidRPr="00DD1B58">
        <w:rPr>
          <w:lang w:val="en-US"/>
        </w:rPr>
        <w:t xml:space="preserve">sampled Dounreay’s </w:t>
      </w:r>
      <w:r w:rsidRPr="00DD1B58">
        <w:rPr>
          <w:lang w:val="en-US"/>
        </w:rPr>
        <w:t xml:space="preserve">fire prevention </w:t>
      </w:r>
      <w:r w:rsidR="008A06B2" w:rsidRPr="00DD1B58">
        <w:rPr>
          <w:lang w:val="en-US"/>
        </w:rPr>
        <w:t>measures</w:t>
      </w:r>
      <w:r w:rsidR="00BE6D07" w:rsidRPr="00DD1B58">
        <w:rPr>
          <w:lang w:val="en-US"/>
        </w:rPr>
        <w:t xml:space="preserve">. During the 2022 inspection ONR </w:t>
      </w:r>
      <w:r w:rsidR="00EC6747" w:rsidRPr="00DD1B58">
        <w:rPr>
          <w:lang w:val="en-US"/>
        </w:rPr>
        <w:t xml:space="preserve">found </w:t>
      </w:r>
      <w:r w:rsidR="00BE6D07" w:rsidRPr="00DD1B58">
        <w:rPr>
          <w:lang w:val="en-US"/>
        </w:rPr>
        <w:t xml:space="preserve">accumulation of combustibles </w:t>
      </w:r>
      <w:r w:rsidR="00A43FC9" w:rsidRPr="00DD1B58">
        <w:rPr>
          <w:lang w:val="en-US"/>
        </w:rPr>
        <w:t>within the Sodium Tank Farm at PFR</w:t>
      </w:r>
      <w:r w:rsidR="00EC6747" w:rsidRPr="00DD1B58">
        <w:rPr>
          <w:lang w:val="en-US"/>
        </w:rPr>
        <w:t>. This</w:t>
      </w:r>
      <w:r w:rsidR="001206A0" w:rsidRPr="00DD1B58">
        <w:rPr>
          <w:lang w:val="en-US"/>
        </w:rPr>
        <w:t xml:space="preserve"> </w:t>
      </w:r>
      <w:r w:rsidR="007A54A9" w:rsidRPr="00DD1B58">
        <w:rPr>
          <w:lang w:val="en-US"/>
        </w:rPr>
        <w:t>was inactive waste. ONR revis</w:t>
      </w:r>
      <w:r w:rsidR="006D234C" w:rsidRPr="00DD1B58">
        <w:rPr>
          <w:lang w:val="en-US"/>
        </w:rPr>
        <w:t>it</w:t>
      </w:r>
      <w:r w:rsidR="007A54A9" w:rsidRPr="00DD1B58">
        <w:rPr>
          <w:lang w:val="en-US"/>
        </w:rPr>
        <w:t xml:space="preserve">ed </w:t>
      </w:r>
      <w:r w:rsidR="00F6526B" w:rsidRPr="00DD1B58">
        <w:rPr>
          <w:lang w:val="en-US"/>
        </w:rPr>
        <w:t xml:space="preserve">the facility in 2023 </w:t>
      </w:r>
      <w:r w:rsidR="007A54A9" w:rsidRPr="00DD1B58">
        <w:rPr>
          <w:lang w:val="en-US"/>
        </w:rPr>
        <w:t>and was satisfied that</w:t>
      </w:r>
      <w:r w:rsidR="00F6526B" w:rsidRPr="00DD1B58">
        <w:rPr>
          <w:lang w:val="en-US"/>
        </w:rPr>
        <w:t xml:space="preserve"> housekeeping </w:t>
      </w:r>
      <w:r w:rsidR="007A54A9" w:rsidRPr="00DD1B58">
        <w:rPr>
          <w:lang w:val="en-US"/>
        </w:rPr>
        <w:t xml:space="preserve">had improved in the area. </w:t>
      </w:r>
      <w:r w:rsidR="00B65A92" w:rsidRPr="00DD1B58">
        <w:rPr>
          <w:lang w:val="en-US"/>
        </w:rPr>
        <w:t>During the 2023 inspection</w:t>
      </w:r>
      <w:r w:rsidR="007A54A9" w:rsidRPr="00DD1B58">
        <w:rPr>
          <w:lang w:val="en-US"/>
        </w:rPr>
        <w:t>, ONR inspect</w:t>
      </w:r>
      <w:r w:rsidR="009A20CD" w:rsidRPr="00DD1B58">
        <w:rPr>
          <w:lang w:val="en-US"/>
        </w:rPr>
        <w:t>or</w:t>
      </w:r>
      <w:r w:rsidR="007A54A9" w:rsidRPr="00DD1B58">
        <w:rPr>
          <w:lang w:val="en-US"/>
        </w:rPr>
        <w:t xml:space="preserve">s found </w:t>
      </w:r>
      <w:r w:rsidR="00B65A92" w:rsidRPr="00DD1B58">
        <w:rPr>
          <w:lang w:val="en-US"/>
        </w:rPr>
        <w:t xml:space="preserve">wooden scaffolding boards </w:t>
      </w:r>
      <w:r w:rsidR="007A54A9" w:rsidRPr="00DD1B58">
        <w:rPr>
          <w:lang w:val="en-US"/>
        </w:rPr>
        <w:t xml:space="preserve">temporarily </w:t>
      </w:r>
      <w:r w:rsidR="00B65A92" w:rsidRPr="00DD1B58">
        <w:rPr>
          <w:lang w:val="en-US"/>
        </w:rPr>
        <w:t xml:space="preserve">stored against structural steel in the </w:t>
      </w:r>
      <w:r w:rsidR="00772FB0" w:rsidRPr="00DD1B58">
        <w:rPr>
          <w:lang w:val="en-US"/>
        </w:rPr>
        <w:t>PFR reactor hall/decontamination area</w:t>
      </w:r>
      <w:r w:rsidR="007A54A9" w:rsidRPr="00DD1B58">
        <w:rPr>
          <w:lang w:val="en-US"/>
        </w:rPr>
        <w:t>,</w:t>
      </w:r>
      <w:r w:rsidR="00772FB0" w:rsidRPr="00DD1B58">
        <w:rPr>
          <w:lang w:val="en-US"/>
        </w:rPr>
        <w:t xml:space="preserve"> in proximity to hydrogen </w:t>
      </w:r>
      <w:r w:rsidR="007A54A9" w:rsidRPr="00DD1B58">
        <w:rPr>
          <w:lang w:val="en-US"/>
        </w:rPr>
        <w:t>pipework</w:t>
      </w:r>
      <w:r w:rsidR="00001D44" w:rsidRPr="00DD1B58">
        <w:rPr>
          <w:lang w:val="en-US"/>
        </w:rPr>
        <w:t xml:space="preserve">. ONR </w:t>
      </w:r>
      <w:r w:rsidR="00A555E3" w:rsidRPr="00DD1B58">
        <w:rPr>
          <w:lang w:val="en-US"/>
        </w:rPr>
        <w:t>provided regulatory advice, Dounreay removed them on the</w:t>
      </w:r>
      <w:r w:rsidR="006B1C05" w:rsidRPr="00DD1B58">
        <w:rPr>
          <w:lang w:val="en-US"/>
        </w:rPr>
        <w:t xml:space="preserve"> day </w:t>
      </w:r>
      <w:r w:rsidR="00A37D86" w:rsidRPr="00DD1B58">
        <w:rPr>
          <w:lang w:val="en-US"/>
        </w:rPr>
        <w:t xml:space="preserve">and </w:t>
      </w:r>
      <w:r w:rsidR="00A555E3" w:rsidRPr="00DD1B58">
        <w:rPr>
          <w:lang w:val="en-US"/>
        </w:rPr>
        <w:t>responded that it was progressing an</w:t>
      </w:r>
      <w:r w:rsidR="00A37D86" w:rsidRPr="00DD1B58">
        <w:rPr>
          <w:lang w:val="en-US"/>
        </w:rPr>
        <w:t xml:space="preserve"> initiative to replace wooden boards with metal where</w:t>
      </w:r>
      <w:r w:rsidR="00A555E3" w:rsidRPr="00DD1B58">
        <w:rPr>
          <w:lang w:val="en-US"/>
        </w:rPr>
        <w:t>ver possible</w:t>
      </w:r>
      <w:r w:rsidR="00A37D86" w:rsidRPr="00DD1B58">
        <w:rPr>
          <w:lang w:val="en-US"/>
        </w:rPr>
        <w:t>.</w:t>
      </w:r>
      <w:r w:rsidR="00C46E1F" w:rsidRPr="00DD1B58">
        <w:rPr>
          <w:highlight w:val="yellow"/>
          <w:lang w:val="en-US"/>
        </w:rPr>
        <w:br w:type="page"/>
      </w:r>
    </w:p>
    <w:p w14:paraId="19438320" w14:textId="77777777" w:rsidR="00D34C6F" w:rsidRPr="00DD1B58" w:rsidRDefault="00D34C6F" w:rsidP="00177432">
      <w:pPr>
        <w:pStyle w:val="Heading2A"/>
        <w:rPr>
          <w:lang w:val="en-US"/>
        </w:rPr>
      </w:pPr>
      <w:bookmarkStart w:id="100" w:name="_Toc147090644"/>
      <w:r w:rsidRPr="00DD1B58">
        <w:rPr>
          <w:lang w:val="en-US"/>
        </w:rPr>
        <w:t>Active fire protection</w:t>
      </w:r>
      <w:bookmarkEnd w:id="100"/>
      <w:r w:rsidRPr="00DD1B58">
        <w:rPr>
          <w:lang w:val="en-US"/>
        </w:rPr>
        <w:t xml:space="preserve"> </w:t>
      </w:r>
    </w:p>
    <w:p w14:paraId="4E0A29E2" w14:textId="209A8A02" w:rsidR="00290CFB" w:rsidRPr="00DD1B58" w:rsidRDefault="00290CFB" w:rsidP="00177432">
      <w:pPr>
        <w:pStyle w:val="Heading3A"/>
        <w:rPr>
          <w:lang w:val="en-US"/>
        </w:rPr>
      </w:pPr>
      <w:bookmarkStart w:id="101" w:name="_Ref140147765"/>
      <w:bookmarkStart w:id="102" w:name="_Toc147090645"/>
      <w:r w:rsidRPr="00DD1B58">
        <w:rPr>
          <w:lang w:val="en-US"/>
        </w:rPr>
        <w:t xml:space="preserve">Nuclear </w:t>
      </w:r>
      <w:r w:rsidR="0068227F" w:rsidRPr="00DD1B58">
        <w:rPr>
          <w:lang w:val="en-US"/>
        </w:rPr>
        <w:t>p</w:t>
      </w:r>
      <w:r w:rsidRPr="00DD1B58">
        <w:rPr>
          <w:lang w:val="en-US"/>
        </w:rPr>
        <w:t xml:space="preserve">ower </w:t>
      </w:r>
      <w:r w:rsidR="0068227F" w:rsidRPr="00DD1B58">
        <w:rPr>
          <w:lang w:val="en-US"/>
        </w:rPr>
        <w:t>p</w:t>
      </w:r>
      <w:r w:rsidRPr="00DD1B58">
        <w:rPr>
          <w:lang w:val="en-US"/>
        </w:rPr>
        <w:t>lants</w:t>
      </w:r>
      <w:bookmarkEnd w:id="101"/>
      <w:bookmarkEnd w:id="102"/>
    </w:p>
    <w:p w14:paraId="76F592F9" w14:textId="6D630B9D" w:rsidR="00D1043F" w:rsidRPr="00DD1B58" w:rsidRDefault="00D1043F" w:rsidP="00094AD4">
      <w:pPr>
        <w:rPr>
          <w:lang w:val="en-US"/>
        </w:rPr>
      </w:pPr>
      <w:r w:rsidRPr="00DD1B58">
        <w:rPr>
          <w:lang w:val="en-US"/>
        </w:rPr>
        <w:t xml:space="preserve">The text in the Sections below has been prepared by EDF NGL and NNB GenCo. Background information on the sites and the range of installations considered in the scope of the assessment is provided in Sections </w:t>
      </w:r>
      <w:r w:rsidRPr="00DD1B58">
        <w:rPr>
          <w:lang w:val="en-US"/>
        </w:rPr>
        <w:fldChar w:fldCharType="begin"/>
      </w:r>
      <w:r w:rsidRPr="00DD1B58">
        <w:rPr>
          <w:lang w:val="en-US"/>
        </w:rPr>
        <w:instrText xml:space="preserve"> REF _Ref135231533 \r \h  \* MERGEFORMAT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 MERGEFORMAT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46144C6C" w14:textId="04287504" w:rsidR="00290CFB" w:rsidRPr="00DD1B58" w:rsidRDefault="00290CFB" w:rsidP="00177432">
      <w:pPr>
        <w:pStyle w:val="Heading4A"/>
        <w:rPr>
          <w:lang w:val="en-US"/>
        </w:rPr>
      </w:pPr>
      <w:r w:rsidRPr="00DD1B58">
        <w:rPr>
          <w:lang w:val="en-US"/>
        </w:rPr>
        <w:t xml:space="preserve">Operating </w:t>
      </w:r>
      <w:r w:rsidR="0068227F" w:rsidRPr="00DD1B58">
        <w:rPr>
          <w:lang w:val="en-US"/>
        </w:rPr>
        <w:t>f</w:t>
      </w:r>
      <w:r w:rsidRPr="00DD1B58">
        <w:rPr>
          <w:lang w:val="en-US"/>
        </w:rPr>
        <w:t>acilities</w:t>
      </w:r>
      <w:r w:rsidR="00657054" w:rsidRPr="00DD1B58">
        <w:rPr>
          <w:lang w:val="en-US"/>
        </w:rPr>
        <w:t xml:space="preserve"> – EDF </w:t>
      </w:r>
      <w:r w:rsidR="3E6674FC" w:rsidRPr="00DD1B58">
        <w:rPr>
          <w:lang w:val="en-US"/>
        </w:rPr>
        <w:t>NG</w:t>
      </w:r>
      <w:r w:rsidR="4EC55098" w:rsidRPr="00DD1B58">
        <w:rPr>
          <w:lang w:val="en-US"/>
        </w:rPr>
        <w:t>L</w:t>
      </w:r>
    </w:p>
    <w:p w14:paraId="13C4AFB7" w14:textId="77777777" w:rsidR="00C46E1F" w:rsidRPr="00DD1B58" w:rsidRDefault="005A2434" w:rsidP="00177432">
      <w:pPr>
        <w:pStyle w:val="Heading5A"/>
        <w:rPr>
          <w:lang w:val="en-US"/>
        </w:rPr>
      </w:pPr>
      <w:r w:rsidRPr="00DD1B58">
        <w:rPr>
          <w:lang w:val="en-US"/>
        </w:rPr>
        <w:t>Fire detection and alarm provisions</w:t>
      </w:r>
    </w:p>
    <w:p w14:paraId="7B95C935" w14:textId="53B7490C" w:rsidR="005A2434" w:rsidRPr="00DD1B58" w:rsidRDefault="001D1974" w:rsidP="00177432">
      <w:pPr>
        <w:pStyle w:val="Heading5A"/>
        <w:numPr>
          <w:ilvl w:val="5"/>
          <w:numId w:val="7"/>
        </w:numPr>
        <w:rPr>
          <w:szCs w:val="24"/>
          <w:lang w:val="en-US"/>
        </w:rPr>
      </w:pPr>
      <w:r w:rsidRPr="00DD1B58">
        <w:rPr>
          <w:lang w:val="en-US"/>
        </w:rPr>
        <w:t xml:space="preserve">Design </w:t>
      </w:r>
      <w:r w:rsidR="0068227F" w:rsidRPr="00DD1B58">
        <w:rPr>
          <w:lang w:val="en-US"/>
        </w:rPr>
        <w:t>a</w:t>
      </w:r>
      <w:r w:rsidRPr="00DD1B58">
        <w:rPr>
          <w:lang w:val="en-US"/>
        </w:rPr>
        <w:t>pproach</w:t>
      </w:r>
    </w:p>
    <w:p w14:paraId="3C54EC44" w14:textId="2943EF87" w:rsidR="53B650C8" w:rsidRPr="00DD1B58" w:rsidRDefault="53B650C8" w:rsidP="00CA6CEB">
      <w:pPr>
        <w:rPr>
          <w:b/>
          <w:lang w:val="en-US"/>
        </w:rPr>
      </w:pPr>
      <w:r w:rsidRPr="00DD1B58">
        <w:rPr>
          <w:b/>
          <w:lang w:val="en-US"/>
        </w:rPr>
        <w:t>General</w:t>
      </w:r>
      <w:r w:rsidR="00CE4F84" w:rsidRPr="00DD1B58">
        <w:rPr>
          <w:lang w:val="en-US"/>
        </w:rPr>
        <w:t xml:space="preserve"> </w:t>
      </w:r>
      <w:r w:rsidR="004F4240" w:rsidRPr="00DD1B58">
        <w:rPr>
          <w:lang w:val="en-US"/>
        </w:rPr>
        <w:t xml:space="preserve">- </w:t>
      </w:r>
      <w:r w:rsidRPr="00DD1B58">
        <w:rPr>
          <w:lang w:val="en-US"/>
        </w:rPr>
        <w:t xml:space="preserve">Fire detection </w:t>
      </w:r>
      <w:r w:rsidR="000E31AE" w:rsidRPr="00DD1B58">
        <w:rPr>
          <w:lang w:val="en-US"/>
        </w:rPr>
        <w:t xml:space="preserve">at </w:t>
      </w:r>
      <w:r w:rsidR="00C362CA" w:rsidRPr="00DD1B58">
        <w:rPr>
          <w:lang w:val="en-US"/>
        </w:rPr>
        <w:t>EDF NGL</w:t>
      </w:r>
      <w:r w:rsidRPr="00DD1B58">
        <w:rPr>
          <w:lang w:val="en-US"/>
        </w:rPr>
        <w:t xml:space="preserve"> </w:t>
      </w:r>
      <w:r w:rsidR="000E31AE" w:rsidRPr="00DD1B58">
        <w:rPr>
          <w:lang w:val="en-US"/>
        </w:rPr>
        <w:t xml:space="preserve">sites </w:t>
      </w:r>
      <w:r w:rsidRPr="00DD1B58">
        <w:rPr>
          <w:lang w:val="en-US"/>
        </w:rPr>
        <w:t>is for mainly for life safety directly, but also for defence in depth</w:t>
      </w:r>
      <w:r w:rsidR="5965FFC0" w:rsidRPr="00DD1B58">
        <w:rPr>
          <w:lang w:val="en-US"/>
        </w:rPr>
        <w:t xml:space="preserve"> </w:t>
      </w:r>
      <w:r w:rsidRPr="00DD1B58">
        <w:rPr>
          <w:lang w:val="en-US"/>
        </w:rPr>
        <w:t>for areas with a nuclear safety requirement.</w:t>
      </w:r>
      <w:r w:rsidR="005D6E81" w:rsidRPr="00DD1B58">
        <w:rPr>
          <w:lang w:val="en-US"/>
        </w:rPr>
        <w:t xml:space="preserve"> (except for </w:t>
      </w:r>
      <w:r w:rsidR="000F4109" w:rsidRPr="00DD1B58">
        <w:rPr>
          <w:lang w:val="en-US"/>
        </w:rPr>
        <w:t>the first generation AGRs</w:t>
      </w:r>
      <w:r w:rsidR="00DE73D0" w:rsidRPr="00DD1B58">
        <w:rPr>
          <w:lang w:val="en-US"/>
        </w:rPr>
        <w:t xml:space="preserve"> – see below).</w:t>
      </w:r>
    </w:p>
    <w:p w14:paraId="20F8C9D7" w14:textId="2F7B26FE" w:rsidR="53B650C8" w:rsidRPr="00DD1B58" w:rsidRDefault="000E31AE" w:rsidP="00CA6CEB">
      <w:pPr>
        <w:rPr>
          <w:lang w:val="en-US"/>
        </w:rPr>
      </w:pPr>
      <w:r w:rsidRPr="00DD1B58">
        <w:rPr>
          <w:lang w:val="en-US"/>
        </w:rPr>
        <w:t>EDF NGL state</w:t>
      </w:r>
      <w:r w:rsidR="003220E2" w:rsidRPr="00DD1B58">
        <w:rPr>
          <w:lang w:val="en-US"/>
        </w:rPr>
        <w:t>s</w:t>
      </w:r>
      <w:r w:rsidRPr="00DD1B58">
        <w:rPr>
          <w:lang w:val="en-US"/>
        </w:rPr>
        <w:t xml:space="preserve"> that </w:t>
      </w:r>
      <w:r w:rsidR="53B650C8" w:rsidRPr="00DD1B58">
        <w:rPr>
          <w:lang w:val="en-US"/>
        </w:rPr>
        <w:t xml:space="preserve">following features </w:t>
      </w:r>
      <w:r w:rsidRPr="00DD1B58">
        <w:rPr>
          <w:lang w:val="en-US"/>
        </w:rPr>
        <w:t>apply</w:t>
      </w:r>
      <w:r w:rsidR="53B650C8" w:rsidRPr="00DD1B58">
        <w:rPr>
          <w:lang w:val="en-US"/>
        </w:rPr>
        <w:t>:</w:t>
      </w:r>
    </w:p>
    <w:p w14:paraId="03640E7B" w14:textId="77777777" w:rsidR="53B650C8" w:rsidRPr="00DD1B58" w:rsidRDefault="00B26F7A" w:rsidP="005105AD">
      <w:pPr>
        <w:pStyle w:val="Bulletlist1"/>
        <w:rPr>
          <w:lang w:val="en-US"/>
        </w:rPr>
      </w:pPr>
      <w:r w:rsidRPr="00DD1B58">
        <w:rPr>
          <w:lang w:val="en-US"/>
        </w:rPr>
        <w:t xml:space="preserve">There is </w:t>
      </w:r>
      <w:r w:rsidR="00087312" w:rsidRPr="00DD1B58">
        <w:rPr>
          <w:lang w:val="en-US"/>
        </w:rPr>
        <w:t>Liner Heat Detection Cable (</w:t>
      </w:r>
      <w:r w:rsidR="53B650C8" w:rsidRPr="00DD1B58">
        <w:rPr>
          <w:lang w:val="en-US"/>
        </w:rPr>
        <w:t>LHDC</w:t>
      </w:r>
      <w:r w:rsidR="00087312" w:rsidRPr="00DD1B58">
        <w:rPr>
          <w:lang w:val="en-US"/>
        </w:rPr>
        <w:t>)</w:t>
      </w:r>
      <w:r w:rsidR="53B650C8" w:rsidRPr="00DD1B58">
        <w:rPr>
          <w:lang w:val="en-US"/>
        </w:rPr>
        <w:t xml:space="preserve"> at HNB and other first generation AGRs in the cable flats. However, these plants also</w:t>
      </w:r>
      <w:r w:rsidR="7295EEA2" w:rsidRPr="00DD1B58">
        <w:rPr>
          <w:lang w:val="en-US"/>
        </w:rPr>
        <w:t xml:space="preserve"> </w:t>
      </w:r>
      <w:r w:rsidR="53B650C8" w:rsidRPr="00DD1B58">
        <w:rPr>
          <w:lang w:val="en-US"/>
        </w:rPr>
        <w:t>have back-up auxiliary feed (added since the original design) which are available if they lose</w:t>
      </w:r>
      <w:r w:rsidR="0EDC262C" w:rsidRPr="00DD1B58">
        <w:rPr>
          <w:lang w:val="en-US"/>
        </w:rPr>
        <w:t xml:space="preserve"> </w:t>
      </w:r>
      <w:r w:rsidR="53B650C8" w:rsidRPr="00DD1B58">
        <w:rPr>
          <w:lang w:val="en-US"/>
        </w:rPr>
        <w:t>a cable flat.</w:t>
      </w:r>
    </w:p>
    <w:p w14:paraId="308C4233" w14:textId="41C27CC2" w:rsidR="53B650C8" w:rsidRPr="00DD1B58" w:rsidRDefault="00651499" w:rsidP="005105AD">
      <w:pPr>
        <w:pStyle w:val="Bulletlist1"/>
        <w:rPr>
          <w:lang w:val="en-US"/>
        </w:rPr>
      </w:pPr>
      <w:r w:rsidRPr="00DD1B58">
        <w:rPr>
          <w:lang w:val="en-US"/>
        </w:rPr>
        <w:t>There are t</w:t>
      </w:r>
      <w:r w:rsidR="53B650C8" w:rsidRPr="00DD1B58">
        <w:rPr>
          <w:lang w:val="en-US"/>
        </w:rPr>
        <w:t>hermocouples on the Dungeness B Gas Circulator penetration tubes and associated panels</w:t>
      </w:r>
      <w:r w:rsidR="4FAF2D62" w:rsidRPr="00DD1B58">
        <w:rPr>
          <w:lang w:val="en-US"/>
        </w:rPr>
        <w:t xml:space="preserve"> </w:t>
      </w:r>
      <w:r w:rsidR="53B650C8" w:rsidRPr="00DD1B58">
        <w:rPr>
          <w:lang w:val="en-US"/>
        </w:rPr>
        <w:t>to detect fire, initiate CO2 fire suppression and close dampers to protect the pressure boundary.</w:t>
      </w:r>
    </w:p>
    <w:p w14:paraId="0FD47D3D" w14:textId="2293B6D7" w:rsidR="53B650C8" w:rsidRPr="00DD1B58" w:rsidRDefault="00651499" w:rsidP="005105AD">
      <w:pPr>
        <w:pStyle w:val="Bulletlist1"/>
        <w:rPr>
          <w:lang w:val="en-US"/>
        </w:rPr>
      </w:pPr>
      <w:r w:rsidRPr="00DD1B58">
        <w:rPr>
          <w:lang w:val="en-US"/>
        </w:rPr>
        <w:t xml:space="preserve">The </w:t>
      </w:r>
      <w:r w:rsidR="53B650C8" w:rsidRPr="00DD1B58">
        <w:rPr>
          <w:lang w:val="en-US"/>
        </w:rPr>
        <w:t>Infra-Red flame detection in the HNB gas circulator halls to bring in the foam systems is</w:t>
      </w:r>
      <w:r w:rsidR="6CCFEE0D" w:rsidRPr="00DD1B58">
        <w:rPr>
          <w:lang w:val="en-US"/>
        </w:rPr>
        <w:t xml:space="preserve"> </w:t>
      </w:r>
      <w:r w:rsidR="53B650C8" w:rsidRPr="00DD1B58">
        <w:rPr>
          <w:lang w:val="en-US"/>
        </w:rPr>
        <w:t xml:space="preserve">about to be deleted from the safety case. As noted, HNB is no longer </w:t>
      </w:r>
      <w:r w:rsidR="008D2149" w:rsidRPr="00DD1B58">
        <w:rPr>
          <w:lang w:val="en-US"/>
        </w:rPr>
        <w:t>generating</w:t>
      </w:r>
      <w:r w:rsidR="53B650C8" w:rsidRPr="00DD1B58">
        <w:rPr>
          <w:lang w:val="en-US"/>
        </w:rPr>
        <w:t>.</w:t>
      </w:r>
    </w:p>
    <w:p w14:paraId="65D5576A" w14:textId="77777777" w:rsidR="53B650C8" w:rsidRPr="00DD1B58" w:rsidRDefault="53B650C8" w:rsidP="005105AD">
      <w:pPr>
        <w:pStyle w:val="Bulletlist1"/>
        <w:rPr>
          <w:lang w:val="en-US"/>
        </w:rPr>
      </w:pPr>
      <w:r w:rsidRPr="00DD1B58">
        <w:rPr>
          <w:lang w:val="en-US"/>
        </w:rPr>
        <w:t>There is no fire detection provisions of nuclear</w:t>
      </w:r>
      <w:r w:rsidR="00651499" w:rsidRPr="00DD1B58">
        <w:rPr>
          <w:lang w:val="en-US"/>
        </w:rPr>
        <w:t xml:space="preserve"> safety</w:t>
      </w:r>
      <w:r w:rsidRPr="00DD1B58">
        <w:rPr>
          <w:lang w:val="en-US"/>
        </w:rPr>
        <w:t xml:space="preserve"> significance at SZB/HY2.</w:t>
      </w:r>
    </w:p>
    <w:p w14:paraId="44875792" w14:textId="49E08F81" w:rsidR="22B8A555" w:rsidRPr="00DD1B58" w:rsidRDefault="22B8A555" w:rsidP="69C23859">
      <w:pPr>
        <w:rPr>
          <w:noProof/>
          <w:szCs w:val="24"/>
          <w:lang w:val="en-US"/>
        </w:rPr>
      </w:pPr>
      <w:r w:rsidRPr="00DD1B58">
        <w:rPr>
          <w:b/>
          <w:lang w:val="en-US"/>
        </w:rPr>
        <w:t>First Generation AGRs (</w:t>
      </w:r>
      <w:r w:rsidR="00B25547" w:rsidRPr="00DD1B58">
        <w:rPr>
          <w:b/>
          <w:lang w:val="en-US"/>
        </w:rPr>
        <w:t>HN</w:t>
      </w:r>
      <w:r w:rsidRPr="00DD1B58">
        <w:rPr>
          <w:b/>
          <w:lang w:val="en-US"/>
        </w:rPr>
        <w:t>B)</w:t>
      </w:r>
      <w:r w:rsidR="004F4240" w:rsidRPr="00DD1B58">
        <w:rPr>
          <w:b/>
          <w:lang w:val="en-US"/>
        </w:rPr>
        <w:t xml:space="preserve"> </w:t>
      </w:r>
      <w:r w:rsidR="00BD6ADD" w:rsidRPr="00DD1B58">
        <w:rPr>
          <w:b/>
          <w:lang w:val="en-US"/>
        </w:rPr>
        <w:t>–</w:t>
      </w:r>
      <w:r w:rsidR="004F4240" w:rsidRPr="00DD1B58">
        <w:rPr>
          <w:b/>
          <w:lang w:val="en-US"/>
        </w:rPr>
        <w:t xml:space="preserve"> </w:t>
      </w:r>
      <w:r w:rsidR="00BD6ADD" w:rsidRPr="00DD1B58">
        <w:rPr>
          <w:noProof/>
          <w:lang w:val="en-US"/>
        </w:rPr>
        <w:t xml:space="preserve">EDF NGL considers that </w:t>
      </w:r>
      <w:r w:rsidRPr="00DD1B58">
        <w:rPr>
          <w:noProof/>
          <w:lang w:val="en-US"/>
        </w:rPr>
        <w:t>fire detection is highly developed at this station, as fire detection is claimed within the nuclear</w:t>
      </w:r>
      <w:r w:rsidR="00DE3C64" w:rsidRPr="00DD1B58">
        <w:rPr>
          <w:noProof/>
          <w:lang w:val="en-US"/>
        </w:rPr>
        <w:t xml:space="preserve"> </w:t>
      </w:r>
      <w:r w:rsidRPr="00DD1B58">
        <w:rPr>
          <w:noProof/>
          <w:lang w:val="en-US"/>
        </w:rPr>
        <w:t>safety case.</w:t>
      </w:r>
    </w:p>
    <w:p w14:paraId="1D4F68F3" w14:textId="4EBC28B8" w:rsidR="22B8A555" w:rsidRPr="00DD1B58" w:rsidRDefault="22B8A555" w:rsidP="69C23859">
      <w:pPr>
        <w:rPr>
          <w:noProof/>
          <w:szCs w:val="24"/>
          <w:lang w:val="en-US"/>
        </w:rPr>
      </w:pPr>
      <w:r w:rsidRPr="00DD1B58">
        <w:rPr>
          <w:b/>
          <w:noProof/>
          <w:lang w:val="en-US"/>
        </w:rPr>
        <w:t>Second Generation AGRs (</w:t>
      </w:r>
      <w:r w:rsidR="00B25547" w:rsidRPr="00DD1B58">
        <w:rPr>
          <w:b/>
          <w:noProof/>
          <w:lang w:val="en-US"/>
        </w:rPr>
        <w:t>HY</w:t>
      </w:r>
      <w:r w:rsidRPr="00DD1B58">
        <w:rPr>
          <w:b/>
          <w:noProof/>
          <w:lang w:val="en-US"/>
        </w:rPr>
        <w:t>2)</w:t>
      </w:r>
      <w:r w:rsidR="004F4240" w:rsidRPr="00DD1B58">
        <w:rPr>
          <w:b/>
          <w:noProof/>
          <w:lang w:val="en-US"/>
        </w:rPr>
        <w:t xml:space="preserve"> - </w:t>
      </w:r>
      <w:r w:rsidRPr="00DD1B58">
        <w:rPr>
          <w:noProof/>
          <w:lang w:val="en-US"/>
        </w:rPr>
        <w:t xml:space="preserve">These stations were built utilising passive protection for the four safety trains. </w:t>
      </w:r>
      <w:r w:rsidR="00F92E0A" w:rsidRPr="00DD1B58">
        <w:rPr>
          <w:noProof/>
          <w:lang w:val="en-US"/>
        </w:rPr>
        <w:t>EDF NGL report</w:t>
      </w:r>
      <w:r w:rsidR="008105D1" w:rsidRPr="00DD1B58">
        <w:rPr>
          <w:noProof/>
          <w:lang w:val="en-US"/>
        </w:rPr>
        <w:t>s</w:t>
      </w:r>
      <w:r w:rsidR="00F92E0A" w:rsidRPr="00DD1B58">
        <w:rPr>
          <w:noProof/>
          <w:lang w:val="en-US"/>
        </w:rPr>
        <w:t xml:space="preserve"> that</w:t>
      </w:r>
      <w:r w:rsidR="00375628" w:rsidRPr="00DD1B58">
        <w:rPr>
          <w:noProof/>
          <w:lang w:val="en-US"/>
        </w:rPr>
        <w:t>, nevertheles,</w:t>
      </w:r>
      <w:r w:rsidR="00F92E0A" w:rsidRPr="00DD1B58">
        <w:rPr>
          <w:noProof/>
          <w:lang w:val="en-US"/>
        </w:rPr>
        <w:t xml:space="preserve"> </w:t>
      </w:r>
      <w:r w:rsidR="00375628" w:rsidRPr="00DD1B58">
        <w:rPr>
          <w:noProof/>
          <w:lang w:val="en-US"/>
        </w:rPr>
        <w:t xml:space="preserve">fire detection is provided </w:t>
      </w:r>
      <w:r w:rsidRPr="00DD1B58">
        <w:rPr>
          <w:noProof/>
          <w:lang w:val="en-US"/>
        </w:rPr>
        <w:t>regardless</w:t>
      </w:r>
      <w:r w:rsidR="1D8B49B1" w:rsidRPr="00DD1B58">
        <w:rPr>
          <w:noProof/>
          <w:lang w:val="en-US"/>
        </w:rPr>
        <w:t xml:space="preserve"> </w:t>
      </w:r>
      <w:r w:rsidRPr="00DD1B58">
        <w:rPr>
          <w:noProof/>
          <w:lang w:val="en-US"/>
        </w:rPr>
        <w:t xml:space="preserve">of how </w:t>
      </w:r>
      <w:r w:rsidR="00375628" w:rsidRPr="00DD1B58">
        <w:rPr>
          <w:noProof/>
          <w:lang w:val="en-US"/>
        </w:rPr>
        <w:t>nuclear safety consideration are</w:t>
      </w:r>
      <w:r w:rsidRPr="00DD1B58">
        <w:rPr>
          <w:noProof/>
          <w:lang w:val="en-US"/>
        </w:rPr>
        <w:t xml:space="preserve"> dealt with subsequently</w:t>
      </w:r>
      <w:r w:rsidR="00375628" w:rsidRPr="00DD1B58">
        <w:rPr>
          <w:noProof/>
          <w:lang w:val="en-US"/>
        </w:rPr>
        <w:t>, i.e.</w:t>
      </w:r>
      <w:r w:rsidR="00804EBD" w:rsidRPr="00DD1B58">
        <w:rPr>
          <w:noProof/>
          <w:lang w:val="en-US"/>
        </w:rPr>
        <w:t xml:space="preserve"> EDF NGL state</w:t>
      </w:r>
      <w:r w:rsidR="008105D1" w:rsidRPr="00DD1B58">
        <w:rPr>
          <w:noProof/>
          <w:lang w:val="en-US"/>
        </w:rPr>
        <w:t>s</w:t>
      </w:r>
      <w:r w:rsidR="00804EBD" w:rsidRPr="00DD1B58">
        <w:rPr>
          <w:noProof/>
          <w:lang w:val="en-US"/>
        </w:rPr>
        <w:t xml:space="preserve"> that,</w:t>
      </w:r>
      <w:r w:rsidR="00375628" w:rsidRPr="00DD1B58">
        <w:rPr>
          <w:noProof/>
          <w:lang w:val="en-US"/>
        </w:rPr>
        <w:t xml:space="preserve"> </w:t>
      </w:r>
      <w:r w:rsidR="00A823D2" w:rsidRPr="00DD1B58">
        <w:rPr>
          <w:noProof/>
          <w:lang w:val="en-US"/>
        </w:rPr>
        <w:t>i</w:t>
      </w:r>
      <w:r w:rsidRPr="00DD1B58">
        <w:rPr>
          <w:noProof/>
          <w:lang w:val="en-US"/>
        </w:rPr>
        <w:t xml:space="preserve">n the event of a fire causing the failure of operating systems or components, </w:t>
      </w:r>
      <w:r w:rsidR="00375628" w:rsidRPr="00DD1B58">
        <w:rPr>
          <w:noProof/>
          <w:lang w:val="en-US"/>
        </w:rPr>
        <w:t xml:space="preserve">the </w:t>
      </w:r>
      <w:r w:rsidRPr="00DD1B58">
        <w:rPr>
          <w:noProof/>
          <w:lang w:val="en-US"/>
        </w:rPr>
        <w:t>reactor safety systems</w:t>
      </w:r>
      <w:r w:rsidR="13D9F52E" w:rsidRPr="00DD1B58">
        <w:rPr>
          <w:noProof/>
          <w:lang w:val="en-US"/>
        </w:rPr>
        <w:t xml:space="preserve"> </w:t>
      </w:r>
      <w:r w:rsidR="00375628" w:rsidRPr="00DD1B58">
        <w:rPr>
          <w:noProof/>
          <w:lang w:val="en-US"/>
        </w:rPr>
        <w:t xml:space="preserve">would </w:t>
      </w:r>
      <w:r w:rsidRPr="00DD1B58">
        <w:rPr>
          <w:noProof/>
          <w:lang w:val="en-US"/>
        </w:rPr>
        <w:t xml:space="preserve">detect any safety related effects on the reactor. Hence, for most fires, there is no </w:t>
      </w:r>
      <w:r w:rsidR="00804EBD" w:rsidRPr="00DD1B58">
        <w:rPr>
          <w:noProof/>
          <w:lang w:val="en-US"/>
        </w:rPr>
        <w:t xml:space="preserve">specific </w:t>
      </w:r>
      <w:r w:rsidRPr="00DD1B58">
        <w:rPr>
          <w:noProof/>
          <w:lang w:val="en-US"/>
        </w:rPr>
        <w:t>need for additional</w:t>
      </w:r>
      <w:r w:rsidR="6FB9C58B" w:rsidRPr="00DD1B58">
        <w:rPr>
          <w:noProof/>
          <w:lang w:val="en-US"/>
        </w:rPr>
        <w:t xml:space="preserve"> </w:t>
      </w:r>
      <w:r w:rsidRPr="00DD1B58">
        <w:rPr>
          <w:noProof/>
          <w:lang w:val="en-US"/>
        </w:rPr>
        <w:t>detection systems.</w:t>
      </w:r>
      <w:r w:rsidR="00804EBD" w:rsidRPr="00DD1B58">
        <w:rPr>
          <w:noProof/>
          <w:lang w:val="en-US"/>
        </w:rPr>
        <w:t xml:space="preserve"> However, EDF NGL report</w:t>
      </w:r>
      <w:r w:rsidR="008105D1" w:rsidRPr="00DD1B58">
        <w:rPr>
          <w:noProof/>
          <w:lang w:val="en-US"/>
        </w:rPr>
        <w:t>s</w:t>
      </w:r>
      <w:r w:rsidR="00804EBD" w:rsidRPr="00DD1B58">
        <w:rPr>
          <w:noProof/>
          <w:lang w:val="en-US"/>
        </w:rPr>
        <w:t xml:space="preserve"> </w:t>
      </w:r>
      <w:r w:rsidRPr="00DD1B58">
        <w:rPr>
          <w:noProof/>
          <w:lang w:val="en-US"/>
        </w:rPr>
        <w:t>two locations for which specific detection systems are provided to trip the reactor.</w:t>
      </w:r>
      <w:r w:rsidR="29183E4E" w:rsidRPr="00DD1B58">
        <w:rPr>
          <w:noProof/>
          <w:lang w:val="en-US"/>
        </w:rPr>
        <w:t xml:space="preserve"> </w:t>
      </w:r>
      <w:r w:rsidRPr="00DD1B58">
        <w:rPr>
          <w:noProof/>
          <w:lang w:val="en-US"/>
        </w:rPr>
        <w:t>These are in the safety room and at the pilecap. In both cases it is expected that a fire would be unlikely</w:t>
      </w:r>
      <w:r w:rsidR="322DCEA0" w:rsidRPr="00DD1B58">
        <w:rPr>
          <w:noProof/>
          <w:lang w:val="en-US"/>
        </w:rPr>
        <w:t xml:space="preserve"> </w:t>
      </w:r>
      <w:r w:rsidRPr="00DD1B58">
        <w:rPr>
          <w:noProof/>
          <w:lang w:val="en-US"/>
        </w:rPr>
        <w:t>and, should it occur, the faults created in the safety equipment or cabling would lead to a safe condition</w:t>
      </w:r>
      <w:r w:rsidR="60CEF1CC" w:rsidRPr="00DD1B58">
        <w:rPr>
          <w:noProof/>
          <w:lang w:val="en-US"/>
        </w:rPr>
        <w:t xml:space="preserve"> </w:t>
      </w:r>
      <w:r w:rsidRPr="00DD1B58">
        <w:rPr>
          <w:noProof/>
          <w:lang w:val="en-US"/>
        </w:rPr>
        <w:t xml:space="preserve">due to the failsafe nature of the equipment. Notwithstanding this, </w:t>
      </w:r>
      <w:r w:rsidR="002E4F4F" w:rsidRPr="00DD1B58">
        <w:rPr>
          <w:noProof/>
          <w:lang w:val="en-US"/>
        </w:rPr>
        <w:t xml:space="preserve">EDF NGL provides </w:t>
      </w:r>
      <w:r w:rsidRPr="00DD1B58">
        <w:rPr>
          <w:noProof/>
          <w:lang w:val="en-US"/>
        </w:rPr>
        <w:t>high temperature detection in these areas to ensure that a reactor trip and initiation of post</w:t>
      </w:r>
      <w:r w:rsidR="00A10BD4" w:rsidRPr="00DD1B58">
        <w:rPr>
          <w:noProof/>
          <w:lang w:val="en-US"/>
        </w:rPr>
        <w:t>-</w:t>
      </w:r>
      <w:r w:rsidR="7FB7C351" w:rsidRPr="00DD1B58">
        <w:rPr>
          <w:noProof/>
          <w:lang w:val="en-US"/>
        </w:rPr>
        <w:t>t</w:t>
      </w:r>
      <w:r w:rsidRPr="00DD1B58">
        <w:rPr>
          <w:noProof/>
          <w:lang w:val="en-US"/>
        </w:rPr>
        <w:t>rip cooling systems occurs</w:t>
      </w:r>
      <w:r w:rsidR="69BB678F" w:rsidRPr="00DD1B58">
        <w:rPr>
          <w:noProof/>
          <w:lang w:val="en-US"/>
        </w:rPr>
        <w:t xml:space="preserve"> </w:t>
      </w:r>
      <w:r w:rsidRPr="00DD1B58">
        <w:rPr>
          <w:noProof/>
          <w:lang w:val="en-US"/>
        </w:rPr>
        <w:t>before significant damage could be caused.</w:t>
      </w:r>
    </w:p>
    <w:p w14:paraId="0A79F378" w14:textId="2887D074" w:rsidR="22B8A555" w:rsidRPr="00DD1B58" w:rsidRDefault="22B8A555" w:rsidP="69C23859">
      <w:pPr>
        <w:rPr>
          <w:noProof/>
          <w:szCs w:val="24"/>
          <w:lang w:val="en-US"/>
        </w:rPr>
      </w:pPr>
      <w:r w:rsidRPr="00DD1B58">
        <w:rPr>
          <w:b/>
          <w:noProof/>
          <w:lang w:val="en-US"/>
        </w:rPr>
        <w:t>Sizewell B</w:t>
      </w:r>
      <w:r w:rsidR="004F4240" w:rsidRPr="00DD1B58">
        <w:rPr>
          <w:b/>
          <w:noProof/>
          <w:lang w:val="en-US"/>
        </w:rPr>
        <w:t xml:space="preserve"> </w:t>
      </w:r>
      <w:r w:rsidR="002E4F4F" w:rsidRPr="00DD1B58">
        <w:rPr>
          <w:b/>
          <w:noProof/>
          <w:lang w:val="en-US"/>
        </w:rPr>
        <w:t>–</w:t>
      </w:r>
      <w:r w:rsidR="004F4240" w:rsidRPr="00DD1B58">
        <w:rPr>
          <w:b/>
          <w:noProof/>
          <w:lang w:val="en-US"/>
        </w:rPr>
        <w:t xml:space="preserve"> </w:t>
      </w:r>
      <w:r w:rsidR="002E4F4F" w:rsidRPr="00DD1B58">
        <w:rPr>
          <w:noProof/>
          <w:lang w:val="en-US"/>
        </w:rPr>
        <w:t xml:space="preserve">EDF </w:t>
      </w:r>
      <w:r w:rsidR="00C07320" w:rsidRPr="00DD1B58">
        <w:rPr>
          <w:noProof/>
          <w:lang w:val="en-US"/>
        </w:rPr>
        <w:t>NGL</w:t>
      </w:r>
      <w:r w:rsidR="002E4F4F" w:rsidRPr="00DD1B58">
        <w:rPr>
          <w:noProof/>
          <w:lang w:val="en-US"/>
        </w:rPr>
        <w:t xml:space="preserve"> report</w:t>
      </w:r>
      <w:r w:rsidR="00304F32" w:rsidRPr="00DD1B58">
        <w:rPr>
          <w:noProof/>
          <w:lang w:val="en-US"/>
        </w:rPr>
        <w:t>s</w:t>
      </w:r>
      <w:r w:rsidR="002E4F4F" w:rsidRPr="00DD1B58">
        <w:rPr>
          <w:noProof/>
          <w:lang w:val="en-US"/>
        </w:rPr>
        <w:t xml:space="preserve"> that the </w:t>
      </w:r>
      <w:r w:rsidRPr="00DD1B58">
        <w:rPr>
          <w:noProof/>
          <w:lang w:val="en-US"/>
        </w:rPr>
        <w:t>function of the Fire Protection System (FPS) is to provide defence in depth in order to complement</w:t>
      </w:r>
      <w:r w:rsidR="2C4B6A5E" w:rsidRPr="00DD1B58">
        <w:rPr>
          <w:noProof/>
          <w:lang w:val="en-US"/>
        </w:rPr>
        <w:t xml:space="preserve"> </w:t>
      </w:r>
      <w:r w:rsidRPr="00DD1B58">
        <w:rPr>
          <w:noProof/>
          <w:lang w:val="en-US"/>
        </w:rPr>
        <w:t>the principal fire barriers and to detect fires, to protect the plant against damage or to minimise damage</w:t>
      </w:r>
      <w:r w:rsidR="36353712" w:rsidRPr="00DD1B58">
        <w:rPr>
          <w:noProof/>
          <w:lang w:val="en-US"/>
        </w:rPr>
        <w:t xml:space="preserve"> </w:t>
      </w:r>
      <w:r w:rsidRPr="00DD1B58">
        <w:rPr>
          <w:noProof/>
          <w:lang w:val="en-US"/>
        </w:rPr>
        <w:t xml:space="preserve">from fire, and to reduce hazards to personnel. </w:t>
      </w:r>
      <w:r w:rsidR="0003555A" w:rsidRPr="00DD1B58">
        <w:rPr>
          <w:noProof/>
          <w:lang w:val="en-US"/>
        </w:rPr>
        <w:t xml:space="preserve">EDF NGL does not claim the </w:t>
      </w:r>
      <w:r w:rsidRPr="00DD1B58">
        <w:rPr>
          <w:noProof/>
          <w:lang w:val="en-US"/>
        </w:rPr>
        <w:t>fire detection system within the nuclear</w:t>
      </w:r>
      <w:r w:rsidR="359877D6" w:rsidRPr="00DD1B58">
        <w:rPr>
          <w:noProof/>
          <w:lang w:val="en-US"/>
        </w:rPr>
        <w:t xml:space="preserve"> </w:t>
      </w:r>
      <w:r w:rsidRPr="00DD1B58">
        <w:rPr>
          <w:noProof/>
          <w:lang w:val="en-US"/>
        </w:rPr>
        <w:t>safety case.</w:t>
      </w:r>
    </w:p>
    <w:p w14:paraId="037DF71F" w14:textId="77777777" w:rsidR="730BE7AA" w:rsidRPr="00DD1B58" w:rsidRDefault="22B8A555" w:rsidP="1B2B0ECE">
      <w:pPr>
        <w:rPr>
          <w:noProof/>
          <w:lang w:val="en-US"/>
        </w:rPr>
      </w:pPr>
      <w:r w:rsidRPr="00DD1B58">
        <w:rPr>
          <w:b/>
          <w:lang w:val="en-US"/>
        </w:rPr>
        <w:t>Design Standards</w:t>
      </w:r>
    </w:p>
    <w:p w14:paraId="127E2067" w14:textId="57F6DEE7" w:rsidR="22B8A555" w:rsidRPr="00DD1B58" w:rsidRDefault="22B8A555" w:rsidP="69C23859">
      <w:pPr>
        <w:rPr>
          <w:noProof/>
          <w:szCs w:val="24"/>
          <w:lang w:val="en-US"/>
        </w:rPr>
      </w:pPr>
      <w:r w:rsidRPr="00DD1B58">
        <w:rPr>
          <w:b/>
          <w:noProof/>
          <w:lang w:val="en-US"/>
        </w:rPr>
        <w:t>General</w:t>
      </w:r>
      <w:r w:rsidR="004F4240" w:rsidRPr="00DD1B58">
        <w:rPr>
          <w:b/>
          <w:noProof/>
          <w:lang w:val="en-US"/>
        </w:rPr>
        <w:t xml:space="preserve"> </w:t>
      </w:r>
      <w:r w:rsidR="0003555A" w:rsidRPr="00DD1B58">
        <w:rPr>
          <w:b/>
          <w:noProof/>
          <w:lang w:val="en-US"/>
        </w:rPr>
        <w:t xml:space="preserve">– </w:t>
      </w:r>
      <w:r w:rsidR="0003555A" w:rsidRPr="00DD1B58">
        <w:rPr>
          <w:bCs/>
          <w:noProof/>
          <w:lang w:val="en-US"/>
        </w:rPr>
        <w:t>EDF NGL report</w:t>
      </w:r>
      <w:r w:rsidR="00304F32" w:rsidRPr="00DD1B58">
        <w:rPr>
          <w:bCs/>
          <w:noProof/>
          <w:lang w:val="en-US"/>
        </w:rPr>
        <w:t>s</w:t>
      </w:r>
      <w:r w:rsidR="0003555A" w:rsidRPr="00DD1B58">
        <w:rPr>
          <w:bCs/>
          <w:noProof/>
          <w:lang w:val="en-US"/>
        </w:rPr>
        <w:t xml:space="preserve"> that </w:t>
      </w:r>
      <w:r w:rsidR="0003555A" w:rsidRPr="00DD1B58">
        <w:rPr>
          <w:noProof/>
          <w:lang w:val="en-US"/>
        </w:rPr>
        <w:t>the d</w:t>
      </w:r>
      <w:r w:rsidRPr="00DD1B58">
        <w:rPr>
          <w:noProof/>
          <w:lang w:val="en-US"/>
        </w:rPr>
        <w:t xml:space="preserve">esign standards used were originally the relevant British Standards, BS 5839 part 1. </w:t>
      </w:r>
      <w:r w:rsidR="0003555A" w:rsidRPr="00DD1B58">
        <w:rPr>
          <w:noProof/>
          <w:lang w:val="en-US"/>
        </w:rPr>
        <w:t>It also state</w:t>
      </w:r>
      <w:r w:rsidR="00304F32" w:rsidRPr="00DD1B58">
        <w:rPr>
          <w:noProof/>
          <w:lang w:val="en-US"/>
        </w:rPr>
        <w:t>s</w:t>
      </w:r>
      <w:r w:rsidR="0003555A" w:rsidRPr="00DD1B58">
        <w:rPr>
          <w:noProof/>
          <w:lang w:val="en-US"/>
        </w:rPr>
        <w:t xml:space="preserve"> that each s</w:t>
      </w:r>
      <w:r w:rsidRPr="00DD1B58">
        <w:rPr>
          <w:noProof/>
          <w:lang w:val="en-US"/>
        </w:rPr>
        <w:t>tation has</w:t>
      </w:r>
      <w:r w:rsidR="0C0CA5A1" w:rsidRPr="00DD1B58">
        <w:rPr>
          <w:noProof/>
          <w:lang w:val="en-US"/>
        </w:rPr>
        <w:t xml:space="preserve"> </w:t>
      </w:r>
      <w:r w:rsidRPr="00DD1B58">
        <w:rPr>
          <w:noProof/>
          <w:lang w:val="en-US"/>
        </w:rPr>
        <w:t>had a site</w:t>
      </w:r>
      <w:r w:rsidR="0003555A" w:rsidRPr="00DD1B58">
        <w:rPr>
          <w:noProof/>
          <w:lang w:val="en-US"/>
        </w:rPr>
        <w:t>-</w:t>
      </w:r>
      <w:r w:rsidRPr="00DD1B58">
        <w:rPr>
          <w:noProof/>
          <w:lang w:val="en-US"/>
        </w:rPr>
        <w:t>wide upgrade of the fire detection panels to help prevent the spurious activation of unwanted</w:t>
      </w:r>
      <w:r w:rsidR="4542FF7F" w:rsidRPr="00DD1B58">
        <w:rPr>
          <w:noProof/>
          <w:lang w:val="en-US"/>
        </w:rPr>
        <w:t xml:space="preserve"> </w:t>
      </w:r>
      <w:r w:rsidRPr="00DD1B58">
        <w:rPr>
          <w:noProof/>
          <w:lang w:val="en-US"/>
        </w:rPr>
        <w:t>fire alarms</w:t>
      </w:r>
      <w:r w:rsidR="00015BB9" w:rsidRPr="00DD1B58">
        <w:rPr>
          <w:noProof/>
          <w:lang w:val="en-US"/>
        </w:rPr>
        <w:t>, and that a</w:t>
      </w:r>
      <w:r w:rsidRPr="00DD1B58">
        <w:rPr>
          <w:noProof/>
          <w:lang w:val="en-US"/>
        </w:rPr>
        <w:t xml:space="preserve">ll new fire alarm systems </w:t>
      </w:r>
      <w:r w:rsidR="00304F32" w:rsidRPr="00DD1B58">
        <w:rPr>
          <w:noProof/>
          <w:lang w:val="en-US"/>
        </w:rPr>
        <w:t>a</w:t>
      </w:r>
      <w:r w:rsidR="00015BB9" w:rsidRPr="00DD1B58">
        <w:rPr>
          <w:noProof/>
          <w:lang w:val="en-US"/>
        </w:rPr>
        <w:t xml:space="preserve">re </w:t>
      </w:r>
      <w:r w:rsidRPr="00DD1B58">
        <w:rPr>
          <w:noProof/>
          <w:lang w:val="en-US"/>
        </w:rPr>
        <w:t>designed and commissioned by accredited companies.</w:t>
      </w:r>
    </w:p>
    <w:p w14:paraId="0BADD57B" w14:textId="77777777" w:rsidR="4C6FDF79" w:rsidRPr="00DD1B58" w:rsidRDefault="22B8A555" w:rsidP="1B2B0ECE">
      <w:pPr>
        <w:rPr>
          <w:b/>
          <w:lang w:val="en-US"/>
        </w:rPr>
      </w:pPr>
      <w:r w:rsidRPr="00DD1B58">
        <w:rPr>
          <w:b/>
          <w:lang w:val="en-US"/>
        </w:rPr>
        <w:t>Automatic vs manual</w:t>
      </w:r>
    </w:p>
    <w:p w14:paraId="26E37CCB" w14:textId="34D22C5E" w:rsidR="0A9CA911" w:rsidRPr="00DD1B58" w:rsidRDefault="0A9CA911" w:rsidP="69C23859">
      <w:pPr>
        <w:rPr>
          <w:lang w:val="en-US"/>
        </w:rPr>
      </w:pPr>
      <w:r w:rsidRPr="00DD1B58">
        <w:rPr>
          <w:b/>
          <w:noProof/>
          <w:lang w:val="en-US"/>
        </w:rPr>
        <w:t>General</w:t>
      </w:r>
      <w:r w:rsidR="004F4240" w:rsidRPr="00DD1B58">
        <w:rPr>
          <w:b/>
          <w:noProof/>
          <w:lang w:val="en-US"/>
        </w:rPr>
        <w:t xml:space="preserve"> </w:t>
      </w:r>
      <w:r w:rsidR="00015BB9" w:rsidRPr="00DD1B58">
        <w:rPr>
          <w:b/>
          <w:noProof/>
          <w:lang w:val="en-US"/>
        </w:rPr>
        <w:t>–</w:t>
      </w:r>
      <w:r w:rsidR="004F4240" w:rsidRPr="00DD1B58">
        <w:rPr>
          <w:b/>
          <w:noProof/>
          <w:lang w:val="en-US"/>
        </w:rPr>
        <w:t xml:space="preserve"> </w:t>
      </w:r>
      <w:r w:rsidR="00015BB9" w:rsidRPr="00DD1B58">
        <w:rPr>
          <w:noProof/>
          <w:lang w:val="en-US"/>
        </w:rPr>
        <w:t>EDF NGL state</w:t>
      </w:r>
      <w:r w:rsidR="003220E2" w:rsidRPr="00DD1B58">
        <w:rPr>
          <w:noProof/>
          <w:lang w:val="en-US"/>
        </w:rPr>
        <w:t>s</w:t>
      </w:r>
      <w:r w:rsidR="00015BB9" w:rsidRPr="00DD1B58">
        <w:rPr>
          <w:noProof/>
          <w:lang w:val="en-US"/>
        </w:rPr>
        <w:t xml:space="preserve"> that each </w:t>
      </w:r>
      <w:r w:rsidRPr="00DD1B58">
        <w:rPr>
          <w:noProof/>
          <w:lang w:val="en-US"/>
        </w:rPr>
        <w:t>station has a good mix of manual call points and automatic fire detection systems</w:t>
      </w:r>
      <w:r w:rsidR="00015BB9" w:rsidRPr="00DD1B58">
        <w:rPr>
          <w:noProof/>
          <w:lang w:val="en-US"/>
        </w:rPr>
        <w:t>, and that e</w:t>
      </w:r>
      <w:r w:rsidRPr="00DD1B58">
        <w:rPr>
          <w:noProof/>
          <w:lang w:val="en-US"/>
        </w:rPr>
        <w:t>ach fire detection system is specific to the environment that it is intended for, which is covered within the design.</w:t>
      </w:r>
    </w:p>
    <w:p w14:paraId="00373890" w14:textId="77777777" w:rsidR="0A9CA911" w:rsidRPr="00DD1B58" w:rsidRDefault="0A9CA911" w:rsidP="1B2B0ECE">
      <w:pPr>
        <w:rPr>
          <w:b/>
          <w:lang w:val="en-US"/>
        </w:rPr>
      </w:pPr>
      <w:r w:rsidRPr="00DD1B58">
        <w:rPr>
          <w:b/>
          <w:lang w:val="en-US"/>
        </w:rPr>
        <w:t>Coverage</w:t>
      </w:r>
    </w:p>
    <w:p w14:paraId="6181A45B" w14:textId="0737ECB5" w:rsidR="0A9CA911" w:rsidRPr="00DD1B58" w:rsidRDefault="0A9CA911" w:rsidP="69C23859">
      <w:pPr>
        <w:rPr>
          <w:lang w:val="en-US"/>
        </w:rPr>
      </w:pPr>
      <w:r w:rsidRPr="00DD1B58">
        <w:rPr>
          <w:b/>
          <w:noProof/>
          <w:lang w:val="en-US"/>
        </w:rPr>
        <w:t>General</w:t>
      </w:r>
      <w:r w:rsidR="004F4240" w:rsidRPr="00DD1B58">
        <w:rPr>
          <w:b/>
          <w:noProof/>
          <w:lang w:val="en-US"/>
        </w:rPr>
        <w:t xml:space="preserve"> </w:t>
      </w:r>
      <w:r w:rsidR="0068227F" w:rsidRPr="00DD1B58">
        <w:rPr>
          <w:b/>
          <w:noProof/>
          <w:lang w:val="en-US"/>
        </w:rPr>
        <w:t>–</w:t>
      </w:r>
      <w:r w:rsidR="004F4240" w:rsidRPr="00DD1B58">
        <w:rPr>
          <w:b/>
          <w:noProof/>
          <w:lang w:val="en-US"/>
        </w:rPr>
        <w:t xml:space="preserve"> </w:t>
      </w:r>
      <w:r w:rsidRPr="00DD1B58">
        <w:rPr>
          <w:noProof/>
          <w:lang w:val="en-US"/>
        </w:rPr>
        <w:t xml:space="preserve">Each station has its own mixture of coverage and network arrangements, however all the stations have their own building and site-wide fire detection networks to inform the Control Room and site personnel that a fire has occurred. </w:t>
      </w:r>
      <w:r w:rsidR="00B517A5" w:rsidRPr="00DD1B58">
        <w:rPr>
          <w:noProof/>
          <w:lang w:val="en-US"/>
        </w:rPr>
        <w:t>EDF NGL state</w:t>
      </w:r>
      <w:r w:rsidR="003220E2" w:rsidRPr="00DD1B58">
        <w:rPr>
          <w:noProof/>
          <w:lang w:val="en-US"/>
        </w:rPr>
        <w:t>s</w:t>
      </w:r>
      <w:r w:rsidR="00B517A5" w:rsidRPr="00DD1B58">
        <w:rPr>
          <w:noProof/>
          <w:lang w:val="en-US"/>
        </w:rPr>
        <w:t xml:space="preserve"> that the C</w:t>
      </w:r>
      <w:r w:rsidRPr="00DD1B58">
        <w:rPr>
          <w:noProof/>
          <w:lang w:val="en-US"/>
        </w:rPr>
        <w:t xml:space="preserve">ontrol Room staff can then take </w:t>
      </w:r>
      <w:r w:rsidR="00B517A5" w:rsidRPr="00DD1B58">
        <w:rPr>
          <w:noProof/>
          <w:lang w:val="en-US"/>
        </w:rPr>
        <w:t>the necessary actions</w:t>
      </w:r>
      <w:r w:rsidRPr="00DD1B58">
        <w:rPr>
          <w:noProof/>
          <w:lang w:val="en-US"/>
        </w:rPr>
        <w:t>, which includes informing the station fire brigade.</w:t>
      </w:r>
      <w:r w:rsidR="00B517A5" w:rsidRPr="00DD1B58">
        <w:rPr>
          <w:noProof/>
          <w:lang w:val="en-US"/>
        </w:rPr>
        <w:t xml:space="preserve"> </w:t>
      </w:r>
    </w:p>
    <w:p w14:paraId="458B322B" w14:textId="1F9BB51D" w:rsidR="0A9CA911" w:rsidRPr="00DD1B58" w:rsidRDefault="00B517A5" w:rsidP="69C23859">
      <w:pPr>
        <w:rPr>
          <w:lang w:val="en-US"/>
        </w:rPr>
      </w:pPr>
      <w:r w:rsidRPr="00DD1B58">
        <w:rPr>
          <w:noProof/>
          <w:lang w:val="en-US"/>
        </w:rPr>
        <w:t>EDF N</w:t>
      </w:r>
      <w:r w:rsidR="001738C8" w:rsidRPr="00DD1B58">
        <w:rPr>
          <w:noProof/>
          <w:lang w:val="en-US"/>
        </w:rPr>
        <w:t>G</w:t>
      </w:r>
      <w:r w:rsidRPr="00DD1B58">
        <w:rPr>
          <w:noProof/>
          <w:lang w:val="en-US"/>
        </w:rPr>
        <w:t>L report</w:t>
      </w:r>
      <w:r w:rsidR="00B91A5B" w:rsidRPr="00DD1B58">
        <w:rPr>
          <w:noProof/>
          <w:lang w:val="en-US"/>
        </w:rPr>
        <w:t>s</w:t>
      </w:r>
      <w:r w:rsidRPr="00DD1B58">
        <w:rPr>
          <w:noProof/>
          <w:lang w:val="en-US"/>
        </w:rPr>
        <w:t xml:space="preserve"> a</w:t>
      </w:r>
      <w:r w:rsidR="009B51EC" w:rsidRPr="00DD1B58">
        <w:rPr>
          <w:noProof/>
          <w:lang w:val="en-US"/>
        </w:rPr>
        <w:t>n</w:t>
      </w:r>
      <w:r w:rsidR="0A9CA911" w:rsidRPr="00DD1B58">
        <w:rPr>
          <w:noProof/>
          <w:lang w:val="en-US"/>
        </w:rPr>
        <w:t xml:space="preserve"> upgrade at HY2 </w:t>
      </w:r>
      <w:r w:rsidR="009B51EC" w:rsidRPr="00DD1B58">
        <w:rPr>
          <w:noProof/>
          <w:lang w:val="en-US"/>
        </w:rPr>
        <w:t xml:space="preserve">which is </w:t>
      </w:r>
      <w:r w:rsidR="0A9CA911" w:rsidRPr="00DD1B58">
        <w:rPr>
          <w:noProof/>
          <w:lang w:val="en-US"/>
        </w:rPr>
        <w:t>that the Security Gatehouse fire panel is networked to the C</w:t>
      </w:r>
      <w:r w:rsidR="002562DB" w:rsidRPr="00DD1B58">
        <w:rPr>
          <w:noProof/>
          <w:lang w:val="en-US"/>
        </w:rPr>
        <w:t xml:space="preserve">ivil </w:t>
      </w:r>
      <w:r w:rsidR="0A9CA911" w:rsidRPr="00DD1B58">
        <w:rPr>
          <w:noProof/>
          <w:lang w:val="en-US"/>
        </w:rPr>
        <w:t>N</w:t>
      </w:r>
      <w:r w:rsidR="002562DB" w:rsidRPr="00DD1B58">
        <w:rPr>
          <w:noProof/>
          <w:lang w:val="en-US"/>
        </w:rPr>
        <w:t xml:space="preserve">uclear </w:t>
      </w:r>
      <w:r w:rsidR="0A9CA911" w:rsidRPr="00DD1B58">
        <w:rPr>
          <w:noProof/>
          <w:lang w:val="en-US"/>
        </w:rPr>
        <w:t>C</w:t>
      </w:r>
      <w:r w:rsidR="002562DB" w:rsidRPr="00DD1B58">
        <w:rPr>
          <w:noProof/>
          <w:lang w:val="en-US"/>
        </w:rPr>
        <w:t>onstabulary</w:t>
      </w:r>
      <w:r w:rsidR="0A9CA911" w:rsidRPr="00DD1B58">
        <w:rPr>
          <w:noProof/>
          <w:lang w:val="en-US"/>
        </w:rPr>
        <w:t xml:space="preserve"> buildings using a Fibre Optic cable. </w:t>
      </w:r>
      <w:r w:rsidR="009B51EC" w:rsidRPr="00DD1B58">
        <w:rPr>
          <w:noProof/>
          <w:lang w:val="en-US"/>
        </w:rPr>
        <w:t>It also stat</w:t>
      </w:r>
      <w:r w:rsidR="00F829B6" w:rsidRPr="00DD1B58">
        <w:rPr>
          <w:noProof/>
          <w:lang w:val="en-US"/>
        </w:rPr>
        <w:t>s</w:t>
      </w:r>
      <w:r w:rsidR="009B51EC" w:rsidRPr="00DD1B58">
        <w:rPr>
          <w:noProof/>
          <w:lang w:val="en-US"/>
        </w:rPr>
        <w:t xml:space="preserve"> that there </w:t>
      </w:r>
      <w:r w:rsidR="0A9CA911" w:rsidRPr="00DD1B58">
        <w:rPr>
          <w:noProof/>
          <w:lang w:val="en-US"/>
        </w:rPr>
        <w:t>is also a fibre optic link between the two Administration Building fire panels.</w:t>
      </w:r>
    </w:p>
    <w:p w14:paraId="08106E32" w14:textId="77777777" w:rsidR="0A9CA911" w:rsidRPr="00DD1B58" w:rsidRDefault="0A9CA911" w:rsidP="1B2B0ECE">
      <w:pPr>
        <w:rPr>
          <w:b/>
          <w:lang w:val="en-US"/>
        </w:rPr>
      </w:pPr>
      <w:r w:rsidRPr="00DD1B58">
        <w:rPr>
          <w:b/>
          <w:lang w:val="en-US"/>
        </w:rPr>
        <w:t>Design approach</w:t>
      </w:r>
    </w:p>
    <w:p w14:paraId="79602E15" w14:textId="29988488" w:rsidR="0A9CA911" w:rsidRPr="00DD1B58" w:rsidRDefault="0A9CA911" w:rsidP="69C23859">
      <w:pPr>
        <w:rPr>
          <w:lang w:val="en-US"/>
        </w:rPr>
      </w:pPr>
      <w:r w:rsidRPr="00DD1B58">
        <w:rPr>
          <w:b/>
          <w:noProof/>
          <w:lang w:val="en-US"/>
        </w:rPr>
        <w:t>General</w:t>
      </w:r>
      <w:r w:rsidR="004F4240" w:rsidRPr="00DD1B58">
        <w:rPr>
          <w:b/>
          <w:noProof/>
          <w:lang w:val="en-US"/>
        </w:rPr>
        <w:t xml:space="preserve"> </w:t>
      </w:r>
      <w:r w:rsidR="009B51EC" w:rsidRPr="00DD1B58">
        <w:rPr>
          <w:b/>
          <w:noProof/>
          <w:lang w:val="en-US"/>
        </w:rPr>
        <w:t>–</w:t>
      </w:r>
      <w:r w:rsidR="004F4240" w:rsidRPr="00DD1B58">
        <w:rPr>
          <w:b/>
          <w:noProof/>
          <w:lang w:val="en-US"/>
        </w:rPr>
        <w:t xml:space="preserve"> </w:t>
      </w:r>
      <w:r w:rsidR="009B51EC" w:rsidRPr="00DD1B58">
        <w:rPr>
          <w:bCs/>
          <w:noProof/>
          <w:lang w:val="en-US"/>
        </w:rPr>
        <w:t xml:space="preserve">EDF NGL </w:t>
      </w:r>
      <w:r w:rsidR="00D776E2" w:rsidRPr="00DD1B58">
        <w:rPr>
          <w:bCs/>
          <w:noProof/>
          <w:lang w:val="en-US"/>
        </w:rPr>
        <w:t>reports that</w:t>
      </w:r>
      <w:r w:rsidR="009B51EC" w:rsidRPr="00DD1B58">
        <w:rPr>
          <w:bCs/>
          <w:noProof/>
          <w:lang w:val="en-US"/>
        </w:rPr>
        <w:t xml:space="preserve"> g</w:t>
      </w:r>
      <w:r w:rsidRPr="00DD1B58">
        <w:rPr>
          <w:bCs/>
          <w:noProof/>
          <w:lang w:val="en-US"/>
        </w:rPr>
        <w:t>eneral</w:t>
      </w:r>
      <w:r w:rsidRPr="00DD1B58">
        <w:rPr>
          <w:noProof/>
          <w:lang w:val="en-US"/>
        </w:rPr>
        <w:t xml:space="preserve"> smoke detection is provided through the plant in electrical switchgear rooms, cable flats, plant</w:t>
      </w:r>
      <w:r w:rsidR="32A3C7A8" w:rsidRPr="00DD1B58">
        <w:rPr>
          <w:noProof/>
          <w:lang w:val="en-US"/>
        </w:rPr>
        <w:t xml:space="preserve"> </w:t>
      </w:r>
      <w:r w:rsidRPr="00DD1B58">
        <w:rPr>
          <w:noProof/>
          <w:lang w:val="en-US"/>
        </w:rPr>
        <w:t xml:space="preserve">rooms, administration facilities etc. </w:t>
      </w:r>
      <w:r w:rsidR="005462DF" w:rsidRPr="00DD1B58">
        <w:rPr>
          <w:noProof/>
          <w:lang w:val="en-US"/>
        </w:rPr>
        <w:t xml:space="preserve">There </w:t>
      </w:r>
      <w:r w:rsidRPr="00DD1B58">
        <w:rPr>
          <w:noProof/>
          <w:lang w:val="en-US"/>
        </w:rPr>
        <w:t>is no common system throughout the fleet</w:t>
      </w:r>
      <w:r w:rsidR="005462DF" w:rsidRPr="00DD1B58">
        <w:rPr>
          <w:noProof/>
          <w:lang w:val="en-US"/>
        </w:rPr>
        <w:t>;</w:t>
      </w:r>
      <w:r w:rsidRPr="00DD1B58">
        <w:rPr>
          <w:noProof/>
          <w:lang w:val="en-US"/>
        </w:rPr>
        <w:t>different sites</w:t>
      </w:r>
      <w:r w:rsidR="1F7FB443" w:rsidRPr="00DD1B58">
        <w:rPr>
          <w:noProof/>
          <w:lang w:val="en-US"/>
        </w:rPr>
        <w:t xml:space="preserve"> </w:t>
      </w:r>
      <w:r w:rsidRPr="00DD1B58">
        <w:rPr>
          <w:noProof/>
          <w:lang w:val="en-US"/>
        </w:rPr>
        <w:t xml:space="preserve">have equipment </w:t>
      </w:r>
      <w:r w:rsidR="005462DF" w:rsidRPr="00DD1B58">
        <w:rPr>
          <w:noProof/>
          <w:lang w:val="en-US"/>
        </w:rPr>
        <w:t>by different manufacturers.</w:t>
      </w:r>
    </w:p>
    <w:p w14:paraId="79D4C520" w14:textId="5B210D60" w:rsidR="0A9CA911" w:rsidRPr="00DD1B58" w:rsidRDefault="005462DF" w:rsidP="69C23859">
      <w:pPr>
        <w:rPr>
          <w:noProof/>
          <w:lang w:val="en-US"/>
        </w:rPr>
      </w:pPr>
      <w:r w:rsidRPr="00DD1B58">
        <w:rPr>
          <w:noProof/>
          <w:lang w:val="en-US"/>
        </w:rPr>
        <w:t>EDF NGL provide</w:t>
      </w:r>
      <w:r w:rsidR="00EE069A" w:rsidRPr="00DD1B58">
        <w:rPr>
          <w:noProof/>
          <w:lang w:val="en-US"/>
        </w:rPr>
        <w:t>s</w:t>
      </w:r>
      <w:r w:rsidRPr="00DD1B58">
        <w:rPr>
          <w:noProof/>
          <w:lang w:val="en-US"/>
        </w:rPr>
        <w:t xml:space="preserve"> h</w:t>
      </w:r>
      <w:r w:rsidR="0A9CA911" w:rsidRPr="00DD1B58">
        <w:rPr>
          <w:noProof/>
          <w:lang w:val="en-US"/>
        </w:rPr>
        <w:t xml:space="preserve">eat detection for the turbo generators – this is part of </w:t>
      </w:r>
      <w:r w:rsidRPr="00DD1B58">
        <w:rPr>
          <w:noProof/>
          <w:lang w:val="en-US"/>
        </w:rPr>
        <w:t xml:space="preserve">the </w:t>
      </w:r>
      <w:r w:rsidR="0A9CA911" w:rsidRPr="00DD1B58">
        <w:rPr>
          <w:noProof/>
          <w:lang w:val="en-US"/>
        </w:rPr>
        <w:t>turbine fire protection system as</w:t>
      </w:r>
      <w:r w:rsidR="6491897E" w:rsidRPr="00DD1B58">
        <w:rPr>
          <w:noProof/>
          <w:lang w:val="en-US"/>
        </w:rPr>
        <w:t xml:space="preserve"> </w:t>
      </w:r>
      <w:r w:rsidR="0A9CA911" w:rsidRPr="00DD1B58">
        <w:rPr>
          <w:noProof/>
          <w:lang w:val="en-US"/>
        </w:rPr>
        <w:t xml:space="preserve">smoke detectors may give false alarms. </w:t>
      </w:r>
      <w:r w:rsidR="00EE069A" w:rsidRPr="00DD1B58">
        <w:rPr>
          <w:noProof/>
          <w:lang w:val="en-US"/>
        </w:rPr>
        <w:t>It also report</w:t>
      </w:r>
      <w:r w:rsidR="00B91A5B" w:rsidRPr="00DD1B58">
        <w:rPr>
          <w:noProof/>
          <w:lang w:val="en-US"/>
        </w:rPr>
        <w:t>s</w:t>
      </w:r>
      <w:r w:rsidR="00EE069A" w:rsidRPr="00DD1B58">
        <w:rPr>
          <w:noProof/>
          <w:lang w:val="en-US"/>
        </w:rPr>
        <w:t xml:space="preserve"> the use of f</w:t>
      </w:r>
      <w:r w:rsidR="0A9CA911" w:rsidRPr="00DD1B58">
        <w:rPr>
          <w:noProof/>
          <w:lang w:val="en-US"/>
        </w:rPr>
        <w:t>rangible bulbs as heat detection throughout the plant</w:t>
      </w:r>
      <w:r w:rsidR="0A09E570" w:rsidRPr="00DD1B58">
        <w:rPr>
          <w:noProof/>
          <w:lang w:val="en-US"/>
        </w:rPr>
        <w:t xml:space="preserve"> </w:t>
      </w:r>
      <w:r w:rsidR="0A9CA911" w:rsidRPr="00DD1B58">
        <w:rPr>
          <w:noProof/>
          <w:lang w:val="en-US"/>
        </w:rPr>
        <w:t>where water suppression is installed</w:t>
      </w:r>
      <w:r w:rsidR="00D5726B" w:rsidRPr="00DD1B58">
        <w:rPr>
          <w:noProof/>
          <w:lang w:val="en-US"/>
        </w:rPr>
        <w:t>. It also uses fangible bulbs</w:t>
      </w:r>
      <w:r w:rsidR="0A9CA911" w:rsidRPr="00DD1B58">
        <w:rPr>
          <w:noProof/>
          <w:lang w:val="en-US"/>
        </w:rPr>
        <w:t xml:space="preserve"> on compressed air lines</w:t>
      </w:r>
      <w:r w:rsidR="00D5726B" w:rsidRPr="00DD1B58">
        <w:rPr>
          <w:noProof/>
          <w:lang w:val="en-US"/>
        </w:rPr>
        <w:t>,</w:t>
      </w:r>
      <w:r w:rsidR="0A9CA911" w:rsidRPr="00DD1B58">
        <w:rPr>
          <w:noProof/>
          <w:lang w:val="en-US"/>
        </w:rPr>
        <w:t xml:space="preserve"> which on</w:t>
      </w:r>
      <w:r w:rsidR="3A7A811D" w:rsidRPr="00DD1B58">
        <w:rPr>
          <w:noProof/>
          <w:lang w:val="en-US"/>
        </w:rPr>
        <w:t xml:space="preserve"> </w:t>
      </w:r>
      <w:r w:rsidR="0A9CA911" w:rsidRPr="00DD1B58">
        <w:rPr>
          <w:noProof/>
          <w:lang w:val="en-US"/>
        </w:rPr>
        <w:t>fracturing lower the air pressure and activate the deluge valves and water spray pumps</w:t>
      </w:r>
      <w:r w:rsidR="00EE069A" w:rsidRPr="00DD1B58">
        <w:rPr>
          <w:noProof/>
          <w:lang w:val="en-US"/>
        </w:rPr>
        <w:t xml:space="preserve">, </w:t>
      </w:r>
      <w:r w:rsidR="0A9CA911" w:rsidRPr="00DD1B58">
        <w:rPr>
          <w:noProof/>
          <w:lang w:val="en-US"/>
        </w:rPr>
        <w:t>as described in</w:t>
      </w:r>
      <w:r w:rsidR="61485FC5" w:rsidRPr="00DD1B58">
        <w:rPr>
          <w:noProof/>
          <w:lang w:val="en-US"/>
        </w:rPr>
        <w:t xml:space="preserve"> </w:t>
      </w:r>
      <w:r w:rsidR="0A9CA911" w:rsidRPr="00DD1B58">
        <w:rPr>
          <w:noProof/>
          <w:lang w:val="en-US"/>
        </w:rPr>
        <w:t xml:space="preserve">Section </w:t>
      </w:r>
      <w:r w:rsidR="332CD993" w:rsidRPr="00DD1B58">
        <w:rPr>
          <w:noProof/>
          <w:lang w:val="en-US"/>
        </w:rPr>
        <w:t>A-I-</w:t>
      </w:r>
      <w:r w:rsidR="0A9CA911" w:rsidRPr="00DD1B58">
        <w:rPr>
          <w:noProof/>
          <w:lang w:val="en-US"/>
        </w:rPr>
        <w:t xml:space="preserve">3.2.2. </w:t>
      </w:r>
      <w:r w:rsidR="00EE069A" w:rsidRPr="00DD1B58">
        <w:rPr>
          <w:noProof/>
          <w:lang w:val="en-US"/>
        </w:rPr>
        <w:t>EDF NGL also typically uses f</w:t>
      </w:r>
      <w:r w:rsidR="0A9CA911" w:rsidRPr="00DD1B58">
        <w:rPr>
          <w:noProof/>
          <w:lang w:val="en-US"/>
        </w:rPr>
        <w:t>rangible bulbs for external transformers, diesel generators, gasturbines, turbo-generators, sprinklers and fuel stores.</w:t>
      </w:r>
    </w:p>
    <w:p w14:paraId="729B533C" w14:textId="34CABF54" w:rsidR="0A9CA911" w:rsidRPr="00DD1B58" w:rsidRDefault="00B13D2C" w:rsidP="69C23859">
      <w:pPr>
        <w:rPr>
          <w:lang w:val="en-US"/>
        </w:rPr>
      </w:pPr>
      <w:r w:rsidRPr="00DD1B58">
        <w:rPr>
          <w:noProof/>
          <w:lang w:val="en-US"/>
        </w:rPr>
        <w:t xml:space="preserve">EDF NGl does not generally use </w:t>
      </w:r>
      <w:r w:rsidR="0A9CA911" w:rsidRPr="00DD1B58">
        <w:rPr>
          <w:noProof/>
          <w:lang w:val="en-US"/>
        </w:rPr>
        <w:t>Beam Detection as the beam can easily be obstructed by cranes etc.</w:t>
      </w:r>
    </w:p>
    <w:p w14:paraId="4BD51351" w14:textId="595407F5" w:rsidR="0A9CA911" w:rsidRPr="00DD1B58" w:rsidRDefault="00B13D2C" w:rsidP="69C23859">
      <w:pPr>
        <w:rPr>
          <w:lang w:val="en-US"/>
        </w:rPr>
      </w:pPr>
      <w:r w:rsidRPr="00DD1B58">
        <w:rPr>
          <w:noProof/>
          <w:lang w:val="en-US"/>
        </w:rPr>
        <w:t xml:space="preserve">EDF NGL provides </w:t>
      </w:r>
      <w:r w:rsidR="0A9CA911" w:rsidRPr="00DD1B58">
        <w:rPr>
          <w:noProof/>
          <w:lang w:val="en-US"/>
        </w:rPr>
        <w:t>Liner Heat Detection Cable (LHDC) on all AGRs in cable routes and cable risers. This is</w:t>
      </w:r>
      <w:r w:rsidR="44C72496" w:rsidRPr="00DD1B58">
        <w:rPr>
          <w:noProof/>
          <w:lang w:val="en-US"/>
        </w:rPr>
        <w:t xml:space="preserve"> </w:t>
      </w:r>
      <w:r w:rsidR="0A9CA911" w:rsidRPr="00DD1B58">
        <w:rPr>
          <w:noProof/>
          <w:lang w:val="en-US"/>
        </w:rPr>
        <w:t>due to the requirement for fast acting detection and suppression if there is overheating or fire in sensitive</w:t>
      </w:r>
      <w:r w:rsidR="2612E452" w:rsidRPr="00DD1B58">
        <w:rPr>
          <w:noProof/>
          <w:lang w:val="en-US"/>
        </w:rPr>
        <w:t xml:space="preserve"> </w:t>
      </w:r>
      <w:r w:rsidR="0A9CA911" w:rsidRPr="00DD1B58">
        <w:rPr>
          <w:noProof/>
          <w:lang w:val="en-US"/>
        </w:rPr>
        <w:t>cable routes. These activate a metron head device which fires a pin and fractures the Quartzoid bulbs</w:t>
      </w:r>
      <w:r w:rsidR="2EFA973F" w:rsidRPr="00DD1B58">
        <w:rPr>
          <w:noProof/>
          <w:lang w:val="en-US"/>
        </w:rPr>
        <w:t xml:space="preserve"> </w:t>
      </w:r>
      <w:r w:rsidR="0A9CA911" w:rsidRPr="00DD1B58">
        <w:rPr>
          <w:noProof/>
          <w:lang w:val="en-US"/>
        </w:rPr>
        <w:t>quickly. It is therefore a fast acting suppression system activated by the LHDC.</w:t>
      </w:r>
    </w:p>
    <w:p w14:paraId="4852E144" w14:textId="77777777" w:rsidR="7FCADB58" w:rsidRPr="00DD1B58" w:rsidRDefault="7FCADB58" w:rsidP="69C23859">
      <w:pPr>
        <w:rPr>
          <w:noProof/>
          <w:lang w:val="en-US"/>
        </w:rPr>
      </w:pPr>
      <w:r w:rsidRPr="00DD1B58">
        <w:rPr>
          <w:noProof/>
          <w:lang w:val="en-US"/>
        </w:rPr>
        <w:t>SZB also has LHDC on cable flats but does not have metron heads.</w:t>
      </w:r>
      <w:r w:rsidR="00446FD4" w:rsidRPr="00DD1B58">
        <w:rPr>
          <w:noProof/>
          <w:lang w:val="en-US"/>
        </w:rPr>
        <w:t xml:space="preserve"> </w:t>
      </w:r>
      <w:r w:rsidRPr="00DD1B58">
        <w:rPr>
          <w:noProof/>
          <w:lang w:val="en-US"/>
        </w:rPr>
        <w:t>As stated in Section A-I-3.2.1.1 relevant British Standards are used for the design, e.g. BS 5839 part 1.</w:t>
      </w:r>
    </w:p>
    <w:p w14:paraId="2E98DB8D" w14:textId="6765DA3C" w:rsidR="7FCADB58" w:rsidRPr="00DD1B58" w:rsidRDefault="7FCADB58" w:rsidP="69C23859">
      <w:pPr>
        <w:rPr>
          <w:lang w:val="en-US"/>
        </w:rPr>
      </w:pPr>
      <w:r w:rsidRPr="00DD1B58">
        <w:rPr>
          <w:b/>
          <w:noProof/>
          <w:lang w:val="en-US"/>
        </w:rPr>
        <w:t>First Generation AGRs (</w:t>
      </w:r>
      <w:r w:rsidR="00787A79" w:rsidRPr="00DD1B58">
        <w:rPr>
          <w:b/>
          <w:noProof/>
          <w:lang w:val="en-US"/>
        </w:rPr>
        <w:t>HN</w:t>
      </w:r>
      <w:r w:rsidRPr="00DD1B58">
        <w:rPr>
          <w:b/>
          <w:noProof/>
          <w:lang w:val="en-US"/>
        </w:rPr>
        <w:t>B)</w:t>
      </w:r>
      <w:r w:rsidR="004F4240" w:rsidRPr="00DD1B58">
        <w:rPr>
          <w:b/>
          <w:noProof/>
          <w:lang w:val="en-US"/>
        </w:rPr>
        <w:t xml:space="preserve"> </w:t>
      </w:r>
      <w:r w:rsidR="0068227F" w:rsidRPr="00DD1B58">
        <w:rPr>
          <w:b/>
          <w:noProof/>
          <w:lang w:val="en-US"/>
        </w:rPr>
        <w:t>–</w:t>
      </w:r>
      <w:r w:rsidR="004F4240" w:rsidRPr="00DD1B58">
        <w:rPr>
          <w:b/>
          <w:noProof/>
          <w:lang w:val="en-US"/>
        </w:rPr>
        <w:t xml:space="preserve"> </w:t>
      </w:r>
      <w:r w:rsidRPr="00DD1B58">
        <w:rPr>
          <w:noProof/>
          <w:lang w:val="en-US"/>
        </w:rPr>
        <w:t>HNB has aspirating fire detection within the main stores, workshops, and document centre. CCTV is located in the turbine halls for flame detection.</w:t>
      </w:r>
      <w:r w:rsidR="00446FD4" w:rsidRPr="00DD1B58">
        <w:rPr>
          <w:lang w:val="en-US"/>
        </w:rPr>
        <w:t xml:space="preserve"> </w:t>
      </w:r>
      <w:r w:rsidRPr="00DD1B58">
        <w:rPr>
          <w:noProof/>
          <w:lang w:val="en-US"/>
        </w:rPr>
        <w:t>In addition, fourteen new aspirating smoke detection panels are mounted in various locations.</w:t>
      </w:r>
    </w:p>
    <w:p w14:paraId="392B6EA3" w14:textId="7A4275DC" w:rsidR="7FCADB58" w:rsidRPr="00DD1B58" w:rsidRDefault="7FCADB58" w:rsidP="69C23859">
      <w:pPr>
        <w:rPr>
          <w:lang w:val="en-US"/>
        </w:rPr>
      </w:pPr>
      <w:r w:rsidRPr="00DD1B58">
        <w:rPr>
          <w:b/>
          <w:noProof/>
          <w:lang w:val="en-US"/>
        </w:rPr>
        <w:t>Second Generation AGRs (</w:t>
      </w:r>
      <w:r w:rsidR="00787A79" w:rsidRPr="00DD1B58">
        <w:rPr>
          <w:b/>
          <w:noProof/>
          <w:lang w:val="en-US"/>
        </w:rPr>
        <w:t>HY</w:t>
      </w:r>
      <w:r w:rsidRPr="00DD1B58">
        <w:rPr>
          <w:b/>
          <w:noProof/>
          <w:lang w:val="en-US"/>
        </w:rPr>
        <w:t>2)</w:t>
      </w:r>
      <w:r w:rsidR="004F4240" w:rsidRPr="00DD1B58">
        <w:rPr>
          <w:b/>
          <w:noProof/>
          <w:lang w:val="en-US"/>
        </w:rPr>
        <w:t xml:space="preserve"> </w:t>
      </w:r>
      <w:r w:rsidR="0068227F" w:rsidRPr="00DD1B58">
        <w:rPr>
          <w:b/>
          <w:noProof/>
          <w:lang w:val="en-US"/>
        </w:rPr>
        <w:t xml:space="preserve">– </w:t>
      </w:r>
      <w:r w:rsidRPr="00DD1B58">
        <w:rPr>
          <w:noProof/>
          <w:lang w:val="en-US"/>
        </w:rPr>
        <w:t xml:space="preserve">Heat Detectors are installed along the Turbine and Generator Centre line. </w:t>
      </w:r>
      <w:r w:rsidR="00E302D9" w:rsidRPr="00DD1B58">
        <w:rPr>
          <w:noProof/>
          <w:lang w:val="en-US"/>
        </w:rPr>
        <w:t>EDF NGL report</w:t>
      </w:r>
      <w:r w:rsidR="000C6052" w:rsidRPr="00DD1B58">
        <w:rPr>
          <w:noProof/>
          <w:lang w:val="en-US"/>
        </w:rPr>
        <w:t>s</w:t>
      </w:r>
      <w:r w:rsidR="00E302D9" w:rsidRPr="00DD1B58">
        <w:rPr>
          <w:noProof/>
          <w:lang w:val="en-US"/>
        </w:rPr>
        <w:t xml:space="preserve"> that d</w:t>
      </w:r>
      <w:r w:rsidRPr="00DD1B58">
        <w:rPr>
          <w:noProof/>
          <w:lang w:val="en-US"/>
        </w:rPr>
        <w:t xml:space="preserve">etectors initiate an alarm at the panel located in the Fixed Firefighting (FFF) room. Operators </w:t>
      </w:r>
      <w:r w:rsidR="00E302D9" w:rsidRPr="00DD1B58">
        <w:rPr>
          <w:noProof/>
          <w:lang w:val="en-US"/>
        </w:rPr>
        <w:t xml:space="preserve">would </w:t>
      </w:r>
      <w:r w:rsidRPr="00DD1B58">
        <w:rPr>
          <w:noProof/>
          <w:lang w:val="en-US"/>
        </w:rPr>
        <w:t xml:space="preserve">then respond to the alarm signal. If a genuine fire is found, the deluge valve </w:t>
      </w:r>
      <w:r w:rsidR="00E302D9" w:rsidRPr="00DD1B58">
        <w:rPr>
          <w:noProof/>
          <w:lang w:val="en-US"/>
        </w:rPr>
        <w:t>is</w:t>
      </w:r>
      <w:r w:rsidRPr="00DD1B58">
        <w:rPr>
          <w:noProof/>
          <w:lang w:val="en-US"/>
        </w:rPr>
        <w:t xml:space="preserve"> manually opened to supress the fire. </w:t>
      </w:r>
      <w:r w:rsidR="00AD5BBD" w:rsidRPr="00DD1B58">
        <w:rPr>
          <w:noProof/>
          <w:lang w:val="en-US"/>
        </w:rPr>
        <w:t xml:space="preserve">EDF NGL </w:t>
      </w:r>
      <w:r w:rsidRPr="00DD1B58">
        <w:rPr>
          <w:noProof/>
          <w:lang w:val="en-US"/>
        </w:rPr>
        <w:t>not</w:t>
      </w:r>
      <w:r w:rsidR="005D5134" w:rsidRPr="00DD1B58">
        <w:rPr>
          <w:noProof/>
          <w:lang w:val="en-US"/>
        </w:rPr>
        <w:t>e</w:t>
      </w:r>
      <w:r w:rsidR="000C6052" w:rsidRPr="00DD1B58">
        <w:rPr>
          <w:noProof/>
          <w:lang w:val="en-US"/>
        </w:rPr>
        <w:t>s</w:t>
      </w:r>
      <w:r w:rsidRPr="00DD1B58">
        <w:rPr>
          <w:noProof/>
          <w:lang w:val="en-US"/>
        </w:rPr>
        <w:t xml:space="preserve"> that the Turbine Hall contains no nuclear significant plant.</w:t>
      </w:r>
    </w:p>
    <w:p w14:paraId="524048D1" w14:textId="1CEBC42F" w:rsidR="7FCADB58" w:rsidRPr="00DD1B58" w:rsidRDefault="00AD5BBD" w:rsidP="69C23859">
      <w:pPr>
        <w:rPr>
          <w:lang w:val="en-US"/>
        </w:rPr>
      </w:pPr>
      <w:r w:rsidRPr="00DD1B58">
        <w:rPr>
          <w:noProof/>
          <w:lang w:val="en-US"/>
        </w:rPr>
        <w:t>EDF NGL report</w:t>
      </w:r>
      <w:r w:rsidR="000C6052" w:rsidRPr="00DD1B58">
        <w:rPr>
          <w:noProof/>
          <w:lang w:val="en-US"/>
        </w:rPr>
        <w:t>s</w:t>
      </w:r>
      <w:r w:rsidRPr="00DD1B58">
        <w:rPr>
          <w:noProof/>
          <w:lang w:val="en-US"/>
        </w:rPr>
        <w:t xml:space="preserve"> that the </w:t>
      </w:r>
      <w:r w:rsidR="7FCADB58" w:rsidRPr="00DD1B58">
        <w:rPr>
          <w:noProof/>
          <w:lang w:val="en-US"/>
        </w:rPr>
        <w:t>offsite stores buildings are protected by Beam Detection. LHDC protect Cable Tunnels, Flats and Risers.</w:t>
      </w:r>
      <w:r w:rsidR="003334C6" w:rsidRPr="00DD1B58">
        <w:rPr>
          <w:lang w:val="en-US"/>
        </w:rPr>
        <w:t xml:space="preserve"> </w:t>
      </w:r>
      <w:r w:rsidR="7FCADB58" w:rsidRPr="00DD1B58">
        <w:rPr>
          <w:noProof/>
          <w:lang w:val="en-US"/>
        </w:rPr>
        <w:t>The conventional areas are covered by aspirating systems.</w:t>
      </w:r>
    </w:p>
    <w:p w14:paraId="07365F75" w14:textId="1BD1F759" w:rsidR="7FCADB58" w:rsidRPr="00DD1B58" w:rsidRDefault="00AD5BBD" w:rsidP="69C23859">
      <w:pPr>
        <w:rPr>
          <w:lang w:val="en-US"/>
        </w:rPr>
      </w:pPr>
      <w:r w:rsidRPr="00DD1B58">
        <w:rPr>
          <w:b/>
          <w:noProof/>
          <w:lang w:val="en-US"/>
        </w:rPr>
        <w:t>SZ</w:t>
      </w:r>
      <w:r w:rsidR="7FCADB58" w:rsidRPr="00DD1B58">
        <w:rPr>
          <w:b/>
          <w:noProof/>
          <w:lang w:val="en-US"/>
        </w:rPr>
        <w:t>B</w:t>
      </w:r>
      <w:r w:rsidR="004F4240" w:rsidRPr="00DD1B58">
        <w:rPr>
          <w:b/>
          <w:noProof/>
          <w:lang w:val="en-US"/>
        </w:rPr>
        <w:t xml:space="preserve"> </w:t>
      </w:r>
      <w:r w:rsidRPr="00DD1B58">
        <w:rPr>
          <w:b/>
          <w:noProof/>
          <w:lang w:val="en-US"/>
        </w:rPr>
        <w:t>–</w:t>
      </w:r>
      <w:r w:rsidR="004F4240" w:rsidRPr="00DD1B58">
        <w:rPr>
          <w:b/>
          <w:noProof/>
          <w:lang w:val="en-US"/>
        </w:rPr>
        <w:t xml:space="preserve"> </w:t>
      </w:r>
      <w:r w:rsidRPr="00DD1B58">
        <w:rPr>
          <w:noProof/>
          <w:lang w:val="en-US"/>
        </w:rPr>
        <w:t>EDF NGL report</w:t>
      </w:r>
      <w:r w:rsidR="000C6052" w:rsidRPr="00DD1B58">
        <w:rPr>
          <w:noProof/>
          <w:lang w:val="en-US"/>
        </w:rPr>
        <w:t>s</w:t>
      </w:r>
      <w:r w:rsidRPr="00DD1B58">
        <w:rPr>
          <w:noProof/>
          <w:lang w:val="en-US"/>
        </w:rPr>
        <w:t xml:space="preserve"> that n</w:t>
      </w:r>
      <w:r w:rsidR="7FCADB58" w:rsidRPr="00DD1B58">
        <w:rPr>
          <w:noProof/>
          <w:lang w:val="en-US"/>
        </w:rPr>
        <w:t>umerous designs are used across Sizewell B</w:t>
      </w:r>
      <w:r w:rsidRPr="00DD1B58">
        <w:rPr>
          <w:noProof/>
          <w:lang w:val="en-US"/>
        </w:rPr>
        <w:t>. The main</w:t>
      </w:r>
      <w:r w:rsidR="00936633" w:rsidRPr="00DD1B58">
        <w:rPr>
          <w:noProof/>
          <w:lang w:val="en-US"/>
        </w:rPr>
        <w:t xml:space="preserve"> features taken literally from EDF NGL’s self-assessment are as follows:</w:t>
      </w:r>
      <w:r w:rsidRPr="00DD1B58">
        <w:rPr>
          <w:noProof/>
          <w:lang w:val="en-US"/>
        </w:rPr>
        <w:t xml:space="preserve"> </w:t>
      </w:r>
    </w:p>
    <w:p w14:paraId="28BADE10" w14:textId="5C095CAE" w:rsidR="7FCADB58" w:rsidRPr="00DD1B58" w:rsidRDefault="7FCADB58" w:rsidP="00973FF4">
      <w:pPr>
        <w:pStyle w:val="Bulletlist1"/>
        <w:rPr>
          <w:lang w:val="en-US"/>
        </w:rPr>
      </w:pPr>
      <w:r w:rsidRPr="00DD1B58">
        <w:rPr>
          <w:lang w:val="en-US"/>
        </w:rPr>
        <w:t>Reactor Building Manual Valves</w:t>
      </w:r>
      <w:r w:rsidR="00BF56DA" w:rsidRPr="00DD1B58">
        <w:rPr>
          <w:lang w:val="en-US"/>
        </w:rPr>
        <w:t>: i</w:t>
      </w:r>
      <w:r w:rsidRPr="00DD1B58">
        <w:rPr>
          <w:lang w:val="en-US"/>
        </w:rPr>
        <w:t>n the event of fire and subsequent operation of the frangible bulbs, loss of air from the detectors initiates</w:t>
      </w:r>
      <w:r w:rsidR="5C671854" w:rsidRPr="00DD1B58">
        <w:rPr>
          <w:lang w:val="en-US"/>
        </w:rPr>
        <w:t xml:space="preserve"> </w:t>
      </w:r>
      <w:r w:rsidRPr="00DD1B58">
        <w:rPr>
          <w:lang w:val="en-US"/>
        </w:rPr>
        <w:t>local alarms and Control Room signal only. The water spray through the open nozzles is activated by a</w:t>
      </w:r>
      <w:r w:rsidR="2E61A79F" w:rsidRPr="00DD1B58">
        <w:rPr>
          <w:lang w:val="en-US"/>
        </w:rPr>
        <w:t xml:space="preserve"> </w:t>
      </w:r>
      <w:r w:rsidRPr="00DD1B58">
        <w:rPr>
          <w:lang w:val="en-US"/>
        </w:rPr>
        <w:t>remotely operated manual valve</w:t>
      </w:r>
      <w:r w:rsidR="04DA6849" w:rsidRPr="00DD1B58">
        <w:rPr>
          <w:lang w:val="en-US"/>
        </w:rPr>
        <w:t xml:space="preserve"> which</w:t>
      </w:r>
      <w:r w:rsidRPr="00DD1B58">
        <w:rPr>
          <w:lang w:val="en-US"/>
        </w:rPr>
        <w:t xml:space="preserve"> vents the air off the deluge valve closing</w:t>
      </w:r>
      <w:r w:rsidR="142FBC58" w:rsidRPr="00DD1B58">
        <w:rPr>
          <w:lang w:val="en-US"/>
        </w:rPr>
        <w:t xml:space="preserve"> </w:t>
      </w:r>
      <w:r w:rsidRPr="00DD1B58">
        <w:rPr>
          <w:lang w:val="en-US"/>
        </w:rPr>
        <w:t>circuit, thus allowing the valve to open and permit water flow to the fire.</w:t>
      </w:r>
      <w:r w:rsidR="00936633" w:rsidRPr="00DD1B58">
        <w:rPr>
          <w:lang w:val="en-US"/>
        </w:rPr>
        <w:t xml:space="preserve"> </w:t>
      </w:r>
      <w:r w:rsidRPr="00DD1B58">
        <w:rPr>
          <w:lang w:val="en-US"/>
        </w:rPr>
        <w:t>Pressure switches signal low air and system discharged in the Control Room. Isolation, test and reset is</w:t>
      </w:r>
      <w:r w:rsidR="6F517732" w:rsidRPr="00DD1B58">
        <w:rPr>
          <w:lang w:val="en-US"/>
        </w:rPr>
        <w:t xml:space="preserve"> </w:t>
      </w:r>
      <w:r w:rsidRPr="00DD1B58">
        <w:rPr>
          <w:lang w:val="en-US"/>
        </w:rPr>
        <w:t>identical to the manual test for automatic water spray systems.</w:t>
      </w:r>
    </w:p>
    <w:p w14:paraId="41B436DD" w14:textId="33832476" w:rsidR="7FCADB58" w:rsidRPr="00DD1B58" w:rsidRDefault="7FCADB58" w:rsidP="00973FF4">
      <w:pPr>
        <w:pStyle w:val="Bulletlist1"/>
        <w:rPr>
          <w:lang w:val="en-US"/>
        </w:rPr>
      </w:pPr>
      <w:r w:rsidRPr="00DD1B58">
        <w:rPr>
          <w:lang w:val="en-US"/>
        </w:rPr>
        <w:t>Charcoal Filter Valves</w:t>
      </w:r>
      <w:r w:rsidR="00936633" w:rsidRPr="00DD1B58">
        <w:rPr>
          <w:lang w:val="en-US"/>
        </w:rPr>
        <w:t>: t</w:t>
      </w:r>
      <w:r w:rsidRPr="00DD1B58">
        <w:rPr>
          <w:lang w:val="en-US"/>
        </w:rPr>
        <w:t>he Charcoal Filters contain a quantity of combustible carbon contained in trays. A sparge pipe with a</w:t>
      </w:r>
      <w:r w:rsidR="56DFD45E" w:rsidRPr="00DD1B58">
        <w:rPr>
          <w:lang w:val="en-US"/>
        </w:rPr>
        <w:t xml:space="preserve"> </w:t>
      </w:r>
      <w:r w:rsidRPr="00DD1B58">
        <w:rPr>
          <w:lang w:val="en-US"/>
        </w:rPr>
        <w:t>valved instantaneous hose connector is sited above the trays. A fire in the filter raises an alarm in the</w:t>
      </w:r>
      <w:r w:rsidR="57ED1C40" w:rsidRPr="00DD1B58">
        <w:rPr>
          <w:lang w:val="en-US"/>
        </w:rPr>
        <w:t xml:space="preserve"> </w:t>
      </w:r>
      <w:r w:rsidRPr="00DD1B58">
        <w:rPr>
          <w:lang w:val="en-US"/>
        </w:rPr>
        <w:t>HVAC system panel</w:t>
      </w:r>
      <w:r w:rsidR="55074830" w:rsidRPr="00DD1B58">
        <w:rPr>
          <w:lang w:val="en-US"/>
        </w:rPr>
        <w:t xml:space="preserve"> prompting the operator to </w:t>
      </w:r>
      <w:r w:rsidR="3AC0512D" w:rsidRPr="00DD1B58">
        <w:rPr>
          <w:lang w:val="en-US"/>
        </w:rPr>
        <w:t>connect the hose and open the valve.</w:t>
      </w:r>
      <w:r w:rsidRPr="00DD1B58">
        <w:rPr>
          <w:lang w:val="en-US"/>
        </w:rPr>
        <w:t xml:space="preserve"> The Charcoal Filters in the Reactor Building are operated from the Fire Sector Panels </w:t>
      </w:r>
      <w:r w:rsidR="0066187B" w:rsidRPr="00DD1B58">
        <w:rPr>
          <w:lang w:val="en-US"/>
        </w:rPr>
        <w:t xml:space="preserve">(FSP) </w:t>
      </w:r>
      <w:r w:rsidRPr="00DD1B58">
        <w:rPr>
          <w:lang w:val="en-US"/>
        </w:rPr>
        <w:t>in the Auxiliary</w:t>
      </w:r>
      <w:r w:rsidR="67C08DD2" w:rsidRPr="00DD1B58">
        <w:rPr>
          <w:lang w:val="en-US"/>
        </w:rPr>
        <w:t xml:space="preserve"> </w:t>
      </w:r>
      <w:r w:rsidRPr="00DD1B58">
        <w:rPr>
          <w:lang w:val="en-US"/>
        </w:rPr>
        <w:t xml:space="preserve">Building. </w:t>
      </w:r>
      <w:r w:rsidR="030DA142" w:rsidRPr="00DD1B58">
        <w:rPr>
          <w:lang w:val="en-US"/>
        </w:rPr>
        <w:t>In a fire the</w:t>
      </w:r>
      <w:r w:rsidR="10BEC1B5" w:rsidRPr="00DD1B58">
        <w:rPr>
          <w:lang w:val="en-US"/>
        </w:rPr>
        <w:t xml:space="preserve"> </w:t>
      </w:r>
      <w:r w:rsidRPr="00DD1B58">
        <w:rPr>
          <w:lang w:val="en-US"/>
        </w:rPr>
        <w:t>operator opens one or two of the Reactor Building Fire Protection Containment Valves to allow water</w:t>
      </w:r>
      <w:r w:rsidR="01E5C3C3" w:rsidRPr="00DD1B58">
        <w:rPr>
          <w:lang w:val="en-US"/>
        </w:rPr>
        <w:t xml:space="preserve"> </w:t>
      </w:r>
      <w:r w:rsidRPr="00DD1B58">
        <w:rPr>
          <w:lang w:val="en-US"/>
        </w:rPr>
        <w:t>supplies up to the Charcoal Filter Valve Skid. The valve skid is then operated by pushbutton from the</w:t>
      </w:r>
      <w:r w:rsidR="567A741C" w:rsidRPr="00DD1B58">
        <w:rPr>
          <w:lang w:val="en-US"/>
        </w:rPr>
        <w:t xml:space="preserve"> </w:t>
      </w:r>
      <w:r w:rsidRPr="00DD1B58">
        <w:rPr>
          <w:lang w:val="en-US"/>
        </w:rPr>
        <w:t>FSP. The valve skid is automatically closed after a period of one minute.</w:t>
      </w:r>
      <w:r w:rsidR="66F0949B" w:rsidRPr="00DD1B58">
        <w:rPr>
          <w:lang w:val="en-US"/>
        </w:rPr>
        <w:t xml:space="preserve"> Further detail is provided in the licensee</w:t>
      </w:r>
      <w:r w:rsidR="00547DF0" w:rsidRPr="00DD1B58">
        <w:rPr>
          <w:lang w:val="en-US"/>
        </w:rPr>
        <w:t xml:space="preserve">’s self-assessment </w:t>
      </w:r>
      <w:sdt>
        <w:sdtPr>
          <w:rPr>
            <w:lang w:val="en-US"/>
          </w:rPr>
          <w:id w:val="-1686741714"/>
          <w:citation/>
        </w:sdtPr>
        <w:sdtContent>
          <w:r w:rsidR="00547DF0" w:rsidRPr="00DD1B58">
            <w:rPr>
              <w:lang w:val="en-US"/>
            </w:rPr>
            <w:fldChar w:fldCharType="begin"/>
          </w:r>
          <w:r w:rsidR="00547DF0" w:rsidRPr="00DD1B58">
            <w:rPr>
              <w:lang w:val="en-US"/>
            </w:rPr>
            <w:instrText xml:space="preserve"> CITATION EDF231 \l 2057 </w:instrText>
          </w:r>
          <w:r w:rsidR="00547DF0" w:rsidRPr="00DD1B58">
            <w:rPr>
              <w:lang w:val="en-US"/>
            </w:rPr>
            <w:fldChar w:fldCharType="separate"/>
          </w:r>
          <w:r w:rsidR="00DF47DA" w:rsidRPr="00DF47DA">
            <w:rPr>
              <w:lang w:val="en-US"/>
            </w:rPr>
            <w:t>[25]</w:t>
          </w:r>
          <w:r w:rsidR="00547DF0" w:rsidRPr="00DD1B58">
            <w:rPr>
              <w:lang w:val="en-US"/>
            </w:rPr>
            <w:fldChar w:fldCharType="end"/>
          </w:r>
        </w:sdtContent>
      </w:sdt>
      <w:r w:rsidR="66F0949B" w:rsidRPr="00DD1B58">
        <w:rPr>
          <w:lang w:val="en-US"/>
        </w:rPr>
        <w:t>.</w:t>
      </w:r>
    </w:p>
    <w:p w14:paraId="38CBE87D" w14:textId="7B5ECE5E" w:rsidR="7FCADB58" w:rsidRPr="00DD1B58" w:rsidRDefault="7FCADB58" w:rsidP="00973FF4">
      <w:pPr>
        <w:pStyle w:val="Bulletlist1"/>
        <w:rPr>
          <w:lang w:val="en-US"/>
        </w:rPr>
      </w:pPr>
      <w:r w:rsidRPr="00DD1B58">
        <w:rPr>
          <w:lang w:val="en-US"/>
        </w:rPr>
        <w:t>Internal Fixed Hose Reels</w:t>
      </w:r>
      <w:r w:rsidR="00547DF0" w:rsidRPr="00DD1B58">
        <w:rPr>
          <w:lang w:val="en-US"/>
        </w:rPr>
        <w:t xml:space="preserve">: </w:t>
      </w:r>
      <w:r w:rsidR="00326CA7" w:rsidRPr="00DD1B58">
        <w:rPr>
          <w:lang w:val="en-US"/>
        </w:rPr>
        <w:t>EDF NGL provide h</w:t>
      </w:r>
      <w:r w:rsidRPr="00DD1B58">
        <w:rPr>
          <w:lang w:val="en-US"/>
        </w:rPr>
        <w:t>ose reel stations provided within the Radwaste Building and inside the containment.</w:t>
      </w:r>
    </w:p>
    <w:p w14:paraId="1F18EF30" w14:textId="278493AE" w:rsidR="027A083A" w:rsidRPr="00DD1B58" w:rsidRDefault="7FCADB58" w:rsidP="00973FF4">
      <w:pPr>
        <w:pStyle w:val="Bulletlist1"/>
        <w:rPr>
          <w:lang w:val="en-US"/>
        </w:rPr>
      </w:pPr>
      <w:r w:rsidRPr="00DD1B58">
        <w:rPr>
          <w:lang w:val="en-US"/>
        </w:rPr>
        <w:t>General</w:t>
      </w:r>
      <w:r w:rsidR="00326CA7" w:rsidRPr="00DD1B58">
        <w:rPr>
          <w:lang w:val="en-US"/>
        </w:rPr>
        <w:t>: SZ</w:t>
      </w:r>
      <w:r w:rsidR="027A083A" w:rsidRPr="00DD1B58">
        <w:rPr>
          <w:lang w:val="en-US"/>
        </w:rPr>
        <w:t xml:space="preserve">B </w:t>
      </w:r>
      <w:r w:rsidR="00326CA7" w:rsidRPr="00DD1B58">
        <w:rPr>
          <w:lang w:val="en-US"/>
        </w:rPr>
        <w:t xml:space="preserve">has </w:t>
      </w:r>
      <w:r w:rsidR="027A083A" w:rsidRPr="00DD1B58">
        <w:rPr>
          <w:lang w:val="en-US"/>
        </w:rPr>
        <w:t>aspirating fire detection within their main stores, workshops, document centre and the</w:t>
      </w:r>
      <w:r w:rsidR="322DF642" w:rsidRPr="00DD1B58">
        <w:rPr>
          <w:lang w:val="en-US"/>
        </w:rPr>
        <w:t xml:space="preserve"> </w:t>
      </w:r>
      <w:r w:rsidR="027A083A" w:rsidRPr="00DD1B58">
        <w:rPr>
          <w:lang w:val="en-US"/>
        </w:rPr>
        <w:t>Dry Fuel Store. Linear heat detecting wire is used within the containment building. Beam detectors are</w:t>
      </w:r>
      <w:r w:rsidR="03694809" w:rsidRPr="00DD1B58">
        <w:rPr>
          <w:lang w:val="en-US"/>
        </w:rPr>
        <w:t xml:space="preserve"> </w:t>
      </w:r>
      <w:r w:rsidR="027A083A" w:rsidRPr="00DD1B58">
        <w:rPr>
          <w:lang w:val="en-US"/>
        </w:rPr>
        <w:t>used within the water treatment plant building and Flame Detection is used in the Dry Fuel Store. CCTV</w:t>
      </w:r>
      <w:r w:rsidR="7D7FC868" w:rsidRPr="00DD1B58">
        <w:rPr>
          <w:lang w:val="en-US"/>
        </w:rPr>
        <w:t xml:space="preserve"> </w:t>
      </w:r>
      <w:r w:rsidR="027A083A" w:rsidRPr="00DD1B58">
        <w:rPr>
          <w:lang w:val="en-US"/>
        </w:rPr>
        <w:t xml:space="preserve">is located in the turbine hall to detect flames. </w:t>
      </w:r>
      <w:r w:rsidR="00281AFF" w:rsidRPr="00DD1B58">
        <w:rPr>
          <w:lang w:val="en-US"/>
        </w:rPr>
        <w:t xml:space="preserve">EDF NGL </w:t>
      </w:r>
      <w:r w:rsidR="027A083A" w:rsidRPr="00DD1B58">
        <w:rPr>
          <w:lang w:val="en-US"/>
        </w:rPr>
        <w:t>noted that the Turbine Hall contains no nuclear</w:t>
      </w:r>
      <w:r w:rsidR="59B0E2B7" w:rsidRPr="00DD1B58">
        <w:rPr>
          <w:lang w:val="en-US"/>
        </w:rPr>
        <w:t xml:space="preserve"> </w:t>
      </w:r>
      <w:r w:rsidR="027A083A" w:rsidRPr="00DD1B58">
        <w:rPr>
          <w:lang w:val="en-US"/>
        </w:rPr>
        <w:t>significant plant.</w:t>
      </w:r>
      <w:r w:rsidR="00281AFF" w:rsidRPr="00DD1B58">
        <w:rPr>
          <w:lang w:val="en-US"/>
        </w:rPr>
        <w:t xml:space="preserve"> </w:t>
      </w:r>
      <w:r w:rsidR="027A083A" w:rsidRPr="00DD1B58">
        <w:rPr>
          <w:lang w:val="en-US"/>
        </w:rPr>
        <w:t xml:space="preserve">FM200 </w:t>
      </w:r>
      <w:r w:rsidR="00C6218E" w:rsidRPr="00DD1B58">
        <w:rPr>
          <w:lang w:val="en-US"/>
        </w:rPr>
        <w:t xml:space="preserve">(fire suppressing gas) </w:t>
      </w:r>
      <w:r w:rsidR="027A083A" w:rsidRPr="00DD1B58">
        <w:rPr>
          <w:lang w:val="en-US"/>
        </w:rPr>
        <w:t>is used in the server rooms within the Administration building and document centre archive.</w:t>
      </w:r>
    </w:p>
    <w:p w14:paraId="1A9CD3A4" w14:textId="77777777" w:rsidR="386D2B7D" w:rsidRPr="00DD1B58" w:rsidRDefault="027A083A" w:rsidP="00E55BEA">
      <w:pPr>
        <w:rPr>
          <w:b/>
          <w:lang w:val="en-US"/>
        </w:rPr>
      </w:pPr>
      <w:r w:rsidRPr="00DD1B58">
        <w:rPr>
          <w:b/>
          <w:lang w:val="en-US"/>
        </w:rPr>
        <w:t>Fire alarm actuation</w:t>
      </w:r>
    </w:p>
    <w:p w14:paraId="0D6FEDD5" w14:textId="76BCDB53" w:rsidR="027A083A" w:rsidRPr="00DD1B58" w:rsidRDefault="00281AFF" w:rsidP="00E55BEA">
      <w:pPr>
        <w:rPr>
          <w:bCs/>
          <w:lang w:val="en-US"/>
        </w:rPr>
      </w:pPr>
      <w:r w:rsidRPr="00DD1B58">
        <w:rPr>
          <w:bCs/>
          <w:lang w:val="en-US"/>
        </w:rPr>
        <w:t>EDF NGL state</w:t>
      </w:r>
      <w:r w:rsidR="003220E2" w:rsidRPr="00DD1B58">
        <w:rPr>
          <w:bCs/>
          <w:lang w:val="en-US"/>
        </w:rPr>
        <w:t>s</w:t>
      </w:r>
      <w:r w:rsidRPr="00DD1B58">
        <w:rPr>
          <w:bCs/>
          <w:lang w:val="en-US"/>
        </w:rPr>
        <w:t xml:space="preserve"> that f</w:t>
      </w:r>
      <w:r w:rsidR="027A083A" w:rsidRPr="00DD1B58">
        <w:rPr>
          <w:bCs/>
          <w:lang w:val="en-US"/>
        </w:rPr>
        <w:t>ire alarm actuation provisions are station specific</w:t>
      </w:r>
      <w:r w:rsidRPr="00DD1B58">
        <w:rPr>
          <w:bCs/>
          <w:lang w:val="en-US"/>
        </w:rPr>
        <w:t>:</w:t>
      </w:r>
    </w:p>
    <w:p w14:paraId="1D158E32" w14:textId="2FCF134F" w:rsidR="027A083A" w:rsidRPr="00DD1B58" w:rsidRDefault="027A083A" w:rsidP="00E55BEA">
      <w:pPr>
        <w:rPr>
          <w:lang w:val="en-US"/>
        </w:rPr>
      </w:pPr>
      <w:r w:rsidRPr="00DD1B58">
        <w:rPr>
          <w:b/>
          <w:lang w:val="en-US"/>
        </w:rPr>
        <w:t>First Generation AGRs (</w:t>
      </w:r>
      <w:r w:rsidR="00281AFF" w:rsidRPr="00DD1B58">
        <w:rPr>
          <w:b/>
          <w:lang w:val="en-US"/>
        </w:rPr>
        <w:t>HN</w:t>
      </w:r>
      <w:r w:rsidRPr="00DD1B58">
        <w:rPr>
          <w:b/>
          <w:lang w:val="en-US"/>
        </w:rPr>
        <w:t>B)</w:t>
      </w:r>
      <w:r w:rsidR="004F4240" w:rsidRPr="00DD1B58">
        <w:rPr>
          <w:b/>
          <w:lang w:val="en-US"/>
        </w:rPr>
        <w:t xml:space="preserve"> </w:t>
      </w:r>
      <w:r w:rsidR="001D0DC3" w:rsidRPr="00DD1B58">
        <w:rPr>
          <w:bCs/>
          <w:lang w:val="en-US"/>
        </w:rPr>
        <w:t>-</w:t>
      </w:r>
      <w:r w:rsidR="00FE7447" w:rsidRPr="00DD1B58">
        <w:rPr>
          <w:bCs/>
          <w:lang w:val="en-US"/>
        </w:rPr>
        <w:t xml:space="preserve"> EDF NGL provides o</w:t>
      </w:r>
      <w:r w:rsidRPr="00DD1B58">
        <w:rPr>
          <w:bCs/>
          <w:lang w:val="en-US"/>
        </w:rPr>
        <w:t xml:space="preserve">ne </w:t>
      </w:r>
      <w:r w:rsidRPr="00DD1B58">
        <w:rPr>
          <w:lang w:val="en-US"/>
        </w:rPr>
        <w:t xml:space="preserve">Pyrogen Dry Powder system in a number of electrical panels </w:t>
      </w:r>
      <w:r w:rsidR="00FE7447" w:rsidRPr="00DD1B58">
        <w:rPr>
          <w:lang w:val="en-US"/>
        </w:rPr>
        <w:t>at</w:t>
      </w:r>
      <w:r w:rsidRPr="00DD1B58">
        <w:rPr>
          <w:lang w:val="en-US"/>
        </w:rPr>
        <w:t xml:space="preserve"> HNB. </w:t>
      </w:r>
      <w:r w:rsidR="00FE7447" w:rsidRPr="00DD1B58">
        <w:rPr>
          <w:lang w:val="en-US"/>
        </w:rPr>
        <w:t xml:space="preserve">It also uses </w:t>
      </w:r>
      <w:r w:rsidRPr="00DD1B58">
        <w:rPr>
          <w:lang w:val="en-US"/>
        </w:rPr>
        <w:t>CO</w:t>
      </w:r>
      <w:r w:rsidRPr="00DD1B58">
        <w:rPr>
          <w:vertAlign w:val="subscript"/>
          <w:lang w:val="en-US"/>
        </w:rPr>
        <w:t>2</w:t>
      </w:r>
      <w:r w:rsidRPr="00DD1B58">
        <w:rPr>
          <w:lang w:val="en-US"/>
        </w:rPr>
        <w:t xml:space="preserve"> to</w:t>
      </w:r>
      <w:r w:rsidR="7724085F" w:rsidRPr="00DD1B58">
        <w:rPr>
          <w:lang w:val="en-US"/>
        </w:rPr>
        <w:t xml:space="preserve"> </w:t>
      </w:r>
      <w:r w:rsidRPr="00DD1B58">
        <w:rPr>
          <w:lang w:val="en-US"/>
        </w:rPr>
        <w:t xml:space="preserve">protect the </w:t>
      </w:r>
      <w:r w:rsidR="003334C6" w:rsidRPr="00DD1B58">
        <w:rPr>
          <w:lang w:val="en-US"/>
        </w:rPr>
        <w:t>high-pressure</w:t>
      </w:r>
      <w:r w:rsidRPr="00DD1B58">
        <w:rPr>
          <w:lang w:val="en-US"/>
        </w:rPr>
        <w:t xml:space="preserve"> stages of the turbo-generators in the Turbine Hall.</w:t>
      </w:r>
      <w:r w:rsidR="00FE7447" w:rsidRPr="00DD1B58">
        <w:rPr>
          <w:lang w:val="en-US"/>
        </w:rPr>
        <w:t xml:space="preserve"> </w:t>
      </w:r>
      <w:r w:rsidRPr="00DD1B58">
        <w:rPr>
          <w:lang w:val="en-US"/>
        </w:rPr>
        <w:t xml:space="preserve">The LHDC activates a metron head device which fires a pin and fractures the Quartzoid bulbs </w:t>
      </w:r>
      <w:r w:rsidR="001D0DC3" w:rsidRPr="00DD1B58">
        <w:rPr>
          <w:lang w:val="en-US"/>
        </w:rPr>
        <w:t xml:space="preserve">(thus this is </w:t>
      </w:r>
      <w:r w:rsidRPr="00DD1B58">
        <w:rPr>
          <w:lang w:val="en-US"/>
        </w:rPr>
        <w:t xml:space="preserve">a </w:t>
      </w:r>
      <w:r w:rsidR="003334C6" w:rsidRPr="00DD1B58">
        <w:rPr>
          <w:lang w:val="en-US"/>
        </w:rPr>
        <w:t>fast-acting</w:t>
      </w:r>
      <w:r w:rsidRPr="00DD1B58">
        <w:rPr>
          <w:lang w:val="en-US"/>
        </w:rPr>
        <w:t xml:space="preserve"> suppression system</w:t>
      </w:r>
      <w:r w:rsidR="001D0DC3" w:rsidRPr="00DD1B58">
        <w:rPr>
          <w:lang w:val="en-US"/>
        </w:rPr>
        <w:t xml:space="preserve">) </w:t>
      </w:r>
      <w:r w:rsidRPr="00DD1B58">
        <w:rPr>
          <w:lang w:val="en-US"/>
        </w:rPr>
        <w:t>activated by the LHDC.</w:t>
      </w:r>
    </w:p>
    <w:p w14:paraId="5EFCE144" w14:textId="7EA3E4D9" w:rsidR="027A083A" w:rsidRPr="00DD1B58" w:rsidRDefault="027A083A" w:rsidP="00E55BEA">
      <w:pPr>
        <w:rPr>
          <w:lang w:val="en-US"/>
        </w:rPr>
      </w:pPr>
      <w:r w:rsidRPr="00DD1B58">
        <w:rPr>
          <w:b/>
          <w:lang w:val="en-US"/>
        </w:rPr>
        <w:t>Second Generation AGRs (</w:t>
      </w:r>
      <w:r w:rsidR="00281AFF" w:rsidRPr="00DD1B58">
        <w:rPr>
          <w:b/>
          <w:lang w:val="en-US"/>
        </w:rPr>
        <w:t>HY</w:t>
      </w:r>
      <w:r w:rsidRPr="00DD1B58">
        <w:rPr>
          <w:b/>
          <w:lang w:val="en-US"/>
        </w:rPr>
        <w:t>2)</w:t>
      </w:r>
      <w:r w:rsidR="004F4240" w:rsidRPr="00DD1B58">
        <w:rPr>
          <w:b/>
          <w:lang w:val="en-US"/>
        </w:rPr>
        <w:t xml:space="preserve"> </w:t>
      </w:r>
      <w:r w:rsidR="004C1D17" w:rsidRPr="00DD1B58">
        <w:rPr>
          <w:bCs/>
          <w:lang w:val="en-US"/>
        </w:rPr>
        <w:t>-</w:t>
      </w:r>
      <w:r w:rsidR="001D0DC3" w:rsidRPr="00DD1B58">
        <w:rPr>
          <w:b/>
          <w:lang w:val="en-US"/>
        </w:rPr>
        <w:t xml:space="preserve"> </w:t>
      </w:r>
      <w:r w:rsidR="001D0DC3" w:rsidRPr="00DD1B58">
        <w:rPr>
          <w:bCs/>
          <w:lang w:val="en-US"/>
        </w:rPr>
        <w:t>EDF NGL provides</w:t>
      </w:r>
      <w:r w:rsidR="004F4240" w:rsidRPr="00DD1B58">
        <w:rPr>
          <w:bCs/>
          <w:lang w:val="en-US"/>
        </w:rPr>
        <w:t xml:space="preserve"> </w:t>
      </w:r>
      <w:r w:rsidRPr="00DD1B58">
        <w:rPr>
          <w:bCs/>
          <w:lang w:val="en-US"/>
        </w:rPr>
        <w:t>Inergen</w:t>
      </w:r>
      <w:r w:rsidRPr="00DD1B58">
        <w:rPr>
          <w:lang w:val="en-US"/>
        </w:rPr>
        <w:t xml:space="preserve"> to protect the sub-floor cable rod controls (Control Room, back-up Safety Rooms,</w:t>
      </w:r>
      <w:r w:rsidR="1869CA93" w:rsidRPr="00DD1B58">
        <w:rPr>
          <w:lang w:val="en-US"/>
        </w:rPr>
        <w:t xml:space="preserve"> </w:t>
      </w:r>
      <w:r w:rsidRPr="00DD1B58">
        <w:rPr>
          <w:lang w:val="en-US"/>
        </w:rPr>
        <w:t>etc.).</w:t>
      </w:r>
    </w:p>
    <w:p w14:paraId="265AC406" w14:textId="708F623F" w:rsidR="027A083A" w:rsidRPr="00DD1B58" w:rsidRDefault="001D0DC3" w:rsidP="00E55BEA">
      <w:pPr>
        <w:rPr>
          <w:lang w:val="en-US"/>
        </w:rPr>
      </w:pPr>
      <w:r w:rsidRPr="00DD1B58">
        <w:rPr>
          <w:b/>
          <w:lang w:val="en-US"/>
        </w:rPr>
        <w:t>SZ</w:t>
      </w:r>
      <w:r w:rsidR="027A083A" w:rsidRPr="00DD1B58">
        <w:rPr>
          <w:b/>
          <w:lang w:val="en-US"/>
        </w:rPr>
        <w:t>B</w:t>
      </w:r>
      <w:r w:rsidR="004F4240" w:rsidRPr="00DD1B58">
        <w:rPr>
          <w:b/>
          <w:lang w:val="en-US"/>
        </w:rPr>
        <w:t xml:space="preserve"> </w:t>
      </w:r>
      <w:r w:rsidR="004F4240" w:rsidRPr="00DD1B58">
        <w:rPr>
          <w:bCs/>
          <w:lang w:val="en-US"/>
        </w:rPr>
        <w:t>-</w:t>
      </w:r>
      <w:r w:rsidR="004F4240" w:rsidRPr="00DD1B58">
        <w:rPr>
          <w:b/>
          <w:lang w:val="en-US"/>
        </w:rPr>
        <w:t xml:space="preserve"> </w:t>
      </w:r>
      <w:r w:rsidR="027A083A" w:rsidRPr="00DD1B58">
        <w:rPr>
          <w:lang w:val="en-US"/>
        </w:rPr>
        <w:t>The fire alarms do not actuate the fire protection in the safety classified areas – these use frangible</w:t>
      </w:r>
      <w:r w:rsidR="3B0987A5" w:rsidRPr="00DD1B58">
        <w:rPr>
          <w:lang w:val="en-US"/>
        </w:rPr>
        <w:t xml:space="preserve"> </w:t>
      </w:r>
      <w:r w:rsidR="027A083A" w:rsidRPr="00DD1B58">
        <w:rPr>
          <w:lang w:val="en-US"/>
        </w:rPr>
        <w:t xml:space="preserve">bulbs. However, the fire alarm system closes fire dampers to contain the spread of </w:t>
      </w:r>
      <w:r w:rsidR="003334C6" w:rsidRPr="00DD1B58">
        <w:rPr>
          <w:lang w:val="en-US"/>
        </w:rPr>
        <w:t>smoke and</w:t>
      </w:r>
      <w:r w:rsidR="027A083A" w:rsidRPr="00DD1B58">
        <w:rPr>
          <w:lang w:val="en-US"/>
        </w:rPr>
        <w:t xml:space="preserve"> actuates</w:t>
      </w:r>
      <w:r w:rsidR="25D65AB0" w:rsidRPr="00DD1B58">
        <w:rPr>
          <w:lang w:val="en-US"/>
        </w:rPr>
        <w:t xml:space="preserve"> </w:t>
      </w:r>
      <w:r w:rsidR="027A083A" w:rsidRPr="00DD1B58">
        <w:rPr>
          <w:lang w:val="en-US"/>
        </w:rPr>
        <w:t>the overpressure systems for the stairwells and fire escape routes.</w:t>
      </w:r>
    </w:p>
    <w:p w14:paraId="031ED740" w14:textId="77777777" w:rsidR="208380E9" w:rsidRPr="00DD1B58" w:rsidRDefault="027A083A" w:rsidP="1B2B0ECE">
      <w:pPr>
        <w:pStyle w:val="Bulletlist1"/>
        <w:numPr>
          <w:ilvl w:val="0"/>
          <w:numId w:val="0"/>
        </w:numPr>
        <w:rPr>
          <w:b/>
          <w:color w:val="22413A"/>
          <w:lang w:val="en-US"/>
        </w:rPr>
      </w:pPr>
      <w:r w:rsidRPr="00DD1B58">
        <w:rPr>
          <w:b/>
          <w:color w:val="22413A"/>
          <w:lang w:val="en-US"/>
        </w:rPr>
        <w:t>Actuation of controls</w:t>
      </w:r>
    </w:p>
    <w:p w14:paraId="51346726" w14:textId="4636E85A" w:rsidR="00635841" w:rsidRPr="00DD1B58" w:rsidRDefault="027A083A" w:rsidP="006250F6">
      <w:pPr>
        <w:rPr>
          <w:bCs/>
          <w:lang w:val="en-US"/>
        </w:rPr>
      </w:pPr>
      <w:r w:rsidRPr="00DD1B58">
        <w:rPr>
          <w:b/>
          <w:lang w:val="en-US"/>
        </w:rPr>
        <w:t>General</w:t>
      </w:r>
      <w:r w:rsidR="00A839B0" w:rsidRPr="00DD1B58">
        <w:rPr>
          <w:bCs/>
          <w:lang w:val="en-US"/>
        </w:rPr>
        <w:t xml:space="preserve"> </w:t>
      </w:r>
      <w:r w:rsidR="007A5AE1" w:rsidRPr="00DD1B58">
        <w:rPr>
          <w:bCs/>
          <w:lang w:val="en-US"/>
        </w:rPr>
        <w:t>–</w:t>
      </w:r>
      <w:r w:rsidR="00A839B0" w:rsidRPr="00DD1B58">
        <w:rPr>
          <w:b/>
          <w:lang w:val="en-US"/>
        </w:rPr>
        <w:t xml:space="preserve"> </w:t>
      </w:r>
      <w:r w:rsidR="007A5AE1" w:rsidRPr="00DD1B58">
        <w:rPr>
          <w:bCs/>
          <w:lang w:val="en-US"/>
        </w:rPr>
        <w:t>EDF NGL state</w:t>
      </w:r>
      <w:r w:rsidR="003220E2" w:rsidRPr="00DD1B58">
        <w:rPr>
          <w:bCs/>
          <w:lang w:val="en-US"/>
        </w:rPr>
        <w:t>s</w:t>
      </w:r>
      <w:r w:rsidR="007A5AE1" w:rsidRPr="00DD1B58">
        <w:rPr>
          <w:bCs/>
          <w:lang w:val="en-US"/>
        </w:rPr>
        <w:t xml:space="preserve"> </w:t>
      </w:r>
      <w:r w:rsidR="00635841" w:rsidRPr="00DD1B58">
        <w:rPr>
          <w:bCs/>
          <w:lang w:val="en-US"/>
        </w:rPr>
        <w:t>the following</w:t>
      </w:r>
      <w:r w:rsidR="006D601B" w:rsidRPr="00DD1B58">
        <w:rPr>
          <w:bCs/>
          <w:lang w:val="en-US"/>
        </w:rPr>
        <w:t xml:space="preserve"> (taken literally from the licensee’s self-assessment):</w:t>
      </w:r>
    </w:p>
    <w:p w14:paraId="6265FFC9" w14:textId="77777777" w:rsidR="027A083A" w:rsidRPr="00DD1B58" w:rsidRDefault="027A083A" w:rsidP="006250F6">
      <w:pPr>
        <w:rPr>
          <w:i/>
          <w:iCs/>
          <w:lang w:val="en-US"/>
        </w:rPr>
      </w:pPr>
      <w:r w:rsidRPr="00DD1B58">
        <w:rPr>
          <w:bCs/>
          <w:i/>
          <w:iCs/>
          <w:lang w:val="en-US"/>
        </w:rPr>
        <w:t>HVAC</w:t>
      </w:r>
      <w:r w:rsidRPr="00DD1B58">
        <w:rPr>
          <w:i/>
          <w:iCs/>
          <w:lang w:val="en-US"/>
        </w:rPr>
        <w:t xml:space="preserve"> systems can be linked directly to the fire alarm system and respond automatically to fire alarms</w:t>
      </w:r>
      <w:r w:rsidR="67FFF517" w:rsidRPr="00DD1B58">
        <w:rPr>
          <w:i/>
          <w:iCs/>
          <w:lang w:val="en-US"/>
        </w:rPr>
        <w:t xml:space="preserve"> </w:t>
      </w:r>
      <w:r w:rsidRPr="00DD1B58">
        <w:rPr>
          <w:i/>
          <w:iCs/>
          <w:lang w:val="en-US"/>
        </w:rPr>
        <w:t>(e.g. fire damper closure, stairwell pressurisation, fans stopped). Independently of the fire alarm HVAC</w:t>
      </w:r>
      <w:r w:rsidR="1D9C35AA" w:rsidRPr="00DD1B58">
        <w:rPr>
          <w:i/>
          <w:iCs/>
          <w:lang w:val="en-US"/>
        </w:rPr>
        <w:t xml:space="preserve"> </w:t>
      </w:r>
      <w:r w:rsidRPr="00DD1B58">
        <w:rPr>
          <w:i/>
          <w:iCs/>
          <w:lang w:val="en-US"/>
        </w:rPr>
        <w:t>systems can also respond to indications of a fire. There is a subtle difference between the two. For</w:t>
      </w:r>
      <w:r w:rsidR="7E7FFAD3" w:rsidRPr="00DD1B58">
        <w:rPr>
          <w:i/>
          <w:iCs/>
          <w:lang w:val="en-US"/>
        </w:rPr>
        <w:t xml:space="preserve"> </w:t>
      </w:r>
      <w:r w:rsidRPr="00DD1B58">
        <w:rPr>
          <w:i/>
          <w:iCs/>
          <w:lang w:val="en-US"/>
        </w:rPr>
        <w:t>instance, the fire alarm can be activated by the fire alarm system, from by a call point or sensor.</w:t>
      </w:r>
    </w:p>
    <w:p w14:paraId="7E12B0D6" w14:textId="77777777" w:rsidR="027A083A" w:rsidRPr="00DD1B58" w:rsidRDefault="027A083A" w:rsidP="006250F6">
      <w:pPr>
        <w:rPr>
          <w:i/>
          <w:iCs/>
          <w:lang w:val="en-US"/>
        </w:rPr>
      </w:pPr>
      <w:r w:rsidRPr="00DD1B58">
        <w:rPr>
          <w:i/>
          <w:iCs/>
          <w:lang w:val="en-US"/>
        </w:rPr>
        <w:t>The HVAC system itself can respond to a HVAC smoke detector without necessarily setting off the fire</w:t>
      </w:r>
      <w:r w:rsidR="1EBC5E4D" w:rsidRPr="00DD1B58">
        <w:rPr>
          <w:i/>
          <w:iCs/>
          <w:lang w:val="en-US"/>
        </w:rPr>
        <w:t xml:space="preserve"> </w:t>
      </w:r>
      <w:r w:rsidRPr="00DD1B58">
        <w:rPr>
          <w:i/>
          <w:iCs/>
          <w:lang w:val="en-US"/>
        </w:rPr>
        <w:t>alarm. For example, the Control Room HVAC System at SZB will respond to smoke in the HVAC</w:t>
      </w:r>
      <w:r w:rsidR="686ECA6E" w:rsidRPr="00DD1B58">
        <w:rPr>
          <w:i/>
          <w:iCs/>
          <w:lang w:val="en-US"/>
        </w:rPr>
        <w:t xml:space="preserve"> </w:t>
      </w:r>
      <w:r w:rsidR="7E33C500" w:rsidRPr="00DD1B58">
        <w:rPr>
          <w:i/>
          <w:iCs/>
          <w:lang w:val="en-US"/>
        </w:rPr>
        <w:t xml:space="preserve">inlets by automatically switching the system’s dampers to full recirculation mode, but this does not </w:t>
      </w:r>
      <w:r w:rsidR="5167ACA4" w:rsidRPr="00DD1B58">
        <w:rPr>
          <w:i/>
          <w:iCs/>
          <w:lang w:val="en-US"/>
        </w:rPr>
        <w:t>automatically set off the building’s fire alarm. Also for this system, the building’s fire alarm would automatically activate the Control Room’s HVAC recirculation mode.</w:t>
      </w:r>
    </w:p>
    <w:p w14:paraId="41AA2A25" w14:textId="7E4222C4" w:rsidR="5167ACA4" w:rsidRPr="00DD1B58" w:rsidRDefault="5167ACA4" w:rsidP="006250F6">
      <w:pPr>
        <w:rPr>
          <w:i/>
          <w:iCs/>
          <w:lang w:val="en-US"/>
        </w:rPr>
      </w:pPr>
      <w:r w:rsidRPr="00DD1B58">
        <w:rPr>
          <w:i/>
          <w:iCs/>
          <w:lang w:val="en-US"/>
        </w:rPr>
        <w:t>Regarding nuclear safety and reactor control, shutting down the HVAC system has the potential to lead within a relatively short time to the overheating of rooms that house equipment important to nuclear safety, and consequently the equipment could overheat and possibly malfunction. Therefore, following a fire alarm there needs to be an appropriate response by the HVAC to avoid a room overheating scenario. The optimal decision making in the design process has defined how these systems operate</w:t>
      </w:r>
      <w:r w:rsidR="006D601B" w:rsidRPr="00DD1B58">
        <w:rPr>
          <w:i/>
          <w:iCs/>
          <w:lang w:val="en-US"/>
        </w:rPr>
        <w:t xml:space="preserve">. </w:t>
      </w:r>
      <w:r w:rsidRPr="00DD1B58">
        <w:rPr>
          <w:i/>
          <w:iCs/>
          <w:lang w:val="en-US"/>
        </w:rPr>
        <w:t>When Radiological Safety is involved, the way that the system responds will be based on a balance of risks. A ‘control protocol’ is needed to take the optimal approach.</w:t>
      </w:r>
    </w:p>
    <w:p w14:paraId="381F9F6A" w14:textId="7D16E6F3" w:rsidR="5167ACA4" w:rsidRPr="00DD1B58" w:rsidRDefault="006D601B" w:rsidP="006250F6">
      <w:pPr>
        <w:rPr>
          <w:lang w:val="en-US"/>
        </w:rPr>
      </w:pPr>
      <w:r w:rsidRPr="00DD1B58">
        <w:rPr>
          <w:lang w:val="en-US"/>
        </w:rPr>
        <w:t xml:space="preserve">EDF NGL concluded by stating that the </w:t>
      </w:r>
      <w:r w:rsidR="5167ACA4" w:rsidRPr="00DD1B58">
        <w:rPr>
          <w:lang w:val="en-US"/>
        </w:rPr>
        <w:t>automatic closure of dampers is problematic in contaminated ventilation systems</w:t>
      </w:r>
      <w:r w:rsidRPr="00DD1B58">
        <w:rPr>
          <w:lang w:val="en-US"/>
        </w:rPr>
        <w:t xml:space="preserve"> and that guidance is provided in EDF NGL documentation.</w:t>
      </w:r>
    </w:p>
    <w:p w14:paraId="30337469" w14:textId="77777777" w:rsidR="001D1974" w:rsidRPr="00DD1B58" w:rsidRDefault="00657A30" w:rsidP="00177432">
      <w:pPr>
        <w:pStyle w:val="Heading5A"/>
        <w:numPr>
          <w:ilvl w:val="5"/>
          <w:numId w:val="7"/>
        </w:numPr>
        <w:rPr>
          <w:lang w:val="en-US"/>
        </w:rPr>
      </w:pPr>
      <w:r w:rsidRPr="00DD1B58">
        <w:rPr>
          <w:lang w:val="en-US"/>
        </w:rPr>
        <w:t>Types, main characteristics and performance expectations</w:t>
      </w:r>
    </w:p>
    <w:p w14:paraId="0F86DAB8" w14:textId="1EFD3DE4" w:rsidR="04406F05" w:rsidRPr="00DD1B58" w:rsidRDefault="04406F05" w:rsidP="006250F6">
      <w:pPr>
        <w:rPr>
          <w:szCs w:val="24"/>
          <w:lang w:val="en-US"/>
        </w:rPr>
      </w:pPr>
      <w:r w:rsidRPr="00DD1B58">
        <w:rPr>
          <w:b/>
          <w:lang w:val="en-US"/>
        </w:rPr>
        <w:t>General</w:t>
      </w:r>
      <w:r w:rsidR="00A839B0" w:rsidRPr="00DD1B58">
        <w:rPr>
          <w:b/>
          <w:lang w:val="en-US"/>
        </w:rPr>
        <w:t xml:space="preserve"> </w:t>
      </w:r>
      <w:r w:rsidR="003A6560" w:rsidRPr="00DD1B58">
        <w:rPr>
          <w:b/>
          <w:lang w:val="en-US"/>
        </w:rPr>
        <w:t>–</w:t>
      </w:r>
      <w:r w:rsidR="00A839B0" w:rsidRPr="00DD1B58">
        <w:rPr>
          <w:b/>
          <w:lang w:val="en-US"/>
        </w:rPr>
        <w:t xml:space="preserve"> </w:t>
      </w:r>
      <w:r w:rsidR="003A6560" w:rsidRPr="00DD1B58">
        <w:rPr>
          <w:bCs/>
          <w:lang w:val="en-US"/>
        </w:rPr>
        <w:t>EDF NGL requires</w:t>
      </w:r>
      <w:r w:rsidR="003A6560" w:rsidRPr="00DD1B58">
        <w:rPr>
          <w:b/>
          <w:lang w:val="en-US"/>
        </w:rPr>
        <w:t xml:space="preserve"> </w:t>
      </w:r>
      <w:r w:rsidR="003A6560" w:rsidRPr="00DD1B58">
        <w:rPr>
          <w:lang w:val="en-US"/>
        </w:rPr>
        <w:t>e</w:t>
      </w:r>
      <w:r w:rsidRPr="00DD1B58">
        <w:rPr>
          <w:lang w:val="en-US"/>
        </w:rPr>
        <w:t xml:space="preserve">arly detection and automatic suppression for </w:t>
      </w:r>
      <w:r w:rsidRPr="00DD1B58">
        <w:rPr>
          <w:szCs w:val="24"/>
          <w:lang w:val="en-US"/>
        </w:rPr>
        <w:t>nuclear safety related plant with redundancy</w:t>
      </w:r>
      <w:r w:rsidR="5B178926" w:rsidRPr="00DD1B58">
        <w:rPr>
          <w:szCs w:val="24"/>
          <w:lang w:val="en-US"/>
        </w:rPr>
        <w:t xml:space="preserve"> </w:t>
      </w:r>
      <w:r w:rsidRPr="00DD1B58">
        <w:rPr>
          <w:szCs w:val="24"/>
          <w:lang w:val="en-US"/>
        </w:rPr>
        <w:t>and diversity in operation. For example, the LHDC and Metron Heads trigger the sprinkler systems</w:t>
      </w:r>
      <w:r w:rsidR="7D09EEB2" w:rsidRPr="00DD1B58">
        <w:rPr>
          <w:szCs w:val="24"/>
          <w:lang w:val="en-US"/>
        </w:rPr>
        <w:t xml:space="preserve"> </w:t>
      </w:r>
      <w:r w:rsidRPr="00DD1B58">
        <w:rPr>
          <w:szCs w:val="24"/>
          <w:lang w:val="en-US"/>
        </w:rPr>
        <w:t>as early as possible, and frangible bulbs actuate the sprinklers on a longer timescale if the early</w:t>
      </w:r>
      <w:r w:rsidR="4B25A5B6" w:rsidRPr="00DD1B58">
        <w:rPr>
          <w:szCs w:val="24"/>
          <w:lang w:val="en-US"/>
        </w:rPr>
        <w:t xml:space="preserve"> </w:t>
      </w:r>
      <w:r w:rsidRPr="00DD1B58">
        <w:rPr>
          <w:szCs w:val="24"/>
          <w:lang w:val="en-US"/>
        </w:rPr>
        <w:t>detection</w:t>
      </w:r>
      <w:r w:rsidR="005D5C50" w:rsidRPr="00DD1B58">
        <w:rPr>
          <w:szCs w:val="24"/>
          <w:lang w:val="en-US"/>
        </w:rPr>
        <w:t>/</w:t>
      </w:r>
      <w:r w:rsidRPr="00DD1B58">
        <w:rPr>
          <w:szCs w:val="24"/>
          <w:lang w:val="en-US"/>
        </w:rPr>
        <w:t xml:space="preserve">suppression fails. </w:t>
      </w:r>
      <w:r w:rsidR="00D22C03" w:rsidRPr="00DD1B58">
        <w:rPr>
          <w:szCs w:val="24"/>
          <w:lang w:val="en-US"/>
        </w:rPr>
        <w:t>EDF NGL state</w:t>
      </w:r>
      <w:r w:rsidR="00F263BE" w:rsidRPr="00DD1B58">
        <w:rPr>
          <w:szCs w:val="24"/>
          <w:lang w:val="en-US"/>
        </w:rPr>
        <w:t>s</w:t>
      </w:r>
      <w:r w:rsidR="00D22C03" w:rsidRPr="00DD1B58">
        <w:rPr>
          <w:szCs w:val="24"/>
          <w:lang w:val="en-US"/>
        </w:rPr>
        <w:t xml:space="preserve"> that the </w:t>
      </w:r>
      <w:r w:rsidRPr="00DD1B58">
        <w:rPr>
          <w:szCs w:val="24"/>
          <w:lang w:val="en-US"/>
        </w:rPr>
        <w:t>cable race sprinkler systems are designed specifically to match the</w:t>
      </w:r>
      <w:r w:rsidR="3405A93B" w:rsidRPr="00DD1B58">
        <w:rPr>
          <w:szCs w:val="24"/>
          <w:lang w:val="en-US"/>
        </w:rPr>
        <w:t xml:space="preserve"> </w:t>
      </w:r>
      <w:r w:rsidRPr="00DD1B58">
        <w:rPr>
          <w:szCs w:val="24"/>
          <w:lang w:val="en-US"/>
        </w:rPr>
        <w:t>cable fire load and cable disposition.</w:t>
      </w:r>
      <w:r w:rsidR="00D22C03" w:rsidRPr="00DD1B58">
        <w:rPr>
          <w:szCs w:val="24"/>
          <w:lang w:val="en-US"/>
        </w:rPr>
        <w:t xml:space="preserve"> </w:t>
      </w:r>
      <w:r w:rsidR="00D22C03" w:rsidRPr="00DD1B58">
        <w:rPr>
          <w:lang w:val="en-US"/>
        </w:rPr>
        <w:t>EDF NGL note</w:t>
      </w:r>
      <w:r w:rsidR="00F263BE" w:rsidRPr="00DD1B58">
        <w:rPr>
          <w:lang w:val="en-US"/>
        </w:rPr>
        <w:t>s</w:t>
      </w:r>
      <w:r w:rsidR="00D22C03" w:rsidRPr="00DD1B58">
        <w:rPr>
          <w:lang w:val="en-US"/>
        </w:rPr>
        <w:t xml:space="preserve"> </w:t>
      </w:r>
      <w:r w:rsidRPr="00DD1B58">
        <w:rPr>
          <w:lang w:val="en-US"/>
        </w:rPr>
        <w:t>that fire suppression on main turbines is not automatic, and fire suppression on turbines is not</w:t>
      </w:r>
      <w:r w:rsidR="2FBCC27A" w:rsidRPr="00DD1B58">
        <w:rPr>
          <w:szCs w:val="24"/>
          <w:lang w:val="en-US"/>
        </w:rPr>
        <w:t xml:space="preserve"> </w:t>
      </w:r>
      <w:r w:rsidRPr="00DD1B58">
        <w:rPr>
          <w:szCs w:val="24"/>
          <w:lang w:val="en-US"/>
        </w:rPr>
        <w:t>required for nuclear safety.</w:t>
      </w:r>
    </w:p>
    <w:p w14:paraId="5A81417C" w14:textId="41F61EB6" w:rsidR="00A87BB2" w:rsidRPr="00DD1B58" w:rsidRDefault="04406F05" w:rsidP="00E211EB">
      <w:pPr>
        <w:rPr>
          <w:lang w:val="en-US"/>
        </w:rPr>
      </w:pPr>
      <w:r w:rsidRPr="00DD1B58">
        <w:rPr>
          <w:b/>
          <w:lang w:val="en-US"/>
        </w:rPr>
        <w:t>First Generation AGRs (</w:t>
      </w:r>
      <w:r w:rsidR="00D22C03" w:rsidRPr="00DD1B58">
        <w:rPr>
          <w:b/>
          <w:lang w:val="en-US"/>
        </w:rPr>
        <w:t>HN</w:t>
      </w:r>
      <w:r w:rsidRPr="00DD1B58">
        <w:rPr>
          <w:b/>
          <w:lang w:val="en-US"/>
        </w:rPr>
        <w:t>B)</w:t>
      </w:r>
      <w:r w:rsidR="00A839B0" w:rsidRPr="00DD1B58">
        <w:rPr>
          <w:b/>
          <w:lang w:val="en-US"/>
        </w:rPr>
        <w:t xml:space="preserve"> </w:t>
      </w:r>
      <w:r w:rsidR="00D22C03" w:rsidRPr="00DD1B58">
        <w:rPr>
          <w:b/>
          <w:lang w:val="en-US"/>
        </w:rPr>
        <w:t>–</w:t>
      </w:r>
      <w:r w:rsidR="00A839B0" w:rsidRPr="00DD1B58">
        <w:rPr>
          <w:b/>
          <w:lang w:val="en-US"/>
        </w:rPr>
        <w:t xml:space="preserve"> </w:t>
      </w:r>
      <w:r w:rsidR="00D22C03" w:rsidRPr="00DD1B58">
        <w:rPr>
          <w:lang w:val="en-US"/>
        </w:rPr>
        <w:t>EDF NG</w:t>
      </w:r>
      <w:r w:rsidR="00FD2701" w:rsidRPr="00DD1B58">
        <w:rPr>
          <w:lang w:val="en-US"/>
        </w:rPr>
        <w:t>L</w:t>
      </w:r>
      <w:r w:rsidR="00D22C03" w:rsidRPr="00DD1B58">
        <w:rPr>
          <w:lang w:val="en-US"/>
        </w:rPr>
        <w:t xml:space="preserve"> report</w:t>
      </w:r>
      <w:r w:rsidR="00F263BE" w:rsidRPr="00DD1B58">
        <w:rPr>
          <w:lang w:val="en-US"/>
        </w:rPr>
        <w:t>s</w:t>
      </w:r>
      <w:r w:rsidR="00D22C03" w:rsidRPr="00DD1B58">
        <w:rPr>
          <w:lang w:val="en-US"/>
        </w:rPr>
        <w:t xml:space="preserve"> that the </w:t>
      </w:r>
      <w:r w:rsidRPr="00DD1B58">
        <w:rPr>
          <w:lang w:val="en-US"/>
        </w:rPr>
        <w:t>control room and nuclear island security office are covered by the Winmag system, which</w:t>
      </w:r>
      <w:r w:rsidR="6505CEF0" w:rsidRPr="00DD1B58">
        <w:rPr>
          <w:lang w:val="en-US"/>
        </w:rPr>
        <w:t xml:space="preserve"> </w:t>
      </w:r>
      <w:r w:rsidRPr="00DD1B58">
        <w:rPr>
          <w:lang w:val="en-US"/>
        </w:rPr>
        <w:t>is a software system showing building layout and specific device location should they initiate. Every</w:t>
      </w:r>
      <w:r w:rsidR="707939CA" w:rsidRPr="00DD1B58">
        <w:rPr>
          <w:lang w:val="en-US"/>
        </w:rPr>
        <w:t xml:space="preserve"> </w:t>
      </w:r>
      <w:r w:rsidRPr="00DD1B58">
        <w:rPr>
          <w:lang w:val="en-US"/>
        </w:rPr>
        <w:t>time a new device is installed the software requires to be updated to reflect its location.</w:t>
      </w:r>
      <w:r w:rsidR="00A87BB2" w:rsidRPr="00DD1B58">
        <w:rPr>
          <w:lang w:val="en-US"/>
        </w:rPr>
        <w:t xml:space="preserve"> </w:t>
      </w:r>
    </w:p>
    <w:p w14:paraId="2BBA0E0F" w14:textId="4B1078B7" w:rsidR="04406F05" w:rsidRPr="00DD1B58" w:rsidRDefault="04406F05" w:rsidP="00E211EB">
      <w:pPr>
        <w:rPr>
          <w:lang w:val="en-US"/>
        </w:rPr>
      </w:pPr>
      <w:r w:rsidRPr="00DD1B58">
        <w:rPr>
          <w:lang w:val="en-US"/>
        </w:rPr>
        <w:t xml:space="preserve">The 10 </w:t>
      </w:r>
      <w:r w:rsidR="00CA179D" w:rsidRPr="00DD1B58">
        <w:rPr>
          <w:lang w:val="en-US"/>
        </w:rPr>
        <w:t>Gent</w:t>
      </w:r>
      <w:r w:rsidRPr="00DD1B58">
        <w:rPr>
          <w:lang w:val="en-US"/>
        </w:rPr>
        <w:t xml:space="preserve"> panels display a device number and location that has initiated but there is no graphic to</w:t>
      </w:r>
      <w:r w:rsidR="11F2B396" w:rsidRPr="00DD1B58">
        <w:rPr>
          <w:lang w:val="en-US"/>
        </w:rPr>
        <w:t xml:space="preserve"> </w:t>
      </w:r>
      <w:r w:rsidRPr="00DD1B58">
        <w:rPr>
          <w:lang w:val="en-US"/>
        </w:rPr>
        <w:t>show its exact location within a room.</w:t>
      </w:r>
    </w:p>
    <w:p w14:paraId="1BBA3164" w14:textId="51F3D57A" w:rsidR="04406F05" w:rsidRPr="00DD1B58" w:rsidRDefault="04406F05" w:rsidP="00E211EB">
      <w:pPr>
        <w:rPr>
          <w:lang w:val="en-US"/>
        </w:rPr>
      </w:pPr>
      <w:r w:rsidRPr="00DD1B58">
        <w:rPr>
          <w:b/>
          <w:lang w:val="en-US"/>
        </w:rPr>
        <w:t>Second Generation AGRs (</w:t>
      </w:r>
      <w:r w:rsidR="00A87BB2" w:rsidRPr="00DD1B58">
        <w:rPr>
          <w:b/>
          <w:lang w:val="en-US"/>
        </w:rPr>
        <w:t>HY</w:t>
      </w:r>
      <w:r w:rsidRPr="00DD1B58">
        <w:rPr>
          <w:b/>
          <w:lang w:val="en-US"/>
        </w:rPr>
        <w:t>2)</w:t>
      </w:r>
      <w:r w:rsidR="00A839B0" w:rsidRPr="00DD1B58">
        <w:rPr>
          <w:b/>
          <w:lang w:val="en-US"/>
        </w:rPr>
        <w:t xml:space="preserve"> </w:t>
      </w:r>
      <w:r w:rsidR="00A87BB2" w:rsidRPr="00DD1B58">
        <w:rPr>
          <w:b/>
          <w:lang w:val="en-US"/>
        </w:rPr>
        <w:t>–</w:t>
      </w:r>
      <w:r w:rsidR="00A839B0" w:rsidRPr="00DD1B58">
        <w:rPr>
          <w:b/>
          <w:lang w:val="en-US"/>
        </w:rPr>
        <w:t xml:space="preserve"> </w:t>
      </w:r>
      <w:r w:rsidR="00A87BB2" w:rsidRPr="00DD1B58">
        <w:rPr>
          <w:lang w:val="en-US"/>
        </w:rPr>
        <w:t>EDF NGL state</w:t>
      </w:r>
      <w:r w:rsidR="00AA49B2" w:rsidRPr="00DD1B58">
        <w:rPr>
          <w:lang w:val="en-US"/>
        </w:rPr>
        <w:t>s</w:t>
      </w:r>
      <w:r w:rsidR="00A87BB2" w:rsidRPr="00DD1B58">
        <w:rPr>
          <w:lang w:val="en-US"/>
        </w:rPr>
        <w:t xml:space="preserve"> that there </w:t>
      </w:r>
      <w:r w:rsidRPr="00DD1B58">
        <w:rPr>
          <w:lang w:val="en-US"/>
        </w:rPr>
        <w:t>are numerous fire panels across HY2</w:t>
      </w:r>
      <w:r w:rsidR="00A87BB2" w:rsidRPr="00DD1B58">
        <w:rPr>
          <w:lang w:val="en-US"/>
        </w:rPr>
        <w:t>, a</w:t>
      </w:r>
      <w:r w:rsidRPr="00DD1B58">
        <w:rPr>
          <w:lang w:val="en-US"/>
        </w:rPr>
        <w:t>ll Fire Panel Alarms repeat to the Control Room facia</w:t>
      </w:r>
      <w:r w:rsidR="336F4F44" w:rsidRPr="00DD1B58">
        <w:rPr>
          <w:lang w:val="en-US"/>
        </w:rPr>
        <w:t xml:space="preserve"> </w:t>
      </w:r>
      <w:r w:rsidRPr="00DD1B58">
        <w:rPr>
          <w:lang w:val="en-US"/>
        </w:rPr>
        <w:t>pane</w:t>
      </w:r>
      <w:r w:rsidR="00A87BB2" w:rsidRPr="00DD1B58">
        <w:rPr>
          <w:lang w:val="en-US"/>
        </w:rPr>
        <w:t>l and a</w:t>
      </w:r>
      <w:r w:rsidRPr="00DD1B58">
        <w:rPr>
          <w:lang w:val="en-US"/>
        </w:rPr>
        <w:t xml:space="preserve"> Data Processing alarm is also received on the station computer.</w:t>
      </w:r>
    </w:p>
    <w:p w14:paraId="510577EF" w14:textId="125190B9" w:rsidR="04406F05" w:rsidRPr="00DD1B58" w:rsidRDefault="00A87BB2" w:rsidP="00E211EB">
      <w:pPr>
        <w:rPr>
          <w:lang w:val="en-US"/>
        </w:rPr>
      </w:pPr>
      <w:r w:rsidRPr="00DD1B58">
        <w:rPr>
          <w:b/>
          <w:lang w:val="en-US"/>
        </w:rPr>
        <w:t>SZ</w:t>
      </w:r>
      <w:r w:rsidR="04406F05" w:rsidRPr="00DD1B58">
        <w:rPr>
          <w:b/>
          <w:lang w:val="en-US"/>
        </w:rPr>
        <w:t>B</w:t>
      </w:r>
      <w:r w:rsidR="00A839B0" w:rsidRPr="00DD1B58">
        <w:rPr>
          <w:b/>
          <w:lang w:val="en-US"/>
        </w:rPr>
        <w:t xml:space="preserve"> </w:t>
      </w:r>
      <w:r w:rsidRPr="00DD1B58">
        <w:rPr>
          <w:b/>
          <w:lang w:val="en-US"/>
        </w:rPr>
        <w:t>–</w:t>
      </w:r>
      <w:r w:rsidR="00A839B0" w:rsidRPr="00DD1B58">
        <w:rPr>
          <w:b/>
          <w:lang w:val="en-US"/>
        </w:rPr>
        <w:t xml:space="preserve"> </w:t>
      </w:r>
      <w:r w:rsidRPr="00DD1B58">
        <w:rPr>
          <w:bCs/>
          <w:lang w:val="en-US"/>
        </w:rPr>
        <w:t>EDF NGL report</w:t>
      </w:r>
      <w:r w:rsidR="00AA49B2" w:rsidRPr="00DD1B58">
        <w:rPr>
          <w:bCs/>
          <w:lang w:val="en-US"/>
        </w:rPr>
        <w:t>s</w:t>
      </w:r>
      <w:r w:rsidRPr="00DD1B58">
        <w:rPr>
          <w:bCs/>
          <w:lang w:val="en-US"/>
        </w:rPr>
        <w:t xml:space="preserve"> that</w:t>
      </w:r>
      <w:r w:rsidRPr="00DD1B58">
        <w:rPr>
          <w:b/>
          <w:lang w:val="en-US"/>
        </w:rPr>
        <w:t xml:space="preserve"> </w:t>
      </w:r>
      <w:r w:rsidR="04406F05" w:rsidRPr="00DD1B58">
        <w:rPr>
          <w:lang w:val="en-US"/>
        </w:rPr>
        <w:t>SZB utilises the Fire Protection alarm Supervisory System (FPASS)</w:t>
      </w:r>
      <w:r w:rsidR="008A6C4B" w:rsidRPr="00DD1B58">
        <w:rPr>
          <w:lang w:val="en-US"/>
        </w:rPr>
        <w:t xml:space="preserve">. </w:t>
      </w:r>
      <w:r w:rsidR="04406F05" w:rsidRPr="00DD1B58">
        <w:rPr>
          <w:lang w:val="en-US"/>
        </w:rPr>
        <w:t>The FPASS System comprises two VDUs, each one connected to a Rack-mounted PC located in each</w:t>
      </w:r>
      <w:r w:rsidR="07AE6E47" w:rsidRPr="00DD1B58">
        <w:rPr>
          <w:lang w:val="en-US"/>
        </w:rPr>
        <w:t xml:space="preserve"> </w:t>
      </w:r>
      <w:r w:rsidR="04406F05" w:rsidRPr="00DD1B58">
        <w:rPr>
          <w:lang w:val="en-US"/>
        </w:rPr>
        <w:t>Interface Panel. VDU page selection is via a built function keyboard located on the control desk. A Data</w:t>
      </w:r>
      <w:r w:rsidR="2E72D241" w:rsidRPr="00DD1B58">
        <w:rPr>
          <w:lang w:val="en-US"/>
        </w:rPr>
        <w:t xml:space="preserve"> </w:t>
      </w:r>
      <w:r w:rsidR="04406F05" w:rsidRPr="00DD1B58">
        <w:rPr>
          <w:lang w:val="en-US"/>
        </w:rPr>
        <w:t>Link is provided between the PCs in the Interface Panels to allow common information to be displayed</w:t>
      </w:r>
      <w:r w:rsidR="470DF34C" w:rsidRPr="00DD1B58">
        <w:rPr>
          <w:lang w:val="en-US"/>
        </w:rPr>
        <w:t xml:space="preserve"> </w:t>
      </w:r>
      <w:r w:rsidR="04406F05" w:rsidRPr="00DD1B58">
        <w:rPr>
          <w:lang w:val="en-US"/>
        </w:rPr>
        <w:t>on either VDU. In addition to the display system, a number of controls are available at the control desk</w:t>
      </w:r>
      <w:r w:rsidR="1C71430D" w:rsidRPr="00DD1B58">
        <w:rPr>
          <w:lang w:val="en-US"/>
        </w:rPr>
        <w:t xml:space="preserve"> The information delivered to the Technical Support Centre (TSC) is displayed on a remote terminal. The information is identical to the information recorded in the Control Room.</w:t>
      </w:r>
    </w:p>
    <w:p w14:paraId="59D6E4EA" w14:textId="77777777" w:rsidR="1C71430D" w:rsidRPr="00DD1B58" w:rsidRDefault="1C71430D" w:rsidP="00177432">
      <w:pPr>
        <w:pStyle w:val="Heading5A"/>
        <w:numPr>
          <w:ilvl w:val="5"/>
          <w:numId w:val="7"/>
        </w:numPr>
        <w:rPr>
          <w:lang w:val="en-US"/>
        </w:rPr>
      </w:pPr>
      <w:r w:rsidRPr="00DD1B58">
        <w:rPr>
          <w:lang w:val="en-US"/>
        </w:rPr>
        <w:t>Alerting control room operators</w:t>
      </w:r>
    </w:p>
    <w:p w14:paraId="2418BDBA" w14:textId="5E29D628" w:rsidR="1C71430D" w:rsidRPr="00DD1B58" w:rsidRDefault="1C71430D" w:rsidP="00D325D1">
      <w:pPr>
        <w:rPr>
          <w:lang w:val="en-US"/>
        </w:rPr>
      </w:pPr>
      <w:r w:rsidRPr="00DD1B58">
        <w:rPr>
          <w:b/>
          <w:lang w:val="en-US"/>
        </w:rPr>
        <w:t>General</w:t>
      </w:r>
      <w:r w:rsidR="008A6C4B" w:rsidRPr="00DD1B58">
        <w:rPr>
          <w:b/>
          <w:lang w:val="en-US"/>
        </w:rPr>
        <w:t xml:space="preserve"> </w:t>
      </w:r>
      <w:r w:rsidR="00813A7B" w:rsidRPr="00DD1B58">
        <w:rPr>
          <w:b/>
          <w:lang w:val="en-US"/>
        </w:rPr>
        <w:t>–</w:t>
      </w:r>
      <w:r w:rsidR="008A6C4B" w:rsidRPr="00DD1B58">
        <w:rPr>
          <w:b/>
          <w:lang w:val="en-US"/>
        </w:rPr>
        <w:t xml:space="preserve"> </w:t>
      </w:r>
      <w:r w:rsidR="00813A7B" w:rsidRPr="00DD1B58">
        <w:rPr>
          <w:lang w:val="en-US"/>
        </w:rPr>
        <w:t>EDF NGL report</w:t>
      </w:r>
      <w:r w:rsidR="00AA49B2" w:rsidRPr="00DD1B58">
        <w:rPr>
          <w:lang w:val="en-US"/>
        </w:rPr>
        <w:t>s</w:t>
      </w:r>
      <w:r w:rsidR="00813A7B" w:rsidRPr="00DD1B58">
        <w:rPr>
          <w:lang w:val="en-US"/>
        </w:rPr>
        <w:t xml:space="preserve"> that</w:t>
      </w:r>
      <w:r w:rsidRPr="00DD1B58">
        <w:rPr>
          <w:lang w:val="en-US"/>
        </w:rPr>
        <w:t xml:space="preserve"> any fire alarm on station plant is repeated in the Control Room. The Control Room operators can then direct any required operations.</w:t>
      </w:r>
    </w:p>
    <w:p w14:paraId="64333E71" w14:textId="3628C70E" w:rsidR="1C71430D" w:rsidRPr="00DD1B58" w:rsidRDefault="1C71430D" w:rsidP="00D325D1">
      <w:pPr>
        <w:rPr>
          <w:lang w:val="en-US"/>
        </w:rPr>
      </w:pPr>
      <w:r w:rsidRPr="00DD1B58">
        <w:rPr>
          <w:b/>
          <w:lang w:val="en-US"/>
        </w:rPr>
        <w:t>First Generation AGRs (</w:t>
      </w:r>
      <w:r w:rsidR="00813A7B" w:rsidRPr="00DD1B58">
        <w:rPr>
          <w:b/>
          <w:lang w:val="en-US"/>
        </w:rPr>
        <w:t>HN</w:t>
      </w:r>
      <w:r w:rsidRPr="00DD1B58">
        <w:rPr>
          <w:b/>
          <w:lang w:val="en-US"/>
        </w:rPr>
        <w:t>B)</w:t>
      </w:r>
      <w:r w:rsidR="008A6C4B" w:rsidRPr="00DD1B58">
        <w:rPr>
          <w:b/>
          <w:lang w:val="en-US"/>
        </w:rPr>
        <w:t xml:space="preserve"> </w:t>
      </w:r>
      <w:r w:rsidR="00813A7B" w:rsidRPr="00DD1B58">
        <w:rPr>
          <w:b/>
          <w:lang w:val="en-US"/>
        </w:rPr>
        <w:t>–</w:t>
      </w:r>
      <w:r w:rsidR="008A6C4B" w:rsidRPr="00DD1B58">
        <w:rPr>
          <w:b/>
          <w:lang w:val="en-US"/>
        </w:rPr>
        <w:t xml:space="preserve"> </w:t>
      </w:r>
      <w:r w:rsidR="00813A7B" w:rsidRPr="00DD1B58">
        <w:rPr>
          <w:lang w:val="en-US"/>
        </w:rPr>
        <w:t xml:space="preserve">The </w:t>
      </w:r>
      <w:r w:rsidRPr="00DD1B58">
        <w:rPr>
          <w:lang w:val="en-US"/>
        </w:rPr>
        <w:t xml:space="preserve">fire protection system at HNB </w:t>
      </w:r>
      <w:r w:rsidR="00813A7B" w:rsidRPr="00DD1B58">
        <w:rPr>
          <w:lang w:val="en-US"/>
        </w:rPr>
        <w:t>displays</w:t>
      </w:r>
      <w:r w:rsidRPr="00DD1B58">
        <w:rPr>
          <w:lang w:val="en-US"/>
        </w:rPr>
        <w:t xml:space="preserve"> the activated device location on a plan view of the area that has initiated. Sounders within the loop provide audible warning and the Control Room is provided with a Tannoy system to call the shift operations fire team.</w:t>
      </w:r>
    </w:p>
    <w:p w14:paraId="1CEF65E5" w14:textId="0609AB47" w:rsidR="1C71430D" w:rsidRPr="00DD1B58" w:rsidRDefault="1C71430D" w:rsidP="00D325D1">
      <w:pPr>
        <w:rPr>
          <w:lang w:val="en-US"/>
        </w:rPr>
      </w:pPr>
      <w:r w:rsidRPr="00DD1B58">
        <w:rPr>
          <w:b/>
          <w:lang w:val="en-US"/>
        </w:rPr>
        <w:t>Second Generation AGRs (</w:t>
      </w:r>
      <w:r w:rsidR="001F42B4" w:rsidRPr="00DD1B58">
        <w:rPr>
          <w:b/>
          <w:lang w:val="en-US"/>
        </w:rPr>
        <w:t>HY</w:t>
      </w:r>
      <w:r w:rsidRPr="00DD1B58">
        <w:rPr>
          <w:b/>
          <w:lang w:val="en-US"/>
        </w:rPr>
        <w:t>2)</w:t>
      </w:r>
      <w:r w:rsidR="008A6C4B" w:rsidRPr="00DD1B58">
        <w:rPr>
          <w:b/>
          <w:lang w:val="en-US"/>
        </w:rPr>
        <w:t xml:space="preserve"> </w:t>
      </w:r>
      <w:r w:rsidR="001F42B4" w:rsidRPr="00DD1B58">
        <w:rPr>
          <w:b/>
          <w:lang w:val="en-US"/>
        </w:rPr>
        <w:t>–</w:t>
      </w:r>
      <w:r w:rsidR="008A6C4B" w:rsidRPr="00DD1B58">
        <w:rPr>
          <w:b/>
          <w:lang w:val="en-US"/>
        </w:rPr>
        <w:t xml:space="preserve"> </w:t>
      </w:r>
      <w:r w:rsidR="001F42B4" w:rsidRPr="00DD1B58">
        <w:rPr>
          <w:lang w:val="en-US"/>
        </w:rPr>
        <w:t>EDF NGL report</w:t>
      </w:r>
      <w:r w:rsidR="007F7F12" w:rsidRPr="00DD1B58">
        <w:rPr>
          <w:lang w:val="en-US"/>
        </w:rPr>
        <w:t>s</w:t>
      </w:r>
      <w:r w:rsidR="001F42B4" w:rsidRPr="00DD1B58">
        <w:rPr>
          <w:lang w:val="en-US"/>
        </w:rPr>
        <w:t xml:space="preserve"> that in </w:t>
      </w:r>
      <w:r w:rsidRPr="00DD1B58">
        <w:rPr>
          <w:lang w:val="en-US"/>
        </w:rPr>
        <w:t>the event of a Fire Alarm at HY2</w:t>
      </w:r>
      <w:r w:rsidR="001F42B4" w:rsidRPr="00DD1B58">
        <w:rPr>
          <w:lang w:val="en-US"/>
        </w:rPr>
        <w:t>,</w:t>
      </w:r>
      <w:r w:rsidRPr="00DD1B58">
        <w:rPr>
          <w:lang w:val="en-US"/>
        </w:rPr>
        <w:t xml:space="preserve"> the Control Room receive a Visual/Audible alarm on the Facia panel</w:t>
      </w:r>
      <w:r w:rsidR="001F42B4" w:rsidRPr="00DD1B58">
        <w:rPr>
          <w:lang w:val="en-US"/>
        </w:rPr>
        <w:t xml:space="preserve"> and the </w:t>
      </w:r>
      <w:r w:rsidRPr="00DD1B58">
        <w:rPr>
          <w:lang w:val="en-US"/>
        </w:rPr>
        <w:t>shift operations fire team will be called to muster via a Tannoy.</w:t>
      </w:r>
    </w:p>
    <w:p w14:paraId="2724CACC" w14:textId="3BFC881A" w:rsidR="1C71430D" w:rsidRPr="00DD1B58" w:rsidRDefault="001F42B4" w:rsidP="00D325D1">
      <w:pPr>
        <w:rPr>
          <w:lang w:val="en-US"/>
        </w:rPr>
      </w:pPr>
      <w:r w:rsidRPr="00DD1B58">
        <w:rPr>
          <w:b/>
          <w:lang w:val="en-US"/>
        </w:rPr>
        <w:t>SZ</w:t>
      </w:r>
      <w:r w:rsidR="1C71430D" w:rsidRPr="00DD1B58">
        <w:rPr>
          <w:b/>
          <w:lang w:val="en-US"/>
        </w:rPr>
        <w:t>B</w:t>
      </w:r>
      <w:r w:rsidR="008A6C4B" w:rsidRPr="00DD1B58">
        <w:rPr>
          <w:b/>
          <w:lang w:val="en-US"/>
        </w:rPr>
        <w:t xml:space="preserve"> </w:t>
      </w:r>
      <w:r w:rsidRPr="00DD1B58">
        <w:rPr>
          <w:b/>
          <w:lang w:val="en-US"/>
        </w:rPr>
        <w:t>–</w:t>
      </w:r>
      <w:r w:rsidR="008A6C4B" w:rsidRPr="00DD1B58">
        <w:rPr>
          <w:b/>
          <w:lang w:val="en-US"/>
        </w:rPr>
        <w:t xml:space="preserve"> </w:t>
      </w:r>
      <w:r w:rsidRPr="00DD1B58">
        <w:rPr>
          <w:lang w:val="en-US"/>
        </w:rPr>
        <w:t>EDF NGL report</w:t>
      </w:r>
      <w:r w:rsidR="007F7F12" w:rsidRPr="00DD1B58">
        <w:rPr>
          <w:lang w:val="en-US"/>
        </w:rPr>
        <w:t>s</w:t>
      </w:r>
      <w:r w:rsidRPr="00DD1B58">
        <w:rPr>
          <w:lang w:val="en-US"/>
        </w:rPr>
        <w:t xml:space="preserve"> that a</w:t>
      </w:r>
      <w:r w:rsidR="1C71430D" w:rsidRPr="00DD1B58">
        <w:rPr>
          <w:lang w:val="en-US"/>
        </w:rPr>
        <w:t>larms on the plant are repeated through local fire alarm panels to a Fire Protection Alert System</w:t>
      </w:r>
      <w:r w:rsidR="59A62BAE" w:rsidRPr="00DD1B58">
        <w:rPr>
          <w:lang w:val="en-US"/>
        </w:rPr>
        <w:t xml:space="preserve"> </w:t>
      </w:r>
      <w:r w:rsidR="1C71430D" w:rsidRPr="00DD1B58">
        <w:rPr>
          <w:lang w:val="en-US"/>
        </w:rPr>
        <w:t xml:space="preserve">(FPAS) and the Distributed Process System in the Main Control Room. The Main Control Room </w:t>
      </w:r>
      <w:r w:rsidR="009B747C" w:rsidRPr="00DD1B58">
        <w:rPr>
          <w:lang w:val="en-US"/>
        </w:rPr>
        <w:t xml:space="preserve">staff </w:t>
      </w:r>
      <w:r w:rsidR="1C71430D" w:rsidRPr="00DD1B58">
        <w:rPr>
          <w:lang w:val="en-US"/>
        </w:rPr>
        <w:t>then interrogate the alarm and muster the Fire Team via the pager system.</w:t>
      </w:r>
    </w:p>
    <w:p w14:paraId="4984CE53" w14:textId="77777777" w:rsidR="7F0B8BBB" w:rsidRPr="00DD1B58" w:rsidRDefault="1C71430D" w:rsidP="00177432">
      <w:pPr>
        <w:pStyle w:val="Heading5A"/>
        <w:numPr>
          <w:ilvl w:val="5"/>
          <w:numId w:val="7"/>
        </w:numPr>
        <w:rPr>
          <w:lang w:val="en-US"/>
        </w:rPr>
      </w:pPr>
      <w:r w:rsidRPr="00DD1B58">
        <w:rPr>
          <w:lang w:val="en-US"/>
        </w:rPr>
        <w:t>Emergency power supplies</w:t>
      </w:r>
    </w:p>
    <w:p w14:paraId="06EC144E" w14:textId="6E4FCC06" w:rsidR="1C71430D" w:rsidRPr="00DD1B58" w:rsidRDefault="1C71430D" w:rsidP="00E13362">
      <w:pPr>
        <w:rPr>
          <w:lang w:val="en-US"/>
        </w:rPr>
      </w:pPr>
      <w:r w:rsidRPr="00DD1B58">
        <w:rPr>
          <w:b/>
          <w:lang w:val="en-US"/>
        </w:rPr>
        <w:t>General</w:t>
      </w:r>
      <w:r w:rsidR="008A6C4B" w:rsidRPr="00DD1B58">
        <w:rPr>
          <w:b/>
          <w:lang w:val="en-US"/>
        </w:rPr>
        <w:t xml:space="preserve"> </w:t>
      </w:r>
      <w:r w:rsidR="009B747C" w:rsidRPr="00DD1B58">
        <w:rPr>
          <w:b/>
          <w:lang w:val="en-US"/>
        </w:rPr>
        <w:t>–</w:t>
      </w:r>
      <w:r w:rsidR="008A6C4B" w:rsidRPr="00DD1B58">
        <w:rPr>
          <w:b/>
          <w:lang w:val="en-US"/>
        </w:rPr>
        <w:t xml:space="preserve"> </w:t>
      </w:r>
      <w:r w:rsidR="009B747C" w:rsidRPr="00DD1B58">
        <w:rPr>
          <w:lang w:val="en-US"/>
        </w:rPr>
        <w:t>EDF NGL report</w:t>
      </w:r>
      <w:r w:rsidR="00367491" w:rsidRPr="00DD1B58">
        <w:rPr>
          <w:lang w:val="en-US"/>
        </w:rPr>
        <w:t>s</w:t>
      </w:r>
      <w:r w:rsidR="006D798B" w:rsidRPr="00DD1B58">
        <w:rPr>
          <w:lang w:val="en-US"/>
        </w:rPr>
        <w:t xml:space="preserve"> that</w:t>
      </w:r>
      <w:r w:rsidR="009B747C" w:rsidRPr="00DD1B58">
        <w:rPr>
          <w:lang w:val="en-US"/>
        </w:rPr>
        <w:t xml:space="preserve"> all </w:t>
      </w:r>
      <w:r w:rsidRPr="00DD1B58">
        <w:rPr>
          <w:lang w:val="en-US"/>
        </w:rPr>
        <w:t>systems are designed to British Standards. The fire detection has battery backup, the fire pumps are</w:t>
      </w:r>
      <w:r w:rsidR="184B10E0" w:rsidRPr="00DD1B58">
        <w:rPr>
          <w:lang w:val="en-US"/>
        </w:rPr>
        <w:t xml:space="preserve"> </w:t>
      </w:r>
      <w:r w:rsidRPr="00DD1B58">
        <w:rPr>
          <w:lang w:val="en-US"/>
        </w:rPr>
        <w:t>diesel driven and fire separated with local fire suppression. Activation of sprinklers and</w:t>
      </w:r>
      <w:r w:rsidR="1CB9CC75" w:rsidRPr="00DD1B58">
        <w:rPr>
          <w:lang w:val="en-US"/>
        </w:rPr>
        <w:t xml:space="preserve"> </w:t>
      </w:r>
      <w:r w:rsidRPr="00DD1B58">
        <w:rPr>
          <w:lang w:val="en-US"/>
        </w:rPr>
        <w:t>water spray systems is primarily mechanical. On loss of pressure in an air or water systems this results</w:t>
      </w:r>
      <w:r w:rsidR="36A77FEF" w:rsidRPr="00DD1B58">
        <w:rPr>
          <w:lang w:val="en-US"/>
        </w:rPr>
        <w:t xml:space="preserve"> </w:t>
      </w:r>
      <w:r w:rsidRPr="00DD1B58">
        <w:rPr>
          <w:lang w:val="en-US"/>
        </w:rPr>
        <w:t>in water valves opening, the fire suppression water flow is initiated and fire pumps start using their local</w:t>
      </w:r>
      <w:r w:rsidR="30A6898A" w:rsidRPr="00DD1B58">
        <w:rPr>
          <w:lang w:val="en-US"/>
        </w:rPr>
        <w:t xml:space="preserve"> </w:t>
      </w:r>
      <w:r w:rsidRPr="00DD1B58">
        <w:rPr>
          <w:lang w:val="en-US"/>
        </w:rPr>
        <w:t>batteries</w:t>
      </w:r>
      <w:r w:rsidR="005D5C50" w:rsidRPr="00DD1B58">
        <w:rPr>
          <w:lang w:val="en-US"/>
        </w:rPr>
        <w:t>/</w:t>
      </w:r>
      <w:r w:rsidRPr="00DD1B58">
        <w:rPr>
          <w:lang w:val="en-US"/>
        </w:rPr>
        <w:t>starter panels.</w:t>
      </w:r>
    </w:p>
    <w:p w14:paraId="29D3B91F" w14:textId="43851118" w:rsidR="1C71430D" w:rsidRPr="00DD1B58" w:rsidRDefault="1C71430D" w:rsidP="00E13362">
      <w:pPr>
        <w:rPr>
          <w:lang w:val="en-US"/>
        </w:rPr>
      </w:pPr>
      <w:r w:rsidRPr="00DD1B58">
        <w:rPr>
          <w:b/>
          <w:lang w:val="en-US"/>
        </w:rPr>
        <w:t>First Generation AGRs (</w:t>
      </w:r>
      <w:r w:rsidR="0016512C" w:rsidRPr="00DD1B58">
        <w:rPr>
          <w:b/>
          <w:lang w:val="en-US"/>
        </w:rPr>
        <w:t>HN</w:t>
      </w:r>
      <w:r w:rsidRPr="00DD1B58">
        <w:rPr>
          <w:b/>
          <w:lang w:val="en-US"/>
        </w:rPr>
        <w:t>B)</w:t>
      </w:r>
      <w:r w:rsidR="008A6C4B" w:rsidRPr="00DD1B58">
        <w:rPr>
          <w:b/>
          <w:lang w:val="en-US"/>
        </w:rPr>
        <w:t xml:space="preserve"> </w:t>
      </w:r>
      <w:r w:rsidR="0068227F" w:rsidRPr="00DD1B58">
        <w:rPr>
          <w:b/>
          <w:noProof/>
          <w:lang w:val="en-US"/>
        </w:rPr>
        <w:t>–</w:t>
      </w:r>
      <w:r w:rsidR="008A6C4B" w:rsidRPr="00DD1B58">
        <w:rPr>
          <w:b/>
          <w:lang w:val="en-US"/>
        </w:rPr>
        <w:t xml:space="preserve"> </w:t>
      </w:r>
      <w:r w:rsidRPr="00DD1B58">
        <w:rPr>
          <w:lang w:val="en-US"/>
        </w:rPr>
        <w:t>The fire protection panels at HNB are supplied from no-break systems (e.g. emergency lighting fuse</w:t>
      </w:r>
      <w:r w:rsidR="166A0884" w:rsidRPr="00DD1B58">
        <w:rPr>
          <w:lang w:val="en-US"/>
        </w:rPr>
        <w:t xml:space="preserve"> </w:t>
      </w:r>
      <w:r w:rsidRPr="00DD1B58">
        <w:rPr>
          <w:lang w:val="en-US"/>
        </w:rPr>
        <w:t>boards). The systems used in cable flats have Power Supply Units (PSUs) which are backed up by 24</w:t>
      </w:r>
      <w:r w:rsidR="000B4CF7" w:rsidRPr="00DD1B58">
        <w:rPr>
          <w:lang w:val="en-US"/>
        </w:rPr>
        <w:t>-</w:t>
      </w:r>
      <w:r w:rsidRPr="00DD1B58">
        <w:rPr>
          <w:lang w:val="en-US"/>
        </w:rPr>
        <w:t>hour batteries, although some of these are also fed from no-break systems. The PSUs are designed such</w:t>
      </w:r>
      <w:r w:rsidR="7BDBC562" w:rsidRPr="00DD1B58">
        <w:rPr>
          <w:lang w:val="en-US"/>
        </w:rPr>
        <w:t xml:space="preserve"> </w:t>
      </w:r>
      <w:r w:rsidRPr="00DD1B58">
        <w:rPr>
          <w:lang w:val="en-US"/>
        </w:rPr>
        <w:t>that they can be supplied and charged from</w:t>
      </w:r>
      <w:r w:rsidR="4C15BDF6" w:rsidRPr="00DD1B58">
        <w:rPr>
          <w:lang w:val="en-US"/>
        </w:rPr>
        <w:t xml:space="preserve"> </w:t>
      </w:r>
      <w:r w:rsidRPr="00DD1B58">
        <w:rPr>
          <w:lang w:val="en-US"/>
        </w:rPr>
        <w:t>normal electrical supplies.</w:t>
      </w:r>
    </w:p>
    <w:p w14:paraId="3A71AA5C" w14:textId="39AEDA00" w:rsidR="102F78C5" w:rsidRPr="00DD1B58" w:rsidRDefault="102F78C5" w:rsidP="78D4B34E">
      <w:pPr>
        <w:rPr>
          <w:noProof/>
          <w:szCs w:val="24"/>
          <w:lang w:val="en-US"/>
        </w:rPr>
      </w:pPr>
      <w:r w:rsidRPr="00DD1B58">
        <w:rPr>
          <w:b/>
          <w:lang w:val="en-US"/>
        </w:rPr>
        <w:t>Second Generation AGRs (</w:t>
      </w:r>
      <w:r w:rsidR="0016512C" w:rsidRPr="00DD1B58">
        <w:rPr>
          <w:b/>
          <w:lang w:val="en-US"/>
        </w:rPr>
        <w:t>HY</w:t>
      </w:r>
      <w:r w:rsidRPr="00DD1B58">
        <w:rPr>
          <w:b/>
          <w:lang w:val="en-US"/>
        </w:rPr>
        <w:t>2)</w:t>
      </w:r>
      <w:r w:rsidR="008A6C4B" w:rsidRPr="00DD1B58">
        <w:rPr>
          <w:b/>
          <w:lang w:val="en-US"/>
        </w:rPr>
        <w:t xml:space="preserve"> </w:t>
      </w:r>
      <w:r w:rsidR="0016512C" w:rsidRPr="00DD1B58">
        <w:rPr>
          <w:b/>
          <w:lang w:val="en-US"/>
        </w:rPr>
        <w:t>–</w:t>
      </w:r>
      <w:r w:rsidR="008A6C4B" w:rsidRPr="00DD1B58">
        <w:rPr>
          <w:b/>
          <w:lang w:val="en-US"/>
        </w:rPr>
        <w:t xml:space="preserve"> </w:t>
      </w:r>
      <w:r w:rsidR="0016512C" w:rsidRPr="00DD1B58">
        <w:rPr>
          <w:noProof/>
          <w:lang w:val="en-US"/>
        </w:rPr>
        <w:t>EDF NGL report</w:t>
      </w:r>
      <w:r w:rsidR="007F7F12" w:rsidRPr="00DD1B58">
        <w:rPr>
          <w:noProof/>
          <w:lang w:val="en-US"/>
        </w:rPr>
        <w:t>s</w:t>
      </w:r>
      <w:r w:rsidR="0016512C" w:rsidRPr="00DD1B58">
        <w:rPr>
          <w:noProof/>
          <w:lang w:val="en-US"/>
        </w:rPr>
        <w:t xml:space="preserve"> that all </w:t>
      </w:r>
      <w:r w:rsidRPr="00DD1B58">
        <w:rPr>
          <w:noProof/>
          <w:lang w:val="en-US"/>
        </w:rPr>
        <w:t>plant fire panels at HY2 are supplied from the station 110V a.c. U</w:t>
      </w:r>
      <w:r w:rsidR="003F1806" w:rsidRPr="00DD1B58">
        <w:rPr>
          <w:noProof/>
          <w:lang w:val="en-US"/>
        </w:rPr>
        <w:t xml:space="preserve">ninterruptible </w:t>
      </w:r>
      <w:r w:rsidRPr="00DD1B58">
        <w:rPr>
          <w:noProof/>
          <w:lang w:val="en-US"/>
        </w:rPr>
        <w:t>P</w:t>
      </w:r>
      <w:r w:rsidR="003F1806" w:rsidRPr="00DD1B58">
        <w:rPr>
          <w:noProof/>
          <w:lang w:val="en-US"/>
        </w:rPr>
        <w:t xml:space="preserve">ower </w:t>
      </w:r>
      <w:r w:rsidRPr="00DD1B58">
        <w:rPr>
          <w:noProof/>
          <w:lang w:val="en-US"/>
        </w:rPr>
        <w:t>S</w:t>
      </w:r>
      <w:r w:rsidR="003F1806" w:rsidRPr="00DD1B58">
        <w:rPr>
          <w:noProof/>
          <w:lang w:val="en-US"/>
        </w:rPr>
        <w:t>upply</w:t>
      </w:r>
      <w:r w:rsidRPr="00DD1B58">
        <w:rPr>
          <w:noProof/>
          <w:lang w:val="en-US"/>
        </w:rPr>
        <w:t xml:space="preserve"> systems</w:t>
      </w:r>
      <w:r w:rsidR="0016512C" w:rsidRPr="00DD1B58">
        <w:rPr>
          <w:noProof/>
          <w:lang w:val="en-US"/>
        </w:rPr>
        <w:t>, and t</w:t>
      </w:r>
      <w:r w:rsidRPr="00DD1B58">
        <w:rPr>
          <w:noProof/>
          <w:lang w:val="en-US"/>
        </w:rPr>
        <w:t xml:space="preserve">he alarm bells are supplied from the 250V d.c. UPS </w:t>
      </w:r>
      <w:r w:rsidR="000B4CF7" w:rsidRPr="00DD1B58">
        <w:rPr>
          <w:noProof/>
          <w:lang w:val="en-US"/>
        </w:rPr>
        <w:t>b</w:t>
      </w:r>
      <w:r w:rsidRPr="00DD1B58">
        <w:rPr>
          <w:noProof/>
          <w:lang w:val="en-US"/>
        </w:rPr>
        <w:t>oards.</w:t>
      </w:r>
      <w:r w:rsidR="00A72C98" w:rsidRPr="00DD1B58">
        <w:rPr>
          <w:noProof/>
          <w:szCs w:val="24"/>
          <w:lang w:val="en-US"/>
        </w:rPr>
        <w:t xml:space="preserve"> </w:t>
      </w:r>
      <w:r w:rsidR="0016512C" w:rsidRPr="00DD1B58">
        <w:rPr>
          <w:noProof/>
          <w:lang w:val="en-US"/>
        </w:rPr>
        <w:t>EDF NGL state</w:t>
      </w:r>
      <w:r w:rsidR="005C2F14" w:rsidRPr="00DD1B58">
        <w:rPr>
          <w:noProof/>
          <w:lang w:val="en-US"/>
        </w:rPr>
        <w:t>s</w:t>
      </w:r>
      <w:r w:rsidR="0016512C" w:rsidRPr="00DD1B58">
        <w:rPr>
          <w:noProof/>
          <w:lang w:val="en-US"/>
        </w:rPr>
        <w:t xml:space="preserve"> that the </w:t>
      </w:r>
      <w:r w:rsidRPr="00DD1B58">
        <w:rPr>
          <w:noProof/>
          <w:lang w:val="en-US"/>
        </w:rPr>
        <w:t>fire protection panels are backed up from their own local batteries</w:t>
      </w:r>
      <w:r w:rsidR="000B4CF7" w:rsidRPr="00DD1B58">
        <w:rPr>
          <w:noProof/>
          <w:szCs w:val="24"/>
          <w:lang w:val="en-US"/>
        </w:rPr>
        <w:t xml:space="preserve">, and the </w:t>
      </w:r>
      <w:r w:rsidRPr="00DD1B58">
        <w:rPr>
          <w:noProof/>
          <w:lang w:val="en-US"/>
        </w:rPr>
        <w:t xml:space="preserve">Inergen and LHDC </w:t>
      </w:r>
      <w:r w:rsidR="000B4CF7" w:rsidRPr="00DD1B58">
        <w:rPr>
          <w:noProof/>
          <w:lang w:val="en-US"/>
        </w:rPr>
        <w:t xml:space="preserve">panels </w:t>
      </w:r>
      <w:r w:rsidRPr="00DD1B58">
        <w:rPr>
          <w:noProof/>
          <w:lang w:val="en-US"/>
        </w:rPr>
        <w:t>are supplied via 110V a.c. UPS systems.</w:t>
      </w:r>
    </w:p>
    <w:p w14:paraId="35A16BEE" w14:textId="03EE125D" w:rsidR="102F78C5" w:rsidRPr="00DD1B58" w:rsidRDefault="0016512C" w:rsidP="78D4B34E">
      <w:pPr>
        <w:rPr>
          <w:noProof/>
          <w:szCs w:val="24"/>
          <w:lang w:val="en-US"/>
        </w:rPr>
      </w:pPr>
      <w:r w:rsidRPr="00DD1B58">
        <w:rPr>
          <w:b/>
          <w:noProof/>
          <w:lang w:val="en-US"/>
        </w:rPr>
        <w:t>SZ</w:t>
      </w:r>
      <w:r w:rsidR="102F78C5" w:rsidRPr="00DD1B58">
        <w:rPr>
          <w:b/>
          <w:noProof/>
          <w:lang w:val="en-US"/>
        </w:rPr>
        <w:t>B</w:t>
      </w:r>
      <w:r w:rsidR="008A6C4B" w:rsidRPr="00DD1B58">
        <w:rPr>
          <w:b/>
          <w:noProof/>
          <w:lang w:val="en-US"/>
        </w:rPr>
        <w:t xml:space="preserve"> </w:t>
      </w:r>
      <w:r w:rsidR="000B4CF7" w:rsidRPr="00DD1B58">
        <w:rPr>
          <w:bCs/>
          <w:noProof/>
          <w:lang w:val="en-US"/>
        </w:rPr>
        <w:t>-</w:t>
      </w:r>
      <w:r w:rsidR="008A6C4B" w:rsidRPr="00DD1B58">
        <w:rPr>
          <w:bCs/>
          <w:noProof/>
          <w:lang w:val="en-US"/>
        </w:rPr>
        <w:t xml:space="preserve"> </w:t>
      </w:r>
      <w:r w:rsidR="000B4CF7" w:rsidRPr="00DD1B58">
        <w:rPr>
          <w:bCs/>
          <w:noProof/>
          <w:lang w:val="en-US"/>
        </w:rPr>
        <w:t>EDF NGL state</w:t>
      </w:r>
      <w:r w:rsidR="003220E2" w:rsidRPr="00DD1B58">
        <w:rPr>
          <w:bCs/>
          <w:noProof/>
          <w:lang w:val="en-US"/>
        </w:rPr>
        <w:t>s</w:t>
      </w:r>
      <w:r w:rsidR="000B4CF7" w:rsidRPr="00DD1B58">
        <w:rPr>
          <w:bCs/>
          <w:noProof/>
          <w:lang w:val="en-US"/>
        </w:rPr>
        <w:t xml:space="preserve"> that the f</w:t>
      </w:r>
      <w:r w:rsidR="102F78C5" w:rsidRPr="00DD1B58">
        <w:rPr>
          <w:bCs/>
          <w:noProof/>
          <w:lang w:val="en-US"/>
        </w:rPr>
        <w:t xml:space="preserve">ire </w:t>
      </w:r>
      <w:r w:rsidR="000B4CF7" w:rsidRPr="00DD1B58">
        <w:rPr>
          <w:bCs/>
          <w:noProof/>
          <w:lang w:val="en-US"/>
        </w:rPr>
        <w:t>p</w:t>
      </w:r>
      <w:r w:rsidR="102F78C5" w:rsidRPr="00DD1B58">
        <w:rPr>
          <w:bCs/>
          <w:noProof/>
          <w:lang w:val="en-US"/>
        </w:rPr>
        <w:t>anels</w:t>
      </w:r>
      <w:r w:rsidR="102F78C5" w:rsidRPr="00DD1B58">
        <w:rPr>
          <w:noProof/>
          <w:lang w:val="en-US"/>
        </w:rPr>
        <w:t xml:space="preserve"> are supplied from the 110V a.c. </w:t>
      </w:r>
      <w:r w:rsidR="003F6551" w:rsidRPr="00DD1B58">
        <w:rPr>
          <w:noProof/>
          <w:lang w:val="en-US"/>
        </w:rPr>
        <w:t>m</w:t>
      </w:r>
      <w:r w:rsidR="102F78C5" w:rsidRPr="00DD1B58">
        <w:rPr>
          <w:noProof/>
          <w:lang w:val="en-US"/>
        </w:rPr>
        <w:t>ain UPS system and the 110V a.c. diesel</w:t>
      </w:r>
      <w:r w:rsidR="000B4CF7" w:rsidRPr="00DD1B58">
        <w:rPr>
          <w:noProof/>
          <w:lang w:val="en-US"/>
        </w:rPr>
        <w:t>-</w:t>
      </w:r>
      <w:r w:rsidR="102F78C5" w:rsidRPr="00DD1B58">
        <w:rPr>
          <w:noProof/>
          <w:lang w:val="en-US"/>
        </w:rPr>
        <w:t>backed power</w:t>
      </w:r>
      <w:r w:rsidR="4ED45DF6" w:rsidRPr="00DD1B58">
        <w:rPr>
          <w:noProof/>
          <w:lang w:val="en-US"/>
        </w:rPr>
        <w:t xml:space="preserve"> </w:t>
      </w:r>
      <w:r w:rsidR="102F78C5" w:rsidRPr="00DD1B58">
        <w:rPr>
          <w:noProof/>
          <w:lang w:val="en-US"/>
        </w:rPr>
        <w:t>supplies.</w:t>
      </w:r>
    </w:p>
    <w:p w14:paraId="0CB66181" w14:textId="77777777" w:rsidR="0F6D9ECF" w:rsidRPr="00DD1B58" w:rsidRDefault="102F78C5" w:rsidP="00177432">
      <w:pPr>
        <w:pStyle w:val="Heading5A"/>
        <w:numPr>
          <w:ilvl w:val="5"/>
          <w:numId w:val="7"/>
        </w:numPr>
        <w:rPr>
          <w:lang w:val="en-US"/>
        </w:rPr>
      </w:pPr>
      <w:r w:rsidRPr="00DD1B58">
        <w:rPr>
          <w:lang w:val="en-US"/>
        </w:rPr>
        <w:t>System Resilience</w:t>
      </w:r>
    </w:p>
    <w:p w14:paraId="4BC755BF" w14:textId="5F431D86" w:rsidR="102F78C5" w:rsidRPr="00DD1B58" w:rsidRDefault="102F78C5" w:rsidP="78D4B34E">
      <w:pPr>
        <w:rPr>
          <w:noProof/>
          <w:szCs w:val="24"/>
          <w:lang w:val="en-US"/>
        </w:rPr>
      </w:pPr>
      <w:r w:rsidRPr="00DD1B58">
        <w:rPr>
          <w:b/>
          <w:noProof/>
          <w:lang w:val="en-US"/>
        </w:rPr>
        <w:t>General</w:t>
      </w:r>
      <w:r w:rsidR="008A6C4B" w:rsidRPr="00DD1B58">
        <w:rPr>
          <w:b/>
          <w:noProof/>
          <w:lang w:val="en-US"/>
        </w:rPr>
        <w:t xml:space="preserve"> </w:t>
      </w:r>
      <w:r w:rsidR="003F328A" w:rsidRPr="00DD1B58">
        <w:rPr>
          <w:b/>
          <w:noProof/>
          <w:lang w:val="en-US"/>
        </w:rPr>
        <w:t>–</w:t>
      </w:r>
      <w:r w:rsidR="008A6C4B" w:rsidRPr="00DD1B58">
        <w:rPr>
          <w:b/>
          <w:noProof/>
          <w:lang w:val="en-US"/>
        </w:rPr>
        <w:t xml:space="preserve"> </w:t>
      </w:r>
      <w:r w:rsidR="003F328A" w:rsidRPr="00DD1B58">
        <w:rPr>
          <w:noProof/>
          <w:lang w:val="en-US"/>
        </w:rPr>
        <w:t xml:space="preserve">EDF NGL Technical </w:t>
      </w:r>
      <w:r w:rsidRPr="00DD1B58">
        <w:rPr>
          <w:noProof/>
          <w:lang w:val="en-US"/>
        </w:rPr>
        <w:t>Specifications govern actions to be taken in the event of one of more parts of the fire</w:t>
      </w:r>
      <w:r w:rsidR="1594DB43" w:rsidRPr="00DD1B58">
        <w:rPr>
          <w:noProof/>
          <w:lang w:val="en-US"/>
        </w:rPr>
        <w:t xml:space="preserve"> protection system failing. These actions include prompt reactor shutdown with establishment of posttri</w:t>
      </w:r>
      <w:r w:rsidRPr="00DD1B58">
        <w:rPr>
          <w:noProof/>
          <w:lang w:val="en-US"/>
        </w:rPr>
        <w:t>p</w:t>
      </w:r>
      <w:r w:rsidR="74E74DDB" w:rsidRPr="00DD1B58">
        <w:rPr>
          <w:noProof/>
          <w:lang w:val="en-US"/>
        </w:rPr>
        <w:t xml:space="preserve"> </w:t>
      </w:r>
      <w:r w:rsidRPr="00DD1B58">
        <w:rPr>
          <w:noProof/>
          <w:lang w:val="en-US"/>
        </w:rPr>
        <w:t>cooling for the most severe cases.</w:t>
      </w:r>
      <w:r w:rsidR="00617AC8" w:rsidRPr="00DD1B58">
        <w:rPr>
          <w:noProof/>
          <w:szCs w:val="24"/>
          <w:lang w:val="en-US"/>
        </w:rPr>
        <w:t xml:space="preserve"> </w:t>
      </w:r>
      <w:r w:rsidRPr="00DD1B58">
        <w:rPr>
          <w:noProof/>
          <w:lang w:val="en-US"/>
        </w:rPr>
        <w:t xml:space="preserve">Where necessary </w:t>
      </w:r>
      <w:r w:rsidR="005C2F14" w:rsidRPr="00DD1B58">
        <w:rPr>
          <w:noProof/>
          <w:lang w:val="en-US"/>
        </w:rPr>
        <w:t>mitigations are put in place e.g.</w:t>
      </w:r>
      <w:r w:rsidRPr="00DD1B58">
        <w:rPr>
          <w:noProof/>
          <w:lang w:val="en-US"/>
        </w:rPr>
        <w:t>a fire watch to mitigate any system failures.</w:t>
      </w:r>
    </w:p>
    <w:p w14:paraId="39316FF5" w14:textId="5837B070" w:rsidR="102F78C5" w:rsidRPr="00DD1B58" w:rsidRDefault="102F78C5" w:rsidP="78D4B34E">
      <w:pPr>
        <w:rPr>
          <w:noProof/>
          <w:szCs w:val="24"/>
          <w:lang w:val="en-US"/>
        </w:rPr>
      </w:pPr>
      <w:r w:rsidRPr="00DD1B58">
        <w:rPr>
          <w:b/>
          <w:noProof/>
          <w:lang w:val="en-US"/>
        </w:rPr>
        <w:t>First Generation AGRs (</w:t>
      </w:r>
      <w:r w:rsidR="003F328A" w:rsidRPr="00DD1B58">
        <w:rPr>
          <w:b/>
          <w:noProof/>
          <w:lang w:val="en-US"/>
        </w:rPr>
        <w:t>HN</w:t>
      </w:r>
      <w:r w:rsidRPr="00DD1B58">
        <w:rPr>
          <w:b/>
          <w:noProof/>
          <w:lang w:val="en-US"/>
        </w:rPr>
        <w:t>B)</w:t>
      </w:r>
      <w:r w:rsidR="008A6C4B" w:rsidRPr="00DD1B58">
        <w:rPr>
          <w:b/>
          <w:noProof/>
          <w:lang w:val="en-US"/>
        </w:rPr>
        <w:t xml:space="preserve"> </w:t>
      </w:r>
      <w:r w:rsidR="00D8205A" w:rsidRPr="00DD1B58">
        <w:rPr>
          <w:b/>
          <w:noProof/>
          <w:lang w:val="en-US"/>
        </w:rPr>
        <w:t>–</w:t>
      </w:r>
      <w:r w:rsidR="008A6C4B" w:rsidRPr="00DD1B58">
        <w:rPr>
          <w:b/>
          <w:noProof/>
          <w:lang w:val="en-US"/>
        </w:rPr>
        <w:t xml:space="preserve"> </w:t>
      </w:r>
      <w:r w:rsidR="00D8205A" w:rsidRPr="00DD1B58">
        <w:rPr>
          <w:noProof/>
          <w:lang w:val="en-US"/>
        </w:rPr>
        <w:t>EDF NGL state</w:t>
      </w:r>
      <w:r w:rsidR="007F7F12" w:rsidRPr="00DD1B58">
        <w:rPr>
          <w:noProof/>
          <w:lang w:val="en-US"/>
        </w:rPr>
        <w:t>s</w:t>
      </w:r>
      <w:r w:rsidR="00D8205A" w:rsidRPr="00DD1B58">
        <w:rPr>
          <w:noProof/>
          <w:lang w:val="en-US"/>
        </w:rPr>
        <w:t xml:space="preserve"> that an </w:t>
      </w:r>
      <w:r w:rsidRPr="00DD1B58">
        <w:rPr>
          <w:noProof/>
          <w:lang w:val="en-US"/>
        </w:rPr>
        <w:t>addressable device is contained within each circuit isolator</w:t>
      </w:r>
      <w:r w:rsidR="00F87115" w:rsidRPr="00DD1B58">
        <w:rPr>
          <w:noProof/>
          <w:lang w:val="en-US"/>
        </w:rPr>
        <w:t xml:space="preserve">; </w:t>
      </w:r>
      <w:r w:rsidR="00D8205A" w:rsidRPr="00DD1B58">
        <w:rPr>
          <w:noProof/>
          <w:lang w:val="en-US"/>
        </w:rPr>
        <w:t>e</w:t>
      </w:r>
      <w:r w:rsidRPr="00DD1B58">
        <w:rPr>
          <w:noProof/>
          <w:lang w:val="en-US"/>
        </w:rPr>
        <w:t>ach isolator protects against open</w:t>
      </w:r>
      <w:r w:rsidR="6948314A" w:rsidRPr="00DD1B58">
        <w:rPr>
          <w:noProof/>
          <w:lang w:val="en-US"/>
        </w:rPr>
        <w:t xml:space="preserve"> </w:t>
      </w:r>
      <w:r w:rsidRPr="00DD1B58">
        <w:rPr>
          <w:noProof/>
          <w:lang w:val="en-US"/>
        </w:rPr>
        <w:t xml:space="preserve">circuit, short circuit and earth circuit failures and ensures that a single cable failure </w:t>
      </w:r>
      <w:r w:rsidR="00F87115" w:rsidRPr="00DD1B58">
        <w:rPr>
          <w:noProof/>
          <w:lang w:val="en-US"/>
        </w:rPr>
        <w:t>poses</w:t>
      </w:r>
      <w:r w:rsidRPr="00DD1B58">
        <w:rPr>
          <w:noProof/>
          <w:lang w:val="en-US"/>
        </w:rPr>
        <w:t xml:space="preserve"> no</w:t>
      </w:r>
      <w:r w:rsidR="01AD6270" w:rsidRPr="00DD1B58">
        <w:rPr>
          <w:noProof/>
          <w:lang w:val="en-US"/>
        </w:rPr>
        <w:t xml:space="preserve"> </w:t>
      </w:r>
      <w:r w:rsidRPr="00DD1B58">
        <w:rPr>
          <w:noProof/>
          <w:lang w:val="en-US"/>
        </w:rPr>
        <w:t>significant detriment o</w:t>
      </w:r>
      <w:r w:rsidR="00D8205A" w:rsidRPr="00DD1B58">
        <w:rPr>
          <w:noProof/>
          <w:lang w:val="en-US"/>
        </w:rPr>
        <w:t>n</w:t>
      </w:r>
      <w:r w:rsidRPr="00DD1B58">
        <w:rPr>
          <w:noProof/>
          <w:lang w:val="en-US"/>
        </w:rPr>
        <w:t xml:space="preserve"> the system operation. </w:t>
      </w:r>
      <w:r w:rsidR="006A3AED" w:rsidRPr="00DD1B58">
        <w:rPr>
          <w:noProof/>
          <w:lang w:val="en-US"/>
        </w:rPr>
        <w:t>EDF NGL report</w:t>
      </w:r>
      <w:r w:rsidR="00067F74" w:rsidRPr="00DD1B58">
        <w:rPr>
          <w:noProof/>
          <w:lang w:val="en-US"/>
        </w:rPr>
        <w:t>s</w:t>
      </w:r>
      <w:r w:rsidR="006A3AED" w:rsidRPr="00DD1B58">
        <w:rPr>
          <w:noProof/>
          <w:lang w:val="en-US"/>
        </w:rPr>
        <w:t xml:space="preserve"> that therefore upon a </w:t>
      </w:r>
      <w:r w:rsidRPr="00DD1B58">
        <w:rPr>
          <w:noProof/>
          <w:lang w:val="en-US"/>
        </w:rPr>
        <w:t>single cable failure</w:t>
      </w:r>
      <w:r w:rsidR="006A3AED" w:rsidRPr="00DD1B58">
        <w:rPr>
          <w:noProof/>
          <w:lang w:val="en-US"/>
        </w:rPr>
        <w:t>,</w:t>
      </w:r>
      <w:r w:rsidRPr="00DD1B58">
        <w:rPr>
          <w:noProof/>
          <w:lang w:val="en-US"/>
        </w:rPr>
        <w:t xml:space="preserve"> all loop</w:t>
      </w:r>
      <w:r w:rsidR="4396AA03" w:rsidRPr="00DD1B58">
        <w:rPr>
          <w:noProof/>
          <w:lang w:val="en-US"/>
        </w:rPr>
        <w:t xml:space="preserve"> </w:t>
      </w:r>
      <w:r w:rsidRPr="00DD1B58">
        <w:rPr>
          <w:noProof/>
          <w:lang w:val="en-US"/>
        </w:rPr>
        <w:t xml:space="preserve">wired devices </w:t>
      </w:r>
      <w:r w:rsidR="006A3AED" w:rsidRPr="00DD1B58">
        <w:rPr>
          <w:noProof/>
          <w:lang w:val="en-US"/>
        </w:rPr>
        <w:t xml:space="preserve">would </w:t>
      </w:r>
      <w:r w:rsidRPr="00DD1B58">
        <w:rPr>
          <w:noProof/>
          <w:lang w:val="en-US"/>
        </w:rPr>
        <w:t xml:space="preserve">continue to operate as normal with no effect on system response times. </w:t>
      </w:r>
      <w:r w:rsidR="00C968B4" w:rsidRPr="00DD1B58">
        <w:rPr>
          <w:noProof/>
          <w:lang w:val="en-US"/>
        </w:rPr>
        <w:t>It also enables EDF NGL</w:t>
      </w:r>
      <w:r w:rsidRPr="00DD1B58">
        <w:rPr>
          <w:noProof/>
          <w:lang w:val="en-US"/>
        </w:rPr>
        <w:t xml:space="preserve"> to </w:t>
      </w:r>
      <w:r w:rsidR="00C968B4" w:rsidRPr="00DD1B58">
        <w:rPr>
          <w:noProof/>
          <w:lang w:val="en-US"/>
        </w:rPr>
        <w:t>locate cable faults.</w:t>
      </w:r>
    </w:p>
    <w:p w14:paraId="38A0CF3D" w14:textId="50FAE387" w:rsidR="102F78C5" w:rsidRPr="00DD1B58" w:rsidRDefault="102F78C5" w:rsidP="78D4B34E">
      <w:pPr>
        <w:rPr>
          <w:noProof/>
          <w:szCs w:val="24"/>
          <w:lang w:val="en-US"/>
        </w:rPr>
      </w:pPr>
      <w:r w:rsidRPr="00DD1B58">
        <w:rPr>
          <w:b/>
          <w:noProof/>
          <w:lang w:val="en-US"/>
        </w:rPr>
        <w:t>Second Generation AGRs (</w:t>
      </w:r>
      <w:r w:rsidR="003F328A" w:rsidRPr="00DD1B58">
        <w:rPr>
          <w:b/>
          <w:noProof/>
          <w:lang w:val="en-US"/>
        </w:rPr>
        <w:t>HY</w:t>
      </w:r>
      <w:r w:rsidRPr="00DD1B58">
        <w:rPr>
          <w:b/>
          <w:noProof/>
          <w:lang w:val="en-US"/>
        </w:rPr>
        <w:t>2)</w:t>
      </w:r>
      <w:r w:rsidR="008A6C4B" w:rsidRPr="00DD1B58">
        <w:rPr>
          <w:b/>
          <w:noProof/>
          <w:lang w:val="en-US"/>
        </w:rPr>
        <w:t xml:space="preserve"> </w:t>
      </w:r>
      <w:r w:rsidR="0068227F" w:rsidRPr="00DD1B58">
        <w:rPr>
          <w:b/>
          <w:noProof/>
          <w:lang w:val="en-US"/>
        </w:rPr>
        <w:t>–</w:t>
      </w:r>
      <w:r w:rsidR="00940D2A" w:rsidRPr="00DD1B58">
        <w:rPr>
          <w:b/>
          <w:noProof/>
          <w:lang w:val="en-US"/>
        </w:rPr>
        <w:t xml:space="preserve"> </w:t>
      </w:r>
      <w:r w:rsidR="00C968B4" w:rsidRPr="00DD1B58">
        <w:rPr>
          <w:bCs/>
          <w:noProof/>
          <w:lang w:val="en-US"/>
        </w:rPr>
        <w:t>EDF NGL report</w:t>
      </w:r>
      <w:r w:rsidR="00067F74" w:rsidRPr="00DD1B58">
        <w:rPr>
          <w:bCs/>
          <w:noProof/>
          <w:lang w:val="en-US"/>
        </w:rPr>
        <w:t>s</w:t>
      </w:r>
      <w:r w:rsidR="00C968B4" w:rsidRPr="00DD1B58">
        <w:rPr>
          <w:bCs/>
          <w:noProof/>
          <w:lang w:val="en-US"/>
        </w:rPr>
        <w:t xml:space="preserve"> that d</w:t>
      </w:r>
      <w:r w:rsidRPr="00DD1B58">
        <w:rPr>
          <w:bCs/>
          <w:noProof/>
          <w:lang w:val="en-US"/>
        </w:rPr>
        <w:t>efects raised for the fire System at HY2 are prioritised depending</w:t>
      </w:r>
      <w:r w:rsidRPr="00DD1B58">
        <w:rPr>
          <w:noProof/>
          <w:lang w:val="en-US"/>
        </w:rPr>
        <w:t xml:space="preserve"> on the impact to fire detection or</w:t>
      </w:r>
      <w:r w:rsidR="16190D65" w:rsidRPr="00DD1B58">
        <w:rPr>
          <w:noProof/>
          <w:lang w:val="en-US"/>
        </w:rPr>
        <w:t xml:space="preserve"> </w:t>
      </w:r>
      <w:r w:rsidRPr="00DD1B58">
        <w:rPr>
          <w:noProof/>
          <w:lang w:val="en-US"/>
        </w:rPr>
        <w:t>Alert</w:t>
      </w:r>
      <w:r w:rsidR="00CF1828" w:rsidRPr="00DD1B58">
        <w:rPr>
          <w:noProof/>
          <w:lang w:val="en-US"/>
        </w:rPr>
        <w:t>. EDF NGL state</w:t>
      </w:r>
      <w:r w:rsidR="003220E2" w:rsidRPr="00DD1B58">
        <w:rPr>
          <w:noProof/>
          <w:lang w:val="en-US"/>
        </w:rPr>
        <w:t>s</w:t>
      </w:r>
      <w:r w:rsidR="00CF1828" w:rsidRPr="00DD1B58">
        <w:rPr>
          <w:noProof/>
          <w:lang w:val="en-US"/>
        </w:rPr>
        <w:t xml:space="preserve"> that a </w:t>
      </w:r>
      <w:r w:rsidRPr="00DD1B58">
        <w:rPr>
          <w:noProof/>
          <w:lang w:val="en-US"/>
        </w:rPr>
        <w:t xml:space="preserve">faulty device that does not operate but is in the vicinity of other detectors </w:t>
      </w:r>
      <w:r w:rsidR="00CF1828" w:rsidRPr="00DD1B58">
        <w:rPr>
          <w:noProof/>
          <w:lang w:val="en-US"/>
        </w:rPr>
        <w:t xml:space="preserve">could </w:t>
      </w:r>
      <w:r w:rsidRPr="00DD1B58">
        <w:rPr>
          <w:noProof/>
          <w:lang w:val="en-US"/>
        </w:rPr>
        <w:t>be tolerated as a scheduled maintenance activity.</w:t>
      </w:r>
    </w:p>
    <w:p w14:paraId="0C3B2AB5" w14:textId="7EF52338" w:rsidR="102F78C5" w:rsidRPr="00DD1B58" w:rsidRDefault="00602BC0" w:rsidP="78D4B34E">
      <w:pPr>
        <w:rPr>
          <w:noProof/>
          <w:szCs w:val="24"/>
          <w:lang w:val="en-US"/>
        </w:rPr>
      </w:pPr>
      <w:r w:rsidRPr="00DD1B58">
        <w:rPr>
          <w:noProof/>
          <w:lang w:val="en-US"/>
        </w:rPr>
        <w:t>EDF NGL report</w:t>
      </w:r>
      <w:r w:rsidR="00067F74" w:rsidRPr="00DD1B58">
        <w:rPr>
          <w:noProof/>
          <w:lang w:val="en-US"/>
        </w:rPr>
        <w:t>s</w:t>
      </w:r>
      <w:r w:rsidRPr="00DD1B58">
        <w:rPr>
          <w:noProof/>
          <w:lang w:val="en-US"/>
        </w:rPr>
        <w:t xml:space="preserve"> that </w:t>
      </w:r>
      <w:r w:rsidR="00067F74" w:rsidRPr="00DD1B58">
        <w:rPr>
          <w:noProof/>
          <w:lang w:val="en-US"/>
        </w:rPr>
        <w:t xml:space="preserve">a </w:t>
      </w:r>
      <w:r w:rsidRPr="00DD1B58">
        <w:rPr>
          <w:noProof/>
          <w:lang w:val="en-US"/>
        </w:rPr>
        <w:t xml:space="preserve">detector </w:t>
      </w:r>
      <w:r w:rsidR="102F78C5" w:rsidRPr="00DD1B58">
        <w:rPr>
          <w:noProof/>
          <w:lang w:val="en-US"/>
        </w:rPr>
        <w:t xml:space="preserve">which </w:t>
      </w:r>
      <w:r w:rsidRPr="00DD1B58">
        <w:rPr>
          <w:noProof/>
          <w:lang w:val="en-US"/>
        </w:rPr>
        <w:t>cause</w:t>
      </w:r>
      <w:r w:rsidR="102F78C5" w:rsidRPr="00DD1B58">
        <w:rPr>
          <w:noProof/>
          <w:lang w:val="en-US"/>
        </w:rPr>
        <w:t xml:space="preserve"> false alarms </w:t>
      </w:r>
      <w:r w:rsidRPr="00DD1B58">
        <w:rPr>
          <w:noProof/>
          <w:lang w:val="en-US"/>
        </w:rPr>
        <w:t xml:space="preserve">would </w:t>
      </w:r>
      <w:r w:rsidR="102F78C5" w:rsidRPr="00DD1B58">
        <w:rPr>
          <w:noProof/>
          <w:lang w:val="en-US"/>
        </w:rPr>
        <w:t>have their respective zones isolated</w:t>
      </w:r>
      <w:r w:rsidRPr="00DD1B58">
        <w:rPr>
          <w:noProof/>
          <w:lang w:val="en-US"/>
        </w:rPr>
        <w:t xml:space="preserve"> and the isolation would</w:t>
      </w:r>
      <w:r w:rsidR="102F78C5" w:rsidRPr="00DD1B58">
        <w:rPr>
          <w:noProof/>
          <w:lang w:val="en-US"/>
        </w:rPr>
        <w:t xml:space="preserve"> be</w:t>
      </w:r>
      <w:r w:rsidR="244730CF" w:rsidRPr="00DD1B58">
        <w:rPr>
          <w:noProof/>
          <w:lang w:val="en-US"/>
        </w:rPr>
        <w:t xml:space="preserve"> </w:t>
      </w:r>
      <w:r w:rsidR="102F78C5" w:rsidRPr="00DD1B58">
        <w:rPr>
          <w:noProof/>
          <w:lang w:val="en-US"/>
        </w:rPr>
        <w:t>captured on Fire System Manager. For the duration of the isolation</w:t>
      </w:r>
      <w:r w:rsidRPr="00DD1B58">
        <w:rPr>
          <w:noProof/>
          <w:lang w:val="en-US"/>
        </w:rPr>
        <w:t>, EDF NGL</w:t>
      </w:r>
      <w:r w:rsidR="102F78C5" w:rsidRPr="00DD1B58">
        <w:rPr>
          <w:noProof/>
          <w:lang w:val="en-US"/>
        </w:rPr>
        <w:t xml:space="preserve"> Operations initiate a Fire Watch</w:t>
      </w:r>
      <w:r w:rsidR="41CB8D55" w:rsidRPr="00DD1B58">
        <w:rPr>
          <w:noProof/>
          <w:lang w:val="en-US"/>
        </w:rPr>
        <w:t xml:space="preserve"> </w:t>
      </w:r>
      <w:r w:rsidR="102F78C5" w:rsidRPr="00DD1B58">
        <w:rPr>
          <w:noProof/>
          <w:lang w:val="en-US"/>
        </w:rPr>
        <w:t xml:space="preserve">which is carried out by Shift Operation staff. </w:t>
      </w:r>
      <w:r w:rsidR="00704587" w:rsidRPr="00DD1B58">
        <w:rPr>
          <w:noProof/>
          <w:lang w:val="en-US"/>
        </w:rPr>
        <w:t>EDF NGL finally report</w:t>
      </w:r>
      <w:r w:rsidR="00067F74" w:rsidRPr="00DD1B58">
        <w:rPr>
          <w:noProof/>
          <w:lang w:val="en-US"/>
        </w:rPr>
        <w:t>s</w:t>
      </w:r>
      <w:r w:rsidR="00704587" w:rsidRPr="00DD1B58">
        <w:rPr>
          <w:noProof/>
          <w:lang w:val="en-US"/>
        </w:rPr>
        <w:t xml:space="preserve"> that A</w:t>
      </w:r>
      <w:r w:rsidR="102F78C5" w:rsidRPr="00DD1B58">
        <w:rPr>
          <w:noProof/>
          <w:lang w:val="en-US"/>
        </w:rPr>
        <w:t>ddressable panels have a function which allows a</w:t>
      </w:r>
      <w:r w:rsidR="4BEC6EF5" w:rsidRPr="00DD1B58">
        <w:rPr>
          <w:noProof/>
          <w:lang w:val="en-US"/>
        </w:rPr>
        <w:t xml:space="preserve"> </w:t>
      </w:r>
      <w:r w:rsidR="102F78C5" w:rsidRPr="00DD1B58">
        <w:rPr>
          <w:noProof/>
          <w:lang w:val="en-US"/>
        </w:rPr>
        <w:t>device to be isolated rather than the complete Zone.</w:t>
      </w:r>
    </w:p>
    <w:p w14:paraId="03604710" w14:textId="1D5520F1" w:rsidR="102F78C5" w:rsidRPr="00DD1B58" w:rsidRDefault="00704587" w:rsidP="78D4B34E">
      <w:pPr>
        <w:rPr>
          <w:noProof/>
          <w:szCs w:val="24"/>
          <w:lang w:val="en-US"/>
        </w:rPr>
      </w:pPr>
      <w:r w:rsidRPr="00DD1B58">
        <w:rPr>
          <w:b/>
          <w:noProof/>
          <w:lang w:val="en-US"/>
        </w:rPr>
        <w:t>SZ</w:t>
      </w:r>
      <w:r w:rsidR="102F78C5" w:rsidRPr="00DD1B58">
        <w:rPr>
          <w:b/>
          <w:noProof/>
          <w:lang w:val="en-US"/>
        </w:rPr>
        <w:t>B</w:t>
      </w:r>
      <w:r w:rsidR="00E45F97" w:rsidRPr="00DD1B58">
        <w:rPr>
          <w:b/>
          <w:noProof/>
          <w:lang w:val="en-US"/>
        </w:rPr>
        <w:t xml:space="preserve"> </w:t>
      </w:r>
      <w:r w:rsidRPr="00DD1B58">
        <w:rPr>
          <w:b/>
          <w:noProof/>
          <w:lang w:val="en-US"/>
        </w:rPr>
        <w:t>–</w:t>
      </w:r>
      <w:r w:rsidR="00E45F97" w:rsidRPr="00DD1B58">
        <w:rPr>
          <w:b/>
          <w:noProof/>
          <w:lang w:val="en-US"/>
        </w:rPr>
        <w:t xml:space="preserve"> </w:t>
      </w:r>
      <w:r w:rsidRPr="00DD1B58">
        <w:rPr>
          <w:noProof/>
          <w:lang w:val="en-US"/>
        </w:rPr>
        <w:t>EDF NGL report</w:t>
      </w:r>
      <w:r w:rsidR="00067F74" w:rsidRPr="00DD1B58">
        <w:rPr>
          <w:noProof/>
          <w:lang w:val="en-US"/>
        </w:rPr>
        <w:t>s</w:t>
      </w:r>
      <w:r w:rsidRPr="00DD1B58">
        <w:rPr>
          <w:noProof/>
          <w:lang w:val="en-US"/>
        </w:rPr>
        <w:t xml:space="preserve"> that f</w:t>
      </w:r>
      <w:r w:rsidR="102F78C5" w:rsidRPr="00DD1B58">
        <w:rPr>
          <w:noProof/>
          <w:lang w:val="en-US"/>
        </w:rPr>
        <w:t xml:space="preserve">ire </w:t>
      </w:r>
      <w:r w:rsidRPr="00DD1B58">
        <w:rPr>
          <w:noProof/>
          <w:lang w:val="en-US"/>
        </w:rPr>
        <w:t>d</w:t>
      </w:r>
      <w:r w:rsidR="102F78C5" w:rsidRPr="00DD1B58">
        <w:rPr>
          <w:noProof/>
          <w:lang w:val="en-US"/>
        </w:rPr>
        <w:t>etector faults are defected and prioritised by Operations using defined guidelines. The Fire</w:t>
      </w:r>
      <w:r w:rsidR="1122C4CB" w:rsidRPr="00DD1B58">
        <w:rPr>
          <w:noProof/>
          <w:lang w:val="en-US"/>
        </w:rPr>
        <w:t xml:space="preserve"> </w:t>
      </w:r>
      <w:r w:rsidR="102F78C5" w:rsidRPr="00DD1B58">
        <w:rPr>
          <w:noProof/>
          <w:lang w:val="en-US"/>
        </w:rPr>
        <w:t>System is not included in Technical Specifications.</w:t>
      </w:r>
      <w:r w:rsidR="005B22D9" w:rsidRPr="00DD1B58">
        <w:rPr>
          <w:noProof/>
          <w:lang w:val="en-US"/>
        </w:rPr>
        <w:t xml:space="preserve"> </w:t>
      </w:r>
      <w:r w:rsidR="102F78C5" w:rsidRPr="00DD1B58">
        <w:rPr>
          <w:noProof/>
          <w:lang w:val="en-US"/>
        </w:rPr>
        <w:t xml:space="preserve">Where detection in an area remains covered by adjacent Fire Loops then </w:t>
      </w:r>
      <w:r w:rsidR="005B22D9" w:rsidRPr="00DD1B58">
        <w:rPr>
          <w:noProof/>
          <w:lang w:val="en-US"/>
        </w:rPr>
        <w:t>EDF NGL schedules</w:t>
      </w:r>
      <w:r w:rsidR="00940D2A" w:rsidRPr="00DD1B58">
        <w:rPr>
          <w:noProof/>
          <w:lang w:val="en-US"/>
        </w:rPr>
        <w:t xml:space="preserve"> </w:t>
      </w:r>
      <w:r w:rsidR="102F78C5" w:rsidRPr="00DD1B58">
        <w:rPr>
          <w:noProof/>
          <w:lang w:val="en-US"/>
        </w:rPr>
        <w:t>repairs as</w:t>
      </w:r>
      <w:r w:rsidR="4F214322" w:rsidRPr="00DD1B58">
        <w:rPr>
          <w:noProof/>
          <w:lang w:val="en-US"/>
        </w:rPr>
        <w:t xml:space="preserve"> </w:t>
      </w:r>
      <w:r w:rsidR="102F78C5" w:rsidRPr="00DD1B58">
        <w:rPr>
          <w:noProof/>
          <w:lang w:val="en-US"/>
        </w:rPr>
        <w:t xml:space="preserve">resources allow within normal process. Otherwise, where all detection is lost in a specified area </w:t>
      </w:r>
      <w:r w:rsidR="00484418" w:rsidRPr="00DD1B58">
        <w:rPr>
          <w:noProof/>
          <w:lang w:val="en-US"/>
        </w:rPr>
        <w:t xml:space="preserve">EDF, NGL sets </w:t>
      </w:r>
      <w:r w:rsidR="102F78C5" w:rsidRPr="00DD1B58">
        <w:rPr>
          <w:noProof/>
          <w:lang w:val="en-US"/>
        </w:rPr>
        <w:t>a higher</w:t>
      </w:r>
      <w:r w:rsidR="67785D91" w:rsidRPr="00DD1B58">
        <w:rPr>
          <w:noProof/>
          <w:lang w:val="en-US"/>
        </w:rPr>
        <w:t xml:space="preserve"> </w:t>
      </w:r>
      <w:r w:rsidR="102F78C5" w:rsidRPr="00DD1B58">
        <w:rPr>
          <w:noProof/>
          <w:lang w:val="en-US"/>
        </w:rPr>
        <w:t>priority (scheduled at earliest opportunity or scheduled with an execution plan). In addition,</w:t>
      </w:r>
      <w:r w:rsidR="00484418" w:rsidRPr="00DD1B58">
        <w:rPr>
          <w:noProof/>
          <w:lang w:val="en-US"/>
        </w:rPr>
        <w:t xml:space="preserve"> EDF NGL puts in place</w:t>
      </w:r>
      <w:r w:rsidR="317745C3" w:rsidRPr="00DD1B58">
        <w:rPr>
          <w:noProof/>
          <w:lang w:val="en-US"/>
        </w:rPr>
        <w:t xml:space="preserve"> </w:t>
      </w:r>
      <w:r w:rsidR="102F78C5" w:rsidRPr="00DD1B58">
        <w:rPr>
          <w:noProof/>
          <w:lang w:val="en-US"/>
        </w:rPr>
        <w:t>a fire watch with a fire impairment notice to define further mitigations and any</w:t>
      </w:r>
      <w:r w:rsidR="20B2A529" w:rsidRPr="00DD1B58">
        <w:rPr>
          <w:noProof/>
          <w:lang w:val="en-US"/>
        </w:rPr>
        <w:t xml:space="preserve"> </w:t>
      </w:r>
      <w:r w:rsidR="102F78C5" w:rsidRPr="00DD1B58">
        <w:rPr>
          <w:noProof/>
          <w:lang w:val="en-US"/>
        </w:rPr>
        <w:t>additional actions in case of fire.</w:t>
      </w:r>
    </w:p>
    <w:p w14:paraId="1F92DF92" w14:textId="77777777" w:rsidR="5AA056D8" w:rsidRPr="00DD1B58" w:rsidRDefault="5AA056D8" w:rsidP="00177432">
      <w:pPr>
        <w:pStyle w:val="Heading5A"/>
        <w:numPr>
          <w:ilvl w:val="5"/>
          <w:numId w:val="7"/>
        </w:numPr>
        <w:rPr>
          <w:lang w:val="en-US"/>
        </w:rPr>
      </w:pPr>
      <w:r w:rsidRPr="00DD1B58">
        <w:rPr>
          <w:lang w:val="en-US"/>
        </w:rPr>
        <w:t>Fire hazard tolerance</w:t>
      </w:r>
    </w:p>
    <w:p w14:paraId="6097A4B3" w14:textId="093FDFFA" w:rsidR="5AA056D8" w:rsidRPr="00DD1B58" w:rsidRDefault="5AA056D8" w:rsidP="78D4B34E">
      <w:pPr>
        <w:rPr>
          <w:noProof/>
          <w:lang w:val="en-US"/>
        </w:rPr>
      </w:pPr>
      <w:r w:rsidRPr="00DD1B58">
        <w:rPr>
          <w:b/>
          <w:noProof/>
          <w:lang w:val="en-US"/>
        </w:rPr>
        <w:t>General</w:t>
      </w:r>
      <w:r w:rsidR="00E45F97" w:rsidRPr="00DD1B58">
        <w:rPr>
          <w:b/>
          <w:noProof/>
          <w:lang w:val="en-US"/>
        </w:rPr>
        <w:t xml:space="preserve"> </w:t>
      </w:r>
      <w:r w:rsidR="0068227F" w:rsidRPr="00DD1B58">
        <w:rPr>
          <w:b/>
          <w:noProof/>
          <w:lang w:val="en-US"/>
        </w:rPr>
        <w:t>–</w:t>
      </w:r>
      <w:r w:rsidR="00E45F97" w:rsidRPr="00DD1B58">
        <w:rPr>
          <w:bCs/>
          <w:noProof/>
          <w:lang w:val="en-US"/>
        </w:rPr>
        <w:t xml:space="preserve"> </w:t>
      </w:r>
      <w:r w:rsidR="00484418" w:rsidRPr="00DD1B58">
        <w:rPr>
          <w:bCs/>
          <w:noProof/>
          <w:lang w:val="en-US"/>
        </w:rPr>
        <w:t>EDF NGL report</w:t>
      </w:r>
      <w:r w:rsidR="00A30E97" w:rsidRPr="00DD1B58">
        <w:rPr>
          <w:bCs/>
          <w:noProof/>
          <w:lang w:val="en-US"/>
        </w:rPr>
        <w:t>s</w:t>
      </w:r>
      <w:r w:rsidR="00484418" w:rsidRPr="00DD1B58">
        <w:rPr>
          <w:bCs/>
          <w:noProof/>
          <w:lang w:val="en-US"/>
        </w:rPr>
        <w:t xml:space="preserve"> that a</w:t>
      </w:r>
      <w:r w:rsidRPr="00DD1B58">
        <w:rPr>
          <w:bCs/>
          <w:noProof/>
          <w:lang w:val="en-US"/>
        </w:rPr>
        <w:t>ll fire alarm</w:t>
      </w:r>
      <w:r w:rsidRPr="00DD1B58">
        <w:rPr>
          <w:noProof/>
          <w:lang w:val="en-US"/>
        </w:rPr>
        <w:t xml:space="preserve"> and detection systems are installed to British Standards</w:t>
      </w:r>
      <w:r w:rsidR="008A68B0" w:rsidRPr="00DD1B58">
        <w:rPr>
          <w:noProof/>
          <w:lang w:val="en-US"/>
        </w:rPr>
        <w:t>.</w:t>
      </w:r>
    </w:p>
    <w:p w14:paraId="079BC446" w14:textId="067D1DD4" w:rsidR="5AA056D8" w:rsidRPr="00DD1B58" w:rsidRDefault="5AA056D8" w:rsidP="78D4B34E">
      <w:pPr>
        <w:rPr>
          <w:lang w:val="en-US"/>
        </w:rPr>
      </w:pPr>
      <w:r w:rsidRPr="00DD1B58">
        <w:rPr>
          <w:b/>
          <w:noProof/>
          <w:lang w:val="en-US"/>
        </w:rPr>
        <w:t>First Generation AGRs (</w:t>
      </w:r>
      <w:r w:rsidR="00484418" w:rsidRPr="00DD1B58">
        <w:rPr>
          <w:b/>
          <w:noProof/>
          <w:lang w:val="en-US"/>
        </w:rPr>
        <w:t>HN</w:t>
      </w:r>
      <w:r w:rsidRPr="00DD1B58">
        <w:rPr>
          <w:b/>
          <w:noProof/>
          <w:lang w:val="en-US"/>
        </w:rPr>
        <w:t>B)</w:t>
      </w:r>
      <w:r w:rsidR="00E45F97" w:rsidRPr="00DD1B58">
        <w:rPr>
          <w:b/>
          <w:noProof/>
          <w:lang w:val="en-US"/>
        </w:rPr>
        <w:t xml:space="preserve"> </w:t>
      </w:r>
      <w:r w:rsidR="00511268" w:rsidRPr="00DD1B58">
        <w:rPr>
          <w:b/>
          <w:noProof/>
          <w:lang w:val="en-US"/>
        </w:rPr>
        <w:t>–</w:t>
      </w:r>
      <w:r w:rsidR="00E45F97" w:rsidRPr="00DD1B58">
        <w:rPr>
          <w:b/>
          <w:noProof/>
          <w:lang w:val="en-US"/>
        </w:rPr>
        <w:t xml:space="preserve"> </w:t>
      </w:r>
      <w:r w:rsidR="00511268" w:rsidRPr="00DD1B58">
        <w:rPr>
          <w:noProof/>
          <w:lang w:val="en-US"/>
        </w:rPr>
        <w:t>EDF N</w:t>
      </w:r>
      <w:r w:rsidR="001738C8" w:rsidRPr="00DD1B58">
        <w:rPr>
          <w:noProof/>
          <w:lang w:val="en-US"/>
        </w:rPr>
        <w:t>G</w:t>
      </w:r>
      <w:r w:rsidR="00511268" w:rsidRPr="00DD1B58">
        <w:rPr>
          <w:noProof/>
          <w:lang w:val="en-US"/>
        </w:rPr>
        <w:t>L report</w:t>
      </w:r>
      <w:r w:rsidR="00367491" w:rsidRPr="00DD1B58">
        <w:rPr>
          <w:noProof/>
          <w:lang w:val="en-US"/>
        </w:rPr>
        <w:t>s</w:t>
      </w:r>
      <w:r w:rsidR="00D776E2" w:rsidRPr="00DD1B58">
        <w:rPr>
          <w:noProof/>
          <w:lang w:val="en-US"/>
        </w:rPr>
        <w:t xml:space="preserve"> that</w:t>
      </w:r>
      <w:r w:rsidR="00511268" w:rsidRPr="00DD1B58">
        <w:rPr>
          <w:noProof/>
          <w:lang w:val="en-US"/>
        </w:rPr>
        <w:t xml:space="preserve"> the </w:t>
      </w:r>
      <w:r w:rsidRPr="00DD1B58">
        <w:rPr>
          <w:noProof/>
          <w:lang w:val="en-US"/>
        </w:rPr>
        <w:t>original installation was cabled in RADOX FRI. Later ‘Standard’ fire resistant cable to BS EN 50200 (PH 30) and ‘Enhanced’ cable BS EN 50200 (PH 120) were used. In some instances fire resistant power cable to BS EN 60332-1-2, BS EN 60332-3-24 was used</w:t>
      </w:r>
    </w:p>
    <w:p w14:paraId="7DC574DD" w14:textId="3BEBDC0C" w:rsidR="5AA056D8" w:rsidRPr="00DD1B58" w:rsidRDefault="5AA056D8" w:rsidP="78D4B34E">
      <w:pPr>
        <w:rPr>
          <w:noProof/>
          <w:lang w:val="en-US"/>
        </w:rPr>
      </w:pPr>
      <w:r w:rsidRPr="00DD1B58">
        <w:rPr>
          <w:b/>
          <w:noProof/>
          <w:lang w:val="en-US"/>
        </w:rPr>
        <w:t>Second Generation AGRs (</w:t>
      </w:r>
      <w:r w:rsidR="00484418" w:rsidRPr="00DD1B58">
        <w:rPr>
          <w:b/>
          <w:noProof/>
          <w:lang w:val="en-US"/>
        </w:rPr>
        <w:t>HY</w:t>
      </w:r>
      <w:r w:rsidRPr="00DD1B58">
        <w:rPr>
          <w:b/>
          <w:noProof/>
          <w:lang w:val="en-US"/>
        </w:rPr>
        <w:t>2)</w:t>
      </w:r>
      <w:r w:rsidR="00E45F97" w:rsidRPr="00DD1B58">
        <w:rPr>
          <w:b/>
          <w:noProof/>
          <w:lang w:val="en-US"/>
        </w:rPr>
        <w:t xml:space="preserve"> </w:t>
      </w:r>
      <w:r w:rsidR="0068227F" w:rsidRPr="00DD1B58">
        <w:rPr>
          <w:b/>
          <w:noProof/>
          <w:lang w:val="en-US"/>
        </w:rPr>
        <w:t>–</w:t>
      </w:r>
      <w:r w:rsidR="00E45F97" w:rsidRPr="00DD1B58">
        <w:rPr>
          <w:b/>
          <w:noProof/>
          <w:lang w:val="en-US"/>
        </w:rPr>
        <w:t xml:space="preserve"> </w:t>
      </w:r>
      <w:r w:rsidR="0042636C" w:rsidRPr="00DD1B58">
        <w:rPr>
          <w:noProof/>
          <w:lang w:val="en-US"/>
        </w:rPr>
        <w:t>EDF NGL report</w:t>
      </w:r>
      <w:r w:rsidR="00681B96" w:rsidRPr="00DD1B58">
        <w:rPr>
          <w:noProof/>
          <w:lang w:val="en-US"/>
        </w:rPr>
        <w:t>s</w:t>
      </w:r>
      <w:r w:rsidR="0042636C" w:rsidRPr="00DD1B58">
        <w:rPr>
          <w:noProof/>
          <w:lang w:val="en-US"/>
        </w:rPr>
        <w:t xml:space="preserve"> that fire systems in </w:t>
      </w:r>
      <w:r w:rsidRPr="00DD1B58">
        <w:rPr>
          <w:noProof/>
          <w:lang w:val="en-US"/>
        </w:rPr>
        <w:t xml:space="preserve">HY2 </w:t>
      </w:r>
      <w:r w:rsidR="0042636C" w:rsidRPr="00DD1B58">
        <w:rPr>
          <w:noProof/>
          <w:lang w:val="en-US"/>
        </w:rPr>
        <w:t>“</w:t>
      </w:r>
      <w:r w:rsidRPr="00DD1B58">
        <w:rPr>
          <w:noProof/>
          <w:lang w:val="en-US"/>
        </w:rPr>
        <w:t>equipment buildings</w:t>
      </w:r>
      <w:r w:rsidR="0042636C" w:rsidRPr="00DD1B58">
        <w:rPr>
          <w:noProof/>
          <w:lang w:val="en-US"/>
        </w:rPr>
        <w:t>”</w:t>
      </w:r>
      <w:r w:rsidRPr="00DD1B58">
        <w:rPr>
          <w:noProof/>
          <w:lang w:val="en-US"/>
        </w:rPr>
        <w:t xml:space="preserve"> are wired in 2H2.5 MICC, rated at 36A</w:t>
      </w:r>
      <w:r w:rsidR="0042636C" w:rsidRPr="00DD1B58">
        <w:rPr>
          <w:noProof/>
          <w:lang w:val="en-US"/>
        </w:rPr>
        <w:t xml:space="preserve"> and that the </w:t>
      </w:r>
      <w:r w:rsidRPr="00DD1B58">
        <w:rPr>
          <w:noProof/>
          <w:lang w:val="en-US"/>
        </w:rPr>
        <w:t>MICC cable is fireproof and non-aging.</w:t>
      </w:r>
      <w:r w:rsidR="00E45F97" w:rsidRPr="00DD1B58">
        <w:rPr>
          <w:noProof/>
          <w:lang w:val="en-US"/>
        </w:rPr>
        <w:t xml:space="preserve"> </w:t>
      </w:r>
      <w:r w:rsidR="0042636C" w:rsidRPr="00DD1B58">
        <w:rPr>
          <w:noProof/>
          <w:lang w:val="en-US"/>
        </w:rPr>
        <w:t xml:space="preserve">It also noted that the </w:t>
      </w:r>
      <w:r w:rsidRPr="00DD1B58">
        <w:rPr>
          <w:noProof/>
          <w:lang w:val="en-US"/>
        </w:rPr>
        <w:t xml:space="preserve">majority of </w:t>
      </w:r>
      <w:r w:rsidR="0042636C" w:rsidRPr="00DD1B58">
        <w:rPr>
          <w:noProof/>
          <w:lang w:val="en-US"/>
        </w:rPr>
        <w:t>“</w:t>
      </w:r>
      <w:r w:rsidRPr="00DD1B58">
        <w:rPr>
          <w:noProof/>
          <w:lang w:val="en-US"/>
        </w:rPr>
        <w:t>non-equipment buildings</w:t>
      </w:r>
      <w:r w:rsidR="0042636C" w:rsidRPr="00DD1B58">
        <w:rPr>
          <w:noProof/>
          <w:lang w:val="en-US"/>
        </w:rPr>
        <w:t>”</w:t>
      </w:r>
      <w:r w:rsidRPr="00DD1B58">
        <w:rPr>
          <w:noProof/>
          <w:lang w:val="en-US"/>
        </w:rPr>
        <w:t xml:space="preserve"> fire systems are wired in ‘Standard’ fire resistant cable to BS EN 50200 (PH 30) and ‘Enhanced’ cable BS EN 50200 (PH 120).</w:t>
      </w:r>
    </w:p>
    <w:p w14:paraId="62FE29D0" w14:textId="6CC08A8B" w:rsidR="5AA056D8" w:rsidRPr="00DD1B58" w:rsidRDefault="00511268" w:rsidP="78D4B34E">
      <w:pPr>
        <w:rPr>
          <w:lang w:val="en-US"/>
        </w:rPr>
      </w:pPr>
      <w:r w:rsidRPr="00DD1B58">
        <w:rPr>
          <w:b/>
          <w:noProof/>
          <w:lang w:val="en-US"/>
        </w:rPr>
        <w:t>SZ</w:t>
      </w:r>
      <w:r w:rsidR="5AA056D8" w:rsidRPr="00DD1B58">
        <w:rPr>
          <w:b/>
          <w:noProof/>
          <w:lang w:val="en-US"/>
        </w:rPr>
        <w:t>B</w:t>
      </w:r>
      <w:r w:rsidR="00E45F97" w:rsidRPr="00DD1B58">
        <w:rPr>
          <w:b/>
          <w:noProof/>
          <w:lang w:val="en-US"/>
        </w:rPr>
        <w:t xml:space="preserve"> </w:t>
      </w:r>
      <w:r w:rsidR="0068227F" w:rsidRPr="00DD1B58">
        <w:rPr>
          <w:b/>
          <w:noProof/>
          <w:lang w:val="en-US"/>
        </w:rPr>
        <w:t>–</w:t>
      </w:r>
      <w:r w:rsidR="00E45F97" w:rsidRPr="00DD1B58">
        <w:rPr>
          <w:b/>
          <w:noProof/>
          <w:lang w:val="en-US"/>
        </w:rPr>
        <w:t xml:space="preserve"> </w:t>
      </w:r>
      <w:r w:rsidR="5AA056D8" w:rsidRPr="00DD1B58">
        <w:rPr>
          <w:noProof/>
          <w:lang w:val="en-US"/>
        </w:rPr>
        <w:t>The SZB Fire Protection System (FPS) is a two</w:t>
      </w:r>
      <w:r w:rsidR="008A68B0" w:rsidRPr="00DD1B58">
        <w:rPr>
          <w:noProof/>
          <w:lang w:val="en-US"/>
        </w:rPr>
        <w:t>-</w:t>
      </w:r>
      <w:r w:rsidR="5AA056D8" w:rsidRPr="00DD1B58">
        <w:rPr>
          <w:noProof/>
          <w:lang w:val="en-US"/>
        </w:rPr>
        <w:t>way segregated, Safety Category 2 system (i.e. supports the Safety Category 1 systems but is not essential for achieving adequate nuclear safety).</w:t>
      </w:r>
      <w:r w:rsidR="00CD65AE" w:rsidRPr="00DD1B58">
        <w:rPr>
          <w:noProof/>
          <w:lang w:val="en-US"/>
        </w:rPr>
        <w:t xml:space="preserve"> EDF NGL report</w:t>
      </w:r>
      <w:r w:rsidR="00681B96" w:rsidRPr="00DD1B58">
        <w:rPr>
          <w:noProof/>
          <w:lang w:val="en-US"/>
        </w:rPr>
        <w:t>s</w:t>
      </w:r>
      <w:r w:rsidR="00CD65AE" w:rsidRPr="00DD1B58">
        <w:rPr>
          <w:noProof/>
          <w:lang w:val="en-US"/>
        </w:rPr>
        <w:t xml:space="preserve"> that the </w:t>
      </w:r>
      <w:r w:rsidR="5AA056D8" w:rsidRPr="00DD1B58">
        <w:rPr>
          <w:noProof/>
          <w:lang w:val="en-US"/>
        </w:rPr>
        <w:t>FPS is designed to remain operable during a fire for sufficient time to alert operators locally and in</w:t>
      </w:r>
      <w:r w:rsidR="00B346BE" w:rsidRPr="00DD1B58">
        <w:rPr>
          <w:noProof/>
          <w:lang w:val="en-US"/>
        </w:rPr>
        <w:t xml:space="preserve"> </w:t>
      </w:r>
      <w:r w:rsidR="5AA056D8" w:rsidRPr="00DD1B58">
        <w:rPr>
          <w:noProof/>
          <w:lang w:val="en-US"/>
        </w:rPr>
        <w:t xml:space="preserve">the Control Room. </w:t>
      </w:r>
      <w:r w:rsidR="00CD65AE" w:rsidRPr="00DD1B58">
        <w:rPr>
          <w:noProof/>
          <w:lang w:val="en-US"/>
        </w:rPr>
        <w:t xml:space="preserve">It quoted that, where </w:t>
      </w:r>
      <w:r w:rsidR="00221A36" w:rsidRPr="00DD1B58">
        <w:rPr>
          <w:noProof/>
          <w:lang w:val="en-US"/>
        </w:rPr>
        <w:t>required</w:t>
      </w:r>
      <w:r w:rsidR="004B0732" w:rsidRPr="00DD1B58">
        <w:rPr>
          <w:noProof/>
          <w:lang w:val="en-US"/>
        </w:rPr>
        <w:t>,</w:t>
      </w:r>
      <w:r w:rsidR="5AA056D8" w:rsidRPr="00DD1B58">
        <w:rPr>
          <w:noProof/>
          <w:lang w:val="en-US"/>
        </w:rPr>
        <w:t xml:space="preserve"> short</w:t>
      </w:r>
      <w:r w:rsidR="00CD65AE" w:rsidRPr="00DD1B58">
        <w:rPr>
          <w:noProof/>
          <w:lang w:val="en-US"/>
        </w:rPr>
        <w:t>-</w:t>
      </w:r>
      <w:r w:rsidR="5AA056D8" w:rsidRPr="00DD1B58">
        <w:rPr>
          <w:noProof/>
          <w:lang w:val="en-US"/>
        </w:rPr>
        <w:t>term fireproof cable is qualified to function for a</w:t>
      </w:r>
      <w:r w:rsidR="30A181C0" w:rsidRPr="00DD1B58">
        <w:rPr>
          <w:noProof/>
          <w:lang w:val="en-US"/>
        </w:rPr>
        <w:t xml:space="preserve"> </w:t>
      </w:r>
      <w:r w:rsidR="5AA056D8" w:rsidRPr="00DD1B58">
        <w:rPr>
          <w:noProof/>
          <w:lang w:val="en-US"/>
        </w:rPr>
        <w:t xml:space="preserve">20 minute duration when exposed to a temperature of 1000 </w:t>
      </w:r>
      <w:r w:rsidR="004B0732" w:rsidRPr="00DD1B58">
        <w:rPr>
          <w:noProof/>
          <w:lang w:val="en-US"/>
        </w:rPr>
        <w:t>⁰</w:t>
      </w:r>
      <w:r w:rsidR="3C7231C5" w:rsidRPr="00DD1B58">
        <w:rPr>
          <w:noProof/>
          <w:lang w:val="en-US"/>
        </w:rPr>
        <w:t>C</w:t>
      </w:r>
      <w:r w:rsidR="5AA056D8" w:rsidRPr="00DD1B58">
        <w:rPr>
          <w:noProof/>
          <w:lang w:val="en-US"/>
        </w:rPr>
        <w:t>.</w:t>
      </w:r>
      <w:r w:rsidR="00221A36" w:rsidRPr="00DD1B58">
        <w:rPr>
          <w:noProof/>
          <w:lang w:val="en-US"/>
        </w:rPr>
        <w:t xml:space="preserve"> It also state</w:t>
      </w:r>
      <w:r w:rsidR="00681B96" w:rsidRPr="00DD1B58">
        <w:rPr>
          <w:noProof/>
          <w:lang w:val="en-US"/>
        </w:rPr>
        <w:t>s</w:t>
      </w:r>
      <w:r w:rsidR="00221A36" w:rsidRPr="00DD1B58">
        <w:rPr>
          <w:noProof/>
          <w:lang w:val="en-US"/>
        </w:rPr>
        <w:t xml:space="preserve"> that w</w:t>
      </w:r>
      <w:r w:rsidR="5AA056D8" w:rsidRPr="00DD1B58">
        <w:rPr>
          <w:noProof/>
          <w:lang w:val="en-US"/>
        </w:rPr>
        <w:t>here required it is used for the Station Public Address system, the Station Siren system, the Direct</w:t>
      </w:r>
      <w:r w:rsidR="1DE1A6FC" w:rsidRPr="00DD1B58">
        <w:rPr>
          <w:noProof/>
          <w:lang w:val="en-US"/>
        </w:rPr>
        <w:t xml:space="preserve"> </w:t>
      </w:r>
      <w:r w:rsidR="5AA056D8" w:rsidRPr="00DD1B58">
        <w:rPr>
          <w:noProof/>
          <w:lang w:val="en-US"/>
        </w:rPr>
        <w:t>Wire Telephones, the Station VHF and UHF Radio Links, the Audible Alarm Power circuits, the Fire</w:t>
      </w:r>
      <w:r w:rsidR="03E7C1E4" w:rsidRPr="00DD1B58">
        <w:rPr>
          <w:noProof/>
          <w:lang w:val="en-US"/>
        </w:rPr>
        <w:t xml:space="preserve"> </w:t>
      </w:r>
      <w:r w:rsidR="5AA056D8" w:rsidRPr="00DD1B58">
        <w:rPr>
          <w:noProof/>
          <w:lang w:val="en-US"/>
        </w:rPr>
        <w:t xml:space="preserve">Detector Circuits, the Cabling of the </w:t>
      </w:r>
      <w:r w:rsidR="004F5760" w:rsidRPr="00DD1B58">
        <w:rPr>
          <w:noProof/>
          <w:lang w:val="en-US"/>
        </w:rPr>
        <w:t>Firefight</w:t>
      </w:r>
      <w:r w:rsidR="5AA056D8" w:rsidRPr="00DD1B58">
        <w:rPr>
          <w:noProof/>
          <w:lang w:val="en-US"/>
        </w:rPr>
        <w:t>ing Equipment, Selected Unit Main Protection</w:t>
      </w:r>
      <w:r w:rsidR="1C59B55D" w:rsidRPr="00DD1B58">
        <w:rPr>
          <w:noProof/>
          <w:lang w:val="en-US"/>
        </w:rPr>
        <w:t xml:space="preserve"> </w:t>
      </w:r>
      <w:r w:rsidR="5AA056D8" w:rsidRPr="00DD1B58">
        <w:rPr>
          <w:noProof/>
          <w:lang w:val="en-US"/>
        </w:rPr>
        <w:t>Connections and the Unit Emergency Stop Button.</w:t>
      </w:r>
    </w:p>
    <w:p w14:paraId="4B970F31" w14:textId="77777777" w:rsidR="1BBDEE1A" w:rsidRPr="00DD1B58" w:rsidRDefault="5AA056D8" w:rsidP="00177432">
      <w:pPr>
        <w:pStyle w:val="Heading5A"/>
        <w:numPr>
          <w:ilvl w:val="5"/>
          <w:numId w:val="7"/>
        </w:numPr>
        <w:rPr>
          <w:lang w:val="en-US"/>
        </w:rPr>
      </w:pPr>
      <w:r w:rsidRPr="00DD1B58">
        <w:rPr>
          <w:lang w:val="en-US"/>
        </w:rPr>
        <w:t>Cable wrapping etc</w:t>
      </w:r>
    </w:p>
    <w:p w14:paraId="7D2EA396" w14:textId="6F0B0FAB" w:rsidR="5AA056D8" w:rsidRPr="00DD1B58" w:rsidRDefault="5AA056D8" w:rsidP="78D4B34E">
      <w:pPr>
        <w:rPr>
          <w:lang w:val="en-US"/>
        </w:rPr>
      </w:pPr>
      <w:r w:rsidRPr="00DD1B58">
        <w:rPr>
          <w:b/>
          <w:noProof/>
          <w:lang w:val="en-US"/>
        </w:rPr>
        <w:t>General</w:t>
      </w:r>
      <w:r w:rsidR="00E45F97" w:rsidRPr="00DD1B58">
        <w:rPr>
          <w:b/>
          <w:noProof/>
          <w:lang w:val="en-US"/>
        </w:rPr>
        <w:t xml:space="preserve"> </w:t>
      </w:r>
      <w:r w:rsidR="00221A36" w:rsidRPr="00DD1B58">
        <w:rPr>
          <w:b/>
          <w:noProof/>
          <w:lang w:val="en-US"/>
        </w:rPr>
        <w:t>–</w:t>
      </w:r>
      <w:r w:rsidR="00E45F97" w:rsidRPr="00DD1B58">
        <w:rPr>
          <w:b/>
          <w:noProof/>
          <w:lang w:val="en-US"/>
        </w:rPr>
        <w:t xml:space="preserve"> </w:t>
      </w:r>
      <w:r w:rsidR="00221A36" w:rsidRPr="00DD1B58">
        <w:rPr>
          <w:noProof/>
          <w:lang w:val="en-US"/>
        </w:rPr>
        <w:t>EDF NGL state</w:t>
      </w:r>
      <w:r w:rsidR="00681B96" w:rsidRPr="00DD1B58">
        <w:rPr>
          <w:noProof/>
          <w:lang w:val="en-US"/>
        </w:rPr>
        <w:t>s</w:t>
      </w:r>
      <w:r w:rsidR="00221A36" w:rsidRPr="00DD1B58">
        <w:rPr>
          <w:noProof/>
          <w:lang w:val="en-US"/>
        </w:rPr>
        <w:t xml:space="preserve"> that f</w:t>
      </w:r>
      <w:r w:rsidRPr="00DD1B58">
        <w:rPr>
          <w:noProof/>
          <w:lang w:val="en-US"/>
        </w:rPr>
        <w:t>ire protection is provided as necessary to meet the requirements of the</w:t>
      </w:r>
      <w:r w:rsidR="0023422F" w:rsidRPr="00DD1B58">
        <w:rPr>
          <w:noProof/>
          <w:lang w:val="en-US"/>
        </w:rPr>
        <w:t xml:space="preserve"> EDF NGL</w:t>
      </w:r>
      <w:r w:rsidRPr="00DD1B58">
        <w:rPr>
          <w:noProof/>
          <w:lang w:val="en-US"/>
        </w:rPr>
        <w:t xml:space="preserve"> Nuclear Safety Principles</w:t>
      </w:r>
      <w:r w:rsidR="06C88E30" w:rsidRPr="00DD1B58">
        <w:rPr>
          <w:noProof/>
          <w:lang w:val="en-US"/>
        </w:rPr>
        <w:t xml:space="preserve"> </w:t>
      </w:r>
      <w:r w:rsidRPr="00DD1B58">
        <w:rPr>
          <w:noProof/>
          <w:lang w:val="en-US"/>
        </w:rPr>
        <w:t>(NSPs).</w:t>
      </w:r>
    </w:p>
    <w:p w14:paraId="11831B2C" w14:textId="73373341" w:rsidR="1290CF00" w:rsidRPr="00DD1B58" w:rsidRDefault="1290CF00" w:rsidP="78D4B34E">
      <w:pPr>
        <w:rPr>
          <w:lang w:val="en-US"/>
        </w:rPr>
      </w:pPr>
      <w:r w:rsidRPr="00DD1B58">
        <w:rPr>
          <w:b/>
          <w:noProof/>
          <w:lang w:val="en-US"/>
        </w:rPr>
        <w:t>First Generation AGRs (</w:t>
      </w:r>
      <w:r w:rsidR="004A0B35" w:rsidRPr="00DD1B58">
        <w:rPr>
          <w:b/>
          <w:noProof/>
          <w:lang w:val="en-US"/>
        </w:rPr>
        <w:t>HN</w:t>
      </w:r>
      <w:r w:rsidRPr="00DD1B58">
        <w:rPr>
          <w:b/>
          <w:noProof/>
          <w:lang w:val="en-US"/>
        </w:rPr>
        <w:t>B)</w:t>
      </w:r>
      <w:r w:rsidR="00E45F97" w:rsidRPr="00DD1B58">
        <w:rPr>
          <w:b/>
          <w:noProof/>
          <w:lang w:val="en-US"/>
        </w:rPr>
        <w:t xml:space="preserve"> </w:t>
      </w:r>
      <w:r w:rsidR="0068227F" w:rsidRPr="00DD1B58">
        <w:rPr>
          <w:b/>
          <w:noProof/>
          <w:lang w:val="en-US"/>
        </w:rPr>
        <w:t>–</w:t>
      </w:r>
      <w:r w:rsidR="00E45F97" w:rsidRPr="00DD1B58">
        <w:rPr>
          <w:bCs/>
          <w:noProof/>
          <w:lang w:val="en-US"/>
        </w:rPr>
        <w:t xml:space="preserve"> </w:t>
      </w:r>
      <w:r w:rsidRPr="00DD1B58">
        <w:rPr>
          <w:noProof/>
          <w:lang w:val="en-US"/>
        </w:rPr>
        <w:t>At HNB the main cable rays running around the reactor are split into 4 quadrants by the application of</w:t>
      </w:r>
      <w:r w:rsidR="00D97208" w:rsidRPr="00DD1B58">
        <w:rPr>
          <w:noProof/>
          <w:lang w:val="en-US"/>
        </w:rPr>
        <w:t xml:space="preserve"> </w:t>
      </w:r>
      <w:r w:rsidRPr="00DD1B58">
        <w:rPr>
          <w:noProof/>
          <w:lang w:val="en-US"/>
        </w:rPr>
        <w:t>four sections of fire rated materials which prevent a fire on one the tray from spreading and affecting</w:t>
      </w:r>
      <w:r w:rsidR="4BC21899" w:rsidRPr="00DD1B58">
        <w:rPr>
          <w:noProof/>
          <w:lang w:val="en-US"/>
        </w:rPr>
        <w:t xml:space="preserve"> </w:t>
      </w:r>
      <w:r w:rsidRPr="00DD1B58">
        <w:rPr>
          <w:noProof/>
          <w:lang w:val="en-US"/>
        </w:rPr>
        <w:t xml:space="preserve">another of the four quadrants of plan. </w:t>
      </w:r>
      <w:r w:rsidR="007955BF" w:rsidRPr="00DD1B58">
        <w:rPr>
          <w:noProof/>
          <w:lang w:val="en-US"/>
        </w:rPr>
        <w:t>EDF NGL</w:t>
      </w:r>
      <w:r w:rsidRPr="00DD1B58">
        <w:rPr>
          <w:noProof/>
          <w:lang w:val="en-US"/>
        </w:rPr>
        <w:t xml:space="preserve"> claime</w:t>
      </w:r>
      <w:r w:rsidR="007955BF" w:rsidRPr="00DD1B58">
        <w:rPr>
          <w:noProof/>
          <w:lang w:val="en-US"/>
        </w:rPr>
        <w:t xml:space="preserve">s this </w:t>
      </w:r>
      <w:r w:rsidRPr="00DD1B58">
        <w:rPr>
          <w:noProof/>
          <w:lang w:val="en-US"/>
        </w:rPr>
        <w:t>for nuclear safety.</w:t>
      </w:r>
      <w:r w:rsidR="007955BF" w:rsidRPr="00DD1B58">
        <w:rPr>
          <w:noProof/>
          <w:lang w:val="en-US"/>
        </w:rPr>
        <w:t xml:space="preserve"> </w:t>
      </w:r>
      <w:r w:rsidRPr="00DD1B58">
        <w:rPr>
          <w:noProof/>
          <w:lang w:val="en-US"/>
        </w:rPr>
        <w:t>With regard to cable wrapping, this is not carried out on fire detection cabling, but only on cabling</w:t>
      </w:r>
      <w:r w:rsidR="5F43AFE7" w:rsidRPr="00DD1B58">
        <w:rPr>
          <w:noProof/>
          <w:lang w:val="en-US"/>
        </w:rPr>
        <w:t xml:space="preserve"> </w:t>
      </w:r>
      <w:r w:rsidRPr="00DD1B58">
        <w:rPr>
          <w:noProof/>
          <w:lang w:val="en-US"/>
        </w:rPr>
        <w:t>supplies to nuclear significant equipment.</w:t>
      </w:r>
    </w:p>
    <w:p w14:paraId="6DB62FF7" w14:textId="2CBD4399" w:rsidR="1290CF00" w:rsidRPr="00DD1B58" w:rsidRDefault="1290CF00" w:rsidP="78D4B34E">
      <w:pPr>
        <w:rPr>
          <w:lang w:val="en-US"/>
        </w:rPr>
      </w:pPr>
      <w:r w:rsidRPr="00DD1B58">
        <w:rPr>
          <w:b/>
          <w:noProof/>
          <w:lang w:val="en-US"/>
        </w:rPr>
        <w:t>Second Generation AGRs (</w:t>
      </w:r>
      <w:r w:rsidR="004A0B35" w:rsidRPr="00DD1B58">
        <w:rPr>
          <w:b/>
          <w:noProof/>
          <w:lang w:val="en-US"/>
        </w:rPr>
        <w:t>HY</w:t>
      </w:r>
      <w:r w:rsidRPr="00DD1B58">
        <w:rPr>
          <w:b/>
          <w:noProof/>
          <w:lang w:val="en-US"/>
        </w:rPr>
        <w:t>2)</w:t>
      </w:r>
      <w:r w:rsidR="00DD6722" w:rsidRPr="00DD1B58">
        <w:rPr>
          <w:b/>
          <w:noProof/>
          <w:lang w:val="en-US"/>
        </w:rPr>
        <w:t xml:space="preserve"> </w:t>
      </w:r>
      <w:r w:rsidR="0068227F" w:rsidRPr="00DD1B58">
        <w:rPr>
          <w:b/>
          <w:noProof/>
          <w:lang w:val="en-US"/>
        </w:rPr>
        <w:t>–</w:t>
      </w:r>
      <w:r w:rsidR="00DD6722" w:rsidRPr="00DD1B58">
        <w:rPr>
          <w:bCs/>
          <w:noProof/>
          <w:lang w:val="en-US"/>
        </w:rPr>
        <w:t xml:space="preserve"> </w:t>
      </w:r>
      <w:r w:rsidR="007955BF" w:rsidRPr="00DD1B58">
        <w:rPr>
          <w:bCs/>
          <w:noProof/>
          <w:lang w:val="en-US"/>
        </w:rPr>
        <w:t>EDF NGL report</w:t>
      </w:r>
      <w:r w:rsidR="00BA3FA3" w:rsidRPr="00DD1B58">
        <w:rPr>
          <w:bCs/>
          <w:noProof/>
          <w:lang w:val="en-US"/>
        </w:rPr>
        <w:t>s</w:t>
      </w:r>
      <w:r w:rsidR="007955BF" w:rsidRPr="00DD1B58">
        <w:rPr>
          <w:bCs/>
          <w:noProof/>
          <w:lang w:val="en-US"/>
        </w:rPr>
        <w:t xml:space="preserve"> that a</w:t>
      </w:r>
      <w:r w:rsidRPr="00DD1B58">
        <w:rPr>
          <w:bCs/>
          <w:noProof/>
          <w:lang w:val="en-US"/>
        </w:rPr>
        <w:t xml:space="preserve">ddressable detectors at HY2 are rated to suit the environment they are installed i.e. </w:t>
      </w:r>
      <w:r w:rsidR="00F81314" w:rsidRPr="00DD1B58">
        <w:rPr>
          <w:bCs/>
          <w:noProof/>
          <w:lang w:val="en-US"/>
        </w:rPr>
        <w:t>Ingress Protection (</w:t>
      </w:r>
      <w:r w:rsidRPr="00DD1B58">
        <w:rPr>
          <w:bCs/>
          <w:noProof/>
          <w:lang w:val="en-US"/>
        </w:rPr>
        <w:t>IP</w:t>
      </w:r>
      <w:r w:rsidR="00F81314" w:rsidRPr="00DD1B58">
        <w:rPr>
          <w:bCs/>
          <w:noProof/>
          <w:lang w:val="en-US"/>
        </w:rPr>
        <w:t>)</w:t>
      </w:r>
      <w:r w:rsidRPr="00DD1B58">
        <w:rPr>
          <w:bCs/>
          <w:noProof/>
          <w:lang w:val="en-US"/>
        </w:rPr>
        <w:t>21, IP32, and</w:t>
      </w:r>
      <w:r w:rsidR="07BF0148" w:rsidRPr="00DD1B58">
        <w:rPr>
          <w:bCs/>
          <w:noProof/>
          <w:lang w:val="en-US"/>
        </w:rPr>
        <w:t xml:space="preserve"> </w:t>
      </w:r>
      <w:r w:rsidRPr="00DD1B58">
        <w:rPr>
          <w:bCs/>
          <w:noProof/>
          <w:lang w:val="en-US"/>
        </w:rPr>
        <w:t>IP54. Sounders are rated IP31 and IP66.</w:t>
      </w:r>
    </w:p>
    <w:p w14:paraId="1A0C6468" w14:textId="24D911E0" w:rsidR="1290CF00" w:rsidRPr="00DD1B58" w:rsidRDefault="00EB02B3" w:rsidP="78D4B34E">
      <w:pPr>
        <w:rPr>
          <w:lang w:val="en-US"/>
        </w:rPr>
      </w:pPr>
      <w:r w:rsidRPr="00DD1B58">
        <w:rPr>
          <w:noProof/>
          <w:lang w:val="en-US"/>
        </w:rPr>
        <w:t>EDF NGL report</w:t>
      </w:r>
      <w:r w:rsidR="00367491" w:rsidRPr="00DD1B58">
        <w:rPr>
          <w:noProof/>
          <w:lang w:val="en-US"/>
        </w:rPr>
        <w:t>s</w:t>
      </w:r>
      <w:r w:rsidR="006D798B" w:rsidRPr="00DD1B58">
        <w:rPr>
          <w:noProof/>
          <w:lang w:val="en-US"/>
        </w:rPr>
        <w:t xml:space="preserve"> that</w:t>
      </w:r>
      <w:r w:rsidRPr="00DD1B58">
        <w:rPr>
          <w:noProof/>
          <w:lang w:val="en-US"/>
        </w:rPr>
        <w:t xml:space="preserve"> </w:t>
      </w:r>
      <w:r w:rsidR="1290CF00" w:rsidRPr="00DD1B58">
        <w:rPr>
          <w:noProof/>
          <w:lang w:val="en-US"/>
        </w:rPr>
        <w:t>LHDC Panels are located outside of the area they are protecting to maintain their integrity</w:t>
      </w:r>
      <w:r w:rsidRPr="00DD1B58">
        <w:rPr>
          <w:noProof/>
          <w:lang w:val="en-US"/>
        </w:rPr>
        <w:t xml:space="preserve"> and n</w:t>
      </w:r>
      <w:r w:rsidR="1290CF00" w:rsidRPr="00DD1B58">
        <w:rPr>
          <w:noProof/>
          <w:lang w:val="en-US"/>
        </w:rPr>
        <w:t>ew seals</w:t>
      </w:r>
      <w:r w:rsidR="30065580" w:rsidRPr="00DD1B58">
        <w:rPr>
          <w:noProof/>
          <w:lang w:val="en-US"/>
        </w:rPr>
        <w:t xml:space="preserve"> </w:t>
      </w:r>
      <w:r w:rsidR="1290CF00" w:rsidRPr="00DD1B58">
        <w:rPr>
          <w:noProof/>
          <w:lang w:val="en-US"/>
        </w:rPr>
        <w:t xml:space="preserve">have been fitted to the doors of LHDC panels where required as water ingress </w:t>
      </w:r>
      <w:r w:rsidRPr="00DD1B58">
        <w:rPr>
          <w:noProof/>
          <w:lang w:val="en-US"/>
        </w:rPr>
        <w:t xml:space="preserve">had </w:t>
      </w:r>
      <w:r w:rsidR="1290CF00" w:rsidRPr="00DD1B58">
        <w:rPr>
          <w:noProof/>
          <w:lang w:val="en-US"/>
        </w:rPr>
        <w:t>been found inside</w:t>
      </w:r>
      <w:r w:rsidR="38B95519" w:rsidRPr="00DD1B58">
        <w:rPr>
          <w:noProof/>
          <w:lang w:val="en-US"/>
        </w:rPr>
        <w:t xml:space="preserve"> </w:t>
      </w:r>
      <w:r w:rsidR="1290CF00" w:rsidRPr="00DD1B58">
        <w:rPr>
          <w:noProof/>
          <w:lang w:val="en-US"/>
        </w:rPr>
        <w:t>some panels.</w:t>
      </w:r>
      <w:r w:rsidRPr="00DD1B58">
        <w:rPr>
          <w:noProof/>
          <w:lang w:val="en-US"/>
        </w:rPr>
        <w:t>It also state</w:t>
      </w:r>
      <w:r w:rsidR="003220E2" w:rsidRPr="00DD1B58">
        <w:rPr>
          <w:noProof/>
          <w:lang w:val="en-US"/>
        </w:rPr>
        <w:t>s</w:t>
      </w:r>
      <w:r w:rsidRPr="00DD1B58">
        <w:rPr>
          <w:noProof/>
          <w:lang w:val="en-US"/>
        </w:rPr>
        <w:t xml:space="preserve"> that c</w:t>
      </w:r>
      <w:r w:rsidR="1290CF00" w:rsidRPr="00DD1B58">
        <w:rPr>
          <w:noProof/>
          <w:lang w:val="en-US"/>
        </w:rPr>
        <w:t>able races at HY2 are protected by Sprinklers and metron head devices which provide fast acting water</w:t>
      </w:r>
      <w:r w:rsidR="25676DA5" w:rsidRPr="00DD1B58">
        <w:rPr>
          <w:noProof/>
          <w:lang w:val="en-US"/>
        </w:rPr>
        <w:t xml:space="preserve"> </w:t>
      </w:r>
      <w:r w:rsidR="1290CF00" w:rsidRPr="00DD1B58">
        <w:rPr>
          <w:noProof/>
          <w:lang w:val="en-US"/>
        </w:rPr>
        <w:t xml:space="preserve">suppression. </w:t>
      </w:r>
      <w:r w:rsidRPr="00DD1B58">
        <w:rPr>
          <w:noProof/>
          <w:lang w:val="en-US"/>
        </w:rPr>
        <w:t>EDF NGL has</w:t>
      </w:r>
      <w:r w:rsidR="1290CF00" w:rsidRPr="00DD1B58">
        <w:rPr>
          <w:noProof/>
          <w:lang w:val="en-US"/>
        </w:rPr>
        <w:t xml:space="preserve"> no requirement for cable wrapping.</w:t>
      </w:r>
    </w:p>
    <w:p w14:paraId="6874A81F" w14:textId="1A9DB61D" w:rsidR="1290CF00" w:rsidRPr="00DD1B58" w:rsidRDefault="004A0B35" w:rsidP="78D4B34E">
      <w:pPr>
        <w:rPr>
          <w:lang w:val="en-US"/>
        </w:rPr>
      </w:pPr>
      <w:r w:rsidRPr="00DD1B58">
        <w:rPr>
          <w:b/>
          <w:noProof/>
          <w:lang w:val="en-US"/>
        </w:rPr>
        <w:t>SZ</w:t>
      </w:r>
      <w:r w:rsidR="1290CF00" w:rsidRPr="00DD1B58">
        <w:rPr>
          <w:b/>
          <w:noProof/>
          <w:lang w:val="en-US"/>
        </w:rPr>
        <w:t>B</w:t>
      </w:r>
      <w:r w:rsidR="00DD6722" w:rsidRPr="00DD1B58">
        <w:rPr>
          <w:b/>
          <w:noProof/>
          <w:lang w:val="en-US"/>
        </w:rPr>
        <w:t xml:space="preserve"> </w:t>
      </w:r>
      <w:r w:rsidR="0068227F" w:rsidRPr="00DD1B58">
        <w:rPr>
          <w:b/>
          <w:noProof/>
          <w:lang w:val="en-US"/>
        </w:rPr>
        <w:t>–</w:t>
      </w:r>
      <w:r w:rsidR="00DD6722" w:rsidRPr="00DD1B58">
        <w:rPr>
          <w:bCs/>
          <w:noProof/>
          <w:lang w:val="en-US"/>
        </w:rPr>
        <w:t xml:space="preserve"> </w:t>
      </w:r>
      <w:r w:rsidR="00EB02B3" w:rsidRPr="00DD1B58">
        <w:rPr>
          <w:bCs/>
          <w:noProof/>
          <w:lang w:val="en-US"/>
        </w:rPr>
        <w:t>EDF NGL report</w:t>
      </w:r>
      <w:r w:rsidR="00BA3FA3" w:rsidRPr="00DD1B58">
        <w:rPr>
          <w:bCs/>
          <w:noProof/>
          <w:lang w:val="en-US"/>
        </w:rPr>
        <w:t>s</w:t>
      </w:r>
      <w:r w:rsidR="00EB02B3" w:rsidRPr="00DD1B58">
        <w:rPr>
          <w:bCs/>
          <w:noProof/>
          <w:lang w:val="en-US"/>
        </w:rPr>
        <w:t xml:space="preserve"> that</w:t>
      </w:r>
      <w:r w:rsidR="00EB02B3" w:rsidRPr="00DD1B58">
        <w:rPr>
          <w:b/>
          <w:noProof/>
          <w:lang w:val="en-US"/>
        </w:rPr>
        <w:t xml:space="preserve">, </w:t>
      </w:r>
      <w:r w:rsidR="00EB02B3" w:rsidRPr="00DD1B58">
        <w:rPr>
          <w:noProof/>
          <w:lang w:val="en-US"/>
        </w:rPr>
        <w:t>i</w:t>
      </w:r>
      <w:r w:rsidR="1290CF00" w:rsidRPr="00DD1B58">
        <w:rPr>
          <w:noProof/>
          <w:lang w:val="en-US"/>
        </w:rPr>
        <w:t>n general, all major cables at SZB are segregated within the four respective fire areas. There are a small</w:t>
      </w:r>
      <w:r w:rsidR="4778DB17" w:rsidRPr="00DD1B58">
        <w:rPr>
          <w:noProof/>
          <w:lang w:val="en-US"/>
        </w:rPr>
        <w:t xml:space="preserve"> </w:t>
      </w:r>
      <w:r w:rsidR="1290CF00" w:rsidRPr="00DD1B58">
        <w:rPr>
          <w:noProof/>
          <w:lang w:val="en-US"/>
        </w:rPr>
        <w:t>number of cases where this was not possible due to redundancy requirements (i.e. it was necessary to</w:t>
      </w:r>
      <w:r w:rsidR="0AB5AFDF" w:rsidRPr="00DD1B58">
        <w:rPr>
          <w:noProof/>
          <w:lang w:val="en-US"/>
        </w:rPr>
        <w:t xml:space="preserve"> </w:t>
      </w:r>
      <w:r w:rsidR="1290CF00" w:rsidRPr="00DD1B58">
        <w:rPr>
          <w:noProof/>
          <w:lang w:val="en-US"/>
        </w:rPr>
        <w:t xml:space="preserve">locate a cable from another fire area to meet reliability requirements). </w:t>
      </w:r>
      <w:r w:rsidR="0060680E" w:rsidRPr="00DD1B58">
        <w:rPr>
          <w:noProof/>
          <w:lang w:val="en-US"/>
        </w:rPr>
        <w:t>EDF NGL state</w:t>
      </w:r>
      <w:r w:rsidR="00BA3FA3" w:rsidRPr="00DD1B58">
        <w:rPr>
          <w:noProof/>
          <w:lang w:val="en-US"/>
        </w:rPr>
        <w:t>s</w:t>
      </w:r>
      <w:r w:rsidR="0060680E" w:rsidRPr="00DD1B58">
        <w:rPr>
          <w:noProof/>
          <w:lang w:val="en-US"/>
        </w:rPr>
        <w:t xml:space="preserve"> that, w</w:t>
      </w:r>
      <w:r w:rsidR="1290CF00" w:rsidRPr="00DD1B58">
        <w:rPr>
          <w:noProof/>
          <w:lang w:val="en-US"/>
        </w:rPr>
        <w:t>here this was the case</w:t>
      </w:r>
      <w:r w:rsidR="0060680E" w:rsidRPr="00DD1B58">
        <w:rPr>
          <w:noProof/>
          <w:lang w:val="en-US"/>
        </w:rPr>
        <w:t>,</w:t>
      </w:r>
      <w:r w:rsidR="1290CF00" w:rsidRPr="00DD1B58">
        <w:rPr>
          <w:noProof/>
          <w:lang w:val="en-US"/>
        </w:rPr>
        <w:t xml:space="preserve"> the cables</w:t>
      </w:r>
      <w:r w:rsidR="4BB931B4" w:rsidRPr="00DD1B58">
        <w:rPr>
          <w:noProof/>
          <w:lang w:val="en-US"/>
        </w:rPr>
        <w:t xml:space="preserve"> </w:t>
      </w:r>
      <w:r w:rsidR="1290CF00" w:rsidRPr="00DD1B58">
        <w:rPr>
          <w:noProof/>
          <w:lang w:val="en-US"/>
        </w:rPr>
        <w:t>were boxed in using a three</w:t>
      </w:r>
      <w:r w:rsidR="0060680E" w:rsidRPr="00DD1B58">
        <w:rPr>
          <w:noProof/>
          <w:lang w:val="en-US"/>
        </w:rPr>
        <w:t>-</w:t>
      </w:r>
      <w:r w:rsidR="1290CF00" w:rsidRPr="00DD1B58">
        <w:rPr>
          <w:noProof/>
          <w:lang w:val="en-US"/>
        </w:rPr>
        <w:t>hour fire barrier. The required fire segregation was therefore maintained.</w:t>
      </w:r>
      <w:r w:rsidR="54C2F244" w:rsidRPr="00DD1B58">
        <w:rPr>
          <w:noProof/>
          <w:lang w:val="en-US"/>
        </w:rPr>
        <w:t xml:space="preserve"> </w:t>
      </w:r>
      <w:r w:rsidR="1290CF00" w:rsidRPr="00DD1B58">
        <w:rPr>
          <w:noProof/>
          <w:lang w:val="en-US"/>
        </w:rPr>
        <w:t>There currently are no examples of cable wrapping on the station.</w:t>
      </w:r>
    </w:p>
    <w:p w14:paraId="5E629765" w14:textId="77777777" w:rsidR="579C4A95" w:rsidRPr="00DD1B58" w:rsidRDefault="1290CF00" w:rsidP="00177432">
      <w:pPr>
        <w:pStyle w:val="Heading5A"/>
        <w:numPr>
          <w:ilvl w:val="5"/>
          <w:numId w:val="7"/>
        </w:numPr>
        <w:rPr>
          <w:lang w:val="en-US"/>
        </w:rPr>
      </w:pPr>
      <w:r w:rsidRPr="00DD1B58">
        <w:rPr>
          <w:lang w:val="en-US"/>
        </w:rPr>
        <w:t>EMIT Claims</w:t>
      </w:r>
    </w:p>
    <w:p w14:paraId="0756F608" w14:textId="185DB993" w:rsidR="1290CF00" w:rsidRPr="00DD1B58" w:rsidRDefault="1290CF00" w:rsidP="78D4B34E">
      <w:pPr>
        <w:rPr>
          <w:lang w:val="en-US"/>
        </w:rPr>
      </w:pPr>
      <w:r w:rsidRPr="00DD1B58">
        <w:rPr>
          <w:b/>
          <w:noProof/>
          <w:lang w:val="en-US"/>
        </w:rPr>
        <w:t>General</w:t>
      </w:r>
      <w:r w:rsidR="00F56820" w:rsidRPr="00DD1B58">
        <w:rPr>
          <w:b/>
          <w:noProof/>
          <w:lang w:val="en-US"/>
        </w:rPr>
        <w:t xml:space="preserve"> </w:t>
      </w:r>
      <w:r w:rsidR="0068227F" w:rsidRPr="00DD1B58">
        <w:rPr>
          <w:b/>
          <w:noProof/>
          <w:lang w:val="en-US"/>
        </w:rPr>
        <w:t>–</w:t>
      </w:r>
      <w:r w:rsidR="00F56820" w:rsidRPr="00DD1B58">
        <w:rPr>
          <w:b/>
          <w:noProof/>
          <w:lang w:val="en-US"/>
        </w:rPr>
        <w:t xml:space="preserve"> </w:t>
      </w:r>
      <w:r w:rsidRPr="00DD1B58">
        <w:rPr>
          <w:noProof/>
          <w:lang w:val="en-US"/>
        </w:rPr>
        <w:t xml:space="preserve">In general, one of the main means </w:t>
      </w:r>
      <w:r w:rsidR="00C362CA" w:rsidRPr="00DD1B58">
        <w:rPr>
          <w:noProof/>
          <w:lang w:val="en-US"/>
        </w:rPr>
        <w:t>EDF NGL</w:t>
      </w:r>
      <w:r w:rsidRPr="00DD1B58">
        <w:rPr>
          <w:noProof/>
          <w:lang w:val="en-US"/>
        </w:rPr>
        <w:t xml:space="preserve"> uses to satisfy Licence Condition (LC) 28 is</w:t>
      </w:r>
      <w:r w:rsidR="684E6022" w:rsidRPr="00DD1B58">
        <w:rPr>
          <w:noProof/>
          <w:lang w:val="en-US"/>
        </w:rPr>
        <w:t xml:space="preserve"> </w:t>
      </w:r>
      <w:r w:rsidRPr="00DD1B58">
        <w:rPr>
          <w:noProof/>
          <w:lang w:val="en-US"/>
        </w:rPr>
        <w:t>through the implementation of Equipment Reliability (ER) requirements. Compliance Arrangements</w:t>
      </w:r>
      <w:r w:rsidR="2E19BD0B" w:rsidRPr="00DD1B58">
        <w:rPr>
          <w:noProof/>
          <w:lang w:val="en-US"/>
        </w:rPr>
        <w:t xml:space="preserve"> </w:t>
      </w:r>
      <w:r w:rsidRPr="00DD1B58">
        <w:rPr>
          <w:noProof/>
          <w:lang w:val="en-US"/>
        </w:rPr>
        <w:t>for LC28 are addressed in company documentation, which summarises the process documents that</w:t>
      </w:r>
      <w:r w:rsidR="1BCB91C1" w:rsidRPr="00DD1B58">
        <w:rPr>
          <w:noProof/>
          <w:lang w:val="en-US"/>
        </w:rPr>
        <w:t xml:space="preserve"> </w:t>
      </w:r>
      <w:r w:rsidRPr="00DD1B58">
        <w:rPr>
          <w:noProof/>
          <w:lang w:val="en-US"/>
        </w:rPr>
        <w:t xml:space="preserve">satisfy the different elements of LC28. </w:t>
      </w:r>
      <w:r w:rsidR="004A5C13" w:rsidRPr="00DD1B58">
        <w:rPr>
          <w:noProof/>
          <w:lang w:val="en-US"/>
        </w:rPr>
        <w:t>EDF NGL confirm</w:t>
      </w:r>
      <w:r w:rsidR="007C3BF0" w:rsidRPr="00DD1B58">
        <w:rPr>
          <w:noProof/>
          <w:lang w:val="en-US"/>
        </w:rPr>
        <w:t>s</w:t>
      </w:r>
      <w:r w:rsidR="004A5C13" w:rsidRPr="00DD1B58">
        <w:rPr>
          <w:noProof/>
          <w:lang w:val="en-US"/>
        </w:rPr>
        <w:t xml:space="preserve"> that any </w:t>
      </w:r>
      <w:r w:rsidRPr="00DD1B58">
        <w:rPr>
          <w:noProof/>
          <w:lang w:val="en-US"/>
        </w:rPr>
        <w:t>fire protection systems that are claimed in the nuclear safety</w:t>
      </w:r>
      <w:r w:rsidR="48EF9B2D" w:rsidRPr="00DD1B58">
        <w:rPr>
          <w:noProof/>
          <w:lang w:val="en-US"/>
        </w:rPr>
        <w:t xml:space="preserve"> </w:t>
      </w:r>
      <w:r w:rsidRPr="00DD1B58">
        <w:rPr>
          <w:noProof/>
          <w:lang w:val="en-US"/>
        </w:rPr>
        <w:t>case are included in the EMIT schedule.</w:t>
      </w:r>
    </w:p>
    <w:p w14:paraId="2E293972" w14:textId="11C02549" w:rsidR="1290CF00" w:rsidRPr="00DD1B58" w:rsidRDefault="004A5C13" w:rsidP="78D4B34E">
      <w:pPr>
        <w:rPr>
          <w:lang w:val="en-US"/>
        </w:rPr>
      </w:pPr>
      <w:r w:rsidRPr="00DD1B58">
        <w:rPr>
          <w:noProof/>
          <w:lang w:val="en-US"/>
        </w:rPr>
        <w:t>EDF NGL</w:t>
      </w:r>
      <w:r w:rsidR="1290CF00" w:rsidRPr="00DD1B58">
        <w:rPr>
          <w:noProof/>
          <w:lang w:val="en-US"/>
        </w:rPr>
        <w:t xml:space="preserve"> note</w:t>
      </w:r>
      <w:r w:rsidR="007C3BF0" w:rsidRPr="00DD1B58">
        <w:rPr>
          <w:noProof/>
          <w:lang w:val="en-US"/>
        </w:rPr>
        <w:t>s</w:t>
      </w:r>
      <w:r w:rsidR="1290CF00" w:rsidRPr="00DD1B58">
        <w:rPr>
          <w:noProof/>
          <w:lang w:val="en-US"/>
        </w:rPr>
        <w:t xml:space="preserve"> that LC28</w:t>
      </w:r>
      <w:r w:rsidR="00BB2F1A" w:rsidRPr="00DD1B58">
        <w:rPr>
          <w:noProof/>
          <w:lang w:val="en-US"/>
        </w:rPr>
        <w:t xml:space="preserve"> </w:t>
      </w:r>
      <w:r w:rsidR="00AF24E5" w:rsidRPr="00DD1B58">
        <w:rPr>
          <w:noProof/>
          <w:lang w:val="en-US"/>
        </w:rPr>
        <w:t>–</w:t>
      </w:r>
      <w:r w:rsidR="00BB2F1A" w:rsidRPr="00DD1B58">
        <w:rPr>
          <w:noProof/>
          <w:lang w:val="en-US"/>
        </w:rPr>
        <w:t xml:space="preserve"> </w:t>
      </w:r>
      <w:r w:rsidR="00AF24E5" w:rsidRPr="00DD1B58">
        <w:rPr>
          <w:noProof/>
          <w:lang w:val="en-US"/>
        </w:rPr>
        <w:t xml:space="preserve">Examination, inspection, maintenance and testing, </w:t>
      </w:r>
      <w:r w:rsidR="1290CF00" w:rsidRPr="00DD1B58">
        <w:rPr>
          <w:noProof/>
          <w:lang w:val="en-US"/>
        </w:rPr>
        <w:t xml:space="preserve"> is not just about the nuclear safety case, the EMIT definition used is ‘systems</w:t>
      </w:r>
      <w:r w:rsidR="4CBA7485" w:rsidRPr="00DD1B58">
        <w:rPr>
          <w:noProof/>
          <w:lang w:val="en-US"/>
        </w:rPr>
        <w:t xml:space="preserve"> </w:t>
      </w:r>
      <w:r w:rsidR="1290CF00" w:rsidRPr="00DD1B58">
        <w:rPr>
          <w:noProof/>
          <w:lang w:val="en-US"/>
        </w:rPr>
        <w:t xml:space="preserve">which may affect safety’, i.e. not specifically nuclear safety. The </w:t>
      </w:r>
      <w:r w:rsidR="00C362CA" w:rsidRPr="00DD1B58">
        <w:rPr>
          <w:noProof/>
          <w:lang w:val="en-US"/>
        </w:rPr>
        <w:t>EDF NGL</w:t>
      </w:r>
      <w:r w:rsidR="1290CF00" w:rsidRPr="00DD1B58">
        <w:rPr>
          <w:noProof/>
          <w:lang w:val="en-US"/>
        </w:rPr>
        <w:t xml:space="preserve"> suite of fire</w:t>
      </w:r>
      <w:r w:rsidR="56185739" w:rsidRPr="00DD1B58">
        <w:rPr>
          <w:noProof/>
          <w:lang w:val="en-US"/>
        </w:rPr>
        <w:t xml:space="preserve"> engineering documents detail the different aspects of ER process, covering things such as ER Reviews, Plant Walkdowns, Component Criticality, Maintenance Strategy etc.</w:t>
      </w:r>
    </w:p>
    <w:p w14:paraId="7E8D8827" w14:textId="13631C91" w:rsidR="56185739" w:rsidRPr="00DD1B58" w:rsidRDefault="004A5C13" w:rsidP="78D4B34E">
      <w:pPr>
        <w:rPr>
          <w:lang w:val="en-US"/>
        </w:rPr>
      </w:pPr>
      <w:r w:rsidRPr="00DD1B58">
        <w:rPr>
          <w:noProof/>
          <w:lang w:val="en-US"/>
        </w:rPr>
        <w:t>EDF NGL state</w:t>
      </w:r>
      <w:r w:rsidR="007C3BF0" w:rsidRPr="00DD1B58">
        <w:rPr>
          <w:noProof/>
          <w:lang w:val="en-US"/>
        </w:rPr>
        <w:t>s</w:t>
      </w:r>
      <w:r w:rsidRPr="00DD1B58">
        <w:rPr>
          <w:noProof/>
          <w:lang w:val="en-US"/>
        </w:rPr>
        <w:t xml:space="preserve"> that the </w:t>
      </w:r>
      <w:r w:rsidR="56185739" w:rsidRPr="00DD1B58">
        <w:rPr>
          <w:noProof/>
          <w:lang w:val="en-US"/>
        </w:rPr>
        <w:t>systematic application of ER (in addition to appropriate safety case management for identification and implementation of safety case-related routines/activities) ensures that the appropriate maintenance, inspection, testing etc. is in-place for the particular system/plant area. Civil Fire barrier inspections are included in the above ER activities.</w:t>
      </w:r>
    </w:p>
    <w:p w14:paraId="16AD33C9" w14:textId="5C29130B" w:rsidR="56185739" w:rsidRPr="00DD1B58" w:rsidRDefault="000C2FCB" w:rsidP="78D4B34E">
      <w:pPr>
        <w:rPr>
          <w:lang w:val="en-US"/>
        </w:rPr>
      </w:pPr>
      <w:r w:rsidRPr="00DD1B58">
        <w:rPr>
          <w:noProof/>
          <w:lang w:val="en-US"/>
        </w:rPr>
        <w:t>EDF NGL report</w:t>
      </w:r>
      <w:r w:rsidR="007C3BF0" w:rsidRPr="00DD1B58">
        <w:rPr>
          <w:noProof/>
          <w:lang w:val="en-US"/>
        </w:rPr>
        <w:t>s</w:t>
      </w:r>
      <w:r w:rsidRPr="00DD1B58">
        <w:rPr>
          <w:noProof/>
          <w:lang w:val="en-US"/>
        </w:rPr>
        <w:t xml:space="preserve"> that there are</w:t>
      </w:r>
      <w:r w:rsidR="56185739" w:rsidRPr="00DD1B58">
        <w:rPr>
          <w:noProof/>
          <w:lang w:val="en-US"/>
        </w:rPr>
        <w:t xml:space="preserve"> site-specific arrangements in place</w:t>
      </w:r>
      <w:r w:rsidRPr="00DD1B58">
        <w:rPr>
          <w:noProof/>
          <w:lang w:val="en-US"/>
        </w:rPr>
        <w:t xml:space="preserve"> at each site</w:t>
      </w:r>
      <w:r w:rsidR="56185739" w:rsidRPr="00DD1B58">
        <w:rPr>
          <w:noProof/>
          <w:lang w:val="en-US"/>
        </w:rPr>
        <w:t xml:space="preserve">. There are a series of Equipment Reliability Reviews (ERRs) for the fire protection systems, which confirm the adequacy of the arrangements or identify corrective actions. These corrective actions are recorded and tracked using the station management system in the same way as all the other maintenance activities. </w:t>
      </w:r>
      <w:r w:rsidRPr="00DD1B58">
        <w:rPr>
          <w:noProof/>
          <w:lang w:val="en-US"/>
        </w:rPr>
        <w:t>EDF NGL state</w:t>
      </w:r>
      <w:r w:rsidR="003D5446" w:rsidRPr="00DD1B58">
        <w:rPr>
          <w:noProof/>
          <w:lang w:val="en-US"/>
        </w:rPr>
        <w:t>s</w:t>
      </w:r>
      <w:r w:rsidRPr="00DD1B58">
        <w:rPr>
          <w:noProof/>
          <w:lang w:val="en-US"/>
        </w:rPr>
        <w:t xml:space="preserve"> that p</w:t>
      </w:r>
      <w:r w:rsidR="56185739" w:rsidRPr="00DD1B58">
        <w:rPr>
          <w:noProof/>
          <w:lang w:val="en-US"/>
        </w:rPr>
        <w:t>eriodic ERRs are produced for all plant systems on each Station on a 3-yearly or 6-yearly basis, depending on the system significance</w:t>
      </w:r>
      <w:r w:rsidR="0080554F" w:rsidRPr="00DD1B58">
        <w:rPr>
          <w:noProof/>
          <w:lang w:val="en-US"/>
        </w:rPr>
        <w:t>, as defined in the</w:t>
      </w:r>
      <w:r w:rsidR="56185739" w:rsidRPr="00DD1B58">
        <w:rPr>
          <w:noProof/>
          <w:lang w:val="en-US"/>
        </w:rPr>
        <w:t xml:space="preserve"> relevant specification document.</w:t>
      </w:r>
    </w:p>
    <w:p w14:paraId="0DA863FD" w14:textId="77777777" w:rsidR="00657A30" w:rsidRPr="00DD1B58" w:rsidRDefault="00A2124C" w:rsidP="00177432">
      <w:pPr>
        <w:pStyle w:val="Heading5A"/>
        <w:numPr>
          <w:ilvl w:val="5"/>
          <w:numId w:val="7"/>
        </w:numPr>
        <w:rPr>
          <w:lang w:val="en-US"/>
        </w:rPr>
      </w:pPr>
      <w:r w:rsidRPr="00DD1B58">
        <w:rPr>
          <w:lang w:val="en-US"/>
        </w:rPr>
        <w:t>Alternative/temporary provisions</w:t>
      </w:r>
    </w:p>
    <w:p w14:paraId="10109CB5" w14:textId="78C15A56" w:rsidR="00FC3D2C" w:rsidRPr="00DD1B58" w:rsidRDefault="1B3C2EF1" w:rsidP="78D4B34E">
      <w:pPr>
        <w:rPr>
          <w:lang w:val="en-US"/>
        </w:rPr>
      </w:pPr>
      <w:r w:rsidRPr="00DD1B58">
        <w:rPr>
          <w:b/>
          <w:noProof/>
          <w:lang w:val="en-US"/>
        </w:rPr>
        <w:t>General</w:t>
      </w:r>
      <w:r w:rsidR="00F56820" w:rsidRPr="00DD1B58">
        <w:rPr>
          <w:b/>
          <w:noProof/>
          <w:lang w:val="en-US"/>
        </w:rPr>
        <w:t xml:space="preserve"> </w:t>
      </w:r>
      <w:r w:rsidR="0068227F" w:rsidRPr="00DD1B58">
        <w:rPr>
          <w:b/>
          <w:noProof/>
          <w:lang w:val="en-US"/>
        </w:rPr>
        <w:t>–</w:t>
      </w:r>
      <w:r w:rsidR="00F56820" w:rsidRPr="00DD1B58">
        <w:rPr>
          <w:b/>
          <w:noProof/>
          <w:lang w:val="en-US"/>
        </w:rPr>
        <w:t xml:space="preserve"> </w:t>
      </w:r>
      <w:r w:rsidRPr="00DD1B58">
        <w:rPr>
          <w:noProof/>
          <w:lang w:val="en-US"/>
        </w:rPr>
        <w:t xml:space="preserve">This topic is addressed in company documentation which considers impairment of fire protection systems. This sets out the requirements and procedures to be followed when a fire protection system (active, passive or semi-passive) is impaired (i.e. taken out of service or otherwise changed so that its effectiveness is reduced). It provides a formal process to meet </w:t>
      </w:r>
      <w:r w:rsidR="00C362CA" w:rsidRPr="00DD1B58">
        <w:rPr>
          <w:noProof/>
          <w:lang w:val="en-US"/>
        </w:rPr>
        <w:t>EDF NGL</w:t>
      </w:r>
      <w:r w:rsidRPr="00DD1B58">
        <w:rPr>
          <w:noProof/>
          <w:lang w:val="en-US"/>
        </w:rPr>
        <w:t xml:space="preserve"> insurers’ requirements for the provision of suitable compensatory measures to be implemented when fire systems are impaired as a result of either planned or unplanned maintenance, or by discovery of a defect.</w:t>
      </w:r>
    </w:p>
    <w:p w14:paraId="68587D48" w14:textId="77777777" w:rsidR="00FC3D2C" w:rsidRPr="00DD1B58" w:rsidRDefault="1B3C2EF1" w:rsidP="78D4B34E">
      <w:pPr>
        <w:rPr>
          <w:lang w:val="en-US"/>
        </w:rPr>
      </w:pPr>
      <w:r w:rsidRPr="00DD1B58">
        <w:rPr>
          <w:noProof/>
          <w:lang w:val="en-US"/>
        </w:rPr>
        <w:t>In addition, it provides support to Technical Specification requirements for additional fire prevention measures when called for, and where these need expanding and detailing. It provides a means of recording and implementing the means of reducing and controlling the increased risk from fire when systems are taken out of service.</w:t>
      </w:r>
    </w:p>
    <w:p w14:paraId="25CB0F78" w14:textId="3E5434BD" w:rsidR="00FC3D2C" w:rsidRPr="00DD1B58" w:rsidRDefault="1B3C2EF1" w:rsidP="78D4B34E">
      <w:pPr>
        <w:rPr>
          <w:lang w:val="en-US"/>
        </w:rPr>
      </w:pPr>
      <w:r w:rsidRPr="00DD1B58">
        <w:rPr>
          <w:noProof/>
          <w:lang w:val="en-US"/>
        </w:rPr>
        <w:t xml:space="preserve">The arrangements and responsibilities for notifying the local Fire and Rescue Service and </w:t>
      </w:r>
      <w:r w:rsidR="00C362CA" w:rsidRPr="00DD1B58">
        <w:rPr>
          <w:noProof/>
          <w:lang w:val="en-US"/>
        </w:rPr>
        <w:t>EDF NGL</w:t>
      </w:r>
      <w:r w:rsidRPr="00DD1B58">
        <w:rPr>
          <w:noProof/>
          <w:lang w:val="en-US"/>
        </w:rPr>
        <w:t xml:space="preserve"> Insurance Group when a major fire system is out of service in excess of a pre-determined time period (e.g. cable flat water spray fire system) are also set out.</w:t>
      </w:r>
    </w:p>
    <w:p w14:paraId="7A1D400A" w14:textId="3CEF92F9" w:rsidR="00FC3D2C" w:rsidRPr="00DD1B58" w:rsidRDefault="1B3C2EF1" w:rsidP="78D4B34E">
      <w:pPr>
        <w:rPr>
          <w:lang w:val="en-US"/>
        </w:rPr>
      </w:pPr>
      <w:r w:rsidRPr="00DD1B58">
        <w:rPr>
          <w:noProof/>
          <w:lang w:val="en-US"/>
        </w:rPr>
        <w:t>Alternative provisions are assessed and deployed by means of fire risk assessments with reference to Technical Specification requirements and company specifications, which detail the period of time a detection and alarm system may be isolated and necessary compensatory measures to be deployed during the period of isolation or unavailability.</w:t>
      </w:r>
      <w:r w:rsidR="2C8006B6" w:rsidRPr="00DD1B58">
        <w:rPr>
          <w:noProof/>
          <w:lang w:val="en-US"/>
        </w:rPr>
        <w:t xml:space="preserve"> Further detail is provided in the licensee </w:t>
      </w:r>
      <w:r w:rsidR="00925B9D" w:rsidRPr="00DD1B58">
        <w:rPr>
          <w:noProof/>
          <w:lang w:val="en-US"/>
        </w:rPr>
        <w:t xml:space="preserve">self-assessment </w:t>
      </w:r>
      <w:sdt>
        <w:sdtPr>
          <w:rPr>
            <w:noProof/>
            <w:lang w:val="en-US"/>
          </w:rPr>
          <w:id w:val="-1979450598"/>
          <w:citation/>
        </w:sdtPr>
        <w:sdtContent>
          <w:r w:rsidR="008A2158" w:rsidRPr="00DD1B58">
            <w:rPr>
              <w:noProof/>
              <w:lang w:val="en-US"/>
            </w:rPr>
            <w:fldChar w:fldCharType="begin"/>
          </w:r>
          <w:r w:rsidR="008A2158" w:rsidRPr="00DD1B58">
            <w:rPr>
              <w:noProof/>
              <w:lang w:val="en-US"/>
            </w:rPr>
            <w:instrText xml:space="preserve"> CITATION EDF231 \l 2057 </w:instrText>
          </w:r>
          <w:r w:rsidR="008A2158" w:rsidRPr="00DD1B58">
            <w:rPr>
              <w:noProof/>
              <w:lang w:val="en-US"/>
            </w:rPr>
            <w:fldChar w:fldCharType="separate"/>
          </w:r>
          <w:r w:rsidR="00DF47DA" w:rsidRPr="00DF47DA">
            <w:rPr>
              <w:noProof/>
              <w:lang w:val="en-US"/>
            </w:rPr>
            <w:t>[25]</w:t>
          </w:r>
          <w:r w:rsidR="008A2158" w:rsidRPr="00DD1B58">
            <w:rPr>
              <w:noProof/>
              <w:lang w:val="en-US"/>
            </w:rPr>
            <w:fldChar w:fldCharType="end"/>
          </w:r>
        </w:sdtContent>
      </w:sdt>
      <w:r w:rsidR="008A2158" w:rsidRPr="00DD1B58">
        <w:rPr>
          <w:noProof/>
          <w:lang w:val="en-US"/>
        </w:rPr>
        <w:t>.</w:t>
      </w:r>
    </w:p>
    <w:p w14:paraId="4F2EAA7B" w14:textId="7FB60276" w:rsidR="00FC3D2C" w:rsidRPr="00DD1B58" w:rsidRDefault="00BC29E6" w:rsidP="78D4B34E">
      <w:pPr>
        <w:rPr>
          <w:noProof/>
          <w:szCs w:val="24"/>
          <w:lang w:val="en-US"/>
        </w:rPr>
      </w:pPr>
      <w:r w:rsidRPr="00DD1B58">
        <w:rPr>
          <w:noProof/>
          <w:lang w:val="en-US"/>
        </w:rPr>
        <w:t>EDF NGL report</w:t>
      </w:r>
      <w:r w:rsidR="003D5446" w:rsidRPr="00DD1B58">
        <w:rPr>
          <w:noProof/>
          <w:lang w:val="en-US"/>
        </w:rPr>
        <w:t>s</w:t>
      </w:r>
      <w:r w:rsidRPr="00DD1B58">
        <w:rPr>
          <w:noProof/>
          <w:lang w:val="en-US"/>
        </w:rPr>
        <w:t xml:space="preserve"> that f</w:t>
      </w:r>
      <w:r w:rsidR="1B3C2EF1" w:rsidRPr="00DD1B58">
        <w:rPr>
          <w:noProof/>
          <w:lang w:val="en-US"/>
        </w:rPr>
        <w:t xml:space="preserve">ire detection maintenance </w:t>
      </w:r>
      <w:r w:rsidRPr="00DD1B58">
        <w:rPr>
          <w:noProof/>
          <w:lang w:val="en-US"/>
        </w:rPr>
        <w:t>is</w:t>
      </w:r>
      <w:r w:rsidR="1B3C2EF1" w:rsidRPr="00DD1B58">
        <w:rPr>
          <w:noProof/>
          <w:lang w:val="en-US"/>
        </w:rPr>
        <w:t xml:space="preserve"> carried out</w:t>
      </w:r>
      <w:r w:rsidRPr="00DD1B58">
        <w:rPr>
          <w:noProof/>
          <w:lang w:val="en-US"/>
        </w:rPr>
        <w:t xml:space="preserve"> at intervals in</w:t>
      </w:r>
      <w:r w:rsidR="1B3C2EF1" w:rsidRPr="00DD1B58">
        <w:rPr>
          <w:noProof/>
          <w:lang w:val="en-US"/>
        </w:rPr>
        <w:t xml:space="preserve"> </w:t>
      </w:r>
      <w:r w:rsidRPr="00DD1B58">
        <w:rPr>
          <w:noProof/>
          <w:lang w:val="en-US"/>
        </w:rPr>
        <w:t>accordance with</w:t>
      </w:r>
      <w:r w:rsidR="1B3C2EF1" w:rsidRPr="00DD1B58">
        <w:rPr>
          <w:noProof/>
          <w:lang w:val="en-US"/>
        </w:rPr>
        <w:t xml:space="preserve"> the relevant </w:t>
      </w:r>
      <w:r w:rsidR="00C362CA" w:rsidRPr="00DD1B58">
        <w:rPr>
          <w:noProof/>
          <w:lang w:val="en-US"/>
        </w:rPr>
        <w:t>EDF NGL</w:t>
      </w:r>
      <w:r w:rsidR="1B3C2EF1" w:rsidRPr="00DD1B58">
        <w:rPr>
          <w:noProof/>
          <w:lang w:val="en-US"/>
        </w:rPr>
        <w:t xml:space="preserve"> internal company technical standard. Within this standard the general rule is to follow British standards, however, there will be some deviations from this code or another guidance is utilised such as EPRI standards. Additionally, where any further deviations are required, an engineering advice note would be authored at a suitable verified grade, using a suitable guidance document.</w:t>
      </w:r>
    </w:p>
    <w:p w14:paraId="4C4F0B6C" w14:textId="77777777" w:rsidR="00FC3D2C" w:rsidRPr="00DD1B58" w:rsidRDefault="1B3C2EF1" w:rsidP="78D4B34E">
      <w:pPr>
        <w:rPr>
          <w:szCs w:val="24"/>
          <w:lang w:val="en-US"/>
        </w:rPr>
      </w:pPr>
      <w:r w:rsidRPr="00DD1B58">
        <w:rPr>
          <w:noProof/>
          <w:lang w:val="en-US"/>
        </w:rPr>
        <w:t>It is required that each station is compliant to a suitable audit scheme.</w:t>
      </w:r>
      <w:r w:rsidR="00FC3D2C" w:rsidRPr="00DD1B58">
        <w:rPr>
          <w:lang w:val="en-US"/>
        </w:rPr>
        <w:t xml:space="preserve"> </w:t>
      </w:r>
    </w:p>
    <w:p w14:paraId="0F7606CE" w14:textId="77777777" w:rsidR="610A9269" w:rsidRPr="00DD1B58" w:rsidRDefault="610A9269" w:rsidP="00177432">
      <w:pPr>
        <w:pStyle w:val="Heading5A"/>
        <w:rPr>
          <w:lang w:val="en-US"/>
        </w:rPr>
      </w:pPr>
      <w:r w:rsidRPr="00DD1B58">
        <w:rPr>
          <w:lang w:val="en-US"/>
        </w:rPr>
        <w:t>Fire Suppression provisions</w:t>
      </w:r>
    </w:p>
    <w:p w14:paraId="3DEFB4C6" w14:textId="77777777" w:rsidR="00FC3D2C" w:rsidRPr="00DD1B58" w:rsidRDefault="00E82F9C" w:rsidP="00177432">
      <w:pPr>
        <w:pStyle w:val="Heading5A"/>
        <w:numPr>
          <w:ilvl w:val="5"/>
          <w:numId w:val="7"/>
        </w:numPr>
        <w:rPr>
          <w:lang w:val="en-US"/>
        </w:rPr>
      </w:pPr>
      <w:r w:rsidRPr="00DD1B58">
        <w:rPr>
          <w:lang w:val="en-US"/>
        </w:rPr>
        <w:t>Design Approach</w:t>
      </w:r>
    </w:p>
    <w:p w14:paraId="2FF6E2A7" w14:textId="0205B651" w:rsidR="2683F5B1" w:rsidRPr="00DD1B58" w:rsidRDefault="2683F5B1" w:rsidP="001268CF">
      <w:pPr>
        <w:rPr>
          <w:lang w:val="en-US"/>
        </w:rPr>
      </w:pPr>
      <w:r w:rsidRPr="00DD1B58">
        <w:rPr>
          <w:b/>
          <w:lang w:val="en-US"/>
        </w:rPr>
        <w:t>General</w:t>
      </w:r>
      <w:r w:rsidR="00F56820" w:rsidRPr="00DD1B58">
        <w:rPr>
          <w:b/>
          <w:lang w:val="en-US"/>
        </w:rPr>
        <w:t xml:space="preserve"> </w:t>
      </w:r>
      <w:r w:rsidR="0068227F" w:rsidRPr="00DD1B58">
        <w:rPr>
          <w:b/>
          <w:noProof/>
          <w:lang w:val="en-US"/>
        </w:rPr>
        <w:t>–</w:t>
      </w:r>
      <w:r w:rsidR="00F56820" w:rsidRPr="00DD1B58">
        <w:rPr>
          <w:b/>
          <w:lang w:val="en-US"/>
        </w:rPr>
        <w:t xml:space="preserve"> </w:t>
      </w:r>
      <w:r w:rsidRPr="00DD1B58">
        <w:rPr>
          <w:lang w:val="en-US"/>
        </w:rPr>
        <w:t xml:space="preserve">Fire suppression standards for all the stations </w:t>
      </w:r>
      <w:r w:rsidR="003D5446" w:rsidRPr="00DD1B58">
        <w:rPr>
          <w:lang w:val="en-US"/>
        </w:rPr>
        <w:t xml:space="preserve">were </w:t>
      </w:r>
      <w:r w:rsidRPr="00DD1B58">
        <w:rPr>
          <w:lang w:val="en-US"/>
        </w:rPr>
        <w:t>defined by the then operator CEGB (Central Electricity</w:t>
      </w:r>
      <w:r w:rsidR="2AFE4717" w:rsidRPr="00DD1B58">
        <w:rPr>
          <w:lang w:val="en-US"/>
        </w:rPr>
        <w:t xml:space="preserve"> </w:t>
      </w:r>
      <w:r w:rsidRPr="00DD1B58">
        <w:rPr>
          <w:lang w:val="en-US"/>
        </w:rPr>
        <w:t>Generating Board). The water spray systems, whether within cable flats using water sprinklers with or</w:t>
      </w:r>
      <w:r w:rsidR="7B0B332C" w:rsidRPr="00DD1B58">
        <w:rPr>
          <w:lang w:val="en-US"/>
        </w:rPr>
        <w:t xml:space="preserve"> </w:t>
      </w:r>
      <w:r w:rsidRPr="00DD1B58">
        <w:rPr>
          <w:lang w:val="en-US"/>
        </w:rPr>
        <w:t>without LHDC (Linear Heating Detection Cable) or deluge systems with open head nozzles, were sized</w:t>
      </w:r>
      <w:r w:rsidR="48A78A46" w:rsidRPr="00DD1B58">
        <w:rPr>
          <w:lang w:val="en-US"/>
        </w:rPr>
        <w:t xml:space="preserve"> </w:t>
      </w:r>
      <w:r w:rsidRPr="00DD1B58">
        <w:rPr>
          <w:lang w:val="en-US"/>
        </w:rPr>
        <w:t>appropriately to ensure that fire growth could not spread, and as in the case of deluge systems the water</w:t>
      </w:r>
      <w:r w:rsidR="62CD6679" w:rsidRPr="00DD1B58">
        <w:rPr>
          <w:lang w:val="en-US"/>
        </w:rPr>
        <w:t xml:space="preserve"> </w:t>
      </w:r>
      <w:r w:rsidRPr="00DD1B58">
        <w:rPr>
          <w:lang w:val="en-US"/>
        </w:rPr>
        <w:t>would be of large enough quantity and velocity to extinguish any oil</w:t>
      </w:r>
      <w:r w:rsidR="005D5C50" w:rsidRPr="00DD1B58">
        <w:rPr>
          <w:lang w:val="en-US"/>
        </w:rPr>
        <w:t>/</w:t>
      </w:r>
      <w:r w:rsidRPr="00DD1B58">
        <w:rPr>
          <w:lang w:val="en-US"/>
        </w:rPr>
        <w:t xml:space="preserve">diesel fires that did start. </w:t>
      </w:r>
      <w:r w:rsidR="00FC0FDA" w:rsidRPr="00DD1B58">
        <w:rPr>
          <w:lang w:val="en-US"/>
        </w:rPr>
        <w:t xml:space="preserve">EDF-NGL considers that this </w:t>
      </w:r>
      <w:r w:rsidRPr="00DD1B58">
        <w:rPr>
          <w:lang w:val="en-US"/>
        </w:rPr>
        <w:t>is</w:t>
      </w:r>
      <w:r w:rsidR="0E6A32C2" w:rsidRPr="00DD1B58">
        <w:rPr>
          <w:lang w:val="en-US"/>
        </w:rPr>
        <w:t xml:space="preserve"> </w:t>
      </w:r>
      <w:r w:rsidRPr="00DD1B58">
        <w:rPr>
          <w:lang w:val="en-US"/>
        </w:rPr>
        <w:t>compliant with the IAEA reference Safety Standard No. SSG-64 ‘Protection against Internal Hazards</w:t>
      </w:r>
      <w:r w:rsidR="2C8A761F" w:rsidRPr="00DD1B58">
        <w:rPr>
          <w:lang w:val="en-US"/>
        </w:rPr>
        <w:t xml:space="preserve"> </w:t>
      </w:r>
      <w:r w:rsidRPr="00DD1B58">
        <w:rPr>
          <w:lang w:val="en-US"/>
        </w:rPr>
        <w:t>in the Design of Nuclear Power Plants’ which suggests that fire suppression should be installed to</w:t>
      </w:r>
      <w:r w:rsidR="0C89ED89" w:rsidRPr="00DD1B58">
        <w:rPr>
          <w:lang w:val="en-US"/>
        </w:rPr>
        <w:t xml:space="preserve"> </w:t>
      </w:r>
      <w:r w:rsidRPr="00DD1B58">
        <w:rPr>
          <w:lang w:val="en-US"/>
        </w:rPr>
        <w:t>quickly detect and extinguishing those fires which do start, and thus limit the damage.</w:t>
      </w:r>
      <w:r w:rsidR="254648FF" w:rsidRPr="00DD1B58">
        <w:rPr>
          <w:lang w:val="en-US"/>
        </w:rPr>
        <w:t xml:space="preserve"> </w:t>
      </w:r>
    </w:p>
    <w:p w14:paraId="2D61E887" w14:textId="27FBF469" w:rsidR="2683F5B1" w:rsidRPr="00DD1B58" w:rsidRDefault="00C362CA" w:rsidP="001268CF">
      <w:pPr>
        <w:rPr>
          <w:lang w:val="en-US"/>
        </w:rPr>
      </w:pPr>
      <w:r w:rsidRPr="00DD1B58">
        <w:rPr>
          <w:lang w:val="en-US"/>
        </w:rPr>
        <w:t>EDF NGL</w:t>
      </w:r>
      <w:r w:rsidR="2683F5B1" w:rsidRPr="00DD1B58">
        <w:rPr>
          <w:lang w:val="en-US"/>
        </w:rPr>
        <w:t xml:space="preserve"> </w:t>
      </w:r>
      <w:r w:rsidR="00A56C08" w:rsidRPr="00DD1B58">
        <w:rPr>
          <w:lang w:val="en-US"/>
        </w:rPr>
        <w:t xml:space="preserve">summarises the requirements in its </w:t>
      </w:r>
      <w:r w:rsidR="2683F5B1" w:rsidRPr="00DD1B58">
        <w:rPr>
          <w:lang w:val="en-US"/>
        </w:rPr>
        <w:t>own documentation on fire protection</w:t>
      </w:r>
      <w:r w:rsidR="0280D732" w:rsidRPr="00DD1B58">
        <w:rPr>
          <w:lang w:val="en-US"/>
        </w:rPr>
        <w:t xml:space="preserve"> </w:t>
      </w:r>
      <w:r w:rsidR="2683F5B1" w:rsidRPr="00DD1B58">
        <w:rPr>
          <w:lang w:val="en-US"/>
        </w:rPr>
        <w:t>and the management of water spray fire protection systems and firefighting ring mains.</w:t>
      </w:r>
    </w:p>
    <w:p w14:paraId="20223DF0" w14:textId="794AD3AF" w:rsidR="7EA930EC" w:rsidRPr="00DD1B58" w:rsidRDefault="00A56C08" w:rsidP="001268CF">
      <w:pPr>
        <w:rPr>
          <w:lang w:val="en-US"/>
        </w:rPr>
      </w:pPr>
      <w:r w:rsidRPr="00DD1B58">
        <w:rPr>
          <w:lang w:val="en-US"/>
        </w:rPr>
        <w:t xml:space="preserve">EDF NGL considers that </w:t>
      </w:r>
      <w:r w:rsidR="7EA930EC" w:rsidRPr="00DD1B58">
        <w:rPr>
          <w:lang w:val="en-US"/>
        </w:rPr>
        <w:t>engineering judgement for fire suppression</w:t>
      </w:r>
      <w:r w:rsidRPr="00DD1B58">
        <w:rPr>
          <w:lang w:val="en-US"/>
        </w:rPr>
        <w:t xml:space="preserve"> </w:t>
      </w:r>
      <w:r w:rsidR="7EA930EC" w:rsidRPr="00DD1B58">
        <w:rPr>
          <w:lang w:val="en-US"/>
        </w:rPr>
        <w:t>is not normally relevant</w:t>
      </w:r>
      <w:r w:rsidRPr="00DD1B58">
        <w:rPr>
          <w:lang w:val="en-US"/>
        </w:rPr>
        <w:t>,</w:t>
      </w:r>
      <w:r w:rsidR="7EA930EC" w:rsidRPr="00DD1B58">
        <w:rPr>
          <w:lang w:val="en-US"/>
        </w:rPr>
        <w:t xml:space="preserve"> as the water systems are always designed with the IAEA philosophy in mind by thir</w:t>
      </w:r>
      <w:r w:rsidR="00C94D74" w:rsidRPr="00DD1B58">
        <w:rPr>
          <w:lang w:val="en-US"/>
        </w:rPr>
        <w:t>d</w:t>
      </w:r>
      <w:r w:rsidRPr="00DD1B58">
        <w:rPr>
          <w:lang w:val="en-US"/>
        </w:rPr>
        <w:t>-</w:t>
      </w:r>
      <w:r w:rsidR="7EA930EC" w:rsidRPr="00DD1B58">
        <w:rPr>
          <w:lang w:val="en-US"/>
        </w:rPr>
        <w:t xml:space="preserve"> party accredited companies</w:t>
      </w:r>
      <w:r w:rsidRPr="00DD1B58">
        <w:rPr>
          <w:lang w:val="en-US"/>
        </w:rPr>
        <w:t xml:space="preserve"> and that </w:t>
      </w:r>
      <w:r w:rsidR="7EA930EC" w:rsidRPr="00DD1B58">
        <w:rPr>
          <w:lang w:val="en-US"/>
        </w:rPr>
        <w:t xml:space="preserve">is a mandatory requirement within </w:t>
      </w:r>
      <w:r w:rsidR="70B4289F" w:rsidRPr="00DD1B58">
        <w:rPr>
          <w:lang w:val="en-US"/>
        </w:rPr>
        <w:t>EDF NGL’s</w:t>
      </w:r>
      <w:r w:rsidR="7EA930EC" w:rsidRPr="00DD1B58">
        <w:rPr>
          <w:lang w:val="en-US"/>
        </w:rPr>
        <w:t xml:space="preserve"> internal Company Technical Standards.</w:t>
      </w:r>
      <w:r w:rsidR="00B11DDE" w:rsidRPr="00DD1B58">
        <w:rPr>
          <w:lang w:val="en-US"/>
        </w:rPr>
        <w:t xml:space="preserve"> </w:t>
      </w:r>
      <w:r w:rsidR="7EA930EC" w:rsidRPr="00DD1B58">
        <w:rPr>
          <w:lang w:val="en-US"/>
        </w:rPr>
        <w:t xml:space="preserve">In terms of standards for sprinkler systems, </w:t>
      </w:r>
      <w:r w:rsidR="00C362CA" w:rsidRPr="00DD1B58">
        <w:rPr>
          <w:lang w:val="en-US"/>
        </w:rPr>
        <w:t>EDF NGL</w:t>
      </w:r>
      <w:r w:rsidR="7EA930EC" w:rsidRPr="00DD1B58">
        <w:rPr>
          <w:lang w:val="en-US"/>
        </w:rPr>
        <w:t xml:space="preserve"> use</w:t>
      </w:r>
      <w:r w:rsidR="00C94D74" w:rsidRPr="00DD1B58">
        <w:rPr>
          <w:lang w:val="en-US"/>
        </w:rPr>
        <w:t>s</w:t>
      </w:r>
      <w:r w:rsidR="7EA930EC" w:rsidRPr="00DD1B58">
        <w:rPr>
          <w:lang w:val="en-US"/>
        </w:rPr>
        <w:t xml:space="preserve"> BS EN 12845:2015+A1:2019 </w:t>
      </w:r>
      <w:r w:rsidR="00C94D74" w:rsidRPr="00DD1B58">
        <w:rPr>
          <w:lang w:val="en-US"/>
        </w:rPr>
        <w:t>(</w:t>
      </w:r>
      <w:r w:rsidR="7EA930EC" w:rsidRPr="00DD1B58">
        <w:rPr>
          <w:lang w:val="en-US"/>
        </w:rPr>
        <w:t xml:space="preserve">Fixed </w:t>
      </w:r>
      <w:r w:rsidR="000019EA" w:rsidRPr="00DD1B58">
        <w:rPr>
          <w:lang w:val="en-US"/>
        </w:rPr>
        <w:t>F</w:t>
      </w:r>
      <w:r w:rsidR="7EA930EC" w:rsidRPr="00DD1B58">
        <w:rPr>
          <w:lang w:val="en-US"/>
        </w:rPr>
        <w:t xml:space="preserve">irefighting </w:t>
      </w:r>
      <w:r w:rsidR="000019EA" w:rsidRPr="00DD1B58">
        <w:rPr>
          <w:lang w:val="en-US"/>
        </w:rPr>
        <w:t>Systems</w:t>
      </w:r>
      <w:r w:rsidR="7EA930EC" w:rsidRPr="00DD1B58">
        <w:rPr>
          <w:lang w:val="en-US"/>
        </w:rPr>
        <w:t xml:space="preserve">. Automatic </w:t>
      </w:r>
      <w:r w:rsidR="000019EA" w:rsidRPr="00DD1B58">
        <w:rPr>
          <w:lang w:val="en-US"/>
        </w:rPr>
        <w:t>Sprinkler Systems</w:t>
      </w:r>
      <w:r w:rsidR="7EA930EC" w:rsidRPr="00DD1B58">
        <w:rPr>
          <w:lang w:val="en-US"/>
        </w:rPr>
        <w:t xml:space="preserve">, Design, </w:t>
      </w:r>
      <w:r w:rsidR="000019EA" w:rsidRPr="00DD1B58">
        <w:rPr>
          <w:lang w:val="en-US"/>
        </w:rPr>
        <w:t xml:space="preserve">Installation </w:t>
      </w:r>
      <w:r w:rsidR="7EA930EC" w:rsidRPr="00DD1B58">
        <w:rPr>
          <w:lang w:val="en-US"/>
        </w:rPr>
        <w:t xml:space="preserve">and </w:t>
      </w:r>
      <w:r w:rsidR="000019EA" w:rsidRPr="00DD1B58">
        <w:rPr>
          <w:lang w:val="en-US"/>
        </w:rPr>
        <w:t>Maintenance</w:t>
      </w:r>
      <w:r w:rsidR="00C94D74" w:rsidRPr="00DD1B58">
        <w:rPr>
          <w:lang w:val="en-US"/>
        </w:rPr>
        <w:t>)</w:t>
      </w:r>
      <w:r w:rsidR="003554D1" w:rsidRPr="00DD1B58">
        <w:rPr>
          <w:lang w:val="en-US"/>
        </w:rPr>
        <w:t xml:space="preserve"> </w:t>
      </w:r>
      <w:sdt>
        <w:sdtPr>
          <w:rPr>
            <w:lang w:val="en-US"/>
          </w:rPr>
          <w:id w:val="-204403025"/>
          <w:citation/>
        </w:sdtPr>
        <w:sdtContent>
          <w:r w:rsidR="00103F34" w:rsidRPr="00DD1B58">
            <w:rPr>
              <w:lang w:val="en-US"/>
            </w:rPr>
            <w:fldChar w:fldCharType="begin"/>
          </w:r>
          <w:r w:rsidR="00103F34" w:rsidRPr="00DD1B58">
            <w:rPr>
              <w:lang w:val="en-US"/>
            </w:rPr>
            <w:instrText xml:space="preserve"> CITATION Bri12845 \l 2057 </w:instrText>
          </w:r>
          <w:r w:rsidR="00103F34" w:rsidRPr="00DD1B58">
            <w:rPr>
              <w:lang w:val="en-US"/>
            </w:rPr>
            <w:fldChar w:fldCharType="separate"/>
          </w:r>
          <w:r w:rsidR="00DF47DA" w:rsidRPr="00DF47DA">
            <w:rPr>
              <w:noProof/>
              <w:lang w:val="en-US"/>
            </w:rPr>
            <w:t>[161]</w:t>
          </w:r>
          <w:r w:rsidR="00103F34" w:rsidRPr="00DD1B58">
            <w:rPr>
              <w:lang w:val="en-US"/>
            </w:rPr>
            <w:fldChar w:fldCharType="end"/>
          </w:r>
        </w:sdtContent>
      </w:sdt>
      <w:r w:rsidR="7EA930EC" w:rsidRPr="00DD1B58">
        <w:rPr>
          <w:lang w:val="en-US"/>
        </w:rPr>
        <w:t>.</w:t>
      </w:r>
    </w:p>
    <w:p w14:paraId="5CAEF12F" w14:textId="6796C01F" w:rsidR="7EA930EC" w:rsidRPr="00DD1B58" w:rsidRDefault="7EA930EC" w:rsidP="001268CF">
      <w:pPr>
        <w:rPr>
          <w:lang w:val="en-US"/>
        </w:rPr>
      </w:pPr>
      <w:r w:rsidRPr="00DD1B58">
        <w:rPr>
          <w:b/>
          <w:lang w:val="en-US"/>
        </w:rPr>
        <w:t>First Generation AGRs (</w:t>
      </w:r>
      <w:r w:rsidR="004A0B35" w:rsidRPr="00DD1B58">
        <w:rPr>
          <w:b/>
          <w:lang w:val="en-US"/>
        </w:rPr>
        <w:t>HN</w:t>
      </w:r>
      <w:r w:rsidRPr="00DD1B58">
        <w:rPr>
          <w:b/>
          <w:lang w:val="en-US"/>
        </w:rPr>
        <w:t>B)</w:t>
      </w:r>
      <w:r w:rsidR="009104A8" w:rsidRPr="00DD1B58">
        <w:rPr>
          <w:b/>
          <w:lang w:val="en-US"/>
        </w:rPr>
        <w:t xml:space="preserve"> </w:t>
      </w:r>
      <w:r w:rsidR="0068227F" w:rsidRPr="00DD1B58">
        <w:rPr>
          <w:b/>
          <w:noProof/>
          <w:lang w:val="en-US"/>
        </w:rPr>
        <w:t>–</w:t>
      </w:r>
      <w:r w:rsidR="009104A8" w:rsidRPr="00DD1B58">
        <w:rPr>
          <w:b/>
          <w:lang w:val="en-US"/>
        </w:rPr>
        <w:t xml:space="preserve"> </w:t>
      </w:r>
      <w:r w:rsidRPr="00DD1B58">
        <w:rPr>
          <w:lang w:val="en-US"/>
        </w:rPr>
        <w:t xml:space="preserve">The HNB design predates the Browns Ferry fire of 1975, thus has many more nuclear safety claims upon water spray systems. </w:t>
      </w:r>
      <w:r w:rsidR="002D59C7" w:rsidRPr="00DD1B58">
        <w:rPr>
          <w:lang w:val="en-US"/>
        </w:rPr>
        <w:t xml:space="preserve">As stated previously, it was </w:t>
      </w:r>
      <w:r w:rsidRPr="00DD1B58">
        <w:rPr>
          <w:lang w:val="en-US"/>
        </w:rPr>
        <w:t xml:space="preserve">designed more with the fire influence approach </w:t>
      </w:r>
      <w:r w:rsidR="002D59C7" w:rsidRPr="00DD1B58">
        <w:rPr>
          <w:lang w:val="en-US"/>
        </w:rPr>
        <w:t>when compared with</w:t>
      </w:r>
      <w:r w:rsidRPr="00DD1B58">
        <w:rPr>
          <w:lang w:val="en-US"/>
        </w:rPr>
        <w:t xml:space="preserve"> IAEA safety guide SSG-64 ‘Protection against Internal Hazards in the Design of Nuclear Power Plants’</w:t>
      </w:r>
      <w:r w:rsidR="002D59C7" w:rsidRPr="00DD1B58">
        <w:rPr>
          <w:lang w:val="en-US"/>
        </w:rPr>
        <w:t xml:space="preserve"> </w:t>
      </w:r>
      <w:sdt>
        <w:sdtPr>
          <w:rPr>
            <w:lang w:val="en-US"/>
          </w:rPr>
          <w:id w:val="-1342695104"/>
          <w:citation/>
        </w:sdtPr>
        <w:sdtContent>
          <w:r w:rsidR="002D59C7" w:rsidRPr="00DD1B58">
            <w:rPr>
              <w:lang w:val="en-US"/>
            </w:rPr>
            <w:fldChar w:fldCharType="begin"/>
          </w:r>
          <w:r w:rsidR="002D59C7" w:rsidRPr="00DD1B58">
            <w:rPr>
              <w:lang w:val="en-US"/>
            </w:rPr>
            <w:instrText xml:space="preserve"> CITATION IAE5 \l 2057 </w:instrText>
          </w:r>
          <w:r w:rsidR="002D59C7" w:rsidRPr="00DD1B58">
            <w:rPr>
              <w:lang w:val="en-US"/>
            </w:rPr>
            <w:fldChar w:fldCharType="separate"/>
          </w:r>
          <w:r w:rsidR="00DF47DA" w:rsidRPr="00DF47DA">
            <w:rPr>
              <w:noProof/>
              <w:lang w:val="en-US"/>
            </w:rPr>
            <w:t>[17]</w:t>
          </w:r>
          <w:r w:rsidR="002D59C7" w:rsidRPr="00DD1B58">
            <w:rPr>
              <w:lang w:val="en-US"/>
            </w:rPr>
            <w:fldChar w:fldCharType="end"/>
          </w:r>
        </w:sdtContent>
      </w:sdt>
      <w:r w:rsidR="002D59C7" w:rsidRPr="00DD1B58">
        <w:rPr>
          <w:lang w:val="en-US"/>
        </w:rPr>
        <w:t>.</w:t>
      </w:r>
    </w:p>
    <w:p w14:paraId="3E677F7A" w14:textId="380C684D" w:rsidR="7EA930EC" w:rsidRPr="00DD1B58" w:rsidRDefault="7EA930EC" w:rsidP="001268CF">
      <w:pPr>
        <w:rPr>
          <w:lang w:val="en-US"/>
        </w:rPr>
      </w:pPr>
      <w:r w:rsidRPr="00DD1B58">
        <w:rPr>
          <w:b/>
          <w:lang w:val="en-US"/>
        </w:rPr>
        <w:t>Second Generation AGRs (</w:t>
      </w:r>
      <w:r w:rsidR="004A0B35" w:rsidRPr="00DD1B58">
        <w:rPr>
          <w:b/>
          <w:lang w:val="en-US"/>
        </w:rPr>
        <w:t>HY</w:t>
      </w:r>
      <w:r w:rsidRPr="00DD1B58">
        <w:rPr>
          <w:b/>
          <w:lang w:val="en-US"/>
        </w:rPr>
        <w:t>2)</w:t>
      </w:r>
      <w:r w:rsidR="009104A8" w:rsidRPr="00DD1B58">
        <w:rPr>
          <w:b/>
          <w:lang w:val="en-US"/>
        </w:rPr>
        <w:t xml:space="preserve"> </w:t>
      </w:r>
      <w:r w:rsidR="0068227F" w:rsidRPr="00DD1B58">
        <w:rPr>
          <w:b/>
          <w:noProof/>
          <w:lang w:val="en-US"/>
        </w:rPr>
        <w:t>–</w:t>
      </w:r>
      <w:r w:rsidR="009104A8" w:rsidRPr="00DD1B58">
        <w:rPr>
          <w:b/>
          <w:lang w:val="en-US"/>
        </w:rPr>
        <w:t xml:space="preserve"> </w:t>
      </w:r>
      <w:r w:rsidRPr="00DD1B58">
        <w:rPr>
          <w:lang w:val="en-US"/>
        </w:rPr>
        <w:t>HY2 is a post</w:t>
      </w:r>
      <w:r w:rsidR="000019EA" w:rsidRPr="00DD1B58">
        <w:rPr>
          <w:lang w:val="en-US"/>
        </w:rPr>
        <w:t>-</w:t>
      </w:r>
      <w:r w:rsidRPr="00DD1B58">
        <w:rPr>
          <w:lang w:val="en-US"/>
        </w:rPr>
        <w:t xml:space="preserve">Browns Ferry fire design and is therefore designed with the fire containment approach in mind. However, </w:t>
      </w:r>
      <w:r w:rsidR="000019EA" w:rsidRPr="00DD1B58">
        <w:rPr>
          <w:lang w:val="en-US"/>
        </w:rPr>
        <w:t>EDF NGL report</w:t>
      </w:r>
      <w:r w:rsidR="00E90CED" w:rsidRPr="00DD1B58">
        <w:rPr>
          <w:lang w:val="en-US"/>
        </w:rPr>
        <w:t>s</w:t>
      </w:r>
      <w:r w:rsidR="000019EA" w:rsidRPr="00DD1B58">
        <w:rPr>
          <w:lang w:val="en-US"/>
        </w:rPr>
        <w:t xml:space="preserve"> </w:t>
      </w:r>
      <w:r w:rsidRPr="00DD1B58">
        <w:rPr>
          <w:lang w:val="en-US"/>
        </w:rPr>
        <w:t xml:space="preserve">an issue with cable segregation in one critical area raised during the PSR1 review. As a result </w:t>
      </w:r>
      <w:r w:rsidR="000019EA" w:rsidRPr="00DD1B58">
        <w:rPr>
          <w:lang w:val="en-US"/>
        </w:rPr>
        <w:t xml:space="preserve">EDF NGL claims </w:t>
      </w:r>
      <w:r w:rsidRPr="00DD1B58">
        <w:rPr>
          <w:lang w:val="en-US"/>
        </w:rPr>
        <w:t>some sprinkler systems in the HY2 fire safety case.</w:t>
      </w:r>
    </w:p>
    <w:p w14:paraId="23923846" w14:textId="7F627AFB" w:rsidR="7EA930EC" w:rsidRPr="00DD1B58" w:rsidRDefault="000019EA" w:rsidP="001268CF">
      <w:pPr>
        <w:rPr>
          <w:lang w:val="en-US"/>
        </w:rPr>
      </w:pPr>
      <w:r w:rsidRPr="00DD1B58">
        <w:rPr>
          <w:b/>
          <w:lang w:val="en-US"/>
        </w:rPr>
        <w:t>SZ</w:t>
      </w:r>
      <w:r w:rsidR="7EA930EC" w:rsidRPr="00DD1B58">
        <w:rPr>
          <w:b/>
          <w:lang w:val="en-US"/>
        </w:rPr>
        <w:t>B</w:t>
      </w:r>
      <w:r w:rsidR="009104A8" w:rsidRPr="00DD1B58">
        <w:rPr>
          <w:b/>
          <w:lang w:val="en-US"/>
        </w:rPr>
        <w:t xml:space="preserve"> </w:t>
      </w:r>
      <w:r w:rsidRPr="00DD1B58">
        <w:rPr>
          <w:b/>
          <w:lang w:val="en-US"/>
        </w:rPr>
        <w:t>–</w:t>
      </w:r>
      <w:r w:rsidR="009104A8" w:rsidRPr="00DD1B58">
        <w:rPr>
          <w:b/>
          <w:lang w:val="en-US"/>
        </w:rPr>
        <w:t xml:space="preserve"> </w:t>
      </w:r>
      <w:r w:rsidRPr="00DD1B58">
        <w:rPr>
          <w:bCs/>
          <w:lang w:val="en-US"/>
        </w:rPr>
        <w:t>EDF NGL report</w:t>
      </w:r>
      <w:r w:rsidR="00E90CED" w:rsidRPr="00DD1B58">
        <w:rPr>
          <w:bCs/>
          <w:lang w:val="en-US"/>
        </w:rPr>
        <w:t>s</w:t>
      </w:r>
      <w:r w:rsidRPr="00DD1B58">
        <w:rPr>
          <w:bCs/>
          <w:lang w:val="en-US"/>
        </w:rPr>
        <w:t xml:space="preserve"> that </w:t>
      </w:r>
      <w:r w:rsidR="7EA930EC" w:rsidRPr="00DD1B58">
        <w:rPr>
          <w:bCs/>
          <w:lang w:val="en-US"/>
        </w:rPr>
        <w:t>SZB</w:t>
      </w:r>
      <w:r w:rsidR="7EA930EC" w:rsidRPr="00DD1B58">
        <w:rPr>
          <w:lang w:val="en-US"/>
        </w:rPr>
        <w:t xml:space="preserve"> has no direct nuclear safety claims on fire suppression systems. Water spray systems are only</w:t>
      </w:r>
      <w:r w:rsidR="7009C2AC" w:rsidRPr="00DD1B58">
        <w:rPr>
          <w:lang w:val="en-US"/>
        </w:rPr>
        <w:t xml:space="preserve"> </w:t>
      </w:r>
      <w:r w:rsidR="7EA930EC" w:rsidRPr="00DD1B58">
        <w:rPr>
          <w:lang w:val="en-US"/>
        </w:rPr>
        <w:t>claimed as part of the defence in depth arguments</w:t>
      </w:r>
      <w:r w:rsidRPr="00DD1B58">
        <w:rPr>
          <w:lang w:val="en-US"/>
        </w:rPr>
        <w:t xml:space="preserve"> and t</w:t>
      </w:r>
      <w:r w:rsidR="7EA930EC" w:rsidRPr="00DD1B58">
        <w:rPr>
          <w:lang w:val="en-US"/>
        </w:rPr>
        <w:t>his is mainly because the 4-train system is well</w:t>
      </w:r>
      <w:r w:rsidR="2B0CD218" w:rsidRPr="00DD1B58">
        <w:rPr>
          <w:lang w:val="en-US"/>
        </w:rPr>
        <w:t xml:space="preserve"> </w:t>
      </w:r>
      <w:r w:rsidR="7EA930EC" w:rsidRPr="00DD1B58">
        <w:rPr>
          <w:lang w:val="en-US"/>
        </w:rPr>
        <w:t xml:space="preserve">segregated. </w:t>
      </w:r>
      <w:r w:rsidR="00982A0A" w:rsidRPr="00DD1B58">
        <w:rPr>
          <w:lang w:val="en-US"/>
        </w:rPr>
        <w:t xml:space="preserve">EDF NGL considers that the </w:t>
      </w:r>
      <w:r w:rsidR="7EA930EC" w:rsidRPr="00DD1B58">
        <w:rPr>
          <w:lang w:val="en-US"/>
        </w:rPr>
        <w:t>containment approach as per IAEA guidelines is applied.</w:t>
      </w:r>
    </w:p>
    <w:p w14:paraId="3B859DD0" w14:textId="77777777" w:rsidR="00AD1636" w:rsidRPr="00DD1B58" w:rsidRDefault="00AD1636" w:rsidP="00177432">
      <w:pPr>
        <w:pStyle w:val="Heading5A"/>
        <w:numPr>
          <w:ilvl w:val="5"/>
          <w:numId w:val="7"/>
        </w:numPr>
        <w:rPr>
          <w:lang w:val="en-US"/>
        </w:rPr>
      </w:pPr>
      <w:r w:rsidRPr="00DD1B58">
        <w:rPr>
          <w:lang w:val="en-US"/>
        </w:rPr>
        <w:t xml:space="preserve">Types, main characteristics and performance expectations </w:t>
      </w:r>
    </w:p>
    <w:p w14:paraId="1003F9E0" w14:textId="77777777" w:rsidR="002B4CB7" w:rsidRPr="00DD1B58" w:rsidRDefault="002B4CB7" w:rsidP="00EB0C7C">
      <w:pPr>
        <w:rPr>
          <w:b/>
          <w:bCs/>
          <w:lang w:val="en-US"/>
        </w:rPr>
      </w:pPr>
      <w:r w:rsidRPr="00DD1B58">
        <w:rPr>
          <w:b/>
          <w:bCs/>
          <w:lang w:val="en-US"/>
        </w:rPr>
        <w:t>Key Characteristics</w:t>
      </w:r>
    </w:p>
    <w:p w14:paraId="222190B5" w14:textId="74973542" w:rsidR="00C52161" w:rsidRPr="00DD1B58" w:rsidRDefault="00F262BC" w:rsidP="00EB0C7C">
      <w:pPr>
        <w:rPr>
          <w:lang w:val="en-US"/>
        </w:rPr>
      </w:pPr>
      <w:r w:rsidRPr="00DD1B58">
        <w:rPr>
          <w:lang w:val="en-US"/>
        </w:rPr>
        <w:t>EDF NGL divides the w</w:t>
      </w:r>
      <w:r w:rsidR="0033747B" w:rsidRPr="00DD1B58">
        <w:rPr>
          <w:lang w:val="en-US"/>
        </w:rPr>
        <w:t>ater spray systems into two fundamental types</w:t>
      </w:r>
      <w:r w:rsidRPr="00DD1B58">
        <w:rPr>
          <w:lang w:val="en-US"/>
        </w:rPr>
        <w:t xml:space="preserve"> (and t</w:t>
      </w:r>
      <w:r w:rsidR="0033747B" w:rsidRPr="00DD1B58">
        <w:rPr>
          <w:lang w:val="en-US"/>
        </w:rPr>
        <w:t>his applies to all of the three reference stations described in this report</w:t>
      </w:r>
      <w:r w:rsidRPr="00DD1B58">
        <w:rPr>
          <w:lang w:val="en-US"/>
        </w:rPr>
        <w:t>)</w:t>
      </w:r>
      <w:r w:rsidR="0033747B" w:rsidRPr="00DD1B58">
        <w:rPr>
          <w:lang w:val="en-US"/>
        </w:rPr>
        <w:t>. The two fundamental types are</w:t>
      </w:r>
      <w:r w:rsidR="00B168C9" w:rsidRPr="00DD1B58">
        <w:rPr>
          <w:lang w:val="en-US"/>
        </w:rPr>
        <w:t xml:space="preserve"> s</w:t>
      </w:r>
      <w:r w:rsidR="0033747B" w:rsidRPr="00DD1B58">
        <w:rPr>
          <w:lang w:val="en-US"/>
        </w:rPr>
        <w:t>ystems designed to extinguish a fire</w:t>
      </w:r>
      <w:r w:rsidRPr="00DD1B58">
        <w:rPr>
          <w:lang w:val="en-US"/>
        </w:rPr>
        <w:t>,</w:t>
      </w:r>
      <w:r w:rsidR="00B168C9" w:rsidRPr="00DD1B58">
        <w:rPr>
          <w:lang w:val="en-US"/>
        </w:rPr>
        <w:t xml:space="preserve"> and s</w:t>
      </w:r>
      <w:r w:rsidR="0033747B" w:rsidRPr="00DD1B58">
        <w:rPr>
          <w:lang w:val="en-US"/>
        </w:rPr>
        <w:t>ystems designed to control a fire and prevent damage</w:t>
      </w:r>
      <w:r w:rsidRPr="00DD1B58">
        <w:rPr>
          <w:lang w:val="en-US"/>
        </w:rPr>
        <w:t xml:space="preserve"> (</w:t>
      </w:r>
      <w:r w:rsidR="0033747B" w:rsidRPr="00DD1B58">
        <w:rPr>
          <w:lang w:val="en-US"/>
        </w:rPr>
        <w:t>but not to extinguish it</w:t>
      </w:r>
      <w:r w:rsidRPr="00DD1B58">
        <w:rPr>
          <w:lang w:val="en-US"/>
        </w:rPr>
        <w:t>)</w:t>
      </w:r>
      <w:r w:rsidR="0033747B" w:rsidRPr="00DD1B58">
        <w:rPr>
          <w:lang w:val="en-US"/>
        </w:rPr>
        <w:t>.</w:t>
      </w:r>
      <w:r w:rsidR="00C52161" w:rsidRPr="00DD1B58">
        <w:rPr>
          <w:lang w:val="en-US"/>
        </w:rPr>
        <w:t xml:space="preserve"> </w:t>
      </w:r>
      <w:r w:rsidR="0033747B" w:rsidRPr="00DD1B58">
        <w:rPr>
          <w:lang w:val="en-US"/>
        </w:rPr>
        <w:t>Both are collectively known as ‘deluge’ systems in order to distinguish them from sprinkler systems.</w:t>
      </w:r>
      <w:r w:rsidR="7C13E8A0" w:rsidRPr="00DD1B58">
        <w:rPr>
          <w:lang w:val="en-US"/>
        </w:rPr>
        <w:t xml:space="preserve"> </w:t>
      </w:r>
    </w:p>
    <w:p w14:paraId="7CB9240D" w14:textId="77777777" w:rsidR="0033747B" w:rsidRPr="00DD1B58" w:rsidRDefault="7E839EBC" w:rsidP="00EB0C7C">
      <w:pPr>
        <w:rPr>
          <w:lang w:val="en-US"/>
        </w:rPr>
      </w:pPr>
      <w:r w:rsidRPr="00DD1B58">
        <w:rPr>
          <w:lang w:val="en-US"/>
        </w:rPr>
        <w:t>High</w:t>
      </w:r>
      <w:r w:rsidR="0033747B" w:rsidRPr="00DD1B58">
        <w:rPr>
          <w:lang w:val="en-US"/>
        </w:rPr>
        <w:t xml:space="preserve"> velocity</w:t>
      </w:r>
      <w:r w:rsidRPr="00DD1B58">
        <w:rPr>
          <w:lang w:val="en-US"/>
        </w:rPr>
        <w:t xml:space="preserve"> extinguishing s</w:t>
      </w:r>
      <w:r w:rsidR="0129C8E9" w:rsidRPr="00DD1B58">
        <w:rPr>
          <w:lang w:val="en-US"/>
        </w:rPr>
        <w:t xml:space="preserve">ystems </w:t>
      </w:r>
      <w:r w:rsidR="498688CF" w:rsidRPr="00DD1B58">
        <w:rPr>
          <w:lang w:val="en-US"/>
        </w:rPr>
        <w:t>are</w:t>
      </w:r>
      <w:r w:rsidR="0033747B" w:rsidRPr="00DD1B58">
        <w:rPr>
          <w:lang w:val="en-US"/>
        </w:rPr>
        <w:t xml:space="preserve"> designed to extinguish a fire</w:t>
      </w:r>
      <w:r w:rsidR="0129C8E9" w:rsidRPr="00DD1B58">
        <w:rPr>
          <w:lang w:val="en-US"/>
        </w:rPr>
        <w:t xml:space="preserve"> </w:t>
      </w:r>
      <w:r w:rsidR="0C5178F6" w:rsidRPr="00DD1B58">
        <w:rPr>
          <w:lang w:val="en-US"/>
        </w:rPr>
        <w:t>and</w:t>
      </w:r>
      <w:r w:rsidR="0033747B" w:rsidRPr="00DD1B58">
        <w:rPr>
          <w:lang w:val="en-US"/>
        </w:rPr>
        <w:t xml:space="preserve"> achieve this by delivering a large volume of water onto the fire through specially designed spray nozzles. Such systems are known as high velocity water spray systems. The deluge of water achieves extinguishment by a combination of effects which may include cooling of the fuel, emulsification of the fuel and the local exclusion of oxygen from the flame region due to the evaporation of water to steam.</w:t>
      </w:r>
    </w:p>
    <w:p w14:paraId="65A8FEAE" w14:textId="50D5C38C" w:rsidR="0033747B" w:rsidRPr="00DD1B58" w:rsidRDefault="0033747B" w:rsidP="00EB0C7C">
      <w:pPr>
        <w:rPr>
          <w:lang w:val="en-US"/>
        </w:rPr>
      </w:pPr>
      <w:r w:rsidRPr="00DD1B58">
        <w:rPr>
          <w:b/>
          <w:lang w:val="en-US"/>
        </w:rPr>
        <w:t xml:space="preserve">First </w:t>
      </w:r>
      <w:r w:rsidR="49CA6737" w:rsidRPr="00DD1B58">
        <w:rPr>
          <w:b/>
          <w:lang w:val="en-US"/>
        </w:rPr>
        <w:t xml:space="preserve">and Second </w:t>
      </w:r>
      <w:r w:rsidRPr="00DD1B58">
        <w:rPr>
          <w:b/>
          <w:lang w:val="en-US"/>
        </w:rPr>
        <w:t>Generation AGRs (</w:t>
      </w:r>
      <w:r w:rsidR="00C52161" w:rsidRPr="00DD1B58">
        <w:rPr>
          <w:b/>
          <w:lang w:val="en-US"/>
        </w:rPr>
        <w:t>HN</w:t>
      </w:r>
      <w:r w:rsidRPr="00DD1B58">
        <w:rPr>
          <w:b/>
          <w:lang w:val="en-US"/>
        </w:rPr>
        <w:t>B</w:t>
      </w:r>
      <w:r w:rsidR="30A533DA" w:rsidRPr="00DD1B58">
        <w:rPr>
          <w:b/>
          <w:lang w:val="en-US"/>
        </w:rPr>
        <w:t xml:space="preserve"> and </w:t>
      </w:r>
      <w:r w:rsidR="00C52161" w:rsidRPr="00DD1B58">
        <w:rPr>
          <w:b/>
          <w:lang w:val="en-US"/>
        </w:rPr>
        <w:t>HY</w:t>
      </w:r>
      <w:r w:rsidR="30A533DA" w:rsidRPr="00DD1B58">
        <w:rPr>
          <w:b/>
          <w:lang w:val="en-US"/>
        </w:rPr>
        <w:t>2</w:t>
      </w:r>
      <w:r w:rsidRPr="00DD1B58">
        <w:rPr>
          <w:b/>
          <w:lang w:val="en-US"/>
        </w:rPr>
        <w:t>)</w:t>
      </w:r>
      <w:r w:rsidR="009104A8" w:rsidRPr="00DD1B58">
        <w:rPr>
          <w:b/>
          <w:lang w:val="en-US"/>
        </w:rPr>
        <w:t xml:space="preserve"> </w:t>
      </w:r>
      <w:r w:rsidR="0068227F" w:rsidRPr="00DD1B58">
        <w:rPr>
          <w:b/>
          <w:noProof/>
          <w:lang w:val="en-US"/>
        </w:rPr>
        <w:t>–</w:t>
      </w:r>
      <w:r w:rsidR="009104A8" w:rsidRPr="00DD1B58">
        <w:rPr>
          <w:b/>
          <w:lang w:val="en-US"/>
        </w:rPr>
        <w:t xml:space="preserve"> </w:t>
      </w:r>
      <w:r w:rsidRPr="00DD1B58">
        <w:rPr>
          <w:lang w:val="en-US"/>
        </w:rPr>
        <w:t xml:space="preserve">Sprinklers are located in various positions across the plant. The cable races for HNB </w:t>
      </w:r>
      <w:r w:rsidR="2CDE7E4D" w:rsidRPr="00DD1B58">
        <w:rPr>
          <w:lang w:val="en-US"/>
        </w:rPr>
        <w:t>and HY2</w:t>
      </w:r>
      <w:r w:rsidR="0E84D477" w:rsidRPr="00DD1B58">
        <w:rPr>
          <w:lang w:val="en-US"/>
        </w:rPr>
        <w:t xml:space="preserve"> </w:t>
      </w:r>
      <w:r w:rsidRPr="00DD1B58">
        <w:rPr>
          <w:lang w:val="en-US"/>
        </w:rPr>
        <w:t>use metron head devices attached to LHDC (Linear Heating Detection cable) to act as fast acting detection and suppression.</w:t>
      </w:r>
    </w:p>
    <w:p w14:paraId="1F3F5213" w14:textId="0014FBFA" w:rsidR="0033747B" w:rsidRPr="00DD1B58" w:rsidRDefault="0E84D477" w:rsidP="00EB0C7C">
      <w:pPr>
        <w:rPr>
          <w:lang w:val="en-US"/>
        </w:rPr>
      </w:pPr>
      <w:r w:rsidRPr="00DD1B58">
        <w:rPr>
          <w:lang w:val="en-US"/>
        </w:rPr>
        <w:t>Other types of fire suppression at HNB include Inergen</w:t>
      </w:r>
      <w:r w:rsidR="5972B44E" w:rsidRPr="00DD1B58">
        <w:rPr>
          <w:lang w:val="en-US"/>
        </w:rPr>
        <w:t>,</w:t>
      </w:r>
      <w:r w:rsidRPr="00DD1B58">
        <w:rPr>
          <w:lang w:val="en-US"/>
        </w:rPr>
        <w:t xml:space="preserve"> Pyroge</w:t>
      </w:r>
      <w:r w:rsidR="2465C0DD" w:rsidRPr="00DD1B58">
        <w:rPr>
          <w:lang w:val="en-US"/>
        </w:rPr>
        <w:t>n and</w:t>
      </w:r>
      <w:r w:rsidRPr="00DD1B58">
        <w:rPr>
          <w:lang w:val="en-US"/>
        </w:rPr>
        <w:t>, Fluorine Free foam</w:t>
      </w:r>
      <w:r w:rsidR="37323161" w:rsidRPr="00DD1B58">
        <w:rPr>
          <w:lang w:val="en-US"/>
        </w:rPr>
        <w:t>.</w:t>
      </w:r>
      <w:r w:rsidR="00940D2A" w:rsidRPr="00DD1B58">
        <w:rPr>
          <w:lang w:val="en-US"/>
        </w:rPr>
        <w:t xml:space="preserve"> </w:t>
      </w:r>
      <w:r w:rsidRPr="00DD1B58">
        <w:rPr>
          <w:lang w:val="en-US"/>
        </w:rPr>
        <w:t>System</w:t>
      </w:r>
      <w:r w:rsidR="14EB6ADB" w:rsidRPr="00DD1B58">
        <w:rPr>
          <w:lang w:val="en-US"/>
        </w:rPr>
        <w:t>s</w:t>
      </w:r>
      <w:r w:rsidR="0033747B" w:rsidRPr="00DD1B58">
        <w:rPr>
          <w:lang w:val="en-US"/>
        </w:rPr>
        <w:t xml:space="preserve"> currently being retired </w:t>
      </w:r>
      <w:r w:rsidR="74C64439" w:rsidRPr="00DD1B58">
        <w:rPr>
          <w:lang w:val="en-US"/>
        </w:rPr>
        <w:t xml:space="preserve">at HNB </w:t>
      </w:r>
      <w:r w:rsidR="0033747B" w:rsidRPr="00DD1B58">
        <w:rPr>
          <w:lang w:val="en-US"/>
        </w:rPr>
        <w:t>include the turbine bearing CO</w:t>
      </w:r>
      <w:r w:rsidR="0033747B" w:rsidRPr="00DD1B58">
        <w:rPr>
          <w:vertAlign w:val="subscript"/>
          <w:lang w:val="en-US"/>
        </w:rPr>
        <w:t>2</w:t>
      </w:r>
      <w:r w:rsidR="0033747B" w:rsidRPr="00DD1B58">
        <w:rPr>
          <w:lang w:val="en-US"/>
        </w:rPr>
        <w:t xml:space="preserve"> systems</w:t>
      </w:r>
      <w:r w:rsidR="00E45D7A" w:rsidRPr="00DD1B58">
        <w:rPr>
          <w:lang w:val="en-US"/>
        </w:rPr>
        <w:t xml:space="preserve"> and</w:t>
      </w:r>
      <w:r w:rsidR="0033747B" w:rsidRPr="00DD1B58">
        <w:rPr>
          <w:lang w:val="en-US"/>
        </w:rPr>
        <w:t xml:space="preserve"> some foam suppression systems.</w:t>
      </w:r>
    </w:p>
    <w:p w14:paraId="5B3C55DA" w14:textId="77777777" w:rsidR="0033747B" w:rsidRPr="00DD1B58" w:rsidRDefault="0033747B" w:rsidP="00EB0C7C">
      <w:pPr>
        <w:rPr>
          <w:lang w:val="en-US"/>
        </w:rPr>
      </w:pPr>
      <w:r w:rsidRPr="00DD1B58">
        <w:rPr>
          <w:lang w:val="en-US"/>
        </w:rPr>
        <w:t>Other types of fire suppression used for HY2 include Inergen, protecting sub-floor cable rods (Control Room, Safety Rooms, etc.).</w:t>
      </w:r>
      <w:r w:rsidR="00B11DDE" w:rsidRPr="00DD1B58">
        <w:rPr>
          <w:lang w:val="en-US"/>
        </w:rPr>
        <w:t xml:space="preserve"> </w:t>
      </w:r>
      <w:r w:rsidRPr="00DD1B58">
        <w:rPr>
          <w:lang w:val="en-US"/>
        </w:rPr>
        <w:t>HY2 does not use any fixed foam systems. Only mobile foam is used for firefighting capability.</w:t>
      </w:r>
    </w:p>
    <w:p w14:paraId="34B679D1" w14:textId="456B5906" w:rsidR="0033747B" w:rsidRPr="00DD1B58" w:rsidRDefault="0033747B" w:rsidP="00EB0C7C">
      <w:pPr>
        <w:rPr>
          <w:lang w:val="en-US"/>
        </w:rPr>
      </w:pPr>
      <w:r w:rsidRPr="00DD1B58">
        <w:rPr>
          <w:b/>
          <w:lang w:val="en-US"/>
        </w:rPr>
        <w:t>Sizewell B</w:t>
      </w:r>
      <w:r w:rsidR="009104A8" w:rsidRPr="00DD1B58">
        <w:rPr>
          <w:b/>
          <w:lang w:val="en-US"/>
        </w:rPr>
        <w:t xml:space="preserve"> </w:t>
      </w:r>
      <w:r w:rsidR="0068227F" w:rsidRPr="00DD1B58">
        <w:rPr>
          <w:b/>
          <w:noProof/>
          <w:lang w:val="en-US"/>
        </w:rPr>
        <w:t>–</w:t>
      </w:r>
      <w:r w:rsidR="009104A8" w:rsidRPr="00DD1B58">
        <w:rPr>
          <w:b/>
          <w:lang w:val="en-US"/>
        </w:rPr>
        <w:t xml:space="preserve"> </w:t>
      </w:r>
      <w:r w:rsidRPr="00DD1B58">
        <w:rPr>
          <w:lang w:val="en-US"/>
        </w:rPr>
        <w:t>SZB does not have any active systems claimed and does not use any fixed foam systems. Only mobile foam is used for firefighting capability.</w:t>
      </w:r>
      <w:r w:rsidR="00B168C9" w:rsidRPr="00DD1B58">
        <w:rPr>
          <w:lang w:val="en-US"/>
        </w:rPr>
        <w:t xml:space="preserve"> </w:t>
      </w:r>
      <w:r w:rsidRPr="00DD1B58">
        <w:rPr>
          <w:lang w:val="en-US"/>
        </w:rPr>
        <w:t>There are sprinklers in all the cable races but no metron head devices are incorporated.</w:t>
      </w:r>
    </w:p>
    <w:p w14:paraId="576C16CC" w14:textId="77777777" w:rsidR="0033747B" w:rsidRPr="00DD1B58" w:rsidRDefault="4868F43E" w:rsidP="00EB0C7C">
      <w:pPr>
        <w:rPr>
          <w:b/>
          <w:bCs/>
          <w:lang w:val="en-US"/>
        </w:rPr>
      </w:pPr>
      <w:r w:rsidRPr="00DD1B58">
        <w:rPr>
          <w:b/>
          <w:bCs/>
          <w:lang w:val="en-US"/>
        </w:rPr>
        <w:t xml:space="preserve">Arrangement for Ensuring Capacity and Coverage </w:t>
      </w:r>
    </w:p>
    <w:p w14:paraId="68B38213" w14:textId="77777777" w:rsidR="0033747B" w:rsidRPr="00DD1B58" w:rsidRDefault="0033747B" w:rsidP="00EB0C7C">
      <w:pPr>
        <w:rPr>
          <w:lang w:val="en-US"/>
        </w:rPr>
      </w:pPr>
      <w:r w:rsidRPr="00DD1B58">
        <w:rPr>
          <w:b/>
          <w:lang w:val="en-US"/>
        </w:rPr>
        <w:t>General</w:t>
      </w:r>
      <w:r w:rsidR="009104A8" w:rsidRPr="00DD1B58">
        <w:rPr>
          <w:b/>
          <w:lang w:val="en-US"/>
        </w:rPr>
        <w:t xml:space="preserve"> - </w:t>
      </w:r>
      <w:r w:rsidRPr="00DD1B58">
        <w:rPr>
          <w:lang w:val="en-US"/>
        </w:rPr>
        <w:t>All of the station designs assessed here are in line with Section A-I-3.2.2.1 above.</w:t>
      </w:r>
    </w:p>
    <w:p w14:paraId="4991F74E" w14:textId="1FE3D103" w:rsidR="0033747B" w:rsidRPr="00DD1B58" w:rsidRDefault="0E84D477" w:rsidP="00EB0C7C">
      <w:pPr>
        <w:rPr>
          <w:lang w:val="en-US"/>
        </w:rPr>
      </w:pPr>
      <w:r w:rsidRPr="00DD1B58">
        <w:rPr>
          <w:b/>
          <w:lang w:val="en-US"/>
        </w:rPr>
        <w:t>First Generation AGRs (</w:t>
      </w:r>
      <w:r w:rsidR="009D7B8C" w:rsidRPr="00DD1B58">
        <w:rPr>
          <w:b/>
          <w:lang w:val="en-US"/>
        </w:rPr>
        <w:t>HN</w:t>
      </w:r>
      <w:r w:rsidRPr="00DD1B58">
        <w:rPr>
          <w:b/>
          <w:lang w:val="en-US"/>
        </w:rPr>
        <w:t>B)</w:t>
      </w:r>
      <w:r w:rsidR="710375B4" w:rsidRPr="00DD1B58">
        <w:rPr>
          <w:b/>
          <w:lang w:val="en-US"/>
        </w:rPr>
        <w:t xml:space="preserve"> </w:t>
      </w:r>
      <w:r w:rsidR="0068227F" w:rsidRPr="00DD1B58">
        <w:rPr>
          <w:b/>
          <w:noProof/>
          <w:lang w:val="en-US"/>
        </w:rPr>
        <w:t>–</w:t>
      </w:r>
      <w:r w:rsidR="710375B4" w:rsidRPr="00DD1B58">
        <w:rPr>
          <w:b/>
          <w:lang w:val="en-US"/>
        </w:rPr>
        <w:t xml:space="preserve"> </w:t>
      </w:r>
      <w:r w:rsidRPr="00DD1B58">
        <w:rPr>
          <w:lang w:val="en-US"/>
        </w:rPr>
        <w:t xml:space="preserve">At HNB the Hydrostatic tank of the fire protection system accommodates the initial pressure drop when a deluge valve opens. When the pressure decreases to set levels the diesel pumps start in sequence. </w:t>
      </w:r>
    </w:p>
    <w:p w14:paraId="7FC95475" w14:textId="0EAD9CD9" w:rsidR="0033747B" w:rsidRPr="00DD1B58" w:rsidRDefault="0033747B" w:rsidP="00EB0C7C">
      <w:pPr>
        <w:rPr>
          <w:lang w:val="en-US"/>
        </w:rPr>
      </w:pPr>
      <w:r w:rsidRPr="00DD1B58">
        <w:rPr>
          <w:b/>
          <w:lang w:val="en-US"/>
        </w:rPr>
        <w:t>Second Generation AGRs (</w:t>
      </w:r>
      <w:r w:rsidR="009D7B8C" w:rsidRPr="00DD1B58">
        <w:rPr>
          <w:b/>
          <w:lang w:val="en-US"/>
        </w:rPr>
        <w:t>HY</w:t>
      </w:r>
      <w:r w:rsidRPr="00DD1B58">
        <w:rPr>
          <w:b/>
          <w:lang w:val="en-US"/>
        </w:rPr>
        <w:t>2)</w:t>
      </w:r>
      <w:r w:rsidR="00CD14DA" w:rsidRPr="00DD1B58">
        <w:rPr>
          <w:b/>
          <w:lang w:val="en-US"/>
        </w:rPr>
        <w:t xml:space="preserve"> </w:t>
      </w:r>
      <w:r w:rsidR="0068227F" w:rsidRPr="00DD1B58">
        <w:rPr>
          <w:b/>
          <w:noProof/>
          <w:lang w:val="en-US"/>
        </w:rPr>
        <w:t>–</w:t>
      </w:r>
      <w:r w:rsidR="00CD14DA" w:rsidRPr="00DD1B58">
        <w:rPr>
          <w:b/>
          <w:lang w:val="en-US"/>
        </w:rPr>
        <w:t xml:space="preserve"> </w:t>
      </w:r>
      <w:r w:rsidRPr="00DD1B58">
        <w:rPr>
          <w:lang w:val="en-US"/>
        </w:rPr>
        <w:t>The fire protection equipment generally consists of fixed water spray and sprinkler systems, internal hydrant/foam generating and inergen/inert gas systems together with portable appliances and an external underground conventional hydrant system.</w:t>
      </w:r>
    </w:p>
    <w:p w14:paraId="69BA06A3" w14:textId="4A516A35" w:rsidR="009C0692" w:rsidRPr="00DD1B58" w:rsidRDefault="0E84D477" w:rsidP="00EB0C7C">
      <w:pPr>
        <w:rPr>
          <w:lang w:val="en-US"/>
        </w:rPr>
      </w:pPr>
      <w:r w:rsidRPr="00DD1B58">
        <w:rPr>
          <w:lang w:val="en-US"/>
        </w:rPr>
        <w:t xml:space="preserve">The protection against fire by means of the fixed high/medium velocity water spray and sprinkler system is provided by a series of discharge heads supplied by a trunk main system. Three 50% fully automatic diesel fire pump sets, dedicated to firefighting duties only, supply the water spray and sprinkler systems via the firefighting trunk main. </w:t>
      </w:r>
      <w:r w:rsidR="742FA459" w:rsidRPr="00DD1B58">
        <w:rPr>
          <w:lang w:val="en-US"/>
        </w:rPr>
        <w:t xml:space="preserve">Further information on the </w:t>
      </w:r>
      <w:r w:rsidRPr="00DD1B58">
        <w:rPr>
          <w:lang w:val="en-US"/>
        </w:rPr>
        <w:t>pump</w:t>
      </w:r>
      <w:r w:rsidR="62887793" w:rsidRPr="00DD1B58">
        <w:rPr>
          <w:lang w:val="en-US"/>
        </w:rPr>
        <w:t>s</w:t>
      </w:r>
      <w:r w:rsidR="7597C55F" w:rsidRPr="00DD1B58">
        <w:rPr>
          <w:lang w:val="en-US"/>
        </w:rPr>
        <w:t>, storage tank, external hydrant system ring main distribution</w:t>
      </w:r>
      <w:r w:rsidR="505D18AB" w:rsidRPr="00DD1B58">
        <w:rPr>
          <w:lang w:val="en-US"/>
        </w:rPr>
        <w:t>,</w:t>
      </w:r>
      <w:r w:rsidR="7597C55F" w:rsidRPr="00DD1B58">
        <w:rPr>
          <w:lang w:val="en-US"/>
        </w:rPr>
        <w:t xml:space="preserve"> foam generating system </w:t>
      </w:r>
      <w:r w:rsidR="759B42BF" w:rsidRPr="00DD1B58">
        <w:rPr>
          <w:lang w:val="en-US"/>
        </w:rPr>
        <w:t xml:space="preserve">and portable appliances </w:t>
      </w:r>
      <w:r w:rsidR="7597C55F" w:rsidRPr="00DD1B58">
        <w:rPr>
          <w:lang w:val="en-US"/>
        </w:rPr>
        <w:t>is provided in the lic</w:t>
      </w:r>
      <w:r w:rsidR="75CA9530" w:rsidRPr="00DD1B58">
        <w:rPr>
          <w:lang w:val="en-US"/>
        </w:rPr>
        <w:t>en</w:t>
      </w:r>
      <w:r w:rsidR="7597C55F" w:rsidRPr="00DD1B58">
        <w:rPr>
          <w:lang w:val="en-US"/>
        </w:rPr>
        <w:t xml:space="preserve">see </w:t>
      </w:r>
      <w:r w:rsidR="00617272" w:rsidRPr="00DD1B58">
        <w:rPr>
          <w:lang w:val="en-US"/>
        </w:rPr>
        <w:t>self-</w:t>
      </w:r>
      <w:r w:rsidR="00022059" w:rsidRPr="00DD1B58">
        <w:rPr>
          <w:lang w:val="en-US"/>
        </w:rPr>
        <w:t>assessment</w:t>
      </w:r>
      <w:r w:rsidR="00617272" w:rsidRPr="00DD1B58">
        <w:rPr>
          <w:lang w:val="en-US"/>
        </w:rPr>
        <w:t xml:space="preserve"> </w:t>
      </w:r>
      <w:sdt>
        <w:sdtPr>
          <w:rPr>
            <w:lang w:val="en-US"/>
          </w:rPr>
          <w:id w:val="-1867435213"/>
          <w:citation/>
        </w:sdtPr>
        <w:sdtContent>
          <w:r w:rsidR="00617272" w:rsidRPr="00DD1B58">
            <w:rPr>
              <w:lang w:val="en-US"/>
            </w:rPr>
            <w:fldChar w:fldCharType="begin"/>
          </w:r>
          <w:r w:rsidR="00617272" w:rsidRPr="00DD1B58">
            <w:rPr>
              <w:lang w:val="en-US"/>
            </w:rPr>
            <w:instrText xml:space="preserve"> CITATION EDF231 \l 2057 </w:instrText>
          </w:r>
          <w:r w:rsidR="00617272" w:rsidRPr="00DD1B58">
            <w:rPr>
              <w:lang w:val="en-US"/>
            </w:rPr>
            <w:fldChar w:fldCharType="separate"/>
          </w:r>
          <w:r w:rsidR="00DF47DA" w:rsidRPr="00DF47DA">
            <w:rPr>
              <w:noProof/>
              <w:lang w:val="en-US"/>
            </w:rPr>
            <w:t>[25]</w:t>
          </w:r>
          <w:r w:rsidR="00617272" w:rsidRPr="00DD1B58">
            <w:rPr>
              <w:lang w:val="en-US"/>
            </w:rPr>
            <w:fldChar w:fldCharType="end"/>
          </w:r>
        </w:sdtContent>
      </w:sdt>
      <w:r w:rsidR="00617272" w:rsidRPr="00DD1B58">
        <w:rPr>
          <w:lang w:val="en-US"/>
        </w:rPr>
        <w:t>.</w:t>
      </w:r>
    </w:p>
    <w:p w14:paraId="209D780E" w14:textId="3A746C1E" w:rsidR="009C0692" w:rsidRPr="00DD1B58" w:rsidRDefault="00EB3E4B" w:rsidP="00EB0C7C">
      <w:pPr>
        <w:rPr>
          <w:lang w:val="en-US"/>
        </w:rPr>
      </w:pPr>
      <w:r w:rsidRPr="00DD1B58">
        <w:rPr>
          <w:b/>
          <w:lang w:val="en-US"/>
        </w:rPr>
        <w:t>SZ</w:t>
      </w:r>
      <w:r w:rsidR="0033747B" w:rsidRPr="00DD1B58">
        <w:rPr>
          <w:b/>
          <w:lang w:val="en-US"/>
        </w:rPr>
        <w:t>B</w:t>
      </w:r>
      <w:r w:rsidR="00CD14DA" w:rsidRPr="00DD1B58">
        <w:rPr>
          <w:b/>
          <w:lang w:val="en-US"/>
        </w:rPr>
        <w:t xml:space="preserve"> </w:t>
      </w:r>
      <w:r w:rsidR="00617272" w:rsidRPr="00DD1B58">
        <w:rPr>
          <w:b/>
          <w:lang w:val="en-US"/>
        </w:rPr>
        <w:t>–</w:t>
      </w:r>
      <w:r w:rsidR="00AB3376" w:rsidRPr="00DD1B58">
        <w:rPr>
          <w:lang w:val="en-US"/>
        </w:rPr>
        <w:t xml:space="preserve"> Water </w:t>
      </w:r>
      <w:r w:rsidR="0033747B" w:rsidRPr="00DD1B58">
        <w:rPr>
          <w:lang w:val="en-US"/>
        </w:rPr>
        <w:t>supplies for the fixed fire protection system are taken from the two towns water reservoirs</w:t>
      </w:r>
      <w:r w:rsidR="00617272" w:rsidRPr="00DD1B58">
        <w:rPr>
          <w:lang w:val="en-US"/>
        </w:rPr>
        <w:t xml:space="preserve"> and that t</w:t>
      </w:r>
      <w:r w:rsidR="0033747B" w:rsidRPr="00DD1B58">
        <w:rPr>
          <w:lang w:val="en-US"/>
        </w:rPr>
        <w:t>here is internal segregation within the reservoirs ensuring a minimum capacity is maintained. Delivery is to three firefighting pumps. The water supply is maintained under pressure by the 3 pumps and a pressure tank containing 1/3 water and 2/3 compressed air. The main pressure is maintained by a charging water pump and a charging air compressor.</w:t>
      </w:r>
      <w:r w:rsidR="40107EFD" w:rsidRPr="00DD1B58">
        <w:rPr>
          <w:lang w:val="en-US"/>
        </w:rPr>
        <w:t xml:space="preserve"> </w:t>
      </w:r>
      <w:r w:rsidR="0033747B" w:rsidRPr="00DD1B58">
        <w:rPr>
          <w:lang w:val="en-US"/>
        </w:rPr>
        <w:t>Firefighting pumps are started automatically from pump start pressure switches in a pre-determined order on falling pressure.</w:t>
      </w:r>
    </w:p>
    <w:p w14:paraId="54136695" w14:textId="77777777" w:rsidR="0033747B" w:rsidRPr="00DD1B58" w:rsidRDefault="0033747B" w:rsidP="00EB0C7C">
      <w:pPr>
        <w:rPr>
          <w:b/>
          <w:bCs/>
          <w:lang w:val="en-US"/>
        </w:rPr>
      </w:pPr>
      <w:r w:rsidRPr="00DD1B58">
        <w:rPr>
          <w:b/>
          <w:bCs/>
          <w:lang w:val="en-US"/>
        </w:rPr>
        <w:t>Water supply arrangements</w:t>
      </w:r>
    </w:p>
    <w:p w14:paraId="0753567F" w14:textId="0A9C5B82" w:rsidR="0033747B" w:rsidRPr="00DD1B58" w:rsidRDefault="0033747B" w:rsidP="00EB0C7C">
      <w:pPr>
        <w:rPr>
          <w:lang w:val="en-US"/>
        </w:rPr>
      </w:pPr>
      <w:r w:rsidRPr="00DD1B58">
        <w:rPr>
          <w:b/>
          <w:lang w:val="en-US"/>
        </w:rPr>
        <w:t>General</w:t>
      </w:r>
      <w:r w:rsidR="00CD14DA" w:rsidRPr="00DD1B58">
        <w:rPr>
          <w:b/>
          <w:lang w:val="en-US"/>
        </w:rPr>
        <w:t xml:space="preserve"> </w:t>
      </w:r>
      <w:r w:rsidR="00B54853" w:rsidRPr="00DD1B58">
        <w:rPr>
          <w:b/>
          <w:lang w:val="en-US"/>
        </w:rPr>
        <w:t>–</w:t>
      </w:r>
      <w:r w:rsidR="00CD14DA" w:rsidRPr="00DD1B58">
        <w:rPr>
          <w:b/>
          <w:lang w:val="en-US"/>
        </w:rPr>
        <w:t xml:space="preserve"> </w:t>
      </w:r>
      <w:r w:rsidR="00B54853" w:rsidRPr="00DD1B58">
        <w:rPr>
          <w:lang w:val="en-US"/>
        </w:rPr>
        <w:t xml:space="preserve">EDF NGL does not claim </w:t>
      </w:r>
      <w:r w:rsidRPr="00DD1B58">
        <w:rPr>
          <w:lang w:val="en-US"/>
        </w:rPr>
        <w:t xml:space="preserve">manual suppressing systems for nuclear safety, which is, where possible, based on segregation of redundant trains of equipment. </w:t>
      </w:r>
      <w:r w:rsidR="007B4714" w:rsidRPr="00DD1B58">
        <w:rPr>
          <w:lang w:val="en-US"/>
        </w:rPr>
        <w:t xml:space="preserve">It </w:t>
      </w:r>
      <w:r w:rsidR="007376D6" w:rsidRPr="00DD1B58">
        <w:rPr>
          <w:lang w:val="en-US"/>
        </w:rPr>
        <w:t>states that</w:t>
      </w:r>
      <w:r w:rsidR="007B4714" w:rsidRPr="00DD1B58">
        <w:rPr>
          <w:lang w:val="en-US"/>
        </w:rPr>
        <w:t xml:space="preserve"> they </w:t>
      </w:r>
      <w:r w:rsidRPr="00DD1B58">
        <w:rPr>
          <w:lang w:val="en-US"/>
        </w:rPr>
        <w:t>are for defence in depth and designed in line with the required standards.</w:t>
      </w:r>
    </w:p>
    <w:p w14:paraId="2329FCFC" w14:textId="49067FB7" w:rsidR="0033747B" w:rsidRPr="00DD1B58" w:rsidRDefault="0E84D477" w:rsidP="00B96252">
      <w:pPr>
        <w:rPr>
          <w:lang w:val="en-US"/>
        </w:rPr>
      </w:pPr>
      <w:r w:rsidRPr="00DD1B58">
        <w:rPr>
          <w:b/>
          <w:lang w:val="en-US"/>
        </w:rPr>
        <w:t>First Generation AGRs (</w:t>
      </w:r>
      <w:r w:rsidR="007B4714" w:rsidRPr="00DD1B58">
        <w:rPr>
          <w:b/>
          <w:lang w:val="en-US"/>
        </w:rPr>
        <w:t>HN</w:t>
      </w:r>
      <w:r w:rsidRPr="00DD1B58">
        <w:rPr>
          <w:b/>
          <w:lang w:val="en-US"/>
        </w:rPr>
        <w:t>B)</w:t>
      </w:r>
      <w:r w:rsidR="710375B4" w:rsidRPr="00DD1B58">
        <w:rPr>
          <w:b/>
          <w:lang w:val="en-US"/>
        </w:rPr>
        <w:t xml:space="preserve"> </w:t>
      </w:r>
      <w:r w:rsidR="0068227F" w:rsidRPr="00DD1B58">
        <w:rPr>
          <w:b/>
          <w:noProof/>
          <w:lang w:val="en-US"/>
        </w:rPr>
        <w:t>–</w:t>
      </w:r>
      <w:r w:rsidR="710375B4" w:rsidRPr="00DD1B58">
        <w:rPr>
          <w:b/>
          <w:lang w:val="en-US"/>
        </w:rPr>
        <w:t xml:space="preserve"> </w:t>
      </w:r>
      <w:r w:rsidRPr="00DD1B58">
        <w:rPr>
          <w:lang w:val="en-US"/>
        </w:rPr>
        <w:t xml:space="preserve">Hydrant valves at HNB are located station wide on the fire hydrant ring main where manual </w:t>
      </w:r>
      <w:r w:rsidR="004F5760" w:rsidRPr="00DD1B58">
        <w:rPr>
          <w:lang w:val="en-US"/>
        </w:rPr>
        <w:t>firefight</w:t>
      </w:r>
      <w:r w:rsidRPr="00DD1B58">
        <w:rPr>
          <w:lang w:val="en-US"/>
        </w:rPr>
        <w:t xml:space="preserve">ing equipment can be connected. Adjacent to each hydrant point there is a foam tank and storage of the required equipment. </w:t>
      </w:r>
    </w:p>
    <w:p w14:paraId="1CDB27E4" w14:textId="586B0465" w:rsidR="0033747B" w:rsidRPr="00DD1B58" w:rsidRDefault="0033747B" w:rsidP="00B96252">
      <w:pPr>
        <w:rPr>
          <w:rFonts w:asciiTheme="minorHAnsi" w:hAnsiTheme="minorHAnsi" w:cstheme="minorBidi"/>
          <w:lang w:val="en-US"/>
        </w:rPr>
      </w:pPr>
      <w:r w:rsidRPr="00DD1B58">
        <w:rPr>
          <w:b/>
          <w:lang w:val="en-US"/>
        </w:rPr>
        <w:t>Second Generation AGRs (</w:t>
      </w:r>
      <w:r w:rsidR="007B4714" w:rsidRPr="00DD1B58">
        <w:rPr>
          <w:b/>
          <w:lang w:val="en-US"/>
        </w:rPr>
        <w:t>HY</w:t>
      </w:r>
      <w:r w:rsidRPr="00DD1B58">
        <w:rPr>
          <w:b/>
          <w:lang w:val="en-US"/>
        </w:rPr>
        <w:t>2)</w:t>
      </w:r>
      <w:r w:rsidR="00CD14DA" w:rsidRPr="00DD1B58">
        <w:rPr>
          <w:b/>
          <w:lang w:val="en-US"/>
        </w:rPr>
        <w:t xml:space="preserve"> </w:t>
      </w:r>
      <w:r w:rsidR="0068227F" w:rsidRPr="00DD1B58">
        <w:rPr>
          <w:b/>
          <w:noProof/>
          <w:lang w:val="en-US"/>
        </w:rPr>
        <w:t>–</w:t>
      </w:r>
      <w:r w:rsidR="00CD14DA" w:rsidRPr="00DD1B58">
        <w:rPr>
          <w:b/>
          <w:lang w:val="en-US"/>
        </w:rPr>
        <w:t xml:space="preserve"> </w:t>
      </w:r>
      <w:r w:rsidRPr="00DD1B58">
        <w:rPr>
          <w:lang w:val="en-US"/>
        </w:rPr>
        <w:t>At HY2 the Fire Hydrant System provides water for firefighting to the plant areas at risk. It also provides</w:t>
      </w:r>
      <w:r w:rsidR="00016E6A" w:rsidRPr="00DD1B58">
        <w:rPr>
          <w:lang w:val="en-US"/>
        </w:rPr>
        <w:t xml:space="preserve"> </w:t>
      </w:r>
      <w:r w:rsidRPr="00DD1B58">
        <w:rPr>
          <w:lang w:val="en-US"/>
        </w:rPr>
        <w:t xml:space="preserve">water for the Back-up Emergency Feed System, Decay Store Emergency Water Supply, Decay Heat </w:t>
      </w:r>
      <w:r w:rsidR="00A235BA" w:rsidRPr="00DD1B58">
        <w:rPr>
          <w:lang w:val="en-US"/>
        </w:rPr>
        <w:t>Reserve Feedwater Tank (</w:t>
      </w:r>
      <w:r w:rsidRPr="00DD1B58">
        <w:rPr>
          <w:lang w:val="en-US"/>
        </w:rPr>
        <w:t>RFT</w:t>
      </w:r>
      <w:r w:rsidR="00A235BA" w:rsidRPr="00DD1B58">
        <w:rPr>
          <w:lang w:val="en-US"/>
        </w:rPr>
        <w:t>)</w:t>
      </w:r>
      <w:r w:rsidRPr="00DD1B58">
        <w:rPr>
          <w:lang w:val="en-US"/>
        </w:rPr>
        <w:t xml:space="preserve"> Emergency Supply and </w:t>
      </w:r>
      <w:r w:rsidR="00A25975" w:rsidRPr="00DD1B58">
        <w:rPr>
          <w:lang w:val="en-US"/>
        </w:rPr>
        <w:t>Pressure Vessel Cooling. System (</w:t>
      </w:r>
      <w:r w:rsidRPr="00DD1B58">
        <w:rPr>
          <w:lang w:val="en-US"/>
        </w:rPr>
        <w:t>PVCS</w:t>
      </w:r>
      <w:r w:rsidR="00A25975" w:rsidRPr="00DD1B58">
        <w:rPr>
          <w:lang w:val="en-US"/>
        </w:rPr>
        <w:t>)</w:t>
      </w:r>
      <w:r w:rsidRPr="00DD1B58">
        <w:rPr>
          <w:lang w:val="en-US"/>
        </w:rPr>
        <w:t xml:space="preserve"> Alternative Cooling. It also supplies water to the hydrant ring main. </w:t>
      </w:r>
      <w:r w:rsidRPr="00DD1B58">
        <w:rPr>
          <w:rFonts w:asciiTheme="minorHAnsi" w:hAnsiTheme="minorHAnsi" w:cstheme="minorBidi"/>
          <w:lang w:val="en-US"/>
        </w:rPr>
        <w:t>Emergency Water supplies are provided to supply the hydrant ring main from three alternative sources</w:t>
      </w:r>
      <w:r w:rsidR="00B54754" w:rsidRPr="00DD1B58">
        <w:rPr>
          <w:rFonts w:asciiTheme="minorHAnsi" w:hAnsiTheme="minorHAnsi" w:cstheme="minorBidi"/>
          <w:lang w:val="en-US"/>
        </w:rPr>
        <w:t xml:space="preserve"> (</w:t>
      </w:r>
      <w:r w:rsidRPr="00DD1B58">
        <w:rPr>
          <w:lang w:val="en-US"/>
        </w:rPr>
        <w:t>HYA hydrant system</w:t>
      </w:r>
      <w:r w:rsidR="00B54754" w:rsidRPr="00DD1B58">
        <w:rPr>
          <w:lang w:val="en-US"/>
        </w:rPr>
        <w:t>, t</w:t>
      </w:r>
      <w:r w:rsidRPr="00DD1B58">
        <w:rPr>
          <w:lang w:val="en-US"/>
        </w:rPr>
        <w:t>owns water main</w:t>
      </w:r>
      <w:r w:rsidR="00B54754" w:rsidRPr="00DD1B58">
        <w:rPr>
          <w:lang w:val="en-US"/>
        </w:rPr>
        <w:t>, r</w:t>
      </w:r>
      <w:r w:rsidRPr="00DD1B58">
        <w:rPr>
          <w:lang w:val="en-US"/>
        </w:rPr>
        <w:t>eactor sea water outsurge Chamber</w:t>
      </w:r>
      <w:r w:rsidR="00B54754" w:rsidRPr="00DD1B58">
        <w:rPr>
          <w:lang w:val="en-US"/>
        </w:rPr>
        <w:t>).</w:t>
      </w:r>
      <w:r w:rsidR="00FB4CAC" w:rsidRPr="00DD1B58">
        <w:rPr>
          <w:rFonts w:asciiTheme="minorHAnsi" w:hAnsiTheme="minorHAnsi" w:cstheme="minorBidi"/>
          <w:lang w:val="en-US"/>
        </w:rPr>
        <w:t xml:space="preserve"> </w:t>
      </w:r>
      <w:r w:rsidRPr="00DD1B58">
        <w:rPr>
          <w:lang w:val="en-US"/>
        </w:rPr>
        <w:t>There is also a pumping out point to supply the Heysham 1 Fire H</w:t>
      </w:r>
      <w:r w:rsidRPr="00DD1B58">
        <w:rPr>
          <w:rFonts w:asciiTheme="minorHAnsi" w:hAnsiTheme="minorHAnsi" w:cstheme="minorBidi"/>
          <w:lang w:val="en-US"/>
        </w:rPr>
        <w:t>ydrant System. These are from the Fire Hydrant Pump Electrical Supplies.</w:t>
      </w:r>
    </w:p>
    <w:p w14:paraId="1E960F3A" w14:textId="09935635" w:rsidR="0033747B" w:rsidRPr="00DD1B58" w:rsidRDefault="00EB3E4B" w:rsidP="00B96252">
      <w:pPr>
        <w:rPr>
          <w:rFonts w:asciiTheme="minorHAnsi" w:hAnsiTheme="minorHAnsi" w:cstheme="minorBidi"/>
          <w:lang w:val="en-US"/>
        </w:rPr>
      </w:pPr>
      <w:r w:rsidRPr="00DD1B58">
        <w:rPr>
          <w:b/>
          <w:lang w:val="en-US"/>
        </w:rPr>
        <w:t>SZ</w:t>
      </w:r>
      <w:r w:rsidR="0033747B" w:rsidRPr="00DD1B58">
        <w:rPr>
          <w:b/>
          <w:lang w:val="en-US"/>
        </w:rPr>
        <w:t>B</w:t>
      </w:r>
      <w:r w:rsidR="00CD14DA" w:rsidRPr="00DD1B58">
        <w:rPr>
          <w:b/>
          <w:lang w:val="en-US"/>
        </w:rPr>
        <w:t xml:space="preserve"> </w:t>
      </w:r>
      <w:r w:rsidR="0068227F" w:rsidRPr="00DD1B58">
        <w:rPr>
          <w:b/>
          <w:noProof/>
          <w:lang w:val="en-US"/>
        </w:rPr>
        <w:t>–</w:t>
      </w:r>
      <w:r w:rsidR="00CD14DA" w:rsidRPr="00DD1B58">
        <w:rPr>
          <w:b/>
          <w:lang w:val="en-US"/>
        </w:rPr>
        <w:t xml:space="preserve"> </w:t>
      </w:r>
      <w:r w:rsidR="0033747B" w:rsidRPr="00DD1B58">
        <w:rPr>
          <w:lang w:val="en-US"/>
        </w:rPr>
        <w:t>The Water Su</w:t>
      </w:r>
      <w:r w:rsidR="0033747B" w:rsidRPr="00DD1B58">
        <w:rPr>
          <w:rFonts w:asciiTheme="minorHAnsi" w:hAnsiTheme="minorHAnsi" w:cstheme="minorBidi"/>
          <w:lang w:val="en-US"/>
        </w:rPr>
        <w:t xml:space="preserve">ppression System at SZB comprises a number of sub-systems. </w:t>
      </w:r>
      <w:r w:rsidR="24AC1D7D" w:rsidRPr="00DD1B58">
        <w:rPr>
          <w:rFonts w:asciiTheme="minorHAnsi" w:hAnsiTheme="minorHAnsi" w:cstheme="minorBidi"/>
          <w:lang w:val="en-US"/>
        </w:rPr>
        <w:t>The f</w:t>
      </w:r>
      <w:r w:rsidR="0E84D477" w:rsidRPr="00DD1B58">
        <w:rPr>
          <w:lang w:val="en-US"/>
        </w:rPr>
        <w:t>ixed</w:t>
      </w:r>
      <w:r w:rsidR="0033747B" w:rsidRPr="00DD1B58">
        <w:rPr>
          <w:lang w:val="en-US"/>
        </w:rPr>
        <w:t xml:space="preserve"> water suppression system includes the firefighting ring main, automatic and manual sprinkler sub-systems, automatic and manual water spray sub-systems, </w:t>
      </w:r>
      <w:r w:rsidR="0033747B" w:rsidRPr="00DD1B58">
        <w:rPr>
          <w:rFonts w:asciiTheme="minorHAnsi" w:hAnsiTheme="minorHAnsi" w:cstheme="minorBidi"/>
          <w:lang w:val="en-US"/>
        </w:rPr>
        <w:t xml:space="preserve">hose reel station. The firefighting pumphouse contains three fixed fire system suppression pumps, two hydrant ring main pumps and is supplied by two </w:t>
      </w:r>
      <w:r w:rsidR="00996849" w:rsidRPr="00DD1B58">
        <w:rPr>
          <w:rFonts w:asciiTheme="minorHAnsi" w:hAnsiTheme="minorHAnsi" w:cstheme="minorBidi"/>
          <w:lang w:val="en-US"/>
        </w:rPr>
        <w:t>t</w:t>
      </w:r>
      <w:r w:rsidR="0033747B" w:rsidRPr="00DD1B58">
        <w:rPr>
          <w:rFonts w:asciiTheme="minorHAnsi" w:hAnsiTheme="minorHAnsi" w:cstheme="minorBidi"/>
          <w:lang w:val="en-US"/>
        </w:rPr>
        <w:t>owns</w:t>
      </w:r>
      <w:r w:rsidR="00996849" w:rsidRPr="00DD1B58">
        <w:rPr>
          <w:rFonts w:asciiTheme="minorHAnsi" w:hAnsiTheme="minorHAnsi" w:cstheme="minorBidi"/>
          <w:lang w:val="en-US"/>
        </w:rPr>
        <w:t xml:space="preserve"> </w:t>
      </w:r>
      <w:r w:rsidR="0033747B" w:rsidRPr="00DD1B58">
        <w:rPr>
          <w:rFonts w:asciiTheme="minorHAnsi" w:hAnsiTheme="minorHAnsi" w:cstheme="minorBidi"/>
          <w:lang w:val="en-US"/>
        </w:rPr>
        <w:t>water storage tanks.</w:t>
      </w:r>
      <w:r w:rsidR="6102655D" w:rsidRPr="00DD1B58">
        <w:rPr>
          <w:rFonts w:asciiTheme="minorHAnsi" w:hAnsiTheme="minorHAnsi" w:cstheme="minorBidi"/>
          <w:lang w:val="en-US"/>
        </w:rPr>
        <w:t xml:space="preserve"> </w:t>
      </w:r>
      <w:r w:rsidR="0033747B" w:rsidRPr="00DD1B58">
        <w:rPr>
          <w:lang w:val="en-US"/>
        </w:rPr>
        <w:t>The fire hydrant system includes an external hydrant system and dry risers.</w:t>
      </w:r>
    </w:p>
    <w:p w14:paraId="7DD2DCCA" w14:textId="77777777" w:rsidR="0033747B" w:rsidRPr="00DD1B58" w:rsidRDefault="0033747B" w:rsidP="00B96252">
      <w:pPr>
        <w:rPr>
          <w:rFonts w:asciiTheme="minorHAnsi" w:hAnsiTheme="minorHAnsi" w:cstheme="minorHAnsi"/>
          <w:b/>
          <w:szCs w:val="24"/>
          <w:lang w:val="en-US"/>
        </w:rPr>
      </w:pPr>
      <w:r w:rsidRPr="00DD1B58">
        <w:rPr>
          <w:b/>
          <w:bCs/>
          <w:lang w:val="en-US"/>
        </w:rPr>
        <w:t>Capac</w:t>
      </w:r>
      <w:r w:rsidRPr="00DD1B58">
        <w:rPr>
          <w:rFonts w:asciiTheme="minorHAnsi" w:hAnsiTheme="minorHAnsi" w:cstheme="minorBidi"/>
          <w:b/>
          <w:lang w:val="en-US"/>
        </w:rPr>
        <w:t>ity of suppression systems</w:t>
      </w:r>
    </w:p>
    <w:p w14:paraId="1D6D1E7B" w14:textId="42B4D44E" w:rsidR="0033747B" w:rsidRPr="00DD1B58" w:rsidRDefault="0033747B" w:rsidP="00B96252">
      <w:pPr>
        <w:rPr>
          <w:rFonts w:asciiTheme="minorHAnsi" w:hAnsiTheme="minorHAnsi" w:cstheme="minorBidi"/>
          <w:lang w:val="en-US"/>
        </w:rPr>
      </w:pPr>
      <w:r w:rsidRPr="00DD1B58">
        <w:rPr>
          <w:b/>
          <w:lang w:val="en-US"/>
        </w:rPr>
        <w:t>General</w:t>
      </w:r>
      <w:r w:rsidR="00CD14DA" w:rsidRPr="00DD1B58">
        <w:rPr>
          <w:b/>
          <w:lang w:val="en-US"/>
        </w:rPr>
        <w:t xml:space="preserve"> </w:t>
      </w:r>
      <w:r w:rsidR="003C03EF" w:rsidRPr="00DD1B58">
        <w:rPr>
          <w:b/>
          <w:lang w:val="en-US"/>
        </w:rPr>
        <w:t>–</w:t>
      </w:r>
      <w:r w:rsidR="00CD14DA" w:rsidRPr="00DD1B58">
        <w:rPr>
          <w:b/>
          <w:lang w:val="en-US"/>
        </w:rPr>
        <w:t xml:space="preserve"> </w:t>
      </w:r>
      <w:r w:rsidR="003C03EF" w:rsidRPr="00DD1B58">
        <w:rPr>
          <w:lang w:val="en-US"/>
        </w:rPr>
        <w:t>EDF NGL report</w:t>
      </w:r>
      <w:r w:rsidR="00806A1F" w:rsidRPr="00DD1B58">
        <w:rPr>
          <w:lang w:val="en-US"/>
        </w:rPr>
        <w:t>s</w:t>
      </w:r>
      <w:r w:rsidR="003C03EF" w:rsidRPr="00DD1B58">
        <w:rPr>
          <w:lang w:val="en-US"/>
        </w:rPr>
        <w:t xml:space="preserve"> that all </w:t>
      </w:r>
      <w:r w:rsidRPr="00DD1B58">
        <w:rPr>
          <w:lang w:val="en-US"/>
        </w:rPr>
        <w:t>fire suppression systems are de</w:t>
      </w:r>
      <w:r w:rsidRPr="00DD1B58">
        <w:rPr>
          <w:rFonts w:asciiTheme="minorHAnsi" w:hAnsiTheme="minorHAnsi" w:cstheme="minorBidi"/>
          <w:lang w:val="en-US"/>
        </w:rPr>
        <w:t>signed to the British Standards, with diversity, redundancy, independence, testability, failsafe requirements and segregation</w:t>
      </w:r>
      <w:r w:rsidR="005D5C50" w:rsidRPr="00DD1B58">
        <w:rPr>
          <w:rFonts w:asciiTheme="minorHAnsi" w:hAnsiTheme="minorHAnsi" w:cstheme="minorBidi"/>
          <w:lang w:val="en-US"/>
        </w:rPr>
        <w:t>/</w:t>
      </w:r>
      <w:r w:rsidRPr="00DD1B58">
        <w:rPr>
          <w:rFonts w:asciiTheme="minorHAnsi" w:hAnsiTheme="minorHAnsi" w:cstheme="minorBidi"/>
          <w:lang w:val="en-US"/>
        </w:rPr>
        <w:t xml:space="preserve">separation as required. </w:t>
      </w:r>
      <w:r w:rsidR="003C03EF" w:rsidRPr="00DD1B58">
        <w:rPr>
          <w:rFonts w:asciiTheme="minorHAnsi" w:hAnsiTheme="minorHAnsi" w:cstheme="minorBidi"/>
          <w:lang w:val="en-US"/>
        </w:rPr>
        <w:t>EDF NGL state</w:t>
      </w:r>
      <w:r w:rsidR="00806A1F" w:rsidRPr="00DD1B58">
        <w:rPr>
          <w:rFonts w:asciiTheme="minorHAnsi" w:hAnsiTheme="minorHAnsi" w:cstheme="minorBidi"/>
          <w:lang w:val="en-US"/>
        </w:rPr>
        <w:t>s</w:t>
      </w:r>
      <w:r w:rsidR="003C03EF" w:rsidRPr="00DD1B58">
        <w:rPr>
          <w:rFonts w:asciiTheme="minorHAnsi" w:hAnsiTheme="minorHAnsi" w:cstheme="minorBidi"/>
          <w:lang w:val="en-US"/>
        </w:rPr>
        <w:t xml:space="preserve"> that this </w:t>
      </w:r>
      <w:r w:rsidRPr="00DD1B58">
        <w:rPr>
          <w:rFonts w:asciiTheme="minorHAnsi" w:hAnsiTheme="minorHAnsi" w:cstheme="minorBidi"/>
          <w:lang w:val="en-US"/>
        </w:rPr>
        <w:t xml:space="preserve">provides a high degree of confidence that fires will be detected and suppressed with greater than a 95% probability of success. </w:t>
      </w:r>
      <w:r w:rsidR="003C03EF" w:rsidRPr="00DD1B58">
        <w:rPr>
          <w:rFonts w:asciiTheme="minorHAnsi" w:hAnsiTheme="minorHAnsi" w:cstheme="minorBidi"/>
          <w:lang w:val="en-US"/>
        </w:rPr>
        <w:t>EDF NGL report</w:t>
      </w:r>
      <w:r w:rsidR="00806A1F" w:rsidRPr="00DD1B58">
        <w:rPr>
          <w:rFonts w:asciiTheme="minorHAnsi" w:hAnsiTheme="minorHAnsi" w:cstheme="minorBidi"/>
          <w:lang w:val="en-US"/>
        </w:rPr>
        <w:t>s</w:t>
      </w:r>
      <w:r w:rsidR="003C03EF" w:rsidRPr="00DD1B58">
        <w:rPr>
          <w:rFonts w:asciiTheme="minorHAnsi" w:hAnsiTheme="minorHAnsi" w:cstheme="minorBidi"/>
          <w:lang w:val="en-US"/>
        </w:rPr>
        <w:t xml:space="preserve"> that w</w:t>
      </w:r>
      <w:r w:rsidRPr="00DD1B58">
        <w:rPr>
          <w:rFonts w:asciiTheme="minorHAnsi" w:hAnsiTheme="minorHAnsi" w:cstheme="minorBidi"/>
          <w:lang w:val="en-US"/>
        </w:rPr>
        <w:t>ater</w:t>
      </w:r>
      <w:r w:rsidR="003C03EF" w:rsidRPr="00DD1B58">
        <w:rPr>
          <w:rFonts w:asciiTheme="minorHAnsi" w:hAnsiTheme="minorHAnsi" w:cstheme="minorBidi"/>
          <w:lang w:val="en-US"/>
        </w:rPr>
        <w:t>-</w:t>
      </w:r>
      <w:r w:rsidRPr="00DD1B58">
        <w:rPr>
          <w:rFonts w:asciiTheme="minorHAnsi" w:hAnsiTheme="minorHAnsi" w:cstheme="minorBidi"/>
          <w:lang w:val="en-US"/>
        </w:rPr>
        <w:t xml:space="preserve">based suppression </w:t>
      </w:r>
      <w:r w:rsidR="00206979" w:rsidRPr="00DD1B58">
        <w:rPr>
          <w:rFonts w:asciiTheme="minorHAnsi" w:hAnsiTheme="minorHAnsi" w:cstheme="minorBidi"/>
          <w:lang w:val="en-US"/>
        </w:rPr>
        <w:t>s</w:t>
      </w:r>
      <w:r w:rsidRPr="00DD1B58">
        <w:rPr>
          <w:rFonts w:asciiTheme="minorHAnsi" w:hAnsiTheme="minorHAnsi" w:cstheme="minorBidi"/>
          <w:lang w:val="en-US"/>
        </w:rPr>
        <w:t>ystem capacities are sized for the maximum credible demand on station (which is a full turbine centre line fire).</w:t>
      </w:r>
      <w:r w:rsidR="61FEC469" w:rsidRPr="00DD1B58">
        <w:rPr>
          <w:rFonts w:asciiTheme="minorHAnsi" w:hAnsiTheme="minorHAnsi" w:cstheme="minorBidi"/>
          <w:lang w:val="en-US"/>
        </w:rPr>
        <w:t xml:space="preserve"> The licensee’s </w:t>
      </w:r>
      <w:r w:rsidR="007D5EDA" w:rsidRPr="00DD1B58">
        <w:rPr>
          <w:rFonts w:asciiTheme="minorHAnsi" w:hAnsiTheme="minorHAnsi" w:cstheme="minorBidi"/>
          <w:lang w:val="en-US"/>
        </w:rPr>
        <w:t xml:space="preserve">self-assessment report </w:t>
      </w:r>
      <w:sdt>
        <w:sdtPr>
          <w:rPr>
            <w:rFonts w:asciiTheme="minorHAnsi" w:hAnsiTheme="minorHAnsi" w:cstheme="minorBidi"/>
            <w:lang w:val="en-US"/>
          </w:rPr>
          <w:id w:val="-253367363"/>
          <w:citation/>
        </w:sdtPr>
        <w:sdtContent>
          <w:r w:rsidR="00BE3B50" w:rsidRPr="00DD1B58">
            <w:rPr>
              <w:rFonts w:asciiTheme="minorHAnsi" w:hAnsiTheme="minorHAnsi" w:cstheme="minorBidi"/>
              <w:lang w:val="en-US"/>
            </w:rPr>
            <w:fldChar w:fldCharType="begin"/>
          </w:r>
          <w:r w:rsidR="00BE3B50" w:rsidRPr="00DD1B58">
            <w:rPr>
              <w:rFonts w:asciiTheme="minorHAnsi" w:hAnsiTheme="minorHAnsi" w:cstheme="minorBidi"/>
              <w:lang w:val="en-US"/>
            </w:rPr>
            <w:instrText xml:space="preserve"> CITATION EDF231 \l 2057 </w:instrText>
          </w:r>
          <w:r w:rsidR="00BE3B50" w:rsidRPr="00DD1B58">
            <w:rPr>
              <w:rFonts w:asciiTheme="minorHAnsi" w:hAnsiTheme="minorHAnsi" w:cstheme="minorBidi"/>
              <w:lang w:val="en-US"/>
            </w:rPr>
            <w:fldChar w:fldCharType="separate"/>
          </w:r>
          <w:r w:rsidR="00DF47DA" w:rsidRPr="00DF47DA">
            <w:rPr>
              <w:rFonts w:asciiTheme="minorHAnsi" w:hAnsiTheme="minorHAnsi" w:cstheme="minorBidi"/>
              <w:noProof/>
              <w:lang w:val="en-US"/>
            </w:rPr>
            <w:t>[25]</w:t>
          </w:r>
          <w:r w:rsidR="00BE3B50" w:rsidRPr="00DD1B58">
            <w:rPr>
              <w:rFonts w:asciiTheme="minorHAnsi" w:hAnsiTheme="minorHAnsi" w:cstheme="minorBidi"/>
              <w:lang w:val="en-US"/>
            </w:rPr>
            <w:fldChar w:fldCharType="end"/>
          </w:r>
        </w:sdtContent>
      </w:sdt>
      <w:r w:rsidR="61FEC469" w:rsidRPr="00DD1B58">
        <w:rPr>
          <w:rFonts w:asciiTheme="minorHAnsi" w:hAnsiTheme="minorHAnsi" w:cstheme="minorBidi"/>
          <w:lang w:val="en-US"/>
        </w:rPr>
        <w:t xml:space="preserve"> provides further detail on the specific equipment provided at each station. </w:t>
      </w:r>
    </w:p>
    <w:p w14:paraId="7E371A23" w14:textId="77777777" w:rsidR="0033747B" w:rsidRPr="00DD1B58" w:rsidRDefault="0033747B" w:rsidP="00B96252">
      <w:pPr>
        <w:rPr>
          <w:rFonts w:asciiTheme="minorHAnsi" w:hAnsiTheme="minorHAnsi" w:cstheme="minorHAnsi"/>
          <w:b/>
          <w:szCs w:val="24"/>
          <w:lang w:val="en-US"/>
        </w:rPr>
      </w:pPr>
      <w:r w:rsidRPr="00DD1B58">
        <w:rPr>
          <w:b/>
          <w:bCs/>
          <w:lang w:val="en-US"/>
        </w:rPr>
        <w:t>Balance between automatic and manual systems</w:t>
      </w:r>
    </w:p>
    <w:p w14:paraId="22F2BF88" w14:textId="7586649D" w:rsidR="0033747B" w:rsidRPr="00DD1B58" w:rsidRDefault="0033747B" w:rsidP="00B96252">
      <w:pPr>
        <w:rPr>
          <w:rFonts w:asciiTheme="minorHAnsi" w:hAnsiTheme="minorHAnsi" w:cstheme="minorHAnsi"/>
          <w:szCs w:val="24"/>
          <w:lang w:val="en-US"/>
        </w:rPr>
      </w:pPr>
      <w:r w:rsidRPr="00DD1B58">
        <w:rPr>
          <w:b/>
          <w:lang w:val="en-US"/>
        </w:rPr>
        <w:t>General</w:t>
      </w:r>
      <w:r w:rsidR="00D9179F" w:rsidRPr="00DD1B58">
        <w:rPr>
          <w:b/>
          <w:lang w:val="en-US"/>
        </w:rPr>
        <w:t xml:space="preserve"> </w:t>
      </w:r>
      <w:r w:rsidR="0068227F" w:rsidRPr="00DD1B58">
        <w:rPr>
          <w:b/>
          <w:noProof/>
          <w:lang w:val="en-US"/>
        </w:rPr>
        <w:t>–</w:t>
      </w:r>
      <w:r w:rsidR="00D9179F" w:rsidRPr="00DD1B58">
        <w:rPr>
          <w:b/>
          <w:lang w:val="en-US"/>
        </w:rPr>
        <w:t xml:space="preserve"> </w:t>
      </w:r>
      <w:r w:rsidR="0084653B" w:rsidRPr="00DD1B58">
        <w:rPr>
          <w:lang w:val="en-US"/>
        </w:rPr>
        <w:t>EDF NGL report</w:t>
      </w:r>
      <w:r w:rsidR="00E45D7A" w:rsidRPr="00DD1B58">
        <w:rPr>
          <w:lang w:val="en-US"/>
        </w:rPr>
        <w:t>s</w:t>
      </w:r>
      <w:r w:rsidR="0084653B" w:rsidRPr="00DD1B58">
        <w:rPr>
          <w:lang w:val="en-US"/>
        </w:rPr>
        <w:t xml:space="preserve"> that if </w:t>
      </w:r>
      <w:r w:rsidRPr="00DD1B58">
        <w:rPr>
          <w:lang w:val="en-US"/>
        </w:rPr>
        <w:t xml:space="preserve">a fire suppression system is claimed for </w:t>
      </w:r>
      <w:r w:rsidRPr="00DD1B58">
        <w:rPr>
          <w:rFonts w:asciiTheme="minorHAnsi" w:hAnsiTheme="minorHAnsi" w:cstheme="minorHAnsi"/>
          <w:szCs w:val="24"/>
          <w:lang w:val="en-US"/>
        </w:rPr>
        <w:t xml:space="preserve">nuclear safety </w:t>
      </w:r>
      <w:r w:rsidR="0084653B" w:rsidRPr="00DD1B58">
        <w:rPr>
          <w:rFonts w:asciiTheme="minorHAnsi" w:hAnsiTheme="minorHAnsi" w:cstheme="minorHAnsi"/>
          <w:szCs w:val="24"/>
          <w:lang w:val="en-US"/>
        </w:rPr>
        <w:t xml:space="preserve">and </w:t>
      </w:r>
      <w:r w:rsidRPr="00DD1B58">
        <w:rPr>
          <w:rFonts w:asciiTheme="minorHAnsi" w:hAnsiTheme="minorHAnsi" w:cstheme="minorHAnsi"/>
          <w:szCs w:val="24"/>
          <w:lang w:val="en-US"/>
        </w:rPr>
        <w:t xml:space="preserve">is not automatic, </w:t>
      </w:r>
      <w:r w:rsidR="0084653B" w:rsidRPr="00DD1B58">
        <w:rPr>
          <w:rFonts w:asciiTheme="minorHAnsi" w:hAnsiTheme="minorHAnsi" w:cstheme="minorHAnsi"/>
          <w:szCs w:val="24"/>
          <w:lang w:val="en-US"/>
        </w:rPr>
        <w:t xml:space="preserve">it makes no </w:t>
      </w:r>
      <w:r w:rsidRPr="00DD1B58">
        <w:rPr>
          <w:rFonts w:asciiTheme="minorHAnsi" w:hAnsiTheme="minorHAnsi" w:cstheme="minorHAnsi"/>
          <w:szCs w:val="24"/>
          <w:lang w:val="en-US"/>
        </w:rPr>
        <w:t>claims on operator actions for 3</w:t>
      </w:r>
      <w:r w:rsidR="007D5EDA" w:rsidRPr="00DD1B58">
        <w:rPr>
          <w:rFonts w:asciiTheme="minorHAnsi" w:hAnsiTheme="minorHAnsi" w:cstheme="minorHAnsi"/>
          <w:szCs w:val="24"/>
          <w:lang w:val="en-US"/>
        </w:rPr>
        <w:t>-</w:t>
      </w:r>
      <w:r w:rsidRPr="00DD1B58">
        <w:rPr>
          <w:rFonts w:asciiTheme="minorHAnsi" w:hAnsiTheme="minorHAnsi" w:cstheme="minorHAnsi"/>
          <w:szCs w:val="24"/>
          <w:lang w:val="en-US"/>
        </w:rPr>
        <w:t>hours after event initiation</w:t>
      </w:r>
      <w:r w:rsidR="00996849" w:rsidRPr="00DD1B58">
        <w:rPr>
          <w:rFonts w:asciiTheme="minorHAnsi" w:hAnsiTheme="minorHAnsi" w:cstheme="minorHAnsi"/>
          <w:szCs w:val="24"/>
          <w:lang w:val="en-US"/>
        </w:rPr>
        <w:t xml:space="preserve"> </w:t>
      </w:r>
      <w:r w:rsidR="0084653B" w:rsidRPr="00DD1B58">
        <w:rPr>
          <w:rFonts w:asciiTheme="minorHAnsi" w:hAnsiTheme="minorHAnsi" w:cstheme="minorHAnsi"/>
          <w:szCs w:val="24"/>
          <w:lang w:val="en-US"/>
        </w:rPr>
        <w:t>so,</w:t>
      </w:r>
      <w:r w:rsidR="00996849" w:rsidRPr="00DD1B58">
        <w:rPr>
          <w:rFonts w:asciiTheme="minorHAnsi" w:hAnsiTheme="minorHAnsi" w:cstheme="minorHAnsi"/>
          <w:szCs w:val="24"/>
          <w:lang w:val="en-US"/>
        </w:rPr>
        <w:t xml:space="preserve"> </w:t>
      </w:r>
      <w:r w:rsidRPr="00DD1B58">
        <w:rPr>
          <w:rFonts w:asciiTheme="minorHAnsi" w:hAnsiTheme="minorHAnsi" w:cstheme="minorHAnsi"/>
          <w:szCs w:val="24"/>
          <w:lang w:val="en-US"/>
        </w:rPr>
        <w:t>in practice</w:t>
      </w:r>
      <w:r w:rsidR="0084653B" w:rsidRPr="00DD1B58">
        <w:rPr>
          <w:rFonts w:asciiTheme="minorHAnsi" w:hAnsiTheme="minorHAnsi" w:cstheme="minorHAnsi"/>
          <w:szCs w:val="24"/>
          <w:lang w:val="en-US"/>
        </w:rPr>
        <w:t>,</w:t>
      </w:r>
      <w:r w:rsidRPr="00DD1B58">
        <w:rPr>
          <w:rFonts w:asciiTheme="minorHAnsi" w:hAnsiTheme="minorHAnsi" w:cstheme="minorHAnsi"/>
          <w:szCs w:val="24"/>
          <w:lang w:val="en-US"/>
        </w:rPr>
        <w:t xml:space="preserve"> manually operated systems are not claimed for nuclear safety purposes, only for defence in depth.</w:t>
      </w:r>
    </w:p>
    <w:p w14:paraId="55AA7FF9" w14:textId="7C7B9363" w:rsidR="0033747B" w:rsidRPr="00DD1B58" w:rsidRDefault="0033747B" w:rsidP="00B96252">
      <w:pPr>
        <w:rPr>
          <w:rFonts w:asciiTheme="minorHAnsi" w:hAnsiTheme="minorHAnsi" w:cstheme="minorHAnsi"/>
          <w:szCs w:val="24"/>
          <w:lang w:val="en-US"/>
        </w:rPr>
      </w:pPr>
      <w:r w:rsidRPr="00DD1B58">
        <w:rPr>
          <w:b/>
          <w:lang w:val="en-US"/>
        </w:rPr>
        <w:t>First Generation AGRs (</w:t>
      </w:r>
      <w:r w:rsidR="0084653B" w:rsidRPr="00DD1B58">
        <w:rPr>
          <w:b/>
          <w:lang w:val="en-US"/>
        </w:rPr>
        <w:t>HN</w:t>
      </w:r>
      <w:r w:rsidRPr="00DD1B58">
        <w:rPr>
          <w:rFonts w:asciiTheme="minorHAnsi" w:hAnsiTheme="minorHAnsi" w:cstheme="minorHAnsi"/>
          <w:b/>
          <w:szCs w:val="24"/>
          <w:lang w:val="en-US"/>
        </w:rPr>
        <w:t>B)</w:t>
      </w:r>
      <w:r w:rsidR="00D9179F" w:rsidRPr="00DD1B58">
        <w:rPr>
          <w:rFonts w:asciiTheme="minorHAnsi" w:hAnsiTheme="minorHAnsi" w:cstheme="minorHAnsi"/>
          <w:b/>
          <w:szCs w:val="24"/>
          <w:lang w:val="en-US"/>
        </w:rPr>
        <w:t xml:space="preserve"> </w:t>
      </w:r>
      <w:r w:rsidR="0068227F" w:rsidRPr="00DD1B58">
        <w:rPr>
          <w:b/>
          <w:noProof/>
          <w:lang w:val="en-US"/>
        </w:rPr>
        <w:t>–</w:t>
      </w:r>
      <w:r w:rsidR="00D9179F" w:rsidRPr="00DD1B58">
        <w:rPr>
          <w:rFonts w:asciiTheme="minorHAnsi" w:hAnsiTheme="minorHAnsi" w:cstheme="minorHAnsi"/>
          <w:b/>
          <w:szCs w:val="24"/>
          <w:lang w:val="en-US"/>
        </w:rPr>
        <w:t xml:space="preserve"> </w:t>
      </w:r>
      <w:r w:rsidRPr="00DD1B58">
        <w:rPr>
          <w:lang w:val="en-US"/>
        </w:rPr>
        <w:t xml:space="preserve">At HNB </w:t>
      </w:r>
      <w:r w:rsidR="0084653B" w:rsidRPr="00DD1B58">
        <w:rPr>
          <w:lang w:val="en-US"/>
        </w:rPr>
        <w:t xml:space="preserve">EDF NGL uses </w:t>
      </w:r>
      <w:r w:rsidRPr="00DD1B58">
        <w:rPr>
          <w:lang w:val="en-US"/>
        </w:rPr>
        <w:t>the standard Engineering Change (EC)</w:t>
      </w:r>
      <w:r w:rsidRPr="00DD1B58">
        <w:rPr>
          <w:rFonts w:asciiTheme="minorHAnsi" w:hAnsiTheme="minorHAnsi" w:cstheme="minorHAnsi"/>
          <w:szCs w:val="24"/>
          <w:lang w:val="en-US"/>
        </w:rPr>
        <w:t xml:space="preserve"> process to determine the individual system requirements and the consequences of failure to deluge to nuclear significant plant. As the station is now </w:t>
      </w:r>
      <w:r w:rsidR="00B64860" w:rsidRPr="00DD1B58">
        <w:rPr>
          <w:rFonts w:asciiTheme="minorHAnsi" w:hAnsiTheme="minorHAnsi" w:cstheme="minorHAnsi"/>
          <w:szCs w:val="24"/>
          <w:lang w:val="en-US"/>
        </w:rPr>
        <w:t>defueling</w:t>
      </w:r>
      <w:r w:rsidRPr="00DD1B58">
        <w:rPr>
          <w:rFonts w:asciiTheme="minorHAnsi" w:hAnsiTheme="minorHAnsi" w:cstheme="minorHAnsi"/>
          <w:szCs w:val="24"/>
          <w:lang w:val="en-US"/>
        </w:rPr>
        <w:t xml:space="preserve"> there has been a reduction in the number of nuclear</w:t>
      </w:r>
      <w:r w:rsidR="00F05459" w:rsidRPr="00DD1B58">
        <w:rPr>
          <w:rFonts w:asciiTheme="minorHAnsi" w:hAnsiTheme="minorHAnsi" w:cstheme="minorHAnsi"/>
          <w:szCs w:val="24"/>
          <w:lang w:val="en-US"/>
        </w:rPr>
        <w:t xml:space="preserve"> </w:t>
      </w:r>
      <w:r w:rsidRPr="00DD1B58">
        <w:rPr>
          <w:rFonts w:asciiTheme="minorHAnsi" w:hAnsiTheme="minorHAnsi" w:cstheme="minorHAnsi"/>
          <w:szCs w:val="24"/>
          <w:lang w:val="en-US"/>
        </w:rPr>
        <w:t xml:space="preserve">significant areas. </w:t>
      </w:r>
      <w:r w:rsidR="00583676" w:rsidRPr="00DD1B58">
        <w:rPr>
          <w:rFonts w:asciiTheme="minorHAnsi" w:hAnsiTheme="minorHAnsi" w:cstheme="minorHAnsi"/>
          <w:szCs w:val="24"/>
          <w:lang w:val="en-US"/>
        </w:rPr>
        <w:t xml:space="preserve">EDF NGL is currently progressing a </w:t>
      </w:r>
      <w:r w:rsidRPr="00DD1B58">
        <w:rPr>
          <w:rFonts w:asciiTheme="minorHAnsi" w:hAnsiTheme="minorHAnsi" w:cstheme="minorHAnsi"/>
          <w:szCs w:val="24"/>
          <w:lang w:val="en-US"/>
        </w:rPr>
        <w:t>case to remove foam systems from the fire safety case.</w:t>
      </w:r>
    </w:p>
    <w:p w14:paraId="08FC5CCF" w14:textId="3CA97F1F" w:rsidR="0033747B" w:rsidRPr="00DD1B58" w:rsidRDefault="0033747B" w:rsidP="00B96252">
      <w:pPr>
        <w:rPr>
          <w:rFonts w:asciiTheme="minorHAnsi" w:hAnsiTheme="minorHAnsi" w:cstheme="minorBidi"/>
          <w:lang w:val="en-US"/>
        </w:rPr>
      </w:pPr>
      <w:r w:rsidRPr="00DD1B58">
        <w:rPr>
          <w:b/>
          <w:lang w:val="en-US"/>
        </w:rPr>
        <w:t>Second Generation AGRs (</w:t>
      </w:r>
      <w:r w:rsidR="00583676" w:rsidRPr="00DD1B58">
        <w:rPr>
          <w:b/>
          <w:lang w:val="en-US"/>
        </w:rPr>
        <w:t>HY</w:t>
      </w:r>
      <w:r w:rsidRPr="00DD1B58">
        <w:rPr>
          <w:b/>
          <w:lang w:val="en-US"/>
        </w:rPr>
        <w:t>2)</w:t>
      </w:r>
      <w:r w:rsidR="00D9179F" w:rsidRPr="00DD1B58">
        <w:rPr>
          <w:b/>
          <w:lang w:val="en-US"/>
        </w:rPr>
        <w:t xml:space="preserve"> </w:t>
      </w:r>
      <w:r w:rsidR="48EAE8E4" w:rsidRPr="00DD1B58">
        <w:rPr>
          <w:b/>
          <w:lang w:val="en-US"/>
        </w:rPr>
        <w:t xml:space="preserve">and </w:t>
      </w:r>
      <w:r w:rsidR="00583676" w:rsidRPr="00DD1B58">
        <w:rPr>
          <w:b/>
          <w:lang w:val="en-US"/>
        </w:rPr>
        <w:t>SZ</w:t>
      </w:r>
      <w:r w:rsidR="48EAE8E4" w:rsidRPr="00DD1B58">
        <w:rPr>
          <w:b/>
          <w:lang w:val="en-US"/>
        </w:rPr>
        <w:t xml:space="preserve">B </w:t>
      </w:r>
      <w:r w:rsidR="0068227F" w:rsidRPr="00DD1B58">
        <w:rPr>
          <w:b/>
          <w:noProof/>
          <w:lang w:val="en-US"/>
        </w:rPr>
        <w:t>–</w:t>
      </w:r>
      <w:r w:rsidR="44DCA920" w:rsidRPr="00DD1B58">
        <w:rPr>
          <w:bCs/>
          <w:lang w:val="en-US"/>
        </w:rPr>
        <w:t xml:space="preserve"> </w:t>
      </w:r>
      <w:r w:rsidR="00583676" w:rsidRPr="00DD1B58">
        <w:rPr>
          <w:bCs/>
          <w:lang w:val="en-US"/>
        </w:rPr>
        <w:t>EDF NGL report</w:t>
      </w:r>
      <w:r w:rsidR="00367491" w:rsidRPr="00DD1B58">
        <w:rPr>
          <w:bCs/>
          <w:lang w:val="en-US"/>
        </w:rPr>
        <w:t>s</w:t>
      </w:r>
      <w:r w:rsidR="00D776E2" w:rsidRPr="00DD1B58">
        <w:rPr>
          <w:bCs/>
          <w:lang w:val="en-US"/>
        </w:rPr>
        <w:t xml:space="preserve"> that</w:t>
      </w:r>
      <w:r w:rsidR="00583676" w:rsidRPr="00DD1B58">
        <w:rPr>
          <w:bCs/>
          <w:lang w:val="en-US"/>
        </w:rPr>
        <w:t xml:space="preserve"> </w:t>
      </w:r>
      <w:r w:rsidR="00D776E2" w:rsidRPr="00DD1B58">
        <w:rPr>
          <w:bCs/>
          <w:lang w:val="en-US"/>
        </w:rPr>
        <w:t>t</w:t>
      </w:r>
      <w:r w:rsidR="00583676" w:rsidRPr="00DD1B58">
        <w:rPr>
          <w:bCs/>
          <w:lang w:val="en-US"/>
        </w:rPr>
        <w:t>his is not applicable a</w:t>
      </w:r>
      <w:r w:rsidR="0E84D477" w:rsidRPr="00DD1B58">
        <w:rPr>
          <w:bCs/>
          <w:lang w:val="en-US"/>
        </w:rPr>
        <w:t xml:space="preserve">t HY2 </w:t>
      </w:r>
      <w:r w:rsidR="3D41BF16" w:rsidRPr="00DD1B58">
        <w:rPr>
          <w:bCs/>
          <w:lang w:val="en-US"/>
        </w:rPr>
        <w:t>and SZB</w:t>
      </w:r>
      <w:r w:rsidRPr="00DD1B58">
        <w:rPr>
          <w:bCs/>
          <w:lang w:val="en-US"/>
        </w:rPr>
        <w:t xml:space="preserve"> as the </w:t>
      </w:r>
      <w:r w:rsidR="00583676" w:rsidRPr="00DD1B58">
        <w:rPr>
          <w:bCs/>
          <w:lang w:val="en-US"/>
        </w:rPr>
        <w:t>s</w:t>
      </w:r>
      <w:r w:rsidRPr="00DD1B58">
        <w:rPr>
          <w:bCs/>
          <w:lang w:val="en-US"/>
        </w:rPr>
        <w:t xml:space="preserve">afety </w:t>
      </w:r>
      <w:r w:rsidR="00583676" w:rsidRPr="00DD1B58">
        <w:rPr>
          <w:bCs/>
          <w:lang w:val="en-US"/>
        </w:rPr>
        <w:t>c</w:t>
      </w:r>
      <w:r w:rsidRPr="00DD1B58">
        <w:rPr>
          <w:bCs/>
          <w:lang w:val="en-US"/>
        </w:rPr>
        <w:t>ase</w:t>
      </w:r>
      <w:r w:rsidRPr="00DD1B58">
        <w:rPr>
          <w:lang w:val="en-US"/>
        </w:rPr>
        <w:t xml:space="preserve"> is built </w:t>
      </w:r>
      <w:r w:rsidRPr="00DD1B58">
        <w:rPr>
          <w:rFonts w:asciiTheme="minorHAnsi" w:hAnsiTheme="minorHAnsi" w:cstheme="minorBidi"/>
          <w:lang w:val="en-US"/>
        </w:rPr>
        <w:t xml:space="preserve">upon passive fire protection (except for a small number of critical areas </w:t>
      </w:r>
      <w:r w:rsidR="3CC11105" w:rsidRPr="00DD1B58">
        <w:rPr>
          <w:rFonts w:asciiTheme="minorHAnsi" w:hAnsiTheme="minorHAnsi" w:cstheme="minorBidi"/>
          <w:lang w:val="en-US"/>
        </w:rPr>
        <w:t xml:space="preserve">at HY2 </w:t>
      </w:r>
      <w:r w:rsidRPr="00DD1B58">
        <w:rPr>
          <w:rFonts w:asciiTheme="minorHAnsi" w:hAnsiTheme="minorHAnsi" w:cstheme="minorBidi"/>
          <w:lang w:val="en-US"/>
        </w:rPr>
        <w:t xml:space="preserve">as noted in Section </w:t>
      </w:r>
      <w:r w:rsidR="00814B39" w:rsidRPr="00DD1B58">
        <w:rPr>
          <w:rFonts w:asciiTheme="minorHAnsi" w:hAnsiTheme="minorHAnsi" w:cstheme="minorBidi"/>
          <w:lang w:val="en-US"/>
        </w:rPr>
        <w:t>A-I-</w:t>
      </w:r>
      <w:r w:rsidRPr="00DD1B58">
        <w:rPr>
          <w:rFonts w:asciiTheme="minorHAnsi" w:hAnsiTheme="minorHAnsi" w:cstheme="minorBidi"/>
          <w:lang w:val="en-US"/>
        </w:rPr>
        <w:t>3.2.2.1).</w:t>
      </w:r>
    </w:p>
    <w:p w14:paraId="54813383" w14:textId="77777777" w:rsidR="0033747B" w:rsidRPr="00DD1B58" w:rsidRDefault="0033747B" w:rsidP="00B96252">
      <w:pPr>
        <w:rPr>
          <w:rFonts w:asciiTheme="minorHAnsi" w:hAnsiTheme="minorHAnsi" w:cstheme="minorHAnsi"/>
          <w:b/>
          <w:szCs w:val="24"/>
          <w:lang w:val="en-US"/>
        </w:rPr>
      </w:pPr>
      <w:r w:rsidRPr="00DD1B58">
        <w:rPr>
          <w:b/>
          <w:bCs/>
          <w:lang w:val="en-US"/>
        </w:rPr>
        <w:t>Accessibility considerations</w:t>
      </w:r>
    </w:p>
    <w:p w14:paraId="7BA1F8E9" w14:textId="74BB4314" w:rsidR="0033747B" w:rsidRPr="00DD1B58" w:rsidRDefault="0033747B" w:rsidP="00B96252">
      <w:pPr>
        <w:rPr>
          <w:rFonts w:asciiTheme="minorHAnsi" w:hAnsiTheme="minorHAnsi" w:cstheme="minorHAnsi"/>
          <w:szCs w:val="24"/>
          <w:lang w:val="en-US"/>
        </w:rPr>
      </w:pPr>
      <w:r w:rsidRPr="00DD1B58">
        <w:rPr>
          <w:b/>
          <w:lang w:val="en-US"/>
        </w:rPr>
        <w:t>General</w:t>
      </w:r>
      <w:r w:rsidR="00D9179F" w:rsidRPr="00DD1B58">
        <w:rPr>
          <w:b/>
          <w:lang w:val="en-US"/>
        </w:rPr>
        <w:t xml:space="preserve"> </w:t>
      </w:r>
      <w:r w:rsidR="0079572E" w:rsidRPr="00DD1B58">
        <w:rPr>
          <w:b/>
          <w:lang w:val="en-US"/>
        </w:rPr>
        <w:t>–</w:t>
      </w:r>
      <w:r w:rsidR="00D9179F" w:rsidRPr="00DD1B58">
        <w:rPr>
          <w:b/>
          <w:lang w:val="en-US"/>
        </w:rPr>
        <w:t xml:space="preserve"> </w:t>
      </w:r>
      <w:r w:rsidR="0079572E" w:rsidRPr="00DD1B58">
        <w:rPr>
          <w:lang w:val="en-US"/>
        </w:rPr>
        <w:t>EDF NGL state</w:t>
      </w:r>
      <w:r w:rsidR="009B5B59" w:rsidRPr="00DD1B58">
        <w:rPr>
          <w:lang w:val="en-US"/>
        </w:rPr>
        <w:t>s</w:t>
      </w:r>
      <w:r w:rsidR="0079572E" w:rsidRPr="00DD1B58">
        <w:rPr>
          <w:lang w:val="en-US"/>
        </w:rPr>
        <w:t xml:space="preserve"> that, in general,</w:t>
      </w:r>
      <w:r w:rsidRPr="00DD1B58">
        <w:rPr>
          <w:lang w:val="en-US"/>
        </w:rPr>
        <w:t xml:space="preserve"> the station designs considered do not present accessibility problems for firefighting. Off-site firefighting resources are manag</w:t>
      </w:r>
      <w:r w:rsidRPr="00DD1B58">
        <w:rPr>
          <w:rFonts w:asciiTheme="minorHAnsi" w:hAnsiTheme="minorHAnsi" w:cstheme="minorBidi"/>
          <w:lang w:val="en-US"/>
        </w:rPr>
        <w:t xml:space="preserve">ed by local authority services and are not owned by </w:t>
      </w:r>
      <w:r w:rsidR="00C362CA" w:rsidRPr="00DD1B58">
        <w:rPr>
          <w:rFonts w:asciiTheme="minorHAnsi" w:hAnsiTheme="minorHAnsi" w:cstheme="minorBidi"/>
          <w:lang w:val="en-US"/>
        </w:rPr>
        <w:t>EDF NGL</w:t>
      </w:r>
      <w:r w:rsidRPr="00DD1B58">
        <w:rPr>
          <w:rFonts w:asciiTheme="minorHAnsi" w:hAnsiTheme="minorHAnsi" w:cstheme="minorBidi"/>
          <w:lang w:val="en-US"/>
        </w:rPr>
        <w:t>. Should a site require additional support in the form of offsite firefighting resources the site control room would activate a response by calling the emergency services number. The amount of resource that will arrive to site will be determined by the pre-planning developed between the site and the local authority. The plans would be activated along with the designated number of appliances for the event.</w:t>
      </w:r>
    </w:p>
    <w:p w14:paraId="0FD6F80F" w14:textId="77777777" w:rsidR="0033747B" w:rsidRPr="00DD1B58" w:rsidRDefault="0E84D477" w:rsidP="00B96252">
      <w:pPr>
        <w:rPr>
          <w:rFonts w:asciiTheme="minorHAnsi" w:hAnsiTheme="minorHAnsi" w:cstheme="minorBidi"/>
          <w:lang w:val="en-US"/>
        </w:rPr>
      </w:pPr>
      <w:r w:rsidRPr="00DD1B58">
        <w:rPr>
          <w:lang w:val="en-US"/>
        </w:rPr>
        <w:t>For</w:t>
      </w:r>
      <w:r w:rsidR="0033747B" w:rsidRPr="00DD1B58">
        <w:rPr>
          <w:lang w:val="en-US"/>
        </w:rPr>
        <w:t xml:space="preserve"> HNB</w:t>
      </w:r>
      <w:r w:rsidR="5D45943F" w:rsidRPr="00DD1B58">
        <w:rPr>
          <w:lang w:val="en-US"/>
        </w:rPr>
        <w:t>,</w:t>
      </w:r>
      <w:r w:rsidR="0033747B" w:rsidRPr="00DD1B58">
        <w:rPr>
          <w:lang w:val="en-US"/>
        </w:rPr>
        <w:t xml:space="preserve"> HY</w:t>
      </w:r>
      <w:r w:rsidR="0033747B" w:rsidRPr="00DD1B58">
        <w:rPr>
          <w:rFonts w:asciiTheme="minorHAnsi" w:hAnsiTheme="minorHAnsi" w:cstheme="minorBidi"/>
          <w:lang w:val="en-US"/>
        </w:rPr>
        <w:t>2 and SZB there are no known accessibility issues for manual firefighting. See also Section A-I-,3.2.3.</w:t>
      </w:r>
    </w:p>
    <w:p w14:paraId="44F72334" w14:textId="77777777" w:rsidR="00AD1636" w:rsidRPr="00DD1B58" w:rsidRDefault="00AD1636" w:rsidP="00177432">
      <w:pPr>
        <w:pStyle w:val="Heading5A"/>
        <w:numPr>
          <w:ilvl w:val="5"/>
          <w:numId w:val="7"/>
        </w:numPr>
        <w:rPr>
          <w:lang w:val="en-US"/>
        </w:rPr>
      </w:pPr>
      <w:r w:rsidRPr="00DD1B58">
        <w:rPr>
          <w:lang w:val="en-US"/>
        </w:rPr>
        <w:t xml:space="preserve">Management of harmful effects and consequential hazards </w:t>
      </w:r>
    </w:p>
    <w:p w14:paraId="580E4DDE" w14:textId="0FC41E1C" w:rsidR="00F05459" w:rsidRPr="00DD1B58" w:rsidRDefault="00F21A60" w:rsidP="39260F63">
      <w:pPr>
        <w:pStyle w:val="Bulletlist1"/>
        <w:numPr>
          <w:ilvl w:val="0"/>
          <w:numId w:val="0"/>
        </w:numPr>
        <w:rPr>
          <w:rFonts w:asciiTheme="minorHAnsi" w:hAnsiTheme="minorHAnsi" w:cstheme="minorBidi"/>
          <w:lang w:val="en-US" w:eastAsia="en-GB" w:bidi="ar-SA"/>
        </w:rPr>
      </w:pPr>
      <w:r w:rsidRPr="00DD1B58">
        <w:rPr>
          <w:rFonts w:asciiTheme="minorHAnsi" w:hAnsiTheme="minorHAnsi" w:cstheme="minorBidi"/>
          <w:b/>
          <w:lang w:val="en-US" w:eastAsia="en-GB" w:bidi="ar-SA"/>
        </w:rPr>
        <w:t>General</w:t>
      </w:r>
      <w:r w:rsidR="00D9179F" w:rsidRPr="00DD1B58">
        <w:rPr>
          <w:rFonts w:asciiTheme="minorHAnsi" w:hAnsiTheme="minorHAnsi" w:cstheme="minorBidi"/>
          <w:b/>
          <w:lang w:val="en-US" w:eastAsia="en-GB" w:bidi="ar-SA"/>
        </w:rPr>
        <w:t xml:space="preserve"> </w:t>
      </w:r>
      <w:r w:rsidR="0068227F" w:rsidRPr="00DD1B58">
        <w:rPr>
          <w:b/>
          <w:lang w:val="en-US"/>
        </w:rPr>
        <w:t>–</w:t>
      </w:r>
      <w:r w:rsidR="00D9179F" w:rsidRPr="00DD1B58">
        <w:rPr>
          <w:rFonts w:asciiTheme="minorHAnsi" w:hAnsiTheme="minorHAnsi" w:cstheme="minorBidi"/>
          <w:b/>
          <w:lang w:val="en-US" w:eastAsia="en-GB" w:bidi="ar-SA"/>
        </w:rPr>
        <w:t xml:space="preserve"> </w:t>
      </w:r>
      <w:r w:rsidR="00CE0746" w:rsidRPr="00DD1B58">
        <w:rPr>
          <w:lang w:val="en-US"/>
        </w:rPr>
        <w:t xml:space="preserve"> EDF NGL report</w:t>
      </w:r>
      <w:r w:rsidR="009B5B59" w:rsidRPr="00DD1B58">
        <w:rPr>
          <w:lang w:val="en-US"/>
        </w:rPr>
        <w:t>s</w:t>
      </w:r>
      <w:r w:rsidR="00CE0746" w:rsidRPr="00DD1B58">
        <w:rPr>
          <w:lang w:val="en-US"/>
        </w:rPr>
        <w:t xml:space="preserve"> that t</w:t>
      </w:r>
      <w:r w:rsidRPr="00DD1B58">
        <w:rPr>
          <w:rFonts w:asciiTheme="minorHAnsi" w:hAnsiTheme="minorHAnsi" w:cstheme="minorBidi"/>
          <w:lang w:val="en-US" w:eastAsia="en-GB" w:bidi="ar-SA"/>
        </w:rPr>
        <w:t xml:space="preserve">here are no seismically qualified fire suppression systems at HNB/HY2 or SZB which </w:t>
      </w:r>
      <w:r w:rsidR="00CE0746" w:rsidRPr="00DD1B58">
        <w:rPr>
          <w:rFonts w:asciiTheme="minorHAnsi" w:hAnsiTheme="minorHAnsi" w:cstheme="minorBidi"/>
          <w:lang w:val="en-US" w:eastAsia="en-GB" w:bidi="ar-SA"/>
        </w:rPr>
        <w:t xml:space="preserve">are </w:t>
      </w:r>
      <w:r w:rsidRPr="00DD1B58">
        <w:rPr>
          <w:rFonts w:asciiTheme="minorHAnsi" w:hAnsiTheme="minorHAnsi" w:cstheme="minorBidi"/>
          <w:lang w:val="en-US" w:eastAsia="en-GB" w:bidi="ar-SA"/>
        </w:rPr>
        <w:t>required to</w:t>
      </w:r>
      <w:r w:rsidR="00F05459"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function to meet nuclear safety requirements. However, there are cases where fire suppression</w:t>
      </w:r>
      <w:r w:rsidR="00F05459"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equipment is seismically qualified in order to prevent spurious discharge or generation of a missile and</w:t>
      </w:r>
      <w:r w:rsidR="00F05459"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damaging seismically qualified plant in a seismic event.</w:t>
      </w:r>
    </w:p>
    <w:p w14:paraId="37CE1E88" w14:textId="61EECD14" w:rsidR="00F05459" w:rsidRPr="00DD1B58" w:rsidRDefault="00CE0746" w:rsidP="39260F63">
      <w:pPr>
        <w:pStyle w:val="Bulletlist1"/>
        <w:numPr>
          <w:ilvl w:val="0"/>
          <w:numId w:val="0"/>
        </w:numPr>
        <w:rPr>
          <w:rFonts w:asciiTheme="minorHAnsi" w:hAnsiTheme="minorHAnsi" w:cstheme="minorBidi"/>
          <w:lang w:val="en-US" w:eastAsia="en-GB" w:bidi="ar-SA"/>
        </w:rPr>
      </w:pPr>
      <w:r w:rsidRPr="00DD1B58">
        <w:rPr>
          <w:rFonts w:asciiTheme="minorHAnsi" w:hAnsiTheme="minorHAnsi" w:cstheme="minorBidi"/>
          <w:lang w:val="en-US" w:eastAsia="en-GB" w:bidi="ar-SA"/>
        </w:rPr>
        <w:t>EDF NGL state</w:t>
      </w:r>
      <w:r w:rsidR="009B5B59" w:rsidRPr="00DD1B58">
        <w:rPr>
          <w:rFonts w:asciiTheme="minorHAnsi" w:hAnsiTheme="minorHAnsi" w:cstheme="minorBidi"/>
          <w:lang w:val="en-US" w:eastAsia="en-GB" w:bidi="ar-SA"/>
        </w:rPr>
        <w:t>s</w:t>
      </w:r>
      <w:r w:rsidRPr="00DD1B58">
        <w:rPr>
          <w:rFonts w:asciiTheme="minorHAnsi" w:hAnsiTheme="minorHAnsi" w:cstheme="minorBidi"/>
          <w:lang w:val="en-US" w:eastAsia="en-GB" w:bidi="ar-SA"/>
        </w:rPr>
        <w:t xml:space="preserve"> that c</w:t>
      </w:r>
      <w:r w:rsidR="00F21A60" w:rsidRPr="00DD1B58">
        <w:rPr>
          <w:rFonts w:asciiTheme="minorHAnsi" w:hAnsiTheme="minorHAnsi" w:cstheme="minorBidi"/>
          <w:lang w:val="en-US" w:eastAsia="en-GB" w:bidi="ar-SA"/>
        </w:rPr>
        <w:t>ombined hazards involving fire and flooding are normally considered to be from an internal fire</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scenario which causes a flood within the nuclear safety categorised buildings. In these cases</w:t>
      </w:r>
      <w:r w:rsidRPr="00DD1B58">
        <w:rPr>
          <w:rFonts w:asciiTheme="minorHAnsi" w:hAnsiTheme="minorHAnsi" w:cstheme="minorBidi"/>
          <w:lang w:val="en-US" w:eastAsia="en-GB" w:bidi="ar-SA"/>
        </w:rPr>
        <w:t xml:space="preserve"> EDF</w:t>
      </w:r>
      <w:r w:rsidR="00666D74" w:rsidRPr="00DD1B58">
        <w:rPr>
          <w:rFonts w:asciiTheme="minorHAnsi" w:hAnsiTheme="minorHAnsi" w:cstheme="minorBidi"/>
          <w:lang w:val="en-US" w:eastAsia="en-GB" w:bidi="ar-SA"/>
        </w:rPr>
        <w:t xml:space="preserve"> NGL prevents</w:t>
      </w:r>
      <w:r w:rsidR="00F21A60" w:rsidRPr="00DD1B58">
        <w:rPr>
          <w:rFonts w:asciiTheme="minorHAnsi" w:hAnsiTheme="minorHAnsi" w:cstheme="minorBidi"/>
          <w:lang w:val="en-US" w:eastAsia="en-GB" w:bidi="ar-SA"/>
        </w:rPr>
        <w:t xml:space="preserve"> flooding</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 xml:space="preserve">to adjoining compartments and safety trains by qualifying penetration seals. </w:t>
      </w:r>
      <w:r w:rsidR="007E7FB0" w:rsidRPr="00DD1B58">
        <w:rPr>
          <w:rFonts w:asciiTheme="minorHAnsi" w:hAnsiTheme="minorHAnsi" w:cstheme="minorBidi"/>
          <w:lang w:val="en-US" w:eastAsia="en-GB" w:bidi="ar-SA"/>
        </w:rPr>
        <w:t xml:space="preserve">The </w:t>
      </w:r>
      <w:r w:rsidR="00F21A60" w:rsidRPr="00DD1B58">
        <w:rPr>
          <w:rFonts w:asciiTheme="minorHAnsi" w:hAnsiTheme="minorHAnsi" w:cstheme="minorBidi"/>
          <w:lang w:val="en-US" w:eastAsia="en-GB" w:bidi="ar-SA"/>
        </w:rPr>
        <w:t xml:space="preserve">penetration seals also prevent the spread of fire between adjacent compartments. </w:t>
      </w:r>
      <w:r w:rsidR="00667D3C" w:rsidRPr="00DD1B58">
        <w:rPr>
          <w:rFonts w:asciiTheme="minorHAnsi" w:hAnsiTheme="minorHAnsi" w:cstheme="minorBidi"/>
          <w:lang w:val="en-US" w:eastAsia="en-GB" w:bidi="ar-SA"/>
        </w:rPr>
        <w:t>EDF NGL state</w:t>
      </w:r>
      <w:r w:rsidR="009B5B59" w:rsidRPr="00DD1B58">
        <w:rPr>
          <w:rFonts w:asciiTheme="minorHAnsi" w:hAnsiTheme="minorHAnsi" w:cstheme="minorBidi"/>
          <w:lang w:val="en-US" w:eastAsia="en-GB" w:bidi="ar-SA"/>
        </w:rPr>
        <w:t>s</w:t>
      </w:r>
      <w:r w:rsidR="00667D3C" w:rsidRPr="00DD1B58">
        <w:rPr>
          <w:rFonts w:asciiTheme="minorHAnsi" w:hAnsiTheme="minorHAnsi" w:cstheme="minorBidi"/>
          <w:lang w:val="en-US" w:eastAsia="en-GB" w:bidi="ar-SA"/>
        </w:rPr>
        <w:t xml:space="preserve"> that in general</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the drainage capabilities of the fire areas</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considered</w:t>
      </w:r>
      <w:r w:rsidR="00667D3C" w:rsidRPr="00DD1B58">
        <w:rPr>
          <w:rFonts w:asciiTheme="minorHAnsi" w:hAnsiTheme="minorHAnsi" w:cstheme="minorBidi"/>
          <w:lang w:val="en-US" w:eastAsia="en-GB" w:bidi="ar-SA"/>
        </w:rPr>
        <w:t xml:space="preserve"> provide for the internal flooding hazard arising from the fire suppression system.</w:t>
      </w:r>
    </w:p>
    <w:p w14:paraId="431A28BE" w14:textId="7BD6E34A" w:rsidR="00EA583E" w:rsidRPr="00DD1B58" w:rsidRDefault="000F46D0" w:rsidP="39260F63">
      <w:pPr>
        <w:pStyle w:val="Bulletlist1"/>
        <w:numPr>
          <w:ilvl w:val="0"/>
          <w:numId w:val="0"/>
        </w:numPr>
        <w:rPr>
          <w:rFonts w:asciiTheme="minorHAnsi" w:hAnsiTheme="minorHAnsi" w:cstheme="minorBidi"/>
          <w:lang w:val="en-US"/>
        </w:rPr>
      </w:pPr>
      <w:r w:rsidRPr="00DD1B58">
        <w:rPr>
          <w:rFonts w:asciiTheme="minorHAnsi" w:hAnsiTheme="minorHAnsi" w:cstheme="minorBidi"/>
          <w:lang w:val="en-US" w:eastAsia="en-GB" w:bidi="ar-SA"/>
        </w:rPr>
        <w:t>EDF NGL considers that c</w:t>
      </w:r>
      <w:r w:rsidR="00F21A60" w:rsidRPr="00DD1B58">
        <w:rPr>
          <w:rFonts w:asciiTheme="minorHAnsi" w:hAnsiTheme="minorHAnsi" w:cstheme="minorBidi"/>
          <w:lang w:val="en-US" w:eastAsia="en-GB" w:bidi="ar-SA"/>
        </w:rPr>
        <w:t xml:space="preserve">hallenges to radiological containment </w:t>
      </w:r>
      <w:r w:rsidRPr="00DD1B58">
        <w:rPr>
          <w:rFonts w:asciiTheme="minorHAnsi" w:hAnsiTheme="minorHAnsi" w:cstheme="minorBidi"/>
          <w:lang w:val="en-US" w:eastAsia="en-GB" w:bidi="ar-SA"/>
        </w:rPr>
        <w:t xml:space="preserve">are </w:t>
      </w:r>
      <w:r w:rsidR="00F21A60" w:rsidRPr="00DD1B58">
        <w:rPr>
          <w:rFonts w:asciiTheme="minorHAnsi" w:hAnsiTheme="minorHAnsi" w:cstheme="minorBidi"/>
          <w:lang w:val="en-US" w:eastAsia="en-GB" w:bidi="ar-SA"/>
        </w:rPr>
        <w:t xml:space="preserve">not applicable to the stations considered </w:t>
      </w:r>
      <w:r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as there are no</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 xml:space="preserve">fixed water spray firefighting water spray systems in </w:t>
      </w:r>
      <w:r w:rsidRPr="00DD1B58">
        <w:rPr>
          <w:rFonts w:asciiTheme="minorHAnsi" w:hAnsiTheme="minorHAnsi" w:cstheme="minorBidi"/>
          <w:lang w:val="en-US" w:eastAsia="en-GB" w:bidi="ar-SA"/>
        </w:rPr>
        <w:t xml:space="preserve">such </w:t>
      </w:r>
      <w:r w:rsidR="00F21A60" w:rsidRPr="00DD1B58">
        <w:rPr>
          <w:rFonts w:asciiTheme="minorHAnsi" w:hAnsiTheme="minorHAnsi" w:cstheme="minorBidi"/>
          <w:lang w:val="en-US" w:eastAsia="en-GB" w:bidi="ar-SA"/>
        </w:rPr>
        <w:t>locations.</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 xml:space="preserve">Where there are sprinklers fuel areas (such as within the fuel loading bay at SZB), </w:t>
      </w:r>
      <w:r w:rsidRPr="00DD1B58">
        <w:rPr>
          <w:rFonts w:asciiTheme="minorHAnsi" w:hAnsiTheme="minorHAnsi" w:cstheme="minorBidi"/>
          <w:lang w:val="en-US" w:eastAsia="en-GB" w:bidi="ar-SA"/>
        </w:rPr>
        <w:t>EDF NGL considers them in the</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criticality assessments</w:t>
      </w:r>
      <w:r w:rsidR="00204D94" w:rsidRPr="00DD1B58">
        <w:rPr>
          <w:rFonts w:asciiTheme="minorHAnsi" w:hAnsiTheme="minorHAnsi" w:cstheme="minorBidi"/>
          <w:lang w:val="en-US" w:eastAsia="en-GB" w:bidi="ar-SA"/>
        </w:rPr>
        <w:t xml:space="preserve"> to </w:t>
      </w:r>
      <w:r w:rsidR="00F21A60" w:rsidRPr="00DD1B58">
        <w:rPr>
          <w:rFonts w:asciiTheme="minorHAnsi" w:hAnsiTheme="minorHAnsi" w:cstheme="minorBidi"/>
          <w:lang w:val="en-US" w:eastAsia="en-GB" w:bidi="ar-SA"/>
        </w:rPr>
        <w:t xml:space="preserve">demonstrate that the use of water, </w:t>
      </w:r>
      <w:r w:rsidR="004F5760" w:rsidRPr="00DD1B58">
        <w:rPr>
          <w:rFonts w:asciiTheme="minorHAnsi" w:hAnsiTheme="minorHAnsi" w:cstheme="minorBidi"/>
          <w:lang w:val="en-US" w:eastAsia="en-GB" w:bidi="ar-SA"/>
        </w:rPr>
        <w:t>firefight</w:t>
      </w:r>
      <w:r w:rsidR="00F21A60" w:rsidRPr="00DD1B58">
        <w:rPr>
          <w:rFonts w:asciiTheme="minorHAnsi" w:hAnsiTheme="minorHAnsi" w:cstheme="minorBidi"/>
          <w:lang w:val="en-US" w:eastAsia="en-GB" w:bidi="ar-SA"/>
        </w:rPr>
        <w:t>ing foam and Monnex do not</w:t>
      </w:r>
      <w:r w:rsidR="00F05459" w:rsidRPr="00DD1B58">
        <w:rPr>
          <w:rFonts w:asciiTheme="minorHAnsi" w:hAnsiTheme="minorHAnsi" w:cstheme="minorBidi"/>
          <w:lang w:val="en-US" w:eastAsia="en-GB" w:bidi="ar-SA"/>
        </w:rPr>
        <w:t xml:space="preserve"> </w:t>
      </w:r>
      <w:r w:rsidR="00F21A60" w:rsidRPr="00DD1B58">
        <w:rPr>
          <w:rFonts w:asciiTheme="minorHAnsi" w:hAnsiTheme="minorHAnsi" w:cstheme="minorBidi"/>
          <w:lang w:val="en-US" w:eastAsia="en-GB" w:bidi="ar-SA"/>
        </w:rPr>
        <w:t>cause a critically event.</w:t>
      </w:r>
    </w:p>
    <w:p w14:paraId="5D99CC2D" w14:textId="77777777" w:rsidR="00AD1636" w:rsidRPr="00DD1B58" w:rsidRDefault="00AD1636" w:rsidP="00177432">
      <w:pPr>
        <w:pStyle w:val="Heading5A"/>
        <w:numPr>
          <w:ilvl w:val="5"/>
          <w:numId w:val="7"/>
        </w:numPr>
        <w:rPr>
          <w:lang w:val="en-US"/>
        </w:rPr>
      </w:pPr>
      <w:r w:rsidRPr="00DD1B58">
        <w:rPr>
          <w:lang w:val="en-US"/>
        </w:rPr>
        <w:t xml:space="preserve">Alternative/temporary provisions </w:t>
      </w:r>
    </w:p>
    <w:p w14:paraId="703ABB4D" w14:textId="2BECA9C3" w:rsidR="007A3DAA" w:rsidRPr="00DD1B58" w:rsidRDefault="00BE3B89" w:rsidP="00B96252">
      <w:pPr>
        <w:rPr>
          <w:rFonts w:asciiTheme="minorHAnsi" w:hAnsiTheme="minorHAnsi" w:cstheme="minorBidi"/>
          <w:lang w:val="en-US" w:eastAsia="en-GB" w:bidi="ar-SA"/>
        </w:rPr>
      </w:pPr>
      <w:r w:rsidRPr="00DD1B58">
        <w:rPr>
          <w:b/>
          <w:lang w:val="en-US" w:eastAsia="en-GB" w:bidi="ar-SA"/>
        </w:rPr>
        <w:t>General</w:t>
      </w:r>
      <w:r w:rsidR="00D9179F" w:rsidRPr="00DD1B58">
        <w:rPr>
          <w:b/>
          <w:lang w:val="en-US" w:eastAsia="en-GB" w:bidi="ar-SA"/>
        </w:rPr>
        <w:t xml:space="preserve"> </w:t>
      </w:r>
      <w:r w:rsidR="00204D94" w:rsidRPr="00DD1B58">
        <w:rPr>
          <w:b/>
          <w:lang w:val="en-US" w:eastAsia="en-GB" w:bidi="ar-SA"/>
        </w:rPr>
        <w:t>–</w:t>
      </w:r>
      <w:r w:rsidR="00D9179F" w:rsidRPr="00DD1B58">
        <w:rPr>
          <w:b/>
          <w:lang w:val="en-US" w:eastAsia="en-GB" w:bidi="ar-SA"/>
        </w:rPr>
        <w:t xml:space="preserve"> </w:t>
      </w:r>
      <w:r w:rsidR="00204D94" w:rsidRPr="00DD1B58">
        <w:rPr>
          <w:lang w:val="en-US" w:eastAsia="en-GB" w:bidi="ar-SA"/>
        </w:rPr>
        <w:t>EDF NGL assesses and deploys a</w:t>
      </w:r>
      <w:r w:rsidR="00204D94" w:rsidRPr="00DD1B58">
        <w:rPr>
          <w:rFonts w:asciiTheme="minorHAnsi" w:hAnsiTheme="minorHAnsi" w:cstheme="minorBidi"/>
          <w:lang w:val="en-US" w:eastAsia="en-GB" w:bidi="ar-SA"/>
        </w:rPr>
        <w:t xml:space="preserve">lternative </w:t>
      </w:r>
      <w:r w:rsidRPr="00DD1B58">
        <w:rPr>
          <w:rFonts w:asciiTheme="minorHAnsi" w:hAnsiTheme="minorHAnsi" w:cstheme="minorBidi"/>
          <w:lang w:val="en-US" w:eastAsia="en-GB" w:bidi="ar-SA"/>
        </w:rPr>
        <w:t>provisions by means of risk assessment with reference to Technical Specification requirements and company specification for impairment of fire protection systems. This details the period of time a detection and alarm system may be isolated and necessary compensatory measures to be deployed during the period of isolation or unavailability.</w:t>
      </w:r>
      <w:r w:rsidR="7E7753C8" w:rsidRPr="00DD1B58">
        <w:rPr>
          <w:rFonts w:asciiTheme="minorHAnsi" w:hAnsiTheme="minorHAnsi" w:cstheme="minorBidi"/>
          <w:lang w:val="en-US" w:eastAsia="en-GB" w:bidi="ar-SA"/>
        </w:rPr>
        <w:t xml:space="preserve"> For further detail see the licensee </w:t>
      </w:r>
      <w:r w:rsidR="00204D94" w:rsidRPr="00DD1B58">
        <w:rPr>
          <w:rFonts w:asciiTheme="minorHAnsi" w:hAnsiTheme="minorHAnsi" w:cstheme="minorBidi"/>
          <w:lang w:val="en-US" w:eastAsia="en-GB" w:bidi="ar-SA"/>
        </w:rPr>
        <w:t xml:space="preserve">self-assessment report </w:t>
      </w:r>
      <w:sdt>
        <w:sdtPr>
          <w:rPr>
            <w:rFonts w:asciiTheme="minorHAnsi" w:hAnsiTheme="minorHAnsi" w:cstheme="minorBidi"/>
            <w:lang w:val="en-US" w:eastAsia="en-GB" w:bidi="ar-SA"/>
          </w:rPr>
          <w:id w:val="523525088"/>
          <w:citation/>
        </w:sdtPr>
        <w:sdtContent>
          <w:r w:rsidR="00AD40CA" w:rsidRPr="00DD1B58">
            <w:rPr>
              <w:rFonts w:asciiTheme="minorHAnsi" w:hAnsiTheme="minorHAnsi" w:cstheme="minorBidi"/>
              <w:lang w:val="en-US" w:eastAsia="en-GB" w:bidi="ar-SA"/>
            </w:rPr>
            <w:fldChar w:fldCharType="begin"/>
          </w:r>
          <w:r w:rsidR="00AD40CA" w:rsidRPr="00DD1B58">
            <w:rPr>
              <w:rFonts w:asciiTheme="minorHAnsi" w:hAnsiTheme="minorHAnsi" w:cstheme="minorBidi"/>
              <w:lang w:val="en-US" w:eastAsia="en-GB" w:bidi="ar-SA"/>
            </w:rPr>
            <w:instrText xml:space="preserve"> CITATION EDF231 \l 2057 </w:instrText>
          </w:r>
          <w:r w:rsidR="00AD40CA" w:rsidRPr="00DD1B58">
            <w:rPr>
              <w:rFonts w:asciiTheme="minorHAnsi" w:hAnsiTheme="minorHAnsi" w:cstheme="minorBidi"/>
              <w:lang w:val="en-US" w:eastAsia="en-GB" w:bidi="ar-SA"/>
            </w:rPr>
            <w:fldChar w:fldCharType="separate"/>
          </w:r>
          <w:r w:rsidR="00DF47DA" w:rsidRPr="00DF47DA">
            <w:rPr>
              <w:rFonts w:asciiTheme="minorHAnsi" w:hAnsiTheme="minorHAnsi" w:cstheme="minorBidi"/>
              <w:noProof/>
              <w:lang w:val="en-US" w:eastAsia="en-GB" w:bidi="ar-SA"/>
            </w:rPr>
            <w:t>[25]</w:t>
          </w:r>
          <w:r w:rsidR="00AD40CA" w:rsidRPr="00DD1B58">
            <w:rPr>
              <w:rFonts w:asciiTheme="minorHAnsi" w:hAnsiTheme="minorHAnsi" w:cstheme="minorBidi"/>
              <w:lang w:val="en-US" w:eastAsia="en-GB" w:bidi="ar-SA"/>
            </w:rPr>
            <w:fldChar w:fldCharType="end"/>
          </w:r>
        </w:sdtContent>
      </w:sdt>
      <w:r w:rsidR="7E7753C8" w:rsidRPr="00DD1B58">
        <w:rPr>
          <w:rFonts w:asciiTheme="minorHAnsi" w:hAnsiTheme="minorHAnsi" w:cstheme="minorBidi"/>
          <w:lang w:val="en-US" w:eastAsia="en-GB" w:bidi="ar-SA"/>
        </w:rPr>
        <w:t>.</w:t>
      </w:r>
    </w:p>
    <w:p w14:paraId="18307AD3" w14:textId="77777777" w:rsidR="00AD1636" w:rsidRPr="00DD1B58" w:rsidRDefault="00AD1636" w:rsidP="00177432">
      <w:pPr>
        <w:pStyle w:val="Heading5A"/>
        <w:ind w:left="284"/>
        <w:rPr>
          <w:lang w:val="en-US"/>
        </w:rPr>
      </w:pPr>
      <w:r w:rsidRPr="00DD1B58">
        <w:rPr>
          <w:lang w:val="en-US"/>
        </w:rPr>
        <w:t xml:space="preserve">Administrative and organisational fire protection issues </w:t>
      </w:r>
    </w:p>
    <w:p w14:paraId="16E4C241" w14:textId="77777777" w:rsidR="00AD1636" w:rsidRPr="00DD1B58" w:rsidRDefault="00AD1636" w:rsidP="00177432">
      <w:pPr>
        <w:pStyle w:val="Heading5A"/>
        <w:numPr>
          <w:ilvl w:val="5"/>
          <w:numId w:val="7"/>
        </w:numPr>
        <w:rPr>
          <w:lang w:val="en-US"/>
        </w:rPr>
      </w:pPr>
      <w:r w:rsidRPr="00DD1B58">
        <w:rPr>
          <w:lang w:val="en-US"/>
        </w:rPr>
        <w:t xml:space="preserve">Overview of firefighting strategies, administrative arrangements and assurance </w:t>
      </w:r>
    </w:p>
    <w:p w14:paraId="60FCE3AB" w14:textId="21770E87" w:rsidR="00CD7984" w:rsidRPr="00DD1B58" w:rsidRDefault="00CD7984" w:rsidP="00CD7984">
      <w:pPr>
        <w:pStyle w:val="Bulletlist1"/>
        <w:numPr>
          <w:ilvl w:val="0"/>
          <w:numId w:val="0"/>
        </w:numPr>
        <w:rPr>
          <w:rFonts w:asciiTheme="minorHAnsi" w:hAnsiTheme="minorHAnsi" w:cstheme="minorHAnsi"/>
          <w:szCs w:val="24"/>
          <w:lang w:val="en-US" w:eastAsia="en-GB" w:bidi="ar-SA"/>
        </w:rPr>
      </w:pPr>
      <w:r w:rsidRPr="00DD1B58">
        <w:rPr>
          <w:rFonts w:asciiTheme="minorHAnsi" w:hAnsiTheme="minorHAnsi" w:cstheme="minorBidi"/>
          <w:b/>
          <w:lang w:val="en-US" w:eastAsia="en-GB" w:bidi="ar-SA"/>
        </w:rPr>
        <w:t>General</w:t>
      </w:r>
      <w:r w:rsidR="00D9179F" w:rsidRPr="00DD1B58">
        <w:rPr>
          <w:rFonts w:asciiTheme="minorHAnsi" w:hAnsiTheme="minorHAnsi" w:cstheme="minorBidi"/>
          <w:b/>
          <w:lang w:val="en-US" w:eastAsia="en-GB" w:bidi="ar-SA"/>
        </w:rPr>
        <w:t xml:space="preserve"> </w:t>
      </w:r>
      <w:r w:rsidR="00204D94" w:rsidRPr="00DD1B58">
        <w:rPr>
          <w:rFonts w:asciiTheme="minorHAnsi" w:hAnsiTheme="minorHAnsi" w:cstheme="minorBidi"/>
          <w:b/>
          <w:lang w:val="en-US" w:eastAsia="en-GB" w:bidi="ar-SA"/>
        </w:rPr>
        <w:t>–</w:t>
      </w:r>
      <w:r w:rsidR="00D9179F" w:rsidRPr="00DD1B58">
        <w:rPr>
          <w:rFonts w:asciiTheme="minorHAnsi" w:hAnsiTheme="minorHAnsi" w:cstheme="minorBidi"/>
          <w:b/>
          <w:lang w:val="en-US" w:eastAsia="en-GB" w:bidi="ar-SA"/>
        </w:rPr>
        <w:t xml:space="preserve"> </w:t>
      </w:r>
      <w:r w:rsidR="00204D94" w:rsidRPr="00DD1B58">
        <w:rPr>
          <w:rFonts w:asciiTheme="minorHAnsi" w:hAnsiTheme="minorHAnsi" w:cstheme="minorBidi"/>
          <w:lang w:val="en-US" w:eastAsia="en-GB" w:bidi="ar-SA"/>
        </w:rPr>
        <w:t>EDF NGL report</w:t>
      </w:r>
      <w:r w:rsidR="0065472D" w:rsidRPr="00DD1B58">
        <w:rPr>
          <w:rFonts w:asciiTheme="minorHAnsi" w:hAnsiTheme="minorHAnsi" w:cstheme="minorBidi"/>
          <w:lang w:val="en-US" w:eastAsia="en-GB" w:bidi="ar-SA"/>
        </w:rPr>
        <w:t>s</w:t>
      </w:r>
      <w:r w:rsidR="00204D94" w:rsidRPr="00DD1B58">
        <w:rPr>
          <w:rFonts w:asciiTheme="minorHAnsi" w:hAnsiTheme="minorHAnsi" w:cstheme="minorBidi"/>
          <w:lang w:val="en-US" w:eastAsia="en-GB" w:bidi="ar-SA"/>
        </w:rPr>
        <w:t xml:space="preserve"> that the </w:t>
      </w:r>
      <w:r w:rsidRPr="00DD1B58">
        <w:rPr>
          <w:rFonts w:asciiTheme="minorHAnsi" w:hAnsiTheme="minorHAnsi" w:cstheme="minorBidi"/>
          <w:lang w:val="en-US" w:eastAsia="en-GB" w:bidi="ar-SA"/>
        </w:rPr>
        <w:t>firefighting strategy for the si</w:t>
      </w:r>
      <w:r w:rsidR="00204D94" w:rsidRPr="00DD1B58">
        <w:rPr>
          <w:rFonts w:asciiTheme="minorHAnsi" w:hAnsiTheme="minorHAnsi" w:cstheme="minorBidi"/>
          <w:lang w:val="en-US" w:eastAsia="en-GB" w:bidi="ar-SA"/>
        </w:rPr>
        <w:t xml:space="preserve">tes </w:t>
      </w:r>
      <w:r w:rsidRPr="00DD1B58">
        <w:rPr>
          <w:rFonts w:asciiTheme="minorHAnsi" w:hAnsiTheme="minorHAnsi" w:cstheme="minorBidi"/>
          <w:lang w:val="en-US" w:eastAsia="en-GB" w:bidi="ar-SA"/>
        </w:rPr>
        <w:t>in this report (HNB, HY2 and SZB) follow the same approach</w:t>
      </w:r>
      <w:r w:rsidR="00204D94"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 xml:space="preserve">which is also replicated across the </w:t>
      </w:r>
      <w:r w:rsidR="00C362CA" w:rsidRPr="00DD1B58">
        <w:rPr>
          <w:rFonts w:asciiTheme="minorHAnsi" w:hAnsiTheme="minorHAnsi" w:cstheme="minorBidi"/>
          <w:lang w:val="en-US" w:eastAsia="en-GB" w:bidi="ar-SA"/>
        </w:rPr>
        <w:t>EDF NGL</w:t>
      </w:r>
      <w:r w:rsidRPr="00DD1B58">
        <w:rPr>
          <w:rFonts w:asciiTheme="minorHAnsi" w:hAnsiTheme="minorHAnsi" w:cstheme="minorBidi"/>
          <w:lang w:val="en-US" w:eastAsia="en-GB" w:bidi="ar-SA"/>
        </w:rPr>
        <w:t xml:space="preserve"> fleet. </w:t>
      </w:r>
      <w:r w:rsidR="00204D94" w:rsidRPr="00DD1B58">
        <w:rPr>
          <w:rFonts w:asciiTheme="minorHAnsi" w:hAnsiTheme="minorHAnsi" w:cstheme="minorBidi"/>
          <w:lang w:val="en-US" w:eastAsia="en-GB" w:bidi="ar-SA"/>
        </w:rPr>
        <w:t>EDF NGL develops s</w:t>
      </w:r>
      <w:r w:rsidRPr="00DD1B58">
        <w:rPr>
          <w:rFonts w:asciiTheme="minorHAnsi" w:hAnsiTheme="minorHAnsi" w:cstheme="minorBidi"/>
          <w:lang w:val="en-US" w:eastAsia="en-GB" w:bidi="ar-SA"/>
        </w:rPr>
        <w:t>afety cases to identify items of plant which are essential in safeguarding nuclear safety, which focuses on fire prevention, detection, suppression and segregation.</w:t>
      </w:r>
    </w:p>
    <w:p w14:paraId="60B70FD4" w14:textId="6F75208A" w:rsidR="00CD7984" w:rsidRPr="00DD1B58" w:rsidRDefault="00CE52E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EDF NGL de</w:t>
      </w:r>
      <w:r w:rsidR="00DA2D41" w:rsidRPr="00DD1B58">
        <w:rPr>
          <w:rFonts w:asciiTheme="minorHAnsi" w:eastAsia="TimesNewRoman" w:hAnsiTheme="minorHAnsi" w:cstheme="minorHAnsi"/>
          <w:szCs w:val="24"/>
          <w:lang w:val="en-US" w:eastAsia="en-GB" w:bidi="ar-SA"/>
        </w:rPr>
        <w:t>velops and maintains a</w:t>
      </w:r>
      <w:r w:rsidR="00CD7984" w:rsidRPr="00DD1B58">
        <w:rPr>
          <w:rFonts w:asciiTheme="minorHAnsi" w:eastAsia="TimesNewRoman" w:hAnsiTheme="minorHAnsi" w:cstheme="minorHAnsi"/>
          <w:szCs w:val="24"/>
          <w:lang w:val="en-US" w:eastAsia="en-GB" w:bidi="ar-SA"/>
        </w:rPr>
        <w:t xml:space="preserve">dministrative procedures in the form of fire risk assessments in accordance with company procedures. </w:t>
      </w:r>
      <w:r w:rsidR="00DA2D41" w:rsidRPr="00DD1B58">
        <w:rPr>
          <w:rFonts w:asciiTheme="minorHAnsi" w:eastAsia="TimesNewRoman" w:hAnsiTheme="minorHAnsi" w:cstheme="minorHAnsi"/>
          <w:szCs w:val="24"/>
          <w:lang w:val="en-US" w:eastAsia="en-GB" w:bidi="ar-SA"/>
        </w:rPr>
        <w:t>EDF NGL state</w:t>
      </w:r>
      <w:r w:rsidR="0065472D" w:rsidRPr="00DD1B58">
        <w:rPr>
          <w:rFonts w:asciiTheme="minorHAnsi" w:eastAsia="TimesNewRoman" w:hAnsiTheme="minorHAnsi" w:cstheme="minorHAnsi"/>
          <w:szCs w:val="24"/>
          <w:lang w:val="en-US" w:eastAsia="en-GB" w:bidi="ar-SA"/>
        </w:rPr>
        <w:t>s</w:t>
      </w:r>
      <w:r w:rsidR="00DA2D41" w:rsidRPr="00DD1B58">
        <w:rPr>
          <w:rFonts w:asciiTheme="minorHAnsi" w:eastAsia="TimesNewRoman" w:hAnsiTheme="minorHAnsi" w:cstheme="minorHAnsi"/>
          <w:szCs w:val="24"/>
          <w:lang w:val="en-US" w:eastAsia="en-GB" w:bidi="ar-SA"/>
        </w:rPr>
        <w:t xml:space="preserve"> that it produces f</w:t>
      </w:r>
      <w:r w:rsidR="00CD7984" w:rsidRPr="00DD1B58">
        <w:rPr>
          <w:rFonts w:asciiTheme="minorHAnsi" w:eastAsia="TimesNewRoman" w:hAnsiTheme="minorHAnsi" w:cstheme="minorHAnsi"/>
          <w:szCs w:val="24"/>
          <w:lang w:val="en-US" w:eastAsia="en-GB" w:bidi="ar-SA"/>
        </w:rPr>
        <w:t xml:space="preserve">ire risk assessments for all areas of site including plant and non-plant areas. The procedures identify potential risks with respect to fire loading and provide recommendations to sites in terms of reducing those risks. The use of physical and procedural fire prevention methods are the main </w:t>
      </w:r>
      <w:r w:rsidR="00FC4369" w:rsidRPr="00DD1B58">
        <w:rPr>
          <w:rFonts w:asciiTheme="minorHAnsi" w:eastAsia="TimesNewRoman" w:hAnsiTheme="minorHAnsi" w:cstheme="minorHAnsi"/>
          <w:szCs w:val="24"/>
          <w:lang w:val="en-US" w:eastAsia="en-GB" w:bidi="ar-SA"/>
        </w:rPr>
        <w:t xml:space="preserve">EDF NGL </w:t>
      </w:r>
      <w:r w:rsidR="00CD7984" w:rsidRPr="00DD1B58">
        <w:rPr>
          <w:rFonts w:asciiTheme="minorHAnsi" w:eastAsia="TimesNewRoman" w:hAnsiTheme="minorHAnsi" w:cstheme="minorHAnsi"/>
          <w:szCs w:val="24"/>
          <w:lang w:val="en-US" w:eastAsia="en-GB" w:bidi="ar-SA"/>
        </w:rPr>
        <w:t>strategies, together with administration arrangements to maintain fire safety within normal operations outside of emergency response.</w:t>
      </w:r>
    </w:p>
    <w:p w14:paraId="69E729C1"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6439C6F9" w14:textId="27FD363C"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The emergency scheme</w:t>
      </w:r>
      <w:r w:rsidR="007C3F42" w:rsidRPr="00DD1B58">
        <w:rPr>
          <w:rFonts w:asciiTheme="minorHAnsi" w:eastAsia="TimesNewRoman" w:hAnsiTheme="minorHAnsi" w:cstheme="minorHAnsi"/>
          <w:szCs w:val="24"/>
          <w:lang w:val="en-US" w:eastAsia="en-GB" w:bidi="ar-SA"/>
        </w:rPr>
        <w:t>/</w:t>
      </w:r>
      <w:r w:rsidRPr="00DD1B58">
        <w:rPr>
          <w:rFonts w:asciiTheme="minorHAnsi" w:eastAsia="TimesNewRoman" w:hAnsiTheme="minorHAnsi" w:cstheme="minorHAnsi"/>
          <w:szCs w:val="24"/>
          <w:lang w:val="en-US" w:eastAsia="en-GB" w:bidi="ar-SA"/>
        </w:rPr>
        <w:t>in</w:t>
      </w:r>
      <w:r w:rsidR="00FC4369" w:rsidRPr="00DD1B58">
        <w:rPr>
          <w:rFonts w:asciiTheme="minorHAnsi" w:eastAsia="TimesNewRoman" w:hAnsiTheme="minorHAnsi" w:cstheme="minorHAnsi"/>
          <w:szCs w:val="24"/>
          <w:lang w:val="en-US" w:eastAsia="en-GB" w:bidi="ar-SA"/>
        </w:rPr>
        <w:t>-</w:t>
      </w:r>
      <w:r w:rsidRPr="00DD1B58">
        <w:rPr>
          <w:rFonts w:asciiTheme="minorHAnsi" w:eastAsia="TimesNewRoman" w:hAnsiTheme="minorHAnsi" w:cstheme="minorHAnsi"/>
          <w:szCs w:val="24"/>
          <w:lang w:val="en-US" w:eastAsia="en-GB" w:bidi="ar-SA"/>
        </w:rPr>
        <w:t>house firefighting capability staffed by Operations Incident Response teams is established primarily to manage and mitigate the commercial and personnel safety risk associated with fire, again noting that nuclear safety case requirements are satisfied by the established segregation provisions (which do not require manual intervention to operate).</w:t>
      </w:r>
    </w:p>
    <w:p w14:paraId="179333F3"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053C9D90" w14:textId="7B55F9B8"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In house firefighting capability including training requirements is detailed in Section A-I-3.2.3.2</w:t>
      </w:r>
      <w:r w:rsidR="00013B6E" w:rsidRPr="00DD1B58">
        <w:rPr>
          <w:rFonts w:asciiTheme="minorHAnsi" w:eastAsia="TimesNewRoman" w:hAnsiTheme="minorHAnsi" w:cstheme="minorHAnsi"/>
          <w:szCs w:val="24"/>
          <w:lang w:val="en-US" w:eastAsia="en-GB" w:bidi="ar-SA"/>
        </w:rPr>
        <w:t xml:space="preserve"> and assurance in </w:t>
      </w:r>
      <w:r w:rsidR="00DE051F" w:rsidRPr="00DD1B58">
        <w:rPr>
          <w:rFonts w:asciiTheme="minorHAnsi" w:eastAsia="TimesNewRoman" w:hAnsiTheme="minorHAnsi" w:cstheme="minorHAnsi"/>
          <w:szCs w:val="24"/>
          <w:lang w:val="en-US" w:eastAsia="en-GB" w:bidi="ar-SA"/>
        </w:rPr>
        <w:t xml:space="preserve">Section </w:t>
      </w:r>
      <w:r w:rsidR="00FD6C06" w:rsidRPr="00DD1B58">
        <w:rPr>
          <w:rFonts w:asciiTheme="minorHAnsi" w:eastAsia="TimesNewRoman" w:hAnsiTheme="minorHAnsi" w:cstheme="minorHAnsi"/>
          <w:szCs w:val="24"/>
          <w:lang w:val="en-US" w:eastAsia="en-GB" w:bidi="ar-SA"/>
        </w:rPr>
        <w:fldChar w:fldCharType="begin"/>
      </w:r>
      <w:r w:rsidR="00FD6C06" w:rsidRPr="00DD1B58">
        <w:rPr>
          <w:rFonts w:asciiTheme="minorHAnsi" w:eastAsia="TimesNewRoman" w:hAnsiTheme="minorHAnsi" w:cstheme="minorHAnsi"/>
          <w:szCs w:val="24"/>
          <w:lang w:val="en-US" w:eastAsia="en-GB" w:bidi="ar-SA"/>
        </w:rPr>
        <w:instrText xml:space="preserve"> REF _Ref146878960 \r \h </w:instrText>
      </w:r>
      <w:r w:rsidR="00FD6C06" w:rsidRPr="00DD1B58">
        <w:rPr>
          <w:rFonts w:asciiTheme="minorHAnsi" w:eastAsia="TimesNewRoman" w:hAnsiTheme="minorHAnsi" w:cstheme="minorHAnsi"/>
          <w:szCs w:val="24"/>
          <w:lang w:val="en-US" w:eastAsia="en-GB" w:bidi="ar-SA"/>
        </w:rPr>
      </w:r>
      <w:r w:rsidR="00FD6C06" w:rsidRPr="00DD1B58">
        <w:rPr>
          <w:rFonts w:asciiTheme="minorHAnsi" w:eastAsia="TimesNewRoman" w:hAnsiTheme="minorHAnsi" w:cstheme="minorHAnsi"/>
          <w:szCs w:val="24"/>
          <w:lang w:val="en-US" w:eastAsia="en-GB" w:bidi="ar-SA"/>
        </w:rPr>
        <w:fldChar w:fldCharType="separate"/>
      </w:r>
      <w:r w:rsidR="00DF47DA">
        <w:rPr>
          <w:rFonts w:asciiTheme="minorHAnsi" w:eastAsia="TimesNewRoman" w:hAnsiTheme="minorHAnsi" w:cstheme="minorHAnsi"/>
          <w:szCs w:val="24"/>
          <w:lang w:val="en-US" w:eastAsia="en-GB" w:bidi="ar-SA"/>
        </w:rPr>
        <w:t>A-I-3.3.1.3</w:t>
      </w:r>
      <w:r w:rsidR="00FD6C06" w:rsidRPr="00DD1B58">
        <w:rPr>
          <w:rFonts w:asciiTheme="minorHAnsi" w:eastAsia="TimesNewRoman" w:hAnsiTheme="minorHAnsi" w:cstheme="minorHAnsi"/>
          <w:szCs w:val="24"/>
          <w:lang w:val="en-US" w:eastAsia="en-GB" w:bidi="ar-SA"/>
        </w:rPr>
        <w:fldChar w:fldCharType="end"/>
      </w:r>
      <w:r w:rsidR="008D08A8" w:rsidRPr="00DD1B58">
        <w:rPr>
          <w:rFonts w:asciiTheme="minorHAnsi" w:eastAsia="TimesNewRoman" w:hAnsiTheme="minorHAnsi" w:cstheme="minorHAnsi"/>
          <w:szCs w:val="24"/>
          <w:lang w:val="en-US" w:eastAsia="en-GB" w:bidi="ar-SA"/>
        </w:rPr>
        <w:t>.</w:t>
      </w:r>
    </w:p>
    <w:p w14:paraId="01755E34"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0EABAFE9"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b/>
          <w:bCs/>
          <w:szCs w:val="24"/>
          <w:lang w:val="en-US" w:eastAsia="en-GB" w:bidi="ar-SA"/>
        </w:rPr>
      </w:pPr>
      <w:r w:rsidRPr="00DD1B58">
        <w:rPr>
          <w:rFonts w:asciiTheme="minorHAnsi" w:eastAsia="TimesNewRoman" w:hAnsiTheme="minorHAnsi" w:cstheme="minorHAnsi"/>
          <w:b/>
          <w:bCs/>
          <w:szCs w:val="24"/>
          <w:lang w:val="en-US" w:eastAsia="en-GB" w:bidi="ar-SA"/>
        </w:rPr>
        <w:t>Periodic Review</w:t>
      </w:r>
    </w:p>
    <w:p w14:paraId="6B8827E7"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b/>
          <w:bCs/>
          <w:szCs w:val="24"/>
          <w:lang w:val="en-US" w:eastAsia="en-GB" w:bidi="ar-SA"/>
        </w:rPr>
      </w:pPr>
    </w:p>
    <w:p w14:paraId="5055AE4A" w14:textId="09D2381A"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 xml:space="preserve">Nuclear Site Licence Condition 15 requires </w:t>
      </w:r>
      <w:r w:rsidR="00C362CA" w:rsidRPr="00DD1B58">
        <w:rPr>
          <w:rFonts w:asciiTheme="minorHAnsi" w:eastAsia="TimesNewRoman" w:hAnsiTheme="minorHAnsi" w:cstheme="minorHAnsi"/>
          <w:szCs w:val="24"/>
          <w:lang w:val="en-US" w:eastAsia="en-GB" w:bidi="ar-SA"/>
        </w:rPr>
        <w:t>EDF NGL</w:t>
      </w:r>
      <w:r w:rsidRPr="00DD1B58">
        <w:rPr>
          <w:rFonts w:asciiTheme="minorHAnsi" w:eastAsia="TimesNewRoman" w:hAnsiTheme="minorHAnsi" w:cstheme="minorHAnsi"/>
          <w:szCs w:val="24"/>
          <w:lang w:val="en-US" w:eastAsia="en-GB" w:bidi="ar-SA"/>
        </w:rPr>
        <w:t>, as licensee, to carry out ‘periodic and systematic review and reassessment of safety cases’ for each of its nuclear installations this applies to all three sites featured in this report.</w:t>
      </w:r>
      <w:r w:rsidR="00FE5ECD"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The purpose of a Periodic Safety Review (PSR) is to determine if in this case emergency planning arrangements currently in place will continue to be satisfactory during the next PSR review period through the management processes employed.</w:t>
      </w:r>
    </w:p>
    <w:p w14:paraId="020C1D96"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25D7A8A9" w14:textId="1446B3B0" w:rsidR="00CD7984" w:rsidRPr="00DD1B58" w:rsidRDefault="00FE5ECD"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 xml:space="preserve">EDF NGL prepares a </w:t>
      </w:r>
      <w:r w:rsidR="00CD7984" w:rsidRPr="00DD1B58">
        <w:rPr>
          <w:rFonts w:asciiTheme="minorHAnsi" w:eastAsia="TimesNewRoman" w:hAnsiTheme="minorHAnsi" w:cstheme="minorHAnsi"/>
          <w:szCs w:val="24"/>
          <w:lang w:val="en-US" w:eastAsia="en-GB" w:bidi="ar-SA"/>
        </w:rPr>
        <w:t xml:space="preserve">Main Review (MR) report support the </w:t>
      </w:r>
      <w:r w:rsidRPr="00DD1B58">
        <w:rPr>
          <w:rFonts w:asciiTheme="minorHAnsi" w:eastAsia="TimesNewRoman" w:hAnsiTheme="minorHAnsi" w:cstheme="minorHAnsi"/>
          <w:szCs w:val="24"/>
          <w:lang w:val="en-US" w:eastAsia="en-GB" w:bidi="ar-SA"/>
        </w:rPr>
        <w:t>PSR</w:t>
      </w:r>
      <w:r w:rsidR="00CD7984" w:rsidRPr="00DD1B58">
        <w:rPr>
          <w:rFonts w:asciiTheme="minorHAnsi" w:eastAsia="TimesNewRoman" w:hAnsiTheme="minorHAnsi" w:cstheme="minorHAnsi"/>
          <w:szCs w:val="24"/>
          <w:lang w:val="en-US" w:eastAsia="en-GB" w:bidi="ar-SA"/>
        </w:rPr>
        <w:t xml:space="preserve"> for a specific </w:t>
      </w:r>
      <w:r w:rsidRPr="00DD1B58">
        <w:rPr>
          <w:rFonts w:asciiTheme="minorHAnsi" w:eastAsia="TimesNewRoman" w:hAnsiTheme="minorHAnsi" w:cstheme="minorHAnsi"/>
          <w:szCs w:val="24"/>
          <w:lang w:val="en-US" w:eastAsia="en-GB" w:bidi="ar-SA"/>
        </w:rPr>
        <w:t>NPP</w:t>
      </w:r>
      <w:r w:rsidR="00CD7984" w:rsidRPr="00DD1B58">
        <w:rPr>
          <w:rFonts w:asciiTheme="minorHAnsi" w:eastAsia="TimesNewRoman" w:hAnsiTheme="minorHAnsi" w:cstheme="minorHAnsi"/>
          <w:szCs w:val="24"/>
          <w:lang w:val="en-US" w:eastAsia="en-GB" w:bidi="ar-SA"/>
        </w:rPr>
        <w:t xml:space="preserve"> and identif</w:t>
      </w:r>
      <w:r w:rsidRPr="00DD1B58">
        <w:rPr>
          <w:rFonts w:asciiTheme="minorHAnsi" w:eastAsia="TimesNewRoman" w:hAnsiTheme="minorHAnsi" w:cstheme="minorHAnsi"/>
          <w:szCs w:val="24"/>
          <w:lang w:val="en-US" w:eastAsia="en-GB" w:bidi="ar-SA"/>
        </w:rPr>
        <w:t>ies</w:t>
      </w:r>
      <w:r w:rsidR="00CD7984" w:rsidRPr="00DD1B58">
        <w:rPr>
          <w:rFonts w:asciiTheme="minorHAnsi" w:eastAsia="TimesNewRoman" w:hAnsiTheme="minorHAnsi" w:cstheme="minorHAnsi"/>
          <w:szCs w:val="24"/>
          <w:lang w:val="en-US" w:eastAsia="en-GB" w:bidi="ar-SA"/>
        </w:rPr>
        <w:t xml:space="preserve"> any issues of particular significance such as changes in nuclear fire safety case which may impact on emergency preparedness. The purpose of the PSR </w:t>
      </w:r>
      <w:r w:rsidR="00FB7DD5" w:rsidRPr="00DD1B58">
        <w:rPr>
          <w:rFonts w:asciiTheme="minorHAnsi" w:eastAsia="TimesNewRoman" w:hAnsiTheme="minorHAnsi" w:cstheme="minorHAnsi"/>
          <w:szCs w:val="24"/>
          <w:lang w:val="en-US" w:eastAsia="en-GB" w:bidi="ar-SA"/>
        </w:rPr>
        <w:t>MR</w:t>
      </w:r>
      <w:r w:rsidR="00CD7984" w:rsidRPr="00DD1B58">
        <w:rPr>
          <w:rFonts w:asciiTheme="minorHAnsi" w:eastAsia="TimesNewRoman" w:hAnsiTheme="minorHAnsi" w:cstheme="minorHAnsi"/>
          <w:szCs w:val="24"/>
          <w:lang w:val="en-US" w:eastAsia="en-GB" w:bidi="ar-SA"/>
        </w:rPr>
        <w:t xml:space="preserve"> for fire is to identify any changes to fire safety standards and review emergency arrangements performance during the reporting period (the previous ten years) through exercise reports, Condition Reports (CRs), the developments of the Emergency Handbook, the management of emergency facilities and actual events. Based on this experience and knowledge the review will assess the potential impacts of legislation, operating status, management changes, learning from exercises and incidents and the advent of new technologies to identify any significant challenges to the Emergency</w:t>
      </w:r>
      <w:r w:rsidR="00940D2A" w:rsidRPr="00DD1B58">
        <w:rPr>
          <w:rFonts w:asciiTheme="minorHAnsi" w:eastAsia="TimesNewRoman" w:hAnsiTheme="minorHAnsi" w:cstheme="minorHAnsi"/>
          <w:szCs w:val="24"/>
          <w:lang w:val="en-US" w:eastAsia="en-GB" w:bidi="ar-SA"/>
        </w:rPr>
        <w:t xml:space="preserve"> </w:t>
      </w:r>
      <w:r w:rsidR="00CD7984" w:rsidRPr="00DD1B58">
        <w:rPr>
          <w:rFonts w:asciiTheme="minorHAnsi" w:eastAsia="TimesNewRoman" w:hAnsiTheme="minorHAnsi" w:cstheme="minorHAnsi"/>
          <w:szCs w:val="24"/>
          <w:lang w:val="en-US" w:eastAsia="en-GB" w:bidi="ar-SA"/>
        </w:rPr>
        <w:t>Preparedness Programme.</w:t>
      </w:r>
    </w:p>
    <w:p w14:paraId="5D6E1278"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62C7637A" w14:textId="73FA55F0" w:rsidR="00CD7984" w:rsidRPr="00DD1B58" w:rsidRDefault="00FB7DD5"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EDF-NGL considers that the PSR</w:t>
      </w:r>
      <w:r w:rsidR="00CD7984" w:rsidRPr="00DD1B58">
        <w:rPr>
          <w:rFonts w:asciiTheme="minorHAnsi" w:eastAsia="TimesNewRoman" w:hAnsiTheme="minorHAnsi" w:cstheme="minorHAnsi"/>
          <w:szCs w:val="24"/>
          <w:lang w:val="en-US" w:eastAsia="en-GB" w:bidi="ar-SA"/>
        </w:rPr>
        <w:t xml:space="preserve"> of emergency preparedness will determine:</w:t>
      </w:r>
    </w:p>
    <w:p w14:paraId="16403004"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377EC41F"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1</w:t>
      </w:r>
      <w:r w:rsidRPr="00DD1B58">
        <w:rPr>
          <w:rFonts w:asciiTheme="minorHAnsi" w:eastAsia="TimesNewRoman" w:hAnsiTheme="minorHAnsi" w:cstheme="minorHAnsi"/>
          <w:szCs w:val="24"/>
          <w:lang w:val="en-US" w:eastAsia="en-GB" w:bidi="ar-SA"/>
        </w:rPr>
        <w:tab/>
        <w:t>The adequacy of the emergency plans, response staff, facilities and equipment for dealing with emergencies including non-radiological such as fire.</w:t>
      </w:r>
    </w:p>
    <w:p w14:paraId="1536BBB8"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6FCC4F3E"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2</w:t>
      </w:r>
      <w:r w:rsidRPr="00DD1B58">
        <w:rPr>
          <w:rFonts w:asciiTheme="minorHAnsi" w:eastAsia="TimesNewRoman" w:hAnsiTheme="minorHAnsi" w:cstheme="minorHAnsi"/>
          <w:szCs w:val="24"/>
          <w:lang w:val="en-US" w:eastAsia="en-GB" w:bidi="ar-SA"/>
        </w:rPr>
        <w:tab/>
        <w:t>If the operating organisation’s arrangements have been adequately coordinated with the arrangements of local and national authorities including blue light services.</w:t>
      </w:r>
    </w:p>
    <w:p w14:paraId="0C08EFB8"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4DE1126D"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3</w:t>
      </w:r>
      <w:r w:rsidRPr="00DD1B58">
        <w:rPr>
          <w:rFonts w:asciiTheme="minorHAnsi" w:eastAsia="TimesNewRoman" w:hAnsiTheme="minorHAnsi" w:cstheme="minorHAnsi"/>
          <w:szCs w:val="24"/>
          <w:lang w:val="en-US" w:eastAsia="en-GB" w:bidi="ar-SA"/>
        </w:rPr>
        <w:tab/>
        <w:t>Scope and frequency of exercises and how learning is fed back into the organisation.</w:t>
      </w:r>
    </w:p>
    <w:p w14:paraId="4E8CBC5C"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0822EA52"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4</w:t>
      </w:r>
      <w:r w:rsidRPr="00DD1B58">
        <w:rPr>
          <w:rFonts w:asciiTheme="minorHAnsi" w:eastAsia="TimesNewRoman" w:hAnsiTheme="minorHAnsi" w:cstheme="minorHAnsi"/>
          <w:szCs w:val="24"/>
          <w:lang w:val="en-US" w:eastAsia="en-GB" w:bidi="ar-SA"/>
        </w:rPr>
        <w:tab/>
        <w:t>Form a view on the management system to identify, remediate shortfalls or adapt emergency planning practice.</w:t>
      </w:r>
    </w:p>
    <w:p w14:paraId="3E83F78C" w14:textId="77777777" w:rsidR="00CD7984" w:rsidRPr="00DD1B58" w:rsidRDefault="00CD7984" w:rsidP="00CD7984">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67BC92B2" w14:textId="77777777" w:rsidR="00CD7984" w:rsidRPr="00DD1B58" w:rsidRDefault="00CD7984" w:rsidP="00CD7984">
      <w:pPr>
        <w:pStyle w:val="Bulletlist1"/>
        <w:numPr>
          <w:ilvl w:val="0"/>
          <w:numId w:val="0"/>
        </w:numPr>
        <w:rPr>
          <w:rFonts w:asciiTheme="minorHAnsi"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5</w:t>
      </w:r>
      <w:r w:rsidRPr="00DD1B58">
        <w:rPr>
          <w:rFonts w:asciiTheme="minorHAnsi" w:eastAsia="TimesNewRoman" w:hAnsiTheme="minorHAnsi" w:cstheme="minorHAnsi"/>
          <w:szCs w:val="24"/>
          <w:lang w:val="en-US" w:eastAsia="en-GB" w:bidi="ar-SA"/>
        </w:rPr>
        <w:tab/>
        <w:t>Address the impact of issues identified in the significant issues review.</w:t>
      </w:r>
    </w:p>
    <w:p w14:paraId="48549287" w14:textId="77777777" w:rsidR="00AD1636" w:rsidRPr="00DD1B58" w:rsidRDefault="00AD1636" w:rsidP="00177432">
      <w:pPr>
        <w:pStyle w:val="Heading5A"/>
        <w:numPr>
          <w:ilvl w:val="5"/>
          <w:numId w:val="7"/>
        </w:numPr>
        <w:rPr>
          <w:lang w:val="en-US"/>
        </w:rPr>
      </w:pPr>
      <w:r w:rsidRPr="00DD1B58">
        <w:rPr>
          <w:lang w:val="en-US"/>
        </w:rPr>
        <w:t>Firefighting capabilities, responsibilities, organisation and documentation onsite and offsite</w:t>
      </w:r>
    </w:p>
    <w:p w14:paraId="6F86130A" w14:textId="7B6E439E" w:rsidR="00DF00C8" w:rsidRPr="00DD1B58" w:rsidRDefault="002E23EF" w:rsidP="39260F63">
      <w:pPr>
        <w:pStyle w:val="Bulletlist1"/>
        <w:numPr>
          <w:ilvl w:val="0"/>
          <w:numId w:val="0"/>
        </w:numPr>
        <w:rPr>
          <w:rFonts w:asciiTheme="minorHAnsi" w:hAnsiTheme="minorHAnsi" w:cstheme="minorBidi"/>
          <w:lang w:val="en-US" w:eastAsia="en-GB" w:bidi="ar-SA"/>
        </w:rPr>
      </w:pPr>
      <w:r w:rsidRPr="00DD1B58">
        <w:rPr>
          <w:rFonts w:asciiTheme="minorHAnsi" w:hAnsiTheme="minorHAnsi" w:cstheme="minorBidi"/>
          <w:b/>
          <w:lang w:val="en-US" w:eastAsia="en-GB" w:bidi="ar-SA"/>
        </w:rPr>
        <w:t>Genera</w:t>
      </w:r>
      <w:r w:rsidR="008A0BD5" w:rsidRPr="00DD1B58">
        <w:rPr>
          <w:rFonts w:asciiTheme="minorHAnsi" w:hAnsiTheme="minorHAnsi" w:cstheme="minorBidi"/>
          <w:b/>
          <w:lang w:val="en-US" w:eastAsia="en-GB" w:bidi="ar-SA"/>
        </w:rPr>
        <w:t>l</w:t>
      </w:r>
      <w:r w:rsidR="00CA17AC" w:rsidRPr="00DD1B58">
        <w:rPr>
          <w:rFonts w:asciiTheme="minorHAnsi" w:hAnsiTheme="minorHAnsi" w:cstheme="minorBidi"/>
          <w:b/>
          <w:lang w:val="en-US" w:eastAsia="en-GB" w:bidi="ar-SA"/>
        </w:rPr>
        <w:t xml:space="preserve"> </w:t>
      </w:r>
      <w:r w:rsidR="00FB7DD5" w:rsidRPr="00DD1B58">
        <w:rPr>
          <w:rFonts w:asciiTheme="minorHAnsi" w:hAnsiTheme="minorHAnsi" w:cstheme="minorBidi"/>
          <w:b/>
          <w:lang w:val="en-US" w:eastAsia="en-GB" w:bidi="ar-SA"/>
        </w:rPr>
        <w:t>–</w:t>
      </w:r>
      <w:r w:rsidR="00CA17AC" w:rsidRPr="00DD1B58">
        <w:rPr>
          <w:rFonts w:asciiTheme="minorHAnsi" w:hAnsiTheme="minorHAnsi" w:cstheme="minorBidi"/>
          <w:b/>
          <w:lang w:val="en-US" w:eastAsia="en-GB" w:bidi="ar-SA"/>
        </w:rPr>
        <w:t xml:space="preserve"> </w:t>
      </w:r>
      <w:r w:rsidR="00FB7DD5" w:rsidRPr="00DD1B58">
        <w:rPr>
          <w:rFonts w:asciiTheme="minorHAnsi" w:hAnsiTheme="minorHAnsi" w:cstheme="minorBidi"/>
          <w:lang w:val="en-US" w:eastAsia="en-GB" w:bidi="ar-SA"/>
        </w:rPr>
        <w:t>EDF NGL report</w:t>
      </w:r>
      <w:r w:rsidR="00C70E18" w:rsidRPr="00DD1B58">
        <w:rPr>
          <w:rFonts w:asciiTheme="minorHAnsi" w:hAnsiTheme="minorHAnsi" w:cstheme="minorBidi"/>
          <w:lang w:val="en-US" w:eastAsia="en-GB" w:bidi="ar-SA"/>
        </w:rPr>
        <w:t>s</w:t>
      </w:r>
      <w:r w:rsidR="00FB7DD5" w:rsidRPr="00DD1B58">
        <w:rPr>
          <w:rFonts w:asciiTheme="minorHAnsi" w:hAnsiTheme="minorHAnsi" w:cstheme="minorBidi"/>
          <w:lang w:val="en-US" w:eastAsia="en-GB" w:bidi="ar-SA"/>
        </w:rPr>
        <w:t xml:space="preserve"> that each </w:t>
      </w:r>
      <w:r w:rsidRPr="00DD1B58">
        <w:rPr>
          <w:rFonts w:asciiTheme="minorHAnsi" w:hAnsiTheme="minorHAnsi" w:cstheme="minorBidi"/>
          <w:lang w:val="en-US" w:eastAsia="en-GB" w:bidi="ar-SA"/>
        </w:rPr>
        <w:t>site has an emergency plan and handbook which contains the procedures for response to events</w:t>
      </w:r>
      <w:r w:rsidR="008A0BD5"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 xml:space="preserve">such as fire. </w:t>
      </w:r>
      <w:r w:rsidR="007C05EB" w:rsidRPr="00DD1B58">
        <w:rPr>
          <w:rFonts w:asciiTheme="minorHAnsi" w:hAnsiTheme="minorHAnsi" w:cstheme="minorBidi"/>
          <w:lang w:val="en-US" w:eastAsia="en-GB" w:bidi="ar-SA"/>
        </w:rPr>
        <w:t xml:space="preserve">They describe the </w:t>
      </w:r>
      <w:r w:rsidRPr="00DD1B58">
        <w:rPr>
          <w:rFonts w:asciiTheme="minorHAnsi" w:hAnsiTheme="minorHAnsi" w:cstheme="minorBidi"/>
          <w:lang w:val="en-US" w:eastAsia="en-GB" w:bidi="ar-SA"/>
        </w:rPr>
        <w:t>roles and responsibilities for shift managers, emergency controllers and</w:t>
      </w:r>
      <w:r w:rsidR="008A0BD5"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incident response team members.</w:t>
      </w:r>
    </w:p>
    <w:p w14:paraId="05956A36" w14:textId="5024FD68" w:rsidR="00AB6891" w:rsidRPr="00DD1B58" w:rsidRDefault="002E23EF" w:rsidP="39260F63">
      <w:pPr>
        <w:pStyle w:val="Bulletlist1"/>
        <w:numPr>
          <w:ilvl w:val="0"/>
          <w:numId w:val="0"/>
        </w:numPr>
        <w:rPr>
          <w:rFonts w:asciiTheme="minorHAnsi" w:hAnsiTheme="minorHAnsi" w:cstheme="minorBidi"/>
          <w:lang w:val="en-US" w:eastAsia="en-GB" w:bidi="ar-SA"/>
        </w:rPr>
      </w:pPr>
      <w:r w:rsidRPr="00DD1B58">
        <w:rPr>
          <w:rFonts w:asciiTheme="minorHAnsi" w:hAnsiTheme="minorHAnsi" w:cstheme="minorBidi"/>
          <w:lang w:val="en-US" w:eastAsia="en-GB" w:bidi="ar-SA"/>
        </w:rPr>
        <w:t xml:space="preserve">The emergency handbook covers immediate and </w:t>
      </w:r>
      <w:r w:rsidR="00E17CD0" w:rsidRPr="00DD1B58">
        <w:rPr>
          <w:rFonts w:asciiTheme="minorHAnsi" w:hAnsiTheme="minorHAnsi" w:cstheme="minorBidi"/>
          <w:lang w:val="en-US" w:eastAsia="en-GB" w:bidi="ar-SA"/>
        </w:rPr>
        <w:t>ongoing</w:t>
      </w:r>
      <w:r w:rsidRPr="00DD1B58">
        <w:rPr>
          <w:rFonts w:asciiTheme="minorHAnsi" w:hAnsiTheme="minorHAnsi" w:cstheme="minorBidi"/>
          <w:lang w:val="en-US" w:eastAsia="en-GB" w:bidi="ar-SA"/>
        </w:rPr>
        <w:t xml:space="preserve"> actions expected from the emergency</w:t>
      </w:r>
      <w:r w:rsidR="00DF00C8"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 xml:space="preserve">response teams. </w:t>
      </w:r>
      <w:r w:rsidR="007C05EB" w:rsidRPr="00DD1B58">
        <w:rPr>
          <w:rFonts w:asciiTheme="minorHAnsi" w:hAnsiTheme="minorHAnsi" w:cstheme="minorBidi"/>
          <w:lang w:val="en-US" w:eastAsia="en-GB" w:bidi="ar-SA"/>
        </w:rPr>
        <w:t xml:space="preserve">EDF NGL expects the </w:t>
      </w:r>
      <w:r w:rsidRPr="00DD1B58">
        <w:rPr>
          <w:rFonts w:asciiTheme="minorHAnsi" w:hAnsiTheme="minorHAnsi" w:cstheme="minorBidi"/>
          <w:lang w:val="en-US" w:eastAsia="en-GB" w:bidi="ar-SA"/>
        </w:rPr>
        <w:t>teams to understand their level of competence and</w:t>
      </w:r>
      <w:r w:rsidR="00DF00C8"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 xml:space="preserve">the expectation placed on them by the company when faced with a fire event. </w:t>
      </w:r>
      <w:r w:rsidR="007C05EB" w:rsidRPr="00DD1B58">
        <w:rPr>
          <w:rFonts w:asciiTheme="minorHAnsi" w:hAnsiTheme="minorHAnsi" w:cstheme="minorBidi"/>
          <w:lang w:val="en-US" w:eastAsia="en-GB" w:bidi="ar-SA"/>
        </w:rPr>
        <w:t>EDF NGL state</w:t>
      </w:r>
      <w:r w:rsidR="00C70E18" w:rsidRPr="00DD1B58">
        <w:rPr>
          <w:rFonts w:asciiTheme="minorHAnsi" w:hAnsiTheme="minorHAnsi" w:cstheme="minorBidi"/>
          <w:lang w:val="en-US" w:eastAsia="en-GB" w:bidi="ar-SA"/>
        </w:rPr>
        <w:t>s</w:t>
      </w:r>
      <w:r w:rsidR="007C05EB" w:rsidRPr="00DD1B58">
        <w:rPr>
          <w:rFonts w:asciiTheme="minorHAnsi" w:hAnsiTheme="minorHAnsi" w:cstheme="minorBidi"/>
          <w:lang w:val="en-US" w:eastAsia="en-GB" w:bidi="ar-SA"/>
        </w:rPr>
        <w:t xml:space="preserve"> that it convers this</w:t>
      </w:r>
      <w:r w:rsidRPr="00DD1B58">
        <w:rPr>
          <w:rFonts w:asciiTheme="minorHAnsi" w:hAnsiTheme="minorHAnsi" w:cstheme="minorBidi"/>
          <w:lang w:val="en-US" w:eastAsia="en-GB" w:bidi="ar-SA"/>
        </w:rPr>
        <w:t xml:space="preserve"> in</w:t>
      </w:r>
      <w:r w:rsidR="00DF00C8"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company procedures for firefighting capability specification</w:t>
      </w:r>
      <w:r w:rsidR="007C05EB" w:rsidRPr="00DD1B58">
        <w:rPr>
          <w:rFonts w:asciiTheme="minorHAnsi" w:hAnsiTheme="minorHAnsi" w:cstheme="minorBidi"/>
          <w:lang w:val="en-US" w:eastAsia="en-GB" w:bidi="ar-SA"/>
        </w:rPr>
        <w:t>,</w:t>
      </w:r>
      <w:r w:rsidR="2C34F39F" w:rsidRPr="00DD1B58">
        <w:rPr>
          <w:rFonts w:asciiTheme="minorHAnsi" w:hAnsiTheme="minorHAnsi" w:cstheme="minorBidi"/>
          <w:lang w:val="en-US" w:eastAsia="en-GB" w:bidi="ar-SA"/>
        </w:rPr>
        <w:t xml:space="preserve"> </w:t>
      </w:r>
      <w:r w:rsidR="007C05EB" w:rsidRPr="00DD1B58">
        <w:rPr>
          <w:rFonts w:asciiTheme="minorHAnsi" w:hAnsiTheme="minorHAnsi" w:cstheme="minorBidi"/>
          <w:lang w:val="en-US" w:eastAsia="en-GB" w:bidi="ar-SA"/>
        </w:rPr>
        <w:t>outlining</w:t>
      </w:r>
      <w:r w:rsidR="00DF00C8"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the scope and limitations of the response capability to ensure a consistent approach is maintained across</w:t>
      </w:r>
      <w:r w:rsidR="00DF00C8" w:rsidRPr="00DD1B58">
        <w:rPr>
          <w:rFonts w:asciiTheme="minorHAnsi" w:hAnsiTheme="minorHAnsi" w:cstheme="minorBidi"/>
          <w:lang w:val="en-US" w:eastAsia="en-GB" w:bidi="ar-SA"/>
        </w:rPr>
        <w:t xml:space="preserve"> </w:t>
      </w:r>
      <w:r w:rsidR="00C362CA" w:rsidRPr="00DD1B58">
        <w:rPr>
          <w:rFonts w:asciiTheme="minorHAnsi" w:hAnsiTheme="minorHAnsi" w:cstheme="minorBidi"/>
          <w:lang w:val="en-US" w:eastAsia="en-GB" w:bidi="ar-SA"/>
        </w:rPr>
        <w:t>EDF NGL</w:t>
      </w:r>
      <w:r w:rsidRPr="00DD1B58">
        <w:rPr>
          <w:rFonts w:asciiTheme="minorHAnsi" w:hAnsiTheme="minorHAnsi" w:cstheme="minorBidi"/>
          <w:lang w:val="en-US" w:eastAsia="en-GB" w:bidi="ar-SA"/>
        </w:rPr>
        <w:t xml:space="preserve"> sites.</w:t>
      </w:r>
      <w:r w:rsidR="00DF00C8" w:rsidRPr="00DD1B58">
        <w:rPr>
          <w:rFonts w:asciiTheme="minorHAnsi" w:hAnsiTheme="minorHAnsi" w:cstheme="minorBidi"/>
          <w:lang w:val="en-US" w:eastAsia="en-GB" w:bidi="ar-SA"/>
        </w:rPr>
        <w:t xml:space="preserve"> </w:t>
      </w:r>
    </w:p>
    <w:p w14:paraId="50184B98" w14:textId="511F3668" w:rsidR="5ADE811A" w:rsidRPr="00DD1B58" w:rsidRDefault="5ADE811A" w:rsidP="1B2B0ECE">
      <w:pPr>
        <w:pStyle w:val="Bulletlist1"/>
        <w:numPr>
          <w:ilvl w:val="0"/>
          <w:numId w:val="0"/>
        </w:numPr>
        <w:rPr>
          <w:rFonts w:asciiTheme="minorHAnsi" w:eastAsia="TimesNewRoman" w:hAnsiTheme="minorHAnsi" w:cstheme="minorBidi"/>
          <w:lang w:val="en-US" w:eastAsia="en-GB" w:bidi="ar-SA"/>
        </w:rPr>
      </w:pPr>
      <w:r w:rsidRPr="00DD1B58">
        <w:rPr>
          <w:rFonts w:asciiTheme="minorHAnsi" w:hAnsiTheme="minorHAnsi" w:cstheme="minorBidi"/>
          <w:lang w:val="en-US" w:eastAsia="en-GB" w:bidi="ar-SA"/>
        </w:rPr>
        <w:t>Th</w:t>
      </w:r>
      <w:r w:rsidR="19FE8201" w:rsidRPr="00DD1B58">
        <w:rPr>
          <w:rFonts w:asciiTheme="minorHAnsi" w:hAnsiTheme="minorHAnsi" w:cstheme="minorBidi"/>
          <w:lang w:val="en-US" w:eastAsia="en-GB" w:bidi="ar-SA"/>
        </w:rPr>
        <w:t>e</w:t>
      </w:r>
      <w:r w:rsidRPr="00DD1B58">
        <w:rPr>
          <w:rFonts w:asciiTheme="minorHAnsi" w:hAnsiTheme="minorHAnsi" w:cstheme="minorBidi"/>
          <w:lang w:val="en-US" w:eastAsia="en-GB" w:bidi="ar-SA"/>
        </w:rPr>
        <w:t xml:space="preserve"> specification lists the expected minimum firefighting skills and capabilities of the Incident</w:t>
      </w:r>
      <w:r w:rsidR="73F64F60" w:rsidRPr="00DD1B58">
        <w:rPr>
          <w:rFonts w:asciiTheme="minorHAnsi" w:hAnsiTheme="minorHAnsi" w:cstheme="minorBidi"/>
          <w:lang w:val="en-US" w:eastAsia="en-GB" w:bidi="ar-SA"/>
        </w:rPr>
        <w:t xml:space="preserve"> </w:t>
      </w:r>
      <w:r w:rsidRPr="00DD1B58">
        <w:rPr>
          <w:rFonts w:asciiTheme="minorHAnsi" w:hAnsiTheme="minorHAnsi" w:cstheme="minorBidi"/>
          <w:lang w:val="en-US" w:eastAsia="en-GB" w:bidi="ar-SA"/>
        </w:rPr>
        <w:t xml:space="preserve">Response teams which </w:t>
      </w:r>
      <w:r w:rsidR="462C86B8" w:rsidRPr="00DD1B58">
        <w:rPr>
          <w:rFonts w:asciiTheme="minorHAnsi" w:hAnsiTheme="minorHAnsi" w:cstheme="minorBidi"/>
          <w:lang w:val="en-US" w:eastAsia="en-GB" w:bidi="ar-SA"/>
        </w:rPr>
        <w:t>include undertaking invenstigation of fire alarms, controlling and extinguishing minor/moderate fires</w:t>
      </w:r>
      <w:r w:rsidR="747A8182" w:rsidRPr="00DD1B58">
        <w:rPr>
          <w:rFonts w:asciiTheme="minorHAnsi" w:hAnsiTheme="minorHAnsi" w:cstheme="minorBidi"/>
          <w:lang w:val="en-US" w:eastAsia="en-GB" w:bidi="ar-SA"/>
        </w:rPr>
        <w:t xml:space="preserve"> and searching for and rescuing casulaties. A more detailed list of the expected skills is provided in the licensee’s </w:t>
      </w:r>
      <w:r w:rsidR="007C05EB" w:rsidRPr="00DD1B58">
        <w:rPr>
          <w:rFonts w:asciiTheme="minorHAnsi" w:hAnsiTheme="minorHAnsi" w:cstheme="minorBidi"/>
          <w:lang w:val="en-US" w:eastAsia="en-GB" w:bidi="ar-SA"/>
        </w:rPr>
        <w:t xml:space="preserve">self-assessment report </w:t>
      </w:r>
      <w:sdt>
        <w:sdtPr>
          <w:rPr>
            <w:rFonts w:asciiTheme="minorHAnsi" w:hAnsiTheme="minorHAnsi" w:cstheme="minorBidi"/>
            <w:lang w:val="en-US" w:eastAsia="en-GB" w:bidi="ar-SA"/>
          </w:rPr>
          <w:id w:val="-2091919120"/>
          <w:citation/>
        </w:sdtPr>
        <w:sdtContent>
          <w:r w:rsidR="001C5FC7" w:rsidRPr="00DD1B58">
            <w:rPr>
              <w:rFonts w:asciiTheme="minorHAnsi" w:hAnsiTheme="minorHAnsi" w:cstheme="minorBidi"/>
              <w:lang w:val="en-US" w:eastAsia="en-GB" w:bidi="ar-SA"/>
            </w:rPr>
            <w:fldChar w:fldCharType="begin"/>
          </w:r>
          <w:r w:rsidR="001C5FC7" w:rsidRPr="00DD1B58">
            <w:rPr>
              <w:rFonts w:asciiTheme="minorHAnsi" w:hAnsiTheme="minorHAnsi" w:cstheme="minorBidi"/>
              <w:lang w:val="en-US" w:eastAsia="en-GB" w:bidi="ar-SA"/>
            </w:rPr>
            <w:instrText xml:space="preserve"> CITATION EDF231 \l 2057 </w:instrText>
          </w:r>
          <w:r w:rsidR="001C5FC7" w:rsidRPr="00DD1B58">
            <w:rPr>
              <w:rFonts w:asciiTheme="minorHAnsi" w:hAnsiTheme="minorHAnsi" w:cstheme="minorBidi"/>
              <w:lang w:val="en-US" w:eastAsia="en-GB" w:bidi="ar-SA"/>
            </w:rPr>
            <w:fldChar w:fldCharType="separate"/>
          </w:r>
          <w:r w:rsidR="00DF47DA" w:rsidRPr="00DF47DA">
            <w:rPr>
              <w:rFonts w:asciiTheme="minorHAnsi" w:hAnsiTheme="minorHAnsi" w:cstheme="minorBidi"/>
              <w:lang w:val="en-US" w:eastAsia="en-GB" w:bidi="ar-SA"/>
            </w:rPr>
            <w:t>[25]</w:t>
          </w:r>
          <w:r w:rsidR="001C5FC7" w:rsidRPr="00DD1B58">
            <w:rPr>
              <w:rFonts w:asciiTheme="minorHAnsi" w:hAnsiTheme="minorHAnsi" w:cstheme="minorBidi"/>
              <w:lang w:val="en-US" w:eastAsia="en-GB" w:bidi="ar-SA"/>
            </w:rPr>
            <w:fldChar w:fldCharType="end"/>
          </w:r>
        </w:sdtContent>
      </w:sdt>
      <w:r w:rsidR="747A8182" w:rsidRPr="00DD1B58">
        <w:rPr>
          <w:rFonts w:asciiTheme="minorHAnsi" w:hAnsiTheme="minorHAnsi" w:cstheme="minorBidi"/>
          <w:lang w:val="en-US" w:eastAsia="en-GB" w:bidi="ar-SA"/>
        </w:rPr>
        <w:t>.</w:t>
      </w:r>
      <w:r w:rsidR="00940D2A" w:rsidRPr="00DD1B58">
        <w:rPr>
          <w:rFonts w:asciiTheme="minorHAnsi" w:hAnsiTheme="minorHAnsi" w:cstheme="minorBidi"/>
          <w:lang w:val="en-US" w:eastAsia="en-GB" w:bidi="ar-SA"/>
        </w:rPr>
        <w:t xml:space="preserve"> </w:t>
      </w:r>
    </w:p>
    <w:p w14:paraId="4F18E5FA" w14:textId="1C35F4CC" w:rsidR="009D2736" w:rsidRPr="00DD1B58" w:rsidRDefault="00521C88" w:rsidP="1B2B0ECE">
      <w:pPr>
        <w:spacing w:after="0" w:line="240" w:lineRule="auto"/>
        <w:rPr>
          <w:rFonts w:asciiTheme="minorHAnsi" w:eastAsia="TimesNewRoman" w:hAnsiTheme="minorHAnsi" w:cstheme="minorBidi"/>
          <w:lang w:val="en-US" w:eastAsia="en-GB" w:bidi="ar-SA"/>
        </w:rPr>
      </w:pPr>
      <w:r w:rsidRPr="00DD1B58">
        <w:rPr>
          <w:rFonts w:asciiTheme="minorHAnsi" w:eastAsia="TimesNewRoman" w:hAnsiTheme="minorHAnsi" w:cstheme="minorBidi"/>
          <w:lang w:val="en-US" w:eastAsia="en-GB" w:bidi="ar-SA"/>
        </w:rPr>
        <w:t xml:space="preserve">The firefighting capability specification was developed by </w:t>
      </w:r>
      <w:r w:rsidR="00C362CA" w:rsidRPr="00DD1B58">
        <w:rPr>
          <w:rFonts w:asciiTheme="minorHAnsi" w:eastAsia="TimesNewRoman" w:hAnsiTheme="minorHAnsi" w:cstheme="minorBidi"/>
          <w:lang w:val="en-US" w:eastAsia="en-GB" w:bidi="ar-SA"/>
        </w:rPr>
        <w:t>EDF NGL</w:t>
      </w:r>
      <w:r w:rsidRPr="00DD1B58">
        <w:rPr>
          <w:rFonts w:asciiTheme="minorHAnsi" w:eastAsia="TimesNewRoman" w:hAnsiTheme="minorHAnsi" w:cstheme="minorBidi"/>
          <w:lang w:val="en-US" w:eastAsia="en-GB" w:bidi="ar-SA"/>
        </w:rPr>
        <w:t xml:space="preserve"> to ensure a consistent</w:t>
      </w:r>
      <w:r w:rsidR="00AA7B40" w:rsidRPr="00DD1B58">
        <w:rPr>
          <w:rFonts w:asciiTheme="minorHAnsi" w:eastAsia="TimesNewRoman" w:hAnsiTheme="minorHAnsi" w:cstheme="minorBidi"/>
          <w:lang w:val="en-US" w:eastAsia="en-GB" w:bidi="ar-SA"/>
        </w:rPr>
        <w:t xml:space="preserve"> </w:t>
      </w:r>
      <w:r w:rsidRPr="00DD1B58">
        <w:rPr>
          <w:rFonts w:asciiTheme="minorHAnsi" w:eastAsia="TimesNewRoman" w:hAnsiTheme="minorHAnsi" w:cstheme="minorBidi"/>
          <w:lang w:val="en-US" w:eastAsia="en-GB" w:bidi="ar-SA"/>
        </w:rPr>
        <w:t xml:space="preserve">approach to site based firefighting capability. </w:t>
      </w:r>
      <w:r w:rsidR="007F5F0D" w:rsidRPr="00DD1B58">
        <w:rPr>
          <w:rFonts w:asciiTheme="minorHAnsi" w:eastAsia="TimesNewRoman" w:hAnsiTheme="minorHAnsi" w:cstheme="minorBidi"/>
          <w:lang w:val="en-US" w:eastAsia="en-GB" w:bidi="ar-SA"/>
        </w:rPr>
        <w:t xml:space="preserve">EDF NGL </w:t>
      </w:r>
      <w:r w:rsidR="001951E8" w:rsidRPr="00DD1B58">
        <w:rPr>
          <w:rFonts w:asciiTheme="minorHAnsi" w:eastAsia="TimesNewRoman" w:hAnsiTheme="minorHAnsi" w:cstheme="minorBidi"/>
          <w:lang w:val="en-US" w:eastAsia="en-GB" w:bidi="ar-SA"/>
        </w:rPr>
        <w:t>states that while</w:t>
      </w:r>
      <w:r w:rsidRPr="00DD1B58">
        <w:rPr>
          <w:rFonts w:asciiTheme="minorHAnsi" w:eastAsia="TimesNewRoman" w:hAnsiTheme="minorHAnsi" w:cstheme="minorBidi"/>
          <w:lang w:val="en-US" w:eastAsia="en-GB" w:bidi="ar-SA"/>
        </w:rPr>
        <w:t xml:space="preserve"> not all possible </w:t>
      </w:r>
      <w:r w:rsidR="00F01781" w:rsidRPr="00DD1B58">
        <w:rPr>
          <w:rFonts w:asciiTheme="minorHAnsi" w:eastAsia="TimesNewRoman" w:hAnsiTheme="minorHAnsi" w:cstheme="minorBidi"/>
          <w:lang w:val="en-US" w:eastAsia="en-GB" w:bidi="ar-SA"/>
        </w:rPr>
        <w:t>scenarios,</w:t>
      </w:r>
      <w:r w:rsidR="001951E8" w:rsidRPr="00DD1B58">
        <w:rPr>
          <w:rFonts w:asciiTheme="minorHAnsi" w:eastAsia="TimesNewRoman" w:hAnsiTheme="minorHAnsi" w:cstheme="minorBidi"/>
          <w:lang w:val="en-US" w:eastAsia="en-GB" w:bidi="ar-SA"/>
        </w:rPr>
        <w:t xml:space="preserve"> the specification covers</w:t>
      </w:r>
      <w:r w:rsidR="00CA6BA8" w:rsidRPr="00DD1B58">
        <w:rPr>
          <w:rFonts w:asciiTheme="minorHAnsi" w:eastAsia="TimesNewRoman" w:hAnsiTheme="minorHAnsi" w:cstheme="minorBidi"/>
          <w:lang w:val="en-US" w:eastAsia="en-GB" w:bidi="ar-SA"/>
        </w:rPr>
        <w:t xml:space="preserve"> the </w:t>
      </w:r>
      <w:r w:rsidRPr="00DD1B58">
        <w:rPr>
          <w:rFonts w:asciiTheme="minorHAnsi" w:eastAsia="TimesNewRoman" w:hAnsiTheme="minorHAnsi" w:cstheme="minorBidi"/>
          <w:lang w:val="en-US" w:eastAsia="en-GB" w:bidi="ar-SA"/>
        </w:rPr>
        <w:t>installed fire detection and suppression system</w:t>
      </w:r>
      <w:r w:rsidR="00CA6BA8" w:rsidRPr="00DD1B58">
        <w:rPr>
          <w:rFonts w:asciiTheme="minorHAnsi" w:eastAsia="TimesNewRoman" w:hAnsiTheme="minorHAnsi" w:cstheme="minorBidi"/>
          <w:lang w:val="en-US" w:eastAsia="en-GB" w:bidi="ar-SA"/>
        </w:rPr>
        <w:t xml:space="preserve"> capability, and the </w:t>
      </w:r>
      <w:r w:rsidRPr="00DD1B58">
        <w:rPr>
          <w:rFonts w:asciiTheme="minorHAnsi" w:eastAsia="TimesNewRoman" w:hAnsiTheme="minorHAnsi" w:cstheme="minorBidi"/>
          <w:lang w:val="en-US" w:eastAsia="en-GB" w:bidi="ar-SA"/>
        </w:rPr>
        <w:t xml:space="preserve">capability </w:t>
      </w:r>
      <w:r w:rsidR="00CA6BA8" w:rsidRPr="00DD1B58">
        <w:rPr>
          <w:rFonts w:asciiTheme="minorHAnsi" w:eastAsia="TimesNewRoman" w:hAnsiTheme="minorHAnsi" w:cstheme="minorBidi"/>
          <w:lang w:val="en-US" w:eastAsia="en-GB" w:bidi="ar-SA"/>
        </w:rPr>
        <w:t xml:space="preserve">that </w:t>
      </w:r>
      <w:r w:rsidRPr="00DD1B58">
        <w:rPr>
          <w:rFonts w:asciiTheme="minorHAnsi" w:eastAsia="TimesNewRoman" w:hAnsiTheme="minorHAnsi" w:cstheme="minorBidi"/>
          <w:lang w:val="en-US" w:eastAsia="en-GB" w:bidi="ar-SA"/>
        </w:rPr>
        <w:t>the incident response teams must have, support</w:t>
      </w:r>
      <w:r w:rsidR="00CA6BA8" w:rsidRPr="00DD1B58">
        <w:rPr>
          <w:rFonts w:asciiTheme="minorHAnsi" w:eastAsia="TimesNewRoman" w:hAnsiTheme="minorHAnsi" w:cstheme="minorBidi"/>
          <w:lang w:val="en-US" w:eastAsia="en-GB" w:bidi="ar-SA"/>
        </w:rPr>
        <w:t xml:space="preserve">ing the </w:t>
      </w:r>
      <w:r w:rsidRPr="00DD1B58">
        <w:rPr>
          <w:rFonts w:asciiTheme="minorHAnsi" w:eastAsia="TimesNewRoman" w:hAnsiTheme="minorHAnsi" w:cstheme="minorBidi"/>
          <w:lang w:val="en-US" w:eastAsia="en-GB" w:bidi="ar-SA"/>
        </w:rPr>
        <w:t>development of a specific</w:t>
      </w:r>
      <w:r w:rsidR="00AA7B40" w:rsidRPr="00DD1B58">
        <w:rPr>
          <w:rFonts w:asciiTheme="minorHAnsi" w:eastAsia="TimesNewRoman" w:hAnsiTheme="minorHAnsi" w:cstheme="minorBidi"/>
          <w:lang w:val="en-US" w:eastAsia="en-GB" w:bidi="ar-SA"/>
        </w:rPr>
        <w:t xml:space="preserve"> </w:t>
      </w:r>
      <w:r w:rsidRPr="00DD1B58">
        <w:rPr>
          <w:rFonts w:asciiTheme="minorHAnsi" w:eastAsia="TimesNewRoman" w:hAnsiTheme="minorHAnsi" w:cstheme="minorBidi"/>
          <w:lang w:val="en-US" w:eastAsia="en-GB" w:bidi="ar-SA"/>
        </w:rPr>
        <w:t xml:space="preserve">training program. </w:t>
      </w:r>
      <w:r w:rsidR="269DB7E2" w:rsidRPr="00DD1B58">
        <w:rPr>
          <w:rFonts w:asciiTheme="minorHAnsi" w:eastAsia="TimesNewRoman" w:hAnsiTheme="minorHAnsi" w:cstheme="minorBidi"/>
          <w:lang w:val="en-US" w:eastAsia="en-GB" w:bidi="ar-SA"/>
        </w:rPr>
        <w:t xml:space="preserve">Topics addressed </w:t>
      </w:r>
      <w:r w:rsidR="59FCB58A" w:rsidRPr="00DD1B58">
        <w:rPr>
          <w:rFonts w:asciiTheme="minorHAnsi" w:eastAsia="TimesNewRoman" w:hAnsiTheme="minorHAnsi" w:cstheme="minorBidi"/>
          <w:lang w:val="en-US" w:eastAsia="en-GB" w:bidi="ar-SA"/>
        </w:rPr>
        <w:t>include the i</w:t>
      </w:r>
      <w:r w:rsidR="269DB7E2" w:rsidRPr="00DD1B58">
        <w:rPr>
          <w:rFonts w:asciiTheme="minorHAnsi" w:eastAsia="TimesNewRoman" w:hAnsiTheme="minorHAnsi" w:cstheme="minorBidi"/>
          <w:lang w:val="en-US" w:eastAsia="en-GB" w:bidi="ar-SA"/>
        </w:rPr>
        <w:t xml:space="preserve">nvestigation phase of </w:t>
      </w:r>
      <w:r w:rsidR="59325699" w:rsidRPr="00DD1B58">
        <w:rPr>
          <w:rFonts w:asciiTheme="minorHAnsi" w:eastAsia="TimesNewRoman" w:hAnsiTheme="minorHAnsi" w:cstheme="minorBidi"/>
          <w:lang w:val="en-US" w:eastAsia="en-GB" w:bidi="ar-SA"/>
        </w:rPr>
        <w:t xml:space="preserve">a </w:t>
      </w:r>
      <w:r w:rsidR="269DB7E2" w:rsidRPr="00DD1B58">
        <w:rPr>
          <w:rFonts w:asciiTheme="minorHAnsi" w:eastAsia="TimesNewRoman" w:hAnsiTheme="minorHAnsi" w:cstheme="minorBidi"/>
          <w:lang w:val="en-US" w:eastAsia="en-GB" w:bidi="ar-SA"/>
        </w:rPr>
        <w:t>response</w:t>
      </w:r>
      <w:r w:rsidR="0B776A52" w:rsidRPr="00DD1B58">
        <w:rPr>
          <w:rFonts w:asciiTheme="minorHAnsi" w:eastAsia="TimesNewRoman" w:hAnsiTheme="minorHAnsi" w:cstheme="minorBidi"/>
          <w:lang w:val="en-US" w:eastAsia="en-GB" w:bidi="ar-SA"/>
        </w:rPr>
        <w:t>, use of equipment and understanding fire plans</w:t>
      </w:r>
      <w:r w:rsidR="269DB7E2" w:rsidRPr="00DD1B58">
        <w:rPr>
          <w:rFonts w:asciiTheme="minorHAnsi" w:eastAsia="TimesNewRoman" w:hAnsiTheme="minorHAnsi" w:cstheme="minorBidi"/>
          <w:lang w:val="en-US" w:eastAsia="en-GB" w:bidi="ar-SA"/>
        </w:rPr>
        <w:t>.</w:t>
      </w:r>
      <w:r w:rsidR="5116BE7E" w:rsidRPr="00DD1B58">
        <w:rPr>
          <w:rFonts w:asciiTheme="minorHAnsi" w:eastAsia="TimesNewRoman" w:hAnsiTheme="minorHAnsi" w:cstheme="minorBidi"/>
          <w:lang w:val="en-US" w:eastAsia="en-GB" w:bidi="ar-SA"/>
        </w:rPr>
        <w:t xml:space="preserve"> A more detailed list may be found in the licensee’s </w:t>
      </w:r>
      <w:r w:rsidR="001951E8" w:rsidRPr="00DD1B58">
        <w:rPr>
          <w:rFonts w:asciiTheme="minorHAnsi" w:eastAsia="TimesNewRoman" w:hAnsiTheme="minorHAnsi" w:cstheme="minorBidi"/>
          <w:lang w:val="en-US" w:eastAsia="en-GB" w:bidi="ar-SA"/>
        </w:rPr>
        <w:t xml:space="preserve">self-assessment </w:t>
      </w:r>
      <w:sdt>
        <w:sdtPr>
          <w:rPr>
            <w:rFonts w:asciiTheme="minorHAnsi" w:eastAsia="TimesNewRoman" w:hAnsiTheme="minorHAnsi" w:cstheme="minorBidi"/>
            <w:lang w:val="en-US" w:eastAsia="en-GB" w:bidi="ar-SA"/>
          </w:rPr>
          <w:id w:val="28612737"/>
          <w:citation/>
        </w:sdtPr>
        <w:sdtContent>
          <w:r w:rsidR="001C5FC7" w:rsidRPr="00DD1B58">
            <w:rPr>
              <w:rFonts w:asciiTheme="minorHAnsi" w:eastAsia="TimesNewRoman" w:hAnsiTheme="minorHAnsi" w:cstheme="minorBidi"/>
              <w:lang w:val="en-US" w:eastAsia="en-GB" w:bidi="ar-SA"/>
            </w:rPr>
            <w:fldChar w:fldCharType="begin"/>
          </w:r>
          <w:r w:rsidR="001C5FC7" w:rsidRPr="00DD1B58">
            <w:rPr>
              <w:rFonts w:asciiTheme="minorHAnsi" w:eastAsia="TimesNewRoman" w:hAnsiTheme="minorHAnsi" w:cstheme="minorBidi"/>
              <w:lang w:val="en-US" w:eastAsia="en-GB" w:bidi="ar-SA"/>
            </w:rPr>
            <w:instrText xml:space="preserve"> CITATION EDF231 \l 2057 </w:instrText>
          </w:r>
          <w:r w:rsidR="001C5FC7" w:rsidRPr="00DD1B58">
            <w:rPr>
              <w:rFonts w:asciiTheme="minorHAnsi" w:eastAsia="TimesNewRoman" w:hAnsiTheme="minorHAnsi" w:cstheme="minorBidi"/>
              <w:lang w:val="en-US" w:eastAsia="en-GB" w:bidi="ar-SA"/>
            </w:rPr>
            <w:fldChar w:fldCharType="separate"/>
          </w:r>
          <w:r w:rsidR="00DF47DA" w:rsidRPr="00DF47DA">
            <w:rPr>
              <w:rFonts w:asciiTheme="minorHAnsi" w:eastAsia="TimesNewRoman" w:hAnsiTheme="minorHAnsi" w:cstheme="minorBidi"/>
              <w:noProof/>
              <w:lang w:val="en-US" w:eastAsia="en-GB" w:bidi="ar-SA"/>
            </w:rPr>
            <w:t>[25]</w:t>
          </w:r>
          <w:r w:rsidR="001C5FC7" w:rsidRPr="00DD1B58">
            <w:rPr>
              <w:rFonts w:asciiTheme="minorHAnsi" w:eastAsia="TimesNewRoman" w:hAnsiTheme="minorHAnsi" w:cstheme="minorBidi"/>
              <w:lang w:val="en-US" w:eastAsia="en-GB" w:bidi="ar-SA"/>
            </w:rPr>
            <w:fldChar w:fldCharType="end"/>
          </w:r>
        </w:sdtContent>
      </w:sdt>
      <w:r w:rsidR="5116BE7E" w:rsidRPr="00DD1B58">
        <w:rPr>
          <w:rFonts w:asciiTheme="minorHAnsi" w:eastAsia="TimesNewRoman" w:hAnsiTheme="minorHAnsi" w:cstheme="minorBidi"/>
          <w:lang w:val="en-US" w:eastAsia="en-GB" w:bidi="ar-SA"/>
        </w:rPr>
        <w:t xml:space="preserve">. </w:t>
      </w:r>
    </w:p>
    <w:p w14:paraId="093B86E8" w14:textId="77777777" w:rsidR="1B2B0ECE" w:rsidRPr="00DD1B58" w:rsidRDefault="1B2B0ECE" w:rsidP="1B2B0ECE">
      <w:pPr>
        <w:spacing w:after="0" w:line="240" w:lineRule="auto"/>
        <w:rPr>
          <w:rFonts w:asciiTheme="minorHAnsi" w:eastAsia="TimesNewRoman" w:hAnsiTheme="minorHAnsi" w:cstheme="minorBidi"/>
          <w:lang w:val="en-US" w:eastAsia="en-GB" w:bidi="ar-SA"/>
        </w:rPr>
      </w:pPr>
    </w:p>
    <w:p w14:paraId="4BB33903" w14:textId="0D26DEF7" w:rsidR="00521C88" w:rsidRPr="00DD1B58" w:rsidRDefault="00521C88"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b/>
          <w:szCs w:val="24"/>
          <w:lang w:val="en-US" w:eastAsia="en-GB" w:bidi="ar-SA"/>
        </w:rPr>
        <w:t>Roles and responsibilities</w:t>
      </w:r>
      <w:r w:rsidR="000C0738" w:rsidRPr="00DD1B58">
        <w:rPr>
          <w:rFonts w:asciiTheme="minorHAnsi" w:eastAsia="TimesNewRoman" w:hAnsiTheme="minorHAnsi" w:cstheme="minorHAnsi"/>
          <w:b/>
          <w:szCs w:val="24"/>
          <w:lang w:val="en-US" w:eastAsia="en-GB" w:bidi="ar-SA"/>
        </w:rPr>
        <w:t xml:space="preserve"> </w:t>
      </w:r>
      <w:r w:rsidR="00733183" w:rsidRPr="00DD1B58">
        <w:rPr>
          <w:rFonts w:asciiTheme="minorHAnsi" w:eastAsia="TimesNewRoman" w:hAnsiTheme="minorHAnsi" w:cstheme="minorHAnsi"/>
          <w:b/>
          <w:szCs w:val="24"/>
          <w:lang w:val="en-US" w:eastAsia="en-GB" w:bidi="ar-SA"/>
        </w:rPr>
        <w:t>–</w:t>
      </w:r>
      <w:r w:rsidR="000C0738" w:rsidRPr="00DD1B58">
        <w:rPr>
          <w:rFonts w:asciiTheme="minorHAnsi" w:eastAsia="TimesNewRoman" w:hAnsiTheme="minorHAnsi" w:cstheme="minorHAnsi"/>
          <w:b/>
          <w:szCs w:val="24"/>
          <w:lang w:val="en-US" w:eastAsia="en-GB" w:bidi="ar-SA"/>
        </w:rPr>
        <w:t xml:space="preserve"> </w:t>
      </w:r>
      <w:r w:rsidR="00733183" w:rsidRPr="00DD1B58">
        <w:rPr>
          <w:rFonts w:asciiTheme="minorHAnsi" w:eastAsia="TimesNewRoman" w:hAnsiTheme="minorHAnsi" w:cstheme="minorHAnsi"/>
          <w:szCs w:val="24"/>
          <w:lang w:val="en-US" w:eastAsia="en-GB" w:bidi="ar-SA"/>
        </w:rPr>
        <w:t>EDF NGL report</w:t>
      </w:r>
      <w:r w:rsidR="006C36B6" w:rsidRPr="00DD1B58">
        <w:rPr>
          <w:rFonts w:asciiTheme="minorHAnsi" w:eastAsia="TimesNewRoman" w:hAnsiTheme="minorHAnsi" w:cstheme="minorHAnsi"/>
          <w:szCs w:val="24"/>
          <w:lang w:val="en-US" w:eastAsia="en-GB" w:bidi="ar-SA"/>
        </w:rPr>
        <w:t>s</w:t>
      </w:r>
      <w:r w:rsidR="00733183" w:rsidRPr="00DD1B58">
        <w:rPr>
          <w:rFonts w:asciiTheme="minorHAnsi" w:eastAsia="TimesNewRoman" w:hAnsiTheme="minorHAnsi" w:cstheme="minorHAnsi"/>
          <w:szCs w:val="24"/>
          <w:lang w:val="en-US" w:eastAsia="en-GB" w:bidi="ar-SA"/>
        </w:rPr>
        <w:t xml:space="preserve"> that a </w:t>
      </w:r>
      <w:r w:rsidRPr="00DD1B58">
        <w:rPr>
          <w:rFonts w:asciiTheme="minorHAnsi" w:eastAsia="TimesNewRoman" w:hAnsiTheme="minorHAnsi" w:cstheme="minorHAnsi"/>
          <w:szCs w:val="24"/>
          <w:lang w:val="en-US" w:eastAsia="en-GB" w:bidi="ar-SA"/>
        </w:rPr>
        <w:t xml:space="preserve">generic approach to maintaining emergency arrangements is adopted by all sites in the </w:t>
      </w:r>
      <w:r w:rsidR="00C362CA" w:rsidRPr="00DD1B58">
        <w:rPr>
          <w:rFonts w:asciiTheme="minorHAnsi" w:eastAsia="TimesNewRoman" w:hAnsiTheme="minorHAnsi" w:cstheme="minorHAnsi"/>
          <w:szCs w:val="24"/>
          <w:lang w:val="en-US" w:eastAsia="en-GB" w:bidi="ar-SA"/>
        </w:rPr>
        <w:t>EDF NGL</w:t>
      </w:r>
      <w:r w:rsidRPr="00DD1B58">
        <w:rPr>
          <w:rFonts w:asciiTheme="minorHAnsi" w:eastAsia="TimesNewRoman" w:hAnsiTheme="minorHAnsi" w:cstheme="minorHAnsi"/>
          <w:szCs w:val="24"/>
          <w:lang w:val="en-US" w:eastAsia="en-GB" w:bidi="ar-SA"/>
        </w:rPr>
        <w:t xml:space="preserve"> fleet, including HNB, HY2 and SZB. Each site produces a three</w:t>
      </w:r>
      <w:r w:rsidR="00BE3F62" w:rsidRPr="00DD1B58">
        <w:rPr>
          <w:rFonts w:asciiTheme="minorHAnsi" w:eastAsia="TimesNewRoman" w:hAnsiTheme="minorHAnsi" w:cstheme="minorHAnsi"/>
          <w:szCs w:val="24"/>
          <w:lang w:val="en-US" w:eastAsia="en-GB" w:bidi="ar-SA"/>
        </w:rPr>
        <w:t>-</w:t>
      </w:r>
      <w:r w:rsidRPr="00DD1B58">
        <w:rPr>
          <w:rFonts w:asciiTheme="minorHAnsi" w:eastAsia="TimesNewRoman" w:hAnsiTheme="minorHAnsi" w:cstheme="minorHAnsi"/>
          <w:szCs w:val="24"/>
          <w:lang w:val="en-US" w:eastAsia="en-GB" w:bidi="ar-SA"/>
        </w:rPr>
        <w:t>year training and exercise</w:t>
      </w:r>
      <w:r w:rsidR="0036744E"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program and an annual training and exercise program</w:t>
      </w:r>
      <w:r w:rsidR="00733183" w:rsidRPr="00DD1B58">
        <w:rPr>
          <w:rFonts w:asciiTheme="minorHAnsi" w:eastAsia="TimesNewRoman" w:hAnsiTheme="minorHAnsi" w:cstheme="minorHAnsi"/>
          <w:szCs w:val="24"/>
          <w:lang w:val="en-US" w:eastAsia="en-GB" w:bidi="ar-SA"/>
        </w:rPr>
        <w:t xml:space="preserve">, which are </w:t>
      </w:r>
      <w:r w:rsidRPr="00DD1B58">
        <w:rPr>
          <w:rFonts w:asciiTheme="minorHAnsi" w:eastAsia="TimesNewRoman" w:hAnsiTheme="minorHAnsi" w:cstheme="minorHAnsi"/>
          <w:szCs w:val="24"/>
          <w:lang w:val="en-US" w:eastAsia="en-GB" w:bidi="ar-SA"/>
        </w:rPr>
        <w:t>shared with on-site role</w:t>
      </w:r>
      <w:r w:rsidR="0036744E"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holders and also off-site agencies including the local fire service.</w:t>
      </w:r>
    </w:p>
    <w:p w14:paraId="359F13EA" w14:textId="77777777" w:rsidR="00E21F7F" w:rsidRPr="00DD1B58" w:rsidRDefault="00E21F7F"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32CBBA18" w14:textId="03BB974F" w:rsidR="00521C88" w:rsidRPr="00DD1B58" w:rsidRDefault="00733183" w:rsidP="00521C88">
      <w:pPr>
        <w:autoSpaceDE w:val="0"/>
        <w:autoSpaceDN w:val="0"/>
        <w:adjustRightInd w:val="0"/>
        <w:spacing w:after="0" w:line="240" w:lineRule="auto"/>
        <w:rPr>
          <w:rFonts w:asciiTheme="minorHAnsi" w:eastAsia="TimesNewRoman" w:hAnsiTheme="minorHAnsi" w:cstheme="minorBidi"/>
          <w:lang w:val="en-US" w:eastAsia="en-GB" w:bidi="ar-SA"/>
        </w:rPr>
      </w:pPr>
      <w:r w:rsidRPr="00DD1B58">
        <w:rPr>
          <w:rFonts w:asciiTheme="minorHAnsi" w:eastAsia="TimesNewRoman" w:hAnsiTheme="minorHAnsi" w:cstheme="minorBidi"/>
          <w:lang w:val="en-US" w:eastAsia="en-GB" w:bidi="ar-SA"/>
        </w:rPr>
        <w:t xml:space="preserve">EDF NGL </w:t>
      </w:r>
      <w:r w:rsidR="006D798B" w:rsidRPr="00DD1B58">
        <w:rPr>
          <w:rFonts w:asciiTheme="minorHAnsi" w:eastAsia="TimesNewRoman" w:hAnsiTheme="minorHAnsi" w:cstheme="minorBidi"/>
          <w:lang w:val="en-US" w:eastAsia="en-GB" w:bidi="ar-SA"/>
        </w:rPr>
        <w:t>states that</w:t>
      </w:r>
      <w:r w:rsidRPr="00DD1B58">
        <w:rPr>
          <w:rFonts w:asciiTheme="minorHAnsi" w:eastAsia="TimesNewRoman" w:hAnsiTheme="minorHAnsi" w:cstheme="minorBidi"/>
          <w:lang w:val="en-US" w:eastAsia="en-GB" w:bidi="ar-SA"/>
        </w:rPr>
        <w:t xml:space="preserve"> e</w:t>
      </w:r>
      <w:r w:rsidR="00521C88" w:rsidRPr="00DD1B58">
        <w:rPr>
          <w:rFonts w:asciiTheme="minorHAnsi" w:eastAsia="TimesNewRoman" w:hAnsiTheme="minorHAnsi" w:cstheme="minorBidi"/>
          <w:lang w:val="en-US" w:eastAsia="en-GB" w:bidi="ar-SA"/>
        </w:rPr>
        <w:t xml:space="preserve">ach site runs on average approximately 14 </w:t>
      </w:r>
      <w:r w:rsidR="269DB7E2" w:rsidRPr="00DD1B58">
        <w:rPr>
          <w:rFonts w:asciiTheme="minorHAnsi" w:eastAsia="TimesNewRoman" w:hAnsiTheme="minorHAnsi" w:cstheme="minorBidi"/>
          <w:lang w:val="en-US" w:eastAsia="en-GB" w:bidi="ar-SA"/>
        </w:rPr>
        <w:t>exercise</w:t>
      </w:r>
      <w:r w:rsidR="3CB22BBD" w:rsidRPr="00DD1B58">
        <w:rPr>
          <w:rFonts w:asciiTheme="minorHAnsi" w:eastAsia="TimesNewRoman" w:hAnsiTheme="minorHAnsi" w:cstheme="minorBidi"/>
          <w:lang w:val="en-US" w:eastAsia="en-GB" w:bidi="ar-SA"/>
        </w:rPr>
        <w:t>s</w:t>
      </w:r>
      <w:r w:rsidR="269DB7E2" w:rsidRPr="00DD1B58">
        <w:rPr>
          <w:rFonts w:asciiTheme="minorHAnsi" w:eastAsia="TimesNewRoman" w:hAnsiTheme="minorHAnsi" w:cstheme="minorBidi"/>
          <w:lang w:val="en-US" w:eastAsia="en-GB" w:bidi="ar-SA"/>
        </w:rPr>
        <w:t xml:space="preserve"> </w:t>
      </w:r>
      <w:r w:rsidR="113DF365" w:rsidRPr="00DD1B58">
        <w:rPr>
          <w:rFonts w:asciiTheme="minorHAnsi" w:eastAsia="TimesNewRoman" w:hAnsiTheme="minorHAnsi" w:cstheme="minorBidi"/>
          <w:lang w:val="en-US" w:eastAsia="en-GB" w:bidi="ar-SA"/>
        </w:rPr>
        <w:t>per</w:t>
      </w:r>
      <w:r w:rsidR="00521C88" w:rsidRPr="00DD1B58">
        <w:rPr>
          <w:rFonts w:asciiTheme="minorHAnsi" w:eastAsia="TimesNewRoman" w:hAnsiTheme="minorHAnsi" w:cstheme="minorBidi"/>
          <w:lang w:val="en-US" w:eastAsia="en-GB" w:bidi="ar-SA"/>
        </w:rPr>
        <w:t xml:space="preserve"> year which range from full site live play</w:t>
      </w:r>
      <w:r w:rsidR="00E21F7F" w:rsidRPr="00DD1B58">
        <w:rPr>
          <w:rFonts w:asciiTheme="minorHAnsi" w:eastAsia="TimesNewRoman" w:hAnsiTheme="minorHAnsi" w:cstheme="minorBidi"/>
          <w:lang w:val="en-US" w:eastAsia="en-GB" w:bidi="ar-SA"/>
        </w:rPr>
        <w:t xml:space="preserve"> </w:t>
      </w:r>
      <w:r w:rsidR="00521C88" w:rsidRPr="00DD1B58">
        <w:rPr>
          <w:rFonts w:asciiTheme="minorHAnsi" w:eastAsia="TimesNewRoman" w:hAnsiTheme="minorHAnsi" w:cstheme="minorBidi"/>
          <w:lang w:val="en-US" w:eastAsia="en-GB" w:bidi="ar-SA"/>
        </w:rPr>
        <w:t>exercises, drills, desk top exercises and classroom</w:t>
      </w:r>
      <w:r w:rsidR="00BE3F62" w:rsidRPr="00DD1B58">
        <w:rPr>
          <w:rFonts w:asciiTheme="minorHAnsi" w:eastAsia="TimesNewRoman" w:hAnsiTheme="minorHAnsi" w:cstheme="minorBidi"/>
          <w:lang w:val="en-US" w:eastAsia="en-GB" w:bidi="ar-SA"/>
        </w:rPr>
        <w:t>-</w:t>
      </w:r>
      <w:r w:rsidR="00521C88" w:rsidRPr="00DD1B58">
        <w:rPr>
          <w:rFonts w:asciiTheme="minorHAnsi" w:eastAsia="TimesNewRoman" w:hAnsiTheme="minorHAnsi" w:cstheme="minorBidi"/>
          <w:lang w:val="en-US" w:eastAsia="en-GB" w:bidi="ar-SA"/>
        </w:rPr>
        <w:t>based workshops. Within these sessions changes in</w:t>
      </w:r>
      <w:r w:rsidR="00E21F7F" w:rsidRPr="00DD1B58">
        <w:rPr>
          <w:rFonts w:asciiTheme="minorHAnsi" w:eastAsia="TimesNewRoman" w:hAnsiTheme="minorHAnsi" w:cstheme="minorBidi"/>
          <w:lang w:val="en-US" w:eastAsia="en-GB" w:bidi="ar-SA"/>
        </w:rPr>
        <w:t xml:space="preserve"> </w:t>
      </w:r>
      <w:r w:rsidR="00521C88" w:rsidRPr="00DD1B58">
        <w:rPr>
          <w:rFonts w:asciiTheme="minorHAnsi" w:eastAsia="TimesNewRoman" w:hAnsiTheme="minorHAnsi" w:cstheme="minorBidi"/>
          <w:lang w:val="en-US" w:eastAsia="en-GB" w:bidi="ar-SA"/>
        </w:rPr>
        <w:t xml:space="preserve">responsibilities, procedures or policy </w:t>
      </w:r>
      <w:r w:rsidR="00CB4F57" w:rsidRPr="00DD1B58">
        <w:rPr>
          <w:rFonts w:asciiTheme="minorHAnsi" w:eastAsia="TimesNewRoman" w:hAnsiTheme="minorHAnsi" w:cstheme="minorBidi"/>
          <w:lang w:val="en-US" w:eastAsia="en-GB" w:bidi="ar-SA"/>
        </w:rPr>
        <w:t>are</w:t>
      </w:r>
      <w:r w:rsidR="00521C88" w:rsidRPr="00DD1B58">
        <w:rPr>
          <w:rFonts w:asciiTheme="minorHAnsi" w:eastAsia="TimesNewRoman" w:hAnsiTheme="minorHAnsi" w:cstheme="minorBidi"/>
          <w:lang w:val="en-US" w:eastAsia="en-GB" w:bidi="ar-SA"/>
        </w:rPr>
        <w:t xml:space="preserve"> communicated to those team members who are required</w:t>
      </w:r>
      <w:r w:rsidR="00E21F7F" w:rsidRPr="00DD1B58">
        <w:rPr>
          <w:rFonts w:asciiTheme="minorHAnsi" w:eastAsia="TimesNewRoman" w:hAnsiTheme="minorHAnsi" w:cstheme="minorBidi"/>
          <w:lang w:val="en-US" w:eastAsia="en-GB" w:bidi="ar-SA"/>
        </w:rPr>
        <w:t xml:space="preserve"> </w:t>
      </w:r>
      <w:r w:rsidR="00521C88" w:rsidRPr="00DD1B58">
        <w:rPr>
          <w:rFonts w:asciiTheme="minorHAnsi" w:eastAsia="TimesNewRoman" w:hAnsiTheme="minorHAnsi" w:cstheme="minorBidi"/>
          <w:lang w:val="en-US" w:eastAsia="en-GB" w:bidi="ar-SA"/>
        </w:rPr>
        <w:t>to be made aware.</w:t>
      </w:r>
    </w:p>
    <w:p w14:paraId="4CAF0C80" w14:textId="77777777" w:rsidR="00E21F7F" w:rsidRPr="00DD1B58" w:rsidRDefault="00E21F7F"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727F65E9" w14:textId="2FC7E3CB" w:rsidR="00521C88" w:rsidRPr="00DD1B58" w:rsidRDefault="00CB4F57"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szCs w:val="24"/>
          <w:lang w:val="en-US" w:eastAsia="en-GB" w:bidi="ar-SA"/>
        </w:rPr>
        <w:t>EDF NGL report</w:t>
      </w:r>
      <w:r w:rsidR="00367491" w:rsidRPr="00DD1B58">
        <w:rPr>
          <w:rFonts w:asciiTheme="minorHAnsi" w:eastAsia="TimesNewRoman" w:hAnsiTheme="minorHAnsi" w:cstheme="minorHAnsi"/>
          <w:szCs w:val="24"/>
          <w:lang w:val="en-US" w:eastAsia="en-GB" w:bidi="ar-SA"/>
        </w:rPr>
        <w:t>s</w:t>
      </w:r>
      <w:r w:rsidR="006D798B" w:rsidRPr="00DD1B58">
        <w:rPr>
          <w:rFonts w:asciiTheme="minorHAnsi" w:eastAsia="TimesNewRoman" w:hAnsiTheme="minorHAnsi" w:cstheme="minorHAnsi"/>
          <w:szCs w:val="24"/>
          <w:lang w:val="en-US" w:eastAsia="en-GB" w:bidi="ar-SA"/>
        </w:rPr>
        <w:t xml:space="preserve"> that</w:t>
      </w:r>
      <w:r w:rsidRPr="00DD1B58">
        <w:rPr>
          <w:rFonts w:asciiTheme="minorHAnsi" w:eastAsia="TimesNewRoman" w:hAnsiTheme="minorHAnsi" w:cstheme="minorHAnsi"/>
          <w:szCs w:val="24"/>
          <w:lang w:val="en-US" w:eastAsia="en-GB" w:bidi="ar-SA"/>
        </w:rPr>
        <w:t xml:space="preserve"> r</w:t>
      </w:r>
      <w:r w:rsidR="00521C88" w:rsidRPr="00DD1B58">
        <w:rPr>
          <w:rFonts w:asciiTheme="minorHAnsi" w:eastAsia="TimesNewRoman" w:hAnsiTheme="minorHAnsi" w:cstheme="minorHAnsi"/>
          <w:szCs w:val="24"/>
          <w:lang w:val="en-US" w:eastAsia="en-GB" w:bidi="ar-SA"/>
        </w:rPr>
        <w:t>esponse procedures within each site</w:t>
      </w:r>
      <w:r w:rsidR="00E21F7F" w:rsidRPr="00DD1B58">
        <w:rPr>
          <w:rFonts w:asciiTheme="minorHAnsi" w:eastAsia="TimesNewRoman" w:hAnsiTheme="minorHAnsi" w:cstheme="minorHAnsi"/>
          <w:szCs w:val="24"/>
          <w:lang w:val="en-US" w:eastAsia="en-GB" w:bidi="ar-SA"/>
        </w:rPr>
        <w:t>’</w:t>
      </w:r>
      <w:r w:rsidR="00521C88" w:rsidRPr="00DD1B58">
        <w:rPr>
          <w:rFonts w:asciiTheme="minorHAnsi" w:eastAsia="TimesNewRoman" w:hAnsiTheme="minorHAnsi" w:cstheme="minorHAnsi"/>
          <w:szCs w:val="24"/>
          <w:lang w:val="en-US" w:eastAsia="en-GB" w:bidi="ar-SA"/>
        </w:rPr>
        <w:t>s emergency handbooks are reviewed on a three</w:t>
      </w:r>
      <w:r w:rsidR="00BE3F62" w:rsidRPr="00DD1B58">
        <w:rPr>
          <w:rFonts w:asciiTheme="minorHAnsi" w:eastAsia="TimesNewRoman" w:hAnsiTheme="minorHAnsi" w:cstheme="minorHAnsi"/>
          <w:szCs w:val="24"/>
          <w:lang w:val="en-US" w:eastAsia="en-GB" w:bidi="ar-SA"/>
        </w:rPr>
        <w:t>-</w:t>
      </w:r>
      <w:r w:rsidR="00521C88" w:rsidRPr="00DD1B58">
        <w:rPr>
          <w:rFonts w:asciiTheme="minorHAnsi" w:eastAsia="TimesNewRoman" w:hAnsiTheme="minorHAnsi" w:cstheme="minorHAnsi"/>
          <w:szCs w:val="24"/>
          <w:lang w:val="en-US" w:eastAsia="en-GB" w:bidi="ar-SA"/>
        </w:rPr>
        <w:t>year basis</w:t>
      </w:r>
      <w:r w:rsidRPr="00DD1B58">
        <w:rPr>
          <w:rFonts w:asciiTheme="minorHAnsi" w:eastAsia="TimesNewRoman" w:hAnsiTheme="minorHAnsi" w:cstheme="minorHAnsi"/>
          <w:szCs w:val="24"/>
          <w:lang w:val="en-US" w:eastAsia="en-GB" w:bidi="ar-SA"/>
        </w:rPr>
        <w:t>,</w:t>
      </w:r>
      <w:r w:rsidR="00E21F7F" w:rsidRPr="00DD1B58">
        <w:rPr>
          <w:rFonts w:asciiTheme="minorHAnsi" w:eastAsia="TimesNewRoman" w:hAnsiTheme="minorHAnsi" w:cstheme="minorHAnsi"/>
          <w:szCs w:val="24"/>
          <w:lang w:val="en-US" w:eastAsia="en-GB" w:bidi="ar-SA"/>
        </w:rPr>
        <w:t xml:space="preserve"> </w:t>
      </w:r>
      <w:r w:rsidR="00521C88" w:rsidRPr="00DD1B58">
        <w:rPr>
          <w:rFonts w:asciiTheme="minorHAnsi" w:eastAsia="TimesNewRoman" w:hAnsiTheme="minorHAnsi" w:cstheme="minorHAnsi"/>
          <w:szCs w:val="24"/>
          <w:lang w:val="en-US" w:eastAsia="en-GB" w:bidi="ar-SA"/>
        </w:rPr>
        <w:t>however</w:t>
      </w:r>
      <w:r w:rsidRPr="00DD1B58">
        <w:rPr>
          <w:rFonts w:asciiTheme="minorHAnsi" w:eastAsia="TimesNewRoman" w:hAnsiTheme="minorHAnsi" w:cstheme="minorHAnsi"/>
          <w:szCs w:val="24"/>
          <w:lang w:val="en-US" w:eastAsia="en-GB" w:bidi="ar-SA"/>
        </w:rPr>
        <w:t>,</w:t>
      </w:r>
      <w:r w:rsidR="00521C88" w:rsidRPr="00DD1B58">
        <w:rPr>
          <w:rFonts w:asciiTheme="minorHAnsi" w:eastAsia="TimesNewRoman" w:hAnsiTheme="minorHAnsi" w:cstheme="minorHAnsi"/>
          <w:szCs w:val="24"/>
          <w:lang w:val="en-US" w:eastAsia="en-GB" w:bidi="ar-SA"/>
        </w:rPr>
        <w:t xml:space="preserve"> handbook sections </w:t>
      </w:r>
      <w:r w:rsidRPr="00DD1B58">
        <w:rPr>
          <w:rFonts w:asciiTheme="minorHAnsi" w:eastAsia="TimesNewRoman" w:hAnsiTheme="minorHAnsi" w:cstheme="minorHAnsi"/>
          <w:szCs w:val="24"/>
          <w:lang w:val="en-US" w:eastAsia="en-GB" w:bidi="ar-SA"/>
        </w:rPr>
        <w:t>are also</w:t>
      </w:r>
      <w:r w:rsidR="00521C88" w:rsidRPr="00DD1B58">
        <w:rPr>
          <w:rFonts w:asciiTheme="minorHAnsi" w:eastAsia="TimesNewRoman" w:hAnsiTheme="minorHAnsi" w:cstheme="minorHAnsi"/>
          <w:szCs w:val="24"/>
          <w:lang w:val="en-US" w:eastAsia="en-GB" w:bidi="ar-SA"/>
        </w:rPr>
        <w:t xml:space="preserve"> reviewed and amended following learning from exercises, real</w:t>
      </w:r>
      <w:r w:rsidR="00E21F7F" w:rsidRPr="00DD1B58">
        <w:rPr>
          <w:rFonts w:asciiTheme="minorHAnsi" w:eastAsia="TimesNewRoman" w:hAnsiTheme="minorHAnsi" w:cstheme="minorHAnsi"/>
          <w:szCs w:val="24"/>
          <w:lang w:val="en-US" w:eastAsia="en-GB" w:bidi="ar-SA"/>
        </w:rPr>
        <w:t xml:space="preserve"> </w:t>
      </w:r>
      <w:r w:rsidR="00521C88" w:rsidRPr="00DD1B58">
        <w:rPr>
          <w:rFonts w:asciiTheme="minorHAnsi" w:eastAsia="TimesNewRoman" w:hAnsiTheme="minorHAnsi" w:cstheme="minorHAnsi"/>
          <w:szCs w:val="24"/>
          <w:lang w:val="en-US" w:eastAsia="en-GB" w:bidi="ar-SA"/>
        </w:rPr>
        <w:t>events or regulatory requirements.</w:t>
      </w:r>
    </w:p>
    <w:p w14:paraId="1C758C90" w14:textId="77777777" w:rsidR="00E21F7F" w:rsidRPr="00DD1B58" w:rsidRDefault="00E21F7F"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649E3FF6" w14:textId="41400A32" w:rsidR="00521C88" w:rsidRPr="00DD1B58" w:rsidRDefault="00521C88" w:rsidP="00521C88">
      <w:pPr>
        <w:autoSpaceDE w:val="0"/>
        <w:autoSpaceDN w:val="0"/>
        <w:adjustRightInd w:val="0"/>
        <w:spacing w:after="0" w:line="240" w:lineRule="auto"/>
        <w:rPr>
          <w:rFonts w:asciiTheme="minorHAnsi" w:eastAsia="TimesNewRoman" w:hAnsiTheme="minorHAnsi" w:cstheme="minorHAnsi"/>
          <w:b/>
          <w:szCs w:val="24"/>
          <w:lang w:val="en-US" w:eastAsia="en-GB" w:bidi="ar-SA"/>
        </w:rPr>
      </w:pPr>
      <w:r w:rsidRPr="00DD1B58">
        <w:rPr>
          <w:rFonts w:asciiTheme="minorHAnsi" w:eastAsia="TimesNewRoman" w:hAnsiTheme="minorHAnsi" w:cstheme="minorHAnsi"/>
          <w:b/>
          <w:szCs w:val="24"/>
          <w:lang w:val="en-US" w:eastAsia="en-GB" w:bidi="ar-SA"/>
        </w:rPr>
        <w:t>Interface with off-site</w:t>
      </w:r>
      <w:r w:rsidR="007C3F42" w:rsidRPr="00DD1B58">
        <w:rPr>
          <w:rFonts w:asciiTheme="minorHAnsi" w:eastAsia="TimesNewRoman" w:hAnsiTheme="minorHAnsi" w:cstheme="minorHAnsi"/>
          <w:b/>
          <w:szCs w:val="24"/>
          <w:lang w:val="en-US" w:eastAsia="en-GB" w:bidi="ar-SA"/>
        </w:rPr>
        <w:t>/</w:t>
      </w:r>
      <w:r w:rsidRPr="00DD1B58">
        <w:rPr>
          <w:rFonts w:asciiTheme="minorHAnsi" w:eastAsia="TimesNewRoman" w:hAnsiTheme="minorHAnsi" w:cstheme="minorHAnsi"/>
          <w:b/>
          <w:szCs w:val="24"/>
          <w:lang w:val="en-US" w:eastAsia="en-GB" w:bidi="ar-SA"/>
        </w:rPr>
        <w:t>local fire services</w:t>
      </w:r>
    </w:p>
    <w:p w14:paraId="26089D6E" w14:textId="77777777" w:rsidR="00B06A82" w:rsidRPr="00DD1B58" w:rsidRDefault="00B06A82" w:rsidP="00521C88">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338C4F5E" w14:textId="66A224D4" w:rsidR="00DA3565" w:rsidRPr="00DD1B58" w:rsidRDefault="00DA3565" w:rsidP="00DA3565">
      <w:pPr>
        <w:autoSpaceDE w:val="0"/>
        <w:autoSpaceDN w:val="0"/>
        <w:adjustRightInd w:val="0"/>
        <w:spacing w:after="0" w:line="240" w:lineRule="auto"/>
        <w:rPr>
          <w:rFonts w:asciiTheme="minorHAnsi" w:eastAsia="TimesNewRoman" w:hAnsiTheme="minorHAnsi" w:cstheme="minorHAnsi"/>
          <w:szCs w:val="24"/>
          <w:lang w:val="en-US" w:eastAsia="en-GB" w:bidi="ar-SA"/>
        </w:rPr>
      </w:pPr>
      <w:r w:rsidRPr="00DD1B58">
        <w:rPr>
          <w:rFonts w:asciiTheme="minorHAnsi" w:eastAsia="TimesNewRoman" w:hAnsiTheme="minorHAnsi" w:cstheme="minorHAnsi"/>
          <w:b/>
          <w:szCs w:val="24"/>
          <w:lang w:val="en-US" w:eastAsia="en-GB" w:bidi="ar-SA"/>
        </w:rPr>
        <w:t>General</w:t>
      </w:r>
      <w:r w:rsidR="00CA17AC" w:rsidRPr="00DD1B58">
        <w:rPr>
          <w:rFonts w:asciiTheme="minorHAnsi" w:eastAsia="TimesNewRoman" w:hAnsiTheme="minorHAnsi" w:cstheme="minorHAnsi"/>
          <w:b/>
          <w:szCs w:val="24"/>
          <w:lang w:val="en-US" w:eastAsia="en-GB" w:bidi="ar-SA"/>
        </w:rPr>
        <w:t xml:space="preserve"> </w:t>
      </w:r>
      <w:r w:rsidR="00F01781" w:rsidRPr="00DD1B58">
        <w:rPr>
          <w:rFonts w:asciiTheme="minorHAnsi" w:eastAsia="TimesNewRoman" w:hAnsiTheme="minorHAnsi" w:cstheme="minorHAnsi"/>
          <w:b/>
          <w:szCs w:val="24"/>
          <w:lang w:val="en-US" w:eastAsia="en-GB" w:bidi="ar-SA"/>
        </w:rPr>
        <w:t xml:space="preserve">– </w:t>
      </w:r>
      <w:r w:rsidR="00F01781" w:rsidRPr="00DD1B58">
        <w:rPr>
          <w:rFonts w:asciiTheme="minorHAnsi" w:eastAsia="TimesNewRoman" w:hAnsiTheme="minorHAnsi" w:cstheme="minorHAnsi"/>
          <w:szCs w:val="24"/>
          <w:lang w:val="en-US" w:eastAsia="en-GB" w:bidi="ar-SA"/>
        </w:rPr>
        <w:t>EDF</w:t>
      </w:r>
      <w:r w:rsidR="00CB4F57" w:rsidRPr="00DD1B58">
        <w:rPr>
          <w:rFonts w:asciiTheme="minorHAnsi" w:eastAsia="TimesNewRoman" w:hAnsiTheme="minorHAnsi" w:cstheme="minorHAnsi"/>
          <w:szCs w:val="24"/>
          <w:lang w:val="en-US" w:eastAsia="en-GB" w:bidi="ar-SA"/>
        </w:rPr>
        <w:t xml:space="preserve"> NGL </w:t>
      </w:r>
      <w:r w:rsidRPr="00DD1B58">
        <w:rPr>
          <w:rFonts w:asciiTheme="minorHAnsi" w:eastAsia="TimesNewRoman" w:hAnsiTheme="minorHAnsi" w:cstheme="minorHAnsi"/>
          <w:szCs w:val="24"/>
          <w:lang w:val="en-US" w:eastAsia="en-GB" w:bidi="ar-SA"/>
        </w:rPr>
        <w:t>Site Emergency Preparedness Engineers maintain relationships with external agencies through two</w:t>
      </w:r>
      <w:r w:rsidR="00544EE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 xml:space="preserve">main meetings which are held bi-annually, the first is the Emergency </w:t>
      </w:r>
      <w:r w:rsidR="00544EEC" w:rsidRPr="00DD1B58">
        <w:rPr>
          <w:rFonts w:asciiTheme="minorHAnsi" w:eastAsia="TimesNewRoman" w:hAnsiTheme="minorHAnsi" w:cstheme="minorHAnsi"/>
          <w:szCs w:val="24"/>
          <w:lang w:val="en-US" w:eastAsia="en-GB" w:bidi="ar-SA"/>
        </w:rPr>
        <w:t>P</w:t>
      </w:r>
      <w:r w:rsidRPr="00DD1B58">
        <w:rPr>
          <w:rFonts w:asciiTheme="minorHAnsi" w:eastAsia="TimesNewRoman" w:hAnsiTheme="minorHAnsi" w:cstheme="minorHAnsi"/>
          <w:szCs w:val="24"/>
          <w:lang w:val="en-US" w:eastAsia="en-GB" w:bidi="ar-SA"/>
        </w:rPr>
        <w:t>reparedness Consultative</w:t>
      </w:r>
      <w:r w:rsidR="00544EE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Committee meeting (EPCC). This meeting is attended by all external agencies including fire brigade</w:t>
      </w:r>
      <w:r w:rsidR="00544EE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leaders. The second meeting is the Emergency Services Liaison Group meeting (ESLG); this meeting</w:t>
      </w:r>
      <w:r w:rsidR="00544EE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provides the site Emergency Preparedness Engineer and Emergency services including the Fire Brigade</w:t>
      </w:r>
    </w:p>
    <w:p w14:paraId="28CD8ACA" w14:textId="2439E2BF" w:rsidR="00DA3565" w:rsidRPr="00DD1B58" w:rsidRDefault="00DA3565" w:rsidP="00DA3565">
      <w:pPr>
        <w:autoSpaceDE w:val="0"/>
        <w:autoSpaceDN w:val="0"/>
        <w:adjustRightInd w:val="0"/>
        <w:spacing w:after="0" w:line="240" w:lineRule="auto"/>
        <w:rPr>
          <w:rFonts w:asciiTheme="minorHAnsi" w:eastAsia="TimesNewRoman" w:hAnsiTheme="minorHAnsi" w:cstheme="minorBidi"/>
          <w:lang w:val="en-US" w:eastAsia="en-GB" w:bidi="ar-SA"/>
        </w:rPr>
      </w:pPr>
      <w:r w:rsidRPr="00DD1B58">
        <w:rPr>
          <w:rFonts w:asciiTheme="minorHAnsi" w:eastAsia="TimesNewRoman" w:hAnsiTheme="minorHAnsi" w:cstheme="minorBidi"/>
          <w:lang w:val="en-US" w:eastAsia="en-GB" w:bidi="ar-SA"/>
        </w:rPr>
        <w:t>with an opportunity to review at a tactical level fire brigade operating procedures for response to each</w:t>
      </w:r>
      <w:r w:rsidR="00544EEC" w:rsidRPr="00DD1B58">
        <w:rPr>
          <w:rFonts w:asciiTheme="minorHAnsi" w:eastAsia="TimesNewRoman" w:hAnsiTheme="minorHAnsi" w:cstheme="minorBidi"/>
          <w:lang w:val="en-US" w:eastAsia="en-GB" w:bidi="ar-SA"/>
        </w:rPr>
        <w:t xml:space="preserve"> </w:t>
      </w:r>
      <w:r w:rsidRPr="00DD1B58">
        <w:rPr>
          <w:rFonts w:asciiTheme="minorHAnsi" w:eastAsia="TimesNewRoman" w:hAnsiTheme="minorHAnsi" w:cstheme="minorBidi"/>
          <w:lang w:val="en-US" w:eastAsia="en-GB" w:bidi="ar-SA"/>
        </w:rPr>
        <w:t>site. This meeting is the platform in which a full discussion</w:t>
      </w:r>
      <w:r w:rsidR="006C36B6" w:rsidRPr="00DD1B58">
        <w:rPr>
          <w:rFonts w:asciiTheme="minorHAnsi" w:eastAsia="TimesNewRoman" w:hAnsiTheme="minorHAnsi" w:cstheme="minorBidi"/>
          <w:lang w:val="en-US" w:eastAsia="en-GB" w:bidi="ar-SA"/>
        </w:rPr>
        <w:t xml:space="preserve"> and</w:t>
      </w:r>
      <w:r w:rsidRPr="00DD1B58">
        <w:rPr>
          <w:rFonts w:asciiTheme="minorHAnsi" w:eastAsia="TimesNewRoman" w:hAnsiTheme="minorHAnsi" w:cstheme="minorBidi"/>
          <w:lang w:val="en-US" w:eastAsia="en-GB" w:bidi="ar-SA"/>
        </w:rPr>
        <w:t xml:space="preserve"> review can be undertaken to identify any</w:t>
      </w:r>
      <w:r w:rsidR="00544EEC" w:rsidRPr="00DD1B58">
        <w:rPr>
          <w:rFonts w:asciiTheme="minorHAnsi" w:eastAsia="TimesNewRoman" w:hAnsiTheme="minorHAnsi" w:cstheme="minorBidi"/>
          <w:lang w:val="en-US" w:eastAsia="en-GB" w:bidi="ar-SA"/>
        </w:rPr>
        <w:t xml:space="preserve"> </w:t>
      </w:r>
      <w:r w:rsidRPr="00DD1B58">
        <w:rPr>
          <w:rFonts w:asciiTheme="minorHAnsi" w:eastAsia="TimesNewRoman" w:hAnsiTheme="minorHAnsi" w:cstheme="minorBidi"/>
          <w:lang w:val="en-US" w:eastAsia="en-GB" w:bidi="ar-SA"/>
        </w:rPr>
        <w:t>specific provisions required to update response documentation.</w:t>
      </w:r>
      <w:r w:rsidR="6E0BC508" w:rsidRPr="00DD1B58">
        <w:rPr>
          <w:rFonts w:asciiTheme="minorHAnsi" w:eastAsia="TimesNewRoman" w:hAnsiTheme="minorHAnsi" w:cstheme="minorBidi"/>
          <w:lang w:val="en-US" w:eastAsia="en-GB" w:bidi="ar-SA"/>
        </w:rPr>
        <w:t xml:space="preserve"> Further detail is provided in the licensee submission </w:t>
      </w:r>
      <w:sdt>
        <w:sdtPr>
          <w:rPr>
            <w:rFonts w:asciiTheme="minorHAnsi" w:eastAsia="TimesNewRoman" w:hAnsiTheme="minorHAnsi" w:cstheme="minorBidi"/>
            <w:lang w:val="en-US" w:eastAsia="en-GB" w:bidi="ar-SA"/>
          </w:rPr>
          <w:id w:val="1869869856"/>
          <w:citation/>
        </w:sdtPr>
        <w:sdtContent>
          <w:r w:rsidR="001C5FC7" w:rsidRPr="00DD1B58">
            <w:rPr>
              <w:rFonts w:asciiTheme="minorHAnsi" w:eastAsia="TimesNewRoman" w:hAnsiTheme="minorHAnsi" w:cstheme="minorBidi"/>
              <w:lang w:val="en-US" w:eastAsia="en-GB" w:bidi="ar-SA"/>
            </w:rPr>
            <w:fldChar w:fldCharType="begin"/>
          </w:r>
          <w:r w:rsidR="001C5FC7" w:rsidRPr="00DD1B58">
            <w:rPr>
              <w:rFonts w:asciiTheme="minorHAnsi" w:eastAsia="TimesNewRoman" w:hAnsiTheme="minorHAnsi" w:cstheme="minorBidi"/>
              <w:lang w:val="en-US" w:eastAsia="en-GB" w:bidi="ar-SA"/>
            </w:rPr>
            <w:instrText xml:space="preserve"> CITATION EDF231 \l 2057 </w:instrText>
          </w:r>
          <w:r w:rsidR="001C5FC7" w:rsidRPr="00DD1B58">
            <w:rPr>
              <w:rFonts w:asciiTheme="minorHAnsi" w:eastAsia="TimesNewRoman" w:hAnsiTheme="minorHAnsi" w:cstheme="minorBidi"/>
              <w:lang w:val="en-US" w:eastAsia="en-GB" w:bidi="ar-SA"/>
            </w:rPr>
            <w:fldChar w:fldCharType="separate"/>
          </w:r>
          <w:r w:rsidR="00DF47DA" w:rsidRPr="00DF47DA">
            <w:rPr>
              <w:rFonts w:asciiTheme="minorHAnsi" w:eastAsia="TimesNewRoman" w:hAnsiTheme="minorHAnsi" w:cstheme="minorBidi"/>
              <w:noProof/>
              <w:lang w:val="en-US" w:eastAsia="en-GB" w:bidi="ar-SA"/>
            </w:rPr>
            <w:t>[25]</w:t>
          </w:r>
          <w:r w:rsidR="001C5FC7" w:rsidRPr="00DD1B58">
            <w:rPr>
              <w:rFonts w:asciiTheme="minorHAnsi" w:eastAsia="TimesNewRoman" w:hAnsiTheme="minorHAnsi" w:cstheme="minorBidi"/>
              <w:lang w:val="en-US" w:eastAsia="en-GB" w:bidi="ar-SA"/>
            </w:rPr>
            <w:fldChar w:fldCharType="end"/>
          </w:r>
        </w:sdtContent>
      </w:sdt>
      <w:r w:rsidR="6E0BC508" w:rsidRPr="00DD1B58">
        <w:rPr>
          <w:rFonts w:asciiTheme="minorHAnsi" w:eastAsia="TimesNewRoman" w:hAnsiTheme="minorHAnsi" w:cstheme="minorBidi"/>
          <w:lang w:val="en-US" w:eastAsia="en-GB" w:bidi="ar-SA"/>
        </w:rPr>
        <w:t xml:space="preserve"> on the focus of these meetings.</w:t>
      </w:r>
    </w:p>
    <w:p w14:paraId="1989B3D6" w14:textId="77777777" w:rsidR="00A65926" w:rsidRPr="00DD1B58" w:rsidRDefault="00A65926" w:rsidP="00DA3565">
      <w:pPr>
        <w:autoSpaceDE w:val="0"/>
        <w:autoSpaceDN w:val="0"/>
        <w:adjustRightInd w:val="0"/>
        <w:spacing w:after="0" w:line="240" w:lineRule="auto"/>
        <w:rPr>
          <w:rFonts w:asciiTheme="minorHAnsi" w:eastAsia="TimesNewRoman" w:hAnsiTheme="minorHAnsi" w:cstheme="minorHAnsi"/>
          <w:szCs w:val="24"/>
          <w:lang w:val="en-US" w:eastAsia="en-GB" w:bidi="ar-SA"/>
        </w:rPr>
      </w:pPr>
    </w:p>
    <w:p w14:paraId="2FEA0E3B" w14:textId="008AC3EB" w:rsidR="00C23342" w:rsidRPr="00DD1B58" w:rsidRDefault="00DA3565" w:rsidP="00DA3565">
      <w:pPr>
        <w:autoSpaceDE w:val="0"/>
        <w:autoSpaceDN w:val="0"/>
        <w:adjustRightInd w:val="0"/>
        <w:spacing w:after="0" w:line="240" w:lineRule="auto"/>
        <w:rPr>
          <w:rFonts w:asciiTheme="minorHAnsi" w:hAnsiTheme="minorHAnsi" w:cstheme="minorBidi"/>
          <w:lang w:val="en-US"/>
        </w:rPr>
      </w:pPr>
      <w:r w:rsidRPr="00DD1B58">
        <w:rPr>
          <w:rFonts w:asciiTheme="minorHAnsi" w:eastAsia="TimesNewRoman" w:hAnsiTheme="minorHAnsi" w:cstheme="minorHAnsi"/>
          <w:b/>
          <w:szCs w:val="24"/>
          <w:lang w:val="en-US" w:eastAsia="en-GB" w:bidi="ar-SA"/>
        </w:rPr>
        <w:t>Safety Culture – Emergency Response (Fire)</w:t>
      </w:r>
      <w:r w:rsidR="000C0738" w:rsidRPr="00DD1B58">
        <w:rPr>
          <w:rFonts w:asciiTheme="minorHAnsi" w:eastAsia="TimesNewRoman" w:hAnsiTheme="minorHAnsi" w:cstheme="minorHAnsi"/>
          <w:b/>
          <w:szCs w:val="24"/>
          <w:lang w:val="en-US" w:eastAsia="en-GB" w:bidi="ar-SA"/>
        </w:rPr>
        <w:t xml:space="preserve"> </w:t>
      </w:r>
      <w:r w:rsidR="0068227F" w:rsidRPr="00DD1B58">
        <w:rPr>
          <w:b/>
          <w:noProof/>
          <w:lang w:val="en-US"/>
        </w:rPr>
        <w:t>–</w:t>
      </w:r>
      <w:r w:rsidR="000C0738" w:rsidRPr="00DD1B58">
        <w:rPr>
          <w:rFonts w:asciiTheme="minorHAnsi" w:eastAsia="TimesNewRoman" w:hAnsiTheme="minorHAnsi" w:cstheme="minorHAnsi"/>
          <w:b/>
          <w:szCs w:val="24"/>
          <w:lang w:val="en-US" w:eastAsia="en-GB" w:bidi="ar-SA"/>
        </w:rPr>
        <w:t xml:space="preserve"> </w:t>
      </w:r>
      <w:r w:rsidRPr="00DD1B58">
        <w:rPr>
          <w:rFonts w:asciiTheme="minorHAnsi" w:eastAsia="TimesNewRoman" w:hAnsiTheme="minorHAnsi" w:cstheme="minorHAnsi"/>
          <w:szCs w:val="24"/>
          <w:lang w:val="en-US" w:eastAsia="en-GB" w:bidi="ar-SA"/>
        </w:rPr>
        <w:t>In addition to full site response exercises</w:t>
      </w:r>
      <w:r w:rsidR="0047278C" w:rsidRPr="00DD1B58">
        <w:rPr>
          <w:rFonts w:asciiTheme="minorHAnsi" w:eastAsia="TimesNewRoman" w:hAnsiTheme="minorHAnsi" w:cstheme="minorHAnsi"/>
          <w:szCs w:val="24"/>
          <w:lang w:val="en-US" w:eastAsia="en-GB" w:bidi="ar-SA"/>
        </w:rPr>
        <w:t>,</w:t>
      </w:r>
      <w:r w:rsidRPr="00DD1B58">
        <w:rPr>
          <w:rFonts w:asciiTheme="minorHAnsi" w:eastAsia="TimesNewRoman" w:hAnsiTheme="minorHAnsi" w:cstheme="minorHAnsi"/>
          <w:szCs w:val="24"/>
          <w:lang w:val="en-US" w:eastAsia="en-GB" w:bidi="ar-SA"/>
        </w:rPr>
        <w:t xml:space="preserve"> sites are expected to carry out fire drills requiring the full site</w:t>
      </w:r>
      <w:r w:rsidR="00A65926"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 xml:space="preserve">muster off staff to designated fire assembly points. </w:t>
      </w:r>
      <w:r w:rsidR="0047278C" w:rsidRPr="00DD1B58">
        <w:rPr>
          <w:rFonts w:asciiTheme="minorHAnsi" w:eastAsia="TimesNewRoman" w:hAnsiTheme="minorHAnsi" w:cstheme="minorHAnsi"/>
          <w:szCs w:val="24"/>
          <w:lang w:val="en-US" w:eastAsia="en-GB" w:bidi="ar-SA"/>
        </w:rPr>
        <w:t>EDF NGL carries these</w:t>
      </w:r>
      <w:r w:rsidRPr="00DD1B58">
        <w:rPr>
          <w:rFonts w:asciiTheme="minorHAnsi" w:eastAsia="TimesNewRoman" w:hAnsiTheme="minorHAnsi" w:cstheme="minorHAnsi"/>
          <w:szCs w:val="24"/>
          <w:lang w:val="en-US" w:eastAsia="en-GB" w:bidi="ar-SA"/>
        </w:rPr>
        <w:t xml:space="preserve"> out</w:t>
      </w:r>
      <w:r w:rsidR="0047278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annually</w:t>
      </w:r>
      <w:r w:rsidR="0047278C" w:rsidRPr="00DD1B58">
        <w:rPr>
          <w:rFonts w:asciiTheme="minorHAnsi" w:eastAsia="TimesNewRoman" w:hAnsiTheme="minorHAnsi" w:cstheme="minorHAnsi"/>
          <w:szCs w:val="24"/>
          <w:lang w:val="en-US" w:eastAsia="en-GB" w:bidi="ar-SA"/>
        </w:rPr>
        <w:t xml:space="preserve"> as a minimum,</w:t>
      </w:r>
      <w:r w:rsidRPr="00DD1B58">
        <w:rPr>
          <w:rFonts w:asciiTheme="minorHAnsi" w:eastAsia="TimesNewRoman" w:hAnsiTheme="minorHAnsi" w:cstheme="minorHAnsi"/>
          <w:szCs w:val="24"/>
          <w:lang w:val="en-US" w:eastAsia="en-GB" w:bidi="ar-SA"/>
        </w:rPr>
        <w:t xml:space="preserve"> however</w:t>
      </w:r>
      <w:r w:rsidR="0047278C"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scenarios associated with full site response exercises may also incorporate a fire hazard within the</w:t>
      </w:r>
      <w:r w:rsidR="00A65926" w:rsidRPr="00DD1B58">
        <w:rPr>
          <w:rFonts w:asciiTheme="minorHAnsi" w:eastAsia="TimesNewRoman" w:hAnsiTheme="minorHAnsi" w:cstheme="minorHAnsi"/>
          <w:szCs w:val="24"/>
          <w:lang w:val="en-US" w:eastAsia="en-GB" w:bidi="ar-SA"/>
        </w:rPr>
        <w:t xml:space="preserve"> </w:t>
      </w:r>
      <w:r w:rsidRPr="00DD1B58">
        <w:rPr>
          <w:rFonts w:asciiTheme="minorHAnsi" w:eastAsia="TimesNewRoman" w:hAnsiTheme="minorHAnsi" w:cstheme="minorHAnsi"/>
          <w:szCs w:val="24"/>
          <w:lang w:val="en-US" w:eastAsia="en-GB" w:bidi="ar-SA"/>
        </w:rPr>
        <w:t>objectives.</w:t>
      </w:r>
      <w:r w:rsidR="0047278C" w:rsidRPr="00DD1B58">
        <w:rPr>
          <w:rFonts w:asciiTheme="minorHAnsi" w:eastAsia="TimesNewRoman" w:hAnsiTheme="minorHAnsi" w:cstheme="minorBidi"/>
          <w:lang w:val="en-US" w:eastAsia="en-GB" w:bidi="ar-SA"/>
        </w:rPr>
        <w:t xml:space="preserve"> EDF NGL considers that i</w:t>
      </w:r>
      <w:r w:rsidRPr="00DD1B58">
        <w:rPr>
          <w:rFonts w:asciiTheme="minorHAnsi" w:eastAsia="TimesNewRoman" w:hAnsiTheme="minorHAnsi" w:cstheme="minorBidi"/>
          <w:lang w:val="en-US" w:eastAsia="en-GB" w:bidi="ar-SA"/>
        </w:rPr>
        <w:t>ncorporating fire drills into annual exercises provides site staff with the opportunity to practice muster</w:t>
      </w:r>
      <w:r w:rsidR="00361A22" w:rsidRPr="00DD1B58">
        <w:rPr>
          <w:rFonts w:asciiTheme="minorHAnsi" w:eastAsia="TimesNewRoman" w:hAnsiTheme="minorHAnsi" w:cstheme="minorBidi"/>
          <w:lang w:val="en-US" w:eastAsia="en-GB" w:bidi="ar-SA"/>
        </w:rPr>
        <w:t xml:space="preserve"> </w:t>
      </w:r>
      <w:r w:rsidRPr="00DD1B58">
        <w:rPr>
          <w:rFonts w:asciiTheme="minorHAnsi" w:eastAsia="TimesNewRoman" w:hAnsiTheme="minorHAnsi" w:cstheme="minorBidi"/>
          <w:lang w:val="en-US" w:eastAsia="en-GB" w:bidi="ar-SA"/>
        </w:rPr>
        <w:t>arrangements. Response staff are able to familiarise themselves with the relevant emergency handbook.</w:t>
      </w:r>
    </w:p>
    <w:p w14:paraId="4130B178" w14:textId="77777777" w:rsidR="39260F63" w:rsidRPr="00DD1B58" w:rsidRDefault="39260F63" w:rsidP="39260F63">
      <w:pPr>
        <w:spacing w:after="0" w:line="240" w:lineRule="auto"/>
        <w:rPr>
          <w:rFonts w:asciiTheme="minorHAnsi" w:eastAsia="TimesNewRoman" w:hAnsiTheme="minorHAnsi" w:cstheme="minorBidi"/>
          <w:lang w:val="en-US" w:eastAsia="en-GB" w:bidi="ar-SA"/>
        </w:rPr>
      </w:pPr>
    </w:p>
    <w:p w14:paraId="04151FBD" w14:textId="77777777" w:rsidR="00AD1636" w:rsidRPr="00DD1B58" w:rsidRDefault="00AD1636" w:rsidP="00177432">
      <w:pPr>
        <w:pStyle w:val="Heading5A"/>
        <w:numPr>
          <w:ilvl w:val="5"/>
          <w:numId w:val="7"/>
        </w:numPr>
        <w:rPr>
          <w:lang w:val="en-US"/>
        </w:rPr>
      </w:pPr>
      <w:r w:rsidRPr="00DD1B58">
        <w:rPr>
          <w:lang w:val="en-US"/>
        </w:rPr>
        <w:t>Specific provisions, e.g. loss of access</w:t>
      </w:r>
    </w:p>
    <w:p w14:paraId="396F52A7" w14:textId="750A6A31" w:rsidR="00204276" w:rsidRPr="00DD1B58" w:rsidRDefault="00204276" w:rsidP="39260F63">
      <w:pPr>
        <w:pStyle w:val="Bulletlist1"/>
        <w:numPr>
          <w:ilvl w:val="0"/>
          <w:numId w:val="0"/>
        </w:numPr>
        <w:rPr>
          <w:lang w:val="en-US" w:eastAsia="en-GB" w:bidi="ar-SA"/>
        </w:rPr>
      </w:pPr>
      <w:r w:rsidRPr="00DD1B58">
        <w:rPr>
          <w:b/>
          <w:lang w:val="en-US" w:eastAsia="en-GB" w:bidi="ar-SA"/>
        </w:rPr>
        <w:t>General</w:t>
      </w:r>
      <w:r w:rsidR="00647A5A" w:rsidRPr="00DD1B58">
        <w:rPr>
          <w:b/>
          <w:lang w:val="en-US" w:eastAsia="en-GB" w:bidi="ar-SA"/>
        </w:rPr>
        <w:t xml:space="preserve"> </w:t>
      </w:r>
      <w:r w:rsidR="0068227F" w:rsidRPr="00DD1B58">
        <w:rPr>
          <w:b/>
          <w:lang w:val="en-US"/>
        </w:rPr>
        <w:t>–</w:t>
      </w:r>
      <w:r w:rsidR="00647A5A" w:rsidRPr="00DD1B58">
        <w:rPr>
          <w:b/>
          <w:lang w:val="en-US" w:eastAsia="en-GB" w:bidi="ar-SA"/>
        </w:rPr>
        <w:t xml:space="preserve"> </w:t>
      </w:r>
      <w:r w:rsidRPr="00DD1B58">
        <w:rPr>
          <w:lang w:val="en-US" w:eastAsia="en-GB" w:bidi="ar-SA"/>
        </w:rPr>
        <w:t>Each nuclear power station has a minimum of two access routes to site in the event of an off-site release affecting access. Upon declaration of an emergency the site Control Room provides advice to the responding emergency services on which access route to site they should take. For a radiological release scenario this is determined by wind direction and potential hazards to responders.</w:t>
      </w:r>
    </w:p>
    <w:p w14:paraId="7EC2A4F5" w14:textId="6F16CC67" w:rsidR="00204276" w:rsidRPr="00DD1B58" w:rsidRDefault="00D3647B" w:rsidP="39260F63">
      <w:pPr>
        <w:pStyle w:val="Bulletlist1"/>
        <w:numPr>
          <w:ilvl w:val="0"/>
          <w:numId w:val="0"/>
        </w:numPr>
        <w:rPr>
          <w:rFonts w:asciiTheme="minorHAnsi" w:hAnsiTheme="minorHAnsi" w:cstheme="minorBidi"/>
          <w:lang w:val="en-US" w:eastAsia="en-GB" w:bidi="ar-SA"/>
        </w:rPr>
      </w:pPr>
      <w:r w:rsidRPr="00DD1B58">
        <w:rPr>
          <w:lang w:val="en-US" w:eastAsia="en-GB" w:bidi="ar-SA"/>
        </w:rPr>
        <w:t>EDF NGL state</w:t>
      </w:r>
      <w:r w:rsidR="007E621B" w:rsidRPr="00DD1B58">
        <w:rPr>
          <w:lang w:val="en-US" w:eastAsia="en-GB" w:bidi="ar-SA"/>
        </w:rPr>
        <w:t>s</w:t>
      </w:r>
      <w:r w:rsidRPr="00DD1B58" w:rsidDel="007E621B">
        <w:rPr>
          <w:lang w:val="en-US" w:eastAsia="en-GB" w:bidi="ar-SA"/>
        </w:rPr>
        <w:t>d</w:t>
      </w:r>
      <w:r w:rsidR="006D798B" w:rsidRPr="00DD1B58">
        <w:rPr>
          <w:lang w:val="en-US" w:eastAsia="en-GB" w:bidi="ar-SA"/>
        </w:rPr>
        <w:t>states that</w:t>
      </w:r>
      <w:r w:rsidRPr="00DD1B58">
        <w:rPr>
          <w:lang w:val="en-US" w:eastAsia="en-GB" w:bidi="ar-SA"/>
        </w:rPr>
        <w:t xml:space="preserve"> the u</w:t>
      </w:r>
      <w:r w:rsidR="00204276" w:rsidRPr="00DD1B58">
        <w:rPr>
          <w:lang w:val="en-US" w:eastAsia="en-GB" w:bidi="ar-SA"/>
        </w:rPr>
        <w:t>se of alternative access routes to sites are incorporated into site drills and exercises to ensure</w:t>
      </w:r>
      <w:r w:rsidR="002A6B08" w:rsidRPr="00DD1B58">
        <w:rPr>
          <w:lang w:val="en-US" w:eastAsia="en-GB" w:bidi="ar-SA"/>
        </w:rPr>
        <w:t xml:space="preserve"> r</w:t>
      </w:r>
      <w:r w:rsidR="00204276" w:rsidRPr="00DD1B58">
        <w:rPr>
          <w:lang w:val="en-US" w:eastAsia="en-GB" w:bidi="ar-SA"/>
        </w:rPr>
        <w:t>esponding emergency services are familiar with all entry points to site. Learning from these events are</w:t>
      </w:r>
      <w:r w:rsidR="002A6B08" w:rsidRPr="00DD1B58">
        <w:rPr>
          <w:lang w:val="en-US" w:eastAsia="en-GB" w:bidi="ar-SA"/>
        </w:rPr>
        <w:t xml:space="preserve"> </w:t>
      </w:r>
      <w:r w:rsidR="00204276" w:rsidRPr="00DD1B58">
        <w:rPr>
          <w:lang w:val="en-US" w:eastAsia="en-GB" w:bidi="ar-SA"/>
        </w:rPr>
        <w:t>shared with external agencies during external stakeholder meetings such as the Emergency preparedness</w:t>
      </w:r>
      <w:r w:rsidR="2DDE3325" w:rsidRPr="00DD1B58">
        <w:rPr>
          <w:lang w:val="en-US" w:eastAsia="en-GB" w:bidi="ar-SA"/>
        </w:rPr>
        <w:t>.</w:t>
      </w:r>
    </w:p>
    <w:p w14:paraId="0C3F5879" w14:textId="77777777" w:rsidR="00BC2A08" w:rsidRPr="00DD1B58" w:rsidRDefault="00BC2A08" w:rsidP="00177432">
      <w:pPr>
        <w:pStyle w:val="Heading5A"/>
        <w:rPr>
          <w:lang w:val="en-US"/>
        </w:rPr>
      </w:pPr>
      <w:bookmarkStart w:id="103" w:name="_Ref145057970"/>
      <w:r w:rsidRPr="00DD1B58">
        <w:rPr>
          <w:lang w:val="en-US"/>
        </w:rPr>
        <w:t>Licensee’s experience of the implementation of the active fire protection</w:t>
      </w:r>
      <w:bookmarkEnd w:id="103"/>
    </w:p>
    <w:p w14:paraId="7531CB08" w14:textId="371BF090" w:rsidR="0024161D" w:rsidRPr="00DD1B58" w:rsidRDefault="0024161D" w:rsidP="00441CE0">
      <w:pPr>
        <w:rPr>
          <w:lang w:val="en-US" w:eastAsia="en-GB" w:bidi="ar-SA"/>
        </w:rPr>
      </w:pPr>
      <w:r w:rsidRPr="00DD1B58">
        <w:rPr>
          <w:lang w:val="en-US" w:eastAsia="en-GB" w:bidi="ar-SA"/>
        </w:rPr>
        <w:t xml:space="preserve">The </w:t>
      </w:r>
      <w:r w:rsidR="00C362CA" w:rsidRPr="00DD1B58">
        <w:rPr>
          <w:lang w:val="en-US" w:eastAsia="en-GB" w:bidi="ar-SA"/>
        </w:rPr>
        <w:t>EDF NGL</w:t>
      </w:r>
      <w:r w:rsidRPr="00DD1B58">
        <w:rPr>
          <w:lang w:val="en-US" w:eastAsia="en-GB" w:bidi="ar-SA"/>
        </w:rPr>
        <w:t xml:space="preserve"> experience with fire protection is represented by </w:t>
      </w:r>
      <w:r w:rsidR="00D3647B" w:rsidRPr="00DD1B58">
        <w:rPr>
          <w:lang w:val="en-US" w:eastAsia="en-GB" w:bidi="ar-SA"/>
        </w:rPr>
        <w:t>HNB</w:t>
      </w:r>
      <w:r w:rsidRPr="00DD1B58">
        <w:rPr>
          <w:lang w:val="en-US" w:eastAsia="en-GB" w:bidi="ar-SA"/>
        </w:rPr>
        <w:t>, but noting that diverse back-up safety systems such as BUCS were later installed to make the plant robust against a single unsuppressed fire.</w:t>
      </w:r>
    </w:p>
    <w:p w14:paraId="1246F123" w14:textId="45E8A3D9" w:rsidR="002F0CEF" w:rsidRPr="00DD1B58" w:rsidRDefault="0024161D" w:rsidP="00441CE0">
      <w:pPr>
        <w:rPr>
          <w:lang w:val="en-US"/>
        </w:rPr>
      </w:pPr>
      <w:r w:rsidRPr="00DD1B58">
        <w:rPr>
          <w:lang w:val="en-US" w:eastAsia="en-GB" w:bidi="ar-SA"/>
        </w:rPr>
        <w:t xml:space="preserve">The </w:t>
      </w:r>
      <w:r w:rsidR="00C362CA" w:rsidRPr="00DD1B58">
        <w:rPr>
          <w:lang w:val="en-US" w:eastAsia="en-GB" w:bidi="ar-SA"/>
        </w:rPr>
        <w:t>EDF NGL</w:t>
      </w:r>
      <w:r w:rsidRPr="00DD1B58">
        <w:rPr>
          <w:lang w:val="en-US" w:eastAsia="en-GB" w:bidi="ar-SA"/>
        </w:rPr>
        <w:t xml:space="preserve"> experience has been gained over a long period of operation of diverse AGR designs and has in particular been influenced by the Browns Ferry fire.</w:t>
      </w:r>
    </w:p>
    <w:p w14:paraId="469D8FAD" w14:textId="77777777" w:rsidR="00BC2A08" w:rsidRPr="00DD1B58" w:rsidRDefault="00BC2A08" w:rsidP="00177432">
      <w:pPr>
        <w:pStyle w:val="Heading5A"/>
        <w:numPr>
          <w:ilvl w:val="5"/>
          <w:numId w:val="7"/>
        </w:numPr>
        <w:rPr>
          <w:lang w:val="en-US"/>
        </w:rPr>
      </w:pPr>
      <w:r w:rsidRPr="00DD1B58">
        <w:rPr>
          <w:lang w:val="en-US"/>
        </w:rPr>
        <w:t>Overview of strengths and weaknesses</w:t>
      </w:r>
    </w:p>
    <w:p w14:paraId="259DB006" w14:textId="58AC6B7A" w:rsidR="00427E85" w:rsidRPr="00DD1B58" w:rsidRDefault="00D3647B" w:rsidP="00441CE0">
      <w:pPr>
        <w:rPr>
          <w:lang w:val="en-US" w:eastAsia="en-GB" w:bidi="ar-SA"/>
        </w:rPr>
      </w:pPr>
      <w:r w:rsidRPr="00DD1B58">
        <w:rPr>
          <w:b/>
          <w:lang w:val="en-US" w:eastAsia="en-GB" w:bidi="ar-SA"/>
        </w:rPr>
        <w:t>HN</w:t>
      </w:r>
      <w:r w:rsidR="0064272D" w:rsidRPr="00DD1B58">
        <w:rPr>
          <w:b/>
          <w:lang w:val="en-US" w:eastAsia="en-GB" w:bidi="ar-SA"/>
        </w:rPr>
        <w:t>B</w:t>
      </w:r>
      <w:r w:rsidR="00647A5A" w:rsidRPr="00DD1B58">
        <w:rPr>
          <w:b/>
          <w:lang w:val="en-US" w:eastAsia="en-GB" w:bidi="ar-SA"/>
        </w:rPr>
        <w:t xml:space="preserve"> </w:t>
      </w:r>
      <w:r w:rsidR="00747C12" w:rsidRPr="00DD1B58">
        <w:rPr>
          <w:b/>
          <w:lang w:val="en-US" w:eastAsia="en-GB" w:bidi="ar-SA"/>
        </w:rPr>
        <w:t>–</w:t>
      </w:r>
      <w:r w:rsidR="00647A5A" w:rsidRPr="00DD1B58">
        <w:rPr>
          <w:b/>
          <w:lang w:val="en-US" w:eastAsia="en-GB" w:bidi="ar-SA"/>
        </w:rPr>
        <w:t xml:space="preserve"> </w:t>
      </w:r>
      <w:r w:rsidR="00747C12" w:rsidRPr="00DD1B58">
        <w:rPr>
          <w:lang w:val="en-US" w:eastAsia="en-GB" w:bidi="ar-SA"/>
        </w:rPr>
        <w:t>EDF NGL report</w:t>
      </w:r>
      <w:r w:rsidR="007402CB" w:rsidRPr="00DD1B58">
        <w:rPr>
          <w:lang w:val="en-US" w:eastAsia="en-GB" w:bidi="ar-SA"/>
        </w:rPr>
        <w:t>s</w:t>
      </w:r>
      <w:r w:rsidR="00747C12" w:rsidRPr="00DD1B58">
        <w:rPr>
          <w:lang w:val="en-US" w:eastAsia="en-GB" w:bidi="ar-SA"/>
        </w:rPr>
        <w:t xml:space="preserve"> that at </w:t>
      </w:r>
      <w:r w:rsidR="0064272D" w:rsidRPr="00DD1B58">
        <w:rPr>
          <w:lang w:val="en-US" w:eastAsia="en-GB" w:bidi="ar-SA"/>
        </w:rPr>
        <w:t>HNB</w:t>
      </w:r>
      <w:r w:rsidR="00747C12" w:rsidRPr="00DD1B58">
        <w:rPr>
          <w:lang w:val="en-US" w:eastAsia="en-GB" w:bidi="ar-SA"/>
        </w:rPr>
        <w:t>,</w:t>
      </w:r>
      <w:r w:rsidR="0064272D" w:rsidRPr="00DD1B58">
        <w:rPr>
          <w:lang w:val="en-US" w:eastAsia="en-GB" w:bidi="ar-SA"/>
        </w:rPr>
        <w:t xml:space="preserve"> the fire influence approach was undermined by a lack of appreciation of the likelihood and severity of fires in certain critical areas. The originally installed fire</w:t>
      </w:r>
      <w:r w:rsidR="00747C12" w:rsidRPr="00DD1B58">
        <w:rPr>
          <w:lang w:val="en-US" w:eastAsia="en-GB" w:bidi="ar-SA"/>
        </w:rPr>
        <w:t>-</w:t>
      </w:r>
      <w:r w:rsidR="0064272D" w:rsidRPr="00DD1B58">
        <w:rPr>
          <w:lang w:val="en-US" w:eastAsia="en-GB" w:bidi="ar-SA"/>
        </w:rPr>
        <w:t>influence plant - high velocity water spray - was not adequate to control certain plausible fire scenarios. As a result</w:t>
      </w:r>
      <w:r w:rsidR="00747C12" w:rsidRPr="00DD1B58">
        <w:rPr>
          <w:lang w:val="en-US" w:eastAsia="en-GB" w:bidi="ar-SA"/>
        </w:rPr>
        <w:t>,</w:t>
      </w:r>
      <w:r w:rsidR="0064272D" w:rsidRPr="00DD1B58">
        <w:rPr>
          <w:lang w:val="en-US" w:eastAsia="en-GB" w:bidi="ar-SA"/>
        </w:rPr>
        <w:t xml:space="preserve"> the plant was later hardened by additional fire detection and suppression equipment, leak prevention and leak ignition prevention measures, and passive fire protection of specific essential plant was provided.</w:t>
      </w:r>
      <w:r w:rsidR="00EC4C4C" w:rsidRPr="00DD1B58">
        <w:rPr>
          <w:lang w:val="en-US" w:eastAsia="en-GB" w:bidi="ar-SA"/>
        </w:rPr>
        <w:t xml:space="preserve"> </w:t>
      </w:r>
    </w:p>
    <w:p w14:paraId="2D76974B" w14:textId="79FA85C2" w:rsidR="00427E85" w:rsidRPr="00DD1B58" w:rsidRDefault="0064272D" w:rsidP="00441CE0">
      <w:pPr>
        <w:rPr>
          <w:lang w:val="en-US" w:eastAsia="en-GB" w:bidi="ar-SA"/>
        </w:rPr>
      </w:pPr>
      <w:r w:rsidRPr="00DD1B58">
        <w:rPr>
          <w:lang w:val="en-US" w:eastAsia="en-GB" w:bidi="ar-SA"/>
        </w:rPr>
        <w:t>In certain critical areas the original fire influence approach was not fully implemented i.e. not all fire</w:t>
      </w:r>
      <w:r w:rsidR="00EC4C4C" w:rsidRPr="00DD1B58">
        <w:rPr>
          <w:lang w:val="en-US" w:eastAsia="en-GB" w:bidi="ar-SA"/>
        </w:rPr>
        <w:t xml:space="preserve"> </w:t>
      </w:r>
      <w:r w:rsidRPr="00DD1B58">
        <w:rPr>
          <w:lang w:val="en-US" w:eastAsia="en-GB" w:bidi="ar-SA"/>
        </w:rPr>
        <w:t>scenarios were identified and assigned a suppression measure. The fire containment approach could not</w:t>
      </w:r>
      <w:r w:rsidR="00EC4C4C" w:rsidRPr="00DD1B58">
        <w:rPr>
          <w:lang w:val="en-US" w:eastAsia="en-GB" w:bidi="ar-SA"/>
        </w:rPr>
        <w:t xml:space="preserve"> </w:t>
      </w:r>
      <w:r w:rsidRPr="00DD1B58">
        <w:rPr>
          <w:lang w:val="en-US" w:eastAsia="en-GB" w:bidi="ar-SA"/>
        </w:rPr>
        <w:t xml:space="preserve">be physically applied in open areas by subdividing. However, </w:t>
      </w:r>
      <w:r w:rsidR="00C40EE9" w:rsidRPr="00DD1B58">
        <w:rPr>
          <w:lang w:val="en-US" w:eastAsia="en-GB" w:bidi="ar-SA"/>
        </w:rPr>
        <w:t xml:space="preserve">EDF NGL considers the </w:t>
      </w:r>
      <w:r w:rsidRPr="00DD1B58">
        <w:rPr>
          <w:lang w:val="en-US" w:eastAsia="en-GB" w:bidi="ar-SA"/>
        </w:rPr>
        <w:t>later provision of back</w:t>
      </w:r>
      <w:r w:rsidR="00C40EE9" w:rsidRPr="00DD1B58">
        <w:rPr>
          <w:lang w:val="en-US" w:eastAsia="en-GB" w:bidi="ar-SA"/>
        </w:rPr>
        <w:t>-</w:t>
      </w:r>
      <w:r w:rsidRPr="00DD1B58">
        <w:rPr>
          <w:lang w:val="en-US" w:eastAsia="en-GB" w:bidi="ar-SA"/>
        </w:rPr>
        <w:t>up plant remote</w:t>
      </w:r>
      <w:r w:rsidR="00EC4C4C" w:rsidRPr="00DD1B58">
        <w:rPr>
          <w:lang w:val="en-US" w:eastAsia="en-GB" w:bidi="ar-SA"/>
        </w:rPr>
        <w:t xml:space="preserve"> </w:t>
      </w:r>
      <w:r w:rsidRPr="00DD1B58">
        <w:rPr>
          <w:lang w:val="en-US" w:eastAsia="en-GB" w:bidi="ar-SA"/>
        </w:rPr>
        <w:t>from the critical areas e.g. back</w:t>
      </w:r>
      <w:r w:rsidR="00C40EE9" w:rsidRPr="00DD1B58">
        <w:rPr>
          <w:lang w:val="en-US" w:eastAsia="en-GB" w:bidi="ar-SA"/>
        </w:rPr>
        <w:t>-</w:t>
      </w:r>
      <w:r w:rsidRPr="00DD1B58">
        <w:rPr>
          <w:lang w:val="en-US" w:eastAsia="en-GB" w:bidi="ar-SA"/>
        </w:rPr>
        <w:t>up cooling systems is equivalent to the containment concept for the</w:t>
      </w:r>
      <w:r w:rsidR="00EC4C4C" w:rsidRPr="00DD1B58">
        <w:rPr>
          <w:lang w:val="en-US" w:eastAsia="en-GB" w:bidi="ar-SA"/>
        </w:rPr>
        <w:t xml:space="preserve"> </w:t>
      </w:r>
      <w:r w:rsidRPr="00DD1B58">
        <w:rPr>
          <w:lang w:val="en-US" w:eastAsia="en-GB" w:bidi="ar-SA"/>
        </w:rPr>
        <w:t>later installed equipment.</w:t>
      </w:r>
      <w:r w:rsidR="00427E85" w:rsidRPr="00DD1B58">
        <w:rPr>
          <w:lang w:val="en-US" w:eastAsia="en-GB" w:bidi="ar-SA"/>
        </w:rPr>
        <w:t xml:space="preserve"> </w:t>
      </w:r>
    </w:p>
    <w:p w14:paraId="3996EC2B" w14:textId="69A3FC10" w:rsidR="00427E85" w:rsidRPr="00DD1B58" w:rsidRDefault="00C40EE9" w:rsidP="00441CE0">
      <w:pPr>
        <w:rPr>
          <w:lang w:val="en-US" w:eastAsia="en-GB" w:bidi="ar-SA"/>
        </w:rPr>
      </w:pPr>
      <w:r w:rsidRPr="00DD1B58">
        <w:rPr>
          <w:lang w:val="en-US" w:eastAsia="en-GB" w:bidi="ar-SA"/>
        </w:rPr>
        <w:t>EDF NGL</w:t>
      </w:r>
      <w:r w:rsidR="0064272D" w:rsidRPr="00DD1B58">
        <w:rPr>
          <w:lang w:val="en-US" w:eastAsia="en-GB" w:bidi="ar-SA"/>
        </w:rPr>
        <w:t xml:space="preserve"> conclude</w:t>
      </w:r>
      <w:r w:rsidR="007402CB" w:rsidRPr="00DD1B58">
        <w:rPr>
          <w:lang w:val="en-US" w:eastAsia="en-GB" w:bidi="ar-SA"/>
        </w:rPr>
        <w:t>s</w:t>
      </w:r>
      <w:r w:rsidR="0064272D" w:rsidRPr="00DD1B58">
        <w:rPr>
          <w:lang w:val="en-US" w:eastAsia="en-GB" w:bidi="ar-SA"/>
        </w:rPr>
        <w:t xml:space="preserve"> that the fire influence approach can be effective but requires a comprehensive</w:t>
      </w:r>
      <w:r w:rsidR="00427E85" w:rsidRPr="00DD1B58">
        <w:rPr>
          <w:lang w:val="en-US" w:eastAsia="en-GB" w:bidi="ar-SA"/>
        </w:rPr>
        <w:t xml:space="preserve"> </w:t>
      </w:r>
      <w:r w:rsidR="0064272D" w:rsidRPr="00DD1B58">
        <w:rPr>
          <w:lang w:val="en-US" w:eastAsia="en-GB" w:bidi="ar-SA"/>
        </w:rPr>
        <w:t xml:space="preserve">understanding of the fire and a comprehensive and reliable package of </w:t>
      </w:r>
      <w:r w:rsidR="00427E85" w:rsidRPr="00DD1B58">
        <w:rPr>
          <w:lang w:val="en-US" w:eastAsia="en-GB" w:bidi="ar-SA"/>
        </w:rPr>
        <w:t>i</w:t>
      </w:r>
      <w:r w:rsidR="0064272D" w:rsidRPr="00DD1B58">
        <w:rPr>
          <w:lang w:val="en-US" w:eastAsia="en-GB" w:bidi="ar-SA"/>
        </w:rPr>
        <w:t>nfluence measures. Remote</w:t>
      </w:r>
      <w:r w:rsidR="00427E85" w:rsidRPr="00DD1B58">
        <w:rPr>
          <w:lang w:val="en-US" w:eastAsia="en-GB" w:bidi="ar-SA"/>
        </w:rPr>
        <w:t xml:space="preserve"> </w:t>
      </w:r>
      <w:r w:rsidR="0064272D" w:rsidRPr="00DD1B58">
        <w:rPr>
          <w:lang w:val="en-US" w:eastAsia="en-GB" w:bidi="ar-SA"/>
        </w:rPr>
        <w:t>back</w:t>
      </w:r>
      <w:r w:rsidRPr="00DD1B58">
        <w:rPr>
          <w:lang w:val="en-US" w:eastAsia="en-GB" w:bidi="ar-SA"/>
        </w:rPr>
        <w:t>-</w:t>
      </w:r>
      <w:r w:rsidR="0064272D" w:rsidRPr="00DD1B58">
        <w:rPr>
          <w:lang w:val="en-US" w:eastAsia="en-GB" w:bidi="ar-SA"/>
        </w:rPr>
        <w:t>up plant is advised to compensate for the inherent reliability concerns in the fire influence</w:t>
      </w:r>
      <w:r w:rsidR="00427E85" w:rsidRPr="00DD1B58">
        <w:rPr>
          <w:lang w:val="en-US" w:eastAsia="en-GB" w:bidi="ar-SA"/>
        </w:rPr>
        <w:t xml:space="preserve"> </w:t>
      </w:r>
      <w:r w:rsidR="0064272D" w:rsidRPr="00DD1B58">
        <w:rPr>
          <w:lang w:val="en-US" w:eastAsia="en-GB" w:bidi="ar-SA"/>
        </w:rPr>
        <w:t>approach.</w:t>
      </w:r>
      <w:r w:rsidR="00427E85" w:rsidRPr="00DD1B58">
        <w:rPr>
          <w:lang w:val="en-US" w:eastAsia="en-GB" w:bidi="ar-SA"/>
        </w:rPr>
        <w:t xml:space="preserve"> </w:t>
      </w:r>
    </w:p>
    <w:p w14:paraId="6DEEF1E1" w14:textId="77777777" w:rsidR="0064272D" w:rsidRPr="00DD1B58" w:rsidRDefault="0064272D" w:rsidP="00441CE0">
      <w:pPr>
        <w:rPr>
          <w:lang w:val="en-US"/>
        </w:rPr>
      </w:pPr>
      <w:r w:rsidRPr="00DD1B58">
        <w:rPr>
          <w:lang w:val="en-US" w:eastAsia="en-GB" w:bidi="ar-SA"/>
        </w:rPr>
        <w:t xml:space="preserve">However, </w:t>
      </w:r>
      <w:r w:rsidR="7F1D3FE8" w:rsidRPr="00DD1B58">
        <w:rPr>
          <w:lang w:val="en-US" w:eastAsia="en-GB" w:bidi="ar-SA"/>
        </w:rPr>
        <w:t>EDF NGL’s</w:t>
      </w:r>
      <w:r w:rsidRPr="00DD1B58">
        <w:rPr>
          <w:lang w:val="en-US" w:eastAsia="en-GB" w:bidi="ar-SA"/>
        </w:rPr>
        <w:t xml:space="preserve"> OPEX does not reveal any fires which have threatened nuclear or life safety and which</w:t>
      </w:r>
      <w:r w:rsidR="00427E85" w:rsidRPr="00DD1B58">
        <w:rPr>
          <w:lang w:val="en-US" w:eastAsia="en-GB" w:bidi="ar-SA"/>
        </w:rPr>
        <w:t xml:space="preserve"> </w:t>
      </w:r>
      <w:r w:rsidRPr="00DD1B58">
        <w:rPr>
          <w:lang w:val="en-US" w:eastAsia="en-GB" w:bidi="ar-SA"/>
        </w:rPr>
        <w:t>have gone undetected or unsuppressed. This provides</w:t>
      </w:r>
      <w:r w:rsidR="000A72E2" w:rsidRPr="00DD1B58">
        <w:rPr>
          <w:lang w:val="en-US" w:eastAsia="en-GB" w:bidi="ar-SA"/>
        </w:rPr>
        <w:t xml:space="preserve"> it with</w:t>
      </w:r>
      <w:r w:rsidRPr="00DD1B58">
        <w:rPr>
          <w:lang w:val="en-US" w:eastAsia="en-GB" w:bidi="ar-SA"/>
        </w:rPr>
        <w:t xml:space="preserve"> confidence that the fire prevention measures and</w:t>
      </w:r>
      <w:r w:rsidR="00427E85" w:rsidRPr="00DD1B58">
        <w:rPr>
          <w:lang w:val="en-US" w:eastAsia="en-GB" w:bidi="ar-SA"/>
        </w:rPr>
        <w:t xml:space="preserve"> </w:t>
      </w:r>
      <w:r w:rsidRPr="00DD1B58">
        <w:rPr>
          <w:lang w:val="en-US" w:eastAsia="en-GB" w:bidi="ar-SA"/>
        </w:rPr>
        <w:t>fire protection measures are effective.</w:t>
      </w:r>
    </w:p>
    <w:p w14:paraId="02C230CA" w14:textId="77777777" w:rsidR="00BC2A08" w:rsidRPr="00DD1B58" w:rsidRDefault="00BC2A08" w:rsidP="00177432">
      <w:pPr>
        <w:pStyle w:val="Heading5A"/>
        <w:numPr>
          <w:ilvl w:val="5"/>
          <w:numId w:val="7"/>
        </w:numPr>
        <w:rPr>
          <w:lang w:val="en-US"/>
        </w:rPr>
      </w:pPr>
      <w:r w:rsidRPr="00DD1B58">
        <w:rPr>
          <w:lang w:val="en-US"/>
        </w:rPr>
        <w:t>Lessons learned from events, reviews fire safety related missions, etc.</w:t>
      </w:r>
    </w:p>
    <w:p w14:paraId="6ED66629" w14:textId="77777777" w:rsidR="058EF440" w:rsidRPr="00DD1B58" w:rsidRDefault="058EF440" w:rsidP="39260F63">
      <w:pPr>
        <w:rPr>
          <w:lang w:val="en-US"/>
        </w:rPr>
      </w:pPr>
      <w:r w:rsidRPr="00DD1B58">
        <w:rPr>
          <w:lang w:val="en-US"/>
        </w:rPr>
        <w:t>See Section A-I3.2.4.1.</w:t>
      </w:r>
    </w:p>
    <w:p w14:paraId="321A1641" w14:textId="77777777" w:rsidR="00BC2A08" w:rsidRPr="00DD1B58" w:rsidRDefault="00BC2A08" w:rsidP="00177432">
      <w:pPr>
        <w:pStyle w:val="Heading5A"/>
        <w:numPr>
          <w:ilvl w:val="5"/>
          <w:numId w:val="7"/>
        </w:numPr>
        <w:rPr>
          <w:lang w:val="en-US"/>
        </w:rPr>
      </w:pPr>
      <w:r w:rsidRPr="00DD1B58">
        <w:rPr>
          <w:lang w:val="en-US"/>
        </w:rPr>
        <w:t>Overview of actions and implementation status</w:t>
      </w:r>
    </w:p>
    <w:p w14:paraId="2DD480A0" w14:textId="77777777" w:rsidR="7E122C75" w:rsidRPr="00DD1B58" w:rsidRDefault="7E122C75" w:rsidP="39260F63">
      <w:pPr>
        <w:rPr>
          <w:lang w:val="en-US"/>
        </w:rPr>
      </w:pPr>
      <w:r w:rsidRPr="00DD1B58">
        <w:rPr>
          <w:lang w:val="en-US"/>
        </w:rPr>
        <w:t>No actions have been identified by EDF NGL.</w:t>
      </w:r>
    </w:p>
    <w:p w14:paraId="4C5738C4" w14:textId="77777777" w:rsidR="00BC2A08" w:rsidRPr="00DD1B58" w:rsidRDefault="00BC2A08" w:rsidP="00177432">
      <w:pPr>
        <w:pStyle w:val="Heading5A"/>
        <w:rPr>
          <w:lang w:val="en-US"/>
        </w:rPr>
      </w:pPr>
      <w:bookmarkStart w:id="104" w:name="_Ref145057663"/>
      <w:r w:rsidRPr="00DD1B58">
        <w:rPr>
          <w:lang w:val="en-US"/>
        </w:rPr>
        <w:t>Regulator’s assessment of the active fire protection</w:t>
      </w:r>
      <w:bookmarkEnd w:id="104"/>
    </w:p>
    <w:p w14:paraId="49298B59" w14:textId="77777777" w:rsidR="00BC2A08" w:rsidRPr="00DD1B58" w:rsidRDefault="00BC2A08" w:rsidP="00177432">
      <w:pPr>
        <w:pStyle w:val="Heading5A"/>
        <w:numPr>
          <w:ilvl w:val="5"/>
          <w:numId w:val="7"/>
        </w:numPr>
        <w:rPr>
          <w:lang w:val="en-US"/>
        </w:rPr>
      </w:pPr>
      <w:r w:rsidRPr="00DD1B58">
        <w:rPr>
          <w:lang w:val="en-US"/>
        </w:rPr>
        <w:t>Overview of strengths and weaknesses in the active fire protection</w:t>
      </w:r>
    </w:p>
    <w:p w14:paraId="28DA1DD2" w14:textId="534EA290" w:rsidR="00E331BE" w:rsidRPr="00DD1B58" w:rsidRDefault="000A72E2">
      <w:pPr>
        <w:rPr>
          <w:lang w:val="en-US"/>
        </w:rPr>
      </w:pPr>
      <w:r w:rsidRPr="00DD1B58">
        <w:rPr>
          <w:rFonts w:eastAsia="Arial"/>
          <w:noProof/>
          <w:szCs w:val="24"/>
          <w:lang w:val="en-US"/>
        </w:rPr>
        <w:t xml:space="preserve">In line with previous sections, </w:t>
      </w:r>
      <w:r w:rsidR="7CA041AC" w:rsidRPr="00DD1B58">
        <w:rPr>
          <w:rFonts w:eastAsia="Arial"/>
          <w:noProof/>
          <w:szCs w:val="24"/>
          <w:lang w:val="en-US"/>
        </w:rPr>
        <w:t xml:space="preserve">ONR has considered the information provided by EDF NGL against WENRA </w:t>
      </w:r>
      <w:r w:rsidRPr="00DD1B58">
        <w:rPr>
          <w:rFonts w:eastAsia="Arial"/>
          <w:noProof/>
          <w:szCs w:val="24"/>
          <w:lang w:val="en-US"/>
        </w:rPr>
        <w:t xml:space="preserve">SRLs </w:t>
      </w:r>
      <w:r w:rsidR="7CA041AC" w:rsidRPr="00DD1B58">
        <w:rPr>
          <w:rFonts w:eastAsia="Arial"/>
          <w:noProof/>
          <w:szCs w:val="24"/>
          <w:lang w:val="en-US"/>
        </w:rPr>
        <w:t xml:space="preserve">and IAEA </w:t>
      </w:r>
      <w:r w:rsidRPr="00DD1B58">
        <w:rPr>
          <w:rFonts w:eastAsia="Arial"/>
          <w:noProof/>
          <w:szCs w:val="24"/>
          <w:lang w:val="en-US"/>
        </w:rPr>
        <w:t xml:space="preserve">requirements and guides </w:t>
      </w:r>
      <w:r w:rsidR="7CA041AC" w:rsidRPr="00DD1B58">
        <w:rPr>
          <w:rFonts w:eastAsia="Arial"/>
          <w:noProof/>
          <w:szCs w:val="24"/>
          <w:lang w:val="en-US"/>
        </w:rPr>
        <w:t xml:space="preserve">as well as the ONR SAPs and internal hazards TAG. </w:t>
      </w:r>
    </w:p>
    <w:p w14:paraId="52B6D967" w14:textId="76EE8655" w:rsidR="00B56E9C" w:rsidRPr="00DD1B58" w:rsidRDefault="7CA041AC">
      <w:pPr>
        <w:rPr>
          <w:rFonts w:eastAsia="Arial"/>
          <w:noProof/>
          <w:szCs w:val="24"/>
          <w:lang w:val="en-US"/>
        </w:rPr>
      </w:pPr>
      <w:r w:rsidRPr="00DD1B58">
        <w:rPr>
          <w:rFonts w:eastAsia="Arial"/>
          <w:noProof/>
          <w:szCs w:val="24"/>
          <w:lang w:val="en-US"/>
        </w:rPr>
        <w:t xml:space="preserve">EDF NGL described in section I-3.2.1 how fire alarm and detection systems are identified at the different stations dependent upon the claims made upon them within the nuclear safety case and how EIM&amp;T is prioritised. This meets the expectations of the internal hazards TAG </w:t>
      </w:r>
      <w:sdt>
        <w:sdtPr>
          <w:rPr>
            <w:rFonts w:eastAsia="Arial"/>
            <w:noProof/>
            <w:szCs w:val="24"/>
            <w:lang w:val="en-US"/>
          </w:rPr>
          <w:id w:val="-2090687820"/>
          <w:citation/>
        </w:sdtPr>
        <w:sdtContent>
          <w:r w:rsidR="00103F34" w:rsidRPr="00DD1B58">
            <w:rPr>
              <w:rFonts w:eastAsia="Arial"/>
              <w:noProof/>
              <w:szCs w:val="24"/>
              <w:lang w:val="en-US"/>
            </w:rPr>
            <w:fldChar w:fldCharType="begin"/>
          </w:r>
          <w:r w:rsidR="00103F34" w:rsidRPr="00DD1B58">
            <w:rPr>
              <w:rFonts w:eastAsia="Arial"/>
              <w:noProof/>
              <w:szCs w:val="24"/>
              <w:lang w:val="en-US"/>
            </w:rPr>
            <w:instrText xml:space="preserve"> CITATION ONR4 \l 2057 </w:instrText>
          </w:r>
          <w:r w:rsidR="00103F34" w:rsidRPr="00DD1B58">
            <w:rPr>
              <w:rFonts w:eastAsia="Arial"/>
              <w:noProof/>
              <w:szCs w:val="24"/>
              <w:lang w:val="en-US"/>
            </w:rPr>
            <w:fldChar w:fldCharType="separate"/>
          </w:r>
          <w:r w:rsidR="00DF47DA" w:rsidRPr="00DF47DA">
            <w:rPr>
              <w:rFonts w:eastAsia="Arial"/>
              <w:noProof/>
              <w:szCs w:val="24"/>
              <w:lang w:val="en-US"/>
            </w:rPr>
            <w:t>[16]</w:t>
          </w:r>
          <w:r w:rsidR="00103F34" w:rsidRPr="00DD1B58">
            <w:rPr>
              <w:rFonts w:eastAsia="Arial"/>
              <w:noProof/>
              <w:szCs w:val="24"/>
              <w:lang w:val="en-US"/>
            </w:rPr>
            <w:fldChar w:fldCharType="end"/>
          </w:r>
        </w:sdtContent>
      </w:sdt>
      <w:r w:rsidR="003D70AB" w:rsidRPr="00DD1B58">
        <w:rPr>
          <w:rFonts w:eastAsia="Arial"/>
          <w:noProof/>
          <w:szCs w:val="24"/>
          <w:lang w:val="en-US"/>
        </w:rPr>
        <w:t xml:space="preserve"> </w:t>
      </w:r>
      <w:r w:rsidRPr="00DD1B58">
        <w:rPr>
          <w:rFonts w:eastAsia="Arial"/>
          <w:noProof/>
          <w:szCs w:val="24"/>
          <w:lang w:val="en-US"/>
        </w:rPr>
        <w:t xml:space="preserve">and SRL SV 6.11 regarding EIM&amp;T. </w:t>
      </w:r>
    </w:p>
    <w:p w14:paraId="4BBF35A2" w14:textId="054CA926" w:rsidR="0031183A" w:rsidRPr="00DD1B58" w:rsidRDefault="7CA041AC">
      <w:pPr>
        <w:rPr>
          <w:rFonts w:eastAsia="Arial"/>
          <w:noProof/>
          <w:szCs w:val="24"/>
          <w:lang w:val="en-US"/>
        </w:rPr>
      </w:pPr>
      <w:r w:rsidRPr="00DD1B58">
        <w:rPr>
          <w:rFonts w:eastAsia="Arial"/>
          <w:noProof/>
          <w:szCs w:val="24"/>
          <w:lang w:val="en-US"/>
        </w:rPr>
        <w:t>ONR expectations on the hierarchy of controls as described in para</w:t>
      </w:r>
      <w:r w:rsidR="00E331BE" w:rsidRPr="00DD1B58">
        <w:rPr>
          <w:rFonts w:eastAsia="Arial"/>
          <w:noProof/>
          <w:szCs w:val="24"/>
          <w:lang w:val="en-US"/>
        </w:rPr>
        <w:t>.</w:t>
      </w:r>
      <w:r w:rsidRPr="00DD1B58">
        <w:rPr>
          <w:rFonts w:eastAsia="Arial"/>
          <w:noProof/>
          <w:szCs w:val="24"/>
          <w:lang w:val="en-US"/>
        </w:rPr>
        <w:t xml:space="preserve"> 155 </w:t>
      </w:r>
      <w:r w:rsidR="00E331BE" w:rsidRPr="00DD1B58">
        <w:rPr>
          <w:rFonts w:eastAsia="Arial"/>
          <w:noProof/>
          <w:szCs w:val="24"/>
          <w:lang w:val="en-US"/>
        </w:rPr>
        <w:t xml:space="preserve">of the SAPs </w:t>
      </w:r>
      <w:sdt>
        <w:sdtPr>
          <w:rPr>
            <w:rFonts w:eastAsia="Arial"/>
            <w:noProof/>
            <w:szCs w:val="24"/>
            <w:lang w:val="en-US"/>
          </w:rPr>
          <w:id w:val="-1112657867"/>
          <w:citation/>
        </w:sdtPr>
        <w:sdtContent>
          <w:r w:rsidR="00FB0C6B" w:rsidRPr="00DD1B58">
            <w:rPr>
              <w:rFonts w:eastAsia="Arial"/>
              <w:noProof/>
              <w:szCs w:val="24"/>
              <w:lang w:val="en-US"/>
            </w:rPr>
            <w:fldChar w:fldCharType="begin"/>
          </w:r>
          <w:r w:rsidR="00FB0C6B" w:rsidRPr="00DD1B58">
            <w:rPr>
              <w:rFonts w:eastAsia="Arial"/>
              <w:noProof/>
              <w:szCs w:val="24"/>
              <w:lang w:val="en-US"/>
            </w:rPr>
            <w:instrText xml:space="preserve"> CITATION Off20 \l 2057 </w:instrText>
          </w:r>
          <w:r w:rsidR="00FB0C6B" w:rsidRPr="00DD1B58">
            <w:rPr>
              <w:rFonts w:eastAsia="Arial"/>
              <w:noProof/>
              <w:szCs w:val="24"/>
              <w:lang w:val="en-US"/>
            </w:rPr>
            <w:fldChar w:fldCharType="separate"/>
          </w:r>
          <w:r w:rsidR="00DF47DA" w:rsidRPr="00DF47DA">
            <w:rPr>
              <w:rFonts w:eastAsia="Arial"/>
              <w:noProof/>
              <w:szCs w:val="24"/>
              <w:lang w:val="en-US"/>
            </w:rPr>
            <w:t>[15]</w:t>
          </w:r>
          <w:r w:rsidR="00FB0C6B" w:rsidRPr="00DD1B58">
            <w:rPr>
              <w:rFonts w:eastAsia="Arial"/>
              <w:noProof/>
              <w:szCs w:val="24"/>
              <w:lang w:val="en-US"/>
            </w:rPr>
            <w:fldChar w:fldCharType="end"/>
          </w:r>
        </w:sdtContent>
      </w:sdt>
      <w:r w:rsidR="00FB0C6B" w:rsidRPr="00DD1B58">
        <w:rPr>
          <w:rFonts w:eastAsia="Arial"/>
          <w:noProof/>
          <w:szCs w:val="24"/>
          <w:lang w:val="en-US"/>
        </w:rPr>
        <w:t xml:space="preserve"> </w:t>
      </w:r>
      <w:r w:rsidRPr="00DD1B58">
        <w:rPr>
          <w:rFonts w:eastAsia="Arial"/>
          <w:noProof/>
          <w:szCs w:val="24"/>
          <w:lang w:val="en-US"/>
        </w:rPr>
        <w:t>are satisfied for the most modern station. For HY2 a small number of claims are made on fire detection systems in the safety room and the pile cap</w:t>
      </w:r>
      <w:r w:rsidR="00D677EF" w:rsidRPr="00DD1B58">
        <w:rPr>
          <w:rFonts w:eastAsia="Arial"/>
          <w:noProof/>
          <w:szCs w:val="24"/>
          <w:lang w:val="en-US"/>
        </w:rPr>
        <w:t>,</w:t>
      </w:r>
      <w:r w:rsidRPr="00DD1B58">
        <w:rPr>
          <w:rFonts w:eastAsia="Arial"/>
          <w:noProof/>
          <w:szCs w:val="24"/>
          <w:lang w:val="en-US"/>
        </w:rPr>
        <w:t xml:space="preserve"> whereas for HNB the nuclear safety case relies upon the fire detection system. Whilst this does not meet the ONR expectations on the hierarchy of controls</w:t>
      </w:r>
      <w:r w:rsidR="00D677EF" w:rsidRPr="00DD1B58">
        <w:rPr>
          <w:rFonts w:eastAsia="Arial"/>
          <w:noProof/>
          <w:szCs w:val="24"/>
          <w:lang w:val="en-US"/>
        </w:rPr>
        <w:t xml:space="preserve"> (due preference to be given to passive measures incl. fire containment approach)</w:t>
      </w:r>
      <w:r w:rsidRPr="00DD1B58">
        <w:rPr>
          <w:rFonts w:eastAsia="Arial"/>
          <w:noProof/>
          <w:szCs w:val="24"/>
          <w:lang w:val="en-US"/>
        </w:rPr>
        <w:t xml:space="preserve">, EDF NGL describes how suitable measures have been taken to add additional compartmentation and lines of protection so that the station can tolerate full compartment burn out (as described in section I-2.1.1.2). </w:t>
      </w:r>
    </w:p>
    <w:p w14:paraId="0179734E" w14:textId="40935B7C" w:rsidR="7CA041AC" w:rsidRPr="00DD1B58" w:rsidRDefault="7CA041AC">
      <w:pPr>
        <w:rPr>
          <w:lang w:val="en-US"/>
        </w:rPr>
      </w:pPr>
      <w:r w:rsidRPr="00DD1B58">
        <w:rPr>
          <w:rFonts w:eastAsia="Arial"/>
          <w:noProof/>
          <w:szCs w:val="24"/>
          <w:lang w:val="en-US"/>
        </w:rPr>
        <w:t>EDF NGL notes that fire alarm and detection systems at its stations were originally designed against the British Standards of the time</w:t>
      </w:r>
      <w:r w:rsidR="00D677EF" w:rsidRPr="00DD1B58">
        <w:rPr>
          <w:rFonts w:eastAsia="Arial"/>
          <w:noProof/>
          <w:szCs w:val="24"/>
          <w:lang w:val="en-US"/>
        </w:rPr>
        <w:t>,</w:t>
      </w:r>
      <w:r w:rsidRPr="00DD1B58">
        <w:rPr>
          <w:rFonts w:eastAsia="Arial"/>
          <w:noProof/>
          <w:szCs w:val="24"/>
          <w:lang w:val="en-US"/>
        </w:rPr>
        <w:t xml:space="preserve"> but that each station has had a wide upgrade of the fire detection panels and that all new fire alarm systems are designed and commissioned by accredited companies. The licensee has also described (in section I-2.1.2) how the safety analysis assesses the risk associated with nuclear fire and identifies the requirements for designation of any fire protection systems for nuclear safety. This meets expectations of SAP EHA.16 </w:t>
      </w:r>
      <w:sdt>
        <w:sdtPr>
          <w:rPr>
            <w:rFonts w:eastAsia="Arial"/>
            <w:noProof/>
            <w:szCs w:val="24"/>
            <w:lang w:val="en-US"/>
          </w:rPr>
          <w:id w:val="-584920709"/>
          <w:citation/>
        </w:sdtPr>
        <w:sdtContent>
          <w:r w:rsidR="00FB0C6B" w:rsidRPr="00DD1B58">
            <w:rPr>
              <w:rFonts w:eastAsia="Arial"/>
              <w:noProof/>
              <w:szCs w:val="24"/>
              <w:lang w:val="en-US"/>
            </w:rPr>
            <w:fldChar w:fldCharType="begin"/>
          </w:r>
          <w:r w:rsidR="00FB0C6B" w:rsidRPr="00DD1B58">
            <w:rPr>
              <w:rFonts w:eastAsia="Arial"/>
              <w:noProof/>
              <w:szCs w:val="24"/>
              <w:lang w:val="en-US"/>
            </w:rPr>
            <w:instrText xml:space="preserve"> CITATION Off20 \l 2057 </w:instrText>
          </w:r>
          <w:r w:rsidR="00FB0C6B" w:rsidRPr="00DD1B58">
            <w:rPr>
              <w:rFonts w:eastAsia="Arial"/>
              <w:noProof/>
              <w:szCs w:val="24"/>
              <w:lang w:val="en-US"/>
            </w:rPr>
            <w:fldChar w:fldCharType="separate"/>
          </w:r>
          <w:r w:rsidR="00DF47DA" w:rsidRPr="00DF47DA">
            <w:rPr>
              <w:rFonts w:eastAsia="Arial"/>
              <w:noProof/>
              <w:szCs w:val="24"/>
              <w:lang w:val="en-US"/>
            </w:rPr>
            <w:t>[15]</w:t>
          </w:r>
          <w:r w:rsidR="00FB0C6B" w:rsidRPr="00DD1B58">
            <w:rPr>
              <w:rFonts w:eastAsia="Arial"/>
              <w:noProof/>
              <w:szCs w:val="24"/>
              <w:lang w:val="en-US"/>
            </w:rPr>
            <w:fldChar w:fldCharType="end"/>
          </w:r>
        </w:sdtContent>
      </w:sdt>
      <w:r w:rsidRPr="00DD1B58">
        <w:rPr>
          <w:rFonts w:eastAsia="Arial"/>
          <w:noProof/>
          <w:szCs w:val="24"/>
          <w:lang w:val="en-US"/>
        </w:rPr>
        <w:t xml:space="preserve"> and SRL SV 6.8 that the fire detection, alarm and extinguishing systems provided should be commensurate with the fire hazard scenarios stipulated in the safety case and should be appropriately categorised and classified. </w:t>
      </w:r>
    </w:p>
    <w:p w14:paraId="2B491695" w14:textId="5E5FB902" w:rsidR="7CA041AC" w:rsidRPr="00DD1B58" w:rsidRDefault="7CA041AC">
      <w:pPr>
        <w:rPr>
          <w:lang w:val="en-US"/>
        </w:rPr>
      </w:pPr>
      <w:r w:rsidRPr="00DD1B58">
        <w:rPr>
          <w:rFonts w:eastAsia="Arial"/>
          <w:noProof/>
          <w:szCs w:val="24"/>
          <w:lang w:val="en-US"/>
        </w:rPr>
        <w:t>EDF NGL places claims on fire suppression in the candidate facilities (and across the estate) particularly in relation to fires in cable trays and in specific oil/diesel fire scenarios. This provision is consistent with SAP EHA.16 and IAEA SSG-64</w:t>
      </w:r>
      <w:r w:rsidR="009768D3" w:rsidRPr="00DD1B58">
        <w:rPr>
          <w:rFonts w:eastAsia="Arial"/>
          <w:noProof/>
          <w:szCs w:val="24"/>
          <w:lang w:val="en-US"/>
        </w:rPr>
        <w:t xml:space="preserve"> </w:t>
      </w:r>
      <w:sdt>
        <w:sdtPr>
          <w:rPr>
            <w:rFonts w:eastAsia="Arial"/>
            <w:noProof/>
            <w:szCs w:val="24"/>
            <w:lang w:val="en-US"/>
          </w:rPr>
          <w:id w:val="2075692605"/>
          <w:citation/>
        </w:sdtPr>
        <w:sdtContent>
          <w:r w:rsidR="006317B3" w:rsidRPr="00DD1B58">
            <w:rPr>
              <w:rFonts w:eastAsia="Arial"/>
              <w:noProof/>
              <w:szCs w:val="24"/>
              <w:lang w:val="en-US"/>
            </w:rPr>
            <w:fldChar w:fldCharType="begin"/>
          </w:r>
          <w:r w:rsidR="006317B3" w:rsidRPr="00DD1B58">
            <w:rPr>
              <w:rFonts w:eastAsia="Arial"/>
              <w:noProof/>
              <w:szCs w:val="24"/>
              <w:lang w:val="en-US"/>
            </w:rPr>
            <w:instrText xml:space="preserve"> CITATION IAE5 \l 2057 </w:instrText>
          </w:r>
          <w:r w:rsidR="006317B3" w:rsidRPr="00DD1B58">
            <w:rPr>
              <w:rFonts w:eastAsia="Arial"/>
              <w:noProof/>
              <w:szCs w:val="24"/>
              <w:lang w:val="en-US"/>
            </w:rPr>
            <w:fldChar w:fldCharType="separate"/>
          </w:r>
          <w:r w:rsidR="00DF47DA" w:rsidRPr="00DF47DA">
            <w:rPr>
              <w:rFonts w:eastAsia="Arial"/>
              <w:noProof/>
              <w:szCs w:val="24"/>
              <w:lang w:val="en-US"/>
            </w:rPr>
            <w:t>[17]</w:t>
          </w:r>
          <w:r w:rsidR="006317B3" w:rsidRPr="00DD1B58">
            <w:rPr>
              <w:rFonts w:eastAsia="Arial"/>
              <w:noProof/>
              <w:szCs w:val="24"/>
              <w:lang w:val="en-US"/>
            </w:rPr>
            <w:fldChar w:fldCharType="end"/>
          </w:r>
        </w:sdtContent>
      </w:sdt>
      <w:r w:rsidR="00906E9E" w:rsidRPr="00DD1B58">
        <w:rPr>
          <w:rFonts w:eastAsia="Arial"/>
          <w:noProof/>
          <w:szCs w:val="24"/>
          <w:lang w:val="en-US"/>
        </w:rPr>
        <w:t xml:space="preserve"> </w:t>
      </w:r>
      <w:r w:rsidRPr="00DD1B58">
        <w:rPr>
          <w:rFonts w:eastAsia="Arial"/>
          <w:noProof/>
          <w:szCs w:val="24"/>
          <w:lang w:val="en-US"/>
        </w:rPr>
        <w:t xml:space="preserve"> which </w:t>
      </w:r>
      <w:r w:rsidR="009768D3" w:rsidRPr="00DD1B58">
        <w:rPr>
          <w:rFonts w:eastAsia="Arial"/>
          <w:noProof/>
          <w:szCs w:val="24"/>
          <w:lang w:val="en-US"/>
        </w:rPr>
        <w:t xml:space="preserve">recommend </w:t>
      </w:r>
      <w:r w:rsidRPr="00DD1B58">
        <w:rPr>
          <w:rFonts w:eastAsia="Arial"/>
          <w:noProof/>
          <w:szCs w:val="24"/>
          <w:lang w:val="en-US"/>
        </w:rPr>
        <w:t xml:space="preserve">that fire suppression should be installed to quickly detect and extinguish those fires which do start. </w:t>
      </w:r>
    </w:p>
    <w:p w14:paraId="2DF42228" w14:textId="1E533A85" w:rsidR="7CA041AC" w:rsidRPr="00DD1B58" w:rsidRDefault="7CA041AC" w:rsidP="3FE0E35C">
      <w:pPr>
        <w:rPr>
          <w:rFonts w:eastAsia="Arial"/>
          <w:noProof/>
          <w:szCs w:val="24"/>
          <w:lang w:val="en-US"/>
        </w:rPr>
      </w:pPr>
      <w:r w:rsidRPr="00DD1B58">
        <w:rPr>
          <w:rFonts w:eastAsia="Arial"/>
          <w:noProof/>
          <w:szCs w:val="24"/>
          <w:lang w:val="en-US"/>
        </w:rPr>
        <w:t>Section I-3.2.3.2 describes the fire and rescue service provision on the sites</w:t>
      </w:r>
      <w:r w:rsidR="0049632B" w:rsidRPr="00DD1B58">
        <w:rPr>
          <w:rFonts w:eastAsia="Arial"/>
          <w:noProof/>
          <w:szCs w:val="24"/>
          <w:lang w:val="en-US"/>
        </w:rPr>
        <w:t xml:space="preserve"> which </w:t>
      </w:r>
      <w:r w:rsidRPr="00DD1B58">
        <w:rPr>
          <w:rFonts w:eastAsia="Arial"/>
          <w:noProof/>
          <w:szCs w:val="24"/>
          <w:lang w:val="en-US"/>
        </w:rPr>
        <w:t xml:space="preserve">ONR judges to be a strength of the EDF NGL case. While fire service intervention is not credited in the fire hazard analyses, demonstration of robust arrangements for onsite firefighting and coordination with local fire and rescue services </w:t>
      </w:r>
      <w:r w:rsidR="0049632B" w:rsidRPr="00DD1B58">
        <w:rPr>
          <w:rFonts w:eastAsia="Arial"/>
          <w:noProof/>
          <w:szCs w:val="24"/>
          <w:lang w:val="en-US"/>
        </w:rPr>
        <w:t>provides</w:t>
      </w:r>
      <w:r w:rsidRPr="00DD1B58">
        <w:rPr>
          <w:rFonts w:eastAsia="Arial"/>
          <w:noProof/>
          <w:szCs w:val="24"/>
          <w:lang w:val="en-US"/>
        </w:rPr>
        <w:t xml:space="preserve"> defence in depth. ONR judges this to meet the expectations of SRL SV 6.12, 6.13 and 6.14. In addition, the expectations of IAEA SSR-2/2 </w:t>
      </w:r>
      <w:sdt>
        <w:sdtPr>
          <w:rPr>
            <w:rFonts w:eastAsia="Arial"/>
            <w:noProof/>
            <w:szCs w:val="24"/>
            <w:lang w:val="en-US"/>
          </w:rPr>
          <w:id w:val="875513374"/>
          <w:citation/>
        </w:sdtPr>
        <w:sdtContent>
          <w:r w:rsidR="006317B3" w:rsidRPr="00DD1B58">
            <w:rPr>
              <w:rFonts w:eastAsia="Arial"/>
              <w:noProof/>
              <w:szCs w:val="24"/>
              <w:lang w:val="en-US"/>
            </w:rPr>
            <w:fldChar w:fldCharType="begin"/>
          </w:r>
          <w:r w:rsidR="006317B3" w:rsidRPr="00DD1B58">
            <w:rPr>
              <w:rFonts w:eastAsia="Arial"/>
              <w:noProof/>
              <w:szCs w:val="24"/>
              <w:lang w:val="en-US"/>
            </w:rPr>
            <w:instrText xml:space="preserve"> CITATION IAE161 \l 2057 </w:instrText>
          </w:r>
          <w:r w:rsidR="006317B3" w:rsidRPr="00DD1B58">
            <w:rPr>
              <w:rFonts w:eastAsia="Arial"/>
              <w:noProof/>
              <w:szCs w:val="24"/>
              <w:lang w:val="en-US"/>
            </w:rPr>
            <w:fldChar w:fldCharType="separate"/>
          </w:r>
          <w:r w:rsidR="00DF47DA" w:rsidRPr="00DF47DA">
            <w:rPr>
              <w:rFonts w:eastAsia="Arial"/>
              <w:noProof/>
              <w:szCs w:val="24"/>
              <w:lang w:val="en-US"/>
            </w:rPr>
            <w:t>[69]</w:t>
          </w:r>
          <w:r w:rsidR="006317B3" w:rsidRPr="00DD1B58">
            <w:rPr>
              <w:rFonts w:eastAsia="Arial"/>
              <w:noProof/>
              <w:szCs w:val="24"/>
              <w:lang w:val="en-US"/>
            </w:rPr>
            <w:fldChar w:fldCharType="end"/>
          </w:r>
        </w:sdtContent>
      </w:sdt>
      <w:r w:rsidR="006317B3" w:rsidRPr="00DD1B58">
        <w:rPr>
          <w:rFonts w:eastAsia="Arial"/>
          <w:noProof/>
          <w:szCs w:val="24"/>
          <w:lang w:val="en-US"/>
        </w:rPr>
        <w:t xml:space="preserve"> </w:t>
      </w:r>
      <w:r w:rsidRPr="00DD1B58">
        <w:rPr>
          <w:rFonts w:eastAsia="Arial"/>
          <w:noProof/>
          <w:szCs w:val="24"/>
          <w:lang w:val="en-US"/>
        </w:rPr>
        <w:t>(for nuclear power plants being commissioned or operated) that “periodic joint fire drills and exercises shall be conducted to assess the effectiveness of the fire response capability” are shown to be met.</w:t>
      </w:r>
    </w:p>
    <w:p w14:paraId="09CF1736" w14:textId="77777777" w:rsidR="00E82F9C" w:rsidRPr="00DD1B58" w:rsidRDefault="00BC2A08"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4ADF4B19" w14:textId="4C20515E" w:rsidR="5F92A4F4" w:rsidRPr="00DD1B58" w:rsidRDefault="00EB3E4B" w:rsidP="39260F63">
      <w:pPr>
        <w:rPr>
          <w:rFonts w:eastAsia="Arial"/>
          <w:noProof/>
          <w:szCs w:val="24"/>
          <w:lang w:val="en-US"/>
        </w:rPr>
      </w:pPr>
      <w:r w:rsidRPr="00DD1B58">
        <w:rPr>
          <w:rFonts w:eastAsia="Arial"/>
          <w:lang w:val="en-US"/>
        </w:rPr>
        <w:t xml:space="preserve">During a fire safety </w:t>
      </w:r>
      <w:r w:rsidR="7F8C0892" w:rsidRPr="00DD1B58">
        <w:rPr>
          <w:rFonts w:eastAsia="Arial"/>
          <w:lang w:val="en-US"/>
        </w:rPr>
        <w:t xml:space="preserve">inspection </w:t>
      </w:r>
      <w:sdt>
        <w:sdtPr>
          <w:rPr>
            <w:rFonts w:eastAsia="Arial"/>
            <w:lang w:val="en-US"/>
          </w:rPr>
          <w:id w:val="-515535781"/>
          <w:citation/>
        </w:sdtPr>
        <w:sdtContent>
          <w:r w:rsidR="0031073F" w:rsidRPr="00DD1B58">
            <w:rPr>
              <w:rFonts w:eastAsia="Arial"/>
              <w:lang w:val="en-US"/>
            </w:rPr>
            <w:fldChar w:fldCharType="begin"/>
          </w:r>
          <w:r w:rsidR="0031073F" w:rsidRPr="00DD1B58">
            <w:rPr>
              <w:rFonts w:eastAsia="Arial"/>
              <w:lang w:val="en-US"/>
            </w:rPr>
            <w:instrText xml:space="preserve"> CITATION ONR231 \l 2057 </w:instrText>
          </w:r>
          <w:r w:rsidR="0031073F" w:rsidRPr="00DD1B58">
            <w:rPr>
              <w:rFonts w:eastAsia="Arial"/>
              <w:lang w:val="en-US"/>
            </w:rPr>
            <w:fldChar w:fldCharType="separate"/>
          </w:r>
          <w:r w:rsidR="00DF47DA" w:rsidRPr="00DF47DA">
            <w:rPr>
              <w:rFonts w:eastAsia="Arial"/>
              <w:noProof/>
              <w:lang w:val="en-US"/>
            </w:rPr>
            <w:t>[45]</w:t>
          </w:r>
          <w:r w:rsidR="0031073F" w:rsidRPr="00DD1B58">
            <w:rPr>
              <w:rFonts w:eastAsia="Arial"/>
              <w:lang w:val="en-US"/>
            </w:rPr>
            <w:fldChar w:fldCharType="end"/>
          </w:r>
        </w:sdtContent>
      </w:sdt>
      <w:r w:rsidR="0031073F" w:rsidRPr="00DD1B58">
        <w:rPr>
          <w:rFonts w:eastAsia="Arial"/>
          <w:lang w:val="en-US"/>
        </w:rPr>
        <w:t xml:space="preserve"> </w:t>
      </w:r>
      <w:r w:rsidR="7F8C0892" w:rsidRPr="00DD1B58">
        <w:rPr>
          <w:rFonts w:eastAsia="Arial"/>
          <w:lang w:val="en-US"/>
        </w:rPr>
        <w:t>of the Torness</w:t>
      </w:r>
      <w:r w:rsidR="0049632B" w:rsidRPr="00DD1B58">
        <w:rPr>
          <w:rFonts w:eastAsia="Arial"/>
          <w:lang w:val="en-US"/>
        </w:rPr>
        <w:t xml:space="preserve"> AGR (a second generation AGR </w:t>
      </w:r>
      <w:r w:rsidR="0004680F" w:rsidRPr="00DD1B58">
        <w:rPr>
          <w:rFonts w:eastAsia="Arial"/>
          <w:lang w:val="en-US"/>
        </w:rPr>
        <w:t xml:space="preserve">and </w:t>
      </w:r>
      <w:r w:rsidR="0049632B" w:rsidRPr="00DD1B58">
        <w:rPr>
          <w:rFonts w:eastAsia="Arial"/>
          <w:lang w:val="en-US"/>
        </w:rPr>
        <w:t>“sister” station to HY2</w:t>
      </w:r>
      <w:r w:rsidR="0004680F" w:rsidRPr="00DD1B58">
        <w:rPr>
          <w:rFonts w:eastAsia="Arial"/>
          <w:lang w:val="en-US"/>
        </w:rPr>
        <w:t>,</w:t>
      </w:r>
      <w:r w:rsidRPr="00DD1B58">
        <w:rPr>
          <w:rFonts w:eastAsia="Arial"/>
          <w:lang w:val="en-US"/>
        </w:rPr>
        <w:t xml:space="preserve"> ONR identified</w:t>
      </w:r>
      <w:r w:rsidR="7F8C0892" w:rsidRPr="00DD1B58">
        <w:rPr>
          <w:rFonts w:eastAsia="Arial"/>
          <w:lang w:val="en-US"/>
        </w:rPr>
        <w:t xml:space="preserve"> </w:t>
      </w:r>
      <w:r w:rsidRPr="00DD1B58">
        <w:rPr>
          <w:rFonts w:eastAsia="Arial"/>
          <w:lang w:val="en-US"/>
        </w:rPr>
        <w:t>shortfalls in licensee’s compliance with</w:t>
      </w:r>
      <w:r w:rsidR="00D205C7" w:rsidRPr="00DD1B58">
        <w:rPr>
          <w:rFonts w:eastAsia="Arial"/>
          <w:lang w:val="en-US"/>
        </w:rPr>
        <w:t xml:space="preserve"> LC28 </w:t>
      </w:r>
      <w:r w:rsidR="00841390" w:rsidRPr="00DD1B58">
        <w:rPr>
          <w:rFonts w:eastAsia="Arial"/>
          <w:lang w:val="en-US"/>
        </w:rPr>
        <w:t>(Examination, inspection, maintenance and testing)</w:t>
      </w:r>
      <w:r w:rsidR="00711B73" w:rsidRPr="00DD1B58">
        <w:rPr>
          <w:rFonts w:eastAsia="Arial"/>
          <w:lang w:val="en-US"/>
        </w:rPr>
        <w:t>. T</w:t>
      </w:r>
      <w:r w:rsidR="00841390" w:rsidRPr="00DD1B58">
        <w:rPr>
          <w:rFonts w:eastAsia="Arial"/>
          <w:lang w:val="en-US"/>
        </w:rPr>
        <w:t xml:space="preserve">his is because </w:t>
      </w:r>
      <w:r w:rsidR="0085058E" w:rsidRPr="00DD1B58">
        <w:rPr>
          <w:rFonts w:eastAsia="Arial"/>
          <w:lang w:val="en-US"/>
        </w:rPr>
        <w:t>EDF NGL’s</w:t>
      </w:r>
      <w:r w:rsidR="00841390" w:rsidRPr="00DD1B58">
        <w:rPr>
          <w:rFonts w:eastAsia="Arial"/>
          <w:lang w:val="en-US"/>
        </w:rPr>
        <w:t xml:space="preserve"> fire damper maintenance records </w:t>
      </w:r>
      <w:r w:rsidR="00C666AC" w:rsidRPr="00DD1B58">
        <w:rPr>
          <w:rFonts w:eastAsia="Arial"/>
          <w:lang w:val="en-US"/>
        </w:rPr>
        <w:t>of the administration building (non-nuclear)</w:t>
      </w:r>
      <w:r w:rsidR="00407268" w:rsidRPr="00DD1B58">
        <w:rPr>
          <w:rFonts w:eastAsia="Arial"/>
          <w:lang w:val="en-US"/>
        </w:rPr>
        <w:t xml:space="preserve"> </w:t>
      </w:r>
      <w:r w:rsidR="00841390" w:rsidRPr="00DD1B58">
        <w:rPr>
          <w:rFonts w:eastAsia="Arial"/>
          <w:lang w:val="en-US"/>
        </w:rPr>
        <w:t xml:space="preserve">sampled by ONR </w:t>
      </w:r>
      <w:r w:rsidR="0085058E" w:rsidRPr="00DD1B58">
        <w:rPr>
          <w:rFonts w:eastAsia="Arial"/>
          <w:lang w:val="en-US"/>
        </w:rPr>
        <w:t>contained</w:t>
      </w:r>
      <w:r w:rsidR="00841390" w:rsidRPr="00DD1B58">
        <w:rPr>
          <w:rFonts w:eastAsia="Arial"/>
          <w:lang w:val="en-US"/>
        </w:rPr>
        <w:t xml:space="preserve"> evidence of visual inspections only. </w:t>
      </w:r>
      <w:r w:rsidR="009658B1" w:rsidRPr="00DD1B58">
        <w:rPr>
          <w:rFonts w:eastAsia="Arial"/>
          <w:lang w:val="en-US"/>
        </w:rPr>
        <w:t>ONR also raised regulatory issues related to life fire safety</w:t>
      </w:r>
      <w:r w:rsidR="00E9625E" w:rsidRPr="00DD1B58">
        <w:rPr>
          <w:rFonts w:eastAsia="Arial"/>
          <w:lang w:val="en-US"/>
        </w:rPr>
        <w:t xml:space="preserve">: these were primarily EDF NGL’s </w:t>
      </w:r>
      <w:r w:rsidR="009658B1" w:rsidRPr="00DD1B58">
        <w:rPr>
          <w:lang w:val="en-US"/>
        </w:rPr>
        <w:t xml:space="preserve">review of </w:t>
      </w:r>
      <w:r w:rsidR="00E9625E" w:rsidRPr="00DD1B58">
        <w:rPr>
          <w:lang w:val="en-US"/>
        </w:rPr>
        <w:t>the station</w:t>
      </w:r>
      <w:r w:rsidR="0085058E" w:rsidRPr="00DD1B58">
        <w:rPr>
          <w:lang w:val="en-US"/>
        </w:rPr>
        <w:t>’s</w:t>
      </w:r>
      <w:r w:rsidR="00E9625E" w:rsidRPr="00DD1B58">
        <w:rPr>
          <w:lang w:val="en-US"/>
        </w:rPr>
        <w:t xml:space="preserve"> </w:t>
      </w:r>
      <w:r w:rsidR="009658B1" w:rsidRPr="00DD1B58">
        <w:rPr>
          <w:lang w:val="en-US"/>
        </w:rPr>
        <w:t>FRAs were outside of timescales set by EDF-NGL’s arrangements</w:t>
      </w:r>
      <w:r w:rsidR="0085058E" w:rsidRPr="00DD1B58">
        <w:rPr>
          <w:rFonts w:eastAsia="Arial"/>
          <w:lang w:val="en-US"/>
        </w:rPr>
        <w:t xml:space="preserve"> and</w:t>
      </w:r>
      <w:r w:rsidR="009D7684" w:rsidRPr="00DD1B58">
        <w:rPr>
          <w:rFonts w:eastAsia="Arial"/>
          <w:lang w:val="en-US"/>
        </w:rPr>
        <w:t xml:space="preserve"> </w:t>
      </w:r>
      <w:r w:rsidR="00E9625E" w:rsidRPr="00DD1B58">
        <w:rPr>
          <w:rFonts w:eastAsia="Arial"/>
          <w:lang w:val="en-US"/>
        </w:rPr>
        <w:t>fire compartmentation shortfalls in an administration building</w:t>
      </w:r>
      <w:r w:rsidR="0085058E" w:rsidRPr="00DD1B58">
        <w:rPr>
          <w:rFonts w:eastAsia="Arial"/>
          <w:lang w:val="en-US"/>
        </w:rPr>
        <w:t xml:space="preserve">. </w:t>
      </w:r>
      <w:r w:rsidR="7F8C0892" w:rsidRPr="00DD1B58">
        <w:rPr>
          <w:rFonts w:eastAsia="Arial"/>
          <w:lang w:val="en-US"/>
        </w:rPr>
        <w:t xml:space="preserve">EDF NGL </w:t>
      </w:r>
      <w:r w:rsidR="08DA07BD" w:rsidRPr="00DD1B58">
        <w:rPr>
          <w:rFonts w:eastAsia="Arial"/>
          <w:noProof/>
          <w:lang w:val="en-US"/>
        </w:rPr>
        <w:t xml:space="preserve">has </w:t>
      </w:r>
      <w:r w:rsidR="7F8C0892" w:rsidRPr="00DD1B58">
        <w:rPr>
          <w:rFonts w:eastAsia="Arial"/>
          <w:lang w:val="en-US"/>
        </w:rPr>
        <w:t xml:space="preserve">committed to </w:t>
      </w:r>
      <w:r w:rsidR="07BED929" w:rsidRPr="00DD1B58">
        <w:rPr>
          <w:rFonts w:eastAsia="Arial"/>
          <w:noProof/>
          <w:lang w:val="en-US"/>
        </w:rPr>
        <w:t>rectifying these shortfalls</w:t>
      </w:r>
      <w:r w:rsidR="0085058E" w:rsidRPr="00DD1B58">
        <w:rPr>
          <w:rFonts w:eastAsia="Arial"/>
          <w:lang w:val="en-US"/>
        </w:rPr>
        <w:t xml:space="preserve"> and ONR is monitoring progress through </w:t>
      </w:r>
      <w:r w:rsidR="00314914" w:rsidRPr="00DD1B58">
        <w:rPr>
          <w:rFonts w:eastAsia="Arial"/>
          <w:lang w:val="en-US"/>
        </w:rPr>
        <w:t>L</w:t>
      </w:r>
      <w:r w:rsidR="0085058E" w:rsidRPr="00DD1B58">
        <w:rPr>
          <w:rFonts w:eastAsia="Arial"/>
          <w:lang w:val="en-US"/>
        </w:rPr>
        <w:t xml:space="preserve">evel 3 and </w:t>
      </w:r>
      <w:r w:rsidR="00314914" w:rsidRPr="00DD1B58">
        <w:rPr>
          <w:rFonts w:eastAsia="Arial"/>
          <w:lang w:val="en-US"/>
        </w:rPr>
        <w:t>L</w:t>
      </w:r>
      <w:r w:rsidR="0085058E" w:rsidRPr="00DD1B58">
        <w:rPr>
          <w:rFonts w:eastAsia="Arial"/>
          <w:lang w:val="en-US"/>
        </w:rPr>
        <w:t>evel 4 regulatory issues</w:t>
      </w:r>
      <w:r w:rsidR="0085058E" w:rsidRPr="00DD1B58">
        <w:rPr>
          <w:rFonts w:eastAsia="Arial"/>
          <w:noProof/>
          <w:szCs w:val="24"/>
          <w:lang w:val="en-US"/>
        </w:rPr>
        <w:t>. In addition to the above, ONR carried out l</w:t>
      </w:r>
      <w:r w:rsidR="7F8C0892" w:rsidRPr="00DD1B58">
        <w:rPr>
          <w:rFonts w:eastAsia="Arial"/>
          <w:noProof/>
          <w:szCs w:val="24"/>
          <w:lang w:val="en-US"/>
        </w:rPr>
        <w:t xml:space="preserve">ife fire safety inspections carried out at </w:t>
      </w:r>
      <w:r w:rsidR="003D09E8" w:rsidRPr="00DD1B58">
        <w:rPr>
          <w:rFonts w:eastAsia="Arial"/>
          <w:noProof/>
          <w:szCs w:val="24"/>
          <w:lang w:val="en-US"/>
        </w:rPr>
        <w:t xml:space="preserve">HNB </w:t>
      </w:r>
      <w:sdt>
        <w:sdtPr>
          <w:rPr>
            <w:rFonts w:eastAsia="Arial"/>
            <w:noProof/>
            <w:szCs w:val="24"/>
            <w:lang w:val="en-US"/>
          </w:rPr>
          <w:id w:val="784699426"/>
          <w:citation/>
        </w:sdtPr>
        <w:sdtContent>
          <w:r w:rsidR="003D09E8" w:rsidRPr="00DD1B58">
            <w:rPr>
              <w:rFonts w:eastAsia="Arial"/>
              <w:noProof/>
              <w:szCs w:val="24"/>
              <w:lang w:val="en-US"/>
            </w:rPr>
            <w:fldChar w:fldCharType="begin"/>
          </w:r>
          <w:r w:rsidR="005534BB" w:rsidRPr="00DD1B58">
            <w:rPr>
              <w:rFonts w:eastAsia="Arial"/>
              <w:noProof/>
              <w:szCs w:val="24"/>
              <w:lang w:val="en-US"/>
            </w:rPr>
            <w:instrText xml:space="preserve">CITATION ONR202 \l 2057 </w:instrText>
          </w:r>
          <w:r w:rsidR="003D09E8" w:rsidRPr="00DD1B58">
            <w:rPr>
              <w:rFonts w:eastAsia="Arial"/>
              <w:noProof/>
              <w:szCs w:val="24"/>
              <w:lang w:val="en-US"/>
            </w:rPr>
            <w:fldChar w:fldCharType="separate"/>
          </w:r>
          <w:r w:rsidR="00DF47DA" w:rsidRPr="00DF47DA">
            <w:rPr>
              <w:rFonts w:eastAsia="Arial"/>
              <w:noProof/>
              <w:szCs w:val="24"/>
              <w:lang w:val="en-US"/>
            </w:rPr>
            <w:t>[162]</w:t>
          </w:r>
          <w:r w:rsidR="003D09E8" w:rsidRPr="00DD1B58">
            <w:rPr>
              <w:rFonts w:eastAsia="Arial"/>
              <w:noProof/>
              <w:szCs w:val="24"/>
              <w:lang w:val="en-US"/>
            </w:rPr>
            <w:fldChar w:fldCharType="end"/>
          </w:r>
        </w:sdtContent>
      </w:sdt>
      <w:r w:rsidR="003D09E8" w:rsidRPr="00DD1B58">
        <w:rPr>
          <w:rFonts w:eastAsia="Arial"/>
          <w:noProof/>
          <w:szCs w:val="24"/>
          <w:lang w:val="en-US"/>
        </w:rPr>
        <w:t xml:space="preserve"> in 2020,</w:t>
      </w:r>
      <w:r w:rsidR="00940D2A" w:rsidRPr="00DD1B58">
        <w:rPr>
          <w:rFonts w:eastAsia="Arial"/>
          <w:noProof/>
          <w:szCs w:val="24"/>
          <w:lang w:val="en-US"/>
        </w:rPr>
        <w:t xml:space="preserve"> </w:t>
      </w:r>
      <w:r w:rsidR="7F8C0892" w:rsidRPr="00DD1B58">
        <w:rPr>
          <w:rFonts w:eastAsia="Arial"/>
          <w:noProof/>
          <w:szCs w:val="24"/>
          <w:lang w:val="en-US"/>
        </w:rPr>
        <w:t>HPB</w:t>
      </w:r>
      <w:r w:rsidR="0031073F" w:rsidRPr="00DD1B58">
        <w:rPr>
          <w:rFonts w:eastAsia="Arial"/>
          <w:noProof/>
          <w:szCs w:val="24"/>
          <w:lang w:val="en-US"/>
        </w:rPr>
        <w:t xml:space="preserve"> </w:t>
      </w:r>
      <w:sdt>
        <w:sdtPr>
          <w:rPr>
            <w:rFonts w:eastAsia="Arial"/>
            <w:noProof/>
            <w:szCs w:val="24"/>
            <w:lang w:val="en-US"/>
          </w:rPr>
          <w:id w:val="-1753968742"/>
          <w:citation/>
        </w:sdtPr>
        <w:sdtContent>
          <w:r w:rsidR="00D564F4" w:rsidRPr="00DD1B58">
            <w:rPr>
              <w:rFonts w:eastAsia="Arial"/>
              <w:noProof/>
              <w:szCs w:val="24"/>
              <w:lang w:val="en-US"/>
            </w:rPr>
            <w:fldChar w:fldCharType="begin"/>
          </w:r>
          <w:r w:rsidR="002638A8" w:rsidRPr="00DD1B58">
            <w:rPr>
              <w:rFonts w:eastAsia="Arial"/>
              <w:noProof/>
              <w:szCs w:val="24"/>
              <w:lang w:val="en-US"/>
            </w:rPr>
            <w:instrText xml:space="preserve">CITATION ONR211 \l 2057 </w:instrText>
          </w:r>
          <w:r w:rsidR="00D564F4" w:rsidRPr="00DD1B58">
            <w:rPr>
              <w:rFonts w:eastAsia="Arial"/>
              <w:noProof/>
              <w:szCs w:val="24"/>
              <w:lang w:val="en-US"/>
            </w:rPr>
            <w:fldChar w:fldCharType="separate"/>
          </w:r>
          <w:r w:rsidR="00DF47DA" w:rsidRPr="00DF47DA">
            <w:rPr>
              <w:rFonts w:eastAsia="Arial"/>
              <w:noProof/>
              <w:szCs w:val="24"/>
              <w:lang w:val="en-US"/>
            </w:rPr>
            <w:t>[163]</w:t>
          </w:r>
          <w:r w:rsidR="00D564F4" w:rsidRPr="00DD1B58">
            <w:rPr>
              <w:rFonts w:eastAsia="Arial"/>
              <w:noProof/>
              <w:szCs w:val="24"/>
              <w:lang w:val="en-US"/>
            </w:rPr>
            <w:fldChar w:fldCharType="end"/>
          </w:r>
        </w:sdtContent>
      </w:sdt>
      <w:r w:rsidR="7F8C0892" w:rsidRPr="00DD1B58">
        <w:rPr>
          <w:rFonts w:eastAsia="Arial"/>
          <w:noProof/>
          <w:szCs w:val="24"/>
          <w:lang w:val="en-US"/>
        </w:rPr>
        <w:t xml:space="preserve">, </w:t>
      </w:r>
      <w:r w:rsidR="00D61917" w:rsidRPr="00DD1B58">
        <w:rPr>
          <w:rFonts w:eastAsia="Arial"/>
          <w:noProof/>
          <w:szCs w:val="24"/>
          <w:lang w:val="en-US"/>
        </w:rPr>
        <w:t>HR</w:t>
      </w:r>
      <w:r w:rsidR="7F8C0892" w:rsidRPr="00DD1B58">
        <w:rPr>
          <w:rFonts w:eastAsia="Arial"/>
          <w:noProof/>
          <w:szCs w:val="24"/>
          <w:lang w:val="en-US"/>
        </w:rPr>
        <w:t>A</w:t>
      </w:r>
      <w:r w:rsidR="00D564F4" w:rsidRPr="00DD1B58">
        <w:rPr>
          <w:rFonts w:eastAsia="Arial"/>
          <w:noProof/>
          <w:szCs w:val="24"/>
          <w:lang w:val="en-US"/>
        </w:rPr>
        <w:t xml:space="preserve"> </w:t>
      </w:r>
      <w:sdt>
        <w:sdtPr>
          <w:rPr>
            <w:rFonts w:eastAsia="Arial"/>
            <w:noProof/>
            <w:szCs w:val="24"/>
            <w:lang w:val="en-US"/>
          </w:rPr>
          <w:id w:val="-1934892030"/>
          <w:citation/>
        </w:sdtPr>
        <w:sdtContent>
          <w:r w:rsidR="002C418C" w:rsidRPr="00DD1B58">
            <w:rPr>
              <w:rFonts w:eastAsia="Arial"/>
              <w:noProof/>
              <w:szCs w:val="24"/>
              <w:lang w:val="en-US"/>
            </w:rPr>
            <w:fldChar w:fldCharType="begin"/>
          </w:r>
          <w:r w:rsidR="00A249FB" w:rsidRPr="00DD1B58">
            <w:rPr>
              <w:rFonts w:eastAsia="Arial"/>
              <w:noProof/>
              <w:szCs w:val="24"/>
              <w:lang w:val="en-US"/>
            </w:rPr>
            <w:instrText xml:space="preserve">CITATION ONR212 \l 2057 </w:instrText>
          </w:r>
          <w:r w:rsidR="002C418C" w:rsidRPr="00DD1B58">
            <w:rPr>
              <w:rFonts w:eastAsia="Arial"/>
              <w:noProof/>
              <w:szCs w:val="24"/>
              <w:lang w:val="en-US"/>
            </w:rPr>
            <w:fldChar w:fldCharType="separate"/>
          </w:r>
          <w:r w:rsidR="00DF47DA" w:rsidRPr="00DF47DA">
            <w:rPr>
              <w:rFonts w:eastAsia="Arial"/>
              <w:noProof/>
              <w:szCs w:val="24"/>
              <w:lang w:val="en-US"/>
            </w:rPr>
            <w:t>[164]</w:t>
          </w:r>
          <w:r w:rsidR="002C418C" w:rsidRPr="00DD1B58">
            <w:rPr>
              <w:rFonts w:eastAsia="Arial"/>
              <w:noProof/>
              <w:szCs w:val="24"/>
              <w:lang w:val="en-US"/>
            </w:rPr>
            <w:fldChar w:fldCharType="end"/>
          </w:r>
        </w:sdtContent>
      </w:sdt>
      <w:r w:rsidR="003D09E8" w:rsidRPr="00DD1B58">
        <w:rPr>
          <w:rFonts w:eastAsia="Arial"/>
          <w:noProof/>
          <w:szCs w:val="24"/>
          <w:lang w:val="en-US"/>
        </w:rPr>
        <w:t xml:space="preserve"> in 2021</w:t>
      </w:r>
      <w:r w:rsidR="7F8C0892" w:rsidRPr="00DD1B58">
        <w:rPr>
          <w:rFonts w:eastAsia="Arial"/>
          <w:noProof/>
          <w:szCs w:val="24"/>
          <w:lang w:val="en-US"/>
        </w:rPr>
        <w:t xml:space="preserve">, and HY2 </w:t>
      </w:r>
      <w:sdt>
        <w:sdtPr>
          <w:rPr>
            <w:rFonts w:eastAsia="Arial"/>
            <w:noProof/>
            <w:szCs w:val="24"/>
            <w:lang w:val="en-US"/>
          </w:rPr>
          <w:id w:val="1880969471"/>
          <w:citation/>
        </w:sdtPr>
        <w:sdtContent>
          <w:r w:rsidR="001C0415" w:rsidRPr="00DD1B58">
            <w:rPr>
              <w:rFonts w:eastAsia="Arial"/>
              <w:noProof/>
              <w:szCs w:val="24"/>
              <w:lang w:val="en-US"/>
            </w:rPr>
            <w:fldChar w:fldCharType="begin"/>
          </w:r>
          <w:r w:rsidR="005534BB" w:rsidRPr="00DD1B58">
            <w:rPr>
              <w:rFonts w:eastAsia="Arial"/>
              <w:noProof/>
              <w:szCs w:val="24"/>
              <w:lang w:val="en-US"/>
            </w:rPr>
            <w:instrText xml:space="preserve">CITATION ONR225 \l 2057 </w:instrText>
          </w:r>
          <w:r w:rsidR="001C0415" w:rsidRPr="00DD1B58">
            <w:rPr>
              <w:rFonts w:eastAsia="Arial"/>
              <w:noProof/>
              <w:szCs w:val="24"/>
              <w:lang w:val="en-US"/>
            </w:rPr>
            <w:fldChar w:fldCharType="separate"/>
          </w:r>
          <w:r w:rsidR="00DF47DA" w:rsidRPr="00DF47DA">
            <w:rPr>
              <w:rFonts w:eastAsia="Arial"/>
              <w:noProof/>
              <w:szCs w:val="24"/>
              <w:lang w:val="en-US"/>
            </w:rPr>
            <w:t>[165]</w:t>
          </w:r>
          <w:r w:rsidR="001C0415" w:rsidRPr="00DD1B58">
            <w:rPr>
              <w:rFonts w:eastAsia="Arial"/>
              <w:noProof/>
              <w:szCs w:val="24"/>
              <w:lang w:val="en-US"/>
            </w:rPr>
            <w:fldChar w:fldCharType="end"/>
          </w:r>
        </w:sdtContent>
      </w:sdt>
      <w:r w:rsidR="7F8C0892" w:rsidRPr="00DD1B58">
        <w:rPr>
          <w:rFonts w:eastAsia="Arial"/>
          <w:noProof/>
          <w:szCs w:val="24"/>
          <w:lang w:val="en-US"/>
        </w:rPr>
        <w:t xml:space="preserve"> in 2022</w:t>
      </w:r>
      <w:r w:rsidR="00314914" w:rsidRPr="00DD1B58">
        <w:rPr>
          <w:rFonts w:eastAsia="Arial"/>
          <w:noProof/>
          <w:szCs w:val="24"/>
          <w:lang w:val="en-US"/>
        </w:rPr>
        <w:t xml:space="preserve">, </w:t>
      </w:r>
      <w:r w:rsidR="7F8C0892" w:rsidRPr="00DD1B58">
        <w:rPr>
          <w:rFonts w:eastAsia="Arial"/>
          <w:noProof/>
          <w:szCs w:val="24"/>
          <w:lang w:val="en-US"/>
        </w:rPr>
        <w:t>all rated green</w:t>
      </w:r>
      <w:r w:rsidR="00314914" w:rsidRPr="00DD1B58">
        <w:rPr>
          <w:rFonts w:eastAsia="Arial"/>
          <w:noProof/>
          <w:szCs w:val="24"/>
          <w:lang w:val="en-US"/>
        </w:rPr>
        <w:t xml:space="preserve"> with a</w:t>
      </w:r>
      <w:r w:rsidR="7F8C0892" w:rsidRPr="00DD1B58">
        <w:rPr>
          <w:rFonts w:eastAsia="Arial"/>
          <w:noProof/>
          <w:szCs w:val="24"/>
          <w:lang w:val="en-US"/>
        </w:rPr>
        <w:t xml:space="preserve">n ONR Level 4 Regulatory Issue </w:t>
      </w:r>
      <w:r w:rsidR="00314914" w:rsidRPr="00DD1B58">
        <w:rPr>
          <w:rFonts w:eastAsia="Arial"/>
          <w:noProof/>
          <w:szCs w:val="24"/>
          <w:lang w:val="en-US"/>
        </w:rPr>
        <w:t xml:space="preserve">(lowest level) </w:t>
      </w:r>
      <w:r w:rsidR="7F8C0892" w:rsidRPr="00DD1B58">
        <w:rPr>
          <w:rFonts w:eastAsia="Arial"/>
          <w:noProof/>
          <w:szCs w:val="24"/>
          <w:lang w:val="en-US"/>
        </w:rPr>
        <w:t>was raised in relation to the siting of portable fire extinguishers for temporary accommodation units at HY2.</w:t>
      </w:r>
    </w:p>
    <w:p w14:paraId="7350DDFD" w14:textId="1F5DE7CE" w:rsidR="00CF7DDE" w:rsidRPr="00DD1B58" w:rsidRDefault="00C46E1F" w:rsidP="00177432">
      <w:pPr>
        <w:pStyle w:val="Heading4A"/>
        <w:rPr>
          <w:lang w:val="en-US"/>
        </w:rPr>
      </w:pPr>
      <w:r w:rsidRPr="00DD1B58">
        <w:rPr>
          <w:lang w:val="en-US"/>
        </w:rPr>
        <w:br w:type="page"/>
      </w:r>
      <w:r w:rsidR="00CF7DDE" w:rsidRPr="00DD1B58">
        <w:rPr>
          <w:lang w:val="en-US"/>
        </w:rPr>
        <w:t xml:space="preserve">New build </w:t>
      </w:r>
      <w:r w:rsidR="0068227F" w:rsidRPr="00DD1B58">
        <w:rPr>
          <w:lang w:val="en-US"/>
        </w:rPr>
        <w:t>f</w:t>
      </w:r>
      <w:r w:rsidR="00CF7DDE" w:rsidRPr="00DD1B58">
        <w:rPr>
          <w:lang w:val="en-US"/>
        </w:rPr>
        <w:t>acilities</w:t>
      </w:r>
      <w:r w:rsidR="00657054" w:rsidRPr="00DD1B58">
        <w:rPr>
          <w:lang w:val="en-US"/>
        </w:rPr>
        <w:t xml:space="preserve"> – NNB GenCo</w:t>
      </w:r>
    </w:p>
    <w:p w14:paraId="2912D264" w14:textId="77777777" w:rsidR="00CF7DDE" w:rsidRPr="00DD1B58" w:rsidRDefault="00CF7DDE" w:rsidP="00177432">
      <w:pPr>
        <w:pStyle w:val="Heading5A"/>
        <w:rPr>
          <w:lang w:val="en-US"/>
        </w:rPr>
      </w:pPr>
      <w:r w:rsidRPr="00DD1B58">
        <w:rPr>
          <w:lang w:val="en-US"/>
        </w:rPr>
        <w:t>Fire detection and alarm provisions</w:t>
      </w:r>
    </w:p>
    <w:p w14:paraId="521E1381" w14:textId="77777777" w:rsidR="00387CEF" w:rsidRPr="00DD1B58" w:rsidRDefault="00387CEF" w:rsidP="00387CEF">
      <w:pPr>
        <w:rPr>
          <w:lang w:val="en-US"/>
        </w:rPr>
      </w:pPr>
      <w:r w:rsidRPr="00DD1B58">
        <w:rPr>
          <w:lang w:val="en-US"/>
        </w:rPr>
        <w:t>The text in this section has been prepared by NNB GenCo, with only minor changes by ONR as described in section 1.1.2.</w:t>
      </w:r>
    </w:p>
    <w:p w14:paraId="19FC8D49" w14:textId="3E965AF8" w:rsidR="00CF7DDE" w:rsidRPr="00DD1B58" w:rsidRDefault="00CF7DDE" w:rsidP="00177432">
      <w:pPr>
        <w:pStyle w:val="Heading5A"/>
        <w:numPr>
          <w:ilvl w:val="5"/>
          <w:numId w:val="7"/>
        </w:numPr>
        <w:rPr>
          <w:lang w:val="en-US"/>
        </w:rPr>
      </w:pPr>
      <w:r w:rsidRPr="00DD1B58">
        <w:rPr>
          <w:lang w:val="en-US"/>
        </w:rPr>
        <w:t xml:space="preserve">Design </w:t>
      </w:r>
      <w:r w:rsidR="0068227F" w:rsidRPr="00DD1B58">
        <w:rPr>
          <w:lang w:val="en-US"/>
        </w:rPr>
        <w:t>a</w:t>
      </w:r>
      <w:r w:rsidRPr="00DD1B58">
        <w:rPr>
          <w:lang w:val="en-US"/>
        </w:rPr>
        <w:t>pproach</w:t>
      </w:r>
    </w:p>
    <w:p w14:paraId="05CBD861" w14:textId="69B37766" w:rsidR="00CF7DDE" w:rsidRPr="00DD1B58" w:rsidRDefault="002D23F5" w:rsidP="00441CE0">
      <w:pPr>
        <w:rPr>
          <w:lang w:val="en-US"/>
        </w:rPr>
      </w:pPr>
      <w:r w:rsidRPr="00DD1B58">
        <w:rPr>
          <w:lang w:val="en-US"/>
        </w:rPr>
        <w:t>NNB GenCo report</w:t>
      </w:r>
      <w:r w:rsidR="00DA2B2B" w:rsidRPr="00DD1B58">
        <w:rPr>
          <w:lang w:val="en-US"/>
        </w:rPr>
        <w:t>s</w:t>
      </w:r>
      <w:r w:rsidR="006D798B" w:rsidRPr="00DD1B58">
        <w:rPr>
          <w:lang w:val="en-US"/>
        </w:rPr>
        <w:t xml:space="preserve"> that</w:t>
      </w:r>
      <w:r w:rsidRPr="00DD1B58">
        <w:rPr>
          <w:lang w:val="en-US"/>
        </w:rPr>
        <w:t xml:space="preserve"> the </w:t>
      </w:r>
      <w:r w:rsidR="419FC2FF" w:rsidRPr="00DD1B58">
        <w:rPr>
          <w:lang w:val="en-US"/>
        </w:rPr>
        <w:t>Fire Detection System (JDT [FDS]) is a dedicated I&amp;C system that monitors detection, actuates fire protection actions, and monitors the state of some interfacing fire protection systems. It is essentially separate from the HPC centralised I&amp;C, the only interface being to send signals to the I&amp;C system to be displayed for information.</w:t>
      </w:r>
      <w:r w:rsidR="000D6344" w:rsidRPr="00DD1B58">
        <w:rPr>
          <w:lang w:val="en-US"/>
        </w:rPr>
        <w:t xml:space="preserve"> </w:t>
      </w:r>
      <w:r w:rsidR="419FC2FF" w:rsidRPr="00DD1B58">
        <w:rPr>
          <w:lang w:val="en-US"/>
        </w:rPr>
        <w:t>The JDT [FDS] system’s role is detecting fire, transmitting the location of the source of any detected fire, and any smoke-filled zones, to a central operator station, and initiating the appropriate fire protection equipment.</w:t>
      </w:r>
    </w:p>
    <w:p w14:paraId="313D7061" w14:textId="0AB456D6" w:rsidR="00CF7DDE" w:rsidRPr="00DD1B58" w:rsidRDefault="419FC2FF" w:rsidP="00441CE0">
      <w:pPr>
        <w:rPr>
          <w:lang w:val="en-US"/>
        </w:rPr>
      </w:pPr>
      <w:r w:rsidRPr="00DD1B58">
        <w:rPr>
          <w:lang w:val="en-US"/>
        </w:rPr>
        <w:t xml:space="preserve">The choice of detector type considers the environment in which it has to operate, such as temperature, flame, smoke, combustion gases and environmental conditions that restrict accessibility such as room temperature and humidity, ionising radiation and hazardous gases. </w:t>
      </w:r>
      <w:r w:rsidR="00A23FCE" w:rsidRPr="00DD1B58">
        <w:rPr>
          <w:lang w:val="en-US"/>
        </w:rPr>
        <w:t xml:space="preserve">NNB choses the </w:t>
      </w:r>
      <w:r w:rsidRPr="00DD1B58">
        <w:rPr>
          <w:lang w:val="en-US"/>
        </w:rPr>
        <w:t xml:space="preserve">detector type in accordance with BS 5839-1, and the general principles are summarised in </w:t>
      </w:r>
      <w:r w:rsidR="3381BF07" w:rsidRPr="00DD1B58">
        <w:rPr>
          <w:lang w:val="en-US"/>
        </w:rPr>
        <w:t xml:space="preserve">Appendix </w:t>
      </w:r>
      <w:r w:rsidR="00CD662D" w:rsidRPr="00DD1B58">
        <w:rPr>
          <w:lang w:val="en-US"/>
        </w:rPr>
        <w:t>D</w:t>
      </w:r>
      <w:r w:rsidR="007B2945" w:rsidRPr="00DD1B58">
        <w:rPr>
          <w:lang w:val="en-US"/>
        </w:rPr>
        <w:t xml:space="preserve"> </w:t>
      </w:r>
      <w:r w:rsidR="00B60A10" w:rsidRPr="00DD1B58">
        <w:rPr>
          <w:lang w:val="en-US"/>
        </w:rPr>
        <w:t>of the NAR</w:t>
      </w:r>
      <w:r w:rsidR="00CD662D" w:rsidRPr="00DD1B58">
        <w:rPr>
          <w:lang w:val="en-US"/>
        </w:rPr>
        <w:t xml:space="preserve"> </w:t>
      </w:r>
      <w:r w:rsidRPr="00DD1B58">
        <w:rPr>
          <w:lang w:val="en-US"/>
        </w:rPr>
        <w:t xml:space="preserve">(from </w:t>
      </w:r>
      <w:sdt>
        <w:sdtPr>
          <w:rPr>
            <w:lang w:val="en-US"/>
          </w:rPr>
          <w:id w:val="-1230001007"/>
          <w:citation/>
        </w:sdtPr>
        <w:sdtContent>
          <w:r w:rsidR="001879C0" w:rsidRPr="00DD1B58">
            <w:rPr>
              <w:lang w:val="en-US"/>
            </w:rPr>
            <w:fldChar w:fldCharType="begin"/>
          </w:r>
          <w:r w:rsidR="001879C0" w:rsidRPr="00DD1B58">
            <w:rPr>
              <w:lang w:val="en-US"/>
            </w:rPr>
            <w:instrText xml:space="preserve"> CITATION NNB21 \l 2057 </w:instrText>
          </w:r>
          <w:r w:rsidR="001879C0" w:rsidRPr="00DD1B58">
            <w:rPr>
              <w:lang w:val="en-US"/>
            </w:rPr>
            <w:fldChar w:fldCharType="separate"/>
          </w:r>
          <w:r w:rsidR="00DF47DA" w:rsidRPr="00DF47DA">
            <w:rPr>
              <w:noProof/>
              <w:lang w:val="en-US"/>
            </w:rPr>
            <w:t>[130]</w:t>
          </w:r>
          <w:r w:rsidR="001879C0" w:rsidRPr="00DD1B58">
            <w:rPr>
              <w:lang w:val="en-US"/>
            </w:rPr>
            <w:fldChar w:fldCharType="end"/>
          </w:r>
        </w:sdtContent>
      </w:sdt>
      <w:r w:rsidRPr="00DD1B58">
        <w:rPr>
          <w:lang w:val="en-US"/>
        </w:rPr>
        <w:t xml:space="preserve"> Table 7).</w:t>
      </w:r>
      <w:r w:rsidR="59422C03" w:rsidRPr="00DD1B58">
        <w:rPr>
          <w:lang w:val="en-US"/>
        </w:rPr>
        <w:t xml:space="preserve"> </w:t>
      </w:r>
      <w:r w:rsidR="00A23FCE" w:rsidRPr="00DD1B58">
        <w:rPr>
          <w:lang w:val="en-US"/>
        </w:rPr>
        <w:t>NNB GenCo uses d</w:t>
      </w:r>
      <w:r w:rsidR="3675BEC4" w:rsidRPr="00DD1B58">
        <w:rPr>
          <w:lang w:val="en-US"/>
        </w:rPr>
        <w:t>iverse detector types in locations where spurious activation of fire suppression systems could release water onto safety systems.</w:t>
      </w:r>
    </w:p>
    <w:p w14:paraId="1D0D0B96" w14:textId="509BD212" w:rsidR="00CF7DDE" w:rsidRPr="00DD1B58" w:rsidRDefault="3675BEC4" w:rsidP="00441CE0">
      <w:pPr>
        <w:rPr>
          <w:lang w:val="en-US"/>
        </w:rPr>
      </w:pPr>
      <w:r w:rsidRPr="00DD1B58">
        <w:rPr>
          <w:lang w:val="en-US"/>
        </w:rPr>
        <w:t xml:space="preserve">For asset protection purposes, </w:t>
      </w:r>
      <w:r w:rsidR="006835D5" w:rsidRPr="00DD1B58">
        <w:rPr>
          <w:lang w:val="en-US"/>
        </w:rPr>
        <w:t>NNB GenCo report</w:t>
      </w:r>
      <w:r w:rsidR="00DA2B2B" w:rsidRPr="00DD1B58">
        <w:rPr>
          <w:lang w:val="en-US"/>
        </w:rPr>
        <w:t>s</w:t>
      </w:r>
      <w:r w:rsidR="00D776E2" w:rsidRPr="00DD1B58">
        <w:rPr>
          <w:lang w:val="en-US"/>
        </w:rPr>
        <w:t xml:space="preserve"> that</w:t>
      </w:r>
      <w:r w:rsidR="006835D5" w:rsidRPr="00DD1B58">
        <w:rPr>
          <w:lang w:val="en-US"/>
        </w:rPr>
        <w:t xml:space="preserve"> it will provide </w:t>
      </w:r>
      <w:r w:rsidRPr="00DD1B58">
        <w:rPr>
          <w:lang w:val="en-US"/>
        </w:rPr>
        <w:t>aspirating fire detection systems to electrical plant</w:t>
      </w:r>
      <w:r w:rsidR="006835D5" w:rsidRPr="00DD1B58">
        <w:rPr>
          <w:lang w:val="en-US"/>
        </w:rPr>
        <w:t xml:space="preserve"> </w:t>
      </w:r>
      <w:r w:rsidRPr="00DD1B58">
        <w:rPr>
          <w:lang w:val="en-US"/>
        </w:rPr>
        <w:t>rooms containing Instrumentation and Control (I&amp;C) cabinets and or electrical switchgear in accordance with guidance in BS 6266.</w:t>
      </w:r>
    </w:p>
    <w:p w14:paraId="188244DF" w14:textId="26752949" w:rsidR="00CF7DDE" w:rsidRPr="00DD1B58" w:rsidRDefault="006835D5" w:rsidP="00441CE0">
      <w:pPr>
        <w:rPr>
          <w:lang w:val="en-US"/>
        </w:rPr>
      </w:pPr>
      <w:r w:rsidRPr="00DD1B58">
        <w:rPr>
          <w:lang w:val="en-US"/>
        </w:rPr>
        <w:t xml:space="preserve">NNB GenCo also </w:t>
      </w:r>
      <w:r w:rsidR="00AC763D" w:rsidRPr="00DD1B58">
        <w:rPr>
          <w:lang w:val="en-US"/>
        </w:rPr>
        <w:t>states</w:t>
      </w:r>
      <w:r w:rsidR="006D798B" w:rsidRPr="00DD1B58">
        <w:rPr>
          <w:lang w:val="en-US"/>
        </w:rPr>
        <w:t xml:space="preserve"> that</w:t>
      </w:r>
      <w:r w:rsidRPr="00DD1B58">
        <w:rPr>
          <w:lang w:val="en-US"/>
        </w:rPr>
        <w:t xml:space="preserve"> it will provide a</w:t>
      </w:r>
      <w:r w:rsidR="3675BEC4" w:rsidRPr="00DD1B58">
        <w:rPr>
          <w:lang w:val="en-US"/>
        </w:rPr>
        <w:t xml:space="preserve">n independent fire detection system to areas with a critical cooling issue for closing fire dampers in associated HVAC systems with a Class 1 or Class 2 cooling function. </w:t>
      </w:r>
      <w:r w:rsidR="005A6976" w:rsidRPr="00DD1B58">
        <w:rPr>
          <w:lang w:val="en-US"/>
        </w:rPr>
        <w:t xml:space="preserve">It </w:t>
      </w:r>
      <w:r w:rsidR="00AC763D" w:rsidRPr="00DD1B58">
        <w:rPr>
          <w:lang w:val="en-US"/>
        </w:rPr>
        <w:t>states</w:t>
      </w:r>
      <w:r w:rsidR="005A6976" w:rsidRPr="00DD1B58">
        <w:rPr>
          <w:lang w:val="en-US"/>
        </w:rPr>
        <w:t xml:space="preserve"> </w:t>
      </w:r>
      <w:r w:rsidR="006D798B" w:rsidRPr="00DD1B58">
        <w:rPr>
          <w:lang w:val="en-US"/>
        </w:rPr>
        <w:t>that</w:t>
      </w:r>
      <w:r w:rsidR="005A6976" w:rsidRPr="00DD1B58">
        <w:rPr>
          <w:lang w:val="en-US"/>
        </w:rPr>
        <w:t xml:space="preserve"> i</w:t>
      </w:r>
      <w:r w:rsidR="3675BEC4" w:rsidRPr="00DD1B58">
        <w:rPr>
          <w:lang w:val="en-US"/>
        </w:rPr>
        <w:t>nterfaces between the fire detection systems and fire dampers will be arranged such that a fault in one of the detection systems cannot lead to the spurious closure of dampers and the loss of cooling to the associated room.</w:t>
      </w:r>
    </w:p>
    <w:p w14:paraId="5898EE82" w14:textId="1A1A33D2" w:rsidR="00CF7DDE" w:rsidRPr="00DD1B58" w:rsidRDefault="005A6976" w:rsidP="00441CE0">
      <w:pPr>
        <w:rPr>
          <w:lang w:val="en-US"/>
        </w:rPr>
      </w:pPr>
      <w:r w:rsidRPr="00DD1B58">
        <w:rPr>
          <w:lang w:val="en-US"/>
        </w:rPr>
        <w:t>NNB GenCo report</w:t>
      </w:r>
      <w:r w:rsidR="00DA2B2B" w:rsidRPr="00DD1B58">
        <w:rPr>
          <w:lang w:val="en-US"/>
        </w:rPr>
        <w:t>s</w:t>
      </w:r>
      <w:r w:rsidR="00D776E2" w:rsidRPr="00DD1B58">
        <w:rPr>
          <w:lang w:val="en-US"/>
        </w:rPr>
        <w:t xml:space="preserve"> that</w:t>
      </w:r>
      <w:r w:rsidRPr="00DD1B58">
        <w:rPr>
          <w:lang w:val="en-US"/>
        </w:rPr>
        <w:t xml:space="preserve"> c</w:t>
      </w:r>
      <w:r w:rsidR="3675BEC4" w:rsidRPr="00DD1B58">
        <w:rPr>
          <w:lang w:val="en-US"/>
        </w:rPr>
        <w:t xml:space="preserve">omponents of the JDT [FDS] will be Safety Class 3, and precautions are taken to prevent the system having an unacceptable impact on safety class 1 or 2 equipment. </w:t>
      </w:r>
      <w:r w:rsidRPr="00DD1B58">
        <w:rPr>
          <w:lang w:val="en-US"/>
        </w:rPr>
        <w:t xml:space="preserve">It also </w:t>
      </w:r>
      <w:r w:rsidR="00D776E2" w:rsidRPr="00DD1B58">
        <w:rPr>
          <w:lang w:val="en-US"/>
        </w:rPr>
        <w:t xml:space="preserve">states that </w:t>
      </w:r>
      <w:r w:rsidR="3675BEC4" w:rsidRPr="00DD1B58">
        <w:rPr>
          <w:lang w:val="en-US"/>
        </w:rPr>
        <w:t>electrical and I&amp;C components in the JDT [FDS] system will comply with the electrical and I&amp;C requirements associated with their safety class. The level of seismic requirements to be applied to the JDT [FDS] system components is related to the Safety Feature Group (SFG) to which the component belongs, and the consequences on other classified components of its failure, if it were not seismically qualified.</w:t>
      </w:r>
    </w:p>
    <w:p w14:paraId="7E02E6B6" w14:textId="6B0A83CC" w:rsidR="00CF7DDE" w:rsidRPr="00DD1B58" w:rsidRDefault="00D7685C" w:rsidP="00441CE0">
      <w:pPr>
        <w:rPr>
          <w:lang w:val="en-US"/>
        </w:rPr>
      </w:pPr>
      <w:r w:rsidRPr="00DD1B58">
        <w:rPr>
          <w:lang w:val="en-US"/>
        </w:rPr>
        <w:t xml:space="preserve">NNB GenCo </w:t>
      </w:r>
      <w:r w:rsidR="006D798B" w:rsidRPr="00DD1B58">
        <w:rPr>
          <w:lang w:val="en-US"/>
        </w:rPr>
        <w:t>states that</w:t>
      </w:r>
      <w:r w:rsidRPr="00DD1B58">
        <w:rPr>
          <w:lang w:val="en-US"/>
        </w:rPr>
        <w:t xml:space="preserve"> the </w:t>
      </w:r>
      <w:r w:rsidR="3675BEC4" w:rsidRPr="00DD1B58">
        <w:rPr>
          <w:lang w:val="en-US"/>
        </w:rPr>
        <w:t>JDT [FDS] will be designed to enable sufficient Examination, Maintenance, Inspection and Testing (EMIT) activities taking account of access restrictions due to the installation environment such as ionising radiation.</w:t>
      </w:r>
    </w:p>
    <w:p w14:paraId="5059CD20" w14:textId="0D6F1263" w:rsidR="00CF7DDE" w:rsidRPr="00DD1B58" w:rsidRDefault="3675BEC4" w:rsidP="1B2B0ECE">
      <w:pPr>
        <w:rPr>
          <w:lang w:val="en-US"/>
        </w:rPr>
      </w:pPr>
      <w:r w:rsidRPr="00DD1B58">
        <w:rPr>
          <w:lang w:val="en-US"/>
        </w:rPr>
        <w:t>The JDT [FDS] system interacts with other systems to ensure nuclear safety objectives are met, including</w:t>
      </w:r>
      <w:r w:rsidR="5D8726CE" w:rsidRPr="00DD1B58">
        <w:rPr>
          <w:lang w:val="en-US"/>
        </w:rPr>
        <w:t xml:space="preserve"> c</w:t>
      </w:r>
      <w:r w:rsidR="535A0B82" w:rsidRPr="00DD1B58">
        <w:rPr>
          <w:lang w:val="en-US"/>
        </w:rPr>
        <w:t>losure</w:t>
      </w:r>
      <w:r w:rsidR="6E89CFA4" w:rsidRPr="00DD1B58">
        <w:rPr>
          <w:lang w:val="en-US"/>
        </w:rPr>
        <w:t xml:space="preserve"> of fire dampers in Nuclear Fire Safety Compartment (SFS)</w:t>
      </w:r>
      <w:r w:rsidR="007C3F42" w:rsidRPr="00DD1B58">
        <w:rPr>
          <w:lang w:val="en-US"/>
        </w:rPr>
        <w:t>/</w:t>
      </w:r>
      <w:r w:rsidR="6E89CFA4" w:rsidRPr="00DD1B58">
        <w:rPr>
          <w:lang w:val="en-US"/>
        </w:rPr>
        <w:t>Nuclear Fire Safety Cell (ZFS) barriers</w:t>
      </w:r>
      <w:r w:rsidR="03E93AE2" w:rsidRPr="00DD1B58">
        <w:rPr>
          <w:lang w:val="en-US"/>
        </w:rPr>
        <w:t xml:space="preserve"> and</w:t>
      </w:r>
      <w:r w:rsidR="6E89CFA4" w:rsidRPr="00DD1B58">
        <w:rPr>
          <w:lang w:val="en-US"/>
        </w:rPr>
        <w:t xml:space="preserve"> in Intervention </w:t>
      </w:r>
      <w:r w:rsidR="00246687" w:rsidRPr="00DD1B58">
        <w:rPr>
          <w:lang w:val="en-US"/>
        </w:rPr>
        <w:t>F</w:t>
      </w:r>
      <w:r w:rsidR="6E89CFA4" w:rsidRPr="00DD1B58">
        <w:rPr>
          <w:lang w:val="en-US"/>
        </w:rPr>
        <w:t>ire Compartment (SFI) barriers in buildings which contain safety equipment required to reach and maintain the safe state of the plant.</w:t>
      </w:r>
      <w:r w:rsidR="077E31C6" w:rsidRPr="00DD1B58">
        <w:rPr>
          <w:lang w:val="en-US"/>
        </w:rPr>
        <w:t xml:space="preserve"> It also t</w:t>
      </w:r>
      <w:r w:rsidR="535A0B82" w:rsidRPr="00DD1B58">
        <w:rPr>
          <w:lang w:val="en-US"/>
        </w:rPr>
        <w:t>rigger</w:t>
      </w:r>
      <w:r w:rsidR="131C7F02" w:rsidRPr="00DD1B58">
        <w:rPr>
          <w:lang w:val="en-US"/>
        </w:rPr>
        <w:t>s</w:t>
      </w:r>
      <w:r w:rsidR="6E89CFA4" w:rsidRPr="00DD1B58">
        <w:rPr>
          <w:lang w:val="en-US"/>
        </w:rPr>
        <w:t xml:space="preserve"> automatic fixed firefighting systems in buildings which contain safety equipment required to reach and maintain the safe state of the plant</w:t>
      </w:r>
      <w:r w:rsidR="7F6E8971" w:rsidRPr="00DD1B58">
        <w:rPr>
          <w:lang w:val="en-US"/>
        </w:rPr>
        <w:t xml:space="preserve"> and tr</w:t>
      </w:r>
      <w:r w:rsidR="3D834CBA" w:rsidRPr="00DD1B58">
        <w:rPr>
          <w:lang w:val="en-US"/>
        </w:rPr>
        <w:t>i</w:t>
      </w:r>
      <w:r w:rsidR="7F6E8971" w:rsidRPr="00DD1B58">
        <w:rPr>
          <w:lang w:val="en-US"/>
        </w:rPr>
        <w:t>ggers</w:t>
      </w:r>
      <w:r w:rsidR="6E89CFA4" w:rsidRPr="00DD1B58">
        <w:rPr>
          <w:lang w:val="en-US"/>
        </w:rPr>
        <w:t xml:space="preserve"> an alarm in the main control room.</w:t>
      </w:r>
      <w:r w:rsidR="77FACF60" w:rsidRPr="00DD1B58">
        <w:rPr>
          <w:lang w:val="en-US"/>
        </w:rPr>
        <w:t xml:space="preserve"> </w:t>
      </w:r>
      <w:r w:rsidR="113996B0" w:rsidRPr="00DD1B58">
        <w:rPr>
          <w:lang w:val="en-US"/>
        </w:rPr>
        <w:t>The system also monitors</w:t>
      </w:r>
      <w:r w:rsidR="6E89CFA4" w:rsidRPr="00DD1B58">
        <w:rPr>
          <w:lang w:val="en-US"/>
        </w:rPr>
        <w:t xml:space="preserve"> the position of fire doors on the boundary of SFS/ZFS </w:t>
      </w:r>
      <w:r w:rsidR="535A0B82" w:rsidRPr="00DD1B58">
        <w:rPr>
          <w:lang w:val="en-US"/>
        </w:rPr>
        <w:t>barriers</w:t>
      </w:r>
      <w:r w:rsidR="435865EA" w:rsidRPr="00DD1B58">
        <w:rPr>
          <w:lang w:val="en-US"/>
        </w:rPr>
        <w:t>, monitors</w:t>
      </w:r>
      <w:r w:rsidR="6E89CFA4" w:rsidRPr="00DD1B58">
        <w:rPr>
          <w:lang w:val="en-US"/>
        </w:rPr>
        <w:t xml:space="preserve"> fire during firefighting to assist operators or fire intervention personnel</w:t>
      </w:r>
      <w:r w:rsidR="7EE3790C" w:rsidRPr="00DD1B58">
        <w:rPr>
          <w:lang w:val="en-US"/>
        </w:rPr>
        <w:t xml:space="preserve"> and o</w:t>
      </w:r>
      <w:r w:rsidR="535A0B82" w:rsidRPr="00DD1B58">
        <w:rPr>
          <w:lang w:val="en-US"/>
        </w:rPr>
        <w:t>pen</w:t>
      </w:r>
      <w:r w:rsidR="23EDA88D" w:rsidRPr="00DD1B58">
        <w:rPr>
          <w:lang w:val="en-US"/>
        </w:rPr>
        <w:t>s</w:t>
      </w:r>
      <w:r w:rsidR="6E89CFA4" w:rsidRPr="00DD1B58">
        <w:rPr>
          <w:lang w:val="en-US"/>
        </w:rPr>
        <w:t xml:space="preserve"> smoke control dampers for certain fire volumes. </w:t>
      </w:r>
      <w:r w:rsidR="481021A2" w:rsidRPr="00DD1B58">
        <w:rPr>
          <w:lang w:val="en-US"/>
        </w:rPr>
        <w:t>The system will also i</w:t>
      </w:r>
      <w:r w:rsidR="535A0B82" w:rsidRPr="00DD1B58">
        <w:rPr>
          <w:lang w:val="en-US"/>
        </w:rPr>
        <w:t>nitiate</w:t>
      </w:r>
      <w:r w:rsidR="6E89CFA4" w:rsidRPr="00DD1B58">
        <w:rPr>
          <w:lang w:val="en-US"/>
        </w:rPr>
        <w:t xml:space="preserve"> pressurisation of access zones adjacent to the affected volume to facilitate personnel evacuation and emergency services intervention.</w:t>
      </w:r>
    </w:p>
    <w:p w14:paraId="201F2BF4" w14:textId="3B9E1602" w:rsidR="00CF7DDE" w:rsidRPr="00DD1B58" w:rsidRDefault="00D7685C" w:rsidP="00441CE0">
      <w:pPr>
        <w:rPr>
          <w:lang w:val="en-US"/>
        </w:rPr>
      </w:pPr>
      <w:r w:rsidRPr="00DD1B58">
        <w:rPr>
          <w:lang w:val="en-US"/>
        </w:rPr>
        <w:t xml:space="preserve">NNB </w:t>
      </w:r>
      <w:r w:rsidR="006D798B" w:rsidRPr="00DD1B58">
        <w:rPr>
          <w:lang w:val="en-US"/>
        </w:rPr>
        <w:t>states that</w:t>
      </w:r>
      <w:r w:rsidRPr="00DD1B58">
        <w:rPr>
          <w:lang w:val="en-US"/>
        </w:rPr>
        <w:t xml:space="preserve"> a</w:t>
      </w:r>
      <w:r w:rsidR="31BBA6BB" w:rsidRPr="00DD1B58">
        <w:rPr>
          <w:lang w:val="en-US"/>
        </w:rPr>
        <w:t>ctivation of the detection and alarm system will also prompt operators to carry out manually initiated actions such as operation of fire dampers and smoke control dampers, control of smoke management systems and managing deluge valve sets.</w:t>
      </w:r>
      <w:r w:rsidR="00C72F37" w:rsidRPr="00DD1B58">
        <w:rPr>
          <w:lang w:val="en-US"/>
        </w:rPr>
        <w:t xml:space="preserve"> </w:t>
      </w:r>
      <w:r w:rsidR="31BBA6BB" w:rsidRPr="00DD1B58">
        <w:rPr>
          <w:lang w:val="en-US"/>
        </w:rPr>
        <w:t>The design of the JDT [FDS] system is ongoing.</w:t>
      </w:r>
    </w:p>
    <w:p w14:paraId="66E5F59F" w14:textId="77777777" w:rsidR="00CF7DDE" w:rsidRPr="00DD1B58" w:rsidRDefault="3023750D" w:rsidP="004301AA">
      <w:pPr>
        <w:pStyle w:val="Bulletlist1"/>
        <w:numPr>
          <w:ilvl w:val="0"/>
          <w:numId w:val="0"/>
        </w:numPr>
        <w:ind w:left="360" w:hanging="360"/>
        <w:rPr>
          <w:b/>
          <w:lang w:val="en-US"/>
        </w:rPr>
      </w:pPr>
      <w:r w:rsidRPr="00DD1B58">
        <w:rPr>
          <w:b/>
          <w:lang w:val="en-US"/>
        </w:rPr>
        <w:t>Types, main characteristics and perfomance expectations</w:t>
      </w:r>
    </w:p>
    <w:p w14:paraId="4853306C" w14:textId="77777777" w:rsidR="00CF7DDE" w:rsidRPr="00DD1B58" w:rsidRDefault="3008D08D" w:rsidP="355CB971">
      <w:pPr>
        <w:pStyle w:val="Bulletlist1"/>
        <w:numPr>
          <w:ilvl w:val="0"/>
          <w:numId w:val="0"/>
        </w:numPr>
        <w:rPr>
          <w:lang w:val="en-US"/>
        </w:rPr>
      </w:pPr>
      <w:r w:rsidRPr="00DD1B58">
        <w:rPr>
          <w:b/>
          <w:bCs/>
          <w:lang w:val="en-US"/>
        </w:rPr>
        <w:t>Fire Detectors</w:t>
      </w:r>
      <w:r w:rsidRPr="00DD1B58">
        <w:rPr>
          <w:lang w:val="en-US"/>
        </w:rPr>
        <w:t xml:space="preserve"> – The fire detectors are linked to fire alarm control panels and automatic alarms. All fire detectors are permanently monitored, and any fault is shown in the fire alarm control panels. Detectors of Safety fire Compartments are generally Class 3 Safety Features.</w:t>
      </w:r>
    </w:p>
    <w:p w14:paraId="3A757D45" w14:textId="77777777" w:rsidR="00CF7DDE" w:rsidRPr="00DD1B58" w:rsidRDefault="3008D08D" w:rsidP="355CB971">
      <w:pPr>
        <w:pStyle w:val="Bulletlist1"/>
        <w:numPr>
          <w:ilvl w:val="0"/>
          <w:numId w:val="0"/>
        </w:numPr>
        <w:rPr>
          <w:lang w:val="en-US"/>
        </w:rPr>
      </w:pPr>
      <w:r w:rsidRPr="00DD1B58">
        <w:rPr>
          <w:b/>
          <w:bCs/>
          <w:lang w:val="en-US"/>
        </w:rPr>
        <w:t>Detection Zones</w:t>
      </w:r>
      <w:r w:rsidRPr="00DD1B58">
        <w:rPr>
          <w:lang w:val="en-US"/>
        </w:rPr>
        <w:t xml:space="preserve"> – Fire detectors are grouped in detection zones, which correspond to areas, rooms, or a group of rooms.</w:t>
      </w:r>
    </w:p>
    <w:p w14:paraId="48539855" w14:textId="77777777" w:rsidR="00CF7DDE" w:rsidRPr="00DD1B58" w:rsidRDefault="3008D08D" w:rsidP="355CB971">
      <w:pPr>
        <w:pStyle w:val="Bulletlist1"/>
        <w:numPr>
          <w:ilvl w:val="0"/>
          <w:numId w:val="0"/>
        </w:numPr>
        <w:rPr>
          <w:lang w:val="en-US"/>
        </w:rPr>
      </w:pPr>
      <w:r w:rsidRPr="00DD1B58">
        <w:rPr>
          <w:b/>
          <w:bCs/>
          <w:lang w:val="en-US"/>
        </w:rPr>
        <w:t>Detection Lines or Loops</w:t>
      </w:r>
      <w:r w:rsidRPr="00DD1B58">
        <w:rPr>
          <w:lang w:val="en-US"/>
        </w:rPr>
        <w:t xml:space="preserve"> – The detectors are linked electrically in such a way as to form electrical lines or loops, covering geographically designated zones.</w:t>
      </w:r>
    </w:p>
    <w:p w14:paraId="4A07CDAB" w14:textId="2CD85175" w:rsidR="00CF7DDE" w:rsidRPr="00DD1B58" w:rsidRDefault="3008D08D" w:rsidP="355CB971">
      <w:pPr>
        <w:pStyle w:val="Bulletlist1"/>
        <w:numPr>
          <w:ilvl w:val="0"/>
          <w:numId w:val="0"/>
        </w:numPr>
        <w:rPr>
          <w:lang w:val="en-US"/>
        </w:rPr>
      </w:pPr>
      <w:r w:rsidRPr="00DD1B58">
        <w:rPr>
          <w:b/>
          <w:bCs/>
          <w:lang w:val="en-US"/>
        </w:rPr>
        <w:t>Fire Alarm Control Panels (FACP)</w:t>
      </w:r>
      <w:r w:rsidRPr="00DD1B58">
        <w:rPr>
          <w:lang w:val="en-US"/>
        </w:rPr>
        <w:t xml:space="preserve"> – Create visual and audible alarms in the Main Control Room (MCR), monitor the progress of the fire, as well as providing the logical processing of the fire alarms and the firefighting actions. Each one has its own back-up 24hr electrical supply and is provided for each safety train. One is located on each building throughout the plant, they are all connected to each other and the Fire Alarm Repeater Panel. The FACPs generate corresponding fire alarms and automatic </w:t>
      </w:r>
      <w:r w:rsidR="004F5760" w:rsidRPr="00DD1B58">
        <w:rPr>
          <w:lang w:val="en-US"/>
        </w:rPr>
        <w:t>firefight</w:t>
      </w:r>
      <w:r w:rsidRPr="00DD1B58">
        <w:rPr>
          <w:lang w:val="en-US"/>
        </w:rPr>
        <w:t>ing actions. FACPs and local panels for Safety fire compartments are Class 3.</w:t>
      </w:r>
    </w:p>
    <w:p w14:paraId="2869FC54" w14:textId="01B9C635" w:rsidR="005B7653" w:rsidRPr="00DD1B58" w:rsidRDefault="4111DB20" w:rsidP="355CB971">
      <w:pPr>
        <w:pStyle w:val="Bulletlist1"/>
        <w:numPr>
          <w:ilvl w:val="0"/>
          <w:numId w:val="0"/>
        </w:numPr>
        <w:rPr>
          <w:lang w:val="en-US"/>
        </w:rPr>
      </w:pPr>
      <w:r w:rsidRPr="00DD1B58">
        <w:rPr>
          <w:b/>
          <w:bCs/>
          <w:lang w:val="en-US"/>
        </w:rPr>
        <w:t>Fire Alarm Repeater Panels (FARP)</w:t>
      </w:r>
      <w:r w:rsidRPr="00DD1B58">
        <w:rPr>
          <w:lang w:val="en-US"/>
        </w:rPr>
        <w:t xml:space="preserve"> – Located in the MCR the Remote Shutdown Station (RSS), it displays the state of all detectors (such as fire alarms, malfunction alarms, etc.), the control of the fire dampers and the automatic </w:t>
      </w:r>
      <w:r w:rsidR="004F5760" w:rsidRPr="00DD1B58">
        <w:rPr>
          <w:lang w:val="en-US"/>
        </w:rPr>
        <w:t>firefight</w:t>
      </w:r>
      <w:r w:rsidRPr="00DD1B58">
        <w:rPr>
          <w:lang w:val="en-US"/>
        </w:rPr>
        <w:t xml:space="preserve">ing equipment. In addition, a </w:t>
      </w:r>
    </w:p>
    <w:p w14:paraId="0501E8E1" w14:textId="77777777" w:rsidR="00CF7DDE" w:rsidRPr="00DD1B58" w:rsidRDefault="4111DB20" w:rsidP="355CB971">
      <w:pPr>
        <w:pStyle w:val="Bulletlist1"/>
        <w:numPr>
          <w:ilvl w:val="0"/>
          <w:numId w:val="0"/>
        </w:numPr>
        <w:rPr>
          <w:lang w:val="en-US"/>
        </w:rPr>
      </w:pPr>
      <w:r w:rsidRPr="00DD1B58">
        <w:rPr>
          <w:b/>
          <w:bCs/>
          <w:lang w:val="en-US"/>
        </w:rPr>
        <w:t xml:space="preserve">Graphical User Interface (GUI) </w:t>
      </w:r>
      <w:r w:rsidRPr="00DD1B58">
        <w:rPr>
          <w:lang w:val="en-US"/>
        </w:rPr>
        <w:t>is installed to show plan view drawings identifying the location of the fire and state of detectors. FARPs are Class 3.</w:t>
      </w:r>
    </w:p>
    <w:p w14:paraId="354FA25B" w14:textId="7C264EA6" w:rsidR="00CF7DDE" w:rsidRPr="00DD1B58" w:rsidRDefault="00683C4A" w:rsidP="355CB971">
      <w:pPr>
        <w:pStyle w:val="Bulletlist1"/>
        <w:numPr>
          <w:ilvl w:val="0"/>
          <w:numId w:val="0"/>
        </w:numPr>
        <w:rPr>
          <w:lang w:val="en-US"/>
        </w:rPr>
      </w:pPr>
      <w:r w:rsidRPr="00DD1B58">
        <w:rPr>
          <w:lang w:val="en-US"/>
        </w:rPr>
        <w:t xml:space="preserve">NNB GenCo </w:t>
      </w:r>
      <w:r w:rsidR="006D798B" w:rsidRPr="00DD1B58">
        <w:rPr>
          <w:lang w:val="en-US"/>
        </w:rPr>
        <w:t>states that</w:t>
      </w:r>
      <w:r w:rsidRPr="00DD1B58">
        <w:rPr>
          <w:lang w:val="en-US"/>
        </w:rPr>
        <w:t xml:space="preserve"> </w:t>
      </w:r>
      <w:r w:rsidR="4111DB20" w:rsidRPr="00DD1B58">
        <w:rPr>
          <w:lang w:val="en-US"/>
        </w:rPr>
        <w:t>Fire Detection Systems will be provided with a diesel backed up power supply in addition to local batteries. Fire detection cabling will be rated C1 in accordance with NF C 32070 and enhanced fire resistance in accordance with BS 5839-1. Where aspirating smoke detection systems are used in the reactor building or SFS/ZFS spaces that are inaccessible in service,</w:t>
      </w:r>
      <w:r w:rsidR="00914E3E" w:rsidRPr="00DD1B58">
        <w:rPr>
          <w:lang w:val="en-US"/>
        </w:rPr>
        <w:t xml:space="preserve"> NNB GenC</w:t>
      </w:r>
      <w:r w:rsidR="007E621B" w:rsidRPr="00DD1B58">
        <w:rPr>
          <w:lang w:val="en-US"/>
        </w:rPr>
        <w:t>o</w:t>
      </w:r>
      <w:r w:rsidR="00914E3E" w:rsidRPr="00DD1B58" w:rsidDel="007E621B">
        <w:rPr>
          <w:lang w:val="en-US"/>
        </w:rPr>
        <w:t>O</w:t>
      </w:r>
      <w:r w:rsidR="00914E3E" w:rsidRPr="00DD1B58">
        <w:rPr>
          <w:lang w:val="en-US"/>
        </w:rPr>
        <w:t xml:space="preserve"> state</w:t>
      </w:r>
      <w:r w:rsidR="007E621B" w:rsidRPr="00DD1B58">
        <w:rPr>
          <w:lang w:val="en-US"/>
        </w:rPr>
        <w:t>s</w:t>
      </w:r>
      <w:r w:rsidR="00914E3E" w:rsidRPr="00DD1B58" w:rsidDel="007E621B">
        <w:rPr>
          <w:lang w:val="en-US"/>
        </w:rPr>
        <w:t>d</w:t>
      </w:r>
      <w:r w:rsidR="006D798B" w:rsidRPr="00DD1B58">
        <w:rPr>
          <w:lang w:val="en-US"/>
        </w:rPr>
        <w:t>states that</w:t>
      </w:r>
      <w:r w:rsidR="4111DB20" w:rsidRPr="00DD1B58">
        <w:rPr>
          <w:lang w:val="en-US"/>
        </w:rPr>
        <w:t xml:space="preserve"> the extraction system featuring a fan should have two independent power supplies.</w:t>
      </w:r>
    </w:p>
    <w:p w14:paraId="4B1453C0" w14:textId="2E518BFA" w:rsidR="00CF7DDE" w:rsidRPr="00DD1B58" w:rsidRDefault="5AF1605D" w:rsidP="355CB971">
      <w:pPr>
        <w:pStyle w:val="Bulletlist1"/>
        <w:numPr>
          <w:ilvl w:val="0"/>
          <w:numId w:val="0"/>
        </w:numPr>
        <w:rPr>
          <w:lang w:val="en-US"/>
        </w:rPr>
      </w:pPr>
      <w:r w:rsidRPr="00DD1B58">
        <w:rPr>
          <w:b/>
          <w:bCs/>
          <w:lang w:val="en-US"/>
        </w:rPr>
        <w:t>Hazard Tolerance:</w:t>
      </w:r>
      <w:r w:rsidRPr="00DD1B58">
        <w:rPr>
          <w:lang w:val="en-US"/>
        </w:rPr>
        <w:t xml:space="preserve"> The design standards for hazard tolerance of the JDT system are specified in Tables 2 and 3 of the SDM Part 2 </w:t>
      </w:r>
      <w:sdt>
        <w:sdtPr>
          <w:rPr>
            <w:lang w:val="en-US"/>
          </w:rPr>
          <w:id w:val="2002620892"/>
          <w:citation/>
        </w:sdtPr>
        <w:sdtContent>
          <w:r w:rsidR="00086223" w:rsidRPr="00DD1B58">
            <w:rPr>
              <w:lang w:val="en-US"/>
            </w:rPr>
            <w:fldChar w:fldCharType="begin"/>
          </w:r>
          <w:r w:rsidR="00086223" w:rsidRPr="00DD1B58">
            <w:rPr>
              <w:lang w:val="en-US"/>
            </w:rPr>
            <w:instrText xml:space="preserve"> CITATION NNB217 \l 2057 </w:instrText>
          </w:r>
          <w:r w:rsidR="00086223" w:rsidRPr="00DD1B58">
            <w:rPr>
              <w:lang w:val="en-US"/>
            </w:rPr>
            <w:fldChar w:fldCharType="separate"/>
          </w:r>
          <w:r w:rsidR="00DF47DA" w:rsidRPr="00DF47DA">
            <w:rPr>
              <w:lang w:val="en-US"/>
            </w:rPr>
            <w:t>[166]</w:t>
          </w:r>
          <w:r w:rsidR="00086223" w:rsidRPr="00DD1B58">
            <w:rPr>
              <w:lang w:val="en-US"/>
            </w:rPr>
            <w:fldChar w:fldCharType="end"/>
          </w:r>
        </w:sdtContent>
      </w:sdt>
      <w:r w:rsidRPr="00DD1B58">
        <w:rPr>
          <w:lang w:val="en-US"/>
        </w:rPr>
        <w:t xml:space="preserve"> and for the overall requirement in principle for no loss of more than one train of the system. For external hazards, the level of protection of the JDT system is dictated by the design standards of the building or structure in which it is installed. </w:t>
      </w:r>
      <w:r w:rsidR="00914E3E" w:rsidRPr="00DD1B58">
        <w:rPr>
          <w:lang w:val="en-US"/>
        </w:rPr>
        <w:t>NNB GenCo report</w:t>
      </w:r>
      <w:r w:rsidR="00DA2B2B" w:rsidRPr="00DD1B58">
        <w:rPr>
          <w:lang w:val="en-US"/>
        </w:rPr>
        <w:t>s</w:t>
      </w:r>
      <w:r w:rsidR="006D798B" w:rsidRPr="00DD1B58">
        <w:rPr>
          <w:lang w:val="en-US"/>
        </w:rPr>
        <w:t xml:space="preserve"> that</w:t>
      </w:r>
      <w:r w:rsidR="00914E3E" w:rsidRPr="00DD1B58">
        <w:rPr>
          <w:lang w:val="en-US"/>
        </w:rPr>
        <w:t xml:space="preserve"> protection </w:t>
      </w:r>
      <w:r w:rsidRPr="00DD1B58">
        <w:rPr>
          <w:lang w:val="en-US"/>
        </w:rPr>
        <w:t>is considered for internal fire, earthquake, aircraft crash, marine corrosion, lightning, and electromagnetic interference.</w:t>
      </w:r>
    </w:p>
    <w:p w14:paraId="65DDCCA8" w14:textId="77777777" w:rsidR="00CF7DDE" w:rsidRPr="00DD1B58" w:rsidRDefault="00CF7DDE" w:rsidP="00EF3196">
      <w:pPr>
        <w:pStyle w:val="Bulletlist1"/>
        <w:numPr>
          <w:ilvl w:val="0"/>
          <w:numId w:val="0"/>
        </w:numPr>
        <w:ind w:left="360" w:hanging="360"/>
        <w:rPr>
          <w:b/>
          <w:lang w:val="en-US"/>
        </w:rPr>
      </w:pPr>
      <w:r w:rsidRPr="00DD1B58">
        <w:rPr>
          <w:b/>
          <w:lang w:val="en-US"/>
        </w:rPr>
        <w:t>Alternative/temporary provisions</w:t>
      </w:r>
    </w:p>
    <w:p w14:paraId="0901360E" w14:textId="79F4B988" w:rsidR="425105B7" w:rsidRPr="00DD1B58" w:rsidRDefault="00914E3E" w:rsidP="355CB971">
      <w:pPr>
        <w:pStyle w:val="Bulletlist1"/>
        <w:numPr>
          <w:ilvl w:val="0"/>
          <w:numId w:val="0"/>
        </w:numPr>
        <w:rPr>
          <w:lang w:val="en-US"/>
        </w:rPr>
      </w:pPr>
      <w:r w:rsidRPr="00DD1B58">
        <w:rPr>
          <w:lang w:val="en-US"/>
        </w:rPr>
        <w:t>NNB GenC</w:t>
      </w:r>
      <w:r w:rsidR="009560D3" w:rsidRPr="00DD1B58">
        <w:rPr>
          <w:lang w:val="en-US"/>
        </w:rPr>
        <w:t>o</w:t>
      </w:r>
      <w:r w:rsidRPr="00DD1B58">
        <w:rPr>
          <w:lang w:val="en-US"/>
        </w:rPr>
        <w:t xml:space="preserve"> report</w:t>
      </w:r>
      <w:r w:rsidR="00DA2B2B" w:rsidRPr="00DD1B58">
        <w:rPr>
          <w:lang w:val="en-US"/>
        </w:rPr>
        <w:t>s</w:t>
      </w:r>
      <w:r w:rsidR="00D776E2" w:rsidRPr="00DD1B58">
        <w:rPr>
          <w:lang w:val="en-US"/>
        </w:rPr>
        <w:t xml:space="preserve"> that</w:t>
      </w:r>
      <w:r w:rsidRPr="00DD1B58">
        <w:rPr>
          <w:lang w:val="en-US"/>
        </w:rPr>
        <w:t xml:space="preserve"> t</w:t>
      </w:r>
      <w:r w:rsidR="425105B7" w:rsidRPr="00DD1B58">
        <w:rPr>
          <w:lang w:val="en-US"/>
        </w:rPr>
        <w:t>he JDT system is designed to be continuously self-monitoring and any faults detected are indicated in the MCR, and detectors are designed and positioned to allow regular maintenance and testing as far as possible. The division of the system into zones, lines and loops allows one part of the system to be isolated for modification without having to shut the whole system down.</w:t>
      </w:r>
    </w:p>
    <w:p w14:paraId="0E837594" w14:textId="5F78CF96" w:rsidR="425105B7" w:rsidRPr="00DD1B58" w:rsidRDefault="009560D3" w:rsidP="355CB971">
      <w:pPr>
        <w:pStyle w:val="Bulletlist1"/>
        <w:numPr>
          <w:ilvl w:val="0"/>
          <w:numId w:val="0"/>
        </w:numPr>
        <w:rPr>
          <w:lang w:val="en-US"/>
        </w:rPr>
      </w:pPr>
      <w:r w:rsidRPr="00DD1B58">
        <w:rPr>
          <w:lang w:val="en-US"/>
        </w:rPr>
        <w:t xml:space="preserve">NNB </w:t>
      </w:r>
      <w:r w:rsidR="006D798B" w:rsidRPr="00DD1B58">
        <w:rPr>
          <w:lang w:val="en-US"/>
        </w:rPr>
        <w:t>states that</w:t>
      </w:r>
      <w:r w:rsidRPr="00DD1B58">
        <w:rPr>
          <w:lang w:val="en-US"/>
        </w:rPr>
        <w:t xml:space="preserve"> the </w:t>
      </w:r>
      <w:r w:rsidR="425105B7" w:rsidRPr="00DD1B58">
        <w:rPr>
          <w:lang w:val="en-US"/>
        </w:rPr>
        <w:t xml:space="preserve">JDT system will be designed to enable implementation of a maintenance schedule. Details of the maintenance arrangements and frequency have not yet been finalised and </w:t>
      </w:r>
      <w:r w:rsidRPr="00DD1B58">
        <w:rPr>
          <w:lang w:val="en-US"/>
        </w:rPr>
        <w:t xml:space="preserve">NNB confirmed that they </w:t>
      </w:r>
      <w:r w:rsidR="425105B7" w:rsidRPr="00DD1B58">
        <w:rPr>
          <w:lang w:val="en-US"/>
        </w:rPr>
        <w:t>will be developed in consultation with the supplier but the requirements as BS 5839-1 (Section 6) will be adopted as the minimum standard.</w:t>
      </w:r>
    </w:p>
    <w:p w14:paraId="644274F9" w14:textId="573D7682" w:rsidR="355CB971" w:rsidRPr="00DD1B58" w:rsidRDefault="00843DE1" w:rsidP="00C72F37">
      <w:pPr>
        <w:pStyle w:val="Bulletlist1"/>
        <w:numPr>
          <w:ilvl w:val="0"/>
          <w:numId w:val="0"/>
        </w:numPr>
        <w:rPr>
          <w:lang w:val="en-US"/>
        </w:rPr>
      </w:pPr>
      <w:r w:rsidRPr="00DD1B58">
        <w:rPr>
          <w:lang w:val="en-US"/>
        </w:rPr>
        <w:t>NNB expects t</w:t>
      </w:r>
      <w:r w:rsidR="425105B7" w:rsidRPr="00DD1B58">
        <w:rPr>
          <w:lang w:val="en-US"/>
        </w:rPr>
        <w:t>emporary buildings to be erected on the site during an outage and will normally be located between Turbine Halls (HM) and the Operational Service Centre (HBX) Building;</w:t>
      </w:r>
      <w:r w:rsidRPr="00DD1B58">
        <w:rPr>
          <w:lang w:val="en-US"/>
        </w:rPr>
        <w:t xml:space="preserve"> NNB GenCo </w:t>
      </w:r>
      <w:r w:rsidR="00D776E2" w:rsidRPr="00DD1B58">
        <w:rPr>
          <w:lang w:val="en-US"/>
        </w:rPr>
        <w:t>reports that</w:t>
      </w:r>
      <w:r w:rsidR="425105B7" w:rsidRPr="00DD1B58">
        <w:rPr>
          <w:lang w:val="en-US"/>
        </w:rPr>
        <w:t>connections to the site fire detection system via interface units and FIRE and FAULT signal feedback will be made when the temporary buildings are erected.</w:t>
      </w:r>
    </w:p>
    <w:p w14:paraId="648E55DD" w14:textId="77777777" w:rsidR="00CF7DDE" w:rsidRPr="00DD1B58" w:rsidRDefault="61FD8D35" w:rsidP="78D4B34E">
      <w:pPr>
        <w:pStyle w:val="Heading5A"/>
        <w:numPr>
          <w:ilvl w:val="4"/>
          <w:numId w:val="0"/>
        </w:numPr>
        <w:rPr>
          <w:lang w:val="en-US"/>
        </w:rPr>
      </w:pPr>
      <w:r w:rsidRPr="00DD1B58">
        <w:rPr>
          <w:lang w:val="en-US"/>
        </w:rPr>
        <w:t>A-II-3.2.2</w:t>
      </w:r>
      <w:r w:rsidR="00CF7DDE" w:rsidRPr="00DD1B58">
        <w:rPr>
          <w:lang w:val="en-US"/>
        </w:rPr>
        <w:tab/>
        <w:t xml:space="preserve">Fire suppression provisions </w:t>
      </w:r>
    </w:p>
    <w:p w14:paraId="4380DE38" w14:textId="316F38F7" w:rsidR="2D64D658" w:rsidRPr="00DD1B58" w:rsidRDefault="2D64D658" w:rsidP="00177432">
      <w:pPr>
        <w:pStyle w:val="Heading5A"/>
        <w:numPr>
          <w:ilvl w:val="5"/>
          <w:numId w:val="7"/>
        </w:numPr>
        <w:rPr>
          <w:color w:val="auto"/>
          <w:lang w:val="en-US"/>
        </w:rPr>
      </w:pPr>
      <w:r w:rsidRPr="00DD1B58">
        <w:rPr>
          <w:lang w:val="en-US"/>
        </w:rPr>
        <w:t xml:space="preserve">Design </w:t>
      </w:r>
      <w:r w:rsidR="0068227F" w:rsidRPr="00DD1B58">
        <w:rPr>
          <w:lang w:val="en-US"/>
        </w:rPr>
        <w:t>a</w:t>
      </w:r>
      <w:r w:rsidRPr="00DD1B58">
        <w:rPr>
          <w:lang w:val="en-US"/>
        </w:rPr>
        <w:t>pproach</w:t>
      </w:r>
      <w:r w:rsidR="781C4094" w:rsidRPr="00DD1B58">
        <w:rPr>
          <w:lang w:val="en-US"/>
        </w:rPr>
        <w:t xml:space="preserve"> </w:t>
      </w:r>
    </w:p>
    <w:p w14:paraId="41D9E981" w14:textId="6574EFEE" w:rsidR="781C4094" w:rsidRPr="00DD1B58" w:rsidRDefault="12C38395" w:rsidP="00441CE0">
      <w:pPr>
        <w:rPr>
          <w:lang w:val="en-US"/>
        </w:rPr>
      </w:pPr>
      <w:r w:rsidRPr="00DD1B58">
        <w:rPr>
          <w:lang w:val="en-US"/>
        </w:rPr>
        <w:t xml:space="preserve">The provision of fixed firefighting systems is based on a risk analysis approach taking account of the fire load and the presence of ignition sources in each relevant location. The criteria take account of nuclear safety, radiological containment, life safety and intervention, industrial property and availability aspects and are summarised in the </w:t>
      </w:r>
      <w:r w:rsidR="599E3A99" w:rsidRPr="00DD1B58">
        <w:rPr>
          <w:lang w:val="en-US"/>
        </w:rPr>
        <w:t xml:space="preserve">licensee’s submission </w:t>
      </w:r>
      <w:sdt>
        <w:sdtPr>
          <w:rPr>
            <w:lang w:val="en-US"/>
          </w:rPr>
          <w:id w:val="1338500140"/>
          <w:citation/>
        </w:sdtPr>
        <w:sdtContent>
          <w:r w:rsidR="003F259A" w:rsidRPr="00DD1B58">
            <w:rPr>
              <w:lang w:val="en-US"/>
            </w:rPr>
            <w:fldChar w:fldCharType="begin"/>
          </w:r>
          <w:r w:rsidR="003F259A" w:rsidRPr="00DD1B58">
            <w:rPr>
              <w:lang w:val="en-US"/>
            </w:rPr>
            <w:instrText xml:space="preserve"> CITATION NNB236 \l 2057 </w:instrText>
          </w:r>
          <w:r w:rsidR="003F259A" w:rsidRPr="00DD1B58">
            <w:rPr>
              <w:lang w:val="en-US"/>
            </w:rPr>
            <w:fldChar w:fldCharType="separate"/>
          </w:r>
          <w:r w:rsidR="00DF47DA" w:rsidRPr="00DF47DA">
            <w:rPr>
              <w:noProof/>
              <w:lang w:val="en-US"/>
            </w:rPr>
            <w:t>[49]</w:t>
          </w:r>
          <w:r w:rsidR="003F259A" w:rsidRPr="00DD1B58">
            <w:rPr>
              <w:lang w:val="en-US"/>
            </w:rPr>
            <w:fldChar w:fldCharType="end"/>
          </w:r>
        </w:sdtContent>
      </w:sdt>
      <w:r w:rsidR="599E3A99" w:rsidRPr="00DD1B58">
        <w:rPr>
          <w:lang w:val="en-US"/>
        </w:rPr>
        <w:t>.</w:t>
      </w:r>
      <w:r w:rsidRPr="00DD1B58">
        <w:rPr>
          <w:lang w:val="en-US"/>
        </w:rPr>
        <w:t xml:space="preserve"> </w:t>
      </w:r>
    </w:p>
    <w:p w14:paraId="5FDFC790" w14:textId="4C46A978" w:rsidR="15B2D157" w:rsidRPr="00DD1B58" w:rsidRDefault="15B2D157" w:rsidP="00441CE0">
      <w:pPr>
        <w:rPr>
          <w:lang w:val="en-US"/>
        </w:rPr>
      </w:pPr>
      <w:r w:rsidRPr="00DD1B58">
        <w:rPr>
          <w:lang w:val="en-US"/>
        </w:rPr>
        <w:t xml:space="preserve">Other factors considered </w:t>
      </w:r>
      <w:r w:rsidR="00B36849" w:rsidRPr="00DD1B58">
        <w:rPr>
          <w:lang w:val="en-US"/>
        </w:rPr>
        <w:t>by NN</w:t>
      </w:r>
      <w:r w:rsidR="00FD2701" w:rsidRPr="00DD1B58">
        <w:rPr>
          <w:lang w:val="en-US"/>
        </w:rPr>
        <w:t>B</w:t>
      </w:r>
      <w:r w:rsidR="00B36849" w:rsidRPr="00DD1B58">
        <w:rPr>
          <w:lang w:val="en-US"/>
        </w:rPr>
        <w:t xml:space="preserve"> GenCo </w:t>
      </w:r>
      <w:r w:rsidRPr="00DD1B58">
        <w:rPr>
          <w:lang w:val="en-US"/>
        </w:rPr>
        <w:t>include the presence of nuclear safety equipment, internal flooding issues that might be caused by activation of the system (damage to electrical components and non-water-tight equipment), layout impact and environmental issues from the suppression fluid.</w:t>
      </w:r>
    </w:p>
    <w:p w14:paraId="26F7C704" w14:textId="2EA180D3" w:rsidR="15B2D157" w:rsidRPr="00DD1B58" w:rsidRDefault="00B36849" w:rsidP="00441CE0">
      <w:pPr>
        <w:rPr>
          <w:lang w:val="en-US"/>
        </w:rPr>
      </w:pPr>
      <w:r w:rsidRPr="00DD1B58">
        <w:rPr>
          <w:lang w:val="en-US"/>
        </w:rPr>
        <w:t xml:space="preserve">NNB GenCo </w:t>
      </w:r>
      <w:r w:rsidR="006D798B" w:rsidRPr="00DD1B58">
        <w:rPr>
          <w:lang w:val="en-US"/>
        </w:rPr>
        <w:t>states that</w:t>
      </w:r>
      <w:r w:rsidRPr="00DD1B58">
        <w:rPr>
          <w:lang w:val="en-US"/>
        </w:rPr>
        <w:t xml:space="preserve"> t</w:t>
      </w:r>
      <w:r w:rsidR="15B2D157" w:rsidRPr="00DD1B58">
        <w:rPr>
          <w:lang w:val="en-US"/>
        </w:rPr>
        <w:t>he Main Control Rooms (MCRs) and Remote Shutdown Stations (RSSs) will serve as the Fire Control Centres for the HPC site and are segregated to protect against common cause failure.</w:t>
      </w:r>
    </w:p>
    <w:p w14:paraId="0A9AA6EB" w14:textId="04D7ECA8" w:rsidR="15B2D157" w:rsidRPr="00DD1B58" w:rsidRDefault="00B36849" w:rsidP="00441CE0">
      <w:pPr>
        <w:rPr>
          <w:lang w:val="en-US"/>
        </w:rPr>
      </w:pPr>
      <w:r w:rsidRPr="00DD1B58">
        <w:rPr>
          <w:lang w:val="en-US"/>
        </w:rPr>
        <w:t xml:space="preserve">It also </w:t>
      </w:r>
      <w:r w:rsidR="006D798B" w:rsidRPr="00DD1B58">
        <w:rPr>
          <w:lang w:val="en-US"/>
        </w:rPr>
        <w:t>states that</w:t>
      </w:r>
      <w:r w:rsidRPr="00DD1B58">
        <w:rPr>
          <w:lang w:val="en-US"/>
        </w:rPr>
        <w:t xml:space="preserve"> f</w:t>
      </w:r>
      <w:r w:rsidR="15B2D157" w:rsidRPr="00DD1B58">
        <w:rPr>
          <w:lang w:val="en-US"/>
        </w:rPr>
        <w:t>irefighting system</w:t>
      </w:r>
      <w:r w:rsidR="00C72F37" w:rsidRPr="00DD1B58">
        <w:rPr>
          <w:lang w:val="en-US"/>
        </w:rPr>
        <w:t xml:space="preserve"> </w:t>
      </w:r>
      <w:r w:rsidR="15B2D157" w:rsidRPr="00DD1B58">
        <w:rPr>
          <w:lang w:val="en-US"/>
        </w:rPr>
        <w:t xml:space="preserve">safety functions for buildings and equipment are Class 3. Several of these systems also contribute to other safety functions which have been assigned a higher class for nuclear safety, but only the fire related safety functions are reported in this document. This does, however, mean that </w:t>
      </w:r>
      <w:r w:rsidR="00C801BB" w:rsidRPr="00DD1B58">
        <w:rPr>
          <w:lang w:val="en-US"/>
        </w:rPr>
        <w:t xml:space="preserve">NNB may design </w:t>
      </w:r>
      <w:r w:rsidR="15B2D157" w:rsidRPr="00DD1B58">
        <w:rPr>
          <w:lang w:val="en-US"/>
        </w:rPr>
        <w:t>some parts of the systems to higher standards than would be dictated solely by their fire SF classification.</w:t>
      </w:r>
    </w:p>
    <w:p w14:paraId="72F546DF" w14:textId="5C1C768B" w:rsidR="15B2D157" w:rsidRPr="00DD1B58" w:rsidRDefault="3542EEBA" w:rsidP="00973FF4">
      <w:pPr>
        <w:rPr>
          <w:lang w:val="en-US"/>
        </w:rPr>
      </w:pPr>
      <w:r w:rsidRPr="00DD1B58">
        <w:rPr>
          <w:lang w:val="en-US"/>
        </w:rPr>
        <w:t xml:space="preserve">The key characteristics of the firefighting systems are detailed in the HPC fire strategy document </w:t>
      </w:r>
      <w:sdt>
        <w:sdtPr>
          <w:rPr>
            <w:lang w:val="en-US"/>
          </w:rPr>
          <w:id w:val="-1174335253"/>
          <w:citation/>
        </w:sdtPr>
        <w:sdtContent>
          <w:r w:rsidR="00581537" w:rsidRPr="00DD1B58">
            <w:rPr>
              <w:lang w:val="en-US"/>
            </w:rPr>
            <w:fldChar w:fldCharType="begin"/>
          </w:r>
          <w:r w:rsidR="00581537" w:rsidRPr="00DD1B58">
            <w:rPr>
              <w:lang w:val="en-US"/>
            </w:rPr>
            <w:instrText xml:space="preserve"> CITATION NNB21 \l 2057 </w:instrText>
          </w:r>
          <w:r w:rsidR="00581537" w:rsidRPr="00DD1B58">
            <w:rPr>
              <w:lang w:val="en-US"/>
            </w:rPr>
            <w:fldChar w:fldCharType="separate"/>
          </w:r>
          <w:r w:rsidR="00DF47DA" w:rsidRPr="00DF47DA">
            <w:rPr>
              <w:noProof/>
              <w:lang w:val="en-US"/>
            </w:rPr>
            <w:t>[130]</w:t>
          </w:r>
          <w:r w:rsidR="00581537" w:rsidRPr="00DD1B58">
            <w:rPr>
              <w:lang w:val="en-US"/>
            </w:rPr>
            <w:fldChar w:fldCharType="end"/>
          </w:r>
        </w:sdtContent>
      </w:sdt>
      <w:r w:rsidRPr="00DD1B58">
        <w:rPr>
          <w:lang w:val="en-US"/>
        </w:rPr>
        <w:t xml:space="preserve">, Table 8 of which lists the </w:t>
      </w:r>
      <w:r w:rsidR="73E5DED4" w:rsidRPr="00DD1B58">
        <w:rPr>
          <w:lang w:val="en-US"/>
        </w:rPr>
        <w:t>key</w:t>
      </w:r>
      <w:r w:rsidRPr="00DD1B58">
        <w:rPr>
          <w:lang w:val="en-US"/>
        </w:rPr>
        <w:t xml:space="preserve"> parameters based on the type of equipment protected (oil</w:t>
      </w:r>
      <w:r w:rsidR="008C589C" w:rsidRPr="00DD1B58">
        <w:rPr>
          <w:lang w:val="en-US"/>
        </w:rPr>
        <w:t>-</w:t>
      </w:r>
      <w:r w:rsidRPr="00DD1B58">
        <w:rPr>
          <w:lang w:val="en-US"/>
        </w:rPr>
        <w:t>cooled transformers, diesel generators or diesel driven pump sets, diesel storage, cable spreading rooms, server and I&amp;C cabinet rooms, cable galleries flammable and combustible liquids, charcoal filters, storage spaces, hydrogen stores</w:t>
      </w:r>
      <w:r w:rsidR="56465061" w:rsidRPr="00DD1B58">
        <w:rPr>
          <w:lang w:val="en-US"/>
        </w:rPr>
        <w:t>)</w:t>
      </w:r>
      <w:r w:rsidR="4D8A74CB" w:rsidRPr="00DD1B58">
        <w:rPr>
          <w:lang w:val="en-US"/>
        </w:rPr>
        <w:t xml:space="preserve">. These include the suppression system type, the density and area of coverage, relevant standards for the suppression system type (see Appendix </w:t>
      </w:r>
      <w:r w:rsidR="004C7565" w:rsidRPr="00DD1B58">
        <w:rPr>
          <w:lang w:val="en-US"/>
        </w:rPr>
        <w:t>I</w:t>
      </w:r>
      <w:r w:rsidR="4D8A74CB" w:rsidRPr="00DD1B58">
        <w:rPr>
          <w:lang w:val="en-US"/>
        </w:rPr>
        <w:t>)</w:t>
      </w:r>
      <w:r w:rsidR="533A0453" w:rsidRPr="00DD1B58">
        <w:rPr>
          <w:lang w:val="en-US"/>
        </w:rPr>
        <w:t>).</w:t>
      </w:r>
      <w:r w:rsidR="00BF1DAB" w:rsidRPr="00DD1B58">
        <w:rPr>
          <w:lang w:val="en-US"/>
        </w:rPr>
        <w:t xml:space="preserve"> NNB GenCo listed the</w:t>
      </w:r>
      <w:r w:rsidR="15B2D157" w:rsidRPr="00DD1B58">
        <w:rPr>
          <w:lang w:val="en-US"/>
        </w:rPr>
        <w:t xml:space="preserve"> fixed firefighting systems as follows:</w:t>
      </w:r>
    </w:p>
    <w:p w14:paraId="46ACCBCD" w14:textId="660FCCA5" w:rsidR="15B2D157" w:rsidRPr="00DD1B58" w:rsidRDefault="2B912BD4" w:rsidP="00441CE0">
      <w:pPr>
        <w:pStyle w:val="Bulletlist1"/>
        <w:rPr>
          <w:lang w:val="en-US"/>
        </w:rPr>
      </w:pPr>
      <w:r w:rsidRPr="00DD1B58">
        <w:rPr>
          <w:lang w:val="en-US"/>
        </w:rPr>
        <w:t xml:space="preserve">(JPI) Nuclear Island Protection and </w:t>
      </w:r>
      <w:r w:rsidR="004F5760" w:rsidRPr="00DD1B58">
        <w:rPr>
          <w:lang w:val="en-US"/>
        </w:rPr>
        <w:t>Firefight</w:t>
      </w:r>
      <w:r w:rsidRPr="00DD1B58">
        <w:rPr>
          <w:lang w:val="en-US"/>
        </w:rPr>
        <w:t xml:space="preserve">ing Water Distribution system (NIFPS) – Classified system for protection and distribution of </w:t>
      </w:r>
      <w:r w:rsidR="004F5760" w:rsidRPr="00DD1B58">
        <w:rPr>
          <w:lang w:val="en-US"/>
        </w:rPr>
        <w:t>firefight</w:t>
      </w:r>
      <w:r w:rsidRPr="00DD1B58">
        <w:rPr>
          <w:lang w:val="en-US"/>
        </w:rPr>
        <w:t xml:space="preserve">ing water in the Nuclear Island (NI) including the reactor building and fuel buildings. The system predominantly uses water sprinklers with some water deluge systems </w:t>
      </w:r>
      <w:sdt>
        <w:sdtPr>
          <w:rPr>
            <w:lang w:val="en-US"/>
          </w:rPr>
          <w:id w:val="-1572038885"/>
          <w:citation/>
        </w:sdtPr>
        <w:sdtContent>
          <w:r w:rsidR="00472C6E" w:rsidRPr="00DD1B58">
            <w:rPr>
              <w:lang w:val="en-US"/>
            </w:rPr>
            <w:fldChar w:fldCharType="begin"/>
          </w:r>
          <w:r w:rsidR="00472C6E" w:rsidRPr="00DD1B58">
            <w:rPr>
              <w:lang w:val="en-US"/>
            </w:rPr>
            <w:instrText xml:space="preserve"> CITATION NNB206 \l 2057 </w:instrText>
          </w:r>
          <w:r w:rsidR="00472C6E" w:rsidRPr="00DD1B58">
            <w:rPr>
              <w:lang w:val="en-US"/>
            </w:rPr>
            <w:fldChar w:fldCharType="separate"/>
          </w:r>
          <w:r w:rsidR="00DF47DA" w:rsidRPr="00DF47DA">
            <w:rPr>
              <w:lang w:val="en-US"/>
            </w:rPr>
            <w:t>[167]</w:t>
          </w:r>
          <w:r w:rsidR="00472C6E" w:rsidRPr="00DD1B58">
            <w:rPr>
              <w:lang w:val="en-US"/>
            </w:rPr>
            <w:fldChar w:fldCharType="end"/>
          </w:r>
        </w:sdtContent>
      </w:sdt>
      <w:r w:rsidR="2C104E64" w:rsidRPr="00DD1B58">
        <w:rPr>
          <w:lang w:val="en-US"/>
        </w:rPr>
        <w:t>.</w:t>
      </w:r>
      <w:r w:rsidRPr="00DD1B58">
        <w:rPr>
          <w:lang w:val="en-US"/>
        </w:rPr>
        <w:t xml:space="preserve"> The sprinkler systems are automatically activated by the JDT system or by detection of heat at the sprinkler heads. The deluge systems are operated manually from the MCR.</w:t>
      </w:r>
    </w:p>
    <w:p w14:paraId="6E135BCD" w14:textId="66DE5ADB" w:rsidR="15B2D157" w:rsidRPr="00DD1B58" w:rsidRDefault="2B912BD4" w:rsidP="00441CE0">
      <w:pPr>
        <w:pStyle w:val="Bulletlist1"/>
        <w:rPr>
          <w:lang w:val="en-US"/>
        </w:rPr>
      </w:pPr>
      <w:r w:rsidRPr="00DD1B58">
        <w:rPr>
          <w:lang w:val="en-US"/>
        </w:rPr>
        <w:t xml:space="preserve">(9JPI) Nuclear Island Protection and </w:t>
      </w:r>
      <w:r w:rsidR="004F5760" w:rsidRPr="00DD1B58">
        <w:rPr>
          <w:lang w:val="en-US"/>
        </w:rPr>
        <w:t>Firefight</w:t>
      </w:r>
      <w:r w:rsidRPr="00DD1B58">
        <w:rPr>
          <w:lang w:val="en-US"/>
        </w:rPr>
        <w:t>ing Water Distribution System for other buildings containing radioactive material (ETBFPS) –</w:t>
      </w:r>
      <w:r w:rsidR="00BC5590" w:rsidRPr="00DD1B58">
        <w:rPr>
          <w:lang w:val="en-US"/>
        </w:rPr>
        <w:t xml:space="preserve"> </w:t>
      </w:r>
      <w:r w:rsidRPr="00DD1B58">
        <w:rPr>
          <w:lang w:val="en-US"/>
        </w:rPr>
        <w:t xml:space="preserve">Classified system for fire protection and </w:t>
      </w:r>
      <w:r w:rsidR="004F5760" w:rsidRPr="00DD1B58">
        <w:rPr>
          <w:lang w:val="en-US"/>
        </w:rPr>
        <w:t>firefight</w:t>
      </w:r>
      <w:r w:rsidRPr="00DD1B58">
        <w:rPr>
          <w:lang w:val="en-US"/>
        </w:rPr>
        <w:t>ing water distribution for NI buildings for radioactive waste and effluent storage and handling and associated workshops and laundry facilities</w:t>
      </w:r>
      <w:r w:rsidR="0E04147F" w:rsidRPr="00DD1B58">
        <w:rPr>
          <w:lang w:val="en-US"/>
        </w:rPr>
        <w:t xml:space="preserve"> </w:t>
      </w:r>
      <w:sdt>
        <w:sdtPr>
          <w:rPr>
            <w:lang w:val="en-US"/>
          </w:rPr>
          <w:id w:val="-1643952130"/>
          <w:citation/>
        </w:sdtPr>
        <w:sdtContent>
          <w:r w:rsidR="00C04C7D" w:rsidRPr="00DD1B58">
            <w:rPr>
              <w:lang w:val="en-US"/>
            </w:rPr>
            <w:fldChar w:fldCharType="begin"/>
          </w:r>
          <w:r w:rsidR="00C04C7D" w:rsidRPr="00DD1B58">
            <w:rPr>
              <w:lang w:val="en-US"/>
            </w:rPr>
            <w:instrText xml:space="preserve"> CITATION NNB218 \l 2057 </w:instrText>
          </w:r>
          <w:r w:rsidR="00C04C7D" w:rsidRPr="00DD1B58">
            <w:rPr>
              <w:lang w:val="en-US"/>
            </w:rPr>
            <w:fldChar w:fldCharType="separate"/>
          </w:r>
          <w:r w:rsidR="00DF47DA" w:rsidRPr="00DF47DA">
            <w:rPr>
              <w:lang w:val="en-US"/>
            </w:rPr>
            <w:t>[168]</w:t>
          </w:r>
          <w:r w:rsidR="00C04C7D" w:rsidRPr="00DD1B58">
            <w:rPr>
              <w:lang w:val="en-US"/>
            </w:rPr>
            <w:fldChar w:fldCharType="end"/>
          </w:r>
        </w:sdtContent>
      </w:sdt>
      <w:r w:rsidR="418F98B7" w:rsidRPr="00DD1B58">
        <w:rPr>
          <w:lang w:val="en-US"/>
        </w:rPr>
        <w:t>.</w:t>
      </w:r>
      <w:r w:rsidR="0E04147F" w:rsidRPr="00DD1B58">
        <w:rPr>
          <w:lang w:val="en-US"/>
        </w:rPr>
        <w:t xml:space="preserve"> The system is predominantly water sprinklers but includes foam systems for solvent and oil storage facilities. The sprinkler response to a fire is similar to that for JPI. For the foam systems, opening of a motorised valve will activate the foam storage and dosing unit so that foam is ejected to the proportioner.</w:t>
      </w:r>
    </w:p>
    <w:p w14:paraId="77B5A9A0" w14:textId="2DA324DF" w:rsidR="09A729E1" w:rsidRPr="00DD1B58" w:rsidRDefault="0E04147F" w:rsidP="00441CE0">
      <w:pPr>
        <w:pStyle w:val="Bulletlist1"/>
        <w:rPr>
          <w:lang w:val="en-US"/>
        </w:rPr>
      </w:pPr>
      <w:r w:rsidRPr="00DD1B58">
        <w:rPr>
          <w:lang w:val="en-US"/>
        </w:rPr>
        <w:t xml:space="preserve">(JPD) Firefighting System for Conventional Island – Classified system (with non-classified parts) for distribution of </w:t>
      </w:r>
      <w:r w:rsidR="004F5760" w:rsidRPr="00DD1B58">
        <w:rPr>
          <w:lang w:val="en-US"/>
        </w:rPr>
        <w:t>firefight</w:t>
      </w:r>
      <w:r w:rsidRPr="00DD1B58">
        <w:rPr>
          <w:lang w:val="en-US"/>
        </w:rPr>
        <w:t xml:space="preserve">ing water for the Conventional Island, Balance of Plant, and site buildings </w:t>
      </w:r>
      <w:sdt>
        <w:sdtPr>
          <w:rPr>
            <w:lang w:val="en-US"/>
          </w:rPr>
          <w:id w:val="-819183092"/>
          <w:citation/>
        </w:sdtPr>
        <w:sdtContent>
          <w:r w:rsidR="004707FF" w:rsidRPr="00DD1B58">
            <w:rPr>
              <w:lang w:val="en-US"/>
            </w:rPr>
            <w:fldChar w:fldCharType="begin"/>
          </w:r>
          <w:r w:rsidR="004707FF" w:rsidRPr="00DD1B58">
            <w:rPr>
              <w:lang w:val="en-US"/>
            </w:rPr>
            <w:instrText xml:space="preserve"> CITATION NNB219 \l 2057 </w:instrText>
          </w:r>
          <w:r w:rsidR="004707FF" w:rsidRPr="00DD1B58">
            <w:rPr>
              <w:lang w:val="en-US"/>
            </w:rPr>
            <w:fldChar w:fldCharType="separate"/>
          </w:r>
          <w:r w:rsidR="00DF47DA" w:rsidRPr="00DF47DA">
            <w:rPr>
              <w:lang w:val="en-US"/>
            </w:rPr>
            <w:t>[169]</w:t>
          </w:r>
          <w:r w:rsidR="004707FF" w:rsidRPr="00DD1B58">
            <w:rPr>
              <w:lang w:val="en-US"/>
            </w:rPr>
            <w:fldChar w:fldCharType="end"/>
          </w:r>
        </w:sdtContent>
      </w:sdt>
      <w:r w:rsidR="418F98B7" w:rsidRPr="00DD1B58">
        <w:rPr>
          <w:lang w:val="en-US"/>
        </w:rPr>
        <w:t>,</w:t>
      </w:r>
      <w:r w:rsidRPr="00DD1B58">
        <w:rPr>
          <w:lang w:val="en-US"/>
        </w:rPr>
        <w:t xml:space="preserve"> and is predominantly water sprinkler systems with some water deluge systems. The operating principles are similar to those of the JPI system except that the deluge systems are triggered automatically on detection of a fire by the JDT system.</w:t>
      </w:r>
    </w:p>
    <w:p w14:paraId="0F395D88" w14:textId="64E0BC49" w:rsidR="09A729E1" w:rsidRPr="00DD1B58" w:rsidRDefault="0E04147F" w:rsidP="00441CE0">
      <w:pPr>
        <w:pStyle w:val="Bulletlist1"/>
        <w:rPr>
          <w:lang w:val="en-US"/>
        </w:rPr>
      </w:pPr>
      <w:r w:rsidRPr="00DD1B58">
        <w:rPr>
          <w:lang w:val="en-US"/>
        </w:rPr>
        <w:t xml:space="preserve">(JPV) Diesel Fire Protection System – Classified system for fire protection for the Diesel buildings </w:t>
      </w:r>
      <w:sdt>
        <w:sdtPr>
          <w:rPr>
            <w:lang w:val="en-US"/>
          </w:rPr>
          <w:id w:val="1572619523"/>
          <w:citation/>
        </w:sdtPr>
        <w:sdtContent>
          <w:r w:rsidR="000643AC" w:rsidRPr="00DD1B58">
            <w:rPr>
              <w:lang w:val="en-US"/>
            </w:rPr>
            <w:fldChar w:fldCharType="begin"/>
          </w:r>
          <w:r w:rsidR="000643AC" w:rsidRPr="00DD1B58">
            <w:rPr>
              <w:lang w:val="en-US"/>
            </w:rPr>
            <w:instrText xml:space="preserve"> CITATION NNB207 \l 2057 </w:instrText>
          </w:r>
          <w:r w:rsidR="000643AC" w:rsidRPr="00DD1B58">
            <w:rPr>
              <w:lang w:val="en-US"/>
            </w:rPr>
            <w:fldChar w:fldCharType="separate"/>
          </w:r>
          <w:r w:rsidR="00DF47DA" w:rsidRPr="00DF47DA">
            <w:rPr>
              <w:lang w:val="en-US"/>
            </w:rPr>
            <w:t>[170]</w:t>
          </w:r>
          <w:r w:rsidR="000643AC" w:rsidRPr="00DD1B58">
            <w:rPr>
              <w:lang w:val="en-US"/>
            </w:rPr>
            <w:fldChar w:fldCharType="end"/>
          </w:r>
        </w:sdtContent>
      </w:sdt>
      <w:r w:rsidR="418F98B7" w:rsidRPr="00DD1B58">
        <w:rPr>
          <w:lang w:val="en-US"/>
        </w:rPr>
        <w:t>.</w:t>
      </w:r>
      <w:r w:rsidRPr="00DD1B58">
        <w:rPr>
          <w:lang w:val="en-US"/>
        </w:rPr>
        <w:t xml:space="preserve"> This system includes automatically activated water or foam deluge systems and wet sprinkler systems.</w:t>
      </w:r>
    </w:p>
    <w:p w14:paraId="26C5EE5E" w14:textId="67C91D94" w:rsidR="09A729E1" w:rsidRPr="00DD1B58" w:rsidRDefault="0E04147F" w:rsidP="00441CE0">
      <w:pPr>
        <w:pStyle w:val="Bulletlist1"/>
        <w:rPr>
          <w:lang w:val="en-US"/>
        </w:rPr>
      </w:pPr>
      <w:r w:rsidRPr="00DD1B58">
        <w:rPr>
          <w:lang w:val="en-US"/>
        </w:rPr>
        <w:t xml:space="preserve">(JPH) Turbine Hall Oil Tank Firefighting system– System for extinguishing fires in the Turbine Hall oil tank </w:t>
      </w:r>
      <w:sdt>
        <w:sdtPr>
          <w:rPr>
            <w:lang w:val="en-US"/>
          </w:rPr>
          <w:id w:val="-939917911"/>
          <w:citation/>
        </w:sdtPr>
        <w:sdtContent>
          <w:r w:rsidR="000E57CD" w:rsidRPr="00DD1B58">
            <w:rPr>
              <w:lang w:val="en-US"/>
            </w:rPr>
            <w:fldChar w:fldCharType="begin"/>
          </w:r>
          <w:r w:rsidR="000E57CD" w:rsidRPr="00DD1B58">
            <w:rPr>
              <w:lang w:val="en-US"/>
            </w:rPr>
            <w:instrText xml:space="preserve"> CITATION NNB229 \l 2057 </w:instrText>
          </w:r>
          <w:r w:rsidR="000E57CD" w:rsidRPr="00DD1B58">
            <w:rPr>
              <w:lang w:val="en-US"/>
            </w:rPr>
            <w:fldChar w:fldCharType="separate"/>
          </w:r>
          <w:r w:rsidR="00DF47DA" w:rsidRPr="00DF47DA">
            <w:rPr>
              <w:lang w:val="en-US"/>
            </w:rPr>
            <w:t>[171]</w:t>
          </w:r>
          <w:r w:rsidR="000E57CD" w:rsidRPr="00DD1B58">
            <w:rPr>
              <w:lang w:val="en-US"/>
            </w:rPr>
            <w:fldChar w:fldCharType="end"/>
          </w:r>
        </w:sdtContent>
      </w:sdt>
      <w:r w:rsidR="418F98B7" w:rsidRPr="00DD1B58">
        <w:rPr>
          <w:lang w:val="en-US"/>
        </w:rPr>
        <w:t>,</w:t>
      </w:r>
      <w:r w:rsidRPr="00DD1B58">
        <w:rPr>
          <w:lang w:val="en-US"/>
        </w:rPr>
        <w:t xml:space="preserve"> comprising water deluge systems for individual plant items. Most of the systems are activated automatically on detection of a fire by the JDT system, except the system serving the turbine generator bearings which is activated manually from either the MCR or locally within the Turbine Hall.</w:t>
      </w:r>
    </w:p>
    <w:p w14:paraId="12565C53" w14:textId="7F11A4A0" w:rsidR="09A729E1" w:rsidRPr="00DD1B58" w:rsidRDefault="0E04147F" w:rsidP="00441CE0">
      <w:pPr>
        <w:pStyle w:val="Bulletlist1"/>
        <w:rPr>
          <w:lang w:val="en-US"/>
        </w:rPr>
      </w:pPr>
      <w:r w:rsidRPr="00DD1B58">
        <w:rPr>
          <w:lang w:val="en-US"/>
        </w:rPr>
        <w:t xml:space="preserve">(JPT) Transformer Fire Protection System – System for fire protection of the transformers </w:t>
      </w:r>
      <w:sdt>
        <w:sdtPr>
          <w:rPr>
            <w:lang w:val="en-US"/>
          </w:rPr>
          <w:id w:val="785085775"/>
          <w:citation/>
        </w:sdtPr>
        <w:sdtContent>
          <w:r w:rsidR="002B3320" w:rsidRPr="00DD1B58">
            <w:rPr>
              <w:lang w:val="en-US"/>
            </w:rPr>
            <w:fldChar w:fldCharType="begin"/>
          </w:r>
          <w:r w:rsidR="002B3320" w:rsidRPr="00DD1B58">
            <w:rPr>
              <w:lang w:val="en-US"/>
            </w:rPr>
            <w:instrText xml:space="preserve"> CITATION NNB2110 \l 2057 </w:instrText>
          </w:r>
          <w:r w:rsidR="002B3320" w:rsidRPr="00DD1B58">
            <w:rPr>
              <w:lang w:val="en-US"/>
            </w:rPr>
            <w:fldChar w:fldCharType="separate"/>
          </w:r>
          <w:r w:rsidR="00DF47DA" w:rsidRPr="00DF47DA">
            <w:rPr>
              <w:lang w:val="en-US"/>
            </w:rPr>
            <w:t>[172]</w:t>
          </w:r>
          <w:r w:rsidR="002B3320" w:rsidRPr="00DD1B58">
            <w:rPr>
              <w:lang w:val="en-US"/>
            </w:rPr>
            <w:fldChar w:fldCharType="end"/>
          </w:r>
        </w:sdtContent>
      </w:sdt>
      <w:r w:rsidR="418F98B7" w:rsidRPr="00DD1B58">
        <w:rPr>
          <w:lang w:val="en-US"/>
        </w:rPr>
        <w:t>,</w:t>
      </w:r>
      <w:r w:rsidRPr="00DD1B58">
        <w:rPr>
          <w:lang w:val="en-US"/>
        </w:rPr>
        <w:t xml:space="preserve"> comprising an automatically activated deluge system. </w:t>
      </w:r>
      <w:r w:rsidR="00B13C25" w:rsidRPr="00DD1B58">
        <w:rPr>
          <w:lang w:val="en-US"/>
        </w:rPr>
        <w:t xml:space="preserve">NNB GenCO does not claim the </w:t>
      </w:r>
      <w:r w:rsidRPr="00DD1B58">
        <w:rPr>
          <w:lang w:val="en-US"/>
        </w:rPr>
        <w:t>system for nuclear safety, so the protection is for life safety and asset protection only.</w:t>
      </w:r>
    </w:p>
    <w:p w14:paraId="16209D45" w14:textId="0527DA1E" w:rsidR="09A729E1" w:rsidRPr="00DD1B58" w:rsidRDefault="0E04147F" w:rsidP="00441CE0">
      <w:pPr>
        <w:pStyle w:val="Bulletlist1"/>
        <w:rPr>
          <w:lang w:val="en-US"/>
        </w:rPr>
      </w:pPr>
      <w:r w:rsidRPr="00DD1B58">
        <w:rPr>
          <w:lang w:val="en-US"/>
        </w:rPr>
        <w:t xml:space="preserve">(0JPU) HUM/HDU Fixed Fire Suppression System – System for fire protection of the Emergency Response Centre (HUM) and Emergency Response Energy Centre (HDU) </w:t>
      </w:r>
      <w:sdt>
        <w:sdtPr>
          <w:rPr>
            <w:lang w:val="en-US"/>
          </w:rPr>
          <w:id w:val="580338633"/>
          <w:citation/>
        </w:sdtPr>
        <w:sdtContent>
          <w:r w:rsidR="00744455" w:rsidRPr="00DD1B58">
            <w:rPr>
              <w:lang w:val="en-US"/>
            </w:rPr>
            <w:fldChar w:fldCharType="begin"/>
          </w:r>
          <w:r w:rsidR="00744455" w:rsidRPr="00DD1B58">
            <w:rPr>
              <w:lang w:val="en-US"/>
            </w:rPr>
            <w:instrText xml:space="preserve"> CITATION NNB235 \l 2057 </w:instrText>
          </w:r>
          <w:r w:rsidR="00744455" w:rsidRPr="00DD1B58">
            <w:rPr>
              <w:lang w:val="en-US"/>
            </w:rPr>
            <w:fldChar w:fldCharType="separate"/>
          </w:r>
          <w:r w:rsidR="00DF47DA" w:rsidRPr="00DF47DA">
            <w:rPr>
              <w:lang w:val="en-US"/>
            </w:rPr>
            <w:t>[173]</w:t>
          </w:r>
          <w:r w:rsidR="00744455" w:rsidRPr="00DD1B58">
            <w:rPr>
              <w:lang w:val="en-US"/>
            </w:rPr>
            <w:fldChar w:fldCharType="end"/>
          </w:r>
        </w:sdtContent>
      </w:sdt>
      <w:r w:rsidRPr="00DD1B58">
        <w:rPr>
          <w:lang w:val="en-US"/>
        </w:rPr>
        <w:t xml:space="preserve"> is a water mist system to protect the emergency diesel generator and its fuel storage tank rooms in HDU, water deluge for the plant room carbon filter housings in HUM, and inert gas suppression for other areas of HUM. The system is triggered automatically by 0JPU fire detectors but can also be activated manually via the local control panel.</w:t>
      </w:r>
    </w:p>
    <w:p w14:paraId="7C3E0D9F" w14:textId="77777777" w:rsidR="00CF7DDE" w:rsidRPr="00DD1B58" w:rsidRDefault="00CF7DDE" w:rsidP="00177432">
      <w:pPr>
        <w:pStyle w:val="Heading5A"/>
        <w:numPr>
          <w:ilvl w:val="5"/>
          <w:numId w:val="7"/>
        </w:numPr>
        <w:rPr>
          <w:lang w:val="en-US"/>
        </w:rPr>
      </w:pPr>
      <w:r w:rsidRPr="00DD1B58">
        <w:rPr>
          <w:lang w:val="en-US"/>
        </w:rPr>
        <w:t xml:space="preserve">Types, main characteristics and performance expectations </w:t>
      </w:r>
    </w:p>
    <w:p w14:paraId="7AF9D6B8" w14:textId="044BC0EB" w:rsidR="472B4939" w:rsidRPr="00DD1B58" w:rsidRDefault="00160C28" w:rsidP="00441CE0">
      <w:pPr>
        <w:rPr>
          <w:lang w:val="en-US"/>
        </w:rPr>
      </w:pPr>
      <w:r w:rsidRPr="00DD1B58">
        <w:rPr>
          <w:lang w:val="en-US"/>
        </w:rPr>
        <w:t xml:space="preserve">NNB GenCo </w:t>
      </w:r>
      <w:r w:rsidR="00D776E2" w:rsidRPr="00DD1B58">
        <w:rPr>
          <w:lang w:val="en-US"/>
        </w:rPr>
        <w:t>reports</w:t>
      </w:r>
      <w:r w:rsidR="006D798B" w:rsidRPr="00DD1B58">
        <w:rPr>
          <w:lang w:val="en-US"/>
        </w:rPr>
        <w:t xml:space="preserve"> that</w:t>
      </w:r>
      <w:r w:rsidRPr="00DD1B58">
        <w:rPr>
          <w:lang w:val="en-US"/>
        </w:rPr>
        <w:t xml:space="preserve"> w</w:t>
      </w:r>
      <w:r w:rsidR="468CCD9C" w:rsidRPr="00DD1B58">
        <w:rPr>
          <w:lang w:val="en-US"/>
        </w:rPr>
        <w:t xml:space="preserve">ater supply for fixed automatic systems is from (JAC) </w:t>
      </w:r>
      <w:r w:rsidR="00901B9C" w:rsidRPr="00DD1B58">
        <w:rPr>
          <w:lang w:val="en-US"/>
        </w:rPr>
        <w:t xml:space="preserve">the </w:t>
      </w:r>
      <w:r w:rsidR="468CCD9C" w:rsidRPr="00DD1B58">
        <w:rPr>
          <w:lang w:val="en-US"/>
        </w:rPr>
        <w:t xml:space="preserve">Firefighting Water Supply System, which is the classified system for the supply of </w:t>
      </w:r>
      <w:r w:rsidR="004F5760" w:rsidRPr="00DD1B58">
        <w:rPr>
          <w:lang w:val="en-US"/>
        </w:rPr>
        <w:t>firefight</w:t>
      </w:r>
      <w:r w:rsidR="468CCD9C" w:rsidRPr="00DD1B58">
        <w:rPr>
          <w:lang w:val="en-US"/>
        </w:rPr>
        <w:t xml:space="preserve">ing water </w:t>
      </w:r>
      <w:sdt>
        <w:sdtPr>
          <w:rPr>
            <w:lang w:val="en-US"/>
          </w:rPr>
          <w:id w:val="-345182357"/>
          <w:citation/>
        </w:sdtPr>
        <w:sdtContent>
          <w:r w:rsidR="00090DBF" w:rsidRPr="00DD1B58">
            <w:rPr>
              <w:lang w:val="en-US"/>
            </w:rPr>
            <w:fldChar w:fldCharType="begin"/>
          </w:r>
          <w:r w:rsidR="00090DBF" w:rsidRPr="00DD1B58">
            <w:rPr>
              <w:lang w:val="en-US"/>
            </w:rPr>
            <w:instrText xml:space="preserve"> CITATION NNB2111 \l 2057 </w:instrText>
          </w:r>
          <w:r w:rsidR="00090DBF" w:rsidRPr="00DD1B58">
            <w:rPr>
              <w:lang w:val="en-US"/>
            </w:rPr>
            <w:fldChar w:fldCharType="separate"/>
          </w:r>
          <w:r w:rsidR="00DF47DA" w:rsidRPr="00DF47DA">
            <w:rPr>
              <w:noProof/>
              <w:lang w:val="en-US"/>
            </w:rPr>
            <w:t>[174]</w:t>
          </w:r>
          <w:r w:rsidR="00090DBF" w:rsidRPr="00DD1B58">
            <w:rPr>
              <w:lang w:val="en-US"/>
            </w:rPr>
            <w:fldChar w:fldCharType="end"/>
          </w:r>
        </w:sdtContent>
      </w:sdt>
      <w:r w:rsidR="468CCD9C" w:rsidRPr="00DD1B58">
        <w:rPr>
          <w:lang w:val="en-US"/>
        </w:rPr>
        <w:t xml:space="preserve">, comprising two water storage tanks, four firefighting water pumps (one per train with each train powered from a different division), and associated pipework, valves and control and instrumentation. The pumps’ power supply is backed up from the emergency diesel generators, and two of the four are also backed up from the </w:t>
      </w:r>
      <w:r w:rsidR="00F2147F" w:rsidRPr="00DD1B58">
        <w:rPr>
          <w:lang w:val="en-US"/>
        </w:rPr>
        <w:t>Ultimate Diesel Generator (</w:t>
      </w:r>
      <w:r w:rsidR="468CCD9C" w:rsidRPr="00DD1B58">
        <w:rPr>
          <w:lang w:val="en-US"/>
        </w:rPr>
        <w:t>UDG</w:t>
      </w:r>
      <w:r w:rsidR="00F2147F" w:rsidRPr="00DD1B58">
        <w:rPr>
          <w:lang w:val="en-US"/>
        </w:rPr>
        <w:t>)</w:t>
      </w:r>
      <w:r w:rsidR="468CCD9C" w:rsidRPr="00DD1B58">
        <w:rPr>
          <w:lang w:val="en-US"/>
        </w:rPr>
        <w:t xml:space="preserve"> in case of loss of the EDGs.</w:t>
      </w:r>
      <w:r w:rsidR="007A2C67" w:rsidRPr="00DD1B58">
        <w:rPr>
          <w:lang w:val="en-US"/>
        </w:rPr>
        <w:t xml:space="preserve"> </w:t>
      </w:r>
      <w:r w:rsidR="472B4939" w:rsidRPr="00DD1B58">
        <w:rPr>
          <w:lang w:val="en-US"/>
        </w:rPr>
        <w:t xml:space="preserve">The JAC system supplies JPI, 9JPI, JPV, JPD, JPT, JPH and JPS. The fire water is routed to the Nuclear Island via two separated JAC lines to loops which serve the relevant systems. </w:t>
      </w:r>
      <w:r w:rsidR="00153806" w:rsidRPr="00DD1B58">
        <w:rPr>
          <w:lang w:val="en-US"/>
        </w:rPr>
        <w:t xml:space="preserve">NNB GenCo </w:t>
      </w:r>
      <w:r w:rsidR="00D776E2" w:rsidRPr="00DD1B58">
        <w:rPr>
          <w:lang w:val="en-US"/>
        </w:rPr>
        <w:t xml:space="preserve">states </w:t>
      </w:r>
      <w:r w:rsidR="006D798B" w:rsidRPr="00DD1B58">
        <w:rPr>
          <w:lang w:val="en-US"/>
        </w:rPr>
        <w:t>that</w:t>
      </w:r>
      <w:r w:rsidR="00153806" w:rsidRPr="00DD1B58">
        <w:rPr>
          <w:lang w:val="en-US"/>
        </w:rPr>
        <w:t xml:space="preserve"> the </w:t>
      </w:r>
      <w:r w:rsidR="472B4939" w:rsidRPr="00DD1B58">
        <w:rPr>
          <w:lang w:val="en-US"/>
        </w:rPr>
        <w:t>system is designed with capacity for the most onerous fire.</w:t>
      </w:r>
    </w:p>
    <w:p w14:paraId="5DAF553E" w14:textId="5865CF57" w:rsidR="472B4939" w:rsidRPr="00DD1B58" w:rsidRDefault="00153806" w:rsidP="00441CE0">
      <w:pPr>
        <w:rPr>
          <w:lang w:val="en-US"/>
        </w:rPr>
      </w:pPr>
      <w:r w:rsidRPr="00DD1B58">
        <w:rPr>
          <w:lang w:val="en-US"/>
        </w:rPr>
        <w:t>NN</w:t>
      </w:r>
      <w:r w:rsidR="00FD2701" w:rsidRPr="00DD1B58">
        <w:rPr>
          <w:lang w:val="en-US"/>
        </w:rPr>
        <w:t>B</w:t>
      </w:r>
      <w:r w:rsidRPr="00DD1B58">
        <w:rPr>
          <w:lang w:val="en-US"/>
        </w:rPr>
        <w:t xml:space="preserve"> GenCo</w:t>
      </w:r>
      <w:r w:rsidR="007A2C67" w:rsidRPr="00DD1B58">
        <w:rPr>
          <w:lang w:val="en-US"/>
        </w:rPr>
        <w:t xml:space="preserve"> </w:t>
      </w:r>
      <w:r w:rsidR="00D776E2" w:rsidRPr="00DD1B58">
        <w:rPr>
          <w:lang w:val="en-US"/>
        </w:rPr>
        <w:t>reports</w:t>
      </w:r>
      <w:r w:rsidR="006D798B" w:rsidRPr="00DD1B58">
        <w:rPr>
          <w:lang w:val="en-US"/>
        </w:rPr>
        <w:t xml:space="preserve"> that</w:t>
      </w:r>
      <w:r w:rsidR="007A2C67" w:rsidRPr="00DD1B58">
        <w:rPr>
          <w:lang w:val="en-US"/>
        </w:rPr>
        <w:t xml:space="preserve"> the</w:t>
      </w:r>
      <w:r w:rsidR="00DE445C" w:rsidRPr="00DD1B58">
        <w:rPr>
          <w:lang w:val="en-US"/>
        </w:rPr>
        <w:t xml:space="preserve"> </w:t>
      </w:r>
      <w:r w:rsidR="007A2C67" w:rsidRPr="00DD1B58">
        <w:rPr>
          <w:lang w:val="en-US"/>
        </w:rPr>
        <w:t>J</w:t>
      </w:r>
      <w:r w:rsidR="472B4939" w:rsidRPr="00DD1B58">
        <w:rPr>
          <w:lang w:val="en-US"/>
        </w:rPr>
        <w:t>AC system is designed to be kept on standby with the two water supply tanks full, the system primed and full of water. Activation of the sprinkler or deluge systems causes a significant decrease in pressure in the supply pipework which triggers the firefighting pumps to start up automatically to maintain sufficient pressure for the suppression system to be able to maintain the required flowrate and coverage. A jockey system is included to keep the circuit pressurised when in standby mode.</w:t>
      </w:r>
    </w:p>
    <w:p w14:paraId="2A6603DE" w14:textId="4259D7D2" w:rsidR="472B4939" w:rsidRPr="00DD1B58" w:rsidRDefault="00DE445C" w:rsidP="00441CE0">
      <w:pPr>
        <w:rPr>
          <w:lang w:val="en-US"/>
        </w:rPr>
      </w:pPr>
      <w:r w:rsidRPr="00DD1B58">
        <w:rPr>
          <w:lang w:val="en-US"/>
        </w:rPr>
        <w:t xml:space="preserve">It also </w:t>
      </w:r>
      <w:r w:rsidR="006D798B" w:rsidRPr="00DD1B58">
        <w:rPr>
          <w:lang w:val="en-US"/>
        </w:rPr>
        <w:t>states that</w:t>
      </w:r>
      <w:r w:rsidRPr="00DD1B58">
        <w:rPr>
          <w:lang w:val="en-US"/>
        </w:rPr>
        <w:t xml:space="preserve"> the w</w:t>
      </w:r>
      <w:r w:rsidR="472B4939" w:rsidRPr="00DD1B58">
        <w:rPr>
          <w:lang w:val="en-US"/>
        </w:rPr>
        <w:t xml:space="preserve">ater supply for manual suppressing systems including fire hydrants is distributed by the (JPS) The Distribution of Firefighting Water for the Site </w:t>
      </w:r>
      <w:sdt>
        <w:sdtPr>
          <w:rPr>
            <w:lang w:val="en-US"/>
          </w:rPr>
          <w:id w:val="-1448070563"/>
          <w:citation/>
        </w:sdtPr>
        <w:sdtContent>
          <w:r w:rsidR="002E6F6A" w:rsidRPr="00DD1B58">
            <w:rPr>
              <w:lang w:val="en-US"/>
            </w:rPr>
            <w:fldChar w:fldCharType="begin"/>
          </w:r>
          <w:r w:rsidR="002E6F6A" w:rsidRPr="00DD1B58">
            <w:rPr>
              <w:lang w:val="en-US"/>
            </w:rPr>
            <w:instrText xml:space="preserve"> CITATION NNB2210 \l 2057 </w:instrText>
          </w:r>
          <w:r w:rsidR="002E6F6A" w:rsidRPr="00DD1B58">
            <w:rPr>
              <w:lang w:val="en-US"/>
            </w:rPr>
            <w:fldChar w:fldCharType="separate"/>
          </w:r>
          <w:r w:rsidR="00DF47DA" w:rsidRPr="00DF47DA">
            <w:rPr>
              <w:noProof/>
              <w:lang w:val="en-US"/>
            </w:rPr>
            <w:t>[175]</w:t>
          </w:r>
          <w:r w:rsidR="002E6F6A" w:rsidRPr="00DD1B58">
            <w:rPr>
              <w:lang w:val="en-US"/>
            </w:rPr>
            <w:fldChar w:fldCharType="end"/>
          </w:r>
        </w:sdtContent>
      </w:sdt>
      <w:r w:rsidR="472B4939" w:rsidRPr="00DD1B58">
        <w:rPr>
          <w:lang w:val="en-US"/>
        </w:rPr>
        <w:t>. The system is supplied by the JAC system and is maintained primed and pressurised by the JAC pumps which start automatically on detection of low system pressure.</w:t>
      </w:r>
    </w:p>
    <w:p w14:paraId="26AF150C" w14:textId="75B2E139" w:rsidR="472B4939" w:rsidRPr="00DD1B58" w:rsidRDefault="00DE445C" w:rsidP="00441CE0">
      <w:pPr>
        <w:rPr>
          <w:lang w:val="en-US"/>
        </w:rPr>
      </w:pPr>
      <w:r w:rsidRPr="00DD1B58">
        <w:rPr>
          <w:lang w:val="en-US"/>
        </w:rPr>
        <w:t xml:space="preserve">NNB GenCo reports that the </w:t>
      </w:r>
      <w:r w:rsidR="472B4939" w:rsidRPr="00DD1B58">
        <w:rPr>
          <w:lang w:val="en-US"/>
        </w:rPr>
        <w:t>choices between automatic and manually activated systems were based on balancing the potential consequences of the fire with the potential consequences of spurious operation of the suppression system such as internal flooding and asset damage or spread of radioactive contamination in runoff water.</w:t>
      </w:r>
    </w:p>
    <w:p w14:paraId="25C72615" w14:textId="0E7BFD2B" w:rsidR="472B4939" w:rsidRPr="00DD1B58" w:rsidRDefault="00591E7E" w:rsidP="00441CE0">
      <w:pPr>
        <w:rPr>
          <w:lang w:val="en-US"/>
        </w:rPr>
      </w:pPr>
      <w:r w:rsidRPr="00DD1B58">
        <w:rPr>
          <w:lang w:val="en-US"/>
        </w:rPr>
        <w:t>NNB does not claim m</w:t>
      </w:r>
      <w:r w:rsidR="472B4939" w:rsidRPr="00DD1B58">
        <w:rPr>
          <w:lang w:val="en-US"/>
        </w:rPr>
        <w:t xml:space="preserve">anual firefighting for nuclear safety, but </w:t>
      </w:r>
      <w:r w:rsidRPr="00DD1B58">
        <w:rPr>
          <w:lang w:val="en-US"/>
        </w:rPr>
        <w:t xml:space="preserve">considers it </w:t>
      </w:r>
      <w:r w:rsidR="472B4939" w:rsidRPr="00DD1B58">
        <w:rPr>
          <w:lang w:val="en-US"/>
        </w:rPr>
        <w:t xml:space="preserve">important for life safety and asset protection, and </w:t>
      </w:r>
      <w:r w:rsidRPr="00DD1B58">
        <w:rPr>
          <w:lang w:val="en-US"/>
        </w:rPr>
        <w:t>it ma</w:t>
      </w:r>
      <w:r w:rsidR="00044C31" w:rsidRPr="00DD1B58">
        <w:rPr>
          <w:lang w:val="en-US"/>
        </w:rPr>
        <w:t>k</w:t>
      </w:r>
      <w:r w:rsidRPr="00DD1B58">
        <w:rPr>
          <w:lang w:val="en-US"/>
        </w:rPr>
        <w:t xml:space="preserve">es </w:t>
      </w:r>
      <w:r w:rsidR="472B4939" w:rsidRPr="00DD1B58">
        <w:rPr>
          <w:lang w:val="en-US"/>
        </w:rPr>
        <w:t>provision</w:t>
      </w:r>
      <w:r w:rsidRPr="00DD1B58">
        <w:rPr>
          <w:lang w:val="en-US"/>
        </w:rPr>
        <w:t xml:space="preserve"> </w:t>
      </w:r>
      <w:r w:rsidR="472B4939" w:rsidRPr="00DD1B58">
        <w:rPr>
          <w:lang w:val="en-US"/>
        </w:rPr>
        <w:t xml:space="preserve">for personnel access in the design of the building and fire compartments described in Section </w:t>
      </w:r>
      <w:r w:rsidR="395C5A20" w:rsidRPr="00DD1B58">
        <w:rPr>
          <w:lang w:val="en-US"/>
        </w:rPr>
        <w:t>A-II-</w:t>
      </w:r>
      <w:r w:rsidR="472B4939" w:rsidRPr="00DD1B58">
        <w:rPr>
          <w:lang w:val="en-US"/>
        </w:rPr>
        <w:t xml:space="preserve">3.3.1. </w:t>
      </w:r>
      <w:r w:rsidRPr="00DD1B58">
        <w:rPr>
          <w:lang w:val="en-US"/>
        </w:rPr>
        <w:t>It provides d</w:t>
      </w:r>
      <w:r w:rsidR="472B4939" w:rsidRPr="00DD1B58">
        <w:rPr>
          <w:lang w:val="en-US"/>
        </w:rPr>
        <w:t>ry risers as part of the JPD, JPI, 9JPI and JPV systems described previously for distribution of firefighting water to multiple levels of a building. The dry risers have inlet connections at the fire service access level and have outlets in the firefighting lobbies or in a location of low fire risk and are positioned so that each room can be reached from the outlet with a hose length of 60m. The dry risers are normally empty, but if required for use they are charged with water from the external hydrants on the JPS system or from a fire truck, then hoses are connected to the outlets for firefighting.</w:t>
      </w:r>
    </w:p>
    <w:p w14:paraId="640CBA5C" w14:textId="4671201F" w:rsidR="288DB06D" w:rsidRPr="00DD1B58" w:rsidRDefault="00A23811" w:rsidP="1B2B0ECE">
      <w:pPr>
        <w:rPr>
          <w:lang w:val="en-US"/>
        </w:rPr>
      </w:pPr>
      <w:r w:rsidRPr="00DD1B58">
        <w:rPr>
          <w:lang w:val="en-US"/>
        </w:rPr>
        <w:t>NNB GenCo</w:t>
      </w:r>
      <w:r w:rsidR="00286E8C" w:rsidRPr="00DD1B58">
        <w:rPr>
          <w:lang w:val="en-US"/>
        </w:rPr>
        <w:t xml:space="preserve"> report</w:t>
      </w:r>
      <w:r w:rsidR="00D22903" w:rsidRPr="00DD1B58">
        <w:rPr>
          <w:lang w:val="en-US"/>
        </w:rPr>
        <w:t>s</w:t>
      </w:r>
      <w:r w:rsidR="006D798B" w:rsidRPr="00DD1B58">
        <w:rPr>
          <w:lang w:val="en-US"/>
        </w:rPr>
        <w:t xml:space="preserve"> that</w:t>
      </w:r>
      <w:r w:rsidR="00286E8C" w:rsidRPr="00DD1B58">
        <w:rPr>
          <w:lang w:val="en-US"/>
        </w:rPr>
        <w:t xml:space="preserve"> the</w:t>
      </w:r>
      <w:r w:rsidRPr="00DD1B58">
        <w:rPr>
          <w:lang w:val="en-US"/>
        </w:rPr>
        <w:t xml:space="preserve"> </w:t>
      </w:r>
      <w:r w:rsidR="472B4939" w:rsidRPr="00DD1B58">
        <w:rPr>
          <w:lang w:val="en-US"/>
        </w:rPr>
        <w:t xml:space="preserve">firefighting equipment </w:t>
      </w:r>
      <w:r w:rsidR="00286E8C" w:rsidRPr="00DD1B58">
        <w:rPr>
          <w:lang w:val="en-US"/>
        </w:rPr>
        <w:t xml:space="preserve">will </w:t>
      </w:r>
      <w:r w:rsidR="472B4939" w:rsidRPr="00DD1B58">
        <w:rPr>
          <w:lang w:val="en-US"/>
        </w:rPr>
        <w:t>be maintained and stored at access control points in designated buildings for use by operations staff</w:t>
      </w:r>
      <w:r w:rsidR="00286E8C" w:rsidRPr="00DD1B58">
        <w:rPr>
          <w:lang w:val="en-US"/>
        </w:rPr>
        <w:t xml:space="preserve"> and they </w:t>
      </w:r>
      <w:r w:rsidR="36A46FFF" w:rsidRPr="00DD1B58">
        <w:rPr>
          <w:lang w:val="en-US"/>
        </w:rPr>
        <w:t xml:space="preserve">will </w:t>
      </w:r>
      <w:r w:rsidR="6F18630E" w:rsidRPr="00DD1B58">
        <w:rPr>
          <w:lang w:val="en-US"/>
        </w:rPr>
        <w:t>PPE clothing</w:t>
      </w:r>
      <w:r w:rsidR="3DE67335" w:rsidRPr="00DD1B58">
        <w:rPr>
          <w:lang w:val="en-US"/>
        </w:rPr>
        <w:t xml:space="preserve">, </w:t>
      </w:r>
      <w:r w:rsidR="6F18630E" w:rsidRPr="00DD1B58">
        <w:rPr>
          <w:lang w:val="en-US"/>
        </w:rPr>
        <w:t>Breathing Apparatus equipment</w:t>
      </w:r>
      <w:r w:rsidR="4DB9460F" w:rsidRPr="00DD1B58">
        <w:rPr>
          <w:lang w:val="en-US"/>
        </w:rPr>
        <w:t>, p</w:t>
      </w:r>
      <w:r w:rsidR="2235CF48" w:rsidRPr="00DD1B58">
        <w:rPr>
          <w:lang w:val="en-US"/>
        </w:rPr>
        <w:t>ortable</w:t>
      </w:r>
      <w:r w:rsidR="6478EC1E" w:rsidRPr="00DD1B58">
        <w:rPr>
          <w:lang w:val="en-US"/>
        </w:rPr>
        <w:t xml:space="preserve"> firefighting equipment, such as fog gun backpacks and portable fire extinguishers (not provided externally on site</w:t>
      </w:r>
      <w:r w:rsidR="2235CF48" w:rsidRPr="00DD1B58">
        <w:rPr>
          <w:lang w:val="en-US"/>
        </w:rPr>
        <w:t>)</w:t>
      </w:r>
      <w:r w:rsidR="2E6051F5" w:rsidRPr="00DD1B58">
        <w:rPr>
          <w:lang w:val="en-US"/>
        </w:rPr>
        <w:t xml:space="preserve"> and a</w:t>
      </w:r>
      <w:r w:rsidR="76434438" w:rsidRPr="00DD1B58">
        <w:rPr>
          <w:lang w:val="en-US"/>
        </w:rPr>
        <w:t>n</w:t>
      </w:r>
      <w:r w:rsidR="39E91D0C" w:rsidRPr="00DD1B58">
        <w:rPr>
          <w:lang w:val="en-US"/>
        </w:rPr>
        <w:t xml:space="preserve"> emergency response vehicle containing firefighting equipment to allow small fires to be tackled by the first response fire personnel </w:t>
      </w:r>
      <w:r w:rsidR="36B9D977" w:rsidRPr="00DD1B58">
        <w:rPr>
          <w:lang w:val="en-US"/>
        </w:rPr>
        <w:t>and</w:t>
      </w:r>
      <w:r w:rsidR="39E91D0C" w:rsidRPr="00DD1B58">
        <w:rPr>
          <w:lang w:val="en-US"/>
        </w:rPr>
        <w:t xml:space="preserve"> emergency response team.</w:t>
      </w:r>
    </w:p>
    <w:p w14:paraId="5756473E" w14:textId="77777777" w:rsidR="00CF7DDE" w:rsidRPr="00DD1B58" w:rsidRDefault="00CF7DDE" w:rsidP="00177432">
      <w:pPr>
        <w:pStyle w:val="Heading5A"/>
        <w:numPr>
          <w:ilvl w:val="5"/>
          <w:numId w:val="7"/>
        </w:numPr>
        <w:rPr>
          <w:szCs w:val="24"/>
          <w:lang w:val="en-US"/>
        </w:rPr>
      </w:pPr>
      <w:r w:rsidRPr="00DD1B58">
        <w:rPr>
          <w:szCs w:val="24"/>
          <w:lang w:val="en-US"/>
        </w:rPr>
        <w:t xml:space="preserve">Management of harmful effects and consequential hazards </w:t>
      </w:r>
    </w:p>
    <w:p w14:paraId="23F7FDFA" w14:textId="2A430762" w:rsidR="317BB9C7" w:rsidRPr="00DD1B58" w:rsidRDefault="006D650F" w:rsidP="00441CE0">
      <w:pPr>
        <w:rPr>
          <w:lang w:val="en-US"/>
        </w:rPr>
      </w:pPr>
      <w:r w:rsidRPr="00DD1B58">
        <w:rPr>
          <w:lang w:val="en-US"/>
        </w:rPr>
        <w:t>NNB Gen</w:t>
      </w:r>
      <w:r w:rsidR="00985014" w:rsidRPr="00DD1B58">
        <w:rPr>
          <w:lang w:val="en-US"/>
        </w:rPr>
        <w:t>C</w:t>
      </w:r>
      <w:r w:rsidRPr="00DD1B58">
        <w:rPr>
          <w:lang w:val="en-US"/>
        </w:rPr>
        <w:t xml:space="preserve">o </w:t>
      </w:r>
      <w:r w:rsidR="00827F66" w:rsidRPr="00DD1B58">
        <w:rPr>
          <w:lang w:val="en-US"/>
        </w:rPr>
        <w:t>applies</w:t>
      </w:r>
      <w:r w:rsidRPr="00DD1B58">
        <w:rPr>
          <w:lang w:val="en-US"/>
        </w:rPr>
        <w:t xml:space="preserve"> </w:t>
      </w:r>
      <w:r w:rsidR="00827F66" w:rsidRPr="00DD1B58">
        <w:rPr>
          <w:lang w:val="en-US"/>
        </w:rPr>
        <w:t>levels of</w:t>
      </w:r>
      <w:r w:rsidR="317BB9C7" w:rsidRPr="00DD1B58">
        <w:rPr>
          <w:lang w:val="en-US"/>
        </w:rPr>
        <w:t xml:space="preserve"> seismic requirements to the fire suppression system depend</w:t>
      </w:r>
      <w:r w:rsidR="00827F66" w:rsidRPr="00DD1B58">
        <w:rPr>
          <w:lang w:val="en-US"/>
        </w:rPr>
        <w:t xml:space="preserve">ing </w:t>
      </w:r>
      <w:r w:rsidR="317BB9C7" w:rsidRPr="00DD1B58">
        <w:rPr>
          <w:lang w:val="en-US"/>
        </w:rPr>
        <w:t xml:space="preserve">on the safety feature group to which the component belongs, and the consequences to other components of their failure. </w:t>
      </w:r>
      <w:r w:rsidR="00827F66" w:rsidRPr="00DD1B58">
        <w:rPr>
          <w:lang w:val="en-US"/>
        </w:rPr>
        <w:t xml:space="preserve">NNB </w:t>
      </w:r>
      <w:r w:rsidR="00D776E2" w:rsidRPr="00DD1B58">
        <w:rPr>
          <w:lang w:val="en-US"/>
        </w:rPr>
        <w:t>reports</w:t>
      </w:r>
      <w:r w:rsidR="006D798B" w:rsidRPr="00DD1B58">
        <w:rPr>
          <w:lang w:val="en-US"/>
        </w:rPr>
        <w:t xml:space="preserve"> that</w:t>
      </w:r>
      <w:r w:rsidR="00827F66" w:rsidRPr="00DD1B58">
        <w:rPr>
          <w:lang w:val="en-US"/>
        </w:rPr>
        <w:t xml:space="preserve"> s</w:t>
      </w:r>
      <w:r w:rsidR="317BB9C7" w:rsidRPr="00DD1B58">
        <w:rPr>
          <w:lang w:val="en-US"/>
        </w:rPr>
        <w:t>ome parts of the systems are seismically qualified and are separated from non-qualified parts of the system by isolation valves which are closed after a seismic event.</w:t>
      </w:r>
    </w:p>
    <w:p w14:paraId="7BD71B3C" w14:textId="066FDDDC" w:rsidR="317BB9C7" w:rsidRPr="00DD1B58" w:rsidRDefault="00985014" w:rsidP="00777278">
      <w:pPr>
        <w:rPr>
          <w:szCs w:val="24"/>
          <w:lang w:val="en-US"/>
        </w:rPr>
      </w:pPr>
      <w:r w:rsidRPr="00DD1B58">
        <w:rPr>
          <w:lang w:val="en-US"/>
        </w:rPr>
        <w:t>NNB GenCo recognises that the</w:t>
      </w:r>
      <w:r w:rsidR="317BB9C7" w:rsidRPr="00DD1B58">
        <w:rPr>
          <w:lang w:val="en-US"/>
        </w:rPr>
        <w:t xml:space="preserve"> systems could also cause internal flooding due to </w:t>
      </w:r>
      <w:r w:rsidR="317BB9C7" w:rsidRPr="00DD1B58">
        <w:rPr>
          <w:szCs w:val="24"/>
          <w:lang w:val="en-US"/>
        </w:rPr>
        <w:t xml:space="preserve">rupture of pipework and tanks and </w:t>
      </w:r>
      <w:r w:rsidRPr="00DD1B58">
        <w:rPr>
          <w:szCs w:val="24"/>
          <w:lang w:val="en-US"/>
        </w:rPr>
        <w:t xml:space="preserve">provides </w:t>
      </w:r>
      <w:r w:rsidR="317BB9C7" w:rsidRPr="00DD1B58">
        <w:rPr>
          <w:szCs w:val="24"/>
          <w:lang w:val="en-US"/>
        </w:rPr>
        <w:t>isolation valves at various locations to limit the amount of flooding. The isolation valves are closed manually (either remotely from the MCR or locally to the plant), depending on the response time required, and the accessibility of plant for local operations. The system design also takes account of the possibility of flooding due to double</w:t>
      </w:r>
      <w:r w:rsidRPr="00DD1B58">
        <w:rPr>
          <w:szCs w:val="24"/>
          <w:lang w:val="en-US"/>
        </w:rPr>
        <w:t>-</w:t>
      </w:r>
      <w:r w:rsidR="317BB9C7" w:rsidRPr="00DD1B58">
        <w:rPr>
          <w:szCs w:val="24"/>
          <w:lang w:val="en-US"/>
        </w:rPr>
        <w:t>ended guillotine break, where appropriate.</w:t>
      </w:r>
    </w:p>
    <w:p w14:paraId="063CCE94" w14:textId="0C9EF753" w:rsidR="317BB9C7" w:rsidRPr="00DD1B58" w:rsidRDefault="00985014" w:rsidP="00777278">
      <w:pPr>
        <w:rPr>
          <w:szCs w:val="24"/>
          <w:lang w:val="en-US"/>
        </w:rPr>
      </w:pPr>
      <w:r w:rsidRPr="00DD1B58">
        <w:rPr>
          <w:lang w:val="en-US"/>
        </w:rPr>
        <w:t xml:space="preserve">NNB Genco also acknowledges that the </w:t>
      </w:r>
      <w:r w:rsidR="317BB9C7" w:rsidRPr="00DD1B58">
        <w:rPr>
          <w:lang w:val="en-US"/>
        </w:rPr>
        <w:t>JPI [NIFPS] system could carry liquid fluids containing small amounts of radioacti</w:t>
      </w:r>
      <w:r w:rsidR="317BB9C7" w:rsidRPr="00DD1B58">
        <w:rPr>
          <w:szCs w:val="24"/>
          <w:lang w:val="en-US"/>
        </w:rPr>
        <w:t xml:space="preserve">ve material under certain fault conditions and plant configurations. As such, it </w:t>
      </w:r>
      <w:r w:rsidR="001A2A1A" w:rsidRPr="00DD1B58">
        <w:rPr>
          <w:szCs w:val="24"/>
          <w:lang w:val="en-US"/>
        </w:rPr>
        <w:t xml:space="preserve">considers that it </w:t>
      </w:r>
      <w:r w:rsidR="317BB9C7" w:rsidRPr="00DD1B58">
        <w:rPr>
          <w:szCs w:val="24"/>
          <w:lang w:val="en-US"/>
        </w:rPr>
        <w:t xml:space="preserve">must contribute to both the confinement of this material with respect to the environment as a whole and the public, and to the control and reduction of radioactive waste discharges under accident conditions. Furthermore, it </w:t>
      </w:r>
      <w:r w:rsidR="001A2A1A" w:rsidRPr="00DD1B58">
        <w:rPr>
          <w:szCs w:val="24"/>
          <w:lang w:val="en-US"/>
        </w:rPr>
        <w:t xml:space="preserve">considers that it </w:t>
      </w:r>
      <w:r w:rsidR="317BB9C7" w:rsidRPr="00DD1B58">
        <w:rPr>
          <w:szCs w:val="24"/>
          <w:lang w:val="en-US"/>
        </w:rPr>
        <w:t>must be able to isolate itself from the JAC system or parts of itself in case of a pipe leak or break in the NI creates an internal flooding event. The JPV must also contribute to the safety function related internal flooding through this isolation.</w:t>
      </w:r>
    </w:p>
    <w:p w14:paraId="65CDA7F4" w14:textId="77777777" w:rsidR="00CF7DDE" w:rsidRPr="00DD1B58" w:rsidRDefault="00CF7DDE" w:rsidP="00177432">
      <w:pPr>
        <w:pStyle w:val="Heading5A"/>
        <w:numPr>
          <w:ilvl w:val="5"/>
          <w:numId w:val="7"/>
        </w:numPr>
        <w:rPr>
          <w:szCs w:val="24"/>
          <w:lang w:val="en-US"/>
        </w:rPr>
      </w:pPr>
      <w:r w:rsidRPr="00DD1B58">
        <w:rPr>
          <w:szCs w:val="24"/>
          <w:lang w:val="en-US"/>
        </w:rPr>
        <w:t xml:space="preserve">Alternative/temporary provisions </w:t>
      </w:r>
    </w:p>
    <w:p w14:paraId="1DB13195" w14:textId="687F0514" w:rsidR="60676FB7" w:rsidRPr="00DD1B58" w:rsidRDefault="001A2A1A" w:rsidP="00777278">
      <w:pPr>
        <w:rPr>
          <w:szCs w:val="24"/>
          <w:lang w:val="en-US"/>
        </w:rPr>
      </w:pPr>
      <w:r w:rsidRPr="00DD1B58">
        <w:rPr>
          <w:lang w:val="en-US"/>
        </w:rPr>
        <w:t>NNB GenCo has n</w:t>
      </w:r>
      <w:r w:rsidR="60676FB7" w:rsidRPr="00DD1B58">
        <w:rPr>
          <w:lang w:val="en-US"/>
        </w:rPr>
        <w:t>o</w:t>
      </w:r>
      <w:r w:rsidRPr="00DD1B58">
        <w:rPr>
          <w:lang w:val="en-US"/>
        </w:rPr>
        <w:t xml:space="preserve"> plans for</w:t>
      </w:r>
      <w:r w:rsidR="60676FB7" w:rsidRPr="00DD1B58">
        <w:rPr>
          <w:lang w:val="en-US"/>
        </w:rPr>
        <w:t xml:space="preserve"> alternative or temporary provisions, and </w:t>
      </w:r>
      <w:r w:rsidRPr="00DD1B58">
        <w:rPr>
          <w:lang w:val="en-US"/>
        </w:rPr>
        <w:t>report</w:t>
      </w:r>
      <w:r w:rsidR="00D22903" w:rsidRPr="00DD1B58">
        <w:rPr>
          <w:lang w:val="en-US"/>
        </w:rPr>
        <w:t>s</w:t>
      </w:r>
      <w:r w:rsidR="00D776E2" w:rsidRPr="00DD1B58">
        <w:rPr>
          <w:lang w:val="en-US"/>
        </w:rPr>
        <w:t xml:space="preserve"> that</w:t>
      </w:r>
      <w:r w:rsidRPr="00DD1B58">
        <w:rPr>
          <w:lang w:val="en-US"/>
        </w:rPr>
        <w:t xml:space="preserve"> </w:t>
      </w:r>
      <w:r w:rsidR="60676FB7" w:rsidRPr="00DD1B58">
        <w:rPr>
          <w:lang w:val="en-US"/>
        </w:rPr>
        <w:t>any emergent requirements for such systems will be assessed under the modification process.</w:t>
      </w:r>
    </w:p>
    <w:p w14:paraId="31C7D0DC" w14:textId="77777777" w:rsidR="00CF7DDE" w:rsidRPr="00DD1B58" w:rsidRDefault="00CF7DDE" w:rsidP="00177432">
      <w:pPr>
        <w:pStyle w:val="Heading5A"/>
        <w:rPr>
          <w:szCs w:val="24"/>
          <w:lang w:val="en-US"/>
        </w:rPr>
      </w:pPr>
      <w:r w:rsidRPr="00DD1B58">
        <w:rPr>
          <w:szCs w:val="24"/>
          <w:lang w:val="en-US"/>
        </w:rPr>
        <w:t xml:space="preserve">Administrative and organisational fire protection issues </w:t>
      </w:r>
    </w:p>
    <w:p w14:paraId="59A45672" w14:textId="77777777" w:rsidR="00CF7DDE" w:rsidRPr="00DD1B58" w:rsidRDefault="00CF7DDE" w:rsidP="00177432">
      <w:pPr>
        <w:pStyle w:val="Heading5A"/>
        <w:numPr>
          <w:ilvl w:val="5"/>
          <w:numId w:val="7"/>
        </w:numPr>
        <w:rPr>
          <w:szCs w:val="24"/>
          <w:lang w:val="en-US"/>
        </w:rPr>
      </w:pPr>
      <w:r w:rsidRPr="00DD1B58">
        <w:rPr>
          <w:szCs w:val="24"/>
          <w:lang w:val="en-US"/>
        </w:rPr>
        <w:t xml:space="preserve">Overview of firefighting strategies, administrative arrangements and assurance </w:t>
      </w:r>
    </w:p>
    <w:p w14:paraId="10953B0B" w14:textId="5C8A4DB4" w:rsidR="151FBC91" w:rsidRPr="00DD1B58" w:rsidRDefault="151FBC91" w:rsidP="00777278">
      <w:pPr>
        <w:rPr>
          <w:szCs w:val="24"/>
          <w:lang w:val="en-US"/>
        </w:rPr>
      </w:pPr>
      <w:r w:rsidRPr="00DD1B58">
        <w:rPr>
          <w:lang w:val="en-US"/>
        </w:rPr>
        <w:t>HPC is still under construction, and the full suite of administrative and organisational arrangements are being develo</w:t>
      </w:r>
      <w:r w:rsidRPr="00DD1B58">
        <w:rPr>
          <w:szCs w:val="24"/>
          <w:lang w:val="en-US"/>
        </w:rPr>
        <w:t>ped</w:t>
      </w:r>
      <w:r w:rsidR="001A2A1A" w:rsidRPr="00DD1B58">
        <w:rPr>
          <w:szCs w:val="24"/>
          <w:lang w:val="en-US"/>
        </w:rPr>
        <w:t xml:space="preserve"> by NN</w:t>
      </w:r>
      <w:r w:rsidR="006663D5" w:rsidRPr="00DD1B58">
        <w:rPr>
          <w:szCs w:val="24"/>
          <w:lang w:val="en-US"/>
        </w:rPr>
        <w:t>B</w:t>
      </w:r>
      <w:r w:rsidR="001A2A1A" w:rsidRPr="00DD1B58">
        <w:rPr>
          <w:szCs w:val="24"/>
          <w:lang w:val="en-US"/>
        </w:rPr>
        <w:t xml:space="preserve"> GenCo</w:t>
      </w:r>
      <w:r w:rsidRPr="00DD1B58">
        <w:rPr>
          <w:szCs w:val="24"/>
          <w:lang w:val="en-US"/>
        </w:rPr>
        <w:t xml:space="preserve"> and are expected to include elements of the WENRA requirements including EMIT of fire barriers, detection, alarm features &amp; extinguishing systems; an up-to-date firefighting strategy with clearly defined procedures; emergency training; offsite response group familiarisation; and other organisational arrangements such as minimum staffing levels. </w:t>
      </w:r>
      <w:r w:rsidR="001A2A1A" w:rsidRPr="00DD1B58">
        <w:rPr>
          <w:szCs w:val="24"/>
          <w:lang w:val="en-US"/>
        </w:rPr>
        <w:t>NNB GenCo has produced a</w:t>
      </w:r>
      <w:r w:rsidRPr="00DD1B58">
        <w:rPr>
          <w:szCs w:val="24"/>
          <w:lang w:val="en-US"/>
        </w:rPr>
        <w:t xml:space="preserve"> site wide Fire Strategy document </w:t>
      </w:r>
      <w:sdt>
        <w:sdtPr>
          <w:rPr>
            <w:szCs w:val="24"/>
            <w:lang w:val="en-US"/>
          </w:rPr>
          <w:id w:val="-331060999"/>
          <w:citation/>
        </w:sdtPr>
        <w:sdtContent>
          <w:r w:rsidR="00E930BE" w:rsidRPr="00DD1B58">
            <w:rPr>
              <w:szCs w:val="24"/>
              <w:lang w:val="en-US"/>
            </w:rPr>
            <w:fldChar w:fldCharType="begin"/>
          </w:r>
          <w:r w:rsidR="00E930BE" w:rsidRPr="00DD1B58">
            <w:rPr>
              <w:szCs w:val="24"/>
              <w:lang w:val="en-US"/>
            </w:rPr>
            <w:instrText xml:space="preserve"> CITATION NNB21 \l 2057 </w:instrText>
          </w:r>
          <w:r w:rsidR="00E930BE" w:rsidRPr="00DD1B58">
            <w:rPr>
              <w:szCs w:val="24"/>
              <w:lang w:val="en-US"/>
            </w:rPr>
            <w:fldChar w:fldCharType="separate"/>
          </w:r>
          <w:r w:rsidR="00DF47DA" w:rsidRPr="00DF47DA">
            <w:rPr>
              <w:noProof/>
              <w:szCs w:val="24"/>
              <w:lang w:val="en-US"/>
            </w:rPr>
            <w:t>[130]</w:t>
          </w:r>
          <w:r w:rsidR="00E930BE" w:rsidRPr="00DD1B58">
            <w:rPr>
              <w:szCs w:val="24"/>
              <w:lang w:val="en-US"/>
            </w:rPr>
            <w:fldChar w:fldCharType="end"/>
          </w:r>
        </w:sdtContent>
      </w:sdt>
      <w:r w:rsidRPr="00DD1B58">
        <w:rPr>
          <w:szCs w:val="24"/>
          <w:lang w:val="en-US"/>
        </w:rPr>
        <w:t xml:space="preserve"> outlining the general principles, and </w:t>
      </w:r>
      <w:r w:rsidR="001A2A1A" w:rsidRPr="00DD1B58">
        <w:rPr>
          <w:szCs w:val="24"/>
          <w:lang w:val="en-US"/>
        </w:rPr>
        <w:t xml:space="preserve">is currently writing </w:t>
      </w:r>
      <w:r w:rsidRPr="00DD1B58">
        <w:rPr>
          <w:szCs w:val="24"/>
          <w:lang w:val="en-US"/>
        </w:rPr>
        <w:t xml:space="preserve">additional fire strategy documents for the main </w:t>
      </w:r>
      <w:r w:rsidR="001A2A1A" w:rsidRPr="00DD1B58">
        <w:rPr>
          <w:szCs w:val="24"/>
          <w:lang w:val="en-US"/>
        </w:rPr>
        <w:t xml:space="preserve">HPC </w:t>
      </w:r>
      <w:r w:rsidRPr="00DD1B58">
        <w:rPr>
          <w:szCs w:val="24"/>
          <w:lang w:val="en-US"/>
        </w:rPr>
        <w:t>buildings.</w:t>
      </w:r>
    </w:p>
    <w:p w14:paraId="48792DCA" w14:textId="31EB9A55" w:rsidR="151FBC91" w:rsidRPr="00DD1B58" w:rsidRDefault="001A2A1A" w:rsidP="00777278">
      <w:pPr>
        <w:rPr>
          <w:szCs w:val="24"/>
          <w:lang w:val="en-US"/>
        </w:rPr>
      </w:pPr>
      <w:r w:rsidRPr="00DD1B58">
        <w:rPr>
          <w:lang w:val="en-US"/>
        </w:rPr>
        <w:t>NNB GenCo plans to provide f</w:t>
      </w:r>
      <w:r w:rsidR="151FBC91" w:rsidRPr="00DD1B58">
        <w:rPr>
          <w:lang w:val="en-US"/>
        </w:rPr>
        <w:t xml:space="preserve">ire plans for all </w:t>
      </w:r>
      <w:r w:rsidR="151FBC91" w:rsidRPr="00DD1B58">
        <w:rPr>
          <w:szCs w:val="24"/>
          <w:lang w:val="en-US"/>
        </w:rPr>
        <w:t>buildings on the site in the MCR’s and RSS’s and at firefighting entry points in each building.</w:t>
      </w:r>
      <w:r w:rsidRPr="00DD1B58">
        <w:rPr>
          <w:szCs w:val="24"/>
          <w:lang w:val="en-US"/>
        </w:rPr>
        <w:t xml:space="preserve"> NNB GenCo plans for </w:t>
      </w:r>
      <w:r w:rsidRPr="00DD1B58">
        <w:rPr>
          <w:lang w:val="en-US"/>
        </w:rPr>
        <w:t>a</w:t>
      </w:r>
      <w:r w:rsidR="151FBC91" w:rsidRPr="00DD1B58">
        <w:rPr>
          <w:lang w:val="en-US"/>
        </w:rPr>
        <w:t xml:space="preserve">ll operations staff </w:t>
      </w:r>
      <w:r w:rsidRPr="00DD1B58">
        <w:rPr>
          <w:lang w:val="en-US"/>
        </w:rPr>
        <w:t xml:space="preserve">to </w:t>
      </w:r>
      <w:r w:rsidR="151FBC91" w:rsidRPr="00DD1B58">
        <w:rPr>
          <w:lang w:val="en-US"/>
        </w:rPr>
        <w:t xml:space="preserve">be trained in basic firefighting procedures (a smaller number of </w:t>
      </w:r>
      <w:r w:rsidR="00394A14" w:rsidRPr="00DD1B58">
        <w:rPr>
          <w:lang w:val="en-US"/>
        </w:rPr>
        <w:t>operations staff</w:t>
      </w:r>
      <w:r w:rsidR="151FBC91" w:rsidRPr="00DD1B58">
        <w:rPr>
          <w:lang w:val="en-US"/>
        </w:rPr>
        <w:t xml:space="preserve"> will</w:t>
      </w:r>
      <w:r w:rsidR="151FBC91" w:rsidRPr="00DD1B58">
        <w:rPr>
          <w:szCs w:val="24"/>
          <w:lang w:val="en-US"/>
        </w:rPr>
        <w:t xml:space="preserve"> be trained to extinguish small fires using portable extinguishers), e.g., how to raise an alarm, what to do in the event of a fire alarm, evacuation routes, location of muster points as per the International Guidelines for the Fire Protection of Nuclear Power Plants Clause 4-2.</w:t>
      </w:r>
    </w:p>
    <w:p w14:paraId="6BDE8B2D" w14:textId="368C8D84" w:rsidR="151FBC91" w:rsidRPr="00DD1B58" w:rsidRDefault="151FBC91" w:rsidP="00777278">
      <w:pPr>
        <w:rPr>
          <w:szCs w:val="24"/>
          <w:lang w:val="en-US"/>
        </w:rPr>
      </w:pPr>
      <w:r w:rsidRPr="00DD1B58">
        <w:rPr>
          <w:lang w:val="en-US"/>
        </w:rPr>
        <w:t>In addi</w:t>
      </w:r>
      <w:r w:rsidRPr="00DD1B58">
        <w:rPr>
          <w:szCs w:val="24"/>
          <w:lang w:val="en-US"/>
        </w:rPr>
        <w:t xml:space="preserve">tion to the external muster points, </w:t>
      </w:r>
      <w:r w:rsidR="00B71696" w:rsidRPr="00DD1B58">
        <w:rPr>
          <w:szCs w:val="24"/>
          <w:lang w:val="en-US"/>
        </w:rPr>
        <w:t xml:space="preserve">NNB GenCo will provide </w:t>
      </w:r>
      <w:r w:rsidRPr="00DD1B58">
        <w:rPr>
          <w:szCs w:val="24"/>
          <w:lang w:val="en-US"/>
        </w:rPr>
        <w:t>internal muster points to HPC site, intended as safe locations in the event of an offsite nuclear accident or other incidents requiring an internal muster.</w:t>
      </w:r>
    </w:p>
    <w:p w14:paraId="538E33A9" w14:textId="77777777" w:rsidR="00CF7DDE" w:rsidRPr="00DD1B58" w:rsidRDefault="00CF7DDE" w:rsidP="00177432">
      <w:pPr>
        <w:pStyle w:val="Heading5A"/>
        <w:numPr>
          <w:ilvl w:val="5"/>
          <w:numId w:val="7"/>
        </w:numPr>
        <w:rPr>
          <w:lang w:val="en-US"/>
        </w:rPr>
      </w:pPr>
      <w:r w:rsidRPr="00DD1B58">
        <w:rPr>
          <w:lang w:val="en-US"/>
        </w:rPr>
        <w:t>Firefighting capabilities, responsibilities, organisation and documentation onsite and offsite</w:t>
      </w:r>
    </w:p>
    <w:p w14:paraId="1160AD0B" w14:textId="70D74DFB" w:rsidR="4A7E1F03" w:rsidRPr="00DD1B58" w:rsidRDefault="00E27331" w:rsidP="00777278">
      <w:pPr>
        <w:rPr>
          <w:lang w:val="en-US"/>
        </w:rPr>
      </w:pPr>
      <w:r w:rsidRPr="00DD1B58">
        <w:rPr>
          <w:lang w:val="en-US"/>
        </w:rPr>
        <w:t xml:space="preserve">NNB GenCo </w:t>
      </w:r>
      <w:r w:rsidR="006D798B" w:rsidRPr="00DD1B58">
        <w:rPr>
          <w:lang w:val="en-US"/>
        </w:rPr>
        <w:t>states that</w:t>
      </w:r>
      <w:r w:rsidRPr="00DD1B58">
        <w:rPr>
          <w:lang w:val="en-US"/>
        </w:rPr>
        <w:t xml:space="preserve"> the </w:t>
      </w:r>
      <w:r w:rsidR="4D5B6762" w:rsidRPr="00DD1B58">
        <w:rPr>
          <w:lang w:val="en-US"/>
        </w:rPr>
        <w:t xml:space="preserve">key principles for management of the procedures, training role holders and ensuring the procedures are communicated are summarised in the emergency arrangements deployment roadmap </w:t>
      </w:r>
      <w:sdt>
        <w:sdtPr>
          <w:rPr>
            <w:szCs w:val="24"/>
            <w:lang w:val="en-US"/>
          </w:rPr>
          <w:id w:val="-1544442368"/>
          <w:citation/>
        </w:sdtPr>
        <w:sdtContent>
          <w:r w:rsidR="00EE6F9C" w:rsidRPr="00DD1B58">
            <w:rPr>
              <w:szCs w:val="24"/>
              <w:lang w:val="en-US"/>
            </w:rPr>
            <w:fldChar w:fldCharType="begin"/>
          </w:r>
          <w:r w:rsidR="00EE6F9C" w:rsidRPr="00DD1B58">
            <w:rPr>
              <w:szCs w:val="24"/>
              <w:lang w:val="en-US"/>
            </w:rPr>
            <w:instrText xml:space="preserve"> CITATION NNB2112 \l 2057 </w:instrText>
          </w:r>
          <w:r w:rsidR="00EE6F9C" w:rsidRPr="00DD1B58">
            <w:rPr>
              <w:szCs w:val="24"/>
              <w:lang w:val="en-US"/>
            </w:rPr>
            <w:fldChar w:fldCharType="separate"/>
          </w:r>
          <w:r w:rsidR="00DF47DA" w:rsidRPr="00DF47DA">
            <w:rPr>
              <w:noProof/>
              <w:szCs w:val="24"/>
              <w:lang w:val="en-US"/>
            </w:rPr>
            <w:t>[176]</w:t>
          </w:r>
          <w:r w:rsidR="00EE6F9C" w:rsidRPr="00DD1B58">
            <w:rPr>
              <w:szCs w:val="24"/>
              <w:lang w:val="en-US"/>
            </w:rPr>
            <w:fldChar w:fldCharType="end"/>
          </w:r>
        </w:sdtContent>
      </w:sdt>
      <w:r w:rsidR="4D5B6762" w:rsidRPr="00DD1B58">
        <w:rPr>
          <w:lang w:val="en-US"/>
        </w:rPr>
        <w:t xml:space="preserve">. </w:t>
      </w:r>
      <w:r w:rsidRPr="00DD1B58">
        <w:rPr>
          <w:lang w:val="en-US"/>
        </w:rPr>
        <w:t>NNB GenCo requires a</w:t>
      </w:r>
      <w:r w:rsidR="4D5B6762" w:rsidRPr="00DD1B58">
        <w:rPr>
          <w:lang w:val="en-US"/>
        </w:rPr>
        <w:t xml:space="preserve"> programme of familiarisation and training to ensure emergency response personnel have the correct skills and knowledge to carry out their role effectively</w:t>
      </w:r>
      <w:r w:rsidRPr="00DD1B58">
        <w:rPr>
          <w:lang w:val="en-US"/>
        </w:rPr>
        <w:t xml:space="preserve">. It </w:t>
      </w:r>
      <w:r w:rsidR="006D798B" w:rsidRPr="00DD1B58">
        <w:rPr>
          <w:lang w:val="en-US"/>
        </w:rPr>
        <w:t>states that</w:t>
      </w:r>
      <w:r w:rsidRPr="00DD1B58">
        <w:rPr>
          <w:lang w:val="en-US"/>
        </w:rPr>
        <w:t xml:space="preserve"> the </w:t>
      </w:r>
      <w:r w:rsidR="4D5B6762" w:rsidRPr="00DD1B58">
        <w:rPr>
          <w:lang w:val="en-US"/>
        </w:rPr>
        <w:t>training will be developed using the Systematic Approach to Training (SAT) and will be periodically reviewed to ensure it remains fit for purpose throughout the project lifecycle and into operations.</w:t>
      </w:r>
    </w:p>
    <w:p w14:paraId="44DB3FE2" w14:textId="380144D1" w:rsidR="4201A037" w:rsidRPr="00DD1B58" w:rsidRDefault="00212B5C">
      <w:pPr>
        <w:rPr>
          <w:lang w:val="en-US"/>
        </w:rPr>
      </w:pPr>
      <w:r w:rsidRPr="00DD1B58">
        <w:rPr>
          <w:lang w:val="en-US"/>
        </w:rPr>
        <w:t xml:space="preserve">NNB GenCo </w:t>
      </w:r>
      <w:r w:rsidR="006D798B" w:rsidRPr="00DD1B58">
        <w:rPr>
          <w:lang w:val="en-US"/>
        </w:rPr>
        <w:t>states that</w:t>
      </w:r>
      <w:r w:rsidRPr="00DD1B58">
        <w:rPr>
          <w:lang w:val="en-US"/>
        </w:rPr>
        <w:t xml:space="preserve"> the </w:t>
      </w:r>
      <w:r w:rsidR="4201A037" w:rsidRPr="00DD1B58">
        <w:rPr>
          <w:lang w:val="en-US"/>
        </w:rPr>
        <w:t xml:space="preserve">current Nuclear Generation (NGL) Generic Emergency Scheme Training (GEST) programme will be used as the basis for the HPC emergency response training programme. </w:t>
      </w:r>
      <w:r w:rsidR="38B4DC35" w:rsidRPr="00DD1B58">
        <w:rPr>
          <w:lang w:val="en-US"/>
        </w:rPr>
        <w:t>Further detail on how this has been developed, proposed training for emergency response for general on</w:t>
      </w:r>
      <w:r w:rsidR="3403A3DA" w:rsidRPr="00DD1B58">
        <w:rPr>
          <w:lang w:val="en-US"/>
        </w:rPr>
        <w:t>-site personnel and visitors and maintenance and inspection of SSCs is provided in the licensee</w:t>
      </w:r>
      <w:r w:rsidRPr="00DD1B58">
        <w:rPr>
          <w:lang w:val="en-US"/>
        </w:rPr>
        <w:t xml:space="preserve">’s self-assessment report </w:t>
      </w:r>
      <w:sdt>
        <w:sdtPr>
          <w:rPr>
            <w:lang w:val="en-US"/>
          </w:rPr>
          <w:id w:val="-1197380692"/>
          <w:citation/>
        </w:sdtPr>
        <w:sdtContent>
          <w:r w:rsidRPr="00DD1B58">
            <w:rPr>
              <w:lang w:val="en-US"/>
            </w:rPr>
            <w:fldChar w:fldCharType="begin"/>
          </w:r>
          <w:r w:rsidRPr="00DD1B58">
            <w:rPr>
              <w:lang w:val="en-US"/>
            </w:rPr>
            <w:instrText xml:space="preserve"> CITATION NNB236 \l 2057 </w:instrText>
          </w:r>
          <w:r w:rsidRPr="00DD1B58">
            <w:rPr>
              <w:lang w:val="en-US"/>
            </w:rPr>
            <w:fldChar w:fldCharType="separate"/>
          </w:r>
          <w:r w:rsidR="00DF47DA" w:rsidRPr="00DF47DA">
            <w:rPr>
              <w:noProof/>
              <w:lang w:val="en-US"/>
            </w:rPr>
            <w:t>[49]</w:t>
          </w:r>
          <w:r w:rsidRPr="00DD1B58">
            <w:rPr>
              <w:lang w:val="en-US"/>
            </w:rPr>
            <w:fldChar w:fldCharType="end"/>
          </w:r>
        </w:sdtContent>
      </w:sdt>
      <w:r w:rsidRPr="00DD1B58">
        <w:rPr>
          <w:lang w:val="en-US"/>
        </w:rPr>
        <w:t>.</w:t>
      </w:r>
    </w:p>
    <w:p w14:paraId="2A2EA67B" w14:textId="5A644148" w:rsidR="28DCF916" w:rsidRPr="00DD1B58" w:rsidRDefault="00212B5C" w:rsidP="355CB971">
      <w:pPr>
        <w:rPr>
          <w:highlight w:val="yellow"/>
          <w:lang w:val="en-US"/>
        </w:rPr>
      </w:pPr>
      <w:r w:rsidRPr="00DD1B58">
        <w:rPr>
          <w:noProof/>
          <w:lang w:val="en-US"/>
        </w:rPr>
        <w:t>Regarding o</w:t>
      </w:r>
      <w:r w:rsidR="28DCF916" w:rsidRPr="00DD1B58">
        <w:rPr>
          <w:noProof/>
          <w:lang w:val="en-US"/>
        </w:rPr>
        <w:t xml:space="preserve">nsite </w:t>
      </w:r>
      <w:r w:rsidR="004F5760" w:rsidRPr="00DD1B58">
        <w:rPr>
          <w:noProof/>
          <w:lang w:val="en-US"/>
        </w:rPr>
        <w:t>firefight</w:t>
      </w:r>
      <w:r w:rsidR="28DCF916" w:rsidRPr="00DD1B58">
        <w:rPr>
          <w:noProof/>
          <w:lang w:val="en-US"/>
        </w:rPr>
        <w:t>ing capability and liaison with offsite facilities</w:t>
      </w:r>
      <w:r w:rsidRPr="00DD1B58">
        <w:rPr>
          <w:noProof/>
          <w:lang w:val="en-US"/>
        </w:rPr>
        <w:t xml:space="preserve">, NNB GenCo </w:t>
      </w:r>
      <w:r w:rsidR="006D798B" w:rsidRPr="00DD1B58">
        <w:rPr>
          <w:noProof/>
          <w:lang w:val="en-US"/>
        </w:rPr>
        <w:t>states that</w:t>
      </w:r>
      <w:r w:rsidRPr="00DD1B58">
        <w:rPr>
          <w:noProof/>
          <w:lang w:val="en-US"/>
        </w:rPr>
        <w:t xml:space="preserve"> e</w:t>
      </w:r>
      <w:r w:rsidR="28DCF916" w:rsidRPr="00DD1B58">
        <w:rPr>
          <w:noProof/>
          <w:lang w:val="en-US"/>
        </w:rPr>
        <w:t xml:space="preserve">mergency arrangements are being developed for when the HPC site becomes fully operational and the current status of the arrangements and supporting references </w:t>
      </w:r>
      <w:r w:rsidR="00E5400C" w:rsidRPr="00DD1B58">
        <w:rPr>
          <w:noProof/>
          <w:lang w:val="en-US"/>
        </w:rPr>
        <w:t xml:space="preserve">have been </w:t>
      </w:r>
      <w:r w:rsidR="28DCF916" w:rsidRPr="00DD1B58">
        <w:rPr>
          <w:noProof/>
          <w:lang w:val="en-US"/>
        </w:rPr>
        <w:t>summarised</w:t>
      </w:r>
      <w:r w:rsidR="00E5400C" w:rsidRPr="00DD1B58">
        <w:rPr>
          <w:noProof/>
          <w:lang w:val="en-US"/>
        </w:rPr>
        <w:t xml:space="preserve"> for equipment and facilities</w:t>
      </w:r>
      <w:r w:rsidR="28DCF916" w:rsidRPr="00DD1B58">
        <w:rPr>
          <w:noProof/>
          <w:lang w:val="en-US"/>
        </w:rPr>
        <w:t xml:space="preserve"> </w:t>
      </w:r>
      <w:sdt>
        <w:sdtPr>
          <w:rPr>
            <w:noProof/>
            <w:lang w:val="en-US"/>
          </w:rPr>
          <w:id w:val="2077933333"/>
          <w:citation/>
        </w:sdtPr>
        <w:sdtContent>
          <w:r w:rsidR="00B7024D" w:rsidRPr="00DD1B58">
            <w:rPr>
              <w:noProof/>
              <w:lang w:val="en-US"/>
            </w:rPr>
            <w:fldChar w:fldCharType="begin"/>
          </w:r>
          <w:r w:rsidR="00B7024D" w:rsidRPr="00DD1B58">
            <w:rPr>
              <w:noProof/>
              <w:lang w:val="en-US"/>
            </w:rPr>
            <w:instrText xml:space="preserve"> CITATION NNB2211 \l 2057 </w:instrText>
          </w:r>
          <w:r w:rsidR="00B7024D" w:rsidRPr="00DD1B58">
            <w:rPr>
              <w:noProof/>
              <w:lang w:val="en-US"/>
            </w:rPr>
            <w:fldChar w:fldCharType="separate"/>
          </w:r>
          <w:r w:rsidR="00DF47DA" w:rsidRPr="00DF47DA">
            <w:rPr>
              <w:noProof/>
              <w:lang w:val="en-US"/>
            </w:rPr>
            <w:t>[177]</w:t>
          </w:r>
          <w:r w:rsidR="00B7024D" w:rsidRPr="00DD1B58">
            <w:rPr>
              <w:noProof/>
              <w:lang w:val="en-US"/>
            </w:rPr>
            <w:fldChar w:fldCharType="end"/>
          </w:r>
        </w:sdtContent>
      </w:sdt>
      <w:r w:rsidR="28DCF916" w:rsidRPr="00DD1B58">
        <w:rPr>
          <w:noProof/>
          <w:lang w:val="en-US"/>
        </w:rPr>
        <w:t>, and</w:t>
      </w:r>
      <w:r w:rsidRPr="00DD1B58">
        <w:rPr>
          <w:noProof/>
          <w:lang w:val="en-US"/>
        </w:rPr>
        <w:t xml:space="preserve"> </w:t>
      </w:r>
      <w:r w:rsidR="00E5400C" w:rsidRPr="00DD1B58">
        <w:rPr>
          <w:noProof/>
          <w:lang w:val="en-US"/>
        </w:rPr>
        <w:t xml:space="preserve">for </w:t>
      </w:r>
      <w:r w:rsidR="28DCF916" w:rsidRPr="00DD1B58">
        <w:rPr>
          <w:noProof/>
          <w:lang w:val="en-US"/>
        </w:rPr>
        <w:t>the organisational arrangements</w:t>
      </w:r>
      <w:r w:rsidR="00E5400C" w:rsidRPr="00DD1B58">
        <w:rPr>
          <w:noProof/>
          <w:lang w:val="en-US"/>
        </w:rPr>
        <w:t xml:space="preserve"> </w:t>
      </w:r>
      <w:sdt>
        <w:sdtPr>
          <w:rPr>
            <w:noProof/>
            <w:lang w:val="en-US"/>
          </w:rPr>
          <w:id w:val="2002159653"/>
          <w:citation/>
        </w:sdtPr>
        <w:sdtContent>
          <w:r w:rsidR="00E5400C" w:rsidRPr="00DD1B58">
            <w:rPr>
              <w:noProof/>
              <w:lang w:val="en-US"/>
            </w:rPr>
            <w:fldChar w:fldCharType="begin"/>
          </w:r>
          <w:r w:rsidR="00E5400C" w:rsidRPr="00DD1B58">
            <w:rPr>
              <w:noProof/>
              <w:lang w:val="en-US"/>
            </w:rPr>
            <w:instrText xml:space="preserve"> CITATION NNB2112 \l 2057 </w:instrText>
          </w:r>
          <w:r w:rsidR="00E5400C" w:rsidRPr="00DD1B58">
            <w:rPr>
              <w:noProof/>
              <w:lang w:val="en-US"/>
            </w:rPr>
            <w:fldChar w:fldCharType="separate"/>
          </w:r>
          <w:r w:rsidR="00DF47DA" w:rsidRPr="00DF47DA">
            <w:rPr>
              <w:noProof/>
              <w:lang w:val="en-US"/>
            </w:rPr>
            <w:t>[176]</w:t>
          </w:r>
          <w:r w:rsidR="00E5400C" w:rsidRPr="00DD1B58">
            <w:rPr>
              <w:noProof/>
              <w:lang w:val="en-US"/>
            </w:rPr>
            <w:fldChar w:fldCharType="end"/>
          </w:r>
        </w:sdtContent>
      </w:sdt>
      <w:r w:rsidR="28DCF916" w:rsidRPr="00DD1B58">
        <w:rPr>
          <w:noProof/>
          <w:lang w:val="en-US"/>
        </w:rPr>
        <w:t>.</w:t>
      </w:r>
    </w:p>
    <w:p w14:paraId="5AB58D4E" w14:textId="0954FD2B" w:rsidR="28DCF916" w:rsidRPr="00DD1B58" w:rsidRDefault="00E5400C" w:rsidP="355CB971">
      <w:pPr>
        <w:rPr>
          <w:noProof/>
          <w:szCs w:val="24"/>
          <w:lang w:val="en-US"/>
        </w:rPr>
      </w:pPr>
      <w:r w:rsidRPr="00DD1B58">
        <w:rPr>
          <w:noProof/>
          <w:lang w:val="en-US"/>
        </w:rPr>
        <w:t>NNB GenCo report</w:t>
      </w:r>
      <w:r w:rsidR="00D22903" w:rsidRPr="00DD1B58">
        <w:rPr>
          <w:noProof/>
          <w:lang w:val="en-US"/>
        </w:rPr>
        <w:t>s</w:t>
      </w:r>
      <w:r w:rsidR="006D798B" w:rsidRPr="00DD1B58">
        <w:rPr>
          <w:noProof/>
          <w:lang w:val="en-US"/>
        </w:rPr>
        <w:t xml:space="preserve"> that</w:t>
      </w:r>
      <w:r w:rsidRPr="00DD1B58">
        <w:rPr>
          <w:noProof/>
          <w:lang w:val="en-US"/>
        </w:rPr>
        <w:t xml:space="preserve"> the </w:t>
      </w:r>
      <w:r w:rsidR="28DCF916" w:rsidRPr="00DD1B58">
        <w:rPr>
          <w:noProof/>
          <w:lang w:val="en-US"/>
        </w:rPr>
        <w:t xml:space="preserve">arrangements and equipment for HPC will be developed using the NGL </w:t>
      </w:r>
      <w:r w:rsidR="004313C1" w:rsidRPr="00DD1B58">
        <w:rPr>
          <w:noProof/>
          <w:lang w:val="en-US"/>
        </w:rPr>
        <w:t>Integrated Company Practice (</w:t>
      </w:r>
      <w:r w:rsidR="28DCF916" w:rsidRPr="00DD1B58">
        <w:rPr>
          <w:noProof/>
          <w:lang w:val="en-US"/>
        </w:rPr>
        <w:t>ICP</w:t>
      </w:r>
      <w:r w:rsidR="004313C1" w:rsidRPr="00DD1B58">
        <w:rPr>
          <w:noProof/>
          <w:lang w:val="en-US"/>
        </w:rPr>
        <w:t>)</w:t>
      </w:r>
      <w:r w:rsidR="28DCF916" w:rsidRPr="00DD1B58">
        <w:rPr>
          <w:noProof/>
          <w:lang w:val="en-US"/>
        </w:rPr>
        <w:t xml:space="preserve">, on the recognition that the emergency response for a Pressurised Water Reactor (PWR) requires a slightly different emergency equipment inventory to the existing fleet, even when compared to SZB (of a similar technology). </w:t>
      </w:r>
      <w:r w:rsidR="00B15973" w:rsidRPr="00DD1B58">
        <w:rPr>
          <w:noProof/>
          <w:lang w:val="en-US"/>
        </w:rPr>
        <w:t xml:space="preserve">NNB GenCo considers that the </w:t>
      </w:r>
      <w:r w:rsidR="28DCF916" w:rsidRPr="00DD1B58">
        <w:rPr>
          <w:noProof/>
          <w:lang w:val="en-US"/>
        </w:rPr>
        <w:t>equipment, the storage arrangements, and deployment plans need to consider the technological differences, but also changes in regulations and best practice which have evolved since the design and construction of the existing nuclear fleet, particularly following the nuclear accident at Fukushima Daiichi in Japan.</w:t>
      </w:r>
    </w:p>
    <w:p w14:paraId="01FAD443" w14:textId="67EC1A2E" w:rsidR="28DCF916" w:rsidRPr="00DD1B58" w:rsidRDefault="28DCF916" w:rsidP="355CB971">
      <w:pPr>
        <w:rPr>
          <w:noProof/>
          <w:szCs w:val="24"/>
          <w:lang w:val="en-US"/>
        </w:rPr>
      </w:pPr>
      <w:r w:rsidRPr="00DD1B58">
        <w:rPr>
          <w:noProof/>
          <w:lang w:val="en-US"/>
        </w:rPr>
        <w:t xml:space="preserve">The on-site firefighting facilities associated with operational buildings (detection, fire suppressing systems and their power and water supplies) have been described in previous sections. Additionally, an Emergency Response Garage will be located adjacent to the </w:t>
      </w:r>
      <w:r w:rsidR="26F5298E" w:rsidRPr="00DD1B58">
        <w:rPr>
          <w:noProof/>
          <w:lang w:val="en-US"/>
        </w:rPr>
        <w:t>o</w:t>
      </w:r>
      <w:r w:rsidRPr="00DD1B58">
        <w:rPr>
          <w:noProof/>
          <w:lang w:val="en-US"/>
        </w:rPr>
        <w:t>n</w:t>
      </w:r>
      <w:r w:rsidR="170A7887" w:rsidRPr="00DD1B58">
        <w:rPr>
          <w:noProof/>
          <w:lang w:val="en-US"/>
        </w:rPr>
        <w:t>-</w:t>
      </w:r>
      <w:r w:rsidR="7CBE87BC" w:rsidRPr="00DD1B58">
        <w:rPr>
          <w:noProof/>
          <w:lang w:val="en-US"/>
        </w:rPr>
        <w:t xml:space="preserve">site Emergency Response Centre to provide storage of vehicles and equipment for emergency response, including response vehicles, specialist fire rescue PPE, specialist fire rescue tools and equipment and Breathing Apparatus storage </w:t>
      </w:r>
      <w:sdt>
        <w:sdtPr>
          <w:rPr>
            <w:noProof/>
            <w:lang w:val="en-US"/>
          </w:rPr>
          <w:id w:val="-1591382701"/>
          <w:citation/>
        </w:sdtPr>
        <w:sdtContent>
          <w:r w:rsidR="00D92239" w:rsidRPr="00DD1B58">
            <w:rPr>
              <w:noProof/>
              <w:lang w:val="en-US"/>
            </w:rPr>
            <w:fldChar w:fldCharType="begin"/>
          </w:r>
          <w:r w:rsidR="00D92239" w:rsidRPr="00DD1B58">
            <w:rPr>
              <w:noProof/>
              <w:lang w:val="en-US"/>
            </w:rPr>
            <w:instrText xml:space="preserve"> CITATION NNB208 \l 2057 </w:instrText>
          </w:r>
          <w:r w:rsidR="00D92239" w:rsidRPr="00DD1B58">
            <w:rPr>
              <w:noProof/>
              <w:lang w:val="en-US"/>
            </w:rPr>
            <w:fldChar w:fldCharType="separate"/>
          </w:r>
          <w:r w:rsidR="00DF47DA" w:rsidRPr="00DF47DA">
            <w:rPr>
              <w:noProof/>
              <w:lang w:val="en-US"/>
            </w:rPr>
            <w:t>[178]</w:t>
          </w:r>
          <w:r w:rsidR="00D92239" w:rsidRPr="00DD1B58">
            <w:rPr>
              <w:noProof/>
              <w:lang w:val="en-US"/>
            </w:rPr>
            <w:fldChar w:fldCharType="end"/>
          </w:r>
        </w:sdtContent>
      </w:sdt>
      <w:r w:rsidR="7CBE87BC" w:rsidRPr="00DD1B58">
        <w:rPr>
          <w:noProof/>
          <w:lang w:val="en-US"/>
        </w:rPr>
        <w:t>.</w:t>
      </w:r>
    </w:p>
    <w:p w14:paraId="3C195348" w14:textId="6172AA26" w:rsidR="7CBE87BC" w:rsidRPr="00DD1B58" w:rsidRDefault="00DB0BC2" w:rsidP="355CB971">
      <w:pPr>
        <w:rPr>
          <w:lang w:val="en-US"/>
        </w:rPr>
      </w:pPr>
      <w:r w:rsidRPr="00DD1B58">
        <w:rPr>
          <w:noProof/>
          <w:lang w:val="en-US"/>
        </w:rPr>
        <w:t>NNB GenC</w:t>
      </w:r>
      <w:r w:rsidR="00D22903" w:rsidRPr="00DD1B58">
        <w:rPr>
          <w:noProof/>
          <w:lang w:val="en-US"/>
        </w:rPr>
        <w:t>o</w:t>
      </w:r>
      <w:r w:rsidRPr="00DD1B58">
        <w:rPr>
          <w:noProof/>
          <w:lang w:val="en-US"/>
        </w:rPr>
        <w:t xml:space="preserve"> report</w:t>
      </w:r>
      <w:r w:rsidR="00D22903" w:rsidRPr="00DD1B58">
        <w:rPr>
          <w:noProof/>
          <w:lang w:val="en-US"/>
        </w:rPr>
        <w:t>s</w:t>
      </w:r>
      <w:r w:rsidR="00D776E2" w:rsidRPr="00DD1B58">
        <w:rPr>
          <w:noProof/>
          <w:lang w:val="en-US"/>
        </w:rPr>
        <w:t xml:space="preserve"> that</w:t>
      </w:r>
      <w:r w:rsidRPr="00DD1B58">
        <w:rPr>
          <w:noProof/>
          <w:lang w:val="en-US"/>
        </w:rPr>
        <w:t xml:space="preserve"> a</w:t>
      </w:r>
      <w:r w:rsidR="7CBE87BC" w:rsidRPr="00DD1B58">
        <w:rPr>
          <w:noProof/>
          <w:lang w:val="en-US"/>
        </w:rPr>
        <w:t>dditional emergency response equipment will be stored at a strategic location offsite including generators, pumps, vehicles etc.</w:t>
      </w:r>
      <w:r w:rsidR="006410CA" w:rsidRPr="00DD1B58">
        <w:rPr>
          <w:lang w:val="en-US"/>
        </w:rPr>
        <w:t xml:space="preserve"> </w:t>
      </w:r>
      <w:r w:rsidR="003710E5" w:rsidRPr="00DD1B58">
        <w:rPr>
          <w:noProof/>
          <w:lang w:val="en-US"/>
        </w:rPr>
        <w:t xml:space="preserve">It also </w:t>
      </w:r>
      <w:r w:rsidR="00D776E2" w:rsidRPr="00DD1B58">
        <w:rPr>
          <w:noProof/>
          <w:lang w:val="en-US"/>
        </w:rPr>
        <w:t>states</w:t>
      </w:r>
      <w:r w:rsidR="006D798B" w:rsidRPr="00DD1B58">
        <w:rPr>
          <w:noProof/>
          <w:lang w:val="en-US"/>
        </w:rPr>
        <w:t xml:space="preserve"> that</w:t>
      </w:r>
      <w:r w:rsidR="003710E5" w:rsidRPr="00DD1B58">
        <w:rPr>
          <w:noProof/>
          <w:lang w:val="en-US"/>
        </w:rPr>
        <w:t xml:space="preserve"> the </w:t>
      </w:r>
      <w:r w:rsidR="7CBE87BC" w:rsidRPr="00DD1B58">
        <w:rPr>
          <w:noProof/>
          <w:lang w:val="en-US"/>
        </w:rPr>
        <w:t xml:space="preserve">proposed offsite emergency response organisation within EDF will use some of the same facilities currently in place for the generating </w:t>
      </w:r>
      <w:r w:rsidR="003710E5" w:rsidRPr="00DD1B58">
        <w:rPr>
          <w:noProof/>
          <w:lang w:val="en-US"/>
        </w:rPr>
        <w:t xml:space="preserve">EDF NGL </w:t>
      </w:r>
      <w:r w:rsidR="7CBE87BC" w:rsidRPr="00DD1B58">
        <w:rPr>
          <w:noProof/>
          <w:lang w:val="en-US"/>
        </w:rPr>
        <w:t>stations</w:t>
      </w:r>
      <w:r w:rsidR="5A7A33DF" w:rsidRPr="00DD1B58">
        <w:rPr>
          <w:noProof/>
          <w:lang w:val="en-US"/>
        </w:rPr>
        <w:t xml:space="preserve">. A detailed list is </w:t>
      </w:r>
      <w:r w:rsidR="003710E5" w:rsidRPr="00DD1B58">
        <w:rPr>
          <w:noProof/>
          <w:lang w:val="en-US"/>
        </w:rPr>
        <w:t xml:space="preserve">provided </w:t>
      </w:r>
      <w:r w:rsidR="5A7A33DF" w:rsidRPr="00DD1B58">
        <w:rPr>
          <w:noProof/>
          <w:lang w:val="en-US"/>
        </w:rPr>
        <w:t xml:space="preserve">in the licensee’s </w:t>
      </w:r>
      <w:r w:rsidR="003710E5" w:rsidRPr="00DD1B58">
        <w:rPr>
          <w:noProof/>
          <w:lang w:val="en-US"/>
        </w:rPr>
        <w:t xml:space="preserve">self-assessment </w:t>
      </w:r>
      <w:r w:rsidR="7CBE87BC" w:rsidRPr="00DD1B58">
        <w:rPr>
          <w:noProof/>
          <w:lang w:val="en-US"/>
        </w:rPr>
        <w:t>and includes</w:t>
      </w:r>
      <w:r w:rsidR="011C7E71" w:rsidRPr="00DD1B58">
        <w:rPr>
          <w:noProof/>
          <w:lang w:val="en-US"/>
        </w:rPr>
        <w:t xml:space="preserve"> the </w:t>
      </w:r>
      <w:r w:rsidR="64E3AE67" w:rsidRPr="00DD1B58">
        <w:rPr>
          <w:lang w:val="en-US"/>
        </w:rPr>
        <w:t>Offsite support centre (currently CESC Barnwood</w:t>
      </w:r>
      <w:r w:rsidR="30CCC220" w:rsidRPr="00DD1B58">
        <w:rPr>
          <w:lang w:val="en-US"/>
        </w:rPr>
        <w:t>)</w:t>
      </w:r>
      <w:r w:rsidR="0549E0FC" w:rsidRPr="00DD1B58">
        <w:rPr>
          <w:lang w:val="en-US"/>
        </w:rPr>
        <w:t>.</w:t>
      </w:r>
      <w:r w:rsidR="003710E5" w:rsidRPr="00DD1B58">
        <w:rPr>
          <w:noProof/>
          <w:lang w:val="en-US"/>
        </w:rPr>
        <w:t xml:space="preserve"> </w:t>
      </w:r>
      <w:r w:rsidR="7CBE87BC" w:rsidRPr="00DD1B58">
        <w:rPr>
          <w:noProof/>
          <w:lang w:val="en-US"/>
        </w:rPr>
        <w:t xml:space="preserve">The interactions between EDF on-site, off-site, and other organisations are shown </w:t>
      </w:r>
      <w:r w:rsidRPr="00DD1B58">
        <w:rPr>
          <w:noProof/>
          <w:lang w:val="en-US"/>
        </w:rPr>
        <w:t xml:space="preserve">in </w:t>
      </w:r>
      <w:r w:rsidRPr="00DD1B58">
        <w:rPr>
          <w:noProof/>
          <w:lang w:val="en-US"/>
        </w:rPr>
        <w:fldChar w:fldCharType="begin"/>
      </w:r>
      <w:r w:rsidRPr="00DD1B58">
        <w:rPr>
          <w:noProof/>
          <w:lang w:val="en-US"/>
        </w:rPr>
        <w:instrText xml:space="preserve"> REF _Ref143976642 \h </w:instrText>
      </w:r>
      <w:r w:rsidRPr="00DD1B58">
        <w:rPr>
          <w:noProof/>
          <w:lang w:val="en-US"/>
        </w:rPr>
      </w:r>
      <w:r w:rsidRPr="00DD1B58">
        <w:rPr>
          <w:noProof/>
          <w:lang w:val="en-US"/>
        </w:rPr>
        <w:fldChar w:fldCharType="separate"/>
      </w:r>
      <w:r w:rsidR="00DF47DA" w:rsidRPr="00DD1B58">
        <w:rPr>
          <w:lang w:val="en-US"/>
        </w:rPr>
        <w:t xml:space="preserve">Figure </w:t>
      </w:r>
      <w:r w:rsidR="00DF47DA">
        <w:rPr>
          <w:noProof/>
          <w:lang w:val="en-US"/>
        </w:rPr>
        <w:t>5</w:t>
      </w:r>
      <w:r w:rsidRPr="00DD1B58">
        <w:rPr>
          <w:noProof/>
          <w:lang w:val="en-US"/>
        </w:rPr>
        <w:fldChar w:fldCharType="end"/>
      </w:r>
      <w:r w:rsidR="7CBE87BC" w:rsidRPr="00DD1B58">
        <w:rPr>
          <w:noProof/>
          <w:lang w:val="en-US"/>
        </w:rPr>
        <w:t>.</w:t>
      </w:r>
    </w:p>
    <w:p w14:paraId="329CB8B7" w14:textId="7110D54C" w:rsidR="34ED84E0" w:rsidRPr="00DD1B58" w:rsidRDefault="00C12D01" w:rsidP="00973FF4">
      <w:pPr>
        <w:pStyle w:val="Caption"/>
        <w:rPr>
          <w:noProof/>
          <w:lang w:val="en-US"/>
        </w:rPr>
      </w:pPr>
      <w:bookmarkStart w:id="105" w:name="_Ref143976642"/>
      <w:bookmarkStart w:id="106" w:name="_Ref143976637"/>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5</w:t>
      </w:r>
      <w:r w:rsidRPr="00DD1B58">
        <w:rPr>
          <w:lang w:val="en-US"/>
        </w:rPr>
        <w:fldChar w:fldCharType="end"/>
      </w:r>
      <w:bookmarkEnd w:id="105"/>
      <w:r w:rsidR="5109450C" w:rsidRPr="00DD1B58">
        <w:rPr>
          <w:noProof/>
          <w:lang w:val="en-US"/>
        </w:rPr>
        <w:t xml:space="preserve">: Outline of </w:t>
      </w:r>
      <w:r w:rsidR="00DB0BC2" w:rsidRPr="00DD1B58">
        <w:rPr>
          <w:noProof/>
          <w:lang w:val="en-US"/>
        </w:rPr>
        <w:t xml:space="preserve">NNB GenCo’s </w:t>
      </w:r>
      <w:r w:rsidR="5109450C" w:rsidRPr="00DD1B58">
        <w:rPr>
          <w:noProof/>
          <w:lang w:val="en-US"/>
        </w:rPr>
        <w:t>Emergency Organisation</w:t>
      </w:r>
      <w:bookmarkEnd w:id="106"/>
    </w:p>
    <w:p w14:paraId="416709DD" w14:textId="77777777" w:rsidR="34ED84E0" w:rsidRPr="00DD1B58" w:rsidRDefault="59A90F49" w:rsidP="50AE0A86">
      <w:pPr>
        <w:rPr>
          <w:lang w:val="en-US"/>
        </w:rPr>
      </w:pPr>
      <w:r w:rsidRPr="00DD1B58">
        <w:rPr>
          <w:noProof/>
          <w:lang w:val="en-US"/>
        </w:rPr>
        <w:drawing>
          <wp:inline distT="0" distB="0" distL="0" distR="0" wp14:anchorId="2F5E3F20" wp14:editId="5593FB1F">
            <wp:extent cx="5795158" cy="3181859"/>
            <wp:effectExtent l="0" t="0" r="0" b="0"/>
            <wp:docPr id="180971675" name="Picture 180971675" descr="Emergency organisation, with links between HPC on-site, EDF off-site and other organisations such as the SCC/police/fire/local authority and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1675" name="Picture 180971675" descr="Emergency organisation, with links between HPC on-site, EDF off-site and other organisations such as the SCC/police/fire/local authority and the government"/>
                    <pic:cNvPicPr/>
                  </pic:nvPicPr>
                  <pic:blipFill>
                    <a:blip r:embed="rId16">
                      <a:extLst>
                        <a:ext uri="{28A0092B-C50C-407E-A947-70E740481C1C}">
                          <a14:useLocalDpi xmlns:a14="http://schemas.microsoft.com/office/drawing/2010/main" val="0"/>
                        </a:ext>
                      </a:extLst>
                    </a:blip>
                    <a:stretch>
                      <a:fillRect/>
                    </a:stretch>
                  </pic:blipFill>
                  <pic:spPr>
                    <a:xfrm>
                      <a:off x="0" y="0"/>
                      <a:ext cx="5845354" cy="3209419"/>
                    </a:xfrm>
                    <a:prstGeom prst="rect">
                      <a:avLst/>
                    </a:prstGeom>
                  </pic:spPr>
                </pic:pic>
              </a:graphicData>
            </a:graphic>
          </wp:inline>
        </w:drawing>
      </w:r>
    </w:p>
    <w:p w14:paraId="28F244C5" w14:textId="0D4EC094" w:rsidR="355CB971" w:rsidRPr="00DD1B58" w:rsidRDefault="00812C82" w:rsidP="355CB971">
      <w:pPr>
        <w:rPr>
          <w:lang w:val="en-US"/>
        </w:rPr>
      </w:pPr>
      <w:r w:rsidRPr="00DD1B58">
        <w:rPr>
          <w:lang w:val="en-US"/>
        </w:rPr>
        <w:t xml:space="preserve">NNB GenCo </w:t>
      </w:r>
      <w:r w:rsidR="006D798B" w:rsidRPr="00DD1B58">
        <w:rPr>
          <w:lang w:val="en-US"/>
        </w:rPr>
        <w:t>states that</w:t>
      </w:r>
      <w:r w:rsidRPr="00DD1B58">
        <w:rPr>
          <w:lang w:val="en-US"/>
        </w:rPr>
        <w:t xml:space="preserve"> t</w:t>
      </w:r>
      <w:r w:rsidR="34ED84E0" w:rsidRPr="00DD1B58">
        <w:rPr>
          <w:lang w:val="en-US"/>
        </w:rPr>
        <w:t xml:space="preserve">he safety culture for HPC will continue once the site is operational and will include regular fire drills, staff training, emergency exercise and specific safety initiatives, drawing on the extensive experience and high standards of safety culture achieved for the </w:t>
      </w:r>
      <w:r w:rsidRPr="00DD1B58">
        <w:rPr>
          <w:lang w:val="en-US"/>
        </w:rPr>
        <w:t xml:space="preserve">EDF NGL </w:t>
      </w:r>
      <w:r w:rsidR="34ED84E0" w:rsidRPr="00DD1B58">
        <w:rPr>
          <w:lang w:val="en-US"/>
        </w:rPr>
        <w:t>fleet.</w:t>
      </w:r>
    </w:p>
    <w:p w14:paraId="7144F91A" w14:textId="77777777" w:rsidR="00CF7DDE" w:rsidRPr="00DD1B58" w:rsidRDefault="00CF7DDE" w:rsidP="00177432">
      <w:pPr>
        <w:pStyle w:val="Heading5A"/>
        <w:numPr>
          <w:ilvl w:val="5"/>
          <w:numId w:val="7"/>
        </w:numPr>
        <w:rPr>
          <w:lang w:val="en-US"/>
        </w:rPr>
      </w:pPr>
      <w:r w:rsidRPr="00DD1B58">
        <w:rPr>
          <w:lang w:val="en-US"/>
        </w:rPr>
        <w:t>Specific provisions, e.g. loss of access</w:t>
      </w:r>
    </w:p>
    <w:p w14:paraId="7E155BD8" w14:textId="77777777" w:rsidR="14C3EC10" w:rsidRPr="00DD1B58" w:rsidRDefault="14C3EC10" w:rsidP="00777278">
      <w:pPr>
        <w:rPr>
          <w:szCs w:val="24"/>
          <w:lang w:val="en-US"/>
        </w:rPr>
      </w:pPr>
      <w:r w:rsidRPr="00DD1B58">
        <w:rPr>
          <w:lang w:val="en-US"/>
        </w:rPr>
        <w:t xml:space="preserve">HPC will have two vehicle entrances, and if the primary entrance is unavailable, the Fire and Rescue Services would be directed to the alternative entry point. When the Fire and Rescue Service </w:t>
      </w:r>
      <w:r w:rsidRPr="00DD1B58">
        <w:rPr>
          <w:szCs w:val="24"/>
          <w:lang w:val="en-US"/>
        </w:rPr>
        <w:t>arrive at HPC, they will be met at the primary or alternative access point by HPC staff; briefed on the situation and escorted at all times whilst on site.</w:t>
      </w:r>
    </w:p>
    <w:p w14:paraId="147161FC" w14:textId="213EA571" w:rsidR="14C3EC10" w:rsidRPr="00DD1B58" w:rsidRDefault="00540FDF" w:rsidP="355CB971">
      <w:pPr>
        <w:rPr>
          <w:noProof/>
          <w:szCs w:val="24"/>
          <w:lang w:val="en-US"/>
        </w:rPr>
      </w:pPr>
      <w:r w:rsidRPr="00DD1B58">
        <w:rPr>
          <w:noProof/>
          <w:szCs w:val="24"/>
          <w:lang w:val="en-US"/>
        </w:rPr>
        <w:t>NNB GenCo report</w:t>
      </w:r>
      <w:r w:rsidR="008872B6" w:rsidRPr="00DD1B58">
        <w:rPr>
          <w:noProof/>
          <w:szCs w:val="24"/>
          <w:lang w:val="en-US"/>
        </w:rPr>
        <w:t>s</w:t>
      </w:r>
      <w:r w:rsidRPr="00DD1B58">
        <w:rPr>
          <w:noProof/>
          <w:szCs w:val="24"/>
          <w:lang w:val="en-US"/>
        </w:rPr>
        <w:t xml:space="preserve"> that F</w:t>
      </w:r>
      <w:r w:rsidR="14C3EC10" w:rsidRPr="00DD1B58">
        <w:rPr>
          <w:noProof/>
          <w:szCs w:val="24"/>
          <w:lang w:val="en-US"/>
        </w:rPr>
        <w:t>ire and Rescue Service personnel will use their own held-hand radios throughout the site, coverage will be ensured by a distributed antenna system (DAS) that will be provided to ensure full site coverage.</w:t>
      </w:r>
    </w:p>
    <w:p w14:paraId="5CC8C568" w14:textId="77777777" w:rsidR="00CF7DDE" w:rsidRPr="00DD1B58" w:rsidRDefault="00CF7DDE" w:rsidP="00177432">
      <w:pPr>
        <w:pStyle w:val="Heading5A"/>
        <w:rPr>
          <w:lang w:val="en-US"/>
        </w:rPr>
      </w:pPr>
      <w:bookmarkStart w:id="107" w:name="_Ref145058083"/>
      <w:r w:rsidRPr="00DD1B58">
        <w:rPr>
          <w:lang w:val="en-US"/>
        </w:rPr>
        <w:t>Licensee’s experience of the implementation of the active fire protection</w:t>
      </w:r>
      <w:bookmarkEnd w:id="107"/>
    </w:p>
    <w:p w14:paraId="1D49FDDA" w14:textId="77777777" w:rsidR="00CF7DDE" w:rsidRPr="00DD1B58" w:rsidRDefault="00CF7DDE" w:rsidP="00177432">
      <w:pPr>
        <w:pStyle w:val="Heading5A"/>
        <w:numPr>
          <w:ilvl w:val="5"/>
          <w:numId w:val="7"/>
        </w:numPr>
        <w:rPr>
          <w:lang w:val="en-US"/>
        </w:rPr>
      </w:pPr>
      <w:r w:rsidRPr="00DD1B58">
        <w:rPr>
          <w:lang w:val="en-US"/>
        </w:rPr>
        <w:t>Overview of strengths and weaknesses</w:t>
      </w:r>
    </w:p>
    <w:p w14:paraId="3A9C4A38" w14:textId="599AB999" w:rsidR="68B1A7F3" w:rsidRPr="00DD1B58" w:rsidRDefault="68B1A7F3" w:rsidP="003D485B">
      <w:pPr>
        <w:rPr>
          <w:lang w:val="en-US"/>
        </w:rPr>
      </w:pPr>
      <w:r w:rsidRPr="00DD1B58">
        <w:rPr>
          <w:lang w:val="en-US"/>
        </w:rPr>
        <w:t xml:space="preserve">No </w:t>
      </w:r>
      <w:r w:rsidR="00262585" w:rsidRPr="00DD1B58">
        <w:rPr>
          <w:lang w:val="en-US"/>
        </w:rPr>
        <w:t xml:space="preserve">specific </w:t>
      </w:r>
      <w:r w:rsidRPr="00DD1B58">
        <w:rPr>
          <w:lang w:val="en-US"/>
        </w:rPr>
        <w:t xml:space="preserve">strengths or weaknesses have been </w:t>
      </w:r>
      <w:r w:rsidR="00A43F3C" w:rsidRPr="00DD1B58">
        <w:rPr>
          <w:lang w:val="en-US"/>
        </w:rPr>
        <w:t xml:space="preserve">highlighted </w:t>
      </w:r>
    </w:p>
    <w:p w14:paraId="18D81EC3" w14:textId="77777777" w:rsidR="00CF7DDE" w:rsidRPr="00DD1B58" w:rsidRDefault="00CF7DDE" w:rsidP="00177432">
      <w:pPr>
        <w:pStyle w:val="Heading5A"/>
        <w:numPr>
          <w:ilvl w:val="5"/>
          <w:numId w:val="7"/>
        </w:numPr>
        <w:rPr>
          <w:lang w:val="en-US"/>
        </w:rPr>
      </w:pPr>
      <w:r w:rsidRPr="00DD1B58">
        <w:rPr>
          <w:lang w:val="en-US"/>
        </w:rPr>
        <w:t>Lessons learned from events, reviews fire safety related missions, etc.</w:t>
      </w:r>
    </w:p>
    <w:p w14:paraId="3620DF34" w14:textId="712A5D3D" w:rsidR="6BEC0FB2" w:rsidRPr="00DD1B58" w:rsidRDefault="6BEC0FB2" w:rsidP="3FE0E35C">
      <w:pPr>
        <w:spacing w:line="257" w:lineRule="auto"/>
        <w:rPr>
          <w:noProof/>
          <w:szCs w:val="24"/>
          <w:lang w:val="en-US"/>
        </w:rPr>
      </w:pPr>
      <w:r w:rsidRPr="00DD1B58">
        <w:rPr>
          <w:rFonts w:eastAsia="Arial"/>
          <w:noProof/>
          <w:szCs w:val="24"/>
          <w:lang w:val="en-US"/>
        </w:rPr>
        <w:t xml:space="preserve">NNB GenCo </w:t>
      </w:r>
      <w:r w:rsidR="006D798B" w:rsidRPr="00DD1B58">
        <w:rPr>
          <w:rFonts w:eastAsia="Arial"/>
          <w:noProof/>
          <w:szCs w:val="24"/>
          <w:lang w:val="en-US"/>
        </w:rPr>
        <w:t>states that</w:t>
      </w:r>
      <w:r w:rsidR="00540FDF" w:rsidRPr="00DD1B58">
        <w:rPr>
          <w:rFonts w:eastAsia="Arial"/>
          <w:noProof/>
          <w:szCs w:val="24"/>
          <w:lang w:val="en-US"/>
        </w:rPr>
        <w:t xml:space="preserve"> it has </w:t>
      </w:r>
      <w:r w:rsidRPr="00DD1B58">
        <w:rPr>
          <w:rFonts w:eastAsia="Arial"/>
          <w:noProof/>
          <w:szCs w:val="24"/>
          <w:lang w:val="en-US"/>
        </w:rPr>
        <w:t>access to fire SQEPs within EDF NGL and takes account of their experience from many years of operating SZB and the AGR fleet. NNB GenCo is also in regular contact with EDF France and adopts their feedback and improvements</w:t>
      </w:r>
      <w:r w:rsidR="007C3F42" w:rsidRPr="00DD1B58">
        <w:rPr>
          <w:rFonts w:eastAsia="Arial"/>
          <w:noProof/>
          <w:szCs w:val="24"/>
          <w:lang w:val="en-US"/>
        </w:rPr>
        <w:t>/</w:t>
      </w:r>
      <w:r w:rsidRPr="00DD1B58">
        <w:rPr>
          <w:rFonts w:eastAsia="Arial"/>
          <w:noProof/>
          <w:szCs w:val="24"/>
          <w:lang w:val="en-US"/>
        </w:rPr>
        <w:t>lessons learned where appropriate.</w:t>
      </w:r>
    </w:p>
    <w:p w14:paraId="261FA8DB" w14:textId="77777777" w:rsidR="00CF7DDE" w:rsidRPr="00DD1B58" w:rsidRDefault="00CF7DDE" w:rsidP="00177432">
      <w:pPr>
        <w:pStyle w:val="Heading5A"/>
        <w:numPr>
          <w:ilvl w:val="5"/>
          <w:numId w:val="7"/>
        </w:numPr>
        <w:rPr>
          <w:lang w:val="en-US"/>
        </w:rPr>
      </w:pPr>
      <w:r w:rsidRPr="00DD1B58">
        <w:rPr>
          <w:lang w:val="en-US"/>
        </w:rPr>
        <w:t>Overview of actions and implementation status</w:t>
      </w:r>
    </w:p>
    <w:p w14:paraId="279DA0AB" w14:textId="77777777" w:rsidR="2D472A81" w:rsidRPr="00DD1B58" w:rsidRDefault="2D472A81" w:rsidP="003D485B">
      <w:pPr>
        <w:rPr>
          <w:lang w:val="en-US"/>
        </w:rPr>
      </w:pPr>
      <w:r w:rsidRPr="00DD1B58">
        <w:rPr>
          <w:lang w:val="en-US"/>
        </w:rPr>
        <w:t xml:space="preserve">No </w:t>
      </w:r>
      <w:r w:rsidR="00A43F3C" w:rsidRPr="00DD1B58">
        <w:rPr>
          <w:lang w:val="en-US"/>
        </w:rPr>
        <w:t xml:space="preserve">specific </w:t>
      </w:r>
      <w:r w:rsidRPr="00DD1B58">
        <w:rPr>
          <w:lang w:val="en-US"/>
        </w:rPr>
        <w:t>actions have been identified</w:t>
      </w:r>
      <w:r w:rsidR="00A43F3C" w:rsidRPr="00DD1B58">
        <w:rPr>
          <w:lang w:val="en-US"/>
        </w:rPr>
        <w:t xml:space="preserve"> in the licensee self-assessment</w:t>
      </w:r>
      <w:r w:rsidRPr="00DD1B58">
        <w:rPr>
          <w:lang w:val="en-US"/>
        </w:rPr>
        <w:t>.</w:t>
      </w:r>
    </w:p>
    <w:p w14:paraId="6529820E" w14:textId="0D5EEFD4" w:rsidR="00CF7DDE" w:rsidRPr="00DD1B58" w:rsidRDefault="00CF7DDE" w:rsidP="00177432">
      <w:pPr>
        <w:pStyle w:val="Heading5A"/>
        <w:rPr>
          <w:lang w:val="en-US"/>
        </w:rPr>
      </w:pPr>
      <w:bookmarkStart w:id="108" w:name="_Ref145058317"/>
      <w:r w:rsidRPr="00DD1B58">
        <w:rPr>
          <w:lang w:val="en-US"/>
        </w:rPr>
        <w:t>Regulator’s assessment of the active fire protection</w:t>
      </w:r>
      <w:bookmarkEnd w:id="108"/>
    </w:p>
    <w:p w14:paraId="046F4D4C" w14:textId="0E234799" w:rsidR="00CF7DDE" w:rsidRPr="00DD1B58" w:rsidRDefault="00CF7DDE" w:rsidP="00177432">
      <w:pPr>
        <w:pStyle w:val="Heading5A"/>
        <w:numPr>
          <w:ilvl w:val="5"/>
          <w:numId w:val="7"/>
        </w:numPr>
        <w:rPr>
          <w:lang w:val="en-US"/>
        </w:rPr>
      </w:pPr>
      <w:r w:rsidRPr="00DD1B58">
        <w:rPr>
          <w:lang w:val="en-US"/>
        </w:rPr>
        <w:t>Overview of strengths and weaknesses in the active fire protection</w:t>
      </w:r>
    </w:p>
    <w:p w14:paraId="3CF519E7" w14:textId="57455962" w:rsidR="00E72B6A" w:rsidRPr="00DD1B58" w:rsidRDefault="00E85CF0" w:rsidP="00E72B6A">
      <w:pPr>
        <w:rPr>
          <w:lang w:val="en-US"/>
        </w:rPr>
      </w:pPr>
      <w:r w:rsidRPr="00DD1B58">
        <w:rPr>
          <w:rFonts w:eastAsia="Arial"/>
          <w:noProof/>
          <w:szCs w:val="24"/>
          <w:lang w:val="en-US"/>
        </w:rPr>
        <w:t>Section</w:t>
      </w:r>
      <w:r w:rsidR="27ACBC8E" w:rsidRPr="00DD1B58">
        <w:rPr>
          <w:rFonts w:eastAsia="Arial"/>
          <w:noProof/>
          <w:szCs w:val="24"/>
          <w:lang w:val="en-US"/>
        </w:rPr>
        <w:t xml:space="preserve"> </w:t>
      </w:r>
      <w:r w:rsidR="008968C0" w:rsidRPr="00DD1B58">
        <w:rPr>
          <w:rFonts w:eastAsia="Arial"/>
          <w:noProof/>
          <w:szCs w:val="24"/>
          <w:lang w:val="en-US"/>
        </w:rPr>
        <w:t>A-</w:t>
      </w:r>
      <w:r w:rsidR="27ACBC8E" w:rsidRPr="00DD1B58">
        <w:rPr>
          <w:rFonts w:eastAsia="Arial"/>
          <w:noProof/>
          <w:szCs w:val="24"/>
          <w:lang w:val="en-US"/>
        </w:rPr>
        <w:t xml:space="preserve">II-3.2.1.1 </w:t>
      </w:r>
      <w:r w:rsidRPr="00DD1B58">
        <w:rPr>
          <w:rFonts w:eastAsia="Arial"/>
          <w:noProof/>
          <w:szCs w:val="24"/>
          <w:lang w:val="en-US"/>
        </w:rPr>
        <w:t xml:space="preserve">describes that NNB GenCo’s classifies </w:t>
      </w:r>
      <w:r w:rsidR="27ACBC8E" w:rsidRPr="00DD1B58">
        <w:rPr>
          <w:rFonts w:eastAsia="Arial"/>
          <w:noProof/>
          <w:szCs w:val="24"/>
          <w:lang w:val="en-US"/>
        </w:rPr>
        <w:t>fire alarm and detection systems as Class 3 to ensure EIM&amp;T is prioritised but are generally not relied upon</w:t>
      </w:r>
      <w:r w:rsidR="00D4356C" w:rsidRPr="00DD1B58">
        <w:rPr>
          <w:rFonts w:eastAsia="Arial"/>
          <w:noProof/>
          <w:szCs w:val="24"/>
          <w:lang w:val="en-US"/>
        </w:rPr>
        <w:t xml:space="preserve"> for nuclear safety</w:t>
      </w:r>
      <w:r w:rsidR="00940D2A" w:rsidRPr="00DD1B58">
        <w:rPr>
          <w:rFonts w:eastAsia="Arial"/>
          <w:noProof/>
          <w:szCs w:val="24"/>
          <w:lang w:val="en-US"/>
        </w:rPr>
        <w:t xml:space="preserve"> </w:t>
      </w:r>
      <w:r w:rsidR="00D4356C" w:rsidRPr="00DD1B58">
        <w:rPr>
          <w:rFonts w:eastAsia="Arial"/>
          <w:noProof/>
          <w:szCs w:val="24"/>
          <w:lang w:val="en-US"/>
        </w:rPr>
        <w:t xml:space="preserve">in the HPC </w:t>
      </w:r>
      <w:r w:rsidR="27ACBC8E" w:rsidRPr="00DD1B58">
        <w:rPr>
          <w:rFonts w:eastAsia="Arial"/>
          <w:noProof/>
          <w:szCs w:val="24"/>
          <w:lang w:val="en-US"/>
        </w:rPr>
        <w:t xml:space="preserve">safety case. </w:t>
      </w:r>
      <w:r w:rsidR="00E72B6A" w:rsidRPr="00DD1B58">
        <w:rPr>
          <w:rFonts w:eastAsia="Arial"/>
          <w:noProof/>
          <w:szCs w:val="24"/>
          <w:lang w:val="en-US"/>
        </w:rPr>
        <w:t xml:space="preserve">ONR judges that this aligns with the internal hazards TAG </w:t>
      </w:r>
      <w:sdt>
        <w:sdtPr>
          <w:rPr>
            <w:rFonts w:eastAsia="Arial"/>
            <w:noProof/>
            <w:szCs w:val="24"/>
            <w:lang w:val="en-US"/>
          </w:rPr>
          <w:id w:val="-2091850031"/>
          <w:citation/>
        </w:sdtPr>
        <w:sdtContent>
          <w:r w:rsidR="002C5DD6" w:rsidRPr="00DD1B58">
            <w:rPr>
              <w:rFonts w:eastAsia="Arial"/>
              <w:noProof/>
              <w:szCs w:val="24"/>
              <w:lang w:val="en-US"/>
            </w:rPr>
            <w:fldChar w:fldCharType="begin"/>
          </w:r>
          <w:r w:rsidR="002C5DD6" w:rsidRPr="00DD1B58">
            <w:rPr>
              <w:rFonts w:eastAsia="Arial"/>
              <w:noProof/>
              <w:szCs w:val="24"/>
              <w:lang w:val="en-US"/>
            </w:rPr>
            <w:instrText xml:space="preserve"> CITATION ONR4 \l 2057 </w:instrText>
          </w:r>
          <w:r w:rsidR="002C5DD6" w:rsidRPr="00DD1B58">
            <w:rPr>
              <w:rFonts w:eastAsia="Arial"/>
              <w:noProof/>
              <w:szCs w:val="24"/>
              <w:lang w:val="en-US"/>
            </w:rPr>
            <w:fldChar w:fldCharType="separate"/>
          </w:r>
          <w:r w:rsidR="00DF47DA" w:rsidRPr="00DF47DA">
            <w:rPr>
              <w:rFonts w:eastAsia="Arial"/>
              <w:noProof/>
              <w:szCs w:val="24"/>
              <w:lang w:val="en-US"/>
            </w:rPr>
            <w:t>[16]</w:t>
          </w:r>
          <w:r w:rsidR="002C5DD6" w:rsidRPr="00DD1B58">
            <w:rPr>
              <w:rFonts w:eastAsia="Arial"/>
              <w:noProof/>
              <w:szCs w:val="24"/>
              <w:lang w:val="en-US"/>
            </w:rPr>
            <w:fldChar w:fldCharType="end"/>
          </w:r>
        </w:sdtContent>
      </w:sdt>
      <w:r w:rsidR="002C5DD6" w:rsidRPr="00DD1B58">
        <w:rPr>
          <w:rFonts w:eastAsia="Arial"/>
          <w:noProof/>
          <w:szCs w:val="24"/>
          <w:lang w:val="en-US"/>
        </w:rPr>
        <w:t xml:space="preserve"> </w:t>
      </w:r>
      <w:r w:rsidR="00E72B6A" w:rsidRPr="00DD1B58">
        <w:rPr>
          <w:rFonts w:eastAsia="Arial"/>
          <w:noProof/>
          <w:szCs w:val="24"/>
          <w:lang w:val="en-US"/>
        </w:rPr>
        <w:t>and SRL SV 6.11 regarding EIM&amp;T as well as ONR expectations on the hierarchy of controls in ONR SAPs (para. 155)</w:t>
      </w:r>
      <w:r w:rsidR="002C5DD6" w:rsidRPr="00DD1B58">
        <w:rPr>
          <w:rFonts w:eastAsia="Arial"/>
          <w:noProof/>
          <w:szCs w:val="24"/>
          <w:lang w:val="en-US"/>
        </w:rPr>
        <w:t xml:space="preserve"> </w:t>
      </w:r>
      <w:sdt>
        <w:sdtPr>
          <w:rPr>
            <w:rFonts w:eastAsia="Arial"/>
            <w:noProof/>
            <w:szCs w:val="24"/>
            <w:lang w:val="en-US"/>
          </w:rPr>
          <w:id w:val="1075480141"/>
          <w:citation/>
        </w:sdtPr>
        <w:sdtContent>
          <w:r w:rsidR="000B3D22" w:rsidRPr="00DD1B58">
            <w:rPr>
              <w:rFonts w:eastAsia="Arial"/>
              <w:noProof/>
              <w:szCs w:val="24"/>
              <w:lang w:val="en-US"/>
            </w:rPr>
            <w:fldChar w:fldCharType="begin"/>
          </w:r>
          <w:r w:rsidR="000B3D22" w:rsidRPr="00DD1B58">
            <w:rPr>
              <w:rFonts w:eastAsia="Arial"/>
              <w:noProof/>
              <w:szCs w:val="24"/>
              <w:lang w:val="en-US"/>
            </w:rPr>
            <w:instrText xml:space="preserve"> CITATION Off20 \l 2057 </w:instrText>
          </w:r>
          <w:r w:rsidR="000B3D22" w:rsidRPr="00DD1B58">
            <w:rPr>
              <w:rFonts w:eastAsia="Arial"/>
              <w:noProof/>
              <w:szCs w:val="24"/>
              <w:lang w:val="en-US"/>
            </w:rPr>
            <w:fldChar w:fldCharType="separate"/>
          </w:r>
          <w:r w:rsidR="00DF47DA" w:rsidRPr="00DF47DA">
            <w:rPr>
              <w:rFonts w:eastAsia="Arial"/>
              <w:noProof/>
              <w:szCs w:val="24"/>
              <w:lang w:val="en-US"/>
            </w:rPr>
            <w:t>[15]</w:t>
          </w:r>
          <w:r w:rsidR="000B3D22" w:rsidRPr="00DD1B58">
            <w:rPr>
              <w:rFonts w:eastAsia="Arial"/>
              <w:noProof/>
              <w:szCs w:val="24"/>
              <w:lang w:val="en-US"/>
            </w:rPr>
            <w:fldChar w:fldCharType="end"/>
          </w:r>
        </w:sdtContent>
      </w:sdt>
      <w:r w:rsidR="00E72B6A" w:rsidRPr="00DD1B58">
        <w:rPr>
          <w:rFonts w:eastAsia="Arial"/>
          <w:noProof/>
          <w:szCs w:val="24"/>
          <w:lang w:val="en-US"/>
        </w:rPr>
        <w:t>.</w:t>
      </w:r>
    </w:p>
    <w:p w14:paraId="7B909BD2" w14:textId="2DF30CEA" w:rsidR="27ACBC8E" w:rsidRPr="00DD1B58" w:rsidRDefault="00E72B6A">
      <w:pPr>
        <w:rPr>
          <w:lang w:val="en-US"/>
        </w:rPr>
      </w:pPr>
      <w:r w:rsidRPr="00DD1B58">
        <w:rPr>
          <w:rFonts w:eastAsia="Arial"/>
          <w:noProof/>
          <w:szCs w:val="24"/>
          <w:lang w:val="en-US"/>
        </w:rPr>
        <w:t>NNB GenCo report</w:t>
      </w:r>
      <w:r w:rsidR="008872B6" w:rsidRPr="00DD1B58">
        <w:rPr>
          <w:rFonts w:eastAsia="Arial"/>
          <w:noProof/>
          <w:szCs w:val="24"/>
          <w:lang w:val="en-US"/>
        </w:rPr>
        <w:t>s</w:t>
      </w:r>
      <w:r w:rsidRPr="00DD1B58">
        <w:rPr>
          <w:rFonts w:eastAsia="Arial"/>
          <w:noProof/>
          <w:szCs w:val="24"/>
          <w:lang w:val="en-US"/>
        </w:rPr>
        <w:t xml:space="preserve"> that f</w:t>
      </w:r>
      <w:r w:rsidR="27ACBC8E" w:rsidRPr="00DD1B58">
        <w:rPr>
          <w:rFonts w:eastAsia="Arial"/>
          <w:noProof/>
          <w:szCs w:val="24"/>
          <w:lang w:val="en-US"/>
        </w:rPr>
        <w:t xml:space="preserve">ire alarm and detection systems at </w:t>
      </w:r>
      <w:r w:rsidR="00E34832" w:rsidRPr="00DD1B58">
        <w:rPr>
          <w:rFonts w:eastAsia="Arial"/>
          <w:noProof/>
          <w:szCs w:val="24"/>
          <w:lang w:val="en-US"/>
        </w:rPr>
        <w:t>HPC</w:t>
      </w:r>
      <w:r w:rsidR="27ACBC8E" w:rsidRPr="00DD1B58">
        <w:rPr>
          <w:rFonts w:eastAsia="Arial"/>
          <w:noProof/>
          <w:szCs w:val="24"/>
          <w:lang w:val="en-US"/>
        </w:rPr>
        <w:t xml:space="preserve"> are designed in accordance with British Standards 5839-1</w:t>
      </w:r>
      <w:sdt>
        <w:sdtPr>
          <w:rPr>
            <w:rFonts w:eastAsia="Arial"/>
            <w:noProof/>
            <w:szCs w:val="24"/>
            <w:lang w:val="en-US"/>
          </w:rPr>
          <w:id w:val="-1958859439"/>
          <w:citation/>
        </w:sdtPr>
        <w:sdtContent>
          <w:r w:rsidR="001A2C78" w:rsidRPr="00DD1B58">
            <w:rPr>
              <w:rFonts w:eastAsia="Arial"/>
              <w:noProof/>
              <w:szCs w:val="24"/>
              <w:lang w:val="en-US"/>
            </w:rPr>
            <w:fldChar w:fldCharType="begin"/>
          </w:r>
          <w:r w:rsidR="001A2C78" w:rsidRPr="00DD1B58">
            <w:rPr>
              <w:rFonts w:eastAsia="Arial"/>
              <w:noProof/>
              <w:szCs w:val="24"/>
              <w:lang w:val="en-US"/>
            </w:rPr>
            <w:instrText xml:space="preserve"> CITATION BS5839 \l 2057 </w:instrText>
          </w:r>
          <w:r w:rsidR="001A2C78" w:rsidRPr="00DD1B58">
            <w:rPr>
              <w:rFonts w:eastAsia="Arial"/>
              <w:noProof/>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[179]</w:t>
          </w:r>
          <w:r w:rsidR="001A2C78" w:rsidRPr="00DD1B58">
            <w:rPr>
              <w:rFonts w:eastAsia="Arial"/>
              <w:noProof/>
              <w:szCs w:val="24"/>
              <w:lang w:val="en-US"/>
            </w:rPr>
            <w:fldChar w:fldCharType="end"/>
          </w:r>
        </w:sdtContent>
      </w:sdt>
      <w:r w:rsidRPr="00DD1B58">
        <w:rPr>
          <w:rFonts w:eastAsia="Arial"/>
          <w:noProof/>
          <w:szCs w:val="24"/>
          <w:lang w:val="en-US"/>
        </w:rPr>
        <w:t>, which ONR considers relevant good practice. The licensee</w:t>
      </w:r>
      <w:r w:rsidR="27ACBC8E" w:rsidRPr="00DD1B58">
        <w:rPr>
          <w:rFonts w:eastAsia="Arial"/>
          <w:noProof/>
          <w:szCs w:val="24"/>
          <w:lang w:val="en-US"/>
        </w:rPr>
        <w:t xml:space="preserve"> described how the risk analysis approach (summarised in the Fire Application Document</w:t>
      </w:r>
      <w:sdt>
        <w:sdtPr>
          <w:rPr>
            <w:rFonts w:eastAsia="Arial"/>
            <w:noProof/>
            <w:szCs w:val="24"/>
            <w:lang w:val="en-US"/>
          </w:rPr>
          <w:id w:val="-814105612"/>
          <w:citation/>
        </w:sdtPr>
        <w:sdtContent>
          <w:r w:rsidR="00B67492" w:rsidRPr="00DD1B58">
            <w:rPr>
              <w:rFonts w:eastAsia="Arial"/>
              <w:noProof/>
              <w:szCs w:val="24"/>
              <w:lang w:val="en-US"/>
            </w:rPr>
            <w:fldChar w:fldCharType="begin"/>
          </w:r>
          <w:r w:rsidR="00B67492" w:rsidRPr="00DD1B58">
            <w:rPr>
              <w:rFonts w:eastAsia="Arial"/>
              <w:noProof/>
              <w:szCs w:val="24"/>
              <w:lang w:val="en-US"/>
            </w:rPr>
            <w:instrText xml:space="preserve"> CITATION NNB19 \l 2057 </w:instrText>
          </w:r>
          <w:r w:rsidR="00B67492" w:rsidRPr="00DD1B58">
            <w:rPr>
              <w:rFonts w:eastAsia="Arial"/>
              <w:noProof/>
              <w:szCs w:val="24"/>
              <w:lang w:val="en-US"/>
            </w:rPr>
            <w:fldChar w:fldCharType="separate"/>
          </w:r>
          <w:r w:rsidR="00DF47DA">
            <w:rPr>
              <w:rFonts w:eastAsia="Arial"/>
              <w:noProof/>
              <w:szCs w:val="24"/>
              <w:lang w:val="en-US"/>
            </w:rPr>
            <w:t xml:space="preserve"> </w:t>
          </w:r>
          <w:r w:rsidR="00DF47DA" w:rsidRPr="00DF47DA">
            <w:rPr>
              <w:rFonts w:eastAsia="Arial"/>
              <w:noProof/>
              <w:szCs w:val="24"/>
              <w:lang w:val="en-US"/>
            </w:rPr>
            <w:t>[48]</w:t>
          </w:r>
          <w:r w:rsidR="00B67492" w:rsidRPr="00DD1B58">
            <w:rPr>
              <w:rFonts w:eastAsia="Arial"/>
              <w:noProof/>
              <w:szCs w:val="24"/>
              <w:lang w:val="en-US"/>
            </w:rPr>
            <w:fldChar w:fldCharType="end"/>
          </w:r>
        </w:sdtContent>
      </w:sdt>
      <w:r w:rsidR="27ACBC8E" w:rsidRPr="00DD1B58">
        <w:rPr>
          <w:rFonts w:eastAsia="Arial"/>
          <w:noProof/>
          <w:szCs w:val="24"/>
          <w:lang w:val="en-US"/>
        </w:rPr>
        <w:t>) assesses the risk associated with nuclear fire and identifies the requirements for designation of any fire protection systems for nuclear</w:t>
      </w:r>
      <w:r w:rsidRPr="00DD1B58">
        <w:rPr>
          <w:rFonts w:eastAsia="Arial"/>
          <w:noProof/>
          <w:szCs w:val="24"/>
          <w:lang w:val="en-US"/>
        </w:rPr>
        <w:t xml:space="preserve">. ONR judges that these are consistent with SAP EHA.16 </w:t>
      </w:r>
      <w:sdt>
        <w:sdtPr>
          <w:rPr>
            <w:rFonts w:eastAsia="Arial"/>
            <w:noProof/>
            <w:szCs w:val="24"/>
            <w:lang w:val="en-US"/>
          </w:rPr>
          <w:id w:val="1619178087"/>
          <w:citation/>
        </w:sdtPr>
        <w:sdtContent>
          <w:r w:rsidR="00B67492" w:rsidRPr="00DD1B58">
            <w:rPr>
              <w:rFonts w:eastAsia="Arial"/>
              <w:noProof/>
              <w:szCs w:val="24"/>
              <w:lang w:val="en-US"/>
            </w:rPr>
            <w:fldChar w:fldCharType="begin"/>
          </w:r>
          <w:r w:rsidR="00B67492" w:rsidRPr="00DD1B58">
            <w:rPr>
              <w:rFonts w:eastAsia="Arial"/>
              <w:noProof/>
              <w:szCs w:val="24"/>
              <w:lang w:val="en-US"/>
            </w:rPr>
            <w:instrText xml:space="preserve"> CITATION Off20 \l 2057 </w:instrText>
          </w:r>
          <w:r w:rsidR="00B67492" w:rsidRPr="00DD1B58">
            <w:rPr>
              <w:rFonts w:eastAsia="Arial"/>
              <w:noProof/>
              <w:szCs w:val="24"/>
              <w:lang w:val="en-US"/>
            </w:rPr>
            <w:fldChar w:fldCharType="separate"/>
          </w:r>
          <w:r w:rsidR="00DF47DA" w:rsidRPr="00DF47DA">
            <w:rPr>
              <w:rFonts w:eastAsia="Arial"/>
              <w:noProof/>
              <w:szCs w:val="24"/>
              <w:lang w:val="en-US"/>
            </w:rPr>
            <w:t>[15]</w:t>
          </w:r>
          <w:r w:rsidR="00B67492" w:rsidRPr="00DD1B58">
            <w:rPr>
              <w:rFonts w:eastAsia="Arial"/>
              <w:noProof/>
              <w:szCs w:val="24"/>
              <w:lang w:val="en-US"/>
            </w:rPr>
            <w:fldChar w:fldCharType="end"/>
          </w:r>
        </w:sdtContent>
      </w:sdt>
      <w:r w:rsidR="00F45E5C" w:rsidRPr="00DD1B58">
        <w:rPr>
          <w:rFonts w:eastAsia="Arial"/>
          <w:noProof/>
          <w:szCs w:val="24"/>
          <w:lang w:val="en-US"/>
        </w:rPr>
        <w:t xml:space="preserve"> </w:t>
      </w:r>
      <w:r w:rsidRPr="00DD1B58">
        <w:rPr>
          <w:rFonts w:eastAsia="Arial"/>
          <w:noProof/>
          <w:szCs w:val="24"/>
          <w:lang w:val="en-US"/>
        </w:rPr>
        <w:t>and WENRA SRL SV 6.8.</w:t>
      </w:r>
      <w:r w:rsidR="27ACBC8E" w:rsidRPr="00DD1B58">
        <w:rPr>
          <w:rFonts w:eastAsia="Arial"/>
          <w:noProof/>
          <w:szCs w:val="24"/>
          <w:lang w:val="en-US"/>
        </w:rPr>
        <w:t xml:space="preserve"> </w:t>
      </w:r>
    </w:p>
    <w:p w14:paraId="75B6C697" w14:textId="6BB7CB82" w:rsidR="27ACBC8E" w:rsidRPr="00DD1B58" w:rsidRDefault="00E81A07">
      <w:pPr>
        <w:rPr>
          <w:lang w:val="en-US"/>
        </w:rPr>
      </w:pPr>
      <w:r w:rsidRPr="00DD1B58">
        <w:rPr>
          <w:rFonts w:eastAsia="Arial"/>
          <w:noProof/>
          <w:szCs w:val="24"/>
          <w:lang w:val="en-US"/>
        </w:rPr>
        <w:t>Section A-</w:t>
      </w:r>
      <w:r w:rsidR="27ACBC8E" w:rsidRPr="00DD1B58">
        <w:rPr>
          <w:rFonts w:eastAsia="Arial"/>
          <w:noProof/>
          <w:szCs w:val="24"/>
          <w:lang w:val="en-US"/>
        </w:rPr>
        <w:t>II3.2.3 describes the</w:t>
      </w:r>
      <w:r w:rsidRPr="00DD1B58">
        <w:rPr>
          <w:rFonts w:eastAsia="Arial"/>
          <w:noProof/>
          <w:szCs w:val="24"/>
          <w:lang w:val="en-US"/>
        </w:rPr>
        <w:t xml:space="preserve"> licensee’s</w:t>
      </w:r>
      <w:r w:rsidR="27ACBC8E" w:rsidRPr="00DD1B58">
        <w:rPr>
          <w:rFonts w:eastAsia="Arial"/>
          <w:noProof/>
          <w:szCs w:val="24"/>
          <w:lang w:val="en-US"/>
        </w:rPr>
        <w:t xml:space="preserve"> proposed provision of a fire and rescue service on the HPC site</w:t>
      </w:r>
      <w:r w:rsidR="000E17EB" w:rsidRPr="00DD1B58">
        <w:rPr>
          <w:rFonts w:eastAsia="Arial"/>
          <w:noProof/>
          <w:szCs w:val="24"/>
          <w:lang w:val="en-US"/>
        </w:rPr>
        <w:t>. While fire service intervention is not credited in the fire hazard analyses, the demonstration of robust arrangements for onsite firefighting and coordination with the local Fire and Rescue Service provides defence in depth.</w:t>
      </w:r>
      <w:r w:rsidRPr="00DD1B58">
        <w:rPr>
          <w:rFonts w:eastAsia="Arial"/>
          <w:noProof/>
          <w:szCs w:val="24"/>
          <w:lang w:val="en-US"/>
        </w:rPr>
        <w:t xml:space="preserve"> ONR judges </w:t>
      </w:r>
      <w:r w:rsidR="000E17EB" w:rsidRPr="00DD1B58">
        <w:rPr>
          <w:rFonts w:eastAsia="Arial"/>
          <w:noProof/>
          <w:szCs w:val="24"/>
          <w:lang w:val="en-US"/>
        </w:rPr>
        <w:t xml:space="preserve">NNB GenCo’s approach </w:t>
      </w:r>
      <w:r w:rsidR="00CD7EB4" w:rsidRPr="00DD1B58">
        <w:rPr>
          <w:rFonts w:eastAsia="Arial"/>
          <w:noProof/>
          <w:szCs w:val="24"/>
          <w:lang w:val="en-US"/>
        </w:rPr>
        <w:t>as</w:t>
      </w:r>
      <w:r w:rsidRPr="00DD1B58">
        <w:rPr>
          <w:rFonts w:eastAsia="Arial"/>
          <w:noProof/>
          <w:szCs w:val="24"/>
          <w:lang w:val="en-US"/>
        </w:rPr>
        <w:t xml:space="preserve"> consistent with SRL SV 6.12, 6.13 and 6.14, and a potential strength</w:t>
      </w:r>
      <w:r w:rsidR="27ACBC8E" w:rsidRPr="00DD1B58">
        <w:rPr>
          <w:rFonts w:eastAsia="Arial"/>
          <w:noProof/>
          <w:szCs w:val="24"/>
          <w:lang w:val="en-US"/>
        </w:rPr>
        <w:t xml:space="preserve">, albeit one that is subject to </w:t>
      </w:r>
      <w:r w:rsidR="000E17EB" w:rsidRPr="00DD1B58">
        <w:rPr>
          <w:rFonts w:eastAsia="Arial"/>
          <w:noProof/>
          <w:szCs w:val="24"/>
          <w:lang w:val="en-US"/>
        </w:rPr>
        <w:t xml:space="preserve">further </w:t>
      </w:r>
      <w:r w:rsidR="27ACBC8E" w:rsidRPr="00DD1B58">
        <w:rPr>
          <w:rFonts w:eastAsia="Arial"/>
          <w:noProof/>
          <w:szCs w:val="24"/>
          <w:lang w:val="en-US"/>
        </w:rPr>
        <w:t xml:space="preserve">development </w:t>
      </w:r>
      <w:r w:rsidR="000E17EB" w:rsidRPr="00DD1B58">
        <w:rPr>
          <w:rFonts w:eastAsia="Arial"/>
          <w:noProof/>
          <w:szCs w:val="24"/>
          <w:lang w:val="en-US"/>
        </w:rPr>
        <w:t>during the build and commissioning on the plant, in alignment with other</w:t>
      </w:r>
      <w:r w:rsidR="27ACBC8E" w:rsidRPr="00DD1B58">
        <w:rPr>
          <w:rFonts w:eastAsia="Arial"/>
          <w:noProof/>
          <w:szCs w:val="24"/>
          <w:lang w:val="en-US"/>
        </w:rPr>
        <w:t xml:space="preserve"> aspects of the HPC arrangements</w:t>
      </w:r>
      <w:r w:rsidR="000E17EB" w:rsidRPr="00DD1B58">
        <w:rPr>
          <w:rFonts w:eastAsia="Arial"/>
          <w:noProof/>
          <w:szCs w:val="24"/>
          <w:lang w:val="en-US"/>
        </w:rPr>
        <w:t>, commensurate with a</w:t>
      </w:r>
      <w:r w:rsidR="00CD7EB4" w:rsidRPr="00DD1B58">
        <w:rPr>
          <w:rFonts w:eastAsia="Arial"/>
          <w:noProof/>
          <w:szCs w:val="24"/>
          <w:lang w:val="en-US"/>
        </w:rPr>
        <w:t>n</w:t>
      </w:r>
      <w:r w:rsidR="000E17EB" w:rsidRPr="00DD1B58">
        <w:rPr>
          <w:rFonts w:eastAsia="Arial"/>
          <w:noProof/>
          <w:szCs w:val="24"/>
          <w:lang w:val="en-US"/>
        </w:rPr>
        <w:t xml:space="preserve"> installation under construction. </w:t>
      </w:r>
    </w:p>
    <w:p w14:paraId="7FED8012" w14:textId="7A7E792B" w:rsidR="00CF7DDE" w:rsidRPr="00DD1B58" w:rsidRDefault="00CF7DDE" w:rsidP="00177432">
      <w:pPr>
        <w:pStyle w:val="Heading5A"/>
        <w:numPr>
          <w:ilvl w:val="5"/>
          <w:numId w:val="7"/>
        </w:numPr>
        <w:rPr>
          <w:lang w:val="en-US"/>
        </w:rPr>
      </w:pPr>
      <w:bookmarkStart w:id="109" w:name="_Ref145067226"/>
      <w:r w:rsidRPr="00DD1B58">
        <w:rPr>
          <w:lang w:val="en-US"/>
        </w:rPr>
        <w:t>Lessons learned from inspection and assessment on the active fire protection as part of its regulatory oversight</w:t>
      </w:r>
      <w:bookmarkEnd w:id="109"/>
    </w:p>
    <w:p w14:paraId="55571E0F" w14:textId="018181C9" w:rsidR="001661B7" w:rsidRPr="00DD1B58" w:rsidRDefault="00CD7EB4" w:rsidP="008528D0">
      <w:pPr>
        <w:rPr>
          <w:rFonts w:eastAsia="Arial"/>
          <w:noProof/>
          <w:szCs w:val="24"/>
          <w:lang w:val="en-US"/>
        </w:rPr>
      </w:pPr>
      <w:r w:rsidRPr="00DD1B58">
        <w:rPr>
          <w:rFonts w:eastAsia="Arial"/>
          <w:noProof/>
          <w:szCs w:val="24"/>
          <w:lang w:val="en-US"/>
        </w:rPr>
        <w:t xml:space="preserve">ONR’s fire safety </w:t>
      </w:r>
      <w:r w:rsidR="2F96FB3B" w:rsidRPr="00DD1B58">
        <w:rPr>
          <w:rFonts w:eastAsia="Arial"/>
          <w:noProof/>
          <w:szCs w:val="24"/>
          <w:lang w:val="en-US"/>
        </w:rPr>
        <w:t xml:space="preserve">inspection </w:t>
      </w:r>
      <w:sdt>
        <w:sdtPr>
          <w:rPr>
            <w:rFonts w:eastAsia="Arial"/>
            <w:noProof/>
            <w:szCs w:val="24"/>
            <w:lang w:val="en-US"/>
          </w:rPr>
          <w:id w:val="1023748447"/>
          <w:citation/>
        </w:sdtPr>
        <w:sdtContent>
          <w:r w:rsidR="00EF1CE4" w:rsidRPr="00DD1B58">
            <w:rPr>
              <w:rFonts w:eastAsia="Arial"/>
              <w:noProof/>
              <w:szCs w:val="24"/>
              <w:lang w:val="en-US"/>
            </w:rPr>
            <w:fldChar w:fldCharType="begin"/>
          </w:r>
          <w:r w:rsidR="00107CE2" w:rsidRPr="00DD1B58">
            <w:rPr>
              <w:rFonts w:eastAsia="Arial"/>
              <w:noProof/>
              <w:szCs w:val="24"/>
              <w:lang w:val="en-US"/>
            </w:rPr>
            <w:instrText xml:space="preserve">CITATION ONR213 \l 2057 </w:instrText>
          </w:r>
          <w:r w:rsidR="00EF1CE4" w:rsidRPr="00DD1B58">
            <w:rPr>
              <w:rFonts w:eastAsia="Arial"/>
              <w:noProof/>
              <w:szCs w:val="24"/>
              <w:lang w:val="en-US"/>
            </w:rPr>
            <w:fldChar w:fldCharType="separate"/>
          </w:r>
          <w:r w:rsidR="00DF47DA" w:rsidRPr="00DF47DA">
            <w:rPr>
              <w:rFonts w:eastAsia="Arial"/>
              <w:noProof/>
              <w:szCs w:val="24"/>
              <w:lang w:val="en-US"/>
            </w:rPr>
            <w:t>[180]</w:t>
          </w:r>
          <w:r w:rsidR="00EF1CE4" w:rsidRPr="00DD1B58">
            <w:rPr>
              <w:rFonts w:eastAsia="Arial"/>
              <w:noProof/>
              <w:szCs w:val="24"/>
              <w:lang w:val="en-US"/>
            </w:rPr>
            <w:fldChar w:fldCharType="end"/>
          </w:r>
        </w:sdtContent>
      </w:sdt>
      <w:r w:rsidR="00EF1CE4" w:rsidRPr="00DD1B58">
        <w:rPr>
          <w:rFonts w:eastAsia="Arial"/>
          <w:noProof/>
          <w:szCs w:val="24"/>
          <w:lang w:val="en-US"/>
        </w:rPr>
        <w:t xml:space="preserve"> </w:t>
      </w:r>
      <w:r w:rsidR="2F96FB3B" w:rsidRPr="00DD1B58">
        <w:rPr>
          <w:rFonts w:eastAsia="Arial"/>
          <w:noProof/>
          <w:szCs w:val="24"/>
          <w:lang w:val="en-US"/>
        </w:rPr>
        <w:t xml:space="preserve">of the Hinkley Point C construction site </w:t>
      </w:r>
      <w:r w:rsidRPr="00DD1B58">
        <w:rPr>
          <w:rFonts w:eastAsia="Arial"/>
          <w:noProof/>
          <w:szCs w:val="24"/>
          <w:lang w:val="en-US"/>
        </w:rPr>
        <w:t>in 2021 identif</w:t>
      </w:r>
      <w:r w:rsidR="00EF1CE4" w:rsidRPr="00DD1B58">
        <w:rPr>
          <w:rFonts w:eastAsia="Arial"/>
          <w:noProof/>
          <w:szCs w:val="24"/>
          <w:lang w:val="en-US"/>
        </w:rPr>
        <w:t>i</w:t>
      </w:r>
      <w:r w:rsidRPr="00DD1B58">
        <w:rPr>
          <w:rFonts w:eastAsia="Arial"/>
          <w:noProof/>
          <w:szCs w:val="24"/>
          <w:lang w:val="en-US"/>
        </w:rPr>
        <w:t xml:space="preserve">ed </w:t>
      </w:r>
      <w:r w:rsidR="00A94170" w:rsidRPr="00DD1B58">
        <w:rPr>
          <w:rFonts w:eastAsia="Arial"/>
          <w:noProof/>
          <w:szCs w:val="24"/>
          <w:lang w:val="en-US"/>
        </w:rPr>
        <w:t xml:space="preserve">issues </w:t>
      </w:r>
      <w:r w:rsidR="2F96FB3B" w:rsidRPr="00DD1B58">
        <w:rPr>
          <w:rFonts w:eastAsia="Arial"/>
          <w:noProof/>
          <w:color w:val="111111"/>
          <w:szCs w:val="24"/>
          <w:lang w:val="en-US"/>
        </w:rPr>
        <w:t>regarding the capacity of the Fire Safety Team</w:t>
      </w:r>
      <w:r w:rsidRPr="00DD1B58">
        <w:rPr>
          <w:rFonts w:eastAsia="Arial"/>
          <w:noProof/>
          <w:color w:val="111111"/>
          <w:szCs w:val="24"/>
          <w:lang w:val="en-US"/>
        </w:rPr>
        <w:t xml:space="preserve"> and ONR consequently raised a </w:t>
      </w:r>
      <w:r w:rsidR="2F96FB3B" w:rsidRPr="00DD1B58">
        <w:rPr>
          <w:rFonts w:eastAsia="Arial"/>
          <w:noProof/>
          <w:color w:val="111111"/>
          <w:szCs w:val="24"/>
          <w:lang w:val="en-US"/>
        </w:rPr>
        <w:t>Regulatory Issue on the adequacy of the resourcing of the NNB GenCo Fire Safety Team</w:t>
      </w:r>
      <w:r w:rsidR="007E2534" w:rsidRPr="00DD1B58">
        <w:rPr>
          <w:rFonts w:eastAsia="Arial"/>
          <w:noProof/>
          <w:color w:val="111111"/>
          <w:szCs w:val="24"/>
          <w:lang w:val="en-US"/>
        </w:rPr>
        <w:t xml:space="preserve">. This </w:t>
      </w:r>
      <w:r w:rsidR="2F96FB3B" w:rsidRPr="00DD1B58">
        <w:rPr>
          <w:rFonts w:eastAsia="Arial"/>
          <w:noProof/>
          <w:color w:val="111111"/>
          <w:szCs w:val="24"/>
          <w:lang w:val="en-US"/>
        </w:rPr>
        <w:t xml:space="preserve">was closely monitored to ensure that this important function would be capable of carrying out its role adequately. </w:t>
      </w:r>
      <w:r w:rsidRPr="00DD1B58">
        <w:rPr>
          <w:rFonts w:eastAsia="Arial"/>
          <w:noProof/>
          <w:color w:val="111111"/>
          <w:szCs w:val="24"/>
          <w:lang w:val="en-US"/>
        </w:rPr>
        <w:t>ONR required</w:t>
      </w:r>
      <w:r w:rsidR="001661B7" w:rsidRPr="00DD1B58">
        <w:rPr>
          <w:rFonts w:eastAsia="Arial"/>
          <w:noProof/>
          <w:color w:val="111111"/>
          <w:szCs w:val="24"/>
          <w:lang w:val="en-US"/>
        </w:rPr>
        <w:t xml:space="preserve"> </w:t>
      </w:r>
      <w:r w:rsidR="2F96FB3B" w:rsidRPr="00DD1B58">
        <w:rPr>
          <w:rFonts w:eastAsia="Arial"/>
          <w:noProof/>
          <w:color w:val="111111"/>
          <w:szCs w:val="24"/>
          <w:lang w:val="en-US"/>
        </w:rPr>
        <w:t>NNB GenCo to</w:t>
      </w:r>
      <w:r w:rsidR="001661B7" w:rsidRPr="00DD1B58">
        <w:rPr>
          <w:rFonts w:eastAsia="Arial"/>
          <w:noProof/>
          <w:color w:val="111111"/>
          <w:szCs w:val="24"/>
          <w:lang w:val="en-US"/>
        </w:rPr>
        <w:t xml:space="preserve"> justify and</w:t>
      </w:r>
      <w:r w:rsidR="2F96FB3B" w:rsidRPr="00DD1B58">
        <w:rPr>
          <w:rFonts w:eastAsia="Arial"/>
          <w:noProof/>
          <w:color w:val="111111"/>
          <w:szCs w:val="24"/>
          <w:lang w:val="en-US"/>
        </w:rPr>
        <w:t xml:space="preserve"> carry out its Intelligent Customer role (audit and oversight) regarding fire safety over Tier 1 contractors.</w:t>
      </w:r>
      <w:r w:rsidR="2F96FB3B" w:rsidRPr="00DD1B58">
        <w:rPr>
          <w:rFonts w:eastAsia="Arial"/>
          <w:noProof/>
          <w:szCs w:val="24"/>
          <w:lang w:val="en-US"/>
        </w:rPr>
        <w:t xml:space="preserve"> </w:t>
      </w:r>
      <w:r w:rsidR="001661B7" w:rsidRPr="00DD1B58">
        <w:rPr>
          <w:rFonts w:eastAsia="Arial"/>
          <w:noProof/>
          <w:szCs w:val="24"/>
          <w:lang w:val="en-US"/>
        </w:rPr>
        <w:t xml:space="preserve">The </w:t>
      </w:r>
      <w:r w:rsidR="2F96FB3B" w:rsidRPr="00DD1B58">
        <w:rPr>
          <w:rFonts w:eastAsia="Arial"/>
          <w:noProof/>
          <w:szCs w:val="24"/>
          <w:lang w:val="en-US"/>
        </w:rPr>
        <w:t xml:space="preserve">action was closed out satisfactorily. </w:t>
      </w:r>
    </w:p>
    <w:p w14:paraId="0A291878" w14:textId="4D1717EA" w:rsidR="3FE0E35C" w:rsidRPr="00DD1B58" w:rsidRDefault="001661B7" w:rsidP="008528D0">
      <w:pPr>
        <w:rPr>
          <w:lang w:val="en-US"/>
        </w:rPr>
      </w:pPr>
      <w:r w:rsidRPr="00DD1B58">
        <w:rPr>
          <w:rFonts w:eastAsia="Arial"/>
          <w:noProof/>
          <w:szCs w:val="24"/>
          <w:lang w:val="en-US"/>
        </w:rPr>
        <w:t xml:space="preserve">ONR’s fire safety </w:t>
      </w:r>
      <w:r w:rsidR="2F96FB3B" w:rsidRPr="00DD1B58">
        <w:rPr>
          <w:rFonts w:eastAsia="Arial"/>
          <w:noProof/>
          <w:szCs w:val="24"/>
          <w:lang w:val="en-US"/>
        </w:rPr>
        <w:t xml:space="preserve">inspection </w:t>
      </w:r>
      <w:r w:rsidRPr="00DD1B58">
        <w:rPr>
          <w:rFonts w:eastAsia="Arial"/>
          <w:noProof/>
          <w:szCs w:val="24"/>
          <w:lang w:val="en-US"/>
        </w:rPr>
        <w:t xml:space="preserve">at HPC </w:t>
      </w:r>
      <w:r w:rsidR="2F96FB3B" w:rsidRPr="00DD1B58">
        <w:rPr>
          <w:rFonts w:eastAsia="Arial"/>
          <w:noProof/>
          <w:szCs w:val="24"/>
          <w:lang w:val="en-US"/>
        </w:rPr>
        <w:t xml:space="preserve">in June 2022 </w:t>
      </w:r>
      <w:sdt>
        <w:sdtPr>
          <w:rPr>
            <w:rFonts w:eastAsia="Arial"/>
            <w:noProof/>
            <w:szCs w:val="24"/>
            <w:lang w:val="en-US"/>
          </w:rPr>
          <w:id w:val="658883569"/>
          <w:citation/>
        </w:sdtPr>
        <w:sdtContent>
          <w:r w:rsidR="00F71821" w:rsidRPr="00DD1B58">
            <w:rPr>
              <w:rFonts w:eastAsia="Arial"/>
              <w:noProof/>
              <w:szCs w:val="24"/>
              <w:lang w:val="en-US"/>
            </w:rPr>
            <w:fldChar w:fldCharType="begin"/>
          </w:r>
          <w:r w:rsidR="005534BB" w:rsidRPr="00DD1B58">
            <w:rPr>
              <w:rFonts w:eastAsia="Arial"/>
              <w:noProof/>
              <w:szCs w:val="24"/>
              <w:lang w:val="en-US"/>
            </w:rPr>
            <w:instrText xml:space="preserve">CITATION ONR224 \l 2057 </w:instrText>
          </w:r>
          <w:r w:rsidR="00F71821" w:rsidRPr="00DD1B58">
            <w:rPr>
              <w:rFonts w:eastAsia="Arial"/>
              <w:noProof/>
              <w:szCs w:val="24"/>
              <w:lang w:val="en-US"/>
            </w:rPr>
            <w:fldChar w:fldCharType="separate"/>
          </w:r>
          <w:r w:rsidR="00DF47DA" w:rsidRPr="00DF47DA">
            <w:rPr>
              <w:rFonts w:eastAsia="Arial"/>
              <w:noProof/>
              <w:szCs w:val="24"/>
              <w:lang w:val="en-US"/>
            </w:rPr>
            <w:t>[134]</w:t>
          </w:r>
          <w:r w:rsidR="00F71821" w:rsidRPr="00DD1B58">
            <w:rPr>
              <w:rFonts w:eastAsia="Arial"/>
              <w:noProof/>
              <w:szCs w:val="24"/>
              <w:lang w:val="en-US"/>
            </w:rPr>
            <w:fldChar w:fldCharType="end"/>
          </w:r>
        </w:sdtContent>
      </w:sdt>
      <w:r w:rsidR="2F96FB3B" w:rsidRPr="00DD1B58">
        <w:rPr>
          <w:rFonts w:eastAsia="Arial"/>
          <w:noProof/>
          <w:szCs w:val="24"/>
          <w:lang w:val="en-US"/>
        </w:rPr>
        <w:t xml:space="preserve"> identified that </w:t>
      </w:r>
      <w:r w:rsidR="2F96FB3B" w:rsidRPr="00DD1B58">
        <w:rPr>
          <w:rFonts w:eastAsia="Arial"/>
          <w:noProof/>
          <w:color w:val="111111"/>
          <w:szCs w:val="24"/>
          <w:lang w:val="en-US"/>
        </w:rPr>
        <w:t>several areas of the HPC construction site were lacking in adequate provision of emergency lighting, fire points (fire alarm activation) and directional emergency exit signage</w:t>
      </w:r>
      <w:r w:rsidR="2F96FB3B" w:rsidRPr="00DD1B58">
        <w:rPr>
          <w:rFonts w:eastAsia="Arial"/>
          <w:noProof/>
          <w:szCs w:val="24"/>
          <w:lang w:val="en-US"/>
        </w:rPr>
        <w:t xml:space="preserve">. </w:t>
      </w:r>
      <w:r w:rsidR="0048370D" w:rsidRPr="00DD1B58">
        <w:rPr>
          <w:rFonts w:eastAsia="Arial"/>
          <w:noProof/>
          <w:szCs w:val="24"/>
          <w:lang w:val="en-US"/>
        </w:rPr>
        <w:t xml:space="preserve">NNB GenCo resolved the </w:t>
      </w:r>
      <w:r w:rsidR="2F96FB3B" w:rsidRPr="00DD1B58">
        <w:rPr>
          <w:rFonts w:eastAsia="Arial"/>
          <w:noProof/>
          <w:szCs w:val="24"/>
          <w:lang w:val="en-US"/>
        </w:rPr>
        <w:t xml:space="preserve">issues within 24 hours. </w:t>
      </w:r>
      <w:r w:rsidR="0048370D" w:rsidRPr="00DD1B58">
        <w:rPr>
          <w:rFonts w:eastAsia="Arial"/>
          <w:noProof/>
          <w:szCs w:val="24"/>
          <w:lang w:val="en-US"/>
        </w:rPr>
        <w:t xml:space="preserve">A subsequent ONR </w:t>
      </w:r>
      <w:r w:rsidR="2F96FB3B" w:rsidRPr="00DD1B58">
        <w:rPr>
          <w:rFonts w:eastAsia="Arial"/>
          <w:noProof/>
          <w:szCs w:val="24"/>
          <w:lang w:val="en-US"/>
        </w:rPr>
        <w:t xml:space="preserve">inspection in </w:t>
      </w:r>
      <w:r w:rsidR="00831FE4" w:rsidRPr="00DD1B58">
        <w:rPr>
          <w:rFonts w:eastAsia="Arial"/>
          <w:noProof/>
          <w:szCs w:val="24"/>
          <w:lang w:val="en-US"/>
        </w:rPr>
        <w:t xml:space="preserve">January </w:t>
      </w:r>
      <w:r w:rsidR="2F96FB3B" w:rsidRPr="00DD1B58">
        <w:rPr>
          <w:rFonts w:eastAsia="Arial"/>
          <w:noProof/>
          <w:szCs w:val="24"/>
          <w:lang w:val="en-US"/>
        </w:rPr>
        <w:t xml:space="preserve"> 2023 </w:t>
      </w:r>
      <w:sdt>
        <w:sdtPr>
          <w:rPr>
            <w:rFonts w:eastAsia="Arial"/>
            <w:noProof/>
            <w:szCs w:val="24"/>
            <w:lang w:val="en-US"/>
          </w:rPr>
          <w:id w:val="-918858452"/>
          <w:citation/>
        </w:sdtPr>
        <w:sdtContent>
          <w:r w:rsidR="000A6416" w:rsidRPr="00DD1B58">
            <w:rPr>
              <w:rFonts w:eastAsia="Arial"/>
              <w:noProof/>
              <w:szCs w:val="24"/>
              <w:lang w:val="en-US"/>
            </w:rPr>
            <w:fldChar w:fldCharType="begin"/>
          </w:r>
          <w:r w:rsidR="005534BB" w:rsidRPr="00DD1B58">
            <w:rPr>
              <w:rFonts w:eastAsia="Arial"/>
              <w:noProof/>
              <w:szCs w:val="24"/>
              <w:lang w:val="en-US"/>
            </w:rPr>
            <w:instrText xml:space="preserve">CITATION ONR232 \l 2057 </w:instrText>
          </w:r>
          <w:r w:rsidR="000A6416" w:rsidRPr="00DD1B58">
            <w:rPr>
              <w:rFonts w:eastAsia="Arial"/>
              <w:noProof/>
              <w:szCs w:val="24"/>
              <w:lang w:val="en-US"/>
            </w:rPr>
            <w:fldChar w:fldCharType="separate"/>
          </w:r>
          <w:r w:rsidR="00DF47DA" w:rsidRPr="00DF47DA">
            <w:rPr>
              <w:rFonts w:eastAsia="Arial"/>
              <w:noProof/>
              <w:szCs w:val="24"/>
              <w:lang w:val="en-US"/>
            </w:rPr>
            <w:t>[133]</w:t>
          </w:r>
          <w:r w:rsidR="000A6416" w:rsidRPr="00DD1B58">
            <w:rPr>
              <w:rFonts w:eastAsia="Arial"/>
              <w:noProof/>
              <w:szCs w:val="24"/>
              <w:lang w:val="en-US"/>
            </w:rPr>
            <w:fldChar w:fldCharType="end"/>
          </w:r>
        </w:sdtContent>
      </w:sdt>
      <w:r w:rsidR="2F96FB3B" w:rsidRPr="00DD1B58">
        <w:rPr>
          <w:rFonts w:eastAsia="Arial"/>
          <w:noProof/>
          <w:szCs w:val="24"/>
          <w:lang w:val="en-US"/>
        </w:rPr>
        <w:t xml:space="preserve"> identified shortfalls in </w:t>
      </w:r>
      <w:r w:rsidR="00431B88" w:rsidRPr="00DD1B58">
        <w:rPr>
          <w:rFonts w:eastAsia="Arial"/>
          <w:noProof/>
          <w:color w:val="111111"/>
          <w:szCs w:val="24"/>
          <w:lang w:val="en-US"/>
        </w:rPr>
        <w:t>the</w:t>
      </w:r>
      <w:r w:rsidR="0048370D" w:rsidRPr="00DD1B58">
        <w:rPr>
          <w:rFonts w:eastAsia="Arial"/>
          <w:noProof/>
          <w:color w:val="111111"/>
          <w:szCs w:val="24"/>
          <w:lang w:val="en-US"/>
        </w:rPr>
        <w:t xml:space="preserve"> </w:t>
      </w:r>
      <w:r w:rsidR="2F96FB3B" w:rsidRPr="00DD1B58">
        <w:rPr>
          <w:rFonts w:eastAsia="Arial"/>
          <w:noProof/>
          <w:color w:val="111111"/>
          <w:szCs w:val="24"/>
          <w:lang w:val="en-US"/>
        </w:rPr>
        <w:t xml:space="preserve">management of fire safety and </w:t>
      </w:r>
      <w:r w:rsidR="00D742B3" w:rsidRPr="00DD1B58">
        <w:rPr>
          <w:rFonts w:eastAsia="Arial"/>
          <w:noProof/>
          <w:color w:val="111111"/>
          <w:szCs w:val="24"/>
          <w:lang w:val="en-US"/>
        </w:rPr>
        <w:t xml:space="preserve">that the </w:t>
      </w:r>
      <w:r w:rsidR="2F96FB3B" w:rsidRPr="00DD1B58">
        <w:rPr>
          <w:rFonts w:eastAsia="Arial"/>
          <w:noProof/>
          <w:color w:val="111111"/>
          <w:szCs w:val="24"/>
          <w:lang w:val="en-US"/>
        </w:rPr>
        <w:t xml:space="preserve">general fire precautions across the contractor’s area were being implemented inadequately. </w:t>
      </w:r>
      <w:r w:rsidR="00D742B3" w:rsidRPr="00DD1B58">
        <w:rPr>
          <w:rFonts w:eastAsia="Arial"/>
          <w:noProof/>
          <w:color w:val="111111"/>
          <w:szCs w:val="24"/>
          <w:lang w:val="en-US"/>
        </w:rPr>
        <w:t xml:space="preserve">ONR identified a </w:t>
      </w:r>
      <w:r w:rsidR="2F96FB3B" w:rsidRPr="00DD1B58">
        <w:rPr>
          <w:rFonts w:eastAsia="Arial"/>
          <w:noProof/>
          <w:color w:val="111111"/>
          <w:szCs w:val="24"/>
          <w:lang w:val="en-US"/>
        </w:rPr>
        <w:t xml:space="preserve">number of potentially serious conditions relating to the control and management of combustible materials and ignition sources, and the failure to adequately manage and monitor fire alarm systems. </w:t>
      </w:r>
      <w:r w:rsidR="005D4B0D" w:rsidRPr="00DD1B58">
        <w:rPr>
          <w:rFonts w:eastAsia="Arial"/>
          <w:noProof/>
          <w:color w:val="111111"/>
          <w:szCs w:val="24"/>
          <w:lang w:val="en-US"/>
        </w:rPr>
        <w:t>ONR raised a</w:t>
      </w:r>
      <w:r w:rsidR="2F96FB3B" w:rsidRPr="00DD1B58">
        <w:rPr>
          <w:rFonts w:eastAsia="Arial"/>
          <w:noProof/>
          <w:color w:val="111111"/>
          <w:szCs w:val="24"/>
          <w:lang w:val="en-US"/>
        </w:rPr>
        <w:t xml:space="preserve"> level 3 </w:t>
      </w:r>
      <w:r w:rsidR="00D742B3" w:rsidRPr="00DD1B58">
        <w:rPr>
          <w:rFonts w:eastAsia="Arial"/>
          <w:noProof/>
          <w:color w:val="111111"/>
          <w:szCs w:val="24"/>
          <w:lang w:val="en-US"/>
        </w:rPr>
        <w:t>R</w:t>
      </w:r>
      <w:r w:rsidR="2F96FB3B" w:rsidRPr="00DD1B58">
        <w:rPr>
          <w:rFonts w:eastAsia="Arial"/>
          <w:noProof/>
          <w:color w:val="111111"/>
          <w:szCs w:val="24"/>
          <w:lang w:val="en-US"/>
        </w:rPr>
        <w:t xml:space="preserve">egulatory </w:t>
      </w:r>
      <w:r w:rsidR="00D742B3" w:rsidRPr="00DD1B58">
        <w:rPr>
          <w:rFonts w:eastAsia="Arial"/>
          <w:noProof/>
          <w:color w:val="111111"/>
          <w:szCs w:val="24"/>
          <w:lang w:val="en-US"/>
        </w:rPr>
        <w:t>I</w:t>
      </w:r>
      <w:r w:rsidR="2F96FB3B" w:rsidRPr="00DD1B58">
        <w:rPr>
          <w:rFonts w:eastAsia="Arial"/>
          <w:noProof/>
          <w:color w:val="111111"/>
          <w:szCs w:val="24"/>
          <w:lang w:val="en-US"/>
        </w:rPr>
        <w:t xml:space="preserve">ssue to track </w:t>
      </w:r>
      <w:r w:rsidR="00D742B3" w:rsidRPr="00DD1B58">
        <w:rPr>
          <w:rFonts w:eastAsia="Arial"/>
          <w:noProof/>
          <w:color w:val="111111"/>
          <w:szCs w:val="24"/>
          <w:lang w:val="en-US"/>
        </w:rPr>
        <w:t xml:space="preserve">the </w:t>
      </w:r>
      <w:r w:rsidR="2F96FB3B" w:rsidRPr="00DD1B58">
        <w:rPr>
          <w:rFonts w:eastAsia="Arial"/>
          <w:noProof/>
          <w:color w:val="111111"/>
          <w:szCs w:val="24"/>
          <w:lang w:val="en-US"/>
        </w:rPr>
        <w:t xml:space="preserve">necessary improvements. Whilst the shortfalls </w:t>
      </w:r>
      <w:r w:rsidR="00AE4740" w:rsidRPr="00DD1B58">
        <w:rPr>
          <w:rFonts w:eastAsia="Arial"/>
          <w:noProof/>
          <w:color w:val="111111"/>
          <w:szCs w:val="24"/>
          <w:lang w:val="en-US"/>
        </w:rPr>
        <w:t>related</w:t>
      </w:r>
      <w:r w:rsidR="2F96FB3B" w:rsidRPr="00DD1B58">
        <w:rPr>
          <w:rFonts w:eastAsia="Arial"/>
          <w:noProof/>
          <w:color w:val="111111"/>
          <w:szCs w:val="24"/>
          <w:lang w:val="en-US"/>
        </w:rPr>
        <w:t xml:space="preserve"> to fire issues </w:t>
      </w:r>
      <w:r w:rsidR="00AE4740" w:rsidRPr="00DD1B58">
        <w:rPr>
          <w:rFonts w:eastAsia="Arial"/>
          <w:noProof/>
          <w:color w:val="111111"/>
          <w:szCs w:val="24"/>
          <w:lang w:val="en-US"/>
        </w:rPr>
        <w:t xml:space="preserve">in the </w:t>
      </w:r>
      <w:r w:rsidR="2F96FB3B" w:rsidRPr="00DD1B58">
        <w:rPr>
          <w:rFonts w:eastAsia="Arial"/>
          <w:noProof/>
          <w:color w:val="111111"/>
          <w:szCs w:val="24"/>
          <w:lang w:val="en-US"/>
        </w:rPr>
        <w:t>construction site</w:t>
      </w:r>
      <w:r w:rsidR="005D4B0D" w:rsidRPr="00DD1B58">
        <w:rPr>
          <w:rFonts w:eastAsia="Arial"/>
          <w:noProof/>
          <w:color w:val="111111"/>
          <w:szCs w:val="24"/>
          <w:lang w:val="en-US"/>
        </w:rPr>
        <w:t xml:space="preserve"> and are </w:t>
      </w:r>
      <w:r w:rsidR="00AE4740" w:rsidRPr="00DD1B58">
        <w:rPr>
          <w:rFonts w:eastAsia="Arial"/>
          <w:noProof/>
          <w:color w:val="111111"/>
          <w:szCs w:val="24"/>
          <w:lang w:val="en-US"/>
        </w:rPr>
        <w:t>not per se r</w:t>
      </w:r>
      <w:r w:rsidR="005D4B0D" w:rsidRPr="00DD1B58">
        <w:rPr>
          <w:rFonts w:eastAsia="Arial"/>
          <w:noProof/>
          <w:color w:val="111111"/>
          <w:szCs w:val="24"/>
          <w:lang w:val="en-US"/>
        </w:rPr>
        <w:t xml:space="preserve">epresentative of the future operation of the site, </w:t>
      </w:r>
      <w:r w:rsidR="00A94170" w:rsidRPr="00DD1B58">
        <w:rPr>
          <w:rFonts w:eastAsia="Arial"/>
          <w:noProof/>
          <w:color w:val="111111"/>
          <w:szCs w:val="24"/>
          <w:lang w:val="en-US"/>
        </w:rPr>
        <w:t>ONR stresse</w:t>
      </w:r>
      <w:r w:rsidR="00AE4740" w:rsidRPr="00DD1B58">
        <w:rPr>
          <w:rFonts w:eastAsia="Arial"/>
          <w:noProof/>
          <w:color w:val="111111"/>
          <w:szCs w:val="24"/>
          <w:lang w:val="en-US"/>
        </w:rPr>
        <w:t>d</w:t>
      </w:r>
      <w:r w:rsidR="00A94170" w:rsidRPr="00DD1B58">
        <w:rPr>
          <w:rFonts w:eastAsia="Arial"/>
          <w:noProof/>
          <w:color w:val="111111"/>
          <w:szCs w:val="24"/>
          <w:lang w:val="en-US"/>
        </w:rPr>
        <w:t xml:space="preserve"> the importa</w:t>
      </w:r>
      <w:r w:rsidR="00713D44" w:rsidRPr="00DD1B58">
        <w:rPr>
          <w:rFonts w:eastAsia="Arial"/>
          <w:noProof/>
          <w:color w:val="111111"/>
          <w:szCs w:val="24"/>
          <w:lang w:val="en-US"/>
        </w:rPr>
        <w:t>n</w:t>
      </w:r>
      <w:r w:rsidR="00A94170" w:rsidRPr="00DD1B58">
        <w:rPr>
          <w:rFonts w:eastAsia="Arial"/>
          <w:noProof/>
          <w:color w:val="111111"/>
          <w:szCs w:val="24"/>
          <w:lang w:val="en-US"/>
        </w:rPr>
        <w:t xml:space="preserve">ce of </w:t>
      </w:r>
      <w:r w:rsidR="00AE4740" w:rsidRPr="00DD1B58">
        <w:rPr>
          <w:rFonts w:eastAsia="Arial"/>
          <w:noProof/>
          <w:color w:val="111111"/>
          <w:szCs w:val="24"/>
          <w:lang w:val="en-US"/>
        </w:rPr>
        <w:t>reinforcing</w:t>
      </w:r>
      <w:r w:rsidR="2F96FB3B" w:rsidRPr="00DD1B58">
        <w:rPr>
          <w:rFonts w:eastAsia="Arial"/>
          <w:noProof/>
          <w:color w:val="111111"/>
          <w:szCs w:val="24"/>
          <w:lang w:val="en-US"/>
        </w:rPr>
        <w:t xml:space="preserve"> safety culture </w:t>
      </w:r>
      <w:r w:rsidR="00A94170" w:rsidRPr="00DD1B58">
        <w:rPr>
          <w:rFonts w:eastAsia="Arial"/>
          <w:noProof/>
          <w:color w:val="111111"/>
          <w:szCs w:val="24"/>
          <w:lang w:val="en-US"/>
        </w:rPr>
        <w:t>for</w:t>
      </w:r>
      <w:r w:rsidR="2F96FB3B" w:rsidRPr="00DD1B58">
        <w:rPr>
          <w:rFonts w:eastAsia="Arial"/>
          <w:noProof/>
          <w:color w:val="111111"/>
          <w:szCs w:val="24"/>
          <w:lang w:val="en-US"/>
        </w:rPr>
        <w:t xml:space="preserve"> fire safety </w:t>
      </w:r>
      <w:r w:rsidR="00A94170" w:rsidRPr="00DD1B58">
        <w:rPr>
          <w:rFonts w:eastAsia="Arial"/>
          <w:noProof/>
          <w:color w:val="111111"/>
          <w:szCs w:val="24"/>
          <w:lang w:val="en-US"/>
        </w:rPr>
        <w:t>(from both a life protection and nuclear safety perspective</w:t>
      </w:r>
      <w:r w:rsidR="00AE4740" w:rsidRPr="00DD1B58">
        <w:rPr>
          <w:rFonts w:eastAsia="Arial"/>
          <w:noProof/>
          <w:color w:val="111111"/>
          <w:szCs w:val="24"/>
          <w:lang w:val="en-US"/>
        </w:rPr>
        <w:t>)</w:t>
      </w:r>
      <w:r w:rsidR="00A94170" w:rsidRPr="00DD1B58">
        <w:rPr>
          <w:rFonts w:eastAsia="Arial"/>
          <w:noProof/>
          <w:color w:val="111111"/>
          <w:szCs w:val="24"/>
          <w:lang w:val="en-US"/>
        </w:rPr>
        <w:t>.</w:t>
      </w:r>
      <w:r w:rsidR="00AE4740" w:rsidRPr="00DD1B58">
        <w:rPr>
          <w:rFonts w:eastAsia="Arial"/>
          <w:noProof/>
          <w:color w:val="111111"/>
          <w:szCs w:val="24"/>
          <w:lang w:val="en-US"/>
        </w:rPr>
        <w:t xml:space="preserve"> ONR considers the integrated regulation of both fire safety purposes a strength of the GB regulatory regime.</w:t>
      </w:r>
    </w:p>
    <w:p w14:paraId="3B1F9B3D" w14:textId="05D8D54B" w:rsidR="00AD730D" w:rsidRPr="00DD1B58" w:rsidRDefault="00AD730D" w:rsidP="00177432">
      <w:pPr>
        <w:pStyle w:val="Heading3A"/>
        <w:rPr>
          <w:lang w:val="en-US"/>
        </w:rPr>
      </w:pPr>
      <w:bookmarkStart w:id="110" w:name="_Toc144924858"/>
      <w:bookmarkStart w:id="111" w:name="_Toc144926603"/>
      <w:bookmarkStart w:id="112" w:name="_Toc144927047"/>
      <w:bookmarkStart w:id="113" w:name="_Toc145055687"/>
      <w:bookmarkStart w:id="114" w:name="_Toc147090646"/>
      <w:bookmarkEnd w:id="110"/>
      <w:bookmarkEnd w:id="111"/>
      <w:bookmarkEnd w:id="112"/>
      <w:bookmarkEnd w:id="113"/>
      <w:r w:rsidRPr="00DD1B58">
        <w:rPr>
          <w:lang w:val="en-US"/>
        </w:rPr>
        <w:t xml:space="preserve">Research </w:t>
      </w:r>
      <w:r w:rsidR="00A210BF" w:rsidRPr="00DD1B58">
        <w:rPr>
          <w:lang w:val="en-US"/>
        </w:rPr>
        <w:t>r</w:t>
      </w:r>
      <w:r w:rsidRPr="00DD1B58">
        <w:rPr>
          <w:lang w:val="en-US"/>
        </w:rPr>
        <w:t>eactors</w:t>
      </w:r>
      <w:bookmarkEnd w:id="114"/>
    </w:p>
    <w:p w14:paraId="46934C2D" w14:textId="7CC56018" w:rsidR="00657054" w:rsidRPr="00DD1B58" w:rsidRDefault="00657054" w:rsidP="00657054">
      <w:pPr>
        <w:rPr>
          <w:lang w:val="en-US"/>
        </w:rPr>
      </w:pPr>
      <w:r w:rsidRPr="00DD1B58">
        <w:rPr>
          <w:lang w:val="en-US"/>
        </w:rPr>
        <w:t>The UK has no research reactors</w:t>
      </w:r>
      <w:r w:rsidR="00AE4740" w:rsidRPr="00DD1B58">
        <w:rPr>
          <w:lang w:val="en-US"/>
        </w:rPr>
        <w:t xml:space="preserve"> in operation, all are reactors under decommissioning.</w:t>
      </w:r>
    </w:p>
    <w:p w14:paraId="1BDE2C19" w14:textId="1676E957" w:rsidR="00DF3B89" w:rsidRPr="00DD1B58" w:rsidRDefault="00B26762" w:rsidP="00177432">
      <w:pPr>
        <w:pStyle w:val="Heading3A"/>
        <w:rPr>
          <w:lang w:val="en-US"/>
        </w:rPr>
      </w:pPr>
      <w:bookmarkStart w:id="115" w:name="_Toc147090647"/>
      <w:r w:rsidRPr="00DD1B58">
        <w:rPr>
          <w:lang w:val="en-US"/>
        </w:rPr>
        <w:t xml:space="preserve">Fuel </w:t>
      </w:r>
      <w:r w:rsidR="00A210BF" w:rsidRPr="00DD1B58">
        <w:rPr>
          <w:lang w:val="en-US"/>
        </w:rPr>
        <w:t>c</w:t>
      </w:r>
      <w:r w:rsidRPr="00DD1B58">
        <w:rPr>
          <w:lang w:val="en-US"/>
        </w:rPr>
        <w:t>ycle facilities</w:t>
      </w:r>
      <w:bookmarkEnd w:id="115"/>
    </w:p>
    <w:p w14:paraId="354E7514" w14:textId="1A75280E" w:rsidR="00DF0278" w:rsidRPr="00DD1B58" w:rsidRDefault="00105F59" w:rsidP="00DF0278">
      <w:pPr>
        <w:rPr>
          <w:lang w:val="en-US"/>
        </w:rPr>
      </w:pPr>
      <w:r w:rsidRPr="00DD1B58">
        <w:rPr>
          <w:lang w:val="en-US"/>
        </w:rPr>
        <w:t xml:space="preserve">The text in the Sections below has been prepared by </w:t>
      </w:r>
      <w:r w:rsidR="00E5104B" w:rsidRPr="00DD1B58">
        <w:rPr>
          <w:lang w:val="en-US"/>
        </w:rPr>
        <w:t>UUK</w:t>
      </w:r>
      <w:r w:rsidRPr="00DD1B58">
        <w:rPr>
          <w:lang w:val="en-US"/>
        </w:rPr>
        <w:t xml:space="preserve"> and Springfields Fuels </w:t>
      </w:r>
      <w:r w:rsidR="00BF0D1B" w:rsidRPr="00DD1B58">
        <w:rPr>
          <w:lang w:val="en-US"/>
        </w:rPr>
        <w:t>Ltd</w:t>
      </w:r>
      <w:r w:rsidRPr="00DD1B58">
        <w:rPr>
          <w:lang w:val="en-US"/>
        </w:rPr>
        <w:t xml:space="preserve"> Background information on the sites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00FB7059" w:rsidRPr="00DD1B58">
        <w:rPr>
          <w:lang w:val="en-US"/>
        </w:rPr>
        <w:t>.</w:t>
      </w:r>
    </w:p>
    <w:p w14:paraId="1DEE4A5F" w14:textId="585E10C6" w:rsidR="00DF3B89" w:rsidRPr="00DD1B58" w:rsidRDefault="00B26762" w:rsidP="00177432">
      <w:pPr>
        <w:pStyle w:val="Heading4A"/>
        <w:rPr>
          <w:lang w:val="en-US"/>
        </w:rPr>
      </w:pPr>
      <w:r w:rsidRPr="00DD1B58">
        <w:rPr>
          <w:lang w:val="en-US"/>
        </w:rPr>
        <w:t xml:space="preserve">Fuel </w:t>
      </w:r>
      <w:r w:rsidR="00A210BF" w:rsidRPr="00DD1B58">
        <w:rPr>
          <w:lang w:val="en-US"/>
        </w:rPr>
        <w:t>e</w:t>
      </w:r>
      <w:r w:rsidRPr="00DD1B58">
        <w:rPr>
          <w:lang w:val="en-US"/>
        </w:rPr>
        <w:t xml:space="preserve">nrichment </w:t>
      </w:r>
      <w:r w:rsidR="00A210BF" w:rsidRPr="00DD1B58">
        <w:rPr>
          <w:lang w:val="en-US"/>
        </w:rPr>
        <w:t>f</w:t>
      </w:r>
      <w:r w:rsidRPr="00DD1B58">
        <w:rPr>
          <w:lang w:val="en-US"/>
        </w:rPr>
        <w:t>acilities</w:t>
      </w:r>
      <w:r w:rsidR="00423D69" w:rsidRPr="00DD1B58">
        <w:rPr>
          <w:lang w:val="en-US"/>
        </w:rPr>
        <w:t xml:space="preserve"> </w:t>
      </w:r>
      <w:r w:rsidR="00B51B2E" w:rsidRPr="00DD1B58">
        <w:rPr>
          <w:lang w:val="en-US"/>
        </w:rPr>
        <w:t>–</w:t>
      </w:r>
      <w:r w:rsidR="00423D69" w:rsidRPr="00DD1B58">
        <w:rPr>
          <w:lang w:val="en-US"/>
        </w:rPr>
        <w:t xml:space="preserve"> </w:t>
      </w:r>
      <w:r w:rsidR="00A82394" w:rsidRPr="00DD1B58">
        <w:rPr>
          <w:lang w:val="en-US"/>
        </w:rPr>
        <w:t xml:space="preserve">UUK </w:t>
      </w:r>
      <w:r w:rsidR="00B51B2E" w:rsidRPr="00DD1B58">
        <w:rPr>
          <w:lang w:val="en-US"/>
        </w:rPr>
        <w:t>Capenhurst</w:t>
      </w:r>
    </w:p>
    <w:p w14:paraId="59A7EAA3" w14:textId="7D40DF64" w:rsidR="00AA1511" w:rsidRPr="00DD1B58" w:rsidRDefault="00E5104B" w:rsidP="60E054AF">
      <w:pPr>
        <w:autoSpaceDE w:val="0"/>
        <w:autoSpaceDN w:val="0"/>
        <w:adjustRightInd w:val="0"/>
        <w:spacing w:after="0" w:line="240" w:lineRule="auto"/>
        <w:rPr>
          <w:lang w:val="en-US" w:eastAsia="en-GB" w:bidi="ar-SA"/>
        </w:rPr>
      </w:pPr>
      <w:r w:rsidRPr="00DD1B58">
        <w:rPr>
          <w:lang w:val="en-US"/>
        </w:rPr>
        <w:t xml:space="preserve">UUK </w:t>
      </w:r>
      <w:r w:rsidR="006D798B" w:rsidRPr="00DD1B58">
        <w:rPr>
          <w:lang w:val="en-US"/>
        </w:rPr>
        <w:t>reports that</w:t>
      </w:r>
      <w:r w:rsidRPr="00DD1B58">
        <w:rPr>
          <w:lang w:val="en-US"/>
        </w:rPr>
        <w:t xml:space="preserve"> a</w:t>
      </w:r>
      <w:r w:rsidR="00D516D2" w:rsidRPr="00DD1B58">
        <w:rPr>
          <w:lang w:val="en-US"/>
        </w:rPr>
        <w:t xml:space="preserve">ctive </w:t>
      </w:r>
      <w:r w:rsidR="00D516D2" w:rsidRPr="00DD1B58">
        <w:rPr>
          <w:lang w:val="en-US" w:eastAsia="en-GB" w:bidi="ar-SA"/>
        </w:rPr>
        <w:t xml:space="preserve">fire protection includes fire suppression systems, </w:t>
      </w:r>
      <w:r w:rsidR="00AA1511" w:rsidRPr="00DD1B58">
        <w:rPr>
          <w:lang w:val="en-US" w:eastAsia="en-GB" w:bidi="ar-SA"/>
        </w:rPr>
        <w:t>extinguishers,</w:t>
      </w:r>
      <w:r w:rsidR="00D516D2" w:rsidRPr="00DD1B58">
        <w:rPr>
          <w:lang w:val="en-US" w:eastAsia="en-GB" w:bidi="ar-SA"/>
        </w:rPr>
        <w:t xml:space="preserve"> and fire alarms all which are</w:t>
      </w:r>
      <w:r w:rsidR="003F5B14" w:rsidRPr="00DD1B58">
        <w:rPr>
          <w:lang w:val="en-US" w:eastAsia="en-GB" w:bidi="ar-SA"/>
        </w:rPr>
        <w:t xml:space="preserve"> </w:t>
      </w:r>
      <w:r w:rsidR="00D516D2" w:rsidRPr="00DD1B58">
        <w:rPr>
          <w:lang w:val="en-US" w:eastAsia="en-GB" w:bidi="ar-SA"/>
        </w:rPr>
        <w:t>incorporated into new starter induction and annual theoretical and practical fire training.</w:t>
      </w:r>
      <w:r w:rsidR="003F5B14" w:rsidRPr="00DD1B58">
        <w:rPr>
          <w:lang w:val="en-US" w:eastAsia="en-GB" w:bidi="ar-SA"/>
        </w:rPr>
        <w:t xml:space="preserve"> </w:t>
      </w:r>
    </w:p>
    <w:p w14:paraId="19E15E09" w14:textId="77777777" w:rsidR="00AA1511" w:rsidRPr="00DD1B58" w:rsidRDefault="00AA1511" w:rsidP="60E054AF">
      <w:pPr>
        <w:autoSpaceDE w:val="0"/>
        <w:autoSpaceDN w:val="0"/>
        <w:adjustRightInd w:val="0"/>
        <w:spacing w:after="0" w:line="240" w:lineRule="auto"/>
        <w:rPr>
          <w:lang w:val="en-US" w:eastAsia="en-GB" w:bidi="ar-SA"/>
        </w:rPr>
      </w:pPr>
    </w:p>
    <w:p w14:paraId="75E14B8B" w14:textId="3CC6F93D" w:rsidR="00D516D2" w:rsidRPr="00DD1B58" w:rsidRDefault="002F4AB8"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e</w:t>
      </w:r>
      <w:r w:rsidR="00D516D2" w:rsidRPr="00DD1B58">
        <w:rPr>
          <w:lang w:val="en-US" w:eastAsia="en-GB" w:bidi="ar-SA"/>
        </w:rPr>
        <w:t>very building incorporates a minimum package of fire protection measures to allow the occupants</w:t>
      </w:r>
      <w:r w:rsidR="003F5B14" w:rsidRPr="00DD1B58">
        <w:rPr>
          <w:lang w:val="en-US" w:eastAsia="en-GB" w:bidi="ar-SA"/>
        </w:rPr>
        <w:t xml:space="preserve"> </w:t>
      </w:r>
      <w:r w:rsidR="00D516D2" w:rsidRPr="00DD1B58">
        <w:rPr>
          <w:lang w:val="en-US" w:eastAsia="en-GB" w:bidi="ar-SA"/>
        </w:rPr>
        <w:t>to escape from the building in the event of a fire ensuring life safety, asset protection and to ensure</w:t>
      </w:r>
      <w:r w:rsidR="003F5B14" w:rsidRPr="00DD1B58">
        <w:rPr>
          <w:lang w:val="en-US" w:eastAsia="en-GB" w:bidi="ar-SA"/>
        </w:rPr>
        <w:t xml:space="preserve"> </w:t>
      </w:r>
      <w:r w:rsidR="00D516D2" w:rsidRPr="00DD1B58">
        <w:rPr>
          <w:lang w:val="en-US" w:eastAsia="en-GB" w:bidi="ar-SA"/>
        </w:rPr>
        <w:t>that there are appropriate management systems in place with enhancements subject to the</w:t>
      </w:r>
      <w:r w:rsidR="003F5B14" w:rsidRPr="00DD1B58">
        <w:rPr>
          <w:lang w:val="en-US" w:eastAsia="en-GB" w:bidi="ar-SA"/>
        </w:rPr>
        <w:t xml:space="preserve"> </w:t>
      </w:r>
      <w:r w:rsidR="00D516D2" w:rsidRPr="00DD1B58">
        <w:rPr>
          <w:lang w:val="en-US" w:eastAsia="en-GB" w:bidi="ar-SA"/>
        </w:rPr>
        <w:t>facilities risk rating/categorisation.</w:t>
      </w:r>
    </w:p>
    <w:p w14:paraId="5F1C1040" w14:textId="77777777" w:rsidR="003F5B14" w:rsidRPr="00DD1B58" w:rsidRDefault="003F5B14" w:rsidP="60E054AF">
      <w:pPr>
        <w:autoSpaceDE w:val="0"/>
        <w:autoSpaceDN w:val="0"/>
        <w:adjustRightInd w:val="0"/>
        <w:spacing w:after="0" w:line="240" w:lineRule="auto"/>
        <w:rPr>
          <w:lang w:val="en-US" w:eastAsia="en-GB" w:bidi="ar-SA"/>
        </w:rPr>
      </w:pPr>
    </w:p>
    <w:p w14:paraId="52A851B9" w14:textId="77777777" w:rsidR="00DF3B89" w:rsidRPr="00DD1B58" w:rsidRDefault="00DF3B89" w:rsidP="00177432">
      <w:pPr>
        <w:pStyle w:val="Heading5A"/>
        <w:rPr>
          <w:lang w:val="en-US"/>
        </w:rPr>
      </w:pPr>
      <w:r w:rsidRPr="00DD1B58">
        <w:rPr>
          <w:lang w:val="en-US"/>
        </w:rPr>
        <w:t>Fire detection and alarm provisions</w:t>
      </w:r>
    </w:p>
    <w:p w14:paraId="183676AA" w14:textId="40C14924" w:rsidR="0023092F" w:rsidRPr="00DD1B58" w:rsidRDefault="002F4AB8" w:rsidP="60E054AF">
      <w:pPr>
        <w:autoSpaceDE w:val="0"/>
        <w:autoSpaceDN w:val="0"/>
        <w:adjustRightInd w:val="0"/>
        <w:spacing w:after="0" w:line="240" w:lineRule="auto"/>
        <w:rPr>
          <w:lang w:val="en-US" w:eastAsia="en-GB" w:bidi="ar-SA"/>
        </w:rPr>
      </w:pPr>
      <w:r w:rsidRPr="00DD1B58">
        <w:rPr>
          <w:lang w:val="en-US"/>
        </w:rPr>
        <w:t xml:space="preserve">UUK’s </w:t>
      </w:r>
      <w:r w:rsidR="0023092F" w:rsidRPr="00DD1B58">
        <w:rPr>
          <w:lang w:val="en-US" w:eastAsia="en-GB" w:bidi="ar-SA"/>
        </w:rPr>
        <w:t xml:space="preserve">deterministic and, where required, probabilistic safety assessments drive </w:t>
      </w:r>
      <w:r w:rsidR="00044C31" w:rsidRPr="00DD1B58">
        <w:rPr>
          <w:lang w:val="en-US" w:eastAsia="en-GB" w:bidi="ar-SA"/>
        </w:rPr>
        <w:t>the corporate</w:t>
      </w:r>
      <w:r w:rsidRPr="00DD1B58">
        <w:rPr>
          <w:lang w:val="en-US" w:eastAsia="en-GB" w:bidi="ar-SA"/>
        </w:rPr>
        <w:t xml:space="preserve"> </w:t>
      </w:r>
      <w:r w:rsidR="0023092F" w:rsidRPr="00DD1B58">
        <w:rPr>
          <w:lang w:val="en-US" w:eastAsia="en-GB" w:bidi="ar-SA"/>
        </w:rPr>
        <w:t>requirements for any equipment or administrative controls to be designated as safety measures.</w:t>
      </w:r>
      <w:r w:rsidR="00107AF6" w:rsidRPr="00DD1B58">
        <w:rPr>
          <w:lang w:val="en-US" w:eastAsia="en-GB" w:bidi="ar-SA"/>
        </w:rPr>
        <w:t xml:space="preserve"> </w:t>
      </w:r>
      <w:r w:rsidR="001F6F7C" w:rsidRPr="00DD1B58">
        <w:rPr>
          <w:lang w:val="en-US" w:eastAsia="en-GB" w:bidi="ar-SA"/>
        </w:rPr>
        <w:t xml:space="preserve">UUK state that the </w:t>
      </w:r>
      <w:r w:rsidR="0023092F" w:rsidRPr="00DD1B58">
        <w:rPr>
          <w:lang w:val="en-US" w:eastAsia="en-GB" w:bidi="ar-SA"/>
        </w:rPr>
        <w:t>designation of the safety measure and its relative importance is dependent on the hazard</w:t>
      </w:r>
      <w:r w:rsidR="00107AF6" w:rsidRPr="00DD1B58">
        <w:rPr>
          <w:lang w:val="en-US" w:eastAsia="en-GB" w:bidi="ar-SA"/>
        </w:rPr>
        <w:t xml:space="preserve"> </w:t>
      </w:r>
      <w:r w:rsidR="0023092F" w:rsidRPr="00DD1B58">
        <w:rPr>
          <w:lang w:val="en-US" w:eastAsia="en-GB" w:bidi="ar-SA"/>
        </w:rPr>
        <w:t xml:space="preserve">potential of the associated fault sequence. </w:t>
      </w:r>
      <w:r w:rsidR="001F6F7C" w:rsidRPr="00DD1B58">
        <w:rPr>
          <w:lang w:val="en-US" w:eastAsia="en-GB" w:bidi="ar-SA"/>
        </w:rPr>
        <w:t xml:space="preserve">UUK designates </w:t>
      </w:r>
      <w:r w:rsidR="00A229B3" w:rsidRPr="00DD1B58">
        <w:rPr>
          <w:lang w:val="en-US" w:eastAsia="en-GB" w:bidi="ar-SA"/>
        </w:rPr>
        <w:t>measures</w:t>
      </w:r>
      <w:r w:rsidR="00CC4181" w:rsidRPr="00DD1B58">
        <w:rPr>
          <w:lang w:val="en-US" w:eastAsia="en-GB" w:bidi="ar-SA"/>
        </w:rPr>
        <w:t xml:space="preserve"> in </w:t>
      </w:r>
      <w:r w:rsidR="00F01781" w:rsidRPr="00DD1B58">
        <w:rPr>
          <w:lang w:val="en-US" w:eastAsia="en-GB" w:bidi="ar-SA"/>
        </w:rPr>
        <w:t>accordance with</w:t>
      </w:r>
      <w:r w:rsidR="0023092F" w:rsidRPr="00DD1B58">
        <w:rPr>
          <w:lang w:val="en-US" w:eastAsia="en-GB" w:bidi="ar-SA"/>
        </w:rPr>
        <w:t xml:space="preserve"> the SAH</w:t>
      </w:r>
      <w:r w:rsidR="00107AF6" w:rsidRPr="00DD1B58">
        <w:rPr>
          <w:lang w:val="en-US" w:eastAsia="en-GB" w:bidi="ar-SA"/>
        </w:rPr>
        <w:t xml:space="preserve"> </w:t>
      </w:r>
      <w:r w:rsidR="0023092F" w:rsidRPr="00DD1B58">
        <w:rPr>
          <w:lang w:val="en-US" w:eastAsia="en-GB" w:bidi="ar-SA"/>
        </w:rPr>
        <w:t>for ‘Designation, Recording and Standards for Safety Measures’.</w:t>
      </w:r>
    </w:p>
    <w:p w14:paraId="7C73060F" w14:textId="77777777" w:rsidR="00061737" w:rsidRPr="00DD1B58" w:rsidRDefault="00061737" w:rsidP="60E054AF">
      <w:pPr>
        <w:autoSpaceDE w:val="0"/>
        <w:autoSpaceDN w:val="0"/>
        <w:adjustRightInd w:val="0"/>
        <w:spacing w:after="0" w:line="240" w:lineRule="auto"/>
        <w:rPr>
          <w:lang w:val="en-US" w:eastAsia="en-GB" w:bidi="ar-SA"/>
        </w:rPr>
      </w:pPr>
    </w:p>
    <w:p w14:paraId="503D209A" w14:textId="521FB275" w:rsidR="0023092F" w:rsidRPr="00DD1B58" w:rsidRDefault="00FE2FF4"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f</w:t>
      </w:r>
      <w:r w:rsidR="0023092F" w:rsidRPr="00DD1B58">
        <w:rPr>
          <w:lang w:val="en-US" w:eastAsia="en-GB" w:bidi="ar-SA"/>
        </w:rPr>
        <w:t>ire detection and alarm provisions can be designated in line with this SAH guidance where</w:t>
      </w:r>
      <w:r w:rsidRPr="00DD1B58">
        <w:rPr>
          <w:lang w:val="en-US" w:eastAsia="en-GB" w:bidi="ar-SA"/>
        </w:rPr>
        <w:t xml:space="preserve"> </w:t>
      </w:r>
      <w:r w:rsidR="0023092F" w:rsidRPr="00DD1B58">
        <w:rPr>
          <w:lang w:val="en-US" w:eastAsia="en-GB" w:bidi="ar-SA"/>
        </w:rPr>
        <w:t xml:space="preserve">required by the relevant safety case. If </w:t>
      </w:r>
      <w:r w:rsidR="00061737" w:rsidRPr="00DD1B58">
        <w:rPr>
          <w:lang w:val="en-US" w:eastAsia="en-GB" w:bidi="ar-SA"/>
        </w:rPr>
        <w:t>designated,</w:t>
      </w:r>
      <w:r w:rsidR="0023092F" w:rsidRPr="00DD1B58">
        <w:rPr>
          <w:lang w:val="en-US" w:eastAsia="en-GB" w:bidi="ar-SA"/>
        </w:rPr>
        <w:t xml:space="preserve"> then the safety measures would be subject to</w:t>
      </w:r>
      <w:r w:rsidR="00107AF6" w:rsidRPr="00DD1B58">
        <w:rPr>
          <w:lang w:val="en-US" w:eastAsia="en-GB" w:bidi="ar-SA"/>
        </w:rPr>
        <w:t xml:space="preserve"> </w:t>
      </w:r>
      <w:r w:rsidR="0023092F" w:rsidRPr="00DD1B58">
        <w:rPr>
          <w:lang w:val="en-US" w:eastAsia="en-GB" w:bidi="ar-SA"/>
        </w:rPr>
        <w:t>engineering or human factors substantiation as required by the quality of safety designation</w:t>
      </w:r>
      <w:r w:rsidR="00107AF6" w:rsidRPr="00DD1B58">
        <w:rPr>
          <w:lang w:val="en-US" w:eastAsia="en-GB" w:bidi="ar-SA"/>
        </w:rPr>
        <w:t xml:space="preserve"> </w:t>
      </w:r>
      <w:r w:rsidR="0023092F" w:rsidRPr="00DD1B58">
        <w:rPr>
          <w:lang w:val="en-US" w:eastAsia="en-GB" w:bidi="ar-SA"/>
        </w:rPr>
        <w:t>placed. Engineering substantiation, both substantiation of existing and new systems, would be</w:t>
      </w:r>
      <w:r w:rsidR="00107AF6" w:rsidRPr="00DD1B58">
        <w:rPr>
          <w:lang w:val="en-US" w:eastAsia="en-GB" w:bidi="ar-SA"/>
        </w:rPr>
        <w:t xml:space="preserve"> </w:t>
      </w:r>
      <w:r w:rsidR="0023092F" w:rsidRPr="00DD1B58">
        <w:rPr>
          <w:lang w:val="en-US" w:eastAsia="en-GB" w:bidi="ar-SA"/>
        </w:rPr>
        <w:t>cognisant of relevant British and International design standards.</w:t>
      </w:r>
    </w:p>
    <w:p w14:paraId="541895A7" w14:textId="77777777" w:rsidR="00061737" w:rsidRPr="00DD1B58" w:rsidRDefault="00061737" w:rsidP="60E054AF">
      <w:pPr>
        <w:autoSpaceDE w:val="0"/>
        <w:autoSpaceDN w:val="0"/>
        <w:adjustRightInd w:val="0"/>
        <w:spacing w:after="0" w:line="240" w:lineRule="auto"/>
        <w:rPr>
          <w:lang w:val="en-US" w:eastAsia="en-GB" w:bidi="ar-SA"/>
        </w:rPr>
      </w:pPr>
    </w:p>
    <w:p w14:paraId="4E31FC1D" w14:textId="36437331" w:rsidR="0023092F" w:rsidRPr="00DD1B58" w:rsidRDefault="00B30CA3" w:rsidP="60E054AF">
      <w:pPr>
        <w:autoSpaceDE w:val="0"/>
        <w:autoSpaceDN w:val="0"/>
        <w:adjustRightInd w:val="0"/>
        <w:spacing w:after="0" w:line="240" w:lineRule="auto"/>
        <w:rPr>
          <w:lang w:val="en-US" w:eastAsia="en-GB" w:bidi="ar-SA"/>
        </w:rPr>
      </w:pPr>
      <w:r w:rsidRPr="00DD1B58">
        <w:rPr>
          <w:lang w:val="en-US" w:eastAsia="en-GB" w:bidi="ar-SA"/>
        </w:rPr>
        <w:t>UUK</w:t>
      </w:r>
      <w:r w:rsidR="0023092F" w:rsidRPr="00DD1B58">
        <w:rPr>
          <w:lang w:val="en-US" w:eastAsia="en-GB" w:bidi="ar-SA"/>
        </w:rPr>
        <w:t xml:space="preserve"> highlight</w:t>
      </w:r>
      <w:r w:rsidR="00DF19F7" w:rsidRPr="00DD1B58">
        <w:rPr>
          <w:lang w:val="en-US" w:eastAsia="en-GB" w:bidi="ar-SA"/>
        </w:rPr>
        <w:t>s</w:t>
      </w:r>
      <w:r w:rsidR="0023092F" w:rsidRPr="00DD1B58">
        <w:rPr>
          <w:lang w:val="en-US" w:eastAsia="en-GB" w:bidi="ar-SA"/>
        </w:rPr>
        <w:t xml:space="preserve"> that the designation and provision of a safety measure should be</w:t>
      </w:r>
      <w:r w:rsidR="00107AF6" w:rsidRPr="00DD1B58">
        <w:rPr>
          <w:lang w:val="en-US" w:eastAsia="en-GB" w:bidi="ar-SA"/>
        </w:rPr>
        <w:t xml:space="preserve"> </w:t>
      </w:r>
      <w:r w:rsidR="0023092F" w:rsidRPr="00DD1B58">
        <w:rPr>
          <w:lang w:val="en-US" w:eastAsia="en-GB" w:bidi="ar-SA"/>
        </w:rPr>
        <w:t>considered to</w:t>
      </w:r>
      <w:r w:rsidR="00107AF6" w:rsidRPr="00DD1B58">
        <w:rPr>
          <w:lang w:val="en-US" w:eastAsia="en-GB" w:bidi="ar-SA"/>
        </w:rPr>
        <w:t xml:space="preserve"> </w:t>
      </w:r>
      <w:r w:rsidR="0023092F" w:rsidRPr="00DD1B58">
        <w:rPr>
          <w:lang w:val="en-US" w:eastAsia="en-GB" w:bidi="ar-SA"/>
        </w:rPr>
        <w:t xml:space="preserve">determine if it introduces any domino hazards which could be significant. </w:t>
      </w: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this </w:t>
      </w:r>
      <w:r w:rsidR="0023092F" w:rsidRPr="00DD1B58">
        <w:rPr>
          <w:lang w:val="en-US" w:eastAsia="en-GB" w:bidi="ar-SA"/>
        </w:rPr>
        <w:t>may be relevant to</w:t>
      </w:r>
      <w:r w:rsidR="00107AF6" w:rsidRPr="00DD1B58">
        <w:rPr>
          <w:lang w:val="en-US" w:eastAsia="en-GB" w:bidi="ar-SA"/>
        </w:rPr>
        <w:t xml:space="preserve"> </w:t>
      </w:r>
      <w:r w:rsidR="0023092F" w:rsidRPr="00DD1B58">
        <w:rPr>
          <w:lang w:val="en-US" w:eastAsia="en-GB" w:bidi="ar-SA"/>
        </w:rPr>
        <w:t xml:space="preserve">some fire suppressions systems where </w:t>
      </w:r>
      <w:r w:rsidR="00FA534B" w:rsidRPr="00DD1B58">
        <w:rPr>
          <w:lang w:val="en-US" w:eastAsia="en-GB" w:bidi="ar-SA"/>
        </w:rPr>
        <w:t xml:space="preserve">they </w:t>
      </w:r>
      <w:r w:rsidR="0023092F" w:rsidRPr="00DD1B58">
        <w:rPr>
          <w:lang w:val="en-US" w:eastAsia="en-GB" w:bidi="ar-SA"/>
        </w:rPr>
        <w:t>could lead to excess moderator being</w:t>
      </w:r>
      <w:r w:rsidR="00107AF6" w:rsidRPr="00DD1B58">
        <w:rPr>
          <w:lang w:val="en-US" w:eastAsia="en-GB" w:bidi="ar-SA"/>
        </w:rPr>
        <w:t xml:space="preserve"> </w:t>
      </w:r>
      <w:r w:rsidR="0023092F" w:rsidRPr="00DD1B58">
        <w:rPr>
          <w:lang w:val="en-US" w:eastAsia="en-GB" w:bidi="ar-SA"/>
        </w:rPr>
        <w:t xml:space="preserve">introduced to nuclear inventories. Where these situations exist, </w:t>
      </w:r>
      <w:r w:rsidRPr="00DD1B58">
        <w:rPr>
          <w:lang w:val="en-US" w:eastAsia="en-GB" w:bidi="ar-SA"/>
        </w:rPr>
        <w:t xml:space="preserve">UUK acknowledges that </w:t>
      </w:r>
      <w:r w:rsidR="0023092F" w:rsidRPr="00DD1B58">
        <w:rPr>
          <w:lang w:val="en-US" w:eastAsia="en-GB" w:bidi="ar-SA"/>
        </w:rPr>
        <w:t>the balance of the safety argument</w:t>
      </w:r>
      <w:r w:rsidR="00107AF6" w:rsidRPr="00DD1B58">
        <w:rPr>
          <w:lang w:val="en-US" w:eastAsia="en-GB" w:bidi="ar-SA"/>
        </w:rPr>
        <w:t xml:space="preserve"> </w:t>
      </w:r>
      <w:r w:rsidR="0023092F" w:rsidRPr="00DD1B58">
        <w:rPr>
          <w:lang w:val="en-US" w:eastAsia="en-GB" w:bidi="ar-SA"/>
        </w:rPr>
        <w:t>must be considered.</w:t>
      </w:r>
    </w:p>
    <w:p w14:paraId="6EA1B335" w14:textId="77777777" w:rsidR="00A81BC9" w:rsidRPr="00DD1B58" w:rsidRDefault="00A81BC9" w:rsidP="60E054AF">
      <w:pPr>
        <w:autoSpaceDE w:val="0"/>
        <w:autoSpaceDN w:val="0"/>
        <w:adjustRightInd w:val="0"/>
        <w:spacing w:after="0" w:line="240" w:lineRule="auto"/>
        <w:rPr>
          <w:lang w:val="en-US" w:eastAsia="en-GB" w:bidi="ar-SA"/>
        </w:rPr>
      </w:pPr>
    </w:p>
    <w:p w14:paraId="59C92522" w14:textId="3A26C0D2" w:rsidR="00BA1DAB" w:rsidRPr="00DD1B58" w:rsidRDefault="00063614" w:rsidP="60E054AF">
      <w:pPr>
        <w:autoSpaceDE w:val="0"/>
        <w:autoSpaceDN w:val="0"/>
        <w:adjustRightInd w:val="0"/>
        <w:spacing w:after="0" w:line="240" w:lineRule="auto"/>
        <w:rPr>
          <w:lang w:val="en-US" w:eastAsia="en-GB" w:bidi="ar-SA"/>
        </w:rPr>
      </w:pPr>
      <w:r w:rsidRPr="00DD1B58">
        <w:rPr>
          <w:lang w:val="en-US" w:eastAsia="en-GB" w:bidi="ar-SA"/>
        </w:rPr>
        <w:t>As previously reported</w:t>
      </w:r>
      <w:r w:rsidR="00D85DEF" w:rsidRPr="00DD1B58">
        <w:rPr>
          <w:lang w:val="en-US" w:eastAsia="en-GB" w:bidi="ar-SA"/>
        </w:rPr>
        <w:t>,</w:t>
      </w:r>
      <w:r w:rsidRPr="00DD1B58">
        <w:rPr>
          <w:lang w:val="en-US" w:eastAsia="en-GB" w:bidi="ar-SA"/>
        </w:rPr>
        <w:t xml:space="preserve"> regulatory interventions at Capenhurst</w:t>
      </w:r>
      <w:r w:rsidR="00D85DEF" w:rsidRPr="00DD1B58">
        <w:rPr>
          <w:lang w:val="en-US" w:eastAsia="en-GB" w:bidi="ar-SA"/>
        </w:rPr>
        <w:t xml:space="preserve"> </w:t>
      </w:r>
      <w:r w:rsidR="0023092F" w:rsidRPr="00DD1B58">
        <w:rPr>
          <w:lang w:val="en-US" w:eastAsia="en-GB" w:bidi="ar-SA"/>
        </w:rPr>
        <w:t>identified that improvements were warranted and subsequently fire detection</w:t>
      </w:r>
      <w:r w:rsidR="00BA1DAB" w:rsidRPr="00DD1B58">
        <w:rPr>
          <w:lang w:val="en-US" w:eastAsia="en-GB" w:bidi="ar-SA"/>
        </w:rPr>
        <w:t xml:space="preserve"> </w:t>
      </w:r>
      <w:r w:rsidR="0023092F" w:rsidRPr="00DD1B58">
        <w:rPr>
          <w:lang w:val="en-US" w:eastAsia="en-GB" w:bidi="ar-SA"/>
        </w:rPr>
        <w:t>systems are undergoing upgrade to a single specification of Category L1 (Maximum Life</w:t>
      </w:r>
      <w:r w:rsidR="00BA1DAB" w:rsidRPr="00DD1B58">
        <w:rPr>
          <w:lang w:val="en-US" w:eastAsia="en-GB" w:bidi="ar-SA"/>
        </w:rPr>
        <w:t xml:space="preserve"> </w:t>
      </w:r>
      <w:r w:rsidR="0023092F" w:rsidRPr="00DD1B58">
        <w:rPr>
          <w:lang w:val="en-US" w:eastAsia="en-GB" w:bidi="ar-SA"/>
        </w:rPr>
        <w:t>Protection)</w:t>
      </w:r>
      <w:r w:rsidR="007C3F42" w:rsidRPr="00DD1B58">
        <w:rPr>
          <w:lang w:val="en-US" w:eastAsia="en-GB" w:bidi="ar-SA"/>
        </w:rPr>
        <w:t>/</w:t>
      </w:r>
      <w:r w:rsidR="0023092F" w:rsidRPr="00DD1B58">
        <w:rPr>
          <w:lang w:val="en-US" w:eastAsia="en-GB" w:bidi="ar-SA"/>
        </w:rPr>
        <w:t>P1 (Maximum Property Protection) as defined in BS5839-1:2017</w:t>
      </w:r>
      <w:r w:rsidR="00091181" w:rsidRPr="00DD1B58">
        <w:rPr>
          <w:lang w:val="en-US" w:eastAsia="en-GB" w:bidi="ar-SA"/>
        </w:rPr>
        <w:t xml:space="preserve"> </w:t>
      </w:r>
      <w:sdt>
        <w:sdtPr>
          <w:rPr>
            <w:lang w:val="en-US" w:eastAsia="en-GB" w:bidi="ar-SA"/>
          </w:rPr>
          <w:id w:val="481123302"/>
          <w:citation/>
        </w:sdtPr>
        <w:sdtContent>
          <w:r w:rsidR="00091181" w:rsidRPr="00DD1B58">
            <w:rPr>
              <w:lang w:val="en-US" w:eastAsia="en-GB" w:bidi="ar-SA"/>
            </w:rPr>
            <w:fldChar w:fldCharType="begin"/>
          </w:r>
          <w:r w:rsidR="00091181" w:rsidRPr="00DD1B58">
            <w:rPr>
              <w:lang w:val="en-US" w:eastAsia="en-GB" w:bidi="ar-SA"/>
            </w:rPr>
            <w:instrText xml:space="preserve"> CITATION BS5839 \l 2057 </w:instrText>
          </w:r>
          <w:r w:rsidR="00091181" w:rsidRPr="00DD1B58">
            <w:rPr>
              <w:lang w:val="en-US" w:eastAsia="en-GB" w:bidi="ar-SA"/>
            </w:rPr>
            <w:fldChar w:fldCharType="separate"/>
          </w:r>
          <w:r w:rsidR="00DF47DA" w:rsidRPr="00DF47DA">
            <w:rPr>
              <w:noProof/>
              <w:lang w:val="en-US" w:eastAsia="en-GB" w:bidi="ar-SA"/>
            </w:rPr>
            <w:t>[179]</w:t>
          </w:r>
          <w:r w:rsidR="00091181" w:rsidRPr="00DD1B58">
            <w:rPr>
              <w:lang w:val="en-US" w:eastAsia="en-GB" w:bidi="ar-SA"/>
            </w:rPr>
            <w:fldChar w:fldCharType="end"/>
          </w:r>
        </w:sdtContent>
      </w:sdt>
      <w:r w:rsidR="0023092F" w:rsidRPr="00DD1B58">
        <w:rPr>
          <w:lang w:val="en-US" w:eastAsia="en-GB" w:bidi="ar-SA"/>
        </w:rPr>
        <w:t xml:space="preserve">. </w:t>
      </w:r>
      <w:r w:rsidR="009441D3" w:rsidRPr="00DD1B58">
        <w:rPr>
          <w:lang w:val="en-US" w:eastAsia="en-GB" w:bidi="ar-SA"/>
        </w:rPr>
        <w:t xml:space="preserve">UUK </w:t>
      </w:r>
      <w:r w:rsidR="006D798B" w:rsidRPr="00DD1B58">
        <w:rPr>
          <w:lang w:val="en-US" w:eastAsia="en-GB" w:bidi="ar-SA"/>
        </w:rPr>
        <w:t>states that</w:t>
      </w:r>
      <w:r w:rsidR="009441D3" w:rsidRPr="00DD1B58">
        <w:rPr>
          <w:lang w:val="en-US" w:eastAsia="en-GB" w:bidi="ar-SA"/>
        </w:rPr>
        <w:t xml:space="preserve"> the </w:t>
      </w:r>
      <w:r w:rsidR="0023092F" w:rsidRPr="00DD1B58">
        <w:rPr>
          <w:lang w:val="en-US" w:eastAsia="en-GB" w:bidi="ar-SA"/>
        </w:rPr>
        <w:t>systems are</w:t>
      </w:r>
      <w:r w:rsidR="00BA1DAB" w:rsidRPr="00DD1B58">
        <w:rPr>
          <w:lang w:val="en-US" w:eastAsia="en-GB" w:bidi="ar-SA"/>
        </w:rPr>
        <w:t xml:space="preserve"> </w:t>
      </w:r>
      <w:r w:rsidR="0023092F" w:rsidRPr="00DD1B58">
        <w:rPr>
          <w:lang w:val="en-US" w:eastAsia="en-GB" w:bidi="ar-SA"/>
        </w:rPr>
        <w:t>not currently required to satisfy any nuclear safety classification.</w:t>
      </w:r>
      <w:r w:rsidR="009441D3" w:rsidRPr="00DD1B58">
        <w:rPr>
          <w:lang w:val="en-US" w:eastAsia="en-GB" w:bidi="ar-SA"/>
        </w:rPr>
        <w:t xml:space="preserve"> UUK also </w:t>
      </w:r>
      <w:r w:rsidR="006D798B" w:rsidRPr="00DD1B58">
        <w:rPr>
          <w:lang w:val="en-US" w:eastAsia="en-GB" w:bidi="ar-SA"/>
        </w:rPr>
        <w:t>states that</w:t>
      </w:r>
      <w:r w:rsidR="009441D3" w:rsidRPr="00DD1B58">
        <w:rPr>
          <w:lang w:val="en-US" w:eastAsia="en-GB" w:bidi="ar-SA"/>
        </w:rPr>
        <w:t xml:space="preserve"> it considers</w:t>
      </w:r>
      <w:r w:rsidR="00884124" w:rsidRPr="00DD1B58">
        <w:rPr>
          <w:lang w:val="en-US" w:eastAsia="en-GB" w:bidi="ar-SA"/>
        </w:rPr>
        <w:t xml:space="preserve"> </w:t>
      </w:r>
      <w:r w:rsidR="009441D3" w:rsidRPr="00DD1B58">
        <w:rPr>
          <w:lang w:val="en-US" w:eastAsia="en-GB" w:bidi="ar-SA"/>
        </w:rPr>
        <w:t>a</w:t>
      </w:r>
      <w:r w:rsidR="0023092F" w:rsidRPr="00DD1B58">
        <w:rPr>
          <w:lang w:val="en-US" w:eastAsia="en-GB" w:bidi="ar-SA"/>
        </w:rPr>
        <w:t xml:space="preserve">ll buildings on site </w:t>
      </w:r>
      <w:r w:rsidR="009441D3" w:rsidRPr="00DD1B58">
        <w:rPr>
          <w:lang w:val="en-US" w:eastAsia="en-GB" w:bidi="ar-SA"/>
        </w:rPr>
        <w:t xml:space="preserve">to </w:t>
      </w:r>
      <w:r w:rsidR="0023092F" w:rsidRPr="00DD1B58">
        <w:rPr>
          <w:lang w:val="en-US" w:eastAsia="en-GB" w:bidi="ar-SA"/>
        </w:rPr>
        <w:t>currently exceed the minimum legal requirement for manual systems and have</w:t>
      </w:r>
      <w:r w:rsidR="00BA1DAB" w:rsidRPr="00DD1B58">
        <w:rPr>
          <w:lang w:val="en-US" w:eastAsia="en-GB" w:bidi="ar-SA"/>
        </w:rPr>
        <w:t xml:space="preserve"> </w:t>
      </w:r>
      <w:r w:rsidR="0023092F" w:rsidRPr="00DD1B58">
        <w:rPr>
          <w:lang w:val="en-US" w:eastAsia="en-GB" w:bidi="ar-SA"/>
        </w:rPr>
        <w:t xml:space="preserve">automatic detection devices in the form of heat, smoke, </w:t>
      </w:r>
      <w:r w:rsidR="00A81BC9" w:rsidRPr="00DD1B58">
        <w:rPr>
          <w:lang w:val="en-US" w:eastAsia="en-GB" w:bidi="ar-SA"/>
        </w:rPr>
        <w:t>aspiration,</w:t>
      </w:r>
      <w:r w:rsidR="0023092F" w:rsidRPr="00DD1B58">
        <w:rPr>
          <w:lang w:val="en-US" w:eastAsia="en-GB" w:bidi="ar-SA"/>
        </w:rPr>
        <w:t xml:space="preserve"> and beam masters. </w:t>
      </w:r>
      <w:r w:rsidR="00011C06" w:rsidRPr="00DD1B58">
        <w:rPr>
          <w:lang w:val="en-US" w:eastAsia="en-GB" w:bidi="ar-SA"/>
        </w:rPr>
        <w:t xml:space="preserve">UUK </w:t>
      </w:r>
      <w:r w:rsidR="006D798B" w:rsidRPr="00DD1B58">
        <w:rPr>
          <w:lang w:val="en-US" w:eastAsia="en-GB" w:bidi="ar-SA"/>
        </w:rPr>
        <w:t xml:space="preserve">reports </w:t>
      </w:r>
      <w:r w:rsidR="00011C06" w:rsidRPr="00DD1B58">
        <w:rPr>
          <w:lang w:val="en-US" w:eastAsia="en-GB" w:bidi="ar-SA"/>
        </w:rPr>
        <w:t xml:space="preserve">it </w:t>
      </w:r>
      <w:r w:rsidR="0023092F" w:rsidRPr="00DD1B58">
        <w:rPr>
          <w:lang w:val="en-US" w:eastAsia="en-GB" w:bidi="ar-SA"/>
        </w:rPr>
        <w:t>has</w:t>
      </w:r>
      <w:r w:rsidR="00BA1DAB" w:rsidRPr="00DD1B58">
        <w:rPr>
          <w:lang w:val="en-US" w:eastAsia="en-GB" w:bidi="ar-SA"/>
        </w:rPr>
        <w:t xml:space="preserve"> </w:t>
      </w:r>
      <w:r w:rsidR="00011C06" w:rsidRPr="00DD1B58">
        <w:rPr>
          <w:lang w:val="en-US" w:eastAsia="en-GB" w:bidi="ar-SA"/>
        </w:rPr>
        <w:t xml:space="preserve">made </w:t>
      </w:r>
      <w:r w:rsidR="0023092F" w:rsidRPr="00DD1B58">
        <w:rPr>
          <w:lang w:val="en-US" w:eastAsia="en-GB" w:bidi="ar-SA"/>
        </w:rPr>
        <w:t>a business decision to deliver a single standard delivering cost efficiency and standardisation</w:t>
      </w:r>
      <w:r w:rsidR="00BA1DAB" w:rsidRPr="00DD1B58">
        <w:rPr>
          <w:lang w:val="en-US" w:eastAsia="en-GB" w:bidi="ar-SA"/>
        </w:rPr>
        <w:t xml:space="preserve"> </w:t>
      </w:r>
      <w:r w:rsidR="0023092F" w:rsidRPr="00DD1B58">
        <w:rPr>
          <w:lang w:val="en-US" w:eastAsia="en-GB" w:bidi="ar-SA"/>
        </w:rPr>
        <w:t>for inspection and maintenance.</w:t>
      </w:r>
    </w:p>
    <w:p w14:paraId="14A26AFC" w14:textId="77777777" w:rsidR="00BA1DAB" w:rsidRPr="00DD1B58" w:rsidRDefault="00BA1DAB" w:rsidP="60E054AF">
      <w:pPr>
        <w:autoSpaceDE w:val="0"/>
        <w:autoSpaceDN w:val="0"/>
        <w:adjustRightInd w:val="0"/>
        <w:spacing w:after="0" w:line="240" w:lineRule="auto"/>
        <w:rPr>
          <w:lang w:val="en-US" w:eastAsia="en-GB" w:bidi="ar-SA"/>
        </w:rPr>
      </w:pPr>
    </w:p>
    <w:p w14:paraId="2FB99FFA" w14:textId="79A76D5A" w:rsidR="002A5A06" w:rsidRPr="00DD1B58" w:rsidRDefault="00011C06" w:rsidP="60E054AF">
      <w:pPr>
        <w:autoSpaceDE w:val="0"/>
        <w:autoSpaceDN w:val="0"/>
        <w:adjustRightInd w:val="0"/>
        <w:spacing w:after="0" w:line="240" w:lineRule="auto"/>
        <w:rPr>
          <w:lang w:val="en-US" w:eastAsia="en-GB" w:bidi="ar-SA"/>
        </w:rPr>
      </w:pPr>
      <w:r w:rsidRPr="00DD1B58">
        <w:rPr>
          <w:lang w:val="en-US" w:eastAsia="en-GB" w:bidi="ar-SA"/>
        </w:rPr>
        <w:t xml:space="preserve">UUK also </w:t>
      </w:r>
      <w:r w:rsidR="006D798B" w:rsidRPr="00DD1B58">
        <w:rPr>
          <w:lang w:val="en-US" w:eastAsia="en-GB" w:bidi="ar-SA"/>
        </w:rPr>
        <w:t>states that</w:t>
      </w:r>
      <w:r w:rsidRPr="00DD1B58">
        <w:rPr>
          <w:lang w:val="en-US" w:eastAsia="en-GB" w:bidi="ar-SA"/>
        </w:rPr>
        <w:t xml:space="preserve"> a</w:t>
      </w:r>
      <w:r w:rsidR="0023092F" w:rsidRPr="00DD1B58">
        <w:rPr>
          <w:lang w:val="en-US" w:eastAsia="en-GB" w:bidi="ar-SA"/>
        </w:rPr>
        <w:t>ctivation of any fire detection system across the site alarm locally and are notified via the</w:t>
      </w:r>
      <w:r w:rsidR="00884124" w:rsidRPr="00DD1B58">
        <w:rPr>
          <w:lang w:val="en-US" w:eastAsia="en-GB" w:bidi="ar-SA"/>
        </w:rPr>
        <w:t xml:space="preserve"> </w:t>
      </w:r>
      <w:r w:rsidR="0023092F" w:rsidRPr="00DD1B58">
        <w:rPr>
          <w:lang w:val="en-US" w:eastAsia="en-GB" w:bidi="ar-SA"/>
        </w:rPr>
        <w:t>Supervisory Control and Data Acquisition (SCADA) system or auto-dial to the site Emergency</w:t>
      </w:r>
      <w:r w:rsidR="00EB60E4" w:rsidRPr="00DD1B58">
        <w:rPr>
          <w:lang w:val="en-US" w:eastAsia="en-GB" w:bidi="ar-SA"/>
        </w:rPr>
        <w:t xml:space="preserve"> </w:t>
      </w:r>
      <w:r w:rsidR="0023092F" w:rsidRPr="00DD1B58">
        <w:rPr>
          <w:lang w:val="en-US" w:eastAsia="en-GB" w:bidi="ar-SA"/>
        </w:rPr>
        <w:t>Control Centre.</w:t>
      </w:r>
    </w:p>
    <w:p w14:paraId="7F3B08A4" w14:textId="77777777" w:rsidR="00EB60E4" w:rsidRPr="00DD1B58" w:rsidRDefault="00EB60E4" w:rsidP="60E054AF">
      <w:pPr>
        <w:autoSpaceDE w:val="0"/>
        <w:autoSpaceDN w:val="0"/>
        <w:adjustRightInd w:val="0"/>
        <w:spacing w:after="0" w:line="240" w:lineRule="auto"/>
        <w:rPr>
          <w:lang w:val="en-US" w:eastAsia="en-GB" w:bidi="ar-SA"/>
        </w:rPr>
      </w:pPr>
    </w:p>
    <w:p w14:paraId="16C77F15" w14:textId="77777777" w:rsidR="00DF3B89" w:rsidRPr="00DD1B58" w:rsidRDefault="00DF3B89" w:rsidP="00177432">
      <w:pPr>
        <w:pStyle w:val="Heading5A"/>
        <w:numPr>
          <w:ilvl w:val="5"/>
          <w:numId w:val="7"/>
        </w:numPr>
        <w:rPr>
          <w:lang w:val="en-US"/>
        </w:rPr>
      </w:pPr>
      <w:r w:rsidRPr="00DD1B58">
        <w:rPr>
          <w:lang w:val="en-US"/>
        </w:rPr>
        <w:t>Design Approach</w:t>
      </w:r>
    </w:p>
    <w:p w14:paraId="352C77F7" w14:textId="141A739D" w:rsidR="00D01D84" w:rsidRPr="00DD1B58" w:rsidRDefault="00FE2FF4" w:rsidP="60E054AF">
      <w:pPr>
        <w:autoSpaceDE w:val="0"/>
        <w:autoSpaceDN w:val="0"/>
        <w:adjustRightInd w:val="0"/>
        <w:spacing w:after="0" w:line="240" w:lineRule="auto"/>
        <w:rPr>
          <w:lang w:val="en-US" w:eastAsia="en-GB" w:bidi="ar-SA"/>
        </w:rPr>
      </w:pPr>
      <w:r w:rsidRPr="00DD1B58">
        <w:rPr>
          <w:lang w:val="en-US"/>
        </w:rPr>
        <w:t>UUK</w:t>
      </w:r>
      <w:r w:rsidR="00D40824" w:rsidRPr="00DD1B58">
        <w:rPr>
          <w:lang w:val="en-US"/>
        </w:rPr>
        <w:t xml:space="preserve"> </w:t>
      </w:r>
      <w:r w:rsidR="006D798B" w:rsidRPr="00DD1B58">
        <w:rPr>
          <w:lang w:val="en-US"/>
        </w:rPr>
        <w:t>reports that</w:t>
      </w:r>
      <w:r w:rsidR="00D40824" w:rsidRPr="00DD1B58">
        <w:rPr>
          <w:lang w:val="en-US"/>
        </w:rPr>
        <w:t xml:space="preserve"> its </w:t>
      </w:r>
      <w:r w:rsidR="002261C2" w:rsidRPr="00DD1B58">
        <w:rPr>
          <w:lang w:val="en-US"/>
        </w:rPr>
        <w:t xml:space="preserve">design approach </w:t>
      </w:r>
      <w:r w:rsidR="00D40824" w:rsidRPr="00DD1B58">
        <w:rPr>
          <w:lang w:val="en-US"/>
        </w:rPr>
        <w:t>is</w:t>
      </w:r>
      <w:r w:rsidR="00D01D84" w:rsidRPr="00DD1B58">
        <w:rPr>
          <w:lang w:val="en-US"/>
        </w:rPr>
        <w:t xml:space="preserve"> </w:t>
      </w:r>
      <w:r w:rsidR="00D01D84" w:rsidRPr="00DD1B58">
        <w:rPr>
          <w:lang w:val="en-US" w:eastAsia="en-GB" w:bidi="ar-SA"/>
        </w:rPr>
        <w:t>based upon practical design and application taking into</w:t>
      </w:r>
      <w:r w:rsidRPr="00DD1B58">
        <w:rPr>
          <w:lang w:val="en-US" w:eastAsia="en-GB" w:bidi="ar-SA"/>
        </w:rPr>
        <w:t xml:space="preserve"> </w:t>
      </w:r>
      <w:r w:rsidR="00D01D84" w:rsidRPr="00DD1B58">
        <w:rPr>
          <w:lang w:val="en-US" w:eastAsia="en-GB" w:bidi="ar-SA"/>
        </w:rPr>
        <w:t>account devices available on the market compatible with the control system. Installation and</w:t>
      </w:r>
      <w:r w:rsidR="00EB60E4" w:rsidRPr="00DD1B58">
        <w:rPr>
          <w:lang w:val="en-US" w:eastAsia="en-GB" w:bidi="ar-SA"/>
        </w:rPr>
        <w:t xml:space="preserve"> </w:t>
      </w:r>
      <w:r w:rsidR="00D01D84" w:rsidRPr="00DD1B58">
        <w:rPr>
          <w:lang w:val="en-US" w:eastAsia="en-GB" w:bidi="ar-SA"/>
        </w:rPr>
        <w:t xml:space="preserve">maintenance are significant factors upon selection and system design </w:t>
      </w:r>
      <w:r w:rsidR="00F01781" w:rsidRPr="00DD1B58">
        <w:rPr>
          <w:lang w:val="en-US" w:eastAsia="en-GB" w:bidi="ar-SA"/>
        </w:rPr>
        <w:t>as it</w:t>
      </w:r>
      <w:r w:rsidR="008D07D6" w:rsidRPr="00DD1B58">
        <w:rPr>
          <w:lang w:val="en-US" w:eastAsia="en-GB" w:bidi="ar-SA"/>
        </w:rPr>
        <w:t xml:space="preserve"> does </w:t>
      </w:r>
      <w:r w:rsidR="00D01D84" w:rsidRPr="00DD1B58">
        <w:rPr>
          <w:lang w:val="en-US" w:eastAsia="en-GB" w:bidi="ar-SA"/>
        </w:rPr>
        <w:t>not require</w:t>
      </w:r>
      <w:r w:rsidR="008D07D6" w:rsidRPr="00DD1B58">
        <w:rPr>
          <w:lang w:val="en-US" w:eastAsia="en-GB" w:bidi="ar-SA"/>
        </w:rPr>
        <w:t xml:space="preserve"> the systems</w:t>
      </w:r>
      <w:r w:rsidR="00D01D84" w:rsidRPr="00DD1B58">
        <w:rPr>
          <w:lang w:val="en-US" w:eastAsia="en-GB" w:bidi="ar-SA"/>
        </w:rPr>
        <w:t xml:space="preserve"> for</w:t>
      </w:r>
      <w:r w:rsidR="00EB60E4" w:rsidRPr="00DD1B58">
        <w:rPr>
          <w:lang w:val="en-US" w:eastAsia="en-GB" w:bidi="ar-SA"/>
        </w:rPr>
        <w:t xml:space="preserve"> </w:t>
      </w:r>
      <w:r w:rsidR="00D01D84" w:rsidRPr="00DD1B58">
        <w:rPr>
          <w:lang w:val="en-US" w:eastAsia="en-GB" w:bidi="ar-SA"/>
        </w:rPr>
        <w:t>nuclear safety justification:</w:t>
      </w:r>
    </w:p>
    <w:p w14:paraId="06031979" w14:textId="77777777" w:rsidR="00426021" w:rsidRPr="00DD1B58" w:rsidRDefault="00426021" w:rsidP="60E054AF">
      <w:pPr>
        <w:autoSpaceDE w:val="0"/>
        <w:autoSpaceDN w:val="0"/>
        <w:adjustRightInd w:val="0"/>
        <w:spacing w:after="0" w:line="240" w:lineRule="auto"/>
        <w:rPr>
          <w:lang w:val="en-US" w:eastAsia="en-GB" w:bidi="ar-SA"/>
        </w:rPr>
      </w:pPr>
    </w:p>
    <w:p w14:paraId="3FF4E929" w14:textId="77777777" w:rsidR="00D01D84" w:rsidRPr="00DD1B58" w:rsidRDefault="00D01D84" w:rsidP="00426021">
      <w:pPr>
        <w:pStyle w:val="Bulletlist1"/>
        <w:rPr>
          <w:lang w:val="en-US" w:eastAsia="en-GB" w:bidi="ar-SA"/>
        </w:rPr>
      </w:pPr>
      <w:r w:rsidRPr="00DD1B58">
        <w:rPr>
          <w:lang w:val="en-US" w:eastAsia="en-GB" w:bidi="ar-SA"/>
        </w:rPr>
        <w:t>Standard heat/smoke point detection is applied predominantly to office, small workshop locations.</w:t>
      </w:r>
    </w:p>
    <w:p w14:paraId="31A19832" w14:textId="77777777" w:rsidR="00D01D84" w:rsidRPr="00DD1B58" w:rsidRDefault="00D01D84" w:rsidP="00426021">
      <w:pPr>
        <w:pStyle w:val="Bulletlist1"/>
        <w:rPr>
          <w:lang w:val="en-US" w:eastAsia="en-GB" w:bidi="ar-SA"/>
        </w:rPr>
      </w:pPr>
      <w:r w:rsidRPr="00DD1B58">
        <w:rPr>
          <w:lang w:val="en-US" w:eastAsia="en-GB" w:bidi="ar-SA"/>
        </w:rPr>
        <w:t>Beam masters are utilised to cover large compartments such as cascade hall, process and service corridors.</w:t>
      </w:r>
    </w:p>
    <w:p w14:paraId="1F5888E3" w14:textId="77777777" w:rsidR="00D01D84" w:rsidRPr="00DD1B58" w:rsidRDefault="00D01D84" w:rsidP="00426021">
      <w:pPr>
        <w:pStyle w:val="Bulletlist1"/>
        <w:rPr>
          <w:lang w:val="en-US" w:eastAsia="en-GB" w:bidi="ar-SA"/>
        </w:rPr>
      </w:pPr>
      <w:r w:rsidRPr="00DD1B58">
        <w:rPr>
          <w:lang w:val="en-US" w:eastAsia="en-GB" w:bidi="ar-SA"/>
        </w:rPr>
        <w:t>Aspiration systems are installed in voids in excess of 800mm and within some areas of the above subject to physical configuration of the compartments.</w:t>
      </w:r>
    </w:p>
    <w:p w14:paraId="22883453" w14:textId="77777777" w:rsidR="00D01D84" w:rsidRPr="00DD1B58" w:rsidRDefault="00D01D84" w:rsidP="00426021">
      <w:pPr>
        <w:pStyle w:val="Bulletlist1"/>
        <w:rPr>
          <w:lang w:val="en-US" w:eastAsia="en-GB" w:bidi="ar-SA"/>
        </w:rPr>
      </w:pPr>
      <w:r w:rsidRPr="00DD1B58">
        <w:rPr>
          <w:lang w:val="en-US" w:eastAsia="en-GB" w:bidi="ar-SA"/>
        </w:rPr>
        <w:t>Bespoke flame detection for pressurised hydrogen systems.</w:t>
      </w:r>
    </w:p>
    <w:p w14:paraId="5E4C0F0B" w14:textId="55D205EE" w:rsidR="00D01D84" w:rsidRPr="00DD1B58" w:rsidRDefault="005374C4"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the </w:t>
      </w:r>
      <w:r w:rsidR="00D01D84" w:rsidRPr="00DD1B58">
        <w:rPr>
          <w:lang w:val="en-US" w:eastAsia="en-GB" w:bidi="ar-SA"/>
        </w:rPr>
        <w:t>approach reduces the requirement for variations to the British Standard and introduces easily</w:t>
      </w:r>
      <w:r w:rsidR="00EB60E4" w:rsidRPr="00DD1B58">
        <w:rPr>
          <w:lang w:val="en-US" w:eastAsia="en-GB" w:bidi="ar-SA"/>
        </w:rPr>
        <w:t xml:space="preserve"> </w:t>
      </w:r>
      <w:r w:rsidR="00D01D84" w:rsidRPr="00DD1B58">
        <w:rPr>
          <w:lang w:val="en-US" w:eastAsia="en-GB" w:bidi="ar-SA"/>
        </w:rPr>
        <w:t>maintainable equipment within radiological areas providing worker protection during installation</w:t>
      </w:r>
      <w:r w:rsidR="00EB60E4" w:rsidRPr="00DD1B58">
        <w:rPr>
          <w:lang w:val="en-US" w:eastAsia="en-GB" w:bidi="ar-SA"/>
        </w:rPr>
        <w:t xml:space="preserve"> </w:t>
      </w:r>
      <w:r w:rsidR="00D01D84" w:rsidRPr="00DD1B58">
        <w:rPr>
          <w:lang w:val="en-US" w:eastAsia="en-GB" w:bidi="ar-SA"/>
        </w:rPr>
        <w:t>and maintenance.</w:t>
      </w:r>
    </w:p>
    <w:p w14:paraId="26EA105C" w14:textId="77777777" w:rsidR="00D01D84" w:rsidRPr="00DD1B58" w:rsidRDefault="00D01D84" w:rsidP="60E054AF">
      <w:pPr>
        <w:autoSpaceDE w:val="0"/>
        <w:autoSpaceDN w:val="0"/>
        <w:adjustRightInd w:val="0"/>
        <w:spacing w:after="0" w:line="240" w:lineRule="auto"/>
        <w:rPr>
          <w:lang w:val="en-US" w:eastAsia="en-GB" w:bidi="ar-SA"/>
        </w:rPr>
      </w:pPr>
    </w:p>
    <w:p w14:paraId="7C825A75" w14:textId="2F7CDFE9" w:rsidR="00DC62A3" w:rsidRPr="00DD1B58" w:rsidRDefault="005374C4" w:rsidP="60E054AF">
      <w:pPr>
        <w:autoSpaceDE w:val="0"/>
        <w:autoSpaceDN w:val="0"/>
        <w:adjustRightInd w:val="0"/>
        <w:spacing w:after="0" w:line="240" w:lineRule="auto"/>
        <w:rPr>
          <w:lang w:val="en-US" w:eastAsia="en-GB" w:bidi="ar-SA"/>
        </w:rPr>
      </w:pPr>
      <w:r w:rsidRPr="00DD1B58">
        <w:rPr>
          <w:lang w:val="en-US" w:eastAsia="en-GB" w:bidi="ar-SA"/>
        </w:rPr>
        <w:t>UUK a</w:t>
      </w:r>
      <w:r w:rsidR="00D01D84" w:rsidRPr="00DD1B58">
        <w:rPr>
          <w:lang w:val="en-US" w:eastAsia="en-GB" w:bidi="ar-SA"/>
        </w:rPr>
        <w:t>udible devices are installed in all areas (typically bell</w:t>
      </w:r>
      <w:r w:rsidRPr="00DD1B58">
        <w:rPr>
          <w:lang w:val="en-US" w:eastAsia="en-GB" w:bidi="ar-SA"/>
        </w:rPr>
        <w:t>-</w:t>
      </w:r>
      <w:r w:rsidR="00D01D84" w:rsidRPr="00DD1B58">
        <w:rPr>
          <w:lang w:val="en-US" w:eastAsia="en-GB" w:bidi="ar-SA"/>
        </w:rPr>
        <w:t>type sounders) set to 65dB(A) +/- 5dB(A).</w:t>
      </w:r>
      <w:r w:rsidR="00EB60E4" w:rsidRPr="00DD1B58">
        <w:rPr>
          <w:lang w:val="en-US" w:eastAsia="en-GB" w:bidi="ar-SA"/>
        </w:rPr>
        <w:t xml:space="preserve"> </w:t>
      </w: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v</w:t>
      </w:r>
      <w:r w:rsidR="00D01D84" w:rsidRPr="00DD1B58">
        <w:rPr>
          <w:lang w:val="en-US" w:eastAsia="en-GB" w:bidi="ar-SA"/>
        </w:rPr>
        <w:t>isual alarm devices (meeting BS EN 54-23</w:t>
      </w:r>
      <w:sdt>
        <w:sdtPr>
          <w:rPr>
            <w:lang w:val="en-US" w:eastAsia="en-GB" w:bidi="ar-SA"/>
          </w:rPr>
          <w:id w:val="-1110348497"/>
          <w:citation/>
        </w:sdtPr>
        <w:sdtContent>
          <w:r w:rsidR="00072887" w:rsidRPr="00DD1B58">
            <w:rPr>
              <w:lang w:val="en-US" w:eastAsia="en-GB" w:bidi="ar-SA"/>
            </w:rPr>
            <w:fldChar w:fldCharType="begin"/>
          </w:r>
          <w:r w:rsidR="00072887" w:rsidRPr="00DD1B58">
            <w:rPr>
              <w:lang w:val="en-US" w:eastAsia="en-GB" w:bidi="ar-SA"/>
            </w:rPr>
            <w:instrText xml:space="preserve"> CITATION Bri2010 \l 2057 </w:instrText>
          </w:r>
          <w:r w:rsidR="00072887" w:rsidRPr="00DD1B58">
            <w:rPr>
              <w:lang w:val="en-US" w:eastAsia="en-GB" w:bidi="ar-SA"/>
            </w:rPr>
            <w:fldChar w:fldCharType="separate"/>
          </w:r>
          <w:r w:rsidR="00DF47DA">
            <w:rPr>
              <w:noProof/>
              <w:lang w:val="en-US" w:eastAsia="en-GB" w:bidi="ar-SA"/>
            </w:rPr>
            <w:t xml:space="preserve"> </w:t>
          </w:r>
          <w:r w:rsidR="00DF47DA" w:rsidRPr="00DF47DA">
            <w:rPr>
              <w:noProof/>
              <w:lang w:val="en-US" w:eastAsia="en-GB" w:bidi="ar-SA"/>
            </w:rPr>
            <w:t>[181]</w:t>
          </w:r>
          <w:r w:rsidR="00072887" w:rsidRPr="00DD1B58">
            <w:rPr>
              <w:lang w:val="en-US" w:eastAsia="en-GB" w:bidi="ar-SA"/>
            </w:rPr>
            <w:fldChar w:fldCharType="end"/>
          </w:r>
        </w:sdtContent>
      </w:sdt>
      <w:r w:rsidR="00D01D84" w:rsidRPr="00DD1B58">
        <w:rPr>
          <w:lang w:val="en-US" w:eastAsia="en-GB" w:bidi="ar-SA"/>
        </w:rPr>
        <w:t>will be installed in areas such as compartments wit</w:t>
      </w:r>
      <w:r w:rsidR="00DC62A3" w:rsidRPr="00DD1B58">
        <w:rPr>
          <w:lang w:val="en-US" w:eastAsia="en-GB" w:bidi="ar-SA"/>
        </w:rPr>
        <w:t>h high background ambient noise (in excess of 65dB(A)) such as</w:t>
      </w:r>
      <w:r w:rsidR="00EB60E4" w:rsidRPr="00DD1B58">
        <w:rPr>
          <w:lang w:val="en-US" w:eastAsia="en-GB" w:bidi="ar-SA"/>
        </w:rPr>
        <w:t xml:space="preserve"> </w:t>
      </w:r>
      <w:r w:rsidR="00DC62A3" w:rsidRPr="00DD1B58">
        <w:rPr>
          <w:lang w:val="en-US" w:eastAsia="en-GB" w:bidi="ar-SA"/>
        </w:rPr>
        <w:t>mechanical workshops, roof areas</w:t>
      </w:r>
      <w:r w:rsidR="00EB60E4" w:rsidRPr="00DD1B58">
        <w:rPr>
          <w:lang w:val="en-US" w:eastAsia="en-GB" w:bidi="ar-SA"/>
        </w:rPr>
        <w:t xml:space="preserve"> </w:t>
      </w:r>
      <w:r w:rsidR="00DC62A3" w:rsidRPr="00DD1B58">
        <w:rPr>
          <w:lang w:val="en-US" w:eastAsia="en-GB" w:bidi="ar-SA"/>
        </w:rPr>
        <w:t>containing cooling towers and walkways where weather conditions may reduce audibility and</w:t>
      </w:r>
      <w:r w:rsidR="00EB60E4" w:rsidRPr="00DD1B58">
        <w:rPr>
          <w:lang w:val="en-US" w:eastAsia="en-GB" w:bidi="ar-SA"/>
        </w:rPr>
        <w:t xml:space="preserve"> </w:t>
      </w:r>
      <w:r w:rsidR="00DC62A3" w:rsidRPr="00DD1B58">
        <w:rPr>
          <w:lang w:val="en-US" w:eastAsia="en-GB" w:bidi="ar-SA"/>
        </w:rPr>
        <w:t xml:space="preserve">accessible facilities to satisfy the requirements detailed in BS 9999 </w:t>
      </w:r>
      <w:sdt>
        <w:sdtPr>
          <w:rPr>
            <w:lang w:val="en-US" w:eastAsia="en-GB" w:bidi="ar-SA"/>
          </w:rPr>
          <w:id w:val="1156490450"/>
          <w:citation/>
        </w:sdtPr>
        <w:sdtContent>
          <w:r w:rsidR="00072887" w:rsidRPr="00DD1B58">
            <w:rPr>
              <w:lang w:val="en-US" w:eastAsia="en-GB" w:bidi="ar-SA"/>
            </w:rPr>
            <w:fldChar w:fldCharType="begin"/>
          </w:r>
          <w:r w:rsidR="00072887" w:rsidRPr="00DD1B58">
            <w:rPr>
              <w:lang w:val="en-US" w:eastAsia="en-GB" w:bidi="ar-SA"/>
            </w:rPr>
            <w:instrText xml:space="preserve"> CITATION BS9999 \l 2057 </w:instrText>
          </w:r>
          <w:r w:rsidR="00072887" w:rsidRPr="00DD1B58">
            <w:rPr>
              <w:lang w:val="en-US" w:eastAsia="en-GB" w:bidi="ar-SA"/>
            </w:rPr>
            <w:fldChar w:fldCharType="separate"/>
          </w:r>
          <w:r w:rsidR="00DF47DA" w:rsidRPr="00DF47DA">
            <w:rPr>
              <w:noProof/>
              <w:lang w:val="en-US" w:eastAsia="en-GB" w:bidi="ar-SA"/>
            </w:rPr>
            <w:t>[71]</w:t>
          </w:r>
          <w:r w:rsidR="00072887" w:rsidRPr="00DD1B58">
            <w:rPr>
              <w:lang w:val="en-US" w:eastAsia="en-GB" w:bidi="ar-SA"/>
            </w:rPr>
            <w:fldChar w:fldCharType="end"/>
          </w:r>
        </w:sdtContent>
      </w:sdt>
      <w:r w:rsidR="004C14B8" w:rsidRPr="00DD1B58">
        <w:rPr>
          <w:lang w:val="en-US" w:eastAsia="en-GB" w:bidi="ar-SA"/>
        </w:rPr>
        <w:t xml:space="preserve"> </w:t>
      </w:r>
      <w:r w:rsidR="00DC62A3" w:rsidRPr="00DD1B58">
        <w:rPr>
          <w:lang w:val="en-US" w:eastAsia="en-GB" w:bidi="ar-SA"/>
        </w:rPr>
        <w:t>&amp; BS 5839</w:t>
      </w:r>
      <w:sdt>
        <w:sdtPr>
          <w:rPr>
            <w:lang w:val="en-US" w:eastAsia="en-GB" w:bidi="ar-SA"/>
          </w:rPr>
          <w:id w:val="280308253"/>
          <w:citation/>
        </w:sdtPr>
        <w:sdtContent>
          <w:r w:rsidR="00710E04" w:rsidRPr="00DD1B58">
            <w:rPr>
              <w:lang w:val="en-US" w:eastAsia="en-GB" w:bidi="ar-SA"/>
            </w:rPr>
            <w:fldChar w:fldCharType="begin"/>
          </w:r>
          <w:r w:rsidR="00710E04" w:rsidRPr="00DD1B58">
            <w:rPr>
              <w:lang w:val="en-US" w:eastAsia="en-GB" w:bidi="ar-SA"/>
            </w:rPr>
            <w:instrText xml:space="preserve"> CITATION Bri1 \l 2057 </w:instrText>
          </w:r>
          <w:r w:rsidR="00710E04" w:rsidRPr="00DD1B58">
            <w:rPr>
              <w:lang w:val="en-US" w:eastAsia="en-GB" w:bidi="ar-SA"/>
            </w:rPr>
            <w:fldChar w:fldCharType="separate"/>
          </w:r>
          <w:r w:rsidR="00DF47DA">
            <w:rPr>
              <w:noProof/>
              <w:lang w:val="en-US" w:eastAsia="en-GB" w:bidi="ar-SA"/>
            </w:rPr>
            <w:t xml:space="preserve"> </w:t>
          </w:r>
          <w:r w:rsidR="00DF47DA" w:rsidRPr="00DF47DA">
            <w:rPr>
              <w:noProof/>
              <w:lang w:val="en-US" w:eastAsia="en-GB" w:bidi="ar-SA"/>
            </w:rPr>
            <w:t>[182]</w:t>
          </w:r>
          <w:r w:rsidR="00710E04" w:rsidRPr="00DD1B58">
            <w:rPr>
              <w:lang w:val="en-US" w:eastAsia="en-GB" w:bidi="ar-SA"/>
            </w:rPr>
            <w:fldChar w:fldCharType="end"/>
          </w:r>
        </w:sdtContent>
      </w:sdt>
      <w:r w:rsidR="00DC62A3" w:rsidRPr="00DD1B58">
        <w:rPr>
          <w:lang w:val="en-US" w:eastAsia="en-GB" w:bidi="ar-SA"/>
        </w:rPr>
        <w:t>.</w:t>
      </w:r>
    </w:p>
    <w:p w14:paraId="2FD52DD2" w14:textId="77777777" w:rsidR="00DC62A3" w:rsidRPr="00DD1B58" w:rsidRDefault="00DC62A3" w:rsidP="60E054AF">
      <w:pPr>
        <w:autoSpaceDE w:val="0"/>
        <w:autoSpaceDN w:val="0"/>
        <w:adjustRightInd w:val="0"/>
        <w:spacing w:after="0" w:line="240" w:lineRule="auto"/>
        <w:rPr>
          <w:lang w:val="en-US" w:eastAsia="en-GB" w:bidi="ar-SA"/>
        </w:rPr>
      </w:pPr>
    </w:p>
    <w:p w14:paraId="204B99BF" w14:textId="41377815" w:rsidR="002A5A06" w:rsidRPr="00DD1B58" w:rsidRDefault="00D601AC"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i</w:t>
      </w:r>
      <w:r w:rsidR="00DC62A3" w:rsidRPr="00DD1B58">
        <w:rPr>
          <w:lang w:val="en-US" w:eastAsia="en-GB" w:bidi="ar-SA"/>
        </w:rPr>
        <w:t>n specific applications</w:t>
      </w:r>
      <w:r w:rsidRPr="00DD1B58">
        <w:rPr>
          <w:lang w:val="en-US" w:eastAsia="en-GB" w:bidi="ar-SA"/>
        </w:rPr>
        <w:t>,</w:t>
      </w:r>
      <w:r w:rsidR="00DC62A3" w:rsidRPr="00DD1B58">
        <w:rPr>
          <w:lang w:val="en-US" w:eastAsia="en-GB" w:bidi="ar-SA"/>
        </w:rPr>
        <w:t xml:space="preserve"> the fire alarm system activates automatic control measures including fire</w:t>
      </w:r>
      <w:r w:rsidR="00EB60E4" w:rsidRPr="00DD1B58">
        <w:rPr>
          <w:lang w:val="en-US" w:eastAsia="en-GB" w:bidi="ar-SA"/>
        </w:rPr>
        <w:t xml:space="preserve"> </w:t>
      </w:r>
      <w:r w:rsidR="00DC62A3" w:rsidRPr="00DD1B58">
        <w:rPr>
          <w:lang w:val="en-US" w:eastAsia="en-GB" w:bidi="ar-SA"/>
        </w:rPr>
        <w:t xml:space="preserve">dampers, roller shutter doors and gaseous suppression systems. </w:t>
      </w:r>
      <w:r w:rsidR="000C5EDA" w:rsidRPr="00DD1B58">
        <w:rPr>
          <w:lang w:val="en-US" w:eastAsia="en-GB" w:bidi="ar-SA"/>
        </w:rPr>
        <w:t>UUK’s</w:t>
      </w:r>
      <w:r w:rsidR="00DC62A3" w:rsidRPr="00DD1B58">
        <w:rPr>
          <w:lang w:val="en-US" w:eastAsia="en-GB" w:bidi="ar-SA"/>
        </w:rPr>
        <w:t xml:space="preserve"> Colt ventilation systems are</w:t>
      </w:r>
      <w:r w:rsidR="00EB60E4" w:rsidRPr="00DD1B58">
        <w:rPr>
          <w:lang w:val="en-US" w:eastAsia="en-GB" w:bidi="ar-SA"/>
        </w:rPr>
        <w:t xml:space="preserve"> </w:t>
      </w:r>
      <w:r w:rsidR="00DC62A3" w:rsidRPr="00DD1B58">
        <w:rPr>
          <w:lang w:val="en-US" w:eastAsia="en-GB" w:bidi="ar-SA"/>
        </w:rPr>
        <w:t>not directly linked the fire detection system given the potential hazard of hazardous material</w:t>
      </w:r>
      <w:r w:rsidR="00EB60E4" w:rsidRPr="00DD1B58">
        <w:rPr>
          <w:lang w:val="en-US" w:eastAsia="en-GB" w:bidi="ar-SA"/>
        </w:rPr>
        <w:t xml:space="preserve"> </w:t>
      </w:r>
      <w:r w:rsidR="00DC62A3" w:rsidRPr="00DD1B58">
        <w:rPr>
          <w:lang w:val="en-US" w:eastAsia="en-GB" w:bidi="ar-SA"/>
        </w:rPr>
        <w:t>release from nuclear safety significant buildings, manual actuation of the system in the event of a</w:t>
      </w:r>
      <w:r w:rsidR="00EB60E4" w:rsidRPr="00DD1B58">
        <w:rPr>
          <w:lang w:val="en-US" w:eastAsia="en-GB" w:bidi="ar-SA"/>
        </w:rPr>
        <w:t xml:space="preserve"> </w:t>
      </w:r>
      <w:r w:rsidR="00DC62A3" w:rsidRPr="00DD1B58">
        <w:rPr>
          <w:lang w:val="en-US" w:eastAsia="en-GB" w:bidi="ar-SA"/>
        </w:rPr>
        <w:t xml:space="preserve">fire is subject to specific authorisation; however, </w:t>
      </w:r>
      <w:r w:rsidR="000C5EDA" w:rsidRPr="00DD1B58">
        <w:rPr>
          <w:lang w:val="en-US" w:eastAsia="en-GB" w:bidi="ar-SA"/>
        </w:rPr>
        <w:t>UUK</w:t>
      </w:r>
      <w:r w:rsidR="00DC62A3" w:rsidRPr="00DD1B58">
        <w:rPr>
          <w:lang w:val="en-US" w:eastAsia="en-GB" w:bidi="ar-SA"/>
        </w:rPr>
        <w:t xml:space="preserve"> noted that given the volume of</w:t>
      </w:r>
      <w:r w:rsidR="00EB60E4" w:rsidRPr="00DD1B58">
        <w:rPr>
          <w:lang w:val="en-US" w:eastAsia="en-GB" w:bidi="ar-SA"/>
        </w:rPr>
        <w:t xml:space="preserve"> </w:t>
      </w:r>
      <w:r w:rsidR="00DC62A3" w:rsidRPr="00DD1B58">
        <w:rPr>
          <w:lang w:val="en-US" w:eastAsia="en-GB" w:bidi="ar-SA"/>
        </w:rPr>
        <w:t>compartments and height of ceilings it is highly unlikely smoke/heat clearance would be required to</w:t>
      </w:r>
      <w:r w:rsidR="00EB60E4" w:rsidRPr="00DD1B58">
        <w:rPr>
          <w:lang w:val="en-US" w:eastAsia="en-GB" w:bidi="ar-SA"/>
        </w:rPr>
        <w:t xml:space="preserve"> </w:t>
      </w:r>
      <w:r w:rsidR="00DC62A3" w:rsidRPr="00DD1B58">
        <w:rPr>
          <w:lang w:val="en-US" w:eastAsia="en-GB" w:bidi="ar-SA"/>
        </w:rPr>
        <w:t>maintain tenability.</w:t>
      </w:r>
    </w:p>
    <w:p w14:paraId="0F5600AB" w14:textId="77777777" w:rsidR="00EB60E4" w:rsidRPr="00DD1B58" w:rsidRDefault="00EB60E4" w:rsidP="60E054AF">
      <w:pPr>
        <w:autoSpaceDE w:val="0"/>
        <w:autoSpaceDN w:val="0"/>
        <w:adjustRightInd w:val="0"/>
        <w:spacing w:after="0" w:line="240" w:lineRule="auto"/>
        <w:rPr>
          <w:lang w:val="en-US" w:eastAsia="en-GB" w:bidi="ar-SA"/>
        </w:rPr>
      </w:pPr>
    </w:p>
    <w:p w14:paraId="71645026" w14:textId="77777777" w:rsidR="00DF3B89" w:rsidRPr="00DD1B58" w:rsidRDefault="00DF3B89" w:rsidP="00177432">
      <w:pPr>
        <w:pStyle w:val="Heading5A"/>
        <w:numPr>
          <w:ilvl w:val="5"/>
          <w:numId w:val="7"/>
        </w:numPr>
        <w:rPr>
          <w:lang w:val="en-US"/>
        </w:rPr>
      </w:pPr>
      <w:r w:rsidRPr="00DD1B58">
        <w:rPr>
          <w:lang w:val="en-US"/>
        </w:rPr>
        <w:t>Types, main characteristics and performance expectations</w:t>
      </w:r>
    </w:p>
    <w:p w14:paraId="3063AC34" w14:textId="4025FAD3" w:rsidR="00703A9A" w:rsidRPr="00DD1B58" w:rsidRDefault="00107AF6" w:rsidP="60E054AF">
      <w:pPr>
        <w:autoSpaceDE w:val="0"/>
        <w:autoSpaceDN w:val="0"/>
        <w:adjustRightInd w:val="0"/>
        <w:spacing w:after="0" w:line="240" w:lineRule="auto"/>
        <w:rPr>
          <w:lang w:val="en-US" w:eastAsia="en-GB" w:bidi="ar-SA"/>
        </w:rPr>
      </w:pPr>
      <w:r w:rsidRPr="00DD1B58">
        <w:rPr>
          <w:lang w:val="en-US"/>
        </w:rPr>
        <w:t xml:space="preserve">As </w:t>
      </w:r>
      <w:r w:rsidRPr="00DD1B58">
        <w:rPr>
          <w:lang w:val="en-US" w:eastAsia="en-GB" w:bidi="ar-SA"/>
        </w:rPr>
        <w:t xml:space="preserve">described above </w:t>
      </w:r>
      <w:r w:rsidR="00A73048" w:rsidRPr="00DD1B58">
        <w:rPr>
          <w:lang w:val="en-US" w:eastAsia="en-GB" w:bidi="ar-SA"/>
        </w:rPr>
        <w:t>notification of</w:t>
      </w:r>
      <w:r w:rsidRPr="00DD1B58">
        <w:rPr>
          <w:lang w:val="en-US" w:eastAsia="en-GB" w:bidi="ar-SA"/>
        </w:rPr>
        <w:t xml:space="preserve"> system activations </w:t>
      </w:r>
      <w:r w:rsidR="00A73048" w:rsidRPr="00DD1B58">
        <w:rPr>
          <w:lang w:val="en-US" w:eastAsia="en-GB" w:bidi="ar-SA"/>
        </w:rPr>
        <w:t>to</w:t>
      </w:r>
      <w:r w:rsidR="00CD11A4" w:rsidRPr="00DD1B58">
        <w:rPr>
          <w:lang w:val="en-US" w:eastAsia="en-GB" w:bidi="ar-SA"/>
        </w:rPr>
        <w:t xml:space="preserve"> </w:t>
      </w:r>
      <w:r w:rsidRPr="00DD1B58">
        <w:rPr>
          <w:lang w:val="en-US" w:eastAsia="en-GB" w:bidi="ar-SA"/>
        </w:rPr>
        <w:t>the Emergency Control Centre</w:t>
      </w:r>
      <w:r w:rsidR="00A73048" w:rsidRPr="00DD1B58">
        <w:rPr>
          <w:lang w:val="en-US" w:eastAsia="en-GB" w:bidi="ar-SA"/>
        </w:rPr>
        <w:t xml:space="preserve"> is through various methods, which </w:t>
      </w:r>
      <w:r w:rsidRPr="00DD1B58">
        <w:rPr>
          <w:lang w:val="en-US" w:eastAsia="en-GB" w:bidi="ar-SA"/>
        </w:rPr>
        <w:t>range from SCADA, auto-dial and repeater panel functions.</w:t>
      </w:r>
      <w:r w:rsidR="00703A9A" w:rsidRPr="00DD1B58">
        <w:rPr>
          <w:lang w:val="en-US" w:eastAsia="en-GB" w:bidi="ar-SA"/>
        </w:rPr>
        <w:t xml:space="preserve"> </w:t>
      </w:r>
      <w:r w:rsidRPr="00DD1B58">
        <w:rPr>
          <w:lang w:val="en-US" w:eastAsia="en-GB" w:bidi="ar-SA"/>
        </w:rPr>
        <w:t>Upon activation the Control Room Operator alerts the on-site Emergency Response Service via</w:t>
      </w:r>
      <w:r w:rsidR="00703A9A" w:rsidRPr="00DD1B58">
        <w:rPr>
          <w:lang w:val="en-US" w:eastAsia="en-GB" w:bidi="ar-SA"/>
        </w:rPr>
        <w:t xml:space="preserve"> </w:t>
      </w:r>
      <w:r w:rsidRPr="00DD1B58">
        <w:rPr>
          <w:lang w:val="en-US" w:eastAsia="en-GB" w:bidi="ar-SA"/>
        </w:rPr>
        <w:t>radio alert, supplemented by building affected and relevant information passed by telephone</w:t>
      </w:r>
      <w:r w:rsidR="00703A9A" w:rsidRPr="00DD1B58">
        <w:rPr>
          <w:lang w:val="en-US" w:eastAsia="en-GB" w:bidi="ar-SA"/>
        </w:rPr>
        <w:t>.</w:t>
      </w:r>
    </w:p>
    <w:p w14:paraId="7AD21E07" w14:textId="77777777" w:rsidR="00703A9A" w:rsidRPr="00DD1B58" w:rsidRDefault="00703A9A" w:rsidP="60E054AF">
      <w:pPr>
        <w:autoSpaceDE w:val="0"/>
        <w:autoSpaceDN w:val="0"/>
        <w:adjustRightInd w:val="0"/>
        <w:spacing w:after="0" w:line="240" w:lineRule="auto"/>
        <w:rPr>
          <w:lang w:val="en-US" w:eastAsia="en-GB" w:bidi="ar-SA"/>
        </w:rPr>
      </w:pPr>
    </w:p>
    <w:p w14:paraId="77986AC8" w14:textId="419ED3D2" w:rsidR="00107AF6" w:rsidRPr="00DD1B58" w:rsidRDefault="00230544"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w</w:t>
      </w:r>
      <w:r w:rsidR="00107AF6" w:rsidRPr="00DD1B58">
        <w:rPr>
          <w:lang w:val="en-US" w:eastAsia="en-GB" w:bidi="ar-SA"/>
        </w:rPr>
        <w:t>hilst the Control Room Operator is reliant upon further information being provided though</w:t>
      </w:r>
      <w:r w:rsidRPr="00DD1B58">
        <w:rPr>
          <w:lang w:val="en-US" w:eastAsia="en-GB" w:bidi="ar-SA"/>
        </w:rPr>
        <w:t xml:space="preserve"> </w:t>
      </w:r>
      <w:r w:rsidR="00107AF6" w:rsidRPr="00DD1B58">
        <w:rPr>
          <w:lang w:val="en-US" w:eastAsia="en-GB" w:bidi="ar-SA"/>
        </w:rPr>
        <w:t>verbatim compliance with displayed Fire Action Notices, all replacement fire panels now display</w:t>
      </w:r>
      <w:r w:rsidR="004C61E8" w:rsidRPr="00DD1B58">
        <w:rPr>
          <w:lang w:val="en-US" w:eastAsia="en-GB" w:bidi="ar-SA"/>
        </w:rPr>
        <w:t xml:space="preserve"> </w:t>
      </w:r>
      <w:r w:rsidR="00107AF6" w:rsidRPr="00DD1B58">
        <w:rPr>
          <w:lang w:val="en-US" w:eastAsia="en-GB" w:bidi="ar-SA"/>
        </w:rPr>
        <w:t>Device Type, Asset Number and Location with Mimic</w:t>
      </w:r>
      <w:r w:rsidR="007C3F42" w:rsidRPr="00DD1B58">
        <w:rPr>
          <w:lang w:val="en-US" w:eastAsia="en-GB" w:bidi="ar-SA"/>
        </w:rPr>
        <w:t>/</w:t>
      </w:r>
      <w:r w:rsidR="00107AF6" w:rsidRPr="00DD1B58">
        <w:rPr>
          <w:lang w:val="en-US" w:eastAsia="en-GB" w:bidi="ar-SA"/>
        </w:rPr>
        <w:t>Repeater Panels located within Lobbies</w:t>
      </w:r>
      <w:r w:rsidR="007C3F42" w:rsidRPr="00DD1B58">
        <w:rPr>
          <w:lang w:val="en-US" w:eastAsia="en-GB" w:bidi="ar-SA"/>
        </w:rPr>
        <w:t>/</w:t>
      </w:r>
      <w:r w:rsidR="00107AF6" w:rsidRPr="00DD1B58">
        <w:rPr>
          <w:lang w:val="en-US" w:eastAsia="en-GB" w:bidi="ar-SA"/>
        </w:rPr>
        <w:t xml:space="preserve">Foyers and/Fire Break Corridors. </w:t>
      </w:r>
      <w:r w:rsidR="003D4F7C" w:rsidRPr="00DD1B58">
        <w:rPr>
          <w:lang w:val="en-US" w:eastAsia="en-GB" w:bidi="ar-SA"/>
        </w:rPr>
        <w:t xml:space="preserve">It also </w:t>
      </w:r>
      <w:r w:rsidR="006D798B" w:rsidRPr="00DD1B58">
        <w:rPr>
          <w:lang w:val="en-US" w:eastAsia="en-GB" w:bidi="ar-SA"/>
        </w:rPr>
        <w:t>reports that</w:t>
      </w:r>
      <w:r w:rsidR="003D4F7C" w:rsidRPr="00DD1B58">
        <w:rPr>
          <w:lang w:val="en-US" w:eastAsia="en-GB" w:bidi="ar-SA"/>
        </w:rPr>
        <w:t xml:space="preserve"> z</w:t>
      </w:r>
      <w:r w:rsidR="00107AF6" w:rsidRPr="00DD1B58">
        <w:rPr>
          <w:lang w:val="en-US" w:eastAsia="en-GB" w:bidi="ar-SA"/>
        </w:rPr>
        <w:t>onal plans are also displayed adjacent to all fire alarm panels</w:t>
      </w:r>
      <w:r w:rsidR="004C61E8" w:rsidRPr="00DD1B58">
        <w:rPr>
          <w:lang w:val="en-US" w:eastAsia="en-GB" w:bidi="ar-SA"/>
        </w:rPr>
        <w:t xml:space="preserve"> </w:t>
      </w:r>
      <w:r w:rsidR="00107AF6" w:rsidRPr="00DD1B58">
        <w:rPr>
          <w:lang w:val="en-US" w:eastAsia="en-GB" w:bidi="ar-SA"/>
        </w:rPr>
        <w:t>and included in Building Information Packs. Panels additionally announce Warnings</w:t>
      </w:r>
      <w:r w:rsidR="007C3F42" w:rsidRPr="00DD1B58">
        <w:rPr>
          <w:lang w:val="en-US" w:eastAsia="en-GB" w:bidi="ar-SA"/>
        </w:rPr>
        <w:t>/</w:t>
      </w:r>
      <w:r w:rsidR="00107AF6" w:rsidRPr="00DD1B58">
        <w:rPr>
          <w:lang w:val="en-US" w:eastAsia="en-GB" w:bidi="ar-SA"/>
        </w:rPr>
        <w:t>Faults locally</w:t>
      </w:r>
      <w:r w:rsidR="004C61E8" w:rsidRPr="00DD1B58">
        <w:rPr>
          <w:lang w:val="en-US" w:eastAsia="en-GB" w:bidi="ar-SA"/>
        </w:rPr>
        <w:t xml:space="preserve"> </w:t>
      </w:r>
      <w:r w:rsidR="00107AF6" w:rsidRPr="00DD1B58">
        <w:rPr>
          <w:lang w:val="en-US" w:eastAsia="en-GB" w:bidi="ar-SA"/>
        </w:rPr>
        <w:t>by way of lights and buzzer which are reported to the Site Emergency Control Centre (SECC) by</w:t>
      </w:r>
      <w:r w:rsidR="004C61E8" w:rsidRPr="00DD1B58">
        <w:rPr>
          <w:lang w:val="en-US" w:eastAsia="en-GB" w:bidi="ar-SA"/>
        </w:rPr>
        <w:t xml:space="preserve"> </w:t>
      </w:r>
      <w:r w:rsidR="00107AF6" w:rsidRPr="00DD1B58">
        <w:rPr>
          <w:lang w:val="en-US" w:eastAsia="en-GB" w:bidi="ar-SA"/>
        </w:rPr>
        <w:t xml:space="preserve">building occupants where not automatically captured by panels in the SECC. </w:t>
      </w:r>
      <w:r w:rsidR="003D4F7C" w:rsidRPr="00DD1B58">
        <w:rPr>
          <w:lang w:val="en-US" w:eastAsia="en-GB" w:bidi="ar-SA"/>
        </w:rPr>
        <w:t xml:space="preserve">UUK </w:t>
      </w:r>
      <w:r w:rsidR="006D798B" w:rsidRPr="00DD1B58">
        <w:rPr>
          <w:lang w:val="en-US" w:eastAsia="en-GB" w:bidi="ar-SA"/>
        </w:rPr>
        <w:t>states that</w:t>
      </w:r>
      <w:r w:rsidR="003D4F7C" w:rsidRPr="00DD1B58">
        <w:rPr>
          <w:lang w:val="en-US" w:eastAsia="en-GB" w:bidi="ar-SA"/>
        </w:rPr>
        <w:t xml:space="preserve"> a</w:t>
      </w:r>
      <w:r w:rsidR="00107AF6" w:rsidRPr="00DD1B58">
        <w:rPr>
          <w:lang w:val="en-US" w:eastAsia="en-GB" w:bidi="ar-SA"/>
        </w:rPr>
        <w:t>ll nuclear safety</w:t>
      </w:r>
      <w:r w:rsidR="004C61E8" w:rsidRPr="00DD1B58">
        <w:rPr>
          <w:lang w:val="en-US" w:eastAsia="en-GB" w:bidi="ar-SA"/>
        </w:rPr>
        <w:t xml:space="preserve"> </w:t>
      </w:r>
      <w:r w:rsidR="00107AF6" w:rsidRPr="00DD1B58">
        <w:rPr>
          <w:lang w:val="en-US" w:eastAsia="en-GB" w:bidi="ar-SA"/>
        </w:rPr>
        <w:t>significant buildings are provisioned with emergency diesel generators to ensure continuity of</w:t>
      </w:r>
      <w:r w:rsidR="004C61E8" w:rsidRPr="00DD1B58">
        <w:rPr>
          <w:lang w:val="en-US" w:eastAsia="en-GB" w:bidi="ar-SA"/>
        </w:rPr>
        <w:t xml:space="preserve"> </w:t>
      </w:r>
      <w:r w:rsidR="00107AF6" w:rsidRPr="00DD1B58">
        <w:rPr>
          <w:lang w:val="en-US" w:eastAsia="en-GB" w:bidi="ar-SA"/>
        </w:rPr>
        <w:t xml:space="preserve">power supply and facilitate safe operational shutdown. </w:t>
      </w:r>
      <w:r w:rsidR="003D4F7C" w:rsidRPr="00DD1B58">
        <w:rPr>
          <w:lang w:val="en-US" w:eastAsia="en-GB" w:bidi="ar-SA"/>
        </w:rPr>
        <w:t xml:space="preserve">It also </w:t>
      </w:r>
      <w:r w:rsidR="006D798B" w:rsidRPr="00DD1B58">
        <w:rPr>
          <w:lang w:val="en-US" w:eastAsia="en-GB" w:bidi="ar-SA"/>
        </w:rPr>
        <w:t>states that</w:t>
      </w:r>
      <w:r w:rsidR="003D4F7C" w:rsidRPr="00DD1B58">
        <w:rPr>
          <w:lang w:val="en-US" w:eastAsia="en-GB" w:bidi="ar-SA"/>
        </w:rPr>
        <w:t xml:space="preserve"> a</w:t>
      </w:r>
      <w:r w:rsidR="00107AF6" w:rsidRPr="00DD1B58">
        <w:rPr>
          <w:lang w:val="en-US" w:eastAsia="en-GB" w:bidi="ar-SA"/>
        </w:rPr>
        <w:t>ll automatic fire detection systems</w:t>
      </w:r>
      <w:r w:rsidR="004C61E8" w:rsidRPr="00DD1B58">
        <w:rPr>
          <w:lang w:val="en-US" w:eastAsia="en-GB" w:bidi="ar-SA"/>
        </w:rPr>
        <w:t xml:space="preserve"> </w:t>
      </w:r>
      <w:r w:rsidR="00107AF6" w:rsidRPr="00DD1B58">
        <w:rPr>
          <w:lang w:val="en-US" w:eastAsia="en-GB" w:bidi="ar-SA"/>
        </w:rPr>
        <w:t>however have, as a minimum, battery back-up in the event of electrical power outage with a</w:t>
      </w:r>
      <w:r w:rsidR="004C61E8" w:rsidRPr="00DD1B58">
        <w:rPr>
          <w:lang w:val="en-US" w:eastAsia="en-GB" w:bidi="ar-SA"/>
        </w:rPr>
        <w:t xml:space="preserve"> </w:t>
      </w:r>
      <w:r w:rsidR="00107AF6" w:rsidRPr="00DD1B58">
        <w:rPr>
          <w:lang w:val="en-US" w:eastAsia="en-GB" w:bidi="ar-SA"/>
        </w:rPr>
        <w:t>contracted maintenance engineer response of one hour.</w:t>
      </w:r>
    </w:p>
    <w:p w14:paraId="2D456FB2" w14:textId="77777777" w:rsidR="004C45FB" w:rsidRPr="00DD1B58" w:rsidRDefault="004C45FB" w:rsidP="60E054AF">
      <w:pPr>
        <w:autoSpaceDE w:val="0"/>
        <w:autoSpaceDN w:val="0"/>
        <w:adjustRightInd w:val="0"/>
        <w:spacing w:after="0" w:line="240" w:lineRule="auto"/>
        <w:rPr>
          <w:lang w:val="en-US" w:eastAsia="en-GB" w:bidi="ar-SA"/>
        </w:rPr>
      </w:pPr>
    </w:p>
    <w:p w14:paraId="5BDACF03" w14:textId="09C61BF6" w:rsidR="00107AF6" w:rsidRPr="00DD1B58" w:rsidRDefault="009D17AA" w:rsidP="60E054AF">
      <w:pPr>
        <w:autoSpaceDE w:val="0"/>
        <w:autoSpaceDN w:val="0"/>
        <w:adjustRightInd w:val="0"/>
        <w:spacing w:after="0" w:line="240" w:lineRule="auto"/>
        <w:rPr>
          <w:lang w:val="en-US" w:eastAsia="en-GB" w:bidi="ar-SA"/>
        </w:rPr>
      </w:pPr>
      <w:r w:rsidRPr="00DD1B58">
        <w:rPr>
          <w:lang w:val="en-US" w:eastAsia="en-GB" w:bidi="ar-SA"/>
        </w:rPr>
        <w:t xml:space="preserve">UUK considers that a </w:t>
      </w:r>
      <w:r w:rsidR="00107AF6" w:rsidRPr="00DD1B58">
        <w:rPr>
          <w:lang w:val="en-US" w:eastAsia="en-GB" w:bidi="ar-SA"/>
        </w:rPr>
        <w:t xml:space="preserve">number of failures can be tolerated within a facility, </w:t>
      </w:r>
      <w:r w:rsidRPr="00DD1B58">
        <w:rPr>
          <w:lang w:val="en-US" w:eastAsia="en-GB" w:bidi="ar-SA"/>
        </w:rPr>
        <w:t xml:space="preserve">and </w:t>
      </w:r>
      <w:r w:rsidR="00107AF6" w:rsidRPr="00DD1B58">
        <w:rPr>
          <w:lang w:val="en-US" w:eastAsia="en-GB" w:bidi="ar-SA"/>
        </w:rPr>
        <w:t xml:space="preserve">each </w:t>
      </w:r>
      <w:r w:rsidRPr="00DD1B58">
        <w:rPr>
          <w:lang w:val="en-US" w:eastAsia="en-GB" w:bidi="ar-SA"/>
        </w:rPr>
        <w:t xml:space="preserve">would </w:t>
      </w:r>
      <w:r w:rsidR="00107AF6" w:rsidRPr="00DD1B58">
        <w:rPr>
          <w:lang w:val="en-US" w:eastAsia="en-GB" w:bidi="ar-SA"/>
        </w:rPr>
        <w:t>be risk assessed to determine</w:t>
      </w:r>
      <w:r w:rsidR="004C45FB" w:rsidRPr="00DD1B58">
        <w:rPr>
          <w:lang w:val="en-US" w:eastAsia="en-GB" w:bidi="ar-SA"/>
        </w:rPr>
        <w:t xml:space="preserve"> </w:t>
      </w:r>
      <w:r w:rsidR="00107AF6" w:rsidRPr="00DD1B58">
        <w:rPr>
          <w:lang w:val="en-US" w:eastAsia="en-GB" w:bidi="ar-SA"/>
        </w:rPr>
        <w:t xml:space="preserve">an appropriate response. </w:t>
      </w:r>
      <w:r w:rsidRPr="00DD1B58">
        <w:rPr>
          <w:lang w:val="en-US" w:eastAsia="en-GB" w:bidi="ar-SA"/>
        </w:rPr>
        <w:t xml:space="preserve">UUK reports that it </w:t>
      </w:r>
      <w:r w:rsidR="00107AF6" w:rsidRPr="00DD1B58">
        <w:rPr>
          <w:lang w:val="en-US" w:eastAsia="en-GB" w:bidi="ar-SA"/>
        </w:rPr>
        <w:t>will be based upon the nature of the facility (office versus</w:t>
      </w:r>
      <w:r w:rsidR="004C45FB" w:rsidRPr="00DD1B58">
        <w:rPr>
          <w:lang w:val="en-US" w:eastAsia="en-GB" w:bidi="ar-SA"/>
        </w:rPr>
        <w:t xml:space="preserve"> </w:t>
      </w:r>
      <w:r w:rsidR="00107AF6" w:rsidRPr="00DD1B58">
        <w:rPr>
          <w:lang w:val="en-US" w:eastAsia="en-GB" w:bidi="ar-SA"/>
        </w:rPr>
        <w:t xml:space="preserve">operational) and additional control measures deemed appropriate which may range </w:t>
      </w:r>
      <w:r w:rsidR="004C45FB" w:rsidRPr="00DD1B58">
        <w:rPr>
          <w:lang w:val="en-US" w:eastAsia="en-GB" w:bidi="ar-SA"/>
        </w:rPr>
        <w:t>from engineer investigation</w:t>
      </w:r>
      <w:r w:rsidR="00107AF6" w:rsidRPr="00DD1B58">
        <w:rPr>
          <w:lang w:val="en-US" w:eastAsia="en-GB" w:bidi="ar-SA"/>
        </w:rPr>
        <w:t xml:space="preserve"> to additional fire patrols or deployment of a temporary wireless safety system</w:t>
      </w:r>
      <w:r w:rsidR="004C45FB" w:rsidRPr="00DD1B58">
        <w:rPr>
          <w:lang w:val="en-US" w:eastAsia="en-GB" w:bidi="ar-SA"/>
        </w:rPr>
        <w:t xml:space="preserve"> </w:t>
      </w:r>
      <w:r w:rsidR="00107AF6" w:rsidRPr="00DD1B58">
        <w:rPr>
          <w:lang w:val="en-US" w:eastAsia="en-GB" w:bidi="ar-SA"/>
        </w:rPr>
        <w:t>containing base station, call points and point detection/tolerable range i.e. number of heads</w:t>
      </w:r>
      <w:r w:rsidR="004C45FB" w:rsidRPr="00DD1B58">
        <w:rPr>
          <w:lang w:val="en-US" w:eastAsia="en-GB" w:bidi="ar-SA"/>
        </w:rPr>
        <w:t>.</w:t>
      </w:r>
      <w:r w:rsidR="00403F12" w:rsidRPr="00DD1B58">
        <w:rPr>
          <w:lang w:val="en-US" w:eastAsia="en-GB" w:bidi="ar-SA"/>
        </w:rPr>
        <w:t xml:space="preserve"> </w:t>
      </w:r>
      <w:r w:rsidR="00D3542A" w:rsidRPr="00DD1B58">
        <w:rPr>
          <w:lang w:val="en-US" w:eastAsia="en-GB" w:bidi="ar-SA"/>
        </w:rPr>
        <w:t>U</w:t>
      </w:r>
      <w:r w:rsidR="00391243" w:rsidRPr="00DD1B58">
        <w:rPr>
          <w:lang w:val="en-US" w:eastAsia="en-GB" w:bidi="ar-SA"/>
        </w:rPr>
        <w:t>U</w:t>
      </w:r>
      <w:r w:rsidR="00D3542A" w:rsidRPr="00DD1B58">
        <w:rPr>
          <w:lang w:val="en-US" w:eastAsia="en-GB" w:bidi="ar-SA"/>
        </w:rPr>
        <w:t>K concluded that a</w:t>
      </w:r>
      <w:r w:rsidR="00107AF6" w:rsidRPr="00DD1B58">
        <w:rPr>
          <w:lang w:val="en-US" w:eastAsia="en-GB" w:bidi="ar-SA"/>
        </w:rPr>
        <w:t>ll elements of the fire protection system are specified and installed to BS 5839</w:t>
      </w:r>
      <w:r w:rsidR="007365C6" w:rsidRPr="00DD1B58">
        <w:rPr>
          <w:lang w:val="en-US" w:eastAsia="en-GB" w:bidi="ar-SA"/>
        </w:rPr>
        <w:fldChar w:fldCharType="begin"/>
      </w:r>
      <w:r w:rsidR="007365C6" w:rsidRPr="00DD1B58">
        <w:rPr>
          <w:lang w:val="en-US" w:eastAsia="en-GB" w:bidi="ar-SA"/>
        </w:rPr>
        <w:instrText xml:space="preserve"> CITATION Bri1 \l 2057 </w:instrText>
      </w:r>
      <w:r w:rsidR="007365C6" w:rsidRPr="00DD1B58">
        <w:rPr>
          <w:lang w:val="en-US" w:eastAsia="en-GB" w:bidi="ar-SA"/>
        </w:rPr>
        <w:fldChar w:fldCharType="separate"/>
      </w:r>
      <w:r w:rsidR="00DF47DA">
        <w:rPr>
          <w:noProof/>
          <w:lang w:val="en-US" w:eastAsia="en-GB" w:bidi="ar-SA"/>
        </w:rPr>
        <w:t xml:space="preserve"> </w:t>
      </w:r>
      <w:r w:rsidR="00DF47DA" w:rsidRPr="00DF47DA">
        <w:rPr>
          <w:noProof/>
          <w:lang w:val="en-US" w:eastAsia="en-GB" w:bidi="ar-SA"/>
        </w:rPr>
        <w:t>[182]</w:t>
      </w:r>
      <w:r w:rsidR="007365C6" w:rsidRPr="00DD1B58">
        <w:rPr>
          <w:lang w:val="en-US" w:eastAsia="en-GB" w:bidi="ar-SA"/>
        </w:rPr>
        <w:fldChar w:fldCharType="end"/>
      </w:r>
      <w:r w:rsidR="00107AF6" w:rsidRPr="00DD1B58">
        <w:rPr>
          <w:lang w:val="en-US" w:eastAsia="en-GB" w:bidi="ar-SA"/>
        </w:rPr>
        <w:t xml:space="preserve"> and meet BS EN</w:t>
      </w:r>
      <w:r w:rsidR="004C45FB" w:rsidRPr="00DD1B58">
        <w:rPr>
          <w:lang w:val="en-US" w:eastAsia="en-GB" w:bidi="ar-SA"/>
        </w:rPr>
        <w:t xml:space="preserve"> </w:t>
      </w:r>
      <w:r w:rsidR="00107AF6" w:rsidRPr="00DD1B58">
        <w:rPr>
          <w:lang w:val="en-US" w:eastAsia="en-GB" w:bidi="ar-SA"/>
        </w:rPr>
        <w:t>54-23</w:t>
      </w:r>
      <w:r w:rsidR="007365C6" w:rsidRPr="00DD1B58">
        <w:rPr>
          <w:lang w:val="en-US" w:eastAsia="en-GB" w:bidi="ar-SA"/>
        </w:rPr>
        <w:fldChar w:fldCharType="begin"/>
      </w:r>
      <w:r w:rsidR="007365C6" w:rsidRPr="00DD1B58">
        <w:rPr>
          <w:lang w:val="en-US" w:eastAsia="en-GB" w:bidi="ar-SA"/>
        </w:rPr>
        <w:instrText xml:space="preserve"> CITATION Bri2010 \l 2057 </w:instrText>
      </w:r>
      <w:r w:rsidR="007365C6" w:rsidRPr="00DD1B58">
        <w:rPr>
          <w:lang w:val="en-US" w:eastAsia="en-GB" w:bidi="ar-SA"/>
        </w:rPr>
        <w:fldChar w:fldCharType="separate"/>
      </w:r>
      <w:r w:rsidR="00DF47DA">
        <w:rPr>
          <w:noProof/>
          <w:lang w:val="en-US" w:eastAsia="en-GB" w:bidi="ar-SA"/>
        </w:rPr>
        <w:t xml:space="preserve"> </w:t>
      </w:r>
      <w:r w:rsidR="00DF47DA" w:rsidRPr="00DF47DA">
        <w:rPr>
          <w:noProof/>
          <w:lang w:val="en-US" w:eastAsia="en-GB" w:bidi="ar-SA"/>
        </w:rPr>
        <w:t>[181]</w:t>
      </w:r>
      <w:r w:rsidR="007365C6" w:rsidRPr="00DD1B58">
        <w:rPr>
          <w:lang w:val="en-US" w:eastAsia="en-GB" w:bidi="ar-SA"/>
        </w:rPr>
        <w:fldChar w:fldCharType="end"/>
      </w:r>
      <w:r w:rsidR="00107AF6" w:rsidRPr="00DD1B58">
        <w:rPr>
          <w:lang w:val="en-US" w:eastAsia="en-GB" w:bidi="ar-SA"/>
        </w:rPr>
        <w:t>.</w:t>
      </w:r>
    </w:p>
    <w:p w14:paraId="74448DA3" w14:textId="77777777" w:rsidR="004C45FB" w:rsidRPr="00DD1B58" w:rsidRDefault="004C45FB" w:rsidP="60E054AF">
      <w:pPr>
        <w:autoSpaceDE w:val="0"/>
        <w:autoSpaceDN w:val="0"/>
        <w:adjustRightInd w:val="0"/>
        <w:spacing w:after="0" w:line="240" w:lineRule="auto"/>
        <w:rPr>
          <w:lang w:val="en-US" w:eastAsia="en-GB" w:bidi="ar-SA"/>
        </w:rPr>
      </w:pPr>
    </w:p>
    <w:p w14:paraId="04FAA778" w14:textId="01708951" w:rsidR="00F02A5E" w:rsidRPr="00DD1B58" w:rsidRDefault="00906455" w:rsidP="60E054AF">
      <w:pPr>
        <w:autoSpaceDE w:val="0"/>
        <w:autoSpaceDN w:val="0"/>
        <w:adjustRightInd w:val="0"/>
        <w:spacing w:after="0" w:line="240" w:lineRule="auto"/>
        <w:rPr>
          <w:lang w:val="en-US" w:eastAsia="en-GB" w:bidi="ar-SA"/>
        </w:rPr>
      </w:pPr>
      <w:r w:rsidRPr="00DD1B58">
        <w:rPr>
          <w:lang w:val="en-US" w:eastAsia="en-GB" w:bidi="ar-SA"/>
        </w:rPr>
        <w:t>I</w:t>
      </w:r>
      <w:r w:rsidR="00B04CD9" w:rsidRPr="00DD1B58">
        <w:rPr>
          <w:lang w:val="en-US" w:eastAsia="en-GB" w:bidi="ar-SA"/>
        </w:rPr>
        <w:t>n</w:t>
      </w:r>
      <w:r w:rsidRPr="00DD1B58">
        <w:rPr>
          <w:lang w:val="en-US" w:eastAsia="en-GB" w:bidi="ar-SA"/>
        </w:rPr>
        <w:t xml:space="preserve"> this context, </w:t>
      </w:r>
      <w:r w:rsidR="00D3542A" w:rsidRPr="00DD1B58">
        <w:rPr>
          <w:lang w:val="en-US" w:eastAsia="en-GB" w:bidi="ar-SA"/>
        </w:rPr>
        <w:t xml:space="preserve">UUK referred to </w:t>
      </w:r>
      <w:r w:rsidR="00107AF6" w:rsidRPr="00DD1B58">
        <w:rPr>
          <w:lang w:val="en-US" w:eastAsia="en-GB" w:bidi="ar-SA"/>
        </w:rPr>
        <w:t xml:space="preserve">BS 5839, Part 1, Clause 26 </w:t>
      </w:r>
      <w:r w:rsidRPr="00DD1B58">
        <w:rPr>
          <w:lang w:val="en-US" w:eastAsia="en-GB" w:bidi="ar-SA"/>
        </w:rPr>
        <w:t xml:space="preserve">in that </w:t>
      </w:r>
      <w:r w:rsidR="00107AF6" w:rsidRPr="00DD1B58">
        <w:rPr>
          <w:lang w:val="en-US" w:eastAsia="en-GB" w:bidi="ar-SA"/>
        </w:rPr>
        <w:t>“</w:t>
      </w:r>
      <w:r w:rsidR="00107AF6" w:rsidRPr="00DD1B58">
        <w:rPr>
          <w:i/>
          <w:iCs/>
          <w:lang w:val="en-US" w:eastAsia="en-GB" w:bidi="ar-SA"/>
        </w:rPr>
        <w:t xml:space="preserve">Standard </w:t>
      </w:r>
      <w:r w:rsidR="004C45FB" w:rsidRPr="00DD1B58">
        <w:rPr>
          <w:i/>
          <w:iCs/>
          <w:lang w:val="en-US" w:eastAsia="en-GB" w:bidi="ar-SA"/>
        </w:rPr>
        <w:t>fire-resistant</w:t>
      </w:r>
      <w:r w:rsidR="00107AF6" w:rsidRPr="00DD1B58">
        <w:rPr>
          <w:i/>
          <w:iCs/>
          <w:lang w:val="en-US" w:eastAsia="en-GB" w:bidi="ar-SA"/>
        </w:rPr>
        <w:t xml:space="preserve"> cables that as a minimum</w:t>
      </w:r>
      <w:r w:rsidR="0008361C" w:rsidRPr="00DD1B58">
        <w:rPr>
          <w:i/>
          <w:iCs/>
          <w:lang w:val="en-US" w:eastAsia="en-GB" w:bidi="ar-SA"/>
        </w:rPr>
        <w:t xml:space="preserve"> </w:t>
      </w:r>
      <w:r w:rsidR="00107AF6" w:rsidRPr="00DD1B58">
        <w:rPr>
          <w:i/>
          <w:iCs/>
          <w:lang w:val="en-US" w:eastAsia="en-GB" w:bidi="ar-SA"/>
        </w:rPr>
        <w:t>have a duration of survival of 30 minutes when tested in accordance with BS EN 50200.</w:t>
      </w:r>
      <w:r w:rsidR="0008361C" w:rsidRPr="00DD1B58">
        <w:rPr>
          <w:i/>
          <w:iCs/>
          <w:lang w:val="en-US" w:eastAsia="en-GB" w:bidi="ar-SA"/>
        </w:rPr>
        <w:t xml:space="preserve"> </w:t>
      </w:r>
      <w:r w:rsidR="00107AF6" w:rsidRPr="00DD1B58">
        <w:rPr>
          <w:i/>
          <w:iCs/>
          <w:lang w:val="en-US" w:eastAsia="en-GB" w:bidi="ar-SA"/>
        </w:rPr>
        <w:t>Enhanced fire resisting cables should have a duration of survival of 120 minutes in accordance</w:t>
      </w:r>
      <w:r w:rsidR="0008361C" w:rsidRPr="00DD1B58">
        <w:rPr>
          <w:i/>
          <w:iCs/>
          <w:lang w:val="en-US" w:eastAsia="en-GB" w:bidi="ar-SA"/>
        </w:rPr>
        <w:t xml:space="preserve"> </w:t>
      </w:r>
      <w:r w:rsidR="00107AF6" w:rsidRPr="00DD1B58">
        <w:rPr>
          <w:i/>
          <w:iCs/>
          <w:lang w:val="en-US" w:eastAsia="en-GB" w:bidi="ar-SA"/>
        </w:rPr>
        <w:t>with BS EN 50200</w:t>
      </w:r>
      <w:r w:rsidR="007C3F42" w:rsidRPr="00DD1B58">
        <w:rPr>
          <w:i/>
          <w:iCs/>
          <w:lang w:val="en-US" w:eastAsia="en-GB" w:bidi="ar-SA"/>
        </w:rPr>
        <w:t>/</w:t>
      </w:r>
      <w:r w:rsidR="00107AF6" w:rsidRPr="00DD1B58">
        <w:rPr>
          <w:i/>
          <w:iCs/>
          <w:lang w:val="en-US" w:eastAsia="en-GB" w:bidi="ar-SA"/>
        </w:rPr>
        <w:t>BS 8434-2. Methods of cable support should be non-combustible and such</w:t>
      </w:r>
      <w:r w:rsidR="0008361C" w:rsidRPr="00DD1B58">
        <w:rPr>
          <w:i/>
          <w:iCs/>
          <w:lang w:val="en-US" w:eastAsia="en-GB" w:bidi="ar-SA"/>
        </w:rPr>
        <w:t xml:space="preserve"> </w:t>
      </w:r>
      <w:r w:rsidR="00107AF6" w:rsidRPr="00DD1B58">
        <w:rPr>
          <w:i/>
          <w:iCs/>
          <w:lang w:val="en-US" w:eastAsia="en-GB" w:bidi="ar-SA"/>
        </w:rPr>
        <w:t>that circuit integrity is not reduced below that afforded by the cable used and should withstand a</w:t>
      </w:r>
      <w:r w:rsidR="0008361C" w:rsidRPr="00DD1B58">
        <w:rPr>
          <w:i/>
          <w:iCs/>
          <w:lang w:val="en-US" w:eastAsia="en-GB" w:bidi="ar-SA"/>
        </w:rPr>
        <w:t xml:space="preserve"> </w:t>
      </w:r>
      <w:r w:rsidR="00107AF6" w:rsidRPr="00DD1B58">
        <w:rPr>
          <w:i/>
          <w:iCs/>
          <w:lang w:val="en-US" w:eastAsia="en-GB" w:bidi="ar-SA"/>
        </w:rPr>
        <w:t>similar temperature and duration to the of the cable while maintaining adequate support. Cables</w:t>
      </w:r>
      <w:r w:rsidR="0008361C" w:rsidRPr="00DD1B58">
        <w:rPr>
          <w:i/>
          <w:iCs/>
          <w:lang w:val="en-US" w:eastAsia="en-GB" w:bidi="ar-SA"/>
        </w:rPr>
        <w:t xml:space="preserve"> </w:t>
      </w:r>
      <w:r w:rsidR="00107AF6" w:rsidRPr="00DD1B58">
        <w:rPr>
          <w:i/>
          <w:iCs/>
          <w:lang w:val="en-US" w:eastAsia="en-GB" w:bidi="ar-SA"/>
        </w:rPr>
        <w:t>should be installed without external joints wherever practicable. All terminations and other</w:t>
      </w:r>
      <w:r w:rsidR="0008361C" w:rsidRPr="00DD1B58">
        <w:rPr>
          <w:i/>
          <w:iCs/>
          <w:lang w:val="en-US" w:eastAsia="en-GB" w:bidi="ar-SA"/>
        </w:rPr>
        <w:t xml:space="preserve"> </w:t>
      </w:r>
      <w:r w:rsidR="00107AF6" w:rsidRPr="00DD1B58">
        <w:rPr>
          <w:i/>
          <w:iCs/>
          <w:lang w:val="en-US" w:eastAsia="en-GB" w:bidi="ar-SA"/>
        </w:rPr>
        <w:t>accessories should be such as to minimise the probability of early failure on the event of fire</w:t>
      </w:r>
      <w:r w:rsidR="00107AF6" w:rsidRPr="00DD1B58">
        <w:rPr>
          <w:lang w:val="en-US" w:eastAsia="en-GB" w:bidi="ar-SA"/>
        </w:rPr>
        <w:t>.”</w:t>
      </w:r>
    </w:p>
    <w:p w14:paraId="1EF766CF" w14:textId="77777777" w:rsidR="00E54E39" w:rsidRPr="00DD1B58" w:rsidRDefault="00E54E39" w:rsidP="60E054AF">
      <w:pPr>
        <w:autoSpaceDE w:val="0"/>
        <w:autoSpaceDN w:val="0"/>
        <w:adjustRightInd w:val="0"/>
        <w:spacing w:after="0" w:line="240" w:lineRule="auto"/>
        <w:rPr>
          <w:lang w:val="en-US" w:eastAsia="en-GB" w:bidi="ar-SA"/>
        </w:rPr>
      </w:pPr>
    </w:p>
    <w:p w14:paraId="142FE03A" w14:textId="77777777" w:rsidR="00DF3B89" w:rsidRPr="00DD1B58" w:rsidRDefault="00DF3B89" w:rsidP="00177432">
      <w:pPr>
        <w:pStyle w:val="Heading5A"/>
        <w:numPr>
          <w:ilvl w:val="5"/>
          <w:numId w:val="7"/>
        </w:numPr>
        <w:rPr>
          <w:lang w:val="en-US"/>
        </w:rPr>
      </w:pPr>
      <w:r w:rsidRPr="00DD1B58">
        <w:rPr>
          <w:lang w:val="en-US"/>
        </w:rPr>
        <w:t>Alternative/temporary provisions</w:t>
      </w:r>
    </w:p>
    <w:p w14:paraId="0BB9E06C" w14:textId="43031676" w:rsidR="00E54E39" w:rsidRPr="00DD1B58" w:rsidRDefault="007751E5" w:rsidP="60E054AF">
      <w:pPr>
        <w:autoSpaceDE w:val="0"/>
        <w:autoSpaceDN w:val="0"/>
        <w:adjustRightInd w:val="0"/>
        <w:spacing w:after="0" w:line="240" w:lineRule="auto"/>
        <w:rPr>
          <w:lang w:val="en-US" w:eastAsia="en-GB" w:bidi="ar-SA"/>
        </w:rPr>
      </w:pPr>
      <w:r w:rsidRPr="00DD1B58">
        <w:rPr>
          <w:lang w:val="en-US"/>
        </w:rPr>
        <w:t>UUK undertakes</w:t>
      </w:r>
      <w:r w:rsidR="007D2755" w:rsidRPr="00DD1B58">
        <w:rPr>
          <w:lang w:val="en-US" w:eastAsia="en-GB" w:bidi="ar-SA"/>
        </w:rPr>
        <w:t xml:space="preserve"> fire alarm inspection and maintenance testing in accordance with BS</w:t>
      </w:r>
      <w:r w:rsidR="00E93AED" w:rsidRPr="00DD1B58">
        <w:rPr>
          <w:lang w:val="en-US" w:eastAsia="en-GB" w:bidi="ar-SA"/>
        </w:rPr>
        <w:t xml:space="preserve"> </w:t>
      </w:r>
      <w:r w:rsidR="007D2755" w:rsidRPr="00DD1B58">
        <w:rPr>
          <w:lang w:val="en-US" w:eastAsia="en-GB" w:bidi="ar-SA"/>
        </w:rPr>
        <w:t xml:space="preserve">5839. </w:t>
      </w: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a</w:t>
      </w:r>
      <w:r w:rsidR="007D2755" w:rsidRPr="00DD1B58">
        <w:rPr>
          <w:lang w:val="en-US" w:eastAsia="en-GB" w:bidi="ar-SA"/>
        </w:rPr>
        <w:t>lternative arrangements such as system isolations are undertaken in accordance with site</w:t>
      </w:r>
      <w:r w:rsidR="00E93AED" w:rsidRPr="00DD1B58">
        <w:rPr>
          <w:lang w:val="en-US" w:eastAsia="en-GB" w:bidi="ar-SA"/>
        </w:rPr>
        <w:t xml:space="preserve"> </w:t>
      </w:r>
      <w:r w:rsidR="007D2755" w:rsidRPr="00DD1B58">
        <w:rPr>
          <w:lang w:val="en-US" w:eastAsia="en-GB" w:bidi="ar-SA"/>
        </w:rPr>
        <w:t xml:space="preserve">safety standards, recorded in the Fire Safety </w:t>
      </w:r>
      <w:r w:rsidR="00303A47" w:rsidRPr="00DD1B58">
        <w:rPr>
          <w:lang w:val="en-US" w:eastAsia="en-GB" w:bidi="ar-SA"/>
        </w:rPr>
        <w:t>Logbook</w:t>
      </w:r>
      <w:r w:rsidR="007D2755" w:rsidRPr="00DD1B58">
        <w:rPr>
          <w:lang w:val="en-US" w:eastAsia="en-GB" w:bidi="ar-SA"/>
        </w:rPr>
        <w:t xml:space="preserve"> and authorised by the Shift Manager upo</w:t>
      </w:r>
      <w:r w:rsidR="00303A47" w:rsidRPr="00DD1B58">
        <w:rPr>
          <w:lang w:val="en-US" w:eastAsia="en-GB" w:bidi="ar-SA"/>
        </w:rPr>
        <w:t>n re-instatement the device/loop isolated is tested to ensure signal receipt/response and the</w:t>
      </w:r>
      <w:r w:rsidR="00E93AED" w:rsidRPr="00DD1B58">
        <w:rPr>
          <w:lang w:val="en-US" w:eastAsia="en-GB" w:bidi="ar-SA"/>
        </w:rPr>
        <w:t xml:space="preserve"> </w:t>
      </w:r>
      <w:r w:rsidR="00303A47" w:rsidRPr="00DD1B58">
        <w:rPr>
          <w:lang w:val="en-US" w:eastAsia="en-GB" w:bidi="ar-SA"/>
        </w:rPr>
        <w:t xml:space="preserve">serviceability state is again recorded in the Fire Safety Logbook. </w:t>
      </w:r>
      <w:r w:rsidR="006C47B7" w:rsidRPr="00DD1B58">
        <w:rPr>
          <w:lang w:val="en-US" w:eastAsia="en-GB" w:bidi="ar-SA"/>
        </w:rPr>
        <w:t>UUK concluded that a</w:t>
      </w:r>
      <w:r w:rsidR="00303A47" w:rsidRPr="00DD1B58">
        <w:rPr>
          <w:lang w:val="en-US" w:eastAsia="en-GB" w:bidi="ar-SA"/>
        </w:rPr>
        <w:t>rrangements for larger scale</w:t>
      </w:r>
      <w:r w:rsidR="00E93AED" w:rsidRPr="00DD1B58">
        <w:rPr>
          <w:lang w:val="en-US" w:eastAsia="en-GB" w:bidi="ar-SA"/>
        </w:rPr>
        <w:t xml:space="preserve"> </w:t>
      </w:r>
      <w:r w:rsidR="00303A47" w:rsidRPr="00DD1B58">
        <w:rPr>
          <w:lang w:val="en-US" w:eastAsia="en-GB" w:bidi="ar-SA"/>
        </w:rPr>
        <w:t xml:space="preserve">buildings </w:t>
      </w:r>
      <w:r w:rsidR="006C47B7" w:rsidRPr="00DD1B58">
        <w:rPr>
          <w:lang w:val="en-US" w:eastAsia="en-GB" w:bidi="ar-SA"/>
        </w:rPr>
        <w:t xml:space="preserve">are such </w:t>
      </w:r>
      <w:r w:rsidR="00303A47" w:rsidRPr="00DD1B58">
        <w:rPr>
          <w:lang w:val="en-US" w:eastAsia="en-GB" w:bidi="ar-SA"/>
        </w:rPr>
        <w:t>that 100% testing is completed quarterly or bi-annual schedules</w:t>
      </w:r>
      <w:r w:rsidR="00192C0C" w:rsidRPr="00DD1B58">
        <w:rPr>
          <w:lang w:val="en-US" w:eastAsia="en-GB" w:bidi="ar-SA"/>
        </w:rPr>
        <w:t>.</w:t>
      </w:r>
    </w:p>
    <w:p w14:paraId="74E3506B" w14:textId="77777777" w:rsidR="00192C0C" w:rsidRPr="00DD1B58" w:rsidRDefault="00192C0C" w:rsidP="60E054AF">
      <w:pPr>
        <w:autoSpaceDE w:val="0"/>
        <w:autoSpaceDN w:val="0"/>
        <w:adjustRightInd w:val="0"/>
        <w:spacing w:after="0" w:line="240" w:lineRule="auto"/>
        <w:rPr>
          <w:lang w:val="en-US" w:eastAsia="en-GB" w:bidi="ar-SA"/>
        </w:rPr>
      </w:pPr>
    </w:p>
    <w:p w14:paraId="4F911A1F" w14:textId="77777777" w:rsidR="00DF3B89" w:rsidRPr="00DD1B58" w:rsidRDefault="00DF3B89" w:rsidP="00177432">
      <w:pPr>
        <w:pStyle w:val="Heading5A"/>
        <w:rPr>
          <w:lang w:val="en-US"/>
        </w:rPr>
      </w:pPr>
      <w:r w:rsidRPr="00DD1B58">
        <w:rPr>
          <w:lang w:val="en-US"/>
        </w:rPr>
        <w:t xml:space="preserve">Fire suppression provisions </w:t>
      </w:r>
    </w:p>
    <w:p w14:paraId="0CA3FDD8" w14:textId="77777777" w:rsidR="00DF3B89" w:rsidRPr="00DD1B58" w:rsidRDefault="00DF3B89" w:rsidP="00177432">
      <w:pPr>
        <w:pStyle w:val="Heading5A"/>
        <w:numPr>
          <w:ilvl w:val="5"/>
          <w:numId w:val="7"/>
        </w:numPr>
        <w:rPr>
          <w:lang w:val="en-US"/>
        </w:rPr>
      </w:pPr>
      <w:r w:rsidRPr="00DD1B58">
        <w:rPr>
          <w:lang w:val="en-US"/>
        </w:rPr>
        <w:t>Design Approach</w:t>
      </w:r>
    </w:p>
    <w:p w14:paraId="0A4DEE23" w14:textId="4D0834B1" w:rsidR="00FB08C6" w:rsidRPr="00DD1B58" w:rsidRDefault="00906455" w:rsidP="60E054AF">
      <w:pPr>
        <w:autoSpaceDE w:val="0"/>
        <w:autoSpaceDN w:val="0"/>
        <w:adjustRightInd w:val="0"/>
        <w:spacing w:after="0" w:line="240" w:lineRule="auto"/>
        <w:rPr>
          <w:lang w:val="en-US" w:eastAsia="en-GB" w:bidi="ar-SA"/>
        </w:rPr>
      </w:pPr>
      <w:r w:rsidRPr="00DD1B58">
        <w:rPr>
          <w:lang w:val="en-US"/>
        </w:rPr>
        <w:t>UUK s</w:t>
      </w:r>
      <w:r w:rsidR="00FB08C6" w:rsidRPr="00DD1B58">
        <w:rPr>
          <w:lang w:val="en-US"/>
        </w:rPr>
        <w:t xml:space="preserve">tructures </w:t>
      </w:r>
      <w:r w:rsidR="00FB08C6" w:rsidRPr="00DD1B58">
        <w:rPr>
          <w:lang w:val="en-US" w:eastAsia="en-GB" w:bidi="ar-SA"/>
        </w:rPr>
        <w:t xml:space="preserve">with fire suppression systems </w:t>
      </w:r>
      <w:r w:rsidRPr="00DD1B58">
        <w:rPr>
          <w:lang w:val="en-US" w:eastAsia="en-GB" w:bidi="ar-SA"/>
        </w:rPr>
        <w:t>are</w:t>
      </w:r>
      <w:r w:rsidR="00FB08C6" w:rsidRPr="00DD1B58">
        <w:rPr>
          <w:lang w:val="en-US" w:eastAsia="en-GB" w:bidi="ar-SA"/>
        </w:rPr>
        <w:t xml:space="preserve"> derived through the Fire Strategy subject to specific fire risks based on fire loading, fire growth potential or specific design requirements (i.e. network data compartments, electrical switchgear). </w:t>
      </w: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w</w:t>
      </w:r>
      <w:r w:rsidR="00FB08C6" w:rsidRPr="00DD1B58">
        <w:rPr>
          <w:lang w:val="en-US" w:eastAsia="en-GB" w:bidi="ar-SA"/>
        </w:rPr>
        <w:t>hilst several electrical sub-stations have Carbon Dioxide suppression systems with ceiling mounted nozzles, a small number of office and server room accommodation are protected by an Argonite systems, with specialist dies</w:t>
      </w:r>
      <w:r w:rsidR="0085258C" w:rsidRPr="00DD1B58">
        <w:rPr>
          <w:lang w:val="en-US" w:eastAsia="en-GB" w:bidi="ar-SA"/>
        </w:rPr>
        <w:t>el</w:t>
      </w:r>
      <w:r w:rsidR="00FB08C6" w:rsidRPr="00DD1B58">
        <w:rPr>
          <w:lang w:val="en-US" w:eastAsia="en-GB" w:bidi="ar-SA"/>
        </w:rPr>
        <w:t xml:space="preserve"> generator enclosures protected by Water Mist and the Network Data Centre with an NOVEC 1230 systems</w:t>
      </w:r>
      <w:r w:rsidR="002E23A1" w:rsidRPr="00DD1B58">
        <w:rPr>
          <w:lang w:val="en-US" w:eastAsia="en-GB" w:bidi="ar-SA"/>
        </w:rPr>
        <w:t xml:space="preserve">. </w:t>
      </w:r>
    </w:p>
    <w:p w14:paraId="6AB55DB3" w14:textId="77777777" w:rsidR="00FB08C6" w:rsidRPr="00DD1B58" w:rsidRDefault="00FB08C6" w:rsidP="60E054AF">
      <w:pPr>
        <w:autoSpaceDE w:val="0"/>
        <w:autoSpaceDN w:val="0"/>
        <w:adjustRightInd w:val="0"/>
        <w:spacing w:after="0" w:line="240" w:lineRule="auto"/>
        <w:rPr>
          <w:lang w:val="en-US" w:eastAsia="en-GB" w:bidi="ar-SA"/>
        </w:rPr>
      </w:pPr>
    </w:p>
    <w:p w14:paraId="4AD88394" w14:textId="26DF45F7" w:rsidR="00686CE6" w:rsidRPr="00DD1B58" w:rsidRDefault="00DC3525"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it undertakes d</w:t>
      </w:r>
      <w:r w:rsidR="00FB08C6" w:rsidRPr="00DD1B58">
        <w:rPr>
          <w:lang w:val="en-US" w:eastAsia="en-GB" w:bidi="ar-SA"/>
        </w:rPr>
        <w:t>esign, installation, and maintenance of fire suppression systems in accordance with BS 5306</w:t>
      </w:r>
      <w:r w:rsidR="007C3F42" w:rsidRPr="00DD1B58">
        <w:rPr>
          <w:lang w:val="en-US" w:eastAsia="en-GB" w:bidi="ar-SA"/>
        </w:rPr>
        <w:t>/</w:t>
      </w:r>
      <w:r w:rsidR="00FB08C6" w:rsidRPr="00DD1B58">
        <w:rPr>
          <w:lang w:val="en-US" w:eastAsia="en-GB" w:bidi="ar-SA"/>
        </w:rPr>
        <w:t>BS 8458 and</w:t>
      </w:r>
      <w:r w:rsidRPr="00DD1B58">
        <w:rPr>
          <w:lang w:val="en-US" w:eastAsia="en-GB" w:bidi="ar-SA"/>
        </w:rPr>
        <w:t xml:space="preserve"> that they</w:t>
      </w:r>
      <w:r w:rsidR="00FB08C6" w:rsidRPr="00DD1B58">
        <w:rPr>
          <w:lang w:val="en-US" w:eastAsia="en-GB" w:bidi="ar-SA"/>
        </w:rPr>
        <w:t xml:space="preserve"> </w:t>
      </w:r>
      <w:r w:rsidR="00BF3229" w:rsidRPr="00DD1B58">
        <w:rPr>
          <w:lang w:val="en-US" w:eastAsia="en-GB" w:bidi="ar-SA"/>
        </w:rPr>
        <w:t>are</w:t>
      </w:r>
      <w:r w:rsidR="00FB08C6" w:rsidRPr="00DD1B58">
        <w:rPr>
          <w:lang w:val="en-US" w:eastAsia="en-GB" w:bidi="ar-SA"/>
        </w:rPr>
        <w:t xml:space="preserve"> subject to detailed design by a third-party design accredited contractor. </w:t>
      </w:r>
      <w:r w:rsidRPr="00DD1B58">
        <w:rPr>
          <w:lang w:val="en-US" w:eastAsia="en-GB" w:bidi="ar-SA"/>
        </w:rPr>
        <w:t xml:space="preserve">UUK also reports that </w:t>
      </w:r>
      <w:r w:rsidR="00FB08C6" w:rsidRPr="00DD1B58">
        <w:rPr>
          <w:lang w:val="en-US" w:eastAsia="en-GB" w:bidi="ar-SA"/>
        </w:rPr>
        <w:t>compartments protected by suppression systems have been encapsulated in 30-, 60- or 120-minute fire resisting construction under the BMTRADA Q-Mark Accreditation Scheme.</w:t>
      </w:r>
    </w:p>
    <w:p w14:paraId="6F3C9FA7" w14:textId="77777777" w:rsidR="00E23156" w:rsidRPr="00DD1B58" w:rsidRDefault="00E23156" w:rsidP="60E054AF">
      <w:pPr>
        <w:autoSpaceDE w:val="0"/>
        <w:autoSpaceDN w:val="0"/>
        <w:adjustRightInd w:val="0"/>
        <w:spacing w:after="0" w:line="240" w:lineRule="auto"/>
        <w:rPr>
          <w:lang w:val="en-US" w:eastAsia="en-GB" w:bidi="ar-SA"/>
        </w:rPr>
      </w:pPr>
    </w:p>
    <w:p w14:paraId="03C5B02D" w14:textId="77777777" w:rsidR="00DF3B89" w:rsidRPr="00DD1B58" w:rsidRDefault="00DF3B89" w:rsidP="00177432">
      <w:pPr>
        <w:pStyle w:val="Heading5A"/>
        <w:numPr>
          <w:ilvl w:val="5"/>
          <w:numId w:val="7"/>
        </w:numPr>
        <w:rPr>
          <w:lang w:val="en-US"/>
        </w:rPr>
      </w:pPr>
      <w:r w:rsidRPr="00DD1B58">
        <w:rPr>
          <w:lang w:val="en-US"/>
        </w:rPr>
        <w:t>Types, main characteristics and performance expectations</w:t>
      </w:r>
    </w:p>
    <w:p w14:paraId="52044E0B" w14:textId="3F746C23" w:rsidR="00253F0E" w:rsidRPr="00DD1B58" w:rsidRDefault="00DC3525" w:rsidP="60E054AF">
      <w:pPr>
        <w:autoSpaceDE w:val="0"/>
        <w:autoSpaceDN w:val="0"/>
        <w:adjustRightInd w:val="0"/>
        <w:spacing w:after="0" w:line="240" w:lineRule="auto"/>
        <w:rPr>
          <w:lang w:val="en-US" w:eastAsia="en-GB" w:bidi="ar-SA"/>
        </w:rPr>
      </w:pPr>
      <w:r w:rsidRPr="00DD1B58">
        <w:rPr>
          <w:lang w:val="en-US"/>
        </w:rPr>
        <w:t xml:space="preserve">UUK </w:t>
      </w:r>
      <w:r w:rsidR="00170E86" w:rsidRPr="00DD1B58">
        <w:rPr>
          <w:lang w:val="en-US"/>
        </w:rPr>
        <w:t>reports that its</w:t>
      </w:r>
      <w:r w:rsidRPr="00DD1B58">
        <w:rPr>
          <w:lang w:val="en-US"/>
        </w:rPr>
        <w:t xml:space="preserve"> arrangements </w:t>
      </w:r>
      <w:r w:rsidR="00170E86" w:rsidRPr="00DD1B58">
        <w:rPr>
          <w:lang w:val="en-US" w:eastAsia="en-GB" w:bidi="ar-SA"/>
        </w:rPr>
        <w:t>for</w:t>
      </w:r>
      <w:r w:rsidRPr="00DD1B58">
        <w:rPr>
          <w:lang w:val="en-US" w:eastAsia="en-GB" w:bidi="ar-SA"/>
        </w:rPr>
        <w:t xml:space="preserve"> </w:t>
      </w:r>
      <w:r w:rsidR="00253F0E" w:rsidRPr="00DD1B58">
        <w:rPr>
          <w:lang w:val="en-US" w:eastAsia="en-GB" w:bidi="ar-SA"/>
        </w:rPr>
        <w:t xml:space="preserve">adequate capacity and coverage of water for </w:t>
      </w:r>
      <w:r w:rsidR="004F5760" w:rsidRPr="00DD1B58">
        <w:rPr>
          <w:lang w:val="en-US" w:eastAsia="en-GB" w:bidi="ar-SA"/>
        </w:rPr>
        <w:t>firefight</w:t>
      </w:r>
      <w:r w:rsidR="00253F0E" w:rsidRPr="00DD1B58">
        <w:rPr>
          <w:lang w:val="en-US" w:eastAsia="en-GB" w:bidi="ar-SA"/>
        </w:rPr>
        <w:t xml:space="preserve">ing was taken from Water UK ‘National Guidance Document for the Provision of Water for </w:t>
      </w:r>
      <w:r w:rsidR="004F5760" w:rsidRPr="00DD1B58">
        <w:rPr>
          <w:lang w:val="en-US" w:eastAsia="en-GB" w:bidi="ar-SA"/>
        </w:rPr>
        <w:t>Firefight</w:t>
      </w:r>
      <w:r w:rsidR="00253F0E" w:rsidRPr="00DD1B58">
        <w:rPr>
          <w:lang w:val="en-US" w:eastAsia="en-GB" w:bidi="ar-SA"/>
        </w:rPr>
        <w:t>ing’</w:t>
      </w:r>
      <w:sdt>
        <w:sdtPr>
          <w:rPr>
            <w:lang w:val="en-US" w:eastAsia="en-GB" w:bidi="ar-SA"/>
          </w:rPr>
          <w:id w:val="-1088310037"/>
          <w:citation/>
        </w:sdtPr>
        <w:sdtContent>
          <w:r w:rsidR="00403B20" w:rsidRPr="00DD1B58">
            <w:rPr>
              <w:lang w:val="en-US" w:eastAsia="en-GB" w:bidi="ar-SA"/>
            </w:rPr>
            <w:fldChar w:fldCharType="begin"/>
          </w:r>
          <w:r w:rsidR="00403B20" w:rsidRPr="00DD1B58">
            <w:rPr>
              <w:lang w:val="en-US" w:eastAsia="en-GB" w:bidi="ar-SA"/>
            </w:rPr>
            <w:instrText xml:space="preserve"> CITATION Wat07 \l 2057 </w:instrText>
          </w:r>
          <w:r w:rsidR="00403B20" w:rsidRPr="00DD1B58">
            <w:rPr>
              <w:lang w:val="en-US" w:eastAsia="en-GB" w:bidi="ar-SA"/>
            </w:rPr>
            <w:fldChar w:fldCharType="separate"/>
          </w:r>
          <w:r w:rsidR="00DF47DA">
            <w:rPr>
              <w:noProof/>
              <w:lang w:val="en-US" w:eastAsia="en-GB" w:bidi="ar-SA"/>
            </w:rPr>
            <w:t xml:space="preserve"> </w:t>
          </w:r>
          <w:r w:rsidR="00DF47DA" w:rsidRPr="00DF47DA">
            <w:rPr>
              <w:noProof/>
              <w:lang w:val="en-US" w:eastAsia="en-GB" w:bidi="ar-SA"/>
            </w:rPr>
            <w:t>[183]</w:t>
          </w:r>
          <w:r w:rsidR="00403B20" w:rsidRPr="00DD1B58">
            <w:rPr>
              <w:lang w:val="en-US" w:eastAsia="en-GB" w:bidi="ar-SA"/>
            </w:rPr>
            <w:fldChar w:fldCharType="end"/>
          </w:r>
        </w:sdtContent>
      </w:sdt>
      <w:r w:rsidR="00253F0E" w:rsidRPr="00DD1B58">
        <w:rPr>
          <w:lang w:val="en-US" w:eastAsia="en-GB" w:bidi="ar-SA"/>
        </w:rPr>
        <w:t xml:space="preserve"> where it was stated that for industrial sites over 3 hectares 75 litres per minute must be achieved.</w:t>
      </w:r>
    </w:p>
    <w:p w14:paraId="0A32CF78" w14:textId="77777777" w:rsidR="00253F0E" w:rsidRPr="00DD1B58" w:rsidRDefault="00253F0E" w:rsidP="60E054AF">
      <w:pPr>
        <w:autoSpaceDE w:val="0"/>
        <w:autoSpaceDN w:val="0"/>
        <w:adjustRightInd w:val="0"/>
        <w:spacing w:after="0" w:line="240" w:lineRule="auto"/>
        <w:rPr>
          <w:lang w:val="en-US" w:eastAsia="en-GB" w:bidi="ar-SA"/>
        </w:rPr>
      </w:pPr>
    </w:p>
    <w:p w14:paraId="5A4DEF68" w14:textId="5A2E2688" w:rsidR="00253F0E" w:rsidRPr="00DD1B58" w:rsidRDefault="00170E86" w:rsidP="60E054AF">
      <w:pPr>
        <w:autoSpaceDE w:val="0"/>
        <w:autoSpaceDN w:val="0"/>
        <w:adjustRightInd w:val="0"/>
        <w:spacing w:after="0" w:line="240" w:lineRule="auto"/>
        <w:rPr>
          <w:lang w:val="en-US" w:eastAsia="en-GB" w:bidi="ar-SA"/>
        </w:rPr>
      </w:pPr>
      <w:r w:rsidRPr="00DD1B58">
        <w:rPr>
          <w:lang w:val="en-US" w:eastAsia="en-GB" w:bidi="ar-SA"/>
        </w:rPr>
        <w:t xml:space="preserve">UUK also </w:t>
      </w:r>
      <w:r w:rsidR="006D798B" w:rsidRPr="00DD1B58">
        <w:rPr>
          <w:lang w:val="en-US" w:eastAsia="en-GB" w:bidi="ar-SA"/>
        </w:rPr>
        <w:t>states that</w:t>
      </w:r>
      <w:r w:rsidRPr="00DD1B58">
        <w:rPr>
          <w:lang w:val="en-US" w:eastAsia="en-GB" w:bidi="ar-SA"/>
        </w:rPr>
        <w:t xml:space="preserve"> the </w:t>
      </w:r>
      <w:r w:rsidR="00253F0E" w:rsidRPr="00DD1B58">
        <w:rPr>
          <w:lang w:val="en-US" w:eastAsia="en-GB" w:bidi="ar-SA"/>
        </w:rPr>
        <w:t>existing fire main is of varying age from 1940 to 2018, comprising of materials of construction commensurate with those periods. Fire water is supplied to a site ring main from raw water ponds with feeds to a fire water storage tank with a capacity c.8800 m</w:t>
      </w:r>
      <w:r w:rsidR="00253F0E" w:rsidRPr="00DD1B58">
        <w:rPr>
          <w:vertAlign w:val="superscript"/>
          <w:lang w:val="en-US" w:eastAsia="en-GB" w:bidi="ar-SA"/>
        </w:rPr>
        <w:t>3</w:t>
      </w:r>
      <w:r w:rsidR="00253F0E" w:rsidRPr="00DD1B58">
        <w:rPr>
          <w:lang w:val="en-US" w:eastAsia="en-GB" w:bidi="ar-SA"/>
        </w:rPr>
        <w:t xml:space="preserve"> and 260</w:t>
      </w:r>
      <w:r w:rsidRPr="00DD1B58">
        <w:rPr>
          <w:lang w:val="en-US" w:eastAsia="en-GB" w:bidi="ar-SA"/>
        </w:rPr>
        <w:t xml:space="preserve"> </w:t>
      </w:r>
      <w:r w:rsidR="00253F0E" w:rsidRPr="00DD1B58">
        <w:rPr>
          <w:lang w:val="en-US" w:eastAsia="en-GB" w:bidi="ar-SA"/>
        </w:rPr>
        <w:t>m</w:t>
      </w:r>
      <w:r w:rsidR="00253F0E" w:rsidRPr="00DD1B58">
        <w:rPr>
          <w:vertAlign w:val="superscript"/>
          <w:lang w:val="en-US" w:eastAsia="en-GB" w:bidi="ar-SA"/>
        </w:rPr>
        <w:t>3</w:t>
      </w:r>
      <w:r w:rsidR="00253F0E" w:rsidRPr="00DD1B58">
        <w:rPr>
          <w:lang w:val="en-US" w:eastAsia="en-GB" w:bidi="ar-SA"/>
        </w:rPr>
        <w:t xml:space="preserve"> accordingly. Under firefighting conditions, the fire main is pressurised by fire pumps with secondary pump sets comprising of electric and diesel supply. Under non-firefighting conditions the fire main is pressurised via a cross connection to the raw water mains network and typically pressurised to 3.3 Bar(g) via a jockey pump and non-return valve. </w:t>
      </w:r>
      <w:r w:rsidR="0062074B" w:rsidRPr="00DD1B58">
        <w:rPr>
          <w:lang w:val="en-US" w:eastAsia="en-GB" w:bidi="ar-SA"/>
        </w:rPr>
        <w:t xml:space="preserve">UUK </w:t>
      </w:r>
      <w:r w:rsidR="006D798B" w:rsidRPr="00DD1B58">
        <w:rPr>
          <w:lang w:val="en-US" w:eastAsia="en-GB" w:bidi="ar-SA"/>
        </w:rPr>
        <w:t>reports that</w:t>
      </w:r>
      <w:r w:rsidR="0062074B" w:rsidRPr="00DD1B58">
        <w:rPr>
          <w:lang w:val="en-US" w:eastAsia="en-GB" w:bidi="ar-SA"/>
        </w:rPr>
        <w:t xml:space="preserve"> there </w:t>
      </w:r>
      <w:r w:rsidR="00442210" w:rsidRPr="00DD1B58">
        <w:rPr>
          <w:lang w:val="en-US" w:eastAsia="en-GB" w:bidi="ar-SA"/>
        </w:rPr>
        <w:t>are</w:t>
      </w:r>
      <w:r w:rsidR="00253F0E" w:rsidRPr="00DD1B58">
        <w:rPr>
          <w:lang w:val="en-US" w:eastAsia="en-GB" w:bidi="ar-SA"/>
        </w:rPr>
        <w:t xml:space="preserve"> no water suppression systems connected</w:t>
      </w:r>
      <w:r w:rsidR="00E21B09" w:rsidRPr="00DD1B58">
        <w:rPr>
          <w:lang w:val="en-US" w:eastAsia="en-GB" w:bidi="ar-SA"/>
        </w:rPr>
        <w:t xml:space="preserve"> </w:t>
      </w:r>
      <w:r w:rsidR="00253F0E" w:rsidRPr="00DD1B58">
        <w:rPr>
          <w:lang w:val="en-US" w:eastAsia="en-GB" w:bidi="ar-SA"/>
        </w:rPr>
        <w:t>to this system.</w:t>
      </w:r>
    </w:p>
    <w:p w14:paraId="7AE64730" w14:textId="77777777" w:rsidR="00E21B09" w:rsidRPr="00DD1B58" w:rsidRDefault="00E21B09" w:rsidP="60E054AF">
      <w:pPr>
        <w:autoSpaceDE w:val="0"/>
        <w:autoSpaceDN w:val="0"/>
        <w:adjustRightInd w:val="0"/>
        <w:spacing w:after="0" w:line="240" w:lineRule="auto"/>
        <w:rPr>
          <w:lang w:val="en-US" w:eastAsia="en-GB" w:bidi="ar-SA"/>
        </w:rPr>
      </w:pPr>
    </w:p>
    <w:p w14:paraId="6F45F78B" w14:textId="226202F6" w:rsidR="00E23156" w:rsidRPr="00DD1B58" w:rsidRDefault="0062074B"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the </w:t>
      </w:r>
      <w:r w:rsidR="00253F0E" w:rsidRPr="00DD1B58">
        <w:rPr>
          <w:lang w:val="en-US" w:eastAsia="en-GB" w:bidi="ar-SA"/>
        </w:rPr>
        <w:t xml:space="preserve">location of hydrants for firefighting are such that there are no instances where </w:t>
      </w:r>
      <w:r w:rsidRPr="00DD1B58">
        <w:rPr>
          <w:lang w:val="en-US" w:eastAsia="en-GB" w:bidi="ar-SA"/>
        </w:rPr>
        <w:t xml:space="preserve">distance </w:t>
      </w:r>
      <w:r w:rsidR="00253F0E" w:rsidRPr="00DD1B58">
        <w:rPr>
          <w:lang w:val="en-US" w:eastAsia="en-GB" w:bidi="ar-SA"/>
        </w:rPr>
        <w:t>is</w:t>
      </w:r>
      <w:r w:rsidR="00E21B09" w:rsidRPr="00DD1B58">
        <w:rPr>
          <w:lang w:val="en-US" w:eastAsia="en-GB" w:bidi="ar-SA"/>
        </w:rPr>
        <w:t xml:space="preserve"> </w:t>
      </w:r>
      <w:r w:rsidR="00253F0E" w:rsidRPr="00DD1B58">
        <w:rPr>
          <w:lang w:val="en-US" w:eastAsia="en-GB" w:bidi="ar-SA"/>
        </w:rPr>
        <w:t xml:space="preserve">greater than 90m of any building on site. </w:t>
      </w:r>
      <w:r w:rsidR="003D2688" w:rsidRPr="00DD1B58">
        <w:rPr>
          <w:lang w:val="en-US" w:eastAsia="en-GB" w:bidi="ar-SA"/>
        </w:rPr>
        <w:t xml:space="preserve">It also </w:t>
      </w:r>
      <w:r w:rsidR="006D798B" w:rsidRPr="00DD1B58">
        <w:rPr>
          <w:lang w:val="en-US" w:eastAsia="en-GB" w:bidi="ar-SA"/>
        </w:rPr>
        <w:t>reports that</w:t>
      </w:r>
      <w:r w:rsidR="003D2688" w:rsidRPr="00DD1B58">
        <w:rPr>
          <w:lang w:val="en-US" w:eastAsia="en-GB" w:bidi="ar-SA"/>
        </w:rPr>
        <w:t xml:space="preserve"> s</w:t>
      </w:r>
      <w:r w:rsidR="00253F0E" w:rsidRPr="00DD1B58">
        <w:rPr>
          <w:lang w:val="en-US" w:eastAsia="en-GB" w:bidi="ar-SA"/>
        </w:rPr>
        <w:t>tandard 70</w:t>
      </w:r>
      <w:r w:rsidR="00F34C02" w:rsidRPr="00DD1B58">
        <w:rPr>
          <w:lang w:val="en-US" w:eastAsia="en-GB" w:bidi="ar-SA"/>
        </w:rPr>
        <w:t xml:space="preserve"> </w:t>
      </w:r>
      <w:r w:rsidR="00253F0E" w:rsidRPr="00DD1B58">
        <w:rPr>
          <w:lang w:val="en-US" w:eastAsia="en-GB" w:bidi="ar-SA"/>
        </w:rPr>
        <w:t>mm and 45</w:t>
      </w:r>
      <w:r w:rsidR="00F34C02" w:rsidRPr="00DD1B58">
        <w:rPr>
          <w:lang w:val="en-US" w:eastAsia="en-GB" w:bidi="ar-SA"/>
        </w:rPr>
        <w:t xml:space="preserve"> </w:t>
      </w:r>
      <w:r w:rsidR="00253F0E" w:rsidRPr="00DD1B58">
        <w:rPr>
          <w:lang w:val="en-US" w:eastAsia="en-GB" w:bidi="ar-SA"/>
        </w:rPr>
        <w:t>mm hoses are used (compatible</w:t>
      </w:r>
      <w:r w:rsidR="00E21B09" w:rsidRPr="00DD1B58">
        <w:rPr>
          <w:lang w:val="en-US" w:eastAsia="en-GB" w:bidi="ar-SA"/>
        </w:rPr>
        <w:t xml:space="preserve"> </w:t>
      </w:r>
      <w:r w:rsidR="00253F0E" w:rsidRPr="00DD1B58">
        <w:rPr>
          <w:lang w:val="en-US" w:eastAsia="en-GB" w:bidi="ar-SA"/>
        </w:rPr>
        <w:t>with offsite emergency services equipment) with the additional availability of medium/high volume</w:t>
      </w:r>
      <w:r w:rsidR="00E21B09" w:rsidRPr="00DD1B58">
        <w:rPr>
          <w:lang w:val="en-US" w:eastAsia="en-GB" w:bidi="ar-SA"/>
        </w:rPr>
        <w:t xml:space="preserve"> </w:t>
      </w:r>
      <w:r w:rsidR="00253F0E" w:rsidRPr="00DD1B58">
        <w:rPr>
          <w:lang w:val="en-US" w:eastAsia="en-GB" w:bidi="ar-SA"/>
        </w:rPr>
        <w:t>pump within 45 minutes of request via external Fire &amp; Rescue Service.</w:t>
      </w:r>
    </w:p>
    <w:p w14:paraId="6A367A1E" w14:textId="77777777" w:rsidR="005B74B3" w:rsidRPr="00DD1B58" w:rsidRDefault="005B74B3" w:rsidP="60E054AF">
      <w:pPr>
        <w:autoSpaceDE w:val="0"/>
        <w:autoSpaceDN w:val="0"/>
        <w:adjustRightInd w:val="0"/>
        <w:spacing w:after="0" w:line="240" w:lineRule="auto"/>
        <w:rPr>
          <w:lang w:val="en-US" w:eastAsia="en-GB" w:bidi="ar-SA"/>
        </w:rPr>
      </w:pPr>
    </w:p>
    <w:p w14:paraId="46F7BD05" w14:textId="77777777" w:rsidR="00DF3B89" w:rsidRPr="00DD1B58" w:rsidRDefault="00DF3B89" w:rsidP="00177432">
      <w:pPr>
        <w:pStyle w:val="Heading5A"/>
        <w:numPr>
          <w:ilvl w:val="5"/>
          <w:numId w:val="7"/>
        </w:numPr>
        <w:rPr>
          <w:lang w:val="en-US"/>
        </w:rPr>
      </w:pPr>
      <w:r w:rsidRPr="00DD1B58">
        <w:rPr>
          <w:lang w:val="en-US"/>
        </w:rPr>
        <w:t>Management of harmful effects and consequential hazards</w:t>
      </w:r>
    </w:p>
    <w:p w14:paraId="75A60408" w14:textId="1D1B498F" w:rsidR="005B74B3" w:rsidRPr="00DD1B58" w:rsidRDefault="008412A6" w:rsidP="60E054AF">
      <w:pPr>
        <w:autoSpaceDE w:val="0"/>
        <w:autoSpaceDN w:val="0"/>
        <w:adjustRightInd w:val="0"/>
        <w:spacing w:after="0" w:line="240" w:lineRule="auto"/>
        <w:rPr>
          <w:lang w:val="en-US" w:eastAsia="en-GB" w:bidi="ar-SA"/>
        </w:rPr>
      </w:pPr>
      <w:r w:rsidRPr="00DD1B58">
        <w:rPr>
          <w:lang w:val="en-US"/>
        </w:rPr>
        <w:t xml:space="preserve">With no </w:t>
      </w:r>
      <w:r w:rsidRPr="00DD1B58">
        <w:rPr>
          <w:lang w:val="en-US" w:eastAsia="en-GB" w:bidi="ar-SA"/>
        </w:rPr>
        <w:t xml:space="preserve">nuclear safety claims made on fire suppression systems </w:t>
      </w:r>
      <w:r w:rsidR="00D6770B" w:rsidRPr="00DD1B58">
        <w:rPr>
          <w:lang w:val="en-US" w:eastAsia="en-GB" w:bidi="ar-SA"/>
        </w:rPr>
        <w:t>UUK has</w:t>
      </w:r>
      <w:r w:rsidRPr="00DD1B58">
        <w:rPr>
          <w:lang w:val="en-US" w:eastAsia="en-GB" w:bidi="ar-SA"/>
        </w:rPr>
        <w:t xml:space="preserve"> no requirement for</w:t>
      </w:r>
      <w:r w:rsidR="00D6770B" w:rsidRPr="00DD1B58">
        <w:rPr>
          <w:lang w:val="en-US" w:eastAsia="en-GB" w:bidi="ar-SA"/>
        </w:rPr>
        <w:t xml:space="preserve"> </w:t>
      </w:r>
      <w:r w:rsidRPr="00DD1B58">
        <w:rPr>
          <w:lang w:val="en-US" w:eastAsia="en-GB" w:bidi="ar-SA"/>
        </w:rPr>
        <w:t xml:space="preserve">seismic qualification of the systems installed. </w:t>
      </w:r>
      <w:r w:rsidR="00D6770B" w:rsidRPr="00DD1B58">
        <w:rPr>
          <w:lang w:val="en-US" w:eastAsia="en-GB" w:bidi="ar-SA"/>
        </w:rPr>
        <w:t xml:space="preserve"> UUK s</w:t>
      </w:r>
      <w:r w:rsidRPr="00DD1B58">
        <w:rPr>
          <w:lang w:val="en-US" w:eastAsia="en-GB" w:bidi="ar-SA"/>
        </w:rPr>
        <w:t xml:space="preserve">uppression systems are gaseous and within fire compartmentation. </w:t>
      </w:r>
      <w:r w:rsidR="00D6770B" w:rsidRPr="00DD1B58">
        <w:rPr>
          <w:lang w:val="en-US" w:eastAsia="en-GB" w:bidi="ar-SA"/>
        </w:rPr>
        <w:t xml:space="preserve">UUK </w:t>
      </w:r>
      <w:r w:rsidR="006D798B" w:rsidRPr="00DD1B58">
        <w:rPr>
          <w:lang w:val="en-US" w:eastAsia="en-GB" w:bidi="ar-SA"/>
        </w:rPr>
        <w:t>reports that</w:t>
      </w:r>
      <w:r w:rsidR="00D6770B" w:rsidRPr="00DD1B58">
        <w:rPr>
          <w:lang w:val="en-US" w:eastAsia="en-GB" w:bidi="ar-SA"/>
        </w:rPr>
        <w:t xml:space="preserve"> the </w:t>
      </w:r>
      <w:r w:rsidRPr="00DD1B58">
        <w:rPr>
          <w:lang w:val="en-US" w:eastAsia="en-GB" w:bidi="ar-SA"/>
        </w:rPr>
        <w:t>inventory provided for each suppression system will not extend beyond confined limits</w:t>
      </w:r>
      <w:r w:rsidR="00252B64" w:rsidRPr="00DD1B58">
        <w:rPr>
          <w:lang w:val="en-US" w:eastAsia="en-GB" w:bidi="ar-SA"/>
        </w:rPr>
        <w:t xml:space="preserve">. UUK </w:t>
      </w:r>
      <w:r w:rsidR="006D798B" w:rsidRPr="00DD1B58">
        <w:rPr>
          <w:lang w:val="en-US" w:eastAsia="en-GB" w:bidi="ar-SA"/>
        </w:rPr>
        <w:t>states that</w:t>
      </w:r>
      <w:r w:rsidR="00252B64" w:rsidRPr="00DD1B58">
        <w:rPr>
          <w:lang w:val="en-US" w:eastAsia="en-GB" w:bidi="ar-SA"/>
        </w:rPr>
        <w:t xml:space="preserve"> </w:t>
      </w:r>
      <w:r w:rsidRPr="00DD1B58">
        <w:rPr>
          <w:lang w:val="en-US" w:eastAsia="en-GB" w:bidi="ar-SA"/>
        </w:rPr>
        <w:t>fire resistant compartmentation and segregation of flooding risks whether domestic or natural hazard given the geographical location of site and protected structures within do not present a credible risk.</w:t>
      </w:r>
      <w:r w:rsidR="00DE65D6" w:rsidRPr="00DD1B58">
        <w:rPr>
          <w:lang w:val="en-US" w:eastAsia="en-GB" w:bidi="ar-SA"/>
        </w:rPr>
        <w:t xml:space="preserve"> </w:t>
      </w:r>
      <w:r w:rsidR="00252B64" w:rsidRPr="00DD1B58">
        <w:rPr>
          <w:lang w:val="en-US" w:eastAsia="en-GB" w:bidi="ar-SA"/>
        </w:rPr>
        <w:t xml:space="preserve">UUK also </w:t>
      </w:r>
      <w:r w:rsidR="006D798B" w:rsidRPr="00DD1B58">
        <w:rPr>
          <w:lang w:val="en-US" w:eastAsia="en-GB" w:bidi="ar-SA"/>
        </w:rPr>
        <w:t>reports that</w:t>
      </w:r>
      <w:r w:rsidR="00252B64" w:rsidRPr="00DD1B58">
        <w:rPr>
          <w:lang w:val="en-US" w:eastAsia="en-GB" w:bidi="ar-SA"/>
        </w:rPr>
        <w:t xml:space="preserve"> s</w:t>
      </w:r>
      <w:r w:rsidR="00DE65D6" w:rsidRPr="00DD1B58">
        <w:rPr>
          <w:lang w:val="en-US" w:eastAsia="en-GB" w:bidi="ar-SA"/>
        </w:rPr>
        <w:t>uppression systems are to protect emergency power systems only and are not present in areas that may affect radiological containment, criticality or stored waste.</w:t>
      </w:r>
    </w:p>
    <w:p w14:paraId="7CF59738" w14:textId="77777777" w:rsidR="008078B1" w:rsidRPr="00DD1B58" w:rsidRDefault="008078B1" w:rsidP="60E054AF">
      <w:pPr>
        <w:autoSpaceDE w:val="0"/>
        <w:autoSpaceDN w:val="0"/>
        <w:adjustRightInd w:val="0"/>
        <w:spacing w:after="0" w:line="240" w:lineRule="auto"/>
        <w:rPr>
          <w:lang w:val="en-US" w:eastAsia="en-GB" w:bidi="ar-SA"/>
        </w:rPr>
      </w:pPr>
    </w:p>
    <w:p w14:paraId="74B74A55" w14:textId="77777777" w:rsidR="00DF3B89" w:rsidRPr="00DD1B58" w:rsidRDefault="00DF3B89" w:rsidP="00177432">
      <w:pPr>
        <w:pStyle w:val="Heading5A"/>
        <w:numPr>
          <w:ilvl w:val="5"/>
          <w:numId w:val="7"/>
        </w:numPr>
        <w:rPr>
          <w:lang w:val="en-US"/>
        </w:rPr>
      </w:pPr>
      <w:r w:rsidRPr="00DD1B58">
        <w:rPr>
          <w:lang w:val="en-US"/>
        </w:rPr>
        <w:t xml:space="preserve">Alternative/temporary provisions </w:t>
      </w:r>
    </w:p>
    <w:p w14:paraId="36AB9CFC" w14:textId="419FC5D5" w:rsidR="00EC5E69" w:rsidRPr="00DD1B58" w:rsidRDefault="00252B64" w:rsidP="60E054AF">
      <w:pPr>
        <w:autoSpaceDE w:val="0"/>
        <w:autoSpaceDN w:val="0"/>
        <w:adjustRightInd w:val="0"/>
        <w:spacing w:after="0" w:line="240" w:lineRule="auto"/>
        <w:rPr>
          <w:lang w:val="en-US" w:eastAsia="en-GB" w:bidi="ar-SA"/>
        </w:rPr>
      </w:pPr>
      <w:r w:rsidRPr="00DD1B58">
        <w:rPr>
          <w:lang w:val="en-US"/>
        </w:rPr>
        <w:t xml:space="preserve">UUK </w:t>
      </w:r>
      <w:r w:rsidR="00EC5E69" w:rsidRPr="00DD1B58">
        <w:rPr>
          <w:lang w:val="en-US" w:eastAsia="en-GB" w:bidi="ar-SA"/>
        </w:rPr>
        <w:t>Capenhurst do</w:t>
      </w:r>
      <w:r w:rsidRPr="00DD1B58">
        <w:rPr>
          <w:lang w:val="en-US" w:eastAsia="en-GB" w:bidi="ar-SA"/>
        </w:rPr>
        <w:t>es</w:t>
      </w:r>
      <w:r w:rsidR="00EC5E69" w:rsidRPr="00DD1B58">
        <w:rPr>
          <w:lang w:val="en-US" w:eastAsia="en-GB" w:bidi="ar-SA"/>
        </w:rPr>
        <w:t xml:space="preserve"> not have suppression systems in areas with claims of nuclear safety, therefore systems are primarily to minimise extent of equipment damage. In the event of requirement for alternative arrangements/temporary provisions,</w:t>
      </w:r>
      <w:r w:rsidR="00435AD7" w:rsidRPr="00DD1B58">
        <w:rPr>
          <w:lang w:val="en-US" w:eastAsia="en-GB" w:bidi="ar-SA"/>
        </w:rPr>
        <w:t xml:space="preserve"> UUK </w:t>
      </w:r>
      <w:r w:rsidR="006D798B" w:rsidRPr="00DD1B58">
        <w:rPr>
          <w:lang w:val="en-US" w:eastAsia="en-GB" w:bidi="ar-SA"/>
        </w:rPr>
        <w:t>reports that</w:t>
      </w:r>
      <w:r w:rsidR="00EC5E69" w:rsidRPr="00DD1B58">
        <w:rPr>
          <w:lang w:val="en-US" w:eastAsia="en-GB" w:bidi="ar-SA"/>
        </w:rPr>
        <w:t xml:space="preserve"> the Fire Safety Specialist </w:t>
      </w:r>
      <w:r w:rsidR="00435AD7" w:rsidRPr="00DD1B58">
        <w:rPr>
          <w:lang w:val="en-US" w:eastAsia="en-GB" w:bidi="ar-SA"/>
        </w:rPr>
        <w:t xml:space="preserve">assesses the case </w:t>
      </w:r>
      <w:r w:rsidR="00EC5E69" w:rsidRPr="00DD1B58">
        <w:rPr>
          <w:lang w:val="en-US" w:eastAsia="en-GB" w:bidi="ar-SA"/>
        </w:rPr>
        <w:t>based upon duration and business risk from the affected system</w:t>
      </w:r>
      <w:r w:rsidR="00435AD7" w:rsidRPr="00DD1B58">
        <w:rPr>
          <w:lang w:val="en-US" w:eastAsia="en-GB" w:bidi="ar-SA"/>
        </w:rPr>
        <w:t xml:space="preserve">, </w:t>
      </w:r>
      <w:r w:rsidR="00EC5E69" w:rsidRPr="00DD1B58">
        <w:rPr>
          <w:lang w:val="en-US" w:eastAsia="en-GB" w:bidi="ar-SA"/>
        </w:rPr>
        <w:t xml:space="preserve">with targeted response options provided via the on-site Incident Response Service </w:t>
      </w:r>
      <w:r w:rsidR="00435AD7" w:rsidRPr="00DD1B58">
        <w:rPr>
          <w:lang w:val="en-US" w:eastAsia="en-GB" w:bidi="ar-SA"/>
        </w:rPr>
        <w:t>(</w:t>
      </w:r>
      <w:r w:rsidR="00EC5E69" w:rsidRPr="00DD1B58">
        <w:rPr>
          <w:lang w:val="en-US" w:eastAsia="en-GB" w:bidi="ar-SA"/>
        </w:rPr>
        <w:t>in terms of firefighting media and approach</w:t>
      </w:r>
      <w:r w:rsidR="00435AD7" w:rsidRPr="00DD1B58">
        <w:rPr>
          <w:lang w:val="en-US" w:eastAsia="en-GB" w:bidi="ar-SA"/>
        </w:rPr>
        <w:t>)</w:t>
      </w:r>
      <w:r w:rsidR="00EC5E69" w:rsidRPr="00DD1B58">
        <w:rPr>
          <w:lang w:val="en-US" w:eastAsia="en-GB" w:bidi="ar-SA"/>
        </w:rPr>
        <w:t xml:space="preserve">. </w:t>
      </w:r>
      <w:r w:rsidR="00435AD7" w:rsidRPr="00DD1B58">
        <w:rPr>
          <w:lang w:val="en-US" w:eastAsia="en-GB" w:bidi="ar-SA"/>
        </w:rPr>
        <w:t xml:space="preserve">UUK </w:t>
      </w:r>
      <w:r w:rsidR="006D798B" w:rsidRPr="00DD1B58">
        <w:rPr>
          <w:lang w:val="en-US" w:eastAsia="en-GB" w:bidi="ar-SA"/>
        </w:rPr>
        <w:t>reports that</w:t>
      </w:r>
      <w:r w:rsidR="00435AD7" w:rsidRPr="00DD1B58">
        <w:rPr>
          <w:lang w:val="en-US" w:eastAsia="en-GB" w:bidi="ar-SA"/>
        </w:rPr>
        <w:t xml:space="preserve"> the </w:t>
      </w:r>
      <w:r w:rsidR="00EC5E69" w:rsidRPr="00DD1B58">
        <w:rPr>
          <w:lang w:val="en-US" w:eastAsia="en-GB" w:bidi="ar-SA"/>
        </w:rPr>
        <w:t xml:space="preserve">response may be supplemented by local operating teams </w:t>
      </w:r>
      <w:r w:rsidR="00435AD7" w:rsidRPr="00DD1B58">
        <w:rPr>
          <w:lang w:val="en-US" w:eastAsia="en-GB" w:bidi="ar-SA"/>
        </w:rPr>
        <w:t xml:space="preserve">where </w:t>
      </w:r>
      <w:r w:rsidR="00F01781" w:rsidRPr="00DD1B58">
        <w:rPr>
          <w:lang w:val="en-US" w:eastAsia="en-GB" w:bidi="ar-SA"/>
        </w:rPr>
        <w:t>their</w:t>
      </w:r>
      <w:r w:rsidR="00435AD7" w:rsidRPr="00DD1B58">
        <w:rPr>
          <w:lang w:val="en-US" w:eastAsia="en-GB" w:bidi="ar-SA"/>
        </w:rPr>
        <w:t xml:space="preserve"> locations are adjacent to business-critical areas, UUK </w:t>
      </w:r>
      <w:r w:rsidR="006D798B" w:rsidRPr="00DD1B58">
        <w:rPr>
          <w:lang w:val="en-US" w:eastAsia="en-GB" w:bidi="ar-SA"/>
        </w:rPr>
        <w:t>states that</w:t>
      </w:r>
      <w:r w:rsidR="00435AD7" w:rsidRPr="00DD1B58">
        <w:rPr>
          <w:lang w:val="en-US" w:eastAsia="en-GB" w:bidi="ar-SA"/>
        </w:rPr>
        <w:t xml:space="preserve"> these teams would be p</w:t>
      </w:r>
      <w:r w:rsidR="00EC5E69" w:rsidRPr="00DD1B58">
        <w:rPr>
          <w:lang w:val="en-US" w:eastAsia="en-GB" w:bidi="ar-SA"/>
        </w:rPr>
        <w:t>rovided with specialist extinguishers and training to facilitate early intervention.</w:t>
      </w:r>
    </w:p>
    <w:p w14:paraId="70B23DFF" w14:textId="77777777" w:rsidR="00EC5E69" w:rsidRPr="00DD1B58" w:rsidRDefault="00EC5E69" w:rsidP="60E054AF">
      <w:pPr>
        <w:autoSpaceDE w:val="0"/>
        <w:autoSpaceDN w:val="0"/>
        <w:adjustRightInd w:val="0"/>
        <w:spacing w:after="0" w:line="240" w:lineRule="auto"/>
        <w:rPr>
          <w:lang w:val="en-US" w:eastAsia="en-GB" w:bidi="ar-SA"/>
        </w:rPr>
      </w:pPr>
    </w:p>
    <w:p w14:paraId="0101404C" w14:textId="77777777" w:rsidR="003F16E8" w:rsidRPr="00DD1B58" w:rsidRDefault="00DF3B89" w:rsidP="00177432">
      <w:pPr>
        <w:pStyle w:val="Heading5A"/>
        <w:rPr>
          <w:lang w:val="en-US"/>
        </w:rPr>
      </w:pPr>
      <w:r w:rsidRPr="00DD1B58">
        <w:rPr>
          <w:lang w:val="en-US"/>
        </w:rPr>
        <w:t>Administrative and organisational fire protection issues</w:t>
      </w:r>
    </w:p>
    <w:p w14:paraId="280C6360" w14:textId="77777777" w:rsidR="00DF3B89" w:rsidRPr="00DD1B58" w:rsidRDefault="00DF3B89" w:rsidP="00177432">
      <w:pPr>
        <w:pStyle w:val="Heading5A"/>
        <w:numPr>
          <w:ilvl w:val="5"/>
          <w:numId w:val="7"/>
        </w:numPr>
        <w:rPr>
          <w:lang w:val="en-US"/>
        </w:rPr>
      </w:pPr>
      <w:r w:rsidRPr="00DD1B58">
        <w:rPr>
          <w:lang w:val="en-US"/>
        </w:rPr>
        <w:t>Overview of firefighting strategies, administrative arrangements and assurance</w:t>
      </w:r>
    </w:p>
    <w:p w14:paraId="7E4D2374" w14:textId="29755672" w:rsidR="00351835" w:rsidRPr="00DD1B58" w:rsidRDefault="007143AE" w:rsidP="60E054AF">
      <w:pPr>
        <w:autoSpaceDE w:val="0"/>
        <w:autoSpaceDN w:val="0"/>
        <w:adjustRightInd w:val="0"/>
        <w:spacing w:after="0" w:line="240" w:lineRule="auto"/>
        <w:rPr>
          <w:lang w:val="en-US" w:eastAsia="en-GB" w:bidi="ar-SA"/>
        </w:rPr>
      </w:pPr>
      <w:r w:rsidRPr="00DD1B58">
        <w:rPr>
          <w:lang w:val="en-US"/>
        </w:rPr>
        <w:t xml:space="preserve">UUK </w:t>
      </w:r>
      <w:r w:rsidR="006D798B" w:rsidRPr="00DD1B58">
        <w:rPr>
          <w:lang w:val="en-US"/>
        </w:rPr>
        <w:t>reports that</w:t>
      </w:r>
      <w:r w:rsidRPr="00DD1B58">
        <w:rPr>
          <w:lang w:val="en-US"/>
        </w:rPr>
        <w:t xml:space="preserve"> the </w:t>
      </w:r>
      <w:r w:rsidR="00351835" w:rsidRPr="00DD1B58">
        <w:rPr>
          <w:lang w:val="en-US" w:eastAsia="en-GB" w:bidi="ar-SA"/>
        </w:rPr>
        <w:t>methods used in assessing, modelling, and managing conventional and nuclear fire</w:t>
      </w:r>
      <w:r w:rsidR="007C3F42" w:rsidRPr="00DD1B58">
        <w:rPr>
          <w:lang w:val="en-US" w:eastAsia="en-GB" w:bidi="ar-SA"/>
        </w:rPr>
        <w:t>/</w:t>
      </w:r>
      <w:r w:rsidR="00351835" w:rsidRPr="00DD1B58">
        <w:rPr>
          <w:lang w:val="en-US" w:eastAsia="en-GB" w:bidi="ar-SA"/>
        </w:rPr>
        <w:t xml:space="preserve">explosion hazards are similar. In general, the process will be to satisfy the requirements for conventional hazard management and consider what additional measures, or adaption of those present for conventional fire safety, are appropriate for the management of nuclear hazards. </w:t>
      </w:r>
      <w:r w:rsidRPr="00DD1B58">
        <w:rPr>
          <w:lang w:val="en-US" w:eastAsia="en-GB" w:bidi="ar-SA"/>
        </w:rPr>
        <w:t xml:space="preserve">UUK’s </w:t>
      </w:r>
      <w:r w:rsidR="00351835" w:rsidRPr="00DD1B58">
        <w:rPr>
          <w:lang w:val="en-US" w:eastAsia="en-GB" w:bidi="ar-SA"/>
        </w:rPr>
        <w:t xml:space="preserve">conventional and nuclear assessments are often reported separately to aid delivery but should as far as possible be co-ordinated. </w:t>
      </w:r>
      <w:r w:rsidR="00C071C7" w:rsidRPr="00DD1B58">
        <w:rPr>
          <w:lang w:val="en-US" w:eastAsia="en-GB" w:bidi="ar-SA"/>
        </w:rPr>
        <w:t>UUK produces e</w:t>
      </w:r>
      <w:r w:rsidR="00351835" w:rsidRPr="00DD1B58">
        <w:rPr>
          <w:lang w:val="en-US" w:eastAsia="en-GB" w:bidi="ar-SA"/>
        </w:rPr>
        <w:t>mergency procedures to reflect identified hazard and response scenarios and used to demonstrate compliance with the Radiation (Emergency Preparedness and Public Information) Regulations 2019.</w:t>
      </w:r>
    </w:p>
    <w:p w14:paraId="70560CB7" w14:textId="77777777" w:rsidR="00351835" w:rsidRPr="00DD1B58" w:rsidRDefault="00351835" w:rsidP="60E054AF">
      <w:pPr>
        <w:autoSpaceDE w:val="0"/>
        <w:autoSpaceDN w:val="0"/>
        <w:adjustRightInd w:val="0"/>
        <w:spacing w:after="0" w:line="240" w:lineRule="auto"/>
        <w:rPr>
          <w:lang w:val="en-US" w:eastAsia="en-GB" w:bidi="ar-SA"/>
        </w:rPr>
      </w:pPr>
    </w:p>
    <w:p w14:paraId="3032BC8C" w14:textId="14E2B842" w:rsidR="00351835" w:rsidRPr="00DD1B58" w:rsidRDefault="00C071C7" w:rsidP="60E054AF">
      <w:pPr>
        <w:autoSpaceDE w:val="0"/>
        <w:autoSpaceDN w:val="0"/>
        <w:adjustRightInd w:val="0"/>
        <w:spacing w:after="0" w:line="240" w:lineRule="auto"/>
        <w:rPr>
          <w:lang w:val="en-US" w:eastAsia="en-GB" w:bidi="ar-SA"/>
        </w:rPr>
      </w:pPr>
      <w:r w:rsidRPr="00DD1B58">
        <w:rPr>
          <w:lang w:val="en-US" w:eastAsia="en-GB" w:bidi="ar-SA"/>
        </w:rPr>
        <w:t>UUK generally manages f</w:t>
      </w:r>
      <w:r w:rsidR="00351835" w:rsidRPr="00DD1B58">
        <w:rPr>
          <w:lang w:val="en-US" w:eastAsia="en-GB" w:bidi="ar-SA"/>
        </w:rPr>
        <w:t>ire hazards by</w:t>
      </w:r>
      <w:r w:rsidRPr="00DD1B58">
        <w:rPr>
          <w:lang w:val="en-US" w:eastAsia="en-GB" w:bidi="ar-SA"/>
        </w:rPr>
        <w:t xml:space="preserve"> providing:</w:t>
      </w:r>
    </w:p>
    <w:p w14:paraId="25780846" w14:textId="77777777" w:rsidR="00426021" w:rsidRPr="00DD1B58" w:rsidRDefault="00426021" w:rsidP="60E054AF">
      <w:pPr>
        <w:autoSpaceDE w:val="0"/>
        <w:autoSpaceDN w:val="0"/>
        <w:adjustRightInd w:val="0"/>
        <w:spacing w:after="0" w:line="240" w:lineRule="auto"/>
        <w:rPr>
          <w:lang w:val="en-US" w:eastAsia="en-GB" w:bidi="ar-SA"/>
        </w:rPr>
      </w:pPr>
    </w:p>
    <w:p w14:paraId="08E22EDD" w14:textId="5F6066BD" w:rsidR="00351835" w:rsidRPr="00DD1B58" w:rsidRDefault="00351835" w:rsidP="00426021">
      <w:pPr>
        <w:pStyle w:val="Bulletlist1"/>
        <w:rPr>
          <w:lang w:val="en-US" w:eastAsia="en-GB" w:bidi="ar-SA"/>
        </w:rPr>
      </w:pPr>
      <w:r w:rsidRPr="00DD1B58">
        <w:rPr>
          <w:lang w:val="en-US" w:eastAsia="en-GB" w:bidi="ar-SA"/>
        </w:rPr>
        <w:t>Primary measures against fire propagation (e.g., fire barriers</w:t>
      </w:r>
      <w:r w:rsidR="007C3F42" w:rsidRPr="00DD1B58">
        <w:rPr>
          <w:lang w:val="en-US" w:eastAsia="en-GB" w:bidi="ar-SA"/>
        </w:rPr>
        <w:t>/</w:t>
      </w:r>
      <w:r w:rsidRPr="00DD1B58">
        <w:rPr>
          <w:lang w:val="en-US" w:eastAsia="en-GB" w:bidi="ar-SA"/>
        </w:rPr>
        <w:t>compartmentation, separation, minimisation of combustible</w:t>
      </w:r>
      <w:r w:rsidR="007C3F42" w:rsidRPr="00DD1B58">
        <w:rPr>
          <w:lang w:val="en-US" w:eastAsia="en-GB" w:bidi="ar-SA"/>
        </w:rPr>
        <w:t>/</w:t>
      </w:r>
      <w:r w:rsidRPr="00DD1B58">
        <w:rPr>
          <w:lang w:val="en-US" w:eastAsia="en-GB" w:bidi="ar-SA"/>
        </w:rPr>
        <w:t>explosive inventories).</w:t>
      </w:r>
    </w:p>
    <w:p w14:paraId="682C880F" w14:textId="77777777" w:rsidR="00351835" w:rsidRPr="00DD1B58" w:rsidRDefault="00351835" w:rsidP="00426021">
      <w:pPr>
        <w:pStyle w:val="Bulletlist1"/>
        <w:rPr>
          <w:lang w:val="en-US" w:eastAsia="en-GB" w:bidi="ar-SA"/>
        </w:rPr>
      </w:pPr>
      <w:r w:rsidRPr="00DD1B58">
        <w:rPr>
          <w:lang w:val="en-US" w:eastAsia="en-GB" w:bidi="ar-SA"/>
        </w:rPr>
        <w:t>Risk reduction measures (e.g., minimising general fire loading).</w:t>
      </w:r>
    </w:p>
    <w:p w14:paraId="0F6C94FF" w14:textId="77777777" w:rsidR="00351835" w:rsidRPr="00DD1B58" w:rsidRDefault="00351835" w:rsidP="00426021">
      <w:pPr>
        <w:pStyle w:val="Bulletlist1"/>
        <w:rPr>
          <w:lang w:val="en-US" w:eastAsia="en-GB" w:bidi="ar-SA"/>
        </w:rPr>
      </w:pPr>
      <w:r w:rsidRPr="00DD1B58">
        <w:rPr>
          <w:lang w:val="en-US" w:eastAsia="en-GB" w:bidi="ar-SA"/>
        </w:rPr>
        <w:t>Personnel escape routes, detection, and alarms.</w:t>
      </w:r>
    </w:p>
    <w:p w14:paraId="539CC38B" w14:textId="77777777" w:rsidR="00DF3B89" w:rsidRPr="00DD1B58" w:rsidRDefault="00DF3B89" w:rsidP="00177432">
      <w:pPr>
        <w:pStyle w:val="Heading5A"/>
        <w:numPr>
          <w:ilvl w:val="5"/>
          <w:numId w:val="7"/>
        </w:numPr>
        <w:rPr>
          <w:lang w:val="en-US"/>
        </w:rPr>
      </w:pPr>
      <w:r w:rsidRPr="00DD1B58">
        <w:rPr>
          <w:lang w:val="en-US"/>
        </w:rPr>
        <w:t>Firefighting capabilities, responsibilities, organisation and documentation onsite and offsite</w:t>
      </w:r>
    </w:p>
    <w:p w14:paraId="40067B38" w14:textId="158213A1" w:rsidR="00551E5C" w:rsidRPr="00DD1B58" w:rsidRDefault="00491834" w:rsidP="60E054AF">
      <w:pPr>
        <w:autoSpaceDE w:val="0"/>
        <w:autoSpaceDN w:val="0"/>
        <w:adjustRightInd w:val="0"/>
        <w:spacing w:after="0" w:line="240" w:lineRule="auto"/>
        <w:rPr>
          <w:lang w:val="en-US" w:eastAsia="en-GB" w:bidi="ar-SA"/>
        </w:rPr>
      </w:pPr>
      <w:r w:rsidRPr="00DD1B58">
        <w:rPr>
          <w:lang w:val="en-US"/>
        </w:rPr>
        <w:t xml:space="preserve">UUK </w:t>
      </w:r>
      <w:r w:rsidR="006D798B" w:rsidRPr="00DD1B58">
        <w:rPr>
          <w:lang w:val="en-US"/>
        </w:rPr>
        <w:t>reports that</w:t>
      </w:r>
      <w:r w:rsidRPr="00DD1B58">
        <w:rPr>
          <w:lang w:val="en-US"/>
        </w:rPr>
        <w:t xml:space="preserve"> w</w:t>
      </w:r>
      <w:r w:rsidR="00EA05E3" w:rsidRPr="00DD1B58">
        <w:rPr>
          <w:lang w:val="en-US"/>
        </w:rPr>
        <w:t>ritten procedures (training</w:t>
      </w:r>
      <w:r w:rsidR="00551E5C" w:rsidRPr="00DD1B58">
        <w:rPr>
          <w:lang w:val="en-US"/>
        </w:rPr>
        <w:t xml:space="preserve">, tactics &amp; procedures) </w:t>
      </w:r>
      <w:r w:rsidR="00551E5C" w:rsidRPr="00DD1B58">
        <w:rPr>
          <w:lang w:val="en-US" w:eastAsia="en-GB" w:bidi="ar-SA"/>
        </w:rPr>
        <w:t>for firefighting capabilities are developed with relevant subject matter experts, taking guidance from external emergency services guidance documents and operational procedures (Fire service Manual vol 2, Operational Guides, NFCC).</w:t>
      </w:r>
      <w:r w:rsidR="00A15D9C" w:rsidRPr="00DD1B58">
        <w:rPr>
          <w:lang w:val="en-US" w:eastAsia="en-GB" w:bidi="ar-SA"/>
        </w:rPr>
        <w:t xml:space="preserve"> </w:t>
      </w:r>
      <w:r w:rsidRPr="00DD1B58">
        <w:rPr>
          <w:lang w:val="en-US" w:eastAsia="en-GB" w:bidi="ar-SA"/>
        </w:rPr>
        <w:t xml:space="preserve">UUK </w:t>
      </w:r>
      <w:r w:rsidR="00551E5C" w:rsidRPr="00DD1B58">
        <w:rPr>
          <w:lang w:val="en-US" w:eastAsia="en-GB" w:bidi="ar-SA"/>
        </w:rPr>
        <w:t>personnel with identified roles have training and competency requirements defined within role</w:t>
      </w:r>
      <w:r w:rsidR="00A15D9C" w:rsidRPr="00DD1B58">
        <w:rPr>
          <w:lang w:val="en-US" w:eastAsia="en-GB" w:bidi="ar-SA"/>
        </w:rPr>
        <w:t xml:space="preserve"> </w:t>
      </w:r>
      <w:r w:rsidR="00551E5C" w:rsidRPr="00DD1B58">
        <w:rPr>
          <w:lang w:val="en-US" w:eastAsia="en-GB" w:bidi="ar-SA"/>
        </w:rPr>
        <w:t>profiles and are subject to a schedule of ongoing training and exercising alongside continuing</w:t>
      </w:r>
      <w:r w:rsidR="00A15D9C" w:rsidRPr="00DD1B58">
        <w:rPr>
          <w:lang w:val="en-US" w:eastAsia="en-GB" w:bidi="ar-SA"/>
        </w:rPr>
        <w:t xml:space="preserve"> </w:t>
      </w:r>
      <w:r w:rsidR="00551E5C" w:rsidRPr="00DD1B58">
        <w:rPr>
          <w:lang w:val="en-US" w:eastAsia="en-GB" w:bidi="ar-SA"/>
        </w:rPr>
        <w:t>professional development.</w:t>
      </w:r>
    </w:p>
    <w:p w14:paraId="53B1F75F" w14:textId="77777777" w:rsidR="00A15D9C" w:rsidRPr="00DD1B58" w:rsidRDefault="00A15D9C" w:rsidP="60E054AF">
      <w:pPr>
        <w:autoSpaceDE w:val="0"/>
        <w:autoSpaceDN w:val="0"/>
        <w:adjustRightInd w:val="0"/>
        <w:spacing w:after="0" w:line="240" w:lineRule="auto"/>
        <w:rPr>
          <w:lang w:val="en-US" w:eastAsia="en-GB" w:bidi="ar-SA"/>
        </w:rPr>
      </w:pPr>
    </w:p>
    <w:p w14:paraId="35DA2520" w14:textId="3A37D484" w:rsidR="00965AF6" w:rsidRPr="00DD1B58" w:rsidRDefault="004F5D40"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a </w:t>
      </w:r>
      <w:r w:rsidR="00A15D9C" w:rsidRPr="00DD1B58">
        <w:rPr>
          <w:lang w:val="en-US" w:eastAsia="en-GB" w:bidi="ar-SA"/>
        </w:rPr>
        <w:t>12-month</w:t>
      </w:r>
      <w:r w:rsidR="00551E5C" w:rsidRPr="00DD1B58">
        <w:rPr>
          <w:lang w:val="en-US" w:eastAsia="en-GB" w:bidi="ar-SA"/>
        </w:rPr>
        <w:t xml:space="preserve"> programme for training determines weekly, bi-weekly, monthly, quarterly, bi-</w:t>
      </w:r>
      <w:r w:rsidR="00A15D9C" w:rsidRPr="00DD1B58">
        <w:rPr>
          <w:lang w:val="en-US" w:eastAsia="en-GB" w:bidi="ar-SA"/>
        </w:rPr>
        <w:t xml:space="preserve">annual, </w:t>
      </w:r>
      <w:r w:rsidR="00551E5C" w:rsidRPr="00DD1B58">
        <w:rPr>
          <w:lang w:val="en-US" w:eastAsia="en-GB" w:bidi="ar-SA"/>
        </w:rPr>
        <w:t>and annual exercise levels ranging from desktop to live-play exercises culminating in an annual</w:t>
      </w:r>
      <w:r w:rsidR="00A15D9C" w:rsidRPr="00DD1B58">
        <w:rPr>
          <w:lang w:val="en-US" w:eastAsia="en-GB" w:bidi="ar-SA"/>
        </w:rPr>
        <w:t xml:space="preserve"> </w:t>
      </w:r>
      <w:r w:rsidR="00551E5C" w:rsidRPr="00DD1B58">
        <w:rPr>
          <w:lang w:val="en-US" w:eastAsia="en-GB" w:bidi="ar-SA"/>
        </w:rPr>
        <w:t>assessment of service response capability.</w:t>
      </w:r>
      <w:r w:rsidRPr="00DD1B58">
        <w:rPr>
          <w:lang w:val="en-US" w:eastAsia="en-GB" w:bidi="ar-SA"/>
        </w:rPr>
        <w:t xml:space="preserve"> </w:t>
      </w:r>
      <w:r w:rsidR="00551E5C" w:rsidRPr="00DD1B58">
        <w:rPr>
          <w:lang w:val="en-US" w:eastAsia="en-GB" w:bidi="ar-SA"/>
        </w:rPr>
        <w:t>Training includes familiarisation with external emergency services and applies the ‘Joint</w:t>
      </w:r>
      <w:r w:rsidRPr="00DD1B58">
        <w:rPr>
          <w:lang w:val="en-US" w:eastAsia="en-GB" w:bidi="ar-SA"/>
        </w:rPr>
        <w:t xml:space="preserve"> </w:t>
      </w:r>
      <w:r w:rsidR="00551E5C" w:rsidRPr="00DD1B58">
        <w:rPr>
          <w:lang w:val="en-US" w:eastAsia="en-GB" w:bidi="ar-SA"/>
        </w:rPr>
        <w:t>Emergency Services Interoperability Principles (JESIP)’ to promote efficiency and effectiveness</w:t>
      </w:r>
      <w:r w:rsidR="00A15D9C" w:rsidRPr="00DD1B58">
        <w:rPr>
          <w:lang w:val="en-US" w:eastAsia="en-GB" w:bidi="ar-SA"/>
        </w:rPr>
        <w:t xml:space="preserve"> </w:t>
      </w:r>
      <w:r w:rsidR="00551E5C" w:rsidRPr="00DD1B58">
        <w:rPr>
          <w:lang w:val="en-US" w:eastAsia="en-GB" w:bidi="ar-SA"/>
        </w:rPr>
        <w:t>between different organisations</w:t>
      </w:r>
      <w:r w:rsidR="00965AF6" w:rsidRPr="00DD1B58">
        <w:rPr>
          <w:lang w:val="en-US" w:eastAsia="en-GB" w:bidi="ar-SA"/>
        </w:rPr>
        <w:t>.</w:t>
      </w:r>
    </w:p>
    <w:p w14:paraId="0CCF02B0" w14:textId="77777777" w:rsidR="00456BDA" w:rsidRPr="00DD1B58" w:rsidRDefault="00456BDA" w:rsidP="60E054AF">
      <w:pPr>
        <w:autoSpaceDE w:val="0"/>
        <w:autoSpaceDN w:val="0"/>
        <w:adjustRightInd w:val="0"/>
        <w:spacing w:after="0" w:line="240" w:lineRule="auto"/>
        <w:rPr>
          <w:lang w:val="en-US" w:eastAsia="en-GB" w:bidi="ar-SA"/>
        </w:rPr>
      </w:pPr>
    </w:p>
    <w:p w14:paraId="7CA6C70A" w14:textId="77777777" w:rsidR="00456BDA" w:rsidRPr="00DD1B58" w:rsidRDefault="00456BDA" w:rsidP="60E054AF">
      <w:pPr>
        <w:autoSpaceDE w:val="0"/>
        <w:autoSpaceDN w:val="0"/>
        <w:adjustRightInd w:val="0"/>
        <w:spacing w:after="0" w:line="240" w:lineRule="auto"/>
        <w:rPr>
          <w:lang w:val="en-US" w:eastAsia="en-GB" w:bidi="ar-SA"/>
        </w:rPr>
      </w:pPr>
      <w:r w:rsidRPr="00DD1B58">
        <w:rPr>
          <w:lang w:val="en-US" w:eastAsia="en-GB" w:bidi="ar-SA"/>
        </w:rPr>
        <w:t>Safety measures for conventional fire and explosion safety should be entered in the Plant</w:t>
      </w:r>
    </w:p>
    <w:p w14:paraId="252ED82D" w14:textId="65B2C086" w:rsidR="00456BDA" w:rsidRPr="00DD1B58" w:rsidRDefault="00456BDA" w:rsidP="60E054AF">
      <w:pPr>
        <w:autoSpaceDE w:val="0"/>
        <w:autoSpaceDN w:val="0"/>
        <w:adjustRightInd w:val="0"/>
        <w:spacing w:after="0" w:line="240" w:lineRule="auto"/>
        <w:rPr>
          <w:lang w:val="en-US" w:eastAsia="en-GB" w:bidi="ar-SA"/>
        </w:rPr>
      </w:pPr>
      <w:r w:rsidRPr="00DD1B58">
        <w:rPr>
          <w:lang w:val="en-US" w:eastAsia="en-GB" w:bidi="ar-SA"/>
        </w:rPr>
        <w:t xml:space="preserve">Maintenance Schedule (PMS) and, or Computerised Maintenance Management System (CMMS). </w:t>
      </w:r>
      <w:r w:rsidR="004F5D40" w:rsidRPr="00DD1B58">
        <w:rPr>
          <w:lang w:val="en-US" w:eastAsia="en-GB" w:bidi="ar-SA"/>
        </w:rPr>
        <w:t xml:space="preserve">UUK </w:t>
      </w:r>
      <w:r w:rsidR="006D798B" w:rsidRPr="00DD1B58">
        <w:rPr>
          <w:lang w:val="en-US" w:eastAsia="en-GB" w:bidi="ar-SA"/>
        </w:rPr>
        <w:t>states that</w:t>
      </w:r>
      <w:r w:rsidR="004F5D40" w:rsidRPr="00DD1B58">
        <w:rPr>
          <w:lang w:val="en-US" w:eastAsia="en-GB" w:bidi="ar-SA"/>
        </w:rPr>
        <w:t xml:space="preserve"> t</w:t>
      </w:r>
      <w:r w:rsidRPr="00DD1B58">
        <w:rPr>
          <w:lang w:val="en-US" w:eastAsia="en-GB" w:bidi="ar-SA"/>
        </w:rPr>
        <w:t>hese will be inspected and maintained in accordance to established practice to meet legal and good practice requirements forming the EMIT programme.</w:t>
      </w:r>
    </w:p>
    <w:p w14:paraId="1127EE79" w14:textId="77777777" w:rsidR="00275D5A" w:rsidRPr="00DD1B58" w:rsidRDefault="00275D5A" w:rsidP="60E054AF">
      <w:pPr>
        <w:autoSpaceDE w:val="0"/>
        <w:autoSpaceDN w:val="0"/>
        <w:adjustRightInd w:val="0"/>
        <w:spacing w:after="0" w:line="240" w:lineRule="auto"/>
        <w:rPr>
          <w:lang w:val="en-US" w:eastAsia="en-GB" w:bidi="ar-SA"/>
        </w:rPr>
      </w:pPr>
    </w:p>
    <w:p w14:paraId="43F44D4E" w14:textId="6AAC342D" w:rsidR="00456BDA" w:rsidRPr="00DD1B58" w:rsidRDefault="004F5D40"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o</w:t>
      </w:r>
      <w:r w:rsidR="00456BDA" w:rsidRPr="00DD1B58">
        <w:rPr>
          <w:lang w:val="en-US" w:eastAsia="en-GB" w:bidi="ar-SA"/>
        </w:rPr>
        <w:t xml:space="preserve">n-site </w:t>
      </w:r>
      <w:r w:rsidR="00932A03" w:rsidRPr="00DD1B58">
        <w:rPr>
          <w:lang w:val="en-US" w:eastAsia="en-GB" w:bidi="ar-SA"/>
        </w:rPr>
        <w:t>Incident Response Service (</w:t>
      </w:r>
      <w:r w:rsidR="00456BDA" w:rsidRPr="00DD1B58">
        <w:rPr>
          <w:lang w:val="en-US" w:eastAsia="en-GB" w:bidi="ar-SA"/>
        </w:rPr>
        <w:t>IRS</w:t>
      </w:r>
      <w:r w:rsidR="00932A03" w:rsidRPr="00DD1B58">
        <w:rPr>
          <w:lang w:val="en-US" w:eastAsia="en-GB" w:bidi="ar-SA"/>
        </w:rPr>
        <w:t>)</w:t>
      </w:r>
      <w:r w:rsidR="00456BDA" w:rsidRPr="00DD1B58">
        <w:rPr>
          <w:lang w:val="en-US" w:eastAsia="en-GB" w:bidi="ar-SA"/>
        </w:rPr>
        <w:t xml:space="preserve"> deployment can be from directly deployed following automatic fire detection activation</w:t>
      </w:r>
      <w:r w:rsidR="00275D5A" w:rsidRPr="00DD1B58">
        <w:rPr>
          <w:lang w:val="en-US" w:eastAsia="en-GB" w:bidi="ar-SA"/>
        </w:rPr>
        <w:t xml:space="preserve"> </w:t>
      </w:r>
      <w:r w:rsidR="00456BDA" w:rsidRPr="00DD1B58">
        <w:rPr>
          <w:lang w:val="en-US" w:eastAsia="en-GB" w:bidi="ar-SA"/>
        </w:rPr>
        <w:t>and responding to investigate with response escalation according to findings or through running</w:t>
      </w:r>
      <w:r w:rsidR="00275D5A" w:rsidRPr="00DD1B58">
        <w:rPr>
          <w:lang w:val="en-US" w:eastAsia="en-GB" w:bidi="ar-SA"/>
        </w:rPr>
        <w:t xml:space="preserve"> </w:t>
      </w:r>
      <w:r w:rsidR="00456BDA" w:rsidRPr="00DD1B58">
        <w:rPr>
          <w:lang w:val="en-US" w:eastAsia="en-GB" w:bidi="ar-SA"/>
        </w:rPr>
        <w:t>calls (</w:t>
      </w:r>
      <w:r w:rsidR="00275D5A" w:rsidRPr="00DD1B58">
        <w:rPr>
          <w:lang w:val="en-US" w:eastAsia="en-GB" w:bidi="ar-SA"/>
        </w:rPr>
        <w:t>i.e.,</w:t>
      </w:r>
      <w:r w:rsidR="00456BDA" w:rsidRPr="00DD1B58">
        <w:rPr>
          <w:lang w:val="en-US" w:eastAsia="en-GB" w:bidi="ar-SA"/>
        </w:rPr>
        <w:t xml:space="preserve"> direct contact with IRS in person or telephone call). Subject to findings of the</w:t>
      </w:r>
      <w:r w:rsidR="00275D5A" w:rsidRPr="00DD1B58">
        <w:rPr>
          <w:lang w:val="en-US" w:eastAsia="en-GB" w:bidi="ar-SA"/>
        </w:rPr>
        <w:t xml:space="preserve"> </w:t>
      </w:r>
      <w:r w:rsidR="00456BDA" w:rsidRPr="00DD1B58">
        <w:rPr>
          <w:lang w:val="en-US" w:eastAsia="en-GB" w:bidi="ar-SA"/>
        </w:rPr>
        <w:t>investigation a report is made to the Emergency Controller who may then make a local fire service</w:t>
      </w:r>
      <w:r w:rsidR="00275D5A" w:rsidRPr="00DD1B58">
        <w:rPr>
          <w:lang w:val="en-US" w:eastAsia="en-GB" w:bidi="ar-SA"/>
        </w:rPr>
        <w:t xml:space="preserve"> </w:t>
      </w:r>
      <w:r w:rsidR="00456BDA" w:rsidRPr="00DD1B58">
        <w:rPr>
          <w:lang w:val="en-US" w:eastAsia="en-GB" w:bidi="ar-SA"/>
        </w:rPr>
        <w:t xml:space="preserve">support request to an ongoing </w:t>
      </w:r>
      <w:r w:rsidR="00275D5A" w:rsidRPr="00DD1B58">
        <w:rPr>
          <w:lang w:val="en-US" w:eastAsia="en-GB" w:bidi="ar-SA"/>
        </w:rPr>
        <w:t>incident or</w:t>
      </w:r>
      <w:r w:rsidR="00456BDA" w:rsidRPr="00DD1B58">
        <w:rPr>
          <w:lang w:val="en-US" w:eastAsia="en-GB" w:bidi="ar-SA"/>
        </w:rPr>
        <w:t xml:space="preserve"> request further support to site if IRS </w:t>
      </w:r>
      <w:r w:rsidR="0047309B" w:rsidRPr="00DD1B58">
        <w:rPr>
          <w:lang w:val="en-US" w:eastAsia="en-GB" w:bidi="ar-SA"/>
        </w:rPr>
        <w:t>is</w:t>
      </w:r>
      <w:r w:rsidR="00456BDA" w:rsidRPr="00DD1B58">
        <w:rPr>
          <w:lang w:val="en-US" w:eastAsia="en-GB" w:bidi="ar-SA"/>
        </w:rPr>
        <w:t xml:space="preserve"> already committed</w:t>
      </w:r>
      <w:r w:rsidR="00275D5A" w:rsidRPr="00DD1B58">
        <w:rPr>
          <w:lang w:val="en-US" w:eastAsia="en-GB" w:bidi="ar-SA"/>
        </w:rPr>
        <w:t xml:space="preserve"> </w:t>
      </w:r>
      <w:r w:rsidR="00456BDA" w:rsidRPr="00DD1B58">
        <w:rPr>
          <w:lang w:val="en-US" w:eastAsia="en-GB" w:bidi="ar-SA"/>
        </w:rPr>
        <w:t>to an incident. In support of this is an agreed Pre-Determined Attendance (PDA) response with the</w:t>
      </w:r>
      <w:r w:rsidR="00275D5A" w:rsidRPr="00DD1B58">
        <w:rPr>
          <w:lang w:val="en-US" w:eastAsia="en-GB" w:bidi="ar-SA"/>
        </w:rPr>
        <w:t xml:space="preserve"> </w:t>
      </w:r>
      <w:r w:rsidR="00456BDA" w:rsidRPr="00DD1B58">
        <w:rPr>
          <w:lang w:val="en-US" w:eastAsia="en-GB" w:bidi="ar-SA"/>
        </w:rPr>
        <w:t>Emergency Services comprising seven levels of response (Capenhurst On Site Emergency Plan).</w:t>
      </w:r>
      <w:r w:rsidR="00275D5A" w:rsidRPr="00DD1B58">
        <w:rPr>
          <w:lang w:val="en-US" w:eastAsia="en-GB" w:bidi="ar-SA"/>
        </w:rPr>
        <w:t xml:space="preserve"> </w:t>
      </w:r>
      <w:r w:rsidR="00456BDA" w:rsidRPr="00DD1B58">
        <w:rPr>
          <w:lang w:val="en-US" w:eastAsia="en-GB" w:bidi="ar-SA"/>
        </w:rPr>
        <w:t>Management of the incident is via the Emergency Controller until the arrival of the first attending</w:t>
      </w:r>
      <w:r w:rsidR="00275D5A" w:rsidRPr="00DD1B58">
        <w:rPr>
          <w:lang w:val="en-US" w:eastAsia="en-GB" w:bidi="ar-SA"/>
        </w:rPr>
        <w:t xml:space="preserve"> </w:t>
      </w:r>
      <w:r w:rsidR="00456BDA" w:rsidRPr="00DD1B58">
        <w:rPr>
          <w:lang w:val="en-US" w:eastAsia="en-GB" w:bidi="ar-SA"/>
        </w:rPr>
        <w:t>appliance at which point the Urenco Emergency Controller then provides technical support.</w:t>
      </w:r>
      <w:r w:rsidR="00275D5A" w:rsidRPr="00DD1B58">
        <w:rPr>
          <w:lang w:val="en-US" w:eastAsia="en-GB" w:bidi="ar-SA"/>
        </w:rPr>
        <w:t xml:space="preserve"> </w:t>
      </w:r>
      <w:r w:rsidR="00456BDA" w:rsidRPr="00DD1B58">
        <w:rPr>
          <w:lang w:val="en-US" w:eastAsia="en-GB" w:bidi="ar-SA"/>
        </w:rPr>
        <w:t>Although primary</w:t>
      </w:r>
      <w:r w:rsidR="00275D5A" w:rsidRPr="00DD1B58">
        <w:rPr>
          <w:lang w:val="en-US" w:eastAsia="en-GB" w:bidi="ar-SA"/>
        </w:rPr>
        <w:t xml:space="preserve"> </w:t>
      </w:r>
      <w:r w:rsidR="00456BDA" w:rsidRPr="00DD1B58">
        <w:rPr>
          <w:lang w:val="en-US" w:eastAsia="en-GB" w:bidi="ar-SA"/>
        </w:rPr>
        <w:t xml:space="preserve">responsibility for the incident is the jurisdiction of Cheshire </w:t>
      </w:r>
      <w:r w:rsidR="00197EB4" w:rsidRPr="00DD1B58">
        <w:rPr>
          <w:lang w:val="en-US" w:eastAsia="en-GB" w:bidi="ar-SA"/>
        </w:rPr>
        <w:t xml:space="preserve">Fire </w:t>
      </w:r>
      <w:r w:rsidR="00C77E09" w:rsidRPr="00DD1B58">
        <w:rPr>
          <w:lang w:val="en-US" w:eastAsia="en-GB" w:bidi="ar-SA"/>
        </w:rPr>
        <w:t>and</w:t>
      </w:r>
      <w:r w:rsidR="00197EB4" w:rsidRPr="00DD1B58">
        <w:rPr>
          <w:lang w:val="en-US" w:eastAsia="en-GB" w:bidi="ar-SA"/>
        </w:rPr>
        <w:t xml:space="preserve"> Rescue Service</w:t>
      </w:r>
      <w:r w:rsidR="00456BDA" w:rsidRPr="00DD1B58">
        <w:rPr>
          <w:lang w:val="en-US" w:eastAsia="en-GB" w:bidi="ar-SA"/>
        </w:rPr>
        <w:t xml:space="preserve"> </w:t>
      </w:r>
      <w:r w:rsidR="00197EB4" w:rsidRPr="00DD1B58">
        <w:rPr>
          <w:lang w:val="en-US" w:eastAsia="en-GB" w:bidi="ar-SA"/>
        </w:rPr>
        <w:t>(</w:t>
      </w:r>
      <w:r w:rsidR="00E5536A" w:rsidRPr="00DD1B58">
        <w:rPr>
          <w:lang w:val="en-US" w:eastAsia="en-GB" w:bidi="ar-SA"/>
        </w:rPr>
        <w:t>FRS</w:t>
      </w:r>
      <w:r w:rsidR="00197EB4" w:rsidRPr="00DD1B58">
        <w:rPr>
          <w:lang w:val="en-US" w:eastAsia="en-GB" w:bidi="ar-SA"/>
        </w:rPr>
        <w:t>)</w:t>
      </w:r>
      <w:r w:rsidR="00E5536A" w:rsidRPr="00DD1B58">
        <w:rPr>
          <w:lang w:val="en-US" w:eastAsia="en-GB" w:bidi="ar-SA"/>
        </w:rPr>
        <w:t>,</w:t>
      </w:r>
      <w:r w:rsidR="00456BDA" w:rsidRPr="00DD1B58">
        <w:rPr>
          <w:lang w:val="en-US" w:eastAsia="en-GB" w:bidi="ar-SA"/>
        </w:rPr>
        <w:t xml:space="preserve"> command and</w:t>
      </w:r>
      <w:r w:rsidR="00275D5A" w:rsidRPr="00DD1B58">
        <w:rPr>
          <w:lang w:val="en-US" w:eastAsia="en-GB" w:bidi="ar-SA"/>
        </w:rPr>
        <w:t xml:space="preserve"> </w:t>
      </w:r>
      <w:r w:rsidR="00456BDA" w:rsidRPr="00DD1B58">
        <w:rPr>
          <w:lang w:val="en-US" w:eastAsia="en-GB" w:bidi="ar-SA"/>
        </w:rPr>
        <w:t>control is maintained by the IRS Incident Officer with direct support via JESIP.</w:t>
      </w:r>
    </w:p>
    <w:p w14:paraId="0E468FC4" w14:textId="77777777" w:rsidR="00275D5A" w:rsidRPr="00DD1B58" w:rsidRDefault="00275D5A" w:rsidP="60E054AF">
      <w:pPr>
        <w:autoSpaceDE w:val="0"/>
        <w:autoSpaceDN w:val="0"/>
        <w:adjustRightInd w:val="0"/>
        <w:spacing w:after="0" w:line="240" w:lineRule="auto"/>
        <w:rPr>
          <w:lang w:val="en-US" w:eastAsia="en-GB" w:bidi="ar-SA"/>
        </w:rPr>
      </w:pPr>
    </w:p>
    <w:p w14:paraId="4406114B" w14:textId="759D9EB8" w:rsidR="00456BDA" w:rsidRPr="00DD1B58" w:rsidRDefault="004F5D40"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6D798B" w:rsidRPr="00DD1B58">
        <w:rPr>
          <w:lang w:val="en-US" w:eastAsia="en-GB" w:bidi="ar-SA"/>
        </w:rPr>
        <w:t>states that</w:t>
      </w:r>
      <w:r w:rsidRPr="00DD1B58">
        <w:rPr>
          <w:lang w:val="en-US" w:eastAsia="en-GB" w:bidi="ar-SA"/>
        </w:rPr>
        <w:t xml:space="preserve"> there </w:t>
      </w:r>
      <w:r w:rsidR="00456BDA" w:rsidRPr="00DD1B58">
        <w:rPr>
          <w:lang w:val="en-US" w:eastAsia="en-GB" w:bidi="ar-SA"/>
        </w:rPr>
        <w:t>is an interoperability training and familiarisation schedule coordinated by the</w:t>
      </w:r>
      <w:r w:rsidR="00275D5A" w:rsidRPr="00DD1B58">
        <w:rPr>
          <w:lang w:val="en-US" w:eastAsia="en-GB" w:bidi="ar-SA"/>
        </w:rPr>
        <w:t xml:space="preserve"> </w:t>
      </w:r>
      <w:r w:rsidR="00456BDA" w:rsidRPr="00DD1B58">
        <w:rPr>
          <w:lang w:val="en-US" w:eastAsia="en-GB" w:bidi="ar-SA"/>
        </w:rPr>
        <w:t>Resilience and</w:t>
      </w:r>
      <w:r w:rsidR="00E5536A" w:rsidRPr="00DD1B58">
        <w:rPr>
          <w:lang w:val="en-US" w:eastAsia="en-GB" w:bidi="ar-SA"/>
        </w:rPr>
        <w:t xml:space="preserve"> </w:t>
      </w:r>
      <w:r w:rsidR="00456BDA" w:rsidRPr="00DD1B58">
        <w:rPr>
          <w:lang w:val="en-US" w:eastAsia="en-GB" w:bidi="ar-SA"/>
        </w:rPr>
        <w:t>Security Specialists support</w:t>
      </w:r>
      <w:r w:rsidR="005E62CE" w:rsidRPr="00DD1B58">
        <w:rPr>
          <w:lang w:val="en-US" w:eastAsia="en-GB" w:bidi="ar-SA"/>
        </w:rPr>
        <w:t>ing</w:t>
      </w:r>
      <w:r w:rsidR="00456BDA" w:rsidRPr="00DD1B58">
        <w:rPr>
          <w:lang w:val="en-US" w:eastAsia="en-GB" w:bidi="ar-SA"/>
        </w:rPr>
        <w:t xml:space="preserve"> both on and </w:t>
      </w:r>
      <w:r w:rsidR="00E5536A" w:rsidRPr="00DD1B58">
        <w:rPr>
          <w:lang w:val="en-US" w:eastAsia="en-GB" w:bidi="ar-SA"/>
        </w:rPr>
        <w:t>off-site</w:t>
      </w:r>
      <w:r w:rsidR="00456BDA" w:rsidRPr="00DD1B58">
        <w:rPr>
          <w:lang w:val="en-US" w:eastAsia="en-GB" w:bidi="ar-SA"/>
        </w:rPr>
        <w:t xml:space="preserve"> teams familiarisation training for geographical</w:t>
      </w:r>
      <w:r w:rsidR="00E5536A" w:rsidRPr="00DD1B58">
        <w:rPr>
          <w:lang w:val="en-US" w:eastAsia="en-GB" w:bidi="ar-SA"/>
        </w:rPr>
        <w:t xml:space="preserve"> </w:t>
      </w:r>
      <w:r w:rsidR="00456BDA" w:rsidRPr="00DD1B58">
        <w:rPr>
          <w:lang w:val="en-US" w:eastAsia="en-GB" w:bidi="ar-SA"/>
        </w:rPr>
        <w:t xml:space="preserve">features, hazards and resources. All relevant information is collated through individual </w:t>
      </w:r>
      <w:r w:rsidR="00F65365" w:rsidRPr="00DD1B58">
        <w:rPr>
          <w:lang w:val="en-US" w:eastAsia="en-GB" w:bidi="ar-SA"/>
        </w:rPr>
        <w:t>B</w:t>
      </w:r>
      <w:r w:rsidR="00456BDA" w:rsidRPr="00DD1B58">
        <w:rPr>
          <w:lang w:val="en-US" w:eastAsia="en-GB" w:bidi="ar-SA"/>
        </w:rPr>
        <w:t>uilding</w:t>
      </w:r>
      <w:r w:rsidR="00E5536A" w:rsidRPr="00DD1B58">
        <w:rPr>
          <w:lang w:val="en-US" w:eastAsia="en-GB" w:bidi="ar-SA"/>
        </w:rPr>
        <w:t xml:space="preserve"> </w:t>
      </w:r>
      <w:r w:rsidR="00F65365" w:rsidRPr="00DD1B58">
        <w:rPr>
          <w:lang w:val="en-US" w:eastAsia="en-GB" w:bidi="ar-SA"/>
        </w:rPr>
        <w:t>I</w:t>
      </w:r>
      <w:r w:rsidR="00456BDA" w:rsidRPr="00DD1B58">
        <w:rPr>
          <w:lang w:val="en-US" w:eastAsia="en-GB" w:bidi="ar-SA"/>
        </w:rPr>
        <w:t xml:space="preserve">nformation </w:t>
      </w:r>
      <w:r w:rsidR="00F65365" w:rsidRPr="00DD1B58">
        <w:rPr>
          <w:lang w:val="en-US" w:eastAsia="en-GB" w:bidi="ar-SA"/>
        </w:rPr>
        <w:t>P</w:t>
      </w:r>
      <w:r w:rsidR="00456BDA" w:rsidRPr="00DD1B58">
        <w:rPr>
          <w:lang w:val="en-US" w:eastAsia="en-GB" w:bidi="ar-SA"/>
        </w:rPr>
        <w:t>acks which are provided to the first responding pump at the forward control point.</w:t>
      </w:r>
      <w:r w:rsidR="00E5536A" w:rsidRPr="00DD1B58">
        <w:rPr>
          <w:lang w:val="en-US" w:eastAsia="en-GB" w:bidi="ar-SA"/>
        </w:rPr>
        <w:t xml:space="preserve"> </w:t>
      </w:r>
      <w:r w:rsidR="00456BDA" w:rsidRPr="00DD1B58">
        <w:rPr>
          <w:lang w:val="en-US" w:eastAsia="en-GB" w:bidi="ar-SA"/>
        </w:rPr>
        <w:t xml:space="preserve">Second and third copies are provided for Tactical and Strategic Command teams. </w:t>
      </w:r>
      <w:r w:rsidRPr="00DD1B58">
        <w:rPr>
          <w:lang w:val="en-US" w:eastAsia="en-GB" w:bidi="ar-SA"/>
        </w:rPr>
        <w:t xml:space="preserve">UUK </w:t>
      </w:r>
      <w:r w:rsidR="006D798B" w:rsidRPr="00DD1B58">
        <w:rPr>
          <w:lang w:val="en-US" w:eastAsia="en-GB" w:bidi="ar-SA"/>
        </w:rPr>
        <w:t>reports that</w:t>
      </w:r>
      <w:r w:rsidRPr="00DD1B58">
        <w:rPr>
          <w:lang w:val="en-US" w:eastAsia="en-GB" w:bidi="ar-SA"/>
        </w:rPr>
        <w:t xml:space="preserve"> it updates </w:t>
      </w:r>
      <w:r w:rsidR="00456BDA" w:rsidRPr="00DD1B58">
        <w:rPr>
          <w:lang w:val="en-US" w:eastAsia="en-GB" w:bidi="ar-SA"/>
        </w:rPr>
        <w:t>Building</w:t>
      </w:r>
      <w:r w:rsidR="00E5536A" w:rsidRPr="00DD1B58">
        <w:rPr>
          <w:lang w:val="en-US" w:eastAsia="en-GB" w:bidi="ar-SA"/>
        </w:rPr>
        <w:t xml:space="preserve"> </w:t>
      </w:r>
      <w:r w:rsidR="00456BDA" w:rsidRPr="00DD1B58">
        <w:rPr>
          <w:lang w:val="en-US" w:eastAsia="en-GB" w:bidi="ar-SA"/>
        </w:rPr>
        <w:t>Information Packs in accordance with material changes to buildings as applicable,</w:t>
      </w:r>
      <w:r w:rsidR="00E5536A" w:rsidRPr="00DD1B58">
        <w:rPr>
          <w:lang w:val="en-US" w:eastAsia="en-GB" w:bidi="ar-SA"/>
        </w:rPr>
        <w:t xml:space="preserve"> </w:t>
      </w:r>
      <w:r w:rsidR="00456BDA" w:rsidRPr="00DD1B58">
        <w:rPr>
          <w:lang w:val="en-US" w:eastAsia="en-GB" w:bidi="ar-SA"/>
        </w:rPr>
        <w:t>supported by the fire risk assessment process, all of which are formally reviewed annually. In</w:t>
      </w:r>
      <w:r w:rsidR="00E5536A" w:rsidRPr="00DD1B58">
        <w:rPr>
          <w:lang w:val="en-US" w:eastAsia="en-GB" w:bidi="ar-SA"/>
        </w:rPr>
        <w:t xml:space="preserve"> </w:t>
      </w:r>
      <w:r w:rsidR="00456BDA" w:rsidRPr="00DD1B58">
        <w:rPr>
          <w:lang w:val="en-US" w:eastAsia="en-GB" w:bidi="ar-SA"/>
        </w:rPr>
        <w:t>addition to the above</w:t>
      </w:r>
      <w:r w:rsidRPr="00DD1B58">
        <w:rPr>
          <w:lang w:val="en-US" w:eastAsia="en-GB" w:bidi="ar-SA"/>
        </w:rPr>
        <w:t>,</w:t>
      </w:r>
      <w:r w:rsidR="00456BDA" w:rsidRPr="00DD1B58">
        <w:rPr>
          <w:lang w:val="en-US" w:eastAsia="en-GB" w:bidi="ar-SA"/>
        </w:rPr>
        <w:t xml:space="preserve"> </w:t>
      </w:r>
      <w:r w:rsidRPr="00DD1B58">
        <w:rPr>
          <w:lang w:val="en-US" w:eastAsia="en-GB" w:bidi="ar-SA"/>
        </w:rPr>
        <w:t xml:space="preserve">the packs </w:t>
      </w:r>
      <w:r w:rsidR="00905FB4" w:rsidRPr="00DD1B58">
        <w:rPr>
          <w:lang w:val="en-US" w:eastAsia="en-GB" w:bidi="ar-SA"/>
        </w:rPr>
        <w:t>identify</w:t>
      </w:r>
      <w:r w:rsidRPr="00DD1B58">
        <w:rPr>
          <w:lang w:val="en-US" w:eastAsia="en-GB" w:bidi="ar-SA"/>
        </w:rPr>
        <w:t xml:space="preserve"> </w:t>
      </w:r>
      <w:r w:rsidR="00456BDA" w:rsidRPr="00DD1B58">
        <w:rPr>
          <w:lang w:val="en-US" w:eastAsia="en-GB" w:bidi="ar-SA"/>
        </w:rPr>
        <w:t>locations of gas/water/electrical isolations together with</w:t>
      </w:r>
      <w:r w:rsidR="00E5536A" w:rsidRPr="00DD1B58">
        <w:rPr>
          <w:lang w:val="en-US" w:eastAsia="en-GB" w:bidi="ar-SA"/>
        </w:rPr>
        <w:t xml:space="preserve"> </w:t>
      </w:r>
      <w:r w:rsidR="00456BDA" w:rsidRPr="00DD1B58">
        <w:rPr>
          <w:lang w:val="en-US" w:eastAsia="en-GB" w:bidi="ar-SA"/>
        </w:rPr>
        <w:t>shutdown procedures and other key information.</w:t>
      </w:r>
    </w:p>
    <w:p w14:paraId="37D241D7" w14:textId="77777777" w:rsidR="00E5536A" w:rsidRPr="00DD1B58" w:rsidRDefault="00E5536A" w:rsidP="60E054AF">
      <w:pPr>
        <w:autoSpaceDE w:val="0"/>
        <w:autoSpaceDN w:val="0"/>
        <w:adjustRightInd w:val="0"/>
        <w:spacing w:after="0" w:line="240" w:lineRule="auto"/>
        <w:rPr>
          <w:lang w:val="en-US" w:eastAsia="en-GB" w:bidi="ar-SA"/>
        </w:rPr>
      </w:pPr>
    </w:p>
    <w:p w14:paraId="1834958C" w14:textId="5507D1CE" w:rsidR="00456BDA" w:rsidRPr="00DD1B58" w:rsidRDefault="00456BDA" w:rsidP="60E054AF">
      <w:pPr>
        <w:autoSpaceDE w:val="0"/>
        <w:autoSpaceDN w:val="0"/>
        <w:adjustRightInd w:val="0"/>
        <w:spacing w:after="0" w:line="240" w:lineRule="auto"/>
        <w:rPr>
          <w:lang w:val="en-US" w:eastAsia="en-GB" w:bidi="ar-SA"/>
        </w:rPr>
      </w:pPr>
      <w:r w:rsidRPr="00DD1B58">
        <w:rPr>
          <w:lang w:val="en-US" w:eastAsia="en-GB" w:bidi="ar-SA"/>
        </w:rPr>
        <w:t>The approach to safety culture and its enforcement follows the Capenhurst Management of Fire</w:t>
      </w:r>
      <w:r w:rsidR="00E5536A" w:rsidRPr="00DD1B58">
        <w:rPr>
          <w:lang w:val="en-US" w:eastAsia="en-GB" w:bidi="ar-SA"/>
        </w:rPr>
        <w:t xml:space="preserve"> </w:t>
      </w:r>
      <w:r w:rsidRPr="00DD1B58">
        <w:rPr>
          <w:lang w:val="en-US" w:eastAsia="en-GB" w:bidi="ar-SA"/>
        </w:rPr>
        <w:t>Safety Standard where the requirements of fire evacuation exercises and other similar drills are</w:t>
      </w:r>
      <w:r w:rsidR="00E5536A" w:rsidRPr="00DD1B58">
        <w:rPr>
          <w:lang w:val="en-US" w:eastAsia="en-GB" w:bidi="ar-SA"/>
        </w:rPr>
        <w:t xml:space="preserve"> </w:t>
      </w:r>
      <w:r w:rsidRPr="00DD1B58">
        <w:rPr>
          <w:lang w:val="en-US" w:eastAsia="en-GB" w:bidi="ar-SA"/>
        </w:rPr>
        <w:t>undertaken at least annually and supports the programme of training coordinated via the</w:t>
      </w:r>
      <w:r w:rsidR="00E5536A" w:rsidRPr="00DD1B58">
        <w:rPr>
          <w:lang w:val="en-US" w:eastAsia="en-GB" w:bidi="ar-SA"/>
        </w:rPr>
        <w:t xml:space="preserve"> </w:t>
      </w:r>
      <w:r w:rsidRPr="00DD1B58">
        <w:rPr>
          <w:lang w:val="en-US" w:eastAsia="en-GB" w:bidi="ar-SA"/>
        </w:rPr>
        <w:t xml:space="preserve">Resilience Specialist. </w:t>
      </w:r>
      <w:r w:rsidR="004F5D40" w:rsidRPr="00DD1B58">
        <w:rPr>
          <w:lang w:val="en-US" w:eastAsia="en-GB" w:bidi="ar-SA"/>
        </w:rPr>
        <w:t>UUK</w:t>
      </w:r>
      <w:r w:rsidRPr="00DD1B58">
        <w:rPr>
          <w:lang w:val="en-US" w:eastAsia="en-GB" w:bidi="ar-SA"/>
        </w:rPr>
        <w:t xml:space="preserve"> formally record</w:t>
      </w:r>
      <w:r w:rsidR="004F5D40" w:rsidRPr="00DD1B58">
        <w:rPr>
          <w:lang w:val="en-US" w:eastAsia="en-GB" w:bidi="ar-SA"/>
        </w:rPr>
        <w:t>s</w:t>
      </w:r>
      <w:r w:rsidRPr="00DD1B58">
        <w:rPr>
          <w:lang w:val="en-US" w:eastAsia="en-GB" w:bidi="ar-SA"/>
        </w:rPr>
        <w:t xml:space="preserve"> with significant</w:t>
      </w:r>
      <w:r w:rsidR="00E5536A" w:rsidRPr="00DD1B58">
        <w:rPr>
          <w:lang w:val="en-US" w:eastAsia="en-GB" w:bidi="ar-SA"/>
        </w:rPr>
        <w:t xml:space="preserve"> </w:t>
      </w:r>
      <w:r w:rsidRPr="00DD1B58">
        <w:rPr>
          <w:lang w:val="en-US" w:eastAsia="en-GB" w:bidi="ar-SA"/>
        </w:rPr>
        <w:t>findings/suggestions for</w:t>
      </w:r>
      <w:r w:rsidR="00E5536A" w:rsidRPr="00DD1B58">
        <w:rPr>
          <w:lang w:val="en-US" w:eastAsia="en-GB" w:bidi="ar-SA"/>
        </w:rPr>
        <w:t xml:space="preserve"> </w:t>
      </w:r>
      <w:r w:rsidRPr="00DD1B58">
        <w:rPr>
          <w:lang w:val="en-US" w:eastAsia="en-GB" w:bidi="ar-SA"/>
        </w:rPr>
        <w:t>improvement are acted upon by the HSSE department.</w:t>
      </w:r>
    </w:p>
    <w:p w14:paraId="3459D76E" w14:textId="77777777" w:rsidR="00E5536A" w:rsidRPr="00DD1B58" w:rsidRDefault="00E5536A" w:rsidP="60E054AF">
      <w:pPr>
        <w:autoSpaceDE w:val="0"/>
        <w:autoSpaceDN w:val="0"/>
        <w:adjustRightInd w:val="0"/>
        <w:spacing w:after="0" w:line="240" w:lineRule="auto"/>
        <w:rPr>
          <w:lang w:val="en-US" w:eastAsia="en-GB" w:bidi="ar-SA"/>
        </w:rPr>
      </w:pPr>
    </w:p>
    <w:p w14:paraId="75AA59F2" w14:textId="3ADEDDD9" w:rsidR="00456BDA" w:rsidRPr="00DD1B58" w:rsidRDefault="006658FE" w:rsidP="60E054AF">
      <w:pPr>
        <w:autoSpaceDE w:val="0"/>
        <w:autoSpaceDN w:val="0"/>
        <w:adjustRightInd w:val="0"/>
        <w:spacing w:after="0" w:line="240" w:lineRule="auto"/>
        <w:rPr>
          <w:lang w:val="en-US" w:eastAsia="en-GB" w:bidi="ar-SA"/>
        </w:rPr>
      </w:pPr>
      <w:r w:rsidRPr="00DD1B58">
        <w:rPr>
          <w:lang w:val="en-US" w:eastAsia="en-GB" w:bidi="ar-SA"/>
        </w:rPr>
        <w:t xml:space="preserve">UUK finally </w:t>
      </w:r>
      <w:r w:rsidR="006D798B" w:rsidRPr="00DD1B58">
        <w:rPr>
          <w:lang w:val="en-US" w:eastAsia="en-GB" w:bidi="ar-SA"/>
        </w:rPr>
        <w:t>reports that</w:t>
      </w:r>
      <w:r w:rsidRPr="00DD1B58">
        <w:rPr>
          <w:lang w:val="en-US" w:eastAsia="en-GB" w:bidi="ar-SA"/>
        </w:rPr>
        <w:t xml:space="preserve"> s</w:t>
      </w:r>
      <w:r w:rsidR="00456BDA" w:rsidRPr="00DD1B58">
        <w:rPr>
          <w:lang w:val="en-US" w:eastAsia="en-GB" w:bidi="ar-SA"/>
        </w:rPr>
        <w:t>afety culture initiatives are generally driven from calendar events published by the Chief Fire</w:t>
      </w:r>
      <w:r w:rsidR="007F387A" w:rsidRPr="00DD1B58">
        <w:rPr>
          <w:lang w:val="en-US" w:eastAsia="en-GB" w:bidi="ar-SA"/>
        </w:rPr>
        <w:t xml:space="preserve"> </w:t>
      </w:r>
      <w:r w:rsidR="00456BDA" w:rsidRPr="00DD1B58">
        <w:rPr>
          <w:lang w:val="en-US" w:eastAsia="en-GB" w:bidi="ar-SA"/>
        </w:rPr>
        <w:t>Officers association, Institution of Fire Engineers, Institute of Occupational Safety and Health</w:t>
      </w:r>
      <w:r w:rsidR="007F387A" w:rsidRPr="00DD1B58">
        <w:rPr>
          <w:lang w:val="en-US" w:eastAsia="en-GB" w:bidi="ar-SA"/>
        </w:rPr>
        <w:t xml:space="preserve"> </w:t>
      </w:r>
      <w:r w:rsidR="00456BDA" w:rsidRPr="00DD1B58">
        <w:rPr>
          <w:lang w:val="en-US" w:eastAsia="en-GB" w:bidi="ar-SA"/>
        </w:rPr>
        <w:t>(IOSH), Fire Protection Association (FPA). This in in addition to fire related events/output from</w:t>
      </w:r>
      <w:r w:rsidR="007F387A" w:rsidRPr="00DD1B58">
        <w:rPr>
          <w:lang w:val="en-US" w:eastAsia="en-GB" w:bidi="ar-SA"/>
        </w:rPr>
        <w:t xml:space="preserve"> </w:t>
      </w:r>
      <w:r w:rsidR="00456BDA" w:rsidRPr="00DD1B58">
        <w:rPr>
          <w:lang w:val="en-US" w:eastAsia="en-GB" w:bidi="ar-SA"/>
        </w:rPr>
        <w:t>related assurance activities identified on-site and has included control of hot works; fire</w:t>
      </w:r>
      <w:r w:rsidR="007F387A" w:rsidRPr="00DD1B58">
        <w:rPr>
          <w:lang w:val="en-US" w:eastAsia="en-GB" w:bidi="ar-SA"/>
        </w:rPr>
        <w:t xml:space="preserve"> </w:t>
      </w:r>
      <w:r w:rsidR="00456BDA" w:rsidRPr="00DD1B58">
        <w:rPr>
          <w:lang w:val="en-US" w:eastAsia="en-GB" w:bidi="ar-SA"/>
        </w:rPr>
        <w:t xml:space="preserve">compartment penetrations, disposal of </w:t>
      </w:r>
      <w:r w:rsidR="00F46FBA" w:rsidRPr="00DD1B58">
        <w:rPr>
          <w:lang w:val="en-US" w:eastAsia="en-GB" w:bidi="ar-SA"/>
        </w:rPr>
        <w:t>lithium-ion</w:t>
      </w:r>
      <w:r w:rsidR="00456BDA" w:rsidRPr="00DD1B58">
        <w:rPr>
          <w:lang w:val="en-US" w:eastAsia="en-GB" w:bidi="ar-SA"/>
        </w:rPr>
        <w:t xml:space="preserve"> batteries, response to battery electric vehicle</w:t>
      </w:r>
      <w:r w:rsidR="007F387A" w:rsidRPr="00DD1B58">
        <w:rPr>
          <w:lang w:val="en-US" w:eastAsia="en-GB" w:bidi="ar-SA"/>
        </w:rPr>
        <w:t xml:space="preserve"> </w:t>
      </w:r>
      <w:r w:rsidR="00456BDA" w:rsidRPr="00DD1B58">
        <w:rPr>
          <w:lang w:val="en-US" w:eastAsia="en-GB" w:bidi="ar-SA"/>
        </w:rPr>
        <w:t>fires, Centre for the Protection of National Infrastructure (CPNI) ‘fire as a weapon’, licenced lay</w:t>
      </w:r>
      <w:r w:rsidR="007F387A" w:rsidRPr="00DD1B58">
        <w:rPr>
          <w:lang w:val="en-US" w:eastAsia="en-GB" w:bidi="ar-SA"/>
        </w:rPr>
        <w:t xml:space="preserve"> </w:t>
      </w:r>
      <w:r w:rsidR="00456BDA" w:rsidRPr="00DD1B58">
        <w:rPr>
          <w:lang w:val="en-US" w:eastAsia="en-GB" w:bidi="ar-SA"/>
        </w:rPr>
        <w:t>down areas.</w:t>
      </w:r>
    </w:p>
    <w:p w14:paraId="23498197" w14:textId="77777777" w:rsidR="00F46FBA" w:rsidRPr="00DD1B58" w:rsidRDefault="00F46FBA" w:rsidP="60E054AF">
      <w:pPr>
        <w:autoSpaceDE w:val="0"/>
        <w:autoSpaceDN w:val="0"/>
        <w:adjustRightInd w:val="0"/>
        <w:spacing w:after="0" w:line="240" w:lineRule="auto"/>
        <w:rPr>
          <w:lang w:val="en-US" w:eastAsia="en-GB" w:bidi="ar-SA"/>
        </w:rPr>
      </w:pPr>
    </w:p>
    <w:p w14:paraId="55FD4E41" w14:textId="77777777" w:rsidR="00DF3B89" w:rsidRPr="00DD1B58" w:rsidRDefault="00DF3B89" w:rsidP="00177432">
      <w:pPr>
        <w:pStyle w:val="Heading5A"/>
        <w:numPr>
          <w:ilvl w:val="5"/>
          <w:numId w:val="7"/>
        </w:numPr>
        <w:rPr>
          <w:lang w:val="en-US"/>
        </w:rPr>
      </w:pPr>
      <w:r w:rsidRPr="00DD1B58">
        <w:rPr>
          <w:lang w:val="en-US"/>
        </w:rPr>
        <w:t>Specific provisions, e.g. loss of access</w:t>
      </w:r>
    </w:p>
    <w:p w14:paraId="71AFE9A1" w14:textId="12F1A1FB" w:rsidR="00F46FBA" w:rsidRPr="00DD1B58" w:rsidRDefault="00645880" w:rsidP="60E054AF">
      <w:pPr>
        <w:autoSpaceDE w:val="0"/>
        <w:autoSpaceDN w:val="0"/>
        <w:adjustRightInd w:val="0"/>
        <w:spacing w:after="0" w:line="240" w:lineRule="auto"/>
        <w:rPr>
          <w:lang w:val="en-US" w:eastAsia="en-GB" w:bidi="ar-SA"/>
        </w:rPr>
      </w:pPr>
      <w:r w:rsidRPr="00DD1B58">
        <w:rPr>
          <w:lang w:val="en-US"/>
        </w:rPr>
        <w:t xml:space="preserve">The Capenhurst site maintains </w:t>
      </w:r>
      <w:r w:rsidRPr="00DD1B58">
        <w:rPr>
          <w:lang w:val="en-US" w:eastAsia="en-GB" w:bidi="ar-SA"/>
        </w:rPr>
        <w:t xml:space="preserve">a number of permanent external access points which could be </w:t>
      </w:r>
      <w:r w:rsidR="008235F1" w:rsidRPr="00DD1B58">
        <w:rPr>
          <w:lang w:val="en-US" w:eastAsia="en-GB" w:bidi="ar-SA"/>
        </w:rPr>
        <w:t>supplemented,</w:t>
      </w:r>
      <w:r w:rsidRPr="00DD1B58">
        <w:rPr>
          <w:lang w:val="en-US" w:eastAsia="en-GB" w:bidi="ar-SA"/>
        </w:rPr>
        <w:t xml:space="preserve"> if necessary, by off road access within the capabilities of responding vehicles. Within the site boundary all facilities can be accessed via multiple routes to facilitate safe access for responders irrespective of the nature of event (i.e. radiological event, wind direction, structural </w:t>
      </w:r>
      <w:r w:rsidR="008235F1" w:rsidRPr="00DD1B58">
        <w:rPr>
          <w:lang w:val="en-US" w:eastAsia="en-GB" w:bidi="ar-SA"/>
        </w:rPr>
        <w:t>collapse,</w:t>
      </w:r>
      <w:r w:rsidRPr="00DD1B58">
        <w:rPr>
          <w:lang w:val="en-US" w:eastAsia="en-GB" w:bidi="ar-SA"/>
        </w:rPr>
        <w:t xml:space="preserve"> or other security related events).</w:t>
      </w:r>
    </w:p>
    <w:p w14:paraId="04A2B369" w14:textId="77777777" w:rsidR="00645880" w:rsidRPr="00DD1B58" w:rsidRDefault="00645880" w:rsidP="60E054AF">
      <w:pPr>
        <w:autoSpaceDE w:val="0"/>
        <w:autoSpaceDN w:val="0"/>
        <w:adjustRightInd w:val="0"/>
        <w:spacing w:after="0" w:line="240" w:lineRule="auto"/>
        <w:rPr>
          <w:lang w:val="en-US" w:eastAsia="en-GB" w:bidi="ar-SA"/>
        </w:rPr>
      </w:pPr>
    </w:p>
    <w:p w14:paraId="70C9889A" w14:textId="60FB567D" w:rsidR="00DF3B89" w:rsidRPr="00DD1B58" w:rsidRDefault="00DF3B89" w:rsidP="00177432">
      <w:pPr>
        <w:pStyle w:val="Heading5A"/>
        <w:rPr>
          <w:lang w:val="en-US"/>
        </w:rPr>
      </w:pPr>
      <w:bookmarkStart w:id="116" w:name="_Ref145057177"/>
      <w:r w:rsidRPr="00DD1B58">
        <w:rPr>
          <w:lang w:val="en-US"/>
        </w:rPr>
        <w:t>Licensee’s experience of the implementation of the active fire protection</w:t>
      </w:r>
      <w:bookmarkEnd w:id="116"/>
    </w:p>
    <w:p w14:paraId="7E8A6464" w14:textId="77777777" w:rsidR="00527386" w:rsidRPr="00DD1B58" w:rsidRDefault="00527386" w:rsidP="00973FF4">
      <w:pPr>
        <w:pStyle w:val="Heading5A"/>
        <w:numPr>
          <w:ilvl w:val="0"/>
          <w:numId w:val="0"/>
        </w:numPr>
        <w:rPr>
          <w:noProof w:val="0"/>
          <w:color w:val="auto"/>
          <w:szCs w:val="22"/>
          <w:lang w:val="en-US" w:eastAsia="en-GB" w:bidi="ar-SA"/>
        </w:rPr>
      </w:pPr>
      <w:r w:rsidRPr="00DD1B58">
        <w:rPr>
          <w:noProof w:val="0"/>
          <w:color w:val="auto"/>
          <w:szCs w:val="22"/>
          <w:lang w:val="en-US" w:eastAsia="en-GB" w:bidi="ar-SA"/>
        </w:rPr>
        <w:t>Section C-I-3.2 describes the licensee experience and is not reiterated here for conciseness.</w:t>
      </w:r>
    </w:p>
    <w:p w14:paraId="0ECB4E0D" w14:textId="77777777" w:rsidR="00DF3B89" w:rsidRPr="00DD1B58" w:rsidRDefault="00DF3B89" w:rsidP="00177432">
      <w:pPr>
        <w:pStyle w:val="Heading5A"/>
        <w:rPr>
          <w:lang w:val="en-US"/>
        </w:rPr>
      </w:pPr>
      <w:bookmarkStart w:id="117" w:name="_Ref145058400"/>
      <w:r w:rsidRPr="00DD1B58">
        <w:rPr>
          <w:lang w:val="en-US"/>
        </w:rPr>
        <w:t>Regulator’s assessment of the active fire protection</w:t>
      </w:r>
      <w:bookmarkEnd w:id="117"/>
    </w:p>
    <w:p w14:paraId="287DF1C9" w14:textId="5F0C320C" w:rsidR="00DF3B89" w:rsidRPr="00DD1B58" w:rsidRDefault="00DF3B89" w:rsidP="00177432">
      <w:pPr>
        <w:pStyle w:val="Heading5A"/>
        <w:numPr>
          <w:ilvl w:val="5"/>
          <w:numId w:val="7"/>
        </w:numPr>
        <w:rPr>
          <w:lang w:val="en-US"/>
        </w:rPr>
      </w:pPr>
      <w:r w:rsidRPr="00DD1B58">
        <w:rPr>
          <w:lang w:val="en-US"/>
        </w:rPr>
        <w:t>Overview of strengths and weaknesses in the active fire protection</w:t>
      </w:r>
      <w:r w:rsidR="69A3CFE2" w:rsidRPr="00DD1B58">
        <w:rPr>
          <w:lang w:val="en-US"/>
        </w:rPr>
        <w:t xml:space="preserve">   </w:t>
      </w:r>
      <w:r w:rsidR="00940D2A" w:rsidRPr="00DD1B58">
        <w:rPr>
          <w:lang w:val="en-US"/>
        </w:rPr>
        <w:t xml:space="preserve"> </w:t>
      </w:r>
      <w:r w:rsidR="69A3CFE2" w:rsidRPr="00DD1B58">
        <w:rPr>
          <w:lang w:val="en-US"/>
        </w:rPr>
        <w:t xml:space="preserve"> </w:t>
      </w:r>
    </w:p>
    <w:p w14:paraId="02B1742E" w14:textId="71E8DB5C" w:rsidR="009A3D60" w:rsidRPr="00DD1B58" w:rsidRDefault="009A3D60" w:rsidP="009A3D60">
      <w:pPr>
        <w:rPr>
          <w:b/>
          <w:lang w:val="en-US"/>
        </w:rPr>
      </w:pPr>
      <w:bookmarkStart w:id="118" w:name="_Hlk139634130"/>
      <w:r w:rsidRPr="00DD1B58">
        <w:rPr>
          <w:b/>
          <w:lang w:val="en-US"/>
        </w:rPr>
        <w:t>Active fire protection strengths</w:t>
      </w:r>
    </w:p>
    <w:p w14:paraId="0544746B" w14:textId="4800128D" w:rsidR="009A3D60" w:rsidRPr="00DD1B58" w:rsidRDefault="006658FE" w:rsidP="009A3D60">
      <w:pPr>
        <w:rPr>
          <w:lang w:val="en-US"/>
        </w:rPr>
      </w:pPr>
      <w:r w:rsidRPr="00DD1B58">
        <w:rPr>
          <w:lang w:val="en-US"/>
        </w:rPr>
        <w:t>UUK</w:t>
      </w:r>
      <w:r w:rsidR="0091142D" w:rsidRPr="00DD1B58">
        <w:rPr>
          <w:lang w:val="en-US"/>
        </w:rPr>
        <w:t xml:space="preserve"> </w:t>
      </w:r>
      <w:r w:rsidR="006D798B" w:rsidRPr="00DD1B58">
        <w:rPr>
          <w:lang w:val="en-US"/>
        </w:rPr>
        <w:t>reports that</w:t>
      </w:r>
      <w:r w:rsidR="0091142D" w:rsidRPr="00DD1B58">
        <w:rPr>
          <w:lang w:val="en-US"/>
        </w:rPr>
        <w:t xml:space="preserve"> no </w:t>
      </w:r>
      <w:r w:rsidR="001F3D85" w:rsidRPr="00DD1B58">
        <w:rPr>
          <w:lang w:val="en-US"/>
        </w:rPr>
        <w:t>active</w:t>
      </w:r>
      <w:r w:rsidR="0091142D" w:rsidRPr="00DD1B58">
        <w:rPr>
          <w:lang w:val="en-US"/>
        </w:rPr>
        <w:t xml:space="preserve"> systems are claimed for nuclear safety</w:t>
      </w:r>
      <w:r w:rsidR="004D3579" w:rsidRPr="00DD1B58">
        <w:rPr>
          <w:lang w:val="en-US"/>
        </w:rPr>
        <w:t xml:space="preserve"> and </w:t>
      </w:r>
      <w:r w:rsidR="0091142D" w:rsidRPr="00DD1B58">
        <w:rPr>
          <w:lang w:val="en-US"/>
        </w:rPr>
        <w:t xml:space="preserve">that the fire alarm and detection system is </w:t>
      </w:r>
      <w:r w:rsidR="004D3579" w:rsidRPr="00DD1B58">
        <w:rPr>
          <w:lang w:val="en-US"/>
        </w:rPr>
        <w:t>provided</w:t>
      </w:r>
      <w:r w:rsidR="0091142D" w:rsidRPr="00DD1B58">
        <w:rPr>
          <w:lang w:val="en-US"/>
        </w:rPr>
        <w:t xml:space="preserve"> for prompt personnel evacuation and to alert the on-site </w:t>
      </w:r>
      <w:r w:rsidR="00A74C91" w:rsidRPr="00DD1B58">
        <w:rPr>
          <w:lang w:val="en-US"/>
        </w:rPr>
        <w:t>IRS</w:t>
      </w:r>
      <w:r w:rsidR="00042BCC" w:rsidRPr="00DD1B58">
        <w:rPr>
          <w:lang w:val="en-US"/>
        </w:rPr>
        <w:t>.</w:t>
      </w:r>
      <w:r w:rsidR="0091142D" w:rsidRPr="00DD1B58">
        <w:rPr>
          <w:lang w:val="en-US"/>
        </w:rPr>
        <w:t xml:space="preserve"> </w:t>
      </w:r>
      <w:r w:rsidR="009A3D60" w:rsidRPr="00DD1B58">
        <w:rPr>
          <w:lang w:val="en-US"/>
        </w:rPr>
        <w:t xml:space="preserve">The licensee described a </w:t>
      </w:r>
      <w:r w:rsidR="00516094" w:rsidRPr="00DD1B58">
        <w:rPr>
          <w:lang w:val="en-US"/>
        </w:rPr>
        <w:t>fire alarm and detection system</w:t>
      </w:r>
      <w:r w:rsidR="009A3D60" w:rsidRPr="00DD1B58">
        <w:rPr>
          <w:lang w:val="en-US"/>
        </w:rPr>
        <w:t xml:space="preserve"> improvement project to upgrade</w:t>
      </w:r>
      <w:r w:rsidR="00516094" w:rsidRPr="00DD1B58">
        <w:rPr>
          <w:lang w:val="en-US"/>
        </w:rPr>
        <w:t xml:space="preserve"> </w:t>
      </w:r>
      <w:r w:rsidR="003E5068" w:rsidRPr="00DD1B58">
        <w:rPr>
          <w:lang w:val="en-US"/>
        </w:rPr>
        <w:t>to BS</w:t>
      </w:r>
      <w:r w:rsidR="009A3D60" w:rsidRPr="00DD1B58">
        <w:rPr>
          <w:lang w:val="en-US"/>
        </w:rPr>
        <w:t xml:space="preserve"> 5839</w:t>
      </w:r>
      <w:r w:rsidR="003E5068" w:rsidRPr="00DD1B58">
        <w:rPr>
          <w:lang w:val="en-US"/>
        </w:rPr>
        <w:t xml:space="preserve"> </w:t>
      </w:r>
      <w:r w:rsidR="00C63AED" w:rsidRPr="00DD1B58">
        <w:rPr>
          <w:lang w:val="en-US"/>
        </w:rPr>
        <w:t>(Reference</w:t>
      </w:r>
      <w:r w:rsidR="003E5068" w:rsidRPr="00DD1B58">
        <w:rPr>
          <w:lang w:val="en-US"/>
        </w:rPr>
        <w:t>)</w:t>
      </w:r>
      <w:r w:rsidR="009A3D60" w:rsidRPr="00DD1B58">
        <w:rPr>
          <w:lang w:val="en-US"/>
        </w:rPr>
        <w:t xml:space="preserve"> Part 1 L1/P1 standard with benefits in terms of life safety, property protection and emergency response.</w:t>
      </w:r>
      <w:r w:rsidR="00527386" w:rsidRPr="00DD1B58">
        <w:rPr>
          <w:lang w:val="en-US"/>
        </w:rPr>
        <w:t xml:space="preserve"> ONR considers that </w:t>
      </w:r>
      <w:r w:rsidR="004D3579" w:rsidRPr="00DD1B58">
        <w:rPr>
          <w:lang w:val="en-US"/>
        </w:rPr>
        <w:t>UUK’s self-assessment adequately</w:t>
      </w:r>
      <w:r w:rsidR="009A3D60" w:rsidRPr="00DD1B58">
        <w:rPr>
          <w:lang w:val="en-US"/>
        </w:rPr>
        <w:t xml:space="preserve"> describes emergency response arrangements on site </w:t>
      </w:r>
      <w:r w:rsidR="006E0DA4" w:rsidRPr="00DD1B58">
        <w:rPr>
          <w:lang w:val="en-US"/>
        </w:rPr>
        <w:t xml:space="preserve">and </w:t>
      </w:r>
      <w:r w:rsidR="009A3D60" w:rsidRPr="00DD1B58">
        <w:rPr>
          <w:lang w:val="en-US"/>
        </w:rPr>
        <w:t>for liaison with the Local Authorit</w:t>
      </w:r>
      <w:r w:rsidR="00527386" w:rsidRPr="00DD1B58">
        <w:rPr>
          <w:lang w:val="en-US"/>
        </w:rPr>
        <w:t>y</w:t>
      </w:r>
      <w:r w:rsidR="006E0DA4" w:rsidRPr="00DD1B58">
        <w:rPr>
          <w:lang w:val="en-US"/>
        </w:rPr>
        <w:t>,</w:t>
      </w:r>
      <w:r w:rsidR="00527386" w:rsidRPr="00DD1B58">
        <w:rPr>
          <w:lang w:val="en-US"/>
        </w:rPr>
        <w:t xml:space="preserve"> and the</w:t>
      </w:r>
      <w:r w:rsidR="009A3D60" w:rsidRPr="00DD1B58">
        <w:rPr>
          <w:lang w:val="en-US"/>
        </w:rPr>
        <w:t xml:space="preserve"> suppression systems in place to protect specific areas </w:t>
      </w:r>
      <w:r w:rsidR="00527386" w:rsidRPr="00DD1B58">
        <w:rPr>
          <w:lang w:val="en-US"/>
        </w:rPr>
        <w:t xml:space="preserve">from fire </w:t>
      </w:r>
      <w:r w:rsidR="009A3D60" w:rsidRPr="00DD1B58">
        <w:rPr>
          <w:lang w:val="en-US"/>
        </w:rPr>
        <w:t>risk</w:t>
      </w:r>
      <w:r w:rsidR="00527386" w:rsidRPr="00DD1B58">
        <w:rPr>
          <w:lang w:val="en-US"/>
        </w:rPr>
        <w:t>s to life safety</w:t>
      </w:r>
      <w:r w:rsidR="006E0DA4" w:rsidRPr="00DD1B58">
        <w:rPr>
          <w:lang w:val="en-US"/>
        </w:rPr>
        <w:t>.</w:t>
      </w:r>
    </w:p>
    <w:bookmarkEnd w:id="118"/>
    <w:p w14:paraId="2E32E00C" w14:textId="77777777" w:rsidR="00DF3B89" w:rsidRPr="00DD1B58" w:rsidRDefault="00DF3B89"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11B5C031" w14:textId="5D69C975" w:rsidR="00C46E1F" w:rsidRPr="00DD1B58" w:rsidRDefault="00271291" w:rsidP="00513B78">
      <w:pPr>
        <w:rPr>
          <w:lang w:val="en-US"/>
        </w:rPr>
      </w:pPr>
      <w:r w:rsidRPr="00DD1B58">
        <w:rPr>
          <w:lang w:val="en-US"/>
        </w:rPr>
        <w:t xml:space="preserve">ONR </w:t>
      </w:r>
      <w:r w:rsidR="00A522DC" w:rsidRPr="00DD1B58">
        <w:rPr>
          <w:lang w:val="en-US"/>
        </w:rPr>
        <w:t xml:space="preserve">has </w:t>
      </w:r>
      <w:r w:rsidRPr="00DD1B58">
        <w:rPr>
          <w:lang w:val="en-US"/>
        </w:rPr>
        <w:t xml:space="preserve">undertaken observation and inspection of emergency exercises at the </w:t>
      </w:r>
      <w:r w:rsidR="00F34C02" w:rsidRPr="00DD1B58">
        <w:rPr>
          <w:lang w:val="en-US"/>
        </w:rPr>
        <w:t xml:space="preserve">UUK Capenhurst </w:t>
      </w:r>
      <w:r w:rsidRPr="00DD1B58">
        <w:rPr>
          <w:lang w:val="en-US"/>
        </w:rPr>
        <w:t xml:space="preserve">site which are part of </w:t>
      </w:r>
      <w:r w:rsidR="00F34C02" w:rsidRPr="00DD1B58">
        <w:rPr>
          <w:lang w:val="en-US"/>
        </w:rPr>
        <w:t xml:space="preserve">the licensee’s demonstration of </w:t>
      </w:r>
      <w:r w:rsidRPr="00DD1B58">
        <w:rPr>
          <w:lang w:val="en-US"/>
        </w:rPr>
        <w:t xml:space="preserve">compliance with </w:t>
      </w:r>
      <w:r w:rsidR="00F34C02" w:rsidRPr="00DD1B58">
        <w:rPr>
          <w:lang w:val="en-US"/>
        </w:rPr>
        <w:t xml:space="preserve">LC </w:t>
      </w:r>
      <w:r w:rsidRPr="00DD1B58">
        <w:rPr>
          <w:lang w:val="en-US"/>
        </w:rPr>
        <w:t>11</w:t>
      </w:r>
      <w:r w:rsidR="00767D52" w:rsidRPr="00DD1B58">
        <w:rPr>
          <w:lang w:val="en-US"/>
        </w:rPr>
        <w:t>.</w:t>
      </w:r>
      <w:r w:rsidR="003B7333" w:rsidRPr="00DD1B58">
        <w:rPr>
          <w:lang w:val="en-US"/>
        </w:rPr>
        <w:t xml:space="preserve"> </w:t>
      </w:r>
      <w:r w:rsidR="006E0DA4" w:rsidRPr="00DD1B58">
        <w:rPr>
          <w:lang w:val="en-US"/>
        </w:rPr>
        <w:t>ONR’s</w:t>
      </w:r>
      <w:r w:rsidR="003B7333" w:rsidRPr="00DD1B58">
        <w:rPr>
          <w:lang w:val="en-US"/>
        </w:rPr>
        <w:t xml:space="preserve"> has also undertaken fire inspections at the site and the main learning</w:t>
      </w:r>
      <w:r w:rsidR="00F34C02" w:rsidRPr="00DD1B58">
        <w:rPr>
          <w:lang w:val="en-US"/>
        </w:rPr>
        <w:t xml:space="preserve"> relating to active fire pro</w:t>
      </w:r>
      <w:r w:rsidR="00AB66A2" w:rsidRPr="00DD1B58">
        <w:rPr>
          <w:lang w:val="en-US"/>
        </w:rPr>
        <w:t>te</w:t>
      </w:r>
      <w:r w:rsidR="00F34C02" w:rsidRPr="00DD1B58">
        <w:rPr>
          <w:lang w:val="en-US"/>
        </w:rPr>
        <w:t xml:space="preserve">ction was </w:t>
      </w:r>
      <w:r w:rsidR="003B7333" w:rsidRPr="00DD1B58">
        <w:rPr>
          <w:lang w:val="en-US"/>
        </w:rPr>
        <w:t>acknowledged in the licensee’s self-assessment</w:t>
      </w:r>
      <w:r w:rsidR="00F34C02" w:rsidRPr="00DD1B58">
        <w:rPr>
          <w:lang w:val="en-US"/>
        </w:rPr>
        <w:t xml:space="preserve">. These were the </w:t>
      </w:r>
      <w:r w:rsidR="0037498F" w:rsidRPr="00DD1B58">
        <w:rPr>
          <w:lang w:val="en-US"/>
        </w:rPr>
        <w:t>identified shortfalls in the provision and management of the automatic fire detection and alarm system</w:t>
      </w:r>
      <w:r w:rsidR="00F34C02" w:rsidRPr="00DD1B58">
        <w:rPr>
          <w:lang w:val="en-US"/>
        </w:rPr>
        <w:t xml:space="preserve"> in the building inspected. ONR raised a regulatory issue to track the licensee’s implementation of fire detection and alarm updates across the site</w:t>
      </w:r>
      <w:r w:rsidR="00E6285D" w:rsidRPr="00DD1B58">
        <w:rPr>
          <w:lang w:val="en-US"/>
        </w:rPr>
        <w:t xml:space="preserve"> which has now been satisfactorily closed</w:t>
      </w:r>
      <w:r w:rsidR="00F34C02" w:rsidRPr="00DD1B58">
        <w:rPr>
          <w:lang w:val="en-US"/>
        </w:rPr>
        <w:t>.</w:t>
      </w:r>
    </w:p>
    <w:p w14:paraId="049AE49B" w14:textId="6992766A" w:rsidR="00B26762" w:rsidRPr="00DD1B58" w:rsidRDefault="00B26762" w:rsidP="00177432">
      <w:pPr>
        <w:pStyle w:val="Heading4A"/>
        <w:rPr>
          <w:lang w:val="en-US"/>
        </w:rPr>
      </w:pPr>
      <w:r w:rsidRPr="00DD1B58">
        <w:rPr>
          <w:lang w:val="en-US"/>
        </w:rPr>
        <w:t xml:space="preserve">Fuel </w:t>
      </w:r>
      <w:r w:rsidR="001D6A56" w:rsidRPr="00DD1B58">
        <w:rPr>
          <w:lang w:val="en-US"/>
        </w:rPr>
        <w:t>f</w:t>
      </w:r>
      <w:r w:rsidRPr="00DD1B58">
        <w:rPr>
          <w:lang w:val="en-US"/>
        </w:rPr>
        <w:t xml:space="preserve">abrication </w:t>
      </w:r>
      <w:r w:rsidR="001D6A56" w:rsidRPr="00DD1B58">
        <w:rPr>
          <w:lang w:val="en-US"/>
        </w:rPr>
        <w:t>f</w:t>
      </w:r>
      <w:r w:rsidRPr="00DD1B58">
        <w:rPr>
          <w:lang w:val="en-US"/>
        </w:rPr>
        <w:t>acilities</w:t>
      </w:r>
      <w:r w:rsidR="00B51B2E" w:rsidRPr="00DD1B58">
        <w:rPr>
          <w:lang w:val="en-US"/>
        </w:rPr>
        <w:t xml:space="preserve"> </w:t>
      </w:r>
      <w:r w:rsidR="00F91ED5" w:rsidRPr="00DD1B58">
        <w:rPr>
          <w:lang w:val="en-US"/>
        </w:rPr>
        <w:t>–</w:t>
      </w:r>
      <w:r w:rsidR="00B51B2E" w:rsidRPr="00DD1B58">
        <w:rPr>
          <w:lang w:val="en-US"/>
        </w:rPr>
        <w:t xml:space="preserve"> </w:t>
      </w:r>
      <w:r w:rsidR="00134292" w:rsidRPr="00DD1B58">
        <w:rPr>
          <w:lang w:val="en-US"/>
        </w:rPr>
        <w:t>Springfields Fuels Ltd</w:t>
      </w:r>
    </w:p>
    <w:p w14:paraId="4540C8C1" w14:textId="77777777" w:rsidR="00B26762" w:rsidRPr="00DD1B58" w:rsidRDefault="00B26762" w:rsidP="00177432">
      <w:pPr>
        <w:pStyle w:val="Heading5A"/>
        <w:rPr>
          <w:lang w:val="en-US"/>
        </w:rPr>
      </w:pPr>
      <w:r w:rsidRPr="00DD1B58">
        <w:rPr>
          <w:lang w:val="en-US"/>
        </w:rPr>
        <w:t>Fire detection and alarm provisions</w:t>
      </w:r>
    </w:p>
    <w:p w14:paraId="616261AA" w14:textId="4C7A215C" w:rsidR="00B26762" w:rsidRPr="00DD1B58" w:rsidRDefault="00B26762" w:rsidP="00177432">
      <w:pPr>
        <w:pStyle w:val="Heading5A"/>
        <w:numPr>
          <w:ilvl w:val="5"/>
          <w:numId w:val="7"/>
        </w:numPr>
        <w:rPr>
          <w:lang w:val="en-US"/>
        </w:rPr>
      </w:pPr>
      <w:r w:rsidRPr="00DD1B58">
        <w:rPr>
          <w:lang w:val="en-US"/>
        </w:rPr>
        <w:t xml:space="preserve">Design </w:t>
      </w:r>
      <w:r w:rsidR="001D6A56" w:rsidRPr="00DD1B58">
        <w:rPr>
          <w:lang w:val="en-US"/>
        </w:rPr>
        <w:t>a</w:t>
      </w:r>
      <w:r w:rsidRPr="00DD1B58">
        <w:rPr>
          <w:lang w:val="en-US"/>
        </w:rPr>
        <w:t>pproach</w:t>
      </w:r>
    </w:p>
    <w:p w14:paraId="16499086" w14:textId="77777777" w:rsidR="002D31DF" w:rsidRPr="00DD1B58" w:rsidRDefault="002D31DF" w:rsidP="002D31DF">
      <w:pPr>
        <w:rPr>
          <w:lang w:val="en-US"/>
        </w:rPr>
      </w:pPr>
      <w:r w:rsidRPr="00DD1B58">
        <w:rPr>
          <w:lang w:val="en-US"/>
        </w:rPr>
        <w:t>Fire detection and alarm systems are generally installed in nuclear facilities on the Springfields site for both life safety purposes and to provide a warning that systems essential to radiological or chemotoxic safety may be threatened by fire, to operate fire protection or to initiate closure of fire dampers and shut down of ventilation fans. In addition, they serve to warn occupants of the building of fire to allow escape to be affected and to alert the site fire service that there is a potential fire in the building.</w:t>
      </w:r>
    </w:p>
    <w:p w14:paraId="1F3A2F63" w14:textId="63950E58" w:rsidR="002D31DF" w:rsidRPr="00DD1B58" w:rsidRDefault="00134292" w:rsidP="002D31DF">
      <w:pPr>
        <w:rPr>
          <w:lang w:val="en-US"/>
        </w:rPr>
      </w:pPr>
      <w:r w:rsidRPr="00DD1B58">
        <w:rPr>
          <w:lang w:val="en-US"/>
        </w:rPr>
        <w:t>Springfields Fuels Ltd</w:t>
      </w:r>
      <w:r w:rsidR="00E41682" w:rsidRPr="00DD1B58">
        <w:rPr>
          <w:lang w:val="en-US"/>
        </w:rPr>
        <w:t xml:space="preserve"> reports that w</w:t>
      </w:r>
      <w:r w:rsidR="002D31DF" w:rsidRPr="00DD1B58">
        <w:rPr>
          <w:lang w:val="en-US"/>
        </w:rPr>
        <w:t>here there are claims made on multichannel engineered protection systems to prevent a fault from leading to an unacceptable consequence to a worker or member of the public</w:t>
      </w:r>
      <w:r w:rsidR="00E41682" w:rsidRPr="00DD1B58">
        <w:rPr>
          <w:lang w:val="en-US"/>
        </w:rPr>
        <w:t>,</w:t>
      </w:r>
      <w:r w:rsidR="002D31DF" w:rsidRPr="00DD1B58">
        <w:rPr>
          <w:lang w:val="en-US"/>
        </w:rPr>
        <w:t xml:space="preserve"> it is often the case that many of these have not been specifically designed with respect to fire. In addition, </w:t>
      </w:r>
      <w:r w:rsidRPr="00DD1B58">
        <w:rPr>
          <w:lang w:val="en-US"/>
        </w:rPr>
        <w:t>Springfields Fuels Ltd</w:t>
      </w:r>
      <w:r w:rsidR="00884687" w:rsidRPr="00DD1B58">
        <w:rPr>
          <w:lang w:val="en-US"/>
        </w:rPr>
        <w:t xml:space="preserve"> considers that </w:t>
      </w:r>
      <w:r w:rsidR="002D31DF" w:rsidRPr="00DD1B58">
        <w:rPr>
          <w:lang w:val="en-US"/>
        </w:rPr>
        <w:t xml:space="preserve">the segregation provided would not in all cases prevent common cause failure due to fire. Examples could be safety systems using common cable routes, common electrical cubicles, or a lack of fire separation between cubicles. </w:t>
      </w:r>
      <w:r w:rsidRPr="00DD1B58">
        <w:rPr>
          <w:lang w:val="en-US"/>
        </w:rPr>
        <w:t>Springfields Fuels Ltd</w:t>
      </w:r>
      <w:r w:rsidR="00884687" w:rsidRPr="00DD1B58">
        <w:rPr>
          <w:lang w:val="en-US"/>
        </w:rPr>
        <w:t xml:space="preserve"> also reports that m</w:t>
      </w:r>
      <w:r w:rsidR="002D31DF" w:rsidRPr="00DD1B58">
        <w:rPr>
          <w:lang w:val="en-US"/>
        </w:rPr>
        <w:t xml:space="preserve">any safety mechanism (SM) electrical panels are in non-contact areas which have a higher level of detection coverage than some contact areas. Parts of the safety measures will however be in the area where the plant is located and where </w:t>
      </w:r>
      <w:r w:rsidRPr="00DD1B58">
        <w:rPr>
          <w:lang w:val="en-US"/>
        </w:rPr>
        <w:t>Springfields Fuels Ltd</w:t>
      </w:r>
      <w:r w:rsidR="00995B9C" w:rsidRPr="00DD1B58">
        <w:rPr>
          <w:lang w:val="en-US"/>
        </w:rPr>
        <w:t xml:space="preserve"> may not provide </w:t>
      </w:r>
      <w:r w:rsidR="002D31DF" w:rsidRPr="00DD1B58">
        <w:rPr>
          <w:lang w:val="en-US"/>
        </w:rPr>
        <w:t xml:space="preserve">detection. </w:t>
      </w:r>
      <w:r w:rsidRPr="00DD1B58">
        <w:rPr>
          <w:lang w:val="en-US"/>
        </w:rPr>
        <w:t>Springfields Fuels Ltd</w:t>
      </w:r>
      <w:r w:rsidR="00995B9C" w:rsidRPr="00DD1B58">
        <w:rPr>
          <w:lang w:val="en-US"/>
        </w:rPr>
        <w:t xml:space="preserve"> considers that it </w:t>
      </w:r>
      <w:r w:rsidR="002D31DF" w:rsidRPr="00DD1B58">
        <w:rPr>
          <w:lang w:val="en-US"/>
        </w:rPr>
        <w:t>would not be practicable to redesign the many systems to achieve robust fire segregation in all cases and as such</w:t>
      </w:r>
      <w:r w:rsidR="00995B9C" w:rsidRPr="00DD1B58">
        <w:rPr>
          <w:lang w:val="en-US"/>
        </w:rPr>
        <w:t xml:space="preserve"> it places</w:t>
      </w:r>
      <w:r w:rsidR="002D31DF" w:rsidRPr="00DD1B58">
        <w:rPr>
          <w:lang w:val="en-US"/>
        </w:rPr>
        <w:t xml:space="preserve"> reliance on a fire being revealed such that the plant can either be made safe, action taken to ensure that the safety measure is able to perform its safety function on demand or workers can move away from the hazard and/or evacuate the building</w:t>
      </w:r>
      <w:r w:rsidR="001D6DBD" w:rsidRPr="00DD1B58">
        <w:rPr>
          <w:lang w:val="en-US"/>
        </w:rPr>
        <w:t>.</w:t>
      </w:r>
    </w:p>
    <w:p w14:paraId="1638A01D" w14:textId="0E12689F" w:rsidR="00E53DB5" w:rsidRPr="00DD1B58" w:rsidRDefault="002D31DF" w:rsidP="002D31DF">
      <w:pPr>
        <w:rPr>
          <w:lang w:val="en-US"/>
        </w:rPr>
      </w:pPr>
      <w:r w:rsidRPr="00DD1B58">
        <w:rPr>
          <w:lang w:val="en-US"/>
        </w:rPr>
        <w:t xml:space="preserve">Where </w:t>
      </w:r>
      <w:r w:rsidR="00134292" w:rsidRPr="00DD1B58">
        <w:rPr>
          <w:lang w:val="en-US"/>
        </w:rPr>
        <w:t>Springfields Fuels Ltd</w:t>
      </w:r>
      <w:r w:rsidR="00995B9C" w:rsidRPr="00DD1B58">
        <w:rPr>
          <w:lang w:val="en-US"/>
        </w:rPr>
        <w:t xml:space="preserve"> makes </w:t>
      </w:r>
      <w:r w:rsidRPr="00DD1B58">
        <w:rPr>
          <w:lang w:val="en-US"/>
        </w:rPr>
        <w:t>claims on the attendance of the site fire service in the event of fire,</w:t>
      </w:r>
      <w:r w:rsidR="006F5D81" w:rsidRPr="00DD1B58">
        <w:rPr>
          <w:lang w:val="en-US"/>
        </w:rPr>
        <w:t xml:space="preserve"> as part of defence in depth,</w:t>
      </w:r>
      <w:r w:rsidRPr="00DD1B58">
        <w:rPr>
          <w:lang w:val="en-US"/>
        </w:rPr>
        <w:t xml:space="preserve"> </w:t>
      </w:r>
      <w:r w:rsidR="007A374D" w:rsidRPr="00DD1B58">
        <w:rPr>
          <w:lang w:val="en-US"/>
        </w:rPr>
        <w:t xml:space="preserve">it states that </w:t>
      </w:r>
      <w:r w:rsidRPr="00DD1B58">
        <w:rPr>
          <w:lang w:val="en-US"/>
        </w:rPr>
        <w:t>a level of coverage commensurate with the risk of fire in each area is provided.</w:t>
      </w:r>
      <w:r w:rsidR="00E355B4" w:rsidRPr="00DD1B58">
        <w:rPr>
          <w:lang w:val="en-US"/>
        </w:rPr>
        <w:t xml:space="preserve"> </w:t>
      </w:r>
      <w:r w:rsidR="00134292" w:rsidRPr="00DD1B58">
        <w:rPr>
          <w:lang w:val="en-US"/>
        </w:rPr>
        <w:t>Springfields Fuels Ltd</w:t>
      </w:r>
      <w:r w:rsidR="00CB46C9" w:rsidRPr="00DD1B58">
        <w:rPr>
          <w:lang w:val="en-US"/>
        </w:rPr>
        <w:t xml:space="preserve"> </w:t>
      </w:r>
      <w:r w:rsidR="006D798B" w:rsidRPr="00DD1B58">
        <w:rPr>
          <w:lang w:val="en-US"/>
        </w:rPr>
        <w:t>states that</w:t>
      </w:r>
      <w:r w:rsidR="00DF5549" w:rsidRPr="00DD1B58">
        <w:rPr>
          <w:lang w:val="en-US"/>
        </w:rPr>
        <w:t xml:space="preserve"> the </w:t>
      </w:r>
      <w:r w:rsidRPr="00DD1B58">
        <w:rPr>
          <w:lang w:val="en-US"/>
        </w:rPr>
        <w:t xml:space="preserve">nuclear safety classification of fire detection systems is typically safety related Instrumentation (SRI) </w:t>
      </w:r>
      <w:r w:rsidR="00CB46C9" w:rsidRPr="00DD1B58">
        <w:rPr>
          <w:lang w:val="en-US"/>
        </w:rPr>
        <w:t xml:space="preserve">and refers </w:t>
      </w:r>
      <w:r w:rsidRPr="00DD1B58">
        <w:rPr>
          <w:lang w:val="en-US"/>
        </w:rPr>
        <w:t xml:space="preserve">to </w:t>
      </w:r>
      <w:r w:rsidR="006B5E92" w:rsidRPr="00DD1B58">
        <w:rPr>
          <w:lang w:val="en-US"/>
        </w:rPr>
        <w:t xml:space="preserve">the </w:t>
      </w:r>
      <w:r w:rsidRPr="00DD1B58">
        <w:rPr>
          <w:lang w:val="en-US"/>
        </w:rPr>
        <w:t xml:space="preserve">Table </w:t>
      </w:r>
      <w:r w:rsidR="00CC46B0" w:rsidRPr="00DD1B58">
        <w:rPr>
          <w:lang w:val="en-US"/>
        </w:rPr>
        <w:t>below.</w:t>
      </w:r>
    </w:p>
    <w:tbl>
      <w:tblPr>
        <w:tblStyle w:val="TableGrid"/>
        <w:tblW w:w="0" w:type="auto"/>
        <w:tblLook w:val="04A0" w:firstRow="1" w:lastRow="0" w:firstColumn="1" w:lastColumn="0" w:noHBand="0" w:noVBand="1"/>
      </w:tblPr>
      <w:tblGrid>
        <w:gridCol w:w="2000"/>
        <w:gridCol w:w="3807"/>
        <w:gridCol w:w="1276"/>
        <w:gridCol w:w="2659"/>
      </w:tblGrid>
      <w:tr w:rsidR="005E0498" w:rsidRPr="00DD1B58" w14:paraId="64089408" w14:textId="77777777" w:rsidTr="006B5E92">
        <w:tc>
          <w:tcPr>
            <w:tcW w:w="0" w:type="auto"/>
          </w:tcPr>
          <w:p w14:paraId="15634663" w14:textId="77777777" w:rsidR="005E0498" w:rsidRPr="00DD1B58" w:rsidRDefault="005E0498" w:rsidP="005E0498">
            <w:pPr>
              <w:rPr>
                <w:szCs w:val="24"/>
                <w:lang w:val="en-US"/>
              </w:rPr>
            </w:pPr>
            <w:r w:rsidRPr="00DD1B58">
              <w:rPr>
                <w:b/>
                <w:bCs/>
                <w:szCs w:val="24"/>
                <w:lang w:val="en-US"/>
              </w:rPr>
              <w:t xml:space="preserve">Structure, System or Component </w:t>
            </w:r>
          </w:p>
        </w:tc>
        <w:tc>
          <w:tcPr>
            <w:tcW w:w="3807" w:type="dxa"/>
          </w:tcPr>
          <w:p w14:paraId="1C90133E" w14:textId="77777777" w:rsidR="005E0498" w:rsidRPr="00DD1B58" w:rsidRDefault="005E0498" w:rsidP="005E0498">
            <w:pPr>
              <w:rPr>
                <w:szCs w:val="24"/>
                <w:lang w:val="en-US"/>
              </w:rPr>
            </w:pPr>
            <w:r w:rsidRPr="00DD1B58">
              <w:rPr>
                <w:b/>
                <w:bCs/>
                <w:szCs w:val="24"/>
                <w:lang w:val="en-US"/>
              </w:rPr>
              <w:t xml:space="preserve">Safety Function(s) </w:t>
            </w:r>
          </w:p>
        </w:tc>
        <w:tc>
          <w:tcPr>
            <w:tcW w:w="1276" w:type="dxa"/>
          </w:tcPr>
          <w:p w14:paraId="5E3EEBBE" w14:textId="77777777" w:rsidR="005E0498" w:rsidRPr="00DD1B58" w:rsidRDefault="005E0498" w:rsidP="005E0498">
            <w:pPr>
              <w:rPr>
                <w:szCs w:val="24"/>
                <w:lang w:val="en-US"/>
              </w:rPr>
            </w:pPr>
            <w:r w:rsidRPr="00DD1B58">
              <w:rPr>
                <w:b/>
                <w:bCs/>
                <w:szCs w:val="24"/>
                <w:lang w:val="en-US"/>
              </w:rPr>
              <w:t xml:space="preserve">Safety Function Class </w:t>
            </w:r>
          </w:p>
        </w:tc>
        <w:tc>
          <w:tcPr>
            <w:tcW w:w="2659" w:type="dxa"/>
          </w:tcPr>
          <w:p w14:paraId="2EE6B709" w14:textId="77777777" w:rsidR="005E0498" w:rsidRPr="00DD1B58" w:rsidRDefault="005E0498" w:rsidP="005E0498">
            <w:pPr>
              <w:rPr>
                <w:szCs w:val="24"/>
                <w:lang w:val="en-US"/>
              </w:rPr>
            </w:pPr>
            <w:r w:rsidRPr="00DD1B58">
              <w:rPr>
                <w:b/>
                <w:bCs/>
                <w:szCs w:val="24"/>
                <w:lang w:val="en-US"/>
              </w:rPr>
              <w:t xml:space="preserve">Performance Requirements </w:t>
            </w:r>
          </w:p>
        </w:tc>
      </w:tr>
      <w:tr w:rsidR="005E0498" w:rsidRPr="00DD1B58" w14:paraId="6146C17C" w14:textId="77777777" w:rsidTr="006B5E92">
        <w:tc>
          <w:tcPr>
            <w:tcW w:w="0" w:type="auto"/>
          </w:tcPr>
          <w:p w14:paraId="3823E6DA" w14:textId="77777777" w:rsidR="005E0498" w:rsidRPr="00DD1B58" w:rsidRDefault="005E0498" w:rsidP="005E0498">
            <w:pPr>
              <w:rPr>
                <w:szCs w:val="24"/>
                <w:lang w:val="en-US"/>
              </w:rPr>
            </w:pPr>
            <w:r w:rsidRPr="00DD1B58">
              <w:rPr>
                <w:szCs w:val="24"/>
                <w:lang w:val="en-US"/>
              </w:rPr>
              <w:t xml:space="preserve">Building Fire Detection and Alarm System </w:t>
            </w:r>
          </w:p>
        </w:tc>
        <w:tc>
          <w:tcPr>
            <w:tcW w:w="3807" w:type="dxa"/>
          </w:tcPr>
          <w:p w14:paraId="545BFAE8" w14:textId="77777777" w:rsidR="005E0498" w:rsidRPr="00DD1B58" w:rsidRDefault="005E0498" w:rsidP="005E0498">
            <w:pPr>
              <w:rPr>
                <w:szCs w:val="24"/>
                <w:lang w:val="en-US"/>
              </w:rPr>
            </w:pPr>
            <w:r w:rsidRPr="00DD1B58">
              <w:rPr>
                <w:szCs w:val="24"/>
                <w:lang w:val="en-US"/>
              </w:rPr>
              <w:t xml:space="preserve">To automatically detect fire to send a signal to the Springfields ECC to initiate attendance of the Springfields Site Fire Service </w:t>
            </w:r>
          </w:p>
        </w:tc>
        <w:tc>
          <w:tcPr>
            <w:tcW w:w="1276" w:type="dxa"/>
          </w:tcPr>
          <w:p w14:paraId="67B57B95" w14:textId="77777777" w:rsidR="005E0498" w:rsidRPr="00DD1B58" w:rsidRDefault="005E0498" w:rsidP="005E0498">
            <w:pPr>
              <w:rPr>
                <w:szCs w:val="24"/>
                <w:lang w:val="en-US"/>
              </w:rPr>
            </w:pPr>
            <w:r w:rsidRPr="00DD1B58">
              <w:rPr>
                <w:szCs w:val="24"/>
                <w:lang w:val="en-US"/>
              </w:rPr>
              <w:t xml:space="preserve">SRI </w:t>
            </w:r>
          </w:p>
        </w:tc>
        <w:tc>
          <w:tcPr>
            <w:tcW w:w="2659" w:type="dxa"/>
          </w:tcPr>
          <w:p w14:paraId="3852F326" w14:textId="77777777" w:rsidR="005E0498" w:rsidRPr="00DD1B58" w:rsidRDefault="005E0498" w:rsidP="005E0498">
            <w:pPr>
              <w:rPr>
                <w:szCs w:val="24"/>
                <w:lang w:val="en-US"/>
              </w:rPr>
            </w:pPr>
            <w:r w:rsidRPr="00DD1B58">
              <w:rPr>
                <w:szCs w:val="24"/>
                <w:lang w:val="en-US"/>
              </w:rPr>
              <w:t xml:space="preserve">To detect fire and fault conditions and operate in accordance with the requirements </w:t>
            </w:r>
          </w:p>
        </w:tc>
      </w:tr>
    </w:tbl>
    <w:p w14:paraId="3D120877" w14:textId="77777777" w:rsidR="00CB46C9" w:rsidRPr="00DD1B58" w:rsidRDefault="00CB46C9" w:rsidP="00DD27AD">
      <w:pPr>
        <w:rPr>
          <w:lang w:val="en-US"/>
        </w:rPr>
      </w:pPr>
    </w:p>
    <w:p w14:paraId="77DB8263" w14:textId="52002D02" w:rsidR="00C61CC9" w:rsidRPr="00DD1B58" w:rsidRDefault="00C61CC9" w:rsidP="00DD27AD">
      <w:pPr>
        <w:rPr>
          <w:lang w:val="en-US"/>
        </w:rPr>
      </w:pPr>
      <w:r w:rsidRPr="00DD1B58">
        <w:rPr>
          <w:lang w:val="en-US"/>
        </w:rPr>
        <w:t xml:space="preserve">The principal design standards utilised </w:t>
      </w:r>
      <w:r w:rsidR="00DF5549" w:rsidRPr="00DD1B58">
        <w:rPr>
          <w:lang w:val="en-US"/>
        </w:rPr>
        <w:t xml:space="preserve">by </w:t>
      </w:r>
      <w:r w:rsidR="00134292" w:rsidRPr="00DD1B58">
        <w:rPr>
          <w:lang w:val="en-US"/>
        </w:rPr>
        <w:t>Springfields Fuels Ltd</w:t>
      </w:r>
      <w:r w:rsidR="00DF5549" w:rsidRPr="00DD1B58">
        <w:rPr>
          <w:lang w:val="en-US"/>
        </w:rPr>
        <w:t xml:space="preserve"> </w:t>
      </w:r>
      <w:r w:rsidRPr="00DD1B58">
        <w:rPr>
          <w:lang w:val="en-US"/>
        </w:rPr>
        <w:t>are</w:t>
      </w:r>
      <w:r w:rsidR="00471FFB" w:rsidRPr="00DD1B58">
        <w:rPr>
          <w:lang w:val="en-US"/>
        </w:rPr>
        <w:t xml:space="preserve"> </w:t>
      </w:r>
      <w:r w:rsidRPr="00DD1B58">
        <w:rPr>
          <w:lang w:val="en-US"/>
        </w:rPr>
        <w:t xml:space="preserve">BS 5839-1 </w:t>
      </w:r>
      <w:sdt>
        <w:sdtPr>
          <w:rPr>
            <w:lang w:val="en-US"/>
          </w:rPr>
          <w:id w:val="-15009762"/>
          <w:citation/>
        </w:sdtPr>
        <w:sdtContent>
          <w:r w:rsidR="00CB46C2" w:rsidRPr="00DD1B58">
            <w:rPr>
              <w:lang w:val="en-US"/>
            </w:rPr>
            <w:fldChar w:fldCharType="begin"/>
          </w:r>
          <w:r w:rsidR="00CB46C2" w:rsidRPr="00DD1B58">
            <w:rPr>
              <w:lang w:val="en-US"/>
            </w:rPr>
            <w:instrText xml:space="preserve"> CITATION BS5839 \l 2057 </w:instrText>
          </w:r>
          <w:r w:rsidR="00CB46C2" w:rsidRPr="00DD1B58">
            <w:rPr>
              <w:lang w:val="en-US"/>
            </w:rPr>
            <w:fldChar w:fldCharType="separate"/>
          </w:r>
          <w:r w:rsidR="00DF47DA" w:rsidRPr="00DF47DA">
            <w:rPr>
              <w:noProof/>
              <w:lang w:val="en-US"/>
            </w:rPr>
            <w:t>[179]</w:t>
          </w:r>
          <w:r w:rsidR="00CB46C2" w:rsidRPr="00DD1B58">
            <w:rPr>
              <w:lang w:val="en-US"/>
            </w:rPr>
            <w:fldChar w:fldCharType="end"/>
          </w:r>
        </w:sdtContent>
      </w:sdt>
      <w:r w:rsidR="00DD27AD" w:rsidRPr="00DD1B58">
        <w:rPr>
          <w:lang w:val="en-US"/>
        </w:rPr>
        <w:t xml:space="preserve"> and </w:t>
      </w:r>
      <w:r w:rsidRPr="00DD1B58">
        <w:rPr>
          <w:lang w:val="en-US"/>
        </w:rPr>
        <w:t xml:space="preserve">BS 5839-8 </w:t>
      </w:r>
      <w:sdt>
        <w:sdtPr>
          <w:rPr>
            <w:lang w:val="en-US"/>
          </w:rPr>
          <w:id w:val="-1371136907"/>
          <w:citation/>
        </w:sdtPr>
        <w:sdtContent>
          <w:r w:rsidR="00175707" w:rsidRPr="00DD1B58">
            <w:rPr>
              <w:lang w:val="en-US"/>
            </w:rPr>
            <w:fldChar w:fldCharType="begin"/>
          </w:r>
          <w:r w:rsidR="00175707" w:rsidRPr="00DD1B58">
            <w:rPr>
              <w:lang w:val="en-US"/>
            </w:rPr>
            <w:instrText xml:space="preserve"> CITATION Bri3 \l 2057 </w:instrText>
          </w:r>
          <w:r w:rsidR="00175707" w:rsidRPr="00DD1B58">
            <w:rPr>
              <w:lang w:val="en-US"/>
            </w:rPr>
            <w:fldChar w:fldCharType="separate"/>
          </w:r>
          <w:r w:rsidR="00DF47DA" w:rsidRPr="00DF47DA">
            <w:rPr>
              <w:noProof/>
              <w:lang w:val="en-US"/>
            </w:rPr>
            <w:t>[184]</w:t>
          </w:r>
          <w:r w:rsidR="00175707" w:rsidRPr="00DD1B58">
            <w:rPr>
              <w:lang w:val="en-US"/>
            </w:rPr>
            <w:fldChar w:fldCharType="end"/>
          </w:r>
        </w:sdtContent>
      </w:sdt>
      <w:r w:rsidRPr="00DD1B58">
        <w:rPr>
          <w:lang w:val="en-US"/>
        </w:rPr>
        <w:t>.</w:t>
      </w:r>
    </w:p>
    <w:p w14:paraId="3B2602E8" w14:textId="5502FC73" w:rsidR="00C61CC9" w:rsidRPr="00DD1B58" w:rsidRDefault="00C61CC9" w:rsidP="00C61CC9">
      <w:pPr>
        <w:rPr>
          <w:lang w:val="en-US"/>
        </w:rPr>
      </w:pPr>
      <w:r w:rsidRPr="00DD1B58">
        <w:rPr>
          <w:lang w:val="en-US"/>
        </w:rPr>
        <w:t>Manual only systems are generally not used on the Springfields site. An exception is a contractor’s rest/tearoom building that has a manual</w:t>
      </w:r>
      <w:r w:rsidR="00DF5549" w:rsidRPr="00DD1B58">
        <w:rPr>
          <w:lang w:val="en-US"/>
        </w:rPr>
        <w:t>-</w:t>
      </w:r>
      <w:r w:rsidRPr="00DD1B58">
        <w:rPr>
          <w:lang w:val="en-US"/>
        </w:rPr>
        <w:t>only system. The justification for this building is that it is a single room with escape direct to outside. Other buildings are typically provided with automatic detection even temporary accommodation units (TAU’s) and small single storey buildings such as canteens, substations and change rooms.</w:t>
      </w:r>
    </w:p>
    <w:p w14:paraId="3C4A4A56" w14:textId="591BEF7A" w:rsidR="005E0498" w:rsidRPr="00DD1B58" w:rsidRDefault="00134292" w:rsidP="00C61CC9">
      <w:pPr>
        <w:rPr>
          <w:lang w:val="en-US"/>
        </w:rPr>
      </w:pPr>
      <w:r w:rsidRPr="00DD1B58">
        <w:rPr>
          <w:lang w:val="en-US"/>
        </w:rPr>
        <w:t>Springfields Fuels Ltd</w:t>
      </w:r>
      <w:r w:rsidR="0088637A" w:rsidRPr="00DD1B58">
        <w:rPr>
          <w:lang w:val="en-US"/>
        </w:rPr>
        <w:t xml:space="preserve"> reports that t</w:t>
      </w:r>
      <w:r w:rsidR="00C61CC9" w:rsidRPr="00DD1B58">
        <w:rPr>
          <w:lang w:val="en-US"/>
        </w:rPr>
        <w:t>ypical levels of coverage for all new buildings and where fire detection and alarm systems are being replaced is to meet L1/P1 Level of coverage as defined in BS5839-1</w:t>
      </w:r>
      <w:r w:rsidR="0088637A" w:rsidRPr="00DD1B58">
        <w:rPr>
          <w:lang w:val="en-US"/>
        </w:rPr>
        <w:t>,</w:t>
      </w:r>
      <w:r w:rsidR="00C61CC9" w:rsidRPr="00DD1B58">
        <w:rPr>
          <w:lang w:val="en-US"/>
        </w:rPr>
        <w:t xml:space="preserve"> or as close to this level of coverage as practicable. </w:t>
      </w:r>
      <w:r w:rsidRPr="00DD1B58">
        <w:rPr>
          <w:lang w:val="en-US"/>
        </w:rPr>
        <w:t>Springfields Fuels Ltd</w:t>
      </w:r>
      <w:r w:rsidR="0088637A" w:rsidRPr="00DD1B58">
        <w:rPr>
          <w:lang w:val="en-US"/>
        </w:rPr>
        <w:t xml:space="preserve"> also reports that o</w:t>
      </w:r>
      <w:r w:rsidR="00C61CC9" w:rsidRPr="00DD1B58">
        <w:rPr>
          <w:lang w:val="en-US"/>
        </w:rPr>
        <w:t>lder buildings may still have L2 or L5 Category systems</w:t>
      </w:r>
      <w:r w:rsidR="0088637A" w:rsidRPr="00DD1B58">
        <w:rPr>
          <w:lang w:val="en-US"/>
        </w:rPr>
        <w:t xml:space="preserve">, and that the </w:t>
      </w:r>
      <w:r w:rsidR="00C61CC9" w:rsidRPr="00DD1B58">
        <w:rPr>
          <w:lang w:val="en-US"/>
        </w:rPr>
        <w:t xml:space="preserve">adequacy of coverage </w:t>
      </w:r>
      <w:r w:rsidR="0088637A" w:rsidRPr="00DD1B58">
        <w:rPr>
          <w:lang w:val="en-US"/>
        </w:rPr>
        <w:t xml:space="preserve">it </w:t>
      </w:r>
      <w:r w:rsidR="00C61CC9" w:rsidRPr="00DD1B58">
        <w:rPr>
          <w:lang w:val="en-US"/>
        </w:rPr>
        <w:t>assess</w:t>
      </w:r>
      <w:r w:rsidR="0088637A" w:rsidRPr="00DD1B58">
        <w:rPr>
          <w:lang w:val="en-US"/>
        </w:rPr>
        <w:t>es</w:t>
      </w:r>
      <w:r w:rsidR="00C61CC9" w:rsidRPr="00DD1B58">
        <w:rPr>
          <w:lang w:val="en-US"/>
        </w:rPr>
        <w:t xml:space="preserve"> as part of the FRA process for life safety and the COSR process for both life and nuclear safety.</w:t>
      </w:r>
    </w:p>
    <w:p w14:paraId="091286BC" w14:textId="77777777" w:rsidR="007B6D10" w:rsidRPr="00DD1B58" w:rsidRDefault="007B6D10" w:rsidP="007B6D10">
      <w:pPr>
        <w:rPr>
          <w:b/>
          <w:lang w:val="en-US"/>
        </w:rPr>
      </w:pPr>
      <w:r w:rsidRPr="00DD1B58">
        <w:rPr>
          <w:b/>
          <w:lang w:val="en-US"/>
        </w:rPr>
        <w:t>Example of fire detection systems changes in OFC</w:t>
      </w:r>
    </w:p>
    <w:p w14:paraId="26C78455" w14:textId="15DEC6C1" w:rsidR="00CC46B0" w:rsidRPr="00DD1B58" w:rsidRDefault="00134292" w:rsidP="007B6D10">
      <w:pPr>
        <w:rPr>
          <w:lang w:val="en-US"/>
        </w:rPr>
      </w:pPr>
      <w:r w:rsidRPr="00DD1B58">
        <w:rPr>
          <w:lang w:val="en-US"/>
        </w:rPr>
        <w:t>Springfields Fuels Ltd</w:t>
      </w:r>
      <w:r w:rsidR="00634E6D" w:rsidRPr="00DD1B58">
        <w:rPr>
          <w:lang w:val="en-US"/>
        </w:rPr>
        <w:t xml:space="preserve"> reports that the </w:t>
      </w:r>
      <w:r w:rsidR="00B46C0F" w:rsidRPr="00DD1B58">
        <w:rPr>
          <w:lang w:val="en-US"/>
        </w:rPr>
        <w:t>fi</w:t>
      </w:r>
      <w:r w:rsidR="007B6D10" w:rsidRPr="00DD1B58">
        <w:rPr>
          <w:lang w:val="en-US"/>
        </w:rPr>
        <w:t xml:space="preserve">re detection and alarm system in OFC at the time of construction was an ad-hoc system </w:t>
      </w:r>
      <w:r w:rsidR="00634E6D" w:rsidRPr="00DD1B58">
        <w:rPr>
          <w:lang w:val="en-US"/>
        </w:rPr>
        <w:t xml:space="preserve">that </w:t>
      </w:r>
      <w:r w:rsidR="007B6D10" w:rsidRPr="00DD1B58">
        <w:rPr>
          <w:lang w:val="en-US"/>
        </w:rPr>
        <w:t>could be categorised as an L5 system in accordance with BS5839-1</w:t>
      </w:r>
      <w:r w:rsidR="00CB46C2" w:rsidRPr="00DD1B58">
        <w:rPr>
          <w:lang w:val="en-US"/>
        </w:rPr>
        <w:t xml:space="preserve"> </w:t>
      </w:r>
      <w:sdt>
        <w:sdtPr>
          <w:rPr>
            <w:lang w:val="en-US"/>
          </w:rPr>
          <w:id w:val="-209267070"/>
          <w:citation/>
        </w:sdtPr>
        <w:sdtContent>
          <w:r w:rsidR="00CB46C2" w:rsidRPr="00DD1B58">
            <w:rPr>
              <w:lang w:val="en-US"/>
            </w:rPr>
            <w:fldChar w:fldCharType="begin"/>
          </w:r>
          <w:r w:rsidR="00CB46C2" w:rsidRPr="00DD1B58">
            <w:rPr>
              <w:lang w:val="en-US"/>
            </w:rPr>
            <w:instrText xml:space="preserve"> CITATION BS5839 \l 2057 </w:instrText>
          </w:r>
          <w:r w:rsidR="00CB46C2" w:rsidRPr="00DD1B58">
            <w:rPr>
              <w:lang w:val="en-US"/>
            </w:rPr>
            <w:fldChar w:fldCharType="separate"/>
          </w:r>
          <w:r w:rsidR="00DF47DA" w:rsidRPr="00DF47DA">
            <w:rPr>
              <w:noProof/>
              <w:lang w:val="en-US"/>
            </w:rPr>
            <w:t>[179]</w:t>
          </w:r>
          <w:r w:rsidR="00CB46C2" w:rsidRPr="00DD1B58">
            <w:rPr>
              <w:lang w:val="en-US"/>
            </w:rPr>
            <w:fldChar w:fldCharType="end"/>
          </w:r>
        </w:sdtContent>
      </w:sdt>
      <w:r w:rsidR="007B6D10" w:rsidRPr="00DD1B58">
        <w:rPr>
          <w:lang w:val="en-US"/>
        </w:rPr>
        <w:t xml:space="preserve">. </w:t>
      </w:r>
      <w:r w:rsidR="00634E6D" w:rsidRPr="00DD1B58">
        <w:rPr>
          <w:lang w:val="en-US"/>
        </w:rPr>
        <w:t xml:space="preserve">As </w:t>
      </w:r>
      <w:r w:rsidR="007B6D10" w:rsidRPr="00DD1B58">
        <w:rPr>
          <w:lang w:val="en-US"/>
        </w:rPr>
        <w:t>part of COSR reviews</w:t>
      </w:r>
      <w:r w:rsidR="00634E6D" w:rsidRPr="00DD1B58">
        <w:rPr>
          <w:lang w:val="en-US"/>
        </w:rPr>
        <w:t xml:space="preserve"> </w:t>
      </w:r>
      <w:r w:rsidRPr="00DD1B58">
        <w:rPr>
          <w:lang w:val="en-US"/>
        </w:rPr>
        <w:t>Springfields Fuels Ltd</w:t>
      </w:r>
      <w:r w:rsidR="00634E6D" w:rsidRPr="00DD1B58">
        <w:rPr>
          <w:lang w:val="en-US"/>
        </w:rPr>
        <w:t xml:space="preserve"> identified</w:t>
      </w:r>
      <w:r w:rsidR="007B6D10" w:rsidRPr="00DD1B58">
        <w:rPr>
          <w:lang w:val="en-US"/>
        </w:rPr>
        <w:t xml:space="preserve"> that claims were being made in HAZAN</w:t>
      </w:r>
      <w:r w:rsidR="00A57E14" w:rsidRPr="00DD1B58">
        <w:rPr>
          <w:lang w:val="en-US"/>
        </w:rPr>
        <w:t>s</w:t>
      </w:r>
      <w:r w:rsidR="007B6D10" w:rsidRPr="00DD1B58">
        <w:rPr>
          <w:lang w:val="en-US"/>
        </w:rPr>
        <w:t xml:space="preserve"> for fire detection in areas where radiological materials were present and where no detection was installed. </w:t>
      </w:r>
      <w:r w:rsidRPr="00DD1B58">
        <w:rPr>
          <w:lang w:val="en-US"/>
        </w:rPr>
        <w:t>Springfields Fuels Ltd</w:t>
      </w:r>
      <w:r w:rsidR="00634E6D" w:rsidRPr="00DD1B58">
        <w:rPr>
          <w:lang w:val="en-US"/>
        </w:rPr>
        <w:t xml:space="preserve"> </w:t>
      </w:r>
      <w:r w:rsidR="006D798B" w:rsidRPr="00DD1B58">
        <w:rPr>
          <w:lang w:val="en-US"/>
        </w:rPr>
        <w:t>reports that</w:t>
      </w:r>
      <w:r w:rsidR="00634E6D" w:rsidRPr="00DD1B58">
        <w:rPr>
          <w:lang w:val="en-US"/>
        </w:rPr>
        <w:t xml:space="preserve"> a </w:t>
      </w:r>
      <w:r w:rsidR="007B6D10" w:rsidRPr="00DD1B58">
        <w:rPr>
          <w:lang w:val="en-US"/>
        </w:rPr>
        <w:t>complete review of the fire detection system was undertaken and a system meeting minimally an L2 level of coverage (but achieving L1/P1 in the majority of areas) was installed and completed in 2020.</w:t>
      </w:r>
    </w:p>
    <w:p w14:paraId="4F2C86E5" w14:textId="77777777" w:rsidR="00B26762" w:rsidRPr="00DD1B58" w:rsidRDefault="00B26762" w:rsidP="00177432">
      <w:pPr>
        <w:pStyle w:val="Heading5A"/>
        <w:numPr>
          <w:ilvl w:val="5"/>
          <w:numId w:val="7"/>
        </w:numPr>
        <w:rPr>
          <w:lang w:val="en-US"/>
        </w:rPr>
      </w:pPr>
      <w:r w:rsidRPr="00DD1B58">
        <w:rPr>
          <w:lang w:val="en-US"/>
        </w:rPr>
        <w:t>Types, main characteristics and performance expectations</w:t>
      </w:r>
    </w:p>
    <w:p w14:paraId="7A3FED1C" w14:textId="77777777" w:rsidR="00030D23" w:rsidRPr="00DD1B58" w:rsidRDefault="00030D23" w:rsidP="00CC46B0">
      <w:pPr>
        <w:rPr>
          <w:b/>
          <w:lang w:val="en-US"/>
        </w:rPr>
      </w:pPr>
      <w:r w:rsidRPr="00DD1B58">
        <w:rPr>
          <w:b/>
          <w:lang w:val="en-US"/>
        </w:rPr>
        <w:t>Fire Detection Types</w:t>
      </w:r>
    </w:p>
    <w:p w14:paraId="017836EC" w14:textId="64537AA8" w:rsidR="00C42E40" w:rsidRPr="00DD1B58" w:rsidRDefault="00884125" w:rsidP="00C42E40">
      <w:pPr>
        <w:rPr>
          <w:lang w:val="en-US"/>
        </w:rPr>
      </w:pPr>
      <w:r w:rsidRPr="00DD1B58">
        <w:rPr>
          <w:lang w:val="en-US"/>
        </w:rPr>
        <w:t>Sprin</w:t>
      </w:r>
      <w:r w:rsidR="00950BD0" w:rsidRPr="00DD1B58">
        <w:rPr>
          <w:lang w:val="en-US"/>
        </w:rPr>
        <w:t>g</w:t>
      </w:r>
      <w:r w:rsidRPr="00DD1B58">
        <w:rPr>
          <w:lang w:val="en-US"/>
        </w:rPr>
        <w:t xml:space="preserve">fields Fuels </w:t>
      </w:r>
      <w:r w:rsidR="003D7E70" w:rsidRPr="00DD1B58">
        <w:rPr>
          <w:lang w:val="en-US"/>
        </w:rPr>
        <w:t>Ltd</w:t>
      </w:r>
      <w:r w:rsidRPr="00DD1B58">
        <w:rPr>
          <w:lang w:val="en-US"/>
        </w:rPr>
        <w:t xml:space="preserve"> </w:t>
      </w:r>
      <w:r w:rsidR="006D798B" w:rsidRPr="00DD1B58">
        <w:rPr>
          <w:lang w:val="en-US"/>
        </w:rPr>
        <w:t>states that</w:t>
      </w:r>
      <w:r w:rsidRPr="00DD1B58">
        <w:rPr>
          <w:lang w:val="en-US"/>
        </w:rPr>
        <w:t xml:space="preserve"> i</w:t>
      </w:r>
      <w:r w:rsidR="00030D23" w:rsidRPr="00DD1B58">
        <w:rPr>
          <w:lang w:val="en-US"/>
        </w:rPr>
        <w:t xml:space="preserve">n most cases </w:t>
      </w:r>
      <w:r w:rsidRPr="00DD1B58">
        <w:rPr>
          <w:lang w:val="en-US"/>
        </w:rPr>
        <w:t xml:space="preserve">and </w:t>
      </w:r>
      <w:r w:rsidR="00030D23" w:rsidRPr="00DD1B58">
        <w:rPr>
          <w:lang w:val="en-US"/>
        </w:rPr>
        <w:t xml:space="preserve">where possible standard heat/smoke point detection was historically fitted. </w:t>
      </w:r>
      <w:r w:rsidR="00134292" w:rsidRPr="00DD1B58">
        <w:rPr>
          <w:lang w:val="en-US"/>
        </w:rPr>
        <w:t>Springfields Fuels Ltd</w:t>
      </w:r>
      <w:r w:rsidRPr="00DD1B58">
        <w:rPr>
          <w:lang w:val="en-US"/>
        </w:rPr>
        <w:t xml:space="preserve"> typically choses m</w:t>
      </w:r>
      <w:r w:rsidR="00030D23" w:rsidRPr="00DD1B58">
        <w:rPr>
          <w:lang w:val="en-US"/>
        </w:rPr>
        <w:t xml:space="preserve">ultisensor detectors for new installations or replacement installations such as the recent upgrading of the fire detection and alarm system in OFC. </w:t>
      </w:r>
      <w:r w:rsidRPr="00DD1B58">
        <w:rPr>
          <w:lang w:val="en-US"/>
        </w:rPr>
        <w:t>It uses h</w:t>
      </w:r>
      <w:r w:rsidR="00030D23" w:rsidRPr="00DD1B58">
        <w:rPr>
          <w:lang w:val="en-US"/>
        </w:rPr>
        <w:t>eat detection where standard smoke detection may be</w:t>
      </w:r>
      <w:r w:rsidR="00C42E40" w:rsidRPr="00DD1B58">
        <w:rPr>
          <w:lang w:val="en-US"/>
        </w:rPr>
        <w:t xml:space="preserve"> vulnerable to false alarms such as where steam may occur, where HF may be present, where dust could result in false alarms and where activities such as hot work could result in unwanted alarms.</w:t>
      </w:r>
    </w:p>
    <w:p w14:paraId="7BDFB700" w14:textId="39ED297D" w:rsidR="00C42E40" w:rsidRPr="00DD1B58" w:rsidRDefault="00134292" w:rsidP="00C42E40">
      <w:pPr>
        <w:rPr>
          <w:lang w:val="en-US"/>
        </w:rPr>
      </w:pPr>
      <w:r w:rsidRPr="00DD1B58">
        <w:rPr>
          <w:lang w:val="en-US"/>
        </w:rPr>
        <w:t>Springfields Fuels Ltd</w:t>
      </w:r>
      <w:r w:rsidR="00884125" w:rsidRPr="00DD1B58">
        <w:rPr>
          <w:lang w:val="en-US"/>
        </w:rPr>
        <w:t xml:space="preserve"> provided the following e</w:t>
      </w:r>
      <w:r w:rsidR="00C42E40" w:rsidRPr="00DD1B58">
        <w:rPr>
          <w:lang w:val="en-US"/>
        </w:rPr>
        <w:t>xamples where alternative technologies are used on site:</w:t>
      </w:r>
    </w:p>
    <w:p w14:paraId="507C6ED7" w14:textId="77777777" w:rsidR="00C42E40" w:rsidRPr="00DD1B58" w:rsidRDefault="00C42E40" w:rsidP="00C42E40">
      <w:pPr>
        <w:pStyle w:val="Bulletlist1"/>
        <w:rPr>
          <w:lang w:val="en-US"/>
        </w:rPr>
      </w:pPr>
      <w:r w:rsidRPr="00DD1B58">
        <w:rPr>
          <w:lang w:val="en-US"/>
        </w:rPr>
        <w:t>In some buildings aspirating fire detection is used due to the height of the ceiling/roof.</w:t>
      </w:r>
    </w:p>
    <w:p w14:paraId="50B50C71" w14:textId="77777777" w:rsidR="00C42E40" w:rsidRPr="00DD1B58" w:rsidRDefault="00C42E40" w:rsidP="00C42E40">
      <w:pPr>
        <w:pStyle w:val="Bulletlist1"/>
        <w:rPr>
          <w:lang w:val="en-US"/>
        </w:rPr>
      </w:pPr>
      <w:r w:rsidRPr="00DD1B58">
        <w:rPr>
          <w:lang w:val="en-US"/>
        </w:rPr>
        <w:t>The computer suites are provided with aspirating detection located in the rooms and floor voids. This is due to high airflows and the need for very early detection.</w:t>
      </w:r>
    </w:p>
    <w:p w14:paraId="4CAB18D3" w14:textId="77777777" w:rsidR="00C42E40" w:rsidRPr="00DD1B58" w:rsidRDefault="00C42E40" w:rsidP="00C42E40">
      <w:pPr>
        <w:pStyle w:val="Bulletlist1"/>
        <w:rPr>
          <w:lang w:val="en-US"/>
        </w:rPr>
      </w:pPr>
      <w:r w:rsidRPr="00DD1B58">
        <w:rPr>
          <w:lang w:val="en-US"/>
        </w:rPr>
        <w:t>Aspirating detection is used in a cable mezzanine below a steel mezzanine floor due to difficulties of gaining access.</w:t>
      </w:r>
    </w:p>
    <w:p w14:paraId="5AE44552" w14:textId="77777777" w:rsidR="00C42E40" w:rsidRPr="00DD1B58" w:rsidRDefault="00C42E40" w:rsidP="00C42E40">
      <w:pPr>
        <w:pStyle w:val="Bulletlist1"/>
        <w:rPr>
          <w:lang w:val="en-US"/>
        </w:rPr>
      </w:pPr>
      <w:r w:rsidRPr="00DD1B58">
        <w:rPr>
          <w:lang w:val="en-US"/>
        </w:rPr>
        <w:t>Beam detection is used in the ceiling voids above offices in an Amenities area to reduce the need to remove ceiling tiles for detector maintenance.</w:t>
      </w:r>
    </w:p>
    <w:p w14:paraId="02443F7F" w14:textId="5A5D60B3" w:rsidR="00C42E40" w:rsidRPr="00DD1B58" w:rsidRDefault="00C42E40" w:rsidP="00C42E40">
      <w:pPr>
        <w:pStyle w:val="Bulletlist1"/>
        <w:rPr>
          <w:lang w:val="en-US"/>
        </w:rPr>
      </w:pPr>
      <w:r w:rsidRPr="00DD1B58">
        <w:rPr>
          <w:lang w:val="en-US"/>
        </w:rPr>
        <w:t xml:space="preserve">Beam detection </w:t>
      </w:r>
      <w:r w:rsidR="00884125" w:rsidRPr="00DD1B58">
        <w:rPr>
          <w:lang w:val="en-US"/>
        </w:rPr>
        <w:t xml:space="preserve">is </w:t>
      </w:r>
      <w:r w:rsidRPr="00DD1B58">
        <w:rPr>
          <w:lang w:val="en-US"/>
        </w:rPr>
        <w:t>used in the component manufacturing building in each of two bays due to ceiling height and unsuitability of aspirating detection.</w:t>
      </w:r>
    </w:p>
    <w:p w14:paraId="0F44A369" w14:textId="4B538706" w:rsidR="00C42E40" w:rsidRPr="00DD1B58" w:rsidRDefault="00C42E40" w:rsidP="00C42E40">
      <w:pPr>
        <w:pStyle w:val="Bulletlist1"/>
        <w:rPr>
          <w:lang w:val="en-US"/>
        </w:rPr>
      </w:pPr>
      <w:r w:rsidRPr="00DD1B58">
        <w:rPr>
          <w:lang w:val="en-US"/>
        </w:rPr>
        <w:t xml:space="preserve">A pilot plant due to height of the roof and large open area (single storey portal frame building) is fitted with beam detection. Due to the nature of processes being undertaken </w:t>
      </w:r>
      <w:r w:rsidR="00A0036D" w:rsidRPr="00DD1B58">
        <w:rPr>
          <w:lang w:val="en-US"/>
        </w:rPr>
        <w:t xml:space="preserve">Sprinfields Fuels </w:t>
      </w:r>
      <w:r w:rsidR="003D7E70" w:rsidRPr="00DD1B58">
        <w:rPr>
          <w:lang w:val="en-US"/>
        </w:rPr>
        <w:t>Ltd</w:t>
      </w:r>
      <w:r w:rsidR="00A0036D" w:rsidRPr="00DD1B58">
        <w:rPr>
          <w:lang w:val="en-US"/>
        </w:rPr>
        <w:t xml:space="preserve"> concluded that </w:t>
      </w:r>
      <w:r w:rsidRPr="00DD1B58">
        <w:rPr>
          <w:lang w:val="en-US"/>
        </w:rPr>
        <w:t>aspirating detection would be unsuitable.</w:t>
      </w:r>
    </w:p>
    <w:p w14:paraId="573DB66E" w14:textId="77777777" w:rsidR="00C42E40" w:rsidRPr="00DD1B58" w:rsidRDefault="00C42E40" w:rsidP="00C42E40">
      <w:pPr>
        <w:pStyle w:val="Bulletlist1"/>
        <w:rPr>
          <w:lang w:val="en-US"/>
        </w:rPr>
      </w:pPr>
      <w:r w:rsidRPr="00DD1B58">
        <w:rPr>
          <w:lang w:val="en-US"/>
        </w:rPr>
        <w:t>Flame detection is provided in a solvent extraction tower as the principal risk is a solvent fire TBP/OK.</w:t>
      </w:r>
    </w:p>
    <w:p w14:paraId="758C8F25" w14:textId="77777777" w:rsidR="00CC46B0" w:rsidRPr="00DD1B58" w:rsidRDefault="00C42E40" w:rsidP="00C42E40">
      <w:pPr>
        <w:pStyle w:val="Bulletlist1"/>
        <w:rPr>
          <w:lang w:val="en-US"/>
        </w:rPr>
      </w:pPr>
      <w:r w:rsidRPr="00DD1B58">
        <w:rPr>
          <w:lang w:val="en-US"/>
        </w:rPr>
        <w:t>Flame detection is used in the turbine enclosures in the combined heat and power plant (CHP) for a fast response to fire and activation of carbon dioxide suppression systems in the turbine enclosures.</w:t>
      </w:r>
    </w:p>
    <w:p w14:paraId="2C5C81F1" w14:textId="77777777" w:rsidR="00E71703" w:rsidRPr="00DD1B58" w:rsidRDefault="00C67B63" w:rsidP="00C67B63">
      <w:pPr>
        <w:rPr>
          <w:b/>
          <w:lang w:val="en-US"/>
        </w:rPr>
      </w:pPr>
      <w:r w:rsidRPr="00DD1B58">
        <w:rPr>
          <w:b/>
          <w:lang w:val="en-US"/>
        </w:rPr>
        <w:t>Fire Alarm Provisions</w:t>
      </w:r>
    </w:p>
    <w:p w14:paraId="73F1CBFF" w14:textId="48936D8D" w:rsidR="00C67B63" w:rsidRPr="00DD1B58" w:rsidRDefault="00134292" w:rsidP="00C67B63">
      <w:pPr>
        <w:rPr>
          <w:b/>
          <w:lang w:val="en-US"/>
        </w:rPr>
      </w:pPr>
      <w:r w:rsidRPr="00DD1B58">
        <w:rPr>
          <w:lang w:val="en-US"/>
        </w:rPr>
        <w:t>Springfields Fuels Ltd</w:t>
      </w:r>
      <w:r w:rsidR="00A0036D" w:rsidRPr="00DD1B58">
        <w:rPr>
          <w:lang w:val="en-US"/>
        </w:rPr>
        <w:t xml:space="preserve"> provides a</w:t>
      </w:r>
      <w:r w:rsidR="00C67B63" w:rsidRPr="00DD1B58">
        <w:rPr>
          <w:lang w:val="en-US"/>
        </w:rPr>
        <w:t>larm sounders (bells or sirens) generally throughout all accessible areas of a building and in enclosures not less than 1 m</w:t>
      </w:r>
      <w:r w:rsidR="00C67B63" w:rsidRPr="00DD1B58">
        <w:rPr>
          <w:vertAlign w:val="superscript"/>
          <w:lang w:val="en-US"/>
        </w:rPr>
        <w:t>2</w:t>
      </w:r>
      <w:r w:rsidR="00C67B63" w:rsidRPr="00DD1B58">
        <w:rPr>
          <w:lang w:val="en-US"/>
        </w:rPr>
        <w:t xml:space="preserve"> to provide a sound level of not less than 65 dB(A) in accordance with BS 5839-1.</w:t>
      </w:r>
      <w:r w:rsidR="000A26AD" w:rsidRPr="00DD1B58">
        <w:rPr>
          <w:lang w:val="en-US"/>
        </w:rPr>
        <w:t xml:space="preserve"> </w:t>
      </w:r>
      <w:r w:rsidR="00C67B63" w:rsidRPr="00DD1B58">
        <w:rPr>
          <w:lang w:val="en-US"/>
        </w:rPr>
        <w:t xml:space="preserve">In areas where the background noise may be excessive or where a normal sounder may be ineffective e.g., in the ventilation plant rooms, </w:t>
      </w:r>
      <w:r w:rsidRPr="00DD1B58">
        <w:rPr>
          <w:lang w:val="en-US"/>
        </w:rPr>
        <w:t>Springfields Fuels Ltd</w:t>
      </w:r>
      <w:r w:rsidR="00A0036D" w:rsidRPr="00DD1B58">
        <w:rPr>
          <w:lang w:val="en-US"/>
        </w:rPr>
        <w:t xml:space="preserve"> uses </w:t>
      </w:r>
      <w:r w:rsidR="00C67B63" w:rsidRPr="00DD1B58">
        <w:rPr>
          <w:lang w:val="en-US"/>
        </w:rPr>
        <w:t>visual indicators (flashing beacons) to supplement the audible alarms.</w:t>
      </w:r>
    </w:p>
    <w:p w14:paraId="1E2BE07D" w14:textId="719574F7" w:rsidR="00C67B63" w:rsidRPr="00DD1B58" w:rsidRDefault="00134292" w:rsidP="00C67B63">
      <w:pPr>
        <w:rPr>
          <w:lang w:val="en-US"/>
        </w:rPr>
      </w:pPr>
      <w:r w:rsidRPr="00DD1B58">
        <w:rPr>
          <w:lang w:val="en-US"/>
        </w:rPr>
        <w:t>Springfields Fuels Ltd</w:t>
      </w:r>
      <w:r w:rsidR="009F51E2" w:rsidRPr="00DD1B58">
        <w:rPr>
          <w:lang w:val="en-US"/>
        </w:rPr>
        <w:t xml:space="preserve"> uses v</w:t>
      </w:r>
      <w:r w:rsidR="00C67B63" w:rsidRPr="00DD1B58">
        <w:rPr>
          <w:lang w:val="en-US"/>
        </w:rPr>
        <w:t xml:space="preserve">oice alarms in several buildings. </w:t>
      </w:r>
      <w:r w:rsidR="009F51E2" w:rsidRPr="00DD1B58">
        <w:rPr>
          <w:lang w:val="en-US"/>
        </w:rPr>
        <w:t xml:space="preserve">It </w:t>
      </w:r>
      <w:r w:rsidR="006D798B" w:rsidRPr="00DD1B58">
        <w:rPr>
          <w:lang w:val="en-US"/>
        </w:rPr>
        <w:t>reports that</w:t>
      </w:r>
      <w:r w:rsidR="009F51E2" w:rsidRPr="00DD1B58">
        <w:rPr>
          <w:lang w:val="en-US"/>
        </w:rPr>
        <w:t xml:space="preserve"> a</w:t>
      </w:r>
      <w:r w:rsidR="00C67B63" w:rsidRPr="00DD1B58">
        <w:rPr>
          <w:lang w:val="en-US"/>
        </w:rPr>
        <w:t>ll pre-recorded emergency messages are operated on each test to ensure that occupants are aware of the existence of the messages and their different meanings.</w:t>
      </w:r>
      <w:r w:rsidR="000A26AD" w:rsidRPr="00DD1B58">
        <w:rPr>
          <w:lang w:val="en-US"/>
        </w:rPr>
        <w:t xml:space="preserve"> </w:t>
      </w:r>
      <w:r w:rsidR="00C67B63" w:rsidRPr="00DD1B58">
        <w:rPr>
          <w:lang w:val="en-US"/>
        </w:rPr>
        <w:t>There are no buildings on the Springfields site with phased evacuation. All buildings evacuate Immediately in a single stage alarm with the exception of OFC.</w:t>
      </w:r>
    </w:p>
    <w:p w14:paraId="144FCFCA" w14:textId="77777777" w:rsidR="00C67B63" w:rsidRPr="00DD1B58" w:rsidRDefault="00C67B63" w:rsidP="00C67B63">
      <w:pPr>
        <w:rPr>
          <w:b/>
          <w:bCs/>
          <w:lang w:val="en-US"/>
        </w:rPr>
      </w:pPr>
      <w:r w:rsidRPr="00DD1B58">
        <w:rPr>
          <w:b/>
          <w:bCs/>
          <w:lang w:val="en-US"/>
        </w:rPr>
        <w:t>Example of fire alarm operation in OFC</w:t>
      </w:r>
    </w:p>
    <w:p w14:paraId="54E32A95" w14:textId="77777777" w:rsidR="00C67B63" w:rsidRPr="00DD1B58" w:rsidRDefault="00C67B63" w:rsidP="00C67B63">
      <w:pPr>
        <w:rPr>
          <w:lang w:val="en-US"/>
        </w:rPr>
      </w:pPr>
      <w:r w:rsidRPr="00DD1B58">
        <w:rPr>
          <w:lang w:val="en-US"/>
        </w:rPr>
        <w:t>In OFC if a detector operates or a manual call point is activated the system goes directly into evacuate, excluding the Central Control Room (CCR). This area sounds the standby alarm for 30 minutes to allow the plant to be monitored and safety shutdown if required.</w:t>
      </w:r>
      <w:r w:rsidR="00001F98" w:rsidRPr="00DD1B58">
        <w:rPr>
          <w:lang w:val="en-US"/>
        </w:rPr>
        <w:t xml:space="preserve"> The CCR moves straight to the evacuate stage if a fire device is activated within the CCR fire compartment</w:t>
      </w:r>
      <w:r w:rsidR="00695B95" w:rsidRPr="00DD1B58">
        <w:rPr>
          <w:lang w:val="en-US"/>
        </w:rPr>
        <w:t>.</w:t>
      </w:r>
    </w:p>
    <w:p w14:paraId="29E58ACB" w14:textId="77777777" w:rsidR="00001F98" w:rsidRPr="00DD1B58" w:rsidRDefault="00A92871" w:rsidP="00C67B63">
      <w:pPr>
        <w:rPr>
          <w:b/>
          <w:lang w:val="en-US"/>
        </w:rPr>
      </w:pPr>
      <w:r w:rsidRPr="00DD1B58">
        <w:rPr>
          <w:b/>
          <w:lang w:val="en-US"/>
        </w:rPr>
        <w:t>Fire Damper Operation</w:t>
      </w:r>
    </w:p>
    <w:p w14:paraId="660A6077" w14:textId="6D1009F1" w:rsidR="00553648" w:rsidRPr="00DD1B58" w:rsidRDefault="00134292" w:rsidP="004F3F4E">
      <w:pPr>
        <w:rPr>
          <w:lang w:val="en-US"/>
        </w:rPr>
      </w:pPr>
      <w:r w:rsidRPr="00DD1B58">
        <w:rPr>
          <w:lang w:val="en-US"/>
        </w:rPr>
        <w:t>Springfields Fuels Ltd</w:t>
      </w:r>
      <w:r w:rsidR="00553648" w:rsidRPr="00DD1B58">
        <w:rPr>
          <w:lang w:val="en-US"/>
        </w:rPr>
        <w:t xml:space="preserve"> reported the following characteristics of fire damper operation at the site:</w:t>
      </w:r>
    </w:p>
    <w:p w14:paraId="3723A373" w14:textId="77777777" w:rsidR="004F3F4E" w:rsidRPr="00DD1B58" w:rsidRDefault="004F3F4E" w:rsidP="00973FF4">
      <w:pPr>
        <w:pStyle w:val="Bulletlist1"/>
        <w:rPr>
          <w:lang w:val="en-US"/>
        </w:rPr>
      </w:pPr>
      <w:r w:rsidRPr="00DD1B58">
        <w:rPr>
          <w:lang w:val="en-US"/>
        </w:rPr>
        <w:t>Where dampers are required for the protection of the means of escape (protection of escape routes and where compartment to compartment escape is claimed) fire/smoke dampers actuated by the fire detection system are used.</w:t>
      </w:r>
      <w:r w:rsidR="00F60F26" w:rsidRPr="00DD1B58">
        <w:rPr>
          <w:lang w:val="en-US"/>
        </w:rPr>
        <w:t xml:space="preserve"> </w:t>
      </w:r>
      <w:r w:rsidRPr="00DD1B58">
        <w:rPr>
          <w:lang w:val="en-US"/>
        </w:rPr>
        <w:t>Where dampers are identified for asset protection only then these may be either fire/smoke dampers actuated by the fire detection system or may be thermal link operated dampers.</w:t>
      </w:r>
    </w:p>
    <w:p w14:paraId="6D425408" w14:textId="763CE000" w:rsidR="004F3F4E" w:rsidRPr="00DD1B58" w:rsidRDefault="004F3F4E" w:rsidP="00973FF4">
      <w:pPr>
        <w:pStyle w:val="Bulletlist1"/>
        <w:rPr>
          <w:lang w:val="en-US"/>
        </w:rPr>
      </w:pPr>
      <w:r w:rsidRPr="00DD1B58">
        <w:rPr>
          <w:lang w:val="en-US"/>
        </w:rPr>
        <w:t>No fire dampers are required specifically for nuclear safety as there are no designated nuclear fire barriers e.g., for segregating safety trains with redundancy.</w:t>
      </w:r>
      <w:r w:rsidR="00F60F26" w:rsidRPr="00DD1B58">
        <w:rPr>
          <w:lang w:val="en-US"/>
        </w:rPr>
        <w:t xml:space="preserve"> </w:t>
      </w:r>
      <w:r w:rsidRPr="00DD1B58">
        <w:rPr>
          <w:lang w:val="en-US"/>
        </w:rPr>
        <w:t>At the time of construction of OFC, the fire dampers</w:t>
      </w:r>
      <w:r w:rsidR="007C3F42" w:rsidRPr="00DD1B58">
        <w:rPr>
          <w:lang w:val="en-US"/>
        </w:rPr>
        <w:t>/</w:t>
      </w:r>
      <w:r w:rsidRPr="00DD1B58">
        <w:rPr>
          <w:lang w:val="en-US"/>
        </w:rPr>
        <w:t>fire shutters were mostly of the thermal link</w:t>
      </w:r>
      <w:r w:rsidR="007C3F42" w:rsidRPr="00DD1B58">
        <w:rPr>
          <w:lang w:val="en-US"/>
        </w:rPr>
        <w:t>/</w:t>
      </w:r>
      <w:r w:rsidRPr="00DD1B58">
        <w:rPr>
          <w:lang w:val="en-US"/>
        </w:rPr>
        <w:t>frangible bulb type. These relied on the heat from a fire to activate the damper</w:t>
      </w:r>
      <w:r w:rsidR="007C3F42" w:rsidRPr="00DD1B58">
        <w:rPr>
          <w:lang w:val="en-US"/>
        </w:rPr>
        <w:t>/</w:t>
      </w:r>
      <w:r w:rsidRPr="00DD1B58">
        <w:rPr>
          <w:lang w:val="en-US"/>
        </w:rPr>
        <w:t>shutter.</w:t>
      </w:r>
    </w:p>
    <w:p w14:paraId="249EAE45" w14:textId="186A4AED" w:rsidR="004F3F4E" w:rsidRPr="00DD1B58" w:rsidRDefault="004F3F4E" w:rsidP="00973FF4">
      <w:pPr>
        <w:pStyle w:val="Bulletlist1"/>
        <w:rPr>
          <w:lang w:val="en-US"/>
        </w:rPr>
      </w:pPr>
      <w:r w:rsidRPr="00DD1B58">
        <w:rPr>
          <w:lang w:val="en-US"/>
        </w:rPr>
        <w:t>As a result of post construction improvements to fire compartmentation additional fire dampers</w:t>
      </w:r>
      <w:r w:rsidR="007C3F42" w:rsidRPr="00DD1B58">
        <w:rPr>
          <w:lang w:val="en-US"/>
        </w:rPr>
        <w:t>/</w:t>
      </w:r>
      <w:r w:rsidRPr="00DD1B58">
        <w:rPr>
          <w:lang w:val="en-US"/>
        </w:rPr>
        <w:t>fire shutters were installed. All these additional devices were configured to be actuated from the fire detection system. Some of these result in the fire alarm going to evacuate on closure, some are configured to provide a `Damper closed' message only.</w:t>
      </w:r>
    </w:p>
    <w:p w14:paraId="76904E2D" w14:textId="77777777" w:rsidR="00A92871" w:rsidRPr="00DD1B58" w:rsidRDefault="004F3F4E" w:rsidP="00973FF4">
      <w:pPr>
        <w:pStyle w:val="Bulletlist1"/>
        <w:rPr>
          <w:lang w:val="en-US"/>
        </w:rPr>
      </w:pPr>
      <w:r w:rsidRPr="00DD1B58">
        <w:rPr>
          <w:lang w:val="en-US"/>
        </w:rPr>
        <w:t>In the event of fire ventilation fans in OFC remain running and there is no automatic shutdown on closure of fire dampers. Shutdown of the fans occurs if the flow rate is reduced so that damage to the fans is prevented.</w:t>
      </w:r>
      <w:r w:rsidR="00F60F26" w:rsidRPr="00DD1B58">
        <w:rPr>
          <w:lang w:val="en-US"/>
        </w:rPr>
        <w:t xml:space="preserve"> </w:t>
      </w:r>
      <w:r w:rsidRPr="00DD1B58">
        <w:rPr>
          <w:lang w:val="en-US"/>
        </w:rPr>
        <w:t>Fire doors that require to be held open for operational purposes are arranged to close on operation of the fire detection and alarm system.</w:t>
      </w:r>
      <w:r w:rsidR="00F60F26" w:rsidRPr="00DD1B58">
        <w:rPr>
          <w:lang w:val="en-US"/>
        </w:rPr>
        <w:t xml:space="preserve"> </w:t>
      </w:r>
      <w:r w:rsidRPr="00DD1B58">
        <w:rPr>
          <w:lang w:val="en-US"/>
        </w:rPr>
        <w:t>There are no filter blinding detection and alarms that initiate control measures with a specific confinement function.</w:t>
      </w:r>
    </w:p>
    <w:p w14:paraId="19140EA2" w14:textId="77777777" w:rsidR="00891559" w:rsidRPr="00DD1B58" w:rsidRDefault="00891559" w:rsidP="004F3F4E">
      <w:pPr>
        <w:rPr>
          <w:b/>
          <w:lang w:val="en-US"/>
        </w:rPr>
      </w:pPr>
      <w:r w:rsidRPr="00DD1B58">
        <w:rPr>
          <w:b/>
          <w:lang w:val="en-US"/>
        </w:rPr>
        <w:t>Main Characteristics and Performance Expectations</w:t>
      </w:r>
    </w:p>
    <w:p w14:paraId="3182211D" w14:textId="5DCFF805" w:rsidR="00142A1A" w:rsidRPr="00DD1B58" w:rsidRDefault="00142A1A" w:rsidP="00976D0B">
      <w:pPr>
        <w:rPr>
          <w:lang w:val="en-US"/>
        </w:rPr>
      </w:pPr>
      <w:r w:rsidRPr="00DD1B58">
        <w:rPr>
          <w:lang w:val="en-US"/>
        </w:rPr>
        <w:t>The main characteristics and performance expectations of fire detections and alarm systems repo</w:t>
      </w:r>
      <w:r w:rsidR="00B35B2F" w:rsidRPr="00DD1B58">
        <w:rPr>
          <w:lang w:val="en-US"/>
        </w:rPr>
        <w:t>r</w:t>
      </w:r>
      <w:r w:rsidRPr="00DD1B58">
        <w:rPr>
          <w:lang w:val="en-US"/>
        </w:rPr>
        <w:t xml:space="preserve">ted by </w:t>
      </w:r>
      <w:r w:rsidR="00134292" w:rsidRPr="00DD1B58">
        <w:rPr>
          <w:lang w:val="en-US"/>
        </w:rPr>
        <w:t>Springfields Fuels Ltd</w:t>
      </w:r>
      <w:r w:rsidRPr="00DD1B58">
        <w:rPr>
          <w:lang w:val="en-US"/>
        </w:rPr>
        <w:t xml:space="preserve"> </w:t>
      </w:r>
      <w:r w:rsidR="00166AC9" w:rsidRPr="00DD1B58">
        <w:rPr>
          <w:lang w:val="en-US"/>
        </w:rPr>
        <w:t>are</w:t>
      </w:r>
      <w:r w:rsidRPr="00DD1B58">
        <w:rPr>
          <w:lang w:val="en-US"/>
        </w:rPr>
        <w:t xml:space="preserve"> as follows (reproduced literally from the licensee’s self</w:t>
      </w:r>
      <w:r w:rsidR="00F9083E" w:rsidRPr="00DD1B58">
        <w:rPr>
          <w:lang w:val="en-US"/>
        </w:rPr>
        <w:t>-</w:t>
      </w:r>
      <w:r w:rsidRPr="00DD1B58">
        <w:rPr>
          <w:lang w:val="en-US"/>
        </w:rPr>
        <w:t>assessment</w:t>
      </w:r>
      <w:r w:rsidR="00166AC9" w:rsidRPr="00DD1B58">
        <w:rPr>
          <w:lang w:val="en-US"/>
        </w:rPr>
        <w:t>)</w:t>
      </w:r>
      <w:r w:rsidRPr="00DD1B58">
        <w:rPr>
          <w:lang w:val="en-US"/>
        </w:rPr>
        <w:t>:</w:t>
      </w:r>
    </w:p>
    <w:p w14:paraId="0B4A0A57" w14:textId="6306B307" w:rsidR="00976D0B" w:rsidRPr="00DD1B58" w:rsidRDefault="00976D0B" w:rsidP="00973FF4">
      <w:pPr>
        <w:pStyle w:val="Bulletlist1"/>
        <w:rPr>
          <w:lang w:val="en-US"/>
        </w:rPr>
      </w:pPr>
      <w:r w:rsidRPr="00DD1B58">
        <w:rPr>
          <w:lang w:val="en-US"/>
        </w:rPr>
        <w:t>As defined in BS5839 ARC (Alarm Receiving Centre)</w:t>
      </w:r>
      <w:r w:rsidR="00C37F31" w:rsidRPr="00DD1B58">
        <w:rPr>
          <w:lang w:val="en-US"/>
        </w:rPr>
        <w:t xml:space="preserve">, </w:t>
      </w:r>
      <w:r w:rsidRPr="00DD1B58">
        <w:rPr>
          <w:lang w:val="en-US"/>
        </w:rPr>
        <w:t>which on the Springfields site is the ECC, the resolution built into the fire alarm system and information provided to the ECC is down to building level with some buildings e.g., OFC further split down into plant areas.</w:t>
      </w:r>
      <w:r w:rsidR="008F44C8" w:rsidRPr="00DD1B58">
        <w:rPr>
          <w:lang w:val="en-US"/>
        </w:rPr>
        <w:t xml:space="preserve"> </w:t>
      </w:r>
      <w:r w:rsidRPr="00DD1B58">
        <w:rPr>
          <w:lang w:val="en-US"/>
        </w:rPr>
        <w:t>As defined in BS5839, CIE (Control and Indicating Equipment) or the local control panels display down to individual device level for all newer panels, some older panels display detection zone containing several devices.</w:t>
      </w:r>
    </w:p>
    <w:p w14:paraId="327B5AA9" w14:textId="77777777" w:rsidR="0067090A" w:rsidRPr="00DD1B58" w:rsidRDefault="00976D0B" w:rsidP="00973FF4">
      <w:pPr>
        <w:pStyle w:val="Bulletlist1"/>
        <w:rPr>
          <w:lang w:val="en-US"/>
        </w:rPr>
      </w:pPr>
      <w:r w:rsidRPr="00DD1B58">
        <w:rPr>
          <w:lang w:val="en-US"/>
        </w:rPr>
        <w:t>All fire systems are connected to the ARC (ECC) via hardwire link. This is displayed on a purpose designed SCADA system giving visual and audible alerts to the operator. This is also displayed on a wall mounted site map mimic that shows all site buildings. On receiving an alarm, the ECC operator alerts the On-site Emergency Response</w:t>
      </w:r>
      <w:r w:rsidR="0067090A" w:rsidRPr="00DD1B58">
        <w:rPr>
          <w:lang w:val="en-US"/>
        </w:rPr>
        <w:t xml:space="preserve"> Team (via radios, Tannoy) etc. The ECC is manned on a 24-hour basis. Currently only fire signals are transmitted to the ECC.</w:t>
      </w:r>
    </w:p>
    <w:p w14:paraId="4151E1EE" w14:textId="77777777" w:rsidR="0067090A" w:rsidRPr="00DD1B58" w:rsidRDefault="0067090A" w:rsidP="00973FF4">
      <w:pPr>
        <w:pStyle w:val="Bulletlist1"/>
        <w:rPr>
          <w:lang w:val="en-US"/>
        </w:rPr>
      </w:pPr>
      <w:r w:rsidRPr="00DD1B58">
        <w:rPr>
          <w:lang w:val="en-US"/>
        </w:rPr>
        <w:t>All individual fire alarm panels are provided with battery backup in line with BS5839 with a capacity of at least 24 hours standby + 30 mins alarm. Should the power fail to the ECC the uninterruptable power supply (UPS) takes over and has a 4-hour back-up.</w:t>
      </w:r>
    </w:p>
    <w:p w14:paraId="7D554DCF" w14:textId="77777777" w:rsidR="0067090A" w:rsidRPr="00DD1B58" w:rsidRDefault="0067090A" w:rsidP="00973FF4">
      <w:pPr>
        <w:pStyle w:val="Bulletlist1"/>
        <w:rPr>
          <w:lang w:val="en-US"/>
        </w:rPr>
      </w:pPr>
      <w:r w:rsidRPr="00DD1B58">
        <w:rPr>
          <w:lang w:val="en-US"/>
        </w:rPr>
        <w:t>The local control panels in each building meet the requirements of BS5839-1. Typically, systems are designed to tolerate a single fault without detriment to the system. E.g.: Detector circuits are loop wired, which will tolerate one break in the circuit. Also, panels are provided with a battery backup as described above and the ECC has a UPS. Single device failures will not affect other devices on the loops.</w:t>
      </w:r>
    </w:p>
    <w:p w14:paraId="4C97030C" w14:textId="77777777" w:rsidR="0067090A" w:rsidRPr="00DD1B58" w:rsidRDefault="0067090A" w:rsidP="00973FF4">
      <w:pPr>
        <w:pStyle w:val="Bulletlist1"/>
        <w:rPr>
          <w:lang w:val="en-US"/>
        </w:rPr>
      </w:pPr>
      <w:r w:rsidRPr="00DD1B58">
        <w:rPr>
          <w:lang w:val="en-US"/>
        </w:rPr>
        <w:t>Fire detection system cables meet the requirements of BS5839-1 for circuit continuity under fire conditions. Typically, standard 60-minute cables conforming to BS EN 60702-1 are used. Cables are typically soft skin (e.g., Prysmian FP200). Detectors by their nature (e.g., plastic construction) have no fire resistance. No specific measures are provided to protect fire detection control equipment which typically are located in lobbies, or protected stairs where the risk of fire is low. Older systems are wired using MICC.</w:t>
      </w:r>
    </w:p>
    <w:p w14:paraId="585CBF25" w14:textId="19F4F384" w:rsidR="0067090A" w:rsidRPr="00DD1B58" w:rsidRDefault="0067090A" w:rsidP="00973FF4">
      <w:pPr>
        <w:pStyle w:val="Bulletlist1"/>
        <w:rPr>
          <w:lang w:val="en-US"/>
        </w:rPr>
      </w:pPr>
      <w:r w:rsidRPr="00DD1B58">
        <w:rPr>
          <w:lang w:val="en-US"/>
        </w:rPr>
        <w:t xml:space="preserve">Cable wrapping is not used for any fire detection cabling. Detectors are chosen according to the environment in which they are to be located. Smoke or multi-sensor detectors are the preferred choice. If there are high airflows e.g., in </w:t>
      </w:r>
      <w:r w:rsidR="00E97AB7" w:rsidRPr="00DD1B58">
        <w:rPr>
          <w:lang w:val="en-US"/>
        </w:rPr>
        <w:t>Electronic Data Processing (</w:t>
      </w:r>
      <w:r w:rsidRPr="00DD1B58">
        <w:rPr>
          <w:lang w:val="en-US"/>
        </w:rPr>
        <w:t>EDP</w:t>
      </w:r>
      <w:r w:rsidR="00E97AB7" w:rsidRPr="00DD1B58">
        <w:rPr>
          <w:lang w:val="en-US"/>
        </w:rPr>
        <w:t>)</w:t>
      </w:r>
      <w:r w:rsidRPr="00DD1B58">
        <w:rPr>
          <w:lang w:val="en-US"/>
        </w:rPr>
        <w:t xml:space="preserve"> rooms an enhanced level of coverage such as that based on BS6266 may be used. </w:t>
      </w:r>
      <w:r w:rsidR="00BF171C" w:rsidRPr="00DD1B58">
        <w:rPr>
          <w:lang w:val="en-US"/>
        </w:rPr>
        <w:t>However,</w:t>
      </w:r>
      <w:r w:rsidRPr="00DD1B58">
        <w:rPr>
          <w:lang w:val="en-US"/>
        </w:rPr>
        <w:t xml:space="preserve"> there are some instances where smoke should be changed to heat due to steam or dust. IP rated components such as call points may be used externally or in areas subject to moisture or dust. Cable installations are compliant with BS5839 and BS7671, including the use of </w:t>
      </w:r>
      <w:r w:rsidR="00BF171C" w:rsidRPr="00DD1B58">
        <w:rPr>
          <w:lang w:val="en-US"/>
        </w:rPr>
        <w:t>non-combustible</w:t>
      </w:r>
      <w:r w:rsidRPr="00DD1B58">
        <w:rPr>
          <w:lang w:val="en-US"/>
        </w:rPr>
        <w:t xml:space="preserve"> clips to prevent cables dropping in the event of a fire.</w:t>
      </w:r>
    </w:p>
    <w:p w14:paraId="791DDBD5" w14:textId="77777777" w:rsidR="00891559" w:rsidRPr="00DD1B58" w:rsidRDefault="0067090A" w:rsidP="00973FF4">
      <w:pPr>
        <w:pStyle w:val="Bulletlist1"/>
        <w:rPr>
          <w:lang w:val="en-US"/>
        </w:rPr>
      </w:pPr>
      <w:r w:rsidRPr="00DD1B58">
        <w:rPr>
          <w:lang w:val="en-US"/>
        </w:rPr>
        <w:t>There are no claims made on fire detection systems for nuclear safety other than in some buildings for early warning of fire thereby allowing early attendance of the site fire service. As such the highest claim made on fire detection systems is that they are designed safety related instrumentation (SRI). Some systems are claimed as SRI in safety cases, most are not. Examination, Maintenance, Inspection and Testing (EMIT) is carried out in line with BS5839 and BS7671, the procedures for which are documented in local equipment instructions (LEIs) and SSI 635. Where a tripping function is included, this will be functionally tested. All maintenance is scheduled on a computerised maintenance management system (CMMS).</w:t>
      </w:r>
    </w:p>
    <w:p w14:paraId="09878214" w14:textId="77777777" w:rsidR="00B26762" w:rsidRPr="00DD1B58" w:rsidRDefault="00B26762" w:rsidP="00177432">
      <w:pPr>
        <w:pStyle w:val="Heading5A"/>
        <w:numPr>
          <w:ilvl w:val="5"/>
          <w:numId w:val="7"/>
        </w:numPr>
        <w:rPr>
          <w:lang w:val="en-US"/>
        </w:rPr>
      </w:pPr>
      <w:r w:rsidRPr="00DD1B58">
        <w:rPr>
          <w:lang w:val="en-US"/>
        </w:rPr>
        <w:t>Alternative/temporary provisions</w:t>
      </w:r>
    </w:p>
    <w:p w14:paraId="2E95EAF2" w14:textId="4CAFDAD6" w:rsidR="004013E9" w:rsidRPr="00DD1B58" w:rsidRDefault="004013E9" w:rsidP="004013E9">
      <w:pPr>
        <w:rPr>
          <w:lang w:val="en-US"/>
        </w:rPr>
      </w:pPr>
      <w:r w:rsidRPr="00DD1B58">
        <w:rPr>
          <w:lang w:val="en-US"/>
        </w:rPr>
        <w:t xml:space="preserve">SSI 688 ‘Fire Safety at Springfields’ </w:t>
      </w:r>
      <w:sdt>
        <w:sdtPr>
          <w:rPr>
            <w:lang w:val="en-US"/>
          </w:rPr>
          <w:id w:val="621575201"/>
          <w:citation/>
        </w:sdtPr>
        <w:sdtContent>
          <w:r w:rsidR="0057184A" w:rsidRPr="00DD1B58">
            <w:rPr>
              <w:lang w:val="en-US"/>
            </w:rPr>
            <w:fldChar w:fldCharType="begin"/>
          </w:r>
          <w:r w:rsidR="0057184A" w:rsidRPr="00DD1B58">
            <w:rPr>
              <w:lang w:val="en-US"/>
            </w:rPr>
            <w:instrText xml:space="preserve"> CITATION SSI4 \l 2057 </w:instrText>
          </w:r>
          <w:r w:rsidR="0057184A" w:rsidRPr="00DD1B58">
            <w:rPr>
              <w:lang w:val="en-US"/>
            </w:rPr>
            <w:fldChar w:fldCharType="separate"/>
          </w:r>
          <w:r w:rsidR="00DF47DA" w:rsidRPr="00DF47DA">
            <w:rPr>
              <w:noProof/>
              <w:lang w:val="en-US"/>
            </w:rPr>
            <w:t>[135]</w:t>
          </w:r>
          <w:r w:rsidR="0057184A" w:rsidRPr="00DD1B58">
            <w:rPr>
              <w:lang w:val="en-US"/>
            </w:rPr>
            <w:fldChar w:fldCharType="end"/>
          </w:r>
        </w:sdtContent>
      </w:sdt>
      <w:r w:rsidRPr="00DD1B58">
        <w:rPr>
          <w:lang w:val="en-US"/>
        </w:rPr>
        <w:t xml:space="preserve"> contains a procedure for when temporary works are required. This procedure is applicable to all work undertaken at both Springfields Fuels and Westinghouse Precision Fabrications by staff, contractors, sub-contractors prior to any isolations.</w:t>
      </w:r>
    </w:p>
    <w:p w14:paraId="486309CD" w14:textId="4372F13A" w:rsidR="004013E9" w:rsidRPr="00DD1B58" w:rsidRDefault="00134292" w:rsidP="004013E9">
      <w:pPr>
        <w:rPr>
          <w:lang w:val="en-US"/>
        </w:rPr>
      </w:pPr>
      <w:r w:rsidRPr="00DD1B58">
        <w:rPr>
          <w:lang w:val="en-US"/>
        </w:rPr>
        <w:t>Springfields Fuels Ltd</w:t>
      </w:r>
      <w:r w:rsidR="00F9083E" w:rsidRPr="00DD1B58">
        <w:rPr>
          <w:lang w:val="en-US"/>
        </w:rPr>
        <w:t xml:space="preserve"> </w:t>
      </w:r>
      <w:r w:rsidR="006D798B" w:rsidRPr="00DD1B58">
        <w:rPr>
          <w:lang w:val="en-US"/>
        </w:rPr>
        <w:t>reports that</w:t>
      </w:r>
      <w:r w:rsidR="00F9083E" w:rsidRPr="00DD1B58">
        <w:rPr>
          <w:lang w:val="en-US"/>
        </w:rPr>
        <w:t xml:space="preserve"> a</w:t>
      </w:r>
      <w:r w:rsidR="004013E9" w:rsidRPr="00DD1B58">
        <w:rPr>
          <w:lang w:val="en-US"/>
        </w:rPr>
        <w:t>dditional controls to mitigate the risk to personnel and plant are implemented in the following circumstances</w:t>
      </w:r>
      <w:r w:rsidR="00F9083E" w:rsidRPr="00DD1B58">
        <w:rPr>
          <w:lang w:val="en-US"/>
        </w:rPr>
        <w:t xml:space="preserve"> (reproduced literally from the licensee’s self-assessment)</w:t>
      </w:r>
      <w:r w:rsidR="004013E9" w:rsidRPr="00DD1B58">
        <w:rPr>
          <w:lang w:val="en-US"/>
        </w:rPr>
        <w:t>:</w:t>
      </w:r>
    </w:p>
    <w:p w14:paraId="1A7BC6AE" w14:textId="77777777" w:rsidR="000E58D9" w:rsidRPr="00DD1B58" w:rsidRDefault="000E58D9" w:rsidP="00973FF4">
      <w:pPr>
        <w:pStyle w:val="ListParagraph"/>
        <w:numPr>
          <w:ilvl w:val="0"/>
          <w:numId w:val="48"/>
        </w:numPr>
        <w:rPr>
          <w:lang w:val="en-US"/>
        </w:rPr>
      </w:pPr>
      <w:r w:rsidRPr="00DD1B58">
        <w:rPr>
          <w:b/>
          <w:bCs/>
          <w:lang w:val="en-US"/>
        </w:rPr>
        <w:t>Device Disablements</w:t>
      </w:r>
      <w:r w:rsidRPr="00DD1B58">
        <w:rPr>
          <w:lang w:val="en-US"/>
        </w:rPr>
        <w:t xml:space="preserve"> – Where a single or multiple devices are to be disabled due to permit maintenance or hot work activities these disablements can only be actioned by suitably qualified experienced persons (SQEP) and are risk assessed and reviewed by the Fire Nominated Person (FNP). Disablements are recorded on the SSI 688 form for the building. Where unsure of the extent of isolation impact, the Fire safety Manager (FSM) is included in the assessment as additional risk mitigation measures may be required.</w:t>
      </w:r>
    </w:p>
    <w:p w14:paraId="1981C673" w14:textId="77777777" w:rsidR="000E58D9" w:rsidRPr="00DD1B58" w:rsidRDefault="000E58D9" w:rsidP="00973FF4">
      <w:pPr>
        <w:pStyle w:val="ListParagraph"/>
        <w:numPr>
          <w:ilvl w:val="0"/>
          <w:numId w:val="48"/>
        </w:numPr>
        <w:rPr>
          <w:lang w:val="en-US"/>
        </w:rPr>
      </w:pPr>
      <w:r w:rsidRPr="00DD1B58">
        <w:rPr>
          <w:b/>
          <w:bCs/>
          <w:lang w:val="en-US"/>
        </w:rPr>
        <w:t>Full Zone Disablements</w:t>
      </w:r>
      <w:r w:rsidRPr="00DD1B58">
        <w:rPr>
          <w:lang w:val="en-US"/>
        </w:rPr>
        <w:t xml:space="preserve"> – Where system cover is reduced significantly, areas of plant may be without automatic detection and annunciation. In this case zone disablements can only be actioned by suitably qualified and experienced persons and should be risk assessed and reviewed by the FNP or FSM. The disablements are recorded on the SSI 688 form for the building.</w:t>
      </w:r>
    </w:p>
    <w:p w14:paraId="22A6D6F6" w14:textId="6F1CD9C4" w:rsidR="000E58D9" w:rsidRPr="00DD1B58" w:rsidRDefault="000E58D9" w:rsidP="00973FF4">
      <w:pPr>
        <w:pStyle w:val="Bulletlist1"/>
        <w:rPr>
          <w:lang w:val="en-US"/>
        </w:rPr>
      </w:pPr>
      <w:r w:rsidRPr="00DD1B58">
        <w:rPr>
          <w:b/>
          <w:bCs/>
          <w:lang w:val="en-US"/>
        </w:rPr>
        <w:t>Planned System Outage</w:t>
      </w:r>
      <w:r w:rsidRPr="00DD1B58">
        <w:rPr>
          <w:lang w:val="en-US"/>
        </w:rPr>
        <w:t xml:space="preserve"> – Where the entire protection system is to be shut-down for maintenance a shut-down notice is used to notify key staff</w:t>
      </w:r>
      <w:r w:rsidR="007C3F42" w:rsidRPr="00DD1B58">
        <w:rPr>
          <w:lang w:val="en-US"/>
        </w:rPr>
        <w:t>/</w:t>
      </w:r>
      <w:r w:rsidRPr="00DD1B58">
        <w:rPr>
          <w:lang w:val="en-US"/>
        </w:rPr>
        <w:t>stakeholders. The outage follows a safe system of work including risk assessment. Testing as per SSI 635 is completed post outage.</w:t>
      </w:r>
    </w:p>
    <w:p w14:paraId="75916325" w14:textId="144BD3B2" w:rsidR="000E58D9" w:rsidRPr="00DD1B58" w:rsidRDefault="000E58D9" w:rsidP="00973FF4">
      <w:pPr>
        <w:pStyle w:val="Bulletlist1"/>
        <w:rPr>
          <w:lang w:val="en-US"/>
        </w:rPr>
      </w:pPr>
      <w:r w:rsidRPr="00DD1B58">
        <w:rPr>
          <w:b/>
          <w:bCs/>
          <w:lang w:val="en-US"/>
        </w:rPr>
        <w:t>Unplanned System Outage</w:t>
      </w:r>
      <w:r w:rsidRPr="00DD1B58">
        <w:rPr>
          <w:lang w:val="en-US"/>
        </w:rPr>
        <w:t xml:space="preserve"> – In the event of an unplanned outage of the system, key staff</w:t>
      </w:r>
      <w:r w:rsidR="007C3F42" w:rsidRPr="00DD1B58">
        <w:rPr>
          <w:lang w:val="en-US"/>
        </w:rPr>
        <w:t>/</w:t>
      </w:r>
      <w:r w:rsidRPr="00DD1B58">
        <w:rPr>
          <w:lang w:val="en-US"/>
        </w:rPr>
        <w:t xml:space="preserve">stakeholders are notified. Risk mitigation measures are used and the risk to personnel and plant assessed. Additional measures such as those listed below may be necessary, for example whether operations should cease. The fault is logged on the SSI 688E form. Testing as per SSI 635 testing procedure </w:t>
      </w:r>
      <w:sdt>
        <w:sdtPr>
          <w:rPr>
            <w:lang w:val="en-US"/>
          </w:rPr>
          <w:id w:val="677544939"/>
          <w:citation/>
        </w:sdtPr>
        <w:sdtContent>
          <w:r w:rsidR="00431E15" w:rsidRPr="00DD1B58">
            <w:rPr>
              <w:lang w:val="en-US"/>
            </w:rPr>
            <w:fldChar w:fldCharType="begin"/>
          </w:r>
          <w:r w:rsidR="00431E15" w:rsidRPr="00DD1B58">
            <w:rPr>
              <w:lang w:val="en-US"/>
            </w:rPr>
            <w:instrText xml:space="preserve"> CITATION SSI7 \l 2057 </w:instrText>
          </w:r>
          <w:r w:rsidR="00431E15" w:rsidRPr="00DD1B58">
            <w:rPr>
              <w:lang w:val="en-US"/>
            </w:rPr>
            <w:fldChar w:fldCharType="separate"/>
          </w:r>
          <w:r w:rsidR="00DF47DA" w:rsidRPr="00DF47DA">
            <w:rPr>
              <w:lang w:val="en-US"/>
            </w:rPr>
            <w:t>[185]</w:t>
          </w:r>
          <w:r w:rsidR="00431E15" w:rsidRPr="00DD1B58">
            <w:rPr>
              <w:lang w:val="en-US"/>
            </w:rPr>
            <w:fldChar w:fldCharType="end"/>
          </w:r>
        </w:sdtContent>
      </w:sdt>
      <w:r w:rsidRPr="00DD1B58">
        <w:rPr>
          <w:lang w:val="en-US"/>
        </w:rPr>
        <w:t xml:space="preserve"> is completed post outage.</w:t>
      </w:r>
    </w:p>
    <w:p w14:paraId="33D304EA" w14:textId="326BB4D3" w:rsidR="00813DE0" w:rsidRPr="00DD1B58" w:rsidRDefault="00134292" w:rsidP="00051EA2">
      <w:pPr>
        <w:rPr>
          <w:lang w:val="en-US"/>
        </w:rPr>
      </w:pPr>
      <w:r w:rsidRPr="00DD1B58">
        <w:rPr>
          <w:lang w:val="en-US"/>
        </w:rPr>
        <w:t>Springfields Fuels Ltd</w:t>
      </w:r>
      <w:r w:rsidR="00CF1900" w:rsidRPr="00DD1B58">
        <w:rPr>
          <w:lang w:val="en-US"/>
        </w:rPr>
        <w:t xml:space="preserve"> report</w:t>
      </w:r>
      <w:r w:rsidR="00606837" w:rsidRPr="00DD1B58">
        <w:rPr>
          <w:lang w:val="en-US"/>
        </w:rPr>
        <w:t>s</w:t>
      </w:r>
      <w:r w:rsidR="00CF1900" w:rsidRPr="00DD1B58">
        <w:rPr>
          <w:lang w:val="en-US"/>
        </w:rPr>
        <w:t xml:space="preserve"> that a</w:t>
      </w:r>
      <w:r w:rsidR="00DC0CF4" w:rsidRPr="00DD1B58">
        <w:rPr>
          <w:lang w:val="en-US"/>
        </w:rPr>
        <w:t>dditional or alternative r</w:t>
      </w:r>
      <w:r w:rsidR="000E58D9" w:rsidRPr="00DD1B58">
        <w:rPr>
          <w:lang w:val="en-US"/>
        </w:rPr>
        <w:t xml:space="preserve">isk </w:t>
      </w:r>
      <w:r w:rsidR="00DC0CF4" w:rsidRPr="00DD1B58">
        <w:rPr>
          <w:lang w:val="en-US"/>
        </w:rPr>
        <w:t>m</w:t>
      </w:r>
      <w:r w:rsidR="000E58D9" w:rsidRPr="00DD1B58">
        <w:rPr>
          <w:lang w:val="en-US"/>
        </w:rPr>
        <w:t xml:space="preserve">itigation </w:t>
      </w:r>
      <w:r w:rsidR="00DC0CF4" w:rsidRPr="00DD1B58">
        <w:rPr>
          <w:lang w:val="en-US"/>
        </w:rPr>
        <w:t>m</w:t>
      </w:r>
      <w:r w:rsidR="000E58D9" w:rsidRPr="00DD1B58">
        <w:rPr>
          <w:lang w:val="en-US"/>
        </w:rPr>
        <w:t>easure</w:t>
      </w:r>
      <w:r w:rsidR="00DC0CF4" w:rsidRPr="00DD1B58">
        <w:rPr>
          <w:lang w:val="en-US"/>
        </w:rPr>
        <w:t xml:space="preserve">s may be implemented as required. Examples of such measures and typical uses are provided in the </w:t>
      </w:r>
      <w:r w:rsidR="00CF1900" w:rsidRPr="00DD1B58">
        <w:rPr>
          <w:lang w:val="en-US"/>
        </w:rPr>
        <w:t xml:space="preserve">licensee’s self-assessment </w:t>
      </w:r>
      <w:sdt>
        <w:sdtPr>
          <w:rPr>
            <w:lang w:val="en-US"/>
          </w:rPr>
          <w:id w:val="-1654134031"/>
          <w:citation/>
        </w:sdtPr>
        <w:sdtContent>
          <w:r w:rsidR="00431E15" w:rsidRPr="00DD1B58">
            <w:rPr>
              <w:lang w:val="en-US"/>
            </w:rPr>
            <w:fldChar w:fldCharType="begin"/>
          </w:r>
          <w:r w:rsidR="00431E15" w:rsidRPr="00DD1B58">
            <w:rPr>
              <w:lang w:val="en-US"/>
            </w:rPr>
            <w:instrText xml:space="preserve"> CITATION ENS \l 2057 </w:instrText>
          </w:r>
          <w:r w:rsidR="00431E15" w:rsidRPr="00DD1B58">
            <w:rPr>
              <w:lang w:val="en-US"/>
            </w:rPr>
            <w:fldChar w:fldCharType="separate"/>
          </w:r>
          <w:r w:rsidR="00DF47DA" w:rsidRPr="00DF47DA">
            <w:rPr>
              <w:noProof/>
              <w:lang w:val="en-US"/>
            </w:rPr>
            <w:t>[9]</w:t>
          </w:r>
          <w:r w:rsidR="00431E15" w:rsidRPr="00DD1B58">
            <w:rPr>
              <w:lang w:val="en-US"/>
            </w:rPr>
            <w:fldChar w:fldCharType="end"/>
          </w:r>
        </w:sdtContent>
      </w:sdt>
      <w:r w:rsidR="00DC0CF4" w:rsidRPr="00DD1B58">
        <w:rPr>
          <w:lang w:val="en-US"/>
        </w:rPr>
        <w:t>.</w:t>
      </w:r>
      <w:r w:rsidR="00FB0E8C" w:rsidRPr="00DD1B58">
        <w:rPr>
          <w:b/>
          <w:bCs/>
          <w:lang w:val="en-US"/>
        </w:rPr>
        <w:t xml:space="preserve"> </w:t>
      </w:r>
      <w:r w:rsidR="00F104FF" w:rsidRPr="00DD1B58">
        <w:rPr>
          <w:lang w:val="en-US"/>
        </w:rPr>
        <w:t>It also report</w:t>
      </w:r>
      <w:r w:rsidR="00F47DD4" w:rsidRPr="00DD1B58">
        <w:rPr>
          <w:lang w:val="en-US"/>
        </w:rPr>
        <w:t>s</w:t>
      </w:r>
      <w:r w:rsidR="00F104FF" w:rsidRPr="00DD1B58">
        <w:rPr>
          <w:lang w:val="en-US"/>
        </w:rPr>
        <w:t xml:space="preserve"> that k</w:t>
      </w:r>
      <w:r w:rsidR="000E58D9" w:rsidRPr="00DD1B58">
        <w:rPr>
          <w:lang w:val="en-US"/>
        </w:rPr>
        <w:t xml:space="preserve">ey staff/departments that must be notified </w:t>
      </w:r>
      <w:r w:rsidR="00F104FF" w:rsidRPr="00DD1B58">
        <w:rPr>
          <w:lang w:val="en-US"/>
        </w:rPr>
        <w:t xml:space="preserve">of temporary provisions </w:t>
      </w:r>
      <w:r w:rsidR="00051EA2" w:rsidRPr="00DD1B58">
        <w:rPr>
          <w:lang w:val="en-US"/>
        </w:rPr>
        <w:t xml:space="preserve">include the </w:t>
      </w:r>
      <w:r w:rsidR="00813DE0" w:rsidRPr="00DD1B58">
        <w:rPr>
          <w:lang w:val="en-US"/>
        </w:rPr>
        <w:t>Emergency Control Centre (ECC)</w:t>
      </w:r>
      <w:r w:rsidR="00051EA2" w:rsidRPr="00DD1B58">
        <w:rPr>
          <w:lang w:val="en-US"/>
        </w:rPr>
        <w:t xml:space="preserve">, </w:t>
      </w:r>
      <w:r w:rsidR="00813DE0" w:rsidRPr="00DD1B58">
        <w:rPr>
          <w:lang w:val="en-US"/>
        </w:rPr>
        <w:t>Building occupants (including shift teams)</w:t>
      </w:r>
      <w:r w:rsidR="00051EA2" w:rsidRPr="00DD1B58">
        <w:rPr>
          <w:lang w:val="en-US"/>
        </w:rPr>
        <w:t xml:space="preserve">, </w:t>
      </w:r>
      <w:r w:rsidR="00813DE0" w:rsidRPr="00DD1B58">
        <w:rPr>
          <w:lang w:val="en-US"/>
        </w:rPr>
        <w:t>Shift Plant Managers</w:t>
      </w:r>
      <w:r w:rsidR="00051EA2" w:rsidRPr="00DD1B58">
        <w:rPr>
          <w:lang w:val="en-US"/>
        </w:rPr>
        <w:t xml:space="preserve">, </w:t>
      </w:r>
      <w:r w:rsidR="00813DE0" w:rsidRPr="00DD1B58">
        <w:rPr>
          <w:lang w:val="en-US"/>
        </w:rPr>
        <w:t>Fire Safety Manager</w:t>
      </w:r>
      <w:r w:rsidR="00051EA2" w:rsidRPr="00DD1B58">
        <w:rPr>
          <w:lang w:val="en-US"/>
        </w:rPr>
        <w:t xml:space="preserve">, </w:t>
      </w:r>
      <w:r w:rsidR="00813DE0" w:rsidRPr="00DD1B58">
        <w:rPr>
          <w:lang w:val="en-US"/>
        </w:rPr>
        <w:t>Fire Team</w:t>
      </w:r>
      <w:r w:rsidR="00051EA2" w:rsidRPr="00DD1B58">
        <w:rPr>
          <w:lang w:val="en-US"/>
        </w:rPr>
        <w:t xml:space="preserve"> and </w:t>
      </w:r>
      <w:r w:rsidR="00813DE0" w:rsidRPr="00DD1B58">
        <w:rPr>
          <w:lang w:val="en-US"/>
        </w:rPr>
        <w:t>Shift Monitors</w:t>
      </w:r>
      <w:r w:rsidR="00051EA2" w:rsidRPr="00DD1B58">
        <w:rPr>
          <w:lang w:val="en-US"/>
        </w:rPr>
        <w:t>.</w:t>
      </w:r>
    </w:p>
    <w:p w14:paraId="41704CA4" w14:textId="77777777" w:rsidR="00813DE0" w:rsidRPr="00DD1B58" w:rsidRDefault="00813DE0" w:rsidP="00813DE0">
      <w:pPr>
        <w:rPr>
          <w:b/>
          <w:bCs/>
          <w:lang w:val="en-US"/>
        </w:rPr>
      </w:pPr>
      <w:r w:rsidRPr="00DD1B58">
        <w:rPr>
          <w:b/>
          <w:bCs/>
          <w:lang w:val="en-US"/>
        </w:rPr>
        <w:t>Interim Contingency Plan</w:t>
      </w:r>
    </w:p>
    <w:p w14:paraId="0C38FBEF" w14:textId="14107832" w:rsidR="00D25A8F" w:rsidRPr="00DD1B58" w:rsidRDefault="00134292" w:rsidP="00813DE0">
      <w:pPr>
        <w:rPr>
          <w:lang w:val="en-US"/>
        </w:rPr>
      </w:pPr>
      <w:r w:rsidRPr="00DD1B58">
        <w:rPr>
          <w:lang w:val="en-US"/>
        </w:rPr>
        <w:t>Springfields Fuels Ltd</w:t>
      </w:r>
      <w:r w:rsidR="00D25A8F" w:rsidRPr="00DD1B58">
        <w:rPr>
          <w:lang w:val="en-US"/>
        </w:rPr>
        <w:t xml:space="preserve"> reported the following considerations regarding interim contingency plans (reproduced below literally from the licensee’s self-assessment): </w:t>
      </w:r>
    </w:p>
    <w:p w14:paraId="0125B6D3" w14:textId="77777777" w:rsidR="00813DE0" w:rsidRPr="00DD1B58" w:rsidRDefault="00813DE0" w:rsidP="00973FF4">
      <w:pPr>
        <w:pStyle w:val="Bulletlist1"/>
        <w:rPr>
          <w:lang w:val="en-US"/>
        </w:rPr>
      </w:pPr>
      <w:r w:rsidRPr="00DD1B58">
        <w:rPr>
          <w:lang w:val="en-US"/>
        </w:rPr>
        <w:t>Additional fire patrols are implemented when smoke detection systems are isolated. The focus is typically on higher risk, business critical and unmanned areas. If detection is to remain isolated in silent hours regular fire patrols are undertaken.</w:t>
      </w:r>
    </w:p>
    <w:p w14:paraId="1EE37C92" w14:textId="77777777" w:rsidR="00813DE0" w:rsidRPr="00DD1B58" w:rsidRDefault="00813DE0" w:rsidP="00973FF4">
      <w:pPr>
        <w:pStyle w:val="Bulletlist1"/>
        <w:rPr>
          <w:lang w:val="en-US"/>
        </w:rPr>
      </w:pPr>
      <w:r w:rsidRPr="00DD1B58">
        <w:rPr>
          <w:lang w:val="en-US"/>
        </w:rPr>
        <w:t>During hot work activities only local isolations of fire and smoke detectors are permitted. No hot work activities are carried out in buildings without an operational fire alarm system unless the work has been risk assessed with a contingency plan in place and authorised by the Fire Safety Manager.</w:t>
      </w:r>
    </w:p>
    <w:p w14:paraId="182E9E32" w14:textId="77777777" w:rsidR="000E58D9" w:rsidRPr="00DD1B58" w:rsidRDefault="00813DE0" w:rsidP="00973FF4">
      <w:pPr>
        <w:pStyle w:val="Bulletlist1"/>
        <w:rPr>
          <w:lang w:val="en-US"/>
        </w:rPr>
      </w:pPr>
      <w:r w:rsidRPr="00DD1B58">
        <w:rPr>
          <w:lang w:val="en-US"/>
        </w:rPr>
        <w:t>If disablements are to be longer term (&gt;1 week) the building fire risk assessment must be re-issued, and consideration given to informing Insurers via the Head of Facilities</w:t>
      </w:r>
      <w:r w:rsidR="002E344E" w:rsidRPr="00DD1B58">
        <w:rPr>
          <w:lang w:val="en-US"/>
        </w:rPr>
        <w:t xml:space="preserve"> </w:t>
      </w:r>
      <w:r w:rsidRPr="00DD1B58">
        <w:rPr>
          <w:lang w:val="en-US"/>
        </w:rPr>
        <w:t>Management.</w:t>
      </w:r>
    </w:p>
    <w:p w14:paraId="4F77A923" w14:textId="77777777" w:rsidR="002E344E" w:rsidRPr="00DD1B58" w:rsidRDefault="002E344E" w:rsidP="00813DE0">
      <w:pPr>
        <w:rPr>
          <w:b/>
          <w:lang w:val="en-US"/>
        </w:rPr>
      </w:pPr>
      <w:r w:rsidRPr="00DD1B58">
        <w:rPr>
          <w:b/>
          <w:lang w:val="en-US"/>
        </w:rPr>
        <w:t>Maintenance and Testing</w:t>
      </w:r>
    </w:p>
    <w:p w14:paraId="3CA0720E" w14:textId="59D7536B" w:rsidR="00140CD5" w:rsidRPr="00DD1B58" w:rsidRDefault="00E0441C" w:rsidP="00140CD5">
      <w:pPr>
        <w:rPr>
          <w:lang w:val="en-US"/>
        </w:rPr>
      </w:pPr>
      <w:r w:rsidRPr="00DD1B58">
        <w:rPr>
          <w:lang w:val="en-US"/>
        </w:rPr>
        <w:t>Springfield</w:t>
      </w:r>
      <w:r w:rsidR="00140CD5" w:rsidRPr="00DD1B58">
        <w:rPr>
          <w:lang w:val="en-US"/>
        </w:rPr>
        <w:t xml:space="preserve">s </w:t>
      </w:r>
      <w:r w:rsidR="006D798B" w:rsidRPr="00DD1B58">
        <w:rPr>
          <w:lang w:val="en-US"/>
        </w:rPr>
        <w:t>reports that</w:t>
      </w:r>
      <w:r w:rsidR="00140CD5" w:rsidRPr="00DD1B58">
        <w:rPr>
          <w:lang w:val="en-US"/>
        </w:rPr>
        <w:t xml:space="preserve"> maintenance and testing are covered in </w:t>
      </w:r>
      <w:r w:rsidRPr="00DD1B58">
        <w:rPr>
          <w:lang w:val="en-US"/>
        </w:rPr>
        <w:t>site Procedure SSI 635 Fire alarm &amp; emergency lighting inspection &amp; testing procedure.</w:t>
      </w:r>
      <w:r w:rsidR="0009754E" w:rsidRPr="00DD1B58">
        <w:rPr>
          <w:lang w:val="en-US"/>
        </w:rPr>
        <w:t xml:space="preserve"> </w:t>
      </w:r>
      <w:r w:rsidR="00140CD5" w:rsidRPr="00DD1B58">
        <w:rPr>
          <w:lang w:val="en-US"/>
        </w:rPr>
        <w:t xml:space="preserve">The main considerations, reproduced below literally from the licensee’s self-assessment </w:t>
      </w:r>
      <w:sdt>
        <w:sdtPr>
          <w:rPr>
            <w:lang w:val="en-US"/>
          </w:rPr>
          <w:id w:val="1230897651"/>
          <w:citation/>
        </w:sdtPr>
        <w:sdtContent>
          <w:r w:rsidR="00140CD5" w:rsidRPr="00DD1B58">
            <w:rPr>
              <w:lang w:val="en-US"/>
            </w:rPr>
            <w:fldChar w:fldCharType="begin"/>
          </w:r>
          <w:r w:rsidR="00140CD5" w:rsidRPr="00DD1B58">
            <w:rPr>
              <w:lang w:val="en-US"/>
            </w:rPr>
            <w:instrText xml:space="preserve"> CITATION ENS \l 2057 </w:instrText>
          </w:r>
          <w:r w:rsidR="00140CD5" w:rsidRPr="00DD1B58">
            <w:rPr>
              <w:lang w:val="en-US"/>
            </w:rPr>
            <w:fldChar w:fldCharType="separate"/>
          </w:r>
          <w:r w:rsidR="00DF47DA" w:rsidRPr="00DF47DA">
            <w:rPr>
              <w:noProof/>
              <w:lang w:val="en-US"/>
            </w:rPr>
            <w:t>[9]</w:t>
          </w:r>
          <w:r w:rsidR="00140CD5" w:rsidRPr="00DD1B58">
            <w:rPr>
              <w:lang w:val="en-US"/>
            </w:rPr>
            <w:fldChar w:fldCharType="end"/>
          </w:r>
        </w:sdtContent>
      </w:sdt>
      <w:r w:rsidR="00140CD5" w:rsidRPr="00DD1B58">
        <w:rPr>
          <w:lang w:val="en-US"/>
        </w:rPr>
        <w:t xml:space="preserve"> are provided below:</w:t>
      </w:r>
    </w:p>
    <w:p w14:paraId="40410937" w14:textId="77777777" w:rsidR="00E0441C" w:rsidRPr="00DD1B58" w:rsidRDefault="00E0441C" w:rsidP="00E0441C">
      <w:pPr>
        <w:rPr>
          <w:b/>
          <w:bCs/>
          <w:i/>
          <w:iCs/>
          <w:lang w:val="en-US"/>
        </w:rPr>
      </w:pPr>
      <w:r w:rsidRPr="00DD1B58">
        <w:rPr>
          <w:b/>
          <w:bCs/>
          <w:i/>
          <w:iCs/>
          <w:lang w:val="en-US"/>
        </w:rPr>
        <w:t>Weekly Operational Test of a Fire Alarm System</w:t>
      </w:r>
    </w:p>
    <w:p w14:paraId="1A0B5362" w14:textId="77777777" w:rsidR="00E0441C" w:rsidRPr="00DD1B58" w:rsidRDefault="00E0441C" w:rsidP="00E0441C">
      <w:pPr>
        <w:rPr>
          <w:i/>
          <w:iCs/>
          <w:lang w:val="en-US"/>
        </w:rPr>
      </w:pPr>
      <w:r w:rsidRPr="00DD1B58">
        <w:rPr>
          <w:i/>
          <w:iCs/>
          <w:lang w:val="en-US"/>
        </w:rPr>
        <w:t>Every week, a building fire alarm system manual call point is operated, and it is confirmed that the control equipment:</w:t>
      </w:r>
    </w:p>
    <w:p w14:paraId="3F8A8642" w14:textId="77777777" w:rsidR="00E0441C" w:rsidRPr="00DD1B58" w:rsidRDefault="00E0441C" w:rsidP="00F4774A">
      <w:pPr>
        <w:pStyle w:val="Bulletlist1"/>
        <w:rPr>
          <w:i/>
          <w:iCs/>
          <w:lang w:val="en-US"/>
        </w:rPr>
      </w:pPr>
      <w:r w:rsidRPr="00DD1B58">
        <w:rPr>
          <w:i/>
          <w:iCs/>
          <w:lang w:val="en-US"/>
        </w:rPr>
        <w:t>Initiates a fire signal on the fire panel.</w:t>
      </w:r>
    </w:p>
    <w:p w14:paraId="404D5989" w14:textId="77777777" w:rsidR="00E0441C" w:rsidRPr="00DD1B58" w:rsidRDefault="00E0441C" w:rsidP="00F4774A">
      <w:pPr>
        <w:pStyle w:val="Bulletlist1"/>
        <w:rPr>
          <w:i/>
          <w:iCs/>
          <w:lang w:val="en-US"/>
        </w:rPr>
      </w:pPr>
      <w:r w:rsidRPr="00DD1B58">
        <w:rPr>
          <w:i/>
          <w:iCs/>
          <w:lang w:val="en-US"/>
        </w:rPr>
        <w:t>Activates the fire alarm sounders.</w:t>
      </w:r>
    </w:p>
    <w:p w14:paraId="7270A226" w14:textId="77777777" w:rsidR="00E0441C" w:rsidRPr="00DD1B58" w:rsidRDefault="00E0441C" w:rsidP="00F4774A">
      <w:pPr>
        <w:pStyle w:val="Bulletlist1"/>
        <w:rPr>
          <w:i/>
          <w:iCs/>
          <w:lang w:val="en-US"/>
        </w:rPr>
      </w:pPr>
      <w:r w:rsidRPr="00DD1B58">
        <w:rPr>
          <w:i/>
          <w:iCs/>
          <w:lang w:val="en-US"/>
        </w:rPr>
        <w:t>Transmits a fire alarm signal to the Emergency Control Centre (ECC).</w:t>
      </w:r>
    </w:p>
    <w:p w14:paraId="660993A6" w14:textId="77777777" w:rsidR="00E0441C" w:rsidRPr="00DD1B58" w:rsidRDefault="00E0441C" w:rsidP="00E0441C">
      <w:pPr>
        <w:rPr>
          <w:b/>
          <w:bCs/>
          <w:i/>
          <w:iCs/>
          <w:lang w:val="en-US"/>
        </w:rPr>
      </w:pPr>
      <w:r w:rsidRPr="00DD1B58">
        <w:rPr>
          <w:b/>
          <w:bCs/>
          <w:i/>
          <w:iCs/>
          <w:lang w:val="en-US"/>
        </w:rPr>
        <w:t>Monthly Inspection of Fire Alarm System Vented Batteries</w:t>
      </w:r>
    </w:p>
    <w:p w14:paraId="18722D49" w14:textId="77777777" w:rsidR="00E0441C" w:rsidRPr="00DD1B58" w:rsidRDefault="00E0441C" w:rsidP="00E0441C">
      <w:pPr>
        <w:rPr>
          <w:i/>
          <w:iCs/>
          <w:lang w:val="en-US"/>
        </w:rPr>
      </w:pPr>
      <w:r w:rsidRPr="00DD1B58">
        <w:rPr>
          <w:i/>
          <w:iCs/>
          <w:lang w:val="en-US"/>
        </w:rPr>
        <w:t>Every month, the batteries and charger system are inspected and tested to ensure that:</w:t>
      </w:r>
    </w:p>
    <w:p w14:paraId="6F400529" w14:textId="77777777" w:rsidR="00E0441C" w:rsidRPr="00DD1B58" w:rsidRDefault="00E0441C" w:rsidP="00F4774A">
      <w:pPr>
        <w:pStyle w:val="Bulletlist1"/>
        <w:rPr>
          <w:i/>
          <w:iCs/>
          <w:lang w:val="en-US"/>
        </w:rPr>
      </w:pPr>
      <w:r w:rsidRPr="00DD1B58">
        <w:rPr>
          <w:i/>
          <w:iCs/>
          <w:lang w:val="en-US"/>
        </w:rPr>
        <w:t>All batteries are clean, with no sign of leaks.</w:t>
      </w:r>
    </w:p>
    <w:p w14:paraId="0612E637" w14:textId="77777777" w:rsidR="00E0441C" w:rsidRPr="00DD1B58" w:rsidRDefault="00E0441C" w:rsidP="00F4774A">
      <w:pPr>
        <w:pStyle w:val="Bulletlist1"/>
        <w:rPr>
          <w:i/>
          <w:iCs/>
          <w:lang w:val="en-US"/>
        </w:rPr>
      </w:pPr>
      <w:r w:rsidRPr="00DD1B58">
        <w:rPr>
          <w:i/>
          <w:iCs/>
          <w:lang w:val="en-US"/>
        </w:rPr>
        <w:t>All battery levels are correct.</w:t>
      </w:r>
    </w:p>
    <w:p w14:paraId="1E168A40" w14:textId="77777777" w:rsidR="00E0441C" w:rsidRPr="00DD1B58" w:rsidRDefault="00E0441C" w:rsidP="00F4774A">
      <w:pPr>
        <w:pStyle w:val="Bulletlist1"/>
        <w:rPr>
          <w:i/>
          <w:iCs/>
          <w:lang w:val="en-US"/>
        </w:rPr>
      </w:pPr>
      <w:r w:rsidRPr="00DD1B58">
        <w:rPr>
          <w:i/>
          <w:iCs/>
          <w:lang w:val="en-US"/>
        </w:rPr>
        <w:t>Battery chargers are operating and charging parameters set correctly.</w:t>
      </w:r>
    </w:p>
    <w:p w14:paraId="61C26A8D" w14:textId="77777777" w:rsidR="00A547FC" w:rsidRPr="00DD1B58" w:rsidRDefault="00A547FC" w:rsidP="00A547FC">
      <w:pPr>
        <w:rPr>
          <w:b/>
          <w:bCs/>
          <w:i/>
          <w:iCs/>
          <w:lang w:val="en-US"/>
        </w:rPr>
      </w:pPr>
      <w:r w:rsidRPr="00DD1B58">
        <w:rPr>
          <w:b/>
          <w:bCs/>
          <w:i/>
          <w:iCs/>
          <w:lang w:val="en-US"/>
        </w:rPr>
        <w:t>On completion of each of the periodic testing regimes the following actions are required to be undertaken:</w:t>
      </w:r>
    </w:p>
    <w:p w14:paraId="7A7E90FD" w14:textId="77777777" w:rsidR="00A547FC" w:rsidRPr="00DD1B58" w:rsidRDefault="00A547FC" w:rsidP="000C6E42">
      <w:pPr>
        <w:pStyle w:val="Bulletlist1"/>
        <w:rPr>
          <w:i/>
          <w:iCs/>
          <w:lang w:val="en-US"/>
        </w:rPr>
      </w:pPr>
      <w:r w:rsidRPr="00DD1B58">
        <w:rPr>
          <w:i/>
          <w:iCs/>
          <w:lang w:val="en-US"/>
        </w:rPr>
        <w:t>Report any outstanding isolations left on the fire panel to the Fire Nominated Person for the area.</w:t>
      </w:r>
    </w:p>
    <w:p w14:paraId="648D3E15" w14:textId="77777777" w:rsidR="00A547FC" w:rsidRPr="00DD1B58" w:rsidRDefault="00A547FC" w:rsidP="000C6E42">
      <w:pPr>
        <w:pStyle w:val="Bulletlist1"/>
        <w:rPr>
          <w:i/>
          <w:iCs/>
          <w:lang w:val="en-US"/>
        </w:rPr>
      </w:pPr>
      <w:r w:rsidRPr="00DD1B58">
        <w:rPr>
          <w:i/>
          <w:iCs/>
          <w:lang w:val="en-US"/>
        </w:rPr>
        <w:t>Record the weekly test and the identity of the manual call point in the Fire Alarm System Logbook (SSI 688D - Fire Safety Checklist).</w:t>
      </w:r>
    </w:p>
    <w:p w14:paraId="1993955B" w14:textId="77777777" w:rsidR="000C6E42" w:rsidRPr="00DD1B58" w:rsidRDefault="000C6E42" w:rsidP="000C6E42">
      <w:pPr>
        <w:pStyle w:val="Bulletlist1"/>
        <w:rPr>
          <w:i/>
          <w:iCs/>
          <w:lang w:val="en-US"/>
        </w:rPr>
      </w:pPr>
      <w:r w:rsidRPr="00DD1B58">
        <w:rPr>
          <w:i/>
          <w:iCs/>
          <w:lang w:val="en-US"/>
        </w:rPr>
        <w:t>Record any faults found in the Fire Alarm System Logbook (SSI 688E - Fire Safety Action Sheet).</w:t>
      </w:r>
    </w:p>
    <w:p w14:paraId="4DD582D9" w14:textId="77777777" w:rsidR="000C6E42" w:rsidRPr="00DD1B58" w:rsidRDefault="000C6E42" w:rsidP="000C6E42">
      <w:pPr>
        <w:pStyle w:val="Bulletlist1"/>
        <w:rPr>
          <w:i/>
          <w:iCs/>
          <w:lang w:val="en-US"/>
        </w:rPr>
      </w:pPr>
      <w:r w:rsidRPr="00DD1B58">
        <w:rPr>
          <w:i/>
          <w:iCs/>
          <w:lang w:val="en-US"/>
        </w:rPr>
        <w:t>Record the results of the check against the CMMS Work Order and raise any work requests that may be required if any parts were found to have failed the check.</w:t>
      </w:r>
    </w:p>
    <w:p w14:paraId="1309A0EB" w14:textId="6DA3BF61" w:rsidR="00854225" w:rsidRPr="00DD1B58" w:rsidRDefault="00134292" w:rsidP="000C6E42">
      <w:pPr>
        <w:rPr>
          <w:lang w:val="en-US"/>
        </w:rPr>
      </w:pPr>
      <w:r w:rsidRPr="00DD1B58">
        <w:rPr>
          <w:lang w:val="en-US"/>
        </w:rPr>
        <w:t>Springfields Fuels Ltd</w:t>
      </w:r>
      <w:r w:rsidR="00140CD5" w:rsidRPr="00DD1B58">
        <w:rPr>
          <w:lang w:val="en-US"/>
        </w:rPr>
        <w:t xml:space="preserve"> report</w:t>
      </w:r>
      <w:r w:rsidR="000A2014" w:rsidRPr="00DD1B58">
        <w:rPr>
          <w:lang w:val="en-US"/>
        </w:rPr>
        <w:t>s</w:t>
      </w:r>
      <w:r w:rsidR="00140CD5" w:rsidRPr="00DD1B58">
        <w:rPr>
          <w:lang w:val="en-US"/>
        </w:rPr>
        <w:t xml:space="preserve"> that o</w:t>
      </w:r>
      <w:r w:rsidR="000C6E42" w:rsidRPr="00DD1B58">
        <w:rPr>
          <w:lang w:val="en-US"/>
        </w:rPr>
        <w:t>nly personnel holding a minimum of Category ‘E’ electrical authorisation as defined by SSI 716 Authorisation (Electrical) or service organisation personnel approved by the Area Electrical Engineer may carry out intrusive work on Fire Alarm Systems</w:t>
      </w:r>
      <w:r w:rsidR="00854225" w:rsidRPr="00DD1B58">
        <w:rPr>
          <w:lang w:val="en-US"/>
        </w:rPr>
        <w:t xml:space="preserve">. </w:t>
      </w:r>
      <w:r w:rsidR="00140CD5" w:rsidRPr="00DD1B58">
        <w:rPr>
          <w:lang w:val="en-US"/>
        </w:rPr>
        <w:t>It also requires t</w:t>
      </w:r>
      <w:r w:rsidR="000C6E42" w:rsidRPr="00DD1B58">
        <w:rPr>
          <w:lang w:val="en-US"/>
        </w:rPr>
        <w:t xml:space="preserve">hird party organisations to be certificated to LPS 1014 </w:t>
      </w:r>
      <w:sdt>
        <w:sdtPr>
          <w:rPr>
            <w:lang w:val="en-US"/>
          </w:rPr>
          <w:id w:val="-1261596924"/>
          <w:citation/>
        </w:sdtPr>
        <w:sdtContent>
          <w:r w:rsidR="00E869C9" w:rsidRPr="00DD1B58">
            <w:rPr>
              <w:lang w:val="en-US"/>
            </w:rPr>
            <w:fldChar w:fldCharType="begin"/>
          </w:r>
          <w:r w:rsidR="00E869C9" w:rsidRPr="00DD1B58">
            <w:rPr>
              <w:lang w:val="en-US"/>
            </w:rPr>
            <w:instrText xml:space="preserve"> CITATION Los3 \l 2057 </w:instrText>
          </w:r>
          <w:r w:rsidR="00E869C9" w:rsidRPr="00DD1B58">
            <w:rPr>
              <w:lang w:val="en-US"/>
            </w:rPr>
            <w:fldChar w:fldCharType="separate"/>
          </w:r>
          <w:r w:rsidR="00DF47DA" w:rsidRPr="00DF47DA">
            <w:rPr>
              <w:noProof/>
              <w:lang w:val="en-US"/>
            </w:rPr>
            <w:t>[186]</w:t>
          </w:r>
          <w:r w:rsidR="00E869C9" w:rsidRPr="00DD1B58">
            <w:rPr>
              <w:lang w:val="en-US"/>
            </w:rPr>
            <w:fldChar w:fldCharType="end"/>
          </w:r>
        </w:sdtContent>
      </w:sdt>
      <w:r w:rsidR="000C6E42" w:rsidRPr="00DD1B58">
        <w:rPr>
          <w:lang w:val="en-US"/>
        </w:rPr>
        <w:t xml:space="preserve"> or BAFE SP203-1 </w:t>
      </w:r>
      <w:sdt>
        <w:sdtPr>
          <w:rPr>
            <w:lang w:val="en-US"/>
          </w:rPr>
          <w:id w:val="-30346041"/>
          <w:citation/>
        </w:sdtPr>
        <w:sdtContent>
          <w:r w:rsidR="0000632A" w:rsidRPr="00DD1B58">
            <w:rPr>
              <w:lang w:val="en-US"/>
            </w:rPr>
            <w:fldChar w:fldCharType="begin"/>
          </w:r>
          <w:r w:rsidR="0000632A" w:rsidRPr="00DD1B58">
            <w:rPr>
              <w:lang w:val="en-US"/>
            </w:rPr>
            <w:instrText xml:space="preserve"> CITATION BAF \l 2057 </w:instrText>
          </w:r>
          <w:r w:rsidR="0000632A" w:rsidRPr="00DD1B58">
            <w:rPr>
              <w:lang w:val="en-US"/>
            </w:rPr>
            <w:fldChar w:fldCharType="separate"/>
          </w:r>
          <w:r w:rsidR="00DF47DA" w:rsidRPr="00DF47DA">
            <w:rPr>
              <w:noProof/>
              <w:lang w:val="en-US"/>
            </w:rPr>
            <w:t>[187]</w:t>
          </w:r>
          <w:r w:rsidR="0000632A" w:rsidRPr="00DD1B58">
            <w:rPr>
              <w:lang w:val="en-US"/>
            </w:rPr>
            <w:fldChar w:fldCharType="end"/>
          </w:r>
        </w:sdtContent>
      </w:sdt>
      <w:r w:rsidR="000C6E42" w:rsidRPr="00DD1B58">
        <w:rPr>
          <w:lang w:val="en-US"/>
        </w:rPr>
        <w:t xml:space="preserve"> approved and fully compliant with the standards quoted in the references contained in SSI 635.</w:t>
      </w:r>
    </w:p>
    <w:p w14:paraId="736F01ED" w14:textId="4666C20B" w:rsidR="0014740D" w:rsidRPr="00DD1B58" w:rsidRDefault="0014740D" w:rsidP="000C6E42">
      <w:pPr>
        <w:rPr>
          <w:lang w:val="en-US"/>
        </w:rPr>
      </w:pPr>
      <w:r w:rsidRPr="00DD1B58">
        <w:rPr>
          <w:lang w:val="en-US"/>
        </w:rPr>
        <w:t>Further details of required</w:t>
      </w:r>
      <w:r w:rsidR="00DD09CD" w:rsidRPr="00DD1B58">
        <w:rPr>
          <w:lang w:val="en-US"/>
        </w:rPr>
        <w:t xml:space="preserve"> actions associated with</w:t>
      </w:r>
      <w:r w:rsidRPr="00DD1B58">
        <w:rPr>
          <w:lang w:val="en-US"/>
        </w:rPr>
        <w:t xml:space="preserve"> thre</w:t>
      </w:r>
      <w:r w:rsidR="00140CD5" w:rsidRPr="00DD1B58">
        <w:rPr>
          <w:lang w:val="en-US"/>
        </w:rPr>
        <w:t>e-</w:t>
      </w:r>
      <w:r w:rsidRPr="00DD1B58">
        <w:rPr>
          <w:lang w:val="en-US"/>
        </w:rPr>
        <w:t>monthly, six</w:t>
      </w:r>
      <w:r w:rsidR="00140CD5" w:rsidRPr="00DD1B58">
        <w:rPr>
          <w:lang w:val="en-US"/>
        </w:rPr>
        <w:t>-</w:t>
      </w:r>
      <w:r w:rsidRPr="00DD1B58">
        <w:rPr>
          <w:lang w:val="en-US"/>
        </w:rPr>
        <w:t xml:space="preserve">monthly and annual inspections of the fire alarm systems are provided in the Springfields </w:t>
      </w:r>
      <w:r w:rsidR="00140CD5" w:rsidRPr="00DD1B58">
        <w:rPr>
          <w:lang w:val="en-US"/>
        </w:rPr>
        <w:t>self-assessment report</w:t>
      </w:r>
      <w:r w:rsidRPr="00DD1B58">
        <w:rPr>
          <w:lang w:val="en-US"/>
        </w:rPr>
        <w:t xml:space="preserve"> </w:t>
      </w:r>
      <w:sdt>
        <w:sdtPr>
          <w:rPr>
            <w:lang w:val="en-US"/>
          </w:rPr>
          <w:id w:val="-1071736022"/>
          <w:citation/>
        </w:sdtPr>
        <w:sdtContent>
          <w:r w:rsidR="00ED7AD7" w:rsidRPr="00DD1B58">
            <w:rPr>
              <w:lang w:val="en-US"/>
            </w:rPr>
            <w:fldChar w:fldCharType="begin"/>
          </w:r>
          <w:r w:rsidR="00ED7AD7" w:rsidRPr="00DD1B58">
            <w:rPr>
              <w:lang w:val="en-US"/>
            </w:rPr>
            <w:instrText xml:space="preserve"> CITATION ENS \l 2057 </w:instrText>
          </w:r>
          <w:r w:rsidR="00ED7AD7" w:rsidRPr="00DD1B58">
            <w:rPr>
              <w:lang w:val="en-US"/>
            </w:rPr>
            <w:fldChar w:fldCharType="separate"/>
          </w:r>
          <w:r w:rsidR="00DF47DA" w:rsidRPr="00DF47DA">
            <w:rPr>
              <w:noProof/>
              <w:lang w:val="en-US"/>
            </w:rPr>
            <w:t>[9]</w:t>
          </w:r>
          <w:r w:rsidR="00ED7AD7" w:rsidRPr="00DD1B58">
            <w:rPr>
              <w:lang w:val="en-US"/>
            </w:rPr>
            <w:fldChar w:fldCharType="end"/>
          </w:r>
        </w:sdtContent>
      </w:sdt>
      <w:r w:rsidRPr="00DD1B58">
        <w:rPr>
          <w:lang w:val="en-US"/>
        </w:rPr>
        <w:t>.</w:t>
      </w:r>
    </w:p>
    <w:p w14:paraId="04A9E7E6" w14:textId="77777777" w:rsidR="00B26762" w:rsidRPr="00DD1B58" w:rsidRDefault="00B26762" w:rsidP="00177432">
      <w:pPr>
        <w:pStyle w:val="Heading5A"/>
        <w:rPr>
          <w:lang w:val="en-US"/>
        </w:rPr>
      </w:pPr>
      <w:r w:rsidRPr="00DD1B58">
        <w:rPr>
          <w:lang w:val="en-US"/>
        </w:rPr>
        <w:t xml:space="preserve">Fire suppression provisions </w:t>
      </w:r>
    </w:p>
    <w:p w14:paraId="05320D58" w14:textId="77777777" w:rsidR="00B26762" w:rsidRPr="00DD1B58" w:rsidRDefault="00B26762" w:rsidP="00177432">
      <w:pPr>
        <w:pStyle w:val="Heading5A"/>
        <w:numPr>
          <w:ilvl w:val="5"/>
          <w:numId w:val="7"/>
        </w:numPr>
        <w:rPr>
          <w:lang w:val="en-US"/>
        </w:rPr>
      </w:pPr>
      <w:r w:rsidRPr="00DD1B58">
        <w:rPr>
          <w:lang w:val="en-US"/>
        </w:rPr>
        <w:t>Design Approach</w:t>
      </w:r>
    </w:p>
    <w:p w14:paraId="6C369194" w14:textId="35A31DA0" w:rsidR="00462271" w:rsidRPr="00DD1B58" w:rsidRDefault="00134292" w:rsidP="00462271">
      <w:pPr>
        <w:rPr>
          <w:lang w:val="en-US"/>
        </w:rPr>
      </w:pPr>
      <w:r w:rsidRPr="00DD1B58">
        <w:rPr>
          <w:lang w:val="en-US"/>
        </w:rPr>
        <w:t>Springfields Fuels Ltd</w:t>
      </w:r>
      <w:r w:rsidR="00140CD5" w:rsidRPr="00DD1B58">
        <w:rPr>
          <w:lang w:val="en-US"/>
        </w:rPr>
        <w:t xml:space="preserve"> </w:t>
      </w:r>
      <w:r w:rsidR="006D798B" w:rsidRPr="00DD1B58">
        <w:rPr>
          <w:lang w:val="en-US"/>
        </w:rPr>
        <w:t>reports that</w:t>
      </w:r>
      <w:r w:rsidR="00A62884" w:rsidRPr="00DD1B58">
        <w:rPr>
          <w:lang w:val="en-US"/>
        </w:rPr>
        <w:t xml:space="preserve"> it uses</w:t>
      </w:r>
      <w:r w:rsidR="00140CD5" w:rsidRPr="00DD1B58">
        <w:rPr>
          <w:lang w:val="en-US"/>
        </w:rPr>
        <w:t xml:space="preserve"> s</w:t>
      </w:r>
      <w:r w:rsidR="00462271" w:rsidRPr="00DD1B58">
        <w:rPr>
          <w:lang w:val="en-US"/>
        </w:rPr>
        <w:t xml:space="preserve">uppression systems when </w:t>
      </w:r>
      <w:r w:rsidR="00140CD5" w:rsidRPr="00DD1B58">
        <w:rPr>
          <w:lang w:val="en-US"/>
        </w:rPr>
        <w:t xml:space="preserve">it identifies a need </w:t>
      </w:r>
      <w:r w:rsidR="00462271" w:rsidRPr="00DD1B58">
        <w:rPr>
          <w:lang w:val="en-US"/>
        </w:rPr>
        <w:t xml:space="preserve">to protect nuclear safety or business continuity </w:t>
      </w:r>
      <w:r w:rsidR="00140CD5" w:rsidRPr="00DD1B58">
        <w:rPr>
          <w:lang w:val="en-US"/>
        </w:rPr>
        <w:t>and is</w:t>
      </w:r>
      <w:r w:rsidR="00462271" w:rsidRPr="00DD1B58">
        <w:rPr>
          <w:lang w:val="en-US"/>
        </w:rPr>
        <w:t xml:space="preserve"> not practicable to provide mitigation by other means e.g., use of non-combustible materials, passive fire protection and/or fire compartmentation.</w:t>
      </w:r>
    </w:p>
    <w:p w14:paraId="047BC5D8" w14:textId="77777777" w:rsidR="00B26762" w:rsidRPr="00DD1B58" w:rsidRDefault="00B26762" w:rsidP="00177432">
      <w:pPr>
        <w:pStyle w:val="Heading5A"/>
        <w:numPr>
          <w:ilvl w:val="5"/>
          <w:numId w:val="7"/>
        </w:numPr>
        <w:rPr>
          <w:lang w:val="en-US"/>
        </w:rPr>
      </w:pPr>
      <w:r w:rsidRPr="00DD1B58">
        <w:rPr>
          <w:lang w:val="en-US"/>
        </w:rPr>
        <w:t>Types, main characteristics and performance expectations</w:t>
      </w:r>
    </w:p>
    <w:p w14:paraId="1B619250" w14:textId="4DB453D2" w:rsidR="00483435" w:rsidRPr="00DD1B58" w:rsidRDefault="00134292" w:rsidP="00DD3C6A">
      <w:pPr>
        <w:rPr>
          <w:lang w:val="en-US"/>
        </w:rPr>
      </w:pPr>
      <w:bookmarkStart w:id="119" w:name="_Hlk144041664"/>
      <w:r w:rsidRPr="00DD1B58">
        <w:rPr>
          <w:lang w:val="en-US"/>
        </w:rPr>
        <w:t>Springfields Fuels Ltd</w:t>
      </w:r>
      <w:r w:rsidR="00A62884" w:rsidRPr="00DD1B58">
        <w:rPr>
          <w:lang w:val="en-US"/>
        </w:rPr>
        <w:t xml:space="preserve"> report</w:t>
      </w:r>
      <w:r w:rsidR="00D01D8E" w:rsidRPr="00DD1B58">
        <w:rPr>
          <w:lang w:val="en-US"/>
        </w:rPr>
        <w:t>s</w:t>
      </w:r>
      <w:r w:rsidR="00A62884" w:rsidRPr="00DD1B58">
        <w:rPr>
          <w:lang w:val="en-US"/>
        </w:rPr>
        <w:t xml:space="preserve"> the</w:t>
      </w:r>
      <w:r w:rsidR="00483435" w:rsidRPr="00DD1B58">
        <w:rPr>
          <w:lang w:val="en-US"/>
        </w:rPr>
        <w:t xml:space="preserve"> following types and characteristics of fire suppression provisions at the site</w:t>
      </w:r>
      <w:r w:rsidR="00B74154" w:rsidRPr="00DD1B58">
        <w:rPr>
          <w:lang w:val="en-US"/>
        </w:rPr>
        <w:t xml:space="preserve"> (reproduced literally from the licensee’s self-assessment)</w:t>
      </w:r>
      <w:r w:rsidR="00483435" w:rsidRPr="00DD1B58">
        <w:rPr>
          <w:lang w:val="en-US"/>
        </w:rPr>
        <w:t>:</w:t>
      </w:r>
    </w:p>
    <w:bookmarkEnd w:id="119"/>
    <w:p w14:paraId="0936CC4D" w14:textId="68AA1F45" w:rsidR="00DD3C6A" w:rsidRPr="00DD1B58" w:rsidRDefault="00483435" w:rsidP="00973FF4">
      <w:pPr>
        <w:pStyle w:val="Bulletlist1"/>
        <w:rPr>
          <w:lang w:val="en-US"/>
        </w:rPr>
      </w:pPr>
      <w:r w:rsidRPr="00DD1B58">
        <w:rPr>
          <w:lang w:val="en-US"/>
        </w:rPr>
        <w:t>The o</w:t>
      </w:r>
      <w:r w:rsidR="00DD3C6A" w:rsidRPr="00DD1B58">
        <w:rPr>
          <w:lang w:val="en-US"/>
        </w:rPr>
        <w:t>nly fire suppression system in a radiologically controlled area currently operational is the foam water spray system in the uranium reprocessing plant (EURRP).</w:t>
      </w:r>
    </w:p>
    <w:p w14:paraId="16485328" w14:textId="170E0863" w:rsidR="00DD3C6A" w:rsidRPr="00DD1B58" w:rsidRDefault="00DD3C6A" w:rsidP="00973FF4">
      <w:pPr>
        <w:pStyle w:val="Bulletlist1"/>
        <w:rPr>
          <w:lang w:val="en-US"/>
        </w:rPr>
      </w:pPr>
      <w:r w:rsidRPr="00DD1B58">
        <w:rPr>
          <w:lang w:val="en-US"/>
        </w:rPr>
        <w:t xml:space="preserve">‘Firetrace’ systems using a suitable agent e.g., dry powder may be used from time to time in fume cupboards or gloveboxes as temporary provisions for specific tasks. Once the task is complete the systems are removed. </w:t>
      </w:r>
      <w:r w:rsidR="0095049E" w:rsidRPr="00DD1B58">
        <w:rPr>
          <w:lang w:val="en-US"/>
        </w:rPr>
        <w:t xml:space="preserve">Springfields </w:t>
      </w:r>
      <w:r w:rsidR="006D798B" w:rsidRPr="00DD1B58">
        <w:rPr>
          <w:lang w:val="en-US"/>
        </w:rPr>
        <w:t>states that</w:t>
      </w:r>
      <w:r w:rsidR="0095049E" w:rsidRPr="00DD1B58">
        <w:rPr>
          <w:lang w:val="en-US"/>
        </w:rPr>
        <w:t xml:space="preserve"> m</w:t>
      </w:r>
      <w:r w:rsidRPr="00DD1B58">
        <w:rPr>
          <w:lang w:val="en-US"/>
        </w:rPr>
        <w:t xml:space="preserve">ost such tasks </w:t>
      </w:r>
      <w:r w:rsidR="005762D9" w:rsidRPr="00DD1B58">
        <w:rPr>
          <w:lang w:val="en-US"/>
        </w:rPr>
        <w:t>e.g.,</w:t>
      </w:r>
      <w:r w:rsidRPr="00DD1B58">
        <w:rPr>
          <w:lang w:val="en-US"/>
        </w:rPr>
        <w:t xml:space="preserve"> processing small numbers of legacy fuel pellets are undertaken by the National Nuclear Laboratory (NNL) who are tenants on the Springfield site.</w:t>
      </w:r>
    </w:p>
    <w:p w14:paraId="6FAAED4F" w14:textId="4D39A58B" w:rsidR="00DD3C6A" w:rsidRPr="00DD1B58" w:rsidRDefault="00DD3C6A" w:rsidP="00973FF4">
      <w:pPr>
        <w:pStyle w:val="Bulletlist1"/>
        <w:rPr>
          <w:lang w:val="en-US"/>
        </w:rPr>
      </w:pPr>
      <w:r w:rsidRPr="00DD1B58">
        <w:rPr>
          <w:lang w:val="en-US"/>
        </w:rPr>
        <w:t>There are no fire suppression systems on the Springfield site that are nuclear safety classified.</w:t>
      </w:r>
      <w:r w:rsidR="00420C7B" w:rsidRPr="00DD1B58">
        <w:rPr>
          <w:lang w:val="en-US"/>
        </w:rPr>
        <w:t xml:space="preserve"> </w:t>
      </w:r>
      <w:r w:rsidR="0095049E" w:rsidRPr="00DD1B58">
        <w:rPr>
          <w:lang w:val="en-US"/>
        </w:rPr>
        <w:t xml:space="preserve">The </w:t>
      </w:r>
      <w:r w:rsidRPr="00DD1B58">
        <w:rPr>
          <w:lang w:val="en-US"/>
        </w:rPr>
        <w:t>carbon dioxide fire suppression systems used in the CHP plant for turbine enclosure protection are designed and installed in accordance with BS 5306-4:2001- Specification for carbon dioxide systems.</w:t>
      </w:r>
    </w:p>
    <w:p w14:paraId="0B5EF05B" w14:textId="77777777" w:rsidR="00DD3C6A" w:rsidRPr="00DD1B58" w:rsidRDefault="00DD3C6A" w:rsidP="00973FF4">
      <w:pPr>
        <w:pStyle w:val="Bulletlist1"/>
        <w:rPr>
          <w:lang w:val="en-US"/>
        </w:rPr>
      </w:pPr>
      <w:r w:rsidRPr="00DD1B58">
        <w:rPr>
          <w:lang w:val="en-US"/>
        </w:rPr>
        <w:t>Any system required in the future will be designed in accordance with the appropriate British Standard or NFPA standard. There are no Springfields site specific design guides for fire suppression systems. Designs will be reviewed by the Springfields site Fire Safety Manager/Fire Engineer.</w:t>
      </w:r>
    </w:p>
    <w:p w14:paraId="543781E3" w14:textId="3EE02650" w:rsidR="00BD6B74" w:rsidRPr="00DD1B58" w:rsidRDefault="00DD3C6A" w:rsidP="00973FF4">
      <w:pPr>
        <w:pStyle w:val="Bulletlist1"/>
        <w:rPr>
          <w:lang w:val="en-US"/>
        </w:rPr>
      </w:pPr>
      <w:r w:rsidRPr="00DD1B58">
        <w:rPr>
          <w:lang w:val="en-US"/>
        </w:rPr>
        <w:t>There are no automatic fixed water based automatic fire suppression systems on site.</w:t>
      </w:r>
      <w:r w:rsidR="00420C7B" w:rsidRPr="00DD1B58">
        <w:rPr>
          <w:lang w:val="en-US"/>
        </w:rPr>
        <w:t xml:space="preserve"> </w:t>
      </w:r>
      <w:r w:rsidRPr="00DD1B58">
        <w:rPr>
          <w:lang w:val="en-US"/>
        </w:rPr>
        <w:t>In general, sufficient hydrant outlets are provided for each building and vehicular access for fire service vehicles in accordance with the requirements of guidance given in the Approved Document B Fire Safety (Volume 2) to the England Building Regulations</w:t>
      </w:r>
      <w:r w:rsidR="001950A9" w:rsidRPr="00DD1B58">
        <w:rPr>
          <w:lang w:val="en-US"/>
        </w:rPr>
        <w:t xml:space="preserve"> </w:t>
      </w:r>
      <w:sdt>
        <w:sdtPr>
          <w:rPr>
            <w:lang w:val="en-US"/>
          </w:rPr>
          <w:id w:val="-325435774"/>
          <w:citation/>
        </w:sdtPr>
        <w:sdtContent>
          <w:r w:rsidR="00A32F59" w:rsidRPr="00DD1B58">
            <w:rPr>
              <w:lang w:val="en-US"/>
            </w:rPr>
            <w:fldChar w:fldCharType="begin"/>
          </w:r>
          <w:r w:rsidR="005B050F" w:rsidRPr="00DD1B58">
            <w:rPr>
              <w:lang w:val="en-US"/>
            </w:rPr>
            <w:instrText xml:space="preserve">CITATION HMG22 \l 2057 </w:instrText>
          </w:r>
          <w:r w:rsidR="00A32F59" w:rsidRPr="00DD1B58">
            <w:rPr>
              <w:lang w:val="en-US"/>
            </w:rPr>
            <w:fldChar w:fldCharType="separate"/>
          </w:r>
          <w:r w:rsidR="00DF47DA" w:rsidRPr="00DF47DA">
            <w:rPr>
              <w:lang w:val="en-US"/>
            </w:rPr>
            <w:t>[84]</w:t>
          </w:r>
          <w:r w:rsidR="00A32F59" w:rsidRPr="00DD1B58">
            <w:rPr>
              <w:lang w:val="en-US"/>
            </w:rPr>
            <w:fldChar w:fldCharType="end"/>
          </w:r>
        </w:sdtContent>
      </w:sdt>
      <w:r w:rsidRPr="00DD1B58">
        <w:rPr>
          <w:lang w:val="en-US"/>
        </w:rPr>
        <w:t>.</w:t>
      </w:r>
      <w:r w:rsidR="00420C7B" w:rsidRPr="00DD1B58">
        <w:rPr>
          <w:lang w:val="en-US"/>
        </w:rPr>
        <w:t xml:space="preserve"> </w:t>
      </w:r>
      <w:r w:rsidRPr="00DD1B58">
        <w:rPr>
          <w:lang w:val="en-US"/>
        </w:rPr>
        <w:t>There is one fixed firefighting foam system provided in the areas of the S.E.P in EURRP where TBP/Exssol and 60% nitric acid is used as part of the process. The system is used by the site fire service who have the ability to</w:t>
      </w:r>
      <w:r w:rsidR="00BD6B74" w:rsidRPr="00DD1B58">
        <w:rPr>
          <w:lang w:val="en-US"/>
        </w:rPr>
        <w:t xml:space="preserve"> connect to the fire service inlet that serves the foam water spray. Foam concentrate is stored close to the inlet and an inductor is used to introduce foam concentrate into the foam system pipework. This pipework runs up to the protected areas of S.E.P where there are open nozzles that distribute foam water spray within the protected areas. The pipework is normally </w:t>
      </w:r>
      <w:r w:rsidR="00FB7596" w:rsidRPr="00DD1B58">
        <w:rPr>
          <w:lang w:val="en-US"/>
        </w:rPr>
        <w:t>dry,</w:t>
      </w:r>
      <w:r w:rsidR="00BD6B74" w:rsidRPr="00DD1B58">
        <w:rPr>
          <w:lang w:val="en-US"/>
        </w:rPr>
        <w:t xml:space="preserve"> and system is for manual use only by the site fire service. The system is maintained in accordance with BS EN 13565-2:2018 </w:t>
      </w:r>
      <w:sdt>
        <w:sdtPr>
          <w:rPr>
            <w:lang w:val="en-US"/>
          </w:rPr>
          <w:id w:val="-409088270"/>
          <w:citation/>
        </w:sdtPr>
        <w:sdtContent>
          <w:r w:rsidR="005C6B71" w:rsidRPr="00DD1B58">
            <w:rPr>
              <w:lang w:val="en-US"/>
            </w:rPr>
            <w:fldChar w:fldCharType="begin"/>
          </w:r>
          <w:r w:rsidR="005C6B71" w:rsidRPr="00DD1B58">
            <w:rPr>
              <w:lang w:val="en-US"/>
            </w:rPr>
            <w:instrText xml:space="preserve"> CITATION Bri4 \l 2057 </w:instrText>
          </w:r>
          <w:r w:rsidR="005C6B71" w:rsidRPr="00DD1B58">
            <w:rPr>
              <w:lang w:val="en-US"/>
            </w:rPr>
            <w:fldChar w:fldCharType="separate"/>
          </w:r>
          <w:r w:rsidR="00DF47DA" w:rsidRPr="00DF47DA">
            <w:rPr>
              <w:lang w:val="en-US"/>
            </w:rPr>
            <w:t>[188]</w:t>
          </w:r>
          <w:r w:rsidR="005C6B71" w:rsidRPr="00DD1B58">
            <w:rPr>
              <w:lang w:val="en-US"/>
            </w:rPr>
            <w:fldChar w:fldCharType="end"/>
          </w:r>
        </w:sdtContent>
      </w:sdt>
      <w:r w:rsidR="00BD6B74" w:rsidRPr="00DD1B58">
        <w:rPr>
          <w:lang w:val="en-US"/>
        </w:rPr>
        <w:t xml:space="preserve">. </w:t>
      </w:r>
    </w:p>
    <w:p w14:paraId="707ECF75" w14:textId="77777777" w:rsidR="00BD6B74" w:rsidRPr="00DD1B58" w:rsidRDefault="00BD6B74" w:rsidP="00973FF4">
      <w:pPr>
        <w:pStyle w:val="Bulletlist1"/>
        <w:rPr>
          <w:lang w:val="en-US"/>
        </w:rPr>
      </w:pPr>
      <w:r w:rsidRPr="00DD1B58">
        <w:rPr>
          <w:lang w:val="en-US"/>
        </w:rPr>
        <w:t xml:space="preserve">Hose reels for manual firefighting have been removed from the Springfields site due to the risk of legionella and hazards associated with untrained personnel having access to an unlimited water supply for firefighting. </w:t>
      </w:r>
    </w:p>
    <w:p w14:paraId="4BE9AE38" w14:textId="24DADEB3" w:rsidR="00BD6B74" w:rsidRPr="00DD1B58" w:rsidRDefault="00BD6B74" w:rsidP="00973FF4">
      <w:pPr>
        <w:pStyle w:val="Bulletlist1"/>
        <w:rPr>
          <w:lang w:val="en-US"/>
        </w:rPr>
      </w:pPr>
      <w:r w:rsidRPr="00DD1B58">
        <w:rPr>
          <w:lang w:val="en-US"/>
        </w:rPr>
        <w:t xml:space="preserve">The site supply of borehole water is obtained from 4 pumps which are sunk into the ground at various depths within the site boundary. The pumps supply water into a ring main system maintained at 50-70 psig from which the CHPp, fire hydrants and various other buildings are supplied. CHPp &amp; Utilities are responsible for operation and maintenance of this system. </w:t>
      </w:r>
      <w:r w:rsidR="00E810D9" w:rsidRPr="00DD1B58">
        <w:rPr>
          <w:lang w:val="en-US"/>
        </w:rPr>
        <w:t xml:space="preserve">There is a low-pressure alarm, set at 40 psig, installed in the CHPp and an extra low-pressure alarm, set at 30 psig, is installed in the Emergency Control Centre. Further details on the </w:t>
      </w:r>
      <w:r w:rsidR="003B4ECC" w:rsidRPr="00DD1B58">
        <w:rPr>
          <w:lang w:val="en-US"/>
        </w:rPr>
        <w:t xml:space="preserve">site water ring main are provided in the Springfields submission to the NAR </w:t>
      </w:r>
      <w:sdt>
        <w:sdtPr>
          <w:rPr>
            <w:lang w:val="en-US"/>
          </w:rPr>
          <w:id w:val="-955099364"/>
          <w:citation/>
        </w:sdtPr>
        <w:sdtContent>
          <w:r w:rsidR="00A32F59" w:rsidRPr="00DD1B58">
            <w:rPr>
              <w:lang w:val="en-US"/>
            </w:rPr>
            <w:fldChar w:fldCharType="begin"/>
          </w:r>
          <w:r w:rsidR="00A32F59" w:rsidRPr="00DD1B58">
            <w:rPr>
              <w:lang w:val="en-US"/>
            </w:rPr>
            <w:instrText xml:space="preserve"> CITATION ENS \l 2057 </w:instrText>
          </w:r>
          <w:r w:rsidR="00A32F59" w:rsidRPr="00DD1B58">
            <w:rPr>
              <w:lang w:val="en-US"/>
            </w:rPr>
            <w:fldChar w:fldCharType="separate"/>
          </w:r>
          <w:r w:rsidR="00DF47DA" w:rsidRPr="00DF47DA">
            <w:rPr>
              <w:lang w:val="en-US"/>
            </w:rPr>
            <w:t>[9]</w:t>
          </w:r>
          <w:r w:rsidR="00A32F59" w:rsidRPr="00DD1B58">
            <w:rPr>
              <w:lang w:val="en-US"/>
            </w:rPr>
            <w:fldChar w:fldCharType="end"/>
          </w:r>
        </w:sdtContent>
      </w:sdt>
      <w:r w:rsidR="003B4ECC" w:rsidRPr="00DD1B58">
        <w:rPr>
          <w:lang w:val="en-US"/>
        </w:rPr>
        <w:t>.</w:t>
      </w:r>
    </w:p>
    <w:p w14:paraId="5ECD77C7" w14:textId="77777777" w:rsidR="00BD6B74" w:rsidRPr="00DD1B58" w:rsidRDefault="00BD6B74" w:rsidP="00973FF4">
      <w:pPr>
        <w:pStyle w:val="Bulletlist1"/>
        <w:rPr>
          <w:lang w:val="en-US"/>
        </w:rPr>
      </w:pPr>
      <w:r w:rsidRPr="00DD1B58">
        <w:rPr>
          <w:lang w:val="en-US"/>
        </w:rPr>
        <w:t xml:space="preserve">In some buildings such as the fuel manufacturing buildings there is a potential for a criticality hazard and as such water-based systems (manual or automatic) are not permitted. The use of hydrogenous extinguishers and limitation on their use is determined as part of the criticality safety assessment for the building where a criticality event is deemed credible. Extinguishers including 50kg wheeled extinguishers for fire service use using a non-hydrogenous dry powder extinguishing agent are used in buildings where a criticality event is deemed credible. </w:t>
      </w:r>
    </w:p>
    <w:p w14:paraId="0B78FA8B" w14:textId="77777777" w:rsidR="00D81E22" w:rsidRPr="00DD1B58" w:rsidRDefault="00BD6B74" w:rsidP="00973FF4">
      <w:pPr>
        <w:pStyle w:val="Bulletlist1"/>
        <w:rPr>
          <w:lang w:val="en-US"/>
        </w:rPr>
      </w:pPr>
      <w:r w:rsidRPr="00DD1B58">
        <w:rPr>
          <w:lang w:val="en-US"/>
        </w:rPr>
        <w:t>For buildings where a criticality event could not occur the process for determining if a manual or automatic system is appropriate in nuclear safety significant areas is based on a qualitative assessment of risk. As an example, fixed foam suppression was installed to cover a bulk tank of TBP/OK for a specific process which has now been completed and the foam system has been removed.</w:t>
      </w:r>
    </w:p>
    <w:p w14:paraId="3B305387" w14:textId="77777777" w:rsidR="006A712A" w:rsidRPr="00DD1B58" w:rsidRDefault="006A712A" w:rsidP="00BD6B74">
      <w:pPr>
        <w:rPr>
          <w:b/>
          <w:lang w:val="en-US"/>
        </w:rPr>
      </w:pPr>
      <w:r w:rsidRPr="00DD1B58">
        <w:rPr>
          <w:b/>
          <w:lang w:val="en-US"/>
        </w:rPr>
        <w:t>Firefighting Access and Facilities</w:t>
      </w:r>
    </w:p>
    <w:p w14:paraId="48014240" w14:textId="6A012706" w:rsidR="00DC5EF4" w:rsidRPr="00DD1B58" w:rsidRDefault="00134292" w:rsidP="00DC5EF4">
      <w:pPr>
        <w:rPr>
          <w:lang w:val="en-US"/>
        </w:rPr>
      </w:pPr>
      <w:r w:rsidRPr="00DD1B58">
        <w:rPr>
          <w:lang w:val="en-US"/>
        </w:rPr>
        <w:t>Springfields Fuels Ltd</w:t>
      </w:r>
      <w:r w:rsidR="00AF029C" w:rsidRPr="00DD1B58">
        <w:rPr>
          <w:lang w:val="en-US"/>
        </w:rPr>
        <w:t xml:space="preserve"> </w:t>
      </w:r>
      <w:r w:rsidR="006D798B" w:rsidRPr="00DD1B58">
        <w:rPr>
          <w:lang w:val="en-US"/>
        </w:rPr>
        <w:t>reports that</w:t>
      </w:r>
      <w:r w:rsidR="00AF029C" w:rsidRPr="00DD1B58">
        <w:rPr>
          <w:lang w:val="en-US"/>
        </w:rPr>
        <w:t xml:space="preserve"> each </w:t>
      </w:r>
      <w:r w:rsidR="00DC5EF4" w:rsidRPr="00DD1B58">
        <w:rPr>
          <w:lang w:val="en-US"/>
        </w:rPr>
        <w:t xml:space="preserve">multistorey building is provided with stairs for fire service access designated with 60 minutes fire resistance. Typically, </w:t>
      </w:r>
      <w:r w:rsidR="00AF029C" w:rsidRPr="00DD1B58">
        <w:rPr>
          <w:lang w:val="en-US"/>
        </w:rPr>
        <w:t xml:space="preserve">it does not provide </w:t>
      </w:r>
      <w:r w:rsidR="00DC5EF4" w:rsidRPr="00DD1B58">
        <w:rPr>
          <w:lang w:val="en-US"/>
        </w:rPr>
        <w:t>firefighting lifts and there is no pressurisation or ventilation of the stairs.</w:t>
      </w:r>
      <w:r w:rsidR="00226D40" w:rsidRPr="00DD1B58">
        <w:rPr>
          <w:lang w:val="en-US"/>
        </w:rPr>
        <w:t xml:space="preserve"> </w:t>
      </w:r>
      <w:r w:rsidR="00AF029C" w:rsidRPr="00DD1B58">
        <w:rPr>
          <w:lang w:val="en-US"/>
        </w:rPr>
        <w:t xml:space="preserve">Springfields </w:t>
      </w:r>
      <w:r w:rsidR="006D798B" w:rsidRPr="00DD1B58">
        <w:rPr>
          <w:lang w:val="en-US"/>
        </w:rPr>
        <w:t>states that</w:t>
      </w:r>
      <w:r w:rsidR="00AF029C" w:rsidRPr="00DD1B58">
        <w:rPr>
          <w:lang w:val="en-US"/>
        </w:rPr>
        <w:t xml:space="preserve"> </w:t>
      </w:r>
      <w:r w:rsidR="00DC5EF4" w:rsidRPr="00DD1B58">
        <w:rPr>
          <w:lang w:val="en-US"/>
        </w:rPr>
        <w:t xml:space="preserve">60 minutes fire resistance for firefighting stairs is typical for many buildings on the site (and other nuclear licensed sites) and </w:t>
      </w:r>
      <w:r w:rsidR="00AF029C" w:rsidRPr="00DD1B58">
        <w:rPr>
          <w:lang w:val="en-US"/>
        </w:rPr>
        <w:t xml:space="preserve">it </w:t>
      </w:r>
      <w:r w:rsidR="00DC5EF4" w:rsidRPr="00DD1B58">
        <w:rPr>
          <w:lang w:val="en-US"/>
        </w:rPr>
        <w:t>consider</w:t>
      </w:r>
      <w:r w:rsidR="00AF029C" w:rsidRPr="00DD1B58">
        <w:rPr>
          <w:lang w:val="en-US"/>
        </w:rPr>
        <w:t>s it</w:t>
      </w:r>
      <w:r w:rsidR="00DC5EF4" w:rsidRPr="00DD1B58">
        <w:rPr>
          <w:lang w:val="en-US"/>
        </w:rPr>
        <w:t xml:space="preserve"> acceptable given the presence of an onsite fire service and rapid attendance in the event of fire.</w:t>
      </w:r>
    </w:p>
    <w:p w14:paraId="735773C7" w14:textId="54F1429A" w:rsidR="00DC5EF4" w:rsidRPr="00DD1B58" w:rsidRDefault="00134292" w:rsidP="00DC5EF4">
      <w:pPr>
        <w:rPr>
          <w:lang w:val="en-US"/>
        </w:rPr>
      </w:pPr>
      <w:r w:rsidRPr="00DD1B58">
        <w:rPr>
          <w:lang w:val="en-US"/>
        </w:rPr>
        <w:t>Springfields Fuels Ltd</w:t>
      </w:r>
      <w:r w:rsidR="00AF029C" w:rsidRPr="00DD1B58">
        <w:rPr>
          <w:lang w:val="en-US"/>
        </w:rPr>
        <w:t xml:space="preserve"> does not provide d</w:t>
      </w:r>
      <w:r w:rsidR="00DC5EF4" w:rsidRPr="00DD1B58">
        <w:rPr>
          <w:lang w:val="en-US"/>
        </w:rPr>
        <w:t>ry risers in some buildings due to the potential for criticality and restrictions on the quantity of water that can be used. To mitigate this</w:t>
      </w:r>
      <w:r w:rsidR="00AF029C" w:rsidRPr="00DD1B58">
        <w:rPr>
          <w:lang w:val="en-US"/>
        </w:rPr>
        <w:t>, Springfields provides</w:t>
      </w:r>
      <w:r w:rsidR="00DC5EF4" w:rsidRPr="00DD1B58">
        <w:rPr>
          <w:lang w:val="en-US"/>
        </w:rPr>
        <w:t xml:space="preserve"> 50kg wheeled dry powder trolley units at locations around a plant close to the protected stairs for site fire service use only.</w:t>
      </w:r>
    </w:p>
    <w:p w14:paraId="7D019406" w14:textId="1E810858" w:rsidR="006A712A" w:rsidRPr="00DD1B58" w:rsidRDefault="00134292" w:rsidP="00DC5EF4">
      <w:pPr>
        <w:rPr>
          <w:lang w:val="en-US"/>
        </w:rPr>
      </w:pPr>
      <w:r w:rsidRPr="00DD1B58">
        <w:rPr>
          <w:lang w:val="en-US"/>
        </w:rPr>
        <w:t>Springfields Fuels Ltd</w:t>
      </w:r>
      <w:r w:rsidR="00AF029C" w:rsidRPr="00DD1B58">
        <w:rPr>
          <w:lang w:val="en-US"/>
        </w:rPr>
        <w:t xml:space="preserve"> </w:t>
      </w:r>
      <w:r w:rsidR="006D798B" w:rsidRPr="00DD1B58">
        <w:rPr>
          <w:lang w:val="en-US"/>
        </w:rPr>
        <w:t>states that</w:t>
      </w:r>
      <w:r w:rsidR="00AF029C" w:rsidRPr="00DD1B58">
        <w:rPr>
          <w:lang w:val="en-US"/>
        </w:rPr>
        <w:t xml:space="preserve"> a</w:t>
      </w:r>
      <w:r w:rsidR="00DC5EF4" w:rsidRPr="00DD1B58">
        <w:rPr>
          <w:lang w:val="en-US"/>
        </w:rPr>
        <w:t xml:space="preserve"> dry riser designed and installed in accordance with BS99</w:t>
      </w:r>
      <w:r w:rsidR="007E2A94" w:rsidRPr="00DD1B58">
        <w:rPr>
          <w:lang w:val="en-US"/>
        </w:rPr>
        <w:t>9</w:t>
      </w:r>
      <w:r w:rsidR="00DC5EF4" w:rsidRPr="00DD1B58">
        <w:rPr>
          <w:lang w:val="en-US"/>
        </w:rPr>
        <w:t xml:space="preserve">0:2015 </w:t>
      </w:r>
      <w:sdt>
        <w:sdtPr>
          <w:rPr>
            <w:lang w:val="en-US"/>
          </w:rPr>
          <w:id w:val="-2032412091"/>
          <w:citation/>
        </w:sdtPr>
        <w:sdtContent>
          <w:r w:rsidR="00AB1433" w:rsidRPr="00DD1B58">
            <w:rPr>
              <w:lang w:val="en-US"/>
            </w:rPr>
            <w:fldChar w:fldCharType="begin"/>
          </w:r>
          <w:r w:rsidR="00AB1433" w:rsidRPr="00DD1B58">
            <w:rPr>
              <w:lang w:val="en-US"/>
            </w:rPr>
            <w:instrText xml:space="preserve"> CITATION Bri5 \l 2057 </w:instrText>
          </w:r>
          <w:r w:rsidR="00AB1433" w:rsidRPr="00DD1B58">
            <w:rPr>
              <w:lang w:val="en-US"/>
            </w:rPr>
            <w:fldChar w:fldCharType="separate"/>
          </w:r>
          <w:r w:rsidR="00DF47DA" w:rsidRPr="00DF47DA">
            <w:rPr>
              <w:noProof/>
              <w:lang w:val="en-US"/>
            </w:rPr>
            <w:t>[189]</w:t>
          </w:r>
          <w:r w:rsidR="00AB1433" w:rsidRPr="00DD1B58">
            <w:rPr>
              <w:lang w:val="en-US"/>
            </w:rPr>
            <w:fldChar w:fldCharType="end"/>
          </w:r>
        </w:sdtContent>
      </w:sdt>
      <w:r w:rsidR="00DC5EF4" w:rsidRPr="00DD1B58">
        <w:rPr>
          <w:lang w:val="en-US"/>
        </w:rPr>
        <w:t xml:space="preserve"> is provided in a Uranium Hexafluoride manufacturing facility (currently not in production) as there is no criticality hazard in this building. This riser was installed as part of the last COSR review of the building to assist the site fire service running hoses to upper levels of the building.</w:t>
      </w:r>
    </w:p>
    <w:p w14:paraId="40989866" w14:textId="77777777" w:rsidR="00B26762" w:rsidRPr="00DD1B58" w:rsidRDefault="00B26762" w:rsidP="00177432">
      <w:pPr>
        <w:pStyle w:val="Heading5A"/>
        <w:numPr>
          <w:ilvl w:val="5"/>
          <w:numId w:val="7"/>
        </w:numPr>
        <w:rPr>
          <w:lang w:val="en-US"/>
        </w:rPr>
      </w:pPr>
      <w:r w:rsidRPr="00DD1B58">
        <w:rPr>
          <w:lang w:val="en-US"/>
        </w:rPr>
        <w:t xml:space="preserve">Management of harmful effects and consequential hazards </w:t>
      </w:r>
    </w:p>
    <w:p w14:paraId="391B6263" w14:textId="532609F1" w:rsidR="00E46429" w:rsidRPr="00DD1B58" w:rsidRDefault="00AF029C" w:rsidP="007A0895">
      <w:pPr>
        <w:rPr>
          <w:lang w:val="en-US"/>
        </w:rPr>
      </w:pPr>
      <w:r w:rsidRPr="00DD1B58">
        <w:rPr>
          <w:lang w:val="en-US"/>
        </w:rPr>
        <w:t>Springfields does not consider c</w:t>
      </w:r>
      <w:r w:rsidR="007A0895" w:rsidRPr="00DD1B58">
        <w:rPr>
          <w:lang w:val="en-US"/>
        </w:rPr>
        <w:t>ombined hazards such as fire + flooding or fire post seismic event</w:t>
      </w:r>
      <w:r w:rsidR="00317D78" w:rsidRPr="00DD1B58">
        <w:rPr>
          <w:lang w:val="en-US"/>
        </w:rPr>
        <w:t xml:space="preserve">s. It </w:t>
      </w:r>
      <w:r w:rsidR="006D798B" w:rsidRPr="00DD1B58">
        <w:rPr>
          <w:lang w:val="en-US"/>
        </w:rPr>
        <w:t>states that</w:t>
      </w:r>
      <w:r w:rsidR="00317D78" w:rsidRPr="00DD1B58">
        <w:rPr>
          <w:lang w:val="en-US"/>
        </w:rPr>
        <w:t xml:space="preserve"> t</w:t>
      </w:r>
      <w:r w:rsidR="007A0895" w:rsidRPr="00DD1B58">
        <w:rPr>
          <w:lang w:val="en-US"/>
        </w:rPr>
        <w:t>here are no water-based suppression systems that could result in flooding</w:t>
      </w:r>
      <w:r w:rsidR="00317D78" w:rsidRPr="00DD1B58">
        <w:rPr>
          <w:lang w:val="en-US"/>
        </w:rPr>
        <w:t xml:space="preserve"> and the </w:t>
      </w:r>
      <w:r w:rsidR="007A0895" w:rsidRPr="00DD1B58">
        <w:rPr>
          <w:lang w:val="en-US"/>
        </w:rPr>
        <w:t xml:space="preserve">site is not prone to flooding. </w:t>
      </w:r>
      <w:r w:rsidR="00317D78" w:rsidRPr="00DD1B58">
        <w:rPr>
          <w:lang w:val="en-US"/>
        </w:rPr>
        <w:t xml:space="preserve">It also </w:t>
      </w:r>
      <w:r w:rsidR="006D798B" w:rsidRPr="00DD1B58">
        <w:rPr>
          <w:lang w:val="en-US"/>
        </w:rPr>
        <w:t>reports that</w:t>
      </w:r>
      <w:r w:rsidR="00317D78" w:rsidRPr="00DD1B58">
        <w:rPr>
          <w:lang w:val="en-US"/>
        </w:rPr>
        <w:t xml:space="preserve"> all </w:t>
      </w:r>
      <w:r w:rsidR="007A0895" w:rsidRPr="00DD1B58">
        <w:rPr>
          <w:lang w:val="en-US"/>
        </w:rPr>
        <w:t>processes on site can be shut down and do not require ongoing power supplies, cooling or other services to maintain nuclear safety.</w:t>
      </w:r>
    </w:p>
    <w:p w14:paraId="3BC658BE" w14:textId="2145ADF2" w:rsidR="00226D40" w:rsidRPr="00DD1B58" w:rsidRDefault="00317D78" w:rsidP="007A0895">
      <w:pPr>
        <w:rPr>
          <w:lang w:val="en-US"/>
        </w:rPr>
      </w:pPr>
      <w:r w:rsidRPr="00DD1B58">
        <w:rPr>
          <w:lang w:val="en-US"/>
        </w:rPr>
        <w:t xml:space="preserve">Springfields </w:t>
      </w:r>
      <w:r w:rsidR="006D798B" w:rsidRPr="00DD1B58">
        <w:rPr>
          <w:lang w:val="en-US"/>
        </w:rPr>
        <w:t>reports that</w:t>
      </w:r>
      <w:r w:rsidRPr="00DD1B58">
        <w:rPr>
          <w:lang w:val="en-US"/>
        </w:rPr>
        <w:t xml:space="preserve"> there </w:t>
      </w:r>
      <w:r w:rsidR="007A0895" w:rsidRPr="00DD1B58">
        <w:rPr>
          <w:lang w:val="en-US"/>
        </w:rPr>
        <w:t>is no seismic qualification for fire suppression systems</w:t>
      </w:r>
      <w:r w:rsidRPr="00DD1B58">
        <w:rPr>
          <w:lang w:val="en-US"/>
        </w:rPr>
        <w:t xml:space="preserve"> and no</w:t>
      </w:r>
      <w:r w:rsidR="007A0895" w:rsidRPr="00DD1B58">
        <w:rPr>
          <w:lang w:val="en-US"/>
        </w:rPr>
        <w:t xml:space="preserve"> suppression systems are required for nuclear or chemotoxic safety.</w:t>
      </w:r>
      <w:r w:rsidR="00434920" w:rsidRPr="00DD1B58">
        <w:rPr>
          <w:lang w:val="en-US"/>
        </w:rPr>
        <w:t xml:space="preserve"> It also </w:t>
      </w:r>
      <w:r w:rsidR="006D798B" w:rsidRPr="00DD1B58">
        <w:rPr>
          <w:lang w:val="en-US"/>
        </w:rPr>
        <w:t>states that</w:t>
      </w:r>
      <w:r w:rsidR="00434920" w:rsidRPr="00DD1B58">
        <w:rPr>
          <w:lang w:val="en-US"/>
        </w:rPr>
        <w:t xml:space="preserve"> there </w:t>
      </w:r>
      <w:r w:rsidR="007A0895" w:rsidRPr="00DD1B58">
        <w:rPr>
          <w:lang w:val="en-US"/>
        </w:rPr>
        <w:t xml:space="preserve">are no suppression systems that if operated due to planned or inadvertent discharge would result in a radiological release. </w:t>
      </w:r>
      <w:r w:rsidR="0090515B" w:rsidRPr="00DD1B58">
        <w:rPr>
          <w:lang w:val="en-US"/>
        </w:rPr>
        <w:t xml:space="preserve">Finally, Springfields </w:t>
      </w:r>
      <w:r w:rsidR="006D798B" w:rsidRPr="00DD1B58">
        <w:rPr>
          <w:lang w:val="en-US"/>
        </w:rPr>
        <w:t>reports that</w:t>
      </w:r>
      <w:r w:rsidR="008A1C93" w:rsidRPr="00DD1B58">
        <w:rPr>
          <w:lang w:val="en-US"/>
        </w:rPr>
        <w:t xml:space="preserve"> </w:t>
      </w:r>
      <w:r w:rsidR="0090515B" w:rsidRPr="00DD1B58">
        <w:rPr>
          <w:lang w:val="en-US"/>
        </w:rPr>
        <w:t xml:space="preserve">the </w:t>
      </w:r>
      <w:r w:rsidR="007A0895" w:rsidRPr="00DD1B58">
        <w:rPr>
          <w:lang w:val="en-US"/>
        </w:rPr>
        <w:t>only automatic systems are total flooding carbon dioxide suppression systems for protection of turbine enclosures in the CHP plant</w:t>
      </w:r>
      <w:r w:rsidR="0090515B" w:rsidRPr="00DD1B58">
        <w:rPr>
          <w:lang w:val="en-US"/>
        </w:rPr>
        <w:t>:</w:t>
      </w:r>
      <w:r w:rsidR="007A0895" w:rsidRPr="00DD1B58">
        <w:rPr>
          <w:lang w:val="en-US"/>
        </w:rPr>
        <w:t xml:space="preserve"> these would </w:t>
      </w:r>
      <w:r w:rsidR="0090515B" w:rsidRPr="00DD1B58">
        <w:rPr>
          <w:lang w:val="en-US"/>
        </w:rPr>
        <w:t xml:space="preserve">operate </w:t>
      </w:r>
      <w:r w:rsidR="007A0895" w:rsidRPr="00DD1B58">
        <w:rPr>
          <w:lang w:val="en-US"/>
        </w:rPr>
        <w:t xml:space="preserve">in response to a fire within the turbine enclosure and </w:t>
      </w:r>
      <w:r w:rsidR="0090515B" w:rsidRPr="00DD1B58">
        <w:rPr>
          <w:lang w:val="en-US"/>
        </w:rPr>
        <w:t xml:space="preserve">are </w:t>
      </w:r>
      <w:r w:rsidR="007A0895" w:rsidRPr="00DD1B58">
        <w:rPr>
          <w:lang w:val="en-US"/>
        </w:rPr>
        <w:t>for conventional fire safety</w:t>
      </w:r>
      <w:r w:rsidR="005D5C50" w:rsidRPr="00DD1B58">
        <w:rPr>
          <w:lang w:val="en-US"/>
        </w:rPr>
        <w:t>/</w:t>
      </w:r>
      <w:r w:rsidR="007A0895" w:rsidRPr="00DD1B58">
        <w:rPr>
          <w:lang w:val="en-US"/>
        </w:rPr>
        <w:t>business continuity purposes only.</w:t>
      </w:r>
    </w:p>
    <w:p w14:paraId="43473E59" w14:textId="77777777" w:rsidR="00B26762" w:rsidRPr="00DD1B58" w:rsidRDefault="00B26762" w:rsidP="00177432">
      <w:pPr>
        <w:pStyle w:val="Heading5A"/>
        <w:numPr>
          <w:ilvl w:val="5"/>
          <w:numId w:val="7"/>
        </w:numPr>
        <w:rPr>
          <w:lang w:val="en-US"/>
        </w:rPr>
      </w:pPr>
      <w:r w:rsidRPr="00DD1B58">
        <w:rPr>
          <w:lang w:val="en-US"/>
        </w:rPr>
        <w:t xml:space="preserve">Alternative/temporary provisions </w:t>
      </w:r>
    </w:p>
    <w:p w14:paraId="1F2FC78F" w14:textId="0FB150A7" w:rsidR="00863523" w:rsidRPr="00DD1B58" w:rsidRDefault="00863523" w:rsidP="00863523">
      <w:pPr>
        <w:rPr>
          <w:lang w:val="en-US"/>
        </w:rPr>
      </w:pPr>
      <w:r w:rsidRPr="00DD1B58">
        <w:rPr>
          <w:lang w:val="en-US"/>
        </w:rPr>
        <w:t xml:space="preserve">No alternative/temporary </w:t>
      </w:r>
      <w:r w:rsidR="0090515B" w:rsidRPr="00DD1B58">
        <w:rPr>
          <w:lang w:val="en-US"/>
        </w:rPr>
        <w:t>fire suppression systems to those described were identified in the licensee’s self-assessment.</w:t>
      </w:r>
    </w:p>
    <w:p w14:paraId="070769A8" w14:textId="77777777" w:rsidR="00B26762" w:rsidRPr="00DD1B58" w:rsidRDefault="00B26762" w:rsidP="00177432">
      <w:pPr>
        <w:pStyle w:val="Heading5A"/>
        <w:rPr>
          <w:lang w:val="en-US"/>
        </w:rPr>
      </w:pPr>
      <w:r w:rsidRPr="00DD1B58">
        <w:rPr>
          <w:lang w:val="en-US"/>
        </w:rPr>
        <w:t xml:space="preserve">Administrative and organisational fire protection issues </w:t>
      </w:r>
    </w:p>
    <w:p w14:paraId="426D080E" w14:textId="77777777" w:rsidR="00B26762" w:rsidRPr="00DD1B58" w:rsidRDefault="00B26762" w:rsidP="00177432">
      <w:pPr>
        <w:pStyle w:val="Heading5A"/>
        <w:numPr>
          <w:ilvl w:val="5"/>
          <w:numId w:val="7"/>
        </w:numPr>
        <w:rPr>
          <w:lang w:val="en-US"/>
        </w:rPr>
      </w:pPr>
      <w:r w:rsidRPr="00DD1B58">
        <w:rPr>
          <w:lang w:val="en-US"/>
        </w:rPr>
        <w:t>Overview of firefighting strategies, administrative arrangements and assurance</w:t>
      </w:r>
    </w:p>
    <w:p w14:paraId="6BDAD980" w14:textId="092ED736" w:rsidR="00B74154" w:rsidRPr="00DD1B58" w:rsidRDefault="00134292" w:rsidP="00B201C3">
      <w:pPr>
        <w:rPr>
          <w:lang w:val="en-US"/>
        </w:rPr>
      </w:pPr>
      <w:r w:rsidRPr="00DD1B58">
        <w:rPr>
          <w:lang w:val="en-US"/>
        </w:rPr>
        <w:t>Springfields Fuels Ltd</w:t>
      </w:r>
      <w:r w:rsidR="00B74154" w:rsidRPr="00DD1B58">
        <w:rPr>
          <w:lang w:val="en-US"/>
        </w:rPr>
        <w:t xml:space="preserve"> report</w:t>
      </w:r>
      <w:r w:rsidR="00B0727F" w:rsidRPr="00DD1B58">
        <w:rPr>
          <w:lang w:val="en-US"/>
        </w:rPr>
        <w:t>s</w:t>
      </w:r>
      <w:r w:rsidR="00B74154" w:rsidRPr="00DD1B58">
        <w:rPr>
          <w:lang w:val="en-US"/>
        </w:rPr>
        <w:t xml:space="preserve"> the following types and characteristics of fire suppression provisions at the site (reproduced literally from the licensee’s self-assessment):</w:t>
      </w:r>
    </w:p>
    <w:p w14:paraId="45D6EA3A" w14:textId="77777777" w:rsidR="00B201C3" w:rsidRPr="00DD1B58" w:rsidRDefault="00B201C3" w:rsidP="00973FF4">
      <w:pPr>
        <w:pStyle w:val="Bulletlist1"/>
        <w:rPr>
          <w:lang w:val="en-US"/>
        </w:rPr>
      </w:pPr>
      <w:r w:rsidRPr="00DD1B58">
        <w:rPr>
          <w:lang w:val="en-US"/>
        </w:rPr>
        <w:t>For new buildings on site (both conventional and buildings where radiological materials are process or stored) a fire strategy is prepared for conventional fire safety based on the guidance to Building Regulations i.e., the Approved Document B and/or BS9999.</w:t>
      </w:r>
    </w:p>
    <w:p w14:paraId="60E48E1B" w14:textId="77777777" w:rsidR="00B201C3" w:rsidRPr="00DD1B58" w:rsidRDefault="00B201C3" w:rsidP="00973FF4">
      <w:pPr>
        <w:pStyle w:val="Bulletlist1"/>
        <w:rPr>
          <w:lang w:val="en-US"/>
        </w:rPr>
      </w:pPr>
      <w:r w:rsidRPr="00DD1B58">
        <w:rPr>
          <w:lang w:val="en-US"/>
        </w:rPr>
        <w:t>Fire engineering justifications are made where full compliance cannot be achieved or is perceived to be overly onerous or where additional requirements are deemed necessary.</w:t>
      </w:r>
    </w:p>
    <w:p w14:paraId="3B2C963F" w14:textId="77777777" w:rsidR="00B201C3" w:rsidRPr="00DD1B58" w:rsidRDefault="00B201C3" w:rsidP="00973FF4">
      <w:pPr>
        <w:pStyle w:val="Bulletlist1"/>
        <w:rPr>
          <w:lang w:val="en-US"/>
        </w:rPr>
      </w:pPr>
      <w:r w:rsidRPr="00DD1B58">
        <w:rPr>
          <w:lang w:val="en-US"/>
        </w:rPr>
        <w:t>Building Regulations and associated guidance provides the minimum acceptable level of fire safety in a building. The objectives of the conventional fire safety strategy for a building are to substantiate the fire</w:t>
      </w:r>
      <w:r w:rsidR="00A27FF0" w:rsidRPr="00DD1B58">
        <w:rPr>
          <w:lang w:val="en-US"/>
        </w:rPr>
        <w:t xml:space="preserve"> </w:t>
      </w:r>
      <w:r w:rsidRPr="00DD1B58">
        <w:rPr>
          <w:lang w:val="en-US"/>
        </w:rPr>
        <w:t>safety design using accepted guidance, codes of practice and fire engineering, such that the risk of fire in an operational building has been reduced to as low as reasonably practicable. The conventional fire safety strategy forms the basis for the nuclear fire safety strategy.</w:t>
      </w:r>
    </w:p>
    <w:p w14:paraId="388CD311" w14:textId="35D5FFF2" w:rsidR="00B201C3" w:rsidRPr="00DD1B58" w:rsidRDefault="00B201C3" w:rsidP="00973FF4">
      <w:pPr>
        <w:pStyle w:val="Bulletlist1"/>
        <w:rPr>
          <w:lang w:val="en-US"/>
        </w:rPr>
      </w:pPr>
      <w:r w:rsidRPr="00DD1B58">
        <w:rPr>
          <w:lang w:val="en-US"/>
        </w:rPr>
        <w:t xml:space="preserve">The building is assessed for hazards that could affect the safe means of escape of the occupants or that could be a significant risk contributor to the safety of the building structure, plant, or the environment. </w:t>
      </w:r>
      <w:r w:rsidR="0041179C" w:rsidRPr="00DD1B58">
        <w:rPr>
          <w:lang w:val="en-US"/>
        </w:rPr>
        <w:t>Please note that further d</w:t>
      </w:r>
      <w:r w:rsidR="00F57003" w:rsidRPr="00DD1B58">
        <w:rPr>
          <w:lang w:val="en-US"/>
        </w:rPr>
        <w:t>etails on the methodology fo</w:t>
      </w:r>
      <w:r w:rsidR="00E90316" w:rsidRPr="00DD1B58">
        <w:rPr>
          <w:lang w:val="en-US"/>
        </w:rPr>
        <w:t xml:space="preserve">r assessment are provided in </w:t>
      </w:r>
      <w:r w:rsidR="00134292" w:rsidRPr="00DD1B58">
        <w:rPr>
          <w:lang w:val="en-US"/>
        </w:rPr>
        <w:t>Springfields Fuels Ltd</w:t>
      </w:r>
      <w:r w:rsidR="0041179C" w:rsidRPr="00DD1B58">
        <w:rPr>
          <w:lang w:val="en-US"/>
        </w:rPr>
        <w:t xml:space="preserve"> self-assessment </w:t>
      </w:r>
      <w:sdt>
        <w:sdtPr>
          <w:rPr>
            <w:lang w:val="en-US"/>
          </w:rPr>
          <w:id w:val="254180316"/>
          <w:citation/>
        </w:sdtPr>
        <w:sdtContent>
          <w:r w:rsidR="00E90316" w:rsidRPr="00DD1B58">
            <w:rPr>
              <w:lang w:val="en-US"/>
            </w:rPr>
            <w:fldChar w:fldCharType="begin"/>
          </w:r>
          <w:r w:rsidR="00E90316" w:rsidRPr="00DD1B58">
            <w:rPr>
              <w:lang w:val="en-US"/>
            </w:rPr>
            <w:instrText xml:space="preserve"> CITATION ENS \l 2057 </w:instrText>
          </w:r>
          <w:r w:rsidR="00E90316" w:rsidRPr="00DD1B58">
            <w:rPr>
              <w:lang w:val="en-US"/>
            </w:rPr>
            <w:fldChar w:fldCharType="separate"/>
          </w:r>
          <w:r w:rsidR="00DF47DA" w:rsidRPr="00DF47DA">
            <w:rPr>
              <w:lang w:val="en-US"/>
            </w:rPr>
            <w:t>[9]</w:t>
          </w:r>
          <w:r w:rsidR="00E90316" w:rsidRPr="00DD1B58">
            <w:rPr>
              <w:lang w:val="en-US"/>
            </w:rPr>
            <w:fldChar w:fldCharType="end"/>
          </w:r>
        </w:sdtContent>
      </w:sdt>
      <w:r w:rsidRPr="00DD1B58">
        <w:rPr>
          <w:lang w:val="en-US"/>
        </w:rPr>
        <w:t>.</w:t>
      </w:r>
    </w:p>
    <w:p w14:paraId="0D8A0766" w14:textId="568F89BD" w:rsidR="00A26E37" w:rsidRPr="00DD1B58" w:rsidRDefault="00A26E37" w:rsidP="00973FF4">
      <w:pPr>
        <w:pStyle w:val="Bulletlist1"/>
        <w:rPr>
          <w:lang w:val="en-US"/>
        </w:rPr>
      </w:pPr>
      <w:r w:rsidRPr="00DD1B58">
        <w:rPr>
          <w:lang w:val="en-US"/>
        </w:rPr>
        <w:t>The fire safety strategy for nuclear fire safety is considered primarily by review of the HAZAN</w:t>
      </w:r>
      <w:r w:rsidR="00A57E14" w:rsidRPr="00DD1B58">
        <w:rPr>
          <w:lang w:val="en-US"/>
        </w:rPr>
        <w:t>s</w:t>
      </w:r>
      <w:r w:rsidRPr="00DD1B58">
        <w:rPr>
          <w:lang w:val="en-US"/>
        </w:rPr>
        <w:t xml:space="preserve"> by undertaking a detailed review of the fault sequences, safety measures (SSCs), operating requirements and operating assumptions to support the claims being made for a specific safety measure which could be affected by fire or secondary effects such as firefighting water.</w:t>
      </w:r>
    </w:p>
    <w:p w14:paraId="034A8DD4" w14:textId="77777777" w:rsidR="00A26E37" w:rsidRPr="00DD1B58" w:rsidRDefault="00A26E37" w:rsidP="00973FF4">
      <w:pPr>
        <w:pStyle w:val="Bulletlist1"/>
        <w:rPr>
          <w:lang w:val="en-US"/>
        </w:rPr>
      </w:pPr>
      <w:r w:rsidRPr="00DD1B58">
        <w:rPr>
          <w:lang w:val="en-US"/>
        </w:rPr>
        <w:t>The potential for safety measures such as multichannel protection systems to be vulnerable to common failure due to fire or its effects is considered preferentially by deterministic fire hazard analysis and the fire protection measures put in place to protect them are passive measures where possible. Only if this approach cannot be used would other methods of protection be considered such as active protection systems.</w:t>
      </w:r>
    </w:p>
    <w:p w14:paraId="5E2FB337" w14:textId="77777777" w:rsidR="00A26E37" w:rsidRPr="00DD1B58" w:rsidRDefault="00A26E37" w:rsidP="00973FF4">
      <w:pPr>
        <w:pStyle w:val="Bulletlist1"/>
        <w:rPr>
          <w:lang w:val="en-US"/>
        </w:rPr>
      </w:pPr>
      <w:r w:rsidRPr="00DD1B58">
        <w:rPr>
          <w:lang w:val="en-US"/>
        </w:rPr>
        <w:t>The process for periodic review both for conventional and nuclear fire safety is similar to that used for developing a fire safety strategy. A COSR review is undertaken on a 10-year rolling basis and a COSC paper produced that assesses all the areas considered as part of the fire safety strategy; any changes that may be reasonably practically implemented to meet modern standards and confirmation that the measures in place are suitable for continued operation.</w:t>
      </w:r>
    </w:p>
    <w:p w14:paraId="66FB1D79" w14:textId="77777777" w:rsidR="00A26E37" w:rsidRPr="00DD1B58" w:rsidRDefault="00A26E37" w:rsidP="00973FF4">
      <w:pPr>
        <w:pStyle w:val="Bulletlist1"/>
        <w:rPr>
          <w:lang w:val="en-US"/>
        </w:rPr>
      </w:pPr>
      <w:r w:rsidRPr="00DD1B58">
        <w:rPr>
          <w:lang w:val="en-US"/>
        </w:rPr>
        <w:t>Measures resulting from PMP’s that have been implemented between COSR reviews are incorporated into the COSC report as appropriate.</w:t>
      </w:r>
      <w:r w:rsidR="00FD76CE" w:rsidRPr="00DD1B58">
        <w:rPr>
          <w:lang w:val="en-US"/>
        </w:rPr>
        <w:t xml:space="preserve"> </w:t>
      </w:r>
      <w:r w:rsidRPr="00DD1B58">
        <w:rPr>
          <w:lang w:val="en-US"/>
        </w:rPr>
        <w:t>Both the Conventional and Nuclear COSC reports are subject to internal peer review and acceptance by a management safety committee (MSC) for each individual plant building. Conventional and Nuclear COSC reports are made available to the UK ONR for Regulatory review.</w:t>
      </w:r>
    </w:p>
    <w:p w14:paraId="4AA6894B" w14:textId="77777777" w:rsidR="00B26762" w:rsidRPr="00DD1B58" w:rsidRDefault="00B26762" w:rsidP="00177432">
      <w:pPr>
        <w:pStyle w:val="Heading5A"/>
        <w:numPr>
          <w:ilvl w:val="5"/>
          <w:numId w:val="7"/>
        </w:numPr>
        <w:rPr>
          <w:lang w:val="en-US"/>
        </w:rPr>
      </w:pPr>
      <w:r w:rsidRPr="00DD1B58">
        <w:rPr>
          <w:lang w:val="en-US"/>
        </w:rPr>
        <w:t>Firefighting capabilities, responsibilities, organisation and documentation onsite and offsite</w:t>
      </w:r>
    </w:p>
    <w:p w14:paraId="71EDD005" w14:textId="23E07FDE" w:rsidR="00B30224" w:rsidRPr="00DD1B58" w:rsidRDefault="00134292" w:rsidP="00F62B3D">
      <w:pPr>
        <w:rPr>
          <w:lang w:val="en-US"/>
        </w:rPr>
      </w:pPr>
      <w:r w:rsidRPr="00DD1B58">
        <w:rPr>
          <w:lang w:val="en-US"/>
        </w:rPr>
        <w:t>Springfields Fuels Ltd</w:t>
      </w:r>
      <w:r w:rsidR="00B30224" w:rsidRPr="00DD1B58">
        <w:rPr>
          <w:lang w:val="en-US"/>
        </w:rPr>
        <w:t xml:space="preserve"> reported the following considerations regarding firefighting capabilities, responsibilities, organisation and documentation onsite and offsite (reproduced literally from the licensee’s self-assessment):</w:t>
      </w:r>
    </w:p>
    <w:p w14:paraId="4B523E7C" w14:textId="3D772469" w:rsidR="00F62B3D" w:rsidRPr="00DD1B58" w:rsidRDefault="00F62B3D" w:rsidP="00973FF4">
      <w:pPr>
        <w:pStyle w:val="Bulletlist1"/>
        <w:rPr>
          <w:lang w:val="en-US"/>
        </w:rPr>
      </w:pPr>
      <w:r w:rsidRPr="00DD1B58">
        <w:rPr>
          <w:lang w:val="en-US"/>
        </w:rPr>
        <w:t xml:space="preserve">At Springfields the site fire response was outsourced (December 2021) to </w:t>
      </w:r>
      <w:r w:rsidR="008A5ACC" w:rsidRPr="00DD1B58">
        <w:rPr>
          <w:lang w:val="en-US"/>
        </w:rPr>
        <w:t>Mitie</w:t>
      </w:r>
      <w:r w:rsidRPr="00DD1B58">
        <w:rPr>
          <w:lang w:val="en-US"/>
        </w:rPr>
        <w:t xml:space="preserve"> emergency response team who have adopted the Springfields site requirements and standards. Additionally, </w:t>
      </w:r>
      <w:r w:rsidR="008A5ACC" w:rsidRPr="00DD1B58">
        <w:rPr>
          <w:lang w:val="en-US"/>
        </w:rPr>
        <w:t>Mitie</w:t>
      </w:r>
      <w:r w:rsidRPr="00DD1B58">
        <w:rPr>
          <w:lang w:val="en-US"/>
        </w:rPr>
        <w:t xml:space="preserve"> also adopted the brigade orders (Local Instructions) from Springfields Fire Service Instructions and updated in line with current national standards and operational guidance.</w:t>
      </w:r>
    </w:p>
    <w:p w14:paraId="2D33FFD4" w14:textId="7CBD1131" w:rsidR="00F62B3D" w:rsidRPr="00DD1B58" w:rsidRDefault="00F62B3D" w:rsidP="00973FF4">
      <w:pPr>
        <w:pStyle w:val="Bulletlist1"/>
        <w:rPr>
          <w:lang w:val="en-US"/>
        </w:rPr>
      </w:pPr>
      <w:r w:rsidRPr="00DD1B58">
        <w:rPr>
          <w:lang w:val="en-US"/>
        </w:rPr>
        <w:t xml:space="preserve">At Springfields all site requirements are within Springfields Site Instructions (SSIs). These are site-wide procedures that must be complied with by Springfields Fuels </w:t>
      </w:r>
      <w:r w:rsidR="00BF0D1B" w:rsidRPr="00DD1B58">
        <w:rPr>
          <w:lang w:val="en-US"/>
        </w:rPr>
        <w:t>Ltd</w:t>
      </w:r>
      <w:r w:rsidR="00E35983" w:rsidRPr="00DD1B58">
        <w:rPr>
          <w:lang w:val="en-US"/>
        </w:rPr>
        <w:t xml:space="preserve"> </w:t>
      </w:r>
      <w:r w:rsidRPr="00DD1B58">
        <w:rPr>
          <w:lang w:val="en-US"/>
        </w:rPr>
        <w:t xml:space="preserve">personnel and, where relevant, by all other occupants of the Springfields site these are stored on </w:t>
      </w:r>
      <w:r w:rsidR="00B26E0A" w:rsidRPr="00DD1B58">
        <w:rPr>
          <w:lang w:val="en-US"/>
        </w:rPr>
        <w:t xml:space="preserve">the </w:t>
      </w:r>
      <w:r w:rsidRPr="00DD1B58">
        <w:rPr>
          <w:lang w:val="en-US"/>
        </w:rPr>
        <w:t>PRIME</w:t>
      </w:r>
      <w:r w:rsidR="00B26E0A" w:rsidRPr="00DD1B58">
        <w:rPr>
          <w:lang w:val="en-US"/>
        </w:rPr>
        <w:t xml:space="preserve"> electronic database</w:t>
      </w:r>
      <w:r w:rsidRPr="00DD1B58">
        <w:rPr>
          <w:lang w:val="en-US"/>
        </w:rPr>
        <w:t>.</w:t>
      </w:r>
      <w:r w:rsidR="008A3244" w:rsidRPr="00DD1B58">
        <w:rPr>
          <w:lang w:val="en-US"/>
        </w:rPr>
        <w:t xml:space="preserve"> </w:t>
      </w:r>
      <w:r w:rsidRPr="00DD1B58">
        <w:rPr>
          <w:lang w:val="en-US"/>
        </w:rPr>
        <w:t>SSIs capture and interpret, as appropriate, all relevant external requirements, including UK</w:t>
      </w:r>
      <w:r w:rsidR="00D903BF" w:rsidRPr="00DD1B58">
        <w:rPr>
          <w:lang w:val="en-US"/>
        </w:rPr>
        <w:t xml:space="preserve"> </w:t>
      </w:r>
      <w:r w:rsidRPr="00DD1B58">
        <w:rPr>
          <w:lang w:val="en-US"/>
        </w:rPr>
        <w:t>legislation, the Site Licence, environmental authorisations and consents, Company policies</w:t>
      </w:r>
      <w:r w:rsidR="00D903BF" w:rsidRPr="00DD1B58">
        <w:rPr>
          <w:lang w:val="en-US"/>
        </w:rPr>
        <w:t xml:space="preserve"> </w:t>
      </w:r>
      <w:r w:rsidRPr="00DD1B58">
        <w:rPr>
          <w:lang w:val="en-US"/>
        </w:rPr>
        <w:t>and contract requirements.</w:t>
      </w:r>
    </w:p>
    <w:p w14:paraId="3EEA2741" w14:textId="77777777" w:rsidR="00F62B3D" w:rsidRPr="00DD1B58" w:rsidRDefault="00F62B3D" w:rsidP="00973FF4">
      <w:pPr>
        <w:pStyle w:val="Bulletlist1"/>
        <w:rPr>
          <w:lang w:val="en-US"/>
        </w:rPr>
      </w:pPr>
      <w:r w:rsidRPr="00DD1B58">
        <w:rPr>
          <w:lang w:val="en-US"/>
        </w:rPr>
        <w:t>The process for periodic reviewing, updating, and accepting written procedures adopted by Mitie Emergency Response are in the form of a Training Matrix outlining certain subject matter relating to site hazards and procedures. The Matrix is detailed in a traffic light (RAG) system indicating Green in date, Yellow a month before out of date and Red indicating out of date. Training is measured on a four monthly basis.</w:t>
      </w:r>
    </w:p>
    <w:p w14:paraId="37F0CE24" w14:textId="1EBC9BF9" w:rsidR="00F62B3D" w:rsidRPr="00DD1B58" w:rsidRDefault="00F62B3D" w:rsidP="00973FF4">
      <w:pPr>
        <w:pStyle w:val="Bulletlist1"/>
        <w:rPr>
          <w:lang w:val="en-US"/>
        </w:rPr>
      </w:pPr>
      <w:r w:rsidRPr="00DD1B58">
        <w:rPr>
          <w:lang w:val="en-US"/>
        </w:rPr>
        <w:t>The subjects outlined on the training Matrix are found in a training document explaining all the elements to be covered in the training.</w:t>
      </w:r>
      <w:r w:rsidR="00D903BF" w:rsidRPr="00DD1B58">
        <w:rPr>
          <w:lang w:val="en-US"/>
        </w:rPr>
        <w:t xml:space="preserve"> </w:t>
      </w:r>
      <w:r w:rsidR="008A5ACC" w:rsidRPr="00DD1B58">
        <w:rPr>
          <w:lang w:val="en-US"/>
        </w:rPr>
        <w:t>Mitie</w:t>
      </w:r>
      <w:r w:rsidRPr="00DD1B58">
        <w:rPr>
          <w:lang w:val="en-US"/>
        </w:rPr>
        <w:t xml:space="preserve"> competency and requirements for roles are identified on (RPG) role proficiency graphs which identify the specific jobs/authorities required for that specified role.</w:t>
      </w:r>
    </w:p>
    <w:p w14:paraId="2C2119A4" w14:textId="7C49811A" w:rsidR="00F62B3D" w:rsidRPr="00DD1B58" w:rsidRDefault="004F5760" w:rsidP="00973FF4">
      <w:pPr>
        <w:pStyle w:val="Bulletlist1"/>
        <w:rPr>
          <w:lang w:val="en-US"/>
        </w:rPr>
      </w:pPr>
      <w:r w:rsidRPr="00DD1B58">
        <w:rPr>
          <w:lang w:val="en-US"/>
        </w:rPr>
        <w:t>Firefight</w:t>
      </w:r>
      <w:r w:rsidR="00F62B3D" w:rsidRPr="00DD1B58">
        <w:rPr>
          <w:lang w:val="en-US"/>
        </w:rPr>
        <w:t>ers, Crew Managers and Watch Managers are assessed against national occupational standards, learning and guidance. As part of this process individuals are assessed using different assessment methods such as assignments, projects, external courses, and practical demonstrations.</w:t>
      </w:r>
    </w:p>
    <w:p w14:paraId="0CE164E6" w14:textId="44B87267" w:rsidR="00F62B3D" w:rsidRPr="00DD1B58" w:rsidRDefault="008A5ACC" w:rsidP="00973FF4">
      <w:pPr>
        <w:pStyle w:val="Bulletlist1"/>
        <w:rPr>
          <w:lang w:val="en-US"/>
        </w:rPr>
      </w:pPr>
      <w:r w:rsidRPr="00DD1B58">
        <w:rPr>
          <w:lang w:val="en-US"/>
        </w:rPr>
        <w:t>Mitie</w:t>
      </w:r>
      <w:r w:rsidR="00F62B3D" w:rsidRPr="00DD1B58">
        <w:rPr>
          <w:lang w:val="en-US"/>
        </w:rPr>
        <w:t xml:space="preserve"> provide a full-time on-site fire service who undertake regular training both on-site and off-site. As part of their </w:t>
      </w:r>
      <w:r w:rsidR="00E17CD0" w:rsidRPr="00DD1B58">
        <w:rPr>
          <w:lang w:val="en-US"/>
        </w:rPr>
        <w:t>ongoing</w:t>
      </w:r>
      <w:r w:rsidR="00F62B3D" w:rsidRPr="00DD1B58">
        <w:rPr>
          <w:lang w:val="en-US"/>
        </w:rPr>
        <w:t xml:space="preserve"> training, they attend many off site courses these include REAX Specialist Access &amp; Rescue (rope access), Hot Work Fire Risk Assessment, First Response Emergency Care (FREC), BAFE British Association of Fire Extinguishers (fire extinguisher service) and an annual hot fire course at Merseyside Fire &amp; Rescue Service training facility (2 day). These are all accredited courses provided by 3rd party accredited suppliers.</w:t>
      </w:r>
    </w:p>
    <w:p w14:paraId="3DE8877F" w14:textId="2154C672" w:rsidR="001A6CE9" w:rsidRPr="00DD1B58" w:rsidRDefault="00F62B3D" w:rsidP="00973FF4">
      <w:pPr>
        <w:pStyle w:val="Bulletlist1"/>
        <w:rPr>
          <w:lang w:val="en-US"/>
        </w:rPr>
      </w:pPr>
      <w:r w:rsidRPr="00DD1B58">
        <w:rPr>
          <w:lang w:val="en-US"/>
        </w:rPr>
        <w:t xml:space="preserve">In addition to the </w:t>
      </w:r>
      <w:r w:rsidR="00E17CD0" w:rsidRPr="00DD1B58">
        <w:rPr>
          <w:lang w:val="en-US"/>
        </w:rPr>
        <w:t>ongoing</w:t>
      </w:r>
      <w:r w:rsidRPr="00DD1B58">
        <w:rPr>
          <w:lang w:val="en-US"/>
        </w:rPr>
        <w:t xml:space="preserve"> training programme, they are required to prove competency on an annual basis through Level 1&amp;2 exercises and demonstrate to the ONR that site is compliant with Licence Condition 11.</w:t>
      </w:r>
      <w:r w:rsidR="00272D6D" w:rsidRPr="00DD1B58">
        <w:rPr>
          <w:lang w:val="en-US"/>
        </w:rPr>
        <w:t xml:space="preserve"> There is also additional training for key members of the Emergency Team. Details on specific responsibilities for the training </w:t>
      </w:r>
      <w:r w:rsidR="005023C4" w:rsidRPr="00DD1B58">
        <w:rPr>
          <w:lang w:val="en-US"/>
        </w:rPr>
        <w:t xml:space="preserve">of Springfields staff are provided in the Springfields submission to the NAR </w:t>
      </w:r>
      <w:sdt>
        <w:sdtPr>
          <w:rPr>
            <w:lang w:val="en-US"/>
          </w:rPr>
          <w:id w:val="-113604462"/>
          <w:citation/>
        </w:sdtPr>
        <w:sdtContent>
          <w:r w:rsidR="00E575DA" w:rsidRPr="00DD1B58">
            <w:rPr>
              <w:lang w:val="en-US"/>
            </w:rPr>
            <w:fldChar w:fldCharType="begin"/>
          </w:r>
          <w:r w:rsidR="00E575DA" w:rsidRPr="00DD1B58">
            <w:rPr>
              <w:lang w:val="en-US"/>
            </w:rPr>
            <w:instrText xml:space="preserve"> CITATION ENS \l 2057 </w:instrText>
          </w:r>
          <w:r w:rsidR="00E575DA" w:rsidRPr="00DD1B58">
            <w:rPr>
              <w:lang w:val="en-US"/>
            </w:rPr>
            <w:fldChar w:fldCharType="separate"/>
          </w:r>
          <w:r w:rsidR="00DF47DA" w:rsidRPr="00DF47DA">
            <w:rPr>
              <w:lang w:val="en-US"/>
            </w:rPr>
            <w:t>[9]</w:t>
          </w:r>
          <w:r w:rsidR="00E575DA" w:rsidRPr="00DD1B58">
            <w:rPr>
              <w:lang w:val="en-US"/>
            </w:rPr>
            <w:fldChar w:fldCharType="end"/>
          </w:r>
        </w:sdtContent>
      </w:sdt>
      <w:r w:rsidR="005023C4" w:rsidRPr="00DD1B58">
        <w:rPr>
          <w:lang w:val="en-US"/>
        </w:rPr>
        <w:t>.</w:t>
      </w:r>
    </w:p>
    <w:p w14:paraId="373D5DAB" w14:textId="4BF512E8" w:rsidR="0038235F" w:rsidRPr="00DD1B58" w:rsidRDefault="00134292" w:rsidP="00BF4D81">
      <w:pPr>
        <w:pStyle w:val="Bulletlist1"/>
        <w:rPr>
          <w:lang w:val="en-US"/>
        </w:rPr>
      </w:pPr>
      <w:r w:rsidRPr="00DD1B58">
        <w:rPr>
          <w:lang w:val="en-US"/>
        </w:rPr>
        <w:t>Springfields Fuels Ltd</w:t>
      </w:r>
      <w:r w:rsidR="00B30224" w:rsidRPr="00DD1B58">
        <w:rPr>
          <w:lang w:val="en-US"/>
        </w:rPr>
        <w:t xml:space="preserve"> </w:t>
      </w:r>
      <w:r w:rsidR="001A6CE9" w:rsidRPr="00DD1B58">
        <w:rPr>
          <w:lang w:val="en-US"/>
        </w:rPr>
        <w:t>staff are required to undertake mandatory site/building induction training which is recorded on their proficiency passports which are audited internally by EHS&amp;Q. In addition to this all office/plant staff are required to complete an on-line ATLAS course on the classifications and use of fire extinguishers and plant personnel must complete a practical session. Staff involved in hot works are required to attend a hot works fire risk assessment course and must have experience/competency in the areas in which they control the hot works.</w:t>
      </w:r>
      <w:r w:rsidR="00BF4D81" w:rsidRPr="00DD1B58">
        <w:rPr>
          <w:lang w:val="en-US"/>
        </w:rPr>
        <w:t xml:space="preserve"> </w:t>
      </w:r>
      <w:r w:rsidR="001A6CE9" w:rsidRPr="00DD1B58">
        <w:rPr>
          <w:lang w:val="en-US"/>
        </w:rPr>
        <w:t>This information is covered in a folder designed/orchestrated by the site Emergency Planner in the ECC</w:t>
      </w:r>
      <w:r w:rsidR="0038235F" w:rsidRPr="00DD1B58">
        <w:rPr>
          <w:lang w:val="en-US"/>
        </w:rPr>
        <w:t>.</w:t>
      </w:r>
    </w:p>
    <w:p w14:paraId="483F4CED" w14:textId="77777777" w:rsidR="001A6CE9" w:rsidRPr="00DD1B58" w:rsidRDefault="001A6CE9" w:rsidP="00973FF4">
      <w:pPr>
        <w:pStyle w:val="Bulletlist1"/>
        <w:rPr>
          <w:lang w:val="en-US"/>
        </w:rPr>
      </w:pPr>
      <w:r w:rsidRPr="00DD1B58">
        <w:rPr>
          <w:lang w:val="en-US"/>
        </w:rPr>
        <w:t>The local authority fire service attends the site every six month. This is to allow them to be made aware of the hazards and buildings on the site. The visits to site cover aspects such as water supplies, access &amp; egress, and rendezvous points. The objective is to provide site training alongside the local authority fire service for continuity when attending any potential incidents. The training covers toxic &amp; radioactive material release incidents, concentrating on the decontamination procedure adopted by site emergency response, with the site emergency response covering their roles and responsibilities and then explaining what would be required from themselves in an operational incident command role.</w:t>
      </w:r>
    </w:p>
    <w:p w14:paraId="3F76F7D7" w14:textId="77777777" w:rsidR="001A6CE9" w:rsidRPr="00DD1B58" w:rsidRDefault="001A6CE9" w:rsidP="00973FF4">
      <w:pPr>
        <w:pStyle w:val="Bulletlist1"/>
        <w:rPr>
          <w:lang w:val="en-US"/>
        </w:rPr>
      </w:pPr>
      <w:r w:rsidRPr="00DD1B58">
        <w:rPr>
          <w:lang w:val="en-US"/>
        </w:rPr>
        <w:t>Local fire services have an MDT (Mobile Data Terminal) system on each appliance, that provides the Officer in Charge attending; the direction to the site, hazardous materials, which building type is involved, how many appliances are attending the site emergency from local fire services and rendezvous points.</w:t>
      </w:r>
    </w:p>
    <w:p w14:paraId="520EC17B" w14:textId="22E27153" w:rsidR="003D214A" w:rsidRPr="00DD1B58" w:rsidRDefault="001A6CE9" w:rsidP="00973FF4">
      <w:pPr>
        <w:pStyle w:val="Bulletlist1"/>
        <w:rPr>
          <w:lang w:val="en-US"/>
        </w:rPr>
      </w:pPr>
      <w:r w:rsidRPr="00DD1B58">
        <w:rPr>
          <w:lang w:val="en-US"/>
        </w:rPr>
        <w:t>Upon arrival to the site local fire service will rendezvous at the external carpark and are provided with a building risk information folder (</w:t>
      </w:r>
      <w:r w:rsidR="00713E41" w:rsidRPr="00DD1B58">
        <w:rPr>
          <w:lang w:val="en-US"/>
        </w:rPr>
        <w:t xml:space="preserve">main </w:t>
      </w:r>
      <w:r w:rsidRPr="00DD1B58">
        <w:rPr>
          <w:lang w:val="en-US"/>
        </w:rPr>
        <w:t xml:space="preserve">plants) containing plans of the building, Information on the specific hazards within that building, Hazchem data and locations of hydrants, riser systems etc. Once briefed </w:t>
      </w:r>
      <w:r w:rsidR="008A5ACC" w:rsidRPr="00DD1B58">
        <w:rPr>
          <w:lang w:val="en-US"/>
        </w:rPr>
        <w:t>Mitie</w:t>
      </w:r>
      <w:r w:rsidR="003D214A" w:rsidRPr="00DD1B58">
        <w:rPr>
          <w:lang w:val="en-US"/>
        </w:rPr>
        <w:t xml:space="preserve"> security will escort the fire service to the ECC so the Officer in Charge can be briefed and then to the fire ground taking into account safe routes.</w:t>
      </w:r>
    </w:p>
    <w:p w14:paraId="1B216560" w14:textId="77777777" w:rsidR="003D214A" w:rsidRPr="00DD1B58" w:rsidRDefault="003D214A" w:rsidP="00973FF4">
      <w:pPr>
        <w:pStyle w:val="Bulletlist1"/>
        <w:rPr>
          <w:lang w:val="en-US"/>
        </w:rPr>
      </w:pPr>
      <w:r w:rsidRPr="00DD1B58">
        <w:rPr>
          <w:lang w:val="en-US"/>
        </w:rPr>
        <w:t>There is regular training undertaken by the site fire and rescue teams. The training covers Criticality, Toxic, Environmental, Fire, and Security.</w:t>
      </w:r>
      <w:r w:rsidR="00E165EF" w:rsidRPr="00DD1B58">
        <w:rPr>
          <w:lang w:val="en-US"/>
        </w:rPr>
        <w:t xml:space="preserve"> </w:t>
      </w:r>
      <w:r w:rsidRPr="00DD1B58">
        <w:rPr>
          <w:lang w:val="en-US"/>
        </w:rPr>
        <w:t>Springfields follow the National Operational Guidance model for firefighters incorporating site-based competencies which are completed on a quarterly basis.</w:t>
      </w:r>
    </w:p>
    <w:p w14:paraId="6B3AD79C" w14:textId="3AC053CF" w:rsidR="003D214A" w:rsidRPr="00DD1B58" w:rsidRDefault="003D214A" w:rsidP="00973FF4">
      <w:pPr>
        <w:pStyle w:val="Bulletlist1"/>
        <w:rPr>
          <w:lang w:val="en-US"/>
        </w:rPr>
      </w:pPr>
      <w:r w:rsidRPr="00DD1B58">
        <w:rPr>
          <w:lang w:val="en-US"/>
        </w:rPr>
        <w:t xml:space="preserve">It is a requirement that all fire crews are trained to the same national operational guidance. This is achieved by using outside organisations who issue a qualification after each course. These courses are undertaken as rolling two/three yearly refresher courses. </w:t>
      </w:r>
      <w:r w:rsidR="000734AD" w:rsidRPr="00DD1B58">
        <w:rPr>
          <w:lang w:val="en-US"/>
        </w:rPr>
        <w:t xml:space="preserve">Please note that further </w:t>
      </w:r>
      <w:r w:rsidR="00C73395" w:rsidRPr="00DD1B58">
        <w:rPr>
          <w:lang w:val="en-US"/>
        </w:rPr>
        <w:t xml:space="preserve">specific courses undertaken are detailed in </w:t>
      </w:r>
      <w:r w:rsidR="00134292" w:rsidRPr="00DD1B58">
        <w:rPr>
          <w:lang w:val="en-US"/>
        </w:rPr>
        <w:t>Springfields Fuels Ltd</w:t>
      </w:r>
      <w:r w:rsidR="000734AD" w:rsidRPr="00DD1B58">
        <w:rPr>
          <w:lang w:val="en-US"/>
        </w:rPr>
        <w:t xml:space="preserve"> self-assessment report</w:t>
      </w:r>
      <w:r w:rsidR="00C73395" w:rsidRPr="00DD1B58">
        <w:rPr>
          <w:lang w:val="en-US"/>
        </w:rPr>
        <w:t xml:space="preserve"> </w:t>
      </w:r>
      <w:sdt>
        <w:sdtPr>
          <w:rPr>
            <w:lang w:val="en-US"/>
          </w:rPr>
          <w:id w:val="852998728"/>
          <w:citation/>
        </w:sdtPr>
        <w:sdtContent>
          <w:r w:rsidR="00712401" w:rsidRPr="00DD1B58">
            <w:rPr>
              <w:lang w:val="en-US"/>
            </w:rPr>
            <w:fldChar w:fldCharType="begin"/>
          </w:r>
          <w:r w:rsidR="00712401" w:rsidRPr="00DD1B58">
            <w:rPr>
              <w:lang w:val="en-US"/>
            </w:rPr>
            <w:instrText xml:space="preserve"> CITATION ENS \l 2057 </w:instrText>
          </w:r>
          <w:r w:rsidR="00712401" w:rsidRPr="00DD1B58">
            <w:rPr>
              <w:lang w:val="en-US"/>
            </w:rPr>
            <w:fldChar w:fldCharType="separate"/>
          </w:r>
          <w:r w:rsidR="00DF47DA" w:rsidRPr="00DF47DA">
            <w:rPr>
              <w:lang w:val="en-US"/>
            </w:rPr>
            <w:t>[9]</w:t>
          </w:r>
          <w:r w:rsidR="00712401" w:rsidRPr="00DD1B58">
            <w:rPr>
              <w:lang w:val="en-US"/>
            </w:rPr>
            <w:fldChar w:fldCharType="end"/>
          </w:r>
        </w:sdtContent>
      </w:sdt>
      <w:r w:rsidR="0056107C" w:rsidRPr="00DD1B58">
        <w:rPr>
          <w:lang w:val="en-US"/>
        </w:rPr>
        <w:t>.</w:t>
      </w:r>
    </w:p>
    <w:p w14:paraId="4B6E5D4E" w14:textId="77777777" w:rsidR="009F71FA" w:rsidRPr="00DD1B58" w:rsidRDefault="009F71FA" w:rsidP="009F71FA">
      <w:pPr>
        <w:pStyle w:val="Bulletlist1"/>
        <w:numPr>
          <w:ilvl w:val="0"/>
          <w:numId w:val="0"/>
        </w:numPr>
        <w:ind w:left="360" w:hanging="360"/>
        <w:rPr>
          <w:b/>
          <w:lang w:val="en-US"/>
        </w:rPr>
      </w:pPr>
      <w:r w:rsidRPr="00DD1B58">
        <w:rPr>
          <w:b/>
          <w:lang w:val="en-US"/>
        </w:rPr>
        <w:t>Emergency Exercises and REPPIR</w:t>
      </w:r>
    </w:p>
    <w:p w14:paraId="2CF24C3B" w14:textId="47BEE600" w:rsidR="00D568BB" w:rsidRPr="00DD1B58" w:rsidRDefault="0074626E" w:rsidP="0074626E">
      <w:pPr>
        <w:rPr>
          <w:lang w:val="en-US"/>
        </w:rPr>
      </w:pPr>
      <w:r w:rsidRPr="00DD1B58">
        <w:rPr>
          <w:lang w:val="en-US"/>
        </w:rPr>
        <w:t>Under REPPIR 2019 site as operators must prepare an emergency plan regulation 10(1) after completing an evaluation under Regulation 4(1) which show a radiation emergency may occur.</w:t>
      </w:r>
      <w:r w:rsidR="007E2F64" w:rsidRPr="00DD1B58">
        <w:rPr>
          <w:lang w:val="en-US"/>
        </w:rPr>
        <w:t xml:space="preserve"> </w:t>
      </w:r>
      <w:r w:rsidR="00C07D6E" w:rsidRPr="00DD1B58">
        <w:rPr>
          <w:lang w:val="en-US"/>
        </w:rPr>
        <w:t xml:space="preserve">Springfields’ </w:t>
      </w:r>
      <w:r w:rsidRPr="00DD1B58">
        <w:rPr>
          <w:lang w:val="en-US"/>
        </w:rPr>
        <w:t>On-site plan is set out in SSI 519 ‘On-Site Emergency Plan’.</w:t>
      </w:r>
      <w:r w:rsidR="00D568BB" w:rsidRPr="00DD1B58">
        <w:rPr>
          <w:lang w:val="en-US"/>
        </w:rPr>
        <w:t xml:space="preserve"> </w:t>
      </w:r>
      <w:r w:rsidRPr="00DD1B58">
        <w:rPr>
          <w:lang w:val="en-US"/>
        </w:rPr>
        <w:t xml:space="preserve">Under REPPIR 2019 </w:t>
      </w:r>
      <w:sdt>
        <w:sdtPr>
          <w:rPr>
            <w:lang w:val="en-US"/>
          </w:rPr>
          <w:id w:val="2135204375"/>
          <w:citation/>
        </w:sdtPr>
        <w:sdtContent>
          <w:r w:rsidR="004E1AA7" w:rsidRPr="00DD1B58">
            <w:rPr>
              <w:lang w:val="en-US"/>
            </w:rPr>
            <w:fldChar w:fldCharType="begin"/>
          </w:r>
          <w:r w:rsidR="005B050F" w:rsidRPr="00DD1B58">
            <w:rPr>
              <w:lang w:val="en-US"/>
            </w:rPr>
            <w:instrText xml:space="preserve">CITATION HMG \l 2057 </w:instrText>
          </w:r>
          <w:r w:rsidR="004E1AA7" w:rsidRPr="00DD1B58">
            <w:rPr>
              <w:lang w:val="en-US"/>
            </w:rPr>
            <w:fldChar w:fldCharType="separate"/>
          </w:r>
          <w:r w:rsidR="00DF47DA" w:rsidRPr="00DF47DA">
            <w:rPr>
              <w:noProof/>
              <w:lang w:val="en-US"/>
            </w:rPr>
            <w:t>[190]</w:t>
          </w:r>
          <w:r w:rsidR="004E1AA7" w:rsidRPr="00DD1B58">
            <w:rPr>
              <w:lang w:val="en-US"/>
            </w:rPr>
            <w:fldChar w:fldCharType="end"/>
          </w:r>
        </w:sdtContent>
      </w:sdt>
      <w:r w:rsidRPr="00DD1B58">
        <w:rPr>
          <w:lang w:val="en-US"/>
        </w:rPr>
        <w:t xml:space="preserve"> the site supplies an evaluation report to the UK ONR and Local Council. The Local Council then prepare the Off-Site Emergency Plan. The Off-Site Emergency Plan is then tested every 3 years during which Springfields provides support.</w:t>
      </w:r>
      <w:r w:rsidR="00C07D6E" w:rsidRPr="00DD1B58">
        <w:rPr>
          <w:lang w:val="en-US"/>
        </w:rPr>
        <w:t xml:space="preserve"> </w:t>
      </w:r>
      <w:r w:rsidR="00D568BB" w:rsidRPr="00DD1B58">
        <w:rPr>
          <w:lang w:val="en-US"/>
        </w:rPr>
        <w:t xml:space="preserve">Further details on the </w:t>
      </w:r>
      <w:r w:rsidR="000A242D" w:rsidRPr="00DD1B58">
        <w:rPr>
          <w:lang w:val="en-US"/>
        </w:rPr>
        <w:t xml:space="preserve">Springfields site approach to compliance with REPPIR which includes any applicable fire related emergency with potential nuclear consequences is provided in the Springfields </w:t>
      </w:r>
      <w:r w:rsidR="00C07D6E" w:rsidRPr="00DD1B58">
        <w:rPr>
          <w:lang w:val="en-US"/>
        </w:rPr>
        <w:t>self-assessment report</w:t>
      </w:r>
      <w:r w:rsidR="000A242D" w:rsidRPr="00DD1B58">
        <w:rPr>
          <w:lang w:val="en-US"/>
        </w:rPr>
        <w:t xml:space="preserve"> </w:t>
      </w:r>
      <w:sdt>
        <w:sdtPr>
          <w:rPr>
            <w:lang w:val="en-US"/>
          </w:rPr>
          <w:id w:val="266899873"/>
          <w:citation/>
        </w:sdtPr>
        <w:sdtContent>
          <w:r w:rsidR="00653D05" w:rsidRPr="00DD1B58">
            <w:rPr>
              <w:lang w:val="en-US"/>
            </w:rPr>
            <w:fldChar w:fldCharType="begin"/>
          </w:r>
          <w:r w:rsidR="00653D05" w:rsidRPr="00DD1B58">
            <w:rPr>
              <w:lang w:val="en-US"/>
            </w:rPr>
            <w:instrText xml:space="preserve"> CITATION ENS \l 2057 </w:instrText>
          </w:r>
          <w:r w:rsidR="00653D05" w:rsidRPr="00DD1B58">
            <w:rPr>
              <w:lang w:val="en-US"/>
            </w:rPr>
            <w:fldChar w:fldCharType="separate"/>
          </w:r>
          <w:r w:rsidR="00DF47DA" w:rsidRPr="00DF47DA">
            <w:rPr>
              <w:noProof/>
              <w:lang w:val="en-US"/>
            </w:rPr>
            <w:t>[9]</w:t>
          </w:r>
          <w:r w:rsidR="00653D05" w:rsidRPr="00DD1B58">
            <w:rPr>
              <w:lang w:val="en-US"/>
            </w:rPr>
            <w:fldChar w:fldCharType="end"/>
          </w:r>
        </w:sdtContent>
      </w:sdt>
      <w:r w:rsidR="000A242D" w:rsidRPr="00DD1B58">
        <w:rPr>
          <w:lang w:val="en-US"/>
        </w:rPr>
        <w:t>.</w:t>
      </w:r>
    </w:p>
    <w:p w14:paraId="66633E23" w14:textId="77777777" w:rsidR="00B26762" w:rsidRPr="00DD1B58" w:rsidRDefault="00B26762" w:rsidP="00177432">
      <w:pPr>
        <w:pStyle w:val="Heading5A"/>
        <w:numPr>
          <w:ilvl w:val="5"/>
          <w:numId w:val="7"/>
        </w:numPr>
        <w:rPr>
          <w:lang w:val="en-US"/>
        </w:rPr>
      </w:pPr>
      <w:r w:rsidRPr="00DD1B58">
        <w:rPr>
          <w:lang w:val="en-US"/>
        </w:rPr>
        <w:t>Specific provisions, e.g. loss of access</w:t>
      </w:r>
    </w:p>
    <w:p w14:paraId="0853A23B" w14:textId="4D450503" w:rsidR="00E45849" w:rsidRPr="00DD1B58" w:rsidRDefault="00E45849" w:rsidP="00E45849">
      <w:pPr>
        <w:rPr>
          <w:lang w:val="en-US"/>
        </w:rPr>
      </w:pPr>
      <w:r w:rsidRPr="00DD1B58">
        <w:rPr>
          <w:lang w:val="en-US"/>
        </w:rPr>
        <w:t xml:space="preserve">The local authority and emergency services have four pre-arranged </w:t>
      </w:r>
      <w:r w:rsidR="00DC2309" w:rsidRPr="00DD1B58">
        <w:rPr>
          <w:lang w:val="en-US"/>
        </w:rPr>
        <w:t>R</w:t>
      </w:r>
      <w:r w:rsidR="007A6C38" w:rsidRPr="00DD1B58">
        <w:rPr>
          <w:lang w:val="en-US"/>
        </w:rPr>
        <w:t xml:space="preserve">endezvous </w:t>
      </w:r>
      <w:r w:rsidR="00DC2309" w:rsidRPr="00DD1B58">
        <w:rPr>
          <w:lang w:val="en-US"/>
        </w:rPr>
        <w:t>P</w:t>
      </w:r>
      <w:r w:rsidR="007A6C38" w:rsidRPr="00DD1B58">
        <w:rPr>
          <w:lang w:val="en-US"/>
        </w:rPr>
        <w:t>oints (</w:t>
      </w:r>
      <w:r w:rsidRPr="00DD1B58">
        <w:rPr>
          <w:lang w:val="en-US"/>
        </w:rPr>
        <w:t>RVP</w:t>
      </w:r>
      <w:r w:rsidR="007A6C38" w:rsidRPr="00DD1B58">
        <w:rPr>
          <w:lang w:val="en-US"/>
        </w:rPr>
        <w:t>)</w:t>
      </w:r>
      <w:r w:rsidRPr="00DD1B58">
        <w:rPr>
          <w:lang w:val="en-US"/>
        </w:rPr>
        <w:t xml:space="preserve"> and three routes into site. Once at the site boundaries the site has four access gates North, South, East and West.</w:t>
      </w:r>
      <w:r w:rsidR="00733534" w:rsidRPr="00DD1B58">
        <w:rPr>
          <w:lang w:val="en-US"/>
        </w:rPr>
        <w:t xml:space="preserve"> </w:t>
      </w:r>
      <w:r w:rsidRPr="00DD1B58">
        <w:rPr>
          <w:lang w:val="en-US"/>
        </w:rPr>
        <w:t>Springfields site has access points to all high-risk buildings from multiple directions.</w:t>
      </w:r>
      <w:r w:rsidR="00B405BF" w:rsidRPr="00DD1B58">
        <w:rPr>
          <w:lang w:val="en-US"/>
        </w:rPr>
        <w:t xml:space="preserve"> </w:t>
      </w:r>
      <w:r w:rsidRPr="00DD1B58">
        <w:rPr>
          <w:lang w:val="en-US"/>
        </w:rPr>
        <w:t>The site has three agreed routes for offsite emergency responders with four access points and maintains a 24/7 on-site fire and rescue service on site.</w:t>
      </w:r>
    </w:p>
    <w:p w14:paraId="0B8358ED" w14:textId="77777777" w:rsidR="00B26762" w:rsidRPr="00DD1B58" w:rsidRDefault="00B26762" w:rsidP="00177432">
      <w:pPr>
        <w:pStyle w:val="Heading5A"/>
        <w:rPr>
          <w:lang w:val="en-US"/>
        </w:rPr>
      </w:pPr>
      <w:bookmarkStart w:id="120" w:name="_Ref140148153"/>
      <w:r w:rsidRPr="00DD1B58">
        <w:rPr>
          <w:lang w:val="en-US"/>
        </w:rPr>
        <w:t>Licensee’s experience of the implementation of the active fire protection</w:t>
      </w:r>
      <w:bookmarkEnd w:id="120"/>
    </w:p>
    <w:p w14:paraId="48F72502" w14:textId="77777777" w:rsidR="00B26762" w:rsidRPr="00DD1B58" w:rsidRDefault="00B26762" w:rsidP="00177432">
      <w:pPr>
        <w:pStyle w:val="Heading5A"/>
        <w:numPr>
          <w:ilvl w:val="5"/>
          <w:numId w:val="7"/>
        </w:numPr>
        <w:rPr>
          <w:lang w:val="en-US"/>
        </w:rPr>
      </w:pPr>
      <w:r w:rsidRPr="00DD1B58">
        <w:rPr>
          <w:lang w:val="en-US"/>
        </w:rPr>
        <w:t>Overview of strengths and weaknesses</w:t>
      </w:r>
    </w:p>
    <w:p w14:paraId="4C539E4F" w14:textId="6BDE2AAA" w:rsidR="00890088" w:rsidRPr="00DD1B58" w:rsidRDefault="00134292" w:rsidP="00B47097">
      <w:pPr>
        <w:rPr>
          <w:lang w:val="en-US"/>
        </w:rPr>
      </w:pPr>
      <w:r w:rsidRPr="00DD1B58">
        <w:rPr>
          <w:lang w:val="en-US"/>
        </w:rPr>
        <w:t>Springfields Fuels Ltd</w:t>
      </w:r>
      <w:r w:rsidR="00803801" w:rsidRPr="00DD1B58">
        <w:rPr>
          <w:lang w:val="en-US"/>
        </w:rPr>
        <w:t xml:space="preserve"> reported </w:t>
      </w:r>
      <w:r w:rsidR="006E4CE6" w:rsidRPr="00DD1B58">
        <w:rPr>
          <w:lang w:val="en-US"/>
        </w:rPr>
        <w:t>as a strength that</w:t>
      </w:r>
      <w:r w:rsidR="00803801" w:rsidRPr="00DD1B58">
        <w:rPr>
          <w:lang w:val="en-US"/>
        </w:rPr>
        <w:t xml:space="preserve"> </w:t>
      </w:r>
      <w:r w:rsidR="008A5ACC" w:rsidRPr="00DD1B58">
        <w:rPr>
          <w:lang w:val="en-US"/>
        </w:rPr>
        <w:t>Mitie</w:t>
      </w:r>
      <w:r w:rsidR="00803801" w:rsidRPr="00DD1B58">
        <w:rPr>
          <w:lang w:val="en-US"/>
        </w:rPr>
        <w:t xml:space="preserve"> </w:t>
      </w:r>
      <w:r w:rsidR="00B47097" w:rsidRPr="00DD1B58">
        <w:rPr>
          <w:lang w:val="en-US"/>
        </w:rPr>
        <w:t xml:space="preserve">emergency response </w:t>
      </w:r>
      <w:r w:rsidR="004874C4" w:rsidRPr="00DD1B58">
        <w:rPr>
          <w:lang w:val="en-US"/>
        </w:rPr>
        <w:t xml:space="preserve">has </w:t>
      </w:r>
      <w:r w:rsidR="00B47097" w:rsidRPr="00DD1B58">
        <w:rPr>
          <w:lang w:val="en-US"/>
        </w:rPr>
        <w:t>brought in several initiatives since taking over the site fire service role</w:t>
      </w:r>
      <w:r w:rsidR="006E4CE6" w:rsidRPr="00DD1B58">
        <w:rPr>
          <w:lang w:val="en-US"/>
        </w:rPr>
        <w:t xml:space="preserve">, </w:t>
      </w:r>
      <w:r w:rsidR="00B47097" w:rsidRPr="00DD1B58">
        <w:rPr>
          <w:lang w:val="en-US"/>
        </w:rPr>
        <w:t>based on National operational guidance (Incident command structure) and the JESIP model</w:t>
      </w:r>
      <w:r w:rsidR="00890088" w:rsidRPr="00DD1B58">
        <w:rPr>
          <w:lang w:val="en-US"/>
        </w:rPr>
        <w:t xml:space="preserve">. The main characteristics of the approach (reproduced literally from </w:t>
      </w:r>
      <w:r w:rsidR="004874C4" w:rsidRPr="00DD1B58">
        <w:rPr>
          <w:lang w:val="en-US"/>
        </w:rPr>
        <w:t xml:space="preserve">Springfields </w:t>
      </w:r>
      <w:r w:rsidR="00890088" w:rsidRPr="00DD1B58">
        <w:rPr>
          <w:lang w:val="en-US"/>
        </w:rPr>
        <w:t>self-assessment) as follows:</w:t>
      </w:r>
    </w:p>
    <w:p w14:paraId="3EED1BB5" w14:textId="4517AF26" w:rsidR="00B47097" w:rsidRPr="00DD1B58" w:rsidRDefault="00890088" w:rsidP="00973FF4">
      <w:pPr>
        <w:pStyle w:val="Bulletlist1"/>
        <w:rPr>
          <w:lang w:val="en-US"/>
        </w:rPr>
      </w:pPr>
      <w:r w:rsidRPr="00DD1B58">
        <w:rPr>
          <w:lang w:val="en-US"/>
        </w:rPr>
        <w:t>I</w:t>
      </w:r>
      <w:r w:rsidR="004874C4" w:rsidRPr="00DD1B58">
        <w:rPr>
          <w:lang w:val="en-US"/>
        </w:rPr>
        <w:t xml:space="preserve">f </w:t>
      </w:r>
      <w:r w:rsidR="00B47097" w:rsidRPr="00DD1B58">
        <w:rPr>
          <w:lang w:val="en-US"/>
        </w:rPr>
        <w:t xml:space="preserve">an exercise has been planned by </w:t>
      </w:r>
      <w:r w:rsidR="008A5ACC" w:rsidRPr="00DD1B58">
        <w:rPr>
          <w:lang w:val="en-US"/>
        </w:rPr>
        <w:t>Mitie</w:t>
      </w:r>
      <w:r w:rsidR="006E4CE6" w:rsidRPr="00DD1B58">
        <w:rPr>
          <w:lang w:val="en-US"/>
        </w:rPr>
        <w:t xml:space="preserve"> </w:t>
      </w:r>
      <w:r w:rsidR="00B47097" w:rsidRPr="00DD1B58">
        <w:rPr>
          <w:lang w:val="en-US"/>
        </w:rPr>
        <w:t>emergency response, the watch manager will send an Exercise 1 form to all the departments involved. This form details the date and time of the exercise, the exercise name, who oversees the exercise (exercise coordinator), venue, rendezvous points, aims &amp; objectives, exercise description, hazards involved (actual or simulated), preliminary briefing, scenario, general information, debrief arrangements and training elements applicable to the exercise.</w:t>
      </w:r>
    </w:p>
    <w:p w14:paraId="294CD4E2" w14:textId="77777777" w:rsidR="003C21C0" w:rsidRPr="00DD1B58" w:rsidRDefault="00B47097" w:rsidP="00973FF4">
      <w:pPr>
        <w:pStyle w:val="Bulletlist1"/>
        <w:rPr>
          <w:lang w:val="en-US"/>
        </w:rPr>
      </w:pPr>
      <w:r w:rsidRPr="00DD1B58">
        <w:rPr>
          <w:b/>
          <w:lang w:val="en-US"/>
        </w:rPr>
        <w:t>Dictaphones</w:t>
      </w:r>
      <w:r w:rsidRPr="00DD1B58">
        <w:rPr>
          <w:lang w:val="en-US"/>
        </w:rPr>
        <w:t>. When attending a site incident, the Officer in Charge will turn on the Dictaphone in the appliance cab and turn it off after the final debrief at the end of incident. This is to assist the Officer in Charge with the incident report, when they return to station.</w:t>
      </w:r>
    </w:p>
    <w:p w14:paraId="038FABAF" w14:textId="77777777" w:rsidR="001A38EF" w:rsidRPr="00DD1B58" w:rsidRDefault="001A38EF" w:rsidP="00973FF4">
      <w:pPr>
        <w:pStyle w:val="Bulletlist1"/>
        <w:rPr>
          <w:lang w:val="en-US"/>
        </w:rPr>
      </w:pPr>
      <w:r w:rsidRPr="00DD1B58">
        <w:rPr>
          <w:b/>
          <w:lang w:val="en-US"/>
        </w:rPr>
        <w:t>Debrief 1</w:t>
      </w:r>
      <w:r w:rsidRPr="00DD1B58">
        <w:rPr>
          <w:lang w:val="en-US"/>
        </w:rPr>
        <w:t>. After a protracted incident, a Debrief 1 form will be sent out by the Station Manager to all departments involved in the incident. This is for learning purposes for all departments to allow then to have an opinion of how the incident went and where improvements can be made and any new learning. This is a tool to determine peoples thought processes when involved in an incident.</w:t>
      </w:r>
    </w:p>
    <w:p w14:paraId="39BA1A49" w14:textId="38A71428" w:rsidR="001A38EF" w:rsidRPr="00DD1B58" w:rsidRDefault="001A38EF" w:rsidP="00973FF4">
      <w:pPr>
        <w:pStyle w:val="Bulletlist1"/>
        <w:rPr>
          <w:lang w:val="en-US"/>
        </w:rPr>
      </w:pPr>
      <w:r w:rsidRPr="00DD1B58">
        <w:rPr>
          <w:b/>
          <w:lang w:val="en-US"/>
        </w:rPr>
        <w:t>MD4</w:t>
      </w:r>
      <w:r w:rsidRPr="00DD1B58">
        <w:rPr>
          <w:lang w:val="en-US"/>
        </w:rPr>
        <w:t xml:space="preserve">. </w:t>
      </w:r>
      <w:r w:rsidR="008A5ACC" w:rsidRPr="00DD1B58">
        <w:rPr>
          <w:lang w:val="en-US"/>
        </w:rPr>
        <w:t>Mitie</w:t>
      </w:r>
      <w:r w:rsidR="00292A4F" w:rsidRPr="00DD1B58">
        <w:rPr>
          <w:lang w:val="en-US"/>
        </w:rPr>
        <w:t xml:space="preserve"> </w:t>
      </w:r>
      <w:r w:rsidRPr="00DD1B58">
        <w:rPr>
          <w:lang w:val="en-US"/>
        </w:rPr>
        <w:t>have introduced an MD4 decontamination tent for an easier decontamination process for firefighters and casualties. This also assists with environmental issues such as site water run-off, due to the MD4 having a 1000ltr clean tank of water that flushes through the decontamination tent, cleans individuals, then runs off or is pumped into a 1000ltr contamination tank. The contamination tank can then be taken away by an offsite specialist company. This prevents any contamination running into site drainage.</w:t>
      </w:r>
    </w:p>
    <w:p w14:paraId="338F47D3" w14:textId="7CBD03B7" w:rsidR="00B47097" w:rsidRPr="00DD1B58" w:rsidRDefault="008A5ACC" w:rsidP="00973FF4">
      <w:pPr>
        <w:pStyle w:val="Bulletlist1"/>
        <w:rPr>
          <w:lang w:val="en-US"/>
        </w:rPr>
      </w:pPr>
      <w:r w:rsidRPr="00DD1B58">
        <w:rPr>
          <w:lang w:val="en-US"/>
        </w:rPr>
        <w:t>Mitie</w:t>
      </w:r>
      <w:r w:rsidR="00292A4F" w:rsidRPr="00DD1B58">
        <w:rPr>
          <w:lang w:val="en-US"/>
        </w:rPr>
        <w:t xml:space="preserve"> </w:t>
      </w:r>
      <w:r w:rsidR="001A38EF" w:rsidRPr="00DD1B58">
        <w:rPr>
          <w:lang w:val="en-US"/>
        </w:rPr>
        <w:t xml:space="preserve">emergency response </w:t>
      </w:r>
      <w:r w:rsidR="00890088" w:rsidRPr="00DD1B58">
        <w:rPr>
          <w:lang w:val="en-US"/>
        </w:rPr>
        <w:t xml:space="preserve">has </w:t>
      </w:r>
      <w:r w:rsidR="001A38EF" w:rsidRPr="00DD1B58">
        <w:rPr>
          <w:lang w:val="en-US"/>
        </w:rPr>
        <w:t>introduced a beginning of shift briefing with the site SPM’s, ECC and Site Security. This is the opportunity for all parties to share their site information.</w:t>
      </w:r>
    </w:p>
    <w:p w14:paraId="1AC3334F" w14:textId="77777777" w:rsidR="00B26762" w:rsidRPr="00DD1B58" w:rsidRDefault="00B26762" w:rsidP="00177432">
      <w:pPr>
        <w:pStyle w:val="Heading5A"/>
        <w:numPr>
          <w:ilvl w:val="5"/>
          <w:numId w:val="7"/>
        </w:numPr>
        <w:rPr>
          <w:lang w:val="en-US"/>
        </w:rPr>
      </w:pPr>
      <w:r w:rsidRPr="00DD1B58">
        <w:rPr>
          <w:lang w:val="en-US"/>
        </w:rPr>
        <w:t>Lessons learned from events, reviews fire safety related missions, etc.</w:t>
      </w:r>
    </w:p>
    <w:p w14:paraId="4D942661" w14:textId="6E49DF2D" w:rsidR="00EE281B" w:rsidRPr="00DD1B58" w:rsidRDefault="009B104C" w:rsidP="00EE281B">
      <w:pPr>
        <w:rPr>
          <w:lang w:val="en-US"/>
        </w:rPr>
      </w:pPr>
      <w:r w:rsidRPr="00DD1B58">
        <w:rPr>
          <w:lang w:val="en-US"/>
        </w:rPr>
        <w:t xml:space="preserve">No </w:t>
      </w:r>
      <w:r w:rsidR="00016855" w:rsidRPr="00DD1B58">
        <w:rPr>
          <w:lang w:val="en-US"/>
        </w:rPr>
        <w:t>further specific</w:t>
      </w:r>
      <w:r w:rsidR="00890088" w:rsidRPr="00DD1B58">
        <w:rPr>
          <w:lang w:val="en-US"/>
        </w:rPr>
        <w:t xml:space="preserve"> </w:t>
      </w:r>
      <w:r w:rsidRPr="00DD1B58">
        <w:rPr>
          <w:lang w:val="en-US"/>
        </w:rPr>
        <w:t>le</w:t>
      </w:r>
      <w:r w:rsidR="00590949" w:rsidRPr="00DD1B58">
        <w:rPr>
          <w:lang w:val="en-US"/>
        </w:rPr>
        <w:t>ssons learned</w:t>
      </w:r>
      <w:r w:rsidRPr="00DD1B58">
        <w:rPr>
          <w:lang w:val="en-US"/>
        </w:rPr>
        <w:t xml:space="preserve"> </w:t>
      </w:r>
      <w:r w:rsidR="00890088" w:rsidRPr="00DD1B58">
        <w:rPr>
          <w:lang w:val="en-US"/>
        </w:rPr>
        <w:t>regarding</w:t>
      </w:r>
      <w:r w:rsidR="00433975" w:rsidRPr="00DD1B58">
        <w:rPr>
          <w:lang w:val="en-US"/>
        </w:rPr>
        <w:t xml:space="preserve"> active fire protection</w:t>
      </w:r>
      <w:r w:rsidR="00890088" w:rsidRPr="00DD1B58">
        <w:rPr>
          <w:lang w:val="en-US"/>
        </w:rPr>
        <w:t xml:space="preserve"> are provided </w:t>
      </w:r>
      <w:r w:rsidR="00016855" w:rsidRPr="00DD1B58">
        <w:rPr>
          <w:lang w:val="en-US"/>
        </w:rPr>
        <w:t>in the licensee self-assessment.</w:t>
      </w:r>
    </w:p>
    <w:p w14:paraId="4791386C" w14:textId="77777777" w:rsidR="00B26762" w:rsidRPr="00DD1B58" w:rsidRDefault="00B26762" w:rsidP="00177432">
      <w:pPr>
        <w:pStyle w:val="Heading5A"/>
        <w:numPr>
          <w:ilvl w:val="5"/>
          <w:numId w:val="7"/>
        </w:numPr>
        <w:rPr>
          <w:lang w:val="en-US"/>
        </w:rPr>
      </w:pPr>
      <w:r w:rsidRPr="00DD1B58">
        <w:rPr>
          <w:lang w:val="en-US"/>
        </w:rPr>
        <w:t>Overview of actions and implementation status</w:t>
      </w:r>
    </w:p>
    <w:p w14:paraId="292E5144" w14:textId="49359B0C" w:rsidR="00275952" w:rsidRPr="00DD1B58" w:rsidRDefault="00275952" w:rsidP="00275952">
      <w:pPr>
        <w:rPr>
          <w:lang w:val="en-US"/>
        </w:rPr>
      </w:pPr>
      <w:r w:rsidRPr="00DD1B58">
        <w:rPr>
          <w:lang w:val="en-US"/>
        </w:rPr>
        <w:t xml:space="preserve">No specific actions have been </w:t>
      </w:r>
      <w:r w:rsidR="00016855" w:rsidRPr="00DD1B58">
        <w:rPr>
          <w:lang w:val="en-US"/>
        </w:rPr>
        <w:t>regarding</w:t>
      </w:r>
      <w:r w:rsidR="00284849" w:rsidRPr="00DD1B58">
        <w:rPr>
          <w:lang w:val="en-US"/>
        </w:rPr>
        <w:t xml:space="preserve"> active fire protection</w:t>
      </w:r>
      <w:r w:rsidR="00016855" w:rsidRPr="00DD1B58">
        <w:rPr>
          <w:lang w:val="en-US"/>
        </w:rPr>
        <w:t xml:space="preserve"> are provided in the licensee self-assessment.</w:t>
      </w:r>
    </w:p>
    <w:p w14:paraId="70F062DC" w14:textId="77777777" w:rsidR="00B26762" w:rsidRPr="00DD1B58" w:rsidRDefault="00B26762" w:rsidP="00177432">
      <w:pPr>
        <w:pStyle w:val="Heading5A"/>
        <w:rPr>
          <w:lang w:val="en-US"/>
        </w:rPr>
      </w:pPr>
      <w:bookmarkStart w:id="121" w:name="_Ref145058682"/>
      <w:r w:rsidRPr="00DD1B58">
        <w:rPr>
          <w:lang w:val="en-US"/>
        </w:rPr>
        <w:t>Regulator’s assessment of the active fire protection</w:t>
      </w:r>
      <w:bookmarkEnd w:id="121"/>
    </w:p>
    <w:p w14:paraId="510D84DC" w14:textId="77777777" w:rsidR="00B26762" w:rsidRPr="00DD1B58" w:rsidRDefault="00B26762" w:rsidP="00177432">
      <w:pPr>
        <w:pStyle w:val="Heading5A"/>
        <w:numPr>
          <w:ilvl w:val="5"/>
          <w:numId w:val="7"/>
        </w:numPr>
        <w:rPr>
          <w:lang w:val="en-US"/>
        </w:rPr>
      </w:pPr>
      <w:r w:rsidRPr="00DD1B58">
        <w:rPr>
          <w:lang w:val="en-US"/>
        </w:rPr>
        <w:t>Overview of strengths and weaknesses in the active fire protection</w:t>
      </w:r>
    </w:p>
    <w:p w14:paraId="0EAEDE57" w14:textId="77777777" w:rsidR="005F6B62" w:rsidRPr="00DD1B58" w:rsidRDefault="00746251" w:rsidP="005F6B62">
      <w:pPr>
        <w:rPr>
          <w:b/>
          <w:lang w:val="en-US"/>
        </w:rPr>
      </w:pPr>
      <w:r w:rsidRPr="00DD1B58">
        <w:rPr>
          <w:b/>
          <w:lang w:val="en-US"/>
        </w:rPr>
        <w:t>Strengths</w:t>
      </w:r>
    </w:p>
    <w:p w14:paraId="0AC3761F" w14:textId="19CC4052" w:rsidR="00746251" w:rsidRPr="00DD1B58" w:rsidRDefault="005162AB" w:rsidP="005F6B62">
      <w:pPr>
        <w:rPr>
          <w:lang w:val="en-US"/>
        </w:rPr>
      </w:pPr>
      <w:r w:rsidRPr="00DD1B58">
        <w:rPr>
          <w:lang w:val="en-US"/>
        </w:rPr>
        <w:t xml:space="preserve">Springfields </w:t>
      </w:r>
      <w:r w:rsidR="004874C4" w:rsidRPr="00DD1B58">
        <w:rPr>
          <w:lang w:val="en-US"/>
        </w:rPr>
        <w:t xml:space="preserve">Fuels </w:t>
      </w:r>
      <w:r w:rsidR="003D7E70" w:rsidRPr="00DD1B58">
        <w:rPr>
          <w:lang w:val="en-US"/>
        </w:rPr>
        <w:t>Ltd</w:t>
      </w:r>
      <w:r w:rsidR="004874C4" w:rsidRPr="00DD1B58">
        <w:rPr>
          <w:lang w:val="en-US"/>
        </w:rPr>
        <w:t xml:space="preserve"> has </w:t>
      </w:r>
      <w:r w:rsidR="00B47923" w:rsidRPr="00DD1B58">
        <w:rPr>
          <w:lang w:val="en-US"/>
        </w:rPr>
        <w:t xml:space="preserve">identified several improvements </w:t>
      </w:r>
      <w:r w:rsidR="00172D76" w:rsidRPr="00DD1B58">
        <w:rPr>
          <w:lang w:val="en-US"/>
        </w:rPr>
        <w:t xml:space="preserve">made to </w:t>
      </w:r>
      <w:r w:rsidR="00B47923" w:rsidRPr="00DD1B58">
        <w:rPr>
          <w:lang w:val="en-US"/>
        </w:rPr>
        <w:t xml:space="preserve">emergency response arrangements </w:t>
      </w:r>
      <w:r w:rsidR="00711E5E" w:rsidRPr="00DD1B58">
        <w:rPr>
          <w:lang w:val="en-US"/>
        </w:rPr>
        <w:t>and practices which are relevant to fire safety.</w:t>
      </w:r>
      <w:r w:rsidR="00A14B17" w:rsidRPr="00DD1B58">
        <w:rPr>
          <w:lang w:val="en-US"/>
        </w:rPr>
        <w:t xml:space="preserve"> The </w:t>
      </w:r>
      <w:r w:rsidR="003D6D27" w:rsidRPr="00DD1B58">
        <w:rPr>
          <w:lang w:val="en-US"/>
        </w:rPr>
        <w:t>emergency response</w:t>
      </w:r>
      <w:r w:rsidR="00D83770" w:rsidRPr="00DD1B58">
        <w:rPr>
          <w:lang w:val="en-US"/>
        </w:rPr>
        <w:t xml:space="preserve"> approach now incorporates the </w:t>
      </w:r>
      <w:r w:rsidR="003075EE" w:rsidRPr="00DD1B58">
        <w:rPr>
          <w:lang w:val="en-US"/>
        </w:rPr>
        <w:t>Joint Emergency Services Inter</w:t>
      </w:r>
      <w:r w:rsidR="0089059A" w:rsidRPr="00DD1B58">
        <w:rPr>
          <w:lang w:val="en-US"/>
        </w:rPr>
        <w:t xml:space="preserve">operability Principles </w:t>
      </w:r>
      <w:r w:rsidR="00D93247" w:rsidRPr="00DD1B58">
        <w:rPr>
          <w:lang w:val="en-US"/>
        </w:rPr>
        <w:t xml:space="preserve">(JESIP) model which </w:t>
      </w:r>
      <w:r w:rsidR="00976EFC" w:rsidRPr="00DD1B58">
        <w:rPr>
          <w:lang w:val="en-US"/>
        </w:rPr>
        <w:t>ONR considers</w:t>
      </w:r>
      <w:r w:rsidR="00D93247" w:rsidRPr="00DD1B58">
        <w:rPr>
          <w:lang w:val="en-US"/>
        </w:rPr>
        <w:t xml:space="preserve"> relevant good practic</w:t>
      </w:r>
      <w:r w:rsidR="00EB5DF0" w:rsidRPr="00DD1B58">
        <w:rPr>
          <w:lang w:val="en-US"/>
        </w:rPr>
        <w:t>e</w:t>
      </w:r>
      <w:r w:rsidR="00875E1C" w:rsidRPr="00DD1B58">
        <w:rPr>
          <w:lang w:val="en-US"/>
        </w:rPr>
        <w:t xml:space="preserve">. This </w:t>
      </w:r>
      <w:r w:rsidR="003B72D4" w:rsidRPr="00DD1B58">
        <w:rPr>
          <w:lang w:val="en-US"/>
        </w:rPr>
        <w:t>represents an</w:t>
      </w:r>
      <w:r w:rsidR="00C60AAC" w:rsidRPr="00DD1B58">
        <w:rPr>
          <w:lang w:val="en-US"/>
        </w:rPr>
        <w:t xml:space="preserve"> enhancement of the site</w:t>
      </w:r>
      <w:r w:rsidR="003B72D4" w:rsidRPr="00DD1B58">
        <w:rPr>
          <w:lang w:val="en-US"/>
        </w:rPr>
        <w:t>’</w:t>
      </w:r>
      <w:r w:rsidR="00C60AAC" w:rsidRPr="00DD1B58">
        <w:rPr>
          <w:lang w:val="en-US"/>
        </w:rPr>
        <w:t xml:space="preserve">s ability to deal effectively with a range of potential incidents. </w:t>
      </w:r>
      <w:r w:rsidR="006B1AD2" w:rsidRPr="00DD1B58">
        <w:rPr>
          <w:lang w:val="en-US"/>
        </w:rPr>
        <w:t>ONR judges</w:t>
      </w:r>
      <w:r w:rsidR="00C52231" w:rsidRPr="00DD1B58">
        <w:rPr>
          <w:lang w:val="en-US"/>
        </w:rPr>
        <w:t xml:space="preserve"> this</w:t>
      </w:r>
      <w:r w:rsidR="006B1AD2" w:rsidRPr="00DD1B58">
        <w:rPr>
          <w:lang w:val="en-US"/>
        </w:rPr>
        <w:t xml:space="preserve"> that meets the expectations of </w:t>
      </w:r>
      <w:r w:rsidR="00AD4726" w:rsidRPr="00DD1B58">
        <w:rPr>
          <w:lang w:val="en-US"/>
        </w:rPr>
        <w:t>WENRA Safety Reference Level SV 6.13</w:t>
      </w:r>
      <w:r w:rsidR="0031549E" w:rsidRPr="00DD1B58">
        <w:rPr>
          <w:lang w:val="en-US"/>
        </w:rPr>
        <w:t xml:space="preserve"> </w:t>
      </w:r>
      <w:sdt>
        <w:sdtPr>
          <w:rPr>
            <w:lang w:val="en-US"/>
          </w:rPr>
          <w:id w:val="108864268"/>
          <w:citation/>
        </w:sdtPr>
        <w:sdtContent>
          <w:r w:rsidR="00B35112" w:rsidRPr="00DD1B58">
            <w:rPr>
              <w:lang w:val="en-US"/>
            </w:rPr>
            <w:fldChar w:fldCharType="begin"/>
          </w:r>
          <w:r w:rsidR="001270D9" w:rsidRPr="00DD1B58">
            <w:rPr>
              <w:lang w:val="en-US"/>
            </w:rPr>
            <w:instrText xml:space="preserve">CITATION WEN2 \l 2057 </w:instrText>
          </w:r>
          <w:r w:rsidR="00B35112" w:rsidRPr="00DD1B58">
            <w:rPr>
              <w:lang w:val="en-US"/>
            </w:rPr>
            <w:fldChar w:fldCharType="separate"/>
          </w:r>
          <w:r w:rsidR="00DF47DA" w:rsidRPr="00DF47DA">
            <w:rPr>
              <w:noProof/>
              <w:lang w:val="en-US"/>
            </w:rPr>
            <w:t>[1]</w:t>
          </w:r>
          <w:r w:rsidR="00B35112" w:rsidRPr="00DD1B58">
            <w:rPr>
              <w:lang w:val="en-US"/>
            </w:rPr>
            <w:fldChar w:fldCharType="end"/>
          </w:r>
        </w:sdtContent>
      </w:sdt>
      <w:r w:rsidR="00B35112" w:rsidRPr="00DD1B58">
        <w:rPr>
          <w:lang w:val="en-US"/>
        </w:rPr>
        <w:t xml:space="preserve"> </w:t>
      </w:r>
      <w:r w:rsidR="0031549E" w:rsidRPr="00DD1B58">
        <w:rPr>
          <w:lang w:val="en-US"/>
        </w:rPr>
        <w:t xml:space="preserve">as well </w:t>
      </w:r>
      <w:r w:rsidR="007A6148" w:rsidRPr="00DD1B58">
        <w:rPr>
          <w:lang w:val="en-US"/>
        </w:rPr>
        <w:t xml:space="preserve">being </w:t>
      </w:r>
      <w:r w:rsidR="00792F07" w:rsidRPr="00DD1B58">
        <w:rPr>
          <w:lang w:val="en-US"/>
        </w:rPr>
        <w:t xml:space="preserve">a key part of demonstrating compliance </w:t>
      </w:r>
      <w:r w:rsidR="009C3821" w:rsidRPr="00DD1B58">
        <w:rPr>
          <w:lang w:val="en-US"/>
        </w:rPr>
        <w:t xml:space="preserve">with </w:t>
      </w:r>
      <w:r w:rsidR="00976EFC" w:rsidRPr="00DD1B58">
        <w:rPr>
          <w:lang w:val="en-US"/>
        </w:rPr>
        <w:t>LC</w:t>
      </w:r>
      <w:r w:rsidR="009C3821" w:rsidRPr="00DD1B58">
        <w:rPr>
          <w:lang w:val="en-US"/>
        </w:rPr>
        <w:t xml:space="preserve"> 11 – Emergency Arrangements.</w:t>
      </w:r>
    </w:p>
    <w:p w14:paraId="7077FAF3" w14:textId="7157F2D5" w:rsidR="00E70111" w:rsidRPr="00DD1B58" w:rsidRDefault="00134292" w:rsidP="00F17649">
      <w:pPr>
        <w:rPr>
          <w:lang w:val="en-US"/>
        </w:rPr>
      </w:pPr>
      <w:r w:rsidRPr="00DD1B58">
        <w:rPr>
          <w:lang w:val="en-US"/>
        </w:rPr>
        <w:t>Springfields Fuels Ltd</w:t>
      </w:r>
      <w:r w:rsidR="00976EFC" w:rsidRPr="00DD1B58">
        <w:rPr>
          <w:lang w:val="en-US"/>
        </w:rPr>
        <w:t xml:space="preserve"> has </w:t>
      </w:r>
      <w:r w:rsidR="00D42974" w:rsidRPr="00DD1B58">
        <w:rPr>
          <w:lang w:val="en-US"/>
        </w:rPr>
        <w:t xml:space="preserve">identified that </w:t>
      </w:r>
      <w:r w:rsidR="00387E3D" w:rsidRPr="00DD1B58">
        <w:rPr>
          <w:lang w:val="en-US"/>
        </w:rPr>
        <w:t>no fire suppression systems are claimed for nuclear safety</w:t>
      </w:r>
      <w:r w:rsidR="00270507" w:rsidRPr="00DD1B58">
        <w:rPr>
          <w:lang w:val="en-US"/>
        </w:rPr>
        <w:t xml:space="preserve"> to prevent radiological releases</w:t>
      </w:r>
      <w:r w:rsidR="00792712" w:rsidRPr="00DD1B58">
        <w:rPr>
          <w:lang w:val="en-US"/>
        </w:rPr>
        <w:t xml:space="preserve">. It also </w:t>
      </w:r>
      <w:r w:rsidR="006D798B" w:rsidRPr="00DD1B58">
        <w:rPr>
          <w:lang w:val="en-US"/>
        </w:rPr>
        <w:t>states that</w:t>
      </w:r>
      <w:r w:rsidR="00792712" w:rsidRPr="00DD1B58">
        <w:rPr>
          <w:lang w:val="en-US"/>
        </w:rPr>
        <w:t xml:space="preserve"> the fire alarm and detection system is generally only claimed for prompt personnel </w:t>
      </w:r>
      <w:r w:rsidR="00D70A7C" w:rsidRPr="00DD1B58">
        <w:rPr>
          <w:lang w:val="en-US"/>
        </w:rPr>
        <w:t xml:space="preserve">evacuation and to alert the on-site fire service </w:t>
      </w:r>
      <w:r w:rsidR="001F20D2" w:rsidRPr="00DD1B58">
        <w:rPr>
          <w:lang w:val="en-US"/>
        </w:rPr>
        <w:t>as part of defence in depth</w:t>
      </w:r>
      <w:r w:rsidR="00411AFC" w:rsidRPr="00DD1B58">
        <w:rPr>
          <w:lang w:val="en-US"/>
        </w:rPr>
        <w:t xml:space="preserve">. </w:t>
      </w:r>
      <w:r w:rsidR="00D510C3" w:rsidRPr="00DD1B58">
        <w:rPr>
          <w:lang w:val="en-US"/>
        </w:rPr>
        <w:t>Springfields ha</w:t>
      </w:r>
      <w:r w:rsidR="00CF3EBD" w:rsidRPr="00DD1B58">
        <w:rPr>
          <w:lang w:val="en-US"/>
        </w:rPr>
        <w:t xml:space="preserve">s stated </w:t>
      </w:r>
      <w:r w:rsidR="00F17649" w:rsidRPr="00DD1B58">
        <w:rPr>
          <w:lang w:val="en-US"/>
        </w:rPr>
        <w:t xml:space="preserve">the following in relation to </w:t>
      </w:r>
      <w:r w:rsidR="00D55223" w:rsidRPr="00DD1B58">
        <w:rPr>
          <w:lang w:val="en-US"/>
        </w:rPr>
        <w:t xml:space="preserve">the role of the onsite fire </w:t>
      </w:r>
      <w:r w:rsidR="005A48DF" w:rsidRPr="00DD1B58">
        <w:rPr>
          <w:lang w:val="en-US"/>
        </w:rPr>
        <w:t>service</w:t>
      </w:r>
      <w:r w:rsidR="00F17649" w:rsidRPr="00DD1B58">
        <w:rPr>
          <w:lang w:val="en-US"/>
        </w:rPr>
        <w:t xml:space="preserve">. </w:t>
      </w:r>
      <w:r w:rsidR="00E70111" w:rsidRPr="00DD1B58">
        <w:rPr>
          <w:lang w:val="en-US"/>
        </w:rPr>
        <w:t>“</w:t>
      </w:r>
      <w:r w:rsidR="00C417B9" w:rsidRPr="00DD1B58">
        <w:rPr>
          <w:i/>
          <w:iCs/>
          <w:lang w:val="en-US"/>
        </w:rPr>
        <w:t xml:space="preserve">In accordance with IAEA safety standard – Safety </w:t>
      </w:r>
      <w:r w:rsidR="00F621E4" w:rsidRPr="00DD1B58">
        <w:rPr>
          <w:i/>
          <w:iCs/>
          <w:lang w:val="en-US"/>
        </w:rPr>
        <w:t>of</w:t>
      </w:r>
      <w:r w:rsidR="00C417B9" w:rsidRPr="00DD1B58">
        <w:rPr>
          <w:i/>
          <w:iCs/>
          <w:lang w:val="en-US"/>
        </w:rPr>
        <w:t xml:space="preserve"> Nuclear Fuel Cycle facilities</w:t>
      </w:r>
      <w:r w:rsidR="00F621E4" w:rsidRPr="00DD1B58">
        <w:rPr>
          <w:i/>
          <w:iCs/>
          <w:lang w:val="en-US"/>
        </w:rPr>
        <w:t xml:space="preserve"> </w:t>
      </w:r>
      <w:sdt>
        <w:sdtPr>
          <w:rPr>
            <w:i/>
            <w:iCs/>
            <w:lang w:val="en-US"/>
          </w:rPr>
          <w:id w:val="-1790202826"/>
          <w:citation/>
        </w:sdtPr>
        <w:sdtContent>
          <w:r w:rsidR="008E4708" w:rsidRPr="00DD1B58">
            <w:rPr>
              <w:i/>
              <w:iCs/>
              <w:lang w:val="en-US"/>
            </w:rPr>
            <w:fldChar w:fldCharType="begin"/>
          </w:r>
          <w:r w:rsidR="008E4708" w:rsidRPr="00DD1B58">
            <w:rPr>
              <w:i/>
              <w:iCs/>
              <w:lang w:val="en-US"/>
            </w:rPr>
            <w:instrText xml:space="preserve"> CITATION INT17 \l 2057 </w:instrText>
          </w:r>
          <w:r w:rsidR="008E4708" w:rsidRPr="00DD1B58">
            <w:rPr>
              <w:i/>
              <w:iCs/>
              <w:lang w:val="en-US"/>
            </w:rPr>
            <w:fldChar w:fldCharType="separate"/>
          </w:r>
          <w:r w:rsidR="00DF47DA" w:rsidRPr="00DF47DA">
            <w:rPr>
              <w:noProof/>
              <w:lang w:val="en-US"/>
            </w:rPr>
            <w:t>[19]</w:t>
          </w:r>
          <w:r w:rsidR="008E4708" w:rsidRPr="00DD1B58">
            <w:rPr>
              <w:i/>
              <w:iCs/>
              <w:lang w:val="en-US"/>
            </w:rPr>
            <w:fldChar w:fldCharType="end"/>
          </w:r>
        </w:sdtContent>
      </w:sdt>
      <w:r w:rsidR="00C417B9" w:rsidRPr="00DD1B58">
        <w:rPr>
          <w:i/>
          <w:iCs/>
          <w:lang w:val="en-US"/>
        </w:rPr>
        <w:t xml:space="preserve"> a defence in depth approach is adopted for the </w:t>
      </w:r>
      <w:r w:rsidR="00C63870" w:rsidRPr="00DD1B58">
        <w:rPr>
          <w:i/>
          <w:iCs/>
          <w:lang w:val="en-US"/>
        </w:rPr>
        <w:t xml:space="preserve">Springfields Fuels </w:t>
      </w:r>
      <w:r w:rsidR="00C417B9" w:rsidRPr="00DD1B58">
        <w:rPr>
          <w:i/>
          <w:iCs/>
          <w:lang w:val="en-US"/>
        </w:rPr>
        <w:t>cycle facilities with respect to fire. As identified in Section</w:t>
      </w:r>
      <w:r w:rsidR="00166345" w:rsidRPr="00DD1B58">
        <w:rPr>
          <w:i/>
          <w:iCs/>
          <w:lang w:val="en-US"/>
        </w:rPr>
        <w:t xml:space="preserve"> </w:t>
      </w:r>
      <w:r w:rsidR="00166345" w:rsidRPr="00DD1B58">
        <w:rPr>
          <w:i/>
          <w:iCs/>
          <w:lang w:val="en-US"/>
        </w:rPr>
        <w:fldChar w:fldCharType="begin"/>
      </w:r>
      <w:r w:rsidR="00166345" w:rsidRPr="00DD1B58">
        <w:rPr>
          <w:i/>
          <w:iCs/>
          <w:lang w:val="en-US"/>
        </w:rPr>
        <w:instrText xml:space="preserve"> REF _Ref139877221 \r \h </w:instrText>
      </w:r>
      <w:r w:rsidR="00166345" w:rsidRPr="00DD1B58">
        <w:rPr>
          <w:i/>
          <w:iCs/>
          <w:lang w:val="en-US"/>
        </w:rPr>
      </w:r>
      <w:r w:rsidR="00166345" w:rsidRPr="00DD1B58">
        <w:rPr>
          <w:i/>
          <w:iCs/>
          <w:lang w:val="en-US"/>
        </w:rPr>
        <w:fldChar w:fldCharType="separate"/>
      </w:r>
      <w:r w:rsidR="00DF47DA">
        <w:rPr>
          <w:i/>
          <w:iCs/>
          <w:lang w:val="en-US"/>
        </w:rPr>
        <w:t>II-2.3.2</w:t>
      </w:r>
      <w:r w:rsidR="00166345" w:rsidRPr="00DD1B58">
        <w:rPr>
          <w:i/>
          <w:iCs/>
          <w:lang w:val="en-US"/>
        </w:rPr>
        <w:fldChar w:fldCharType="end"/>
      </w:r>
      <w:r w:rsidR="00C417B9" w:rsidRPr="00DD1B58">
        <w:rPr>
          <w:i/>
          <w:iCs/>
          <w:lang w:val="en-US"/>
        </w:rPr>
        <w:t xml:space="preserve"> site fire service intervention is claimed in nuclear fire safety assessments as part of defence in depth</w:t>
      </w:r>
      <w:r w:rsidR="00194304" w:rsidRPr="00DD1B58">
        <w:rPr>
          <w:i/>
          <w:iCs/>
          <w:lang w:val="en-US"/>
        </w:rPr>
        <w:t xml:space="preserve"> […] </w:t>
      </w:r>
      <w:r w:rsidR="00C417B9" w:rsidRPr="00DD1B58">
        <w:rPr>
          <w:i/>
          <w:iCs/>
          <w:lang w:val="en-US"/>
        </w:rPr>
        <w:t xml:space="preserve">The </w:t>
      </w:r>
      <w:r w:rsidR="00EE1DB2" w:rsidRPr="00DD1B58">
        <w:rPr>
          <w:i/>
          <w:iCs/>
          <w:lang w:val="en-US"/>
        </w:rPr>
        <w:t>on-site</w:t>
      </w:r>
      <w:r w:rsidR="00C417B9" w:rsidRPr="00DD1B58">
        <w:rPr>
          <w:i/>
          <w:iCs/>
          <w:lang w:val="en-US"/>
        </w:rPr>
        <w:t xml:space="preserve"> fire service </w:t>
      </w:r>
      <w:r w:rsidR="00EE1DB2" w:rsidRPr="00DD1B58">
        <w:rPr>
          <w:i/>
          <w:iCs/>
          <w:lang w:val="en-US"/>
        </w:rPr>
        <w:t>provides</w:t>
      </w:r>
      <w:r w:rsidR="00C417B9" w:rsidRPr="00DD1B58">
        <w:rPr>
          <w:i/>
          <w:iCs/>
          <w:lang w:val="en-US"/>
        </w:rPr>
        <w:t xml:space="preserve"> the emergency response to any incident. In some </w:t>
      </w:r>
      <w:r w:rsidR="00EE1DB2" w:rsidRPr="00DD1B58">
        <w:rPr>
          <w:i/>
          <w:iCs/>
          <w:lang w:val="en-US"/>
        </w:rPr>
        <w:t>cases,</w:t>
      </w:r>
      <w:r w:rsidR="00C417B9" w:rsidRPr="00DD1B58">
        <w:rPr>
          <w:i/>
          <w:iCs/>
          <w:lang w:val="en-US"/>
        </w:rPr>
        <w:t xml:space="preserve"> specific means for fighting fires can only be undertaken by the site fire </w:t>
      </w:r>
      <w:r w:rsidR="00EE1DB2" w:rsidRPr="00DD1B58">
        <w:rPr>
          <w:i/>
          <w:iCs/>
          <w:lang w:val="en-US"/>
        </w:rPr>
        <w:t>service e.g.,</w:t>
      </w:r>
      <w:r w:rsidR="00C417B9" w:rsidRPr="00DD1B58">
        <w:rPr>
          <w:i/>
          <w:iCs/>
          <w:lang w:val="en-US"/>
        </w:rPr>
        <w:t xml:space="preserve"> the use of 50kg wheeled non hydrogenous dry powder units in areas where a criticality event could occur</w:t>
      </w:r>
      <w:r w:rsidR="00C417B9" w:rsidRPr="00DD1B58">
        <w:rPr>
          <w:lang w:val="en-US"/>
        </w:rPr>
        <w:t>”</w:t>
      </w:r>
      <w:r w:rsidR="00293A79" w:rsidRPr="00DD1B58">
        <w:rPr>
          <w:lang w:val="en-US"/>
        </w:rPr>
        <w:t>.</w:t>
      </w:r>
    </w:p>
    <w:p w14:paraId="45E32241" w14:textId="022E2893" w:rsidR="006E71B5" w:rsidRPr="00DD1B58" w:rsidRDefault="006E71B5" w:rsidP="006E71B5">
      <w:pPr>
        <w:rPr>
          <w:lang w:val="en-US"/>
        </w:rPr>
      </w:pPr>
      <w:r w:rsidRPr="00DD1B58">
        <w:rPr>
          <w:lang w:val="en-US"/>
        </w:rPr>
        <w:t xml:space="preserve">ONR </w:t>
      </w:r>
      <w:r w:rsidR="00A03AFD" w:rsidRPr="00DD1B58">
        <w:rPr>
          <w:lang w:val="en-US"/>
        </w:rPr>
        <w:t xml:space="preserve">judges </w:t>
      </w:r>
      <w:r w:rsidR="000F58F7" w:rsidRPr="00DD1B58">
        <w:rPr>
          <w:lang w:val="en-US"/>
        </w:rPr>
        <w:t>that the</w:t>
      </w:r>
      <w:r w:rsidRPr="00DD1B58">
        <w:rPr>
          <w:lang w:val="en-US"/>
        </w:rPr>
        <w:t xml:space="preserve"> position is aligned with SAP EKP.5 – Safety Measures </w:t>
      </w:r>
      <w:sdt>
        <w:sdtPr>
          <w:rPr>
            <w:lang w:val="en-US"/>
          </w:rPr>
          <w:id w:val="-81758416"/>
          <w:citation/>
        </w:sdtPr>
        <w:sdtContent>
          <w:r w:rsidR="00D21ACC" w:rsidRPr="00DD1B58">
            <w:rPr>
              <w:lang w:val="en-US"/>
            </w:rPr>
            <w:fldChar w:fldCharType="begin"/>
          </w:r>
          <w:r w:rsidR="00D21ACC" w:rsidRPr="00DD1B58">
            <w:rPr>
              <w:lang w:val="en-US"/>
            </w:rPr>
            <w:instrText xml:space="preserve"> CITATION Off20 \l 2057 </w:instrText>
          </w:r>
          <w:r w:rsidR="00D21ACC" w:rsidRPr="00DD1B58">
            <w:rPr>
              <w:lang w:val="en-US"/>
            </w:rPr>
            <w:fldChar w:fldCharType="separate"/>
          </w:r>
          <w:r w:rsidR="00DF47DA" w:rsidRPr="00DF47DA">
            <w:rPr>
              <w:noProof/>
              <w:lang w:val="en-US"/>
            </w:rPr>
            <w:t>[15]</w:t>
          </w:r>
          <w:r w:rsidR="00D21ACC" w:rsidRPr="00DD1B58">
            <w:rPr>
              <w:lang w:val="en-US"/>
            </w:rPr>
            <w:fldChar w:fldCharType="end"/>
          </w:r>
        </w:sdtContent>
      </w:sdt>
      <w:r w:rsidRPr="00DD1B58">
        <w:rPr>
          <w:lang w:val="en-US"/>
        </w:rPr>
        <w:t xml:space="preserve"> which outlines regulatory expectations in the application of the hierarchy of controls. Passive safety measures that do not rely on control systems, active safety systems or human intervention are identified as preferable to active measures, administrative and mitigative measures</w:t>
      </w:r>
      <w:r w:rsidR="000F58F7" w:rsidRPr="00DD1B58">
        <w:rPr>
          <w:lang w:val="en-US"/>
        </w:rPr>
        <w:t>.</w:t>
      </w:r>
      <w:r w:rsidRPr="00DD1B58">
        <w:rPr>
          <w:lang w:val="en-US"/>
        </w:rPr>
        <w:t xml:space="preserve"> Please note that hierarchy of measures should not be interpreted to mean that the provision of an item towards the top of the list precludes provision of other items where they can contribute to defence in depth.</w:t>
      </w:r>
      <w:r w:rsidR="00A03AFD" w:rsidRPr="00DD1B58">
        <w:rPr>
          <w:lang w:val="en-US"/>
        </w:rPr>
        <w:t xml:space="preserve"> ONR is content that </w:t>
      </w:r>
      <w:r w:rsidR="00134292" w:rsidRPr="00DD1B58">
        <w:rPr>
          <w:lang w:val="en-US"/>
        </w:rPr>
        <w:t>Springfields Fuels Ltd</w:t>
      </w:r>
      <w:r w:rsidR="00A03AFD" w:rsidRPr="00DD1B58">
        <w:rPr>
          <w:lang w:val="en-US"/>
        </w:rPr>
        <w:t xml:space="preserve"> onsi</w:t>
      </w:r>
      <w:r w:rsidR="00204CFC" w:rsidRPr="00DD1B58">
        <w:rPr>
          <w:lang w:val="en-US"/>
        </w:rPr>
        <w:t>t</w:t>
      </w:r>
      <w:r w:rsidR="00A03AFD" w:rsidRPr="00DD1B58">
        <w:rPr>
          <w:lang w:val="en-US"/>
        </w:rPr>
        <w:t xml:space="preserve">e fire </w:t>
      </w:r>
      <w:r w:rsidR="00204CFC" w:rsidRPr="00DD1B58">
        <w:rPr>
          <w:lang w:val="en-US"/>
        </w:rPr>
        <w:t>suppression approach recognises and delivers defence in depth.</w:t>
      </w:r>
    </w:p>
    <w:p w14:paraId="3B68F296" w14:textId="77777777" w:rsidR="00B26762" w:rsidRPr="00DD1B58" w:rsidRDefault="00B26762"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6474092B" w14:textId="7C27CE69" w:rsidR="000D750E" w:rsidRPr="00DD1B58" w:rsidRDefault="00D81FFE" w:rsidP="009C3821">
      <w:pPr>
        <w:rPr>
          <w:lang w:val="en-US"/>
        </w:rPr>
      </w:pPr>
      <w:r w:rsidRPr="00DD1B58">
        <w:rPr>
          <w:lang w:val="en-US"/>
        </w:rPr>
        <w:t xml:space="preserve">ONR’s arrangements for regulating the Springfields site are described in Section </w:t>
      </w:r>
      <w:r w:rsidRPr="00DD1B58">
        <w:rPr>
          <w:lang w:val="en-US"/>
        </w:rPr>
        <w:fldChar w:fldCharType="begin"/>
      </w:r>
      <w:r w:rsidRPr="00DD1B58">
        <w:rPr>
          <w:lang w:val="en-US"/>
        </w:rPr>
        <w:instrText xml:space="preserve"> REF _Ref139978962 \r \h </w:instrText>
      </w:r>
      <w:r w:rsidRPr="00DD1B58">
        <w:rPr>
          <w:lang w:val="en-US"/>
        </w:rPr>
      </w:r>
      <w:r w:rsidRPr="00DD1B58">
        <w:rPr>
          <w:lang w:val="en-US"/>
        </w:rPr>
        <w:fldChar w:fldCharType="separate"/>
      </w:r>
      <w:r w:rsidR="00DF47DA">
        <w:rPr>
          <w:lang w:val="en-US"/>
        </w:rPr>
        <w:t>II-2.3.7.2</w:t>
      </w:r>
      <w:r w:rsidRPr="00DD1B58">
        <w:rPr>
          <w:lang w:val="en-US"/>
        </w:rPr>
        <w:fldChar w:fldCharType="end"/>
      </w:r>
      <w:r w:rsidRPr="00DD1B58">
        <w:rPr>
          <w:lang w:val="en-US"/>
        </w:rPr>
        <w:t>.</w:t>
      </w:r>
      <w:r w:rsidR="00F91CA7" w:rsidRPr="00DD1B58">
        <w:rPr>
          <w:lang w:val="en-US"/>
        </w:rPr>
        <w:t xml:space="preserve"> </w:t>
      </w:r>
      <w:r w:rsidR="00241110" w:rsidRPr="00DD1B58">
        <w:rPr>
          <w:lang w:val="en-US"/>
        </w:rPr>
        <w:t xml:space="preserve">Further to fire safety inspections at the site as reported previously, </w:t>
      </w:r>
      <w:r w:rsidR="001140E9" w:rsidRPr="00DD1B58">
        <w:rPr>
          <w:lang w:val="en-US"/>
        </w:rPr>
        <w:t xml:space="preserve">ONR </w:t>
      </w:r>
      <w:r w:rsidR="009163C4" w:rsidRPr="00DD1B58">
        <w:rPr>
          <w:lang w:val="en-US"/>
        </w:rPr>
        <w:t xml:space="preserve">has </w:t>
      </w:r>
      <w:r w:rsidR="001140E9" w:rsidRPr="00DD1B58">
        <w:rPr>
          <w:lang w:val="en-US"/>
        </w:rPr>
        <w:t>undertaken observation and inspection of emergency exercises undertaken at the Sp</w:t>
      </w:r>
      <w:r w:rsidR="009C4290" w:rsidRPr="00DD1B58">
        <w:rPr>
          <w:lang w:val="en-US"/>
        </w:rPr>
        <w:t>r</w:t>
      </w:r>
      <w:r w:rsidR="001140E9" w:rsidRPr="00DD1B58">
        <w:rPr>
          <w:lang w:val="en-US"/>
        </w:rPr>
        <w:t>ingfields si</w:t>
      </w:r>
      <w:r w:rsidR="00C17C81" w:rsidRPr="00DD1B58">
        <w:rPr>
          <w:lang w:val="en-US"/>
        </w:rPr>
        <w:t xml:space="preserve">te which are part of demonstrating compliance </w:t>
      </w:r>
      <w:r w:rsidR="00DF3B44" w:rsidRPr="00DD1B58">
        <w:rPr>
          <w:lang w:val="en-US"/>
        </w:rPr>
        <w:t xml:space="preserve">with </w:t>
      </w:r>
      <w:r w:rsidR="009163C4" w:rsidRPr="00DD1B58">
        <w:rPr>
          <w:lang w:val="en-US"/>
        </w:rPr>
        <w:t>LC</w:t>
      </w:r>
      <w:r w:rsidR="00DF3B44" w:rsidRPr="00DD1B58">
        <w:rPr>
          <w:lang w:val="en-US"/>
        </w:rPr>
        <w:t xml:space="preserve"> 11. </w:t>
      </w:r>
      <w:r w:rsidR="003B7477" w:rsidRPr="00DD1B58">
        <w:rPr>
          <w:lang w:val="en-US"/>
        </w:rPr>
        <w:t>A 2022 inspection rated LC11 compliance as green (no formal action</w:t>
      </w:r>
      <w:r w:rsidR="00BB1241" w:rsidRPr="00DD1B58">
        <w:rPr>
          <w:lang w:val="en-US"/>
        </w:rPr>
        <w:t>),</w:t>
      </w:r>
      <w:r w:rsidR="003B7477" w:rsidRPr="00DD1B58">
        <w:rPr>
          <w:lang w:val="en-US"/>
        </w:rPr>
        <w:t xml:space="preserve"> </w:t>
      </w:r>
      <w:r w:rsidR="00BB1241" w:rsidRPr="00DD1B58">
        <w:rPr>
          <w:lang w:val="en-US"/>
        </w:rPr>
        <w:t>and it was noted that the site exhibited positive behaviours in terms of innovation for site emergency response this including trialling the use of Microsoft teams to co-ordinate site response.</w:t>
      </w:r>
    </w:p>
    <w:p w14:paraId="5290A4FD" w14:textId="63B2625C" w:rsidR="00B26762" w:rsidRPr="00DD1B58" w:rsidRDefault="00B26762" w:rsidP="00177432">
      <w:pPr>
        <w:pStyle w:val="Heading3A"/>
        <w:rPr>
          <w:lang w:val="en-US"/>
        </w:rPr>
      </w:pPr>
      <w:bookmarkStart w:id="122" w:name="_Toc147090648"/>
      <w:r w:rsidRPr="00DD1B58">
        <w:rPr>
          <w:lang w:val="en-US"/>
        </w:rPr>
        <w:t xml:space="preserve">Dedicated </w:t>
      </w:r>
      <w:r w:rsidR="001D6A56" w:rsidRPr="00DD1B58">
        <w:rPr>
          <w:lang w:val="en-US"/>
        </w:rPr>
        <w:t>s</w:t>
      </w:r>
      <w:r w:rsidRPr="00DD1B58">
        <w:rPr>
          <w:lang w:val="en-US"/>
        </w:rPr>
        <w:t xml:space="preserve">pent </w:t>
      </w:r>
      <w:r w:rsidR="001D6A56" w:rsidRPr="00DD1B58">
        <w:rPr>
          <w:lang w:val="en-US"/>
        </w:rPr>
        <w:t>f</w:t>
      </w:r>
      <w:r w:rsidRPr="00DD1B58">
        <w:rPr>
          <w:lang w:val="en-US"/>
        </w:rPr>
        <w:t xml:space="preserve">uel </w:t>
      </w:r>
      <w:r w:rsidR="001D6A56" w:rsidRPr="00DD1B58">
        <w:rPr>
          <w:lang w:val="en-US"/>
        </w:rPr>
        <w:t>s</w:t>
      </w:r>
      <w:r w:rsidRPr="00DD1B58">
        <w:rPr>
          <w:lang w:val="en-US"/>
        </w:rPr>
        <w:t xml:space="preserve">torage </w:t>
      </w:r>
      <w:r w:rsidR="001D6A56" w:rsidRPr="00DD1B58">
        <w:rPr>
          <w:lang w:val="en-US"/>
        </w:rPr>
        <w:t>f</w:t>
      </w:r>
      <w:r w:rsidRPr="00DD1B58">
        <w:rPr>
          <w:lang w:val="en-US"/>
        </w:rPr>
        <w:t>acilities</w:t>
      </w:r>
      <w:bookmarkEnd w:id="122"/>
    </w:p>
    <w:p w14:paraId="12166D1B" w14:textId="113AE393" w:rsidR="00B33E46" w:rsidRPr="00DD1B58" w:rsidRDefault="00946612" w:rsidP="00D813A6">
      <w:pPr>
        <w:rPr>
          <w:lang w:val="en-US"/>
        </w:rPr>
      </w:pPr>
      <w:r w:rsidRPr="00DD1B58">
        <w:rPr>
          <w:lang w:val="en-US"/>
        </w:rPr>
        <w:t xml:space="preserve">Spent fuel storage facilities associated with reactor sites are reported on under Section A - </w:t>
      </w:r>
      <w:r w:rsidRPr="00DD1B58">
        <w:rPr>
          <w:lang w:val="en-US"/>
        </w:rPr>
        <w:fldChar w:fldCharType="begin"/>
      </w:r>
      <w:r w:rsidRPr="00DD1B58">
        <w:rPr>
          <w:lang w:val="en-US"/>
        </w:rPr>
        <w:instrText xml:space="preserve"> REF _Ref140147765 \h </w:instrText>
      </w:r>
      <w:r w:rsidRPr="00DD1B58">
        <w:rPr>
          <w:lang w:val="en-US"/>
        </w:rPr>
      </w:r>
      <w:r w:rsidRPr="00DD1B58">
        <w:rPr>
          <w:lang w:val="en-US"/>
        </w:rPr>
        <w:fldChar w:fldCharType="separate"/>
      </w:r>
      <w:r w:rsidR="00DF47DA" w:rsidRPr="00DD1B58">
        <w:rPr>
          <w:lang w:val="en-US"/>
        </w:rPr>
        <w:t>Nuclear power plants</w:t>
      </w:r>
      <w:r w:rsidRPr="00DD1B58">
        <w:rPr>
          <w:lang w:val="en-US"/>
        </w:rPr>
        <w:fldChar w:fldCharType="end"/>
      </w:r>
      <w:r w:rsidRPr="00DD1B58">
        <w:rPr>
          <w:lang w:val="en-US"/>
        </w:rPr>
        <w:t xml:space="preserve">. </w:t>
      </w:r>
      <w:r w:rsidR="008E4469" w:rsidRPr="00DD1B58">
        <w:rPr>
          <w:lang w:val="en-US"/>
        </w:rPr>
        <w:t xml:space="preserve">Spent fuel storage facilities at Sellafield follow the same licensee arrangements as those reported under </w:t>
      </w:r>
      <w:r w:rsidRPr="00DD1B58">
        <w:rPr>
          <w:lang w:val="en-US"/>
        </w:rPr>
        <w:t xml:space="preserve">Section </w:t>
      </w:r>
      <w:r w:rsidRPr="00DD1B58">
        <w:rPr>
          <w:lang w:val="en-US"/>
        </w:rPr>
        <w:fldChar w:fldCharType="begin"/>
      </w:r>
      <w:r w:rsidRPr="00DD1B58">
        <w:rPr>
          <w:lang w:val="en-US"/>
        </w:rPr>
        <w:instrText xml:space="preserve"> REF _Ref140147791 \r \h </w:instrText>
      </w:r>
      <w:r w:rsidRPr="00DD1B58">
        <w:rPr>
          <w:lang w:val="en-US"/>
        </w:rPr>
      </w:r>
      <w:r w:rsidRPr="00DD1B58">
        <w:rPr>
          <w:lang w:val="en-US"/>
        </w:rPr>
        <w:fldChar w:fldCharType="separate"/>
      </w:r>
      <w:r w:rsidR="00DF47DA">
        <w:rPr>
          <w:lang w:val="en-US"/>
        </w:rPr>
        <w:t>E</w:t>
      </w:r>
      <w:r w:rsidRPr="00DD1B58">
        <w:rPr>
          <w:lang w:val="en-US"/>
        </w:rPr>
        <w:fldChar w:fldCharType="end"/>
      </w:r>
      <w:r w:rsidRPr="00DD1B58">
        <w:rPr>
          <w:lang w:val="en-US"/>
        </w:rPr>
        <w:t xml:space="preserve"> - </w:t>
      </w:r>
      <w:r w:rsidRPr="00DD1B58">
        <w:rPr>
          <w:lang w:val="en-US"/>
        </w:rPr>
        <w:fldChar w:fldCharType="begin"/>
      </w:r>
      <w:r w:rsidRPr="00DD1B58">
        <w:rPr>
          <w:lang w:val="en-US"/>
        </w:rPr>
        <w:instrText xml:space="preserve"> REF _Ref140147799 \h </w:instrText>
      </w:r>
      <w:r w:rsidRPr="00DD1B58">
        <w:rPr>
          <w:lang w:val="en-US"/>
        </w:rPr>
      </w:r>
      <w:r w:rsidRPr="00DD1B58">
        <w:rPr>
          <w:lang w:val="en-US"/>
        </w:rPr>
        <w:fldChar w:fldCharType="separate"/>
      </w:r>
      <w:r w:rsidR="00DF47DA" w:rsidRPr="00DD1B58">
        <w:rPr>
          <w:lang w:val="en-US"/>
        </w:rPr>
        <w:t>Waste storage facilities</w:t>
      </w:r>
      <w:r w:rsidRPr="00DD1B58">
        <w:rPr>
          <w:lang w:val="en-US"/>
        </w:rPr>
        <w:fldChar w:fldCharType="end"/>
      </w:r>
      <w:r w:rsidRPr="00DD1B58">
        <w:rPr>
          <w:lang w:val="en-US"/>
        </w:rPr>
        <w:t>.</w:t>
      </w:r>
    </w:p>
    <w:p w14:paraId="01646D91" w14:textId="41EC9BE2" w:rsidR="00D813A6" w:rsidRPr="00DD1B58" w:rsidRDefault="00D813A6" w:rsidP="00177432">
      <w:pPr>
        <w:pStyle w:val="Heading3A"/>
        <w:rPr>
          <w:lang w:val="en-US"/>
        </w:rPr>
      </w:pPr>
      <w:bookmarkStart w:id="123" w:name="_Ref140147791"/>
      <w:bookmarkStart w:id="124" w:name="_Ref140147799"/>
      <w:bookmarkStart w:id="125" w:name="_Toc147090649"/>
      <w:r w:rsidRPr="00DD1B58">
        <w:rPr>
          <w:lang w:val="en-US"/>
        </w:rPr>
        <w:t xml:space="preserve">Waste </w:t>
      </w:r>
      <w:r w:rsidR="001D6A56" w:rsidRPr="00DD1B58">
        <w:rPr>
          <w:lang w:val="en-US"/>
        </w:rPr>
        <w:t>s</w:t>
      </w:r>
      <w:r w:rsidRPr="00DD1B58">
        <w:rPr>
          <w:lang w:val="en-US"/>
        </w:rPr>
        <w:t xml:space="preserve">torage </w:t>
      </w:r>
      <w:r w:rsidR="001D6A56" w:rsidRPr="00DD1B58">
        <w:rPr>
          <w:lang w:val="en-US"/>
        </w:rPr>
        <w:t>f</w:t>
      </w:r>
      <w:r w:rsidRPr="00DD1B58">
        <w:rPr>
          <w:lang w:val="en-US"/>
        </w:rPr>
        <w:t>acilities</w:t>
      </w:r>
      <w:bookmarkEnd w:id="123"/>
      <w:bookmarkEnd w:id="124"/>
      <w:bookmarkEnd w:id="125"/>
    </w:p>
    <w:p w14:paraId="04CC1577" w14:textId="77777777" w:rsidR="00D813A6" w:rsidRPr="00DD1B58" w:rsidRDefault="00D813A6" w:rsidP="00177432">
      <w:pPr>
        <w:pStyle w:val="Heading4A"/>
        <w:rPr>
          <w:lang w:val="en-US"/>
        </w:rPr>
      </w:pPr>
      <w:r w:rsidRPr="00DD1B58">
        <w:rPr>
          <w:lang w:val="en-US"/>
        </w:rPr>
        <w:t>Sellafield Facilities</w:t>
      </w:r>
    </w:p>
    <w:p w14:paraId="24603C24" w14:textId="0DC2446B" w:rsidR="00036DCB" w:rsidRPr="00DD1B58" w:rsidRDefault="00B33E46" w:rsidP="00036DCB">
      <w:pPr>
        <w:rPr>
          <w:lang w:val="en-US"/>
        </w:rPr>
      </w:pPr>
      <w:r w:rsidRPr="00DD1B58">
        <w:rPr>
          <w:lang w:val="en-US"/>
        </w:rPr>
        <w:t>The</w:t>
      </w:r>
      <w:r w:rsidR="00036DCB" w:rsidRPr="00DD1B58">
        <w:rPr>
          <w:lang w:val="en-US"/>
        </w:rPr>
        <w:t xml:space="preserve"> text in this section (bar the regulator’s assessment subsections) of the report has been prepared by </w:t>
      </w:r>
      <w:r w:rsidR="00134292" w:rsidRPr="00DD1B58">
        <w:rPr>
          <w:lang w:val="en-US"/>
        </w:rPr>
        <w:t>Sellafield Ltd</w:t>
      </w:r>
      <w:r w:rsidR="00036DCB" w:rsidRPr="00DD1B58">
        <w:rPr>
          <w:lang w:val="en-US"/>
        </w:rPr>
        <w:t xml:space="preserve">, with only minor changes for clarity and conciseness. For avoidance of duplication, all </w:t>
      </w:r>
      <w:r w:rsidR="004668E0" w:rsidRPr="00DD1B58">
        <w:rPr>
          <w:lang w:val="en-US"/>
        </w:rPr>
        <w:t xml:space="preserve">Sellafield Ltd. </w:t>
      </w:r>
      <w:r w:rsidR="00036DCB" w:rsidRPr="00DD1B58">
        <w:rPr>
          <w:lang w:val="en-US"/>
        </w:rPr>
        <w:t>facilities, including waste processing facilities are reported in this section.</w:t>
      </w:r>
    </w:p>
    <w:p w14:paraId="1AF0021C" w14:textId="77777777" w:rsidR="00D813A6" w:rsidRPr="00DD1B58" w:rsidRDefault="00D813A6" w:rsidP="00177432">
      <w:pPr>
        <w:pStyle w:val="Heading5A"/>
        <w:rPr>
          <w:lang w:val="en-US"/>
        </w:rPr>
      </w:pPr>
      <w:bookmarkStart w:id="126" w:name="_Ref139556237"/>
      <w:r w:rsidRPr="00DD1B58">
        <w:rPr>
          <w:lang w:val="en-US"/>
        </w:rPr>
        <w:t>Fire detection and alarm provisions</w:t>
      </w:r>
      <w:bookmarkEnd w:id="126"/>
    </w:p>
    <w:p w14:paraId="048DBC3D" w14:textId="7EDEB05C" w:rsidR="00D813A6" w:rsidRPr="00DD1B58" w:rsidRDefault="00D813A6" w:rsidP="00177432">
      <w:pPr>
        <w:pStyle w:val="Heading5A"/>
        <w:numPr>
          <w:ilvl w:val="5"/>
          <w:numId w:val="7"/>
        </w:numPr>
        <w:rPr>
          <w:lang w:val="en-US"/>
        </w:rPr>
      </w:pPr>
      <w:r w:rsidRPr="00DD1B58">
        <w:rPr>
          <w:lang w:val="en-US"/>
        </w:rPr>
        <w:t xml:space="preserve">Design </w:t>
      </w:r>
      <w:r w:rsidR="001D6A56" w:rsidRPr="00DD1B58">
        <w:rPr>
          <w:lang w:val="en-US"/>
        </w:rPr>
        <w:t>a</w:t>
      </w:r>
      <w:r w:rsidRPr="00DD1B58">
        <w:rPr>
          <w:lang w:val="en-US"/>
        </w:rPr>
        <w:t>pproach</w:t>
      </w:r>
    </w:p>
    <w:p w14:paraId="4C7B13A3" w14:textId="490F22CD" w:rsidR="008D5000" w:rsidRPr="00DD1B58" w:rsidRDefault="008D5000" w:rsidP="0009451C">
      <w:pPr>
        <w:rPr>
          <w:b/>
          <w:lang w:val="en-US"/>
        </w:rPr>
      </w:pPr>
      <w:r w:rsidRPr="00DD1B58">
        <w:rPr>
          <w:b/>
          <w:lang w:val="en-US"/>
        </w:rPr>
        <w:t xml:space="preserve">Safety </w:t>
      </w:r>
      <w:r w:rsidR="00042FBD" w:rsidRPr="00DD1B58">
        <w:rPr>
          <w:b/>
          <w:lang w:val="en-US"/>
        </w:rPr>
        <w:t>c</w:t>
      </w:r>
      <w:r w:rsidRPr="00DD1B58">
        <w:rPr>
          <w:b/>
          <w:lang w:val="en-US"/>
        </w:rPr>
        <w:t>ase</w:t>
      </w:r>
      <w:r w:rsidR="00CF501C" w:rsidRPr="00DD1B58">
        <w:rPr>
          <w:b/>
          <w:lang w:val="en-US"/>
        </w:rPr>
        <w:t>-driven</w:t>
      </w:r>
      <w:r w:rsidRPr="00DD1B58">
        <w:rPr>
          <w:b/>
          <w:lang w:val="en-US"/>
        </w:rPr>
        <w:t xml:space="preserve"> </w:t>
      </w:r>
      <w:r w:rsidR="00CF501C" w:rsidRPr="00DD1B58">
        <w:rPr>
          <w:b/>
          <w:lang w:val="en-US"/>
        </w:rPr>
        <w:t xml:space="preserve">approach to Classification </w:t>
      </w:r>
      <w:r w:rsidRPr="00DD1B58">
        <w:rPr>
          <w:b/>
          <w:lang w:val="en-US"/>
        </w:rPr>
        <w:t xml:space="preserve">for </w:t>
      </w:r>
      <w:r w:rsidR="00042FBD" w:rsidRPr="00DD1B58">
        <w:rPr>
          <w:b/>
          <w:lang w:val="en-US"/>
        </w:rPr>
        <w:t>f</w:t>
      </w:r>
      <w:r w:rsidR="00A45FA3" w:rsidRPr="00DD1B58">
        <w:rPr>
          <w:b/>
          <w:lang w:val="en-US"/>
        </w:rPr>
        <w:t xml:space="preserve">ire </w:t>
      </w:r>
      <w:r w:rsidR="00042FBD" w:rsidRPr="00DD1B58">
        <w:rPr>
          <w:b/>
          <w:lang w:val="en-US"/>
        </w:rPr>
        <w:t>d</w:t>
      </w:r>
      <w:r w:rsidR="00A45FA3" w:rsidRPr="00DD1B58">
        <w:rPr>
          <w:b/>
          <w:lang w:val="en-US"/>
        </w:rPr>
        <w:t>etection and alarm provisions</w:t>
      </w:r>
    </w:p>
    <w:p w14:paraId="28AD4180" w14:textId="0DF0D30B" w:rsidR="0009451C" w:rsidRPr="00DD1B58" w:rsidRDefault="00134292" w:rsidP="0009451C">
      <w:pPr>
        <w:rPr>
          <w:lang w:val="en-US"/>
        </w:rPr>
      </w:pPr>
      <w:r w:rsidRPr="00DD1B58">
        <w:rPr>
          <w:lang w:val="en-US"/>
        </w:rPr>
        <w:t>Sellafield Ltd</w:t>
      </w:r>
      <w:r w:rsidR="00AE0787" w:rsidRPr="00DD1B58">
        <w:rPr>
          <w:lang w:val="en-US"/>
        </w:rPr>
        <w:t>.</w:t>
      </w:r>
      <w:r w:rsidR="00A60992" w:rsidRPr="00DD1B58">
        <w:rPr>
          <w:lang w:val="en-US"/>
        </w:rPr>
        <w:t xml:space="preserve">’s </w:t>
      </w:r>
      <w:r w:rsidR="00AE0787" w:rsidRPr="00DD1B58">
        <w:rPr>
          <w:lang w:val="en-US"/>
        </w:rPr>
        <w:t>Nuclear</w:t>
      </w:r>
      <w:r w:rsidR="00A60992" w:rsidRPr="00DD1B58">
        <w:rPr>
          <w:lang w:val="en-US"/>
        </w:rPr>
        <w:t xml:space="preserve"> </w:t>
      </w:r>
      <w:r w:rsidR="0009451C" w:rsidRPr="00DD1B58">
        <w:rPr>
          <w:lang w:val="en-US"/>
        </w:rPr>
        <w:t xml:space="preserve">Safety Case Processes and Methods </w:t>
      </w:r>
      <w:r w:rsidR="00EC6924" w:rsidRPr="00DD1B58">
        <w:rPr>
          <w:lang w:val="en-US"/>
        </w:rPr>
        <w:t xml:space="preserve">require the identification of </w:t>
      </w:r>
      <w:r w:rsidR="0009451C" w:rsidRPr="00DD1B58">
        <w:rPr>
          <w:lang w:val="en-US"/>
        </w:rPr>
        <w:t>SSC</w:t>
      </w:r>
      <w:r w:rsidR="00036DCB" w:rsidRPr="00DD1B58">
        <w:rPr>
          <w:lang w:val="en-US"/>
        </w:rPr>
        <w:t>s</w:t>
      </w:r>
      <w:r w:rsidR="0009451C" w:rsidRPr="00DD1B58">
        <w:rPr>
          <w:lang w:val="en-US"/>
        </w:rPr>
        <w:t xml:space="preserve"> which are important to safety, and Safety Functions that define the required performance of the SSC. </w:t>
      </w:r>
      <w:r w:rsidR="004668E0" w:rsidRPr="00DD1B58">
        <w:rPr>
          <w:lang w:val="en-US"/>
        </w:rPr>
        <w:t>Sellafield Ltd.</w:t>
      </w:r>
      <w:r w:rsidR="009F576E" w:rsidRPr="00DD1B58">
        <w:rPr>
          <w:lang w:val="en-US"/>
        </w:rPr>
        <w:t xml:space="preserve"> captures the </w:t>
      </w:r>
      <w:r w:rsidR="0009451C" w:rsidRPr="00DD1B58">
        <w:rPr>
          <w:lang w:val="en-US"/>
        </w:rPr>
        <w:t>safety function of the SSC within the facility</w:t>
      </w:r>
      <w:r w:rsidR="009F576E" w:rsidRPr="00DD1B58">
        <w:rPr>
          <w:lang w:val="en-US"/>
        </w:rPr>
        <w:t>’s</w:t>
      </w:r>
      <w:r w:rsidR="0009451C" w:rsidRPr="00DD1B58">
        <w:rPr>
          <w:lang w:val="en-US"/>
        </w:rPr>
        <w:t xml:space="preserve"> Engineering Schedule. </w:t>
      </w:r>
    </w:p>
    <w:p w14:paraId="3BC365C5" w14:textId="77777777" w:rsidR="00174BCD" w:rsidRPr="00DD1B58" w:rsidRDefault="00174BCD" w:rsidP="00174BCD">
      <w:pPr>
        <w:rPr>
          <w:sz w:val="22"/>
          <w:lang w:val="en-US"/>
        </w:rPr>
      </w:pPr>
      <w:r w:rsidRPr="00DD1B58">
        <w:rPr>
          <w:lang w:val="en-US"/>
        </w:rPr>
        <w:t>A Safety Designation is a name/label which determines the specific way that the limit, condition, instruction, equipment or parameter will be safely managed (implemented and complied with), adopting the tiered approach summarised in Sellafield Ltd. Procedure 2.17.02. How do I develop a Nuclear Safety Case?.</w:t>
      </w:r>
    </w:p>
    <w:p w14:paraId="5223FEDF" w14:textId="31D32DFA" w:rsidR="00174BCD" w:rsidRPr="00DD1B58" w:rsidRDefault="00174BCD" w:rsidP="00174BCD">
      <w:pPr>
        <w:rPr>
          <w:rFonts w:ascii="Calibri" w:hAnsi="Calibri"/>
          <w:sz w:val="22"/>
          <w:lang w:val="en-US"/>
        </w:rPr>
      </w:pPr>
      <w:r w:rsidRPr="00DD1B58">
        <w:rPr>
          <w:lang w:val="en-US"/>
        </w:rPr>
        <w:t>Safety Designation definitions from SLP 2.17.02</w:t>
      </w:r>
      <w:r w:rsidR="000F42CF" w:rsidRPr="00DD1B58">
        <w:rPr>
          <w:lang w:val="en-US"/>
        </w:rPr>
        <w:t>:</w:t>
      </w:r>
    </w:p>
    <w:p w14:paraId="49F595B7" w14:textId="77777777" w:rsidR="00174BCD" w:rsidRPr="00DD1B58" w:rsidRDefault="00174BCD" w:rsidP="00174BCD">
      <w:pPr>
        <w:pStyle w:val="ListParagraph"/>
        <w:numPr>
          <w:ilvl w:val="0"/>
          <w:numId w:val="61"/>
        </w:numPr>
        <w:spacing w:after="0" w:line="240" w:lineRule="auto"/>
        <w:contextualSpacing w:val="0"/>
        <w:rPr>
          <w:rFonts w:eastAsia="Times New Roman"/>
          <w:lang w:val="en-US"/>
        </w:rPr>
      </w:pPr>
      <w:r w:rsidRPr="00DD1B58">
        <w:rPr>
          <w:rFonts w:eastAsia="Times New Roman"/>
          <w:lang w:val="en-US"/>
        </w:rPr>
        <w:t xml:space="preserve">Safety Mechanism - A mechanism, device or circuit which is important to nuclear safety and required to provide a suitable and sufficient protection against accidental releases or exposures. </w:t>
      </w:r>
    </w:p>
    <w:p w14:paraId="6D7D6C1D" w14:textId="77777777" w:rsidR="00174BCD" w:rsidRPr="00DD1B58" w:rsidRDefault="00174BCD" w:rsidP="00174BCD">
      <w:pPr>
        <w:pStyle w:val="ListParagraph"/>
        <w:numPr>
          <w:ilvl w:val="0"/>
          <w:numId w:val="61"/>
        </w:numPr>
        <w:spacing w:after="0" w:line="240" w:lineRule="auto"/>
        <w:contextualSpacing w:val="0"/>
        <w:rPr>
          <w:rFonts w:eastAsia="Times New Roman"/>
          <w:lang w:val="en-US"/>
        </w:rPr>
      </w:pPr>
      <w:r w:rsidRPr="00DD1B58">
        <w:rPr>
          <w:rFonts w:eastAsia="Times New Roman"/>
          <w:lang w:val="en-US"/>
        </w:rPr>
        <w:t xml:space="preserve">Safety Feature - A structure, system or component (SSC) which provides a nuclear safety function and is usually passive, such as a vessel or cell wall. </w:t>
      </w:r>
    </w:p>
    <w:p w14:paraId="7FA97E2E" w14:textId="77777777" w:rsidR="00174BCD" w:rsidRPr="00DD1B58" w:rsidRDefault="00174BCD" w:rsidP="00174BCD">
      <w:pPr>
        <w:pStyle w:val="ListParagraph"/>
        <w:numPr>
          <w:ilvl w:val="0"/>
          <w:numId w:val="61"/>
        </w:numPr>
        <w:spacing w:after="0" w:line="240" w:lineRule="auto"/>
        <w:contextualSpacing w:val="0"/>
        <w:rPr>
          <w:rFonts w:eastAsia="Times New Roman"/>
          <w:lang w:val="en-US"/>
        </w:rPr>
      </w:pPr>
      <w:r w:rsidRPr="00DD1B58">
        <w:rPr>
          <w:rFonts w:eastAsia="Times New Roman"/>
          <w:lang w:val="en-US"/>
        </w:rPr>
        <w:t>Safety Related Equipment - A Mechanism, device or circuit which is relevant to nuclear safety but not as important as Safety Mechanisms.</w:t>
      </w:r>
    </w:p>
    <w:p w14:paraId="245AAF69" w14:textId="77777777" w:rsidR="00174BCD" w:rsidRPr="00DD1B58" w:rsidRDefault="00174BCD" w:rsidP="00174BCD">
      <w:pPr>
        <w:rPr>
          <w:lang w:val="en-US"/>
        </w:rPr>
      </w:pPr>
    </w:p>
    <w:p w14:paraId="46081CFF" w14:textId="77777777" w:rsidR="00174BCD" w:rsidRPr="00DD1B58" w:rsidRDefault="00174BCD" w:rsidP="00174BCD">
      <w:pPr>
        <w:rPr>
          <w:sz w:val="22"/>
          <w:lang w:val="en-US"/>
        </w:rPr>
      </w:pPr>
      <w:r w:rsidRPr="00DD1B58">
        <w:rPr>
          <w:lang w:val="en-US"/>
        </w:rPr>
        <w:t xml:space="preserve">Safety Functions (and any associated Performance Requirements as stated below) detail what is required to maintain nuclear safety, and these effectively embody the limits and conditions in the interests of nuclear safety associated with the Hazard Management Strategy. </w:t>
      </w:r>
    </w:p>
    <w:p w14:paraId="404D31E9" w14:textId="77777777" w:rsidR="00174BCD" w:rsidRPr="00DD1B58" w:rsidRDefault="00174BCD" w:rsidP="00174BCD">
      <w:pPr>
        <w:rPr>
          <w:lang w:val="en-US"/>
        </w:rPr>
      </w:pPr>
      <w:r w:rsidRPr="00DD1B58">
        <w:rPr>
          <w:lang w:val="en-US"/>
        </w:rPr>
        <w:t>Safety Function Classes identify the relative importance to nuclear safety of the Safety Function (and the associated engineering SSC identified to deliver it), according to the scheme below:</w:t>
      </w:r>
    </w:p>
    <w:p w14:paraId="6C80983A" w14:textId="77777777" w:rsidR="00174BCD" w:rsidRPr="00DD1B58" w:rsidRDefault="00174BCD" w:rsidP="00174BCD">
      <w:pPr>
        <w:pStyle w:val="ListParagraph"/>
        <w:numPr>
          <w:ilvl w:val="0"/>
          <w:numId w:val="62"/>
        </w:numPr>
        <w:spacing w:after="0" w:line="240" w:lineRule="auto"/>
        <w:rPr>
          <w:rFonts w:eastAsia="Times New Roman"/>
          <w:lang w:val="en-US"/>
        </w:rPr>
      </w:pPr>
      <w:r w:rsidRPr="00DD1B58">
        <w:rPr>
          <w:rFonts w:eastAsia="Times New Roman"/>
          <w:lang w:val="en-US"/>
        </w:rPr>
        <w:t xml:space="preserve">SFC1 - A Safety Function which makes a </w:t>
      </w:r>
      <w:r w:rsidRPr="00DD1B58">
        <w:rPr>
          <w:rFonts w:eastAsia="Times New Roman"/>
          <w:b/>
          <w:bCs/>
          <w:lang w:val="en-US"/>
        </w:rPr>
        <w:t>major</w:t>
      </w:r>
      <w:r w:rsidRPr="00DD1B58">
        <w:rPr>
          <w:rFonts w:eastAsia="Times New Roman"/>
          <w:lang w:val="en-US"/>
        </w:rPr>
        <w:t xml:space="preserve"> contribution to radiological safety; a </w:t>
      </w:r>
      <w:r w:rsidRPr="00DD1B58">
        <w:rPr>
          <w:rFonts w:eastAsia="Times New Roman"/>
          <w:b/>
          <w:bCs/>
          <w:lang w:val="en-US"/>
        </w:rPr>
        <w:t>very high</w:t>
      </w:r>
      <w:r w:rsidRPr="00DD1B58">
        <w:rPr>
          <w:rFonts w:eastAsia="Times New Roman"/>
          <w:lang w:val="en-US"/>
        </w:rPr>
        <w:t xml:space="preserve"> degree of confidence that the function will be achieved is required. </w:t>
      </w:r>
    </w:p>
    <w:p w14:paraId="1C5CC815" w14:textId="77777777" w:rsidR="00174BCD" w:rsidRPr="00DD1B58" w:rsidRDefault="00174BCD" w:rsidP="00174BCD">
      <w:pPr>
        <w:pStyle w:val="ListParagraph"/>
        <w:numPr>
          <w:ilvl w:val="0"/>
          <w:numId w:val="62"/>
        </w:numPr>
        <w:spacing w:after="0" w:line="240" w:lineRule="auto"/>
        <w:rPr>
          <w:rFonts w:eastAsia="Times New Roman"/>
          <w:lang w:val="en-US"/>
        </w:rPr>
      </w:pPr>
      <w:r w:rsidRPr="00DD1B58">
        <w:rPr>
          <w:rFonts w:eastAsia="Times New Roman"/>
          <w:lang w:val="en-US"/>
        </w:rPr>
        <w:t xml:space="preserve">SFC2 - A Safety Function which makes a </w:t>
      </w:r>
      <w:r w:rsidRPr="00DD1B58">
        <w:rPr>
          <w:rFonts w:eastAsia="Times New Roman"/>
          <w:b/>
          <w:bCs/>
          <w:lang w:val="en-US"/>
        </w:rPr>
        <w:t>significant</w:t>
      </w:r>
      <w:r w:rsidRPr="00DD1B58">
        <w:rPr>
          <w:rFonts w:eastAsia="Times New Roman"/>
          <w:lang w:val="en-US"/>
        </w:rPr>
        <w:t xml:space="preserve"> contribution to radiological safety; such that a </w:t>
      </w:r>
      <w:r w:rsidRPr="00DD1B58">
        <w:rPr>
          <w:rFonts w:eastAsia="Times New Roman"/>
          <w:b/>
          <w:bCs/>
          <w:lang w:val="en-US"/>
        </w:rPr>
        <w:t>high</w:t>
      </w:r>
      <w:r w:rsidRPr="00DD1B58">
        <w:rPr>
          <w:rFonts w:eastAsia="Times New Roman"/>
          <w:lang w:val="en-US"/>
        </w:rPr>
        <w:t xml:space="preserve"> degree of confidence that the function will be achieved is required. </w:t>
      </w:r>
    </w:p>
    <w:p w14:paraId="2E748D65" w14:textId="77777777" w:rsidR="00174BCD" w:rsidRPr="00DD1B58" w:rsidRDefault="00174BCD" w:rsidP="00174BCD">
      <w:pPr>
        <w:pStyle w:val="ListParagraph"/>
        <w:numPr>
          <w:ilvl w:val="0"/>
          <w:numId w:val="62"/>
        </w:numPr>
        <w:spacing w:after="0" w:line="240" w:lineRule="auto"/>
        <w:rPr>
          <w:rFonts w:eastAsia="Times New Roman"/>
          <w:lang w:val="en-US"/>
        </w:rPr>
      </w:pPr>
      <w:r w:rsidRPr="00DD1B58">
        <w:rPr>
          <w:rFonts w:eastAsia="Times New Roman"/>
          <w:lang w:val="en-US"/>
        </w:rPr>
        <w:t xml:space="preserve">SFC3 - A Safety Function which makes a </w:t>
      </w:r>
      <w:r w:rsidRPr="00DD1B58">
        <w:rPr>
          <w:rFonts w:eastAsia="Times New Roman"/>
          <w:b/>
          <w:bCs/>
          <w:lang w:val="en-US"/>
        </w:rPr>
        <w:t>minor</w:t>
      </w:r>
      <w:r w:rsidRPr="00DD1B58">
        <w:rPr>
          <w:rFonts w:eastAsia="Times New Roman"/>
          <w:lang w:val="en-US"/>
        </w:rPr>
        <w:t xml:space="preserve"> contribution to radiological safety; such that a </w:t>
      </w:r>
      <w:r w:rsidRPr="00DD1B58">
        <w:rPr>
          <w:rFonts w:eastAsia="Times New Roman"/>
          <w:b/>
          <w:bCs/>
          <w:lang w:val="en-US"/>
        </w:rPr>
        <w:t>reasonable</w:t>
      </w:r>
      <w:r w:rsidRPr="00DD1B58">
        <w:rPr>
          <w:rFonts w:eastAsia="Times New Roman"/>
          <w:lang w:val="en-US"/>
        </w:rPr>
        <w:t xml:space="preserve"> degree of confidence that the function will be achieved is required. </w:t>
      </w:r>
    </w:p>
    <w:p w14:paraId="0C6B646C" w14:textId="77777777" w:rsidR="00174BCD" w:rsidRPr="00DD1B58" w:rsidRDefault="00174BCD" w:rsidP="0009451C">
      <w:pPr>
        <w:rPr>
          <w:lang w:val="en-US"/>
        </w:rPr>
      </w:pPr>
    </w:p>
    <w:p w14:paraId="3E37EC46" w14:textId="70393615" w:rsidR="0009451C" w:rsidRPr="00DD1B58" w:rsidRDefault="004668E0" w:rsidP="0009451C">
      <w:pPr>
        <w:rPr>
          <w:lang w:val="en-US"/>
        </w:rPr>
      </w:pPr>
      <w:r w:rsidRPr="00DD1B58">
        <w:rPr>
          <w:lang w:val="en-US"/>
        </w:rPr>
        <w:t>Sellafield Ltd.</w:t>
      </w:r>
      <w:r w:rsidR="00606853" w:rsidRPr="00DD1B58">
        <w:rPr>
          <w:lang w:val="en-US"/>
        </w:rPr>
        <w:t xml:space="preserve"> </w:t>
      </w:r>
      <w:r w:rsidR="006D798B" w:rsidRPr="00DD1B58">
        <w:rPr>
          <w:lang w:val="en-US"/>
        </w:rPr>
        <w:t>reports that</w:t>
      </w:r>
      <w:r w:rsidR="00606853" w:rsidRPr="00DD1B58">
        <w:rPr>
          <w:lang w:val="en-US"/>
        </w:rPr>
        <w:t xml:space="preserve"> f</w:t>
      </w:r>
      <w:r w:rsidR="0009451C" w:rsidRPr="00DD1B58">
        <w:rPr>
          <w:lang w:val="en-US"/>
        </w:rPr>
        <w:t>ire detection and alarms systems in buildings are given a nuclear safety categorisation (Safety \Related Equipment</w:t>
      </w:r>
      <w:r w:rsidR="007C3F42" w:rsidRPr="00DD1B58">
        <w:rPr>
          <w:lang w:val="en-US"/>
        </w:rPr>
        <w:t>/</w:t>
      </w:r>
      <w:r w:rsidR="0009451C" w:rsidRPr="00DD1B58">
        <w:rPr>
          <w:lang w:val="en-US"/>
        </w:rPr>
        <w:t xml:space="preserve">SRE) if the system explicitly contributes to the retention of nuclear safety. It </w:t>
      </w:r>
      <w:r w:rsidR="00606853" w:rsidRPr="00DD1B58">
        <w:rPr>
          <w:lang w:val="en-US"/>
        </w:rPr>
        <w:t xml:space="preserve">also </w:t>
      </w:r>
      <w:r w:rsidR="006D798B" w:rsidRPr="00DD1B58">
        <w:rPr>
          <w:lang w:val="en-US"/>
        </w:rPr>
        <w:t>states that</w:t>
      </w:r>
      <w:r w:rsidR="00606853" w:rsidRPr="00DD1B58">
        <w:rPr>
          <w:lang w:val="en-US"/>
        </w:rPr>
        <w:t xml:space="preserve"> </w:t>
      </w:r>
      <w:r w:rsidR="0009451C" w:rsidRPr="00DD1B58">
        <w:rPr>
          <w:lang w:val="en-US"/>
        </w:rPr>
        <w:t xml:space="preserve">Fire detection and subsequent intervention is not relied upon within nuclear fire analyses as there is a reliance on deterministically safe passive fire protection features instead. </w:t>
      </w:r>
    </w:p>
    <w:p w14:paraId="0270130C" w14:textId="4BD18E43" w:rsidR="0009451C" w:rsidRPr="00DD1B58" w:rsidRDefault="004668E0" w:rsidP="0009451C">
      <w:pPr>
        <w:rPr>
          <w:lang w:val="en-US"/>
        </w:rPr>
      </w:pPr>
      <w:r w:rsidRPr="00DD1B58">
        <w:rPr>
          <w:lang w:val="en-US"/>
        </w:rPr>
        <w:t>Sellafield Ltd.</w:t>
      </w:r>
      <w:r w:rsidR="00606853" w:rsidRPr="00DD1B58">
        <w:rPr>
          <w:lang w:val="en-US"/>
        </w:rPr>
        <w:t xml:space="preserve"> lists </w:t>
      </w:r>
      <w:r w:rsidR="0009451C" w:rsidRPr="00DD1B58">
        <w:rPr>
          <w:lang w:val="en-US"/>
        </w:rPr>
        <w:t xml:space="preserve">Fire Protection systems on the site CMMS tool </w:t>
      </w:r>
      <w:r w:rsidR="00606853" w:rsidRPr="00DD1B58">
        <w:rPr>
          <w:lang w:val="en-US"/>
        </w:rPr>
        <w:t>(</w:t>
      </w:r>
      <w:r w:rsidR="0009451C" w:rsidRPr="00DD1B58">
        <w:rPr>
          <w:lang w:val="en-US"/>
        </w:rPr>
        <w:t>including but not limited to</w:t>
      </w:r>
      <w:r w:rsidR="00606853" w:rsidRPr="00DD1B58">
        <w:rPr>
          <w:lang w:val="en-US"/>
        </w:rPr>
        <w:t>)</w:t>
      </w:r>
      <w:r w:rsidR="0009451C" w:rsidRPr="00DD1B58">
        <w:rPr>
          <w:lang w:val="en-US"/>
        </w:rPr>
        <w:t>: fire alarm and detection systems, emergency lighting, fire dampers, fire extinguishers and lightning protection</w:t>
      </w:r>
      <w:r w:rsidR="00D433A4" w:rsidRPr="00DD1B58">
        <w:rPr>
          <w:lang w:val="en-US"/>
        </w:rPr>
        <w:t xml:space="preserve"> where required by fire analysis and/or the Sellafield Ltd. management system.</w:t>
      </w:r>
      <w:r w:rsidR="0009451C" w:rsidRPr="00DD1B58">
        <w:rPr>
          <w:lang w:val="en-US"/>
        </w:rPr>
        <w:t xml:space="preserve"> </w:t>
      </w:r>
    </w:p>
    <w:p w14:paraId="20977021" w14:textId="45EFEC6F" w:rsidR="0009451C" w:rsidRPr="00DD1B58" w:rsidRDefault="004668E0" w:rsidP="0009451C">
      <w:pPr>
        <w:rPr>
          <w:lang w:val="en-US"/>
        </w:rPr>
      </w:pPr>
      <w:r w:rsidRPr="00DD1B58">
        <w:rPr>
          <w:lang w:val="en-US"/>
        </w:rPr>
        <w:t>Sellafield Ltd.</w:t>
      </w:r>
      <w:r w:rsidR="0009451C" w:rsidRPr="00DD1B58">
        <w:rPr>
          <w:lang w:val="en-US"/>
        </w:rPr>
        <w:t xml:space="preserve"> noted that the fire alarm and detection systems are usually linked, such that if a fire is detected in one building, intermittent alarms will sound in the other buildings where they may be a knock-on effect on other plants. </w:t>
      </w:r>
      <w:r w:rsidR="00606853" w:rsidRPr="00DD1B58">
        <w:rPr>
          <w:lang w:val="en-US"/>
        </w:rPr>
        <w:t xml:space="preserve">It also </w:t>
      </w:r>
      <w:r w:rsidR="006D798B" w:rsidRPr="00DD1B58">
        <w:rPr>
          <w:lang w:val="en-US"/>
        </w:rPr>
        <w:t>states that</w:t>
      </w:r>
      <w:r w:rsidR="00606853" w:rsidRPr="00DD1B58">
        <w:rPr>
          <w:lang w:val="en-US"/>
        </w:rPr>
        <w:t xml:space="preserve"> f</w:t>
      </w:r>
      <w:r w:rsidR="0009451C" w:rsidRPr="00DD1B58">
        <w:rPr>
          <w:lang w:val="en-US"/>
        </w:rPr>
        <w:t xml:space="preserve">ire alarm and detection systems are linked to the Sellafield Fire and Rescue Service station, so any activations of alarms </w:t>
      </w:r>
      <w:r w:rsidR="007E43D2" w:rsidRPr="00DD1B58">
        <w:rPr>
          <w:lang w:val="en-US"/>
        </w:rPr>
        <w:t>are</w:t>
      </w:r>
      <w:r w:rsidR="0009451C" w:rsidRPr="00DD1B58">
        <w:rPr>
          <w:lang w:val="en-US"/>
        </w:rPr>
        <w:t xml:space="preserve"> automatically transmitted to the fire service allowing a swift response.</w:t>
      </w:r>
    </w:p>
    <w:p w14:paraId="6CB56161" w14:textId="77777777" w:rsidR="00615969" w:rsidRPr="00DD1B58" w:rsidRDefault="00615969" w:rsidP="00615969">
      <w:pPr>
        <w:rPr>
          <w:lang w:val="en-US"/>
        </w:rPr>
      </w:pPr>
      <w:r w:rsidRPr="00DD1B58">
        <w:rPr>
          <w:lang w:val="en-US"/>
        </w:rPr>
        <w:t>The Nuclear Fire Hazard Analyses assesses the risk associated with nuclear fire and identifies the requirements for designation of any fire protection systems for nuclear safety for inclusion in the Engineering Schedule.</w:t>
      </w:r>
    </w:p>
    <w:p w14:paraId="0565AA59" w14:textId="3CA37D31" w:rsidR="00615969" w:rsidRPr="00DD1B58" w:rsidRDefault="00615969" w:rsidP="00615969">
      <w:pPr>
        <w:rPr>
          <w:lang w:val="en-US"/>
        </w:rPr>
      </w:pPr>
      <w:r w:rsidRPr="00DD1B58">
        <w:rPr>
          <w:lang w:val="en-US"/>
        </w:rPr>
        <w:t xml:space="preserve">Nuclear Site Licence Condition 11 (Emergency Arrangements) requires that arrangements are in place to deal with accidents and emergencies in a facility with nuclear inventory and it is implicit that there is therefore a requirement to have equipment to support those arrangements. </w:t>
      </w:r>
      <w:r w:rsidR="004668E0" w:rsidRPr="00DD1B58">
        <w:rPr>
          <w:lang w:val="en-US"/>
        </w:rPr>
        <w:t>Sellafield Ltd.</w:t>
      </w:r>
      <w:r w:rsidR="00CF501C" w:rsidRPr="00DD1B58">
        <w:rPr>
          <w:lang w:val="en-US"/>
        </w:rPr>
        <w:t xml:space="preserve"> </w:t>
      </w:r>
      <w:r w:rsidR="006D798B" w:rsidRPr="00DD1B58">
        <w:rPr>
          <w:lang w:val="en-US"/>
        </w:rPr>
        <w:t>reports that</w:t>
      </w:r>
      <w:r w:rsidR="00CF501C" w:rsidRPr="00DD1B58">
        <w:rPr>
          <w:lang w:val="en-US"/>
        </w:rPr>
        <w:t xml:space="preserve"> E</w:t>
      </w:r>
      <w:r w:rsidRPr="00DD1B58">
        <w:rPr>
          <w:lang w:val="en-US"/>
        </w:rPr>
        <w:t>quipment to support the requirements of Nuclear Site Licence Condition 11 may have already been designated SR</w:t>
      </w:r>
      <w:r w:rsidR="001C386C" w:rsidRPr="00DD1B58">
        <w:rPr>
          <w:lang w:val="en-US"/>
        </w:rPr>
        <w:t>E</w:t>
      </w:r>
      <w:r w:rsidRPr="00DD1B58">
        <w:rPr>
          <w:lang w:val="en-US"/>
        </w:rPr>
        <w:t xml:space="preserve"> either </w:t>
      </w:r>
      <w:r w:rsidR="00552104" w:rsidRPr="00DD1B58">
        <w:rPr>
          <w:lang w:val="en-US"/>
        </w:rPr>
        <w:t>using the compute</w:t>
      </w:r>
      <w:r w:rsidR="00BC6812" w:rsidRPr="00DD1B58">
        <w:rPr>
          <w:lang w:val="en-US"/>
        </w:rPr>
        <w:t>r tags</w:t>
      </w:r>
      <w:r w:rsidRPr="00DD1B58">
        <w:rPr>
          <w:lang w:val="en-US"/>
        </w:rPr>
        <w:t xml:space="preserve"> as SR (1) Equipment Required to Mitigate Abnormal Events or SR (2) Equipment Required to Identify Leakage and/or Escape of Radioactive Material. </w:t>
      </w:r>
      <w:r w:rsidR="004668E0" w:rsidRPr="00DD1B58">
        <w:rPr>
          <w:lang w:val="en-US"/>
        </w:rPr>
        <w:t>Sellafield Ltd.</w:t>
      </w:r>
      <w:r w:rsidR="009961E0" w:rsidRPr="00DD1B58">
        <w:rPr>
          <w:lang w:val="en-US"/>
        </w:rPr>
        <w:t xml:space="preserve"> requires EM&amp;IT</w:t>
      </w:r>
      <w:r w:rsidRPr="00DD1B58">
        <w:rPr>
          <w:lang w:val="en-US"/>
        </w:rPr>
        <w:t xml:space="preserve"> of fire protection systems which are designated </w:t>
      </w:r>
      <w:r w:rsidR="009961E0" w:rsidRPr="00DD1B58">
        <w:rPr>
          <w:lang w:val="en-US"/>
        </w:rPr>
        <w:t>as SR</w:t>
      </w:r>
      <w:r w:rsidR="00AF5447" w:rsidRPr="00DD1B58">
        <w:rPr>
          <w:lang w:val="en-US"/>
        </w:rPr>
        <w:t>E</w:t>
      </w:r>
      <w:r w:rsidR="009961E0" w:rsidRPr="00DD1B58">
        <w:rPr>
          <w:lang w:val="en-US"/>
        </w:rPr>
        <w:t xml:space="preserve"> to be</w:t>
      </w:r>
      <w:r w:rsidRPr="00DD1B58">
        <w:rPr>
          <w:lang w:val="en-US"/>
        </w:rPr>
        <w:t xml:space="preserve"> included on the Plant Maintenance Schedule (PMS)</w:t>
      </w:r>
      <w:r w:rsidR="009961E0" w:rsidRPr="00DD1B58">
        <w:rPr>
          <w:lang w:val="en-US"/>
        </w:rPr>
        <w:t>.</w:t>
      </w:r>
    </w:p>
    <w:p w14:paraId="2844BF39" w14:textId="77777777" w:rsidR="006B150B" w:rsidRPr="00DD1B58" w:rsidRDefault="006B150B" w:rsidP="00615969">
      <w:pPr>
        <w:rPr>
          <w:b/>
          <w:lang w:val="en-US"/>
        </w:rPr>
      </w:pPr>
      <w:r w:rsidRPr="00DD1B58">
        <w:rPr>
          <w:b/>
          <w:lang w:val="en-US"/>
        </w:rPr>
        <w:t>Standards and System Design</w:t>
      </w:r>
    </w:p>
    <w:p w14:paraId="7068AB98" w14:textId="08A50FB8" w:rsidR="00A5496A" w:rsidRPr="00DD1B58" w:rsidRDefault="004668E0" w:rsidP="00615969">
      <w:pPr>
        <w:rPr>
          <w:lang w:val="en-US"/>
        </w:rPr>
      </w:pPr>
      <w:r w:rsidRPr="00DD1B58">
        <w:rPr>
          <w:lang w:val="en-US"/>
        </w:rPr>
        <w:t>Sellafield Ltd.</w:t>
      </w:r>
      <w:r w:rsidR="009961E0" w:rsidRPr="00DD1B58">
        <w:rPr>
          <w:lang w:val="en-US"/>
        </w:rPr>
        <w:t xml:space="preserve"> </w:t>
      </w:r>
      <w:r w:rsidR="006D798B" w:rsidRPr="00DD1B58">
        <w:rPr>
          <w:lang w:val="en-US"/>
        </w:rPr>
        <w:t>reports that</w:t>
      </w:r>
      <w:r w:rsidR="009961E0" w:rsidRPr="00DD1B58">
        <w:rPr>
          <w:lang w:val="en-US"/>
        </w:rPr>
        <w:t xml:space="preserve"> the </w:t>
      </w:r>
      <w:r w:rsidR="00615969" w:rsidRPr="00DD1B58">
        <w:rPr>
          <w:lang w:val="en-US"/>
        </w:rPr>
        <w:t xml:space="preserve">fire detection and alarm systems have been designed, maintained, and installed in accordance with the guidance provided for Building Regulations Approved Document B (ADB) Volume 2 </w:t>
      </w:r>
      <w:sdt>
        <w:sdtPr>
          <w:rPr>
            <w:lang w:val="en-US"/>
          </w:rPr>
          <w:id w:val="2014954877"/>
          <w:citation/>
        </w:sdtPr>
        <w:sdtContent>
          <w:r w:rsidR="001B294C" w:rsidRPr="00DD1B58">
            <w:rPr>
              <w:lang w:val="en-US"/>
            </w:rPr>
            <w:fldChar w:fldCharType="begin"/>
          </w:r>
          <w:r w:rsidR="005B050F" w:rsidRPr="00DD1B58">
            <w:rPr>
              <w:lang w:val="en-US"/>
            </w:rPr>
            <w:instrText xml:space="preserve">CITATION HMG22 \l 2057 </w:instrText>
          </w:r>
          <w:r w:rsidR="001B294C" w:rsidRPr="00DD1B58">
            <w:rPr>
              <w:lang w:val="en-US"/>
            </w:rPr>
            <w:fldChar w:fldCharType="separate"/>
          </w:r>
          <w:r w:rsidR="00DF47DA" w:rsidRPr="00DF47DA">
            <w:rPr>
              <w:noProof/>
              <w:lang w:val="en-US"/>
            </w:rPr>
            <w:t>[84]</w:t>
          </w:r>
          <w:r w:rsidR="001B294C" w:rsidRPr="00DD1B58">
            <w:rPr>
              <w:lang w:val="en-US"/>
            </w:rPr>
            <w:fldChar w:fldCharType="end"/>
          </w:r>
        </w:sdtContent>
      </w:sdt>
      <w:r w:rsidR="00615969" w:rsidRPr="00DD1B58">
        <w:rPr>
          <w:lang w:val="en-US"/>
        </w:rPr>
        <w:t xml:space="preserve">, British Standard (BS) 5839 Part 1 </w:t>
      </w:r>
      <w:sdt>
        <w:sdtPr>
          <w:rPr>
            <w:lang w:val="en-US"/>
          </w:rPr>
          <w:id w:val="-98878636"/>
          <w:citation/>
        </w:sdtPr>
        <w:sdtContent>
          <w:r w:rsidR="001B294C" w:rsidRPr="00DD1B58">
            <w:rPr>
              <w:lang w:val="en-US"/>
            </w:rPr>
            <w:fldChar w:fldCharType="begin"/>
          </w:r>
          <w:r w:rsidR="001B294C" w:rsidRPr="00DD1B58">
            <w:rPr>
              <w:lang w:val="en-US"/>
            </w:rPr>
            <w:instrText xml:space="preserve"> CITATION BS5839 \l 2057 </w:instrText>
          </w:r>
          <w:r w:rsidR="001B294C" w:rsidRPr="00DD1B58">
            <w:rPr>
              <w:lang w:val="en-US"/>
            </w:rPr>
            <w:fldChar w:fldCharType="separate"/>
          </w:r>
          <w:r w:rsidR="00DF47DA" w:rsidRPr="00DF47DA">
            <w:rPr>
              <w:noProof/>
              <w:lang w:val="en-US"/>
            </w:rPr>
            <w:t>[179]</w:t>
          </w:r>
          <w:r w:rsidR="001B294C" w:rsidRPr="00DD1B58">
            <w:rPr>
              <w:lang w:val="en-US"/>
            </w:rPr>
            <w:fldChar w:fldCharType="end"/>
          </w:r>
        </w:sdtContent>
      </w:sdt>
      <w:r w:rsidR="00615969" w:rsidRPr="00DD1B58">
        <w:rPr>
          <w:lang w:val="en-US"/>
        </w:rPr>
        <w:t xml:space="preserve">, the primary design standards and BS European Norm (EN) 45 series for fire detection and alarm systems in the UK. </w:t>
      </w:r>
      <w:r w:rsidRPr="00DD1B58">
        <w:rPr>
          <w:lang w:val="en-US"/>
        </w:rPr>
        <w:t>Sellafield Ltd.</w:t>
      </w:r>
      <w:r w:rsidR="00615969" w:rsidRPr="00DD1B58">
        <w:rPr>
          <w:lang w:val="en-US"/>
        </w:rPr>
        <w:t xml:space="preserve"> Engineering Standards provide the process for assessing the fire risk to inform the category and details specific design system performance requirements for </w:t>
      </w:r>
      <w:r w:rsidR="00C9546C" w:rsidRPr="00DD1B58">
        <w:rPr>
          <w:lang w:val="en-US"/>
        </w:rPr>
        <w:t>Sellafield Ltd.</w:t>
      </w:r>
      <w:r w:rsidR="00615969" w:rsidRPr="00DD1B58">
        <w:rPr>
          <w:lang w:val="en-US"/>
        </w:rPr>
        <w:t xml:space="preserve"> nuclear facility. </w:t>
      </w:r>
    </w:p>
    <w:p w14:paraId="7A8BE7C4" w14:textId="42925912" w:rsidR="00615969" w:rsidRPr="00DD1B58" w:rsidRDefault="004668E0" w:rsidP="00615969">
      <w:pPr>
        <w:rPr>
          <w:lang w:val="en-US"/>
        </w:rPr>
      </w:pPr>
      <w:r w:rsidRPr="00DD1B58">
        <w:rPr>
          <w:lang w:val="en-US"/>
        </w:rPr>
        <w:t>Sellafield Ltd.</w:t>
      </w:r>
      <w:r w:rsidR="002E6070" w:rsidRPr="00DD1B58">
        <w:rPr>
          <w:lang w:val="en-US"/>
        </w:rPr>
        <w:t xml:space="preserve"> </w:t>
      </w:r>
      <w:r w:rsidR="006D798B" w:rsidRPr="00DD1B58">
        <w:rPr>
          <w:lang w:val="en-US"/>
        </w:rPr>
        <w:t>reports that</w:t>
      </w:r>
      <w:r w:rsidR="002E6070" w:rsidRPr="00DD1B58">
        <w:rPr>
          <w:lang w:val="en-US"/>
        </w:rPr>
        <w:t xml:space="preserve"> the </w:t>
      </w:r>
      <w:r w:rsidR="00615969" w:rsidRPr="00DD1B58">
        <w:rPr>
          <w:lang w:val="en-US"/>
        </w:rPr>
        <w:t xml:space="preserve">systems products, design, installation, commissioning and maintenance is in accordance with British Association of Fire Equipment (BAFE) third party accreditation scheme SP203-1 </w:t>
      </w:r>
      <w:sdt>
        <w:sdtPr>
          <w:rPr>
            <w:lang w:val="en-US"/>
          </w:rPr>
          <w:id w:val="2076543034"/>
          <w:citation/>
        </w:sdtPr>
        <w:sdtContent>
          <w:r w:rsidR="003E2A9B" w:rsidRPr="00DD1B58">
            <w:rPr>
              <w:lang w:val="en-US"/>
            </w:rPr>
            <w:fldChar w:fldCharType="begin"/>
          </w:r>
          <w:r w:rsidR="003E2A9B" w:rsidRPr="00DD1B58">
            <w:rPr>
              <w:lang w:val="en-US"/>
            </w:rPr>
            <w:instrText xml:space="preserve"> CITATION Bri20 \l 2057 </w:instrText>
          </w:r>
          <w:r w:rsidR="003E2A9B" w:rsidRPr="00DD1B58">
            <w:rPr>
              <w:lang w:val="en-US"/>
            </w:rPr>
            <w:fldChar w:fldCharType="separate"/>
          </w:r>
          <w:r w:rsidR="00DF47DA" w:rsidRPr="00DF47DA">
            <w:rPr>
              <w:noProof/>
              <w:lang w:val="en-US"/>
            </w:rPr>
            <w:t>[191]</w:t>
          </w:r>
          <w:r w:rsidR="003E2A9B" w:rsidRPr="00DD1B58">
            <w:rPr>
              <w:lang w:val="en-US"/>
            </w:rPr>
            <w:fldChar w:fldCharType="end"/>
          </w:r>
        </w:sdtContent>
      </w:sdt>
      <w:r w:rsidR="00615969" w:rsidRPr="00DD1B58">
        <w:rPr>
          <w:lang w:val="en-US"/>
        </w:rPr>
        <w:t xml:space="preserve"> which is considered </w:t>
      </w:r>
      <w:r w:rsidR="00AB78E1" w:rsidRPr="00DD1B58">
        <w:rPr>
          <w:lang w:val="en-US"/>
        </w:rPr>
        <w:t xml:space="preserve">relevant </w:t>
      </w:r>
      <w:r w:rsidR="00615969" w:rsidRPr="00DD1B58">
        <w:rPr>
          <w:lang w:val="en-US"/>
        </w:rPr>
        <w:t xml:space="preserve">good practice. </w:t>
      </w:r>
      <w:r w:rsidR="000B2DD7" w:rsidRPr="00DD1B58">
        <w:rPr>
          <w:lang w:val="en-US"/>
        </w:rPr>
        <w:t>This is described in the CE&amp;I Legislation to Sellafield Engineering Standards flow down sheet in</w:t>
      </w:r>
      <w:r w:rsidR="00BB346A" w:rsidRPr="00DD1B58">
        <w:rPr>
          <w:lang w:val="en-US"/>
        </w:rPr>
        <w:t xml:space="preserve"> </w:t>
      </w:r>
      <w:r w:rsidR="00BB346A" w:rsidRPr="00DD1B58">
        <w:rPr>
          <w:lang w:val="en-US"/>
        </w:rPr>
        <w:fldChar w:fldCharType="begin"/>
      </w:r>
      <w:r w:rsidR="00BB346A" w:rsidRPr="00DD1B58">
        <w:rPr>
          <w:lang w:val="en-US"/>
        </w:rPr>
        <w:instrText xml:space="preserve"> REF _Ref135209781 \h </w:instrText>
      </w:r>
      <w:r w:rsidR="00BB346A" w:rsidRPr="00DD1B58">
        <w:rPr>
          <w:lang w:val="en-US"/>
        </w:rPr>
      </w:r>
      <w:r w:rsidR="00BB346A" w:rsidRPr="00DD1B58">
        <w:rPr>
          <w:lang w:val="en-US"/>
        </w:rPr>
        <w:fldChar w:fldCharType="separate"/>
      </w:r>
      <w:r w:rsidR="00DF47DA" w:rsidRPr="00DD1B58">
        <w:rPr>
          <w:lang w:val="en-US"/>
        </w:rPr>
        <w:t xml:space="preserve">Figure </w:t>
      </w:r>
      <w:r w:rsidR="00DF47DA">
        <w:rPr>
          <w:noProof/>
          <w:lang w:val="en-US"/>
        </w:rPr>
        <w:t>6</w:t>
      </w:r>
      <w:r w:rsidR="00BB346A" w:rsidRPr="00DD1B58">
        <w:rPr>
          <w:lang w:val="en-US"/>
        </w:rPr>
        <w:fldChar w:fldCharType="end"/>
      </w:r>
      <w:r w:rsidR="00BB346A" w:rsidRPr="00DD1B58">
        <w:rPr>
          <w:lang w:val="en-US"/>
        </w:rPr>
        <w:t>.</w:t>
      </w:r>
    </w:p>
    <w:p w14:paraId="64474CA7" w14:textId="5D67DE4D" w:rsidR="00615969" w:rsidRPr="00DD1B58" w:rsidRDefault="00B45536" w:rsidP="00615969">
      <w:pPr>
        <w:rPr>
          <w:lang w:val="en-US"/>
        </w:rPr>
      </w:pPr>
      <w:r w:rsidRPr="00DD1B58">
        <w:rPr>
          <w:lang w:val="en-US"/>
        </w:rPr>
        <w:t xml:space="preserve">Sellafield </w:t>
      </w:r>
      <w:r w:rsidR="006D798B" w:rsidRPr="00DD1B58">
        <w:rPr>
          <w:lang w:val="en-US"/>
        </w:rPr>
        <w:t>states that</w:t>
      </w:r>
      <w:r w:rsidRPr="00DD1B58">
        <w:rPr>
          <w:lang w:val="en-US"/>
        </w:rPr>
        <w:t xml:space="preserve"> any </w:t>
      </w:r>
      <w:r w:rsidR="00615969" w:rsidRPr="00DD1B58">
        <w:rPr>
          <w:lang w:val="en-US"/>
        </w:rPr>
        <w:t>reference to category of fire alarm system in the below sections is in line with the categories defined in BS 5839 Part</w:t>
      </w:r>
      <w:r w:rsidR="00A66F57" w:rsidRPr="00DD1B58">
        <w:rPr>
          <w:lang w:val="en-US"/>
        </w:rPr>
        <w:t xml:space="preserve"> </w:t>
      </w:r>
      <w:r w:rsidR="00615969" w:rsidRPr="00DD1B58">
        <w:rPr>
          <w:lang w:val="en-US"/>
        </w:rPr>
        <w:t>1</w:t>
      </w:r>
      <w:r w:rsidR="00D8130B" w:rsidRPr="00DD1B58">
        <w:rPr>
          <w:lang w:val="en-US"/>
        </w:rPr>
        <w:t xml:space="preserve"> </w:t>
      </w:r>
      <w:sdt>
        <w:sdtPr>
          <w:rPr>
            <w:lang w:val="en-US"/>
          </w:rPr>
          <w:id w:val="-1470970556"/>
          <w:citation/>
        </w:sdtPr>
        <w:sdtContent>
          <w:r w:rsidR="00D8130B" w:rsidRPr="00DD1B58">
            <w:rPr>
              <w:lang w:val="en-US"/>
            </w:rPr>
            <w:fldChar w:fldCharType="begin"/>
          </w:r>
          <w:r w:rsidR="00D8130B" w:rsidRPr="00DD1B58">
            <w:rPr>
              <w:lang w:val="en-US"/>
            </w:rPr>
            <w:instrText xml:space="preserve"> CITATION BS5839 \l 2057 </w:instrText>
          </w:r>
          <w:r w:rsidR="00D8130B" w:rsidRPr="00DD1B58">
            <w:rPr>
              <w:lang w:val="en-US"/>
            </w:rPr>
            <w:fldChar w:fldCharType="separate"/>
          </w:r>
          <w:r w:rsidR="00DF47DA" w:rsidRPr="00DF47DA">
            <w:rPr>
              <w:noProof/>
              <w:lang w:val="en-US"/>
            </w:rPr>
            <w:t>[179]</w:t>
          </w:r>
          <w:r w:rsidR="00D8130B" w:rsidRPr="00DD1B58">
            <w:rPr>
              <w:lang w:val="en-US"/>
            </w:rPr>
            <w:fldChar w:fldCharType="end"/>
          </w:r>
        </w:sdtContent>
      </w:sdt>
      <w:r w:rsidR="00615969" w:rsidRPr="00DD1B58">
        <w:rPr>
          <w:lang w:val="en-US"/>
        </w:rPr>
        <w:t xml:space="preserve">. For life safety, </w:t>
      </w:r>
      <w:r w:rsidR="004668E0" w:rsidRPr="00DD1B58">
        <w:rPr>
          <w:lang w:val="en-US"/>
        </w:rPr>
        <w:t>Sellafield Ltd.</w:t>
      </w:r>
      <w:r w:rsidRPr="00DD1B58">
        <w:rPr>
          <w:lang w:val="en-US"/>
        </w:rPr>
        <w:t xml:space="preserve"> </w:t>
      </w:r>
      <w:r w:rsidR="006D798B" w:rsidRPr="00DD1B58">
        <w:rPr>
          <w:lang w:val="en-US"/>
        </w:rPr>
        <w:t>reports that</w:t>
      </w:r>
      <w:r w:rsidRPr="00DD1B58">
        <w:rPr>
          <w:lang w:val="en-US"/>
        </w:rPr>
        <w:t xml:space="preserve"> the </w:t>
      </w:r>
      <w:r w:rsidR="00615969" w:rsidRPr="00DD1B58">
        <w:rPr>
          <w:lang w:val="en-US"/>
        </w:rPr>
        <w:t xml:space="preserve">minimum requirement for the fire alarm and detection systems for the plants in scope is in line with the recommendations of Building Regulations Approved Document B </w:t>
      </w:r>
      <w:sdt>
        <w:sdtPr>
          <w:rPr>
            <w:lang w:val="en-US"/>
          </w:rPr>
          <w:id w:val="499325499"/>
          <w:citation/>
        </w:sdtPr>
        <w:sdtContent>
          <w:r w:rsidR="00CE4450" w:rsidRPr="00DD1B58">
            <w:rPr>
              <w:lang w:val="en-US"/>
            </w:rPr>
            <w:fldChar w:fldCharType="begin"/>
          </w:r>
          <w:r w:rsidR="005B050F" w:rsidRPr="00DD1B58">
            <w:rPr>
              <w:lang w:val="en-US"/>
            </w:rPr>
            <w:instrText xml:space="preserve">CITATION HMG22 \l 2057 </w:instrText>
          </w:r>
          <w:r w:rsidR="00CE4450" w:rsidRPr="00DD1B58">
            <w:rPr>
              <w:lang w:val="en-US"/>
            </w:rPr>
            <w:fldChar w:fldCharType="separate"/>
          </w:r>
          <w:r w:rsidR="00DF47DA" w:rsidRPr="00DF47DA">
            <w:rPr>
              <w:noProof/>
              <w:lang w:val="en-US"/>
            </w:rPr>
            <w:t>[84]</w:t>
          </w:r>
          <w:r w:rsidR="00CE4450" w:rsidRPr="00DD1B58">
            <w:rPr>
              <w:lang w:val="en-US"/>
            </w:rPr>
            <w:fldChar w:fldCharType="end"/>
          </w:r>
        </w:sdtContent>
      </w:sdt>
      <w:r w:rsidR="00CE4450" w:rsidRPr="00DD1B58">
        <w:rPr>
          <w:lang w:val="en-US"/>
        </w:rPr>
        <w:t xml:space="preserve"> </w:t>
      </w:r>
      <w:r w:rsidR="00615969" w:rsidRPr="00DD1B58">
        <w:rPr>
          <w:lang w:val="en-US"/>
        </w:rPr>
        <w:t xml:space="preserve">which states </w:t>
      </w:r>
      <w:r w:rsidR="00CE4450" w:rsidRPr="00DD1B58">
        <w:rPr>
          <w:lang w:val="en-US"/>
        </w:rPr>
        <w:t xml:space="preserve">this </w:t>
      </w:r>
      <w:r w:rsidR="00615969" w:rsidRPr="00DD1B58">
        <w:rPr>
          <w:lang w:val="en-US"/>
        </w:rPr>
        <w:t>is a Category M fire detection and alarm system i.e. a non-automatic manually operable system as defined in BS 5839 Part</w:t>
      </w:r>
      <w:r w:rsidR="00A66F57" w:rsidRPr="00DD1B58">
        <w:rPr>
          <w:lang w:val="en-US"/>
        </w:rPr>
        <w:t xml:space="preserve"> </w:t>
      </w:r>
      <w:r w:rsidR="00615969" w:rsidRPr="00DD1B58">
        <w:rPr>
          <w:lang w:val="en-US"/>
        </w:rPr>
        <w:t>1</w:t>
      </w:r>
      <w:r w:rsidR="00D8130B" w:rsidRPr="00DD1B58">
        <w:rPr>
          <w:lang w:val="en-US"/>
        </w:rPr>
        <w:t xml:space="preserve"> </w:t>
      </w:r>
      <w:sdt>
        <w:sdtPr>
          <w:rPr>
            <w:lang w:val="en-US"/>
          </w:rPr>
          <w:id w:val="-1104499787"/>
          <w:citation/>
        </w:sdtPr>
        <w:sdtContent>
          <w:r w:rsidR="00D8130B" w:rsidRPr="00DD1B58">
            <w:rPr>
              <w:lang w:val="en-US"/>
            </w:rPr>
            <w:fldChar w:fldCharType="begin"/>
          </w:r>
          <w:r w:rsidR="00D8130B" w:rsidRPr="00DD1B58">
            <w:rPr>
              <w:lang w:val="en-US"/>
            </w:rPr>
            <w:instrText xml:space="preserve"> CITATION BS5839 \l 2057 </w:instrText>
          </w:r>
          <w:r w:rsidR="00D8130B" w:rsidRPr="00DD1B58">
            <w:rPr>
              <w:lang w:val="en-US"/>
            </w:rPr>
            <w:fldChar w:fldCharType="separate"/>
          </w:r>
          <w:r w:rsidR="00DF47DA" w:rsidRPr="00DF47DA">
            <w:rPr>
              <w:noProof/>
              <w:lang w:val="en-US"/>
            </w:rPr>
            <w:t>[179]</w:t>
          </w:r>
          <w:r w:rsidR="00D8130B" w:rsidRPr="00DD1B58">
            <w:rPr>
              <w:lang w:val="en-US"/>
            </w:rPr>
            <w:fldChar w:fldCharType="end"/>
          </w:r>
        </w:sdtContent>
      </w:sdt>
      <w:r w:rsidR="00615969" w:rsidRPr="00DD1B58">
        <w:rPr>
          <w:lang w:val="en-US"/>
        </w:rPr>
        <w:t>.</w:t>
      </w:r>
    </w:p>
    <w:p w14:paraId="1E5485A7" w14:textId="77777777" w:rsidR="006C200D" w:rsidRPr="00DD1B58" w:rsidRDefault="006C200D" w:rsidP="00C51DC0">
      <w:pPr>
        <w:rPr>
          <w:lang w:val="en-US"/>
        </w:rPr>
      </w:pPr>
      <w:r w:rsidRPr="00DD1B58">
        <w:rPr>
          <w:noProof/>
          <w:lang w:val="en-US"/>
        </w:rPr>
        <w:drawing>
          <wp:inline distT="0" distB="0" distL="0" distR="0" wp14:anchorId="511E61BA" wp14:editId="0E6E2FE5">
            <wp:extent cx="5970905" cy="5986732"/>
            <wp:effectExtent l="0" t="0" r="0" b="0"/>
            <wp:docPr id="7" name="Picture 7" descr="Flow chart from HSWA1974 to Regulatory Reform Fire Safety Orders, then splitting into Design (BS 9999, BS 5839-1, BS EN 54 Series) and SQEP (BS EN 16763 and PD CEN/TS 54-14). IAEA Safety Standards also points to BS5839-1. The final box is the Sellafield Engineering Standard ES_1_228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ow chart from HSWA1974 to Regulatory Reform Fire Safety Orders, then splitting into Design (BS 9999, BS 5839-1, BS EN 54 Series) and SQEP (BS EN 16763 and PD CEN/TS 54-14). IAEA Safety Standards also points to BS5839-1. The final box is the Sellafield Engineering Standard ES_1_2284_1"/>
                    <pic:cNvPicPr/>
                  </pic:nvPicPr>
                  <pic:blipFill rotWithShape="1">
                    <a:blip r:embed="rId17"/>
                    <a:srcRect b="27081"/>
                    <a:stretch/>
                  </pic:blipFill>
                  <pic:spPr bwMode="auto">
                    <a:xfrm>
                      <a:off x="0" y="0"/>
                      <a:ext cx="6001633" cy="6017541"/>
                    </a:xfrm>
                    <a:prstGeom prst="rect">
                      <a:avLst/>
                    </a:prstGeom>
                    <a:ln>
                      <a:noFill/>
                    </a:ln>
                    <a:extLst>
                      <a:ext uri="{53640926-AAD7-44D8-BBD7-CCE9431645EC}">
                        <a14:shadowObscured xmlns:a14="http://schemas.microsoft.com/office/drawing/2010/main"/>
                      </a:ext>
                    </a:extLst>
                  </pic:spPr>
                </pic:pic>
              </a:graphicData>
            </a:graphic>
          </wp:inline>
        </w:drawing>
      </w:r>
    </w:p>
    <w:p w14:paraId="2B98091F" w14:textId="39764ED1" w:rsidR="006C200D" w:rsidRPr="00DD1B58" w:rsidRDefault="006C200D" w:rsidP="006C200D">
      <w:pPr>
        <w:pStyle w:val="Caption"/>
        <w:rPr>
          <w:lang w:val="en-US"/>
        </w:rPr>
      </w:pPr>
      <w:bookmarkStart w:id="127" w:name="_Ref135209781"/>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6</w:t>
      </w:r>
      <w:r w:rsidRPr="00DD1B58">
        <w:rPr>
          <w:lang w:val="en-US"/>
        </w:rPr>
        <w:fldChar w:fldCharType="end"/>
      </w:r>
      <w:bookmarkEnd w:id="127"/>
      <w:r w:rsidRPr="00DD1B58">
        <w:rPr>
          <w:lang w:val="en-US"/>
        </w:rPr>
        <w:t>: Sellafield CE&amp;I Legislation to Sellafield Engineering Standards flow down sheet</w:t>
      </w:r>
    </w:p>
    <w:p w14:paraId="02A2BF9C" w14:textId="581CD1CA" w:rsidR="000616B0" w:rsidRPr="00DD1B58" w:rsidRDefault="004668E0" w:rsidP="00C51DC0">
      <w:pPr>
        <w:rPr>
          <w:lang w:val="en-US"/>
        </w:rPr>
      </w:pPr>
      <w:r w:rsidRPr="00DD1B58">
        <w:rPr>
          <w:lang w:val="en-US"/>
        </w:rPr>
        <w:t xml:space="preserve">Sellafield Ltd. </w:t>
      </w:r>
      <w:r w:rsidR="000616B0" w:rsidRPr="00DD1B58">
        <w:rPr>
          <w:lang w:val="en-US"/>
        </w:rPr>
        <w:t>report</w:t>
      </w:r>
      <w:r w:rsidR="00496C8D" w:rsidRPr="00DD1B58">
        <w:rPr>
          <w:lang w:val="en-US"/>
        </w:rPr>
        <w:t>s</w:t>
      </w:r>
      <w:r w:rsidR="000616B0" w:rsidRPr="00DD1B58">
        <w:rPr>
          <w:lang w:val="en-US"/>
        </w:rPr>
        <w:t xml:space="preserve"> the following consider</w:t>
      </w:r>
      <w:r w:rsidR="00A5496A" w:rsidRPr="00DD1B58">
        <w:rPr>
          <w:lang w:val="en-US"/>
        </w:rPr>
        <w:t>ations regarding fire alarm system design</w:t>
      </w:r>
      <w:r w:rsidR="001A2D84" w:rsidRPr="00DD1B58">
        <w:rPr>
          <w:lang w:val="en-US"/>
        </w:rPr>
        <w:t xml:space="preserve">, </w:t>
      </w:r>
      <w:r w:rsidR="00A5496A" w:rsidRPr="00DD1B58">
        <w:rPr>
          <w:lang w:val="en-US"/>
        </w:rPr>
        <w:t>reproduced</w:t>
      </w:r>
      <w:r w:rsidR="00A318AE" w:rsidRPr="00DD1B58">
        <w:rPr>
          <w:lang w:val="en-US"/>
        </w:rPr>
        <w:t xml:space="preserve"> below</w:t>
      </w:r>
      <w:r w:rsidR="001A2D84" w:rsidRPr="00DD1B58">
        <w:rPr>
          <w:lang w:val="en-US"/>
        </w:rPr>
        <w:t xml:space="preserve"> lit</w:t>
      </w:r>
      <w:r w:rsidR="00A318AE" w:rsidRPr="00DD1B58">
        <w:rPr>
          <w:lang w:val="en-US"/>
        </w:rPr>
        <w:t xml:space="preserve">erally </w:t>
      </w:r>
      <w:r w:rsidR="00A5496A" w:rsidRPr="00DD1B58">
        <w:rPr>
          <w:lang w:val="en-US"/>
        </w:rPr>
        <w:t>from the licensee’s self-assessment:</w:t>
      </w:r>
    </w:p>
    <w:p w14:paraId="389D72E1" w14:textId="7D1A2A7F" w:rsidR="00C51DC0" w:rsidRPr="00DD1B58" w:rsidRDefault="00C51DC0" w:rsidP="00973FF4">
      <w:pPr>
        <w:pStyle w:val="Bulletlist1"/>
        <w:rPr>
          <w:lang w:val="en-US"/>
        </w:rPr>
      </w:pPr>
      <w:r w:rsidRPr="00DD1B58">
        <w:rPr>
          <w:lang w:val="en-US"/>
        </w:rPr>
        <w:t>Fire</w:t>
      </w:r>
      <w:r w:rsidR="003420E8" w:rsidRPr="00DD1B58">
        <w:rPr>
          <w:lang w:val="en-US"/>
        </w:rPr>
        <w:t xml:space="preserve"> detection and</w:t>
      </w:r>
      <w:r w:rsidRPr="00DD1B58">
        <w:rPr>
          <w:lang w:val="en-US"/>
        </w:rPr>
        <w:t xml:space="preserve"> alarm systems are designed with the defence in depth principle, ensuring requirements set in legislation and British Standards are met and anything reasonably above this that is justifiable under the ALARP principle. </w:t>
      </w:r>
    </w:p>
    <w:p w14:paraId="0B4CE5DB" w14:textId="77777777" w:rsidR="00C51DC0" w:rsidRPr="00DD1B58" w:rsidRDefault="00C51DC0" w:rsidP="00973FF4">
      <w:pPr>
        <w:pStyle w:val="Bulletlist1"/>
        <w:rPr>
          <w:lang w:val="en-US"/>
        </w:rPr>
      </w:pPr>
      <w:r w:rsidRPr="00DD1B58">
        <w:rPr>
          <w:lang w:val="en-US"/>
        </w:rPr>
        <w:t>A fire risk assessment gap analysis is undertaken by Fire Engineering in line with the process identified within Sellafield Engineering Standards to identify the fire objectives for nuclear fire, life safety and property protection appropriate detection technologies are then identified to meet the fire, operational and maintenance requirements collaboratively with the relevant stakeholders.</w:t>
      </w:r>
    </w:p>
    <w:p w14:paraId="201AAAF2" w14:textId="0AEEFDA6" w:rsidR="00C25D76" w:rsidRPr="00DD1B58" w:rsidRDefault="00C25D76" w:rsidP="00973FF4">
      <w:pPr>
        <w:pStyle w:val="Bulletlist1"/>
        <w:rPr>
          <w:lang w:val="en-US"/>
        </w:rPr>
      </w:pPr>
      <w:r w:rsidRPr="00DD1B58">
        <w:rPr>
          <w:lang w:val="en-US"/>
        </w:rPr>
        <w:t>Point optical smoke and heat detectors are installed in accordance with BS 5839 Part 1 throughout all the nuclear facilities</w:t>
      </w:r>
      <w:r w:rsidR="00A358A4" w:rsidRPr="00DD1B58">
        <w:rPr>
          <w:lang w:val="en-US"/>
        </w:rPr>
        <w:t xml:space="preserve"> </w:t>
      </w:r>
      <w:sdt>
        <w:sdtPr>
          <w:rPr>
            <w:lang w:val="en-US"/>
          </w:rPr>
          <w:id w:val="1712452569"/>
          <w:citation/>
        </w:sdtPr>
        <w:sdtContent>
          <w:r w:rsidR="00A358A4" w:rsidRPr="00DD1B58">
            <w:rPr>
              <w:lang w:val="en-US"/>
            </w:rPr>
            <w:fldChar w:fldCharType="begin"/>
          </w:r>
          <w:r w:rsidR="00A358A4" w:rsidRPr="00DD1B58">
            <w:rPr>
              <w:lang w:val="en-US"/>
            </w:rPr>
            <w:instrText xml:space="preserve"> CITATION BS5839 \l 2057 </w:instrText>
          </w:r>
          <w:r w:rsidR="00A358A4" w:rsidRPr="00DD1B58">
            <w:rPr>
              <w:lang w:val="en-US"/>
            </w:rPr>
            <w:fldChar w:fldCharType="separate"/>
          </w:r>
          <w:r w:rsidR="00DF47DA" w:rsidRPr="00DF47DA">
            <w:rPr>
              <w:lang w:val="en-US"/>
            </w:rPr>
            <w:t>[179]</w:t>
          </w:r>
          <w:r w:rsidR="00A358A4" w:rsidRPr="00DD1B58">
            <w:rPr>
              <w:lang w:val="en-US"/>
            </w:rPr>
            <w:fldChar w:fldCharType="end"/>
          </w:r>
        </w:sdtContent>
      </w:sdt>
      <w:r w:rsidRPr="00DD1B58">
        <w:rPr>
          <w:lang w:val="en-US"/>
        </w:rPr>
        <w:t xml:space="preserve">. Where the building orientation, fire risk and type require different technology to detect the fire and smoke quicker alternative systems are utilised to supplement the main type such as beam detectors, flame detectors and aspirating systems </w:t>
      </w:r>
    </w:p>
    <w:p w14:paraId="3A1CDC15" w14:textId="77777777" w:rsidR="00C25D76" w:rsidRPr="00DD1B58" w:rsidRDefault="00C25D76" w:rsidP="00973FF4">
      <w:pPr>
        <w:pStyle w:val="Bulletlist1"/>
        <w:rPr>
          <w:lang w:val="en-US"/>
        </w:rPr>
      </w:pPr>
      <w:r w:rsidRPr="00DD1B58">
        <w:rPr>
          <w:lang w:val="en-US"/>
        </w:rPr>
        <w:t>Locations of heat and optical point detection is demonstrated on fire detection drawings for each facility.</w:t>
      </w:r>
    </w:p>
    <w:p w14:paraId="0033E720" w14:textId="77777777" w:rsidR="00C51DC0" w:rsidRPr="00DD1B58" w:rsidRDefault="00C25D76" w:rsidP="00973FF4">
      <w:pPr>
        <w:pStyle w:val="Bulletlist1"/>
        <w:rPr>
          <w:lang w:val="en-US"/>
        </w:rPr>
      </w:pPr>
      <w:r w:rsidRPr="00DD1B58">
        <w:rPr>
          <w:lang w:val="en-US"/>
        </w:rPr>
        <w:t>Plant walkdowns by suitably qualified third-party certified designers identify suitable locations for point optical smoke or heat detectors and this is reviewed during the Fire Risk Assessments. If the nature or use of a building or room changes, the smoke detection is reviewed to ensure it is still adequate and if it needs any additional detection. For example, if a meeting room is turned into a kitchen, the detection may be changed from smoke detection to heat detection.</w:t>
      </w:r>
    </w:p>
    <w:p w14:paraId="623673C4" w14:textId="77777777" w:rsidR="00D4282B" w:rsidRPr="00DD1B58" w:rsidRDefault="00D4282B" w:rsidP="00973FF4">
      <w:pPr>
        <w:pStyle w:val="Bulletlist1"/>
        <w:rPr>
          <w:lang w:val="en-US"/>
        </w:rPr>
      </w:pPr>
      <w:r w:rsidRPr="00DD1B58">
        <w:rPr>
          <w:lang w:val="en-US"/>
        </w:rPr>
        <w:t>Optical smoke detectors are used within most areas containing fire detection unless there is the potential for false alarms or where access and maintenance considerations deem other types more suitable (e.g. smoke sampling pipe system).</w:t>
      </w:r>
    </w:p>
    <w:p w14:paraId="5E04086F" w14:textId="77777777" w:rsidR="00D4282B" w:rsidRPr="00DD1B58" w:rsidRDefault="00D4282B" w:rsidP="00973FF4">
      <w:pPr>
        <w:pStyle w:val="Bulletlist1"/>
        <w:rPr>
          <w:lang w:val="en-US"/>
        </w:rPr>
      </w:pPr>
      <w:r w:rsidRPr="00DD1B58">
        <w:rPr>
          <w:lang w:val="en-US"/>
        </w:rPr>
        <w:t xml:space="preserve">Maintenance and access considerations have led to the use of aspirating type smoke detection in areas where access to discrete detectors at roof level is difficult. </w:t>
      </w:r>
    </w:p>
    <w:p w14:paraId="5BC47791" w14:textId="49B20031" w:rsidR="00D4282B" w:rsidRPr="00DD1B58" w:rsidRDefault="00D4282B" w:rsidP="00973FF4">
      <w:pPr>
        <w:pStyle w:val="Bulletlist1"/>
        <w:rPr>
          <w:lang w:val="en-US"/>
        </w:rPr>
      </w:pPr>
      <w:r w:rsidRPr="00DD1B58">
        <w:rPr>
          <w:lang w:val="en-US"/>
        </w:rPr>
        <w:t>Smoke detection is provided above false and suspended ceilings in accordance with the requirements of BS 5839-1</w:t>
      </w:r>
      <w:r w:rsidR="00A358A4" w:rsidRPr="00DD1B58">
        <w:rPr>
          <w:lang w:val="en-US"/>
        </w:rPr>
        <w:t xml:space="preserve"> </w:t>
      </w:r>
      <w:sdt>
        <w:sdtPr>
          <w:rPr>
            <w:lang w:val="en-US"/>
          </w:rPr>
          <w:id w:val="-255439312"/>
          <w:citation/>
        </w:sdtPr>
        <w:sdtContent>
          <w:r w:rsidR="00A358A4" w:rsidRPr="00DD1B58">
            <w:rPr>
              <w:lang w:val="en-US"/>
            </w:rPr>
            <w:fldChar w:fldCharType="begin"/>
          </w:r>
          <w:r w:rsidR="00A358A4" w:rsidRPr="00DD1B58">
            <w:rPr>
              <w:lang w:val="en-US"/>
            </w:rPr>
            <w:instrText xml:space="preserve"> CITATION BS5839 \l 2057 </w:instrText>
          </w:r>
          <w:r w:rsidR="00A358A4" w:rsidRPr="00DD1B58">
            <w:rPr>
              <w:lang w:val="en-US"/>
            </w:rPr>
            <w:fldChar w:fldCharType="separate"/>
          </w:r>
          <w:r w:rsidR="00DF47DA" w:rsidRPr="00DF47DA">
            <w:rPr>
              <w:lang w:val="en-US"/>
            </w:rPr>
            <w:t>[179]</w:t>
          </w:r>
          <w:r w:rsidR="00A358A4" w:rsidRPr="00DD1B58">
            <w:rPr>
              <w:lang w:val="en-US"/>
            </w:rPr>
            <w:fldChar w:fldCharType="end"/>
          </w:r>
        </w:sdtContent>
      </w:sdt>
      <w:r w:rsidRPr="00DD1B58">
        <w:rPr>
          <w:lang w:val="en-US"/>
        </w:rPr>
        <w:t>. To allow for installation and maintenance of the smoke detection system in false and suspended ceilings, access panels in the ceiling have been provided.</w:t>
      </w:r>
    </w:p>
    <w:p w14:paraId="1B2BEF70" w14:textId="77777777" w:rsidR="00D4282B" w:rsidRPr="00DD1B58" w:rsidRDefault="00D4282B" w:rsidP="00973FF4">
      <w:pPr>
        <w:pStyle w:val="Bulletlist1"/>
        <w:rPr>
          <w:lang w:val="en-US"/>
        </w:rPr>
      </w:pPr>
      <w:r w:rsidRPr="00DD1B58">
        <w:rPr>
          <w:lang w:val="en-US"/>
        </w:rPr>
        <w:t>These techniques are used where standard detection techniques will not function correctly either due to environmental, disruptive operations (e.g. Welding and Cutting) or spatial consideration such as high ceiling heights. This is usually identified through the Conventional Fire Hazard Analysis.</w:t>
      </w:r>
    </w:p>
    <w:p w14:paraId="7F8D5587" w14:textId="77777777" w:rsidR="003161C4" w:rsidRPr="00DD1B58" w:rsidRDefault="00B74032" w:rsidP="00973FF4">
      <w:pPr>
        <w:pStyle w:val="Bulletlist1"/>
        <w:rPr>
          <w:lang w:val="en-US"/>
        </w:rPr>
      </w:pPr>
      <w:r w:rsidRPr="00DD1B58">
        <w:rPr>
          <w:lang w:val="en-US"/>
        </w:rPr>
        <w:t>Standard alarm arrangements for Sellafield alarms are Entrance (Fire and Rescue), firefighter entry points, Control Room (Operations) and on-site Fire Station.</w:t>
      </w:r>
    </w:p>
    <w:p w14:paraId="7194D80C" w14:textId="419F2671" w:rsidR="00F56DFB" w:rsidRPr="00DD1B58" w:rsidRDefault="00F56DFB">
      <w:pPr>
        <w:pStyle w:val="Bulletlist1"/>
        <w:rPr>
          <w:lang w:val="en-US"/>
        </w:rPr>
      </w:pPr>
      <w:r w:rsidRPr="00DD1B58">
        <w:rPr>
          <w:lang w:val="en-US"/>
        </w:rPr>
        <w:t>There are interfaces between the fire alarm and detection system and other systems within the facilities, some of which initiate protection measures if the fire alarm sounds. These include</w:t>
      </w:r>
      <w:r w:rsidR="002C60A5" w:rsidRPr="00DD1B58">
        <w:rPr>
          <w:lang w:val="en-US"/>
        </w:rPr>
        <w:t>: s</w:t>
      </w:r>
      <w:r w:rsidRPr="00DD1B58">
        <w:rPr>
          <w:lang w:val="en-US"/>
        </w:rPr>
        <w:t>ending a fire alarm notification to SF&amp;RS Fire Station</w:t>
      </w:r>
      <w:r w:rsidR="002C60A5" w:rsidRPr="00DD1B58">
        <w:rPr>
          <w:lang w:val="en-US"/>
        </w:rPr>
        <w:t>, f</w:t>
      </w:r>
      <w:r w:rsidRPr="00DD1B58">
        <w:rPr>
          <w:lang w:val="en-US"/>
        </w:rPr>
        <w:t>ire or smoke dampers</w:t>
      </w:r>
      <w:r w:rsidR="002C60A5" w:rsidRPr="00DD1B58">
        <w:rPr>
          <w:lang w:val="en-US"/>
        </w:rPr>
        <w:t xml:space="preserve">; building </w:t>
      </w:r>
      <w:r w:rsidRPr="00DD1B58">
        <w:rPr>
          <w:lang w:val="en-US"/>
        </w:rPr>
        <w:t>ventilation systems</w:t>
      </w:r>
      <w:r w:rsidR="002C60A5" w:rsidRPr="00DD1B58">
        <w:rPr>
          <w:lang w:val="en-US"/>
        </w:rPr>
        <w:t xml:space="preserve">; suppression </w:t>
      </w:r>
      <w:r w:rsidRPr="00DD1B58">
        <w:rPr>
          <w:lang w:val="en-US"/>
        </w:rPr>
        <w:t>systems</w:t>
      </w:r>
      <w:r w:rsidR="002C60A5" w:rsidRPr="00DD1B58">
        <w:rPr>
          <w:lang w:val="en-US"/>
        </w:rPr>
        <w:t>; and h</w:t>
      </w:r>
      <w:r w:rsidRPr="00DD1B58">
        <w:rPr>
          <w:lang w:val="en-US"/>
        </w:rPr>
        <w:t>old open door releases</w:t>
      </w:r>
      <w:r w:rsidR="002C60A5" w:rsidRPr="00DD1B58">
        <w:rPr>
          <w:lang w:val="en-US"/>
        </w:rPr>
        <w:t>.</w:t>
      </w:r>
    </w:p>
    <w:p w14:paraId="76312696" w14:textId="77777777" w:rsidR="004E16C9" w:rsidRPr="00DD1B58" w:rsidRDefault="004E16C9" w:rsidP="00973FF4">
      <w:pPr>
        <w:pStyle w:val="Bulletlist1"/>
        <w:rPr>
          <w:lang w:val="en-US" w:eastAsia="de-DE"/>
        </w:rPr>
      </w:pPr>
      <w:r w:rsidRPr="00DD1B58">
        <w:rPr>
          <w:lang w:val="en-US" w:eastAsia="de-DE"/>
        </w:rPr>
        <w:t xml:space="preserve">Where deemed appropriate within the design process for the strategy of the building to maintain fire compartmentation or stop fire propagation, fire and smoke dampers, fans, fire doorsets etc. are controlled and linked to the fire alarm so they activate when the alarm is activated. </w:t>
      </w:r>
    </w:p>
    <w:p w14:paraId="56A24DCA" w14:textId="77777777" w:rsidR="002C0004" w:rsidRPr="00DD1B58" w:rsidRDefault="002C0004" w:rsidP="00973FF4">
      <w:pPr>
        <w:pStyle w:val="Bulletlist1"/>
        <w:rPr>
          <w:lang w:val="en-US" w:eastAsia="de-DE"/>
        </w:rPr>
      </w:pPr>
      <w:r w:rsidRPr="00DD1B58">
        <w:rPr>
          <w:lang w:val="en-US" w:eastAsia="de-DE"/>
        </w:rPr>
        <w:t>Filters for ventilation etc. are monitored separately from any fire system as they are usually operated and maintained by the building process control systems.</w:t>
      </w:r>
    </w:p>
    <w:p w14:paraId="2B8F1D9E" w14:textId="77777777" w:rsidR="006C200D" w:rsidRPr="00DD1B58" w:rsidRDefault="00E741DF" w:rsidP="00973FF4">
      <w:pPr>
        <w:pStyle w:val="Bulletlist1"/>
        <w:rPr>
          <w:lang w:val="en-US" w:eastAsia="de-DE"/>
        </w:rPr>
      </w:pPr>
      <w:r w:rsidRPr="00DD1B58">
        <w:rPr>
          <w:lang w:val="en-US" w:eastAsia="de-DE"/>
        </w:rPr>
        <w:t>The use of addressable systems and resolution is dependent on size, complexity, and evacuation strategy of the facility</w:t>
      </w:r>
      <w:r w:rsidR="00C44240" w:rsidRPr="00DD1B58">
        <w:rPr>
          <w:lang w:val="en-US" w:eastAsia="de-DE"/>
        </w:rPr>
        <w:t>. There is usually a fire alarm repeater panel within the control room of the facility, which identifies the area or zone in which the alarm is sounding. This is also visible on the firefighters entry panel or main fire alarm panel. The SF&amp;RS tactical information plans identify where the fire panels are within the building, so upon arriving to the building the fire service can easily identify the panel and area where the alarm has activated.</w:t>
      </w:r>
    </w:p>
    <w:p w14:paraId="2C700B12" w14:textId="69954909" w:rsidR="00AB4E08" w:rsidRPr="00DD1B58" w:rsidRDefault="004668E0" w:rsidP="00973FF4">
      <w:pPr>
        <w:pStyle w:val="Bulletlist1"/>
        <w:rPr>
          <w:lang w:val="en-US"/>
        </w:rPr>
      </w:pPr>
      <w:r w:rsidRPr="00DD1B58">
        <w:rPr>
          <w:lang w:val="en-US"/>
        </w:rPr>
        <w:t>Sellafield Ltd.</w:t>
      </w:r>
      <w:r w:rsidR="004546B1" w:rsidRPr="00DD1B58">
        <w:rPr>
          <w:lang w:val="en-US"/>
        </w:rPr>
        <w:t xml:space="preserve"> employs Self-Contained battery backed systems, on larger facilities or buildings with nuclear safety considerations they are supplied from the building guaranteed electrical system. Requirements are in accordance with BS 5839 Part 1</w:t>
      </w:r>
      <w:r w:rsidR="00473894" w:rsidRPr="00DD1B58">
        <w:rPr>
          <w:lang w:val="en-US"/>
        </w:rPr>
        <w:t xml:space="preserve"> </w:t>
      </w:r>
      <w:sdt>
        <w:sdtPr>
          <w:rPr>
            <w:lang w:val="en-US"/>
          </w:rPr>
          <w:id w:val="69387208"/>
          <w:citation/>
        </w:sdtPr>
        <w:sdtContent>
          <w:r w:rsidR="00473894" w:rsidRPr="00DD1B58">
            <w:rPr>
              <w:lang w:val="en-US"/>
            </w:rPr>
            <w:fldChar w:fldCharType="begin"/>
          </w:r>
          <w:r w:rsidR="00473894" w:rsidRPr="00DD1B58">
            <w:rPr>
              <w:lang w:val="en-US"/>
            </w:rPr>
            <w:instrText xml:space="preserve"> CITATION BS5839 \l 2057 </w:instrText>
          </w:r>
          <w:r w:rsidR="00473894" w:rsidRPr="00DD1B58">
            <w:rPr>
              <w:lang w:val="en-US"/>
            </w:rPr>
            <w:fldChar w:fldCharType="separate"/>
          </w:r>
          <w:r w:rsidR="00DF47DA" w:rsidRPr="00DF47DA">
            <w:rPr>
              <w:lang w:val="en-US"/>
            </w:rPr>
            <w:t>[179]</w:t>
          </w:r>
          <w:r w:rsidR="00473894" w:rsidRPr="00DD1B58">
            <w:rPr>
              <w:lang w:val="en-US"/>
            </w:rPr>
            <w:fldChar w:fldCharType="end"/>
          </w:r>
        </w:sdtContent>
      </w:sdt>
      <w:r w:rsidR="004546B1" w:rsidRPr="00DD1B58">
        <w:rPr>
          <w:lang w:val="en-US"/>
        </w:rPr>
        <w:t>.</w:t>
      </w:r>
    </w:p>
    <w:p w14:paraId="61656EC1" w14:textId="77777777" w:rsidR="00E37AB4" w:rsidRPr="00DD1B58" w:rsidRDefault="00E37AB4" w:rsidP="00973FF4">
      <w:pPr>
        <w:pStyle w:val="Bulletlist1"/>
        <w:rPr>
          <w:lang w:val="en-US"/>
        </w:rPr>
      </w:pPr>
      <w:r w:rsidRPr="00DD1B58">
        <w:rPr>
          <w:lang w:val="en-US"/>
        </w:rPr>
        <w:t>Resilience toleration of failures is in accordance as defined by BS EN 54 standard products, for conventional fire safety. System health reports generated for the system, demonstrate the health, and identify any failures which can either be rectified or upgraded if the system is obsolescent with no spares.</w:t>
      </w:r>
    </w:p>
    <w:p w14:paraId="0B56CB51" w14:textId="7B4794B8" w:rsidR="0056738F" w:rsidRPr="00DD1B58" w:rsidRDefault="0056738F" w:rsidP="00973FF4">
      <w:pPr>
        <w:pStyle w:val="Bulletlist1"/>
        <w:rPr>
          <w:lang w:val="en-US"/>
        </w:rPr>
      </w:pPr>
      <w:r w:rsidRPr="00DD1B58">
        <w:rPr>
          <w:lang w:val="en-US"/>
        </w:rPr>
        <w:t>Fire rated products e.g. cabling are used within fire alarm and detection systems to meet the fire risk assessment and BS 5839 Part 1</w:t>
      </w:r>
      <w:r w:rsidR="00473894" w:rsidRPr="00DD1B58">
        <w:rPr>
          <w:lang w:val="en-US"/>
        </w:rPr>
        <w:t xml:space="preserve"> </w:t>
      </w:r>
      <w:sdt>
        <w:sdtPr>
          <w:rPr>
            <w:lang w:val="en-US"/>
          </w:rPr>
          <w:id w:val="1478333498"/>
          <w:citation/>
        </w:sdtPr>
        <w:sdtContent>
          <w:r w:rsidR="00473894" w:rsidRPr="00DD1B58">
            <w:rPr>
              <w:lang w:val="en-US"/>
            </w:rPr>
            <w:fldChar w:fldCharType="begin"/>
          </w:r>
          <w:r w:rsidR="00473894" w:rsidRPr="00DD1B58">
            <w:rPr>
              <w:lang w:val="en-US"/>
            </w:rPr>
            <w:instrText xml:space="preserve"> CITATION BS5839 \l 2057 </w:instrText>
          </w:r>
          <w:r w:rsidR="00473894" w:rsidRPr="00DD1B58">
            <w:rPr>
              <w:lang w:val="en-US"/>
            </w:rPr>
            <w:fldChar w:fldCharType="separate"/>
          </w:r>
          <w:r w:rsidR="00DF47DA" w:rsidRPr="00DF47DA">
            <w:rPr>
              <w:lang w:val="en-US"/>
            </w:rPr>
            <w:t>[179]</w:t>
          </w:r>
          <w:r w:rsidR="00473894" w:rsidRPr="00DD1B58">
            <w:rPr>
              <w:lang w:val="en-US"/>
            </w:rPr>
            <w:fldChar w:fldCharType="end"/>
          </w:r>
        </w:sdtContent>
      </w:sdt>
      <w:r w:rsidRPr="00DD1B58">
        <w:rPr>
          <w:lang w:val="en-US"/>
        </w:rPr>
        <w:t>.</w:t>
      </w:r>
    </w:p>
    <w:p w14:paraId="1BC296CE" w14:textId="77777777" w:rsidR="008E5ABB" w:rsidRPr="00DD1B58" w:rsidRDefault="008E5ABB" w:rsidP="00973FF4">
      <w:pPr>
        <w:pStyle w:val="Bulletlist1"/>
        <w:rPr>
          <w:lang w:val="en-US"/>
        </w:rPr>
      </w:pPr>
      <w:r w:rsidRPr="00DD1B58">
        <w:rPr>
          <w:lang w:val="en-US"/>
        </w:rPr>
        <w:t>Facilities will utilise flame retardant coverings certified to Loss Prevention Scheme (LPS) 1207 or 1215 to mitigate issues such as leaks or condensation within the building. This is considered particularly when electrical items such as fire alarm systems and associated cabling are within the building and at risk to external factors e.g. dust or moisture.</w:t>
      </w:r>
    </w:p>
    <w:p w14:paraId="13200F0A" w14:textId="77777777" w:rsidR="00BC3D8A" w:rsidRPr="00DD1B58" w:rsidRDefault="00D76308" w:rsidP="00AB4E08">
      <w:pPr>
        <w:keepNext/>
        <w:rPr>
          <w:rFonts w:asciiTheme="minorHAnsi" w:eastAsia="Times New Roman" w:hAnsiTheme="minorHAnsi" w:cstheme="minorHAnsi"/>
          <w:b/>
          <w:szCs w:val="20"/>
          <w:lang w:val="en-US" w:eastAsia="de-DE"/>
        </w:rPr>
      </w:pPr>
      <w:r w:rsidRPr="00DD1B58">
        <w:rPr>
          <w:rFonts w:asciiTheme="minorHAnsi" w:eastAsia="Times New Roman" w:hAnsiTheme="minorHAnsi" w:cstheme="minorHAnsi"/>
          <w:b/>
          <w:szCs w:val="20"/>
          <w:lang w:val="en-US" w:eastAsia="de-DE"/>
        </w:rPr>
        <w:t>Examination, Maintenance, Inspection and Testing of Fire Alarm and Detection Systems</w:t>
      </w:r>
    </w:p>
    <w:p w14:paraId="4FEDC0EF" w14:textId="41D5A1EE" w:rsidR="00E94939" w:rsidRPr="00DD1B58" w:rsidRDefault="00E94939" w:rsidP="00E94939">
      <w:pPr>
        <w:keepNext/>
        <w:rPr>
          <w:lang w:val="en-US"/>
        </w:rPr>
      </w:pPr>
      <w:r w:rsidRPr="00DD1B58">
        <w:rPr>
          <w:lang w:val="en-US"/>
        </w:rPr>
        <w:t xml:space="preserve">Sellafield recommends all fire detection and alarm systems in nuclear facilities to be designated as Safety Related Equipment (SRE) as a minimum for life safety, property protection and any other claims required as part of the nuclear fire safety assessment. Fire detection and alarm systems is captured on CMMS, as part of </w:t>
      </w:r>
      <w:r w:rsidR="00D82836" w:rsidRPr="00DD1B58">
        <w:rPr>
          <w:lang w:val="en-US"/>
        </w:rPr>
        <w:t xml:space="preserve">its </w:t>
      </w:r>
      <w:r w:rsidRPr="00DD1B58">
        <w:rPr>
          <w:lang w:val="en-US"/>
        </w:rPr>
        <w:t xml:space="preserve">Examination, Maintenance, Inspection and Testing (EMIT) routines. </w:t>
      </w:r>
    </w:p>
    <w:p w14:paraId="3C6AB9B7" w14:textId="7518CBF1" w:rsidR="00D76308" w:rsidRPr="00DD1B58" w:rsidRDefault="00A318AE" w:rsidP="00E94939">
      <w:pPr>
        <w:keepNext/>
        <w:rPr>
          <w:lang w:val="en-US"/>
        </w:rPr>
      </w:pPr>
      <w:r w:rsidRPr="00DD1B58">
        <w:rPr>
          <w:lang w:val="en-US"/>
        </w:rPr>
        <w:t>Sellafield</w:t>
      </w:r>
      <w:r w:rsidR="00437B7C" w:rsidRPr="00DD1B58">
        <w:rPr>
          <w:lang w:val="en-US"/>
        </w:rPr>
        <w:t xml:space="preserve"> </w:t>
      </w:r>
      <w:r w:rsidR="006D798B" w:rsidRPr="00DD1B58">
        <w:rPr>
          <w:lang w:val="en-US"/>
        </w:rPr>
        <w:t>states that</w:t>
      </w:r>
      <w:r w:rsidR="00437B7C" w:rsidRPr="00DD1B58">
        <w:rPr>
          <w:lang w:val="en-US"/>
        </w:rPr>
        <w:t xml:space="preserve"> where </w:t>
      </w:r>
      <w:r w:rsidR="00E94939" w:rsidRPr="00DD1B58">
        <w:rPr>
          <w:lang w:val="en-US"/>
        </w:rPr>
        <w:t>fire protection features are designated within the nuclear fire safety assessment as safet</w:t>
      </w:r>
      <w:r w:rsidR="00437B7C" w:rsidRPr="00DD1B58">
        <w:rPr>
          <w:lang w:val="en-US"/>
        </w:rPr>
        <w:t xml:space="preserve">y </w:t>
      </w:r>
      <w:r w:rsidR="00E94939" w:rsidRPr="00DD1B58">
        <w:rPr>
          <w:lang w:val="en-US"/>
        </w:rPr>
        <w:t>related, this is reflected on CMMS which ensures the EMI&amp;T is in accordance with the requirements within the Engineering Schedule. Where there is no designation in the nuclear fire analysis</w:t>
      </w:r>
      <w:r w:rsidR="00437B7C" w:rsidRPr="00DD1B58">
        <w:rPr>
          <w:lang w:val="en-US"/>
        </w:rPr>
        <w:t xml:space="preserve">, </w:t>
      </w:r>
      <w:r w:rsidR="004668E0" w:rsidRPr="00DD1B58">
        <w:rPr>
          <w:lang w:val="en-US"/>
        </w:rPr>
        <w:t xml:space="preserve">Sellafield Ltd. </w:t>
      </w:r>
      <w:r w:rsidR="006D798B" w:rsidRPr="00DD1B58">
        <w:rPr>
          <w:lang w:val="en-US"/>
        </w:rPr>
        <w:t>reports that</w:t>
      </w:r>
      <w:r w:rsidR="00437B7C" w:rsidRPr="00DD1B58">
        <w:rPr>
          <w:lang w:val="en-US"/>
        </w:rPr>
        <w:t xml:space="preserve"> it considers </w:t>
      </w:r>
      <w:r w:rsidR="00E94939" w:rsidRPr="00DD1B58">
        <w:rPr>
          <w:lang w:val="en-US"/>
        </w:rPr>
        <w:t xml:space="preserve">good practice to identify </w:t>
      </w:r>
      <w:r w:rsidR="00437B7C" w:rsidRPr="00DD1B58">
        <w:rPr>
          <w:lang w:val="en-US"/>
        </w:rPr>
        <w:t xml:space="preserve">the </w:t>
      </w:r>
      <w:r w:rsidR="00E94939" w:rsidRPr="00DD1B58">
        <w:rPr>
          <w:lang w:val="en-US"/>
        </w:rPr>
        <w:t xml:space="preserve">features as Safety Related to ensure EIM&amp;T is prioritised for life safety and property protection, but </w:t>
      </w:r>
      <w:r w:rsidR="00437B7C" w:rsidRPr="00DD1B58">
        <w:rPr>
          <w:lang w:val="en-US"/>
        </w:rPr>
        <w:t xml:space="preserve">it </w:t>
      </w:r>
      <w:r w:rsidR="006D798B" w:rsidRPr="00DD1B58">
        <w:rPr>
          <w:lang w:val="en-US"/>
        </w:rPr>
        <w:t>reports that</w:t>
      </w:r>
      <w:r w:rsidR="00437B7C" w:rsidRPr="00DD1B58">
        <w:rPr>
          <w:lang w:val="en-US"/>
        </w:rPr>
        <w:t xml:space="preserve"> it </w:t>
      </w:r>
      <w:r w:rsidR="00477299" w:rsidRPr="00DD1B58">
        <w:rPr>
          <w:lang w:val="en-US"/>
        </w:rPr>
        <w:t xml:space="preserve">is </w:t>
      </w:r>
      <w:r w:rsidR="00E94939" w:rsidRPr="00DD1B58">
        <w:rPr>
          <w:lang w:val="en-US"/>
        </w:rPr>
        <w:t xml:space="preserve">not as critical as equipment designated within the </w:t>
      </w:r>
      <w:r w:rsidR="00D33E87" w:rsidRPr="00DD1B58">
        <w:rPr>
          <w:lang w:val="en-US"/>
        </w:rPr>
        <w:t>nuclear safety c</w:t>
      </w:r>
      <w:r w:rsidR="00E94939" w:rsidRPr="00DD1B58">
        <w:rPr>
          <w:lang w:val="en-US"/>
        </w:rPr>
        <w:t xml:space="preserve">ase so </w:t>
      </w:r>
      <w:r w:rsidR="00477299" w:rsidRPr="00DD1B58">
        <w:rPr>
          <w:lang w:val="en-US"/>
        </w:rPr>
        <w:t>it takes a</w:t>
      </w:r>
      <w:r w:rsidR="00E94939" w:rsidRPr="00DD1B58">
        <w:rPr>
          <w:lang w:val="en-US"/>
        </w:rPr>
        <w:t xml:space="preserve"> prioritised approach and non-nuclear significant protection features are managed locally.</w:t>
      </w:r>
    </w:p>
    <w:p w14:paraId="656382CF" w14:textId="77777777" w:rsidR="00D813A6" w:rsidRPr="00DD1B58" w:rsidRDefault="00D813A6" w:rsidP="00177432">
      <w:pPr>
        <w:pStyle w:val="Heading5A"/>
        <w:numPr>
          <w:ilvl w:val="5"/>
          <w:numId w:val="7"/>
        </w:numPr>
        <w:rPr>
          <w:lang w:val="en-US"/>
        </w:rPr>
      </w:pPr>
      <w:r w:rsidRPr="00DD1B58">
        <w:rPr>
          <w:lang w:val="en-US"/>
        </w:rPr>
        <w:t>Types, main characteristics and performance expectations</w:t>
      </w:r>
    </w:p>
    <w:p w14:paraId="359E3D87" w14:textId="32929761" w:rsidR="002D18FB" w:rsidRPr="00DD1B58" w:rsidRDefault="004668E0" w:rsidP="00CF0A34">
      <w:pPr>
        <w:rPr>
          <w:lang w:val="en-US"/>
        </w:rPr>
      </w:pPr>
      <w:r w:rsidRPr="00DD1B58">
        <w:rPr>
          <w:lang w:val="en-US"/>
        </w:rPr>
        <w:t>Sellafield Ltd.</w:t>
      </w:r>
      <w:r w:rsidR="002D18FB" w:rsidRPr="00DD1B58">
        <w:rPr>
          <w:lang w:val="en-US"/>
        </w:rPr>
        <w:t xml:space="preserve"> report</w:t>
      </w:r>
      <w:r w:rsidR="00496C8D" w:rsidRPr="00DD1B58">
        <w:rPr>
          <w:lang w:val="en-US"/>
        </w:rPr>
        <w:t>s</w:t>
      </w:r>
      <w:r w:rsidR="002D18FB" w:rsidRPr="00DD1B58">
        <w:rPr>
          <w:lang w:val="en-US"/>
        </w:rPr>
        <w:t xml:space="preserve"> the following considerations at the installations in scope of TPR</w:t>
      </w:r>
      <w:r w:rsidR="00714D42" w:rsidRPr="00DD1B58">
        <w:rPr>
          <w:lang w:val="en-US"/>
        </w:rPr>
        <w:t>. Please note that the statements</w:t>
      </w:r>
      <w:r w:rsidR="0050611B" w:rsidRPr="00DD1B58">
        <w:rPr>
          <w:lang w:val="en-US"/>
        </w:rPr>
        <w:t xml:space="preserve"> in this section</w:t>
      </w:r>
      <w:r w:rsidR="00714D42" w:rsidRPr="00DD1B58">
        <w:rPr>
          <w:lang w:val="en-US"/>
        </w:rPr>
        <w:t xml:space="preserve"> are</w:t>
      </w:r>
      <w:r w:rsidR="002D18FB" w:rsidRPr="00DD1B58">
        <w:rPr>
          <w:lang w:val="en-US"/>
        </w:rPr>
        <w:t xml:space="preserve"> reproduced literally from the licensee’s self-assessment</w:t>
      </w:r>
      <w:r w:rsidR="00714D42" w:rsidRPr="00DD1B58">
        <w:rPr>
          <w:lang w:val="en-US"/>
        </w:rPr>
        <w:t>.</w:t>
      </w:r>
    </w:p>
    <w:p w14:paraId="12AB4753" w14:textId="77777777" w:rsidR="00CF0A34" w:rsidRPr="00DD1B58" w:rsidRDefault="00CF0A34" w:rsidP="00CF0A34">
      <w:pPr>
        <w:rPr>
          <w:b/>
          <w:bCs/>
          <w:lang w:val="en-US"/>
        </w:rPr>
      </w:pPr>
      <w:r w:rsidRPr="00DD1B58">
        <w:rPr>
          <w:b/>
          <w:bCs/>
          <w:lang w:val="en-US"/>
        </w:rPr>
        <w:t>High Level Waste Plants</w:t>
      </w:r>
    </w:p>
    <w:p w14:paraId="4FDC087A" w14:textId="33D8DEC6" w:rsidR="001A6A5D" w:rsidRPr="00DD1B58" w:rsidRDefault="00AE24C9" w:rsidP="00CF0A34">
      <w:pPr>
        <w:rPr>
          <w:lang w:val="en-US"/>
        </w:rPr>
      </w:pPr>
      <w:r w:rsidRPr="00DD1B58">
        <w:rPr>
          <w:lang w:val="en-US"/>
        </w:rPr>
        <w:t>Beam detection is used in some areas of Waste Vitrification Plants as there is a large open space where point smoke detection would not be adequate to detect a fire quickly due to the large ceiling heights.</w:t>
      </w:r>
      <w:r w:rsidR="00345F6A" w:rsidRPr="00DD1B58">
        <w:rPr>
          <w:lang w:val="en-US"/>
        </w:rPr>
        <w:t xml:space="preserve"> The WVP lines </w:t>
      </w:r>
      <w:r w:rsidR="00CC1B80" w:rsidRPr="00DD1B58">
        <w:rPr>
          <w:lang w:val="en-US"/>
        </w:rPr>
        <w:t xml:space="preserve">contained within </w:t>
      </w:r>
      <w:r w:rsidR="00F06969" w:rsidRPr="00DD1B58">
        <w:rPr>
          <w:lang w:val="en-US"/>
        </w:rPr>
        <w:t>HLWP are reported below.</w:t>
      </w:r>
    </w:p>
    <w:p w14:paraId="473E1B8B" w14:textId="043B3439" w:rsidR="00CF0A34" w:rsidRPr="00DD1B58" w:rsidRDefault="00CF0A34" w:rsidP="00CF0A34">
      <w:pPr>
        <w:rPr>
          <w:b/>
          <w:bCs/>
          <w:lang w:val="en-US"/>
        </w:rPr>
      </w:pPr>
      <w:r w:rsidRPr="00DD1B58">
        <w:rPr>
          <w:b/>
          <w:bCs/>
          <w:lang w:val="en-US"/>
        </w:rPr>
        <w:t xml:space="preserve">Waste Vitrification Plants 1 and 2 </w:t>
      </w:r>
    </w:p>
    <w:p w14:paraId="34B37A90" w14:textId="77777777" w:rsidR="00CF0A34" w:rsidRPr="00DD1B58" w:rsidRDefault="00CF0A34" w:rsidP="00CF0A34">
      <w:pPr>
        <w:rPr>
          <w:lang w:val="en-US"/>
        </w:rPr>
      </w:pPr>
      <w:r w:rsidRPr="00DD1B58">
        <w:rPr>
          <w:lang w:val="en-US"/>
        </w:rPr>
        <w:t>The Nuclear Safety Designations of the Fire Detection and Alarm systems in High Level Waste Plants is Safety Related Equipment.</w:t>
      </w:r>
    </w:p>
    <w:p w14:paraId="6471C2B2" w14:textId="1B28E848" w:rsidR="00CF0A34" w:rsidRPr="00DD1B58" w:rsidRDefault="00CF0A34" w:rsidP="00CF0A34">
      <w:pPr>
        <w:rPr>
          <w:lang w:val="en-US"/>
        </w:rPr>
      </w:pPr>
      <w:r w:rsidRPr="00DD1B58">
        <w:rPr>
          <w:lang w:val="en-US"/>
        </w:rPr>
        <w:t xml:space="preserve">Waste Vitrification Plants 1 and 2 is separated into two main areas (buildings), both have an automatic addressable system with one categorised as L3, P2, M and the other categorised as </w:t>
      </w:r>
      <w:r w:rsidR="001B3A73" w:rsidRPr="00DD1B58">
        <w:rPr>
          <w:lang w:val="en-US"/>
        </w:rPr>
        <w:t>L2</w:t>
      </w:r>
      <w:r w:rsidRPr="00DD1B58">
        <w:rPr>
          <w:lang w:val="en-US"/>
        </w:rPr>
        <w:t xml:space="preserve">, </w:t>
      </w:r>
      <w:r w:rsidR="001B3A73" w:rsidRPr="00DD1B58">
        <w:rPr>
          <w:lang w:val="en-US"/>
        </w:rPr>
        <w:t>P2</w:t>
      </w:r>
      <w:r w:rsidRPr="00DD1B58">
        <w:rPr>
          <w:lang w:val="en-US"/>
        </w:rPr>
        <w:t>, M. Both systems also have manual call points. Improvements have been identified to potentially upgrade the building to an L1, P1, M system, this was recommended in the Conventional Safety Case Fire Hazard analysis but is not integral to ensure either life or nuclear safety within the facility.</w:t>
      </w:r>
      <w:r w:rsidR="00940D2A" w:rsidRPr="00DD1B58">
        <w:rPr>
          <w:lang w:val="en-US"/>
        </w:rPr>
        <w:t xml:space="preserve"> </w:t>
      </w:r>
      <w:r w:rsidRPr="00DD1B58">
        <w:rPr>
          <w:lang w:val="en-US"/>
        </w:rPr>
        <w:t>No enhancement to the fire detection and alarm system for nuclear safety over and above that provided for conventional safety and property protection has been made.</w:t>
      </w:r>
    </w:p>
    <w:p w14:paraId="7B472570" w14:textId="77777777" w:rsidR="00CF0A34" w:rsidRPr="00DD1B58" w:rsidRDefault="00CF0A34" w:rsidP="00CF0A34">
      <w:pPr>
        <w:rPr>
          <w:lang w:val="en-US"/>
        </w:rPr>
      </w:pPr>
      <w:r w:rsidRPr="00DD1B58">
        <w:rPr>
          <w:lang w:val="en-US"/>
        </w:rPr>
        <w:t>The fire alarms are linked such that, given activation of the fire alarm in one the buildings, intermittent alarms will sound in the other buildings.</w:t>
      </w:r>
    </w:p>
    <w:p w14:paraId="737446C6" w14:textId="6D3B329B" w:rsidR="00CF0A34" w:rsidRPr="00DD1B58" w:rsidRDefault="00CF0A34" w:rsidP="00CF0A34">
      <w:pPr>
        <w:rPr>
          <w:b/>
          <w:bCs/>
          <w:lang w:val="en-US"/>
        </w:rPr>
      </w:pPr>
      <w:r w:rsidRPr="00DD1B58">
        <w:rPr>
          <w:b/>
          <w:bCs/>
          <w:lang w:val="en-US"/>
        </w:rPr>
        <w:t>Waste Vitrification Plant Line 3</w:t>
      </w:r>
    </w:p>
    <w:p w14:paraId="4ECC1B55" w14:textId="1081EFAB" w:rsidR="00CF0A34" w:rsidRPr="00DD1B58" w:rsidRDefault="00CF0A34" w:rsidP="00CF0A34">
      <w:pPr>
        <w:rPr>
          <w:lang w:val="en-US"/>
        </w:rPr>
      </w:pPr>
      <w:r w:rsidRPr="00DD1B58">
        <w:rPr>
          <w:lang w:val="en-US"/>
        </w:rPr>
        <w:t>An L1, P1, M category comprehensive addressable type fire detection and alarm system is installed and maintained in accordance with BS 5839 Part 1</w:t>
      </w:r>
      <w:r w:rsidR="00131168" w:rsidRPr="00DD1B58">
        <w:rPr>
          <w:lang w:val="en-US"/>
        </w:rPr>
        <w:t xml:space="preserve"> </w:t>
      </w:r>
      <w:sdt>
        <w:sdtPr>
          <w:rPr>
            <w:lang w:val="en-US"/>
          </w:rPr>
          <w:id w:val="-1792047623"/>
          <w:citation/>
        </w:sdtPr>
        <w:sdtContent>
          <w:r w:rsidR="00131168" w:rsidRPr="00DD1B58">
            <w:rPr>
              <w:lang w:val="en-US"/>
            </w:rPr>
            <w:fldChar w:fldCharType="begin"/>
          </w:r>
          <w:r w:rsidR="00131168" w:rsidRPr="00DD1B58">
            <w:rPr>
              <w:lang w:val="en-US"/>
            </w:rPr>
            <w:instrText xml:space="preserve"> CITATION BS5839 \l 2057 </w:instrText>
          </w:r>
          <w:r w:rsidR="00131168" w:rsidRPr="00DD1B58">
            <w:rPr>
              <w:lang w:val="en-US"/>
            </w:rPr>
            <w:fldChar w:fldCharType="separate"/>
          </w:r>
          <w:r w:rsidR="00DF47DA" w:rsidRPr="00DF47DA">
            <w:rPr>
              <w:noProof/>
              <w:lang w:val="en-US"/>
            </w:rPr>
            <w:t>[179]</w:t>
          </w:r>
          <w:r w:rsidR="00131168" w:rsidRPr="00DD1B58">
            <w:rPr>
              <w:lang w:val="en-US"/>
            </w:rPr>
            <w:fldChar w:fldCharType="end"/>
          </w:r>
        </w:sdtContent>
      </w:sdt>
      <w:r w:rsidRPr="00DD1B58">
        <w:rPr>
          <w:lang w:val="en-US"/>
        </w:rPr>
        <w:t>.</w:t>
      </w:r>
    </w:p>
    <w:p w14:paraId="07415A08" w14:textId="77777777" w:rsidR="00CF0A34" w:rsidRPr="00DD1B58" w:rsidRDefault="00CF0A34" w:rsidP="00CF0A34">
      <w:pPr>
        <w:rPr>
          <w:lang w:val="en-US"/>
        </w:rPr>
      </w:pPr>
      <w:r w:rsidRPr="00DD1B58">
        <w:rPr>
          <w:lang w:val="en-US"/>
        </w:rPr>
        <w:t>The fire alarm and detection system is designated as SRE within the Nuclear Fire Hazard Analysis. The Safety Function is to detect a fire and initiate an alarm.</w:t>
      </w:r>
    </w:p>
    <w:p w14:paraId="7127A9B0" w14:textId="77777777" w:rsidR="00CF0A34" w:rsidRPr="00DD1B58" w:rsidRDefault="00CF0A34" w:rsidP="00CF0A34">
      <w:pPr>
        <w:rPr>
          <w:lang w:val="en-US"/>
        </w:rPr>
      </w:pPr>
      <w:r w:rsidRPr="00DD1B58">
        <w:rPr>
          <w:lang w:val="en-US"/>
        </w:rPr>
        <w:t>No enhancement to the fire detection and alarm system for nuclear safety over and above that provided for conventional safety and property protection has been made.</w:t>
      </w:r>
    </w:p>
    <w:p w14:paraId="19A5BB67" w14:textId="308B6D80" w:rsidR="0072404D" w:rsidRPr="00DD1B58" w:rsidRDefault="0072404D" w:rsidP="0072404D">
      <w:pPr>
        <w:rPr>
          <w:b/>
          <w:bCs/>
          <w:lang w:val="en-US"/>
        </w:rPr>
      </w:pPr>
      <w:r w:rsidRPr="00DD1B58">
        <w:rPr>
          <w:b/>
          <w:bCs/>
          <w:lang w:val="en-US"/>
        </w:rPr>
        <w:t>Magnox Reprocessing</w:t>
      </w:r>
    </w:p>
    <w:p w14:paraId="061318A4" w14:textId="77777777" w:rsidR="0072404D" w:rsidRPr="00DD1B58" w:rsidRDefault="0072404D" w:rsidP="0072404D">
      <w:pPr>
        <w:rPr>
          <w:lang w:val="en-US"/>
        </w:rPr>
      </w:pPr>
      <w:r w:rsidRPr="00DD1B58">
        <w:rPr>
          <w:lang w:val="en-US"/>
        </w:rPr>
        <w:t xml:space="preserve">The Nuclear Safety Designations of the Fire Detection and Alarm systems in Magnox Reprocessing is Safety Related Equipment. The system is identified as an SSC to warn operators of the presence of a fire, the performance requirement is to annunciate upon detection of a fire. </w:t>
      </w:r>
    </w:p>
    <w:p w14:paraId="25A5043A" w14:textId="0FDC215A" w:rsidR="0072404D" w:rsidRPr="00DD1B58" w:rsidRDefault="0072404D" w:rsidP="0072404D">
      <w:pPr>
        <w:rPr>
          <w:lang w:val="en-US"/>
        </w:rPr>
      </w:pPr>
      <w:r w:rsidRPr="00DD1B58">
        <w:rPr>
          <w:lang w:val="en-US"/>
        </w:rPr>
        <w:t>An addressable system has been installed in most areas of the facility. The current fire alarm system is categorised as an L2, P2, M system with manual activation also available. The Conventional Fire Safety Assessment recommends an L1,</w:t>
      </w:r>
      <w:r w:rsidR="003C1D33" w:rsidRPr="00DD1B58">
        <w:rPr>
          <w:lang w:val="en-US"/>
        </w:rPr>
        <w:t xml:space="preserve"> </w:t>
      </w:r>
      <w:r w:rsidRPr="00DD1B58">
        <w:rPr>
          <w:lang w:val="en-US"/>
        </w:rPr>
        <w:t>P1, M category system in accordance with BS 5839 Part</w:t>
      </w:r>
      <w:r w:rsidR="00131168" w:rsidRPr="00DD1B58">
        <w:rPr>
          <w:lang w:val="en-US"/>
        </w:rPr>
        <w:t xml:space="preserve"> </w:t>
      </w:r>
      <w:r w:rsidRPr="00DD1B58">
        <w:rPr>
          <w:lang w:val="en-US"/>
        </w:rPr>
        <w:t>1</w:t>
      </w:r>
      <w:r w:rsidR="00131168" w:rsidRPr="00DD1B58">
        <w:rPr>
          <w:lang w:val="en-US"/>
        </w:rPr>
        <w:t xml:space="preserve"> </w:t>
      </w:r>
      <w:sdt>
        <w:sdtPr>
          <w:rPr>
            <w:lang w:val="en-US"/>
          </w:rPr>
          <w:id w:val="1623736194"/>
          <w:citation/>
        </w:sdtPr>
        <w:sdtContent>
          <w:r w:rsidR="00131168" w:rsidRPr="00DD1B58">
            <w:rPr>
              <w:lang w:val="en-US"/>
            </w:rPr>
            <w:fldChar w:fldCharType="begin"/>
          </w:r>
          <w:r w:rsidR="00131168" w:rsidRPr="00DD1B58">
            <w:rPr>
              <w:lang w:val="en-US"/>
            </w:rPr>
            <w:instrText xml:space="preserve"> CITATION BS5839 \l 2057 </w:instrText>
          </w:r>
          <w:r w:rsidR="00131168" w:rsidRPr="00DD1B58">
            <w:rPr>
              <w:lang w:val="en-US"/>
            </w:rPr>
            <w:fldChar w:fldCharType="separate"/>
          </w:r>
          <w:r w:rsidR="00DF47DA" w:rsidRPr="00DF47DA">
            <w:rPr>
              <w:noProof/>
              <w:lang w:val="en-US"/>
            </w:rPr>
            <w:t>[179]</w:t>
          </w:r>
          <w:r w:rsidR="00131168" w:rsidRPr="00DD1B58">
            <w:rPr>
              <w:lang w:val="en-US"/>
            </w:rPr>
            <w:fldChar w:fldCharType="end"/>
          </w:r>
        </w:sdtContent>
      </w:sdt>
      <w:r w:rsidRPr="00DD1B58">
        <w:rPr>
          <w:lang w:val="en-US"/>
        </w:rPr>
        <w:t>. There is an ongoing project to design and install and new fire detection and alarm system to upgrade it to a L1, P1 M system. There is also an in-cell fire alarm which alerts the Control Room if a fire were to occur in these areas.</w:t>
      </w:r>
    </w:p>
    <w:p w14:paraId="469FE4D6" w14:textId="77777777" w:rsidR="00EA103D" w:rsidRPr="00DD1B58" w:rsidRDefault="00EA103D" w:rsidP="00EA103D">
      <w:pPr>
        <w:rPr>
          <w:lang w:val="en-US"/>
        </w:rPr>
      </w:pPr>
      <w:r w:rsidRPr="00DD1B58">
        <w:rPr>
          <w:lang w:val="en-US"/>
        </w:rPr>
        <w:t>The HAZAN concludes that it is not credible that a bulk solvent fire could occur in the cells, since the fire point of solvent could not credibly be reached except under circumstances under which water vapour was also present and would provide steam inerting. However, as the consequences of an In-Cell fire could be very high, the HAZAN has taken a pragmatic review of measure available to prevent such an outcome. The HAZAN has designated one BSM and one set of safety features to prevent an In-Cell fire.</w:t>
      </w:r>
    </w:p>
    <w:p w14:paraId="7F1AAF51" w14:textId="77777777" w:rsidR="00EA103D" w:rsidRPr="00DD1B58" w:rsidRDefault="00EA103D" w:rsidP="00EA103D">
      <w:pPr>
        <w:rPr>
          <w:lang w:val="en-US"/>
        </w:rPr>
      </w:pPr>
      <w:r w:rsidRPr="00DD1B58">
        <w:rPr>
          <w:lang w:val="en-US"/>
        </w:rPr>
        <w:t>Basket Safety Measure (BSM)</w:t>
      </w:r>
      <w:r w:rsidR="00131168" w:rsidRPr="00DD1B58">
        <w:rPr>
          <w:lang w:val="en-US"/>
        </w:rPr>
        <w:t xml:space="preserve"> </w:t>
      </w:r>
      <w:r w:rsidRPr="00DD1B58">
        <w:rPr>
          <w:lang w:val="en-US"/>
        </w:rPr>
        <w:t>1: Fixed Fire Detection System</w:t>
      </w:r>
    </w:p>
    <w:p w14:paraId="3DC4C4DD" w14:textId="77777777" w:rsidR="00EA103D" w:rsidRPr="00DD1B58" w:rsidRDefault="00EA103D" w:rsidP="00F601E6">
      <w:pPr>
        <w:pStyle w:val="Bulletlist1"/>
        <w:rPr>
          <w:lang w:val="en-US"/>
        </w:rPr>
      </w:pPr>
      <w:r w:rsidRPr="00DD1B58">
        <w:rPr>
          <w:lang w:val="en-US"/>
        </w:rPr>
        <w:t>Safety Mechanism (SM): In-cell Fire Detection and Alarm System</w:t>
      </w:r>
    </w:p>
    <w:p w14:paraId="40C137AA" w14:textId="77777777" w:rsidR="00EA103D" w:rsidRPr="00DD1B58" w:rsidRDefault="00EA103D" w:rsidP="00F601E6">
      <w:pPr>
        <w:pStyle w:val="Bulletlist1"/>
        <w:rPr>
          <w:lang w:val="en-US"/>
        </w:rPr>
      </w:pPr>
      <w:r w:rsidRPr="00DD1B58">
        <w:rPr>
          <w:lang w:val="en-US"/>
        </w:rPr>
        <w:t>SRE: In-cell Temperature Scanning System</w:t>
      </w:r>
    </w:p>
    <w:p w14:paraId="4F814561" w14:textId="77777777" w:rsidR="00EA103D" w:rsidRPr="00DD1B58" w:rsidRDefault="00EA103D" w:rsidP="00EA103D">
      <w:pPr>
        <w:rPr>
          <w:lang w:val="en-US"/>
        </w:rPr>
      </w:pPr>
      <w:r w:rsidRPr="00DD1B58">
        <w:rPr>
          <w:lang w:val="en-US"/>
        </w:rPr>
        <w:t>The set of safety features which would provide additional protection against an In-Cell fire are:</w:t>
      </w:r>
    </w:p>
    <w:p w14:paraId="2D4F852A" w14:textId="748F7264" w:rsidR="00EA103D" w:rsidRPr="00DD1B58" w:rsidRDefault="00EA103D" w:rsidP="00F601E6">
      <w:pPr>
        <w:pStyle w:val="Bulletlist1"/>
        <w:rPr>
          <w:lang w:val="en-US"/>
        </w:rPr>
      </w:pPr>
      <w:r w:rsidRPr="00DD1B58">
        <w:rPr>
          <w:lang w:val="en-US"/>
        </w:rPr>
        <w:t>Safety Feature: CO</w:t>
      </w:r>
      <w:r w:rsidRPr="00DD1B58">
        <w:rPr>
          <w:vertAlign w:val="subscript"/>
          <w:lang w:val="en-US"/>
        </w:rPr>
        <w:t>2</w:t>
      </w:r>
      <w:r w:rsidRPr="00DD1B58">
        <w:rPr>
          <w:lang w:val="en-US"/>
        </w:rPr>
        <w:t xml:space="preserve"> </w:t>
      </w:r>
      <w:r w:rsidR="004F5760" w:rsidRPr="00DD1B58">
        <w:rPr>
          <w:lang w:val="en-US"/>
        </w:rPr>
        <w:t>Firefight</w:t>
      </w:r>
      <w:r w:rsidRPr="00DD1B58">
        <w:rPr>
          <w:lang w:val="en-US"/>
        </w:rPr>
        <w:t>ing Pipework</w:t>
      </w:r>
    </w:p>
    <w:p w14:paraId="5EB45773" w14:textId="3E24512D" w:rsidR="00EA103D" w:rsidRPr="00DD1B58" w:rsidRDefault="00EA103D" w:rsidP="00F601E6">
      <w:pPr>
        <w:pStyle w:val="Bulletlist1"/>
        <w:rPr>
          <w:lang w:val="en-US"/>
        </w:rPr>
      </w:pPr>
      <w:r w:rsidRPr="00DD1B58">
        <w:rPr>
          <w:lang w:val="en-US"/>
        </w:rPr>
        <w:t>Safety Feature: CO</w:t>
      </w:r>
      <w:r w:rsidRPr="00DD1B58">
        <w:rPr>
          <w:vertAlign w:val="subscript"/>
          <w:lang w:val="en-US"/>
        </w:rPr>
        <w:t>2</w:t>
      </w:r>
      <w:r w:rsidRPr="00DD1B58">
        <w:rPr>
          <w:lang w:val="en-US"/>
        </w:rPr>
        <w:t xml:space="preserve"> </w:t>
      </w:r>
      <w:r w:rsidR="004F5760" w:rsidRPr="00DD1B58">
        <w:rPr>
          <w:lang w:val="en-US"/>
        </w:rPr>
        <w:t>Firefight</w:t>
      </w:r>
      <w:r w:rsidRPr="00DD1B58">
        <w:rPr>
          <w:lang w:val="en-US"/>
        </w:rPr>
        <w:t>ing Bottles</w:t>
      </w:r>
    </w:p>
    <w:p w14:paraId="478BC3A6" w14:textId="124B0617" w:rsidR="00EA103D" w:rsidRPr="00DD1B58" w:rsidRDefault="00EA103D" w:rsidP="00F601E6">
      <w:pPr>
        <w:pStyle w:val="Bulletlist1"/>
        <w:rPr>
          <w:lang w:val="en-US"/>
        </w:rPr>
      </w:pPr>
      <w:r w:rsidRPr="00DD1B58">
        <w:rPr>
          <w:lang w:val="en-US"/>
        </w:rPr>
        <w:t>Safety Related Equipment: CO</w:t>
      </w:r>
      <w:r w:rsidRPr="00DD1B58">
        <w:rPr>
          <w:vertAlign w:val="subscript"/>
          <w:lang w:val="en-US"/>
        </w:rPr>
        <w:t>2</w:t>
      </w:r>
      <w:r w:rsidRPr="00DD1B58">
        <w:rPr>
          <w:lang w:val="en-US"/>
        </w:rPr>
        <w:t xml:space="preserve"> </w:t>
      </w:r>
      <w:r w:rsidR="004F5760" w:rsidRPr="00DD1B58">
        <w:rPr>
          <w:lang w:val="en-US"/>
        </w:rPr>
        <w:t>Firefight</w:t>
      </w:r>
      <w:r w:rsidRPr="00DD1B58">
        <w:rPr>
          <w:lang w:val="en-US"/>
        </w:rPr>
        <w:t>ing Instrumentation</w:t>
      </w:r>
    </w:p>
    <w:p w14:paraId="57DD8E38" w14:textId="77777777" w:rsidR="00EA103D" w:rsidRPr="00DD1B58" w:rsidRDefault="00EA103D" w:rsidP="00F601E6">
      <w:pPr>
        <w:pStyle w:val="Bulletlist1"/>
        <w:rPr>
          <w:lang w:val="en-US"/>
        </w:rPr>
      </w:pPr>
      <w:r w:rsidRPr="00DD1B58">
        <w:rPr>
          <w:lang w:val="en-US"/>
        </w:rPr>
        <w:t>Safety Related Equipment: Cell Fire Dampers</w:t>
      </w:r>
    </w:p>
    <w:p w14:paraId="69A5EF28" w14:textId="77777777" w:rsidR="00EA103D" w:rsidRPr="00DD1B58" w:rsidRDefault="00EA103D" w:rsidP="00F601E6">
      <w:pPr>
        <w:pStyle w:val="Bulletlist1"/>
        <w:rPr>
          <w:lang w:val="en-US"/>
        </w:rPr>
      </w:pPr>
      <w:r w:rsidRPr="00DD1B58">
        <w:rPr>
          <w:lang w:val="en-US"/>
        </w:rPr>
        <w:t>Safety Related Equipment: Cell Vent Fire Dampers Position Indicator</w:t>
      </w:r>
    </w:p>
    <w:p w14:paraId="1DD4B231" w14:textId="0FAD0641" w:rsidR="00EA103D" w:rsidRPr="00DD1B58" w:rsidRDefault="00EA103D" w:rsidP="00EA103D">
      <w:pPr>
        <w:rPr>
          <w:lang w:val="en-US"/>
        </w:rPr>
      </w:pPr>
      <w:r w:rsidRPr="00DD1B58">
        <w:rPr>
          <w:lang w:val="en-US"/>
        </w:rPr>
        <w:t xml:space="preserve">Although no credible initiators of an In-Cell fire have been identified, if a fire were to occur the </w:t>
      </w:r>
      <w:r w:rsidR="00643238" w:rsidRPr="00DD1B58">
        <w:rPr>
          <w:lang w:val="en-US"/>
        </w:rPr>
        <w:t>i</w:t>
      </w:r>
      <w:r w:rsidRPr="00DD1B58">
        <w:rPr>
          <w:lang w:val="en-US"/>
        </w:rPr>
        <w:t>n-</w:t>
      </w:r>
      <w:r w:rsidR="00643238" w:rsidRPr="00DD1B58">
        <w:rPr>
          <w:lang w:val="en-US"/>
        </w:rPr>
        <w:t>c</w:t>
      </w:r>
      <w:r w:rsidRPr="00DD1B58">
        <w:rPr>
          <w:lang w:val="en-US"/>
        </w:rPr>
        <w:t>ell fire alarm would sound in the Control Room and investigations would take place to confirm the fire using the temperature scanning system. On confirmation of a fire the CO</w:t>
      </w:r>
      <w:r w:rsidRPr="00DD1B58">
        <w:rPr>
          <w:vertAlign w:val="subscript"/>
          <w:lang w:val="en-US"/>
        </w:rPr>
        <w:t>2</w:t>
      </w:r>
      <w:r w:rsidRPr="00DD1B58">
        <w:rPr>
          <w:lang w:val="en-US"/>
        </w:rPr>
        <w:t xml:space="preserve"> system would be deployed to the affected cell.</w:t>
      </w:r>
    </w:p>
    <w:p w14:paraId="03C4C16B" w14:textId="7BD597F8" w:rsidR="00EA103D" w:rsidRPr="00DD1B58" w:rsidRDefault="00EA103D" w:rsidP="00EA103D">
      <w:pPr>
        <w:rPr>
          <w:lang w:val="en-US"/>
        </w:rPr>
      </w:pPr>
      <w:r w:rsidRPr="00DD1B58">
        <w:rPr>
          <w:lang w:val="en-US"/>
        </w:rPr>
        <w:t xml:space="preserve">Currently the system is set to manual operation and the release mechanisms are “dowelled off” at the bottles (located in the </w:t>
      </w:r>
      <w:r w:rsidR="004F5760" w:rsidRPr="00DD1B58">
        <w:rPr>
          <w:lang w:val="en-US"/>
        </w:rPr>
        <w:t>firefight</w:t>
      </w:r>
      <w:r w:rsidRPr="00DD1B58">
        <w:rPr>
          <w:lang w:val="en-US"/>
        </w:rPr>
        <w:t>ing bottle store on the ground floor). These dowels require to be removed prior to CO</w:t>
      </w:r>
      <w:r w:rsidR="004A04F7" w:rsidRPr="00DD1B58">
        <w:rPr>
          <w:vertAlign w:val="subscript"/>
          <w:lang w:val="en-US"/>
        </w:rPr>
        <w:t>2</w:t>
      </w:r>
      <w:r w:rsidRPr="00DD1B58">
        <w:rPr>
          <w:lang w:val="en-US"/>
        </w:rPr>
        <w:t xml:space="preserve"> release. This is to prevent inadvertent operation of the system whilst the cells are occupied by personnel.</w:t>
      </w:r>
    </w:p>
    <w:p w14:paraId="2E3CE184" w14:textId="000A2566" w:rsidR="00EA103D" w:rsidRPr="00DD1B58" w:rsidRDefault="00EA103D" w:rsidP="00EA103D">
      <w:pPr>
        <w:rPr>
          <w:lang w:val="en-US"/>
        </w:rPr>
      </w:pPr>
      <w:r w:rsidRPr="00DD1B58">
        <w:rPr>
          <w:lang w:val="en-US"/>
        </w:rPr>
        <w:t xml:space="preserve">The </w:t>
      </w:r>
      <w:r w:rsidR="00643238" w:rsidRPr="00DD1B58">
        <w:rPr>
          <w:lang w:val="en-US"/>
        </w:rPr>
        <w:t>i</w:t>
      </w:r>
      <w:r w:rsidRPr="00DD1B58">
        <w:rPr>
          <w:lang w:val="en-US"/>
        </w:rPr>
        <w:t xml:space="preserve">n-cell fire dampers are manually operated and are not linked to the fire detection and alarm system to automatically close them. The </w:t>
      </w:r>
      <w:r w:rsidR="00643238" w:rsidRPr="00DD1B58">
        <w:rPr>
          <w:lang w:val="en-US"/>
        </w:rPr>
        <w:t>i</w:t>
      </w:r>
      <w:r w:rsidRPr="00DD1B58">
        <w:rPr>
          <w:lang w:val="en-US"/>
        </w:rPr>
        <w:t>n-cell fire dampers are designated as Safety Related Equipment.</w:t>
      </w:r>
    </w:p>
    <w:p w14:paraId="6A73FED5" w14:textId="00F0AB08" w:rsidR="0072404D" w:rsidRPr="00DD1B58" w:rsidRDefault="0072404D" w:rsidP="0072404D">
      <w:pPr>
        <w:rPr>
          <w:b/>
          <w:bCs/>
          <w:lang w:val="en-US"/>
        </w:rPr>
      </w:pPr>
      <w:r w:rsidRPr="00DD1B58">
        <w:rPr>
          <w:b/>
          <w:bCs/>
          <w:lang w:val="en-US"/>
        </w:rPr>
        <w:t>Encapsulation Plants</w:t>
      </w:r>
    </w:p>
    <w:p w14:paraId="7F042896" w14:textId="77777777" w:rsidR="001F3FF0" w:rsidRPr="00DD1B58" w:rsidRDefault="001F3FF0" w:rsidP="0072404D">
      <w:pPr>
        <w:rPr>
          <w:lang w:val="en-US"/>
        </w:rPr>
      </w:pPr>
      <w:r w:rsidRPr="00DD1B58">
        <w:rPr>
          <w:lang w:val="en-US"/>
        </w:rPr>
        <w:t>A number of rooms have an aspirating smoke detection, in areas where ceilings are particularly high (Class A to BS EN 54-20) system installed to meet loss prevention objectives only. The rationale for fitting them in these areas is for very early detection and also to enable safer maintenance as the fire panels can be fitted at operator levels and the pipework does not need to be accessed to undertake the regular smoke performance tests. Encapsulation Plants also utilise beam detection in areas where ceiling heights are particularly high.</w:t>
      </w:r>
    </w:p>
    <w:p w14:paraId="5D960252" w14:textId="77777777" w:rsidR="0072404D" w:rsidRPr="00DD1B58" w:rsidRDefault="0072404D" w:rsidP="0072404D">
      <w:pPr>
        <w:rPr>
          <w:lang w:val="en-US"/>
        </w:rPr>
      </w:pPr>
      <w:r w:rsidRPr="00DD1B58">
        <w:rPr>
          <w:lang w:val="en-US"/>
        </w:rPr>
        <w:t>There are no Nuclear Safety Designations of the Fire Detection and Alarm Systems in the Encapsulation Plants or any nuclear safety enhancements over that required for life and property protection. The facilities have analogue addressable fire alarm and detection systems, and the conventional safety function is defined as: to detect fires and initiate operator evacuation.</w:t>
      </w:r>
    </w:p>
    <w:p w14:paraId="5EE3D921" w14:textId="2BDDF2A7" w:rsidR="0072404D" w:rsidRPr="00DD1B58" w:rsidRDefault="0072404D" w:rsidP="0072404D">
      <w:pPr>
        <w:rPr>
          <w:lang w:val="en-US"/>
        </w:rPr>
      </w:pPr>
      <w:r w:rsidRPr="00DD1B58">
        <w:rPr>
          <w:lang w:val="en-US"/>
        </w:rPr>
        <w:t>The two main encapsulation plants have an automatic L5, P2 and L4, P2 category system currently installed. The Fire Safety Strategies have recommended the systems be upgraded to L3, P2 and L2, P2 respectively. The strategies identify rooms that would benefit from more detection in terms of life safety and property protection. Note that these fire strategies do not supersede the nuclear fire safety case. The impact of fire on the radiological material in the building, and on those SSCs that are important to the radiological safety of the building is considered in the Nuclear Fire Safety Assessment (NFSA) Report for Encapsulation plants.</w:t>
      </w:r>
      <w:r w:rsidR="00940D2A" w:rsidRPr="00DD1B58">
        <w:rPr>
          <w:lang w:val="en-US"/>
        </w:rPr>
        <w:t xml:space="preserve"> </w:t>
      </w:r>
    </w:p>
    <w:p w14:paraId="660DC2EB" w14:textId="6F7CB6DF" w:rsidR="00BB346A" w:rsidRPr="00DD1B58" w:rsidRDefault="0072404D" w:rsidP="0072404D">
      <w:pPr>
        <w:rPr>
          <w:lang w:val="en-US"/>
        </w:rPr>
      </w:pPr>
      <w:r w:rsidRPr="00DD1B58">
        <w:rPr>
          <w:lang w:val="en-US"/>
        </w:rPr>
        <w:t xml:space="preserve">It should be noted that there is a contingency plan process in place that considers how </w:t>
      </w:r>
      <w:r w:rsidR="004668E0" w:rsidRPr="00DD1B58">
        <w:rPr>
          <w:lang w:val="en-US"/>
        </w:rPr>
        <w:t xml:space="preserve">Sellafield Ltd. </w:t>
      </w:r>
      <w:r w:rsidRPr="00DD1B58">
        <w:rPr>
          <w:lang w:val="en-US"/>
        </w:rPr>
        <w:t>would maintain nuclear safety in the event of a fire system failure (i.e. pre-planned risk mitigation, management controls and temporary limited fire alarm system provision).</w:t>
      </w:r>
    </w:p>
    <w:p w14:paraId="38FB9BD8" w14:textId="76B0D015" w:rsidR="00E459C6" w:rsidRPr="00DD1B58" w:rsidRDefault="00E459C6" w:rsidP="00E459C6">
      <w:pPr>
        <w:rPr>
          <w:b/>
          <w:bCs/>
          <w:lang w:val="en-US"/>
        </w:rPr>
      </w:pPr>
      <w:r w:rsidRPr="00DD1B58">
        <w:rPr>
          <w:b/>
          <w:bCs/>
          <w:lang w:val="en-US"/>
        </w:rPr>
        <w:t>SPRS</w:t>
      </w:r>
    </w:p>
    <w:p w14:paraId="27968B95" w14:textId="77777777" w:rsidR="004E17A1" w:rsidRPr="00DD1B58" w:rsidRDefault="004E17A1" w:rsidP="00E459C6">
      <w:pPr>
        <w:rPr>
          <w:lang w:val="en-US"/>
        </w:rPr>
      </w:pPr>
      <w:r w:rsidRPr="00DD1B58">
        <w:rPr>
          <w:lang w:val="en-US"/>
        </w:rPr>
        <w:t xml:space="preserve">An aspirating smoke detection system is installed in several of the </w:t>
      </w:r>
      <w:r w:rsidR="00C50F61" w:rsidRPr="00DD1B58">
        <w:rPr>
          <w:lang w:val="en-US"/>
        </w:rPr>
        <w:t>ri</w:t>
      </w:r>
      <w:r w:rsidRPr="00DD1B58">
        <w:rPr>
          <w:lang w:val="en-US"/>
        </w:rPr>
        <w:t>sers in SPRS due to the problems associated with maintenance of point smoke detection. Flame detectors are fitted locally to supplement building aspirating detectors to cover vehicle bays and these are sited at low level and have clear sight of the area. The flame detectors ensure that any flames are immediately detected as they do not operate on production of smoke. The aspirating system can be maintained from the individual panels associated with each system at ground level and therefore prevents the need for scaffolding in the areas where it is installed.</w:t>
      </w:r>
    </w:p>
    <w:p w14:paraId="55758C00" w14:textId="77777777" w:rsidR="00E459C6" w:rsidRPr="00DD1B58" w:rsidRDefault="00E459C6" w:rsidP="00E459C6">
      <w:pPr>
        <w:rPr>
          <w:lang w:val="en-US"/>
        </w:rPr>
      </w:pPr>
      <w:r w:rsidRPr="00DD1B58">
        <w:rPr>
          <w:lang w:val="en-US"/>
        </w:rPr>
        <w:t xml:space="preserve">No enhancement to the Fire Detection and Alarm System for nuclear safety over and above that currently provided for conventional fire safety in SPRS have been made. The system is classed as Safety Related Equipment (SRE). </w:t>
      </w:r>
    </w:p>
    <w:p w14:paraId="1988B0AC" w14:textId="77777777" w:rsidR="00E459C6" w:rsidRPr="00DD1B58" w:rsidRDefault="00E459C6" w:rsidP="00E459C6">
      <w:pPr>
        <w:rPr>
          <w:lang w:val="en-US"/>
        </w:rPr>
      </w:pPr>
      <w:r w:rsidRPr="00DD1B58">
        <w:rPr>
          <w:lang w:val="en-US"/>
        </w:rPr>
        <w:t>A comprehensive intelligent addressable L1, P1, M category automatic fire alarm and detection system has been installed throughout the SPRS facility as well as manual activation.</w:t>
      </w:r>
    </w:p>
    <w:p w14:paraId="2BEE73B4" w14:textId="1E808CD0" w:rsidR="00F56646" w:rsidRPr="00DD1B58" w:rsidRDefault="006428CB" w:rsidP="00F56646">
      <w:pPr>
        <w:rPr>
          <w:b/>
          <w:bCs/>
          <w:lang w:val="en-US"/>
        </w:rPr>
      </w:pPr>
      <w:r w:rsidRPr="00DD1B58">
        <w:rPr>
          <w:b/>
          <w:bCs/>
          <w:lang w:val="en-US"/>
        </w:rPr>
        <w:t>BEPPS-DIF</w:t>
      </w:r>
    </w:p>
    <w:p w14:paraId="75D98339" w14:textId="44A6CE85" w:rsidR="0005762E" w:rsidRPr="00DD1B58" w:rsidRDefault="0005762E" w:rsidP="00F56646">
      <w:pPr>
        <w:rPr>
          <w:lang w:val="en-US"/>
        </w:rPr>
      </w:pPr>
      <w:r w:rsidRPr="00DD1B58">
        <w:rPr>
          <w:lang w:val="en-US"/>
        </w:rPr>
        <w:t xml:space="preserve">Maintenance and access considerations have led to the use of aspirating type smoke detection in some areas, to minimise the requirement to access high level equipment for testing and replacement such as the </w:t>
      </w:r>
      <w:r w:rsidR="006428CB" w:rsidRPr="00DD1B58">
        <w:rPr>
          <w:lang w:val="en-US"/>
        </w:rPr>
        <w:t>BEPPS-DIF</w:t>
      </w:r>
      <w:r w:rsidRPr="00DD1B58">
        <w:rPr>
          <w:lang w:val="en-US"/>
        </w:rPr>
        <w:t xml:space="preserve"> roof level.</w:t>
      </w:r>
    </w:p>
    <w:p w14:paraId="348C22CF" w14:textId="4E4D9EAE" w:rsidR="00F56646" w:rsidRPr="00DD1B58" w:rsidRDefault="00F56646" w:rsidP="00F56646">
      <w:pPr>
        <w:rPr>
          <w:lang w:val="en-US"/>
        </w:rPr>
      </w:pPr>
      <w:r w:rsidRPr="00DD1B58">
        <w:rPr>
          <w:lang w:val="en-US"/>
        </w:rPr>
        <w:t xml:space="preserve">No enhancements to the Fire Detection and Alarm System for nuclear safety over and above that currently provided for conventional fire safety in </w:t>
      </w:r>
      <w:r w:rsidR="006428CB" w:rsidRPr="00DD1B58">
        <w:rPr>
          <w:lang w:val="en-US"/>
        </w:rPr>
        <w:t>BEPPS-DIF</w:t>
      </w:r>
      <w:r w:rsidRPr="00DD1B58">
        <w:rPr>
          <w:lang w:val="en-US"/>
        </w:rPr>
        <w:t xml:space="preserve"> have been made. </w:t>
      </w:r>
    </w:p>
    <w:p w14:paraId="7F2037D6" w14:textId="77777777" w:rsidR="00F56646" w:rsidRPr="00DD1B58" w:rsidRDefault="00F56646" w:rsidP="00F56646">
      <w:pPr>
        <w:rPr>
          <w:lang w:val="en-US"/>
        </w:rPr>
      </w:pPr>
      <w:r w:rsidRPr="00DD1B58">
        <w:rPr>
          <w:lang w:val="en-US"/>
        </w:rPr>
        <w:t xml:space="preserve">The fire detection and alarm system installed is an L2, P2, M category automatic addressable system with detection devices in all areas of the building except areas not normally man accessible such as cells. The detection devices are linked via a fire alarm panel to both audible and visual alarms, and there is a direct interface to the ventilation systems to trigger fire dampers and stop fan motors. </w:t>
      </w:r>
    </w:p>
    <w:p w14:paraId="120B0861" w14:textId="77777777" w:rsidR="00F56646" w:rsidRPr="00DD1B58" w:rsidRDefault="00F56646" w:rsidP="00F56646">
      <w:pPr>
        <w:rPr>
          <w:lang w:val="en-US"/>
        </w:rPr>
      </w:pPr>
      <w:r w:rsidRPr="00DD1B58">
        <w:rPr>
          <w:lang w:val="en-US"/>
        </w:rPr>
        <w:t>The potential installation of fire detection in the vaults has been considered during the production of analyses and it is concluded that there would be no benefit from installing such a system, due to:</w:t>
      </w:r>
    </w:p>
    <w:p w14:paraId="4C4D19A0" w14:textId="77777777" w:rsidR="00F56646" w:rsidRPr="00DD1B58" w:rsidRDefault="00F56646" w:rsidP="00F56646">
      <w:pPr>
        <w:pStyle w:val="Bulletlist1"/>
        <w:rPr>
          <w:lang w:val="en-US"/>
        </w:rPr>
      </w:pPr>
      <w:r w:rsidRPr="00DD1B58">
        <w:rPr>
          <w:lang w:val="en-US"/>
        </w:rPr>
        <w:t>The fire loading in the vaults is negligible.</w:t>
      </w:r>
    </w:p>
    <w:p w14:paraId="44DCE54B" w14:textId="77777777" w:rsidR="00F56646" w:rsidRPr="00DD1B58" w:rsidRDefault="00F56646" w:rsidP="00F56646">
      <w:pPr>
        <w:pStyle w:val="Bulletlist1"/>
        <w:rPr>
          <w:lang w:val="en-US"/>
        </w:rPr>
      </w:pPr>
      <w:r w:rsidRPr="00DD1B58">
        <w:rPr>
          <w:lang w:val="en-US"/>
        </w:rPr>
        <w:t>The vaults are not occupied areas.</w:t>
      </w:r>
    </w:p>
    <w:p w14:paraId="695543BD" w14:textId="77777777" w:rsidR="00F56646" w:rsidRPr="00DD1B58" w:rsidRDefault="00F56646" w:rsidP="00F56646">
      <w:pPr>
        <w:pStyle w:val="Bulletlist1"/>
        <w:rPr>
          <w:lang w:val="en-US"/>
        </w:rPr>
      </w:pPr>
      <w:r w:rsidRPr="00DD1B58">
        <w:rPr>
          <w:lang w:val="en-US"/>
        </w:rPr>
        <w:t>Fire spread into the vaults is prevented by the nature of construction (1.6m thick reinforced concrete).</w:t>
      </w:r>
    </w:p>
    <w:p w14:paraId="07148D2B" w14:textId="77777777" w:rsidR="00F56646" w:rsidRPr="00DD1B58" w:rsidRDefault="00F56646" w:rsidP="00F56646">
      <w:pPr>
        <w:pStyle w:val="Bulletlist1"/>
        <w:rPr>
          <w:lang w:val="en-US"/>
        </w:rPr>
      </w:pPr>
      <w:r w:rsidRPr="00DD1B58">
        <w:rPr>
          <w:lang w:val="en-US"/>
        </w:rPr>
        <w:t>Maintenance of fixed fire detection would result in increased dose uptake to operators.</w:t>
      </w:r>
    </w:p>
    <w:p w14:paraId="3A78667D" w14:textId="77777777" w:rsidR="00F56646" w:rsidRPr="00DD1B58" w:rsidRDefault="00F56646" w:rsidP="00F56646">
      <w:pPr>
        <w:pStyle w:val="Bulletlist1"/>
        <w:rPr>
          <w:lang w:val="en-US"/>
        </w:rPr>
      </w:pPr>
      <w:r w:rsidRPr="00DD1B58">
        <w:rPr>
          <w:lang w:val="en-US"/>
        </w:rPr>
        <w:t>Fire spread is not possible between the waste packages stored in the vault.</w:t>
      </w:r>
    </w:p>
    <w:p w14:paraId="3800A845" w14:textId="3C482807" w:rsidR="00F56646" w:rsidRPr="00DD1B58" w:rsidRDefault="00F56646" w:rsidP="00F56646">
      <w:pPr>
        <w:pStyle w:val="Bulletlist1"/>
        <w:rPr>
          <w:lang w:val="en-US"/>
        </w:rPr>
      </w:pPr>
      <w:r w:rsidRPr="00DD1B58">
        <w:rPr>
          <w:lang w:val="en-US"/>
        </w:rPr>
        <w:t>The system is</w:t>
      </w:r>
      <w:r w:rsidR="00940D2A" w:rsidRPr="00DD1B58">
        <w:rPr>
          <w:lang w:val="en-US"/>
        </w:rPr>
        <w:t xml:space="preserve"> </w:t>
      </w:r>
      <w:r w:rsidRPr="00DD1B58">
        <w:rPr>
          <w:lang w:val="en-US"/>
        </w:rPr>
        <w:t>classed as Safety Related Equipment (SRE).</w:t>
      </w:r>
    </w:p>
    <w:p w14:paraId="0C443743" w14:textId="37346D7C" w:rsidR="00F56646" w:rsidRPr="00DD1B58" w:rsidRDefault="00F56646" w:rsidP="00F56646">
      <w:pPr>
        <w:rPr>
          <w:b/>
          <w:bCs/>
          <w:lang w:val="en-US"/>
        </w:rPr>
      </w:pPr>
      <w:r w:rsidRPr="00DD1B58">
        <w:rPr>
          <w:b/>
          <w:bCs/>
          <w:lang w:val="en-US"/>
        </w:rPr>
        <w:t>Pile 1</w:t>
      </w:r>
    </w:p>
    <w:p w14:paraId="5873696F" w14:textId="2844A23A" w:rsidR="008D7FC3" w:rsidRPr="00DD1B58" w:rsidRDefault="00955169" w:rsidP="00F56646">
      <w:pPr>
        <w:rPr>
          <w:lang w:val="en-US"/>
        </w:rPr>
      </w:pPr>
      <w:r w:rsidRPr="00DD1B58">
        <w:rPr>
          <w:lang w:val="en-US"/>
        </w:rPr>
        <w:t>No specialist fire detection technology is installed within Pile 1 other than a standard point smoke detection.</w:t>
      </w:r>
      <w:r w:rsidR="0050611B" w:rsidRPr="00DD1B58">
        <w:rPr>
          <w:lang w:val="en-US"/>
        </w:rPr>
        <w:t xml:space="preserve"> </w:t>
      </w:r>
      <w:r w:rsidR="00F56646" w:rsidRPr="00DD1B58">
        <w:rPr>
          <w:lang w:val="en-US"/>
        </w:rPr>
        <w:t>The fire alarm and detection system in Pile 1 has a Nuclear Safety designation of Safety Related Equipment (SRE).</w:t>
      </w:r>
      <w:r w:rsidR="00940D2A" w:rsidRPr="00DD1B58">
        <w:rPr>
          <w:lang w:val="en-US"/>
        </w:rPr>
        <w:t xml:space="preserve"> </w:t>
      </w:r>
      <w:r w:rsidR="00F56646" w:rsidRPr="00DD1B58">
        <w:rPr>
          <w:lang w:val="en-US"/>
        </w:rPr>
        <w:t>An L5, M system is installed within the facility. The HAZAN for Pile 1 identifies the system as a factor that could reduce the radiological consequence in the facility, should a fire occur. SSCs have been identified within the assessment as requiring to be considered as part of the Engineering Substantiation programme.</w:t>
      </w:r>
    </w:p>
    <w:p w14:paraId="5EA0B3AB" w14:textId="77777777" w:rsidR="00D813A6" w:rsidRPr="00DD1B58" w:rsidRDefault="00D813A6" w:rsidP="00177432">
      <w:pPr>
        <w:pStyle w:val="Heading5A"/>
        <w:numPr>
          <w:ilvl w:val="5"/>
          <w:numId w:val="7"/>
        </w:numPr>
        <w:rPr>
          <w:lang w:val="en-US"/>
        </w:rPr>
      </w:pPr>
      <w:r w:rsidRPr="00DD1B58">
        <w:rPr>
          <w:lang w:val="en-US"/>
        </w:rPr>
        <w:t>Alternative/temporary provisions</w:t>
      </w:r>
    </w:p>
    <w:p w14:paraId="561999FC" w14:textId="0FBA68F1" w:rsidR="00237F8E" w:rsidRPr="00DD1B58" w:rsidRDefault="004668E0" w:rsidP="00237F8E">
      <w:pPr>
        <w:rPr>
          <w:lang w:val="en-US"/>
        </w:rPr>
      </w:pPr>
      <w:r w:rsidRPr="00DD1B58">
        <w:rPr>
          <w:lang w:val="en-US"/>
        </w:rPr>
        <w:t>Sellafield Ltd.</w:t>
      </w:r>
      <w:r w:rsidR="002F3D79" w:rsidRPr="00DD1B58">
        <w:rPr>
          <w:lang w:val="en-US"/>
        </w:rPr>
        <w:t xml:space="preserve"> </w:t>
      </w:r>
      <w:r w:rsidR="006D798B" w:rsidRPr="00DD1B58">
        <w:rPr>
          <w:lang w:val="en-US"/>
        </w:rPr>
        <w:t>reports that</w:t>
      </w:r>
      <w:r w:rsidR="002F3D79" w:rsidRPr="00DD1B58">
        <w:rPr>
          <w:lang w:val="en-US"/>
        </w:rPr>
        <w:t xml:space="preserve"> when </w:t>
      </w:r>
      <w:r w:rsidR="00584F67" w:rsidRPr="00DD1B58">
        <w:rPr>
          <w:lang w:val="en-US"/>
        </w:rPr>
        <w:t xml:space="preserve">temporary works for fire alarm systems are required, the systems are disabled locally. </w:t>
      </w:r>
      <w:r w:rsidR="0054428F" w:rsidRPr="00DD1B58">
        <w:rPr>
          <w:lang w:val="en-US"/>
        </w:rPr>
        <w:t xml:space="preserve">It also </w:t>
      </w:r>
      <w:r w:rsidR="006D798B" w:rsidRPr="00DD1B58">
        <w:rPr>
          <w:lang w:val="en-US"/>
        </w:rPr>
        <w:t>states that</w:t>
      </w:r>
      <w:r w:rsidR="0054428F" w:rsidRPr="00DD1B58">
        <w:rPr>
          <w:lang w:val="en-US"/>
        </w:rPr>
        <w:t xml:space="preserve"> m</w:t>
      </w:r>
      <w:r w:rsidR="00584F67" w:rsidRPr="00DD1B58">
        <w:rPr>
          <w:lang w:val="en-US"/>
        </w:rPr>
        <w:t>anagerial controls are usually put in place when this occurs or if the fire alarm has failed. This could include a fire watch by the plant personnel or SF&amp;RS, the periodicity of the fire watch patrols would be determined by the size and nature of the building. In facilities where a fire watch would not be adequate, alternative provisions would be provided such as a rapidly deployable fire alarm system. This has been utilised on the Sellafield Site where a Wireless fire alarm system has been installed to allow a facility to operate, while the existing fire alarm system was upgraded.</w:t>
      </w:r>
      <w:r w:rsidR="00940D2A" w:rsidRPr="00DD1B58">
        <w:rPr>
          <w:lang w:val="en-US"/>
        </w:rPr>
        <w:t xml:space="preserve"> </w:t>
      </w:r>
      <w:r w:rsidR="00584F67" w:rsidRPr="00DD1B58">
        <w:rPr>
          <w:lang w:val="en-US"/>
        </w:rPr>
        <w:t>Contingency plans are in place for the facilities that stipulate the preferred contingency for if the fire alarm system was to fail e.g. install a wireless fire alarm and detection system.</w:t>
      </w:r>
    </w:p>
    <w:p w14:paraId="2F3543D8" w14:textId="3059230D" w:rsidR="00482666" w:rsidRPr="00DD1B58" w:rsidRDefault="00482666" w:rsidP="00237F8E">
      <w:pPr>
        <w:rPr>
          <w:lang w:val="en-US"/>
        </w:rPr>
      </w:pPr>
      <w:r w:rsidRPr="00DD1B58">
        <w:rPr>
          <w:lang w:val="en-US"/>
        </w:rPr>
        <w:t xml:space="preserve">For larger scale maintenance of fire alarm systems, </w:t>
      </w:r>
      <w:r w:rsidR="004668E0" w:rsidRPr="00DD1B58">
        <w:rPr>
          <w:lang w:val="en-US"/>
        </w:rPr>
        <w:t xml:space="preserve">Sellafield Ltd. </w:t>
      </w:r>
      <w:r w:rsidR="006D798B" w:rsidRPr="00DD1B58">
        <w:rPr>
          <w:lang w:val="en-US"/>
        </w:rPr>
        <w:t>reports that</w:t>
      </w:r>
      <w:r w:rsidR="0054428F" w:rsidRPr="00DD1B58">
        <w:rPr>
          <w:lang w:val="en-US"/>
        </w:rPr>
        <w:t xml:space="preserve"> </w:t>
      </w:r>
      <w:r w:rsidRPr="00DD1B58">
        <w:rPr>
          <w:lang w:val="en-US"/>
        </w:rPr>
        <w:t xml:space="preserve">a similar approach would be taken where local managerial control measures or temporary systems, would be implemented. The arrangements would depend on the size, complexity, and evacuation strategy for the building. </w:t>
      </w:r>
      <w:r w:rsidR="004668E0" w:rsidRPr="00DD1B58">
        <w:rPr>
          <w:lang w:val="en-US"/>
        </w:rPr>
        <w:t>Sellafield Ltd.</w:t>
      </w:r>
      <w:r w:rsidR="0056091B" w:rsidRPr="00DD1B58">
        <w:rPr>
          <w:lang w:val="en-US"/>
        </w:rPr>
        <w:t xml:space="preserve"> also </w:t>
      </w:r>
      <w:r w:rsidR="006D798B" w:rsidRPr="00DD1B58">
        <w:rPr>
          <w:lang w:val="en-US"/>
        </w:rPr>
        <w:t>reports that</w:t>
      </w:r>
      <w:r w:rsidR="0056091B" w:rsidRPr="00DD1B58">
        <w:rPr>
          <w:lang w:val="en-US"/>
        </w:rPr>
        <w:t xml:space="preserve"> m</w:t>
      </w:r>
      <w:r w:rsidRPr="00DD1B58">
        <w:rPr>
          <w:lang w:val="en-US"/>
        </w:rPr>
        <w:t>aintenance is carried out by personnel or third-party certified contractors in accordance with the BAFE SP203-1</w:t>
      </w:r>
      <w:r w:rsidR="004A04F7" w:rsidRPr="00DD1B58">
        <w:rPr>
          <w:lang w:val="en-US"/>
        </w:rPr>
        <w:t xml:space="preserve"> </w:t>
      </w:r>
      <w:sdt>
        <w:sdtPr>
          <w:rPr>
            <w:lang w:val="en-US"/>
          </w:rPr>
          <w:id w:val="-367683534"/>
          <w:citation/>
        </w:sdtPr>
        <w:sdtContent>
          <w:r w:rsidR="004A04F7" w:rsidRPr="00DD1B58">
            <w:rPr>
              <w:lang w:val="en-US"/>
            </w:rPr>
            <w:fldChar w:fldCharType="begin"/>
          </w:r>
          <w:r w:rsidR="004A04F7" w:rsidRPr="00DD1B58">
            <w:rPr>
              <w:lang w:val="en-US"/>
            </w:rPr>
            <w:instrText xml:space="preserve"> CITATION Bri20 \l 2057 </w:instrText>
          </w:r>
          <w:r w:rsidR="004A04F7" w:rsidRPr="00DD1B58">
            <w:rPr>
              <w:lang w:val="en-US"/>
            </w:rPr>
            <w:fldChar w:fldCharType="separate"/>
          </w:r>
          <w:r w:rsidR="00DF47DA" w:rsidRPr="00DF47DA">
            <w:rPr>
              <w:noProof/>
              <w:lang w:val="en-US"/>
            </w:rPr>
            <w:t>[191]</w:t>
          </w:r>
          <w:r w:rsidR="004A04F7" w:rsidRPr="00DD1B58">
            <w:rPr>
              <w:lang w:val="en-US"/>
            </w:rPr>
            <w:fldChar w:fldCharType="end"/>
          </w:r>
        </w:sdtContent>
      </w:sdt>
      <w:r w:rsidRPr="00DD1B58">
        <w:rPr>
          <w:lang w:val="en-US"/>
        </w:rPr>
        <w:t>.</w:t>
      </w:r>
    </w:p>
    <w:p w14:paraId="29789381" w14:textId="77777777" w:rsidR="00D813A6" w:rsidRPr="00DD1B58" w:rsidRDefault="00D813A6" w:rsidP="00177432">
      <w:pPr>
        <w:pStyle w:val="Heading5A"/>
        <w:rPr>
          <w:lang w:val="en-US"/>
        </w:rPr>
      </w:pPr>
      <w:r w:rsidRPr="00DD1B58">
        <w:rPr>
          <w:lang w:val="en-US"/>
        </w:rPr>
        <w:t xml:space="preserve">Fire suppression provisions </w:t>
      </w:r>
    </w:p>
    <w:p w14:paraId="11BF9422" w14:textId="77777777" w:rsidR="00D813A6" w:rsidRPr="00DD1B58" w:rsidRDefault="00D813A6" w:rsidP="00177432">
      <w:pPr>
        <w:pStyle w:val="Heading5A"/>
        <w:numPr>
          <w:ilvl w:val="5"/>
          <w:numId w:val="7"/>
        </w:numPr>
        <w:rPr>
          <w:lang w:val="en-US"/>
        </w:rPr>
      </w:pPr>
      <w:r w:rsidRPr="00DD1B58">
        <w:rPr>
          <w:lang w:val="en-US"/>
        </w:rPr>
        <w:t>Design Approach</w:t>
      </w:r>
    </w:p>
    <w:p w14:paraId="7DA28EC6" w14:textId="3385362A" w:rsidR="000E1068" w:rsidRPr="00DD1B58" w:rsidRDefault="004668E0" w:rsidP="000E1068">
      <w:pPr>
        <w:rPr>
          <w:lang w:val="en-US"/>
        </w:rPr>
      </w:pPr>
      <w:r w:rsidRPr="00DD1B58">
        <w:rPr>
          <w:lang w:val="en-US"/>
        </w:rPr>
        <w:t>Sellafield Ltd.</w:t>
      </w:r>
      <w:r w:rsidR="00CF65D5" w:rsidRPr="00DD1B58">
        <w:rPr>
          <w:lang w:val="en-US"/>
        </w:rPr>
        <w:t xml:space="preserve"> </w:t>
      </w:r>
      <w:r w:rsidR="006D798B" w:rsidRPr="00DD1B58">
        <w:rPr>
          <w:lang w:val="en-US"/>
        </w:rPr>
        <w:t>reports that</w:t>
      </w:r>
      <w:r w:rsidR="00CF65D5" w:rsidRPr="00DD1B58">
        <w:rPr>
          <w:lang w:val="en-US"/>
        </w:rPr>
        <w:t xml:space="preserve"> f</w:t>
      </w:r>
      <w:r w:rsidR="00735637" w:rsidRPr="00DD1B58">
        <w:rPr>
          <w:lang w:val="en-US"/>
        </w:rPr>
        <w:t>ire suppression systems are used when there is a need identified to protect nuclear safety, property protection or business continuity. Qualitative and Quantitative fire assessments are undertaken to assess the need for the systems, and this is justified and detailed in the Safety Case.</w:t>
      </w:r>
    </w:p>
    <w:p w14:paraId="604C4B7F" w14:textId="5D8E4202" w:rsidR="006D0CAA" w:rsidRPr="00DD1B58" w:rsidRDefault="004668E0" w:rsidP="000E1068">
      <w:pPr>
        <w:rPr>
          <w:lang w:val="en-US"/>
        </w:rPr>
      </w:pPr>
      <w:r w:rsidRPr="00DD1B58">
        <w:rPr>
          <w:lang w:val="en-US"/>
        </w:rPr>
        <w:t>Sellafield Ltd.</w:t>
      </w:r>
      <w:r w:rsidR="006D0CAA" w:rsidRPr="00DD1B58">
        <w:rPr>
          <w:lang w:val="en-US"/>
        </w:rPr>
        <w:t xml:space="preserve"> Design Capability sources designs from third party certified contractors as in comparison to fire alarm and detection systems, the use of suppression systems within Sellafield is smaller and used less frequently.</w:t>
      </w:r>
      <w:r w:rsidR="00CF65D5" w:rsidRPr="00DD1B58">
        <w:rPr>
          <w:lang w:val="en-US"/>
        </w:rPr>
        <w:t xml:space="preserve"> Sellafield </w:t>
      </w:r>
      <w:r w:rsidR="006D798B" w:rsidRPr="00DD1B58">
        <w:rPr>
          <w:lang w:val="en-US"/>
        </w:rPr>
        <w:t>states that</w:t>
      </w:r>
      <w:r w:rsidR="00CF65D5" w:rsidRPr="00DD1B58">
        <w:rPr>
          <w:lang w:val="en-US"/>
        </w:rPr>
        <w:t xml:space="preserve"> c</w:t>
      </w:r>
      <w:r w:rsidR="006D0CAA" w:rsidRPr="00DD1B58">
        <w:rPr>
          <w:lang w:val="en-US"/>
        </w:rPr>
        <w:t>ertified designers utilise British Standards and relevant good practice when designing suppression systems and the optioneering process ensures the most suitable solutions are designed and implemented.</w:t>
      </w:r>
    </w:p>
    <w:p w14:paraId="184747E8" w14:textId="1151BE45" w:rsidR="00B40F49" w:rsidRPr="00DD1B58" w:rsidRDefault="00B5739D" w:rsidP="000E1068">
      <w:pPr>
        <w:rPr>
          <w:lang w:val="en-US"/>
        </w:rPr>
      </w:pPr>
      <w:r w:rsidRPr="00DD1B58">
        <w:rPr>
          <w:lang w:val="en-US"/>
        </w:rPr>
        <w:t xml:space="preserve">The characteristics of suppression systems used on Sellafield Site is dependent upon the fire objective and technology selected. </w:t>
      </w:r>
      <w:r w:rsidR="004668E0" w:rsidRPr="00DD1B58">
        <w:rPr>
          <w:lang w:val="en-US"/>
        </w:rPr>
        <w:t>Sellafield Ltd.</w:t>
      </w:r>
      <w:r w:rsidR="00AD25B6" w:rsidRPr="00DD1B58">
        <w:rPr>
          <w:lang w:val="en-US"/>
        </w:rPr>
        <w:t xml:space="preserve"> </w:t>
      </w:r>
      <w:r w:rsidR="006D798B" w:rsidRPr="00DD1B58">
        <w:rPr>
          <w:lang w:val="en-US"/>
        </w:rPr>
        <w:t>reports that</w:t>
      </w:r>
      <w:r w:rsidR="00AD25B6" w:rsidRPr="00DD1B58">
        <w:rPr>
          <w:lang w:val="en-US"/>
        </w:rPr>
        <w:t xml:space="preserve"> </w:t>
      </w:r>
      <w:r w:rsidR="00A318AE" w:rsidRPr="00DD1B58">
        <w:rPr>
          <w:lang w:val="en-US"/>
        </w:rPr>
        <w:t xml:space="preserve">the </w:t>
      </w:r>
      <w:r w:rsidR="00AD25B6" w:rsidRPr="00DD1B58">
        <w:rPr>
          <w:lang w:val="en-US"/>
        </w:rPr>
        <w:t>f</w:t>
      </w:r>
      <w:r w:rsidR="00B40F49" w:rsidRPr="00DD1B58">
        <w:rPr>
          <w:lang w:val="en-US"/>
        </w:rPr>
        <w:t>ixed fire suppression systems are designed, installed commissioned, maintained in accordance with the relevant British and European standards, relevant good practice guidance produced by manufacturers and suppliers of these systems.</w:t>
      </w:r>
    </w:p>
    <w:p w14:paraId="019E3F9D" w14:textId="77777777" w:rsidR="00D813A6" w:rsidRPr="00DD1B58" w:rsidRDefault="00D813A6" w:rsidP="00177432">
      <w:pPr>
        <w:pStyle w:val="Heading5A"/>
        <w:numPr>
          <w:ilvl w:val="5"/>
          <w:numId w:val="7"/>
        </w:numPr>
        <w:rPr>
          <w:lang w:val="en-US"/>
        </w:rPr>
      </w:pPr>
      <w:r w:rsidRPr="00DD1B58">
        <w:rPr>
          <w:lang w:val="en-US"/>
        </w:rPr>
        <w:t xml:space="preserve">Types, main characteristics and performance expectations </w:t>
      </w:r>
    </w:p>
    <w:p w14:paraId="2EFB2395" w14:textId="2B4F4AC6" w:rsidR="00A318AE" w:rsidRPr="00DD1B58" w:rsidRDefault="004668E0" w:rsidP="00973FF4">
      <w:pPr>
        <w:rPr>
          <w:lang w:val="en-US"/>
        </w:rPr>
      </w:pPr>
      <w:r w:rsidRPr="00DD1B58">
        <w:rPr>
          <w:lang w:val="en-US"/>
        </w:rPr>
        <w:t>Sellafield Ltd.</w:t>
      </w:r>
      <w:r w:rsidR="00A318AE" w:rsidRPr="00DD1B58">
        <w:rPr>
          <w:lang w:val="en-US"/>
        </w:rPr>
        <w:t xml:space="preserve"> report</w:t>
      </w:r>
      <w:r w:rsidR="00496C8D" w:rsidRPr="00DD1B58">
        <w:rPr>
          <w:lang w:val="en-US"/>
        </w:rPr>
        <w:t>s</w:t>
      </w:r>
      <w:r w:rsidR="00A318AE" w:rsidRPr="00DD1B58">
        <w:rPr>
          <w:lang w:val="en-US"/>
        </w:rPr>
        <w:t xml:space="preserve"> the following types, characteristics and performance expectations of fire suppression systems at each of the installations in scope of TPR</w:t>
      </w:r>
      <w:r w:rsidR="00E87124" w:rsidRPr="00DD1B58">
        <w:rPr>
          <w:lang w:val="en-US"/>
        </w:rPr>
        <w:t>. NB:</w:t>
      </w:r>
      <w:r w:rsidR="00A318AE" w:rsidRPr="00DD1B58">
        <w:rPr>
          <w:lang w:val="en-US"/>
        </w:rPr>
        <w:t xml:space="preserve"> </w:t>
      </w:r>
      <w:r w:rsidR="00E87124" w:rsidRPr="00DD1B58">
        <w:rPr>
          <w:lang w:val="en-US"/>
        </w:rPr>
        <w:t>all</w:t>
      </w:r>
      <w:r w:rsidR="008C4765" w:rsidRPr="00DD1B58">
        <w:rPr>
          <w:lang w:val="en-US"/>
        </w:rPr>
        <w:t xml:space="preserve"> the</w:t>
      </w:r>
      <w:r w:rsidR="00A318AE" w:rsidRPr="00DD1B58">
        <w:rPr>
          <w:lang w:val="en-US"/>
        </w:rPr>
        <w:t xml:space="preserve"> statements </w:t>
      </w:r>
      <w:r w:rsidR="008C4765" w:rsidRPr="00DD1B58">
        <w:rPr>
          <w:lang w:val="en-US"/>
        </w:rPr>
        <w:t xml:space="preserve">in this section </w:t>
      </w:r>
      <w:r w:rsidR="00A318AE" w:rsidRPr="00DD1B58">
        <w:rPr>
          <w:lang w:val="en-US"/>
        </w:rPr>
        <w:t xml:space="preserve">are taken literally from </w:t>
      </w:r>
      <w:r w:rsidR="00D33E87" w:rsidRPr="00DD1B58">
        <w:rPr>
          <w:lang w:val="en-US"/>
        </w:rPr>
        <w:t>Sellafield Ltd.’s</w:t>
      </w:r>
      <w:r w:rsidR="00A318AE" w:rsidRPr="00DD1B58">
        <w:rPr>
          <w:lang w:val="en-US"/>
        </w:rPr>
        <w:t xml:space="preserve"> self-assessment report. </w:t>
      </w:r>
    </w:p>
    <w:p w14:paraId="7390D1C9" w14:textId="77777777" w:rsidR="0055757A" w:rsidRPr="00DD1B58" w:rsidRDefault="0055757A" w:rsidP="0055757A">
      <w:pPr>
        <w:rPr>
          <w:b/>
          <w:bCs/>
          <w:lang w:val="en-US"/>
        </w:rPr>
      </w:pPr>
      <w:r w:rsidRPr="00DD1B58">
        <w:rPr>
          <w:b/>
          <w:bCs/>
          <w:lang w:val="en-US"/>
        </w:rPr>
        <w:t>High Level Waste Plants Fire Suppression Systems</w:t>
      </w:r>
    </w:p>
    <w:p w14:paraId="15CCFC61" w14:textId="77777777" w:rsidR="0055757A" w:rsidRPr="00DD1B58" w:rsidRDefault="0055757A" w:rsidP="0055757A">
      <w:pPr>
        <w:rPr>
          <w:lang w:val="en-US"/>
        </w:rPr>
      </w:pPr>
      <w:r w:rsidRPr="00DD1B58">
        <w:rPr>
          <w:lang w:val="en-US"/>
        </w:rPr>
        <w:t>Waste Vitrification Plants fire safety assessment places no claims on any automatic fire suppression systems for nuclear safety. There is an Aqueous Film Forming Foam (AFFF) automatic fire suppression in the transformer pens is provided to minimise fire propagation and for loss prevention purposes only.</w:t>
      </w:r>
    </w:p>
    <w:p w14:paraId="73FAC3C4" w14:textId="77777777" w:rsidR="0055757A" w:rsidRPr="00DD1B58" w:rsidRDefault="0055757A" w:rsidP="0055757A">
      <w:pPr>
        <w:rPr>
          <w:b/>
          <w:bCs/>
          <w:lang w:val="en-US"/>
        </w:rPr>
      </w:pPr>
      <w:r w:rsidRPr="00DD1B58">
        <w:rPr>
          <w:b/>
          <w:bCs/>
          <w:lang w:val="en-US"/>
        </w:rPr>
        <w:t>Magnox Reprocessing Fire Suppression Systems</w:t>
      </w:r>
    </w:p>
    <w:p w14:paraId="76352EAF" w14:textId="77777777" w:rsidR="0055757A" w:rsidRPr="00DD1B58" w:rsidRDefault="0055757A" w:rsidP="0055757A">
      <w:pPr>
        <w:rPr>
          <w:lang w:val="en-US"/>
        </w:rPr>
      </w:pPr>
      <w:r w:rsidRPr="00DD1B58">
        <w:rPr>
          <w:lang w:val="en-US"/>
        </w:rPr>
        <w:t xml:space="preserve">Within Magnox Reprocessing, Safety related Equipment designation has been placed on the in-cell suppression systems and fire dampers. </w:t>
      </w:r>
    </w:p>
    <w:p w14:paraId="714CF2C5" w14:textId="77777777" w:rsidR="0055757A" w:rsidRPr="00DD1B58" w:rsidRDefault="0055757A" w:rsidP="0055757A">
      <w:pPr>
        <w:rPr>
          <w:lang w:val="en-US"/>
        </w:rPr>
      </w:pPr>
      <w:r w:rsidRPr="00DD1B58">
        <w:rPr>
          <w:lang w:val="en-US"/>
        </w:rPr>
        <w:t>Radiological inventories are generally located in-cell and are shielded from adjacent areas. The walls and roofs of these areas have a high inherent fire resistance such that the potential for fire spread from adjacent areas is minimised. The fire risk in-cell is adequately controlled through minimisation of combustible inventories, passive containment, ventilation systems and by fire suppression (CO</w:t>
      </w:r>
      <w:r w:rsidRPr="00DD1B58">
        <w:rPr>
          <w:vertAlign w:val="subscript"/>
          <w:lang w:val="en-US"/>
        </w:rPr>
        <w:t>2</w:t>
      </w:r>
      <w:r w:rsidRPr="00DD1B58">
        <w:rPr>
          <w:lang w:val="en-US"/>
        </w:rPr>
        <w:t>). An In-Cell CO</w:t>
      </w:r>
      <w:r w:rsidRPr="00DD1B58">
        <w:rPr>
          <w:vertAlign w:val="subscript"/>
          <w:lang w:val="en-US"/>
        </w:rPr>
        <w:t>2</w:t>
      </w:r>
      <w:r w:rsidRPr="00DD1B58">
        <w:rPr>
          <w:lang w:val="en-US"/>
        </w:rPr>
        <w:t xml:space="preserve"> suppression system which is used to suppress any potential fire occurring in the Cells. To maintain the inert atmosphere in the cell to which the suppression has been deployed, on initiation of the suppression the inlet dampers are closed and following deployment of the CO</w:t>
      </w:r>
      <w:r w:rsidRPr="00DD1B58">
        <w:rPr>
          <w:vertAlign w:val="subscript"/>
          <w:lang w:val="en-US"/>
        </w:rPr>
        <w:t>2</w:t>
      </w:r>
      <w:r w:rsidRPr="00DD1B58">
        <w:rPr>
          <w:lang w:val="en-US"/>
        </w:rPr>
        <w:t xml:space="preserve"> available, the outlet dampers are closed. The system itself has been assessed in a separate nuclear fire analysis to assess the available volumes in the CO</w:t>
      </w:r>
      <w:r w:rsidRPr="00DD1B58">
        <w:rPr>
          <w:vertAlign w:val="subscript"/>
          <w:lang w:val="en-US"/>
        </w:rPr>
        <w:t>2</w:t>
      </w:r>
      <w:r w:rsidRPr="00DD1B58">
        <w:rPr>
          <w:lang w:val="en-US"/>
        </w:rPr>
        <w:t xml:space="preserve"> system and assesses whether these volumes are able to reduce the </w:t>
      </w:r>
      <w:r w:rsidR="00B36EBB" w:rsidRPr="00DD1B58">
        <w:rPr>
          <w:lang w:val="en-US"/>
        </w:rPr>
        <w:t>o</w:t>
      </w:r>
      <w:r w:rsidRPr="00DD1B58">
        <w:rPr>
          <w:lang w:val="en-US"/>
        </w:rPr>
        <w:t>xygen concentration to below 10% (assuming homogeneous mixing) in each of the cells it feeds. The assessment concludes that there is sufficient volume of CO</w:t>
      </w:r>
      <w:r w:rsidRPr="00DD1B58">
        <w:rPr>
          <w:vertAlign w:val="subscript"/>
          <w:lang w:val="en-US"/>
        </w:rPr>
        <w:t>2</w:t>
      </w:r>
      <w:r w:rsidRPr="00DD1B58">
        <w:rPr>
          <w:lang w:val="en-US"/>
        </w:rPr>
        <w:t xml:space="preserve"> available to extinguish a fire in each cell.</w:t>
      </w:r>
    </w:p>
    <w:p w14:paraId="300A71DE" w14:textId="1BF445C1" w:rsidR="0055757A" w:rsidRPr="00DD1B58" w:rsidRDefault="006428CB" w:rsidP="0055757A">
      <w:pPr>
        <w:rPr>
          <w:b/>
          <w:bCs/>
          <w:lang w:val="en-US"/>
        </w:rPr>
      </w:pPr>
      <w:r w:rsidRPr="00DD1B58">
        <w:rPr>
          <w:b/>
          <w:bCs/>
          <w:lang w:val="en-US"/>
        </w:rPr>
        <w:t>BEPPS-DIF</w:t>
      </w:r>
      <w:r w:rsidR="0055757A" w:rsidRPr="00DD1B58">
        <w:rPr>
          <w:b/>
          <w:bCs/>
          <w:lang w:val="en-US"/>
        </w:rPr>
        <w:t xml:space="preserve"> Fire Suppression Systems</w:t>
      </w:r>
    </w:p>
    <w:p w14:paraId="1BBF26B2" w14:textId="77777777" w:rsidR="0055757A" w:rsidRPr="00DD1B58" w:rsidRDefault="0055757A" w:rsidP="0055757A">
      <w:pPr>
        <w:rPr>
          <w:lang w:val="en-US"/>
        </w:rPr>
      </w:pPr>
      <w:r w:rsidRPr="00DD1B58">
        <w:rPr>
          <w:lang w:val="en-US"/>
        </w:rPr>
        <w:t xml:space="preserve">There is a suppression system in the engine bay within BEPPS-DIF transporters to mitigate the consequences of a vehicle fire. This system is designated as safety related Equipment. It is therefore considered that the potential for any fire to develop into full involvement of all the combustibles on the transporter is very low. </w:t>
      </w:r>
    </w:p>
    <w:p w14:paraId="0F3C345D" w14:textId="77777777" w:rsidR="0055757A" w:rsidRPr="00DD1B58" w:rsidRDefault="0055757A" w:rsidP="0055757A">
      <w:pPr>
        <w:rPr>
          <w:lang w:val="en-US"/>
        </w:rPr>
      </w:pPr>
      <w:r w:rsidRPr="00DD1B58">
        <w:rPr>
          <w:lang w:val="en-US"/>
        </w:rPr>
        <w:t xml:space="preserve">The design performance requirements are the In-vehicle automatic fire suppression (Proprietary Plant and Equipment from FireTrace™) which uses a pressurised linear heat detection pipe system within the Tug engine bay. </w:t>
      </w:r>
    </w:p>
    <w:p w14:paraId="13B18205" w14:textId="77777777" w:rsidR="0055757A" w:rsidRPr="00DD1B58" w:rsidRDefault="0055757A" w:rsidP="0055757A">
      <w:pPr>
        <w:rPr>
          <w:lang w:val="en-US"/>
        </w:rPr>
      </w:pPr>
      <w:r w:rsidRPr="00DD1B58">
        <w:rPr>
          <w:lang w:val="en-US"/>
        </w:rPr>
        <w:t>A review regarding the omission of fire suppression in the vaults was undertaken and concluded that the circumstances under which a fire suppression system would provide any significant risk reduction are extremely limited, and therefore fire suppression was not required.</w:t>
      </w:r>
    </w:p>
    <w:p w14:paraId="1BD5B011" w14:textId="77777777" w:rsidR="0055757A" w:rsidRPr="00DD1B58" w:rsidRDefault="0055757A" w:rsidP="0055757A">
      <w:pPr>
        <w:rPr>
          <w:lang w:val="en-US"/>
        </w:rPr>
      </w:pPr>
      <w:r w:rsidRPr="00DD1B58">
        <w:rPr>
          <w:lang w:val="en-US"/>
        </w:rPr>
        <w:t xml:space="preserve">The Sellafield Packages containing the nuclear inventory are robust against a vehicle fire, and will maintain bulk shielding, along with no significant loss of containment, even during a fully developed fire, which further supports this argument. </w:t>
      </w:r>
    </w:p>
    <w:p w14:paraId="6FD04321" w14:textId="77777777" w:rsidR="0055757A" w:rsidRPr="00DD1B58" w:rsidRDefault="0055757A" w:rsidP="0055757A">
      <w:pPr>
        <w:rPr>
          <w:b/>
          <w:bCs/>
          <w:lang w:val="en-US"/>
        </w:rPr>
      </w:pPr>
      <w:r w:rsidRPr="00DD1B58">
        <w:rPr>
          <w:b/>
          <w:bCs/>
          <w:lang w:val="en-US"/>
        </w:rPr>
        <w:t>Encapsulation Plants</w:t>
      </w:r>
    </w:p>
    <w:p w14:paraId="23AC49B8" w14:textId="77777777" w:rsidR="0055757A" w:rsidRPr="00DD1B58" w:rsidRDefault="002E7F56" w:rsidP="0055757A">
      <w:pPr>
        <w:rPr>
          <w:lang w:val="en-US"/>
        </w:rPr>
      </w:pPr>
      <w:r w:rsidRPr="00DD1B58">
        <w:rPr>
          <w:lang w:val="en-US"/>
        </w:rPr>
        <w:t xml:space="preserve">The </w:t>
      </w:r>
      <w:r w:rsidR="0055757A" w:rsidRPr="00DD1B58">
        <w:rPr>
          <w:lang w:val="en-US"/>
        </w:rPr>
        <w:t xml:space="preserve">Encapsulation Plants </w:t>
      </w:r>
      <w:r w:rsidRPr="00DD1B58">
        <w:rPr>
          <w:lang w:val="en-US"/>
        </w:rPr>
        <w:t>n</w:t>
      </w:r>
      <w:r w:rsidR="0055757A" w:rsidRPr="00DD1B58">
        <w:rPr>
          <w:lang w:val="en-US"/>
        </w:rPr>
        <w:t xml:space="preserve">uclear fire safety assessment places no claims on any automatic fire suppression systems for nuclear safety. There is an automatic fire suppression system using an AFFF agent within the transformer pens within one of the Encapsulation Plants, operating a ‘double knock’ system, whereby the agent is only released if two detectors in the same locality are activated. This system is in place for loss prevention purposes and to prevent fire escalation should one initiate in a transformer. </w:t>
      </w:r>
    </w:p>
    <w:p w14:paraId="2394CDB8" w14:textId="77777777" w:rsidR="0055757A" w:rsidRPr="00DD1B58" w:rsidRDefault="0055757A" w:rsidP="0055757A">
      <w:pPr>
        <w:rPr>
          <w:b/>
          <w:bCs/>
          <w:lang w:val="en-US"/>
        </w:rPr>
      </w:pPr>
      <w:r w:rsidRPr="00DD1B58">
        <w:rPr>
          <w:b/>
          <w:bCs/>
          <w:lang w:val="en-US"/>
        </w:rPr>
        <w:t>Pile 1 and SPRS</w:t>
      </w:r>
    </w:p>
    <w:p w14:paraId="1EA4D653" w14:textId="77777777" w:rsidR="00866FF7" w:rsidRPr="00DD1B58" w:rsidRDefault="0055757A" w:rsidP="0055757A">
      <w:pPr>
        <w:rPr>
          <w:lang w:val="en-US"/>
        </w:rPr>
      </w:pPr>
      <w:r w:rsidRPr="00DD1B58">
        <w:rPr>
          <w:lang w:val="en-US"/>
        </w:rPr>
        <w:t>There are no fire suppression systems in Pile 1 or SPRS therefore no nuclear safety claims and associated designations.</w:t>
      </w:r>
    </w:p>
    <w:p w14:paraId="34BEF6C2" w14:textId="77777777" w:rsidR="00D813A6" w:rsidRPr="00DD1B58" w:rsidRDefault="00D813A6" w:rsidP="00177432">
      <w:pPr>
        <w:pStyle w:val="Heading5A"/>
        <w:numPr>
          <w:ilvl w:val="5"/>
          <w:numId w:val="7"/>
        </w:numPr>
        <w:rPr>
          <w:lang w:val="en-US"/>
        </w:rPr>
      </w:pPr>
      <w:r w:rsidRPr="00DD1B58">
        <w:rPr>
          <w:lang w:val="en-US"/>
        </w:rPr>
        <w:t xml:space="preserve">Management of harmful effects and consequential hazards </w:t>
      </w:r>
    </w:p>
    <w:p w14:paraId="1D0D4AB1" w14:textId="761A4824" w:rsidR="000B1422" w:rsidRPr="00DD1B58" w:rsidRDefault="004668E0" w:rsidP="000B1422">
      <w:pPr>
        <w:rPr>
          <w:lang w:val="en-US"/>
        </w:rPr>
      </w:pPr>
      <w:r w:rsidRPr="00DD1B58">
        <w:rPr>
          <w:lang w:val="en-US"/>
        </w:rPr>
        <w:t>Sellafield Ltd.</w:t>
      </w:r>
      <w:r w:rsidR="00820E6B" w:rsidRPr="00DD1B58">
        <w:rPr>
          <w:lang w:val="en-US"/>
        </w:rPr>
        <w:t xml:space="preserve"> </w:t>
      </w:r>
      <w:r w:rsidR="006D798B" w:rsidRPr="00DD1B58">
        <w:rPr>
          <w:lang w:val="en-US"/>
        </w:rPr>
        <w:t>reports that</w:t>
      </w:r>
      <w:r w:rsidR="00820E6B" w:rsidRPr="00DD1B58">
        <w:rPr>
          <w:lang w:val="en-US"/>
        </w:rPr>
        <w:t xml:space="preserve"> hazards </w:t>
      </w:r>
      <w:r w:rsidR="000B1422" w:rsidRPr="00DD1B58">
        <w:rPr>
          <w:lang w:val="en-US"/>
        </w:rPr>
        <w:t xml:space="preserve">identified in the Internal and External Hazard Assessments such as flooding, and aircraft crashes are assessed for each facility. Criticality assessments also consider fire and firefighting when assessing the risk of criticality within the facility. </w:t>
      </w:r>
      <w:r w:rsidRPr="00DD1B58">
        <w:rPr>
          <w:lang w:val="en-US"/>
        </w:rPr>
        <w:t>Sellafield Ltd.</w:t>
      </w:r>
      <w:r w:rsidR="002F0131" w:rsidRPr="00DD1B58">
        <w:rPr>
          <w:lang w:val="en-US"/>
        </w:rPr>
        <w:t xml:space="preserve"> </w:t>
      </w:r>
      <w:r w:rsidR="006D798B" w:rsidRPr="00DD1B58">
        <w:rPr>
          <w:lang w:val="en-US"/>
        </w:rPr>
        <w:t>states that</w:t>
      </w:r>
      <w:r w:rsidR="002F0131" w:rsidRPr="00DD1B58">
        <w:rPr>
          <w:lang w:val="en-US"/>
        </w:rPr>
        <w:t xml:space="preserve"> standards </w:t>
      </w:r>
      <w:r w:rsidR="000B1422" w:rsidRPr="00DD1B58">
        <w:rPr>
          <w:lang w:val="en-US"/>
        </w:rPr>
        <w:t>are complied with where reasonably practicable, supported by appropriate collaborative ALARP justification as necessary for any relaxations against them.</w:t>
      </w:r>
    </w:p>
    <w:p w14:paraId="21F73674" w14:textId="77777777" w:rsidR="00D813A6" w:rsidRPr="00DD1B58" w:rsidRDefault="00D813A6" w:rsidP="00177432">
      <w:pPr>
        <w:pStyle w:val="Heading5A"/>
        <w:numPr>
          <w:ilvl w:val="5"/>
          <w:numId w:val="7"/>
        </w:numPr>
        <w:rPr>
          <w:lang w:val="en-US"/>
        </w:rPr>
      </w:pPr>
      <w:r w:rsidRPr="00DD1B58">
        <w:rPr>
          <w:lang w:val="en-US"/>
        </w:rPr>
        <w:t xml:space="preserve">Alternative/temporary provisions </w:t>
      </w:r>
    </w:p>
    <w:p w14:paraId="23F0C4ED" w14:textId="1148DDD9" w:rsidR="00C05936" w:rsidRPr="00DD1B58" w:rsidRDefault="004668E0" w:rsidP="00C05936">
      <w:pPr>
        <w:rPr>
          <w:lang w:val="en-US"/>
        </w:rPr>
      </w:pPr>
      <w:r w:rsidRPr="00DD1B58">
        <w:rPr>
          <w:lang w:val="en-US"/>
        </w:rPr>
        <w:t>Sellafield Ltd.</w:t>
      </w:r>
      <w:r w:rsidR="002F0131" w:rsidRPr="00DD1B58">
        <w:rPr>
          <w:lang w:val="en-US"/>
        </w:rPr>
        <w:t xml:space="preserve"> </w:t>
      </w:r>
      <w:r w:rsidR="006D798B" w:rsidRPr="00DD1B58">
        <w:rPr>
          <w:lang w:val="en-US"/>
        </w:rPr>
        <w:t>reports that</w:t>
      </w:r>
      <w:r w:rsidR="00271B9A" w:rsidRPr="00DD1B58">
        <w:rPr>
          <w:lang w:val="en-US"/>
        </w:rPr>
        <w:t xml:space="preserve"> if</w:t>
      </w:r>
      <w:r w:rsidR="002F0131" w:rsidRPr="00DD1B58">
        <w:rPr>
          <w:lang w:val="en-US"/>
        </w:rPr>
        <w:t xml:space="preserve"> </w:t>
      </w:r>
      <w:r w:rsidR="008B7575" w:rsidRPr="00DD1B58">
        <w:rPr>
          <w:lang w:val="en-US"/>
        </w:rPr>
        <w:t>activities or experiments were undertaken that required additional fire suppression or other fire protection features not usually utilised within the facility, this would be assessed on a case-by-case basis and additional controls would be identified through the task risk-assessment process and implemented accordingly. For example, additional suppression or other water supplies may be provided to the facility if there was a heightened risk of fire due to hot work activities.</w:t>
      </w:r>
    </w:p>
    <w:p w14:paraId="66BF8832" w14:textId="77777777" w:rsidR="00D813A6" w:rsidRPr="00DD1B58" w:rsidRDefault="00D813A6" w:rsidP="00177432">
      <w:pPr>
        <w:pStyle w:val="Heading5A"/>
        <w:rPr>
          <w:lang w:val="en-US"/>
        </w:rPr>
      </w:pPr>
      <w:bookmarkStart w:id="128" w:name="_Ref139556309"/>
      <w:r w:rsidRPr="00DD1B58">
        <w:rPr>
          <w:lang w:val="en-US"/>
        </w:rPr>
        <w:t>Administrative and organisational fire protection issues</w:t>
      </w:r>
      <w:bookmarkEnd w:id="128"/>
      <w:r w:rsidRPr="00DD1B58">
        <w:rPr>
          <w:lang w:val="en-US"/>
        </w:rPr>
        <w:t xml:space="preserve"> </w:t>
      </w:r>
    </w:p>
    <w:p w14:paraId="5CD8C6AC" w14:textId="77777777" w:rsidR="00D813A6" w:rsidRPr="00DD1B58" w:rsidRDefault="00D813A6" w:rsidP="00177432">
      <w:pPr>
        <w:pStyle w:val="Heading5A"/>
        <w:numPr>
          <w:ilvl w:val="5"/>
          <w:numId w:val="7"/>
        </w:numPr>
        <w:rPr>
          <w:lang w:val="en-US"/>
        </w:rPr>
      </w:pPr>
      <w:r w:rsidRPr="00DD1B58">
        <w:rPr>
          <w:lang w:val="en-US"/>
        </w:rPr>
        <w:t xml:space="preserve">Overview of firefighting strategies, administrative arrangements and assurance </w:t>
      </w:r>
    </w:p>
    <w:p w14:paraId="034A8C87" w14:textId="43BE53C8" w:rsidR="003117AB" w:rsidRPr="00DD1B58" w:rsidRDefault="00D33E87" w:rsidP="003117AB">
      <w:pPr>
        <w:rPr>
          <w:lang w:val="en-US"/>
        </w:rPr>
      </w:pPr>
      <w:r w:rsidRPr="00DD1B58">
        <w:rPr>
          <w:lang w:val="en-US"/>
        </w:rPr>
        <w:t>Sellafield Ltd.’s</w:t>
      </w:r>
      <w:r w:rsidR="00813FAC" w:rsidRPr="00DD1B58">
        <w:rPr>
          <w:lang w:val="en-US"/>
        </w:rPr>
        <w:t xml:space="preserve"> </w:t>
      </w:r>
      <w:r w:rsidR="003117AB" w:rsidRPr="00DD1B58">
        <w:rPr>
          <w:lang w:val="en-US"/>
        </w:rPr>
        <w:t xml:space="preserve">Fire Safety </w:t>
      </w:r>
      <w:r w:rsidR="00F03C6B" w:rsidRPr="00DD1B58">
        <w:rPr>
          <w:lang w:val="en-US"/>
        </w:rPr>
        <w:t xml:space="preserve">Strategies </w:t>
      </w:r>
      <w:r w:rsidR="003117AB" w:rsidRPr="00DD1B58">
        <w:rPr>
          <w:lang w:val="en-US"/>
        </w:rPr>
        <w:t xml:space="preserve">(FSS) </w:t>
      </w:r>
      <w:r w:rsidR="00F03C6B" w:rsidRPr="00DD1B58">
        <w:rPr>
          <w:lang w:val="en-US"/>
        </w:rPr>
        <w:t xml:space="preserve">are </w:t>
      </w:r>
      <w:r w:rsidR="003117AB" w:rsidRPr="00DD1B58">
        <w:rPr>
          <w:lang w:val="en-US"/>
        </w:rPr>
        <w:t>overarching document</w:t>
      </w:r>
      <w:r w:rsidR="00F03C6B" w:rsidRPr="00DD1B58">
        <w:rPr>
          <w:lang w:val="en-US"/>
        </w:rPr>
        <w:t>s</w:t>
      </w:r>
      <w:r w:rsidR="003117AB" w:rsidRPr="00DD1B58">
        <w:rPr>
          <w:lang w:val="en-US"/>
        </w:rPr>
        <w:t xml:space="preserve"> that set out building function with respect to fire safety</w:t>
      </w:r>
      <w:r w:rsidR="00F03C6B" w:rsidRPr="00DD1B58">
        <w:rPr>
          <w:lang w:val="en-US"/>
        </w:rPr>
        <w:t xml:space="preserve">. They are a </w:t>
      </w:r>
      <w:r w:rsidR="003117AB" w:rsidRPr="00DD1B58">
        <w:rPr>
          <w:lang w:val="en-US"/>
        </w:rPr>
        <w:t xml:space="preserve">new approach adopted </w:t>
      </w:r>
      <w:r w:rsidR="00F03C6B" w:rsidRPr="00DD1B58">
        <w:rPr>
          <w:lang w:val="en-US"/>
        </w:rPr>
        <w:t xml:space="preserve">by </w:t>
      </w:r>
      <w:r w:rsidR="004668E0" w:rsidRPr="00DD1B58">
        <w:rPr>
          <w:lang w:val="en-US"/>
        </w:rPr>
        <w:t xml:space="preserve">Sellafield Ltd. </w:t>
      </w:r>
      <w:r w:rsidR="003117AB" w:rsidRPr="00DD1B58">
        <w:rPr>
          <w:lang w:val="en-US"/>
        </w:rPr>
        <w:t xml:space="preserve">following a pilot assessment in Financial Year 2018-2019. Previously </w:t>
      </w:r>
      <w:r w:rsidR="004668E0" w:rsidRPr="00DD1B58">
        <w:rPr>
          <w:lang w:val="en-US"/>
        </w:rPr>
        <w:t xml:space="preserve">Sellafield Ltd. </w:t>
      </w:r>
      <w:r w:rsidR="003117AB" w:rsidRPr="00DD1B58">
        <w:rPr>
          <w:lang w:val="en-US"/>
        </w:rPr>
        <w:t xml:space="preserve">covered </w:t>
      </w:r>
      <w:r w:rsidR="00F03C6B" w:rsidRPr="00DD1B58">
        <w:rPr>
          <w:lang w:val="en-US"/>
        </w:rPr>
        <w:t xml:space="preserve">the topic </w:t>
      </w:r>
      <w:r w:rsidR="003117AB" w:rsidRPr="00DD1B58">
        <w:rPr>
          <w:lang w:val="en-US"/>
        </w:rPr>
        <w:t xml:space="preserve">by the </w:t>
      </w:r>
      <w:r w:rsidR="00427F52" w:rsidRPr="00DD1B58">
        <w:rPr>
          <w:lang w:val="en-US"/>
        </w:rPr>
        <w:t>conventional</w:t>
      </w:r>
      <w:r w:rsidR="003117AB" w:rsidRPr="00DD1B58">
        <w:rPr>
          <w:lang w:val="en-US"/>
        </w:rPr>
        <w:t xml:space="preserve"> fire analyses in the Nuclear Safety Case</w:t>
      </w:r>
      <w:r w:rsidR="00F550DA" w:rsidRPr="00DD1B58">
        <w:rPr>
          <w:lang w:val="en-US"/>
        </w:rPr>
        <w:t>,</w:t>
      </w:r>
      <w:r w:rsidR="003117AB" w:rsidRPr="00DD1B58">
        <w:rPr>
          <w:lang w:val="en-US"/>
        </w:rPr>
        <w:t xml:space="preserve"> howeve</w:t>
      </w:r>
      <w:r w:rsidR="00F03C6B" w:rsidRPr="00DD1B58">
        <w:rPr>
          <w:lang w:val="en-US"/>
        </w:rPr>
        <w:t xml:space="preserve">r, Sellafield acknowledges that this </w:t>
      </w:r>
      <w:r w:rsidR="003117AB" w:rsidRPr="00DD1B58">
        <w:rPr>
          <w:lang w:val="en-US"/>
        </w:rPr>
        <w:t xml:space="preserve">was generally focused </w:t>
      </w:r>
      <w:r w:rsidR="00427F52" w:rsidRPr="00DD1B58">
        <w:rPr>
          <w:lang w:val="en-US"/>
        </w:rPr>
        <w:t>o</w:t>
      </w:r>
      <w:r w:rsidR="003117AB" w:rsidRPr="00DD1B58">
        <w:rPr>
          <w:lang w:val="en-US"/>
        </w:rPr>
        <w:t>n life safety</w:t>
      </w:r>
      <w:r w:rsidR="00F550DA" w:rsidRPr="00DD1B58">
        <w:rPr>
          <w:lang w:val="en-US"/>
        </w:rPr>
        <w:t>.</w:t>
      </w:r>
      <w:r w:rsidR="003117AB" w:rsidRPr="00DD1B58">
        <w:rPr>
          <w:lang w:val="en-US"/>
        </w:rPr>
        <w:t xml:space="preserve"> </w:t>
      </w:r>
      <w:r w:rsidR="004668E0" w:rsidRPr="00DD1B58">
        <w:rPr>
          <w:lang w:val="en-US"/>
        </w:rPr>
        <w:t>Sellafield Ltd.</w:t>
      </w:r>
      <w:r w:rsidR="00F03C6B" w:rsidRPr="00DD1B58">
        <w:rPr>
          <w:lang w:val="en-US"/>
        </w:rPr>
        <w:t xml:space="preserve"> </w:t>
      </w:r>
      <w:r w:rsidR="006D798B" w:rsidRPr="00DD1B58">
        <w:rPr>
          <w:lang w:val="en-US"/>
        </w:rPr>
        <w:t>reports that</w:t>
      </w:r>
      <w:r w:rsidR="00F03C6B" w:rsidRPr="00DD1B58">
        <w:rPr>
          <w:lang w:val="en-US"/>
        </w:rPr>
        <w:t xml:space="preserve"> </w:t>
      </w:r>
      <w:r w:rsidR="003117AB" w:rsidRPr="00DD1B58">
        <w:rPr>
          <w:lang w:val="en-US"/>
        </w:rPr>
        <w:t>FSS</w:t>
      </w:r>
      <w:r w:rsidR="00F03C6B" w:rsidRPr="00DD1B58">
        <w:rPr>
          <w:lang w:val="en-US"/>
        </w:rPr>
        <w:t>s</w:t>
      </w:r>
      <w:r w:rsidR="003117AB" w:rsidRPr="00DD1B58">
        <w:rPr>
          <w:lang w:val="en-US"/>
        </w:rPr>
        <w:t xml:space="preserve"> now cover all holistic fire objectives: nuclear safety, life safety, property protection and how these are addressed. </w:t>
      </w:r>
      <w:r w:rsidR="00F03C6B" w:rsidRPr="00DD1B58">
        <w:rPr>
          <w:lang w:val="en-US"/>
        </w:rPr>
        <w:t xml:space="preserve">Sellafield develops FSSs </w:t>
      </w:r>
      <w:r w:rsidR="003117AB" w:rsidRPr="00DD1B58">
        <w:rPr>
          <w:lang w:val="en-US"/>
        </w:rPr>
        <w:t>by identifying the fire safety objectives specific to each facility and stipulating the measures (both physical and managerial) in place to ensure that these objectives are met, and therefore that people, property and nuclear safety are suitably protected from the effects of fire.</w:t>
      </w:r>
    </w:p>
    <w:p w14:paraId="5DFDDAED" w14:textId="2480CD12" w:rsidR="003117AB" w:rsidRPr="00DD1B58" w:rsidRDefault="003117AB" w:rsidP="003117AB">
      <w:pPr>
        <w:rPr>
          <w:lang w:val="en-US"/>
        </w:rPr>
      </w:pPr>
      <w:r w:rsidRPr="00DD1B58">
        <w:rPr>
          <w:lang w:val="en-US"/>
        </w:rPr>
        <w:t xml:space="preserve">The </w:t>
      </w:r>
      <w:r w:rsidR="00824214" w:rsidRPr="00DD1B58">
        <w:rPr>
          <w:lang w:val="en-US"/>
        </w:rPr>
        <w:t>FSS</w:t>
      </w:r>
      <w:r w:rsidRPr="00DD1B58">
        <w:rPr>
          <w:lang w:val="en-US"/>
        </w:rPr>
        <w:t xml:space="preserve"> identifies the nuclear fire safety objectives, standards, guidance and relevant good practice adopted, it provides a </w:t>
      </w:r>
      <w:r w:rsidR="00427F52" w:rsidRPr="00DD1B58">
        <w:rPr>
          <w:lang w:val="en-US"/>
        </w:rPr>
        <w:t>high-level</w:t>
      </w:r>
      <w:r w:rsidRPr="00DD1B58">
        <w:rPr>
          <w:lang w:val="en-US"/>
        </w:rPr>
        <w:t xml:space="preserve"> summary of the nuclear fire issues and ultimately references out to the detailed nuclear fire analysis that is found in the Nuclear Safety Case for the nuclear facility in question.</w:t>
      </w:r>
    </w:p>
    <w:p w14:paraId="6EC4A5AA" w14:textId="3EFE8679" w:rsidR="003117AB" w:rsidRPr="00DD1B58" w:rsidRDefault="004668E0" w:rsidP="003117AB">
      <w:pPr>
        <w:rPr>
          <w:lang w:val="en-US"/>
        </w:rPr>
      </w:pPr>
      <w:r w:rsidRPr="00DD1B58">
        <w:rPr>
          <w:lang w:val="en-US"/>
        </w:rPr>
        <w:t>Sellafield Ltd.</w:t>
      </w:r>
      <w:r w:rsidR="003117AB" w:rsidRPr="00DD1B58">
        <w:rPr>
          <w:lang w:val="en-US"/>
        </w:rPr>
        <w:t xml:space="preserve"> inten</w:t>
      </w:r>
      <w:r w:rsidR="00824214" w:rsidRPr="00DD1B58">
        <w:rPr>
          <w:lang w:val="en-US"/>
        </w:rPr>
        <w:t>ds the FSS</w:t>
      </w:r>
      <w:r w:rsidR="003117AB" w:rsidRPr="00DD1B58">
        <w:rPr>
          <w:lang w:val="en-US"/>
        </w:rPr>
        <w:t xml:space="preserve"> to be used by building management throughout the life of the building to ensure that the fire safety provisions are understood and remain in place and functional. The document includes Requirements and Managerial controls which are intended to highlight key components of the fire safety strategy requiring increased focus by plant management during the Fire Risk Assessment review/audit process and these are explicitly and conspicuously identified.</w:t>
      </w:r>
      <w:r w:rsidR="00940D2A" w:rsidRPr="00DD1B58">
        <w:rPr>
          <w:lang w:val="en-US"/>
        </w:rPr>
        <w:t xml:space="preserve"> </w:t>
      </w:r>
      <w:r w:rsidRPr="00DD1B58">
        <w:rPr>
          <w:lang w:val="en-US"/>
        </w:rPr>
        <w:t>Sellafield Ltd.</w:t>
      </w:r>
      <w:r w:rsidR="009A0E91" w:rsidRPr="00DD1B58">
        <w:rPr>
          <w:lang w:val="en-US"/>
        </w:rPr>
        <w:t xml:space="preserve"> considers this</w:t>
      </w:r>
      <w:r w:rsidR="003117AB" w:rsidRPr="00DD1B58">
        <w:rPr>
          <w:lang w:val="en-US"/>
        </w:rPr>
        <w:t xml:space="preserve"> particularly useful in buildings that are historic on the </w:t>
      </w:r>
      <w:r w:rsidR="00AA3ECC" w:rsidRPr="00DD1B58">
        <w:rPr>
          <w:lang w:val="en-US"/>
        </w:rPr>
        <w:t>Sellafield Site</w:t>
      </w:r>
      <w:r w:rsidR="003117AB" w:rsidRPr="00DD1B58">
        <w:rPr>
          <w:lang w:val="en-US"/>
        </w:rPr>
        <w:t xml:space="preserve"> and may not meet current design standards</w:t>
      </w:r>
      <w:r w:rsidR="009A0E91" w:rsidRPr="00DD1B58">
        <w:rPr>
          <w:lang w:val="en-US"/>
        </w:rPr>
        <w:t>;</w:t>
      </w:r>
      <w:r w:rsidR="003117AB" w:rsidRPr="00DD1B58">
        <w:rPr>
          <w:lang w:val="en-US"/>
        </w:rPr>
        <w:t xml:space="preserve"> it allows buildings to be upgraded to modern standards where proportionate and prioritises areas that may require these upgrades. </w:t>
      </w:r>
    </w:p>
    <w:p w14:paraId="6FB42CF9" w14:textId="27EB9852" w:rsidR="008B7575" w:rsidRPr="00DD1B58" w:rsidRDefault="004668E0" w:rsidP="003117AB">
      <w:pPr>
        <w:rPr>
          <w:lang w:val="en-US"/>
        </w:rPr>
      </w:pPr>
      <w:r w:rsidRPr="00DD1B58">
        <w:rPr>
          <w:lang w:val="en-US"/>
        </w:rPr>
        <w:t>Sellafield Ltd.</w:t>
      </w:r>
      <w:r w:rsidR="009A0E91" w:rsidRPr="00DD1B58">
        <w:rPr>
          <w:lang w:val="en-US"/>
        </w:rPr>
        <w:t xml:space="preserve"> acknowledges that FSS</w:t>
      </w:r>
      <w:r w:rsidR="003117AB" w:rsidRPr="00DD1B58">
        <w:rPr>
          <w:lang w:val="en-US"/>
        </w:rPr>
        <w:t xml:space="preserve"> are not currently available for all </w:t>
      </w:r>
      <w:r w:rsidR="00A84F36" w:rsidRPr="00DD1B58">
        <w:rPr>
          <w:lang w:val="en-US"/>
        </w:rPr>
        <w:t>n</w:t>
      </w:r>
      <w:r w:rsidR="003117AB" w:rsidRPr="00DD1B58">
        <w:rPr>
          <w:lang w:val="en-US"/>
        </w:rPr>
        <w:t>uclear facilities, however</w:t>
      </w:r>
      <w:r w:rsidR="009A0E91" w:rsidRPr="00DD1B58">
        <w:rPr>
          <w:lang w:val="en-US"/>
        </w:rPr>
        <w:t xml:space="preserve">, it has </w:t>
      </w:r>
      <w:r w:rsidR="003117AB" w:rsidRPr="00DD1B58">
        <w:rPr>
          <w:lang w:val="en-US"/>
        </w:rPr>
        <w:t xml:space="preserve">a programme of work recently established for their production </w:t>
      </w:r>
      <w:r w:rsidR="00427F52" w:rsidRPr="00DD1B58">
        <w:rPr>
          <w:lang w:val="en-US"/>
        </w:rPr>
        <w:t xml:space="preserve">and </w:t>
      </w:r>
      <w:r w:rsidR="009A0E91" w:rsidRPr="00DD1B58">
        <w:rPr>
          <w:lang w:val="en-US"/>
        </w:rPr>
        <w:t xml:space="preserve">they </w:t>
      </w:r>
      <w:r w:rsidR="003117AB" w:rsidRPr="00DD1B58">
        <w:rPr>
          <w:lang w:val="en-US"/>
        </w:rPr>
        <w:t xml:space="preserve">are being produced using a prioritised </w:t>
      </w:r>
      <w:r w:rsidR="003C4733" w:rsidRPr="00DD1B58">
        <w:rPr>
          <w:lang w:val="en-US"/>
        </w:rPr>
        <w:t>risk-based</w:t>
      </w:r>
      <w:r w:rsidR="003117AB" w:rsidRPr="00DD1B58">
        <w:rPr>
          <w:lang w:val="en-US"/>
        </w:rPr>
        <w:t xml:space="preserve"> approach. Key nuclear facilities are high priority on the list to be completed. For the plants in the scope of </w:t>
      </w:r>
      <w:r w:rsidR="007F35D9" w:rsidRPr="00DD1B58">
        <w:rPr>
          <w:lang w:val="en-US"/>
        </w:rPr>
        <w:t>TPR 2</w:t>
      </w:r>
      <w:r w:rsidR="00427F52" w:rsidRPr="00DD1B58">
        <w:rPr>
          <w:lang w:val="en-US"/>
        </w:rPr>
        <w:t>, there</w:t>
      </w:r>
      <w:r w:rsidR="003117AB" w:rsidRPr="00DD1B58">
        <w:rPr>
          <w:lang w:val="en-US"/>
        </w:rPr>
        <w:t xml:space="preserve"> is a FSS for Encapsulation Plants and Waste Vitrification Plants</w:t>
      </w:r>
      <w:r w:rsidR="001D61D5" w:rsidRPr="00DD1B58">
        <w:rPr>
          <w:lang w:val="en-US"/>
        </w:rPr>
        <w:t xml:space="preserve"> Lines 1&amp;2 with the FSS for WVP Line 3 currently in development</w:t>
      </w:r>
      <w:r w:rsidR="003117AB" w:rsidRPr="00DD1B58">
        <w:rPr>
          <w:lang w:val="en-US"/>
        </w:rPr>
        <w:t xml:space="preserve">. The strategies undergo scrutiny and review within internal committees and forums to ensure factual accuracy. </w:t>
      </w:r>
      <w:r w:rsidRPr="00DD1B58">
        <w:rPr>
          <w:lang w:val="en-US"/>
        </w:rPr>
        <w:t>Sellafield Ltd.</w:t>
      </w:r>
      <w:r w:rsidR="00094014" w:rsidRPr="00DD1B58">
        <w:rPr>
          <w:lang w:val="en-US"/>
        </w:rPr>
        <w:t xml:space="preserve"> reports that the </w:t>
      </w:r>
      <w:r w:rsidR="003117AB" w:rsidRPr="00DD1B58">
        <w:rPr>
          <w:lang w:val="en-US"/>
        </w:rPr>
        <w:t>plants have live</w:t>
      </w:r>
      <w:r w:rsidR="00094014" w:rsidRPr="00DD1B58">
        <w:rPr>
          <w:lang w:val="en-US"/>
        </w:rPr>
        <w:t>,</w:t>
      </w:r>
      <w:r w:rsidR="003117AB" w:rsidRPr="00DD1B58">
        <w:rPr>
          <w:lang w:val="en-US"/>
        </w:rPr>
        <w:t xml:space="preserve"> maintained analyses for Conventional Fire, Nuclear Fire, Internal Hazards, External Hazards, Process Fire and DSEAR. The remaining plants in scope of </w:t>
      </w:r>
      <w:r w:rsidR="007F35D9" w:rsidRPr="00DD1B58">
        <w:rPr>
          <w:lang w:val="en-US"/>
        </w:rPr>
        <w:t>TPR 2</w:t>
      </w:r>
      <w:r w:rsidR="003117AB" w:rsidRPr="00DD1B58">
        <w:rPr>
          <w:lang w:val="en-US"/>
        </w:rPr>
        <w:t xml:space="preserve"> are on </w:t>
      </w:r>
      <w:r w:rsidR="00094014" w:rsidRPr="00DD1B58">
        <w:rPr>
          <w:lang w:val="en-US"/>
        </w:rPr>
        <w:t xml:space="preserve">Sellafield’s </w:t>
      </w:r>
      <w:r w:rsidR="003117AB" w:rsidRPr="00DD1B58">
        <w:rPr>
          <w:lang w:val="en-US"/>
        </w:rPr>
        <w:t xml:space="preserve">programme of future </w:t>
      </w:r>
      <w:r w:rsidR="00094014" w:rsidRPr="00DD1B58">
        <w:rPr>
          <w:lang w:val="en-US"/>
        </w:rPr>
        <w:t>FSS</w:t>
      </w:r>
      <w:r w:rsidR="003117AB" w:rsidRPr="00DD1B58">
        <w:rPr>
          <w:lang w:val="en-US"/>
        </w:rPr>
        <w:t>s to be produced.</w:t>
      </w:r>
    </w:p>
    <w:p w14:paraId="6E2E4264" w14:textId="77777777" w:rsidR="00D813A6" w:rsidRPr="00DD1B58" w:rsidRDefault="00D813A6" w:rsidP="00177432">
      <w:pPr>
        <w:pStyle w:val="Heading5A"/>
        <w:numPr>
          <w:ilvl w:val="5"/>
          <w:numId w:val="7"/>
        </w:numPr>
        <w:rPr>
          <w:lang w:val="en-US"/>
        </w:rPr>
      </w:pPr>
      <w:r w:rsidRPr="00DD1B58">
        <w:rPr>
          <w:lang w:val="en-US"/>
        </w:rPr>
        <w:t>Firefighting capabilities, responsibilities, organisation and documentation onsite and offsite</w:t>
      </w:r>
    </w:p>
    <w:p w14:paraId="7FB5F2EE" w14:textId="77777777" w:rsidR="00F448BA" w:rsidRPr="00DD1B58" w:rsidRDefault="00F448BA" w:rsidP="00427F52">
      <w:pPr>
        <w:rPr>
          <w:b/>
          <w:lang w:val="en-US"/>
        </w:rPr>
      </w:pPr>
      <w:r w:rsidRPr="00DD1B58">
        <w:rPr>
          <w:b/>
          <w:lang w:val="en-US"/>
        </w:rPr>
        <w:t>Procedures</w:t>
      </w:r>
    </w:p>
    <w:p w14:paraId="0235975D" w14:textId="5B12FF08" w:rsidR="00F448BA" w:rsidRPr="00DD1B58" w:rsidRDefault="004668E0" w:rsidP="00F448BA">
      <w:pPr>
        <w:rPr>
          <w:lang w:val="en-US"/>
        </w:rPr>
      </w:pPr>
      <w:r w:rsidRPr="00DD1B58">
        <w:rPr>
          <w:lang w:val="en-US"/>
        </w:rPr>
        <w:t>Sellafield Ltd.</w:t>
      </w:r>
      <w:r w:rsidR="004B49C3" w:rsidRPr="00DD1B58">
        <w:rPr>
          <w:lang w:val="en-US"/>
        </w:rPr>
        <w:t xml:space="preserve"> ha</w:t>
      </w:r>
      <w:r w:rsidR="00F03F72" w:rsidRPr="00DD1B58">
        <w:rPr>
          <w:lang w:val="en-US"/>
        </w:rPr>
        <w:t>s</w:t>
      </w:r>
      <w:r w:rsidR="004B49C3" w:rsidRPr="00DD1B58">
        <w:rPr>
          <w:lang w:val="en-US"/>
        </w:rPr>
        <w:t xml:space="preserve"> seconded a Fire Officer from Cumbria Fire &amp; Rescue service to create a new suite of operational response documents which are subject to a review process. These documents are created in the same format as local authority fire service documents. Sellafield Fire &amp; Rescue Service (SF&amp;RS) have an electronic competence management and recording system where SF&amp;RS personnel manage any training records.</w:t>
      </w:r>
      <w:r w:rsidR="00F448BA" w:rsidRPr="00DD1B58">
        <w:rPr>
          <w:lang w:val="en-US"/>
        </w:rPr>
        <w:t xml:space="preserve"> </w:t>
      </w:r>
    </w:p>
    <w:p w14:paraId="5CFC8AD9" w14:textId="7AD3DF95" w:rsidR="00F448BA" w:rsidRPr="00DD1B58" w:rsidRDefault="004668E0" w:rsidP="00F448BA">
      <w:pPr>
        <w:rPr>
          <w:lang w:val="en-US"/>
        </w:rPr>
      </w:pPr>
      <w:r w:rsidRPr="00DD1B58">
        <w:rPr>
          <w:lang w:val="en-US"/>
        </w:rPr>
        <w:t>Sellafield Ltd.</w:t>
      </w:r>
      <w:r w:rsidR="0060285B" w:rsidRPr="00DD1B58">
        <w:rPr>
          <w:lang w:val="en-US"/>
        </w:rPr>
        <w:t xml:space="preserve"> </w:t>
      </w:r>
      <w:r w:rsidR="006D798B" w:rsidRPr="00DD1B58">
        <w:rPr>
          <w:lang w:val="en-US"/>
        </w:rPr>
        <w:t>reports that</w:t>
      </w:r>
      <w:r w:rsidR="0060285B" w:rsidRPr="00DD1B58">
        <w:rPr>
          <w:lang w:val="en-US"/>
        </w:rPr>
        <w:t xml:space="preserve"> </w:t>
      </w:r>
      <w:r w:rsidR="00F448BA" w:rsidRPr="00DD1B58">
        <w:rPr>
          <w:lang w:val="en-US"/>
        </w:rPr>
        <w:t>SF&amp;RS have an emergency response document governance group that reviews any changes to any emergency response documents. The documents are version controlled and subject to a periodic review process.</w:t>
      </w:r>
      <w:r w:rsidR="00940D2A" w:rsidRPr="00DD1B58">
        <w:rPr>
          <w:lang w:val="en-US"/>
        </w:rPr>
        <w:t xml:space="preserve"> </w:t>
      </w:r>
      <w:r w:rsidR="00F448BA" w:rsidRPr="00DD1B58">
        <w:rPr>
          <w:lang w:val="en-US"/>
        </w:rPr>
        <w:t xml:space="preserve">Any documents relating to Fire Safety within the </w:t>
      </w:r>
      <w:r w:rsidRPr="00DD1B58">
        <w:rPr>
          <w:lang w:val="en-US"/>
        </w:rPr>
        <w:t xml:space="preserve">Sellafield Ltd. </w:t>
      </w:r>
      <w:r w:rsidR="00F448BA" w:rsidRPr="00DD1B58">
        <w:rPr>
          <w:lang w:val="en-US"/>
        </w:rPr>
        <w:t xml:space="preserve">Management System, including a suite of documents owned by Fire Protection, go through a thorough review and scrutiny process ensuring stakeholders affected by the processes are consulted. </w:t>
      </w:r>
    </w:p>
    <w:p w14:paraId="5F678C49" w14:textId="321158D3" w:rsidR="00F448BA" w:rsidRPr="00DD1B58" w:rsidRDefault="004668E0" w:rsidP="00F448BA">
      <w:pPr>
        <w:rPr>
          <w:lang w:val="en-US"/>
        </w:rPr>
      </w:pPr>
      <w:r w:rsidRPr="00DD1B58">
        <w:rPr>
          <w:lang w:val="en-US"/>
        </w:rPr>
        <w:t>Sellafield Ltd.</w:t>
      </w:r>
      <w:r w:rsidR="0060285B" w:rsidRPr="00DD1B58">
        <w:rPr>
          <w:lang w:val="en-US"/>
        </w:rPr>
        <w:t xml:space="preserve"> </w:t>
      </w:r>
      <w:r w:rsidR="006D798B" w:rsidRPr="00DD1B58">
        <w:rPr>
          <w:lang w:val="en-US"/>
        </w:rPr>
        <w:t>reports that</w:t>
      </w:r>
      <w:r w:rsidR="0060285B" w:rsidRPr="00DD1B58">
        <w:rPr>
          <w:lang w:val="en-US"/>
        </w:rPr>
        <w:t xml:space="preserve"> </w:t>
      </w:r>
      <w:r w:rsidR="00F448BA" w:rsidRPr="00DD1B58">
        <w:rPr>
          <w:lang w:val="en-US"/>
        </w:rPr>
        <w:t xml:space="preserve">Tactical Information Plans (TIPs) and Site-Specific Risk Information (SSRI) </w:t>
      </w:r>
      <w:r w:rsidR="00250716" w:rsidRPr="00DD1B58">
        <w:rPr>
          <w:lang w:val="en-US"/>
        </w:rPr>
        <w:t xml:space="preserve">are </w:t>
      </w:r>
      <w:r w:rsidR="00F448BA" w:rsidRPr="00DD1B58">
        <w:rPr>
          <w:lang w:val="en-US"/>
        </w:rPr>
        <w:t xml:space="preserve">owned by SF&amp;RS and ensures they have a clear understanding and familiarisation with the facilities on the site. </w:t>
      </w:r>
      <w:r w:rsidR="00250716" w:rsidRPr="00DD1B58">
        <w:rPr>
          <w:lang w:val="en-US"/>
        </w:rPr>
        <w:t xml:space="preserve">It also </w:t>
      </w:r>
      <w:r w:rsidR="006D798B" w:rsidRPr="00DD1B58">
        <w:rPr>
          <w:lang w:val="en-US"/>
        </w:rPr>
        <w:t>states that</w:t>
      </w:r>
      <w:r w:rsidR="00250716" w:rsidRPr="00DD1B58">
        <w:rPr>
          <w:lang w:val="en-US"/>
        </w:rPr>
        <w:t xml:space="preserve"> there </w:t>
      </w:r>
      <w:r w:rsidR="00F448BA" w:rsidRPr="00DD1B58">
        <w:rPr>
          <w:lang w:val="en-US"/>
        </w:rPr>
        <w:t>is a rolling programme to ensure these are updated and familiarisation visits with the fire crews take place to maintain competence.</w:t>
      </w:r>
    </w:p>
    <w:p w14:paraId="227DBB1E" w14:textId="77777777" w:rsidR="00427F52" w:rsidRPr="00DD1B58" w:rsidRDefault="00F448BA" w:rsidP="00427F52">
      <w:pPr>
        <w:rPr>
          <w:b/>
          <w:lang w:val="en-US"/>
        </w:rPr>
      </w:pPr>
      <w:r w:rsidRPr="00DD1B58">
        <w:rPr>
          <w:b/>
          <w:lang w:val="en-US"/>
        </w:rPr>
        <w:t>Drills and Exercises</w:t>
      </w:r>
    </w:p>
    <w:p w14:paraId="4C802545" w14:textId="32D25B59" w:rsidR="00086464" w:rsidRPr="00DD1B58" w:rsidRDefault="00250716" w:rsidP="00086464">
      <w:pPr>
        <w:rPr>
          <w:lang w:val="en-US"/>
        </w:rPr>
      </w:pPr>
      <w:r w:rsidRPr="00DD1B58">
        <w:rPr>
          <w:lang w:val="en-US"/>
        </w:rPr>
        <w:t xml:space="preserve">The Emergency Management capability within Sellafield’s Security and Resilience department has produced a </w:t>
      </w:r>
      <w:r w:rsidR="00086464" w:rsidRPr="00DD1B58">
        <w:rPr>
          <w:lang w:val="en-US"/>
        </w:rPr>
        <w:t>drill and exercise manual</w:t>
      </w:r>
      <w:r w:rsidRPr="00DD1B58">
        <w:rPr>
          <w:lang w:val="en-US"/>
        </w:rPr>
        <w:t>,</w:t>
      </w:r>
      <w:r w:rsidR="00086464" w:rsidRPr="00DD1B58">
        <w:rPr>
          <w:lang w:val="en-US"/>
        </w:rPr>
        <w:t xml:space="preserve"> relevant for all parts of the organisation</w:t>
      </w:r>
      <w:r w:rsidRPr="00DD1B58">
        <w:rPr>
          <w:lang w:val="en-US"/>
        </w:rPr>
        <w:t xml:space="preserve">. The document </w:t>
      </w:r>
      <w:r w:rsidR="00086464" w:rsidRPr="00DD1B58">
        <w:rPr>
          <w:lang w:val="en-US"/>
        </w:rPr>
        <w:t>includes accountabilities, types of drills and exercises, planning requirements and implementation.</w:t>
      </w:r>
      <w:r w:rsidR="00636853" w:rsidRPr="00DD1B58">
        <w:rPr>
          <w:lang w:val="en-US"/>
        </w:rPr>
        <w:t xml:space="preserve"> Sellafield report</w:t>
      </w:r>
      <w:r w:rsidR="00496C8D" w:rsidRPr="00DD1B58">
        <w:rPr>
          <w:lang w:val="en-US"/>
        </w:rPr>
        <w:t>s</w:t>
      </w:r>
      <w:r w:rsidR="00636853" w:rsidRPr="00DD1B58">
        <w:rPr>
          <w:lang w:val="en-US"/>
        </w:rPr>
        <w:t xml:space="preserve"> the following main considerations associated to drills and exercises. NB. They are reproduced literally from </w:t>
      </w:r>
      <w:r w:rsidR="00D33E87" w:rsidRPr="00DD1B58">
        <w:rPr>
          <w:lang w:val="en-US"/>
        </w:rPr>
        <w:t>Sellafield Ltd.’s</w:t>
      </w:r>
      <w:r w:rsidR="00636853" w:rsidRPr="00DD1B58">
        <w:rPr>
          <w:lang w:val="en-US"/>
        </w:rPr>
        <w:t xml:space="preserve"> self-assessment report:</w:t>
      </w:r>
    </w:p>
    <w:p w14:paraId="6B22AAD2" w14:textId="77777777" w:rsidR="00086464" w:rsidRPr="00DD1B58" w:rsidRDefault="00086464" w:rsidP="00973FF4">
      <w:pPr>
        <w:pStyle w:val="Bulletlist1"/>
        <w:rPr>
          <w:lang w:val="en-US"/>
        </w:rPr>
      </w:pPr>
      <w:r w:rsidRPr="00DD1B58">
        <w:rPr>
          <w:lang w:val="en-US"/>
        </w:rPr>
        <w:t xml:space="preserve">SF&amp;RS have an Officer aligned to the site drills and exercise group with the reference to facilitate SF&amp;RS involvement in site exercises and training events. Emergency Planners are aligned to the Value Streams and plan drills and exercises in accordance with the hazards associated with the facilities within those Value Streams. There are varying levels of exercise from plant level training to full site emergency exercises. There is a five year rolling drills &amp; exercises programme, coordinated with the Sellafield Executive and ONR have an input to this. </w:t>
      </w:r>
    </w:p>
    <w:p w14:paraId="2C002391" w14:textId="77777777" w:rsidR="00086464" w:rsidRPr="00DD1B58" w:rsidRDefault="00086464" w:rsidP="00973FF4">
      <w:pPr>
        <w:pStyle w:val="Bulletlist1"/>
        <w:rPr>
          <w:lang w:val="en-US"/>
        </w:rPr>
      </w:pPr>
      <w:r w:rsidRPr="00DD1B58">
        <w:rPr>
          <w:lang w:val="en-US"/>
        </w:rPr>
        <w:t xml:space="preserve">Evaluation of drills and exercises are conducted using objective performance criteria and involves assessment of each participant/function/organisation’s ability to demonstrate its identified objectives and capabilities during the drill/exercise. A formal report is written to document any good practices, </w:t>
      </w:r>
      <w:r w:rsidR="00941549" w:rsidRPr="00DD1B58">
        <w:rPr>
          <w:lang w:val="en-US"/>
        </w:rPr>
        <w:t>deficiencies</w:t>
      </w:r>
      <w:r w:rsidRPr="00DD1B58">
        <w:rPr>
          <w:lang w:val="en-US"/>
        </w:rPr>
        <w:t xml:space="preserve"> that require corrective action and any other noteworthy issues. These reports are kept for three years then destroyed.</w:t>
      </w:r>
    </w:p>
    <w:p w14:paraId="1C612D19" w14:textId="77777777" w:rsidR="007E0255" w:rsidRPr="00DD1B58" w:rsidRDefault="007E0255" w:rsidP="00973FF4">
      <w:pPr>
        <w:pStyle w:val="Bulletlist1"/>
        <w:rPr>
          <w:lang w:val="en-US"/>
        </w:rPr>
      </w:pPr>
      <w:r w:rsidRPr="00DD1B58">
        <w:rPr>
          <w:lang w:val="en-US"/>
        </w:rPr>
        <w:t xml:space="preserve">Fire evacuation exercises are carried out every 12 months in every facility. Building Managers act as the Competent Person to arrange and facilitate the unannounced exercises. Objectives of the drill are to provide staff with practical training, test management procedures, identify any strengths or weaknesses in the procedures and rehearse joint action with SF&amp;RS. </w:t>
      </w:r>
    </w:p>
    <w:p w14:paraId="570BCD21" w14:textId="77777777" w:rsidR="007E0255" w:rsidRPr="00DD1B58" w:rsidRDefault="007E0255" w:rsidP="00973FF4">
      <w:pPr>
        <w:pStyle w:val="Bulletlist1"/>
        <w:rPr>
          <w:lang w:val="en-US"/>
        </w:rPr>
      </w:pPr>
      <w:r w:rsidRPr="00DD1B58">
        <w:rPr>
          <w:lang w:val="en-US"/>
        </w:rPr>
        <w:t xml:space="preserve">Any exercises that fail the requirements below, require a condition report to be raised to make the findings visible and the building will be re-tested. </w:t>
      </w:r>
    </w:p>
    <w:p w14:paraId="7AC95BE7" w14:textId="77777777" w:rsidR="007E0255" w:rsidRPr="00DD1B58" w:rsidRDefault="007E0255" w:rsidP="00973FF4">
      <w:pPr>
        <w:pStyle w:val="Bulletlist2"/>
        <w:rPr>
          <w:lang w:val="en-US"/>
        </w:rPr>
      </w:pPr>
      <w:r w:rsidRPr="00DD1B58">
        <w:rPr>
          <w:lang w:val="en-US"/>
        </w:rPr>
        <w:t>Not all persons evacuated from building</w:t>
      </w:r>
    </w:p>
    <w:p w14:paraId="19D7A2DC" w14:textId="77777777" w:rsidR="007E0255" w:rsidRPr="00DD1B58" w:rsidRDefault="007E0255" w:rsidP="00973FF4">
      <w:pPr>
        <w:pStyle w:val="Bulletlist2"/>
        <w:rPr>
          <w:lang w:val="en-US"/>
        </w:rPr>
      </w:pPr>
      <w:r w:rsidRPr="00DD1B58">
        <w:rPr>
          <w:lang w:val="en-US"/>
        </w:rPr>
        <w:t>Personnel re-entering building while alarms still sounding</w:t>
      </w:r>
    </w:p>
    <w:p w14:paraId="008F81CE" w14:textId="77777777" w:rsidR="007E0255" w:rsidRPr="00DD1B58" w:rsidRDefault="007E0255" w:rsidP="00973FF4">
      <w:pPr>
        <w:pStyle w:val="Bulletlist2"/>
        <w:rPr>
          <w:lang w:val="en-US"/>
        </w:rPr>
      </w:pPr>
      <w:r w:rsidRPr="00DD1B58">
        <w:rPr>
          <w:lang w:val="en-US"/>
        </w:rPr>
        <w:t>Roll call exceeds 10 minutes when undertaken</w:t>
      </w:r>
    </w:p>
    <w:p w14:paraId="1C7371F0" w14:textId="77777777" w:rsidR="008A7E2A" w:rsidRPr="00DD1B58" w:rsidRDefault="007E0255" w:rsidP="00973FF4">
      <w:pPr>
        <w:pStyle w:val="Bulletlist2"/>
        <w:rPr>
          <w:lang w:val="en-US"/>
        </w:rPr>
      </w:pPr>
      <w:r w:rsidRPr="00DD1B58">
        <w:rPr>
          <w:lang w:val="en-US"/>
        </w:rPr>
        <w:t>Excessive evacuation time</w:t>
      </w:r>
    </w:p>
    <w:p w14:paraId="13E6BD36" w14:textId="7031CB1A" w:rsidR="00A04DC2" w:rsidRPr="00DD1B58" w:rsidRDefault="004668E0" w:rsidP="00A04DC2">
      <w:pPr>
        <w:pStyle w:val="Bulletlist1"/>
        <w:numPr>
          <w:ilvl w:val="0"/>
          <w:numId w:val="0"/>
        </w:numPr>
        <w:rPr>
          <w:lang w:val="en-US"/>
        </w:rPr>
      </w:pPr>
      <w:r w:rsidRPr="00DD1B58">
        <w:rPr>
          <w:lang w:val="en-US"/>
        </w:rPr>
        <w:t>Sellafield Ltd.</w:t>
      </w:r>
      <w:r w:rsidR="00A04DC2" w:rsidRPr="00DD1B58">
        <w:rPr>
          <w:lang w:val="en-US"/>
        </w:rPr>
        <w:t xml:space="preserve"> run</w:t>
      </w:r>
      <w:r w:rsidR="00F03F72" w:rsidRPr="00DD1B58">
        <w:rPr>
          <w:lang w:val="en-US"/>
        </w:rPr>
        <w:t>s</w:t>
      </w:r>
      <w:r w:rsidR="00A04DC2" w:rsidRPr="00DD1B58">
        <w:rPr>
          <w:lang w:val="en-US"/>
        </w:rPr>
        <w:t xml:space="preserve"> two ONR witnessed level one exercises per year, one is a safety related exercise and the other a security related exercise. There are a range of topics covered during the emergency exercises such as loss of steam, cyber attack and fire. </w:t>
      </w:r>
    </w:p>
    <w:p w14:paraId="15F5885D" w14:textId="3F8399F8" w:rsidR="00A04DC2" w:rsidRPr="00DD1B58" w:rsidRDefault="00D33E87" w:rsidP="00A04DC2">
      <w:pPr>
        <w:rPr>
          <w:lang w:val="en-US"/>
        </w:rPr>
      </w:pPr>
      <w:r w:rsidRPr="00DD1B58">
        <w:rPr>
          <w:lang w:val="en-US"/>
        </w:rPr>
        <w:t>Sellafield Ltd.’s</w:t>
      </w:r>
      <w:r w:rsidR="00A04DC2" w:rsidRPr="00DD1B58">
        <w:rPr>
          <w:lang w:val="en-US"/>
        </w:rPr>
        <w:t xml:space="preserve"> Unified </w:t>
      </w:r>
      <w:r w:rsidR="00F03F72" w:rsidRPr="00DD1B58">
        <w:rPr>
          <w:lang w:val="en-US"/>
        </w:rPr>
        <w:t>Command</w:t>
      </w:r>
      <w:r w:rsidR="00A04DC2" w:rsidRPr="00DD1B58">
        <w:rPr>
          <w:lang w:val="en-US"/>
        </w:rPr>
        <w:t xml:space="preserve"> and Control framework is underpinned by the principles outlined in the UK Joint Emergency Services Interoperability Programme. Sellafield has both an on-site command and control facility and an off-site location, either of which can be manned during in an emergency or an exercise scenario. Emergency duty teams operate on a rota utilising stakeholders from a wide range of disciplines and technical experts within the </w:t>
      </w:r>
      <w:r w:rsidR="00F03F72" w:rsidRPr="00DD1B58">
        <w:rPr>
          <w:lang w:val="en-US"/>
        </w:rPr>
        <w:t>business</w:t>
      </w:r>
      <w:r w:rsidR="00A04DC2" w:rsidRPr="00DD1B58">
        <w:rPr>
          <w:lang w:val="en-US"/>
        </w:rPr>
        <w:t xml:space="preserve"> to enable Sellafield to respond to an accident or incident. The Emergency Duty teams are subject to exercises on a regular basis.</w:t>
      </w:r>
    </w:p>
    <w:p w14:paraId="077D1B69" w14:textId="77777777" w:rsidR="007B1D1C" w:rsidRPr="00DD1B58" w:rsidRDefault="0012535B" w:rsidP="00086464">
      <w:pPr>
        <w:rPr>
          <w:b/>
          <w:lang w:val="en-US"/>
        </w:rPr>
      </w:pPr>
      <w:r w:rsidRPr="00DD1B58">
        <w:rPr>
          <w:b/>
          <w:lang w:val="en-US"/>
        </w:rPr>
        <w:t>EMIT schedules and activities</w:t>
      </w:r>
    </w:p>
    <w:p w14:paraId="65914F24" w14:textId="110EA4B0" w:rsidR="001A040F" w:rsidRPr="00DD1B58" w:rsidRDefault="001A040F" w:rsidP="001A040F">
      <w:pPr>
        <w:rPr>
          <w:lang w:val="en-US"/>
        </w:rPr>
      </w:pPr>
      <w:r w:rsidRPr="00DD1B58">
        <w:rPr>
          <w:lang w:val="en-US"/>
        </w:rPr>
        <w:t>For operational equipment, EMI&amp;T Schedules are set by a pre</w:t>
      </w:r>
      <w:r w:rsidR="001A4A5A" w:rsidRPr="00DD1B58">
        <w:rPr>
          <w:lang w:val="en-US"/>
        </w:rPr>
        <w:t>-</w:t>
      </w:r>
      <w:r w:rsidRPr="00DD1B58">
        <w:rPr>
          <w:lang w:val="en-US"/>
        </w:rPr>
        <w:t>ops team who will evaluate schedules based on the manufacturers’ maintenance requirement for the equipment and the statutory inspection requirements for equipment that is subject to external verifications such as Lifting Regulations.</w:t>
      </w:r>
    </w:p>
    <w:p w14:paraId="1295FEEC" w14:textId="77777777" w:rsidR="001A040F" w:rsidRPr="00DD1B58" w:rsidRDefault="001A040F" w:rsidP="001A040F">
      <w:pPr>
        <w:rPr>
          <w:lang w:val="en-US"/>
        </w:rPr>
      </w:pPr>
      <w:r w:rsidRPr="00DD1B58">
        <w:rPr>
          <w:lang w:val="en-US"/>
        </w:rPr>
        <w:t>There is a site Computerised Maintenance Management System (CMMS) where all EMI&amp;T jobs are managed across the site. Assets within the system are all tagged to allow the system to be navigated by asset or building. SF&amp;RS also use an internal periodic inspection process for their own routine operational equipment checks and inventory inspections.</w:t>
      </w:r>
    </w:p>
    <w:p w14:paraId="1F614FA5" w14:textId="146F4D83" w:rsidR="001A040F" w:rsidRPr="00DD1B58" w:rsidRDefault="001A040F" w:rsidP="001A040F">
      <w:pPr>
        <w:rPr>
          <w:lang w:val="en-US"/>
        </w:rPr>
      </w:pPr>
      <w:r w:rsidRPr="00DD1B58">
        <w:rPr>
          <w:lang w:val="en-US"/>
        </w:rPr>
        <w:t xml:space="preserve">Licence Condition 28 of </w:t>
      </w:r>
      <w:r w:rsidR="004668E0" w:rsidRPr="00DD1B58">
        <w:rPr>
          <w:lang w:val="en-US"/>
        </w:rPr>
        <w:t xml:space="preserve">Sellafield Ltd. </w:t>
      </w:r>
      <w:r w:rsidRPr="00DD1B58">
        <w:rPr>
          <w:lang w:val="en-US"/>
        </w:rPr>
        <w:t xml:space="preserve">Site Licence is ‘Examination, Inspection, Maintenance &amp; Testing’ and states that a Plant Maintenance Schedule (PMS) must be in place for each plant. CMMS schedules jobs and tracks completion, requiring the person completing the maintenance to record any findings and confirm the job has been completed. Failure to comply with the PMS is reportable to the ONR. </w:t>
      </w:r>
    </w:p>
    <w:p w14:paraId="73393159" w14:textId="70630BFB" w:rsidR="001A040F" w:rsidRPr="00DD1B58" w:rsidRDefault="001A4A5A" w:rsidP="001A040F">
      <w:pPr>
        <w:rPr>
          <w:lang w:val="en-US"/>
        </w:rPr>
      </w:pPr>
      <w:r w:rsidRPr="00DD1B58">
        <w:rPr>
          <w:lang w:val="en-US"/>
        </w:rPr>
        <w:t xml:space="preserve">Sellafield reports that maintenance </w:t>
      </w:r>
      <w:r w:rsidR="001A040F" w:rsidRPr="00DD1B58">
        <w:rPr>
          <w:lang w:val="en-US"/>
        </w:rPr>
        <w:t xml:space="preserve">Instructions are in place, </w:t>
      </w:r>
      <w:r w:rsidRPr="00DD1B58">
        <w:rPr>
          <w:lang w:val="en-US"/>
        </w:rPr>
        <w:t xml:space="preserve">and they </w:t>
      </w:r>
      <w:r w:rsidR="001A040F" w:rsidRPr="00DD1B58">
        <w:rPr>
          <w:lang w:val="en-US"/>
        </w:rPr>
        <w:t>are usually plant</w:t>
      </w:r>
      <w:r w:rsidRPr="00DD1B58">
        <w:rPr>
          <w:lang w:val="en-US"/>
        </w:rPr>
        <w:t>-</w:t>
      </w:r>
      <w:r w:rsidR="001A040F" w:rsidRPr="00DD1B58">
        <w:rPr>
          <w:lang w:val="en-US"/>
        </w:rPr>
        <w:t xml:space="preserve">specific for fire protection assets within a building. For example, Encapsulation Plants have a specific Maintenance Instruction for maintenance of the Fire Alarm &amp; Detection System. This instruction details the frequency, requirements and recording process for all maintenance of the fire alarm system in this building. </w:t>
      </w:r>
    </w:p>
    <w:p w14:paraId="74271D50" w14:textId="22CF9F16" w:rsidR="001A040F" w:rsidRPr="00DD1B58" w:rsidRDefault="001A040F" w:rsidP="001A040F">
      <w:pPr>
        <w:rPr>
          <w:lang w:val="en-US"/>
        </w:rPr>
      </w:pPr>
      <w:r w:rsidRPr="00DD1B58">
        <w:rPr>
          <w:lang w:val="en-US"/>
        </w:rPr>
        <w:t>Fire Safety</w:t>
      </w:r>
      <w:r w:rsidR="001A4A5A" w:rsidRPr="00DD1B58">
        <w:rPr>
          <w:lang w:val="en-US"/>
        </w:rPr>
        <w:t>-</w:t>
      </w:r>
      <w:r w:rsidRPr="00DD1B58">
        <w:rPr>
          <w:lang w:val="en-US"/>
        </w:rPr>
        <w:t xml:space="preserve">related maintenance records are requested during Fire Risk Assessment reviews and any overdue maintenance is queried by the Fire Risk Assessor, particularly if the fire safety system is in place for Nuclear Safety or Life Safety reasons e.g. Fire Dampers that have not been maintained. If any issues are found, this is raised as an action and responded to appropriately. </w:t>
      </w:r>
    </w:p>
    <w:p w14:paraId="1B9C7B2E" w14:textId="1216CF0F" w:rsidR="001A040F" w:rsidRPr="00DD1B58" w:rsidRDefault="001A040F" w:rsidP="001A040F">
      <w:pPr>
        <w:rPr>
          <w:lang w:val="en-US"/>
        </w:rPr>
      </w:pPr>
      <w:r w:rsidRPr="00DD1B58">
        <w:rPr>
          <w:lang w:val="en-US"/>
        </w:rPr>
        <w:t>Statutory maintenance is recorded via the sites Computerised Maintenance Management System (CMMS) that schedules and records all maintenance activities centrally. All assets are recorded on a parent and child protocol flowing down from Operating Units, to buildings, individual capabilities and individual items. Each individual asset is given an identifying TAG number. The CMMS data base contains the data that is used to record maintenance and statistics for equipment to ensure compliance.</w:t>
      </w:r>
      <w:r w:rsidR="00940D2A" w:rsidRPr="00DD1B58">
        <w:rPr>
          <w:lang w:val="en-US"/>
        </w:rPr>
        <w:t xml:space="preserve"> </w:t>
      </w:r>
    </w:p>
    <w:p w14:paraId="5D2E4397" w14:textId="77777777" w:rsidR="00BF5E0D" w:rsidRPr="00DD1B58" w:rsidRDefault="00BF5E0D" w:rsidP="00BF5E0D">
      <w:pPr>
        <w:rPr>
          <w:lang w:val="en-US"/>
        </w:rPr>
      </w:pPr>
      <w:r w:rsidRPr="00DD1B58">
        <w:rPr>
          <w:lang w:val="en-US"/>
        </w:rPr>
        <w:t>The work week managers for the Operating Unit will schedule the EMIT activity for an asset and issue a prompt card to the relevant area, the EMIT work is either completed, non-delivered if the asset or service provider isn’t available or if defects are found a further work order prompt is generated to rectify the fault.</w:t>
      </w:r>
    </w:p>
    <w:p w14:paraId="095506D0" w14:textId="71F3A793" w:rsidR="001A040F" w:rsidRPr="00DD1B58" w:rsidRDefault="004668E0" w:rsidP="001A040F">
      <w:pPr>
        <w:rPr>
          <w:lang w:val="en-US"/>
        </w:rPr>
      </w:pPr>
      <w:r w:rsidRPr="00DD1B58">
        <w:rPr>
          <w:lang w:val="en-US"/>
        </w:rPr>
        <w:t xml:space="preserve">Sellafield Ltd. </w:t>
      </w:r>
      <w:r w:rsidR="006D798B" w:rsidRPr="00DD1B58">
        <w:rPr>
          <w:lang w:val="en-US"/>
        </w:rPr>
        <w:t>states that</w:t>
      </w:r>
      <w:r w:rsidR="00B50659" w:rsidRPr="00DD1B58">
        <w:rPr>
          <w:lang w:val="en-US"/>
        </w:rPr>
        <w:t xml:space="preserve"> a </w:t>
      </w:r>
      <w:r w:rsidR="001A040F" w:rsidRPr="00DD1B58">
        <w:rPr>
          <w:lang w:val="en-US"/>
        </w:rPr>
        <w:t xml:space="preserve">sitewide dashboard is in development to track fire protection system EMIT activities and address any overdue maintenance. </w:t>
      </w:r>
    </w:p>
    <w:p w14:paraId="11985B2D" w14:textId="7BEA0661" w:rsidR="00277CD2" w:rsidRPr="00DD1B58" w:rsidRDefault="00277CD2" w:rsidP="001A040F">
      <w:pPr>
        <w:rPr>
          <w:b/>
          <w:lang w:val="en-US"/>
        </w:rPr>
      </w:pPr>
      <w:r w:rsidRPr="00DD1B58">
        <w:rPr>
          <w:b/>
          <w:lang w:val="en-US"/>
        </w:rPr>
        <w:t>Onsite firefighting capability and interface with off-site</w:t>
      </w:r>
      <w:r w:rsidR="007C3F42" w:rsidRPr="00DD1B58">
        <w:rPr>
          <w:b/>
          <w:lang w:val="en-US"/>
        </w:rPr>
        <w:t>/</w:t>
      </w:r>
      <w:r w:rsidRPr="00DD1B58">
        <w:rPr>
          <w:b/>
          <w:lang w:val="en-US"/>
        </w:rPr>
        <w:t>local fire services.</w:t>
      </w:r>
    </w:p>
    <w:p w14:paraId="1CEE90EF" w14:textId="11038C2A" w:rsidR="00EE2331" w:rsidRPr="00DD1B58" w:rsidRDefault="004668E0" w:rsidP="00EE2331">
      <w:pPr>
        <w:rPr>
          <w:lang w:val="en-US"/>
        </w:rPr>
      </w:pPr>
      <w:r w:rsidRPr="00DD1B58">
        <w:rPr>
          <w:lang w:val="en-US"/>
        </w:rPr>
        <w:t>Sellafield Ltd.</w:t>
      </w:r>
      <w:r w:rsidR="00BF5E0D" w:rsidRPr="00DD1B58">
        <w:rPr>
          <w:lang w:val="en-US"/>
        </w:rPr>
        <w:t xml:space="preserve"> </w:t>
      </w:r>
      <w:r w:rsidR="006D798B" w:rsidRPr="00DD1B58">
        <w:rPr>
          <w:lang w:val="en-US"/>
        </w:rPr>
        <w:t>reports that</w:t>
      </w:r>
      <w:r w:rsidR="00BF5E0D" w:rsidRPr="00DD1B58">
        <w:rPr>
          <w:lang w:val="en-US"/>
        </w:rPr>
        <w:t xml:space="preserve"> </w:t>
      </w:r>
      <w:r w:rsidR="00EE2331" w:rsidRPr="00DD1B58">
        <w:rPr>
          <w:lang w:val="en-US"/>
        </w:rPr>
        <w:t xml:space="preserve">SF&amp;RS have a modern professional fire service permanently based on site with an overall operational staffing level of 86 personnel. This Operates on a shift basis covering 24 hours a day. There is a Chief Fire Officer for the Fire Service. All SF&amp;RS Officers receive training and certification in incident command. Officers with more responsibilities such as Watch Manager or Station Managers carry out additional training. </w:t>
      </w:r>
    </w:p>
    <w:p w14:paraId="073AF486" w14:textId="77777777" w:rsidR="00277CD2" w:rsidRPr="00DD1B58" w:rsidRDefault="00EE2331" w:rsidP="00EE2331">
      <w:pPr>
        <w:rPr>
          <w:lang w:val="en-US"/>
        </w:rPr>
      </w:pPr>
      <w:r w:rsidRPr="00DD1B58">
        <w:rPr>
          <w:lang w:val="en-US"/>
        </w:rPr>
        <w:t>Firefighters training portfolio includes mandatory training across a range of subjects and disciplines, as the firefighters also form part of the medical response teams within Sellafield.</w:t>
      </w:r>
    </w:p>
    <w:p w14:paraId="7BC36808" w14:textId="67E15545" w:rsidR="00E441BC" w:rsidRPr="00DD1B58" w:rsidRDefault="004668E0" w:rsidP="00EE2331">
      <w:pPr>
        <w:rPr>
          <w:lang w:val="en-US"/>
        </w:rPr>
      </w:pPr>
      <w:r w:rsidRPr="00DD1B58">
        <w:rPr>
          <w:lang w:val="en-US"/>
        </w:rPr>
        <w:t>Sellafield Ltd.</w:t>
      </w:r>
      <w:r w:rsidR="00BF5E0D" w:rsidRPr="00DD1B58">
        <w:rPr>
          <w:lang w:val="en-US"/>
        </w:rPr>
        <w:t xml:space="preserve"> </w:t>
      </w:r>
      <w:r w:rsidR="006D798B" w:rsidRPr="00DD1B58">
        <w:rPr>
          <w:lang w:val="en-US"/>
        </w:rPr>
        <w:t>states that</w:t>
      </w:r>
      <w:r w:rsidR="00BF5E0D" w:rsidRPr="00DD1B58">
        <w:rPr>
          <w:lang w:val="en-US"/>
        </w:rPr>
        <w:t xml:space="preserve"> SF&amp;RS </w:t>
      </w:r>
      <w:r w:rsidR="00E441BC" w:rsidRPr="00DD1B58">
        <w:rPr>
          <w:lang w:val="en-US"/>
        </w:rPr>
        <w:t xml:space="preserve">respond to most issues on the </w:t>
      </w:r>
      <w:r w:rsidR="00AA3ECC" w:rsidRPr="00DD1B58">
        <w:rPr>
          <w:lang w:val="en-US"/>
        </w:rPr>
        <w:t>Sellafield Site</w:t>
      </w:r>
      <w:r w:rsidR="00E441BC" w:rsidRPr="00DD1B58">
        <w:rPr>
          <w:lang w:val="en-US"/>
        </w:rPr>
        <w:t>, where additional resources are required, they may request support from the local authorities. There is a response plan for requesting Cumbria Fire and Rescue Service response and resources to the Sellafield Site. The SF&amp;RS Station Manager acts as Incident Commander and has authority to request a number of appliances, depending on the nature and size of the incident. The regional Fire Control centre action this request. Communications between SF&amp;RS and CF&amp;RS continue as the event progresses.</w:t>
      </w:r>
    </w:p>
    <w:p w14:paraId="127AF352" w14:textId="57E354B0" w:rsidR="00034F7B" w:rsidRPr="00DD1B58" w:rsidRDefault="00034F7B" w:rsidP="00EE2331">
      <w:pPr>
        <w:rPr>
          <w:lang w:val="en-US"/>
        </w:rPr>
      </w:pPr>
      <w:r w:rsidRPr="00DD1B58">
        <w:rPr>
          <w:lang w:val="en-US"/>
        </w:rPr>
        <w:t xml:space="preserve">SF&amp;RS and CF&amp;RS have an ongoing joint interoperability programme. This programme consists of quarterly liaison meetings between management within both organisations. In addition to this formal meeting, regular communications between the two services are ongoing, to ensure the services are kept up to date with issues that could impact either party. For joint training, an annual program based on both organisations maintenance of skills program is run on one evening per week on site. CF&amp;RS crews undertake practical and familiarisation training on the Sellafield Site, this includes joint Breathing Apparatus, equipment drills and high-risk building visits including fixed firefighting installations.  </w:t>
      </w:r>
    </w:p>
    <w:p w14:paraId="11D5405F" w14:textId="28572DE9" w:rsidR="00034F7B" w:rsidRPr="00DD1B58" w:rsidRDefault="000077E5" w:rsidP="00EE2331">
      <w:pPr>
        <w:rPr>
          <w:lang w:val="en-US"/>
        </w:rPr>
      </w:pPr>
      <w:r w:rsidRPr="00DD1B58">
        <w:rPr>
          <w:lang w:val="en-US"/>
        </w:rPr>
        <w:t xml:space="preserve">CF&amp;RS have their own tactical response plans </w:t>
      </w:r>
      <w:r w:rsidR="000052A3" w:rsidRPr="00DD1B58">
        <w:rPr>
          <w:lang w:val="en-US"/>
        </w:rPr>
        <w:t>for</w:t>
      </w:r>
      <w:r w:rsidRPr="00DD1B58">
        <w:rPr>
          <w:lang w:val="en-US"/>
        </w:rPr>
        <w:t xml:space="preserve"> responding to fires on the Sellafield Site. CF&amp;RS have access to all SF&amp;RS TIPs and SSRIs for </w:t>
      </w:r>
      <w:r w:rsidR="004668E0" w:rsidRPr="00DD1B58">
        <w:rPr>
          <w:lang w:val="en-US"/>
        </w:rPr>
        <w:t xml:space="preserve">Sellafield Ltd. </w:t>
      </w:r>
      <w:r w:rsidR="00776448" w:rsidRPr="00DD1B58">
        <w:rPr>
          <w:lang w:val="en-US"/>
        </w:rPr>
        <w:t>an</w:t>
      </w:r>
      <w:r w:rsidR="00A82CD7" w:rsidRPr="00DD1B58">
        <w:rPr>
          <w:lang w:val="en-US"/>
        </w:rPr>
        <w:t xml:space="preserve">d </w:t>
      </w:r>
      <w:r w:rsidR="004668E0" w:rsidRPr="00DD1B58">
        <w:rPr>
          <w:lang w:val="en-US"/>
        </w:rPr>
        <w:t xml:space="preserve">Sellafield Ltd. </w:t>
      </w:r>
      <w:r w:rsidR="006D798B" w:rsidRPr="00DD1B58">
        <w:rPr>
          <w:lang w:val="en-US"/>
        </w:rPr>
        <w:t>states that</w:t>
      </w:r>
      <w:r w:rsidR="00A82CD7" w:rsidRPr="00DD1B58">
        <w:rPr>
          <w:lang w:val="en-US"/>
        </w:rPr>
        <w:t xml:space="preserve"> thy are considered </w:t>
      </w:r>
      <w:r w:rsidRPr="00DD1B58">
        <w:rPr>
          <w:lang w:val="en-US"/>
        </w:rPr>
        <w:t>industry leading.</w:t>
      </w:r>
    </w:p>
    <w:p w14:paraId="3D133D1A" w14:textId="77777777" w:rsidR="000052A3" w:rsidRPr="00DD1B58" w:rsidRDefault="000052A3" w:rsidP="00EE2331">
      <w:pPr>
        <w:rPr>
          <w:b/>
          <w:lang w:val="en-US"/>
        </w:rPr>
      </w:pPr>
      <w:r w:rsidRPr="00DD1B58">
        <w:rPr>
          <w:b/>
          <w:lang w:val="en-US"/>
        </w:rPr>
        <w:t>Safety culture and</w:t>
      </w:r>
      <w:r w:rsidR="000B0E42" w:rsidRPr="00DD1B58">
        <w:rPr>
          <w:b/>
          <w:lang w:val="en-US"/>
        </w:rPr>
        <w:t xml:space="preserve"> staff</w:t>
      </w:r>
      <w:r w:rsidRPr="00DD1B58">
        <w:rPr>
          <w:b/>
          <w:lang w:val="en-US"/>
        </w:rPr>
        <w:t xml:space="preserve"> training</w:t>
      </w:r>
    </w:p>
    <w:p w14:paraId="261BD7F4" w14:textId="61FEC412" w:rsidR="000B0E42" w:rsidRPr="00DD1B58" w:rsidRDefault="004668E0" w:rsidP="000B0E42">
      <w:pPr>
        <w:rPr>
          <w:lang w:val="en-US"/>
        </w:rPr>
      </w:pPr>
      <w:r w:rsidRPr="00DD1B58">
        <w:rPr>
          <w:lang w:val="en-US"/>
        </w:rPr>
        <w:t>Sellafield Ltd.</w:t>
      </w:r>
      <w:r w:rsidR="00A82CD7" w:rsidRPr="00DD1B58">
        <w:rPr>
          <w:lang w:val="en-US"/>
        </w:rPr>
        <w:t xml:space="preserve"> </w:t>
      </w:r>
      <w:r w:rsidR="006D798B" w:rsidRPr="00DD1B58">
        <w:rPr>
          <w:lang w:val="en-US"/>
        </w:rPr>
        <w:t>states that</w:t>
      </w:r>
      <w:r w:rsidR="00A82CD7" w:rsidRPr="00DD1B58">
        <w:rPr>
          <w:lang w:val="en-US"/>
        </w:rPr>
        <w:t xml:space="preserve"> i</w:t>
      </w:r>
      <w:r w:rsidR="000B0E42" w:rsidRPr="00DD1B58">
        <w:rPr>
          <w:lang w:val="en-US"/>
        </w:rPr>
        <w:t xml:space="preserve">mproving and maintaining a good safety culture is a key priority and a constant topic cascaded through the organisation from the executive team. Any issues, events or equipment/system failures are captured on the sites ATLAS learning system as individual Condition </w:t>
      </w:r>
      <w:r w:rsidR="00413F49" w:rsidRPr="00DD1B58">
        <w:rPr>
          <w:lang w:val="en-US"/>
        </w:rPr>
        <w:t>R</w:t>
      </w:r>
      <w:r w:rsidR="000B0E42" w:rsidRPr="00DD1B58">
        <w:rPr>
          <w:lang w:val="en-US"/>
        </w:rPr>
        <w:t>eports, each report is evaluated and either recorded for trending or escalated for investigation or actioned for rectification. Safety Shares are often used at the beginning of meetings to highlight a topic or recent event where learning can be shared. Observations can also be raised on the ATLAS system including‚</w:t>
      </w:r>
      <w:r w:rsidR="00413F49" w:rsidRPr="00DD1B58">
        <w:rPr>
          <w:lang w:val="en-US"/>
        </w:rPr>
        <w:t xml:space="preserve"> </w:t>
      </w:r>
      <w:r w:rsidR="000B0E42" w:rsidRPr="00DD1B58">
        <w:rPr>
          <w:lang w:val="en-US"/>
        </w:rPr>
        <w:t xml:space="preserve">Peer to Peer </w:t>
      </w:r>
      <w:r w:rsidR="00F614E1" w:rsidRPr="00DD1B58">
        <w:rPr>
          <w:lang w:val="en-US"/>
        </w:rPr>
        <w:t>assessment tools</w:t>
      </w:r>
      <w:r w:rsidR="000B0E42" w:rsidRPr="00DD1B58">
        <w:rPr>
          <w:lang w:val="en-US"/>
        </w:rPr>
        <w:t xml:space="preserve"> where employees can report instances of when they have observed a peer and found positive or negative findings. </w:t>
      </w:r>
    </w:p>
    <w:p w14:paraId="15386663" w14:textId="28FA62BB" w:rsidR="00524DC4" w:rsidRPr="00DD1B58" w:rsidRDefault="004668E0" w:rsidP="000B0E42">
      <w:pPr>
        <w:rPr>
          <w:lang w:val="en-US"/>
        </w:rPr>
      </w:pPr>
      <w:r w:rsidRPr="00DD1B58">
        <w:rPr>
          <w:lang w:val="en-US"/>
        </w:rPr>
        <w:t>Sellafield Ltd.</w:t>
      </w:r>
      <w:r w:rsidR="00F03F72" w:rsidRPr="00DD1B58">
        <w:rPr>
          <w:lang w:val="en-US"/>
        </w:rPr>
        <w:t xml:space="preserve"> has </w:t>
      </w:r>
      <w:r w:rsidR="00524DC4" w:rsidRPr="00DD1B58">
        <w:rPr>
          <w:lang w:val="en-US"/>
        </w:rPr>
        <w:t xml:space="preserve">initiated a series of sprint events. The first of these was a focus on pride in the workplace and litter picks across the business. Good housekeeping has a direct correlation with good fire protection measures and culture. </w:t>
      </w:r>
      <w:r w:rsidRPr="00DD1B58">
        <w:rPr>
          <w:lang w:val="en-US"/>
        </w:rPr>
        <w:t>Sellafield Ltd.</w:t>
      </w:r>
      <w:r w:rsidR="00524DC4" w:rsidRPr="00DD1B58">
        <w:rPr>
          <w:lang w:val="en-US"/>
        </w:rPr>
        <w:t xml:space="preserve"> also ha</w:t>
      </w:r>
      <w:r w:rsidR="00F03F72" w:rsidRPr="00DD1B58">
        <w:rPr>
          <w:lang w:val="en-US"/>
        </w:rPr>
        <w:t>s</w:t>
      </w:r>
      <w:r w:rsidR="00524DC4" w:rsidRPr="00DD1B58">
        <w:rPr>
          <w:lang w:val="en-US"/>
        </w:rPr>
        <w:t xml:space="preserve"> Safety Pauses which consist of a day focused on safety to encourage learning and sharing of information within the business. Safety conferences are also held on site which again, demonstrate relevant good practice.</w:t>
      </w:r>
    </w:p>
    <w:p w14:paraId="2FBCA707" w14:textId="77777777" w:rsidR="00CC3DB8" w:rsidRPr="00DD1B58" w:rsidRDefault="00CC3DB8" w:rsidP="00CC3DB8">
      <w:pPr>
        <w:rPr>
          <w:lang w:val="en-US"/>
        </w:rPr>
      </w:pPr>
      <w:r w:rsidRPr="00DD1B58">
        <w:rPr>
          <w:lang w:val="en-US"/>
        </w:rPr>
        <w:t>Training covers a broad spectrum reflecting the complex nature of the day-to-day activities undertaken onsite. For all training activities, a training needs analysis is undertaken and completed to identify what training requirements were to then subsequently identify any gaps in the training provision provided. Where gaps in training provision were identified, suitable training provision was identified and sourced be it via an external, or internal route.</w:t>
      </w:r>
    </w:p>
    <w:p w14:paraId="736080D2" w14:textId="77777777" w:rsidR="00CC3DB8" w:rsidRPr="00DD1B58" w:rsidRDefault="00CC3DB8" w:rsidP="00CC3DB8">
      <w:pPr>
        <w:rPr>
          <w:lang w:val="en-US"/>
        </w:rPr>
      </w:pPr>
      <w:r w:rsidRPr="00DD1B58">
        <w:rPr>
          <w:lang w:val="en-US"/>
        </w:rPr>
        <w:t>There is a Conduct of Training Manual which details ‘The systematic approach to training’ (SAT) to ensure it is fit for purpose and is undertaken at a frequency which allows operational crews to maintain competence.</w:t>
      </w:r>
    </w:p>
    <w:p w14:paraId="583AEADA" w14:textId="2E8A388D" w:rsidR="000052A3" w:rsidRPr="00DD1B58" w:rsidRDefault="00CC3DB8" w:rsidP="00CC3DB8">
      <w:pPr>
        <w:rPr>
          <w:lang w:val="en-US"/>
        </w:rPr>
      </w:pPr>
      <w:r w:rsidRPr="00DD1B58">
        <w:rPr>
          <w:lang w:val="en-US"/>
        </w:rPr>
        <w:t xml:space="preserve">Any external training events and internally </w:t>
      </w:r>
      <w:r w:rsidR="004668E0" w:rsidRPr="00DD1B58">
        <w:rPr>
          <w:lang w:val="en-US"/>
        </w:rPr>
        <w:t xml:space="preserve">Sellafield Ltd. </w:t>
      </w:r>
      <w:r w:rsidRPr="00DD1B58">
        <w:rPr>
          <w:lang w:val="en-US"/>
        </w:rPr>
        <w:t>course events are recorded and tracked as per site requirements so that it can be demonstrated that staff are competent to deploy or not.</w:t>
      </w:r>
    </w:p>
    <w:p w14:paraId="6750A30E" w14:textId="77777777" w:rsidR="00D813A6" w:rsidRPr="00DD1B58" w:rsidRDefault="00D813A6" w:rsidP="00177432">
      <w:pPr>
        <w:pStyle w:val="Heading5A"/>
        <w:numPr>
          <w:ilvl w:val="5"/>
          <w:numId w:val="7"/>
        </w:numPr>
        <w:rPr>
          <w:lang w:val="en-US"/>
        </w:rPr>
      </w:pPr>
      <w:r w:rsidRPr="00DD1B58">
        <w:rPr>
          <w:lang w:val="en-US"/>
        </w:rPr>
        <w:t>Specific provisions, e.g. loss of access</w:t>
      </w:r>
    </w:p>
    <w:p w14:paraId="1B8C4593" w14:textId="6559B05F" w:rsidR="00733C15" w:rsidRPr="00DD1B58" w:rsidRDefault="004668E0" w:rsidP="00733C15">
      <w:pPr>
        <w:rPr>
          <w:lang w:val="en-US"/>
        </w:rPr>
      </w:pPr>
      <w:r w:rsidRPr="00DD1B58">
        <w:rPr>
          <w:lang w:val="en-US"/>
        </w:rPr>
        <w:t>Sellafield Ltd.</w:t>
      </w:r>
      <w:r w:rsidR="00D040F8" w:rsidRPr="00DD1B58">
        <w:rPr>
          <w:lang w:val="en-US"/>
        </w:rPr>
        <w:t xml:space="preserve"> </w:t>
      </w:r>
      <w:r w:rsidR="006D798B" w:rsidRPr="00DD1B58">
        <w:rPr>
          <w:lang w:val="en-US"/>
        </w:rPr>
        <w:t>reports that</w:t>
      </w:r>
      <w:r w:rsidR="00D040F8" w:rsidRPr="00DD1B58">
        <w:rPr>
          <w:lang w:val="en-US"/>
        </w:rPr>
        <w:t xml:space="preserve"> </w:t>
      </w:r>
      <w:r w:rsidR="00733C15" w:rsidRPr="00DD1B58">
        <w:rPr>
          <w:lang w:val="en-US"/>
        </w:rPr>
        <w:t xml:space="preserve">proposed road closures on site for any maintenance works or other scenarios follow an approval process where SF&amp;RS are consulted and can evaluate any restrictions for access to buildings. If special access arrangements would be required, this is highlighted and shared with the Sellafield Site Shift Manager who would liaise with SF&amp;RS. Joint communications with the Security Guards and on-site constabulary also take place. </w:t>
      </w:r>
    </w:p>
    <w:p w14:paraId="6F55EB0C" w14:textId="158D457B" w:rsidR="00065631" w:rsidRPr="00DD1B58" w:rsidRDefault="004668E0" w:rsidP="00733C15">
      <w:pPr>
        <w:rPr>
          <w:lang w:val="en-US"/>
        </w:rPr>
      </w:pPr>
      <w:r w:rsidRPr="00DD1B58">
        <w:rPr>
          <w:lang w:val="en-US"/>
        </w:rPr>
        <w:t>Sellafield Ltd.</w:t>
      </w:r>
      <w:r w:rsidR="00D040F8" w:rsidRPr="00DD1B58">
        <w:rPr>
          <w:lang w:val="en-US"/>
        </w:rPr>
        <w:t xml:space="preserve"> considers </w:t>
      </w:r>
      <w:r w:rsidR="00615C7A" w:rsidRPr="00DD1B58">
        <w:rPr>
          <w:lang w:val="en-US"/>
        </w:rPr>
        <w:t>that</w:t>
      </w:r>
      <w:r w:rsidR="00D040F8" w:rsidRPr="00DD1B58">
        <w:rPr>
          <w:lang w:val="en-US"/>
        </w:rPr>
        <w:t xml:space="preserve"> with its </w:t>
      </w:r>
      <w:r w:rsidR="00733C15" w:rsidRPr="00DD1B58">
        <w:rPr>
          <w:lang w:val="en-US"/>
        </w:rPr>
        <w:t>internal firefighting capability</w:t>
      </w:r>
      <w:r w:rsidR="00D040F8" w:rsidRPr="00DD1B58">
        <w:rPr>
          <w:lang w:val="en-US"/>
        </w:rPr>
        <w:t>, it</w:t>
      </w:r>
      <w:r w:rsidR="00733C15" w:rsidRPr="00DD1B58">
        <w:rPr>
          <w:lang w:val="en-US"/>
        </w:rPr>
        <w:t xml:space="preserve"> means that Sellafield is not immediately at risk, should the roads around the site be blocked or not accessible. Emergency arrangements for these scenarios are in place, should these issues become apparent.</w:t>
      </w:r>
    </w:p>
    <w:p w14:paraId="4E27129C" w14:textId="049BC340" w:rsidR="00D813A6" w:rsidRPr="00DD1B58" w:rsidRDefault="00D813A6" w:rsidP="00177432">
      <w:pPr>
        <w:pStyle w:val="Heading5A"/>
        <w:rPr>
          <w:lang w:val="en-US"/>
        </w:rPr>
      </w:pPr>
      <w:bookmarkStart w:id="129" w:name="_Ref135316383"/>
      <w:r w:rsidRPr="00DD1B58">
        <w:rPr>
          <w:lang w:val="en-US"/>
        </w:rPr>
        <w:t>Licensee’s experience of the implementation of the active fire protection</w:t>
      </w:r>
      <w:bookmarkEnd w:id="129"/>
    </w:p>
    <w:p w14:paraId="4C01D033" w14:textId="77777777" w:rsidR="00D813A6" w:rsidRPr="00DD1B58" w:rsidRDefault="00D813A6" w:rsidP="00177432">
      <w:pPr>
        <w:pStyle w:val="Heading5A"/>
        <w:numPr>
          <w:ilvl w:val="5"/>
          <w:numId w:val="7"/>
        </w:numPr>
        <w:rPr>
          <w:lang w:val="en-US"/>
        </w:rPr>
      </w:pPr>
      <w:r w:rsidRPr="00DD1B58">
        <w:rPr>
          <w:lang w:val="en-US"/>
        </w:rPr>
        <w:t>Overview of strengths and weaknesses</w:t>
      </w:r>
    </w:p>
    <w:p w14:paraId="7C9D1315" w14:textId="47251F3F" w:rsidR="00434747" w:rsidRPr="00DD1B58" w:rsidRDefault="004668E0" w:rsidP="00434747">
      <w:pPr>
        <w:rPr>
          <w:lang w:val="en-US"/>
        </w:rPr>
      </w:pPr>
      <w:r w:rsidRPr="00DD1B58">
        <w:rPr>
          <w:lang w:val="en-US"/>
        </w:rPr>
        <w:t xml:space="preserve">Sellafield Ltd. </w:t>
      </w:r>
      <w:r w:rsidR="006E3C47" w:rsidRPr="00DD1B58">
        <w:rPr>
          <w:lang w:val="en-US"/>
        </w:rPr>
        <w:t>ha</w:t>
      </w:r>
      <w:r w:rsidR="00FF1BA0" w:rsidRPr="00DD1B58">
        <w:rPr>
          <w:lang w:val="en-US"/>
        </w:rPr>
        <w:t>s</w:t>
      </w:r>
      <w:r w:rsidR="006E3C47" w:rsidRPr="00DD1B58">
        <w:rPr>
          <w:lang w:val="en-US"/>
        </w:rPr>
        <w:t xml:space="preserve"> identified </w:t>
      </w:r>
      <w:r w:rsidR="00F41013" w:rsidRPr="00DD1B58">
        <w:rPr>
          <w:lang w:val="en-US"/>
        </w:rPr>
        <w:t xml:space="preserve">strengths relating to </w:t>
      </w:r>
      <w:r w:rsidR="00341BA0" w:rsidRPr="00DD1B58">
        <w:rPr>
          <w:lang w:val="en-US"/>
        </w:rPr>
        <w:t xml:space="preserve">active fire </w:t>
      </w:r>
      <w:r w:rsidR="008A2E61" w:rsidRPr="00DD1B58">
        <w:rPr>
          <w:lang w:val="en-US"/>
        </w:rPr>
        <w:t>protection</w:t>
      </w:r>
      <w:r w:rsidR="00F41013" w:rsidRPr="00DD1B58">
        <w:rPr>
          <w:lang w:val="en-US"/>
        </w:rPr>
        <w:t xml:space="preserve"> in the preceding subsections</w:t>
      </w:r>
      <w:r w:rsidR="008A2E61" w:rsidRPr="00DD1B58">
        <w:rPr>
          <w:lang w:val="en-US"/>
        </w:rPr>
        <w:t>, including:</w:t>
      </w:r>
    </w:p>
    <w:p w14:paraId="30F215AD" w14:textId="77777777" w:rsidR="008A2E61" w:rsidRPr="00DD1B58" w:rsidRDefault="00863837" w:rsidP="00863837">
      <w:pPr>
        <w:pStyle w:val="Bulletlist1"/>
        <w:rPr>
          <w:lang w:val="en-US"/>
        </w:rPr>
      </w:pPr>
      <w:r w:rsidRPr="00DD1B58">
        <w:rPr>
          <w:lang w:val="en-US"/>
        </w:rPr>
        <w:t>Provision of a modern professional fire service permanently based on site.</w:t>
      </w:r>
    </w:p>
    <w:p w14:paraId="523649DD" w14:textId="77777777" w:rsidR="00E13A6A" w:rsidRPr="00DD1B58" w:rsidRDefault="00C85A44" w:rsidP="00863837">
      <w:pPr>
        <w:pStyle w:val="Bulletlist1"/>
        <w:rPr>
          <w:lang w:val="en-US"/>
        </w:rPr>
      </w:pPr>
      <w:r w:rsidRPr="00DD1B58">
        <w:rPr>
          <w:lang w:val="en-US"/>
        </w:rPr>
        <w:t>Low reliance placed</w:t>
      </w:r>
      <w:r w:rsidR="00EA3820" w:rsidRPr="00DD1B58">
        <w:rPr>
          <w:lang w:val="en-US"/>
        </w:rPr>
        <w:t xml:space="preserve"> </w:t>
      </w:r>
      <w:r w:rsidR="004C30F9" w:rsidRPr="00DD1B58">
        <w:rPr>
          <w:lang w:val="en-US"/>
        </w:rPr>
        <w:t>on active suppression systems to deliver nuclear safety.</w:t>
      </w:r>
    </w:p>
    <w:p w14:paraId="07BC9016" w14:textId="77777777" w:rsidR="00341E56" w:rsidRPr="00DD1B58" w:rsidRDefault="00341E56" w:rsidP="00341E56">
      <w:pPr>
        <w:pStyle w:val="Bulletlist1"/>
        <w:rPr>
          <w:lang w:val="en-US"/>
        </w:rPr>
      </w:pPr>
      <w:r w:rsidRPr="00DD1B58">
        <w:rPr>
          <w:lang w:val="en-US"/>
        </w:rPr>
        <w:t xml:space="preserve">Utilisation of new technologies to enable rapid deployment of wireless systems to replace ageing fire alarm systems. </w:t>
      </w:r>
    </w:p>
    <w:p w14:paraId="67F04593" w14:textId="287C30C4" w:rsidR="00EA3820" w:rsidRPr="00DD1B58" w:rsidRDefault="004668E0" w:rsidP="00EA3820">
      <w:pPr>
        <w:pStyle w:val="Bulletlist1"/>
        <w:numPr>
          <w:ilvl w:val="0"/>
          <w:numId w:val="0"/>
        </w:numPr>
        <w:ind w:left="360" w:hanging="360"/>
        <w:rPr>
          <w:lang w:val="en-US"/>
        </w:rPr>
      </w:pPr>
      <w:r w:rsidRPr="00DD1B58">
        <w:rPr>
          <w:lang w:val="en-US"/>
        </w:rPr>
        <w:t xml:space="preserve">Sellafield Ltd. </w:t>
      </w:r>
      <w:r w:rsidR="00EA3820" w:rsidRPr="00DD1B58">
        <w:rPr>
          <w:lang w:val="en-US"/>
        </w:rPr>
        <w:t>h</w:t>
      </w:r>
      <w:r w:rsidR="00FF1BA0" w:rsidRPr="00DD1B58">
        <w:rPr>
          <w:lang w:val="en-US"/>
        </w:rPr>
        <w:t>as</w:t>
      </w:r>
      <w:r w:rsidR="00EA3820" w:rsidRPr="00DD1B58">
        <w:rPr>
          <w:lang w:val="en-US"/>
        </w:rPr>
        <w:t xml:space="preserve"> also identified </w:t>
      </w:r>
      <w:r w:rsidR="0068169C" w:rsidRPr="00DD1B58">
        <w:rPr>
          <w:lang w:val="en-US"/>
        </w:rPr>
        <w:t>weaknesses including:</w:t>
      </w:r>
    </w:p>
    <w:p w14:paraId="07AA1157" w14:textId="7A63236B" w:rsidR="0068169C" w:rsidRPr="00DD1B58" w:rsidRDefault="002616D0" w:rsidP="009652FD">
      <w:pPr>
        <w:pStyle w:val="Bulletlist1"/>
        <w:rPr>
          <w:lang w:val="en-US"/>
        </w:rPr>
      </w:pPr>
      <w:r w:rsidRPr="00DD1B58">
        <w:rPr>
          <w:lang w:val="en-US"/>
        </w:rPr>
        <w:t xml:space="preserve">Holistic </w:t>
      </w:r>
      <w:r w:rsidR="00615C7A" w:rsidRPr="00DD1B58">
        <w:rPr>
          <w:lang w:val="en-US"/>
        </w:rPr>
        <w:t>FSSs</w:t>
      </w:r>
      <w:r w:rsidR="009652FD" w:rsidRPr="00DD1B58">
        <w:rPr>
          <w:lang w:val="en-US"/>
        </w:rPr>
        <w:t xml:space="preserve"> are not currently available for all nuclear facilities.</w:t>
      </w:r>
    </w:p>
    <w:p w14:paraId="2267F087" w14:textId="7DCA886B" w:rsidR="00414D00" w:rsidRPr="00DD1B58" w:rsidRDefault="004668E0" w:rsidP="00414D00">
      <w:pPr>
        <w:pStyle w:val="Bulletlist1"/>
        <w:numPr>
          <w:ilvl w:val="0"/>
          <w:numId w:val="0"/>
        </w:numPr>
        <w:rPr>
          <w:lang w:val="en-US"/>
        </w:rPr>
      </w:pPr>
      <w:r w:rsidRPr="00DD1B58">
        <w:rPr>
          <w:lang w:val="en-US"/>
        </w:rPr>
        <w:t>Sellafield Ltd.</w:t>
      </w:r>
      <w:r w:rsidR="00414D00" w:rsidRPr="00DD1B58">
        <w:rPr>
          <w:lang w:val="en-US"/>
        </w:rPr>
        <w:t xml:space="preserve"> </w:t>
      </w:r>
      <w:r w:rsidR="00615C7A" w:rsidRPr="00DD1B58">
        <w:rPr>
          <w:lang w:val="en-US"/>
        </w:rPr>
        <w:t xml:space="preserve">has </w:t>
      </w:r>
      <w:r w:rsidR="00414D00" w:rsidRPr="00DD1B58">
        <w:rPr>
          <w:lang w:val="en-US"/>
        </w:rPr>
        <w:t xml:space="preserve">identified how </w:t>
      </w:r>
      <w:r w:rsidR="00615C7A" w:rsidRPr="00DD1B58">
        <w:rPr>
          <w:lang w:val="en-US"/>
        </w:rPr>
        <w:t>FSSs</w:t>
      </w:r>
      <w:r w:rsidR="00414D00" w:rsidRPr="00DD1B58">
        <w:rPr>
          <w:lang w:val="en-US"/>
        </w:rPr>
        <w:t xml:space="preserve"> would benefit facilities. A sitewide </w:t>
      </w:r>
      <w:r w:rsidR="00615C7A" w:rsidRPr="00DD1B58">
        <w:rPr>
          <w:lang w:val="en-US"/>
        </w:rPr>
        <w:t>FSS</w:t>
      </w:r>
      <w:r w:rsidR="00414D00" w:rsidRPr="00DD1B58">
        <w:rPr>
          <w:lang w:val="en-US"/>
        </w:rPr>
        <w:t xml:space="preserve"> development plan has identified the priority buildings that require a FSS. The programme is being completed but due to the complexity and size of the Sellafield Site and its nuclear facilities, this process will take significant time. </w:t>
      </w:r>
      <w:r w:rsidRPr="00DD1B58">
        <w:rPr>
          <w:lang w:val="en-US"/>
        </w:rPr>
        <w:t>Sellafield Ltd.</w:t>
      </w:r>
      <w:r w:rsidR="009E1F18" w:rsidRPr="00DD1B58">
        <w:rPr>
          <w:lang w:val="en-US"/>
        </w:rPr>
        <w:t xml:space="preserve"> </w:t>
      </w:r>
      <w:r w:rsidR="006D798B" w:rsidRPr="00DD1B58">
        <w:rPr>
          <w:lang w:val="en-US"/>
        </w:rPr>
        <w:t>states that</w:t>
      </w:r>
      <w:r w:rsidR="00414D00" w:rsidRPr="00DD1B58">
        <w:rPr>
          <w:lang w:val="en-US"/>
        </w:rPr>
        <w:t xml:space="preserve"> each Safety Case still has a valid Conventional Fire Hazard Analysis which provides confidence that conventional fire safety is appropriately controlled and managed. This ultimately provides defence in depth for the nuclear fire safety aspects.</w:t>
      </w:r>
    </w:p>
    <w:p w14:paraId="08832E2F" w14:textId="05B80AB1" w:rsidR="00414D00" w:rsidRPr="00DD1B58" w:rsidRDefault="00414D00" w:rsidP="00414D00">
      <w:pPr>
        <w:rPr>
          <w:lang w:val="en-US"/>
        </w:rPr>
      </w:pPr>
      <w:r w:rsidRPr="00DD1B58">
        <w:rPr>
          <w:lang w:val="en-US"/>
        </w:rPr>
        <w:t>In addition, as part of the</w:t>
      </w:r>
      <w:r w:rsidR="00A03BD1" w:rsidRPr="00DD1B58">
        <w:rPr>
          <w:lang w:val="en-US"/>
        </w:rPr>
        <w:t xml:space="preserve"> </w:t>
      </w:r>
      <w:r w:rsidR="004668E0" w:rsidRPr="00DD1B58">
        <w:rPr>
          <w:lang w:val="en-US"/>
        </w:rPr>
        <w:t xml:space="preserve">Sellafield Ltd. </w:t>
      </w:r>
      <w:r w:rsidRPr="00DD1B58">
        <w:rPr>
          <w:lang w:val="en-US"/>
        </w:rPr>
        <w:t>Safety Case Process and Methods improvement plan tranche 3 there is a project to update the Fire Safety Strategy Process Technical Guidance.</w:t>
      </w:r>
    </w:p>
    <w:p w14:paraId="2B8F6AF6" w14:textId="77777777" w:rsidR="00D813A6" w:rsidRPr="00DD1B58" w:rsidRDefault="00D813A6" w:rsidP="00177432">
      <w:pPr>
        <w:pStyle w:val="Heading5A"/>
        <w:numPr>
          <w:ilvl w:val="5"/>
          <w:numId w:val="7"/>
        </w:numPr>
        <w:rPr>
          <w:lang w:val="en-US"/>
        </w:rPr>
      </w:pPr>
      <w:r w:rsidRPr="00DD1B58">
        <w:rPr>
          <w:lang w:val="en-US"/>
        </w:rPr>
        <w:t>Lessons learned from events, reviews fire safety related missions, etc.</w:t>
      </w:r>
    </w:p>
    <w:p w14:paraId="38072773" w14:textId="5C26B45D" w:rsidR="00434747" w:rsidRPr="00DD1B58" w:rsidRDefault="006053B9" w:rsidP="00434747">
      <w:pPr>
        <w:rPr>
          <w:lang w:val="en-US"/>
        </w:rPr>
      </w:pPr>
      <w:r w:rsidRPr="00DD1B58">
        <w:rPr>
          <w:lang w:val="en-US"/>
        </w:rPr>
        <w:t>ONR conduct</w:t>
      </w:r>
      <w:r w:rsidR="00A371C5" w:rsidRPr="00DD1B58">
        <w:rPr>
          <w:lang w:val="en-US"/>
        </w:rPr>
        <w:t>s</w:t>
      </w:r>
      <w:r w:rsidRPr="00DD1B58">
        <w:rPr>
          <w:lang w:val="en-US"/>
        </w:rPr>
        <w:t xml:space="preserve"> Life Fire Safety inspections under the Regulatory Reform (Fire Safety) Order</w:t>
      </w:r>
      <w:r w:rsidR="00A951ED" w:rsidRPr="00DD1B58">
        <w:rPr>
          <w:lang w:val="en-US"/>
        </w:rPr>
        <w:t xml:space="preserve"> </w:t>
      </w:r>
      <w:sdt>
        <w:sdtPr>
          <w:rPr>
            <w:lang w:val="en-US"/>
          </w:rPr>
          <w:id w:val="626360521"/>
          <w:citation/>
        </w:sdtPr>
        <w:sdtContent>
          <w:r w:rsidR="00A951ED" w:rsidRPr="00DD1B58">
            <w:rPr>
              <w:lang w:val="en-US"/>
            </w:rPr>
            <w:fldChar w:fldCharType="begin"/>
          </w:r>
          <w:r w:rsidR="00601B0B" w:rsidRPr="00DD1B58">
            <w:rPr>
              <w:lang w:val="en-US"/>
            </w:rPr>
            <w:instrText xml:space="preserve">CITATION The05 \l 2057 </w:instrText>
          </w:r>
          <w:r w:rsidR="00A951ED" w:rsidRPr="00DD1B58">
            <w:rPr>
              <w:lang w:val="en-US"/>
            </w:rPr>
            <w:fldChar w:fldCharType="separate"/>
          </w:r>
          <w:r w:rsidR="00DF47DA" w:rsidRPr="00DF47DA">
            <w:rPr>
              <w:noProof/>
              <w:lang w:val="en-US"/>
            </w:rPr>
            <w:t>[20]</w:t>
          </w:r>
          <w:r w:rsidR="00A951ED" w:rsidRPr="00DD1B58">
            <w:rPr>
              <w:lang w:val="en-US"/>
            </w:rPr>
            <w:fldChar w:fldCharType="end"/>
          </w:r>
        </w:sdtContent>
      </w:sdt>
      <w:r w:rsidRPr="00DD1B58">
        <w:rPr>
          <w:lang w:val="en-US"/>
        </w:rPr>
        <w:t xml:space="preserve">. </w:t>
      </w:r>
      <w:r w:rsidR="00137C18" w:rsidRPr="00DD1B58">
        <w:rPr>
          <w:lang w:val="en-US"/>
        </w:rPr>
        <w:t xml:space="preserve">ONR also conducts Nuclear Fire-themed </w:t>
      </w:r>
      <w:r w:rsidRPr="00DD1B58">
        <w:rPr>
          <w:lang w:val="en-US"/>
        </w:rPr>
        <w:t xml:space="preserve">System Based </w:t>
      </w:r>
      <w:r w:rsidR="00A951ED" w:rsidRPr="00DD1B58">
        <w:rPr>
          <w:lang w:val="en-US"/>
        </w:rPr>
        <w:t>I</w:t>
      </w:r>
      <w:r w:rsidRPr="00DD1B58">
        <w:rPr>
          <w:lang w:val="en-US"/>
        </w:rPr>
        <w:t xml:space="preserve">nspections </w:t>
      </w:r>
      <w:r w:rsidR="00137C18" w:rsidRPr="00DD1B58">
        <w:rPr>
          <w:lang w:val="en-US"/>
        </w:rPr>
        <w:t>which</w:t>
      </w:r>
      <w:r w:rsidRPr="00DD1B58">
        <w:rPr>
          <w:lang w:val="en-US"/>
        </w:rPr>
        <w:t xml:space="preserve"> focus on systems that we rely on such as fire alarm systems. A system-based inspection of </w:t>
      </w:r>
      <w:r w:rsidR="00D33E87" w:rsidRPr="00DD1B58">
        <w:rPr>
          <w:lang w:val="en-US"/>
        </w:rPr>
        <w:t>Sellafield Ltd.’s</w:t>
      </w:r>
      <w:r w:rsidR="00137C18" w:rsidRPr="00DD1B58">
        <w:rPr>
          <w:lang w:val="en-US"/>
        </w:rPr>
        <w:t xml:space="preserve"> </w:t>
      </w:r>
      <w:r w:rsidRPr="00DD1B58">
        <w:rPr>
          <w:lang w:val="en-US"/>
        </w:rPr>
        <w:t>First</w:t>
      </w:r>
      <w:r w:rsidR="00D34623" w:rsidRPr="00DD1B58">
        <w:rPr>
          <w:lang w:val="en-US"/>
        </w:rPr>
        <w:t xml:space="preserve"> </w:t>
      </w:r>
      <w:r w:rsidRPr="00DD1B58">
        <w:rPr>
          <w:lang w:val="en-US"/>
        </w:rPr>
        <w:t xml:space="preserve">Generation Magnox Storage Pond (FGMSP) led to a regulatory issue around the obsolete fire alarm system in 2021, the impact of this halted operations </w:t>
      </w:r>
      <w:r w:rsidR="00031E41" w:rsidRPr="00DD1B58">
        <w:rPr>
          <w:lang w:val="en-US"/>
        </w:rPr>
        <w:t>at the facility</w:t>
      </w:r>
      <w:r w:rsidRPr="00DD1B58">
        <w:rPr>
          <w:lang w:val="en-US"/>
        </w:rPr>
        <w:t xml:space="preserve"> until a replacement fire alarm system was installed.</w:t>
      </w:r>
    </w:p>
    <w:p w14:paraId="49179066" w14:textId="6AC8E664" w:rsidR="00E567CD" w:rsidRPr="00DD1B58" w:rsidRDefault="00BA5CDD" w:rsidP="00434747">
      <w:pPr>
        <w:rPr>
          <w:highlight w:val="magenta"/>
          <w:lang w:val="en-US"/>
        </w:rPr>
      </w:pPr>
      <w:r w:rsidRPr="00DD1B58">
        <w:rPr>
          <w:lang w:val="en-US"/>
        </w:rPr>
        <w:t xml:space="preserve">Recent life fire safety and system-based inspections by ONR have identified </w:t>
      </w:r>
      <w:r w:rsidR="00240F65" w:rsidRPr="00DD1B58">
        <w:rPr>
          <w:lang w:val="en-US"/>
        </w:rPr>
        <w:t xml:space="preserve">further </w:t>
      </w:r>
      <w:r w:rsidRPr="00DD1B58">
        <w:rPr>
          <w:lang w:val="en-US"/>
        </w:rPr>
        <w:t xml:space="preserve">issues in facilities on </w:t>
      </w:r>
      <w:r w:rsidR="00AA3ECC" w:rsidRPr="00DD1B58">
        <w:rPr>
          <w:lang w:val="en-US"/>
        </w:rPr>
        <w:t>Sellafield Site</w:t>
      </w:r>
      <w:r w:rsidRPr="00DD1B58">
        <w:rPr>
          <w:lang w:val="en-US"/>
        </w:rPr>
        <w:t xml:space="preserve"> including fire alarm system obsolescence and challenges </w:t>
      </w:r>
      <w:r w:rsidR="00240F65" w:rsidRPr="00DD1B58">
        <w:rPr>
          <w:lang w:val="en-US"/>
        </w:rPr>
        <w:t xml:space="preserve">related to </w:t>
      </w:r>
      <w:r w:rsidRPr="00DD1B58">
        <w:rPr>
          <w:lang w:val="en-US"/>
        </w:rPr>
        <w:t>fire damper</w:t>
      </w:r>
      <w:r w:rsidR="00240F65" w:rsidRPr="00DD1B58">
        <w:rPr>
          <w:lang w:val="en-US"/>
        </w:rPr>
        <w:t xml:space="preserve"> maintenance</w:t>
      </w:r>
      <w:r w:rsidR="00063133" w:rsidRPr="00DD1B58">
        <w:rPr>
          <w:lang w:val="en-US"/>
        </w:rPr>
        <w:t xml:space="preserve">. </w:t>
      </w:r>
      <w:r w:rsidR="004668E0" w:rsidRPr="00DD1B58">
        <w:rPr>
          <w:lang w:val="en-US"/>
        </w:rPr>
        <w:t>Sellafield Ltd.</w:t>
      </w:r>
      <w:r w:rsidR="00063133" w:rsidRPr="00DD1B58">
        <w:rPr>
          <w:lang w:val="en-US"/>
        </w:rPr>
        <w:t xml:space="preserve"> has carried out e</w:t>
      </w:r>
      <w:r w:rsidRPr="00DD1B58">
        <w:rPr>
          <w:lang w:val="en-US"/>
        </w:rPr>
        <w:t xml:space="preserve">xtent of condition reviews and determined that these issues are localised. Whilst </w:t>
      </w:r>
      <w:r w:rsidR="004668E0" w:rsidRPr="00DD1B58">
        <w:rPr>
          <w:lang w:val="en-US"/>
        </w:rPr>
        <w:t xml:space="preserve">Sellafield Ltd. </w:t>
      </w:r>
      <w:r w:rsidR="00063133" w:rsidRPr="00DD1B58">
        <w:rPr>
          <w:lang w:val="en-US"/>
        </w:rPr>
        <w:t xml:space="preserve">does not </w:t>
      </w:r>
      <w:r w:rsidRPr="00DD1B58">
        <w:rPr>
          <w:lang w:val="en-US"/>
        </w:rPr>
        <w:t>claim</w:t>
      </w:r>
      <w:r w:rsidR="00063133" w:rsidRPr="00DD1B58">
        <w:rPr>
          <w:lang w:val="en-US"/>
        </w:rPr>
        <w:t xml:space="preserve"> the systems affected</w:t>
      </w:r>
      <w:r w:rsidRPr="00DD1B58">
        <w:rPr>
          <w:lang w:val="en-US"/>
        </w:rPr>
        <w:t xml:space="preserve"> in the nuclear fire safety case</w:t>
      </w:r>
      <w:r w:rsidR="00063133" w:rsidRPr="00DD1B58">
        <w:rPr>
          <w:lang w:val="en-US"/>
        </w:rPr>
        <w:t>s</w:t>
      </w:r>
      <w:r w:rsidRPr="00DD1B58">
        <w:rPr>
          <w:lang w:val="en-US"/>
        </w:rPr>
        <w:t xml:space="preserve">, </w:t>
      </w:r>
      <w:r w:rsidR="00063133" w:rsidRPr="00DD1B58">
        <w:rPr>
          <w:lang w:val="en-US"/>
        </w:rPr>
        <w:t xml:space="preserve">the systems </w:t>
      </w:r>
      <w:r w:rsidRPr="00DD1B58">
        <w:rPr>
          <w:lang w:val="en-US"/>
        </w:rPr>
        <w:t xml:space="preserve">provide life and property protection </w:t>
      </w:r>
      <w:r w:rsidR="00DF2340" w:rsidRPr="00DD1B58">
        <w:rPr>
          <w:lang w:val="en-US"/>
        </w:rPr>
        <w:t>and therefore required resolution. Regulatory e</w:t>
      </w:r>
      <w:r w:rsidR="00191E96" w:rsidRPr="00DD1B58">
        <w:rPr>
          <w:lang w:val="en-US"/>
        </w:rPr>
        <w:t>ngagement</w:t>
      </w:r>
      <w:r w:rsidR="0089635E" w:rsidRPr="00DD1B58">
        <w:rPr>
          <w:lang w:val="en-US"/>
        </w:rPr>
        <w:t xml:space="preserve"> between ONR and </w:t>
      </w:r>
      <w:r w:rsidR="004668E0" w:rsidRPr="00DD1B58">
        <w:rPr>
          <w:lang w:val="en-US"/>
        </w:rPr>
        <w:t xml:space="preserve">Sellafield Ltd. </w:t>
      </w:r>
      <w:r w:rsidR="0089635E" w:rsidRPr="00DD1B58">
        <w:rPr>
          <w:lang w:val="en-US"/>
        </w:rPr>
        <w:t xml:space="preserve">is ongoing on these aspects and </w:t>
      </w:r>
      <w:r w:rsidR="004668E0" w:rsidRPr="00DD1B58">
        <w:rPr>
          <w:lang w:val="en-US"/>
        </w:rPr>
        <w:t xml:space="preserve">Sellafield Ltd. </w:t>
      </w:r>
      <w:r w:rsidR="00191E96" w:rsidRPr="00DD1B58">
        <w:rPr>
          <w:lang w:val="en-US"/>
        </w:rPr>
        <w:t xml:space="preserve">has established a wireless fire alarm working group to determine how the business adapts to the growing need for rapidly deployable systems. ONR is satisfied that work is also ongoing to improve the efficiency of progressing fire alarm systems from initial design to install as it has been recognised that this process is often much longer than </w:t>
      </w:r>
      <w:r w:rsidR="00A90E5D" w:rsidRPr="00DD1B58">
        <w:rPr>
          <w:lang w:val="en-US"/>
        </w:rPr>
        <w:t>the licensee would prefer</w:t>
      </w:r>
      <w:r w:rsidR="00191E96" w:rsidRPr="00DD1B58">
        <w:rPr>
          <w:lang w:val="en-US"/>
        </w:rPr>
        <w:t>.</w:t>
      </w:r>
    </w:p>
    <w:p w14:paraId="280B8195" w14:textId="77777777" w:rsidR="00D813A6" w:rsidRPr="00DD1B58" w:rsidRDefault="00D813A6" w:rsidP="00177432">
      <w:pPr>
        <w:pStyle w:val="Heading5A"/>
        <w:numPr>
          <w:ilvl w:val="5"/>
          <w:numId w:val="7"/>
        </w:numPr>
        <w:rPr>
          <w:lang w:val="en-US"/>
        </w:rPr>
      </w:pPr>
      <w:r w:rsidRPr="00DD1B58">
        <w:rPr>
          <w:lang w:val="en-US"/>
        </w:rPr>
        <w:t>Overview of actions and implementation status</w:t>
      </w:r>
    </w:p>
    <w:p w14:paraId="5C76F384" w14:textId="681689EC" w:rsidR="00CB4237" w:rsidRPr="00DD1B58" w:rsidRDefault="004668E0" w:rsidP="00B42EBC">
      <w:pPr>
        <w:rPr>
          <w:lang w:val="en-US"/>
        </w:rPr>
      </w:pPr>
      <w:r w:rsidRPr="00DD1B58">
        <w:rPr>
          <w:lang w:val="en-US"/>
        </w:rPr>
        <w:t>Sellafield Ltd.</w:t>
      </w:r>
      <w:r w:rsidR="00FF1BA0" w:rsidRPr="00DD1B58">
        <w:rPr>
          <w:lang w:val="en-US"/>
        </w:rPr>
        <w:t xml:space="preserve"> has</w:t>
      </w:r>
      <w:r w:rsidR="00CB4237" w:rsidRPr="00DD1B58">
        <w:rPr>
          <w:lang w:val="en-US"/>
        </w:rPr>
        <w:t xml:space="preserve"> responded to the issues</w:t>
      </w:r>
      <w:r w:rsidR="0035425C" w:rsidRPr="00DD1B58">
        <w:rPr>
          <w:lang w:val="en-US"/>
        </w:rPr>
        <w:t xml:space="preserve"> highlighted in section</w:t>
      </w:r>
      <w:r w:rsidR="00CB4237" w:rsidRPr="00DD1B58">
        <w:rPr>
          <w:lang w:val="en-US"/>
        </w:rPr>
        <w:t xml:space="preserve"> </w:t>
      </w:r>
      <w:r w:rsidR="00134C44" w:rsidRPr="00DD1B58">
        <w:rPr>
          <w:lang w:val="en-US"/>
        </w:rPr>
        <w:t xml:space="preserve">E-I-3.2.4.2 </w:t>
      </w:r>
      <w:r w:rsidR="00CB4237" w:rsidRPr="00DD1B58">
        <w:rPr>
          <w:lang w:val="en-US"/>
        </w:rPr>
        <w:t xml:space="preserve">by committing to a high-level review within Fire Protection and Engineering, as well as developing an improvement programme to address the root causes of these issues. </w:t>
      </w:r>
      <w:r w:rsidRPr="00DD1B58">
        <w:rPr>
          <w:lang w:val="en-US"/>
        </w:rPr>
        <w:t>Sellafield Ltd.</w:t>
      </w:r>
      <w:r w:rsidR="00FF1BA0" w:rsidRPr="00DD1B58">
        <w:rPr>
          <w:lang w:val="en-US"/>
        </w:rPr>
        <w:t xml:space="preserve"> has</w:t>
      </w:r>
      <w:r w:rsidR="00CB4237" w:rsidRPr="00DD1B58">
        <w:rPr>
          <w:lang w:val="en-US"/>
        </w:rPr>
        <w:t xml:space="preserve"> committed to improving visibility of Fire Protection metrics at both tactical and strategic levels. The tactical levels will improve the facilities’ awareness of the status of any maintenance, obsolescence and operability of systems and the strategic level will ensure appropriate oversight is in place, to mitigate and address any concerns that could implicate Fire Safety.</w:t>
      </w:r>
    </w:p>
    <w:p w14:paraId="5A68E63E" w14:textId="230AAFF8" w:rsidR="009652FD" w:rsidRPr="00DD1B58" w:rsidRDefault="004668E0" w:rsidP="00B42EBC">
      <w:pPr>
        <w:rPr>
          <w:lang w:val="en-US"/>
        </w:rPr>
      </w:pPr>
      <w:r w:rsidRPr="00DD1B58">
        <w:rPr>
          <w:lang w:val="en-US"/>
        </w:rPr>
        <w:t>Sellafield Ltd.</w:t>
      </w:r>
      <w:r w:rsidR="00A43107" w:rsidRPr="00DD1B58">
        <w:rPr>
          <w:lang w:val="en-US"/>
        </w:rPr>
        <w:t xml:space="preserve"> ha</w:t>
      </w:r>
      <w:r w:rsidR="00F03F72" w:rsidRPr="00DD1B58">
        <w:rPr>
          <w:lang w:val="en-US"/>
        </w:rPr>
        <w:t>s</w:t>
      </w:r>
      <w:r w:rsidR="00A43107" w:rsidRPr="00DD1B58">
        <w:rPr>
          <w:lang w:val="en-US"/>
        </w:rPr>
        <w:t xml:space="preserve"> </w:t>
      </w:r>
      <w:r w:rsidR="006D798B" w:rsidRPr="00DD1B58">
        <w:rPr>
          <w:lang w:val="en-US"/>
        </w:rPr>
        <w:t>states that</w:t>
      </w:r>
      <w:r w:rsidR="00B42EBC" w:rsidRPr="00DD1B58">
        <w:rPr>
          <w:lang w:val="en-US"/>
        </w:rPr>
        <w:t xml:space="preserve"> </w:t>
      </w:r>
      <w:r w:rsidR="00A43107" w:rsidRPr="00DD1B58">
        <w:rPr>
          <w:lang w:val="en-US"/>
        </w:rPr>
        <w:t xml:space="preserve">there is a programme of work recently established for </w:t>
      </w:r>
      <w:r w:rsidR="00E34A2A" w:rsidRPr="00DD1B58">
        <w:rPr>
          <w:lang w:val="en-US"/>
        </w:rPr>
        <w:t xml:space="preserve">the </w:t>
      </w:r>
      <w:r w:rsidR="00A43107" w:rsidRPr="00DD1B58">
        <w:rPr>
          <w:lang w:val="en-US"/>
        </w:rPr>
        <w:t xml:space="preserve">production </w:t>
      </w:r>
      <w:r w:rsidR="00B42EBC" w:rsidRPr="00DD1B58">
        <w:rPr>
          <w:lang w:val="en-US"/>
        </w:rPr>
        <w:t>of fire strategies</w:t>
      </w:r>
      <w:r w:rsidR="00A43107" w:rsidRPr="00DD1B58">
        <w:rPr>
          <w:lang w:val="en-US"/>
        </w:rPr>
        <w:t xml:space="preserve"> and they are being produced using a prioritised risk</w:t>
      </w:r>
      <w:r w:rsidR="00B42EBC" w:rsidRPr="00DD1B58">
        <w:rPr>
          <w:lang w:val="en-US"/>
        </w:rPr>
        <w:t>-</w:t>
      </w:r>
      <w:r w:rsidR="00A43107" w:rsidRPr="00DD1B58">
        <w:rPr>
          <w:lang w:val="en-US"/>
        </w:rPr>
        <w:t>based approach. Key nuclear facilities are high priority on the list to be completed.</w:t>
      </w:r>
    </w:p>
    <w:p w14:paraId="0555C9D2" w14:textId="77777777" w:rsidR="00D813A6" w:rsidRPr="00DD1B58" w:rsidRDefault="00D813A6" w:rsidP="00177432">
      <w:pPr>
        <w:pStyle w:val="Heading5A"/>
        <w:rPr>
          <w:lang w:val="en-US"/>
        </w:rPr>
      </w:pPr>
      <w:bookmarkStart w:id="130" w:name="_Ref145058793"/>
      <w:r w:rsidRPr="00DD1B58">
        <w:rPr>
          <w:lang w:val="en-US"/>
        </w:rPr>
        <w:t>Regulator’s assessment of the active fire protection</w:t>
      </w:r>
      <w:bookmarkEnd w:id="130"/>
    </w:p>
    <w:p w14:paraId="472C22FA" w14:textId="77777777" w:rsidR="00D813A6" w:rsidRPr="00DD1B58" w:rsidRDefault="00D813A6" w:rsidP="00177432">
      <w:pPr>
        <w:pStyle w:val="Heading5A"/>
        <w:numPr>
          <w:ilvl w:val="5"/>
          <w:numId w:val="7"/>
        </w:numPr>
        <w:rPr>
          <w:lang w:val="en-US"/>
        </w:rPr>
      </w:pPr>
      <w:r w:rsidRPr="00DD1B58">
        <w:rPr>
          <w:lang w:val="en-US"/>
        </w:rPr>
        <w:t>Overview of strengths and weaknesses in the active fire protection</w:t>
      </w:r>
    </w:p>
    <w:p w14:paraId="0346B8AD" w14:textId="644D7DA6" w:rsidR="00044339" w:rsidRPr="00DD1B58" w:rsidRDefault="00044339" w:rsidP="00044339">
      <w:pPr>
        <w:rPr>
          <w:lang w:val="en-US"/>
        </w:rPr>
      </w:pPr>
      <w:r w:rsidRPr="00DD1B58">
        <w:rPr>
          <w:lang w:val="en-US"/>
        </w:rPr>
        <w:t xml:space="preserve">ONR has considered the information provided by </w:t>
      </w:r>
      <w:r w:rsidR="004668E0" w:rsidRPr="00DD1B58">
        <w:rPr>
          <w:lang w:val="en-US"/>
        </w:rPr>
        <w:t xml:space="preserve">Sellafield Ltd. </w:t>
      </w:r>
      <w:r w:rsidRPr="00DD1B58">
        <w:rPr>
          <w:lang w:val="en-US"/>
        </w:rPr>
        <w:t>against WENRA</w:t>
      </w:r>
      <w:r w:rsidR="0053492D" w:rsidRPr="00DD1B58">
        <w:rPr>
          <w:lang w:val="en-US"/>
        </w:rPr>
        <w:t xml:space="preserve"> SRLs</w:t>
      </w:r>
      <w:r w:rsidRPr="00DD1B58">
        <w:rPr>
          <w:lang w:val="en-US"/>
        </w:rPr>
        <w:t xml:space="preserve"> and IAEA guidance as well as the ONR SAPs</w:t>
      </w:r>
      <w:r w:rsidR="007423DE" w:rsidRPr="00DD1B58">
        <w:rPr>
          <w:lang w:val="en-US"/>
        </w:rPr>
        <w:t xml:space="preserve"> </w:t>
      </w:r>
      <w:sdt>
        <w:sdtPr>
          <w:rPr>
            <w:lang w:val="en-US"/>
          </w:rPr>
          <w:id w:val="986522844"/>
          <w:citation/>
        </w:sdtPr>
        <w:sdtContent>
          <w:r w:rsidR="007423DE" w:rsidRPr="00DD1B58">
            <w:rPr>
              <w:lang w:val="en-US"/>
            </w:rPr>
            <w:fldChar w:fldCharType="begin"/>
          </w:r>
          <w:r w:rsidR="009C6919" w:rsidRPr="00DD1B58">
            <w:rPr>
              <w:lang w:val="en-US"/>
            </w:rPr>
            <w:instrText xml:space="preserve">CITATION Off20 \l 2057 </w:instrText>
          </w:r>
          <w:r w:rsidR="007423DE" w:rsidRPr="00DD1B58">
            <w:rPr>
              <w:lang w:val="en-US"/>
            </w:rPr>
            <w:fldChar w:fldCharType="separate"/>
          </w:r>
          <w:r w:rsidR="00DF47DA" w:rsidRPr="00DF47DA">
            <w:rPr>
              <w:noProof/>
              <w:lang w:val="en-US"/>
            </w:rPr>
            <w:t>[15]</w:t>
          </w:r>
          <w:r w:rsidR="007423DE" w:rsidRPr="00DD1B58">
            <w:rPr>
              <w:lang w:val="en-US"/>
            </w:rPr>
            <w:fldChar w:fldCharType="end"/>
          </w:r>
        </w:sdtContent>
      </w:sdt>
      <w:r w:rsidRPr="00DD1B58">
        <w:rPr>
          <w:lang w:val="en-US"/>
        </w:rPr>
        <w:t xml:space="preserve"> and internal hazards TAG</w:t>
      </w:r>
      <w:r w:rsidR="007423DE" w:rsidRPr="00DD1B58">
        <w:rPr>
          <w:lang w:val="en-US"/>
        </w:rPr>
        <w:t xml:space="preserve"> </w:t>
      </w:r>
      <w:sdt>
        <w:sdtPr>
          <w:rPr>
            <w:lang w:val="en-US"/>
          </w:rPr>
          <w:id w:val="-452406380"/>
          <w:citation/>
        </w:sdtPr>
        <w:sdtContent>
          <w:r w:rsidR="007423DE" w:rsidRPr="00DD1B58">
            <w:rPr>
              <w:lang w:val="en-US"/>
            </w:rPr>
            <w:fldChar w:fldCharType="begin"/>
          </w:r>
          <w:r w:rsidR="007423DE" w:rsidRPr="00DD1B58">
            <w:rPr>
              <w:lang w:val="en-US"/>
            </w:rPr>
            <w:instrText xml:space="preserve"> CITATION ONR4 \l 2057 </w:instrText>
          </w:r>
          <w:r w:rsidR="007423DE" w:rsidRPr="00DD1B58">
            <w:rPr>
              <w:lang w:val="en-US"/>
            </w:rPr>
            <w:fldChar w:fldCharType="separate"/>
          </w:r>
          <w:r w:rsidR="00DF47DA" w:rsidRPr="00DF47DA">
            <w:rPr>
              <w:noProof/>
              <w:lang w:val="en-US"/>
            </w:rPr>
            <w:t>[16]</w:t>
          </w:r>
          <w:r w:rsidR="007423DE" w:rsidRPr="00DD1B58">
            <w:rPr>
              <w:lang w:val="en-US"/>
            </w:rPr>
            <w:fldChar w:fldCharType="end"/>
          </w:r>
        </w:sdtContent>
      </w:sdt>
      <w:r w:rsidRPr="00DD1B58">
        <w:rPr>
          <w:lang w:val="en-US"/>
        </w:rPr>
        <w:t xml:space="preserve">. </w:t>
      </w:r>
    </w:p>
    <w:p w14:paraId="4B276EE2" w14:textId="776FDDC9" w:rsidR="00044339" w:rsidRPr="00DD1B58" w:rsidRDefault="004668E0" w:rsidP="00044339">
      <w:pPr>
        <w:rPr>
          <w:lang w:val="en-US"/>
        </w:rPr>
      </w:pPr>
      <w:r w:rsidRPr="00DD1B58">
        <w:rPr>
          <w:lang w:val="en-US"/>
        </w:rPr>
        <w:t>Sellafield Ltd.</w:t>
      </w:r>
      <w:r w:rsidR="00044339" w:rsidRPr="00DD1B58">
        <w:rPr>
          <w:lang w:val="en-US"/>
        </w:rPr>
        <w:t xml:space="preserve"> has described in section </w:t>
      </w:r>
      <w:r w:rsidR="00E8181E" w:rsidRPr="00DD1B58">
        <w:rPr>
          <w:lang w:val="en-US"/>
        </w:rPr>
        <w:fldChar w:fldCharType="begin"/>
      </w:r>
      <w:r w:rsidR="00E8181E" w:rsidRPr="00DD1B58">
        <w:rPr>
          <w:lang w:val="en-US"/>
        </w:rPr>
        <w:instrText xml:space="preserve"> REF _Ref139556237 \r \h </w:instrText>
      </w:r>
      <w:r w:rsidR="00E8181E" w:rsidRPr="00DD1B58">
        <w:rPr>
          <w:lang w:val="en-US"/>
        </w:rPr>
      </w:r>
      <w:r w:rsidR="00E8181E" w:rsidRPr="00DD1B58">
        <w:rPr>
          <w:lang w:val="en-US"/>
        </w:rPr>
        <w:fldChar w:fldCharType="separate"/>
      </w:r>
      <w:r w:rsidR="00DF47DA">
        <w:rPr>
          <w:lang w:val="en-US"/>
        </w:rPr>
        <w:t>E-I-3.2.1</w:t>
      </w:r>
      <w:r w:rsidR="00E8181E" w:rsidRPr="00DD1B58">
        <w:rPr>
          <w:lang w:val="en-US"/>
        </w:rPr>
        <w:fldChar w:fldCharType="end"/>
      </w:r>
      <w:r w:rsidR="00044339" w:rsidRPr="00DD1B58">
        <w:rPr>
          <w:lang w:val="en-US"/>
        </w:rPr>
        <w:t xml:space="preserve"> how fire alarm and detection systems are identified as Safety Related to ensure EIM&amp;T is prioritised but are generally not relied upon in safety cases. This meets the expectations of the internal hazards TAG </w:t>
      </w:r>
      <w:sdt>
        <w:sdtPr>
          <w:rPr>
            <w:lang w:val="en-US"/>
          </w:rPr>
          <w:id w:val="190963989"/>
          <w:citation/>
        </w:sdtPr>
        <w:sdtContent>
          <w:r w:rsidR="0008573F" w:rsidRPr="00DD1B58">
            <w:rPr>
              <w:lang w:val="en-US"/>
            </w:rPr>
            <w:fldChar w:fldCharType="begin"/>
          </w:r>
          <w:r w:rsidR="0008573F" w:rsidRPr="00DD1B58">
            <w:rPr>
              <w:lang w:val="en-US"/>
            </w:rPr>
            <w:instrText xml:space="preserve"> CITATION ONR4 \l 2057 </w:instrText>
          </w:r>
          <w:r w:rsidR="0008573F" w:rsidRPr="00DD1B58">
            <w:rPr>
              <w:lang w:val="en-US"/>
            </w:rPr>
            <w:fldChar w:fldCharType="separate"/>
          </w:r>
          <w:r w:rsidR="00DF47DA" w:rsidRPr="00DF47DA">
            <w:rPr>
              <w:noProof/>
              <w:lang w:val="en-US"/>
            </w:rPr>
            <w:t>[16]</w:t>
          </w:r>
          <w:r w:rsidR="0008573F" w:rsidRPr="00DD1B58">
            <w:rPr>
              <w:lang w:val="en-US"/>
            </w:rPr>
            <w:fldChar w:fldCharType="end"/>
          </w:r>
        </w:sdtContent>
      </w:sdt>
      <w:r w:rsidR="0008573F" w:rsidRPr="00DD1B58">
        <w:rPr>
          <w:lang w:val="en-US"/>
        </w:rPr>
        <w:t xml:space="preserve"> </w:t>
      </w:r>
      <w:r w:rsidR="00044339" w:rsidRPr="00DD1B58">
        <w:rPr>
          <w:lang w:val="en-US"/>
        </w:rPr>
        <w:t xml:space="preserve">and SRL SV 6.11 regarding EIM&amp;T as well as ONR expectations on the hierarchy of controls in SAPs </w:t>
      </w:r>
      <w:r w:rsidR="00054923" w:rsidRPr="00DD1B58">
        <w:rPr>
          <w:lang w:val="en-US"/>
        </w:rPr>
        <w:t>as described in</w:t>
      </w:r>
      <w:r w:rsidR="00044339" w:rsidRPr="00DD1B58">
        <w:rPr>
          <w:lang w:val="en-US"/>
        </w:rPr>
        <w:t xml:space="preserve"> para 155</w:t>
      </w:r>
      <w:r w:rsidR="00D73FDC" w:rsidRPr="00DD1B58">
        <w:rPr>
          <w:lang w:val="en-US"/>
        </w:rPr>
        <w:t xml:space="preserve"> </w:t>
      </w:r>
      <w:sdt>
        <w:sdtPr>
          <w:rPr>
            <w:lang w:val="en-US"/>
          </w:rPr>
          <w:id w:val="-1776543022"/>
          <w:citation/>
        </w:sdtPr>
        <w:sdtContent>
          <w:r w:rsidR="00D21ACC" w:rsidRPr="00DD1B58">
            <w:rPr>
              <w:lang w:val="en-US"/>
            </w:rPr>
            <w:fldChar w:fldCharType="begin"/>
          </w:r>
          <w:r w:rsidR="00D21ACC" w:rsidRPr="00DD1B58">
            <w:rPr>
              <w:lang w:val="en-US"/>
            </w:rPr>
            <w:instrText xml:space="preserve"> CITATION Off20 \l 2057 </w:instrText>
          </w:r>
          <w:r w:rsidR="00D21ACC" w:rsidRPr="00DD1B58">
            <w:rPr>
              <w:lang w:val="en-US"/>
            </w:rPr>
            <w:fldChar w:fldCharType="separate"/>
          </w:r>
          <w:r w:rsidR="00DF47DA" w:rsidRPr="00DF47DA">
            <w:rPr>
              <w:noProof/>
              <w:lang w:val="en-US"/>
            </w:rPr>
            <w:t>[15]</w:t>
          </w:r>
          <w:r w:rsidR="00D21ACC" w:rsidRPr="00DD1B58">
            <w:rPr>
              <w:lang w:val="en-US"/>
            </w:rPr>
            <w:fldChar w:fldCharType="end"/>
          </w:r>
        </w:sdtContent>
      </w:sdt>
      <w:r w:rsidR="00044339" w:rsidRPr="00DD1B58">
        <w:rPr>
          <w:lang w:val="en-US"/>
        </w:rPr>
        <w:t xml:space="preserve">. While ONR is satisfied that maintenance of nuclear classified systems at Sellafield is adequate, there have been recent instances of fire protections systems without a nuclear claim not being maintained. This is expanded upon in Section 3.5.1.2. </w:t>
      </w:r>
    </w:p>
    <w:p w14:paraId="42D5AA1F" w14:textId="0DBA24C5" w:rsidR="00044339" w:rsidRPr="00DD1B58" w:rsidRDefault="004668E0" w:rsidP="00044339">
      <w:pPr>
        <w:rPr>
          <w:lang w:val="en-US"/>
        </w:rPr>
      </w:pPr>
      <w:r w:rsidRPr="00DD1B58">
        <w:rPr>
          <w:lang w:val="en-US"/>
        </w:rPr>
        <w:t>Sellafield Ltd.</w:t>
      </w:r>
      <w:r w:rsidR="00044339" w:rsidRPr="00DD1B58">
        <w:rPr>
          <w:lang w:val="en-US"/>
        </w:rPr>
        <w:t xml:space="preserve"> has demonstrated a capability for rapid deployment of temporary fire detection and alarm systems where the permanent system has been found to be inadequate by ONR or </w:t>
      </w:r>
      <w:r w:rsidR="00134292" w:rsidRPr="00DD1B58">
        <w:rPr>
          <w:lang w:val="en-US"/>
        </w:rPr>
        <w:t>Sellafield Ltd</w:t>
      </w:r>
      <w:r w:rsidR="00044339" w:rsidRPr="00DD1B58">
        <w:rPr>
          <w:lang w:val="en-US"/>
        </w:rPr>
        <w:t>. ONR judges this to be a positive and necessary capability given the age and status of many facilities at the site.</w:t>
      </w:r>
    </w:p>
    <w:p w14:paraId="19EC45D3" w14:textId="6181E1BC" w:rsidR="00044339" w:rsidRPr="00DD1B58" w:rsidRDefault="00044339" w:rsidP="00044339">
      <w:pPr>
        <w:rPr>
          <w:lang w:val="en-US"/>
        </w:rPr>
      </w:pPr>
      <w:r w:rsidRPr="00DD1B58">
        <w:rPr>
          <w:lang w:val="en-US"/>
        </w:rPr>
        <w:t xml:space="preserve">Fire alarm and detection systems at Sellafield are designed in accordance with RGP, which in the UK is BS5836. Sellafield </w:t>
      </w:r>
      <w:r w:rsidR="00465B5B" w:rsidRPr="00DD1B58">
        <w:rPr>
          <w:lang w:val="en-US"/>
        </w:rPr>
        <w:t xml:space="preserve">has </w:t>
      </w:r>
      <w:r w:rsidRPr="00DD1B58">
        <w:rPr>
          <w:lang w:val="en-US"/>
        </w:rPr>
        <w:t>stated compliance with this standard for all facilities within the sample and ONR understands this is the design intent across the Sellafield estate. The licensee has also described how the Nuclear Fire Hazard Analyses assess the risk associated with nuclear fire and identify the requirements for designation of any fire protection systems for nuclear safety for inclusion in the Engineering Schedule. This meets expectations of SAP EHA.16 and SRL SV 6.8 that the fire detection, alarm and extinguishing systems provided should be commensurate with the fire hazard scenarios stipulated in the safety case and should be appropriately categorised and classified.</w:t>
      </w:r>
    </w:p>
    <w:p w14:paraId="183F6BF9" w14:textId="51164851" w:rsidR="00044339" w:rsidRPr="00DD1B58" w:rsidRDefault="004668E0" w:rsidP="00044339">
      <w:pPr>
        <w:rPr>
          <w:lang w:val="en-US"/>
        </w:rPr>
      </w:pPr>
      <w:r w:rsidRPr="00DD1B58">
        <w:rPr>
          <w:lang w:val="en-US"/>
        </w:rPr>
        <w:t>Sellafield Ltd.</w:t>
      </w:r>
      <w:r w:rsidR="00044339" w:rsidRPr="00DD1B58">
        <w:rPr>
          <w:lang w:val="en-US"/>
        </w:rPr>
        <w:t xml:space="preserve"> places limited claims on fire suppression in the candidate facilities (and across the estate). This approach is in accordance with ONR expectations on the hierarchy of safety measures.</w:t>
      </w:r>
    </w:p>
    <w:p w14:paraId="541DEB66" w14:textId="53C1C2AC" w:rsidR="00857F2C" w:rsidRPr="00DD1B58" w:rsidRDefault="00857F2C" w:rsidP="00857F2C">
      <w:pPr>
        <w:rPr>
          <w:lang w:val="en-US"/>
        </w:rPr>
      </w:pPr>
      <w:r w:rsidRPr="00DD1B58">
        <w:rPr>
          <w:lang w:val="en-US"/>
        </w:rPr>
        <w:t xml:space="preserve">Section </w:t>
      </w:r>
      <w:r w:rsidR="00BC51BA" w:rsidRPr="00DD1B58">
        <w:rPr>
          <w:lang w:val="en-US"/>
        </w:rPr>
        <w:fldChar w:fldCharType="begin"/>
      </w:r>
      <w:r w:rsidR="00BC51BA" w:rsidRPr="00DD1B58">
        <w:rPr>
          <w:lang w:val="en-US"/>
        </w:rPr>
        <w:instrText xml:space="preserve"> REF _Ref139556309 \w \h </w:instrText>
      </w:r>
      <w:r w:rsidR="00BC51BA" w:rsidRPr="00DD1B58">
        <w:rPr>
          <w:lang w:val="en-US"/>
        </w:rPr>
      </w:r>
      <w:r w:rsidR="00BC51BA" w:rsidRPr="00DD1B58">
        <w:rPr>
          <w:lang w:val="en-US"/>
        </w:rPr>
        <w:fldChar w:fldCharType="separate"/>
      </w:r>
      <w:r w:rsidR="00DF47DA">
        <w:rPr>
          <w:lang w:val="en-US"/>
        </w:rPr>
        <w:t>E-I-3.2.3</w:t>
      </w:r>
      <w:r w:rsidR="00BC51BA" w:rsidRPr="00DD1B58">
        <w:rPr>
          <w:lang w:val="en-US"/>
        </w:rPr>
        <w:fldChar w:fldCharType="end"/>
      </w:r>
      <w:r w:rsidRPr="00DD1B58">
        <w:rPr>
          <w:lang w:val="en-US"/>
        </w:rPr>
        <w:t xml:space="preserve"> describes the SF&amp;RS provision on site. ONR judges this to be a strength of the </w:t>
      </w:r>
      <w:r w:rsidR="004668E0" w:rsidRPr="00DD1B58">
        <w:rPr>
          <w:lang w:val="en-US"/>
        </w:rPr>
        <w:t>Sellafield Ltd.</w:t>
      </w:r>
      <w:r w:rsidRPr="00DD1B58">
        <w:rPr>
          <w:lang w:val="en-US"/>
        </w:rPr>
        <w:t xml:space="preserve"> </w:t>
      </w:r>
      <w:r w:rsidR="000A658A" w:rsidRPr="00DD1B58">
        <w:rPr>
          <w:lang w:val="en-US"/>
        </w:rPr>
        <w:t>assessment</w:t>
      </w:r>
      <w:r w:rsidRPr="00DD1B58">
        <w:rPr>
          <w:lang w:val="en-US"/>
        </w:rPr>
        <w:t xml:space="preserve">. While fire service intervention is not credited in the fire hazard analyses, the demonstration of robust arrangements for onsite firefighting and coordination with CF&amp;RS </w:t>
      </w:r>
      <w:r w:rsidR="00C00D22" w:rsidRPr="00DD1B58">
        <w:rPr>
          <w:lang w:val="en-US"/>
        </w:rPr>
        <w:t>provides</w:t>
      </w:r>
      <w:r w:rsidRPr="00DD1B58">
        <w:rPr>
          <w:lang w:val="en-US"/>
        </w:rPr>
        <w:t xml:space="preserve"> defence in depth. ONR judges this to meet the expectations of SRL SV 6.12, 6.13 and 6.14. In addition, the expectations of IAEA SSR-4 for fuel cycle facilities that “specific training and drills for operating personnel, internal and external firefighters and other personnel relevant for emergency response shall be provided relevant to their assigned response functions in the event of a fire or explosion at the facility” are shown to be met</w:t>
      </w:r>
      <w:r w:rsidR="00523B56" w:rsidRPr="00DD1B58">
        <w:rPr>
          <w:lang w:val="en-US"/>
        </w:rPr>
        <w:t xml:space="preserve"> </w:t>
      </w:r>
      <w:sdt>
        <w:sdtPr>
          <w:rPr>
            <w:lang w:val="en-US"/>
          </w:rPr>
          <w:id w:val="-785108717"/>
          <w:citation/>
        </w:sdtPr>
        <w:sdtContent>
          <w:r w:rsidR="00523B56" w:rsidRPr="00DD1B58">
            <w:rPr>
              <w:lang w:val="en-US"/>
            </w:rPr>
            <w:fldChar w:fldCharType="begin"/>
          </w:r>
          <w:r w:rsidR="0042353C" w:rsidRPr="00DD1B58">
            <w:rPr>
              <w:lang w:val="en-US"/>
            </w:rPr>
            <w:instrText xml:space="preserve">CITATION INT17 \l 2057 </w:instrText>
          </w:r>
          <w:r w:rsidR="00523B56" w:rsidRPr="00DD1B58">
            <w:rPr>
              <w:lang w:val="en-US"/>
            </w:rPr>
            <w:fldChar w:fldCharType="separate"/>
          </w:r>
          <w:r w:rsidR="00DF47DA" w:rsidRPr="00DF47DA">
            <w:rPr>
              <w:noProof/>
              <w:lang w:val="en-US"/>
            </w:rPr>
            <w:t>[19]</w:t>
          </w:r>
          <w:r w:rsidR="00523B56" w:rsidRPr="00DD1B58">
            <w:rPr>
              <w:lang w:val="en-US"/>
            </w:rPr>
            <w:fldChar w:fldCharType="end"/>
          </w:r>
        </w:sdtContent>
      </w:sdt>
      <w:r w:rsidRPr="00DD1B58">
        <w:rPr>
          <w:lang w:val="en-US"/>
        </w:rPr>
        <w:t>.</w:t>
      </w:r>
    </w:p>
    <w:p w14:paraId="1ADC8DE3" w14:textId="4669C210" w:rsidR="00857F2C" w:rsidRPr="00DD1B58" w:rsidRDefault="00857F2C" w:rsidP="00857F2C">
      <w:pPr>
        <w:rPr>
          <w:lang w:val="en-US"/>
        </w:rPr>
      </w:pPr>
      <w:r w:rsidRPr="00DD1B58">
        <w:rPr>
          <w:lang w:val="en-US"/>
        </w:rPr>
        <w:t xml:space="preserve">Finally, the licensee has described the process of developing fire safety strategies across the site. These are holistic cases considering all aspects of fire safety. ONR </w:t>
      </w:r>
      <w:r w:rsidR="00C00D22" w:rsidRPr="00DD1B58">
        <w:rPr>
          <w:lang w:val="en-US"/>
        </w:rPr>
        <w:t xml:space="preserve">has </w:t>
      </w:r>
      <w:r w:rsidRPr="00DD1B58">
        <w:rPr>
          <w:lang w:val="en-US"/>
        </w:rPr>
        <w:t>raised this as a point of good practice at inspections of facilities with a strategy in place.</w:t>
      </w:r>
    </w:p>
    <w:p w14:paraId="1A3BEB2C" w14:textId="77777777" w:rsidR="00D813A6" w:rsidRPr="00DD1B58" w:rsidRDefault="00D813A6"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07B9C92F" w14:textId="18DD2777" w:rsidR="00DD6298" w:rsidRPr="00DD1B58" w:rsidRDefault="00DD6298" w:rsidP="00DD6298">
      <w:pPr>
        <w:rPr>
          <w:lang w:val="en-US"/>
        </w:rPr>
      </w:pPr>
      <w:r w:rsidRPr="00DD1B58">
        <w:rPr>
          <w:lang w:val="en-US"/>
        </w:rPr>
        <w:t xml:space="preserve">A 2021 inspection of the First Generation Magnox Storage Pond (FGMSP), a nuclear waste facility not within the candidate installation list, revealed obsolescence and functionality issues with the fire alarm system. These issues led to ONR serving an enforcement notice on the facility in 2022. </w:t>
      </w:r>
      <w:r w:rsidR="004668E0" w:rsidRPr="00DD1B58">
        <w:rPr>
          <w:lang w:val="en-US"/>
        </w:rPr>
        <w:t>Sellafield Ltd.</w:t>
      </w:r>
      <w:r w:rsidRPr="00DD1B58">
        <w:rPr>
          <w:lang w:val="en-US"/>
        </w:rPr>
        <w:t xml:space="preserve"> committed to a full system replacement and in the interim period successfully completed the rapid deployment of a temporary, wireless system in the facility. </w:t>
      </w:r>
    </w:p>
    <w:p w14:paraId="7D67CD83" w14:textId="63004B5D" w:rsidR="008F1373" w:rsidRPr="00DD1B58" w:rsidRDefault="00117F31" w:rsidP="00DD6298">
      <w:pPr>
        <w:rPr>
          <w:lang w:val="en-US"/>
        </w:rPr>
      </w:pPr>
      <w:r w:rsidRPr="00DD1B58">
        <w:rPr>
          <w:lang w:val="en-US"/>
        </w:rPr>
        <w:t>Obsolescence</w:t>
      </w:r>
      <w:r w:rsidR="00AD0A05" w:rsidRPr="00DD1B58">
        <w:rPr>
          <w:lang w:val="en-US"/>
        </w:rPr>
        <w:t xml:space="preserve"> </w:t>
      </w:r>
      <w:r w:rsidRPr="00DD1B58">
        <w:rPr>
          <w:lang w:val="en-US"/>
        </w:rPr>
        <w:t>of</w:t>
      </w:r>
      <w:r w:rsidR="0076755C" w:rsidRPr="00DD1B58">
        <w:rPr>
          <w:lang w:val="en-US"/>
        </w:rPr>
        <w:t xml:space="preserve"> and functionality of aging</w:t>
      </w:r>
      <w:r w:rsidRPr="00DD1B58">
        <w:rPr>
          <w:lang w:val="en-US"/>
        </w:rPr>
        <w:t xml:space="preserve"> fire protection systems is a focus area for ONR at Sellafield. </w:t>
      </w:r>
      <w:r w:rsidR="004668E0" w:rsidRPr="00DD1B58">
        <w:rPr>
          <w:lang w:val="en-US"/>
        </w:rPr>
        <w:t>Sellafield Ltd.</w:t>
      </w:r>
      <w:r w:rsidR="007C510C" w:rsidRPr="00DD1B58">
        <w:rPr>
          <w:lang w:val="en-US"/>
        </w:rPr>
        <w:t xml:space="preserve"> faces ageing management challenges due to the age and complexity of some of its legacy and other facilities. </w:t>
      </w:r>
      <w:r w:rsidR="0088042D" w:rsidRPr="00DD1B58">
        <w:rPr>
          <w:lang w:val="en-US"/>
        </w:rPr>
        <w:t xml:space="preserve">ONR has identified through </w:t>
      </w:r>
      <w:r w:rsidR="00455BE6" w:rsidRPr="00DD1B58">
        <w:rPr>
          <w:lang w:val="en-US"/>
        </w:rPr>
        <w:t>l</w:t>
      </w:r>
      <w:r w:rsidR="00824857" w:rsidRPr="00DD1B58">
        <w:rPr>
          <w:lang w:val="en-US"/>
        </w:rPr>
        <w:t xml:space="preserve">ife fire safety inspections at the site </w:t>
      </w:r>
      <w:r w:rsidR="007C59B6" w:rsidRPr="00DD1B58">
        <w:rPr>
          <w:lang w:val="en-US"/>
        </w:rPr>
        <w:t xml:space="preserve">several </w:t>
      </w:r>
      <w:r w:rsidR="00EE52AD" w:rsidRPr="00DD1B58">
        <w:rPr>
          <w:lang w:val="en-US"/>
        </w:rPr>
        <w:t xml:space="preserve">facilities </w:t>
      </w:r>
      <w:r w:rsidR="007D422A" w:rsidRPr="00DD1B58">
        <w:rPr>
          <w:lang w:val="en-US"/>
        </w:rPr>
        <w:t>with current or imminent obsolescence issues.</w:t>
      </w:r>
      <w:r w:rsidR="00DA4E5D" w:rsidRPr="00DD1B58">
        <w:rPr>
          <w:lang w:val="en-US"/>
        </w:rPr>
        <w:t xml:space="preserve"> </w:t>
      </w:r>
      <w:r w:rsidR="00455BE6" w:rsidRPr="00DD1B58">
        <w:rPr>
          <w:lang w:val="en-US"/>
        </w:rPr>
        <w:t xml:space="preserve">ONR has </w:t>
      </w:r>
      <w:r w:rsidR="00185024" w:rsidRPr="00DD1B58">
        <w:rPr>
          <w:lang w:val="en-US"/>
        </w:rPr>
        <w:t xml:space="preserve">raised </w:t>
      </w:r>
      <w:r w:rsidR="00455BE6" w:rsidRPr="00DD1B58">
        <w:rPr>
          <w:lang w:val="en-US"/>
        </w:rPr>
        <w:t>r</w:t>
      </w:r>
      <w:r w:rsidR="00DA4E5D" w:rsidRPr="00DD1B58">
        <w:rPr>
          <w:lang w:val="en-US"/>
        </w:rPr>
        <w:t xml:space="preserve">egulatory issues </w:t>
      </w:r>
      <w:r w:rsidR="00455BE6" w:rsidRPr="00DD1B58">
        <w:rPr>
          <w:lang w:val="en-US"/>
        </w:rPr>
        <w:t>t</w:t>
      </w:r>
      <w:r w:rsidR="00A2621F" w:rsidRPr="00DD1B58">
        <w:rPr>
          <w:lang w:val="en-US"/>
        </w:rPr>
        <w:t>o track these findings</w:t>
      </w:r>
      <w:r w:rsidR="00185024" w:rsidRPr="00DD1B58">
        <w:rPr>
          <w:lang w:val="en-US"/>
        </w:rPr>
        <w:t xml:space="preserve"> to resolution.</w:t>
      </w:r>
    </w:p>
    <w:p w14:paraId="124418B3" w14:textId="561EAA7C" w:rsidR="00D813A6" w:rsidRPr="00DD1B58" w:rsidRDefault="00DD6298" w:rsidP="00DD6298">
      <w:pPr>
        <w:rPr>
          <w:lang w:val="en-US"/>
        </w:rPr>
      </w:pPr>
      <w:r w:rsidRPr="00DD1B58">
        <w:rPr>
          <w:lang w:val="en-US"/>
        </w:rPr>
        <w:t>The identification of</w:t>
      </w:r>
      <w:r w:rsidR="0075717C" w:rsidRPr="00DD1B58">
        <w:rPr>
          <w:lang w:val="en-US"/>
        </w:rPr>
        <w:t xml:space="preserve"> the above</w:t>
      </w:r>
      <w:r w:rsidRPr="00DD1B58">
        <w:rPr>
          <w:lang w:val="en-US"/>
        </w:rPr>
        <w:t xml:space="preserve"> fire safety issues as part of ONR’s regulatory activity at Sellafield has led to a Level 2 (second highest level) regulatory issue being raised</w:t>
      </w:r>
      <w:r w:rsidR="00440DB1" w:rsidRPr="00DD1B58">
        <w:rPr>
          <w:lang w:val="en-US"/>
        </w:rPr>
        <w:t xml:space="preserve"> with an expected closure date of</w:t>
      </w:r>
      <w:r w:rsidRPr="00DD1B58">
        <w:rPr>
          <w:lang w:val="en-US"/>
        </w:rPr>
        <w:t xml:space="preserve"> </w:t>
      </w:r>
      <w:r w:rsidR="00130CCC" w:rsidRPr="00DD1B58">
        <w:rPr>
          <w:lang w:val="en-US"/>
        </w:rPr>
        <w:t xml:space="preserve">end 2023. </w:t>
      </w:r>
      <w:r w:rsidR="004668E0" w:rsidRPr="00DD1B58">
        <w:rPr>
          <w:color w:val="000000" w:themeColor="text2"/>
          <w:lang w:val="en-US"/>
        </w:rPr>
        <w:t>Sellafield Ltd.</w:t>
      </w:r>
      <w:r w:rsidRPr="00DD1B58">
        <w:rPr>
          <w:color w:val="000000" w:themeColor="text2"/>
          <w:lang w:val="en-US"/>
        </w:rPr>
        <w:t xml:space="preserve"> ha</w:t>
      </w:r>
      <w:r w:rsidR="00F03F72" w:rsidRPr="00DD1B58">
        <w:rPr>
          <w:color w:val="000000" w:themeColor="text2"/>
          <w:lang w:val="en-US"/>
        </w:rPr>
        <w:t>s</w:t>
      </w:r>
      <w:r w:rsidRPr="00DD1B58">
        <w:rPr>
          <w:color w:val="000000" w:themeColor="text2"/>
          <w:lang w:val="en-US"/>
        </w:rPr>
        <w:t xml:space="preserve"> committed to develop and implement a strategic fire safety improvement plan at the site</w:t>
      </w:r>
      <w:r w:rsidR="00BA2931" w:rsidRPr="00DD1B58">
        <w:rPr>
          <w:color w:val="000000" w:themeColor="text2"/>
          <w:lang w:val="en-US"/>
        </w:rPr>
        <w:t xml:space="preserve"> and this is tracked </w:t>
      </w:r>
      <w:r w:rsidR="00C86864" w:rsidRPr="00DD1B58">
        <w:rPr>
          <w:color w:val="000000" w:themeColor="text2"/>
          <w:lang w:val="en-US"/>
        </w:rPr>
        <w:t>by ONR through the regulatory issue</w:t>
      </w:r>
      <w:r w:rsidRPr="00DD1B58">
        <w:rPr>
          <w:color w:val="000000" w:themeColor="text2"/>
          <w:lang w:val="en-US"/>
        </w:rPr>
        <w:t>.</w:t>
      </w:r>
      <w:r w:rsidR="005E03B7" w:rsidRPr="00DD1B58">
        <w:rPr>
          <w:lang w:val="en-US"/>
        </w:rPr>
        <w:br w:type="page"/>
      </w:r>
    </w:p>
    <w:p w14:paraId="5974331D" w14:textId="55B219DB" w:rsidR="00D813A6" w:rsidRPr="00DD1B58" w:rsidRDefault="00D813A6" w:rsidP="00177432">
      <w:pPr>
        <w:pStyle w:val="Heading3A"/>
        <w:rPr>
          <w:lang w:val="en-US"/>
        </w:rPr>
      </w:pPr>
      <w:bookmarkStart w:id="131" w:name="_Toc147090650"/>
      <w:r w:rsidRPr="00DD1B58">
        <w:rPr>
          <w:lang w:val="en-US"/>
        </w:rPr>
        <w:t xml:space="preserve">Facilities </w:t>
      </w:r>
      <w:r w:rsidR="001D6A56" w:rsidRPr="00DD1B58">
        <w:rPr>
          <w:lang w:val="en-US"/>
        </w:rPr>
        <w:t>u</w:t>
      </w:r>
      <w:r w:rsidRPr="00DD1B58">
        <w:rPr>
          <w:lang w:val="en-US"/>
        </w:rPr>
        <w:t xml:space="preserve">nder </w:t>
      </w:r>
      <w:r w:rsidR="001D6A56" w:rsidRPr="00DD1B58">
        <w:rPr>
          <w:lang w:val="en-US"/>
        </w:rPr>
        <w:t>d</w:t>
      </w:r>
      <w:r w:rsidR="00FD7A53" w:rsidRPr="00DD1B58">
        <w:rPr>
          <w:lang w:val="en-US"/>
        </w:rPr>
        <w:t>ecommissioning</w:t>
      </w:r>
      <w:bookmarkEnd w:id="131"/>
    </w:p>
    <w:p w14:paraId="59D9C031" w14:textId="2577ACEE" w:rsidR="00F45548" w:rsidRPr="00DD1B58" w:rsidRDefault="00F45548" w:rsidP="00F45548">
      <w:pPr>
        <w:rPr>
          <w:lang w:val="en-US"/>
        </w:rPr>
      </w:pPr>
      <w:r w:rsidRPr="00DD1B58">
        <w:rPr>
          <w:lang w:val="en-US"/>
        </w:rPr>
        <w:t xml:space="preserve">The text in the Sections below has been prepared by Dounreay Site Restoration </w:t>
      </w:r>
      <w:r w:rsidR="00BF0D1B" w:rsidRPr="00DD1B58">
        <w:rPr>
          <w:lang w:val="en-US"/>
        </w:rPr>
        <w:t>Ltd</w:t>
      </w:r>
      <w:r w:rsidRPr="00DD1B58">
        <w:rPr>
          <w:lang w:val="en-US"/>
        </w:rPr>
        <w:t xml:space="preserve"> Background information on the site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11AEFDC8" w14:textId="2AF8A003" w:rsidR="00D813A6" w:rsidRPr="00DD1B58" w:rsidRDefault="00D813A6" w:rsidP="00177432">
      <w:pPr>
        <w:pStyle w:val="Heading4A"/>
        <w:rPr>
          <w:lang w:val="en-US"/>
        </w:rPr>
      </w:pPr>
      <w:r w:rsidRPr="00DD1B58">
        <w:rPr>
          <w:lang w:val="en-US"/>
        </w:rPr>
        <w:t xml:space="preserve">  Dounreay</w:t>
      </w:r>
    </w:p>
    <w:p w14:paraId="014A9D4E" w14:textId="77777777" w:rsidR="00D813A6" w:rsidRPr="00DD1B58" w:rsidRDefault="00D813A6" w:rsidP="00177432">
      <w:pPr>
        <w:pStyle w:val="Heading5A"/>
        <w:rPr>
          <w:lang w:val="en-US"/>
        </w:rPr>
      </w:pPr>
      <w:r w:rsidRPr="00DD1B58">
        <w:rPr>
          <w:lang w:val="en-US"/>
        </w:rPr>
        <w:t>Fire detection and alarm provisions</w:t>
      </w:r>
    </w:p>
    <w:p w14:paraId="26815CEE" w14:textId="717F3AA0" w:rsidR="004C4BB5" w:rsidRPr="00DD1B58" w:rsidRDefault="00BA79BB" w:rsidP="0080159E">
      <w:pPr>
        <w:pStyle w:val="Default"/>
        <w:rPr>
          <w:lang w:val="en-US"/>
        </w:rPr>
      </w:pPr>
      <w:r w:rsidRPr="00DD1B58">
        <w:rPr>
          <w:lang w:val="en-US"/>
        </w:rPr>
        <w:t>Dounreay assesses faults and classifies</w:t>
      </w:r>
      <w:r w:rsidR="0080159E" w:rsidRPr="00DD1B58">
        <w:rPr>
          <w:lang w:val="en-US"/>
        </w:rPr>
        <w:t xml:space="preserve"> the preventative and mitigatory controls on the basis of the consequences. </w:t>
      </w:r>
      <w:r w:rsidR="00690AE8" w:rsidRPr="00DD1B58">
        <w:rPr>
          <w:lang w:val="en-US"/>
        </w:rPr>
        <w:t xml:space="preserve">Dounreay </w:t>
      </w:r>
      <w:r w:rsidR="006D798B" w:rsidRPr="00DD1B58">
        <w:rPr>
          <w:lang w:val="en-US"/>
        </w:rPr>
        <w:t>reports that</w:t>
      </w:r>
      <w:r w:rsidR="00690AE8" w:rsidRPr="00DD1B58">
        <w:rPr>
          <w:lang w:val="en-US"/>
        </w:rPr>
        <w:t xml:space="preserve"> the </w:t>
      </w:r>
      <w:r w:rsidR="0080159E" w:rsidRPr="00DD1B58">
        <w:rPr>
          <w:lang w:val="en-US"/>
        </w:rPr>
        <w:t>PFR fire alarm and detection system is a SSSC Class 4</w:t>
      </w:r>
      <w:r w:rsidR="00690AE8" w:rsidRPr="00DD1B58">
        <w:rPr>
          <w:lang w:val="en-US"/>
        </w:rPr>
        <w:t xml:space="preserve"> and that the </w:t>
      </w:r>
      <w:r w:rsidR="0080159E" w:rsidRPr="00DD1B58">
        <w:rPr>
          <w:lang w:val="en-US"/>
        </w:rPr>
        <w:t>safety function and performance requirements of the SSSC are identified in the Engineering Schedule.</w:t>
      </w:r>
    </w:p>
    <w:p w14:paraId="4BD6D4A7" w14:textId="77777777" w:rsidR="00C11AA7" w:rsidRPr="00DD1B58" w:rsidRDefault="00C11AA7" w:rsidP="0080159E">
      <w:pPr>
        <w:pStyle w:val="Default"/>
        <w:rPr>
          <w:lang w:val="en-US"/>
        </w:rPr>
      </w:pPr>
    </w:p>
    <w:p w14:paraId="0BA8E6DF" w14:textId="77777777" w:rsidR="004C4BB5" w:rsidRPr="00DD1B58" w:rsidRDefault="004C4BB5" w:rsidP="0080159E">
      <w:pPr>
        <w:pStyle w:val="Default"/>
        <w:rPr>
          <w:lang w:val="en-US"/>
        </w:rPr>
      </w:pPr>
      <w:r w:rsidRPr="00DD1B58">
        <w:rPr>
          <w:lang w:val="en-US"/>
        </w:rPr>
        <w:t xml:space="preserve">The main features </w:t>
      </w:r>
      <w:r w:rsidR="00C11AA7" w:rsidRPr="00DD1B58">
        <w:rPr>
          <w:lang w:val="en-US"/>
        </w:rPr>
        <w:t>of fire detection and alarm provision a</w:t>
      </w:r>
      <w:r w:rsidR="00A51141" w:rsidRPr="00DD1B58">
        <w:rPr>
          <w:lang w:val="en-US"/>
        </w:rPr>
        <w:t>t</w:t>
      </w:r>
      <w:r w:rsidR="00C11AA7" w:rsidRPr="00DD1B58">
        <w:rPr>
          <w:lang w:val="en-US"/>
        </w:rPr>
        <w:t xml:space="preserve"> PFR provided by Dounreay</w:t>
      </w:r>
      <w:r w:rsidR="00A51141" w:rsidRPr="00DD1B58">
        <w:rPr>
          <w:lang w:val="en-US"/>
        </w:rPr>
        <w:t xml:space="preserve">, </w:t>
      </w:r>
      <w:r w:rsidR="00C11AA7" w:rsidRPr="00DD1B58">
        <w:rPr>
          <w:lang w:val="en-US"/>
        </w:rPr>
        <w:t>reproduced literally from Dounreay’s self-assessment</w:t>
      </w:r>
      <w:r w:rsidR="00A51141" w:rsidRPr="00DD1B58">
        <w:rPr>
          <w:lang w:val="en-US"/>
        </w:rPr>
        <w:t>, are</w:t>
      </w:r>
      <w:r w:rsidR="00C11AA7" w:rsidRPr="00DD1B58">
        <w:rPr>
          <w:lang w:val="en-US"/>
        </w:rPr>
        <w:t xml:space="preserve"> as follows:</w:t>
      </w:r>
    </w:p>
    <w:p w14:paraId="69ADACDC" w14:textId="77777777" w:rsidR="0080159E" w:rsidRPr="00DD1B58" w:rsidRDefault="0080159E" w:rsidP="0080159E">
      <w:pPr>
        <w:pStyle w:val="Default"/>
        <w:rPr>
          <w:lang w:val="en-US"/>
        </w:rPr>
      </w:pPr>
    </w:p>
    <w:p w14:paraId="46CD686F" w14:textId="77777777" w:rsidR="0080159E" w:rsidRPr="00DD1B58" w:rsidRDefault="0080159E" w:rsidP="00973FF4">
      <w:pPr>
        <w:pStyle w:val="Bulletlist1"/>
        <w:rPr>
          <w:lang w:val="en-US"/>
        </w:rPr>
      </w:pPr>
      <w:r w:rsidRPr="00DD1B58">
        <w:rPr>
          <w:lang w:val="en-US"/>
        </w:rPr>
        <w:t>Automatic smoke detection is provided in parts of most of the buildings in the PFR complex; however, the coverage of detection does not extend throughout all areas of the buildings. The automatic fire detection initiates the fire alarm in the building automatically and concurrently raises an alarm at the site fire station control room. The PFR fire alarm panel is repeated in the fire station control room, enabling the Fire Service to identify the zone in which the fire is located prior to attending the building, if required the DFARS can determine the specific detector head that has initiated. The device level resolution is also repeated in the fire station.</w:t>
      </w:r>
    </w:p>
    <w:p w14:paraId="2CD7D30F" w14:textId="77777777" w:rsidR="00EA4BE5" w:rsidRPr="00DD1B58" w:rsidRDefault="0080159E" w:rsidP="00973FF4">
      <w:pPr>
        <w:pStyle w:val="Bulletlist1"/>
        <w:rPr>
          <w:lang w:val="en-US"/>
        </w:rPr>
      </w:pPr>
      <w:r w:rsidRPr="00DD1B58">
        <w:rPr>
          <w:lang w:val="en-US"/>
        </w:rPr>
        <w:t>Manual fire call points are located throughout the facility, initiation of any of these will also raise the alarm at the site fire station.</w:t>
      </w:r>
      <w:r w:rsidR="00EA4BE5" w:rsidRPr="00DD1B58">
        <w:rPr>
          <w:lang w:val="en-US"/>
        </w:rPr>
        <w:t xml:space="preserve"> There are no automatic fire suppression systems at PFR.</w:t>
      </w:r>
    </w:p>
    <w:p w14:paraId="21C5BF43" w14:textId="5739C159" w:rsidR="00401655" w:rsidRPr="00DD1B58" w:rsidRDefault="00EA728B" w:rsidP="00973FF4">
      <w:pPr>
        <w:pStyle w:val="Bulletlist1"/>
        <w:rPr>
          <w:lang w:val="en-US"/>
        </w:rPr>
      </w:pPr>
      <w:r w:rsidRPr="00DD1B58">
        <w:rPr>
          <w:lang w:val="en-US"/>
        </w:rPr>
        <w:t>S</w:t>
      </w:r>
      <w:r w:rsidR="0080159E" w:rsidRPr="00DD1B58">
        <w:rPr>
          <w:lang w:val="en-US"/>
        </w:rPr>
        <w:t>hould a smoke detector or a manual call point be activated, the building fire alarm will annunciate. This will prompt the simultaneous evacuation of all occupants of the PFR complex. The fire alarm system is claimed within the radiological hazard analysis as the means to prompt evacuation of personnel from the plant.</w:t>
      </w:r>
      <w:r w:rsidR="00401655" w:rsidRPr="00DD1B58">
        <w:rPr>
          <w:lang w:val="en-US"/>
        </w:rPr>
        <w:t xml:space="preserve"> No claim is made on site fire service intervention. In regard to alkali metal fires, the visibility and the effects of caustic smoke are assessed and identified as a means that provokes evacuation. All personnel are trained in fire safety and PFR personnel are made aware of alkali metal hazards.</w:t>
      </w:r>
    </w:p>
    <w:p w14:paraId="583B2725" w14:textId="745F33AD" w:rsidR="003C717B" w:rsidRPr="00DD1B58" w:rsidRDefault="00690AE8" w:rsidP="00862E3E">
      <w:pPr>
        <w:pStyle w:val="Default"/>
        <w:rPr>
          <w:lang w:val="en-US"/>
        </w:rPr>
      </w:pPr>
      <w:r w:rsidRPr="00DD1B58">
        <w:rPr>
          <w:lang w:val="en-US"/>
        </w:rPr>
        <w:t>Dounreay considers t</w:t>
      </w:r>
      <w:r w:rsidR="00EA728B" w:rsidRPr="00DD1B58">
        <w:rPr>
          <w:lang w:val="en-US"/>
        </w:rPr>
        <w:t>he above</w:t>
      </w:r>
      <w:r w:rsidRPr="00DD1B58">
        <w:rPr>
          <w:lang w:val="en-US"/>
        </w:rPr>
        <w:t xml:space="preserve"> meets</w:t>
      </w:r>
      <w:r w:rsidR="00F42F15" w:rsidRPr="00DD1B58">
        <w:rPr>
          <w:lang w:val="en-US"/>
        </w:rPr>
        <w:t xml:space="preserve"> WENRA SV 6.8. </w:t>
      </w:r>
    </w:p>
    <w:p w14:paraId="70599DEA" w14:textId="77777777" w:rsidR="00F02E62" w:rsidRPr="00DD1B58" w:rsidRDefault="00F02E62" w:rsidP="00862E3E">
      <w:pPr>
        <w:pStyle w:val="Default"/>
        <w:rPr>
          <w:sz w:val="23"/>
          <w:szCs w:val="23"/>
          <w:lang w:val="en-US"/>
        </w:rPr>
      </w:pPr>
    </w:p>
    <w:p w14:paraId="390C144B" w14:textId="77777777" w:rsidR="00D813A6" w:rsidRPr="00DD1B58" w:rsidRDefault="00D813A6" w:rsidP="00177432">
      <w:pPr>
        <w:pStyle w:val="Heading5A"/>
        <w:numPr>
          <w:ilvl w:val="5"/>
          <w:numId w:val="7"/>
        </w:numPr>
        <w:rPr>
          <w:lang w:val="en-US"/>
        </w:rPr>
      </w:pPr>
      <w:r w:rsidRPr="00DD1B58">
        <w:rPr>
          <w:lang w:val="en-US"/>
        </w:rPr>
        <w:t>Design Approach</w:t>
      </w:r>
    </w:p>
    <w:p w14:paraId="1F734582" w14:textId="163838C0" w:rsidR="00A51141" w:rsidRPr="00DD1B58" w:rsidRDefault="00F81052" w:rsidP="005068C3">
      <w:pPr>
        <w:rPr>
          <w:lang w:val="en-US"/>
        </w:rPr>
      </w:pPr>
      <w:r w:rsidRPr="00DD1B58">
        <w:rPr>
          <w:lang w:val="en-US"/>
        </w:rPr>
        <w:t xml:space="preserve">PFR is a large building with different areas and </w:t>
      </w:r>
      <w:r w:rsidR="00612523" w:rsidRPr="00DD1B58">
        <w:rPr>
          <w:lang w:val="en-US"/>
        </w:rPr>
        <w:t xml:space="preserve">Dounreay considers that the </w:t>
      </w:r>
      <w:r w:rsidRPr="00DD1B58">
        <w:rPr>
          <w:lang w:val="en-US"/>
        </w:rPr>
        <w:t>fire alarm system has been designed to accommodate this.</w:t>
      </w:r>
      <w:r w:rsidR="004E4F6F" w:rsidRPr="00DD1B58">
        <w:rPr>
          <w:lang w:val="en-US"/>
        </w:rPr>
        <w:t xml:space="preserve"> </w:t>
      </w:r>
    </w:p>
    <w:p w14:paraId="243E51E9" w14:textId="77777777" w:rsidR="00A51141" w:rsidRPr="00DD1B58" w:rsidRDefault="00A51141" w:rsidP="00A51141">
      <w:pPr>
        <w:pStyle w:val="Default"/>
        <w:rPr>
          <w:lang w:val="en-US"/>
        </w:rPr>
      </w:pPr>
      <w:r w:rsidRPr="00DD1B58">
        <w:rPr>
          <w:lang w:val="en-US"/>
        </w:rPr>
        <w:t>The design characteristics provided by Dounreay, reproduced literally from Dounreay’s self-assessment, are as follows:</w:t>
      </w:r>
    </w:p>
    <w:p w14:paraId="05D92EA4" w14:textId="77777777" w:rsidR="00A51141" w:rsidRPr="00DD1B58" w:rsidRDefault="00A51141" w:rsidP="005068C3">
      <w:pPr>
        <w:rPr>
          <w:lang w:val="en-US"/>
        </w:rPr>
      </w:pPr>
    </w:p>
    <w:p w14:paraId="77DEF8A1" w14:textId="2F09F904" w:rsidR="00140D7D" w:rsidRPr="00DD1B58" w:rsidRDefault="00F81052" w:rsidP="00973FF4">
      <w:pPr>
        <w:pStyle w:val="Bulletlist1"/>
        <w:rPr>
          <w:lang w:val="en-US"/>
        </w:rPr>
      </w:pPr>
      <w:r w:rsidRPr="00DD1B58">
        <w:rPr>
          <w:lang w:val="en-US"/>
        </w:rPr>
        <w:t xml:space="preserve">The fire alarm system </w:t>
      </w:r>
      <w:r w:rsidR="00921C9D" w:rsidRPr="00DD1B58">
        <w:rPr>
          <w:lang w:val="en-US"/>
        </w:rPr>
        <w:t>at PFR consists of</w:t>
      </w:r>
      <w:r w:rsidR="005068C3" w:rsidRPr="00DD1B58">
        <w:rPr>
          <w:lang w:val="en-US"/>
        </w:rPr>
        <w:t xml:space="preserve"> </w:t>
      </w:r>
      <w:r w:rsidR="00E07B1A" w:rsidRPr="00DD1B58">
        <w:rPr>
          <w:lang w:val="en-US"/>
        </w:rPr>
        <w:t>multiple</w:t>
      </w:r>
      <w:r w:rsidR="00921C9D" w:rsidRPr="00DD1B58">
        <w:rPr>
          <w:lang w:val="en-US"/>
        </w:rPr>
        <w:t xml:space="preserve"> fire panels</w:t>
      </w:r>
      <w:r w:rsidR="00CB5D7E" w:rsidRPr="00DD1B58">
        <w:rPr>
          <w:lang w:val="en-US"/>
        </w:rPr>
        <w:t xml:space="preserve"> </w:t>
      </w:r>
      <w:r w:rsidR="00E07B1A" w:rsidRPr="00DD1B58">
        <w:rPr>
          <w:lang w:val="en-US"/>
        </w:rPr>
        <w:t xml:space="preserve">and Graphix PCs </w:t>
      </w:r>
      <w:r w:rsidR="00CB5D7E" w:rsidRPr="00DD1B58">
        <w:rPr>
          <w:lang w:val="en-US"/>
        </w:rPr>
        <w:t xml:space="preserve">all interconnected </w:t>
      </w:r>
      <w:r w:rsidR="00861244" w:rsidRPr="00DD1B58">
        <w:rPr>
          <w:lang w:val="en-US"/>
        </w:rPr>
        <w:t>at PFR</w:t>
      </w:r>
      <w:r w:rsidR="005068C3" w:rsidRPr="00DD1B58">
        <w:rPr>
          <w:lang w:val="en-US"/>
        </w:rPr>
        <w:t xml:space="preserve">. </w:t>
      </w:r>
      <w:r w:rsidR="004948E9" w:rsidRPr="00DD1B58">
        <w:rPr>
          <w:lang w:val="en-US"/>
        </w:rPr>
        <w:t>The system includes panels located a</w:t>
      </w:r>
      <w:r w:rsidR="00713AE6" w:rsidRPr="00DD1B58">
        <w:rPr>
          <w:lang w:val="en-US"/>
        </w:rPr>
        <w:t>t</w:t>
      </w:r>
      <w:r w:rsidR="004948E9" w:rsidRPr="00DD1B58">
        <w:rPr>
          <w:lang w:val="en-US"/>
        </w:rPr>
        <w:t xml:space="preserve"> PFR and remote from the facility.</w:t>
      </w:r>
      <w:r w:rsidR="005068C3" w:rsidRPr="00DD1B58">
        <w:rPr>
          <w:lang w:val="en-US"/>
        </w:rPr>
        <w:t xml:space="preserve"> </w:t>
      </w:r>
      <w:r w:rsidR="00140D7D" w:rsidRPr="00DD1B58">
        <w:rPr>
          <w:lang w:val="en-US"/>
        </w:rPr>
        <w:t>All panels speak to each other, and all alarms come up on all PCs.</w:t>
      </w:r>
    </w:p>
    <w:p w14:paraId="3DF42B64" w14:textId="77777777" w:rsidR="00140D7D" w:rsidRPr="00DD1B58" w:rsidRDefault="00140D7D" w:rsidP="00973FF4">
      <w:pPr>
        <w:pStyle w:val="Bulletlist1"/>
        <w:rPr>
          <w:lang w:val="en-US"/>
        </w:rPr>
      </w:pPr>
      <w:r w:rsidRPr="00DD1B58">
        <w:rPr>
          <w:lang w:val="en-US"/>
        </w:rPr>
        <w:t>The fire panels are located around PFR to ensure adequate coverage of the different areas e.g. Reactor Hall, ETP, Cable basement. Within each panel there are different zones that cover sub areas within the larger area e.g., the different floor levels are each on a different zone.</w:t>
      </w:r>
    </w:p>
    <w:p w14:paraId="15265040" w14:textId="77777777" w:rsidR="00140D7D" w:rsidRPr="00DD1B58" w:rsidRDefault="00140D7D" w:rsidP="00973FF4">
      <w:pPr>
        <w:pStyle w:val="Bulletlist1"/>
        <w:rPr>
          <w:lang w:val="en-US"/>
        </w:rPr>
      </w:pPr>
      <w:r w:rsidRPr="00DD1B58">
        <w:rPr>
          <w:lang w:val="en-US"/>
        </w:rPr>
        <w:t>The system was installed to give the best coverage of the plant whist letting the fire service and plant personnel identify the exact location of the fire before entry to the building. The components within the system are self-testing and if a fault occurs this will be notified and then be rectified. There are no alternative technologies used.</w:t>
      </w:r>
    </w:p>
    <w:p w14:paraId="5753ACDE" w14:textId="77777777" w:rsidR="00140D7D" w:rsidRPr="00DD1B58" w:rsidRDefault="00140D7D" w:rsidP="00973FF4">
      <w:pPr>
        <w:pStyle w:val="Bulletlist1"/>
        <w:rPr>
          <w:lang w:val="en-US"/>
        </w:rPr>
      </w:pPr>
      <w:r w:rsidRPr="00DD1B58">
        <w:rPr>
          <w:lang w:val="en-US"/>
        </w:rPr>
        <w:t>Heat and smoke detectors are utilised throughout the facility. They are routinely maintained and tested to ensure that operate as per requirements. Detector locations are reviewed and advised by the on-site Fire Advisor.</w:t>
      </w:r>
    </w:p>
    <w:p w14:paraId="00586430" w14:textId="77777777" w:rsidR="00917250" w:rsidRPr="00DD1B58" w:rsidRDefault="00140D7D" w:rsidP="00973FF4">
      <w:pPr>
        <w:pStyle w:val="Bulletlist1"/>
        <w:rPr>
          <w:lang w:val="en-US"/>
        </w:rPr>
      </w:pPr>
      <w:r w:rsidRPr="00DD1B58">
        <w:rPr>
          <w:lang w:val="en-US"/>
        </w:rPr>
        <w:t>The fire alarm and detection system does not actuate protection measures, its primary function is to detect a fire and to provide an alarm to personnel.</w:t>
      </w:r>
    </w:p>
    <w:p w14:paraId="06711239" w14:textId="77777777" w:rsidR="00662F5A" w:rsidRPr="00DD1B58" w:rsidRDefault="00D813A6" w:rsidP="00177432">
      <w:pPr>
        <w:pStyle w:val="Heading5A"/>
        <w:numPr>
          <w:ilvl w:val="5"/>
          <w:numId w:val="7"/>
        </w:numPr>
        <w:rPr>
          <w:lang w:val="en-US"/>
        </w:rPr>
      </w:pPr>
      <w:r w:rsidRPr="00DD1B58">
        <w:rPr>
          <w:lang w:val="en-US"/>
        </w:rPr>
        <w:t>Types, main characteristics and performance expectations</w:t>
      </w:r>
    </w:p>
    <w:p w14:paraId="3AD4C4E3" w14:textId="1453C656" w:rsidR="00425711" w:rsidRPr="00DD1B58" w:rsidRDefault="00251E53" w:rsidP="00425711">
      <w:pPr>
        <w:pStyle w:val="Default"/>
        <w:rPr>
          <w:lang w:val="en-US"/>
        </w:rPr>
      </w:pPr>
      <w:r w:rsidRPr="00DD1B58">
        <w:rPr>
          <w:lang w:val="en-US"/>
        </w:rPr>
        <w:t xml:space="preserve">Dounreay reports that the </w:t>
      </w:r>
      <w:r w:rsidR="00425711" w:rsidRPr="00DD1B58">
        <w:rPr>
          <w:lang w:val="en-US"/>
        </w:rPr>
        <w:t>fire alarm and detection system can report the temperature and how clean each detector head is. This information can be found at each panel. The PFR system gives the details of which detector head has gone into alarm and the location.</w:t>
      </w:r>
    </w:p>
    <w:p w14:paraId="0F920A71" w14:textId="77777777" w:rsidR="00425711" w:rsidRPr="00DD1B58" w:rsidRDefault="00425711" w:rsidP="00425711">
      <w:pPr>
        <w:pStyle w:val="Default"/>
        <w:rPr>
          <w:lang w:val="en-US"/>
        </w:rPr>
      </w:pPr>
    </w:p>
    <w:p w14:paraId="70A73996" w14:textId="77777777" w:rsidR="005E6983" w:rsidRPr="00DD1B58" w:rsidRDefault="00425711" w:rsidP="005E6983">
      <w:pPr>
        <w:pStyle w:val="Default"/>
        <w:rPr>
          <w:lang w:val="en-US"/>
        </w:rPr>
      </w:pPr>
      <w:r w:rsidRPr="00DD1B58">
        <w:rPr>
          <w:lang w:val="en-US"/>
        </w:rPr>
        <w:t>The on-site Fire Service Control Room (known as the fire station) has a repeater panel of the fire detection and control system. Should a fire be detected, the panel will sound and indicate fire which alerts the Fire Service Control Room operator who will mobilise the on-site fire crews</w:t>
      </w:r>
      <w:r w:rsidR="007C5CF4" w:rsidRPr="00DD1B58">
        <w:rPr>
          <w:lang w:val="en-US"/>
        </w:rPr>
        <w:t>.</w:t>
      </w:r>
      <w:r w:rsidR="005E6983" w:rsidRPr="00DD1B58">
        <w:rPr>
          <w:lang w:val="en-US"/>
        </w:rPr>
        <w:t xml:space="preserve"> </w:t>
      </w:r>
    </w:p>
    <w:p w14:paraId="5A591398" w14:textId="77777777" w:rsidR="005E6983" w:rsidRPr="00DD1B58" w:rsidRDefault="005E6983" w:rsidP="005E6983">
      <w:pPr>
        <w:pStyle w:val="Default"/>
        <w:rPr>
          <w:lang w:val="en-US"/>
        </w:rPr>
      </w:pPr>
    </w:p>
    <w:p w14:paraId="2651A1D6" w14:textId="77777777" w:rsidR="005E6983" w:rsidRPr="00DD1B58" w:rsidRDefault="005E6983" w:rsidP="005E6983">
      <w:pPr>
        <w:pStyle w:val="Default"/>
        <w:rPr>
          <w:lang w:val="en-US"/>
        </w:rPr>
      </w:pPr>
      <w:r w:rsidRPr="00DD1B58">
        <w:rPr>
          <w:lang w:val="en-US"/>
        </w:rPr>
        <w:t>Key features of the panel are, combined text and graphics that display on a single screen, comprehensive system wide event and status logging, management and query system, touch screen operation, single operator controls (no mouse or keyboard required), event and report printing capability, monitored connection to the network.</w:t>
      </w:r>
    </w:p>
    <w:p w14:paraId="24BA4CA3" w14:textId="77777777" w:rsidR="005E6983" w:rsidRPr="00DD1B58" w:rsidRDefault="005E6983" w:rsidP="005E6983">
      <w:pPr>
        <w:pStyle w:val="Default"/>
        <w:rPr>
          <w:lang w:val="en-US"/>
        </w:rPr>
      </w:pPr>
    </w:p>
    <w:p w14:paraId="1A1ABE0B" w14:textId="77777777" w:rsidR="005E6983" w:rsidRPr="00DD1B58" w:rsidRDefault="005E6983" w:rsidP="005E6983">
      <w:pPr>
        <w:pStyle w:val="Default"/>
        <w:rPr>
          <w:lang w:val="en-US"/>
        </w:rPr>
      </w:pPr>
      <w:r w:rsidRPr="00DD1B58">
        <w:rPr>
          <w:lang w:val="en-US"/>
        </w:rPr>
        <w:t>The fire detection and alarm system has been designed to operate on an on-demand basis. To support this functionality the fire detection and alarm system is supported by battery back-up power supplies which operate until the GID system is initiated after 30 – 60 seconds. Two diesel generators external to the facility provide back-up power to the PFR.</w:t>
      </w:r>
    </w:p>
    <w:p w14:paraId="0EF961A6" w14:textId="77777777" w:rsidR="005E6983" w:rsidRPr="00DD1B58" w:rsidRDefault="005E6983" w:rsidP="005E6983">
      <w:pPr>
        <w:pStyle w:val="Default"/>
        <w:rPr>
          <w:lang w:val="en-US"/>
        </w:rPr>
      </w:pPr>
    </w:p>
    <w:p w14:paraId="1023D2E2" w14:textId="0B46DF7E" w:rsidR="005978A0" w:rsidRPr="00DD1B58" w:rsidRDefault="005E6983" w:rsidP="001B4B55">
      <w:pPr>
        <w:pStyle w:val="Default"/>
        <w:rPr>
          <w:sz w:val="23"/>
          <w:szCs w:val="23"/>
          <w:lang w:val="en-US"/>
        </w:rPr>
      </w:pPr>
      <w:r w:rsidRPr="00DD1B58">
        <w:rPr>
          <w:lang w:val="en-US"/>
        </w:rPr>
        <w:t xml:space="preserve">The rating of the cable is Pyro cable that is rated from fire alarm systems. </w:t>
      </w:r>
      <w:r w:rsidR="00251E53" w:rsidRPr="00DD1B58">
        <w:rPr>
          <w:lang w:val="en-US"/>
        </w:rPr>
        <w:t xml:space="preserve">Dounreay </w:t>
      </w:r>
      <w:r w:rsidR="006D798B" w:rsidRPr="00DD1B58">
        <w:rPr>
          <w:lang w:val="en-US"/>
        </w:rPr>
        <w:t>reports that</w:t>
      </w:r>
      <w:r w:rsidR="00251E53" w:rsidRPr="00DD1B58">
        <w:rPr>
          <w:lang w:val="en-US"/>
        </w:rPr>
        <w:t xml:space="preserve"> all </w:t>
      </w:r>
      <w:r w:rsidRPr="00DD1B58">
        <w:rPr>
          <w:lang w:val="en-US"/>
        </w:rPr>
        <w:t xml:space="preserve">components would have been installed to meet BS 5839-1:2017 </w:t>
      </w:r>
      <w:sdt>
        <w:sdtPr>
          <w:rPr>
            <w:lang w:val="en-US"/>
          </w:rPr>
          <w:id w:val="1781998800"/>
          <w:citation/>
        </w:sdtPr>
        <w:sdtContent>
          <w:r w:rsidR="00CB46C2" w:rsidRPr="00DD1B58">
            <w:rPr>
              <w:lang w:val="en-US"/>
            </w:rPr>
            <w:fldChar w:fldCharType="begin"/>
          </w:r>
          <w:r w:rsidR="00CB46C2" w:rsidRPr="00DD1B58">
            <w:rPr>
              <w:lang w:val="en-US"/>
            </w:rPr>
            <w:instrText xml:space="preserve"> CITATION BS5839 \l 2057 </w:instrText>
          </w:r>
          <w:r w:rsidR="00CB46C2" w:rsidRPr="00DD1B58">
            <w:rPr>
              <w:lang w:val="en-US"/>
            </w:rPr>
            <w:fldChar w:fldCharType="separate"/>
          </w:r>
          <w:r w:rsidR="00DF47DA" w:rsidRPr="00DF47DA">
            <w:rPr>
              <w:noProof/>
              <w:lang w:val="en-US"/>
            </w:rPr>
            <w:t>[179]</w:t>
          </w:r>
          <w:r w:rsidR="00CB46C2" w:rsidRPr="00DD1B58">
            <w:rPr>
              <w:lang w:val="en-US"/>
            </w:rPr>
            <w:fldChar w:fldCharType="end"/>
          </w:r>
        </w:sdtContent>
      </w:sdt>
      <w:r w:rsidRPr="00DD1B58">
        <w:rPr>
          <w:lang w:val="en-US"/>
        </w:rPr>
        <w:t xml:space="preserve"> and BS 5839-6</w:t>
      </w:r>
      <w:r w:rsidR="0020794F" w:rsidRPr="00DD1B58">
        <w:rPr>
          <w:lang w:val="en-US"/>
        </w:rPr>
        <w:t>:</w:t>
      </w:r>
      <w:r w:rsidRPr="00DD1B58">
        <w:rPr>
          <w:lang w:val="en-US"/>
        </w:rPr>
        <w:t xml:space="preserve">2019 </w:t>
      </w:r>
      <w:sdt>
        <w:sdtPr>
          <w:rPr>
            <w:lang w:val="en-US"/>
          </w:rPr>
          <w:id w:val="-1840607731"/>
          <w:citation/>
        </w:sdtPr>
        <w:sdtContent>
          <w:r w:rsidR="0020794F" w:rsidRPr="00DD1B58">
            <w:rPr>
              <w:lang w:val="en-US"/>
            </w:rPr>
            <w:fldChar w:fldCharType="begin"/>
          </w:r>
          <w:r w:rsidR="0020794F" w:rsidRPr="00DD1B58">
            <w:rPr>
              <w:lang w:val="en-US"/>
            </w:rPr>
            <w:instrText xml:space="preserve">CITATION Bri1 \l 2057 </w:instrText>
          </w:r>
          <w:r w:rsidR="0020794F" w:rsidRPr="00DD1B58">
            <w:rPr>
              <w:lang w:val="en-US"/>
            </w:rPr>
            <w:fldChar w:fldCharType="separate"/>
          </w:r>
          <w:r w:rsidR="00DF47DA" w:rsidRPr="00DF47DA">
            <w:rPr>
              <w:noProof/>
              <w:lang w:val="en-US"/>
            </w:rPr>
            <w:t>[182]</w:t>
          </w:r>
          <w:r w:rsidR="0020794F" w:rsidRPr="00DD1B58">
            <w:rPr>
              <w:lang w:val="en-US"/>
            </w:rPr>
            <w:fldChar w:fldCharType="end"/>
          </w:r>
        </w:sdtContent>
      </w:sdt>
      <w:r w:rsidRPr="00DD1B58">
        <w:rPr>
          <w:lang w:val="en-US"/>
        </w:rPr>
        <w:t xml:space="preserve"> for the design, installation and maintenance of fire detection and fire alarm systems.</w:t>
      </w:r>
      <w:r w:rsidRPr="00DD1B58">
        <w:rPr>
          <w:sz w:val="23"/>
          <w:szCs w:val="23"/>
          <w:lang w:val="en-US"/>
        </w:rPr>
        <w:t xml:space="preserve"> </w:t>
      </w:r>
    </w:p>
    <w:p w14:paraId="495DD6B5" w14:textId="77777777" w:rsidR="001B4B55" w:rsidRPr="00DD1B58" w:rsidRDefault="001B4B55" w:rsidP="001B4B55">
      <w:pPr>
        <w:pStyle w:val="Default"/>
        <w:rPr>
          <w:sz w:val="23"/>
          <w:szCs w:val="23"/>
          <w:lang w:val="en-US"/>
        </w:rPr>
      </w:pPr>
    </w:p>
    <w:p w14:paraId="3002B6D8" w14:textId="77777777" w:rsidR="00D813A6" w:rsidRPr="00DD1B58" w:rsidRDefault="00D813A6" w:rsidP="00177432">
      <w:pPr>
        <w:pStyle w:val="Heading5A"/>
        <w:numPr>
          <w:ilvl w:val="5"/>
          <w:numId w:val="7"/>
        </w:numPr>
        <w:rPr>
          <w:lang w:val="en-US"/>
        </w:rPr>
      </w:pPr>
      <w:r w:rsidRPr="00DD1B58">
        <w:rPr>
          <w:lang w:val="en-US"/>
        </w:rPr>
        <w:t>Alternative/temporary provisions</w:t>
      </w:r>
    </w:p>
    <w:p w14:paraId="732D552E" w14:textId="4C73CC01" w:rsidR="008A5349" w:rsidRPr="00DD1B58" w:rsidRDefault="00966937" w:rsidP="00CB46C2">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the </w:t>
      </w:r>
      <w:r w:rsidR="008340C0" w:rsidRPr="00DD1B58">
        <w:rPr>
          <w:lang w:val="en-US"/>
        </w:rPr>
        <w:t>need for alternative or temporary provisions has been identified as necessary when the system is under maintenance or repair.</w:t>
      </w:r>
      <w:r w:rsidR="00E26D8E" w:rsidRPr="00DD1B58">
        <w:rPr>
          <w:lang w:val="en-US"/>
        </w:rPr>
        <w:t xml:space="preserve"> </w:t>
      </w:r>
      <w:r w:rsidRPr="00DD1B58">
        <w:rPr>
          <w:lang w:val="en-US"/>
        </w:rPr>
        <w:t xml:space="preserve">It </w:t>
      </w:r>
      <w:r w:rsidR="007376D6" w:rsidRPr="00DD1B58">
        <w:rPr>
          <w:lang w:val="en-US"/>
        </w:rPr>
        <w:t>states that</w:t>
      </w:r>
      <w:r w:rsidRPr="00DD1B58">
        <w:rPr>
          <w:lang w:val="en-US"/>
        </w:rPr>
        <w:t xml:space="preserve"> the </w:t>
      </w:r>
      <w:r w:rsidR="008340C0" w:rsidRPr="00DD1B58">
        <w:rPr>
          <w:lang w:val="en-US"/>
        </w:rPr>
        <w:t>fire alarm system is maintained annually by a specialist contractor</w:t>
      </w:r>
      <w:r w:rsidRPr="00DD1B58">
        <w:rPr>
          <w:lang w:val="en-US"/>
        </w:rPr>
        <w:t xml:space="preserve">, and </w:t>
      </w:r>
      <w:r w:rsidR="008340C0" w:rsidRPr="00DD1B58">
        <w:rPr>
          <w:lang w:val="en-US"/>
        </w:rPr>
        <w:t>plant operators carry out weekly fire alarm tests on a 3</w:t>
      </w:r>
      <w:r w:rsidRPr="00DD1B58">
        <w:rPr>
          <w:lang w:val="en-US"/>
        </w:rPr>
        <w:t>-</w:t>
      </w:r>
      <w:r w:rsidR="008340C0" w:rsidRPr="00DD1B58">
        <w:rPr>
          <w:lang w:val="en-US"/>
        </w:rPr>
        <w:t>monthly rotation to capture all points.</w:t>
      </w:r>
      <w:r w:rsidR="00E26D8E" w:rsidRPr="00DD1B58">
        <w:rPr>
          <w:lang w:val="en-US"/>
        </w:rPr>
        <w:t xml:space="preserve"> </w:t>
      </w:r>
      <w:r w:rsidR="008340C0" w:rsidRPr="00DD1B58">
        <w:rPr>
          <w:lang w:val="en-US"/>
        </w:rPr>
        <w:t xml:space="preserve">A tannoy is relayed advising personnel of tests to be undertaken and the Fire Service Control Room are informed. </w:t>
      </w:r>
    </w:p>
    <w:p w14:paraId="2D29C850" w14:textId="77777777" w:rsidR="00CB46C2" w:rsidRPr="00DD1B58" w:rsidRDefault="00CB46C2" w:rsidP="00CB46C2">
      <w:pPr>
        <w:pStyle w:val="Default"/>
        <w:rPr>
          <w:lang w:val="en-US"/>
        </w:rPr>
      </w:pPr>
    </w:p>
    <w:p w14:paraId="36F66F9E" w14:textId="77777777" w:rsidR="00D813A6" w:rsidRPr="00DD1B58" w:rsidRDefault="00D813A6" w:rsidP="00177432">
      <w:pPr>
        <w:pStyle w:val="Heading5A"/>
        <w:rPr>
          <w:lang w:val="en-US"/>
        </w:rPr>
      </w:pPr>
      <w:r w:rsidRPr="00DD1B58">
        <w:rPr>
          <w:lang w:val="en-US"/>
        </w:rPr>
        <w:t xml:space="preserve">Fire suppression provisions </w:t>
      </w:r>
    </w:p>
    <w:p w14:paraId="2724CFF9" w14:textId="77777777" w:rsidR="00D813A6" w:rsidRPr="00DD1B58" w:rsidRDefault="00D813A6" w:rsidP="00177432">
      <w:pPr>
        <w:pStyle w:val="Heading5A"/>
        <w:numPr>
          <w:ilvl w:val="5"/>
          <w:numId w:val="7"/>
        </w:numPr>
        <w:rPr>
          <w:lang w:val="en-US"/>
        </w:rPr>
      </w:pPr>
      <w:r w:rsidRPr="00DD1B58">
        <w:rPr>
          <w:lang w:val="en-US"/>
        </w:rPr>
        <w:t>Design Approach</w:t>
      </w:r>
    </w:p>
    <w:p w14:paraId="4A4B598D" w14:textId="77777777" w:rsidR="00E6071E" w:rsidRPr="00DD1B58" w:rsidRDefault="009D1A9A" w:rsidP="00E6071E">
      <w:pPr>
        <w:rPr>
          <w:lang w:val="en-US"/>
        </w:rPr>
      </w:pPr>
      <w:r w:rsidRPr="00DD1B58">
        <w:rPr>
          <w:lang w:val="en-US"/>
        </w:rPr>
        <w:t>There are no suppression systems installed within the PFR facility.</w:t>
      </w:r>
    </w:p>
    <w:p w14:paraId="47B744BF" w14:textId="77777777" w:rsidR="00D813A6" w:rsidRPr="00DD1B58" w:rsidRDefault="00D813A6" w:rsidP="00177432">
      <w:pPr>
        <w:pStyle w:val="Heading5A"/>
        <w:numPr>
          <w:ilvl w:val="5"/>
          <w:numId w:val="7"/>
        </w:numPr>
        <w:rPr>
          <w:lang w:val="en-US"/>
        </w:rPr>
      </w:pPr>
      <w:r w:rsidRPr="00DD1B58">
        <w:rPr>
          <w:lang w:val="en-US"/>
        </w:rPr>
        <w:t>Types, main characteristics and performance expectations</w:t>
      </w:r>
    </w:p>
    <w:p w14:paraId="5CD53B03" w14:textId="77777777" w:rsidR="003077ED" w:rsidRPr="00DD1B58" w:rsidRDefault="00261902" w:rsidP="003077ED">
      <w:pPr>
        <w:rPr>
          <w:lang w:val="en-US"/>
        </w:rPr>
      </w:pPr>
      <w:r w:rsidRPr="00DD1B58">
        <w:rPr>
          <w:lang w:val="en-US"/>
        </w:rPr>
        <w:t>Not applicable.</w:t>
      </w:r>
    </w:p>
    <w:p w14:paraId="7B45C3F1" w14:textId="77777777" w:rsidR="00D813A6" w:rsidRPr="00DD1B58" w:rsidRDefault="00D813A6" w:rsidP="00177432">
      <w:pPr>
        <w:pStyle w:val="Heading5A"/>
        <w:numPr>
          <w:ilvl w:val="5"/>
          <w:numId w:val="7"/>
        </w:numPr>
        <w:rPr>
          <w:lang w:val="en-US"/>
        </w:rPr>
      </w:pPr>
      <w:r w:rsidRPr="00DD1B58">
        <w:rPr>
          <w:lang w:val="en-US"/>
        </w:rPr>
        <w:t>Management of harmful effects and consequential hazards</w:t>
      </w:r>
    </w:p>
    <w:p w14:paraId="3E7AFD4C" w14:textId="77777777" w:rsidR="00261902" w:rsidRPr="00DD1B58" w:rsidRDefault="00261902" w:rsidP="00261902">
      <w:pPr>
        <w:rPr>
          <w:lang w:val="en-US"/>
        </w:rPr>
      </w:pPr>
      <w:r w:rsidRPr="00DD1B58">
        <w:rPr>
          <w:lang w:val="en-US"/>
        </w:rPr>
        <w:t>Not applicable.</w:t>
      </w:r>
    </w:p>
    <w:p w14:paraId="0F54131F" w14:textId="77777777" w:rsidR="00D813A6" w:rsidRPr="00DD1B58" w:rsidRDefault="00D813A6" w:rsidP="00177432">
      <w:pPr>
        <w:pStyle w:val="Heading5A"/>
        <w:numPr>
          <w:ilvl w:val="5"/>
          <w:numId w:val="7"/>
        </w:numPr>
        <w:rPr>
          <w:lang w:val="en-US"/>
        </w:rPr>
      </w:pPr>
      <w:r w:rsidRPr="00DD1B58">
        <w:rPr>
          <w:lang w:val="en-US"/>
        </w:rPr>
        <w:t>Alternative/temporary provisions</w:t>
      </w:r>
    </w:p>
    <w:p w14:paraId="276E3CD1" w14:textId="116619BC" w:rsidR="00261902" w:rsidRPr="00DD1B58" w:rsidRDefault="000D2B2B" w:rsidP="00261902">
      <w:pPr>
        <w:rPr>
          <w:lang w:val="en-US"/>
        </w:rPr>
      </w:pPr>
      <w:r w:rsidRPr="00DD1B58">
        <w:rPr>
          <w:lang w:val="en-US"/>
        </w:rPr>
        <w:t xml:space="preserve">Dounreay </w:t>
      </w:r>
      <w:r w:rsidR="007376D6" w:rsidRPr="00DD1B58">
        <w:rPr>
          <w:lang w:val="en-US"/>
        </w:rPr>
        <w:t>states that</w:t>
      </w:r>
      <w:r w:rsidRPr="00DD1B58">
        <w:rPr>
          <w:lang w:val="en-US"/>
        </w:rPr>
        <w:t xml:space="preserve"> the </w:t>
      </w:r>
      <w:r w:rsidR="004E66BF" w:rsidRPr="00DD1B58">
        <w:rPr>
          <w:lang w:val="en-US"/>
        </w:rPr>
        <w:t xml:space="preserve">requirement for alternative or </w:t>
      </w:r>
      <w:r w:rsidR="006012E7" w:rsidRPr="00DD1B58">
        <w:rPr>
          <w:lang w:val="en-US"/>
        </w:rPr>
        <w:t xml:space="preserve">temporary fire protection </w:t>
      </w:r>
      <w:r w:rsidR="002A5F8C" w:rsidRPr="00DD1B58">
        <w:rPr>
          <w:lang w:val="en-US"/>
        </w:rPr>
        <w:t xml:space="preserve">measures for experiments or temporary activities </w:t>
      </w:r>
      <w:r w:rsidR="00B00149" w:rsidRPr="00DD1B58">
        <w:rPr>
          <w:lang w:val="en-US"/>
        </w:rPr>
        <w:t xml:space="preserve">would be determined </w:t>
      </w:r>
      <w:r w:rsidR="003B5542" w:rsidRPr="00DD1B58">
        <w:rPr>
          <w:lang w:val="en-US"/>
        </w:rPr>
        <w:t>in the safety case for that activity.</w:t>
      </w:r>
    </w:p>
    <w:p w14:paraId="4B1FEC60" w14:textId="77777777" w:rsidR="00D813A6" w:rsidRPr="00DD1B58" w:rsidRDefault="00D813A6" w:rsidP="00177432">
      <w:pPr>
        <w:pStyle w:val="Heading5A"/>
        <w:rPr>
          <w:lang w:val="en-US"/>
        </w:rPr>
      </w:pPr>
      <w:r w:rsidRPr="00DD1B58">
        <w:rPr>
          <w:lang w:val="en-US"/>
        </w:rPr>
        <w:t xml:space="preserve">Administrative and organisational fire protection issues </w:t>
      </w:r>
    </w:p>
    <w:p w14:paraId="22BBFF89" w14:textId="77777777" w:rsidR="00D813A6" w:rsidRPr="00DD1B58" w:rsidRDefault="00D813A6" w:rsidP="00177432">
      <w:pPr>
        <w:pStyle w:val="Heading5A"/>
        <w:numPr>
          <w:ilvl w:val="5"/>
          <w:numId w:val="7"/>
        </w:numPr>
        <w:rPr>
          <w:lang w:val="en-US"/>
        </w:rPr>
      </w:pPr>
      <w:r w:rsidRPr="00DD1B58">
        <w:rPr>
          <w:lang w:val="en-US"/>
        </w:rPr>
        <w:t>Overview of firefighting strategies, administrative arrangements and assurance</w:t>
      </w:r>
    </w:p>
    <w:p w14:paraId="1D1D91A1" w14:textId="14F5ECD5" w:rsidR="00795892" w:rsidRPr="00DD1B58" w:rsidRDefault="00043051" w:rsidP="00274B74">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the </w:t>
      </w:r>
      <w:r w:rsidR="00AC06AE" w:rsidRPr="00DD1B58">
        <w:rPr>
          <w:lang w:val="en-US"/>
        </w:rPr>
        <w:t xml:space="preserve">strategy used on site is to ensure an adequate provision of fire safety measures and systems in the workplace to enable all persons in or near those workplaces to escape safely from a fire, to prevent fire occurring, and to mitigate </w:t>
      </w:r>
      <w:r w:rsidR="00B23E62" w:rsidRPr="00DD1B58">
        <w:rPr>
          <w:lang w:val="en-US"/>
        </w:rPr>
        <w:t xml:space="preserve">the effects </w:t>
      </w:r>
      <w:r w:rsidR="003967E5" w:rsidRPr="00DD1B58">
        <w:rPr>
          <w:lang w:val="en-US"/>
        </w:rPr>
        <w:t>of any fire to meet its obligations under the Fire (Scotland) Act 2005 (FSA) and associated legislation. These general fire precaution measures include both the physical protective measures and also the management arrangements to ensure they are effectively used and maintained. Dounreay requires the production of building fire risk assessments</w:t>
      </w:r>
      <w:r w:rsidR="00D913FF" w:rsidRPr="00DD1B58">
        <w:rPr>
          <w:lang w:val="en-US"/>
        </w:rPr>
        <w:t>.</w:t>
      </w:r>
      <w:r w:rsidR="00D732A2" w:rsidRPr="00DD1B58">
        <w:rPr>
          <w:lang w:val="en-US"/>
        </w:rPr>
        <w:t xml:space="preserve"> Dounreay considers t</w:t>
      </w:r>
      <w:r w:rsidR="00D913FF" w:rsidRPr="00DD1B58">
        <w:rPr>
          <w:lang w:val="en-US"/>
        </w:rPr>
        <w:t xml:space="preserve">his </w:t>
      </w:r>
      <w:r w:rsidR="00E11396" w:rsidRPr="00DD1B58">
        <w:rPr>
          <w:lang w:val="en-US"/>
        </w:rPr>
        <w:t xml:space="preserve">aligns with WENRA SV6.11: </w:t>
      </w:r>
      <w:r w:rsidR="00E11396" w:rsidRPr="00DD1B58">
        <w:rPr>
          <w:i/>
          <w:lang w:val="en-US"/>
        </w:rPr>
        <w:t>In order to ensure the operability of the fire protection measures, procedures shall be established and implemented. They shall include examination, inspection, maintenance and testing of fire barriers, fire detection, alarm features and extinguishing systems</w:t>
      </w:r>
      <w:r w:rsidR="00E11396" w:rsidRPr="00DD1B58">
        <w:rPr>
          <w:lang w:val="en-US"/>
        </w:rPr>
        <w:t>.</w:t>
      </w:r>
    </w:p>
    <w:p w14:paraId="12688BAF" w14:textId="77777777" w:rsidR="00274B74" w:rsidRPr="00DD1B58" w:rsidRDefault="00274B74" w:rsidP="00274B74">
      <w:pPr>
        <w:pStyle w:val="Default"/>
        <w:rPr>
          <w:lang w:val="en-US"/>
        </w:rPr>
      </w:pPr>
    </w:p>
    <w:p w14:paraId="4FC362E8" w14:textId="77777777" w:rsidR="00D813A6" w:rsidRPr="00DD1B58" w:rsidRDefault="00D813A6" w:rsidP="00177432">
      <w:pPr>
        <w:pStyle w:val="Heading5A"/>
        <w:numPr>
          <w:ilvl w:val="5"/>
          <w:numId w:val="7"/>
        </w:numPr>
        <w:rPr>
          <w:lang w:val="en-US"/>
        </w:rPr>
      </w:pPr>
      <w:r w:rsidRPr="00DD1B58">
        <w:rPr>
          <w:lang w:val="en-US"/>
        </w:rPr>
        <w:t>Firefighting capabilities, responsibilities, organisation and documentation onsite and offsite</w:t>
      </w:r>
    </w:p>
    <w:p w14:paraId="15B6502D" w14:textId="398B6F50" w:rsidR="00274B74" w:rsidRPr="00DD1B58" w:rsidRDefault="00D732A2" w:rsidP="00274B74">
      <w:pPr>
        <w:rPr>
          <w:lang w:val="en-US"/>
        </w:rPr>
      </w:pPr>
      <w:r w:rsidRPr="00DD1B58">
        <w:rPr>
          <w:lang w:val="en-US"/>
        </w:rPr>
        <w:t xml:space="preserve">Dounreay </w:t>
      </w:r>
      <w:r w:rsidR="006D798B" w:rsidRPr="00DD1B58">
        <w:rPr>
          <w:lang w:val="en-US"/>
        </w:rPr>
        <w:t>reports that</w:t>
      </w:r>
      <w:r w:rsidRPr="00DD1B58">
        <w:rPr>
          <w:lang w:val="en-US"/>
        </w:rPr>
        <w:t xml:space="preserve"> the </w:t>
      </w:r>
      <w:r w:rsidR="00670A54" w:rsidRPr="00DD1B58">
        <w:rPr>
          <w:lang w:val="en-US"/>
        </w:rPr>
        <w:t>responsibilities for personnel located with</w:t>
      </w:r>
      <w:r w:rsidR="001C701E" w:rsidRPr="00DD1B58">
        <w:rPr>
          <w:lang w:val="en-US"/>
        </w:rPr>
        <w:t>in PFR are communicated</w:t>
      </w:r>
      <w:r w:rsidRPr="00DD1B58">
        <w:rPr>
          <w:lang w:val="en-US"/>
        </w:rPr>
        <w:t xml:space="preserve"> </w:t>
      </w:r>
      <w:r w:rsidR="001C701E" w:rsidRPr="00DD1B58">
        <w:rPr>
          <w:lang w:val="en-US"/>
        </w:rPr>
        <w:t>through:</w:t>
      </w:r>
    </w:p>
    <w:p w14:paraId="0E2E856C" w14:textId="77777777" w:rsidR="001C701E" w:rsidRPr="00DD1B58" w:rsidRDefault="000F50B2" w:rsidP="009C7E13">
      <w:pPr>
        <w:pStyle w:val="Bulletlist1"/>
        <w:rPr>
          <w:lang w:val="en-US"/>
        </w:rPr>
      </w:pPr>
      <w:r w:rsidRPr="00DD1B58">
        <w:rPr>
          <w:lang w:val="en-US"/>
        </w:rPr>
        <w:t xml:space="preserve">PFR </w:t>
      </w:r>
      <w:r w:rsidR="00FF2CB9" w:rsidRPr="00DD1B58">
        <w:rPr>
          <w:lang w:val="en-US"/>
        </w:rPr>
        <w:t>Emergency Operational Instruction</w:t>
      </w:r>
    </w:p>
    <w:p w14:paraId="29C1471E" w14:textId="77777777" w:rsidR="00FF2CB9" w:rsidRPr="00DD1B58" w:rsidRDefault="00FF2CB9" w:rsidP="009C7E13">
      <w:pPr>
        <w:pStyle w:val="Bulletlist1"/>
        <w:rPr>
          <w:lang w:val="en-US"/>
        </w:rPr>
      </w:pPr>
      <w:r w:rsidRPr="00DD1B58">
        <w:rPr>
          <w:lang w:val="en-US"/>
        </w:rPr>
        <w:t xml:space="preserve">Their initial plant </w:t>
      </w:r>
      <w:r w:rsidR="007952E6" w:rsidRPr="00DD1B58">
        <w:rPr>
          <w:lang w:val="en-US"/>
        </w:rPr>
        <w:t xml:space="preserve">induction, pre job briefs, outcomes from work scope hazard reviews, recommendations recorded from sub work permits </w:t>
      </w:r>
      <w:r w:rsidR="002E6981" w:rsidRPr="00DD1B58">
        <w:rPr>
          <w:lang w:val="en-US"/>
        </w:rPr>
        <w:t>e.g.,</w:t>
      </w:r>
      <w:r w:rsidR="007952E6" w:rsidRPr="00DD1B58">
        <w:rPr>
          <w:lang w:val="en-US"/>
        </w:rPr>
        <w:t xml:space="preserve"> Hot works </w:t>
      </w:r>
      <w:r w:rsidR="002E6981" w:rsidRPr="00DD1B58">
        <w:rPr>
          <w:lang w:val="en-US"/>
        </w:rPr>
        <w:t>permit,</w:t>
      </w:r>
      <w:r w:rsidR="007952E6" w:rsidRPr="00DD1B58">
        <w:rPr>
          <w:lang w:val="en-US"/>
        </w:rPr>
        <w:t xml:space="preserve"> and lessons learnt </w:t>
      </w:r>
      <w:r w:rsidR="007B6990" w:rsidRPr="00DD1B58">
        <w:rPr>
          <w:lang w:val="en-US"/>
        </w:rPr>
        <w:t>from previous incidents</w:t>
      </w:r>
    </w:p>
    <w:p w14:paraId="76D21D4A" w14:textId="77777777" w:rsidR="002E6981" w:rsidRPr="00DD1B58" w:rsidRDefault="002E6981" w:rsidP="009C7E13">
      <w:pPr>
        <w:pStyle w:val="Bulletlist1"/>
        <w:rPr>
          <w:lang w:val="en-US"/>
        </w:rPr>
      </w:pPr>
      <w:r w:rsidRPr="00DD1B58">
        <w:rPr>
          <w:lang w:val="en-US"/>
        </w:rPr>
        <w:t xml:space="preserve">Fire induction </w:t>
      </w:r>
      <w:r w:rsidR="008A0FE9" w:rsidRPr="00DD1B58">
        <w:rPr>
          <w:lang w:val="en-US"/>
        </w:rPr>
        <w:t xml:space="preserve">on employment </w:t>
      </w:r>
      <w:r w:rsidR="006F3D6F" w:rsidRPr="00DD1B58">
        <w:rPr>
          <w:lang w:val="en-US"/>
        </w:rPr>
        <w:t>and thereafter every 3 years</w:t>
      </w:r>
    </w:p>
    <w:p w14:paraId="75BAA673" w14:textId="0D669A08" w:rsidR="006F3D6F" w:rsidRPr="00DD1B58" w:rsidRDefault="00C75371" w:rsidP="009C7E13">
      <w:pPr>
        <w:pStyle w:val="Bulletlist1"/>
        <w:rPr>
          <w:lang w:val="en-US"/>
        </w:rPr>
      </w:pPr>
      <w:r w:rsidRPr="00DD1B58">
        <w:rPr>
          <w:lang w:val="en-US"/>
        </w:rPr>
        <w:t>6</w:t>
      </w:r>
      <w:r w:rsidR="00F77C37" w:rsidRPr="00DD1B58">
        <w:rPr>
          <w:lang w:val="en-US"/>
        </w:rPr>
        <w:t>-</w:t>
      </w:r>
      <w:r w:rsidRPr="00DD1B58">
        <w:rPr>
          <w:lang w:val="en-US"/>
        </w:rPr>
        <w:t xml:space="preserve">monthly building </w:t>
      </w:r>
      <w:r w:rsidR="00A52E56" w:rsidRPr="00DD1B58">
        <w:rPr>
          <w:lang w:val="en-US"/>
        </w:rPr>
        <w:t>fire evacuation exercises</w:t>
      </w:r>
    </w:p>
    <w:p w14:paraId="149092AD" w14:textId="77777777" w:rsidR="00A52E56" w:rsidRPr="00DD1B58" w:rsidRDefault="00A52E56" w:rsidP="009C7E13">
      <w:pPr>
        <w:pStyle w:val="Bulletlist1"/>
        <w:rPr>
          <w:lang w:val="en-US"/>
        </w:rPr>
      </w:pPr>
      <w:r w:rsidRPr="00DD1B58">
        <w:rPr>
          <w:lang w:val="en-US"/>
        </w:rPr>
        <w:t xml:space="preserve">DFARS response </w:t>
      </w:r>
      <w:r w:rsidR="00C41CC6" w:rsidRPr="00DD1B58">
        <w:rPr>
          <w:lang w:val="en-US"/>
        </w:rPr>
        <w:t xml:space="preserve">to a fire call from PFR </w:t>
      </w:r>
      <w:r w:rsidR="00192350" w:rsidRPr="00DD1B58">
        <w:rPr>
          <w:lang w:val="en-US"/>
        </w:rPr>
        <w:t>is covered in Station Standing Instructions</w:t>
      </w:r>
      <w:r w:rsidR="00817949" w:rsidRPr="00DD1B58">
        <w:rPr>
          <w:lang w:val="en-US"/>
        </w:rPr>
        <w:t>. Crews also re</w:t>
      </w:r>
      <w:r w:rsidR="00887AEC" w:rsidRPr="00DD1B58">
        <w:rPr>
          <w:lang w:val="en-US"/>
        </w:rPr>
        <w:t>ceive building</w:t>
      </w:r>
      <w:r w:rsidR="003671FF" w:rsidRPr="00DD1B58">
        <w:rPr>
          <w:lang w:val="en-US"/>
        </w:rPr>
        <w:t xml:space="preserve"> specific hazard training from the subject matter expert(s).</w:t>
      </w:r>
    </w:p>
    <w:p w14:paraId="0957A4EF" w14:textId="77777777" w:rsidR="003671FF" w:rsidRPr="00DD1B58" w:rsidRDefault="00326528" w:rsidP="003671FF">
      <w:pPr>
        <w:rPr>
          <w:b/>
          <w:lang w:val="en-US"/>
        </w:rPr>
      </w:pPr>
      <w:r w:rsidRPr="00DD1B58">
        <w:rPr>
          <w:b/>
          <w:lang w:val="en-US"/>
        </w:rPr>
        <w:t xml:space="preserve">Training </w:t>
      </w:r>
      <w:r w:rsidR="00DB44A0" w:rsidRPr="00DD1B58">
        <w:rPr>
          <w:b/>
          <w:lang w:val="en-US"/>
        </w:rPr>
        <w:t>of onsite, facility-based personnel</w:t>
      </w:r>
    </w:p>
    <w:p w14:paraId="025F0D24" w14:textId="0FCE7DFA" w:rsidR="007617B9" w:rsidRPr="00DD1B58" w:rsidRDefault="00542B07" w:rsidP="00EE3288">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t</w:t>
      </w:r>
      <w:r w:rsidR="00DB44A0" w:rsidRPr="00DD1B58">
        <w:rPr>
          <w:lang w:val="en-US"/>
        </w:rPr>
        <w:t xml:space="preserve">o </w:t>
      </w:r>
      <w:r w:rsidR="00EE3288" w:rsidRPr="00DD1B58">
        <w:rPr>
          <w:lang w:val="en-US"/>
        </w:rPr>
        <w:t xml:space="preserve">ensure compliance with the Fire Safety Scotland Regulations 2005 section 20, evacuation procedures are scheduled for all occupied buildings. </w:t>
      </w:r>
      <w:r w:rsidR="007617B9" w:rsidRPr="00DD1B58">
        <w:rPr>
          <w:lang w:val="en-US"/>
        </w:rPr>
        <w:t>Dounreay</w:t>
      </w:r>
      <w:r w:rsidRPr="00DD1B58">
        <w:rPr>
          <w:lang w:val="en-US"/>
        </w:rPr>
        <w:t xml:space="preserve"> state</w:t>
      </w:r>
      <w:r w:rsidR="006532D3" w:rsidRPr="00DD1B58">
        <w:rPr>
          <w:lang w:val="en-US"/>
        </w:rPr>
        <w:t>s</w:t>
      </w:r>
      <w:r w:rsidRPr="00DD1B58">
        <w:rPr>
          <w:lang w:val="en-US"/>
        </w:rPr>
        <w:t xml:space="preserve"> </w:t>
      </w:r>
      <w:r w:rsidR="007617B9" w:rsidRPr="00DD1B58">
        <w:rPr>
          <w:lang w:val="en-US"/>
        </w:rPr>
        <w:t>the main considerations as follows:</w:t>
      </w:r>
    </w:p>
    <w:p w14:paraId="1387C6EB" w14:textId="77777777" w:rsidR="007617B9" w:rsidRPr="00DD1B58" w:rsidRDefault="007617B9" w:rsidP="00EE3288">
      <w:pPr>
        <w:pStyle w:val="Default"/>
        <w:rPr>
          <w:lang w:val="en-US"/>
        </w:rPr>
      </w:pPr>
    </w:p>
    <w:p w14:paraId="5AE6D8A0" w14:textId="7FC3A13B" w:rsidR="00EE3288" w:rsidRPr="00DD1B58" w:rsidRDefault="007617B9" w:rsidP="00973FF4">
      <w:pPr>
        <w:pStyle w:val="Bulletlist1"/>
        <w:rPr>
          <w:lang w:val="en-US"/>
        </w:rPr>
      </w:pPr>
      <w:r w:rsidRPr="00DD1B58">
        <w:rPr>
          <w:lang w:val="en-US"/>
        </w:rPr>
        <w:t>E</w:t>
      </w:r>
      <w:r w:rsidR="00EE3288" w:rsidRPr="00DD1B58">
        <w:rPr>
          <w:lang w:val="en-US"/>
        </w:rPr>
        <w:t>vacuation procedures are tested at least annually to ensure personnel can react and respond correctly to a fire alarm sounding. A person is identified and asked to carry out their actions in response to a fire within their area. A specific form is used to ensure commonality of exercising. Part of the procedure is for the person to sound the alarm so building personnel can evacuate and attend the assembly point where a rol</w:t>
      </w:r>
      <w:r w:rsidR="00F266F5" w:rsidRPr="00DD1B58">
        <w:rPr>
          <w:lang w:val="en-US"/>
        </w:rPr>
        <w:t>l</w:t>
      </w:r>
      <w:r w:rsidR="00EE3288" w:rsidRPr="00DD1B58">
        <w:rPr>
          <w:lang w:val="en-US"/>
        </w:rPr>
        <w:t xml:space="preserve"> call is taken. Evacuation testing and exercising is managed through the site maintenance system with work orders generated for each occupied building at least annually.</w:t>
      </w:r>
    </w:p>
    <w:p w14:paraId="62B33EE0" w14:textId="77777777" w:rsidR="00EE3288" w:rsidRPr="00DD1B58" w:rsidRDefault="00EE3288" w:rsidP="00973FF4">
      <w:pPr>
        <w:pStyle w:val="Bulletlist1"/>
        <w:rPr>
          <w:lang w:val="en-US"/>
        </w:rPr>
      </w:pPr>
      <w:r w:rsidRPr="00DD1B58">
        <w:rPr>
          <w:lang w:val="en-US"/>
        </w:rPr>
        <w:t>Fire hazard awareness and response training provided to personnel, covers the relevant aspects relating to the nature of fire, signage, housekeeping, emergency procedures, selection and use of fire extinguishers. This mandatory training is given on induction and thereafter every 3 years.</w:t>
      </w:r>
    </w:p>
    <w:p w14:paraId="784C4EFF" w14:textId="77777777" w:rsidR="00EE3288" w:rsidRPr="00DD1B58" w:rsidRDefault="00EE3288" w:rsidP="00973FF4">
      <w:pPr>
        <w:pStyle w:val="Bulletlist1"/>
        <w:rPr>
          <w:lang w:val="en-US"/>
        </w:rPr>
      </w:pPr>
      <w:r w:rsidRPr="00DD1B58">
        <w:rPr>
          <w:lang w:val="en-US"/>
        </w:rPr>
        <w:t>For those personnel that carry out the role of a fire watcher an additional short presentation is given to them and is followed up with completion of a practical exercise, where under controlled conditions, they are shown and asked to operate an extinguisher to extinguish a fire.</w:t>
      </w:r>
    </w:p>
    <w:p w14:paraId="12AF8167" w14:textId="32CF6055" w:rsidR="00EE3288" w:rsidRPr="00DD1B58" w:rsidRDefault="007617B9" w:rsidP="00EE3288">
      <w:pPr>
        <w:pStyle w:val="Default"/>
        <w:rPr>
          <w:i/>
          <w:lang w:val="en-US"/>
        </w:rPr>
      </w:pPr>
      <w:r w:rsidRPr="00DD1B58">
        <w:rPr>
          <w:lang w:val="en-US"/>
        </w:rPr>
        <w:t>D</w:t>
      </w:r>
      <w:r w:rsidR="00312836" w:rsidRPr="00DD1B58">
        <w:rPr>
          <w:lang w:val="en-US"/>
        </w:rPr>
        <w:t>ounreay consider the</w:t>
      </w:r>
      <w:r w:rsidRPr="00DD1B58">
        <w:rPr>
          <w:lang w:val="en-US"/>
        </w:rPr>
        <w:t xml:space="preserve"> </w:t>
      </w:r>
      <w:r w:rsidR="00EE3288" w:rsidRPr="00DD1B58">
        <w:rPr>
          <w:lang w:val="en-US"/>
        </w:rPr>
        <w:t xml:space="preserve">arrangements align with WENRA SV 5.10: </w:t>
      </w:r>
      <w:r w:rsidR="00EE3288" w:rsidRPr="00DD1B58">
        <w:rPr>
          <w:i/>
          <w:lang w:val="en-US"/>
        </w:rPr>
        <w:t xml:space="preserve">Adequate organisational arrangements, including minimum staffing levels, equipment, fitness for duty, skills and training, and </w:t>
      </w:r>
      <w:r w:rsidR="0098769A" w:rsidRPr="00DD1B58">
        <w:rPr>
          <w:i/>
          <w:lang w:val="en-US"/>
        </w:rPr>
        <w:t>procedures shall be in place to ensure safety, as identified by the hazard assessment.</w:t>
      </w:r>
    </w:p>
    <w:p w14:paraId="72041698" w14:textId="77777777" w:rsidR="0098769A" w:rsidRPr="00DD1B58" w:rsidRDefault="0098769A" w:rsidP="00EE3288">
      <w:pPr>
        <w:pStyle w:val="Default"/>
        <w:rPr>
          <w:i/>
          <w:iCs/>
          <w:sz w:val="23"/>
          <w:szCs w:val="23"/>
          <w:lang w:val="en-US"/>
        </w:rPr>
      </w:pPr>
    </w:p>
    <w:p w14:paraId="21E3BEAE" w14:textId="77777777" w:rsidR="00DB44A0" w:rsidRPr="00DD1B58" w:rsidRDefault="0098769A" w:rsidP="003671FF">
      <w:pPr>
        <w:rPr>
          <w:b/>
          <w:lang w:val="en-US"/>
        </w:rPr>
      </w:pPr>
      <w:r w:rsidRPr="00DD1B58">
        <w:rPr>
          <w:b/>
          <w:lang w:val="en-US"/>
        </w:rPr>
        <w:t>Integration of learning from experience</w:t>
      </w:r>
    </w:p>
    <w:p w14:paraId="3916DD9F" w14:textId="0AFF3F36" w:rsidR="0098769A" w:rsidRPr="00DD1B58" w:rsidRDefault="00312836" w:rsidP="00315124">
      <w:pPr>
        <w:pStyle w:val="Default"/>
        <w:rPr>
          <w:sz w:val="23"/>
          <w:szCs w:val="23"/>
          <w:lang w:val="en-US"/>
        </w:rPr>
      </w:pPr>
      <w:r w:rsidRPr="00DD1B58">
        <w:rPr>
          <w:lang w:val="en-US"/>
        </w:rPr>
        <w:t xml:space="preserve">Dounreay </w:t>
      </w:r>
      <w:r w:rsidR="006D798B" w:rsidRPr="00DD1B58">
        <w:rPr>
          <w:lang w:val="en-US"/>
        </w:rPr>
        <w:t>reports that</w:t>
      </w:r>
      <w:r w:rsidRPr="00DD1B58">
        <w:rPr>
          <w:lang w:val="en-US"/>
        </w:rPr>
        <w:t xml:space="preserve"> the s</w:t>
      </w:r>
      <w:r w:rsidR="00315124" w:rsidRPr="00DD1B58">
        <w:rPr>
          <w:lang w:val="en-US"/>
        </w:rPr>
        <w:t xml:space="preserve">afety </w:t>
      </w:r>
      <w:r w:rsidR="00315124" w:rsidRPr="00DD1B58">
        <w:rPr>
          <w:sz w:val="23"/>
          <w:szCs w:val="23"/>
          <w:lang w:val="en-US"/>
        </w:rPr>
        <w:t>culture initiatives on site are managed by the Professionalism Team and communicated to staff through Learning from Experience (LFE) broadcasts. These can encompass fire safety related issues not only on site but those from other Nuclear and Industrial organisations including the Health &amp; Safety Executive (HSE). The site</w:t>
      </w:r>
      <w:r w:rsidR="00257284" w:rsidRPr="00DD1B58">
        <w:rPr>
          <w:sz w:val="23"/>
          <w:szCs w:val="23"/>
          <w:lang w:val="en-US"/>
        </w:rPr>
        <w:t xml:space="preserve"> </w:t>
      </w:r>
      <w:r w:rsidR="006D798B" w:rsidRPr="00DD1B58">
        <w:rPr>
          <w:sz w:val="23"/>
          <w:szCs w:val="23"/>
          <w:lang w:val="en-US"/>
        </w:rPr>
        <w:t>reports that</w:t>
      </w:r>
      <w:r w:rsidR="00257284" w:rsidRPr="00DD1B58">
        <w:rPr>
          <w:sz w:val="23"/>
          <w:szCs w:val="23"/>
          <w:lang w:val="en-US"/>
        </w:rPr>
        <w:t xml:space="preserve"> it</w:t>
      </w:r>
      <w:r w:rsidR="00315124" w:rsidRPr="00DD1B58">
        <w:rPr>
          <w:sz w:val="23"/>
          <w:szCs w:val="23"/>
          <w:lang w:val="en-US"/>
        </w:rPr>
        <w:t xml:space="preserve"> delivers regular roadshows to personnel, which cover various topics including fire safety. </w:t>
      </w:r>
    </w:p>
    <w:p w14:paraId="3D40F062" w14:textId="77777777" w:rsidR="00315124" w:rsidRPr="00DD1B58" w:rsidRDefault="00315124" w:rsidP="00315124">
      <w:pPr>
        <w:pStyle w:val="Default"/>
        <w:rPr>
          <w:lang w:val="en-US"/>
        </w:rPr>
      </w:pPr>
    </w:p>
    <w:p w14:paraId="7F52AE59" w14:textId="77777777" w:rsidR="0098769A" w:rsidRPr="00DD1B58" w:rsidRDefault="0098769A" w:rsidP="003671FF">
      <w:pPr>
        <w:rPr>
          <w:b/>
          <w:lang w:val="en-US"/>
        </w:rPr>
      </w:pPr>
      <w:r w:rsidRPr="00DD1B58">
        <w:rPr>
          <w:b/>
          <w:lang w:val="en-US"/>
        </w:rPr>
        <w:t>Maintenance of fire protection systems</w:t>
      </w:r>
    </w:p>
    <w:p w14:paraId="646890DE" w14:textId="7D28C1CC" w:rsidR="0070106B" w:rsidRPr="00DD1B58" w:rsidRDefault="00257284" w:rsidP="0070106B">
      <w:pPr>
        <w:pStyle w:val="Default"/>
        <w:rPr>
          <w:lang w:val="en-US"/>
        </w:rPr>
      </w:pPr>
      <w:r w:rsidRPr="00DD1B58">
        <w:rPr>
          <w:lang w:val="en-US"/>
        </w:rPr>
        <w:t>Dounreay report</w:t>
      </w:r>
      <w:r w:rsidR="0073295F" w:rsidRPr="00DD1B58">
        <w:rPr>
          <w:lang w:val="en-US"/>
        </w:rPr>
        <w:t>s</w:t>
      </w:r>
      <w:r w:rsidRPr="00DD1B58">
        <w:rPr>
          <w:lang w:val="en-US"/>
        </w:rPr>
        <w:t xml:space="preserve"> that f</w:t>
      </w:r>
      <w:r w:rsidR="00315124" w:rsidRPr="00DD1B58">
        <w:rPr>
          <w:lang w:val="en-US"/>
        </w:rPr>
        <w:t xml:space="preserve">ire </w:t>
      </w:r>
      <w:r w:rsidR="0070106B" w:rsidRPr="00DD1B58">
        <w:rPr>
          <w:lang w:val="en-US"/>
        </w:rPr>
        <w:t xml:space="preserve">protection systems such as fire alarm systems, emergency lighting, fire extinguishers and fire doors are managed through the site maintenance system. </w:t>
      </w:r>
      <w:r w:rsidRPr="00DD1B58">
        <w:rPr>
          <w:lang w:val="en-US"/>
        </w:rPr>
        <w:t xml:space="preserve">It also </w:t>
      </w:r>
      <w:r w:rsidR="007376D6" w:rsidRPr="00DD1B58">
        <w:rPr>
          <w:lang w:val="en-US"/>
        </w:rPr>
        <w:t>states that</w:t>
      </w:r>
      <w:r w:rsidRPr="00DD1B58">
        <w:rPr>
          <w:lang w:val="en-US"/>
        </w:rPr>
        <w:t xml:space="preserve"> </w:t>
      </w:r>
      <w:r w:rsidR="0070106B" w:rsidRPr="00DD1B58">
        <w:rPr>
          <w:lang w:val="en-US"/>
        </w:rPr>
        <w:t>statutory maintenance and testing is carried out in accordance with the relevant British Standard. Should any faults occur during testing or are identified out with a test period then a work order is raised to rectify. All results are recorded and held within the site maintenance system.</w:t>
      </w:r>
      <w:r w:rsidR="00792877" w:rsidRPr="00DD1B58">
        <w:rPr>
          <w:lang w:val="en-US"/>
        </w:rPr>
        <w:t xml:space="preserve"> Dounreay</w:t>
      </w:r>
      <w:r w:rsidR="0073295F" w:rsidRPr="00DD1B58">
        <w:rPr>
          <w:lang w:val="en-US"/>
        </w:rPr>
        <w:t xml:space="preserve">’s </w:t>
      </w:r>
      <w:r w:rsidR="0070106B" w:rsidRPr="00DD1B58">
        <w:rPr>
          <w:lang w:val="en-US"/>
        </w:rPr>
        <w:t xml:space="preserve">planned maintenance </w:t>
      </w:r>
      <w:r w:rsidR="00DF3F79" w:rsidRPr="00DD1B58">
        <w:rPr>
          <w:lang w:val="en-US"/>
        </w:rPr>
        <w:t xml:space="preserve">is </w:t>
      </w:r>
      <w:r w:rsidR="0070106B" w:rsidRPr="00DD1B58">
        <w:rPr>
          <w:lang w:val="en-US"/>
        </w:rPr>
        <w:t>held and managed through the sites Computerised Maintenance Management System (CMMS).</w:t>
      </w:r>
      <w:r w:rsidR="00792877" w:rsidRPr="00DD1B58">
        <w:rPr>
          <w:lang w:val="en-US"/>
        </w:rPr>
        <w:t xml:space="preserve"> Dounreay conside</w:t>
      </w:r>
      <w:r w:rsidR="00E22261" w:rsidRPr="00DD1B58">
        <w:rPr>
          <w:lang w:val="en-US"/>
        </w:rPr>
        <w:t xml:space="preserve">rs </w:t>
      </w:r>
      <w:r w:rsidR="00792877" w:rsidRPr="00DD1B58">
        <w:rPr>
          <w:lang w:val="en-US"/>
        </w:rPr>
        <w:t xml:space="preserve">the </w:t>
      </w:r>
      <w:r w:rsidR="0070106B" w:rsidRPr="00DD1B58">
        <w:rPr>
          <w:lang w:val="en-US"/>
        </w:rPr>
        <w:t>arrangements align with WENRA SV 5.10</w:t>
      </w:r>
      <w:r w:rsidR="00E22261" w:rsidRPr="00DD1B58">
        <w:rPr>
          <w:lang w:val="en-US"/>
        </w:rPr>
        <w:t>.</w:t>
      </w:r>
    </w:p>
    <w:p w14:paraId="1A8A8C29" w14:textId="77777777" w:rsidR="0070106B" w:rsidRPr="00DD1B58" w:rsidRDefault="0070106B" w:rsidP="0070106B">
      <w:pPr>
        <w:pStyle w:val="Default"/>
        <w:rPr>
          <w:lang w:val="en-US"/>
        </w:rPr>
      </w:pPr>
    </w:p>
    <w:p w14:paraId="502FCFDE" w14:textId="77777777" w:rsidR="0070106B" w:rsidRPr="00DD1B58" w:rsidRDefault="00672B7C" w:rsidP="0070106B">
      <w:pPr>
        <w:pStyle w:val="Default"/>
        <w:rPr>
          <w:b/>
          <w:lang w:val="en-US"/>
        </w:rPr>
      </w:pPr>
      <w:r w:rsidRPr="00DD1B58">
        <w:rPr>
          <w:b/>
          <w:lang w:val="en-US"/>
        </w:rPr>
        <w:t>Access to and integration of support from the offsite local Fire Service</w:t>
      </w:r>
    </w:p>
    <w:p w14:paraId="554662B8" w14:textId="77777777" w:rsidR="00C430CB" w:rsidRPr="00DD1B58" w:rsidRDefault="00C430CB" w:rsidP="0070106B">
      <w:pPr>
        <w:pStyle w:val="Default"/>
        <w:rPr>
          <w:lang w:val="en-US"/>
        </w:rPr>
      </w:pPr>
    </w:p>
    <w:p w14:paraId="6CCD89AD" w14:textId="1F9F9E61" w:rsidR="00C430CB" w:rsidRPr="00DD1B58" w:rsidRDefault="00C430CB" w:rsidP="00C430CB">
      <w:pPr>
        <w:pStyle w:val="Default"/>
        <w:rPr>
          <w:lang w:val="en-US"/>
        </w:rPr>
      </w:pPr>
      <w:r w:rsidRPr="00DD1B58">
        <w:rPr>
          <w:lang w:val="en-US"/>
        </w:rPr>
        <w:t xml:space="preserve">At Dounreay, the criteria for contacting the offsite local fire services </w:t>
      </w:r>
      <w:r w:rsidR="007E43D2" w:rsidRPr="00DD1B58">
        <w:rPr>
          <w:lang w:val="en-US"/>
        </w:rPr>
        <w:t>are</w:t>
      </w:r>
      <w:r w:rsidRPr="00DD1B58">
        <w:rPr>
          <w:lang w:val="en-US"/>
        </w:rPr>
        <w:t xml:space="preserve"> where a situation arises that is out with the capability of the onsite fire service, such as a fire that is of a magnitude beyond their resources, an incident requiring a large number of breathing apparatus wearers or more than one simultaneous incident occurs on site. This is covered in Dounreay Fire, Ambulance &amp; Rescue Service working instructions and the Scottish Fire Service (SFS) Site Specific Operational Plan.</w:t>
      </w:r>
    </w:p>
    <w:p w14:paraId="24279F9F" w14:textId="77777777" w:rsidR="00C430CB" w:rsidRPr="00DD1B58" w:rsidRDefault="00C430CB" w:rsidP="00C430CB">
      <w:pPr>
        <w:pStyle w:val="Default"/>
        <w:rPr>
          <w:lang w:val="en-US"/>
        </w:rPr>
      </w:pPr>
    </w:p>
    <w:p w14:paraId="1F234E49" w14:textId="37D0C80D" w:rsidR="00C430CB" w:rsidRPr="00DD1B58" w:rsidRDefault="00C430CB" w:rsidP="00C430CB">
      <w:pPr>
        <w:pStyle w:val="Default"/>
        <w:rPr>
          <w:lang w:val="en-US"/>
        </w:rPr>
      </w:pPr>
      <w:r w:rsidRPr="00DD1B58">
        <w:rPr>
          <w:lang w:val="en-US"/>
        </w:rPr>
        <w:t>The responsibility for coordinating the response initially lies with the Fire Service Incident Commander who will liaise with the SFS and provide guidance on the facility specific hazards and risks. As the situation develops the responsibility will be transferred to the Site Incident Controller for overall incident management.</w:t>
      </w:r>
    </w:p>
    <w:p w14:paraId="287F10DA" w14:textId="77777777" w:rsidR="00C430CB" w:rsidRPr="00DD1B58" w:rsidRDefault="00C430CB" w:rsidP="00C430CB">
      <w:pPr>
        <w:pStyle w:val="Default"/>
        <w:rPr>
          <w:lang w:val="en-US"/>
        </w:rPr>
      </w:pPr>
    </w:p>
    <w:p w14:paraId="2DB635DE" w14:textId="5F977310" w:rsidR="00C430CB" w:rsidRPr="00DD1B58" w:rsidRDefault="00C430CB" w:rsidP="00C430CB">
      <w:pPr>
        <w:pStyle w:val="Default"/>
        <w:rPr>
          <w:lang w:val="en-US"/>
        </w:rPr>
      </w:pPr>
      <w:r w:rsidRPr="00DD1B58">
        <w:rPr>
          <w:lang w:val="en-US"/>
        </w:rPr>
        <w:t xml:space="preserve">The on-site fire service </w:t>
      </w:r>
      <w:r w:rsidR="00E22261" w:rsidRPr="00DD1B58">
        <w:rPr>
          <w:lang w:val="en-US"/>
        </w:rPr>
        <w:t>carries</w:t>
      </w:r>
      <w:r w:rsidRPr="00DD1B58">
        <w:rPr>
          <w:lang w:val="en-US"/>
        </w:rPr>
        <w:t xml:space="preserve"> out regular facility familiarisation visits to ensure the team are kept up to date with the hazards and associated firefighting limitations related to the facility.</w:t>
      </w:r>
    </w:p>
    <w:p w14:paraId="423D41BE" w14:textId="77777777" w:rsidR="00C430CB" w:rsidRPr="00DD1B58" w:rsidRDefault="00C430CB" w:rsidP="00C430CB">
      <w:pPr>
        <w:pStyle w:val="Default"/>
        <w:rPr>
          <w:lang w:val="en-US"/>
        </w:rPr>
      </w:pPr>
    </w:p>
    <w:p w14:paraId="430FE36D" w14:textId="577FBFDD" w:rsidR="00621876" w:rsidRPr="00DD1B58" w:rsidRDefault="002E05CA" w:rsidP="00621876">
      <w:pPr>
        <w:pStyle w:val="Default"/>
        <w:rPr>
          <w:lang w:val="en-US"/>
        </w:rPr>
      </w:pPr>
      <w:r w:rsidRPr="00DD1B58">
        <w:rPr>
          <w:lang w:val="en-US"/>
        </w:rPr>
        <w:t>Dounreay report</w:t>
      </w:r>
      <w:r w:rsidR="003222E4" w:rsidRPr="00DD1B58">
        <w:rPr>
          <w:lang w:val="en-US"/>
        </w:rPr>
        <w:t>s</w:t>
      </w:r>
      <w:r w:rsidRPr="00DD1B58">
        <w:rPr>
          <w:lang w:val="en-US"/>
        </w:rPr>
        <w:t xml:space="preserve"> that the </w:t>
      </w:r>
      <w:r w:rsidR="00C430CB" w:rsidRPr="00DD1B58">
        <w:rPr>
          <w:lang w:val="en-US"/>
        </w:rPr>
        <w:t>documentation available to responding local fire services are the building specific</w:t>
      </w:r>
      <w:r w:rsidRPr="00DD1B58">
        <w:rPr>
          <w:lang w:val="en-US"/>
        </w:rPr>
        <w:t>-</w:t>
      </w:r>
      <w:r w:rsidR="00C430CB" w:rsidRPr="00DD1B58">
        <w:rPr>
          <w:lang w:val="en-US"/>
        </w:rPr>
        <w:t>hazard files</w:t>
      </w:r>
      <w:r w:rsidRPr="00DD1B58">
        <w:rPr>
          <w:lang w:val="en-US"/>
        </w:rPr>
        <w:t>,</w:t>
      </w:r>
      <w:r w:rsidR="00C430CB" w:rsidRPr="00DD1B58">
        <w:rPr>
          <w:lang w:val="en-US"/>
        </w:rPr>
        <w:t xml:space="preserve"> which show the type of material held and the quantities these also give the relevant Hazchem codes. Building plans showing location of fire </w:t>
      </w:r>
      <w:r w:rsidR="00621876" w:rsidRPr="00DD1B58">
        <w:rPr>
          <w:lang w:val="en-US"/>
        </w:rPr>
        <w:t>break walls and specifically for PFR, also available are Alkali Metal Fire Pre-Fighting Plans. Given on arrival are the appropriate rendezvous points (RV) relevant to the facility.</w:t>
      </w:r>
    </w:p>
    <w:p w14:paraId="5394986D" w14:textId="77777777" w:rsidR="00222FE1" w:rsidRPr="00DD1B58" w:rsidRDefault="00222FE1" w:rsidP="00621876">
      <w:pPr>
        <w:pStyle w:val="Default"/>
        <w:rPr>
          <w:lang w:val="en-US"/>
        </w:rPr>
      </w:pPr>
    </w:p>
    <w:p w14:paraId="06A8608C" w14:textId="77777777" w:rsidR="00222FE1" w:rsidRPr="00DD1B58" w:rsidRDefault="00222FE1" w:rsidP="00621876">
      <w:pPr>
        <w:pStyle w:val="Default"/>
        <w:rPr>
          <w:b/>
          <w:lang w:val="en-US"/>
        </w:rPr>
      </w:pPr>
      <w:r w:rsidRPr="00DD1B58">
        <w:rPr>
          <w:b/>
          <w:lang w:val="en-US"/>
        </w:rPr>
        <w:t>Emergency Preparedness</w:t>
      </w:r>
    </w:p>
    <w:p w14:paraId="048C9143" w14:textId="77777777" w:rsidR="00222FE1" w:rsidRPr="00DD1B58" w:rsidRDefault="00222FE1" w:rsidP="00621876">
      <w:pPr>
        <w:pStyle w:val="Default"/>
        <w:rPr>
          <w:lang w:val="en-US"/>
        </w:rPr>
      </w:pPr>
    </w:p>
    <w:p w14:paraId="15A16B31" w14:textId="6EB6BED6" w:rsidR="00296484" w:rsidRPr="00DD1B58" w:rsidRDefault="00296484" w:rsidP="00296484">
      <w:pPr>
        <w:pStyle w:val="Default"/>
        <w:rPr>
          <w:lang w:val="en-US"/>
        </w:rPr>
      </w:pPr>
      <w:r w:rsidRPr="00DD1B58">
        <w:rPr>
          <w:lang w:val="en-US"/>
        </w:rPr>
        <w:t xml:space="preserve">The Nuclear Installations Act 1965 (as amended) (NIA65) </w:t>
      </w:r>
      <w:sdt>
        <w:sdtPr>
          <w:rPr>
            <w:lang w:val="en-US"/>
          </w:rPr>
          <w:id w:val="426857792"/>
          <w:citation/>
        </w:sdtPr>
        <w:sdtContent>
          <w:r w:rsidR="005D2D5A" w:rsidRPr="00DD1B58">
            <w:rPr>
              <w:lang w:val="en-US"/>
            </w:rPr>
            <w:fldChar w:fldCharType="begin"/>
          </w:r>
          <w:r w:rsidR="005D2D5A" w:rsidRPr="00DD1B58">
            <w:rPr>
              <w:lang w:val="en-US"/>
            </w:rPr>
            <w:instrText xml:space="preserve"> CITATION Nuc65 \l 2057 </w:instrText>
          </w:r>
          <w:r w:rsidR="005D2D5A" w:rsidRPr="00DD1B58">
            <w:rPr>
              <w:lang w:val="en-US"/>
            </w:rPr>
            <w:fldChar w:fldCharType="separate"/>
          </w:r>
          <w:r w:rsidR="00DF47DA" w:rsidRPr="00DF47DA">
            <w:rPr>
              <w:noProof/>
              <w:lang w:val="en-US"/>
            </w:rPr>
            <w:t>[103]</w:t>
          </w:r>
          <w:r w:rsidR="005D2D5A" w:rsidRPr="00DD1B58">
            <w:rPr>
              <w:lang w:val="en-US"/>
            </w:rPr>
            <w:fldChar w:fldCharType="end"/>
          </w:r>
        </w:sdtContent>
      </w:sdt>
      <w:r w:rsidRPr="00DD1B58">
        <w:rPr>
          <w:lang w:val="en-US"/>
        </w:rPr>
        <w:t xml:space="preserve"> requires </w:t>
      </w:r>
      <w:r w:rsidR="00792877" w:rsidRPr="00DD1B58">
        <w:rPr>
          <w:lang w:val="en-US"/>
        </w:rPr>
        <w:t xml:space="preserve">ONR </w:t>
      </w:r>
      <w:r w:rsidRPr="00DD1B58">
        <w:rPr>
          <w:lang w:val="en-US"/>
        </w:rPr>
        <w:t>to attach conditions to nuclear site licences. Site Licence Condition 11 refers to Emergency Arrangements; the purpose is to ensure that the site has adequate arrangements in place to respond effectively to any incident or accident. This includes preparing and updating a Site Emergency Plan and conducting emergency exercises.</w:t>
      </w:r>
      <w:r w:rsidR="00665056" w:rsidRPr="00DD1B58">
        <w:rPr>
          <w:lang w:val="en-US"/>
        </w:rPr>
        <w:t xml:space="preserve"> Dounreay report</w:t>
      </w:r>
      <w:r w:rsidR="00600B1E" w:rsidRPr="00DD1B58">
        <w:rPr>
          <w:lang w:val="en-US"/>
        </w:rPr>
        <w:t>s</w:t>
      </w:r>
      <w:r w:rsidR="00665056" w:rsidRPr="00DD1B58">
        <w:rPr>
          <w:lang w:val="en-US"/>
        </w:rPr>
        <w:t xml:space="preserve"> its </w:t>
      </w:r>
      <w:r w:rsidRPr="00DD1B58">
        <w:rPr>
          <w:lang w:val="en-US"/>
        </w:rPr>
        <w:t xml:space="preserve">key priorities </w:t>
      </w:r>
      <w:r w:rsidR="00665056" w:rsidRPr="00DD1B58">
        <w:rPr>
          <w:lang w:val="en-US"/>
        </w:rPr>
        <w:t>as follows</w:t>
      </w:r>
      <w:r w:rsidRPr="00DD1B58">
        <w:rPr>
          <w:lang w:val="en-US"/>
        </w:rPr>
        <w:t>:</w:t>
      </w:r>
    </w:p>
    <w:p w14:paraId="6C99EC4C" w14:textId="77777777" w:rsidR="00296484" w:rsidRPr="00DD1B58" w:rsidRDefault="00296484" w:rsidP="00296484">
      <w:pPr>
        <w:pStyle w:val="Default"/>
        <w:rPr>
          <w:lang w:val="en-US"/>
        </w:rPr>
      </w:pPr>
    </w:p>
    <w:p w14:paraId="680B13F9" w14:textId="77777777" w:rsidR="00296484" w:rsidRPr="00DD1B58" w:rsidRDefault="00296484" w:rsidP="00677104">
      <w:pPr>
        <w:pStyle w:val="Bulletlist1"/>
        <w:rPr>
          <w:lang w:val="en-US"/>
        </w:rPr>
      </w:pPr>
      <w:r w:rsidRPr="00DD1B58">
        <w:rPr>
          <w:lang w:val="en-US"/>
        </w:rPr>
        <w:t>Compliance: with legislation</w:t>
      </w:r>
    </w:p>
    <w:p w14:paraId="0C0A14BF" w14:textId="77777777" w:rsidR="00296484" w:rsidRPr="00DD1B58" w:rsidRDefault="00296484" w:rsidP="00677104">
      <w:pPr>
        <w:pStyle w:val="Bulletlist1"/>
        <w:rPr>
          <w:lang w:val="en-US"/>
        </w:rPr>
      </w:pPr>
      <w:r w:rsidRPr="00DD1B58">
        <w:rPr>
          <w:lang w:val="en-US"/>
        </w:rPr>
        <w:t>Preparedness: ensuring an emergency response capability (people and equipment) is maintained</w:t>
      </w:r>
    </w:p>
    <w:p w14:paraId="79CA9C54" w14:textId="77777777" w:rsidR="00296484" w:rsidRPr="00DD1B58" w:rsidRDefault="00296484" w:rsidP="00677104">
      <w:pPr>
        <w:pStyle w:val="Bulletlist1"/>
        <w:rPr>
          <w:lang w:val="en-US"/>
        </w:rPr>
      </w:pPr>
      <w:r w:rsidRPr="00DD1B58">
        <w:rPr>
          <w:lang w:val="en-US"/>
        </w:rPr>
        <w:t>Response: to events and exercises</w:t>
      </w:r>
    </w:p>
    <w:p w14:paraId="6CDC4484" w14:textId="77777777" w:rsidR="00A3435A" w:rsidRPr="00DD1B58" w:rsidRDefault="00296484" w:rsidP="00A3435A">
      <w:pPr>
        <w:pStyle w:val="Bulletlist1"/>
        <w:rPr>
          <w:lang w:val="en-US"/>
        </w:rPr>
      </w:pPr>
      <w:r w:rsidRPr="00DD1B58">
        <w:rPr>
          <w:lang w:val="en-US"/>
        </w:rPr>
        <w:t>Recovery: from incidents and events</w:t>
      </w:r>
    </w:p>
    <w:p w14:paraId="593D5B7C" w14:textId="0C55AC7C" w:rsidR="00315124" w:rsidRPr="00DD1B58" w:rsidRDefault="00296484" w:rsidP="009B7030">
      <w:pPr>
        <w:pStyle w:val="Default"/>
        <w:rPr>
          <w:lang w:val="en-US"/>
        </w:rPr>
      </w:pPr>
      <w:r w:rsidRPr="00DD1B58">
        <w:rPr>
          <w:lang w:val="en-US"/>
        </w:rPr>
        <w:t xml:space="preserve">In order to test the emergency arrangements, </w:t>
      </w:r>
      <w:r w:rsidR="00665056" w:rsidRPr="00DD1B58">
        <w:rPr>
          <w:lang w:val="en-US"/>
        </w:rPr>
        <w:t>Dounreay has</w:t>
      </w:r>
      <w:r w:rsidRPr="00DD1B58">
        <w:rPr>
          <w:lang w:val="en-US"/>
        </w:rPr>
        <w:t xml:space="preserve"> a requirement to hold regular emergency exercises. Exercise scenarios are sent to ONR for comment or information and include an annual level 1 safety demonstration exercise, a level 2 safety demonstration exercise (typically held every three years in collaboration with the Highland Council) and an annual Regulatory Evaluated Demonstration Exercise (REDE). </w:t>
      </w:r>
    </w:p>
    <w:p w14:paraId="21EB94AB" w14:textId="77777777" w:rsidR="009B7030" w:rsidRPr="00DD1B58" w:rsidRDefault="009B7030" w:rsidP="009B7030">
      <w:pPr>
        <w:pStyle w:val="Default"/>
        <w:rPr>
          <w:lang w:val="en-US"/>
        </w:rPr>
      </w:pPr>
    </w:p>
    <w:p w14:paraId="65B317D2" w14:textId="77777777" w:rsidR="00D813A6" w:rsidRPr="00DD1B58" w:rsidRDefault="00D813A6" w:rsidP="00177432">
      <w:pPr>
        <w:pStyle w:val="Heading5A"/>
        <w:numPr>
          <w:ilvl w:val="5"/>
          <w:numId w:val="7"/>
        </w:numPr>
        <w:rPr>
          <w:lang w:val="en-US"/>
        </w:rPr>
      </w:pPr>
      <w:r w:rsidRPr="00DD1B58">
        <w:rPr>
          <w:lang w:val="en-US"/>
        </w:rPr>
        <w:t>Specific provisions, e.g. loss of access</w:t>
      </w:r>
    </w:p>
    <w:p w14:paraId="661C2A32" w14:textId="3D907C1D" w:rsidR="00E5179E" w:rsidRPr="00DD1B58" w:rsidRDefault="00733A3D" w:rsidP="00547F9D">
      <w:pPr>
        <w:pStyle w:val="Default"/>
        <w:rPr>
          <w:lang w:val="en-US"/>
        </w:rPr>
      </w:pPr>
      <w:r w:rsidRPr="00DD1B58">
        <w:rPr>
          <w:lang w:val="en-US"/>
        </w:rPr>
        <w:t>There</w:t>
      </w:r>
      <w:r w:rsidR="00F94334" w:rsidRPr="00DD1B58">
        <w:rPr>
          <w:lang w:val="en-US"/>
        </w:rPr>
        <w:t xml:space="preserve"> are several access routes to the PFR facility. </w:t>
      </w:r>
      <w:r w:rsidRPr="00DD1B58">
        <w:rPr>
          <w:lang w:val="en-US"/>
        </w:rPr>
        <w:t xml:space="preserve">Dounreay </w:t>
      </w:r>
      <w:r w:rsidR="006D798B" w:rsidRPr="00DD1B58">
        <w:rPr>
          <w:lang w:val="en-US"/>
        </w:rPr>
        <w:t>reports that</w:t>
      </w:r>
      <w:r w:rsidRPr="00DD1B58">
        <w:rPr>
          <w:lang w:val="en-US"/>
        </w:rPr>
        <w:t xml:space="preserve"> if </w:t>
      </w:r>
      <w:r w:rsidR="00F94334" w:rsidRPr="00DD1B58">
        <w:rPr>
          <w:lang w:val="en-US"/>
        </w:rPr>
        <w:t>the main access route is unavailable, then additional access routes can be made available</w:t>
      </w:r>
      <w:r w:rsidRPr="00DD1B58">
        <w:rPr>
          <w:lang w:val="en-US"/>
        </w:rPr>
        <w:t xml:space="preserve"> by liaising with the CNC. </w:t>
      </w:r>
      <w:r w:rsidR="00F94334" w:rsidRPr="00DD1B58">
        <w:rPr>
          <w:lang w:val="en-US"/>
        </w:rPr>
        <w:t>With regards to offsite access routes</w:t>
      </w:r>
      <w:r w:rsidRPr="00DD1B58">
        <w:rPr>
          <w:lang w:val="en-US"/>
        </w:rPr>
        <w:t>,</w:t>
      </w:r>
      <w:r w:rsidR="00F94334" w:rsidRPr="00DD1B58">
        <w:rPr>
          <w:lang w:val="en-US"/>
        </w:rPr>
        <w:t xml:space="preserve"> there are two main roads to site that approach from different directions with network of interlinking roads in between.</w:t>
      </w:r>
    </w:p>
    <w:p w14:paraId="618BA7B7" w14:textId="77777777" w:rsidR="00547F9D" w:rsidRPr="00DD1B58" w:rsidRDefault="00547F9D" w:rsidP="00547F9D">
      <w:pPr>
        <w:pStyle w:val="Default"/>
        <w:rPr>
          <w:lang w:val="en-US"/>
        </w:rPr>
      </w:pPr>
    </w:p>
    <w:p w14:paraId="45ADF25E" w14:textId="77777777" w:rsidR="00D813A6" w:rsidRPr="00DD1B58" w:rsidRDefault="00D813A6" w:rsidP="00177432">
      <w:pPr>
        <w:pStyle w:val="Heading5A"/>
        <w:rPr>
          <w:lang w:val="en-US"/>
        </w:rPr>
      </w:pPr>
      <w:bookmarkStart w:id="132" w:name="_Ref135316425"/>
      <w:r w:rsidRPr="00DD1B58">
        <w:rPr>
          <w:lang w:val="en-US"/>
        </w:rPr>
        <w:t>Licensee’s experience of the implementation of the active fire protection</w:t>
      </w:r>
      <w:bookmarkEnd w:id="132"/>
    </w:p>
    <w:p w14:paraId="3D37E6A7" w14:textId="77777777" w:rsidR="00D813A6" w:rsidRPr="00DD1B58" w:rsidRDefault="00D813A6" w:rsidP="00177432">
      <w:pPr>
        <w:pStyle w:val="Heading5A"/>
        <w:numPr>
          <w:ilvl w:val="5"/>
          <w:numId w:val="7"/>
        </w:numPr>
        <w:rPr>
          <w:lang w:val="en-US"/>
        </w:rPr>
      </w:pPr>
      <w:r w:rsidRPr="00DD1B58">
        <w:rPr>
          <w:lang w:val="en-US"/>
        </w:rPr>
        <w:t>Overview of strengths and weaknesses</w:t>
      </w:r>
    </w:p>
    <w:p w14:paraId="24985ABA" w14:textId="0042E2E7" w:rsidR="0096673C" w:rsidRPr="00DD1B58" w:rsidRDefault="005E7D81" w:rsidP="0096673C">
      <w:pPr>
        <w:pStyle w:val="Default"/>
        <w:rPr>
          <w:lang w:val="en-US"/>
        </w:rPr>
      </w:pPr>
      <w:r w:rsidRPr="00DD1B58">
        <w:rPr>
          <w:lang w:val="en-US"/>
        </w:rPr>
        <w:t xml:space="preserve">Dounreay </w:t>
      </w:r>
      <w:r w:rsidR="006D798B" w:rsidRPr="00DD1B58">
        <w:rPr>
          <w:lang w:val="en-US"/>
        </w:rPr>
        <w:t>reports that</w:t>
      </w:r>
      <w:r w:rsidRPr="00DD1B58">
        <w:rPr>
          <w:lang w:val="en-US"/>
        </w:rPr>
        <w:t xml:space="preserve"> the </w:t>
      </w:r>
      <w:r w:rsidR="0096673C" w:rsidRPr="00DD1B58">
        <w:rPr>
          <w:lang w:val="en-US"/>
        </w:rPr>
        <w:t xml:space="preserve">PFR Fire Detection and Alarm system was recently upgraded as there were concerns about obsolescence. </w:t>
      </w:r>
      <w:r w:rsidRPr="00DD1B58">
        <w:rPr>
          <w:lang w:val="en-US"/>
        </w:rPr>
        <w:t xml:space="preserve">Dounreay </w:t>
      </w:r>
      <w:r w:rsidR="007376D6" w:rsidRPr="00DD1B58">
        <w:rPr>
          <w:lang w:val="en-US"/>
        </w:rPr>
        <w:t>states that</w:t>
      </w:r>
      <w:r w:rsidRPr="00DD1B58">
        <w:rPr>
          <w:lang w:val="en-US"/>
        </w:rPr>
        <w:t xml:space="preserve"> it selected a </w:t>
      </w:r>
      <w:r w:rsidR="0096673C" w:rsidRPr="00DD1B58">
        <w:rPr>
          <w:lang w:val="en-US"/>
        </w:rPr>
        <w:t xml:space="preserve">reputable supplier with a long history of delivery of fire protection systems. </w:t>
      </w:r>
      <w:r w:rsidRPr="00DD1B58">
        <w:rPr>
          <w:lang w:val="en-US"/>
        </w:rPr>
        <w:t xml:space="preserve">It has engaged the </w:t>
      </w:r>
      <w:r w:rsidR="0096673C" w:rsidRPr="00DD1B58">
        <w:rPr>
          <w:lang w:val="en-US"/>
        </w:rPr>
        <w:t xml:space="preserve">same supplier </w:t>
      </w:r>
      <w:r w:rsidRPr="00DD1B58">
        <w:rPr>
          <w:lang w:val="en-US"/>
        </w:rPr>
        <w:t xml:space="preserve">in </w:t>
      </w:r>
      <w:r w:rsidR="0096673C" w:rsidRPr="00DD1B58">
        <w:rPr>
          <w:lang w:val="en-US"/>
        </w:rPr>
        <w:t>maintain</w:t>
      </w:r>
      <w:r w:rsidRPr="00DD1B58">
        <w:rPr>
          <w:lang w:val="en-US"/>
        </w:rPr>
        <w:t>ing</w:t>
      </w:r>
      <w:r w:rsidR="0096673C" w:rsidRPr="00DD1B58">
        <w:rPr>
          <w:lang w:val="en-US"/>
        </w:rPr>
        <w:t xml:space="preserve"> the system</w:t>
      </w:r>
      <w:r w:rsidRPr="00DD1B58">
        <w:rPr>
          <w:lang w:val="en-US"/>
        </w:rPr>
        <w:t xml:space="preserve">, to ensure </w:t>
      </w:r>
      <w:r w:rsidR="0096673C" w:rsidRPr="00DD1B58">
        <w:rPr>
          <w:lang w:val="en-US"/>
        </w:rPr>
        <w:t>continuity of knowledge and to minimise potential obsolescence.</w:t>
      </w:r>
    </w:p>
    <w:p w14:paraId="03DD650B" w14:textId="77777777" w:rsidR="0096673C" w:rsidRPr="00DD1B58" w:rsidRDefault="0096673C" w:rsidP="0096673C">
      <w:pPr>
        <w:pStyle w:val="Default"/>
        <w:rPr>
          <w:lang w:val="en-US"/>
        </w:rPr>
      </w:pPr>
    </w:p>
    <w:p w14:paraId="5F7A17CF" w14:textId="77777777" w:rsidR="00D813A6" w:rsidRPr="00DD1B58" w:rsidRDefault="00D813A6" w:rsidP="00177432">
      <w:pPr>
        <w:pStyle w:val="Heading5A"/>
        <w:numPr>
          <w:ilvl w:val="5"/>
          <w:numId w:val="7"/>
        </w:numPr>
        <w:rPr>
          <w:lang w:val="en-US"/>
        </w:rPr>
      </w:pPr>
      <w:r w:rsidRPr="00DD1B58">
        <w:rPr>
          <w:lang w:val="en-US"/>
        </w:rPr>
        <w:t>Lessons learned from events, reviews fire safety related missions, etc.</w:t>
      </w:r>
    </w:p>
    <w:p w14:paraId="69F03E9B" w14:textId="76E89415" w:rsidR="00B45B89" w:rsidRPr="00DD1B58" w:rsidRDefault="00880A8D" w:rsidP="00596C81">
      <w:pPr>
        <w:rPr>
          <w:lang w:val="en-US"/>
        </w:rPr>
      </w:pPr>
      <w:r w:rsidRPr="00DD1B58">
        <w:rPr>
          <w:lang w:val="en-US"/>
        </w:rPr>
        <w:t xml:space="preserve">No specific </w:t>
      </w:r>
      <w:r w:rsidR="00A54A60" w:rsidRPr="00DD1B58">
        <w:rPr>
          <w:lang w:val="en-US"/>
        </w:rPr>
        <w:t>active fire protection</w:t>
      </w:r>
      <w:r w:rsidRPr="00DD1B58">
        <w:rPr>
          <w:lang w:val="en-US"/>
        </w:rPr>
        <w:t xml:space="preserve"> missions have been recorded. Lessons learned from fire events which have occurred at the PFR facility are recorded in Section </w:t>
      </w:r>
      <w:r w:rsidRPr="00DD1B58">
        <w:rPr>
          <w:lang w:val="en-US"/>
        </w:rPr>
        <w:fldChar w:fldCharType="begin"/>
      </w:r>
      <w:r w:rsidRPr="00DD1B58">
        <w:rPr>
          <w:lang w:val="en-US"/>
        </w:rPr>
        <w:instrText xml:space="preserve"> REF _Ref136872886 \r \h </w:instrText>
      </w:r>
      <w:r w:rsidRPr="00DD1B58">
        <w:rPr>
          <w:lang w:val="en-US"/>
        </w:rPr>
      </w:r>
      <w:r w:rsidRPr="00DD1B58">
        <w:rPr>
          <w:lang w:val="en-US"/>
        </w:rPr>
        <w:fldChar w:fldCharType="separate"/>
      </w:r>
      <w:r w:rsidR="00DF47DA">
        <w:rPr>
          <w:lang w:val="en-US"/>
        </w:rPr>
        <w:t>I-2.6.6.2</w:t>
      </w:r>
      <w:r w:rsidRPr="00DD1B58">
        <w:rPr>
          <w:lang w:val="en-US"/>
        </w:rPr>
        <w:fldChar w:fldCharType="end"/>
      </w:r>
      <w:r w:rsidRPr="00DD1B58">
        <w:rPr>
          <w:lang w:val="en-US"/>
        </w:rPr>
        <w:t xml:space="preserve">. </w:t>
      </w:r>
    </w:p>
    <w:p w14:paraId="409EBB6B" w14:textId="77777777" w:rsidR="00D813A6" w:rsidRPr="00DD1B58" w:rsidRDefault="00D813A6" w:rsidP="00177432">
      <w:pPr>
        <w:pStyle w:val="Heading5A"/>
        <w:numPr>
          <w:ilvl w:val="5"/>
          <w:numId w:val="7"/>
        </w:numPr>
        <w:rPr>
          <w:lang w:val="en-US"/>
        </w:rPr>
      </w:pPr>
      <w:r w:rsidRPr="00DD1B58">
        <w:rPr>
          <w:lang w:val="en-US"/>
        </w:rPr>
        <w:t>Overview of actions and implementation status</w:t>
      </w:r>
    </w:p>
    <w:p w14:paraId="2488BC0F" w14:textId="16BDE6DE" w:rsidR="00402E9B" w:rsidRPr="00DD1B58" w:rsidRDefault="004B10A9" w:rsidP="008A61FD">
      <w:pPr>
        <w:rPr>
          <w:lang w:val="en-US"/>
        </w:rPr>
      </w:pPr>
      <w:r w:rsidRPr="00DD1B58">
        <w:rPr>
          <w:lang w:val="en-US"/>
        </w:rPr>
        <w:t xml:space="preserve">No specific actions have been identified by the licensee related to active fire protection. </w:t>
      </w:r>
      <w:r w:rsidR="00FC54E4" w:rsidRPr="00DD1B58">
        <w:rPr>
          <w:lang w:val="en-US"/>
        </w:rPr>
        <w:t xml:space="preserve">An ongoing </w:t>
      </w:r>
      <w:r w:rsidR="0070417D" w:rsidRPr="00DD1B58">
        <w:rPr>
          <w:lang w:val="en-US"/>
        </w:rPr>
        <w:t>regulatory issue related to EMIT activities of</w:t>
      </w:r>
      <w:r w:rsidR="008E5041" w:rsidRPr="00DD1B58">
        <w:rPr>
          <w:lang w:val="en-US"/>
        </w:rPr>
        <w:t xml:space="preserve"> the PFR Fire Alarm and Detection System</w:t>
      </w:r>
      <w:r w:rsidR="005672C9" w:rsidRPr="00DD1B58">
        <w:rPr>
          <w:lang w:val="en-US"/>
        </w:rPr>
        <w:t xml:space="preserve"> </w:t>
      </w:r>
      <w:r w:rsidR="003503B1" w:rsidRPr="00DD1B58">
        <w:rPr>
          <w:lang w:val="en-US"/>
        </w:rPr>
        <w:t>has recently been closed</w:t>
      </w:r>
      <w:r w:rsidR="00235261" w:rsidRPr="00DD1B58">
        <w:rPr>
          <w:lang w:val="en-US"/>
        </w:rPr>
        <w:t>.</w:t>
      </w:r>
      <w:r w:rsidR="006B14FF" w:rsidRPr="00DD1B58">
        <w:rPr>
          <w:lang w:val="en-US"/>
        </w:rPr>
        <w:t xml:space="preserve"> Additionally, Dounreay </w:t>
      </w:r>
      <w:r w:rsidR="007962F0" w:rsidRPr="00DD1B58">
        <w:rPr>
          <w:lang w:val="en-US"/>
        </w:rPr>
        <w:t xml:space="preserve">is </w:t>
      </w:r>
      <w:r w:rsidR="006B14FF" w:rsidRPr="00DD1B58">
        <w:rPr>
          <w:lang w:val="en-US"/>
        </w:rPr>
        <w:t xml:space="preserve">continuing to </w:t>
      </w:r>
      <w:r w:rsidR="007962F0" w:rsidRPr="00DD1B58">
        <w:rPr>
          <w:lang w:val="en-US"/>
        </w:rPr>
        <w:t>report to</w:t>
      </w:r>
      <w:r w:rsidR="006B14FF" w:rsidRPr="00DD1B58">
        <w:rPr>
          <w:lang w:val="en-US"/>
        </w:rPr>
        <w:t xml:space="preserve"> ONR </w:t>
      </w:r>
      <w:r w:rsidR="007962F0" w:rsidRPr="00DD1B58">
        <w:rPr>
          <w:lang w:val="en-US"/>
        </w:rPr>
        <w:t xml:space="preserve">on future plans </w:t>
      </w:r>
      <w:r w:rsidR="00816E7D" w:rsidRPr="00DD1B58">
        <w:rPr>
          <w:lang w:val="en-US"/>
        </w:rPr>
        <w:t xml:space="preserve">associated with replacement of </w:t>
      </w:r>
      <w:r w:rsidR="002A7790" w:rsidRPr="00DD1B58">
        <w:rPr>
          <w:lang w:val="en-US"/>
        </w:rPr>
        <w:t xml:space="preserve">fire </w:t>
      </w:r>
      <w:r w:rsidR="00030C83" w:rsidRPr="00DD1B58">
        <w:rPr>
          <w:lang w:val="en-US"/>
        </w:rPr>
        <w:t xml:space="preserve">related systems </w:t>
      </w:r>
      <w:r w:rsidR="00EB0C15" w:rsidRPr="00DD1B58">
        <w:rPr>
          <w:lang w:val="en-US"/>
        </w:rPr>
        <w:t>as part of normal regulatory business.</w:t>
      </w:r>
      <w:r w:rsidR="00030C83" w:rsidRPr="00DD1B58">
        <w:rPr>
          <w:lang w:val="en-US"/>
        </w:rPr>
        <w:t xml:space="preserve"> </w:t>
      </w:r>
    </w:p>
    <w:p w14:paraId="2CA34A2A" w14:textId="77777777" w:rsidR="0071761A" w:rsidRPr="00DD1B58" w:rsidRDefault="00D813A6" w:rsidP="00177432">
      <w:pPr>
        <w:pStyle w:val="Heading5A"/>
        <w:rPr>
          <w:lang w:val="en-US"/>
        </w:rPr>
      </w:pPr>
      <w:bookmarkStart w:id="133" w:name="_Ref145058867"/>
      <w:r w:rsidRPr="00DD1B58">
        <w:rPr>
          <w:lang w:val="en-US"/>
        </w:rPr>
        <w:t>Regulator’s assessment of the active fire protection</w:t>
      </w:r>
      <w:bookmarkEnd w:id="133"/>
    </w:p>
    <w:p w14:paraId="0F610860" w14:textId="77777777" w:rsidR="00D813A6" w:rsidRPr="00DD1B58" w:rsidRDefault="00D813A6" w:rsidP="00177432">
      <w:pPr>
        <w:pStyle w:val="Heading5A"/>
        <w:numPr>
          <w:ilvl w:val="5"/>
          <w:numId w:val="7"/>
        </w:numPr>
        <w:rPr>
          <w:lang w:val="en-US"/>
        </w:rPr>
      </w:pPr>
      <w:r w:rsidRPr="00DD1B58">
        <w:rPr>
          <w:lang w:val="en-US"/>
        </w:rPr>
        <w:t>Overview of strengths and weaknesses in the active fire protection</w:t>
      </w:r>
    </w:p>
    <w:p w14:paraId="188AF98F" w14:textId="77777777" w:rsidR="00C67142" w:rsidRPr="00DD1B58" w:rsidRDefault="00C67142" w:rsidP="00C67142">
      <w:pPr>
        <w:rPr>
          <w:b/>
          <w:lang w:val="en-US"/>
        </w:rPr>
      </w:pPr>
      <w:r w:rsidRPr="00DD1B58">
        <w:rPr>
          <w:b/>
          <w:lang w:val="en-US"/>
        </w:rPr>
        <w:t>Strengths</w:t>
      </w:r>
    </w:p>
    <w:p w14:paraId="2E4A3A89" w14:textId="599CF15D" w:rsidR="00FC63A8" w:rsidRPr="00DD1B58" w:rsidRDefault="00C67142" w:rsidP="00FC63A8">
      <w:pPr>
        <w:rPr>
          <w:lang w:val="en-US"/>
        </w:rPr>
      </w:pPr>
      <w:r w:rsidRPr="00DD1B58">
        <w:rPr>
          <w:b/>
          <w:lang w:val="en-US"/>
        </w:rPr>
        <w:t xml:space="preserve">Fire Alarm </w:t>
      </w:r>
      <w:r w:rsidR="00C66229" w:rsidRPr="00DD1B58">
        <w:rPr>
          <w:b/>
          <w:lang w:val="en-US"/>
        </w:rPr>
        <w:t>&amp; Detection Capability</w:t>
      </w:r>
      <w:r w:rsidR="00291908" w:rsidRPr="00DD1B58">
        <w:rPr>
          <w:b/>
          <w:lang w:val="en-US"/>
        </w:rPr>
        <w:t>:</w:t>
      </w:r>
      <w:r w:rsidR="00291908" w:rsidRPr="00DD1B58">
        <w:rPr>
          <w:lang w:val="en-US"/>
        </w:rPr>
        <w:t xml:space="preserve"> </w:t>
      </w:r>
      <w:r w:rsidR="00F8725B" w:rsidRPr="00DD1B58">
        <w:rPr>
          <w:lang w:val="en-US"/>
        </w:rPr>
        <w:t>Dounreay has identified that the</w:t>
      </w:r>
      <w:r w:rsidR="00D6247E" w:rsidRPr="00DD1B58">
        <w:rPr>
          <w:lang w:val="en-US"/>
        </w:rPr>
        <w:t xml:space="preserve"> PFR </w:t>
      </w:r>
      <w:r w:rsidR="00FC44B9" w:rsidRPr="00DD1B58">
        <w:rPr>
          <w:lang w:val="en-US"/>
        </w:rPr>
        <w:t>facility does</w:t>
      </w:r>
      <w:r w:rsidR="00995254" w:rsidRPr="00DD1B58">
        <w:rPr>
          <w:lang w:val="en-US"/>
        </w:rPr>
        <w:t xml:space="preserve"> not</w:t>
      </w:r>
      <w:r w:rsidR="00FC44B9" w:rsidRPr="00DD1B58">
        <w:rPr>
          <w:lang w:val="en-US"/>
        </w:rPr>
        <w:t xml:space="preserve"> place significant claims on any </w:t>
      </w:r>
      <w:r w:rsidR="00417E20" w:rsidRPr="00DD1B58">
        <w:rPr>
          <w:lang w:val="en-US"/>
        </w:rPr>
        <w:t xml:space="preserve">active fire protection systems. </w:t>
      </w:r>
      <w:r w:rsidR="00B476CC" w:rsidRPr="00DD1B58">
        <w:rPr>
          <w:lang w:val="en-US"/>
        </w:rPr>
        <w:t>Indeed,</w:t>
      </w:r>
      <w:r w:rsidR="00417E20" w:rsidRPr="00DD1B58">
        <w:rPr>
          <w:lang w:val="en-US"/>
        </w:rPr>
        <w:t xml:space="preserve"> there are no fire suppression or smoke control features present within the facility and </w:t>
      </w:r>
      <w:r w:rsidR="002406FA" w:rsidRPr="00DD1B58">
        <w:rPr>
          <w:lang w:val="en-US"/>
        </w:rPr>
        <w:t>the claim placed on the fire alarm and detection system is based primarily around assuring prompt evacuation of personal from potential risk areas</w:t>
      </w:r>
      <w:r w:rsidR="009410C0" w:rsidRPr="00DD1B58">
        <w:rPr>
          <w:lang w:val="en-US"/>
        </w:rPr>
        <w:t>.</w:t>
      </w:r>
      <w:r w:rsidR="00142EF3" w:rsidRPr="00DD1B58">
        <w:rPr>
          <w:lang w:val="en-US"/>
        </w:rPr>
        <w:t xml:space="preserve"> </w:t>
      </w:r>
      <w:r w:rsidR="00CE2967" w:rsidRPr="00DD1B58">
        <w:rPr>
          <w:lang w:val="en-US"/>
        </w:rPr>
        <w:t xml:space="preserve">This is generally aligned with the expectations of the ONR Technical Assessment Guide for Internal Hazards </w:t>
      </w:r>
      <w:sdt>
        <w:sdtPr>
          <w:rPr>
            <w:lang w:val="en-US"/>
          </w:rPr>
          <w:id w:val="-975063562"/>
          <w:citation/>
        </w:sdtPr>
        <w:sdtContent>
          <w:r w:rsidR="009B4FD9" w:rsidRPr="00DD1B58">
            <w:rPr>
              <w:lang w:val="en-US"/>
            </w:rPr>
            <w:fldChar w:fldCharType="begin"/>
          </w:r>
          <w:r w:rsidR="009B4FD9" w:rsidRPr="00DD1B58">
            <w:rPr>
              <w:lang w:val="en-US"/>
            </w:rPr>
            <w:instrText xml:space="preserve"> CITATION ONR4 \l 2057 </w:instrText>
          </w:r>
          <w:r w:rsidR="009B4FD9" w:rsidRPr="00DD1B58">
            <w:rPr>
              <w:lang w:val="en-US"/>
            </w:rPr>
            <w:fldChar w:fldCharType="separate"/>
          </w:r>
          <w:r w:rsidR="00DF47DA" w:rsidRPr="00DF47DA">
            <w:rPr>
              <w:noProof/>
              <w:lang w:val="en-US"/>
            </w:rPr>
            <w:t>[16]</w:t>
          </w:r>
          <w:r w:rsidR="009B4FD9" w:rsidRPr="00DD1B58">
            <w:rPr>
              <w:lang w:val="en-US"/>
            </w:rPr>
            <w:fldChar w:fldCharType="end"/>
          </w:r>
        </w:sdtContent>
      </w:sdt>
      <w:r w:rsidR="009B4FD9" w:rsidRPr="00DD1B58">
        <w:rPr>
          <w:lang w:val="en-US"/>
        </w:rPr>
        <w:t xml:space="preserve"> </w:t>
      </w:r>
      <w:r w:rsidR="00CE2967" w:rsidRPr="00DD1B58">
        <w:rPr>
          <w:lang w:val="en-US"/>
        </w:rPr>
        <w:t>which</w:t>
      </w:r>
      <w:r w:rsidR="00151616" w:rsidRPr="00DD1B58">
        <w:rPr>
          <w:lang w:val="en-US"/>
        </w:rPr>
        <w:t xml:space="preserve"> outlines that limiting the consequences of hazards should be </w:t>
      </w:r>
      <w:r w:rsidR="00416DB9" w:rsidRPr="00DD1B58">
        <w:rPr>
          <w:lang w:val="en-US"/>
        </w:rPr>
        <w:t xml:space="preserve">ensured by good plant layout principles and passive </w:t>
      </w:r>
      <w:r w:rsidR="000907BC" w:rsidRPr="00DD1B58">
        <w:rPr>
          <w:lang w:val="en-US"/>
        </w:rPr>
        <w:t>hazards protection measures.</w:t>
      </w:r>
    </w:p>
    <w:p w14:paraId="70B47661" w14:textId="311BD3DF" w:rsidR="00896D31" w:rsidRPr="00DD1B58" w:rsidRDefault="002A5B82" w:rsidP="00FC63A8">
      <w:pPr>
        <w:rPr>
          <w:lang w:val="en-US"/>
        </w:rPr>
      </w:pPr>
      <w:r w:rsidRPr="00DD1B58">
        <w:rPr>
          <w:lang w:val="en-US"/>
        </w:rPr>
        <w:t xml:space="preserve">Dounreay has made a significant investment </w:t>
      </w:r>
      <w:r w:rsidR="004922D3" w:rsidRPr="00DD1B58">
        <w:rPr>
          <w:lang w:val="en-US"/>
        </w:rPr>
        <w:t>to replace the</w:t>
      </w:r>
      <w:r w:rsidRPr="00DD1B58">
        <w:rPr>
          <w:lang w:val="en-US"/>
        </w:rPr>
        <w:t xml:space="preserve"> </w:t>
      </w:r>
      <w:r w:rsidR="00E6043C" w:rsidRPr="00DD1B58">
        <w:rPr>
          <w:lang w:val="en-US"/>
        </w:rPr>
        <w:t xml:space="preserve">alarm and detection system at PFR which provides device level resolution to </w:t>
      </w:r>
      <w:r w:rsidR="00454B1F" w:rsidRPr="00DD1B58">
        <w:rPr>
          <w:lang w:val="en-US"/>
        </w:rPr>
        <w:t xml:space="preserve">the </w:t>
      </w:r>
      <w:r w:rsidR="00C73F8F" w:rsidRPr="00DD1B58">
        <w:rPr>
          <w:lang w:val="en-US"/>
        </w:rPr>
        <w:t xml:space="preserve">Dounreay </w:t>
      </w:r>
      <w:r w:rsidR="008D5949" w:rsidRPr="00DD1B58">
        <w:rPr>
          <w:lang w:val="en-US"/>
        </w:rPr>
        <w:t>site fire control room</w:t>
      </w:r>
      <w:r w:rsidR="00E40EED" w:rsidRPr="00DD1B58">
        <w:rPr>
          <w:lang w:val="en-US"/>
        </w:rPr>
        <w:t>.</w:t>
      </w:r>
      <w:r w:rsidR="002010A8" w:rsidRPr="00DD1B58">
        <w:rPr>
          <w:lang w:val="en-US"/>
        </w:rPr>
        <w:t xml:space="preserve"> This is aligned with the expectation of the ONR </w:t>
      </w:r>
      <w:r w:rsidR="00845A43" w:rsidRPr="00DD1B58">
        <w:rPr>
          <w:lang w:val="en-US"/>
        </w:rPr>
        <w:t>Technical Assessment Guide for Internal Hazards which states “</w:t>
      </w:r>
      <w:r w:rsidR="003B45F4" w:rsidRPr="00DD1B58">
        <w:rPr>
          <w:lang w:val="en-US"/>
        </w:rPr>
        <w:t>the fire detection, alarm and extinguishing systems provided should be commensurate with the fire hazard scenarios stipulated in the safety case”.</w:t>
      </w:r>
      <w:r w:rsidR="00FF23F8" w:rsidRPr="00DD1B58">
        <w:rPr>
          <w:lang w:val="en-US"/>
        </w:rPr>
        <w:t xml:space="preserve"> The fire alarm system is provided with battery back-up as stipulated by the </w:t>
      </w:r>
      <w:r w:rsidR="00120D75" w:rsidRPr="00DD1B58">
        <w:rPr>
          <w:lang w:val="en-US"/>
        </w:rPr>
        <w:t>British Standard for Fire Alarm System Design BS5839</w:t>
      </w:r>
      <w:r w:rsidR="00CD7FDC" w:rsidRPr="00DD1B58">
        <w:rPr>
          <w:lang w:val="en-US"/>
        </w:rPr>
        <w:t xml:space="preserve">-1 </w:t>
      </w:r>
      <w:sdt>
        <w:sdtPr>
          <w:rPr>
            <w:lang w:val="en-US"/>
          </w:rPr>
          <w:id w:val="988133690"/>
          <w:citation/>
        </w:sdtPr>
        <w:sdtContent>
          <w:r w:rsidR="00CD7FDC" w:rsidRPr="00DD1B58">
            <w:rPr>
              <w:lang w:val="en-US"/>
            </w:rPr>
            <w:fldChar w:fldCharType="begin"/>
          </w:r>
          <w:r w:rsidR="00CD7FDC" w:rsidRPr="00DD1B58">
            <w:rPr>
              <w:lang w:val="en-US"/>
            </w:rPr>
            <w:instrText xml:space="preserve"> CITATION BS5839 \l 2057 </w:instrText>
          </w:r>
          <w:r w:rsidR="00CD7FDC" w:rsidRPr="00DD1B58">
            <w:rPr>
              <w:lang w:val="en-US"/>
            </w:rPr>
            <w:fldChar w:fldCharType="separate"/>
          </w:r>
          <w:r w:rsidR="00DF47DA" w:rsidRPr="00DF47DA">
            <w:rPr>
              <w:noProof/>
              <w:lang w:val="en-US"/>
            </w:rPr>
            <w:t>[179]</w:t>
          </w:r>
          <w:r w:rsidR="00CD7FDC" w:rsidRPr="00DD1B58">
            <w:rPr>
              <w:lang w:val="en-US"/>
            </w:rPr>
            <w:fldChar w:fldCharType="end"/>
          </w:r>
        </w:sdtContent>
      </w:sdt>
      <w:r w:rsidR="00120D75" w:rsidRPr="00DD1B58">
        <w:rPr>
          <w:lang w:val="en-US"/>
        </w:rPr>
        <w:t xml:space="preserve">. </w:t>
      </w:r>
      <w:r w:rsidR="007F5018" w:rsidRPr="00DD1B58">
        <w:rPr>
          <w:lang w:val="en-US"/>
        </w:rPr>
        <w:t xml:space="preserve">ONR therefore judges that the system meets the expectations of WENRA Safety Reference Level </w:t>
      </w:r>
      <w:r w:rsidR="006048BF" w:rsidRPr="00DD1B58">
        <w:rPr>
          <w:lang w:val="en-US"/>
        </w:rPr>
        <w:t>S 4.1</w:t>
      </w:r>
      <w:r w:rsidR="00CD7FDC" w:rsidRPr="00DD1B58">
        <w:rPr>
          <w:lang w:val="en-US"/>
        </w:rPr>
        <w:t xml:space="preserve"> </w:t>
      </w:r>
      <w:sdt>
        <w:sdtPr>
          <w:rPr>
            <w:lang w:val="en-US"/>
          </w:rPr>
          <w:id w:val="-529646645"/>
          <w:citation/>
        </w:sdtPr>
        <w:sdtContent>
          <w:r w:rsidR="00CD7FDC" w:rsidRPr="00DD1B58">
            <w:rPr>
              <w:lang w:val="en-US"/>
            </w:rPr>
            <w:fldChar w:fldCharType="begin"/>
          </w:r>
          <w:r w:rsidR="001270D9" w:rsidRPr="00DD1B58">
            <w:rPr>
              <w:lang w:val="en-US"/>
            </w:rPr>
            <w:instrText xml:space="preserve">CITATION WEN2 \l 2057 </w:instrText>
          </w:r>
          <w:r w:rsidR="00CD7FDC" w:rsidRPr="00DD1B58">
            <w:rPr>
              <w:lang w:val="en-US"/>
            </w:rPr>
            <w:fldChar w:fldCharType="separate"/>
          </w:r>
          <w:r w:rsidR="00DF47DA" w:rsidRPr="00DF47DA">
            <w:rPr>
              <w:noProof/>
              <w:lang w:val="en-US"/>
            </w:rPr>
            <w:t>[1]</w:t>
          </w:r>
          <w:r w:rsidR="00CD7FDC" w:rsidRPr="00DD1B58">
            <w:rPr>
              <w:lang w:val="en-US"/>
            </w:rPr>
            <w:fldChar w:fldCharType="end"/>
          </w:r>
        </w:sdtContent>
      </w:sdt>
      <w:r w:rsidR="00F355CC" w:rsidRPr="00DD1B58">
        <w:rPr>
          <w:lang w:val="en-US"/>
        </w:rPr>
        <w:t>.</w:t>
      </w:r>
    </w:p>
    <w:p w14:paraId="4A6ECC63" w14:textId="4FEB2A11" w:rsidR="00FB5B31" w:rsidRPr="00DD1B58" w:rsidRDefault="00C66229" w:rsidP="00FC63A8">
      <w:pPr>
        <w:rPr>
          <w:lang w:val="en-US"/>
        </w:rPr>
      </w:pPr>
      <w:r w:rsidRPr="00DD1B58">
        <w:rPr>
          <w:b/>
          <w:lang w:val="en-US"/>
        </w:rPr>
        <w:t>Onsite Response Capability</w:t>
      </w:r>
      <w:r w:rsidR="00291908" w:rsidRPr="00DD1B58">
        <w:rPr>
          <w:b/>
          <w:lang w:val="en-US"/>
        </w:rPr>
        <w:t>:</w:t>
      </w:r>
      <w:r w:rsidR="00291908" w:rsidRPr="00DD1B58">
        <w:rPr>
          <w:lang w:val="en-US"/>
        </w:rPr>
        <w:t xml:space="preserve"> </w:t>
      </w:r>
      <w:r w:rsidR="00FB5B31" w:rsidRPr="00DD1B58">
        <w:rPr>
          <w:lang w:val="en-US"/>
        </w:rPr>
        <w:t>Dounreay has</w:t>
      </w:r>
      <w:r w:rsidR="00CD7FDC" w:rsidRPr="00DD1B58">
        <w:rPr>
          <w:lang w:val="en-US"/>
        </w:rPr>
        <w:t xml:space="preserve"> identified that </w:t>
      </w:r>
      <w:r w:rsidR="008B2736" w:rsidRPr="00DD1B58">
        <w:rPr>
          <w:lang w:val="en-US"/>
        </w:rPr>
        <w:t xml:space="preserve">the </w:t>
      </w:r>
      <w:r w:rsidR="00EF59DD" w:rsidRPr="00DD1B58">
        <w:rPr>
          <w:lang w:val="en-US"/>
        </w:rPr>
        <w:t>Dounreay Fire Ambulance and Rescue Service (DFARS)</w:t>
      </w:r>
      <w:r w:rsidR="008B2736" w:rsidRPr="00DD1B58">
        <w:rPr>
          <w:lang w:val="en-US"/>
        </w:rPr>
        <w:t xml:space="preserve"> provides a 24-hour firefighting capability onsite</w:t>
      </w:r>
      <w:r w:rsidR="001F02A7" w:rsidRPr="00DD1B58">
        <w:rPr>
          <w:lang w:val="en-US"/>
        </w:rPr>
        <w:t>.</w:t>
      </w:r>
      <w:r w:rsidR="008B2736" w:rsidRPr="00DD1B58">
        <w:rPr>
          <w:lang w:val="en-US"/>
        </w:rPr>
        <w:t xml:space="preserve"> DFARS are familiar </w:t>
      </w:r>
      <w:r w:rsidR="003C725D" w:rsidRPr="00DD1B58">
        <w:rPr>
          <w:lang w:val="en-US"/>
        </w:rPr>
        <w:t>with the onsite hazards and are consulted on building design and modification. Dounreay also noted</w:t>
      </w:r>
      <w:r w:rsidR="002E39C1" w:rsidRPr="00DD1B58">
        <w:rPr>
          <w:lang w:val="en-US"/>
        </w:rPr>
        <w:t xml:space="preserve"> that DFARS can be backed up </w:t>
      </w:r>
      <w:r w:rsidR="001F02A7" w:rsidRPr="00DD1B58">
        <w:rPr>
          <w:lang w:val="en-US"/>
        </w:rPr>
        <w:t xml:space="preserve">by the Scottish </w:t>
      </w:r>
      <w:r w:rsidR="006833EF" w:rsidRPr="00DD1B58">
        <w:rPr>
          <w:lang w:val="en-US"/>
        </w:rPr>
        <w:t xml:space="preserve">Fire and Rescue Service should a </w:t>
      </w:r>
      <w:r w:rsidR="002A5EBD" w:rsidRPr="00DD1B58">
        <w:rPr>
          <w:lang w:val="en-US"/>
        </w:rPr>
        <w:t>fully developed</w:t>
      </w:r>
      <w:r w:rsidR="006833EF" w:rsidRPr="00DD1B58">
        <w:rPr>
          <w:lang w:val="en-US"/>
        </w:rPr>
        <w:t xml:space="preserve"> fire break out on site. </w:t>
      </w:r>
      <w:r w:rsidR="005B15D6" w:rsidRPr="00DD1B58">
        <w:rPr>
          <w:lang w:val="en-US"/>
        </w:rPr>
        <w:t xml:space="preserve">The enhanced provision of firefighting capability on site </w:t>
      </w:r>
      <w:r w:rsidR="00EA4053" w:rsidRPr="00DD1B58">
        <w:rPr>
          <w:lang w:val="en-US"/>
        </w:rPr>
        <w:t xml:space="preserve">is reflective of </w:t>
      </w:r>
      <w:r w:rsidR="003401AB" w:rsidRPr="00DD1B58">
        <w:rPr>
          <w:lang w:val="en-US"/>
        </w:rPr>
        <w:t>the site’s remote location</w:t>
      </w:r>
      <w:r w:rsidR="00EE5C3B" w:rsidRPr="00DD1B58">
        <w:rPr>
          <w:lang w:val="en-US"/>
        </w:rPr>
        <w:t xml:space="preserve"> and a</w:t>
      </w:r>
      <w:r w:rsidR="00354D19" w:rsidRPr="00DD1B58">
        <w:rPr>
          <w:lang w:val="en-US"/>
        </w:rPr>
        <w:t xml:space="preserve"> target response time of 3 minutes is applied for fire </w:t>
      </w:r>
      <w:r w:rsidR="00EC53C1" w:rsidRPr="00DD1B58">
        <w:rPr>
          <w:lang w:val="en-US"/>
        </w:rPr>
        <w:t xml:space="preserve">events </w:t>
      </w:r>
      <w:r w:rsidR="00354D19" w:rsidRPr="00DD1B58">
        <w:rPr>
          <w:lang w:val="en-US"/>
        </w:rPr>
        <w:t>across site</w:t>
      </w:r>
      <w:r w:rsidR="003D464A" w:rsidRPr="00DD1B58">
        <w:rPr>
          <w:lang w:val="en-US"/>
        </w:rPr>
        <w:t xml:space="preserve">. Whilst no formal claims </w:t>
      </w:r>
      <w:r w:rsidR="000554AA" w:rsidRPr="00DD1B58">
        <w:rPr>
          <w:lang w:val="en-US"/>
        </w:rPr>
        <w:t xml:space="preserve">are made on firefighting response within the PFR safety case </w:t>
      </w:r>
      <w:r w:rsidR="00101AF2" w:rsidRPr="00DD1B58">
        <w:rPr>
          <w:lang w:val="en-US"/>
        </w:rPr>
        <w:t>the provision offered by DFARS is a strong defence in depth measure and ONR</w:t>
      </w:r>
      <w:r w:rsidR="002E39C1" w:rsidRPr="00DD1B58">
        <w:rPr>
          <w:lang w:val="en-US"/>
        </w:rPr>
        <w:t xml:space="preserve"> judges</w:t>
      </w:r>
      <w:r w:rsidR="00101AF2" w:rsidRPr="00DD1B58">
        <w:rPr>
          <w:lang w:val="en-US"/>
        </w:rPr>
        <w:t xml:space="preserve"> this to be a point of strength in Dounreay’s overall fire protection concept.</w:t>
      </w:r>
    </w:p>
    <w:p w14:paraId="17A3D506" w14:textId="77777777" w:rsidR="000E7844" w:rsidRPr="00DD1B58" w:rsidRDefault="000E7844" w:rsidP="00FC63A8">
      <w:pPr>
        <w:rPr>
          <w:b/>
          <w:lang w:val="en-US"/>
        </w:rPr>
      </w:pPr>
      <w:r w:rsidRPr="00DD1B58">
        <w:rPr>
          <w:b/>
          <w:lang w:val="en-US"/>
        </w:rPr>
        <w:t>Weaknesses</w:t>
      </w:r>
    </w:p>
    <w:p w14:paraId="032FFF9B" w14:textId="705E6F84" w:rsidR="000E7844" w:rsidRPr="00DD1B58" w:rsidRDefault="00E95BCC" w:rsidP="00FC63A8">
      <w:pPr>
        <w:rPr>
          <w:lang w:val="en-US"/>
        </w:rPr>
      </w:pPr>
      <w:r w:rsidRPr="00DD1B58">
        <w:rPr>
          <w:lang w:val="en-US"/>
        </w:rPr>
        <w:t xml:space="preserve">No specific weaknesses have been identified relevant to this section of the NAR however, relevant issues identified during inspection are described in Section </w:t>
      </w:r>
      <w:r w:rsidRPr="00DD1B58">
        <w:rPr>
          <w:lang w:val="en-US"/>
        </w:rPr>
        <w:fldChar w:fldCharType="begin"/>
      </w:r>
      <w:r w:rsidRPr="00DD1B58">
        <w:rPr>
          <w:lang w:val="en-US"/>
        </w:rPr>
        <w:instrText xml:space="preserve"> REF _Ref140146963 \r \h </w:instrText>
      </w:r>
      <w:r w:rsidRPr="00DD1B58">
        <w:rPr>
          <w:lang w:val="en-US"/>
        </w:rPr>
      </w:r>
      <w:r w:rsidRPr="00DD1B58">
        <w:rPr>
          <w:lang w:val="en-US"/>
        </w:rPr>
        <w:fldChar w:fldCharType="separate"/>
      </w:r>
      <w:r w:rsidR="00DF47DA">
        <w:rPr>
          <w:lang w:val="en-US"/>
        </w:rPr>
        <w:t>F-I-3.2.5.2</w:t>
      </w:r>
      <w:r w:rsidRPr="00DD1B58">
        <w:rPr>
          <w:lang w:val="en-US"/>
        </w:rPr>
        <w:fldChar w:fldCharType="end"/>
      </w:r>
      <w:r w:rsidRPr="00DD1B58">
        <w:rPr>
          <w:lang w:val="en-US"/>
        </w:rPr>
        <w:t>.</w:t>
      </w:r>
    </w:p>
    <w:p w14:paraId="636D882A" w14:textId="77777777" w:rsidR="00D813A6" w:rsidRPr="00DD1B58" w:rsidRDefault="00D813A6" w:rsidP="00177432">
      <w:pPr>
        <w:pStyle w:val="Heading5A"/>
        <w:numPr>
          <w:ilvl w:val="5"/>
          <w:numId w:val="7"/>
        </w:numPr>
        <w:rPr>
          <w:lang w:val="en-US"/>
        </w:rPr>
      </w:pPr>
      <w:bookmarkStart w:id="134" w:name="_Ref140146963"/>
      <w:r w:rsidRPr="00DD1B58">
        <w:rPr>
          <w:lang w:val="en-US"/>
        </w:rPr>
        <w:t>Lessons learned from inspection and assessment on the active fire protection as part of its regulatory oversight</w:t>
      </w:r>
      <w:bookmarkEnd w:id="134"/>
    </w:p>
    <w:p w14:paraId="7C0DAF90" w14:textId="02D839DD" w:rsidR="00D07782" w:rsidRPr="00DD1B58" w:rsidRDefault="00E61F99" w:rsidP="00513B78">
      <w:pPr>
        <w:rPr>
          <w:lang w:val="en-US"/>
        </w:rPr>
      </w:pPr>
      <w:r w:rsidRPr="00DD1B58">
        <w:rPr>
          <w:lang w:val="en-US"/>
        </w:rPr>
        <w:t xml:space="preserve">ONR carried out a targeted inspection of the PFR Fire Alarm and Detection system in February 2023 including sampling of </w:t>
      </w:r>
      <w:r w:rsidR="00905EC2" w:rsidRPr="00DD1B58">
        <w:rPr>
          <w:lang w:val="en-US"/>
        </w:rPr>
        <w:t xml:space="preserve">maintenance and inspection </w:t>
      </w:r>
      <w:r w:rsidRPr="00DD1B58">
        <w:rPr>
          <w:lang w:val="en-US"/>
        </w:rPr>
        <w:t>records</w:t>
      </w:r>
      <w:r w:rsidR="00905EC2" w:rsidRPr="00DD1B58">
        <w:rPr>
          <w:lang w:val="en-US"/>
        </w:rPr>
        <w:t xml:space="preserve">. </w:t>
      </w:r>
      <w:r w:rsidR="00C218E8" w:rsidRPr="00DD1B58">
        <w:rPr>
          <w:lang w:val="en-US"/>
        </w:rPr>
        <w:t>ONR also observed the site fire</w:t>
      </w:r>
      <w:r w:rsidR="00F25F8B" w:rsidRPr="00DD1B58">
        <w:rPr>
          <w:lang w:val="en-US"/>
        </w:rPr>
        <w:t xml:space="preserve"> control room </w:t>
      </w:r>
      <w:r w:rsidR="00FB56C5" w:rsidRPr="00DD1B58">
        <w:rPr>
          <w:lang w:val="en-US"/>
        </w:rPr>
        <w:t xml:space="preserve">and the PFR repeater panel display. </w:t>
      </w:r>
      <w:r w:rsidR="00FF6435" w:rsidRPr="00DD1B58">
        <w:rPr>
          <w:lang w:val="en-US"/>
        </w:rPr>
        <w:t>ONR raised a level 4 regulatory issue (lowest level) for Dounreay to ensure completeness and accuracy of maintenance</w:t>
      </w:r>
      <w:r w:rsidR="003C188A" w:rsidRPr="00DD1B58">
        <w:rPr>
          <w:lang w:val="en-US"/>
        </w:rPr>
        <w:t xml:space="preserve"> records</w:t>
      </w:r>
      <w:r w:rsidR="00FF6435" w:rsidRPr="00DD1B58">
        <w:rPr>
          <w:lang w:val="en-US"/>
        </w:rPr>
        <w:t xml:space="preserve">. </w:t>
      </w:r>
      <w:r w:rsidR="00C97C4A" w:rsidRPr="00DD1B58">
        <w:rPr>
          <w:lang w:val="en-US"/>
        </w:rPr>
        <w:t>This issue has since been closed.</w:t>
      </w:r>
      <w:r w:rsidR="00FF6435" w:rsidRPr="00DD1B58">
        <w:rPr>
          <w:lang w:val="en-US"/>
        </w:rPr>
        <w:t xml:space="preserve"> The </w:t>
      </w:r>
      <w:r w:rsidR="003C188A" w:rsidRPr="00DD1B58">
        <w:rPr>
          <w:lang w:val="en-US"/>
        </w:rPr>
        <w:t>alarm system was found to be in a good</w:t>
      </w:r>
      <w:r w:rsidR="00FF6435" w:rsidRPr="00DD1B58">
        <w:rPr>
          <w:lang w:val="en-US"/>
        </w:rPr>
        <w:t xml:space="preserve">, maintained </w:t>
      </w:r>
      <w:r w:rsidR="003C188A" w:rsidRPr="00DD1B58">
        <w:rPr>
          <w:lang w:val="en-US"/>
        </w:rPr>
        <w:t>condition with the level of resolution and information provided by the PFR system back to the control room</w:t>
      </w:r>
      <w:r w:rsidR="00B23AA4" w:rsidRPr="00DD1B58">
        <w:rPr>
          <w:lang w:val="en-US"/>
        </w:rPr>
        <w:t xml:space="preserve"> </w:t>
      </w:r>
      <w:r w:rsidR="00B7091E" w:rsidRPr="00DD1B58">
        <w:rPr>
          <w:lang w:val="en-US"/>
        </w:rPr>
        <w:t>recognised as a strength</w:t>
      </w:r>
      <w:r w:rsidR="00AE3A11" w:rsidRPr="00DD1B58">
        <w:rPr>
          <w:lang w:val="en-US"/>
        </w:rPr>
        <w:t>.</w:t>
      </w:r>
      <w:r w:rsidR="00D07782" w:rsidRPr="00DD1B58">
        <w:rPr>
          <w:lang w:val="en-US"/>
        </w:rPr>
        <w:br w:type="page"/>
      </w:r>
    </w:p>
    <w:p w14:paraId="34152545" w14:textId="5D273DDF" w:rsidR="00A0589C" w:rsidRPr="00DD1B58" w:rsidRDefault="00A0589C" w:rsidP="00177432">
      <w:pPr>
        <w:pStyle w:val="Heading2A"/>
        <w:rPr>
          <w:lang w:val="en-US"/>
        </w:rPr>
      </w:pPr>
      <w:bookmarkStart w:id="135" w:name="_Toc147090651"/>
      <w:r w:rsidRPr="00DD1B58">
        <w:rPr>
          <w:lang w:val="en-US"/>
        </w:rPr>
        <w:t xml:space="preserve">Passive </w:t>
      </w:r>
      <w:r w:rsidR="0059010C" w:rsidRPr="00DD1B58">
        <w:rPr>
          <w:lang w:val="en-US"/>
        </w:rPr>
        <w:t>f</w:t>
      </w:r>
      <w:r w:rsidRPr="00DD1B58">
        <w:rPr>
          <w:lang w:val="en-US"/>
        </w:rPr>
        <w:t xml:space="preserve">ire </w:t>
      </w:r>
      <w:r w:rsidR="0059010C" w:rsidRPr="00DD1B58">
        <w:rPr>
          <w:lang w:val="en-US"/>
        </w:rPr>
        <w:t>p</w:t>
      </w:r>
      <w:r w:rsidRPr="00DD1B58">
        <w:rPr>
          <w:lang w:val="en-US"/>
        </w:rPr>
        <w:t>rotection</w:t>
      </w:r>
      <w:bookmarkEnd w:id="135"/>
    </w:p>
    <w:p w14:paraId="2A438895" w14:textId="73D61FEA" w:rsidR="003665A5" w:rsidRPr="00DD1B58" w:rsidRDefault="003665A5" w:rsidP="00177432">
      <w:pPr>
        <w:pStyle w:val="Heading3A"/>
        <w:rPr>
          <w:lang w:val="en-US"/>
        </w:rPr>
      </w:pPr>
      <w:bookmarkStart w:id="136" w:name="_Ref135217969"/>
      <w:bookmarkStart w:id="137" w:name="_Toc147090652"/>
      <w:r w:rsidRPr="00DD1B58">
        <w:rPr>
          <w:lang w:val="en-US"/>
        </w:rPr>
        <w:t xml:space="preserve">Nuclear </w:t>
      </w:r>
      <w:r w:rsidR="0059010C" w:rsidRPr="00DD1B58">
        <w:rPr>
          <w:lang w:val="en-US"/>
        </w:rPr>
        <w:t>p</w:t>
      </w:r>
      <w:r w:rsidRPr="00DD1B58">
        <w:rPr>
          <w:lang w:val="en-US"/>
        </w:rPr>
        <w:t xml:space="preserve">ower </w:t>
      </w:r>
      <w:r w:rsidR="0059010C" w:rsidRPr="00DD1B58">
        <w:rPr>
          <w:lang w:val="en-US"/>
        </w:rPr>
        <w:t>p</w:t>
      </w:r>
      <w:r w:rsidRPr="00DD1B58">
        <w:rPr>
          <w:lang w:val="en-US"/>
        </w:rPr>
        <w:t>lants</w:t>
      </w:r>
      <w:bookmarkEnd w:id="136"/>
      <w:bookmarkEnd w:id="137"/>
    </w:p>
    <w:p w14:paraId="7BDB7EA9" w14:textId="17AF54AD" w:rsidR="00D1043F" w:rsidRPr="00DD1B58" w:rsidRDefault="00D1043F" w:rsidP="005E4071">
      <w:pPr>
        <w:rPr>
          <w:lang w:val="en-US"/>
        </w:rPr>
      </w:pPr>
      <w:r w:rsidRPr="00DD1B58">
        <w:rPr>
          <w:lang w:val="en-US"/>
        </w:rPr>
        <w:t>The text in the Sections below has been prepared by EDF NGL and NNB GenCo</w:t>
      </w:r>
      <w:r w:rsidR="0023056A" w:rsidRPr="00DD1B58">
        <w:rPr>
          <w:lang w:val="en-US"/>
        </w:rPr>
        <w:t xml:space="preserve"> w</w:t>
      </w:r>
      <w:r w:rsidR="007D348D" w:rsidRPr="00DD1B58">
        <w:rPr>
          <w:lang w:val="en-US"/>
        </w:rPr>
        <w:t xml:space="preserve">ith minimal editing </w:t>
      </w:r>
      <w:r w:rsidR="0023056A" w:rsidRPr="00DD1B58">
        <w:rPr>
          <w:lang w:val="en-US"/>
        </w:rPr>
        <w:t>by ONR.</w:t>
      </w:r>
      <w:r w:rsidR="007D348D" w:rsidRPr="00DD1B58">
        <w:rPr>
          <w:lang w:val="en-US"/>
        </w:rPr>
        <w:t xml:space="preserve"> </w:t>
      </w:r>
      <w:r w:rsidRPr="00DD1B58">
        <w:rPr>
          <w:lang w:val="en-US"/>
        </w:rPr>
        <w:t xml:space="preserve">Background information on the sites and the range of installations considered in the scope of the assessment is provided in Section </w:t>
      </w:r>
      <w:r w:rsidRPr="00DD1B58">
        <w:rPr>
          <w:lang w:val="en-US"/>
        </w:rPr>
        <w:fldChar w:fldCharType="begin"/>
      </w:r>
      <w:r w:rsidRPr="00DD1B58">
        <w:rPr>
          <w:lang w:val="en-US"/>
        </w:rPr>
        <w:instrText xml:space="preserve"> REF _Ref135231543 \r \h  \* MERGEFORMAT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2E9724FD" w14:textId="478E07E1" w:rsidR="003665A5" w:rsidRPr="00DD1B58" w:rsidRDefault="003665A5" w:rsidP="00177432">
      <w:pPr>
        <w:pStyle w:val="Heading4A"/>
        <w:rPr>
          <w:lang w:val="en-US"/>
        </w:rPr>
      </w:pPr>
      <w:r w:rsidRPr="00DD1B58">
        <w:rPr>
          <w:lang w:val="en-US"/>
        </w:rPr>
        <w:t xml:space="preserve">Operating </w:t>
      </w:r>
      <w:r w:rsidR="0059010C" w:rsidRPr="00DD1B58">
        <w:rPr>
          <w:lang w:val="en-US"/>
        </w:rPr>
        <w:t>f</w:t>
      </w:r>
      <w:r w:rsidRPr="00DD1B58">
        <w:rPr>
          <w:lang w:val="en-US"/>
        </w:rPr>
        <w:t>acilities</w:t>
      </w:r>
    </w:p>
    <w:p w14:paraId="7772C0AB" w14:textId="77777777" w:rsidR="003665A5" w:rsidRPr="00DD1B58" w:rsidRDefault="00D81E64" w:rsidP="00177432">
      <w:pPr>
        <w:pStyle w:val="Heading5A"/>
        <w:rPr>
          <w:lang w:val="en-US"/>
        </w:rPr>
      </w:pPr>
      <w:r w:rsidRPr="00DD1B58">
        <w:rPr>
          <w:lang w:val="en-US"/>
        </w:rPr>
        <w:t>Prevention of fire spreading (barriers)</w:t>
      </w:r>
    </w:p>
    <w:p w14:paraId="08565A42" w14:textId="25BB3D07" w:rsidR="003665A5" w:rsidRPr="00DD1B58" w:rsidRDefault="003665A5" w:rsidP="00177432">
      <w:pPr>
        <w:pStyle w:val="Heading5A"/>
        <w:numPr>
          <w:ilvl w:val="5"/>
          <w:numId w:val="7"/>
        </w:numPr>
        <w:rPr>
          <w:lang w:val="en-US"/>
        </w:rPr>
      </w:pPr>
      <w:r w:rsidRPr="00DD1B58">
        <w:rPr>
          <w:lang w:val="en-US"/>
        </w:rPr>
        <w:t xml:space="preserve">Design </w:t>
      </w:r>
      <w:r w:rsidR="0059010C" w:rsidRPr="00DD1B58">
        <w:rPr>
          <w:lang w:val="en-US"/>
        </w:rPr>
        <w:t>a</w:t>
      </w:r>
      <w:r w:rsidRPr="00DD1B58">
        <w:rPr>
          <w:lang w:val="en-US"/>
        </w:rPr>
        <w:t>pproach</w:t>
      </w:r>
    </w:p>
    <w:p w14:paraId="73D14C72" w14:textId="198A9E33" w:rsidR="15044ABF" w:rsidRPr="00DD1B58" w:rsidRDefault="15044ABF" w:rsidP="00E232AC">
      <w:pPr>
        <w:rPr>
          <w:szCs w:val="24"/>
          <w:lang w:val="en-US"/>
        </w:rPr>
      </w:pPr>
      <w:r w:rsidRPr="00DD1B58">
        <w:rPr>
          <w:szCs w:val="24"/>
          <w:lang w:val="en-US"/>
        </w:rPr>
        <w:t xml:space="preserve">This Section describes </w:t>
      </w:r>
      <w:r w:rsidR="00116AED" w:rsidRPr="00DD1B58">
        <w:rPr>
          <w:szCs w:val="24"/>
          <w:lang w:val="en-US"/>
        </w:rPr>
        <w:t xml:space="preserve">EDF-NGL’s </w:t>
      </w:r>
      <w:r w:rsidRPr="00DD1B58">
        <w:rPr>
          <w:szCs w:val="24"/>
          <w:lang w:val="en-US"/>
        </w:rPr>
        <w:t>approach to determining fire boundary requirements, in particular how</w:t>
      </w:r>
      <w:r w:rsidR="00116AED" w:rsidRPr="00DD1B58">
        <w:rPr>
          <w:szCs w:val="24"/>
          <w:lang w:val="en-US"/>
        </w:rPr>
        <w:t xml:space="preserve"> it decides</w:t>
      </w:r>
      <w:r w:rsidRPr="00DD1B58">
        <w:rPr>
          <w:szCs w:val="24"/>
          <w:lang w:val="en-US"/>
        </w:rPr>
        <w:t xml:space="preserve"> fire compartment boundary lines and </w:t>
      </w:r>
      <w:r w:rsidR="00116AED" w:rsidRPr="00DD1B58">
        <w:rPr>
          <w:szCs w:val="24"/>
          <w:lang w:val="en-US"/>
        </w:rPr>
        <w:t>it makes the</w:t>
      </w:r>
      <w:r w:rsidRPr="00DD1B58">
        <w:rPr>
          <w:szCs w:val="24"/>
          <w:lang w:val="en-US"/>
        </w:rPr>
        <w:t xml:space="preserve"> decision to implement a fire compartment or fire cell approach</w:t>
      </w:r>
      <w:r w:rsidR="00116AED" w:rsidRPr="00DD1B58">
        <w:rPr>
          <w:szCs w:val="24"/>
          <w:lang w:val="en-US"/>
        </w:rPr>
        <w:t>.</w:t>
      </w:r>
    </w:p>
    <w:p w14:paraId="3F6EB3A4" w14:textId="55E2B092" w:rsidR="15044ABF" w:rsidRPr="00DD1B58" w:rsidRDefault="15044ABF" w:rsidP="00E232AC">
      <w:pPr>
        <w:rPr>
          <w:szCs w:val="24"/>
          <w:lang w:val="en-US"/>
        </w:rPr>
      </w:pPr>
      <w:r w:rsidRPr="00DD1B58">
        <w:rPr>
          <w:b/>
          <w:szCs w:val="24"/>
          <w:lang w:val="en-US"/>
        </w:rPr>
        <w:t>General</w:t>
      </w:r>
      <w:r w:rsidR="007802EE" w:rsidRPr="00DD1B58">
        <w:rPr>
          <w:b/>
          <w:szCs w:val="24"/>
          <w:lang w:val="en-US"/>
        </w:rPr>
        <w:t xml:space="preserve"> </w:t>
      </w:r>
      <w:r w:rsidR="00A12329" w:rsidRPr="00DD1B58">
        <w:rPr>
          <w:b/>
          <w:szCs w:val="24"/>
          <w:lang w:val="en-US"/>
        </w:rPr>
        <w:t>-</w:t>
      </w:r>
      <w:r w:rsidR="00A12329" w:rsidRPr="00DD1B58">
        <w:rPr>
          <w:szCs w:val="24"/>
          <w:lang w:val="en-US"/>
        </w:rPr>
        <w:t xml:space="preserve"> </w:t>
      </w:r>
      <w:r w:rsidRPr="00DD1B58">
        <w:rPr>
          <w:szCs w:val="24"/>
          <w:lang w:val="en-US"/>
        </w:rPr>
        <w:t>The first generation AGRs stations (illustrated here by HNB) were designed with an active fire protection that was typical for that generation of station. In terms of the containment and fire influence approach, the older stations had a combination of the two approaches in their design against fires.</w:t>
      </w:r>
    </w:p>
    <w:p w14:paraId="14EE68BB" w14:textId="77777777" w:rsidR="15044ABF" w:rsidRPr="00DD1B58" w:rsidRDefault="15044ABF" w:rsidP="00E232AC">
      <w:pPr>
        <w:rPr>
          <w:szCs w:val="24"/>
          <w:lang w:val="en-US"/>
        </w:rPr>
      </w:pPr>
      <w:r w:rsidRPr="00DD1B58">
        <w:rPr>
          <w:szCs w:val="24"/>
          <w:lang w:val="en-US"/>
        </w:rPr>
        <w:t>Later stations (illustrated here by HY2 and SZB) took the fire containment approach and segregated the safety trains against fire from the outset of the design.</w:t>
      </w:r>
    </w:p>
    <w:p w14:paraId="193492B8" w14:textId="321CCE3D" w:rsidR="15044ABF" w:rsidRPr="00DD1B58" w:rsidRDefault="15044ABF" w:rsidP="00E232AC">
      <w:pPr>
        <w:rPr>
          <w:szCs w:val="24"/>
          <w:lang w:val="en-US"/>
        </w:rPr>
      </w:pPr>
      <w:r w:rsidRPr="00DD1B58">
        <w:rPr>
          <w:b/>
          <w:szCs w:val="24"/>
          <w:lang w:val="en-US"/>
        </w:rPr>
        <w:t>First Generation AGRs (</w:t>
      </w:r>
      <w:r w:rsidR="00A12329" w:rsidRPr="00DD1B58">
        <w:rPr>
          <w:b/>
          <w:szCs w:val="24"/>
          <w:lang w:val="en-US"/>
        </w:rPr>
        <w:t>HN</w:t>
      </w:r>
      <w:r w:rsidRPr="00DD1B58">
        <w:rPr>
          <w:b/>
          <w:szCs w:val="24"/>
          <w:lang w:val="en-US"/>
        </w:rPr>
        <w:t>B)</w:t>
      </w:r>
      <w:r w:rsidR="007802EE" w:rsidRPr="00DD1B58">
        <w:rPr>
          <w:b/>
          <w:szCs w:val="24"/>
          <w:lang w:val="en-US"/>
        </w:rPr>
        <w:t xml:space="preserve"> - </w:t>
      </w:r>
      <w:r w:rsidRPr="00DD1B58">
        <w:rPr>
          <w:szCs w:val="24"/>
          <w:lang w:val="en-US"/>
        </w:rPr>
        <w:t>For HNB it can be stated that throughout the station there is a combination of both the fire influence</w:t>
      </w:r>
      <w:r w:rsidR="0BA390BB" w:rsidRPr="00DD1B58">
        <w:rPr>
          <w:szCs w:val="24"/>
          <w:lang w:val="en-US"/>
        </w:rPr>
        <w:t xml:space="preserve"> </w:t>
      </w:r>
      <w:r w:rsidRPr="00DD1B58">
        <w:rPr>
          <w:szCs w:val="24"/>
          <w:lang w:val="en-US"/>
        </w:rPr>
        <w:t xml:space="preserve">and fire containment approach. </w:t>
      </w:r>
      <w:r w:rsidR="00394BBF" w:rsidRPr="00DD1B58">
        <w:rPr>
          <w:szCs w:val="24"/>
          <w:lang w:val="en-US"/>
        </w:rPr>
        <w:t>EDF NGL report</w:t>
      </w:r>
      <w:r w:rsidR="00C52571" w:rsidRPr="00DD1B58">
        <w:rPr>
          <w:szCs w:val="24"/>
          <w:lang w:val="en-US"/>
        </w:rPr>
        <w:t>s</w:t>
      </w:r>
      <w:r w:rsidR="00394BBF" w:rsidRPr="00DD1B58">
        <w:rPr>
          <w:szCs w:val="24"/>
          <w:lang w:val="en-US"/>
        </w:rPr>
        <w:t xml:space="preserve"> that, w</w:t>
      </w:r>
      <w:r w:rsidRPr="00DD1B58">
        <w:rPr>
          <w:szCs w:val="24"/>
          <w:lang w:val="en-US"/>
        </w:rPr>
        <w:t>here practicable</w:t>
      </w:r>
      <w:r w:rsidR="00394BBF" w:rsidRPr="00DD1B58">
        <w:rPr>
          <w:szCs w:val="24"/>
          <w:lang w:val="en-US"/>
        </w:rPr>
        <w:t>,</w:t>
      </w:r>
      <w:r w:rsidRPr="00DD1B58">
        <w:rPr>
          <w:szCs w:val="24"/>
          <w:lang w:val="en-US"/>
        </w:rPr>
        <w:t xml:space="preserve"> segregation was backfitted to the original design, and</w:t>
      </w:r>
      <w:r w:rsidR="39421B85" w:rsidRPr="00DD1B58">
        <w:rPr>
          <w:szCs w:val="24"/>
          <w:lang w:val="en-US"/>
        </w:rPr>
        <w:t xml:space="preserve"> </w:t>
      </w:r>
      <w:r w:rsidRPr="00DD1B58">
        <w:rPr>
          <w:szCs w:val="24"/>
          <w:lang w:val="en-US"/>
        </w:rPr>
        <w:t>the three trains of auxiliary feed that were later installed were segregated from each other and the</w:t>
      </w:r>
      <w:r w:rsidR="36AA106F" w:rsidRPr="00DD1B58">
        <w:rPr>
          <w:szCs w:val="24"/>
          <w:lang w:val="en-US"/>
        </w:rPr>
        <w:t xml:space="preserve"> </w:t>
      </w:r>
      <w:r w:rsidRPr="00DD1B58">
        <w:rPr>
          <w:szCs w:val="24"/>
          <w:lang w:val="en-US"/>
        </w:rPr>
        <w:t xml:space="preserve">original auxiliary feed trains. However, </w:t>
      </w:r>
      <w:r w:rsidR="00394BBF" w:rsidRPr="00DD1B58">
        <w:rPr>
          <w:szCs w:val="24"/>
          <w:lang w:val="en-US"/>
        </w:rPr>
        <w:t>EDF NGL acknowledges it is</w:t>
      </w:r>
      <w:r w:rsidRPr="00DD1B58">
        <w:rPr>
          <w:szCs w:val="24"/>
          <w:lang w:val="en-US"/>
        </w:rPr>
        <w:t xml:space="preserve"> much more difficult to retrospectively introduce fire</w:t>
      </w:r>
      <w:r w:rsidR="459F953E" w:rsidRPr="00DD1B58">
        <w:rPr>
          <w:szCs w:val="24"/>
          <w:lang w:val="en-US"/>
        </w:rPr>
        <w:t xml:space="preserve"> </w:t>
      </w:r>
      <w:r w:rsidRPr="00DD1B58">
        <w:rPr>
          <w:szCs w:val="24"/>
          <w:lang w:val="en-US"/>
        </w:rPr>
        <w:t>barriers than design good segregation from the outset.</w:t>
      </w:r>
    </w:p>
    <w:p w14:paraId="10ED6CF2" w14:textId="03A3D356" w:rsidR="15044ABF" w:rsidRPr="00DD1B58" w:rsidRDefault="15044ABF" w:rsidP="00E232AC">
      <w:pPr>
        <w:rPr>
          <w:szCs w:val="24"/>
          <w:lang w:val="en-US"/>
        </w:rPr>
      </w:pPr>
      <w:r w:rsidRPr="00DD1B58">
        <w:rPr>
          <w:b/>
          <w:szCs w:val="24"/>
          <w:lang w:val="en-US"/>
        </w:rPr>
        <w:t>Second Generation AGRs (</w:t>
      </w:r>
      <w:r w:rsidR="00A12329" w:rsidRPr="00DD1B58">
        <w:rPr>
          <w:b/>
          <w:szCs w:val="24"/>
          <w:lang w:val="en-US"/>
        </w:rPr>
        <w:t>HY</w:t>
      </w:r>
      <w:r w:rsidRPr="00DD1B58">
        <w:rPr>
          <w:b/>
          <w:szCs w:val="24"/>
          <w:lang w:val="en-US"/>
        </w:rPr>
        <w:t>2)</w:t>
      </w:r>
      <w:r w:rsidR="007802EE" w:rsidRPr="00DD1B58">
        <w:rPr>
          <w:b/>
          <w:szCs w:val="24"/>
          <w:lang w:val="en-US"/>
        </w:rPr>
        <w:t xml:space="preserve"> </w:t>
      </w:r>
      <w:r w:rsidR="00394BBF" w:rsidRPr="00DD1B58">
        <w:rPr>
          <w:b/>
          <w:szCs w:val="24"/>
          <w:lang w:val="en-US"/>
        </w:rPr>
        <w:t>–</w:t>
      </w:r>
      <w:r w:rsidR="007802EE" w:rsidRPr="00DD1B58">
        <w:rPr>
          <w:b/>
          <w:szCs w:val="24"/>
          <w:lang w:val="en-US"/>
        </w:rPr>
        <w:t xml:space="preserve"> </w:t>
      </w:r>
      <w:r w:rsidR="00394BBF" w:rsidRPr="00DD1B58">
        <w:rPr>
          <w:szCs w:val="24"/>
          <w:lang w:val="en-US"/>
        </w:rPr>
        <w:t xml:space="preserve">EDF NGL considers the </w:t>
      </w:r>
      <w:r w:rsidRPr="00DD1B58">
        <w:rPr>
          <w:szCs w:val="24"/>
          <w:lang w:val="en-US"/>
        </w:rPr>
        <w:t xml:space="preserve">four safety trains at HY2 </w:t>
      </w:r>
      <w:r w:rsidR="00394BBF" w:rsidRPr="00DD1B58">
        <w:rPr>
          <w:szCs w:val="24"/>
          <w:lang w:val="en-US"/>
        </w:rPr>
        <w:t xml:space="preserve">to be </w:t>
      </w:r>
      <w:r w:rsidRPr="00DD1B58">
        <w:rPr>
          <w:szCs w:val="24"/>
          <w:lang w:val="en-US"/>
        </w:rPr>
        <w:t>well segregated for fire protection purposes. Segregation by fire</w:t>
      </w:r>
      <w:r w:rsidR="6D939EE9" w:rsidRPr="00DD1B58">
        <w:rPr>
          <w:szCs w:val="24"/>
          <w:lang w:val="en-US"/>
        </w:rPr>
        <w:t xml:space="preserve"> </w:t>
      </w:r>
      <w:r w:rsidRPr="00DD1B58">
        <w:rPr>
          <w:szCs w:val="24"/>
          <w:lang w:val="en-US"/>
        </w:rPr>
        <w:t>barriers is the basis of the design. Redundant equipment that contain significant quantities of oil are</w:t>
      </w:r>
      <w:r w:rsidR="228EEDE2" w:rsidRPr="00DD1B58">
        <w:rPr>
          <w:szCs w:val="24"/>
          <w:lang w:val="en-US"/>
        </w:rPr>
        <w:t xml:space="preserve"> </w:t>
      </w:r>
      <w:r w:rsidRPr="00DD1B58">
        <w:rPr>
          <w:szCs w:val="24"/>
          <w:lang w:val="en-US"/>
        </w:rPr>
        <w:t>separated in the four reactor quadrants and segregated by fire barriers.</w:t>
      </w:r>
    </w:p>
    <w:p w14:paraId="7F793A0E" w14:textId="3EEF2D02" w:rsidR="15044ABF" w:rsidRPr="00DD1B58" w:rsidRDefault="00A12329" w:rsidP="00E232AC">
      <w:pPr>
        <w:rPr>
          <w:szCs w:val="24"/>
          <w:lang w:val="en-US"/>
        </w:rPr>
      </w:pPr>
      <w:r w:rsidRPr="00DD1B58">
        <w:rPr>
          <w:b/>
          <w:szCs w:val="24"/>
          <w:lang w:val="en-US"/>
        </w:rPr>
        <w:t>SZ</w:t>
      </w:r>
      <w:r w:rsidR="15044ABF" w:rsidRPr="00DD1B58">
        <w:rPr>
          <w:b/>
          <w:szCs w:val="24"/>
          <w:lang w:val="en-US"/>
        </w:rPr>
        <w:t>B</w:t>
      </w:r>
      <w:r w:rsidR="007802EE" w:rsidRPr="00DD1B58">
        <w:rPr>
          <w:b/>
          <w:szCs w:val="24"/>
          <w:lang w:val="en-US"/>
        </w:rPr>
        <w:t xml:space="preserve"> - </w:t>
      </w:r>
      <w:r w:rsidR="15044ABF" w:rsidRPr="00DD1B58">
        <w:rPr>
          <w:szCs w:val="24"/>
          <w:lang w:val="en-US"/>
        </w:rPr>
        <w:t>SZB was designed from the outset to segregate the four safety trains into four fire areas.</w:t>
      </w:r>
    </w:p>
    <w:p w14:paraId="68B5297D" w14:textId="77777777" w:rsidR="0CF45403" w:rsidRPr="00DD1B58" w:rsidRDefault="0CF45403" w:rsidP="00E232AC">
      <w:pPr>
        <w:rPr>
          <w:b/>
          <w:szCs w:val="24"/>
          <w:lang w:val="en-US"/>
        </w:rPr>
      </w:pPr>
      <w:r w:rsidRPr="00DD1B58">
        <w:rPr>
          <w:b/>
          <w:szCs w:val="24"/>
          <w:lang w:val="en-US"/>
        </w:rPr>
        <w:t>Lifetime considerations</w:t>
      </w:r>
    </w:p>
    <w:p w14:paraId="34A81E79" w14:textId="01051D1F" w:rsidR="0CF45403" w:rsidRPr="00DD1B58" w:rsidRDefault="0CF45403" w:rsidP="00E232AC">
      <w:pPr>
        <w:rPr>
          <w:szCs w:val="24"/>
          <w:lang w:val="en-US"/>
        </w:rPr>
      </w:pPr>
      <w:r w:rsidRPr="00DD1B58">
        <w:rPr>
          <w:b/>
          <w:szCs w:val="24"/>
          <w:lang w:val="en-US"/>
        </w:rPr>
        <w:t>General</w:t>
      </w:r>
      <w:r w:rsidR="007341BE" w:rsidRPr="00DD1B58">
        <w:rPr>
          <w:b/>
          <w:szCs w:val="24"/>
          <w:lang w:val="en-US"/>
        </w:rPr>
        <w:t xml:space="preserve"> </w:t>
      </w:r>
      <w:r w:rsidR="00CE5478" w:rsidRPr="00DD1B58">
        <w:rPr>
          <w:b/>
          <w:szCs w:val="24"/>
          <w:lang w:val="en-US"/>
        </w:rPr>
        <w:t>–</w:t>
      </w:r>
      <w:r w:rsidR="007341BE" w:rsidRPr="00DD1B58">
        <w:rPr>
          <w:b/>
          <w:szCs w:val="24"/>
          <w:lang w:val="en-US"/>
        </w:rPr>
        <w:t xml:space="preserve"> </w:t>
      </w:r>
      <w:r w:rsidR="00CE5478" w:rsidRPr="00DD1B58">
        <w:rPr>
          <w:szCs w:val="24"/>
          <w:lang w:val="en-US"/>
        </w:rPr>
        <w:t xml:space="preserve">EDF NGL </w:t>
      </w:r>
      <w:r w:rsidR="003350CC" w:rsidRPr="00DD1B58">
        <w:rPr>
          <w:szCs w:val="24"/>
          <w:lang w:val="en-US"/>
        </w:rPr>
        <w:t>state</w:t>
      </w:r>
      <w:r w:rsidR="00A37AA8" w:rsidRPr="00DD1B58">
        <w:rPr>
          <w:szCs w:val="24"/>
          <w:lang w:val="en-US"/>
        </w:rPr>
        <w:t>s</w:t>
      </w:r>
      <w:r w:rsidR="003350CC" w:rsidRPr="00DD1B58">
        <w:rPr>
          <w:szCs w:val="24"/>
          <w:lang w:val="en-US"/>
        </w:rPr>
        <w:t xml:space="preserve"> that the designs and safety cases have been upgraded</w:t>
      </w:r>
      <w:r w:rsidRPr="00DD1B58">
        <w:rPr>
          <w:szCs w:val="24"/>
          <w:lang w:val="en-US"/>
        </w:rPr>
        <w:t xml:space="preserve"> over the life of the plant. </w:t>
      </w:r>
      <w:r w:rsidR="003350CC" w:rsidRPr="00DD1B58">
        <w:rPr>
          <w:szCs w:val="24"/>
          <w:lang w:val="en-US"/>
        </w:rPr>
        <w:t>Where practicable, EDF NGL has</w:t>
      </w:r>
      <w:r w:rsidRPr="00DD1B58">
        <w:rPr>
          <w:szCs w:val="24"/>
          <w:lang w:val="en-US"/>
        </w:rPr>
        <w:t xml:space="preserve"> made </w:t>
      </w:r>
      <w:r w:rsidR="003350CC" w:rsidRPr="00DD1B58">
        <w:rPr>
          <w:szCs w:val="24"/>
          <w:lang w:val="en-US"/>
        </w:rPr>
        <w:t xml:space="preserve">changes </w:t>
      </w:r>
      <w:r w:rsidRPr="00DD1B58">
        <w:rPr>
          <w:szCs w:val="24"/>
          <w:lang w:val="en-US"/>
        </w:rPr>
        <w:t>to bring the facilities</w:t>
      </w:r>
      <w:r w:rsidR="471A5488" w:rsidRPr="00DD1B58">
        <w:rPr>
          <w:szCs w:val="24"/>
          <w:lang w:val="en-US"/>
        </w:rPr>
        <w:t xml:space="preserve"> </w:t>
      </w:r>
      <w:r w:rsidRPr="00DD1B58">
        <w:rPr>
          <w:szCs w:val="24"/>
          <w:lang w:val="en-US"/>
        </w:rPr>
        <w:t>up to current standards. The current safety cases carry out assessments to modern standards.</w:t>
      </w:r>
      <w:r w:rsidR="00884A38" w:rsidRPr="00DD1B58">
        <w:rPr>
          <w:szCs w:val="24"/>
          <w:lang w:val="en-US"/>
        </w:rPr>
        <w:t xml:space="preserve"> </w:t>
      </w:r>
      <w:r w:rsidR="0050013B" w:rsidRPr="00DD1B58">
        <w:rPr>
          <w:szCs w:val="24"/>
          <w:lang w:val="en-US"/>
        </w:rPr>
        <w:t>EDF NGL report</w:t>
      </w:r>
      <w:r w:rsidR="00A37AA8" w:rsidRPr="00DD1B58">
        <w:rPr>
          <w:szCs w:val="24"/>
          <w:lang w:val="en-US"/>
        </w:rPr>
        <w:t>s</w:t>
      </w:r>
      <w:r w:rsidR="0050013B" w:rsidRPr="00DD1B58">
        <w:rPr>
          <w:szCs w:val="24"/>
          <w:lang w:val="en-US"/>
        </w:rPr>
        <w:t xml:space="preserve"> that w</w:t>
      </w:r>
      <w:r w:rsidRPr="00DD1B58">
        <w:rPr>
          <w:szCs w:val="24"/>
          <w:lang w:val="en-US"/>
        </w:rPr>
        <w:t>hilst there is full fire segregation in HY2 and SZB, the older stations like HNB claim much more fire</w:t>
      </w:r>
      <w:r w:rsidR="7AB166CB" w:rsidRPr="00DD1B58">
        <w:rPr>
          <w:szCs w:val="24"/>
          <w:lang w:val="en-US"/>
        </w:rPr>
        <w:t xml:space="preserve"> </w:t>
      </w:r>
      <w:r w:rsidRPr="00DD1B58">
        <w:rPr>
          <w:szCs w:val="24"/>
          <w:lang w:val="en-US"/>
        </w:rPr>
        <w:t xml:space="preserve">suppression within the fire safety case. This is detailed under the Fire Suppression Section </w:t>
      </w:r>
      <w:r w:rsidR="6EB52BFE" w:rsidRPr="00DD1B58">
        <w:rPr>
          <w:szCs w:val="24"/>
          <w:lang w:val="en-US"/>
        </w:rPr>
        <w:t>A-I-</w:t>
      </w:r>
      <w:r w:rsidRPr="00DD1B58">
        <w:rPr>
          <w:szCs w:val="24"/>
          <w:lang w:val="en-US"/>
        </w:rPr>
        <w:t>3.2.</w:t>
      </w:r>
    </w:p>
    <w:p w14:paraId="30A5C912" w14:textId="77777777" w:rsidR="0CF45403" w:rsidRPr="00DD1B58" w:rsidRDefault="0CF45403" w:rsidP="00E232AC">
      <w:pPr>
        <w:rPr>
          <w:b/>
          <w:szCs w:val="24"/>
          <w:lang w:val="en-US"/>
        </w:rPr>
      </w:pPr>
      <w:r w:rsidRPr="00DD1B58">
        <w:rPr>
          <w:b/>
          <w:szCs w:val="24"/>
          <w:lang w:val="en-US"/>
        </w:rPr>
        <w:t>Maintenance of the fire confinement function</w:t>
      </w:r>
    </w:p>
    <w:p w14:paraId="631F8B75" w14:textId="4D4A9635" w:rsidR="0CF45403" w:rsidRPr="00DD1B58" w:rsidRDefault="0CF45403" w:rsidP="00E232AC">
      <w:pPr>
        <w:rPr>
          <w:lang w:val="en-US"/>
        </w:rPr>
      </w:pPr>
      <w:r w:rsidRPr="00DD1B58">
        <w:rPr>
          <w:b/>
          <w:szCs w:val="24"/>
          <w:lang w:val="en-US"/>
        </w:rPr>
        <w:t>General</w:t>
      </w:r>
      <w:r w:rsidR="007341BE" w:rsidRPr="00DD1B58">
        <w:rPr>
          <w:b/>
          <w:szCs w:val="24"/>
          <w:lang w:val="en-US"/>
        </w:rPr>
        <w:t xml:space="preserve"> </w:t>
      </w:r>
      <w:r w:rsidR="0050013B" w:rsidRPr="00DD1B58">
        <w:rPr>
          <w:b/>
          <w:szCs w:val="24"/>
          <w:lang w:val="en-US"/>
        </w:rPr>
        <w:t>–</w:t>
      </w:r>
      <w:r w:rsidR="007341BE" w:rsidRPr="00DD1B58">
        <w:rPr>
          <w:b/>
          <w:szCs w:val="24"/>
          <w:lang w:val="en-US"/>
        </w:rPr>
        <w:t xml:space="preserve"> </w:t>
      </w:r>
      <w:r w:rsidR="0050013B" w:rsidRPr="00DD1B58">
        <w:rPr>
          <w:szCs w:val="24"/>
          <w:lang w:val="en-US"/>
        </w:rPr>
        <w:t>EDF NGL applies</w:t>
      </w:r>
      <w:r w:rsidRPr="00DD1B58">
        <w:rPr>
          <w:szCs w:val="24"/>
          <w:lang w:val="en-US"/>
        </w:rPr>
        <w:t xml:space="preserve"> a company technical standard to manage the integrity of the fire barrier</w:t>
      </w:r>
      <w:r w:rsidR="005D5C50" w:rsidRPr="00DD1B58">
        <w:rPr>
          <w:szCs w:val="24"/>
          <w:lang w:val="en-US"/>
        </w:rPr>
        <w:t>/</w:t>
      </w:r>
      <w:r w:rsidRPr="00DD1B58">
        <w:rPr>
          <w:szCs w:val="24"/>
          <w:lang w:val="en-US"/>
        </w:rPr>
        <w:t>compartments</w:t>
      </w:r>
      <w:r w:rsidR="005D5C50" w:rsidRPr="00DD1B58">
        <w:rPr>
          <w:szCs w:val="24"/>
          <w:lang w:val="en-US"/>
        </w:rPr>
        <w:t>/</w:t>
      </w:r>
      <w:r w:rsidRPr="00DD1B58">
        <w:rPr>
          <w:szCs w:val="24"/>
          <w:lang w:val="en-US"/>
        </w:rPr>
        <w:t>confinement elements.</w:t>
      </w:r>
    </w:p>
    <w:p w14:paraId="4C35F220" w14:textId="3C3AD839" w:rsidR="0CF45403" w:rsidRPr="00DD1B58" w:rsidRDefault="0CF45403" w:rsidP="00E232AC">
      <w:pPr>
        <w:rPr>
          <w:lang w:val="en-US"/>
        </w:rPr>
      </w:pPr>
      <w:r w:rsidRPr="00DD1B58">
        <w:rPr>
          <w:b/>
          <w:szCs w:val="24"/>
          <w:lang w:val="en-US"/>
        </w:rPr>
        <w:t>First Generation AGRs (</w:t>
      </w:r>
      <w:r w:rsidR="00163E61" w:rsidRPr="00DD1B58">
        <w:rPr>
          <w:b/>
          <w:szCs w:val="24"/>
          <w:lang w:val="en-US"/>
        </w:rPr>
        <w:t>HN</w:t>
      </w:r>
      <w:r w:rsidRPr="00DD1B58">
        <w:rPr>
          <w:b/>
          <w:szCs w:val="24"/>
          <w:lang w:val="en-US"/>
        </w:rPr>
        <w:t>B)</w:t>
      </w:r>
      <w:r w:rsidR="007341BE" w:rsidRPr="00DD1B58">
        <w:rPr>
          <w:b/>
          <w:szCs w:val="24"/>
          <w:lang w:val="en-US"/>
        </w:rPr>
        <w:t xml:space="preserve"> </w:t>
      </w:r>
      <w:r w:rsidR="00163E61" w:rsidRPr="00DD1B58">
        <w:rPr>
          <w:b/>
          <w:szCs w:val="24"/>
          <w:lang w:val="en-US"/>
        </w:rPr>
        <w:t>–</w:t>
      </w:r>
      <w:r w:rsidR="007341BE" w:rsidRPr="00DD1B58">
        <w:rPr>
          <w:b/>
          <w:szCs w:val="24"/>
          <w:lang w:val="en-US"/>
        </w:rPr>
        <w:t xml:space="preserve"> </w:t>
      </w:r>
      <w:r w:rsidR="00163E61" w:rsidRPr="00DD1B58">
        <w:rPr>
          <w:szCs w:val="24"/>
          <w:lang w:val="en-US"/>
        </w:rPr>
        <w:t>EDF NGL state</w:t>
      </w:r>
      <w:r w:rsidR="00AA2DC2" w:rsidRPr="00DD1B58">
        <w:rPr>
          <w:szCs w:val="24"/>
          <w:lang w:val="en-US"/>
        </w:rPr>
        <w:t>s</w:t>
      </w:r>
      <w:r w:rsidR="00163E61" w:rsidRPr="00DD1B58">
        <w:rPr>
          <w:szCs w:val="24"/>
          <w:lang w:val="en-US"/>
        </w:rPr>
        <w:t xml:space="preserve"> that there </w:t>
      </w:r>
      <w:r w:rsidRPr="00DD1B58">
        <w:rPr>
          <w:szCs w:val="24"/>
          <w:lang w:val="en-US"/>
        </w:rPr>
        <w:t>are significant challenges with a facility that was originally designed with the older regulations</w:t>
      </w:r>
      <w:r w:rsidR="09C98E9C" w:rsidRPr="00DD1B58">
        <w:rPr>
          <w:szCs w:val="24"/>
          <w:lang w:val="en-US"/>
        </w:rPr>
        <w:t xml:space="preserve"> </w:t>
      </w:r>
      <w:r w:rsidRPr="00DD1B58">
        <w:rPr>
          <w:szCs w:val="24"/>
          <w:lang w:val="en-US"/>
        </w:rPr>
        <w:t>in mind (such as HNB)</w:t>
      </w:r>
      <w:r w:rsidR="00580B59" w:rsidRPr="00DD1B58">
        <w:rPr>
          <w:szCs w:val="24"/>
          <w:lang w:val="en-US"/>
        </w:rPr>
        <w:t>, and that</w:t>
      </w:r>
      <w:r w:rsidRPr="00DD1B58">
        <w:rPr>
          <w:szCs w:val="24"/>
          <w:lang w:val="en-US"/>
        </w:rPr>
        <w:t xml:space="preserve"> once a nuclear facility is built to the standards of the day, then it is</w:t>
      </w:r>
      <w:r w:rsidR="6B206B5F" w:rsidRPr="00DD1B58">
        <w:rPr>
          <w:szCs w:val="24"/>
          <w:lang w:val="en-US"/>
        </w:rPr>
        <w:t xml:space="preserve"> </w:t>
      </w:r>
      <w:r w:rsidRPr="00DD1B58">
        <w:rPr>
          <w:szCs w:val="24"/>
          <w:lang w:val="en-US"/>
        </w:rPr>
        <w:t>normally not practicable to carry out significant modifications to the structure. As stated above, for</w:t>
      </w:r>
      <w:r w:rsidR="7BABF401" w:rsidRPr="00DD1B58">
        <w:rPr>
          <w:szCs w:val="24"/>
          <w:lang w:val="en-US"/>
        </w:rPr>
        <w:t xml:space="preserve"> </w:t>
      </w:r>
      <w:r w:rsidRPr="00DD1B58">
        <w:rPr>
          <w:szCs w:val="24"/>
          <w:lang w:val="en-US"/>
        </w:rPr>
        <w:t>HNB fire suppression is the main means of maintaining nuclear safety with regard to fire.</w:t>
      </w:r>
    </w:p>
    <w:p w14:paraId="4C96A1AC" w14:textId="3885D1C2" w:rsidR="0CF45403" w:rsidRPr="00DD1B58" w:rsidRDefault="00580B59" w:rsidP="00E232AC">
      <w:pPr>
        <w:rPr>
          <w:lang w:val="en-US"/>
        </w:rPr>
      </w:pPr>
      <w:r w:rsidRPr="00DD1B58">
        <w:rPr>
          <w:szCs w:val="24"/>
          <w:lang w:val="en-US"/>
        </w:rPr>
        <w:t>EDF NGL report</w:t>
      </w:r>
      <w:r w:rsidR="00AA2DC2" w:rsidRPr="00DD1B58">
        <w:rPr>
          <w:szCs w:val="24"/>
          <w:lang w:val="en-US"/>
        </w:rPr>
        <w:t>s</w:t>
      </w:r>
      <w:r w:rsidRPr="00DD1B58">
        <w:rPr>
          <w:szCs w:val="24"/>
          <w:lang w:val="en-US"/>
        </w:rPr>
        <w:t xml:space="preserve"> that d</w:t>
      </w:r>
      <w:r w:rsidR="0CF45403" w:rsidRPr="00DD1B58">
        <w:rPr>
          <w:szCs w:val="24"/>
          <w:lang w:val="en-US"/>
        </w:rPr>
        <w:t>ue to reliance on the active fire systems, the provisions for maintaining the claims on the barriers over</w:t>
      </w:r>
      <w:r w:rsidR="4785761C" w:rsidRPr="00DD1B58">
        <w:rPr>
          <w:szCs w:val="24"/>
          <w:lang w:val="en-US"/>
        </w:rPr>
        <w:t xml:space="preserve"> </w:t>
      </w:r>
      <w:r w:rsidR="0CF45403" w:rsidRPr="00DD1B58">
        <w:rPr>
          <w:szCs w:val="24"/>
          <w:lang w:val="en-US"/>
        </w:rPr>
        <w:t>the lifetime will depend upon ageing and obsolescence reviews and also the replacement strategy for</w:t>
      </w:r>
      <w:r w:rsidR="555F804F" w:rsidRPr="00DD1B58">
        <w:rPr>
          <w:szCs w:val="24"/>
          <w:lang w:val="en-US"/>
        </w:rPr>
        <w:t xml:space="preserve"> </w:t>
      </w:r>
      <w:r w:rsidR="0CF45403" w:rsidRPr="00DD1B58">
        <w:rPr>
          <w:szCs w:val="24"/>
          <w:lang w:val="en-US"/>
        </w:rPr>
        <w:t xml:space="preserve">these active fire systems. These are therefore considered under the </w:t>
      </w:r>
      <w:r w:rsidR="00386738" w:rsidRPr="00DD1B58">
        <w:rPr>
          <w:szCs w:val="24"/>
          <w:lang w:val="en-US"/>
        </w:rPr>
        <w:t>PSRs</w:t>
      </w:r>
      <w:r w:rsidR="0CF45403" w:rsidRPr="00DD1B58">
        <w:rPr>
          <w:szCs w:val="24"/>
          <w:lang w:val="en-US"/>
        </w:rPr>
        <w:t xml:space="preserve"> until</w:t>
      </w:r>
      <w:r w:rsidR="3DFD0D8B" w:rsidRPr="00DD1B58">
        <w:rPr>
          <w:szCs w:val="24"/>
          <w:lang w:val="en-US"/>
        </w:rPr>
        <w:t xml:space="preserve"> </w:t>
      </w:r>
      <w:r w:rsidR="0CF45403" w:rsidRPr="00DD1B58">
        <w:rPr>
          <w:szCs w:val="24"/>
          <w:lang w:val="en-US"/>
        </w:rPr>
        <w:t>the end of operating life.</w:t>
      </w:r>
    </w:p>
    <w:p w14:paraId="49C51A7A" w14:textId="4D524EC1" w:rsidR="0CF45403" w:rsidRPr="00DD1B58" w:rsidRDefault="00386738" w:rsidP="00E232AC">
      <w:pPr>
        <w:rPr>
          <w:lang w:val="en-US"/>
        </w:rPr>
      </w:pPr>
      <w:r w:rsidRPr="00DD1B58">
        <w:rPr>
          <w:szCs w:val="24"/>
          <w:lang w:val="en-US"/>
        </w:rPr>
        <w:t>EDF NGL also state</w:t>
      </w:r>
      <w:r w:rsidR="00AA2DC2" w:rsidRPr="00DD1B58">
        <w:rPr>
          <w:szCs w:val="24"/>
          <w:lang w:val="en-US"/>
        </w:rPr>
        <w:t>s</w:t>
      </w:r>
      <w:r w:rsidRPr="00DD1B58">
        <w:rPr>
          <w:szCs w:val="24"/>
          <w:lang w:val="en-US"/>
        </w:rPr>
        <w:t xml:space="preserve"> that a</w:t>
      </w:r>
      <w:r w:rsidR="0CF45403" w:rsidRPr="00DD1B58">
        <w:rPr>
          <w:szCs w:val="24"/>
          <w:lang w:val="en-US"/>
        </w:rPr>
        <w:t xml:space="preserve">fter power </w:t>
      </w:r>
      <w:r w:rsidR="00AA2DC2" w:rsidRPr="00DD1B58">
        <w:rPr>
          <w:szCs w:val="24"/>
          <w:lang w:val="en-US"/>
        </w:rPr>
        <w:t xml:space="preserve">generation </w:t>
      </w:r>
      <w:r w:rsidR="0CF45403" w:rsidRPr="00DD1B58">
        <w:rPr>
          <w:szCs w:val="24"/>
          <w:lang w:val="en-US"/>
        </w:rPr>
        <w:t>stop</w:t>
      </w:r>
      <w:r w:rsidR="00AA2DC2" w:rsidRPr="00DD1B58">
        <w:rPr>
          <w:szCs w:val="24"/>
          <w:lang w:val="en-US"/>
        </w:rPr>
        <w:t>s</w:t>
      </w:r>
      <w:r w:rsidR="0CF45403" w:rsidRPr="00DD1B58">
        <w:rPr>
          <w:szCs w:val="24"/>
          <w:lang w:val="en-US"/>
        </w:rPr>
        <w:t>, many of the oil inventories are removed, thus reducing many large fire</w:t>
      </w:r>
      <w:r w:rsidR="78E50D3F" w:rsidRPr="00DD1B58">
        <w:rPr>
          <w:szCs w:val="24"/>
          <w:lang w:val="en-US"/>
        </w:rPr>
        <w:t xml:space="preserve"> </w:t>
      </w:r>
      <w:r w:rsidR="0CF45403" w:rsidRPr="00DD1B58">
        <w:rPr>
          <w:szCs w:val="24"/>
          <w:lang w:val="en-US"/>
        </w:rPr>
        <w:t>loads. In turn this means there is a lower demand on the previous design provisions. When the nuclear</w:t>
      </w:r>
      <w:r w:rsidR="1265B205" w:rsidRPr="00DD1B58">
        <w:rPr>
          <w:szCs w:val="24"/>
          <w:lang w:val="en-US"/>
        </w:rPr>
        <w:t xml:space="preserve"> </w:t>
      </w:r>
      <w:r w:rsidR="0CF45403" w:rsidRPr="00DD1B58">
        <w:rPr>
          <w:szCs w:val="24"/>
          <w:lang w:val="en-US"/>
        </w:rPr>
        <w:t>fuel is also removed the nuclear challenges are also very much reduced.</w:t>
      </w:r>
    </w:p>
    <w:p w14:paraId="29958FBE" w14:textId="56FC8658" w:rsidR="0CF45403" w:rsidRPr="00DD1B58" w:rsidRDefault="0CF45403" w:rsidP="00E232AC">
      <w:pPr>
        <w:rPr>
          <w:szCs w:val="24"/>
          <w:highlight w:val="yellow"/>
          <w:lang w:val="en-US"/>
        </w:rPr>
      </w:pPr>
      <w:r w:rsidRPr="00DD1B58">
        <w:rPr>
          <w:b/>
          <w:szCs w:val="24"/>
          <w:lang w:val="en-US"/>
        </w:rPr>
        <w:t>Second Generation AGRs (</w:t>
      </w:r>
      <w:r w:rsidR="00386738" w:rsidRPr="00DD1B58">
        <w:rPr>
          <w:b/>
          <w:szCs w:val="24"/>
          <w:lang w:val="en-US"/>
        </w:rPr>
        <w:t>HY</w:t>
      </w:r>
      <w:r w:rsidRPr="00DD1B58">
        <w:rPr>
          <w:b/>
          <w:szCs w:val="24"/>
          <w:lang w:val="en-US"/>
        </w:rPr>
        <w:t>2)</w:t>
      </w:r>
      <w:r w:rsidR="000D6A0F" w:rsidRPr="00DD1B58">
        <w:rPr>
          <w:b/>
          <w:szCs w:val="24"/>
          <w:lang w:val="en-US"/>
        </w:rPr>
        <w:t xml:space="preserve"> </w:t>
      </w:r>
      <w:r w:rsidR="00386738" w:rsidRPr="00DD1B58">
        <w:rPr>
          <w:b/>
          <w:szCs w:val="24"/>
          <w:lang w:val="en-US"/>
        </w:rPr>
        <w:t>–</w:t>
      </w:r>
      <w:r w:rsidR="000D6A0F" w:rsidRPr="00DD1B58">
        <w:rPr>
          <w:b/>
          <w:szCs w:val="24"/>
          <w:lang w:val="en-US"/>
        </w:rPr>
        <w:t xml:space="preserve"> </w:t>
      </w:r>
      <w:r w:rsidR="00386738" w:rsidRPr="00DD1B58">
        <w:rPr>
          <w:szCs w:val="24"/>
          <w:lang w:val="en-US"/>
        </w:rPr>
        <w:t>EDF N</w:t>
      </w:r>
      <w:r w:rsidR="001738C8" w:rsidRPr="00DD1B58">
        <w:rPr>
          <w:szCs w:val="24"/>
          <w:lang w:val="en-US"/>
        </w:rPr>
        <w:t>G</w:t>
      </w:r>
      <w:r w:rsidR="00386738" w:rsidRPr="00DD1B58">
        <w:rPr>
          <w:szCs w:val="24"/>
          <w:lang w:val="en-US"/>
        </w:rPr>
        <w:t xml:space="preserve">L considers the </w:t>
      </w:r>
      <w:r w:rsidRPr="00DD1B58">
        <w:rPr>
          <w:szCs w:val="24"/>
          <w:lang w:val="en-US"/>
        </w:rPr>
        <w:t xml:space="preserve">HY2 fire suppression systems </w:t>
      </w:r>
      <w:r w:rsidR="00386738" w:rsidRPr="00DD1B58">
        <w:rPr>
          <w:szCs w:val="24"/>
          <w:lang w:val="en-US"/>
        </w:rPr>
        <w:t xml:space="preserve">as </w:t>
      </w:r>
      <w:r w:rsidRPr="00DD1B58">
        <w:rPr>
          <w:szCs w:val="24"/>
          <w:lang w:val="en-US"/>
        </w:rPr>
        <w:t>generally ancillary to the passive fire protection and</w:t>
      </w:r>
      <w:r w:rsidR="64B510E8" w:rsidRPr="00DD1B58">
        <w:rPr>
          <w:szCs w:val="24"/>
          <w:lang w:val="en-US"/>
        </w:rPr>
        <w:t xml:space="preserve"> </w:t>
      </w:r>
      <w:r w:rsidRPr="00DD1B58">
        <w:rPr>
          <w:szCs w:val="24"/>
          <w:lang w:val="en-US"/>
        </w:rPr>
        <w:t xml:space="preserve">part of </w:t>
      </w:r>
      <w:r w:rsidR="00386738" w:rsidRPr="00DD1B58">
        <w:rPr>
          <w:szCs w:val="24"/>
          <w:lang w:val="en-US"/>
        </w:rPr>
        <w:t xml:space="preserve">the </w:t>
      </w:r>
      <w:r w:rsidRPr="00DD1B58">
        <w:rPr>
          <w:szCs w:val="24"/>
          <w:lang w:val="en-US"/>
        </w:rPr>
        <w:t xml:space="preserve">defence in depth approach to fire hazards. </w:t>
      </w:r>
      <w:r w:rsidR="00386738" w:rsidRPr="00DD1B58">
        <w:rPr>
          <w:szCs w:val="24"/>
          <w:lang w:val="en-US"/>
        </w:rPr>
        <w:t xml:space="preserve">EDF NGL </w:t>
      </w:r>
      <w:r w:rsidR="007376D6" w:rsidRPr="00DD1B58">
        <w:rPr>
          <w:szCs w:val="24"/>
          <w:lang w:val="en-US"/>
        </w:rPr>
        <w:t>states that</w:t>
      </w:r>
      <w:r w:rsidR="00386738" w:rsidRPr="00DD1B58">
        <w:rPr>
          <w:szCs w:val="24"/>
          <w:lang w:val="en-US"/>
        </w:rPr>
        <w:t xml:space="preserve"> </w:t>
      </w:r>
      <w:r w:rsidRPr="00DD1B58">
        <w:rPr>
          <w:szCs w:val="24"/>
          <w:lang w:val="en-US"/>
        </w:rPr>
        <w:t>further FDSS to be claimed will</w:t>
      </w:r>
      <w:r w:rsidR="21DAD9BF" w:rsidRPr="00DD1B58">
        <w:rPr>
          <w:szCs w:val="24"/>
          <w:lang w:val="en-US"/>
        </w:rPr>
        <w:t xml:space="preserve"> </w:t>
      </w:r>
      <w:r w:rsidRPr="00DD1B58">
        <w:rPr>
          <w:szCs w:val="24"/>
          <w:lang w:val="en-US"/>
        </w:rPr>
        <w:t>be as a result of the application of the ground rules developed, to be applied as part of the Fire Hazards</w:t>
      </w:r>
      <w:r w:rsidR="00EC753B" w:rsidRPr="00DD1B58">
        <w:rPr>
          <w:szCs w:val="24"/>
          <w:lang w:val="en-US"/>
        </w:rPr>
        <w:t xml:space="preserve"> </w:t>
      </w:r>
      <w:r w:rsidRPr="00DD1B58">
        <w:rPr>
          <w:szCs w:val="24"/>
          <w:lang w:val="en-US"/>
        </w:rPr>
        <w:t xml:space="preserve">Safety Case review and Update, as discussed in section </w:t>
      </w:r>
      <w:r w:rsidR="468A020A" w:rsidRPr="00DD1B58">
        <w:rPr>
          <w:szCs w:val="24"/>
          <w:lang w:val="en-US"/>
        </w:rPr>
        <w:t>I-</w:t>
      </w:r>
      <w:r w:rsidRPr="00DD1B58">
        <w:rPr>
          <w:szCs w:val="24"/>
          <w:lang w:val="en-US"/>
        </w:rPr>
        <w:t>2.1.2.2.</w:t>
      </w:r>
    </w:p>
    <w:p w14:paraId="69B82232" w14:textId="30BAD3C2" w:rsidR="0CF45403" w:rsidRPr="00DD1B58" w:rsidRDefault="0CF45403" w:rsidP="00E232AC">
      <w:pPr>
        <w:rPr>
          <w:lang w:val="en-US"/>
        </w:rPr>
      </w:pPr>
      <w:r w:rsidRPr="00DD1B58">
        <w:rPr>
          <w:b/>
          <w:szCs w:val="24"/>
          <w:lang w:val="en-US"/>
        </w:rPr>
        <w:t>Sizewell B</w:t>
      </w:r>
      <w:r w:rsidR="000D6A0F" w:rsidRPr="00DD1B58">
        <w:rPr>
          <w:b/>
          <w:szCs w:val="24"/>
          <w:lang w:val="en-US"/>
        </w:rPr>
        <w:t xml:space="preserve"> </w:t>
      </w:r>
      <w:r w:rsidR="000641B5" w:rsidRPr="00DD1B58">
        <w:rPr>
          <w:b/>
          <w:szCs w:val="24"/>
          <w:lang w:val="en-US"/>
        </w:rPr>
        <w:t>–</w:t>
      </w:r>
      <w:r w:rsidR="000D6A0F" w:rsidRPr="00DD1B58">
        <w:rPr>
          <w:b/>
          <w:szCs w:val="24"/>
          <w:lang w:val="en-US"/>
        </w:rPr>
        <w:t xml:space="preserve"> </w:t>
      </w:r>
      <w:r w:rsidR="000641B5" w:rsidRPr="00DD1B58">
        <w:rPr>
          <w:bCs/>
          <w:szCs w:val="24"/>
          <w:lang w:val="en-US"/>
        </w:rPr>
        <w:t>EDF NGL report</w:t>
      </w:r>
      <w:r w:rsidR="00DF297D" w:rsidRPr="00DD1B58">
        <w:rPr>
          <w:bCs/>
          <w:szCs w:val="24"/>
          <w:lang w:val="en-US"/>
        </w:rPr>
        <w:t>s</w:t>
      </w:r>
      <w:r w:rsidR="000641B5" w:rsidRPr="00DD1B58">
        <w:rPr>
          <w:bCs/>
          <w:szCs w:val="24"/>
          <w:lang w:val="en-US"/>
        </w:rPr>
        <w:t xml:space="preserve"> that, </w:t>
      </w:r>
      <w:r w:rsidR="000641B5" w:rsidRPr="00DD1B58">
        <w:rPr>
          <w:szCs w:val="24"/>
          <w:lang w:val="en-US"/>
        </w:rPr>
        <w:t>f</w:t>
      </w:r>
      <w:r w:rsidRPr="00DD1B58">
        <w:rPr>
          <w:szCs w:val="24"/>
          <w:lang w:val="en-US"/>
        </w:rPr>
        <w:t>or SZB</w:t>
      </w:r>
      <w:r w:rsidR="000641B5" w:rsidRPr="00DD1B58">
        <w:rPr>
          <w:bCs/>
          <w:szCs w:val="24"/>
          <w:lang w:val="en-US"/>
        </w:rPr>
        <w:t>,</w:t>
      </w:r>
      <w:r w:rsidRPr="00DD1B58">
        <w:rPr>
          <w:szCs w:val="24"/>
          <w:lang w:val="en-US"/>
        </w:rPr>
        <w:t xml:space="preserve"> the primary claims are on fire segregation, and the fire suppression is provided for defence in</w:t>
      </w:r>
      <w:r w:rsidR="36A16429" w:rsidRPr="00DD1B58">
        <w:rPr>
          <w:szCs w:val="24"/>
          <w:lang w:val="en-US"/>
        </w:rPr>
        <w:t xml:space="preserve"> </w:t>
      </w:r>
      <w:r w:rsidRPr="00DD1B58">
        <w:rPr>
          <w:szCs w:val="24"/>
          <w:lang w:val="en-US"/>
        </w:rPr>
        <w:t>depth. Any changes are mainly due to obsolescence issues.</w:t>
      </w:r>
    </w:p>
    <w:p w14:paraId="5804BE84" w14:textId="77777777" w:rsidR="5B31CAAE" w:rsidRPr="00DD1B58" w:rsidRDefault="5B31CAAE" w:rsidP="00E232AC">
      <w:pPr>
        <w:rPr>
          <w:b/>
          <w:szCs w:val="24"/>
          <w:lang w:val="en-US"/>
        </w:rPr>
      </w:pPr>
      <w:r w:rsidRPr="00DD1B58">
        <w:rPr>
          <w:b/>
          <w:szCs w:val="24"/>
          <w:lang w:val="en-US"/>
        </w:rPr>
        <w:t>Fire barrier maintenance</w:t>
      </w:r>
    </w:p>
    <w:p w14:paraId="490DAC70" w14:textId="539C1013" w:rsidR="5B31CAAE" w:rsidRPr="00DD1B58" w:rsidRDefault="5B31CAAE" w:rsidP="00E232AC">
      <w:pPr>
        <w:rPr>
          <w:lang w:val="en-US"/>
        </w:rPr>
      </w:pPr>
      <w:r w:rsidRPr="00DD1B58">
        <w:rPr>
          <w:szCs w:val="24"/>
          <w:lang w:val="en-US"/>
        </w:rPr>
        <w:t xml:space="preserve">This Section describes </w:t>
      </w:r>
      <w:r w:rsidR="000641B5" w:rsidRPr="00DD1B58">
        <w:rPr>
          <w:szCs w:val="24"/>
          <w:lang w:val="en-US"/>
        </w:rPr>
        <w:t xml:space="preserve">EDF NGL’s </w:t>
      </w:r>
      <w:r w:rsidRPr="00DD1B58">
        <w:rPr>
          <w:szCs w:val="24"/>
          <w:lang w:val="en-US"/>
        </w:rPr>
        <w:t xml:space="preserve">approach to confirmation of suitable fire barrier performance. In addition, </w:t>
      </w:r>
      <w:r w:rsidR="009315ED" w:rsidRPr="00DD1B58">
        <w:rPr>
          <w:szCs w:val="24"/>
          <w:lang w:val="en-US"/>
        </w:rPr>
        <w:t xml:space="preserve">it covers EDF NGL’s </w:t>
      </w:r>
      <w:r w:rsidRPr="00DD1B58">
        <w:rPr>
          <w:szCs w:val="24"/>
          <w:lang w:val="en-US"/>
        </w:rPr>
        <w:t>approach to ensuring that the expected fire resistance and stability ratings are fulfilled and are suitable for the associated safety function e.g. calculations, testing, internal guidance.</w:t>
      </w:r>
    </w:p>
    <w:p w14:paraId="2C9D2067" w14:textId="0A5A81A3" w:rsidR="5B31CAAE" w:rsidRPr="00DD1B58" w:rsidRDefault="5B31CAAE" w:rsidP="00E232AC">
      <w:pPr>
        <w:rPr>
          <w:szCs w:val="24"/>
          <w:lang w:val="en-US"/>
        </w:rPr>
      </w:pPr>
      <w:r w:rsidRPr="00DD1B58">
        <w:rPr>
          <w:b/>
          <w:szCs w:val="24"/>
          <w:lang w:val="en-US"/>
        </w:rPr>
        <w:t>General</w:t>
      </w:r>
      <w:r w:rsidR="000D6A0F" w:rsidRPr="00DD1B58">
        <w:rPr>
          <w:b/>
          <w:szCs w:val="24"/>
          <w:lang w:val="en-US"/>
        </w:rPr>
        <w:t xml:space="preserve"> </w:t>
      </w:r>
      <w:r w:rsidR="009315ED" w:rsidRPr="00DD1B58">
        <w:rPr>
          <w:b/>
          <w:szCs w:val="24"/>
          <w:lang w:val="en-US"/>
        </w:rPr>
        <w:t>–</w:t>
      </w:r>
      <w:r w:rsidR="000D6A0F" w:rsidRPr="00DD1B58">
        <w:rPr>
          <w:b/>
          <w:szCs w:val="24"/>
          <w:lang w:val="en-US"/>
        </w:rPr>
        <w:t xml:space="preserve"> </w:t>
      </w:r>
      <w:r w:rsidR="009315ED" w:rsidRPr="00DD1B58">
        <w:rPr>
          <w:szCs w:val="24"/>
          <w:lang w:val="en-US"/>
        </w:rPr>
        <w:t xml:space="preserve">EDF NGL decides fire </w:t>
      </w:r>
      <w:r w:rsidRPr="00DD1B58">
        <w:rPr>
          <w:szCs w:val="24"/>
          <w:lang w:val="en-US"/>
        </w:rPr>
        <w:t>resistance ratings upon whether the need for personnel fire safety or nuclear fire safety.</w:t>
      </w:r>
      <w:r w:rsidR="087410FC" w:rsidRPr="00DD1B58">
        <w:rPr>
          <w:szCs w:val="24"/>
          <w:lang w:val="en-US"/>
        </w:rPr>
        <w:t xml:space="preserve"> </w:t>
      </w:r>
      <w:r w:rsidR="00F17AA3" w:rsidRPr="00DD1B58">
        <w:rPr>
          <w:szCs w:val="24"/>
          <w:lang w:val="en-US"/>
        </w:rPr>
        <w:t xml:space="preserve">EDF NGL </w:t>
      </w:r>
      <w:r w:rsidRPr="00DD1B58">
        <w:rPr>
          <w:szCs w:val="24"/>
          <w:lang w:val="en-US"/>
        </w:rPr>
        <w:t>distinguishe</w:t>
      </w:r>
      <w:r w:rsidR="00F17AA3" w:rsidRPr="00DD1B58">
        <w:rPr>
          <w:szCs w:val="24"/>
          <w:lang w:val="en-US"/>
        </w:rPr>
        <w:t>s these</w:t>
      </w:r>
      <w:r w:rsidRPr="00DD1B58">
        <w:rPr>
          <w:szCs w:val="24"/>
          <w:lang w:val="en-US"/>
        </w:rPr>
        <w:t xml:space="preserve"> based on a fire rating requirement. For personnel life fire safety</w:t>
      </w:r>
      <w:r w:rsidR="00F17AA3" w:rsidRPr="00DD1B58">
        <w:rPr>
          <w:szCs w:val="24"/>
          <w:lang w:val="en-US"/>
        </w:rPr>
        <w:t xml:space="preserve">, EDF NGL’s </w:t>
      </w:r>
      <w:r w:rsidRPr="00DD1B58">
        <w:rPr>
          <w:szCs w:val="24"/>
          <w:lang w:val="en-US"/>
        </w:rPr>
        <w:t>general</w:t>
      </w:r>
      <w:r w:rsidR="62FE3B3F" w:rsidRPr="00DD1B58">
        <w:rPr>
          <w:szCs w:val="24"/>
          <w:lang w:val="en-US"/>
        </w:rPr>
        <w:t xml:space="preserve"> </w:t>
      </w:r>
      <w:r w:rsidRPr="00DD1B58">
        <w:rPr>
          <w:szCs w:val="24"/>
          <w:lang w:val="en-US"/>
        </w:rPr>
        <w:t>expectation is that 30 minutes fire barriers are sufficient and adequate for the staff to apply the fire</w:t>
      </w:r>
      <w:r w:rsidR="2E3F0DE3" w:rsidRPr="00DD1B58">
        <w:rPr>
          <w:szCs w:val="24"/>
          <w:lang w:val="en-US"/>
        </w:rPr>
        <w:t xml:space="preserve"> </w:t>
      </w:r>
      <w:r w:rsidRPr="00DD1B58">
        <w:rPr>
          <w:szCs w:val="24"/>
          <w:lang w:val="en-US"/>
        </w:rPr>
        <w:t>escape plan and exit the building to an ultimate place of safety, where upon they will muster within</w:t>
      </w:r>
      <w:r w:rsidR="0B4F54FB" w:rsidRPr="00DD1B58">
        <w:rPr>
          <w:szCs w:val="24"/>
          <w:lang w:val="en-US"/>
        </w:rPr>
        <w:t xml:space="preserve"> </w:t>
      </w:r>
      <w:r w:rsidRPr="00DD1B58">
        <w:rPr>
          <w:szCs w:val="24"/>
          <w:lang w:val="en-US"/>
        </w:rPr>
        <w:t xml:space="preserve">minutes. The expectation is in line with the Regulatory Reform Fire Safety Order </w:t>
      </w:r>
      <w:r w:rsidR="003C317D" w:rsidRPr="00DD1B58">
        <w:rPr>
          <w:szCs w:val="24"/>
          <w:lang w:val="en-US"/>
        </w:rPr>
        <w:t>(FSO)</w:t>
      </w:r>
      <w:r w:rsidRPr="00DD1B58">
        <w:rPr>
          <w:szCs w:val="24"/>
          <w:lang w:val="en-US"/>
        </w:rPr>
        <w:t xml:space="preserve"> 2005 for England and</w:t>
      </w:r>
      <w:r w:rsidR="6FA01228" w:rsidRPr="00DD1B58">
        <w:rPr>
          <w:szCs w:val="24"/>
          <w:lang w:val="en-US"/>
        </w:rPr>
        <w:t xml:space="preserve"> </w:t>
      </w:r>
      <w:r w:rsidRPr="00DD1B58">
        <w:rPr>
          <w:szCs w:val="24"/>
          <w:lang w:val="en-US"/>
        </w:rPr>
        <w:t>2006 in Scotland</w:t>
      </w:r>
      <w:r w:rsidR="003C317D" w:rsidRPr="00DD1B58">
        <w:rPr>
          <w:szCs w:val="24"/>
          <w:lang w:val="en-US"/>
        </w:rPr>
        <w:t xml:space="preserve">. </w:t>
      </w:r>
      <w:r w:rsidRPr="00DD1B58">
        <w:rPr>
          <w:szCs w:val="24"/>
          <w:lang w:val="en-US"/>
        </w:rPr>
        <w:t>Therefore, the fire rating for life safety of 30 minute is all that is required</w:t>
      </w:r>
      <w:r w:rsidR="15F51C6C" w:rsidRPr="00DD1B58">
        <w:rPr>
          <w:szCs w:val="24"/>
          <w:lang w:val="en-US"/>
        </w:rPr>
        <w:t xml:space="preserve"> </w:t>
      </w:r>
      <w:r w:rsidRPr="00DD1B58">
        <w:rPr>
          <w:szCs w:val="24"/>
          <w:lang w:val="en-US"/>
        </w:rPr>
        <w:t>to meet that criteria (note for S</w:t>
      </w:r>
      <w:r w:rsidR="005D2F91" w:rsidRPr="00DD1B58">
        <w:rPr>
          <w:szCs w:val="24"/>
          <w:lang w:val="en-US"/>
        </w:rPr>
        <w:t>Z</w:t>
      </w:r>
      <w:r w:rsidRPr="00DD1B58">
        <w:rPr>
          <w:szCs w:val="24"/>
          <w:lang w:val="en-US"/>
        </w:rPr>
        <w:t xml:space="preserve">B this is one hour). </w:t>
      </w:r>
      <w:r w:rsidR="0050185D" w:rsidRPr="00DD1B58">
        <w:rPr>
          <w:szCs w:val="24"/>
          <w:lang w:val="en-US"/>
        </w:rPr>
        <w:t>EDF NGL reports that e</w:t>
      </w:r>
      <w:r w:rsidRPr="00DD1B58">
        <w:rPr>
          <w:szCs w:val="24"/>
          <w:lang w:val="en-US"/>
        </w:rPr>
        <w:t>ach station has such fire barriers in place.</w:t>
      </w:r>
    </w:p>
    <w:p w14:paraId="22F0CF7C" w14:textId="2B3A6647" w:rsidR="5B31CAAE" w:rsidRPr="00DD1B58" w:rsidRDefault="5B31CAAE" w:rsidP="00E232AC">
      <w:pPr>
        <w:rPr>
          <w:lang w:val="en-US"/>
        </w:rPr>
      </w:pPr>
      <w:r w:rsidRPr="00DD1B58">
        <w:rPr>
          <w:szCs w:val="24"/>
          <w:lang w:val="en-US"/>
        </w:rPr>
        <w:t xml:space="preserve">Beyond this, </w:t>
      </w:r>
      <w:r w:rsidR="0050185D" w:rsidRPr="00DD1B58">
        <w:rPr>
          <w:szCs w:val="24"/>
          <w:lang w:val="en-US"/>
        </w:rPr>
        <w:t>EDF NGL provides</w:t>
      </w:r>
      <w:r w:rsidRPr="00DD1B58">
        <w:rPr>
          <w:szCs w:val="24"/>
          <w:lang w:val="en-US"/>
        </w:rPr>
        <w:t xml:space="preserve"> fire barriers of nuclear significance which are claimed accordingly to the site</w:t>
      </w:r>
      <w:r w:rsidR="341DD7BE" w:rsidRPr="00DD1B58">
        <w:rPr>
          <w:szCs w:val="24"/>
          <w:lang w:val="en-US"/>
        </w:rPr>
        <w:t xml:space="preserve"> </w:t>
      </w:r>
      <w:r w:rsidRPr="00DD1B58">
        <w:rPr>
          <w:szCs w:val="24"/>
          <w:lang w:val="en-US"/>
        </w:rPr>
        <w:t xml:space="preserve">specific safety case. </w:t>
      </w:r>
      <w:r w:rsidR="00FD7C1C" w:rsidRPr="00DD1B58">
        <w:rPr>
          <w:szCs w:val="24"/>
          <w:lang w:val="en-US"/>
        </w:rPr>
        <w:t xml:space="preserve">Their </w:t>
      </w:r>
      <w:r w:rsidRPr="00DD1B58">
        <w:rPr>
          <w:szCs w:val="24"/>
          <w:lang w:val="en-US"/>
        </w:rPr>
        <w:t>ire barrier resistance ratings vary depending on challenge to the fire barrier which</w:t>
      </w:r>
      <w:r w:rsidR="682F04A5" w:rsidRPr="00DD1B58">
        <w:rPr>
          <w:szCs w:val="24"/>
          <w:lang w:val="en-US"/>
        </w:rPr>
        <w:t xml:space="preserve"> </w:t>
      </w:r>
      <w:r w:rsidRPr="00DD1B58">
        <w:rPr>
          <w:szCs w:val="24"/>
          <w:lang w:val="en-US"/>
        </w:rPr>
        <w:t xml:space="preserve">in the case of HNB can be 1-hour. Nuclear significant fire barriers at HY2 are typically for a </w:t>
      </w:r>
      <w:r w:rsidR="00FD7C1C" w:rsidRPr="00DD1B58">
        <w:rPr>
          <w:szCs w:val="24"/>
          <w:lang w:val="en-US"/>
        </w:rPr>
        <w:t>1-</w:t>
      </w:r>
      <w:r w:rsidRPr="00DD1B58">
        <w:rPr>
          <w:szCs w:val="24"/>
          <w:lang w:val="en-US"/>
        </w:rPr>
        <w:t>hour</w:t>
      </w:r>
      <w:r w:rsidR="051579E8" w:rsidRPr="00DD1B58">
        <w:rPr>
          <w:szCs w:val="24"/>
          <w:lang w:val="en-US"/>
        </w:rPr>
        <w:t xml:space="preserve"> </w:t>
      </w:r>
      <w:r w:rsidRPr="00DD1B58">
        <w:rPr>
          <w:szCs w:val="24"/>
          <w:lang w:val="en-US"/>
        </w:rPr>
        <w:t>rating or a 4</w:t>
      </w:r>
      <w:r w:rsidR="00FD7C1C" w:rsidRPr="00DD1B58">
        <w:rPr>
          <w:szCs w:val="24"/>
          <w:lang w:val="en-US"/>
        </w:rPr>
        <w:t>-</w:t>
      </w:r>
      <w:r w:rsidRPr="00DD1B58">
        <w:rPr>
          <w:szCs w:val="24"/>
          <w:lang w:val="en-US"/>
        </w:rPr>
        <w:t>hour rating. At SZB this is typically a three</w:t>
      </w:r>
      <w:r w:rsidR="00FD7C1C" w:rsidRPr="00DD1B58">
        <w:rPr>
          <w:szCs w:val="24"/>
          <w:lang w:val="en-US"/>
        </w:rPr>
        <w:t>-</w:t>
      </w:r>
      <w:r w:rsidRPr="00DD1B58">
        <w:rPr>
          <w:szCs w:val="24"/>
          <w:lang w:val="en-US"/>
        </w:rPr>
        <w:t xml:space="preserve">hour fire barrier. </w:t>
      </w:r>
      <w:r w:rsidR="00FD7C1C" w:rsidRPr="00DD1B58">
        <w:rPr>
          <w:szCs w:val="24"/>
          <w:lang w:val="en-US"/>
        </w:rPr>
        <w:t xml:space="preserve">The </w:t>
      </w:r>
      <w:r w:rsidRPr="00DD1B58">
        <w:rPr>
          <w:szCs w:val="24"/>
          <w:lang w:val="en-US"/>
        </w:rPr>
        <w:t xml:space="preserve">rating was </w:t>
      </w:r>
      <w:r w:rsidR="00615AE5" w:rsidRPr="00DD1B58">
        <w:rPr>
          <w:szCs w:val="24"/>
          <w:lang w:val="en-US"/>
        </w:rPr>
        <w:t>adopted</w:t>
      </w:r>
      <w:r w:rsidR="766F49D5" w:rsidRPr="00DD1B58">
        <w:rPr>
          <w:szCs w:val="24"/>
          <w:lang w:val="en-US"/>
        </w:rPr>
        <w:t xml:space="preserve"> </w:t>
      </w:r>
      <w:r w:rsidRPr="00DD1B58">
        <w:rPr>
          <w:szCs w:val="24"/>
          <w:lang w:val="en-US"/>
        </w:rPr>
        <w:t>from the original US design.</w:t>
      </w:r>
    </w:p>
    <w:p w14:paraId="44D1214E" w14:textId="526C4DF4" w:rsidR="5B31CAAE" w:rsidRPr="00DD1B58" w:rsidRDefault="00A00DC8" w:rsidP="0037424B">
      <w:pPr>
        <w:rPr>
          <w:lang w:val="en-US"/>
        </w:rPr>
      </w:pPr>
      <w:r w:rsidRPr="00DD1B58">
        <w:rPr>
          <w:szCs w:val="24"/>
          <w:lang w:val="en-US"/>
        </w:rPr>
        <w:t xml:space="preserve">EDF NGL then uses the </w:t>
      </w:r>
      <w:r w:rsidR="5B31CAAE" w:rsidRPr="00DD1B58">
        <w:rPr>
          <w:szCs w:val="24"/>
          <w:lang w:val="en-US"/>
        </w:rPr>
        <w:t xml:space="preserve">fire barrier ratings to determine the overall level of rebar concrete cover. </w:t>
      </w:r>
      <w:r w:rsidRPr="00DD1B58">
        <w:rPr>
          <w:szCs w:val="24"/>
          <w:lang w:val="en-US"/>
        </w:rPr>
        <w:t xml:space="preserve">EDF NGL’s </w:t>
      </w:r>
      <w:r w:rsidR="5B31CAAE" w:rsidRPr="00DD1B58">
        <w:rPr>
          <w:szCs w:val="24"/>
          <w:lang w:val="en-US"/>
        </w:rPr>
        <w:t>civil</w:t>
      </w:r>
      <w:r w:rsidR="37693336" w:rsidRPr="00DD1B58">
        <w:rPr>
          <w:szCs w:val="24"/>
          <w:lang w:val="en-US"/>
        </w:rPr>
        <w:t xml:space="preserve"> </w:t>
      </w:r>
      <w:r w:rsidR="5B31CAAE" w:rsidRPr="00DD1B58">
        <w:rPr>
          <w:szCs w:val="24"/>
          <w:lang w:val="en-US"/>
        </w:rPr>
        <w:t>design group specify these calculations, however</w:t>
      </w:r>
      <w:r w:rsidRPr="00DD1B58">
        <w:rPr>
          <w:szCs w:val="24"/>
          <w:lang w:val="en-US"/>
        </w:rPr>
        <w:t>,</w:t>
      </w:r>
      <w:r w:rsidR="5B31CAAE" w:rsidRPr="00DD1B58">
        <w:rPr>
          <w:szCs w:val="24"/>
          <w:lang w:val="en-US"/>
        </w:rPr>
        <w:t xml:space="preserve"> the general approach is outlined in the Loss Prevention</w:t>
      </w:r>
      <w:r w:rsidR="5C0E73B1" w:rsidRPr="00DD1B58">
        <w:rPr>
          <w:szCs w:val="24"/>
          <w:lang w:val="en-US"/>
        </w:rPr>
        <w:t xml:space="preserve"> </w:t>
      </w:r>
      <w:r w:rsidR="5B31CAAE" w:rsidRPr="00DD1B58">
        <w:rPr>
          <w:szCs w:val="24"/>
          <w:lang w:val="en-US"/>
        </w:rPr>
        <w:t>Council Code of Practice for the Construction of Buildings ISBN 0 902167 00 – 6. 1992</w:t>
      </w:r>
      <w:r w:rsidRPr="00DD1B58">
        <w:rPr>
          <w:szCs w:val="24"/>
          <w:lang w:val="en-US"/>
        </w:rPr>
        <w:t>. EDF NGL typically uses i</w:t>
      </w:r>
      <w:r w:rsidR="5B31CAAE" w:rsidRPr="00DD1B58">
        <w:rPr>
          <w:szCs w:val="24"/>
          <w:lang w:val="en-US"/>
        </w:rPr>
        <w:t>nformation on the fire resistance of standard types of construction</w:t>
      </w:r>
      <w:r w:rsidR="00CA4E15" w:rsidRPr="00DD1B58">
        <w:rPr>
          <w:szCs w:val="24"/>
          <w:lang w:val="en-US"/>
        </w:rPr>
        <w:t xml:space="preserve">, such as </w:t>
      </w:r>
      <w:r w:rsidR="003C7229" w:rsidRPr="00DD1B58">
        <w:rPr>
          <w:lang w:val="en-US"/>
        </w:rPr>
        <w:t>b</w:t>
      </w:r>
      <w:r w:rsidR="5B31CAAE" w:rsidRPr="00DD1B58">
        <w:rPr>
          <w:lang w:val="en-US"/>
        </w:rPr>
        <w:t xml:space="preserve">rickwork of solid clay </w:t>
      </w:r>
      <w:r w:rsidR="003C7229" w:rsidRPr="00DD1B58">
        <w:rPr>
          <w:lang w:val="en-US"/>
        </w:rPr>
        <w:t xml:space="preserve">or solid concrete or sand lime </w:t>
      </w:r>
      <w:r w:rsidR="5B31CAAE" w:rsidRPr="00DD1B58">
        <w:rPr>
          <w:lang w:val="en-US"/>
        </w:rPr>
        <w:t>bricks</w:t>
      </w:r>
      <w:r w:rsidR="003C7229" w:rsidRPr="00DD1B58">
        <w:rPr>
          <w:lang w:val="en-US"/>
        </w:rPr>
        <w:t xml:space="preserve"> or reinforced concrete walls</w:t>
      </w:r>
      <w:r w:rsidR="0037424B" w:rsidRPr="00DD1B58">
        <w:rPr>
          <w:lang w:val="en-US"/>
        </w:rPr>
        <w:t xml:space="preserve"> (25</w:t>
      </w:r>
      <w:r w:rsidRPr="00DD1B58">
        <w:rPr>
          <w:lang w:val="en-US"/>
        </w:rPr>
        <w:t xml:space="preserve"> </w:t>
      </w:r>
      <w:r w:rsidR="0037424B" w:rsidRPr="00DD1B58">
        <w:rPr>
          <w:lang w:val="en-US"/>
        </w:rPr>
        <w:t>mm of cover over reinforcement)</w:t>
      </w:r>
      <w:r w:rsidR="5B31CAAE" w:rsidRPr="00DD1B58">
        <w:rPr>
          <w:lang w:val="en-US"/>
        </w:rPr>
        <w:t>.</w:t>
      </w:r>
    </w:p>
    <w:p w14:paraId="2522774B" w14:textId="7985C428" w:rsidR="5B31CAAE" w:rsidRPr="00DD1B58" w:rsidRDefault="00A00DC8" w:rsidP="00E232AC">
      <w:pPr>
        <w:rPr>
          <w:lang w:val="en-US"/>
        </w:rPr>
      </w:pPr>
      <w:r w:rsidRPr="00DD1B58">
        <w:rPr>
          <w:szCs w:val="24"/>
          <w:lang w:val="en-US"/>
        </w:rPr>
        <w:t>EDF NGL reports that a</w:t>
      </w:r>
      <w:r w:rsidR="5B31CAAE" w:rsidRPr="00DD1B58">
        <w:rPr>
          <w:szCs w:val="24"/>
          <w:lang w:val="en-US"/>
        </w:rPr>
        <w:t xml:space="preserve">ll fire barriers are inspected, tested and maintained to the relevant </w:t>
      </w:r>
      <w:r w:rsidR="00C362CA" w:rsidRPr="00DD1B58">
        <w:rPr>
          <w:szCs w:val="24"/>
          <w:lang w:val="en-US"/>
        </w:rPr>
        <w:t>EDF NGL</w:t>
      </w:r>
      <w:r w:rsidR="5B31CAAE" w:rsidRPr="00DD1B58">
        <w:rPr>
          <w:szCs w:val="24"/>
          <w:lang w:val="en-US"/>
        </w:rPr>
        <w:t xml:space="preserve"> Company</w:t>
      </w:r>
      <w:r w:rsidR="3D43170F" w:rsidRPr="00DD1B58">
        <w:rPr>
          <w:szCs w:val="24"/>
          <w:lang w:val="en-US"/>
        </w:rPr>
        <w:t xml:space="preserve"> </w:t>
      </w:r>
      <w:r w:rsidR="5B31CAAE" w:rsidRPr="00DD1B58">
        <w:rPr>
          <w:szCs w:val="24"/>
          <w:lang w:val="en-US"/>
        </w:rPr>
        <w:t>Technical Standard.</w:t>
      </w:r>
      <w:r w:rsidRPr="00DD1B58">
        <w:rPr>
          <w:szCs w:val="24"/>
          <w:lang w:val="en-US"/>
        </w:rPr>
        <w:t xml:space="preserve"> </w:t>
      </w:r>
      <w:r w:rsidR="5B31CAAE" w:rsidRPr="00DD1B58">
        <w:rPr>
          <w:szCs w:val="24"/>
          <w:lang w:val="en-US"/>
        </w:rPr>
        <w:t xml:space="preserve">One of the mandatory requirements within the </w:t>
      </w:r>
      <w:r w:rsidR="00C362CA" w:rsidRPr="00DD1B58">
        <w:rPr>
          <w:szCs w:val="24"/>
          <w:lang w:val="en-US"/>
        </w:rPr>
        <w:t>EDF NGL</w:t>
      </w:r>
      <w:r w:rsidR="5B31CAAE" w:rsidRPr="00DD1B58">
        <w:rPr>
          <w:szCs w:val="24"/>
          <w:lang w:val="en-US"/>
        </w:rPr>
        <w:t xml:space="preserve"> standard, as outlined in</w:t>
      </w:r>
      <w:r w:rsidR="5C655A46" w:rsidRPr="00DD1B58">
        <w:rPr>
          <w:szCs w:val="24"/>
          <w:lang w:val="en-US"/>
        </w:rPr>
        <w:t xml:space="preserve"> the</w:t>
      </w:r>
      <w:r w:rsidR="5B31CAAE" w:rsidRPr="00DD1B58">
        <w:rPr>
          <w:szCs w:val="24"/>
          <w:lang w:val="en-US"/>
        </w:rPr>
        <w:t xml:space="preserve"> </w:t>
      </w:r>
      <w:r w:rsidR="0D9FD1F3" w:rsidRPr="00DD1B58">
        <w:rPr>
          <w:szCs w:val="24"/>
          <w:lang w:val="en-US"/>
        </w:rPr>
        <w:t>s</w:t>
      </w:r>
      <w:r w:rsidR="5B31CAAE" w:rsidRPr="00DD1B58">
        <w:rPr>
          <w:szCs w:val="24"/>
          <w:lang w:val="en-US"/>
        </w:rPr>
        <w:t>ection</w:t>
      </w:r>
      <w:r w:rsidR="72572CC7" w:rsidRPr="00DD1B58">
        <w:rPr>
          <w:szCs w:val="24"/>
          <w:lang w:val="en-US"/>
        </w:rPr>
        <w:t xml:space="preserve"> </w:t>
      </w:r>
      <w:r w:rsidR="0D97AA77" w:rsidRPr="00DD1B58">
        <w:rPr>
          <w:szCs w:val="24"/>
          <w:lang w:val="en-US"/>
        </w:rPr>
        <w:t>above on lifetime considerations</w:t>
      </w:r>
      <w:r w:rsidR="5B31CAAE" w:rsidRPr="00DD1B58">
        <w:rPr>
          <w:szCs w:val="24"/>
          <w:lang w:val="en-US"/>
        </w:rPr>
        <w:t>, is to ensure the installation of the products, are 3</w:t>
      </w:r>
      <w:r w:rsidR="5B31CAAE" w:rsidRPr="00DD1B58">
        <w:rPr>
          <w:szCs w:val="24"/>
          <w:vertAlign w:val="superscript"/>
          <w:lang w:val="en-US"/>
        </w:rPr>
        <w:t>rd</w:t>
      </w:r>
      <w:r w:rsidR="0039402C" w:rsidRPr="00DD1B58">
        <w:rPr>
          <w:szCs w:val="24"/>
          <w:lang w:val="en-US"/>
        </w:rPr>
        <w:t xml:space="preserve"> </w:t>
      </w:r>
      <w:r w:rsidR="5B31CAAE" w:rsidRPr="00DD1B58">
        <w:rPr>
          <w:szCs w:val="24"/>
          <w:lang w:val="en-US"/>
        </w:rPr>
        <w:t>Party Accredited products and that</w:t>
      </w:r>
      <w:r w:rsidR="5A73FB44" w:rsidRPr="00DD1B58">
        <w:rPr>
          <w:szCs w:val="24"/>
          <w:lang w:val="en-US"/>
        </w:rPr>
        <w:t xml:space="preserve"> </w:t>
      </w:r>
      <w:r w:rsidR="5B31CAAE" w:rsidRPr="00DD1B58">
        <w:rPr>
          <w:szCs w:val="24"/>
          <w:lang w:val="en-US"/>
        </w:rPr>
        <w:t>workmanship across the stations is carried out by 3</w:t>
      </w:r>
      <w:r w:rsidR="5B31CAAE" w:rsidRPr="00DD1B58">
        <w:rPr>
          <w:szCs w:val="24"/>
          <w:vertAlign w:val="superscript"/>
          <w:lang w:val="en-US"/>
        </w:rPr>
        <w:t>r</w:t>
      </w:r>
      <w:r w:rsidR="0039402C" w:rsidRPr="00DD1B58">
        <w:rPr>
          <w:szCs w:val="24"/>
          <w:vertAlign w:val="superscript"/>
          <w:lang w:val="en-US"/>
        </w:rPr>
        <w:t>d</w:t>
      </w:r>
      <w:r w:rsidR="0039402C" w:rsidRPr="00DD1B58">
        <w:rPr>
          <w:szCs w:val="24"/>
          <w:lang w:val="en-US"/>
        </w:rPr>
        <w:t xml:space="preserve"> P</w:t>
      </w:r>
      <w:r w:rsidR="5B31CAAE" w:rsidRPr="00DD1B58">
        <w:rPr>
          <w:szCs w:val="24"/>
          <w:lang w:val="en-US"/>
        </w:rPr>
        <w:t>arty Accredited companies which are on auditing</w:t>
      </w:r>
      <w:r w:rsidR="312EE679" w:rsidRPr="00DD1B58">
        <w:rPr>
          <w:szCs w:val="24"/>
          <w:lang w:val="en-US"/>
        </w:rPr>
        <w:t xml:space="preserve"> </w:t>
      </w:r>
      <w:r w:rsidR="5B31CAAE" w:rsidRPr="00DD1B58">
        <w:rPr>
          <w:szCs w:val="24"/>
          <w:lang w:val="en-US"/>
        </w:rPr>
        <w:t>schemes.</w:t>
      </w:r>
      <w:r w:rsidR="0039402C" w:rsidRPr="00DD1B58">
        <w:rPr>
          <w:szCs w:val="24"/>
          <w:lang w:val="en-US"/>
        </w:rPr>
        <w:t xml:space="preserve"> </w:t>
      </w:r>
      <w:r w:rsidR="5B31CAAE" w:rsidRPr="00DD1B58">
        <w:rPr>
          <w:szCs w:val="24"/>
          <w:lang w:val="en-US"/>
        </w:rPr>
        <w:t xml:space="preserve">Within the </w:t>
      </w:r>
      <w:r w:rsidR="00C362CA" w:rsidRPr="00DD1B58">
        <w:rPr>
          <w:szCs w:val="24"/>
          <w:lang w:val="en-US"/>
        </w:rPr>
        <w:t>EDF NGL</w:t>
      </w:r>
      <w:r w:rsidR="5B31CAAE" w:rsidRPr="00DD1B58">
        <w:rPr>
          <w:szCs w:val="24"/>
          <w:lang w:val="en-US"/>
        </w:rPr>
        <w:t xml:space="preserve"> standard it is specified that each station is compliant to one of </w:t>
      </w:r>
      <w:r w:rsidR="0037424B" w:rsidRPr="00DD1B58">
        <w:rPr>
          <w:szCs w:val="24"/>
          <w:lang w:val="en-US"/>
        </w:rPr>
        <w:t>a number of</w:t>
      </w:r>
      <w:r w:rsidR="658BD588" w:rsidRPr="00DD1B58">
        <w:rPr>
          <w:szCs w:val="24"/>
          <w:lang w:val="en-US"/>
        </w:rPr>
        <w:t xml:space="preserve"> </w:t>
      </w:r>
      <w:r w:rsidR="5B31CAAE" w:rsidRPr="00DD1B58">
        <w:rPr>
          <w:szCs w:val="24"/>
          <w:lang w:val="en-US"/>
        </w:rPr>
        <w:t>auditing schemes</w:t>
      </w:r>
      <w:r w:rsidR="0037424B" w:rsidRPr="00DD1B58">
        <w:rPr>
          <w:szCs w:val="24"/>
          <w:lang w:val="en-US"/>
        </w:rPr>
        <w:t xml:space="preserve">. Further detail is provided in the licensee’s </w:t>
      </w:r>
      <w:r w:rsidR="0039402C" w:rsidRPr="00DD1B58">
        <w:rPr>
          <w:szCs w:val="24"/>
          <w:lang w:val="en-US"/>
        </w:rPr>
        <w:t xml:space="preserve">self-assessment report for TPR 2 </w:t>
      </w:r>
      <w:sdt>
        <w:sdtPr>
          <w:rPr>
            <w:szCs w:val="24"/>
            <w:lang w:val="en-US"/>
          </w:rPr>
          <w:id w:val="-1530325226"/>
          <w:citation/>
        </w:sdtPr>
        <w:sdtContent>
          <w:r w:rsidR="0057006D" w:rsidRPr="00DD1B58">
            <w:rPr>
              <w:szCs w:val="24"/>
              <w:lang w:val="en-US"/>
            </w:rPr>
            <w:fldChar w:fldCharType="begin"/>
          </w:r>
          <w:r w:rsidR="0057006D" w:rsidRPr="00DD1B58">
            <w:rPr>
              <w:szCs w:val="24"/>
              <w:lang w:val="en-US"/>
            </w:rPr>
            <w:instrText xml:space="preserve"> CITATION EDF231 \l 2057 </w:instrText>
          </w:r>
          <w:r w:rsidR="0057006D" w:rsidRPr="00DD1B58">
            <w:rPr>
              <w:szCs w:val="24"/>
              <w:lang w:val="en-US"/>
            </w:rPr>
            <w:fldChar w:fldCharType="separate"/>
          </w:r>
          <w:r w:rsidR="00DF47DA" w:rsidRPr="00DF47DA">
            <w:rPr>
              <w:noProof/>
              <w:szCs w:val="24"/>
              <w:lang w:val="en-US"/>
            </w:rPr>
            <w:t>[25]</w:t>
          </w:r>
          <w:r w:rsidR="0057006D" w:rsidRPr="00DD1B58">
            <w:rPr>
              <w:szCs w:val="24"/>
              <w:lang w:val="en-US"/>
            </w:rPr>
            <w:fldChar w:fldCharType="end"/>
          </w:r>
        </w:sdtContent>
      </w:sdt>
      <w:r w:rsidR="0057006D" w:rsidRPr="00DD1B58">
        <w:rPr>
          <w:szCs w:val="24"/>
          <w:lang w:val="en-US"/>
        </w:rPr>
        <w:t>.</w:t>
      </w:r>
    </w:p>
    <w:p w14:paraId="36473A8F" w14:textId="77777777" w:rsidR="003665A5" w:rsidRPr="00DD1B58" w:rsidRDefault="00AF7161" w:rsidP="00177432">
      <w:pPr>
        <w:pStyle w:val="Heading5A"/>
        <w:numPr>
          <w:ilvl w:val="5"/>
          <w:numId w:val="7"/>
        </w:numPr>
        <w:rPr>
          <w:lang w:val="en-US"/>
        </w:rPr>
      </w:pPr>
      <w:r w:rsidRPr="00DD1B58">
        <w:rPr>
          <w:lang w:val="en-US"/>
        </w:rPr>
        <w:t>Description of fire compartments and/or cells design and key features</w:t>
      </w:r>
    </w:p>
    <w:p w14:paraId="057A5C7C" w14:textId="58A351F2" w:rsidR="410CAA19" w:rsidRPr="00DD1B58" w:rsidRDefault="410CAA19" w:rsidP="008E59FE">
      <w:pPr>
        <w:rPr>
          <w:lang w:val="en-US"/>
        </w:rPr>
      </w:pPr>
      <w:r w:rsidRPr="00DD1B58">
        <w:rPr>
          <w:b/>
          <w:lang w:val="en-US"/>
        </w:rPr>
        <w:t>General</w:t>
      </w:r>
      <w:r w:rsidR="00FC1557" w:rsidRPr="00DD1B58">
        <w:rPr>
          <w:b/>
          <w:lang w:val="en-US"/>
        </w:rPr>
        <w:t xml:space="preserve"> </w:t>
      </w:r>
      <w:r w:rsidR="00161FAF" w:rsidRPr="00DD1B58">
        <w:rPr>
          <w:bCs/>
          <w:lang w:val="en-US"/>
        </w:rPr>
        <w:t>–</w:t>
      </w:r>
      <w:r w:rsidR="00FC1557" w:rsidRPr="00DD1B58">
        <w:rPr>
          <w:bCs/>
          <w:lang w:val="en-US"/>
        </w:rPr>
        <w:t xml:space="preserve"> </w:t>
      </w:r>
      <w:r w:rsidR="00161FAF" w:rsidRPr="00DD1B58">
        <w:rPr>
          <w:bCs/>
          <w:lang w:val="en-US"/>
        </w:rPr>
        <w:t>EDF NGL reports that p</w:t>
      </w:r>
      <w:r w:rsidRPr="00DD1B58">
        <w:rPr>
          <w:bCs/>
          <w:lang w:val="en-US"/>
        </w:rPr>
        <w:t xml:space="preserve">assive </w:t>
      </w:r>
      <w:r w:rsidRPr="00DD1B58">
        <w:rPr>
          <w:lang w:val="en-US"/>
        </w:rPr>
        <w:t xml:space="preserve">fire protection for all fire barriers </w:t>
      </w:r>
      <w:r w:rsidR="00EC1F9A" w:rsidRPr="00DD1B58">
        <w:rPr>
          <w:lang w:val="en-US"/>
        </w:rPr>
        <w:t xml:space="preserve">is </w:t>
      </w:r>
      <w:r w:rsidRPr="00DD1B58">
        <w:rPr>
          <w:lang w:val="en-US"/>
        </w:rPr>
        <w:t>inspected, tested and maintained as</w:t>
      </w:r>
      <w:r w:rsidR="176741C6" w:rsidRPr="00DD1B58">
        <w:rPr>
          <w:lang w:val="en-US"/>
        </w:rPr>
        <w:t xml:space="preserve"> </w:t>
      </w:r>
      <w:r w:rsidRPr="00DD1B58">
        <w:rPr>
          <w:lang w:val="en-US"/>
        </w:rPr>
        <w:t xml:space="preserve">per </w:t>
      </w:r>
      <w:r w:rsidR="00C362CA" w:rsidRPr="00DD1B58">
        <w:rPr>
          <w:lang w:val="en-US"/>
        </w:rPr>
        <w:t>EDF NGL</w:t>
      </w:r>
      <w:r w:rsidRPr="00DD1B58">
        <w:rPr>
          <w:lang w:val="en-US"/>
        </w:rPr>
        <w:t xml:space="preserve"> passive fire protection standards.</w:t>
      </w:r>
      <w:r w:rsidR="00161FAF" w:rsidRPr="00DD1B58">
        <w:rPr>
          <w:lang w:val="en-US"/>
        </w:rPr>
        <w:t xml:space="preserve"> </w:t>
      </w:r>
      <w:r w:rsidR="00C362CA" w:rsidRPr="00DD1B58">
        <w:rPr>
          <w:lang w:val="en-US"/>
        </w:rPr>
        <w:t>EDF NGL</w:t>
      </w:r>
      <w:r w:rsidR="00161FAF" w:rsidRPr="00DD1B58">
        <w:rPr>
          <w:lang w:val="en-US"/>
        </w:rPr>
        <w:t>’s approach</w:t>
      </w:r>
      <w:r w:rsidRPr="00DD1B58">
        <w:rPr>
          <w:lang w:val="en-US"/>
        </w:rPr>
        <w:t xml:space="preserve"> for nuclear barrier compartmentation, Fire Stopping, Fire</w:t>
      </w:r>
      <w:r w:rsidR="70200E64" w:rsidRPr="00DD1B58">
        <w:rPr>
          <w:lang w:val="en-US"/>
        </w:rPr>
        <w:t xml:space="preserve"> </w:t>
      </w:r>
      <w:r w:rsidRPr="00DD1B58">
        <w:rPr>
          <w:lang w:val="en-US"/>
        </w:rPr>
        <w:t xml:space="preserve">Rated Dampers and Fire Doors, are shown </w:t>
      </w:r>
      <w:r w:rsidR="00161FAF" w:rsidRPr="00DD1B58">
        <w:rPr>
          <w:lang w:val="en-US"/>
        </w:rPr>
        <w:t xml:space="preserve">in </w:t>
      </w:r>
      <w:r w:rsidR="00161FAF" w:rsidRPr="00DD1B58">
        <w:rPr>
          <w:lang w:val="en-US"/>
        </w:rPr>
        <w:fldChar w:fldCharType="begin"/>
      </w:r>
      <w:r w:rsidR="00161FAF" w:rsidRPr="00DD1B58">
        <w:rPr>
          <w:lang w:val="en-US"/>
        </w:rPr>
        <w:instrText xml:space="preserve"> REF _Ref144071017 \h </w:instrText>
      </w:r>
      <w:r w:rsidR="00161FAF" w:rsidRPr="00DD1B58">
        <w:rPr>
          <w:lang w:val="en-US"/>
        </w:rPr>
      </w:r>
      <w:r w:rsidR="00161FAF" w:rsidRPr="00DD1B58">
        <w:rPr>
          <w:lang w:val="en-US"/>
        </w:rPr>
        <w:fldChar w:fldCharType="separate"/>
      </w:r>
      <w:r w:rsidR="00DF47DA" w:rsidRPr="00DD1B58">
        <w:rPr>
          <w:lang w:val="en-US"/>
        </w:rPr>
        <w:t xml:space="preserve">Figure </w:t>
      </w:r>
      <w:r w:rsidR="00DF47DA">
        <w:rPr>
          <w:noProof/>
          <w:lang w:val="en-US"/>
        </w:rPr>
        <w:t>7</w:t>
      </w:r>
      <w:r w:rsidR="00161FAF" w:rsidRPr="00DD1B58">
        <w:rPr>
          <w:lang w:val="en-US"/>
        </w:rPr>
        <w:fldChar w:fldCharType="end"/>
      </w:r>
      <w:r w:rsidR="00161FAF" w:rsidRPr="00DD1B58">
        <w:rPr>
          <w:lang w:val="en-US"/>
        </w:rPr>
        <w:t>.</w:t>
      </w:r>
    </w:p>
    <w:p w14:paraId="423AA65D" w14:textId="5A379055" w:rsidR="00161FAF" w:rsidRPr="00DD1B58" w:rsidRDefault="00161FAF" w:rsidP="00973FF4">
      <w:pPr>
        <w:pStyle w:val="Caption"/>
        <w:rPr>
          <w:lang w:val="en-US"/>
        </w:rPr>
      </w:pPr>
      <w:bookmarkStart w:id="138" w:name="_Ref144071017"/>
      <w:bookmarkStart w:id="139" w:name="_Ref144071003"/>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7</w:t>
      </w:r>
      <w:r w:rsidRPr="00DD1B58">
        <w:rPr>
          <w:lang w:val="en-US"/>
        </w:rPr>
        <w:fldChar w:fldCharType="end"/>
      </w:r>
      <w:bookmarkEnd w:id="138"/>
      <w:r w:rsidRPr="00DD1B58">
        <w:rPr>
          <w:lang w:val="en-US"/>
        </w:rPr>
        <w:t>: EDF NGL’s approach for nuclear barrier compartmentation</w:t>
      </w:r>
      <w:bookmarkEnd w:id="139"/>
    </w:p>
    <w:p w14:paraId="5F0D02CB" w14:textId="77777777" w:rsidR="0EFE3115" w:rsidRPr="00DD1B58" w:rsidRDefault="0EFE3115" w:rsidP="50AE0A86">
      <w:pPr>
        <w:rPr>
          <w:lang w:val="en-US"/>
        </w:rPr>
      </w:pPr>
      <w:r w:rsidRPr="00DD1B58">
        <w:rPr>
          <w:noProof/>
          <w:lang w:val="en-US"/>
        </w:rPr>
        <w:drawing>
          <wp:inline distT="0" distB="0" distL="0" distR="0" wp14:anchorId="0302BE3E" wp14:editId="43A8F947">
            <wp:extent cx="5819775" cy="2724150"/>
            <wp:effectExtent l="0" t="0" r="0" b="0"/>
            <wp:docPr id="78063367" name="Picture 78063367" descr="Diagram of compartmentalisation into fire barriers, nuclear barriers, fire stopping and fire dampers, and fire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3367" name="Picture 78063367" descr="Diagram of compartmentalisation into fire barriers, nuclear barriers, fire stopping and fire dampers, and fire doors"/>
                    <pic:cNvPicPr/>
                  </pic:nvPicPr>
                  <pic:blipFill>
                    <a:blip r:embed="rId18">
                      <a:extLst>
                        <a:ext uri="{28A0092B-C50C-407E-A947-70E740481C1C}">
                          <a14:useLocalDpi xmlns:a14="http://schemas.microsoft.com/office/drawing/2010/main" val="0"/>
                        </a:ext>
                      </a:extLst>
                    </a:blip>
                    <a:stretch>
                      <a:fillRect/>
                    </a:stretch>
                  </pic:blipFill>
                  <pic:spPr>
                    <a:xfrm>
                      <a:off x="0" y="0"/>
                      <a:ext cx="5819775" cy="2724150"/>
                    </a:xfrm>
                    <a:prstGeom prst="rect">
                      <a:avLst/>
                    </a:prstGeom>
                  </pic:spPr>
                </pic:pic>
              </a:graphicData>
            </a:graphic>
          </wp:inline>
        </w:drawing>
      </w:r>
    </w:p>
    <w:p w14:paraId="11310AC1" w14:textId="469F5455" w:rsidR="1261D43B" w:rsidRPr="00DD1B58" w:rsidRDefault="00161FAF" w:rsidP="50AE0A86">
      <w:pPr>
        <w:rPr>
          <w:lang w:val="en-US"/>
        </w:rPr>
      </w:pPr>
      <w:r w:rsidRPr="00DD1B58">
        <w:rPr>
          <w:lang w:val="en-US"/>
        </w:rPr>
        <w:t xml:space="preserve">EDF NGL’s </w:t>
      </w:r>
      <w:r w:rsidR="1261D43B" w:rsidRPr="00DD1B58">
        <w:rPr>
          <w:lang w:val="en-US"/>
        </w:rPr>
        <w:t>safety principle is to segregate mutually redundant trains of equipment and specific areas of plant having safety related equipment so that a fire in one train cannot affect other trains or important areas of plant. In this way,</w:t>
      </w:r>
      <w:r w:rsidRPr="00DD1B58">
        <w:rPr>
          <w:lang w:val="en-US"/>
        </w:rPr>
        <w:t xml:space="preserve"> ED</w:t>
      </w:r>
      <w:r w:rsidR="009633C5" w:rsidRPr="00DD1B58">
        <w:rPr>
          <w:lang w:val="en-US"/>
        </w:rPr>
        <w:t xml:space="preserve">F NGL maintains </w:t>
      </w:r>
      <w:r w:rsidR="1261D43B" w:rsidRPr="00DD1B58">
        <w:rPr>
          <w:lang w:val="en-US"/>
        </w:rPr>
        <w:t xml:space="preserve">plant safety without making claims on active fire protection equipment. </w:t>
      </w:r>
      <w:r w:rsidR="009633C5" w:rsidRPr="00DD1B58">
        <w:rPr>
          <w:lang w:val="en-US"/>
        </w:rPr>
        <w:t>EDF NGL reflects this</w:t>
      </w:r>
      <w:r w:rsidR="1261D43B" w:rsidRPr="00DD1B58">
        <w:rPr>
          <w:lang w:val="en-US"/>
        </w:rPr>
        <w:t xml:space="preserve"> in the safety cases for HY2 and also in the safety case for SZB. Older AGRs such as HNB were not designed with modern concepts of fire compartmentation in mind. The original concept varies from station to station and has been upgraded where practicable.</w:t>
      </w:r>
    </w:p>
    <w:p w14:paraId="21763BE6" w14:textId="43E66D06" w:rsidR="1261D43B" w:rsidRPr="00DD1B58" w:rsidRDefault="009633C5" w:rsidP="50AE0A86">
      <w:pPr>
        <w:rPr>
          <w:lang w:val="en-US"/>
        </w:rPr>
      </w:pPr>
      <w:r w:rsidRPr="00DD1B58">
        <w:rPr>
          <w:lang w:val="en-US"/>
        </w:rPr>
        <w:t>EDF NGL report</w:t>
      </w:r>
      <w:r w:rsidR="003A6543" w:rsidRPr="00DD1B58">
        <w:rPr>
          <w:lang w:val="en-US"/>
        </w:rPr>
        <w:t>s</w:t>
      </w:r>
      <w:r w:rsidRPr="00DD1B58">
        <w:rPr>
          <w:lang w:val="en-US"/>
        </w:rPr>
        <w:t xml:space="preserve"> that m</w:t>
      </w:r>
      <w:r w:rsidR="1261D43B" w:rsidRPr="00DD1B58">
        <w:rPr>
          <w:lang w:val="en-US"/>
        </w:rPr>
        <w:t xml:space="preserve">any types of penetration sealing </w:t>
      </w:r>
      <w:r w:rsidR="00EC1F9A" w:rsidRPr="00DD1B58">
        <w:rPr>
          <w:lang w:val="en-US"/>
        </w:rPr>
        <w:t>are</w:t>
      </w:r>
      <w:r w:rsidR="1261D43B" w:rsidRPr="00DD1B58">
        <w:rPr>
          <w:lang w:val="en-US"/>
        </w:rPr>
        <w:t xml:space="preserve"> utilised throughout the fleet to ensure the fire barrier rating is maintained for the nuclear claims required. Fire and flooding seals can be installed too where needed. All of these penetration seals utilise EPRI/NFPA and British Standards as a way to ensure adequacy by regular inspections. The same applies for any item that is a penetration on any fire barrier, such as fire doors, fire dampers. All of these are inspected, tested and maintained at intervals to reflect these standards. Relevant </w:t>
      </w:r>
      <w:r w:rsidR="00C362CA" w:rsidRPr="00DD1B58">
        <w:rPr>
          <w:lang w:val="en-US"/>
        </w:rPr>
        <w:t>EDF NGL</w:t>
      </w:r>
      <w:r w:rsidR="1261D43B" w:rsidRPr="00DD1B58">
        <w:rPr>
          <w:lang w:val="en-US"/>
        </w:rPr>
        <w:t xml:space="preserve"> documentation is given in the company standards for inspection testing and maintenance of passive fire systems and maintenance, inspection and testing of HVAC fire dampers. In terms of the installation of the products, these are third party accredited products and it is mandatory to have all the contractors carrying out workmanship across the stations to be on Third</w:t>
      </w:r>
      <w:r w:rsidR="00E639F3" w:rsidRPr="00DD1B58">
        <w:rPr>
          <w:lang w:val="en-US"/>
        </w:rPr>
        <w:t>-</w:t>
      </w:r>
      <w:r w:rsidR="1261D43B" w:rsidRPr="00DD1B58">
        <w:rPr>
          <w:lang w:val="en-US"/>
        </w:rPr>
        <w:t>Party</w:t>
      </w:r>
      <w:r w:rsidR="1A1ADCE6" w:rsidRPr="00DD1B58">
        <w:rPr>
          <w:lang w:val="en-US"/>
        </w:rPr>
        <w:t xml:space="preserve"> </w:t>
      </w:r>
      <w:r w:rsidR="1261D43B" w:rsidRPr="00DD1B58">
        <w:rPr>
          <w:lang w:val="en-US"/>
        </w:rPr>
        <w:t>Accredited auditing schemes. This is not a legal requirement but it is best practice and it is also a</w:t>
      </w:r>
      <w:r w:rsidR="29F618C3" w:rsidRPr="00DD1B58">
        <w:rPr>
          <w:lang w:val="en-US"/>
        </w:rPr>
        <w:t xml:space="preserve"> </w:t>
      </w:r>
      <w:r w:rsidR="1261D43B" w:rsidRPr="00DD1B58">
        <w:rPr>
          <w:lang w:val="en-US"/>
        </w:rPr>
        <w:t xml:space="preserve">mandatory requirement within the relevant </w:t>
      </w:r>
      <w:r w:rsidR="00C362CA" w:rsidRPr="00DD1B58">
        <w:rPr>
          <w:lang w:val="en-US"/>
        </w:rPr>
        <w:t>EDF NGL</w:t>
      </w:r>
      <w:r w:rsidR="1261D43B" w:rsidRPr="00DD1B58">
        <w:rPr>
          <w:lang w:val="en-US"/>
        </w:rPr>
        <w:t xml:space="preserve"> Company Technical Standard.</w:t>
      </w:r>
    </w:p>
    <w:p w14:paraId="4FE4995B" w14:textId="79F1648E" w:rsidR="1261D43B" w:rsidRPr="00DD1B58" w:rsidRDefault="004929F9" w:rsidP="50AE0A86">
      <w:pPr>
        <w:rPr>
          <w:lang w:val="en-US"/>
        </w:rPr>
      </w:pPr>
      <w:r w:rsidRPr="00DD1B58">
        <w:rPr>
          <w:lang w:val="en-US"/>
        </w:rPr>
        <w:t>EDF NGL uses multi-hazard f</w:t>
      </w:r>
      <w:r w:rsidR="1261D43B" w:rsidRPr="00DD1B58">
        <w:rPr>
          <w:lang w:val="en-US"/>
        </w:rPr>
        <w:t xml:space="preserve">lexible bellows seals at SZB and HY2. In the case of HY2, </w:t>
      </w:r>
      <w:r w:rsidRPr="00DD1B58">
        <w:rPr>
          <w:lang w:val="en-US"/>
        </w:rPr>
        <w:t>EDF NGL report</w:t>
      </w:r>
      <w:r w:rsidR="00DF297D" w:rsidRPr="00DD1B58">
        <w:rPr>
          <w:lang w:val="en-US"/>
        </w:rPr>
        <w:t>s</w:t>
      </w:r>
      <w:r w:rsidRPr="00DD1B58">
        <w:rPr>
          <w:lang w:val="en-US"/>
        </w:rPr>
        <w:t xml:space="preserve"> that there </w:t>
      </w:r>
      <w:r w:rsidR="1261D43B" w:rsidRPr="00DD1B58">
        <w:rPr>
          <w:lang w:val="en-US"/>
        </w:rPr>
        <w:t>are</w:t>
      </w:r>
      <w:r w:rsidR="6FA60258" w:rsidRPr="00DD1B58">
        <w:rPr>
          <w:lang w:val="en-US"/>
        </w:rPr>
        <w:t xml:space="preserve"> </w:t>
      </w:r>
      <w:r w:rsidR="1261D43B" w:rsidRPr="00DD1B58">
        <w:rPr>
          <w:lang w:val="en-US"/>
        </w:rPr>
        <w:t>many flexible multi-hazard seals between the Turbine Hall and the Reactor Island. These have claims</w:t>
      </w:r>
      <w:r w:rsidR="3BCAFF8D" w:rsidRPr="00DD1B58">
        <w:rPr>
          <w:lang w:val="en-US"/>
        </w:rPr>
        <w:t xml:space="preserve"> </w:t>
      </w:r>
      <w:r w:rsidR="1261D43B" w:rsidRPr="00DD1B58">
        <w:rPr>
          <w:lang w:val="en-US"/>
        </w:rPr>
        <w:t>on fire, hot-gas, steam and blast</w:t>
      </w:r>
      <w:r w:rsidR="00566839" w:rsidRPr="00DD1B58">
        <w:rPr>
          <w:lang w:val="en-US"/>
        </w:rPr>
        <w:t xml:space="preserve"> and EDF NGL reports</w:t>
      </w:r>
      <w:r w:rsidR="1261D43B" w:rsidRPr="00DD1B58">
        <w:rPr>
          <w:lang w:val="en-US"/>
        </w:rPr>
        <w:t xml:space="preserve"> HY2 </w:t>
      </w:r>
      <w:r w:rsidR="00566839" w:rsidRPr="00DD1B58">
        <w:rPr>
          <w:lang w:val="en-US"/>
        </w:rPr>
        <w:t xml:space="preserve">they have </w:t>
      </w:r>
      <w:r w:rsidR="1261D43B" w:rsidRPr="00DD1B58">
        <w:rPr>
          <w:lang w:val="en-US"/>
        </w:rPr>
        <w:t>had a replacement programme</w:t>
      </w:r>
      <w:r w:rsidR="00E752E1" w:rsidRPr="00DD1B58">
        <w:rPr>
          <w:lang w:val="en-US"/>
        </w:rPr>
        <w:t xml:space="preserve"> and </w:t>
      </w:r>
      <w:r w:rsidR="1261D43B" w:rsidRPr="00DD1B58">
        <w:rPr>
          <w:lang w:val="en-US"/>
        </w:rPr>
        <w:t xml:space="preserve">newly installed </w:t>
      </w:r>
      <w:r w:rsidR="00E752E1" w:rsidRPr="00DD1B58">
        <w:rPr>
          <w:lang w:val="en-US"/>
        </w:rPr>
        <w:t xml:space="preserve">seals </w:t>
      </w:r>
      <w:r w:rsidR="1261D43B" w:rsidRPr="00DD1B58">
        <w:rPr>
          <w:lang w:val="en-US"/>
        </w:rPr>
        <w:t>have a 4-hour fire rating and</w:t>
      </w:r>
      <w:r w:rsidR="58C00F92" w:rsidRPr="00DD1B58">
        <w:rPr>
          <w:lang w:val="en-US"/>
        </w:rPr>
        <w:t xml:space="preserve"> </w:t>
      </w:r>
      <w:r w:rsidR="1261D43B" w:rsidRPr="00DD1B58">
        <w:rPr>
          <w:lang w:val="en-US"/>
        </w:rPr>
        <w:t xml:space="preserve">they are installed on both sides of the 4-hour fire barrier. Additionally, </w:t>
      </w:r>
      <w:r w:rsidR="00E752E1" w:rsidRPr="00DD1B58">
        <w:rPr>
          <w:lang w:val="en-US"/>
        </w:rPr>
        <w:t xml:space="preserve">EDF regards </w:t>
      </w:r>
      <w:r w:rsidR="1261D43B" w:rsidRPr="00DD1B58">
        <w:rPr>
          <w:lang w:val="en-US"/>
        </w:rPr>
        <w:t>a major fire within the Turbine</w:t>
      </w:r>
      <w:r w:rsidR="163E2C21" w:rsidRPr="00DD1B58">
        <w:rPr>
          <w:lang w:val="en-US"/>
        </w:rPr>
        <w:t xml:space="preserve"> </w:t>
      </w:r>
      <w:r w:rsidR="1261D43B" w:rsidRPr="00DD1B58">
        <w:rPr>
          <w:lang w:val="en-US"/>
        </w:rPr>
        <w:t>Hall</w:t>
      </w:r>
      <w:r w:rsidR="00E752E1" w:rsidRPr="00DD1B58">
        <w:rPr>
          <w:lang w:val="en-US"/>
        </w:rPr>
        <w:t xml:space="preserve"> </w:t>
      </w:r>
      <w:r w:rsidR="1261D43B" w:rsidRPr="00DD1B58">
        <w:rPr>
          <w:lang w:val="en-US"/>
        </w:rPr>
        <w:t xml:space="preserve">as 1-hour duration fire, therefore </w:t>
      </w:r>
      <w:r w:rsidR="00E639F3" w:rsidRPr="00DD1B58">
        <w:rPr>
          <w:lang w:val="en-US"/>
        </w:rPr>
        <w:t xml:space="preserve">EDF NGL </w:t>
      </w:r>
      <w:r w:rsidR="003222E4" w:rsidRPr="00DD1B58">
        <w:rPr>
          <w:lang w:val="en-US"/>
        </w:rPr>
        <w:t>concluded</w:t>
      </w:r>
      <w:r w:rsidR="00E639F3" w:rsidRPr="00DD1B58">
        <w:rPr>
          <w:lang w:val="en-US"/>
        </w:rPr>
        <w:t xml:space="preserve"> that </w:t>
      </w:r>
      <w:r w:rsidR="1261D43B" w:rsidRPr="00DD1B58">
        <w:rPr>
          <w:lang w:val="en-US"/>
        </w:rPr>
        <w:t>there is much defence in depth, even without the</w:t>
      </w:r>
      <w:r w:rsidR="3B21A1BE" w:rsidRPr="00DD1B58">
        <w:rPr>
          <w:lang w:val="en-US"/>
        </w:rPr>
        <w:t xml:space="preserve"> </w:t>
      </w:r>
      <w:r w:rsidR="1261D43B" w:rsidRPr="00DD1B58">
        <w:rPr>
          <w:lang w:val="en-US"/>
        </w:rPr>
        <w:t>availability of the water spray systems working within the Turbine Hall.</w:t>
      </w:r>
    </w:p>
    <w:p w14:paraId="0FDC17BF" w14:textId="77777777" w:rsidR="1261D43B" w:rsidRPr="00DD1B58" w:rsidRDefault="1261D43B" w:rsidP="50AE0A86">
      <w:pPr>
        <w:rPr>
          <w:b/>
          <w:bCs/>
          <w:lang w:val="en-US"/>
        </w:rPr>
      </w:pPr>
      <w:r w:rsidRPr="00DD1B58">
        <w:rPr>
          <w:b/>
          <w:bCs/>
          <w:lang w:val="en-US"/>
        </w:rPr>
        <w:t>Maintenance of access routes</w:t>
      </w:r>
    </w:p>
    <w:p w14:paraId="0987AC25" w14:textId="3CAB9293" w:rsidR="00F34BBB" w:rsidRPr="00DD1B58" w:rsidRDefault="74B12189" w:rsidP="00F34BBB">
      <w:pPr>
        <w:rPr>
          <w:noProof/>
          <w:szCs w:val="24"/>
          <w:lang w:val="en-US"/>
        </w:rPr>
      </w:pPr>
      <w:r w:rsidRPr="00DD1B58">
        <w:rPr>
          <w:b/>
          <w:lang w:val="en-US"/>
        </w:rPr>
        <w:t>General</w:t>
      </w:r>
      <w:r w:rsidR="00E9179C" w:rsidRPr="00DD1B58">
        <w:rPr>
          <w:b/>
          <w:lang w:val="en-US"/>
        </w:rPr>
        <w:t xml:space="preserve"> </w:t>
      </w:r>
      <w:r w:rsidR="00587B79" w:rsidRPr="00DD1B58">
        <w:rPr>
          <w:b/>
          <w:lang w:val="en-US"/>
        </w:rPr>
        <w:t>-</w:t>
      </w:r>
      <w:r w:rsidR="00E9179C" w:rsidRPr="00DD1B58">
        <w:rPr>
          <w:b/>
          <w:lang w:val="en-US"/>
        </w:rPr>
        <w:t xml:space="preserve"> </w:t>
      </w:r>
      <w:r w:rsidR="00E752E1" w:rsidRPr="00DD1B58">
        <w:rPr>
          <w:lang w:val="en-US"/>
        </w:rPr>
        <w:t>EDF NGL report</w:t>
      </w:r>
      <w:r w:rsidR="003A6543" w:rsidRPr="00DD1B58">
        <w:rPr>
          <w:lang w:val="en-US"/>
        </w:rPr>
        <w:t>s</w:t>
      </w:r>
      <w:r w:rsidR="00E752E1" w:rsidRPr="00DD1B58">
        <w:rPr>
          <w:lang w:val="en-US"/>
        </w:rPr>
        <w:t xml:space="preserve"> that there </w:t>
      </w:r>
      <w:r w:rsidRPr="00DD1B58">
        <w:rPr>
          <w:lang w:val="en-US"/>
        </w:rPr>
        <w:t xml:space="preserve">are fire protected stairwells throughout all facilities </w:t>
      </w:r>
      <w:r w:rsidR="00A026A5" w:rsidRPr="00DD1B58">
        <w:rPr>
          <w:lang w:val="en-US"/>
        </w:rPr>
        <w:t xml:space="preserve">for both personnel escape to safe area and </w:t>
      </w:r>
      <w:r w:rsidRPr="00DD1B58">
        <w:rPr>
          <w:lang w:val="en-US"/>
        </w:rPr>
        <w:t xml:space="preserve">to enable the fire services to access floor levels within each building. </w:t>
      </w:r>
      <w:r w:rsidR="00E752E1" w:rsidRPr="00DD1B58">
        <w:rPr>
          <w:lang w:val="en-US"/>
        </w:rPr>
        <w:t xml:space="preserve">EDF NGL’s fire safety coordinators undertake </w:t>
      </w:r>
      <w:r w:rsidRPr="00DD1B58">
        <w:rPr>
          <w:lang w:val="en-US"/>
        </w:rPr>
        <w:t>formal risk assessment</w:t>
      </w:r>
      <w:r w:rsidR="00E752E1" w:rsidRPr="00DD1B58">
        <w:rPr>
          <w:lang w:val="en-US"/>
        </w:rPr>
        <w:t>s</w:t>
      </w:r>
      <w:r w:rsidRPr="00DD1B58">
        <w:rPr>
          <w:lang w:val="en-US"/>
        </w:rPr>
        <w:t xml:space="preserve"> for life safety. There is a legal requirement to keep these risk assessments up to date</w:t>
      </w:r>
      <w:r w:rsidR="0066512D" w:rsidRPr="00DD1B58">
        <w:rPr>
          <w:lang w:val="en-US"/>
        </w:rPr>
        <w:t xml:space="preserve"> and the</w:t>
      </w:r>
      <w:r w:rsidRPr="00DD1B58">
        <w:rPr>
          <w:lang w:val="en-US"/>
        </w:rPr>
        <w:t xml:space="preserve"> responsibility </w:t>
      </w:r>
      <w:r w:rsidR="0066512D" w:rsidRPr="00DD1B58">
        <w:rPr>
          <w:lang w:val="en-US"/>
        </w:rPr>
        <w:t xml:space="preserve">is </w:t>
      </w:r>
      <w:r w:rsidRPr="00DD1B58">
        <w:rPr>
          <w:lang w:val="en-US"/>
        </w:rPr>
        <w:t>for all stations.</w:t>
      </w:r>
      <w:r w:rsidR="00A026A5" w:rsidRPr="00DD1B58">
        <w:rPr>
          <w:lang w:val="en-US"/>
        </w:rPr>
        <w:t xml:space="preserve"> </w:t>
      </w:r>
      <w:r w:rsidR="00F34BBB" w:rsidRPr="00DD1B58">
        <w:rPr>
          <w:noProof/>
          <w:lang w:val="en-US"/>
        </w:rPr>
        <w:t xml:space="preserve">SZB has pressurised stairwells to </w:t>
      </w:r>
      <w:r w:rsidR="00587B79" w:rsidRPr="00DD1B58">
        <w:rPr>
          <w:noProof/>
          <w:lang w:val="en-US"/>
        </w:rPr>
        <w:t>prevent smoke ingress.</w:t>
      </w:r>
    </w:p>
    <w:p w14:paraId="34E3ABEF" w14:textId="77777777" w:rsidR="003665A5" w:rsidRPr="00DD1B58" w:rsidRDefault="00ED34D5" w:rsidP="00177432">
      <w:pPr>
        <w:pStyle w:val="Heading5A"/>
        <w:numPr>
          <w:ilvl w:val="5"/>
          <w:numId w:val="7"/>
        </w:numPr>
        <w:rPr>
          <w:lang w:val="en-US"/>
        </w:rPr>
      </w:pPr>
      <w:bookmarkStart w:id="140" w:name="_Ref146878960"/>
      <w:r w:rsidRPr="00DD1B58">
        <w:rPr>
          <w:lang w:val="en-US"/>
        </w:rPr>
        <w:t>Performance assurance through lifetime</w:t>
      </w:r>
      <w:bookmarkEnd w:id="140"/>
    </w:p>
    <w:p w14:paraId="62F41440" w14:textId="3AC98B15" w:rsidR="6B77026A" w:rsidRPr="00DD1B58" w:rsidRDefault="6B77026A" w:rsidP="008E59FE">
      <w:pPr>
        <w:rPr>
          <w:lang w:val="en-US"/>
        </w:rPr>
      </w:pPr>
      <w:r w:rsidRPr="00DD1B58">
        <w:rPr>
          <w:b/>
          <w:lang w:val="en-US"/>
        </w:rPr>
        <w:t>General</w:t>
      </w:r>
      <w:r w:rsidR="00C276C0" w:rsidRPr="00DD1B58">
        <w:rPr>
          <w:b/>
          <w:lang w:val="en-US"/>
        </w:rPr>
        <w:t xml:space="preserve"> </w:t>
      </w:r>
      <w:r w:rsidR="009C01A3" w:rsidRPr="00DD1B58">
        <w:rPr>
          <w:bCs/>
          <w:lang w:val="en-US"/>
        </w:rPr>
        <w:t>-</w:t>
      </w:r>
      <w:r w:rsidR="00C276C0" w:rsidRPr="00DD1B58">
        <w:rPr>
          <w:bCs/>
          <w:lang w:val="en-US"/>
        </w:rPr>
        <w:t xml:space="preserve"> </w:t>
      </w:r>
      <w:r w:rsidR="00587B79" w:rsidRPr="00DD1B58">
        <w:rPr>
          <w:bCs/>
          <w:lang w:val="en-US"/>
        </w:rPr>
        <w:t>EDF NGL report</w:t>
      </w:r>
      <w:r w:rsidR="00B6454D" w:rsidRPr="00DD1B58">
        <w:rPr>
          <w:bCs/>
          <w:lang w:val="en-US"/>
        </w:rPr>
        <w:t>s</w:t>
      </w:r>
      <w:r w:rsidR="00587B79" w:rsidRPr="00DD1B58">
        <w:rPr>
          <w:bCs/>
          <w:lang w:val="en-US"/>
        </w:rPr>
        <w:t xml:space="preserve"> that </w:t>
      </w:r>
      <w:r w:rsidR="00587B79" w:rsidRPr="00DD1B58">
        <w:rPr>
          <w:lang w:val="en-US"/>
        </w:rPr>
        <w:t>f</w:t>
      </w:r>
      <w:r w:rsidRPr="00DD1B58">
        <w:rPr>
          <w:lang w:val="en-US"/>
        </w:rPr>
        <w:t>ire barriers rating</w:t>
      </w:r>
      <w:r w:rsidR="00587B79" w:rsidRPr="00DD1B58">
        <w:rPr>
          <w:lang w:val="en-US"/>
        </w:rPr>
        <w:t xml:space="preserve"> is kept </w:t>
      </w:r>
      <w:r w:rsidR="00E035DC" w:rsidRPr="00DD1B58">
        <w:rPr>
          <w:lang w:val="en-US"/>
        </w:rPr>
        <w:t>during the operation and de</w:t>
      </w:r>
      <w:r w:rsidR="00B64860" w:rsidRPr="00DD1B58">
        <w:rPr>
          <w:lang w:val="en-US"/>
        </w:rPr>
        <w:t>fueling</w:t>
      </w:r>
      <w:r w:rsidRPr="00DD1B58">
        <w:rPr>
          <w:lang w:val="en-US"/>
        </w:rPr>
        <w:t xml:space="preserve"> state. </w:t>
      </w:r>
      <w:r w:rsidR="00587B79" w:rsidRPr="00DD1B58">
        <w:rPr>
          <w:lang w:val="en-US"/>
        </w:rPr>
        <w:t xml:space="preserve">EDF NGL considers that as </w:t>
      </w:r>
      <w:r w:rsidRPr="00DD1B58">
        <w:rPr>
          <w:lang w:val="en-US"/>
        </w:rPr>
        <w:t xml:space="preserve">long as there is fuel within the reactor then the claims are essentially the same for each station. </w:t>
      </w:r>
      <w:r w:rsidR="00587B79" w:rsidRPr="00DD1B58">
        <w:rPr>
          <w:lang w:val="en-US"/>
        </w:rPr>
        <w:t>EDF NGL report</w:t>
      </w:r>
      <w:r w:rsidR="00B6454D" w:rsidRPr="00DD1B58">
        <w:rPr>
          <w:lang w:val="en-US"/>
        </w:rPr>
        <w:t>s</w:t>
      </w:r>
      <w:r w:rsidR="008F73A6" w:rsidRPr="00DD1B58">
        <w:rPr>
          <w:lang w:val="en-US"/>
        </w:rPr>
        <w:t xml:space="preserve"> that</w:t>
      </w:r>
      <w:r w:rsidR="00587B79" w:rsidRPr="00DD1B58">
        <w:rPr>
          <w:lang w:val="en-US"/>
        </w:rPr>
        <w:t xml:space="preserve"> </w:t>
      </w:r>
      <w:r w:rsidR="00BE0455" w:rsidRPr="00DD1B58">
        <w:rPr>
          <w:lang w:val="en-US"/>
        </w:rPr>
        <w:t>the fire ratings remain</w:t>
      </w:r>
      <w:r w:rsidR="00B759A7" w:rsidRPr="00DD1B58">
        <w:rPr>
          <w:lang w:val="en-US"/>
        </w:rPr>
        <w:t xml:space="preserve"> at present (during defueling). As decommissioning </w:t>
      </w:r>
      <w:r w:rsidR="00A50A86" w:rsidRPr="00DD1B58">
        <w:rPr>
          <w:lang w:val="en-US"/>
        </w:rPr>
        <w:t>advances</w:t>
      </w:r>
      <w:r w:rsidR="00B759A7" w:rsidRPr="00DD1B58">
        <w:rPr>
          <w:lang w:val="en-US"/>
        </w:rPr>
        <w:t>, EDF NGL report</w:t>
      </w:r>
      <w:r w:rsidR="008F73A6" w:rsidRPr="00DD1B58">
        <w:rPr>
          <w:lang w:val="en-US"/>
        </w:rPr>
        <w:t>s</w:t>
      </w:r>
      <w:r w:rsidR="00B759A7" w:rsidRPr="00DD1B58">
        <w:rPr>
          <w:lang w:val="en-US"/>
        </w:rPr>
        <w:t xml:space="preserve"> that</w:t>
      </w:r>
      <w:r w:rsidR="00A50A86" w:rsidRPr="00DD1B58">
        <w:rPr>
          <w:lang w:val="en-US"/>
        </w:rPr>
        <w:t>,</w:t>
      </w:r>
      <w:r w:rsidR="00B759A7" w:rsidRPr="00DD1B58">
        <w:rPr>
          <w:lang w:val="en-US"/>
        </w:rPr>
        <w:t xml:space="preserve"> </w:t>
      </w:r>
      <w:r w:rsidR="00A50A86" w:rsidRPr="00DD1B58">
        <w:rPr>
          <w:lang w:val="en-US"/>
        </w:rPr>
        <w:t>i</w:t>
      </w:r>
      <w:r w:rsidR="00B759A7" w:rsidRPr="00DD1B58">
        <w:rPr>
          <w:lang w:val="en-US"/>
        </w:rPr>
        <w:t>n</w:t>
      </w:r>
      <w:r w:rsidRPr="00DD1B58">
        <w:rPr>
          <w:lang w:val="en-US"/>
        </w:rPr>
        <w:t xml:space="preserve"> theory nuclear significant claims could be adjusted</w:t>
      </w:r>
      <w:r w:rsidR="00A50A86" w:rsidRPr="00DD1B58">
        <w:rPr>
          <w:lang w:val="en-US"/>
        </w:rPr>
        <w:t>, h</w:t>
      </w:r>
      <w:r w:rsidRPr="00DD1B58">
        <w:rPr>
          <w:lang w:val="en-US"/>
        </w:rPr>
        <w:t>owever, it</w:t>
      </w:r>
      <w:r w:rsidR="00A50A86" w:rsidRPr="00DD1B58">
        <w:rPr>
          <w:lang w:val="en-US"/>
        </w:rPr>
        <w:t xml:space="preserve"> also acknowledges that it</w:t>
      </w:r>
      <w:r w:rsidRPr="00DD1B58">
        <w:rPr>
          <w:lang w:val="en-US"/>
        </w:rPr>
        <w:t xml:space="preserve"> would be prudent to keep the fire barriers ratings in place as there will still be a significant amounts of lube oil, cables and other fuel sources, thus sufficient fire loading to compromise a fire barrier and cause building damage. </w:t>
      </w:r>
      <w:r w:rsidR="00C362CA" w:rsidRPr="00DD1B58">
        <w:rPr>
          <w:lang w:val="en-US"/>
        </w:rPr>
        <w:t>EDF NGL</w:t>
      </w:r>
      <w:r w:rsidRPr="00DD1B58">
        <w:rPr>
          <w:lang w:val="en-US"/>
        </w:rPr>
        <w:t xml:space="preserve"> </w:t>
      </w:r>
      <w:r w:rsidR="00B62DE9" w:rsidRPr="00DD1B58">
        <w:rPr>
          <w:lang w:val="en-US"/>
        </w:rPr>
        <w:t>state</w:t>
      </w:r>
      <w:r w:rsidR="008F73A6" w:rsidRPr="00DD1B58">
        <w:rPr>
          <w:lang w:val="en-US"/>
        </w:rPr>
        <w:t>s</w:t>
      </w:r>
      <w:r w:rsidR="00B62DE9" w:rsidRPr="00DD1B58">
        <w:rPr>
          <w:lang w:val="en-US"/>
        </w:rPr>
        <w:t xml:space="preserve"> that this </w:t>
      </w:r>
      <w:r w:rsidR="00B62DE9" w:rsidRPr="00DD1B58">
        <w:rPr>
          <w:i/>
          <w:iCs/>
          <w:lang w:val="en-US"/>
        </w:rPr>
        <w:t xml:space="preserve">is not something that it </w:t>
      </w:r>
      <w:r w:rsidRPr="00DD1B58">
        <w:rPr>
          <w:i/>
          <w:iCs/>
          <w:lang w:val="en-US"/>
        </w:rPr>
        <w:t>wishes to leave as its legacy to</w:t>
      </w:r>
      <w:r w:rsidR="181C6940" w:rsidRPr="00DD1B58">
        <w:rPr>
          <w:i/>
          <w:iCs/>
          <w:lang w:val="en-US"/>
        </w:rPr>
        <w:t xml:space="preserve"> </w:t>
      </w:r>
      <w:r w:rsidRPr="00DD1B58">
        <w:rPr>
          <w:i/>
          <w:iCs/>
          <w:lang w:val="en-US"/>
        </w:rPr>
        <w:t>hand over to Magnox</w:t>
      </w:r>
      <w:r w:rsidRPr="00DD1B58">
        <w:rPr>
          <w:lang w:val="en-US"/>
        </w:rPr>
        <w:t xml:space="preserve">. </w:t>
      </w:r>
      <w:r w:rsidR="00B62DE9" w:rsidRPr="00DD1B58">
        <w:rPr>
          <w:lang w:val="en-US"/>
        </w:rPr>
        <w:t>EDF NGL acknowledge</w:t>
      </w:r>
      <w:r w:rsidR="006D64B8" w:rsidRPr="00DD1B58">
        <w:rPr>
          <w:lang w:val="en-US"/>
        </w:rPr>
        <w:t>s</w:t>
      </w:r>
      <w:r w:rsidR="00B62DE9" w:rsidRPr="00DD1B58">
        <w:rPr>
          <w:lang w:val="en-US"/>
        </w:rPr>
        <w:t xml:space="preserve"> that, b</w:t>
      </w:r>
      <w:r w:rsidRPr="00DD1B58">
        <w:rPr>
          <w:lang w:val="en-US"/>
        </w:rPr>
        <w:t xml:space="preserve">eyond </w:t>
      </w:r>
      <w:r w:rsidR="00B62DE9" w:rsidRPr="00DD1B58">
        <w:rPr>
          <w:lang w:val="en-US"/>
        </w:rPr>
        <w:t xml:space="preserve">the transfer of responsibility </w:t>
      </w:r>
      <w:r w:rsidRPr="00DD1B58">
        <w:rPr>
          <w:lang w:val="en-US"/>
        </w:rPr>
        <w:t>point</w:t>
      </w:r>
      <w:r w:rsidR="00B62DE9" w:rsidRPr="00DD1B58">
        <w:rPr>
          <w:lang w:val="en-US"/>
        </w:rPr>
        <w:t>, the defueled stations are</w:t>
      </w:r>
      <w:r w:rsidRPr="00DD1B58">
        <w:rPr>
          <w:lang w:val="en-US"/>
        </w:rPr>
        <w:t xml:space="preserve"> still a commercial building, and will need to keep up with</w:t>
      </w:r>
      <w:r w:rsidR="6197B344" w:rsidRPr="00DD1B58">
        <w:rPr>
          <w:lang w:val="en-US"/>
        </w:rPr>
        <w:t xml:space="preserve"> </w:t>
      </w:r>
      <w:r w:rsidRPr="00DD1B58">
        <w:rPr>
          <w:lang w:val="en-US"/>
        </w:rPr>
        <w:t>inspection testing and maintenance of the fire barriers and components (fire dampers, seals, fire doors)</w:t>
      </w:r>
      <w:r w:rsidR="6B453B4C" w:rsidRPr="00DD1B58">
        <w:rPr>
          <w:lang w:val="en-US"/>
        </w:rPr>
        <w:t xml:space="preserve"> </w:t>
      </w:r>
      <w:r w:rsidRPr="00DD1B58">
        <w:rPr>
          <w:lang w:val="en-US"/>
        </w:rPr>
        <w:t>and continue fire barrier reinstatements.</w:t>
      </w:r>
      <w:r w:rsidR="00384AEA" w:rsidRPr="00DD1B58">
        <w:rPr>
          <w:lang w:val="en-US"/>
        </w:rPr>
        <w:t xml:space="preserve"> </w:t>
      </w:r>
      <w:r w:rsidR="00B62DE9" w:rsidRPr="00DD1B58">
        <w:rPr>
          <w:lang w:val="en-US"/>
        </w:rPr>
        <w:t>EDF NGL reiterate</w:t>
      </w:r>
      <w:r w:rsidR="00572A0C" w:rsidRPr="00DD1B58">
        <w:rPr>
          <w:lang w:val="en-US"/>
        </w:rPr>
        <w:t>s</w:t>
      </w:r>
      <w:r w:rsidR="00B62DE9" w:rsidRPr="00DD1B58">
        <w:rPr>
          <w:lang w:val="en-US"/>
        </w:rPr>
        <w:t xml:space="preserve"> that the fire </w:t>
      </w:r>
      <w:r w:rsidRPr="00DD1B58">
        <w:rPr>
          <w:lang w:val="en-US"/>
        </w:rPr>
        <w:t>protection arrangements are likely remain as in the power operation state, in terms of prevention</w:t>
      </w:r>
      <w:r w:rsidR="200E853D" w:rsidRPr="00DD1B58">
        <w:rPr>
          <w:lang w:val="en-US"/>
        </w:rPr>
        <w:t xml:space="preserve"> </w:t>
      </w:r>
      <w:r w:rsidRPr="00DD1B58">
        <w:rPr>
          <w:lang w:val="en-US"/>
        </w:rPr>
        <w:t xml:space="preserve">and protection of fire systems, whether active or passive. </w:t>
      </w:r>
      <w:r w:rsidR="00111762" w:rsidRPr="00DD1B58">
        <w:rPr>
          <w:lang w:val="en-US"/>
        </w:rPr>
        <w:t xml:space="preserve">EDF NGL considers that </w:t>
      </w:r>
      <w:r w:rsidRPr="00DD1B58">
        <w:rPr>
          <w:lang w:val="en-US"/>
        </w:rPr>
        <w:t>the management of transient</w:t>
      </w:r>
      <w:r w:rsidR="571D6671" w:rsidRPr="00DD1B58">
        <w:rPr>
          <w:lang w:val="en-US"/>
        </w:rPr>
        <w:t xml:space="preserve"> </w:t>
      </w:r>
      <w:r w:rsidRPr="00DD1B58">
        <w:rPr>
          <w:lang w:val="en-US"/>
        </w:rPr>
        <w:t>combustibles, lay-down areas</w:t>
      </w:r>
      <w:r w:rsidR="00384AEA" w:rsidRPr="00DD1B58">
        <w:rPr>
          <w:lang w:val="en-US"/>
        </w:rPr>
        <w:t xml:space="preserve">, </w:t>
      </w:r>
      <w:r w:rsidRPr="00DD1B58">
        <w:rPr>
          <w:lang w:val="en-US"/>
        </w:rPr>
        <w:t>housekeeping</w:t>
      </w:r>
      <w:r w:rsidR="00384AEA" w:rsidRPr="00DD1B58">
        <w:rPr>
          <w:lang w:val="en-US"/>
        </w:rPr>
        <w:t xml:space="preserve">, hot works etc </w:t>
      </w:r>
      <w:r w:rsidRPr="00DD1B58">
        <w:rPr>
          <w:lang w:val="en-US"/>
        </w:rPr>
        <w:t>will continue</w:t>
      </w:r>
      <w:r w:rsidR="00111762" w:rsidRPr="00DD1B58">
        <w:rPr>
          <w:lang w:val="en-US"/>
        </w:rPr>
        <w:t xml:space="preserve"> and that f</w:t>
      </w:r>
      <w:r w:rsidRPr="00DD1B58">
        <w:rPr>
          <w:lang w:val="en-US"/>
        </w:rPr>
        <w:t xml:space="preserve">ire </w:t>
      </w:r>
      <w:r w:rsidR="00111762" w:rsidRPr="00DD1B58">
        <w:rPr>
          <w:lang w:val="en-US"/>
        </w:rPr>
        <w:t>provisions would</w:t>
      </w:r>
      <w:r w:rsidRPr="00DD1B58">
        <w:rPr>
          <w:lang w:val="en-US"/>
        </w:rPr>
        <w:t xml:space="preserve"> still be robust</w:t>
      </w:r>
      <w:r w:rsidR="00781501" w:rsidRPr="00DD1B58">
        <w:rPr>
          <w:lang w:val="en-US"/>
        </w:rPr>
        <w:t>.</w:t>
      </w:r>
      <w:r w:rsidRPr="00DD1B58">
        <w:rPr>
          <w:lang w:val="en-US"/>
        </w:rPr>
        <w:t xml:space="preserve"> </w:t>
      </w:r>
      <w:r w:rsidR="00111762" w:rsidRPr="00DD1B58">
        <w:rPr>
          <w:lang w:val="en-US"/>
        </w:rPr>
        <w:t xml:space="preserve">EDF NGL </w:t>
      </w:r>
      <w:r w:rsidR="00781501" w:rsidRPr="00DD1B58">
        <w:rPr>
          <w:lang w:val="en-US"/>
        </w:rPr>
        <w:t>finally state</w:t>
      </w:r>
      <w:r w:rsidR="00572A0C" w:rsidRPr="00DD1B58">
        <w:rPr>
          <w:lang w:val="en-US"/>
        </w:rPr>
        <w:t>s</w:t>
      </w:r>
      <w:r w:rsidR="00781501" w:rsidRPr="00DD1B58">
        <w:rPr>
          <w:lang w:val="en-US"/>
        </w:rPr>
        <w:t xml:space="preserve"> that a</w:t>
      </w:r>
      <w:r w:rsidRPr="00DD1B58">
        <w:rPr>
          <w:lang w:val="en-US"/>
        </w:rPr>
        <w:t xml:space="preserve"> major difference for the AGRs after fuel removal</w:t>
      </w:r>
      <w:r w:rsidR="00781501" w:rsidRPr="00DD1B58">
        <w:rPr>
          <w:lang w:val="en-US"/>
        </w:rPr>
        <w:t xml:space="preserve"> is that</w:t>
      </w:r>
      <w:r w:rsidRPr="00DD1B58">
        <w:rPr>
          <w:lang w:val="en-US"/>
        </w:rPr>
        <w:t xml:space="preserve"> there</w:t>
      </w:r>
      <w:r w:rsidR="6AC87F52" w:rsidRPr="00DD1B58">
        <w:rPr>
          <w:lang w:val="en-US"/>
        </w:rPr>
        <w:t xml:space="preserve"> </w:t>
      </w:r>
      <w:r w:rsidRPr="00DD1B58">
        <w:rPr>
          <w:lang w:val="en-US"/>
        </w:rPr>
        <w:t>will be no high temperature heat source that is above the auto-ignition temperature of the combustible</w:t>
      </w:r>
      <w:r w:rsidR="45C3E58D" w:rsidRPr="00DD1B58">
        <w:rPr>
          <w:lang w:val="en-US"/>
        </w:rPr>
        <w:t xml:space="preserve"> </w:t>
      </w:r>
      <w:r w:rsidRPr="00DD1B58">
        <w:rPr>
          <w:lang w:val="en-US"/>
        </w:rPr>
        <w:t>loads</w:t>
      </w:r>
      <w:r w:rsidR="00781501" w:rsidRPr="00DD1B58">
        <w:rPr>
          <w:lang w:val="en-US"/>
        </w:rPr>
        <w:t xml:space="preserve"> and, therefore,</w:t>
      </w:r>
      <w:r w:rsidRPr="00DD1B58">
        <w:rPr>
          <w:lang w:val="en-US"/>
        </w:rPr>
        <w:t xml:space="preserve"> </w:t>
      </w:r>
      <w:r w:rsidR="00781501" w:rsidRPr="00DD1B58">
        <w:rPr>
          <w:lang w:val="en-US"/>
        </w:rPr>
        <w:t xml:space="preserve">the </w:t>
      </w:r>
      <w:r w:rsidRPr="00DD1B58">
        <w:rPr>
          <w:lang w:val="en-US"/>
        </w:rPr>
        <w:t xml:space="preserve">likelihood of fire is </w:t>
      </w:r>
      <w:r w:rsidR="00781501" w:rsidRPr="00DD1B58">
        <w:rPr>
          <w:lang w:val="en-US"/>
        </w:rPr>
        <w:t>reduced.</w:t>
      </w:r>
    </w:p>
    <w:p w14:paraId="48B9D1A3" w14:textId="77777777" w:rsidR="003665A5" w:rsidRPr="00DD1B58" w:rsidRDefault="00824854" w:rsidP="00177432">
      <w:pPr>
        <w:pStyle w:val="Heading5A"/>
        <w:rPr>
          <w:szCs w:val="28"/>
          <w:lang w:val="en-US"/>
        </w:rPr>
      </w:pPr>
      <w:r w:rsidRPr="00DD1B58">
        <w:rPr>
          <w:szCs w:val="28"/>
          <w:lang w:val="en-US"/>
        </w:rPr>
        <w:t>Ventilation systems</w:t>
      </w:r>
    </w:p>
    <w:p w14:paraId="1BAC33C2" w14:textId="77777777" w:rsidR="003665A5" w:rsidRPr="00DD1B58" w:rsidRDefault="00392864" w:rsidP="00177432">
      <w:pPr>
        <w:pStyle w:val="Heading5A"/>
        <w:numPr>
          <w:ilvl w:val="5"/>
          <w:numId w:val="7"/>
        </w:numPr>
        <w:rPr>
          <w:lang w:val="en-US"/>
        </w:rPr>
      </w:pPr>
      <w:r w:rsidRPr="00DD1B58">
        <w:rPr>
          <w:lang w:val="en-US"/>
        </w:rPr>
        <w:t>Ventilation system design: segregation and isolation provisions (as applicable)</w:t>
      </w:r>
    </w:p>
    <w:p w14:paraId="384A4F47" w14:textId="74FC7D6C" w:rsidR="65906BEB" w:rsidRPr="00DD1B58" w:rsidRDefault="65906BEB" w:rsidP="50AE0A86">
      <w:pPr>
        <w:rPr>
          <w:noProof/>
          <w:szCs w:val="24"/>
          <w:lang w:val="en-US"/>
        </w:rPr>
      </w:pPr>
      <w:r w:rsidRPr="00DD1B58">
        <w:rPr>
          <w:b/>
          <w:noProof/>
          <w:lang w:val="en-US"/>
        </w:rPr>
        <w:t>General</w:t>
      </w:r>
      <w:r w:rsidR="00EF571A" w:rsidRPr="00DD1B58">
        <w:rPr>
          <w:b/>
          <w:noProof/>
          <w:lang w:val="en-US"/>
        </w:rPr>
        <w:t xml:space="preserve"> </w:t>
      </w:r>
      <w:r w:rsidR="003B5485" w:rsidRPr="00DD1B58">
        <w:rPr>
          <w:b/>
          <w:noProof/>
          <w:lang w:val="en-US"/>
        </w:rPr>
        <w:t>–</w:t>
      </w:r>
      <w:r w:rsidR="00EF571A" w:rsidRPr="00DD1B58">
        <w:rPr>
          <w:b/>
          <w:noProof/>
          <w:lang w:val="en-US"/>
        </w:rPr>
        <w:t xml:space="preserve"> </w:t>
      </w:r>
      <w:r w:rsidR="003B5485" w:rsidRPr="00DD1B58">
        <w:rPr>
          <w:noProof/>
          <w:lang w:val="en-US"/>
        </w:rPr>
        <w:t>EDF NGL report</w:t>
      </w:r>
      <w:r w:rsidR="0062780B" w:rsidRPr="00DD1B58">
        <w:rPr>
          <w:noProof/>
          <w:lang w:val="en-US"/>
        </w:rPr>
        <w:t>s</w:t>
      </w:r>
      <w:r w:rsidR="003B5485" w:rsidRPr="00DD1B58">
        <w:rPr>
          <w:noProof/>
          <w:lang w:val="en-US"/>
        </w:rPr>
        <w:t xml:space="preserve"> that v</w:t>
      </w:r>
      <w:r w:rsidRPr="00DD1B58">
        <w:rPr>
          <w:noProof/>
          <w:lang w:val="en-US"/>
        </w:rPr>
        <w:t xml:space="preserve">entilation systems on all stations </w:t>
      </w:r>
      <w:r w:rsidR="006A7484" w:rsidRPr="00DD1B58">
        <w:rPr>
          <w:noProof/>
          <w:lang w:val="en-US"/>
        </w:rPr>
        <w:t xml:space="preserve">follow </w:t>
      </w:r>
      <w:r w:rsidRPr="00DD1B58">
        <w:rPr>
          <w:noProof/>
          <w:lang w:val="en-US"/>
        </w:rPr>
        <w:t>the same philosophy of utilising fire dampers either within</w:t>
      </w:r>
      <w:r w:rsidR="02B12A6F" w:rsidRPr="00DD1B58">
        <w:rPr>
          <w:noProof/>
          <w:lang w:val="en-US"/>
        </w:rPr>
        <w:t xml:space="preserve"> </w:t>
      </w:r>
      <w:r w:rsidRPr="00DD1B58">
        <w:rPr>
          <w:noProof/>
          <w:lang w:val="en-US"/>
        </w:rPr>
        <w:t>the fire barriers or on the side of the fire barrier or</w:t>
      </w:r>
      <w:r w:rsidR="00D518E8" w:rsidRPr="00DD1B58">
        <w:rPr>
          <w:noProof/>
          <w:lang w:val="en-US"/>
        </w:rPr>
        <w:t>,</w:t>
      </w:r>
      <w:r w:rsidRPr="00DD1B58">
        <w:rPr>
          <w:noProof/>
          <w:lang w:val="en-US"/>
        </w:rPr>
        <w:t xml:space="preserve"> in the case of SZB</w:t>
      </w:r>
      <w:r w:rsidR="00D518E8" w:rsidRPr="00DD1B58">
        <w:rPr>
          <w:noProof/>
          <w:lang w:val="en-US"/>
        </w:rPr>
        <w:t>,</w:t>
      </w:r>
      <w:r w:rsidRPr="00DD1B58">
        <w:rPr>
          <w:noProof/>
          <w:lang w:val="en-US"/>
        </w:rPr>
        <w:t xml:space="preserve"> there are fire dampers mounted</w:t>
      </w:r>
      <w:r w:rsidR="51CCAAE9" w:rsidRPr="00DD1B58">
        <w:rPr>
          <w:noProof/>
          <w:lang w:val="en-US"/>
        </w:rPr>
        <w:t xml:space="preserve"> </w:t>
      </w:r>
      <w:r w:rsidRPr="00DD1B58">
        <w:rPr>
          <w:noProof/>
          <w:lang w:val="en-US"/>
        </w:rPr>
        <w:t xml:space="preserve">either sides of the fire barriers. </w:t>
      </w:r>
      <w:r w:rsidR="00C362CA" w:rsidRPr="00DD1B58">
        <w:rPr>
          <w:noProof/>
          <w:lang w:val="en-US"/>
        </w:rPr>
        <w:t>EDF NGL</w:t>
      </w:r>
      <w:r w:rsidRPr="00DD1B58">
        <w:rPr>
          <w:noProof/>
          <w:lang w:val="en-US"/>
        </w:rPr>
        <w:t xml:space="preserve"> </w:t>
      </w:r>
      <w:r w:rsidR="00D518E8" w:rsidRPr="00DD1B58">
        <w:rPr>
          <w:noProof/>
          <w:lang w:val="en-US"/>
        </w:rPr>
        <w:t>state</w:t>
      </w:r>
      <w:r w:rsidR="0062780B" w:rsidRPr="00DD1B58">
        <w:rPr>
          <w:noProof/>
          <w:lang w:val="en-US"/>
        </w:rPr>
        <w:t>s</w:t>
      </w:r>
      <w:r w:rsidR="00D518E8" w:rsidRPr="00DD1B58">
        <w:rPr>
          <w:noProof/>
          <w:lang w:val="en-US"/>
        </w:rPr>
        <w:t xml:space="preserve"> that, where necessary, it </w:t>
      </w:r>
      <w:r w:rsidRPr="00DD1B58">
        <w:rPr>
          <w:noProof/>
          <w:lang w:val="en-US"/>
        </w:rPr>
        <w:t>also uses fire cladding on the HVAC</w:t>
      </w:r>
      <w:r w:rsidR="4F62A6A1" w:rsidRPr="00DD1B58">
        <w:rPr>
          <w:noProof/>
          <w:lang w:val="en-US"/>
        </w:rPr>
        <w:t xml:space="preserve"> </w:t>
      </w:r>
      <w:r w:rsidRPr="00DD1B58">
        <w:rPr>
          <w:noProof/>
          <w:lang w:val="en-US"/>
        </w:rPr>
        <w:t>ductwork to ensure compartment fire rating where there is an HVAC duct in an area associated with</w:t>
      </w:r>
      <w:r w:rsidR="586ED6E6" w:rsidRPr="00DD1B58">
        <w:rPr>
          <w:noProof/>
          <w:lang w:val="en-US"/>
        </w:rPr>
        <w:t xml:space="preserve"> </w:t>
      </w:r>
      <w:r w:rsidRPr="00DD1B58">
        <w:rPr>
          <w:noProof/>
          <w:lang w:val="en-US"/>
        </w:rPr>
        <w:t>another segregation area.</w:t>
      </w:r>
    </w:p>
    <w:p w14:paraId="15D01A4E" w14:textId="4F4451EB" w:rsidR="65906BEB" w:rsidRPr="00DD1B58" w:rsidRDefault="003B5485" w:rsidP="50AE0A86">
      <w:pPr>
        <w:rPr>
          <w:noProof/>
          <w:szCs w:val="24"/>
          <w:lang w:val="en-US"/>
        </w:rPr>
      </w:pPr>
      <w:r w:rsidRPr="00DD1B58">
        <w:rPr>
          <w:noProof/>
          <w:lang w:val="en-US"/>
        </w:rPr>
        <w:t xml:space="preserve">EDF NGL </w:t>
      </w:r>
      <w:r w:rsidR="00230366" w:rsidRPr="00DD1B58">
        <w:rPr>
          <w:noProof/>
          <w:lang w:val="en-US"/>
        </w:rPr>
        <w:t>state</w:t>
      </w:r>
      <w:r w:rsidR="0062780B" w:rsidRPr="00DD1B58">
        <w:rPr>
          <w:noProof/>
          <w:lang w:val="en-US"/>
        </w:rPr>
        <w:t>s</w:t>
      </w:r>
      <w:r w:rsidR="00230366" w:rsidRPr="00DD1B58">
        <w:rPr>
          <w:noProof/>
          <w:lang w:val="en-US"/>
        </w:rPr>
        <w:t xml:space="preserve"> that when</w:t>
      </w:r>
      <w:r w:rsidRPr="00DD1B58">
        <w:rPr>
          <w:noProof/>
          <w:lang w:val="en-US"/>
        </w:rPr>
        <w:t xml:space="preserve"> </w:t>
      </w:r>
      <w:r w:rsidR="65906BEB" w:rsidRPr="00DD1B58">
        <w:rPr>
          <w:noProof/>
          <w:lang w:val="en-US"/>
        </w:rPr>
        <w:t>the ventilation systems are maintained in any compartment</w:t>
      </w:r>
      <w:r w:rsidR="00230366" w:rsidRPr="00DD1B58">
        <w:rPr>
          <w:noProof/>
          <w:lang w:val="en-US"/>
        </w:rPr>
        <w:t xml:space="preserve">, </w:t>
      </w:r>
      <w:r w:rsidR="65906BEB" w:rsidRPr="00DD1B58">
        <w:rPr>
          <w:noProof/>
          <w:lang w:val="en-US"/>
        </w:rPr>
        <w:t>the fire service is required to enter</w:t>
      </w:r>
      <w:r w:rsidR="4F4DA967" w:rsidRPr="00DD1B58">
        <w:rPr>
          <w:noProof/>
          <w:lang w:val="en-US"/>
        </w:rPr>
        <w:t xml:space="preserve"> </w:t>
      </w:r>
      <w:r w:rsidR="65906BEB" w:rsidRPr="00DD1B58">
        <w:rPr>
          <w:noProof/>
          <w:lang w:val="en-US"/>
        </w:rPr>
        <w:t xml:space="preserve">the area for inspection purposes. </w:t>
      </w:r>
      <w:r w:rsidR="00230366" w:rsidRPr="00DD1B58">
        <w:rPr>
          <w:noProof/>
          <w:lang w:val="en-US"/>
        </w:rPr>
        <w:t>It t</w:t>
      </w:r>
      <w:r w:rsidR="65906BEB" w:rsidRPr="00DD1B58">
        <w:rPr>
          <w:noProof/>
          <w:lang w:val="en-US"/>
        </w:rPr>
        <w:t>herefore</w:t>
      </w:r>
      <w:r w:rsidR="00230366" w:rsidRPr="00DD1B58">
        <w:rPr>
          <w:noProof/>
          <w:lang w:val="en-US"/>
        </w:rPr>
        <w:t xml:space="preserve"> has</w:t>
      </w:r>
      <w:r w:rsidR="65906BEB" w:rsidRPr="00DD1B58">
        <w:rPr>
          <w:noProof/>
          <w:lang w:val="en-US"/>
        </w:rPr>
        <w:t xml:space="preserve"> confidence that the fire dampers or cladding on</w:t>
      </w:r>
      <w:r w:rsidR="5559C894" w:rsidRPr="00DD1B58">
        <w:rPr>
          <w:noProof/>
          <w:lang w:val="en-US"/>
        </w:rPr>
        <w:t xml:space="preserve"> </w:t>
      </w:r>
      <w:r w:rsidR="65906BEB" w:rsidRPr="00DD1B58">
        <w:rPr>
          <w:noProof/>
          <w:lang w:val="en-US"/>
        </w:rPr>
        <w:t>ventilation ductwork are inspected</w:t>
      </w:r>
      <w:r w:rsidR="00BA22D3" w:rsidRPr="00DD1B58">
        <w:rPr>
          <w:noProof/>
          <w:lang w:val="en-US"/>
        </w:rPr>
        <w:t xml:space="preserve">, </w:t>
      </w:r>
      <w:r w:rsidR="65906BEB" w:rsidRPr="00DD1B58">
        <w:rPr>
          <w:noProof/>
          <w:lang w:val="en-US"/>
        </w:rPr>
        <w:t xml:space="preserve">tested and maintained. </w:t>
      </w:r>
      <w:r w:rsidR="00230366" w:rsidRPr="00DD1B58">
        <w:rPr>
          <w:noProof/>
          <w:lang w:val="en-US"/>
        </w:rPr>
        <w:t>EDF NGL state</w:t>
      </w:r>
      <w:r w:rsidR="0062780B" w:rsidRPr="00DD1B58">
        <w:rPr>
          <w:noProof/>
          <w:lang w:val="en-US"/>
        </w:rPr>
        <w:t>s</w:t>
      </w:r>
      <w:r w:rsidR="00230366" w:rsidRPr="00DD1B58">
        <w:rPr>
          <w:noProof/>
          <w:lang w:val="en-US"/>
        </w:rPr>
        <w:t xml:space="preserve"> that the </w:t>
      </w:r>
      <w:r w:rsidR="65906BEB" w:rsidRPr="00DD1B58">
        <w:rPr>
          <w:noProof/>
          <w:lang w:val="en-US"/>
        </w:rPr>
        <w:t>ventilation systems are protected to</w:t>
      </w:r>
      <w:r w:rsidR="5AE5F777" w:rsidRPr="00DD1B58">
        <w:rPr>
          <w:noProof/>
          <w:lang w:val="en-US"/>
        </w:rPr>
        <w:t xml:space="preserve"> </w:t>
      </w:r>
      <w:r w:rsidR="65906BEB" w:rsidRPr="00DD1B58">
        <w:rPr>
          <w:noProof/>
          <w:lang w:val="en-US"/>
        </w:rPr>
        <w:t>the same fire rating as the fire barriers within that fire compartment. Therefore, the fire safety level is</w:t>
      </w:r>
      <w:r w:rsidR="03849A63" w:rsidRPr="00DD1B58">
        <w:rPr>
          <w:noProof/>
          <w:lang w:val="en-US"/>
        </w:rPr>
        <w:t xml:space="preserve"> </w:t>
      </w:r>
      <w:r w:rsidR="65906BEB" w:rsidRPr="00DD1B58">
        <w:rPr>
          <w:noProof/>
          <w:lang w:val="en-US"/>
        </w:rPr>
        <w:t>the same for the ductwork as the main fire barrier.</w:t>
      </w:r>
    </w:p>
    <w:p w14:paraId="6B8DEF0F" w14:textId="66D71536" w:rsidR="65906BEB" w:rsidRPr="00DD1B58" w:rsidRDefault="00230366" w:rsidP="50AE0A86">
      <w:pPr>
        <w:rPr>
          <w:lang w:val="en-US"/>
        </w:rPr>
      </w:pPr>
      <w:r w:rsidRPr="00DD1B58">
        <w:rPr>
          <w:noProof/>
          <w:lang w:val="en-US"/>
        </w:rPr>
        <w:t>EDF NGL no</w:t>
      </w:r>
      <w:r w:rsidR="00BA22D3" w:rsidRPr="00DD1B58">
        <w:rPr>
          <w:noProof/>
          <w:lang w:val="en-US"/>
        </w:rPr>
        <w:t>t</w:t>
      </w:r>
      <w:r w:rsidRPr="00DD1B58">
        <w:rPr>
          <w:noProof/>
          <w:lang w:val="en-US"/>
        </w:rPr>
        <w:t>e</w:t>
      </w:r>
      <w:r w:rsidR="0062780B" w:rsidRPr="00DD1B58">
        <w:rPr>
          <w:noProof/>
          <w:lang w:val="en-US"/>
        </w:rPr>
        <w:t>s</w:t>
      </w:r>
      <w:r w:rsidR="00BA22D3" w:rsidRPr="00DD1B58">
        <w:rPr>
          <w:noProof/>
          <w:lang w:val="en-US"/>
        </w:rPr>
        <w:t xml:space="preserve"> that if</w:t>
      </w:r>
      <w:r w:rsidRPr="00DD1B58">
        <w:rPr>
          <w:noProof/>
          <w:lang w:val="en-US"/>
        </w:rPr>
        <w:t xml:space="preserve"> </w:t>
      </w:r>
      <w:r w:rsidR="65906BEB" w:rsidRPr="00DD1B58">
        <w:rPr>
          <w:noProof/>
          <w:lang w:val="en-US"/>
        </w:rPr>
        <w:t>cladding is not always</w:t>
      </w:r>
      <w:r w:rsidR="5AC4F2D3" w:rsidRPr="00DD1B58">
        <w:rPr>
          <w:noProof/>
          <w:lang w:val="en-US"/>
        </w:rPr>
        <w:t xml:space="preserve"> </w:t>
      </w:r>
      <w:r w:rsidR="65906BEB" w:rsidRPr="00DD1B58">
        <w:rPr>
          <w:noProof/>
          <w:lang w:val="en-US"/>
        </w:rPr>
        <w:t>used, it could allow a fire to potentially spread from one compartment to another by bypassing the</w:t>
      </w:r>
      <w:r w:rsidR="3DE8A274" w:rsidRPr="00DD1B58">
        <w:rPr>
          <w:noProof/>
          <w:lang w:val="en-US"/>
        </w:rPr>
        <w:t xml:space="preserve"> </w:t>
      </w:r>
      <w:r w:rsidR="65906BEB" w:rsidRPr="00DD1B58">
        <w:rPr>
          <w:noProof/>
          <w:lang w:val="en-US"/>
        </w:rPr>
        <w:t xml:space="preserve">cladded compartment if no fire damper exists. </w:t>
      </w:r>
      <w:r w:rsidRPr="00DD1B58">
        <w:rPr>
          <w:noProof/>
          <w:lang w:val="en-US"/>
        </w:rPr>
        <w:t>EDF NGL</w:t>
      </w:r>
      <w:r w:rsidR="00BA22D3" w:rsidRPr="00DD1B58">
        <w:rPr>
          <w:noProof/>
          <w:lang w:val="en-US"/>
        </w:rPr>
        <w:t xml:space="preserve"> report</w:t>
      </w:r>
      <w:r w:rsidR="0062780B" w:rsidRPr="00DD1B58">
        <w:rPr>
          <w:noProof/>
          <w:lang w:val="en-US"/>
        </w:rPr>
        <w:t>s</w:t>
      </w:r>
      <w:r w:rsidR="00BA22D3" w:rsidRPr="00DD1B58">
        <w:rPr>
          <w:noProof/>
          <w:lang w:val="en-US"/>
        </w:rPr>
        <w:t xml:space="preserve"> that</w:t>
      </w:r>
      <w:r w:rsidR="65906BEB" w:rsidRPr="00DD1B58">
        <w:rPr>
          <w:noProof/>
          <w:lang w:val="en-US"/>
        </w:rPr>
        <w:t xml:space="preserve"> to ensure this does not happen, it may be</w:t>
      </w:r>
      <w:r w:rsidR="47AB73DF" w:rsidRPr="00DD1B58">
        <w:rPr>
          <w:noProof/>
          <w:lang w:val="en-US"/>
        </w:rPr>
        <w:t xml:space="preserve"> </w:t>
      </w:r>
      <w:r w:rsidR="65906BEB" w:rsidRPr="00DD1B58">
        <w:rPr>
          <w:noProof/>
          <w:lang w:val="en-US"/>
        </w:rPr>
        <w:t>necessary to provide a fire damper in addition to fire cladding if there is a risk of fire travelling from</w:t>
      </w:r>
      <w:r w:rsidR="7140D815" w:rsidRPr="00DD1B58">
        <w:rPr>
          <w:noProof/>
          <w:lang w:val="en-US"/>
        </w:rPr>
        <w:t xml:space="preserve"> </w:t>
      </w:r>
      <w:r w:rsidR="65906BEB" w:rsidRPr="00DD1B58">
        <w:rPr>
          <w:noProof/>
          <w:lang w:val="en-US"/>
        </w:rPr>
        <w:t xml:space="preserve">one separation group to another as shown below in </w:t>
      </w:r>
      <w:r w:rsidR="00A522DC" w:rsidRPr="00DD1B58">
        <w:rPr>
          <w:noProof/>
          <w:lang w:val="en-US"/>
        </w:rPr>
        <w:fldChar w:fldCharType="begin"/>
      </w:r>
      <w:r w:rsidR="00A522DC" w:rsidRPr="00DD1B58">
        <w:rPr>
          <w:noProof/>
          <w:lang w:val="en-US"/>
        </w:rPr>
        <w:instrText xml:space="preserve"> REF _Ref144019593 \h </w:instrText>
      </w:r>
      <w:r w:rsidR="00A522DC" w:rsidRPr="00DD1B58">
        <w:rPr>
          <w:noProof/>
          <w:lang w:val="en-US"/>
        </w:rPr>
      </w:r>
      <w:r w:rsidR="00A522DC" w:rsidRPr="00DD1B58">
        <w:rPr>
          <w:noProof/>
          <w:lang w:val="en-US"/>
        </w:rPr>
        <w:fldChar w:fldCharType="separate"/>
      </w:r>
      <w:r w:rsidR="00DF47DA" w:rsidRPr="00DD1B58">
        <w:rPr>
          <w:lang w:val="en-US"/>
        </w:rPr>
        <w:t xml:space="preserve">Figure </w:t>
      </w:r>
      <w:r w:rsidR="00DF47DA">
        <w:rPr>
          <w:noProof/>
          <w:lang w:val="en-US"/>
        </w:rPr>
        <w:t>8</w:t>
      </w:r>
      <w:r w:rsidR="00A522DC" w:rsidRPr="00DD1B58">
        <w:rPr>
          <w:noProof/>
          <w:lang w:val="en-US"/>
        </w:rPr>
        <w:fldChar w:fldCharType="end"/>
      </w:r>
      <w:r w:rsidR="65906BEB" w:rsidRPr="00DD1B58">
        <w:rPr>
          <w:noProof/>
          <w:lang w:val="en-US"/>
        </w:rPr>
        <w:t xml:space="preserve">. Therefore, </w:t>
      </w:r>
      <w:r w:rsidR="000B7A94" w:rsidRPr="00DD1B58">
        <w:rPr>
          <w:noProof/>
          <w:lang w:val="en-US"/>
        </w:rPr>
        <w:t xml:space="preserve">EDF NGL considers </w:t>
      </w:r>
      <w:r w:rsidR="65906BEB" w:rsidRPr="00DD1B58">
        <w:rPr>
          <w:noProof/>
          <w:lang w:val="en-US"/>
        </w:rPr>
        <w:t>tha</w:t>
      </w:r>
      <w:r w:rsidR="000B7A94" w:rsidRPr="00DD1B58">
        <w:rPr>
          <w:noProof/>
          <w:lang w:val="en-US"/>
        </w:rPr>
        <w:t>t</w:t>
      </w:r>
      <w:r w:rsidR="65906BEB" w:rsidRPr="00DD1B58">
        <w:rPr>
          <w:noProof/>
          <w:lang w:val="en-US"/>
        </w:rPr>
        <w:t xml:space="preserve"> fire cladding is sometimes useful</w:t>
      </w:r>
      <w:r w:rsidR="000B7A94" w:rsidRPr="00DD1B58">
        <w:rPr>
          <w:noProof/>
          <w:lang w:val="en-US"/>
        </w:rPr>
        <w:t>,</w:t>
      </w:r>
      <w:r w:rsidR="65906BEB" w:rsidRPr="00DD1B58">
        <w:rPr>
          <w:noProof/>
          <w:lang w:val="en-US"/>
        </w:rPr>
        <w:t xml:space="preserve"> </w:t>
      </w:r>
      <w:r w:rsidR="000B7A94" w:rsidRPr="00DD1B58">
        <w:rPr>
          <w:noProof/>
          <w:lang w:val="en-US"/>
        </w:rPr>
        <w:t>rather than using the fire damper either side of the fire barrier.</w:t>
      </w:r>
    </w:p>
    <w:p w14:paraId="3F1912A7" w14:textId="77777777" w:rsidR="003132D4" w:rsidRPr="00DD1B58" w:rsidRDefault="003132D4">
      <w:pPr>
        <w:spacing w:after="0" w:line="240" w:lineRule="auto"/>
        <w:rPr>
          <w:noProof/>
          <w:lang w:val="en-US"/>
        </w:rPr>
      </w:pPr>
      <w:r w:rsidRPr="00DD1B58">
        <w:rPr>
          <w:noProof/>
          <w:lang w:val="en-US"/>
        </w:rPr>
        <w:br w:type="page"/>
      </w:r>
    </w:p>
    <w:p w14:paraId="3FED626A" w14:textId="77777777" w:rsidR="65906BEB" w:rsidRPr="00DD1B58" w:rsidRDefault="65906BEB" w:rsidP="50AE0A86">
      <w:pPr>
        <w:rPr>
          <w:noProof/>
          <w:szCs w:val="24"/>
          <w:lang w:val="en-US"/>
        </w:rPr>
      </w:pPr>
    </w:p>
    <w:p w14:paraId="10E55CDE" w14:textId="290F0EA5" w:rsidR="777AB089" w:rsidRPr="00DD1B58" w:rsidRDefault="00A522DC" w:rsidP="00973FF4">
      <w:pPr>
        <w:pStyle w:val="Caption"/>
        <w:rPr>
          <w:noProof/>
          <w:lang w:val="en-US"/>
        </w:rPr>
      </w:pPr>
      <w:bookmarkStart w:id="141" w:name="_Ref144019593"/>
      <w:r w:rsidRPr="00DD1B58">
        <w:rPr>
          <w:lang w:val="en-US"/>
        </w:rPr>
        <w:t xml:space="preserve">Figure </w:t>
      </w:r>
      <w:r w:rsidRPr="00DD1B58">
        <w:rPr>
          <w:lang w:val="en-US"/>
        </w:rPr>
        <w:fldChar w:fldCharType="begin"/>
      </w:r>
      <w:r w:rsidRPr="00DD1B58">
        <w:rPr>
          <w:lang w:val="en-US"/>
        </w:rPr>
        <w:instrText>SEQ Figure \* ARABIC</w:instrText>
      </w:r>
      <w:r w:rsidRPr="00DD1B58">
        <w:rPr>
          <w:lang w:val="en-US"/>
        </w:rPr>
        <w:fldChar w:fldCharType="separate"/>
      </w:r>
      <w:r w:rsidR="00DF47DA">
        <w:rPr>
          <w:noProof/>
          <w:lang w:val="en-US"/>
        </w:rPr>
        <w:t>8</w:t>
      </w:r>
      <w:r w:rsidRPr="00DD1B58">
        <w:rPr>
          <w:lang w:val="en-US"/>
        </w:rPr>
        <w:fldChar w:fldCharType="end"/>
      </w:r>
      <w:bookmarkEnd w:id="141"/>
      <w:r w:rsidR="777AB089" w:rsidRPr="00DD1B58">
        <w:rPr>
          <w:noProof/>
          <w:lang w:val="en-US"/>
        </w:rPr>
        <w:t xml:space="preserve">: Illustration of Fire </w:t>
      </w:r>
      <w:r w:rsidR="777AB089" w:rsidRPr="00E478A2">
        <w:rPr>
          <w:bCs w:val="0"/>
          <w:lang w:val="en-US"/>
        </w:rPr>
        <w:t>Barrier Cladding</w:t>
      </w:r>
    </w:p>
    <w:p w14:paraId="4A287AC1" w14:textId="77777777" w:rsidR="777AB089" w:rsidRPr="00DD1B58" w:rsidRDefault="777AB089" w:rsidP="50AE0A86">
      <w:pPr>
        <w:rPr>
          <w:lang w:val="en-US"/>
        </w:rPr>
      </w:pPr>
      <w:r w:rsidRPr="00DD1B58">
        <w:rPr>
          <w:noProof/>
          <w:lang w:val="en-US"/>
        </w:rPr>
        <w:drawing>
          <wp:inline distT="0" distB="0" distL="0" distR="0" wp14:anchorId="597EF8F1" wp14:editId="443249CA">
            <wp:extent cx="6172200" cy="2867025"/>
            <wp:effectExtent l="0" t="0" r="0" b="0"/>
            <wp:docPr id="1294671658" name="Picture 1294671658" descr="Cross section of fire barrier cladding, showing cladding, fire barriers, ductwork and ductwork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71658" name="Picture 1294671658" descr="Cross section of fire barrier cladding, showing cladding, fire barriers, ductwork and ductwork supports"/>
                    <pic:cNvPicPr/>
                  </pic:nvPicPr>
                  <pic:blipFill>
                    <a:blip r:embed="rId19">
                      <a:extLst>
                        <a:ext uri="{28A0092B-C50C-407E-A947-70E740481C1C}">
                          <a14:useLocalDpi xmlns:a14="http://schemas.microsoft.com/office/drawing/2010/main" val="0"/>
                        </a:ext>
                      </a:extLst>
                    </a:blip>
                    <a:stretch>
                      <a:fillRect/>
                    </a:stretch>
                  </pic:blipFill>
                  <pic:spPr>
                    <a:xfrm>
                      <a:off x="0" y="0"/>
                      <a:ext cx="6172200" cy="2867025"/>
                    </a:xfrm>
                    <a:prstGeom prst="rect">
                      <a:avLst/>
                    </a:prstGeom>
                  </pic:spPr>
                </pic:pic>
              </a:graphicData>
            </a:graphic>
          </wp:inline>
        </w:drawing>
      </w:r>
    </w:p>
    <w:p w14:paraId="0DFA0A3E" w14:textId="77777777" w:rsidR="27101CD2" w:rsidRPr="00DD1B58" w:rsidRDefault="27101CD2" w:rsidP="50AE0A86">
      <w:pPr>
        <w:rPr>
          <w:b/>
          <w:bCs/>
          <w:lang w:val="en-US"/>
        </w:rPr>
      </w:pPr>
      <w:r w:rsidRPr="00DD1B58">
        <w:rPr>
          <w:b/>
          <w:bCs/>
          <w:lang w:val="en-US"/>
        </w:rPr>
        <w:t>Protection a</w:t>
      </w:r>
      <w:r w:rsidR="00093818" w:rsidRPr="00DD1B58">
        <w:rPr>
          <w:b/>
          <w:bCs/>
          <w:lang w:val="en-US"/>
        </w:rPr>
        <w:t>ga</w:t>
      </w:r>
      <w:r w:rsidRPr="00DD1B58">
        <w:rPr>
          <w:b/>
          <w:bCs/>
          <w:lang w:val="en-US"/>
        </w:rPr>
        <w:t>inst other hazards</w:t>
      </w:r>
    </w:p>
    <w:p w14:paraId="4196CD76" w14:textId="3FC937B0" w:rsidR="27101CD2" w:rsidRPr="00DD1B58" w:rsidRDefault="27101CD2" w:rsidP="50AE0A86">
      <w:pPr>
        <w:rPr>
          <w:lang w:val="en-US"/>
        </w:rPr>
      </w:pPr>
      <w:r w:rsidRPr="00DD1B58">
        <w:rPr>
          <w:b/>
          <w:lang w:val="en-US"/>
        </w:rPr>
        <w:t>General</w:t>
      </w:r>
      <w:r w:rsidR="0010420E" w:rsidRPr="00DD1B58">
        <w:rPr>
          <w:b/>
          <w:lang w:val="en-US"/>
        </w:rPr>
        <w:t xml:space="preserve"> </w:t>
      </w:r>
      <w:r w:rsidR="000A48FD" w:rsidRPr="00DD1B58">
        <w:rPr>
          <w:b/>
          <w:lang w:val="en-US"/>
        </w:rPr>
        <w:t>–</w:t>
      </w:r>
      <w:r w:rsidR="0010420E" w:rsidRPr="00DD1B58">
        <w:rPr>
          <w:b/>
          <w:lang w:val="en-US"/>
        </w:rPr>
        <w:t xml:space="preserve"> </w:t>
      </w:r>
      <w:r w:rsidR="000A48FD" w:rsidRPr="00DD1B58">
        <w:rPr>
          <w:lang w:val="en-US"/>
        </w:rPr>
        <w:t xml:space="preserve">EDF NGL </w:t>
      </w:r>
      <w:r w:rsidR="00D83EF6" w:rsidRPr="00DD1B58">
        <w:rPr>
          <w:lang w:val="en-US"/>
        </w:rPr>
        <w:t>state</w:t>
      </w:r>
      <w:r w:rsidR="00A97471" w:rsidRPr="00DD1B58">
        <w:rPr>
          <w:lang w:val="en-US"/>
        </w:rPr>
        <w:t>s</w:t>
      </w:r>
      <w:r w:rsidR="000A48FD" w:rsidRPr="00DD1B58">
        <w:rPr>
          <w:lang w:val="en-US"/>
        </w:rPr>
        <w:t xml:space="preserve"> that </w:t>
      </w:r>
      <w:r w:rsidRPr="00DD1B58">
        <w:rPr>
          <w:lang w:val="en-US"/>
        </w:rPr>
        <w:t>the interface between the fire protection and ventilation systems</w:t>
      </w:r>
      <w:r w:rsidR="000A48FD" w:rsidRPr="00DD1B58">
        <w:rPr>
          <w:lang w:val="en-US"/>
        </w:rPr>
        <w:t xml:space="preserve"> first considers</w:t>
      </w:r>
      <w:r w:rsidRPr="00DD1B58">
        <w:rPr>
          <w:lang w:val="en-US"/>
        </w:rPr>
        <w:t xml:space="preserve"> the air flow regime from the lowest to the highest contamination; C0 to C2 to C3</w:t>
      </w:r>
      <w:r w:rsidR="00705D93" w:rsidRPr="00DD1B58">
        <w:rPr>
          <w:lang w:val="en-US"/>
        </w:rPr>
        <w:t xml:space="preserve"> and the </w:t>
      </w:r>
      <w:r w:rsidRPr="00DD1B58">
        <w:rPr>
          <w:lang w:val="en-US"/>
        </w:rPr>
        <w:t xml:space="preserve">inflow and outflow </w:t>
      </w:r>
      <w:r w:rsidR="00705D93" w:rsidRPr="00DD1B58">
        <w:rPr>
          <w:lang w:val="en-US"/>
        </w:rPr>
        <w:t>balance</w:t>
      </w:r>
      <w:r w:rsidRPr="00DD1B58">
        <w:rPr>
          <w:lang w:val="en-US"/>
        </w:rPr>
        <w:t xml:space="preserve"> so that flows out of the building are matched by supply and infiltration</w:t>
      </w:r>
      <w:r w:rsidR="00705D93" w:rsidRPr="00DD1B58">
        <w:rPr>
          <w:lang w:val="en-US"/>
        </w:rPr>
        <w:t>. EDF NGL</w:t>
      </w:r>
      <w:r w:rsidR="00A8560B" w:rsidRPr="00DD1B58">
        <w:rPr>
          <w:lang w:val="en-US"/>
        </w:rPr>
        <w:t>’</w:t>
      </w:r>
      <w:r w:rsidR="00705D93" w:rsidRPr="00DD1B58">
        <w:rPr>
          <w:lang w:val="en-US"/>
        </w:rPr>
        <w:t xml:space="preserve">s </w:t>
      </w:r>
      <w:r w:rsidRPr="00DD1B58">
        <w:rPr>
          <w:lang w:val="en-US"/>
        </w:rPr>
        <w:t>general philosophy for control of smoke and ventilation systems in radioactive areas is, in principle, in the event of a fire, to turn off the supply and keep the extract running. This maintains sub-atmospheric conditions and allows personnel to escape through thoroughfares and fire doors into an ultimate place of safety. In this way airborne contamination is kept in the highest contamination area by drawing air into the building.</w:t>
      </w:r>
    </w:p>
    <w:p w14:paraId="5154FE42" w14:textId="6CA6D0DD" w:rsidR="27101CD2" w:rsidRPr="00DD1B58" w:rsidRDefault="00705D93" w:rsidP="50AE0A86">
      <w:pPr>
        <w:rPr>
          <w:lang w:val="en-US"/>
        </w:rPr>
      </w:pPr>
      <w:r w:rsidRPr="00DD1B58">
        <w:rPr>
          <w:lang w:val="en-US"/>
        </w:rPr>
        <w:t xml:space="preserve">EDF NGL </w:t>
      </w:r>
      <w:r w:rsidR="00394C04" w:rsidRPr="00DD1B58">
        <w:rPr>
          <w:lang w:val="en-US"/>
        </w:rPr>
        <w:t>also state</w:t>
      </w:r>
      <w:r w:rsidR="00B024F4" w:rsidRPr="00DD1B58">
        <w:rPr>
          <w:lang w:val="en-US"/>
        </w:rPr>
        <w:t>s</w:t>
      </w:r>
      <w:r w:rsidRPr="00DD1B58">
        <w:rPr>
          <w:lang w:val="en-US"/>
        </w:rPr>
        <w:t xml:space="preserve"> that there</w:t>
      </w:r>
      <w:r w:rsidR="27101CD2" w:rsidRPr="00DD1B58">
        <w:rPr>
          <w:lang w:val="en-US"/>
        </w:rPr>
        <w:t xml:space="preserve"> are occasions where the sub-atmospheric conditions may hinder escape as </w:t>
      </w:r>
      <w:r w:rsidRPr="00DD1B58">
        <w:rPr>
          <w:lang w:val="en-US"/>
        </w:rPr>
        <w:t xml:space="preserve">it </w:t>
      </w:r>
      <w:r w:rsidR="27101CD2" w:rsidRPr="00DD1B58">
        <w:rPr>
          <w:lang w:val="en-US"/>
        </w:rPr>
        <w:t xml:space="preserve">may not be possible to open the escape doors and personnel could be trapped inside. Whilst this maintains contamination control, it is not acceptable for life fire safety. </w:t>
      </w:r>
      <w:r w:rsidR="00394C04" w:rsidRPr="00DD1B58">
        <w:rPr>
          <w:lang w:val="en-US"/>
        </w:rPr>
        <w:t>EDF NGL report</w:t>
      </w:r>
      <w:r w:rsidR="00A97471" w:rsidRPr="00DD1B58">
        <w:rPr>
          <w:lang w:val="en-US"/>
        </w:rPr>
        <w:t>s</w:t>
      </w:r>
      <w:r w:rsidR="00394C04" w:rsidRPr="00DD1B58">
        <w:rPr>
          <w:lang w:val="en-US"/>
        </w:rPr>
        <w:t xml:space="preserve"> that a</w:t>
      </w:r>
      <w:r w:rsidR="27101CD2" w:rsidRPr="00DD1B58">
        <w:rPr>
          <w:lang w:val="en-US"/>
        </w:rPr>
        <w:t>t SZB a compromise was met relating fire and HVAC systems which was agreed with the UK Regulator. It allows personnel to escape a fire but may cause a small amount of contamination to escape. Once all personnel have arrived at an ultimate place of safety, a controlled re-entry is carried out to go back into the contamination</w:t>
      </w:r>
      <w:r w:rsidR="232CFE7C" w:rsidRPr="00DD1B58">
        <w:rPr>
          <w:lang w:val="en-US"/>
        </w:rPr>
        <w:t>-</w:t>
      </w:r>
      <w:r w:rsidR="27101CD2" w:rsidRPr="00DD1B58">
        <w:rPr>
          <w:lang w:val="en-US"/>
        </w:rPr>
        <w:t>controlled area.</w:t>
      </w:r>
      <w:r w:rsidR="559135D2" w:rsidRPr="00DD1B58">
        <w:rPr>
          <w:lang w:val="en-US"/>
        </w:rPr>
        <w:t xml:space="preserve"> </w:t>
      </w:r>
      <w:r w:rsidR="27101CD2" w:rsidRPr="00DD1B58">
        <w:rPr>
          <w:lang w:val="en-US"/>
        </w:rPr>
        <w:t>Shutting down the C2 extract means that the HVAC filters are not being clogged by smoke.</w:t>
      </w:r>
    </w:p>
    <w:p w14:paraId="44AB1460" w14:textId="56A7AB57" w:rsidR="27101CD2" w:rsidRPr="00DD1B58" w:rsidRDefault="27101CD2" w:rsidP="50AE0A86">
      <w:pPr>
        <w:rPr>
          <w:lang w:val="en-US"/>
        </w:rPr>
      </w:pPr>
      <w:r w:rsidRPr="00DD1B58">
        <w:rPr>
          <w:lang w:val="en-US"/>
        </w:rPr>
        <w:t>In addition</w:t>
      </w:r>
      <w:r w:rsidR="268D1A9E" w:rsidRPr="00DD1B58">
        <w:rPr>
          <w:lang w:val="en-US"/>
        </w:rPr>
        <w:t>,</w:t>
      </w:r>
      <w:r w:rsidRPr="00DD1B58">
        <w:rPr>
          <w:lang w:val="en-US"/>
        </w:rPr>
        <w:t xml:space="preserve"> </w:t>
      </w:r>
      <w:r w:rsidR="00A23C67" w:rsidRPr="00DD1B58">
        <w:rPr>
          <w:lang w:val="en-US"/>
        </w:rPr>
        <w:t>EDF NGL report</w:t>
      </w:r>
      <w:r w:rsidR="00A97471" w:rsidRPr="00DD1B58">
        <w:rPr>
          <w:lang w:val="en-US"/>
        </w:rPr>
        <w:t>s</w:t>
      </w:r>
      <w:r w:rsidR="00A23C67" w:rsidRPr="00DD1B58">
        <w:rPr>
          <w:lang w:val="en-US"/>
        </w:rPr>
        <w:t xml:space="preserve"> that there </w:t>
      </w:r>
      <w:r w:rsidRPr="00DD1B58">
        <w:rPr>
          <w:lang w:val="en-US"/>
        </w:rPr>
        <w:t>are smoke detectors on the inlet supply to all buildings, this is an NFPA standard. This</w:t>
      </w:r>
      <w:r w:rsidR="15A9197A" w:rsidRPr="00DD1B58">
        <w:rPr>
          <w:lang w:val="en-US"/>
        </w:rPr>
        <w:t xml:space="preserve"> </w:t>
      </w:r>
      <w:r w:rsidRPr="00DD1B58">
        <w:rPr>
          <w:lang w:val="en-US"/>
        </w:rPr>
        <w:t>shuts off the supply into the building on detection of smoke.</w:t>
      </w:r>
    </w:p>
    <w:p w14:paraId="72397E04" w14:textId="3407567B" w:rsidR="27101CD2" w:rsidRPr="00DD1B58" w:rsidRDefault="27101CD2" w:rsidP="50AE0A86">
      <w:pPr>
        <w:rPr>
          <w:lang w:val="en-US"/>
        </w:rPr>
      </w:pPr>
      <w:r w:rsidRPr="00DD1B58">
        <w:rPr>
          <w:lang w:val="en-US"/>
        </w:rPr>
        <w:t xml:space="preserve">In the case of the fire dampers, </w:t>
      </w:r>
      <w:r w:rsidR="00A23C67" w:rsidRPr="00DD1B58">
        <w:rPr>
          <w:lang w:val="en-US"/>
        </w:rPr>
        <w:t xml:space="preserve">EDF NGL’s </w:t>
      </w:r>
      <w:r w:rsidRPr="00DD1B58">
        <w:rPr>
          <w:lang w:val="en-US"/>
        </w:rPr>
        <w:t>general rule is they all close automatically in the event of a fire. Thi</w:t>
      </w:r>
      <w:r w:rsidR="7CF99BF9" w:rsidRPr="00DD1B58">
        <w:rPr>
          <w:lang w:val="en-US"/>
        </w:rPr>
        <w:t xml:space="preserve">s </w:t>
      </w:r>
      <w:r w:rsidRPr="00DD1B58">
        <w:rPr>
          <w:lang w:val="en-US"/>
        </w:rPr>
        <w:t xml:space="preserve">is the primary means of detection and protection. </w:t>
      </w:r>
      <w:r w:rsidR="00A23C67" w:rsidRPr="00DD1B58">
        <w:rPr>
          <w:lang w:val="en-US"/>
        </w:rPr>
        <w:t xml:space="preserve">It </w:t>
      </w:r>
      <w:r w:rsidR="007376D6" w:rsidRPr="00DD1B58">
        <w:rPr>
          <w:lang w:val="en-US"/>
        </w:rPr>
        <w:t>states that</w:t>
      </w:r>
      <w:r w:rsidR="00A23C67" w:rsidRPr="00DD1B58">
        <w:rPr>
          <w:lang w:val="en-US"/>
        </w:rPr>
        <w:t xml:space="preserve"> this </w:t>
      </w:r>
      <w:r w:rsidRPr="00DD1B58">
        <w:rPr>
          <w:lang w:val="en-US"/>
        </w:rPr>
        <w:t>is actuated by a control system which closes the</w:t>
      </w:r>
      <w:r w:rsidR="1E66BFCE" w:rsidRPr="00DD1B58">
        <w:rPr>
          <w:lang w:val="en-US"/>
        </w:rPr>
        <w:t xml:space="preserve"> </w:t>
      </w:r>
      <w:r w:rsidRPr="00DD1B58">
        <w:rPr>
          <w:lang w:val="en-US"/>
        </w:rPr>
        <w:t>HVAC dampers on detection of smoke, heat or radiation. It is also possible that some fire dampers close</w:t>
      </w:r>
      <w:r w:rsidR="6D3B266B" w:rsidRPr="00DD1B58">
        <w:rPr>
          <w:lang w:val="en-US"/>
        </w:rPr>
        <w:t xml:space="preserve"> </w:t>
      </w:r>
      <w:r w:rsidRPr="00DD1B58">
        <w:rPr>
          <w:lang w:val="en-US"/>
        </w:rPr>
        <w:t>on CO</w:t>
      </w:r>
      <w:r w:rsidRPr="00DD1B58">
        <w:rPr>
          <w:vertAlign w:val="subscript"/>
          <w:lang w:val="en-US"/>
        </w:rPr>
        <w:t>2</w:t>
      </w:r>
      <w:r w:rsidRPr="00DD1B58">
        <w:rPr>
          <w:lang w:val="en-US"/>
        </w:rPr>
        <w:t xml:space="preserve"> detection (for example if there is a CO2 release from a large CO2 store). Fire dampers can</w:t>
      </w:r>
      <w:r w:rsidR="1F4D35E4" w:rsidRPr="00DD1B58">
        <w:rPr>
          <w:lang w:val="en-US"/>
        </w:rPr>
        <w:t xml:space="preserve">, </w:t>
      </w:r>
      <w:r w:rsidRPr="00DD1B58">
        <w:rPr>
          <w:lang w:val="en-US"/>
        </w:rPr>
        <w:t>therefore</w:t>
      </w:r>
      <w:r w:rsidR="079B821D" w:rsidRPr="00DD1B58">
        <w:rPr>
          <w:lang w:val="en-US"/>
        </w:rPr>
        <w:t xml:space="preserve">, </w:t>
      </w:r>
      <w:r w:rsidRPr="00DD1B58">
        <w:rPr>
          <w:lang w:val="en-US"/>
        </w:rPr>
        <w:t>be used to protect against hazards other than fire.</w:t>
      </w:r>
    </w:p>
    <w:p w14:paraId="22A442CF" w14:textId="472E0C2C" w:rsidR="1D5D5ACE" w:rsidRPr="00DD1B58" w:rsidRDefault="00A23C67" w:rsidP="50AE0A86">
      <w:pPr>
        <w:rPr>
          <w:lang w:val="en-US"/>
        </w:rPr>
      </w:pPr>
      <w:r w:rsidRPr="00DD1B58">
        <w:rPr>
          <w:lang w:val="en-US"/>
        </w:rPr>
        <w:t xml:space="preserve">EDF-NGL’s </w:t>
      </w:r>
      <w:r w:rsidR="1D5D5ACE" w:rsidRPr="00DD1B58">
        <w:rPr>
          <w:lang w:val="en-US"/>
        </w:rPr>
        <w:t>secondary means of fire detection is by use of fusible links</w:t>
      </w:r>
      <w:r w:rsidR="00B10307" w:rsidRPr="00DD1B58">
        <w:rPr>
          <w:lang w:val="en-US"/>
        </w:rPr>
        <w:t>, however it considers there can be</w:t>
      </w:r>
      <w:r w:rsidR="1D5D5ACE" w:rsidRPr="00DD1B58">
        <w:rPr>
          <w:lang w:val="en-US"/>
        </w:rPr>
        <w:t xml:space="preserve"> reasons not to automatically close all fire dampers protecting contaminated areas</w:t>
      </w:r>
      <w:r w:rsidR="00B10307" w:rsidRPr="00DD1B58">
        <w:rPr>
          <w:lang w:val="en-US"/>
        </w:rPr>
        <w:t xml:space="preserve"> d</w:t>
      </w:r>
      <w:r w:rsidR="1D5D5ACE" w:rsidRPr="00DD1B58">
        <w:rPr>
          <w:lang w:val="en-US"/>
        </w:rPr>
        <w:t>ue to potential loss of contamination control.</w:t>
      </w:r>
    </w:p>
    <w:p w14:paraId="12A3D3A6" w14:textId="77777777" w:rsidR="003665A5" w:rsidRPr="00DD1B58" w:rsidRDefault="00D141CD" w:rsidP="00177432">
      <w:pPr>
        <w:pStyle w:val="Heading5A"/>
        <w:numPr>
          <w:ilvl w:val="5"/>
          <w:numId w:val="7"/>
        </w:numPr>
        <w:rPr>
          <w:szCs w:val="28"/>
          <w:lang w:val="en-US"/>
        </w:rPr>
      </w:pPr>
      <w:r w:rsidRPr="00DD1B58">
        <w:rPr>
          <w:lang w:val="en-US"/>
        </w:rPr>
        <w:t xml:space="preserve">Performance and management requirements under fire </w:t>
      </w:r>
      <w:r w:rsidRPr="00DD1B58">
        <w:rPr>
          <w:szCs w:val="28"/>
          <w:lang w:val="en-US"/>
        </w:rPr>
        <w:t>conditions</w:t>
      </w:r>
    </w:p>
    <w:p w14:paraId="31FB2F9E" w14:textId="09770875" w:rsidR="780437D8" w:rsidRPr="00DD1B58" w:rsidRDefault="780437D8" w:rsidP="50AE0A86">
      <w:pPr>
        <w:pStyle w:val="Bulletlist1"/>
        <w:numPr>
          <w:ilvl w:val="0"/>
          <w:numId w:val="0"/>
        </w:numPr>
        <w:rPr>
          <w:szCs w:val="24"/>
          <w:lang w:val="en-US"/>
        </w:rPr>
      </w:pPr>
      <w:r w:rsidRPr="00DD1B58">
        <w:rPr>
          <w:b/>
          <w:szCs w:val="24"/>
          <w:lang w:val="en-US"/>
        </w:rPr>
        <w:t>General</w:t>
      </w:r>
      <w:r w:rsidR="00725515" w:rsidRPr="00DD1B58">
        <w:rPr>
          <w:b/>
          <w:szCs w:val="24"/>
          <w:lang w:val="en-US"/>
        </w:rPr>
        <w:t xml:space="preserve"> </w:t>
      </w:r>
      <w:r w:rsidR="00A1038E" w:rsidRPr="00DD1B58">
        <w:rPr>
          <w:b/>
          <w:szCs w:val="24"/>
          <w:lang w:val="en-US"/>
        </w:rPr>
        <w:t>–</w:t>
      </w:r>
      <w:r w:rsidR="00725515" w:rsidRPr="00DD1B58">
        <w:rPr>
          <w:b/>
          <w:szCs w:val="24"/>
          <w:lang w:val="en-US"/>
        </w:rPr>
        <w:t xml:space="preserve"> </w:t>
      </w:r>
      <w:r w:rsidR="00A1038E" w:rsidRPr="00DD1B58">
        <w:rPr>
          <w:szCs w:val="24"/>
          <w:lang w:val="en-US"/>
        </w:rPr>
        <w:t>EDF NGL reprot</w:t>
      </w:r>
      <w:r w:rsidR="004B3BFF" w:rsidRPr="00DD1B58">
        <w:rPr>
          <w:szCs w:val="24"/>
          <w:lang w:val="en-US"/>
        </w:rPr>
        <w:t>s</w:t>
      </w:r>
      <w:r w:rsidR="00A1038E" w:rsidRPr="00DD1B58">
        <w:rPr>
          <w:szCs w:val="24"/>
          <w:lang w:val="en-US"/>
        </w:rPr>
        <w:t xml:space="preserve"> that fire </w:t>
      </w:r>
      <w:r w:rsidRPr="00DD1B58">
        <w:rPr>
          <w:szCs w:val="24"/>
          <w:lang w:val="en-US"/>
        </w:rPr>
        <w:t xml:space="preserve">dampers are installed in </w:t>
      </w:r>
      <w:r w:rsidR="00A1038E" w:rsidRPr="00DD1B58">
        <w:rPr>
          <w:szCs w:val="24"/>
          <w:lang w:val="en-US"/>
        </w:rPr>
        <w:t xml:space="preserve">HVAC </w:t>
      </w:r>
      <w:r w:rsidRPr="00DD1B58">
        <w:rPr>
          <w:szCs w:val="24"/>
          <w:lang w:val="en-US"/>
        </w:rPr>
        <w:t>system</w:t>
      </w:r>
      <w:r w:rsidR="12E0E12F" w:rsidRPr="00DD1B58">
        <w:rPr>
          <w:szCs w:val="24"/>
          <w:lang w:val="en-US"/>
        </w:rPr>
        <w:t xml:space="preserve"> </w:t>
      </w:r>
      <w:r w:rsidRPr="00DD1B58">
        <w:rPr>
          <w:szCs w:val="24"/>
          <w:lang w:val="en-US"/>
        </w:rPr>
        <w:t xml:space="preserve">penetrations through nuclear significant or otherwise certified, fire/safety barriers. </w:t>
      </w:r>
      <w:r w:rsidR="00A1038E" w:rsidRPr="00DD1B58">
        <w:rPr>
          <w:szCs w:val="24"/>
          <w:lang w:val="en-US"/>
        </w:rPr>
        <w:t>The t</w:t>
      </w:r>
      <w:r w:rsidRPr="00DD1B58">
        <w:rPr>
          <w:szCs w:val="24"/>
          <w:lang w:val="en-US"/>
        </w:rPr>
        <w:t>ypical fire</w:t>
      </w:r>
      <w:r w:rsidR="4FA99F49" w:rsidRPr="00DD1B58">
        <w:rPr>
          <w:szCs w:val="24"/>
          <w:lang w:val="en-US"/>
        </w:rPr>
        <w:t xml:space="preserve"> </w:t>
      </w:r>
      <w:r w:rsidRPr="00DD1B58">
        <w:rPr>
          <w:szCs w:val="24"/>
          <w:lang w:val="en-US"/>
        </w:rPr>
        <w:t>resistance ratings of fire dampers vary depending on the fire barrier rating which can be 1-hour at HNB</w:t>
      </w:r>
      <w:r w:rsidR="2F027C59" w:rsidRPr="00DD1B58">
        <w:rPr>
          <w:szCs w:val="24"/>
          <w:lang w:val="en-US"/>
        </w:rPr>
        <w:t xml:space="preserve"> </w:t>
      </w:r>
      <w:r w:rsidRPr="00DD1B58">
        <w:rPr>
          <w:szCs w:val="24"/>
          <w:lang w:val="en-US"/>
        </w:rPr>
        <w:t>and up to 4 or 3-hours at HY2 and SZB respectively.</w:t>
      </w:r>
      <w:r w:rsidR="1D49BED8" w:rsidRPr="00DD1B58">
        <w:rPr>
          <w:szCs w:val="24"/>
          <w:lang w:val="en-US"/>
        </w:rPr>
        <w:t xml:space="preserve"> </w:t>
      </w:r>
    </w:p>
    <w:p w14:paraId="0C5E8F9A" w14:textId="0A659DD3" w:rsidR="780437D8" w:rsidRPr="00DD1B58" w:rsidRDefault="780437D8" w:rsidP="50AE0A86">
      <w:pPr>
        <w:pStyle w:val="Bulletlist1"/>
        <w:numPr>
          <w:ilvl w:val="0"/>
          <w:numId w:val="0"/>
        </w:numPr>
        <w:rPr>
          <w:szCs w:val="24"/>
          <w:lang w:val="en-US"/>
        </w:rPr>
      </w:pPr>
      <w:r w:rsidRPr="00DD1B58">
        <w:rPr>
          <w:szCs w:val="24"/>
          <w:lang w:val="en-US"/>
        </w:rPr>
        <w:t xml:space="preserve">At </w:t>
      </w:r>
      <w:r w:rsidR="00C362CA" w:rsidRPr="00DD1B58">
        <w:rPr>
          <w:szCs w:val="24"/>
          <w:lang w:val="en-US"/>
        </w:rPr>
        <w:t>EDF NGL</w:t>
      </w:r>
      <w:r w:rsidRPr="00DD1B58">
        <w:rPr>
          <w:szCs w:val="24"/>
          <w:lang w:val="en-US"/>
        </w:rPr>
        <w:t xml:space="preserve"> Fire dampers are assigned to </w:t>
      </w:r>
      <w:r w:rsidR="00A83E04" w:rsidRPr="00DD1B58">
        <w:rPr>
          <w:szCs w:val="24"/>
          <w:lang w:val="en-US"/>
        </w:rPr>
        <w:t xml:space="preserve">one of three tiers </w:t>
      </w:r>
      <w:r w:rsidRPr="00DD1B58">
        <w:rPr>
          <w:szCs w:val="24"/>
          <w:lang w:val="en-US"/>
        </w:rPr>
        <w:t xml:space="preserve">as required in the relevant </w:t>
      </w:r>
      <w:r w:rsidR="00C362CA" w:rsidRPr="00DD1B58">
        <w:rPr>
          <w:szCs w:val="24"/>
          <w:lang w:val="en-US"/>
        </w:rPr>
        <w:t>EDF NGL</w:t>
      </w:r>
      <w:r w:rsidR="0300586F" w:rsidRPr="00DD1B58">
        <w:rPr>
          <w:szCs w:val="24"/>
          <w:lang w:val="en-US"/>
        </w:rPr>
        <w:t xml:space="preserve"> </w:t>
      </w:r>
      <w:r w:rsidRPr="00DD1B58">
        <w:rPr>
          <w:szCs w:val="24"/>
          <w:lang w:val="en-US"/>
        </w:rPr>
        <w:t>standard for maintenance, inspection and testing of HVAC fire dampers’, i.e.:</w:t>
      </w:r>
    </w:p>
    <w:p w14:paraId="22B7BA33" w14:textId="77777777" w:rsidR="780437D8" w:rsidRPr="00DD1B58" w:rsidRDefault="780437D8" w:rsidP="00973FF4">
      <w:pPr>
        <w:pStyle w:val="Bulletlist1"/>
        <w:rPr>
          <w:lang w:val="en-US"/>
        </w:rPr>
      </w:pPr>
      <w:r w:rsidRPr="00DD1B58">
        <w:rPr>
          <w:lang w:val="en-US"/>
        </w:rPr>
        <w:t>Tier 1 – Nuclear Significant fire dampers. (Nuclear significant dampers are those installed to maintain</w:t>
      </w:r>
      <w:r w:rsidR="0E55E0B5" w:rsidRPr="00DD1B58">
        <w:rPr>
          <w:lang w:val="en-US"/>
        </w:rPr>
        <w:t xml:space="preserve"> </w:t>
      </w:r>
      <w:r w:rsidRPr="00DD1B58">
        <w:rPr>
          <w:lang w:val="en-US"/>
        </w:rPr>
        <w:t>the integrity of nuclear safety barrier penetrations, in accordance with the requirement of the station’s</w:t>
      </w:r>
      <w:r w:rsidR="0F07A4C4" w:rsidRPr="00DD1B58">
        <w:rPr>
          <w:lang w:val="en-US"/>
        </w:rPr>
        <w:t xml:space="preserve"> </w:t>
      </w:r>
      <w:r w:rsidRPr="00DD1B58">
        <w:rPr>
          <w:lang w:val="en-US"/>
        </w:rPr>
        <w:t>Fire Safety Case).</w:t>
      </w:r>
    </w:p>
    <w:p w14:paraId="7D6EF34A" w14:textId="77777777" w:rsidR="780437D8" w:rsidRPr="00DD1B58" w:rsidRDefault="780437D8" w:rsidP="00973FF4">
      <w:pPr>
        <w:pStyle w:val="Bulletlist1"/>
        <w:rPr>
          <w:lang w:val="en-US"/>
        </w:rPr>
      </w:pPr>
      <w:r w:rsidRPr="00DD1B58">
        <w:rPr>
          <w:lang w:val="en-US"/>
        </w:rPr>
        <w:t>Tier 2 – Fire dampers which are installed in HVAC systems having a nuclear significant role and</w:t>
      </w:r>
      <w:r w:rsidR="6C8431FD" w:rsidRPr="00DD1B58">
        <w:rPr>
          <w:lang w:val="en-US"/>
        </w:rPr>
        <w:t xml:space="preserve"> </w:t>
      </w:r>
      <w:r w:rsidRPr="00DD1B58">
        <w:rPr>
          <w:lang w:val="en-US"/>
        </w:rPr>
        <w:t>maintain the integrity of barriers forming fire escape routes or compartments.</w:t>
      </w:r>
    </w:p>
    <w:p w14:paraId="24786A00" w14:textId="77777777" w:rsidR="780437D8" w:rsidRPr="00DD1B58" w:rsidRDefault="780437D8" w:rsidP="00973FF4">
      <w:pPr>
        <w:pStyle w:val="Bulletlist1"/>
        <w:rPr>
          <w:lang w:val="en-US"/>
        </w:rPr>
      </w:pPr>
      <w:r w:rsidRPr="00DD1B58">
        <w:rPr>
          <w:lang w:val="en-US"/>
        </w:rPr>
        <w:t>Tier 3 – Fire dampers which maintain the integrity of barriers forming fire escape routes or</w:t>
      </w:r>
      <w:r w:rsidR="0F27A028" w:rsidRPr="00DD1B58">
        <w:rPr>
          <w:lang w:val="en-US"/>
        </w:rPr>
        <w:t xml:space="preserve"> </w:t>
      </w:r>
      <w:r w:rsidRPr="00DD1B58">
        <w:rPr>
          <w:lang w:val="en-US"/>
        </w:rPr>
        <w:t>compartments.</w:t>
      </w:r>
    </w:p>
    <w:p w14:paraId="3A874F40" w14:textId="368C2807" w:rsidR="780437D8" w:rsidRPr="00DD1B58" w:rsidRDefault="007A2FF0" w:rsidP="0011516C">
      <w:pPr>
        <w:rPr>
          <w:szCs w:val="24"/>
          <w:lang w:val="en-US"/>
        </w:rPr>
      </w:pPr>
      <w:r w:rsidRPr="00DD1B58">
        <w:rPr>
          <w:szCs w:val="24"/>
          <w:lang w:val="en-US"/>
        </w:rPr>
        <w:t>EDF NGL state</w:t>
      </w:r>
      <w:r w:rsidR="004B3BFF" w:rsidRPr="00DD1B58">
        <w:rPr>
          <w:szCs w:val="24"/>
          <w:lang w:val="en-US"/>
        </w:rPr>
        <w:t>s</w:t>
      </w:r>
      <w:r w:rsidRPr="00DD1B58">
        <w:rPr>
          <w:szCs w:val="24"/>
          <w:lang w:val="en-US"/>
        </w:rPr>
        <w:t xml:space="preserve"> that the </w:t>
      </w:r>
      <w:r w:rsidR="780437D8" w:rsidRPr="00DD1B58">
        <w:rPr>
          <w:szCs w:val="24"/>
          <w:lang w:val="en-US"/>
        </w:rPr>
        <w:t xml:space="preserve">same fire resistance rating is required across all ventilation systems. </w:t>
      </w:r>
      <w:r w:rsidRPr="00DD1B58">
        <w:rPr>
          <w:szCs w:val="24"/>
          <w:lang w:val="en-US"/>
        </w:rPr>
        <w:t>It requires a</w:t>
      </w:r>
      <w:r w:rsidR="780437D8" w:rsidRPr="00DD1B58">
        <w:rPr>
          <w:szCs w:val="24"/>
          <w:lang w:val="en-US"/>
        </w:rPr>
        <w:t>ny component, whether</w:t>
      </w:r>
      <w:r w:rsidR="6335CEF4" w:rsidRPr="00DD1B58">
        <w:rPr>
          <w:szCs w:val="24"/>
          <w:lang w:val="en-US"/>
        </w:rPr>
        <w:t xml:space="preserve"> </w:t>
      </w:r>
      <w:r w:rsidR="780437D8" w:rsidRPr="00DD1B58">
        <w:rPr>
          <w:szCs w:val="24"/>
          <w:lang w:val="en-US"/>
        </w:rPr>
        <w:t>cladding or a fire damper</w:t>
      </w:r>
      <w:r w:rsidRPr="00DD1B58">
        <w:rPr>
          <w:szCs w:val="24"/>
          <w:lang w:val="en-US"/>
        </w:rPr>
        <w:t xml:space="preserve"> </w:t>
      </w:r>
      <w:r w:rsidR="780437D8" w:rsidRPr="00DD1B58">
        <w:rPr>
          <w:szCs w:val="24"/>
          <w:lang w:val="en-US"/>
        </w:rPr>
        <w:t>to be the same fire rating as the fire barrier rating it penetrates.</w:t>
      </w:r>
    </w:p>
    <w:p w14:paraId="131CE60E" w14:textId="228C720C" w:rsidR="780437D8" w:rsidRPr="00DD1B58" w:rsidRDefault="00852BA2" w:rsidP="0011516C">
      <w:pPr>
        <w:rPr>
          <w:szCs w:val="24"/>
          <w:lang w:val="en-US"/>
        </w:rPr>
      </w:pPr>
      <w:r w:rsidRPr="00DD1B58">
        <w:rPr>
          <w:szCs w:val="24"/>
          <w:lang w:val="en-US"/>
        </w:rPr>
        <w:t>EDF NGL has</w:t>
      </w:r>
      <w:r w:rsidR="780437D8" w:rsidRPr="00DD1B58">
        <w:rPr>
          <w:szCs w:val="24"/>
          <w:lang w:val="en-US"/>
        </w:rPr>
        <w:t xml:space="preserve"> various methods of fire damper actuation. Typically there are fusible links, air compressor</w:t>
      </w:r>
      <w:r w:rsidR="5109A54A" w:rsidRPr="00DD1B58">
        <w:rPr>
          <w:szCs w:val="24"/>
          <w:lang w:val="en-US"/>
        </w:rPr>
        <w:t xml:space="preserve"> </w:t>
      </w:r>
      <w:r w:rsidR="780437D8" w:rsidRPr="00DD1B58">
        <w:rPr>
          <w:szCs w:val="24"/>
          <w:lang w:val="en-US"/>
        </w:rPr>
        <w:t>pneumatic actuation to open and springs to close, and also intumescent fire rated fire dampers.</w:t>
      </w:r>
      <w:r w:rsidRPr="00DD1B58">
        <w:rPr>
          <w:szCs w:val="24"/>
          <w:lang w:val="en-US"/>
        </w:rPr>
        <w:t xml:space="preserve"> It state</w:t>
      </w:r>
      <w:r w:rsidR="004B3BFF" w:rsidRPr="00DD1B58">
        <w:rPr>
          <w:szCs w:val="24"/>
          <w:lang w:val="en-US"/>
        </w:rPr>
        <w:t>s</w:t>
      </w:r>
      <w:r w:rsidRPr="00DD1B58">
        <w:rPr>
          <w:szCs w:val="24"/>
          <w:lang w:val="en-US"/>
        </w:rPr>
        <w:t xml:space="preserve"> that n</w:t>
      </w:r>
      <w:r w:rsidR="780437D8" w:rsidRPr="00DD1B58">
        <w:rPr>
          <w:szCs w:val="24"/>
          <w:lang w:val="en-US"/>
        </w:rPr>
        <w:t>ot all HVAC systems that serve a Radiological Controlled Area (RCA) have the same response in the</w:t>
      </w:r>
      <w:r w:rsidR="247C1FBF" w:rsidRPr="00DD1B58">
        <w:rPr>
          <w:szCs w:val="24"/>
          <w:lang w:val="en-US"/>
        </w:rPr>
        <w:t xml:space="preserve"> </w:t>
      </w:r>
      <w:r w:rsidR="780437D8" w:rsidRPr="00DD1B58">
        <w:rPr>
          <w:szCs w:val="24"/>
          <w:lang w:val="en-US"/>
        </w:rPr>
        <w:t>event of a fire. In general the confinement of the airborne radiological hazard during a fire is the same</w:t>
      </w:r>
      <w:r w:rsidR="58CF0DA3" w:rsidRPr="00DD1B58">
        <w:rPr>
          <w:szCs w:val="24"/>
          <w:lang w:val="en-US"/>
        </w:rPr>
        <w:t xml:space="preserve"> </w:t>
      </w:r>
      <w:r w:rsidR="780437D8" w:rsidRPr="00DD1B58">
        <w:rPr>
          <w:szCs w:val="24"/>
          <w:lang w:val="en-US"/>
        </w:rPr>
        <w:t>as under normal operating conditions. The normal arrangement is for potentially contaminated air to be</w:t>
      </w:r>
      <w:r w:rsidR="6F5E453B" w:rsidRPr="00DD1B58">
        <w:rPr>
          <w:szCs w:val="24"/>
          <w:lang w:val="en-US"/>
        </w:rPr>
        <w:t xml:space="preserve"> </w:t>
      </w:r>
      <w:r w:rsidR="780437D8" w:rsidRPr="00DD1B58">
        <w:rPr>
          <w:szCs w:val="24"/>
          <w:lang w:val="en-US"/>
        </w:rPr>
        <w:t>contained in extract ductwork before it reaches HEPA filters (and in some cases charcoal filters) for</w:t>
      </w:r>
      <w:r w:rsidR="57E7F617" w:rsidRPr="00DD1B58">
        <w:rPr>
          <w:szCs w:val="24"/>
          <w:lang w:val="en-US"/>
        </w:rPr>
        <w:t xml:space="preserve"> </w:t>
      </w:r>
      <w:r w:rsidR="780437D8" w:rsidRPr="00DD1B58">
        <w:rPr>
          <w:szCs w:val="24"/>
          <w:lang w:val="en-US"/>
        </w:rPr>
        <w:t>filtration before discharge to atmosphere. The ductwork provides a static confinement. The filters also</w:t>
      </w:r>
      <w:r w:rsidR="315EBA14" w:rsidRPr="00DD1B58">
        <w:rPr>
          <w:szCs w:val="24"/>
          <w:lang w:val="en-US"/>
        </w:rPr>
        <w:t xml:space="preserve"> </w:t>
      </w:r>
      <w:r w:rsidR="780437D8" w:rsidRPr="00DD1B58">
        <w:rPr>
          <w:szCs w:val="24"/>
          <w:lang w:val="en-US"/>
        </w:rPr>
        <w:t>provide a static confinement. HEPA filters can be rated to 120°C (Type 1) or 500°C (Type 2), the latter</w:t>
      </w:r>
      <w:r w:rsidR="2C20AAEB" w:rsidRPr="00DD1B58">
        <w:rPr>
          <w:szCs w:val="24"/>
          <w:lang w:val="en-US"/>
        </w:rPr>
        <w:t xml:space="preserve"> providing greater protection in the event that the filters experience higher temperature conditions. Fire dampers may close during a fire and are therefore dynamic in their nature. They provide a physical barrier that acts as a dynamic </w:t>
      </w:r>
      <w:r w:rsidR="00EC1F9A" w:rsidRPr="00DD1B58">
        <w:rPr>
          <w:szCs w:val="24"/>
          <w:lang w:val="en-US"/>
        </w:rPr>
        <w:t>confinement;</w:t>
      </w:r>
      <w:r w:rsidR="2C20AAEB" w:rsidRPr="00DD1B58">
        <w:rPr>
          <w:szCs w:val="24"/>
          <w:lang w:val="en-US"/>
        </w:rPr>
        <w:t xml:space="preserve"> however the fire dampers are there to prevent the spread of fire and they are not there to prevent the spread of contamination. </w:t>
      </w:r>
    </w:p>
    <w:p w14:paraId="139F541C" w14:textId="00FFF275" w:rsidR="2C20AAEB" w:rsidRPr="00DD1B58" w:rsidRDefault="00852BA2" w:rsidP="0011516C">
      <w:pPr>
        <w:rPr>
          <w:szCs w:val="24"/>
          <w:lang w:val="en-US"/>
        </w:rPr>
      </w:pPr>
      <w:r w:rsidRPr="00DD1B58">
        <w:rPr>
          <w:szCs w:val="24"/>
          <w:lang w:val="en-US"/>
        </w:rPr>
        <w:t>EDF NGL report</w:t>
      </w:r>
      <w:r w:rsidR="00317E0D" w:rsidRPr="00DD1B58">
        <w:rPr>
          <w:szCs w:val="24"/>
          <w:lang w:val="en-US"/>
        </w:rPr>
        <w:t>s</w:t>
      </w:r>
      <w:r w:rsidRPr="00DD1B58">
        <w:rPr>
          <w:szCs w:val="24"/>
          <w:lang w:val="en-US"/>
        </w:rPr>
        <w:t xml:space="preserve"> that it </w:t>
      </w:r>
      <w:r w:rsidR="2C20AAEB" w:rsidRPr="00DD1B58">
        <w:rPr>
          <w:szCs w:val="24"/>
          <w:lang w:val="en-US"/>
        </w:rPr>
        <w:t>is possible that the supply fans or both the supply and extract fans will shut down during a fire. If the extract continues to run, then the air movement remains in the direction from the least potentially contaminated area to greatest potential, minimising any reverse flow of contamination within the building, i.e. the confinement is provided by the flow of air (note that this flow of air is sometimes described as a dynamic confinement). If both the supply and extract fans are not operating then there could be reverse flow of contamination due to the loss of the dynamic confinement that was provided by the air flow. For fire damper maintenance often the ventilation system has to be turned off and people who work in the areas are not permitted access until the ventilation system is back in service. The same applies if the contaminated ventilation system is out of service for any other reason.</w:t>
      </w:r>
    </w:p>
    <w:p w14:paraId="626A60A8" w14:textId="77777777" w:rsidR="003665A5" w:rsidRPr="00DD1B58" w:rsidRDefault="003665A5" w:rsidP="00177432">
      <w:pPr>
        <w:pStyle w:val="Heading5A"/>
        <w:rPr>
          <w:lang w:val="en-US"/>
        </w:rPr>
      </w:pPr>
      <w:bookmarkStart w:id="142" w:name="_Ref145058007"/>
      <w:r w:rsidRPr="00DD1B58">
        <w:rPr>
          <w:lang w:val="en-US"/>
        </w:rPr>
        <w:t xml:space="preserve">Licensee’s experience of the implementation of the </w:t>
      </w:r>
      <w:r w:rsidR="00AE10C6" w:rsidRPr="00DD1B58">
        <w:rPr>
          <w:lang w:val="en-US"/>
        </w:rPr>
        <w:t>passive</w:t>
      </w:r>
      <w:r w:rsidRPr="00DD1B58">
        <w:rPr>
          <w:lang w:val="en-US"/>
        </w:rPr>
        <w:t xml:space="preserve"> fire protection</w:t>
      </w:r>
      <w:bookmarkEnd w:id="142"/>
    </w:p>
    <w:p w14:paraId="0B396B55" w14:textId="42CF9914" w:rsidR="3458DCD9" w:rsidRPr="00DD1B58" w:rsidRDefault="3458DCD9" w:rsidP="0011516C">
      <w:pPr>
        <w:rPr>
          <w:szCs w:val="24"/>
          <w:lang w:val="en-US"/>
        </w:rPr>
      </w:pPr>
      <w:r w:rsidRPr="00DD1B58">
        <w:rPr>
          <w:szCs w:val="24"/>
          <w:lang w:val="en-US"/>
        </w:rPr>
        <w:t xml:space="preserve">The </w:t>
      </w:r>
      <w:r w:rsidR="00C362CA" w:rsidRPr="00DD1B58">
        <w:rPr>
          <w:szCs w:val="24"/>
          <w:lang w:val="en-US"/>
        </w:rPr>
        <w:t>EDF NGL</w:t>
      </w:r>
      <w:r w:rsidRPr="00DD1B58">
        <w:rPr>
          <w:szCs w:val="24"/>
          <w:lang w:val="en-US"/>
        </w:rPr>
        <w:t xml:space="preserve"> experience with the fire protection concept of containment is represented by HY2/SZB, i.e. prevent the spread of an unsuppressed fire from</w:t>
      </w:r>
      <w:r w:rsidR="0011516C" w:rsidRPr="00DD1B58">
        <w:rPr>
          <w:lang w:val="en-US"/>
        </w:rPr>
        <w:t xml:space="preserve"> </w:t>
      </w:r>
      <w:r w:rsidRPr="00DD1B58">
        <w:rPr>
          <w:szCs w:val="24"/>
          <w:lang w:val="en-US"/>
        </w:rPr>
        <w:t>compartment of origin.</w:t>
      </w:r>
      <w:r w:rsidR="00B94C7E" w:rsidRPr="00DD1B58">
        <w:rPr>
          <w:szCs w:val="24"/>
          <w:lang w:val="en-US"/>
        </w:rPr>
        <w:t xml:space="preserve"> </w:t>
      </w:r>
      <w:r w:rsidRPr="00DD1B58">
        <w:rPr>
          <w:szCs w:val="24"/>
          <w:lang w:val="en-US"/>
        </w:rPr>
        <w:t xml:space="preserve">The </w:t>
      </w:r>
      <w:r w:rsidR="00C362CA" w:rsidRPr="00DD1B58">
        <w:rPr>
          <w:szCs w:val="24"/>
          <w:lang w:val="en-US"/>
        </w:rPr>
        <w:t>EDF NGL</w:t>
      </w:r>
      <w:r w:rsidRPr="00DD1B58">
        <w:rPr>
          <w:szCs w:val="24"/>
          <w:lang w:val="en-US"/>
        </w:rPr>
        <w:t xml:space="preserve"> experience has been gained over a long period of operation of diverse AGR designs and has in particular been influenced by the Browns Ferry fire.</w:t>
      </w:r>
    </w:p>
    <w:p w14:paraId="34D76383" w14:textId="77777777" w:rsidR="003665A5" w:rsidRPr="00DD1B58" w:rsidRDefault="003665A5" w:rsidP="00177432">
      <w:pPr>
        <w:pStyle w:val="Heading5A"/>
        <w:numPr>
          <w:ilvl w:val="5"/>
          <w:numId w:val="7"/>
        </w:numPr>
        <w:rPr>
          <w:lang w:val="en-US"/>
        </w:rPr>
      </w:pPr>
      <w:r w:rsidRPr="00DD1B58">
        <w:rPr>
          <w:lang w:val="en-US"/>
        </w:rPr>
        <w:t>Overview of strengths and weaknesses</w:t>
      </w:r>
    </w:p>
    <w:p w14:paraId="461164F1" w14:textId="7605198A" w:rsidR="6DDB80E8" w:rsidRPr="00DD1B58" w:rsidRDefault="00D81FEE" w:rsidP="009B2FCD">
      <w:pPr>
        <w:rPr>
          <w:lang w:val="en-US"/>
        </w:rPr>
      </w:pPr>
      <w:r w:rsidRPr="00DD1B58">
        <w:rPr>
          <w:b/>
          <w:lang w:val="en-US"/>
        </w:rPr>
        <w:t>HY</w:t>
      </w:r>
      <w:r w:rsidR="6DDB80E8" w:rsidRPr="00DD1B58">
        <w:rPr>
          <w:b/>
          <w:lang w:val="en-US"/>
        </w:rPr>
        <w:t>2</w:t>
      </w:r>
      <w:r w:rsidR="005D5C50" w:rsidRPr="00DD1B58">
        <w:rPr>
          <w:b/>
          <w:lang w:val="en-US"/>
        </w:rPr>
        <w:t>/</w:t>
      </w:r>
      <w:r w:rsidR="6DDB80E8" w:rsidRPr="00DD1B58">
        <w:rPr>
          <w:b/>
          <w:lang w:val="en-US"/>
        </w:rPr>
        <w:t>Sizewell B</w:t>
      </w:r>
      <w:r w:rsidR="00725515" w:rsidRPr="00DD1B58">
        <w:rPr>
          <w:b/>
          <w:lang w:val="en-US"/>
        </w:rPr>
        <w:t xml:space="preserve"> </w:t>
      </w:r>
      <w:r w:rsidR="00B94C7E" w:rsidRPr="00DD1B58">
        <w:rPr>
          <w:b/>
          <w:lang w:val="en-US"/>
        </w:rPr>
        <w:t>–</w:t>
      </w:r>
      <w:r w:rsidR="00725515" w:rsidRPr="00DD1B58">
        <w:rPr>
          <w:b/>
          <w:lang w:val="en-US"/>
        </w:rPr>
        <w:t xml:space="preserve"> </w:t>
      </w:r>
      <w:r w:rsidR="00B94C7E" w:rsidRPr="00DD1B58">
        <w:rPr>
          <w:bCs/>
          <w:lang w:val="en-US"/>
        </w:rPr>
        <w:t>EDF NGL report</w:t>
      </w:r>
      <w:r w:rsidR="00B554EA" w:rsidRPr="00DD1B58">
        <w:rPr>
          <w:bCs/>
          <w:lang w:val="en-US"/>
        </w:rPr>
        <w:t>s</w:t>
      </w:r>
      <w:r w:rsidR="00B94C7E" w:rsidRPr="00DD1B58">
        <w:rPr>
          <w:bCs/>
          <w:lang w:val="en-US"/>
        </w:rPr>
        <w:t xml:space="preserve"> that, a</w:t>
      </w:r>
      <w:r w:rsidR="6DDB80E8" w:rsidRPr="00DD1B58">
        <w:rPr>
          <w:bCs/>
          <w:lang w:val="en-US"/>
        </w:rPr>
        <w:t>t HY2 and SZB</w:t>
      </w:r>
      <w:r w:rsidR="00B94C7E" w:rsidRPr="00DD1B58">
        <w:rPr>
          <w:bCs/>
          <w:lang w:val="en-US"/>
        </w:rPr>
        <w:t>,</w:t>
      </w:r>
      <w:r w:rsidR="6DDB80E8" w:rsidRPr="00DD1B58">
        <w:rPr>
          <w:bCs/>
          <w:lang w:val="en-US"/>
        </w:rPr>
        <w:t xml:space="preserve"> the fire</w:t>
      </w:r>
      <w:r w:rsidR="6DDB80E8" w:rsidRPr="00DD1B58">
        <w:rPr>
          <w:lang w:val="en-US"/>
        </w:rPr>
        <w:t xml:space="preserve"> containment approach has been challenged by poor quality of the original build, e.g. linear gap seals not installed correctly originally, or through time based degradation of flexible barrier materials. </w:t>
      </w:r>
      <w:r w:rsidR="00B94C7E" w:rsidRPr="00DD1B58">
        <w:rPr>
          <w:lang w:val="en-US"/>
        </w:rPr>
        <w:t xml:space="preserve">EDF NGL manages the </w:t>
      </w:r>
      <w:r w:rsidR="6DDB80E8" w:rsidRPr="00DD1B58">
        <w:rPr>
          <w:lang w:val="en-US"/>
        </w:rPr>
        <w:t>potential impairments of the containment approach by regular inspections of the plant and subsequent repairs.</w:t>
      </w:r>
    </w:p>
    <w:p w14:paraId="379226EC" w14:textId="3CB1B553" w:rsidR="273ECB90" w:rsidRPr="00DD1B58" w:rsidRDefault="00B94C7E" w:rsidP="009B2FCD">
      <w:pPr>
        <w:rPr>
          <w:lang w:val="en-US"/>
        </w:rPr>
      </w:pPr>
      <w:r w:rsidRPr="00DD1B58">
        <w:rPr>
          <w:lang w:val="en-US"/>
        </w:rPr>
        <w:t xml:space="preserve">EDF NGL considers that the </w:t>
      </w:r>
      <w:r w:rsidR="6DDB80E8" w:rsidRPr="00DD1B58">
        <w:rPr>
          <w:lang w:val="en-US"/>
        </w:rPr>
        <w:t>fire</w:t>
      </w:r>
      <w:r w:rsidRPr="00DD1B58">
        <w:rPr>
          <w:lang w:val="en-US"/>
        </w:rPr>
        <w:t>-</w:t>
      </w:r>
      <w:r w:rsidR="6DDB80E8" w:rsidRPr="00DD1B58">
        <w:rPr>
          <w:lang w:val="en-US"/>
        </w:rPr>
        <w:t>segregated four</w:t>
      </w:r>
      <w:r w:rsidRPr="00DD1B58">
        <w:rPr>
          <w:lang w:val="en-US"/>
        </w:rPr>
        <w:t>-</w:t>
      </w:r>
      <w:r w:rsidR="6DDB80E8" w:rsidRPr="00DD1B58">
        <w:rPr>
          <w:lang w:val="en-US"/>
        </w:rPr>
        <w:t xml:space="preserve">safety train approach at HY2 and SZB provides the built-in reliability inherent in the segregation approach. </w:t>
      </w:r>
      <w:r w:rsidRPr="00DD1B58">
        <w:rPr>
          <w:lang w:val="en-US"/>
        </w:rPr>
        <w:t>EDF NGL provides th</w:t>
      </w:r>
      <w:r w:rsidR="00B554EA" w:rsidRPr="00DD1B58">
        <w:rPr>
          <w:lang w:val="en-US"/>
        </w:rPr>
        <w:t>e</w:t>
      </w:r>
      <w:r w:rsidRPr="00DD1B58">
        <w:rPr>
          <w:lang w:val="en-US"/>
        </w:rPr>
        <w:t>s</w:t>
      </w:r>
      <w:r w:rsidR="00E55CE9" w:rsidRPr="00DD1B58">
        <w:rPr>
          <w:lang w:val="en-US"/>
        </w:rPr>
        <w:t>e</w:t>
      </w:r>
      <w:r w:rsidRPr="00DD1B58">
        <w:rPr>
          <w:lang w:val="en-US"/>
        </w:rPr>
        <w:t xml:space="preserve"> </w:t>
      </w:r>
      <w:r w:rsidR="6DDB80E8" w:rsidRPr="00DD1B58">
        <w:rPr>
          <w:lang w:val="en-US"/>
        </w:rPr>
        <w:t xml:space="preserve">stations with fire detection and suppression for defence in depth and </w:t>
      </w:r>
      <w:r w:rsidRPr="00DD1B58">
        <w:rPr>
          <w:lang w:val="en-US"/>
        </w:rPr>
        <w:t xml:space="preserve">asset </w:t>
      </w:r>
      <w:r w:rsidR="6DDB80E8" w:rsidRPr="00DD1B58">
        <w:rPr>
          <w:lang w:val="en-US"/>
        </w:rPr>
        <w:t>protection.</w:t>
      </w:r>
      <w:r w:rsidRPr="00DD1B58">
        <w:rPr>
          <w:lang w:val="en-US"/>
        </w:rPr>
        <w:t xml:space="preserve"> EDF considers </w:t>
      </w:r>
      <w:r w:rsidR="273ECB90" w:rsidRPr="00DD1B58">
        <w:rPr>
          <w:lang w:val="en-US"/>
        </w:rPr>
        <w:t>HY2 and SZB</w:t>
      </w:r>
      <w:r w:rsidRPr="00DD1B58">
        <w:rPr>
          <w:lang w:val="en-US"/>
        </w:rPr>
        <w:t>’s</w:t>
      </w:r>
      <w:r w:rsidR="273ECB90" w:rsidRPr="00DD1B58">
        <w:rPr>
          <w:lang w:val="en-US"/>
        </w:rPr>
        <w:t xml:space="preserve"> approach of four separate safety trains with fire containment between the trains, reinforced by fire influence to be more robust than the fire influence approach alone.</w:t>
      </w:r>
    </w:p>
    <w:p w14:paraId="7CEC033F" w14:textId="77777777" w:rsidR="003665A5" w:rsidRPr="00DD1B58" w:rsidRDefault="003665A5" w:rsidP="00177432">
      <w:pPr>
        <w:pStyle w:val="Heading5A"/>
        <w:numPr>
          <w:ilvl w:val="5"/>
          <w:numId w:val="7"/>
        </w:numPr>
        <w:rPr>
          <w:lang w:val="en-US"/>
        </w:rPr>
      </w:pPr>
      <w:r w:rsidRPr="00DD1B58">
        <w:rPr>
          <w:lang w:val="en-US"/>
        </w:rPr>
        <w:t>Lessons learned from events, reviews fire safety related missions, etc.</w:t>
      </w:r>
    </w:p>
    <w:p w14:paraId="05458E16" w14:textId="77777777" w:rsidR="2814F8E2" w:rsidRPr="00DD1B58" w:rsidRDefault="004673AD" w:rsidP="0011516C">
      <w:pPr>
        <w:rPr>
          <w:lang w:val="en-US"/>
        </w:rPr>
      </w:pPr>
      <w:r w:rsidRPr="00DD1B58">
        <w:rPr>
          <w:lang w:val="en-US"/>
        </w:rPr>
        <w:t>Lessons learnt are addressed in Section</w:t>
      </w:r>
      <w:r w:rsidR="00BC4844" w:rsidRPr="00DD1B58">
        <w:rPr>
          <w:lang w:val="en-US"/>
        </w:rPr>
        <w:t xml:space="preserve"> A-I-4.3.3.1.</w:t>
      </w:r>
    </w:p>
    <w:p w14:paraId="5868A1C1" w14:textId="77777777" w:rsidR="003665A5" w:rsidRPr="00DD1B58" w:rsidRDefault="003665A5" w:rsidP="00177432">
      <w:pPr>
        <w:pStyle w:val="Heading5A"/>
        <w:numPr>
          <w:ilvl w:val="5"/>
          <w:numId w:val="7"/>
        </w:numPr>
        <w:rPr>
          <w:lang w:val="en-US"/>
        </w:rPr>
      </w:pPr>
      <w:r w:rsidRPr="00DD1B58">
        <w:rPr>
          <w:lang w:val="en-US"/>
        </w:rPr>
        <w:t>Overview of actions and implementation status</w:t>
      </w:r>
    </w:p>
    <w:p w14:paraId="4112590E" w14:textId="77777777" w:rsidR="56B1DE63" w:rsidRPr="00DD1B58" w:rsidRDefault="56B1DE63" w:rsidP="0011516C">
      <w:pPr>
        <w:rPr>
          <w:szCs w:val="28"/>
          <w:lang w:val="en-US"/>
        </w:rPr>
      </w:pPr>
      <w:r w:rsidRPr="00DD1B58">
        <w:rPr>
          <w:lang w:val="en-US"/>
        </w:rPr>
        <w:t>No</w:t>
      </w:r>
      <w:r w:rsidR="00BC4844" w:rsidRPr="00DD1B58">
        <w:rPr>
          <w:lang w:val="en-US"/>
        </w:rPr>
        <w:t xml:space="preserve"> actions were identified by the licensee.</w:t>
      </w:r>
    </w:p>
    <w:p w14:paraId="77EF5629" w14:textId="77777777" w:rsidR="003665A5" w:rsidRPr="00DD1B58" w:rsidRDefault="003665A5" w:rsidP="00177432">
      <w:pPr>
        <w:pStyle w:val="Heading5A"/>
        <w:rPr>
          <w:lang w:val="en-US"/>
        </w:rPr>
      </w:pPr>
      <w:bookmarkStart w:id="143" w:name="_Ref145057687"/>
      <w:r w:rsidRPr="00DD1B58">
        <w:rPr>
          <w:lang w:val="en-US"/>
        </w:rPr>
        <w:t xml:space="preserve">Regulator’s assessment of the </w:t>
      </w:r>
      <w:r w:rsidR="00AE10C6" w:rsidRPr="00DD1B58">
        <w:rPr>
          <w:lang w:val="en-US"/>
        </w:rPr>
        <w:t>passive</w:t>
      </w:r>
      <w:r w:rsidRPr="00DD1B58">
        <w:rPr>
          <w:lang w:val="en-US"/>
        </w:rPr>
        <w:t xml:space="preserve"> fire protection</w:t>
      </w:r>
      <w:bookmarkEnd w:id="143"/>
    </w:p>
    <w:p w14:paraId="33C94833" w14:textId="5E270FB8" w:rsidR="003665A5" w:rsidRPr="00DD1B58" w:rsidRDefault="003665A5" w:rsidP="00177432">
      <w:pPr>
        <w:pStyle w:val="Heading5A"/>
        <w:numPr>
          <w:ilvl w:val="5"/>
          <w:numId w:val="7"/>
        </w:numPr>
        <w:rPr>
          <w:lang w:val="en-US"/>
        </w:rPr>
      </w:pPr>
      <w:r w:rsidRPr="00DD1B58">
        <w:rPr>
          <w:lang w:val="en-US"/>
        </w:rPr>
        <w:t xml:space="preserve">Overview of strengths and weaknesses in the </w:t>
      </w:r>
      <w:r w:rsidR="004D0933" w:rsidRPr="00DD1B58">
        <w:rPr>
          <w:lang w:val="en-US"/>
        </w:rPr>
        <w:t>passive</w:t>
      </w:r>
      <w:r w:rsidRPr="00DD1B58">
        <w:rPr>
          <w:lang w:val="en-US"/>
        </w:rPr>
        <w:t xml:space="preserve"> fire protection</w:t>
      </w:r>
    </w:p>
    <w:p w14:paraId="4BE3962E" w14:textId="527B27DD" w:rsidR="00B31F3C" w:rsidRPr="00DD1B58" w:rsidRDefault="00B31F3C" w:rsidP="00F20088">
      <w:pPr>
        <w:rPr>
          <w:lang w:val="en-US"/>
        </w:rPr>
      </w:pPr>
      <w:r w:rsidRPr="00DD1B58">
        <w:rPr>
          <w:lang w:val="en-US"/>
        </w:rPr>
        <w:t xml:space="preserve">The approach described in Section A-I-3.3.1.1 details how and where EDF NGL applies fire containment via the physical separation of areas through the use of fire rated barriers, where this is applied within its facilities. Where this </w:t>
      </w:r>
      <w:r w:rsidR="00B12C65" w:rsidRPr="00DD1B58">
        <w:rPr>
          <w:lang w:val="en-US"/>
        </w:rPr>
        <w:t>is</w:t>
      </w:r>
      <w:r w:rsidRPr="00DD1B58">
        <w:rPr>
          <w:lang w:val="en-US"/>
        </w:rPr>
        <w:t xml:space="preserve"> applicable, this meets ONR expectations as set out in the internal hazards TAG </w:t>
      </w:r>
      <w:sdt>
        <w:sdtPr>
          <w:rPr>
            <w:lang w:val="en-US"/>
          </w:rPr>
          <w:id w:val="-395670101"/>
          <w:citation/>
        </w:sdtPr>
        <w:sdtContent>
          <w:r w:rsidR="008C0C8A" w:rsidRPr="00DD1B58">
            <w:rPr>
              <w:lang w:val="en-US"/>
            </w:rPr>
            <w:fldChar w:fldCharType="begin"/>
          </w:r>
          <w:r w:rsidR="008C0C8A" w:rsidRPr="00DD1B58">
            <w:rPr>
              <w:lang w:val="en-US"/>
            </w:rPr>
            <w:instrText xml:space="preserve"> CITATION ONR4 \l 2057 </w:instrText>
          </w:r>
          <w:r w:rsidR="008C0C8A" w:rsidRPr="00DD1B58">
            <w:rPr>
              <w:lang w:val="en-US"/>
            </w:rPr>
            <w:fldChar w:fldCharType="separate"/>
          </w:r>
          <w:r w:rsidR="00DF47DA" w:rsidRPr="00DF47DA">
            <w:rPr>
              <w:noProof/>
              <w:lang w:val="en-US"/>
            </w:rPr>
            <w:t>[16]</w:t>
          </w:r>
          <w:r w:rsidR="008C0C8A" w:rsidRPr="00DD1B58">
            <w:rPr>
              <w:lang w:val="en-US"/>
            </w:rPr>
            <w:fldChar w:fldCharType="end"/>
          </w:r>
        </w:sdtContent>
      </w:sdt>
      <w:r w:rsidR="008C0C8A" w:rsidRPr="00DD1B58">
        <w:rPr>
          <w:lang w:val="en-US"/>
        </w:rPr>
        <w:t xml:space="preserve"> </w:t>
      </w:r>
      <w:r w:rsidRPr="00DD1B58">
        <w:rPr>
          <w:lang w:val="en-US"/>
        </w:rPr>
        <w:t xml:space="preserve">and IAEA SSG-64 </w:t>
      </w:r>
      <w:sdt>
        <w:sdtPr>
          <w:rPr>
            <w:lang w:val="en-US"/>
          </w:rPr>
          <w:id w:val="924923245"/>
          <w:citation/>
        </w:sdtPr>
        <w:sdtContent>
          <w:r w:rsidR="008C0C8A" w:rsidRPr="00DD1B58">
            <w:rPr>
              <w:lang w:val="en-US"/>
            </w:rPr>
            <w:fldChar w:fldCharType="begin"/>
          </w:r>
          <w:r w:rsidR="008C0C8A" w:rsidRPr="00DD1B58">
            <w:rPr>
              <w:lang w:val="en-US"/>
            </w:rPr>
            <w:instrText xml:space="preserve"> CITATION IAE5 \l 2057 </w:instrText>
          </w:r>
          <w:r w:rsidR="008C0C8A" w:rsidRPr="00DD1B58">
            <w:rPr>
              <w:lang w:val="en-US"/>
            </w:rPr>
            <w:fldChar w:fldCharType="separate"/>
          </w:r>
          <w:r w:rsidR="00DF47DA" w:rsidRPr="00DF47DA">
            <w:rPr>
              <w:noProof/>
              <w:lang w:val="en-US"/>
            </w:rPr>
            <w:t>[17]</w:t>
          </w:r>
          <w:r w:rsidR="008C0C8A" w:rsidRPr="00DD1B58">
            <w:rPr>
              <w:lang w:val="en-US"/>
            </w:rPr>
            <w:fldChar w:fldCharType="end"/>
          </w:r>
        </w:sdtContent>
      </w:sdt>
      <w:r w:rsidR="008C0C8A" w:rsidRPr="00DD1B58">
        <w:rPr>
          <w:lang w:val="en-US"/>
        </w:rPr>
        <w:t xml:space="preserve"> </w:t>
      </w:r>
      <w:r w:rsidRPr="00DD1B58">
        <w:rPr>
          <w:lang w:val="en-US"/>
        </w:rPr>
        <w:t>in addition to WENRA SRL SV 6.5. EDF NGL has set out how fire barrier designation is driven by fire hazard analysis. This meets ONR’s expectations that fire barriers should be provided to provide the fire resistance as required by the fire hazard analysis.</w:t>
      </w:r>
    </w:p>
    <w:p w14:paraId="750551C0" w14:textId="3E73A771" w:rsidR="00B31F3C" w:rsidRPr="00DD1B58" w:rsidRDefault="00B31F3C" w:rsidP="00F20088">
      <w:pPr>
        <w:rPr>
          <w:lang w:val="en-US"/>
        </w:rPr>
      </w:pPr>
      <w:r w:rsidRPr="00DD1B58">
        <w:rPr>
          <w:lang w:val="en-US"/>
        </w:rPr>
        <w:t>The three EDF NGL candidate facilities place different nuclear safety claims on passive fire protection features. At HNB</w:t>
      </w:r>
      <w:r w:rsidR="008C5E97" w:rsidRPr="00DD1B58">
        <w:rPr>
          <w:lang w:val="en-US"/>
        </w:rPr>
        <w:t>,</w:t>
      </w:r>
      <w:r w:rsidRPr="00DD1B58">
        <w:rPr>
          <w:lang w:val="en-US"/>
        </w:rPr>
        <w:t xml:space="preserve"> the predominant means of fire protection is active which is largely </w:t>
      </w:r>
      <w:r w:rsidR="008C5E97" w:rsidRPr="00DD1B58">
        <w:rPr>
          <w:lang w:val="en-US"/>
        </w:rPr>
        <w:t>linked to the age</w:t>
      </w:r>
      <w:r w:rsidR="005D5C50" w:rsidRPr="00DD1B58">
        <w:rPr>
          <w:lang w:val="en-US"/>
        </w:rPr>
        <w:t>/</w:t>
      </w:r>
      <w:r w:rsidR="008C5E97" w:rsidRPr="00DD1B58">
        <w:rPr>
          <w:lang w:val="en-US"/>
        </w:rPr>
        <w:t>time of build,</w:t>
      </w:r>
      <w:r w:rsidRPr="00DD1B58">
        <w:rPr>
          <w:lang w:val="en-US"/>
        </w:rPr>
        <w:t xml:space="preserve"> with compartment and ventilation design based upon the standards of the time. This does not meet the expectations of the ONR internal hazards TAG</w:t>
      </w:r>
      <w:r w:rsidR="00DC5C29" w:rsidRPr="00DD1B58">
        <w:rPr>
          <w:lang w:val="en-US"/>
        </w:rPr>
        <w:t xml:space="preserve"> </w:t>
      </w:r>
      <w:sdt>
        <w:sdtPr>
          <w:rPr>
            <w:lang w:val="en-US"/>
          </w:rPr>
          <w:id w:val="-305849504"/>
          <w:citation/>
        </w:sdtPr>
        <w:sdtContent>
          <w:r w:rsidR="00DC5C29" w:rsidRPr="00DD1B58">
            <w:rPr>
              <w:lang w:val="en-US"/>
            </w:rPr>
            <w:fldChar w:fldCharType="begin"/>
          </w:r>
          <w:r w:rsidR="00DC5C29" w:rsidRPr="00DD1B58">
            <w:rPr>
              <w:lang w:val="en-US"/>
            </w:rPr>
            <w:instrText xml:space="preserve"> CITATION ONR4 \l 2057 </w:instrText>
          </w:r>
          <w:r w:rsidR="00DC5C29" w:rsidRPr="00DD1B58">
            <w:rPr>
              <w:lang w:val="en-US"/>
            </w:rPr>
            <w:fldChar w:fldCharType="separate"/>
          </w:r>
          <w:r w:rsidR="00DF47DA" w:rsidRPr="00DF47DA">
            <w:rPr>
              <w:noProof/>
              <w:lang w:val="en-US"/>
            </w:rPr>
            <w:t>[16]</w:t>
          </w:r>
          <w:r w:rsidR="00DC5C29" w:rsidRPr="00DD1B58">
            <w:rPr>
              <w:lang w:val="en-US"/>
            </w:rPr>
            <w:fldChar w:fldCharType="end"/>
          </w:r>
        </w:sdtContent>
      </w:sdt>
      <w:r w:rsidR="008C5E97" w:rsidRPr="00DD1B58">
        <w:rPr>
          <w:lang w:val="en-US"/>
        </w:rPr>
        <w:t>,</w:t>
      </w:r>
      <w:r w:rsidRPr="00DD1B58">
        <w:rPr>
          <w:lang w:val="en-US"/>
        </w:rPr>
        <w:t xml:space="preserve"> which </w:t>
      </w:r>
      <w:r w:rsidR="008C5E97" w:rsidRPr="00DD1B58">
        <w:rPr>
          <w:lang w:val="en-US"/>
        </w:rPr>
        <w:t xml:space="preserve">stresses </w:t>
      </w:r>
      <w:r w:rsidRPr="00DD1B58">
        <w:rPr>
          <w:lang w:val="en-US"/>
        </w:rPr>
        <w:t>the importance of segregating redundant safety measures in separate fire compartments. EDF NGL recognised the shortfalls in the HNB design and (as described in section I-2.1.1.2) added compartmentation and additional lines of protection which are physically separated from other lines such that full compartment burn out can be tolerated. In addition, HNB is now undergoing defueling, hence the nuclear risk is decreasing on the site. At HY2 (as described in section I-2.1.1.2) the fire hazard risk management is based upon passive protection by fire barrier segregation supplemented by claims in active protection in a small number of areas</w:t>
      </w:r>
      <w:r w:rsidR="002E1885" w:rsidRPr="00DD1B58">
        <w:rPr>
          <w:lang w:val="en-US"/>
        </w:rPr>
        <w:t>.</w:t>
      </w:r>
      <w:r w:rsidRPr="00DD1B58">
        <w:rPr>
          <w:lang w:val="en-US"/>
        </w:rPr>
        <w:t xml:space="preserve"> ONR judges the fire barrier segregation provisions at SZ</w:t>
      </w:r>
      <w:r w:rsidR="00667B4F" w:rsidRPr="00DD1B58">
        <w:rPr>
          <w:lang w:val="en-US"/>
        </w:rPr>
        <w:t>B</w:t>
      </w:r>
      <w:r w:rsidRPr="00DD1B58">
        <w:rPr>
          <w:lang w:val="en-US"/>
        </w:rPr>
        <w:t xml:space="preserve"> to be </w:t>
      </w:r>
      <w:r w:rsidR="00E6549C" w:rsidRPr="00DD1B58">
        <w:rPr>
          <w:lang w:val="en-US"/>
        </w:rPr>
        <w:t>in line with modern standards and expectations</w:t>
      </w:r>
      <w:r w:rsidRPr="00DD1B58">
        <w:rPr>
          <w:lang w:val="en-US"/>
        </w:rPr>
        <w:t>.</w:t>
      </w:r>
    </w:p>
    <w:p w14:paraId="681E3A4B" w14:textId="07DC5A20" w:rsidR="00B31F3C" w:rsidRPr="00DD1B58" w:rsidRDefault="00B31F3C" w:rsidP="00F20088">
      <w:pPr>
        <w:rPr>
          <w:lang w:val="en-US"/>
        </w:rPr>
      </w:pPr>
      <w:r w:rsidRPr="00DD1B58">
        <w:rPr>
          <w:lang w:val="en-US"/>
        </w:rPr>
        <w:t>ONR expects dampers to be provided in ventilation ducts that penetrate fire barriers to prevent the transmission of fire and smoke. Consideration should be given to the means of initiation and the potential for transmission of smoke and the acceptability of this should it occur. The ventilation system integrity should be maintained despite possible filter fires or any ither fire or explosion hazards. These expectations are described in the ONR internal hazards TAG</w:t>
      </w:r>
      <w:r w:rsidR="00DC5C29" w:rsidRPr="00DD1B58">
        <w:rPr>
          <w:lang w:val="en-US"/>
        </w:rPr>
        <w:t xml:space="preserve"> </w:t>
      </w:r>
      <w:sdt>
        <w:sdtPr>
          <w:rPr>
            <w:lang w:val="en-US"/>
          </w:rPr>
          <w:id w:val="1140691007"/>
          <w:citation/>
        </w:sdtPr>
        <w:sdtContent>
          <w:r w:rsidR="00FC6C3F" w:rsidRPr="00DD1B58">
            <w:rPr>
              <w:lang w:val="en-US"/>
            </w:rPr>
            <w:fldChar w:fldCharType="begin"/>
          </w:r>
          <w:r w:rsidR="00FC6C3F" w:rsidRPr="00DD1B58">
            <w:rPr>
              <w:lang w:val="en-US"/>
            </w:rPr>
            <w:instrText xml:space="preserve"> CITATION ONR4 \l 2057 </w:instrText>
          </w:r>
          <w:r w:rsidR="00FC6C3F" w:rsidRPr="00DD1B58">
            <w:rPr>
              <w:lang w:val="en-US"/>
            </w:rPr>
            <w:fldChar w:fldCharType="separate"/>
          </w:r>
          <w:r w:rsidR="00DF47DA" w:rsidRPr="00DF47DA">
            <w:rPr>
              <w:noProof/>
              <w:lang w:val="en-US"/>
            </w:rPr>
            <w:t>[16]</w:t>
          </w:r>
          <w:r w:rsidR="00FC6C3F" w:rsidRPr="00DD1B58">
            <w:rPr>
              <w:lang w:val="en-US"/>
            </w:rPr>
            <w:fldChar w:fldCharType="end"/>
          </w:r>
        </w:sdtContent>
      </w:sdt>
      <w:r w:rsidRPr="00DD1B58">
        <w:rPr>
          <w:lang w:val="en-US"/>
        </w:rPr>
        <w:t>. EDF NGL has set out its approach for ventilation systems and fire dampers</w:t>
      </w:r>
      <w:r w:rsidR="00042501" w:rsidRPr="00DD1B58">
        <w:rPr>
          <w:lang w:val="en-US"/>
        </w:rPr>
        <w:t xml:space="preserve"> </w:t>
      </w:r>
      <w:r w:rsidR="00525A89" w:rsidRPr="00DD1B58">
        <w:rPr>
          <w:lang w:val="en-US"/>
        </w:rPr>
        <w:t xml:space="preserve">(in section A-I.3.3.2.2) </w:t>
      </w:r>
      <w:r w:rsidR="00CA3FF3" w:rsidRPr="00DD1B58">
        <w:rPr>
          <w:lang w:val="en-US"/>
        </w:rPr>
        <w:t>d</w:t>
      </w:r>
      <w:r w:rsidRPr="00DD1B58">
        <w:rPr>
          <w:lang w:val="en-US"/>
        </w:rPr>
        <w:t xml:space="preserve">etailing how fire damper design meets RGP and how ductwork is protected from fire. ONR judges the licensee’s provision in this area to be </w:t>
      </w:r>
      <w:r w:rsidR="0026256D" w:rsidRPr="00DD1B58">
        <w:rPr>
          <w:lang w:val="en-US"/>
        </w:rPr>
        <w:t xml:space="preserve">a strength in the EDF NGL safety case </w:t>
      </w:r>
      <w:r w:rsidR="00E6549C" w:rsidRPr="00DD1B58">
        <w:rPr>
          <w:lang w:val="en-US"/>
        </w:rPr>
        <w:t xml:space="preserve">in line with standards and </w:t>
      </w:r>
      <w:r w:rsidR="00F8022F" w:rsidRPr="00DD1B58">
        <w:rPr>
          <w:lang w:val="en-US"/>
        </w:rPr>
        <w:t xml:space="preserve">regulatory </w:t>
      </w:r>
      <w:r w:rsidR="00E6549C" w:rsidRPr="00DD1B58">
        <w:rPr>
          <w:lang w:val="en-US"/>
        </w:rPr>
        <w:t>expectations</w:t>
      </w:r>
      <w:r w:rsidRPr="00DD1B58">
        <w:rPr>
          <w:lang w:val="en-US"/>
        </w:rPr>
        <w:t>.</w:t>
      </w:r>
    </w:p>
    <w:p w14:paraId="6AAF3FB6" w14:textId="77777777" w:rsidR="00513B78" w:rsidRPr="00DD1B58" w:rsidRDefault="003665A5" w:rsidP="00513B78">
      <w:pPr>
        <w:pStyle w:val="Heading5A"/>
        <w:numPr>
          <w:ilvl w:val="5"/>
          <w:numId w:val="7"/>
        </w:numPr>
        <w:rPr>
          <w:lang w:val="en-US"/>
        </w:rPr>
      </w:pPr>
      <w:r w:rsidRPr="00DD1B58">
        <w:rPr>
          <w:lang w:val="en-US"/>
        </w:rPr>
        <w:t>Lessons learned from inspection and assessment on the active fire protection as part of its regulatory oversight</w:t>
      </w:r>
    </w:p>
    <w:p w14:paraId="602C1B9B" w14:textId="0EC1FB84" w:rsidR="00D95BE3" w:rsidRPr="00DD1B58" w:rsidRDefault="00D95BE3" w:rsidP="00F20088">
      <w:pPr>
        <w:rPr>
          <w:lang w:val="en-US"/>
        </w:rPr>
      </w:pPr>
      <w:r w:rsidRPr="00DD1B58">
        <w:rPr>
          <w:lang w:val="en-US"/>
        </w:rPr>
        <w:t>A 2023 inspection of the Torness power station, a facility not within the candidate installation list, revealed</w:t>
      </w:r>
      <w:r w:rsidR="00F8022F" w:rsidRPr="00DD1B58">
        <w:rPr>
          <w:lang w:val="en-US"/>
        </w:rPr>
        <w:t xml:space="preserve"> </w:t>
      </w:r>
      <w:r w:rsidRPr="00DD1B58">
        <w:rPr>
          <w:lang w:val="en-US"/>
        </w:rPr>
        <w:t xml:space="preserve">deficiencies regarding </w:t>
      </w:r>
      <w:r w:rsidR="00F8022F" w:rsidRPr="00DD1B58">
        <w:rPr>
          <w:lang w:val="en-US"/>
        </w:rPr>
        <w:t>f</w:t>
      </w:r>
      <w:r w:rsidRPr="00DD1B58">
        <w:rPr>
          <w:lang w:val="en-US"/>
        </w:rPr>
        <w:t>ire resisting compartmentation</w:t>
      </w:r>
      <w:r w:rsidR="00F8022F" w:rsidRPr="00DD1B58">
        <w:rPr>
          <w:lang w:val="en-US"/>
        </w:rPr>
        <w:t>, as reported in section</w:t>
      </w:r>
      <w:r w:rsidR="00DA1C3A" w:rsidRPr="00DD1B58">
        <w:rPr>
          <w:lang w:val="en-US"/>
        </w:rPr>
        <w:t xml:space="preserve"> A</w:t>
      </w:r>
      <w:r w:rsidR="005D3CA1" w:rsidRPr="00DD1B58">
        <w:rPr>
          <w:lang w:val="en-US"/>
        </w:rPr>
        <w:t>-I.3.2.5.2</w:t>
      </w:r>
      <w:r w:rsidRPr="00DD1B58">
        <w:rPr>
          <w:lang w:val="en-US"/>
        </w:rPr>
        <w:t>. This led to ONR raising Regulatory Issues to track the licensee’s response to the findings.</w:t>
      </w:r>
      <w:r w:rsidR="00940D2A" w:rsidRPr="00DD1B58">
        <w:rPr>
          <w:lang w:val="en-US"/>
        </w:rPr>
        <w:t xml:space="preserve"> </w:t>
      </w:r>
      <w:r w:rsidRPr="00DD1B58">
        <w:rPr>
          <w:lang w:val="en-US"/>
        </w:rPr>
        <w:t xml:space="preserve">ONR NGL committed to addressing the shortfalls in a timely manner. </w:t>
      </w:r>
      <w:r w:rsidR="00F8022F" w:rsidRPr="00DD1B58">
        <w:rPr>
          <w:lang w:val="en-US"/>
        </w:rPr>
        <w:t xml:space="preserve">It should be noted </w:t>
      </w:r>
      <w:r w:rsidR="001C7491" w:rsidRPr="00DD1B58">
        <w:rPr>
          <w:lang w:val="en-US"/>
        </w:rPr>
        <w:t>that the</w:t>
      </w:r>
      <w:r w:rsidRPr="00DD1B58">
        <w:rPr>
          <w:lang w:val="en-US"/>
        </w:rPr>
        <w:t xml:space="preserve"> compartmentation issues identified </w:t>
      </w:r>
      <w:r w:rsidR="0016008E" w:rsidRPr="00DD1B58">
        <w:rPr>
          <w:lang w:val="en-US"/>
        </w:rPr>
        <w:t>related to shortfalls in life fire safety provisions</w:t>
      </w:r>
      <w:r w:rsidR="001829FC" w:rsidRPr="00DD1B58">
        <w:rPr>
          <w:lang w:val="en-US"/>
        </w:rPr>
        <w:t>.</w:t>
      </w:r>
    </w:p>
    <w:p w14:paraId="172BF821" w14:textId="77777777" w:rsidR="001D7243" w:rsidRPr="00DD1B58" w:rsidRDefault="001D7243" w:rsidP="00177432">
      <w:pPr>
        <w:pStyle w:val="Heading4A"/>
        <w:rPr>
          <w:lang w:val="en-US"/>
        </w:rPr>
      </w:pPr>
      <w:r w:rsidRPr="00DD1B58">
        <w:rPr>
          <w:lang w:val="en-US"/>
        </w:rPr>
        <w:t>New Build Facilities</w:t>
      </w:r>
    </w:p>
    <w:p w14:paraId="0CDAD645" w14:textId="77777777" w:rsidR="00AE10C6" w:rsidRPr="00DD1B58" w:rsidRDefault="00AE10C6" w:rsidP="00177432">
      <w:pPr>
        <w:pStyle w:val="Heading5A"/>
        <w:rPr>
          <w:lang w:val="en-US"/>
        </w:rPr>
      </w:pPr>
      <w:r w:rsidRPr="00DD1B58">
        <w:rPr>
          <w:lang w:val="en-US"/>
        </w:rPr>
        <w:t>Prevention of fire spreading (barriers)</w:t>
      </w:r>
    </w:p>
    <w:p w14:paraId="425AC518" w14:textId="77777777" w:rsidR="001D7243" w:rsidRPr="00DD1B58" w:rsidRDefault="001D7243" w:rsidP="00177432">
      <w:pPr>
        <w:pStyle w:val="Heading5A"/>
        <w:numPr>
          <w:ilvl w:val="5"/>
          <w:numId w:val="7"/>
        </w:numPr>
        <w:rPr>
          <w:lang w:val="en-US"/>
        </w:rPr>
      </w:pPr>
      <w:r w:rsidRPr="00DD1B58">
        <w:rPr>
          <w:lang w:val="en-US"/>
        </w:rPr>
        <w:t>Design Approach</w:t>
      </w:r>
    </w:p>
    <w:p w14:paraId="2F48141E" w14:textId="15807C6E" w:rsidR="009E531D" w:rsidRPr="00DD1B58" w:rsidRDefault="008C7BB7" w:rsidP="0011516C">
      <w:pPr>
        <w:rPr>
          <w:i/>
          <w:iCs/>
          <w:szCs w:val="24"/>
          <w:lang w:val="en-US"/>
        </w:rPr>
      </w:pPr>
      <w:r w:rsidRPr="00DD1B58">
        <w:rPr>
          <w:szCs w:val="24"/>
          <w:lang w:val="en-US"/>
        </w:rPr>
        <w:t xml:space="preserve">NNB GenCo’s </w:t>
      </w:r>
      <w:r w:rsidR="009E531D" w:rsidRPr="00DD1B58">
        <w:rPr>
          <w:szCs w:val="24"/>
          <w:lang w:val="en-US"/>
        </w:rPr>
        <w:t>approach to fire zoning is described in Section 4 of the HPC FAD</w:t>
      </w:r>
      <w:r w:rsidR="00051E11" w:rsidRPr="00DD1B58">
        <w:rPr>
          <w:szCs w:val="24"/>
          <w:lang w:val="en-US"/>
        </w:rPr>
        <w:t xml:space="preserve"> </w:t>
      </w:r>
      <w:sdt>
        <w:sdtPr>
          <w:rPr>
            <w:szCs w:val="24"/>
            <w:lang w:val="en-US"/>
          </w:rPr>
          <w:id w:val="1936089033"/>
          <w:citation/>
        </w:sdtPr>
        <w:sdtContent>
          <w:r w:rsidR="00F91EF9" w:rsidRPr="00DD1B58">
            <w:rPr>
              <w:szCs w:val="24"/>
              <w:lang w:val="en-US"/>
            </w:rPr>
            <w:fldChar w:fldCharType="begin"/>
          </w:r>
          <w:r w:rsidR="00F91EF9" w:rsidRPr="00DD1B58">
            <w:rPr>
              <w:szCs w:val="24"/>
              <w:lang w:val="en-US"/>
            </w:rPr>
            <w:instrText xml:space="preserve"> CITATION NNB19 \l 2057 </w:instrText>
          </w:r>
          <w:r w:rsidR="00F91EF9" w:rsidRPr="00DD1B58">
            <w:rPr>
              <w:szCs w:val="24"/>
              <w:lang w:val="en-US"/>
            </w:rPr>
            <w:fldChar w:fldCharType="separate"/>
          </w:r>
          <w:r w:rsidR="00DF47DA" w:rsidRPr="00DF47DA">
            <w:rPr>
              <w:noProof/>
              <w:szCs w:val="24"/>
              <w:lang w:val="en-US"/>
            </w:rPr>
            <w:t>[48]</w:t>
          </w:r>
          <w:r w:rsidR="00F91EF9" w:rsidRPr="00DD1B58">
            <w:rPr>
              <w:szCs w:val="24"/>
              <w:lang w:val="en-US"/>
            </w:rPr>
            <w:fldChar w:fldCharType="end"/>
          </w:r>
        </w:sdtContent>
      </w:sdt>
      <w:r w:rsidRPr="00DD1B58">
        <w:rPr>
          <w:szCs w:val="24"/>
          <w:lang w:val="en-US"/>
        </w:rPr>
        <w:t>:</w:t>
      </w:r>
      <w:r w:rsidR="009E531D" w:rsidRPr="00DD1B58">
        <w:rPr>
          <w:szCs w:val="24"/>
          <w:lang w:val="en-US"/>
        </w:rPr>
        <w:t xml:space="preserve"> </w:t>
      </w:r>
      <w:r w:rsidR="009E531D" w:rsidRPr="00DD1B58">
        <w:rPr>
          <w:i/>
          <w:iCs/>
          <w:szCs w:val="24"/>
          <w:lang w:val="en-US"/>
        </w:rPr>
        <w:t>Preference is given in the design to passive fire protection instead of relying on active fire protection. Fire spread is limited by dividing the buildings into volumes, which use physical or spatial separation principles. Physical separation – fire compartments – is preferred to spatial separation – fire cells. Fire cells may have to be used where the design has a very large open space or has large openings that cannot be avoided.</w:t>
      </w:r>
    </w:p>
    <w:p w14:paraId="7B389A09" w14:textId="26EBE757" w:rsidR="003C1C41" w:rsidRPr="00DD1B58" w:rsidRDefault="009E531D" w:rsidP="00E232AC">
      <w:pPr>
        <w:rPr>
          <w:b/>
          <w:sz w:val="22"/>
          <w:lang w:val="en-US"/>
        </w:rPr>
      </w:pPr>
      <w:r w:rsidRPr="00DD1B58">
        <w:rPr>
          <w:i/>
          <w:iCs/>
          <w:noProof/>
          <w:lang w:val="en-US"/>
        </w:rPr>
        <w:t>Each type of fire zone is created for a specific purpose, the fire zone boundaries are selected to fulfil that purpose</w:t>
      </w:r>
      <w:r w:rsidRPr="00DD1B58">
        <w:rPr>
          <w:i/>
          <w:iCs/>
          <w:szCs w:val="24"/>
          <w:lang w:val="en-US"/>
        </w:rPr>
        <w:t xml:space="preserve">. Fire zones can be primary fire zones or secondary fire zones </w:t>
      </w:r>
      <w:r w:rsidR="003E2965" w:rsidRPr="00DD1B58">
        <w:rPr>
          <w:i/>
          <w:iCs/>
          <w:szCs w:val="24"/>
          <w:lang w:val="en-US"/>
        </w:rPr>
        <w:t>w</w:t>
      </w:r>
      <w:r w:rsidRPr="00DD1B58">
        <w:rPr>
          <w:i/>
          <w:iCs/>
          <w:szCs w:val="24"/>
          <w:lang w:val="en-US"/>
        </w:rPr>
        <w:t>hich are contained</w:t>
      </w:r>
      <w:r w:rsidRPr="00DD1B58">
        <w:rPr>
          <w:i/>
          <w:iCs/>
          <w:noProof/>
          <w:lang w:val="en-US"/>
        </w:rPr>
        <w:t xml:space="preserve"> </w:t>
      </w:r>
      <w:r w:rsidRPr="00DD1B58">
        <w:rPr>
          <w:i/>
          <w:iCs/>
          <w:szCs w:val="24"/>
          <w:lang w:val="en-US"/>
        </w:rPr>
        <w:t>within a primary fire zone</w:t>
      </w:r>
      <w:r w:rsidRPr="00DD1B58">
        <w:rPr>
          <w:szCs w:val="24"/>
          <w:lang w:val="en-US"/>
        </w:rPr>
        <w:t xml:space="preserve">. The types of fire zones are summarised in </w:t>
      </w:r>
      <w:r w:rsidR="00F91EF9" w:rsidRPr="00DD1B58">
        <w:rPr>
          <w:szCs w:val="24"/>
          <w:lang w:val="en-US"/>
        </w:rPr>
        <w:t xml:space="preserve">the licensee’s </w:t>
      </w:r>
      <w:r w:rsidR="00A35792" w:rsidRPr="00DD1B58">
        <w:rPr>
          <w:szCs w:val="24"/>
          <w:lang w:val="en-US"/>
        </w:rPr>
        <w:t xml:space="preserve">self-assessment </w:t>
      </w:r>
      <w:sdt>
        <w:sdtPr>
          <w:rPr>
            <w:szCs w:val="24"/>
            <w:lang w:val="en-US"/>
          </w:rPr>
          <w:id w:val="-1396510344"/>
          <w:citation/>
        </w:sdtPr>
        <w:sdtContent>
          <w:r w:rsidR="00F91EF9" w:rsidRPr="00DD1B58">
            <w:rPr>
              <w:szCs w:val="24"/>
              <w:lang w:val="en-US"/>
            </w:rPr>
            <w:fldChar w:fldCharType="begin"/>
          </w:r>
          <w:r w:rsidR="00F91EF9" w:rsidRPr="00DD1B58">
            <w:rPr>
              <w:szCs w:val="24"/>
              <w:lang w:val="en-US"/>
            </w:rPr>
            <w:instrText xml:space="preserve"> CITATION NNB236 \l 2057 </w:instrText>
          </w:r>
          <w:r w:rsidR="00F91EF9" w:rsidRPr="00DD1B58">
            <w:rPr>
              <w:szCs w:val="24"/>
              <w:lang w:val="en-US"/>
            </w:rPr>
            <w:fldChar w:fldCharType="separate"/>
          </w:r>
          <w:r w:rsidR="00DF47DA" w:rsidRPr="00DF47DA">
            <w:rPr>
              <w:noProof/>
              <w:szCs w:val="24"/>
              <w:lang w:val="en-US"/>
            </w:rPr>
            <w:t>[49]</w:t>
          </w:r>
          <w:r w:rsidR="00F91EF9" w:rsidRPr="00DD1B58">
            <w:rPr>
              <w:szCs w:val="24"/>
              <w:lang w:val="en-US"/>
            </w:rPr>
            <w:fldChar w:fldCharType="end"/>
          </w:r>
        </w:sdtContent>
      </w:sdt>
      <w:r w:rsidRPr="00DD1B58">
        <w:rPr>
          <w:szCs w:val="24"/>
          <w:lang w:val="en-US"/>
        </w:rPr>
        <w:t>.</w:t>
      </w:r>
      <w:r w:rsidR="003C1C41" w:rsidRPr="00DD1B58">
        <w:rPr>
          <w:b/>
          <w:sz w:val="22"/>
          <w:lang w:val="en-US"/>
        </w:rPr>
        <w:t xml:space="preserve"> </w:t>
      </w:r>
    </w:p>
    <w:p w14:paraId="457A54FD" w14:textId="240A0143" w:rsidR="003C1C41" w:rsidRPr="00DD1B58" w:rsidRDefault="00A35792" w:rsidP="0011516C">
      <w:pPr>
        <w:rPr>
          <w:szCs w:val="24"/>
          <w:lang w:val="en-US"/>
        </w:rPr>
      </w:pPr>
      <w:r w:rsidRPr="00DD1B58">
        <w:rPr>
          <w:lang w:val="en-US"/>
        </w:rPr>
        <w:t>NNB GenC</w:t>
      </w:r>
      <w:r w:rsidR="00AC37CC" w:rsidRPr="00DD1B58">
        <w:rPr>
          <w:lang w:val="en-US"/>
        </w:rPr>
        <w:t>o</w:t>
      </w:r>
      <w:r w:rsidRPr="00DD1B58">
        <w:rPr>
          <w:lang w:val="en-US"/>
        </w:rPr>
        <w:t xml:space="preserve"> report</w:t>
      </w:r>
      <w:r w:rsidR="009C2201" w:rsidRPr="00DD1B58">
        <w:rPr>
          <w:lang w:val="en-US"/>
        </w:rPr>
        <w:t>s</w:t>
      </w:r>
      <w:r w:rsidRPr="00DD1B58">
        <w:rPr>
          <w:lang w:val="en-US"/>
        </w:rPr>
        <w:t xml:space="preserve"> that the </w:t>
      </w:r>
      <w:r w:rsidR="527F835C" w:rsidRPr="00DD1B58">
        <w:rPr>
          <w:lang w:val="en-US"/>
        </w:rPr>
        <w:t xml:space="preserve">boundary elements which have nuclear safety functions have been assigned SFRs, and </w:t>
      </w:r>
      <w:r w:rsidR="00EB2AAD" w:rsidRPr="00DD1B58">
        <w:rPr>
          <w:lang w:val="en-US"/>
        </w:rPr>
        <w:t>t</w:t>
      </w:r>
      <w:r w:rsidR="0061695D" w:rsidRPr="00DD1B58">
        <w:rPr>
          <w:lang w:val="en-US"/>
        </w:rPr>
        <w:t xml:space="preserve">hat </w:t>
      </w:r>
      <w:r w:rsidR="527F835C" w:rsidRPr="00DD1B58">
        <w:rPr>
          <w:lang w:val="en-US"/>
        </w:rPr>
        <w:t xml:space="preserve">evidence will be presented of their compliance with the SFRs in substantiation reports. </w:t>
      </w:r>
      <w:r w:rsidR="00824E7E" w:rsidRPr="00DD1B58">
        <w:rPr>
          <w:lang w:val="en-US"/>
        </w:rPr>
        <w:t>NNB GenCo report</w:t>
      </w:r>
      <w:r w:rsidR="009C2201" w:rsidRPr="00DD1B58">
        <w:rPr>
          <w:lang w:val="en-US"/>
        </w:rPr>
        <w:t>s</w:t>
      </w:r>
      <w:r w:rsidR="00824E7E" w:rsidRPr="00DD1B58">
        <w:rPr>
          <w:lang w:val="en-US"/>
        </w:rPr>
        <w:t xml:space="preserve"> that s</w:t>
      </w:r>
      <w:r w:rsidR="527F835C" w:rsidRPr="00DD1B58">
        <w:rPr>
          <w:lang w:val="en-US"/>
        </w:rPr>
        <w:t>ubstantiation evidence will mainly rely on calculations or test evi</w:t>
      </w:r>
      <w:r w:rsidR="527F835C" w:rsidRPr="00DD1B58">
        <w:rPr>
          <w:szCs w:val="24"/>
          <w:lang w:val="en-US"/>
        </w:rPr>
        <w:t xml:space="preserve">dence. </w:t>
      </w:r>
      <w:r w:rsidR="00824E7E" w:rsidRPr="00DD1B58">
        <w:rPr>
          <w:szCs w:val="24"/>
          <w:lang w:val="en-US"/>
        </w:rPr>
        <w:t xml:space="preserve">It expects that once </w:t>
      </w:r>
      <w:r w:rsidR="527F835C" w:rsidRPr="00DD1B58">
        <w:rPr>
          <w:szCs w:val="24"/>
          <w:lang w:val="en-US"/>
        </w:rPr>
        <w:t xml:space="preserve">the station is operational </w:t>
      </w:r>
      <w:r w:rsidR="00824E7E" w:rsidRPr="00DD1B58">
        <w:rPr>
          <w:szCs w:val="24"/>
          <w:lang w:val="en-US"/>
        </w:rPr>
        <w:t>it will</w:t>
      </w:r>
      <w:r w:rsidR="527F835C" w:rsidRPr="00DD1B58">
        <w:rPr>
          <w:szCs w:val="24"/>
          <w:lang w:val="en-US"/>
        </w:rPr>
        <w:t xml:space="preserve"> follow a </w:t>
      </w:r>
      <w:r w:rsidR="00824E7E" w:rsidRPr="00DD1B58">
        <w:rPr>
          <w:szCs w:val="24"/>
          <w:lang w:val="en-US"/>
        </w:rPr>
        <w:t>PSR programme</w:t>
      </w:r>
      <w:r w:rsidR="527F835C" w:rsidRPr="00DD1B58">
        <w:rPr>
          <w:szCs w:val="24"/>
          <w:lang w:val="en-US"/>
        </w:rPr>
        <w:t xml:space="preserve"> similar to the existing </w:t>
      </w:r>
      <w:r w:rsidR="00824E7E" w:rsidRPr="00DD1B58">
        <w:rPr>
          <w:szCs w:val="24"/>
          <w:lang w:val="en-US"/>
        </w:rPr>
        <w:t xml:space="preserve">EDF NGL </w:t>
      </w:r>
      <w:r w:rsidR="527F835C" w:rsidRPr="00DD1B58">
        <w:rPr>
          <w:szCs w:val="24"/>
          <w:lang w:val="en-US"/>
        </w:rPr>
        <w:t>fleet, including confirmation that the fire boundary requirements are still satisfied.</w:t>
      </w:r>
    </w:p>
    <w:p w14:paraId="0DCD6BBD" w14:textId="01BACF72" w:rsidR="00FD1F5D" w:rsidRPr="00DD1B58" w:rsidRDefault="00824E7E" w:rsidP="0011516C">
      <w:pPr>
        <w:rPr>
          <w:szCs w:val="24"/>
          <w:lang w:val="en-US"/>
        </w:rPr>
      </w:pPr>
      <w:r w:rsidRPr="00DD1B58">
        <w:rPr>
          <w:lang w:val="en-US"/>
        </w:rPr>
        <w:t xml:space="preserve">NNB Genco </w:t>
      </w:r>
      <w:r w:rsidR="007376D6" w:rsidRPr="00DD1B58">
        <w:rPr>
          <w:lang w:val="en-US"/>
        </w:rPr>
        <w:t>states that</w:t>
      </w:r>
      <w:r w:rsidRPr="00DD1B58">
        <w:rPr>
          <w:lang w:val="en-US"/>
        </w:rPr>
        <w:t xml:space="preserve"> f</w:t>
      </w:r>
      <w:r w:rsidR="00EC5AC6" w:rsidRPr="00DD1B58">
        <w:rPr>
          <w:lang w:val="en-US"/>
        </w:rPr>
        <w:t xml:space="preserve">ire doors and hatches which form part </w:t>
      </w:r>
      <w:r w:rsidR="00EC5AC6" w:rsidRPr="00DD1B58">
        <w:rPr>
          <w:szCs w:val="24"/>
          <w:lang w:val="en-US"/>
        </w:rPr>
        <w:t>of a boundary between fire compartments will be clearly designated and those on the boundaries of SFS/ZFS will have position monitoring that will initiate an alarm in the MCR if the door is left open (unlatched) for an extended duration</w:t>
      </w:r>
      <w:r w:rsidR="00FD1F5D" w:rsidRPr="00DD1B58">
        <w:rPr>
          <w:szCs w:val="24"/>
          <w:lang w:val="en-US"/>
        </w:rPr>
        <w:t>.</w:t>
      </w:r>
      <w:r w:rsidRPr="00DD1B58">
        <w:rPr>
          <w:szCs w:val="24"/>
          <w:lang w:val="en-US"/>
        </w:rPr>
        <w:t xml:space="preserve"> It also </w:t>
      </w:r>
      <w:r w:rsidR="007376D6" w:rsidRPr="00DD1B58">
        <w:rPr>
          <w:szCs w:val="24"/>
          <w:lang w:val="en-US"/>
        </w:rPr>
        <w:t>states that</w:t>
      </w:r>
      <w:r w:rsidRPr="00DD1B58">
        <w:rPr>
          <w:szCs w:val="24"/>
          <w:lang w:val="en-US"/>
        </w:rPr>
        <w:t xml:space="preserve"> </w:t>
      </w:r>
      <w:r w:rsidRPr="00DD1B58">
        <w:rPr>
          <w:lang w:val="en-US"/>
        </w:rPr>
        <w:t>a</w:t>
      </w:r>
      <w:r w:rsidR="00F35E70" w:rsidRPr="00DD1B58">
        <w:rPr>
          <w:lang w:val="en-US"/>
        </w:rPr>
        <w:t>ny changes to the</w:t>
      </w:r>
      <w:r w:rsidR="00F35E70" w:rsidRPr="00DD1B58">
        <w:rPr>
          <w:szCs w:val="24"/>
          <w:lang w:val="en-US"/>
        </w:rPr>
        <w:t xml:space="preserve"> plant which may affect the validity of the fire zoning will be assessed under the design change process or the in-service modification process depending on the stage in the life of the station. Challenges that might arise, based on OPEX from the generating stations, include modifications to pipework or cabling where additional penetrations need to be created in the boundary walls, and increases in the combustible inventory in a hazard safety volume that could increase the severity and duration of the fire and require the boundary walls to be reassessed for withstand.</w:t>
      </w:r>
    </w:p>
    <w:p w14:paraId="1CAADA80" w14:textId="77777777" w:rsidR="001D7243" w:rsidRPr="00DD1B58" w:rsidRDefault="001D7243" w:rsidP="00177432">
      <w:pPr>
        <w:pStyle w:val="Heading5A"/>
        <w:numPr>
          <w:ilvl w:val="5"/>
          <w:numId w:val="7"/>
        </w:numPr>
        <w:rPr>
          <w:lang w:val="en-US"/>
        </w:rPr>
      </w:pPr>
      <w:r w:rsidRPr="00DD1B58">
        <w:rPr>
          <w:lang w:val="en-US"/>
        </w:rPr>
        <w:t>Description of fire compartments and/or cells design and key features</w:t>
      </w:r>
    </w:p>
    <w:p w14:paraId="7DF4CC06" w14:textId="3E4E226B" w:rsidR="0024046A" w:rsidRPr="00DD1B58" w:rsidRDefault="00932913" w:rsidP="0011516C">
      <w:pPr>
        <w:rPr>
          <w:szCs w:val="24"/>
          <w:lang w:val="en-US"/>
        </w:rPr>
      </w:pPr>
      <w:r w:rsidRPr="00DD1B58">
        <w:rPr>
          <w:szCs w:val="24"/>
          <w:lang w:val="en-US"/>
        </w:rPr>
        <w:t xml:space="preserve">NNB Genco </w:t>
      </w:r>
      <w:r w:rsidR="007376D6" w:rsidRPr="00DD1B58">
        <w:rPr>
          <w:szCs w:val="24"/>
          <w:lang w:val="en-US"/>
        </w:rPr>
        <w:t>states that</w:t>
      </w:r>
      <w:r w:rsidRPr="00DD1B58">
        <w:rPr>
          <w:szCs w:val="24"/>
          <w:lang w:val="en-US"/>
        </w:rPr>
        <w:t xml:space="preserve"> it will provide f</w:t>
      </w:r>
      <w:r w:rsidR="0024046A" w:rsidRPr="00DD1B58">
        <w:rPr>
          <w:szCs w:val="24"/>
          <w:lang w:val="en-US"/>
        </w:rPr>
        <w:t xml:space="preserve">ire compartmentation in accordance with the HPC Fire Application Document requirements </w:t>
      </w:r>
      <w:r w:rsidR="001750B1" w:rsidRPr="00DD1B58">
        <w:rPr>
          <w:szCs w:val="24"/>
          <w:lang w:val="en-US"/>
        </w:rPr>
        <w:t>(</w:t>
      </w:r>
      <w:sdt>
        <w:sdtPr>
          <w:rPr>
            <w:szCs w:val="24"/>
            <w:lang w:val="en-US"/>
          </w:rPr>
          <w:id w:val="-307938326"/>
          <w:citation/>
        </w:sdtPr>
        <w:sdtContent>
          <w:r w:rsidR="001750B1" w:rsidRPr="00DD1B58">
            <w:rPr>
              <w:szCs w:val="24"/>
              <w:lang w:val="en-US"/>
            </w:rPr>
            <w:fldChar w:fldCharType="begin"/>
          </w:r>
          <w:r w:rsidR="001750B1" w:rsidRPr="00DD1B58">
            <w:rPr>
              <w:szCs w:val="24"/>
              <w:lang w:val="en-US"/>
            </w:rPr>
            <w:instrText xml:space="preserve"> CITATION NNB19 \l 2057 </w:instrText>
          </w:r>
          <w:r w:rsidR="001750B1" w:rsidRPr="00DD1B58">
            <w:rPr>
              <w:szCs w:val="24"/>
              <w:lang w:val="en-US"/>
            </w:rPr>
            <w:fldChar w:fldCharType="separate"/>
          </w:r>
          <w:r w:rsidR="00DF47DA">
            <w:rPr>
              <w:noProof/>
              <w:szCs w:val="24"/>
              <w:lang w:val="en-US"/>
            </w:rPr>
            <w:t xml:space="preserve"> </w:t>
          </w:r>
          <w:r w:rsidR="00DF47DA" w:rsidRPr="00DF47DA">
            <w:rPr>
              <w:noProof/>
              <w:szCs w:val="24"/>
              <w:lang w:val="en-US"/>
            </w:rPr>
            <w:t>[48]</w:t>
          </w:r>
          <w:r w:rsidR="001750B1" w:rsidRPr="00DD1B58">
            <w:rPr>
              <w:szCs w:val="24"/>
              <w:lang w:val="en-US"/>
            </w:rPr>
            <w:fldChar w:fldCharType="end"/>
          </w:r>
        </w:sdtContent>
      </w:sdt>
      <w:r w:rsidR="0024046A" w:rsidRPr="00DD1B58">
        <w:rPr>
          <w:szCs w:val="24"/>
          <w:lang w:val="en-US"/>
        </w:rPr>
        <w:t xml:space="preserve">, Section 4.5.6); typically either 120 minute or 60 minute fire separation of escape routes, firefighting access routes, external envelopes, areas with a PFG risk, storage spaces, and areas with safety systems and or safety equipment. </w:t>
      </w:r>
      <w:r w:rsidR="00BF7B7F" w:rsidRPr="00DD1B58">
        <w:rPr>
          <w:szCs w:val="24"/>
          <w:lang w:val="en-US"/>
        </w:rPr>
        <w:t>NNB GenCo</w:t>
      </w:r>
      <w:r w:rsidRPr="00DD1B58">
        <w:rPr>
          <w:szCs w:val="24"/>
          <w:lang w:val="en-US"/>
        </w:rPr>
        <w:t xml:space="preserve"> </w:t>
      </w:r>
      <w:r w:rsidR="0024046A" w:rsidRPr="00DD1B58">
        <w:rPr>
          <w:szCs w:val="24"/>
          <w:lang w:val="en-US"/>
        </w:rPr>
        <w:t>requirements also specify whether the requirement is for load bearing capacity I, fire integrity I or thermal insulation (I). Similar requirements apply to components which form part of the boundary such as doors, penetrations, dampers, joints, envelope and cases and fire rated ducts.</w:t>
      </w:r>
      <w:r w:rsidR="00BF7B7F" w:rsidRPr="00DD1B58">
        <w:rPr>
          <w:szCs w:val="24"/>
          <w:lang w:val="en-US"/>
        </w:rPr>
        <w:t xml:space="preserve"> </w:t>
      </w:r>
      <w:r w:rsidR="00D52A73" w:rsidRPr="00DD1B58">
        <w:rPr>
          <w:szCs w:val="24"/>
          <w:lang w:val="en-US"/>
        </w:rPr>
        <w:t>Ca</w:t>
      </w:r>
      <w:r w:rsidR="0024046A" w:rsidRPr="00DD1B58">
        <w:rPr>
          <w:szCs w:val="24"/>
          <w:lang w:val="en-US"/>
        </w:rPr>
        <w:t>ble trays are also being wrapped where required. Two categories of cable tray wrapping are being adopted, depending on the required functionality</w:t>
      </w:r>
      <w:r w:rsidR="00BF7B7F" w:rsidRPr="00DD1B58">
        <w:rPr>
          <w:szCs w:val="24"/>
          <w:lang w:val="en-US"/>
        </w:rPr>
        <w:t>. NNB report</w:t>
      </w:r>
      <w:r w:rsidR="009C2201" w:rsidRPr="00DD1B58">
        <w:rPr>
          <w:szCs w:val="24"/>
          <w:lang w:val="en-US"/>
        </w:rPr>
        <w:t>s</w:t>
      </w:r>
      <w:r w:rsidR="00BF7B7F" w:rsidRPr="00DD1B58">
        <w:rPr>
          <w:szCs w:val="24"/>
          <w:lang w:val="en-US"/>
        </w:rPr>
        <w:t xml:space="preserve"> as follows</w:t>
      </w:r>
      <w:r w:rsidR="00976BC1" w:rsidRPr="00DD1B58">
        <w:rPr>
          <w:szCs w:val="24"/>
          <w:lang w:val="en-US"/>
        </w:rPr>
        <w:t xml:space="preserve"> (reproduced literally from NNB GenCo’s submission)</w:t>
      </w:r>
      <w:r w:rsidR="00BF7B7F" w:rsidRPr="00DD1B58">
        <w:rPr>
          <w:szCs w:val="24"/>
          <w:lang w:val="en-US"/>
        </w:rPr>
        <w:t>:</w:t>
      </w:r>
    </w:p>
    <w:p w14:paraId="33440EBF" w14:textId="77777777" w:rsidR="0024046A" w:rsidRPr="00DD1B58" w:rsidRDefault="0024046A" w:rsidP="00973FF4">
      <w:pPr>
        <w:pStyle w:val="Bulletlist1"/>
        <w:rPr>
          <w:lang w:val="en-US"/>
        </w:rPr>
      </w:pPr>
      <w:r w:rsidRPr="00DD1B58">
        <w:rPr>
          <w:b/>
          <w:lang w:val="en-US"/>
        </w:rPr>
        <w:t>Functional Cable Tray Wrapping (F-CTW):</w:t>
      </w:r>
      <w:r w:rsidRPr="00DD1B58">
        <w:rPr>
          <w:lang w:val="en-US"/>
        </w:rPr>
        <w:t xml:space="preserve"> Ensures preservation of the function of cables within a cable tray during a fire. It is predominantly used to prevent fire-induced common cause failures where it has not been possible to route the cables to avoid cables from more than one division passing through a fire HSV but may also be used where vulnerabilities to active single failure are identified. The cables must remain operational during the fire.</w:t>
      </w:r>
    </w:p>
    <w:p w14:paraId="54F685EF" w14:textId="77777777" w:rsidR="00D52A73" w:rsidRPr="00DD1B58" w:rsidRDefault="0024046A" w:rsidP="00973FF4">
      <w:pPr>
        <w:pStyle w:val="Bulletlist1"/>
        <w:rPr>
          <w:lang w:val="en-US"/>
        </w:rPr>
      </w:pPr>
      <w:r w:rsidRPr="00DD1B58">
        <w:rPr>
          <w:b/>
          <w:lang w:val="en-US"/>
        </w:rPr>
        <w:t xml:space="preserve">Soustraction de Charges Calorifiques </w:t>
      </w:r>
      <w:r w:rsidRPr="00DD1B58">
        <w:rPr>
          <w:lang w:val="en-US"/>
        </w:rPr>
        <w:t>–Heat Load Subtraction System (SCC): Reduces the fire load within a fire HSV, to reduce the challenge to HSV boundaries. SCC may also</w:t>
      </w:r>
      <w:r w:rsidR="001750B1" w:rsidRPr="00DD1B58">
        <w:rPr>
          <w:lang w:val="en-US"/>
        </w:rPr>
        <w:t xml:space="preserve"> </w:t>
      </w:r>
      <w:r w:rsidR="00D52A73" w:rsidRPr="00DD1B58">
        <w:rPr>
          <w:lang w:val="en-US"/>
        </w:rPr>
        <w:t>be used to reduce the fire load in the vicinity of a safety target or to suppress the PFG risk outside SFI. The cables do not need to remain functional during the fire but must not burn.</w:t>
      </w:r>
    </w:p>
    <w:p w14:paraId="107D05C8" w14:textId="3FFF6B21" w:rsidR="00B84B7C" w:rsidRPr="00DD1B58" w:rsidRDefault="00976BC1" w:rsidP="0011516C">
      <w:pPr>
        <w:rPr>
          <w:szCs w:val="24"/>
          <w:lang w:val="en-US"/>
        </w:rPr>
      </w:pPr>
      <w:r w:rsidRPr="00DD1B58">
        <w:rPr>
          <w:lang w:val="en-US"/>
        </w:rPr>
        <w:t>NNB GenC</w:t>
      </w:r>
      <w:r w:rsidR="001C7491" w:rsidRPr="00DD1B58">
        <w:rPr>
          <w:lang w:val="en-US"/>
        </w:rPr>
        <w:t>o</w:t>
      </w:r>
      <w:r w:rsidRPr="00DD1B58">
        <w:rPr>
          <w:lang w:val="en-US"/>
        </w:rPr>
        <w:t xml:space="preserve"> concluded that the </w:t>
      </w:r>
      <w:r w:rsidR="00D52A73" w:rsidRPr="00DD1B58">
        <w:rPr>
          <w:lang w:val="en-US"/>
        </w:rPr>
        <w:t>requirement for cable tray wrapping is dictated by the hazard vulnerability analysis for CCF (F-CTW) and the fire modelling studies for SCC</w:t>
      </w:r>
      <w:r w:rsidR="00D52A73" w:rsidRPr="00DD1B58">
        <w:rPr>
          <w:szCs w:val="24"/>
          <w:lang w:val="en-US"/>
        </w:rPr>
        <w:t>.</w:t>
      </w:r>
    </w:p>
    <w:p w14:paraId="275388F9" w14:textId="77777777" w:rsidR="001D7243" w:rsidRPr="00DD1B58" w:rsidRDefault="001D7243" w:rsidP="00177432">
      <w:pPr>
        <w:pStyle w:val="Heading5A"/>
        <w:numPr>
          <w:ilvl w:val="5"/>
          <w:numId w:val="7"/>
        </w:numPr>
        <w:rPr>
          <w:lang w:val="en-US"/>
        </w:rPr>
      </w:pPr>
      <w:r w:rsidRPr="00DD1B58">
        <w:rPr>
          <w:lang w:val="en-US"/>
        </w:rPr>
        <w:t>Performance assurance through lifetime</w:t>
      </w:r>
    </w:p>
    <w:p w14:paraId="4ABA7E97" w14:textId="4A7F9777" w:rsidR="00752B98" w:rsidRPr="00DD1B58" w:rsidRDefault="00976BC1" w:rsidP="0011516C">
      <w:pPr>
        <w:rPr>
          <w:lang w:val="en-US"/>
        </w:rPr>
      </w:pPr>
      <w:r w:rsidRPr="00DD1B58">
        <w:rPr>
          <w:szCs w:val="24"/>
          <w:lang w:val="en-US"/>
        </w:rPr>
        <w:t xml:space="preserve">NNB Genco </w:t>
      </w:r>
      <w:r w:rsidR="007376D6" w:rsidRPr="00DD1B58">
        <w:rPr>
          <w:szCs w:val="24"/>
          <w:lang w:val="en-US"/>
        </w:rPr>
        <w:t>states that</w:t>
      </w:r>
      <w:r w:rsidRPr="00DD1B58">
        <w:rPr>
          <w:szCs w:val="24"/>
          <w:lang w:val="en-US"/>
        </w:rPr>
        <w:t xml:space="preserve"> the </w:t>
      </w:r>
      <w:r w:rsidR="00752B98" w:rsidRPr="00DD1B58">
        <w:rPr>
          <w:szCs w:val="24"/>
          <w:lang w:val="en-US"/>
        </w:rPr>
        <w:t>measures to prevent fire spreading have been determined based on the most onerous planned plant state or maintenance state, and any changes to operating conditions during the plant operational life will be assessed under the modification control process, which will include the potential effects on fire barriers.</w:t>
      </w:r>
    </w:p>
    <w:p w14:paraId="6F97414B" w14:textId="77777777" w:rsidR="001D7243" w:rsidRPr="00DD1B58" w:rsidRDefault="001D7243" w:rsidP="00177432">
      <w:pPr>
        <w:pStyle w:val="Heading5A"/>
        <w:rPr>
          <w:lang w:val="en-US"/>
        </w:rPr>
      </w:pPr>
      <w:r w:rsidRPr="00DD1B58">
        <w:rPr>
          <w:lang w:val="en-US"/>
        </w:rPr>
        <w:t>Ventilation systems</w:t>
      </w:r>
    </w:p>
    <w:p w14:paraId="18B0BD4E" w14:textId="55CC039F" w:rsidR="00752B98" w:rsidRPr="00DD1B58" w:rsidRDefault="007376D6" w:rsidP="0011516C">
      <w:pPr>
        <w:rPr>
          <w:lang w:val="en-US"/>
        </w:rPr>
      </w:pPr>
      <w:r w:rsidRPr="00DD1B58">
        <w:rPr>
          <w:szCs w:val="24"/>
          <w:lang w:val="en-US"/>
        </w:rPr>
        <w:t xml:space="preserve">NNB </w:t>
      </w:r>
      <w:r w:rsidR="00976BC1" w:rsidRPr="00DD1B58">
        <w:rPr>
          <w:szCs w:val="24"/>
          <w:lang w:val="en-US"/>
        </w:rPr>
        <w:t xml:space="preserve">GenCo </w:t>
      </w:r>
      <w:r w:rsidRPr="00DD1B58">
        <w:rPr>
          <w:szCs w:val="24"/>
          <w:lang w:val="en-US"/>
        </w:rPr>
        <w:t>states that</w:t>
      </w:r>
      <w:r w:rsidR="00976BC1" w:rsidRPr="00DD1B58">
        <w:rPr>
          <w:szCs w:val="24"/>
          <w:lang w:val="en-US"/>
        </w:rPr>
        <w:t xml:space="preserve"> ch</w:t>
      </w:r>
      <w:r w:rsidR="00752B98" w:rsidRPr="00DD1B58">
        <w:rPr>
          <w:szCs w:val="24"/>
          <w:lang w:val="en-US"/>
        </w:rPr>
        <w:t>anges in air temperature and pressure due to a fire, or fire damage to filters and ventilation ducts, could cause uncontrolled transfers of radioactive materials around the installation and eventually to the environment. A fire could also cause smoke or harmful combustion products to spread around the facility</w:t>
      </w:r>
      <w:r w:rsidR="00976BC1" w:rsidRPr="00DD1B58">
        <w:rPr>
          <w:szCs w:val="24"/>
          <w:lang w:val="en-US"/>
        </w:rPr>
        <w:t>.</w:t>
      </w:r>
    </w:p>
    <w:p w14:paraId="4F5B11E8" w14:textId="77777777" w:rsidR="001D7243" w:rsidRPr="00DD1B58" w:rsidRDefault="001D7243" w:rsidP="00177432">
      <w:pPr>
        <w:pStyle w:val="Heading5A"/>
        <w:numPr>
          <w:ilvl w:val="5"/>
          <w:numId w:val="7"/>
        </w:numPr>
        <w:rPr>
          <w:lang w:val="en-US"/>
        </w:rPr>
      </w:pPr>
      <w:r w:rsidRPr="00DD1B58">
        <w:rPr>
          <w:lang w:val="en-US"/>
        </w:rPr>
        <w:t>Ventilation system design: segregation and isolation provisions (as applicable)</w:t>
      </w:r>
    </w:p>
    <w:p w14:paraId="73CAD070" w14:textId="2AEA9501" w:rsidR="004433A4" w:rsidRPr="00DD1B58" w:rsidRDefault="00976BC1" w:rsidP="0011516C">
      <w:pPr>
        <w:rPr>
          <w:szCs w:val="24"/>
          <w:lang w:val="en-US"/>
        </w:rPr>
      </w:pPr>
      <w:r w:rsidRPr="00DD1B58">
        <w:rPr>
          <w:szCs w:val="24"/>
          <w:lang w:val="en-US"/>
        </w:rPr>
        <w:t xml:space="preserve">NNB GenCo </w:t>
      </w:r>
      <w:r w:rsidR="007376D6" w:rsidRPr="00DD1B58">
        <w:rPr>
          <w:szCs w:val="24"/>
          <w:lang w:val="en-US"/>
        </w:rPr>
        <w:t>states that</w:t>
      </w:r>
      <w:r w:rsidRPr="00DD1B58">
        <w:rPr>
          <w:szCs w:val="24"/>
          <w:lang w:val="en-US"/>
        </w:rPr>
        <w:t xml:space="preserve"> the </w:t>
      </w:r>
      <w:r w:rsidR="004433A4" w:rsidRPr="00DD1B58">
        <w:rPr>
          <w:szCs w:val="24"/>
          <w:lang w:val="en-US"/>
        </w:rPr>
        <w:t xml:space="preserve">general principles of the Heating, Ventilation and Air Conditioning (HVAC) systems described in PCSR3 </w:t>
      </w:r>
      <w:sdt>
        <w:sdtPr>
          <w:rPr>
            <w:szCs w:val="24"/>
            <w:lang w:val="en-US"/>
          </w:rPr>
          <w:id w:val="-760447893"/>
          <w:citation/>
        </w:sdtPr>
        <w:sdtContent>
          <w:r w:rsidR="00256C46" w:rsidRPr="00DD1B58">
            <w:rPr>
              <w:szCs w:val="24"/>
              <w:lang w:val="en-US"/>
            </w:rPr>
            <w:fldChar w:fldCharType="begin"/>
          </w:r>
          <w:r w:rsidR="00256C46" w:rsidRPr="00DD1B58">
            <w:rPr>
              <w:szCs w:val="24"/>
              <w:lang w:val="en-US"/>
            </w:rPr>
            <w:instrText xml:space="preserve"> CITATION NNB175 \l 2057 </w:instrText>
          </w:r>
          <w:r w:rsidR="00256C46" w:rsidRPr="00DD1B58">
            <w:rPr>
              <w:szCs w:val="24"/>
              <w:lang w:val="en-US"/>
            </w:rPr>
            <w:fldChar w:fldCharType="separate"/>
          </w:r>
          <w:r w:rsidR="00DF47DA" w:rsidRPr="00DF47DA">
            <w:rPr>
              <w:noProof/>
              <w:szCs w:val="24"/>
              <w:lang w:val="en-US"/>
            </w:rPr>
            <w:t>[192]</w:t>
          </w:r>
          <w:r w:rsidR="00256C46" w:rsidRPr="00DD1B58">
            <w:rPr>
              <w:szCs w:val="24"/>
              <w:lang w:val="en-US"/>
            </w:rPr>
            <w:fldChar w:fldCharType="end"/>
          </w:r>
        </w:sdtContent>
      </w:sdt>
      <w:r w:rsidR="004433A4" w:rsidRPr="00DD1B58">
        <w:rPr>
          <w:szCs w:val="24"/>
          <w:lang w:val="en-US"/>
        </w:rPr>
        <w:t xml:space="preserve"> and are still applicable to the current design. </w:t>
      </w:r>
      <w:r w:rsidRPr="00DD1B58">
        <w:rPr>
          <w:szCs w:val="24"/>
          <w:lang w:val="en-US"/>
        </w:rPr>
        <w:t xml:space="preserve">NNB GenCo’s </w:t>
      </w:r>
      <w:r w:rsidR="004433A4" w:rsidRPr="00DD1B58">
        <w:rPr>
          <w:szCs w:val="24"/>
          <w:lang w:val="en-US"/>
        </w:rPr>
        <w:t>main objectives are:</w:t>
      </w:r>
    </w:p>
    <w:p w14:paraId="46AB4CC0" w14:textId="77777777" w:rsidR="004433A4" w:rsidRPr="00DD1B58" w:rsidRDefault="4E2BECAF" w:rsidP="0011516C">
      <w:pPr>
        <w:pStyle w:val="Bulletlist1"/>
        <w:rPr>
          <w:lang w:val="en-US"/>
        </w:rPr>
      </w:pPr>
      <w:r w:rsidRPr="00DD1B58">
        <w:rPr>
          <w:lang w:val="en-US"/>
        </w:rPr>
        <w:t>to maintain internal conditions within acceptable limits (air quality, temperature, humidity, and contamination) for staff and equipment,</w:t>
      </w:r>
    </w:p>
    <w:p w14:paraId="34AC4987" w14:textId="77777777" w:rsidR="004433A4" w:rsidRPr="00DD1B58" w:rsidRDefault="4E2BECAF" w:rsidP="0011516C">
      <w:pPr>
        <w:pStyle w:val="Bulletlist1"/>
        <w:rPr>
          <w:lang w:val="en-US"/>
        </w:rPr>
      </w:pPr>
      <w:r w:rsidRPr="00DD1B58">
        <w:rPr>
          <w:lang w:val="en-US"/>
        </w:rPr>
        <w:t>to protect staff and materials against specific risks arising from internal hazards and external hazards, and</w:t>
      </w:r>
    </w:p>
    <w:p w14:paraId="508D8979" w14:textId="77777777" w:rsidR="004433A4" w:rsidRPr="00DD1B58" w:rsidRDefault="4E2BECAF" w:rsidP="0011516C">
      <w:pPr>
        <w:pStyle w:val="Bulletlist1"/>
        <w:rPr>
          <w:lang w:val="en-US"/>
        </w:rPr>
      </w:pPr>
      <w:r w:rsidRPr="00DD1B58">
        <w:rPr>
          <w:lang w:val="en-US"/>
        </w:rPr>
        <w:t>to monitor and limit radioactive discharges during normal plant operation and accident conditions (confinement function).</w:t>
      </w:r>
    </w:p>
    <w:p w14:paraId="60DFC118" w14:textId="42E1D642" w:rsidR="004433A4" w:rsidRPr="00DD1B58" w:rsidRDefault="004433A4" w:rsidP="0011516C">
      <w:pPr>
        <w:rPr>
          <w:lang w:val="en-US"/>
        </w:rPr>
      </w:pPr>
      <w:r w:rsidRPr="00DD1B58">
        <w:rPr>
          <w:b/>
          <w:bCs/>
          <w:lang w:val="en-US"/>
        </w:rPr>
        <w:t>Rooms at risk of explosive atmosphere formation:</w:t>
      </w:r>
      <w:r w:rsidRPr="00DD1B58">
        <w:rPr>
          <w:lang w:val="en-US"/>
        </w:rPr>
        <w:t xml:space="preserve"> </w:t>
      </w:r>
      <w:r w:rsidR="006168A2" w:rsidRPr="00DD1B58">
        <w:rPr>
          <w:lang w:val="en-US"/>
        </w:rPr>
        <w:t>NNB GenCo report</w:t>
      </w:r>
      <w:r w:rsidR="009C2201" w:rsidRPr="00DD1B58">
        <w:rPr>
          <w:lang w:val="en-US"/>
        </w:rPr>
        <w:t>s</w:t>
      </w:r>
      <w:r w:rsidR="006168A2" w:rsidRPr="00DD1B58">
        <w:rPr>
          <w:lang w:val="en-US"/>
        </w:rPr>
        <w:t xml:space="preserve"> that the </w:t>
      </w:r>
      <w:r w:rsidRPr="00DD1B58">
        <w:rPr>
          <w:lang w:val="en-US"/>
        </w:rPr>
        <w:t>HVAC systems are designed to avoid local accumulation of explosive atmosphere (typically hydrogen) and to keep the concentration below the lower explosive limit.</w:t>
      </w:r>
    </w:p>
    <w:p w14:paraId="02FFA345" w14:textId="6CE58CAC" w:rsidR="004433A4" w:rsidRPr="00DD1B58" w:rsidRDefault="004433A4" w:rsidP="0011516C">
      <w:pPr>
        <w:rPr>
          <w:lang w:val="en-US"/>
        </w:rPr>
      </w:pPr>
      <w:r w:rsidRPr="00DD1B58">
        <w:rPr>
          <w:b/>
          <w:bCs/>
          <w:lang w:val="en-US"/>
        </w:rPr>
        <w:t>Fire Containment:</w:t>
      </w:r>
      <w:r w:rsidRPr="00DD1B58">
        <w:rPr>
          <w:lang w:val="en-US"/>
        </w:rPr>
        <w:t xml:space="preserve"> </w:t>
      </w:r>
      <w:r w:rsidR="006168A2" w:rsidRPr="00DD1B58">
        <w:rPr>
          <w:lang w:val="en-US"/>
        </w:rPr>
        <w:t xml:space="preserve">NNB </w:t>
      </w:r>
      <w:r w:rsidR="009C2201" w:rsidRPr="00DD1B58">
        <w:rPr>
          <w:lang w:val="en-US"/>
        </w:rPr>
        <w:t xml:space="preserve">GenCo </w:t>
      </w:r>
      <w:r w:rsidR="006168A2" w:rsidRPr="00DD1B58">
        <w:rPr>
          <w:lang w:val="en-US"/>
        </w:rPr>
        <w:t>report</w:t>
      </w:r>
      <w:r w:rsidR="009C2201" w:rsidRPr="00DD1B58">
        <w:rPr>
          <w:lang w:val="en-US"/>
        </w:rPr>
        <w:t>s</w:t>
      </w:r>
      <w:r w:rsidR="006168A2" w:rsidRPr="00DD1B58">
        <w:rPr>
          <w:lang w:val="en-US"/>
        </w:rPr>
        <w:t xml:space="preserve"> that the v</w:t>
      </w:r>
      <w:r w:rsidRPr="00DD1B58">
        <w:rPr>
          <w:lang w:val="en-US"/>
        </w:rPr>
        <w:t>entilation systems are designed to provide fire containment as follows:</w:t>
      </w:r>
    </w:p>
    <w:p w14:paraId="2427309C" w14:textId="77777777" w:rsidR="004433A4" w:rsidRPr="00DD1B58" w:rsidRDefault="4E2BECAF" w:rsidP="0011516C">
      <w:pPr>
        <w:pStyle w:val="Bulletlist1"/>
        <w:rPr>
          <w:szCs w:val="24"/>
          <w:lang w:val="en-US"/>
        </w:rPr>
      </w:pPr>
      <w:r w:rsidRPr="00DD1B58">
        <w:rPr>
          <w:lang w:val="en-US"/>
        </w:rPr>
        <w:t>Ventilation systems within each fire compartment are generally fitted with fire dampers which close if there is a fire in the compartment.</w:t>
      </w:r>
    </w:p>
    <w:p w14:paraId="0E80A067" w14:textId="77777777" w:rsidR="004433A4" w:rsidRPr="00DD1B58" w:rsidRDefault="4E2BECAF" w:rsidP="0011516C">
      <w:pPr>
        <w:pStyle w:val="Bulletlist1"/>
        <w:rPr>
          <w:szCs w:val="24"/>
          <w:lang w:val="en-US"/>
        </w:rPr>
      </w:pPr>
      <w:r w:rsidRPr="00DD1B58">
        <w:rPr>
          <w:lang w:val="en-US"/>
        </w:rPr>
        <w:t>Provision for the Single Failure Criterion (SFC): fire dampers are considered to be active elements of the protection systems so single failure must be taken into account when the fire containment function is a nuclear safety requirement. Accordingly, when required, two fire dampers are provided in series. If redundancy is not possible due to layout constraints, alternative measures will be taken, such as fire resistance of the ductwork.</w:t>
      </w:r>
    </w:p>
    <w:p w14:paraId="77963DB8" w14:textId="7EBC4C2C" w:rsidR="004433A4" w:rsidRPr="00DD1B58" w:rsidRDefault="4E2BECAF" w:rsidP="50AE0A86">
      <w:pPr>
        <w:pStyle w:val="Bulletlist1"/>
        <w:numPr>
          <w:ilvl w:val="0"/>
          <w:numId w:val="0"/>
        </w:numPr>
        <w:rPr>
          <w:szCs w:val="24"/>
          <w:lang w:val="en-US"/>
        </w:rPr>
      </w:pPr>
      <w:r w:rsidRPr="00DD1B58">
        <w:rPr>
          <w:b/>
          <w:bCs/>
          <w:szCs w:val="24"/>
          <w:lang w:val="en-US"/>
        </w:rPr>
        <w:t>Fire restriction:</w:t>
      </w:r>
      <w:r w:rsidRPr="00DD1B58">
        <w:rPr>
          <w:szCs w:val="24"/>
          <w:lang w:val="en-US"/>
        </w:rPr>
        <w:t xml:space="preserve"> </w:t>
      </w:r>
      <w:r w:rsidR="00E7758E" w:rsidRPr="00DD1B58">
        <w:rPr>
          <w:szCs w:val="24"/>
          <w:lang w:val="en-US"/>
        </w:rPr>
        <w:t xml:space="preserve">NNB GenCo </w:t>
      </w:r>
      <w:r w:rsidR="007376D6" w:rsidRPr="00DD1B58">
        <w:rPr>
          <w:szCs w:val="24"/>
          <w:lang w:val="en-US"/>
        </w:rPr>
        <w:t>states that</w:t>
      </w:r>
      <w:r w:rsidR="00940D2A" w:rsidRPr="00DD1B58">
        <w:rPr>
          <w:szCs w:val="24"/>
          <w:lang w:val="en-US"/>
        </w:rPr>
        <w:t xml:space="preserve"> </w:t>
      </w:r>
      <w:r w:rsidRPr="00DD1B58">
        <w:rPr>
          <w:szCs w:val="24"/>
          <w:lang w:val="en-US"/>
        </w:rPr>
        <w:t>ventilation systems are designed to be shut down or isolated from a compartment containing a fire. Additional measures, including fixed firefighting systems described in earlier sections of this report, are provided for fires in iodine adsorption units.</w:t>
      </w:r>
    </w:p>
    <w:p w14:paraId="59CAC5C9" w14:textId="77777777" w:rsidR="004433A4" w:rsidRPr="00DD1B58" w:rsidRDefault="4E2BECAF" w:rsidP="50AE0A86">
      <w:pPr>
        <w:pStyle w:val="Bulletlist1"/>
        <w:numPr>
          <w:ilvl w:val="0"/>
          <w:numId w:val="0"/>
        </w:numPr>
        <w:rPr>
          <w:szCs w:val="24"/>
          <w:lang w:val="en-US"/>
        </w:rPr>
      </w:pPr>
      <w:r w:rsidRPr="00DD1B58">
        <w:rPr>
          <w:b/>
          <w:bCs/>
          <w:szCs w:val="24"/>
          <w:lang w:val="en-US"/>
        </w:rPr>
        <w:t xml:space="preserve">Ventilation for protected escape and intervention routes: </w:t>
      </w:r>
      <w:r w:rsidRPr="00DD1B58">
        <w:rPr>
          <w:szCs w:val="24"/>
          <w:lang w:val="en-US"/>
        </w:rPr>
        <w:t>Ventilation systems also provide smoke control and extraction for the main staircases, lobbies, and protected corridors. Protected areas within radiologically controlled areas use pressure differential systems to ensure that radiological containment is maintained.</w:t>
      </w:r>
    </w:p>
    <w:p w14:paraId="5312994B" w14:textId="77777777" w:rsidR="001D7243" w:rsidRPr="00DD1B58" w:rsidRDefault="001D7243" w:rsidP="00177432">
      <w:pPr>
        <w:pStyle w:val="Heading5A"/>
        <w:numPr>
          <w:ilvl w:val="5"/>
          <w:numId w:val="7"/>
        </w:numPr>
        <w:rPr>
          <w:lang w:val="en-US"/>
        </w:rPr>
      </w:pPr>
      <w:r w:rsidRPr="00DD1B58">
        <w:rPr>
          <w:lang w:val="en-US"/>
        </w:rPr>
        <w:t>Performance and management requirements under fire conditions</w:t>
      </w:r>
    </w:p>
    <w:p w14:paraId="08FA56AC" w14:textId="564B89A6" w:rsidR="00AB3725" w:rsidRPr="00DD1B58" w:rsidRDefault="00E7758E" w:rsidP="0011516C">
      <w:pPr>
        <w:rPr>
          <w:szCs w:val="24"/>
          <w:lang w:val="en-US"/>
        </w:rPr>
      </w:pPr>
      <w:r w:rsidRPr="00DD1B58">
        <w:rPr>
          <w:szCs w:val="24"/>
          <w:lang w:val="en-US"/>
        </w:rPr>
        <w:t>NNB GenCo</w:t>
      </w:r>
      <w:r w:rsidR="004F5839" w:rsidRPr="00DD1B58">
        <w:rPr>
          <w:szCs w:val="24"/>
          <w:lang w:val="en-US"/>
        </w:rPr>
        <w:t xml:space="preserve"> </w:t>
      </w:r>
      <w:r w:rsidR="007376D6" w:rsidRPr="00DD1B58">
        <w:rPr>
          <w:szCs w:val="24"/>
          <w:lang w:val="en-US"/>
        </w:rPr>
        <w:t>states that</w:t>
      </w:r>
      <w:r w:rsidRPr="00DD1B58">
        <w:rPr>
          <w:szCs w:val="24"/>
          <w:lang w:val="en-US"/>
        </w:rPr>
        <w:t xml:space="preserve"> </w:t>
      </w:r>
      <w:r w:rsidR="004F5839" w:rsidRPr="00DD1B58">
        <w:rPr>
          <w:szCs w:val="24"/>
          <w:lang w:val="en-US"/>
        </w:rPr>
        <w:t>v</w:t>
      </w:r>
      <w:r w:rsidR="00AB3725" w:rsidRPr="00DD1B58">
        <w:rPr>
          <w:szCs w:val="24"/>
          <w:lang w:val="en-US"/>
        </w:rPr>
        <w:t>entilation system components which form part of fire HSV boundaries, or which cross adjacent fire HSVs have at least the same fire rating as the barrier that they cross, on ducts crossing any fire barrier at the point of entry and/or exit to the compartment.</w:t>
      </w:r>
      <w:r w:rsidR="004F5839" w:rsidRPr="00DD1B58">
        <w:rPr>
          <w:szCs w:val="24"/>
          <w:lang w:val="en-US"/>
        </w:rPr>
        <w:t xml:space="preserve"> It also noted that, i </w:t>
      </w:r>
      <w:r w:rsidR="00AB3725" w:rsidRPr="00DD1B58">
        <w:rPr>
          <w:szCs w:val="24"/>
          <w:lang w:val="en-US"/>
        </w:rPr>
        <w:t>n addition to the use of fire dampers, ventilation ducts crossing different fire compartments (including ones attached to another division) are protected against fire by being constructed from materials providing fire resistance equal to that of the fire compartment boundaries. In cases where ducts traverse multiple boundaries with different requirements, the rating with the greatest requirement is applied.</w:t>
      </w:r>
      <w:r w:rsidR="004F5839" w:rsidRPr="00DD1B58">
        <w:rPr>
          <w:szCs w:val="24"/>
          <w:lang w:val="en-US"/>
        </w:rPr>
        <w:t xml:space="preserve"> </w:t>
      </w:r>
      <w:r w:rsidR="00AB3725" w:rsidRPr="00DD1B58">
        <w:rPr>
          <w:szCs w:val="24"/>
          <w:lang w:val="en-US"/>
        </w:rPr>
        <w:t>Fire dampers close automatically in the event of fire by automatically closing these dampers when a fire is detected by the JDT system or by operation of the damper’s thermal fuse(s).</w:t>
      </w:r>
    </w:p>
    <w:p w14:paraId="06DBAD53" w14:textId="1B46D9A6" w:rsidR="00AB3725" w:rsidRPr="00DD1B58" w:rsidRDefault="00AB3725" w:rsidP="0011516C">
      <w:pPr>
        <w:rPr>
          <w:szCs w:val="24"/>
          <w:lang w:val="en-US"/>
        </w:rPr>
      </w:pPr>
      <w:r w:rsidRPr="00DD1B58">
        <w:rPr>
          <w:b/>
          <w:szCs w:val="24"/>
          <w:lang w:val="en-US"/>
        </w:rPr>
        <w:t>Confinement for Radiologically controlled areas</w:t>
      </w:r>
      <w:r w:rsidRPr="00DD1B58">
        <w:rPr>
          <w:szCs w:val="24"/>
          <w:lang w:val="en-US"/>
        </w:rPr>
        <w:t xml:space="preserve">: </w:t>
      </w:r>
      <w:r w:rsidR="00B84267" w:rsidRPr="00DD1B58">
        <w:rPr>
          <w:szCs w:val="24"/>
          <w:lang w:val="en-US"/>
        </w:rPr>
        <w:t>NNB GenCo report</w:t>
      </w:r>
      <w:r w:rsidR="009C2201" w:rsidRPr="00DD1B58">
        <w:rPr>
          <w:szCs w:val="24"/>
          <w:lang w:val="en-US"/>
        </w:rPr>
        <w:t>s</w:t>
      </w:r>
      <w:r w:rsidR="00B84267" w:rsidRPr="00DD1B58">
        <w:rPr>
          <w:szCs w:val="24"/>
          <w:lang w:val="en-US"/>
        </w:rPr>
        <w:t xml:space="preserve"> that</w:t>
      </w:r>
      <w:r w:rsidR="00940D2A" w:rsidRPr="00DD1B58">
        <w:rPr>
          <w:szCs w:val="24"/>
          <w:lang w:val="en-US"/>
        </w:rPr>
        <w:t xml:space="preserve"> </w:t>
      </w:r>
      <w:r w:rsidRPr="00DD1B58">
        <w:rPr>
          <w:szCs w:val="24"/>
          <w:lang w:val="en-US"/>
        </w:rPr>
        <w:t>exhaust mass flowrate is higher than the supply mass flowrate to maintain a negative pressure in the controlled area relative to outside and non-controlled areas.</w:t>
      </w:r>
      <w:r w:rsidR="00B84267" w:rsidRPr="00DD1B58">
        <w:rPr>
          <w:szCs w:val="24"/>
          <w:lang w:val="en-US"/>
        </w:rPr>
        <w:t xml:space="preserve"> It also </w:t>
      </w:r>
      <w:r w:rsidR="007376D6" w:rsidRPr="00DD1B58">
        <w:rPr>
          <w:szCs w:val="24"/>
          <w:lang w:val="en-US"/>
        </w:rPr>
        <w:t>states that</w:t>
      </w:r>
      <w:r w:rsidR="00B84267" w:rsidRPr="00DD1B58">
        <w:rPr>
          <w:szCs w:val="24"/>
          <w:lang w:val="en-US"/>
        </w:rPr>
        <w:t xml:space="preserve"> e</w:t>
      </w:r>
      <w:r w:rsidRPr="00DD1B58">
        <w:rPr>
          <w:szCs w:val="24"/>
          <w:lang w:val="en-US"/>
        </w:rPr>
        <w:t>xhaust air is collected, filtered, and discharged to the main unit ventilation stack. An additional negative pressure is maintained in rooms housing iodine and their adjacent rooms.</w:t>
      </w:r>
    </w:p>
    <w:p w14:paraId="3494FC68" w14:textId="08187094" w:rsidR="00AB3725" w:rsidRPr="00DD1B58" w:rsidRDefault="00FF11A6" w:rsidP="0011516C">
      <w:pPr>
        <w:rPr>
          <w:szCs w:val="24"/>
          <w:lang w:val="en-US"/>
        </w:rPr>
      </w:pPr>
      <w:r w:rsidRPr="00DD1B58">
        <w:rPr>
          <w:szCs w:val="24"/>
          <w:lang w:val="en-US"/>
        </w:rPr>
        <w:t>NNB GenCo report</w:t>
      </w:r>
      <w:r w:rsidR="009C2201" w:rsidRPr="00DD1B58">
        <w:rPr>
          <w:szCs w:val="24"/>
          <w:lang w:val="en-US"/>
        </w:rPr>
        <w:t>s</w:t>
      </w:r>
      <w:r w:rsidRPr="00DD1B58">
        <w:rPr>
          <w:szCs w:val="24"/>
          <w:lang w:val="en-US"/>
        </w:rPr>
        <w:t xml:space="preserve"> that the </w:t>
      </w:r>
      <w:r w:rsidR="00AB3725" w:rsidRPr="00DD1B58">
        <w:rPr>
          <w:szCs w:val="24"/>
          <w:lang w:val="en-US"/>
        </w:rPr>
        <w:t>design takes account of the risk of spurious operation of fire dampers interfering with the radiological containment function of the ventilation system, for example if closing an exhaust damper could increase the pressure in a ventilated area which is intended to be maintained under a negative pressure with respect to its surroundings.</w:t>
      </w:r>
    </w:p>
    <w:p w14:paraId="52A3DE8C" w14:textId="2CA384E1" w:rsidR="00AB3725" w:rsidRPr="00DD1B58" w:rsidRDefault="00AB3725" w:rsidP="0011516C">
      <w:pPr>
        <w:rPr>
          <w:szCs w:val="24"/>
          <w:lang w:val="en-US"/>
        </w:rPr>
      </w:pPr>
      <w:r w:rsidRPr="00DD1B58">
        <w:rPr>
          <w:b/>
          <w:bCs/>
          <w:lang w:val="en-US"/>
        </w:rPr>
        <w:t>Other areas</w:t>
      </w:r>
      <w:r w:rsidRPr="00DD1B58">
        <w:rPr>
          <w:szCs w:val="24"/>
          <w:lang w:val="en-US"/>
        </w:rPr>
        <w:t xml:space="preserve">: </w:t>
      </w:r>
      <w:r w:rsidR="00FF11A6" w:rsidRPr="00DD1B58">
        <w:rPr>
          <w:szCs w:val="24"/>
          <w:lang w:val="en-US"/>
        </w:rPr>
        <w:t>NNB GenCo report</w:t>
      </w:r>
      <w:r w:rsidR="009C2201" w:rsidRPr="00DD1B58">
        <w:rPr>
          <w:szCs w:val="24"/>
          <w:lang w:val="en-US"/>
        </w:rPr>
        <w:t>s</w:t>
      </w:r>
      <w:r w:rsidR="00FF11A6" w:rsidRPr="00DD1B58">
        <w:rPr>
          <w:szCs w:val="24"/>
          <w:lang w:val="en-US"/>
        </w:rPr>
        <w:t xml:space="preserve"> that </w:t>
      </w:r>
      <w:r w:rsidRPr="00DD1B58">
        <w:rPr>
          <w:szCs w:val="24"/>
          <w:lang w:val="en-US"/>
        </w:rPr>
        <w:t>HVAC systems can operate in recirculating mode to reduce cooling power or heating power, but a minimum fresh air rate must be maintained for acceptable indoor air quality</w:t>
      </w:r>
    </w:p>
    <w:p w14:paraId="739D869C" w14:textId="77777777" w:rsidR="001D7243" w:rsidRPr="00DD1B58" w:rsidRDefault="001D7243" w:rsidP="00177432">
      <w:pPr>
        <w:pStyle w:val="Heading5A"/>
        <w:rPr>
          <w:lang w:val="en-US"/>
        </w:rPr>
      </w:pPr>
      <w:bookmarkStart w:id="144" w:name="_Ref145058103"/>
      <w:r w:rsidRPr="00DD1B58">
        <w:rPr>
          <w:lang w:val="en-US"/>
        </w:rPr>
        <w:t xml:space="preserve">Licensee’s experience of the implementation of the </w:t>
      </w:r>
      <w:r w:rsidR="00A34774" w:rsidRPr="00DD1B58">
        <w:rPr>
          <w:lang w:val="en-US"/>
        </w:rPr>
        <w:t>passive</w:t>
      </w:r>
      <w:r w:rsidRPr="00DD1B58">
        <w:rPr>
          <w:lang w:val="en-US"/>
        </w:rPr>
        <w:t xml:space="preserve"> fire protection</w:t>
      </w:r>
      <w:bookmarkEnd w:id="144"/>
    </w:p>
    <w:p w14:paraId="7D420222" w14:textId="77777777" w:rsidR="001D7243" w:rsidRPr="00DD1B58" w:rsidRDefault="001D7243" w:rsidP="00177432">
      <w:pPr>
        <w:pStyle w:val="Heading5A"/>
        <w:numPr>
          <w:ilvl w:val="5"/>
          <w:numId w:val="7"/>
        </w:numPr>
        <w:rPr>
          <w:lang w:val="en-US"/>
        </w:rPr>
      </w:pPr>
      <w:r w:rsidRPr="00DD1B58">
        <w:rPr>
          <w:lang w:val="en-US"/>
        </w:rPr>
        <w:t>Overview of strengths and weaknesses</w:t>
      </w:r>
    </w:p>
    <w:p w14:paraId="6858CF1B" w14:textId="4F315BBD" w:rsidR="003D15A7" w:rsidRPr="00DD1B58" w:rsidRDefault="00FF11A6" w:rsidP="00921B58">
      <w:pPr>
        <w:rPr>
          <w:color w:val="000000" w:themeColor="text1"/>
          <w:szCs w:val="24"/>
          <w:lang w:val="en-US"/>
        </w:rPr>
      </w:pPr>
      <w:r w:rsidRPr="00DD1B58">
        <w:rPr>
          <w:color w:val="000000" w:themeColor="text1"/>
          <w:szCs w:val="24"/>
          <w:lang w:val="en-US"/>
        </w:rPr>
        <w:t>NNB GenCo considers that c</w:t>
      </w:r>
      <w:r w:rsidR="003D15A7" w:rsidRPr="00DD1B58">
        <w:rPr>
          <w:color w:val="000000" w:themeColor="text1"/>
          <w:szCs w:val="24"/>
          <w:lang w:val="en-US"/>
        </w:rPr>
        <w:t>able tray wrapping has some implementation challenges in practice. Wrapping adds to the cost and complexity of installation and would need to be locally removed and reinstated if wrapped components need to be accessed for maintenance or repairs during the operational life of the plant. Cables generate heat from the electrical currents that they carry, and wrapping the cables reduces the heat dissipation because it acts as a layer of thermal insulation. This means that it may be necessary to reduce the rating of the cables so that they carry less current and therefore generate less heat.</w:t>
      </w:r>
    </w:p>
    <w:p w14:paraId="320E2948" w14:textId="2016C78F" w:rsidR="003D15A7" w:rsidRPr="00DD1B58" w:rsidRDefault="00FF11A6" w:rsidP="00921B58">
      <w:pPr>
        <w:rPr>
          <w:color w:val="000000" w:themeColor="text1"/>
          <w:szCs w:val="24"/>
          <w:lang w:val="en-US"/>
        </w:rPr>
      </w:pPr>
      <w:r w:rsidRPr="00DD1B58">
        <w:rPr>
          <w:color w:val="000000" w:themeColor="text1"/>
          <w:szCs w:val="24"/>
          <w:lang w:val="en-US"/>
        </w:rPr>
        <w:t>NNB GenC</w:t>
      </w:r>
      <w:r w:rsidR="001C7491" w:rsidRPr="00DD1B58">
        <w:rPr>
          <w:color w:val="000000" w:themeColor="text1"/>
          <w:szCs w:val="24"/>
          <w:lang w:val="en-US"/>
        </w:rPr>
        <w:t>o</w:t>
      </w:r>
      <w:r w:rsidRPr="00DD1B58">
        <w:rPr>
          <w:color w:val="000000" w:themeColor="text1"/>
          <w:szCs w:val="24"/>
          <w:lang w:val="en-US"/>
        </w:rPr>
        <w:t xml:space="preserve"> also states that c</w:t>
      </w:r>
      <w:r w:rsidR="003D15A7" w:rsidRPr="00DD1B58">
        <w:rPr>
          <w:color w:val="000000" w:themeColor="text1"/>
          <w:szCs w:val="24"/>
          <w:lang w:val="en-US"/>
        </w:rPr>
        <w:t xml:space="preserve">able tray wrapping materials to be used in the reactor building will have to avoid generating fibrous material that could clog the filters of the pumps that would be used to circulate water for cooling in a severe accident. </w:t>
      </w:r>
      <w:r w:rsidRPr="00DD1B58">
        <w:rPr>
          <w:color w:val="000000" w:themeColor="text1"/>
          <w:szCs w:val="24"/>
          <w:lang w:val="en-US"/>
        </w:rPr>
        <w:t xml:space="preserve">NNB GenCo’s </w:t>
      </w:r>
      <w:r w:rsidR="003D15A7" w:rsidRPr="00DD1B58">
        <w:rPr>
          <w:color w:val="000000" w:themeColor="text1"/>
          <w:szCs w:val="24"/>
          <w:lang w:val="en-US"/>
        </w:rPr>
        <w:t>intention is to only wrap specific cable trays within the reactor building that are local to fixed fire initiators, and to claim low frequency of cable autoignition for other cables, and low frequency of ignition due to human action and transient combustibles due to management arrangements and low occupancy.</w:t>
      </w:r>
    </w:p>
    <w:p w14:paraId="64528D44" w14:textId="77777777" w:rsidR="001D7243" w:rsidRPr="00DD1B58" w:rsidRDefault="001D7243" w:rsidP="00177432">
      <w:pPr>
        <w:pStyle w:val="Heading5A"/>
        <w:numPr>
          <w:ilvl w:val="5"/>
          <w:numId w:val="7"/>
        </w:numPr>
        <w:rPr>
          <w:lang w:val="en-US"/>
        </w:rPr>
      </w:pPr>
      <w:r w:rsidRPr="00DD1B58">
        <w:rPr>
          <w:lang w:val="en-US"/>
        </w:rPr>
        <w:t>Lessons learned from events, reviews fire safety related missions, etc.</w:t>
      </w:r>
    </w:p>
    <w:p w14:paraId="4E0248F0" w14:textId="7E610060" w:rsidR="003D15A7" w:rsidRPr="00DD1B58" w:rsidRDefault="00FF11A6" w:rsidP="003D15A7">
      <w:pPr>
        <w:rPr>
          <w:color w:val="000000" w:themeColor="text1"/>
          <w:szCs w:val="24"/>
          <w:lang w:val="en-US"/>
        </w:rPr>
      </w:pPr>
      <w:r w:rsidRPr="00DD1B58">
        <w:rPr>
          <w:color w:val="000000" w:themeColor="text1"/>
          <w:szCs w:val="24"/>
          <w:lang w:val="en-US"/>
        </w:rPr>
        <w:t>NNB GenCo report</w:t>
      </w:r>
      <w:r w:rsidR="008C30C8" w:rsidRPr="00DD1B58">
        <w:rPr>
          <w:color w:val="000000" w:themeColor="text1"/>
          <w:szCs w:val="24"/>
          <w:lang w:val="en-US"/>
        </w:rPr>
        <w:t>s</w:t>
      </w:r>
      <w:r w:rsidRPr="00DD1B58">
        <w:rPr>
          <w:color w:val="000000" w:themeColor="text1"/>
          <w:szCs w:val="24"/>
          <w:lang w:val="en-US"/>
        </w:rPr>
        <w:t xml:space="preserve"> that the </w:t>
      </w:r>
      <w:r w:rsidR="003D15A7" w:rsidRPr="00DD1B58">
        <w:rPr>
          <w:color w:val="000000" w:themeColor="text1"/>
          <w:szCs w:val="24"/>
          <w:lang w:val="en-US"/>
        </w:rPr>
        <w:t>firefighting water system has been redesigned taking into account experience from the FA3 design (</w:t>
      </w:r>
      <w:sdt>
        <w:sdtPr>
          <w:rPr>
            <w:color w:val="000000" w:themeColor="text1"/>
            <w:szCs w:val="24"/>
            <w:lang w:val="en-US"/>
          </w:rPr>
          <w:id w:val="-1576509305"/>
          <w:citation/>
        </w:sdtPr>
        <w:sdtContent>
          <w:r w:rsidR="00247BBB" w:rsidRPr="00DD1B58">
            <w:rPr>
              <w:color w:val="000000" w:themeColor="text1"/>
              <w:szCs w:val="24"/>
              <w:lang w:val="en-US"/>
            </w:rPr>
            <w:fldChar w:fldCharType="begin"/>
          </w:r>
          <w:r w:rsidR="00247BBB" w:rsidRPr="00DD1B58">
            <w:rPr>
              <w:color w:val="000000" w:themeColor="text1"/>
              <w:szCs w:val="24"/>
              <w:lang w:val="en-US"/>
            </w:rPr>
            <w:instrText xml:space="preserve"> CITATION NNB2111 \l 2057 </w:instrText>
          </w:r>
          <w:r w:rsidR="00247BBB" w:rsidRPr="00DD1B58">
            <w:rPr>
              <w:color w:val="000000" w:themeColor="text1"/>
              <w:szCs w:val="24"/>
              <w:lang w:val="en-US"/>
            </w:rPr>
            <w:fldChar w:fldCharType="separate"/>
          </w:r>
          <w:r w:rsidR="00DF47DA">
            <w:rPr>
              <w:noProof/>
              <w:color w:val="000000" w:themeColor="text1"/>
              <w:szCs w:val="24"/>
              <w:lang w:val="en-US"/>
            </w:rPr>
            <w:t xml:space="preserve"> </w:t>
          </w:r>
          <w:r w:rsidR="00DF47DA" w:rsidRPr="00DF47DA">
            <w:rPr>
              <w:noProof/>
              <w:color w:val="000000" w:themeColor="text1"/>
              <w:szCs w:val="24"/>
              <w:lang w:val="en-US"/>
            </w:rPr>
            <w:t>[174]</w:t>
          </w:r>
          <w:r w:rsidR="00247BBB" w:rsidRPr="00DD1B58">
            <w:rPr>
              <w:color w:val="000000" w:themeColor="text1"/>
              <w:szCs w:val="24"/>
              <w:lang w:val="en-US"/>
            </w:rPr>
            <w:fldChar w:fldCharType="end"/>
          </w:r>
        </w:sdtContent>
      </w:sdt>
      <w:r w:rsidR="003D15A7" w:rsidRPr="00DD1B58">
        <w:rPr>
          <w:color w:val="000000" w:themeColor="text1"/>
          <w:szCs w:val="24"/>
          <w:lang w:val="en-US"/>
        </w:rPr>
        <w:t xml:space="preserve"> Section P2.3). The main design modifications concerning the fire safety functions are as follows:</w:t>
      </w:r>
    </w:p>
    <w:p w14:paraId="48B4F3DB" w14:textId="77777777" w:rsidR="003D15A7" w:rsidRPr="00DD1B58" w:rsidRDefault="003D15A7" w:rsidP="003D15A7">
      <w:pPr>
        <w:pStyle w:val="Bulletlist1"/>
        <w:rPr>
          <w:lang w:val="en-US"/>
        </w:rPr>
      </w:pPr>
      <w:r w:rsidRPr="00DD1B58">
        <w:rPr>
          <w:lang w:val="en-US"/>
        </w:rPr>
        <w:t>A dedicated building (HOJ) is being provided for HPC to house the entire Firefighting Water Supply System (JAC).</w:t>
      </w:r>
    </w:p>
    <w:p w14:paraId="60FBFC23" w14:textId="7B6CC4EF" w:rsidR="003D15A7" w:rsidRPr="00DD1B58" w:rsidRDefault="003D15A7" w:rsidP="003D15A7">
      <w:pPr>
        <w:pStyle w:val="Bulletlist1"/>
        <w:rPr>
          <w:lang w:val="en-US"/>
        </w:rPr>
      </w:pPr>
      <w:r w:rsidRPr="00DD1B58">
        <w:rPr>
          <w:lang w:val="en-US"/>
        </w:rPr>
        <w:t xml:space="preserve">Total separation of the </w:t>
      </w:r>
      <w:r w:rsidR="004F5760" w:rsidRPr="00DD1B58">
        <w:rPr>
          <w:lang w:val="en-US"/>
        </w:rPr>
        <w:t>firefight</w:t>
      </w:r>
      <w:r w:rsidRPr="00DD1B58">
        <w:rPr>
          <w:lang w:val="en-US"/>
        </w:rPr>
        <w:t>ing safety functions from other safety functions that the JAC system contributes to.</w:t>
      </w:r>
    </w:p>
    <w:p w14:paraId="3E04B3EA" w14:textId="77777777" w:rsidR="003D15A7" w:rsidRPr="00DD1B58" w:rsidRDefault="003D15A7" w:rsidP="003D15A7">
      <w:pPr>
        <w:pStyle w:val="Bulletlist1"/>
        <w:rPr>
          <w:lang w:val="en-US"/>
        </w:rPr>
      </w:pPr>
      <w:r w:rsidRPr="00DD1B58">
        <w:rPr>
          <w:lang w:val="en-US"/>
        </w:rPr>
        <w:t>Changes in routing of the piping in the galleries and in interface with the Safeguard Auxiliary Building, within the framework of functional optimisation</w:t>
      </w:r>
    </w:p>
    <w:p w14:paraId="5576F2BF" w14:textId="77777777" w:rsidR="001D7243" w:rsidRPr="00DD1B58" w:rsidRDefault="001D7243" w:rsidP="00177432">
      <w:pPr>
        <w:pStyle w:val="Heading5A"/>
        <w:numPr>
          <w:ilvl w:val="5"/>
          <w:numId w:val="7"/>
        </w:numPr>
        <w:rPr>
          <w:lang w:val="en-US"/>
        </w:rPr>
      </w:pPr>
      <w:r w:rsidRPr="00DD1B58">
        <w:rPr>
          <w:lang w:val="en-US"/>
        </w:rPr>
        <w:t>Overview of actions and implementation status</w:t>
      </w:r>
    </w:p>
    <w:p w14:paraId="4F4B61F4" w14:textId="77777777" w:rsidR="003D15A7" w:rsidRPr="00DD1B58" w:rsidRDefault="00921B58" w:rsidP="00F20088">
      <w:pPr>
        <w:rPr>
          <w:lang w:val="en-US"/>
        </w:rPr>
      </w:pPr>
      <w:r w:rsidRPr="00DD1B58">
        <w:rPr>
          <w:lang w:val="en-US"/>
        </w:rPr>
        <w:t>No actions were identified by the licensee.</w:t>
      </w:r>
    </w:p>
    <w:p w14:paraId="19F99BF1" w14:textId="77777777" w:rsidR="001D7243" w:rsidRPr="00DD1B58" w:rsidRDefault="001D7243" w:rsidP="00177432">
      <w:pPr>
        <w:pStyle w:val="Heading5A"/>
        <w:rPr>
          <w:lang w:val="en-US"/>
        </w:rPr>
      </w:pPr>
      <w:bookmarkStart w:id="145" w:name="_Ref145058235"/>
      <w:r w:rsidRPr="00DD1B58">
        <w:rPr>
          <w:lang w:val="en-US"/>
        </w:rPr>
        <w:t xml:space="preserve">Regulator’s assessment of the </w:t>
      </w:r>
      <w:r w:rsidR="00AE10C6" w:rsidRPr="00DD1B58">
        <w:rPr>
          <w:lang w:val="en-US"/>
        </w:rPr>
        <w:t>passive</w:t>
      </w:r>
      <w:r w:rsidRPr="00DD1B58">
        <w:rPr>
          <w:lang w:val="en-US"/>
        </w:rPr>
        <w:t xml:space="preserve"> fire protection</w:t>
      </w:r>
      <w:bookmarkEnd w:id="145"/>
    </w:p>
    <w:p w14:paraId="17E03F46" w14:textId="77777777" w:rsidR="001D7243" w:rsidRPr="00DD1B58" w:rsidRDefault="001D7243" w:rsidP="00177432">
      <w:pPr>
        <w:pStyle w:val="Heading5A"/>
        <w:numPr>
          <w:ilvl w:val="5"/>
          <w:numId w:val="7"/>
        </w:numPr>
        <w:rPr>
          <w:lang w:val="en-US"/>
        </w:rPr>
      </w:pPr>
      <w:r w:rsidRPr="00DD1B58">
        <w:rPr>
          <w:lang w:val="en-US"/>
        </w:rPr>
        <w:t>Overview of strengths and weaknesses in the passive fire protection</w:t>
      </w:r>
    </w:p>
    <w:p w14:paraId="355E59C7" w14:textId="41C76487" w:rsidR="0052639B" w:rsidRPr="00DD1B58" w:rsidRDefault="0052639B" w:rsidP="00F20088">
      <w:pPr>
        <w:rPr>
          <w:lang w:val="en-US"/>
        </w:rPr>
      </w:pPr>
      <w:r w:rsidRPr="00DD1B58">
        <w:rPr>
          <w:lang w:val="en-US"/>
        </w:rPr>
        <w:t xml:space="preserve">Section A-II-3.3.1.1 details how NNB GenCo applies fire containment via the physical </w:t>
      </w:r>
      <w:r w:rsidR="0053135F" w:rsidRPr="00DD1B58">
        <w:rPr>
          <w:lang w:val="en-US"/>
        </w:rPr>
        <w:t xml:space="preserve">segregation </w:t>
      </w:r>
      <w:r w:rsidRPr="00DD1B58">
        <w:rPr>
          <w:lang w:val="en-US"/>
        </w:rPr>
        <w:t>of areas through the use of fire rated barriers. NNB GenCo has set out how fire barrier designation is driven by fire hazard analysis. This meets ONR’s expectations that fire barriers should be provided to provide the fire resistance as required by the fire hazard analysis</w:t>
      </w:r>
      <w:r w:rsidR="0053135F" w:rsidRPr="00DD1B58">
        <w:rPr>
          <w:lang w:val="en-US"/>
        </w:rPr>
        <w:t xml:space="preserve"> and is consistent with the ONR internal hazards TAG</w:t>
      </w:r>
      <w:r w:rsidR="00986661" w:rsidRPr="00DD1B58">
        <w:rPr>
          <w:lang w:val="en-US"/>
        </w:rPr>
        <w:t xml:space="preserve"> </w:t>
      </w:r>
      <w:sdt>
        <w:sdtPr>
          <w:rPr>
            <w:lang w:val="en-US"/>
          </w:rPr>
          <w:id w:val="-352182139"/>
          <w:citation/>
        </w:sdtPr>
        <w:sdtContent>
          <w:r w:rsidR="00986661" w:rsidRPr="00DD1B58">
            <w:rPr>
              <w:lang w:val="en-US"/>
            </w:rPr>
            <w:fldChar w:fldCharType="begin"/>
          </w:r>
          <w:r w:rsidR="00986661" w:rsidRPr="00DD1B58">
            <w:rPr>
              <w:lang w:val="en-US"/>
            </w:rPr>
            <w:instrText xml:space="preserve"> CITATION ONR4 \l 2057 </w:instrText>
          </w:r>
          <w:r w:rsidR="00986661" w:rsidRPr="00DD1B58">
            <w:rPr>
              <w:lang w:val="en-US"/>
            </w:rPr>
            <w:fldChar w:fldCharType="separate"/>
          </w:r>
          <w:r w:rsidR="00DF47DA" w:rsidRPr="00DF47DA">
            <w:rPr>
              <w:noProof/>
              <w:lang w:val="en-US"/>
            </w:rPr>
            <w:t>[16]</w:t>
          </w:r>
          <w:r w:rsidR="00986661" w:rsidRPr="00DD1B58">
            <w:rPr>
              <w:lang w:val="en-US"/>
            </w:rPr>
            <w:fldChar w:fldCharType="end"/>
          </w:r>
        </w:sdtContent>
      </w:sdt>
      <w:r w:rsidR="0053135F" w:rsidRPr="00DD1B58">
        <w:rPr>
          <w:lang w:val="en-US"/>
        </w:rPr>
        <w:t xml:space="preserve">, IAEA SSG-64 </w:t>
      </w:r>
      <w:sdt>
        <w:sdtPr>
          <w:rPr>
            <w:lang w:val="en-US"/>
          </w:rPr>
          <w:id w:val="1152557846"/>
          <w:citation/>
        </w:sdtPr>
        <w:sdtContent>
          <w:r w:rsidR="009E6DE3" w:rsidRPr="00DD1B58">
            <w:rPr>
              <w:lang w:val="en-US"/>
            </w:rPr>
            <w:fldChar w:fldCharType="begin"/>
          </w:r>
          <w:r w:rsidR="009E6DE3" w:rsidRPr="00DD1B58">
            <w:rPr>
              <w:lang w:val="en-US"/>
            </w:rPr>
            <w:instrText xml:space="preserve"> CITATION IAE5 \l 2057 </w:instrText>
          </w:r>
          <w:r w:rsidR="009E6DE3" w:rsidRPr="00DD1B58">
            <w:rPr>
              <w:lang w:val="en-US"/>
            </w:rPr>
            <w:fldChar w:fldCharType="separate"/>
          </w:r>
          <w:r w:rsidR="00DF47DA" w:rsidRPr="00DF47DA">
            <w:rPr>
              <w:noProof/>
              <w:lang w:val="en-US"/>
            </w:rPr>
            <w:t>[17]</w:t>
          </w:r>
          <w:r w:rsidR="009E6DE3" w:rsidRPr="00DD1B58">
            <w:rPr>
              <w:lang w:val="en-US"/>
            </w:rPr>
            <w:fldChar w:fldCharType="end"/>
          </w:r>
        </w:sdtContent>
      </w:sdt>
      <w:r w:rsidR="009E6DE3" w:rsidRPr="00DD1B58">
        <w:rPr>
          <w:lang w:val="en-US"/>
        </w:rPr>
        <w:t xml:space="preserve"> </w:t>
      </w:r>
      <w:r w:rsidR="0053135F" w:rsidRPr="00DD1B58">
        <w:rPr>
          <w:lang w:val="en-US"/>
        </w:rPr>
        <w:t xml:space="preserve">and WENRA SRL SV 6.5. </w:t>
      </w:r>
      <w:r w:rsidRPr="00DD1B58">
        <w:rPr>
          <w:lang w:val="en-US"/>
        </w:rPr>
        <w:t>ONR</w:t>
      </w:r>
      <w:r w:rsidR="00801662" w:rsidRPr="00DD1B58">
        <w:rPr>
          <w:lang w:val="en-US"/>
        </w:rPr>
        <w:t xml:space="preserve"> also</w:t>
      </w:r>
      <w:r w:rsidRPr="00DD1B58">
        <w:rPr>
          <w:lang w:val="en-US"/>
        </w:rPr>
        <w:t xml:space="preserve"> judges the licensee’s</w:t>
      </w:r>
      <w:r w:rsidR="00801662" w:rsidRPr="00DD1B58">
        <w:rPr>
          <w:lang w:val="en-US"/>
        </w:rPr>
        <w:t xml:space="preserve"> approach for ventilation systems and fire dampers meets RGP.</w:t>
      </w:r>
    </w:p>
    <w:p w14:paraId="7FA6F849" w14:textId="77777777" w:rsidR="001D7243" w:rsidRPr="00DD1B58" w:rsidRDefault="001D7243" w:rsidP="00177432">
      <w:pPr>
        <w:pStyle w:val="Heading5A"/>
        <w:numPr>
          <w:ilvl w:val="5"/>
          <w:numId w:val="7"/>
        </w:numPr>
        <w:rPr>
          <w:lang w:val="en-US"/>
        </w:rPr>
      </w:pPr>
      <w:r w:rsidRPr="00DD1B58">
        <w:rPr>
          <w:lang w:val="en-US"/>
        </w:rPr>
        <w:t xml:space="preserve">Lessons learned from inspection and assessment on the </w:t>
      </w:r>
      <w:r w:rsidR="0052639B" w:rsidRPr="00DD1B58">
        <w:rPr>
          <w:lang w:val="en-US"/>
        </w:rPr>
        <w:t>passive</w:t>
      </w:r>
      <w:r w:rsidRPr="00DD1B58">
        <w:rPr>
          <w:lang w:val="en-US"/>
        </w:rPr>
        <w:t xml:space="preserve"> fire protection as part of its regulatory oversight</w:t>
      </w:r>
    </w:p>
    <w:p w14:paraId="43901649" w14:textId="6B4B4DA1" w:rsidR="001D7243" w:rsidRPr="00DD1B58" w:rsidRDefault="00AA0548" w:rsidP="00F20088">
      <w:pPr>
        <w:rPr>
          <w:lang w:val="en-US"/>
        </w:rPr>
      </w:pPr>
      <w:r w:rsidRPr="00DD1B58">
        <w:rPr>
          <w:lang w:val="en-US"/>
        </w:rPr>
        <w:t>Fire inspections of the HPC site have focussed on the active life fire safety protection aspects as the site is still under construction.</w:t>
      </w:r>
      <w:r w:rsidR="00940D2A" w:rsidRPr="00DD1B58">
        <w:rPr>
          <w:lang w:val="en-US"/>
        </w:rPr>
        <w:t xml:space="preserve"> </w:t>
      </w:r>
      <w:r w:rsidRPr="00DD1B58">
        <w:rPr>
          <w:lang w:val="en-US"/>
        </w:rPr>
        <w:t>Assessments have been carried out at various stages of the construction of HPC. No significant issues have been identified relating to the passive fire protection areas of the EPR design.</w:t>
      </w:r>
    </w:p>
    <w:p w14:paraId="09B3BB79" w14:textId="77777777" w:rsidR="001D7243" w:rsidRPr="00DD1B58" w:rsidRDefault="001D7243" w:rsidP="00513B78">
      <w:pPr>
        <w:rPr>
          <w:lang w:val="en-US"/>
        </w:rPr>
      </w:pPr>
      <w:r w:rsidRPr="00DD1B58">
        <w:rPr>
          <w:lang w:val="en-US"/>
        </w:rPr>
        <w:br w:type="page"/>
      </w:r>
    </w:p>
    <w:p w14:paraId="4F2BD956" w14:textId="77777777" w:rsidR="00AC37CC" w:rsidRPr="00DD1B58" w:rsidRDefault="001D7243" w:rsidP="005F7245">
      <w:pPr>
        <w:pStyle w:val="Heading3A"/>
        <w:rPr>
          <w:lang w:val="en-US"/>
        </w:rPr>
      </w:pPr>
      <w:bookmarkStart w:id="146" w:name="_Toc147090653"/>
      <w:r w:rsidRPr="00DD1B58">
        <w:rPr>
          <w:lang w:val="en-US"/>
        </w:rPr>
        <w:t>Research reactors</w:t>
      </w:r>
      <w:bookmarkEnd w:id="146"/>
    </w:p>
    <w:p w14:paraId="603DA3EA" w14:textId="50348EBE" w:rsidR="001D7243" w:rsidRPr="00DD1B58" w:rsidRDefault="001D7243" w:rsidP="00177432">
      <w:pPr>
        <w:pStyle w:val="Heading3A"/>
        <w:rPr>
          <w:lang w:val="en-US"/>
        </w:rPr>
      </w:pPr>
      <w:bookmarkStart w:id="147" w:name="_Toc147090654"/>
      <w:r w:rsidRPr="00DD1B58">
        <w:rPr>
          <w:lang w:val="en-US"/>
        </w:rPr>
        <w:t xml:space="preserve">Fuel </w:t>
      </w:r>
      <w:r w:rsidR="0059010C" w:rsidRPr="00DD1B58">
        <w:rPr>
          <w:lang w:val="en-US"/>
        </w:rPr>
        <w:t>c</w:t>
      </w:r>
      <w:r w:rsidRPr="00DD1B58">
        <w:rPr>
          <w:lang w:val="en-US"/>
        </w:rPr>
        <w:t xml:space="preserve">ycle </w:t>
      </w:r>
      <w:r w:rsidR="0059010C" w:rsidRPr="00DD1B58">
        <w:rPr>
          <w:lang w:val="en-US"/>
        </w:rPr>
        <w:t>f</w:t>
      </w:r>
      <w:r w:rsidRPr="00DD1B58">
        <w:rPr>
          <w:lang w:val="en-US"/>
        </w:rPr>
        <w:t>acilities</w:t>
      </w:r>
      <w:bookmarkEnd w:id="147"/>
    </w:p>
    <w:p w14:paraId="37C62286" w14:textId="7E9CC826" w:rsidR="00FB7059" w:rsidRPr="00DD1B58" w:rsidRDefault="00FB7059" w:rsidP="00FB7059">
      <w:pPr>
        <w:rPr>
          <w:lang w:val="en-US"/>
        </w:rPr>
      </w:pPr>
      <w:r w:rsidRPr="00DD1B58">
        <w:rPr>
          <w:lang w:val="en-US"/>
        </w:rPr>
        <w:t xml:space="preserve">The text in the Sections below has been prepared by Urenco UK Ltd and Springfields Fuels </w:t>
      </w:r>
      <w:r w:rsidR="00BF0D1B" w:rsidRPr="00DD1B58">
        <w:rPr>
          <w:lang w:val="en-US"/>
        </w:rPr>
        <w:t>Ltd</w:t>
      </w:r>
      <w:r w:rsidRPr="00DD1B58">
        <w:rPr>
          <w:lang w:val="en-US"/>
        </w:rPr>
        <w:t xml:space="preserve"> Background information on the sites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47273257" w14:textId="56955401" w:rsidR="001D7243" w:rsidRPr="00DD1B58" w:rsidRDefault="00427E03" w:rsidP="00177432">
      <w:pPr>
        <w:pStyle w:val="Heading4A"/>
        <w:rPr>
          <w:lang w:val="en-US"/>
        </w:rPr>
      </w:pPr>
      <w:r w:rsidRPr="00DD1B58">
        <w:rPr>
          <w:lang w:val="en-US"/>
        </w:rPr>
        <w:t>Enrichment</w:t>
      </w:r>
      <w:r w:rsidR="001D7243" w:rsidRPr="00DD1B58">
        <w:rPr>
          <w:lang w:val="en-US"/>
        </w:rPr>
        <w:t xml:space="preserve"> </w:t>
      </w:r>
      <w:r w:rsidR="0059010C" w:rsidRPr="00DD1B58">
        <w:rPr>
          <w:lang w:val="en-US"/>
        </w:rPr>
        <w:t>f</w:t>
      </w:r>
      <w:r w:rsidR="001D7243" w:rsidRPr="00DD1B58">
        <w:rPr>
          <w:lang w:val="en-US"/>
        </w:rPr>
        <w:t>acilities</w:t>
      </w:r>
      <w:r w:rsidR="00B229CD" w:rsidRPr="00DD1B58">
        <w:rPr>
          <w:lang w:val="en-US"/>
        </w:rPr>
        <w:t xml:space="preserve"> </w:t>
      </w:r>
      <w:r w:rsidR="00F546D2" w:rsidRPr="00DD1B58">
        <w:rPr>
          <w:lang w:val="en-US"/>
        </w:rPr>
        <w:t>–</w:t>
      </w:r>
      <w:r w:rsidR="00B229CD" w:rsidRPr="00DD1B58">
        <w:rPr>
          <w:lang w:val="en-US"/>
        </w:rPr>
        <w:t xml:space="preserve"> </w:t>
      </w:r>
      <w:r w:rsidR="00F546D2" w:rsidRPr="00DD1B58">
        <w:rPr>
          <w:lang w:val="en-US"/>
        </w:rPr>
        <w:t>UUK Capenhurst</w:t>
      </w:r>
    </w:p>
    <w:p w14:paraId="45C30E45" w14:textId="77777777" w:rsidR="00A34774" w:rsidRPr="00DD1B58" w:rsidRDefault="00A34774" w:rsidP="00177432">
      <w:pPr>
        <w:pStyle w:val="Heading5A"/>
        <w:rPr>
          <w:lang w:val="en-US"/>
        </w:rPr>
      </w:pPr>
      <w:bookmarkStart w:id="148" w:name="_Ref146810632"/>
      <w:r w:rsidRPr="00DD1B58">
        <w:rPr>
          <w:lang w:val="en-US"/>
        </w:rPr>
        <w:t>Prevention of fire spreading (barriers)</w:t>
      </w:r>
      <w:bookmarkEnd w:id="148"/>
    </w:p>
    <w:p w14:paraId="67073EA9" w14:textId="43C88849" w:rsidR="001D7243" w:rsidRPr="00DD1B58" w:rsidRDefault="001D7243" w:rsidP="00177432">
      <w:pPr>
        <w:pStyle w:val="Heading5A"/>
        <w:numPr>
          <w:ilvl w:val="5"/>
          <w:numId w:val="7"/>
        </w:numPr>
        <w:rPr>
          <w:lang w:val="en-US"/>
        </w:rPr>
      </w:pPr>
      <w:r w:rsidRPr="00DD1B58">
        <w:rPr>
          <w:lang w:val="en-US"/>
        </w:rPr>
        <w:t xml:space="preserve">Design </w:t>
      </w:r>
      <w:r w:rsidR="0059010C" w:rsidRPr="00DD1B58">
        <w:rPr>
          <w:lang w:val="en-US"/>
        </w:rPr>
        <w:t>a</w:t>
      </w:r>
      <w:r w:rsidRPr="00DD1B58">
        <w:rPr>
          <w:lang w:val="en-US"/>
        </w:rPr>
        <w:t>pproach</w:t>
      </w:r>
    </w:p>
    <w:p w14:paraId="1BFBD22E" w14:textId="673B3BB2" w:rsidR="002D73E2" w:rsidRPr="00DD1B58" w:rsidRDefault="002D73E2" w:rsidP="60E054AF">
      <w:pPr>
        <w:autoSpaceDE w:val="0"/>
        <w:autoSpaceDN w:val="0"/>
        <w:adjustRightInd w:val="0"/>
        <w:spacing w:after="0" w:line="240" w:lineRule="auto"/>
        <w:rPr>
          <w:lang w:val="en-US" w:eastAsia="en-GB" w:bidi="ar-SA"/>
        </w:rPr>
      </w:pPr>
      <w:r w:rsidRPr="00DD1B58">
        <w:rPr>
          <w:lang w:val="en-US"/>
        </w:rPr>
        <w:t xml:space="preserve">For </w:t>
      </w:r>
      <w:r w:rsidRPr="00DD1B58">
        <w:rPr>
          <w:lang w:val="en-US" w:eastAsia="en-GB" w:bidi="ar-SA"/>
        </w:rPr>
        <w:t xml:space="preserve">new build, </w:t>
      </w:r>
      <w:r w:rsidR="00F546D2" w:rsidRPr="00DD1B58">
        <w:rPr>
          <w:lang w:val="en-US" w:eastAsia="en-GB" w:bidi="ar-SA"/>
        </w:rPr>
        <w:t>UUK’s a</w:t>
      </w:r>
      <w:r w:rsidRPr="00DD1B58">
        <w:rPr>
          <w:lang w:val="en-US" w:eastAsia="en-GB" w:bidi="ar-SA"/>
        </w:rPr>
        <w:t>pproach to determining fire compartment boundary lines utilises BS9999 calculations made of compartment fire loading to combine aspects of life safety and asset protection to support operational requirements/functionality.</w:t>
      </w:r>
    </w:p>
    <w:p w14:paraId="26BB010F" w14:textId="77777777" w:rsidR="002D73E2" w:rsidRPr="00DD1B58" w:rsidRDefault="002D73E2" w:rsidP="60E054AF">
      <w:pPr>
        <w:autoSpaceDE w:val="0"/>
        <w:autoSpaceDN w:val="0"/>
        <w:adjustRightInd w:val="0"/>
        <w:spacing w:after="0" w:line="240" w:lineRule="auto"/>
        <w:rPr>
          <w:lang w:val="en-US" w:eastAsia="en-GB" w:bidi="ar-SA"/>
        </w:rPr>
      </w:pPr>
    </w:p>
    <w:p w14:paraId="6F2467D3" w14:textId="3F5184B7" w:rsidR="002D73E2" w:rsidRPr="00DD1B58" w:rsidRDefault="00D279AE" w:rsidP="60E054AF">
      <w:pPr>
        <w:autoSpaceDE w:val="0"/>
        <w:autoSpaceDN w:val="0"/>
        <w:adjustRightInd w:val="0"/>
        <w:spacing w:after="0" w:line="240" w:lineRule="auto"/>
        <w:rPr>
          <w:lang w:val="en-US" w:eastAsia="en-GB" w:bidi="ar-SA"/>
        </w:rPr>
      </w:pPr>
      <w:r w:rsidRPr="00DD1B58">
        <w:rPr>
          <w:lang w:val="en-US" w:eastAsia="en-GB" w:bidi="ar-SA"/>
        </w:rPr>
        <w:t xml:space="preserve">UUK </w:t>
      </w:r>
      <w:r w:rsidR="007376D6" w:rsidRPr="00DD1B58">
        <w:rPr>
          <w:lang w:val="en-US" w:eastAsia="en-GB" w:bidi="ar-SA"/>
        </w:rPr>
        <w:t>states that</w:t>
      </w:r>
      <w:r w:rsidRPr="00DD1B58">
        <w:rPr>
          <w:lang w:val="en-US" w:eastAsia="en-GB" w:bidi="ar-SA"/>
        </w:rPr>
        <w:t xml:space="preserve"> e</w:t>
      </w:r>
      <w:r w:rsidR="002D73E2" w:rsidRPr="00DD1B58">
        <w:rPr>
          <w:lang w:val="en-US" w:eastAsia="en-GB" w:bidi="ar-SA"/>
        </w:rPr>
        <w:t>xisting buildings are subject to fire compartmentation surveys by SQEP Fire Engineers and fire modelling and general guidance from the above referenced publication.</w:t>
      </w:r>
    </w:p>
    <w:p w14:paraId="62AFFF83" w14:textId="77777777" w:rsidR="002D73E2" w:rsidRPr="00DD1B58" w:rsidRDefault="002D73E2" w:rsidP="60E054AF">
      <w:pPr>
        <w:autoSpaceDE w:val="0"/>
        <w:autoSpaceDN w:val="0"/>
        <w:adjustRightInd w:val="0"/>
        <w:spacing w:after="0" w:line="240" w:lineRule="auto"/>
        <w:rPr>
          <w:lang w:val="en-US" w:eastAsia="en-GB" w:bidi="ar-SA"/>
        </w:rPr>
      </w:pPr>
    </w:p>
    <w:p w14:paraId="14EA3A28" w14:textId="355D3287" w:rsidR="002D73E2" w:rsidRPr="00DD1B58" w:rsidRDefault="00D279AE" w:rsidP="60E054AF">
      <w:pPr>
        <w:autoSpaceDE w:val="0"/>
        <w:autoSpaceDN w:val="0"/>
        <w:adjustRightInd w:val="0"/>
        <w:spacing w:after="0" w:line="240" w:lineRule="auto"/>
        <w:rPr>
          <w:lang w:val="en-US" w:eastAsia="en-GB" w:bidi="ar-SA"/>
        </w:rPr>
      </w:pPr>
      <w:r w:rsidRPr="00DD1B58">
        <w:rPr>
          <w:lang w:val="en-US" w:eastAsia="en-GB" w:bidi="ar-SA"/>
        </w:rPr>
        <w:t>UUK report</w:t>
      </w:r>
      <w:r w:rsidR="00600B1E" w:rsidRPr="00DD1B58">
        <w:rPr>
          <w:lang w:val="en-US" w:eastAsia="en-GB" w:bidi="ar-SA"/>
        </w:rPr>
        <w:t>s</w:t>
      </w:r>
      <w:r w:rsidRPr="00DD1B58">
        <w:rPr>
          <w:lang w:val="en-US" w:eastAsia="en-GB" w:bidi="ar-SA"/>
        </w:rPr>
        <w:t xml:space="preserve"> the </w:t>
      </w:r>
      <w:r w:rsidR="002D73E2" w:rsidRPr="00DD1B58">
        <w:rPr>
          <w:lang w:val="en-US" w:eastAsia="en-GB" w:bidi="ar-SA"/>
        </w:rPr>
        <w:t>primary challenge over the lifetime of the installations</w:t>
      </w:r>
      <w:r w:rsidRPr="00DD1B58">
        <w:rPr>
          <w:lang w:val="en-US" w:eastAsia="en-GB" w:bidi="ar-SA"/>
        </w:rPr>
        <w:t xml:space="preserve"> as follows</w:t>
      </w:r>
      <w:r w:rsidR="002D73E2" w:rsidRPr="00DD1B58">
        <w:rPr>
          <w:lang w:val="en-US" w:eastAsia="en-GB" w:bidi="ar-SA"/>
        </w:rPr>
        <w:t>:</w:t>
      </w:r>
    </w:p>
    <w:p w14:paraId="78C5C3C7" w14:textId="77777777" w:rsidR="00426D9B" w:rsidRPr="00DD1B58" w:rsidRDefault="00426D9B" w:rsidP="60E054AF">
      <w:pPr>
        <w:autoSpaceDE w:val="0"/>
        <w:autoSpaceDN w:val="0"/>
        <w:adjustRightInd w:val="0"/>
        <w:spacing w:after="0" w:line="240" w:lineRule="auto"/>
        <w:rPr>
          <w:lang w:val="en-US" w:eastAsia="en-GB" w:bidi="ar-SA"/>
        </w:rPr>
      </w:pPr>
    </w:p>
    <w:p w14:paraId="55F4B2C9" w14:textId="77777777" w:rsidR="002D73E2" w:rsidRPr="00DD1B58" w:rsidRDefault="002D73E2" w:rsidP="00426D9B">
      <w:pPr>
        <w:pStyle w:val="Bulletlist1"/>
        <w:rPr>
          <w:lang w:val="en-US" w:eastAsia="en-GB" w:bidi="ar-SA"/>
        </w:rPr>
      </w:pPr>
      <w:r w:rsidRPr="00DD1B58">
        <w:rPr>
          <w:lang w:val="en-US" w:eastAsia="en-GB" w:bidi="ar-SA"/>
        </w:rPr>
        <w:t>Penetrations – cable runs, asset removal from plant, damage through weathering or material breakdown</w:t>
      </w:r>
    </w:p>
    <w:p w14:paraId="277BAED9" w14:textId="77777777" w:rsidR="002D73E2" w:rsidRPr="00DD1B58" w:rsidRDefault="002D73E2" w:rsidP="00426D9B">
      <w:pPr>
        <w:pStyle w:val="Bulletlist1"/>
        <w:rPr>
          <w:lang w:val="en-US" w:eastAsia="en-GB" w:bidi="ar-SA"/>
        </w:rPr>
      </w:pPr>
      <w:r w:rsidRPr="00DD1B58">
        <w:rPr>
          <w:lang w:val="en-US" w:eastAsia="en-GB" w:bidi="ar-SA"/>
        </w:rPr>
        <w:t>Ageing/asset condition of fire doors and fire dampers leading to degradation of fire resistance</w:t>
      </w:r>
    </w:p>
    <w:p w14:paraId="4EEF8EE7" w14:textId="77777777" w:rsidR="002D73E2" w:rsidRPr="00DD1B58" w:rsidRDefault="002D73E2" w:rsidP="00426D9B">
      <w:pPr>
        <w:pStyle w:val="Bulletlist1"/>
        <w:rPr>
          <w:lang w:val="en-US" w:eastAsia="en-GB" w:bidi="ar-SA"/>
        </w:rPr>
      </w:pPr>
      <w:r w:rsidRPr="00DD1B58">
        <w:rPr>
          <w:lang w:val="en-US" w:eastAsia="en-GB" w:bidi="ar-SA"/>
        </w:rPr>
        <w:t>Innovation resulting in obsolescence (i.e., fire dampers with fusible link activation versus modern solenoid activated, introduction of combined fire &amp; smoke damper units).</w:t>
      </w:r>
    </w:p>
    <w:p w14:paraId="574A061D" w14:textId="1A77DD01" w:rsidR="002D73E2" w:rsidRPr="00DD1B58" w:rsidRDefault="00D279AE" w:rsidP="60E054AF">
      <w:pPr>
        <w:autoSpaceDE w:val="0"/>
        <w:autoSpaceDN w:val="0"/>
        <w:adjustRightInd w:val="0"/>
        <w:spacing w:after="0" w:line="240" w:lineRule="auto"/>
        <w:rPr>
          <w:lang w:val="en-US" w:eastAsia="en-GB" w:bidi="ar-SA"/>
        </w:rPr>
      </w:pPr>
      <w:r w:rsidRPr="00DD1B58">
        <w:rPr>
          <w:lang w:val="en-US" w:eastAsia="en-GB" w:bidi="ar-SA"/>
        </w:rPr>
        <w:t xml:space="preserve">UUK did not identify any </w:t>
      </w:r>
      <w:r w:rsidR="002D73E2" w:rsidRPr="00DD1B58">
        <w:rPr>
          <w:lang w:val="en-US" w:eastAsia="en-GB" w:bidi="ar-SA"/>
        </w:rPr>
        <w:t xml:space="preserve">nuclear safety function </w:t>
      </w:r>
      <w:r w:rsidRPr="00DD1B58">
        <w:rPr>
          <w:lang w:val="en-US" w:eastAsia="en-GB" w:bidi="ar-SA"/>
        </w:rPr>
        <w:t>relating to the above</w:t>
      </w:r>
      <w:r w:rsidR="002D73E2" w:rsidRPr="00DD1B58">
        <w:rPr>
          <w:lang w:val="en-US" w:eastAsia="en-GB" w:bidi="ar-SA"/>
        </w:rPr>
        <w:t>. In consultation with the Association for Specialist Fire Protection, review of fire test data provided through British and European standards. Third party accredited contractors and approved materials through UKAS accredited certification and schemes EN ISO 17025.</w:t>
      </w:r>
    </w:p>
    <w:p w14:paraId="6DF90B95" w14:textId="77777777" w:rsidR="00C901A9" w:rsidRPr="00DD1B58" w:rsidRDefault="00C901A9" w:rsidP="60E054AF">
      <w:pPr>
        <w:autoSpaceDE w:val="0"/>
        <w:autoSpaceDN w:val="0"/>
        <w:adjustRightInd w:val="0"/>
        <w:spacing w:after="0" w:line="240" w:lineRule="auto"/>
        <w:rPr>
          <w:lang w:val="en-US" w:eastAsia="en-GB" w:bidi="ar-SA"/>
        </w:rPr>
      </w:pPr>
    </w:p>
    <w:p w14:paraId="28D16359" w14:textId="77777777" w:rsidR="001D7243" w:rsidRPr="00DD1B58" w:rsidRDefault="001D7243" w:rsidP="00177432">
      <w:pPr>
        <w:pStyle w:val="Heading5A"/>
        <w:numPr>
          <w:ilvl w:val="5"/>
          <w:numId w:val="7"/>
        </w:numPr>
        <w:rPr>
          <w:lang w:val="en-US"/>
        </w:rPr>
      </w:pPr>
      <w:r w:rsidRPr="00DD1B58">
        <w:rPr>
          <w:lang w:val="en-US"/>
        </w:rPr>
        <w:t>Description of fire compartments and/or cells design and key features</w:t>
      </w:r>
    </w:p>
    <w:p w14:paraId="03DD1BB6" w14:textId="53683AE9" w:rsidR="00F615BC" w:rsidRPr="00DD1B58" w:rsidRDefault="00D17AF4" w:rsidP="60E054AF">
      <w:pPr>
        <w:autoSpaceDE w:val="0"/>
        <w:autoSpaceDN w:val="0"/>
        <w:adjustRightInd w:val="0"/>
        <w:spacing w:after="0" w:line="240" w:lineRule="auto"/>
        <w:rPr>
          <w:lang w:val="en-US"/>
        </w:rPr>
      </w:pPr>
      <w:r w:rsidRPr="00DD1B58">
        <w:rPr>
          <w:lang w:val="en-US"/>
        </w:rPr>
        <w:t xml:space="preserve">UUK </w:t>
      </w:r>
      <w:r w:rsidR="007376D6" w:rsidRPr="00DD1B58">
        <w:rPr>
          <w:lang w:val="en-US"/>
        </w:rPr>
        <w:t>states that</w:t>
      </w:r>
      <w:r w:rsidRPr="00DD1B58">
        <w:rPr>
          <w:lang w:val="en-US"/>
        </w:rPr>
        <w:t xml:space="preserve"> it provides</w:t>
      </w:r>
      <w:r w:rsidR="00F615BC" w:rsidRPr="00DD1B58">
        <w:rPr>
          <w:lang w:val="en-US"/>
        </w:rPr>
        <w:t>:</w:t>
      </w:r>
    </w:p>
    <w:p w14:paraId="547CC871" w14:textId="77777777" w:rsidR="00F615BC" w:rsidRPr="00DD1B58" w:rsidRDefault="00BC4267" w:rsidP="00F615BC">
      <w:pPr>
        <w:pStyle w:val="Bulletlist1"/>
        <w:rPr>
          <w:lang w:val="en-US" w:eastAsia="en-GB" w:bidi="ar-SA"/>
        </w:rPr>
      </w:pPr>
      <w:r w:rsidRPr="00DD1B58">
        <w:rPr>
          <w:lang w:val="en-US"/>
        </w:rPr>
        <w:t xml:space="preserve">FR30 </w:t>
      </w:r>
      <w:r w:rsidRPr="00DD1B58">
        <w:rPr>
          <w:lang w:val="en-US" w:eastAsia="en-GB" w:bidi="ar-SA"/>
        </w:rPr>
        <w:t xml:space="preserve">and FR60 (30 minute and 60-minute fire resistance) compartment walls and doors, </w:t>
      </w:r>
      <w:r w:rsidR="00F615BC" w:rsidRPr="00DD1B58">
        <w:rPr>
          <w:lang w:val="en-US" w:eastAsia="en-GB" w:bidi="ar-SA"/>
        </w:rPr>
        <w:t xml:space="preserve">and </w:t>
      </w:r>
      <w:r w:rsidRPr="00DD1B58">
        <w:rPr>
          <w:lang w:val="en-US" w:eastAsia="en-GB" w:bidi="ar-SA"/>
        </w:rPr>
        <w:t xml:space="preserve">fire dampers through ventilation systems. </w:t>
      </w:r>
    </w:p>
    <w:p w14:paraId="52228126" w14:textId="77777777" w:rsidR="00F615BC" w:rsidRPr="00DD1B58" w:rsidRDefault="00BC4267" w:rsidP="00F615BC">
      <w:pPr>
        <w:pStyle w:val="Bulletlist1"/>
        <w:rPr>
          <w:lang w:val="en-US" w:eastAsia="en-GB" w:bidi="ar-SA"/>
        </w:rPr>
      </w:pPr>
      <w:r w:rsidRPr="00DD1B58">
        <w:rPr>
          <w:lang w:val="en-US" w:eastAsia="en-GB" w:bidi="ar-SA"/>
        </w:rPr>
        <w:t xml:space="preserve">Fire stopping in penetrations using third party accredited materials, including temporary stopping arrangements during ongoing works. </w:t>
      </w:r>
    </w:p>
    <w:p w14:paraId="10C17071" w14:textId="77777777" w:rsidR="00BC4267" w:rsidRPr="00DD1B58" w:rsidRDefault="00BC4267" w:rsidP="00973FF4">
      <w:pPr>
        <w:pStyle w:val="Bulletlist1"/>
        <w:rPr>
          <w:lang w:val="en-US" w:eastAsia="en-GB" w:bidi="ar-SA"/>
        </w:rPr>
      </w:pPr>
      <w:r w:rsidRPr="00DD1B58">
        <w:rPr>
          <w:lang w:val="en-US" w:eastAsia="en-GB" w:bidi="ar-SA"/>
        </w:rPr>
        <w:t>FR30 typical deployment through welfare areas for life safety and FR60 for higher risk areas to offer maximum protection for life safety e.g., segregation of plant areas from admin and the protection of means of escape (corridors/stairwells). Specific to one plant area is a 200m fire break corridor providing emergency egress and deep penetration access for emergency service personnel.</w:t>
      </w:r>
    </w:p>
    <w:p w14:paraId="68034629" w14:textId="77777777" w:rsidR="0061601E" w:rsidRPr="00DD1B58" w:rsidRDefault="0061601E" w:rsidP="60E054AF">
      <w:pPr>
        <w:autoSpaceDE w:val="0"/>
        <w:autoSpaceDN w:val="0"/>
        <w:adjustRightInd w:val="0"/>
        <w:spacing w:after="0" w:line="240" w:lineRule="auto"/>
        <w:rPr>
          <w:lang w:val="en-US" w:eastAsia="en-GB" w:bidi="ar-SA"/>
        </w:rPr>
      </w:pPr>
    </w:p>
    <w:p w14:paraId="60A78C0D" w14:textId="77777777" w:rsidR="001D7243" w:rsidRPr="00DD1B58" w:rsidRDefault="001D7243" w:rsidP="00177432">
      <w:pPr>
        <w:pStyle w:val="Heading5A"/>
        <w:numPr>
          <w:ilvl w:val="5"/>
          <w:numId w:val="7"/>
        </w:numPr>
        <w:rPr>
          <w:lang w:val="en-US"/>
        </w:rPr>
      </w:pPr>
      <w:r w:rsidRPr="00DD1B58">
        <w:rPr>
          <w:lang w:val="en-US"/>
        </w:rPr>
        <w:t>Performance assurance through lifetime</w:t>
      </w:r>
    </w:p>
    <w:p w14:paraId="16B4C3EA" w14:textId="60A8DCA0" w:rsidR="00086697" w:rsidRPr="00DD1B58" w:rsidRDefault="00086697" w:rsidP="60E054AF">
      <w:pPr>
        <w:autoSpaceDE w:val="0"/>
        <w:autoSpaceDN w:val="0"/>
        <w:adjustRightInd w:val="0"/>
        <w:spacing w:after="0" w:line="240" w:lineRule="auto"/>
        <w:rPr>
          <w:lang w:val="en-US"/>
        </w:rPr>
      </w:pPr>
      <w:r w:rsidRPr="00DD1B58">
        <w:rPr>
          <w:lang w:val="en-US"/>
        </w:rPr>
        <w:t>UUK report</w:t>
      </w:r>
      <w:r w:rsidR="00600B1E" w:rsidRPr="00DD1B58">
        <w:rPr>
          <w:lang w:val="en-US"/>
        </w:rPr>
        <w:t>s</w:t>
      </w:r>
      <w:r w:rsidRPr="00DD1B58">
        <w:rPr>
          <w:lang w:val="en-US"/>
        </w:rPr>
        <w:t xml:space="preserve"> the following performance assurance considerations through life:</w:t>
      </w:r>
    </w:p>
    <w:p w14:paraId="2FCC9EC8" w14:textId="77777777" w:rsidR="00086697" w:rsidRPr="00DD1B58" w:rsidRDefault="00086697" w:rsidP="60E054AF">
      <w:pPr>
        <w:autoSpaceDE w:val="0"/>
        <w:autoSpaceDN w:val="0"/>
        <w:adjustRightInd w:val="0"/>
        <w:spacing w:after="0" w:line="240" w:lineRule="auto"/>
        <w:rPr>
          <w:lang w:val="en-US"/>
        </w:rPr>
      </w:pPr>
    </w:p>
    <w:p w14:paraId="4DE3606C" w14:textId="65DE86A4" w:rsidR="00615CB6" w:rsidRPr="00DD1B58" w:rsidRDefault="007E6357" w:rsidP="00615CB6">
      <w:pPr>
        <w:pStyle w:val="Bulletlist1"/>
        <w:rPr>
          <w:lang w:val="en-US" w:eastAsia="en-GB" w:bidi="ar-SA"/>
        </w:rPr>
      </w:pPr>
      <w:r w:rsidRPr="00DD1B58">
        <w:rPr>
          <w:lang w:val="en-US"/>
        </w:rPr>
        <w:t xml:space="preserve">Specific procedures </w:t>
      </w:r>
      <w:r w:rsidR="00086697" w:rsidRPr="00DD1B58">
        <w:rPr>
          <w:lang w:val="en-US"/>
        </w:rPr>
        <w:t>detail</w:t>
      </w:r>
      <w:r w:rsidRPr="00DD1B58">
        <w:rPr>
          <w:lang w:val="en-US"/>
        </w:rPr>
        <w:t xml:space="preserve"> </w:t>
      </w:r>
      <w:r w:rsidRPr="00DD1B58">
        <w:rPr>
          <w:lang w:val="en-US" w:eastAsia="en-GB" w:bidi="ar-SA"/>
        </w:rPr>
        <w:t>the requirements for passive fire protection</w:t>
      </w:r>
      <w:r w:rsidR="00615CB6" w:rsidRPr="00DD1B58">
        <w:rPr>
          <w:lang w:val="en-US" w:eastAsia="en-GB" w:bidi="ar-SA"/>
        </w:rPr>
        <w:t xml:space="preserve"> including </w:t>
      </w:r>
      <w:r w:rsidRPr="00DD1B58">
        <w:rPr>
          <w:lang w:val="en-US" w:eastAsia="en-GB" w:bidi="ar-SA"/>
        </w:rPr>
        <w:t>where penetrations are needed</w:t>
      </w:r>
      <w:r w:rsidR="00235E99" w:rsidRPr="00DD1B58">
        <w:rPr>
          <w:lang w:val="en-US" w:eastAsia="en-GB" w:bidi="ar-SA"/>
        </w:rPr>
        <w:t xml:space="preserve">. </w:t>
      </w:r>
    </w:p>
    <w:p w14:paraId="26F6EDF2" w14:textId="20D869E1" w:rsidR="00086697" w:rsidRPr="00DD1B58" w:rsidRDefault="00615CB6" w:rsidP="00973FF4">
      <w:pPr>
        <w:pStyle w:val="Bulletlist1"/>
        <w:rPr>
          <w:lang w:val="en-US" w:eastAsia="en-GB" w:bidi="ar-SA"/>
        </w:rPr>
      </w:pPr>
      <w:r w:rsidRPr="00DD1B58">
        <w:rPr>
          <w:lang w:val="en-US" w:eastAsia="en-GB" w:bidi="ar-SA"/>
        </w:rPr>
        <w:t>P</w:t>
      </w:r>
      <w:r w:rsidR="007E6357" w:rsidRPr="00DD1B58">
        <w:rPr>
          <w:lang w:val="en-US" w:eastAsia="en-GB" w:bidi="ar-SA"/>
        </w:rPr>
        <w:t>lanned work and inspection checklist</w:t>
      </w:r>
      <w:r w:rsidRPr="00DD1B58">
        <w:rPr>
          <w:lang w:val="en-US" w:eastAsia="en-GB" w:bidi="ar-SA"/>
        </w:rPr>
        <w:t>s</w:t>
      </w:r>
      <w:r w:rsidR="007E6357" w:rsidRPr="00DD1B58">
        <w:rPr>
          <w:lang w:val="en-US" w:eastAsia="en-GB" w:bidi="ar-SA"/>
        </w:rPr>
        <w:t xml:space="preserve"> </w:t>
      </w:r>
      <w:r w:rsidRPr="00DD1B58">
        <w:rPr>
          <w:lang w:val="en-US" w:eastAsia="en-GB" w:bidi="ar-SA"/>
        </w:rPr>
        <w:t>detail</w:t>
      </w:r>
      <w:r w:rsidR="00F970FE" w:rsidRPr="00DD1B58">
        <w:rPr>
          <w:lang w:val="en-US" w:eastAsia="en-GB" w:bidi="ar-SA"/>
        </w:rPr>
        <w:t>e</w:t>
      </w:r>
      <w:r w:rsidRPr="00DD1B58">
        <w:rPr>
          <w:lang w:val="en-US" w:eastAsia="en-GB" w:bidi="ar-SA"/>
        </w:rPr>
        <w:t xml:space="preserve">d </w:t>
      </w:r>
      <w:r w:rsidR="00235E99" w:rsidRPr="00DD1B58">
        <w:rPr>
          <w:lang w:val="en-US" w:eastAsia="en-GB" w:bidi="ar-SA"/>
        </w:rPr>
        <w:t>inspection</w:t>
      </w:r>
      <w:r w:rsidRPr="00DD1B58">
        <w:rPr>
          <w:lang w:val="en-US" w:eastAsia="en-GB" w:bidi="ar-SA"/>
        </w:rPr>
        <w:t xml:space="preserve"> </w:t>
      </w:r>
      <w:r w:rsidR="007E6357" w:rsidRPr="00DD1B58">
        <w:rPr>
          <w:lang w:val="en-US" w:eastAsia="en-GB" w:bidi="ar-SA"/>
        </w:rPr>
        <w:t>frequencies in accordance with manufacturers recommendations</w:t>
      </w:r>
      <w:r w:rsidR="00235E99" w:rsidRPr="00DD1B58">
        <w:rPr>
          <w:lang w:val="en-US" w:eastAsia="en-GB" w:bidi="ar-SA"/>
        </w:rPr>
        <w:t>.</w:t>
      </w:r>
    </w:p>
    <w:p w14:paraId="6A13272A" w14:textId="1A1F4A38" w:rsidR="0061601E" w:rsidRPr="00DD1B58" w:rsidRDefault="007E6357" w:rsidP="00973FF4">
      <w:pPr>
        <w:pStyle w:val="Bulletlist1"/>
        <w:rPr>
          <w:lang w:val="en-US" w:eastAsia="en-GB" w:bidi="ar-SA"/>
        </w:rPr>
      </w:pPr>
      <w:r w:rsidRPr="00DD1B58">
        <w:rPr>
          <w:lang w:val="en-US" w:eastAsia="en-GB" w:bidi="ar-SA"/>
        </w:rPr>
        <w:t>Lifetime quality records are</w:t>
      </w:r>
      <w:r w:rsidR="00A14B1D" w:rsidRPr="00DD1B58">
        <w:rPr>
          <w:lang w:val="en-US" w:eastAsia="en-GB" w:bidi="ar-SA"/>
        </w:rPr>
        <w:t xml:space="preserve"> </w:t>
      </w:r>
      <w:r w:rsidRPr="00DD1B58">
        <w:rPr>
          <w:lang w:val="en-US" w:eastAsia="en-GB" w:bidi="ar-SA"/>
        </w:rPr>
        <w:t>maintained as part of the ‘golden thread’ for asset maintenance where all penetrations,</w:t>
      </w:r>
      <w:r w:rsidR="00A14B1D" w:rsidRPr="00DD1B58">
        <w:rPr>
          <w:lang w:val="en-US" w:eastAsia="en-GB" w:bidi="ar-SA"/>
        </w:rPr>
        <w:t xml:space="preserve"> </w:t>
      </w:r>
      <w:r w:rsidRPr="00DD1B58">
        <w:rPr>
          <w:lang w:val="en-US" w:eastAsia="en-GB" w:bidi="ar-SA"/>
        </w:rPr>
        <w:t>remediation and product details</w:t>
      </w:r>
      <w:r w:rsidR="00A14B1D" w:rsidRPr="00DD1B58">
        <w:rPr>
          <w:lang w:val="en-US" w:eastAsia="en-GB" w:bidi="ar-SA"/>
        </w:rPr>
        <w:t xml:space="preserve"> are captured including photographic evidence prior to, and on completion of work.</w:t>
      </w:r>
    </w:p>
    <w:p w14:paraId="7BD276AE" w14:textId="77777777" w:rsidR="00A14B1D" w:rsidRPr="00DD1B58" w:rsidRDefault="00A14B1D" w:rsidP="60E054AF">
      <w:pPr>
        <w:autoSpaceDE w:val="0"/>
        <w:autoSpaceDN w:val="0"/>
        <w:adjustRightInd w:val="0"/>
        <w:spacing w:after="0" w:line="240" w:lineRule="auto"/>
        <w:rPr>
          <w:lang w:val="en-US" w:eastAsia="en-GB" w:bidi="ar-SA"/>
        </w:rPr>
      </w:pPr>
    </w:p>
    <w:p w14:paraId="541FFE26" w14:textId="77777777" w:rsidR="001D7243" w:rsidRPr="00DD1B58" w:rsidRDefault="001D7243" w:rsidP="00177432">
      <w:pPr>
        <w:pStyle w:val="Heading5A"/>
        <w:rPr>
          <w:lang w:val="en-US"/>
        </w:rPr>
      </w:pPr>
      <w:r w:rsidRPr="00DD1B58">
        <w:rPr>
          <w:lang w:val="en-US"/>
        </w:rPr>
        <w:t>Ventilation systems</w:t>
      </w:r>
    </w:p>
    <w:p w14:paraId="62FF8C62" w14:textId="4924DA1D" w:rsidR="00283EC5" w:rsidRPr="00DD1B58" w:rsidRDefault="00235E99" w:rsidP="60E054AF">
      <w:pPr>
        <w:autoSpaceDE w:val="0"/>
        <w:autoSpaceDN w:val="0"/>
        <w:adjustRightInd w:val="0"/>
        <w:spacing w:after="0" w:line="240" w:lineRule="auto"/>
        <w:rPr>
          <w:lang w:val="en-US" w:eastAsia="en-GB" w:bidi="ar-SA"/>
        </w:rPr>
      </w:pPr>
      <w:r w:rsidRPr="00DD1B58">
        <w:rPr>
          <w:lang w:val="en-US"/>
        </w:rPr>
        <w:t xml:space="preserve">UUK </w:t>
      </w:r>
      <w:r w:rsidR="006D798B" w:rsidRPr="00DD1B58">
        <w:rPr>
          <w:lang w:val="en-US"/>
        </w:rPr>
        <w:t>reports that</w:t>
      </w:r>
      <w:r w:rsidRPr="00DD1B58">
        <w:rPr>
          <w:lang w:val="en-US"/>
        </w:rPr>
        <w:t xml:space="preserve"> </w:t>
      </w:r>
      <w:r w:rsidR="00283EC5" w:rsidRPr="00DD1B58">
        <w:rPr>
          <w:lang w:val="en-US" w:eastAsia="en-GB" w:bidi="ar-SA"/>
        </w:rPr>
        <w:t>general</w:t>
      </w:r>
      <w:r w:rsidRPr="00DD1B58">
        <w:rPr>
          <w:lang w:val="en-US" w:eastAsia="en-GB" w:bidi="ar-SA"/>
        </w:rPr>
        <w:t xml:space="preserve"> </w:t>
      </w:r>
      <w:r w:rsidR="00283EC5" w:rsidRPr="00DD1B58">
        <w:rPr>
          <w:lang w:val="en-US" w:eastAsia="en-GB" w:bidi="ar-SA"/>
        </w:rPr>
        <w:t xml:space="preserve">conventional safety fire provisions </w:t>
      </w:r>
      <w:r w:rsidR="000A727D" w:rsidRPr="00DD1B58">
        <w:rPr>
          <w:lang w:val="en-US" w:eastAsia="en-GB" w:bidi="ar-SA"/>
        </w:rPr>
        <w:t xml:space="preserve">for life safety rather than nuclear safety </w:t>
      </w:r>
      <w:r w:rsidR="00283EC5" w:rsidRPr="00DD1B58">
        <w:rPr>
          <w:lang w:val="en-US" w:eastAsia="en-GB" w:bidi="ar-SA"/>
        </w:rPr>
        <w:t>have driven ventilation system design at UUK as detailed below.</w:t>
      </w:r>
    </w:p>
    <w:p w14:paraId="00B96F09" w14:textId="77777777" w:rsidR="00283EC5" w:rsidRPr="00DD1B58" w:rsidRDefault="00283EC5" w:rsidP="60E054AF">
      <w:pPr>
        <w:autoSpaceDE w:val="0"/>
        <w:autoSpaceDN w:val="0"/>
        <w:adjustRightInd w:val="0"/>
        <w:spacing w:after="0" w:line="240" w:lineRule="auto"/>
        <w:rPr>
          <w:lang w:val="en-US" w:eastAsia="en-GB" w:bidi="ar-SA"/>
        </w:rPr>
      </w:pPr>
    </w:p>
    <w:p w14:paraId="64E5612B" w14:textId="77777777" w:rsidR="001D7243" w:rsidRPr="00DD1B58" w:rsidRDefault="001D7243" w:rsidP="00177432">
      <w:pPr>
        <w:pStyle w:val="Heading5A"/>
        <w:numPr>
          <w:ilvl w:val="5"/>
          <w:numId w:val="7"/>
        </w:numPr>
        <w:rPr>
          <w:lang w:val="en-US"/>
        </w:rPr>
      </w:pPr>
      <w:r w:rsidRPr="00DD1B58">
        <w:rPr>
          <w:lang w:val="en-US"/>
        </w:rPr>
        <w:t>Ventilation system design: segregation and isolation provisions (as applicable)</w:t>
      </w:r>
    </w:p>
    <w:p w14:paraId="4ECD919A" w14:textId="3CF43CB8" w:rsidR="006075B3" w:rsidRPr="00DD1B58" w:rsidRDefault="006075B3" w:rsidP="60E054AF">
      <w:pPr>
        <w:autoSpaceDE w:val="0"/>
        <w:autoSpaceDN w:val="0"/>
        <w:adjustRightInd w:val="0"/>
        <w:spacing w:after="0" w:line="240" w:lineRule="auto"/>
        <w:rPr>
          <w:lang w:val="en-US" w:eastAsia="en-GB" w:bidi="ar-SA"/>
        </w:rPr>
      </w:pPr>
      <w:r w:rsidRPr="00DD1B58">
        <w:rPr>
          <w:lang w:val="en-US"/>
        </w:rPr>
        <w:t xml:space="preserve">Ventilation </w:t>
      </w:r>
      <w:r w:rsidRPr="00DD1B58">
        <w:rPr>
          <w:lang w:val="en-US" w:eastAsia="en-GB" w:bidi="ar-SA"/>
        </w:rPr>
        <w:t xml:space="preserve">system design at Capenhurst underwent significant review in 2018 </w:t>
      </w:r>
      <w:r w:rsidR="00F622C5" w:rsidRPr="00DD1B58">
        <w:rPr>
          <w:lang w:val="en-US" w:eastAsia="en-GB" w:bidi="ar-SA"/>
        </w:rPr>
        <w:t>as the site recognised</w:t>
      </w:r>
      <w:r w:rsidRPr="00DD1B58">
        <w:rPr>
          <w:lang w:val="en-US" w:eastAsia="en-GB" w:bidi="ar-SA"/>
        </w:rPr>
        <w:t xml:space="preserve"> that</w:t>
      </w:r>
      <w:r w:rsidR="009E01BA" w:rsidRPr="00DD1B58">
        <w:rPr>
          <w:lang w:val="en-US" w:eastAsia="en-GB" w:bidi="ar-SA"/>
        </w:rPr>
        <w:t xml:space="preserve"> </w:t>
      </w:r>
      <w:r w:rsidRPr="00DD1B58">
        <w:rPr>
          <w:lang w:val="en-US" w:eastAsia="en-GB" w:bidi="ar-SA"/>
        </w:rPr>
        <w:t>existing assets were subject to obsolescence and significant maintenance challenges.</w:t>
      </w:r>
    </w:p>
    <w:p w14:paraId="3F57A43A" w14:textId="77777777" w:rsidR="009E01BA" w:rsidRPr="00DD1B58" w:rsidRDefault="009E01BA" w:rsidP="60E054AF">
      <w:pPr>
        <w:autoSpaceDE w:val="0"/>
        <w:autoSpaceDN w:val="0"/>
        <w:adjustRightInd w:val="0"/>
        <w:spacing w:after="0" w:line="240" w:lineRule="auto"/>
        <w:rPr>
          <w:lang w:val="en-US" w:eastAsia="en-GB" w:bidi="ar-SA"/>
        </w:rPr>
      </w:pPr>
    </w:p>
    <w:p w14:paraId="20441266" w14:textId="15C6D99D" w:rsidR="006075B3" w:rsidRPr="00DD1B58" w:rsidRDefault="009A073F" w:rsidP="60E054AF">
      <w:pPr>
        <w:autoSpaceDE w:val="0"/>
        <w:autoSpaceDN w:val="0"/>
        <w:adjustRightInd w:val="0"/>
        <w:spacing w:after="0" w:line="240" w:lineRule="auto"/>
        <w:rPr>
          <w:lang w:val="en-US" w:eastAsia="en-GB" w:bidi="ar-SA"/>
        </w:rPr>
      </w:pPr>
      <w:r w:rsidRPr="00DD1B58">
        <w:rPr>
          <w:lang w:val="en-US" w:eastAsia="en-GB" w:bidi="ar-SA"/>
        </w:rPr>
        <w:t>UUK reviewed the ventilation system arrangement and design to support effective fire compartmentalisation</w:t>
      </w:r>
      <w:r w:rsidR="006075B3" w:rsidRPr="00DD1B58">
        <w:rPr>
          <w:lang w:val="en-US" w:eastAsia="en-GB" w:bidi="ar-SA"/>
        </w:rPr>
        <w:t xml:space="preserve"> alongside a Fire Compartment Upgrade Project. </w:t>
      </w:r>
      <w:r w:rsidR="00552B74" w:rsidRPr="00DD1B58">
        <w:rPr>
          <w:lang w:val="en-US" w:eastAsia="en-GB" w:bidi="ar-SA"/>
        </w:rPr>
        <w:t xml:space="preserve">UUK’s </w:t>
      </w:r>
      <w:r w:rsidR="006075B3" w:rsidRPr="00DD1B58">
        <w:rPr>
          <w:lang w:val="en-US" w:eastAsia="en-GB" w:bidi="ar-SA"/>
        </w:rPr>
        <w:t>review of requirements</w:t>
      </w:r>
      <w:r w:rsidR="009E01BA" w:rsidRPr="00DD1B58">
        <w:rPr>
          <w:lang w:val="en-US" w:eastAsia="en-GB" w:bidi="ar-SA"/>
        </w:rPr>
        <w:t xml:space="preserve"> </w:t>
      </w:r>
      <w:r w:rsidR="006075B3" w:rsidRPr="00DD1B58">
        <w:rPr>
          <w:lang w:val="en-US" w:eastAsia="en-GB" w:bidi="ar-SA"/>
        </w:rPr>
        <w:t xml:space="preserve">identified </w:t>
      </w:r>
      <w:r w:rsidR="00552B74" w:rsidRPr="00DD1B58">
        <w:rPr>
          <w:lang w:val="en-US" w:eastAsia="en-GB" w:bidi="ar-SA"/>
        </w:rPr>
        <w:t>that</w:t>
      </w:r>
      <w:r w:rsidR="00110F88" w:rsidRPr="00DD1B58">
        <w:rPr>
          <w:lang w:val="en-US" w:eastAsia="en-GB" w:bidi="ar-SA"/>
        </w:rPr>
        <w:t xml:space="preserve"> </w:t>
      </w:r>
      <w:r w:rsidR="006075B3" w:rsidRPr="00DD1B58">
        <w:rPr>
          <w:lang w:val="en-US" w:eastAsia="en-GB" w:bidi="ar-SA"/>
        </w:rPr>
        <w:t>existing installations to no longer be fit for purpose and resulted in</w:t>
      </w:r>
      <w:r w:rsidR="00552B74" w:rsidRPr="00DD1B58">
        <w:rPr>
          <w:lang w:val="en-US" w:eastAsia="en-GB" w:bidi="ar-SA"/>
        </w:rPr>
        <w:t xml:space="preserve"> the installation of</w:t>
      </w:r>
      <w:r w:rsidR="006075B3" w:rsidRPr="00DD1B58">
        <w:rPr>
          <w:lang w:val="en-US" w:eastAsia="en-GB" w:bidi="ar-SA"/>
        </w:rPr>
        <w:t xml:space="preserve"> new dampers</w:t>
      </w:r>
      <w:r w:rsidR="009E01BA" w:rsidRPr="00DD1B58">
        <w:rPr>
          <w:lang w:val="en-US" w:eastAsia="en-GB" w:bidi="ar-SA"/>
        </w:rPr>
        <w:t xml:space="preserve"> </w:t>
      </w:r>
      <w:r w:rsidR="006075B3" w:rsidRPr="00DD1B58">
        <w:rPr>
          <w:lang w:val="en-US" w:eastAsia="en-GB" w:bidi="ar-SA"/>
        </w:rPr>
        <w:t>(ActionAir SmokeShield PTC 501 fire dampers)</w:t>
      </w:r>
      <w:r w:rsidR="00552B74" w:rsidRPr="00DD1B58">
        <w:rPr>
          <w:lang w:val="en-US" w:eastAsia="en-GB" w:bidi="ar-SA"/>
        </w:rPr>
        <w:t>. T</w:t>
      </w:r>
      <w:r w:rsidR="006075B3" w:rsidRPr="00DD1B58">
        <w:rPr>
          <w:lang w:val="en-US" w:eastAsia="en-GB" w:bidi="ar-SA"/>
        </w:rPr>
        <w:t xml:space="preserve">hese </w:t>
      </w:r>
      <w:r w:rsidR="00552B74" w:rsidRPr="00DD1B58">
        <w:rPr>
          <w:lang w:val="en-US" w:eastAsia="en-GB" w:bidi="ar-SA"/>
        </w:rPr>
        <w:t xml:space="preserve">are </w:t>
      </w:r>
      <w:r w:rsidR="006075B3" w:rsidRPr="00DD1B58">
        <w:rPr>
          <w:lang w:val="en-US" w:eastAsia="en-GB" w:bidi="ar-SA"/>
        </w:rPr>
        <w:t xml:space="preserve">combined smoke and fire dampers </w:t>
      </w:r>
      <w:r w:rsidR="00552B74" w:rsidRPr="00DD1B58">
        <w:rPr>
          <w:lang w:val="en-US" w:eastAsia="en-GB" w:bidi="ar-SA"/>
        </w:rPr>
        <w:t>which improve</w:t>
      </w:r>
      <w:r w:rsidR="006075B3" w:rsidRPr="00DD1B58">
        <w:rPr>
          <w:lang w:val="en-US" w:eastAsia="en-GB" w:bidi="ar-SA"/>
        </w:rPr>
        <w:t xml:space="preserve"> on the original fire</w:t>
      </w:r>
      <w:r w:rsidR="00552B74" w:rsidRPr="00DD1B58">
        <w:rPr>
          <w:lang w:val="en-US" w:eastAsia="en-GB" w:bidi="ar-SA"/>
        </w:rPr>
        <w:t>-</w:t>
      </w:r>
      <w:r w:rsidR="006075B3" w:rsidRPr="00DD1B58">
        <w:rPr>
          <w:lang w:val="en-US" w:eastAsia="en-GB" w:bidi="ar-SA"/>
        </w:rPr>
        <w:t>only dampers.</w:t>
      </w:r>
    </w:p>
    <w:p w14:paraId="6E8297E9" w14:textId="77777777" w:rsidR="009E01BA" w:rsidRPr="00DD1B58" w:rsidRDefault="009E01BA" w:rsidP="60E054AF">
      <w:pPr>
        <w:autoSpaceDE w:val="0"/>
        <w:autoSpaceDN w:val="0"/>
        <w:adjustRightInd w:val="0"/>
        <w:spacing w:after="0" w:line="240" w:lineRule="auto"/>
        <w:rPr>
          <w:lang w:val="en-US" w:eastAsia="en-GB" w:bidi="ar-SA"/>
        </w:rPr>
      </w:pPr>
    </w:p>
    <w:p w14:paraId="54696E82" w14:textId="06EA1ACD" w:rsidR="004C1A4D" w:rsidRPr="00DD1B58" w:rsidRDefault="00552B74" w:rsidP="004C1A4D">
      <w:pPr>
        <w:autoSpaceDE w:val="0"/>
        <w:autoSpaceDN w:val="0"/>
        <w:adjustRightInd w:val="0"/>
        <w:spacing w:after="0" w:line="240" w:lineRule="auto"/>
        <w:rPr>
          <w:lang w:val="en-US" w:eastAsia="en-GB" w:bidi="ar-SA"/>
        </w:rPr>
      </w:pPr>
      <w:r w:rsidRPr="00DD1B58">
        <w:rPr>
          <w:lang w:val="en-US" w:eastAsia="en-GB" w:bidi="ar-SA"/>
        </w:rPr>
        <w:t xml:space="preserve">UUK’s stated </w:t>
      </w:r>
      <w:r w:rsidR="006075B3" w:rsidRPr="00DD1B58">
        <w:rPr>
          <w:lang w:val="en-US" w:eastAsia="en-GB" w:bidi="ar-SA"/>
        </w:rPr>
        <w:t>design objective of smoke and fire dampers</w:t>
      </w:r>
      <w:r w:rsidR="00A86B31" w:rsidRPr="00DD1B58">
        <w:rPr>
          <w:lang w:val="en-US" w:eastAsia="en-GB" w:bidi="ar-SA"/>
        </w:rPr>
        <w:t>,</w:t>
      </w:r>
      <w:r w:rsidRPr="00DD1B58">
        <w:rPr>
          <w:lang w:val="en-US" w:eastAsia="en-GB" w:bidi="ar-SA"/>
        </w:rPr>
        <w:t xml:space="preserve"> where</w:t>
      </w:r>
      <w:r w:rsidR="006075B3" w:rsidRPr="00DD1B58">
        <w:rPr>
          <w:lang w:val="en-US" w:eastAsia="en-GB" w:bidi="ar-SA"/>
        </w:rPr>
        <w:t xml:space="preserve"> </w:t>
      </w:r>
      <w:r w:rsidRPr="00DD1B58">
        <w:rPr>
          <w:lang w:val="en-US" w:eastAsia="en-GB" w:bidi="ar-SA"/>
        </w:rPr>
        <w:t>i</w:t>
      </w:r>
      <w:r w:rsidR="00420E92" w:rsidRPr="00DD1B58">
        <w:rPr>
          <w:lang w:val="en-US" w:eastAsia="en-GB" w:bidi="ar-SA"/>
        </w:rPr>
        <w:t>n</w:t>
      </w:r>
      <w:r w:rsidRPr="00DD1B58">
        <w:rPr>
          <w:lang w:val="en-US" w:eastAsia="en-GB" w:bidi="ar-SA"/>
        </w:rPr>
        <w:t xml:space="preserve">stalled across Capenhurst, </w:t>
      </w:r>
      <w:r w:rsidR="006075B3" w:rsidRPr="00DD1B58">
        <w:rPr>
          <w:lang w:val="en-US" w:eastAsia="en-GB" w:bidi="ar-SA"/>
        </w:rPr>
        <w:t>is to exceed</w:t>
      </w:r>
      <w:r w:rsidR="009E01BA" w:rsidRPr="00DD1B58">
        <w:rPr>
          <w:lang w:val="en-US" w:eastAsia="en-GB" w:bidi="ar-SA"/>
        </w:rPr>
        <w:t xml:space="preserve"> </w:t>
      </w:r>
      <w:r w:rsidR="006075B3" w:rsidRPr="00DD1B58">
        <w:rPr>
          <w:lang w:val="en-US" w:eastAsia="en-GB" w:bidi="ar-SA"/>
        </w:rPr>
        <w:t>the requirements of the fire compartments in which they are installed.</w:t>
      </w:r>
      <w:r w:rsidRPr="00DD1B58">
        <w:rPr>
          <w:lang w:val="en-US" w:eastAsia="en-GB" w:bidi="ar-SA"/>
        </w:rPr>
        <w:t xml:space="preserve"> UUK considers that the project</w:t>
      </w:r>
      <w:r w:rsidR="004C1A4D" w:rsidRPr="00DD1B58">
        <w:rPr>
          <w:lang w:val="en-US" w:eastAsia="en-GB" w:bidi="ar-SA"/>
        </w:rPr>
        <w:t xml:space="preserve"> </w:t>
      </w:r>
      <w:r w:rsidR="0046095F" w:rsidRPr="00DD1B58">
        <w:rPr>
          <w:lang w:val="en-US" w:eastAsia="en-GB" w:bidi="ar-SA"/>
        </w:rPr>
        <w:t>achieved the following:</w:t>
      </w:r>
    </w:p>
    <w:p w14:paraId="0BDF09BF" w14:textId="77777777" w:rsidR="004C1A4D" w:rsidRPr="00DD1B58" w:rsidRDefault="004C1A4D" w:rsidP="004C1A4D">
      <w:pPr>
        <w:autoSpaceDE w:val="0"/>
        <w:autoSpaceDN w:val="0"/>
        <w:adjustRightInd w:val="0"/>
        <w:spacing w:after="0" w:line="240" w:lineRule="auto"/>
        <w:rPr>
          <w:lang w:val="en-US" w:eastAsia="en-GB" w:bidi="ar-SA"/>
        </w:rPr>
      </w:pPr>
    </w:p>
    <w:p w14:paraId="1054DD45" w14:textId="5FEC404F" w:rsidR="00372AF1" w:rsidRPr="00DD1B58" w:rsidRDefault="004C1A4D" w:rsidP="0046095F">
      <w:pPr>
        <w:pStyle w:val="Bulletlist1"/>
        <w:rPr>
          <w:lang w:val="en-US" w:eastAsia="en-GB" w:bidi="ar-SA"/>
        </w:rPr>
      </w:pPr>
      <w:r w:rsidRPr="00DD1B58">
        <w:rPr>
          <w:lang w:val="en-US" w:eastAsia="en-GB" w:bidi="ar-SA"/>
        </w:rPr>
        <w:t>r</w:t>
      </w:r>
      <w:r w:rsidR="006075B3" w:rsidRPr="00DD1B58">
        <w:rPr>
          <w:lang w:val="en-US" w:eastAsia="en-GB" w:bidi="ar-SA"/>
        </w:rPr>
        <w:t>e-aligned the three systems back to their original functional design intent</w:t>
      </w:r>
      <w:r w:rsidR="00CC73B3" w:rsidRPr="00DD1B58">
        <w:rPr>
          <w:lang w:val="en-US" w:eastAsia="en-GB" w:bidi="ar-SA"/>
        </w:rPr>
        <w:t xml:space="preserve">, enhancing </w:t>
      </w:r>
      <w:r w:rsidR="006075B3" w:rsidRPr="00DD1B58">
        <w:rPr>
          <w:lang w:val="en-US" w:eastAsia="en-GB" w:bidi="ar-SA"/>
        </w:rPr>
        <w:t xml:space="preserve">safety </w:t>
      </w:r>
      <w:r w:rsidR="00CC73B3" w:rsidRPr="00DD1B58">
        <w:rPr>
          <w:lang w:val="en-US" w:eastAsia="en-GB" w:bidi="ar-SA"/>
        </w:rPr>
        <w:t xml:space="preserve">for </w:t>
      </w:r>
      <w:r w:rsidR="006075B3" w:rsidRPr="00DD1B58">
        <w:rPr>
          <w:lang w:val="en-US" w:eastAsia="en-GB" w:bidi="ar-SA"/>
        </w:rPr>
        <w:t>personnel on site.</w:t>
      </w:r>
      <w:r w:rsidR="00922134" w:rsidRPr="00DD1B58">
        <w:rPr>
          <w:lang w:val="en-US" w:eastAsia="en-GB" w:bidi="ar-SA"/>
        </w:rPr>
        <w:t xml:space="preserve">  </w:t>
      </w:r>
    </w:p>
    <w:p w14:paraId="22B9635B" w14:textId="5D7B74C6" w:rsidR="00372AF1" w:rsidRPr="00DD1B58" w:rsidRDefault="009F7259" w:rsidP="00243608">
      <w:pPr>
        <w:pStyle w:val="Bulletlist1"/>
        <w:rPr>
          <w:lang w:val="en-US" w:eastAsia="en-GB" w:bidi="ar-SA"/>
        </w:rPr>
      </w:pPr>
      <w:r w:rsidRPr="00DD1B58">
        <w:rPr>
          <w:lang w:val="en-US" w:eastAsia="en-GB" w:bidi="ar-SA"/>
        </w:rPr>
        <w:t>Met</w:t>
      </w:r>
      <w:r w:rsidR="006075B3" w:rsidRPr="00DD1B58">
        <w:rPr>
          <w:lang w:val="en-US" w:eastAsia="en-GB" w:bidi="ar-SA"/>
        </w:rPr>
        <w:t xml:space="preserve"> current regulatory requirements with</w:t>
      </w:r>
      <w:r w:rsidR="00372AF1" w:rsidRPr="00DD1B58">
        <w:rPr>
          <w:lang w:val="en-US" w:eastAsia="en-GB" w:bidi="ar-SA"/>
        </w:rPr>
        <w:t xml:space="preserve"> </w:t>
      </w:r>
      <w:r w:rsidR="006075B3" w:rsidRPr="00DD1B58">
        <w:rPr>
          <w:lang w:val="en-US" w:eastAsia="en-GB" w:bidi="ar-SA"/>
        </w:rPr>
        <w:t>regards to fire compartmentation, including the integrity of the fire compartment walls, fire</w:t>
      </w:r>
      <w:r w:rsidR="00372AF1" w:rsidRPr="00DD1B58">
        <w:rPr>
          <w:lang w:val="en-US" w:eastAsia="en-GB" w:bidi="ar-SA"/>
        </w:rPr>
        <w:t xml:space="preserve"> </w:t>
      </w:r>
      <w:r w:rsidR="006075B3" w:rsidRPr="00DD1B58">
        <w:rPr>
          <w:lang w:val="en-US" w:eastAsia="en-GB" w:bidi="ar-SA"/>
        </w:rPr>
        <w:t>dampers and fire doors.</w:t>
      </w:r>
    </w:p>
    <w:p w14:paraId="3D2551E1" w14:textId="643BA978" w:rsidR="00B83E08" w:rsidRPr="00DD1B58" w:rsidRDefault="009F7259" w:rsidP="00243608">
      <w:pPr>
        <w:pStyle w:val="Bulletlist1"/>
        <w:rPr>
          <w:lang w:val="en-US" w:eastAsia="en-GB" w:bidi="ar-SA"/>
        </w:rPr>
      </w:pPr>
      <w:r w:rsidRPr="00DD1B58">
        <w:rPr>
          <w:lang w:val="en-US" w:eastAsia="en-GB" w:bidi="ar-SA"/>
        </w:rPr>
        <w:t>Provided a</w:t>
      </w:r>
      <w:r w:rsidR="006075B3" w:rsidRPr="00DD1B58">
        <w:rPr>
          <w:lang w:val="en-US" w:eastAsia="en-GB" w:bidi="ar-SA"/>
        </w:rPr>
        <w:t xml:space="preserve"> system for the management of penetrations (both</w:t>
      </w:r>
      <w:r w:rsidR="00372AF1" w:rsidRPr="00DD1B58">
        <w:rPr>
          <w:lang w:val="en-US" w:eastAsia="en-GB" w:bidi="ar-SA"/>
        </w:rPr>
        <w:t xml:space="preserve"> </w:t>
      </w:r>
      <w:r w:rsidR="006075B3" w:rsidRPr="00DD1B58">
        <w:rPr>
          <w:lang w:val="en-US" w:eastAsia="en-GB" w:bidi="ar-SA"/>
        </w:rPr>
        <w:t>existing and future) through fire compartmentation elements within buildings</w:t>
      </w:r>
      <w:r w:rsidR="00B83E08" w:rsidRPr="00DD1B58">
        <w:rPr>
          <w:lang w:val="en-US" w:eastAsia="en-GB" w:bidi="ar-SA"/>
        </w:rPr>
        <w:t>.</w:t>
      </w:r>
    </w:p>
    <w:p w14:paraId="5BC30AF0" w14:textId="5EE4A1FC" w:rsidR="003E097F" w:rsidRPr="00DD1B58" w:rsidRDefault="009F7259" w:rsidP="00243608">
      <w:pPr>
        <w:pStyle w:val="Bulletlist1"/>
        <w:rPr>
          <w:lang w:val="en-US" w:eastAsia="en-GB" w:bidi="ar-SA"/>
        </w:rPr>
      </w:pPr>
      <w:r w:rsidRPr="00DD1B58">
        <w:rPr>
          <w:lang w:val="en-US" w:eastAsia="en-GB" w:bidi="ar-SA"/>
        </w:rPr>
        <w:t>E</w:t>
      </w:r>
      <w:r w:rsidR="006075B3" w:rsidRPr="00DD1B58">
        <w:rPr>
          <w:lang w:val="en-US" w:eastAsia="en-GB" w:bidi="ar-SA"/>
        </w:rPr>
        <w:t>stablished a system to ensure that all future penetrations and fire door</w:t>
      </w:r>
      <w:r w:rsidR="00B83E08" w:rsidRPr="00DD1B58">
        <w:rPr>
          <w:lang w:val="en-US" w:eastAsia="en-GB" w:bidi="ar-SA"/>
        </w:rPr>
        <w:t xml:space="preserve"> </w:t>
      </w:r>
      <w:r w:rsidR="006075B3" w:rsidRPr="00DD1B58">
        <w:rPr>
          <w:lang w:val="en-US" w:eastAsia="en-GB" w:bidi="ar-SA"/>
        </w:rPr>
        <w:t>works are undertaken in accordance with an approved methodology and specification (BM</w:t>
      </w:r>
      <w:r w:rsidR="00B83E08" w:rsidRPr="00DD1B58">
        <w:rPr>
          <w:lang w:val="en-US" w:eastAsia="en-GB" w:bidi="ar-SA"/>
        </w:rPr>
        <w:t xml:space="preserve"> </w:t>
      </w:r>
      <w:r w:rsidR="006075B3" w:rsidRPr="00DD1B58">
        <w:rPr>
          <w:lang w:val="en-US" w:eastAsia="en-GB" w:bidi="ar-SA"/>
        </w:rPr>
        <w:t>Trada</w:t>
      </w:r>
      <w:r w:rsidRPr="00DD1B58">
        <w:rPr>
          <w:lang w:val="en-US" w:eastAsia="en-GB" w:bidi="ar-SA"/>
        </w:rPr>
        <w:t xml:space="preserve"> </w:t>
      </w:r>
      <w:r w:rsidR="006075B3" w:rsidRPr="00DD1B58">
        <w:rPr>
          <w:lang w:val="en-US" w:eastAsia="en-GB" w:bidi="ar-SA"/>
        </w:rPr>
        <w:t>-independent inspection and training service).</w:t>
      </w:r>
    </w:p>
    <w:p w14:paraId="64879019" w14:textId="77777777" w:rsidR="001D7243" w:rsidRPr="00DD1B58" w:rsidRDefault="001D7243" w:rsidP="00177432">
      <w:pPr>
        <w:pStyle w:val="Heading5A"/>
        <w:numPr>
          <w:ilvl w:val="5"/>
          <w:numId w:val="7"/>
        </w:numPr>
        <w:rPr>
          <w:lang w:val="en-US"/>
        </w:rPr>
      </w:pPr>
      <w:r w:rsidRPr="00DD1B58">
        <w:rPr>
          <w:lang w:val="en-US"/>
        </w:rPr>
        <w:t>Performance and management requirements under fire conditions</w:t>
      </w:r>
    </w:p>
    <w:p w14:paraId="3FAFF309" w14:textId="474B8059" w:rsidR="003E097F" w:rsidRPr="00DD1B58" w:rsidRDefault="009F7259" w:rsidP="60E054AF">
      <w:pPr>
        <w:autoSpaceDE w:val="0"/>
        <w:autoSpaceDN w:val="0"/>
        <w:adjustRightInd w:val="0"/>
        <w:spacing w:after="0" w:line="240" w:lineRule="auto"/>
        <w:rPr>
          <w:rFonts w:asciiTheme="minorHAnsi" w:hAnsiTheme="minorHAnsi" w:cstheme="minorBidi"/>
          <w:lang w:val="en-US" w:eastAsia="en-GB" w:bidi="ar-SA"/>
        </w:rPr>
      </w:pPr>
      <w:r w:rsidRPr="00DD1B58">
        <w:rPr>
          <w:rFonts w:asciiTheme="minorHAnsi" w:hAnsiTheme="minorHAnsi" w:cstheme="minorBidi"/>
          <w:lang w:val="en-US"/>
        </w:rPr>
        <w:t>UUK reports that i</w:t>
      </w:r>
      <w:r w:rsidR="003E097F" w:rsidRPr="00DD1B58">
        <w:rPr>
          <w:rFonts w:asciiTheme="minorHAnsi" w:hAnsiTheme="minorHAnsi" w:cstheme="minorBidi"/>
          <w:lang w:val="en-US"/>
        </w:rPr>
        <w:t xml:space="preserve">n </w:t>
      </w:r>
      <w:r w:rsidR="003E097F" w:rsidRPr="00DD1B58">
        <w:rPr>
          <w:rFonts w:asciiTheme="minorHAnsi" w:hAnsiTheme="minorHAnsi" w:cstheme="minorBidi"/>
          <w:lang w:val="en-US" w:eastAsia="en-GB" w:bidi="ar-SA"/>
        </w:rPr>
        <w:t>line with the ‘Construction Products Regulation (CPR) 1</w:t>
      </w:r>
      <w:r w:rsidR="003E097F" w:rsidRPr="00DD1B58">
        <w:rPr>
          <w:rFonts w:asciiTheme="minorHAnsi" w:hAnsiTheme="minorHAnsi" w:cstheme="minorBidi"/>
          <w:vertAlign w:val="superscript"/>
          <w:lang w:val="en-US" w:eastAsia="en-GB" w:bidi="ar-SA"/>
        </w:rPr>
        <w:t>st</w:t>
      </w:r>
      <w:r w:rsidR="000A2192"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July 2013, all fire dampers</w:t>
      </w:r>
      <w:r w:rsidR="007C3F42" w:rsidRPr="00DD1B58">
        <w:rPr>
          <w:rFonts w:asciiTheme="minorHAnsi" w:hAnsiTheme="minorHAnsi" w:cstheme="minorBidi"/>
          <w:lang w:val="en-US" w:eastAsia="en-GB" w:bidi="ar-SA"/>
        </w:rPr>
        <w:t>/</w:t>
      </w:r>
      <w:r w:rsidR="003E097F" w:rsidRPr="00DD1B58">
        <w:rPr>
          <w:rFonts w:asciiTheme="minorHAnsi" w:hAnsiTheme="minorHAnsi" w:cstheme="minorBidi"/>
          <w:lang w:val="en-US" w:eastAsia="en-GB" w:bidi="ar-SA"/>
        </w:rPr>
        <w:t xml:space="preserve">smoke dampers are CE marked and must fully comply with the product standards: EN 15650:2010 Ventilation for Buildings - Fire Dampers </w:t>
      </w:r>
      <w:sdt>
        <w:sdtPr>
          <w:rPr>
            <w:rFonts w:asciiTheme="minorHAnsi" w:hAnsiTheme="minorHAnsi" w:cstheme="minorBidi"/>
            <w:lang w:val="en-US" w:eastAsia="en-GB" w:bidi="ar-SA"/>
          </w:rPr>
          <w:id w:val="997694355"/>
          <w:citation/>
        </w:sdtPr>
        <w:sdtContent>
          <w:r w:rsidR="006F615E" w:rsidRPr="00DD1B58">
            <w:rPr>
              <w:rFonts w:asciiTheme="minorHAnsi" w:hAnsiTheme="minorHAnsi" w:cstheme="minorBidi"/>
              <w:lang w:val="en-US" w:eastAsia="en-GB" w:bidi="ar-SA"/>
            </w:rPr>
            <w:fldChar w:fldCharType="begin"/>
          </w:r>
          <w:r w:rsidR="006F615E" w:rsidRPr="00DD1B58">
            <w:rPr>
              <w:rFonts w:asciiTheme="minorHAnsi" w:hAnsiTheme="minorHAnsi" w:cstheme="minorBidi"/>
              <w:lang w:val="en-US" w:eastAsia="en-GB" w:bidi="ar-SA"/>
            </w:rPr>
            <w:instrText xml:space="preserve"> CITATION Bri15650 \l 2057 </w:instrText>
          </w:r>
          <w:r w:rsidR="006F615E" w:rsidRPr="00DD1B58">
            <w:rPr>
              <w:rFonts w:asciiTheme="minorHAnsi" w:hAnsiTheme="minorHAnsi" w:cstheme="minorBidi"/>
              <w:lang w:val="en-US" w:eastAsia="en-GB" w:bidi="ar-SA"/>
            </w:rPr>
            <w:fldChar w:fldCharType="separate"/>
          </w:r>
          <w:r w:rsidR="00DF47DA" w:rsidRPr="00DF47DA">
            <w:rPr>
              <w:rFonts w:asciiTheme="minorHAnsi" w:hAnsiTheme="minorHAnsi" w:cstheme="minorBidi"/>
              <w:noProof/>
              <w:lang w:val="en-US" w:eastAsia="en-GB" w:bidi="ar-SA"/>
            </w:rPr>
            <w:t>[193]</w:t>
          </w:r>
          <w:r w:rsidR="006F615E" w:rsidRPr="00DD1B58">
            <w:rPr>
              <w:rFonts w:asciiTheme="minorHAnsi" w:hAnsiTheme="minorHAnsi" w:cstheme="minorBidi"/>
              <w:lang w:val="en-US" w:eastAsia="en-GB" w:bidi="ar-SA"/>
            </w:rPr>
            <w:fldChar w:fldCharType="end"/>
          </w:r>
        </w:sdtContent>
      </w:sdt>
      <w:r w:rsidR="00EC089C"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and compliance shall be verified through assessment by a "Notified Body", by the fire damper manufacturer.</w:t>
      </w:r>
    </w:p>
    <w:p w14:paraId="5C0B85F2" w14:textId="77777777" w:rsidR="003E097F" w:rsidRPr="00DD1B58" w:rsidRDefault="003E097F" w:rsidP="60E054AF">
      <w:pPr>
        <w:autoSpaceDE w:val="0"/>
        <w:autoSpaceDN w:val="0"/>
        <w:adjustRightInd w:val="0"/>
        <w:spacing w:after="0" w:line="240" w:lineRule="auto"/>
        <w:rPr>
          <w:rFonts w:asciiTheme="minorHAnsi" w:hAnsiTheme="minorHAnsi" w:cstheme="minorBidi"/>
          <w:lang w:val="en-US" w:eastAsia="en-GB" w:bidi="ar-SA"/>
        </w:rPr>
      </w:pPr>
    </w:p>
    <w:p w14:paraId="17F9FE30" w14:textId="623CB8D2" w:rsidR="003E097F" w:rsidRPr="00DD1B58" w:rsidRDefault="000A2192" w:rsidP="60E054AF">
      <w:pPr>
        <w:autoSpaceDE w:val="0"/>
        <w:autoSpaceDN w:val="0"/>
        <w:adjustRightInd w:val="0"/>
        <w:spacing w:after="0" w:line="240" w:lineRule="auto"/>
        <w:rPr>
          <w:rFonts w:asciiTheme="minorHAnsi" w:hAnsiTheme="minorHAnsi" w:cstheme="minorBidi"/>
          <w:lang w:val="en-US" w:eastAsia="en-GB" w:bidi="ar-SA"/>
        </w:rPr>
      </w:pPr>
      <w:r w:rsidRPr="00DD1B58">
        <w:rPr>
          <w:rFonts w:asciiTheme="minorHAnsi" w:hAnsiTheme="minorHAnsi" w:cstheme="minorBidi"/>
          <w:lang w:val="en-US" w:eastAsia="en-GB" w:bidi="ar-SA"/>
        </w:rPr>
        <w:t xml:space="preserve">UUK </w:t>
      </w:r>
      <w:r w:rsidR="007376D6" w:rsidRPr="00DD1B58">
        <w:rPr>
          <w:rFonts w:asciiTheme="minorHAnsi" w:hAnsiTheme="minorHAnsi" w:cstheme="minorBidi"/>
          <w:lang w:val="en-US" w:eastAsia="en-GB" w:bidi="ar-SA"/>
        </w:rPr>
        <w:t>states that</w:t>
      </w:r>
      <w:r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factory</w:t>
      </w:r>
      <w:r w:rsidR="00023F3D" w:rsidRPr="00DD1B58">
        <w:rPr>
          <w:rFonts w:asciiTheme="minorHAnsi" w:hAnsiTheme="minorHAnsi" w:cstheme="minorBidi"/>
          <w:lang w:val="en-US" w:eastAsia="en-GB" w:bidi="ar-SA"/>
        </w:rPr>
        <w:t>-</w:t>
      </w:r>
      <w:r w:rsidR="003E097F" w:rsidRPr="00DD1B58">
        <w:rPr>
          <w:rFonts w:asciiTheme="minorHAnsi" w:hAnsiTheme="minorHAnsi" w:cstheme="minorBidi"/>
          <w:lang w:val="en-US" w:eastAsia="en-GB" w:bidi="ar-SA"/>
        </w:rPr>
        <w:t>fitted installation frames (IF’s) are provided for masonry walls &amp; solid floors and</w:t>
      </w:r>
      <w:r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built in by the Principal Contractor. Wh</w:t>
      </w:r>
      <w:r w:rsidR="00023F3D" w:rsidRPr="00DD1B58">
        <w:rPr>
          <w:rFonts w:asciiTheme="minorHAnsi" w:hAnsiTheme="minorHAnsi" w:cstheme="minorBidi"/>
          <w:lang w:val="en-US" w:eastAsia="en-GB" w:bidi="ar-SA"/>
        </w:rPr>
        <w:t>ere it provides</w:t>
      </w:r>
      <w:r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dampers</w:t>
      </w:r>
      <w:r w:rsidR="00023F3D"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in dry wall systems or fire</w:t>
      </w:r>
      <w:r w:rsidR="00023F3D"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 xml:space="preserve">curtains </w:t>
      </w:r>
      <w:r w:rsidR="00023F3D" w:rsidRPr="00DD1B58">
        <w:rPr>
          <w:rFonts w:asciiTheme="minorHAnsi" w:hAnsiTheme="minorHAnsi" w:cstheme="minorBidi"/>
          <w:lang w:val="en-US" w:eastAsia="en-GB" w:bidi="ar-SA"/>
        </w:rPr>
        <w:t>it requires provision with</w:t>
      </w:r>
      <w:r w:rsidR="003E097F" w:rsidRPr="00DD1B58">
        <w:rPr>
          <w:rFonts w:asciiTheme="minorHAnsi" w:hAnsiTheme="minorHAnsi" w:cstheme="minorBidi"/>
          <w:lang w:val="en-US" w:eastAsia="en-GB" w:bidi="ar-SA"/>
        </w:rPr>
        <w:t xml:space="preserve"> manufacturer’s installation fixing frames</w:t>
      </w:r>
      <w:r w:rsidR="007C3F42" w:rsidRPr="00DD1B58">
        <w:rPr>
          <w:rFonts w:asciiTheme="minorHAnsi" w:hAnsiTheme="minorHAnsi" w:cstheme="minorBidi"/>
          <w:lang w:val="en-US" w:eastAsia="en-GB" w:bidi="ar-SA"/>
        </w:rPr>
        <w:t>/</w:t>
      </w:r>
      <w:r w:rsidR="003E097F" w:rsidRPr="00DD1B58">
        <w:rPr>
          <w:rFonts w:asciiTheme="minorHAnsi" w:hAnsiTheme="minorHAnsi" w:cstheme="minorBidi"/>
          <w:lang w:val="en-US" w:eastAsia="en-GB" w:bidi="ar-SA"/>
        </w:rPr>
        <w:t xml:space="preserve">clamps etc. and </w:t>
      </w:r>
      <w:r w:rsidR="00F56320" w:rsidRPr="00DD1B58">
        <w:rPr>
          <w:rFonts w:asciiTheme="minorHAnsi" w:hAnsiTheme="minorHAnsi" w:cstheme="minorBidi"/>
          <w:lang w:val="en-US" w:eastAsia="en-GB" w:bidi="ar-SA"/>
        </w:rPr>
        <w:t xml:space="preserve">instals </w:t>
      </w:r>
      <w:r w:rsidR="003E097F" w:rsidRPr="00DD1B58">
        <w:rPr>
          <w:rFonts w:asciiTheme="minorHAnsi" w:hAnsiTheme="minorHAnsi" w:cstheme="minorBidi"/>
          <w:lang w:val="en-US" w:eastAsia="en-GB" w:bidi="ar-SA"/>
        </w:rPr>
        <w:t>dampers in accordance with the manufacturer’s</w:t>
      </w:r>
      <w:r w:rsidR="00181245" w:rsidRPr="00DD1B58">
        <w:rPr>
          <w:rFonts w:asciiTheme="minorHAnsi" w:hAnsiTheme="minorHAnsi" w:cstheme="minorBidi"/>
          <w:lang w:val="en-US" w:eastAsia="en-GB" w:bidi="ar-SA"/>
        </w:rPr>
        <w:t xml:space="preserve"> </w:t>
      </w:r>
      <w:r w:rsidR="003E097F" w:rsidRPr="00DD1B58">
        <w:rPr>
          <w:rFonts w:asciiTheme="minorHAnsi" w:hAnsiTheme="minorHAnsi" w:cstheme="minorBidi"/>
          <w:lang w:val="en-US" w:eastAsia="en-GB" w:bidi="ar-SA"/>
        </w:rPr>
        <w:t>recommendations.</w:t>
      </w:r>
    </w:p>
    <w:p w14:paraId="6C992FDB" w14:textId="77777777" w:rsidR="00181245" w:rsidRPr="00DD1B58" w:rsidRDefault="00181245" w:rsidP="60E054AF">
      <w:pPr>
        <w:autoSpaceDE w:val="0"/>
        <w:autoSpaceDN w:val="0"/>
        <w:adjustRightInd w:val="0"/>
        <w:spacing w:after="0" w:line="240" w:lineRule="auto"/>
        <w:rPr>
          <w:rFonts w:asciiTheme="minorHAnsi" w:hAnsiTheme="minorHAnsi" w:cstheme="minorBidi"/>
          <w:lang w:val="en-US" w:eastAsia="en-GB" w:bidi="ar-SA"/>
        </w:rPr>
      </w:pPr>
    </w:p>
    <w:p w14:paraId="4BCDDC25" w14:textId="2815F53D" w:rsidR="00181245" w:rsidRPr="00DD1B58" w:rsidRDefault="003E097F" w:rsidP="60E054AF">
      <w:pPr>
        <w:autoSpaceDE w:val="0"/>
        <w:autoSpaceDN w:val="0"/>
        <w:adjustRightInd w:val="0"/>
        <w:spacing w:after="0" w:line="240" w:lineRule="auto"/>
        <w:rPr>
          <w:rFonts w:asciiTheme="minorHAnsi" w:hAnsiTheme="minorHAnsi" w:cstheme="minorBidi"/>
          <w:lang w:val="en-US" w:eastAsia="en-GB" w:bidi="ar-SA"/>
        </w:rPr>
      </w:pPr>
      <w:r w:rsidRPr="00DD1B58">
        <w:rPr>
          <w:rFonts w:asciiTheme="minorHAnsi" w:hAnsiTheme="minorHAnsi" w:cstheme="minorBidi"/>
          <w:lang w:val="en-US" w:eastAsia="en-GB" w:bidi="ar-SA"/>
        </w:rPr>
        <w:t xml:space="preserve">Consequently, </w:t>
      </w:r>
      <w:r w:rsidR="00F56320" w:rsidRPr="00DD1B58">
        <w:rPr>
          <w:rFonts w:asciiTheme="minorHAnsi" w:hAnsiTheme="minorHAnsi" w:cstheme="minorBidi"/>
          <w:lang w:val="en-US" w:eastAsia="en-GB" w:bidi="ar-SA"/>
        </w:rPr>
        <w:t xml:space="preserve">UUK considers that </w:t>
      </w:r>
      <w:r w:rsidRPr="00DD1B58">
        <w:rPr>
          <w:rFonts w:asciiTheme="minorHAnsi" w:hAnsiTheme="minorHAnsi" w:cstheme="minorBidi"/>
          <w:lang w:val="en-US" w:eastAsia="en-GB" w:bidi="ar-SA"/>
        </w:rPr>
        <w:t>all Fire Dampers meet the following:</w:t>
      </w:r>
    </w:p>
    <w:p w14:paraId="33834D63" w14:textId="77777777" w:rsidR="008E04DD" w:rsidRPr="00DD1B58" w:rsidRDefault="008E04DD" w:rsidP="60E054AF">
      <w:pPr>
        <w:autoSpaceDE w:val="0"/>
        <w:autoSpaceDN w:val="0"/>
        <w:adjustRightInd w:val="0"/>
        <w:spacing w:after="0" w:line="240" w:lineRule="auto"/>
        <w:rPr>
          <w:rFonts w:asciiTheme="minorHAnsi" w:hAnsiTheme="minorHAnsi" w:cstheme="minorBidi"/>
          <w:lang w:val="en-US" w:eastAsia="en-GB" w:bidi="ar-SA"/>
        </w:rPr>
      </w:pPr>
    </w:p>
    <w:p w14:paraId="4F3C8F8D" w14:textId="77777777" w:rsidR="00181245" w:rsidRPr="00DD1B58" w:rsidRDefault="003E097F" w:rsidP="008E04DD">
      <w:pPr>
        <w:pStyle w:val="Bulletlist1"/>
        <w:rPr>
          <w:lang w:val="en-US" w:eastAsia="en-GB" w:bidi="ar-SA"/>
        </w:rPr>
      </w:pPr>
      <w:r w:rsidRPr="00DD1B58">
        <w:rPr>
          <w:lang w:val="en-US" w:eastAsia="en-GB" w:bidi="ar-SA"/>
        </w:rPr>
        <w:t xml:space="preserve">External visual indication </w:t>
      </w:r>
      <w:r w:rsidR="000E40AD" w:rsidRPr="00DD1B58">
        <w:rPr>
          <w:lang w:val="en-US" w:eastAsia="en-GB" w:bidi="ar-SA"/>
        </w:rPr>
        <w:t>is</w:t>
      </w:r>
      <w:r w:rsidRPr="00DD1B58">
        <w:rPr>
          <w:lang w:val="en-US" w:eastAsia="en-GB" w:bidi="ar-SA"/>
        </w:rPr>
        <w:t xml:space="preserve"> provided to indicate their open/closed status.</w:t>
      </w:r>
    </w:p>
    <w:p w14:paraId="615C0417" w14:textId="6A80C2D9" w:rsidR="00181245" w:rsidRPr="00DD1B58" w:rsidRDefault="003E097F" w:rsidP="008E04DD">
      <w:pPr>
        <w:pStyle w:val="Bulletlist1"/>
        <w:rPr>
          <w:lang w:val="en-US" w:eastAsia="en-GB" w:bidi="ar-SA"/>
        </w:rPr>
      </w:pPr>
      <w:r w:rsidRPr="00DD1B58">
        <w:rPr>
          <w:lang w:val="en-US" w:eastAsia="en-GB" w:bidi="ar-SA"/>
        </w:rPr>
        <w:t xml:space="preserve">Automatic fire/smoke dampers are tested to BS EN1366-2 </w:t>
      </w:r>
      <w:sdt>
        <w:sdtPr>
          <w:rPr>
            <w:lang w:val="en-US" w:eastAsia="en-GB" w:bidi="ar-SA"/>
          </w:rPr>
          <w:id w:val="1488743221"/>
          <w:citation/>
        </w:sdtPr>
        <w:sdtContent>
          <w:r w:rsidR="00250AE1" w:rsidRPr="00DD1B58">
            <w:rPr>
              <w:lang w:val="en-US" w:eastAsia="en-GB" w:bidi="ar-SA"/>
            </w:rPr>
            <w:fldChar w:fldCharType="begin"/>
          </w:r>
          <w:r w:rsidR="00250AE1" w:rsidRPr="00DD1B58">
            <w:rPr>
              <w:lang w:val="en-US" w:eastAsia="en-GB" w:bidi="ar-SA"/>
            </w:rPr>
            <w:instrText xml:space="preserve"> CITATION Bri15 \l 2057 </w:instrText>
          </w:r>
          <w:r w:rsidR="00250AE1" w:rsidRPr="00DD1B58">
            <w:rPr>
              <w:lang w:val="en-US" w:eastAsia="en-GB" w:bidi="ar-SA"/>
            </w:rPr>
            <w:fldChar w:fldCharType="separate"/>
          </w:r>
          <w:r w:rsidR="00DF47DA" w:rsidRPr="00DF47DA">
            <w:rPr>
              <w:lang w:val="en-US" w:eastAsia="en-GB" w:bidi="ar-SA"/>
            </w:rPr>
            <w:t>[194]</w:t>
          </w:r>
          <w:r w:rsidR="00250AE1" w:rsidRPr="00DD1B58">
            <w:rPr>
              <w:lang w:val="en-US" w:eastAsia="en-GB" w:bidi="ar-SA"/>
            </w:rPr>
            <w:fldChar w:fldCharType="end"/>
          </w:r>
        </w:sdtContent>
      </w:sdt>
      <w:r w:rsidRPr="00DD1B58">
        <w:rPr>
          <w:lang w:val="en-US" w:eastAsia="en-GB" w:bidi="ar-SA"/>
        </w:rPr>
        <w:t>and have a classification in</w:t>
      </w:r>
      <w:r w:rsidR="00181245" w:rsidRPr="00DD1B58">
        <w:rPr>
          <w:lang w:val="en-US" w:eastAsia="en-GB" w:bidi="ar-SA"/>
        </w:rPr>
        <w:t xml:space="preserve"> </w:t>
      </w:r>
      <w:r w:rsidRPr="00DD1B58">
        <w:rPr>
          <w:lang w:val="en-US" w:eastAsia="en-GB" w:bidi="ar-SA"/>
        </w:rPr>
        <w:t>accordance with BS13501-3</w:t>
      </w:r>
      <w:sdt>
        <w:sdtPr>
          <w:rPr>
            <w:lang w:val="en-US" w:eastAsia="en-GB" w:bidi="ar-SA"/>
          </w:rPr>
          <w:id w:val="1050338348"/>
          <w:citation/>
        </w:sdtPr>
        <w:sdtContent>
          <w:r w:rsidR="00A40B45" w:rsidRPr="00DD1B58">
            <w:rPr>
              <w:lang w:val="en-US" w:eastAsia="en-GB" w:bidi="ar-SA"/>
            </w:rPr>
            <w:fldChar w:fldCharType="begin"/>
          </w:r>
          <w:r w:rsidR="00A40B45" w:rsidRPr="00DD1B58">
            <w:rPr>
              <w:lang w:val="en-US" w:eastAsia="en-GB" w:bidi="ar-SA"/>
            </w:rPr>
            <w:instrText xml:space="preserve"> CITATION Bri05 \l 2057 </w:instrText>
          </w:r>
          <w:r w:rsidR="00A40B45" w:rsidRPr="00DD1B58">
            <w:rPr>
              <w:lang w:val="en-US" w:eastAsia="en-GB" w:bidi="ar-SA"/>
            </w:rPr>
            <w:fldChar w:fldCharType="separate"/>
          </w:r>
          <w:r w:rsidR="00DF47DA">
            <w:rPr>
              <w:lang w:val="en-US" w:eastAsia="en-GB" w:bidi="ar-SA"/>
            </w:rPr>
            <w:t xml:space="preserve"> </w:t>
          </w:r>
          <w:r w:rsidR="00DF47DA" w:rsidRPr="00DF47DA">
            <w:rPr>
              <w:lang w:val="en-US" w:eastAsia="en-GB" w:bidi="ar-SA"/>
            </w:rPr>
            <w:t>[195]</w:t>
          </w:r>
          <w:r w:rsidR="00A40B45" w:rsidRPr="00DD1B58">
            <w:rPr>
              <w:lang w:val="en-US" w:eastAsia="en-GB" w:bidi="ar-SA"/>
            </w:rPr>
            <w:fldChar w:fldCharType="end"/>
          </w:r>
        </w:sdtContent>
      </w:sdt>
      <w:r w:rsidRPr="00DD1B58">
        <w:rPr>
          <w:lang w:val="en-US" w:eastAsia="en-GB" w:bidi="ar-SA"/>
        </w:rPr>
        <w:t xml:space="preserve"> that meets the following requirements:</w:t>
      </w:r>
    </w:p>
    <w:p w14:paraId="2215C777" w14:textId="77777777" w:rsidR="000E40AD" w:rsidRPr="00DD1B58" w:rsidRDefault="003E097F" w:rsidP="008E04DD">
      <w:pPr>
        <w:pStyle w:val="Bulletlist2"/>
        <w:rPr>
          <w:lang w:val="en-US" w:eastAsia="en-GB" w:bidi="ar-SA"/>
        </w:rPr>
      </w:pPr>
      <w:r w:rsidRPr="00DD1B58">
        <w:rPr>
          <w:lang w:val="en-US" w:eastAsia="en-GB" w:bidi="ar-SA"/>
        </w:rPr>
        <w:t>Automatic fire/smoke dampers have an E classification at least equal to the surface</w:t>
      </w:r>
      <w:r w:rsidR="00181245" w:rsidRPr="00DD1B58">
        <w:rPr>
          <w:lang w:val="en-US" w:eastAsia="en-GB" w:bidi="ar-SA"/>
        </w:rPr>
        <w:t xml:space="preserve"> </w:t>
      </w:r>
      <w:r w:rsidRPr="00DD1B58">
        <w:rPr>
          <w:lang w:val="en-US" w:eastAsia="en-GB" w:bidi="ar-SA"/>
        </w:rPr>
        <w:t>in which they are mounted and, additionally, have an ES classification for a minimum of 60</w:t>
      </w:r>
      <w:r w:rsidR="000E40AD" w:rsidRPr="00DD1B58">
        <w:rPr>
          <w:lang w:val="en-US" w:eastAsia="en-GB" w:bidi="ar-SA"/>
        </w:rPr>
        <w:t xml:space="preserve"> minutes.</w:t>
      </w:r>
    </w:p>
    <w:p w14:paraId="3891E34B" w14:textId="77777777" w:rsidR="000E40AD" w:rsidRPr="00DD1B58" w:rsidRDefault="003E097F" w:rsidP="008E04DD">
      <w:pPr>
        <w:pStyle w:val="Bulletlist1"/>
        <w:rPr>
          <w:lang w:val="en-US" w:eastAsia="en-GB" w:bidi="ar-SA"/>
        </w:rPr>
      </w:pPr>
      <w:r w:rsidRPr="00DD1B58">
        <w:rPr>
          <w:lang w:val="en-US" w:eastAsia="en-GB" w:bidi="ar-SA"/>
        </w:rPr>
        <w:t>All dampers are approved by the LPCB certification scheme.</w:t>
      </w:r>
    </w:p>
    <w:p w14:paraId="4FC97D86" w14:textId="77777777" w:rsidR="000E40AD" w:rsidRPr="00DD1B58" w:rsidRDefault="003E097F" w:rsidP="008E04DD">
      <w:pPr>
        <w:pStyle w:val="Bulletlist1"/>
        <w:rPr>
          <w:lang w:val="en-US" w:eastAsia="en-GB" w:bidi="ar-SA"/>
        </w:rPr>
      </w:pPr>
      <w:r w:rsidRPr="00DD1B58">
        <w:rPr>
          <w:lang w:val="en-US" w:eastAsia="en-GB" w:bidi="ar-SA"/>
        </w:rPr>
        <w:t>Thermal links operate at 68ºC</w:t>
      </w:r>
      <w:r w:rsidR="000E40AD" w:rsidRPr="00DD1B58">
        <w:rPr>
          <w:lang w:val="en-US" w:eastAsia="en-GB" w:bidi="ar-SA"/>
        </w:rPr>
        <w:t>.</w:t>
      </w:r>
    </w:p>
    <w:p w14:paraId="7FE1703E" w14:textId="77777777" w:rsidR="0040777C" w:rsidRPr="00DD1B58" w:rsidRDefault="003E097F" w:rsidP="008E04DD">
      <w:pPr>
        <w:pStyle w:val="Bulletlist1"/>
        <w:rPr>
          <w:lang w:val="en-US" w:eastAsia="en-GB" w:bidi="ar-SA"/>
        </w:rPr>
      </w:pPr>
      <w:r w:rsidRPr="00DD1B58">
        <w:rPr>
          <w:lang w:val="en-US" w:eastAsia="en-GB" w:bidi="ar-SA"/>
        </w:rPr>
        <w:t>Installation follows the manufacturer's instructions to ensure that any E or ES classifications</w:t>
      </w:r>
      <w:r w:rsidR="000E40AD" w:rsidRPr="00DD1B58">
        <w:rPr>
          <w:lang w:val="en-US" w:eastAsia="en-GB" w:bidi="ar-SA"/>
        </w:rPr>
        <w:t xml:space="preserve"> </w:t>
      </w:r>
      <w:r w:rsidRPr="00DD1B58">
        <w:rPr>
          <w:lang w:val="en-US" w:eastAsia="en-GB" w:bidi="ar-SA"/>
        </w:rPr>
        <w:t>are met</w:t>
      </w:r>
      <w:r w:rsidR="000E40AD" w:rsidRPr="00DD1B58">
        <w:rPr>
          <w:lang w:val="en-US" w:eastAsia="en-GB" w:bidi="ar-SA"/>
        </w:rPr>
        <w:t>.</w:t>
      </w:r>
    </w:p>
    <w:p w14:paraId="069BF051" w14:textId="6D6DE1C6" w:rsidR="0040777C" w:rsidRPr="00DD1B58" w:rsidRDefault="0040777C" w:rsidP="008E04DD">
      <w:pPr>
        <w:pStyle w:val="Bulletlist1"/>
        <w:rPr>
          <w:lang w:val="en-US" w:eastAsia="en-GB" w:bidi="ar-SA"/>
        </w:rPr>
      </w:pPr>
      <w:r w:rsidRPr="00DD1B58">
        <w:rPr>
          <w:lang w:val="en-US" w:eastAsia="en-GB" w:bidi="ar-SA"/>
        </w:rPr>
        <w:t>Ductwork access points are installed local to all damper positions for re-setting</w:t>
      </w:r>
      <w:r w:rsidR="007C3F42" w:rsidRPr="00DD1B58">
        <w:rPr>
          <w:lang w:val="en-US" w:eastAsia="en-GB" w:bidi="ar-SA"/>
        </w:rPr>
        <w:t>/</w:t>
      </w:r>
      <w:r w:rsidRPr="00DD1B58">
        <w:rPr>
          <w:lang w:val="en-US" w:eastAsia="en-GB" w:bidi="ar-SA"/>
        </w:rPr>
        <w:t>maintenance of fusible links on both sides of the damper.</w:t>
      </w:r>
    </w:p>
    <w:p w14:paraId="5CC962AB" w14:textId="0D1637CA" w:rsidR="0040777C" w:rsidRPr="00DD1B58" w:rsidRDefault="00B070E4" w:rsidP="60E054AF">
      <w:pPr>
        <w:autoSpaceDE w:val="0"/>
        <w:autoSpaceDN w:val="0"/>
        <w:adjustRightInd w:val="0"/>
        <w:spacing w:after="0" w:line="240" w:lineRule="auto"/>
        <w:rPr>
          <w:rFonts w:asciiTheme="minorHAnsi" w:hAnsiTheme="minorHAnsi" w:cstheme="minorBidi"/>
          <w:lang w:val="en-US" w:eastAsia="en-GB" w:bidi="ar-SA"/>
        </w:rPr>
      </w:pPr>
      <w:r w:rsidRPr="00DD1B58">
        <w:rPr>
          <w:rFonts w:asciiTheme="minorHAnsi" w:hAnsiTheme="minorHAnsi" w:cstheme="minorBidi"/>
          <w:lang w:val="en-US" w:eastAsia="en-GB" w:bidi="ar-SA"/>
        </w:rPr>
        <w:t xml:space="preserve">UUK </w:t>
      </w:r>
      <w:r w:rsidR="006D798B" w:rsidRPr="00DD1B58">
        <w:rPr>
          <w:rFonts w:asciiTheme="minorHAnsi" w:hAnsiTheme="minorHAnsi" w:cstheme="minorBidi"/>
          <w:lang w:val="en-US" w:eastAsia="en-GB" w:bidi="ar-SA"/>
        </w:rPr>
        <w:t>reports that</w:t>
      </w:r>
      <w:r w:rsidRPr="00DD1B58">
        <w:rPr>
          <w:rFonts w:asciiTheme="minorHAnsi" w:hAnsiTheme="minorHAnsi" w:cstheme="minorBidi"/>
          <w:lang w:val="en-US" w:eastAsia="en-GB" w:bidi="ar-SA"/>
        </w:rPr>
        <w:t xml:space="preserve"> the </w:t>
      </w:r>
      <w:r w:rsidR="00EC6B24" w:rsidRPr="00DD1B58">
        <w:rPr>
          <w:lang w:val="en-US" w:eastAsia="en-GB" w:bidi="ar-SA"/>
        </w:rPr>
        <w:t>automatic fire/smoke dampers are double skin spigot cases with continuously welded corners and spigot connections. Double skin stainless steel aerofoil blades are interlocked within twin trailing edges with the interlocking system providing a double metal seal to form a positive fire and smoke barrier. The blades incorporate a synthetic seal to ensure low closed blade smoke leakage at ambient temperatures. Furthermore, the dampers ensure an accurate bearing, alignment, positive cap, bar drive and blade retention to provide a slimline double skin case of high rigidity, complying to DW144 classes A, B and C.</w:t>
      </w:r>
      <w:r w:rsidRPr="00DD1B58">
        <w:rPr>
          <w:lang w:val="en-US" w:eastAsia="en-GB" w:bidi="ar-SA"/>
        </w:rPr>
        <w:t xml:space="preserve"> Finally, UUK </w:t>
      </w:r>
      <w:r w:rsidR="007376D6" w:rsidRPr="00DD1B58">
        <w:rPr>
          <w:lang w:val="en-US" w:eastAsia="en-GB" w:bidi="ar-SA"/>
        </w:rPr>
        <w:t>states that</w:t>
      </w:r>
      <w:r w:rsidRPr="00DD1B58">
        <w:rPr>
          <w:lang w:val="en-US" w:eastAsia="en-GB" w:bidi="ar-SA"/>
        </w:rPr>
        <w:t xml:space="preserve"> a</w:t>
      </w:r>
      <w:r w:rsidR="00EC6B24" w:rsidRPr="00DD1B58">
        <w:rPr>
          <w:lang w:val="en-US" w:eastAsia="en-GB" w:bidi="ar-SA"/>
        </w:rPr>
        <w:t>ll fusible link fire dampers are of the ActionAir Fire/Shield range. Likewise, all fire/smoke</w:t>
      </w:r>
      <w:r w:rsidRPr="00DD1B58">
        <w:rPr>
          <w:lang w:val="en-US" w:eastAsia="en-GB" w:bidi="ar-SA"/>
        </w:rPr>
        <w:t xml:space="preserve"> </w:t>
      </w:r>
      <w:r w:rsidR="00EC6B24" w:rsidRPr="00DD1B58">
        <w:rPr>
          <w:lang w:val="en-US" w:eastAsia="en-GB" w:bidi="ar-SA"/>
        </w:rPr>
        <w:t>dampers are taken from ActionAir Smoke/Shield PTC rectangular or CSS circular range.</w:t>
      </w:r>
    </w:p>
    <w:p w14:paraId="7ED9F1E2" w14:textId="77777777" w:rsidR="0046095F" w:rsidRPr="00DD1B58" w:rsidRDefault="0046095F" w:rsidP="60E054AF">
      <w:pPr>
        <w:autoSpaceDE w:val="0"/>
        <w:autoSpaceDN w:val="0"/>
        <w:adjustRightInd w:val="0"/>
        <w:spacing w:after="0" w:line="240" w:lineRule="auto"/>
        <w:rPr>
          <w:rFonts w:asciiTheme="minorHAnsi" w:hAnsiTheme="minorHAnsi" w:cstheme="minorBidi"/>
          <w:lang w:val="en-US" w:eastAsia="en-GB" w:bidi="ar-SA"/>
        </w:rPr>
      </w:pPr>
    </w:p>
    <w:p w14:paraId="54AD899F" w14:textId="1B92F81D" w:rsidR="001D7243" w:rsidRPr="00DD1B58" w:rsidRDefault="001D7243" w:rsidP="00177432">
      <w:pPr>
        <w:pStyle w:val="Heading5A"/>
        <w:rPr>
          <w:lang w:val="en-US"/>
        </w:rPr>
      </w:pPr>
      <w:bookmarkStart w:id="149" w:name="_Ref140148167"/>
      <w:bookmarkStart w:id="150" w:name="_Ref145057204"/>
      <w:r w:rsidRPr="00DD1B58">
        <w:rPr>
          <w:lang w:val="en-US"/>
        </w:rPr>
        <w:t xml:space="preserve">Licensee’s experience of the implementation of the </w:t>
      </w:r>
      <w:r w:rsidR="00A34774" w:rsidRPr="00DD1B58">
        <w:rPr>
          <w:lang w:val="en-US"/>
        </w:rPr>
        <w:t>passive</w:t>
      </w:r>
      <w:r w:rsidRPr="00DD1B58">
        <w:rPr>
          <w:lang w:val="en-US"/>
        </w:rPr>
        <w:t xml:space="preserve"> fire protection</w:t>
      </w:r>
      <w:bookmarkEnd w:id="149"/>
      <w:bookmarkEnd w:id="150"/>
    </w:p>
    <w:p w14:paraId="014040F0" w14:textId="52418E22" w:rsidR="00597661" w:rsidRPr="00DD1B58" w:rsidRDefault="00E36774" w:rsidP="00E36774">
      <w:pPr>
        <w:pStyle w:val="Heading5A"/>
        <w:numPr>
          <w:ilvl w:val="0"/>
          <w:numId w:val="0"/>
        </w:numPr>
        <w:rPr>
          <w:lang w:val="en-US"/>
        </w:rPr>
      </w:pPr>
      <w:r w:rsidRPr="00DD1B58">
        <w:rPr>
          <w:lang w:val="en-US"/>
        </w:rPr>
        <w:t xml:space="preserve">Section </w:t>
      </w:r>
      <w:r w:rsidR="0076468A" w:rsidRPr="00DD1B58">
        <w:rPr>
          <w:lang w:val="en-US"/>
        </w:rPr>
        <w:fldChar w:fldCharType="begin"/>
      </w:r>
      <w:r w:rsidR="0076468A" w:rsidRPr="00DD1B58">
        <w:rPr>
          <w:lang w:val="en-US"/>
        </w:rPr>
        <w:instrText xml:space="preserve"> REF _Ref146810632 \r \h </w:instrText>
      </w:r>
      <w:r w:rsidR="0076468A" w:rsidRPr="00DD1B58">
        <w:rPr>
          <w:lang w:val="en-US"/>
        </w:rPr>
      </w:r>
      <w:r w:rsidR="0076468A" w:rsidRPr="00DD1B58">
        <w:rPr>
          <w:lang w:val="en-US"/>
        </w:rPr>
        <w:fldChar w:fldCharType="separate"/>
      </w:r>
      <w:r w:rsidR="00DF47DA">
        <w:rPr>
          <w:lang w:val="en-US"/>
        </w:rPr>
        <w:t>C-I-3.3.1</w:t>
      </w:r>
      <w:r w:rsidR="0076468A" w:rsidRPr="00DD1B58">
        <w:rPr>
          <w:lang w:val="en-US"/>
        </w:rPr>
        <w:fldChar w:fldCharType="end"/>
      </w:r>
      <w:r w:rsidR="0076468A" w:rsidRPr="00DD1B58">
        <w:rPr>
          <w:lang w:val="en-US"/>
        </w:rPr>
        <w:t xml:space="preserve"> </w:t>
      </w:r>
      <w:r w:rsidRPr="00DD1B58">
        <w:rPr>
          <w:lang w:val="en-US"/>
        </w:rPr>
        <w:t>describes the licensee experience and is not reiterated here for conciseness.</w:t>
      </w:r>
    </w:p>
    <w:p w14:paraId="5C632EC4" w14:textId="77777777" w:rsidR="001D7243" w:rsidRPr="00DD1B58" w:rsidRDefault="001D7243" w:rsidP="00177432">
      <w:pPr>
        <w:pStyle w:val="Heading5A"/>
        <w:rPr>
          <w:lang w:val="en-US"/>
        </w:rPr>
      </w:pPr>
      <w:bookmarkStart w:id="151" w:name="_Ref145058407"/>
      <w:r w:rsidRPr="00DD1B58">
        <w:rPr>
          <w:lang w:val="en-US"/>
        </w:rPr>
        <w:t xml:space="preserve">Regulator’s assessment of the </w:t>
      </w:r>
      <w:r w:rsidR="00A34774" w:rsidRPr="00DD1B58">
        <w:rPr>
          <w:lang w:val="en-US"/>
        </w:rPr>
        <w:t>passive</w:t>
      </w:r>
      <w:r w:rsidRPr="00DD1B58">
        <w:rPr>
          <w:lang w:val="en-US"/>
        </w:rPr>
        <w:t xml:space="preserve"> fire protection</w:t>
      </w:r>
      <w:bookmarkEnd w:id="151"/>
    </w:p>
    <w:p w14:paraId="6405EA3F" w14:textId="63D6BAC0" w:rsidR="001D7243" w:rsidRPr="00DD1B58" w:rsidRDefault="001D7243" w:rsidP="00177432">
      <w:pPr>
        <w:pStyle w:val="Heading5A"/>
        <w:numPr>
          <w:ilvl w:val="5"/>
          <w:numId w:val="7"/>
        </w:numPr>
        <w:rPr>
          <w:lang w:val="en-US"/>
        </w:rPr>
      </w:pPr>
      <w:r w:rsidRPr="00DD1B58">
        <w:rPr>
          <w:lang w:val="en-US"/>
        </w:rPr>
        <w:t>Overview of strengths and weaknesses in the passive fire protection</w:t>
      </w:r>
      <w:r w:rsidR="00940D2A" w:rsidRPr="00DD1B58">
        <w:rPr>
          <w:lang w:val="en-US"/>
        </w:rPr>
        <w:t xml:space="preserve"> </w:t>
      </w:r>
    </w:p>
    <w:p w14:paraId="51F852F2" w14:textId="3FC7436C" w:rsidR="009E26B6" w:rsidRPr="00DD1B58" w:rsidRDefault="009E26B6" w:rsidP="009E26B6">
      <w:pPr>
        <w:rPr>
          <w:b/>
          <w:lang w:val="en-US"/>
        </w:rPr>
      </w:pPr>
      <w:bookmarkStart w:id="152" w:name="_Hlk139634768"/>
      <w:r w:rsidRPr="00DD1B58">
        <w:rPr>
          <w:b/>
          <w:lang w:val="en-US"/>
        </w:rPr>
        <w:t>Passive fire protection strengths</w:t>
      </w:r>
    </w:p>
    <w:p w14:paraId="3E92E282" w14:textId="77777777" w:rsidR="009F5510" w:rsidRPr="00DD1B58" w:rsidRDefault="00516924" w:rsidP="009E26B6">
      <w:pPr>
        <w:rPr>
          <w:lang w:val="en-US"/>
        </w:rPr>
      </w:pPr>
      <w:r w:rsidRPr="00DD1B58">
        <w:rPr>
          <w:lang w:val="en-US"/>
        </w:rPr>
        <w:t>ONR considers the main strengths of UUK’s self-assessment in the area as passive fire protection as follows:</w:t>
      </w:r>
    </w:p>
    <w:p w14:paraId="240871D7" w14:textId="21C16B64" w:rsidR="009E26B6" w:rsidRPr="00DD1B58" w:rsidRDefault="009E26B6" w:rsidP="00973FF4">
      <w:pPr>
        <w:pStyle w:val="Bulletlist1"/>
        <w:rPr>
          <w:lang w:val="en-US"/>
        </w:rPr>
      </w:pPr>
      <w:r w:rsidRPr="00DD1B58">
        <w:rPr>
          <w:lang w:val="en-US"/>
        </w:rPr>
        <w:t xml:space="preserve">The licensee </w:t>
      </w:r>
      <w:r w:rsidR="00B070E4" w:rsidRPr="00DD1B58">
        <w:rPr>
          <w:lang w:val="en-US"/>
        </w:rPr>
        <w:t xml:space="preserve">described </w:t>
      </w:r>
      <w:r w:rsidRPr="00DD1B58">
        <w:rPr>
          <w:lang w:val="en-US"/>
        </w:rPr>
        <w:t>a site compartmentation project supported by appropriate guidance BS9999</w:t>
      </w:r>
      <w:r w:rsidR="00394601" w:rsidRPr="00DD1B58">
        <w:rPr>
          <w:lang w:val="en-US"/>
        </w:rPr>
        <w:t xml:space="preserve"> </w:t>
      </w:r>
      <w:sdt>
        <w:sdtPr>
          <w:rPr>
            <w:lang w:val="en-US"/>
          </w:rPr>
          <w:id w:val="-1090302458"/>
          <w:citation/>
        </w:sdtPr>
        <w:sdtContent>
          <w:r w:rsidR="00394601" w:rsidRPr="00DD1B58">
            <w:rPr>
              <w:lang w:val="en-US"/>
            </w:rPr>
            <w:fldChar w:fldCharType="begin"/>
          </w:r>
          <w:r w:rsidR="00394601" w:rsidRPr="00DD1B58">
            <w:rPr>
              <w:lang w:val="en-US"/>
            </w:rPr>
            <w:instrText xml:space="preserve"> CITATION BS9999 \l 2057 </w:instrText>
          </w:r>
          <w:r w:rsidR="00394601" w:rsidRPr="00DD1B58">
            <w:rPr>
              <w:lang w:val="en-US"/>
            </w:rPr>
            <w:fldChar w:fldCharType="separate"/>
          </w:r>
          <w:r w:rsidR="00DF47DA" w:rsidRPr="00DF47DA">
            <w:rPr>
              <w:lang w:val="en-US"/>
            </w:rPr>
            <w:t>[71]</w:t>
          </w:r>
          <w:r w:rsidR="00394601" w:rsidRPr="00DD1B58">
            <w:rPr>
              <w:lang w:val="en-US"/>
            </w:rPr>
            <w:fldChar w:fldCharType="end"/>
          </w:r>
        </w:sdtContent>
      </w:sdt>
      <w:r w:rsidR="00CF5DC2" w:rsidRPr="00DD1B58">
        <w:rPr>
          <w:lang w:val="en-US"/>
        </w:rPr>
        <w:t xml:space="preserve"> </w:t>
      </w:r>
      <w:r w:rsidRPr="00DD1B58">
        <w:rPr>
          <w:lang w:val="en-US"/>
        </w:rPr>
        <w:t>and accredited contractors.</w:t>
      </w:r>
    </w:p>
    <w:p w14:paraId="73040C0F" w14:textId="26CFC5F3" w:rsidR="009E26B6" w:rsidRPr="00DD1B58" w:rsidRDefault="00516924" w:rsidP="00973FF4">
      <w:pPr>
        <w:pStyle w:val="Bulletlist1"/>
        <w:rPr>
          <w:lang w:val="en-US"/>
        </w:rPr>
      </w:pPr>
      <w:r w:rsidRPr="00DD1B58">
        <w:rPr>
          <w:lang w:val="en-US"/>
        </w:rPr>
        <w:t>The si</w:t>
      </w:r>
      <w:r w:rsidR="009E26B6" w:rsidRPr="00DD1B58">
        <w:rPr>
          <w:lang w:val="en-US"/>
        </w:rPr>
        <w:t>te</w:t>
      </w:r>
      <w:r w:rsidR="00F66C86" w:rsidRPr="00DD1B58">
        <w:rPr>
          <w:lang w:val="en-US"/>
        </w:rPr>
        <w:t xml:space="preserve"> has</w:t>
      </w:r>
      <w:r w:rsidR="009E26B6" w:rsidRPr="00DD1B58">
        <w:rPr>
          <w:lang w:val="en-US"/>
        </w:rPr>
        <w:t xml:space="preserve"> </w:t>
      </w:r>
      <w:r w:rsidRPr="00DD1B58">
        <w:rPr>
          <w:lang w:val="en-US"/>
        </w:rPr>
        <w:t>l</w:t>
      </w:r>
      <w:r w:rsidR="009E26B6" w:rsidRPr="00DD1B58">
        <w:rPr>
          <w:lang w:val="en-US"/>
        </w:rPr>
        <w:t xml:space="preserve">ifetime quality asset management arrangements for compartmentation. </w:t>
      </w:r>
    </w:p>
    <w:p w14:paraId="7D4F9C2C" w14:textId="5560A3D9" w:rsidR="009E26B6" w:rsidRPr="00DD1B58" w:rsidRDefault="00516924" w:rsidP="00973FF4">
      <w:pPr>
        <w:pStyle w:val="Bulletlist1"/>
        <w:rPr>
          <w:lang w:val="en-US"/>
        </w:rPr>
      </w:pPr>
      <w:r w:rsidRPr="00DD1B58">
        <w:rPr>
          <w:lang w:val="en-US"/>
        </w:rPr>
        <w:t xml:space="preserve">The site has implemented </w:t>
      </w:r>
      <w:r w:rsidR="009E26B6" w:rsidRPr="00DD1B58">
        <w:rPr>
          <w:lang w:val="en-US"/>
        </w:rPr>
        <w:t xml:space="preserve">a fire damper upgrade project </w:t>
      </w:r>
      <w:r w:rsidRPr="00DD1B58">
        <w:rPr>
          <w:lang w:val="en-US"/>
        </w:rPr>
        <w:t xml:space="preserve">improving the original design and </w:t>
      </w:r>
      <w:r w:rsidR="009E26B6" w:rsidRPr="00DD1B58">
        <w:rPr>
          <w:lang w:val="en-US"/>
        </w:rPr>
        <w:t>referenc</w:t>
      </w:r>
      <w:r w:rsidRPr="00DD1B58">
        <w:rPr>
          <w:lang w:val="en-US"/>
        </w:rPr>
        <w:t>ing</w:t>
      </w:r>
      <w:r w:rsidR="009E26B6" w:rsidRPr="00DD1B58">
        <w:rPr>
          <w:lang w:val="en-US"/>
        </w:rPr>
        <w:t xml:space="preserve"> appropriate guidance (BS15650 Ventilation for buildings)</w:t>
      </w:r>
      <w:sdt>
        <w:sdtPr>
          <w:rPr>
            <w:lang w:val="en-US"/>
          </w:rPr>
          <w:id w:val="-514837272"/>
          <w:citation/>
        </w:sdtPr>
        <w:sdtContent>
          <w:r w:rsidR="003D52A1" w:rsidRPr="00DD1B58">
            <w:rPr>
              <w:lang w:val="en-US"/>
            </w:rPr>
            <w:fldChar w:fldCharType="begin"/>
          </w:r>
          <w:r w:rsidR="003D52A1" w:rsidRPr="00DD1B58">
            <w:rPr>
              <w:lang w:val="en-US"/>
            </w:rPr>
            <w:instrText xml:space="preserve"> CITATION Bri15650 \l 2057 </w:instrText>
          </w:r>
          <w:r w:rsidR="003D52A1" w:rsidRPr="00DD1B58">
            <w:rPr>
              <w:lang w:val="en-US"/>
            </w:rPr>
            <w:fldChar w:fldCharType="separate"/>
          </w:r>
          <w:r w:rsidR="00DF47DA">
            <w:rPr>
              <w:lang w:val="en-US"/>
            </w:rPr>
            <w:t xml:space="preserve"> </w:t>
          </w:r>
          <w:r w:rsidR="00DF47DA" w:rsidRPr="00DF47DA">
            <w:rPr>
              <w:lang w:val="en-US"/>
            </w:rPr>
            <w:t>[193]</w:t>
          </w:r>
          <w:r w:rsidR="003D52A1" w:rsidRPr="00DD1B58">
            <w:rPr>
              <w:lang w:val="en-US"/>
            </w:rPr>
            <w:fldChar w:fldCharType="end"/>
          </w:r>
        </w:sdtContent>
      </w:sdt>
      <w:r w:rsidR="009E26B6" w:rsidRPr="00DD1B58">
        <w:rPr>
          <w:lang w:val="en-US"/>
        </w:rPr>
        <w:t>.</w:t>
      </w:r>
    </w:p>
    <w:p w14:paraId="72274695" w14:textId="70B4D25D" w:rsidR="009E26B6" w:rsidRPr="00DD1B58" w:rsidRDefault="009E26B6" w:rsidP="009E26B6">
      <w:pPr>
        <w:rPr>
          <w:b/>
          <w:lang w:val="en-US"/>
        </w:rPr>
      </w:pPr>
      <w:r w:rsidRPr="00DD1B58">
        <w:rPr>
          <w:b/>
          <w:lang w:val="en-US"/>
        </w:rPr>
        <w:t>Passive fire protection weaknesses</w:t>
      </w:r>
    </w:p>
    <w:bookmarkEnd w:id="152"/>
    <w:p w14:paraId="67CBB30B" w14:textId="77777777" w:rsidR="00116BB3" w:rsidRPr="00DD1B58" w:rsidRDefault="00116BB3" w:rsidP="009E26B6">
      <w:pPr>
        <w:rPr>
          <w:lang w:val="en-US"/>
        </w:rPr>
      </w:pPr>
      <w:r w:rsidRPr="00DD1B58">
        <w:rPr>
          <w:lang w:val="en-US"/>
        </w:rPr>
        <w:t>No specific weaknesses regarding passive fire protection have been identified</w:t>
      </w:r>
      <w:r w:rsidR="00F66C86" w:rsidRPr="00DD1B58">
        <w:rPr>
          <w:lang w:val="en-US"/>
        </w:rPr>
        <w:t xml:space="preserve"> by the licensee</w:t>
      </w:r>
      <w:r w:rsidRPr="00DD1B58">
        <w:rPr>
          <w:lang w:val="en-US"/>
        </w:rPr>
        <w:t>.</w:t>
      </w:r>
    </w:p>
    <w:p w14:paraId="0CA0A303" w14:textId="4A3B2C21" w:rsidR="00254862" w:rsidRPr="00DD1B58" w:rsidRDefault="001D7243" w:rsidP="00177432">
      <w:pPr>
        <w:pStyle w:val="Heading5A"/>
        <w:numPr>
          <w:ilvl w:val="5"/>
          <w:numId w:val="7"/>
        </w:numPr>
        <w:rPr>
          <w:lang w:val="en-US"/>
        </w:rPr>
      </w:pPr>
      <w:r w:rsidRPr="00DD1B58">
        <w:rPr>
          <w:lang w:val="en-US"/>
        </w:rPr>
        <w:t xml:space="preserve">Lessons learned from inspection and assessment on the </w:t>
      </w:r>
      <w:r w:rsidR="005575D5" w:rsidRPr="00DD1B58">
        <w:rPr>
          <w:lang w:val="en-US"/>
        </w:rPr>
        <w:t>passive</w:t>
      </w:r>
      <w:r w:rsidRPr="00DD1B58">
        <w:rPr>
          <w:lang w:val="en-US"/>
        </w:rPr>
        <w:t xml:space="preserve"> fire protection as part of its regulatory oversight</w:t>
      </w:r>
      <w:r w:rsidR="007A7C6D" w:rsidRPr="00DD1B58">
        <w:rPr>
          <w:lang w:val="en-US"/>
        </w:rPr>
        <w:t xml:space="preserve">  </w:t>
      </w:r>
    </w:p>
    <w:p w14:paraId="099A60CB" w14:textId="76E04B52" w:rsidR="00E71263" w:rsidRPr="00DD1B58" w:rsidRDefault="00516924" w:rsidP="00E71263">
      <w:pPr>
        <w:rPr>
          <w:lang w:val="en-US"/>
        </w:rPr>
      </w:pPr>
      <w:r w:rsidRPr="00DD1B58">
        <w:rPr>
          <w:lang w:val="en-US"/>
        </w:rPr>
        <w:t>Recent ONR</w:t>
      </w:r>
      <w:r w:rsidR="00E71263" w:rsidRPr="00DD1B58">
        <w:rPr>
          <w:lang w:val="en-US"/>
        </w:rPr>
        <w:t xml:space="preserve"> fire safety inspections</w:t>
      </w:r>
      <w:r w:rsidRPr="00DD1B58">
        <w:rPr>
          <w:lang w:val="en-US"/>
        </w:rPr>
        <w:t xml:space="preserve"> at UUK Capenhurst </w:t>
      </w:r>
      <w:r w:rsidR="00E71263" w:rsidRPr="00DD1B58">
        <w:rPr>
          <w:lang w:val="en-US"/>
        </w:rPr>
        <w:t xml:space="preserve">have not identified </w:t>
      </w:r>
      <w:r w:rsidR="00AD623D" w:rsidRPr="00DD1B58">
        <w:rPr>
          <w:lang w:val="en-US"/>
        </w:rPr>
        <w:t>issues regarding passive fire protectio</w:t>
      </w:r>
      <w:r w:rsidRPr="00DD1B58">
        <w:rPr>
          <w:lang w:val="en-US"/>
        </w:rPr>
        <w:t>n at the site.</w:t>
      </w:r>
      <w:r w:rsidR="00A16AA8" w:rsidRPr="00DD1B58">
        <w:rPr>
          <w:lang w:val="en-US"/>
        </w:rPr>
        <w:t xml:space="preserve"> </w:t>
      </w:r>
      <w:r w:rsidR="00FA6F34" w:rsidRPr="00DD1B58">
        <w:rPr>
          <w:lang w:val="en-US"/>
        </w:rPr>
        <w:t xml:space="preserve">Records of fire safety inspection </w:t>
      </w:r>
      <w:r w:rsidR="00ED376E" w:rsidRPr="00DD1B58">
        <w:rPr>
          <w:lang w:val="en-US"/>
        </w:rPr>
        <w:t>may be found on the ONR website</w:t>
      </w:r>
      <w:r w:rsidR="0014052B" w:rsidRPr="00DD1B58">
        <w:rPr>
          <w:lang w:val="en-US"/>
        </w:rPr>
        <w:t>.</w:t>
      </w:r>
    </w:p>
    <w:p w14:paraId="011EDA06" w14:textId="157CDC06" w:rsidR="00427E03" w:rsidRPr="00DD1B58" w:rsidRDefault="00427E03" w:rsidP="00177432">
      <w:pPr>
        <w:pStyle w:val="Heading4A"/>
        <w:rPr>
          <w:lang w:val="en-US"/>
        </w:rPr>
      </w:pPr>
      <w:r w:rsidRPr="00DD1B58">
        <w:rPr>
          <w:lang w:val="en-US"/>
        </w:rPr>
        <w:t>Fuel Fabrication Facilities</w:t>
      </w:r>
      <w:r w:rsidR="00B229CD" w:rsidRPr="00DD1B58">
        <w:rPr>
          <w:lang w:val="en-US"/>
        </w:rPr>
        <w:t xml:space="preserve"> </w:t>
      </w:r>
      <w:r w:rsidR="00516924" w:rsidRPr="00DD1B58">
        <w:rPr>
          <w:lang w:val="en-US"/>
        </w:rPr>
        <w:t>–</w:t>
      </w:r>
      <w:r w:rsidR="00B229CD" w:rsidRPr="00DD1B58">
        <w:rPr>
          <w:lang w:val="en-US"/>
        </w:rPr>
        <w:t xml:space="preserve"> </w:t>
      </w:r>
      <w:r w:rsidR="00134292" w:rsidRPr="00DD1B58">
        <w:rPr>
          <w:lang w:val="en-US"/>
        </w:rPr>
        <w:t>Springfields Fuels Ltd</w:t>
      </w:r>
    </w:p>
    <w:p w14:paraId="179ED028" w14:textId="77777777" w:rsidR="00A34774" w:rsidRPr="00DD1B58" w:rsidRDefault="00A34774" w:rsidP="00177432">
      <w:pPr>
        <w:pStyle w:val="Heading5A"/>
        <w:rPr>
          <w:lang w:val="en-US"/>
        </w:rPr>
      </w:pPr>
      <w:bookmarkStart w:id="153" w:name="_Ref139557314"/>
      <w:r w:rsidRPr="00DD1B58">
        <w:rPr>
          <w:lang w:val="en-US"/>
        </w:rPr>
        <w:t>Prevention of fire spreading (barriers)</w:t>
      </w:r>
      <w:bookmarkEnd w:id="153"/>
    </w:p>
    <w:p w14:paraId="42A44CF1" w14:textId="77777777" w:rsidR="00427E03" w:rsidRPr="00DD1B58" w:rsidRDefault="00427E03" w:rsidP="00177432">
      <w:pPr>
        <w:pStyle w:val="Heading5A"/>
        <w:numPr>
          <w:ilvl w:val="5"/>
          <w:numId w:val="7"/>
        </w:numPr>
        <w:rPr>
          <w:lang w:val="en-US"/>
        </w:rPr>
      </w:pPr>
      <w:r w:rsidRPr="00DD1B58">
        <w:rPr>
          <w:lang w:val="en-US"/>
        </w:rPr>
        <w:t>Design Approach</w:t>
      </w:r>
    </w:p>
    <w:p w14:paraId="34288C07" w14:textId="16855016" w:rsidR="00BA1533" w:rsidRPr="00DD1B58" w:rsidRDefault="00134292" w:rsidP="00BA1533">
      <w:pPr>
        <w:rPr>
          <w:lang w:val="en-US"/>
        </w:rPr>
      </w:pPr>
      <w:r w:rsidRPr="00DD1B58">
        <w:rPr>
          <w:lang w:val="en-US"/>
        </w:rPr>
        <w:t>Springfields Fuels Ltd</w:t>
      </w:r>
      <w:r w:rsidR="00516924" w:rsidRPr="00DD1B58">
        <w:rPr>
          <w:lang w:val="en-US"/>
        </w:rPr>
        <w:t xml:space="preserve"> initially designates f</w:t>
      </w:r>
      <w:r w:rsidR="00BA1533" w:rsidRPr="00DD1B58">
        <w:rPr>
          <w:lang w:val="en-US"/>
        </w:rPr>
        <w:t xml:space="preserve">ire compartment boundaries for new builds following guidance in the Approved Document B to the England Building Regulations for life safety (maximum compartment sizes, fire service access and means of escape). Fire resistance periods will initially follow guidance given in the Approved Document B. Areas of specific high fire loading (e.g., electrical switchrooms) or potentially higher fire hazard (e.g., areas storing or using highly flammable materials) will be designated as individual fire compartments (typically 60 minutes duration unless preliminary calculations merit a higher fire resistance duration). Further compartmentation may be designated as deterministic Safety Features to protect radiological inventories from fire or to protect equipment designed to prevent a criticality incident. </w:t>
      </w:r>
      <w:r w:rsidRPr="00DD1B58">
        <w:rPr>
          <w:lang w:val="en-US"/>
        </w:rPr>
        <w:t>Springfields Fuels Ltd</w:t>
      </w:r>
      <w:r w:rsidR="00BD2A77" w:rsidRPr="00DD1B58">
        <w:rPr>
          <w:lang w:val="en-US"/>
        </w:rPr>
        <w:t xml:space="preserve"> </w:t>
      </w:r>
      <w:r w:rsidR="007376D6" w:rsidRPr="00DD1B58">
        <w:rPr>
          <w:lang w:val="en-US"/>
        </w:rPr>
        <w:t>states that</w:t>
      </w:r>
      <w:r w:rsidR="00BD2A77" w:rsidRPr="00DD1B58">
        <w:rPr>
          <w:lang w:val="en-US"/>
        </w:rPr>
        <w:t xml:space="preserve"> c</w:t>
      </w:r>
      <w:r w:rsidR="00BA1533" w:rsidRPr="00DD1B58">
        <w:rPr>
          <w:lang w:val="en-US"/>
        </w:rPr>
        <w:t>ompartmentation may be designated to separate multichannel protection systems from fire.</w:t>
      </w:r>
    </w:p>
    <w:p w14:paraId="1290C9BA" w14:textId="77777777" w:rsidR="00427E03" w:rsidRPr="00DD1B58" w:rsidRDefault="00427E03" w:rsidP="00177432">
      <w:pPr>
        <w:pStyle w:val="Heading5A"/>
        <w:numPr>
          <w:ilvl w:val="5"/>
          <w:numId w:val="7"/>
        </w:numPr>
        <w:rPr>
          <w:lang w:val="en-US"/>
        </w:rPr>
      </w:pPr>
      <w:r w:rsidRPr="00DD1B58">
        <w:rPr>
          <w:lang w:val="en-US"/>
        </w:rPr>
        <w:t>Description of fire compartments and/or cells design and key features</w:t>
      </w:r>
    </w:p>
    <w:p w14:paraId="5797AE99" w14:textId="1C16AE2A" w:rsidR="001F260B" w:rsidRPr="00DD1B58" w:rsidRDefault="00134292" w:rsidP="001F260B">
      <w:pPr>
        <w:rPr>
          <w:lang w:val="en-US"/>
        </w:rPr>
      </w:pPr>
      <w:r w:rsidRPr="00DD1B58">
        <w:rPr>
          <w:lang w:val="en-US"/>
        </w:rPr>
        <w:t>Springfields Fuels Ltd</w:t>
      </w:r>
      <w:r w:rsidR="00BD2A77" w:rsidRPr="00DD1B58">
        <w:rPr>
          <w:lang w:val="en-US"/>
        </w:rPr>
        <w:t xml:space="preserve"> provides </w:t>
      </w:r>
      <w:r w:rsidR="001F260B" w:rsidRPr="00DD1B58">
        <w:rPr>
          <w:lang w:val="en-US"/>
        </w:rPr>
        <w:t>fire protected stair</w:t>
      </w:r>
      <w:r w:rsidR="00BD2A77" w:rsidRPr="00DD1B58">
        <w:rPr>
          <w:lang w:val="en-US"/>
        </w:rPr>
        <w:t>wells in multistorey buildings</w:t>
      </w:r>
      <w:r w:rsidR="001F260B" w:rsidRPr="00DD1B58">
        <w:rPr>
          <w:lang w:val="en-US"/>
        </w:rPr>
        <w:t xml:space="preserve"> for fire service access. </w:t>
      </w:r>
      <w:r w:rsidRPr="00DD1B58">
        <w:rPr>
          <w:lang w:val="en-US"/>
        </w:rPr>
        <w:t>Springfields Fuels Ltd</w:t>
      </w:r>
      <w:r w:rsidR="0082595C" w:rsidRPr="00DD1B58">
        <w:rPr>
          <w:lang w:val="en-US"/>
        </w:rPr>
        <w:t xml:space="preserve"> </w:t>
      </w:r>
      <w:r w:rsidR="006D798B" w:rsidRPr="00DD1B58">
        <w:rPr>
          <w:lang w:val="en-US"/>
        </w:rPr>
        <w:t>reports that</w:t>
      </w:r>
      <w:r w:rsidR="0082595C" w:rsidRPr="00DD1B58">
        <w:rPr>
          <w:lang w:val="en-US"/>
        </w:rPr>
        <w:t xml:space="preserve"> w</w:t>
      </w:r>
      <w:r w:rsidR="001F260B" w:rsidRPr="00DD1B58">
        <w:rPr>
          <w:lang w:val="en-US"/>
        </w:rPr>
        <w:t>here protected stairs have not been provided</w:t>
      </w:r>
      <w:r w:rsidR="00645E17" w:rsidRPr="00DD1B58">
        <w:rPr>
          <w:lang w:val="en-US"/>
        </w:rPr>
        <w:t>,</w:t>
      </w:r>
      <w:r w:rsidR="001F260B" w:rsidRPr="00DD1B58">
        <w:rPr>
          <w:lang w:val="en-US"/>
        </w:rPr>
        <w:t xml:space="preserve"> buildings have been divided with compartmentation to allow firefighting access to one part of a specific level for fighting fire in the other part. </w:t>
      </w:r>
      <w:r w:rsidRPr="00DD1B58">
        <w:rPr>
          <w:lang w:val="en-US"/>
        </w:rPr>
        <w:t>Springfields Fuels Ltd</w:t>
      </w:r>
      <w:r w:rsidR="00645E17" w:rsidRPr="00DD1B58">
        <w:rPr>
          <w:lang w:val="en-US"/>
        </w:rPr>
        <w:t xml:space="preserve"> </w:t>
      </w:r>
      <w:r w:rsidR="006D798B" w:rsidRPr="00DD1B58">
        <w:rPr>
          <w:lang w:val="en-US"/>
        </w:rPr>
        <w:t>reports that</w:t>
      </w:r>
      <w:r w:rsidR="00645E17" w:rsidRPr="00DD1B58">
        <w:rPr>
          <w:lang w:val="en-US"/>
        </w:rPr>
        <w:t xml:space="preserve"> no </w:t>
      </w:r>
      <w:r w:rsidR="001F260B" w:rsidRPr="00DD1B58">
        <w:rPr>
          <w:lang w:val="en-US"/>
        </w:rPr>
        <w:t>specific measures are provided for running hoses through fire compartment boundaries.</w:t>
      </w:r>
    </w:p>
    <w:p w14:paraId="71120F1A" w14:textId="2D2432C9" w:rsidR="001F260B" w:rsidRPr="00DD1B58" w:rsidRDefault="00134292" w:rsidP="001F260B">
      <w:pPr>
        <w:rPr>
          <w:lang w:val="en-US"/>
        </w:rPr>
      </w:pPr>
      <w:r w:rsidRPr="00DD1B58">
        <w:rPr>
          <w:lang w:val="en-US"/>
        </w:rPr>
        <w:t>Springfields Fuels Ltd</w:t>
      </w:r>
      <w:r w:rsidR="00307778" w:rsidRPr="00DD1B58">
        <w:rPr>
          <w:lang w:val="en-US"/>
        </w:rPr>
        <w:t xml:space="preserve"> </w:t>
      </w:r>
      <w:r w:rsidR="006D798B" w:rsidRPr="00DD1B58">
        <w:rPr>
          <w:lang w:val="en-US"/>
        </w:rPr>
        <w:t>reports that</w:t>
      </w:r>
      <w:r w:rsidR="00307778" w:rsidRPr="00DD1B58">
        <w:rPr>
          <w:lang w:val="en-US"/>
        </w:rPr>
        <w:t xml:space="preserve"> there </w:t>
      </w:r>
      <w:r w:rsidR="001F260B" w:rsidRPr="00DD1B58">
        <w:rPr>
          <w:lang w:val="en-US"/>
        </w:rPr>
        <w:t>are no fire cells on the Springfields site. As such fire sterile areas</w:t>
      </w:r>
      <w:r w:rsidR="007C3F42" w:rsidRPr="00DD1B58">
        <w:rPr>
          <w:lang w:val="en-US"/>
        </w:rPr>
        <w:t>/</w:t>
      </w:r>
      <w:r w:rsidR="001F260B" w:rsidRPr="00DD1B58">
        <w:rPr>
          <w:lang w:val="en-US"/>
        </w:rPr>
        <w:t>cable wrapping is not used as part of a fire influence approach (separation by distance) to prevent fire spread.</w:t>
      </w:r>
    </w:p>
    <w:p w14:paraId="5CDA4B62" w14:textId="77777777" w:rsidR="00427E03" w:rsidRPr="00DD1B58" w:rsidRDefault="00427E03" w:rsidP="00177432">
      <w:pPr>
        <w:pStyle w:val="Heading5A"/>
        <w:numPr>
          <w:ilvl w:val="5"/>
          <w:numId w:val="7"/>
        </w:numPr>
        <w:rPr>
          <w:lang w:val="en-US"/>
        </w:rPr>
      </w:pPr>
      <w:r w:rsidRPr="00DD1B58">
        <w:rPr>
          <w:lang w:val="en-US"/>
        </w:rPr>
        <w:t>Performance assurance through lifetime</w:t>
      </w:r>
    </w:p>
    <w:p w14:paraId="3D8AE104" w14:textId="77777777" w:rsidR="00BB36E8" w:rsidRPr="00DD1B58" w:rsidRDefault="0001599C" w:rsidP="00BB36E8">
      <w:pPr>
        <w:rPr>
          <w:b/>
          <w:lang w:val="en-US"/>
        </w:rPr>
      </w:pPr>
      <w:r w:rsidRPr="00DD1B58">
        <w:rPr>
          <w:b/>
          <w:lang w:val="en-US"/>
        </w:rPr>
        <w:t>Ensuring confinement function over the lifetime of the installation</w:t>
      </w:r>
    </w:p>
    <w:p w14:paraId="294E06BC" w14:textId="75452096" w:rsidR="0001599C" w:rsidRPr="00DD1B58" w:rsidRDefault="00134292" w:rsidP="008A3889">
      <w:pPr>
        <w:rPr>
          <w:lang w:val="en-US"/>
        </w:rPr>
      </w:pPr>
      <w:r w:rsidRPr="00DD1B58">
        <w:rPr>
          <w:lang w:val="en-US"/>
        </w:rPr>
        <w:t>Springfields Fuels Ltd</w:t>
      </w:r>
      <w:r w:rsidR="00307778" w:rsidRPr="00DD1B58">
        <w:rPr>
          <w:lang w:val="en-US"/>
        </w:rPr>
        <w:t xml:space="preserve"> </w:t>
      </w:r>
      <w:r w:rsidR="006D798B" w:rsidRPr="00DD1B58">
        <w:rPr>
          <w:lang w:val="en-US"/>
        </w:rPr>
        <w:t>reports that</w:t>
      </w:r>
      <w:r w:rsidR="00307778" w:rsidRPr="00DD1B58">
        <w:rPr>
          <w:lang w:val="en-US"/>
        </w:rPr>
        <w:t xml:space="preserve">, as </w:t>
      </w:r>
      <w:r w:rsidR="008A3889" w:rsidRPr="00DD1B58">
        <w:rPr>
          <w:lang w:val="en-US"/>
        </w:rPr>
        <w:t>part of the COSR process</w:t>
      </w:r>
      <w:r w:rsidR="00307778" w:rsidRPr="00DD1B58">
        <w:rPr>
          <w:lang w:val="en-US"/>
        </w:rPr>
        <w:t>,</w:t>
      </w:r>
      <w:r w:rsidR="008A3889" w:rsidRPr="00DD1B58">
        <w:rPr>
          <w:lang w:val="en-US"/>
        </w:rPr>
        <w:t xml:space="preserve"> fire loads and the requirement for compartment boundaries </w:t>
      </w:r>
      <w:r w:rsidR="00307778" w:rsidRPr="00DD1B58">
        <w:rPr>
          <w:lang w:val="en-US"/>
        </w:rPr>
        <w:t>are</w:t>
      </w:r>
      <w:r w:rsidR="008A3889" w:rsidRPr="00DD1B58">
        <w:rPr>
          <w:lang w:val="en-US"/>
        </w:rPr>
        <w:t xml:space="preserve"> reviewed. </w:t>
      </w:r>
      <w:r w:rsidRPr="00DD1B58">
        <w:rPr>
          <w:lang w:val="en-US"/>
        </w:rPr>
        <w:t>Springfields Fuels Ltd</w:t>
      </w:r>
      <w:r w:rsidR="0096477C" w:rsidRPr="00DD1B58">
        <w:rPr>
          <w:lang w:val="en-US"/>
        </w:rPr>
        <w:t xml:space="preserve"> </w:t>
      </w:r>
      <w:r w:rsidR="006D798B" w:rsidRPr="00DD1B58">
        <w:rPr>
          <w:lang w:val="en-US"/>
        </w:rPr>
        <w:t>reports that</w:t>
      </w:r>
      <w:r w:rsidR="0096477C" w:rsidRPr="00DD1B58">
        <w:rPr>
          <w:lang w:val="en-US"/>
        </w:rPr>
        <w:t xml:space="preserve"> </w:t>
      </w:r>
      <w:r w:rsidR="008A3889" w:rsidRPr="00DD1B58">
        <w:rPr>
          <w:lang w:val="en-US"/>
        </w:rPr>
        <w:t xml:space="preserve">additional compartmentation </w:t>
      </w:r>
      <w:r w:rsidR="0096477C" w:rsidRPr="00DD1B58">
        <w:rPr>
          <w:lang w:val="en-US"/>
        </w:rPr>
        <w:t>is</w:t>
      </w:r>
      <w:r w:rsidR="008A3889" w:rsidRPr="00DD1B58">
        <w:rPr>
          <w:lang w:val="en-US"/>
        </w:rPr>
        <w:t xml:space="preserve"> designated if vulnerabilities are identified e.g., protection systems are identified that could be vulnerable to common cause failure due to fire or secondary effects. </w:t>
      </w:r>
      <w:r w:rsidRPr="00DD1B58">
        <w:rPr>
          <w:lang w:val="en-US"/>
        </w:rPr>
        <w:t>Springfields Fuels Ltd</w:t>
      </w:r>
      <w:r w:rsidR="005D1205" w:rsidRPr="00DD1B58">
        <w:rPr>
          <w:lang w:val="en-US"/>
        </w:rPr>
        <w:t xml:space="preserve"> </w:t>
      </w:r>
      <w:r w:rsidR="006D798B" w:rsidRPr="00DD1B58">
        <w:rPr>
          <w:lang w:val="en-US"/>
        </w:rPr>
        <w:t>reports that</w:t>
      </w:r>
      <w:r w:rsidR="005D1205" w:rsidRPr="00DD1B58">
        <w:rPr>
          <w:lang w:val="en-US"/>
        </w:rPr>
        <w:t>, similarly, c</w:t>
      </w:r>
      <w:r w:rsidR="008A3889" w:rsidRPr="00DD1B58">
        <w:rPr>
          <w:lang w:val="en-US"/>
        </w:rPr>
        <w:t>ompartment boundaries no longer deemed necessary e.g., due to changes in processes or changes to the fire loading may be downrated to reduce maintenance requirements.</w:t>
      </w:r>
      <w:r w:rsidR="005D1205" w:rsidRPr="00DD1B58">
        <w:rPr>
          <w:lang w:val="en-US"/>
        </w:rPr>
        <w:t xml:space="preserve"> </w:t>
      </w:r>
      <w:r w:rsidRPr="00DD1B58">
        <w:rPr>
          <w:lang w:val="en-US"/>
        </w:rPr>
        <w:t>Springfields Fuels Ltd</w:t>
      </w:r>
      <w:r w:rsidR="005D1205" w:rsidRPr="00DD1B58">
        <w:rPr>
          <w:lang w:val="en-US"/>
        </w:rPr>
        <w:t xml:space="preserve"> </w:t>
      </w:r>
      <w:r w:rsidR="007376D6" w:rsidRPr="00DD1B58">
        <w:rPr>
          <w:lang w:val="en-US"/>
        </w:rPr>
        <w:t>states that</w:t>
      </w:r>
      <w:r w:rsidR="005D1205" w:rsidRPr="00DD1B58">
        <w:rPr>
          <w:lang w:val="en-US"/>
        </w:rPr>
        <w:t xml:space="preserve"> e</w:t>
      </w:r>
      <w:r w:rsidR="008A3889" w:rsidRPr="00DD1B58">
        <w:rPr>
          <w:lang w:val="en-US"/>
        </w:rPr>
        <w:t xml:space="preserve">ach change of site activity that could result in fire/smoke spread </w:t>
      </w:r>
      <w:r w:rsidR="005D1205" w:rsidRPr="00DD1B58">
        <w:rPr>
          <w:lang w:val="en-US"/>
        </w:rPr>
        <w:t>is</w:t>
      </w:r>
      <w:r w:rsidR="008A3889" w:rsidRPr="00DD1B58">
        <w:rPr>
          <w:lang w:val="en-US"/>
        </w:rPr>
        <w:t xml:space="preserve"> assessed by the site PMP process</w:t>
      </w:r>
      <w:r w:rsidR="005D1205" w:rsidRPr="00DD1B58">
        <w:rPr>
          <w:lang w:val="en-US"/>
        </w:rPr>
        <w:t xml:space="preserve"> and that this </w:t>
      </w:r>
      <w:r w:rsidR="008A3889" w:rsidRPr="00DD1B58">
        <w:rPr>
          <w:lang w:val="en-US"/>
        </w:rPr>
        <w:t>identif</w:t>
      </w:r>
      <w:r w:rsidR="005D1205" w:rsidRPr="00DD1B58">
        <w:rPr>
          <w:lang w:val="en-US"/>
        </w:rPr>
        <w:t>ies</w:t>
      </w:r>
      <w:r w:rsidR="008A3889" w:rsidRPr="00DD1B58">
        <w:rPr>
          <w:lang w:val="en-US"/>
        </w:rPr>
        <w:t xml:space="preserve"> if permanent or temporary measures are required to mitigate the risk.</w:t>
      </w:r>
    </w:p>
    <w:p w14:paraId="31653051" w14:textId="77777777" w:rsidR="00C66121" w:rsidRPr="00DD1B58" w:rsidRDefault="00C66121" w:rsidP="008A3889">
      <w:pPr>
        <w:rPr>
          <w:b/>
          <w:bCs/>
          <w:lang w:val="en-US"/>
        </w:rPr>
      </w:pPr>
      <w:r w:rsidRPr="00DD1B58">
        <w:rPr>
          <w:b/>
          <w:bCs/>
          <w:lang w:val="en-US"/>
        </w:rPr>
        <w:t xml:space="preserve">Example of ensuring confinement </w:t>
      </w:r>
      <w:r w:rsidR="00F41312" w:rsidRPr="00DD1B58">
        <w:rPr>
          <w:b/>
          <w:bCs/>
          <w:lang w:val="en-US"/>
        </w:rPr>
        <w:t>function over the lifetime of the installation</w:t>
      </w:r>
    </w:p>
    <w:p w14:paraId="11FB5AFC" w14:textId="5BC1243E" w:rsidR="00845D26" w:rsidRPr="00DD1B58" w:rsidRDefault="00DC0F5A" w:rsidP="00845D26">
      <w:pPr>
        <w:rPr>
          <w:lang w:val="en-US"/>
        </w:rPr>
      </w:pPr>
      <w:r w:rsidRPr="00DD1B58">
        <w:rPr>
          <w:lang w:val="en-US"/>
        </w:rPr>
        <w:t>In</w:t>
      </w:r>
      <w:r w:rsidR="00845D26" w:rsidRPr="00DD1B58">
        <w:rPr>
          <w:lang w:val="en-US"/>
        </w:rPr>
        <w:t xml:space="preserve"> one of the buildings on the site</w:t>
      </w:r>
      <w:r w:rsidRPr="00DD1B58">
        <w:rPr>
          <w:lang w:val="en-US"/>
        </w:rPr>
        <w:t xml:space="preserve"> the </w:t>
      </w:r>
      <w:r w:rsidR="00845D26" w:rsidRPr="00DD1B58">
        <w:rPr>
          <w:lang w:val="en-US"/>
        </w:rPr>
        <w:t>fire compartmentation scheme was developed using a fire engineering approach based on the fire loading</w:t>
      </w:r>
      <w:r w:rsidR="00732CDD" w:rsidRPr="00DD1B58">
        <w:rPr>
          <w:lang w:val="en-US"/>
        </w:rPr>
        <w:t>, which</w:t>
      </w:r>
      <w:r w:rsidR="00845D26" w:rsidRPr="00DD1B58">
        <w:rPr>
          <w:lang w:val="en-US"/>
        </w:rPr>
        <w:t xml:space="preserve"> was assessed as being lower than that required by Building Regulations (ADB). </w:t>
      </w:r>
      <w:r w:rsidR="00134292" w:rsidRPr="00DD1B58">
        <w:rPr>
          <w:lang w:val="en-US"/>
        </w:rPr>
        <w:t>Springfields Fuels Ltd</w:t>
      </w:r>
      <w:r w:rsidR="00C43BCC" w:rsidRPr="00DD1B58">
        <w:rPr>
          <w:lang w:val="en-US"/>
        </w:rPr>
        <w:t xml:space="preserve"> considered that while </w:t>
      </w:r>
      <w:r w:rsidR="00845D26" w:rsidRPr="00DD1B58">
        <w:rPr>
          <w:lang w:val="en-US"/>
        </w:rPr>
        <w:t>this was correct in many areas, there were some rooms and areas where it was established as part of COSR reviews that the fire loading would warrant additional sub</w:t>
      </w:r>
      <w:r w:rsidR="00C43BCC" w:rsidRPr="00DD1B58">
        <w:rPr>
          <w:lang w:val="en-US"/>
        </w:rPr>
        <w:t>-</w:t>
      </w:r>
      <w:r w:rsidR="00845D26" w:rsidRPr="00DD1B58">
        <w:rPr>
          <w:lang w:val="en-US"/>
        </w:rPr>
        <w:t>fire compartmentation and structural protection.</w:t>
      </w:r>
    </w:p>
    <w:p w14:paraId="52879DF1" w14:textId="5B7F4418" w:rsidR="00845D26" w:rsidRPr="00DD1B58" w:rsidRDefault="00134292" w:rsidP="00845D26">
      <w:pPr>
        <w:rPr>
          <w:lang w:val="en-US"/>
        </w:rPr>
      </w:pPr>
      <w:r w:rsidRPr="00DD1B58">
        <w:rPr>
          <w:lang w:val="en-US"/>
        </w:rPr>
        <w:t>Springfields Fuels Ltd</w:t>
      </w:r>
      <w:r w:rsidR="00C43BCC" w:rsidRPr="00DD1B58">
        <w:rPr>
          <w:lang w:val="en-US"/>
        </w:rPr>
        <w:t xml:space="preserve"> determined that e</w:t>
      </w:r>
      <w:r w:rsidR="00845D26" w:rsidRPr="00DD1B58">
        <w:rPr>
          <w:lang w:val="en-US"/>
        </w:rPr>
        <w:t>nhanced fire compartmentation was required around the perimeter of the fire compartment containing the Central Control Room due to a stay put policy in the event of fire in any area other than the compartment containing the control room.</w:t>
      </w:r>
      <w:r w:rsidR="00C43BCC" w:rsidRPr="00DD1B58">
        <w:rPr>
          <w:lang w:val="en-US"/>
        </w:rPr>
        <w:t xml:space="preserve"> </w:t>
      </w:r>
      <w:r w:rsidR="00845D26" w:rsidRPr="00DD1B58">
        <w:rPr>
          <w:lang w:val="en-US"/>
        </w:rPr>
        <w:t>In addition, a specific area of concern post construction was an area of the facility where no true fire separation was achieved</w:t>
      </w:r>
      <w:r w:rsidR="00DB7FBD" w:rsidRPr="00DD1B58">
        <w:rPr>
          <w:lang w:val="en-US"/>
        </w:rPr>
        <w:t xml:space="preserve"> (m</w:t>
      </w:r>
      <w:r w:rsidR="00845D26" w:rsidRPr="00DD1B58">
        <w:rPr>
          <w:lang w:val="en-US"/>
        </w:rPr>
        <w:t>any of the fire compartment boundaries were a steel partition system</w:t>
      </w:r>
      <w:r w:rsidR="00DB7FBD" w:rsidRPr="00DD1B58">
        <w:rPr>
          <w:lang w:val="en-US"/>
        </w:rPr>
        <w:t>)</w:t>
      </w:r>
      <w:r w:rsidR="00845D26" w:rsidRPr="00DD1B58">
        <w:rPr>
          <w:lang w:val="en-US"/>
        </w:rPr>
        <w:t xml:space="preserve">. </w:t>
      </w:r>
      <w:r w:rsidRPr="00DD1B58">
        <w:rPr>
          <w:lang w:val="en-US"/>
        </w:rPr>
        <w:t>Springfields Fuels Ltd</w:t>
      </w:r>
      <w:r w:rsidR="00DB7FBD" w:rsidRPr="00DD1B58">
        <w:rPr>
          <w:lang w:val="en-US"/>
        </w:rPr>
        <w:t xml:space="preserve"> </w:t>
      </w:r>
      <w:r w:rsidR="00845D26" w:rsidRPr="00DD1B58">
        <w:rPr>
          <w:lang w:val="en-US"/>
        </w:rPr>
        <w:t xml:space="preserve">tested </w:t>
      </w:r>
      <w:r w:rsidR="00DB7FBD" w:rsidRPr="00DD1B58">
        <w:rPr>
          <w:lang w:val="en-US"/>
        </w:rPr>
        <w:t xml:space="preserve">the systems </w:t>
      </w:r>
      <w:r w:rsidR="00845D26" w:rsidRPr="00DD1B58">
        <w:rPr>
          <w:lang w:val="en-US"/>
        </w:rPr>
        <w:t xml:space="preserve">and achieved a fire resistance of 71 minutes </w:t>
      </w:r>
      <w:r w:rsidR="00DB7FBD" w:rsidRPr="00DD1B58">
        <w:rPr>
          <w:lang w:val="en-US"/>
        </w:rPr>
        <w:t>(</w:t>
      </w:r>
      <w:r w:rsidR="00845D26" w:rsidRPr="00DD1B58">
        <w:rPr>
          <w:lang w:val="en-US"/>
        </w:rPr>
        <w:t>integrity</w:t>
      </w:r>
      <w:r w:rsidR="00DB7FBD" w:rsidRPr="00DD1B58">
        <w:rPr>
          <w:lang w:val="en-US"/>
        </w:rPr>
        <w:t>)</w:t>
      </w:r>
      <w:r w:rsidR="00845D26" w:rsidRPr="00DD1B58">
        <w:rPr>
          <w:lang w:val="en-US"/>
        </w:rPr>
        <w:t xml:space="preserve"> and 12 minutes </w:t>
      </w:r>
      <w:r w:rsidR="00DB7FBD" w:rsidRPr="00DD1B58">
        <w:rPr>
          <w:lang w:val="en-US"/>
        </w:rPr>
        <w:t>(</w:t>
      </w:r>
      <w:r w:rsidR="00845D26" w:rsidRPr="00DD1B58">
        <w:rPr>
          <w:lang w:val="en-US"/>
        </w:rPr>
        <w:t>insulation</w:t>
      </w:r>
      <w:r w:rsidR="00DB7FBD" w:rsidRPr="00DD1B58">
        <w:rPr>
          <w:lang w:val="en-US"/>
        </w:rPr>
        <w:t>)</w:t>
      </w:r>
      <w:r w:rsidR="00845D26" w:rsidRPr="00DD1B58">
        <w:rPr>
          <w:lang w:val="en-US"/>
        </w:rPr>
        <w:t>.</w:t>
      </w:r>
    </w:p>
    <w:p w14:paraId="37C30C87" w14:textId="231F9953" w:rsidR="00845D26" w:rsidRPr="00DD1B58" w:rsidRDefault="00134292" w:rsidP="00845D26">
      <w:pPr>
        <w:rPr>
          <w:lang w:val="en-US"/>
        </w:rPr>
      </w:pPr>
      <w:r w:rsidRPr="00DD1B58">
        <w:rPr>
          <w:lang w:val="en-US"/>
        </w:rPr>
        <w:t>Springfields Fuels Ltd</w:t>
      </w:r>
      <w:r w:rsidR="00DB7FBD" w:rsidRPr="00DD1B58">
        <w:rPr>
          <w:lang w:val="en-US"/>
        </w:rPr>
        <w:t xml:space="preserve">’s </w:t>
      </w:r>
      <w:r w:rsidR="00845D26" w:rsidRPr="00DD1B58">
        <w:rPr>
          <w:lang w:val="en-US"/>
        </w:rPr>
        <w:t>approach adopted for fire safety improvements was to provide notional fire separation between two sides of the building, creating a true alternative escape for occupants</w:t>
      </w:r>
      <w:r w:rsidR="00E67B92" w:rsidRPr="00DD1B58">
        <w:rPr>
          <w:lang w:val="en-US"/>
        </w:rPr>
        <w:t>; f</w:t>
      </w:r>
      <w:r w:rsidR="00845D26" w:rsidRPr="00DD1B58">
        <w:rPr>
          <w:lang w:val="en-US"/>
        </w:rPr>
        <w:t>ire compartmentation was re-designated to achieve this divide</w:t>
      </w:r>
      <w:r w:rsidR="00E67B92" w:rsidRPr="00DD1B58">
        <w:rPr>
          <w:lang w:val="en-US"/>
        </w:rPr>
        <w:t xml:space="preserve">, and </w:t>
      </w:r>
      <w:r w:rsidR="00845D26" w:rsidRPr="00DD1B58">
        <w:rPr>
          <w:lang w:val="en-US"/>
        </w:rPr>
        <w:t>lso fire compartmentation between some of the main facilities was upgraded to further complete fire boundaries.</w:t>
      </w:r>
    </w:p>
    <w:p w14:paraId="50C4790C" w14:textId="78000B8E" w:rsidR="00845D26" w:rsidRPr="00DD1B58" w:rsidRDefault="00134292" w:rsidP="00845D26">
      <w:pPr>
        <w:rPr>
          <w:lang w:val="en-US"/>
        </w:rPr>
      </w:pPr>
      <w:r w:rsidRPr="00DD1B58">
        <w:rPr>
          <w:lang w:val="en-US"/>
        </w:rPr>
        <w:t>Springfields Fuels Ltd</w:t>
      </w:r>
      <w:r w:rsidR="009B4D7E" w:rsidRPr="00DD1B58">
        <w:rPr>
          <w:lang w:val="en-US"/>
        </w:rPr>
        <w:t xml:space="preserve"> report</w:t>
      </w:r>
      <w:r w:rsidR="00600B1E" w:rsidRPr="00DD1B58">
        <w:rPr>
          <w:lang w:val="en-US"/>
        </w:rPr>
        <w:t>s</w:t>
      </w:r>
      <w:r w:rsidR="009B4D7E" w:rsidRPr="00DD1B58">
        <w:rPr>
          <w:lang w:val="en-US"/>
        </w:rPr>
        <w:t xml:space="preserve"> the </w:t>
      </w:r>
      <w:r w:rsidR="00845D26" w:rsidRPr="00DD1B58">
        <w:rPr>
          <w:lang w:val="en-US"/>
        </w:rPr>
        <w:t>following measures taken in 2001:</w:t>
      </w:r>
    </w:p>
    <w:p w14:paraId="1C64B1AE" w14:textId="77777777" w:rsidR="00845D26" w:rsidRPr="00DD1B58" w:rsidRDefault="00845D26" w:rsidP="00845D26">
      <w:pPr>
        <w:pStyle w:val="Bulletlist1"/>
        <w:rPr>
          <w:lang w:val="en-US"/>
        </w:rPr>
      </w:pPr>
      <w:r w:rsidRPr="00DD1B58">
        <w:rPr>
          <w:lang w:val="en-US"/>
        </w:rPr>
        <w:t>New partitioning was provided to give a notional 30-minute fire resistance.</w:t>
      </w:r>
    </w:p>
    <w:p w14:paraId="5E011E66" w14:textId="77777777" w:rsidR="00845D26" w:rsidRPr="00DD1B58" w:rsidRDefault="00845D26" w:rsidP="00845D26">
      <w:pPr>
        <w:pStyle w:val="Bulletlist1"/>
        <w:rPr>
          <w:lang w:val="en-US"/>
        </w:rPr>
      </w:pPr>
      <w:r w:rsidRPr="00DD1B58">
        <w:rPr>
          <w:lang w:val="en-US"/>
        </w:rPr>
        <w:t>On all fire boundaries where there was glazing, it was upgraded to the fire resistance of the boundary.</w:t>
      </w:r>
    </w:p>
    <w:p w14:paraId="6BF8261D" w14:textId="435CDFAE" w:rsidR="00F41312" w:rsidRPr="00DD1B58" w:rsidRDefault="00134292" w:rsidP="00845D26">
      <w:pPr>
        <w:rPr>
          <w:lang w:val="en-US"/>
        </w:rPr>
      </w:pPr>
      <w:r w:rsidRPr="00DD1B58">
        <w:rPr>
          <w:lang w:val="en-US"/>
        </w:rPr>
        <w:t>Springfields Fuels Ltd</w:t>
      </w:r>
      <w:r w:rsidR="009B4D7E" w:rsidRPr="00DD1B58">
        <w:rPr>
          <w:lang w:val="en-US"/>
        </w:rPr>
        <w:t xml:space="preserve"> reports that the </w:t>
      </w:r>
      <w:r w:rsidR="00845D26" w:rsidRPr="00DD1B58">
        <w:rPr>
          <w:lang w:val="en-US"/>
        </w:rPr>
        <w:t xml:space="preserve">fire compartmentation scheme was completely reviewed in 2020. Due to uncertainties over the fire resistance of the partitions used throughout the building all partitions were designated a notional 30-minute fire resistance and fire drawings were </w:t>
      </w:r>
      <w:r w:rsidR="00674033" w:rsidRPr="00DD1B58">
        <w:rPr>
          <w:lang w:val="en-US"/>
        </w:rPr>
        <w:t>updated</w:t>
      </w:r>
      <w:r w:rsidR="00845D26" w:rsidRPr="00DD1B58">
        <w:rPr>
          <w:lang w:val="en-US"/>
        </w:rPr>
        <w:t>.</w:t>
      </w:r>
    </w:p>
    <w:p w14:paraId="29DB186E" w14:textId="77777777" w:rsidR="00E2639F" w:rsidRPr="00DD1B58" w:rsidRDefault="00C31340" w:rsidP="00845D26">
      <w:pPr>
        <w:rPr>
          <w:b/>
          <w:lang w:val="en-US"/>
        </w:rPr>
      </w:pPr>
      <w:r w:rsidRPr="00DD1B58">
        <w:rPr>
          <w:b/>
          <w:lang w:val="en-US"/>
        </w:rPr>
        <w:t>Approach to Fire Barrier Performance</w:t>
      </w:r>
    </w:p>
    <w:p w14:paraId="5544EB08" w14:textId="34C84A89" w:rsidR="00423440" w:rsidRPr="00DD1B58" w:rsidRDefault="00134292" w:rsidP="00423440">
      <w:pPr>
        <w:rPr>
          <w:lang w:val="en-US"/>
        </w:rPr>
      </w:pPr>
      <w:r w:rsidRPr="00DD1B58">
        <w:rPr>
          <w:lang w:val="en-US"/>
        </w:rPr>
        <w:t>Springfields Fuels Ltd</w:t>
      </w:r>
      <w:r w:rsidR="009B6F2A" w:rsidRPr="00DD1B58">
        <w:rPr>
          <w:lang w:val="en-US"/>
        </w:rPr>
        <w:t xml:space="preserve"> uses t</w:t>
      </w:r>
      <w:r w:rsidR="00423440" w:rsidRPr="00DD1B58">
        <w:rPr>
          <w:lang w:val="en-US"/>
        </w:rPr>
        <w:t xml:space="preserve">he results of fire loading studies to confirm that the fire resistance (integrity, insulation and load bearing capacity) of the fire compartment boundaries (integrity and insulation) or main structural members (load bearing capacity) is below the calculated fire load density. </w:t>
      </w:r>
      <w:r w:rsidRPr="00DD1B58">
        <w:rPr>
          <w:lang w:val="en-US"/>
        </w:rPr>
        <w:t>Springfields Fuels Ltd</w:t>
      </w:r>
      <w:r w:rsidR="009B6F2A" w:rsidRPr="00DD1B58">
        <w:rPr>
          <w:lang w:val="en-US"/>
        </w:rPr>
        <w:t xml:space="preserve"> </w:t>
      </w:r>
      <w:r w:rsidR="006D798B" w:rsidRPr="00DD1B58">
        <w:rPr>
          <w:lang w:val="en-US"/>
        </w:rPr>
        <w:t>reports that</w:t>
      </w:r>
      <w:r w:rsidR="009B6F2A" w:rsidRPr="00DD1B58">
        <w:rPr>
          <w:lang w:val="en-US"/>
        </w:rPr>
        <w:t xml:space="preserve"> i</w:t>
      </w:r>
      <w:r w:rsidR="00423440" w:rsidRPr="00DD1B58">
        <w:rPr>
          <w:lang w:val="en-US"/>
        </w:rPr>
        <w:t>f fire loads are found to exceed the designated fire resistance</w:t>
      </w:r>
      <w:r w:rsidR="009B6F2A" w:rsidRPr="00DD1B58">
        <w:rPr>
          <w:lang w:val="en-US"/>
        </w:rPr>
        <w:t>,</w:t>
      </w:r>
      <w:r w:rsidR="00423440" w:rsidRPr="00DD1B58">
        <w:rPr>
          <w:lang w:val="en-US"/>
        </w:rPr>
        <w:t xml:space="preserve"> </w:t>
      </w:r>
      <w:r w:rsidR="009B6F2A" w:rsidRPr="00DD1B58">
        <w:rPr>
          <w:lang w:val="en-US"/>
        </w:rPr>
        <w:t xml:space="preserve">it typically reduces the </w:t>
      </w:r>
      <w:r w:rsidR="00423440" w:rsidRPr="00DD1B58">
        <w:rPr>
          <w:lang w:val="en-US"/>
        </w:rPr>
        <w:t>fire loading or</w:t>
      </w:r>
      <w:r w:rsidR="009B6F2A" w:rsidRPr="00DD1B58">
        <w:rPr>
          <w:lang w:val="en-US"/>
        </w:rPr>
        <w:t>,</w:t>
      </w:r>
      <w:r w:rsidR="00423440" w:rsidRPr="00DD1B58">
        <w:rPr>
          <w:lang w:val="en-US"/>
        </w:rPr>
        <w:t xml:space="preserve"> if this is not practicable</w:t>
      </w:r>
      <w:r w:rsidR="009B6F2A" w:rsidRPr="00DD1B58">
        <w:rPr>
          <w:lang w:val="en-US"/>
        </w:rPr>
        <w:t>,</w:t>
      </w:r>
      <w:r w:rsidR="00423440" w:rsidRPr="00DD1B58">
        <w:rPr>
          <w:lang w:val="en-US"/>
        </w:rPr>
        <w:t xml:space="preserve"> </w:t>
      </w:r>
      <w:r w:rsidR="009B6F2A" w:rsidRPr="00DD1B58">
        <w:rPr>
          <w:lang w:val="en-US"/>
        </w:rPr>
        <w:t>applies e</w:t>
      </w:r>
      <w:r w:rsidR="00423440" w:rsidRPr="00DD1B58">
        <w:rPr>
          <w:lang w:val="en-US"/>
        </w:rPr>
        <w:t>nhancements to structural protection.</w:t>
      </w:r>
    </w:p>
    <w:p w14:paraId="4FF97F27" w14:textId="02E03EAB" w:rsidR="00423440" w:rsidRPr="00DD1B58" w:rsidRDefault="00134292" w:rsidP="00423440">
      <w:pPr>
        <w:rPr>
          <w:lang w:val="en-US"/>
        </w:rPr>
      </w:pPr>
      <w:r w:rsidRPr="00DD1B58">
        <w:rPr>
          <w:lang w:val="en-US"/>
        </w:rPr>
        <w:t>Springfields Fuels Ltd</w:t>
      </w:r>
      <w:r w:rsidR="009B6F2A" w:rsidRPr="00DD1B58">
        <w:rPr>
          <w:lang w:val="en-US"/>
        </w:rPr>
        <w:t xml:space="preserve"> </w:t>
      </w:r>
      <w:r w:rsidR="007376D6" w:rsidRPr="00DD1B58">
        <w:rPr>
          <w:lang w:val="en-US"/>
        </w:rPr>
        <w:t>states that</w:t>
      </w:r>
      <w:r w:rsidR="009B6F2A" w:rsidRPr="00DD1B58">
        <w:rPr>
          <w:lang w:val="en-US"/>
        </w:rPr>
        <w:t xml:space="preserve"> a</w:t>
      </w:r>
      <w:r w:rsidR="00423440" w:rsidRPr="00DD1B58">
        <w:rPr>
          <w:lang w:val="en-US"/>
        </w:rPr>
        <w:t xml:space="preserve">ll penetrations are sealed typically using intumescent coated mineral wool batts and intumescent sealants. </w:t>
      </w:r>
      <w:r w:rsidRPr="00DD1B58">
        <w:rPr>
          <w:lang w:val="en-US"/>
        </w:rPr>
        <w:t>Springfields Fuels Ltd</w:t>
      </w:r>
      <w:r w:rsidR="009B6F2A" w:rsidRPr="00DD1B58">
        <w:rPr>
          <w:lang w:val="en-US"/>
        </w:rPr>
        <w:t xml:space="preserve"> prohibits the use of e</w:t>
      </w:r>
      <w:r w:rsidR="00423440" w:rsidRPr="00DD1B58">
        <w:rPr>
          <w:lang w:val="en-US"/>
        </w:rPr>
        <w:t>xpanded foam sealants in penetration sealing.</w:t>
      </w:r>
      <w:r w:rsidR="00E210BC" w:rsidRPr="00DD1B58">
        <w:rPr>
          <w:lang w:val="en-US"/>
        </w:rPr>
        <w:t xml:space="preserve"> </w:t>
      </w:r>
      <w:r w:rsidR="00423440" w:rsidRPr="00DD1B58">
        <w:rPr>
          <w:lang w:val="en-US"/>
        </w:rPr>
        <w:t>Third</w:t>
      </w:r>
      <w:r w:rsidR="009B6F2A" w:rsidRPr="00DD1B58">
        <w:rPr>
          <w:lang w:val="en-US"/>
        </w:rPr>
        <w:t>-</w:t>
      </w:r>
      <w:r w:rsidR="00423440" w:rsidRPr="00DD1B58">
        <w:rPr>
          <w:lang w:val="en-US"/>
        </w:rPr>
        <w:t>party accreditation of installers of both passive and active fire protection systems, materials and products is a mandatory site requirement.</w:t>
      </w:r>
    </w:p>
    <w:p w14:paraId="74F44A84" w14:textId="6FD0D1E0" w:rsidR="00C31340" w:rsidRPr="00DD1B58" w:rsidRDefault="00134292" w:rsidP="00423440">
      <w:pPr>
        <w:rPr>
          <w:lang w:val="en-US"/>
        </w:rPr>
      </w:pPr>
      <w:r w:rsidRPr="00DD1B58">
        <w:rPr>
          <w:lang w:val="en-US"/>
        </w:rPr>
        <w:t>Springfields Fuels Ltd</w:t>
      </w:r>
      <w:r w:rsidR="009B6F2A" w:rsidRPr="00DD1B58">
        <w:rPr>
          <w:lang w:val="en-US"/>
        </w:rPr>
        <w:t xml:space="preserve"> </w:t>
      </w:r>
      <w:r w:rsidR="006D798B" w:rsidRPr="00DD1B58">
        <w:rPr>
          <w:lang w:val="en-US"/>
        </w:rPr>
        <w:t>reports that</w:t>
      </w:r>
      <w:r w:rsidR="009B6F2A" w:rsidRPr="00DD1B58">
        <w:rPr>
          <w:lang w:val="en-US"/>
        </w:rPr>
        <w:t xml:space="preserve"> a</w:t>
      </w:r>
      <w:r w:rsidR="00423440" w:rsidRPr="00DD1B58">
        <w:rPr>
          <w:lang w:val="en-US"/>
        </w:rPr>
        <w:t>ll fire doors are inspected on an annual basis with a report produced &amp; all remedial works carried out are completed be third party accredited fire door Installers.</w:t>
      </w:r>
      <w:r w:rsidR="007107C8" w:rsidRPr="00DD1B58">
        <w:rPr>
          <w:lang w:val="en-US"/>
        </w:rPr>
        <w:t xml:space="preserve"> </w:t>
      </w:r>
      <w:r w:rsidR="00423440" w:rsidRPr="00DD1B58">
        <w:rPr>
          <w:lang w:val="en-US"/>
        </w:rPr>
        <w:t>Relevant third-party accreditation &amp; certification schemes in relation to the above fire safety products and services which are recognised as acceptable to Springfields Fuels Ltd, include: LPCB, FIRAS, BAFE, BWF Certifire scheme, BM TRADA Q-Mark scheme.</w:t>
      </w:r>
    </w:p>
    <w:p w14:paraId="5ADBB2D9" w14:textId="77777777" w:rsidR="00427E03" w:rsidRPr="00DD1B58" w:rsidRDefault="00427E03" w:rsidP="00177432">
      <w:pPr>
        <w:pStyle w:val="Heading5A"/>
        <w:rPr>
          <w:lang w:val="en-US"/>
        </w:rPr>
      </w:pPr>
      <w:r w:rsidRPr="00DD1B58">
        <w:rPr>
          <w:lang w:val="en-US"/>
        </w:rPr>
        <w:t>Ventilation systems</w:t>
      </w:r>
    </w:p>
    <w:p w14:paraId="39690347" w14:textId="77777777" w:rsidR="00427E03" w:rsidRPr="00DD1B58" w:rsidRDefault="00427E03" w:rsidP="00177432">
      <w:pPr>
        <w:pStyle w:val="Heading5A"/>
        <w:numPr>
          <w:ilvl w:val="5"/>
          <w:numId w:val="7"/>
        </w:numPr>
        <w:rPr>
          <w:lang w:val="en-US"/>
        </w:rPr>
      </w:pPr>
      <w:r w:rsidRPr="00DD1B58">
        <w:rPr>
          <w:lang w:val="en-US"/>
        </w:rPr>
        <w:t>Ventilation system design: segregation and isolation provisions (as applicable)</w:t>
      </w:r>
    </w:p>
    <w:p w14:paraId="0CAF8979" w14:textId="39108194" w:rsidR="00E31CE6" w:rsidRPr="00DD1B58" w:rsidRDefault="00134292" w:rsidP="0086795B">
      <w:pPr>
        <w:rPr>
          <w:lang w:val="en-US"/>
        </w:rPr>
      </w:pPr>
      <w:r w:rsidRPr="00DD1B58">
        <w:rPr>
          <w:lang w:val="en-US"/>
        </w:rPr>
        <w:t>Springfields Fuels Ltd</w:t>
      </w:r>
      <w:r w:rsidR="00E31CE6" w:rsidRPr="00DD1B58">
        <w:rPr>
          <w:lang w:val="en-US"/>
        </w:rPr>
        <w:t xml:space="preserve"> report</w:t>
      </w:r>
      <w:r w:rsidR="00600B1E" w:rsidRPr="00DD1B58">
        <w:rPr>
          <w:lang w:val="en-US"/>
        </w:rPr>
        <w:t>s</w:t>
      </w:r>
      <w:r w:rsidR="00E31CE6" w:rsidRPr="00DD1B58">
        <w:rPr>
          <w:lang w:val="en-US"/>
        </w:rPr>
        <w:t xml:space="preserve"> the following approaches to ventilation system design for segregation and isolation</w:t>
      </w:r>
      <w:r w:rsidR="00600B1E" w:rsidRPr="00DD1B58">
        <w:rPr>
          <w:lang w:val="en-US"/>
        </w:rPr>
        <w:t>:</w:t>
      </w:r>
    </w:p>
    <w:p w14:paraId="45398FCB" w14:textId="77777777" w:rsidR="0086795B" w:rsidRPr="00DD1B58" w:rsidRDefault="0086795B" w:rsidP="00973FF4">
      <w:pPr>
        <w:pStyle w:val="Bulletlist1"/>
        <w:rPr>
          <w:lang w:val="en-US"/>
        </w:rPr>
      </w:pPr>
      <w:r w:rsidRPr="00DD1B58">
        <w:rPr>
          <w:lang w:val="en-US"/>
        </w:rPr>
        <w:t>In accordance with Design Guide ES_0_1738, Section 19 a building will be divided into Fire Zones based on the requirements for Conventional Fire Safety. In addition, a Radiological Fire Safety assessment may lead to the allocation of additional fire zones or an increase in rating of a fire zone. Typically, radiologically controlled areas are separated from non-radiologically controlled areas by fire compartment boundaries. Fire compartmentation may also be used to protect areas such as source stores or areas containing safe by geometry equipment (slab tanks, racking, etc.) that require protection from an external fire.</w:t>
      </w:r>
    </w:p>
    <w:p w14:paraId="4C4E385C" w14:textId="77777777" w:rsidR="001B2C88" w:rsidRPr="00DD1B58" w:rsidRDefault="0086795B" w:rsidP="00973FF4">
      <w:pPr>
        <w:pStyle w:val="Bulletlist1"/>
        <w:rPr>
          <w:lang w:val="en-US"/>
        </w:rPr>
      </w:pPr>
      <w:r w:rsidRPr="00DD1B58">
        <w:rPr>
          <w:lang w:val="en-US"/>
        </w:rPr>
        <w:t>The period of fire resistance for designated fire resisting walls and floors is typically 30 minutes or one hour to BS 476 Part 22 for conventional fire safety and one hour for radiological safety. Exceptionally two hours to BS 476 part 22 may be designed based on the calculated fire load.</w:t>
      </w:r>
      <w:r w:rsidR="00631D1E" w:rsidRPr="00DD1B58">
        <w:rPr>
          <w:lang w:val="en-US"/>
        </w:rPr>
        <w:t xml:space="preserve"> </w:t>
      </w:r>
    </w:p>
    <w:p w14:paraId="6FD5048D" w14:textId="77777777" w:rsidR="007D7EB3" w:rsidRPr="00DD1B58" w:rsidRDefault="0086795B" w:rsidP="00973FF4">
      <w:pPr>
        <w:pStyle w:val="Bulletlist1"/>
        <w:rPr>
          <w:lang w:val="en-US"/>
        </w:rPr>
      </w:pPr>
      <w:r w:rsidRPr="00DD1B58">
        <w:rPr>
          <w:lang w:val="en-US"/>
        </w:rPr>
        <w:t>Ventilation systems are designed to keep the size and number of penetrations in these fire barriers to a minimum.</w:t>
      </w:r>
      <w:r w:rsidR="001B2C88" w:rsidRPr="00DD1B58">
        <w:rPr>
          <w:lang w:val="en-US"/>
        </w:rPr>
        <w:t xml:space="preserve"> </w:t>
      </w:r>
      <w:r w:rsidRPr="00DD1B58">
        <w:rPr>
          <w:lang w:val="en-US"/>
        </w:rPr>
        <w:t>In accordance with Design Guide ES_0_1738, Section 19 where ductwork passes through a fire compartment zone boundary (fire barrier), then a fire damper is fitted where it penetrates that fire barrier. The damper will have at least the same level of fire resistance as that required by the barrier through which the system passes. If the ductwork passes through a fire zone, but the duct has no opening into it, then as an alternative</w:t>
      </w:r>
      <w:r w:rsidR="007D7EB3" w:rsidRPr="00DD1B58">
        <w:rPr>
          <w:lang w:val="en-US"/>
        </w:rPr>
        <w:t xml:space="preserve"> the ductwork can be fire rated obviating the requirement for a fire damper on one of the fire boundaries. In areas where there are low fire loads steel ductwork has been left unprotected. This typically occurs in older buildings where no fire protection was provided to the ductwork and as part of the COSR review further consideration was given to the unprotected ductwork typically by calculating the fire loading in the area where the unprotected duct passes through.</w:t>
      </w:r>
    </w:p>
    <w:p w14:paraId="5A1C7AF9" w14:textId="77777777" w:rsidR="007D7EB3" w:rsidRPr="00DD1B58" w:rsidRDefault="007D7EB3" w:rsidP="007D7EB3">
      <w:pPr>
        <w:rPr>
          <w:b/>
          <w:bCs/>
          <w:lang w:val="en-US"/>
        </w:rPr>
      </w:pPr>
      <w:r w:rsidRPr="00DD1B58">
        <w:rPr>
          <w:b/>
          <w:bCs/>
          <w:lang w:val="en-US"/>
        </w:rPr>
        <w:t>Example of how ventilation systems are arranged/designed so as not to compromise integrity of fire compartment lines.</w:t>
      </w:r>
    </w:p>
    <w:p w14:paraId="11A69613" w14:textId="4947D744" w:rsidR="007D7EB3" w:rsidRPr="00DD1B58" w:rsidRDefault="007D7EB3" w:rsidP="007D7EB3">
      <w:pPr>
        <w:rPr>
          <w:lang w:val="en-US"/>
        </w:rPr>
      </w:pPr>
      <w:r w:rsidRPr="00DD1B58">
        <w:rPr>
          <w:lang w:val="en-US"/>
        </w:rPr>
        <w:t xml:space="preserve">As an example, </w:t>
      </w:r>
      <w:r w:rsidR="00134292" w:rsidRPr="00DD1B58">
        <w:rPr>
          <w:lang w:val="en-US"/>
        </w:rPr>
        <w:t>Springfields Fuels Ltd</w:t>
      </w:r>
      <w:r w:rsidR="00AB5134" w:rsidRPr="00DD1B58">
        <w:rPr>
          <w:lang w:val="en-US"/>
        </w:rPr>
        <w:t xml:space="preserve"> </w:t>
      </w:r>
      <w:r w:rsidR="006D798B" w:rsidRPr="00DD1B58">
        <w:rPr>
          <w:lang w:val="en-US"/>
        </w:rPr>
        <w:t>reports that</w:t>
      </w:r>
      <w:r w:rsidR="00AB5134" w:rsidRPr="00DD1B58">
        <w:rPr>
          <w:lang w:val="en-US"/>
        </w:rPr>
        <w:t xml:space="preserve"> a</w:t>
      </w:r>
      <w:r w:rsidRPr="00DD1B58">
        <w:rPr>
          <w:lang w:val="en-US"/>
        </w:rPr>
        <w:t xml:space="preserve"> review of a building identified that in many cases reliance would need to be placed on fire boundaries for compartment-to-compartment escape. As such the boundaries required to resist smoke as well as fire</w:t>
      </w:r>
      <w:r w:rsidR="0079573A" w:rsidRPr="00DD1B58">
        <w:rPr>
          <w:lang w:val="en-US"/>
        </w:rPr>
        <w:t>,</w:t>
      </w:r>
      <w:r w:rsidRPr="00DD1B58">
        <w:rPr>
          <w:lang w:val="en-US"/>
        </w:rPr>
        <w:t xml:space="preserve"> and any dampers in the ductwork that linked either side of these boundaries and that could spread smoke from one side to the other required to be fire/smoke dampers operated by the detection system.</w:t>
      </w:r>
    </w:p>
    <w:p w14:paraId="3ED814CB" w14:textId="5F490F26" w:rsidR="007D7EB3" w:rsidRPr="00DD1B58" w:rsidRDefault="00134292" w:rsidP="007D7EB3">
      <w:pPr>
        <w:rPr>
          <w:lang w:val="en-US"/>
        </w:rPr>
      </w:pPr>
      <w:r w:rsidRPr="00DD1B58">
        <w:rPr>
          <w:lang w:val="en-US"/>
        </w:rPr>
        <w:t>Springfields Fuels Ltd</w:t>
      </w:r>
      <w:r w:rsidR="0079573A" w:rsidRPr="00DD1B58">
        <w:rPr>
          <w:lang w:val="en-US"/>
        </w:rPr>
        <w:t xml:space="preserve"> carrie</w:t>
      </w:r>
      <w:r w:rsidR="00BA5BF2" w:rsidRPr="00DD1B58">
        <w:rPr>
          <w:lang w:val="en-US"/>
        </w:rPr>
        <w:t>d</w:t>
      </w:r>
      <w:r w:rsidR="0079573A" w:rsidRPr="00DD1B58">
        <w:rPr>
          <w:lang w:val="en-US"/>
        </w:rPr>
        <w:t xml:space="preserve"> out upgrades </w:t>
      </w:r>
      <w:r w:rsidR="007D7EB3" w:rsidRPr="00DD1B58">
        <w:rPr>
          <w:lang w:val="en-US"/>
        </w:rPr>
        <w:t xml:space="preserve">to the ventilation system </w:t>
      </w:r>
      <w:r w:rsidR="0079573A" w:rsidRPr="00DD1B58">
        <w:rPr>
          <w:lang w:val="en-US"/>
        </w:rPr>
        <w:t>early in the life o</w:t>
      </w:r>
      <w:r w:rsidR="005F7245" w:rsidRPr="00DD1B58">
        <w:rPr>
          <w:lang w:val="en-US"/>
        </w:rPr>
        <w:t>f</w:t>
      </w:r>
      <w:r w:rsidR="0079573A" w:rsidRPr="00DD1B58">
        <w:rPr>
          <w:lang w:val="en-US"/>
        </w:rPr>
        <w:t xml:space="preserve"> the plant. These included </w:t>
      </w:r>
      <w:r w:rsidR="007D7EB3" w:rsidRPr="00DD1B58">
        <w:rPr>
          <w:lang w:val="en-US"/>
        </w:rPr>
        <w:t xml:space="preserve">the addition of fire dampers fitted at strategic locations to prevent smoke spread from one side of the facility to the other. </w:t>
      </w:r>
      <w:r w:rsidRPr="00DD1B58">
        <w:rPr>
          <w:lang w:val="en-US"/>
        </w:rPr>
        <w:t>Springfields Fuels Ltd</w:t>
      </w:r>
      <w:r w:rsidR="0079573A" w:rsidRPr="00DD1B58">
        <w:rPr>
          <w:lang w:val="en-US"/>
        </w:rPr>
        <w:t xml:space="preserve"> </w:t>
      </w:r>
      <w:r w:rsidR="006D798B" w:rsidRPr="00DD1B58">
        <w:rPr>
          <w:lang w:val="en-US"/>
        </w:rPr>
        <w:t>reports that</w:t>
      </w:r>
      <w:r w:rsidR="0079573A" w:rsidRPr="00DD1B58">
        <w:rPr>
          <w:lang w:val="en-US"/>
        </w:rPr>
        <w:t xml:space="preserve"> the </w:t>
      </w:r>
      <w:r w:rsidR="007D7EB3" w:rsidRPr="00DD1B58">
        <w:rPr>
          <w:lang w:val="en-US"/>
        </w:rPr>
        <w:t xml:space="preserve">ductwork was left unprotected as the principal requirement was for preventing smoke spread. </w:t>
      </w:r>
      <w:r w:rsidRPr="00DD1B58">
        <w:rPr>
          <w:lang w:val="en-US"/>
        </w:rPr>
        <w:t>Springfields Fuels Ltd</w:t>
      </w:r>
      <w:r w:rsidR="00C96464" w:rsidRPr="00DD1B58">
        <w:rPr>
          <w:lang w:val="en-US"/>
        </w:rPr>
        <w:t xml:space="preserve"> considered that, e</w:t>
      </w:r>
      <w:r w:rsidR="007D7EB3" w:rsidRPr="00DD1B58">
        <w:rPr>
          <w:lang w:val="en-US"/>
        </w:rPr>
        <w:t>ven unprotected</w:t>
      </w:r>
      <w:r w:rsidR="00C96464" w:rsidRPr="00DD1B58">
        <w:rPr>
          <w:lang w:val="en-US"/>
        </w:rPr>
        <w:t>,</w:t>
      </w:r>
      <w:r w:rsidR="007D7EB3" w:rsidRPr="00DD1B58">
        <w:rPr>
          <w:lang w:val="en-US"/>
        </w:rPr>
        <w:t xml:space="preserve"> the steel ductwork was capable of providing at least 30 minutes fire resistance</w:t>
      </w:r>
      <w:r w:rsidR="00BA5BF2" w:rsidRPr="00DD1B58">
        <w:rPr>
          <w:lang w:val="en-US"/>
        </w:rPr>
        <w:t xml:space="preserve"> and</w:t>
      </w:r>
      <w:r w:rsidR="007D7EB3" w:rsidRPr="00DD1B58">
        <w:rPr>
          <w:lang w:val="en-US"/>
        </w:rPr>
        <w:t xml:space="preserve"> </w:t>
      </w:r>
      <w:r w:rsidR="00BA5BF2" w:rsidRPr="00DD1B58">
        <w:rPr>
          <w:lang w:val="en-US"/>
        </w:rPr>
        <w:t>this was explicitly claimed. H</w:t>
      </w:r>
      <w:r w:rsidR="007D7EB3" w:rsidRPr="00DD1B58">
        <w:rPr>
          <w:lang w:val="en-US"/>
        </w:rPr>
        <w:t>owever as no specific measures were taken to protect the duct. There were two types of ductwork used in the facility</w:t>
      </w:r>
      <w:r w:rsidR="004B5FB2" w:rsidRPr="00DD1B58">
        <w:rPr>
          <w:lang w:val="en-US"/>
        </w:rPr>
        <w:t>, namely</w:t>
      </w:r>
      <w:r w:rsidR="007D7EB3" w:rsidRPr="00DD1B58">
        <w:rPr>
          <w:lang w:val="en-US"/>
        </w:rPr>
        <w:t xml:space="preserve"> ducts specified in accordance with AESS</w:t>
      </w:r>
      <w:r w:rsidR="00C13846" w:rsidRPr="00DD1B58">
        <w:rPr>
          <w:lang w:val="en-US"/>
        </w:rPr>
        <w:t xml:space="preserve"> </w:t>
      </w:r>
      <w:r w:rsidR="007D7EB3" w:rsidRPr="00DD1B58">
        <w:rPr>
          <w:lang w:val="en-US"/>
        </w:rPr>
        <w:t xml:space="preserve">6008 Part 1 </w:t>
      </w:r>
      <w:sdt>
        <w:sdtPr>
          <w:rPr>
            <w:lang w:val="en-US"/>
          </w:rPr>
          <w:id w:val="-1621674701"/>
          <w:citation/>
        </w:sdtPr>
        <w:sdtContent>
          <w:r w:rsidR="003F13BC" w:rsidRPr="00DD1B58">
            <w:rPr>
              <w:lang w:val="en-US"/>
            </w:rPr>
            <w:fldChar w:fldCharType="begin"/>
          </w:r>
          <w:r w:rsidR="003F13BC" w:rsidRPr="00DD1B58">
            <w:rPr>
              <w:lang w:val="en-US"/>
            </w:rPr>
            <w:instrText xml:space="preserve"> CITATION AES \l 2057 </w:instrText>
          </w:r>
          <w:r w:rsidR="003F13BC" w:rsidRPr="00DD1B58">
            <w:rPr>
              <w:lang w:val="en-US"/>
            </w:rPr>
            <w:fldChar w:fldCharType="separate"/>
          </w:r>
          <w:r w:rsidR="00DF47DA" w:rsidRPr="00DF47DA">
            <w:rPr>
              <w:noProof/>
              <w:lang w:val="en-US"/>
            </w:rPr>
            <w:t>[196]</w:t>
          </w:r>
          <w:r w:rsidR="003F13BC" w:rsidRPr="00DD1B58">
            <w:rPr>
              <w:lang w:val="en-US"/>
            </w:rPr>
            <w:fldChar w:fldCharType="end"/>
          </w:r>
        </w:sdtContent>
      </w:sdt>
      <w:r w:rsidR="007D7EB3" w:rsidRPr="00DD1B58">
        <w:rPr>
          <w:lang w:val="en-US"/>
        </w:rPr>
        <w:t xml:space="preserve"> and AESS 6008 Part 2 </w:t>
      </w:r>
      <w:sdt>
        <w:sdtPr>
          <w:rPr>
            <w:lang w:val="en-US"/>
          </w:rPr>
          <w:id w:val="-810095953"/>
          <w:citation/>
        </w:sdtPr>
        <w:sdtContent>
          <w:r w:rsidR="003F13BC" w:rsidRPr="00DD1B58">
            <w:rPr>
              <w:lang w:val="en-US"/>
            </w:rPr>
            <w:fldChar w:fldCharType="begin"/>
          </w:r>
          <w:r w:rsidR="003F13BC" w:rsidRPr="00DD1B58">
            <w:rPr>
              <w:lang w:val="en-US"/>
            </w:rPr>
            <w:instrText xml:space="preserve"> CITATION AES1 \l 2057 </w:instrText>
          </w:r>
          <w:r w:rsidR="003F13BC" w:rsidRPr="00DD1B58">
            <w:rPr>
              <w:lang w:val="en-US"/>
            </w:rPr>
            <w:fldChar w:fldCharType="separate"/>
          </w:r>
          <w:r w:rsidR="00DF47DA" w:rsidRPr="00DF47DA">
            <w:rPr>
              <w:noProof/>
              <w:lang w:val="en-US"/>
            </w:rPr>
            <w:t>[197]</w:t>
          </w:r>
          <w:r w:rsidR="003F13BC" w:rsidRPr="00DD1B58">
            <w:rPr>
              <w:lang w:val="en-US"/>
            </w:rPr>
            <w:fldChar w:fldCharType="end"/>
          </w:r>
        </w:sdtContent>
      </w:sdt>
      <w:r w:rsidR="007D7EB3" w:rsidRPr="00DD1B58">
        <w:rPr>
          <w:lang w:val="en-US"/>
        </w:rPr>
        <w:t xml:space="preserve">. </w:t>
      </w:r>
      <w:r w:rsidRPr="00DD1B58">
        <w:rPr>
          <w:lang w:val="en-US"/>
        </w:rPr>
        <w:t>Springfields Fuels Ltd</w:t>
      </w:r>
      <w:r w:rsidR="004B5FB2" w:rsidRPr="00DD1B58">
        <w:rPr>
          <w:lang w:val="en-US"/>
        </w:rPr>
        <w:t xml:space="preserve"> commissioned tests</w:t>
      </w:r>
      <w:r w:rsidR="00940D2A" w:rsidRPr="00DD1B58">
        <w:rPr>
          <w:lang w:val="en-US"/>
        </w:rPr>
        <w:t xml:space="preserve"> </w:t>
      </w:r>
      <w:sdt>
        <w:sdtPr>
          <w:rPr>
            <w:lang w:val="en-US"/>
          </w:rPr>
          <w:id w:val="-679196330"/>
          <w:citation/>
        </w:sdtPr>
        <w:sdtContent>
          <w:r w:rsidR="003F13BC" w:rsidRPr="00DD1B58">
            <w:rPr>
              <w:lang w:val="en-US"/>
            </w:rPr>
            <w:fldChar w:fldCharType="begin"/>
          </w:r>
          <w:r w:rsidR="003F13BC" w:rsidRPr="00DD1B58">
            <w:rPr>
              <w:lang w:val="en-US"/>
            </w:rPr>
            <w:instrText xml:space="preserve"> CITATION Tes \l 2057 </w:instrText>
          </w:r>
          <w:r w:rsidR="003F13BC" w:rsidRPr="00DD1B58">
            <w:rPr>
              <w:lang w:val="en-US"/>
            </w:rPr>
            <w:fldChar w:fldCharType="separate"/>
          </w:r>
          <w:r w:rsidR="00DF47DA" w:rsidRPr="00DF47DA">
            <w:rPr>
              <w:noProof/>
              <w:lang w:val="en-US"/>
            </w:rPr>
            <w:t>[198]</w:t>
          </w:r>
          <w:r w:rsidR="003F13BC" w:rsidRPr="00DD1B58">
            <w:rPr>
              <w:lang w:val="en-US"/>
            </w:rPr>
            <w:fldChar w:fldCharType="end"/>
          </w:r>
        </w:sdtContent>
      </w:sdt>
      <w:r w:rsidR="00AD037E" w:rsidRPr="00DD1B58">
        <w:rPr>
          <w:lang w:val="en-US"/>
        </w:rPr>
        <w:t xml:space="preserve"> and</w:t>
      </w:r>
      <w:r w:rsidR="007D7EB3" w:rsidRPr="00DD1B58">
        <w:rPr>
          <w:lang w:val="en-US"/>
        </w:rPr>
        <w:t xml:space="preserve"> found that AESS 6008 Part 2 ducts achieved 120 minutes stability and integrity and 3 minutes insulation.</w:t>
      </w:r>
    </w:p>
    <w:p w14:paraId="02A28AF0" w14:textId="40CE35B3" w:rsidR="00722921" w:rsidRPr="00DD1B58" w:rsidRDefault="00134292" w:rsidP="007D7EB3">
      <w:pPr>
        <w:rPr>
          <w:lang w:val="en-US"/>
        </w:rPr>
      </w:pPr>
      <w:r w:rsidRPr="00DD1B58">
        <w:rPr>
          <w:lang w:val="en-US"/>
        </w:rPr>
        <w:t>Springfields Fuels Ltd</w:t>
      </w:r>
      <w:r w:rsidR="00AD037E" w:rsidRPr="00DD1B58">
        <w:rPr>
          <w:lang w:val="en-US"/>
        </w:rPr>
        <w:t xml:space="preserve"> </w:t>
      </w:r>
      <w:r w:rsidR="006D798B" w:rsidRPr="00DD1B58">
        <w:rPr>
          <w:lang w:val="en-US"/>
        </w:rPr>
        <w:t>reports that</w:t>
      </w:r>
      <w:r w:rsidR="00AD037E" w:rsidRPr="00DD1B58">
        <w:rPr>
          <w:lang w:val="en-US"/>
        </w:rPr>
        <w:t xml:space="preserve"> s</w:t>
      </w:r>
      <w:r w:rsidR="007D7EB3" w:rsidRPr="00DD1B58">
        <w:rPr>
          <w:lang w:val="en-US"/>
        </w:rPr>
        <w:t xml:space="preserve">ince </w:t>
      </w:r>
      <w:r w:rsidR="00AD037E" w:rsidRPr="00DD1B58">
        <w:rPr>
          <w:lang w:val="en-US"/>
        </w:rPr>
        <w:t>it undertook the</w:t>
      </w:r>
      <w:r w:rsidR="007D7EB3" w:rsidRPr="00DD1B58">
        <w:rPr>
          <w:lang w:val="en-US"/>
        </w:rPr>
        <w:t xml:space="preserve"> upgrades </w:t>
      </w:r>
      <w:r w:rsidR="00AD037E" w:rsidRPr="00DD1B58">
        <w:rPr>
          <w:lang w:val="en-US"/>
        </w:rPr>
        <w:t xml:space="preserve">it has completed </w:t>
      </w:r>
      <w:r w:rsidR="007D7EB3" w:rsidRPr="00DD1B58">
        <w:rPr>
          <w:lang w:val="en-US"/>
        </w:rPr>
        <w:t>a full fire loading study of the building.</w:t>
      </w:r>
      <w:r w:rsidR="006E6F5E" w:rsidRPr="00DD1B58">
        <w:rPr>
          <w:lang w:val="en-US"/>
        </w:rPr>
        <w:t xml:space="preserve"> It also </w:t>
      </w:r>
      <w:r w:rsidR="006D798B" w:rsidRPr="00DD1B58">
        <w:rPr>
          <w:lang w:val="en-US"/>
        </w:rPr>
        <w:t>reports that</w:t>
      </w:r>
      <w:r w:rsidR="006E6F5E" w:rsidRPr="00DD1B58">
        <w:rPr>
          <w:lang w:val="en-US"/>
        </w:rPr>
        <w:t xml:space="preserve"> i</w:t>
      </w:r>
      <w:r w:rsidR="007D7EB3" w:rsidRPr="00DD1B58">
        <w:rPr>
          <w:lang w:val="en-US"/>
        </w:rPr>
        <w:t xml:space="preserve">n areas where ductwork is </w:t>
      </w:r>
      <w:r w:rsidR="006C70A1" w:rsidRPr="00DD1B58">
        <w:rPr>
          <w:lang w:val="en-US"/>
        </w:rPr>
        <w:t>unprotected,</w:t>
      </w:r>
      <w:r w:rsidR="007D7EB3" w:rsidRPr="00DD1B58">
        <w:rPr>
          <w:lang w:val="en-US"/>
        </w:rPr>
        <w:t xml:space="preserve"> and the dampers are not on a fire compartment boundary</w:t>
      </w:r>
      <w:r w:rsidR="006E6F5E" w:rsidRPr="00DD1B58">
        <w:rPr>
          <w:lang w:val="en-US"/>
        </w:rPr>
        <w:t>, it now makes</w:t>
      </w:r>
      <w:r w:rsidR="007D7EB3" w:rsidRPr="00DD1B58">
        <w:rPr>
          <w:lang w:val="en-US"/>
        </w:rPr>
        <w:t xml:space="preserve"> reference to the calculated fire loading in the area and </w:t>
      </w:r>
      <w:r w:rsidR="006E6F5E" w:rsidRPr="00DD1B58">
        <w:rPr>
          <w:lang w:val="en-US"/>
        </w:rPr>
        <w:t xml:space="preserve">provides </w:t>
      </w:r>
      <w:r w:rsidR="007D7EB3" w:rsidRPr="00DD1B58">
        <w:rPr>
          <w:lang w:val="en-US"/>
        </w:rPr>
        <w:t>a justification where appropriate for leaving the ductwork unprotected based on the test information.</w:t>
      </w:r>
    </w:p>
    <w:p w14:paraId="30B8CED6" w14:textId="77777777" w:rsidR="002F6B29" w:rsidRPr="00DD1B58" w:rsidRDefault="002F6B29" w:rsidP="007D7EB3">
      <w:pPr>
        <w:rPr>
          <w:b/>
          <w:lang w:val="en-US"/>
        </w:rPr>
      </w:pPr>
      <w:r w:rsidRPr="00DD1B58">
        <w:rPr>
          <w:b/>
          <w:lang w:val="en-US"/>
        </w:rPr>
        <w:t>Access for Firefighting</w:t>
      </w:r>
    </w:p>
    <w:p w14:paraId="3CE3C3AF" w14:textId="41EEFBE1" w:rsidR="00F84A9B" w:rsidRPr="00DD1B58" w:rsidRDefault="00134292" w:rsidP="007D7EB3">
      <w:pPr>
        <w:rPr>
          <w:lang w:val="en-US"/>
        </w:rPr>
      </w:pPr>
      <w:r w:rsidRPr="00DD1B58">
        <w:rPr>
          <w:lang w:val="en-US"/>
        </w:rPr>
        <w:t>Springfields Fuels Ltd</w:t>
      </w:r>
      <w:r w:rsidR="006E6F5E" w:rsidRPr="00DD1B58">
        <w:rPr>
          <w:lang w:val="en-US"/>
        </w:rPr>
        <w:t xml:space="preserve"> </w:t>
      </w:r>
      <w:r w:rsidR="00F84A9B" w:rsidRPr="00DD1B58">
        <w:rPr>
          <w:lang w:val="en-US"/>
        </w:rPr>
        <w:t>report</w:t>
      </w:r>
      <w:r w:rsidR="00600B1E" w:rsidRPr="00DD1B58">
        <w:rPr>
          <w:lang w:val="en-US"/>
        </w:rPr>
        <w:t>s</w:t>
      </w:r>
      <w:r w:rsidR="00F84A9B" w:rsidRPr="00DD1B58">
        <w:rPr>
          <w:lang w:val="en-US"/>
        </w:rPr>
        <w:t xml:space="preserve"> the following:</w:t>
      </w:r>
    </w:p>
    <w:p w14:paraId="08D6D630" w14:textId="7CC6E3B3" w:rsidR="00F84A9B" w:rsidRPr="00DD1B58" w:rsidRDefault="00F84A9B" w:rsidP="00973FF4">
      <w:pPr>
        <w:pStyle w:val="Bulletlist1"/>
        <w:rPr>
          <w:lang w:val="en-US"/>
        </w:rPr>
      </w:pPr>
      <w:r w:rsidRPr="00DD1B58">
        <w:rPr>
          <w:lang w:val="en-US"/>
        </w:rPr>
        <w:t>I</w:t>
      </w:r>
      <w:r w:rsidR="006C70A1" w:rsidRPr="00DD1B58">
        <w:rPr>
          <w:lang w:val="en-US"/>
        </w:rPr>
        <w:t>n all buildings there are typically protected stairs for fire service access to upper floor levels. In some cases, these are provided with lobbies</w:t>
      </w:r>
      <w:r w:rsidR="00E83603" w:rsidRPr="00DD1B58">
        <w:rPr>
          <w:lang w:val="en-US"/>
        </w:rPr>
        <w:t>,</w:t>
      </w:r>
      <w:r w:rsidR="006C70A1" w:rsidRPr="00DD1B58">
        <w:rPr>
          <w:lang w:val="en-US"/>
        </w:rPr>
        <w:t xml:space="preserve"> in other cases lobbies are not provided where there are large open areas with high ceilings. </w:t>
      </w:r>
    </w:p>
    <w:p w14:paraId="34E39919" w14:textId="77777777" w:rsidR="00F84A9B" w:rsidRPr="00DD1B58" w:rsidRDefault="006C70A1" w:rsidP="00973FF4">
      <w:pPr>
        <w:pStyle w:val="Bulletlist1"/>
        <w:rPr>
          <w:lang w:val="en-US"/>
        </w:rPr>
      </w:pPr>
      <w:r w:rsidRPr="00DD1B58">
        <w:rPr>
          <w:lang w:val="en-US"/>
        </w:rPr>
        <w:t xml:space="preserve">Any ventilation in stairs is typically for radiological containment and is not designed for firefighting purposes. </w:t>
      </w:r>
    </w:p>
    <w:p w14:paraId="1A752DA0" w14:textId="70452415" w:rsidR="002F6B29" w:rsidRPr="00DD1B58" w:rsidRDefault="006C70A1" w:rsidP="00973FF4">
      <w:pPr>
        <w:pStyle w:val="Bulletlist1"/>
        <w:rPr>
          <w:lang w:val="en-US"/>
        </w:rPr>
      </w:pPr>
      <w:r w:rsidRPr="00DD1B58">
        <w:rPr>
          <w:lang w:val="en-US"/>
        </w:rPr>
        <w:t>Many stairs are not ventilated, and the design of the ventilation system does not address the availability of access routes for firefighting.</w:t>
      </w:r>
    </w:p>
    <w:p w14:paraId="1C6408ED" w14:textId="77777777" w:rsidR="00720672" w:rsidRPr="00DD1B58" w:rsidRDefault="0099750E" w:rsidP="00D0568A">
      <w:pPr>
        <w:rPr>
          <w:b/>
          <w:lang w:val="en-US"/>
        </w:rPr>
      </w:pPr>
      <w:r w:rsidRPr="00DD1B58">
        <w:rPr>
          <w:b/>
          <w:lang w:val="en-US"/>
        </w:rPr>
        <w:t>Preventing fire spread between redundant trains</w:t>
      </w:r>
    </w:p>
    <w:p w14:paraId="44B72F9C" w14:textId="0841B724" w:rsidR="00D0568A" w:rsidRPr="00DD1B58" w:rsidRDefault="00134292" w:rsidP="00D0568A">
      <w:pPr>
        <w:rPr>
          <w:b/>
          <w:lang w:val="en-US"/>
        </w:rPr>
      </w:pPr>
      <w:r w:rsidRPr="00DD1B58">
        <w:rPr>
          <w:lang w:val="en-US"/>
        </w:rPr>
        <w:t>Springfields Fuels Ltd</w:t>
      </w:r>
      <w:r w:rsidR="00E83603" w:rsidRPr="00DD1B58">
        <w:rPr>
          <w:lang w:val="en-US"/>
        </w:rPr>
        <w:t xml:space="preserve"> </w:t>
      </w:r>
      <w:r w:rsidR="006D798B" w:rsidRPr="00DD1B58">
        <w:rPr>
          <w:lang w:val="en-US"/>
        </w:rPr>
        <w:t>reports that</w:t>
      </w:r>
      <w:r w:rsidR="00E83603" w:rsidRPr="00DD1B58">
        <w:rPr>
          <w:lang w:val="en-US"/>
        </w:rPr>
        <w:t xml:space="preserve"> t</w:t>
      </w:r>
      <w:r w:rsidR="00D0568A" w:rsidRPr="00DD1B58">
        <w:rPr>
          <w:lang w:val="en-US"/>
        </w:rPr>
        <w:t>here are no specific trains of safety systems with redundancy so there are no nuclear fire safety barriers designated for separating trains of safety systems</w:t>
      </w:r>
      <w:r w:rsidR="00E83603" w:rsidRPr="00DD1B58">
        <w:rPr>
          <w:lang w:val="en-US"/>
        </w:rPr>
        <w:t>,</w:t>
      </w:r>
      <w:r w:rsidR="00D0568A" w:rsidRPr="00DD1B58">
        <w:rPr>
          <w:lang w:val="en-US"/>
        </w:rPr>
        <w:t xml:space="preserve"> although specific measures such as separation by distance may be taken to ensure multichannel protection system</w:t>
      </w:r>
      <w:r w:rsidR="00683706" w:rsidRPr="00DD1B58">
        <w:rPr>
          <w:lang w:val="en-US"/>
        </w:rPr>
        <w:t>s</w:t>
      </w:r>
      <w:r w:rsidR="00D0568A" w:rsidRPr="00DD1B58">
        <w:rPr>
          <w:lang w:val="en-US"/>
        </w:rPr>
        <w:t xml:space="preserve"> are not vulnerable to a common fire. In the event of fire typically the main ventilation fans shutdown. Access into radiological areas is then restricted and re-entry cannot occur until a period typically 20 minutes has elapsed after ventilation is restored.</w:t>
      </w:r>
    </w:p>
    <w:p w14:paraId="42AA4066" w14:textId="5B26CEA1" w:rsidR="00683706" w:rsidRPr="00DD1B58" w:rsidRDefault="00134292" w:rsidP="00D0568A">
      <w:pPr>
        <w:rPr>
          <w:lang w:val="en-US"/>
        </w:rPr>
      </w:pPr>
      <w:r w:rsidRPr="00DD1B58">
        <w:rPr>
          <w:lang w:val="en-US"/>
        </w:rPr>
        <w:t>Springfields Fuels Ltd</w:t>
      </w:r>
      <w:r w:rsidR="00683706" w:rsidRPr="00DD1B58">
        <w:rPr>
          <w:lang w:val="en-US"/>
        </w:rPr>
        <w:t xml:space="preserve"> provided the</w:t>
      </w:r>
      <w:r w:rsidR="00D0568A" w:rsidRPr="00DD1B58">
        <w:rPr>
          <w:lang w:val="en-US"/>
        </w:rPr>
        <w:t xml:space="preserve"> example of the arrangements in OFC </w:t>
      </w:r>
      <w:r w:rsidR="00683706" w:rsidRPr="00DD1B58">
        <w:rPr>
          <w:lang w:val="en-US"/>
        </w:rPr>
        <w:t>as follows:</w:t>
      </w:r>
    </w:p>
    <w:p w14:paraId="187562E5" w14:textId="60935CC5" w:rsidR="00D0568A" w:rsidRPr="00DD1B58" w:rsidRDefault="00D0568A" w:rsidP="00973FF4">
      <w:pPr>
        <w:pStyle w:val="Bulletlist1"/>
        <w:rPr>
          <w:lang w:val="en-US"/>
        </w:rPr>
      </w:pPr>
      <w:r w:rsidRPr="00DD1B58">
        <w:rPr>
          <w:lang w:val="en-US"/>
        </w:rPr>
        <w:t>The layout of the building, plant and equipment within OFC has been designed around the concept of islands of activity located within an overall clean area to localise and isolate contamination.</w:t>
      </w:r>
    </w:p>
    <w:p w14:paraId="6A5FBCDC" w14:textId="77777777" w:rsidR="00D0568A" w:rsidRPr="00DD1B58" w:rsidRDefault="00D0568A" w:rsidP="00973FF4">
      <w:pPr>
        <w:pStyle w:val="Bulletlist1"/>
        <w:rPr>
          <w:lang w:val="en-US"/>
        </w:rPr>
      </w:pPr>
      <w:r w:rsidRPr="00DD1B58">
        <w:rPr>
          <w:lang w:val="en-US"/>
        </w:rPr>
        <w:t>OFC has five distinct types of areas</w:t>
      </w:r>
      <w:r w:rsidR="005B4385" w:rsidRPr="00DD1B58">
        <w:rPr>
          <w:lang w:val="en-US"/>
        </w:rPr>
        <w:t xml:space="preserve">: </w:t>
      </w:r>
      <w:r w:rsidRPr="00DD1B58">
        <w:rPr>
          <w:lang w:val="en-US"/>
        </w:rPr>
        <w:t>Amenities Area</w:t>
      </w:r>
      <w:r w:rsidR="005B4385" w:rsidRPr="00DD1B58">
        <w:rPr>
          <w:lang w:val="en-US"/>
        </w:rPr>
        <w:t xml:space="preserve">, </w:t>
      </w:r>
      <w:r w:rsidRPr="00DD1B58">
        <w:rPr>
          <w:lang w:val="en-US"/>
        </w:rPr>
        <w:t>Operator Area</w:t>
      </w:r>
      <w:r w:rsidR="005B4385" w:rsidRPr="00DD1B58">
        <w:rPr>
          <w:lang w:val="en-US"/>
        </w:rPr>
        <w:t xml:space="preserve">, </w:t>
      </w:r>
      <w:r w:rsidRPr="00DD1B58">
        <w:rPr>
          <w:lang w:val="en-US"/>
        </w:rPr>
        <w:t>Secondary Area</w:t>
      </w:r>
      <w:r w:rsidR="005B4385" w:rsidRPr="00DD1B58">
        <w:rPr>
          <w:lang w:val="en-US"/>
        </w:rPr>
        <w:t xml:space="preserve">, </w:t>
      </w:r>
      <w:r w:rsidRPr="00DD1B58">
        <w:rPr>
          <w:lang w:val="en-US"/>
        </w:rPr>
        <w:t>Secondary Containment Area</w:t>
      </w:r>
      <w:r w:rsidR="005B4385" w:rsidRPr="00DD1B58">
        <w:rPr>
          <w:lang w:val="en-US"/>
        </w:rPr>
        <w:t xml:space="preserve">, </w:t>
      </w:r>
      <w:r w:rsidRPr="00DD1B58">
        <w:rPr>
          <w:lang w:val="en-US"/>
        </w:rPr>
        <w:t>Primary Containment Area.</w:t>
      </w:r>
    </w:p>
    <w:p w14:paraId="75DD43AC" w14:textId="77777777" w:rsidR="00D0568A" w:rsidRPr="00DD1B58" w:rsidRDefault="00D0568A" w:rsidP="00973FF4">
      <w:pPr>
        <w:pStyle w:val="Bulletlist1"/>
        <w:rPr>
          <w:lang w:val="en-US"/>
        </w:rPr>
      </w:pPr>
      <w:r w:rsidRPr="00DD1B58">
        <w:rPr>
          <w:lang w:val="en-US"/>
        </w:rPr>
        <w:t>Some of the Secondary Containment Areas can form expanded Primary Areas when the primary containment is removed for maintenance/enrichment changes.</w:t>
      </w:r>
      <w:r w:rsidR="00343DC6" w:rsidRPr="00DD1B58">
        <w:rPr>
          <w:lang w:val="en-US"/>
        </w:rPr>
        <w:t xml:space="preserve"> </w:t>
      </w:r>
      <w:r w:rsidRPr="00DD1B58">
        <w:rPr>
          <w:lang w:val="en-US"/>
        </w:rPr>
        <w:t>The operator areas are designed to operate at a slight positive pressure while the secondary containment areas are operated at a slight negative pressure. The primary containment area was designed to operate at a slight negative pressure with respect to the secondary containment areas.</w:t>
      </w:r>
    </w:p>
    <w:p w14:paraId="447A1213" w14:textId="77777777" w:rsidR="00D0568A" w:rsidRPr="00DD1B58" w:rsidRDefault="00D0568A" w:rsidP="00973FF4">
      <w:pPr>
        <w:pStyle w:val="Bulletlist1"/>
        <w:rPr>
          <w:lang w:val="en-US"/>
        </w:rPr>
      </w:pPr>
      <w:r w:rsidRPr="00DD1B58">
        <w:rPr>
          <w:lang w:val="en-US"/>
        </w:rPr>
        <w:t>The ventilation system provides protection for the plant operators against breathing contaminated air in general operating areas by a system of containments kept at negative pressures relative to the surrounding areas.</w:t>
      </w:r>
    </w:p>
    <w:p w14:paraId="1A142EA8" w14:textId="77777777" w:rsidR="00D0568A" w:rsidRPr="00DD1B58" w:rsidRDefault="00D0568A" w:rsidP="00973FF4">
      <w:pPr>
        <w:pStyle w:val="Bulletlist1"/>
        <w:rPr>
          <w:lang w:val="en-US"/>
        </w:rPr>
      </w:pPr>
      <w:r w:rsidRPr="00DD1B58">
        <w:rPr>
          <w:lang w:val="en-US"/>
        </w:rPr>
        <w:t>Ventilation fans in OFC remain running and there is no automatic shutdown on closure of fire dampers. Shutdown of the fans occurs if the flow rate is reduced so that damage to the fans is prevented.</w:t>
      </w:r>
    </w:p>
    <w:p w14:paraId="134EAF03" w14:textId="77777777" w:rsidR="00335FD2" w:rsidRPr="00DD1B58" w:rsidRDefault="00D0568A" w:rsidP="00973FF4">
      <w:pPr>
        <w:pStyle w:val="Bulletlist1"/>
        <w:rPr>
          <w:lang w:val="en-US"/>
        </w:rPr>
      </w:pPr>
      <w:r w:rsidRPr="00DD1B58">
        <w:rPr>
          <w:lang w:val="en-US"/>
        </w:rPr>
        <w:t>The Central Control Room has a ‘stay put’ policy.</w:t>
      </w:r>
      <w:r w:rsidR="00335FD2" w:rsidRPr="00DD1B58">
        <w:rPr>
          <w:lang w:val="en-US"/>
        </w:rPr>
        <w:t xml:space="preserve"> The stay put policy for the control room is based on the Central Control Room operators staying in place for a maximum of 30 minutes in the event of fire elsewhere in the building. Evacuation is required if a fire is detected in Amenities or in the areas of Mechanical 1 that are below the control room. A dedicated air conditioning system serves the control room to provide a clean controlled working environment. The air handling units are configured to shut down on detection of smoke. Three of the dampers serving the computer room are fusible link and one is actuated. To provide assurance that smoke cannot enter these areas from elsewhere a recommendation was made to change the fusible link operated dampers to ES rated dampers.</w:t>
      </w:r>
    </w:p>
    <w:p w14:paraId="4C9CC09C" w14:textId="77777777" w:rsidR="00335FD2" w:rsidRPr="00DD1B58" w:rsidRDefault="00335FD2" w:rsidP="00973FF4">
      <w:pPr>
        <w:pStyle w:val="Bulletlist1"/>
        <w:rPr>
          <w:lang w:val="en-US"/>
        </w:rPr>
      </w:pPr>
      <w:r w:rsidRPr="00DD1B58">
        <w:rPr>
          <w:lang w:val="en-US"/>
        </w:rPr>
        <w:t>The Central Control Room is located within the Amenities part of the building. The ventilation systems within the Amenities part of the building are not connected in any way to the main ventilation systems of the Manufacturing Areas. As such there could be no possibility of radiological contamination of the control room in the event of fire even if all ventilation systems shutdown.</w:t>
      </w:r>
    </w:p>
    <w:p w14:paraId="3495F531" w14:textId="77777777" w:rsidR="00335FD2" w:rsidRPr="00DD1B58" w:rsidRDefault="00335FD2" w:rsidP="00973FF4">
      <w:pPr>
        <w:pStyle w:val="Bulletlist1"/>
        <w:rPr>
          <w:lang w:val="en-US"/>
        </w:rPr>
      </w:pPr>
      <w:r w:rsidRPr="00DD1B58">
        <w:rPr>
          <w:lang w:val="en-US"/>
        </w:rPr>
        <w:t>With respect to corrosive/toxic materials the principal hazard within OFC is hydrogen fluoride (HF) in the off-gas system. A dedicated extraction system is provided for the off-gas areas. This system is of polypropylene construction and the air discharged to atmosphere via louvers at the 130m level.</w:t>
      </w:r>
    </w:p>
    <w:p w14:paraId="77EC2E71" w14:textId="68832609" w:rsidR="00335FD2" w:rsidRPr="00DD1B58" w:rsidRDefault="00335FD2" w:rsidP="00335FD2">
      <w:pPr>
        <w:rPr>
          <w:lang w:val="en-US"/>
        </w:rPr>
      </w:pPr>
      <w:r w:rsidRPr="00DD1B58">
        <w:rPr>
          <w:lang w:val="en-US"/>
        </w:rPr>
        <w:t>A</w:t>
      </w:r>
      <w:r w:rsidR="00792667" w:rsidRPr="00DD1B58">
        <w:rPr>
          <w:lang w:val="en-US"/>
        </w:rPr>
        <w:t xml:space="preserve"> further </w:t>
      </w:r>
      <w:r w:rsidRPr="00DD1B58">
        <w:rPr>
          <w:lang w:val="en-US"/>
        </w:rPr>
        <w:t xml:space="preserve">example of the ventilation system in EURRP is </w:t>
      </w:r>
      <w:r w:rsidR="00792667" w:rsidRPr="00DD1B58">
        <w:rPr>
          <w:lang w:val="en-US"/>
        </w:rPr>
        <w:t xml:space="preserve">provided within the </w:t>
      </w:r>
      <w:r w:rsidR="00134292" w:rsidRPr="00DD1B58">
        <w:rPr>
          <w:lang w:val="en-US"/>
        </w:rPr>
        <w:t>Springfields Fuels Ltd</w:t>
      </w:r>
      <w:r w:rsidR="006F21C1" w:rsidRPr="00DD1B58">
        <w:rPr>
          <w:lang w:val="en-US"/>
        </w:rPr>
        <w:t xml:space="preserve"> self-assessment report for TPR 2</w:t>
      </w:r>
      <w:r w:rsidR="00792667" w:rsidRPr="00DD1B58">
        <w:rPr>
          <w:lang w:val="en-US"/>
        </w:rPr>
        <w:t xml:space="preserve"> </w:t>
      </w:r>
      <w:sdt>
        <w:sdtPr>
          <w:rPr>
            <w:lang w:val="en-US"/>
          </w:rPr>
          <w:id w:val="1617408367"/>
          <w:citation/>
        </w:sdtPr>
        <w:sdtContent>
          <w:r w:rsidR="006D020A" w:rsidRPr="00DD1B58">
            <w:rPr>
              <w:lang w:val="en-US"/>
            </w:rPr>
            <w:fldChar w:fldCharType="begin"/>
          </w:r>
          <w:r w:rsidR="006D020A" w:rsidRPr="00DD1B58">
            <w:rPr>
              <w:lang w:val="en-US"/>
            </w:rPr>
            <w:instrText xml:space="preserve"> CITATION ENS \l 2057 </w:instrText>
          </w:r>
          <w:r w:rsidR="006D020A" w:rsidRPr="00DD1B58">
            <w:rPr>
              <w:lang w:val="en-US"/>
            </w:rPr>
            <w:fldChar w:fldCharType="separate"/>
          </w:r>
          <w:r w:rsidR="00DF47DA" w:rsidRPr="00DF47DA">
            <w:rPr>
              <w:noProof/>
              <w:lang w:val="en-US"/>
            </w:rPr>
            <w:t>[9]</w:t>
          </w:r>
          <w:r w:rsidR="006D020A" w:rsidRPr="00DD1B58">
            <w:rPr>
              <w:lang w:val="en-US"/>
            </w:rPr>
            <w:fldChar w:fldCharType="end"/>
          </w:r>
        </w:sdtContent>
      </w:sdt>
      <w:r w:rsidR="00792667" w:rsidRPr="00DD1B58">
        <w:rPr>
          <w:lang w:val="en-US"/>
        </w:rPr>
        <w:t>.</w:t>
      </w:r>
    </w:p>
    <w:p w14:paraId="3ABE967E" w14:textId="77777777" w:rsidR="00427E03" w:rsidRPr="00DD1B58" w:rsidRDefault="00427E03" w:rsidP="00177432">
      <w:pPr>
        <w:pStyle w:val="Heading5A"/>
        <w:numPr>
          <w:ilvl w:val="5"/>
          <w:numId w:val="7"/>
        </w:numPr>
        <w:rPr>
          <w:lang w:val="en-US"/>
        </w:rPr>
      </w:pPr>
      <w:r w:rsidRPr="00DD1B58">
        <w:rPr>
          <w:lang w:val="en-US"/>
        </w:rPr>
        <w:t>Performance and management requirements under fire conditions</w:t>
      </w:r>
    </w:p>
    <w:p w14:paraId="3CA039EA" w14:textId="77777777" w:rsidR="00D67F74" w:rsidRPr="00DD1B58" w:rsidRDefault="00D67F74" w:rsidP="00D67F74">
      <w:pPr>
        <w:rPr>
          <w:b/>
          <w:lang w:val="en-US"/>
        </w:rPr>
      </w:pPr>
      <w:r w:rsidRPr="00DD1B58">
        <w:rPr>
          <w:b/>
          <w:lang w:val="en-US"/>
        </w:rPr>
        <w:t>Fire Resistance</w:t>
      </w:r>
    </w:p>
    <w:p w14:paraId="69DA8D30" w14:textId="18A7D4C5" w:rsidR="00B84F24" w:rsidRPr="00DD1B58" w:rsidRDefault="00B84F24" w:rsidP="00B84F24">
      <w:pPr>
        <w:rPr>
          <w:lang w:val="en-US"/>
        </w:rPr>
      </w:pPr>
      <w:r w:rsidRPr="00DD1B58">
        <w:rPr>
          <w:lang w:val="en-US"/>
        </w:rPr>
        <w:t xml:space="preserve">Historically the ventilation and containment systems on the Springfields site were designed and constructed in accordance with Code of Practice AECP 1054 </w:t>
      </w:r>
      <w:sdt>
        <w:sdtPr>
          <w:rPr>
            <w:lang w:val="en-US"/>
          </w:rPr>
          <w:id w:val="14512762"/>
          <w:citation/>
        </w:sdtPr>
        <w:sdtContent>
          <w:r w:rsidR="002C52A8" w:rsidRPr="00DD1B58">
            <w:rPr>
              <w:lang w:val="en-US"/>
            </w:rPr>
            <w:fldChar w:fldCharType="begin"/>
          </w:r>
          <w:r w:rsidR="002C52A8" w:rsidRPr="00DD1B58">
            <w:rPr>
              <w:lang w:val="en-US"/>
            </w:rPr>
            <w:instrText xml:space="preserve"> CITATION NVF \l 2057 </w:instrText>
          </w:r>
          <w:r w:rsidR="002C52A8" w:rsidRPr="00DD1B58">
            <w:rPr>
              <w:lang w:val="en-US"/>
            </w:rPr>
            <w:fldChar w:fldCharType="separate"/>
          </w:r>
          <w:r w:rsidR="00DF47DA" w:rsidRPr="00DF47DA">
            <w:rPr>
              <w:noProof/>
              <w:lang w:val="en-US"/>
            </w:rPr>
            <w:t>[199]</w:t>
          </w:r>
          <w:r w:rsidR="002C52A8" w:rsidRPr="00DD1B58">
            <w:rPr>
              <w:lang w:val="en-US"/>
            </w:rPr>
            <w:fldChar w:fldCharType="end"/>
          </w:r>
        </w:sdtContent>
      </w:sdt>
      <w:r w:rsidRPr="00DD1B58">
        <w:rPr>
          <w:lang w:val="en-US"/>
        </w:rPr>
        <w:t xml:space="preserve"> (superseded by NVF/DG001 which was then superseded by ES_1738_1 Ventilation Systems for Radiological Facilities - Design Guide.) AECP 1054 </w:t>
      </w:r>
      <w:sdt>
        <w:sdtPr>
          <w:rPr>
            <w:lang w:val="en-US"/>
          </w:rPr>
          <w:id w:val="-1371447649"/>
          <w:citation/>
        </w:sdtPr>
        <w:sdtContent>
          <w:r w:rsidR="002E01BA" w:rsidRPr="00DD1B58">
            <w:rPr>
              <w:lang w:val="en-US"/>
            </w:rPr>
            <w:fldChar w:fldCharType="begin"/>
          </w:r>
          <w:r w:rsidR="002E01BA" w:rsidRPr="00DD1B58">
            <w:rPr>
              <w:lang w:val="en-US"/>
            </w:rPr>
            <w:instrText xml:space="preserve"> CITATION ES_ \l 2057 </w:instrText>
          </w:r>
          <w:r w:rsidR="002E01BA" w:rsidRPr="00DD1B58">
            <w:rPr>
              <w:lang w:val="en-US"/>
            </w:rPr>
            <w:fldChar w:fldCharType="separate"/>
          </w:r>
          <w:r w:rsidR="00DF47DA" w:rsidRPr="00DF47DA">
            <w:rPr>
              <w:noProof/>
              <w:lang w:val="en-US"/>
            </w:rPr>
            <w:t>[200]</w:t>
          </w:r>
          <w:r w:rsidR="002E01BA" w:rsidRPr="00DD1B58">
            <w:rPr>
              <w:lang w:val="en-US"/>
            </w:rPr>
            <w:fldChar w:fldCharType="end"/>
          </w:r>
        </w:sdtContent>
      </w:sdt>
      <w:r w:rsidRPr="00DD1B58">
        <w:rPr>
          <w:lang w:val="en-US"/>
        </w:rPr>
        <w:t xml:space="preserve"> covered the ventilation</w:t>
      </w:r>
      <w:r w:rsidR="007C3F42" w:rsidRPr="00DD1B58">
        <w:rPr>
          <w:lang w:val="en-US"/>
        </w:rPr>
        <w:t>/</w:t>
      </w:r>
      <w:r w:rsidRPr="00DD1B58">
        <w:rPr>
          <w:lang w:val="en-US"/>
        </w:rPr>
        <w:t>containment of radioactive areas and incorporated the following principal functions:</w:t>
      </w:r>
    </w:p>
    <w:p w14:paraId="006759B6" w14:textId="77777777" w:rsidR="00B84F24" w:rsidRPr="00DD1B58" w:rsidRDefault="00B84F24" w:rsidP="00B14324">
      <w:pPr>
        <w:pStyle w:val="Bulletlist1"/>
        <w:rPr>
          <w:lang w:val="en-US"/>
        </w:rPr>
      </w:pPr>
      <w:r w:rsidRPr="00DD1B58">
        <w:rPr>
          <w:lang w:val="en-US"/>
        </w:rPr>
        <w:t>Removal of radioactive airborne contamination.</w:t>
      </w:r>
    </w:p>
    <w:p w14:paraId="17E9447B" w14:textId="77777777" w:rsidR="00B84F24" w:rsidRPr="00DD1B58" w:rsidRDefault="00B84F24" w:rsidP="00B14324">
      <w:pPr>
        <w:pStyle w:val="Bulletlist1"/>
        <w:rPr>
          <w:lang w:val="en-US"/>
        </w:rPr>
      </w:pPr>
      <w:r w:rsidRPr="00DD1B58">
        <w:rPr>
          <w:lang w:val="en-US"/>
        </w:rPr>
        <w:t>Removal of chemotoxic fume and dust.</w:t>
      </w:r>
    </w:p>
    <w:p w14:paraId="6AF4E059" w14:textId="77777777" w:rsidR="00B84F24" w:rsidRPr="00DD1B58" w:rsidRDefault="00B84F24" w:rsidP="00B14324">
      <w:pPr>
        <w:pStyle w:val="Bulletlist1"/>
        <w:rPr>
          <w:lang w:val="en-US"/>
        </w:rPr>
      </w:pPr>
      <w:r w:rsidRPr="00DD1B58">
        <w:rPr>
          <w:lang w:val="en-US"/>
        </w:rPr>
        <w:t>Maintaining progressive depressions in secondary areas and primary containment areas.</w:t>
      </w:r>
    </w:p>
    <w:p w14:paraId="4F4FB158" w14:textId="77777777" w:rsidR="00B84F24" w:rsidRPr="00DD1B58" w:rsidRDefault="00B84F24" w:rsidP="00B14324">
      <w:pPr>
        <w:pStyle w:val="Bulletlist1"/>
        <w:rPr>
          <w:lang w:val="en-US"/>
        </w:rPr>
      </w:pPr>
      <w:r w:rsidRPr="00DD1B58">
        <w:rPr>
          <w:lang w:val="en-US"/>
        </w:rPr>
        <w:t>Maintaining personnel comfort and provide a satisfactory working environment meeting statutory requirements.</w:t>
      </w:r>
    </w:p>
    <w:p w14:paraId="3F53687E" w14:textId="77777777" w:rsidR="00B84F24" w:rsidRPr="00DD1B58" w:rsidRDefault="00B84F24" w:rsidP="00B14324">
      <w:pPr>
        <w:pStyle w:val="Bulletlist1"/>
        <w:rPr>
          <w:lang w:val="en-US"/>
        </w:rPr>
      </w:pPr>
      <w:r w:rsidRPr="00DD1B58">
        <w:rPr>
          <w:lang w:val="en-US"/>
        </w:rPr>
        <w:t>Removal of heat generated from machinery and equipment.</w:t>
      </w:r>
    </w:p>
    <w:p w14:paraId="7DDC7659" w14:textId="77777777" w:rsidR="00B84F24" w:rsidRPr="00DD1B58" w:rsidRDefault="00B84F24" w:rsidP="00B14324">
      <w:pPr>
        <w:pStyle w:val="Bulletlist1"/>
        <w:rPr>
          <w:lang w:val="en-US"/>
        </w:rPr>
      </w:pPr>
      <w:r w:rsidRPr="00DD1B58">
        <w:rPr>
          <w:lang w:val="en-US"/>
        </w:rPr>
        <w:t>Removal of the products of combustion from machinery and equipment.</w:t>
      </w:r>
    </w:p>
    <w:p w14:paraId="0DB5269A" w14:textId="77777777" w:rsidR="00D17CD6" w:rsidRPr="00DD1B58" w:rsidRDefault="00B84F24" w:rsidP="00B14324">
      <w:pPr>
        <w:pStyle w:val="Bulletlist1"/>
        <w:rPr>
          <w:lang w:val="en-US"/>
        </w:rPr>
      </w:pPr>
      <w:r w:rsidRPr="00DD1B58">
        <w:rPr>
          <w:lang w:val="en-US"/>
        </w:rPr>
        <w:t xml:space="preserve">Minimising the discharge of radioactive materials to the environment. </w:t>
      </w:r>
    </w:p>
    <w:p w14:paraId="79969591" w14:textId="20C2F256" w:rsidR="00D67F74" w:rsidRPr="00DD1B58" w:rsidRDefault="00B84F24" w:rsidP="00B84F24">
      <w:pPr>
        <w:rPr>
          <w:lang w:val="en-US"/>
        </w:rPr>
      </w:pPr>
      <w:r w:rsidRPr="00DD1B58">
        <w:rPr>
          <w:lang w:val="en-US"/>
        </w:rPr>
        <w:t xml:space="preserve">Ductwork was historically designed and constructed in accordance with AESS 6008. Parts 1 and 2. Ductwork was typically left </w:t>
      </w:r>
      <w:r w:rsidR="00B0204C" w:rsidRPr="00DD1B58">
        <w:rPr>
          <w:lang w:val="en-US"/>
        </w:rPr>
        <w:t>unprotected,</w:t>
      </w:r>
      <w:r w:rsidRPr="00DD1B58">
        <w:rPr>
          <w:lang w:val="en-US"/>
        </w:rPr>
        <w:t xml:space="preserve"> and dampers were rated to BS476 Part 22 </w:t>
      </w:r>
      <w:sdt>
        <w:sdtPr>
          <w:rPr>
            <w:lang w:val="en-US"/>
          </w:rPr>
          <w:id w:val="2034529330"/>
          <w:citation/>
        </w:sdtPr>
        <w:sdtContent>
          <w:r w:rsidR="00E644F0" w:rsidRPr="00DD1B58">
            <w:rPr>
              <w:lang w:val="en-US"/>
            </w:rPr>
            <w:fldChar w:fldCharType="begin"/>
          </w:r>
          <w:r w:rsidR="00E644F0" w:rsidRPr="00DD1B58">
            <w:rPr>
              <w:lang w:val="en-US"/>
            </w:rPr>
            <w:instrText xml:space="preserve"> CITATION Bri873 \l 2057 </w:instrText>
          </w:r>
          <w:r w:rsidR="00E644F0" w:rsidRPr="00DD1B58">
            <w:rPr>
              <w:lang w:val="en-US"/>
            </w:rPr>
            <w:fldChar w:fldCharType="separate"/>
          </w:r>
          <w:r w:rsidR="00DF47DA" w:rsidRPr="00DF47DA">
            <w:rPr>
              <w:noProof/>
              <w:lang w:val="en-US"/>
            </w:rPr>
            <w:t>[201]</w:t>
          </w:r>
          <w:r w:rsidR="00E644F0" w:rsidRPr="00DD1B58">
            <w:rPr>
              <w:lang w:val="en-US"/>
            </w:rPr>
            <w:fldChar w:fldCharType="end"/>
          </w:r>
        </w:sdtContent>
      </w:sdt>
      <w:r w:rsidRPr="00DD1B58">
        <w:rPr>
          <w:lang w:val="en-US"/>
        </w:rPr>
        <w:t>. All new ductwork systems installed on site are designed and constructed in</w:t>
      </w:r>
      <w:r w:rsidR="00A34C42" w:rsidRPr="00DD1B58">
        <w:rPr>
          <w:lang w:val="en-US"/>
        </w:rPr>
        <w:t xml:space="preserve"> </w:t>
      </w:r>
      <w:r w:rsidRPr="00DD1B58">
        <w:rPr>
          <w:lang w:val="en-US"/>
        </w:rPr>
        <w:t xml:space="preserve">accordance with ES_0_1738_1_Issue 1 </w:t>
      </w:r>
      <w:sdt>
        <w:sdtPr>
          <w:rPr>
            <w:lang w:val="en-US"/>
          </w:rPr>
          <w:id w:val="820783653"/>
          <w:citation/>
        </w:sdtPr>
        <w:sdtContent>
          <w:r w:rsidR="002E01BA" w:rsidRPr="00DD1B58">
            <w:rPr>
              <w:lang w:val="en-US"/>
            </w:rPr>
            <w:fldChar w:fldCharType="begin"/>
          </w:r>
          <w:r w:rsidR="002E01BA" w:rsidRPr="00DD1B58">
            <w:rPr>
              <w:lang w:val="en-US"/>
            </w:rPr>
            <w:instrText xml:space="preserve"> CITATION ES_ \l 2057 </w:instrText>
          </w:r>
          <w:r w:rsidR="002E01BA" w:rsidRPr="00DD1B58">
            <w:rPr>
              <w:lang w:val="en-US"/>
            </w:rPr>
            <w:fldChar w:fldCharType="separate"/>
          </w:r>
          <w:r w:rsidR="00DF47DA" w:rsidRPr="00DF47DA">
            <w:rPr>
              <w:noProof/>
              <w:lang w:val="en-US"/>
            </w:rPr>
            <w:t>[200]</w:t>
          </w:r>
          <w:r w:rsidR="002E01BA" w:rsidRPr="00DD1B58">
            <w:rPr>
              <w:lang w:val="en-US"/>
            </w:rPr>
            <w:fldChar w:fldCharType="end"/>
          </w:r>
        </w:sdtContent>
      </w:sdt>
      <w:r w:rsidRPr="00DD1B58">
        <w:rPr>
          <w:lang w:val="en-US"/>
        </w:rPr>
        <w:t>.</w:t>
      </w:r>
      <w:r w:rsidR="00B14324" w:rsidRPr="00DD1B58">
        <w:rPr>
          <w:lang w:val="en-US"/>
        </w:rPr>
        <w:t xml:space="preserve"> </w:t>
      </w:r>
      <w:r w:rsidRPr="00DD1B58">
        <w:rPr>
          <w:lang w:val="en-US"/>
        </w:rPr>
        <w:t xml:space="preserve">All new dampers are ES rated dampers to BS EN 1366-2:2015 </w:t>
      </w:r>
      <w:sdt>
        <w:sdtPr>
          <w:rPr>
            <w:lang w:val="en-US"/>
          </w:rPr>
          <w:id w:val="1097134159"/>
          <w:citation/>
        </w:sdtPr>
        <w:sdtContent>
          <w:r w:rsidR="00E644F0" w:rsidRPr="00DD1B58">
            <w:rPr>
              <w:lang w:val="en-US"/>
            </w:rPr>
            <w:fldChar w:fldCharType="begin"/>
          </w:r>
          <w:r w:rsidR="00E644F0" w:rsidRPr="00DD1B58">
            <w:rPr>
              <w:lang w:val="en-US"/>
            </w:rPr>
            <w:instrText xml:space="preserve"> CITATION Bri15 \l 2057 </w:instrText>
          </w:r>
          <w:r w:rsidR="00E644F0" w:rsidRPr="00DD1B58">
            <w:rPr>
              <w:lang w:val="en-US"/>
            </w:rPr>
            <w:fldChar w:fldCharType="separate"/>
          </w:r>
          <w:r w:rsidR="00DF47DA" w:rsidRPr="00DF47DA">
            <w:rPr>
              <w:noProof/>
              <w:lang w:val="en-US"/>
            </w:rPr>
            <w:t>[194]</w:t>
          </w:r>
          <w:r w:rsidR="00E644F0" w:rsidRPr="00DD1B58">
            <w:rPr>
              <w:lang w:val="en-US"/>
            </w:rPr>
            <w:fldChar w:fldCharType="end"/>
          </w:r>
        </w:sdtContent>
      </w:sdt>
      <w:r w:rsidRPr="00DD1B58">
        <w:rPr>
          <w:lang w:val="en-US"/>
        </w:rPr>
        <w:t>.</w:t>
      </w:r>
    </w:p>
    <w:p w14:paraId="20F4E1A6" w14:textId="225ABA1A" w:rsidR="00D40D4F" w:rsidRPr="00DD1B58" w:rsidRDefault="00D40D4F" w:rsidP="00D40D4F">
      <w:pPr>
        <w:rPr>
          <w:lang w:val="en-US"/>
        </w:rPr>
      </w:pPr>
      <w:r w:rsidRPr="00DD1B58">
        <w:rPr>
          <w:lang w:val="en-US"/>
        </w:rPr>
        <w:t>At the time of construction, the fire dampers</w:t>
      </w:r>
      <w:r w:rsidR="007C3F42" w:rsidRPr="00DD1B58">
        <w:rPr>
          <w:lang w:val="en-US"/>
        </w:rPr>
        <w:t>/</w:t>
      </w:r>
      <w:r w:rsidRPr="00DD1B58">
        <w:rPr>
          <w:lang w:val="en-US"/>
        </w:rPr>
        <w:t>fire shutters were mostly of the thermal link</w:t>
      </w:r>
      <w:r w:rsidR="007C3F42" w:rsidRPr="00DD1B58">
        <w:rPr>
          <w:lang w:val="en-US"/>
        </w:rPr>
        <w:t>/</w:t>
      </w:r>
      <w:r w:rsidRPr="00DD1B58">
        <w:rPr>
          <w:lang w:val="en-US"/>
        </w:rPr>
        <w:t>frangible bulb type. These relied on the heat from a fire to activate the damper</w:t>
      </w:r>
      <w:r w:rsidR="007C3F42" w:rsidRPr="00DD1B58">
        <w:rPr>
          <w:lang w:val="en-US"/>
        </w:rPr>
        <w:t>/</w:t>
      </w:r>
      <w:r w:rsidRPr="00DD1B58">
        <w:rPr>
          <w:lang w:val="en-US"/>
        </w:rPr>
        <w:t>shutter.</w:t>
      </w:r>
    </w:p>
    <w:p w14:paraId="6D816E73" w14:textId="0DA2339E" w:rsidR="00D40D4F" w:rsidRPr="00DD1B58" w:rsidRDefault="00D40D4F" w:rsidP="00D40D4F">
      <w:pPr>
        <w:rPr>
          <w:lang w:val="en-US"/>
        </w:rPr>
      </w:pPr>
      <w:r w:rsidRPr="00DD1B58">
        <w:rPr>
          <w:lang w:val="en-US"/>
        </w:rPr>
        <w:t>As a result of post construction improvements to fire compartmentation additional fire dampers</w:t>
      </w:r>
      <w:r w:rsidR="007C3F42" w:rsidRPr="00DD1B58">
        <w:rPr>
          <w:lang w:val="en-US"/>
        </w:rPr>
        <w:t>/</w:t>
      </w:r>
      <w:r w:rsidRPr="00DD1B58">
        <w:rPr>
          <w:lang w:val="en-US"/>
        </w:rPr>
        <w:t>fire shutters were installed. All these additional devices were configured to be actuated from the fire detection system. Some of these result in the fire alarm going to evacuate on closure, some are configured to provide a Level 5 `Damper closed' message only.</w:t>
      </w:r>
    </w:p>
    <w:p w14:paraId="1977271E" w14:textId="22A2E268" w:rsidR="00D40D4F" w:rsidRPr="00DD1B58" w:rsidRDefault="00D40D4F" w:rsidP="00D40D4F">
      <w:pPr>
        <w:rPr>
          <w:lang w:val="en-US"/>
        </w:rPr>
      </w:pPr>
      <w:r w:rsidRPr="00DD1B58">
        <w:rPr>
          <w:lang w:val="en-US"/>
        </w:rPr>
        <w:t>In 2011 there were approximately 71 fire dampers in the facility with 24 fire dampers being thermal link</w:t>
      </w:r>
      <w:r w:rsidR="005D5C50" w:rsidRPr="00DD1B58">
        <w:rPr>
          <w:lang w:val="en-US"/>
        </w:rPr>
        <w:t>/</w:t>
      </w:r>
      <w:r w:rsidRPr="00DD1B58">
        <w:rPr>
          <w:lang w:val="en-US"/>
        </w:rPr>
        <w:t>frangible bulb type. Since 2011 some additional dampers have been added as part of the construction of new areas in Conversion. These additional dampers are ES rated dampers to BS EN 1366-2:2015.</w:t>
      </w:r>
    </w:p>
    <w:p w14:paraId="0B246EC3" w14:textId="77777777" w:rsidR="0021591B" w:rsidRPr="00DD1B58" w:rsidRDefault="00D40D4F" w:rsidP="00D40D4F">
      <w:pPr>
        <w:rPr>
          <w:lang w:val="en-US"/>
        </w:rPr>
      </w:pPr>
      <w:r w:rsidRPr="00DD1B58">
        <w:rPr>
          <w:lang w:val="en-US"/>
        </w:rPr>
        <w:t>The minimum fire resistance rating of fire dampers is determined based on the rating of the fire compartmentation through which the ventilation system passes. This is confirmed as part of the periodic COSR reviews by undertaking fire loading studies and confirmed that the fire resistance period exceeds the calculated fire load equivalent. New design is to ES1738.</w:t>
      </w:r>
    </w:p>
    <w:p w14:paraId="0FB9DF8C" w14:textId="77777777" w:rsidR="00403FDA" w:rsidRPr="00DD1B58" w:rsidRDefault="00403FDA" w:rsidP="00D40D4F">
      <w:pPr>
        <w:rPr>
          <w:b/>
          <w:lang w:val="en-US"/>
        </w:rPr>
      </w:pPr>
      <w:r w:rsidRPr="00DD1B58">
        <w:rPr>
          <w:b/>
          <w:lang w:val="en-US"/>
        </w:rPr>
        <w:t>Provision for Isolation</w:t>
      </w:r>
    </w:p>
    <w:p w14:paraId="68C1B3E1" w14:textId="7499B57D" w:rsidR="0028683D" w:rsidRPr="00DD1B58" w:rsidRDefault="0028683D" w:rsidP="0028683D">
      <w:pPr>
        <w:rPr>
          <w:lang w:val="en-US"/>
        </w:rPr>
      </w:pPr>
      <w:r w:rsidRPr="00DD1B58">
        <w:rPr>
          <w:lang w:val="en-US"/>
        </w:rPr>
        <w:t xml:space="preserve">Dynamic confinement as defined in ISO 26802: 2010 </w:t>
      </w:r>
      <w:sdt>
        <w:sdtPr>
          <w:rPr>
            <w:lang w:val="en-US"/>
          </w:rPr>
          <w:id w:val="-1939211721"/>
          <w:citation/>
        </w:sdtPr>
        <w:sdtContent>
          <w:r w:rsidR="006B60D7" w:rsidRPr="00DD1B58">
            <w:rPr>
              <w:lang w:val="en-US"/>
            </w:rPr>
            <w:fldChar w:fldCharType="begin"/>
          </w:r>
          <w:r w:rsidR="006B60D7" w:rsidRPr="00DD1B58">
            <w:rPr>
              <w:lang w:val="en-US"/>
            </w:rPr>
            <w:instrText xml:space="preserve"> CITATION ISO \l 2057 </w:instrText>
          </w:r>
          <w:r w:rsidR="006B60D7" w:rsidRPr="00DD1B58">
            <w:rPr>
              <w:lang w:val="en-US"/>
            </w:rPr>
            <w:fldChar w:fldCharType="separate"/>
          </w:r>
          <w:r w:rsidR="00DF47DA" w:rsidRPr="00DF47DA">
            <w:rPr>
              <w:noProof/>
              <w:lang w:val="en-US"/>
            </w:rPr>
            <w:t>[202]</w:t>
          </w:r>
          <w:r w:rsidR="006B60D7" w:rsidRPr="00DD1B58">
            <w:rPr>
              <w:lang w:val="en-US"/>
            </w:rPr>
            <w:fldChar w:fldCharType="end"/>
          </w:r>
        </w:sdtContent>
      </w:sdt>
      <w:r w:rsidRPr="00DD1B58">
        <w:rPr>
          <w:lang w:val="en-US"/>
        </w:rPr>
        <w:t xml:space="preserve"> is an action allowing, by maintaining a preferential air flow circulation, the limitation of back-flow between two areas or between the inside and outside of an enclosure, to prevent radioactive substances being released from a given physical volume. At the interface with the environment (i.e., external dynamic confinement), the ventilation system maintains a negative pressure within controlled areas with a high potential radioactive contamination, to avoid uncontrolled releases.</w:t>
      </w:r>
    </w:p>
    <w:p w14:paraId="26034981" w14:textId="77777777" w:rsidR="00DF47DA" w:rsidRPr="00DD1B58" w:rsidRDefault="0028683D">
      <w:pPr>
        <w:spacing w:after="0" w:line="240" w:lineRule="auto"/>
        <w:rPr>
          <w:b/>
          <w:bCs/>
          <w:color w:val="000000" w:themeColor="text2"/>
          <w:sz w:val="22"/>
          <w:lang w:val="en-US"/>
        </w:rPr>
      </w:pPr>
      <w:r w:rsidRPr="00DD1B58">
        <w:rPr>
          <w:lang w:val="en-US"/>
        </w:rPr>
        <w:t xml:space="preserve">In accordance with Requirement 35 of the IAEA guide for the safety of fuel cycle facilities </w:t>
      </w:r>
      <w:sdt>
        <w:sdtPr>
          <w:rPr>
            <w:lang w:val="en-US"/>
          </w:rPr>
          <w:id w:val="459463876"/>
          <w:citation/>
        </w:sdtPr>
        <w:sdtContent>
          <w:r w:rsidR="006B60D7" w:rsidRPr="00DD1B58">
            <w:rPr>
              <w:lang w:val="en-US"/>
            </w:rPr>
            <w:fldChar w:fldCharType="begin"/>
          </w:r>
          <w:r w:rsidR="006B60D7" w:rsidRPr="00DD1B58">
            <w:rPr>
              <w:lang w:val="en-US"/>
            </w:rPr>
            <w:instrText xml:space="preserve"> CITATION INT17 \l 2057 </w:instrText>
          </w:r>
          <w:r w:rsidR="006B60D7" w:rsidRPr="00DD1B58">
            <w:rPr>
              <w:lang w:val="en-US"/>
            </w:rPr>
            <w:fldChar w:fldCharType="separate"/>
          </w:r>
          <w:r w:rsidR="00DF47DA" w:rsidRPr="00DF47DA">
            <w:rPr>
              <w:noProof/>
              <w:lang w:val="en-US"/>
            </w:rPr>
            <w:t>[19]</w:t>
          </w:r>
          <w:r w:rsidR="006B60D7" w:rsidRPr="00DD1B58">
            <w:rPr>
              <w:lang w:val="en-US"/>
            </w:rPr>
            <w:fldChar w:fldCharType="end"/>
          </w:r>
        </w:sdtContent>
      </w:sdt>
      <w:r w:rsidRPr="00DD1B58">
        <w:rPr>
          <w:lang w:val="en-US"/>
        </w:rPr>
        <w:t xml:space="preserve"> dynamic containment systems are used to create airflow towards areas with higher levels of contamination for treatment before discharge. The static containment system consists of physical barriers between radioactive material and the personnel or the environment typically steel and glazed partitions to separate Operator areas from Secondary areas. Primary areas are typically kilns, autoclaves, hoppers, pipework etc. Secondary areas may become expanded primary areas when opening equipment during outages.</w:t>
      </w:r>
      <w:r w:rsidR="00BF7DF6" w:rsidRPr="00DD1B58">
        <w:rPr>
          <w:lang w:val="en-US"/>
        </w:rPr>
        <w:t xml:space="preserve"> </w:t>
      </w:r>
      <w:r w:rsidRPr="00DD1B58">
        <w:rPr>
          <w:lang w:val="en-US"/>
        </w:rPr>
        <w:t xml:space="preserve">The </w:t>
      </w:r>
      <w:r w:rsidR="003D6749" w:rsidRPr="00DD1B58">
        <w:rPr>
          <w:lang w:val="en-US"/>
        </w:rPr>
        <w:t xml:space="preserve">radiological designation of each area is shown in </w:t>
      </w:r>
      <w:r w:rsidR="00424118" w:rsidRPr="00DD1B58">
        <w:rPr>
          <w:lang w:val="en-US"/>
        </w:rPr>
        <w:fldChar w:fldCharType="begin"/>
      </w:r>
      <w:r w:rsidR="00424118" w:rsidRPr="00DD1B58">
        <w:rPr>
          <w:lang w:val="en-US"/>
        </w:rPr>
        <w:instrText xml:space="preserve"> REF _Ref144178289 \h </w:instrText>
      </w:r>
      <w:r w:rsidR="00424118" w:rsidRPr="00DD1B58">
        <w:rPr>
          <w:lang w:val="en-US"/>
        </w:rPr>
      </w:r>
      <w:r w:rsidR="00424118" w:rsidRPr="00DD1B58">
        <w:rPr>
          <w:lang w:val="en-US"/>
        </w:rPr>
        <w:fldChar w:fldCharType="separate"/>
      </w:r>
      <w:r w:rsidR="00DF47DA" w:rsidRPr="00DD1B58">
        <w:rPr>
          <w:lang w:val="en-US"/>
        </w:rPr>
        <w:br w:type="page"/>
      </w:r>
    </w:p>
    <w:p w14:paraId="6A1EBD84" w14:textId="7909135A" w:rsidR="0028683D" w:rsidRPr="00DD1B58" w:rsidRDefault="00DF47DA" w:rsidP="0028683D">
      <w:pPr>
        <w:rPr>
          <w:lang w:val="en-US"/>
        </w:rPr>
      </w:pPr>
      <w:r w:rsidRPr="00DD1B58">
        <w:rPr>
          <w:lang w:val="en-US"/>
        </w:rPr>
        <w:t xml:space="preserve">Table </w:t>
      </w:r>
      <w:r>
        <w:rPr>
          <w:noProof/>
          <w:lang w:val="en-US"/>
        </w:rPr>
        <w:t>5</w:t>
      </w:r>
      <w:r w:rsidR="00424118" w:rsidRPr="00DD1B58">
        <w:rPr>
          <w:lang w:val="en-US"/>
        </w:rPr>
        <w:fldChar w:fldCharType="end"/>
      </w:r>
      <w:r w:rsidR="003D6749" w:rsidRPr="00DD1B58">
        <w:rPr>
          <w:lang w:val="en-US"/>
        </w:rPr>
        <w:t>:</w:t>
      </w:r>
    </w:p>
    <w:p w14:paraId="14372997" w14:textId="77777777" w:rsidR="0013459F" w:rsidRPr="00DD1B58" w:rsidRDefault="0013459F">
      <w:pPr>
        <w:spacing w:after="0" w:line="240" w:lineRule="auto"/>
        <w:rPr>
          <w:b/>
          <w:bCs/>
          <w:color w:val="000000" w:themeColor="text2"/>
          <w:sz w:val="22"/>
          <w:lang w:val="en-US"/>
        </w:rPr>
      </w:pPr>
      <w:bookmarkStart w:id="154" w:name="_Ref144178289"/>
      <w:r w:rsidRPr="00DD1B58">
        <w:rPr>
          <w:lang w:val="en-US"/>
        </w:rPr>
        <w:br w:type="page"/>
      </w:r>
    </w:p>
    <w:p w14:paraId="385957AE" w14:textId="70E36162" w:rsidR="001040CC" w:rsidRPr="00DD1B58" w:rsidRDefault="001040CC" w:rsidP="00973FF4">
      <w:pPr>
        <w:pStyle w:val="Caption"/>
        <w:rPr>
          <w:lang w:val="en-US"/>
        </w:rPr>
      </w:pPr>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5</w:t>
      </w:r>
      <w:r w:rsidRPr="00DD1B58">
        <w:rPr>
          <w:lang w:val="en-US"/>
        </w:rPr>
        <w:fldChar w:fldCharType="end"/>
      </w:r>
      <w:bookmarkEnd w:id="154"/>
      <w:r w:rsidRPr="00DD1B58">
        <w:rPr>
          <w:lang w:val="en-US"/>
        </w:rPr>
        <w:t xml:space="preserve">: </w:t>
      </w:r>
      <w:r w:rsidR="00134292" w:rsidRPr="00DD1B58">
        <w:rPr>
          <w:lang w:val="en-US"/>
        </w:rPr>
        <w:t>Springfields Fuels Ltd</w:t>
      </w:r>
      <w:r w:rsidRPr="00DD1B58">
        <w:rPr>
          <w:lang w:val="en-US"/>
        </w:rPr>
        <w:t>’s radiological area designations</w:t>
      </w:r>
    </w:p>
    <w:tbl>
      <w:tblPr>
        <w:tblStyle w:val="TableGrid"/>
        <w:tblW w:w="0" w:type="auto"/>
        <w:tblLook w:val="04A0" w:firstRow="1" w:lastRow="0" w:firstColumn="1" w:lastColumn="0" w:noHBand="0" w:noVBand="1"/>
      </w:tblPr>
      <w:tblGrid>
        <w:gridCol w:w="4390"/>
        <w:gridCol w:w="5346"/>
      </w:tblGrid>
      <w:tr w:rsidR="003F338B" w:rsidRPr="00DD1B58" w14:paraId="12F12C72" w14:textId="77777777" w:rsidTr="00C469E0">
        <w:trPr>
          <w:trHeight w:val="410"/>
        </w:trPr>
        <w:tc>
          <w:tcPr>
            <w:tcW w:w="4390" w:type="dxa"/>
          </w:tcPr>
          <w:p w14:paraId="5685892C" w14:textId="77777777" w:rsidR="003F338B" w:rsidRPr="00DD1B58" w:rsidRDefault="003F338B" w:rsidP="00C222A8">
            <w:pPr>
              <w:spacing w:line="240" w:lineRule="auto"/>
              <w:jc w:val="center"/>
              <w:rPr>
                <w:szCs w:val="24"/>
                <w:lang w:val="en-US"/>
              </w:rPr>
            </w:pPr>
            <w:r w:rsidRPr="00DD1B58">
              <w:rPr>
                <w:b/>
                <w:bCs/>
                <w:szCs w:val="24"/>
                <w:lang w:val="en-US"/>
              </w:rPr>
              <w:t>Area</w:t>
            </w:r>
          </w:p>
        </w:tc>
        <w:tc>
          <w:tcPr>
            <w:tcW w:w="5346" w:type="dxa"/>
          </w:tcPr>
          <w:p w14:paraId="5BEC4A74" w14:textId="77777777" w:rsidR="003F338B" w:rsidRPr="00DD1B58" w:rsidRDefault="003F338B" w:rsidP="00C222A8">
            <w:pPr>
              <w:spacing w:line="240" w:lineRule="auto"/>
              <w:jc w:val="center"/>
              <w:rPr>
                <w:szCs w:val="24"/>
                <w:lang w:val="en-US"/>
              </w:rPr>
            </w:pPr>
            <w:r w:rsidRPr="00DD1B58">
              <w:rPr>
                <w:b/>
                <w:bCs/>
                <w:szCs w:val="24"/>
                <w:lang w:val="en-US"/>
              </w:rPr>
              <w:t>Designation</w:t>
            </w:r>
          </w:p>
        </w:tc>
      </w:tr>
      <w:tr w:rsidR="003F338B" w:rsidRPr="00DD1B58" w14:paraId="0AB860A4" w14:textId="77777777" w:rsidTr="00C469E0">
        <w:trPr>
          <w:trHeight w:val="162"/>
        </w:trPr>
        <w:tc>
          <w:tcPr>
            <w:tcW w:w="4390" w:type="dxa"/>
          </w:tcPr>
          <w:p w14:paraId="4942BEE5" w14:textId="77777777" w:rsidR="003F338B" w:rsidRPr="00DD1B58" w:rsidRDefault="003F338B" w:rsidP="00C222A8">
            <w:pPr>
              <w:spacing w:line="240" w:lineRule="auto"/>
              <w:jc w:val="center"/>
              <w:rPr>
                <w:szCs w:val="24"/>
                <w:lang w:val="en-US"/>
              </w:rPr>
            </w:pPr>
            <w:r w:rsidRPr="00DD1B58">
              <w:rPr>
                <w:szCs w:val="24"/>
                <w:lang w:val="en-US"/>
              </w:rPr>
              <w:t>Amenities</w:t>
            </w:r>
          </w:p>
        </w:tc>
        <w:tc>
          <w:tcPr>
            <w:tcW w:w="5346" w:type="dxa"/>
          </w:tcPr>
          <w:p w14:paraId="20A23AD9" w14:textId="77777777" w:rsidR="003F338B" w:rsidRPr="00DD1B58" w:rsidRDefault="003F338B" w:rsidP="00C222A8">
            <w:pPr>
              <w:spacing w:line="240" w:lineRule="auto"/>
              <w:jc w:val="center"/>
              <w:rPr>
                <w:szCs w:val="24"/>
                <w:lang w:val="en-US"/>
              </w:rPr>
            </w:pPr>
            <w:r w:rsidRPr="00DD1B58">
              <w:rPr>
                <w:szCs w:val="24"/>
                <w:lang w:val="en-US"/>
              </w:rPr>
              <w:t>Unrestricted</w:t>
            </w:r>
          </w:p>
        </w:tc>
      </w:tr>
      <w:tr w:rsidR="003F338B" w:rsidRPr="00DD1B58" w14:paraId="4FC6C391" w14:textId="77777777" w:rsidTr="003F338B">
        <w:tc>
          <w:tcPr>
            <w:tcW w:w="4390" w:type="dxa"/>
          </w:tcPr>
          <w:p w14:paraId="5E6023D5" w14:textId="77777777" w:rsidR="003F338B" w:rsidRPr="00DD1B58" w:rsidRDefault="003F338B" w:rsidP="00C222A8">
            <w:pPr>
              <w:spacing w:line="240" w:lineRule="auto"/>
              <w:jc w:val="center"/>
              <w:rPr>
                <w:szCs w:val="24"/>
                <w:lang w:val="en-US"/>
              </w:rPr>
            </w:pPr>
            <w:r w:rsidRPr="00DD1B58">
              <w:rPr>
                <w:szCs w:val="24"/>
                <w:lang w:val="en-US"/>
              </w:rPr>
              <w:t>Operator area</w:t>
            </w:r>
          </w:p>
        </w:tc>
        <w:tc>
          <w:tcPr>
            <w:tcW w:w="5346" w:type="dxa"/>
          </w:tcPr>
          <w:p w14:paraId="294B7B52" w14:textId="77777777" w:rsidR="003F338B" w:rsidRPr="00DD1B58" w:rsidRDefault="003F338B" w:rsidP="00C222A8">
            <w:pPr>
              <w:spacing w:line="240" w:lineRule="auto"/>
              <w:jc w:val="center"/>
              <w:rPr>
                <w:szCs w:val="24"/>
                <w:lang w:val="en-US"/>
              </w:rPr>
            </w:pPr>
            <w:r w:rsidRPr="00DD1B58">
              <w:rPr>
                <w:szCs w:val="24"/>
                <w:lang w:val="en-US"/>
              </w:rPr>
              <w:t>Controlled Area (Radiation)</w:t>
            </w:r>
          </w:p>
        </w:tc>
      </w:tr>
      <w:tr w:rsidR="003F338B" w:rsidRPr="00DD1B58" w14:paraId="496527FD" w14:textId="77777777" w:rsidTr="003F338B">
        <w:tc>
          <w:tcPr>
            <w:tcW w:w="4390" w:type="dxa"/>
          </w:tcPr>
          <w:p w14:paraId="17497628" w14:textId="77777777" w:rsidR="003F338B" w:rsidRPr="00DD1B58" w:rsidRDefault="003F338B" w:rsidP="00C222A8">
            <w:pPr>
              <w:spacing w:line="240" w:lineRule="auto"/>
              <w:jc w:val="center"/>
              <w:rPr>
                <w:szCs w:val="24"/>
                <w:lang w:val="en-US"/>
              </w:rPr>
            </w:pPr>
            <w:r w:rsidRPr="00DD1B58">
              <w:rPr>
                <w:szCs w:val="24"/>
                <w:lang w:val="en-US"/>
              </w:rPr>
              <w:t>Secondary</w:t>
            </w:r>
          </w:p>
        </w:tc>
        <w:tc>
          <w:tcPr>
            <w:tcW w:w="5346" w:type="dxa"/>
          </w:tcPr>
          <w:p w14:paraId="7846A642" w14:textId="77777777" w:rsidR="003F338B" w:rsidRPr="00DD1B58" w:rsidRDefault="003F338B" w:rsidP="00C222A8">
            <w:pPr>
              <w:spacing w:line="240" w:lineRule="auto"/>
              <w:jc w:val="center"/>
              <w:rPr>
                <w:szCs w:val="24"/>
                <w:lang w:val="en-US"/>
              </w:rPr>
            </w:pPr>
            <w:r w:rsidRPr="00DD1B58">
              <w:rPr>
                <w:szCs w:val="24"/>
                <w:lang w:val="en-US"/>
              </w:rPr>
              <w:t>Controlled Area (Radiation and Contamination</w:t>
            </w:r>
          </w:p>
        </w:tc>
      </w:tr>
      <w:tr w:rsidR="003F338B" w:rsidRPr="00DD1B58" w14:paraId="0600F4D1" w14:textId="77777777" w:rsidTr="003F338B">
        <w:tc>
          <w:tcPr>
            <w:tcW w:w="4390" w:type="dxa"/>
          </w:tcPr>
          <w:p w14:paraId="48BBF20C" w14:textId="77777777" w:rsidR="003F338B" w:rsidRPr="00DD1B58" w:rsidRDefault="003F338B" w:rsidP="00C222A8">
            <w:pPr>
              <w:spacing w:line="240" w:lineRule="auto"/>
              <w:jc w:val="center"/>
              <w:rPr>
                <w:szCs w:val="24"/>
                <w:lang w:val="en-US"/>
              </w:rPr>
            </w:pPr>
            <w:r w:rsidRPr="00DD1B58">
              <w:rPr>
                <w:szCs w:val="24"/>
                <w:lang w:val="en-US"/>
              </w:rPr>
              <w:t>Secondary Containment</w:t>
            </w:r>
          </w:p>
        </w:tc>
        <w:tc>
          <w:tcPr>
            <w:tcW w:w="5346" w:type="dxa"/>
          </w:tcPr>
          <w:p w14:paraId="6D4187BB" w14:textId="77777777" w:rsidR="003F338B" w:rsidRPr="00DD1B58" w:rsidRDefault="003F338B" w:rsidP="00C222A8">
            <w:pPr>
              <w:spacing w:line="240" w:lineRule="auto"/>
              <w:jc w:val="center"/>
              <w:rPr>
                <w:szCs w:val="24"/>
                <w:lang w:val="en-US"/>
              </w:rPr>
            </w:pPr>
            <w:r w:rsidRPr="00DD1B58">
              <w:rPr>
                <w:szCs w:val="24"/>
                <w:lang w:val="en-US"/>
              </w:rPr>
              <w:t>Secondary Containment</w:t>
            </w:r>
          </w:p>
        </w:tc>
      </w:tr>
      <w:tr w:rsidR="003F338B" w:rsidRPr="00DD1B58" w14:paraId="1D06E688" w14:textId="77777777" w:rsidTr="000C0CB6">
        <w:trPr>
          <w:trHeight w:val="408"/>
        </w:trPr>
        <w:tc>
          <w:tcPr>
            <w:tcW w:w="4390" w:type="dxa"/>
          </w:tcPr>
          <w:p w14:paraId="6DBCAE58" w14:textId="77777777" w:rsidR="003F338B" w:rsidRPr="00DD1B58" w:rsidRDefault="003F338B" w:rsidP="00C222A8">
            <w:pPr>
              <w:spacing w:line="240" w:lineRule="auto"/>
              <w:jc w:val="center"/>
              <w:rPr>
                <w:szCs w:val="24"/>
                <w:lang w:val="en-US"/>
              </w:rPr>
            </w:pPr>
            <w:r w:rsidRPr="00DD1B58">
              <w:rPr>
                <w:szCs w:val="24"/>
                <w:lang w:val="en-US"/>
              </w:rPr>
              <w:t>Controlled Area (Radiation and Contamination)</w:t>
            </w:r>
          </w:p>
        </w:tc>
        <w:tc>
          <w:tcPr>
            <w:tcW w:w="5346" w:type="dxa"/>
          </w:tcPr>
          <w:p w14:paraId="7A795D8D" w14:textId="77777777" w:rsidR="003F338B" w:rsidRPr="00DD1B58" w:rsidRDefault="003F338B" w:rsidP="00C222A8">
            <w:pPr>
              <w:spacing w:line="240" w:lineRule="auto"/>
              <w:jc w:val="center"/>
              <w:rPr>
                <w:szCs w:val="24"/>
                <w:lang w:val="en-US"/>
              </w:rPr>
            </w:pPr>
            <w:r w:rsidRPr="00DD1B58">
              <w:rPr>
                <w:szCs w:val="24"/>
                <w:lang w:val="en-US"/>
              </w:rPr>
              <w:t>Controlled Area (Radiation and Contamination)</w:t>
            </w:r>
          </w:p>
        </w:tc>
      </w:tr>
    </w:tbl>
    <w:p w14:paraId="2CC6B012" w14:textId="77777777" w:rsidR="00D90EE6" w:rsidRPr="00DD1B58" w:rsidRDefault="00D90EE6" w:rsidP="0028683D">
      <w:pPr>
        <w:rPr>
          <w:lang w:val="en-US"/>
        </w:rPr>
      </w:pPr>
    </w:p>
    <w:p w14:paraId="5D5D7303" w14:textId="6C959785" w:rsidR="003D6749" w:rsidRPr="00DD1B58" w:rsidRDefault="00134292" w:rsidP="0028683D">
      <w:pPr>
        <w:rPr>
          <w:lang w:val="en-US"/>
        </w:rPr>
      </w:pPr>
      <w:r w:rsidRPr="00DD1B58">
        <w:rPr>
          <w:lang w:val="en-US"/>
        </w:rPr>
        <w:t>Springfields Fuels Ltd</w:t>
      </w:r>
      <w:r w:rsidR="00424118" w:rsidRPr="00DD1B58">
        <w:rPr>
          <w:lang w:val="en-US"/>
        </w:rPr>
        <w:t xml:space="preserve"> state</w:t>
      </w:r>
      <w:r w:rsidR="006532D3" w:rsidRPr="00DD1B58">
        <w:rPr>
          <w:lang w:val="en-US"/>
        </w:rPr>
        <w:t>s</w:t>
      </w:r>
      <w:r w:rsidR="00424118" w:rsidRPr="00DD1B58">
        <w:rPr>
          <w:lang w:val="en-US"/>
        </w:rPr>
        <w:t xml:space="preserve"> the following considerations applied</w:t>
      </w:r>
      <w:r w:rsidR="00D90EE6" w:rsidRPr="00DD1B58">
        <w:rPr>
          <w:lang w:val="en-US"/>
        </w:rPr>
        <w:t xml:space="preserve"> to its radiological area designations</w:t>
      </w:r>
      <w:r w:rsidR="00424118" w:rsidRPr="00DD1B58">
        <w:rPr>
          <w:lang w:val="en-US"/>
        </w:rPr>
        <w:t>:</w:t>
      </w:r>
    </w:p>
    <w:p w14:paraId="65121713" w14:textId="77777777" w:rsidR="000E279D" w:rsidRPr="00DD1B58" w:rsidRDefault="000E279D" w:rsidP="000E279D">
      <w:pPr>
        <w:pStyle w:val="Bulletlist1"/>
        <w:rPr>
          <w:lang w:val="en-US"/>
        </w:rPr>
      </w:pPr>
      <w:r w:rsidRPr="00DD1B58">
        <w:rPr>
          <w:lang w:val="en-US"/>
        </w:rPr>
        <w:t>The amenities area is an unrestricted area because no radioactive material is present.</w:t>
      </w:r>
    </w:p>
    <w:p w14:paraId="020C1DB5" w14:textId="77777777" w:rsidR="000E279D" w:rsidRPr="00DD1B58" w:rsidRDefault="000E279D" w:rsidP="000E279D">
      <w:pPr>
        <w:pStyle w:val="Bulletlist1"/>
        <w:rPr>
          <w:lang w:val="en-US"/>
        </w:rPr>
      </w:pPr>
      <w:r w:rsidRPr="00DD1B58">
        <w:rPr>
          <w:lang w:val="en-US"/>
        </w:rPr>
        <w:t>Operator areas are designated as areas within the manufacturing parts of the building but outside the primary/secondary containment and areas which are clean areas because of the higher differential pressure and all uranic material is inside a sealed enclosure (i.e., pin or drum).</w:t>
      </w:r>
    </w:p>
    <w:p w14:paraId="25DC4827" w14:textId="77777777" w:rsidR="000E279D" w:rsidRPr="00DD1B58" w:rsidRDefault="000E279D" w:rsidP="000E279D">
      <w:pPr>
        <w:pStyle w:val="Bulletlist1"/>
        <w:rPr>
          <w:lang w:val="en-US"/>
        </w:rPr>
      </w:pPr>
      <w:r w:rsidRPr="00DD1B58">
        <w:rPr>
          <w:lang w:val="en-US"/>
        </w:rPr>
        <w:t>The secondary area is designated as substantially clean since it is the normal access into secondary containment.</w:t>
      </w:r>
    </w:p>
    <w:p w14:paraId="0EC8B7C5" w14:textId="77777777" w:rsidR="000E279D" w:rsidRPr="00DD1B58" w:rsidRDefault="000E279D" w:rsidP="000E279D">
      <w:pPr>
        <w:pStyle w:val="Bulletlist1"/>
        <w:rPr>
          <w:lang w:val="en-US"/>
        </w:rPr>
      </w:pPr>
      <w:r w:rsidRPr="00DD1B58">
        <w:rPr>
          <w:lang w:val="en-US"/>
        </w:rPr>
        <w:t>Secondary containment areas are cubicles and rooms which house primary containments and are substantially clean by reason of good primary containment, cleaning where necessary and confirmation by monitoring.</w:t>
      </w:r>
    </w:p>
    <w:p w14:paraId="13B8A2B6" w14:textId="4D51FFDC" w:rsidR="00D90EE6" w:rsidRPr="00DD1B58" w:rsidRDefault="000E279D" w:rsidP="000E279D">
      <w:pPr>
        <w:pStyle w:val="Bulletlist1"/>
        <w:rPr>
          <w:lang w:val="en-US"/>
        </w:rPr>
      </w:pPr>
      <w:r w:rsidRPr="00DD1B58">
        <w:rPr>
          <w:lang w:val="en-US"/>
        </w:rPr>
        <w:t>Primary containments are designated as either plant items or areas in which surface and airborne contamination levels may exceed the maximum design level. Access into these areas is restricted to authorised personnel wearing protective clothing.</w:t>
      </w:r>
    </w:p>
    <w:p w14:paraId="2D46DD69" w14:textId="77777777" w:rsidR="000E279D" w:rsidRPr="00DD1B58" w:rsidRDefault="000E279D" w:rsidP="00973FF4">
      <w:pPr>
        <w:pStyle w:val="Bulletlist1"/>
        <w:rPr>
          <w:lang w:val="en-US"/>
        </w:rPr>
      </w:pPr>
      <w:r w:rsidRPr="00DD1B58">
        <w:rPr>
          <w:lang w:val="en-US"/>
        </w:rPr>
        <w:t>Where appropriate primary containments are provided with glove ports and posting ports for operator intervention and removal of materials from the containments.</w:t>
      </w:r>
      <w:r w:rsidR="00511711" w:rsidRPr="00DD1B58">
        <w:rPr>
          <w:lang w:val="en-US"/>
        </w:rPr>
        <w:t xml:space="preserve"> </w:t>
      </w:r>
      <w:r w:rsidRPr="00DD1B58">
        <w:rPr>
          <w:lang w:val="en-US"/>
        </w:rPr>
        <w:t>On occasions when the primary containment is breached for maintenance, the associated secondary containment is re-classified temporarily as an expanded primary containment with access via a vestibule.</w:t>
      </w:r>
      <w:r w:rsidR="00F82D9E" w:rsidRPr="00DD1B58">
        <w:rPr>
          <w:lang w:val="en-US"/>
        </w:rPr>
        <w:t xml:space="preserve"> </w:t>
      </w:r>
      <w:r w:rsidRPr="00DD1B58">
        <w:rPr>
          <w:lang w:val="en-US"/>
        </w:rPr>
        <w:t>On completion of the operations the areas are cleaned and monitored. On achieving satisfactory results, the areas are re-classified to a secondary containment.</w:t>
      </w:r>
    </w:p>
    <w:p w14:paraId="12A8CEF4" w14:textId="77777777" w:rsidR="000E279D" w:rsidRPr="00DD1B58" w:rsidRDefault="000E279D" w:rsidP="000E279D">
      <w:pPr>
        <w:rPr>
          <w:lang w:val="en-US"/>
        </w:rPr>
      </w:pPr>
      <w:r w:rsidRPr="00DD1B58">
        <w:rPr>
          <w:lang w:val="en-US"/>
        </w:rPr>
        <w:t>In the event of fire ventilation fans in OFC remain running and there is no automatic shutdown on closure of fire dampers. Shutdown of the fans occurs if the flow rate is reduced so that damage to the fans is prevented.</w:t>
      </w:r>
      <w:r w:rsidR="00F82ADA" w:rsidRPr="00DD1B58">
        <w:rPr>
          <w:lang w:val="en-US"/>
        </w:rPr>
        <w:t xml:space="preserve"> </w:t>
      </w:r>
      <w:r w:rsidRPr="00DD1B58">
        <w:rPr>
          <w:lang w:val="en-US"/>
        </w:rPr>
        <w:t>The shutdown for the Amenities block fans can be undertaken manually from a panel in the front entrance.</w:t>
      </w:r>
    </w:p>
    <w:p w14:paraId="711816E4" w14:textId="6670944F" w:rsidR="00F82D9E" w:rsidRPr="00DD1B58" w:rsidRDefault="000E279D" w:rsidP="000E279D">
      <w:pPr>
        <w:rPr>
          <w:lang w:val="en-US"/>
        </w:rPr>
      </w:pPr>
      <w:r w:rsidRPr="00DD1B58">
        <w:rPr>
          <w:lang w:val="en-US"/>
        </w:rPr>
        <w:t>The only interface with the fire detection and alarm system is the air handling units in the computer/control room that shutdown on detection fire.</w:t>
      </w:r>
      <w:r w:rsidR="00F82ADA" w:rsidRPr="00DD1B58">
        <w:rPr>
          <w:lang w:val="en-US"/>
        </w:rPr>
        <w:t xml:space="preserve"> </w:t>
      </w:r>
      <w:r w:rsidR="00ED1603" w:rsidRPr="00DD1B58">
        <w:rPr>
          <w:lang w:val="en-US"/>
        </w:rPr>
        <w:t xml:space="preserve">Specific </w:t>
      </w:r>
      <w:r w:rsidR="00FD4BF2" w:rsidRPr="00DD1B58">
        <w:rPr>
          <w:lang w:val="en-US"/>
        </w:rPr>
        <w:t xml:space="preserve">controls available on the fireman’s control panel related to ventilation are described in </w:t>
      </w:r>
      <w:sdt>
        <w:sdtPr>
          <w:rPr>
            <w:lang w:val="en-US"/>
          </w:rPr>
          <w:id w:val="-590003652"/>
          <w:citation/>
        </w:sdtPr>
        <w:sdtContent>
          <w:r w:rsidR="00FD4BF2" w:rsidRPr="00DD1B58">
            <w:rPr>
              <w:lang w:val="en-US"/>
            </w:rPr>
            <w:fldChar w:fldCharType="begin"/>
          </w:r>
          <w:r w:rsidR="00FD4BF2" w:rsidRPr="00DD1B58">
            <w:rPr>
              <w:lang w:val="en-US"/>
            </w:rPr>
            <w:instrText xml:space="preserve"> CITATION ENS \l 2057 </w:instrText>
          </w:r>
          <w:r w:rsidR="00FD4BF2" w:rsidRPr="00DD1B58">
            <w:rPr>
              <w:lang w:val="en-US"/>
            </w:rPr>
            <w:fldChar w:fldCharType="separate"/>
          </w:r>
          <w:r w:rsidR="00DF47DA" w:rsidRPr="00DF47DA">
            <w:rPr>
              <w:noProof/>
              <w:lang w:val="en-US"/>
            </w:rPr>
            <w:t>[9]</w:t>
          </w:r>
          <w:r w:rsidR="00FD4BF2" w:rsidRPr="00DD1B58">
            <w:rPr>
              <w:lang w:val="en-US"/>
            </w:rPr>
            <w:fldChar w:fldCharType="end"/>
          </w:r>
        </w:sdtContent>
      </w:sdt>
      <w:r w:rsidR="00FD4BF2" w:rsidRPr="00DD1B58">
        <w:rPr>
          <w:lang w:val="en-US"/>
        </w:rPr>
        <w:t>.</w:t>
      </w:r>
    </w:p>
    <w:p w14:paraId="44332822" w14:textId="77777777" w:rsidR="00427E03" w:rsidRPr="00DD1B58" w:rsidRDefault="00427E03" w:rsidP="00177432">
      <w:pPr>
        <w:pStyle w:val="Heading5A"/>
        <w:rPr>
          <w:lang w:val="en-US"/>
        </w:rPr>
      </w:pPr>
      <w:r w:rsidRPr="00DD1B58">
        <w:rPr>
          <w:lang w:val="en-US"/>
        </w:rPr>
        <w:t xml:space="preserve">Licensee’s experience of the implementation of the </w:t>
      </w:r>
      <w:r w:rsidR="00A34774" w:rsidRPr="00DD1B58">
        <w:rPr>
          <w:lang w:val="en-US"/>
        </w:rPr>
        <w:t>passive</w:t>
      </w:r>
      <w:r w:rsidRPr="00DD1B58">
        <w:rPr>
          <w:lang w:val="en-US"/>
        </w:rPr>
        <w:t xml:space="preserve"> fire protection</w:t>
      </w:r>
    </w:p>
    <w:p w14:paraId="79976B34" w14:textId="77777777" w:rsidR="00427E03" w:rsidRPr="00DD1B58" w:rsidRDefault="00427E03" w:rsidP="00177432">
      <w:pPr>
        <w:pStyle w:val="Heading5A"/>
        <w:numPr>
          <w:ilvl w:val="5"/>
          <w:numId w:val="7"/>
        </w:numPr>
        <w:rPr>
          <w:lang w:val="en-US"/>
        </w:rPr>
      </w:pPr>
      <w:r w:rsidRPr="00DD1B58">
        <w:rPr>
          <w:lang w:val="en-US"/>
        </w:rPr>
        <w:t>Overview of strengths and weaknesses</w:t>
      </w:r>
    </w:p>
    <w:p w14:paraId="40F89557" w14:textId="303DE8D8" w:rsidR="00311AC9" w:rsidRPr="00DD1B58" w:rsidRDefault="00424118" w:rsidP="00311AC9">
      <w:pPr>
        <w:rPr>
          <w:lang w:val="en-US"/>
        </w:rPr>
      </w:pPr>
      <w:r w:rsidRPr="00DD1B58">
        <w:rPr>
          <w:lang w:val="en-US"/>
        </w:rPr>
        <w:t>E</w:t>
      </w:r>
      <w:r w:rsidR="00B16354" w:rsidRPr="00DD1B58">
        <w:rPr>
          <w:lang w:val="en-US"/>
        </w:rPr>
        <w:t>xample</w:t>
      </w:r>
      <w:r w:rsidR="000634AF" w:rsidRPr="00DD1B58">
        <w:rPr>
          <w:lang w:val="en-US"/>
        </w:rPr>
        <w:t xml:space="preserve">s of enhancements </w:t>
      </w:r>
      <w:r w:rsidR="001F4F3A" w:rsidRPr="00DD1B58">
        <w:rPr>
          <w:lang w:val="en-US"/>
        </w:rPr>
        <w:t xml:space="preserve">and programmes or review relevant </w:t>
      </w:r>
      <w:r w:rsidR="000634AF" w:rsidRPr="00DD1B58">
        <w:rPr>
          <w:lang w:val="en-US"/>
        </w:rPr>
        <w:t xml:space="preserve">to passive and fire protection measures are described in Section </w:t>
      </w:r>
      <w:r w:rsidR="00DB0072" w:rsidRPr="00DD1B58">
        <w:rPr>
          <w:lang w:val="en-US"/>
        </w:rPr>
        <w:fldChar w:fldCharType="begin"/>
      </w:r>
      <w:r w:rsidR="00DB0072" w:rsidRPr="00DD1B58">
        <w:rPr>
          <w:lang w:val="en-US"/>
        </w:rPr>
        <w:instrText xml:space="preserve"> REF _Ref149547795 \r \h </w:instrText>
      </w:r>
      <w:r w:rsidR="00DB0072" w:rsidRPr="00DD1B58">
        <w:rPr>
          <w:lang w:val="en-US"/>
        </w:rPr>
      </w:r>
      <w:r w:rsidR="00DB0072" w:rsidRPr="00DD1B58">
        <w:rPr>
          <w:lang w:val="en-US"/>
        </w:rPr>
        <w:fldChar w:fldCharType="separate"/>
      </w:r>
      <w:r w:rsidR="00DF47DA">
        <w:rPr>
          <w:lang w:val="en-US"/>
        </w:rPr>
        <w:t>C-II-3.3.3.2</w:t>
      </w:r>
      <w:r w:rsidR="00DB0072" w:rsidRPr="00DD1B58">
        <w:rPr>
          <w:lang w:val="en-US"/>
        </w:rPr>
        <w:fldChar w:fldCharType="end"/>
      </w:r>
      <w:r w:rsidR="00FB7CE5" w:rsidRPr="00DD1B58">
        <w:rPr>
          <w:lang w:val="en-US"/>
        </w:rPr>
        <w:t>.</w:t>
      </w:r>
    </w:p>
    <w:p w14:paraId="1B85F05E" w14:textId="77777777" w:rsidR="00427E03" w:rsidRPr="00DD1B58" w:rsidRDefault="00427E03" w:rsidP="00177432">
      <w:pPr>
        <w:pStyle w:val="Heading5A"/>
        <w:numPr>
          <w:ilvl w:val="5"/>
          <w:numId w:val="7"/>
        </w:numPr>
        <w:rPr>
          <w:lang w:val="en-US"/>
        </w:rPr>
      </w:pPr>
      <w:bookmarkStart w:id="155" w:name="_Ref149547795"/>
      <w:r w:rsidRPr="00DD1B58">
        <w:rPr>
          <w:lang w:val="en-US"/>
        </w:rPr>
        <w:t>Lessons learned from events, reviews fire safety related missions, etc.</w:t>
      </w:r>
      <w:bookmarkEnd w:id="155"/>
    </w:p>
    <w:p w14:paraId="7C62FDBE" w14:textId="77777777" w:rsidR="00FB7CE5" w:rsidRPr="00DD1B58" w:rsidRDefault="003D6598" w:rsidP="00FB7CE5">
      <w:pPr>
        <w:rPr>
          <w:lang w:val="en-US"/>
        </w:rPr>
      </w:pPr>
      <w:r w:rsidRPr="00DD1B58">
        <w:rPr>
          <w:lang w:val="en-US"/>
        </w:rPr>
        <w:t xml:space="preserve">Examples of </w:t>
      </w:r>
      <w:r w:rsidR="00160B41" w:rsidRPr="00DD1B58">
        <w:rPr>
          <w:lang w:val="en-US"/>
        </w:rPr>
        <w:t xml:space="preserve">passive protection review and improvement </w:t>
      </w:r>
      <w:r w:rsidR="001538CA" w:rsidRPr="00DD1B58">
        <w:rPr>
          <w:lang w:val="en-US"/>
        </w:rPr>
        <w:t>projects include</w:t>
      </w:r>
      <w:r w:rsidR="000F7E19" w:rsidRPr="00DD1B58">
        <w:rPr>
          <w:lang w:val="en-US"/>
        </w:rPr>
        <w:t>:</w:t>
      </w:r>
    </w:p>
    <w:p w14:paraId="7CAD59AE" w14:textId="77777777" w:rsidR="000F7E19" w:rsidRPr="00DD1B58" w:rsidRDefault="00A155A4" w:rsidP="000F7E19">
      <w:pPr>
        <w:pStyle w:val="Bulletlist1"/>
        <w:rPr>
          <w:lang w:val="en-US"/>
        </w:rPr>
      </w:pPr>
      <w:r w:rsidRPr="00DD1B58">
        <w:rPr>
          <w:lang w:val="en-US"/>
        </w:rPr>
        <w:t xml:space="preserve">Full fire damper survey of OFC </w:t>
      </w:r>
      <w:r w:rsidR="00F25D52" w:rsidRPr="00DD1B58">
        <w:rPr>
          <w:lang w:val="en-US"/>
        </w:rPr>
        <w:t xml:space="preserve">considering and justifying which fusible link operated dampers </w:t>
      </w:r>
      <w:r w:rsidR="00836ACB" w:rsidRPr="00DD1B58">
        <w:rPr>
          <w:lang w:val="en-US"/>
        </w:rPr>
        <w:t>could be retained, which dampers could be safely declared redund</w:t>
      </w:r>
      <w:r w:rsidR="00F95841" w:rsidRPr="00DD1B58">
        <w:rPr>
          <w:lang w:val="en-US"/>
        </w:rPr>
        <w:t xml:space="preserve">ant </w:t>
      </w:r>
      <w:r w:rsidR="006B2F44" w:rsidRPr="00DD1B58">
        <w:rPr>
          <w:lang w:val="en-US"/>
        </w:rPr>
        <w:t>and permanently left</w:t>
      </w:r>
      <w:r w:rsidR="0036052A" w:rsidRPr="00DD1B58">
        <w:rPr>
          <w:lang w:val="en-US"/>
        </w:rPr>
        <w:t xml:space="preserve"> in an open position </w:t>
      </w:r>
      <w:r w:rsidR="006275CA" w:rsidRPr="00DD1B58">
        <w:rPr>
          <w:lang w:val="en-US"/>
        </w:rPr>
        <w:t>and which required to be operated by smoke detection and alarm systems.</w:t>
      </w:r>
    </w:p>
    <w:p w14:paraId="21566B90" w14:textId="32728DFE" w:rsidR="006275CA" w:rsidRPr="00DD1B58" w:rsidRDefault="006275CA" w:rsidP="000F7E19">
      <w:pPr>
        <w:pStyle w:val="Bulletlist1"/>
        <w:rPr>
          <w:lang w:val="en-US"/>
        </w:rPr>
      </w:pPr>
      <w:r w:rsidRPr="00DD1B58">
        <w:rPr>
          <w:lang w:val="en-US"/>
        </w:rPr>
        <w:t xml:space="preserve">A full </w:t>
      </w:r>
      <w:r w:rsidR="002C0B8D" w:rsidRPr="00DD1B58">
        <w:rPr>
          <w:lang w:val="en-US"/>
        </w:rPr>
        <w:t>ratification of the fire compartment</w:t>
      </w:r>
      <w:r w:rsidR="00940D2A" w:rsidRPr="00DD1B58">
        <w:rPr>
          <w:lang w:val="en-US"/>
        </w:rPr>
        <w:t xml:space="preserve"> </w:t>
      </w:r>
      <w:r w:rsidR="002C0B8D" w:rsidRPr="00DD1B58">
        <w:rPr>
          <w:lang w:val="en-US"/>
        </w:rPr>
        <w:t>scheme for OFC and production of amended fire compartment drawings.</w:t>
      </w:r>
    </w:p>
    <w:p w14:paraId="0B6936D4" w14:textId="77777777" w:rsidR="002C0B8D" w:rsidRPr="00DD1B58" w:rsidRDefault="00434651" w:rsidP="000F7E19">
      <w:pPr>
        <w:pStyle w:val="Bulletlist1"/>
        <w:rPr>
          <w:lang w:val="en-US"/>
        </w:rPr>
      </w:pPr>
      <w:r w:rsidRPr="00DD1B58">
        <w:rPr>
          <w:lang w:val="en-US"/>
        </w:rPr>
        <w:t>Replacement of all dampers and a full upgrade of the fire detection and alarm system in the laboratory building.</w:t>
      </w:r>
    </w:p>
    <w:p w14:paraId="5E690961" w14:textId="77777777" w:rsidR="00427E03" w:rsidRPr="00DD1B58" w:rsidRDefault="00427E03" w:rsidP="00177432">
      <w:pPr>
        <w:pStyle w:val="Heading5A"/>
        <w:numPr>
          <w:ilvl w:val="5"/>
          <w:numId w:val="7"/>
        </w:numPr>
        <w:rPr>
          <w:lang w:val="en-US"/>
        </w:rPr>
      </w:pPr>
      <w:r w:rsidRPr="00DD1B58">
        <w:rPr>
          <w:lang w:val="en-US"/>
        </w:rPr>
        <w:t>Overview of actions and implementation status</w:t>
      </w:r>
    </w:p>
    <w:p w14:paraId="7E99A813" w14:textId="6FBE2369" w:rsidR="00BC724C" w:rsidRPr="00DD1B58" w:rsidRDefault="00491399" w:rsidP="00BC724C">
      <w:pPr>
        <w:rPr>
          <w:lang w:val="en-US"/>
        </w:rPr>
      </w:pPr>
      <w:r w:rsidRPr="00DD1B58">
        <w:rPr>
          <w:lang w:val="en-US"/>
        </w:rPr>
        <w:t xml:space="preserve">No specific open actions relevant to </w:t>
      </w:r>
      <w:r w:rsidR="00804B67" w:rsidRPr="00DD1B58">
        <w:rPr>
          <w:lang w:val="en-US"/>
        </w:rPr>
        <w:t>passive fire protection have been identified</w:t>
      </w:r>
      <w:r w:rsidR="00424118" w:rsidRPr="00DD1B58">
        <w:rPr>
          <w:lang w:val="en-US"/>
        </w:rPr>
        <w:t xml:space="preserve"> by the licensee.</w:t>
      </w:r>
    </w:p>
    <w:p w14:paraId="67D1D8EF" w14:textId="77777777" w:rsidR="00427E03" w:rsidRPr="00DD1B58" w:rsidRDefault="00427E03" w:rsidP="00177432">
      <w:pPr>
        <w:pStyle w:val="Heading5A"/>
        <w:rPr>
          <w:lang w:val="en-US"/>
        </w:rPr>
      </w:pPr>
      <w:bookmarkStart w:id="156" w:name="_Ref145058755"/>
      <w:r w:rsidRPr="00DD1B58">
        <w:rPr>
          <w:lang w:val="en-US"/>
        </w:rPr>
        <w:t xml:space="preserve">Regulator’s assessment of the </w:t>
      </w:r>
      <w:r w:rsidR="00A34774" w:rsidRPr="00DD1B58">
        <w:rPr>
          <w:lang w:val="en-US"/>
        </w:rPr>
        <w:t>passive</w:t>
      </w:r>
      <w:r w:rsidRPr="00DD1B58">
        <w:rPr>
          <w:lang w:val="en-US"/>
        </w:rPr>
        <w:t xml:space="preserve"> fire protection</w:t>
      </w:r>
      <w:bookmarkEnd w:id="156"/>
    </w:p>
    <w:p w14:paraId="787C48B9" w14:textId="77777777" w:rsidR="00427E03" w:rsidRPr="00DD1B58" w:rsidRDefault="00427E03" w:rsidP="00177432">
      <w:pPr>
        <w:pStyle w:val="Heading5A"/>
        <w:numPr>
          <w:ilvl w:val="5"/>
          <w:numId w:val="7"/>
        </w:numPr>
        <w:rPr>
          <w:lang w:val="en-US"/>
        </w:rPr>
      </w:pPr>
      <w:r w:rsidRPr="00DD1B58">
        <w:rPr>
          <w:lang w:val="en-US"/>
        </w:rPr>
        <w:t>Overview of strengths and weaknesses in the passive fire protection</w:t>
      </w:r>
    </w:p>
    <w:p w14:paraId="52FEE3BB" w14:textId="77777777" w:rsidR="00785542" w:rsidRPr="00DD1B58" w:rsidRDefault="007A4B42" w:rsidP="00785542">
      <w:pPr>
        <w:rPr>
          <w:b/>
          <w:lang w:val="en-US"/>
        </w:rPr>
      </w:pPr>
      <w:r w:rsidRPr="00DD1B58">
        <w:rPr>
          <w:b/>
          <w:lang w:val="en-US"/>
        </w:rPr>
        <w:t>Strengths</w:t>
      </w:r>
    </w:p>
    <w:p w14:paraId="177366F6" w14:textId="77777777" w:rsidR="007A4B42" w:rsidRPr="00DD1B58" w:rsidRDefault="00420E9F" w:rsidP="00420E9F">
      <w:pPr>
        <w:ind w:firstLine="720"/>
        <w:rPr>
          <w:b/>
          <w:lang w:val="en-US"/>
        </w:rPr>
      </w:pPr>
      <w:r w:rsidRPr="00DD1B58">
        <w:rPr>
          <w:b/>
          <w:lang w:val="en-US"/>
        </w:rPr>
        <w:t>Passive Fire Protection Upgrades</w:t>
      </w:r>
    </w:p>
    <w:p w14:paraId="41419FAB" w14:textId="42368233" w:rsidR="00420E9F" w:rsidRPr="00DD1B58" w:rsidRDefault="00134292" w:rsidP="00785542">
      <w:pPr>
        <w:rPr>
          <w:lang w:val="en-US"/>
        </w:rPr>
      </w:pPr>
      <w:r w:rsidRPr="00DD1B58">
        <w:rPr>
          <w:lang w:val="en-US"/>
        </w:rPr>
        <w:t>Springfields Fuels Ltd</w:t>
      </w:r>
      <w:r w:rsidR="007538EB" w:rsidRPr="00DD1B58">
        <w:rPr>
          <w:lang w:val="en-US"/>
        </w:rPr>
        <w:t xml:space="preserve"> has </w:t>
      </w:r>
      <w:r w:rsidR="00420E9F" w:rsidRPr="00DD1B58">
        <w:rPr>
          <w:lang w:val="en-US"/>
        </w:rPr>
        <w:t>identified several examples where proactive upgrades</w:t>
      </w:r>
      <w:r w:rsidR="00615D71" w:rsidRPr="00DD1B58">
        <w:rPr>
          <w:lang w:val="en-US"/>
        </w:rPr>
        <w:t xml:space="preserve"> and studies</w:t>
      </w:r>
      <w:r w:rsidR="00420E9F" w:rsidRPr="00DD1B58">
        <w:rPr>
          <w:lang w:val="en-US"/>
        </w:rPr>
        <w:t xml:space="preserve"> have been made to passive fire protection measures.</w:t>
      </w:r>
      <w:r w:rsidR="00E41F0A" w:rsidRPr="00DD1B58">
        <w:rPr>
          <w:lang w:val="en-US"/>
        </w:rPr>
        <w:t xml:space="preserve"> These in</w:t>
      </w:r>
      <w:r w:rsidR="00615D71" w:rsidRPr="00DD1B58">
        <w:rPr>
          <w:lang w:val="en-US"/>
        </w:rPr>
        <w:t>clude reviews of fire compartment</w:t>
      </w:r>
      <w:r w:rsidR="00115D99" w:rsidRPr="00DD1B58">
        <w:rPr>
          <w:lang w:val="en-US"/>
        </w:rPr>
        <w:t xml:space="preserve"> data</w:t>
      </w:r>
      <w:r w:rsidR="00E46915" w:rsidRPr="00DD1B58">
        <w:rPr>
          <w:lang w:val="en-US"/>
        </w:rPr>
        <w:t xml:space="preserve">, enhancement </w:t>
      </w:r>
      <w:r w:rsidR="00391BFB" w:rsidRPr="00DD1B58">
        <w:rPr>
          <w:lang w:val="en-US"/>
        </w:rPr>
        <w:t>of fire compartmentation where identified, upgrades to glazing to meet the resistance standard of th</w:t>
      </w:r>
      <w:r w:rsidR="00D263DC" w:rsidRPr="00DD1B58">
        <w:rPr>
          <w:lang w:val="en-US"/>
        </w:rPr>
        <w:t>e barrier within which it is housed and implementation of fire resisting shutters.</w:t>
      </w:r>
      <w:r w:rsidR="00AE0C24" w:rsidRPr="00DD1B58">
        <w:rPr>
          <w:lang w:val="en-US"/>
        </w:rPr>
        <w:t xml:space="preserve"> The prioritisation of </w:t>
      </w:r>
      <w:r w:rsidR="007E5C85" w:rsidRPr="00DD1B58">
        <w:rPr>
          <w:lang w:val="en-US"/>
        </w:rPr>
        <w:t xml:space="preserve">passive safety measures is aligned with </w:t>
      </w:r>
      <w:r w:rsidR="0004674C" w:rsidRPr="00DD1B58">
        <w:rPr>
          <w:lang w:val="en-US"/>
        </w:rPr>
        <w:t xml:space="preserve">SAP EKP.5 </w:t>
      </w:r>
      <w:sdt>
        <w:sdtPr>
          <w:rPr>
            <w:lang w:val="en-US"/>
          </w:rPr>
          <w:id w:val="684710313"/>
          <w:citation/>
        </w:sdtPr>
        <w:sdtContent>
          <w:r w:rsidR="00567CD4" w:rsidRPr="00DD1B58">
            <w:rPr>
              <w:lang w:val="en-US"/>
            </w:rPr>
            <w:fldChar w:fldCharType="begin"/>
          </w:r>
          <w:r w:rsidR="009C6919" w:rsidRPr="00DD1B58">
            <w:rPr>
              <w:lang w:val="en-US"/>
            </w:rPr>
            <w:instrText xml:space="preserve">CITATION Off20 \l 2057 </w:instrText>
          </w:r>
          <w:r w:rsidR="00567CD4" w:rsidRPr="00DD1B58">
            <w:rPr>
              <w:lang w:val="en-US"/>
            </w:rPr>
            <w:fldChar w:fldCharType="separate"/>
          </w:r>
          <w:r w:rsidR="00DF47DA" w:rsidRPr="00DF47DA">
            <w:rPr>
              <w:noProof/>
              <w:lang w:val="en-US"/>
            </w:rPr>
            <w:t>[15]</w:t>
          </w:r>
          <w:r w:rsidR="00567CD4" w:rsidRPr="00DD1B58">
            <w:rPr>
              <w:lang w:val="en-US"/>
            </w:rPr>
            <w:fldChar w:fldCharType="end"/>
          </w:r>
        </w:sdtContent>
      </w:sdt>
      <w:r w:rsidR="00567CD4" w:rsidRPr="00DD1B58">
        <w:rPr>
          <w:lang w:val="en-US"/>
        </w:rPr>
        <w:t xml:space="preserve"> </w:t>
      </w:r>
      <w:r w:rsidR="0004674C" w:rsidRPr="00DD1B58">
        <w:rPr>
          <w:lang w:val="en-US"/>
        </w:rPr>
        <w:t xml:space="preserve">which </w:t>
      </w:r>
      <w:r w:rsidR="00636F10" w:rsidRPr="00DD1B58">
        <w:rPr>
          <w:lang w:val="en-US"/>
        </w:rPr>
        <w:t xml:space="preserve">outlines a preferred hierarchy of safety measures with </w:t>
      </w:r>
      <w:r w:rsidR="001A0535" w:rsidRPr="00DD1B58">
        <w:rPr>
          <w:lang w:val="en-US"/>
        </w:rPr>
        <w:t xml:space="preserve">passive measures being at the top of that hierarchy. </w:t>
      </w:r>
      <w:r w:rsidR="00FF513B" w:rsidRPr="00DD1B58">
        <w:rPr>
          <w:lang w:val="en-US"/>
        </w:rPr>
        <w:t xml:space="preserve">This </w:t>
      </w:r>
      <w:r w:rsidR="006E5D6C" w:rsidRPr="00DD1B58">
        <w:rPr>
          <w:lang w:val="en-US"/>
        </w:rPr>
        <w:t xml:space="preserve">approach also meets </w:t>
      </w:r>
      <w:r w:rsidR="00AE5A16" w:rsidRPr="00DD1B58">
        <w:rPr>
          <w:lang w:val="en-US"/>
        </w:rPr>
        <w:t xml:space="preserve">the expectations of </w:t>
      </w:r>
      <w:r w:rsidR="001A0535" w:rsidRPr="00DD1B58">
        <w:rPr>
          <w:lang w:val="en-US"/>
        </w:rPr>
        <w:t>IAEA guidance SSG</w:t>
      </w:r>
      <w:r w:rsidR="00CC591D" w:rsidRPr="00DD1B58">
        <w:rPr>
          <w:lang w:val="en-US"/>
        </w:rPr>
        <w:t>-77</w:t>
      </w:r>
      <w:r w:rsidR="00567CD4" w:rsidRPr="00DD1B58">
        <w:rPr>
          <w:lang w:val="en-US"/>
        </w:rPr>
        <w:t xml:space="preserve"> </w:t>
      </w:r>
      <w:sdt>
        <w:sdtPr>
          <w:rPr>
            <w:lang w:val="en-US"/>
          </w:rPr>
          <w:id w:val="305360662"/>
          <w:citation/>
        </w:sdtPr>
        <w:sdtContent>
          <w:r w:rsidR="00CF7745" w:rsidRPr="00DD1B58">
            <w:rPr>
              <w:lang w:val="en-US"/>
            </w:rPr>
            <w:fldChar w:fldCharType="begin"/>
          </w:r>
          <w:r w:rsidR="00CF7745" w:rsidRPr="00DD1B58">
            <w:rPr>
              <w:lang w:val="en-US"/>
            </w:rPr>
            <w:instrText xml:space="preserve"> CITATION Int22 \l 2057 </w:instrText>
          </w:r>
          <w:r w:rsidR="00CF7745" w:rsidRPr="00DD1B58">
            <w:rPr>
              <w:lang w:val="en-US"/>
            </w:rPr>
            <w:fldChar w:fldCharType="separate"/>
          </w:r>
          <w:r w:rsidR="00DF47DA" w:rsidRPr="00DF47DA">
            <w:rPr>
              <w:noProof/>
              <w:lang w:val="en-US"/>
            </w:rPr>
            <w:t>[18]</w:t>
          </w:r>
          <w:r w:rsidR="00CF7745" w:rsidRPr="00DD1B58">
            <w:rPr>
              <w:lang w:val="en-US"/>
            </w:rPr>
            <w:fldChar w:fldCharType="end"/>
          </w:r>
        </w:sdtContent>
      </w:sdt>
      <w:r w:rsidR="00CC591D" w:rsidRPr="00DD1B58">
        <w:rPr>
          <w:lang w:val="en-US"/>
        </w:rPr>
        <w:t xml:space="preserve"> </w:t>
      </w:r>
      <w:r w:rsidR="0095412F" w:rsidRPr="00DD1B58">
        <w:rPr>
          <w:lang w:val="en-US"/>
        </w:rPr>
        <w:t xml:space="preserve">which </w:t>
      </w:r>
      <w:r w:rsidR="00AE0CE1" w:rsidRPr="00DD1B58">
        <w:rPr>
          <w:lang w:val="en-US"/>
        </w:rPr>
        <w:t xml:space="preserve">identifies </w:t>
      </w:r>
      <w:r w:rsidR="00BA70CD" w:rsidRPr="00DD1B58">
        <w:rPr>
          <w:lang w:val="en-US"/>
        </w:rPr>
        <w:t>passive measures as a key aspect of defence in depth, particularly against fire hazards.</w:t>
      </w:r>
    </w:p>
    <w:p w14:paraId="0D9734B9" w14:textId="77777777" w:rsidR="009D5936" w:rsidRPr="00DD1B58" w:rsidRDefault="00F02210" w:rsidP="00785542">
      <w:pPr>
        <w:rPr>
          <w:b/>
          <w:lang w:val="en-US"/>
        </w:rPr>
      </w:pPr>
      <w:r w:rsidRPr="00DD1B58">
        <w:rPr>
          <w:b/>
          <w:lang w:val="en-US"/>
        </w:rPr>
        <w:t>Weaknesses</w:t>
      </w:r>
    </w:p>
    <w:p w14:paraId="7CCE4943" w14:textId="77777777" w:rsidR="00F02210" w:rsidRPr="00DD1B58" w:rsidRDefault="00F02210" w:rsidP="00785542">
      <w:pPr>
        <w:rPr>
          <w:lang w:val="en-US"/>
        </w:rPr>
      </w:pPr>
      <w:r w:rsidRPr="00DD1B58">
        <w:rPr>
          <w:lang w:val="en-US"/>
        </w:rPr>
        <w:t xml:space="preserve">No specific weaknesses have been identified </w:t>
      </w:r>
      <w:r w:rsidR="00085530" w:rsidRPr="00DD1B58">
        <w:rPr>
          <w:lang w:val="en-US"/>
        </w:rPr>
        <w:t>with respect to passive fire protection. Springfields have provided a significan</w:t>
      </w:r>
      <w:r w:rsidR="00586478" w:rsidRPr="00DD1B58">
        <w:rPr>
          <w:lang w:val="en-US"/>
        </w:rPr>
        <w:t xml:space="preserve">t number of examples of how passive fire protection is considered within their nuclear safety case and how proactive works </w:t>
      </w:r>
      <w:r w:rsidR="0099159D" w:rsidRPr="00DD1B58">
        <w:rPr>
          <w:lang w:val="en-US"/>
        </w:rPr>
        <w:t xml:space="preserve">continue to ensure the </w:t>
      </w:r>
      <w:r w:rsidR="00495994" w:rsidRPr="00DD1B58">
        <w:rPr>
          <w:lang w:val="en-US"/>
        </w:rPr>
        <w:t xml:space="preserve">safety </w:t>
      </w:r>
      <w:r w:rsidR="005C3C3D" w:rsidRPr="00DD1B58">
        <w:rPr>
          <w:lang w:val="en-US"/>
        </w:rPr>
        <w:t>f</w:t>
      </w:r>
      <w:r w:rsidR="008A426D" w:rsidRPr="00DD1B58">
        <w:rPr>
          <w:lang w:val="en-US"/>
        </w:rPr>
        <w:t>unction of these measures.</w:t>
      </w:r>
    </w:p>
    <w:p w14:paraId="10DD880D" w14:textId="77777777" w:rsidR="00427E03" w:rsidRPr="00DD1B58" w:rsidRDefault="00427E03"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1DB9262E" w14:textId="4C7A70FE" w:rsidR="009C4975" w:rsidRPr="00DD1B58" w:rsidRDefault="00026FBF" w:rsidP="00026FBF">
      <w:pPr>
        <w:rPr>
          <w:lang w:val="en-US"/>
        </w:rPr>
      </w:pPr>
      <w:r w:rsidRPr="00DD1B58">
        <w:rPr>
          <w:lang w:val="en-US"/>
        </w:rPr>
        <w:t xml:space="preserve">ONR’s arrangements for regulating the Springfields site are described in Section </w:t>
      </w:r>
      <w:r w:rsidRPr="00DD1B58">
        <w:rPr>
          <w:lang w:val="en-US"/>
        </w:rPr>
        <w:fldChar w:fldCharType="begin"/>
      </w:r>
      <w:r w:rsidRPr="00DD1B58">
        <w:rPr>
          <w:lang w:val="en-US"/>
        </w:rPr>
        <w:instrText xml:space="preserve"> REF _Ref139978962 \r \h </w:instrText>
      </w:r>
      <w:r w:rsidRPr="00DD1B58">
        <w:rPr>
          <w:lang w:val="en-US"/>
        </w:rPr>
      </w:r>
      <w:r w:rsidRPr="00DD1B58">
        <w:rPr>
          <w:lang w:val="en-US"/>
        </w:rPr>
        <w:fldChar w:fldCharType="separate"/>
      </w:r>
      <w:r w:rsidR="00DF47DA">
        <w:rPr>
          <w:lang w:val="en-US"/>
        </w:rPr>
        <w:t>II-2.3.7.2</w:t>
      </w:r>
      <w:r w:rsidRPr="00DD1B58">
        <w:rPr>
          <w:lang w:val="en-US"/>
        </w:rPr>
        <w:fldChar w:fldCharType="end"/>
      </w:r>
      <w:r w:rsidRPr="00DD1B58">
        <w:rPr>
          <w:lang w:val="en-US"/>
        </w:rPr>
        <w:t>.</w:t>
      </w:r>
      <w:r w:rsidR="009C4975" w:rsidRPr="00DD1B58">
        <w:rPr>
          <w:lang w:val="en-US"/>
        </w:rPr>
        <w:t xml:space="preserve"> </w:t>
      </w:r>
    </w:p>
    <w:p w14:paraId="62FA62D0" w14:textId="22E62F8F" w:rsidR="000E7460" w:rsidRPr="00DD1B58" w:rsidRDefault="00026FBF" w:rsidP="00026FBF">
      <w:pPr>
        <w:rPr>
          <w:lang w:val="en-US"/>
        </w:rPr>
      </w:pPr>
      <w:r w:rsidRPr="00DD1B58">
        <w:rPr>
          <w:lang w:val="en-US"/>
        </w:rPr>
        <w:t>ONR has undertaken fire safety focussed inspections or assessments at the Springfields site in line with risk focussed inspection planning.</w:t>
      </w:r>
      <w:r w:rsidR="005763CA" w:rsidRPr="00DD1B58">
        <w:rPr>
          <w:lang w:val="en-US"/>
        </w:rPr>
        <w:t xml:space="preserve"> Several life fire safety inspections have been undertaken (</w:t>
      </w:r>
      <w:r w:rsidR="005240DE" w:rsidRPr="00DD1B58">
        <w:rPr>
          <w:lang w:val="en-US"/>
        </w:rPr>
        <w:t xml:space="preserve">2021, 2019, 2017, 2016) which consider as part of their scope the methodology for deriving fire compartmentation requirements and the material condition of passive fire barriers. </w:t>
      </w:r>
      <w:r w:rsidR="00122E8C" w:rsidRPr="00DD1B58">
        <w:rPr>
          <w:lang w:val="en-US"/>
        </w:rPr>
        <w:t xml:space="preserve">ONR did not raise any </w:t>
      </w:r>
      <w:r w:rsidR="007A340F" w:rsidRPr="00DD1B58">
        <w:rPr>
          <w:lang w:val="en-US"/>
        </w:rPr>
        <w:t xml:space="preserve">regulatory issues related to </w:t>
      </w:r>
      <w:r w:rsidR="00AB10E9" w:rsidRPr="00DD1B58">
        <w:rPr>
          <w:lang w:val="en-US"/>
        </w:rPr>
        <w:t>passive safety measures</w:t>
      </w:r>
      <w:r w:rsidR="00122E8C" w:rsidRPr="00DD1B58">
        <w:rPr>
          <w:lang w:val="en-US"/>
        </w:rPr>
        <w:t>.</w:t>
      </w:r>
    </w:p>
    <w:p w14:paraId="3AADB6EE" w14:textId="71C0E091" w:rsidR="00946612" w:rsidRPr="00DD1B58" w:rsidRDefault="00CD3312" w:rsidP="00177432">
      <w:pPr>
        <w:pStyle w:val="Heading3A"/>
        <w:rPr>
          <w:lang w:val="en-US"/>
        </w:rPr>
      </w:pPr>
      <w:bookmarkStart w:id="157" w:name="_Toc147090655"/>
      <w:r w:rsidRPr="00DD1B58">
        <w:rPr>
          <w:lang w:val="en-US"/>
        </w:rPr>
        <w:t xml:space="preserve">Dedicated </w:t>
      </w:r>
      <w:r w:rsidR="0059010C" w:rsidRPr="00DD1B58">
        <w:rPr>
          <w:lang w:val="en-US"/>
        </w:rPr>
        <w:t>s</w:t>
      </w:r>
      <w:r w:rsidRPr="00DD1B58">
        <w:rPr>
          <w:lang w:val="en-US"/>
        </w:rPr>
        <w:t xml:space="preserve">pent </w:t>
      </w:r>
      <w:r w:rsidR="0059010C" w:rsidRPr="00DD1B58">
        <w:rPr>
          <w:lang w:val="en-US"/>
        </w:rPr>
        <w:t>f</w:t>
      </w:r>
      <w:r w:rsidRPr="00DD1B58">
        <w:rPr>
          <w:lang w:val="en-US"/>
        </w:rPr>
        <w:t xml:space="preserve">uel </w:t>
      </w:r>
      <w:r w:rsidR="0059010C" w:rsidRPr="00DD1B58">
        <w:rPr>
          <w:lang w:val="en-US"/>
        </w:rPr>
        <w:t>s</w:t>
      </w:r>
      <w:r w:rsidRPr="00DD1B58">
        <w:rPr>
          <w:lang w:val="en-US"/>
        </w:rPr>
        <w:t xml:space="preserve">torage </w:t>
      </w:r>
      <w:r w:rsidR="0059010C" w:rsidRPr="00DD1B58">
        <w:rPr>
          <w:lang w:val="en-US"/>
        </w:rPr>
        <w:t>f</w:t>
      </w:r>
      <w:r w:rsidRPr="00DD1B58">
        <w:rPr>
          <w:lang w:val="en-US"/>
        </w:rPr>
        <w:t>acilities</w:t>
      </w:r>
      <w:bookmarkEnd w:id="157"/>
    </w:p>
    <w:p w14:paraId="354F9B7C" w14:textId="2D53835E" w:rsidR="00237DC6" w:rsidRPr="00DD1B58" w:rsidRDefault="00946612" w:rsidP="00946612">
      <w:pPr>
        <w:rPr>
          <w:lang w:val="en-US"/>
        </w:rPr>
      </w:pPr>
      <w:r w:rsidRPr="00DD1B58">
        <w:rPr>
          <w:lang w:val="en-US"/>
        </w:rPr>
        <w:t>Spent fuel storage facilities associated with reactor sites are reported under Section</w:t>
      </w:r>
      <w:r w:rsidR="005C27CF" w:rsidRPr="00DD1B58">
        <w:rPr>
          <w:lang w:val="en-US"/>
        </w:rPr>
        <w:t xml:space="preserve"> </w:t>
      </w:r>
      <w:r w:rsidR="005C27CF" w:rsidRPr="00DD1B58">
        <w:rPr>
          <w:lang w:val="en-US"/>
        </w:rPr>
        <w:fldChar w:fldCharType="begin"/>
      </w:r>
      <w:r w:rsidR="005C27CF" w:rsidRPr="00DD1B58">
        <w:rPr>
          <w:lang w:val="en-US"/>
        </w:rPr>
        <w:instrText xml:space="preserve"> REF _Ref135217969 \r \h </w:instrText>
      </w:r>
      <w:r w:rsidR="005C27CF" w:rsidRPr="00DD1B58">
        <w:rPr>
          <w:lang w:val="en-US"/>
        </w:rPr>
      </w:r>
      <w:r w:rsidR="005C27CF" w:rsidRPr="00DD1B58">
        <w:rPr>
          <w:lang w:val="en-US"/>
        </w:rPr>
        <w:fldChar w:fldCharType="separate"/>
      </w:r>
      <w:r w:rsidR="00DF47DA">
        <w:rPr>
          <w:lang w:val="en-US"/>
        </w:rPr>
        <w:t>A</w:t>
      </w:r>
      <w:r w:rsidR="005C27CF" w:rsidRPr="00DD1B58">
        <w:rPr>
          <w:lang w:val="en-US"/>
        </w:rPr>
        <w:fldChar w:fldCharType="end"/>
      </w:r>
      <w:r w:rsidR="005C27CF" w:rsidRPr="00DD1B58">
        <w:rPr>
          <w:lang w:val="en-US"/>
        </w:rPr>
        <w:t xml:space="preserve"> - </w:t>
      </w:r>
      <w:r w:rsidR="005C27CF" w:rsidRPr="00DD1B58">
        <w:rPr>
          <w:lang w:val="en-US"/>
        </w:rPr>
        <w:fldChar w:fldCharType="begin"/>
      </w:r>
      <w:r w:rsidR="005C27CF" w:rsidRPr="00DD1B58">
        <w:rPr>
          <w:lang w:val="en-US"/>
        </w:rPr>
        <w:instrText xml:space="preserve"> REF _Ref135217969 \h </w:instrText>
      </w:r>
      <w:r w:rsidR="005C27CF" w:rsidRPr="00DD1B58">
        <w:rPr>
          <w:lang w:val="en-US"/>
        </w:rPr>
      </w:r>
      <w:r w:rsidR="005C27CF" w:rsidRPr="00DD1B58">
        <w:rPr>
          <w:lang w:val="en-US"/>
        </w:rPr>
        <w:fldChar w:fldCharType="separate"/>
      </w:r>
      <w:r w:rsidR="00DF47DA" w:rsidRPr="00DD1B58">
        <w:rPr>
          <w:lang w:val="en-US"/>
        </w:rPr>
        <w:t>Nuclear power plants</w:t>
      </w:r>
      <w:r w:rsidR="005C27CF" w:rsidRPr="00DD1B58">
        <w:rPr>
          <w:lang w:val="en-US"/>
        </w:rPr>
        <w:fldChar w:fldCharType="end"/>
      </w:r>
      <w:r w:rsidRPr="00DD1B58">
        <w:rPr>
          <w:lang w:val="en-US"/>
        </w:rPr>
        <w:t>. Spent fuel management facilities at Sellafield are reported under Section</w:t>
      </w:r>
      <w:r w:rsidR="005C27CF" w:rsidRPr="00DD1B58">
        <w:rPr>
          <w:lang w:val="en-US"/>
        </w:rPr>
        <w:t xml:space="preserve"> </w:t>
      </w:r>
      <w:r w:rsidR="005C27CF" w:rsidRPr="00DD1B58">
        <w:rPr>
          <w:lang w:val="en-US"/>
        </w:rPr>
        <w:fldChar w:fldCharType="begin"/>
      </w:r>
      <w:r w:rsidR="005C27CF" w:rsidRPr="00DD1B58">
        <w:rPr>
          <w:lang w:val="en-US"/>
        </w:rPr>
        <w:instrText xml:space="preserve"> REF _Ref140147884 \r \h </w:instrText>
      </w:r>
      <w:r w:rsidR="005C27CF" w:rsidRPr="00DD1B58">
        <w:rPr>
          <w:lang w:val="en-US"/>
        </w:rPr>
      </w:r>
      <w:r w:rsidR="005C27CF" w:rsidRPr="00DD1B58">
        <w:rPr>
          <w:lang w:val="en-US"/>
        </w:rPr>
        <w:fldChar w:fldCharType="separate"/>
      </w:r>
      <w:r w:rsidR="00DF47DA">
        <w:rPr>
          <w:lang w:val="en-US"/>
        </w:rPr>
        <w:t>E</w:t>
      </w:r>
      <w:r w:rsidR="005C27CF" w:rsidRPr="00DD1B58">
        <w:rPr>
          <w:lang w:val="en-US"/>
        </w:rPr>
        <w:fldChar w:fldCharType="end"/>
      </w:r>
      <w:r w:rsidR="005C27CF" w:rsidRPr="00DD1B58">
        <w:rPr>
          <w:lang w:val="en-US"/>
        </w:rPr>
        <w:t xml:space="preserve"> - </w:t>
      </w:r>
      <w:r w:rsidR="005C27CF" w:rsidRPr="00DD1B58">
        <w:rPr>
          <w:lang w:val="en-US"/>
        </w:rPr>
        <w:fldChar w:fldCharType="begin"/>
      </w:r>
      <w:r w:rsidR="005C27CF" w:rsidRPr="00DD1B58">
        <w:rPr>
          <w:lang w:val="en-US"/>
        </w:rPr>
        <w:instrText xml:space="preserve"> REF _Ref140147894 \h </w:instrText>
      </w:r>
      <w:r w:rsidR="005C27CF" w:rsidRPr="00DD1B58">
        <w:rPr>
          <w:lang w:val="en-US"/>
        </w:rPr>
      </w:r>
      <w:r w:rsidR="005C27CF" w:rsidRPr="00DD1B58">
        <w:rPr>
          <w:lang w:val="en-US"/>
        </w:rPr>
        <w:fldChar w:fldCharType="separate"/>
      </w:r>
      <w:r w:rsidR="00DF47DA" w:rsidRPr="00DD1B58">
        <w:rPr>
          <w:lang w:val="en-US"/>
        </w:rPr>
        <w:t>Waste storage facilities</w:t>
      </w:r>
      <w:r w:rsidR="005C27CF" w:rsidRPr="00DD1B58">
        <w:rPr>
          <w:lang w:val="en-US"/>
        </w:rPr>
        <w:fldChar w:fldCharType="end"/>
      </w:r>
      <w:r w:rsidRPr="00DD1B58">
        <w:rPr>
          <w:lang w:val="en-US"/>
        </w:rPr>
        <w:t>.</w:t>
      </w:r>
    </w:p>
    <w:p w14:paraId="4A0CA16A" w14:textId="713CACA9" w:rsidR="00057E23" w:rsidRPr="00DD1B58" w:rsidRDefault="00057E23" w:rsidP="00177432">
      <w:pPr>
        <w:pStyle w:val="Heading3A"/>
        <w:rPr>
          <w:lang w:val="en-US"/>
        </w:rPr>
      </w:pPr>
      <w:bookmarkStart w:id="158" w:name="_Ref140147884"/>
      <w:bookmarkStart w:id="159" w:name="_Ref140147894"/>
      <w:bookmarkStart w:id="160" w:name="_Toc147090656"/>
      <w:r w:rsidRPr="00DD1B58">
        <w:rPr>
          <w:lang w:val="en-US"/>
        </w:rPr>
        <w:t xml:space="preserve">Waste </w:t>
      </w:r>
      <w:r w:rsidR="0059010C" w:rsidRPr="00DD1B58">
        <w:rPr>
          <w:lang w:val="en-US"/>
        </w:rPr>
        <w:t>s</w:t>
      </w:r>
      <w:r w:rsidRPr="00DD1B58">
        <w:rPr>
          <w:lang w:val="en-US"/>
        </w:rPr>
        <w:t xml:space="preserve">torage </w:t>
      </w:r>
      <w:r w:rsidR="0059010C" w:rsidRPr="00DD1B58">
        <w:rPr>
          <w:lang w:val="en-US"/>
        </w:rPr>
        <w:t>f</w:t>
      </w:r>
      <w:r w:rsidRPr="00DD1B58">
        <w:rPr>
          <w:lang w:val="en-US"/>
        </w:rPr>
        <w:t>acilities</w:t>
      </w:r>
      <w:bookmarkEnd w:id="158"/>
      <w:bookmarkEnd w:id="159"/>
      <w:bookmarkEnd w:id="160"/>
    </w:p>
    <w:p w14:paraId="61993047" w14:textId="2C15D678" w:rsidR="00CD3312" w:rsidRPr="00DD1B58" w:rsidRDefault="00057E23" w:rsidP="00177432">
      <w:pPr>
        <w:pStyle w:val="Heading4A"/>
        <w:rPr>
          <w:lang w:val="en-US"/>
        </w:rPr>
      </w:pPr>
      <w:r w:rsidRPr="00DD1B58">
        <w:rPr>
          <w:lang w:val="en-US"/>
        </w:rPr>
        <w:t>Sellafield</w:t>
      </w:r>
      <w:r w:rsidR="00CD3312" w:rsidRPr="00DD1B58">
        <w:rPr>
          <w:lang w:val="en-US"/>
        </w:rPr>
        <w:t xml:space="preserve"> </w:t>
      </w:r>
      <w:r w:rsidR="0059010C" w:rsidRPr="00DD1B58">
        <w:rPr>
          <w:lang w:val="en-US"/>
        </w:rPr>
        <w:t>f</w:t>
      </w:r>
      <w:r w:rsidR="00CD3312" w:rsidRPr="00DD1B58">
        <w:rPr>
          <w:lang w:val="en-US"/>
        </w:rPr>
        <w:t>acilities</w:t>
      </w:r>
    </w:p>
    <w:p w14:paraId="4CDE0CA7" w14:textId="21828D37" w:rsidR="005E4E31" w:rsidRPr="00DD1B58" w:rsidRDefault="00DD6298" w:rsidP="005E4E31">
      <w:pPr>
        <w:rPr>
          <w:lang w:val="en-US"/>
        </w:rPr>
      </w:pPr>
      <w:r w:rsidRPr="00DD1B58">
        <w:rPr>
          <w:lang w:val="en-US"/>
        </w:rPr>
        <w:t>The</w:t>
      </w:r>
      <w:r w:rsidR="005E4E31" w:rsidRPr="00DD1B58">
        <w:rPr>
          <w:lang w:val="en-US"/>
        </w:rPr>
        <w:t xml:space="preserve"> text in this section (bar the regulator’s assessment subsections) of the report has been prepared by </w:t>
      </w:r>
      <w:r w:rsidR="00134292" w:rsidRPr="00DD1B58">
        <w:rPr>
          <w:lang w:val="en-US"/>
        </w:rPr>
        <w:t>Sellafield Ltd</w:t>
      </w:r>
      <w:r w:rsidR="005E4E31" w:rsidRPr="00DD1B58">
        <w:rPr>
          <w:lang w:val="en-US"/>
        </w:rPr>
        <w:t xml:space="preserve">, with only minor changes for clarity and conciseness. For avoidance of duplication, all </w:t>
      </w:r>
      <w:r w:rsidR="004668E0" w:rsidRPr="00DD1B58">
        <w:rPr>
          <w:lang w:val="en-US"/>
        </w:rPr>
        <w:t xml:space="preserve">Sellafield Ltd. </w:t>
      </w:r>
      <w:r w:rsidR="005E4E31" w:rsidRPr="00DD1B58">
        <w:rPr>
          <w:lang w:val="en-US"/>
        </w:rPr>
        <w:t>facilities, including waste processing facilities are reported in this section.</w:t>
      </w:r>
    </w:p>
    <w:p w14:paraId="7D983BFB" w14:textId="77777777" w:rsidR="00A34774" w:rsidRPr="00DD1B58" w:rsidRDefault="00A34774" w:rsidP="00177432">
      <w:pPr>
        <w:pStyle w:val="Heading5A"/>
        <w:rPr>
          <w:lang w:val="en-US"/>
        </w:rPr>
      </w:pPr>
      <w:r w:rsidRPr="00DD1B58">
        <w:rPr>
          <w:lang w:val="en-US"/>
        </w:rPr>
        <w:t>Prevention of fire spreading (barriers)</w:t>
      </w:r>
    </w:p>
    <w:p w14:paraId="5441F9CE" w14:textId="77777777" w:rsidR="00CD3312" w:rsidRPr="00DD1B58" w:rsidRDefault="00CD3312" w:rsidP="00177432">
      <w:pPr>
        <w:pStyle w:val="Heading5A"/>
        <w:numPr>
          <w:ilvl w:val="5"/>
          <w:numId w:val="7"/>
        </w:numPr>
        <w:rPr>
          <w:lang w:val="en-US"/>
        </w:rPr>
      </w:pPr>
      <w:r w:rsidRPr="00DD1B58">
        <w:rPr>
          <w:lang w:val="en-US"/>
        </w:rPr>
        <w:t>Design Approach</w:t>
      </w:r>
    </w:p>
    <w:p w14:paraId="021923CA" w14:textId="00A519CF" w:rsidR="00237DC6" w:rsidRPr="00DD1B58" w:rsidRDefault="004668E0" w:rsidP="00237DC6">
      <w:pPr>
        <w:rPr>
          <w:lang w:val="en-US"/>
        </w:rPr>
      </w:pPr>
      <w:r w:rsidRPr="00DD1B58">
        <w:rPr>
          <w:lang w:val="en-US"/>
        </w:rPr>
        <w:t xml:space="preserve">Sellafield Ltd. </w:t>
      </w:r>
      <w:r w:rsidR="006D798B" w:rsidRPr="00DD1B58">
        <w:rPr>
          <w:lang w:val="en-US"/>
        </w:rPr>
        <w:t>reports that</w:t>
      </w:r>
      <w:r w:rsidR="00431D15" w:rsidRPr="00DD1B58">
        <w:rPr>
          <w:lang w:val="en-US"/>
        </w:rPr>
        <w:t xml:space="preserve"> its </w:t>
      </w:r>
      <w:r w:rsidR="00237DC6" w:rsidRPr="00DD1B58">
        <w:rPr>
          <w:lang w:val="en-US"/>
        </w:rPr>
        <w:t>fire containment approach uses effective compartmentation to achieve the following:</w:t>
      </w:r>
    </w:p>
    <w:p w14:paraId="197EA898" w14:textId="77777777" w:rsidR="00237DC6" w:rsidRPr="00DD1B58" w:rsidRDefault="00237DC6" w:rsidP="00237DC6">
      <w:pPr>
        <w:pStyle w:val="Bulletlist1"/>
        <w:rPr>
          <w:lang w:val="en-US"/>
        </w:rPr>
      </w:pPr>
      <w:r w:rsidRPr="00DD1B58">
        <w:rPr>
          <w:lang w:val="en-US"/>
        </w:rPr>
        <w:t>Segregation of nuclear inventory from the effects of fire; and</w:t>
      </w:r>
    </w:p>
    <w:p w14:paraId="2B168924" w14:textId="77777777" w:rsidR="00237DC6" w:rsidRPr="00DD1B58" w:rsidRDefault="00237DC6" w:rsidP="00237DC6">
      <w:pPr>
        <w:pStyle w:val="Bulletlist1"/>
        <w:rPr>
          <w:lang w:val="en-US"/>
        </w:rPr>
      </w:pPr>
      <w:r w:rsidRPr="00DD1B58">
        <w:rPr>
          <w:lang w:val="en-US"/>
        </w:rPr>
        <w:t>Segregation of multiple protection channels.</w:t>
      </w:r>
    </w:p>
    <w:p w14:paraId="54E69F86" w14:textId="14657CB8" w:rsidR="00237DC6" w:rsidRPr="00DD1B58" w:rsidRDefault="00237DC6" w:rsidP="00237DC6">
      <w:pPr>
        <w:rPr>
          <w:lang w:val="en-US"/>
        </w:rPr>
      </w:pPr>
      <w:r w:rsidRPr="00DD1B58">
        <w:rPr>
          <w:lang w:val="en-US"/>
        </w:rPr>
        <w:t xml:space="preserve">Fire </w:t>
      </w:r>
      <w:r w:rsidR="00DB0444" w:rsidRPr="00DD1B58">
        <w:rPr>
          <w:lang w:val="en-US"/>
        </w:rPr>
        <w:t>c</w:t>
      </w:r>
      <w:r w:rsidRPr="00DD1B58">
        <w:rPr>
          <w:lang w:val="en-US"/>
        </w:rPr>
        <w:t>ompartmentation is the physical separation of areas through the use of fire rated barriers (i.e. walls, doorsets, fire dampers etc.) which are capable of withstanding the complete combustion of the contents without allowing the fire (or its products) to spread outside the compartment.</w:t>
      </w:r>
      <w:r w:rsidR="00F9719D" w:rsidRPr="00DD1B58">
        <w:rPr>
          <w:lang w:val="en-US"/>
        </w:rPr>
        <w:t xml:space="preserve"> </w:t>
      </w:r>
      <w:r w:rsidR="004668E0" w:rsidRPr="00DD1B58">
        <w:rPr>
          <w:lang w:val="en-US"/>
        </w:rPr>
        <w:t>Sellafield Ltd.</w:t>
      </w:r>
      <w:r w:rsidR="00431D15" w:rsidRPr="00DD1B58">
        <w:rPr>
          <w:lang w:val="en-US"/>
        </w:rPr>
        <w:t xml:space="preserve"> </w:t>
      </w:r>
      <w:r w:rsidR="007376D6" w:rsidRPr="00DD1B58">
        <w:rPr>
          <w:lang w:val="en-US"/>
        </w:rPr>
        <w:t>states that</w:t>
      </w:r>
      <w:r w:rsidR="00F9719D" w:rsidRPr="00DD1B58">
        <w:rPr>
          <w:lang w:val="en-US"/>
        </w:rPr>
        <w:t xml:space="preserve"> it undertakes </w:t>
      </w:r>
      <w:r w:rsidRPr="00DD1B58">
        <w:rPr>
          <w:lang w:val="en-US"/>
        </w:rPr>
        <w:t xml:space="preserve">an appropriate level of analysis </w:t>
      </w:r>
      <w:r w:rsidR="00F9719D" w:rsidRPr="00DD1B58">
        <w:rPr>
          <w:lang w:val="en-US"/>
        </w:rPr>
        <w:t xml:space="preserve">when applying this approach </w:t>
      </w:r>
      <w:r w:rsidRPr="00DD1B58">
        <w:rPr>
          <w:lang w:val="en-US"/>
        </w:rPr>
        <w:t xml:space="preserve">to confirm the required level of fire resistance to be provided by the fire barriers and their location. </w:t>
      </w:r>
      <w:r w:rsidR="004668E0" w:rsidRPr="00DD1B58">
        <w:rPr>
          <w:lang w:val="en-US"/>
        </w:rPr>
        <w:t>Sellafield Ltd.</w:t>
      </w:r>
      <w:r w:rsidR="00DF4170" w:rsidRPr="00DD1B58">
        <w:rPr>
          <w:lang w:val="en-US"/>
        </w:rPr>
        <w:t xml:space="preserve"> </w:t>
      </w:r>
      <w:r w:rsidRPr="00DD1B58">
        <w:rPr>
          <w:lang w:val="en-US"/>
        </w:rPr>
        <w:t>evaluate</w:t>
      </w:r>
      <w:r w:rsidR="00DF4170" w:rsidRPr="00DD1B58">
        <w:rPr>
          <w:lang w:val="en-US"/>
        </w:rPr>
        <w:t>s this</w:t>
      </w:r>
      <w:r w:rsidRPr="00DD1B58">
        <w:rPr>
          <w:lang w:val="en-US"/>
        </w:rPr>
        <w:t xml:space="preserve"> as part of the Nuclear Fire Collaborative Review Meeting and Nuclear Fire Hazard Analysis as required by the Safety Case. </w:t>
      </w:r>
      <w:r w:rsidR="00D33E87" w:rsidRPr="00DD1B58">
        <w:rPr>
          <w:lang w:val="en-US"/>
        </w:rPr>
        <w:t>Sellafield Ltd.’s</w:t>
      </w:r>
      <w:r w:rsidR="00DF4170" w:rsidRPr="00DD1B58">
        <w:rPr>
          <w:lang w:val="en-US"/>
        </w:rPr>
        <w:t xml:space="preserve"> </w:t>
      </w:r>
      <w:r w:rsidRPr="00DD1B58">
        <w:rPr>
          <w:lang w:val="en-US"/>
        </w:rPr>
        <w:t xml:space="preserve">process is detailed in Safety Case Process and Methods Technical Guidance </w:t>
      </w:r>
      <w:sdt>
        <w:sdtPr>
          <w:rPr>
            <w:lang w:val="en-US"/>
          </w:rPr>
          <w:id w:val="-799153941"/>
          <w:citation/>
        </w:sdtPr>
        <w:sdtContent>
          <w:r w:rsidR="007D6F5A" w:rsidRPr="00DD1B58">
            <w:rPr>
              <w:lang w:val="en-US"/>
            </w:rPr>
            <w:fldChar w:fldCharType="begin"/>
          </w:r>
          <w:r w:rsidR="00E858D1" w:rsidRPr="00DD1B58">
            <w:rPr>
              <w:lang w:val="en-US"/>
            </w:rPr>
            <w:instrText xml:space="preserve">CITATION Sel30 \l 2057 </w:instrText>
          </w:r>
          <w:r w:rsidR="007D6F5A" w:rsidRPr="00DD1B58">
            <w:rPr>
              <w:lang w:val="en-US"/>
            </w:rPr>
            <w:fldChar w:fldCharType="separate"/>
          </w:r>
          <w:r w:rsidR="00DF47DA" w:rsidRPr="00DF47DA">
            <w:rPr>
              <w:noProof/>
              <w:lang w:val="en-US"/>
            </w:rPr>
            <w:t>[100]</w:t>
          </w:r>
          <w:r w:rsidR="007D6F5A" w:rsidRPr="00DD1B58">
            <w:rPr>
              <w:lang w:val="en-US"/>
            </w:rPr>
            <w:fldChar w:fldCharType="end"/>
          </w:r>
        </w:sdtContent>
      </w:sdt>
      <w:r w:rsidRPr="00DD1B58">
        <w:rPr>
          <w:lang w:val="en-US"/>
        </w:rPr>
        <w:t xml:space="preserve">. </w:t>
      </w:r>
      <w:r w:rsidR="00DF4170" w:rsidRPr="00DD1B58">
        <w:rPr>
          <w:lang w:val="en-US"/>
        </w:rPr>
        <w:t xml:space="preserve">The </w:t>
      </w:r>
      <w:r w:rsidRPr="00DD1B58">
        <w:rPr>
          <w:lang w:val="en-US"/>
        </w:rPr>
        <w:t xml:space="preserve">process identifies the SSCs and nuclear inventory that requires fire barriers. There are a variety of </w:t>
      </w:r>
      <w:r w:rsidR="00887EF8" w:rsidRPr="00DD1B58">
        <w:rPr>
          <w:lang w:val="en-US"/>
        </w:rPr>
        <w:t>fire engineering calculations</w:t>
      </w:r>
      <w:r w:rsidRPr="00DD1B58">
        <w:rPr>
          <w:lang w:val="en-US"/>
        </w:rPr>
        <w:t xml:space="preserve"> that are used within the Nuclear Fire Hazard Analysis to confirm the required level of fire resistance and to substantiate those barriers.</w:t>
      </w:r>
    </w:p>
    <w:p w14:paraId="2E82C6F3" w14:textId="6C9B7FE6" w:rsidR="00251BCD" w:rsidRPr="00DD1B58" w:rsidRDefault="004668E0" w:rsidP="00237DC6">
      <w:pPr>
        <w:rPr>
          <w:lang w:val="en-US"/>
        </w:rPr>
      </w:pPr>
      <w:r w:rsidRPr="00DD1B58">
        <w:rPr>
          <w:lang w:val="en-US"/>
        </w:rPr>
        <w:t xml:space="preserve">Sellafield Ltd. </w:t>
      </w:r>
      <w:r w:rsidR="00251BCD" w:rsidRPr="00DD1B58">
        <w:rPr>
          <w:lang w:val="en-US"/>
        </w:rPr>
        <w:t>report</w:t>
      </w:r>
      <w:r w:rsidR="00600B1E" w:rsidRPr="00DD1B58">
        <w:rPr>
          <w:lang w:val="en-US"/>
        </w:rPr>
        <w:t>s</w:t>
      </w:r>
      <w:r w:rsidR="00251BCD" w:rsidRPr="00DD1B58">
        <w:rPr>
          <w:lang w:val="en-US"/>
        </w:rPr>
        <w:t xml:space="preserve"> the following main considerations:</w:t>
      </w:r>
    </w:p>
    <w:p w14:paraId="6A172800" w14:textId="563A4C48" w:rsidR="00237DC6" w:rsidRPr="00DD1B58" w:rsidRDefault="00D33E87" w:rsidP="00973FF4">
      <w:pPr>
        <w:pStyle w:val="Bulletlist1"/>
        <w:rPr>
          <w:lang w:val="en-US"/>
        </w:rPr>
      </w:pPr>
      <w:r w:rsidRPr="00DD1B58">
        <w:rPr>
          <w:lang w:val="en-US"/>
        </w:rPr>
        <w:t>Sellafield Ltd.’s</w:t>
      </w:r>
      <w:r w:rsidR="00DF4170" w:rsidRPr="00DD1B58">
        <w:rPr>
          <w:lang w:val="en-US"/>
        </w:rPr>
        <w:t xml:space="preserve"> </w:t>
      </w:r>
      <w:r w:rsidR="00237DC6" w:rsidRPr="00DD1B58">
        <w:rPr>
          <w:lang w:val="en-US"/>
        </w:rPr>
        <w:t>Conventional Fire Hazard Analysis/Fire Safety Strategy ensures the plant design is in accordance with Building Regulations ADB for life safety and ADB plus Insurers requirements for property protection. This legislation requires fire compartmentation commensurate with the fire risk. This helps determine the fire compartment requirements as a minimum.</w:t>
      </w:r>
    </w:p>
    <w:p w14:paraId="15666C08" w14:textId="77777777" w:rsidR="00251BCD" w:rsidRPr="00DD1B58" w:rsidRDefault="00251BCD" w:rsidP="00973FF4">
      <w:pPr>
        <w:pStyle w:val="Bulletlist1"/>
        <w:rPr>
          <w:lang w:val="en-US"/>
        </w:rPr>
      </w:pPr>
      <w:r w:rsidRPr="00DD1B58">
        <w:rPr>
          <w:lang w:val="en-US"/>
        </w:rPr>
        <w:t xml:space="preserve">The fire load assessments and Nuclear Fire Collaborative Review identifies where barriers should be provided, and these assessments are maintained throughout the lifecycle of the plant to ensure the barriers are suitable and sufficient for the fire load and fire risk. </w:t>
      </w:r>
    </w:p>
    <w:p w14:paraId="01445AD1" w14:textId="420073DA" w:rsidR="00237DC6" w:rsidRPr="00DD1B58" w:rsidRDefault="0053189A" w:rsidP="00973FF4">
      <w:pPr>
        <w:pStyle w:val="Bulletlist1"/>
        <w:rPr>
          <w:lang w:val="en-US"/>
        </w:rPr>
      </w:pPr>
      <w:r w:rsidRPr="00DD1B58">
        <w:rPr>
          <w:lang w:val="en-US"/>
        </w:rPr>
        <w:t xml:space="preserve">The </w:t>
      </w:r>
      <w:r w:rsidR="00237DC6" w:rsidRPr="00DD1B58">
        <w:rPr>
          <w:lang w:val="en-US"/>
        </w:rPr>
        <w:t xml:space="preserve">approach ensures that all fire compartments and fire barriers are provided to limit the spread and propagation of fire and smoke. Fire compartments are provided fundamentally to isolate areas of medium and high fire loads such as providing fire resisting barriers commensurate with the fire load for example, </w:t>
      </w:r>
      <w:r w:rsidR="00887EF8" w:rsidRPr="00DD1B58">
        <w:rPr>
          <w:lang w:val="en-US"/>
        </w:rPr>
        <w:t>electrical rooms</w:t>
      </w:r>
      <w:r w:rsidR="00237DC6" w:rsidRPr="00DD1B58">
        <w:rPr>
          <w:lang w:val="en-US"/>
        </w:rPr>
        <w:t xml:space="preserve"> and </w:t>
      </w:r>
      <w:r w:rsidR="00887EF8" w:rsidRPr="00DD1B58">
        <w:rPr>
          <w:lang w:val="en-US"/>
        </w:rPr>
        <w:t>vehicle import/export bays</w:t>
      </w:r>
      <w:r w:rsidR="00237DC6" w:rsidRPr="00DD1B58">
        <w:rPr>
          <w:lang w:val="en-US"/>
        </w:rPr>
        <w:t xml:space="preserve"> and to provide passive fire protection </w:t>
      </w:r>
      <w:r w:rsidR="0059689A" w:rsidRPr="00DD1B58">
        <w:rPr>
          <w:lang w:val="en-US"/>
        </w:rPr>
        <w:t>for</w:t>
      </w:r>
      <w:r w:rsidR="00237DC6" w:rsidRPr="00DD1B58">
        <w:rPr>
          <w:lang w:val="en-US"/>
        </w:rPr>
        <w:t xml:space="preserve"> SSCs important for nuclear safety.</w:t>
      </w:r>
    </w:p>
    <w:p w14:paraId="1E1A1A6A" w14:textId="77777777" w:rsidR="00237DC6" w:rsidRPr="00DD1B58" w:rsidRDefault="00237DC6" w:rsidP="00973FF4">
      <w:pPr>
        <w:pStyle w:val="Bulletlist1"/>
        <w:rPr>
          <w:lang w:val="en-US"/>
        </w:rPr>
      </w:pPr>
      <w:r w:rsidRPr="00DD1B58">
        <w:rPr>
          <w:lang w:val="en-US"/>
        </w:rPr>
        <w:t xml:space="preserve">The fire compartments and barriers are identified in the fire analyses and detailed on the fire compartmentation and fire incident drawings for the nuclear facilities. The nuclear fire barriers are identified within the </w:t>
      </w:r>
      <w:r w:rsidR="00887EF8" w:rsidRPr="00DD1B58">
        <w:rPr>
          <w:lang w:val="en-US"/>
        </w:rPr>
        <w:t>engineering schedule</w:t>
      </w:r>
      <w:r w:rsidRPr="00DD1B58">
        <w:rPr>
          <w:lang w:val="en-US"/>
        </w:rPr>
        <w:t xml:space="preserve"> of the </w:t>
      </w:r>
      <w:r w:rsidR="00887EF8" w:rsidRPr="00DD1B58">
        <w:rPr>
          <w:lang w:val="en-US"/>
        </w:rPr>
        <w:t>safety case</w:t>
      </w:r>
      <w:r w:rsidRPr="00DD1B58">
        <w:rPr>
          <w:lang w:val="en-US"/>
        </w:rPr>
        <w:t>. This details the Safety Function Class (SFC) and level of importance, performance and maintenance requirements that must be implemented for nuclear safety.</w:t>
      </w:r>
    </w:p>
    <w:p w14:paraId="6A7403C9" w14:textId="04AA9A4A" w:rsidR="00237DC6" w:rsidRPr="00DD1B58" w:rsidRDefault="00237DC6" w:rsidP="00973FF4">
      <w:pPr>
        <w:pStyle w:val="Bulletlist1"/>
        <w:rPr>
          <w:lang w:val="en-US"/>
        </w:rPr>
      </w:pPr>
      <w:r w:rsidRPr="00DD1B58">
        <w:rPr>
          <w:lang w:val="en-US"/>
        </w:rPr>
        <w:t xml:space="preserve">These are regularly reviewed and substantiated by </w:t>
      </w:r>
      <w:r w:rsidR="00887EF8" w:rsidRPr="00DD1B58">
        <w:rPr>
          <w:lang w:val="en-US"/>
        </w:rPr>
        <w:t>e</w:t>
      </w:r>
      <w:r w:rsidRPr="00DD1B58">
        <w:rPr>
          <w:lang w:val="en-US"/>
        </w:rPr>
        <w:t>ngineering undertaking calculations and testing as appropriate as part of the Safety Case Processes and Methods. Any shortfalls are documented and rectified. In addition, the Building Manager and dutyholder usually the Safety Case Manager is responsible for ensuring the fire stopping is maintained in accordance with the fire requirements identified on the drawings and within the Safety Case Analyses.</w:t>
      </w:r>
    </w:p>
    <w:p w14:paraId="7FC22775" w14:textId="1FEDBBC3" w:rsidR="00237DC6" w:rsidRPr="00DD1B58" w:rsidRDefault="00237DC6" w:rsidP="00973FF4">
      <w:pPr>
        <w:pStyle w:val="Bulletlist1"/>
        <w:rPr>
          <w:lang w:val="en-US"/>
        </w:rPr>
      </w:pPr>
      <w:r w:rsidRPr="00DD1B58">
        <w:rPr>
          <w:lang w:val="en-US"/>
        </w:rPr>
        <w:t xml:space="preserve">It is mandatory on </w:t>
      </w:r>
      <w:r w:rsidR="00AA3ECC" w:rsidRPr="00DD1B58">
        <w:rPr>
          <w:lang w:val="en-US"/>
        </w:rPr>
        <w:t>Sellafield Site</w:t>
      </w:r>
      <w:r w:rsidRPr="00DD1B58">
        <w:rPr>
          <w:lang w:val="en-US"/>
        </w:rPr>
        <w:t xml:space="preserve"> to use third party accredited fire stopping products, designers, installers and maintainers to ensure that the fire barriers are built and maintained as required by the fire analyses.</w:t>
      </w:r>
    </w:p>
    <w:p w14:paraId="5670B3DB" w14:textId="77777777" w:rsidR="00237DC6" w:rsidRPr="00DD1B58" w:rsidRDefault="00237DC6" w:rsidP="00973FF4">
      <w:pPr>
        <w:pStyle w:val="Bulletlist1"/>
        <w:rPr>
          <w:lang w:val="en-US"/>
        </w:rPr>
      </w:pPr>
      <w:r w:rsidRPr="00DD1B58">
        <w:rPr>
          <w:lang w:val="en-US"/>
        </w:rPr>
        <w:t xml:space="preserve">Visual nonintrusive </w:t>
      </w:r>
      <w:r w:rsidR="00887EF8" w:rsidRPr="00DD1B58">
        <w:rPr>
          <w:lang w:val="en-US"/>
        </w:rPr>
        <w:t>fire inspections</w:t>
      </w:r>
      <w:r w:rsidRPr="00DD1B58">
        <w:rPr>
          <w:lang w:val="en-US"/>
        </w:rPr>
        <w:t xml:space="preserve"> carried out by the onsite </w:t>
      </w:r>
      <w:r w:rsidR="00887EF8" w:rsidRPr="00DD1B58">
        <w:rPr>
          <w:lang w:val="en-US"/>
        </w:rPr>
        <w:t>fire protection advisors</w:t>
      </w:r>
      <w:r w:rsidRPr="00DD1B58">
        <w:rPr>
          <w:lang w:val="en-US"/>
        </w:rPr>
        <w:t xml:space="preserve"> also review the condition of the barriers in line with the frequency of the fire risk assessment that is required to comply with the Regulatory Reform Fire Safety Order.</w:t>
      </w:r>
    </w:p>
    <w:p w14:paraId="3CB0B83E" w14:textId="48183DDD" w:rsidR="00237DC6" w:rsidRPr="00DD1B58" w:rsidRDefault="006428CB" w:rsidP="00237DC6">
      <w:pPr>
        <w:rPr>
          <w:lang w:val="en-US"/>
        </w:rPr>
      </w:pPr>
      <w:r w:rsidRPr="00DD1B58">
        <w:rPr>
          <w:lang w:val="en-US"/>
        </w:rPr>
        <w:t>BEPPS-</w:t>
      </w:r>
      <w:r w:rsidR="00237DC6" w:rsidRPr="00DD1B58">
        <w:rPr>
          <w:lang w:val="en-US"/>
        </w:rPr>
        <w:t>DIF is a recent example where the quantified fire load assessment identified the fire compartments and fire barriers for life safety and property protection</w:t>
      </w:r>
      <w:r w:rsidR="00D03AD1" w:rsidRPr="00DD1B58">
        <w:rPr>
          <w:lang w:val="en-US"/>
        </w:rPr>
        <w:t xml:space="preserve">. </w:t>
      </w:r>
      <w:r w:rsidR="004668E0" w:rsidRPr="00DD1B58">
        <w:rPr>
          <w:lang w:val="en-US"/>
        </w:rPr>
        <w:t>Sellafield Ltd.</w:t>
      </w:r>
      <w:r w:rsidR="00D03AD1" w:rsidRPr="00DD1B58">
        <w:rPr>
          <w:lang w:val="en-US"/>
        </w:rPr>
        <w:t xml:space="preserve"> provides this t</w:t>
      </w:r>
      <w:r w:rsidR="00237DC6" w:rsidRPr="00DD1B58">
        <w:rPr>
          <w:lang w:val="en-US"/>
        </w:rPr>
        <w:t xml:space="preserve">o limit and contain the fire/smoke propagation and spread. This provides defence in depth mitigation for fire containment approach. </w:t>
      </w:r>
      <w:r w:rsidR="004668E0" w:rsidRPr="00DD1B58">
        <w:rPr>
          <w:lang w:val="en-US"/>
        </w:rPr>
        <w:t>Sellafield Ltd.</w:t>
      </w:r>
      <w:r w:rsidR="00D03AD1" w:rsidRPr="00DD1B58">
        <w:rPr>
          <w:lang w:val="en-US"/>
        </w:rPr>
        <w:t xml:space="preserve"> </w:t>
      </w:r>
      <w:r w:rsidR="006D798B" w:rsidRPr="00DD1B58">
        <w:rPr>
          <w:lang w:val="en-US"/>
        </w:rPr>
        <w:t>reports that</w:t>
      </w:r>
      <w:r w:rsidR="00D03AD1" w:rsidRPr="00DD1B58">
        <w:rPr>
          <w:lang w:val="en-US"/>
        </w:rPr>
        <w:t xml:space="preserve"> the </w:t>
      </w:r>
      <w:r w:rsidR="00887EF8" w:rsidRPr="00DD1B58">
        <w:rPr>
          <w:lang w:val="en-US"/>
        </w:rPr>
        <w:t>NFSA</w:t>
      </w:r>
      <w:r w:rsidR="00237DC6" w:rsidRPr="00DD1B58">
        <w:rPr>
          <w:lang w:val="en-US"/>
        </w:rPr>
        <w:t xml:space="preserve"> did not identify the need for nuclear fire barriers and provided fire engineering calculations as described earlier to demonstrate that the </w:t>
      </w:r>
      <w:r w:rsidR="00DD6CE4" w:rsidRPr="00DD1B58">
        <w:rPr>
          <w:lang w:val="en-US"/>
        </w:rPr>
        <w:t>worst-case</w:t>
      </w:r>
      <w:r w:rsidR="00237DC6" w:rsidRPr="00DD1B58">
        <w:rPr>
          <w:lang w:val="en-US"/>
        </w:rPr>
        <w:t xml:space="preserve"> fire scenario would not affect nuclear safety.</w:t>
      </w:r>
    </w:p>
    <w:p w14:paraId="6298FAA3" w14:textId="77777777" w:rsidR="00CD3312" w:rsidRPr="00DD1B58" w:rsidRDefault="00CD3312" w:rsidP="00177432">
      <w:pPr>
        <w:pStyle w:val="Heading5A"/>
        <w:numPr>
          <w:ilvl w:val="5"/>
          <w:numId w:val="7"/>
        </w:numPr>
        <w:rPr>
          <w:lang w:val="en-US"/>
        </w:rPr>
      </w:pPr>
      <w:r w:rsidRPr="00DD1B58">
        <w:rPr>
          <w:lang w:val="en-US"/>
        </w:rPr>
        <w:t>Description of fire compartments and/or cells design and key features</w:t>
      </w:r>
    </w:p>
    <w:p w14:paraId="21D4306F" w14:textId="730BEB6D" w:rsidR="00947D56" w:rsidRPr="00DD1B58" w:rsidRDefault="004668E0" w:rsidP="00947D56">
      <w:pPr>
        <w:rPr>
          <w:lang w:val="en-US"/>
        </w:rPr>
      </w:pPr>
      <w:r w:rsidRPr="00DD1B58">
        <w:rPr>
          <w:lang w:val="en-US"/>
        </w:rPr>
        <w:t>Sellafield Ltd.</w:t>
      </w:r>
      <w:r w:rsidR="00D03AD1" w:rsidRPr="00DD1B58">
        <w:rPr>
          <w:lang w:val="en-US"/>
        </w:rPr>
        <w:t xml:space="preserve"> assesses p</w:t>
      </w:r>
      <w:r w:rsidR="00947D56" w:rsidRPr="00DD1B58">
        <w:rPr>
          <w:lang w:val="en-US"/>
        </w:rPr>
        <w:t>enetrations to fire barriers on a case-by-case basis</w:t>
      </w:r>
      <w:r w:rsidR="00D03AD1" w:rsidRPr="00DD1B58">
        <w:rPr>
          <w:lang w:val="en-US"/>
        </w:rPr>
        <w:t xml:space="preserve">. It </w:t>
      </w:r>
      <w:r w:rsidR="006D798B" w:rsidRPr="00DD1B58">
        <w:rPr>
          <w:lang w:val="en-US"/>
        </w:rPr>
        <w:t>reports that</w:t>
      </w:r>
      <w:r w:rsidR="00D03AD1" w:rsidRPr="00DD1B58">
        <w:rPr>
          <w:lang w:val="en-US"/>
        </w:rPr>
        <w:t xml:space="preserve">, </w:t>
      </w:r>
      <w:r w:rsidR="00947D56" w:rsidRPr="00DD1B58">
        <w:rPr>
          <w:lang w:val="en-US"/>
        </w:rPr>
        <w:t xml:space="preserve">where applicable, fire stopping is applied to ensure the fire barrier remains in place. Third party certification of fire stopping is a method </w:t>
      </w:r>
      <w:r w:rsidRPr="00DD1B58">
        <w:rPr>
          <w:lang w:val="en-US"/>
        </w:rPr>
        <w:t xml:space="preserve">Sellafield Ltd. </w:t>
      </w:r>
      <w:r w:rsidR="00947D56" w:rsidRPr="00DD1B58">
        <w:rPr>
          <w:lang w:val="en-US"/>
        </w:rPr>
        <w:t>utilise</w:t>
      </w:r>
      <w:r w:rsidR="008E7BEC" w:rsidRPr="00DD1B58">
        <w:rPr>
          <w:lang w:val="en-US"/>
        </w:rPr>
        <w:t>s</w:t>
      </w:r>
      <w:r w:rsidR="00947D56" w:rsidRPr="00DD1B58">
        <w:rPr>
          <w:lang w:val="en-US"/>
        </w:rPr>
        <w:t xml:space="preserve"> to ensure reliability of fire barriers. Civil asset inspections identify any breaches to fire compartmentation and fire barriers, and this is actioned accordingly. Building Manager inspections and Fire Risk Assessment reviews further inspect these areas and identify any shortfalls and associated remedial action </w:t>
      </w:r>
    </w:p>
    <w:p w14:paraId="6452D768" w14:textId="01B7BFC7" w:rsidR="00237DC6" w:rsidRPr="00DD1B58" w:rsidRDefault="00947D56" w:rsidP="00947D56">
      <w:pPr>
        <w:rPr>
          <w:lang w:val="en-US"/>
        </w:rPr>
      </w:pPr>
      <w:r w:rsidRPr="00DD1B58">
        <w:rPr>
          <w:lang w:val="en-US"/>
        </w:rPr>
        <w:t xml:space="preserve">Firefighting access routes are required to be fire sterile and within fire resisting structures as required by mandatory legislation. </w:t>
      </w:r>
      <w:r w:rsidR="00245685" w:rsidRPr="00DD1B58">
        <w:rPr>
          <w:lang w:val="en-US"/>
        </w:rPr>
        <w:t xml:space="preserve">At </w:t>
      </w:r>
      <w:r w:rsidR="00134292" w:rsidRPr="00DD1B58">
        <w:rPr>
          <w:lang w:val="en-US"/>
        </w:rPr>
        <w:t>Sellafield Ltd</w:t>
      </w:r>
      <w:r w:rsidR="00245685" w:rsidRPr="00DD1B58">
        <w:rPr>
          <w:lang w:val="en-US"/>
        </w:rPr>
        <w:t xml:space="preserve">, this </w:t>
      </w:r>
      <w:r w:rsidRPr="00DD1B58">
        <w:rPr>
          <w:lang w:val="en-US"/>
        </w:rPr>
        <w:t>requirement is managed by the dutyholder specifically the Building Manager and Safety Case Manager to ensure implementation of these requirements as specified in the fire analyses.</w:t>
      </w:r>
    </w:p>
    <w:p w14:paraId="591E9CC0" w14:textId="77777777" w:rsidR="00CD3312" w:rsidRPr="00DD1B58" w:rsidRDefault="00CD3312" w:rsidP="00177432">
      <w:pPr>
        <w:pStyle w:val="Heading5A"/>
        <w:numPr>
          <w:ilvl w:val="5"/>
          <w:numId w:val="7"/>
        </w:numPr>
        <w:rPr>
          <w:lang w:val="en-US"/>
        </w:rPr>
      </w:pPr>
      <w:r w:rsidRPr="00DD1B58">
        <w:rPr>
          <w:lang w:val="en-US"/>
        </w:rPr>
        <w:t>Performance assurance through lifetime</w:t>
      </w:r>
    </w:p>
    <w:p w14:paraId="2157E042" w14:textId="2B2665B8" w:rsidR="00DD6CE4" w:rsidRPr="00DD1B58" w:rsidRDefault="004668E0" w:rsidP="00DD6CE4">
      <w:pPr>
        <w:rPr>
          <w:lang w:val="en-US"/>
        </w:rPr>
      </w:pPr>
      <w:r w:rsidRPr="00DD1B58">
        <w:rPr>
          <w:lang w:val="en-US"/>
        </w:rPr>
        <w:t>Sellafield Ltd.</w:t>
      </w:r>
      <w:r w:rsidR="00245685" w:rsidRPr="00DD1B58">
        <w:rPr>
          <w:lang w:val="en-US"/>
        </w:rPr>
        <w:t xml:space="preserve"> considers that a</w:t>
      </w:r>
      <w:r w:rsidR="00DD6CE4" w:rsidRPr="00DD1B58">
        <w:rPr>
          <w:lang w:val="en-US"/>
        </w:rPr>
        <w:t xml:space="preserve">ny changes to plant that are likely to impact fire barriers are identified through the Plant Modification Process which requires a </w:t>
      </w:r>
      <w:r w:rsidR="0021130F" w:rsidRPr="00DD1B58">
        <w:rPr>
          <w:lang w:val="en-US"/>
        </w:rPr>
        <w:t>f</w:t>
      </w:r>
      <w:r w:rsidR="00DD6CE4" w:rsidRPr="00DD1B58">
        <w:rPr>
          <w:lang w:val="en-US"/>
        </w:rPr>
        <w:t xml:space="preserve">ire </w:t>
      </w:r>
      <w:r w:rsidR="0021130F" w:rsidRPr="00DD1B58">
        <w:rPr>
          <w:lang w:val="en-US"/>
        </w:rPr>
        <w:t>s</w:t>
      </w:r>
      <w:r w:rsidR="00DD6CE4" w:rsidRPr="00DD1B58">
        <w:rPr>
          <w:lang w:val="en-US"/>
        </w:rPr>
        <w:t>afety endorsement from a Fire Protection Advisor.</w:t>
      </w:r>
      <w:r w:rsidR="00245685" w:rsidRPr="00DD1B58">
        <w:rPr>
          <w:lang w:val="en-US"/>
        </w:rPr>
        <w:t xml:space="preserve"> It </w:t>
      </w:r>
      <w:r w:rsidR="006D798B" w:rsidRPr="00DD1B58">
        <w:rPr>
          <w:lang w:val="en-US"/>
        </w:rPr>
        <w:t>reports that</w:t>
      </w:r>
      <w:r w:rsidR="00245685" w:rsidRPr="00DD1B58">
        <w:rPr>
          <w:lang w:val="en-US"/>
        </w:rPr>
        <w:t xml:space="preserve"> a</w:t>
      </w:r>
      <w:r w:rsidR="00DD6CE4" w:rsidRPr="00DD1B58">
        <w:rPr>
          <w:lang w:val="en-US"/>
        </w:rPr>
        <w:t>ny breaches to fire stopping, defective fire doors or other fire barriers can be highlighted by any occupant of the building, to the building manager who will action this to be repaired</w:t>
      </w:r>
      <w:r w:rsidR="00245685" w:rsidRPr="00DD1B58">
        <w:rPr>
          <w:lang w:val="en-US"/>
        </w:rPr>
        <w:t xml:space="preserve">. It also </w:t>
      </w:r>
      <w:r w:rsidR="006D798B" w:rsidRPr="00DD1B58">
        <w:rPr>
          <w:lang w:val="en-US"/>
        </w:rPr>
        <w:t>reports that</w:t>
      </w:r>
      <w:r w:rsidR="00245685" w:rsidRPr="00DD1B58">
        <w:rPr>
          <w:lang w:val="en-US"/>
        </w:rPr>
        <w:t xml:space="preserve"> a</w:t>
      </w:r>
      <w:r w:rsidR="00DD6CE4" w:rsidRPr="00DD1B58">
        <w:rPr>
          <w:lang w:val="en-US"/>
        </w:rPr>
        <w:t>ssurance is also carried out during the Fire Risk Assessment review.</w:t>
      </w:r>
    </w:p>
    <w:p w14:paraId="4342F9C6" w14:textId="77777777" w:rsidR="00CD3312" w:rsidRPr="00DD1B58" w:rsidRDefault="00CD3312" w:rsidP="00177432">
      <w:pPr>
        <w:pStyle w:val="Heading5A"/>
        <w:rPr>
          <w:lang w:val="en-US"/>
        </w:rPr>
      </w:pPr>
      <w:r w:rsidRPr="00DD1B58">
        <w:rPr>
          <w:lang w:val="en-US"/>
        </w:rPr>
        <w:t>Ventilation systems</w:t>
      </w:r>
    </w:p>
    <w:p w14:paraId="7B750ACD" w14:textId="77777777" w:rsidR="00CD3312" w:rsidRPr="00DD1B58" w:rsidRDefault="00CD3312" w:rsidP="00177432">
      <w:pPr>
        <w:pStyle w:val="Heading5A"/>
        <w:numPr>
          <w:ilvl w:val="5"/>
          <w:numId w:val="7"/>
        </w:numPr>
        <w:rPr>
          <w:lang w:val="en-US"/>
        </w:rPr>
      </w:pPr>
      <w:r w:rsidRPr="00DD1B58">
        <w:rPr>
          <w:lang w:val="en-US"/>
        </w:rPr>
        <w:t>Ventilation system design: segregation and isolation provisions (as applicable)</w:t>
      </w:r>
    </w:p>
    <w:p w14:paraId="542C4D90" w14:textId="4F2832EE" w:rsidR="001D1F4F" w:rsidRPr="00DD1B58" w:rsidRDefault="001D1F4F" w:rsidP="001D1F4F">
      <w:pPr>
        <w:rPr>
          <w:lang w:val="en-US"/>
        </w:rPr>
      </w:pPr>
      <w:r w:rsidRPr="00DD1B58">
        <w:rPr>
          <w:lang w:val="en-US"/>
        </w:rPr>
        <w:t>In building ventilation systems, fire dampers are installed in ductwork where fire compartment boundaries are crossed. The fire dampers comply with BS EN 15650 and bear the UKCA marking. It stands for 'UK Conformity Assessed' and means that products that hold this mark have met health and safety standards in Great Britain.</w:t>
      </w:r>
      <w:r w:rsidR="00940D2A" w:rsidRPr="00DD1B58">
        <w:rPr>
          <w:lang w:val="en-US"/>
        </w:rPr>
        <w:t xml:space="preserve"> </w:t>
      </w:r>
      <w:r w:rsidRPr="00DD1B58">
        <w:rPr>
          <w:lang w:val="en-US"/>
        </w:rPr>
        <w:t>The fire dampers meet the Integrity criteria (classification (E)) specified in BS EN 1366 Part</w:t>
      </w:r>
      <w:r w:rsidR="00FB7B67" w:rsidRPr="00DD1B58">
        <w:rPr>
          <w:lang w:val="en-US"/>
        </w:rPr>
        <w:t xml:space="preserve"> </w:t>
      </w:r>
      <w:r w:rsidRPr="00DD1B58">
        <w:rPr>
          <w:lang w:val="en-US"/>
        </w:rPr>
        <w:t xml:space="preserve">2 </w:t>
      </w:r>
      <w:sdt>
        <w:sdtPr>
          <w:rPr>
            <w:lang w:val="en-US"/>
          </w:rPr>
          <w:id w:val="-585384045"/>
          <w:citation/>
        </w:sdtPr>
        <w:sdtContent>
          <w:r w:rsidR="00FB7B67" w:rsidRPr="00DD1B58">
            <w:rPr>
              <w:lang w:val="en-US"/>
            </w:rPr>
            <w:fldChar w:fldCharType="begin"/>
          </w:r>
          <w:r w:rsidR="00FB7B67" w:rsidRPr="00DD1B58">
            <w:rPr>
              <w:lang w:val="en-US"/>
            </w:rPr>
            <w:instrText xml:space="preserve"> CITATION Bri15 \l 2057 </w:instrText>
          </w:r>
          <w:r w:rsidR="00FB7B67" w:rsidRPr="00DD1B58">
            <w:rPr>
              <w:lang w:val="en-US"/>
            </w:rPr>
            <w:fldChar w:fldCharType="separate"/>
          </w:r>
          <w:r w:rsidR="00DF47DA" w:rsidRPr="00DF47DA">
            <w:rPr>
              <w:noProof/>
              <w:lang w:val="en-US"/>
            </w:rPr>
            <w:t>[194]</w:t>
          </w:r>
          <w:r w:rsidR="00FB7B67" w:rsidRPr="00DD1B58">
            <w:rPr>
              <w:lang w:val="en-US"/>
            </w:rPr>
            <w:fldChar w:fldCharType="end"/>
          </w:r>
        </w:sdtContent>
      </w:sdt>
      <w:r w:rsidR="00FB7B67" w:rsidRPr="00DD1B58">
        <w:rPr>
          <w:lang w:val="en-US"/>
        </w:rPr>
        <w:t xml:space="preserve"> </w:t>
      </w:r>
      <w:r w:rsidRPr="00DD1B58">
        <w:rPr>
          <w:lang w:val="en-US"/>
        </w:rPr>
        <w:t>for a period of 2 hours; and all fire dampers are classified as E 120 as a minimum in accordance with BS EN 13501 Part</w:t>
      </w:r>
      <w:r w:rsidR="00FB7B67" w:rsidRPr="00DD1B58">
        <w:rPr>
          <w:lang w:val="en-US"/>
        </w:rPr>
        <w:t xml:space="preserve"> </w:t>
      </w:r>
      <w:r w:rsidRPr="00DD1B58">
        <w:rPr>
          <w:lang w:val="en-US"/>
        </w:rPr>
        <w:t>3</w:t>
      </w:r>
      <w:r w:rsidR="00597758" w:rsidRPr="00DD1B58">
        <w:rPr>
          <w:lang w:val="en-US"/>
        </w:rPr>
        <w:t xml:space="preserve"> </w:t>
      </w:r>
      <w:sdt>
        <w:sdtPr>
          <w:rPr>
            <w:lang w:val="en-US"/>
          </w:rPr>
          <w:id w:val="-1807239709"/>
          <w:citation/>
        </w:sdtPr>
        <w:sdtContent>
          <w:r w:rsidRPr="00DD1B58">
            <w:rPr>
              <w:lang w:val="en-US"/>
            </w:rPr>
            <w:fldChar w:fldCharType="begin"/>
          </w:r>
          <w:r w:rsidR="00597758" w:rsidRPr="00DD1B58">
            <w:rPr>
              <w:lang w:val="en-US"/>
            </w:rPr>
            <w:instrText xml:space="preserve"> CITATION Bri \l 2057 </w:instrText>
          </w:r>
          <w:r w:rsidRPr="00DD1B58">
            <w:rPr>
              <w:lang w:val="en-US"/>
            </w:rPr>
            <w:fldChar w:fldCharType="separate"/>
          </w:r>
          <w:r w:rsidR="00DF47DA" w:rsidRPr="00DF47DA">
            <w:rPr>
              <w:noProof/>
              <w:lang w:val="en-US"/>
            </w:rPr>
            <w:t>[203]</w:t>
          </w:r>
          <w:r w:rsidRPr="00DD1B58">
            <w:rPr>
              <w:lang w:val="en-US"/>
            </w:rPr>
            <w:fldChar w:fldCharType="end"/>
          </w:r>
        </w:sdtContent>
      </w:sdt>
      <w:r w:rsidRPr="00DD1B58">
        <w:rPr>
          <w:lang w:val="en-US"/>
        </w:rPr>
        <w:t>.</w:t>
      </w:r>
      <w:r w:rsidR="00940D2A" w:rsidRPr="00DD1B58">
        <w:rPr>
          <w:lang w:val="en-US"/>
        </w:rPr>
        <w:t xml:space="preserve"> </w:t>
      </w:r>
    </w:p>
    <w:p w14:paraId="42A86727" w14:textId="077F5F96" w:rsidR="001D1F4F" w:rsidRPr="00DD1B58" w:rsidRDefault="001D1F4F" w:rsidP="001D1F4F">
      <w:pPr>
        <w:rPr>
          <w:lang w:val="en-US"/>
        </w:rPr>
      </w:pPr>
      <w:r w:rsidRPr="00DD1B58">
        <w:rPr>
          <w:lang w:val="en-US"/>
        </w:rPr>
        <w:t>In ventilation systems which extract potentially radiologically contaminated air or gases from within radiologically classified containments, such as vessels, cells and glove boxes, the extract ductwork will not incorporate fire dampers where fire boundaries are crossed. Reasons for this include the risk that spurious closure could lead to a loss of radiological containment and potentially result in a radiological release within a facility. Such a release could result in a plant operator receiving a radiological dose and could potentially challenge the external containment of the building if the ventilation system flows were not restored expediently.</w:t>
      </w:r>
      <w:r w:rsidR="00940D2A" w:rsidRPr="00DD1B58">
        <w:rPr>
          <w:lang w:val="en-US"/>
        </w:rPr>
        <w:t xml:space="preserve"> </w:t>
      </w:r>
      <w:r w:rsidRPr="00DD1B58">
        <w:rPr>
          <w:lang w:val="en-US"/>
        </w:rPr>
        <w:t>It is also not recognised good practice to install maintainable plant items, such as fire dampers, in potentially contaminated extract air streams.</w:t>
      </w:r>
      <w:r w:rsidR="00940D2A" w:rsidRPr="00DD1B58">
        <w:rPr>
          <w:lang w:val="en-US"/>
        </w:rPr>
        <w:t xml:space="preserve"> </w:t>
      </w:r>
      <w:r w:rsidRPr="00DD1B58">
        <w:rPr>
          <w:lang w:val="en-US"/>
        </w:rPr>
        <w:t>In lieu of fire dampers on these systems, the high integrity, very low leakage ductwork which is held at a negative pressure, can be enhanced where required to provide a fire resistance of 120 minutes stability and integrity, measured external to the furnace, if subjected to an internal fire exposure test (duct B) in accordance with BS 476 Part 24</w:t>
      </w:r>
      <w:r w:rsidR="00D827BB" w:rsidRPr="00DD1B58">
        <w:rPr>
          <w:lang w:val="en-US"/>
        </w:rPr>
        <w:t xml:space="preserve"> </w:t>
      </w:r>
      <w:sdt>
        <w:sdtPr>
          <w:rPr>
            <w:lang w:val="en-US"/>
          </w:rPr>
          <w:id w:val="23222965"/>
          <w:citation/>
        </w:sdtPr>
        <w:sdtContent>
          <w:r w:rsidR="00983917" w:rsidRPr="00DD1B58">
            <w:rPr>
              <w:lang w:val="en-US"/>
            </w:rPr>
            <w:fldChar w:fldCharType="begin"/>
          </w:r>
          <w:r w:rsidR="00983917" w:rsidRPr="00DD1B58">
            <w:rPr>
              <w:lang w:val="en-US"/>
            </w:rPr>
            <w:instrText xml:space="preserve"> CITATION Bri872 \l 2057 </w:instrText>
          </w:r>
          <w:r w:rsidR="00983917" w:rsidRPr="00DD1B58">
            <w:rPr>
              <w:lang w:val="en-US"/>
            </w:rPr>
            <w:fldChar w:fldCharType="separate"/>
          </w:r>
          <w:r w:rsidR="00DF47DA" w:rsidRPr="00DF47DA">
            <w:rPr>
              <w:noProof/>
              <w:lang w:val="en-US"/>
            </w:rPr>
            <w:t>[204]</w:t>
          </w:r>
          <w:r w:rsidR="00983917" w:rsidRPr="00DD1B58">
            <w:rPr>
              <w:lang w:val="en-US"/>
            </w:rPr>
            <w:fldChar w:fldCharType="end"/>
          </w:r>
        </w:sdtContent>
      </w:sdt>
      <w:r w:rsidRPr="00DD1B58">
        <w:rPr>
          <w:lang w:val="en-US"/>
        </w:rPr>
        <w:t>.</w:t>
      </w:r>
    </w:p>
    <w:p w14:paraId="518A14D7" w14:textId="6986E35F" w:rsidR="00D718DA" w:rsidRPr="00DD1B58" w:rsidRDefault="00D718DA" w:rsidP="001D1F4F">
      <w:pPr>
        <w:rPr>
          <w:lang w:val="en-US"/>
        </w:rPr>
      </w:pPr>
      <w:r w:rsidRPr="00DD1B58">
        <w:rPr>
          <w:lang w:val="en-US"/>
        </w:rPr>
        <w:t>Access corridors in radiologically controlled facilities are segregated as separate fire compartments from adjoining rooms; and any building ventilation ductwork crossing these fire compartment boundaries are fitted with fire dampers which meet the maximum smoke leakage limits given in BS EN 13501 Part 3 for Integrity E</w:t>
      </w:r>
      <w:r w:rsidR="00597758" w:rsidRPr="00DD1B58">
        <w:rPr>
          <w:lang w:val="en-US"/>
        </w:rPr>
        <w:t xml:space="preserve"> </w:t>
      </w:r>
      <w:sdt>
        <w:sdtPr>
          <w:rPr>
            <w:lang w:val="en-US"/>
          </w:rPr>
          <w:id w:val="-922333378"/>
          <w:citation/>
        </w:sdtPr>
        <w:sdtContent>
          <w:r w:rsidR="00597758" w:rsidRPr="00DD1B58">
            <w:rPr>
              <w:lang w:val="en-US"/>
            </w:rPr>
            <w:fldChar w:fldCharType="begin"/>
          </w:r>
          <w:r w:rsidR="00597758" w:rsidRPr="00DD1B58">
            <w:rPr>
              <w:lang w:val="en-US"/>
            </w:rPr>
            <w:instrText xml:space="preserve"> CITATION Bri \l 2057 </w:instrText>
          </w:r>
          <w:r w:rsidR="00597758" w:rsidRPr="00DD1B58">
            <w:rPr>
              <w:lang w:val="en-US"/>
            </w:rPr>
            <w:fldChar w:fldCharType="separate"/>
          </w:r>
          <w:r w:rsidR="00DF47DA" w:rsidRPr="00DF47DA">
            <w:rPr>
              <w:noProof/>
              <w:lang w:val="en-US"/>
            </w:rPr>
            <w:t>[203]</w:t>
          </w:r>
          <w:r w:rsidR="00597758" w:rsidRPr="00DD1B58">
            <w:rPr>
              <w:lang w:val="en-US"/>
            </w:rPr>
            <w:fldChar w:fldCharType="end"/>
          </w:r>
        </w:sdtContent>
      </w:sdt>
      <w:r w:rsidRPr="00DD1B58">
        <w:rPr>
          <w:lang w:val="en-US"/>
        </w:rPr>
        <w:t>.</w:t>
      </w:r>
    </w:p>
    <w:p w14:paraId="394E557F" w14:textId="77777777" w:rsidR="00846CE0" w:rsidRPr="00DD1B58" w:rsidRDefault="00846CE0" w:rsidP="001D1F4F">
      <w:pPr>
        <w:rPr>
          <w:lang w:val="en-US"/>
        </w:rPr>
      </w:pPr>
      <w:r w:rsidRPr="00DD1B58">
        <w:rPr>
          <w:lang w:val="en-US"/>
        </w:rPr>
        <w:t>On most modern facilities the building ventilation systems are shut down and all fire dampers closed in the event of a fire being detected in any area of the building. As mentioned earlier, these systems can be activated when the fire alarm sounds to prevent the spread of fire.</w:t>
      </w:r>
    </w:p>
    <w:p w14:paraId="0D32B75E" w14:textId="77777777" w:rsidR="009577B2" w:rsidRPr="00DD1B58" w:rsidRDefault="009577B2" w:rsidP="009577B2">
      <w:pPr>
        <w:rPr>
          <w:b/>
          <w:lang w:val="en-US"/>
        </w:rPr>
      </w:pPr>
      <w:r w:rsidRPr="00DD1B58">
        <w:rPr>
          <w:b/>
          <w:lang w:val="en-US"/>
        </w:rPr>
        <w:t>Examination, inspection, maintenance &amp; testing of fire dampers</w:t>
      </w:r>
    </w:p>
    <w:p w14:paraId="6DB13689" w14:textId="77777777" w:rsidR="009577B2" w:rsidRPr="00DD1B58" w:rsidRDefault="009577B2" w:rsidP="009577B2">
      <w:pPr>
        <w:rPr>
          <w:lang w:val="en-US"/>
        </w:rPr>
      </w:pPr>
      <w:r w:rsidRPr="00DD1B58">
        <w:rPr>
          <w:lang w:val="en-US"/>
        </w:rPr>
        <w:t xml:space="preserve">Fire dampers are used to prevent fire and reduce smoke and toxic products spreading from one fire compartment to another through the air ductwork systems, which may penetrate fire compartments. Fire dampers normally form part of the building ventilation system and can be linked to the building fire alarm system, which causes the dampers to close automatically. Fire dampers may also be independent dampers operated by the activation of fusible links contained within the fire damper and ventilation ducting. The Building Manager shall ensure that a Fire Damper Asset register is maintained for all buildings where such devices are installed. Building Managers shall ensure all fire dampers are maintained in accordance with the British Standard requirements BS EN 15650. Records of maintenance shall be recorded in the CMMS. </w:t>
      </w:r>
    </w:p>
    <w:p w14:paraId="4286181C" w14:textId="4B01B409" w:rsidR="009577B2" w:rsidRPr="00DD1B58" w:rsidRDefault="009577B2" w:rsidP="009577B2">
      <w:pPr>
        <w:rPr>
          <w:lang w:val="en-US"/>
        </w:rPr>
      </w:pPr>
      <w:r w:rsidRPr="00DD1B58">
        <w:rPr>
          <w:lang w:val="en-US"/>
        </w:rPr>
        <w:t xml:space="preserve">Any fire dampers installed for life or property protection reasons are maintained in accordance with </w:t>
      </w:r>
      <w:r w:rsidR="004668E0" w:rsidRPr="00DD1B58">
        <w:rPr>
          <w:lang w:val="en-US"/>
        </w:rPr>
        <w:t xml:space="preserve">Sellafield Ltd. </w:t>
      </w:r>
      <w:r w:rsidRPr="00DD1B58">
        <w:rPr>
          <w:lang w:val="en-US"/>
        </w:rPr>
        <w:t xml:space="preserve">EMI&amp;T procedures. There is no requirement for these to be designated as SRE as they are not claimed within the nuclear fire assessment. </w:t>
      </w:r>
    </w:p>
    <w:p w14:paraId="2D57CB35" w14:textId="1B649610" w:rsidR="009577B2" w:rsidRPr="00DD1B58" w:rsidRDefault="009577B2" w:rsidP="009577B2">
      <w:pPr>
        <w:rPr>
          <w:lang w:val="en-US"/>
        </w:rPr>
      </w:pPr>
      <w:r w:rsidRPr="00DD1B58">
        <w:rPr>
          <w:lang w:val="en-US"/>
        </w:rPr>
        <w:t xml:space="preserve">Waste Vitrification Plants and SPRS fire assessments state that the fire dampers in nuclear fire compartment boundaries are designated as Safety Related Equipment. There are no nuclear fire dampers in Encapsulation Plants, </w:t>
      </w:r>
      <w:r w:rsidR="006428CB" w:rsidRPr="00DD1B58">
        <w:rPr>
          <w:lang w:val="en-US"/>
        </w:rPr>
        <w:t>BEPPS-DIF</w:t>
      </w:r>
      <w:r w:rsidRPr="00DD1B58">
        <w:rPr>
          <w:lang w:val="en-US"/>
        </w:rPr>
        <w:t xml:space="preserve"> or Pile 1.</w:t>
      </w:r>
    </w:p>
    <w:p w14:paraId="1C1B6C59" w14:textId="77777777" w:rsidR="00CD3312" w:rsidRPr="00DD1B58" w:rsidRDefault="00CD3312" w:rsidP="00177432">
      <w:pPr>
        <w:pStyle w:val="Heading5A"/>
        <w:numPr>
          <w:ilvl w:val="5"/>
          <w:numId w:val="7"/>
        </w:numPr>
        <w:rPr>
          <w:lang w:val="en-US"/>
        </w:rPr>
      </w:pPr>
      <w:r w:rsidRPr="00DD1B58">
        <w:rPr>
          <w:lang w:val="en-US"/>
        </w:rPr>
        <w:t>Performance and management requirements under fire conditions</w:t>
      </w:r>
    </w:p>
    <w:p w14:paraId="63185FBB" w14:textId="77375D45" w:rsidR="00BD4F22" w:rsidRPr="00DD1B58" w:rsidRDefault="00BD4F22" w:rsidP="00BD4F22">
      <w:pPr>
        <w:rPr>
          <w:lang w:val="en-US"/>
        </w:rPr>
      </w:pPr>
      <w:r w:rsidRPr="00DD1B58">
        <w:rPr>
          <w:lang w:val="en-US"/>
        </w:rPr>
        <w:t xml:space="preserve">Fire compartments are isolated using fire dampers as described above. Fire rated ductwork is sometimes installed on building ventilation systems to BS 476 Part 24 </w:t>
      </w:r>
      <w:sdt>
        <w:sdtPr>
          <w:rPr>
            <w:lang w:val="en-US"/>
          </w:rPr>
          <w:id w:val="-432126861"/>
          <w:citation/>
        </w:sdtPr>
        <w:sdtContent>
          <w:r w:rsidR="00915DF1" w:rsidRPr="00DD1B58">
            <w:rPr>
              <w:lang w:val="en-US"/>
            </w:rPr>
            <w:fldChar w:fldCharType="begin"/>
          </w:r>
          <w:r w:rsidR="00915DF1" w:rsidRPr="00DD1B58">
            <w:rPr>
              <w:lang w:val="en-US"/>
            </w:rPr>
            <w:instrText xml:space="preserve"> CITATION Bri872 \l 2057 </w:instrText>
          </w:r>
          <w:r w:rsidR="00915DF1" w:rsidRPr="00DD1B58">
            <w:rPr>
              <w:lang w:val="en-US"/>
            </w:rPr>
            <w:fldChar w:fldCharType="separate"/>
          </w:r>
          <w:r w:rsidR="00DF47DA" w:rsidRPr="00DF47DA">
            <w:rPr>
              <w:noProof/>
              <w:lang w:val="en-US"/>
            </w:rPr>
            <w:t>[204]</w:t>
          </w:r>
          <w:r w:rsidR="00915DF1" w:rsidRPr="00DD1B58">
            <w:rPr>
              <w:lang w:val="en-US"/>
            </w:rPr>
            <w:fldChar w:fldCharType="end"/>
          </w:r>
        </w:sdtContent>
      </w:sdt>
      <w:r w:rsidR="00915DF1" w:rsidRPr="00DD1B58">
        <w:rPr>
          <w:lang w:val="en-US"/>
        </w:rPr>
        <w:t xml:space="preserve"> </w:t>
      </w:r>
      <w:r w:rsidRPr="00DD1B58">
        <w:rPr>
          <w:lang w:val="en-US"/>
        </w:rPr>
        <w:t>and/or BS EN-1366 Part 1</w:t>
      </w:r>
      <w:sdt>
        <w:sdtPr>
          <w:rPr>
            <w:lang w:val="en-US"/>
          </w:rPr>
          <w:id w:val="-1471437116"/>
          <w:citation/>
        </w:sdtPr>
        <w:sdtContent>
          <w:r w:rsidR="003E4B4A" w:rsidRPr="00DD1B58">
            <w:rPr>
              <w:lang w:val="en-US"/>
            </w:rPr>
            <w:fldChar w:fldCharType="begin"/>
          </w:r>
          <w:r w:rsidR="003E4B4A" w:rsidRPr="00DD1B58">
            <w:rPr>
              <w:lang w:val="en-US"/>
            </w:rPr>
            <w:instrText xml:space="preserve"> CITATION Bri14 \l 2057 </w:instrText>
          </w:r>
          <w:r w:rsidR="003E4B4A" w:rsidRPr="00DD1B58">
            <w:rPr>
              <w:lang w:val="en-US"/>
            </w:rPr>
            <w:fldChar w:fldCharType="separate"/>
          </w:r>
          <w:r w:rsidR="00DF47DA">
            <w:rPr>
              <w:noProof/>
              <w:lang w:val="en-US"/>
            </w:rPr>
            <w:t xml:space="preserve"> </w:t>
          </w:r>
          <w:r w:rsidR="00DF47DA" w:rsidRPr="00DF47DA">
            <w:rPr>
              <w:noProof/>
              <w:lang w:val="en-US"/>
            </w:rPr>
            <w:t>[205]</w:t>
          </w:r>
          <w:r w:rsidR="003E4B4A" w:rsidRPr="00DD1B58">
            <w:rPr>
              <w:lang w:val="en-US"/>
            </w:rPr>
            <w:fldChar w:fldCharType="end"/>
          </w:r>
        </w:sdtContent>
      </w:sdt>
      <w:r w:rsidRPr="00DD1B58">
        <w:rPr>
          <w:lang w:val="en-US"/>
        </w:rPr>
        <w:t xml:space="preserve"> to minimise the installation of fire dampers where a duct passes through several fire compartments without duct openings (grilles) within those fire compartments.</w:t>
      </w:r>
    </w:p>
    <w:p w14:paraId="391D7B20" w14:textId="6F63E578" w:rsidR="00D33EE6" w:rsidRPr="00DD1B58" w:rsidRDefault="00D33EE6" w:rsidP="00BD4F22">
      <w:pPr>
        <w:rPr>
          <w:lang w:val="en-US"/>
        </w:rPr>
      </w:pPr>
      <w:r w:rsidRPr="00DD1B58">
        <w:rPr>
          <w:lang w:val="en-US"/>
        </w:rPr>
        <w:t xml:space="preserve">Fire rated ductwork is provided certified to provide fire resistance of 120 minutes stability and integrity to BS 476 Part 20-22 </w:t>
      </w:r>
      <w:sdt>
        <w:sdtPr>
          <w:rPr>
            <w:lang w:val="en-US"/>
          </w:rPr>
          <w:id w:val="-659928705"/>
          <w:citation/>
        </w:sdtPr>
        <w:sdtContent>
          <w:r w:rsidR="00915DF1" w:rsidRPr="00DD1B58">
            <w:rPr>
              <w:lang w:val="en-US"/>
            </w:rPr>
            <w:fldChar w:fldCharType="begin"/>
          </w:r>
          <w:r w:rsidR="00915DF1" w:rsidRPr="00DD1B58">
            <w:rPr>
              <w:lang w:val="en-US"/>
            </w:rPr>
            <w:instrText xml:space="preserve"> CITATION Bri87 \l 2057 </w:instrText>
          </w:r>
          <w:r w:rsidR="00915DF1" w:rsidRPr="00DD1B58">
            <w:rPr>
              <w:lang w:val="en-US"/>
            </w:rPr>
            <w:fldChar w:fldCharType="separate"/>
          </w:r>
          <w:r w:rsidR="00DF47DA" w:rsidRPr="00DF47DA">
            <w:rPr>
              <w:noProof/>
              <w:lang w:val="en-US"/>
            </w:rPr>
            <w:t>[112]</w:t>
          </w:r>
          <w:r w:rsidR="00915DF1" w:rsidRPr="00DD1B58">
            <w:rPr>
              <w:lang w:val="en-US"/>
            </w:rPr>
            <w:fldChar w:fldCharType="end"/>
          </w:r>
        </w:sdtContent>
      </w:sdt>
      <w:sdt>
        <w:sdtPr>
          <w:rPr>
            <w:lang w:val="en-US"/>
          </w:rPr>
          <w:id w:val="1102612964"/>
          <w:citation/>
        </w:sdtPr>
        <w:sdtContent>
          <w:r w:rsidR="00915DF1" w:rsidRPr="00DD1B58">
            <w:rPr>
              <w:lang w:val="en-US"/>
            </w:rPr>
            <w:fldChar w:fldCharType="begin"/>
          </w:r>
          <w:r w:rsidR="00915DF1" w:rsidRPr="00DD1B58">
            <w:rPr>
              <w:lang w:val="en-US"/>
            </w:rPr>
            <w:instrText xml:space="preserve"> CITATION Bri871 \l 2057 </w:instrText>
          </w:r>
          <w:r w:rsidR="00915DF1" w:rsidRPr="00DD1B58">
            <w:rPr>
              <w:lang w:val="en-US"/>
            </w:rPr>
            <w:fldChar w:fldCharType="separate"/>
          </w:r>
          <w:r w:rsidR="00DF47DA">
            <w:rPr>
              <w:noProof/>
              <w:lang w:val="en-US"/>
            </w:rPr>
            <w:t xml:space="preserve"> </w:t>
          </w:r>
          <w:r w:rsidR="00DF47DA" w:rsidRPr="00DF47DA">
            <w:rPr>
              <w:noProof/>
              <w:lang w:val="en-US"/>
            </w:rPr>
            <w:t>[113]</w:t>
          </w:r>
          <w:r w:rsidR="00915DF1" w:rsidRPr="00DD1B58">
            <w:rPr>
              <w:lang w:val="en-US"/>
            </w:rPr>
            <w:fldChar w:fldCharType="end"/>
          </w:r>
        </w:sdtContent>
      </w:sdt>
      <w:r w:rsidR="003E4B4A" w:rsidRPr="00DD1B58">
        <w:rPr>
          <w:lang w:val="en-US"/>
        </w:rPr>
        <w:fldChar w:fldCharType="begin"/>
      </w:r>
      <w:r w:rsidR="003E4B4A" w:rsidRPr="00DD1B58">
        <w:rPr>
          <w:lang w:val="en-US"/>
        </w:rPr>
        <w:instrText xml:space="preserve"> CITATION Bri873 \l 2057 </w:instrText>
      </w:r>
      <w:r w:rsidR="003E4B4A" w:rsidRPr="00DD1B58">
        <w:rPr>
          <w:lang w:val="en-US"/>
        </w:rPr>
        <w:fldChar w:fldCharType="separate"/>
      </w:r>
      <w:r w:rsidR="00DF47DA">
        <w:rPr>
          <w:noProof/>
          <w:lang w:val="en-US"/>
        </w:rPr>
        <w:t xml:space="preserve"> </w:t>
      </w:r>
      <w:r w:rsidR="00DF47DA" w:rsidRPr="00DF47DA">
        <w:rPr>
          <w:noProof/>
          <w:lang w:val="en-US"/>
        </w:rPr>
        <w:t>[201]</w:t>
      </w:r>
      <w:r w:rsidR="003E4B4A" w:rsidRPr="00DD1B58">
        <w:rPr>
          <w:lang w:val="en-US"/>
        </w:rPr>
        <w:fldChar w:fldCharType="end"/>
      </w:r>
      <w:r w:rsidR="00C80288" w:rsidRPr="00DD1B58">
        <w:rPr>
          <w:lang w:val="en-US"/>
        </w:rPr>
        <w:t xml:space="preserve"> </w:t>
      </w:r>
      <w:r w:rsidRPr="00DD1B58">
        <w:rPr>
          <w:lang w:val="en-US"/>
        </w:rPr>
        <w:t>and associated BS ENs.</w:t>
      </w:r>
    </w:p>
    <w:p w14:paraId="3B094D92" w14:textId="77777777" w:rsidR="00183CB6" w:rsidRPr="00DD1B58" w:rsidRDefault="00183CB6" w:rsidP="00BD4F22">
      <w:pPr>
        <w:rPr>
          <w:lang w:val="en-US"/>
        </w:rPr>
      </w:pPr>
      <w:r w:rsidRPr="00DD1B58">
        <w:rPr>
          <w:lang w:val="en-US"/>
        </w:rPr>
        <w:t xml:space="preserve">To comply with BS EN 15650, </w:t>
      </w:r>
      <w:r w:rsidR="00434DF3" w:rsidRPr="00DD1B58">
        <w:rPr>
          <w:lang w:val="en-US"/>
        </w:rPr>
        <w:t>f</w:t>
      </w:r>
      <w:r w:rsidRPr="00DD1B58">
        <w:rPr>
          <w:lang w:val="en-US"/>
        </w:rPr>
        <w:t>ire dampers are fitted with a thermal release mechanism and will close automatically on activation of this thermal release. In addition, the fire dampers are closed automatically on receipt of a signal initiated from a smoke detector.</w:t>
      </w:r>
    </w:p>
    <w:p w14:paraId="6EF1B6CC" w14:textId="1809E609" w:rsidR="006B71FC" w:rsidRPr="00DD1B58" w:rsidRDefault="006B71FC" w:rsidP="00BD4F22">
      <w:pPr>
        <w:rPr>
          <w:lang w:val="en-US"/>
        </w:rPr>
      </w:pPr>
      <w:r w:rsidRPr="00DD1B58">
        <w:rPr>
          <w:lang w:val="en-US"/>
        </w:rPr>
        <w:t>A building specific hazard assessment may determine that a ventilation system serving a radiological confinement zone needs to continue to operate in the case of a fire.</w:t>
      </w:r>
      <w:r w:rsidR="00940D2A" w:rsidRPr="00DD1B58">
        <w:rPr>
          <w:lang w:val="en-US"/>
        </w:rPr>
        <w:t xml:space="preserve"> </w:t>
      </w:r>
      <w:r w:rsidRPr="00DD1B58">
        <w:rPr>
          <w:lang w:val="en-US"/>
        </w:rPr>
        <w:t>In these circumstances the integrity of the ductwork on that system will be assessed and fire rated ductwork installed in areas where applicable.</w:t>
      </w:r>
    </w:p>
    <w:p w14:paraId="49FEAB5E" w14:textId="7D4B6C3F" w:rsidR="004C5A61" w:rsidRPr="00DD1B58" w:rsidRDefault="004C5A61" w:rsidP="004C5A61">
      <w:pPr>
        <w:rPr>
          <w:lang w:val="en-US"/>
        </w:rPr>
      </w:pPr>
      <w:r w:rsidRPr="00DD1B58">
        <w:rPr>
          <w:lang w:val="en-US"/>
        </w:rPr>
        <w:t xml:space="preserve">The </w:t>
      </w:r>
      <w:r w:rsidR="007A651F" w:rsidRPr="00DD1B58">
        <w:rPr>
          <w:lang w:val="en-US"/>
        </w:rPr>
        <w:t>NFSA</w:t>
      </w:r>
      <w:r w:rsidRPr="00DD1B58">
        <w:rPr>
          <w:lang w:val="en-US"/>
        </w:rPr>
        <w:t xml:space="preserve"> identifies the safety designation’s function, class and fire performance and maintenance requirements associated with fire and smoke dampers. This information is detailed in the Safety Case Engineering Schedule. As a minimum life safety requires fire/smoke dampers to be tested annually to comply with recommendations from the Regulatory Reform (Fire Safety) Order</w:t>
      </w:r>
      <w:r w:rsidR="003B603C" w:rsidRPr="00DD1B58">
        <w:rPr>
          <w:lang w:val="en-US"/>
        </w:rPr>
        <w:t xml:space="preserve"> </w:t>
      </w:r>
      <w:sdt>
        <w:sdtPr>
          <w:rPr>
            <w:lang w:val="en-US"/>
          </w:rPr>
          <w:id w:val="-1509521773"/>
          <w:citation/>
        </w:sdtPr>
        <w:sdtContent>
          <w:r w:rsidR="001179C4" w:rsidRPr="00DD1B58">
            <w:rPr>
              <w:lang w:val="en-US"/>
            </w:rPr>
            <w:fldChar w:fldCharType="begin"/>
          </w:r>
          <w:r w:rsidR="00601B0B" w:rsidRPr="00DD1B58">
            <w:rPr>
              <w:lang w:val="en-US"/>
            </w:rPr>
            <w:instrText xml:space="preserve">CITATION The05 \l 2057 </w:instrText>
          </w:r>
          <w:r w:rsidR="001179C4" w:rsidRPr="00DD1B58">
            <w:rPr>
              <w:lang w:val="en-US"/>
            </w:rPr>
            <w:fldChar w:fldCharType="separate"/>
          </w:r>
          <w:r w:rsidR="00DF47DA" w:rsidRPr="00DF47DA">
            <w:rPr>
              <w:noProof/>
              <w:lang w:val="en-US"/>
            </w:rPr>
            <w:t>[20]</w:t>
          </w:r>
          <w:r w:rsidR="001179C4" w:rsidRPr="00DD1B58">
            <w:rPr>
              <w:lang w:val="en-US"/>
            </w:rPr>
            <w:fldChar w:fldCharType="end"/>
          </w:r>
        </w:sdtContent>
      </w:sdt>
      <w:r w:rsidRPr="00DD1B58">
        <w:rPr>
          <w:lang w:val="en-US"/>
        </w:rPr>
        <w:t xml:space="preserve"> and British Standard 9999 </w:t>
      </w:r>
      <w:sdt>
        <w:sdtPr>
          <w:rPr>
            <w:lang w:val="en-US"/>
          </w:rPr>
          <w:id w:val="-70356683"/>
          <w:citation/>
        </w:sdtPr>
        <w:sdtContent>
          <w:r w:rsidRPr="00DD1B58">
            <w:rPr>
              <w:lang w:val="en-US"/>
            </w:rPr>
            <w:fldChar w:fldCharType="begin"/>
          </w:r>
          <w:r w:rsidR="0055506C" w:rsidRPr="00DD1B58">
            <w:rPr>
              <w:lang w:val="en-US"/>
            </w:rPr>
            <w:instrText xml:space="preserve"> CITATION BS9999 \l 2057 </w:instrText>
          </w:r>
          <w:r w:rsidRPr="00DD1B58">
            <w:rPr>
              <w:lang w:val="en-US"/>
            </w:rPr>
            <w:fldChar w:fldCharType="separate"/>
          </w:r>
          <w:r w:rsidR="00DF47DA" w:rsidRPr="00DF47DA">
            <w:rPr>
              <w:noProof/>
              <w:lang w:val="en-US"/>
            </w:rPr>
            <w:t>[71]</w:t>
          </w:r>
          <w:r w:rsidRPr="00DD1B58">
            <w:rPr>
              <w:lang w:val="en-US"/>
            </w:rPr>
            <w:fldChar w:fldCharType="end"/>
          </w:r>
        </w:sdtContent>
      </w:sdt>
      <w:r w:rsidRPr="00DD1B58">
        <w:rPr>
          <w:lang w:val="en-US"/>
        </w:rPr>
        <w:t>.</w:t>
      </w:r>
      <w:r w:rsidR="00940D2A" w:rsidRPr="00DD1B58">
        <w:rPr>
          <w:lang w:val="en-US"/>
        </w:rPr>
        <w:t xml:space="preserve"> </w:t>
      </w:r>
    </w:p>
    <w:p w14:paraId="4A010758" w14:textId="278638A2" w:rsidR="00CD3312" w:rsidRPr="00DD1B58" w:rsidRDefault="00CD3312" w:rsidP="00177432">
      <w:pPr>
        <w:pStyle w:val="Heading5A"/>
        <w:rPr>
          <w:lang w:val="en-US"/>
        </w:rPr>
      </w:pPr>
      <w:bookmarkStart w:id="161" w:name="_Ref145058916"/>
      <w:r w:rsidRPr="00DD1B58">
        <w:rPr>
          <w:lang w:val="en-US"/>
        </w:rPr>
        <w:t xml:space="preserve">Licensee’s experience of the implementation of the </w:t>
      </w:r>
      <w:r w:rsidR="00A34774" w:rsidRPr="00DD1B58">
        <w:rPr>
          <w:lang w:val="en-US"/>
        </w:rPr>
        <w:t>passive</w:t>
      </w:r>
      <w:r w:rsidRPr="00DD1B58">
        <w:rPr>
          <w:lang w:val="en-US"/>
        </w:rPr>
        <w:t xml:space="preserve"> fire protection</w:t>
      </w:r>
      <w:bookmarkEnd w:id="161"/>
    </w:p>
    <w:p w14:paraId="24839EC6" w14:textId="77777777" w:rsidR="00CD3312" w:rsidRPr="00DD1B58" w:rsidRDefault="00CD3312" w:rsidP="00177432">
      <w:pPr>
        <w:pStyle w:val="Heading5A"/>
        <w:numPr>
          <w:ilvl w:val="5"/>
          <w:numId w:val="7"/>
        </w:numPr>
        <w:rPr>
          <w:lang w:val="en-US"/>
        </w:rPr>
      </w:pPr>
      <w:r w:rsidRPr="00DD1B58">
        <w:rPr>
          <w:lang w:val="en-US"/>
        </w:rPr>
        <w:t>Overview of strengths and weaknesses</w:t>
      </w:r>
    </w:p>
    <w:p w14:paraId="686EE9AB" w14:textId="3C9F1057" w:rsidR="007525F1" w:rsidRPr="00DD1B58" w:rsidRDefault="004668E0" w:rsidP="000121FC">
      <w:pPr>
        <w:rPr>
          <w:lang w:val="en-US"/>
        </w:rPr>
      </w:pPr>
      <w:r w:rsidRPr="00DD1B58">
        <w:rPr>
          <w:lang w:val="en-US"/>
        </w:rPr>
        <w:t xml:space="preserve">Sellafield Ltd. </w:t>
      </w:r>
      <w:r w:rsidR="00EC5081" w:rsidRPr="00DD1B58">
        <w:rPr>
          <w:lang w:val="en-US"/>
        </w:rPr>
        <w:t>ha</w:t>
      </w:r>
      <w:r w:rsidR="00F03F72" w:rsidRPr="00DD1B58">
        <w:rPr>
          <w:lang w:val="en-US"/>
        </w:rPr>
        <w:t>s</w:t>
      </w:r>
      <w:r w:rsidR="00EC5081" w:rsidRPr="00DD1B58">
        <w:rPr>
          <w:lang w:val="en-US"/>
        </w:rPr>
        <w:t xml:space="preserve"> identified strengths in </w:t>
      </w:r>
      <w:r w:rsidR="0008048C" w:rsidRPr="00DD1B58">
        <w:rPr>
          <w:lang w:val="en-US"/>
        </w:rPr>
        <w:t>the implementation of passive fire protection</w:t>
      </w:r>
      <w:r w:rsidR="001C1BBC" w:rsidRPr="00DD1B58">
        <w:rPr>
          <w:lang w:val="en-US"/>
        </w:rPr>
        <w:t xml:space="preserve"> in the preceding sections including:</w:t>
      </w:r>
    </w:p>
    <w:p w14:paraId="020739DD" w14:textId="77777777" w:rsidR="00F26D8A" w:rsidRPr="00DD1B58" w:rsidRDefault="00F26D8A" w:rsidP="00177432">
      <w:pPr>
        <w:pStyle w:val="ListParagraph"/>
        <w:numPr>
          <w:ilvl w:val="0"/>
          <w:numId w:val="8"/>
        </w:numPr>
        <w:rPr>
          <w:lang w:val="en-US"/>
        </w:rPr>
      </w:pPr>
      <w:r w:rsidRPr="00DD1B58">
        <w:rPr>
          <w:lang w:val="en-US"/>
        </w:rPr>
        <w:t>Provision of passive fire protection for SSCs important for nuclear safety.</w:t>
      </w:r>
    </w:p>
    <w:p w14:paraId="6A43869C" w14:textId="77777777" w:rsidR="00F26D8A" w:rsidRPr="00DD1B58" w:rsidRDefault="00F26D8A" w:rsidP="00177432">
      <w:pPr>
        <w:pStyle w:val="ListParagraph"/>
        <w:numPr>
          <w:ilvl w:val="0"/>
          <w:numId w:val="8"/>
        </w:numPr>
        <w:rPr>
          <w:lang w:val="en-US"/>
        </w:rPr>
      </w:pPr>
      <w:r w:rsidRPr="00DD1B58">
        <w:rPr>
          <w:lang w:val="en-US"/>
        </w:rPr>
        <w:t>Mandating of mandatory the use of third-party accredited fire stopping products, designers, installers and maintainers to ensure that the fire barriers are built and maintained as required by the fire analyses.</w:t>
      </w:r>
    </w:p>
    <w:p w14:paraId="3B8FF8C6" w14:textId="77777777" w:rsidR="00F26D8A" w:rsidRPr="00DD1B58" w:rsidRDefault="00F26D8A" w:rsidP="00177432">
      <w:pPr>
        <w:pStyle w:val="ListParagraph"/>
        <w:numPr>
          <w:ilvl w:val="0"/>
          <w:numId w:val="8"/>
        </w:numPr>
        <w:rPr>
          <w:lang w:val="en-US"/>
        </w:rPr>
      </w:pPr>
      <w:r w:rsidRPr="00DD1B58">
        <w:rPr>
          <w:lang w:val="en-US"/>
        </w:rPr>
        <w:t>A Fire Damper Asset register is maintained for all buildings where such devices are installed.</w:t>
      </w:r>
    </w:p>
    <w:p w14:paraId="1D479634" w14:textId="6120ED32" w:rsidR="00FD1BEF" w:rsidRPr="00DD1B58" w:rsidRDefault="004668E0" w:rsidP="00FD1BEF">
      <w:pPr>
        <w:rPr>
          <w:lang w:val="en-US"/>
        </w:rPr>
      </w:pPr>
      <w:r w:rsidRPr="00DD1B58">
        <w:rPr>
          <w:lang w:val="en-US"/>
        </w:rPr>
        <w:t>Sellafield Ltd.</w:t>
      </w:r>
      <w:r w:rsidR="00FD1BEF" w:rsidRPr="00DD1B58">
        <w:rPr>
          <w:lang w:val="en-US"/>
        </w:rPr>
        <w:t xml:space="preserve"> </w:t>
      </w:r>
      <w:r w:rsidR="00313822" w:rsidRPr="00DD1B58">
        <w:rPr>
          <w:lang w:val="en-US"/>
        </w:rPr>
        <w:t xml:space="preserve">has </w:t>
      </w:r>
      <w:r w:rsidR="00FD1BEF" w:rsidRPr="00DD1B58">
        <w:rPr>
          <w:lang w:val="en-US"/>
        </w:rPr>
        <w:t xml:space="preserve">identified </w:t>
      </w:r>
      <w:r w:rsidR="00B53128" w:rsidRPr="00DD1B58">
        <w:rPr>
          <w:lang w:val="en-US"/>
        </w:rPr>
        <w:t>weaknesses relating to</w:t>
      </w:r>
      <w:r w:rsidR="007F2158" w:rsidRPr="00DD1B58">
        <w:rPr>
          <w:lang w:val="en-US"/>
        </w:rPr>
        <w:t xml:space="preserve"> </w:t>
      </w:r>
      <w:r w:rsidR="00063D65" w:rsidRPr="00DD1B58">
        <w:rPr>
          <w:lang w:val="en-US"/>
        </w:rPr>
        <w:t>fire damper maintenance at the Encapsulation Plant facilities</w:t>
      </w:r>
      <w:r w:rsidR="00421A78" w:rsidRPr="00DD1B58">
        <w:rPr>
          <w:lang w:val="en-US"/>
        </w:rPr>
        <w:t xml:space="preserve">. A management investigation </w:t>
      </w:r>
      <w:r w:rsidR="0053607D" w:rsidRPr="00DD1B58">
        <w:rPr>
          <w:lang w:val="en-US"/>
        </w:rPr>
        <w:t>highlight</w:t>
      </w:r>
      <w:r w:rsidR="00A06DE2" w:rsidRPr="00DD1B58">
        <w:rPr>
          <w:lang w:val="en-US"/>
        </w:rPr>
        <w:t>ed the lack of dedicated fire systems engineering resource in the facility as a contributing factor</w:t>
      </w:r>
      <w:r w:rsidR="00D27FA3" w:rsidRPr="00DD1B58">
        <w:rPr>
          <w:lang w:val="en-US"/>
        </w:rPr>
        <w:t>.</w:t>
      </w:r>
      <w:r w:rsidR="008F1648" w:rsidRPr="00DD1B58">
        <w:rPr>
          <w:lang w:val="en-US"/>
        </w:rPr>
        <w:t xml:space="preserve"> </w:t>
      </w:r>
      <w:r w:rsidRPr="00DD1B58">
        <w:rPr>
          <w:lang w:val="en-US"/>
        </w:rPr>
        <w:t>Sellafield Ltd.</w:t>
      </w:r>
      <w:r w:rsidR="008F1648" w:rsidRPr="00DD1B58">
        <w:rPr>
          <w:lang w:val="en-US"/>
        </w:rPr>
        <w:t xml:space="preserve"> </w:t>
      </w:r>
      <w:r w:rsidR="00434DF3" w:rsidRPr="00DD1B58">
        <w:rPr>
          <w:lang w:val="en-US"/>
        </w:rPr>
        <w:t>f</w:t>
      </w:r>
      <w:r w:rsidR="008F1648" w:rsidRPr="00DD1B58">
        <w:rPr>
          <w:lang w:val="en-US"/>
        </w:rPr>
        <w:t xml:space="preserve">ire </w:t>
      </w:r>
      <w:r w:rsidR="00434DF3" w:rsidRPr="00DD1B58">
        <w:rPr>
          <w:lang w:val="en-US"/>
        </w:rPr>
        <w:t>e</w:t>
      </w:r>
      <w:r w:rsidR="008F1648" w:rsidRPr="00DD1B58">
        <w:rPr>
          <w:lang w:val="en-US"/>
        </w:rPr>
        <w:t xml:space="preserve">ngineering team are currently engaged to undertake a review and rationalisation of the fire compartmentation and fire damper system. Fire Protection/Engineering capability are providing support and advice to </w:t>
      </w:r>
      <w:r w:rsidR="00434DF3" w:rsidRPr="00DD1B58">
        <w:rPr>
          <w:lang w:val="en-US"/>
        </w:rPr>
        <w:t>p</w:t>
      </w:r>
      <w:r w:rsidR="008F1648" w:rsidRPr="00DD1B58">
        <w:rPr>
          <w:lang w:val="en-US"/>
        </w:rPr>
        <w:t xml:space="preserve">lant </w:t>
      </w:r>
      <w:r w:rsidR="00434DF3" w:rsidRPr="00DD1B58">
        <w:rPr>
          <w:lang w:val="en-US"/>
        </w:rPr>
        <w:t>m</w:t>
      </w:r>
      <w:r w:rsidR="008F1648" w:rsidRPr="00DD1B58">
        <w:rPr>
          <w:lang w:val="en-US"/>
        </w:rPr>
        <w:t>anagement/stakeholders to ensure regular safe maintenance in accordance with the legislation and standards as a matter of urgency. Work is ongoing as part of a wider engineering review, to account for capability issues and how the business chooses to prioritise this going forward to ensure a sustainable capability is available to carry out routine maintenance.</w:t>
      </w:r>
    </w:p>
    <w:p w14:paraId="5E5A0D4C" w14:textId="77777777" w:rsidR="00CD3312" w:rsidRPr="00DD1B58" w:rsidRDefault="00CD3312" w:rsidP="00177432">
      <w:pPr>
        <w:pStyle w:val="Heading5A"/>
        <w:numPr>
          <w:ilvl w:val="5"/>
          <w:numId w:val="7"/>
        </w:numPr>
        <w:rPr>
          <w:lang w:val="en-US"/>
        </w:rPr>
      </w:pPr>
      <w:r w:rsidRPr="00DD1B58">
        <w:rPr>
          <w:lang w:val="en-US"/>
        </w:rPr>
        <w:t>Lessons learned from events, reviews</w:t>
      </w:r>
      <w:r w:rsidR="001828CE" w:rsidRPr="00DD1B58">
        <w:rPr>
          <w:lang w:val="en-US"/>
        </w:rPr>
        <w:t>,</w:t>
      </w:r>
      <w:r w:rsidRPr="00DD1B58">
        <w:rPr>
          <w:lang w:val="en-US"/>
        </w:rPr>
        <w:t xml:space="preserve"> fire safety related missions, etc.</w:t>
      </w:r>
    </w:p>
    <w:p w14:paraId="3FBD1698" w14:textId="68958CEB" w:rsidR="008E515D" w:rsidRPr="00DD1B58" w:rsidRDefault="00FB3582" w:rsidP="008E515D">
      <w:pPr>
        <w:rPr>
          <w:lang w:val="en-US"/>
        </w:rPr>
      </w:pPr>
      <w:r w:rsidRPr="00DD1B58">
        <w:rPr>
          <w:color w:val="000000" w:themeColor="text2"/>
          <w:lang w:val="en-US"/>
        </w:rPr>
        <w:t xml:space="preserve">Recent life fire safety and system-based inspections by ONR have identified issues in facilities on </w:t>
      </w:r>
      <w:r w:rsidR="00AA3ECC" w:rsidRPr="00DD1B58">
        <w:rPr>
          <w:color w:val="000000" w:themeColor="text2"/>
          <w:lang w:val="en-US"/>
        </w:rPr>
        <w:t>Sellafield Site</w:t>
      </w:r>
      <w:r w:rsidRPr="00DD1B58">
        <w:rPr>
          <w:color w:val="000000" w:themeColor="text2"/>
          <w:lang w:val="en-US"/>
        </w:rPr>
        <w:t xml:space="preserve"> including challenges in maintaining fire dampers. Whilst these systems are not claimed in the nuclear fire safety case, they provide life and property protection which if compromised, could impact on defence in depth within the facility.</w:t>
      </w:r>
    </w:p>
    <w:p w14:paraId="541893F8" w14:textId="77777777" w:rsidR="00CD3312" w:rsidRPr="00DD1B58" w:rsidRDefault="00CD3312" w:rsidP="00177432">
      <w:pPr>
        <w:pStyle w:val="Heading5A"/>
        <w:numPr>
          <w:ilvl w:val="5"/>
          <w:numId w:val="7"/>
        </w:numPr>
        <w:rPr>
          <w:lang w:val="en-US"/>
        </w:rPr>
      </w:pPr>
      <w:r w:rsidRPr="00DD1B58">
        <w:rPr>
          <w:lang w:val="en-US"/>
        </w:rPr>
        <w:t>Overview of actions and implementation status</w:t>
      </w:r>
    </w:p>
    <w:p w14:paraId="4DF16743" w14:textId="333BB3C1" w:rsidR="00642D03" w:rsidRPr="00DD1B58" w:rsidRDefault="004668E0" w:rsidP="00DF733A">
      <w:pPr>
        <w:rPr>
          <w:lang w:val="en-US"/>
        </w:rPr>
      </w:pPr>
      <w:r w:rsidRPr="00DD1B58">
        <w:rPr>
          <w:lang w:val="en-US"/>
        </w:rPr>
        <w:t>Sellafield Ltd.</w:t>
      </w:r>
      <w:r w:rsidR="00356F49" w:rsidRPr="00DD1B58">
        <w:rPr>
          <w:lang w:val="en-US"/>
        </w:rPr>
        <w:t xml:space="preserve"> has committ</w:t>
      </w:r>
      <w:r w:rsidR="00283EF1" w:rsidRPr="00DD1B58">
        <w:rPr>
          <w:lang w:val="en-US"/>
        </w:rPr>
        <w:t>ed</w:t>
      </w:r>
      <w:r w:rsidR="00356F49" w:rsidRPr="00DD1B58">
        <w:rPr>
          <w:lang w:val="en-US"/>
        </w:rPr>
        <w:t xml:space="preserve"> to</w:t>
      </w:r>
      <w:r w:rsidR="00283EF1" w:rsidRPr="00DD1B58">
        <w:rPr>
          <w:lang w:val="en-US"/>
        </w:rPr>
        <w:t xml:space="preserve"> undertaking</w:t>
      </w:r>
      <w:r w:rsidR="00356F49" w:rsidRPr="00DD1B58">
        <w:rPr>
          <w:lang w:val="en-US"/>
        </w:rPr>
        <w:t xml:space="preserve"> a high-level review within Fire Protection and Engineering, as well as developing an improvement programme to address some of the root causes of the</w:t>
      </w:r>
      <w:r w:rsidR="00313822" w:rsidRPr="00DD1B58">
        <w:rPr>
          <w:lang w:val="en-US"/>
        </w:rPr>
        <w:t xml:space="preserve"> issues described in section E-I.3.3.2 above</w:t>
      </w:r>
      <w:r w:rsidR="00356F49" w:rsidRPr="00DD1B58">
        <w:rPr>
          <w:lang w:val="en-US"/>
        </w:rPr>
        <w:t xml:space="preserve">. </w:t>
      </w:r>
      <w:r w:rsidRPr="00DD1B58">
        <w:rPr>
          <w:lang w:val="en-US"/>
        </w:rPr>
        <w:t>Sellafield Ltd.</w:t>
      </w:r>
      <w:r w:rsidR="00356F49" w:rsidRPr="00DD1B58">
        <w:rPr>
          <w:lang w:val="en-US"/>
        </w:rPr>
        <w:t xml:space="preserve"> has committed to improving visibility of Fire Protection metrics at both tactical and strategic levels. The tactical levels will improve the facilities’ awareness of the status of any maintenance, obsolescence and operability of systems and the strategic level will ensure appropriate oversight is in place, to mitigate and address any concerns that could implicate Fire Safety.</w:t>
      </w:r>
    </w:p>
    <w:p w14:paraId="41134AD5" w14:textId="77777777" w:rsidR="00CD3312" w:rsidRPr="00DD1B58" w:rsidRDefault="00CD3312" w:rsidP="00177432">
      <w:pPr>
        <w:pStyle w:val="Heading5A"/>
        <w:rPr>
          <w:lang w:val="en-US"/>
        </w:rPr>
      </w:pPr>
      <w:bookmarkStart w:id="162" w:name="_Ref145058772"/>
      <w:r w:rsidRPr="00DD1B58">
        <w:rPr>
          <w:lang w:val="en-US"/>
        </w:rPr>
        <w:t xml:space="preserve">Regulator’s assessment of the </w:t>
      </w:r>
      <w:r w:rsidR="00A34774" w:rsidRPr="00DD1B58">
        <w:rPr>
          <w:lang w:val="en-US"/>
        </w:rPr>
        <w:t>passive</w:t>
      </w:r>
      <w:r w:rsidRPr="00DD1B58">
        <w:rPr>
          <w:lang w:val="en-US"/>
        </w:rPr>
        <w:t xml:space="preserve"> fire protection</w:t>
      </w:r>
      <w:bookmarkEnd w:id="162"/>
    </w:p>
    <w:p w14:paraId="1C2AB0E3" w14:textId="77777777" w:rsidR="00CD3312" w:rsidRPr="00DD1B58" w:rsidRDefault="00CD3312" w:rsidP="00177432">
      <w:pPr>
        <w:pStyle w:val="Heading5A"/>
        <w:numPr>
          <w:ilvl w:val="5"/>
          <w:numId w:val="7"/>
        </w:numPr>
        <w:rPr>
          <w:lang w:val="en-US"/>
        </w:rPr>
      </w:pPr>
      <w:r w:rsidRPr="00DD1B58">
        <w:rPr>
          <w:lang w:val="en-US"/>
        </w:rPr>
        <w:t>Overview of strengths and weaknesses in the passive fire protection</w:t>
      </w:r>
    </w:p>
    <w:p w14:paraId="2CD0B056" w14:textId="0925EDFB" w:rsidR="00817B94" w:rsidRPr="00DD1B58" w:rsidRDefault="00817B94" w:rsidP="00817B94">
      <w:pPr>
        <w:rPr>
          <w:lang w:val="en-US"/>
        </w:rPr>
      </w:pPr>
      <w:r w:rsidRPr="00DD1B58">
        <w:rPr>
          <w:lang w:val="en-US"/>
        </w:rPr>
        <w:t xml:space="preserve">The approach described in section </w:t>
      </w:r>
      <w:r w:rsidR="001C490D" w:rsidRPr="00DD1B58">
        <w:rPr>
          <w:lang w:val="en-US"/>
        </w:rPr>
        <w:fldChar w:fldCharType="begin"/>
      </w:r>
      <w:r w:rsidR="001C490D" w:rsidRPr="00DD1B58">
        <w:rPr>
          <w:lang w:val="en-US"/>
        </w:rPr>
        <w:instrText xml:space="preserve"> REF _Ref139557314 \w \h </w:instrText>
      </w:r>
      <w:r w:rsidR="001C490D" w:rsidRPr="00DD1B58">
        <w:rPr>
          <w:lang w:val="en-US"/>
        </w:rPr>
      </w:r>
      <w:r w:rsidR="001C490D" w:rsidRPr="00DD1B58">
        <w:rPr>
          <w:lang w:val="en-US"/>
        </w:rPr>
        <w:fldChar w:fldCharType="separate"/>
      </w:r>
      <w:r w:rsidR="00DF47DA">
        <w:rPr>
          <w:lang w:val="en-US"/>
        </w:rPr>
        <w:t>C-II-3.3.1</w:t>
      </w:r>
      <w:r w:rsidR="001C490D" w:rsidRPr="00DD1B58">
        <w:rPr>
          <w:lang w:val="en-US"/>
        </w:rPr>
        <w:fldChar w:fldCharType="end"/>
      </w:r>
      <w:r w:rsidRPr="00DD1B58">
        <w:rPr>
          <w:lang w:val="en-US"/>
        </w:rPr>
        <w:t xml:space="preserve"> details how </w:t>
      </w:r>
      <w:r w:rsidR="004668E0" w:rsidRPr="00DD1B58">
        <w:rPr>
          <w:lang w:val="en-US"/>
        </w:rPr>
        <w:t xml:space="preserve">Sellafield Ltd. </w:t>
      </w:r>
      <w:r w:rsidRPr="00DD1B58">
        <w:rPr>
          <w:lang w:val="en-US"/>
        </w:rPr>
        <w:t xml:space="preserve">applies fire containment via the physical separation of areas </w:t>
      </w:r>
      <w:r w:rsidR="007A3A6A" w:rsidRPr="00DD1B58">
        <w:rPr>
          <w:lang w:val="en-US"/>
        </w:rPr>
        <w:t>using</w:t>
      </w:r>
      <w:r w:rsidRPr="00DD1B58">
        <w:rPr>
          <w:lang w:val="en-US"/>
        </w:rPr>
        <w:t xml:space="preserve"> fire rated barriers. This meets ONR expectations as set out in the internal hazards TAG </w:t>
      </w:r>
      <w:sdt>
        <w:sdtPr>
          <w:rPr>
            <w:lang w:val="en-US"/>
          </w:rPr>
          <w:id w:val="-1887018873"/>
          <w:citation/>
        </w:sdtPr>
        <w:sdtContent>
          <w:r w:rsidR="001C490D" w:rsidRPr="00DD1B58">
            <w:rPr>
              <w:lang w:val="en-US"/>
            </w:rPr>
            <w:fldChar w:fldCharType="begin"/>
          </w:r>
          <w:r w:rsidR="001C490D" w:rsidRPr="00DD1B58">
            <w:rPr>
              <w:lang w:val="en-US"/>
            </w:rPr>
            <w:instrText xml:space="preserve"> CITATION ONR4 \l 2057 </w:instrText>
          </w:r>
          <w:r w:rsidR="001C490D" w:rsidRPr="00DD1B58">
            <w:rPr>
              <w:lang w:val="en-US"/>
            </w:rPr>
            <w:fldChar w:fldCharType="separate"/>
          </w:r>
          <w:r w:rsidR="00DF47DA" w:rsidRPr="00DF47DA">
            <w:rPr>
              <w:noProof/>
              <w:lang w:val="en-US"/>
            </w:rPr>
            <w:t>[16]</w:t>
          </w:r>
          <w:r w:rsidR="001C490D" w:rsidRPr="00DD1B58">
            <w:rPr>
              <w:lang w:val="en-US"/>
            </w:rPr>
            <w:fldChar w:fldCharType="end"/>
          </w:r>
        </w:sdtContent>
      </w:sdt>
      <w:r w:rsidR="001C490D" w:rsidRPr="00DD1B58">
        <w:rPr>
          <w:lang w:val="en-US"/>
        </w:rPr>
        <w:t xml:space="preserve"> </w:t>
      </w:r>
      <w:r w:rsidRPr="00DD1B58">
        <w:rPr>
          <w:lang w:val="en-US"/>
        </w:rPr>
        <w:t xml:space="preserve">and IAEA SSG-64 </w:t>
      </w:r>
      <w:sdt>
        <w:sdtPr>
          <w:rPr>
            <w:lang w:val="en-US"/>
          </w:rPr>
          <w:id w:val="-459501957"/>
          <w:citation/>
        </w:sdtPr>
        <w:sdtContent>
          <w:r w:rsidR="00271619" w:rsidRPr="00DD1B58">
            <w:rPr>
              <w:lang w:val="en-US"/>
            </w:rPr>
            <w:fldChar w:fldCharType="begin"/>
          </w:r>
          <w:r w:rsidR="0042353C" w:rsidRPr="00DD1B58">
            <w:rPr>
              <w:lang w:val="en-US"/>
            </w:rPr>
            <w:instrText xml:space="preserve">CITATION IAE5 \l 2057 </w:instrText>
          </w:r>
          <w:r w:rsidR="00271619" w:rsidRPr="00DD1B58">
            <w:rPr>
              <w:lang w:val="en-US"/>
            </w:rPr>
            <w:fldChar w:fldCharType="separate"/>
          </w:r>
          <w:r w:rsidR="00DF47DA" w:rsidRPr="00DF47DA">
            <w:rPr>
              <w:noProof/>
              <w:lang w:val="en-US"/>
            </w:rPr>
            <w:t>[17]</w:t>
          </w:r>
          <w:r w:rsidR="00271619" w:rsidRPr="00DD1B58">
            <w:rPr>
              <w:lang w:val="en-US"/>
            </w:rPr>
            <w:fldChar w:fldCharType="end"/>
          </w:r>
        </w:sdtContent>
      </w:sdt>
      <w:r w:rsidR="00271619" w:rsidRPr="00DD1B58">
        <w:rPr>
          <w:lang w:val="en-US"/>
        </w:rPr>
        <w:t xml:space="preserve"> </w:t>
      </w:r>
      <w:r w:rsidRPr="00DD1B58">
        <w:rPr>
          <w:lang w:val="en-US"/>
        </w:rPr>
        <w:t xml:space="preserve">in addition to SRL SV 6.5. </w:t>
      </w:r>
      <w:r w:rsidR="004668E0" w:rsidRPr="00DD1B58">
        <w:rPr>
          <w:lang w:val="en-US"/>
        </w:rPr>
        <w:t>Sellafield Ltd.</w:t>
      </w:r>
      <w:r w:rsidRPr="00DD1B58">
        <w:rPr>
          <w:lang w:val="en-US"/>
        </w:rPr>
        <w:t xml:space="preserve"> has set out how fire barrier designation is driven by fire hazard analysis and nuclear fire collaborative reviews. This meets ONR’s expectation that fire barriers should be designed to provide the fire resistance as required by the fire analysis.</w:t>
      </w:r>
    </w:p>
    <w:p w14:paraId="5D098BBD" w14:textId="1D000660" w:rsidR="00817B94" w:rsidRPr="00DD1B58" w:rsidRDefault="004A7AF6" w:rsidP="00817B94">
      <w:pPr>
        <w:rPr>
          <w:lang w:val="en-US"/>
        </w:rPr>
      </w:pPr>
      <w:r w:rsidRPr="00DD1B58">
        <w:rPr>
          <w:lang w:val="en-US"/>
        </w:rPr>
        <w:t xml:space="preserve">ONR </w:t>
      </w:r>
      <w:r w:rsidR="004D5F35" w:rsidRPr="00DD1B58">
        <w:rPr>
          <w:lang w:val="en-US"/>
        </w:rPr>
        <w:t>e</w:t>
      </w:r>
      <w:r w:rsidRPr="00DD1B58">
        <w:rPr>
          <w:lang w:val="en-US"/>
        </w:rPr>
        <w:t xml:space="preserve">xpects </w:t>
      </w:r>
      <w:r w:rsidR="004D5F35" w:rsidRPr="00DD1B58">
        <w:rPr>
          <w:lang w:val="en-US"/>
        </w:rPr>
        <w:t>fire dampers to be provided in ventilation ducts that penetrate fire barriers to prevent the transmission of fire and smoke. Consideration should be given to the means of initiation and the potential for the transmission of smoke and the acceptability of this should it occur. The ventilation system integrity should be maintained despite possible filter fires or any other fire or explosion hazards.</w:t>
      </w:r>
      <w:r w:rsidR="00E70A65" w:rsidRPr="00DD1B58">
        <w:rPr>
          <w:lang w:val="en-US"/>
        </w:rPr>
        <w:t xml:space="preserve"> These expectations are described in the ONR internal hazards TAG.</w:t>
      </w:r>
      <w:r w:rsidR="00AF22C9" w:rsidRPr="00DD1B58">
        <w:rPr>
          <w:lang w:val="en-US"/>
        </w:rPr>
        <w:t xml:space="preserve"> </w:t>
      </w:r>
      <w:r w:rsidR="004668E0" w:rsidRPr="00DD1B58">
        <w:rPr>
          <w:lang w:val="en-US"/>
        </w:rPr>
        <w:t>Sellafield Ltd.</w:t>
      </w:r>
      <w:r w:rsidR="00AF22C9" w:rsidRPr="00DD1B58">
        <w:rPr>
          <w:lang w:val="en-US"/>
        </w:rPr>
        <w:t xml:space="preserve"> has set out its approach</w:t>
      </w:r>
      <w:r w:rsidR="007E6F10" w:rsidRPr="00DD1B58">
        <w:rPr>
          <w:lang w:val="en-US"/>
        </w:rPr>
        <w:t xml:space="preserve"> for ventilation systems and fire dampers, detailing how fire damper design meets RGP</w:t>
      </w:r>
      <w:r w:rsidR="00B73512" w:rsidRPr="00DD1B58">
        <w:rPr>
          <w:lang w:val="en-US"/>
        </w:rPr>
        <w:t xml:space="preserve"> and how ductwork is protected from fire as required. ONR judges the licensee’s provision in this area to be adequate.</w:t>
      </w:r>
    </w:p>
    <w:p w14:paraId="5242A9DA" w14:textId="77777777" w:rsidR="00CD3312" w:rsidRPr="00DD1B58" w:rsidRDefault="00CD3312" w:rsidP="00177432">
      <w:pPr>
        <w:pStyle w:val="Heading5A"/>
        <w:numPr>
          <w:ilvl w:val="5"/>
          <w:numId w:val="7"/>
        </w:numPr>
        <w:rPr>
          <w:lang w:val="en-US"/>
        </w:rPr>
      </w:pPr>
      <w:r w:rsidRPr="00DD1B58">
        <w:rPr>
          <w:lang w:val="en-US"/>
        </w:rPr>
        <w:t>Lessons learned from inspection and assessment on the active fire protection as part of its regulatory oversight</w:t>
      </w:r>
    </w:p>
    <w:p w14:paraId="627AE204" w14:textId="77777777" w:rsidR="005E4F5E" w:rsidRPr="00DD1B58" w:rsidRDefault="00E1293C" w:rsidP="0026657F">
      <w:pPr>
        <w:rPr>
          <w:lang w:val="en-US"/>
        </w:rPr>
      </w:pPr>
      <w:r w:rsidRPr="00DD1B58">
        <w:rPr>
          <w:lang w:val="en-US"/>
        </w:rPr>
        <w:t xml:space="preserve">ONR inspected </w:t>
      </w:r>
      <w:r w:rsidR="005E4F5E" w:rsidRPr="00DD1B58">
        <w:rPr>
          <w:lang w:val="en-US"/>
        </w:rPr>
        <w:t xml:space="preserve">nuclear fire </w:t>
      </w:r>
      <w:r w:rsidR="00400743" w:rsidRPr="00DD1B58">
        <w:rPr>
          <w:lang w:val="en-US"/>
        </w:rPr>
        <w:t xml:space="preserve">at </w:t>
      </w:r>
      <w:r w:rsidR="005E4F5E" w:rsidRPr="00DD1B58">
        <w:rPr>
          <w:lang w:val="en-US"/>
        </w:rPr>
        <w:t>SPRS under LC23 in July 2021. The intervention identified that nuclear fire safety assessments and compliance checklists had been adequately completed and that fire safety systems and assets such as nuclear fire barriers and dampers ha</w:t>
      </w:r>
      <w:r w:rsidRPr="00DD1B58">
        <w:rPr>
          <w:lang w:val="en-US"/>
        </w:rPr>
        <w:t>d</w:t>
      </w:r>
      <w:r w:rsidR="005E4F5E" w:rsidRPr="00DD1B58">
        <w:rPr>
          <w:lang w:val="en-US"/>
        </w:rPr>
        <w:t xml:space="preserve"> appropriate examination, inspection, and testing. The inspection was rated as </w:t>
      </w:r>
      <w:r w:rsidR="005E4F5E" w:rsidRPr="00DD1B58">
        <w:rPr>
          <w:i/>
          <w:iCs/>
          <w:lang w:val="en-US"/>
        </w:rPr>
        <w:t>“Green”</w:t>
      </w:r>
      <w:r w:rsidR="005E4F5E" w:rsidRPr="00DD1B58">
        <w:rPr>
          <w:lang w:val="en-US"/>
        </w:rPr>
        <w:t xml:space="preserve"> (no formal action).</w:t>
      </w:r>
    </w:p>
    <w:p w14:paraId="1F3D9AC8" w14:textId="77777777" w:rsidR="0026657F" w:rsidRPr="00DD1B58" w:rsidRDefault="0026657F" w:rsidP="0026657F">
      <w:pPr>
        <w:rPr>
          <w:lang w:val="en-US"/>
        </w:rPr>
      </w:pPr>
      <w:r w:rsidRPr="00DD1B58">
        <w:rPr>
          <w:lang w:val="en-US"/>
        </w:rPr>
        <w:t xml:space="preserve">Life fire inspections at BEPPS-DIF in 2022 and 2023 found that a significant element of the </w:t>
      </w:r>
      <w:r w:rsidR="0060796A" w:rsidRPr="00DD1B58">
        <w:rPr>
          <w:lang w:val="en-US"/>
        </w:rPr>
        <w:t xml:space="preserve">life </w:t>
      </w:r>
      <w:r w:rsidRPr="00DD1B58">
        <w:rPr>
          <w:lang w:val="en-US"/>
        </w:rPr>
        <w:t xml:space="preserve">fire strategy for this facility relies on the fire compartmentation. ONR witnessed a high standard of control of the penetrations within compartment walls. All </w:t>
      </w:r>
      <w:r w:rsidR="005A035D" w:rsidRPr="00DD1B58">
        <w:rPr>
          <w:lang w:val="en-US"/>
        </w:rPr>
        <w:t>penetrations</w:t>
      </w:r>
      <w:r w:rsidRPr="00DD1B58">
        <w:rPr>
          <w:lang w:val="en-US"/>
        </w:rPr>
        <w:t xml:space="preserve"> were individually registered and assigned a unique reference code so that they can be identified and inspected for any signs of degradation over their lifetime. The same approach has been applied to the fire dampers separating different fire zones. ONR judge this to represent good practice.</w:t>
      </w:r>
    </w:p>
    <w:p w14:paraId="1967B0A4" w14:textId="0969CA67" w:rsidR="0026657F" w:rsidRPr="00DD1B58" w:rsidRDefault="002F26B8" w:rsidP="0026657F">
      <w:pPr>
        <w:rPr>
          <w:lang w:val="en-US"/>
        </w:rPr>
      </w:pPr>
      <w:r w:rsidRPr="00DD1B58">
        <w:rPr>
          <w:lang w:val="en-US"/>
        </w:rPr>
        <w:t>A</w:t>
      </w:r>
      <w:r w:rsidR="0063456D" w:rsidRPr="00DD1B58">
        <w:rPr>
          <w:lang w:val="en-US"/>
        </w:rPr>
        <w:t>n</w:t>
      </w:r>
      <w:r w:rsidR="0026657F" w:rsidRPr="00DD1B58">
        <w:rPr>
          <w:lang w:val="en-US"/>
        </w:rPr>
        <w:t xml:space="preserve"> investigation </w:t>
      </w:r>
      <w:r w:rsidR="00A432D4" w:rsidRPr="00DD1B58">
        <w:rPr>
          <w:lang w:val="en-US"/>
        </w:rPr>
        <w:t xml:space="preserve">into fire damper issues reported </w:t>
      </w:r>
      <w:r w:rsidR="0026657F" w:rsidRPr="00DD1B58">
        <w:rPr>
          <w:lang w:val="en-US"/>
        </w:rPr>
        <w:t>at the Encapsulation Plants in 2022 identified that a significant number of fire dampers had not been maintained in accordance with relevant good practice (such as BS</w:t>
      </w:r>
      <w:r w:rsidR="001737A2" w:rsidRPr="00DD1B58">
        <w:rPr>
          <w:lang w:val="en-US"/>
        </w:rPr>
        <w:t xml:space="preserve"> </w:t>
      </w:r>
      <w:r w:rsidR="0026657F" w:rsidRPr="00DD1B58">
        <w:rPr>
          <w:lang w:val="en-US"/>
        </w:rPr>
        <w:t>9999</w:t>
      </w:r>
      <w:sdt>
        <w:sdtPr>
          <w:rPr>
            <w:lang w:val="en-US"/>
          </w:rPr>
          <w:id w:val="910508470"/>
          <w:citation/>
        </w:sdtPr>
        <w:sdtContent>
          <w:r w:rsidR="001737A2" w:rsidRPr="00DD1B58">
            <w:rPr>
              <w:lang w:val="en-US"/>
            </w:rPr>
            <w:fldChar w:fldCharType="begin"/>
          </w:r>
          <w:r w:rsidR="001737A2" w:rsidRPr="00DD1B58">
            <w:rPr>
              <w:lang w:val="en-US"/>
            </w:rPr>
            <w:instrText xml:space="preserve"> CITATION BS9999 \l 2057 </w:instrText>
          </w:r>
          <w:r w:rsidR="001737A2" w:rsidRPr="00DD1B58">
            <w:rPr>
              <w:lang w:val="en-US"/>
            </w:rPr>
            <w:fldChar w:fldCharType="separate"/>
          </w:r>
          <w:r w:rsidR="00DF47DA">
            <w:rPr>
              <w:noProof/>
              <w:lang w:val="en-US"/>
            </w:rPr>
            <w:t xml:space="preserve"> </w:t>
          </w:r>
          <w:r w:rsidR="00DF47DA" w:rsidRPr="00DF47DA">
            <w:rPr>
              <w:noProof/>
              <w:lang w:val="en-US"/>
            </w:rPr>
            <w:t>[71]</w:t>
          </w:r>
          <w:r w:rsidR="001737A2" w:rsidRPr="00DD1B58">
            <w:rPr>
              <w:lang w:val="en-US"/>
            </w:rPr>
            <w:fldChar w:fldCharType="end"/>
          </w:r>
        </w:sdtContent>
      </w:sdt>
      <w:r w:rsidR="0026657F" w:rsidRPr="00DD1B58">
        <w:rPr>
          <w:lang w:val="en-US"/>
        </w:rPr>
        <w:t xml:space="preserve">) and were found to be non-functional upon testing. ONR raised a </w:t>
      </w:r>
      <w:r w:rsidR="00BE4316" w:rsidRPr="00DD1B58">
        <w:rPr>
          <w:lang w:val="en-US"/>
        </w:rPr>
        <w:t xml:space="preserve">level 4 </w:t>
      </w:r>
      <w:r w:rsidR="0026657F" w:rsidRPr="00DD1B58">
        <w:rPr>
          <w:lang w:val="en-US"/>
        </w:rPr>
        <w:t>regulatory issue related to this topic and have placed several actions on the licensee.</w:t>
      </w:r>
      <w:r w:rsidR="00BE4316" w:rsidRPr="00DD1B58">
        <w:rPr>
          <w:lang w:val="en-US"/>
        </w:rPr>
        <w:t xml:space="preserve"> This is expected to be closed out in late 2023.</w:t>
      </w:r>
      <w:r w:rsidR="0026657F" w:rsidRPr="00DD1B58">
        <w:rPr>
          <w:lang w:val="en-US"/>
        </w:rPr>
        <w:t xml:space="preserve"> The dampers identified as failed in the initial incident do not have nuclear classification, however the full condition of dampers across the facility </w:t>
      </w:r>
      <w:r w:rsidR="00F96809" w:rsidRPr="00DD1B58">
        <w:rPr>
          <w:lang w:val="en-US"/>
        </w:rPr>
        <w:t xml:space="preserve">was </w:t>
      </w:r>
      <w:r w:rsidR="0026657F" w:rsidRPr="00DD1B58">
        <w:rPr>
          <w:lang w:val="en-US"/>
        </w:rPr>
        <w:t xml:space="preserve">unclear. </w:t>
      </w:r>
      <w:r w:rsidR="004668E0" w:rsidRPr="00DD1B58">
        <w:rPr>
          <w:lang w:val="en-US"/>
        </w:rPr>
        <w:t>Sellafield Ltd.</w:t>
      </w:r>
      <w:r w:rsidR="0026657F" w:rsidRPr="00DD1B58">
        <w:rPr>
          <w:lang w:val="en-US"/>
        </w:rPr>
        <w:t xml:space="preserve"> </w:t>
      </w:r>
      <w:r w:rsidR="00F03F72" w:rsidRPr="00DD1B58">
        <w:rPr>
          <w:lang w:val="en-US"/>
        </w:rPr>
        <w:t>is</w:t>
      </w:r>
      <w:r w:rsidR="0026657F" w:rsidRPr="00DD1B58">
        <w:rPr>
          <w:lang w:val="en-US"/>
        </w:rPr>
        <w:t xml:space="preserve"> progressing actions to access and test all dampers in addition to confirming the purpose of all dampers in the facility (life safety</w:t>
      </w:r>
      <w:r w:rsidR="007C3F42" w:rsidRPr="00DD1B58">
        <w:rPr>
          <w:lang w:val="en-US"/>
        </w:rPr>
        <w:t>/</w:t>
      </w:r>
      <w:r w:rsidR="0026657F" w:rsidRPr="00DD1B58">
        <w:rPr>
          <w:lang w:val="en-US"/>
        </w:rPr>
        <w:t>nuclear safety</w:t>
      </w:r>
      <w:r w:rsidR="007C3F42" w:rsidRPr="00DD1B58">
        <w:rPr>
          <w:lang w:val="en-US"/>
        </w:rPr>
        <w:t>/</w:t>
      </w:r>
      <w:r w:rsidR="0026657F" w:rsidRPr="00DD1B58">
        <w:rPr>
          <w:lang w:val="en-US"/>
        </w:rPr>
        <w:t>property protection).</w:t>
      </w:r>
      <w:r w:rsidR="004B5BAF" w:rsidRPr="00DD1B58">
        <w:rPr>
          <w:lang w:val="en-US"/>
        </w:rPr>
        <w:t xml:space="preserve"> ONR is tracking this activity via the regulatory issue.</w:t>
      </w:r>
    </w:p>
    <w:p w14:paraId="39F05015" w14:textId="3132D20C" w:rsidR="0026657F" w:rsidRPr="00DD1B58" w:rsidRDefault="0026657F" w:rsidP="0026657F">
      <w:pPr>
        <w:rPr>
          <w:lang w:val="en-US"/>
        </w:rPr>
      </w:pPr>
      <w:r w:rsidRPr="00DD1B58">
        <w:rPr>
          <w:lang w:val="en-US"/>
        </w:rPr>
        <w:t>ONR ha</w:t>
      </w:r>
      <w:r w:rsidR="0008747F" w:rsidRPr="00DD1B58">
        <w:rPr>
          <w:lang w:val="en-US"/>
        </w:rPr>
        <w:t>s</w:t>
      </w:r>
      <w:r w:rsidRPr="00DD1B58">
        <w:rPr>
          <w:lang w:val="en-US"/>
        </w:rPr>
        <w:t xml:space="preserve"> also found issues with dampers not being designed </w:t>
      </w:r>
      <w:r w:rsidR="007E2E66" w:rsidRPr="00DD1B58">
        <w:rPr>
          <w:lang w:val="en-US"/>
        </w:rPr>
        <w:t xml:space="preserve">for </w:t>
      </w:r>
      <w:r w:rsidR="00EF0C20" w:rsidRPr="00DD1B58">
        <w:rPr>
          <w:lang w:val="en-US"/>
        </w:rPr>
        <w:t xml:space="preserve">ease of maintenance </w:t>
      </w:r>
      <w:r w:rsidRPr="00DD1B58">
        <w:rPr>
          <w:lang w:val="en-US"/>
        </w:rPr>
        <w:t>in other facilities at Sellafield</w:t>
      </w:r>
      <w:r w:rsidR="009D1021" w:rsidRPr="00DD1B58">
        <w:rPr>
          <w:lang w:val="en-US"/>
        </w:rPr>
        <w:t>, with accessibility issues</w:t>
      </w:r>
      <w:r w:rsidR="00FE749F" w:rsidRPr="00DD1B58">
        <w:rPr>
          <w:lang w:val="en-US"/>
        </w:rPr>
        <w:t xml:space="preserve"> in </w:t>
      </w:r>
      <w:r w:rsidR="00AA1472" w:rsidRPr="00DD1B58">
        <w:rPr>
          <w:lang w:val="en-US"/>
        </w:rPr>
        <w:t>new build facilities as well as legacy buildings</w:t>
      </w:r>
      <w:r w:rsidRPr="00DD1B58">
        <w:rPr>
          <w:lang w:val="en-US"/>
        </w:rPr>
        <w:t xml:space="preserve">. </w:t>
      </w:r>
      <w:r w:rsidR="004B5BAF" w:rsidRPr="00DD1B58">
        <w:rPr>
          <w:lang w:val="en-US"/>
        </w:rPr>
        <w:t>Level 4 r</w:t>
      </w:r>
      <w:r w:rsidRPr="00DD1B58">
        <w:rPr>
          <w:lang w:val="en-US"/>
        </w:rPr>
        <w:t>egulatory issues have been raised on this topic as a result</w:t>
      </w:r>
      <w:r w:rsidR="004B5BAF" w:rsidRPr="00DD1B58">
        <w:rPr>
          <w:lang w:val="en-US"/>
        </w:rPr>
        <w:t xml:space="preserve"> and are currently being monitored by ONR.</w:t>
      </w:r>
    </w:p>
    <w:p w14:paraId="533CFA90" w14:textId="13268DE6" w:rsidR="0008747F" w:rsidRPr="00DD1B58" w:rsidRDefault="0008747F" w:rsidP="0008747F">
      <w:pPr>
        <w:pStyle w:val="Bulletlist1"/>
        <w:numPr>
          <w:ilvl w:val="0"/>
          <w:numId w:val="0"/>
        </w:numPr>
        <w:rPr>
          <w:lang w:val="en-US"/>
        </w:rPr>
      </w:pPr>
      <w:r w:rsidRPr="00DD1B58">
        <w:rPr>
          <w:lang w:val="en-US"/>
        </w:rPr>
        <w:t xml:space="preserve">ONR is content that </w:t>
      </w:r>
      <w:r w:rsidR="004668E0" w:rsidRPr="00DD1B58">
        <w:rPr>
          <w:lang w:val="en-US"/>
        </w:rPr>
        <w:t xml:space="preserve">Sellafield Ltd. </w:t>
      </w:r>
      <w:r w:rsidRPr="00DD1B58">
        <w:rPr>
          <w:lang w:val="en-US"/>
        </w:rPr>
        <w:t>recognise</w:t>
      </w:r>
      <w:r w:rsidR="00AB0A23" w:rsidRPr="00DD1B58">
        <w:rPr>
          <w:lang w:val="en-US"/>
        </w:rPr>
        <w:t>s</w:t>
      </w:r>
      <w:r w:rsidRPr="00DD1B58">
        <w:rPr>
          <w:lang w:val="en-US"/>
        </w:rPr>
        <w:t xml:space="preserve"> </w:t>
      </w:r>
      <w:r w:rsidR="00EF0C20" w:rsidRPr="00DD1B58">
        <w:rPr>
          <w:lang w:val="en-US"/>
        </w:rPr>
        <w:t xml:space="preserve">the above </w:t>
      </w:r>
      <w:r w:rsidRPr="00DD1B58">
        <w:rPr>
          <w:lang w:val="en-US"/>
        </w:rPr>
        <w:t xml:space="preserve">as an ongoing issue and </w:t>
      </w:r>
      <w:r w:rsidR="00E94F88" w:rsidRPr="00DD1B58">
        <w:rPr>
          <w:lang w:val="en-US"/>
        </w:rPr>
        <w:t xml:space="preserve">that </w:t>
      </w:r>
      <w:r w:rsidRPr="00DD1B58">
        <w:rPr>
          <w:lang w:val="en-US"/>
        </w:rPr>
        <w:t>work is ongoing to ensure fire safety systems are maintainable when designed and installed</w:t>
      </w:r>
      <w:r w:rsidR="00C10A79" w:rsidRPr="00DD1B58">
        <w:rPr>
          <w:lang w:val="en-US"/>
        </w:rPr>
        <w:t>.</w:t>
      </w:r>
      <w:r w:rsidRPr="00DD1B58">
        <w:rPr>
          <w:lang w:val="en-US"/>
        </w:rPr>
        <w:t xml:space="preserve"> </w:t>
      </w:r>
      <w:r w:rsidR="004668E0" w:rsidRPr="00DD1B58">
        <w:rPr>
          <w:lang w:val="en-US"/>
        </w:rPr>
        <w:t>Sellafield Ltd.</w:t>
      </w:r>
      <w:r w:rsidR="00C10A79" w:rsidRPr="00DD1B58">
        <w:rPr>
          <w:lang w:val="en-US"/>
        </w:rPr>
        <w:t xml:space="preserve"> </w:t>
      </w:r>
      <w:r w:rsidR="00EF0C20" w:rsidRPr="00DD1B58">
        <w:rPr>
          <w:lang w:val="en-US"/>
        </w:rPr>
        <w:t xml:space="preserve">has </w:t>
      </w:r>
      <w:r w:rsidR="00C10A79" w:rsidRPr="00DD1B58">
        <w:rPr>
          <w:lang w:val="en-US"/>
        </w:rPr>
        <w:t xml:space="preserve">commited to place </w:t>
      </w:r>
      <w:r w:rsidRPr="00DD1B58">
        <w:rPr>
          <w:lang w:val="en-US"/>
        </w:rPr>
        <w:t>increased oversight on this process going forward</w:t>
      </w:r>
      <w:r w:rsidR="00EF0C20" w:rsidRPr="00DD1B58">
        <w:rPr>
          <w:lang w:val="en-US"/>
        </w:rPr>
        <w:t xml:space="preserve"> and ONR is monitoring progress through the regulatory issues raised.</w:t>
      </w:r>
    </w:p>
    <w:p w14:paraId="65654458" w14:textId="77777777" w:rsidR="0008747F" w:rsidRPr="00DD1B58" w:rsidRDefault="0008747F" w:rsidP="0026657F">
      <w:pPr>
        <w:rPr>
          <w:lang w:val="en-US"/>
        </w:rPr>
      </w:pPr>
    </w:p>
    <w:p w14:paraId="78FBE298" w14:textId="77777777" w:rsidR="00057E23" w:rsidRPr="00DD1B58" w:rsidRDefault="00057E23" w:rsidP="00513B78">
      <w:pPr>
        <w:rPr>
          <w:lang w:val="en-US"/>
        </w:rPr>
      </w:pPr>
      <w:r w:rsidRPr="00DD1B58">
        <w:rPr>
          <w:lang w:val="en-US"/>
        </w:rPr>
        <w:br w:type="page"/>
      </w:r>
    </w:p>
    <w:p w14:paraId="7230E05F" w14:textId="4D00691A" w:rsidR="00057E23" w:rsidRPr="00DD1B58" w:rsidRDefault="00057E23" w:rsidP="00177432">
      <w:pPr>
        <w:pStyle w:val="Heading3A"/>
        <w:rPr>
          <w:lang w:val="en-US"/>
        </w:rPr>
      </w:pPr>
      <w:bookmarkStart w:id="163" w:name="_Toc147090657"/>
      <w:r w:rsidRPr="00DD1B58">
        <w:rPr>
          <w:lang w:val="en-US"/>
        </w:rPr>
        <w:t xml:space="preserve">Facilities </w:t>
      </w:r>
      <w:r w:rsidR="0059010C" w:rsidRPr="00DD1B58">
        <w:rPr>
          <w:lang w:val="en-US"/>
        </w:rPr>
        <w:t>u</w:t>
      </w:r>
      <w:r w:rsidRPr="00DD1B58">
        <w:rPr>
          <w:lang w:val="en-US"/>
        </w:rPr>
        <w:t xml:space="preserve">nder </w:t>
      </w:r>
      <w:r w:rsidR="0059010C" w:rsidRPr="00DD1B58">
        <w:rPr>
          <w:lang w:val="en-US"/>
        </w:rPr>
        <w:t>d</w:t>
      </w:r>
      <w:r w:rsidRPr="00DD1B58">
        <w:rPr>
          <w:lang w:val="en-US"/>
        </w:rPr>
        <w:t>ecommissioning</w:t>
      </w:r>
      <w:bookmarkEnd w:id="163"/>
    </w:p>
    <w:p w14:paraId="581C7FCA" w14:textId="08CAF3B0" w:rsidR="00702EF6" w:rsidRPr="00DD1B58" w:rsidRDefault="00702EF6" w:rsidP="00702EF6">
      <w:pPr>
        <w:rPr>
          <w:lang w:val="en-US"/>
        </w:rPr>
      </w:pPr>
      <w:r w:rsidRPr="00DD1B58">
        <w:rPr>
          <w:lang w:val="en-US"/>
        </w:rPr>
        <w:t xml:space="preserve">The text in the Sections below has been prepared by Dounreay Site Restoration </w:t>
      </w:r>
      <w:r w:rsidR="00BF0D1B" w:rsidRPr="00DD1B58">
        <w:rPr>
          <w:lang w:val="en-US"/>
        </w:rPr>
        <w:t>Ltd</w:t>
      </w:r>
      <w:r w:rsidRPr="00DD1B58">
        <w:rPr>
          <w:lang w:val="en-US"/>
        </w:rPr>
        <w:t xml:space="preserve"> Background information on the site and the range of installations considered in the scope of the assessment is provided in Sections </w:t>
      </w:r>
      <w:r w:rsidRPr="00DD1B58">
        <w:rPr>
          <w:lang w:val="en-US"/>
        </w:rPr>
        <w:fldChar w:fldCharType="begin"/>
      </w:r>
      <w:r w:rsidRPr="00DD1B58">
        <w:rPr>
          <w:lang w:val="en-US"/>
        </w:rPr>
        <w:instrText xml:space="preserve"> REF _Ref135231533 \r \h </w:instrText>
      </w:r>
      <w:r w:rsidRPr="00DD1B58">
        <w:rPr>
          <w:lang w:val="en-US"/>
        </w:rPr>
      </w:r>
      <w:r w:rsidRPr="00DD1B58">
        <w:rPr>
          <w:lang w:val="en-US"/>
        </w:rPr>
        <w:fldChar w:fldCharType="separate"/>
      </w:r>
      <w:r w:rsidR="00DF47DA">
        <w:rPr>
          <w:lang w:val="en-US"/>
        </w:rPr>
        <w:t>1.1.2</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_Ref135231543 \r \h </w:instrText>
      </w:r>
      <w:r w:rsidRPr="00DD1B58">
        <w:rPr>
          <w:lang w:val="en-US"/>
        </w:rPr>
      </w:r>
      <w:r w:rsidRPr="00DD1B58">
        <w:rPr>
          <w:lang w:val="en-US"/>
        </w:rPr>
        <w:fldChar w:fldCharType="separate"/>
      </w:r>
      <w:r w:rsidR="00DF47DA">
        <w:rPr>
          <w:lang w:val="en-US"/>
        </w:rPr>
        <w:t>1.1.3</w:t>
      </w:r>
      <w:r w:rsidRPr="00DD1B58">
        <w:rPr>
          <w:lang w:val="en-US"/>
        </w:rPr>
        <w:fldChar w:fldCharType="end"/>
      </w:r>
      <w:r w:rsidRPr="00DD1B58">
        <w:rPr>
          <w:lang w:val="en-US"/>
        </w:rPr>
        <w:t>.</w:t>
      </w:r>
    </w:p>
    <w:p w14:paraId="585F5C25" w14:textId="270C68BA" w:rsidR="00057E23" w:rsidRPr="00DD1B58" w:rsidRDefault="00057E23" w:rsidP="00177432">
      <w:pPr>
        <w:pStyle w:val="Heading4A"/>
        <w:rPr>
          <w:lang w:val="en-US"/>
        </w:rPr>
      </w:pPr>
      <w:r w:rsidRPr="00DD1B58">
        <w:rPr>
          <w:lang w:val="en-US"/>
        </w:rPr>
        <w:t xml:space="preserve">  Dounreay</w:t>
      </w:r>
    </w:p>
    <w:p w14:paraId="5D5EE9A1" w14:textId="77777777" w:rsidR="00A34774" w:rsidRPr="00DD1B58" w:rsidRDefault="00A34774" w:rsidP="00177432">
      <w:pPr>
        <w:pStyle w:val="Heading5A"/>
        <w:rPr>
          <w:lang w:val="en-US"/>
        </w:rPr>
      </w:pPr>
      <w:r w:rsidRPr="00DD1B58">
        <w:rPr>
          <w:lang w:val="en-US"/>
        </w:rPr>
        <w:t>Prevention of fire spreading (barriers)</w:t>
      </w:r>
    </w:p>
    <w:p w14:paraId="1D35BECD" w14:textId="06CEB127" w:rsidR="00057E23" w:rsidRPr="00DD1B58" w:rsidRDefault="00057E23" w:rsidP="00177432">
      <w:pPr>
        <w:pStyle w:val="Heading5A"/>
        <w:numPr>
          <w:ilvl w:val="5"/>
          <w:numId w:val="7"/>
        </w:numPr>
        <w:rPr>
          <w:lang w:val="en-US"/>
        </w:rPr>
      </w:pPr>
      <w:r w:rsidRPr="00DD1B58">
        <w:rPr>
          <w:lang w:val="en-US"/>
        </w:rPr>
        <w:t xml:space="preserve">Design </w:t>
      </w:r>
      <w:r w:rsidR="0059010C" w:rsidRPr="00DD1B58">
        <w:rPr>
          <w:lang w:val="en-US"/>
        </w:rPr>
        <w:t>a</w:t>
      </w:r>
      <w:r w:rsidRPr="00DD1B58">
        <w:rPr>
          <w:lang w:val="en-US"/>
        </w:rPr>
        <w:t>pproach</w:t>
      </w:r>
    </w:p>
    <w:p w14:paraId="31E574DF" w14:textId="77777777" w:rsidR="00B30461" w:rsidRPr="00DD1B58" w:rsidRDefault="00B30461" w:rsidP="00B30461">
      <w:pPr>
        <w:rPr>
          <w:lang w:val="en-US" w:eastAsia="en-GB" w:bidi="ar-SA"/>
        </w:rPr>
      </w:pPr>
      <w:r w:rsidRPr="00DD1B58">
        <w:rPr>
          <w:lang w:val="en-US" w:eastAsia="en-GB" w:bidi="ar-SA"/>
        </w:rPr>
        <w:t xml:space="preserve">PFR facilities are more than 50 years old and were designed to meet the design requirements of the day. The buildings are largely open plan and there are limited fire boundaries. With the exception of the fire detection and alarm system, no claims pertaining to fire barriers are made within the safety case, which required substantiation. </w:t>
      </w:r>
    </w:p>
    <w:p w14:paraId="4AC163E8" w14:textId="77777777" w:rsidR="00057E23" w:rsidRPr="00DD1B58" w:rsidRDefault="00057E23" w:rsidP="00177432">
      <w:pPr>
        <w:pStyle w:val="Heading5A"/>
        <w:numPr>
          <w:ilvl w:val="5"/>
          <w:numId w:val="7"/>
        </w:numPr>
        <w:rPr>
          <w:lang w:val="en-US"/>
        </w:rPr>
      </w:pPr>
      <w:r w:rsidRPr="00DD1B58">
        <w:rPr>
          <w:lang w:val="en-US"/>
        </w:rPr>
        <w:t>Description of fire compartments and/or cells design and key features</w:t>
      </w:r>
    </w:p>
    <w:p w14:paraId="78228D66" w14:textId="77777777" w:rsidR="00B87C33" w:rsidRPr="00DD1B58" w:rsidRDefault="00B87C33" w:rsidP="00B87C33">
      <w:pPr>
        <w:pStyle w:val="Default"/>
        <w:rPr>
          <w:sz w:val="23"/>
          <w:szCs w:val="23"/>
          <w:lang w:val="en-US"/>
        </w:rPr>
      </w:pPr>
      <w:r w:rsidRPr="00DD1B58">
        <w:rPr>
          <w:lang w:val="en-US"/>
        </w:rPr>
        <w:t xml:space="preserve">Due </w:t>
      </w:r>
      <w:r w:rsidRPr="00DD1B58">
        <w:rPr>
          <w:sz w:val="23"/>
          <w:szCs w:val="23"/>
          <w:lang w:val="en-US"/>
        </w:rPr>
        <w:t>to the open plan nature of the main processing areas of the PFR complex, there are only a small number of fire barriers located in the building though these were not installed as fire barriers.</w:t>
      </w:r>
    </w:p>
    <w:p w14:paraId="60978541" w14:textId="77777777" w:rsidR="00B87C33" w:rsidRPr="00DD1B58" w:rsidRDefault="00B87C33" w:rsidP="00B87C33">
      <w:pPr>
        <w:pStyle w:val="Default"/>
        <w:rPr>
          <w:sz w:val="23"/>
          <w:szCs w:val="23"/>
          <w:lang w:val="en-US"/>
        </w:rPr>
      </w:pPr>
    </w:p>
    <w:p w14:paraId="2FDFEA8D" w14:textId="77777777" w:rsidR="00B87C33" w:rsidRPr="00DD1B58" w:rsidRDefault="00B87C33" w:rsidP="00140FEF">
      <w:pPr>
        <w:pStyle w:val="Bulletlist1"/>
        <w:rPr>
          <w:lang w:val="en-US"/>
        </w:rPr>
      </w:pPr>
      <w:r w:rsidRPr="00DD1B58">
        <w:rPr>
          <w:lang w:val="en-US"/>
        </w:rPr>
        <w:t>A 60-minute fire barrier separates the Reactor Hall and Decontamination Hall from the adjacent SGB and Surveillance Centre/Admin Building.</w:t>
      </w:r>
    </w:p>
    <w:p w14:paraId="3C35F831" w14:textId="77777777" w:rsidR="00B87C33" w:rsidRPr="00DD1B58" w:rsidRDefault="00B87C33" w:rsidP="00140FEF">
      <w:pPr>
        <w:pStyle w:val="Bulletlist1"/>
        <w:rPr>
          <w:lang w:val="en-US"/>
        </w:rPr>
      </w:pPr>
      <w:r w:rsidRPr="00DD1B58">
        <w:rPr>
          <w:lang w:val="en-US"/>
        </w:rPr>
        <w:t xml:space="preserve">A number of 30-minute fire barriers are located in the </w:t>
      </w:r>
      <w:r w:rsidR="004A527B" w:rsidRPr="00DD1B58">
        <w:rPr>
          <w:lang w:val="en-US"/>
        </w:rPr>
        <w:t>Caesium</w:t>
      </w:r>
      <w:r w:rsidRPr="00DD1B58">
        <w:rPr>
          <w:lang w:val="en-US"/>
        </w:rPr>
        <w:t xml:space="preserve"> Removal Plant (CRP) and the SDP</w:t>
      </w:r>
      <w:r w:rsidR="115CBB74" w:rsidRPr="00DD1B58">
        <w:rPr>
          <w:lang w:val="en-US"/>
        </w:rPr>
        <w:t>.</w:t>
      </w:r>
    </w:p>
    <w:p w14:paraId="7D7F48E3" w14:textId="77777777" w:rsidR="00B87C33" w:rsidRPr="00DD1B58" w:rsidRDefault="00B87C33" w:rsidP="00140FEF">
      <w:pPr>
        <w:pStyle w:val="Bulletlist1"/>
        <w:rPr>
          <w:lang w:val="en-US"/>
        </w:rPr>
      </w:pPr>
      <w:r w:rsidRPr="00DD1B58">
        <w:rPr>
          <w:lang w:val="en-US"/>
        </w:rPr>
        <w:t>A 60-minute fire barrier separates the Turbine Hall from the Diesel Generator building</w:t>
      </w:r>
      <w:r w:rsidR="115CBB74" w:rsidRPr="00DD1B58">
        <w:rPr>
          <w:lang w:val="en-US"/>
        </w:rPr>
        <w:t>.</w:t>
      </w:r>
    </w:p>
    <w:p w14:paraId="171C2B8C" w14:textId="77777777" w:rsidR="00B87C33" w:rsidRPr="00DD1B58" w:rsidRDefault="00B87C33" w:rsidP="00B87C33">
      <w:pPr>
        <w:pStyle w:val="Bulletlist1"/>
        <w:rPr>
          <w:lang w:val="en-US"/>
        </w:rPr>
      </w:pPr>
      <w:r w:rsidRPr="00DD1B58">
        <w:rPr>
          <w:lang w:val="en-US"/>
        </w:rPr>
        <w:t>A number of stairways are also protected in various areas of the building</w:t>
      </w:r>
      <w:r w:rsidR="115CBB74" w:rsidRPr="00DD1B58">
        <w:rPr>
          <w:lang w:val="en-US"/>
        </w:rPr>
        <w:t>.</w:t>
      </w:r>
    </w:p>
    <w:p w14:paraId="2EBF4FBC" w14:textId="697C9D83" w:rsidR="00B87C33" w:rsidRPr="00DD1B58" w:rsidRDefault="00B87C33" w:rsidP="00B87C33">
      <w:pPr>
        <w:pStyle w:val="Default"/>
        <w:rPr>
          <w:lang w:val="en-US"/>
        </w:rPr>
      </w:pPr>
      <w:r w:rsidRPr="00DD1B58">
        <w:rPr>
          <w:lang w:val="en-US"/>
        </w:rPr>
        <w:t xml:space="preserve">The IFC is essentially a concrete vault of thickness greater than 1m. </w:t>
      </w:r>
      <w:r w:rsidR="00EF0C20" w:rsidRPr="00DD1B58">
        <w:rPr>
          <w:lang w:val="en-US"/>
        </w:rPr>
        <w:t xml:space="preserve">Dounreay considers such </w:t>
      </w:r>
      <w:r w:rsidRPr="00DD1B58">
        <w:rPr>
          <w:lang w:val="en-US"/>
        </w:rPr>
        <w:t xml:space="preserve">construction </w:t>
      </w:r>
      <w:r w:rsidR="00EF0C20" w:rsidRPr="00DD1B58">
        <w:rPr>
          <w:lang w:val="en-US"/>
        </w:rPr>
        <w:t xml:space="preserve">to be </w:t>
      </w:r>
      <w:r w:rsidRPr="00DD1B58">
        <w:rPr>
          <w:lang w:val="en-US"/>
        </w:rPr>
        <w:t>very robust to the effects of fire.</w:t>
      </w:r>
    </w:p>
    <w:p w14:paraId="7C62A9C6" w14:textId="77777777" w:rsidR="00B87C33" w:rsidRPr="00DD1B58" w:rsidRDefault="00B87C33" w:rsidP="00B87C33">
      <w:pPr>
        <w:pStyle w:val="Default"/>
        <w:rPr>
          <w:lang w:val="en-US"/>
        </w:rPr>
      </w:pPr>
    </w:p>
    <w:p w14:paraId="7017FFE5" w14:textId="77777777" w:rsidR="005A6F2B" w:rsidRPr="00DD1B58" w:rsidRDefault="00B87C33" w:rsidP="005A6F2B">
      <w:pPr>
        <w:pStyle w:val="Default"/>
        <w:rPr>
          <w:lang w:val="en-US"/>
        </w:rPr>
      </w:pPr>
      <w:r w:rsidRPr="00DD1B58">
        <w:rPr>
          <w:lang w:val="en-US"/>
        </w:rPr>
        <w:t>Access routes are maintained by utilising delineated markings. These markings lead personnel to exits, from which they can progress through compartmentation to another building.</w:t>
      </w:r>
    </w:p>
    <w:p w14:paraId="63C0F4D7" w14:textId="77777777" w:rsidR="005A6F2B" w:rsidRPr="00DD1B58" w:rsidRDefault="005A6F2B" w:rsidP="005A6F2B">
      <w:pPr>
        <w:pStyle w:val="Default"/>
        <w:rPr>
          <w:sz w:val="23"/>
          <w:szCs w:val="23"/>
          <w:lang w:val="en-US"/>
        </w:rPr>
      </w:pPr>
    </w:p>
    <w:p w14:paraId="7C7DD7A9" w14:textId="77777777" w:rsidR="00057E23" w:rsidRPr="00DD1B58" w:rsidRDefault="00057E23" w:rsidP="00177432">
      <w:pPr>
        <w:pStyle w:val="Heading5A"/>
        <w:numPr>
          <w:ilvl w:val="5"/>
          <w:numId w:val="7"/>
        </w:numPr>
        <w:rPr>
          <w:lang w:val="en-US"/>
        </w:rPr>
      </w:pPr>
      <w:r w:rsidRPr="00DD1B58">
        <w:rPr>
          <w:lang w:val="en-US"/>
        </w:rPr>
        <w:t>Performance assurance through lifetime</w:t>
      </w:r>
    </w:p>
    <w:p w14:paraId="02C75C65" w14:textId="6CB3882C" w:rsidR="00C97408" w:rsidRPr="00DD1B58" w:rsidRDefault="00C97408" w:rsidP="00C97408">
      <w:pPr>
        <w:pStyle w:val="Default"/>
        <w:rPr>
          <w:lang w:val="en-US"/>
        </w:rPr>
      </w:pPr>
      <w:r w:rsidRPr="00DD1B58">
        <w:rPr>
          <w:lang w:val="en-US"/>
        </w:rPr>
        <w:t xml:space="preserve">Modifications to the facility or to its operational activities are subject to the Dounreay Modification Report (DMR) process. Implications for fire safety are considered as part of this process. </w:t>
      </w:r>
      <w:r w:rsidR="00B21769" w:rsidRPr="00DD1B58">
        <w:rPr>
          <w:lang w:val="en-US"/>
        </w:rPr>
        <w:t xml:space="preserve">Dounreay reports that any </w:t>
      </w:r>
      <w:r w:rsidRPr="00DD1B58">
        <w:rPr>
          <w:lang w:val="en-US"/>
        </w:rPr>
        <w:t>change requiring a Fire Risk Assessment under the Fire (Scotland) Act 2005 and any changes to emergency plant, equipment, systems or services defined within the Dounreay Emergency Plan, Emergency Manual and local Emergency Manuals at PFR are automatically assessed as a modification.</w:t>
      </w:r>
    </w:p>
    <w:p w14:paraId="353034AE" w14:textId="77777777" w:rsidR="00C97408" w:rsidRPr="00DD1B58" w:rsidRDefault="00C97408" w:rsidP="00C97408">
      <w:pPr>
        <w:pStyle w:val="Default"/>
        <w:rPr>
          <w:lang w:val="en-US"/>
        </w:rPr>
      </w:pPr>
    </w:p>
    <w:p w14:paraId="1561D494" w14:textId="77777777" w:rsidR="00C97408" w:rsidRPr="00DD1B58" w:rsidRDefault="00C97408" w:rsidP="00C97408">
      <w:pPr>
        <w:pStyle w:val="Default"/>
        <w:rPr>
          <w:lang w:val="en-US"/>
        </w:rPr>
      </w:pPr>
      <w:r w:rsidRPr="00DD1B58">
        <w:rPr>
          <w:lang w:val="en-US"/>
        </w:rPr>
        <w:t>The Dounreay due process outlines the measures that should be taken when progressing such a modification, i.e. requirement to consult with Fire Safety Advisor with regards to matters relating to Fire Safety and implement accordingly the fire risk assessment requirements; measures to reduce the risk of fire and the spread of fire; measures in relation to the means of escape; the means of detecting fires and giving warning in the event of fire; firefighting measures; testing and maintenance of all fire protection and control equipment; seeking advice from the Fire Safety Advisor or engineers (when used) on planning, construction or alteration of buildings under their control.</w:t>
      </w:r>
    </w:p>
    <w:p w14:paraId="6524E251" w14:textId="77777777" w:rsidR="00C97408" w:rsidRPr="00DD1B58" w:rsidRDefault="00C97408" w:rsidP="00C97408">
      <w:pPr>
        <w:pStyle w:val="Default"/>
        <w:rPr>
          <w:lang w:val="en-US"/>
        </w:rPr>
      </w:pPr>
    </w:p>
    <w:p w14:paraId="530B323D" w14:textId="77777777" w:rsidR="00600410" w:rsidRPr="00DD1B58" w:rsidRDefault="00C97408" w:rsidP="004A527B">
      <w:pPr>
        <w:pStyle w:val="Default"/>
        <w:rPr>
          <w:sz w:val="23"/>
          <w:szCs w:val="23"/>
          <w:lang w:val="en-US"/>
        </w:rPr>
      </w:pPr>
      <w:r w:rsidRPr="00DD1B58">
        <w:rPr>
          <w:lang w:val="en-US"/>
        </w:rPr>
        <w:t>In addition, Planned Maintenance Instructions and Building Inspection report forms include the requirement to identify and record performance assurance</w:t>
      </w:r>
      <w:r w:rsidRPr="00DD1B58">
        <w:rPr>
          <w:sz w:val="23"/>
          <w:szCs w:val="23"/>
          <w:lang w:val="en-US"/>
        </w:rPr>
        <w:t xml:space="preserve">. </w:t>
      </w:r>
    </w:p>
    <w:p w14:paraId="6F932ED1" w14:textId="77777777" w:rsidR="004A527B" w:rsidRPr="00DD1B58" w:rsidRDefault="004A527B" w:rsidP="004A527B">
      <w:pPr>
        <w:pStyle w:val="Default"/>
        <w:rPr>
          <w:lang w:val="en-US"/>
        </w:rPr>
      </w:pPr>
    </w:p>
    <w:p w14:paraId="7C77EDE6" w14:textId="77777777" w:rsidR="00057E23" w:rsidRPr="00DD1B58" w:rsidRDefault="00057E23" w:rsidP="00177432">
      <w:pPr>
        <w:pStyle w:val="Heading5A"/>
        <w:rPr>
          <w:lang w:val="en-US"/>
        </w:rPr>
      </w:pPr>
      <w:r w:rsidRPr="00DD1B58">
        <w:rPr>
          <w:lang w:val="en-US"/>
        </w:rPr>
        <w:t>Ventilation systems</w:t>
      </w:r>
    </w:p>
    <w:p w14:paraId="1FEE9900" w14:textId="77777777" w:rsidR="00D119E3" w:rsidRPr="00DD1B58" w:rsidRDefault="00D119E3" w:rsidP="00D119E3">
      <w:pPr>
        <w:pStyle w:val="Default"/>
        <w:rPr>
          <w:lang w:val="en-US"/>
        </w:rPr>
      </w:pPr>
      <w:r w:rsidRPr="00DD1B58">
        <w:rPr>
          <w:lang w:val="en-US"/>
        </w:rPr>
        <w:t>The ventilation systems at PFR have largely been in operation for almost 50 years and were installed to meet the standards at that time.</w:t>
      </w:r>
    </w:p>
    <w:p w14:paraId="1F706600" w14:textId="77777777" w:rsidR="00D119E3" w:rsidRPr="00DD1B58" w:rsidRDefault="00D119E3" w:rsidP="00D119E3">
      <w:pPr>
        <w:pStyle w:val="Default"/>
        <w:rPr>
          <w:lang w:val="en-US"/>
        </w:rPr>
      </w:pPr>
    </w:p>
    <w:p w14:paraId="3605CF0A" w14:textId="77777777" w:rsidR="00057E23" w:rsidRPr="00DD1B58" w:rsidRDefault="00057E23" w:rsidP="00177432">
      <w:pPr>
        <w:pStyle w:val="Heading5A"/>
        <w:numPr>
          <w:ilvl w:val="5"/>
          <w:numId w:val="7"/>
        </w:numPr>
        <w:rPr>
          <w:lang w:val="en-US"/>
        </w:rPr>
      </w:pPr>
      <w:r w:rsidRPr="00DD1B58">
        <w:rPr>
          <w:lang w:val="en-US"/>
        </w:rPr>
        <w:t>Ventilation system design: segregation and isolation provisions (as applicable)</w:t>
      </w:r>
    </w:p>
    <w:p w14:paraId="17E47F96" w14:textId="77777777" w:rsidR="000D3A25" w:rsidRPr="00DD1B58" w:rsidRDefault="000D3A25" w:rsidP="000D3A25">
      <w:pPr>
        <w:pStyle w:val="Default"/>
        <w:rPr>
          <w:sz w:val="23"/>
          <w:szCs w:val="23"/>
          <w:lang w:val="en-US"/>
        </w:rPr>
      </w:pPr>
      <w:r w:rsidRPr="00DD1B58">
        <w:rPr>
          <w:lang w:val="en-US"/>
        </w:rPr>
        <w:t>As previously discussed, the buildings are mostly open plan in nature. No claims are made against the ventilation systems in regard to segregation and isolation provisions</w:t>
      </w:r>
      <w:r w:rsidRPr="00DD1B58">
        <w:rPr>
          <w:sz w:val="23"/>
          <w:szCs w:val="23"/>
          <w:lang w:val="en-US"/>
        </w:rPr>
        <w:t>.</w:t>
      </w:r>
    </w:p>
    <w:p w14:paraId="33FF65E0" w14:textId="77777777" w:rsidR="000D3A25" w:rsidRPr="00DD1B58" w:rsidRDefault="000D3A25" w:rsidP="000D3A25">
      <w:pPr>
        <w:pStyle w:val="Default"/>
        <w:rPr>
          <w:lang w:val="en-US"/>
        </w:rPr>
      </w:pPr>
    </w:p>
    <w:p w14:paraId="67F407AE" w14:textId="77777777" w:rsidR="00057E23" w:rsidRPr="00DD1B58" w:rsidRDefault="00057E23" w:rsidP="00177432">
      <w:pPr>
        <w:pStyle w:val="Heading5A"/>
        <w:numPr>
          <w:ilvl w:val="5"/>
          <w:numId w:val="7"/>
        </w:numPr>
        <w:rPr>
          <w:lang w:val="en-US"/>
        </w:rPr>
      </w:pPr>
      <w:r w:rsidRPr="00DD1B58">
        <w:rPr>
          <w:lang w:val="en-US"/>
        </w:rPr>
        <w:t>Performance and management requirements under fire conditions</w:t>
      </w:r>
    </w:p>
    <w:p w14:paraId="17D79F17" w14:textId="77777777" w:rsidR="004C0344" w:rsidRPr="00DD1B58" w:rsidRDefault="004C0344" w:rsidP="004C0344">
      <w:pPr>
        <w:pStyle w:val="Default"/>
        <w:rPr>
          <w:lang w:val="en-US"/>
        </w:rPr>
      </w:pPr>
      <w:r w:rsidRPr="00DD1B58">
        <w:rPr>
          <w:lang w:val="en-US"/>
        </w:rPr>
        <w:t xml:space="preserve">No fire resistance ratings are claimed, and none have been substantiated against fire performance requirements, </w:t>
      </w:r>
      <w:r w:rsidR="00B43F1C" w:rsidRPr="00DD1B58">
        <w:rPr>
          <w:lang w:val="en-US"/>
        </w:rPr>
        <w:t>e.g.,</w:t>
      </w:r>
      <w:r w:rsidRPr="00DD1B58">
        <w:rPr>
          <w:lang w:val="en-US"/>
        </w:rPr>
        <w:t xml:space="preserve"> dampers or filters.</w:t>
      </w:r>
    </w:p>
    <w:p w14:paraId="45FEF904" w14:textId="77777777" w:rsidR="004C0344" w:rsidRPr="00DD1B58" w:rsidRDefault="004C0344" w:rsidP="004C0344">
      <w:pPr>
        <w:pStyle w:val="Default"/>
        <w:rPr>
          <w:lang w:val="en-US"/>
        </w:rPr>
      </w:pPr>
    </w:p>
    <w:p w14:paraId="61A3E91D" w14:textId="77777777" w:rsidR="00057E23" w:rsidRPr="00DD1B58" w:rsidRDefault="00057E23" w:rsidP="00177432">
      <w:pPr>
        <w:pStyle w:val="Heading5A"/>
        <w:rPr>
          <w:lang w:val="en-US"/>
        </w:rPr>
      </w:pPr>
      <w:bookmarkStart w:id="164" w:name="_Ref140148027"/>
      <w:r w:rsidRPr="00DD1B58">
        <w:rPr>
          <w:lang w:val="en-US"/>
        </w:rPr>
        <w:t xml:space="preserve">Licensee’s experience of the implementation of the </w:t>
      </w:r>
      <w:r w:rsidR="00A34774" w:rsidRPr="00DD1B58">
        <w:rPr>
          <w:lang w:val="en-US"/>
        </w:rPr>
        <w:t>passive</w:t>
      </w:r>
      <w:r w:rsidRPr="00DD1B58">
        <w:rPr>
          <w:lang w:val="en-US"/>
        </w:rPr>
        <w:t xml:space="preserve"> fire protection</w:t>
      </w:r>
      <w:bookmarkEnd w:id="164"/>
    </w:p>
    <w:p w14:paraId="6832F57E" w14:textId="77777777" w:rsidR="00971F32" w:rsidRPr="00DD1B58" w:rsidRDefault="00434121" w:rsidP="00971F32">
      <w:pPr>
        <w:rPr>
          <w:lang w:val="en-US"/>
        </w:rPr>
      </w:pPr>
      <w:r w:rsidRPr="00DD1B58">
        <w:rPr>
          <w:lang w:val="en-US"/>
        </w:rPr>
        <w:t xml:space="preserve">No specific passive fire protection </w:t>
      </w:r>
      <w:r w:rsidR="002F0216" w:rsidRPr="00DD1B58">
        <w:rPr>
          <w:lang w:val="en-US"/>
        </w:rPr>
        <w:t xml:space="preserve">features are claimed within </w:t>
      </w:r>
      <w:r w:rsidR="006243FB" w:rsidRPr="00DD1B58">
        <w:rPr>
          <w:lang w:val="en-US"/>
        </w:rPr>
        <w:t>the PFR nuclear safety case or have been implemented since</w:t>
      </w:r>
      <w:r w:rsidR="00E507D9" w:rsidRPr="00DD1B58">
        <w:rPr>
          <w:lang w:val="en-US"/>
        </w:rPr>
        <w:t xml:space="preserve"> </w:t>
      </w:r>
      <w:r w:rsidR="004657E7" w:rsidRPr="00DD1B58">
        <w:rPr>
          <w:lang w:val="en-US"/>
        </w:rPr>
        <w:t>the start of operations.</w:t>
      </w:r>
    </w:p>
    <w:p w14:paraId="0600DB90" w14:textId="77777777" w:rsidR="00057E23" w:rsidRPr="00DD1B58" w:rsidRDefault="00057E23" w:rsidP="00177432">
      <w:pPr>
        <w:pStyle w:val="Heading5A"/>
        <w:numPr>
          <w:ilvl w:val="5"/>
          <w:numId w:val="7"/>
        </w:numPr>
        <w:rPr>
          <w:lang w:val="en-US"/>
        </w:rPr>
      </w:pPr>
      <w:r w:rsidRPr="00DD1B58">
        <w:rPr>
          <w:lang w:val="en-US"/>
        </w:rPr>
        <w:t>Overview of strengths and weaknesses</w:t>
      </w:r>
    </w:p>
    <w:p w14:paraId="69F3CF4B" w14:textId="77777777" w:rsidR="009247FD" w:rsidRPr="00DD1B58" w:rsidRDefault="009247FD" w:rsidP="009247FD">
      <w:pPr>
        <w:rPr>
          <w:lang w:val="en-US"/>
        </w:rPr>
      </w:pPr>
      <w:r w:rsidRPr="00DD1B58">
        <w:rPr>
          <w:lang w:val="en-US"/>
        </w:rPr>
        <w:t>No specific passive fire protection features are claimed within the PFR nuclear safety case or have been implemented since the start of operations</w:t>
      </w:r>
      <w:r w:rsidR="00183D8E" w:rsidRPr="00DD1B58">
        <w:rPr>
          <w:lang w:val="en-US"/>
        </w:rPr>
        <w:t>.</w:t>
      </w:r>
    </w:p>
    <w:p w14:paraId="496461FD" w14:textId="77777777" w:rsidR="00057E23" w:rsidRPr="00DD1B58" w:rsidRDefault="00057E23" w:rsidP="00177432">
      <w:pPr>
        <w:pStyle w:val="Heading5A"/>
        <w:numPr>
          <w:ilvl w:val="5"/>
          <w:numId w:val="7"/>
        </w:numPr>
        <w:rPr>
          <w:lang w:val="en-US"/>
        </w:rPr>
      </w:pPr>
      <w:r w:rsidRPr="00DD1B58">
        <w:rPr>
          <w:lang w:val="en-US"/>
        </w:rPr>
        <w:t>Lessons learned from events, reviews fire safety related missions, etc.</w:t>
      </w:r>
    </w:p>
    <w:p w14:paraId="2B0FF669" w14:textId="4D25BA18" w:rsidR="007641A4" w:rsidRPr="00DD1B58" w:rsidRDefault="007641A4" w:rsidP="007641A4">
      <w:pPr>
        <w:rPr>
          <w:lang w:val="en-US"/>
        </w:rPr>
      </w:pPr>
      <w:r w:rsidRPr="00DD1B58">
        <w:rPr>
          <w:lang w:val="en-US"/>
        </w:rPr>
        <w:t xml:space="preserve">No specific </w:t>
      </w:r>
      <w:r w:rsidR="00497254" w:rsidRPr="00DD1B58">
        <w:rPr>
          <w:lang w:val="en-US"/>
        </w:rPr>
        <w:t>passive</w:t>
      </w:r>
      <w:r w:rsidRPr="00DD1B58">
        <w:rPr>
          <w:lang w:val="en-US"/>
        </w:rPr>
        <w:t xml:space="preserve"> fire protection missions have been recorded. Lessons learned from fire events which have occurred at the PFR facility are recorded in Section </w:t>
      </w:r>
      <w:r w:rsidRPr="00DD1B58">
        <w:rPr>
          <w:lang w:val="en-US"/>
        </w:rPr>
        <w:fldChar w:fldCharType="begin"/>
      </w:r>
      <w:r w:rsidRPr="00DD1B58">
        <w:rPr>
          <w:lang w:val="en-US"/>
        </w:rPr>
        <w:instrText xml:space="preserve"> REF _Ref136872886 \r \h </w:instrText>
      </w:r>
      <w:r w:rsidRPr="00DD1B58">
        <w:rPr>
          <w:lang w:val="en-US"/>
        </w:rPr>
      </w:r>
      <w:r w:rsidRPr="00DD1B58">
        <w:rPr>
          <w:lang w:val="en-US"/>
        </w:rPr>
        <w:fldChar w:fldCharType="separate"/>
      </w:r>
      <w:r w:rsidR="00DF47DA">
        <w:rPr>
          <w:lang w:val="en-US"/>
        </w:rPr>
        <w:t>I-2.6.6.2</w:t>
      </w:r>
      <w:r w:rsidRPr="00DD1B58">
        <w:rPr>
          <w:lang w:val="en-US"/>
        </w:rPr>
        <w:fldChar w:fldCharType="end"/>
      </w:r>
      <w:r w:rsidRPr="00DD1B58">
        <w:rPr>
          <w:lang w:val="en-US"/>
        </w:rPr>
        <w:t>.</w:t>
      </w:r>
    </w:p>
    <w:p w14:paraId="1E6CE945" w14:textId="77777777" w:rsidR="00057E23" w:rsidRPr="00DD1B58" w:rsidRDefault="00057E23" w:rsidP="00177432">
      <w:pPr>
        <w:pStyle w:val="Heading5A"/>
        <w:numPr>
          <w:ilvl w:val="5"/>
          <w:numId w:val="7"/>
        </w:numPr>
        <w:rPr>
          <w:lang w:val="en-US"/>
        </w:rPr>
      </w:pPr>
      <w:r w:rsidRPr="00DD1B58">
        <w:rPr>
          <w:lang w:val="en-US"/>
        </w:rPr>
        <w:t>Overview of actions and implementation status</w:t>
      </w:r>
    </w:p>
    <w:p w14:paraId="533DCEB6" w14:textId="77777777" w:rsidR="007641A4" w:rsidRPr="00DD1B58" w:rsidRDefault="00A91725" w:rsidP="007641A4">
      <w:pPr>
        <w:rPr>
          <w:lang w:val="en-US"/>
        </w:rPr>
      </w:pPr>
      <w:r w:rsidRPr="00DD1B58">
        <w:rPr>
          <w:lang w:val="en-US"/>
        </w:rPr>
        <w:t xml:space="preserve">No specific actions related to passive fire protection have been identified by the </w:t>
      </w:r>
      <w:r w:rsidR="00E43BCE" w:rsidRPr="00DD1B58">
        <w:rPr>
          <w:lang w:val="en-US"/>
        </w:rPr>
        <w:t>licensee</w:t>
      </w:r>
      <w:r w:rsidR="00471930" w:rsidRPr="00DD1B58">
        <w:rPr>
          <w:lang w:val="en-US"/>
        </w:rPr>
        <w:t>.</w:t>
      </w:r>
    </w:p>
    <w:p w14:paraId="0530035F" w14:textId="77777777" w:rsidR="00057E23" w:rsidRPr="00DD1B58" w:rsidRDefault="00057E23" w:rsidP="00177432">
      <w:pPr>
        <w:pStyle w:val="Heading5A"/>
        <w:rPr>
          <w:lang w:val="en-US"/>
        </w:rPr>
      </w:pPr>
      <w:bookmarkStart w:id="165" w:name="_Ref145058886"/>
      <w:r w:rsidRPr="00DD1B58">
        <w:rPr>
          <w:lang w:val="en-US"/>
        </w:rPr>
        <w:t xml:space="preserve">Regulator’s assessment of the </w:t>
      </w:r>
      <w:r w:rsidR="00A34774" w:rsidRPr="00DD1B58">
        <w:rPr>
          <w:lang w:val="en-US"/>
        </w:rPr>
        <w:t>passive</w:t>
      </w:r>
      <w:r w:rsidRPr="00DD1B58">
        <w:rPr>
          <w:lang w:val="en-US"/>
        </w:rPr>
        <w:t xml:space="preserve"> fire protection</w:t>
      </w:r>
      <w:bookmarkEnd w:id="165"/>
    </w:p>
    <w:p w14:paraId="1DFE1287" w14:textId="77777777" w:rsidR="00057E23" w:rsidRPr="00DD1B58" w:rsidRDefault="00057E23" w:rsidP="00177432">
      <w:pPr>
        <w:pStyle w:val="Heading5A"/>
        <w:numPr>
          <w:ilvl w:val="5"/>
          <w:numId w:val="7"/>
        </w:numPr>
        <w:rPr>
          <w:lang w:val="en-US"/>
        </w:rPr>
      </w:pPr>
      <w:r w:rsidRPr="00DD1B58">
        <w:rPr>
          <w:lang w:val="en-US"/>
        </w:rPr>
        <w:t>Overview of strengths and weaknesses in the passive fire protection</w:t>
      </w:r>
    </w:p>
    <w:p w14:paraId="371995AB" w14:textId="77777777" w:rsidR="00165CF6" w:rsidRPr="00DD1B58" w:rsidRDefault="00165CF6" w:rsidP="00165CF6">
      <w:pPr>
        <w:rPr>
          <w:b/>
          <w:lang w:val="en-US"/>
        </w:rPr>
      </w:pPr>
      <w:r w:rsidRPr="00DD1B58">
        <w:rPr>
          <w:b/>
          <w:lang w:val="en-US"/>
        </w:rPr>
        <w:t>Strengths</w:t>
      </w:r>
    </w:p>
    <w:p w14:paraId="6B8F85AE" w14:textId="77777777" w:rsidR="00514FDC" w:rsidRPr="00DD1B58" w:rsidRDefault="005E53F6" w:rsidP="00165CF6">
      <w:pPr>
        <w:rPr>
          <w:lang w:val="en-US"/>
        </w:rPr>
      </w:pPr>
      <w:r w:rsidRPr="00DD1B58">
        <w:rPr>
          <w:lang w:val="en-US"/>
        </w:rPr>
        <w:t xml:space="preserve">Dounreay does not place any specific claims on passive fire protection features </w:t>
      </w:r>
      <w:r w:rsidR="00075F97" w:rsidRPr="00DD1B58">
        <w:rPr>
          <w:lang w:val="en-US"/>
        </w:rPr>
        <w:t xml:space="preserve">for nuclear safety and the extent of passive fire protection </w:t>
      </w:r>
      <w:r w:rsidR="00965613" w:rsidRPr="00DD1B58">
        <w:rPr>
          <w:lang w:val="en-US"/>
        </w:rPr>
        <w:t>is limited across PFR. Therefore no specific strengths have been identified in this section of PFR.</w:t>
      </w:r>
    </w:p>
    <w:p w14:paraId="7C0845C4" w14:textId="77777777" w:rsidR="00165CF6" w:rsidRPr="00DD1B58" w:rsidRDefault="00165CF6" w:rsidP="00165CF6">
      <w:pPr>
        <w:rPr>
          <w:b/>
          <w:lang w:val="en-US"/>
        </w:rPr>
      </w:pPr>
      <w:r w:rsidRPr="00DD1B58">
        <w:rPr>
          <w:b/>
          <w:lang w:val="en-US"/>
        </w:rPr>
        <w:t>Weaknesses</w:t>
      </w:r>
    </w:p>
    <w:p w14:paraId="392A38A3" w14:textId="4A3D0258" w:rsidR="00CB00DA" w:rsidRPr="00DD1B58" w:rsidRDefault="00165CF6" w:rsidP="00CB00DA">
      <w:pPr>
        <w:rPr>
          <w:lang w:val="en-US"/>
        </w:rPr>
      </w:pPr>
      <w:r w:rsidRPr="00DD1B58">
        <w:rPr>
          <w:lang w:val="en-US"/>
        </w:rPr>
        <w:t>Dounreay has identified that t</w:t>
      </w:r>
      <w:r w:rsidR="00CB00DA" w:rsidRPr="00DD1B58">
        <w:rPr>
          <w:lang w:val="en-US"/>
        </w:rPr>
        <w:t>he PFR facility does not place any nuclear safety claims on passive fire protection features. This is largely due to the age of the facility with compartment and ventilation design being based on the standards of the time.</w:t>
      </w:r>
      <w:r w:rsidR="006E439E" w:rsidRPr="00DD1B58">
        <w:rPr>
          <w:lang w:val="en-US"/>
        </w:rPr>
        <w:t xml:space="preserve"> This does not meet the expectations of the ONR </w:t>
      </w:r>
      <w:r w:rsidR="001178B2" w:rsidRPr="00DD1B58">
        <w:rPr>
          <w:lang w:val="en-US"/>
        </w:rPr>
        <w:t xml:space="preserve">Technical Assessment Guide </w:t>
      </w:r>
      <w:r w:rsidR="005A3BDD" w:rsidRPr="00DD1B58">
        <w:rPr>
          <w:lang w:val="en-US"/>
        </w:rPr>
        <w:t xml:space="preserve">on Internal Hazards </w:t>
      </w:r>
      <w:r w:rsidR="007A7121" w:rsidRPr="00DD1B58">
        <w:rPr>
          <w:lang w:val="en-US"/>
        </w:rPr>
        <w:t>which states</w:t>
      </w:r>
      <w:r w:rsidR="00AE0A3F" w:rsidRPr="00DD1B58">
        <w:rPr>
          <w:lang w:val="en-US"/>
        </w:rPr>
        <w:t>, with respect</w:t>
      </w:r>
      <w:r w:rsidR="00CF58C1" w:rsidRPr="00DD1B58">
        <w:rPr>
          <w:lang w:val="en-US"/>
        </w:rPr>
        <w:t xml:space="preserve"> to limiting hazard </w:t>
      </w:r>
      <w:r w:rsidR="00BB0265" w:rsidRPr="00DD1B58">
        <w:rPr>
          <w:lang w:val="en-US"/>
        </w:rPr>
        <w:t xml:space="preserve">consequences, </w:t>
      </w:r>
      <w:r w:rsidR="00E876B0" w:rsidRPr="00DD1B58">
        <w:rPr>
          <w:lang w:val="en-US"/>
        </w:rPr>
        <w:t>“an important example</w:t>
      </w:r>
      <w:r w:rsidR="005221A1" w:rsidRPr="00DD1B58">
        <w:rPr>
          <w:lang w:val="en-US"/>
        </w:rPr>
        <w:t xml:space="preserve"> is by arranging </w:t>
      </w:r>
      <w:r w:rsidR="0051508E" w:rsidRPr="00DD1B58">
        <w:rPr>
          <w:lang w:val="en-US"/>
        </w:rPr>
        <w:t>redundant safety measures in fully segregated fire compartments. This is referred to as the fire containment approach</w:t>
      </w:r>
      <w:r w:rsidR="00BA04D7" w:rsidRPr="00DD1B58">
        <w:rPr>
          <w:lang w:val="en-US"/>
        </w:rPr>
        <w:t xml:space="preserve">; the preferred approach to fire protection”. </w:t>
      </w:r>
      <w:r w:rsidR="000E6CA3" w:rsidRPr="00DD1B58">
        <w:rPr>
          <w:lang w:val="en-US"/>
        </w:rPr>
        <w:t>Simi</w:t>
      </w:r>
      <w:r w:rsidR="00281D38" w:rsidRPr="00DD1B58">
        <w:rPr>
          <w:lang w:val="en-US"/>
        </w:rPr>
        <w:t xml:space="preserve">larly </w:t>
      </w:r>
      <w:r w:rsidR="00C408A1" w:rsidRPr="00DD1B58">
        <w:rPr>
          <w:lang w:val="en-US"/>
        </w:rPr>
        <w:t>fire barriers</w:t>
      </w:r>
      <w:r w:rsidR="009B0F14" w:rsidRPr="00DD1B58">
        <w:rPr>
          <w:lang w:val="en-US"/>
        </w:rPr>
        <w:t xml:space="preserve"> and the fire compartment concept</w:t>
      </w:r>
      <w:r w:rsidR="00C408A1" w:rsidRPr="00DD1B58">
        <w:rPr>
          <w:lang w:val="en-US"/>
        </w:rPr>
        <w:t xml:space="preserve"> are identified as </w:t>
      </w:r>
      <w:r w:rsidR="00A87FA8" w:rsidRPr="00DD1B58">
        <w:rPr>
          <w:lang w:val="en-US"/>
        </w:rPr>
        <w:t>good practice within both the WENRA Safety Reference Levels (SV 6.5, S</w:t>
      </w:r>
      <w:r w:rsidR="007849DD" w:rsidRPr="00DD1B58">
        <w:rPr>
          <w:lang w:val="en-US"/>
        </w:rPr>
        <w:t xml:space="preserve"> 2.3)</w:t>
      </w:r>
      <w:r w:rsidR="0035134C" w:rsidRPr="00DD1B58">
        <w:rPr>
          <w:lang w:val="en-US"/>
        </w:rPr>
        <w:t>, IAEA SS</w:t>
      </w:r>
      <w:r w:rsidR="00A14D96" w:rsidRPr="00DD1B58">
        <w:rPr>
          <w:lang w:val="en-US"/>
        </w:rPr>
        <w:t>G-77</w:t>
      </w:r>
      <w:r w:rsidR="00A91769" w:rsidRPr="00DD1B58">
        <w:rPr>
          <w:lang w:val="en-US"/>
        </w:rPr>
        <w:t xml:space="preserve"> </w:t>
      </w:r>
      <w:sdt>
        <w:sdtPr>
          <w:rPr>
            <w:lang w:val="en-US"/>
          </w:rPr>
          <w:id w:val="-787586883"/>
          <w:citation/>
        </w:sdtPr>
        <w:sdtContent>
          <w:r w:rsidR="00A91769" w:rsidRPr="00DD1B58">
            <w:rPr>
              <w:lang w:val="en-US"/>
            </w:rPr>
            <w:fldChar w:fldCharType="begin"/>
          </w:r>
          <w:r w:rsidR="00A91769" w:rsidRPr="00DD1B58">
            <w:rPr>
              <w:lang w:val="en-US"/>
            </w:rPr>
            <w:instrText xml:space="preserve"> CITATION Int22 \l 2057 </w:instrText>
          </w:r>
          <w:r w:rsidR="00A91769" w:rsidRPr="00DD1B58">
            <w:rPr>
              <w:lang w:val="en-US"/>
            </w:rPr>
            <w:fldChar w:fldCharType="separate"/>
          </w:r>
          <w:r w:rsidR="00DF47DA" w:rsidRPr="00DF47DA">
            <w:rPr>
              <w:noProof/>
              <w:lang w:val="en-US"/>
            </w:rPr>
            <w:t>[18]</w:t>
          </w:r>
          <w:r w:rsidR="00A91769" w:rsidRPr="00DD1B58">
            <w:rPr>
              <w:lang w:val="en-US"/>
            </w:rPr>
            <w:fldChar w:fldCharType="end"/>
          </w:r>
        </w:sdtContent>
      </w:sdt>
      <w:r w:rsidR="00A14D96" w:rsidRPr="00DD1B58">
        <w:rPr>
          <w:lang w:val="en-US"/>
        </w:rPr>
        <w:t xml:space="preserve"> and IAEA SSG-64</w:t>
      </w:r>
      <w:r w:rsidR="0042353C" w:rsidRPr="00DD1B58">
        <w:rPr>
          <w:lang w:val="en-US"/>
        </w:rPr>
        <w:t xml:space="preserve"> </w:t>
      </w:r>
      <w:sdt>
        <w:sdtPr>
          <w:rPr>
            <w:lang w:val="en-US"/>
          </w:rPr>
          <w:id w:val="113567740"/>
          <w:citation/>
        </w:sdtPr>
        <w:sdtContent>
          <w:r w:rsidR="0042353C" w:rsidRPr="00DD1B58">
            <w:rPr>
              <w:lang w:val="en-US"/>
            </w:rPr>
            <w:fldChar w:fldCharType="begin"/>
          </w:r>
          <w:r w:rsidR="0042353C" w:rsidRPr="00DD1B58">
            <w:rPr>
              <w:lang w:val="en-US"/>
            </w:rPr>
            <w:instrText xml:space="preserve">CITATION IAE5 \l 2057 </w:instrText>
          </w:r>
          <w:r w:rsidR="0042353C" w:rsidRPr="00DD1B58">
            <w:rPr>
              <w:lang w:val="en-US"/>
            </w:rPr>
            <w:fldChar w:fldCharType="separate"/>
          </w:r>
          <w:r w:rsidR="00DF47DA" w:rsidRPr="00DF47DA">
            <w:rPr>
              <w:noProof/>
              <w:lang w:val="en-US"/>
            </w:rPr>
            <w:t>[17]</w:t>
          </w:r>
          <w:r w:rsidR="0042353C" w:rsidRPr="00DD1B58">
            <w:rPr>
              <w:lang w:val="en-US"/>
            </w:rPr>
            <w:fldChar w:fldCharType="end"/>
          </w:r>
        </w:sdtContent>
      </w:sdt>
      <w:r w:rsidR="00A14D96" w:rsidRPr="00DD1B58">
        <w:rPr>
          <w:lang w:val="en-US"/>
        </w:rPr>
        <w:t>.</w:t>
      </w:r>
    </w:p>
    <w:p w14:paraId="23CB9265" w14:textId="3AED766B" w:rsidR="00971CA7" w:rsidRPr="00DD1B58" w:rsidRDefault="00165CF6" w:rsidP="00CB00DA">
      <w:pPr>
        <w:rPr>
          <w:lang w:val="en-US"/>
        </w:rPr>
      </w:pPr>
      <w:r w:rsidRPr="00DD1B58">
        <w:rPr>
          <w:lang w:val="en-US"/>
        </w:rPr>
        <w:t>ONR notes that t</w:t>
      </w:r>
      <w:r w:rsidR="00601CB0" w:rsidRPr="00DD1B58">
        <w:rPr>
          <w:lang w:val="en-US"/>
        </w:rPr>
        <w:t>he PFR facility is</w:t>
      </w:r>
      <w:r w:rsidR="00E70F3E" w:rsidRPr="00DD1B58">
        <w:rPr>
          <w:lang w:val="en-US"/>
        </w:rPr>
        <w:t xml:space="preserve"> in the advanced stages of decommissioning which </w:t>
      </w:r>
      <w:r w:rsidR="002633F6" w:rsidRPr="00DD1B58">
        <w:rPr>
          <w:lang w:val="en-US"/>
        </w:rPr>
        <w:t>was initially constructed in the late 1960s.</w:t>
      </w:r>
      <w:r w:rsidR="00AC41AF" w:rsidRPr="00DD1B58">
        <w:rPr>
          <w:lang w:val="en-US"/>
        </w:rPr>
        <w:t xml:space="preserve"> The</w:t>
      </w:r>
      <w:r w:rsidR="0053175F" w:rsidRPr="00DD1B58">
        <w:rPr>
          <w:lang w:val="en-US"/>
        </w:rPr>
        <w:t xml:space="preserve"> </w:t>
      </w:r>
      <w:r w:rsidR="00C75446" w:rsidRPr="00DD1B58">
        <w:rPr>
          <w:lang w:val="en-US"/>
        </w:rPr>
        <w:t>primary focus o</w:t>
      </w:r>
      <w:r w:rsidR="00AC41AF" w:rsidRPr="00DD1B58">
        <w:rPr>
          <w:lang w:val="en-US"/>
        </w:rPr>
        <w:t>f SSG-64 and SSG-77 is</w:t>
      </w:r>
      <w:r w:rsidR="00C75446" w:rsidRPr="00DD1B58">
        <w:rPr>
          <w:lang w:val="en-US"/>
        </w:rPr>
        <w:t xml:space="preserve"> operating or new build power reactors. </w:t>
      </w:r>
      <w:r w:rsidR="00971CA7" w:rsidRPr="00DD1B58">
        <w:rPr>
          <w:lang w:val="en-US"/>
        </w:rPr>
        <w:t xml:space="preserve">Additionally, concrete structures </w:t>
      </w:r>
      <w:r w:rsidR="00752205" w:rsidRPr="00DD1B58">
        <w:rPr>
          <w:lang w:val="en-US"/>
        </w:rPr>
        <w:t>are present within PFR which, although not explicitly fire rated, would offer significant fire resistance e.g., the boundary of the IFC.</w:t>
      </w:r>
    </w:p>
    <w:p w14:paraId="53BBE39D" w14:textId="50A5E3AD" w:rsidR="00CB00DA" w:rsidRPr="00DD1B58" w:rsidRDefault="00C75446" w:rsidP="00CB00DA">
      <w:pPr>
        <w:rPr>
          <w:lang w:val="en-US"/>
        </w:rPr>
      </w:pPr>
      <w:r w:rsidRPr="00DD1B58">
        <w:rPr>
          <w:lang w:val="en-US"/>
        </w:rPr>
        <w:t xml:space="preserve">ONR therefore considers the </w:t>
      </w:r>
      <w:r w:rsidR="001A18EE" w:rsidRPr="00DD1B58">
        <w:rPr>
          <w:lang w:val="en-US"/>
        </w:rPr>
        <w:t xml:space="preserve">lack of </w:t>
      </w:r>
      <w:r w:rsidR="003E3710" w:rsidRPr="00DD1B58">
        <w:rPr>
          <w:lang w:val="en-US"/>
        </w:rPr>
        <w:t xml:space="preserve">passive fire safety measures to be acceptable </w:t>
      </w:r>
      <w:r w:rsidR="005753BE" w:rsidRPr="00DD1B58">
        <w:rPr>
          <w:lang w:val="en-US"/>
        </w:rPr>
        <w:t>subject to robust fire safety management, the control of combustibles and the continuing reduction of nuclear safety risk at the facility</w:t>
      </w:r>
      <w:r w:rsidR="00AB018F" w:rsidRPr="00DD1B58">
        <w:rPr>
          <w:lang w:val="en-US"/>
        </w:rPr>
        <w:t>.</w:t>
      </w:r>
    </w:p>
    <w:p w14:paraId="6A17DD57" w14:textId="77777777" w:rsidR="00057E23" w:rsidRPr="00DD1B58" w:rsidRDefault="00057E23" w:rsidP="00177432">
      <w:pPr>
        <w:pStyle w:val="Heading5A"/>
        <w:numPr>
          <w:ilvl w:val="5"/>
          <w:numId w:val="7"/>
        </w:numPr>
        <w:rPr>
          <w:lang w:val="en-US"/>
        </w:rPr>
      </w:pPr>
      <w:r w:rsidRPr="00DD1B58">
        <w:rPr>
          <w:lang w:val="en-US"/>
        </w:rPr>
        <w:t xml:space="preserve">Lessons learned from inspection and assessment on the </w:t>
      </w:r>
      <w:r w:rsidR="00471930" w:rsidRPr="00DD1B58">
        <w:rPr>
          <w:lang w:val="en-US"/>
        </w:rPr>
        <w:t>passive</w:t>
      </w:r>
      <w:r w:rsidRPr="00DD1B58">
        <w:rPr>
          <w:lang w:val="en-US"/>
        </w:rPr>
        <w:t xml:space="preserve"> fire protection as part of its regulatory oversight</w:t>
      </w:r>
    </w:p>
    <w:p w14:paraId="3093549B" w14:textId="69D561DE" w:rsidR="00427E03" w:rsidRPr="00DD1B58" w:rsidRDefault="00A65EAF" w:rsidP="00513B78">
      <w:pPr>
        <w:rPr>
          <w:lang w:val="en-US"/>
        </w:rPr>
      </w:pPr>
      <w:r w:rsidRPr="00DD1B58">
        <w:rPr>
          <w:lang w:val="en-US"/>
        </w:rPr>
        <w:t>As stated above there are limited passive fire safety features contained within PFR. ONR attended site in July 2022</w:t>
      </w:r>
      <w:r w:rsidR="00D305D0" w:rsidRPr="00DD1B58">
        <w:rPr>
          <w:lang w:val="en-US"/>
        </w:rPr>
        <w:t xml:space="preserve"> </w:t>
      </w:r>
      <w:sdt>
        <w:sdtPr>
          <w:rPr>
            <w:lang w:val="en-US"/>
          </w:rPr>
          <w:id w:val="-668631107"/>
          <w:citation/>
        </w:sdtPr>
        <w:sdtContent>
          <w:r w:rsidR="00D305D0" w:rsidRPr="00DD1B58">
            <w:rPr>
              <w:lang w:val="en-US"/>
            </w:rPr>
            <w:fldChar w:fldCharType="begin"/>
          </w:r>
          <w:r w:rsidR="00D305D0" w:rsidRPr="00DD1B58">
            <w:rPr>
              <w:lang w:val="en-US"/>
            </w:rPr>
            <w:instrText xml:space="preserve"> CITATION Off8 \l 2057 </w:instrText>
          </w:r>
          <w:r w:rsidR="00D305D0" w:rsidRPr="00DD1B58">
            <w:rPr>
              <w:lang w:val="en-US"/>
            </w:rPr>
            <w:fldChar w:fldCharType="separate"/>
          </w:r>
          <w:r w:rsidR="00DF47DA" w:rsidRPr="00DF47DA">
            <w:rPr>
              <w:noProof/>
              <w:lang w:val="en-US"/>
            </w:rPr>
            <w:t>[160]</w:t>
          </w:r>
          <w:r w:rsidR="00D305D0" w:rsidRPr="00DD1B58">
            <w:rPr>
              <w:lang w:val="en-US"/>
            </w:rPr>
            <w:fldChar w:fldCharType="end"/>
          </w:r>
        </w:sdtContent>
      </w:sdt>
      <w:r w:rsidRPr="00DD1B58">
        <w:rPr>
          <w:lang w:val="en-US"/>
        </w:rPr>
        <w:t xml:space="preserve"> and noted that services appeared to have been passed through a compartment wall within the Sodium Tank Farm (which forms part of PFR) </w:t>
      </w:r>
      <w:r w:rsidR="0011173A" w:rsidRPr="00DD1B58">
        <w:rPr>
          <w:lang w:val="en-US"/>
        </w:rPr>
        <w:t>but fire stopping had not be</w:t>
      </w:r>
      <w:r w:rsidR="009723C6" w:rsidRPr="00DD1B58">
        <w:rPr>
          <w:lang w:val="en-US"/>
        </w:rPr>
        <w:t>en</w:t>
      </w:r>
      <w:r w:rsidR="0011173A" w:rsidRPr="00DD1B58">
        <w:rPr>
          <w:lang w:val="en-US"/>
        </w:rPr>
        <w:t xml:space="preserve"> reinstated</w:t>
      </w:r>
      <w:r w:rsidR="009723C6" w:rsidRPr="00DD1B58">
        <w:rPr>
          <w:lang w:val="en-US"/>
        </w:rPr>
        <w:t xml:space="preserve">. </w:t>
      </w:r>
      <w:r w:rsidR="00E666A5" w:rsidRPr="00DD1B58">
        <w:rPr>
          <w:lang w:val="en-US"/>
        </w:rPr>
        <w:t>Dounreay committed to rectify this shortfall and the fire stopping was observed to have been reinstated during a follow-up inspection in February 2023</w:t>
      </w:r>
      <w:r w:rsidR="00D305D0" w:rsidRPr="00DD1B58">
        <w:rPr>
          <w:lang w:val="en-US"/>
        </w:rPr>
        <w:t xml:space="preserve"> </w:t>
      </w:r>
      <w:sdt>
        <w:sdtPr>
          <w:rPr>
            <w:lang w:val="en-US"/>
          </w:rPr>
          <w:id w:val="-1837302592"/>
          <w:citation/>
        </w:sdtPr>
        <w:sdtContent>
          <w:r w:rsidR="00D305D0" w:rsidRPr="00DD1B58">
            <w:rPr>
              <w:lang w:val="en-US"/>
            </w:rPr>
            <w:fldChar w:fldCharType="begin"/>
          </w:r>
          <w:r w:rsidR="00D305D0" w:rsidRPr="00DD1B58">
            <w:rPr>
              <w:lang w:val="en-US"/>
            </w:rPr>
            <w:instrText xml:space="preserve"> CITATION Off7 \l 2057 </w:instrText>
          </w:r>
          <w:r w:rsidR="00D305D0" w:rsidRPr="00DD1B58">
            <w:rPr>
              <w:lang w:val="en-US"/>
            </w:rPr>
            <w:fldChar w:fldCharType="separate"/>
          </w:r>
          <w:r w:rsidR="00DF47DA" w:rsidRPr="00DF47DA">
            <w:rPr>
              <w:noProof/>
              <w:lang w:val="en-US"/>
            </w:rPr>
            <w:t>[128]</w:t>
          </w:r>
          <w:r w:rsidR="00D305D0" w:rsidRPr="00DD1B58">
            <w:rPr>
              <w:lang w:val="en-US"/>
            </w:rPr>
            <w:fldChar w:fldCharType="end"/>
          </w:r>
        </w:sdtContent>
      </w:sdt>
      <w:r w:rsidR="00E666A5" w:rsidRPr="00DD1B58">
        <w:rPr>
          <w:lang w:val="en-US"/>
        </w:rPr>
        <w:t>.</w:t>
      </w:r>
    </w:p>
    <w:p w14:paraId="25841683" w14:textId="71EBF765" w:rsidR="00D34C6F" w:rsidRPr="00DD1B58" w:rsidRDefault="00D34C6F" w:rsidP="00177432">
      <w:pPr>
        <w:pStyle w:val="Heading2A"/>
        <w:rPr>
          <w:lang w:val="en-US"/>
        </w:rPr>
      </w:pPr>
      <w:bookmarkStart w:id="166" w:name="_Toc147090658"/>
      <w:r w:rsidRPr="00DD1B58">
        <w:rPr>
          <w:lang w:val="en-US"/>
        </w:rPr>
        <w:t>Licensee experience of the implementation of the fire protection concept</w:t>
      </w:r>
      <w:bookmarkEnd w:id="166"/>
      <w:r w:rsidRPr="00DD1B58">
        <w:rPr>
          <w:lang w:val="en-US"/>
        </w:rPr>
        <w:t xml:space="preserve"> </w:t>
      </w:r>
    </w:p>
    <w:p w14:paraId="2C939DC6" w14:textId="029AEEE5" w:rsidR="00E112DB" w:rsidRPr="00DD1B58" w:rsidRDefault="00E112DB" w:rsidP="00AB018F">
      <w:pPr>
        <w:rPr>
          <w:lang w:val="en-US"/>
        </w:rPr>
      </w:pPr>
      <w:r w:rsidRPr="00DD1B58">
        <w:rPr>
          <w:szCs w:val="24"/>
          <w:lang w:val="en-US"/>
        </w:rPr>
        <w:t>To avoid duplication</w:t>
      </w:r>
      <w:r w:rsidR="00931CE2" w:rsidRPr="00DD1B58">
        <w:rPr>
          <w:szCs w:val="24"/>
          <w:lang w:val="en-US"/>
        </w:rPr>
        <w:t>,</w:t>
      </w:r>
      <w:r w:rsidRPr="00DD1B58">
        <w:rPr>
          <w:szCs w:val="24"/>
          <w:lang w:val="en-US"/>
        </w:rPr>
        <w:t xml:space="preserve"> licensee experiences of the implementation of the fire protection concept are not repeated in this section</w:t>
      </w:r>
      <w:r w:rsidR="00931CE2" w:rsidRPr="00DD1B58">
        <w:rPr>
          <w:szCs w:val="24"/>
          <w:lang w:val="en-US"/>
        </w:rPr>
        <w:t>. This information can be found for each licensee in turn as follows:</w:t>
      </w:r>
    </w:p>
    <w:p w14:paraId="1EF63300" w14:textId="3ED7D8E5" w:rsidR="00E112DB" w:rsidRPr="00DD1B58" w:rsidRDefault="00B327F1" w:rsidP="00E112DB">
      <w:pPr>
        <w:pStyle w:val="Bulletlist1"/>
        <w:rPr>
          <w:szCs w:val="24"/>
          <w:lang w:val="en-US"/>
        </w:rPr>
      </w:pPr>
      <w:r w:rsidRPr="00DD1B58">
        <w:rPr>
          <w:lang w:val="en-US"/>
        </w:rPr>
        <w:t>EDF NGL</w:t>
      </w:r>
      <w:r w:rsidR="00931CE2" w:rsidRPr="00DD1B58">
        <w:rPr>
          <w:szCs w:val="24"/>
          <w:lang w:val="en-US"/>
        </w:rPr>
        <w:t xml:space="preserve">; </w:t>
      </w:r>
      <w:r w:rsidRPr="00DD1B58">
        <w:rPr>
          <w:szCs w:val="24"/>
          <w:lang w:val="en-US"/>
        </w:rPr>
        <w:t xml:space="preserve">sections </w:t>
      </w:r>
      <w:r w:rsidR="0041744D" w:rsidRPr="00DD1B58">
        <w:rPr>
          <w:szCs w:val="24"/>
          <w:lang w:val="en-US"/>
        </w:rPr>
        <w:fldChar w:fldCharType="begin"/>
      </w:r>
      <w:r w:rsidR="0041744D" w:rsidRPr="00DD1B58">
        <w:rPr>
          <w:szCs w:val="24"/>
          <w:lang w:val="en-US"/>
        </w:rPr>
        <w:instrText xml:space="preserve"> REF _Ref135316345 \r \h </w:instrText>
      </w:r>
      <w:r w:rsidR="0041744D" w:rsidRPr="00DD1B58">
        <w:rPr>
          <w:szCs w:val="24"/>
          <w:lang w:val="en-US"/>
        </w:rPr>
      </w:r>
      <w:r w:rsidR="0041744D" w:rsidRPr="00DD1B58">
        <w:rPr>
          <w:szCs w:val="24"/>
          <w:lang w:val="en-US"/>
        </w:rPr>
        <w:fldChar w:fldCharType="separate"/>
      </w:r>
      <w:r w:rsidR="00DF47DA">
        <w:rPr>
          <w:szCs w:val="24"/>
          <w:lang w:val="en-US"/>
        </w:rPr>
        <w:t>A-I-3.1.3</w:t>
      </w:r>
      <w:r w:rsidR="0041744D" w:rsidRPr="00DD1B58">
        <w:rPr>
          <w:szCs w:val="24"/>
          <w:lang w:val="en-US"/>
        </w:rPr>
        <w:fldChar w:fldCharType="end"/>
      </w:r>
      <w:r w:rsidR="00E317A0" w:rsidRPr="00DD1B58">
        <w:rPr>
          <w:szCs w:val="24"/>
          <w:lang w:val="en-US"/>
        </w:rPr>
        <w:t xml:space="preserve">, </w:t>
      </w:r>
      <w:r w:rsidR="00CB020C" w:rsidRPr="00DD1B58">
        <w:rPr>
          <w:szCs w:val="24"/>
          <w:lang w:val="en-US"/>
        </w:rPr>
        <w:fldChar w:fldCharType="begin"/>
      </w:r>
      <w:r w:rsidR="00CB020C" w:rsidRPr="00DD1B58">
        <w:rPr>
          <w:szCs w:val="24"/>
          <w:lang w:val="en-US"/>
        </w:rPr>
        <w:instrText xml:space="preserve"> REF _Ref145057970 \r \h </w:instrText>
      </w:r>
      <w:r w:rsidR="00CB020C" w:rsidRPr="00DD1B58">
        <w:rPr>
          <w:szCs w:val="24"/>
          <w:lang w:val="en-US"/>
        </w:rPr>
      </w:r>
      <w:r w:rsidR="00CB020C" w:rsidRPr="00DD1B58">
        <w:rPr>
          <w:szCs w:val="24"/>
          <w:lang w:val="en-US"/>
        </w:rPr>
        <w:fldChar w:fldCharType="separate"/>
      </w:r>
      <w:r w:rsidR="00DF47DA">
        <w:rPr>
          <w:szCs w:val="24"/>
          <w:lang w:val="en-US"/>
        </w:rPr>
        <w:t>A-I-3.2.4</w:t>
      </w:r>
      <w:r w:rsidR="00CB020C" w:rsidRPr="00DD1B58">
        <w:rPr>
          <w:szCs w:val="24"/>
          <w:lang w:val="en-US"/>
        </w:rPr>
        <w:fldChar w:fldCharType="end"/>
      </w:r>
      <w:r w:rsidRPr="00DD1B58">
        <w:rPr>
          <w:szCs w:val="24"/>
          <w:lang w:val="en-US"/>
        </w:rPr>
        <w:t xml:space="preserve"> and </w:t>
      </w:r>
      <w:r w:rsidR="00CB020C" w:rsidRPr="00DD1B58">
        <w:rPr>
          <w:szCs w:val="24"/>
          <w:lang w:val="en-US"/>
        </w:rPr>
        <w:fldChar w:fldCharType="begin"/>
      </w:r>
      <w:r w:rsidR="00CB020C" w:rsidRPr="00DD1B58">
        <w:rPr>
          <w:szCs w:val="24"/>
          <w:lang w:val="en-US"/>
        </w:rPr>
        <w:instrText xml:space="preserve"> REF _Ref145058007 \r \h </w:instrText>
      </w:r>
      <w:r w:rsidR="00CB020C" w:rsidRPr="00DD1B58">
        <w:rPr>
          <w:szCs w:val="24"/>
          <w:lang w:val="en-US"/>
        </w:rPr>
      </w:r>
      <w:r w:rsidR="00CB020C" w:rsidRPr="00DD1B58">
        <w:rPr>
          <w:szCs w:val="24"/>
          <w:lang w:val="en-US"/>
        </w:rPr>
        <w:fldChar w:fldCharType="separate"/>
      </w:r>
      <w:r w:rsidR="00DF47DA">
        <w:rPr>
          <w:szCs w:val="24"/>
          <w:lang w:val="en-US"/>
        </w:rPr>
        <w:t>A-I-3.3.3</w:t>
      </w:r>
      <w:r w:rsidR="00CB020C" w:rsidRPr="00DD1B58">
        <w:rPr>
          <w:szCs w:val="24"/>
          <w:lang w:val="en-US"/>
        </w:rPr>
        <w:fldChar w:fldCharType="end"/>
      </w:r>
      <w:r w:rsidR="00CB020C" w:rsidRPr="00DD1B58">
        <w:rPr>
          <w:szCs w:val="24"/>
          <w:lang w:val="en-US"/>
        </w:rPr>
        <w:t>.</w:t>
      </w:r>
    </w:p>
    <w:p w14:paraId="7E1F005A" w14:textId="1B341A7D" w:rsidR="00E112DB" w:rsidRPr="00DD1B58" w:rsidRDefault="00E112DB" w:rsidP="00E112DB">
      <w:pPr>
        <w:pStyle w:val="Bulletlist1"/>
        <w:rPr>
          <w:szCs w:val="24"/>
          <w:lang w:val="en-US"/>
        </w:rPr>
      </w:pPr>
      <w:r w:rsidRPr="00DD1B58">
        <w:rPr>
          <w:lang w:val="en-US"/>
        </w:rPr>
        <w:t>NNB GenCo</w:t>
      </w:r>
      <w:r w:rsidR="00931CE2" w:rsidRPr="00DD1B58">
        <w:rPr>
          <w:szCs w:val="24"/>
          <w:lang w:val="en-US"/>
        </w:rPr>
        <w:t xml:space="preserve">; </w:t>
      </w:r>
      <w:r w:rsidRPr="00DD1B58">
        <w:rPr>
          <w:szCs w:val="24"/>
          <w:lang w:val="en-US"/>
        </w:rPr>
        <w:t xml:space="preserve">sections </w:t>
      </w:r>
      <w:r w:rsidR="00CB020C" w:rsidRPr="00DD1B58">
        <w:rPr>
          <w:szCs w:val="24"/>
          <w:lang w:val="en-US"/>
        </w:rPr>
        <w:fldChar w:fldCharType="begin"/>
      </w:r>
      <w:r w:rsidR="00CB020C" w:rsidRPr="00DD1B58">
        <w:rPr>
          <w:szCs w:val="24"/>
          <w:lang w:val="en-US"/>
        </w:rPr>
        <w:instrText xml:space="preserve"> REF _Ref145058043 \r \h </w:instrText>
      </w:r>
      <w:r w:rsidR="00CB020C" w:rsidRPr="00DD1B58">
        <w:rPr>
          <w:szCs w:val="24"/>
          <w:lang w:val="en-US"/>
        </w:rPr>
      </w:r>
      <w:r w:rsidR="00CB020C" w:rsidRPr="00DD1B58">
        <w:rPr>
          <w:szCs w:val="24"/>
          <w:lang w:val="en-US"/>
        </w:rPr>
        <w:fldChar w:fldCharType="separate"/>
      </w:r>
      <w:r w:rsidR="00DF47DA">
        <w:rPr>
          <w:szCs w:val="24"/>
          <w:lang w:val="en-US"/>
        </w:rPr>
        <w:t>A-II-3.1.3</w:t>
      </w:r>
      <w:r w:rsidR="00CB020C" w:rsidRPr="00DD1B58">
        <w:rPr>
          <w:szCs w:val="24"/>
          <w:lang w:val="en-US"/>
        </w:rPr>
        <w:fldChar w:fldCharType="end"/>
      </w:r>
      <w:r w:rsidR="00E317A0" w:rsidRPr="00DD1B58">
        <w:rPr>
          <w:szCs w:val="24"/>
          <w:lang w:val="en-US"/>
        </w:rPr>
        <w:t>,</w:t>
      </w:r>
      <w:r w:rsidR="006F53AF" w:rsidRPr="00DD1B58">
        <w:rPr>
          <w:szCs w:val="24"/>
          <w:lang w:val="en-US"/>
        </w:rPr>
        <w:t xml:space="preserve"> </w:t>
      </w:r>
      <w:r w:rsidR="0012643C" w:rsidRPr="00DD1B58">
        <w:rPr>
          <w:szCs w:val="24"/>
          <w:lang w:val="en-US"/>
        </w:rPr>
        <w:fldChar w:fldCharType="begin"/>
      </w:r>
      <w:r w:rsidR="0012643C" w:rsidRPr="00DD1B58">
        <w:rPr>
          <w:szCs w:val="24"/>
          <w:lang w:val="en-US"/>
        </w:rPr>
        <w:instrText xml:space="preserve"> REF _Ref145058083 \r \h </w:instrText>
      </w:r>
      <w:r w:rsidR="0012643C" w:rsidRPr="00DD1B58">
        <w:rPr>
          <w:szCs w:val="24"/>
          <w:lang w:val="en-US"/>
        </w:rPr>
      </w:r>
      <w:r w:rsidR="0012643C" w:rsidRPr="00DD1B58">
        <w:rPr>
          <w:szCs w:val="24"/>
          <w:lang w:val="en-US"/>
        </w:rPr>
        <w:fldChar w:fldCharType="separate"/>
      </w:r>
      <w:r w:rsidR="00DF47DA">
        <w:rPr>
          <w:szCs w:val="24"/>
          <w:lang w:val="en-US"/>
        </w:rPr>
        <w:t>A-II-3.2.3</w:t>
      </w:r>
      <w:r w:rsidR="0012643C" w:rsidRPr="00DD1B58">
        <w:rPr>
          <w:szCs w:val="24"/>
          <w:lang w:val="en-US"/>
        </w:rPr>
        <w:fldChar w:fldCharType="end"/>
      </w:r>
      <w:r w:rsidR="00E317A0" w:rsidRPr="00DD1B58">
        <w:rPr>
          <w:szCs w:val="24"/>
          <w:lang w:val="en-US"/>
        </w:rPr>
        <w:t xml:space="preserve"> </w:t>
      </w:r>
      <w:r w:rsidRPr="00DD1B58">
        <w:rPr>
          <w:szCs w:val="24"/>
          <w:lang w:val="en-US"/>
        </w:rPr>
        <w:t xml:space="preserve"> and </w:t>
      </w:r>
      <w:r w:rsidR="007434D6" w:rsidRPr="00DD1B58">
        <w:rPr>
          <w:szCs w:val="24"/>
          <w:lang w:val="en-US"/>
        </w:rPr>
        <w:fldChar w:fldCharType="begin"/>
      </w:r>
      <w:r w:rsidR="007434D6" w:rsidRPr="00DD1B58">
        <w:rPr>
          <w:szCs w:val="24"/>
          <w:lang w:val="en-US"/>
        </w:rPr>
        <w:instrText xml:space="preserve"> REF _Ref145058103 \r \h </w:instrText>
      </w:r>
      <w:r w:rsidR="007434D6" w:rsidRPr="00DD1B58">
        <w:rPr>
          <w:szCs w:val="24"/>
          <w:lang w:val="en-US"/>
        </w:rPr>
      </w:r>
      <w:r w:rsidR="007434D6" w:rsidRPr="00DD1B58">
        <w:rPr>
          <w:szCs w:val="24"/>
          <w:lang w:val="en-US"/>
        </w:rPr>
        <w:fldChar w:fldCharType="separate"/>
      </w:r>
      <w:r w:rsidR="00DF47DA">
        <w:rPr>
          <w:szCs w:val="24"/>
          <w:lang w:val="en-US"/>
        </w:rPr>
        <w:t>A-II-3.3.3</w:t>
      </w:r>
      <w:r w:rsidR="007434D6" w:rsidRPr="00DD1B58">
        <w:rPr>
          <w:szCs w:val="24"/>
          <w:lang w:val="en-US"/>
        </w:rPr>
        <w:fldChar w:fldCharType="end"/>
      </w:r>
    </w:p>
    <w:p w14:paraId="0E5765FB" w14:textId="725F7CFB" w:rsidR="00931CE2" w:rsidRPr="00DD1B58" w:rsidRDefault="00931CE2" w:rsidP="00AB018F">
      <w:pPr>
        <w:pStyle w:val="Bulletlist1"/>
        <w:rPr>
          <w:szCs w:val="24"/>
          <w:lang w:val="en-US"/>
        </w:rPr>
      </w:pPr>
      <w:r w:rsidRPr="00DD1B58">
        <w:rPr>
          <w:szCs w:val="24"/>
          <w:lang w:val="en-US"/>
        </w:rPr>
        <w:t xml:space="preserve">UUK; sections </w:t>
      </w:r>
      <w:r w:rsidR="008B512A" w:rsidRPr="00DD1B58">
        <w:rPr>
          <w:szCs w:val="24"/>
          <w:lang w:val="en-US"/>
        </w:rPr>
        <w:fldChar w:fldCharType="begin"/>
      </w:r>
      <w:r w:rsidR="008B512A" w:rsidRPr="00DD1B58">
        <w:rPr>
          <w:szCs w:val="24"/>
          <w:lang w:val="en-US"/>
        </w:rPr>
        <w:instrText xml:space="preserve"> REF _Ref145057085 \r \h </w:instrText>
      </w:r>
      <w:r w:rsidR="008B512A" w:rsidRPr="00DD1B58">
        <w:rPr>
          <w:szCs w:val="24"/>
          <w:lang w:val="en-US"/>
        </w:rPr>
      </w:r>
      <w:r w:rsidR="008B512A" w:rsidRPr="00DD1B58">
        <w:rPr>
          <w:szCs w:val="24"/>
          <w:lang w:val="en-US"/>
        </w:rPr>
        <w:fldChar w:fldCharType="separate"/>
      </w:r>
      <w:r w:rsidR="00DF47DA">
        <w:rPr>
          <w:szCs w:val="24"/>
          <w:lang w:val="en-US"/>
        </w:rPr>
        <w:t>C-I-3.1.3</w:t>
      </w:r>
      <w:r w:rsidR="008B512A" w:rsidRPr="00DD1B58">
        <w:rPr>
          <w:szCs w:val="24"/>
          <w:lang w:val="en-US"/>
        </w:rPr>
        <w:fldChar w:fldCharType="end"/>
      </w:r>
      <w:r w:rsidR="008B512A" w:rsidRPr="00DD1B58">
        <w:rPr>
          <w:szCs w:val="24"/>
          <w:lang w:val="en-US"/>
        </w:rPr>
        <w:t xml:space="preserve">, </w:t>
      </w:r>
      <w:r w:rsidR="00E823FB" w:rsidRPr="00DD1B58">
        <w:rPr>
          <w:szCs w:val="24"/>
          <w:lang w:val="en-US"/>
        </w:rPr>
        <w:fldChar w:fldCharType="begin"/>
      </w:r>
      <w:r w:rsidR="00E823FB" w:rsidRPr="00DD1B58">
        <w:rPr>
          <w:szCs w:val="24"/>
          <w:lang w:val="en-US"/>
        </w:rPr>
        <w:instrText xml:space="preserve"> REF _Ref145057177 \r \h </w:instrText>
      </w:r>
      <w:r w:rsidR="00E823FB" w:rsidRPr="00DD1B58">
        <w:rPr>
          <w:szCs w:val="24"/>
          <w:lang w:val="en-US"/>
        </w:rPr>
      </w:r>
      <w:r w:rsidR="00E823FB" w:rsidRPr="00DD1B58">
        <w:rPr>
          <w:szCs w:val="24"/>
          <w:lang w:val="en-US"/>
        </w:rPr>
        <w:fldChar w:fldCharType="separate"/>
      </w:r>
      <w:r w:rsidR="00DF47DA">
        <w:rPr>
          <w:szCs w:val="24"/>
          <w:lang w:val="en-US"/>
        </w:rPr>
        <w:t>C-I-3.2.4</w:t>
      </w:r>
      <w:r w:rsidR="00E823FB" w:rsidRPr="00DD1B58">
        <w:rPr>
          <w:szCs w:val="24"/>
          <w:lang w:val="en-US"/>
        </w:rPr>
        <w:fldChar w:fldCharType="end"/>
      </w:r>
      <w:r w:rsidR="00E823FB" w:rsidRPr="00DD1B58">
        <w:rPr>
          <w:szCs w:val="24"/>
          <w:lang w:val="en-US"/>
        </w:rPr>
        <w:t xml:space="preserve"> and</w:t>
      </w:r>
      <w:r w:rsidR="00E317A0" w:rsidRPr="00DD1B58">
        <w:rPr>
          <w:szCs w:val="24"/>
          <w:lang w:val="en-US"/>
        </w:rPr>
        <w:t xml:space="preserve"> </w:t>
      </w:r>
      <w:r w:rsidR="00E823FB" w:rsidRPr="00DD1B58">
        <w:rPr>
          <w:szCs w:val="24"/>
          <w:lang w:val="en-US"/>
        </w:rPr>
        <w:fldChar w:fldCharType="begin"/>
      </w:r>
      <w:r w:rsidR="00E823FB" w:rsidRPr="00DD1B58">
        <w:rPr>
          <w:szCs w:val="24"/>
          <w:lang w:val="en-US"/>
        </w:rPr>
        <w:instrText xml:space="preserve"> REF _Ref145057204 \r \h </w:instrText>
      </w:r>
      <w:r w:rsidR="00E823FB" w:rsidRPr="00DD1B58">
        <w:rPr>
          <w:szCs w:val="24"/>
          <w:lang w:val="en-US"/>
        </w:rPr>
      </w:r>
      <w:r w:rsidR="00E823FB" w:rsidRPr="00DD1B58">
        <w:rPr>
          <w:szCs w:val="24"/>
          <w:lang w:val="en-US"/>
        </w:rPr>
        <w:fldChar w:fldCharType="separate"/>
      </w:r>
      <w:r w:rsidR="00DF47DA">
        <w:rPr>
          <w:szCs w:val="24"/>
          <w:lang w:val="en-US"/>
        </w:rPr>
        <w:t>C-I-3.3.3</w:t>
      </w:r>
      <w:r w:rsidR="00E823FB" w:rsidRPr="00DD1B58">
        <w:rPr>
          <w:szCs w:val="24"/>
          <w:lang w:val="en-US"/>
        </w:rPr>
        <w:fldChar w:fldCharType="end"/>
      </w:r>
      <w:r w:rsidR="00E823FB" w:rsidRPr="00DD1B58">
        <w:rPr>
          <w:szCs w:val="24"/>
          <w:lang w:val="en-US"/>
        </w:rPr>
        <w:t>.</w:t>
      </w:r>
    </w:p>
    <w:p w14:paraId="289844E0" w14:textId="4B5C6DF9" w:rsidR="00E112DB" w:rsidRPr="00DD1B58" w:rsidRDefault="0005536F" w:rsidP="00E112DB">
      <w:pPr>
        <w:pStyle w:val="Bulletlist1"/>
        <w:rPr>
          <w:lang w:val="en-US"/>
        </w:rPr>
      </w:pPr>
      <w:r w:rsidRPr="00DD1B58">
        <w:rPr>
          <w:lang w:val="en-US"/>
        </w:rPr>
        <w:t>Springfields Ltd</w:t>
      </w:r>
      <w:r w:rsidR="00931CE2" w:rsidRPr="00DD1B58">
        <w:rPr>
          <w:lang w:val="en-US"/>
        </w:rPr>
        <w:t xml:space="preserve">; </w:t>
      </w:r>
      <w:r w:rsidRPr="00DD1B58">
        <w:rPr>
          <w:lang w:val="en-US"/>
        </w:rPr>
        <w:t xml:space="preserve">sections </w:t>
      </w:r>
      <w:r w:rsidRPr="00DD1B58">
        <w:rPr>
          <w:lang w:val="en-US"/>
        </w:rPr>
        <w:fldChar w:fldCharType="begin"/>
      </w:r>
      <w:r w:rsidRPr="00DD1B58">
        <w:rPr>
          <w:lang w:val="en-US"/>
        </w:rPr>
        <w:instrText xml:space="preserve"> REF _Ref140148136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C-II-3.1.3</w:t>
      </w:r>
      <w:r w:rsidRPr="00DD1B58">
        <w:rPr>
          <w:lang w:val="en-US"/>
        </w:rPr>
        <w:fldChar w:fldCharType="end"/>
      </w:r>
      <w:r w:rsidRPr="00DD1B58">
        <w:rPr>
          <w:lang w:val="en-US"/>
        </w:rPr>
        <w:t xml:space="preserve">, </w:t>
      </w:r>
      <w:r w:rsidRPr="00DD1B58">
        <w:rPr>
          <w:lang w:val="en-US"/>
        </w:rPr>
        <w:fldChar w:fldCharType="begin"/>
      </w:r>
      <w:r w:rsidRPr="00DD1B58">
        <w:rPr>
          <w:lang w:val="en-US"/>
        </w:rPr>
        <w:instrText xml:space="preserve"> REF _Ref140148153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C-II-3.2.4</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_Ref140148167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C-I-3.3.3</w:t>
      </w:r>
      <w:r w:rsidRPr="00DD1B58">
        <w:rPr>
          <w:lang w:val="en-US"/>
        </w:rPr>
        <w:fldChar w:fldCharType="end"/>
      </w:r>
      <w:r w:rsidRPr="00DD1B58">
        <w:rPr>
          <w:lang w:val="en-US"/>
        </w:rPr>
        <w:t xml:space="preserve">. </w:t>
      </w:r>
    </w:p>
    <w:p w14:paraId="61621782" w14:textId="050777CD" w:rsidR="00E112DB" w:rsidRPr="00DD1B58" w:rsidRDefault="0005536F" w:rsidP="00E112DB">
      <w:pPr>
        <w:pStyle w:val="Bulletlist1"/>
        <w:rPr>
          <w:lang w:val="en-US"/>
        </w:rPr>
      </w:pPr>
      <w:r w:rsidRPr="00DD1B58">
        <w:rPr>
          <w:lang w:val="en-US"/>
        </w:rPr>
        <w:t>Sellafield Ltd</w:t>
      </w:r>
      <w:r w:rsidR="00931CE2" w:rsidRPr="00DD1B58">
        <w:rPr>
          <w:lang w:val="en-US"/>
        </w:rPr>
        <w:t xml:space="preserve">; </w:t>
      </w:r>
      <w:r w:rsidRPr="00DD1B58">
        <w:rPr>
          <w:lang w:val="en-US"/>
        </w:rPr>
        <w:t xml:space="preserve">sections </w:t>
      </w:r>
      <w:r w:rsidRPr="00DD1B58">
        <w:rPr>
          <w:lang w:val="en-US"/>
        </w:rPr>
        <w:fldChar w:fldCharType="begin"/>
      </w:r>
      <w:r w:rsidRPr="00DD1B58">
        <w:rPr>
          <w:lang w:val="en-US"/>
        </w:rPr>
        <w:instrText xml:space="preserve"> REF _Ref135316370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E-I-3.1.3</w:t>
      </w:r>
      <w:r w:rsidRPr="00DD1B58">
        <w:rPr>
          <w:lang w:val="en-US"/>
        </w:rPr>
        <w:fldChar w:fldCharType="end"/>
      </w:r>
      <w:r w:rsidRPr="00DD1B58">
        <w:rPr>
          <w:lang w:val="en-US"/>
        </w:rPr>
        <w:t xml:space="preserve">, </w:t>
      </w:r>
      <w:r w:rsidRPr="00DD1B58">
        <w:rPr>
          <w:lang w:val="en-US"/>
        </w:rPr>
        <w:fldChar w:fldCharType="begin"/>
      </w:r>
      <w:r w:rsidRPr="00DD1B58">
        <w:rPr>
          <w:lang w:val="en-US"/>
        </w:rPr>
        <w:instrText xml:space="preserve"> REF _Ref135316383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E-I-3.2.4</w:t>
      </w:r>
      <w:r w:rsidRPr="00DD1B58">
        <w:rPr>
          <w:lang w:val="en-US"/>
        </w:rPr>
        <w:fldChar w:fldCharType="end"/>
      </w:r>
      <w:r w:rsidRPr="00DD1B58">
        <w:rPr>
          <w:lang w:val="en-US"/>
        </w:rPr>
        <w:t xml:space="preserve"> and </w:t>
      </w:r>
      <w:r w:rsidR="00AB018F" w:rsidRPr="00DD1B58">
        <w:rPr>
          <w:lang w:val="en-US"/>
        </w:rPr>
        <w:fldChar w:fldCharType="begin"/>
      </w:r>
      <w:r w:rsidR="00AB018F" w:rsidRPr="00DD1B58">
        <w:rPr>
          <w:lang w:val="en-US"/>
        </w:rPr>
        <w:instrText xml:space="preserve"> REF _Ref145058916 \r \h </w:instrText>
      </w:r>
      <w:r w:rsidR="00AB018F" w:rsidRPr="00DD1B58">
        <w:rPr>
          <w:lang w:val="en-US"/>
        </w:rPr>
      </w:r>
      <w:r w:rsidR="00AB018F" w:rsidRPr="00DD1B58">
        <w:rPr>
          <w:lang w:val="en-US"/>
        </w:rPr>
        <w:fldChar w:fldCharType="separate"/>
      </w:r>
      <w:r w:rsidR="00DF47DA">
        <w:rPr>
          <w:lang w:val="en-US"/>
        </w:rPr>
        <w:t>E-I-3.3.3</w:t>
      </w:r>
      <w:r w:rsidR="00AB018F" w:rsidRPr="00DD1B58">
        <w:rPr>
          <w:lang w:val="en-US"/>
        </w:rPr>
        <w:fldChar w:fldCharType="end"/>
      </w:r>
      <w:r w:rsidR="00E112DB" w:rsidRPr="00DD1B58">
        <w:rPr>
          <w:lang w:val="en-US"/>
        </w:rPr>
        <w:t xml:space="preserve">; and </w:t>
      </w:r>
    </w:p>
    <w:p w14:paraId="32746D76" w14:textId="09574058" w:rsidR="0005536F" w:rsidRPr="00DD1B58" w:rsidRDefault="0005536F" w:rsidP="00AB018F">
      <w:pPr>
        <w:pStyle w:val="Bulletlist1"/>
        <w:rPr>
          <w:lang w:val="en-US"/>
        </w:rPr>
      </w:pPr>
      <w:r w:rsidRPr="00DD1B58">
        <w:rPr>
          <w:lang w:val="en-US"/>
        </w:rPr>
        <w:t>Dounreay</w:t>
      </w:r>
      <w:r w:rsidR="00931CE2" w:rsidRPr="00DD1B58">
        <w:rPr>
          <w:lang w:val="en-US"/>
        </w:rPr>
        <w:t xml:space="preserve">; sections </w:t>
      </w:r>
      <w:r w:rsidRPr="00DD1B58">
        <w:rPr>
          <w:lang w:val="en-US"/>
        </w:rPr>
        <w:fldChar w:fldCharType="begin"/>
      </w:r>
      <w:r w:rsidRPr="00DD1B58">
        <w:rPr>
          <w:lang w:val="en-US"/>
        </w:rPr>
        <w:instrText xml:space="preserve"> REF _Ref140147991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F-I-3.1.3</w:t>
      </w:r>
      <w:r w:rsidRPr="00DD1B58">
        <w:rPr>
          <w:lang w:val="en-US"/>
        </w:rPr>
        <w:fldChar w:fldCharType="end"/>
      </w:r>
      <w:r w:rsidRPr="00DD1B58">
        <w:rPr>
          <w:lang w:val="en-US"/>
        </w:rPr>
        <w:t xml:space="preserve">, </w:t>
      </w:r>
      <w:r w:rsidRPr="00DD1B58">
        <w:rPr>
          <w:lang w:val="en-US"/>
        </w:rPr>
        <w:fldChar w:fldCharType="begin"/>
      </w:r>
      <w:r w:rsidRPr="00DD1B58">
        <w:rPr>
          <w:lang w:val="en-US"/>
        </w:rPr>
        <w:instrText xml:space="preserve"> REF _Ref135316425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F-I-3.2.4</w:t>
      </w:r>
      <w:r w:rsidRPr="00DD1B58">
        <w:rPr>
          <w:lang w:val="en-US"/>
        </w:rPr>
        <w:fldChar w:fldCharType="end"/>
      </w:r>
      <w:r w:rsidRPr="00DD1B58">
        <w:rPr>
          <w:lang w:val="en-US"/>
        </w:rPr>
        <w:t xml:space="preserve"> and </w:t>
      </w:r>
      <w:r w:rsidRPr="00DD1B58">
        <w:rPr>
          <w:lang w:val="en-US"/>
        </w:rPr>
        <w:fldChar w:fldCharType="begin"/>
      </w:r>
      <w:r w:rsidRPr="00DD1B58">
        <w:rPr>
          <w:lang w:val="en-US"/>
        </w:rPr>
        <w:instrText xml:space="preserve"> REF _Ref140148027 \r \h </w:instrText>
      </w:r>
      <w:r w:rsidR="00E112DB" w:rsidRPr="00DD1B58">
        <w:rPr>
          <w:lang w:val="en-US"/>
        </w:rPr>
        <w:instrText xml:space="preserve"> \* MERGEFORMAT </w:instrText>
      </w:r>
      <w:r w:rsidRPr="00DD1B58">
        <w:rPr>
          <w:lang w:val="en-US"/>
        </w:rPr>
      </w:r>
      <w:r w:rsidRPr="00DD1B58">
        <w:rPr>
          <w:lang w:val="en-US"/>
        </w:rPr>
        <w:fldChar w:fldCharType="separate"/>
      </w:r>
      <w:r w:rsidR="00DF47DA">
        <w:rPr>
          <w:lang w:val="en-US"/>
        </w:rPr>
        <w:t>F-I-3.3.3</w:t>
      </w:r>
      <w:r w:rsidRPr="00DD1B58">
        <w:rPr>
          <w:lang w:val="en-US"/>
        </w:rPr>
        <w:fldChar w:fldCharType="end"/>
      </w:r>
      <w:r w:rsidRPr="00DD1B58">
        <w:rPr>
          <w:lang w:val="en-US"/>
        </w:rPr>
        <w:t xml:space="preserve">. </w:t>
      </w:r>
    </w:p>
    <w:p w14:paraId="1C07F3A8" w14:textId="77777777" w:rsidR="00D30E7F" w:rsidRPr="00DD1B58" w:rsidRDefault="00D34C6F" w:rsidP="00DB228A">
      <w:pPr>
        <w:pStyle w:val="Heading2A"/>
        <w:rPr>
          <w:lang w:val="en-US"/>
        </w:rPr>
      </w:pPr>
      <w:bookmarkStart w:id="167" w:name="_Toc145069024"/>
      <w:bookmarkStart w:id="168" w:name="_Toc145069086"/>
      <w:bookmarkStart w:id="169" w:name="_Toc145069167"/>
      <w:bookmarkStart w:id="170" w:name="_Toc145069243"/>
      <w:bookmarkStart w:id="171" w:name="_Toc145069025"/>
      <w:bookmarkStart w:id="172" w:name="_Toc145069087"/>
      <w:bookmarkStart w:id="173" w:name="_Toc145069168"/>
      <w:bookmarkStart w:id="174" w:name="_Toc145069244"/>
      <w:bookmarkStart w:id="175" w:name="_Toc145069026"/>
      <w:bookmarkStart w:id="176" w:name="_Toc145069088"/>
      <w:bookmarkStart w:id="177" w:name="_Toc145069169"/>
      <w:bookmarkStart w:id="178" w:name="_Toc145069245"/>
      <w:bookmarkStart w:id="179" w:name="_Toc145069027"/>
      <w:bookmarkStart w:id="180" w:name="_Toc145069089"/>
      <w:bookmarkStart w:id="181" w:name="_Toc145069170"/>
      <w:bookmarkStart w:id="182" w:name="_Toc145069246"/>
      <w:bookmarkStart w:id="183" w:name="_Toc145069028"/>
      <w:bookmarkStart w:id="184" w:name="_Toc145069090"/>
      <w:bookmarkStart w:id="185" w:name="_Toc145069171"/>
      <w:bookmarkStart w:id="186" w:name="_Toc145069247"/>
      <w:bookmarkStart w:id="187" w:name="_Toc145069029"/>
      <w:bookmarkStart w:id="188" w:name="_Toc145069091"/>
      <w:bookmarkStart w:id="189" w:name="_Toc145069172"/>
      <w:bookmarkStart w:id="190" w:name="_Toc145069248"/>
      <w:bookmarkStart w:id="191" w:name="_Ref134617867"/>
      <w:bookmarkStart w:id="192" w:name="_Toc147090659"/>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DD1B58">
        <w:rPr>
          <w:lang w:val="en-US"/>
        </w:rPr>
        <w:t>Regulator’s assessment of the fire protection concept and conclusions</w:t>
      </w:r>
      <w:bookmarkEnd w:id="191"/>
      <w:bookmarkEnd w:id="192"/>
      <w:r w:rsidRPr="00DD1B58">
        <w:rPr>
          <w:lang w:val="en-US"/>
        </w:rPr>
        <w:t xml:space="preserve"> </w:t>
      </w:r>
    </w:p>
    <w:p w14:paraId="07D707BD" w14:textId="6ED3938C" w:rsidR="00C75BCB" w:rsidRPr="00DD1B58" w:rsidRDefault="00C75BCB" w:rsidP="00C75BCB">
      <w:pPr>
        <w:rPr>
          <w:lang w:val="en-US"/>
        </w:rPr>
      </w:pPr>
      <w:r w:rsidRPr="00DD1B58">
        <w:rPr>
          <w:szCs w:val="24"/>
          <w:lang w:val="en-US"/>
        </w:rPr>
        <w:t xml:space="preserve">To avoid duplication, the regulator’s assessment of the implementation of the fire protection concept </w:t>
      </w:r>
      <w:r w:rsidR="005E53BE" w:rsidRPr="00DD1B58">
        <w:rPr>
          <w:szCs w:val="24"/>
          <w:lang w:val="en-US"/>
        </w:rPr>
        <w:t>is</w:t>
      </w:r>
      <w:r w:rsidRPr="00DD1B58">
        <w:rPr>
          <w:szCs w:val="24"/>
          <w:lang w:val="en-US"/>
        </w:rPr>
        <w:t xml:space="preserve"> not repeated in this section. This information can be found for each licensee in turn as follows:</w:t>
      </w:r>
    </w:p>
    <w:p w14:paraId="5F5080A6" w14:textId="0BB8BF82" w:rsidR="00C75BCB" w:rsidRPr="00DD1B58" w:rsidRDefault="00C75BCB" w:rsidP="00C75BCB">
      <w:pPr>
        <w:pStyle w:val="Bulletlist1"/>
        <w:rPr>
          <w:szCs w:val="24"/>
          <w:lang w:val="en-US"/>
        </w:rPr>
      </w:pPr>
      <w:r w:rsidRPr="00DD1B58">
        <w:rPr>
          <w:lang w:val="en-US"/>
        </w:rPr>
        <w:t>EDF NGL</w:t>
      </w:r>
      <w:r w:rsidRPr="00DD1B58">
        <w:rPr>
          <w:szCs w:val="24"/>
          <w:lang w:val="en-US"/>
        </w:rPr>
        <w:t xml:space="preserve">; sections </w:t>
      </w:r>
      <w:r w:rsidR="00A0168D" w:rsidRPr="00DD1B58">
        <w:rPr>
          <w:szCs w:val="24"/>
          <w:lang w:val="en-US"/>
        </w:rPr>
        <w:fldChar w:fldCharType="begin"/>
      </w:r>
      <w:r w:rsidR="00A0168D" w:rsidRPr="00DD1B58">
        <w:rPr>
          <w:szCs w:val="24"/>
          <w:lang w:val="en-US"/>
        </w:rPr>
        <w:instrText xml:space="preserve"> REF _Ref145057642 \r \h </w:instrText>
      </w:r>
      <w:r w:rsidR="00A0168D" w:rsidRPr="00DD1B58">
        <w:rPr>
          <w:szCs w:val="24"/>
          <w:lang w:val="en-US"/>
        </w:rPr>
      </w:r>
      <w:r w:rsidR="00A0168D" w:rsidRPr="00DD1B58">
        <w:rPr>
          <w:szCs w:val="24"/>
          <w:lang w:val="en-US"/>
        </w:rPr>
        <w:fldChar w:fldCharType="separate"/>
      </w:r>
      <w:r w:rsidR="00DF47DA">
        <w:rPr>
          <w:szCs w:val="24"/>
          <w:lang w:val="en-US"/>
        </w:rPr>
        <w:t>A-I-3.1.4</w:t>
      </w:r>
      <w:r w:rsidR="00A0168D" w:rsidRPr="00DD1B58">
        <w:rPr>
          <w:szCs w:val="24"/>
          <w:lang w:val="en-US"/>
        </w:rPr>
        <w:fldChar w:fldCharType="end"/>
      </w:r>
      <w:r w:rsidR="00CF03FE" w:rsidRPr="00DD1B58">
        <w:rPr>
          <w:szCs w:val="24"/>
          <w:lang w:val="en-US"/>
        </w:rPr>
        <w:t xml:space="preserve">, </w:t>
      </w:r>
      <w:r w:rsidR="0013533A" w:rsidRPr="00DD1B58">
        <w:rPr>
          <w:szCs w:val="24"/>
          <w:lang w:val="en-US"/>
        </w:rPr>
        <w:fldChar w:fldCharType="begin"/>
      </w:r>
      <w:r w:rsidR="0013533A" w:rsidRPr="00DD1B58">
        <w:rPr>
          <w:szCs w:val="24"/>
          <w:lang w:val="en-US"/>
        </w:rPr>
        <w:instrText xml:space="preserve"> REF _Ref145057663 \r \h </w:instrText>
      </w:r>
      <w:r w:rsidR="0013533A" w:rsidRPr="00DD1B58">
        <w:rPr>
          <w:szCs w:val="24"/>
          <w:lang w:val="en-US"/>
        </w:rPr>
      </w:r>
      <w:r w:rsidR="0013533A" w:rsidRPr="00DD1B58">
        <w:rPr>
          <w:szCs w:val="24"/>
          <w:lang w:val="en-US"/>
        </w:rPr>
        <w:fldChar w:fldCharType="separate"/>
      </w:r>
      <w:r w:rsidR="00DF47DA">
        <w:rPr>
          <w:szCs w:val="24"/>
          <w:lang w:val="en-US"/>
        </w:rPr>
        <w:t>A-I-3.2.5</w:t>
      </w:r>
      <w:r w:rsidR="0013533A" w:rsidRPr="00DD1B58">
        <w:rPr>
          <w:szCs w:val="24"/>
          <w:lang w:val="en-US"/>
        </w:rPr>
        <w:fldChar w:fldCharType="end"/>
      </w:r>
      <w:r w:rsidR="00940991" w:rsidRPr="00DD1B58">
        <w:rPr>
          <w:szCs w:val="24"/>
          <w:lang w:val="en-US"/>
        </w:rPr>
        <w:t xml:space="preserve"> </w:t>
      </w:r>
      <w:r w:rsidR="007434D6" w:rsidRPr="00DD1B58">
        <w:rPr>
          <w:szCs w:val="24"/>
          <w:lang w:val="en-US"/>
        </w:rPr>
        <w:t xml:space="preserve">and </w:t>
      </w:r>
      <w:r w:rsidR="00940991" w:rsidRPr="00DD1B58">
        <w:rPr>
          <w:szCs w:val="24"/>
          <w:lang w:val="en-US"/>
        </w:rPr>
        <w:fldChar w:fldCharType="begin"/>
      </w:r>
      <w:r w:rsidR="00940991" w:rsidRPr="00DD1B58">
        <w:rPr>
          <w:szCs w:val="24"/>
          <w:lang w:val="en-US"/>
        </w:rPr>
        <w:instrText xml:space="preserve"> REF _Ref145057687 \r \h </w:instrText>
      </w:r>
      <w:r w:rsidR="00940991" w:rsidRPr="00DD1B58">
        <w:rPr>
          <w:szCs w:val="24"/>
          <w:lang w:val="en-US"/>
        </w:rPr>
      </w:r>
      <w:r w:rsidR="00940991" w:rsidRPr="00DD1B58">
        <w:rPr>
          <w:szCs w:val="24"/>
          <w:lang w:val="en-US"/>
        </w:rPr>
        <w:fldChar w:fldCharType="separate"/>
      </w:r>
      <w:r w:rsidR="00DF47DA">
        <w:rPr>
          <w:szCs w:val="24"/>
          <w:lang w:val="en-US"/>
        </w:rPr>
        <w:t>A-I-3.3.4</w:t>
      </w:r>
      <w:r w:rsidR="00940991" w:rsidRPr="00DD1B58">
        <w:rPr>
          <w:szCs w:val="24"/>
          <w:lang w:val="en-US"/>
        </w:rPr>
        <w:fldChar w:fldCharType="end"/>
      </w:r>
      <w:r w:rsidR="00940991" w:rsidRPr="00DD1B58">
        <w:rPr>
          <w:szCs w:val="24"/>
          <w:lang w:val="en-US"/>
        </w:rPr>
        <w:t>.</w:t>
      </w:r>
    </w:p>
    <w:p w14:paraId="2E6459D7" w14:textId="0B7DCDD2" w:rsidR="00C75BCB" w:rsidRPr="00DD1B58" w:rsidRDefault="00C75BCB" w:rsidP="00C75BCB">
      <w:pPr>
        <w:pStyle w:val="Bulletlist1"/>
        <w:rPr>
          <w:szCs w:val="24"/>
          <w:lang w:val="en-US"/>
        </w:rPr>
      </w:pPr>
      <w:r w:rsidRPr="00DD1B58">
        <w:rPr>
          <w:lang w:val="en-US"/>
        </w:rPr>
        <w:t>NNB GenCo</w:t>
      </w:r>
      <w:r w:rsidRPr="00DD1B58">
        <w:rPr>
          <w:szCs w:val="24"/>
          <w:lang w:val="en-US"/>
        </w:rPr>
        <w:t xml:space="preserve">; sections </w:t>
      </w:r>
      <w:r w:rsidR="009361F0" w:rsidRPr="00DD1B58">
        <w:rPr>
          <w:szCs w:val="24"/>
          <w:lang w:val="en-US"/>
        </w:rPr>
        <w:fldChar w:fldCharType="begin"/>
      </w:r>
      <w:r w:rsidR="009361F0" w:rsidRPr="00DD1B58">
        <w:rPr>
          <w:szCs w:val="24"/>
          <w:lang w:val="en-US"/>
        </w:rPr>
        <w:instrText xml:space="preserve"> REF _Ref145058300 \r \h </w:instrText>
      </w:r>
      <w:r w:rsidR="009361F0" w:rsidRPr="00DD1B58">
        <w:rPr>
          <w:szCs w:val="24"/>
          <w:lang w:val="en-US"/>
        </w:rPr>
      </w:r>
      <w:r w:rsidR="009361F0" w:rsidRPr="00DD1B58">
        <w:rPr>
          <w:szCs w:val="24"/>
          <w:lang w:val="en-US"/>
        </w:rPr>
        <w:fldChar w:fldCharType="separate"/>
      </w:r>
      <w:r w:rsidR="00DF47DA">
        <w:rPr>
          <w:szCs w:val="24"/>
          <w:lang w:val="en-US"/>
        </w:rPr>
        <w:t>A-II-3.1.4</w:t>
      </w:r>
      <w:r w:rsidR="009361F0" w:rsidRPr="00DD1B58">
        <w:rPr>
          <w:szCs w:val="24"/>
          <w:lang w:val="en-US"/>
        </w:rPr>
        <w:fldChar w:fldCharType="end"/>
      </w:r>
      <w:r w:rsidR="009361F0" w:rsidRPr="00DD1B58">
        <w:rPr>
          <w:szCs w:val="24"/>
          <w:lang w:val="en-US"/>
        </w:rPr>
        <w:t xml:space="preserve">, </w:t>
      </w:r>
      <w:r w:rsidR="009361F0" w:rsidRPr="00DD1B58">
        <w:rPr>
          <w:szCs w:val="24"/>
          <w:lang w:val="en-US"/>
        </w:rPr>
        <w:fldChar w:fldCharType="begin"/>
      </w:r>
      <w:r w:rsidR="009361F0" w:rsidRPr="00DD1B58">
        <w:rPr>
          <w:szCs w:val="24"/>
          <w:lang w:val="en-US"/>
        </w:rPr>
        <w:instrText xml:space="preserve"> REF _Ref145058317 \r \h </w:instrText>
      </w:r>
      <w:r w:rsidR="009361F0" w:rsidRPr="00DD1B58">
        <w:rPr>
          <w:szCs w:val="24"/>
          <w:lang w:val="en-US"/>
        </w:rPr>
      </w:r>
      <w:r w:rsidR="009361F0" w:rsidRPr="00DD1B58">
        <w:rPr>
          <w:szCs w:val="24"/>
          <w:lang w:val="en-US"/>
        </w:rPr>
        <w:fldChar w:fldCharType="separate"/>
      </w:r>
      <w:r w:rsidR="00DF47DA">
        <w:rPr>
          <w:szCs w:val="24"/>
          <w:lang w:val="en-US"/>
        </w:rPr>
        <w:t>A-II-3.2.4</w:t>
      </w:r>
      <w:r w:rsidR="009361F0" w:rsidRPr="00DD1B58">
        <w:rPr>
          <w:szCs w:val="24"/>
          <w:lang w:val="en-US"/>
        </w:rPr>
        <w:fldChar w:fldCharType="end"/>
      </w:r>
      <w:r w:rsidR="009361F0" w:rsidRPr="00DD1B58">
        <w:rPr>
          <w:szCs w:val="24"/>
          <w:lang w:val="en-US"/>
        </w:rPr>
        <w:t xml:space="preserve"> and </w:t>
      </w:r>
      <w:r w:rsidR="009361F0" w:rsidRPr="00DD1B58">
        <w:rPr>
          <w:szCs w:val="24"/>
          <w:lang w:val="en-US"/>
        </w:rPr>
        <w:fldChar w:fldCharType="begin"/>
      </w:r>
      <w:r w:rsidR="009361F0" w:rsidRPr="00DD1B58">
        <w:rPr>
          <w:szCs w:val="24"/>
          <w:lang w:val="en-US"/>
        </w:rPr>
        <w:instrText xml:space="preserve"> REF _Ref145058235 \r \h </w:instrText>
      </w:r>
      <w:r w:rsidR="009361F0" w:rsidRPr="00DD1B58">
        <w:rPr>
          <w:szCs w:val="24"/>
          <w:lang w:val="en-US"/>
        </w:rPr>
      </w:r>
      <w:r w:rsidR="009361F0" w:rsidRPr="00DD1B58">
        <w:rPr>
          <w:szCs w:val="24"/>
          <w:lang w:val="en-US"/>
        </w:rPr>
        <w:fldChar w:fldCharType="separate"/>
      </w:r>
      <w:r w:rsidR="00DF47DA">
        <w:rPr>
          <w:szCs w:val="24"/>
          <w:lang w:val="en-US"/>
        </w:rPr>
        <w:t>A-II-3.3.4</w:t>
      </w:r>
      <w:r w:rsidR="009361F0" w:rsidRPr="00DD1B58">
        <w:rPr>
          <w:szCs w:val="24"/>
          <w:lang w:val="en-US"/>
        </w:rPr>
        <w:fldChar w:fldCharType="end"/>
      </w:r>
    </w:p>
    <w:p w14:paraId="5AD75868" w14:textId="0AD3A614" w:rsidR="00C75BCB" w:rsidRPr="00DD1B58" w:rsidRDefault="00C75BCB" w:rsidP="00C75BCB">
      <w:pPr>
        <w:pStyle w:val="Bulletlist1"/>
        <w:rPr>
          <w:szCs w:val="24"/>
          <w:lang w:val="en-US"/>
        </w:rPr>
      </w:pPr>
      <w:r w:rsidRPr="00DD1B58">
        <w:rPr>
          <w:szCs w:val="24"/>
          <w:lang w:val="en-US"/>
        </w:rPr>
        <w:t xml:space="preserve">UUK; sections </w:t>
      </w:r>
      <w:r w:rsidR="009E51BA" w:rsidRPr="00DD1B58">
        <w:rPr>
          <w:szCs w:val="24"/>
          <w:lang w:val="en-US"/>
        </w:rPr>
        <w:fldChar w:fldCharType="begin"/>
      </w:r>
      <w:r w:rsidR="009E51BA" w:rsidRPr="00DD1B58">
        <w:rPr>
          <w:szCs w:val="24"/>
          <w:lang w:val="en-US"/>
        </w:rPr>
        <w:instrText xml:space="preserve"> REF _Ref145058584 \r \h </w:instrText>
      </w:r>
      <w:r w:rsidR="009E51BA" w:rsidRPr="00DD1B58">
        <w:rPr>
          <w:szCs w:val="24"/>
          <w:lang w:val="en-US"/>
        </w:rPr>
      </w:r>
      <w:r w:rsidR="009E51BA" w:rsidRPr="00DD1B58">
        <w:rPr>
          <w:szCs w:val="24"/>
          <w:lang w:val="en-US"/>
        </w:rPr>
        <w:fldChar w:fldCharType="separate"/>
      </w:r>
      <w:r w:rsidR="00DF47DA">
        <w:rPr>
          <w:szCs w:val="24"/>
          <w:lang w:val="en-US"/>
        </w:rPr>
        <w:t>C-I-3.1.4</w:t>
      </w:r>
      <w:r w:rsidR="009E51BA" w:rsidRPr="00DD1B58">
        <w:rPr>
          <w:szCs w:val="24"/>
          <w:lang w:val="en-US"/>
        </w:rPr>
        <w:fldChar w:fldCharType="end"/>
      </w:r>
      <w:r w:rsidR="009E51BA" w:rsidRPr="00DD1B58">
        <w:rPr>
          <w:szCs w:val="24"/>
          <w:lang w:val="en-US"/>
        </w:rPr>
        <w:t xml:space="preserve">, </w:t>
      </w:r>
      <w:r w:rsidR="009361F0" w:rsidRPr="00DD1B58">
        <w:rPr>
          <w:szCs w:val="24"/>
          <w:lang w:val="en-US"/>
        </w:rPr>
        <w:fldChar w:fldCharType="begin"/>
      </w:r>
      <w:r w:rsidR="009361F0" w:rsidRPr="00DD1B58">
        <w:rPr>
          <w:szCs w:val="24"/>
          <w:lang w:val="en-US"/>
        </w:rPr>
        <w:instrText xml:space="preserve"> REF _Ref145058400 \r \h </w:instrText>
      </w:r>
      <w:r w:rsidR="009361F0" w:rsidRPr="00DD1B58">
        <w:rPr>
          <w:szCs w:val="24"/>
          <w:lang w:val="en-US"/>
        </w:rPr>
      </w:r>
      <w:r w:rsidR="009361F0" w:rsidRPr="00DD1B58">
        <w:rPr>
          <w:szCs w:val="24"/>
          <w:lang w:val="en-US"/>
        </w:rPr>
        <w:fldChar w:fldCharType="separate"/>
      </w:r>
      <w:r w:rsidR="00DF47DA">
        <w:rPr>
          <w:szCs w:val="24"/>
          <w:lang w:val="en-US"/>
        </w:rPr>
        <w:t>C-I-3.2.5</w:t>
      </w:r>
      <w:r w:rsidR="009361F0" w:rsidRPr="00DD1B58">
        <w:rPr>
          <w:szCs w:val="24"/>
          <w:lang w:val="en-US"/>
        </w:rPr>
        <w:fldChar w:fldCharType="end"/>
      </w:r>
      <w:r w:rsidR="009E51BA" w:rsidRPr="00DD1B58">
        <w:rPr>
          <w:szCs w:val="24"/>
          <w:lang w:val="en-US"/>
        </w:rPr>
        <w:t xml:space="preserve"> and</w:t>
      </w:r>
      <w:r w:rsidR="00B4652F" w:rsidRPr="00DD1B58">
        <w:rPr>
          <w:szCs w:val="24"/>
          <w:lang w:val="en-US"/>
        </w:rPr>
        <w:t xml:space="preserve"> </w:t>
      </w:r>
      <w:r w:rsidR="009361F0" w:rsidRPr="00DD1B58">
        <w:rPr>
          <w:szCs w:val="24"/>
          <w:lang w:val="en-US"/>
        </w:rPr>
        <w:fldChar w:fldCharType="begin"/>
      </w:r>
      <w:r w:rsidR="009361F0" w:rsidRPr="00DD1B58">
        <w:rPr>
          <w:szCs w:val="24"/>
          <w:lang w:val="en-US"/>
        </w:rPr>
        <w:instrText xml:space="preserve"> REF _Ref145058407 \r \h </w:instrText>
      </w:r>
      <w:r w:rsidR="009361F0" w:rsidRPr="00DD1B58">
        <w:rPr>
          <w:szCs w:val="24"/>
          <w:lang w:val="en-US"/>
        </w:rPr>
      </w:r>
      <w:r w:rsidR="009361F0" w:rsidRPr="00DD1B58">
        <w:rPr>
          <w:szCs w:val="24"/>
          <w:lang w:val="en-US"/>
        </w:rPr>
        <w:fldChar w:fldCharType="separate"/>
      </w:r>
      <w:r w:rsidR="00DF47DA">
        <w:rPr>
          <w:szCs w:val="24"/>
          <w:lang w:val="en-US"/>
        </w:rPr>
        <w:t>C-I-3.3.4</w:t>
      </w:r>
      <w:r w:rsidR="009361F0" w:rsidRPr="00DD1B58">
        <w:rPr>
          <w:szCs w:val="24"/>
          <w:lang w:val="en-US"/>
        </w:rPr>
        <w:fldChar w:fldCharType="end"/>
      </w:r>
      <w:r w:rsidR="009E51BA" w:rsidRPr="00DD1B58">
        <w:rPr>
          <w:szCs w:val="24"/>
          <w:lang w:val="en-US"/>
        </w:rPr>
        <w:t>.</w:t>
      </w:r>
    </w:p>
    <w:p w14:paraId="12677CAE" w14:textId="03041D7D" w:rsidR="00C75BCB" w:rsidRPr="00DD1B58" w:rsidRDefault="00C75BCB" w:rsidP="00C75BCB">
      <w:pPr>
        <w:pStyle w:val="Bulletlist1"/>
        <w:rPr>
          <w:lang w:val="en-US"/>
        </w:rPr>
      </w:pPr>
      <w:r w:rsidRPr="00DD1B58">
        <w:rPr>
          <w:lang w:val="en-US"/>
        </w:rPr>
        <w:t xml:space="preserve">Springfields Ltd; sections </w:t>
      </w:r>
      <w:r w:rsidR="009E51BA" w:rsidRPr="00DD1B58">
        <w:rPr>
          <w:lang w:val="en-US"/>
        </w:rPr>
        <w:fldChar w:fldCharType="begin"/>
      </w:r>
      <w:r w:rsidR="009E51BA" w:rsidRPr="00DD1B58">
        <w:rPr>
          <w:lang w:val="en-US"/>
        </w:rPr>
        <w:instrText xml:space="preserve"> REF _Ref145058626 \r \h </w:instrText>
      </w:r>
      <w:r w:rsidR="009E51BA" w:rsidRPr="00DD1B58">
        <w:rPr>
          <w:lang w:val="en-US"/>
        </w:rPr>
      </w:r>
      <w:r w:rsidR="009E51BA" w:rsidRPr="00DD1B58">
        <w:rPr>
          <w:lang w:val="en-US"/>
        </w:rPr>
        <w:fldChar w:fldCharType="separate"/>
      </w:r>
      <w:r w:rsidR="00DF47DA">
        <w:rPr>
          <w:lang w:val="en-US"/>
        </w:rPr>
        <w:t>C-II-3.1.4</w:t>
      </w:r>
      <w:r w:rsidR="009E51BA" w:rsidRPr="00DD1B58">
        <w:rPr>
          <w:lang w:val="en-US"/>
        </w:rPr>
        <w:fldChar w:fldCharType="end"/>
      </w:r>
      <w:r w:rsidRPr="00DD1B58">
        <w:rPr>
          <w:lang w:val="en-US"/>
        </w:rPr>
        <w:t xml:space="preserve">, </w:t>
      </w:r>
      <w:r w:rsidR="009E51BA" w:rsidRPr="00DD1B58">
        <w:rPr>
          <w:lang w:val="en-US"/>
        </w:rPr>
        <w:fldChar w:fldCharType="begin"/>
      </w:r>
      <w:r w:rsidR="009E51BA" w:rsidRPr="00DD1B58">
        <w:rPr>
          <w:lang w:val="en-US"/>
        </w:rPr>
        <w:instrText xml:space="preserve"> REF _Ref145058682 \r \h </w:instrText>
      </w:r>
      <w:r w:rsidR="009E51BA" w:rsidRPr="00DD1B58">
        <w:rPr>
          <w:lang w:val="en-US"/>
        </w:rPr>
      </w:r>
      <w:r w:rsidR="009E51BA" w:rsidRPr="00DD1B58">
        <w:rPr>
          <w:lang w:val="en-US"/>
        </w:rPr>
        <w:fldChar w:fldCharType="separate"/>
      </w:r>
      <w:r w:rsidR="00DF47DA">
        <w:rPr>
          <w:lang w:val="en-US"/>
        </w:rPr>
        <w:t>C-II-3.2.5</w:t>
      </w:r>
      <w:r w:rsidR="009E51BA" w:rsidRPr="00DD1B58">
        <w:rPr>
          <w:lang w:val="en-US"/>
        </w:rPr>
        <w:fldChar w:fldCharType="end"/>
      </w:r>
      <w:r w:rsidR="009E51BA" w:rsidRPr="00DD1B58">
        <w:rPr>
          <w:lang w:val="en-US"/>
        </w:rPr>
        <w:t xml:space="preserve"> </w:t>
      </w:r>
      <w:r w:rsidRPr="00DD1B58">
        <w:rPr>
          <w:lang w:val="en-US"/>
        </w:rPr>
        <w:t xml:space="preserve">and </w:t>
      </w:r>
      <w:r w:rsidR="00227835" w:rsidRPr="00DD1B58">
        <w:rPr>
          <w:lang w:val="en-US"/>
        </w:rPr>
        <w:fldChar w:fldCharType="begin"/>
      </w:r>
      <w:r w:rsidR="00227835" w:rsidRPr="00DD1B58">
        <w:rPr>
          <w:lang w:val="en-US"/>
        </w:rPr>
        <w:instrText xml:space="preserve"> REF _Ref145058755 \r \h </w:instrText>
      </w:r>
      <w:r w:rsidR="00227835" w:rsidRPr="00DD1B58">
        <w:rPr>
          <w:lang w:val="en-US"/>
        </w:rPr>
      </w:r>
      <w:r w:rsidR="00227835" w:rsidRPr="00DD1B58">
        <w:rPr>
          <w:lang w:val="en-US"/>
        </w:rPr>
        <w:fldChar w:fldCharType="separate"/>
      </w:r>
      <w:r w:rsidR="00DF47DA">
        <w:rPr>
          <w:lang w:val="en-US"/>
        </w:rPr>
        <w:t>C-II-3.3.4</w:t>
      </w:r>
      <w:r w:rsidR="00227835" w:rsidRPr="00DD1B58">
        <w:rPr>
          <w:lang w:val="en-US"/>
        </w:rPr>
        <w:fldChar w:fldCharType="end"/>
      </w:r>
      <w:r w:rsidR="002717C7" w:rsidRPr="00DD1B58">
        <w:rPr>
          <w:lang w:val="en-US"/>
        </w:rPr>
        <w:t>.</w:t>
      </w:r>
    </w:p>
    <w:p w14:paraId="2726CC18" w14:textId="0F07F752" w:rsidR="00C75BCB" w:rsidRPr="00DD1B58" w:rsidRDefault="00C75BCB" w:rsidP="00C75BCB">
      <w:pPr>
        <w:pStyle w:val="Bulletlist1"/>
        <w:rPr>
          <w:lang w:val="en-US"/>
        </w:rPr>
      </w:pPr>
      <w:r w:rsidRPr="00DD1B58">
        <w:rPr>
          <w:lang w:val="en-US"/>
        </w:rPr>
        <w:t xml:space="preserve">Sellafield Ltd; sections </w:t>
      </w:r>
      <w:r w:rsidR="003F55E3" w:rsidRPr="00DD1B58">
        <w:rPr>
          <w:lang w:val="en-US"/>
        </w:rPr>
        <w:fldChar w:fldCharType="begin"/>
      </w:r>
      <w:r w:rsidR="003F55E3" w:rsidRPr="00DD1B58">
        <w:rPr>
          <w:lang w:val="en-US"/>
        </w:rPr>
        <w:instrText xml:space="preserve"> REF _Ref145058817 \r \h </w:instrText>
      </w:r>
      <w:r w:rsidR="003F55E3" w:rsidRPr="00DD1B58">
        <w:rPr>
          <w:lang w:val="en-US"/>
        </w:rPr>
      </w:r>
      <w:r w:rsidR="003F55E3" w:rsidRPr="00DD1B58">
        <w:rPr>
          <w:lang w:val="en-US"/>
        </w:rPr>
        <w:fldChar w:fldCharType="separate"/>
      </w:r>
      <w:r w:rsidR="00DF47DA">
        <w:rPr>
          <w:lang w:val="en-US"/>
        </w:rPr>
        <w:t>E-I-3.1.4</w:t>
      </w:r>
      <w:r w:rsidR="003F55E3" w:rsidRPr="00DD1B58">
        <w:rPr>
          <w:lang w:val="en-US"/>
        </w:rPr>
        <w:fldChar w:fldCharType="end"/>
      </w:r>
      <w:r w:rsidRPr="00DD1B58">
        <w:rPr>
          <w:lang w:val="en-US"/>
        </w:rPr>
        <w:t xml:space="preserve">, </w:t>
      </w:r>
      <w:r w:rsidR="00C364D8" w:rsidRPr="00DD1B58">
        <w:rPr>
          <w:lang w:val="en-US"/>
        </w:rPr>
        <w:fldChar w:fldCharType="begin"/>
      </w:r>
      <w:r w:rsidR="00C364D8" w:rsidRPr="00DD1B58">
        <w:rPr>
          <w:lang w:val="en-US"/>
        </w:rPr>
        <w:instrText xml:space="preserve"> REF _Ref145058793 \r \h </w:instrText>
      </w:r>
      <w:r w:rsidR="00C364D8" w:rsidRPr="00DD1B58">
        <w:rPr>
          <w:lang w:val="en-US"/>
        </w:rPr>
      </w:r>
      <w:r w:rsidR="00C364D8" w:rsidRPr="00DD1B58">
        <w:rPr>
          <w:lang w:val="en-US"/>
        </w:rPr>
        <w:fldChar w:fldCharType="separate"/>
      </w:r>
      <w:r w:rsidR="00DF47DA">
        <w:rPr>
          <w:lang w:val="en-US"/>
        </w:rPr>
        <w:t>E-I-3.2.5</w:t>
      </w:r>
      <w:r w:rsidR="00C364D8" w:rsidRPr="00DD1B58">
        <w:rPr>
          <w:lang w:val="en-US"/>
        </w:rPr>
        <w:fldChar w:fldCharType="end"/>
      </w:r>
      <w:r w:rsidRPr="00DD1B58">
        <w:rPr>
          <w:lang w:val="en-US"/>
        </w:rPr>
        <w:t xml:space="preserve"> and</w:t>
      </w:r>
      <w:r w:rsidR="003F55E3" w:rsidRPr="00DD1B58">
        <w:rPr>
          <w:lang w:val="en-US"/>
        </w:rPr>
        <w:t xml:space="preserve"> </w:t>
      </w:r>
      <w:r w:rsidR="00227835" w:rsidRPr="00DD1B58">
        <w:rPr>
          <w:lang w:val="en-US"/>
        </w:rPr>
        <w:fldChar w:fldCharType="begin"/>
      </w:r>
      <w:r w:rsidR="00227835" w:rsidRPr="00DD1B58">
        <w:rPr>
          <w:lang w:val="en-US"/>
        </w:rPr>
        <w:instrText xml:space="preserve"> REF _Ref145058772 \r \h </w:instrText>
      </w:r>
      <w:r w:rsidR="00227835" w:rsidRPr="00DD1B58">
        <w:rPr>
          <w:lang w:val="en-US"/>
        </w:rPr>
      </w:r>
      <w:r w:rsidR="00227835" w:rsidRPr="00DD1B58">
        <w:rPr>
          <w:lang w:val="en-US"/>
        </w:rPr>
        <w:fldChar w:fldCharType="separate"/>
      </w:r>
      <w:r w:rsidR="00DF47DA">
        <w:rPr>
          <w:lang w:val="en-US"/>
        </w:rPr>
        <w:t>E-I-3.3.4</w:t>
      </w:r>
      <w:r w:rsidR="00227835" w:rsidRPr="00DD1B58">
        <w:rPr>
          <w:lang w:val="en-US"/>
        </w:rPr>
        <w:fldChar w:fldCharType="end"/>
      </w:r>
      <w:r w:rsidRPr="00DD1B58">
        <w:rPr>
          <w:lang w:val="en-US"/>
        </w:rPr>
        <w:t xml:space="preserve">; and </w:t>
      </w:r>
    </w:p>
    <w:p w14:paraId="2AED9C69" w14:textId="658AD02F" w:rsidR="009A5690" w:rsidRPr="00DD1B58" w:rsidRDefault="00C75BCB" w:rsidP="00973FF4">
      <w:pPr>
        <w:pStyle w:val="Bulletlist1"/>
        <w:rPr>
          <w:lang w:val="en-US"/>
        </w:rPr>
      </w:pPr>
      <w:r w:rsidRPr="00DD1B58">
        <w:rPr>
          <w:lang w:val="en-US"/>
        </w:rPr>
        <w:t xml:space="preserve">Dounreay; sections </w:t>
      </w:r>
      <w:r w:rsidR="003F55E3" w:rsidRPr="00DD1B58">
        <w:rPr>
          <w:lang w:val="en-US"/>
        </w:rPr>
        <w:fldChar w:fldCharType="begin"/>
      </w:r>
      <w:r w:rsidR="003F55E3" w:rsidRPr="00DD1B58">
        <w:rPr>
          <w:lang w:val="en-US"/>
        </w:rPr>
        <w:instrText xml:space="preserve"> REF _Ref145058850 \r \h </w:instrText>
      </w:r>
      <w:r w:rsidR="003F55E3" w:rsidRPr="00DD1B58">
        <w:rPr>
          <w:lang w:val="en-US"/>
        </w:rPr>
      </w:r>
      <w:r w:rsidR="003F55E3" w:rsidRPr="00DD1B58">
        <w:rPr>
          <w:lang w:val="en-US"/>
        </w:rPr>
        <w:fldChar w:fldCharType="separate"/>
      </w:r>
      <w:r w:rsidR="00DF47DA">
        <w:rPr>
          <w:lang w:val="en-US"/>
        </w:rPr>
        <w:t>F-I-3.1.4</w:t>
      </w:r>
      <w:r w:rsidR="003F55E3" w:rsidRPr="00DD1B58">
        <w:rPr>
          <w:lang w:val="en-US"/>
        </w:rPr>
        <w:fldChar w:fldCharType="end"/>
      </w:r>
      <w:r w:rsidRPr="00DD1B58">
        <w:rPr>
          <w:lang w:val="en-US"/>
        </w:rPr>
        <w:t xml:space="preserve">, </w:t>
      </w:r>
      <w:r w:rsidR="003F55E3" w:rsidRPr="00DD1B58">
        <w:rPr>
          <w:lang w:val="en-US"/>
        </w:rPr>
        <w:fldChar w:fldCharType="begin"/>
      </w:r>
      <w:r w:rsidR="003F55E3" w:rsidRPr="00DD1B58">
        <w:rPr>
          <w:lang w:val="en-US"/>
        </w:rPr>
        <w:instrText xml:space="preserve"> REF _Ref145058867 \r \h </w:instrText>
      </w:r>
      <w:r w:rsidR="003F55E3" w:rsidRPr="00DD1B58">
        <w:rPr>
          <w:lang w:val="en-US"/>
        </w:rPr>
      </w:r>
      <w:r w:rsidR="003F55E3" w:rsidRPr="00DD1B58">
        <w:rPr>
          <w:lang w:val="en-US"/>
        </w:rPr>
        <w:fldChar w:fldCharType="separate"/>
      </w:r>
      <w:r w:rsidR="00DF47DA">
        <w:rPr>
          <w:lang w:val="en-US"/>
        </w:rPr>
        <w:t>F-I-3.2.5</w:t>
      </w:r>
      <w:r w:rsidR="003F55E3" w:rsidRPr="00DD1B58">
        <w:rPr>
          <w:lang w:val="en-US"/>
        </w:rPr>
        <w:fldChar w:fldCharType="end"/>
      </w:r>
      <w:r w:rsidRPr="00DD1B58">
        <w:rPr>
          <w:lang w:val="en-US"/>
        </w:rPr>
        <w:t xml:space="preserve"> and </w:t>
      </w:r>
      <w:r w:rsidR="00AB018F" w:rsidRPr="00DD1B58">
        <w:rPr>
          <w:lang w:val="en-US"/>
        </w:rPr>
        <w:fldChar w:fldCharType="begin"/>
      </w:r>
      <w:r w:rsidR="00AB018F" w:rsidRPr="00DD1B58">
        <w:rPr>
          <w:lang w:val="en-US"/>
        </w:rPr>
        <w:instrText xml:space="preserve"> REF _Ref145058886 \r \h </w:instrText>
      </w:r>
      <w:r w:rsidR="00AB018F" w:rsidRPr="00DD1B58">
        <w:rPr>
          <w:lang w:val="en-US"/>
        </w:rPr>
      </w:r>
      <w:r w:rsidR="00AB018F" w:rsidRPr="00DD1B58">
        <w:rPr>
          <w:lang w:val="en-US"/>
        </w:rPr>
        <w:fldChar w:fldCharType="separate"/>
      </w:r>
      <w:r w:rsidR="00DF47DA">
        <w:rPr>
          <w:lang w:val="en-US"/>
        </w:rPr>
        <w:t>F-I-3.3.4</w:t>
      </w:r>
      <w:r w:rsidR="00AB018F" w:rsidRPr="00DD1B58">
        <w:rPr>
          <w:lang w:val="en-US"/>
        </w:rPr>
        <w:fldChar w:fldCharType="end"/>
      </w:r>
      <w:r w:rsidRPr="00DD1B58">
        <w:rPr>
          <w:lang w:val="en-US"/>
        </w:rPr>
        <w:t>.</w:t>
      </w:r>
      <w:r w:rsidR="004A7FDE" w:rsidRPr="00DD1B58">
        <w:rPr>
          <w:lang w:val="en-US"/>
        </w:rPr>
        <w:br w:type="page"/>
      </w:r>
    </w:p>
    <w:p w14:paraId="78962642" w14:textId="60EB9EA2" w:rsidR="00D34C6F" w:rsidRPr="00DD1B58" w:rsidRDefault="00D34C6F" w:rsidP="00177432">
      <w:pPr>
        <w:pStyle w:val="Heading1A"/>
        <w:rPr>
          <w:lang w:val="en-US"/>
        </w:rPr>
      </w:pPr>
      <w:bookmarkStart w:id="193" w:name="_Toc147090660"/>
      <w:r w:rsidRPr="00DD1B58">
        <w:rPr>
          <w:lang w:val="en-US"/>
        </w:rPr>
        <w:t xml:space="preserve">Overall </w:t>
      </w:r>
      <w:r w:rsidR="00CE56AC" w:rsidRPr="00DD1B58">
        <w:rPr>
          <w:lang w:val="en-US"/>
        </w:rPr>
        <w:t>a</w:t>
      </w:r>
      <w:r w:rsidRPr="00DD1B58">
        <w:rPr>
          <w:lang w:val="en-US"/>
        </w:rPr>
        <w:t xml:space="preserve">ssessment and </w:t>
      </w:r>
      <w:r w:rsidR="00CE56AC" w:rsidRPr="00DD1B58">
        <w:rPr>
          <w:lang w:val="en-US"/>
        </w:rPr>
        <w:t>g</w:t>
      </w:r>
      <w:r w:rsidRPr="00DD1B58">
        <w:rPr>
          <w:lang w:val="en-US"/>
        </w:rPr>
        <w:t xml:space="preserve">eneral </w:t>
      </w:r>
      <w:r w:rsidR="00CE56AC" w:rsidRPr="00DD1B58">
        <w:rPr>
          <w:lang w:val="en-US"/>
        </w:rPr>
        <w:t>c</w:t>
      </w:r>
      <w:r w:rsidRPr="00DD1B58">
        <w:rPr>
          <w:lang w:val="en-US"/>
        </w:rPr>
        <w:t>onclusions</w:t>
      </w:r>
      <w:bookmarkEnd w:id="193"/>
      <w:r w:rsidRPr="00DD1B58">
        <w:rPr>
          <w:lang w:val="en-US"/>
        </w:rPr>
        <w:t xml:space="preserve"> </w:t>
      </w:r>
    </w:p>
    <w:p w14:paraId="1FF6408D" w14:textId="17D7272C" w:rsidR="0001105F" w:rsidRPr="00DD1B58" w:rsidRDefault="0001105F" w:rsidP="0001105F">
      <w:pPr>
        <w:spacing w:after="0" w:line="240" w:lineRule="auto"/>
        <w:rPr>
          <w:lang w:val="en-US"/>
        </w:rPr>
      </w:pPr>
      <w:r w:rsidRPr="00DD1B58">
        <w:rPr>
          <w:lang w:val="en-US"/>
        </w:rPr>
        <w:t xml:space="preserve">The scope of this National Assessment Report is 14 installations from six GB licensees, covering a wide range of nuclear installations. It includes the nuclear power reactors owned by EDF Nuclear Generation Limited (EDF NGL), represented by Heysham 2, Hunterston B, Sizewell B and its dry spent fuel store. It also includes the twin reactors currently under construction at Hinkley Point C, owned by EDF Nuclear New Build Generation Company (NNB GenCo), Dounreay’s Prototype Fast Reactor Complex (including the Irradiated Fuel Cave), Urenco UK Ltd.’s Enrichment facilities at Capenhurst works, Springfields Fuels Ltd.’s fuel fabrication, and </w:t>
      </w:r>
      <w:r w:rsidR="00D7676F" w:rsidRPr="00DD1B58">
        <w:rPr>
          <w:lang w:val="en-US"/>
        </w:rPr>
        <w:t>Sellafield Ltd.</w:t>
      </w:r>
      <w:r w:rsidRPr="00DD1B58">
        <w:rPr>
          <w:lang w:val="en-US"/>
        </w:rPr>
        <w:t xml:space="preserve">’s Magnox reprocessing plant. </w:t>
      </w:r>
    </w:p>
    <w:p w14:paraId="45173152" w14:textId="77777777" w:rsidR="0001105F" w:rsidRPr="00DD1B58" w:rsidRDefault="0001105F" w:rsidP="0001105F">
      <w:pPr>
        <w:spacing w:after="0" w:line="240" w:lineRule="auto"/>
        <w:rPr>
          <w:lang w:val="en-US"/>
        </w:rPr>
      </w:pPr>
    </w:p>
    <w:p w14:paraId="25CBF74C" w14:textId="1A86E1E3" w:rsidR="0001105F" w:rsidRPr="00DD1B58" w:rsidRDefault="0001105F" w:rsidP="0001105F">
      <w:pPr>
        <w:spacing w:after="0" w:line="240" w:lineRule="auto"/>
        <w:rPr>
          <w:lang w:val="en-US"/>
        </w:rPr>
      </w:pPr>
      <w:r w:rsidRPr="00DD1B58">
        <w:rPr>
          <w:lang w:val="en-US"/>
        </w:rPr>
        <w:t xml:space="preserve">A selection of </w:t>
      </w:r>
      <w:r w:rsidR="00D7676F" w:rsidRPr="00DD1B58">
        <w:rPr>
          <w:lang w:val="en-US"/>
        </w:rPr>
        <w:t>Sellafield Ltd.</w:t>
      </w:r>
      <w:r w:rsidRPr="00DD1B58">
        <w:rPr>
          <w:lang w:val="en-US"/>
        </w:rPr>
        <w:t xml:space="preserve">’s waste treatment and storage installations, namely: the High Level Waste Plant, Waste Vitrification Plant and Encapsulation Plants, Sellafield Product and Residues Store (SPRS), the Box Encapsulation Plant Product Store - Direct Import Facility (BEPPS-DIF) and Pile 1 are also included. </w:t>
      </w:r>
    </w:p>
    <w:p w14:paraId="1CDAF6A7" w14:textId="77777777" w:rsidR="0001105F" w:rsidRPr="00DD1B58" w:rsidRDefault="0001105F" w:rsidP="0001105F">
      <w:pPr>
        <w:spacing w:after="0" w:line="240" w:lineRule="auto"/>
        <w:rPr>
          <w:lang w:val="en-US"/>
        </w:rPr>
      </w:pPr>
    </w:p>
    <w:p w14:paraId="1735288E" w14:textId="108AA164" w:rsidR="0001105F" w:rsidRPr="00DD1B58" w:rsidRDefault="0001105F" w:rsidP="0001105F">
      <w:pPr>
        <w:spacing w:after="0" w:line="240" w:lineRule="auto"/>
        <w:rPr>
          <w:lang w:val="en-US"/>
        </w:rPr>
      </w:pPr>
      <w:r w:rsidRPr="00DD1B58">
        <w:rPr>
          <w:lang w:val="en-US"/>
        </w:rPr>
        <w:t xml:space="preserve">The overall assessment and general conclusions are presented per installation type and licensee in turn below. Findings and </w:t>
      </w:r>
      <w:r w:rsidR="002120ED" w:rsidRPr="00DD1B58">
        <w:rPr>
          <w:lang w:val="en-US"/>
        </w:rPr>
        <w:t>recommendations</w:t>
      </w:r>
      <w:r w:rsidRPr="00DD1B58">
        <w:rPr>
          <w:lang w:val="en-US"/>
        </w:rPr>
        <w:t xml:space="preserve"> from this review for future follow up are numbered and highlighted in boxes for traceability.</w:t>
      </w:r>
    </w:p>
    <w:p w14:paraId="6D6198CA" w14:textId="77777777" w:rsidR="0001105F" w:rsidRPr="00DD1B58" w:rsidRDefault="0001105F" w:rsidP="0001105F">
      <w:pPr>
        <w:spacing w:after="0" w:line="240" w:lineRule="auto"/>
        <w:rPr>
          <w:lang w:val="en-US"/>
        </w:rPr>
      </w:pPr>
    </w:p>
    <w:p w14:paraId="542F68FB" w14:textId="77777777" w:rsidR="0001105F" w:rsidRPr="00DD1B58" w:rsidRDefault="0001105F" w:rsidP="0001105F">
      <w:pPr>
        <w:rPr>
          <w:b/>
          <w:bCs/>
          <w:lang w:val="en-US"/>
        </w:rPr>
      </w:pPr>
      <w:r w:rsidRPr="00DD1B58">
        <w:rPr>
          <w:b/>
          <w:bCs/>
          <w:lang w:val="en-US"/>
        </w:rPr>
        <w:t xml:space="preserve">Nuclear power reactors owned by EDF NGL: Heysham 2, Hunterston B, and Sizewell B (including its dry spent fuel store) </w:t>
      </w:r>
    </w:p>
    <w:p w14:paraId="39DB38BB" w14:textId="77777777" w:rsidR="0001105F" w:rsidRPr="00DD1B58" w:rsidRDefault="0001105F" w:rsidP="0001105F">
      <w:pPr>
        <w:spacing w:after="0" w:line="240" w:lineRule="auto"/>
        <w:rPr>
          <w:lang w:val="en-US"/>
        </w:rPr>
      </w:pPr>
      <w:r w:rsidRPr="00DD1B58">
        <w:rPr>
          <w:lang w:val="en-US"/>
        </w:rPr>
        <w:t xml:space="preserve">EDF NGL operating reactors were commissioned between 1976 and 1995 and the licensee </w:t>
      </w:r>
    </w:p>
    <w:p w14:paraId="2A1C25B7" w14:textId="77777777" w:rsidR="0001105F" w:rsidRPr="00DD1B58" w:rsidRDefault="0001105F" w:rsidP="0001105F">
      <w:pPr>
        <w:rPr>
          <w:lang w:val="en-US"/>
        </w:rPr>
      </w:pPr>
      <w:r w:rsidRPr="00DD1B58">
        <w:rPr>
          <w:lang w:val="en-US"/>
        </w:rPr>
        <w:t>has long-established processes for fire safety analysis and implementation of the fire protection concept. In the assessment of EDF-NGL’s fire safety analysis, ONR concluded that the licensee has developed and applied processes which implement relevant IAEA guidance and made improvements to fire detection and alarms, fire suppression and compartmentation over the life of the plants.</w:t>
      </w:r>
    </w:p>
    <w:p w14:paraId="14DFB7C6" w14:textId="77777777" w:rsidR="0001105F" w:rsidRPr="00DD1B58" w:rsidRDefault="0001105F" w:rsidP="008A7207">
      <w:pPr>
        <w:pStyle w:val="ListParagraph"/>
        <w:numPr>
          <w:ilvl w:val="0"/>
          <w:numId w:val="20"/>
        </w:numPr>
        <w:pBdr>
          <w:top w:val="single" w:sz="4" w:space="1" w:color="auto"/>
          <w:left w:val="single" w:sz="4" w:space="4" w:color="auto"/>
          <w:bottom w:val="single" w:sz="4" w:space="1" w:color="auto"/>
          <w:right w:val="single" w:sz="4" w:space="4" w:color="auto"/>
        </w:pBdr>
        <w:rPr>
          <w:rFonts w:eastAsia="Arial"/>
          <w:szCs w:val="24"/>
          <w:lang w:val="en-US"/>
        </w:rPr>
      </w:pPr>
      <w:r w:rsidRPr="00DD1B58">
        <w:rPr>
          <w:rFonts w:eastAsia="Arial"/>
          <w:szCs w:val="24"/>
          <w:lang w:val="en-US"/>
        </w:rPr>
        <w:t>ONR’s assessment of EDF NGL’s fire safety analysis has identified one area in which further review would be beneficial and proportionate, the licensee’s consideration of fire hazards in combination with other hazards, to meet expectations in new IAEA guides SSG-77 and SSG</w:t>
      </w:r>
      <w:r w:rsidRPr="00DD1B58">
        <w:rPr>
          <w:rFonts w:ascii="Cambria Math" w:eastAsia="Arial" w:hAnsi="Cambria Math" w:cs="Cambria Math"/>
          <w:szCs w:val="24"/>
          <w:lang w:val="en-US"/>
        </w:rPr>
        <w:t>‑</w:t>
      </w:r>
      <w:r w:rsidRPr="00DD1B58">
        <w:rPr>
          <w:rFonts w:eastAsia="Arial"/>
          <w:szCs w:val="24"/>
          <w:lang w:val="en-US"/>
        </w:rPr>
        <w:t xml:space="preserve">64 that the approach is comprehensive and systematic. </w:t>
      </w:r>
    </w:p>
    <w:p w14:paraId="6599D5AF" w14:textId="59A936A5" w:rsidR="0001105F" w:rsidRPr="00DD1B58" w:rsidRDefault="0001105F" w:rsidP="0001105F">
      <w:pPr>
        <w:pBdr>
          <w:top w:val="single" w:sz="4" w:space="1" w:color="auto"/>
          <w:left w:val="single" w:sz="4" w:space="4" w:color="auto"/>
          <w:bottom w:val="single" w:sz="4" w:space="1" w:color="auto"/>
          <w:right w:val="single" w:sz="4" w:space="4" w:color="auto"/>
        </w:pBdr>
        <w:ind w:left="360"/>
        <w:rPr>
          <w:rFonts w:eastAsia="Arial"/>
          <w:szCs w:val="24"/>
          <w:lang w:val="en-US"/>
        </w:rPr>
      </w:pPr>
      <w:r w:rsidRPr="00DD1B58">
        <w:rPr>
          <w:rFonts w:eastAsia="Arial"/>
          <w:szCs w:val="24"/>
          <w:lang w:val="en-US"/>
        </w:rPr>
        <w:t>ONR will assess the adequacy of ED</w:t>
      </w:r>
      <w:r w:rsidR="00456F7A" w:rsidRPr="00DD1B58">
        <w:rPr>
          <w:rFonts w:eastAsia="Arial"/>
          <w:szCs w:val="24"/>
          <w:lang w:val="en-US"/>
        </w:rPr>
        <w:t>F</w:t>
      </w:r>
      <w:r w:rsidRPr="00DD1B58">
        <w:rPr>
          <w:rFonts w:eastAsia="Arial"/>
          <w:szCs w:val="24"/>
          <w:lang w:val="en-US"/>
        </w:rPr>
        <w:t xml:space="preserve"> NGL’s combined hazards</w:t>
      </w:r>
      <w:r w:rsidR="00346557" w:rsidRPr="00DD1B58">
        <w:rPr>
          <w:rFonts w:eastAsia="Arial"/>
          <w:szCs w:val="24"/>
          <w:lang w:val="en-US"/>
        </w:rPr>
        <w:t xml:space="preserve"> methodologies and</w:t>
      </w:r>
      <w:r w:rsidRPr="00DD1B58">
        <w:rPr>
          <w:rFonts w:eastAsia="Arial"/>
          <w:szCs w:val="24"/>
          <w:lang w:val="en-US"/>
        </w:rPr>
        <w:t xml:space="preserve"> assessments in SZB’s PSR3 and HY2’s Justification for Continued Operations (JCO) </w:t>
      </w:r>
      <w:r w:rsidR="00AD2F27" w:rsidRPr="00DD1B58">
        <w:rPr>
          <w:rFonts w:eastAsia="Arial"/>
          <w:szCs w:val="24"/>
          <w:lang w:val="en-US"/>
        </w:rPr>
        <w:t xml:space="preserve">relating to a turbine disintegration event </w:t>
      </w:r>
      <w:r w:rsidR="0061727D" w:rsidRPr="00DD1B58">
        <w:rPr>
          <w:rFonts w:eastAsia="Arial"/>
          <w:szCs w:val="24"/>
          <w:lang w:val="en-US"/>
        </w:rPr>
        <w:t>due in 2024.</w:t>
      </w:r>
    </w:p>
    <w:p w14:paraId="0A23C16C" w14:textId="77777777" w:rsidR="0001105F" w:rsidRPr="00DD1B58" w:rsidRDefault="0001105F" w:rsidP="0001105F">
      <w:pPr>
        <w:rPr>
          <w:lang w:val="en-US"/>
        </w:rPr>
      </w:pPr>
      <w:r w:rsidRPr="00DD1B58">
        <w:rPr>
          <w:lang w:val="en-US"/>
        </w:rPr>
        <w:t>The nature of the recommendation and licensees ongoing assessment does not indicate that there is a generic issue with EDF NGL’s fire safety analysis or the consideration of hazard combinations. The identification of further hazard combinations through the licensee’s PSRs process indicates that its processes are identifying opportunities for improvement across its installations and, therefore, ONR does not consider that a broader review of the EDF NGL fleet over and above the reviews undertaken in this exercise and the PSRs would be warranted.</w:t>
      </w:r>
    </w:p>
    <w:p w14:paraId="654C55D6" w14:textId="77777777" w:rsidR="00401163" w:rsidRPr="00DD1B58" w:rsidRDefault="00401163" w:rsidP="00401163">
      <w:pPr>
        <w:rPr>
          <w:rFonts w:eastAsia="Arial"/>
          <w:szCs w:val="24"/>
          <w:lang w:val="en-US"/>
        </w:rPr>
      </w:pPr>
      <w:r w:rsidRPr="00DD1B58">
        <w:rPr>
          <w:rFonts w:eastAsia="Arial"/>
          <w:szCs w:val="24"/>
          <w:lang w:val="en-US"/>
        </w:rPr>
        <w:t xml:space="preserve">ONR’s assessment of the licensee’s implementation of the fire protection concept concluded that fire prevention, active fire protection and passive fire protection provisions have been implemented adequately and upgraded over the life of the plant to meet IAEA guidance expectations, subject to reasonable practicability. No issues of concern for nuclear safety were found, and life fire safety inspections indicate transferable learning on matters of life and asset protection. </w:t>
      </w:r>
    </w:p>
    <w:p w14:paraId="18C002DC" w14:textId="77777777" w:rsidR="0001105F" w:rsidRPr="00DD1B58" w:rsidRDefault="0001105F" w:rsidP="0001105F">
      <w:pPr>
        <w:spacing w:after="0" w:line="240" w:lineRule="auto"/>
        <w:rPr>
          <w:b/>
          <w:bCs/>
          <w:lang w:val="en-US"/>
        </w:rPr>
      </w:pPr>
      <w:r w:rsidRPr="00DD1B58">
        <w:rPr>
          <w:b/>
          <w:bCs/>
          <w:lang w:val="en-US"/>
        </w:rPr>
        <w:t>NNB GenCo’s twin reactors under construction at HPC</w:t>
      </w:r>
    </w:p>
    <w:p w14:paraId="193A755C" w14:textId="77777777" w:rsidR="0001105F" w:rsidRPr="00DD1B58" w:rsidRDefault="0001105F" w:rsidP="0001105F">
      <w:pPr>
        <w:spacing w:after="0" w:line="240" w:lineRule="auto"/>
        <w:rPr>
          <w:lang w:val="en-US"/>
        </w:rPr>
      </w:pPr>
    </w:p>
    <w:p w14:paraId="72B5102D" w14:textId="77777777" w:rsidR="0001105F" w:rsidRPr="00DD1B58" w:rsidRDefault="0001105F" w:rsidP="0001105F">
      <w:pPr>
        <w:spacing w:after="0" w:line="240" w:lineRule="auto"/>
        <w:rPr>
          <w:lang w:val="en-US"/>
        </w:rPr>
      </w:pPr>
      <w:r w:rsidRPr="00DD1B58">
        <w:rPr>
          <w:lang w:val="en-US"/>
        </w:rPr>
        <w:t xml:space="preserve">For NNB GenCo, ONR is content that the licensee has shown that it is developing and implementing nuclear fire hazard analysis in close alignment with national and international standards and guides such as IAEA SSG-64. </w:t>
      </w:r>
    </w:p>
    <w:p w14:paraId="273A92AC" w14:textId="77777777" w:rsidR="0001105F" w:rsidRPr="00DD1B58" w:rsidRDefault="0001105F" w:rsidP="0001105F">
      <w:pPr>
        <w:spacing w:after="0" w:line="240" w:lineRule="auto"/>
        <w:rPr>
          <w:lang w:val="en-US"/>
        </w:rPr>
      </w:pPr>
    </w:p>
    <w:p w14:paraId="0D19A1EF" w14:textId="77777777" w:rsidR="0001105F" w:rsidRPr="00DD1B58" w:rsidRDefault="0001105F" w:rsidP="008A7207">
      <w:pPr>
        <w:pStyle w:val="ListParagraph"/>
        <w:numPr>
          <w:ilvl w:val="0"/>
          <w:numId w:val="20"/>
        </w:numPr>
        <w:pBdr>
          <w:top w:val="single" w:sz="4" w:space="1" w:color="auto"/>
          <w:left w:val="single" w:sz="4" w:space="4" w:color="auto"/>
          <w:bottom w:val="single" w:sz="4" w:space="1" w:color="auto"/>
          <w:right w:val="single" w:sz="4" w:space="4" w:color="auto"/>
        </w:pBdr>
        <w:rPr>
          <w:lang w:val="en-US"/>
        </w:rPr>
      </w:pPr>
      <w:r w:rsidRPr="00DD1B58">
        <w:rPr>
          <w:rFonts w:eastAsia="Arial"/>
          <w:szCs w:val="24"/>
          <w:lang w:val="en-US"/>
        </w:rPr>
        <w:t xml:space="preserve">ONR’s assessment of NNB GenCo’s fire safety analysis has identified one area in which further review would be beneficial and proportionate; the effects of combined hazards on the selection, design and performance expectations for active fire protective systems, on the capacity for firefighting and on how the firefighting system may contribute to combined hazards. </w:t>
      </w:r>
    </w:p>
    <w:p w14:paraId="2B66124F" w14:textId="0159A08B" w:rsidR="0001105F" w:rsidRPr="00DD1B58" w:rsidRDefault="0001105F" w:rsidP="0001105F">
      <w:pPr>
        <w:pBdr>
          <w:top w:val="single" w:sz="4" w:space="1" w:color="auto"/>
          <w:left w:val="single" w:sz="4" w:space="4" w:color="auto"/>
          <w:bottom w:val="single" w:sz="4" w:space="1" w:color="auto"/>
          <w:right w:val="single" w:sz="4" w:space="4" w:color="auto"/>
        </w:pBdr>
        <w:ind w:left="360"/>
        <w:rPr>
          <w:lang w:val="en-US"/>
        </w:rPr>
      </w:pPr>
      <w:r w:rsidRPr="00DD1B58">
        <w:rPr>
          <w:rFonts w:eastAsia="Arial"/>
          <w:szCs w:val="24"/>
          <w:lang w:val="en-US"/>
        </w:rPr>
        <w:t>ONR is following the gap to resolution through regulatory engagement with NNB GenCo, and will be subject to ONR’s permissioning assessment prior to release of Hold Point for SSCD#3 – the safety case for bringing fuel to the HPC site</w:t>
      </w:r>
      <w:r w:rsidR="000803B9" w:rsidRPr="00DD1B58">
        <w:rPr>
          <w:rFonts w:eastAsia="Arial"/>
          <w:szCs w:val="24"/>
          <w:lang w:val="en-US"/>
        </w:rPr>
        <w:t>.</w:t>
      </w:r>
    </w:p>
    <w:p w14:paraId="05D93B4B" w14:textId="00F29D33" w:rsidR="0001105F" w:rsidRPr="00DD1B58" w:rsidRDefault="0001105F" w:rsidP="0001105F">
      <w:pPr>
        <w:spacing w:after="0" w:line="240" w:lineRule="auto"/>
        <w:rPr>
          <w:rFonts w:eastAsia="Arial"/>
          <w:noProof/>
          <w:szCs w:val="24"/>
          <w:lang w:val="en-US"/>
        </w:rPr>
      </w:pPr>
      <w:r w:rsidRPr="00DD1B58">
        <w:rPr>
          <w:lang w:val="en-US"/>
        </w:rPr>
        <w:t xml:space="preserve">NNB GenCo’s identifies fire load accounting and management as an area of focus for future operational procedures. </w:t>
      </w:r>
      <w:r w:rsidRPr="00DD1B58">
        <w:rPr>
          <w:rFonts w:eastAsia="Arial"/>
          <w:noProof/>
          <w:szCs w:val="24"/>
          <w:lang w:val="en-US"/>
        </w:rPr>
        <w:t xml:space="preserve">The licensee’s proposed provision of a fire and rescue service on the HPC site is also subject to futher development commensurate with the stage of the build.  No significant issues have been identified relating to the planned passive fire protection provision of the EPR design. </w:t>
      </w:r>
    </w:p>
    <w:p w14:paraId="79C45082" w14:textId="77777777" w:rsidR="0001105F" w:rsidRPr="00DD1B58" w:rsidRDefault="0001105F" w:rsidP="0001105F">
      <w:pPr>
        <w:spacing w:after="0" w:line="240" w:lineRule="auto"/>
        <w:rPr>
          <w:rFonts w:eastAsia="Arial"/>
          <w:noProof/>
          <w:szCs w:val="24"/>
          <w:lang w:val="en-US"/>
        </w:rPr>
      </w:pPr>
    </w:p>
    <w:p w14:paraId="7B518821" w14:textId="09EBD884" w:rsidR="0001105F" w:rsidRPr="00DD1B58" w:rsidRDefault="0001105F" w:rsidP="0001105F">
      <w:pPr>
        <w:spacing w:after="0" w:line="240" w:lineRule="auto"/>
        <w:rPr>
          <w:rFonts w:eastAsia="Arial"/>
          <w:noProof/>
          <w:szCs w:val="24"/>
          <w:lang w:val="en-US"/>
        </w:rPr>
      </w:pPr>
      <w:r w:rsidRPr="00DD1B58">
        <w:rPr>
          <w:rFonts w:eastAsia="Arial"/>
          <w:noProof/>
          <w:szCs w:val="24"/>
          <w:lang w:val="en-US"/>
        </w:rPr>
        <w:t xml:space="preserve">While Fire Safety inspections of the HPC construction site are not per se representative of the future operation of the site from a nuclear safety perspective, ONR has raised regulatory issues to ensure adequate management of combustibles and ignition sources,  emergency lighting, fire points and exit signage. ONR considers the integrated regulation of fire safety for life protection </w:t>
      </w:r>
      <w:r w:rsidR="00983026" w:rsidRPr="00DD1B58">
        <w:rPr>
          <w:rFonts w:eastAsia="Arial"/>
          <w:noProof/>
          <w:szCs w:val="24"/>
          <w:lang w:val="en-US"/>
        </w:rPr>
        <w:t xml:space="preserve">with </w:t>
      </w:r>
      <w:r w:rsidRPr="00DD1B58">
        <w:rPr>
          <w:rFonts w:eastAsia="Arial"/>
          <w:noProof/>
          <w:szCs w:val="24"/>
          <w:lang w:val="en-US"/>
        </w:rPr>
        <w:t>nuclear safety as a strength of the regulatory regime, reinforcing a culture for fire safety from the early stages of new build.</w:t>
      </w:r>
      <w:r w:rsidRPr="00DD1B58">
        <w:rPr>
          <w:rFonts w:eastAsia="Arial"/>
          <w:szCs w:val="24"/>
          <w:lang w:val="en-US"/>
        </w:rPr>
        <w:t xml:space="preserve"> </w:t>
      </w:r>
    </w:p>
    <w:p w14:paraId="01E05267" w14:textId="77777777" w:rsidR="0001105F" w:rsidRPr="00DD1B58" w:rsidRDefault="0001105F" w:rsidP="0001105F">
      <w:pPr>
        <w:spacing w:after="0" w:line="240" w:lineRule="auto"/>
        <w:rPr>
          <w:lang w:val="en-US"/>
        </w:rPr>
      </w:pPr>
    </w:p>
    <w:p w14:paraId="15C5E900" w14:textId="34214EF3" w:rsidR="0001105F" w:rsidRPr="00DD1B58" w:rsidRDefault="0001105F" w:rsidP="0001105F">
      <w:pPr>
        <w:spacing w:after="0" w:line="240" w:lineRule="auto"/>
        <w:rPr>
          <w:b/>
          <w:bCs/>
          <w:lang w:val="en-US"/>
        </w:rPr>
      </w:pPr>
      <w:r w:rsidRPr="00DD1B58">
        <w:rPr>
          <w:b/>
          <w:bCs/>
          <w:lang w:val="en-US"/>
        </w:rPr>
        <w:t xml:space="preserve">Urenco UK Limited </w:t>
      </w:r>
      <w:r w:rsidR="00105CA6" w:rsidRPr="00DD1B58">
        <w:rPr>
          <w:b/>
          <w:bCs/>
          <w:lang w:val="en-US"/>
        </w:rPr>
        <w:t>e</w:t>
      </w:r>
      <w:r w:rsidRPr="00DD1B58">
        <w:rPr>
          <w:b/>
          <w:bCs/>
          <w:lang w:val="en-US"/>
        </w:rPr>
        <w:t xml:space="preserve">nrichment </w:t>
      </w:r>
      <w:r w:rsidR="00105CA6" w:rsidRPr="00DD1B58">
        <w:rPr>
          <w:b/>
          <w:bCs/>
          <w:lang w:val="en-US"/>
        </w:rPr>
        <w:t>f</w:t>
      </w:r>
      <w:r w:rsidRPr="00DD1B58">
        <w:rPr>
          <w:b/>
          <w:bCs/>
          <w:lang w:val="en-US"/>
        </w:rPr>
        <w:t>acilities</w:t>
      </w:r>
    </w:p>
    <w:p w14:paraId="64886597" w14:textId="0A4DE0C9" w:rsidR="0001105F" w:rsidRPr="00DD1B58" w:rsidRDefault="0001105F" w:rsidP="0001105F">
      <w:pPr>
        <w:spacing w:after="0" w:line="240" w:lineRule="auto"/>
        <w:rPr>
          <w:szCs w:val="24"/>
          <w:lang w:val="en-US" w:eastAsia="en-GB" w:bidi="ar-SA"/>
        </w:rPr>
      </w:pPr>
    </w:p>
    <w:p w14:paraId="290249B7" w14:textId="090C2958" w:rsidR="00637235" w:rsidRPr="00DD1B58" w:rsidRDefault="00CA6149" w:rsidP="001430E9">
      <w:pPr>
        <w:spacing w:after="0" w:line="240" w:lineRule="auto"/>
        <w:rPr>
          <w:szCs w:val="24"/>
          <w:lang w:val="en-US" w:eastAsia="en-GB" w:bidi="ar-SA"/>
        </w:rPr>
      </w:pPr>
      <w:r w:rsidRPr="00DD1B58">
        <w:rPr>
          <w:szCs w:val="24"/>
          <w:lang w:val="en-US" w:eastAsia="en-GB" w:bidi="ar-SA"/>
        </w:rPr>
        <w:t xml:space="preserve">Based on this review, </w:t>
      </w:r>
      <w:r w:rsidR="007C156E" w:rsidRPr="00DD1B58">
        <w:rPr>
          <w:szCs w:val="24"/>
          <w:lang w:val="en-US" w:eastAsia="en-GB" w:bidi="ar-SA"/>
        </w:rPr>
        <w:t>ONR</w:t>
      </w:r>
      <w:r w:rsidR="00EE0783" w:rsidRPr="00DD1B58">
        <w:rPr>
          <w:szCs w:val="24"/>
          <w:lang w:val="en-US" w:eastAsia="en-GB" w:bidi="ar-SA"/>
        </w:rPr>
        <w:t xml:space="preserve"> has</w:t>
      </w:r>
      <w:r w:rsidR="007C156E" w:rsidRPr="00DD1B58">
        <w:rPr>
          <w:szCs w:val="24"/>
          <w:lang w:val="en-US" w:eastAsia="en-GB" w:bidi="ar-SA"/>
        </w:rPr>
        <w:t xml:space="preserve"> judge</w:t>
      </w:r>
      <w:r w:rsidRPr="00DD1B58">
        <w:rPr>
          <w:szCs w:val="24"/>
          <w:lang w:val="en-US" w:eastAsia="en-GB" w:bidi="ar-SA"/>
        </w:rPr>
        <w:t xml:space="preserve">d that UUK </w:t>
      </w:r>
      <w:r w:rsidR="00EE0783" w:rsidRPr="00DD1B58">
        <w:rPr>
          <w:szCs w:val="24"/>
          <w:lang w:val="en-US" w:eastAsia="en-GB" w:bidi="ar-SA"/>
        </w:rPr>
        <w:t>has a</w:t>
      </w:r>
      <w:r w:rsidR="00196C67" w:rsidRPr="00DD1B58">
        <w:rPr>
          <w:lang w:val="en-US"/>
        </w:rPr>
        <w:t xml:space="preserve"> fire safety</w:t>
      </w:r>
      <w:r w:rsidR="007C156E" w:rsidRPr="00DD1B58">
        <w:rPr>
          <w:lang w:val="en-US"/>
        </w:rPr>
        <w:t xml:space="preserve"> programme</w:t>
      </w:r>
      <w:r w:rsidRPr="00DD1B58">
        <w:rPr>
          <w:lang w:val="en-US"/>
        </w:rPr>
        <w:t xml:space="preserve"> </w:t>
      </w:r>
      <w:r w:rsidR="00BE7657" w:rsidRPr="00DD1B58">
        <w:rPr>
          <w:lang w:val="en-US"/>
        </w:rPr>
        <w:t>commensurate with its radiological risks</w:t>
      </w:r>
      <w:r w:rsidR="00492789" w:rsidRPr="00DD1B58">
        <w:rPr>
          <w:lang w:val="en-US"/>
        </w:rPr>
        <w:t xml:space="preserve"> from fire,</w:t>
      </w:r>
      <w:r w:rsidR="007C156E" w:rsidRPr="00DD1B58">
        <w:rPr>
          <w:lang w:val="en-US"/>
        </w:rPr>
        <w:t xml:space="preserve"> noting that </w:t>
      </w:r>
      <w:r w:rsidR="00212B67" w:rsidRPr="00DD1B58">
        <w:rPr>
          <w:lang w:val="en-US"/>
        </w:rPr>
        <w:t>the</w:t>
      </w:r>
      <w:r w:rsidR="00196C67" w:rsidRPr="00DD1B58">
        <w:rPr>
          <w:lang w:val="en-US"/>
        </w:rPr>
        <w:t xml:space="preserve"> dominant fire hazard</w:t>
      </w:r>
      <w:r w:rsidR="00BE7657" w:rsidRPr="00DD1B58">
        <w:rPr>
          <w:lang w:val="en-US"/>
        </w:rPr>
        <w:t xml:space="preserve"> is</w:t>
      </w:r>
      <w:r w:rsidR="00196C67" w:rsidRPr="00DD1B58">
        <w:rPr>
          <w:lang w:val="en-US"/>
        </w:rPr>
        <w:t xml:space="preserve"> </w:t>
      </w:r>
      <w:r w:rsidR="004F3966" w:rsidRPr="00DD1B58">
        <w:rPr>
          <w:lang w:val="en-US"/>
        </w:rPr>
        <w:t>to building structures</w:t>
      </w:r>
      <w:r w:rsidR="00BE7657" w:rsidRPr="00DD1B58">
        <w:rPr>
          <w:lang w:val="en-US"/>
        </w:rPr>
        <w:t xml:space="preserve">. </w:t>
      </w:r>
      <w:r w:rsidR="00EE0783" w:rsidRPr="00DD1B58">
        <w:rPr>
          <w:lang w:val="en-US"/>
        </w:rPr>
        <w:t>U</w:t>
      </w:r>
      <w:r w:rsidR="001430E9" w:rsidRPr="00DD1B58">
        <w:rPr>
          <w:szCs w:val="24"/>
          <w:lang w:val="en-US" w:eastAsia="en-GB" w:bidi="ar-SA"/>
        </w:rPr>
        <w:t>UK</w:t>
      </w:r>
      <w:r w:rsidR="00EE0783" w:rsidRPr="00DD1B58">
        <w:rPr>
          <w:szCs w:val="24"/>
          <w:lang w:val="en-US" w:eastAsia="en-GB" w:bidi="ar-SA"/>
        </w:rPr>
        <w:t xml:space="preserve"> has</w:t>
      </w:r>
      <w:r w:rsidR="001430E9" w:rsidRPr="00DD1B58">
        <w:rPr>
          <w:szCs w:val="24"/>
          <w:lang w:val="en-US" w:eastAsia="en-GB" w:bidi="ar-SA"/>
        </w:rPr>
        <w:t xml:space="preserve"> recognised a need to update its safety case arrangements and guidance for consideration of nuclear fire safety in light of </w:t>
      </w:r>
      <w:r w:rsidR="003A47A2" w:rsidRPr="00DD1B58">
        <w:rPr>
          <w:szCs w:val="24"/>
          <w:lang w:val="en-US" w:eastAsia="en-GB" w:bidi="ar-SA"/>
        </w:rPr>
        <w:t xml:space="preserve">new </w:t>
      </w:r>
      <w:r w:rsidR="001430E9" w:rsidRPr="00DD1B58">
        <w:rPr>
          <w:szCs w:val="24"/>
          <w:lang w:val="en-US" w:eastAsia="en-GB" w:bidi="ar-SA"/>
        </w:rPr>
        <w:t xml:space="preserve">IAEA </w:t>
      </w:r>
      <w:r w:rsidR="003A47A2" w:rsidRPr="00DD1B58">
        <w:rPr>
          <w:szCs w:val="24"/>
          <w:lang w:val="en-US" w:eastAsia="en-GB" w:bidi="ar-SA"/>
        </w:rPr>
        <w:t xml:space="preserve">guides </w:t>
      </w:r>
      <w:r w:rsidR="001430E9" w:rsidRPr="00DD1B58">
        <w:rPr>
          <w:szCs w:val="24"/>
          <w:lang w:val="en-US" w:eastAsia="en-GB" w:bidi="ar-SA"/>
        </w:rPr>
        <w:t xml:space="preserve">e.g. SSG-64 in so far they are transferable to fuel cycle facilities, applying a graded approach. </w:t>
      </w:r>
    </w:p>
    <w:p w14:paraId="53D5D219" w14:textId="77777777" w:rsidR="000D4BA0" w:rsidRPr="00DD1B58" w:rsidRDefault="001430E9" w:rsidP="001430E9">
      <w:pPr>
        <w:spacing w:after="0" w:line="240" w:lineRule="auto"/>
        <w:rPr>
          <w:lang w:val="en-US"/>
        </w:rPr>
      </w:pPr>
      <w:r w:rsidRPr="00DD1B58">
        <w:rPr>
          <w:szCs w:val="24"/>
          <w:lang w:val="en-US" w:eastAsia="en-GB" w:bidi="ar-SA"/>
        </w:rPr>
        <w:t>Through this review and ONR inspections</w:t>
      </w:r>
      <w:r w:rsidR="00637235" w:rsidRPr="00DD1B58">
        <w:rPr>
          <w:szCs w:val="24"/>
          <w:lang w:val="en-US" w:eastAsia="en-GB" w:bidi="ar-SA"/>
        </w:rPr>
        <w:t xml:space="preserve">, </w:t>
      </w:r>
      <w:r w:rsidRPr="00DD1B58">
        <w:rPr>
          <w:szCs w:val="24"/>
          <w:lang w:val="en-US" w:eastAsia="en-GB" w:bidi="ar-SA"/>
        </w:rPr>
        <w:t>UUK</w:t>
      </w:r>
      <w:r w:rsidR="00A37449" w:rsidRPr="00DD1B58">
        <w:rPr>
          <w:szCs w:val="24"/>
          <w:lang w:val="en-US" w:eastAsia="en-GB" w:bidi="ar-SA"/>
        </w:rPr>
        <w:t xml:space="preserve"> also</w:t>
      </w:r>
      <w:r w:rsidRPr="00DD1B58">
        <w:rPr>
          <w:szCs w:val="24"/>
          <w:lang w:val="en-US" w:eastAsia="en-GB" w:bidi="ar-SA"/>
        </w:rPr>
        <w:t xml:space="preserve"> recognised an opportunity to make secondary improvements to document fire safety action follow up, closure and link</w:t>
      </w:r>
      <w:r w:rsidR="0036568E" w:rsidRPr="00DD1B58">
        <w:rPr>
          <w:szCs w:val="24"/>
          <w:lang w:val="en-US" w:eastAsia="en-GB" w:bidi="ar-SA"/>
        </w:rPr>
        <w:t>age</w:t>
      </w:r>
      <w:r w:rsidRPr="00DD1B58">
        <w:rPr>
          <w:szCs w:val="24"/>
          <w:lang w:val="en-US" w:eastAsia="en-GB" w:bidi="ar-SA"/>
        </w:rPr>
        <w:t xml:space="preserve"> with safety cases. </w:t>
      </w:r>
      <w:r w:rsidRPr="00DD1B58">
        <w:rPr>
          <w:lang w:val="en-US"/>
        </w:rPr>
        <w:t xml:space="preserve">ONR </w:t>
      </w:r>
      <w:r w:rsidR="0036568E" w:rsidRPr="00DD1B58">
        <w:rPr>
          <w:lang w:val="en-US"/>
        </w:rPr>
        <w:t>therefore</w:t>
      </w:r>
      <w:r w:rsidRPr="00DD1B58">
        <w:rPr>
          <w:lang w:val="en-US"/>
        </w:rPr>
        <w:t xml:space="preserve"> raise</w:t>
      </w:r>
      <w:r w:rsidR="0036568E" w:rsidRPr="00DD1B58">
        <w:rPr>
          <w:lang w:val="en-US"/>
        </w:rPr>
        <w:t>s</w:t>
      </w:r>
      <w:r w:rsidRPr="00DD1B58">
        <w:rPr>
          <w:lang w:val="en-US"/>
        </w:rPr>
        <w:t xml:space="preserve"> a recommendation </w:t>
      </w:r>
      <w:r w:rsidR="0036568E" w:rsidRPr="00DD1B58">
        <w:rPr>
          <w:lang w:val="en-US"/>
        </w:rPr>
        <w:t>as follows:</w:t>
      </w:r>
      <w:r w:rsidR="000D4BA0" w:rsidRPr="00DD1B58">
        <w:rPr>
          <w:lang w:val="en-US"/>
        </w:rPr>
        <w:t xml:space="preserve"> </w:t>
      </w:r>
    </w:p>
    <w:p w14:paraId="7F8B9F4B" w14:textId="77777777" w:rsidR="000D4BA0" w:rsidRPr="00DD1B58" w:rsidRDefault="000D4BA0" w:rsidP="001430E9">
      <w:pPr>
        <w:spacing w:after="0" w:line="240" w:lineRule="auto"/>
        <w:rPr>
          <w:lang w:val="en-US"/>
        </w:rPr>
      </w:pPr>
    </w:p>
    <w:p w14:paraId="49A87CC3" w14:textId="3AC51BBF" w:rsidR="0036568E" w:rsidRPr="00DD1B58" w:rsidRDefault="000D4BA0" w:rsidP="008A7207">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rPr>
          <w:lang w:val="en-US"/>
        </w:rPr>
      </w:pPr>
      <w:r w:rsidRPr="00DD1B58">
        <w:rPr>
          <w:lang w:val="en-US"/>
        </w:rPr>
        <w:t>UUK reviews and makes any necessary improvements to its safety case arrangements and guidance in relation to the consideration of fire</w:t>
      </w:r>
      <w:r w:rsidR="0071269F" w:rsidRPr="00DD1B58">
        <w:rPr>
          <w:lang w:val="en-US"/>
        </w:rPr>
        <w:t xml:space="preserve"> </w:t>
      </w:r>
      <w:r w:rsidRPr="00DD1B58">
        <w:rPr>
          <w:lang w:val="en-US"/>
        </w:rPr>
        <w:t>in light of new IAEA guides e.g. SSG-64 in so far they are transferable to fuel cycle facilities, applying a graded approach.</w:t>
      </w:r>
      <w:r w:rsidR="00F47E27" w:rsidRPr="00DD1B58">
        <w:rPr>
          <w:lang w:val="en-US"/>
        </w:rPr>
        <w:t xml:space="preserve"> </w:t>
      </w:r>
      <w:r w:rsidR="009A1719" w:rsidRPr="00DD1B58">
        <w:rPr>
          <w:lang w:val="en-US"/>
        </w:rPr>
        <w:t xml:space="preserve">Closure date </w:t>
      </w:r>
      <w:r w:rsidR="00116F33" w:rsidRPr="00DD1B58">
        <w:rPr>
          <w:lang w:val="en-US"/>
        </w:rPr>
        <w:t>– March 2025.</w:t>
      </w:r>
    </w:p>
    <w:p w14:paraId="2639B41F" w14:textId="77777777" w:rsidR="0036568E" w:rsidRPr="00DD1B58" w:rsidRDefault="0036568E" w:rsidP="001430E9">
      <w:pPr>
        <w:spacing w:after="0" w:line="240" w:lineRule="auto"/>
        <w:rPr>
          <w:lang w:val="en-US"/>
        </w:rPr>
      </w:pPr>
    </w:p>
    <w:p w14:paraId="6D926B1C" w14:textId="1B60CF8F" w:rsidR="000A3BD9" w:rsidRPr="00DD1B58" w:rsidRDefault="000A3BD9" w:rsidP="0097014B">
      <w:pPr>
        <w:spacing w:after="0" w:line="240" w:lineRule="auto"/>
        <w:rPr>
          <w:lang w:val="en-US"/>
        </w:rPr>
      </w:pPr>
      <w:bookmarkStart w:id="194" w:name="_Hlk148611545"/>
      <w:r w:rsidRPr="00DD1B58">
        <w:rPr>
          <w:lang w:val="en-US"/>
        </w:rPr>
        <w:t>A combined nuclear fire safety and life fire safety inspection is planned at the Capenhurst site for early 2024 which will examine the linkage between the nuclear fire safety case and implementation of fire safety measures</w:t>
      </w:r>
      <w:r w:rsidR="005819B5" w:rsidRPr="00DD1B58">
        <w:rPr>
          <w:lang w:val="en-US"/>
        </w:rPr>
        <w:t>, in line with RGP</w:t>
      </w:r>
      <w:r w:rsidRPr="00DD1B58">
        <w:rPr>
          <w:lang w:val="en-US"/>
        </w:rPr>
        <w:t>, including any identified hazard combinations. Any outstanding actions required to address TPR2 findings will be tracked through regulatory issues.</w:t>
      </w:r>
    </w:p>
    <w:bookmarkEnd w:id="194"/>
    <w:p w14:paraId="107DC7AF" w14:textId="77777777" w:rsidR="000A3BD9" w:rsidRPr="00DD1B58" w:rsidRDefault="000A3BD9" w:rsidP="0097014B">
      <w:pPr>
        <w:spacing w:after="0" w:line="240" w:lineRule="auto"/>
        <w:rPr>
          <w:lang w:val="en-US"/>
        </w:rPr>
      </w:pPr>
    </w:p>
    <w:p w14:paraId="445D3A16" w14:textId="0939FBCE" w:rsidR="006E546D" w:rsidRPr="00DD1B58" w:rsidRDefault="007211CE" w:rsidP="0097014B">
      <w:pPr>
        <w:spacing w:after="0" w:line="240" w:lineRule="auto"/>
        <w:rPr>
          <w:lang w:val="en-US"/>
        </w:rPr>
      </w:pPr>
      <w:r w:rsidRPr="00DD1B58">
        <w:rPr>
          <w:lang w:val="en-US"/>
        </w:rPr>
        <w:t xml:space="preserve">ONR’s assessment of the licensee’s implementation of the fire protection </w:t>
      </w:r>
      <w:r w:rsidR="009A1719" w:rsidRPr="00DD1B58">
        <w:rPr>
          <w:lang w:val="en-US"/>
        </w:rPr>
        <w:t xml:space="preserve">concept judged that </w:t>
      </w:r>
      <w:r w:rsidRPr="00DD1B58">
        <w:rPr>
          <w:lang w:val="en-US"/>
        </w:rPr>
        <w:t>fire prevention</w:t>
      </w:r>
      <w:r w:rsidR="009A1719" w:rsidRPr="00DD1B58">
        <w:rPr>
          <w:lang w:val="en-US"/>
        </w:rPr>
        <w:t xml:space="preserve"> and</w:t>
      </w:r>
      <w:r w:rsidRPr="00DD1B58">
        <w:rPr>
          <w:lang w:val="en-US"/>
        </w:rPr>
        <w:t xml:space="preserve"> passive fire protection provisions </w:t>
      </w:r>
      <w:r w:rsidR="00AD54D1" w:rsidRPr="00DD1B58">
        <w:rPr>
          <w:lang w:val="en-US"/>
        </w:rPr>
        <w:t xml:space="preserve">are </w:t>
      </w:r>
      <w:r w:rsidR="000E259D" w:rsidRPr="00DD1B58">
        <w:rPr>
          <w:lang w:val="en-US"/>
        </w:rPr>
        <w:t xml:space="preserve">adequate and </w:t>
      </w:r>
      <w:r w:rsidR="00B00166" w:rsidRPr="00DD1B58">
        <w:rPr>
          <w:lang w:val="en-US"/>
        </w:rPr>
        <w:t xml:space="preserve">fire detection and alarm system obsolescence is </w:t>
      </w:r>
      <w:r w:rsidR="007B43D5" w:rsidRPr="00DD1B58">
        <w:rPr>
          <w:lang w:val="en-US"/>
        </w:rPr>
        <w:t>being</w:t>
      </w:r>
      <w:r w:rsidR="00B00166" w:rsidRPr="00DD1B58">
        <w:rPr>
          <w:lang w:val="en-US"/>
        </w:rPr>
        <w:t xml:space="preserve"> managed adequately following</w:t>
      </w:r>
      <w:r w:rsidR="007B43D5" w:rsidRPr="00DD1B58">
        <w:rPr>
          <w:lang w:val="en-US"/>
        </w:rPr>
        <w:t xml:space="preserve"> </w:t>
      </w:r>
      <w:r w:rsidR="00B00166" w:rsidRPr="00DD1B58">
        <w:rPr>
          <w:lang w:val="en-US"/>
        </w:rPr>
        <w:t>regulatory interventions.</w:t>
      </w:r>
      <w:r w:rsidR="009A1719" w:rsidRPr="00DD1B58">
        <w:rPr>
          <w:lang w:val="en-US"/>
        </w:rPr>
        <w:t xml:space="preserve"> </w:t>
      </w:r>
    </w:p>
    <w:p w14:paraId="5FAE325D" w14:textId="77777777" w:rsidR="0001105F" w:rsidRPr="00DD1B58" w:rsidRDefault="0001105F" w:rsidP="0001105F">
      <w:pPr>
        <w:spacing w:after="0" w:line="240" w:lineRule="auto"/>
        <w:rPr>
          <w:lang w:val="en-US"/>
        </w:rPr>
      </w:pPr>
    </w:p>
    <w:p w14:paraId="38CEF1D4" w14:textId="77777777" w:rsidR="0001105F" w:rsidRPr="00DD1B58" w:rsidRDefault="0001105F" w:rsidP="0001105F">
      <w:pPr>
        <w:spacing w:after="0" w:line="240" w:lineRule="auto"/>
        <w:rPr>
          <w:b/>
          <w:bCs/>
          <w:lang w:val="en-US"/>
        </w:rPr>
      </w:pPr>
      <w:r w:rsidRPr="00DD1B58">
        <w:rPr>
          <w:b/>
          <w:bCs/>
          <w:lang w:val="en-US"/>
        </w:rPr>
        <w:t>Springfields Fuels Limited fuel fabrication facilities</w:t>
      </w:r>
    </w:p>
    <w:p w14:paraId="762015E6" w14:textId="77777777" w:rsidR="0001105F" w:rsidRPr="00DD1B58" w:rsidRDefault="0001105F" w:rsidP="0001105F">
      <w:pPr>
        <w:spacing w:after="0" w:line="240" w:lineRule="auto"/>
        <w:rPr>
          <w:lang w:val="en-US"/>
        </w:rPr>
      </w:pPr>
    </w:p>
    <w:p w14:paraId="47F5081F" w14:textId="77777777" w:rsidR="0001105F" w:rsidRPr="00DD1B58" w:rsidRDefault="0001105F" w:rsidP="0001105F">
      <w:pPr>
        <w:spacing w:after="0" w:line="240" w:lineRule="auto"/>
        <w:rPr>
          <w:lang w:val="en-US"/>
        </w:rPr>
      </w:pPr>
      <w:r w:rsidRPr="00DD1B58">
        <w:rPr>
          <w:lang w:val="en-US"/>
        </w:rPr>
        <w:t xml:space="preserve">Springfields’ approach to fire safety analysis relies on engineering judgement and hand calculations, while assessing fire loadings quantitatively based on surveys undertaken on a compartment-by-compartment basis. ONR judges that Springfield’s approach is commensurate with the facilities’ radiological hazards and risks and aligned with </w:t>
      </w:r>
      <w:bookmarkStart w:id="195" w:name="_Hlk145066706"/>
      <w:r w:rsidRPr="00DD1B58">
        <w:rPr>
          <w:lang w:val="en-US"/>
        </w:rPr>
        <w:t xml:space="preserve">ONR expectations in the Internal Hazards TAG, which implement IAEA requirements in SSR-4 and IAEA guide SSG-64. </w:t>
      </w:r>
    </w:p>
    <w:bookmarkEnd w:id="195"/>
    <w:p w14:paraId="1E4578F0" w14:textId="77777777" w:rsidR="0001105F" w:rsidRPr="00DD1B58" w:rsidRDefault="0001105F" w:rsidP="0001105F">
      <w:pPr>
        <w:spacing w:after="0" w:line="240" w:lineRule="auto"/>
        <w:rPr>
          <w:lang w:val="en-US"/>
        </w:rPr>
      </w:pPr>
    </w:p>
    <w:p w14:paraId="6A3D4356" w14:textId="2393DE0E" w:rsidR="0001105F" w:rsidRPr="00DD1B58" w:rsidRDefault="0001105F" w:rsidP="0001105F">
      <w:pPr>
        <w:spacing w:after="0" w:line="240" w:lineRule="auto"/>
        <w:rPr>
          <w:lang w:val="en-US"/>
        </w:rPr>
      </w:pPr>
      <w:r w:rsidRPr="00DD1B58">
        <w:rPr>
          <w:lang w:val="en-US"/>
        </w:rPr>
        <w:t>Springfields described the consideration of fire hazards in combination with flooding and with seismic events, and how consequential fires or hazards consequential to fire are considered in its nuclear fire analysis and LTPRs. ONR welcomes that this consideration implements in part expectations in IAEA guidance SSG-64 applicable to nuclear power plants. ONR’s assessment has identified an area where further consideration would be appropriate; formalising a proportionate yet systematic methodology for assessment of combined hazards, including fire. The nature of this identified improvement does not indicate that there is a general issue with the sites’ resilience to fire or fire hazards in combination, nevertheless it offers the opportunity to systematically demonstrate resilience. This is a recommendation which applies to several other licensees is documented in point 4.</w:t>
      </w:r>
    </w:p>
    <w:p w14:paraId="4B4D2444" w14:textId="77777777" w:rsidR="0001105F" w:rsidRPr="00DD1B58" w:rsidRDefault="0001105F" w:rsidP="0001105F">
      <w:pPr>
        <w:spacing w:after="0" w:line="240" w:lineRule="auto"/>
        <w:rPr>
          <w:lang w:val="en-US"/>
        </w:rPr>
      </w:pPr>
    </w:p>
    <w:p w14:paraId="69751F5D" w14:textId="77777777" w:rsidR="0001105F" w:rsidRPr="00DD1B58" w:rsidRDefault="0001105F" w:rsidP="0001105F">
      <w:pPr>
        <w:spacing w:after="0" w:line="240" w:lineRule="auto"/>
        <w:rPr>
          <w:lang w:val="en-US"/>
        </w:rPr>
      </w:pPr>
      <w:r w:rsidRPr="00DD1B58">
        <w:rPr>
          <w:lang w:val="en-US"/>
        </w:rPr>
        <w:t xml:space="preserve">Springfields Fuels Ltd identified a wide range of fire prevention measures for site-specific risks. It has also undertaken reviews and installation of a new fire detection systems in OFC. Active fire protection and passive fire protection meets ONR expectations as described in ONR Internal Hazards TAG. </w:t>
      </w:r>
    </w:p>
    <w:p w14:paraId="4D412ABF" w14:textId="77777777" w:rsidR="0001105F" w:rsidRPr="00DD1B58" w:rsidRDefault="0001105F" w:rsidP="0001105F">
      <w:pPr>
        <w:spacing w:after="0" w:line="240" w:lineRule="auto"/>
        <w:rPr>
          <w:lang w:val="en-US"/>
        </w:rPr>
      </w:pPr>
    </w:p>
    <w:p w14:paraId="5811B3CF" w14:textId="43946EF2" w:rsidR="0001105F" w:rsidRPr="00DD1B58" w:rsidRDefault="00D7676F" w:rsidP="0001105F">
      <w:pPr>
        <w:spacing w:after="0" w:line="240" w:lineRule="auto"/>
        <w:rPr>
          <w:b/>
          <w:bCs/>
          <w:lang w:val="en-US"/>
        </w:rPr>
      </w:pPr>
      <w:r w:rsidRPr="00DD1B58">
        <w:rPr>
          <w:b/>
          <w:bCs/>
          <w:lang w:val="en-US"/>
        </w:rPr>
        <w:t>Sellafield Ltd.</w:t>
      </w:r>
      <w:r w:rsidR="0001105F" w:rsidRPr="00DD1B58">
        <w:rPr>
          <w:b/>
          <w:bCs/>
          <w:lang w:val="en-US"/>
        </w:rPr>
        <w:t xml:space="preserve"> </w:t>
      </w:r>
    </w:p>
    <w:p w14:paraId="3A2BDE8C" w14:textId="77777777" w:rsidR="0001105F" w:rsidRPr="00DD1B58" w:rsidRDefault="0001105F" w:rsidP="0001105F">
      <w:pPr>
        <w:spacing w:after="0" w:line="240" w:lineRule="auto"/>
        <w:rPr>
          <w:lang w:val="en-US"/>
        </w:rPr>
      </w:pPr>
    </w:p>
    <w:p w14:paraId="40056C3D" w14:textId="717262F5" w:rsidR="0001105F" w:rsidRPr="00DD1B58" w:rsidRDefault="0001105F" w:rsidP="0001105F">
      <w:pPr>
        <w:spacing w:after="0" w:line="240" w:lineRule="auto"/>
        <w:rPr>
          <w:lang w:val="en-US"/>
        </w:rPr>
      </w:pPr>
      <w:r w:rsidRPr="00DD1B58">
        <w:rPr>
          <w:lang w:val="en-US"/>
        </w:rPr>
        <w:t xml:space="preserve">ONR has judged that Sellafield’s fire safety analysis broadly meet ONR expectations in the Internal Hazards TAG, which implements IAEA requirements in SSR-4 and IAEA guide SSG-64. In the area of combined hazards, ONR has found that the licensee could make beneficial and proportionate improvements to its fire safety guidance for assessment of hazard combinations. </w:t>
      </w:r>
      <w:r w:rsidR="004668E0" w:rsidRPr="00DD1B58">
        <w:rPr>
          <w:lang w:val="en-US"/>
        </w:rPr>
        <w:t>Sellafield Ltd.</w:t>
      </w:r>
      <w:r w:rsidRPr="00DD1B58">
        <w:rPr>
          <w:lang w:val="en-US"/>
        </w:rPr>
        <w:t xml:space="preserve"> is currently updating the NFSHA Safety Case Process and Methods Technical Guidance methodology. The nature of this identified improvement does not indicate that there is a general issue with the sites’ resilience to fire or fire hazards in combination, nevertheless it offers the opportunity to systematically demonstrate resilience. This is a recommendation which applies to several other licensees and is documented in point </w:t>
      </w:r>
      <w:r w:rsidR="0067565B" w:rsidRPr="00DD1B58">
        <w:rPr>
          <w:lang w:val="en-US"/>
        </w:rPr>
        <w:t>5</w:t>
      </w:r>
      <w:r w:rsidRPr="00DD1B58">
        <w:rPr>
          <w:lang w:val="en-US"/>
        </w:rPr>
        <w:t>.</w:t>
      </w:r>
    </w:p>
    <w:p w14:paraId="0F3DEAD4" w14:textId="77777777" w:rsidR="00F82BAE" w:rsidRPr="00DD1B58" w:rsidRDefault="00F82BAE" w:rsidP="0001105F">
      <w:pPr>
        <w:spacing w:after="0" w:line="240" w:lineRule="auto"/>
        <w:rPr>
          <w:lang w:val="en-US"/>
        </w:rPr>
      </w:pPr>
    </w:p>
    <w:p w14:paraId="3E4C277D" w14:textId="5726D188" w:rsidR="00F82BAE" w:rsidRPr="00DD1B58" w:rsidRDefault="00F82BAE" w:rsidP="0001105F">
      <w:pPr>
        <w:spacing w:after="0" w:line="240" w:lineRule="auto"/>
        <w:rPr>
          <w:lang w:val="en-US"/>
        </w:rPr>
      </w:pPr>
      <w:bookmarkStart w:id="196" w:name="_Hlk148611586"/>
      <w:r w:rsidRPr="00DD1B58">
        <w:rPr>
          <w:lang w:val="en-US"/>
        </w:rPr>
        <w:t>Several nuclear fire safety inspections are planned at the Sellafield site for 2024/25 which will give specific opportunities for ONR to assess progress against this item. Any outstanding actions required to address TPR2 findings will be tracked through regulatory issues.</w:t>
      </w:r>
    </w:p>
    <w:bookmarkEnd w:id="196"/>
    <w:p w14:paraId="2B162FA9" w14:textId="77777777" w:rsidR="0001105F" w:rsidRPr="00DD1B58" w:rsidRDefault="0001105F" w:rsidP="0001105F">
      <w:pPr>
        <w:spacing w:after="0" w:line="240" w:lineRule="auto"/>
        <w:rPr>
          <w:lang w:val="en-US"/>
        </w:rPr>
      </w:pPr>
    </w:p>
    <w:p w14:paraId="0D2F3586" w14:textId="23F170EF" w:rsidR="0001105F" w:rsidRPr="00DD1B58" w:rsidRDefault="0001105F" w:rsidP="0001105F">
      <w:pPr>
        <w:spacing w:after="0" w:line="240" w:lineRule="auto"/>
        <w:rPr>
          <w:lang w:val="en-US"/>
        </w:rPr>
      </w:pPr>
      <w:r w:rsidRPr="00DD1B58">
        <w:rPr>
          <w:lang w:val="en-US"/>
        </w:rPr>
        <w:t xml:space="preserve">ONR life fire safety and system-based inspections at the site identified fire detection and alarm system obsolescence at First Generation Magnox Storage Pond (FGMSP), a facility not in the list for TPR 2. </w:t>
      </w:r>
      <w:r w:rsidR="004668E0" w:rsidRPr="00DD1B58">
        <w:rPr>
          <w:lang w:val="en-US"/>
        </w:rPr>
        <w:t>Sellafield Ltd.</w:t>
      </w:r>
      <w:r w:rsidRPr="00DD1B58">
        <w:rPr>
          <w:lang w:val="en-US"/>
        </w:rPr>
        <w:t xml:space="preserve"> committed to a full system replacement and in the interim period successfully completed the rapid deployment of a temporary, wireless system in the facility. </w:t>
      </w:r>
    </w:p>
    <w:p w14:paraId="672501F6" w14:textId="77777777" w:rsidR="0001105F" w:rsidRPr="00DD1B58" w:rsidRDefault="0001105F" w:rsidP="0001105F">
      <w:pPr>
        <w:spacing w:after="0" w:line="240" w:lineRule="auto"/>
        <w:rPr>
          <w:lang w:val="en-US"/>
        </w:rPr>
      </w:pPr>
    </w:p>
    <w:p w14:paraId="11C9219F" w14:textId="51CE1A54" w:rsidR="0001105F" w:rsidRPr="00DD1B58" w:rsidRDefault="004668E0" w:rsidP="0001105F">
      <w:pPr>
        <w:spacing w:after="0" w:line="240" w:lineRule="auto"/>
        <w:rPr>
          <w:rFonts w:eastAsia="Arial"/>
          <w:szCs w:val="24"/>
          <w:lang w:val="en-US"/>
        </w:rPr>
      </w:pPr>
      <w:r w:rsidRPr="00DD1B58">
        <w:rPr>
          <w:lang w:val="en-US"/>
        </w:rPr>
        <w:t>Sellafield Ltd.</w:t>
      </w:r>
      <w:r w:rsidR="0001105F" w:rsidRPr="00DD1B58">
        <w:rPr>
          <w:lang w:val="en-US"/>
        </w:rPr>
        <w:t xml:space="preserve"> is also addressing shortfalls in maintenance relating to fire dampers provided for life and property protection at the Encapsulation Plants </w:t>
      </w:r>
      <w:r w:rsidR="00CF1141" w:rsidRPr="00DD1B58">
        <w:rPr>
          <w:lang w:val="en-US"/>
        </w:rPr>
        <w:t xml:space="preserve">as </w:t>
      </w:r>
      <w:r w:rsidR="0001105F" w:rsidRPr="00DD1B58">
        <w:rPr>
          <w:lang w:val="en-US"/>
        </w:rPr>
        <w:t>identified in 2022. Furthermore, as identified through ONR’s life fire safety inspections at the site</w:t>
      </w:r>
      <w:r w:rsidR="0001105F" w:rsidRPr="00DD1B58">
        <w:rPr>
          <w:color w:val="000000" w:themeColor="text2"/>
          <w:lang w:val="en-US"/>
        </w:rPr>
        <w:t xml:space="preserve">, </w:t>
      </w:r>
      <w:r w:rsidR="0001105F" w:rsidRPr="00DD1B58">
        <w:rPr>
          <w:lang w:val="en-US"/>
        </w:rPr>
        <w:t xml:space="preserve">ONR judges that obsolescence of fire protection systems is a focus area for </w:t>
      </w:r>
      <w:r w:rsidRPr="00DD1B58">
        <w:rPr>
          <w:lang w:val="en-US"/>
        </w:rPr>
        <w:t xml:space="preserve">Sellafield Ltd. </w:t>
      </w:r>
      <w:r w:rsidR="0001105F" w:rsidRPr="00DD1B58">
        <w:rPr>
          <w:lang w:val="en-US"/>
        </w:rPr>
        <w:t xml:space="preserve">and </w:t>
      </w:r>
      <w:r w:rsidR="0001105F" w:rsidRPr="00DD1B58">
        <w:rPr>
          <w:color w:val="000000" w:themeColor="text2"/>
          <w:lang w:val="en-US"/>
        </w:rPr>
        <w:t xml:space="preserve">ONR raised a Level 2 regulatory issue to track Sellafield Ltd.’s implementation of strategic fire safety improvements in </w:t>
      </w:r>
      <w:r w:rsidR="001F287E" w:rsidRPr="00DD1B58">
        <w:rPr>
          <w:color w:val="000000" w:themeColor="text2"/>
          <w:lang w:val="en-US"/>
        </w:rPr>
        <w:t xml:space="preserve">this </w:t>
      </w:r>
      <w:r w:rsidR="0001105F" w:rsidRPr="00DD1B58">
        <w:rPr>
          <w:color w:val="000000" w:themeColor="text2"/>
          <w:lang w:val="en-US"/>
        </w:rPr>
        <w:t>area. This has an expected closure date end of 2023.</w:t>
      </w:r>
      <w:r w:rsidR="0001105F" w:rsidRPr="00DD1B58">
        <w:rPr>
          <w:lang w:val="en-US"/>
        </w:rPr>
        <w:t xml:space="preserve"> </w:t>
      </w:r>
      <w:r w:rsidR="0001105F" w:rsidRPr="00DD1B58">
        <w:rPr>
          <w:rFonts w:eastAsia="Arial"/>
          <w:szCs w:val="24"/>
          <w:lang w:val="en-US"/>
        </w:rPr>
        <w:t>While these issues did not impact nuclear safety</w:t>
      </w:r>
      <w:r w:rsidR="00A21132" w:rsidRPr="00DD1B58">
        <w:rPr>
          <w:rFonts w:eastAsia="Arial"/>
          <w:szCs w:val="24"/>
          <w:lang w:val="en-US"/>
        </w:rPr>
        <w:t xml:space="preserve"> directly</w:t>
      </w:r>
      <w:r w:rsidR="0001105F" w:rsidRPr="00DD1B58">
        <w:rPr>
          <w:rFonts w:eastAsia="Arial"/>
          <w:szCs w:val="24"/>
          <w:lang w:val="en-US"/>
        </w:rPr>
        <w:t xml:space="preserve">, they offer insights into fire system challenges which should be highlighted to ensure </w:t>
      </w:r>
      <w:r w:rsidR="00A21132" w:rsidRPr="00DD1B58">
        <w:rPr>
          <w:rFonts w:eastAsia="Arial"/>
          <w:szCs w:val="24"/>
          <w:lang w:val="en-US"/>
        </w:rPr>
        <w:t xml:space="preserve">that </w:t>
      </w:r>
      <w:r w:rsidR="0001105F" w:rsidRPr="00DD1B58">
        <w:rPr>
          <w:rFonts w:eastAsia="Arial"/>
          <w:szCs w:val="24"/>
          <w:lang w:val="en-US"/>
        </w:rPr>
        <w:t xml:space="preserve">high levels of defence in depth are </w:t>
      </w:r>
      <w:r w:rsidR="00CD0830" w:rsidRPr="00DD1B58">
        <w:rPr>
          <w:rFonts w:eastAsia="Arial"/>
          <w:szCs w:val="24"/>
          <w:lang w:val="en-US"/>
        </w:rPr>
        <w:t>consistently</w:t>
      </w:r>
      <w:r w:rsidR="0001105F" w:rsidRPr="00DD1B58">
        <w:rPr>
          <w:rFonts w:eastAsia="Arial"/>
          <w:szCs w:val="24"/>
          <w:lang w:val="en-US"/>
        </w:rPr>
        <w:t xml:space="preserve"> maintained. </w:t>
      </w:r>
    </w:p>
    <w:p w14:paraId="6C1B8FC6" w14:textId="77777777" w:rsidR="0001105F" w:rsidRPr="00DD1B58" w:rsidRDefault="0001105F" w:rsidP="0001105F">
      <w:pPr>
        <w:spacing w:after="0" w:line="240" w:lineRule="auto"/>
        <w:rPr>
          <w:rFonts w:eastAsia="Arial"/>
          <w:szCs w:val="24"/>
          <w:lang w:val="en-US"/>
        </w:rPr>
      </w:pPr>
    </w:p>
    <w:p w14:paraId="786795EA" w14:textId="77777777" w:rsidR="0001105F" w:rsidRPr="00DD1B58" w:rsidRDefault="0001105F" w:rsidP="0001105F">
      <w:pPr>
        <w:spacing w:after="0" w:line="240" w:lineRule="auto"/>
        <w:rPr>
          <w:lang w:val="en-US"/>
        </w:rPr>
      </w:pPr>
      <w:r w:rsidRPr="00DD1B58">
        <w:rPr>
          <w:rFonts w:eastAsia="Arial"/>
          <w:noProof/>
          <w:szCs w:val="24"/>
          <w:lang w:val="en-US"/>
        </w:rPr>
        <w:t xml:space="preserve">ONR considers the integrated regulation of fire safety for life protection as providing </w:t>
      </w:r>
      <w:r w:rsidRPr="00DD1B58">
        <w:rPr>
          <w:rFonts w:eastAsia="Arial"/>
          <w:szCs w:val="24"/>
          <w:lang w:val="en-US"/>
        </w:rPr>
        <w:t>valuable insights to ensure that the licensee implements and maintains high standards of fire safety generally, and not only for nuclear safety.</w:t>
      </w:r>
      <w:r w:rsidRPr="00DD1B58">
        <w:rPr>
          <w:lang w:val="en-US"/>
        </w:rPr>
        <w:t xml:space="preserve"> </w:t>
      </w:r>
    </w:p>
    <w:p w14:paraId="38EF1CEE" w14:textId="77777777" w:rsidR="0001105F" w:rsidRPr="00DD1B58" w:rsidRDefault="0001105F" w:rsidP="0001105F">
      <w:pPr>
        <w:spacing w:after="0" w:line="240" w:lineRule="auto"/>
        <w:rPr>
          <w:lang w:val="en-US"/>
        </w:rPr>
      </w:pPr>
    </w:p>
    <w:p w14:paraId="4835B818" w14:textId="77777777" w:rsidR="0001105F" w:rsidRPr="00DD1B58" w:rsidRDefault="0001105F" w:rsidP="0001105F">
      <w:pPr>
        <w:spacing w:after="0" w:line="240" w:lineRule="auto"/>
        <w:rPr>
          <w:b/>
          <w:bCs/>
          <w:lang w:val="en-US"/>
        </w:rPr>
      </w:pPr>
      <w:r w:rsidRPr="00DD1B58">
        <w:rPr>
          <w:b/>
          <w:bCs/>
          <w:lang w:val="en-US"/>
        </w:rPr>
        <w:t>Dounreay’s PFR Complex</w:t>
      </w:r>
    </w:p>
    <w:p w14:paraId="736D6A30" w14:textId="43EFAC9C" w:rsidR="0001105F" w:rsidRPr="00DD1B58" w:rsidRDefault="0001105F" w:rsidP="0001105F">
      <w:pPr>
        <w:spacing w:after="0" w:line="240" w:lineRule="auto"/>
        <w:rPr>
          <w:lang w:val="en-US"/>
        </w:rPr>
      </w:pPr>
      <w:r w:rsidRPr="00DD1B58">
        <w:rPr>
          <w:lang w:val="en-US"/>
        </w:rPr>
        <w:t>ONR has assessed Dounreay’s fire safety analysis approach and the implementation of the fire protection concept. These have been supplemented by evidence gathered during onsite inspections.</w:t>
      </w:r>
      <w:r w:rsidR="00607523" w:rsidRPr="00DD1B58">
        <w:rPr>
          <w:lang w:val="en-US"/>
        </w:rPr>
        <w:t xml:space="preserve"> </w:t>
      </w:r>
      <w:r w:rsidRPr="00DD1B58">
        <w:rPr>
          <w:lang w:val="en-US"/>
        </w:rPr>
        <w:t xml:space="preserve">ONR judges that the current arrangements for fire safety analysis and fire protection implementation align with ONR expectations and are commensurate with installations in advanced stages of decommissioning. ONR’s assessment has identified two secondary areas where further consideration would be appropriate in the areas of fire prevention and fire safety analysis: </w:t>
      </w:r>
    </w:p>
    <w:p w14:paraId="478FB6F0" w14:textId="77777777" w:rsidR="0001105F" w:rsidRPr="00DD1B58" w:rsidRDefault="0001105F" w:rsidP="0001105F">
      <w:pPr>
        <w:spacing w:after="0" w:line="240" w:lineRule="auto"/>
        <w:rPr>
          <w:lang w:val="en-US"/>
        </w:rPr>
      </w:pPr>
    </w:p>
    <w:p w14:paraId="50315820" w14:textId="0DDD86E5" w:rsidR="0001105F" w:rsidRPr="00DD1B58" w:rsidRDefault="0001105F" w:rsidP="008A7207">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rPr>
          <w:lang w:val="en-US"/>
        </w:rPr>
      </w:pPr>
      <w:r w:rsidRPr="00DD1B58">
        <w:rPr>
          <w:lang w:val="en-US"/>
        </w:rPr>
        <w:t>Fire Prevention: Dounreay should implement a proportionate approach to link the day-to-day management of fire loading with the assessment of fire loadings in the nuclear safety case</w:t>
      </w:r>
      <w:r w:rsidR="00A22404" w:rsidRPr="00DD1B58">
        <w:rPr>
          <w:lang w:val="en-US"/>
        </w:rPr>
        <w:t>,</w:t>
      </w:r>
      <w:r w:rsidRPr="00DD1B58">
        <w:rPr>
          <w:lang w:val="en-US"/>
        </w:rPr>
        <w:t xml:space="preserve"> to aid consistency in adherence to combustible inventory </w:t>
      </w:r>
      <w:r w:rsidR="008370ED" w:rsidRPr="00DD1B58">
        <w:rPr>
          <w:lang w:val="en-US"/>
        </w:rPr>
        <w:t>controls</w:t>
      </w:r>
      <w:r w:rsidRPr="00DD1B58">
        <w:rPr>
          <w:lang w:val="en-US"/>
        </w:rPr>
        <w:t xml:space="preserve">. </w:t>
      </w:r>
      <w:r w:rsidRPr="00DD1B58">
        <w:rPr>
          <w:rFonts w:eastAsia="Arial"/>
          <w:szCs w:val="24"/>
          <w:lang w:val="en-US"/>
        </w:rPr>
        <w:t>Closure date</w:t>
      </w:r>
      <w:r w:rsidR="00361B64" w:rsidRPr="00DD1B58">
        <w:rPr>
          <w:rFonts w:eastAsia="Arial"/>
          <w:szCs w:val="24"/>
          <w:lang w:val="en-US"/>
        </w:rPr>
        <w:t xml:space="preserve"> – December 2024</w:t>
      </w:r>
    </w:p>
    <w:p w14:paraId="100EA329" w14:textId="77777777" w:rsidR="0001105F" w:rsidRPr="00DD1B58" w:rsidRDefault="0001105F" w:rsidP="0001105F">
      <w:pPr>
        <w:spacing w:after="0" w:line="240" w:lineRule="auto"/>
        <w:rPr>
          <w:lang w:val="en-US"/>
        </w:rPr>
      </w:pPr>
    </w:p>
    <w:p w14:paraId="1C962613" w14:textId="77777777" w:rsidR="0001105F" w:rsidRPr="00DD1B58" w:rsidRDefault="0001105F" w:rsidP="0001105F">
      <w:pPr>
        <w:spacing w:after="0" w:line="240" w:lineRule="auto"/>
        <w:rPr>
          <w:lang w:val="en-US"/>
        </w:rPr>
      </w:pPr>
    </w:p>
    <w:p w14:paraId="473F79FF" w14:textId="5848BCDC" w:rsidR="0001105F" w:rsidRPr="00DD1B58" w:rsidRDefault="0001105F" w:rsidP="008A7207">
      <w:pPr>
        <w:pStyle w:val="ListParagraph"/>
        <w:numPr>
          <w:ilvl w:val="0"/>
          <w:numId w:val="20"/>
        </w:numPr>
        <w:pBdr>
          <w:top w:val="single" w:sz="4" w:space="1" w:color="auto"/>
          <w:left w:val="single" w:sz="4" w:space="4" w:color="auto"/>
          <w:bottom w:val="single" w:sz="4" w:space="1" w:color="auto"/>
          <w:right w:val="single" w:sz="4" w:space="4" w:color="auto"/>
        </w:pBdr>
        <w:spacing w:after="0" w:line="240" w:lineRule="auto"/>
        <w:rPr>
          <w:lang w:val="en-US"/>
        </w:rPr>
      </w:pPr>
      <w:r w:rsidRPr="00DD1B58">
        <w:rPr>
          <w:lang w:val="en-US"/>
        </w:rPr>
        <w:t>For fuel cycle facilities and facilities under</w:t>
      </w:r>
      <w:r w:rsidR="00D22AB1" w:rsidRPr="00DD1B58">
        <w:rPr>
          <w:lang w:val="en-US"/>
        </w:rPr>
        <w:t>going</w:t>
      </w:r>
      <w:r w:rsidRPr="00DD1B58">
        <w:rPr>
          <w:lang w:val="en-US"/>
        </w:rPr>
        <w:t xml:space="preserve"> decommissioning, the licensees should develop a proportionate yet systematic approach for the consideration of hazard combinations including fire to systematically demonstrate resilience. Closure Date</w:t>
      </w:r>
      <w:r w:rsidR="00361B64" w:rsidRPr="00DD1B58">
        <w:rPr>
          <w:lang w:val="en-US"/>
        </w:rPr>
        <w:t xml:space="preserve"> – March 2025</w:t>
      </w:r>
    </w:p>
    <w:p w14:paraId="69381655" w14:textId="77777777" w:rsidR="0001105F" w:rsidRPr="00DD1B58" w:rsidRDefault="0001105F" w:rsidP="0001105F">
      <w:pPr>
        <w:spacing w:after="0" w:line="240" w:lineRule="auto"/>
        <w:rPr>
          <w:lang w:val="en-US"/>
        </w:rPr>
      </w:pPr>
    </w:p>
    <w:p w14:paraId="4B672C97" w14:textId="246F48D7" w:rsidR="008E3166" w:rsidRPr="00DD1B58" w:rsidRDefault="009E5739" w:rsidP="0001105F">
      <w:pPr>
        <w:spacing w:after="0" w:line="240" w:lineRule="auto"/>
        <w:rPr>
          <w:lang w:val="en-US"/>
        </w:rPr>
      </w:pPr>
      <w:bookmarkStart w:id="197" w:name="_Hlk148611636"/>
      <w:r w:rsidRPr="00DD1B58">
        <w:rPr>
          <w:lang w:val="en-US"/>
        </w:rPr>
        <w:t xml:space="preserve">With </w:t>
      </w:r>
      <w:r w:rsidR="00352377" w:rsidRPr="00DD1B58">
        <w:rPr>
          <w:lang w:val="en-US"/>
        </w:rPr>
        <w:t xml:space="preserve">respect to </w:t>
      </w:r>
      <w:r w:rsidR="008E3166" w:rsidRPr="00DD1B58">
        <w:rPr>
          <w:lang w:val="en-US"/>
        </w:rPr>
        <w:t>R</w:t>
      </w:r>
      <w:r w:rsidR="00352377" w:rsidRPr="00DD1B58">
        <w:rPr>
          <w:lang w:val="en-US"/>
        </w:rPr>
        <w:t xml:space="preserve">ecommendation 4 </w:t>
      </w:r>
      <w:r w:rsidR="008E3166" w:rsidRPr="00DD1B58">
        <w:rPr>
          <w:lang w:val="en-US"/>
        </w:rPr>
        <w:t>a life fire safety based inspection is planned at the Dounreay site for January 2024. This will include consideration of TPR2 findings and the approach taken to suitably close these out. It is intended that a representative from Magnox’s central fire team will also attend to provide clarity on Dounreay’s ongoing resource profile for fire safety. Any outstanding actions required to address TPR2 findings will be tracked through regulatory issues.</w:t>
      </w:r>
    </w:p>
    <w:p w14:paraId="346480D8" w14:textId="77777777" w:rsidR="008E3166" w:rsidRPr="00DD1B58" w:rsidRDefault="008E3166" w:rsidP="0001105F">
      <w:pPr>
        <w:spacing w:after="0" w:line="240" w:lineRule="auto"/>
        <w:rPr>
          <w:lang w:val="en-US"/>
        </w:rPr>
      </w:pPr>
    </w:p>
    <w:p w14:paraId="6ECD0AD1" w14:textId="101A8C39" w:rsidR="00C40A7E" w:rsidRPr="00DD1B58" w:rsidRDefault="00C40A7E" w:rsidP="00C40A7E">
      <w:pPr>
        <w:spacing w:after="0" w:line="240" w:lineRule="auto"/>
        <w:rPr>
          <w:lang w:val="en-US"/>
        </w:rPr>
      </w:pPr>
      <w:r w:rsidRPr="00DD1B58">
        <w:rPr>
          <w:lang w:val="en-US"/>
        </w:rPr>
        <w:t>With respect to fuel cycle facilities captured under Recommendation 5, combined nuclear fire safety and life fire safety inspections are planned at both the Capenhurst and Springfields sites for early 2024 which will examine the linkage between the nuclear fire safety case and implementation of fire safety measures, including any identified hazard combinations. ONR will instigate licensee cooperation in the development and implementation of proportionate yet systematic approaches, and outstanding actions required to address TPR2 findings will be tracked through regulatory issues.</w:t>
      </w:r>
    </w:p>
    <w:bookmarkEnd w:id="197"/>
    <w:p w14:paraId="40708B1F" w14:textId="77777777" w:rsidR="009E5739" w:rsidRPr="00DD1B58" w:rsidRDefault="009E5739" w:rsidP="0001105F">
      <w:pPr>
        <w:spacing w:after="0" w:line="240" w:lineRule="auto"/>
        <w:rPr>
          <w:lang w:val="en-US"/>
        </w:rPr>
      </w:pPr>
    </w:p>
    <w:p w14:paraId="27BDADE5" w14:textId="4CAA684F" w:rsidR="0001105F" w:rsidRPr="00DD1B58" w:rsidRDefault="0001105F" w:rsidP="0001105F">
      <w:pPr>
        <w:spacing w:after="0" w:line="240" w:lineRule="auto"/>
        <w:rPr>
          <w:lang w:val="en-US"/>
        </w:rPr>
      </w:pPr>
      <w:r w:rsidRPr="00DD1B58">
        <w:rPr>
          <w:lang w:val="en-US"/>
        </w:rPr>
        <w:t>The nature of the above improvements does not indicate that there is a general issue with the sites fire prevention approach or consideration of fire hazards in combination with other hazards, nevertheless, they offer the opportunity for Dounreay to systematically demonstrate resilience.</w:t>
      </w:r>
    </w:p>
    <w:p w14:paraId="32C4FD10" w14:textId="77777777" w:rsidR="0001105F" w:rsidRPr="00DD1B58" w:rsidRDefault="0001105F" w:rsidP="0001105F">
      <w:pPr>
        <w:spacing w:after="0" w:line="240" w:lineRule="auto"/>
        <w:rPr>
          <w:lang w:val="en-US"/>
        </w:rPr>
      </w:pPr>
    </w:p>
    <w:p w14:paraId="4A2D249B" w14:textId="77777777" w:rsidR="0001105F" w:rsidRPr="00DD1B58" w:rsidRDefault="0001105F" w:rsidP="00973FF4">
      <w:pPr>
        <w:pStyle w:val="Heading2A"/>
        <w:rPr>
          <w:lang w:val="en-US"/>
        </w:rPr>
      </w:pPr>
      <w:bookmarkStart w:id="198" w:name="_Toc147090661"/>
      <w:r w:rsidRPr="00DD1B58">
        <w:rPr>
          <w:lang w:val="en-US"/>
        </w:rPr>
        <w:t>Overall conclusions</w:t>
      </w:r>
      <w:bookmarkEnd w:id="198"/>
    </w:p>
    <w:p w14:paraId="40E22753" w14:textId="11E4A4E1" w:rsidR="0001105F" w:rsidRPr="00DD1B58" w:rsidRDefault="0001105F" w:rsidP="0001105F">
      <w:pPr>
        <w:spacing w:after="0" w:line="240" w:lineRule="auto"/>
        <w:rPr>
          <w:lang w:val="en-US"/>
        </w:rPr>
      </w:pPr>
      <w:r w:rsidRPr="00DD1B58">
        <w:rPr>
          <w:lang w:val="en-US"/>
        </w:rPr>
        <w:t xml:space="preserve">ONR’s assessment has found that the UK installations reporting in this second </w:t>
      </w:r>
      <w:r w:rsidR="00AD2F27" w:rsidRPr="00DD1B58">
        <w:rPr>
          <w:lang w:val="en-US"/>
        </w:rPr>
        <w:t xml:space="preserve">topical peer </w:t>
      </w:r>
      <w:r w:rsidRPr="00DD1B58">
        <w:rPr>
          <w:lang w:val="en-US"/>
        </w:rPr>
        <w:t xml:space="preserve">review have adequate fire safety analysis and fire protection arrangements commensurate with their radiological risks from fire, the potential for fire to impact nuclear safety systems and the stages that each installation is in its lifecycle. Nevertheless, beneficial improvements have been found in a number of areas, namely, the implementation of methodologies for proportionate but systematic screening and analysis of hazards combinations, including fire, and the enhancement of linkages between the extant management of fire loading for life protection and the nuclear safety arrangements in decommissioning facilities. </w:t>
      </w:r>
      <w:r w:rsidR="00C40A7E" w:rsidRPr="00DD1B58">
        <w:rPr>
          <w:lang w:val="en-US"/>
        </w:rPr>
        <w:t>ONR has consequently raised actions for the licensees to implement improvements, formally tracked to completion through ONR regulatory issues and regulatory interventions.</w:t>
      </w:r>
    </w:p>
    <w:p w14:paraId="4FA2BC98" w14:textId="152848F5" w:rsidR="00344433" w:rsidRPr="00DD1B58" w:rsidRDefault="0001105F" w:rsidP="00973FF4">
      <w:pPr>
        <w:spacing w:before="240"/>
        <w:rPr>
          <w:lang w:val="en-US"/>
        </w:rPr>
      </w:pPr>
      <w:r w:rsidRPr="00DD1B58">
        <w:rPr>
          <w:rFonts w:eastAsia="Arial"/>
          <w:noProof/>
          <w:szCs w:val="24"/>
          <w:lang w:val="en-US"/>
        </w:rPr>
        <w:t xml:space="preserve">ONR </w:t>
      </w:r>
      <w:r w:rsidR="003D77EF" w:rsidRPr="00DD1B58">
        <w:rPr>
          <w:rFonts w:eastAsia="Arial"/>
          <w:noProof/>
          <w:szCs w:val="24"/>
          <w:lang w:val="en-US"/>
        </w:rPr>
        <w:t>also concludes that</w:t>
      </w:r>
      <w:r w:rsidRPr="00DD1B58">
        <w:rPr>
          <w:rFonts w:eastAsia="Arial"/>
          <w:noProof/>
          <w:szCs w:val="24"/>
          <w:lang w:val="en-US"/>
        </w:rPr>
        <w:t xml:space="preserve"> the integrated consideration of fire safety for life protection in the report has enabled the sharing of valuable</w:t>
      </w:r>
      <w:r w:rsidR="00A726D2" w:rsidRPr="00DD1B58">
        <w:rPr>
          <w:rFonts w:eastAsia="Arial"/>
          <w:noProof/>
          <w:szCs w:val="24"/>
          <w:lang w:val="en-US"/>
        </w:rPr>
        <w:t xml:space="preserve"> transferable</w:t>
      </w:r>
      <w:r w:rsidRPr="00DD1B58">
        <w:rPr>
          <w:rFonts w:eastAsia="Arial"/>
          <w:noProof/>
          <w:szCs w:val="24"/>
          <w:lang w:val="en-US"/>
        </w:rPr>
        <w:t xml:space="preserve"> learning in two additional areas, fire damper maintainability issues and fire detection and alarm system obsolescence. </w:t>
      </w:r>
      <w:r w:rsidR="00C40A7E" w:rsidRPr="00DD1B58">
        <w:rPr>
          <w:rFonts w:eastAsia="Arial"/>
          <w:noProof/>
          <w:szCs w:val="24"/>
          <w:lang w:val="en-US"/>
        </w:rPr>
        <w:t xml:space="preserve">The issues are the subject of formal regulatory follow up through ONR regulatory issues. While they </w:t>
      </w:r>
      <w:r w:rsidRPr="00DD1B58">
        <w:rPr>
          <w:rFonts w:eastAsia="Arial"/>
          <w:noProof/>
          <w:szCs w:val="24"/>
          <w:lang w:val="en-US"/>
        </w:rPr>
        <w:t xml:space="preserve">did not impact nuclear safety, they offer insights into fire system challenges which should be highlighted to ensure </w:t>
      </w:r>
      <w:r w:rsidR="00DF41D0" w:rsidRPr="00DD1B58">
        <w:rPr>
          <w:rFonts w:eastAsia="Arial"/>
          <w:noProof/>
          <w:szCs w:val="24"/>
          <w:lang w:val="en-US"/>
        </w:rPr>
        <w:t xml:space="preserve">that </w:t>
      </w:r>
      <w:r w:rsidRPr="00DD1B58">
        <w:rPr>
          <w:rFonts w:eastAsia="Arial"/>
          <w:noProof/>
          <w:szCs w:val="24"/>
          <w:lang w:val="en-US"/>
        </w:rPr>
        <w:t>high levels of defence in depth are consistenly maintained</w:t>
      </w:r>
      <w:r w:rsidR="00A000E1" w:rsidRPr="00DD1B58">
        <w:rPr>
          <w:rFonts w:eastAsia="Arial"/>
          <w:noProof/>
          <w:szCs w:val="24"/>
          <w:lang w:val="en-US"/>
        </w:rPr>
        <w:t>.</w:t>
      </w:r>
    </w:p>
    <w:p w14:paraId="150CC556" w14:textId="77777777" w:rsidR="009A5690" w:rsidRPr="00DD1B58" w:rsidRDefault="009A5690" w:rsidP="009626D6">
      <w:pPr>
        <w:spacing w:after="0" w:line="240" w:lineRule="auto"/>
        <w:rPr>
          <w:lang w:val="en-US"/>
        </w:rPr>
      </w:pPr>
      <w:r w:rsidRPr="00DD1B58">
        <w:rPr>
          <w:lang w:val="en-US"/>
        </w:rPr>
        <w:br w:type="page"/>
      </w:r>
    </w:p>
    <w:p w14:paraId="486CBFF4" w14:textId="1CD5110E" w:rsidR="00DF47DA" w:rsidRPr="00DF47DA" w:rsidRDefault="00D34C6F" w:rsidP="00DF47DA">
      <w:pPr>
        <w:pStyle w:val="Heading1A"/>
        <w:rPr>
          <w:lang w:val="en-US"/>
        </w:rPr>
      </w:pPr>
      <w:bookmarkStart w:id="199" w:name="_Toc147090662"/>
      <w:r w:rsidRPr="00DD1B58">
        <w:rPr>
          <w:lang w:val="en-US"/>
        </w:rPr>
        <w:t>References to the NAR</w:t>
      </w:r>
      <w:bookmarkEnd w:id="199"/>
      <w:r w:rsidRPr="00DD1B58">
        <w:rPr>
          <w:lang w:val="en-US"/>
        </w:rPr>
        <w:t xml:space="preserve"> </w:t>
      </w:r>
      <w:r w:rsidR="00DF47DA">
        <w:rPr>
          <w:lang w:val="en-US"/>
        </w:rPr>
        <w:fldChar w:fldCharType="begin"/>
      </w:r>
      <w:r w:rsidR="00DF47DA">
        <w:instrText xml:space="preserve"> BIBLIOGRAPHY  \l 2057 </w:instrText>
      </w:r>
      <w:r w:rsidR="00DF47DA">
        <w:rPr>
          <w:lang w:val="en-US"/>
        </w:rPr>
        <w:fldChar w:fldCharType="separate"/>
      </w:r>
    </w:p>
    <w:tbl>
      <w:tblPr>
        <w:tblW w:w="516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10"/>
        <w:gridCol w:w="9454"/>
      </w:tblGrid>
      <w:tr w:rsidR="00DF47DA" w:rsidRPr="004A7507" w14:paraId="2F357583" w14:textId="77777777" w:rsidTr="00DF47DA">
        <w:trPr>
          <w:divId w:val="2080983081"/>
          <w:tblCellSpacing w:w="15" w:type="dxa"/>
        </w:trPr>
        <w:tc>
          <w:tcPr>
            <w:tcW w:w="280" w:type="pct"/>
            <w:hideMark/>
          </w:tcPr>
          <w:p w14:paraId="7A9A7E6F" w14:textId="16514FBD" w:rsidR="00DF47DA" w:rsidRDefault="00DF47DA">
            <w:pPr>
              <w:pStyle w:val="Bibliography"/>
              <w:rPr>
                <w:noProof/>
                <w:szCs w:val="24"/>
              </w:rPr>
            </w:pPr>
            <w:r>
              <w:rPr>
                <w:noProof/>
              </w:rPr>
              <w:t xml:space="preserve">[1] </w:t>
            </w:r>
          </w:p>
        </w:tc>
        <w:tc>
          <w:tcPr>
            <w:tcW w:w="4675" w:type="pct"/>
            <w:hideMark/>
          </w:tcPr>
          <w:p w14:paraId="13F16828" w14:textId="77777777" w:rsidR="00DF47DA" w:rsidRPr="004A7507" w:rsidRDefault="00DF47DA" w:rsidP="00DF47DA">
            <w:pPr>
              <w:pStyle w:val="Bibliography"/>
              <w:ind w:left="21"/>
              <w:rPr>
                <w:noProof/>
                <w:lang w:val="fr-FR"/>
              </w:rPr>
            </w:pPr>
            <w:r>
              <w:rPr>
                <w:noProof/>
              </w:rPr>
              <w:t xml:space="preserve">Western European Nuclear Regulators Association (WENRA), “Topical Peer Review 2023 Fire Protection Technical Specification for the National Assessment Reports,” Ad-hoc TPR II WG, 21 June 2022. </w:t>
            </w:r>
            <w:r w:rsidRPr="004A7507">
              <w:rPr>
                <w:noProof/>
                <w:lang w:val="fr-FR"/>
              </w:rPr>
              <w:t>[Online]. Available: https://www.ensreg.eu/sites/default/files/attachments/technical_specification.pdf.</w:t>
            </w:r>
          </w:p>
        </w:tc>
      </w:tr>
      <w:tr w:rsidR="00DF47DA" w:rsidRPr="004A7507" w14:paraId="6B4D6179" w14:textId="77777777" w:rsidTr="00DF47DA">
        <w:trPr>
          <w:divId w:val="2080983081"/>
          <w:tblCellSpacing w:w="15" w:type="dxa"/>
        </w:trPr>
        <w:tc>
          <w:tcPr>
            <w:tcW w:w="280" w:type="pct"/>
            <w:hideMark/>
          </w:tcPr>
          <w:p w14:paraId="30E9F829" w14:textId="77777777" w:rsidR="00DF47DA" w:rsidRDefault="00DF47DA">
            <w:pPr>
              <w:pStyle w:val="Bibliography"/>
              <w:rPr>
                <w:noProof/>
              </w:rPr>
            </w:pPr>
            <w:r>
              <w:rPr>
                <w:noProof/>
              </w:rPr>
              <w:t xml:space="preserve">[2] </w:t>
            </w:r>
          </w:p>
        </w:tc>
        <w:tc>
          <w:tcPr>
            <w:tcW w:w="4675" w:type="pct"/>
            <w:hideMark/>
          </w:tcPr>
          <w:p w14:paraId="1AE20102" w14:textId="77777777" w:rsidR="00DF47DA" w:rsidRPr="004A7507" w:rsidRDefault="00DF47DA">
            <w:pPr>
              <w:pStyle w:val="Bibliography"/>
              <w:rPr>
                <w:noProof/>
                <w:lang w:val="fr-FR"/>
              </w:rPr>
            </w:pPr>
            <w:r>
              <w:rPr>
                <w:noProof/>
              </w:rPr>
              <w:t xml:space="preserve">G. C. Council, “Radiation Emergency Preparedness &amp; Public Information Regulations 2019,” [Online]. </w:t>
            </w:r>
            <w:r w:rsidRPr="004A7507">
              <w:rPr>
                <w:noProof/>
                <w:lang w:val="fr-FR"/>
              </w:rPr>
              <w:t>Available: https://www.gloucestershire.gov.uk/your-community/emergencies-and-your-safety/berkeley-site/radiation-emergency-preparedness-public-information-regulations-2019/.</w:t>
            </w:r>
          </w:p>
        </w:tc>
      </w:tr>
      <w:tr w:rsidR="00DF47DA" w14:paraId="5D5D690B" w14:textId="77777777" w:rsidTr="00DF47DA">
        <w:trPr>
          <w:divId w:val="2080983081"/>
          <w:tblCellSpacing w:w="15" w:type="dxa"/>
        </w:trPr>
        <w:tc>
          <w:tcPr>
            <w:tcW w:w="280" w:type="pct"/>
            <w:hideMark/>
          </w:tcPr>
          <w:p w14:paraId="12A13E32" w14:textId="77777777" w:rsidR="00DF47DA" w:rsidRDefault="00DF47DA">
            <w:pPr>
              <w:pStyle w:val="Bibliography"/>
              <w:rPr>
                <w:noProof/>
              </w:rPr>
            </w:pPr>
            <w:r>
              <w:rPr>
                <w:noProof/>
              </w:rPr>
              <w:t xml:space="preserve">[3] </w:t>
            </w:r>
          </w:p>
        </w:tc>
        <w:tc>
          <w:tcPr>
            <w:tcW w:w="4675" w:type="pct"/>
            <w:hideMark/>
          </w:tcPr>
          <w:p w14:paraId="4EDBB28B" w14:textId="77777777" w:rsidR="00DF47DA" w:rsidRDefault="00DF47DA">
            <w:pPr>
              <w:pStyle w:val="Bibliography"/>
              <w:rPr>
                <w:noProof/>
              </w:rPr>
            </w:pPr>
            <w:r>
              <w:rPr>
                <w:noProof/>
              </w:rPr>
              <w:t xml:space="preserve">NNB GenCo, TeamCenter No. 100753941: HPC-NNBOSL-U0-000-RES000150: HPC PCSR3 – Sub-chapter 1.2 – General Description of the Units: Version 3, 2016. </w:t>
            </w:r>
          </w:p>
        </w:tc>
      </w:tr>
      <w:tr w:rsidR="00DF47DA" w14:paraId="4C5F027F" w14:textId="77777777" w:rsidTr="00DF47DA">
        <w:trPr>
          <w:divId w:val="2080983081"/>
          <w:tblCellSpacing w:w="15" w:type="dxa"/>
        </w:trPr>
        <w:tc>
          <w:tcPr>
            <w:tcW w:w="280" w:type="pct"/>
            <w:hideMark/>
          </w:tcPr>
          <w:p w14:paraId="6393B013" w14:textId="77777777" w:rsidR="00DF47DA" w:rsidRDefault="00DF47DA">
            <w:pPr>
              <w:pStyle w:val="Bibliography"/>
              <w:rPr>
                <w:noProof/>
              </w:rPr>
            </w:pPr>
            <w:r>
              <w:rPr>
                <w:noProof/>
              </w:rPr>
              <w:t xml:space="preserve">[4] </w:t>
            </w:r>
          </w:p>
        </w:tc>
        <w:tc>
          <w:tcPr>
            <w:tcW w:w="4675" w:type="pct"/>
            <w:hideMark/>
          </w:tcPr>
          <w:p w14:paraId="33D6A404" w14:textId="77777777" w:rsidR="00DF47DA" w:rsidRDefault="00DF47DA">
            <w:pPr>
              <w:pStyle w:val="Bibliography"/>
              <w:rPr>
                <w:noProof/>
              </w:rPr>
            </w:pPr>
            <w:r>
              <w:rPr>
                <w:noProof/>
              </w:rPr>
              <w:t xml:space="preserve">NNB GenCo, TeamCenter No 100753910: HPC-NNBOSL-U0-000-RES-000087: HPC PCSR3 – Sub-chapter 2.2 –Plot Plan: Version 3, 2017. </w:t>
            </w:r>
          </w:p>
        </w:tc>
      </w:tr>
      <w:tr w:rsidR="00DF47DA" w14:paraId="4577EB2A" w14:textId="77777777" w:rsidTr="00DF47DA">
        <w:trPr>
          <w:divId w:val="2080983081"/>
          <w:tblCellSpacing w:w="15" w:type="dxa"/>
        </w:trPr>
        <w:tc>
          <w:tcPr>
            <w:tcW w:w="280" w:type="pct"/>
            <w:hideMark/>
          </w:tcPr>
          <w:p w14:paraId="73EFA231" w14:textId="77777777" w:rsidR="00DF47DA" w:rsidRDefault="00DF47DA">
            <w:pPr>
              <w:pStyle w:val="Bibliography"/>
              <w:rPr>
                <w:noProof/>
              </w:rPr>
            </w:pPr>
            <w:r>
              <w:rPr>
                <w:noProof/>
              </w:rPr>
              <w:t xml:space="preserve">[5] </w:t>
            </w:r>
          </w:p>
        </w:tc>
        <w:tc>
          <w:tcPr>
            <w:tcW w:w="4675" w:type="pct"/>
            <w:hideMark/>
          </w:tcPr>
          <w:p w14:paraId="4B2E2CC2" w14:textId="77777777" w:rsidR="00DF47DA" w:rsidRDefault="00DF47DA">
            <w:pPr>
              <w:pStyle w:val="Bibliography"/>
              <w:rPr>
                <w:noProof/>
              </w:rPr>
            </w:pPr>
            <w:r>
              <w:rPr>
                <w:noProof/>
              </w:rPr>
              <w:t xml:space="preserve">NNB GenCo, TeamCenter No. 100912074 - HPC Summary Safety Case Document #2: Section 4 – Summary of Plant Systems Description: Revision 02, 2023. </w:t>
            </w:r>
          </w:p>
        </w:tc>
      </w:tr>
      <w:tr w:rsidR="00DF47DA" w14:paraId="231AF4E4" w14:textId="77777777" w:rsidTr="00DF47DA">
        <w:trPr>
          <w:divId w:val="2080983081"/>
          <w:tblCellSpacing w:w="15" w:type="dxa"/>
        </w:trPr>
        <w:tc>
          <w:tcPr>
            <w:tcW w:w="280" w:type="pct"/>
            <w:hideMark/>
          </w:tcPr>
          <w:p w14:paraId="2485782F" w14:textId="77777777" w:rsidR="00DF47DA" w:rsidRDefault="00DF47DA">
            <w:pPr>
              <w:pStyle w:val="Bibliography"/>
              <w:rPr>
                <w:noProof/>
              </w:rPr>
            </w:pPr>
            <w:r>
              <w:rPr>
                <w:noProof/>
              </w:rPr>
              <w:t xml:space="preserve">[6] </w:t>
            </w:r>
          </w:p>
        </w:tc>
        <w:tc>
          <w:tcPr>
            <w:tcW w:w="4675" w:type="pct"/>
            <w:hideMark/>
          </w:tcPr>
          <w:p w14:paraId="2F607951" w14:textId="77777777" w:rsidR="00DF47DA" w:rsidRDefault="00DF47DA">
            <w:pPr>
              <w:pStyle w:val="Bibliography"/>
              <w:rPr>
                <w:noProof/>
              </w:rPr>
            </w:pPr>
            <w:r>
              <w:rPr>
                <w:noProof/>
              </w:rPr>
              <w:t xml:space="preserve">NNB GenCo, TeamCenter No. 100912079 - HPC Summary Safety Case Document #2: Section 7 – Summary of Radioactive Waste Management: Revision 02, 2012. </w:t>
            </w:r>
          </w:p>
        </w:tc>
      </w:tr>
      <w:tr w:rsidR="00DF47DA" w14:paraId="64740E06" w14:textId="77777777" w:rsidTr="00DF47DA">
        <w:trPr>
          <w:divId w:val="2080983081"/>
          <w:tblCellSpacing w:w="15" w:type="dxa"/>
        </w:trPr>
        <w:tc>
          <w:tcPr>
            <w:tcW w:w="280" w:type="pct"/>
            <w:hideMark/>
          </w:tcPr>
          <w:p w14:paraId="5C3187D9" w14:textId="77777777" w:rsidR="00DF47DA" w:rsidRDefault="00DF47DA">
            <w:pPr>
              <w:pStyle w:val="Bibliography"/>
              <w:rPr>
                <w:noProof/>
              </w:rPr>
            </w:pPr>
            <w:r>
              <w:rPr>
                <w:noProof/>
              </w:rPr>
              <w:t xml:space="preserve">[7] </w:t>
            </w:r>
          </w:p>
        </w:tc>
        <w:tc>
          <w:tcPr>
            <w:tcW w:w="4675" w:type="pct"/>
            <w:hideMark/>
          </w:tcPr>
          <w:p w14:paraId="7335726F" w14:textId="77777777" w:rsidR="00DF47DA" w:rsidRDefault="00DF47DA">
            <w:pPr>
              <w:pStyle w:val="Bibliography"/>
              <w:rPr>
                <w:noProof/>
              </w:rPr>
            </w:pPr>
            <w:r>
              <w:rPr>
                <w:noProof/>
              </w:rPr>
              <w:t xml:space="preserve">NNB GenCo, TeamCenter No. 100753949: HPC PCSR3 Sub-chapter 4.1 - Summary Description: Revision 002:, 2017. </w:t>
            </w:r>
          </w:p>
        </w:tc>
      </w:tr>
      <w:tr w:rsidR="00DF47DA" w14:paraId="4DBCA02F" w14:textId="77777777" w:rsidTr="00DF47DA">
        <w:trPr>
          <w:divId w:val="2080983081"/>
          <w:tblCellSpacing w:w="15" w:type="dxa"/>
        </w:trPr>
        <w:tc>
          <w:tcPr>
            <w:tcW w:w="280" w:type="pct"/>
            <w:hideMark/>
          </w:tcPr>
          <w:p w14:paraId="534AE634" w14:textId="77777777" w:rsidR="00DF47DA" w:rsidRDefault="00DF47DA">
            <w:pPr>
              <w:pStyle w:val="Bibliography"/>
              <w:rPr>
                <w:noProof/>
              </w:rPr>
            </w:pPr>
            <w:r>
              <w:rPr>
                <w:noProof/>
              </w:rPr>
              <w:t xml:space="preserve">[8] </w:t>
            </w:r>
          </w:p>
        </w:tc>
        <w:tc>
          <w:tcPr>
            <w:tcW w:w="4675" w:type="pct"/>
            <w:hideMark/>
          </w:tcPr>
          <w:p w14:paraId="7B6E338D" w14:textId="77777777" w:rsidR="00DF47DA" w:rsidRDefault="00DF47DA">
            <w:pPr>
              <w:pStyle w:val="Bibliography"/>
              <w:rPr>
                <w:noProof/>
              </w:rPr>
            </w:pPr>
            <w:r>
              <w:rPr>
                <w:noProof/>
              </w:rPr>
              <w:t xml:space="preserve">NNB GenCo, TeamCenter No. 100912073: HPC Summary Safety Case Document #2: Section 3 – Summary of Site Description: Revision 003:, 2023. </w:t>
            </w:r>
          </w:p>
        </w:tc>
      </w:tr>
      <w:tr w:rsidR="00DF47DA" w14:paraId="2FC4A151" w14:textId="77777777" w:rsidTr="00DF47DA">
        <w:trPr>
          <w:divId w:val="2080983081"/>
          <w:tblCellSpacing w:w="15" w:type="dxa"/>
        </w:trPr>
        <w:tc>
          <w:tcPr>
            <w:tcW w:w="280" w:type="pct"/>
            <w:hideMark/>
          </w:tcPr>
          <w:p w14:paraId="5859FD92" w14:textId="77777777" w:rsidR="00DF47DA" w:rsidRDefault="00DF47DA">
            <w:pPr>
              <w:pStyle w:val="Bibliography"/>
              <w:rPr>
                <w:noProof/>
              </w:rPr>
            </w:pPr>
            <w:r>
              <w:rPr>
                <w:noProof/>
              </w:rPr>
              <w:t xml:space="preserve">[9] </w:t>
            </w:r>
          </w:p>
        </w:tc>
        <w:tc>
          <w:tcPr>
            <w:tcW w:w="4675" w:type="pct"/>
            <w:hideMark/>
          </w:tcPr>
          <w:p w14:paraId="0F61A35B" w14:textId="77777777" w:rsidR="00DF47DA" w:rsidRDefault="00DF47DA">
            <w:pPr>
              <w:pStyle w:val="Bibliography"/>
              <w:rPr>
                <w:noProof/>
              </w:rPr>
            </w:pPr>
            <w:r>
              <w:rPr>
                <w:noProof/>
              </w:rPr>
              <w:t xml:space="preserve">ENSREG Topical Peer Review Westinghouse Springfields Fuels, Revision 1, April 2023. </w:t>
            </w:r>
          </w:p>
        </w:tc>
      </w:tr>
      <w:tr w:rsidR="00DF47DA" w14:paraId="4E34BCCE" w14:textId="77777777" w:rsidTr="00DF47DA">
        <w:trPr>
          <w:divId w:val="2080983081"/>
          <w:tblCellSpacing w:w="15" w:type="dxa"/>
        </w:trPr>
        <w:tc>
          <w:tcPr>
            <w:tcW w:w="280" w:type="pct"/>
            <w:hideMark/>
          </w:tcPr>
          <w:p w14:paraId="256D704D" w14:textId="77777777" w:rsidR="00DF47DA" w:rsidRDefault="00DF47DA">
            <w:pPr>
              <w:pStyle w:val="Bibliography"/>
              <w:rPr>
                <w:noProof/>
              </w:rPr>
            </w:pPr>
            <w:r>
              <w:rPr>
                <w:noProof/>
              </w:rPr>
              <w:t xml:space="preserve">[10] </w:t>
            </w:r>
          </w:p>
        </w:tc>
        <w:tc>
          <w:tcPr>
            <w:tcW w:w="4675" w:type="pct"/>
            <w:hideMark/>
          </w:tcPr>
          <w:p w14:paraId="727A0593" w14:textId="77777777" w:rsidR="00DF47DA" w:rsidRDefault="00DF47DA">
            <w:pPr>
              <w:pStyle w:val="Bibliography"/>
              <w:rPr>
                <w:noProof/>
              </w:rPr>
            </w:pPr>
            <w:r>
              <w:rPr>
                <w:noProof/>
              </w:rPr>
              <w:t xml:space="preserve">Dounreay Site Restoration Ltd, Dounreay's submission for the National Assessment Report on Fire Protection, Issue 2, April 2023. </w:t>
            </w:r>
          </w:p>
        </w:tc>
      </w:tr>
      <w:tr w:rsidR="00DF47DA" w14:paraId="2A975367" w14:textId="77777777" w:rsidTr="00DF47DA">
        <w:trPr>
          <w:divId w:val="2080983081"/>
          <w:tblCellSpacing w:w="15" w:type="dxa"/>
        </w:trPr>
        <w:tc>
          <w:tcPr>
            <w:tcW w:w="280" w:type="pct"/>
            <w:hideMark/>
          </w:tcPr>
          <w:p w14:paraId="583C13F6" w14:textId="77777777" w:rsidR="00DF47DA" w:rsidRDefault="00DF47DA">
            <w:pPr>
              <w:pStyle w:val="Bibliography"/>
              <w:rPr>
                <w:noProof/>
              </w:rPr>
            </w:pPr>
            <w:r>
              <w:rPr>
                <w:noProof/>
              </w:rPr>
              <w:t xml:space="preserve">[11] </w:t>
            </w:r>
          </w:p>
        </w:tc>
        <w:tc>
          <w:tcPr>
            <w:tcW w:w="4675" w:type="pct"/>
            <w:hideMark/>
          </w:tcPr>
          <w:p w14:paraId="13D69824" w14:textId="77777777" w:rsidR="00DF47DA" w:rsidRDefault="00DF47DA">
            <w:pPr>
              <w:pStyle w:val="Bibliography"/>
              <w:rPr>
                <w:noProof/>
              </w:rPr>
            </w:pPr>
            <w:r>
              <w:rPr>
                <w:noProof/>
              </w:rPr>
              <w:t xml:space="preserve">ENSREG, Terms of Reference for the Topical Peer Review Process on Fire Protection, April 2022. </w:t>
            </w:r>
          </w:p>
        </w:tc>
      </w:tr>
      <w:tr w:rsidR="00DF47DA" w:rsidRPr="004A7507" w14:paraId="6C6EA614" w14:textId="77777777" w:rsidTr="00DF47DA">
        <w:trPr>
          <w:divId w:val="2080983081"/>
          <w:tblCellSpacing w:w="15" w:type="dxa"/>
        </w:trPr>
        <w:tc>
          <w:tcPr>
            <w:tcW w:w="280" w:type="pct"/>
            <w:hideMark/>
          </w:tcPr>
          <w:p w14:paraId="0A676459" w14:textId="77777777" w:rsidR="00DF47DA" w:rsidRDefault="00DF47DA">
            <w:pPr>
              <w:pStyle w:val="Bibliography"/>
              <w:rPr>
                <w:noProof/>
              </w:rPr>
            </w:pPr>
            <w:r>
              <w:rPr>
                <w:noProof/>
              </w:rPr>
              <w:t xml:space="preserve">[12] </w:t>
            </w:r>
          </w:p>
        </w:tc>
        <w:tc>
          <w:tcPr>
            <w:tcW w:w="4675" w:type="pct"/>
            <w:hideMark/>
          </w:tcPr>
          <w:p w14:paraId="3B815A36" w14:textId="77777777" w:rsidR="00DF47DA" w:rsidRPr="004A7507" w:rsidRDefault="00DF47DA">
            <w:pPr>
              <w:pStyle w:val="Bibliography"/>
              <w:rPr>
                <w:noProof/>
                <w:lang w:val="fr-FR"/>
              </w:rPr>
            </w:pPr>
            <w:r>
              <w:rPr>
                <w:noProof/>
              </w:rPr>
              <w:t xml:space="preserve">UK Parliament, “The Energy Act,” 2013. </w:t>
            </w:r>
            <w:r w:rsidRPr="004A7507">
              <w:rPr>
                <w:noProof/>
                <w:lang w:val="fr-FR"/>
              </w:rPr>
              <w:t>[Online]. Available: https://www.legislation.gov.uk/ukpga/2013/32/contents.</w:t>
            </w:r>
          </w:p>
        </w:tc>
      </w:tr>
      <w:tr w:rsidR="00DF47DA" w14:paraId="0CEAABEE" w14:textId="77777777" w:rsidTr="00DF47DA">
        <w:trPr>
          <w:divId w:val="2080983081"/>
          <w:tblCellSpacing w:w="15" w:type="dxa"/>
        </w:trPr>
        <w:tc>
          <w:tcPr>
            <w:tcW w:w="280" w:type="pct"/>
            <w:hideMark/>
          </w:tcPr>
          <w:p w14:paraId="6BE62CA6" w14:textId="77777777" w:rsidR="00DF47DA" w:rsidRDefault="00DF47DA">
            <w:pPr>
              <w:pStyle w:val="Bibliography"/>
              <w:rPr>
                <w:noProof/>
              </w:rPr>
            </w:pPr>
            <w:r>
              <w:rPr>
                <w:noProof/>
              </w:rPr>
              <w:t xml:space="preserve">[13] </w:t>
            </w:r>
          </w:p>
        </w:tc>
        <w:tc>
          <w:tcPr>
            <w:tcW w:w="4675" w:type="pct"/>
            <w:hideMark/>
          </w:tcPr>
          <w:p w14:paraId="784BBEFB" w14:textId="77777777" w:rsidR="00DF47DA" w:rsidRDefault="00DF47DA">
            <w:pPr>
              <w:pStyle w:val="Bibliography"/>
              <w:rPr>
                <w:noProof/>
              </w:rPr>
            </w:pPr>
            <w:r>
              <w:rPr>
                <w:noProof/>
              </w:rPr>
              <w:t>UK Parliament, “Health and Safety at Work etc. Act,” 1974. [Online]. Available: https://www.legislation.gov.uk/ukpga/1974/37/contents.</w:t>
            </w:r>
          </w:p>
        </w:tc>
      </w:tr>
      <w:tr w:rsidR="00DF47DA" w:rsidRPr="004A7507" w14:paraId="1B42E58B" w14:textId="77777777" w:rsidTr="00DF47DA">
        <w:trPr>
          <w:divId w:val="2080983081"/>
          <w:tblCellSpacing w:w="15" w:type="dxa"/>
        </w:trPr>
        <w:tc>
          <w:tcPr>
            <w:tcW w:w="280" w:type="pct"/>
            <w:hideMark/>
          </w:tcPr>
          <w:p w14:paraId="21D28FF8" w14:textId="77777777" w:rsidR="00DF47DA" w:rsidRDefault="00DF47DA">
            <w:pPr>
              <w:pStyle w:val="Bibliography"/>
              <w:rPr>
                <w:noProof/>
              </w:rPr>
            </w:pPr>
            <w:r>
              <w:rPr>
                <w:noProof/>
              </w:rPr>
              <w:t xml:space="preserve">[14] </w:t>
            </w:r>
          </w:p>
        </w:tc>
        <w:tc>
          <w:tcPr>
            <w:tcW w:w="4675" w:type="pct"/>
            <w:hideMark/>
          </w:tcPr>
          <w:p w14:paraId="25E9F403" w14:textId="77777777" w:rsidR="00DF47DA" w:rsidRPr="004A7507" w:rsidRDefault="00DF47DA">
            <w:pPr>
              <w:pStyle w:val="Bibliography"/>
              <w:rPr>
                <w:noProof/>
                <w:lang w:val="fr-FR"/>
              </w:rPr>
            </w:pPr>
            <w:r>
              <w:rPr>
                <w:noProof/>
              </w:rPr>
              <w:t xml:space="preserve">UK Parliament, “Nuclear Installations Act 1965,” [Online]. </w:t>
            </w:r>
            <w:r w:rsidRPr="004A7507">
              <w:rPr>
                <w:noProof/>
                <w:lang w:val="fr-FR"/>
              </w:rPr>
              <w:t>Available: https://www.legislation.gov.uk/ukpga/1965/57/contents.</w:t>
            </w:r>
          </w:p>
        </w:tc>
      </w:tr>
      <w:tr w:rsidR="00DF47DA" w14:paraId="71904180" w14:textId="77777777" w:rsidTr="00DF47DA">
        <w:trPr>
          <w:divId w:val="2080983081"/>
          <w:tblCellSpacing w:w="15" w:type="dxa"/>
        </w:trPr>
        <w:tc>
          <w:tcPr>
            <w:tcW w:w="280" w:type="pct"/>
            <w:hideMark/>
          </w:tcPr>
          <w:p w14:paraId="706CBFCA" w14:textId="77777777" w:rsidR="00DF47DA" w:rsidRDefault="00DF47DA">
            <w:pPr>
              <w:pStyle w:val="Bibliography"/>
              <w:rPr>
                <w:noProof/>
              </w:rPr>
            </w:pPr>
            <w:r>
              <w:rPr>
                <w:noProof/>
              </w:rPr>
              <w:t xml:space="preserve">[15] </w:t>
            </w:r>
          </w:p>
        </w:tc>
        <w:tc>
          <w:tcPr>
            <w:tcW w:w="4675" w:type="pct"/>
            <w:hideMark/>
          </w:tcPr>
          <w:p w14:paraId="17068E5D" w14:textId="77777777" w:rsidR="00DF47DA" w:rsidRDefault="00DF47DA">
            <w:pPr>
              <w:pStyle w:val="Bibliography"/>
              <w:rPr>
                <w:noProof/>
              </w:rPr>
            </w:pPr>
            <w:r>
              <w:rPr>
                <w:noProof/>
              </w:rPr>
              <w:t xml:space="preserve">Office for Nuclear Regulation, Safety Assessment Principles for Nuclear Facilities, 2014 Edition, Revision 1, January 2020. </w:t>
            </w:r>
          </w:p>
        </w:tc>
      </w:tr>
      <w:tr w:rsidR="00DF47DA" w14:paraId="7BBE2836" w14:textId="77777777" w:rsidTr="00DF47DA">
        <w:trPr>
          <w:divId w:val="2080983081"/>
          <w:tblCellSpacing w:w="15" w:type="dxa"/>
        </w:trPr>
        <w:tc>
          <w:tcPr>
            <w:tcW w:w="280" w:type="pct"/>
            <w:hideMark/>
          </w:tcPr>
          <w:p w14:paraId="462DC2C9" w14:textId="77777777" w:rsidR="00DF47DA" w:rsidRDefault="00DF47DA">
            <w:pPr>
              <w:pStyle w:val="Bibliography"/>
              <w:rPr>
                <w:noProof/>
              </w:rPr>
            </w:pPr>
            <w:r>
              <w:rPr>
                <w:noProof/>
              </w:rPr>
              <w:t xml:space="preserve">[16] </w:t>
            </w:r>
          </w:p>
        </w:tc>
        <w:tc>
          <w:tcPr>
            <w:tcW w:w="4675" w:type="pct"/>
            <w:hideMark/>
          </w:tcPr>
          <w:p w14:paraId="64967973" w14:textId="77777777" w:rsidR="00DF47DA" w:rsidRDefault="00DF47DA">
            <w:pPr>
              <w:pStyle w:val="Bibliography"/>
              <w:rPr>
                <w:noProof/>
              </w:rPr>
            </w:pPr>
            <w:r>
              <w:rPr>
                <w:noProof/>
              </w:rPr>
              <w:t>Office for Nuclear Regulation, “NS-TAST-GD-014, Internal Hazards, Issue No. 7.1”.</w:t>
            </w:r>
          </w:p>
        </w:tc>
      </w:tr>
      <w:tr w:rsidR="00DF47DA" w14:paraId="782B80A5" w14:textId="77777777" w:rsidTr="00DF47DA">
        <w:trPr>
          <w:divId w:val="2080983081"/>
          <w:tblCellSpacing w:w="15" w:type="dxa"/>
        </w:trPr>
        <w:tc>
          <w:tcPr>
            <w:tcW w:w="280" w:type="pct"/>
            <w:hideMark/>
          </w:tcPr>
          <w:p w14:paraId="49198DFD" w14:textId="77777777" w:rsidR="00DF47DA" w:rsidRDefault="00DF47DA">
            <w:pPr>
              <w:pStyle w:val="Bibliography"/>
              <w:rPr>
                <w:noProof/>
              </w:rPr>
            </w:pPr>
            <w:r>
              <w:rPr>
                <w:noProof/>
              </w:rPr>
              <w:t xml:space="preserve">[17] </w:t>
            </w:r>
          </w:p>
        </w:tc>
        <w:tc>
          <w:tcPr>
            <w:tcW w:w="4675" w:type="pct"/>
            <w:hideMark/>
          </w:tcPr>
          <w:p w14:paraId="7468EBD0" w14:textId="77777777" w:rsidR="00DF47DA" w:rsidRDefault="00DF47DA">
            <w:pPr>
              <w:pStyle w:val="Bibliography"/>
              <w:rPr>
                <w:noProof/>
              </w:rPr>
            </w:pPr>
            <w:r>
              <w:rPr>
                <w:noProof/>
              </w:rPr>
              <w:t xml:space="preserve">International Atomic Energy Agency, Protection against Internal Hazards in the Design of Nuclear Power Plants, IAEA Safety Standards Series No. SSG-64, IAEA, Vienna, 2021. </w:t>
            </w:r>
          </w:p>
        </w:tc>
      </w:tr>
      <w:tr w:rsidR="00DF47DA" w14:paraId="05C0A5EE" w14:textId="77777777" w:rsidTr="00DF47DA">
        <w:trPr>
          <w:divId w:val="2080983081"/>
          <w:tblCellSpacing w:w="15" w:type="dxa"/>
        </w:trPr>
        <w:tc>
          <w:tcPr>
            <w:tcW w:w="280" w:type="pct"/>
            <w:hideMark/>
          </w:tcPr>
          <w:p w14:paraId="37F34456" w14:textId="77777777" w:rsidR="00DF47DA" w:rsidRDefault="00DF47DA">
            <w:pPr>
              <w:pStyle w:val="Bibliography"/>
              <w:rPr>
                <w:noProof/>
              </w:rPr>
            </w:pPr>
            <w:r>
              <w:rPr>
                <w:noProof/>
              </w:rPr>
              <w:t xml:space="preserve">[18] </w:t>
            </w:r>
          </w:p>
        </w:tc>
        <w:tc>
          <w:tcPr>
            <w:tcW w:w="4675" w:type="pct"/>
            <w:hideMark/>
          </w:tcPr>
          <w:p w14:paraId="0A915D9A" w14:textId="77777777" w:rsidR="00DF47DA" w:rsidRDefault="00DF47DA">
            <w:pPr>
              <w:pStyle w:val="Bibliography"/>
              <w:rPr>
                <w:noProof/>
              </w:rPr>
            </w:pPr>
            <w:r>
              <w:rPr>
                <w:noProof/>
              </w:rPr>
              <w:t xml:space="preserve">International Atomic Energy Agency, Protection Against Internal and External Hazards in the Operation of Nuclear Power Plants, IAEA Safety Standards Series No. SSG-77, IAEA, Vienna, 2022. </w:t>
            </w:r>
          </w:p>
        </w:tc>
      </w:tr>
      <w:tr w:rsidR="00DF47DA" w14:paraId="2F5657E8" w14:textId="77777777" w:rsidTr="00DF47DA">
        <w:trPr>
          <w:divId w:val="2080983081"/>
          <w:tblCellSpacing w:w="15" w:type="dxa"/>
        </w:trPr>
        <w:tc>
          <w:tcPr>
            <w:tcW w:w="280" w:type="pct"/>
            <w:hideMark/>
          </w:tcPr>
          <w:p w14:paraId="4AAA4BCA" w14:textId="77777777" w:rsidR="00DF47DA" w:rsidRDefault="00DF47DA">
            <w:pPr>
              <w:pStyle w:val="Bibliography"/>
              <w:rPr>
                <w:noProof/>
              </w:rPr>
            </w:pPr>
            <w:r>
              <w:rPr>
                <w:noProof/>
              </w:rPr>
              <w:t xml:space="preserve">[19] </w:t>
            </w:r>
          </w:p>
        </w:tc>
        <w:tc>
          <w:tcPr>
            <w:tcW w:w="4675" w:type="pct"/>
            <w:hideMark/>
          </w:tcPr>
          <w:p w14:paraId="022A644C" w14:textId="77777777" w:rsidR="00DF47DA" w:rsidRDefault="00DF47DA">
            <w:pPr>
              <w:pStyle w:val="Bibliography"/>
              <w:rPr>
                <w:noProof/>
              </w:rPr>
            </w:pPr>
            <w:r>
              <w:rPr>
                <w:noProof/>
              </w:rPr>
              <w:t xml:space="preserve">International Atomic Energy Agency, Safety of Nuclear Fuel Cycle Facilities, IAEA Safety Standards Series No. SSR-4, IAEA, Vienna, 2017. </w:t>
            </w:r>
          </w:p>
        </w:tc>
      </w:tr>
      <w:tr w:rsidR="00DF47DA" w14:paraId="48CAC76B" w14:textId="77777777" w:rsidTr="00DF47DA">
        <w:trPr>
          <w:divId w:val="2080983081"/>
          <w:tblCellSpacing w:w="15" w:type="dxa"/>
        </w:trPr>
        <w:tc>
          <w:tcPr>
            <w:tcW w:w="280" w:type="pct"/>
            <w:hideMark/>
          </w:tcPr>
          <w:p w14:paraId="1E771DC7" w14:textId="77777777" w:rsidR="00DF47DA" w:rsidRDefault="00DF47DA">
            <w:pPr>
              <w:pStyle w:val="Bibliography"/>
              <w:rPr>
                <w:noProof/>
              </w:rPr>
            </w:pPr>
            <w:r>
              <w:rPr>
                <w:noProof/>
              </w:rPr>
              <w:t xml:space="preserve">[20] </w:t>
            </w:r>
          </w:p>
        </w:tc>
        <w:tc>
          <w:tcPr>
            <w:tcW w:w="4675" w:type="pct"/>
            <w:hideMark/>
          </w:tcPr>
          <w:p w14:paraId="5ABE1224" w14:textId="77777777" w:rsidR="00DF47DA" w:rsidRDefault="00DF47DA">
            <w:pPr>
              <w:pStyle w:val="Bibliography"/>
              <w:rPr>
                <w:noProof/>
              </w:rPr>
            </w:pPr>
            <w:r>
              <w:rPr>
                <w:noProof/>
              </w:rPr>
              <w:t>“The Regulatory Reform (Fire Safety) Order 2005 No. 1541. Statutory Instruments.,” 2005. [Online]. Available: https://www.legislation.gov.uk/uksi/2005/1541/contents.</w:t>
            </w:r>
          </w:p>
        </w:tc>
      </w:tr>
      <w:tr w:rsidR="00DF47DA" w14:paraId="0AD57C23" w14:textId="77777777" w:rsidTr="00DF47DA">
        <w:trPr>
          <w:divId w:val="2080983081"/>
          <w:tblCellSpacing w:w="15" w:type="dxa"/>
        </w:trPr>
        <w:tc>
          <w:tcPr>
            <w:tcW w:w="280" w:type="pct"/>
            <w:hideMark/>
          </w:tcPr>
          <w:p w14:paraId="265133A2" w14:textId="77777777" w:rsidR="00DF47DA" w:rsidRDefault="00DF47DA">
            <w:pPr>
              <w:pStyle w:val="Bibliography"/>
              <w:rPr>
                <w:noProof/>
              </w:rPr>
            </w:pPr>
            <w:r>
              <w:rPr>
                <w:noProof/>
              </w:rPr>
              <w:t xml:space="preserve">[21] </w:t>
            </w:r>
          </w:p>
        </w:tc>
        <w:tc>
          <w:tcPr>
            <w:tcW w:w="4675" w:type="pct"/>
            <w:hideMark/>
          </w:tcPr>
          <w:p w14:paraId="14368693" w14:textId="77777777" w:rsidR="00DF47DA" w:rsidRDefault="00DF47DA">
            <w:pPr>
              <w:pStyle w:val="Bibliography"/>
              <w:rPr>
                <w:noProof/>
              </w:rPr>
            </w:pPr>
            <w:r>
              <w:rPr>
                <w:noProof/>
              </w:rPr>
              <w:t>“Fire Scotland Act,” 2005. [Online]. Available: https://www.legislation.gov.uk/asp/2005/5/contents.</w:t>
            </w:r>
          </w:p>
        </w:tc>
      </w:tr>
      <w:tr w:rsidR="00DF47DA" w14:paraId="1357941C" w14:textId="77777777" w:rsidTr="00DF47DA">
        <w:trPr>
          <w:divId w:val="2080983081"/>
          <w:tblCellSpacing w:w="15" w:type="dxa"/>
        </w:trPr>
        <w:tc>
          <w:tcPr>
            <w:tcW w:w="280" w:type="pct"/>
            <w:hideMark/>
          </w:tcPr>
          <w:p w14:paraId="3B08102D" w14:textId="77777777" w:rsidR="00DF47DA" w:rsidRDefault="00DF47DA">
            <w:pPr>
              <w:pStyle w:val="Bibliography"/>
              <w:rPr>
                <w:noProof/>
              </w:rPr>
            </w:pPr>
            <w:r>
              <w:rPr>
                <w:noProof/>
              </w:rPr>
              <w:t xml:space="preserve">[22] </w:t>
            </w:r>
          </w:p>
        </w:tc>
        <w:tc>
          <w:tcPr>
            <w:tcW w:w="4675" w:type="pct"/>
            <w:hideMark/>
          </w:tcPr>
          <w:p w14:paraId="3F61506F" w14:textId="77777777" w:rsidR="00DF47DA" w:rsidRDefault="00DF47DA">
            <w:pPr>
              <w:pStyle w:val="Bibliography"/>
              <w:rPr>
                <w:noProof/>
              </w:rPr>
            </w:pPr>
            <w:r>
              <w:rPr>
                <w:noProof/>
              </w:rPr>
              <w:t xml:space="preserve">HM Govenment, The Dangerous Substances and Explosive Atmospheres Regulations 2002, UK Statutory Instruments 2002 No 2776. </w:t>
            </w:r>
          </w:p>
        </w:tc>
      </w:tr>
      <w:tr w:rsidR="00DF47DA" w14:paraId="789AFDE9" w14:textId="77777777" w:rsidTr="00DF47DA">
        <w:trPr>
          <w:divId w:val="2080983081"/>
          <w:tblCellSpacing w:w="15" w:type="dxa"/>
        </w:trPr>
        <w:tc>
          <w:tcPr>
            <w:tcW w:w="280" w:type="pct"/>
            <w:hideMark/>
          </w:tcPr>
          <w:p w14:paraId="21D9AB39" w14:textId="77777777" w:rsidR="00DF47DA" w:rsidRDefault="00DF47DA">
            <w:pPr>
              <w:pStyle w:val="Bibliography"/>
              <w:rPr>
                <w:noProof/>
              </w:rPr>
            </w:pPr>
            <w:r>
              <w:rPr>
                <w:noProof/>
              </w:rPr>
              <w:t xml:space="preserve">[23] </w:t>
            </w:r>
          </w:p>
        </w:tc>
        <w:tc>
          <w:tcPr>
            <w:tcW w:w="4675" w:type="pct"/>
            <w:hideMark/>
          </w:tcPr>
          <w:p w14:paraId="368A7443" w14:textId="77777777" w:rsidR="00DF47DA" w:rsidRDefault="00DF47DA">
            <w:pPr>
              <w:pStyle w:val="Bibliography"/>
              <w:rPr>
                <w:noProof/>
              </w:rPr>
            </w:pPr>
            <w:r>
              <w:rPr>
                <w:noProof/>
              </w:rPr>
              <w:t>HM Government, “Control of Major Accident Hazards Regulations 2015. No. 483. Statutory Instruments.,” 2015. [Online]. Available: https://www.legislation.gov.uk/uksi/2015/483/contents.</w:t>
            </w:r>
          </w:p>
        </w:tc>
      </w:tr>
      <w:tr w:rsidR="00DF47DA" w14:paraId="71AE48AA" w14:textId="77777777" w:rsidTr="00DF47DA">
        <w:trPr>
          <w:divId w:val="2080983081"/>
          <w:tblCellSpacing w:w="15" w:type="dxa"/>
        </w:trPr>
        <w:tc>
          <w:tcPr>
            <w:tcW w:w="280" w:type="pct"/>
            <w:hideMark/>
          </w:tcPr>
          <w:p w14:paraId="6D0BD019" w14:textId="77777777" w:rsidR="00DF47DA" w:rsidRDefault="00DF47DA">
            <w:pPr>
              <w:pStyle w:val="Bibliography"/>
              <w:rPr>
                <w:noProof/>
              </w:rPr>
            </w:pPr>
            <w:r>
              <w:rPr>
                <w:noProof/>
              </w:rPr>
              <w:t xml:space="preserve">[24] </w:t>
            </w:r>
          </w:p>
        </w:tc>
        <w:tc>
          <w:tcPr>
            <w:tcW w:w="4675" w:type="pct"/>
            <w:hideMark/>
          </w:tcPr>
          <w:p w14:paraId="793B440B" w14:textId="77777777" w:rsidR="00DF47DA" w:rsidRDefault="00DF47DA">
            <w:pPr>
              <w:pStyle w:val="Bibliography"/>
              <w:rPr>
                <w:noProof/>
              </w:rPr>
            </w:pPr>
            <w:r>
              <w:rPr>
                <w:noProof/>
              </w:rPr>
              <w:t xml:space="preserve">HM Government, The Construction (Design and Management) Regulations 2015, UK Statutory Instruments, 2015 No 51. </w:t>
            </w:r>
          </w:p>
        </w:tc>
      </w:tr>
      <w:tr w:rsidR="00DF47DA" w14:paraId="6B9DD0E8" w14:textId="77777777" w:rsidTr="00DF47DA">
        <w:trPr>
          <w:divId w:val="2080983081"/>
          <w:tblCellSpacing w:w="15" w:type="dxa"/>
        </w:trPr>
        <w:tc>
          <w:tcPr>
            <w:tcW w:w="280" w:type="pct"/>
            <w:hideMark/>
          </w:tcPr>
          <w:p w14:paraId="46268689" w14:textId="77777777" w:rsidR="00DF47DA" w:rsidRDefault="00DF47DA">
            <w:pPr>
              <w:pStyle w:val="Bibliography"/>
              <w:rPr>
                <w:noProof/>
              </w:rPr>
            </w:pPr>
            <w:r>
              <w:rPr>
                <w:noProof/>
              </w:rPr>
              <w:t xml:space="preserve">[25] </w:t>
            </w:r>
          </w:p>
        </w:tc>
        <w:tc>
          <w:tcPr>
            <w:tcW w:w="4675" w:type="pct"/>
            <w:hideMark/>
          </w:tcPr>
          <w:p w14:paraId="4F041B72" w14:textId="77777777" w:rsidR="00DF47DA" w:rsidRDefault="00DF47DA">
            <w:pPr>
              <w:pStyle w:val="Bibliography"/>
              <w:rPr>
                <w:noProof/>
              </w:rPr>
            </w:pPr>
            <w:r>
              <w:rPr>
                <w:noProof/>
              </w:rPr>
              <w:t xml:space="preserve">EDF Nuclear Generation Limited, ENSREG 2nd Topical Peer Review for Fire Protection - UK Stations Hunterston B, Heysham 2, Sizewell B DAO/REP/JIEF/097/GEN/22 Rev 0, May 2023. </w:t>
            </w:r>
          </w:p>
        </w:tc>
      </w:tr>
      <w:tr w:rsidR="00DF47DA" w14:paraId="3DB49D3B" w14:textId="77777777" w:rsidTr="00DF47DA">
        <w:trPr>
          <w:divId w:val="2080983081"/>
          <w:tblCellSpacing w:w="15" w:type="dxa"/>
        </w:trPr>
        <w:tc>
          <w:tcPr>
            <w:tcW w:w="280" w:type="pct"/>
            <w:hideMark/>
          </w:tcPr>
          <w:p w14:paraId="20645516" w14:textId="77777777" w:rsidR="00DF47DA" w:rsidRDefault="00DF47DA">
            <w:pPr>
              <w:pStyle w:val="Bibliography"/>
              <w:rPr>
                <w:noProof/>
              </w:rPr>
            </w:pPr>
            <w:r>
              <w:rPr>
                <w:noProof/>
              </w:rPr>
              <w:t xml:space="preserve">[26] </w:t>
            </w:r>
          </w:p>
        </w:tc>
        <w:tc>
          <w:tcPr>
            <w:tcW w:w="4675" w:type="pct"/>
            <w:hideMark/>
          </w:tcPr>
          <w:p w14:paraId="4420E9C2" w14:textId="77777777" w:rsidR="00DF47DA" w:rsidRDefault="00DF47DA">
            <w:pPr>
              <w:pStyle w:val="Bibliography"/>
              <w:rPr>
                <w:noProof/>
              </w:rPr>
            </w:pPr>
            <w:r>
              <w:rPr>
                <w:noProof/>
              </w:rPr>
              <w:t xml:space="preserve">EDF NGL, ONR comments and queries on EDF NGL TPR report - EDF responses, CM9 Ref. 2023/45263, 2023. </w:t>
            </w:r>
          </w:p>
        </w:tc>
      </w:tr>
      <w:tr w:rsidR="00DF47DA" w14:paraId="3A642A6C" w14:textId="77777777" w:rsidTr="00DF47DA">
        <w:trPr>
          <w:divId w:val="2080983081"/>
          <w:tblCellSpacing w:w="15" w:type="dxa"/>
        </w:trPr>
        <w:tc>
          <w:tcPr>
            <w:tcW w:w="280" w:type="pct"/>
            <w:hideMark/>
          </w:tcPr>
          <w:p w14:paraId="5500AD89" w14:textId="77777777" w:rsidR="00DF47DA" w:rsidRDefault="00DF47DA">
            <w:pPr>
              <w:pStyle w:val="Bibliography"/>
              <w:rPr>
                <w:noProof/>
              </w:rPr>
            </w:pPr>
            <w:r>
              <w:rPr>
                <w:noProof/>
              </w:rPr>
              <w:t xml:space="preserve">[27] </w:t>
            </w:r>
          </w:p>
        </w:tc>
        <w:tc>
          <w:tcPr>
            <w:tcW w:w="4675" w:type="pct"/>
            <w:hideMark/>
          </w:tcPr>
          <w:p w14:paraId="160E3717" w14:textId="77777777" w:rsidR="00DF47DA" w:rsidRDefault="00DF47DA">
            <w:pPr>
              <w:pStyle w:val="Bibliography"/>
              <w:rPr>
                <w:noProof/>
              </w:rPr>
            </w:pPr>
            <w:r>
              <w:rPr>
                <w:noProof/>
              </w:rPr>
              <w:t xml:space="preserve">HSE, The Tolerability of Risk from Nuclear Power Stations, 1992. </w:t>
            </w:r>
          </w:p>
        </w:tc>
      </w:tr>
      <w:tr w:rsidR="00DF47DA" w14:paraId="657F61B6" w14:textId="77777777" w:rsidTr="00DF47DA">
        <w:trPr>
          <w:divId w:val="2080983081"/>
          <w:tblCellSpacing w:w="15" w:type="dxa"/>
        </w:trPr>
        <w:tc>
          <w:tcPr>
            <w:tcW w:w="280" w:type="pct"/>
            <w:hideMark/>
          </w:tcPr>
          <w:p w14:paraId="2FBC4C80" w14:textId="77777777" w:rsidR="00DF47DA" w:rsidRDefault="00DF47DA">
            <w:pPr>
              <w:pStyle w:val="Bibliography"/>
              <w:rPr>
                <w:noProof/>
              </w:rPr>
            </w:pPr>
            <w:r>
              <w:rPr>
                <w:noProof/>
              </w:rPr>
              <w:t xml:space="preserve">[28] </w:t>
            </w:r>
          </w:p>
        </w:tc>
        <w:tc>
          <w:tcPr>
            <w:tcW w:w="4675" w:type="pct"/>
            <w:hideMark/>
          </w:tcPr>
          <w:p w14:paraId="65CF871D" w14:textId="77777777" w:rsidR="00DF47DA" w:rsidRDefault="00DF47DA">
            <w:pPr>
              <w:pStyle w:val="Bibliography"/>
              <w:rPr>
                <w:noProof/>
              </w:rPr>
            </w:pPr>
            <w:r>
              <w:rPr>
                <w:noProof/>
              </w:rPr>
              <w:t xml:space="preserve">Society of Fire Protection Engineers, Handbook of Fire Protection Engineering, Edition 5, 2016. </w:t>
            </w:r>
          </w:p>
        </w:tc>
      </w:tr>
      <w:tr w:rsidR="00DF47DA" w14:paraId="0F5060D2" w14:textId="77777777" w:rsidTr="00DF47DA">
        <w:trPr>
          <w:divId w:val="2080983081"/>
          <w:tblCellSpacing w:w="15" w:type="dxa"/>
        </w:trPr>
        <w:tc>
          <w:tcPr>
            <w:tcW w:w="280" w:type="pct"/>
            <w:hideMark/>
          </w:tcPr>
          <w:p w14:paraId="62D47ED2" w14:textId="77777777" w:rsidR="00DF47DA" w:rsidRDefault="00DF47DA">
            <w:pPr>
              <w:pStyle w:val="Bibliography"/>
              <w:rPr>
                <w:noProof/>
              </w:rPr>
            </w:pPr>
            <w:r>
              <w:rPr>
                <w:noProof/>
              </w:rPr>
              <w:t xml:space="preserve">[29] </w:t>
            </w:r>
          </w:p>
        </w:tc>
        <w:tc>
          <w:tcPr>
            <w:tcW w:w="4675" w:type="pct"/>
            <w:hideMark/>
          </w:tcPr>
          <w:p w14:paraId="0D123A39" w14:textId="77777777" w:rsidR="00DF47DA" w:rsidRDefault="00DF47DA">
            <w:pPr>
              <w:pStyle w:val="Bibliography"/>
              <w:rPr>
                <w:noProof/>
              </w:rPr>
            </w:pPr>
            <w:r>
              <w:rPr>
                <w:noProof/>
              </w:rPr>
              <w:t xml:space="preserve">D. Drysdale, An Introduction to Fire Dynamics, Wiley, ISBN:9780470319031, 2011. </w:t>
            </w:r>
          </w:p>
        </w:tc>
      </w:tr>
      <w:tr w:rsidR="00DF47DA" w:rsidRPr="004A7507" w14:paraId="084E1189" w14:textId="77777777" w:rsidTr="00DF47DA">
        <w:trPr>
          <w:divId w:val="2080983081"/>
          <w:tblCellSpacing w:w="15" w:type="dxa"/>
        </w:trPr>
        <w:tc>
          <w:tcPr>
            <w:tcW w:w="280" w:type="pct"/>
            <w:hideMark/>
          </w:tcPr>
          <w:p w14:paraId="199F100A" w14:textId="77777777" w:rsidR="00DF47DA" w:rsidRDefault="00DF47DA">
            <w:pPr>
              <w:pStyle w:val="Bibliography"/>
              <w:rPr>
                <w:noProof/>
              </w:rPr>
            </w:pPr>
            <w:r>
              <w:rPr>
                <w:noProof/>
              </w:rPr>
              <w:t xml:space="preserve">[30] </w:t>
            </w:r>
          </w:p>
        </w:tc>
        <w:tc>
          <w:tcPr>
            <w:tcW w:w="4675" w:type="pct"/>
            <w:hideMark/>
          </w:tcPr>
          <w:p w14:paraId="06370882" w14:textId="77777777" w:rsidR="00DF47DA" w:rsidRPr="004A7507" w:rsidRDefault="00DF47DA">
            <w:pPr>
              <w:pStyle w:val="Bibliography"/>
              <w:rPr>
                <w:noProof/>
                <w:lang w:val="fr-FR"/>
              </w:rPr>
            </w:pPr>
            <w:r>
              <w:rPr>
                <w:noProof/>
              </w:rPr>
              <w:t xml:space="preserve">HM Government, “Electricity at Work Regulations,” 1989. </w:t>
            </w:r>
            <w:r w:rsidRPr="004A7507">
              <w:rPr>
                <w:noProof/>
                <w:lang w:val="fr-FR"/>
              </w:rPr>
              <w:t>[Online]. Available: https://www.legislation.gov.uk/uksi/1989/635/contents.</w:t>
            </w:r>
          </w:p>
        </w:tc>
      </w:tr>
      <w:tr w:rsidR="00DF47DA" w14:paraId="443AAF20" w14:textId="77777777" w:rsidTr="00DF47DA">
        <w:trPr>
          <w:divId w:val="2080983081"/>
          <w:tblCellSpacing w:w="15" w:type="dxa"/>
        </w:trPr>
        <w:tc>
          <w:tcPr>
            <w:tcW w:w="280" w:type="pct"/>
            <w:hideMark/>
          </w:tcPr>
          <w:p w14:paraId="360371FD" w14:textId="77777777" w:rsidR="00DF47DA" w:rsidRDefault="00DF47DA">
            <w:pPr>
              <w:pStyle w:val="Bibliography"/>
              <w:rPr>
                <w:noProof/>
              </w:rPr>
            </w:pPr>
            <w:r>
              <w:rPr>
                <w:noProof/>
              </w:rPr>
              <w:t xml:space="preserve">[31] </w:t>
            </w:r>
          </w:p>
        </w:tc>
        <w:tc>
          <w:tcPr>
            <w:tcW w:w="4675" w:type="pct"/>
            <w:hideMark/>
          </w:tcPr>
          <w:p w14:paraId="3D38B9BF" w14:textId="77777777" w:rsidR="00DF47DA" w:rsidRDefault="00DF47DA">
            <w:pPr>
              <w:pStyle w:val="Bibliography"/>
              <w:rPr>
                <w:noProof/>
              </w:rPr>
            </w:pPr>
            <w:r>
              <w:rPr>
                <w:noProof/>
              </w:rPr>
              <w:t xml:space="preserve">International Atomic Energy Agency, Safety of Nuclear Power Plants: Design, IAEA Safety Standards Series No. SSR-2/1 (Rev. 1), IAEA, Vienna, 2016. </w:t>
            </w:r>
          </w:p>
        </w:tc>
      </w:tr>
      <w:tr w:rsidR="00DF47DA" w14:paraId="7CD1B52A" w14:textId="77777777" w:rsidTr="00DF47DA">
        <w:trPr>
          <w:divId w:val="2080983081"/>
          <w:tblCellSpacing w:w="15" w:type="dxa"/>
        </w:trPr>
        <w:tc>
          <w:tcPr>
            <w:tcW w:w="280" w:type="pct"/>
            <w:hideMark/>
          </w:tcPr>
          <w:p w14:paraId="1A5D3731" w14:textId="77777777" w:rsidR="00DF47DA" w:rsidRDefault="00DF47DA">
            <w:pPr>
              <w:pStyle w:val="Bibliography"/>
              <w:rPr>
                <w:noProof/>
              </w:rPr>
            </w:pPr>
            <w:r>
              <w:rPr>
                <w:noProof/>
              </w:rPr>
              <w:t xml:space="preserve">[32] </w:t>
            </w:r>
          </w:p>
        </w:tc>
        <w:tc>
          <w:tcPr>
            <w:tcW w:w="4675" w:type="pct"/>
            <w:hideMark/>
          </w:tcPr>
          <w:p w14:paraId="051B211B" w14:textId="77777777" w:rsidR="00DF47DA" w:rsidRDefault="00DF47DA">
            <w:pPr>
              <w:pStyle w:val="Bibliography"/>
              <w:rPr>
                <w:noProof/>
              </w:rPr>
            </w:pPr>
            <w:r>
              <w:rPr>
                <w:noProof/>
              </w:rPr>
              <w:t xml:space="preserve">IAEA, Periodic Safety Review for Nuclear Power Plants, Specific Safety Guide, SSG-25, 2013. </w:t>
            </w:r>
          </w:p>
        </w:tc>
      </w:tr>
      <w:tr w:rsidR="00DF47DA" w14:paraId="043B0DA3" w14:textId="77777777" w:rsidTr="00DF47DA">
        <w:trPr>
          <w:divId w:val="2080983081"/>
          <w:tblCellSpacing w:w="15" w:type="dxa"/>
        </w:trPr>
        <w:tc>
          <w:tcPr>
            <w:tcW w:w="280" w:type="pct"/>
            <w:hideMark/>
          </w:tcPr>
          <w:p w14:paraId="141FFA7B" w14:textId="77777777" w:rsidR="00DF47DA" w:rsidRDefault="00DF47DA">
            <w:pPr>
              <w:pStyle w:val="Bibliography"/>
              <w:rPr>
                <w:noProof/>
              </w:rPr>
            </w:pPr>
            <w:r>
              <w:rPr>
                <w:noProof/>
              </w:rPr>
              <w:t xml:space="preserve">[33] </w:t>
            </w:r>
          </w:p>
        </w:tc>
        <w:tc>
          <w:tcPr>
            <w:tcW w:w="4675" w:type="pct"/>
            <w:hideMark/>
          </w:tcPr>
          <w:p w14:paraId="29D8FBA7" w14:textId="77777777" w:rsidR="00DF47DA" w:rsidRDefault="00DF47DA">
            <w:pPr>
              <w:pStyle w:val="Bibliography"/>
              <w:rPr>
                <w:noProof/>
              </w:rPr>
            </w:pPr>
            <w:r>
              <w:rPr>
                <w:noProof/>
              </w:rPr>
              <w:t xml:space="preserve">WENRA Safety Reference Levels for Existing Reactors, February 2021. </w:t>
            </w:r>
          </w:p>
        </w:tc>
      </w:tr>
      <w:tr w:rsidR="00DF47DA" w14:paraId="1D244413" w14:textId="77777777" w:rsidTr="00DF47DA">
        <w:trPr>
          <w:divId w:val="2080983081"/>
          <w:tblCellSpacing w:w="15" w:type="dxa"/>
        </w:trPr>
        <w:tc>
          <w:tcPr>
            <w:tcW w:w="280" w:type="pct"/>
            <w:hideMark/>
          </w:tcPr>
          <w:p w14:paraId="6886E321" w14:textId="77777777" w:rsidR="00DF47DA" w:rsidRDefault="00DF47DA">
            <w:pPr>
              <w:pStyle w:val="Bibliography"/>
              <w:rPr>
                <w:noProof/>
              </w:rPr>
            </w:pPr>
            <w:r>
              <w:rPr>
                <w:noProof/>
              </w:rPr>
              <w:t xml:space="preserve">[34] </w:t>
            </w:r>
          </w:p>
        </w:tc>
        <w:tc>
          <w:tcPr>
            <w:tcW w:w="4675" w:type="pct"/>
            <w:hideMark/>
          </w:tcPr>
          <w:p w14:paraId="19C45CAE" w14:textId="77777777" w:rsidR="00DF47DA" w:rsidRDefault="00DF47DA">
            <w:pPr>
              <w:pStyle w:val="Bibliography"/>
              <w:rPr>
                <w:noProof/>
              </w:rPr>
            </w:pPr>
            <w:r>
              <w:rPr>
                <w:noProof/>
              </w:rPr>
              <w:t xml:space="preserve">International Atomic Energy Agency, Deterministic Safety Analysis for Nuclear Power Plants, IAEA Specific Safety Guide Series No. SSG-2, Rev. 1, IAEA, Vienna, 2019. </w:t>
            </w:r>
          </w:p>
        </w:tc>
      </w:tr>
      <w:tr w:rsidR="00DF47DA" w:rsidRPr="004A7507" w14:paraId="33B46815" w14:textId="77777777" w:rsidTr="00DF47DA">
        <w:trPr>
          <w:divId w:val="2080983081"/>
          <w:tblCellSpacing w:w="15" w:type="dxa"/>
        </w:trPr>
        <w:tc>
          <w:tcPr>
            <w:tcW w:w="280" w:type="pct"/>
            <w:hideMark/>
          </w:tcPr>
          <w:p w14:paraId="13543D9C" w14:textId="77777777" w:rsidR="00DF47DA" w:rsidRDefault="00DF47DA">
            <w:pPr>
              <w:pStyle w:val="Bibliography"/>
              <w:rPr>
                <w:noProof/>
              </w:rPr>
            </w:pPr>
            <w:r>
              <w:rPr>
                <w:noProof/>
              </w:rPr>
              <w:t xml:space="preserve">[35] </w:t>
            </w:r>
          </w:p>
        </w:tc>
        <w:tc>
          <w:tcPr>
            <w:tcW w:w="4675" w:type="pct"/>
            <w:hideMark/>
          </w:tcPr>
          <w:p w14:paraId="21CC3FB3" w14:textId="77777777" w:rsidR="00DF47DA" w:rsidRPr="004A7507" w:rsidRDefault="00DF47DA">
            <w:pPr>
              <w:pStyle w:val="Bibliography"/>
              <w:rPr>
                <w:noProof/>
                <w:lang w:val="fr-FR"/>
              </w:rPr>
            </w:pPr>
            <w:r>
              <w:rPr>
                <w:noProof/>
              </w:rPr>
              <w:t xml:space="preserve">Office for Nuclear Regulation (ONR), “Technical Assessment Guides,” 2023. </w:t>
            </w:r>
            <w:r w:rsidRPr="004A7507">
              <w:rPr>
                <w:noProof/>
                <w:lang w:val="fr-FR"/>
              </w:rPr>
              <w:t>[Online]. Available: https://www.onr.org.uk/operational/tech_asst_guides/index.htm.</w:t>
            </w:r>
          </w:p>
        </w:tc>
      </w:tr>
      <w:tr w:rsidR="00DF47DA" w14:paraId="0DC91F45" w14:textId="77777777" w:rsidTr="00DF47DA">
        <w:trPr>
          <w:divId w:val="2080983081"/>
          <w:tblCellSpacing w:w="15" w:type="dxa"/>
        </w:trPr>
        <w:tc>
          <w:tcPr>
            <w:tcW w:w="280" w:type="pct"/>
            <w:hideMark/>
          </w:tcPr>
          <w:p w14:paraId="2B09ADFE" w14:textId="77777777" w:rsidR="00DF47DA" w:rsidRDefault="00DF47DA">
            <w:pPr>
              <w:pStyle w:val="Bibliography"/>
              <w:rPr>
                <w:noProof/>
              </w:rPr>
            </w:pPr>
            <w:r>
              <w:rPr>
                <w:noProof/>
              </w:rPr>
              <w:t xml:space="preserve">[36] </w:t>
            </w:r>
          </w:p>
        </w:tc>
        <w:tc>
          <w:tcPr>
            <w:tcW w:w="4675" w:type="pct"/>
            <w:hideMark/>
          </w:tcPr>
          <w:p w14:paraId="2D64C43D" w14:textId="77777777" w:rsidR="00DF47DA" w:rsidRDefault="00DF47DA">
            <w:pPr>
              <w:pStyle w:val="Bibliography"/>
              <w:rPr>
                <w:noProof/>
              </w:rPr>
            </w:pPr>
            <w:r>
              <w:rPr>
                <w:noProof/>
              </w:rPr>
              <w:t xml:space="preserve">United States Nuclear Regulatory Commission, NUREG/CR-6850, Fire PRA Methodology for Nuclear Power Facilities, 2005. </w:t>
            </w:r>
          </w:p>
        </w:tc>
      </w:tr>
      <w:tr w:rsidR="00DF47DA" w:rsidRPr="004A7507" w14:paraId="47A4E2FC" w14:textId="77777777" w:rsidTr="00DF47DA">
        <w:trPr>
          <w:divId w:val="2080983081"/>
          <w:tblCellSpacing w:w="15" w:type="dxa"/>
        </w:trPr>
        <w:tc>
          <w:tcPr>
            <w:tcW w:w="280" w:type="pct"/>
            <w:hideMark/>
          </w:tcPr>
          <w:p w14:paraId="77C15C00" w14:textId="77777777" w:rsidR="00DF47DA" w:rsidRDefault="00DF47DA">
            <w:pPr>
              <w:pStyle w:val="Bibliography"/>
              <w:rPr>
                <w:noProof/>
              </w:rPr>
            </w:pPr>
            <w:r>
              <w:rPr>
                <w:noProof/>
              </w:rPr>
              <w:t xml:space="preserve">[37] </w:t>
            </w:r>
          </w:p>
        </w:tc>
        <w:tc>
          <w:tcPr>
            <w:tcW w:w="4675" w:type="pct"/>
            <w:hideMark/>
          </w:tcPr>
          <w:p w14:paraId="4FF36635" w14:textId="77777777" w:rsidR="00DF47DA" w:rsidRPr="004A7507" w:rsidRDefault="00DF47DA">
            <w:pPr>
              <w:pStyle w:val="Bibliography"/>
              <w:rPr>
                <w:noProof/>
                <w:lang w:val="fr-FR"/>
              </w:rPr>
            </w:pPr>
            <w:r>
              <w:rPr>
                <w:noProof/>
              </w:rPr>
              <w:t xml:space="preserve">ONR, “Assessment of the Heysham 2 and Torness third periodic safety review (PSR3), Project Assessment Report ONR-OFD-PAR-19-012, Rev 0,” January 2020. </w:t>
            </w:r>
            <w:r w:rsidRPr="004A7507">
              <w:rPr>
                <w:noProof/>
                <w:lang w:val="fr-FR"/>
              </w:rPr>
              <w:t>[Online]. Available: https://www.onr.org.uk/pars/2020/heysham-2-torness-19-012.pdf.</w:t>
            </w:r>
          </w:p>
        </w:tc>
      </w:tr>
      <w:tr w:rsidR="00DF47DA" w:rsidRPr="004A7507" w14:paraId="482193D5" w14:textId="77777777" w:rsidTr="00DF47DA">
        <w:trPr>
          <w:divId w:val="2080983081"/>
          <w:tblCellSpacing w:w="15" w:type="dxa"/>
        </w:trPr>
        <w:tc>
          <w:tcPr>
            <w:tcW w:w="280" w:type="pct"/>
            <w:hideMark/>
          </w:tcPr>
          <w:p w14:paraId="1BA4AE52" w14:textId="77777777" w:rsidR="00DF47DA" w:rsidRDefault="00DF47DA">
            <w:pPr>
              <w:pStyle w:val="Bibliography"/>
              <w:rPr>
                <w:noProof/>
              </w:rPr>
            </w:pPr>
            <w:r>
              <w:rPr>
                <w:noProof/>
              </w:rPr>
              <w:t xml:space="preserve">[38] </w:t>
            </w:r>
          </w:p>
        </w:tc>
        <w:tc>
          <w:tcPr>
            <w:tcW w:w="4675" w:type="pct"/>
            <w:hideMark/>
          </w:tcPr>
          <w:p w14:paraId="17C0524A" w14:textId="77777777" w:rsidR="00DF47DA" w:rsidRPr="004A7507" w:rsidRDefault="00DF47DA">
            <w:pPr>
              <w:pStyle w:val="Bibliography"/>
              <w:rPr>
                <w:noProof/>
                <w:lang w:val="fr-FR"/>
              </w:rPr>
            </w:pPr>
            <w:r>
              <w:rPr>
                <w:noProof/>
              </w:rPr>
              <w:t xml:space="preserve">ONR, “Assessment of the Heysham 1 &amp; Hartlepool third periodic safety review (PSR3), Project Assessment Report ONR-OFD-PAR-18-027, Rev. 3,” 2019. </w:t>
            </w:r>
            <w:r w:rsidRPr="004A7507">
              <w:rPr>
                <w:noProof/>
                <w:lang w:val="fr-FR"/>
              </w:rPr>
              <w:t>[Online]. Available: https://www.onr.org.uk/pars/2019/hartlepool-heysham-18-027.pdf.</w:t>
            </w:r>
          </w:p>
        </w:tc>
      </w:tr>
      <w:tr w:rsidR="00DF47DA" w:rsidRPr="004A7507" w14:paraId="7B7ACFF9" w14:textId="77777777" w:rsidTr="00DF47DA">
        <w:trPr>
          <w:divId w:val="2080983081"/>
          <w:tblCellSpacing w:w="15" w:type="dxa"/>
        </w:trPr>
        <w:tc>
          <w:tcPr>
            <w:tcW w:w="280" w:type="pct"/>
            <w:hideMark/>
          </w:tcPr>
          <w:p w14:paraId="4B314000" w14:textId="77777777" w:rsidR="00DF47DA" w:rsidRDefault="00DF47DA">
            <w:pPr>
              <w:pStyle w:val="Bibliography"/>
              <w:rPr>
                <w:noProof/>
              </w:rPr>
            </w:pPr>
            <w:r>
              <w:rPr>
                <w:noProof/>
              </w:rPr>
              <w:t xml:space="preserve">[39] </w:t>
            </w:r>
          </w:p>
        </w:tc>
        <w:tc>
          <w:tcPr>
            <w:tcW w:w="4675" w:type="pct"/>
            <w:hideMark/>
          </w:tcPr>
          <w:p w14:paraId="3B710FE0" w14:textId="77777777" w:rsidR="00DF47DA" w:rsidRPr="004A7507" w:rsidRDefault="00DF47DA">
            <w:pPr>
              <w:pStyle w:val="Bibliography"/>
              <w:rPr>
                <w:noProof/>
                <w:lang w:val="fr-FR"/>
              </w:rPr>
            </w:pPr>
            <w:r>
              <w:rPr>
                <w:noProof/>
              </w:rPr>
              <w:t xml:space="preserve">ONR, “Agreements to HPB and HNB, NP/SC 7781 - Defuelling Essential Shutdown Reactor Safety Case and to NP/SC 7786 - Defuelling Fuel Handling Essential Safety Case - Project Assessment Report ONR-OFD-PAR-21-009 - Rev 0,” 2022. </w:t>
            </w:r>
            <w:r w:rsidRPr="004A7507">
              <w:rPr>
                <w:noProof/>
                <w:lang w:val="fr-FR"/>
              </w:rPr>
              <w:t>[Online]. Available: https://www.onr.org.uk/pars/2022/hinkley-hunterston-21-009.pdf.</w:t>
            </w:r>
          </w:p>
        </w:tc>
      </w:tr>
      <w:tr w:rsidR="00DF47DA" w:rsidRPr="004A7507" w14:paraId="05E00427" w14:textId="77777777" w:rsidTr="00DF47DA">
        <w:trPr>
          <w:divId w:val="2080983081"/>
          <w:tblCellSpacing w:w="15" w:type="dxa"/>
        </w:trPr>
        <w:tc>
          <w:tcPr>
            <w:tcW w:w="280" w:type="pct"/>
            <w:hideMark/>
          </w:tcPr>
          <w:p w14:paraId="31898E3A" w14:textId="77777777" w:rsidR="00DF47DA" w:rsidRDefault="00DF47DA">
            <w:pPr>
              <w:pStyle w:val="Bibliography"/>
              <w:rPr>
                <w:noProof/>
              </w:rPr>
            </w:pPr>
            <w:r>
              <w:rPr>
                <w:noProof/>
              </w:rPr>
              <w:t xml:space="preserve">[40] </w:t>
            </w:r>
          </w:p>
        </w:tc>
        <w:tc>
          <w:tcPr>
            <w:tcW w:w="4675" w:type="pct"/>
            <w:hideMark/>
          </w:tcPr>
          <w:p w14:paraId="052209D6" w14:textId="77777777" w:rsidR="00DF47DA" w:rsidRPr="004A7507" w:rsidRDefault="00DF47DA">
            <w:pPr>
              <w:pStyle w:val="Bibliography"/>
              <w:rPr>
                <w:noProof/>
                <w:lang w:val="fr-FR"/>
              </w:rPr>
            </w:pPr>
            <w:r>
              <w:rPr>
                <w:noProof/>
              </w:rPr>
              <w:t xml:space="preserve">ONR, “Assessment of NP/SC 7813 Dungeness B Power Station - Initial Defuelling Safety Case, EC No: 369274 Revision 000 - Project Assessment Report ONR-OFD-PAR-22-00, Rev0,” 2022. </w:t>
            </w:r>
            <w:r w:rsidRPr="004A7507">
              <w:rPr>
                <w:noProof/>
                <w:lang w:val="fr-FR"/>
              </w:rPr>
              <w:t>[Online]. Available: https://view.officeapps.live.com/op/view.aspx?src=https%3A%2F%2Fwww.onr.org.uk%2Fpars%2F2022%2Fdungeness-b-22-007.odt&amp;wdOrigin=BROWSELINK.</w:t>
            </w:r>
          </w:p>
        </w:tc>
      </w:tr>
      <w:tr w:rsidR="00DF47DA" w:rsidRPr="004A7507" w14:paraId="7C8BCE44" w14:textId="77777777" w:rsidTr="00DF47DA">
        <w:trPr>
          <w:divId w:val="2080983081"/>
          <w:tblCellSpacing w:w="15" w:type="dxa"/>
        </w:trPr>
        <w:tc>
          <w:tcPr>
            <w:tcW w:w="280" w:type="pct"/>
            <w:hideMark/>
          </w:tcPr>
          <w:p w14:paraId="7E0C027D" w14:textId="77777777" w:rsidR="00DF47DA" w:rsidRDefault="00DF47DA">
            <w:pPr>
              <w:pStyle w:val="Bibliography"/>
              <w:rPr>
                <w:noProof/>
              </w:rPr>
            </w:pPr>
            <w:r>
              <w:rPr>
                <w:noProof/>
              </w:rPr>
              <w:t xml:space="preserve">[41] </w:t>
            </w:r>
          </w:p>
        </w:tc>
        <w:tc>
          <w:tcPr>
            <w:tcW w:w="4675" w:type="pct"/>
            <w:hideMark/>
          </w:tcPr>
          <w:p w14:paraId="2DC869B3" w14:textId="77777777" w:rsidR="00DF47DA" w:rsidRPr="004A7507" w:rsidRDefault="00DF47DA">
            <w:pPr>
              <w:pStyle w:val="Bibliography"/>
              <w:rPr>
                <w:noProof/>
                <w:lang w:val="fr-FR"/>
              </w:rPr>
            </w:pPr>
            <w:r>
              <w:rPr>
                <w:noProof/>
              </w:rPr>
              <w:t xml:space="preserve">ONR, “Hunterson B - Planned intervention, System Based Inspection SBI-11, Fire Protection Systems, IR 19-080,” 2019. </w:t>
            </w:r>
            <w:r w:rsidRPr="004A7507">
              <w:rPr>
                <w:noProof/>
                <w:lang w:val="fr-FR"/>
              </w:rPr>
              <w:t>[Online]. Available: https://www.onr.org.uk/inspection-records/1920/hunterston-b-19-080.htm.</w:t>
            </w:r>
          </w:p>
        </w:tc>
      </w:tr>
      <w:tr w:rsidR="00DF47DA" w:rsidRPr="004A7507" w14:paraId="448E7AF2" w14:textId="77777777" w:rsidTr="00DF47DA">
        <w:trPr>
          <w:divId w:val="2080983081"/>
          <w:tblCellSpacing w:w="15" w:type="dxa"/>
        </w:trPr>
        <w:tc>
          <w:tcPr>
            <w:tcW w:w="280" w:type="pct"/>
            <w:hideMark/>
          </w:tcPr>
          <w:p w14:paraId="1A750988" w14:textId="77777777" w:rsidR="00DF47DA" w:rsidRDefault="00DF47DA">
            <w:pPr>
              <w:pStyle w:val="Bibliography"/>
              <w:rPr>
                <w:noProof/>
              </w:rPr>
            </w:pPr>
            <w:r>
              <w:rPr>
                <w:noProof/>
              </w:rPr>
              <w:t xml:space="preserve">[42] </w:t>
            </w:r>
          </w:p>
        </w:tc>
        <w:tc>
          <w:tcPr>
            <w:tcW w:w="4675" w:type="pct"/>
            <w:hideMark/>
          </w:tcPr>
          <w:p w14:paraId="16FB5F94" w14:textId="77777777" w:rsidR="00DF47DA" w:rsidRPr="004A7507" w:rsidRDefault="00DF47DA">
            <w:pPr>
              <w:pStyle w:val="Bibliography"/>
              <w:rPr>
                <w:noProof/>
                <w:lang w:val="fr-FR"/>
              </w:rPr>
            </w:pPr>
            <w:r>
              <w:rPr>
                <w:noProof/>
              </w:rPr>
              <w:t xml:space="preserve">ONR, “System Based Inspection-Fire Detection Suppression Barriers Doors and Dampers, IR 20-096,” December 2020. </w:t>
            </w:r>
            <w:r w:rsidRPr="004A7507">
              <w:rPr>
                <w:noProof/>
                <w:lang w:val="fr-FR"/>
              </w:rPr>
              <w:t>[Online]. Available: https://www.onr.org.uk/inspection-records/2021/hartlepool-20-096.htm.</w:t>
            </w:r>
          </w:p>
        </w:tc>
      </w:tr>
      <w:tr w:rsidR="00DF47DA" w:rsidRPr="004A7507" w14:paraId="59B28E40" w14:textId="77777777" w:rsidTr="00DF47DA">
        <w:trPr>
          <w:divId w:val="2080983081"/>
          <w:tblCellSpacing w:w="15" w:type="dxa"/>
        </w:trPr>
        <w:tc>
          <w:tcPr>
            <w:tcW w:w="280" w:type="pct"/>
            <w:hideMark/>
          </w:tcPr>
          <w:p w14:paraId="290F6903" w14:textId="77777777" w:rsidR="00DF47DA" w:rsidRDefault="00DF47DA">
            <w:pPr>
              <w:pStyle w:val="Bibliography"/>
              <w:rPr>
                <w:noProof/>
              </w:rPr>
            </w:pPr>
            <w:r>
              <w:rPr>
                <w:noProof/>
              </w:rPr>
              <w:t xml:space="preserve">[43] </w:t>
            </w:r>
          </w:p>
        </w:tc>
        <w:tc>
          <w:tcPr>
            <w:tcW w:w="4675" w:type="pct"/>
            <w:hideMark/>
          </w:tcPr>
          <w:p w14:paraId="4F3C5C6D" w14:textId="77777777" w:rsidR="00DF47DA" w:rsidRPr="004A7507" w:rsidRDefault="00DF47DA">
            <w:pPr>
              <w:pStyle w:val="Bibliography"/>
              <w:rPr>
                <w:noProof/>
                <w:lang w:val="fr-FR"/>
              </w:rPr>
            </w:pPr>
            <w:r>
              <w:rPr>
                <w:noProof/>
              </w:rPr>
              <w:t xml:space="preserve">ONR, “Sizewell B - Dry Fuel Store Readiness inspection and System Based Inspection, IR 18-226,” 2019. </w:t>
            </w:r>
            <w:r w:rsidRPr="004A7507">
              <w:rPr>
                <w:noProof/>
                <w:lang w:val="fr-FR"/>
              </w:rPr>
              <w:t>[Online]. Available: https://www.onr.org.uk/inspection-records/1819/sizewell-b-18-226.htm.</w:t>
            </w:r>
          </w:p>
        </w:tc>
      </w:tr>
      <w:tr w:rsidR="00DF47DA" w:rsidRPr="004A7507" w14:paraId="38F2A11A" w14:textId="77777777" w:rsidTr="00DF47DA">
        <w:trPr>
          <w:divId w:val="2080983081"/>
          <w:tblCellSpacing w:w="15" w:type="dxa"/>
        </w:trPr>
        <w:tc>
          <w:tcPr>
            <w:tcW w:w="280" w:type="pct"/>
            <w:hideMark/>
          </w:tcPr>
          <w:p w14:paraId="3208001F" w14:textId="77777777" w:rsidR="00DF47DA" w:rsidRDefault="00DF47DA">
            <w:pPr>
              <w:pStyle w:val="Bibliography"/>
              <w:rPr>
                <w:noProof/>
              </w:rPr>
            </w:pPr>
            <w:r>
              <w:rPr>
                <w:noProof/>
              </w:rPr>
              <w:t xml:space="preserve">[44] </w:t>
            </w:r>
          </w:p>
        </w:tc>
        <w:tc>
          <w:tcPr>
            <w:tcW w:w="4675" w:type="pct"/>
            <w:hideMark/>
          </w:tcPr>
          <w:p w14:paraId="77F97B0D" w14:textId="77777777" w:rsidR="00DF47DA" w:rsidRPr="004A7507" w:rsidRDefault="00DF47DA">
            <w:pPr>
              <w:pStyle w:val="Bibliography"/>
              <w:rPr>
                <w:noProof/>
                <w:lang w:val="fr-FR"/>
              </w:rPr>
            </w:pPr>
            <w:r>
              <w:rPr>
                <w:noProof/>
              </w:rPr>
              <w:t xml:space="preserve">ONR, “Hinkley Point B – SBI 11 Fire Protection, IR 19-028,” June 2019. </w:t>
            </w:r>
            <w:r w:rsidRPr="004A7507">
              <w:rPr>
                <w:noProof/>
                <w:lang w:val="fr-FR"/>
              </w:rPr>
              <w:t>[Online]. Available: https://www.onr.org.uk/inspection-records/1920/hinkley-point-b-19-028.htm.</w:t>
            </w:r>
          </w:p>
        </w:tc>
      </w:tr>
      <w:tr w:rsidR="00DF47DA" w14:paraId="6F7B1AFF" w14:textId="77777777" w:rsidTr="00DF47DA">
        <w:trPr>
          <w:divId w:val="2080983081"/>
          <w:tblCellSpacing w:w="15" w:type="dxa"/>
        </w:trPr>
        <w:tc>
          <w:tcPr>
            <w:tcW w:w="280" w:type="pct"/>
            <w:hideMark/>
          </w:tcPr>
          <w:p w14:paraId="4F1B3431" w14:textId="77777777" w:rsidR="00DF47DA" w:rsidRDefault="00DF47DA">
            <w:pPr>
              <w:pStyle w:val="Bibliography"/>
              <w:rPr>
                <w:noProof/>
              </w:rPr>
            </w:pPr>
            <w:r>
              <w:rPr>
                <w:noProof/>
              </w:rPr>
              <w:t xml:space="preserve">[45] </w:t>
            </w:r>
          </w:p>
        </w:tc>
        <w:tc>
          <w:tcPr>
            <w:tcW w:w="4675" w:type="pct"/>
            <w:hideMark/>
          </w:tcPr>
          <w:p w14:paraId="61AE1C28" w14:textId="77777777" w:rsidR="00DF47DA" w:rsidRDefault="00DF47DA">
            <w:pPr>
              <w:pStyle w:val="Bibliography"/>
              <w:rPr>
                <w:noProof/>
              </w:rPr>
            </w:pPr>
            <w:r>
              <w:rPr>
                <w:noProof/>
              </w:rPr>
              <w:t xml:space="preserve">ONR, SBI-11 Fire Detection, Suppression, barrier doors &amp; dampers, Torness, IIS-52432, June 2023. </w:t>
            </w:r>
          </w:p>
        </w:tc>
      </w:tr>
      <w:tr w:rsidR="00DF47DA" w:rsidRPr="004A7507" w14:paraId="115226B2" w14:textId="77777777" w:rsidTr="00DF47DA">
        <w:trPr>
          <w:divId w:val="2080983081"/>
          <w:tblCellSpacing w:w="15" w:type="dxa"/>
        </w:trPr>
        <w:tc>
          <w:tcPr>
            <w:tcW w:w="280" w:type="pct"/>
            <w:hideMark/>
          </w:tcPr>
          <w:p w14:paraId="60C79B20" w14:textId="77777777" w:rsidR="00DF47DA" w:rsidRDefault="00DF47DA">
            <w:pPr>
              <w:pStyle w:val="Bibliography"/>
              <w:rPr>
                <w:noProof/>
              </w:rPr>
            </w:pPr>
            <w:r>
              <w:rPr>
                <w:noProof/>
              </w:rPr>
              <w:t xml:space="preserve">[46] </w:t>
            </w:r>
          </w:p>
        </w:tc>
        <w:tc>
          <w:tcPr>
            <w:tcW w:w="4675" w:type="pct"/>
            <w:hideMark/>
          </w:tcPr>
          <w:p w14:paraId="64970971" w14:textId="77777777" w:rsidR="00DF47DA" w:rsidRPr="004A7507" w:rsidRDefault="00DF47DA">
            <w:pPr>
              <w:pStyle w:val="Bibliography"/>
              <w:rPr>
                <w:noProof/>
                <w:lang w:val="fr-FR"/>
              </w:rPr>
            </w:pPr>
            <w:r>
              <w:rPr>
                <w:noProof/>
              </w:rPr>
              <w:t xml:space="preserve">ONR, “Site arrangements for the safe removal of COMAH inventory, IIS-51007,” 2022. </w:t>
            </w:r>
            <w:r w:rsidRPr="004A7507">
              <w:rPr>
                <w:noProof/>
                <w:lang w:val="fr-FR"/>
              </w:rPr>
              <w:t>[Online]. Available: https://news.onr.org.uk/2023/05/hunterston-b-inspection-id-51007/.</w:t>
            </w:r>
          </w:p>
        </w:tc>
      </w:tr>
      <w:tr w:rsidR="00DF47DA" w14:paraId="2E39542C" w14:textId="77777777" w:rsidTr="00DF47DA">
        <w:trPr>
          <w:divId w:val="2080983081"/>
          <w:tblCellSpacing w:w="15" w:type="dxa"/>
        </w:trPr>
        <w:tc>
          <w:tcPr>
            <w:tcW w:w="280" w:type="pct"/>
            <w:hideMark/>
          </w:tcPr>
          <w:p w14:paraId="17A32AB2" w14:textId="77777777" w:rsidR="00DF47DA" w:rsidRDefault="00DF47DA">
            <w:pPr>
              <w:pStyle w:val="Bibliography"/>
              <w:rPr>
                <w:noProof/>
              </w:rPr>
            </w:pPr>
            <w:r>
              <w:rPr>
                <w:noProof/>
              </w:rPr>
              <w:t xml:space="preserve">[47] </w:t>
            </w:r>
          </w:p>
        </w:tc>
        <w:tc>
          <w:tcPr>
            <w:tcW w:w="4675" w:type="pct"/>
            <w:hideMark/>
          </w:tcPr>
          <w:p w14:paraId="69A9B2B2" w14:textId="77777777" w:rsidR="00DF47DA" w:rsidRDefault="00DF47DA">
            <w:pPr>
              <w:pStyle w:val="Bibliography"/>
              <w:rPr>
                <w:noProof/>
              </w:rPr>
            </w:pPr>
            <w:r>
              <w:rPr>
                <w:noProof/>
              </w:rPr>
              <w:t xml:space="preserve">NNB GenCo, TeamCenter No. 100787883: HPC-NNBOSL-XX-000-MAN-100003: NNB Safety Case Manual: Revision 004:, 2022. </w:t>
            </w:r>
          </w:p>
        </w:tc>
      </w:tr>
      <w:tr w:rsidR="00DF47DA" w14:paraId="136816A4" w14:textId="77777777" w:rsidTr="00DF47DA">
        <w:trPr>
          <w:divId w:val="2080983081"/>
          <w:tblCellSpacing w:w="15" w:type="dxa"/>
        </w:trPr>
        <w:tc>
          <w:tcPr>
            <w:tcW w:w="280" w:type="pct"/>
            <w:hideMark/>
          </w:tcPr>
          <w:p w14:paraId="685ED8F9" w14:textId="77777777" w:rsidR="00DF47DA" w:rsidRDefault="00DF47DA">
            <w:pPr>
              <w:pStyle w:val="Bibliography"/>
              <w:rPr>
                <w:noProof/>
              </w:rPr>
            </w:pPr>
            <w:r>
              <w:rPr>
                <w:noProof/>
              </w:rPr>
              <w:t xml:space="preserve">[48] </w:t>
            </w:r>
          </w:p>
        </w:tc>
        <w:tc>
          <w:tcPr>
            <w:tcW w:w="4675" w:type="pct"/>
            <w:hideMark/>
          </w:tcPr>
          <w:p w14:paraId="19B6C31E" w14:textId="77777777" w:rsidR="00DF47DA" w:rsidRDefault="00DF47DA">
            <w:pPr>
              <w:pStyle w:val="Bibliography"/>
              <w:rPr>
                <w:noProof/>
              </w:rPr>
            </w:pPr>
            <w:r>
              <w:rPr>
                <w:noProof/>
              </w:rPr>
              <w:t xml:space="preserve">NNB GenCo, TeamCenter No. 100565950: HPC Fire Application Document: Revision 005, 2019. </w:t>
            </w:r>
          </w:p>
        </w:tc>
      </w:tr>
      <w:tr w:rsidR="00DF47DA" w14:paraId="006BDE5E" w14:textId="77777777" w:rsidTr="00DF47DA">
        <w:trPr>
          <w:divId w:val="2080983081"/>
          <w:tblCellSpacing w:w="15" w:type="dxa"/>
        </w:trPr>
        <w:tc>
          <w:tcPr>
            <w:tcW w:w="280" w:type="pct"/>
            <w:hideMark/>
          </w:tcPr>
          <w:p w14:paraId="1B3942A9" w14:textId="77777777" w:rsidR="00DF47DA" w:rsidRDefault="00DF47DA">
            <w:pPr>
              <w:pStyle w:val="Bibliography"/>
              <w:rPr>
                <w:noProof/>
              </w:rPr>
            </w:pPr>
            <w:r>
              <w:rPr>
                <w:noProof/>
              </w:rPr>
              <w:t xml:space="preserve">[49] </w:t>
            </w:r>
          </w:p>
        </w:tc>
        <w:tc>
          <w:tcPr>
            <w:tcW w:w="4675" w:type="pct"/>
            <w:hideMark/>
          </w:tcPr>
          <w:p w14:paraId="7EBEFFE5" w14:textId="77777777" w:rsidR="00DF47DA" w:rsidRDefault="00DF47DA">
            <w:pPr>
              <w:pStyle w:val="Bibliography"/>
              <w:rPr>
                <w:noProof/>
              </w:rPr>
            </w:pPr>
            <w:r>
              <w:rPr>
                <w:noProof/>
              </w:rPr>
              <w:t xml:space="preserve">NNB GenCo, ONR/ENSREG Topical Peer review 2 - Fire - Phase 1 - Self Assessment, 101058664, 2023. </w:t>
            </w:r>
          </w:p>
        </w:tc>
      </w:tr>
      <w:tr w:rsidR="00DF47DA" w14:paraId="7F194350" w14:textId="77777777" w:rsidTr="00DF47DA">
        <w:trPr>
          <w:divId w:val="2080983081"/>
          <w:tblCellSpacing w:w="15" w:type="dxa"/>
        </w:trPr>
        <w:tc>
          <w:tcPr>
            <w:tcW w:w="280" w:type="pct"/>
            <w:hideMark/>
          </w:tcPr>
          <w:p w14:paraId="453E7E76" w14:textId="77777777" w:rsidR="00DF47DA" w:rsidRDefault="00DF47DA">
            <w:pPr>
              <w:pStyle w:val="Bibliography"/>
              <w:rPr>
                <w:noProof/>
              </w:rPr>
            </w:pPr>
            <w:r>
              <w:rPr>
                <w:noProof/>
              </w:rPr>
              <w:t xml:space="preserve">[50] </w:t>
            </w:r>
          </w:p>
        </w:tc>
        <w:tc>
          <w:tcPr>
            <w:tcW w:w="4675" w:type="pct"/>
            <w:hideMark/>
          </w:tcPr>
          <w:p w14:paraId="09864532" w14:textId="77777777" w:rsidR="00DF47DA" w:rsidRDefault="00DF47DA">
            <w:pPr>
              <w:pStyle w:val="Bibliography"/>
              <w:rPr>
                <w:noProof/>
              </w:rPr>
            </w:pPr>
            <w:r>
              <w:rPr>
                <w:noProof/>
              </w:rPr>
              <w:t xml:space="preserve">NNB GenCo, TeamCenter No. 100794905: HPC-HPC-NNBOSL-XX-000-REP-100120 Site Data Summary Report: Revision 002, 2022. </w:t>
            </w:r>
          </w:p>
        </w:tc>
      </w:tr>
      <w:tr w:rsidR="00DF47DA" w14:paraId="48995A80" w14:textId="77777777" w:rsidTr="00DF47DA">
        <w:trPr>
          <w:divId w:val="2080983081"/>
          <w:tblCellSpacing w:w="15" w:type="dxa"/>
        </w:trPr>
        <w:tc>
          <w:tcPr>
            <w:tcW w:w="280" w:type="pct"/>
            <w:hideMark/>
          </w:tcPr>
          <w:p w14:paraId="07383E17" w14:textId="77777777" w:rsidR="00DF47DA" w:rsidRDefault="00DF47DA">
            <w:pPr>
              <w:pStyle w:val="Bibliography"/>
              <w:rPr>
                <w:noProof/>
              </w:rPr>
            </w:pPr>
            <w:r>
              <w:rPr>
                <w:noProof/>
              </w:rPr>
              <w:t xml:space="preserve">[51] </w:t>
            </w:r>
          </w:p>
        </w:tc>
        <w:tc>
          <w:tcPr>
            <w:tcW w:w="4675" w:type="pct"/>
            <w:hideMark/>
          </w:tcPr>
          <w:p w14:paraId="13B2ACBC" w14:textId="77777777" w:rsidR="00DF47DA" w:rsidRDefault="00DF47DA">
            <w:pPr>
              <w:pStyle w:val="Bibliography"/>
              <w:rPr>
                <w:noProof/>
              </w:rPr>
            </w:pPr>
            <w:r>
              <w:rPr>
                <w:noProof/>
              </w:rPr>
              <w:t xml:space="preserve">NNB GenCo, TeamCenter No. 100573667: HPC-CNENXX-XX-000-NOT-203210 – Methodology for Internal Fire PSA, Revision 003, 2019. </w:t>
            </w:r>
          </w:p>
        </w:tc>
      </w:tr>
      <w:tr w:rsidR="00DF47DA" w14:paraId="44FF6305" w14:textId="77777777" w:rsidTr="00DF47DA">
        <w:trPr>
          <w:divId w:val="2080983081"/>
          <w:tblCellSpacing w:w="15" w:type="dxa"/>
        </w:trPr>
        <w:tc>
          <w:tcPr>
            <w:tcW w:w="280" w:type="pct"/>
            <w:hideMark/>
          </w:tcPr>
          <w:p w14:paraId="3E31AECD" w14:textId="77777777" w:rsidR="00DF47DA" w:rsidRDefault="00DF47DA">
            <w:pPr>
              <w:pStyle w:val="Bibliography"/>
              <w:rPr>
                <w:noProof/>
              </w:rPr>
            </w:pPr>
            <w:r>
              <w:rPr>
                <w:noProof/>
              </w:rPr>
              <w:t xml:space="preserve">[52] </w:t>
            </w:r>
          </w:p>
        </w:tc>
        <w:tc>
          <w:tcPr>
            <w:tcW w:w="4675" w:type="pct"/>
            <w:hideMark/>
          </w:tcPr>
          <w:p w14:paraId="130BC132" w14:textId="77777777" w:rsidR="00DF47DA" w:rsidRDefault="00DF47DA">
            <w:pPr>
              <w:pStyle w:val="Bibliography"/>
              <w:rPr>
                <w:noProof/>
              </w:rPr>
            </w:pPr>
            <w:r>
              <w:rPr>
                <w:noProof/>
              </w:rPr>
              <w:t xml:space="preserve">NNB GenCo, TeamCenter No. 100572806: UKX-CNENXX-XX-ALL-NOT-200573 - EPRESSI methodology companion document for UK EPR, Revision 004, 2020. </w:t>
            </w:r>
          </w:p>
        </w:tc>
      </w:tr>
      <w:tr w:rsidR="00DF47DA" w14:paraId="26DB1BF5" w14:textId="77777777" w:rsidTr="00DF47DA">
        <w:trPr>
          <w:divId w:val="2080983081"/>
          <w:tblCellSpacing w:w="15" w:type="dxa"/>
        </w:trPr>
        <w:tc>
          <w:tcPr>
            <w:tcW w:w="280" w:type="pct"/>
            <w:hideMark/>
          </w:tcPr>
          <w:p w14:paraId="14869814" w14:textId="77777777" w:rsidR="00DF47DA" w:rsidRDefault="00DF47DA">
            <w:pPr>
              <w:pStyle w:val="Bibliography"/>
              <w:rPr>
                <w:noProof/>
              </w:rPr>
            </w:pPr>
            <w:r>
              <w:rPr>
                <w:noProof/>
              </w:rPr>
              <w:t xml:space="preserve">[53] </w:t>
            </w:r>
          </w:p>
        </w:tc>
        <w:tc>
          <w:tcPr>
            <w:tcW w:w="4675" w:type="pct"/>
            <w:hideMark/>
          </w:tcPr>
          <w:p w14:paraId="0A84E1E7" w14:textId="77777777" w:rsidR="00DF47DA" w:rsidRDefault="00DF47DA">
            <w:pPr>
              <w:pStyle w:val="Bibliography"/>
              <w:rPr>
                <w:noProof/>
              </w:rPr>
            </w:pPr>
            <w:r>
              <w:rPr>
                <w:noProof/>
              </w:rPr>
              <w:t xml:space="preserve">NNB GenCo, TeamCenter No. 100546460: UKX-SEPTEN-AU-ALL-NOT-000304 UK EPR - Rules for inventory of combined events in relation to internal and external hazards: Revision 002, 2017. </w:t>
            </w:r>
          </w:p>
        </w:tc>
      </w:tr>
      <w:tr w:rsidR="00DF47DA" w14:paraId="29E72046" w14:textId="77777777" w:rsidTr="00DF47DA">
        <w:trPr>
          <w:divId w:val="2080983081"/>
          <w:tblCellSpacing w:w="15" w:type="dxa"/>
        </w:trPr>
        <w:tc>
          <w:tcPr>
            <w:tcW w:w="280" w:type="pct"/>
            <w:hideMark/>
          </w:tcPr>
          <w:p w14:paraId="3ECC52F5" w14:textId="77777777" w:rsidR="00DF47DA" w:rsidRDefault="00DF47DA">
            <w:pPr>
              <w:pStyle w:val="Bibliography"/>
              <w:rPr>
                <w:noProof/>
              </w:rPr>
            </w:pPr>
            <w:r>
              <w:rPr>
                <w:noProof/>
              </w:rPr>
              <w:t xml:space="preserve">[54] </w:t>
            </w:r>
          </w:p>
        </w:tc>
        <w:tc>
          <w:tcPr>
            <w:tcW w:w="4675" w:type="pct"/>
            <w:hideMark/>
          </w:tcPr>
          <w:p w14:paraId="3F974963" w14:textId="77777777" w:rsidR="00DF47DA" w:rsidRDefault="00DF47DA">
            <w:pPr>
              <w:pStyle w:val="Bibliography"/>
              <w:rPr>
                <w:noProof/>
              </w:rPr>
            </w:pPr>
            <w:r>
              <w:rPr>
                <w:noProof/>
              </w:rPr>
              <w:t xml:space="preserve">NNB GenCo, TeamCenter No. 100582426: HPC-CNENXX-AU-ALL-NOT-203674 ENG 2.9M General framework for application of the Combined Consequential Hazards doctrine into the HPC design: Revision C, 2020. </w:t>
            </w:r>
          </w:p>
        </w:tc>
      </w:tr>
      <w:tr w:rsidR="00DF47DA" w14:paraId="6F0E5C10" w14:textId="77777777" w:rsidTr="00DF47DA">
        <w:trPr>
          <w:divId w:val="2080983081"/>
          <w:tblCellSpacing w:w="15" w:type="dxa"/>
        </w:trPr>
        <w:tc>
          <w:tcPr>
            <w:tcW w:w="280" w:type="pct"/>
            <w:hideMark/>
          </w:tcPr>
          <w:p w14:paraId="22CDF7F2" w14:textId="77777777" w:rsidR="00DF47DA" w:rsidRDefault="00DF47DA">
            <w:pPr>
              <w:pStyle w:val="Bibliography"/>
              <w:rPr>
                <w:noProof/>
              </w:rPr>
            </w:pPr>
            <w:r>
              <w:rPr>
                <w:noProof/>
              </w:rPr>
              <w:t xml:space="preserve">[55] </w:t>
            </w:r>
          </w:p>
        </w:tc>
        <w:tc>
          <w:tcPr>
            <w:tcW w:w="4675" w:type="pct"/>
            <w:hideMark/>
          </w:tcPr>
          <w:p w14:paraId="52ADC293" w14:textId="77777777" w:rsidR="00DF47DA" w:rsidRDefault="00DF47DA">
            <w:pPr>
              <w:pStyle w:val="Bibliography"/>
              <w:rPr>
                <w:noProof/>
              </w:rPr>
            </w:pPr>
            <w:r>
              <w:rPr>
                <w:noProof/>
              </w:rPr>
              <w:t xml:space="preserve">NNB GenCo, TeamCenter No. 100568743: HPC-ECEIGX-AU-000-RES-200022 - Habitability of the Main Control Room in the Event of Fire, Revision H, 2010. </w:t>
            </w:r>
          </w:p>
        </w:tc>
      </w:tr>
      <w:tr w:rsidR="00DF47DA" w14:paraId="7921C5E9" w14:textId="77777777" w:rsidTr="00DF47DA">
        <w:trPr>
          <w:divId w:val="2080983081"/>
          <w:tblCellSpacing w:w="15" w:type="dxa"/>
        </w:trPr>
        <w:tc>
          <w:tcPr>
            <w:tcW w:w="280" w:type="pct"/>
            <w:hideMark/>
          </w:tcPr>
          <w:p w14:paraId="14EEC9C7" w14:textId="77777777" w:rsidR="00DF47DA" w:rsidRDefault="00DF47DA">
            <w:pPr>
              <w:pStyle w:val="Bibliography"/>
              <w:rPr>
                <w:noProof/>
              </w:rPr>
            </w:pPr>
            <w:r>
              <w:rPr>
                <w:noProof/>
              </w:rPr>
              <w:t xml:space="preserve">[56] </w:t>
            </w:r>
          </w:p>
        </w:tc>
        <w:tc>
          <w:tcPr>
            <w:tcW w:w="4675" w:type="pct"/>
            <w:hideMark/>
          </w:tcPr>
          <w:p w14:paraId="27BF836D" w14:textId="77777777" w:rsidR="00DF47DA" w:rsidRDefault="00DF47DA">
            <w:pPr>
              <w:pStyle w:val="Bibliography"/>
              <w:rPr>
                <w:noProof/>
              </w:rPr>
            </w:pPr>
            <w:r>
              <w:rPr>
                <w:noProof/>
              </w:rPr>
              <w:t xml:space="preserve">NNB GenCo, TeamCenter No. 100580923: UKX-CNENXX-U9-ALL-NOT-200814: UK EPR HPC ENG 2 9L HPC Generic hazards integration approach, Revision 007, 2022. </w:t>
            </w:r>
          </w:p>
        </w:tc>
      </w:tr>
      <w:tr w:rsidR="00DF47DA" w14:paraId="4E1A4A3D" w14:textId="77777777" w:rsidTr="00DF47DA">
        <w:trPr>
          <w:divId w:val="2080983081"/>
          <w:tblCellSpacing w:w="15" w:type="dxa"/>
        </w:trPr>
        <w:tc>
          <w:tcPr>
            <w:tcW w:w="280" w:type="pct"/>
            <w:hideMark/>
          </w:tcPr>
          <w:p w14:paraId="1FB26944" w14:textId="77777777" w:rsidR="00DF47DA" w:rsidRDefault="00DF47DA">
            <w:pPr>
              <w:pStyle w:val="Bibliography"/>
              <w:rPr>
                <w:noProof/>
              </w:rPr>
            </w:pPr>
            <w:r>
              <w:rPr>
                <w:noProof/>
              </w:rPr>
              <w:t xml:space="preserve">[57] </w:t>
            </w:r>
          </w:p>
        </w:tc>
        <w:tc>
          <w:tcPr>
            <w:tcW w:w="4675" w:type="pct"/>
            <w:hideMark/>
          </w:tcPr>
          <w:p w14:paraId="1A7D25A7" w14:textId="77777777" w:rsidR="00DF47DA" w:rsidRDefault="00DF47DA">
            <w:pPr>
              <w:pStyle w:val="Bibliography"/>
              <w:rPr>
                <w:noProof/>
              </w:rPr>
            </w:pPr>
            <w:r>
              <w:rPr>
                <w:noProof/>
              </w:rPr>
              <w:t xml:space="preserve">NNB GenCo, TeamCenter No. 100822497: Principles of the EPRESSI method (English version of ENGSIN070401A report): Revision 001, 2016. </w:t>
            </w:r>
          </w:p>
        </w:tc>
      </w:tr>
      <w:tr w:rsidR="00DF47DA" w14:paraId="7299FF78" w14:textId="77777777" w:rsidTr="00DF47DA">
        <w:trPr>
          <w:divId w:val="2080983081"/>
          <w:tblCellSpacing w:w="15" w:type="dxa"/>
        </w:trPr>
        <w:tc>
          <w:tcPr>
            <w:tcW w:w="280" w:type="pct"/>
            <w:hideMark/>
          </w:tcPr>
          <w:p w14:paraId="619EE671" w14:textId="77777777" w:rsidR="00DF47DA" w:rsidRDefault="00DF47DA">
            <w:pPr>
              <w:pStyle w:val="Bibliography"/>
              <w:rPr>
                <w:noProof/>
              </w:rPr>
            </w:pPr>
            <w:r>
              <w:rPr>
                <w:noProof/>
              </w:rPr>
              <w:t xml:space="preserve">[58] </w:t>
            </w:r>
          </w:p>
        </w:tc>
        <w:tc>
          <w:tcPr>
            <w:tcW w:w="4675" w:type="pct"/>
            <w:hideMark/>
          </w:tcPr>
          <w:p w14:paraId="27FB668D" w14:textId="77777777" w:rsidR="00DF47DA" w:rsidRDefault="00DF47DA">
            <w:pPr>
              <w:pStyle w:val="Bibliography"/>
              <w:rPr>
                <w:noProof/>
              </w:rPr>
            </w:pPr>
            <w:r>
              <w:rPr>
                <w:noProof/>
              </w:rPr>
              <w:t xml:space="preserve">NNB GenCo, TeamCenter No. 100581134: HPC-CNENXX-XX-000-NOT-203012 – Guidance for fire load inventory. Revision 003, 2019. </w:t>
            </w:r>
          </w:p>
        </w:tc>
      </w:tr>
      <w:tr w:rsidR="00DF47DA" w14:paraId="7C518EB2" w14:textId="77777777" w:rsidTr="00DF47DA">
        <w:trPr>
          <w:divId w:val="2080983081"/>
          <w:tblCellSpacing w:w="15" w:type="dxa"/>
        </w:trPr>
        <w:tc>
          <w:tcPr>
            <w:tcW w:w="280" w:type="pct"/>
            <w:hideMark/>
          </w:tcPr>
          <w:p w14:paraId="18EA8D0A" w14:textId="77777777" w:rsidR="00DF47DA" w:rsidRDefault="00DF47DA">
            <w:pPr>
              <w:pStyle w:val="Bibliography"/>
              <w:rPr>
                <w:noProof/>
              </w:rPr>
            </w:pPr>
            <w:r>
              <w:rPr>
                <w:noProof/>
              </w:rPr>
              <w:t xml:space="preserve">[59] </w:t>
            </w:r>
          </w:p>
        </w:tc>
        <w:tc>
          <w:tcPr>
            <w:tcW w:w="4675" w:type="pct"/>
            <w:hideMark/>
          </w:tcPr>
          <w:p w14:paraId="79318894" w14:textId="77777777" w:rsidR="00DF47DA" w:rsidRDefault="00DF47DA">
            <w:pPr>
              <w:pStyle w:val="Bibliography"/>
              <w:rPr>
                <w:noProof/>
              </w:rPr>
            </w:pPr>
            <w:r>
              <w:rPr>
                <w:noProof/>
              </w:rPr>
              <w:t xml:space="preserve">NNB GenCo, TeamCenter No. 100580799 - HPC-DTXXXX-AU-ALL-MST-200042 – Methodology for Fire Risk Analysis for New Build Projects, Rev A, 2020. </w:t>
            </w:r>
          </w:p>
        </w:tc>
      </w:tr>
      <w:tr w:rsidR="00DF47DA" w14:paraId="58FC396D" w14:textId="77777777" w:rsidTr="00DF47DA">
        <w:trPr>
          <w:divId w:val="2080983081"/>
          <w:tblCellSpacing w:w="15" w:type="dxa"/>
        </w:trPr>
        <w:tc>
          <w:tcPr>
            <w:tcW w:w="280" w:type="pct"/>
            <w:hideMark/>
          </w:tcPr>
          <w:p w14:paraId="5FDC4975" w14:textId="77777777" w:rsidR="00DF47DA" w:rsidRDefault="00DF47DA">
            <w:pPr>
              <w:pStyle w:val="Bibliography"/>
              <w:rPr>
                <w:noProof/>
              </w:rPr>
            </w:pPr>
            <w:r>
              <w:rPr>
                <w:noProof/>
              </w:rPr>
              <w:t xml:space="preserve">[60] </w:t>
            </w:r>
          </w:p>
        </w:tc>
        <w:tc>
          <w:tcPr>
            <w:tcW w:w="4675" w:type="pct"/>
            <w:hideMark/>
          </w:tcPr>
          <w:p w14:paraId="20FB0504" w14:textId="77777777" w:rsidR="00DF47DA" w:rsidRDefault="00DF47DA">
            <w:pPr>
              <w:pStyle w:val="Bibliography"/>
              <w:rPr>
                <w:noProof/>
              </w:rPr>
            </w:pPr>
            <w:r>
              <w:rPr>
                <w:noProof/>
              </w:rPr>
              <w:t xml:space="preserve">NNB GenCo, TeamCenter No. 100565589 - UKX-SEPTEN-AU-ALL-STU-000439 – Assumptions for Assessing Radioactive Releases from EPR Accidents; Revision 004, 2021. </w:t>
            </w:r>
          </w:p>
        </w:tc>
      </w:tr>
      <w:tr w:rsidR="00DF47DA" w14:paraId="180CBBAB" w14:textId="77777777" w:rsidTr="00DF47DA">
        <w:trPr>
          <w:divId w:val="2080983081"/>
          <w:tblCellSpacing w:w="15" w:type="dxa"/>
        </w:trPr>
        <w:tc>
          <w:tcPr>
            <w:tcW w:w="280" w:type="pct"/>
            <w:hideMark/>
          </w:tcPr>
          <w:p w14:paraId="5F33F5AB" w14:textId="77777777" w:rsidR="00DF47DA" w:rsidRDefault="00DF47DA">
            <w:pPr>
              <w:pStyle w:val="Bibliography"/>
              <w:rPr>
                <w:noProof/>
              </w:rPr>
            </w:pPr>
            <w:r>
              <w:rPr>
                <w:noProof/>
              </w:rPr>
              <w:t xml:space="preserve">[61] </w:t>
            </w:r>
          </w:p>
        </w:tc>
        <w:tc>
          <w:tcPr>
            <w:tcW w:w="4675" w:type="pct"/>
            <w:hideMark/>
          </w:tcPr>
          <w:p w14:paraId="6764909D" w14:textId="77777777" w:rsidR="00DF47DA" w:rsidRDefault="00DF47DA">
            <w:pPr>
              <w:pStyle w:val="Bibliography"/>
              <w:rPr>
                <w:noProof/>
              </w:rPr>
            </w:pPr>
            <w:r>
              <w:rPr>
                <w:noProof/>
              </w:rPr>
              <w:t xml:space="preserve">NNB GenCo, TeamCenter No. 100872081 - HPC-EDVAXX-AU-ALL-NOT-211265 - Identification of Design Basis Initiating Hazards for radiological consequences assessment, Revision A, 2021. </w:t>
            </w:r>
          </w:p>
        </w:tc>
      </w:tr>
      <w:tr w:rsidR="00DF47DA" w14:paraId="5C28CD2C" w14:textId="77777777" w:rsidTr="00DF47DA">
        <w:trPr>
          <w:divId w:val="2080983081"/>
          <w:tblCellSpacing w:w="15" w:type="dxa"/>
        </w:trPr>
        <w:tc>
          <w:tcPr>
            <w:tcW w:w="280" w:type="pct"/>
            <w:hideMark/>
          </w:tcPr>
          <w:p w14:paraId="3B88406D" w14:textId="77777777" w:rsidR="00DF47DA" w:rsidRDefault="00DF47DA">
            <w:pPr>
              <w:pStyle w:val="Bibliography"/>
              <w:rPr>
                <w:noProof/>
              </w:rPr>
            </w:pPr>
            <w:r>
              <w:rPr>
                <w:noProof/>
              </w:rPr>
              <w:t xml:space="preserve">[62] </w:t>
            </w:r>
          </w:p>
        </w:tc>
        <w:tc>
          <w:tcPr>
            <w:tcW w:w="4675" w:type="pct"/>
            <w:hideMark/>
          </w:tcPr>
          <w:p w14:paraId="751C5D00" w14:textId="77777777" w:rsidR="00DF47DA" w:rsidRDefault="00DF47DA">
            <w:pPr>
              <w:pStyle w:val="Bibliography"/>
              <w:rPr>
                <w:noProof/>
              </w:rPr>
            </w:pPr>
            <w:r>
              <w:rPr>
                <w:noProof/>
              </w:rPr>
              <w:t xml:space="preserve">NNB GenCo, TeamCenter No. 100582970 – CDDSNE1002UK – Fire Strategy Modifications, Revision A, 2018. </w:t>
            </w:r>
          </w:p>
        </w:tc>
      </w:tr>
      <w:tr w:rsidR="00DF47DA" w14:paraId="74D2645C" w14:textId="77777777" w:rsidTr="00DF47DA">
        <w:trPr>
          <w:divId w:val="2080983081"/>
          <w:tblCellSpacing w:w="15" w:type="dxa"/>
        </w:trPr>
        <w:tc>
          <w:tcPr>
            <w:tcW w:w="280" w:type="pct"/>
            <w:hideMark/>
          </w:tcPr>
          <w:p w14:paraId="2453FAB6" w14:textId="77777777" w:rsidR="00DF47DA" w:rsidRDefault="00DF47DA">
            <w:pPr>
              <w:pStyle w:val="Bibliography"/>
              <w:rPr>
                <w:noProof/>
              </w:rPr>
            </w:pPr>
            <w:r>
              <w:rPr>
                <w:noProof/>
              </w:rPr>
              <w:t xml:space="preserve">[63] </w:t>
            </w:r>
          </w:p>
        </w:tc>
        <w:tc>
          <w:tcPr>
            <w:tcW w:w="4675" w:type="pct"/>
            <w:hideMark/>
          </w:tcPr>
          <w:p w14:paraId="44C5D6E8" w14:textId="77777777" w:rsidR="00DF47DA" w:rsidRDefault="00DF47DA">
            <w:pPr>
              <w:pStyle w:val="Bibliography"/>
              <w:rPr>
                <w:noProof/>
              </w:rPr>
            </w:pPr>
            <w:r>
              <w:rPr>
                <w:noProof/>
              </w:rPr>
              <w:t xml:space="preserve">NNB GenCo, TeamCenter No. 100569845 - UKX-CNENXX-AU-ALL-CHR-200067 – Additional Fire Compartmentation – Revision A, 2016. </w:t>
            </w:r>
          </w:p>
        </w:tc>
      </w:tr>
      <w:tr w:rsidR="00DF47DA" w14:paraId="4298B683" w14:textId="77777777" w:rsidTr="00DF47DA">
        <w:trPr>
          <w:divId w:val="2080983081"/>
          <w:tblCellSpacing w:w="15" w:type="dxa"/>
        </w:trPr>
        <w:tc>
          <w:tcPr>
            <w:tcW w:w="280" w:type="pct"/>
            <w:hideMark/>
          </w:tcPr>
          <w:p w14:paraId="466114B5" w14:textId="77777777" w:rsidR="00DF47DA" w:rsidRDefault="00DF47DA">
            <w:pPr>
              <w:pStyle w:val="Bibliography"/>
              <w:rPr>
                <w:noProof/>
              </w:rPr>
            </w:pPr>
            <w:r>
              <w:rPr>
                <w:noProof/>
              </w:rPr>
              <w:t xml:space="preserve">[64] </w:t>
            </w:r>
          </w:p>
        </w:tc>
        <w:tc>
          <w:tcPr>
            <w:tcW w:w="4675" w:type="pct"/>
            <w:hideMark/>
          </w:tcPr>
          <w:p w14:paraId="15644431" w14:textId="77777777" w:rsidR="00DF47DA" w:rsidRDefault="00DF47DA">
            <w:pPr>
              <w:pStyle w:val="Bibliography"/>
              <w:rPr>
                <w:noProof/>
              </w:rPr>
            </w:pPr>
            <w:r>
              <w:rPr>
                <w:noProof/>
              </w:rPr>
              <w:t xml:space="preserve">NNB GenCo, TeamCenter No. 100872654 – LSS Set Down Area Fire Segregation – Revision A, 2023. </w:t>
            </w:r>
          </w:p>
        </w:tc>
      </w:tr>
      <w:tr w:rsidR="00DF47DA" w14:paraId="723CC843" w14:textId="77777777" w:rsidTr="00DF47DA">
        <w:trPr>
          <w:divId w:val="2080983081"/>
          <w:tblCellSpacing w:w="15" w:type="dxa"/>
        </w:trPr>
        <w:tc>
          <w:tcPr>
            <w:tcW w:w="280" w:type="pct"/>
            <w:hideMark/>
          </w:tcPr>
          <w:p w14:paraId="779E8798" w14:textId="77777777" w:rsidR="00DF47DA" w:rsidRDefault="00DF47DA">
            <w:pPr>
              <w:pStyle w:val="Bibliography"/>
              <w:rPr>
                <w:noProof/>
              </w:rPr>
            </w:pPr>
            <w:r>
              <w:rPr>
                <w:noProof/>
              </w:rPr>
              <w:t xml:space="preserve">[65] </w:t>
            </w:r>
          </w:p>
        </w:tc>
        <w:tc>
          <w:tcPr>
            <w:tcW w:w="4675" w:type="pct"/>
            <w:hideMark/>
          </w:tcPr>
          <w:p w14:paraId="17C4C16A" w14:textId="77777777" w:rsidR="00DF47DA" w:rsidRDefault="00DF47DA">
            <w:pPr>
              <w:pStyle w:val="Bibliography"/>
              <w:rPr>
                <w:noProof/>
              </w:rPr>
            </w:pPr>
            <w:r>
              <w:rPr>
                <w:noProof/>
              </w:rPr>
              <w:t xml:space="preserve">NNB GenCo, TeamCenter No. 100928719 - Implementation of 80mm Fire Wrapping for Protection of Ducts and Supports – Revision 01, 2021. </w:t>
            </w:r>
          </w:p>
        </w:tc>
      </w:tr>
      <w:tr w:rsidR="00DF47DA" w14:paraId="7B9453D9" w14:textId="77777777" w:rsidTr="00DF47DA">
        <w:trPr>
          <w:divId w:val="2080983081"/>
          <w:tblCellSpacing w:w="15" w:type="dxa"/>
        </w:trPr>
        <w:tc>
          <w:tcPr>
            <w:tcW w:w="280" w:type="pct"/>
            <w:hideMark/>
          </w:tcPr>
          <w:p w14:paraId="20DB9A7E" w14:textId="77777777" w:rsidR="00DF47DA" w:rsidRDefault="00DF47DA">
            <w:pPr>
              <w:pStyle w:val="Bibliography"/>
              <w:rPr>
                <w:noProof/>
              </w:rPr>
            </w:pPr>
            <w:r>
              <w:rPr>
                <w:noProof/>
              </w:rPr>
              <w:t xml:space="preserve">[66] </w:t>
            </w:r>
          </w:p>
        </w:tc>
        <w:tc>
          <w:tcPr>
            <w:tcW w:w="4675" w:type="pct"/>
            <w:hideMark/>
          </w:tcPr>
          <w:p w14:paraId="23C299D5" w14:textId="77777777" w:rsidR="00DF47DA" w:rsidRDefault="00DF47DA">
            <w:pPr>
              <w:pStyle w:val="Bibliography"/>
              <w:rPr>
                <w:noProof/>
              </w:rPr>
            </w:pPr>
            <w:r>
              <w:rPr>
                <w:noProof/>
              </w:rPr>
              <w:t xml:space="preserve">NNB GenCo, TeamCenter No. 100565551 – HPC-ECUKXX-XX-ALL-NOT-000185 OPEX Feedback Edvance Design for HPC, Revision 22, 2022. </w:t>
            </w:r>
          </w:p>
        </w:tc>
      </w:tr>
      <w:tr w:rsidR="00DF47DA" w14:paraId="0A62FD55" w14:textId="77777777" w:rsidTr="00DF47DA">
        <w:trPr>
          <w:divId w:val="2080983081"/>
          <w:tblCellSpacing w:w="15" w:type="dxa"/>
        </w:trPr>
        <w:tc>
          <w:tcPr>
            <w:tcW w:w="280" w:type="pct"/>
            <w:hideMark/>
          </w:tcPr>
          <w:p w14:paraId="04619303" w14:textId="77777777" w:rsidR="00DF47DA" w:rsidRDefault="00DF47DA">
            <w:pPr>
              <w:pStyle w:val="Bibliography"/>
              <w:rPr>
                <w:noProof/>
              </w:rPr>
            </w:pPr>
            <w:r>
              <w:rPr>
                <w:noProof/>
              </w:rPr>
              <w:t xml:space="preserve">[67] </w:t>
            </w:r>
          </w:p>
        </w:tc>
        <w:tc>
          <w:tcPr>
            <w:tcW w:w="4675" w:type="pct"/>
            <w:hideMark/>
          </w:tcPr>
          <w:p w14:paraId="2E519236" w14:textId="77777777" w:rsidR="00DF47DA" w:rsidRDefault="00DF47DA">
            <w:pPr>
              <w:pStyle w:val="Bibliography"/>
              <w:rPr>
                <w:noProof/>
              </w:rPr>
            </w:pPr>
            <w:r>
              <w:rPr>
                <w:noProof/>
              </w:rPr>
              <w:t xml:space="preserve">NNB GenCo, ONR comments and queries on NNB TPR 2 report - NNB GenCo responses 23 July 2023, CM9 Ref 2023/45803, 2023. </w:t>
            </w:r>
          </w:p>
        </w:tc>
      </w:tr>
      <w:tr w:rsidR="00DF47DA" w14:paraId="6E7261F4" w14:textId="77777777" w:rsidTr="00DF47DA">
        <w:trPr>
          <w:divId w:val="2080983081"/>
          <w:tblCellSpacing w:w="15" w:type="dxa"/>
        </w:trPr>
        <w:tc>
          <w:tcPr>
            <w:tcW w:w="280" w:type="pct"/>
            <w:hideMark/>
          </w:tcPr>
          <w:p w14:paraId="129D65F2" w14:textId="77777777" w:rsidR="00DF47DA" w:rsidRDefault="00DF47DA">
            <w:pPr>
              <w:pStyle w:val="Bibliography"/>
              <w:rPr>
                <w:noProof/>
              </w:rPr>
            </w:pPr>
            <w:r>
              <w:rPr>
                <w:noProof/>
              </w:rPr>
              <w:t xml:space="preserve">[68] </w:t>
            </w:r>
          </w:p>
        </w:tc>
        <w:tc>
          <w:tcPr>
            <w:tcW w:w="4675" w:type="pct"/>
            <w:hideMark/>
          </w:tcPr>
          <w:p w14:paraId="3B5CB401" w14:textId="77777777" w:rsidR="00DF47DA" w:rsidRDefault="00DF47DA">
            <w:pPr>
              <w:pStyle w:val="Bibliography"/>
              <w:rPr>
                <w:noProof/>
              </w:rPr>
            </w:pPr>
            <w:r>
              <w:rPr>
                <w:noProof/>
              </w:rPr>
              <w:t xml:space="preserve">International Atomic Energy Agency, Protection Against Internal Fires and Explosions in the Design of Nuclear Power Plants, IAEA Safety Standards Series No. NS-G-1.7, IAEA, Vienna, 2004. </w:t>
            </w:r>
          </w:p>
        </w:tc>
      </w:tr>
      <w:tr w:rsidR="00DF47DA" w14:paraId="009C6A89" w14:textId="77777777" w:rsidTr="00DF47DA">
        <w:trPr>
          <w:divId w:val="2080983081"/>
          <w:tblCellSpacing w:w="15" w:type="dxa"/>
        </w:trPr>
        <w:tc>
          <w:tcPr>
            <w:tcW w:w="280" w:type="pct"/>
            <w:hideMark/>
          </w:tcPr>
          <w:p w14:paraId="3524B471" w14:textId="77777777" w:rsidR="00DF47DA" w:rsidRDefault="00DF47DA">
            <w:pPr>
              <w:pStyle w:val="Bibliography"/>
              <w:rPr>
                <w:noProof/>
              </w:rPr>
            </w:pPr>
            <w:r>
              <w:rPr>
                <w:noProof/>
              </w:rPr>
              <w:t xml:space="preserve">[69] </w:t>
            </w:r>
          </w:p>
        </w:tc>
        <w:tc>
          <w:tcPr>
            <w:tcW w:w="4675" w:type="pct"/>
            <w:hideMark/>
          </w:tcPr>
          <w:p w14:paraId="5C2B34FB" w14:textId="77777777" w:rsidR="00DF47DA" w:rsidRDefault="00DF47DA">
            <w:pPr>
              <w:pStyle w:val="Bibliography"/>
              <w:rPr>
                <w:noProof/>
              </w:rPr>
            </w:pPr>
            <w:r>
              <w:rPr>
                <w:noProof/>
              </w:rPr>
              <w:t xml:space="preserve">IAEA, Specific Safety Requirements - Safety of Nuclear Power Plants: Commissioning and Operation - SSR-2/2 Rev. 1, 2016. </w:t>
            </w:r>
          </w:p>
        </w:tc>
      </w:tr>
      <w:tr w:rsidR="00DF47DA" w:rsidRPr="004A7507" w14:paraId="78FE9830" w14:textId="77777777" w:rsidTr="00DF47DA">
        <w:trPr>
          <w:divId w:val="2080983081"/>
          <w:tblCellSpacing w:w="15" w:type="dxa"/>
        </w:trPr>
        <w:tc>
          <w:tcPr>
            <w:tcW w:w="280" w:type="pct"/>
            <w:hideMark/>
          </w:tcPr>
          <w:p w14:paraId="0BAFCC16" w14:textId="77777777" w:rsidR="00DF47DA" w:rsidRDefault="00DF47DA">
            <w:pPr>
              <w:pStyle w:val="Bibliography"/>
              <w:rPr>
                <w:noProof/>
              </w:rPr>
            </w:pPr>
            <w:r>
              <w:rPr>
                <w:noProof/>
              </w:rPr>
              <w:t xml:space="preserve">[70] </w:t>
            </w:r>
          </w:p>
        </w:tc>
        <w:tc>
          <w:tcPr>
            <w:tcW w:w="4675" w:type="pct"/>
            <w:hideMark/>
          </w:tcPr>
          <w:p w14:paraId="723511F3" w14:textId="77777777" w:rsidR="00DF47DA" w:rsidRPr="004A7507" w:rsidRDefault="00DF47DA">
            <w:pPr>
              <w:pStyle w:val="Bibliography"/>
              <w:rPr>
                <w:noProof/>
                <w:lang w:val="fr-FR"/>
              </w:rPr>
            </w:pPr>
            <w:r>
              <w:rPr>
                <w:noProof/>
              </w:rPr>
              <w:t xml:space="preserve">ONR, “Step 4 Internal Hazards Assessment of the EDF and AREVA UK EPR Reactor, ONR-GDA-AR-11-017, Rev. 0,” 2011. </w:t>
            </w:r>
            <w:r w:rsidRPr="004A7507">
              <w:rPr>
                <w:noProof/>
                <w:lang w:val="fr-FR"/>
              </w:rPr>
              <w:t>[Online]. Available: https://www.onr.org.uk/new-reactors/reports/step-four/technical-assessment/ukepr-ih-onr-gda-ar-11-017-r-rev-0.pdf.</w:t>
            </w:r>
          </w:p>
        </w:tc>
      </w:tr>
      <w:tr w:rsidR="00DF47DA" w14:paraId="3CA0C1A3" w14:textId="77777777" w:rsidTr="00DF47DA">
        <w:trPr>
          <w:divId w:val="2080983081"/>
          <w:tblCellSpacing w:w="15" w:type="dxa"/>
        </w:trPr>
        <w:tc>
          <w:tcPr>
            <w:tcW w:w="280" w:type="pct"/>
            <w:hideMark/>
          </w:tcPr>
          <w:p w14:paraId="5A216A3D" w14:textId="77777777" w:rsidR="00DF47DA" w:rsidRDefault="00DF47DA">
            <w:pPr>
              <w:pStyle w:val="Bibliography"/>
              <w:rPr>
                <w:noProof/>
              </w:rPr>
            </w:pPr>
            <w:r>
              <w:rPr>
                <w:noProof/>
              </w:rPr>
              <w:t xml:space="preserve">[71] </w:t>
            </w:r>
          </w:p>
        </w:tc>
        <w:tc>
          <w:tcPr>
            <w:tcW w:w="4675" w:type="pct"/>
            <w:hideMark/>
          </w:tcPr>
          <w:p w14:paraId="4EF5894A" w14:textId="77777777" w:rsidR="00DF47DA" w:rsidRDefault="00DF47DA">
            <w:pPr>
              <w:pStyle w:val="Bibliography"/>
              <w:rPr>
                <w:noProof/>
              </w:rPr>
            </w:pPr>
            <w:r>
              <w:rPr>
                <w:noProof/>
              </w:rPr>
              <w:t xml:space="preserve">British Standards Institute , BS 9999, Fire Safety in the Design, Management and Use of Buildings – Code of Practice, 2017. </w:t>
            </w:r>
          </w:p>
        </w:tc>
      </w:tr>
      <w:tr w:rsidR="00DF47DA" w14:paraId="132A2075" w14:textId="77777777" w:rsidTr="00DF47DA">
        <w:trPr>
          <w:divId w:val="2080983081"/>
          <w:tblCellSpacing w:w="15" w:type="dxa"/>
        </w:trPr>
        <w:tc>
          <w:tcPr>
            <w:tcW w:w="280" w:type="pct"/>
            <w:hideMark/>
          </w:tcPr>
          <w:p w14:paraId="7E315750" w14:textId="77777777" w:rsidR="00DF47DA" w:rsidRDefault="00DF47DA">
            <w:pPr>
              <w:pStyle w:val="Bibliography"/>
              <w:rPr>
                <w:noProof/>
              </w:rPr>
            </w:pPr>
            <w:r>
              <w:rPr>
                <w:noProof/>
              </w:rPr>
              <w:t xml:space="preserve">[72] </w:t>
            </w:r>
          </w:p>
        </w:tc>
        <w:tc>
          <w:tcPr>
            <w:tcW w:w="4675" w:type="pct"/>
            <w:hideMark/>
          </w:tcPr>
          <w:p w14:paraId="45EF94BE" w14:textId="77777777" w:rsidR="00DF47DA" w:rsidRDefault="00DF47DA">
            <w:pPr>
              <w:pStyle w:val="Bibliography"/>
              <w:rPr>
                <w:noProof/>
              </w:rPr>
            </w:pPr>
            <w:r>
              <w:rPr>
                <w:noProof/>
              </w:rPr>
              <w:t xml:space="preserve">B. S. Institute, Fire Risk Management Systems- defining requirements with guidance for use, 2019. </w:t>
            </w:r>
          </w:p>
        </w:tc>
      </w:tr>
      <w:tr w:rsidR="00DF47DA" w14:paraId="722B6FDE" w14:textId="77777777" w:rsidTr="00DF47DA">
        <w:trPr>
          <w:divId w:val="2080983081"/>
          <w:tblCellSpacing w:w="15" w:type="dxa"/>
        </w:trPr>
        <w:tc>
          <w:tcPr>
            <w:tcW w:w="280" w:type="pct"/>
            <w:hideMark/>
          </w:tcPr>
          <w:p w14:paraId="522BDD67" w14:textId="77777777" w:rsidR="00DF47DA" w:rsidRDefault="00DF47DA">
            <w:pPr>
              <w:pStyle w:val="Bibliography"/>
              <w:rPr>
                <w:noProof/>
              </w:rPr>
            </w:pPr>
            <w:r>
              <w:rPr>
                <w:noProof/>
              </w:rPr>
              <w:t xml:space="preserve">[73] </w:t>
            </w:r>
          </w:p>
        </w:tc>
        <w:tc>
          <w:tcPr>
            <w:tcW w:w="4675" w:type="pct"/>
            <w:hideMark/>
          </w:tcPr>
          <w:p w14:paraId="77D99B65" w14:textId="77777777" w:rsidR="00DF47DA" w:rsidRDefault="00DF47DA">
            <w:pPr>
              <w:pStyle w:val="Bibliography"/>
              <w:rPr>
                <w:noProof/>
              </w:rPr>
            </w:pPr>
            <w:r>
              <w:rPr>
                <w:noProof/>
              </w:rPr>
              <w:t xml:space="preserve">SSI 917 Engineering Substantiation, Springfields Fuels Ltd. </w:t>
            </w:r>
          </w:p>
        </w:tc>
      </w:tr>
      <w:tr w:rsidR="00DF47DA" w14:paraId="44B6C778" w14:textId="77777777" w:rsidTr="00DF47DA">
        <w:trPr>
          <w:divId w:val="2080983081"/>
          <w:tblCellSpacing w:w="15" w:type="dxa"/>
        </w:trPr>
        <w:tc>
          <w:tcPr>
            <w:tcW w:w="280" w:type="pct"/>
            <w:hideMark/>
          </w:tcPr>
          <w:p w14:paraId="076F935C" w14:textId="77777777" w:rsidR="00DF47DA" w:rsidRDefault="00DF47DA">
            <w:pPr>
              <w:pStyle w:val="Bibliography"/>
              <w:rPr>
                <w:noProof/>
              </w:rPr>
            </w:pPr>
            <w:r>
              <w:rPr>
                <w:noProof/>
              </w:rPr>
              <w:t xml:space="preserve">[74] </w:t>
            </w:r>
          </w:p>
        </w:tc>
        <w:tc>
          <w:tcPr>
            <w:tcW w:w="4675" w:type="pct"/>
            <w:hideMark/>
          </w:tcPr>
          <w:p w14:paraId="5E74DFB3" w14:textId="77777777" w:rsidR="00DF47DA" w:rsidRDefault="00DF47DA">
            <w:pPr>
              <w:pStyle w:val="Bibliography"/>
              <w:rPr>
                <w:noProof/>
              </w:rPr>
            </w:pPr>
            <w:r>
              <w:rPr>
                <w:noProof/>
              </w:rPr>
              <w:t xml:space="preserve">SAG R198 Revision 4. Assessment of the Hazards posed by External Events affecting Springfields. </w:t>
            </w:r>
          </w:p>
        </w:tc>
      </w:tr>
      <w:tr w:rsidR="00DF47DA" w14:paraId="5204CACF" w14:textId="77777777" w:rsidTr="00DF47DA">
        <w:trPr>
          <w:divId w:val="2080983081"/>
          <w:tblCellSpacing w:w="15" w:type="dxa"/>
        </w:trPr>
        <w:tc>
          <w:tcPr>
            <w:tcW w:w="280" w:type="pct"/>
            <w:hideMark/>
          </w:tcPr>
          <w:p w14:paraId="330F2095" w14:textId="77777777" w:rsidR="00DF47DA" w:rsidRDefault="00DF47DA">
            <w:pPr>
              <w:pStyle w:val="Bibliography"/>
              <w:rPr>
                <w:noProof/>
              </w:rPr>
            </w:pPr>
            <w:r>
              <w:rPr>
                <w:noProof/>
              </w:rPr>
              <w:t xml:space="preserve">[75] </w:t>
            </w:r>
          </w:p>
        </w:tc>
        <w:tc>
          <w:tcPr>
            <w:tcW w:w="4675" w:type="pct"/>
            <w:hideMark/>
          </w:tcPr>
          <w:p w14:paraId="6661D3BC" w14:textId="77777777" w:rsidR="00DF47DA" w:rsidRDefault="00DF47DA">
            <w:pPr>
              <w:pStyle w:val="Bibliography"/>
              <w:rPr>
                <w:noProof/>
              </w:rPr>
            </w:pPr>
            <w:r>
              <w:rPr>
                <w:noProof/>
              </w:rPr>
              <w:t xml:space="preserve">International Atomic Energy Agency, Fire Protection in Nuclear Power Plants - TECDOC 1944, 2021. </w:t>
            </w:r>
          </w:p>
        </w:tc>
      </w:tr>
      <w:tr w:rsidR="00DF47DA" w14:paraId="096D0595" w14:textId="77777777" w:rsidTr="00DF47DA">
        <w:trPr>
          <w:divId w:val="2080983081"/>
          <w:tblCellSpacing w:w="15" w:type="dxa"/>
        </w:trPr>
        <w:tc>
          <w:tcPr>
            <w:tcW w:w="280" w:type="pct"/>
            <w:hideMark/>
          </w:tcPr>
          <w:p w14:paraId="1CE5362D" w14:textId="77777777" w:rsidR="00DF47DA" w:rsidRDefault="00DF47DA">
            <w:pPr>
              <w:pStyle w:val="Bibliography"/>
              <w:rPr>
                <w:noProof/>
              </w:rPr>
            </w:pPr>
            <w:r>
              <w:rPr>
                <w:noProof/>
              </w:rPr>
              <w:t xml:space="preserve">[76] </w:t>
            </w:r>
          </w:p>
        </w:tc>
        <w:tc>
          <w:tcPr>
            <w:tcW w:w="4675" w:type="pct"/>
            <w:hideMark/>
          </w:tcPr>
          <w:p w14:paraId="205C210F" w14:textId="77777777" w:rsidR="00DF47DA" w:rsidRDefault="00DF47DA">
            <w:pPr>
              <w:pStyle w:val="Bibliography"/>
              <w:rPr>
                <w:noProof/>
              </w:rPr>
            </w:pPr>
            <w:r>
              <w:rPr>
                <w:noProof/>
              </w:rPr>
              <w:t xml:space="preserve">National Fire Protection Association, NFPA 801 - Standard for Fire Protection for Facilities Handling Radioactive Mateirals. </w:t>
            </w:r>
          </w:p>
        </w:tc>
      </w:tr>
      <w:tr w:rsidR="00DF47DA" w14:paraId="363C9DD4" w14:textId="77777777" w:rsidTr="00DF47DA">
        <w:trPr>
          <w:divId w:val="2080983081"/>
          <w:tblCellSpacing w:w="15" w:type="dxa"/>
        </w:trPr>
        <w:tc>
          <w:tcPr>
            <w:tcW w:w="280" w:type="pct"/>
            <w:hideMark/>
          </w:tcPr>
          <w:p w14:paraId="367BE365" w14:textId="77777777" w:rsidR="00DF47DA" w:rsidRDefault="00DF47DA">
            <w:pPr>
              <w:pStyle w:val="Bibliography"/>
              <w:rPr>
                <w:noProof/>
              </w:rPr>
            </w:pPr>
            <w:r>
              <w:rPr>
                <w:noProof/>
              </w:rPr>
              <w:t xml:space="preserve">[77] </w:t>
            </w:r>
          </w:p>
        </w:tc>
        <w:tc>
          <w:tcPr>
            <w:tcW w:w="4675" w:type="pct"/>
            <w:hideMark/>
          </w:tcPr>
          <w:p w14:paraId="49CF715B" w14:textId="77777777" w:rsidR="00DF47DA" w:rsidRDefault="00DF47DA">
            <w:pPr>
              <w:pStyle w:val="Bibliography"/>
              <w:rPr>
                <w:noProof/>
              </w:rPr>
            </w:pPr>
            <w:r>
              <w:rPr>
                <w:noProof/>
              </w:rPr>
              <w:t xml:space="preserve">United States Nuclear Regulatory Commission; NUREG 2169 EPRI 3002002936 Nuclear Power Plant Fire Ignition Frequency and Non-Suppression Probability Estimation Using the Updated Fire Events Database. United States Fire Event Experience Through 2009.. </w:t>
            </w:r>
          </w:p>
        </w:tc>
      </w:tr>
      <w:tr w:rsidR="00DF47DA" w14:paraId="0EF4F308" w14:textId="77777777" w:rsidTr="00DF47DA">
        <w:trPr>
          <w:divId w:val="2080983081"/>
          <w:tblCellSpacing w:w="15" w:type="dxa"/>
        </w:trPr>
        <w:tc>
          <w:tcPr>
            <w:tcW w:w="280" w:type="pct"/>
            <w:hideMark/>
          </w:tcPr>
          <w:p w14:paraId="4E7FABD3" w14:textId="77777777" w:rsidR="00DF47DA" w:rsidRDefault="00DF47DA">
            <w:pPr>
              <w:pStyle w:val="Bibliography"/>
              <w:rPr>
                <w:noProof/>
              </w:rPr>
            </w:pPr>
            <w:r>
              <w:rPr>
                <w:noProof/>
              </w:rPr>
              <w:t xml:space="preserve">[78] </w:t>
            </w:r>
          </w:p>
        </w:tc>
        <w:tc>
          <w:tcPr>
            <w:tcW w:w="4675" w:type="pct"/>
            <w:hideMark/>
          </w:tcPr>
          <w:p w14:paraId="12EFA761" w14:textId="77777777" w:rsidR="00DF47DA" w:rsidRDefault="00DF47DA">
            <w:pPr>
              <w:pStyle w:val="Bibliography"/>
              <w:rPr>
                <w:noProof/>
              </w:rPr>
            </w:pPr>
            <w:r>
              <w:rPr>
                <w:noProof/>
              </w:rPr>
              <w:t xml:space="preserve">United States Nuclear Regulatory Commission, NUREG 1805, Fire Dyanamics Tools (FDTs) Quantitative Fire Hazard Analysis Methods for the U.S. Nuclear Regulatory Commission Fire Protection Inspection Program, December 2004. </w:t>
            </w:r>
          </w:p>
        </w:tc>
      </w:tr>
      <w:tr w:rsidR="00DF47DA" w14:paraId="77D508CA" w14:textId="77777777" w:rsidTr="00DF47DA">
        <w:trPr>
          <w:divId w:val="2080983081"/>
          <w:tblCellSpacing w:w="15" w:type="dxa"/>
        </w:trPr>
        <w:tc>
          <w:tcPr>
            <w:tcW w:w="280" w:type="pct"/>
            <w:hideMark/>
          </w:tcPr>
          <w:p w14:paraId="661C359F" w14:textId="77777777" w:rsidR="00DF47DA" w:rsidRDefault="00DF47DA">
            <w:pPr>
              <w:pStyle w:val="Bibliography"/>
              <w:rPr>
                <w:noProof/>
              </w:rPr>
            </w:pPr>
            <w:r>
              <w:rPr>
                <w:noProof/>
              </w:rPr>
              <w:t xml:space="preserve">[79] </w:t>
            </w:r>
          </w:p>
        </w:tc>
        <w:tc>
          <w:tcPr>
            <w:tcW w:w="4675" w:type="pct"/>
            <w:hideMark/>
          </w:tcPr>
          <w:p w14:paraId="63420C0C" w14:textId="77777777" w:rsidR="00DF47DA" w:rsidRDefault="00DF47DA">
            <w:pPr>
              <w:pStyle w:val="Bibliography"/>
              <w:rPr>
                <w:noProof/>
              </w:rPr>
            </w:pPr>
            <w:r>
              <w:rPr>
                <w:noProof/>
              </w:rPr>
              <w:t xml:space="preserve">United States Nuclear Regulatory Commission - Guidance for Fire Growth and Damage Time Analysis – Attachment 7 - 0609, App F, Att. 7 - Issue Date: 02/28/05. </w:t>
            </w:r>
          </w:p>
        </w:tc>
      </w:tr>
      <w:tr w:rsidR="00DF47DA" w14:paraId="6D58702E" w14:textId="77777777" w:rsidTr="00DF47DA">
        <w:trPr>
          <w:divId w:val="2080983081"/>
          <w:tblCellSpacing w:w="15" w:type="dxa"/>
        </w:trPr>
        <w:tc>
          <w:tcPr>
            <w:tcW w:w="280" w:type="pct"/>
            <w:hideMark/>
          </w:tcPr>
          <w:p w14:paraId="42BF24D2" w14:textId="77777777" w:rsidR="00DF47DA" w:rsidRDefault="00DF47DA">
            <w:pPr>
              <w:pStyle w:val="Bibliography"/>
              <w:rPr>
                <w:noProof/>
              </w:rPr>
            </w:pPr>
            <w:r>
              <w:rPr>
                <w:noProof/>
              </w:rPr>
              <w:t xml:space="preserve">[80] </w:t>
            </w:r>
          </w:p>
        </w:tc>
        <w:tc>
          <w:tcPr>
            <w:tcW w:w="4675" w:type="pct"/>
            <w:hideMark/>
          </w:tcPr>
          <w:p w14:paraId="39F45472" w14:textId="77777777" w:rsidR="00DF47DA" w:rsidRDefault="00DF47DA">
            <w:pPr>
              <w:pStyle w:val="Bibliography"/>
              <w:rPr>
                <w:noProof/>
              </w:rPr>
            </w:pPr>
            <w:r>
              <w:rPr>
                <w:noProof/>
              </w:rPr>
              <w:t xml:space="preserve">Methods of Quantitative Fire hazard Analysis EPRI. Frederick J Mowrer – SFPE. </w:t>
            </w:r>
          </w:p>
        </w:tc>
      </w:tr>
      <w:tr w:rsidR="00DF47DA" w14:paraId="164F4B81" w14:textId="77777777" w:rsidTr="00DF47DA">
        <w:trPr>
          <w:divId w:val="2080983081"/>
          <w:tblCellSpacing w:w="15" w:type="dxa"/>
        </w:trPr>
        <w:tc>
          <w:tcPr>
            <w:tcW w:w="280" w:type="pct"/>
            <w:hideMark/>
          </w:tcPr>
          <w:p w14:paraId="74D47B96" w14:textId="77777777" w:rsidR="00DF47DA" w:rsidRDefault="00DF47DA">
            <w:pPr>
              <w:pStyle w:val="Bibliography"/>
              <w:rPr>
                <w:noProof/>
              </w:rPr>
            </w:pPr>
            <w:r>
              <w:rPr>
                <w:noProof/>
              </w:rPr>
              <w:t xml:space="preserve">[81] </w:t>
            </w:r>
          </w:p>
        </w:tc>
        <w:tc>
          <w:tcPr>
            <w:tcW w:w="4675" w:type="pct"/>
            <w:hideMark/>
          </w:tcPr>
          <w:p w14:paraId="16961278" w14:textId="77777777" w:rsidR="00DF47DA" w:rsidRDefault="00DF47DA">
            <w:pPr>
              <w:pStyle w:val="Bibliography"/>
              <w:rPr>
                <w:noProof/>
              </w:rPr>
            </w:pPr>
            <w:r>
              <w:rPr>
                <w:noProof/>
              </w:rPr>
              <w:t xml:space="preserve">British Standards Institute, BS EN 1991-1-2 Eurocode 1 - Actions on Structures. </w:t>
            </w:r>
          </w:p>
        </w:tc>
      </w:tr>
      <w:tr w:rsidR="00DF47DA" w14:paraId="377A7AE8" w14:textId="77777777" w:rsidTr="00DF47DA">
        <w:trPr>
          <w:divId w:val="2080983081"/>
          <w:tblCellSpacing w:w="15" w:type="dxa"/>
        </w:trPr>
        <w:tc>
          <w:tcPr>
            <w:tcW w:w="280" w:type="pct"/>
            <w:hideMark/>
          </w:tcPr>
          <w:p w14:paraId="7B105965" w14:textId="77777777" w:rsidR="00DF47DA" w:rsidRDefault="00DF47DA">
            <w:pPr>
              <w:pStyle w:val="Bibliography"/>
              <w:rPr>
                <w:noProof/>
              </w:rPr>
            </w:pPr>
            <w:r>
              <w:rPr>
                <w:noProof/>
              </w:rPr>
              <w:t xml:space="preserve">[82] </w:t>
            </w:r>
          </w:p>
        </w:tc>
        <w:tc>
          <w:tcPr>
            <w:tcW w:w="4675" w:type="pct"/>
            <w:hideMark/>
          </w:tcPr>
          <w:p w14:paraId="3D42671C" w14:textId="77777777" w:rsidR="00DF47DA" w:rsidRDefault="00DF47DA">
            <w:pPr>
              <w:pStyle w:val="Bibliography"/>
              <w:rPr>
                <w:noProof/>
              </w:rPr>
            </w:pPr>
            <w:r>
              <w:rPr>
                <w:noProof/>
              </w:rPr>
              <w:t xml:space="preserve">PD 6688-1-2: 2007 Background paper to the UK National Annex to BS EN 1991-1.2. </w:t>
            </w:r>
          </w:p>
        </w:tc>
      </w:tr>
      <w:tr w:rsidR="00DF47DA" w14:paraId="7F853146" w14:textId="77777777" w:rsidTr="00DF47DA">
        <w:trPr>
          <w:divId w:val="2080983081"/>
          <w:tblCellSpacing w:w="15" w:type="dxa"/>
        </w:trPr>
        <w:tc>
          <w:tcPr>
            <w:tcW w:w="280" w:type="pct"/>
            <w:hideMark/>
          </w:tcPr>
          <w:p w14:paraId="70C9F909" w14:textId="77777777" w:rsidR="00DF47DA" w:rsidRDefault="00DF47DA">
            <w:pPr>
              <w:pStyle w:val="Bibliography"/>
              <w:rPr>
                <w:noProof/>
              </w:rPr>
            </w:pPr>
            <w:r>
              <w:rPr>
                <w:noProof/>
              </w:rPr>
              <w:t xml:space="preserve">[83] </w:t>
            </w:r>
          </w:p>
        </w:tc>
        <w:tc>
          <w:tcPr>
            <w:tcW w:w="4675" w:type="pct"/>
            <w:hideMark/>
          </w:tcPr>
          <w:p w14:paraId="0F63B78C" w14:textId="77777777" w:rsidR="00DF47DA" w:rsidRDefault="00DF47DA">
            <w:pPr>
              <w:pStyle w:val="Bibliography"/>
              <w:rPr>
                <w:noProof/>
              </w:rPr>
            </w:pPr>
            <w:r>
              <w:rPr>
                <w:noProof/>
              </w:rPr>
              <w:t xml:space="preserve">NFPA, NFPA 557, Standard for Determination of Fire Loads for Use in Structural Fire Protection Design, 2023. </w:t>
            </w:r>
          </w:p>
        </w:tc>
      </w:tr>
      <w:tr w:rsidR="00DF47DA" w:rsidRPr="004A7507" w14:paraId="538D6FC6" w14:textId="77777777" w:rsidTr="00DF47DA">
        <w:trPr>
          <w:divId w:val="2080983081"/>
          <w:tblCellSpacing w:w="15" w:type="dxa"/>
        </w:trPr>
        <w:tc>
          <w:tcPr>
            <w:tcW w:w="280" w:type="pct"/>
            <w:hideMark/>
          </w:tcPr>
          <w:p w14:paraId="33C04C35" w14:textId="77777777" w:rsidR="00DF47DA" w:rsidRDefault="00DF47DA">
            <w:pPr>
              <w:pStyle w:val="Bibliography"/>
              <w:rPr>
                <w:noProof/>
              </w:rPr>
            </w:pPr>
            <w:r>
              <w:rPr>
                <w:noProof/>
              </w:rPr>
              <w:t xml:space="preserve">[84] </w:t>
            </w:r>
          </w:p>
        </w:tc>
        <w:tc>
          <w:tcPr>
            <w:tcW w:w="4675" w:type="pct"/>
            <w:hideMark/>
          </w:tcPr>
          <w:p w14:paraId="733857CE" w14:textId="77777777" w:rsidR="00DF47DA" w:rsidRPr="004A7507" w:rsidRDefault="00DF47DA">
            <w:pPr>
              <w:pStyle w:val="Bibliography"/>
              <w:rPr>
                <w:noProof/>
                <w:lang w:val="fr-FR"/>
              </w:rPr>
            </w:pPr>
            <w:r>
              <w:rPr>
                <w:noProof/>
              </w:rPr>
              <w:t xml:space="preserve">HM Government, “The Building Regulations 2010, Approved Document B (fire safety) volume 2: Buildings other than dwellings, 2019 edition incorporating 2020 and 2022 amendments,” 2022. </w:t>
            </w:r>
            <w:r w:rsidRPr="004A7507">
              <w:rPr>
                <w:noProof/>
                <w:lang w:val="fr-FR"/>
              </w:rPr>
              <w:t>[Online]. Available: https://assets.publishing.service.gov.uk/government/uploads/system/uploads/attachment_data/file/1124736/Approved_Document_B__fire_safety__volume_2_-_Buildings_other_than_dwellings__2019_edition_incorporating_2020_and_2022_amendments.pdf.</w:t>
            </w:r>
          </w:p>
        </w:tc>
      </w:tr>
      <w:tr w:rsidR="00DF47DA" w14:paraId="263C55F3" w14:textId="77777777" w:rsidTr="00DF47DA">
        <w:trPr>
          <w:divId w:val="2080983081"/>
          <w:tblCellSpacing w:w="15" w:type="dxa"/>
        </w:trPr>
        <w:tc>
          <w:tcPr>
            <w:tcW w:w="280" w:type="pct"/>
            <w:hideMark/>
          </w:tcPr>
          <w:p w14:paraId="7405D52B" w14:textId="77777777" w:rsidR="00DF47DA" w:rsidRDefault="00DF47DA">
            <w:pPr>
              <w:pStyle w:val="Bibliography"/>
              <w:rPr>
                <w:noProof/>
              </w:rPr>
            </w:pPr>
            <w:r>
              <w:rPr>
                <w:noProof/>
              </w:rPr>
              <w:t xml:space="preserve">[85] </w:t>
            </w:r>
          </w:p>
        </w:tc>
        <w:tc>
          <w:tcPr>
            <w:tcW w:w="4675" w:type="pct"/>
            <w:hideMark/>
          </w:tcPr>
          <w:p w14:paraId="1ECFD573" w14:textId="77777777" w:rsidR="00DF47DA" w:rsidRDefault="00DF47DA">
            <w:pPr>
              <w:pStyle w:val="Bibliography"/>
              <w:rPr>
                <w:noProof/>
              </w:rPr>
            </w:pPr>
            <w:r>
              <w:rPr>
                <w:noProof/>
              </w:rPr>
              <w:t xml:space="preserve">Full scale fire experiments on electrical cabinets VTT Publication 186, VTT Building Technology. Johan Mangs and Olavi Keski-Rahkonen. Issue 1 1994. </w:t>
            </w:r>
          </w:p>
        </w:tc>
      </w:tr>
      <w:tr w:rsidR="00DF47DA" w14:paraId="6048645A" w14:textId="77777777" w:rsidTr="00DF47DA">
        <w:trPr>
          <w:divId w:val="2080983081"/>
          <w:tblCellSpacing w:w="15" w:type="dxa"/>
        </w:trPr>
        <w:tc>
          <w:tcPr>
            <w:tcW w:w="280" w:type="pct"/>
            <w:hideMark/>
          </w:tcPr>
          <w:p w14:paraId="73BA1574" w14:textId="77777777" w:rsidR="00DF47DA" w:rsidRDefault="00DF47DA">
            <w:pPr>
              <w:pStyle w:val="Bibliography"/>
              <w:rPr>
                <w:noProof/>
              </w:rPr>
            </w:pPr>
            <w:r>
              <w:rPr>
                <w:noProof/>
              </w:rPr>
              <w:t xml:space="preserve">[86] </w:t>
            </w:r>
          </w:p>
        </w:tc>
        <w:tc>
          <w:tcPr>
            <w:tcW w:w="4675" w:type="pct"/>
            <w:hideMark/>
          </w:tcPr>
          <w:p w14:paraId="44D5FC99" w14:textId="77777777" w:rsidR="00DF47DA" w:rsidRDefault="00DF47DA">
            <w:pPr>
              <w:pStyle w:val="Bibliography"/>
              <w:rPr>
                <w:noProof/>
              </w:rPr>
            </w:pPr>
            <w:r>
              <w:rPr>
                <w:noProof/>
              </w:rPr>
              <w:t xml:space="preserve">SFPE Handbook. NFPA 4th Edition 2008. </w:t>
            </w:r>
          </w:p>
        </w:tc>
      </w:tr>
      <w:tr w:rsidR="00DF47DA" w14:paraId="74260A88" w14:textId="77777777" w:rsidTr="00DF47DA">
        <w:trPr>
          <w:divId w:val="2080983081"/>
          <w:tblCellSpacing w:w="15" w:type="dxa"/>
        </w:trPr>
        <w:tc>
          <w:tcPr>
            <w:tcW w:w="280" w:type="pct"/>
            <w:hideMark/>
          </w:tcPr>
          <w:p w14:paraId="543ECAAD" w14:textId="77777777" w:rsidR="00DF47DA" w:rsidRDefault="00DF47DA">
            <w:pPr>
              <w:pStyle w:val="Bibliography"/>
              <w:rPr>
                <w:noProof/>
              </w:rPr>
            </w:pPr>
            <w:r>
              <w:rPr>
                <w:noProof/>
              </w:rPr>
              <w:t xml:space="preserve">[87] </w:t>
            </w:r>
          </w:p>
        </w:tc>
        <w:tc>
          <w:tcPr>
            <w:tcW w:w="4675" w:type="pct"/>
            <w:hideMark/>
          </w:tcPr>
          <w:p w14:paraId="07F243F7" w14:textId="77777777" w:rsidR="00DF47DA" w:rsidRDefault="00DF47DA">
            <w:pPr>
              <w:pStyle w:val="Bibliography"/>
              <w:rPr>
                <w:noProof/>
              </w:rPr>
            </w:pPr>
            <w:r>
              <w:rPr>
                <w:noProof/>
              </w:rPr>
              <w:t xml:space="preserve">V. Babrauskas, Ignition Handbook, Edition 1, Fire Science Publishers, ISBN: 978-0-9728111-3-2, 2003. </w:t>
            </w:r>
          </w:p>
        </w:tc>
      </w:tr>
      <w:tr w:rsidR="00DF47DA" w14:paraId="661B70A5" w14:textId="77777777" w:rsidTr="00DF47DA">
        <w:trPr>
          <w:divId w:val="2080983081"/>
          <w:tblCellSpacing w:w="15" w:type="dxa"/>
        </w:trPr>
        <w:tc>
          <w:tcPr>
            <w:tcW w:w="280" w:type="pct"/>
            <w:hideMark/>
          </w:tcPr>
          <w:p w14:paraId="726EFF43" w14:textId="77777777" w:rsidR="00DF47DA" w:rsidRDefault="00DF47DA">
            <w:pPr>
              <w:pStyle w:val="Bibliography"/>
              <w:rPr>
                <w:noProof/>
              </w:rPr>
            </w:pPr>
            <w:r>
              <w:rPr>
                <w:noProof/>
              </w:rPr>
              <w:t xml:space="preserve">[88] </w:t>
            </w:r>
          </w:p>
        </w:tc>
        <w:tc>
          <w:tcPr>
            <w:tcW w:w="4675" w:type="pct"/>
            <w:hideMark/>
          </w:tcPr>
          <w:p w14:paraId="274390EC" w14:textId="77777777" w:rsidR="00DF47DA" w:rsidRDefault="00DF47DA">
            <w:pPr>
              <w:pStyle w:val="Bibliography"/>
              <w:rPr>
                <w:noProof/>
              </w:rPr>
            </w:pPr>
            <w:r>
              <w:rPr>
                <w:noProof/>
              </w:rPr>
              <w:t xml:space="preserve">Heats of combustion and related properties for plastics. V.Babrauskas and SJ Gordon. </w:t>
            </w:r>
          </w:p>
        </w:tc>
      </w:tr>
      <w:tr w:rsidR="00DF47DA" w14:paraId="0792DB6E" w14:textId="77777777" w:rsidTr="00DF47DA">
        <w:trPr>
          <w:divId w:val="2080983081"/>
          <w:tblCellSpacing w:w="15" w:type="dxa"/>
        </w:trPr>
        <w:tc>
          <w:tcPr>
            <w:tcW w:w="280" w:type="pct"/>
            <w:hideMark/>
          </w:tcPr>
          <w:p w14:paraId="45BD4BA6" w14:textId="77777777" w:rsidR="00DF47DA" w:rsidRDefault="00DF47DA">
            <w:pPr>
              <w:pStyle w:val="Bibliography"/>
              <w:rPr>
                <w:noProof/>
              </w:rPr>
            </w:pPr>
            <w:r>
              <w:rPr>
                <w:noProof/>
              </w:rPr>
              <w:t xml:space="preserve">[89] </w:t>
            </w:r>
          </w:p>
        </w:tc>
        <w:tc>
          <w:tcPr>
            <w:tcW w:w="4675" w:type="pct"/>
            <w:hideMark/>
          </w:tcPr>
          <w:p w14:paraId="0A0BF3C1" w14:textId="77777777" w:rsidR="00DF47DA" w:rsidRDefault="00DF47DA">
            <w:pPr>
              <w:pStyle w:val="Bibliography"/>
              <w:rPr>
                <w:noProof/>
              </w:rPr>
            </w:pPr>
            <w:r>
              <w:rPr>
                <w:noProof/>
              </w:rPr>
              <w:t xml:space="preserve">United States Department of Energy's Reactor Core Protection Evaluation Methodology for Fires at RBMK and VVERE Nuclear Power Plants. USA – DOE Rev 0 December 1996. </w:t>
            </w:r>
          </w:p>
        </w:tc>
      </w:tr>
      <w:tr w:rsidR="00DF47DA" w14:paraId="773C0656" w14:textId="77777777" w:rsidTr="00DF47DA">
        <w:trPr>
          <w:divId w:val="2080983081"/>
          <w:tblCellSpacing w:w="15" w:type="dxa"/>
        </w:trPr>
        <w:tc>
          <w:tcPr>
            <w:tcW w:w="280" w:type="pct"/>
            <w:hideMark/>
          </w:tcPr>
          <w:p w14:paraId="27F8B3CC" w14:textId="77777777" w:rsidR="00DF47DA" w:rsidRDefault="00DF47DA">
            <w:pPr>
              <w:pStyle w:val="Bibliography"/>
              <w:rPr>
                <w:noProof/>
              </w:rPr>
            </w:pPr>
            <w:r>
              <w:rPr>
                <w:noProof/>
              </w:rPr>
              <w:t xml:space="preserve">[90] </w:t>
            </w:r>
          </w:p>
        </w:tc>
        <w:tc>
          <w:tcPr>
            <w:tcW w:w="4675" w:type="pct"/>
            <w:hideMark/>
          </w:tcPr>
          <w:p w14:paraId="0B1672BA" w14:textId="77777777" w:rsidR="00DF47DA" w:rsidRDefault="00DF47DA">
            <w:pPr>
              <w:pStyle w:val="Bibliography"/>
              <w:rPr>
                <w:noProof/>
              </w:rPr>
            </w:pPr>
            <w:r>
              <w:rPr>
                <w:noProof/>
              </w:rPr>
              <w:t xml:space="preserve">B570 Fire loading study of THORP. P Rigby/S Greenwood Issue 1 May 1998. SDP/98/P42. </w:t>
            </w:r>
          </w:p>
        </w:tc>
      </w:tr>
      <w:tr w:rsidR="00DF47DA" w14:paraId="41EB25B8" w14:textId="77777777" w:rsidTr="00DF47DA">
        <w:trPr>
          <w:divId w:val="2080983081"/>
          <w:tblCellSpacing w:w="15" w:type="dxa"/>
        </w:trPr>
        <w:tc>
          <w:tcPr>
            <w:tcW w:w="280" w:type="pct"/>
            <w:hideMark/>
          </w:tcPr>
          <w:p w14:paraId="54CBF6FE" w14:textId="77777777" w:rsidR="00DF47DA" w:rsidRDefault="00DF47DA">
            <w:pPr>
              <w:pStyle w:val="Bibliography"/>
              <w:rPr>
                <w:noProof/>
              </w:rPr>
            </w:pPr>
            <w:r>
              <w:rPr>
                <w:noProof/>
              </w:rPr>
              <w:t xml:space="preserve">[91] </w:t>
            </w:r>
          </w:p>
        </w:tc>
        <w:tc>
          <w:tcPr>
            <w:tcW w:w="4675" w:type="pct"/>
            <w:hideMark/>
          </w:tcPr>
          <w:p w14:paraId="2FCF61E4" w14:textId="77777777" w:rsidR="00DF47DA" w:rsidRDefault="00DF47DA">
            <w:pPr>
              <w:pStyle w:val="Bibliography"/>
              <w:rPr>
                <w:noProof/>
              </w:rPr>
            </w:pPr>
            <w:r>
              <w:rPr>
                <w:noProof/>
              </w:rPr>
              <w:t xml:space="preserve">NFPA, NFPA 92B, Standard for Smoke Management Systems in Malls, Atria, and Large Spaces, 2009. </w:t>
            </w:r>
          </w:p>
        </w:tc>
      </w:tr>
      <w:tr w:rsidR="00DF47DA" w14:paraId="40D3404F" w14:textId="77777777" w:rsidTr="00DF47DA">
        <w:trPr>
          <w:divId w:val="2080983081"/>
          <w:tblCellSpacing w:w="15" w:type="dxa"/>
        </w:trPr>
        <w:tc>
          <w:tcPr>
            <w:tcW w:w="280" w:type="pct"/>
            <w:hideMark/>
          </w:tcPr>
          <w:p w14:paraId="7512DF07" w14:textId="77777777" w:rsidR="00DF47DA" w:rsidRDefault="00DF47DA">
            <w:pPr>
              <w:pStyle w:val="Bibliography"/>
              <w:rPr>
                <w:noProof/>
              </w:rPr>
            </w:pPr>
            <w:r>
              <w:rPr>
                <w:noProof/>
              </w:rPr>
              <w:t xml:space="preserve">[92] </w:t>
            </w:r>
          </w:p>
        </w:tc>
        <w:tc>
          <w:tcPr>
            <w:tcW w:w="4675" w:type="pct"/>
            <w:hideMark/>
          </w:tcPr>
          <w:p w14:paraId="700311EA" w14:textId="77777777" w:rsidR="00DF47DA" w:rsidRDefault="00DF47DA">
            <w:pPr>
              <w:pStyle w:val="Bibliography"/>
              <w:rPr>
                <w:noProof/>
              </w:rPr>
            </w:pPr>
            <w:r>
              <w:rPr>
                <w:noProof/>
              </w:rPr>
              <w:t xml:space="preserve">SSI 638 Self Audit: (A) Self audit report instruction verification, (C) Plant workplace inspection form (D) Office workplace inspection form, Springfields Fuels Ltd. </w:t>
            </w:r>
          </w:p>
        </w:tc>
      </w:tr>
      <w:tr w:rsidR="00DF47DA" w14:paraId="3C08D239" w14:textId="77777777" w:rsidTr="00DF47DA">
        <w:trPr>
          <w:divId w:val="2080983081"/>
          <w:tblCellSpacing w:w="15" w:type="dxa"/>
        </w:trPr>
        <w:tc>
          <w:tcPr>
            <w:tcW w:w="280" w:type="pct"/>
            <w:hideMark/>
          </w:tcPr>
          <w:p w14:paraId="0356EBBF" w14:textId="77777777" w:rsidR="00DF47DA" w:rsidRDefault="00DF47DA">
            <w:pPr>
              <w:pStyle w:val="Bibliography"/>
              <w:rPr>
                <w:noProof/>
              </w:rPr>
            </w:pPr>
            <w:r>
              <w:rPr>
                <w:noProof/>
              </w:rPr>
              <w:t xml:space="preserve">[93] </w:t>
            </w:r>
          </w:p>
        </w:tc>
        <w:tc>
          <w:tcPr>
            <w:tcW w:w="4675" w:type="pct"/>
            <w:hideMark/>
          </w:tcPr>
          <w:p w14:paraId="389EB815" w14:textId="77777777" w:rsidR="00DF47DA" w:rsidRDefault="00DF47DA">
            <w:pPr>
              <w:pStyle w:val="Bibliography"/>
              <w:rPr>
                <w:noProof/>
              </w:rPr>
            </w:pPr>
            <w:r>
              <w:rPr>
                <w:noProof/>
              </w:rPr>
              <w:t xml:space="preserve">Springfields Fuels Ltd Category: 03 Industrial Safety Users: PS/SF Heads Issue: Rev5-Jan2022. </w:t>
            </w:r>
          </w:p>
        </w:tc>
      </w:tr>
      <w:tr w:rsidR="00DF47DA" w14:paraId="3BB942C0" w14:textId="77777777" w:rsidTr="00DF47DA">
        <w:trPr>
          <w:divId w:val="2080983081"/>
          <w:tblCellSpacing w:w="15" w:type="dxa"/>
        </w:trPr>
        <w:tc>
          <w:tcPr>
            <w:tcW w:w="280" w:type="pct"/>
            <w:hideMark/>
          </w:tcPr>
          <w:p w14:paraId="3975B152" w14:textId="77777777" w:rsidR="00DF47DA" w:rsidRDefault="00DF47DA">
            <w:pPr>
              <w:pStyle w:val="Bibliography"/>
              <w:rPr>
                <w:noProof/>
              </w:rPr>
            </w:pPr>
            <w:r>
              <w:rPr>
                <w:noProof/>
              </w:rPr>
              <w:t xml:space="preserve">[94] </w:t>
            </w:r>
          </w:p>
        </w:tc>
        <w:tc>
          <w:tcPr>
            <w:tcW w:w="4675" w:type="pct"/>
            <w:hideMark/>
          </w:tcPr>
          <w:p w14:paraId="73205DBE" w14:textId="77777777" w:rsidR="00DF47DA" w:rsidRDefault="00DF47DA">
            <w:pPr>
              <w:pStyle w:val="Bibliography"/>
              <w:rPr>
                <w:noProof/>
              </w:rPr>
            </w:pPr>
            <w:r>
              <w:rPr>
                <w:noProof/>
              </w:rPr>
              <w:t xml:space="preserve">SSI 234 Reporting of Injury Disease and dangerous occurrence and OSHA reporting requirements, Springfields Fuels Ltd. </w:t>
            </w:r>
          </w:p>
        </w:tc>
      </w:tr>
      <w:tr w:rsidR="00DF47DA" w14:paraId="7DF9DBEE" w14:textId="77777777" w:rsidTr="00DF47DA">
        <w:trPr>
          <w:divId w:val="2080983081"/>
          <w:tblCellSpacing w:w="15" w:type="dxa"/>
        </w:trPr>
        <w:tc>
          <w:tcPr>
            <w:tcW w:w="280" w:type="pct"/>
            <w:hideMark/>
          </w:tcPr>
          <w:p w14:paraId="4D429BFC" w14:textId="77777777" w:rsidR="00DF47DA" w:rsidRDefault="00DF47DA">
            <w:pPr>
              <w:pStyle w:val="Bibliography"/>
              <w:rPr>
                <w:noProof/>
              </w:rPr>
            </w:pPr>
            <w:r>
              <w:rPr>
                <w:noProof/>
              </w:rPr>
              <w:t xml:space="preserve">[95] </w:t>
            </w:r>
          </w:p>
        </w:tc>
        <w:tc>
          <w:tcPr>
            <w:tcW w:w="4675" w:type="pct"/>
            <w:hideMark/>
          </w:tcPr>
          <w:p w14:paraId="0F670364" w14:textId="77777777" w:rsidR="00DF47DA" w:rsidRDefault="00DF47DA">
            <w:pPr>
              <w:pStyle w:val="Bibliography"/>
              <w:rPr>
                <w:noProof/>
              </w:rPr>
            </w:pPr>
            <w:r>
              <w:rPr>
                <w:noProof/>
              </w:rPr>
              <w:t xml:space="preserve">BMS-CL-15 (Global Event Reporting). </w:t>
            </w:r>
          </w:p>
        </w:tc>
      </w:tr>
      <w:tr w:rsidR="00DF47DA" w14:paraId="153966E2" w14:textId="77777777" w:rsidTr="00DF47DA">
        <w:trPr>
          <w:divId w:val="2080983081"/>
          <w:tblCellSpacing w:w="15" w:type="dxa"/>
        </w:trPr>
        <w:tc>
          <w:tcPr>
            <w:tcW w:w="280" w:type="pct"/>
            <w:hideMark/>
          </w:tcPr>
          <w:p w14:paraId="75773A09" w14:textId="77777777" w:rsidR="00DF47DA" w:rsidRDefault="00DF47DA">
            <w:pPr>
              <w:pStyle w:val="Bibliography"/>
              <w:rPr>
                <w:noProof/>
              </w:rPr>
            </w:pPr>
            <w:r>
              <w:rPr>
                <w:noProof/>
              </w:rPr>
              <w:t xml:space="preserve">[96] </w:t>
            </w:r>
          </w:p>
        </w:tc>
        <w:tc>
          <w:tcPr>
            <w:tcW w:w="4675" w:type="pct"/>
            <w:hideMark/>
          </w:tcPr>
          <w:p w14:paraId="79FA5FC8" w14:textId="77777777" w:rsidR="00DF47DA" w:rsidRDefault="00DF47DA">
            <w:pPr>
              <w:pStyle w:val="Bibliography"/>
              <w:rPr>
                <w:noProof/>
              </w:rPr>
            </w:pPr>
            <w:r>
              <w:rPr>
                <w:noProof/>
              </w:rPr>
              <w:t xml:space="preserve">Office for Nuclear Regulation, Notifying and Reporting Incidents and Events to the ONR, ONR-OPEX-GD-001, Revision 7, January 2021. </w:t>
            </w:r>
          </w:p>
        </w:tc>
      </w:tr>
      <w:tr w:rsidR="00DF47DA" w14:paraId="62333803" w14:textId="77777777" w:rsidTr="00DF47DA">
        <w:trPr>
          <w:divId w:val="2080983081"/>
          <w:tblCellSpacing w:w="15" w:type="dxa"/>
        </w:trPr>
        <w:tc>
          <w:tcPr>
            <w:tcW w:w="280" w:type="pct"/>
            <w:hideMark/>
          </w:tcPr>
          <w:p w14:paraId="562C9CE1" w14:textId="77777777" w:rsidR="00DF47DA" w:rsidRDefault="00DF47DA">
            <w:pPr>
              <w:pStyle w:val="Bibliography"/>
              <w:rPr>
                <w:noProof/>
              </w:rPr>
            </w:pPr>
            <w:r>
              <w:rPr>
                <w:noProof/>
              </w:rPr>
              <w:t xml:space="preserve">[97] </w:t>
            </w:r>
          </w:p>
        </w:tc>
        <w:tc>
          <w:tcPr>
            <w:tcW w:w="4675" w:type="pct"/>
            <w:hideMark/>
          </w:tcPr>
          <w:p w14:paraId="088B4719" w14:textId="77777777" w:rsidR="00DF47DA" w:rsidRDefault="00DF47DA">
            <w:pPr>
              <w:pStyle w:val="Bibliography"/>
              <w:rPr>
                <w:noProof/>
              </w:rPr>
            </w:pPr>
            <w:r>
              <w:rPr>
                <w:noProof/>
              </w:rPr>
              <w:t xml:space="preserve">Guidance for the 'Goodlad' Criteria for Reporting Incidents at Licensed Nuclear Sites to BEIS. </w:t>
            </w:r>
          </w:p>
        </w:tc>
      </w:tr>
      <w:tr w:rsidR="00DF47DA" w14:paraId="4612F863" w14:textId="77777777" w:rsidTr="00DF47DA">
        <w:trPr>
          <w:divId w:val="2080983081"/>
          <w:tblCellSpacing w:w="15" w:type="dxa"/>
        </w:trPr>
        <w:tc>
          <w:tcPr>
            <w:tcW w:w="280" w:type="pct"/>
            <w:hideMark/>
          </w:tcPr>
          <w:p w14:paraId="61F8B230" w14:textId="77777777" w:rsidR="00DF47DA" w:rsidRDefault="00DF47DA">
            <w:pPr>
              <w:pStyle w:val="Bibliography"/>
              <w:rPr>
                <w:noProof/>
              </w:rPr>
            </w:pPr>
            <w:r>
              <w:rPr>
                <w:noProof/>
              </w:rPr>
              <w:t xml:space="preserve">[98] </w:t>
            </w:r>
          </w:p>
        </w:tc>
        <w:tc>
          <w:tcPr>
            <w:tcW w:w="4675" w:type="pct"/>
            <w:hideMark/>
          </w:tcPr>
          <w:p w14:paraId="1CD8D93F" w14:textId="77777777" w:rsidR="00DF47DA" w:rsidRDefault="00DF47DA">
            <w:pPr>
              <w:pStyle w:val="Bibliography"/>
              <w:rPr>
                <w:noProof/>
              </w:rPr>
            </w:pPr>
            <w:r>
              <w:rPr>
                <w:noProof/>
              </w:rPr>
              <w:t xml:space="preserve">Westinghouse Nuclear Fuels EHS Incident Reporting, CEHS-14. </w:t>
            </w:r>
          </w:p>
        </w:tc>
      </w:tr>
      <w:tr w:rsidR="00DF47DA" w14:paraId="4023AFC8" w14:textId="77777777" w:rsidTr="00DF47DA">
        <w:trPr>
          <w:divId w:val="2080983081"/>
          <w:tblCellSpacing w:w="15" w:type="dxa"/>
        </w:trPr>
        <w:tc>
          <w:tcPr>
            <w:tcW w:w="280" w:type="pct"/>
            <w:hideMark/>
          </w:tcPr>
          <w:p w14:paraId="60CFD823" w14:textId="77777777" w:rsidR="00DF47DA" w:rsidRDefault="00DF47DA">
            <w:pPr>
              <w:pStyle w:val="Bibliography"/>
              <w:rPr>
                <w:noProof/>
              </w:rPr>
            </w:pPr>
            <w:r>
              <w:rPr>
                <w:noProof/>
              </w:rPr>
              <w:t xml:space="preserve">[99] </w:t>
            </w:r>
          </w:p>
        </w:tc>
        <w:tc>
          <w:tcPr>
            <w:tcW w:w="4675" w:type="pct"/>
            <w:hideMark/>
          </w:tcPr>
          <w:p w14:paraId="20A39F51" w14:textId="77777777" w:rsidR="00DF47DA" w:rsidRDefault="00DF47DA">
            <w:pPr>
              <w:pStyle w:val="Bibliography"/>
              <w:rPr>
                <w:noProof/>
              </w:rPr>
            </w:pPr>
            <w:r>
              <w:rPr>
                <w:noProof/>
              </w:rPr>
              <w:t xml:space="preserve">Sellafield Ltd., Technical Guidance - Safety Cases Process and Methods Technical Manual - F1.10 Nuclear Fire Safety Assessment, 2016. </w:t>
            </w:r>
          </w:p>
        </w:tc>
      </w:tr>
      <w:tr w:rsidR="00DF47DA" w14:paraId="578C3052" w14:textId="77777777" w:rsidTr="00DF47DA">
        <w:trPr>
          <w:divId w:val="2080983081"/>
          <w:tblCellSpacing w:w="15" w:type="dxa"/>
        </w:trPr>
        <w:tc>
          <w:tcPr>
            <w:tcW w:w="280" w:type="pct"/>
            <w:hideMark/>
          </w:tcPr>
          <w:p w14:paraId="341B5ED4" w14:textId="77777777" w:rsidR="00DF47DA" w:rsidRDefault="00DF47DA">
            <w:pPr>
              <w:pStyle w:val="Bibliography"/>
              <w:rPr>
                <w:noProof/>
              </w:rPr>
            </w:pPr>
            <w:r>
              <w:rPr>
                <w:noProof/>
              </w:rPr>
              <w:t xml:space="preserve">[100] </w:t>
            </w:r>
          </w:p>
        </w:tc>
        <w:tc>
          <w:tcPr>
            <w:tcW w:w="4675" w:type="pct"/>
            <w:hideMark/>
          </w:tcPr>
          <w:p w14:paraId="1911B652" w14:textId="77777777" w:rsidR="00DF47DA" w:rsidRDefault="00DF47DA">
            <w:pPr>
              <w:pStyle w:val="Bibliography"/>
              <w:rPr>
                <w:noProof/>
              </w:rPr>
            </w:pPr>
            <w:r>
              <w:rPr>
                <w:noProof/>
              </w:rPr>
              <w:t xml:space="preserve">Sellafield Ltd., Safety Case Process and Methods Technical Guidance TG D8.10. </w:t>
            </w:r>
          </w:p>
        </w:tc>
      </w:tr>
      <w:tr w:rsidR="00DF47DA" w14:paraId="4906ECE8" w14:textId="77777777" w:rsidTr="00DF47DA">
        <w:trPr>
          <w:divId w:val="2080983081"/>
          <w:tblCellSpacing w:w="15" w:type="dxa"/>
        </w:trPr>
        <w:tc>
          <w:tcPr>
            <w:tcW w:w="280" w:type="pct"/>
            <w:hideMark/>
          </w:tcPr>
          <w:p w14:paraId="38268D09" w14:textId="77777777" w:rsidR="00DF47DA" w:rsidRDefault="00DF47DA">
            <w:pPr>
              <w:pStyle w:val="Bibliography"/>
              <w:rPr>
                <w:noProof/>
              </w:rPr>
            </w:pPr>
            <w:r>
              <w:rPr>
                <w:noProof/>
              </w:rPr>
              <w:t xml:space="preserve">[101] </w:t>
            </w:r>
          </w:p>
        </w:tc>
        <w:tc>
          <w:tcPr>
            <w:tcW w:w="4675" w:type="pct"/>
            <w:hideMark/>
          </w:tcPr>
          <w:p w14:paraId="39FD648B" w14:textId="77777777" w:rsidR="00DF47DA" w:rsidRDefault="00DF47DA">
            <w:pPr>
              <w:pStyle w:val="Bibliography"/>
              <w:rPr>
                <w:noProof/>
              </w:rPr>
            </w:pPr>
            <w:r>
              <w:rPr>
                <w:noProof/>
              </w:rPr>
              <w:t xml:space="preserve">Sellafield Ltd., Safety Case and Process Methods Technical Guidance F1.10 - Supporting Document 1 - Transporters Fire Generic Risk Profile, 2022. </w:t>
            </w:r>
          </w:p>
        </w:tc>
      </w:tr>
      <w:tr w:rsidR="00DF47DA" w14:paraId="02C3DD4B" w14:textId="77777777" w:rsidTr="00DF47DA">
        <w:trPr>
          <w:divId w:val="2080983081"/>
          <w:tblCellSpacing w:w="15" w:type="dxa"/>
        </w:trPr>
        <w:tc>
          <w:tcPr>
            <w:tcW w:w="280" w:type="pct"/>
            <w:hideMark/>
          </w:tcPr>
          <w:p w14:paraId="29BB53E7" w14:textId="77777777" w:rsidR="00DF47DA" w:rsidRDefault="00DF47DA">
            <w:pPr>
              <w:pStyle w:val="Bibliography"/>
              <w:rPr>
                <w:noProof/>
              </w:rPr>
            </w:pPr>
            <w:r>
              <w:rPr>
                <w:noProof/>
              </w:rPr>
              <w:t xml:space="preserve">[102] </w:t>
            </w:r>
          </w:p>
        </w:tc>
        <w:tc>
          <w:tcPr>
            <w:tcW w:w="4675" w:type="pct"/>
            <w:hideMark/>
          </w:tcPr>
          <w:p w14:paraId="128E93AC" w14:textId="77777777" w:rsidR="00DF47DA" w:rsidRDefault="00DF47DA">
            <w:pPr>
              <w:pStyle w:val="Bibliography"/>
              <w:rPr>
                <w:noProof/>
              </w:rPr>
            </w:pPr>
            <w:r>
              <w:rPr>
                <w:noProof/>
              </w:rPr>
              <w:t>Sellafield Ltd., “Safety Cases Process and Methods Technical Manual, Nuclear Fire Guidance for the Assessment of Electrical Items Supporting Document 2 to F1.10, Issue 1,,” 2022.</w:t>
            </w:r>
          </w:p>
        </w:tc>
      </w:tr>
      <w:tr w:rsidR="00DF47DA" w14:paraId="3CE78D79" w14:textId="77777777" w:rsidTr="00DF47DA">
        <w:trPr>
          <w:divId w:val="2080983081"/>
          <w:tblCellSpacing w:w="15" w:type="dxa"/>
        </w:trPr>
        <w:tc>
          <w:tcPr>
            <w:tcW w:w="280" w:type="pct"/>
            <w:hideMark/>
          </w:tcPr>
          <w:p w14:paraId="2F0D3561" w14:textId="77777777" w:rsidR="00DF47DA" w:rsidRDefault="00DF47DA">
            <w:pPr>
              <w:pStyle w:val="Bibliography"/>
              <w:rPr>
                <w:noProof/>
              </w:rPr>
            </w:pPr>
            <w:r>
              <w:rPr>
                <w:noProof/>
              </w:rPr>
              <w:t xml:space="preserve">[103] </w:t>
            </w:r>
          </w:p>
        </w:tc>
        <w:tc>
          <w:tcPr>
            <w:tcW w:w="4675" w:type="pct"/>
            <w:hideMark/>
          </w:tcPr>
          <w:p w14:paraId="28C58762" w14:textId="77777777" w:rsidR="00DF47DA" w:rsidRDefault="00DF47DA">
            <w:pPr>
              <w:pStyle w:val="Bibliography"/>
              <w:rPr>
                <w:noProof/>
              </w:rPr>
            </w:pPr>
            <w:r>
              <w:rPr>
                <w:noProof/>
              </w:rPr>
              <w:t xml:space="preserve">Nuclear Installations Act, 1965. </w:t>
            </w:r>
          </w:p>
        </w:tc>
      </w:tr>
      <w:tr w:rsidR="00DF47DA" w14:paraId="651546F3" w14:textId="77777777" w:rsidTr="00DF47DA">
        <w:trPr>
          <w:divId w:val="2080983081"/>
          <w:tblCellSpacing w:w="15" w:type="dxa"/>
        </w:trPr>
        <w:tc>
          <w:tcPr>
            <w:tcW w:w="280" w:type="pct"/>
            <w:hideMark/>
          </w:tcPr>
          <w:p w14:paraId="1A2B30C1" w14:textId="77777777" w:rsidR="00DF47DA" w:rsidRDefault="00DF47DA">
            <w:pPr>
              <w:pStyle w:val="Bibliography"/>
              <w:rPr>
                <w:noProof/>
              </w:rPr>
            </w:pPr>
            <w:r>
              <w:rPr>
                <w:noProof/>
              </w:rPr>
              <w:t xml:space="preserve">[104] </w:t>
            </w:r>
          </w:p>
        </w:tc>
        <w:tc>
          <w:tcPr>
            <w:tcW w:w="4675" w:type="pct"/>
            <w:hideMark/>
          </w:tcPr>
          <w:p w14:paraId="05FA0EC5" w14:textId="77777777" w:rsidR="00DF47DA" w:rsidRDefault="00DF47DA">
            <w:pPr>
              <w:pStyle w:val="Bibliography"/>
              <w:rPr>
                <w:noProof/>
              </w:rPr>
            </w:pPr>
            <w:r>
              <w:rPr>
                <w:noProof/>
              </w:rPr>
              <w:t xml:space="preserve">WANO, WANO Performance Objectives and Criteria, 2019. </w:t>
            </w:r>
          </w:p>
        </w:tc>
      </w:tr>
      <w:tr w:rsidR="00DF47DA" w14:paraId="3B3788FE" w14:textId="77777777" w:rsidTr="00DF47DA">
        <w:trPr>
          <w:divId w:val="2080983081"/>
          <w:tblCellSpacing w:w="15" w:type="dxa"/>
        </w:trPr>
        <w:tc>
          <w:tcPr>
            <w:tcW w:w="280" w:type="pct"/>
            <w:hideMark/>
          </w:tcPr>
          <w:p w14:paraId="7C4FB8A2" w14:textId="77777777" w:rsidR="00DF47DA" w:rsidRDefault="00DF47DA">
            <w:pPr>
              <w:pStyle w:val="Bibliography"/>
              <w:rPr>
                <w:noProof/>
              </w:rPr>
            </w:pPr>
            <w:r>
              <w:rPr>
                <w:noProof/>
              </w:rPr>
              <w:t xml:space="preserve">[105] </w:t>
            </w:r>
          </w:p>
        </w:tc>
        <w:tc>
          <w:tcPr>
            <w:tcW w:w="4675" w:type="pct"/>
            <w:hideMark/>
          </w:tcPr>
          <w:p w14:paraId="196B0F52" w14:textId="77777777" w:rsidR="00DF47DA" w:rsidRDefault="00DF47DA">
            <w:pPr>
              <w:pStyle w:val="Bibliography"/>
              <w:rPr>
                <w:noProof/>
              </w:rPr>
            </w:pPr>
            <w:r>
              <w:rPr>
                <w:noProof/>
              </w:rPr>
              <w:t xml:space="preserve">British Standards Institute, PD 6688-1-2: 2007 – Background paper on the UK Annex to BS EN 1991-1-2., 2007. </w:t>
            </w:r>
          </w:p>
        </w:tc>
      </w:tr>
      <w:tr w:rsidR="00DF47DA" w14:paraId="4662EFD7" w14:textId="77777777" w:rsidTr="00DF47DA">
        <w:trPr>
          <w:divId w:val="2080983081"/>
          <w:tblCellSpacing w:w="15" w:type="dxa"/>
        </w:trPr>
        <w:tc>
          <w:tcPr>
            <w:tcW w:w="280" w:type="pct"/>
            <w:hideMark/>
          </w:tcPr>
          <w:p w14:paraId="5C8F47B2" w14:textId="77777777" w:rsidR="00DF47DA" w:rsidRDefault="00DF47DA">
            <w:pPr>
              <w:pStyle w:val="Bibliography"/>
              <w:rPr>
                <w:noProof/>
              </w:rPr>
            </w:pPr>
            <w:r>
              <w:rPr>
                <w:noProof/>
              </w:rPr>
              <w:t xml:space="preserve">[106] </w:t>
            </w:r>
          </w:p>
        </w:tc>
        <w:tc>
          <w:tcPr>
            <w:tcW w:w="4675" w:type="pct"/>
            <w:hideMark/>
          </w:tcPr>
          <w:p w14:paraId="7FBE662E" w14:textId="77777777" w:rsidR="00DF47DA" w:rsidRDefault="00DF47DA">
            <w:pPr>
              <w:pStyle w:val="Bibliography"/>
              <w:rPr>
                <w:noProof/>
              </w:rPr>
            </w:pPr>
            <w:r>
              <w:rPr>
                <w:noProof/>
              </w:rPr>
              <w:t xml:space="preserve">BNFL Engineering, "Fire loads applicable to new builds on Sellafield site” a report by BNFL Engineering October 1989, P M Thomas and P Vesey., 1989. </w:t>
            </w:r>
          </w:p>
        </w:tc>
      </w:tr>
      <w:tr w:rsidR="00DF47DA" w14:paraId="0814C5A4" w14:textId="77777777" w:rsidTr="00DF47DA">
        <w:trPr>
          <w:divId w:val="2080983081"/>
          <w:tblCellSpacing w:w="15" w:type="dxa"/>
        </w:trPr>
        <w:tc>
          <w:tcPr>
            <w:tcW w:w="280" w:type="pct"/>
            <w:hideMark/>
          </w:tcPr>
          <w:p w14:paraId="5C97F221" w14:textId="77777777" w:rsidR="00DF47DA" w:rsidRDefault="00DF47DA">
            <w:pPr>
              <w:pStyle w:val="Bibliography"/>
              <w:rPr>
                <w:noProof/>
              </w:rPr>
            </w:pPr>
            <w:r>
              <w:rPr>
                <w:noProof/>
              </w:rPr>
              <w:t xml:space="preserve">[107] </w:t>
            </w:r>
          </w:p>
        </w:tc>
        <w:tc>
          <w:tcPr>
            <w:tcW w:w="4675" w:type="pct"/>
            <w:hideMark/>
          </w:tcPr>
          <w:p w14:paraId="4C30D2D3" w14:textId="77777777" w:rsidR="00DF47DA" w:rsidRDefault="00DF47DA">
            <w:pPr>
              <w:pStyle w:val="Bibliography"/>
              <w:rPr>
                <w:noProof/>
              </w:rPr>
            </w:pPr>
            <w:r>
              <w:rPr>
                <w:noProof/>
              </w:rPr>
              <w:t xml:space="preserve">RPS, Fire Loading Calculation Tool Reference Document, WZ9911, J Daley and A Garrison, Issue 1., 2015. </w:t>
            </w:r>
          </w:p>
        </w:tc>
      </w:tr>
      <w:tr w:rsidR="00DF47DA" w14:paraId="76E6A093" w14:textId="77777777" w:rsidTr="00DF47DA">
        <w:trPr>
          <w:divId w:val="2080983081"/>
          <w:tblCellSpacing w:w="15" w:type="dxa"/>
        </w:trPr>
        <w:tc>
          <w:tcPr>
            <w:tcW w:w="280" w:type="pct"/>
            <w:hideMark/>
          </w:tcPr>
          <w:p w14:paraId="1FEEE804" w14:textId="77777777" w:rsidR="00DF47DA" w:rsidRDefault="00DF47DA">
            <w:pPr>
              <w:pStyle w:val="Bibliography"/>
              <w:rPr>
                <w:noProof/>
              </w:rPr>
            </w:pPr>
            <w:r>
              <w:rPr>
                <w:noProof/>
              </w:rPr>
              <w:t xml:space="preserve">[108] </w:t>
            </w:r>
          </w:p>
        </w:tc>
        <w:tc>
          <w:tcPr>
            <w:tcW w:w="4675" w:type="pct"/>
            <w:hideMark/>
          </w:tcPr>
          <w:p w14:paraId="2B47A737" w14:textId="77777777" w:rsidR="00DF47DA" w:rsidRDefault="00DF47DA">
            <w:pPr>
              <w:pStyle w:val="Bibliography"/>
              <w:rPr>
                <w:noProof/>
              </w:rPr>
            </w:pPr>
            <w:r>
              <w:rPr>
                <w:noProof/>
              </w:rPr>
              <w:t xml:space="preserve">O. Keski-Rahkonen and J. Mangs, Full scale fire experiments on electrical cabinets II, 1996. </w:t>
            </w:r>
          </w:p>
        </w:tc>
      </w:tr>
      <w:tr w:rsidR="00DF47DA" w14:paraId="78C0CCE8" w14:textId="77777777" w:rsidTr="00DF47DA">
        <w:trPr>
          <w:divId w:val="2080983081"/>
          <w:tblCellSpacing w:w="15" w:type="dxa"/>
        </w:trPr>
        <w:tc>
          <w:tcPr>
            <w:tcW w:w="280" w:type="pct"/>
            <w:hideMark/>
          </w:tcPr>
          <w:p w14:paraId="08AB1F11" w14:textId="77777777" w:rsidR="00DF47DA" w:rsidRDefault="00DF47DA">
            <w:pPr>
              <w:pStyle w:val="Bibliography"/>
              <w:rPr>
                <w:noProof/>
              </w:rPr>
            </w:pPr>
            <w:r>
              <w:rPr>
                <w:noProof/>
              </w:rPr>
              <w:t xml:space="preserve">[109] </w:t>
            </w:r>
          </w:p>
        </w:tc>
        <w:tc>
          <w:tcPr>
            <w:tcW w:w="4675" w:type="pct"/>
            <w:hideMark/>
          </w:tcPr>
          <w:p w14:paraId="27D385CD" w14:textId="77777777" w:rsidR="00DF47DA" w:rsidRDefault="00DF47DA">
            <w:pPr>
              <w:pStyle w:val="Bibliography"/>
              <w:rPr>
                <w:noProof/>
              </w:rPr>
            </w:pPr>
            <w:r>
              <w:rPr>
                <w:noProof/>
              </w:rPr>
              <w:t xml:space="preserve">GE-Hitachi, ESBWR Design Control Document Tier 2, Rev. 10 - Chapter 09B - Auxiliary Systems, 2014. </w:t>
            </w:r>
          </w:p>
        </w:tc>
      </w:tr>
      <w:tr w:rsidR="00DF47DA" w14:paraId="24595F68" w14:textId="77777777" w:rsidTr="00DF47DA">
        <w:trPr>
          <w:divId w:val="2080983081"/>
          <w:tblCellSpacing w:w="15" w:type="dxa"/>
        </w:trPr>
        <w:tc>
          <w:tcPr>
            <w:tcW w:w="280" w:type="pct"/>
            <w:hideMark/>
          </w:tcPr>
          <w:p w14:paraId="1781CC68" w14:textId="77777777" w:rsidR="00DF47DA" w:rsidRDefault="00DF47DA">
            <w:pPr>
              <w:pStyle w:val="Bibliography"/>
              <w:rPr>
                <w:noProof/>
              </w:rPr>
            </w:pPr>
            <w:r>
              <w:rPr>
                <w:noProof/>
              </w:rPr>
              <w:t xml:space="preserve">[110] </w:t>
            </w:r>
          </w:p>
        </w:tc>
        <w:tc>
          <w:tcPr>
            <w:tcW w:w="4675" w:type="pct"/>
            <w:hideMark/>
          </w:tcPr>
          <w:p w14:paraId="698B6973" w14:textId="77777777" w:rsidR="00DF47DA" w:rsidRDefault="00DF47DA">
            <w:pPr>
              <w:pStyle w:val="Bibliography"/>
              <w:rPr>
                <w:noProof/>
              </w:rPr>
            </w:pPr>
            <w:r>
              <w:rPr>
                <w:noProof/>
              </w:rPr>
              <w:t>Sellafield Ltd., “SLSP 2.16.02 Fire Safety Combustible Management Principles and Guidance,” 2018.</w:t>
            </w:r>
          </w:p>
        </w:tc>
      </w:tr>
      <w:tr w:rsidR="00DF47DA" w14:paraId="4D4EA43E" w14:textId="77777777" w:rsidTr="00DF47DA">
        <w:trPr>
          <w:divId w:val="2080983081"/>
          <w:tblCellSpacing w:w="15" w:type="dxa"/>
        </w:trPr>
        <w:tc>
          <w:tcPr>
            <w:tcW w:w="280" w:type="pct"/>
            <w:hideMark/>
          </w:tcPr>
          <w:p w14:paraId="13ADF193" w14:textId="77777777" w:rsidR="00DF47DA" w:rsidRDefault="00DF47DA">
            <w:pPr>
              <w:pStyle w:val="Bibliography"/>
              <w:rPr>
                <w:noProof/>
              </w:rPr>
            </w:pPr>
            <w:r>
              <w:rPr>
                <w:noProof/>
              </w:rPr>
              <w:t xml:space="preserve">[111] </w:t>
            </w:r>
          </w:p>
        </w:tc>
        <w:tc>
          <w:tcPr>
            <w:tcW w:w="4675" w:type="pct"/>
            <w:hideMark/>
          </w:tcPr>
          <w:p w14:paraId="1319513F" w14:textId="77777777" w:rsidR="00DF47DA" w:rsidRDefault="00DF47DA">
            <w:pPr>
              <w:pStyle w:val="Bibliography"/>
              <w:rPr>
                <w:noProof/>
              </w:rPr>
            </w:pPr>
            <w:r>
              <w:rPr>
                <w:noProof/>
              </w:rPr>
              <w:t xml:space="preserve">British Standards Institute, PD 7974-1: Application of fire safety engineering principles to the design of buildings. Part 1: Initiation and development of fire within the enclosure of origin, 2019. </w:t>
            </w:r>
          </w:p>
        </w:tc>
      </w:tr>
      <w:tr w:rsidR="00DF47DA" w14:paraId="250CAD84" w14:textId="77777777" w:rsidTr="00DF47DA">
        <w:trPr>
          <w:divId w:val="2080983081"/>
          <w:tblCellSpacing w:w="15" w:type="dxa"/>
        </w:trPr>
        <w:tc>
          <w:tcPr>
            <w:tcW w:w="280" w:type="pct"/>
            <w:hideMark/>
          </w:tcPr>
          <w:p w14:paraId="5CFFCDDE" w14:textId="77777777" w:rsidR="00DF47DA" w:rsidRDefault="00DF47DA">
            <w:pPr>
              <w:pStyle w:val="Bibliography"/>
              <w:rPr>
                <w:noProof/>
              </w:rPr>
            </w:pPr>
            <w:r>
              <w:rPr>
                <w:noProof/>
              </w:rPr>
              <w:t xml:space="preserve">[112] </w:t>
            </w:r>
          </w:p>
        </w:tc>
        <w:tc>
          <w:tcPr>
            <w:tcW w:w="4675" w:type="pct"/>
            <w:hideMark/>
          </w:tcPr>
          <w:p w14:paraId="5C899457" w14:textId="77777777" w:rsidR="00DF47DA" w:rsidRDefault="00DF47DA">
            <w:pPr>
              <w:pStyle w:val="Bibliography"/>
              <w:rPr>
                <w:noProof/>
              </w:rPr>
            </w:pPr>
            <w:r>
              <w:rPr>
                <w:noProof/>
              </w:rPr>
              <w:t xml:space="preserve">British Standards Institute, BS 476-20:1987 Fire tests on building materials and structures. Method for determination of the fire resistance of elements of construction (general principles), 1987. </w:t>
            </w:r>
          </w:p>
        </w:tc>
      </w:tr>
      <w:tr w:rsidR="00DF47DA" w14:paraId="5858F166" w14:textId="77777777" w:rsidTr="00DF47DA">
        <w:trPr>
          <w:divId w:val="2080983081"/>
          <w:tblCellSpacing w:w="15" w:type="dxa"/>
        </w:trPr>
        <w:tc>
          <w:tcPr>
            <w:tcW w:w="280" w:type="pct"/>
            <w:hideMark/>
          </w:tcPr>
          <w:p w14:paraId="7269679C" w14:textId="77777777" w:rsidR="00DF47DA" w:rsidRDefault="00DF47DA">
            <w:pPr>
              <w:pStyle w:val="Bibliography"/>
              <w:rPr>
                <w:noProof/>
              </w:rPr>
            </w:pPr>
            <w:r>
              <w:rPr>
                <w:noProof/>
              </w:rPr>
              <w:t xml:space="preserve">[113] </w:t>
            </w:r>
          </w:p>
        </w:tc>
        <w:tc>
          <w:tcPr>
            <w:tcW w:w="4675" w:type="pct"/>
            <w:hideMark/>
          </w:tcPr>
          <w:p w14:paraId="50B8B086" w14:textId="77777777" w:rsidR="00DF47DA" w:rsidRDefault="00DF47DA">
            <w:pPr>
              <w:pStyle w:val="Bibliography"/>
              <w:rPr>
                <w:noProof/>
              </w:rPr>
            </w:pPr>
            <w:r>
              <w:rPr>
                <w:noProof/>
              </w:rPr>
              <w:t xml:space="preserve">British Standards Institute, BS 476-21:1987, Fire tests on building materials and structures. Methods for determination of the fire resistance of loadbearing elements of construction, 1987. </w:t>
            </w:r>
          </w:p>
        </w:tc>
      </w:tr>
      <w:tr w:rsidR="00DF47DA" w14:paraId="607F6F4B" w14:textId="77777777" w:rsidTr="00DF47DA">
        <w:trPr>
          <w:divId w:val="2080983081"/>
          <w:tblCellSpacing w:w="15" w:type="dxa"/>
        </w:trPr>
        <w:tc>
          <w:tcPr>
            <w:tcW w:w="280" w:type="pct"/>
            <w:hideMark/>
          </w:tcPr>
          <w:p w14:paraId="6731C565" w14:textId="77777777" w:rsidR="00DF47DA" w:rsidRDefault="00DF47DA">
            <w:pPr>
              <w:pStyle w:val="Bibliography"/>
              <w:rPr>
                <w:noProof/>
              </w:rPr>
            </w:pPr>
            <w:r>
              <w:rPr>
                <w:noProof/>
              </w:rPr>
              <w:t xml:space="preserve">[114] </w:t>
            </w:r>
          </w:p>
        </w:tc>
        <w:tc>
          <w:tcPr>
            <w:tcW w:w="4675" w:type="pct"/>
            <w:hideMark/>
          </w:tcPr>
          <w:p w14:paraId="7B6EB0BE" w14:textId="77777777" w:rsidR="00DF47DA" w:rsidRDefault="00DF47DA">
            <w:pPr>
              <w:pStyle w:val="Bibliography"/>
              <w:rPr>
                <w:noProof/>
              </w:rPr>
            </w:pPr>
            <w:r>
              <w:rPr>
                <w:noProof/>
              </w:rPr>
              <w:t>National Radiological Protection Board, “NRPB-R91 A Model for Short and Medium Range Dispersion of Radionuclides Released to the Atmosphere,” 1979.</w:t>
            </w:r>
          </w:p>
        </w:tc>
      </w:tr>
      <w:tr w:rsidR="00DF47DA" w14:paraId="40D2FA28" w14:textId="77777777" w:rsidTr="00DF47DA">
        <w:trPr>
          <w:divId w:val="2080983081"/>
          <w:tblCellSpacing w:w="15" w:type="dxa"/>
        </w:trPr>
        <w:tc>
          <w:tcPr>
            <w:tcW w:w="280" w:type="pct"/>
            <w:hideMark/>
          </w:tcPr>
          <w:p w14:paraId="13DD7D45" w14:textId="77777777" w:rsidR="00DF47DA" w:rsidRDefault="00DF47DA">
            <w:pPr>
              <w:pStyle w:val="Bibliography"/>
              <w:rPr>
                <w:noProof/>
              </w:rPr>
            </w:pPr>
            <w:r>
              <w:rPr>
                <w:noProof/>
              </w:rPr>
              <w:t xml:space="preserve">[115] </w:t>
            </w:r>
          </w:p>
        </w:tc>
        <w:tc>
          <w:tcPr>
            <w:tcW w:w="4675" w:type="pct"/>
            <w:hideMark/>
          </w:tcPr>
          <w:p w14:paraId="331B7E8F" w14:textId="77777777" w:rsidR="00DF47DA" w:rsidRDefault="00DF47DA">
            <w:pPr>
              <w:pStyle w:val="Bibliography"/>
              <w:rPr>
                <w:noProof/>
              </w:rPr>
            </w:pPr>
            <w:r>
              <w:rPr>
                <w:noProof/>
              </w:rPr>
              <w:t>ICRP, “Dose Coefficients for Intakes of Radionuclides by Workers. ICRP Publication 68. Ann. ICRP 24 (4).,” 1994.</w:t>
            </w:r>
          </w:p>
        </w:tc>
      </w:tr>
      <w:tr w:rsidR="00DF47DA" w14:paraId="72763B7E" w14:textId="77777777" w:rsidTr="00DF47DA">
        <w:trPr>
          <w:divId w:val="2080983081"/>
          <w:tblCellSpacing w:w="15" w:type="dxa"/>
        </w:trPr>
        <w:tc>
          <w:tcPr>
            <w:tcW w:w="280" w:type="pct"/>
            <w:hideMark/>
          </w:tcPr>
          <w:p w14:paraId="78D3B1EF" w14:textId="77777777" w:rsidR="00DF47DA" w:rsidRDefault="00DF47DA">
            <w:pPr>
              <w:pStyle w:val="Bibliography"/>
              <w:rPr>
                <w:noProof/>
              </w:rPr>
            </w:pPr>
            <w:r>
              <w:rPr>
                <w:noProof/>
              </w:rPr>
              <w:t xml:space="preserve">[116] </w:t>
            </w:r>
          </w:p>
        </w:tc>
        <w:tc>
          <w:tcPr>
            <w:tcW w:w="4675" w:type="pct"/>
            <w:hideMark/>
          </w:tcPr>
          <w:p w14:paraId="6C5E231F" w14:textId="77777777" w:rsidR="00DF47DA" w:rsidRDefault="00DF47DA">
            <w:pPr>
              <w:pStyle w:val="Bibliography"/>
              <w:rPr>
                <w:noProof/>
              </w:rPr>
            </w:pPr>
            <w:r>
              <w:rPr>
                <w:noProof/>
              </w:rPr>
              <w:t>HM Government, “The Restriction of the Use of Certain Hazardous Substances in Electrical and Electronic Equipment Regulations,” 2012.</w:t>
            </w:r>
          </w:p>
        </w:tc>
      </w:tr>
      <w:tr w:rsidR="00DF47DA" w14:paraId="17EE7279" w14:textId="77777777" w:rsidTr="00DF47DA">
        <w:trPr>
          <w:divId w:val="2080983081"/>
          <w:tblCellSpacing w:w="15" w:type="dxa"/>
        </w:trPr>
        <w:tc>
          <w:tcPr>
            <w:tcW w:w="280" w:type="pct"/>
            <w:hideMark/>
          </w:tcPr>
          <w:p w14:paraId="3CD54BE2" w14:textId="77777777" w:rsidR="00DF47DA" w:rsidRDefault="00DF47DA">
            <w:pPr>
              <w:pStyle w:val="Bibliography"/>
              <w:rPr>
                <w:noProof/>
              </w:rPr>
            </w:pPr>
            <w:r>
              <w:rPr>
                <w:noProof/>
              </w:rPr>
              <w:t xml:space="preserve">[117] </w:t>
            </w:r>
          </w:p>
        </w:tc>
        <w:tc>
          <w:tcPr>
            <w:tcW w:w="4675" w:type="pct"/>
            <w:hideMark/>
          </w:tcPr>
          <w:p w14:paraId="5DCCE15C" w14:textId="77777777" w:rsidR="00DF47DA" w:rsidRDefault="00DF47DA">
            <w:pPr>
              <w:pStyle w:val="Bibliography"/>
              <w:rPr>
                <w:noProof/>
              </w:rPr>
            </w:pPr>
            <w:r>
              <w:rPr>
                <w:noProof/>
              </w:rPr>
              <w:t xml:space="preserve">International Atomic Energy Agency, Fire Safety in the Operation of Nuclear Power Plants, IAEA Safety Standards Series No. NS-G-2.1, IAEA, Vienna, 2000. </w:t>
            </w:r>
          </w:p>
        </w:tc>
      </w:tr>
      <w:tr w:rsidR="00DF47DA" w14:paraId="25B2962F" w14:textId="77777777" w:rsidTr="00DF47DA">
        <w:trPr>
          <w:divId w:val="2080983081"/>
          <w:tblCellSpacing w:w="15" w:type="dxa"/>
        </w:trPr>
        <w:tc>
          <w:tcPr>
            <w:tcW w:w="280" w:type="pct"/>
            <w:hideMark/>
          </w:tcPr>
          <w:p w14:paraId="31AA3C96" w14:textId="77777777" w:rsidR="00DF47DA" w:rsidRDefault="00DF47DA">
            <w:pPr>
              <w:pStyle w:val="Bibliography"/>
              <w:rPr>
                <w:noProof/>
              </w:rPr>
            </w:pPr>
            <w:r>
              <w:rPr>
                <w:noProof/>
              </w:rPr>
              <w:t xml:space="preserve">[118] </w:t>
            </w:r>
          </w:p>
        </w:tc>
        <w:tc>
          <w:tcPr>
            <w:tcW w:w="4675" w:type="pct"/>
            <w:hideMark/>
          </w:tcPr>
          <w:p w14:paraId="6AE31BE8" w14:textId="77777777" w:rsidR="00DF47DA" w:rsidRDefault="00DF47DA">
            <w:pPr>
              <w:pStyle w:val="Bibliography"/>
              <w:rPr>
                <w:noProof/>
              </w:rPr>
            </w:pPr>
            <w:r>
              <w:rPr>
                <w:noProof/>
              </w:rPr>
              <w:t>Office for Nuclear Regulation, “Internal Hazards Assessment of BEPPS-DIF Pre-Inactive / Pre-active Commissioning Safety Report, ONR-SDFW-AR-19-98, CM9: 2020/311997,” 2020.</w:t>
            </w:r>
          </w:p>
        </w:tc>
      </w:tr>
      <w:tr w:rsidR="00DF47DA" w14:paraId="5A18AE36" w14:textId="77777777" w:rsidTr="00DF47DA">
        <w:trPr>
          <w:divId w:val="2080983081"/>
          <w:tblCellSpacing w:w="15" w:type="dxa"/>
        </w:trPr>
        <w:tc>
          <w:tcPr>
            <w:tcW w:w="280" w:type="pct"/>
            <w:hideMark/>
          </w:tcPr>
          <w:p w14:paraId="4F384923" w14:textId="77777777" w:rsidR="00DF47DA" w:rsidRDefault="00DF47DA">
            <w:pPr>
              <w:pStyle w:val="Bibliography"/>
              <w:rPr>
                <w:noProof/>
              </w:rPr>
            </w:pPr>
            <w:r>
              <w:rPr>
                <w:noProof/>
              </w:rPr>
              <w:t xml:space="preserve">[119] </w:t>
            </w:r>
          </w:p>
        </w:tc>
        <w:tc>
          <w:tcPr>
            <w:tcW w:w="4675" w:type="pct"/>
            <w:hideMark/>
          </w:tcPr>
          <w:p w14:paraId="3D5AA92B" w14:textId="77777777" w:rsidR="00DF47DA" w:rsidRDefault="00DF47DA">
            <w:pPr>
              <w:pStyle w:val="Bibliography"/>
              <w:rPr>
                <w:noProof/>
              </w:rPr>
            </w:pPr>
            <w:r>
              <w:rPr>
                <w:noProof/>
              </w:rPr>
              <w:t xml:space="preserve">Office for Nuclear Regulation, BEPPS-DIF PACSR, Internal Hazards assessment of the BEPPS-DIF pre-active commissioning safety report, WIReD: AR-01173, 2023. </w:t>
            </w:r>
          </w:p>
        </w:tc>
      </w:tr>
      <w:tr w:rsidR="00DF47DA" w14:paraId="78D577E5" w14:textId="77777777" w:rsidTr="00DF47DA">
        <w:trPr>
          <w:divId w:val="2080983081"/>
          <w:tblCellSpacing w:w="15" w:type="dxa"/>
        </w:trPr>
        <w:tc>
          <w:tcPr>
            <w:tcW w:w="280" w:type="pct"/>
            <w:hideMark/>
          </w:tcPr>
          <w:p w14:paraId="7FE0346A" w14:textId="77777777" w:rsidR="00DF47DA" w:rsidRDefault="00DF47DA">
            <w:pPr>
              <w:pStyle w:val="Bibliography"/>
              <w:rPr>
                <w:noProof/>
              </w:rPr>
            </w:pPr>
            <w:r>
              <w:rPr>
                <w:noProof/>
              </w:rPr>
              <w:t xml:space="preserve">[120] </w:t>
            </w:r>
          </w:p>
        </w:tc>
        <w:tc>
          <w:tcPr>
            <w:tcW w:w="4675" w:type="pct"/>
            <w:hideMark/>
          </w:tcPr>
          <w:p w14:paraId="5747CECD" w14:textId="77777777" w:rsidR="00DF47DA" w:rsidRDefault="00DF47DA">
            <w:pPr>
              <w:pStyle w:val="Bibliography"/>
              <w:rPr>
                <w:noProof/>
              </w:rPr>
            </w:pPr>
            <w:r>
              <w:rPr>
                <w:noProof/>
              </w:rPr>
              <w:t>HM Government, “Construction Design and Management Regulations,” 2015. [Online]. Available: https://www.legislation.gov.uk/uksi/2015/51/contents.</w:t>
            </w:r>
          </w:p>
        </w:tc>
      </w:tr>
      <w:tr w:rsidR="00DF47DA" w:rsidRPr="004A7507" w14:paraId="53CDAF14" w14:textId="77777777" w:rsidTr="00DF47DA">
        <w:trPr>
          <w:divId w:val="2080983081"/>
          <w:tblCellSpacing w:w="15" w:type="dxa"/>
        </w:trPr>
        <w:tc>
          <w:tcPr>
            <w:tcW w:w="280" w:type="pct"/>
            <w:hideMark/>
          </w:tcPr>
          <w:p w14:paraId="30657BD6" w14:textId="77777777" w:rsidR="00DF47DA" w:rsidRDefault="00DF47DA">
            <w:pPr>
              <w:pStyle w:val="Bibliography"/>
              <w:rPr>
                <w:noProof/>
              </w:rPr>
            </w:pPr>
            <w:r>
              <w:rPr>
                <w:noProof/>
              </w:rPr>
              <w:t xml:space="preserve">[121] </w:t>
            </w:r>
          </w:p>
        </w:tc>
        <w:tc>
          <w:tcPr>
            <w:tcW w:w="4675" w:type="pct"/>
            <w:hideMark/>
          </w:tcPr>
          <w:p w14:paraId="404C8D18" w14:textId="77777777" w:rsidR="00DF47DA" w:rsidRPr="004A7507" w:rsidRDefault="00DF47DA">
            <w:pPr>
              <w:pStyle w:val="Bibliography"/>
              <w:rPr>
                <w:noProof/>
                <w:lang w:val="fr-FR"/>
              </w:rPr>
            </w:pPr>
            <w:r>
              <w:rPr>
                <w:noProof/>
              </w:rPr>
              <w:t xml:space="preserve">“Fire Safety (Scotland) Regulations,” 2006. [Online]. </w:t>
            </w:r>
            <w:r w:rsidRPr="004A7507">
              <w:rPr>
                <w:noProof/>
                <w:lang w:val="fr-FR"/>
              </w:rPr>
              <w:t>Available: https://www.legislation.gov.uk/ssi/2006/456/contents/made.</w:t>
            </w:r>
          </w:p>
        </w:tc>
      </w:tr>
      <w:tr w:rsidR="00DF47DA" w14:paraId="5D1906EC" w14:textId="77777777" w:rsidTr="00DF47DA">
        <w:trPr>
          <w:divId w:val="2080983081"/>
          <w:tblCellSpacing w:w="15" w:type="dxa"/>
        </w:trPr>
        <w:tc>
          <w:tcPr>
            <w:tcW w:w="280" w:type="pct"/>
            <w:hideMark/>
          </w:tcPr>
          <w:p w14:paraId="14C2788C" w14:textId="77777777" w:rsidR="00DF47DA" w:rsidRDefault="00DF47DA">
            <w:pPr>
              <w:pStyle w:val="Bibliography"/>
              <w:rPr>
                <w:noProof/>
              </w:rPr>
            </w:pPr>
            <w:r>
              <w:rPr>
                <w:noProof/>
              </w:rPr>
              <w:t xml:space="preserve">[122] </w:t>
            </w:r>
          </w:p>
        </w:tc>
        <w:tc>
          <w:tcPr>
            <w:tcW w:w="4675" w:type="pct"/>
            <w:hideMark/>
          </w:tcPr>
          <w:p w14:paraId="03974404" w14:textId="77777777" w:rsidR="00DF47DA" w:rsidRDefault="00DF47DA">
            <w:pPr>
              <w:pStyle w:val="Bibliography"/>
              <w:rPr>
                <w:noProof/>
              </w:rPr>
            </w:pPr>
            <w:r>
              <w:rPr>
                <w:noProof/>
              </w:rPr>
              <w:t>“The Dangerous Substances and Explosive Atmospheres Regulations,” 2002. [Online]. Available: https://www.legislation.gov.uk/uksi/2002/2776/contents.</w:t>
            </w:r>
          </w:p>
        </w:tc>
      </w:tr>
      <w:tr w:rsidR="00DF47DA" w14:paraId="24674079" w14:textId="77777777" w:rsidTr="00DF47DA">
        <w:trPr>
          <w:divId w:val="2080983081"/>
          <w:tblCellSpacing w:w="15" w:type="dxa"/>
        </w:trPr>
        <w:tc>
          <w:tcPr>
            <w:tcW w:w="280" w:type="pct"/>
            <w:hideMark/>
          </w:tcPr>
          <w:p w14:paraId="242B71CA" w14:textId="77777777" w:rsidR="00DF47DA" w:rsidRDefault="00DF47DA">
            <w:pPr>
              <w:pStyle w:val="Bibliography"/>
              <w:rPr>
                <w:noProof/>
              </w:rPr>
            </w:pPr>
            <w:r>
              <w:rPr>
                <w:noProof/>
              </w:rPr>
              <w:t xml:space="preserve">[123] </w:t>
            </w:r>
          </w:p>
        </w:tc>
        <w:tc>
          <w:tcPr>
            <w:tcW w:w="4675" w:type="pct"/>
            <w:hideMark/>
          </w:tcPr>
          <w:p w14:paraId="31B914FF" w14:textId="77777777" w:rsidR="00DF47DA" w:rsidRDefault="00DF47DA">
            <w:pPr>
              <w:pStyle w:val="Bibliography"/>
              <w:rPr>
                <w:noProof/>
              </w:rPr>
            </w:pPr>
            <w:r>
              <w:rPr>
                <w:noProof/>
              </w:rPr>
              <w:t xml:space="preserve">S. o. F. P. Engineers, Handbook of Fire Engineering, 5th Edition, 2016. </w:t>
            </w:r>
          </w:p>
        </w:tc>
      </w:tr>
      <w:tr w:rsidR="00DF47DA" w14:paraId="2E278BD9" w14:textId="77777777" w:rsidTr="00DF47DA">
        <w:trPr>
          <w:divId w:val="2080983081"/>
          <w:tblCellSpacing w:w="15" w:type="dxa"/>
        </w:trPr>
        <w:tc>
          <w:tcPr>
            <w:tcW w:w="280" w:type="pct"/>
            <w:hideMark/>
          </w:tcPr>
          <w:p w14:paraId="28212086" w14:textId="77777777" w:rsidR="00DF47DA" w:rsidRDefault="00DF47DA">
            <w:pPr>
              <w:pStyle w:val="Bibliography"/>
              <w:rPr>
                <w:noProof/>
              </w:rPr>
            </w:pPr>
            <w:r>
              <w:rPr>
                <w:noProof/>
              </w:rPr>
              <w:t xml:space="preserve">[124] </w:t>
            </w:r>
          </w:p>
        </w:tc>
        <w:tc>
          <w:tcPr>
            <w:tcW w:w="4675" w:type="pct"/>
            <w:hideMark/>
          </w:tcPr>
          <w:p w14:paraId="19E981DC" w14:textId="77777777" w:rsidR="00DF47DA" w:rsidRDefault="00DF47DA">
            <w:pPr>
              <w:pStyle w:val="Bibliography"/>
              <w:rPr>
                <w:noProof/>
              </w:rPr>
            </w:pPr>
            <w:r>
              <w:rPr>
                <w:noProof/>
              </w:rPr>
              <w:t xml:space="preserve">International Collaborative Project to Evaluate Fire Models for Nuclear Power Plant Applications: Summary of 2nd Meeting, June 2000. </w:t>
            </w:r>
          </w:p>
        </w:tc>
      </w:tr>
      <w:tr w:rsidR="00DF47DA" w14:paraId="6B4AFEEB" w14:textId="77777777" w:rsidTr="00DF47DA">
        <w:trPr>
          <w:divId w:val="2080983081"/>
          <w:tblCellSpacing w:w="15" w:type="dxa"/>
        </w:trPr>
        <w:tc>
          <w:tcPr>
            <w:tcW w:w="280" w:type="pct"/>
            <w:hideMark/>
          </w:tcPr>
          <w:p w14:paraId="3E2CBCC7" w14:textId="77777777" w:rsidR="00DF47DA" w:rsidRDefault="00DF47DA">
            <w:pPr>
              <w:pStyle w:val="Bibliography"/>
              <w:rPr>
                <w:noProof/>
              </w:rPr>
            </w:pPr>
            <w:r>
              <w:rPr>
                <w:noProof/>
              </w:rPr>
              <w:t xml:space="preserve">[125] </w:t>
            </w:r>
          </w:p>
        </w:tc>
        <w:tc>
          <w:tcPr>
            <w:tcW w:w="4675" w:type="pct"/>
            <w:hideMark/>
          </w:tcPr>
          <w:p w14:paraId="5552F9EE" w14:textId="77777777" w:rsidR="00DF47DA" w:rsidRDefault="00DF47DA">
            <w:pPr>
              <w:pStyle w:val="Bibliography"/>
              <w:rPr>
                <w:noProof/>
              </w:rPr>
            </w:pPr>
            <w:r>
              <w:rPr>
                <w:noProof/>
              </w:rPr>
              <w:t xml:space="preserve">United States Nuclear Regulatory Commission, NUREG/CP-0173, NUREG/CP US Nuclear Regulatory Commission, AFSP Yellow Book, Fire protection for structural steel in buildings, 5th Edition. </w:t>
            </w:r>
          </w:p>
        </w:tc>
      </w:tr>
      <w:tr w:rsidR="00DF47DA" w14:paraId="0F3DA12F" w14:textId="77777777" w:rsidTr="00DF47DA">
        <w:trPr>
          <w:divId w:val="2080983081"/>
          <w:tblCellSpacing w:w="15" w:type="dxa"/>
        </w:trPr>
        <w:tc>
          <w:tcPr>
            <w:tcW w:w="280" w:type="pct"/>
            <w:hideMark/>
          </w:tcPr>
          <w:p w14:paraId="372266F2" w14:textId="77777777" w:rsidR="00DF47DA" w:rsidRDefault="00DF47DA">
            <w:pPr>
              <w:pStyle w:val="Bibliography"/>
              <w:rPr>
                <w:noProof/>
              </w:rPr>
            </w:pPr>
            <w:r>
              <w:rPr>
                <w:noProof/>
              </w:rPr>
              <w:t xml:space="preserve">[126] </w:t>
            </w:r>
          </w:p>
        </w:tc>
        <w:tc>
          <w:tcPr>
            <w:tcW w:w="4675" w:type="pct"/>
            <w:hideMark/>
          </w:tcPr>
          <w:p w14:paraId="3DD42935" w14:textId="77777777" w:rsidR="00DF47DA" w:rsidRDefault="00DF47DA">
            <w:pPr>
              <w:pStyle w:val="Bibliography"/>
              <w:rPr>
                <w:noProof/>
              </w:rPr>
            </w:pPr>
            <w:r>
              <w:rPr>
                <w:noProof/>
              </w:rPr>
              <w:t xml:space="preserve">B. S. Institute, BS EN 1993-1-2, Eurocode 3: Design of steel structures – Part 1-2: General rules – Structural fire design, 2010. </w:t>
            </w:r>
          </w:p>
        </w:tc>
      </w:tr>
      <w:tr w:rsidR="00DF47DA" w14:paraId="076A13B9" w14:textId="77777777" w:rsidTr="00DF47DA">
        <w:trPr>
          <w:divId w:val="2080983081"/>
          <w:tblCellSpacing w:w="15" w:type="dxa"/>
        </w:trPr>
        <w:tc>
          <w:tcPr>
            <w:tcW w:w="280" w:type="pct"/>
            <w:hideMark/>
          </w:tcPr>
          <w:p w14:paraId="4A5D5420" w14:textId="77777777" w:rsidR="00DF47DA" w:rsidRDefault="00DF47DA">
            <w:pPr>
              <w:pStyle w:val="Bibliography"/>
              <w:rPr>
                <w:noProof/>
              </w:rPr>
            </w:pPr>
            <w:r>
              <w:rPr>
                <w:noProof/>
              </w:rPr>
              <w:t xml:space="preserve">[127] </w:t>
            </w:r>
          </w:p>
        </w:tc>
        <w:tc>
          <w:tcPr>
            <w:tcW w:w="4675" w:type="pct"/>
            <w:hideMark/>
          </w:tcPr>
          <w:p w14:paraId="79713779" w14:textId="77777777" w:rsidR="00DF47DA" w:rsidRDefault="00DF47DA">
            <w:pPr>
              <w:pStyle w:val="Bibliography"/>
              <w:rPr>
                <w:noProof/>
              </w:rPr>
            </w:pPr>
            <w:r>
              <w:rPr>
                <w:noProof/>
              </w:rPr>
              <w:t xml:space="preserve">Office for Nuclear Regulation, Dounreay Site Inspection ID: 50066, https://news.onr.org.uk/2023/03/dounreay-inspection-id-50066/. </w:t>
            </w:r>
          </w:p>
        </w:tc>
      </w:tr>
      <w:tr w:rsidR="00DF47DA" w14:paraId="2589C5BF" w14:textId="77777777" w:rsidTr="00DF47DA">
        <w:trPr>
          <w:divId w:val="2080983081"/>
          <w:tblCellSpacing w:w="15" w:type="dxa"/>
        </w:trPr>
        <w:tc>
          <w:tcPr>
            <w:tcW w:w="280" w:type="pct"/>
            <w:hideMark/>
          </w:tcPr>
          <w:p w14:paraId="0B834FF1" w14:textId="77777777" w:rsidR="00DF47DA" w:rsidRDefault="00DF47DA">
            <w:pPr>
              <w:pStyle w:val="Bibliography"/>
              <w:rPr>
                <w:noProof/>
              </w:rPr>
            </w:pPr>
            <w:r>
              <w:rPr>
                <w:noProof/>
              </w:rPr>
              <w:t xml:space="preserve">[128] </w:t>
            </w:r>
          </w:p>
        </w:tc>
        <w:tc>
          <w:tcPr>
            <w:tcW w:w="4675" w:type="pct"/>
            <w:hideMark/>
          </w:tcPr>
          <w:p w14:paraId="479E78B6" w14:textId="77777777" w:rsidR="00DF47DA" w:rsidRDefault="00DF47DA">
            <w:pPr>
              <w:pStyle w:val="Bibliography"/>
              <w:rPr>
                <w:noProof/>
              </w:rPr>
            </w:pPr>
            <w:r>
              <w:rPr>
                <w:noProof/>
              </w:rPr>
              <w:t xml:space="preserve">Office for Nuclear Regulation, Dounreay Site Inspection ID: 52089, https://news.onr.org.uk/2023/04/dounreay-inspection-id-ir-52089/. </w:t>
            </w:r>
          </w:p>
        </w:tc>
      </w:tr>
      <w:tr w:rsidR="00DF47DA" w14:paraId="235DE0B2" w14:textId="77777777" w:rsidTr="00DF47DA">
        <w:trPr>
          <w:divId w:val="2080983081"/>
          <w:tblCellSpacing w:w="15" w:type="dxa"/>
        </w:trPr>
        <w:tc>
          <w:tcPr>
            <w:tcW w:w="280" w:type="pct"/>
            <w:hideMark/>
          </w:tcPr>
          <w:p w14:paraId="3173EBE2" w14:textId="77777777" w:rsidR="00DF47DA" w:rsidRDefault="00DF47DA">
            <w:pPr>
              <w:pStyle w:val="Bibliography"/>
              <w:rPr>
                <w:noProof/>
              </w:rPr>
            </w:pPr>
            <w:r>
              <w:rPr>
                <w:noProof/>
              </w:rPr>
              <w:t xml:space="preserve">[129] </w:t>
            </w:r>
          </w:p>
        </w:tc>
        <w:tc>
          <w:tcPr>
            <w:tcW w:w="4675" w:type="pct"/>
            <w:hideMark/>
          </w:tcPr>
          <w:p w14:paraId="472CF91E" w14:textId="77777777" w:rsidR="00DF47DA" w:rsidRDefault="00DF47DA">
            <w:pPr>
              <w:pStyle w:val="Bibliography"/>
              <w:rPr>
                <w:noProof/>
              </w:rPr>
            </w:pPr>
            <w:r>
              <w:rPr>
                <w:noProof/>
              </w:rPr>
              <w:t xml:space="preserve">NNB GenCo, TeamCenter No. 100751884 - HPC PCSR3 Sub-chapter 13.2 - Internal Hazards - Revision 003, 2017. </w:t>
            </w:r>
          </w:p>
        </w:tc>
      </w:tr>
      <w:tr w:rsidR="00DF47DA" w14:paraId="00F02B98" w14:textId="77777777" w:rsidTr="00DF47DA">
        <w:trPr>
          <w:divId w:val="2080983081"/>
          <w:tblCellSpacing w:w="15" w:type="dxa"/>
        </w:trPr>
        <w:tc>
          <w:tcPr>
            <w:tcW w:w="280" w:type="pct"/>
            <w:hideMark/>
          </w:tcPr>
          <w:p w14:paraId="6381DC9C" w14:textId="77777777" w:rsidR="00DF47DA" w:rsidRDefault="00DF47DA">
            <w:pPr>
              <w:pStyle w:val="Bibliography"/>
              <w:rPr>
                <w:noProof/>
              </w:rPr>
            </w:pPr>
            <w:r>
              <w:rPr>
                <w:noProof/>
              </w:rPr>
              <w:t xml:space="preserve">[130] </w:t>
            </w:r>
          </w:p>
        </w:tc>
        <w:tc>
          <w:tcPr>
            <w:tcW w:w="4675" w:type="pct"/>
            <w:hideMark/>
          </w:tcPr>
          <w:p w14:paraId="07F9459C" w14:textId="77777777" w:rsidR="00DF47DA" w:rsidRDefault="00DF47DA">
            <w:pPr>
              <w:pStyle w:val="Bibliography"/>
              <w:rPr>
                <w:noProof/>
              </w:rPr>
            </w:pPr>
            <w:r>
              <w:rPr>
                <w:noProof/>
              </w:rPr>
              <w:t xml:space="preserve">NNB GenCo, TeamCenter No. 100569214 - HPC-CNENXX-XX-ALL-NOT-200419 – HPC Fire Strategy Document, Revision D, 2021. </w:t>
            </w:r>
          </w:p>
        </w:tc>
      </w:tr>
      <w:tr w:rsidR="00DF47DA" w14:paraId="79D8A247" w14:textId="77777777" w:rsidTr="00DF47DA">
        <w:trPr>
          <w:divId w:val="2080983081"/>
          <w:tblCellSpacing w:w="15" w:type="dxa"/>
        </w:trPr>
        <w:tc>
          <w:tcPr>
            <w:tcW w:w="280" w:type="pct"/>
            <w:hideMark/>
          </w:tcPr>
          <w:p w14:paraId="18C5295B" w14:textId="77777777" w:rsidR="00DF47DA" w:rsidRDefault="00DF47DA">
            <w:pPr>
              <w:pStyle w:val="Bibliography"/>
              <w:rPr>
                <w:noProof/>
              </w:rPr>
            </w:pPr>
            <w:r>
              <w:rPr>
                <w:noProof/>
              </w:rPr>
              <w:t xml:space="preserve">[131] </w:t>
            </w:r>
          </w:p>
        </w:tc>
        <w:tc>
          <w:tcPr>
            <w:tcW w:w="4675" w:type="pct"/>
            <w:hideMark/>
          </w:tcPr>
          <w:p w14:paraId="5ED0584E" w14:textId="77777777" w:rsidR="00DF47DA" w:rsidRDefault="00DF47DA">
            <w:pPr>
              <w:pStyle w:val="Bibliography"/>
              <w:rPr>
                <w:noProof/>
              </w:rPr>
            </w:pPr>
            <w:r>
              <w:rPr>
                <w:noProof/>
              </w:rPr>
              <w:t xml:space="preserve">EMANI, European Mutual Association for Nuclear Insurance Loss Control Standards., 09.05.2009. </w:t>
            </w:r>
          </w:p>
        </w:tc>
      </w:tr>
      <w:tr w:rsidR="00DF47DA" w14:paraId="524AF86B" w14:textId="77777777" w:rsidTr="00DF47DA">
        <w:trPr>
          <w:divId w:val="2080983081"/>
          <w:tblCellSpacing w:w="15" w:type="dxa"/>
        </w:trPr>
        <w:tc>
          <w:tcPr>
            <w:tcW w:w="280" w:type="pct"/>
            <w:hideMark/>
          </w:tcPr>
          <w:p w14:paraId="06D68292" w14:textId="77777777" w:rsidR="00DF47DA" w:rsidRDefault="00DF47DA">
            <w:pPr>
              <w:pStyle w:val="Bibliography"/>
              <w:rPr>
                <w:noProof/>
              </w:rPr>
            </w:pPr>
            <w:r>
              <w:rPr>
                <w:noProof/>
              </w:rPr>
              <w:t xml:space="preserve">[132] </w:t>
            </w:r>
          </w:p>
        </w:tc>
        <w:tc>
          <w:tcPr>
            <w:tcW w:w="4675" w:type="pct"/>
            <w:hideMark/>
          </w:tcPr>
          <w:p w14:paraId="6E5BC96B" w14:textId="77777777" w:rsidR="00DF47DA" w:rsidRDefault="00DF47DA">
            <w:pPr>
              <w:pStyle w:val="Bibliography"/>
              <w:rPr>
                <w:noProof/>
              </w:rPr>
            </w:pPr>
            <w:r>
              <w:rPr>
                <w:noProof/>
              </w:rPr>
              <w:t xml:space="preserve">NNB GenCo, TeamCenter No. No. 100904874: HPC Codes and Standards Note: Revision 002, 2022. </w:t>
            </w:r>
          </w:p>
        </w:tc>
      </w:tr>
      <w:tr w:rsidR="00DF47DA" w:rsidRPr="004A7507" w14:paraId="35B2A327" w14:textId="77777777" w:rsidTr="00DF47DA">
        <w:trPr>
          <w:divId w:val="2080983081"/>
          <w:tblCellSpacing w:w="15" w:type="dxa"/>
        </w:trPr>
        <w:tc>
          <w:tcPr>
            <w:tcW w:w="280" w:type="pct"/>
            <w:hideMark/>
          </w:tcPr>
          <w:p w14:paraId="2129061A" w14:textId="77777777" w:rsidR="00DF47DA" w:rsidRDefault="00DF47DA">
            <w:pPr>
              <w:pStyle w:val="Bibliography"/>
              <w:rPr>
                <w:noProof/>
              </w:rPr>
            </w:pPr>
            <w:r>
              <w:rPr>
                <w:noProof/>
              </w:rPr>
              <w:t xml:space="preserve">[133] </w:t>
            </w:r>
          </w:p>
        </w:tc>
        <w:tc>
          <w:tcPr>
            <w:tcW w:w="4675" w:type="pct"/>
            <w:hideMark/>
          </w:tcPr>
          <w:p w14:paraId="3DDBD622" w14:textId="77777777" w:rsidR="00DF47DA" w:rsidRPr="004A7507" w:rsidRDefault="00DF47DA">
            <w:pPr>
              <w:pStyle w:val="Bibliography"/>
              <w:rPr>
                <w:noProof/>
                <w:lang w:val="fr-FR"/>
              </w:rPr>
            </w:pPr>
            <w:r>
              <w:rPr>
                <w:noProof/>
              </w:rPr>
              <w:t xml:space="preserve">ONR, “Hinkley Point C – Inspection ID: 52006,” January 2023. </w:t>
            </w:r>
            <w:r w:rsidRPr="004A7507">
              <w:rPr>
                <w:noProof/>
                <w:lang w:val="fr-FR"/>
              </w:rPr>
              <w:t>[Online]. Available: https://news.onr.org.uk/2023/03/hinkley-point-c-inspection-id-52006/.</w:t>
            </w:r>
          </w:p>
        </w:tc>
      </w:tr>
      <w:tr w:rsidR="00DF47DA" w:rsidRPr="004A7507" w14:paraId="42D57147" w14:textId="77777777" w:rsidTr="00DF47DA">
        <w:trPr>
          <w:divId w:val="2080983081"/>
          <w:tblCellSpacing w:w="15" w:type="dxa"/>
        </w:trPr>
        <w:tc>
          <w:tcPr>
            <w:tcW w:w="280" w:type="pct"/>
            <w:hideMark/>
          </w:tcPr>
          <w:p w14:paraId="2129EFFA" w14:textId="77777777" w:rsidR="00DF47DA" w:rsidRDefault="00DF47DA">
            <w:pPr>
              <w:pStyle w:val="Bibliography"/>
              <w:rPr>
                <w:noProof/>
              </w:rPr>
            </w:pPr>
            <w:r>
              <w:rPr>
                <w:noProof/>
              </w:rPr>
              <w:t xml:space="preserve">[134] </w:t>
            </w:r>
          </w:p>
        </w:tc>
        <w:tc>
          <w:tcPr>
            <w:tcW w:w="4675" w:type="pct"/>
            <w:hideMark/>
          </w:tcPr>
          <w:p w14:paraId="60E8175F" w14:textId="77777777" w:rsidR="00DF47DA" w:rsidRPr="004A7507" w:rsidRDefault="00DF47DA">
            <w:pPr>
              <w:pStyle w:val="Bibliography"/>
              <w:rPr>
                <w:noProof/>
                <w:lang w:val="fr-FR"/>
              </w:rPr>
            </w:pPr>
            <w:r>
              <w:rPr>
                <w:noProof/>
              </w:rPr>
              <w:t xml:space="preserve">ONR, “Hinkley Point C – Inspection ID: 22-007,” 2022. </w:t>
            </w:r>
            <w:r w:rsidRPr="004A7507">
              <w:rPr>
                <w:noProof/>
                <w:lang w:val="fr-FR"/>
              </w:rPr>
              <w:t>[Online]. Available: https://news.onr.org.uk/2022/08/hinkley-point-c-22-007/.</w:t>
            </w:r>
          </w:p>
        </w:tc>
      </w:tr>
      <w:tr w:rsidR="00DF47DA" w14:paraId="06C87229" w14:textId="77777777" w:rsidTr="00DF47DA">
        <w:trPr>
          <w:divId w:val="2080983081"/>
          <w:tblCellSpacing w:w="15" w:type="dxa"/>
        </w:trPr>
        <w:tc>
          <w:tcPr>
            <w:tcW w:w="280" w:type="pct"/>
            <w:hideMark/>
          </w:tcPr>
          <w:p w14:paraId="11677B80" w14:textId="77777777" w:rsidR="00DF47DA" w:rsidRDefault="00DF47DA">
            <w:pPr>
              <w:pStyle w:val="Bibliography"/>
              <w:rPr>
                <w:noProof/>
              </w:rPr>
            </w:pPr>
            <w:r>
              <w:rPr>
                <w:noProof/>
              </w:rPr>
              <w:t xml:space="preserve">[135] </w:t>
            </w:r>
          </w:p>
        </w:tc>
        <w:tc>
          <w:tcPr>
            <w:tcW w:w="4675" w:type="pct"/>
            <w:hideMark/>
          </w:tcPr>
          <w:p w14:paraId="49F994A6" w14:textId="77777777" w:rsidR="00DF47DA" w:rsidRDefault="00DF47DA">
            <w:pPr>
              <w:pStyle w:val="Bibliography"/>
              <w:rPr>
                <w:noProof/>
              </w:rPr>
            </w:pPr>
            <w:r>
              <w:rPr>
                <w:noProof/>
              </w:rPr>
              <w:t xml:space="preserve">SSI 688 Fire Safety at Springfields Rev 3 April 2020, Springfields Fuel Ltd. </w:t>
            </w:r>
          </w:p>
        </w:tc>
      </w:tr>
      <w:tr w:rsidR="00DF47DA" w14:paraId="3F7179E1" w14:textId="77777777" w:rsidTr="00DF47DA">
        <w:trPr>
          <w:divId w:val="2080983081"/>
          <w:tblCellSpacing w:w="15" w:type="dxa"/>
        </w:trPr>
        <w:tc>
          <w:tcPr>
            <w:tcW w:w="280" w:type="pct"/>
            <w:hideMark/>
          </w:tcPr>
          <w:p w14:paraId="52D037CE" w14:textId="77777777" w:rsidR="00DF47DA" w:rsidRDefault="00DF47DA">
            <w:pPr>
              <w:pStyle w:val="Bibliography"/>
              <w:rPr>
                <w:noProof/>
              </w:rPr>
            </w:pPr>
            <w:r>
              <w:rPr>
                <w:noProof/>
              </w:rPr>
              <w:t xml:space="preserve">[136] </w:t>
            </w:r>
          </w:p>
        </w:tc>
        <w:tc>
          <w:tcPr>
            <w:tcW w:w="4675" w:type="pct"/>
            <w:hideMark/>
          </w:tcPr>
          <w:p w14:paraId="18F9BA6C" w14:textId="77777777" w:rsidR="00DF47DA" w:rsidRDefault="00DF47DA">
            <w:pPr>
              <w:pStyle w:val="Bibliography"/>
              <w:rPr>
                <w:noProof/>
              </w:rPr>
            </w:pPr>
            <w:r>
              <w:rPr>
                <w:noProof/>
              </w:rPr>
              <w:t xml:space="preserve">SSI 688M Use of Flexible Temporary Covering Materials &amp; Tented Structures at Springfields. Rev 3 Nov 2021, Springfields Fuels Ltd. </w:t>
            </w:r>
          </w:p>
        </w:tc>
      </w:tr>
      <w:tr w:rsidR="00DF47DA" w14:paraId="5426514B" w14:textId="77777777" w:rsidTr="00DF47DA">
        <w:trPr>
          <w:divId w:val="2080983081"/>
          <w:tblCellSpacing w:w="15" w:type="dxa"/>
        </w:trPr>
        <w:tc>
          <w:tcPr>
            <w:tcW w:w="280" w:type="pct"/>
            <w:hideMark/>
          </w:tcPr>
          <w:p w14:paraId="7F5D92DD" w14:textId="77777777" w:rsidR="00DF47DA" w:rsidRDefault="00DF47DA">
            <w:pPr>
              <w:pStyle w:val="Bibliography"/>
              <w:rPr>
                <w:noProof/>
              </w:rPr>
            </w:pPr>
            <w:r>
              <w:rPr>
                <w:noProof/>
              </w:rPr>
              <w:t xml:space="preserve">[137] </w:t>
            </w:r>
          </w:p>
        </w:tc>
        <w:tc>
          <w:tcPr>
            <w:tcW w:w="4675" w:type="pct"/>
            <w:hideMark/>
          </w:tcPr>
          <w:p w14:paraId="43D8183A" w14:textId="77777777" w:rsidR="00DF47DA" w:rsidRDefault="00DF47DA">
            <w:pPr>
              <w:pStyle w:val="Bibliography"/>
              <w:rPr>
                <w:noProof/>
              </w:rPr>
            </w:pPr>
            <w:r>
              <w:rPr>
                <w:noProof/>
              </w:rPr>
              <w:t xml:space="preserve">Loss Prevention Standard 1207 Fire Requirements for the LPCB Approval &amp; Listing of Protective Covering Materials.. </w:t>
            </w:r>
          </w:p>
        </w:tc>
      </w:tr>
      <w:tr w:rsidR="00DF47DA" w14:paraId="6A79B914" w14:textId="77777777" w:rsidTr="00DF47DA">
        <w:trPr>
          <w:divId w:val="2080983081"/>
          <w:tblCellSpacing w:w="15" w:type="dxa"/>
        </w:trPr>
        <w:tc>
          <w:tcPr>
            <w:tcW w:w="280" w:type="pct"/>
            <w:hideMark/>
          </w:tcPr>
          <w:p w14:paraId="5D099D7C" w14:textId="77777777" w:rsidR="00DF47DA" w:rsidRDefault="00DF47DA">
            <w:pPr>
              <w:pStyle w:val="Bibliography"/>
              <w:rPr>
                <w:noProof/>
              </w:rPr>
            </w:pPr>
            <w:r>
              <w:rPr>
                <w:noProof/>
              </w:rPr>
              <w:t xml:space="preserve">[138] </w:t>
            </w:r>
          </w:p>
        </w:tc>
        <w:tc>
          <w:tcPr>
            <w:tcW w:w="4675" w:type="pct"/>
            <w:hideMark/>
          </w:tcPr>
          <w:p w14:paraId="54EB85D2" w14:textId="77777777" w:rsidR="00DF47DA" w:rsidRDefault="00DF47DA">
            <w:pPr>
              <w:pStyle w:val="Bibliography"/>
              <w:rPr>
                <w:noProof/>
              </w:rPr>
            </w:pPr>
            <w:r>
              <w:rPr>
                <w:noProof/>
              </w:rPr>
              <w:t xml:space="preserve">Loss Prevention Standard 1215 Requirements for the LPCB approval and listing of Scaffold Cladding Materials. </w:t>
            </w:r>
          </w:p>
        </w:tc>
      </w:tr>
      <w:tr w:rsidR="00DF47DA" w14:paraId="3889FEA8" w14:textId="77777777" w:rsidTr="00DF47DA">
        <w:trPr>
          <w:divId w:val="2080983081"/>
          <w:tblCellSpacing w:w="15" w:type="dxa"/>
        </w:trPr>
        <w:tc>
          <w:tcPr>
            <w:tcW w:w="280" w:type="pct"/>
            <w:hideMark/>
          </w:tcPr>
          <w:p w14:paraId="5ABE34C4" w14:textId="77777777" w:rsidR="00DF47DA" w:rsidRDefault="00DF47DA">
            <w:pPr>
              <w:pStyle w:val="Bibliography"/>
              <w:rPr>
                <w:noProof/>
              </w:rPr>
            </w:pPr>
            <w:r>
              <w:rPr>
                <w:noProof/>
              </w:rPr>
              <w:t xml:space="preserve">[139] </w:t>
            </w:r>
          </w:p>
        </w:tc>
        <w:tc>
          <w:tcPr>
            <w:tcW w:w="4675" w:type="pct"/>
            <w:hideMark/>
          </w:tcPr>
          <w:p w14:paraId="4DFB30BF" w14:textId="77777777" w:rsidR="00DF47DA" w:rsidRDefault="00DF47DA">
            <w:pPr>
              <w:pStyle w:val="Bibliography"/>
              <w:rPr>
                <w:noProof/>
              </w:rPr>
            </w:pPr>
            <w:r>
              <w:rPr>
                <w:noProof/>
              </w:rPr>
              <w:t xml:space="preserve">Fire Prevention on Construction Sites – Joint Code of Practice 10th Edition. </w:t>
            </w:r>
          </w:p>
        </w:tc>
      </w:tr>
      <w:tr w:rsidR="00DF47DA" w:rsidRPr="004A7507" w14:paraId="5123B3B9" w14:textId="77777777" w:rsidTr="00DF47DA">
        <w:trPr>
          <w:divId w:val="2080983081"/>
          <w:tblCellSpacing w:w="15" w:type="dxa"/>
        </w:trPr>
        <w:tc>
          <w:tcPr>
            <w:tcW w:w="280" w:type="pct"/>
            <w:hideMark/>
          </w:tcPr>
          <w:p w14:paraId="20FB42C2" w14:textId="77777777" w:rsidR="00DF47DA" w:rsidRDefault="00DF47DA">
            <w:pPr>
              <w:pStyle w:val="Bibliography"/>
              <w:rPr>
                <w:noProof/>
              </w:rPr>
            </w:pPr>
            <w:r>
              <w:rPr>
                <w:noProof/>
              </w:rPr>
              <w:t xml:space="preserve">[140] </w:t>
            </w:r>
          </w:p>
        </w:tc>
        <w:tc>
          <w:tcPr>
            <w:tcW w:w="4675" w:type="pct"/>
            <w:hideMark/>
          </w:tcPr>
          <w:p w14:paraId="623CCA24" w14:textId="77777777" w:rsidR="00DF47DA" w:rsidRPr="004A7507" w:rsidRDefault="00DF47DA">
            <w:pPr>
              <w:pStyle w:val="Bibliography"/>
              <w:rPr>
                <w:noProof/>
                <w:lang w:val="fr-FR"/>
              </w:rPr>
            </w:pPr>
            <w:r>
              <w:rPr>
                <w:noProof/>
              </w:rPr>
              <w:t xml:space="preserve">Health and Safety Executive, “HSG 140 Safe Use and Handling of Flammable Liquids,” 2015. </w:t>
            </w:r>
            <w:r w:rsidRPr="004A7507">
              <w:rPr>
                <w:noProof/>
                <w:lang w:val="fr-FR"/>
              </w:rPr>
              <w:t>[Online]. Available: https://www.hse.gov.uk/pubns/books/hsg140.htm.</w:t>
            </w:r>
          </w:p>
        </w:tc>
      </w:tr>
      <w:tr w:rsidR="00DF47DA" w:rsidRPr="004A7507" w14:paraId="231A9B16" w14:textId="77777777" w:rsidTr="00DF47DA">
        <w:trPr>
          <w:divId w:val="2080983081"/>
          <w:tblCellSpacing w:w="15" w:type="dxa"/>
        </w:trPr>
        <w:tc>
          <w:tcPr>
            <w:tcW w:w="280" w:type="pct"/>
            <w:hideMark/>
          </w:tcPr>
          <w:p w14:paraId="61B2A895" w14:textId="77777777" w:rsidR="00DF47DA" w:rsidRDefault="00DF47DA">
            <w:pPr>
              <w:pStyle w:val="Bibliography"/>
              <w:rPr>
                <w:noProof/>
              </w:rPr>
            </w:pPr>
            <w:r>
              <w:rPr>
                <w:noProof/>
              </w:rPr>
              <w:t xml:space="preserve">[141] </w:t>
            </w:r>
          </w:p>
        </w:tc>
        <w:tc>
          <w:tcPr>
            <w:tcW w:w="4675" w:type="pct"/>
            <w:hideMark/>
          </w:tcPr>
          <w:p w14:paraId="1DFA36F2" w14:textId="77777777" w:rsidR="00DF47DA" w:rsidRPr="004A7507" w:rsidRDefault="00DF47DA">
            <w:pPr>
              <w:pStyle w:val="Bibliography"/>
              <w:rPr>
                <w:noProof/>
                <w:lang w:val="fr-FR"/>
              </w:rPr>
            </w:pPr>
            <w:r>
              <w:rPr>
                <w:noProof/>
              </w:rPr>
              <w:t xml:space="preserve">“HSG 51 (third edition) The storage and used of flammable liquids in containers,” 2015. </w:t>
            </w:r>
            <w:r w:rsidRPr="004A7507">
              <w:rPr>
                <w:noProof/>
                <w:lang w:val="fr-FR"/>
              </w:rPr>
              <w:t>[Online]. Available: https://www.hse.gov.uk/pubns/books/hsg51.htm.</w:t>
            </w:r>
          </w:p>
        </w:tc>
      </w:tr>
      <w:tr w:rsidR="00DF47DA" w14:paraId="167C15F7" w14:textId="77777777" w:rsidTr="00DF47DA">
        <w:trPr>
          <w:divId w:val="2080983081"/>
          <w:tblCellSpacing w:w="15" w:type="dxa"/>
        </w:trPr>
        <w:tc>
          <w:tcPr>
            <w:tcW w:w="280" w:type="pct"/>
            <w:hideMark/>
          </w:tcPr>
          <w:p w14:paraId="4EBC652C" w14:textId="77777777" w:rsidR="00DF47DA" w:rsidRDefault="00DF47DA">
            <w:pPr>
              <w:pStyle w:val="Bibliography"/>
              <w:rPr>
                <w:noProof/>
              </w:rPr>
            </w:pPr>
            <w:r>
              <w:rPr>
                <w:noProof/>
              </w:rPr>
              <w:t xml:space="preserve">[142] </w:t>
            </w:r>
          </w:p>
        </w:tc>
        <w:tc>
          <w:tcPr>
            <w:tcW w:w="4675" w:type="pct"/>
            <w:hideMark/>
          </w:tcPr>
          <w:p w14:paraId="2C821C15" w14:textId="77777777" w:rsidR="00DF47DA" w:rsidRDefault="00DF47DA">
            <w:pPr>
              <w:pStyle w:val="Bibliography"/>
              <w:rPr>
                <w:noProof/>
              </w:rPr>
            </w:pPr>
            <w:r>
              <w:rPr>
                <w:noProof/>
              </w:rPr>
              <w:t xml:space="preserve">BCGA GN3 Gas cylinder – Manual handling operations. Revision 4: 2022. </w:t>
            </w:r>
          </w:p>
        </w:tc>
      </w:tr>
      <w:tr w:rsidR="00DF47DA" w14:paraId="09E9EAC1" w14:textId="77777777" w:rsidTr="00DF47DA">
        <w:trPr>
          <w:divId w:val="2080983081"/>
          <w:tblCellSpacing w:w="15" w:type="dxa"/>
        </w:trPr>
        <w:tc>
          <w:tcPr>
            <w:tcW w:w="280" w:type="pct"/>
            <w:hideMark/>
          </w:tcPr>
          <w:p w14:paraId="31637162" w14:textId="77777777" w:rsidR="00DF47DA" w:rsidRDefault="00DF47DA">
            <w:pPr>
              <w:pStyle w:val="Bibliography"/>
              <w:rPr>
                <w:noProof/>
              </w:rPr>
            </w:pPr>
            <w:r>
              <w:rPr>
                <w:noProof/>
              </w:rPr>
              <w:t xml:space="preserve">[143] </w:t>
            </w:r>
          </w:p>
        </w:tc>
        <w:tc>
          <w:tcPr>
            <w:tcW w:w="4675" w:type="pct"/>
            <w:hideMark/>
          </w:tcPr>
          <w:p w14:paraId="4F018F79" w14:textId="77777777" w:rsidR="00DF47DA" w:rsidRDefault="00DF47DA">
            <w:pPr>
              <w:pStyle w:val="Bibliography"/>
              <w:rPr>
                <w:noProof/>
              </w:rPr>
            </w:pPr>
            <w:r>
              <w:rPr>
                <w:noProof/>
              </w:rPr>
              <w:t xml:space="preserve">BCGA GN11 The management of risk when using gases in enclosed workplaces. Revision 4: 2018. </w:t>
            </w:r>
          </w:p>
        </w:tc>
      </w:tr>
      <w:tr w:rsidR="00DF47DA" w14:paraId="7A595AB5" w14:textId="77777777" w:rsidTr="00DF47DA">
        <w:trPr>
          <w:divId w:val="2080983081"/>
          <w:tblCellSpacing w:w="15" w:type="dxa"/>
        </w:trPr>
        <w:tc>
          <w:tcPr>
            <w:tcW w:w="280" w:type="pct"/>
            <w:hideMark/>
          </w:tcPr>
          <w:p w14:paraId="6DDFA0C3" w14:textId="77777777" w:rsidR="00DF47DA" w:rsidRDefault="00DF47DA">
            <w:pPr>
              <w:pStyle w:val="Bibliography"/>
              <w:rPr>
                <w:noProof/>
              </w:rPr>
            </w:pPr>
            <w:r>
              <w:rPr>
                <w:noProof/>
              </w:rPr>
              <w:t xml:space="preserve">[144] </w:t>
            </w:r>
          </w:p>
        </w:tc>
        <w:tc>
          <w:tcPr>
            <w:tcW w:w="4675" w:type="pct"/>
            <w:hideMark/>
          </w:tcPr>
          <w:p w14:paraId="372750F3" w14:textId="77777777" w:rsidR="00DF47DA" w:rsidRDefault="00DF47DA">
            <w:pPr>
              <w:pStyle w:val="Bibliography"/>
              <w:rPr>
                <w:noProof/>
              </w:rPr>
            </w:pPr>
            <w:r>
              <w:rPr>
                <w:noProof/>
              </w:rPr>
              <w:t xml:space="preserve">BCGA DSEAR risk assessment guidance for compressed gases. Revision 1: 2021. </w:t>
            </w:r>
          </w:p>
        </w:tc>
      </w:tr>
      <w:tr w:rsidR="00DF47DA" w14:paraId="629EA1C5" w14:textId="77777777" w:rsidTr="00DF47DA">
        <w:trPr>
          <w:divId w:val="2080983081"/>
          <w:tblCellSpacing w:w="15" w:type="dxa"/>
        </w:trPr>
        <w:tc>
          <w:tcPr>
            <w:tcW w:w="280" w:type="pct"/>
            <w:hideMark/>
          </w:tcPr>
          <w:p w14:paraId="50F9C930" w14:textId="77777777" w:rsidR="00DF47DA" w:rsidRDefault="00DF47DA">
            <w:pPr>
              <w:pStyle w:val="Bibliography"/>
              <w:rPr>
                <w:noProof/>
              </w:rPr>
            </w:pPr>
            <w:r>
              <w:rPr>
                <w:noProof/>
              </w:rPr>
              <w:t xml:space="preserve">[145] </w:t>
            </w:r>
          </w:p>
        </w:tc>
        <w:tc>
          <w:tcPr>
            <w:tcW w:w="4675" w:type="pct"/>
            <w:hideMark/>
          </w:tcPr>
          <w:p w14:paraId="19A824F6" w14:textId="77777777" w:rsidR="00DF47DA" w:rsidRDefault="00DF47DA">
            <w:pPr>
              <w:pStyle w:val="Bibliography"/>
              <w:rPr>
                <w:noProof/>
              </w:rPr>
            </w:pPr>
            <w:r>
              <w:rPr>
                <w:noProof/>
              </w:rPr>
              <w:t xml:space="preserve">BCGA GN41 Separation distances in the gases industry: 2020. </w:t>
            </w:r>
          </w:p>
        </w:tc>
      </w:tr>
      <w:tr w:rsidR="00DF47DA" w14:paraId="2ADE5B82" w14:textId="77777777" w:rsidTr="00DF47DA">
        <w:trPr>
          <w:divId w:val="2080983081"/>
          <w:tblCellSpacing w:w="15" w:type="dxa"/>
        </w:trPr>
        <w:tc>
          <w:tcPr>
            <w:tcW w:w="280" w:type="pct"/>
            <w:hideMark/>
          </w:tcPr>
          <w:p w14:paraId="7AB0E971" w14:textId="77777777" w:rsidR="00DF47DA" w:rsidRDefault="00DF47DA">
            <w:pPr>
              <w:pStyle w:val="Bibliography"/>
              <w:rPr>
                <w:noProof/>
              </w:rPr>
            </w:pPr>
            <w:r>
              <w:rPr>
                <w:noProof/>
              </w:rPr>
              <w:t xml:space="preserve">[146] </w:t>
            </w:r>
          </w:p>
        </w:tc>
        <w:tc>
          <w:tcPr>
            <w:tcW w:w="4675" w:type="pct"/>
            <w:hideMark/>
          </w:tcPr>
          <w:p w14:paraId="6FF87CF3" w14:textId="77777777" w:rsidR="00DF47DA" w:rsidRDefault="00DF47DA">
            <w:pPr>
              <w:pStyle w:val="Bibliography"/>
              <w:rPr>
                <w:noProof/>
              </w:rPr>
            </w:pPr>
            <w:r>
              <w:rPr>
                <w:noProof/>
              </w:rPr>
              <w:t xml:space="preserve">BCGA GN44 Portable or mobile cylinder gas equipment. Thorough inspection: 2021. </w:t>
            </w:r>
          </w:p>
        </w:tc>
      </w:tr>
      <w:tr w:rsidR="00DF47DA" w14:paraId="2F6C44E6" w14:textId="77777777" w:rsidTr="00DF47DA">
        <w:trPr>
          <w:divId w:val="2080983081"/>
          <w:tblCellSpacing w:w="15" w:type="dxa"/>
        </w:trPr>
        <w:tc>
          <w:tcPr>
            <w:tcW w:w="280" w:type="pct"/>
            <w:hideMark/>
          </w:tcPr>
          <w:p w14:paraId="2F694CFD" w14:textId="77777777" w:rsidR="00DF47DA" w:rsidRDefault="00DF47DA">
            <w:pPr>
              <w:pStyle w:val="Bibliography"/>
              <w:rPr>
                <w:noProof/>
              </w:rPr>
            </w:pPr>
            <w:r>
              <w:rPr>
                <w:noProof/>
              </w:rPr>
              <w:t xml:space="preserve">[147] </w:t>
            </w:r>
          </w:p>
        </w:tc>
        <w:tc>
          <w:tcPr>
            <w:tcW w:w="4675" w:type="pct"/>
            <w:hideMark/>
          </w:tcPr>
          <w:p w14:paraId="75BB59AD" w14:textId="77777777" w:rsidR="00DF47DA" w:rsidRDefault="00DF47DA">
            <w:pPr>
              <w:pStyle w:val="Bibliography"/>
              <w:rPr>
                <w:noProof/>
              </w:rPr>
            </w:pPr>
            <w:r>
              <w:rPr>
                <w:noProof/>
              </w:rPr>
              <w:t xml:space="preserve">NFPA 30 Flammable and Combustible Liquids Code (2021). </w:t>
            </w:r>
          </w:p>
        </w:tc>
      </w:tr>
      <w:tr w:rsidR="00DF47DA" w14:paraId="4F35FF73" w14:textId="77777777" w:rsidTr="00DF47DA">
        <w:trPr>
          <w:divId w:val="2080983081"/>
          <w:tblCellSpacing w:w="15" w:type="dxa"/>
        </w:trPr>
        <w:tc>
          <w:tcPr>
            <w:tcW w:w="280" w:type="pct"/>
            <w:hideMark/>
          </w:tcPr>
          <w:p w14:paraId="679BF98E" w14:textId="77777777" w:rsidR="00DF47DA" w:rsidRDefault="00DF47DA">
            <w:pPr>
              <w:pStyle w:val="Bibliography"/>
              <w:rPr>
                <w:noProof/>
              </w:rPr>
            </w:pPr>
            <w:r>
              <w:rPr>
                <w:noProof/>
              </w:rPr>
              <w:t xml:space="preserve">[148] </w:t>
            </w:r>
          </w:p>
        </w:tc>
        <w:tc>
          <w:tcPr>
            <w:tcW w:w="4675" w:type="pct"/>
            <w:hideMark/>
          </w:tcPr>
          <w:p w14:paraId="65C199CB" w14:textId="77777777" w:rsidR="00DF47DA" w:rsidRDefault="00DF47DA">
            <w:pPr>
              <w:pStyle w:val="Bibliography"/>
              <w:rPr>
                <w:noProof/>
              </w:rPr>
            </w:pPr>
            <w:r>
              <w:rPr>
                <w:noProof/>
              </w:rPr>
              <w:t xml:space="preserve">Cooper, T. (1984). Review of Zirconium-Zircaloy Pyrophoricity (RHO-RE-ST-31). Rockwell Hanford Operations for the US Department of Energy. </w:t>
            </w:r>
          </w:p>
        </w:tc>
      </w:tr>
      <w:tr w:rsidR="00DF47DA" w14:paraId="7D4BD44A" w14:textId="77777777" w:rsidTr="00DF47DA">
        <w:trPr>
          <w:divId w:val="2080983081"/>
          <w:tblCellSpacing w:w="15" w:type="dxa"/>
        </w:trPr>
        <w:tc>
          <w:tcPr>
            <w:tcW w:w="280" w:type="pct"/>
            <w:hideMark/>
          </w:tcPr>
          <w:p w14:paraId="6595BE89" w14:textId="77777777" w:rsidR="00DF47DA" w:rsidRDefault="00DF47DA">
            <w:pPr>
              <w:pStyle w:val="Bibliography"/>
              <w:rPr>
                <w:noProof/>
              </w:rPr>
            </w:pPr>
            <w:r>
              <w:rPr>
                <w:noProof/>
              </w:rPr>
              <w:t xml:space="preserve">[149] </w:t>
            </w:r>
          </w:p>
        </w:tc>
        <w:tc>
          <w:tcPr>
            <w:tcW w:w="4675" w:type="pct"/>
            <w:hideMark/>
          </w:tcPr>
          <w:p w14:paraId="3CBB6CDB" w14:textId="77777777" w:rsidR="00DF47DA" w:rsidRDefault="00DF47DA">
            <w:pPr>
              <w:pStyle w:val="Bibliography"/>
              <w:rPr>
                <w:noProof/>
              </w:rPr>
            </w:pPr>
            <w:r>
              <w:rPr>
                <w:noProof/>
              </w:rPr>
              <w:t xml:space="preserve">Westinghouse ,Western Zirconium, Safety Management Procedure E3, Handling of Flammable Metal Fines. Westinghouse 2006. </w:t>
            </w:r>
          </w:p>
        </w:tc>
      </w:tr>
      <w:tr w:rsidR="00DF47DA" w14:paraId="4D816CC2" w14:textId="77777777" w:rsidTr="00DF47DA">
        <w:trPr>
          <w:divId w:val="2080983081"/>
          <w:tblCellSpacing w:w="15" w:type="dxa"/>
        </w:trPr>
        <w:tc>
          <w:tcPr>
            <w:tcW w:w="280" w:type="pct"/>
            <w:hideMark/>
          </w:tcPr>
          <w:p w14:paraId="611C06B4" w14:textId="77777777" w:rsidR="00DF47DA" w:rsidRDefault="00DF47DA">
            <w:pPr>
              <w:pStyle w:val="Bibliography"/>
              <w:rPr>
                <w:noProof/>
              </w:rPr>
            </w:pPr>
            <w:r>
              <w:rPr>
                <w:noProof/>
              </w:rPr>
              <w:t xml:space="preserve">[150] </w:t>
            </w:r>
          </w:p>
        </w:tc>
        <w:tc>
          <w:tcPr>
            <w:tcW w:w="4675" w:type="pct"/>
            <w:hideMark/>
          </w:tcPr>
          <w:p w14:paraId="0B3A0FEB" w14:textId="77777777" w:rsidR="00DF47DA" w:rsidRDefault="00DF47DA">
            <w:pPr>
              <w:pStyle w:val="Bibliography"/>
              <w:rPr>
                <w:noProof/>
              </w:rPr>
            </w:pPr>
            <w:r>
              <w:rPr>
                <w:noProof/>
              </w:rPr>
              <w:t xml:space="preserve">Westinghouse Western Zirconium Operating Procedure, Packaging and Shipping of Swarf. Westinghouse. 2006. </w:t>
            </w:r>
          </w:p>
        </w:tc>
      </w:tr>
      <w:tr w:rsidR="00DF47DA" w14:paraId="0132F131" w14:textId="77777777" w:rsidTr="00DF47DA">
        <w:trPr>
          <w:divId w:val="2080983081"/>
          <w:tblCellSpacing w:w="15" w:type="dxa"/>
        </w:trPr>
        <w:tc>
          <w:tcPr>
            <w:tcW w:w="280" w:type="pct"/>
            <w:hideMark/>
          </w:tcPr>
          <w:p w14:paraId="793625C4" w14:textId="77777777" w:rsidR="00DF47DA" w:rsidRDefault="00DF47DA">
            <w:pPr>
              <w:pStyle w:val="Bibliography"/>
              <w:rPr>
                <w:noProof/>
              </w:rPr>
            </w:pPr>
            <w:r>
              <w:rPr>
                <w:noProof/>
              </w:rPr>
              <w:t xml:space="preserve">[151] </w:t>
            </w:r>
          </w:p>
        </w:tc>
        <w:tc>
          <w:tcPr>
            <w:tcW w:w="4675" w:type="pct"/>
            <w:hideMark/>
          </w:tcPr>
          <w:p w14:paraId="2D53C17F" w14:textId="77777777" w:rsidR="00DF47DA" w:rsidRDefault="00DF47DA">
            <w:pPr>
              <w:pStyle w:val="Bibliography"/>
              <w:rPr>
                <w:noProof/>
              </w:rPr>
            </w:pPr>
            <w:r>
              <w:rPr>
                <w:noProof/>
              </w:rPr>
              <w:t xml:space="preserve">NFPA 484: Standard for Combustible Metals. NFPA 2015. </w:t>
            </w:r>
          </w:p>
        </w:tc>
      </w:tr>
      <w:tr w:rsidR="00DF47DA" w14:paraId="3493ECAD" w14:textId="77777777" w:rsidTr="00DF47DA">
        <w:trPr>
          <w:divId w:val="2080983081"/>
          <w:tblCellSpacing w:w="15" w:type="dxa"/>
        </w:trPr>
        <w:tc>
          <w:tcPr>
            <w:tcW w:w="280" w:type="pct"/>
            <w:hideMark/>
          </w:tcPr>
          <w:p w14:paraId="1A5BA64A" w14:textId="77777777" w:rsidR="00DF47DA" w:rsidRDefault="00DF47DA">
            <w:pPr>
              <w:pStyle w:val="Bibliography"/>
              <w:rPr>
                <w:noProof/>
              </w:rPr>
            </w:pPr>
            <w:r>
              <w:rPr>
                <w:noProof/>
              </w:rPr>
              <w:t xml:space="preserve">[152] </w:t>
            </w:r>
          </w:p>
        </w:tc>
        <w:tc>
          <w:tcPr>
            <w:tcW w:w="4675" w:type="pct"/>
            <w:hideMark/>
          </w:tcPr>
          <w:p w14:paraId="49073548" w14:textId="77777777" w:rsidR="00DF47DA" w:rsidRDefault="00DF47DA">
            <w:pPr>
              <w:pStyle w:val="Bibliography"/>
              <w:rPr>
                <w:noProof/>
              </w:rPr>
            </w:pPr>
            <w:r>
              <w:rPr>
                <w:noProof/>
              </w:rPr>
              <w:t xml:space="preserve">European Regulation (EC) No 1272/2008 on classification, labelling and packaging of substances. </w:t>
            </w:r>
          </w:p>
        </w:tc>
      </w:tr>
      <w:tr w:rsidR="00DF47DA" w14:paraId="750FD46A" w14:textId="77777777" w:rsidTr="00DF47DA">
        <w:trPr>
          <w:divId w:val="2080983081"/>
          <w:tblCellSpacing w:w="15" w:type="dxa"/>
        </w:trPr>
        <w:tc>
          <w:tcPr>
            <w:tcW w:w="280" w:type="pct"/>
            <w:hideMark/>
          </w:tcPr>
          <w:p w14:paraId="29EB7F04" w14:textId="77777777" w:rsidR="00DF47DA" w:rsidRDefault="00DF47DA">
            <w:pPr>
              <w:pStyle w:val="Bibliography"/>
              <w:rPr>
                <w:noProof/>
              </w:rPr>
            </w:pPr>
            <w:r>
              <w:rPr>
                <w:noProof/>
              </w:rPr>
              <w:t xml:space="preserve">[153] </w:t>
            </w:r>
          </w:p>
        </w:tc>
        <w:tc>
          <w:tcPr>
            <w:tcW w:w="4675" w:type="pct"/>
            <w:hideMark/>
          </w:tcPr>
          <w:p w14:paraId="4A7491F2" w14:textId="77777777" w:rsidR="00DF47DA" w:rsidRDefault="00DF47DA">
            <w:pPr>
              <w:pStyle w:val="Bibliography"/>
              <w:rPr>
                <w:noProof/>
              </w:rPr>
            </w:pPr>
            <w:r>
              <w:rPr>
                <w:noProof/>
              </w:rPr>
              <w:t xml:space="preserve">SSI 688 A - Guidance on fire safety at Springfields, Springfields Fuels Ltd. </w:t>
            </w:r>
          </w:p>
        </w:tc>
      </w:tr>
      <w:tr w:rsidR="00DF47DA" w14:paraId="486D4379" w14:textId="77777777" w:rsidTr="00DF47DA">
        <w:trPr>
          <w:divId w:val="2080983081"/>
          <w:tblCellSpacing w:w="15" w:type="dxa"/>
        </w:trPr>
        <w:tc>
          <w:tcPr>
            <w:tcW w:w="280" w:type="pct"/>
            <w:hideMark/>
          </w:tcPr>
          <w:p w14:paraId="7B54EF19" w14:textId="77777777" w:rsidR="00DF47DA" w:rsidRDefault="00DF47DA">
            <w:pPr>
              <w:pStyle w:val="Bibliography"/>
              <w:rPr>
                <w:noProof/>
              </w:rPr>
            </w:pPr>
            <w:r>
              <w:rPr>
                <w:noProof/>
              </w:rPr>
              <w:t xml:space="preserve">[154] </w:t>
            </w:r>
          </w:p>
        </w:tc>
        <w:tc>
          <w:tcPr>
            <w:tcW w:w="4675" w:type="pct"/>
            <w:hideMark/>
          </w:tcPr>
          <w:p w14:paraId="04659762" w14:textId="77777777" w:rsidR="00DF47DA" w:rsidRDefault="00DF47DA">
            <w:pPr>
              <w:pStyle w:val="Bibliography"/>
              <w:rPr>
                <w:noProof/>
              </w:rPr>
            </w:pPr>
            <w:r>
              <w:rPr>
                <w:noProof/>
              </w:rPr>
              <w:t xml:space="preserve">Use of Acetylene and Alternative Fuel Gases for Welding and other Purposes at Springfields. Rev 1 April 2017. Draft, Springfields Fuels Ltd. </w:t>
            </w:r>
          </w:p>
        </w:tc>
      </w:tr>
      <w:tr w:rsidR="00DF47DA" w14:paraId="20C1A098" w14:textId="77777777" w:rsidTr="00DF47DA">
        <w:trPr>
          <w:divId w:val="2080983081"/>
          <w:tblCellSpacing w:w="15" w:type="dxa"/>
        </w:trPr>
        <w:tc>
          <w:tcPr>
            <w:tcW w:w="280" w:type="pct"/>
            <w:hideMark/>
          </w:tcPr>
          <w:p w14:paraId="22C24DA1" w14:textId="77777777" w:rsidR="00DF47DA" w:rsidRDefault="00DF47DA">
            <w:pPr>
              <w:pStyle w:val="Bibliography"/>
              <w:rPr>
                <w:noProof/>
              </w:rPr>
            </w:pPr>
            <w:r>
              <w:rPr>
                <w:noProof/>
              </w:rPr>
              <w:t xml:space="preserve">[155] </w:t>
            </w:r>
          </w:p>
        </w:tc>
        <w:tc>
          <w:tcPr>
            <w:tcW w:w="4675" w:type="pct"/>
            <w:hideMark/>
          </w:tcPr>
          <w:p w14:paraId="1328D6B5" w14:textId="77777777" w:rsidR="00DF47DA" w:rsidRDefault="00DF47DA">
            <w:pPr>
              <w:pStyle w:val="Bibliography"/>
              <w:rPr>
                <w:noProof/>
              </w:rPr>
            </w:pPr>
            <w:r>
              <w:rPr>
                <w:noProof/>
              </w:rPr>
              <w:t xml:space="preserve">British Standards Institute, BS EN 13501-1, Fire Classification of construction products and building elements. Classification using data from reaction to fire tests, 2018. </w:t>
            </w:r>
          </w:p>
        </w:tc>
      </w:tr>
      <w:tr w:rsidR="00DF47DA" w14:paraId="4F286352" w14:textId="77777777" w:rsidTr="00DF47DA">
        <w:trPr>
          <w:divId w:val="2080983081"/>
          <w:tblCellSpacing w:w="15" w:type="dxa"/>
        </w:trPr>
        <w:tc>
          <w:tcPr>
            <w:tcW w:w="280" w:type="pct"/>
            <w:hideMark/>
          </w:tcPr>
          <w:p w14:paraId="3F3A9B98" w14:textId="77777777" w:rsidR="00DF47DA" w:rsidRDefault="00DF47DA">
            <w:pPr>
              <w:pStyle w:val="Bibliography"/>
              <w:rPr>
                <w:noProof/>
              </w:rPr>
            </w:pPr>
            <w:r>
              <w:rPr>
                <w:noProof/>
              </w:rPr>
              <w:t xml:space="preserve">[156] </w:t>
            </w:r>
          </w:p>
        </w:tc>
        <w:tc>
          <w:tcPr>
            <w:tcW w:w="4675" w:type="pct"/>
            <w:hideMark/>
          </w:tcPr>
          <w:p w14:paraId="466FEEC9" w14:textId="77777777" w:rsidR="00DF47DA" w:rsidRDefault="00DF47DA">
            <w:pPr>
              <w:pStyle w:val="Bibliography"/>
              <w:rPr>
                <w:noProof/>
              </w:rPr>
            </w:pPr>
            <w:r>
              <w:rPr>
                <w:noProof/>
              </w:rPr>
              <w:t xml:space="preserve">Continued Operations Safety Case – Oxide Fuels Complex Building A686 and Associated Facilities A670 and A695. Criticality Safety Assessment of General Plant Operations. M L Ferris. November 2015. A686COSCD3.18. </w:t>
            </w:r>
          </w:p>
        </w:tc>
      </w:tr>
      <w:tr w:rsidR="00DF47DA" w14:paraId="2BFF06AC" w14:textId="77777777" w:rsidTr="00DF47DA">
        <w:trPr>
          <w:divId w:val="2080983081"/>
          <w:tblCellSpacing w:w="15" w:type="dxa"/>
        </w:trPr>
        <w:tc>
          <w:tcPr>
            <w:tcW w:w="280" w:type="pct"/>
            <w:hideMark/>
          </w:tcPr>
          <w:p w14:paraId="5B771382" w14:textId="77777777" w:rsidR="00DF47DA" w:rsidRDefault="00DF47DA">
            <w:pPr>
              <w:pStyle w:val="Bibliography"/>
              <w:rPr>
                <w:noProof/>
              </w:rPr>
            </w:pPr>
            <w:r>
              <w:rPr>
                <w:noProof/>
              </w:rPr>
              <w:t xml:space="preserve">[157] </w:t>
            </w:r>
          </w:p>
        </w:tc>
        <w:tc>
          <w:tcPr>
            <w:tcW w:w="4675" w:type="pct"/>
            <w:hideMark/>
          </w:tcPr>
          <w:p w14:paraId="02345073" w14:textId="77777777" w:rsidR="00DF47DA" w:rsidRDefault="00DF47DA">
            <w:pPr>
              <w:pStyle w:val="Bibliography"/>
              <w:rPr>
                <w:noProof/>
              </w:rPr>
            </w:pPr>
            <w:r>
              <w:rPr>
                <w:noProof/>
              </w:rPr>
              <w:t xml:space="preserve">Loss Prevention Standard 1181 Issue 1 Series of fire growth tests for LPCB approval and listing of construction product systems. Part 1: Requirements and tests for built-up cladding and sandwich panel systems for use as the external envelope of buildings. </w:t>
            </w:r>
          </w:p>
        </w:tc>
      </w:tr>
      <w:tr w:rsidR="00DF47DA" w14:paraId="221B7C51" w14:textId="77777777" w:rsidTr="00DF47DA">
        <w:trPr>
          <w:divId w:val="2080983081"/>
          <w:tblCellSpacing w:w="15" w:type="dxa"/>
        </w:trPr>
        <w:tc>
          <w:tcPr>
            <w:tcW w:w="280" w:type="pct"/>
            <w:hideMark/>
          </w:tcPr>
          <w:p w14:paraId="71AFC57B" w14:textId="77777777" w:rsidR="00DF47DA" w:rsidRDefault="00DF47DA">
            <w:pPr>
              <w:pStyle w:val="Bibliography"/>
              <w:rPr>
                <w:noProof/>
              </w:rPr>
            </w:pPr>
            <w:r>
              <w:rPr>
                <w:noProof/>
              </w:rPr>
              <w:t xml:space="preserve">[158] </w:t>
            </w:r>
          </w:p>
        </w:tc>
        <w:tc>
          <w:tcPr>
            <w:tcW w:w="4675" w:type="pct"/>
            <w:hideMark/>
          </w:tcPr>
          <w:p w14:paraId="7F37FE16" w14:textId="77777777" w:rsidR="00DF47DA" w:rsidRDefault="00DF47DA">
            <w:pPr>
              <w:pStyle w:val="Bibliography"/>
              <w:rPr>
                <w:noProof/>
              </w:rPr>
            </w:pPr>
            <w:r>
              <w:rPr>
                <w:noProof/>
              </w:rPr>
              <w:t xml:space="preserve">Office for Nuclear Regulation, Springfields Site Inspection IR 21-037, https://www.onr.org.uk/inspection-records/2122/springfields-21-037.htm. </w:t>
            </w:r>
          </w:p>
        </w:tc>
      </w:tr>
      <w:tr w:rsidR="00DF47DA" w14:paraId="0D5F1543" w14:textId="77777777" w:rsidTr="00DF47DA">
        <w:trPr>
          <w:divId w:val="2080983081"/>
          <w:tblCellSpacing w:w="15" w:type="dxa"/>
        </w:trPr>
        <w:tc>
          <w:tcPr>
            <w:tcW w:w="280" w:type="pct"/>
            <w:hideMark/>
          </w:tcPr>
          <w:p w14:paraId="137CFFAD" w14:textId="77777777" w:rsidR="00DF47DA" w:rsidRDefault="00DF47DA">
            <w:pPr>
              <w:pStyle w:val="Bibliography"/>
              <w:rPr>
                <w:noProof/>
              </w:rPr>
            </w:pPr>
            <w:r>
              <w:rPr>
                <w:noProof/>
              </w:rPr>
              <w:t xml:space="preserve">[159] </w:t>
            </w:r>
          </w:p>
        </w:tc>
        <w:tc>
          <w:tcPr>
            <w:tcW w:w="4675" w:type="pct"/>
            <w:hideMark/>
          </w:tcPr>
          <w:p w14:paraId="3D6957EE" w14:textId="77777777" w:rsidR="00DF47DA" w:rsidRDefault="00DF47DA">
            <w:pPr>
              <w:pStyle w:val="Bibliography"/>
              <w:rPr>
                <w:noProof/>
              </w:rPr>
            </w:pPr>
            <w:r>
              <w:rPr>
                <w:noProof/>
              </w:rPr>
              <w:t xml:space="preserve">Sellafield Ltd., Sellafield Contractor Standard 029 – Fire Safety. </w:t>
            </w:r>
          </w:p>
        </w:tc>
      </w:tr>
      <w:tr w:rsidR="00DF47DA" w14:paraId="180204F0" w14:textId="77777777" w:rsidTr="00DF47DA">
        <w:trPr>
          <w:divId w:val="2080983081"/>
          <w:tblCellSpacing w:w="15" w:type="dxa"/>
        </w:trPr>
        <w:tc>
          <w:tcPr>
            <w:tcW w:w="280" w:type="pct"/>
            <w:hideMark/>
          </w:tcPr>
          <w:p w14:paraId="13BF6FFA" w14:textId="77777777" w:rsidR="00DF47DA" w:rsidRDefault="00DF47DA">
            <w:pPr>
              <w:pStyle w:val="Bibliography"/>
              <w:rPr>
                <w:noProof/>
              </w:rPr>
            </w:pPr>
            <w:r>
              <w:rPr>
                <w:noProof/>
              </w:rPr>
              <w:t xml:space="preserve">[160] </w:t>
            </w:r>
          </w:p>
        </w:tc>
        <w:tc>
          <w:tcPr>
            <w:tcW w:w="4675" w:type="pct"/>
            <w:hideMark/>
          </w:tcPr>
          <w:p w14:paraId="32378BFC" w14:textId="77777777" w:rsidR="00DF47DA" w:rsidRDefault="00DF47DA">
            <w:pPr>
              <w:pStyle w:val="Bibliography"/>
              <w:rPr>
                <w:noProof/>
              </w:rPr>
            </w:pPr>
            <w:r>
              <w:rPr>
                <w:noProof/>
              </w:rPr>
              <w:t xml:space="preserve">Office for Nuclear Regulation, Dounreay Site Inspection IR 22-049, https://news.onr.org.uk/2022/09/dounreay-22-049/. </w:t>
            </w:r>
          </w:p>
        </w:tc>
      </w:tr>
      <w:tr w:rsidR="00DF47DA" w14:paraId="75B01211" w14:textId="77777777" w:rsidTr="00DF47DA">
        <w:trPr>
          <w:divId w:val="2080983081"/>
          <w:tblCellSpacing w:w="15" w:type="dxa"/>
        </w:trPr>
        <w:tc>
          <w:tcPr>
            <w:tcW w:w="280" w:type="pct"/>
            <w:hideMark/>
          </w:tcPr>
          <w:p w14:paraId="20841C1E" w14:textId="77777777" w:rsidR="00DF47DA" w:rsidRDefault="00DF47DA">
            <w:pPr>
              <w:pStyle w:val="Bibliography"/>
              <w:rPr>
                <w:noProof/>
              </w:rPr>
            </w:pPr>
            <w:r>
              <w:rPr>
                <w:noProof/>
              </w:rPr>
              <w:t xml:space="preserve">[161] </w:t>
            </w:r>
          </w:p>
        </w:tc>
        <w:tc>
          <w:tcPr>
            <w:tcW w:w="4675" w:type="pct"/>
            <w:hideMark/>
          </w:tcPr>
          <w:p w14:paraId="073775D5" w14:textId="77777777" w:rsidR="00DF47DA" w:rsidRDefault="00DF47DA">
            <w:pPr>
              <w:pStyle w:val="Bibliography"/>
              <w:rPr>
                <w:noProof/>
              </w:rPr>
            </w:pPr>
            <w:r>
              <w:rPr>
                <w:noProof/>
              </w:rPr>
              <w:t xml:space="preserve">British Standards Institute, BS EN 12845:2015 Fixed firefighting systems - automatic sprinkler systems - design, installation and maintenance (+A1:2019) (Incorporating corrigenda December 2015 and January 2016), 2015. </w:t>
            </w:r>
          </w:p>
        </w:tc>
      </w:tr>
      <w:tr w:rsidR="00DF47DA" w:rsidRPr="004A7507" w14:paraId="622E0D62" w14:textId="77777777" w:rsidTr="00DF47DA">
        <w:trPr>
          <w:divId w:val="2080983081"/>
          <w:tblCellSpacing w:w="15" w:type="dxa"/>
        </w:trPr>
        <w:tc>
          <w:tcPr>
            <w:tcW w:w="280" w:type="pct"/>
            <w:hideMark/>
          </w:tcPr>
          <w:p w14:paraId="7EB1FE06" w14:textId="77777777" w:rsidR="00DF47DA" w:rsidRDefault="00DF47DA">
            <w:pPr>
              <w:pStyle w:val="Bibliography"/>
              <w:rPr>
                <w:noProof/>
              </w:rPr>
            </w:pPr>
            <w:r>
              <w:rPr>
                <w:noProof/>
              </w:rPr>
              <w:t xml:space="preserve">[162] </w:t>
            </w:r>
          </w:p>
        </w:tc>
        <w:tc>
          <w:tcPr>
            <w:tcW w:w="4675" w:type="pct"/>
            <w:hideMark/>
          </w:tcPr>
          <w:p w14:paraId="0D6B2318" w14:textId="77777777" w:rsidR="00DF47DA" w:rsidRPr="004A7507" w:rsidRDefault="00DF47DA">
            <w:pPr>
              <w:pStyle w:val="Bibliography"/>
              <w:rPr>
                <w:noProof/>
                <w:lang w:val="fr-FR"/>
              </w:rPr>
            </w:pPr>
            <w:r>
              <w:rPr>
                <w:noProof/>
              </w:rPr>
              <w:t xml:space="preserve">ONR, “Inspection to ensure compliance with the Fire (Scotland) Act 2005, IR 20-042,” September 2020. </w:t>
            </w:r>
            <w:r w:rsidRPr="004A7507">
              <w:rPr>
                <w:noProof/>
                <w:lang w:val="fr-FR"/>
              </w:rPr>
              <w:t>[Online]. Available: https://www.onr.org.uk/inspection-records/2021/hunterston-b-20-042.htm.</w:t>
            </w:r>
          </w:p>
        </w:tc>
      </w:tr>
      <w:tr w:rsidR="00DF47DA" w:rsidRPr="004A7507" w14:paraId="6E52F727" w14:textId="77777777" w:rsidTr="00DF47DA">
        <w:trPr>
          <w:divId w:val="2080983081"/>
          <w:tblCellSpacing w:w="15" w:type="dxa"/>
        </w:trPr>
        <w:tc>
          <w:tcPr>
            <w:tcW w:w="280" w:type="pct"/>
            <w:hideMark/>
          </w:tcPr>
          <w:p w14:paraId="1BC45540" w14:textId="77777777" w:rsidR="00DF47DA" w:rsidRDefault="00DF47DA">
            <w:pPr>
              <w:pStyle w:val="Bibliography"/>
              <w:rPr>
                <w:noProof/>
              </w:rPr>
            </w:pPr>
            <w:r>
              <w:rPr>
                <w:noProof/>
              </w:rPr>
              <w:t xml:space="preserve">[163] </w:t>
            </w:r>
          </w:p>
        </w:tc>
        <w:tc>
          <w:tcPr>
            <w:tcW w:w="4675" w:type="pct"/>
            <w:hideMark/>
          </w:tcPr>
          <w:p w14:paraId="56073A43" w14:textId="77777777" w:rsidR="00DF47DA" w:rsidRPr="004A7507" w:rsidRDefault="00DF47DA">
            <w:pPr>
              <w:pStyle w:val="Bibliography"/>
              <w:rPr>
                <w:noProof/>
                <w:lang w:val="fr-FR"/>
              </w:rPr>
            </w:pPr>
            <w:r>
              <w:rPr>
                <w:noProof/>
              </w:rPr>
              <w:t xml:space="preserve">ONR, “Site inspection to ensure compliance with the Regulatory Reform (Fire Safety) Order 2005, IR 21-035,” June 2021. </w:t>
            </w:r>
            <w:r w:rsidRPr="004A7507">
              <w:rPr>
                <w:noProof/>
                <w:lang w:val="fr-FR"/>
              </w:rPr>
              <w:t>[Online]. Available: https://www.onr.org.uk/inspection-records/2122/hinkley-point-b-21-035.htm.</w:t>
            </w:r>
          </w:p>
        </w:tc>
      </w:tr>
      <w:tr w:rsidR="00DF47DA" w:rsidRPr="004A7507" w14:paraId="08ECED15" w14:textId="77777777" w:rsidTr="00DF47DA">
        <w:trPr>
          <w:divId w:val="2080983081"/>
          <w:tblCellSpacing w:w="15" w:type="dxa"/>
        </w:trPr>
        <w:tc>
          <w:tcPr>
            <w:tcW w:w="280" w:type="pct"/>
            <w:hideMark/>
          </w:tcPr>
          <w:p w14:paraId="7FE072B3" w14:textId="77777777" w:rsidR="00DF47DA" w:rsidRDefault="00DF47DA">
            <w:pPr>
              <w:pStyle w:val="Bibliography"/>
              <w:rPr>
                <w:noProof/>
              </w:rPr>
            </w:pPr>
            <w:r>
              <w:rPr>
                <w:noProof/>
              </w:rPr>
              <w:t xml:space="preserve">[164] </w:t>
            </w:r>
          </w:p>
        </w:tc>
        <w:tc>
          <w:tcPr>
            <w:tcW w:w="4675" w:type="pct"/>
            <w:hideMark/>
          </w:tcPr>
          <w:p w14:paraId="609D2DA5" w14:textId="77777777" w:rsidR="00DF47DA" w:rsidRPr="004A7507" w:rsidRDefault="00DF47DA">
            <w:pPr>
              <w:pStyle w:val="Bibliography"/>
              <w:rPr>
                <w:noProof/>
                <w:lang w:val="fr-FR"/>
              </w:rPr>
            </w:pPr>
            <w:r>
              <w:rPr>
                <w:noProof/>
              </w:rPr>
              <w:t xml:space="preserve">ONR, “Fire Safety Order 2005 inspection, IR 21-061,” 2021. </w:t>
            </w:r>
            <w:r w:rsidRPr="004A7507">
              <w:rPr>
                <w:noProof/>
                <w:lang w:val="fr-FR"/>
              </w:rPr>
              <w:t>[Online]. Available: https://www.onr.org.uk/inspection-records/2122/hartlepool-21-061.htm.</w:t>
            </w:r>
          </w:p>
        </w:tc>
      </w:tr>
      <w:tr w:rsidR="00DF47DA" w:rsidRPr="004A7507" w14:paraId="31D35C52" w14:textId="77777777" w:rsidTr="00DF47DA">
        <w:trPr>
          <w:divId w:val="2080983081"/>
          <w:tblCellSpacing w:w="15" w:type="dxa"/>
        </w:trPr>
        <w:tc>
          <w:tcPr>
            <w:tcW w:w="280" w:type="pct"/>
            <w:hideMark/>
          </w:tcPr>
          <w:p w14:paraId="045005D1" w14:textId="77777777" w:rsidR="00DF47DA" w:rsidRDefault="00DF47DA">
            <w:pPr>
              <w:pStyle w:val="Bibliography"/>
              <w:rPr>
                <w:noProof/>
              </w:rPr>
            </w:pPr>
            <w:r>
              <w:rPr>
                <w:noProof/>
              </w:rPr>
              <w:t xml:space="preserve">[165] </w:t>
            </w:r>
          </w:p>
        </w:tc>
        <w:tc>
          <w:tcPr>
            <w:tcW w:w="4675" w:type="pct"/>
            <w:hideMark/>
          </w:tcPr>
          <w:p w14:paraId="0CFBC579" w14:textId="77777777" w:rsidR="00DF47DA" w:rsidRPr="004A7507" w:rsidRDefault="00DF47DA">
            <w:pPr>
              <w:pStyle w:val="Bibliography"/>
              <w:rPr>
                <w:noProof/>
                <w:lang w:val="fr-FR"/>
              </w:rPr>
            </w:pPr>
            <w:r>
              <w:rPr>
                <w:noProof/>
              </w:rPr>
              <w:t xml:space="preserve">ONR, “Heysham 2 – Inspection IR 22-014,” 2022. [Online]. </w:t>
            </w:r>
            <w:r w:rsidRPr="004A7507">
              <w:rPr>
                <w:noProof/>
                <w:lang w:val="fr-FR"/>
              </w:rPr>
              <w:t>Available: https://news.onr.org.uk/2022/06/heysham-2-22-014/.</w:t>
            </w:r>
          </w:p>
        </w:tc>
      </w:tr>
      <w:tr w:rsidR="00DF47DA" w14:paraId="5B93A865" w14:textId="77777777" w:rsidTr="00DF47DA">
        <w:trPr>
          <w:divId w:val="2080983081"/>
          <w:tblCellSpacing w:w="15" w:type="dxa"/>
        </w:trPr>
        <w:tc>
          <w:tcPr>
            <w:tcW w:w="280" w:type="pct"/>
            <w:hideMark/>
          </w:tcPr>
          <w:p w14:paraId="14897375" w14:textId="77777777" w:rsidR="00DF47DA" w:rsidRDefault="00DF47DA">
            <w:pPr>
              <w:pStyle w:val="Bibliography"/>
              <w:rPr>
                <w:noProof/>
              </w:rPr>
            </w:pPr>
            <w:r>
              <w:rPr>
                <w:noProof/>
              </w:rPr>
              <w:t xml:space="preserve">[166] </w:t>
            </w:r>
          </w:p>
        </w:tc>
        <w:tc>
          <w:tcPr>
            <w:tcW w:w="4675" w:type="pct"/>
            <w:hideMark/>
          </w:tcPr>
          <w:p w14:paraId="781F15C9" w14:textId="77777777" w:rsidR="00DF47DA" w:rsidRDefault="00DF47DA">
            <w:pPr>
              <w:pStyle w:val="Bibliography"/>
              <w:rPr>
                <w:noProof/>
              </w:rPr>
            </w:pPr>
            <w:r>
              <w:rPr>
                <w:noProof/>
              </w:rPr>
              <w:t xml:space="preserve">NNB GenCo, TeamCenter No. 100567408 – JDT – SDM P2 – System Operation, Revision G, 2021. </w:t>
            </w:r>
          </w:p>
        </w:tc>
      </w:tr>
      <w:tr w:rsidR="00DF47DA" w14:paraId="7EB24E1F" w14:textId="77777777" w:rsidTr="00DF47DA">
        <w:trPr>
          <w:divId w:val="2080983081"/>
          <w:tblCellSpacing w:w="15" w:type="dxa"/>
        </w:trPr>
        <w:tc>
          <w:tcPr>
            <w:tcW w:w="280" w:type="pct"/>
            <w:hideMark/>
          </w:tcPr>
          <w:p w14:paraId="4AB00594" w14:textId="77777777" w:rsidR="00DF47DA" w:rsidRDefault="00DF47DA">
            <w:pPr>
              <w:pStyle w:val="Bibliography"/>
              <w:rPr>
                <w:noProof/>
              </w:rPr>
            </w:pPr>
            <w:r>
              <w:rPr>
                <w:noProof/>
              </w:rPr>
              <w:t xml:space="preserve">[167] </w:t>
            </w:r>
          </w:p>
        </w:tc>
        <w:tc>
          <w:tcPr>
            <w:tcW w:w="4675" w:type="pct"/>
            <w:hideMark/>
          </w:tcPr>
          <w:p w14:paraId="5DD2E544" w14:textId="77777777" w:rsidR="00DF47DA" w:rsidRDefault="00DF47DA">
            <w:pPr>
              <w:pStyle w:val="Bibliography"/>
              <w:rPr>
                <w:noProof/>
              </w:rPr>
            </w:pPr>
            <w:r>
              <w:rPr>
                <w:noProof/>
              </w:rPr>
              <w:t xml:space="preserve">NNB GenCo, TeamCenter No. 100567443 - HPC-UK1421-AU-JPI-SDM-001687 - JPI [NIFPS] Elementary System - Protection and distribution of NI firefighting system - P2 – System Operation, Revision G, 2020. </w:t>
            </w:r>
          </w:p>
        </w:tc>
      </w:tr>
      <w:tr w:rsidR="00DF47DA" w14:paraId="57B16F57" w14:textId="77777777" w:rsidTr="00DF47DA">
        <w:trPr>
          <w:divId w:val="2080983081"/>
          <w:tblCellSpacing w:w="15" w:type="dxa"/>
        </w:trPr>
        <w:tc>
          <w:tcPr>
            <w:tcW w:w="280" w:type="pct"/>
            <w:hideMark/>
          </w:tcPr>
          <w:p w14:paraId="196BF519" w14:textId="77777777" w:rsidR="00DF47DA" w:rsidRDefault="00DF47DA">
            <w:pPr>
              <w:pStyle w:val="Bibliography"/>
              <w:rPr>
                <w:noProof/>
              </w:rPr>
            </w:pPr>
            <w:r>
              <w:rPr>
                <w:noProof/>
              </w:rPr>
              <w:t xml:space="preserve">[168] </w:t>
            </w:r>
          </w:p>
        </w:tc>
        <w:tc>
          <w:tcPr>
            <w:tcW w:w="4675" w:type="pct"/>
            <w:hideMark/>
          </w:tcPr>
          <w:p w14:paraId="5DA6810B" w14:textId="77777777" w:rsidR="00DF47DA" w:rsidRDefault="00DF47DA">
            <w:pPr>
              <w:pStyle w:val="Bibliography"/>
              <w:rPr>
                <w:noProof/>
              </w:rPr>
            </w:pPr>
            <w:r>
              <w:rPr>
                <w:noProof/>
              </w:rPr>
              <w:t xml:space="preserve">NNB GenCo, TeamCenter No. 100568309 - HPC-UK1421-U9-JPI-SDM-001753 - 9JPI [ETBFPS] Elementary System Nuclear Island Protection and Fire-Fighting Water Distribution System: Revision G, 2021. </w:t>
            </w:r>
          </w:p>
        </w:tc>
      </w:tr>
      <w:tr w:rsidR="00DF47DA" w14:paraId="582E9DDD" w14:textId="77777777" w:rsidTr="00DF47DA">
        <w:trPr>
          <w:divId w:val="2080983081"/>
          <w:tblCellSpacing w:w="15" w:type="dxa"/>
        </w:trPr>
        <w:tc>
          <w:tcPr>
            <w:tcW w:w="280" w:type="pct"/>
            <w:hideMark/>
          </w:tcPr>
          <w:p w14:paraId="4D094F78" w14:textId="77777777" w:rsidR="00DF47DA" w:rsidRDefault="00DF47DA">
            <w:pPr>
              <w:pStyle w:val="Bibliography"/>
              <w:rPr>
                <w:noProof/>
              </w:rPr>
            </w:pPr>
            <w:r>
              <w:rPr>
                <w:noProof/>
              </w:rPr>
              <w:t xml:space="preserve">[169] </w:t>
            </w:r>
          </w:p>
        </w:tc>
        <w:tc>
          <w:tcPr>
            <w:tcW w:w="4675" w:type="pct"/>
            <w:hideMark/>
          </w:tcPr>
          <w:p w14:paraId="793A99E3" w14:textId="77777777" w:rsidR="00DF47DA" w:rsidRDefault="00DF47DA">
            <w:pPr>
              <w:pStyle w:val="Bibliography"/>
              <w:rPr>
                <w:noProof/>
              </w:rPr>
            </w:pPr>
            <w:r>
              <w:rPr>
                <w:noProof/>
              </w:rPr>
              <w:t xml:space="preserve">NNB GenCo, TeamCenter No. 100547116 - HPC-ETSIEX-AU-JPD-SDM-000248 - System Design Manual JPD – Part 2 System Operation: Revision D, 2021. </w:t>
            </w:r>
          </w:p>
        </w:tc>
      </w:tr>
      <w:tr w:rsidR="00DF47DA" w14:paraId="4A0CC92F" w14:textId="77777777" w:rsidTr="00DF47DA">
        <w:trPr>
          <w:divId w:val="2080983081"/>
          <w:tblCellSpacing w:w="15" w:type="dxa"/>
        </w:trPr>
        <w:tc>
          <w:tcPr>
            <w:tcW w:w="280" w:type="pct"/>
            <w:hideMark/>
          </w:tcPr>
          <w:p w14:paraId="0F6AFFA1" w14:textId="77777777" w:rsidR="00DF47DA" w:rsidRDefault="00DF47DA">
            <w:pPr>
              <w:pStyle w:val="Bibliography"/>
              <w:rPr>
                <w:noProof/>
              </w:rPr>
            </w:pPr>
            <w:r>
              <w:rPr>
                <w:noProof/>
              </w:rPr>
              <w:t xml:space="preserve">[170] </w:t>
            </w:r>
          </w:p>
        </w:tc>
        <w:tc>
          <w:tcPr>
            <w:tcW w:w="4675" w:type="pct"/>
            <w:hideMark/>
          </w:tcPr>
          <w:p w14:paraId="16DD7CE3" w14:textId="77777777" w:rsidR="00DF47DA" w:rsidRDefault="00DF47DA">
            <w:pPr>
              <w:pStyle w:val="Bibliography"/>
              <w:rPr>
                <w:noProof/>
              </w:rPr>
            </w:pPr>
            <w:r>
              <w:rPr>
                <w:noProof/>
              </w:rPr>
              <w:t xml:space="preserve">NNB GenCo, TeamCenter No. 100567436 - HPC-UK1421-AU-JPV-SDM-001694 - JPV Elementary System Diesel Protection and Fire-Fighting Water Distribution System P2 System Operation: Revision F, 2020. </w:t>
            </w:r>
          </w:p>
        </w:tc>
      </w:tr>
      <w:tr w:rsidR="00DF47DA" w14:paraId="7402457F" w14:textId="77777777" w:rsidTr="00DF47DA">
        <w:trPr>
          <w:divId w:val="2080983081"/>
          <w:tblCellSpacing w:w="15" w:type="dxa"/>
        </w:trPr>
        <w:tc>
          <w:tcPr>
            <w:tcW w:w="280" w:type="pct"/>
            <w:hideMark/>
          </w:tcPr>
          <w:p w14:paraId="678EFD2B" w14:textId="77777777" w:rsidR="00DF47DA" w:rsidRDefault="00DF47DA">
            <w:pPr>
              <w:pStyle w:val="Bibliography"/>
              <w:rPr>
                <w:noProof/>
              </w:rPr>
            </w:pPr>
            <w:r>
              <w:rPr>
                <w:noProof/>
              </w:rPr>
              <w:t xml:space="preserve">[171] </w:t>
            </w:r>
          </w:p>
        </w:tc>
        <w:tc>
          <w:tcPr>
            <w:tcW w:w="4675" w:type="pct"/>
            <w:hideMark/>
          </w:tcPr>
          <w:p w14:paraId="73934671" w14:textId="77777777" w:rsidR="00DF47DA" w:rsidRDefault="00DF47DA">
            <w:pPr>
              <w:pStyle w:val="Bibliography"/>
              <w:rPr>
                <w:noProof/>
              </w:rPr>
            </w:pPr>
            <w:r>
              <w:rPr>
                <w:noProof/>
              </w:rPr>
              <w:t xml:space="preserve">NNB GenCo, TeamCenter No. 100395019 - HPC-UK3011-AU-JPH-SDM-100000 - SDM P2 (2.1 to 2.4) JPH Turbine Hall Oil Tank Protection And Fire-Fighting Water Distribution System - Revision E, 2022. </w:t>
            </w:r>
          </w:p>
        </w:tc>
      </w:tr>
      <w:tr w:rsidR="00DF47DA" w14:paraId="22B7393F" w14:textId="77777777" w:rsidTr="00DF47DA">
        <w:trPr>
          <w:divId w:val="2080983081"/>
          <w:tblCellSpacing w:w="15" w:type="dxa"/>
        </w:trPr>
        <w:tc>
          <w:tcPr>
            <w:tcW w:w="280" w:type="pct"/>
            <w:hideMark/>
          </w:tcPr>
          <w:p w14:paraId="1631216F" w14:textId="77777777" w:rsidR="00DF47DA" w:rsidRDefault="00DF47DA">
            <w:pPr>
              <w:pStyle w:val="Bibliography"/>
              <w:rPr>
                <w:noProof/>
              </w:rPr>
            </w:pPr>
            <w:r>
              <w:rPr>
                <w:noProof/>
              </w:rPr>
              <w:t xml:space="preserve">[172] </w:t>
            </w:r>
          </w:p>
        </w:tc>
        <w:tc>
          <w:tcPr>
            <w:tcW w:w="4675" w:type="pct"/>
            <w:hideMark/>
          </w:tcPr>
          <w:p w14:paraId="75DC6262" w14:textId="77777777" w:rsidR="00DF47DA" w:rsidRDefault="00DF47DA">
            <w:pPr>
              <w:pStyle w:val="Bibliography"/>
              <w:rPr>
                <w:noProof/>
              </w:rPr>
            </w:pPr>
            <w:r>
              <w:rPr>
                <w:noProof/>
              </w:rPr>
              <w:t xml:space="preserve">NNB GenCo, TeamCenter No. 100546669 - HPC-ETSIEX-AU-JPT-SDM-000172 – SDM JPT P2, Revision 004, 2021. </w:t>
            </w:r>
          </w:p>
        </w:tc>
      </w:tr>
      <w:tr w:rsidR="00DF47DA" w14:paraId="35E03398" w14:textId="77777777" w:rsidTr="00DF47DA">
        <w:trPr>
          <w:divId w:val="2080983081"/>
          <w:tblCellSpacing w:w="15" w:type="dxa"/>
        </w:trPr>
        <w:tc>
          <w:tcPr>
            <w:tcW w:w="280" w:type="pct"/>
            <w:hideMark/>
          </w:tcPr>
          <w:p w14:paraId="6A1BF23D" w14:textId="77777777" w:rsidR="00DF47DA" w:rsidRDefault="00DF47DA">
            <w:pPr>
              <w:pStyle w:val="Bibliography"/>
              <w:rPr>
                <w:noProof/>
              </w:rPr>
            </w:pPr>
            <w:r>
              <w:rPr>
                <w:noProof/>
              </w:rPr>
              <w:t xml:space="preserve">[173] </w:t>
            </w:r>
          </w:p>
        </w:tc>
        <w:tc>
          <w:tcPr>
            <w:tcW w:w="4675" w:type="pct"/>
            <w:hideMark/>
          </w:tcPr>
          <w:p w14:paraId="4D28EB85" w14:textId="77777777" w:rsidR="00DF47DA" w:rsidRDefault="00DF47DA">
            <w:pPr>
              <w:pStyle w:val="Bibliography"/>
              <w:rPr>
                <w:noProof/>
              </w:rPr>
            </w:pPr>
            <w:r>
              <w:rPr>
                <w:noProof/>
              </w:rPr>
              <w:t xml:space="preserve">NNB GenCo, TeamCenter No. 100873329 - HPC-5194588-U0-HUM-MAN-500002 - HUM AND HDU STAGE 4 0JPU System Design Manual P2 - System Operation, Revision 003, 2023. </w:t>
            </w:r>
          </w:p>
        </w:tc>
      </w:tr>
      <w:tr w:rsidR="00DF47DA" w14:paraId="4B99411D" w14:textId="77777777" w:rsidTr="00DF47DA">
        <w:trPr>
          <w:divId w:val="2080983081"/>
          <w:tblCellSpacing w:w="15" w:type="dxa"/>
        </w:trPr>
        <w:tc>
          <w:tcPr>
            <w:tcW w:w="280" w:type="pct"/>
            <w:hideMark/>
          </w:tcPr>
          <w:p w14:paraId="752825BB" w14:textId="77777777" w:rsidR="00DF47DA" w:rsidRDefault="00DF47DA">
            <w:pPr>
              <w:pStyle w:val="Bibliography"/>
              <w:rPr>
                <w:noProof/>
              </w:rPr>
            </w:pPr>
            <w:r>
              <w:rPr>
                <w:noProof/>
              </w:rPr>
              <w:t xml:space="preserve">[174] </w:t>
            </w:r>
          </w:p>
        </w:tc>
        <w:tc>
          <w:tcPr>
            <w:tcW w:w="4675" w:type="pct"/>
            <w:hideMark/>
          </w:tcPr>
          <w:p w14:paraId="203C7D22" w14:textId="77777777" w:rsidR="00DF47DA" w:rsidRDefault="00DF47DA">
            <w:pPr>
              <w:pStyle w:val="Bibliography"/>
              <w:rPr>
                <w:noProof/>
              </w:rPr>
            </w:pPr>
            <w:r>
              <w:rPr>
                <w:noProof/>
              </w:rPr>
              <w:t xml:space="preserve">NNB GenCo, TeamCenter No. 100546693 - HPC-ETFCTX-AU-JAC-SDM-000051 - System Design Manual JAC: Firefighting Water System Part 2: System Operation, Revision 005, 2021. </w:t>
            </w:r>
          </w:p>
        </w:tc>
      </w:tr>
      <w:tr w:rsidR="00DF47DA" w14:paraId="191044FF" w14:textId="77777777" w:rsidTr="00DF47DA">
        <w:trPr>
          <w:divId w:val="2080983081"/>
          <w:tblCellSpacing w:w="15" w:type="dxa"/>
        </w:trPr>
        <w:tc>
          <w:tcPr>
            <w:tcW w:w="280" w:type="pct"/>
            <w:hideMark/>
          </w:tcPr>
          <w:p w14:paraId="5163E57A" w14:textId="77777777" w:rsidR="00DF47DA" w:rsidRDefault="00DF47DA">
            <w:pPr>
              <w:pStyle w:val="Bibliography"/>
              <w:rPr>
                <w:noProof/>
              </w:rPr>
            </w:pPr>
            <w:r>
              <w:rPr>
                <w:noProof/>
              </w:rPr>
              <w:t xml:space="preserve">[175] </w:t>
            </w:r>
          </w:p>
        </w:tc>
        <w:tc>
          <w:tcPr>
            <w:tcW w:w="4675" w:type="pct"/>
            <w:hideMark/>
          </w:tcPr>
          <w:p w14:paraId="00676166" w14:textId="77777777" w:rsidR="00DF47DA" w:rsidRDefault="00DF47DA">
            <w:pPr>
              <w:pStyle w:val="Bibliography"/>
              <w:rPr>
                <w:noProof/>
              </w:rPr>
            </w:pPr>
            <w:r>
              <w:rPr>
                <w:noProof/>
              </w:rPr>
              <w:t xml:space="preserve">NNB GenCo, TeamCenter No. 100546687: HPC-ETSIEX-U9-JPS-SDM-000065 – System Design Manual JPS Part 2&lt; System Operation, Revision 004, 2022. </w:t>
            </w:r>
          </w:p>
        </w:tc>
      </w:tr>
      <w:tr w:rsidR="00DF47DA" w14:paraId="464BB980" w14:textId="77777777" w:rsidTr="00DF47DA">
        <w:trPr>
          <w:divId w:val="2080983081"/>
          <w:tblCellSpacing w:w="15" w:type="dxa"/>
        </w:trPr>
        <w:tc>
          <w:tcPr>
            <w:tcW w:w="280" w:type="pct"/>
            <w:hideMark/>
          </w:tcPr>
          <w:p w14:paraId="2033B44C" w14:textId="77777777" w:rsidR="00DF47DA" w:rsidRDefault="00DF47DA">
            <w:pPr>
              <w:pStyle w:val="Bibliography"/>
              <w:rPr>
                <w:noProof/>
              </w:rPr>
            </w:pPr>
            <w:r>
              <w:rPr>
                <w:noProof/>
              </w:rPr>
              <w:t xml:space="preserve">[176] </w:t>
            </w:r>
          </w:p>
        </w:tc>
        <w:tc>
          <w:tcPr>
            <w:tcW w:w="4675" w:type="pct"/>
            <w:hideMark/>
          </w:tcPr>
          <w:p w14:paraId="7A98784A" w14:textId="77777777" w:rsidR="00DF47DA" w:rsidRDefault="00DF47DA">
            <w:pPr>
              <w:pStyle w:val="Bibliography"/>
              <w:rPr>
                <w:noProof/>
              </w:rPr>
            </w:pPr>
            <w:r>
              <w:rPr>
                <w:noProof/>
              </w:rPr>
              <w:t xml:space="preserve">NNB GenCo, TeamCenter No. 100940596: HPC Pre-Ops Emergency Arrangements Deployment Roadmap: Revision 001, 2021. </w:t>
            </w:r>
          </w:p>
        </w:tc>
      </w:tr>
      <w:tr w:rsidR="00DF47DA" w14:paraId="548F36FF" w14:textId="77777777" w:rsidTr="00DF47DA">
        <w:trPr>
          <w:divId w:val="2080983081"/>
          <w:tblCellSpacing w:w="15" w:type="dxa"/>
        </w:trPr>
        <w:tc>
          <w:tcPr>
            <w:tcW w:w="280" w:type="pct"/>
            <w:hideMark/>
          </w:tcPr>
          <w:p w14:paraId="62183ED6" w14:textId="77777777" w:rsidR="00DF47DA" w:rsidRDefault="00DF47DA">
            <w:pPr>
              <w:pStyle w:val="Bibliography"/>
              <w:rPr>
                <w:noProof/>
              </w:rPr>
            </w:pPr>
            <w:r>
              <w:rPr>
                <w:noProof/>
              </w:rPr>
              <w:t xml:space="preserve">[177] </w:t>
            </w:r>
          </w:p>
        </w:tc>
        <w:tc>
          <w:tcPr>
            <w:tcW w:w="4675" w:type="pct"/>
            <w:hideMark/>
          </w:tcPr>
          <w:p w14:paraId="572F81B1" w14:textId="77777777" w:rsidR="00DF47DA" w:rsidRDefault="00DF47DA">
            <w:pPr>
              <w:pStyle w:val="Bibliography"/>
              <w:rPr>
                <w:noProof/>
              </w:rPr>
            </w:pPr>
            <w:r>
              <w:rPr>
                <w:noProof/>
              </w:rPr>
              <w:t xml:space="preserve">NNB GenCo, TeamCenter No. 100955593: HPC Emergency Arrangements Facilities and Equipment Roadmap: Revision 002, 2022. </w:t>
            </w:r>
          </w:p>
        </w:tc>
      </w:tr>
      <w:tr w:rsidR="00DF47DA" w14:paraId="6AF7DCAD" w14:textId="77777777" w:rsidTr="00DF47DA">
        <w:trPr>
          <w:divId w:val="2080983081"/>
          <w:tblCellSpacing w:w="15" w:type="dxa"/>
        </w:trPr>
        <w:tc>
          <w:tcPr>
            <w:tcW w:w="280" w:type="pct"/>
            <w:hideMark/>
          </w:tcPr>
          <w:p w14:paraId="153DAA5C" w14:textId="77777777" w:rsidR="00DF47DA" w:rsidRDefault="00DF47DA">
            <w:pPr>
              <w:pStyle w:val="Bibliography"/>
              <w:rPr>
                <w:noProof/>
              </w:rPr>
            </w:pPr>
            <w:r>
              <w:rPr>
                <w:noProof/>
              </w:rPr>
              <w:t xml:space="preserve">[178] </w:t>
            </w:r>
          </w:p>
        </w:tc>
        <w:tc>
          <w:tcPr>
            <w:tcW w:w="4675" w:type="pct"/>
            <w:hideMark/>
          </w:tcPr>
          <w:p w14:paraId="79BD371A" w14:textId="77777777" w:rsidR="00DF47DA" w:rsidRDefault="00DF47DA">
            <w:pPr>
              <w:pStyle w:val="Bibliography"/>
              <w:rPr>
                <w:noProof/>
              </w:rPr>
            </w:pPr>
            <w:r>
              <w:rPr>
                <w:noProof/>
              </w:rPr>
              <w:t xml:space="preserve">NNB GenCo, TeamCenter No. 100291588: Emergency Response Equipment Storage Specification: Version 001, 2020. </w:t>
            </w:r>
          </w:p>
        </w:tc>
      </w:tr>
      <w:tr w:rsidR="00DF47DA" w14:paraId="331B67C0" w14:textId="77777777" w:rsidTr="00DF47DA">
        <w:trPr>
          <w:divId w:val="2080983081"/>
          <w:tblCellSpacing w:w="15" w:type="dxa"/>
        </w:trPr>
        <w:tc>
          <w:tcPr>
            <w:tcW w:w="280" w:type="pct"/>
            <w:hideMark/>
          </w:tcPr>
          <w:p w14:paraId="41D9B8FB" w14:textId="77777777" w:rsidR="00DF47DA" w:rsidRDefault="00DF47DA">
            <w:pPr>
              <w:pStyle w:val="Bibliography"/>
              <w:rPr>
                <w:noProof/>
              </w:rPr>
            </w:pPr>
            <w:r>
              <w:rPr>
                <w:noProof/>
              </w:rPr>
              <w:t xml:space="preserve">[179] </w:t>
            </w:r>
          </w:p>
        </w:tc>
        <w:tc>
          <w:tcPr>
            <w:tcW w:w="4675" w:type="pct"/>
            <w:hideMark/>
          </w:tcPr>
          <w:p w14:paraId="589A50D2" w14:textId="77777777" w:rsidR="00DF47DA" w:rsidRDefault="00DF47DA">
            <w:pPr>
              <w:pStyle w:val="Bibliography"/>
              <w:rPr>
                <w:noProof/>
              </w:rPr>
            </w:pPr>
            <w:r>
              <w:rPr>
                <w:noProof/>
              </w:rPr>
              <w:t xml:space="preserve">British Standards Institute, BS 5839-1, Fire detection and fire alarm systems for buildings – Part 1: Code of practice for design, installation, commissioning and maintenance of systems in non-domestic premises, 2017. </w:t>
            </w:r>
          </w:p>
        </w:tc>
      </w:tr>
      <w:tr w:rsidR="00DF47DA" w:rsidRPr="004A7507" w14:paraId="1EEE6D74" w14:textId="77777777" w:rsidTr="00DF47DA">
        <w:trPr>
          <w:divId w:val="2080983081"/>
          <w:tblCellSpacing w:w="15" w:type="dxa"/>
        </w:trPr>
        <w:tc>
          <w:tcPr>
            <w:tcW w:w="280" w:type="pct"/>
            <w:hideMark/>
          </w:tcPr>
          <w:p w14:paraId="3D67F3F6" w14:textId="77777777" w:rsidR="00DF47DA" w:rsidRDefault="00DF47DA">
            <w:pPr>
              <w:pStyle w:val="Bibliography"/>
              <w:rPr>
                <w:noProof/>
              </w:rPr>
            </w:pPr>
            <w:r>
              <w:rPr>
                <w:noProof/>
              </w:rPr>
              <w:t xml:space="preserve">[180] </w:t>
            </w:r>
          </w:p>
        </w:tc>
        <w:tc>
          <w:tcPr>
            <w:tcW w:w="4675" w:type="pct"/>
            <w:hideMark/>
          </w:tcPr>
          <w:p w14:paraId="5806FB95" w14:textId="77777777" w:rsidR="00DF47DA" w:rsidRPr="004A7507" w:rsidRDefault="00DF47DA">
            <w:pPr>
              <w:pStyle w:val="Bibliography"/>
              <w:rPr>
                <w:noProof/>
                <w:lang w:val="fr-FR"/>
              </w:rPr>
            </w:pPr>
            <w:r>
              <w:rPr>
                <w:noProof/>
              </w:rPr>
              <w:t xml:space="preserve">ONR, “Site inspection to ensure compliance with Regulatory Reform Fire Safety Order 2005, IR 21-031,” 2021. </w:t>
            </w:r>
            <w:r w:rsidRPr="004A7507">
              <w:rPr>
                <w:noProof/>
                <w:lang w:val="fr-FR"/>
              </w:rPr>
              <w:t>[Online]. Available: https://www.onr.org.uk/inspection-records/2122/hinkley-point-c-21-031.htm.</w:t>
            </w:r>
          </w:p>
        </w:tc>
      </w:tr>
      <w:tr w:rsidR="00DF47DA" w14:paraId="3F73B90E" w14:textId="77777777" w:rsidTr="00DF47DA">
        <w:trPr>
          <w:divId w:val="2080983081"/>
          <w:tblCellSpacing w:w="15" w:type="dxa"/>
        </w:trPr>
        <w:tc>
          <w:tcPr>
            <w:tcW w:w="280" w:type="pct"/>
            <w:hideMark/>
          </w:tcPr>
          <w:p w14:paraId="3BE9CB51" w14:textId="77777777" w:rsidR="00DF47DA" w:rsidRDefault="00DF47DA">
            <w:pPr>
              <w:pStyle w:val="Bibliography"/>
              <w:rPr>
                <w:noProof/>
              </w:rPr>
            </w:pPr>
            <w:r>
              <w:rPr>
                <w:noProof/>
              </w:rPr>
              <w:t xml:space="preserve">[181] </w:t>
            </w:r>
          </w:p>
        </w:tc>
        <w:tc>
          <w:tcPr>
            <w:tcW w:w="4675" w:type="pct"/>
            <w:hideMark/>
          </w:tcPr>
          <w:p w14:paraId="1329A38B" w14:textId="77777777" w:rsidR="00DF47DA" w:rsidRDefault="00DF47DA">
            <w:pPr>
              <w:pStyle w:val="Bibliography"/>
              <w:rPr>
                <w:noProof/>
              </w:rPr>
            </w:pPr>
            <w:r>
              <w:rPr>
                <w:noProof/>
              </w:rPr>
              <w:t xml:space="preserve">B. S. Institute, BS EN 54-23 Fire alarm systems. Fire alarm devices. Visual alarm devices., 2010. </w:t>
            </w:r>
          </w:p>
        </w:tc>
      </w:tr>
      <w:tr w:rsidR="00DF47DA" w14:paraId="0F50BE73" w14:textId="77777777" w:rsidTr="00DF47DA">
        <w:trPr>
          <w:divId w:val="2080983081"/>
          <w:tblCellSpacing w:w="15" w:type="dxa"/>
        </w:trPr>
        <w:tc>
          <w:tcPr>
            <w:tcW w:w="280" w:type="pct"/>
            <w:hideMark/>
          </w:tcPr>
          <w:p w14:paraId="558F1258" w14:textId="77777777" w:rsidR="00DF47DA" w:rsidRDefault="00DF47DA">
            <w:pPr>
              <w:pStyle w:val="Bibliography"/>
              <w:rPr>
                <w:noProof/>
              </w:rPr>
            </w:pPr>
            <w:r>
              <w:rPr>
                <w:noProof/>
              </w:rPr>
              <w:t xml:space="preserve">[182] </w:t>
            </w:r>
          </w:p>
        </w:tc>
        <w:tc>
          <w:tcPr>
            <w:tcW w:w="4675" w:type="pct"/>
            <w:hideMark/>
          </w:tcPr>
          <w:p w14:paraId="6CBFA603" w14:textId="77777777" w:rsidR="00DF47DA" w:rsidRDefault="00DF47DA">
            <w:pPr>
              <w:pStyle w:val="Bibliography"/>
              <w:rPr>
                <w:noProof/>
              </w:rPr>
            </w:pPr>
            <w:r>
              <w:rPr>
                <w:noProof/>
              </w:rPr>
              <w:t xml:space="preserve">British Standards Institute, BS 5839-6, Fire Detection and Fire Alarm Systems for Buildings - Part 6: Code of Practice for the Design, Installation, Commissioning and Maintenance of fire detection and fire alarm systems in domestic premises, 2019. </w:t>
            </w:r>
          </w:p>
        </w:tc>
      </w:tr>
      <w:tr w:rsidR="00DF47DA" w14:paraId="7F871C3F" w14:textId="77777777" w:rsidTr="00DF47DA">
        <w:trPr>
          <w:divId w:val="2080983081"/>
          <w:tblCellSpacing w:w="15" w:type="dxa"/>
        </w:trPr>
        <w:tc>
          <w:tcPr>
            <w:tcW w:w="280" w:type="pct"/>
            <w:hideMark/>
          </w:tcPr>
          <w:p w14:paraId="27A6F0E9" w14:textId="77777777" w:rsidR="00DF47DA" w:rsidRDefault="00DF47DA">
            <w:pPr>
              <w:pStyle w:val="Bibliography"/>
              <w:rPr>
                <w:noProof/>
              </w:rPr>
            </w:pPr>
            <w:r>
              <w:rPr>
                <w:noProof/>
              </w:rPr>
              <w:t xml:space="preserve">[183] </w:t>
            </w:r>
          </w:p>
        </w:tc>
        <w:tc>
          <w:tcPr>
            <w:tcW w:w="4675" w:type="pct"/>
            <w:hideMark/>
          </w:tcPr>
          <w:p w14:paraId="4A74D7C9" w14:textId="77777777" w:rsidR="00DF47DA" w:rsidRDefault="00DF47DA">
            <w:pPr>
              <w:pStyle w:val="Bibliography"/>
              <w:rPr>
                <w:noProof/>
              </w:rPr>
            </w:pPr>
            <w:r>
              <w:rPr>
                <w:noProof/>
              </w:rPr>
              <w:t xml:space="preserve">W. U. L. G. Association, National guidance for the provision of firefighting water supplies, 2007. </w:t>
            </w:r>
          </w:p>
        </w:tc>
      </w:tr>
      <w:tr w:rsidR="00DF47DA" w14:paraId="7B11556B" w14:textId="77777777" w:rsidTr="00DF47DA">
        <w:trPr>
          <w:divId w:val="2080983081"/>
          <w:tblCellSpacing w:w="15" w:type="dxa"/>
        </w:trPr>
        <w:tc>
          <w:tcPr>
            <w:tcW w:w="280" w:type="pct"/>
            <w:hideMark/>
          </w:tcPr>
          <w:p w14:paraId="7D53A21B" w14:textId="77777777" w:rsidR="00DF47DA" w:rsidRDefault="00DF47DA">
            <w:pPr>
              <w:pStyle w:val="Bibliography"/>
              <w:rPr>
                <w:noProof/>
              </w:rPr>
            </w:pPr>
            <w:r>
              <w:rPr>
                <w:noProof/>
              </w:rPr>
              <w:t xml:space="preserve">[184] </w:t>
            </w:r>
          </w:p>
        </w:tc>
        <w:tc>
          <w:tcPr>
            <w:tcW w:w="4675" w:type="pct"/>
            <w:hideMark/>
          </w:tcPr>
          <w:p w14:paraId="0C7EE484" w14:textId="77777777" w:rsidR="00DF47DA" w:rsidRDefault="00DF47DA">
            <w:pPr>
              <w:pStyle w:val="Bibliography"/>
              <w:rPr>
                <w:noProof/>
              </w:rPr>
            </w:pPr>
            <w:r>
              <w:rPr>
                <w:noProof/>
              </w:rPr>
              <w:t xml:space="preserve">British Standards Institute, BS 5839-8, Fire Detection and Fire Alarm Systems for Buildings - Part 8: Code of Practice for the Design, Installation, Commissioning and maintenance of voice alarm systems, 2013. </w:t>
            </w:r>
          </w:p>
        </w:tc>
      </w:tr>
      <w:tr w:rsidR="00DF47DA" w14:paraId="6B1A88B5" w14:textId="77777777" w:rsidTr="00DF47DA">
        <w:trPr>
          <w:divId w:val="2080983081"/>
          <w:tblCellSpacing w:w="15" w:type="dxa"/>
        </w:trPr>
        <w:tc>
          <w:tcPr>
            <w:tcW w:w="280" w:type="pct"/>
            <w:hideMark/>
          </w:tcPr>
          <w:p w14:paraId="6306F649" w14:textId="77777777" w:rsidR="00DF47DA" w:rsidRDefault="00DF47DA">
            <w:pPr>
              <w:pStyle w:val="Bibliography"/>
              <w:rPr>
                <w:noProof/>
              </w:rPr>
            </w:pPr>
            <w:r>
              <w:rPr>
                <w:noProof/>
              </w:rPr>
              <w:t xml:space="preserve">[185] </w:t>
            </w:r>
          </w:p>
        </w:tc>
        <w:tc>
          <w:tcPr>
            <w:tcW w:w="4675" w:type="pct"/>
            <w:hideMark/>
          </w:tcPr>
          <w:p w14:paraId="1D2337A5" w14:textId="77777777" w:rsidR="00DF47DA" w:rsidRDefault="00DF47DA">
            <w:pPr>
              <w:pStyle w:val="Bibliography"/>
              <w:rPr>
                <w:noProof/>
              </w:rPr>
            </w:pPr>
            <w:r>
              <w:rPr>
                <w:noProof/>
              </w:rPr>
              <w:t xml:space="preserve">SSI 635 Fire alarm &amp; emergency lighting inspection and testing procedure, Rev 3 December 2021, Springfield Fuels Ltd. </w:t>
            </w:r>
          </w:p>
        </w:tc>
      </w:tr>
      <w:tr w:rsidR="00DF47DA" w14:paraId="30F3C507" w14:textId="77777777" w:rsidTr="00DF47DA">
        <w:trPr>
          <w:divId w:val="2080983081"/>
          <w:tblCellSpacing w:w="15" w:type="dxa"/>
        </w:trPr>
        <w:tc>
          <w:tcPr>
            <w:tcW w:w="280" w:type="pct"/>
            <w:hideMark/>
          </w:tcPr>
          <w:p w14:paraId="73FB8ACD" w14:textId="77777777" w:rsidR="00DF47DA" w:rsidRDefault="00DF47DA">
            <w:pPr>
              <w:pStyle w:val="Bibliography"/>
              <w:rPr>
                <w:noProof/>
              </w:rPr>
            </w:pPr>
            <w:r>
              <w:rPr>
                <w:noProof/>
              </w:rPr>
              <w:t xml:space="preserve">[186] </w:t>
            </w:r>
          </w:p>
        </w:tc>
        <w:tc>
          <w:tcPr>
            <w:tcW w:w="4675" w:type="pct"/>
            <w:hideMark/>
          </w:tcPr>
          <w:p w14:paraId="1408CED7" w14:textId="77777777" w:rsidR="00DF47DA" w:rsidRDefault="00DF47DA">
            <w:pPr>
              <w:pStyle w:val="Bibliography"/>
              <w:rPr>
                <w:noProof/>
              </w:rPr>
            </w:pPr>
            <w:r>
              <w:rPr>
                <w:noProof/>
              </w:rPr>
              <w:t xml:space="preserve">Loss Prevention Standard 1014: Issue 5.4 Requirements for certificated fire detection and alarm firms. </w:t>
            </w:r>
          </w:p>
        </w:tc>
      </w:tr>
      <w:tr w:rsidR="00DF47DA" w14:paraId="5BB1D4D6" w14:textId="77777777" w:rsidTr="00DF47DA">
        <w:trPr>
          <w:divId w:val="2080983081"/>
          <w:tblCellSpacing w:w="15" w:type="dxa"/>
        </w:trPr>
        <w:tc>
          <w:tcPr>
            <w:tcW w:w="280" w:type="pct"/>
            <w:hideMark/>
          </w:tcPr>
          <w:p w14:paraId="12DA7CDB" w14:textId="77777777" w:rsidR="00DF47DA" w:rsidRDefault="00DF47DA">
            <w:pPr>
              <w:pStyle w:val="Bibliography"/>
              <w:rPr>
                <w:noProof/>
              </w:rPr>
            </w:pPr>
            <w:r>
              <w:rPr>
                <w:noProof/>
              </w:rPr>
              <w:t xml:space="preserve">[187] </w:t>
            </w:r>
          </w:p>
        </w:tc>
        <w:tc>
          <w:tcPr>
            <w:tcW w:w="4675" w:type="pct"/>
            <w:hideMark/>
          </w:tcPr>
          <w:p w14:paraId="62F492D5" w14:textId="77777777" w:rsidR="00DF47DA" w:rsidRDefault="00DF47DA">
            <w:pPr>
              <w:pStyle w:val="Bibliography"/>
              <w:rPr>
                <w:noProof/>
              </w:rPr>
            </w:pPr>
            <w:r>
              <w:rPr>
                <w:noProof/>
              </w:rPr>
              <w:t xml:space="preserve">BAFE SP203-1 Design, Installation, Commissioning and Maintenance of Fire Detection and Fire Alarm Systems Scheme. </w:t>
            </w:r>
          </w:p>
        </w:tc>
      </w:tr>
      <w:tr w:rsidR="00DF47DA" w14:paraId="6D0D86E6" w14:textId="77777777" w:rsidTr="00DF47DA">
        <w:trPr>
          <w:divId w:val="2080983081"/>
          <w:tblCellSpacing w:w="15" w:type="dxa"/>
        </w:trPr>
        <w:tc>
          <w:tcPr>
            <w:tcW w:w="280" w:type="pct"/>
            <w:hideMark/>
          </w:tcPr>
          <w:p w14:paraId="503EFF51" w14:textId="77777777" w:rsidR="00DF47DA" w:rsidRDefault="00DF47DA">
            <w:pPr>
              <w:pStyle w:val="Bibliography"/>
              <w:rPr>
                <w:noProof/>
              </w:rPr>
            </w:pPr>
            <w:r>
              <w:rPr>
                <w:noProof/>
              </w:rPr>
              <w:t xml:space="preserve">[188] </w:t>
            </w:r>
          </w:p>
        </w:tc>
        <w:tc>
          <w:tcPr>
            <w:tcW w:w="4675" w:type="pct"/>
            <w:hideMark/>
          </w:tcPr>
          <w:p w14:paraId="1BD59DA5" w14:textId="77777777" w:rsidR="00DF47DA" w:rsidRDefault="00DF47DA">
            <w:pPr>
              <w:pStyle w:val="Bibliography"/>
              <w:rPr>
                <w:noProof/>
              </w:rPr>
            </w:pPr>
            <w:r>
              <w:rPr>
                <w:noProof/>
              </w:rPr>
              <w:t xml:space="preserve">British Standards Institute, BS EN 13565-2, Fixed firefighting systems - foam systems - Design, construction and maintenance, 2018. </w:t>
            </w:r>
          </w:p>
        </w:tc>
      </w:tr>
      <w:tr w:rsidR="00DF47DA" w14:paraId="6FBFD00A" w14:textId="77777777" w:rsidTr="00DF47DA">
        <w:trPr>
          <w:divId w:val="2080983081"/>
          <w:tblCellSpacing w:w="15" w:type="dxa"/>
        </w:trPr>
        <w:tc>
          <w:tcPr>
            <w:tcW w:w="280" w:type="pct"/>
            <w:hideMark/>
          </w:tcPr>
          <w:p w14:paraId="3AFD1C18" w14:textId="77777777" w:rsidR="00DF47DA" w:rsidRDefault="00DF47DA">
            <w:pPr>
              <w:pStyle w:val="Bibliography"/>
              <w:rPr>
                <w:noProof/>
              </w:rPr>
            </w:pPr>
            <w:r>
              <w:rPr>
                <w:noProof/>
              </w:rPr>
              <w:t xml:space="preserve">[189] </w:t>
            </w:r>
          </w:p>
        </w:tc>
        <w:tc>
          <w:tcPr>
            <w:tcW w:w="4675" w:type="pct"/>
            <w:hideMark/>
          </w:tcPr>
          <w:p w14:paraId="1B2B85FC" w14:textId="77777777" w:rsidR="00DF47DA" w:rsidRDefault="00DF47DA">
            <w:pPr>
              <w:pStyle w:val="Bibliography"/>
              <w:rPr>
                <w:noProof/>
              </w:rPr>
            </w:pPr>
            <w:r>
              <w:rPr>
                <w:noProof/>
              </w:rPr>
              <w:t xml:space="preserve">British Standards Institute, BS 9990, Non-automatic fire-fighting systems in buildings - Code of Practice, 2015. </w:t>
            </w:r>
          </w:p>
        </w:tc>
      </w:tr>
      <w:tr w:rsidR="00DF47DA" w14:paraId="5F0B3948" w14:textId="77777777" w:rsidTr="00DF47DA">
        <w:trPr>
          <w:divId w:val="2080983081"/>
          <w:tblCellSpacing w:w="15" w:type="dxa"/>
        </w:trPr>
        <w:tc>
          <w:tcPr>
            <w:tcW w:w="280" w:type="pct"/>
            <w:hideMark/>
          </w:tcPr>
          <w:p w14:paraId="2C9CF204" w14:textId="77777777" w:rsidR="00DF47DA" w:rsidRDefault="00DF47DA">
            <w:pPr>
              <w:pStyle w:val="Bibliography"/>
              <w:rPr>
                <w:noProof/>
              </w:rPr>
            </w:pPr>
            <w:r>
              <w:rPr>
                <w:noProof/>
              </w:rPr>
              <w:t xml:space="preserve">[190] </w:t>
            </w:r>
          </w:p>
        </w:tc>
        <w:tc>
          <w:tcPr>
            <w:tcW w:w="4675" w:type="pct"/>
            <w:hideMark/>
          </w:tcPr>
          <w:p w14:paraId="1BFD49F7" w14:textId="77777777" w:rsidR="00DF47DA" w:rsidRDefault="00DF47DA">
            <w:pPr>
              <w:pStyle w:val="Bibliography"/>
              <w:rPr>
                <w:noProof/>
              </w:rPr>
            </w:pPr>
            <w:r>
              <w:rPr>
                <w:noProof/>
              </w:rPr>
              <w:t>“Radiation Emergency Preparedness &amp; Public Information Regulations 2019,” [Online]. Available: https://www.legislation.gov.uk/uksi/2019/703/contents.</w:t>
            </w:r>
          </w:p>
        </w:tc>
      </w:tr>
      <w:tr w:rsidR="00DF47DA" w14:paraId="137D98BB" w14:textId="77777777" w:rsidTr="00DF47DA">
        <w:trPr>
          <w:divId w:val="2080983081"/>
          <w:tblCellSpacing w:w="15" w:type="dxa"/>
        </w:trPr>
        <w:tc>
          <w:tcPr>
            <w:tcW w:w="280" w:type="pct"/>
            <w:hideMark/>
          </w:tcPr>
          <w:p w14:paraId="4CA173F8" w14:textId="77777777" w:rsidR="00DF47DA" w:rsidRDefault="00DF47DA">
            <w:pPr>
              <w:pStyle w:val="Bibliography"/>
              <w:rPr>
                <w:noProof/>
              </w:rPr>
            </w:pPr>
            <w:r>
              <w:rPr>
                <w:noProof/>
              </w:rPr>
              <w:t xml:space="preserve">[191] </w:t>
            </w:r>
          </w:p>
        </w:tc>
        <w:tc>
          <w:tcPr>
            <w:tcW w:w="4675" w:type="pct"/>
            <w:hideMark/>
          </w:tcPr>
          <w:p w14:paraId="68EAD1C0" w14:textId="77777777" w:rsidR="00DF47DA" w:rsidRDefault="00DF47DA">
            <w:pPr>
              <w:pStyle w:val="Bibliography"/>
              <w:rPr>
                <w:noProof/>
              </w:rPr>
            </w:pPr>
            <w:r>
              <w:rPr>
                <w:noProof/>
              </w:rPr>
              <w:t>British Association of Fire Equipment, “BAFE Guidance Document for Schemes SP203-1, SP203-3, SP203-4, SP207,” 2020. [Online]. Available: https://www.bafe.org.uk/media/e5e523c6bb01fdccb7b0d359d056f1da/SG1-Guidance-for-Modular-Schemes-V2-Oct-2020.pdf. [Accessed 2023].</w:t>
            </w:r>
          </w:p>
        </w:tc>
      </w:tr>
      <w:tr w:rsidR="00DF47DA" w14:paraId="5836B365" w14:textId="77777777" w:rsidTr="00DF47DA">
        <w:trPr>
          <w:divId w:val="2080983081"/>
          <w:tblCellSpacing w:w="15" w:type="dxa"/>
        </w:trPr>
        <w:tc>
          <w:tcPr>
            <w:tcW w:w="280" w:type="pct"/>
            <w:hideMark/>
          </w:tcPr>
          <w:p w14:paraId="5458F993" w14:textId="77777777" w:rsidR="00DF47DA" w:rsidRDefault="00DF47DA">
            <w:pPr>
              <w:pStyle w:val="Bibliography"/>
              <w:rPr>
                <w:noProof/>
              </w:rPr>
            </w:pPr>
            <w:r>
              <w:rPr>
                <w:noProof/>
              </w:rPr>
              <w:t xml:space="preserve">[192] </w:t>
            </w:r>
          </w:p>
        </w:tc>
        <w:tc>
          <w:tcPr>
            <w:tcW w:w="4675" w:type="pct"/>
            <w:hideMark/>
          </w:tcPr>
          <w:p w14:paraId="746B6CB8" w14:textId="77777777" w:rsidR="00DF47DA" w:rsidRDefault="00DF47DA">
            <w:pPr>
              <w:pStyle w:val="Bibliography"/>
              <w:rPr>
                <w:noProof/>
              </w:rPr>
            </w:pPr>
            <w:r>
              <w:rPr>
                <w:noProof/>
              </w:rPr>
              <w:t xml:space="preserve">NNB GenCo, TeamCenter No. 100751947: HPC-NNBOSL-U0-000-RES-000171: HPC PCSR3 Sub-chapter 9.4 - Heating, Ventilation and Air-Conditioning Systems: Revision 003, 2017. </w:t>
            </w:r>
          </w:p>
        </w:tc>
      </w:tr>
      <w:tr w:rsidR="00DF47DA" w14:paraId="3371DFCC" w14:textId="77777777" w:rsidTr="00DF47DA">
        <w:trPr>
          <w:divId w:val="2080983081"/>
          <w:tblCellSpacing w:w="15" w:type="dxa"/>
        </w:trPr>
        <w:tc>
          <w:tcPr>
            <w:tcW w:w="280" w:type="pct"/>
            <w:hideMark/>
          </w:tcPr>
          <w:p w14:paraId="458D20E7" w14:textId="77777777" w:rsidR="00DF47DA" w:rsidRDefault="00DF47DA">
            <w:pPr>
              <w:pStyle w:val="Bibliography"/>
              <w:rPr>
                <w:noProof/>
              </w:rPr>
            </w:pPr>
            <w:r>
              <w:rPr>
                <w:noProof/>
              </w:rPr>
              <w:t xml:space="preserve">[193] </w:t>
            </w:r>
          </w:p>
        </w:tc>
        <w:tc>
          <w:tcPr>
            <w:tcW w:w="4675" w:type="pct"/>
            <w:hideMark/>
          </w:tcPr>
          <w:p w14:paraId="52341762" w14:textId="77777777" w:rsidR="00DF47DA" w:rsidRDefault="00DF47DA">
            <w:pPr>
              <w:pStyle w:val="Bibliography"/>
              <w:rPr>
                <w:noProof/>
              </w:rPr>
            </w:pPr>
            <w:r>
              <w:rPr>
                <w:noProof/>
              </w:rPr>
              <w:t xml:space="preserve">B. S. Institute, BS EN 15650 Ventilation for buildings- fire dampers, 2010. </w:t>
            </w:r>
          </w:p>
        </w:tc>
      </w:tr>
      <w:tr w:rsidR="00DF47DA" w14:paraId="1A868D3D" w14:textId="77777777" w:rsidTr="00DF47DA">
        <w:trPr>
          <w:divId w:val="2080983081"/>
          <w:tblCellSpacing w:w="15" w:type="dxa"/>
        </w:trPr>
        <w:tc>
          <w:tcPr>
            <w:tcW w:w="280" w:type="pct"/>
            <w:hideMark/>
          </w:tcPr>
          <w:p w14:paraId="32A35CBE" w14:textId="77777777" w:rsidR="00DF47DA" w:rsidRDefault="00DF47DA">
            <w:pPr>
              <w:pStyle w:val="Bibliography"/>
              <w:rPr>
                <w:noProof/>
              </w:rPr>
            </w:pPr>
            <w:r>
              <w:rPr>
                <w:noProof/>
              </w:rPr>
              <w:t xml:space="preserve">[194] </w:t>
            </w:r>
          </w:p>
        </w:tc>
        <w:tc>
          <w:tcPr>
            <w:tcW w:w="4675" w:type="pct"/>
            <w:hideMark/>
          </w:tcPr>
          <w:p w14:paraId="4029B160" w14:textId="77777777" w:rsidR="00DF47DA" w:rsidRDefault="00DF47DA">
            <w:pPr>
              <w:pStyle w:val="Bibliography"/>
              <w:rPr>
                <w:noProof/>
              </w:rPr>
            </w:pPr>
            <w:r>
              <w:rPr>
                <w:noProof/>
              </w:rPr>
              <w:t xml:space="preserve">British Standards Institute, BS EN 1366-2:2015 Fire resistance tests for service installations. Fire dampers, 2015. </w:t>
            </w:r>
          </w:p>
        </w:tc>
      </w:tr>
      <w:tr w:rsidR="00DF47DA" w14:paraId="273C9DB5" w14:textId="77777777" w:rsidTr="00DF47DA">
        <w:trPr>
          <w:divId w:val="2080983081"/>
          <w:tblCellSpacing w:w="15" w:type="dxa"/>
        </w:trPr>
        <w:tc>
          <w:tcPr>
            <w:tcW w:w="280" w:type="pct"/>
            <w:hideMark/>
          </w:tcPr>
          <w:p w14:paraId="36E51D13" w14:textId="77777777" w:rsidR="00DF47DA" w:rsidRDefault="00DF47DA">
            <w:pPr>
              <w:pStyle w:val="Bibliography"/>
              <w:rPr>
                <w:noProof/>
              </w:rPr>
            </w:pPr>
            <w:r>
              <w:rPr>
                <w:noProof/>
              </w:rPr>
              <w:t xml:space="preserve">[195] </w:t>
            </w:r>
          </w:p>
        </w:tc>
        <w:tc>
          <w:tcPr>
            <w:tcW w:w="4675" w:type="pct"/>
            <w:hideMark/>
          </w:tcPr>
          <w:p w14:paraId="0E99396C" w14:textId="77777777" w:rsidR="00DF47DA" w:rsidRDefault="00DF47DA">
            <w:pPr>
              <w:pStyle w:val="Bibliography"/>
              <w:rPr>
                <w:noProof/>
              </w:rPr>
            </w:pPr>
            <w:r>
              <w:rPr>
                <w:noProof/>
              </w:rPr>
              <w:t xml:space="preserve">B. S. Institute, Fire classification of construction products and building- elements, 2005. </w:t>
            </w:r>
          </w:p>
        </w:tc>
      </w:tr>
      <w:tr w:rsidR="00DF47DA" w14:paraId="0BBD7261" w14:textId="77777777" w:rsidTr="00DF47DA">
        <w:trPr>
          <w:divId w:val="2080983081"/>
          <w:tblCellSpacing w:w="15" w:type="dxa"/>
        </w:trPr>
        <w:tc>
          <w:tcPr>
            <w:tcW w:w="280" w:type="pct"/>
            <w:hideMark/>
          </w:tcPr>
          <w:p w14:paraId="5B7AE871" w14:textId="77777777" w:rsidR="00DF47DA" w:rsidRDefault="00DF47DA">
            <w:pPr>
              <w:pStyle w:val="Bibliography"/>
              <w:rPr>
                <w:noProof/>
              </w:rPr>
            </w:pPr>
            <w:r>
              <w:rPr>
                <w:noProof/>
              </w:rPr>
              <w:t xml:space="preserve">[196] </w:t>
            </w:r>
          </w:p>
        </w:tc>
        <w:tc>
          <w:tcPr>
            <w:tcW w:w="4675" w:type="pct"/>
            <w:hideMark/>
          </w:tcPr>
          <w:p w14:paraId="15342007" w14:textId="77777777" w:rsidR="00DF47DA" w:rsidRDefault="00DF47DA">
            <w:pPr>
              <w:pStyle w:val="Bibliography"/>
              <w:rPr>
                <w:noProof/>
              </w:rPr>
            </w:pPr>
            <w:r>
              <w:rPr>
                <w:noProof/>
              </w:rPr>
              <w:t xml:space="preserve">AESS6008 Part 1. </w:t>
            </w:r>
          </w:p>
        </w:tc>
      </w:tr>
      <w:tr w:rsidR="00DF47DA" w14:paraId="0C0BC587" w14:textId="77777777" w:rsidTr="00DF47DA">
        <w:trPr>
          <w:divId w:val="2080983081"/>
          <w:tblCellSpacing w:w="15" w:type="dxa"/>
        </w:trPr>
        <w:tc>
          <w:tcPr>
            <w:tcW w:w="280" w:type="pct"/>
            <w:hideMark/>
          </w:tcPr>
          <w:p w14:paraId="7DD9B1CD" w14:textId="77777777" w:rsidR="00DF47DA" w:rsidRDefault="00DF47DA">
            <w:pPr>
              <w:pStyle w:val="Bibliography"/>
              <w:rPr>
                <w:noProof/>
              </w:rPr>
            </w:pPr>
            <w:r>
              <w:rPr>
                <w:noProof/>
              </w:rPr>
              <w:t xml:space="preserve">[197] </w:t>
            </w:r>
          </w:p>
        </w:tc>
        <w:tc>
          <w:tcPr>
            <w:tcW w:w="4675" w:type="pct"/>
            <w:hideMark/>
          </w:tcPr>
          <w:p w14:paraId="2386F904" w14:textId="77777777" w:rsidR="00DF47DA" w:rsidRDefault="00DF47DA">
            <w:pPr>
              <w:pStyle w:val="Bibliography"/>
              <w:rPr>
                <w:noProof/>
              </w:rPr>
            </w:pPr>
            <w:r>
              <w:rPr>
                <w:noProof/>
              </w:rPr>
              <w:t xml:space="preserve">AESS6008 Part 2. </w:t>
            </w:r>
          </w:p>
        </w:tc>
      </w:tr>
      <w:tr w:rsidR="00DF47DA" w14:paraId="5F62FEFB" w14:textId="77777777" w:rsidTr="00DF47DA">
        <w:trPr>
          <w:divId w:val="2080983081"/>
          <w:tblCellSpacing w:w="15" w:type="dxa"/>
        </w:trPr>
        <w:tc>
          <w:tcPr>
            <w:tcW w:w="280" w:type="pct"/>
            <w:hideMark/>
          </w:tcPr>
          <w:p w14:paraId="3AA592ED" w14:textId="77777777" w:rsidR="00DF47DA" w:rsidRDefault="00DF47DA">
            <w:pPr>
              <w:pStyle w:val="Bibliography"/>
              <w:rPr>
                <w:noProof/>
              </w:rPr>
            </w:pPr>
            <w:r>
              <w:rPr>
                <w:noProof/>
              </w:rPr>
              <w:t xml:space="preserve">[198] </w:t>
            </w:r>
          </w:p>
        </w:tc>
        <w:tc>
          <w:tcPr>
            <w:tcW w:w="4675" w:type="pct"/>
            <w:hideMark/>
          </w:tcPr>
          <w:p w14:paraId="7D02617D" w14:textId="77777777" w:rsidR="00DF47DA" w:rsidRDefault="00DF47DA">
            <w:pPr>
              <w:pStyle w:val="Bibliography"/>
              <w:rPr>
                <w:noProof/>
              </w:rPr>
            </w:pPr>
            <w:r>
              <w:rPr>
                <w:noProof/>
              </w:rPr>
              <w:t xml:space="preserve">Tests undertaken by Senior Hargreaves. </w:t>
            </w:r>
          </w:p>
        </w:tc>
      </w:tr>
      <w:tr w:rsidR="00DF47DA" w14:paraId="6314600D" w14:textId="77777777" w:rsidTr="00DF47DA">
        <w:trPr>
          <w:divId w:val="2080983081"/>
          <w:tblCellSpacing w:w="15" w:type="dxa"/>
        </w:trPr>
        <w:tc>
          <w:tcPr>
            <w:tcW w:w="280" w:type="pct"/>
            <w:hideMark/>
          </w:tcPr>
          <w:p w14:paraId="73DCC5B6" w14:textId="77777777" w:rsidR="00DF47DA" w:rsidRDefault="00DF47DA">
            <w:pPr>
              <w:pStyle w:val="Bibliography"/>
              <w:rPr>
                <w:noProof/>
              </w:rPr>
            </w:pPr>
            <w:r>
              <w:rPr>
                <w:noProof/>
              </w:rPr>
              <w:t xml:space="preserve">[199] </w:t>
            </w:r>
          </w:p>
        </w:tc>
        <w:tc>
          <w:tcPr>
            <w:tcW w:w="4675" w:type="pct"/>
            <w:hideMark/>
          </w:tcPr>
          <w:p w14:paraId="7799D1D9" w14:textId="77777777" w:rsidR="00DF47DA" w:rsidRDefault="00DF47DA">
            <w:pPr>
              <w:pStyle w:val="Bibliography"/>
              <w:rPr>
                <w:noProof/>
              </w:rPr>
            </w:pPr>
            <w:r>
              <w:rPr>
                <w:noProof/>
              </w:rPr>
              <w:t xml:space="preserve">NVF /DG001 Code of Practice AECP 1054 An aid to the Design of Ventilation of Radioactive Areas. Issue 1 January 2009.. </w:t>
            </w:r>
          </w:p>
        </w:tc>
      </w:tr>
      <w:tr w:rsidR="00DF47DA" w14:paraId="7ED0B700" w14:textId="77777777" w:rsidTr="00DF47DA">
        <w:trPr>
          <w:divId w:val="2080983081"/>
          <w:tblCellSpacing w:w="15" w:type="dxa"/>
        </w:trPr>
        <w:tc>
          <w:tcPr>
            <w:tcW w:w="280" w:type="pct"/>
            <w:hideMark/>
          </w:tcPr>
          <w:p w14:paraId="1FB5B40F" w14:textId="77777777" w:rsidR="00DF47DA" w:rsidRDefault="00DF47DA">
            <w:pPr>
              <w:pStyle w:val="Bibliography"/>
              <w:rPr>
                <w:noProof/>
              </w:rPr>
            </w:pPr>
            <w:r>
              <w:rPr>
                <w:noProof/>
              </w:rPr>
              <w:t xml:space="preserve">[200] </w:t>
            </w:r>
          </w:p>
        </w:tc>
        <w:tc>
          <w:tcPr>
            <w:tcW w:w="4675" w:type="pct"/>
            <w:hideMark/>
          </w:tcPr>
          <w:p w14:paraId="18C9550E" w14:textId="77777777" w:rsidR="00DF47DA" w:rsidRDefault="00DF47DA">
            <w:pPr>
              <w:pStyle w:val="Bibliography"/>
              <w:rPr>
                <w:noProof/>
              </w:rPr>
            </w:pPr>
            <w:r>
              <w:rPr>
                <w:noProof/>
              </w:rPr>
              <w:t xml:space="preserve">ES_1738_1 Ventilation Systems for Radiological Facilities - Design Guide. AECP 1054. </w:t>
            </w:r>
          </w:p>
        </w:tc>
      </w:tr>
      <w:tr w:rsidR="00DF47DA" w14:paraId="451898F6" w14:textId="77777777" w:rsidTr="00DF47DA">
        <w:trPr>
          <w:divId w:val="2080983081"/>
          <w:tblCellSpacing w:w="15" w:type="dxa"/>
        </w:trPr>
        <w:tc>
          <w:tcPr>
            <w:tcW w:w="280" w:type="pct"/>
            <w:hideMark/>
          </w:tcPr>
          <w:p w14:paraId="28096EB1" w14:textId="77777777" w:rsidR="00DF47DA" w:rsidRDefault="00DF47DA">
            <w:pPr>
              <w:pStyle w:val="Bibliography"/>
              <w:rPr>
                <w:noProof/>
              </w:rPr>
            </w:pPr>
            <w:r>
              <w:rPr>
                <w:noProof/>
              </w:rPr>
              <w:t xml:space="preserve">[201] </w:t>
            </w:r>
          </w:p>
        </w:tc>
        <w:tc>
          <w:tcPr>
            <w:tcW w:w="4675" w:type="pct"/>
            <w:hideMark/>
          </w:tcPr>
          <w:p w14:paraId="0CE8412A" w14:textId="77777777" w:rsidR="00DF47DA" w:rsidRDefault="00DF47DA">
            <w:pPr>
              <w:pStyle w:val="Bibliography"/>
              <w:rPr>
                <w:noProof/>
              </w:rPr>
            </w:pPr>
            <w:r>
              <w:rPr>
                <w:noProof/>
              </w:rPr>
              <w:t xml:space="preserve">British Standards Institute, BS 476-22, Fire Tests on Building Materials and Structures - Part 22: Methods for Determination of the Fire Resistance of Non-Loadbearing Elements of Construction, 1987. </w:t>
            </w:r>
          </w:p>
        </w:tc>
      </w:tr>
      <w:tr w:rsidR="00DF47DA" w14:paraId="1B3F8EC6" w14:textId="77777777" w:rsidTr="00DF47DA">
        <w:trPr>
          <w:divId w:val="2080983081"/>
          <w:tblCellSpacing w:w="15" w:type="dxa"/>
        </w:trPr>
        <w:tc>
          <w:tcPr>
            <w:tcW w:w="280" w:type="pct"/>
            <w:hideMark/>
          </w:tcPr>
          <w:p w14:paraId="5BB0F1C1" w14:textId="77777777" w:rsidR="00DF47DA" w:rsidRDefault="00DF47DA">
            <w:pPr>
              <w:pStyle w:val="Bibliography"/>
              <w:rPr>
                <w:noProof/>
              </w:rPr>
            </w:pPr>
            <w:r>
              <w:rPr>
                <w:noProof/>
              </w:rPr>
              <w:t xml:space="preserve">[202] </w:t>
            </w:r>
          </w:p>
        </w:tc>
        <w:tc>
          <w:tcPr>
            <w:tcW w:w="4675" w:type="pct"/>
            <w:hideMark/>
          </w:tcPr>
          <w:p w14:paraId="2E375188" w14:textId="77777777" w:rsidR="00DF47DA" w:rsidRDefault="00DF47DA">
            <w:pPr>
              <w:pStyle w:val="Bibliography"/>
              <w:rPr>
                <w:noProof/>
              </w:rPr>
            </w:pPr>
            <w:r>
              <w:rPr>
                <w:noProof/>
              </w:rPr>
              <w:t xml:space="preserve">ISO 26802: 2010 Nuclear facilities. Criteria for the Design and Operation of Containment and Ventilation Systems for Nuclear Reactors. </w:t>
            </w:r>
          </w:p>
        </w:tc>
      </w:tr>
      <w:tr w:rsidR="00DF47DA" w14:paraId="586F37F7" w14:textId="77777777" w:rsidTr="00DF47DA">
        <w:trPr>
          <w:divId w:val="2080983081"/>
          <w:tblCellSpacing w:w="15" w:type="dxa"/>
        </w:trPr>
        <w:tc>
          <w:tcPr>
            <w:tcW w:w="280" w:type="pct"/>
            <w:hideMark/>
          </w:tcPr>
          <w:p w14:paraId="7054F687" w14:textId="77777777" w:rsidR="00DF47DA" w:rsidRDefault="00DF47DA">
            <w:pPr>
              <w:pStyle w:val="Bibliography"/>
              <w:rPr>
                <w:noProof/>
              </w:rPr>
            </w:pPr>
            <w:r>
              <w:rPr>
                <w:noProof/>
              </w:rPr>
              <w:t xml:space="preserve">[203] </w:t>
            </w:r>
          </w:p>
        </w:tc>
        <w:tc>
          <w:tcPr>
            <w:tcW w:w="4675" w:type="pct"/>
            <w:hideMark/>
          </w:tcPr>
          <w:p w14:paraId="06828684" w14:textId="77777777" w:rsidR="00DF47DA" w:rsidRDefault="00DF47DA">
            <w:pPr>
              <w:pStyle w:val="Bibliography"/>
              <w:rPr>
                <w:noProof/>
              </w:rPr>
            </w:pPr>
            <w:r>
              <w:rPr>
                <w:noProof/>
              </w:rPr>
              <w:t xml:space="preserve">British Standards Institute, BS EN 13501-3, Fire classification of construction products and building elements Part 3: Classification using data from fire resistance tests on products and elements used in building service installations: fire resisting ducts and fire dampers. </w:t>
            </w:r>
          </w:p>
        </w:tc>
      </w:tr>
      <w:tr w:rsidR="00DF47DA" w14:paraId="3635C216" w14:textId="77777777" w:rsidTr="00DF47DA">
        <w:trPr>
          <w:divId w:val="2080983081"/>
          <w:tblCellSpacing w:w="15" w:type="dxa"/>
        </w:trPr>
        <w:tc>
          <w:tcPr>
            <w:tcW w:w="280" w:type="pct"/>
            <w:hideMark/>
          </w:tcPr>
          <w:p w14:paraId="3DC2D98B" w14:textId="77777777" w:rsidR="00DF47DA" w:rsidRDefault="00DF47DA">
            <w:pPr>
              <w:pStyle w:val="Bibliography"/>
              <w:rPr>
                <w:noProof/>
              </w:rPr>
            </w:pPr>
            <w:r>
              <w:rPr>
                <w:noProof/>
              </w:rPr>
              <w:t xml:space="preserve">[204] </w:t>
            </w:r>
          </w:p>
        </w:tc>
        <w:tc>
          <w:tcPr>
            <w:tcW w:w="4675" w:type="pct"/>
            <w:hideMark/>
          </w:tcPr>
          <w:p w14:paraId="77208907" w14:textId="77777777" w:rsidR="00DF47DA" w:rsidRDefault="00DF47DA">
            <w:pPr>
              <w:pStyle w:val="Bibliography"/>
              <w:rPr>
                <w:noProof/>
              </w:rPr>
            </w:pPr>
            <w:r>
              <w:rPr>
                <w:noProof/>
              </w:rPr>
              <w:t xml:space="preserve">British Standards Institute, BS 476-24, Fire Tests on Building Materials and Structures Part 24: Method for Determination of the Fire Resistance of Ventilation Ducts, 1987. </w:t>
            </w:r>
          </w:p>
        </w:tc>
      </w:tr>
      <w:tr w:rsidR="00DF47DA" w14:paraId="70C3E5BB" w14:textId="77777777" w:rsidTr="00DF47DA">
        <w:trPr>
          <w:divId w:val="2080983081"/>
          <w:tblCellSpacing w:w="15" w:type="dxa"/>
        </w:trPr>
        <w:tc>
          <w:tcPr>
            <w:tcW w:w="280" w:type="pct"/>
            <w:hideMark/>
          </w:tcPr>
          <w:p w14:paraId="4763993D" w14:textId="77777777" w:rsidR="00DF47DA" w:rsidRDefault="00DF47DA">
            <w:pPr>
              <w:pStyle w:val="Bibliography"/>
              <w:rPr>
                <w:noProof/>
              </w:rPr>
            </w:pPr>
            <w:r>
              <w:rPr>
                <w:noProof/>
              </w:rPr>
              <w:t xml:space="preserve">[205] </w:t>
            </w:r>
          </w:p>
        </w:tc>
        <w:tc>
          <w:tcPr>
            <w:tcW w:w="4675" w:type="pct"/>
            <w:hideMark/>
          </w:tcPr>
          <w:p w14:paraId="52FA8B6E" w14:textId="77777777" w:rsidR="00DF47DA" w:rsidRDefault="00DF47DA">
            <w:pPr>
              <w:pStyle w:val="Bibliography"/>
              <w:rPr>
                <w:noProof/>
              </w:rPr>
            </w:pPr>
            <w:r>
              <w:rPr>
                <w:noProof/>
              </w:rPr>
              <w:t xml:space="preserve">British Standards Institute, BS EN 1366-1, Fire resistance tests for service installations Part 1: Ventilation ducts, 2014. </w:t>
            </w:r>
          </w:p>
        </w:tc>
      </w:tr>
      <w:tr w:rsidR="00DF47DA" w14:paraId="7296596D" w14:textId="77777777" w:rsidTr="00DF47DA">
        <w:trPr>
          <w:divId w:val="2080983081"/>
          <w:tblCellSpacing w:w="15" w:type="dxa"/>
        </w:trPr>
        <w:tc>
          <w:tcPr>
            <w:tcW w:w="280" w:type="pct"/>
            <w:hideMark/>
          </w:tcPr>
          <w:p w14:paraId="265130EB" w14:textId="77777777" w:rsidR="00DF47DA" w:rsidRDefault="00DF47DA">
            <w:pPr>
              <w:pStyle w:val="Bibliography"/>
              <w:rPr>
                <w:noProof/>
              </w:rPr>
            </w:pPr>
            <w:r>
              <w:rPr>
                <w:noProof/>
              </w:rPr>
              <w:t xml:space="preserve">[206] </w:t>
            </w:r>
          </w:p>
        </w:tc>
        <w:tc>
          <w:tcPr>
            <w:tcW w:w="4675" w:type="pct"/>
            <w:hideMark/>
          </w:tcPr>
          <w:p w14:paraId="13CE7620" w14:textId="77777777" w:rsidR="00DF47DA" w:rsidRDefault="00DF47DA">
            <w:pPr>
              <w:pStyle w:val="Bibliography"/>
              <w:rPr>
                <w:noProof/>
              </w:rPr>
            </w:pPr>
            <w:r>
              <w:rPr>
                <w:noProof/>
              </w:rPr>
              <w:t xml:space="preserve">NNB GenCo, TeamCenter No. 100579223: UKX-DTXXXX-AU-ALL-NOT-200115: HPC Project: Methodology for Fire Studies in the Reactor Building: Revision D, 2022. </w:t>
            </w:r>
          </w:p>
        </w:tc>
      </w:tr>
      <w:tr w:rsidR="00DF47DA" w14:paraId="5EAEE30B" w14:textId="77777777" w:rsidTr="00DF47DA">
        <w:trPr>
          <w:divId w:val="2080983081"/>
          <w:tblCellSpacing w:w="15" w:type="dxa"/>
        </w:trPr>
        <w:tc>
          <w:tcPr>
            <w:tcW w:w="280" w:type="pct"/>
            <w:hideMark/>
          </w:tcPr>
          <w:p w14:paraId="0CF1A675" w14:textId="77777777" w:rsidR="00DF47DA" w:rsidRDefault="00DF47DA">
            <w:pPr>
              <w:pStyle w:val="Bibliography"/>
              <w:rPr>
                <w:noProof/>
              </w:rPr>
            </w:pPr>
            <w:r>
              <w:rPr>
                <w:noProof/>
              </w:rPr>
              <w:t xml:space="preserve">[207] </w:t>
            </w:r>
          </w:p>
        </w:tc>
        <w:tc>
          <w:tcPr>
            <w:tcW w:w="4675" w:type="pct"/>
            <w:hideMark/>
          </w:tcPr>
          <w:p w14:paraId="2D8B93B9" w14:textId="77777777" w:rsidR="00DF47DA" w:rsidRDefault="00DF47DA">
            <w:pPr>
              <w:pStyle w:val="Bibliography"/>
              <w:rPr>
                <w:noProof/>
              </w:rPr>
            </w:pPr>
            <w:r>
              <w:rPr>
                <w:noProof/>
              </w:rPr>
              <w:t xml:space="preserve">Building Research Establishment, External fire spread: building separation and boundary distances. BR 187, 1991. </w:t>
            </w:r>
          </w:p>
        </w:tc>
      </w:tr>
    </w:tbl>
    <w:p w14:paraId="7648F7BB" w14:textId="77777777" w:rsidR="00DF47DA" w:rsidRDefault="00DF47DA">
      <w:pPr>
        <w:divId w:val="2080983081"/>
        <w:rPr>
          <w:rFonts w:eastAsia="Times New Roman"/>
          <w:noProof/>
        </w:rPr>
      </w:pPr>
    </w:p>
    <w:p w14:paraId="320BA7AE" w14:textId="2E402DD6" w:rsidR="006C17AD" w:rsidRPr="00DD1B58" w:rsidRDefault="00DF47DA" w:rsidP="00DF47DA">
      <w:pPr>
        <w:rPr>
          <w:lang w:val="en-US"/>
        </w:rPr>
      </w:pPr>
      <w:r>
        <w:rPr>
          <w:lang w:val="en-US"/>
        </w:rPr>
        <w:fldChar w:fldCharType="end"/>
      </w:r>
    </w:p>
    <w:p w14:paraId="1D5B2107" w14:textId="2A58A267" w:rsidR="00441E0B" w:rsidRPr="00DD1B58" w:rsidRDefault="00441E0B">
      <w:pPr>
        <w:rPr>
          <w:lang w:val="en-US"/>
        </w:rPr>
      </w:pPr>
    </w:p>
    <w:p w14:paraId="4C0EB902" w14:textId="77777777" w:rsidR="00A123BB" w:rsidRPr="00DD1B58" w:rsidRDefault="00A123BB">
      <w:pPr>
        <w:rPr>
          <w:lang w:val="en-US"/>
        </w:rPr>
      </w:pPr>
    </w:p>
    <w:p w14:paraId="6BDC7168" w14:textId="77777777" w:rsidR="00A123BB" w:rsidRPr="00DD1B58" w:rsidRDefault="00A123BB">
      <w:pPr>
        <w:rPr>
          <w:lang w:val="en-US"/>
        </w:rPr>
      </w:pPr>
    </w:p>
    <w:p w14:paraId="02F785B1" w14:textId="77777777" w:rsidR="009033D5" w:rsidRPr="00DD1B58" w:rsidRDefault="009033D5">
      <w:pPr>
        <w:rPr>
          <w:lang w:val="en-US"/>
        </w:rPr>
      </w:pPr>
    </w:p>
    <w:p w14:paraId="6CD081C8" w14:textId="77777777" w:rsidR="009A5690" w:rsidRPr="00DD1B58" w:rsidRDefault="009A5690">
      <w:pPr>
        <w:spacing w:after="0" w:line="240" w:lineRule="auto"/>
        <w:rPr>
          <w:lang w:val="en-US"/>
        </w:rPr>
      </w:pPr>
      <w:r w:rsidRPr="00DD1B58">
        <w:rPr>
          <w:lang w:val="en-US"/>
        </w:rPr>
        <w:br w:type="page"/>
      </w:r>
    </w:p>
    <w:p w14:paraId="160FD57D" w14:textId="77777777" w:rsidR="00D34C6F" w:rsidRPr="00DD1B58" w:rsidRDefault="00D34C6F" w:rsidP="00DB3279">
      <w:pPr>
        <w:pStyle w:val="Heading1"/>
        <w:numPr>
          <w:ilvl w:val="0"/>
          <w:numId w:val="0"/>
        </w:numPr>
        <w:rPr>
          <w:lang w:val="en-US"/>
        </w:rPr>
      </w:pPr>
      <w:bookmarkStart w:id="200" w:name="_Toc147090663"/>
      <w:r w:rsidRPr="00DD1B58">
        <w:rPr>
          <w:lang w:val="en-US"/>
        </w:rPr>
        <w:t>Appendices to the NAR</w:t>
      </w:r>
      <w:bookmarkEnd w:id="200"/>
      <w:r w:rsidRPr="00DD1B58">
        <w:rPr>
          <w:lang w:val="en-US"/>
        </w:rPr>
        <w:t xml:space="preserve"> </w:t>
      </w:r>
    </w:p>
    <w:p w14:paraId="787DE251" w14:textId="77777777" w:rsidR="00456C96" w:rsidRPr="00DD1B58" w:rsidRDefault="00D34C6F">
      <w:pPr>
        <w:pStyle w:val="Heading3A"/>
        <w:rPr>
          <w:lang w:val="en-US"/>
        </w:rPr>
      </w:pPr>
      <w:bookmarkStart w:id="201" w:name="_Ref140160830"/>
      <w:bookmarkStart w:id="202" w:name="_Ref140160834"/>
      <w:bookmarkStart w:id="203" w:name="_Toc147090664"/>
      <w:r w:rsidRPr="00DD1B58">
        <w:rPr>
          <w:lang w:val="en-US"/>
        </w:rPr>
        <w:t>Development of the national selection of installations</w:t>
      </w:r>
      <w:bookmarkEnd w:id="201"/>
      <w:bookmarkEnd w:id="202"/>
      <w:bookmarkEnd w:id="203"/>
    </w:p>
    <w:p w14:paraId="5A1606CD" w14:textId="77777777" w:rsidR="003010D4" w:rsidRPr="00DD1B58" w:rsidRDefault="003010D4" w:rsidP="00D81114">
      <w:pPr>
        <w:pStyle w:val="Caption"/>
        <w:keepNext/>
        <w:rPr>
          <w:lang w:val="en-US"/>
        </w:rPr>
        <w:sectPr w:rsidR="003010D4" w:rsidRPr="00DD1B58" w:rsidSect="00C449F1">
          <w:pgSz w:w="11906" w:h="16838" w:code="9"/>
          <w:pgMar w:top="902" w:right="1077" w:bottom="1843" w:left="1077" w:header="397" w:footer="397" w:gutter="0"/>
          <w:cols w:space="312"/>
          <w:docGrid w:linePitch="360"/>
        </w:sectPr>
      </w:pPr>
    </w:p>
    <w:p w14:paraId="10602953" w14:textId="426DBA54" w:rsidR="00D81114" w:rsidRPr="00DD1B58" w:rsidRDefault="00D81114" w:rsidP="00D81114">
      <w:pPr>
        <w:pStyle w:val="Caption"/>
        <w:keepNext/>
        <w:rPr>
          <w:lang w:val="en-US"/>
        </w:rPr>
      </w:pPr>
      <w:r w:rsidRPr="00DD1B58">
        <w:rPr>
          <w:lang w:val="en-US"/>
        </w:rPr>
        <w:t xml:space="preserve">Table </w:t>
      </w:r>
      <w:r w:rsidRPr="00DD1B58">
        <w:rPr>
          <w:lang w:val="en-US"/>
        </w:rPr>
        <w:fldChar w:fldCharType="begin"/>
      </w:r>
      <w:r w:rsidRPr="00DD1B58">
        <w:rPr>
          <w:lang w:val="en-US"/>
        </w:rPr>
        <w:instrText>SEQ Table \* ARABIC</w:instrText>
      </w:r>
      <w:r w:rsidRPr="00DD1B58">
        <w:rPr>
          <w:lang w:val="en-US"/>
        </w:rPr>
        <w:fldChar w:fldCharType="separate"/>
      </w:r>
      <w:r w:rsidR="00DF47DA">
        <w:rPr>
          <w:noProof/>
          <w:lang w:val="en-US"/>
        </w:rPr>
        <w:t>6</w:t>
      </w:r>
      <w:r w:rsidRPr="00DD1B58">
        <w:rPr>
          <w:lang w:val="en-US"/>
        </w:rPr>
        <w:fldChar w:fldCharType="end"/>
      </w:r>
      <w:r w:rsidRPr="00DD1B58">
        <w:rPr>
          <w:lang w:val="en-US"/>
        </w:rPr>
        <w:t>: Qualifying installations for the purposes of the NAR.</w:t>
      </w:r>
    </w:p>
    <w:tbl>
      <w:tblPr>
        <w:tblW w:w="2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308"/>
        <w:gridCol w:w="2653"/>
        <w:gridCol w:w="2268"/>
        <w:gridCol w:w="5529"/>
        <w:gridCol w:w="5758"/>
      </w:tblGrid>
      <w:tr w:rsidR="00234199" w:rsidRPr="00DD1B58" w14:paraId="20FBC04C" w14:textId="77777777">
        <w:trPr>
          <w:trHeight w:val="983"/>
        </w:trPr>
        <w:tc>
          <w:tcPr>
            <w:tcW w:w="2405" w:type="dxa"/>
            <w:shd w:val="clear" w:color="000000" w:fill="C4D79B"/>
            <w:vAlign w:val="center"/>
            <w:hideMark/>
          </w:tcPr>
          <w:p w14:paraId="105CEEC4"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Nuclear power plant units</w:t>
            </w:r>
          </w:p>
        </w:tc>
        <w:tc>
          <w:tcPr>
            <w:tcW w:w="2308" w:type="dxa"/>
            <w:shd w:val="clear" w:color="000000" w:fill="C4D79B"/>
            <w:vAlign w:val="center"/>
          </w:tcPr>
          <w:p w14:paraId="584096D7"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Number</w:t>
            </w:r>
          </w:p>
        </w:tc>
        <w:tc>
          <w:tcPr>
            <w:tcW w:w="2653" w:type="dxa"/>
            <w:shd w:val="clear" w:color="000000" w:fill="C4D79B"/>
            <w:vAlign w:val="center"/>
          </w:tcPr>
          <w:p w14:paraId="40E79471"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Qualifying Installations</w:t>
            </w:r>
          </w:p>
        </w:tc>
        <w:tc>
          <w:tcPr>
            <w:tcW w:w="2268" w:type="dxa"/>
            <w:shd w:val="clear" w:color="000000" w:fill="C4D79B"/>
            <w:vAlign w:val="center"/>
          </w:tcPr>
          <w:p w14:paraId="0F3680D4"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Licensee</w:t>
            </w:r>
          </w:p>
        </w:tc>
        <w:tc>
          <w:tcPr>
            <w:tcW w:w="5529" w:type="dxa"/>
            <w:shd w:val="clear" w:color="000000" w:fill="C4D79B"/>
            <w:vAlign w:val="center"/>
          </w:tcPr>
          <w:p w14:paraId="38F90D52"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 xml:space="preserve">Type &amp; Status </w:t>
            </w:r>
          </w:p>
          <w:p w14:paraId="4580E77E" w14:textId="77777777" w:rsidR="00234199" w:rsidRPr="00DD1B58" w:rsidRDefault="00234199" w:rsidP="00234199">
            <w:pPr>
              <w:spacing w:after="0" w:line="240" w:lineRule="auto"/>
              <w:jc w:val="center"/>
              <w:rPr>
                <w:rFonts w:ascii="Calibri" w:eastAsia="Times New Roman" w:hAnsi="Calibri" w:cs="Calibri"/>
                <w:sz w:val="28"/>
                <w:szCs w:val="28"/>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5758" w:type="dxa"/>
            <w:shd w:val="clear" w:color="000000" w:fill="C4D79B"/>
            <w:vAlign w:val="center"/>
          </w:tcPr>
          <w:p w14:paraId="7D3DAB68"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Sampling rationale</w:t>
            </w:r>
          </w:p>
          <w:p w14:paraId="41E59E6E" w14:textId="77777777" w:rsidR="00234199" w:rsidRPr="00DD1B58" w:rsidRDefault="00234199" w:rsidP="00234199">
            <w:pPr>
              <w:spacing w:after="0" w:line="240" w:lineRule="auto"/>
              <w:jc w:val="center"/>
              <w:rPr>
                <w:rFonts w:ascii="Calibri" w:eastAsia="Times New Roman" w:hAnsi="Calibri" w:cs="Calibri"/>
                <w:sz w:val="28"/>
                <w:szCs w:val="28"/>
                <w:lang w:val="en-US" w:eastAsia="en-GB" w:bidi="ar-SA"/>
              </w:rPr>
            </w:pPr>
            <w:r w:rsidRPr="00DD1B58">
              <w:rPr>
                <w:rFonts w:ascii="Calibri" w:eastAsia="Times New Roman" w:hAnsi="Calibri" w:cs="Calibri"/>
                <w:sz w:val="22"/>
                <w:lang w:val="en-US" w:eastAsia="en-GB" w:bidi="ar-SA"/>
              </w:rPr>
              <w:t>(highlighting installations selected for TPR)</w:t>
            </w:r>
          </w:p>
        </w:tc>
      </w:tr>
      <w:tr w:rsidR="00234199" w:rsidRPr="00DD1B58" w14:paraId="7BBB38CF" w14:textId="77777777">
        <w:trPr>
          <w:trHeight w:val="300"/>
        </w:trPr>
        <w:tc>
          <w:tcPr>
            <w:tcW w:w="2405" w:type="dxa"/>
            <w:vMerge w:val="restart"/>
            <w:shd w:val="clear" w:color="auto" w:fill="auto"/>
            <w:hideMark/>
          </w:tcPr>
          <w:p w14:paraId="750CF162"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 xml:space="preserve">units in operation </w:t>
            </w:r>
            <w:r w:rsidRPr="00DD1B58">
              <w:rPr>
                <w:rFonts w:ascii="Calibri" w:eastAsia="Times New Roman" w:hAnsi="Calibri" w:cs="Calibri"/>
                <w:i/>
                <w:iCs/>
                <w:color w:val="000000"/>
                <w:sz w:val="20"/>
                <w:szCs w:val="20"/>
                <w:lang w:val="en-US" w:eastAsia="en-GB" w:bidi="ar-SA"/>
              </w:rPr>
              <w:t>(or undergoing de-fuelling)</w:t>
            </w:r>
          </w:p>
          <w:p w14:paraId="0C952B46" w14:textId="77777777" w:rsidR="00234199" w:rsidRPr="00DD1B58" w:rsidRDefault="00234199" w:rsidP="00234199">
            <w:pPr>
              <w:spacing w:after="0" w:line="240" w:lineRule="auto"/>
              <w:rPr>
                <w:rFonts w:ascii="Calibri" w:eastAsia="Times New Roman" w:hAnsi="Calibri" w:cs="Calibri"/>
                <w:i/>
                <w:iCs/>
                <w:color w:val="000000"/>
                <w:sz w:val="18"/>
                <w:szCs w:val="18"/>
                <w:lang w:val="en-US" w:eastAsia="en-GB" w:bidi="ar-SA"/>
              </w:rPr>
            </w:pPr>
          </w:p>
          <w:p w14:paraId="51A9DAD8" w14:textId="77777777" w:rsidR="00234199" w:rsidRPr="00DD1B58" w:rsidRDefault="00234199" w:rsidP="00234199">
            <w:pPr>
              <w:spacing w:after="0" w:line="240" w:lineRule="auto"/>
              <w:rPr>
                <w:rFonts w:ascii="Calibri" w:eastAsia="Times New Roman" w:hAnsi="Calibri" w:cs="Calibri"/>
                <w:i/>
                <w:iCs/>
                <w:color w:val="000000"/>
                <w:sz w:val="20"/>
                <w:szCs w:val="20"/>
                <w:lang w:val="en-US" w:eastAsia="en-GB" w:bidi="ar-SA"/>
              </w:rPr>
            </w:pPr>
            <w:r w:rsidRPr="00DD1B58">
              <w:rPr>
                <w:rFonts w:ascii="Calibri" w:eastAsia="Times New Roman" w:hAnsi="Calibri" w:cs="Calibri"/>
                <w:i/>
                <w:iCs/>
                <w:color w:val="000000"/>
                <w:sz w:val="18"/>
                <w:szCs w:val="18"/>
                <w:lang w:val="en-US" w:eastAsia="en-GB" w:bidi="ar-SA"/>
              </w:rPr>
              <w:t>Each AGR has two units, Sizewell B (PWR) is one unit only</w:t>
            </w:r>
          </w:p>
        </w:tc>
        <w:tc>
          <w:tcPr>
            <w:tcW w:w="2308" w:type="dxa"/>
            <w:vMerge w:val="restart"/>
          </w:tcPr>
          <w:p w14:paraId="7C3D761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15 </w:t>
            </w:r>
          </w:p>
        </w:tc>
        <w:tc>
          <w:tcPr>
            <w:tcW w:w="2653" w:type="dxa"/>
          </w:tcPr>
          <w:p w14:paraId="5CE7761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Hartlepool</w:t>
            </w:r>
          </w:p>
          <w:p w14:paraId="36A948D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Heysham 1</w:t>
            </w:r>
          </w:p>
          <w:p w14:paraId="175B16D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Heysham 2</w:t>
            </w:r>
          </w:p>
          <w:p w14:paraId="1C88610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Hinkley B</w:t>
            </w:r>
          </w:p>
          <w:p w14:paraId="36FEBCA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Torness</w:t>
            </w:r>
          </w:p>
        </w:tc>
        <w:tc>
          <w:tcPr>
            <w:tcW w:w="2268" w:type="dxa"/>
          </w:tcPr>
          <w:p w14:paraId="6598499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EDF Energy Nuclear Generation Ltd</w:t>
            </w:r>
          </w:p>
        </w:tc>
        <w:tc>
          <w:tcPr>
            <w:tcW w:w="5529" w:type="dxa"/>
          </w:tcPr>
          <w:p w14:paraId="1E4B96B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AGRs in operation </w:t>
            </w:r>
          </w:p>
        </w:tc>
        <w:tc>
          <w:tcPr>
            <w:tcW w:w="5758" w:type="dxa"/>
          </w:tcPr>
          <w:p w14:paraId="54E1F68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Heysham 2</w:t>
            </w:r>
            <w:r w:rsidRPr="00DD1B58">
              <w:rPr>
                <w:rFonts w:ascii="Calibri" w:eastAsia="Times New Roman" w:hAnsi="Calibri" w:cs="Calibri"/>
                <w:color w:val="000000"/>
                <w:sz w:val="20"/>
                <w:szCs w:val="20"/>
                <w:lang w:val="en-US" w:eastAsia="en-GB" w:bidi="ar-SA"/>
              </w:rPr>
              <w:t xml:space="preserve"> included as a second generation AGR in operation. All EDF NGL stations are under the same management arrangements for nuclear fire safety. </w:t>
            </w:r>
          </w:p>
        </w:tc>
      </w:tr>
      <w:tr w:rsidR="00234199" w:rsidRPr="00DD1B58" w14:paraId="75FC8555" w14:textId="77777777">
        <w:trPr>
          <w:trHeight w:val="300"/>
        </w:trPr>
        <w:tc>
          <w:tcPr>
            <w:tcW w:w="2405" w:type="dxa"/>
            <w:vMerge/>
            <w:shd w:val="clear" w:color="auto" w:fill="auto"/>
            <w:noWrap/>
            <w:vAlign w:val="bottom"/>
          </w:tcPr>
          <w:p w14:paraId="587F5E00"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308" w:type="dxa"/>
            <w:vMerge/>
          </w:tcPr>
          <w:p w14:paraId="29460922"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653" w:type="dxa"/>
          </w:tcPr>
          <w:p w14:paraId="7ED91CB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Hunterston B</w:t>
            </w:r>
          </w:p>
        </w:tc>
        <w:tc>
          <w:tcPr>
            <w:tcW w:w="2268" w:type="dxa"/>
          </w:tcPr>
          <w:p w14:paraId="6A30721F"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lang w:val="en-US" w:eastAsia="en-GB" w:bidi="ar-SA"/>
              </w:rPr>
              <w:t>EDF Energy Nuclear Generation Ltd</w:t>
            </w:r>
          </w:p>
        </w:tc>
        <w:tc>
          <w:tcPr>
            <w:tcW w:w="5529" w:type="dxa"/>
          </w:tcPr>
          <w:p w14:paraId="5F970C04"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lang w:val="en-US" w:eastAsia="en-GB" w:bidi="ar-SA"/>
              </w:rPr>
              <w:t>AGR shutdown and defueling by TPR start</w:t>
            </w:r>
          </w:p>
        </w:tc>
        <w:tc>
          <w:tcPr>
            <w:tcW w:w="5758" w:type="dxa"/>
          </w:tcPr>
          <w:p w14:paraId="40B4DFD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Hunterston B</w:t>
            </w:r>
            <w:r w:rsidRPr="00DD1B58">
              <w:rPr>
                <w:rFonts w:ascii="Calibri" w:eastAsia="Times New Roman" w:hAnsi="Calibri" w:cs="Calibri"/>
                <w:color w:val="000000"/>
                <w:sz w:val="20"/>
                <w:szCs w:val="20"/>
                <w:lang w:val="en-US" w:eastAsia="en-GB" w:bidi="ar-SA"/>
              </w:rPr>
              <w:t xml:space="preserve"> included as a first generation AGR, undergoing de-fuelling. All EDF NGL stations are under the same management arrangements for nuclear fire safety.</w:t>
            </w:r>
          </w:p>
        </w:tc>
      </w:tr>
      <w:tr w:rsidR="00234199" w:rsidRPr="00DD1B58" w14:paraId="77CDA163" w14:textId="77777777">
        <w:trPr>
          <w:trHeight w:val="307"/>
        </w:trPr>
        <w:tc>
          <w:tcPr>
            <w:tcW w:w="2405" w:type="dxa"/>
            <w:vMerge/>
            <w:shd w:val="clear" w:color="auto" w:fill="auto"/>
            <w:noWrap/>
            <w:vAlign w:val="bottom"/>
          </w:tcPr>
          <w:p w14:paraId="73941798"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308" w:type="dxa"/>
            <w:vMerge/>
          </w:tcPr>
          <w:p w14:paraId="135A1D07"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653" w:type="dxa"/>
          </w:tcPr>
          <w:p w14:paraId="0318644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Dungeness B </w:t>
            </w:r>
          </w:p>
        </w:tc>
        <w:tc>
          <w:tcPr>
            <w:tcW w:w="2268" w:type="dxa"/>
          </w:tcPr>
          <w:p w14:paraId="59CC676A"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lang w:val="en-US" w:eastAsia="en-GB" w:bidi="ar-SA"/>
              </w:rPr>
              <w:t>EDF Energy Nuclear Generation Ltd</w:t>
            </w:r>
          </w:p>
        </w:tc>
        <w:tc>
          <w:tcPr>
            <w:tcW w:w="5529" w:type="dxa"/>
          </w:tcPr>
          <w:p w14:paraId="11A82302"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lang w:val="en-US" w:eastAsia="en-GB" w:bidi="ar-SA"/>
              </w:rPr>
              <w:t>AGR permanently shutdown (prior to commencement of defueling)</w:t>
            </w:r>
          </w:p>
        </w:tc>
        <w:tc>
          <w:tcPr>
            <w:tcW w:w="5758" w:type="dxa"/>
          </w:tcPr>
          <w:p w14:paraId="7A53B18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Transferability of insights from Heysham 2 (AGR in operation) and Hunterston B (AGR undergoing de-fuelling) documented in the report, as well as Dungeness B fire-related events.</w:t>
            </w:r>
          </w:p>
        </w:tc>
      </w:tr>
      <w:tr w:rsidR="00234199" w:rsidRPr="00DD1B58" w14:paraId="6D9AD099" w14:textId="77777777">
        <w:trPr>
          <w:trHeight w:val="307"/>
        </w:trPr>
        <w:tc>
          <w:tcPr>
            <w:tcW w:w="2405" w:type="dxa"/>
            <w:vMerge/>
            <w:shd w:val="clear" w:color="auto" w:fill="auto"/>
            <w:noWrap/>
            <w:vAlign w:val="bottom"/>
          </w:tcPr>
          <w:p w14:paraId="26B5592A"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308" w:type="dxa"/>
            <w:vMerge/>
          </w:tcPr>
          <w:p w14:paraId="162A6006"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p>
        </w:tc>
        <w:tc>
          <w:tcPr>
            <w:tcW w:w="2653" w:type="dxa"/>
          </w:tcPr>
          <w:p w14:paraId="72B28FC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Sizewell B (incl. dry fuel store)</w:t>
            </w:r>
          </w:p>
        </w:tc>
        <w:tc>
          <w:tcPr>
            <w:tcW w:w="2268" w:type="dxa"/>
          </w:tcPr>
          <w:p w14:paraId="4741ED8D"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lang w:val="en-US" w:eastAsia="en-GB" w:bidi="ar-SA"/>
              </w:rPr>
              <w:t>EDF Energy Nuclear Generation Ltd</w:t>
            </w:r>
          </w:p>
        </w:tc>
        <w:tc>
          <w:tcPr>
            <w:tcW w:w="5529" w:type="dxa"/>
          </w:tcPr>
          <w:p w14:paraId="47431F9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PWR in operation</w:t>
            </w:r>
          </w:p>
        </w:tc>
        <w:tc>
          <w:tcPr>
            <w:tcW w:w="5758" w:type="dxa"/>
          </w:tcPr>
          <w:p w14:paraId="75202791" w14:textId="77777777" w:rsidR="00234199" w:rsidRPr="00DD1B58" w:rsidRDefault="00234199" w:rsidP="00234199">
            <w:pPr>
              <w:spacing w:after="0" w:line="240" w:lineRule="auto"/>
              <w:rPr>
                <w:rFonts w:ascii="Calibri" w:eastAsia="Times New Roman" w:hAnsi="Calibri" w:cs="Calibri"/>
                <w:color w:val="000000"/>
                <w:sz w:val="22"/>
                <w:lang w:val="en-US" w:eastAsia="en-GB" w:bidi="ar-SA"/>
              </w:rPr>
            </w:pPr>
            <w:r w:rsidRPr="00DD1B58">
              <w:rPr>
                <w:rFonts w:ascii="Calibri" w:eastAsia="Times New Roman" w:hAnsi="Calibri" w:cs="Calibri"/>
                <w:color w:val="000000"/>
                <w:sz w:val="20"/>
                <w:szCs w:val="20"/>
                <w:highlight w:val="green"/>
                <w:lang w:val="en-US" w:eastAsia="en-GB" w:bidi="ar-SA"/>
              </w:rPr>
              <w:t>Sizewell B (incl. dry fuel store)</w:t>
            </w:r>
            <w:r w:rsidRPr="00DD1B58">
              <w:rPr>
                <w:rFonts w:ascii="Calibri" w:eastAsia="Times New Roman" w:hAnsi="Calibri" w:cs="Calibri"/>
                <w:color w:val="000000"/>
                <w:sz w:val="20"/>
                <w:szCs w:val="20"/>
                <w:lang w:val="en-US" w:eastAsia="en-GB" w:bidi="ar-SA"/>
              </w:rPr>
              <w:t>; included as the only PWR unit in operation in GB and to include dry storage of spent fuel</w:t>
            </w:r>
          </w:p>
        </w:tc>
      </w:tr>
      <w:tr w:rsidR="00234199" w:rsidRPr="00DD1B58" w14:paraId="1C2CA4C4" w14:textId="77777777">
        <w:trPr>
          <w:trHeight w:val="300"/>
        </w:trPr>
        <w:tc>
          <w:tcPr>
            <w:tcW w:w="2405" w:type="dxa"/>
            <w:shd w:val="clear" w:color="auto" w:fill="auto"/>
            <w:hideMark/>
          </w:tcPr>
          <w:p w14:paraId="67415F36"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units in construction</w:t>
            </w:r>
          </w:p>
        </w:tc>
        <w:tc>
          <w:tcPr>
            <w:tcW w:w="2308" w:type="dxa"/>
          </w:tcPr>
          <w:p w14:paraId="51EE8E8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2 </w:t>
            </w:r>
          </w:p>
        </w:tc>
        <w:tc>
          <w:tcPr>
            <w:tcW w:w="2653" w:type="dxa"/>
          </w:tcPr>
          <w:p w14:paraId="47DED12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Hinkley Point C – EPR PWR</w:t>
            </w:r>
          </w:p>
        </w:tc>
        <w:tc>
          <w:tcPr>
            <w:tcW w:w="2268" w:type="dxa"/>
          </w:tcPr>
          <w:p w14:paraId="4A0B4FB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New Build Generation Company (NNB GenCo), a subsidiary created by EDF Energy</w:t>
            </w:r>
          </w:p>
        </w:tc>
        <w:tc>
          <w:tcPr>
            <w:tcW w:w="5529" w:type="dxa"/>
          </w:tcPr>
          <w:p w14:paraId="2EFCF07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PWR units in construction</w:t>
            </w:r>
          </w:p>
        </w:tc>
        <w:tc>
          <w:tcPr>
            <w:tcW w:w="5758" w:type="dxa"/>
          </w:tcPr>
          <w:p w14:paraId="38A139A1" w14:textId="218D8B76"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Hinkley Point C</w:t>
            </w:r>
            <w:r w:rsidRPr="00DD1B58">
              <w:rPr>
                <w:rFonts w:ascii="Calibri" w:eastAsia="Times New Roman" w:hAnsi="Calibri" w:cs="Calibri"/>
                <w:color w:val="000000"/>
                <w:sz w:val="20"/>
                <w:szCs w:val="20"/>
                <w:lang w:val="en-US" w:eastAsia="en-GB" w:bidi="ar-SA"/>
              </w:rPr>
              <w:t xml:space="preserve"> </w:t>
            </w:r>
            <w:r w:rsidR="009E080C" w:rsidRPr="00DD1B58">
              <w:rPr>
                <w:rFonts w:ascii="Calibri" w:eastAsia="Times New Roman" w:hAnsi="Calibri" w:cs="Calibri"/>
                <w:color w:val="000000"/>
                <w:sz w:val="20"/>
                <w:szCs w:val="20"/>
                <w:lang w:val="en-US" w:eastAsia="en-GB" w:bidi="ar-SA"/>
              </w:rPr>
              <w:t>(incl. spent fu</w:t>
            </w:r>
            <w:r w:rsidR="00A6580F" w:rsidRPr="00DD1B58">
              <w:rPr>
                <w:rFonts w:ascii="Calibri" w:eastAsia="Times New Roman" w:hAnsi="Calibri" w:cs="Calibri"/>
                <w:color w:val="000000"/>
                <w:sz w:val="20"/>
                <w:szCs w:val="20"/>
                <w:lang w:val="en-US" w:eastAsia="en-GB" w:bidi="ar-SA"/>
              </w:rPr>
              <w:t>el storage pond</w:t>
            </w:r>
            <w:r w:rsidR="00047957" w:rsidRPr="00DD1B58">
              <w:rPr>
                <w:rFonts w:ascii="Calibri" w:eastAsia="Times New Roman" w:hAnsi="Calibri" w:cs="Calibri"/>
                <w:color w:val="000000"/>
                <w:sz w:val="20"/>
                <w:szCs w:val="20"/>
                <w:lang w:val="en-US" w:eastAsia="en-GB" w:bidi="ar-SA"/>
              </w:rPr>
              <w:t xml:space="preserve"> and waste stor</w:t>
            </w:r>
            <w:r w:rsidR="00D959F6" w:rsidRPr="00DD1B58">
              <w:rPr>
                <w:rFonts w:ascii="Calibri" w:eastAsia="Times New Roman" w:hAnsi="Calibri" w:cs="Calibri"/>
                <w:color w:val="000000"/>
                <w:sz w:val="20"/>
                <w:szCs w:val="20"/>
                <w:lang w:val="en-US" w:eastAsia="en-GB" w:bidi="ar-SA"/>
              </w:rPr>
              <w:t>age</w:t>
            </w:r>
            <w:r w:rsidR="00047957" w:rsidRPr="00DD1B58">
              <w:rPr>
                <w:rFonts w:ascii="Calibri" w:eastAsia="Times New Roman" w:hAnsi="Calibri" w:cs="Calibri"/>
                <w:color w:val="000000"/>
                <w:sz w:val="20"/>
                <w:szCs w:val="20"/>
                <w:lang w:val="en-US" w:eastAsia="en-GB" w:bidi="ar-SA"/>
              </w:rPr>
              <w:t xml:space="preserve"> and management facilities</w:t>
            </w:r>
            <w:r w:rsidR="00A6580F" w:rsidRPr="00DD1B58">
              <w:rPr>
                <w:rFonts w:ascii="Calibri" w:eastAsia="Times New Roman" w:hAnsi="Calibri" w:cs="Calibri"/>
                <w:color w:val="000000"/>
                <w:sz w:val="20"/>
                <w:szCs w:val="20"/>
                <w:lang w:val="en-US" w:eastAsia="en-GB" w:bidi="ar-SA"/>
              </w:rPr>
              <w:t xml:space="preserve">) </w:t>
            </w:r>
            <w:r w:rsidRPr="00DD1B58">
              <w:rPr>
                <w:rFonts w:ascii="Calibri" w:eastAsia="Times New Roman" w:hAnsi="Calibri" w:cs="Calibri"/>
                <w:color w:val="000000"/>
                <w:sz w:val="20"/>
                <w:szCs w:val="20"/>
                <w:lang w:val="en-US" w:eastAsia="en-GB" w:bidi="ar-SA"/>
              </w:rPr>
              <w:t xml:space="preserve">as the only NPP under construction in GB. Representative of modern standards of fire safety analysis and design in GB New Reactors. </w:t>
            </w:r>
          </w:p>
        </w:tc>
      </w:tr>
      <w:tr w:rsidR="00234199" w:rsidRPr="00DD1B58" w14:paraId="15B5F73E" w14:textId="77777777">
        <w:trPr>
          <w:trHeight w:val="300"/>
        </w:trPr>
        <w:tc>
          <w:tcPr>
            <w:tcW w:w="2405" w:type="dxa"/>
            <w:vMerge w:val="restart"/>
            <w:shd w:val="clear" w:color="auto" w:fill="auto"/>
          </w:tcPr>
          <w:p w14:paraId="77B9AD6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units in decommissioning</w:t>
            </w:r>
          </w:p>
        </w:tc>
        <w:tc>
          <w:tcPr>
            <w:tcW w:w="2308" w:type="dxa"/>
            <w:vMerge w:val="restart"/>
          </w:tcPr>
          <w:p w14:paraId="293EE73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29 </w:t>
            </w:r>
          </w:p>
          <w:p w14:paraId="6D3A1BA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653" w:type="dxa"/>
          </w:tcPr>
          <w:p w14:paraId="69439F3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4 units at Calder Hall NPP</w:t>
            </w:r>
          </w:p>
        </w:tc>
        <w:tc>
          <w:tcPr>
            <w:tcW w:w="2268" w:type="dxa"/>
          </w:tcPr>
          <w:p w14:paraId="62411C1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5529" w:type="dxa"/>
          </w:tcPr>
          <w:p w14:paraId="76E0516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Defueled – defueling completed in 2019</w:t>
            </w:r>
          </w:p>
        </w:tc>
        <w:tc>
          <w:tcPr>
            <w:tcW w:w="5758" w:type="dxa"/>
          </w:tcPr>
          <w:p w14:paraId="16A010E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represented by sample of waste storage facilities at the Sellafield Licensed site.</w:t>
            </w:r>
          </w:p>
        </w:tc>
      </w:tr>
      <w:tr w:rsidR="00234199" w:rsidRPr="00DD1B58" w14:paraId="2FFAB733" w14:textId="77777777">
        <w:trPr>
          <w:trHeight w:val="300"/>
        </w:trPr>
        <w:tc>
          <w:tcPr>
            <w:tcW w:w="2405" w:type="dxa"/>
            <w:vMerge/>
            <w:shd w:val="clear" w:color="auto" w:fill="auto"/>
          </w:tcPr>
          <w:p w14:paraId="00DAC045"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308" w:type="dxa"/>
            <w:vMerge/>
          </w:tcPr>
          <w:p w14:paraId="630EDA2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653" w:type="dxa"/>
          </w:tcPr>
          <w:p w14:paraId="4BD2ED45" w14:textId="11625611"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1 unit - Windscale Advanced Gas Reactor (W</w:t>
            </w:r>
            <w:r w:rsidR="00BF6E9F" w:rsidRPr="00DD1B58">
              <w:rPr>
                <w:rFonts w:ascii="Calibri" w:eastAsia="Times New Roman" w:hAnsi="Calibri" w:cs="Calibri"/>
                <w:color w:val="000000"/>
                <w:sz w:val="20"/>
                <w:szCs w:val="20"/>
                <w:lang w:val="en-US" w:eastAsia="en-GB" w:bidi="ar-SA"/>
              </w:rPr>
              <w:t>A</w:t>
            </w:r>
            <w:r w:rsidRPr="00DD1B58">
              <w:rPr>
                <w:rFonts w:ascii="Calibri" w:eastAsia="Times New Roman" w:hAnsi="Calibri" w:cs="Calibri"/>
                <w:color w:val="000000"/>
                <w:sz w:val="20"/>
                <w:szCs w:val="20"/>
                <w:lang w:val="en-US" w:eastAsia="en-GB" w:bidi="ar-SA"/>
              </w:rPr>
              <w:t>GR)</w:t>
            </w:r>
          </w:p>
        </w:tc>
        <w:tc>
          <w:tcPr>
            <w:tcW w:w="2268" w:type="dxa"/>
          </w:tcPr>
          <w:p w14:paraId="75E547B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5529" w:type="dxa"/>
          </w:tcPr>
          <w:p w14:paraId="77FDBEB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Defueled and largely decommissioned (reactor has been decommissioned, only the bioshield, the external clad sphere and some ancillary plant remain)</w:t>
            </w:r>
          </w:p>
        </w:tc>
        <w:tc>
          <w:tcPr>
            <w:tcW w:w="5758" w:type="dxa"/>
          </w:tcPr>
          <w:p w14:paraId="5C89DD4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represented by sample of waste storage facilities at the Sellafield Licensed site.</w:t>
            </w:r>
          </w:p>
        </w:tc>
      </w:tr>
      <w:tr w:rsidR="00234199" w:rsidRPr="00DD1B58" w14:paraId="0931508A" w14:textId="77777777">
        <w:trPr>
          <w:trHeight w:val="300"/>
        </w:trPr>
        <w:tc>
          <w:tcPr>
            <w:tcW w:w="2405" w:type="dxa"/>
            <w:vMerge/>
            <w:shd w:val="clear" w:color="auto" w:fill="auto"/>
          </w:tcPr>
          <w:p w14:paraId="4052E12A"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308" w:type="dxa"/>
            <w:vMerge/>
          </w:tcPr>
          <w:p w14:paraId="4694E69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653" w:type="dxa"/>
          </w:tcPr>
          <w:p w14:paraId="595F22F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Windscale Piles</w:t>
            </w:r>
          </w:p>
        </w:tc>
        <w:tc>
          <w:tcPr>
            <w:tcW w:w="2268" w:type="dxa"/>
          </w:tcPr>
          <w:p w14:paraId="31CE58F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5529" w:type="dxa"/>
          </w:tcPr>
          <w:p w14:paraId="5436FA4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Reactors have been defueled with the exception of the fire affected zone of Pile 1 (which suffered a fire in 1957). Plant supporting the reactors has been removed or disconnected. The demolition of the remaining ventilation chimney for Pile 1 has been progressed.</w:t>
            </w:r>
          </w:p>
        </w:tc>
        <w:tc>
          <w:tcPr>
            <w:tcW w:w="5758" w:type="dxa"/>
          </w:tcPr>
          <w:p w14:paraId="5C2B6E3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Pile 1</w:t>
            </w:r>
            <w:r w:rsidRPr="00DD1B58">
              <w:rPr>
                <w:rFonts w:ascii="Calibri" w:eastAsia="Times New Roman" w:hAnsi="Calibri" w:cs="Calibri"/>
                <w:color w:val="000000"/>
                <w:sz w:val="20"/>
                <w:szCs w:val="20"/>
                <w:lang w:val="en-US" w:eastAsia="en-GB" w:bidi="ar-SA"/>
              </w:rPr>
              <w:t xml:space="preserve"> included, as a graphite-moderated, air-cooled nuclear in a state of care and maintenance, sharing a boundary with the Pile chimney, which is undergoing decommissioning (height reduction)</w:t>
            </w:r>
          </w:p>
        </w:tc>
      </w:tr>
      <w:tr w:rsidR="00234199" w:rsidRPr="00DD1B58" w14:paraId="4BA74A05" w14:textId="77777777">
        <w:trPr>
          <w:trHeight w:val="300"/>
        </w:trPr>
        <w:tc>
          <w:tcPr>
            <w:tcW w:w="2405" w:type="dxa"/>
            <w:vMerge/>
            <w:shd w:val="clear" w:color="auto" w:fill="auto"/>
          </w:tcPr>
          <w:p w14:paraId="43EB75F4"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308" w:type="dxa"/>
            <w:vMerge/>
          </w:tcPr>
          <w:p w14:paraId="3B18F7D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653" w:type="dxa"/>
          </w:tcPr>
          <w:p w14:paraId="47E8EA0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2 units at Berkeley </w:t>
            </w:r>
          </w:p>
          <w:p w14:paraId="4D667F6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2 at Bradwell </w:t>
            </w:r>
          </w:p>
          <w:p w14:paraId="70329E7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4 at Chapelcross</w:t>
            </w:r>
          </w:p>
          <w:p w14:paraId="60F5DB0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Dungeness A</w:t>
            </w:r>
          </w:p>
          <w:p w14:paraId="52DF697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HNA</w:t>
            </w:r>
          </w:p>
          <w:p w14:paraId="5FDCD0B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Oldbury</w:t>
            </w:r>
          </w:p>
          <w:p w14:paraId="3540E7C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Sizewell A</w:t>
            </w:r>
          </w:p>
          <w:p w14:paraId="1609C16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Trawsfynydd</w:t>
            </w:r>
          </w:p>
          <w:p w14:paraId="0F4E222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Wylfa</w:t>
            </w:r>
          </w:p>
        </w:tc>
        <w:tc>
          <w:tcPr>
            <w:tcW w:w="2268" w:type="dxa"/>
          </w:tcPr>
          <w:p w14:paraId="4381FF4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Magnox Ltd.</w:t>
            </w:r>
          </w:p>
        </w:tc>
        <w:tc>
          <w:tcPr>
            <w:tcW w:w="5529" w:type="dxa"/>
          </w:tcPr>
          <w:p w14:paraId="6D2BF67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The Magnox stations are de-fuelled and under the control of the same licensee. Berkeley has completed a number of key activities, including disposing of its 310 tonne boilers and entering both reactors into a safe - store state. Priorities for the site include removing all legacy wastes and emptying the active waste vaults.</w:t>
            </w:r>
            <w:r w:rsidRPr="00DD1B58">
              <w:rPr>
                <w:rFonts w:ascii="Calibri" w:hAnsi="Calibri" w:cs="Times New Roman"/>
                <w:sz w:val="22"/>
                <w:lang w:val="en-US" w:bidi="ar-SA"/>
              </w:rPr>
              <w:t xml:space="preserve"> </w:t>
            </w:r>
          </w:p>
        </w:tc>
        <w:tc>
          <w:tcPr>
            <w:tcW w:w="5758" w:type="dxa"/>
          </w:tcPr>
          <w:p w14:paraId="4A9B876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Magnox stations are all de-fuelled and do not attract Detailed Emergency Planning Zones, based on the remaining radiological risks quantified in Consequence Reports to meet the requirements of the Radiation (Emergency Preparedness and Public Information) Regulations 2019. Transferable insights from installations selected for TPR. </w:t>
            </w:r>
          </w:p>
        </w:tc>
      </w:tr>
    </w:tbl>
    <w:p w14:paraId="6BCF9175" w14:textId="77777777" w:rsidR="00234199" w:rsidRPr="00DD1B58" w:rsidRDefault="00234199" w:rsidP="00234199">
      <w:pPr>
        <w:spacing w:after="160" w:line="259" w:lineRule="auto"/>
        <w:rPr>
          <w:rFonts w:ascii="Calibri" w:hAnsi="Calibri" w:cs="Times New Roman"/>
          <w:sz w:val="22"/>
          <w:lang w:val="en-US" w:bidi="ar-SA"/>
        </w:rPr>
      </w:pPr>
      <w:r w:rsidRPr="00DD1B58">
        <w:rPr>
          <w:rFonts w:ascii="Calibri" w:hAnsi="Calibri" w:cs="Times New Roman"/>
          <w:sz w:val="22"/>
          <w:lang w:val="en-US" w:bidi="ar-SA"/>
        </w:rPr>
        <w:br w:type="page"/>
      </w:r>
    </w:p>
    <w:tbl>
      <w:tblPr>
        <w:tblW w:w="20921" w:type="dxa"/>
        <w:tblLayout w:type="fixed"/>
        <w:tblLook w:val="04A0" w:firstRow="1" w:lastRow="0" w:firstColumn="1" w:lastColumn="0" w:noHBand="0" w:noVBand="1"/>
      </w:tblPr>
      <w:tblGrid>
        <w:gridCol w:w="2405"/>
        <w:gridCol w:w="1985"/>
        <w:gridCol w:w="2976"/>
        <w:gridCol w:w="2268"/>
        <w:gridCol w:w="6237"/>
        <w:gridCol w:w="5050"/>
      </w:tblGrid>
      <w:tr w:rsidR="00234199" w:rsidRPr="00DD1B58" w14:paraId="32988D54" w14:textId="77777777">
        <w:trPr>
          <w:trHeight w:val="360"/>
        </w:trPr>
        <w:tc>
          <w:tcPr>
            <w:tcW w:w="2405"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50C2812" w14:textId="24E3DD30" w:rsidR="00234199" w:rsidRPr="00DD1B58" w:rsidRDefault="00DD65FD"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Decommissioning (former r</w:t>
            </w:r>
            <w:r w:rsidR="00234199" w:rsidRPr="00DD1B58">
              <w:rPr>
                <w:rFonts w:ascii="Calibri" w:eastAsia="Times New Roman" w:hAnsi="Calibri" w:cs="Calibri"/>
                <w:b/>
                <w:bCs/>
                <w:color w:val="000000"/>
                <w:sz w:val="28"/>
                <w:szCs w:val="28"/>
                <w:lang w:val="en-US" w:eastAsia="en-GB" w:bidi="ar-SA"/>
              </w:rPr>
              <w:t>esearch</w:t>
            </w:r>
            <w:r w:rsidR="00B72230" w:rsidRPr="00DD1B58">
              <w:rPr>
                <w:rFonts w:ascii="Calibri" w:eastAsia="Times New Roman" w:hAnsi="Calibri" w:cs="Calibri"/>
                <w:b/>
                <w:bCs/>
                <w:color w:val="000000"/>
                <w:sz w:val="28"/>
                <w:szCs w:val="28"/>
                <w:lang w:val="en-US" w:eastAsia="en-GB" w:bidi="ar-SA"/>
              </w:rPr>
              <w:t>)</w:t>
            </w:r>
            <w:r w:rsidR="00234199" w:rsidRPr="00DD1B58">
              <w:rPr>
                <w:rFonts w:ascii="Calibri" w:eastAsia="Times New Roman" w:hAnsi="Calibri" w:cs="Calibri"/>
                <w:b/>
                <w:bCs/>
                <w:color w:val="000000"/>
                <w:sz w:val="28"/>
                <w:szCs w:val="28"/>
                <w:lang w:val="en-US" w:eastAsia="en-GB" w:bidi="ar-SA"/>
              </w:rPr>
              <w:t xml:space="preserve"> reactors</w:t>
            </w:r>
          </w:p>
        </w:tc>
        <w:tc>
          <w:tcPr>
            <w:tcW w:w="1985" w:type="dxa"/>
            <w:tcBorders>
              <w:top w:val="single" w:sz="4" w:space="0" w:color="auto"/>
              <w:left w:val="single" w:sz="4" w:space="0" w:color="auto"/>
              <w:bottom w:val="single" w:sz="4" w:space="0" w:color="auto"/>
              <w:right w:val="single" w:sz="4" w:space="0" w:color="auto"/>
            </w:tcBorders>
            <w:shd w:val="clear" w:color="000000" w:fill="FCD5B4"/>
            <w:vAlign w:val="center"/>
          </w:tcPr>
          <w:p w14:paraId="0E6A0A0B"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sz w:val="28"/>
                <w:szCs w:val="28"/>
                <w:lang w:val="en-US" w:eastAsia="en-GB" w:bidi="ar-SA"/>
              </w:rPr>
              <w:t>Number</w:t>
            </w:r>
          </w:p>
        </w:tc>
        <w:tc>
          <w:tcPr>
            <w:tcW w:w="2976" w:type="dxa"/>
            <w:tcBorders>
              <w:top w:val="single" w:sz="4" w:space="0" w:color="auto"/>
              <w:left w:val="single" w:sz="4" w:space="0" w:color="auto"/>
              <w:bottom w:val="single" w:sz="4" w:space="0" w:color="auto"/>
              <w:right w:val="single" w:sz="4" w:space="0" w:color="auto"/>
            </w:tcBorders>
            <w:shd w:val="clear" w:color="000000" w:fill="FCD5B4"/>
            <w:vAlign w:val="center"/>
          </w:tcPr>
          <w:p w14:paraId="150FF0C3"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sz w:val="28"/>
                <w:szCs w:val="28"/>
                <w:lang w:val="en-US" w:eastAsia="en-GB" w:bidi="ar-SA"/>
              </w:rPr>
              <w:t>Installations</w:t>
            </w:r>
          </w:p>
        </w:tc>
        <w:tc>
          <w:tcPr>
            <w:tcW w:w="2268" w:type="dxa"/>
            <w:tcBorders>
              <w:top w:val="single" w:sz="4" w:space="0" w:color="auto"/>
              <w:left w:val="single" w:sz="4" w:space="0" w:color="auto"/>
              <w:bottom w:val="single" w:sz="4" w:space="0" w:color="auto"/>
              <w:right w:val="single" w:sz="4" w:space="0" w:color="auto"/>
            </w:tcBorders>
            <w:shd w:val="clear" w:color="000000" w:fill="FCD5B4"/>
            <w:vAlign w:val="center"/>
          </w:tcPr>
          <w:p w14:paraId="1F941520"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Licensee</w:t>
            </w:r>
          </w:p>
          <w:p w14:paraId="0EFB2D84"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6237" w:type="dxa"/>
            <w:tcBorders>
              <w:top w:val="single" w:sz="4" w:space="0" w:color="auto"/>
              <w:left w:val="single" w:sz="4" w:space="0" w:color="auto"/>
              <w:bottom w:val="single" w:sz="4" w:space="0" w:color="auto"/>
              <w:right w:val="single" w:sz="4" w:space="0" w:color="auto"/>
            </w:tcBorders>
            <w:shd w:val="clear" w:color="000000" w:fill="FCD5B4"/>
            <w:vAlign w:val="center"/>
          </w:tcPr>
          <w:p w14:paraId="550DDFF8"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Type &amp; Status</w:t>
            </w:r>
          </w:p>
          <w:p w14:paraId="1055FDB8"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5050" w:type="dxa"/>
            <w:tcBorders>
              <w:top w:val="single" w:sz="4" w:space="0" w:color="auto"/>
              <w:left w:val="single" w:sz="4" w:space="0" w:color="auto"/>
              <w:bottom w:val="single" w:sz="4" w:space="0" w:color="auto"/>
              <w:right w:val="single" w:sz="4" w:space="0" w:color="auto"/>
            </w:tcBorders>
            <w:shd w:val="clear" w:color="000000" w:fill="FCD5B4"/>
            <w:vAlign w:val="center"/>
          </w:tcPr>
          <w:p w14:paraId="4DF34067"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Sampling rationale</w:t>
            </w:r>
          </w:p>
          <w:p w14:paraId="07FA90FA"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sz w:val="22"/>
                <w:lang w:val="en-US" w:eastAsia="en-GB" w:bidi="ar-SA"/>
              </w:rPr>
              <w:t>(highlighting installations selected for TPR)</w:t>
            </w:r>
          </w:p>
        </w:tc>
      </w:tr>
      <w:tr w:rsidR="00234199" w:rsidRPr="00DD1B58" w14:paraId="59BD3C2F" w14:textId="77777777">
        <w:trPr>
          <w:trHeight w:val="300"/>
        </w:trPr>
        <w:tc>
          <w:tcPr>
            <w:tcW w:w="2405" w:type="dxa"/>
            <w:tcBorders>
              <w:top w:val="nil"/>
              <w:left w:val="single" w:sz="4" w:space="0" w:color="auto"/>
              <w:bottom w:val="single" w:sz="4" w:space="0" w:color="auto"/>
              <w:right w:val="single" w:sz="4" w:space="0" w:color="auto"/>
            </w:tcBorders>
            <w:shd w:val="clear" w:color="auto" w:fill="auto"/>
            <w:hideMark/>
          </w:tcPr>
          <w:p w14:paraId="2172A66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 operation</w:t>
            </w:r>
          </w:p>
        </w:tc>
        <w:tc>
          <w:tcPr>
            <w:tcW w:w="1985" w:type="dxa"/>
            <w:tcBorders>
              <w:top w:val="nil"/>
              <w:left w:val="single" w:sz="4" w:space="0" w:color="auto"/>
              <w:bottom w:val="single" w:sz="4" w:space="0" w:color="auto"/>
              <w:right w:val="single" w:sz="4" w:space="0" w:color="auto"/>
            </w:tcBorders>
          </w:tcPr>
          <w:p w14:paraId="4667BEC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0</w:t>
            </w:r>
          </w:p>
        </w:tc>
        <w:tc>
          <w:tcPr>
            <w:tcW w:w="2976" w:type="dxa"/>
            <w:tcBorders>
              <w:top w:val="nil"/>
              <w:left w:val="single" w:sz="4" w:space="0" w:color="auto"/>
              <w:bottom w:val="single" w:sz="4" w:space="0" w:color="auto"/>
              <w:right w:val="single" w:sz="4" w:space="0" w:color="auto"/>
            </w:tcBorders>
          </w:tcPr>
          <w:p w14:paraId="150E9297"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6B1A6A7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6F735F9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382760E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r>
      <w:tr w:rsidR="00234199" w:rsidRPr="00DD1B58" w14:paraId="3104AA9E" w14:textId="77777777">
        <w:trPr>
          <w:trHeight w:val="70"/>
        </w:trPr>
        <w:tc>
          <w:tcPr>
            <w:tcW w:w="2405" w:type="dxa"/>
            <w:tcBorders>
              <w:top w:val="nil"/>
              <w:left w:val="single" w:sz="4" w:space="0" w:color="auto"/>
              <w:bottom w:val="single" w:sz="4" w:space="0" w:color="auto"/>
              <w:right w:val="single" w:sz="4" w:space="0" w:color="auto"/>
            </w:tcBorders>
            <w:shd w:val="clear" w:color="auto" w:fill="auto"/>
            <w:hideMark/>
          </w:tcPr>
          <w:p w14:paraId="4BBAAEB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 construction</w:t>
            </w:r>
          </w:p>
        </w:tc>
        <w:tc>
          <w:tcPr>
            <w:tcW w:w="1985" w:type="dxa"/>
            <w:tcBorders>
              <w:top w:val="nil"/>
              <w:left w:val="single" w:sz="4" w:space="0" w:color="auto"/>
              <w:bottom w:val="single" w:sz="4" w:space="0" w:color="auto"/>
              <w:right w:val="single" w:sz="4" w:space="0" w:color="auto"/>
            </w:tcBorders>
          </w:tcPr>
          <w:p w14:paraId="53CE766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0</w:t>
            </w:r>
          </w:p>
        </w:tc>
        <w:tc>
          <w:tcPr>
            <w:tcW w:w="2976" w:type="dxa"/>
            <w:tcBorders>
              <w:top w:val="nil"/>
              <w:left w:val="single" w:sz="4" w:space="0" w:color="auto"/>
              <w:bottom w:val="single" w:sz="4" w:space="0" w:color="auto"/>
              <w:right w:val="single" w:sz="4" w:space="0" w:color="auto"/>
            </w:tcBorders>
          </w:tcPr>
          <w:p w14:paraId="32A237C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14426A4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52F47E0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0894015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r>
      <w:tr w:rsidR="00234199" w:rsidRPr="00DD1B58" w14:paraId="23F0E3CD" w14:textId="77777777">
        <w:trPr>
          <w:trHeight w:val="300"/>
        </w:trPr>
        <w:tc>
          <w:tcPr>
            <w:tcW w:w="2405" w:type="dxa"/>
            <w:tcBorders>
              <w:top w:val="single" w:sz="4" w:space="0" w:color="auto"/>
              <w:left w:val="single" w:sz="4" w:space="0" w:color="auto"/>
              <w:right w:val="single" w:sz="4" w:space="0" w:color="auto"/>
            </w:tcBorders>
            <w:shd w:val="clear" w:color="auto" w:fill="auto"/>
          </w:tcPr>
          <w:p w14:paraId="1B124FD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 decommissioning</w:t>
            </w:r>
          </w:p>
        </w:tc>
        <w:tc>
          <w:tcPr>
            <w:tcW w:w="1985" w:type="dxa"/>
            <w:tcBorders>
              <w:top w:val="single" w:sz="4" w:space="0" w:color="auto"/>
              <w:left w:val="single" w:sz="4" w:space="0" w:color="auto"/>
              <w:right w:val="single" w:sz="4" w:space="0" w:color="auto"/>
            </w:tcBorders>
          </w:tcPr>
          <w:p w14:paraId="288D6F7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9</w:t>
            </w:r>
          </w:p>
        </w:tc>
        <w:tc>
          <w:tcPr>
            <w:tcW w:w="2976" w:type="dxa"/>
            <w:tcBorders>
              <w:top w:val="nil"/>
              <w:left w:val="single" w:sz="4" w:space="0" w:color="auto"/>
              <w:bottom w:val="single" w:sz="4" w:space="0" w:color="auto"/>
              <w:right w:val="single" w:sz="4" w:space="0" w:color="auto"/>
            </w:tcBorders>
          </w:tcPr>
          <w:p w14:paraId="54F97D2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1 Imperial College Research Reactor at Ascot</w:t>
            </w:r>
          </w:p>
        </w:tc>
        <w:tc>
          <w:tcPr>
            <w:tcW w:w="2268" w:type="dxa"/>
            <w:tcBorders>
              <w:top w:val="nil"/>
              <w:left w:val="single" w:sz="4" w:space="0" w:color="auto"/>
              <w:bottom w:val="single" w:sz="4" w:space="0" w:color="auto"/>
              <w:right w:val="single" w:sz="4" w:space="0" w:color="auto"/>
            </w:tcBorders>
          </w:tcPr>
          <w:p w14:paraId="0242E3A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Imperial College</w:t>
            </w:r>
          </w:p>
        </w:tc>
        <w:tc>
          <w:tcPr>
            <w:tcW w:w="6237" w:type="dxa"/>
            <w:tcBorders>
              <w:top w:val="nil"/>
              <w:left w:val="single" w:sz="4" w:space="0" w:color="auto"/>
              <w:bottom w:val="single" w:sz="4" w:space="0" w:color="auto"/>
              <w:right w:val="single" w:sz="4" w:space="0" w:color="auto"/>
            </w:tcBorders>
          </w:tcPr>
          <w:p w14:paraId="5B23ACF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The nuclear fuel was removed from site in 2014. Decommissioning the reactor commenced in 2015. The reactor has now been demolished and the site cleared of all radioactive waste. Imperial College applied to have the site licence revoked to free the land for re-use.</w:t>
            </w:r>
          </w:p>
        </w:tc>
        <w:tc>
          <w:tcPr>
            <w:tcW w:w="5050" w:type="dxa"/>
            <w:tcBorders>
              <w:top w:val="nil"/>
              <w:left w:val="single" w:sz="4" w:space="0" w:color="auto"/>
              <w:bottom w:val="single" w:sz="4" w:space="0" w:color="auto"/>
              <w:right w:val="single" w:sz="4" w:space="0" w:color="auto"/>
            </w:tcBorders>
          </w:tcPr>
          <w:p w14:paraId="02AF8E4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Not appropriate – reactor demolished and site cleared, site delicensed by ONR in 2022.</w:t>
            </w:r>
          </w:p>
        </w:tc>
      </w:tr>
      <w:tr w:rsidR="00234199" w:rsidRPr="00DD1B58" w14:paraId="35FE492E" w14:textId="77777777">
        <w:trPr>
          <w:trHeight w:val="1051"/>
        </w:trPr>
        <w:tc>
          <w:tcPr>
            <w:tcW w:w="2405" w:type="dxa"/>
            <w:tcBorders>
              <w:top w:val="nil"/>
              <w:left w:val="single" w:sz="4" w:space="0" w:color="auto"/>
              <w:right w:val="single" w:sz="4" w:space="0" w:color="auto"/>
            </w:tcBorders>
            <w:shd w:val="clear" w:color="auto" w:fill="auto"/>
          </w:tcPr>
          <w:p w14:paraId="6B5FEBF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1985" w:type="dxa"/>
            <w:tcBorders>
              <w:top w:val="nil"/>
              <w:left w:val="single" w:sz="4" w:space="0" w:color="auto"/>
              <w:right w:val="single" w:sz="4" w:space="0" w:color="auto"/>
            </w:tcBorders>
          </w:tcPr>
          <w:p w14:paraId="59EB5D6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356C3FE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3 at the UK’s former centre of fast reactor research and development – Dounreay, the Materials Test Reactor (MTR); Dounreay Fast Breeder Reactor (DFR); and the Prototype Fast Reactor (PFR))</w:t>
            </w:r>
          </w:p>
        </w:tc>
        <w:tc>
          <w:tcPr>
            <w:tcW w:w="2268" w:type="dxa"/>
            <w:tcBorders>
              <w:top w:val="nil"/>
              <w:left w:val="single" w:sz="4" w:space="0" w:color="auto"/>
              <w:bottom w:val="single" w:sz="4" w:space="0" w:color="auto"/>
              <w:right w:val="single" w:sz="4" w:space="0" w:color="auto"/>
            </w:tcBorders>
          </w:tcPr>
          <w:p w14:paraId="14DCF6F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 Site Restoration Limited (DSRL). NB. Dounreay joined Magnox Limited on April 1</w:t>
            </w:r>
            <w:r w:rsidRPr="00DD1B58">
              <w:rPr>
                <w:rFonts w:ascii="Calibri" w:eastAsia="Times New Roman" w:hAnsi="Calibri" w:cs="Calibri"/>
                <w:color w:val="000000"/>
                <w:sz w:val="20"/>
                <w:szCs w:val="20"/>
                <w:vertAlign w:val="superscript"/>
                <w:lang w:val="en-US" w:eastAsia="en-GB" w:bidi="ar-SA"/>
              </w:rPr>
              <w:t>st</w:t>
            </w:r>
            <w:r w:rsidRPr="00DD1B58">
              <w:rPr>
                <w:rFonts w:ascii="Calibri" w:eastAsia="Times New Roman" w:hAnsi="Calibri" w:cs="Calibri"/>
                <w:color w:val="000000"/>
                <w:sz w:val="20"/>
                <w:szCs w:val="20"/>
                <w:lang w:val="en-US" w:eastAsia="en-GB" w:bidi="ar-SA"/>
              </w:rPr>
              <w:t>, 2023</w:t>
            </w:r>
          </w:p>
        </w:tc>
        <w:tc>
          <w:tcPr>
            <w:tcW w:w="6237" w:type="dxa"/>
            <w:tcBorders>
              <w:top w:val="nil"/>
              <w:left w:val="single" w:sz="4" w:space="0" w:color="auto"/>
              <w:bottom w:val="single" w:sz="4" w:space="0" w:color="auto"/>
              <w:right w:val="single" w:sz="4" w:space="0" w:color="auto"/>
            </w:tcBorders>
          </w:tcPr>
          <w:p w14:paraId="7BFBE88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 Fast Breeder Reactor (DFR).</w:t>
            </w:r>
            <w:r w:rsidRPr="00DD1B58">
              <w:rPr>
                <w:rFonts w:ascii="Calibri" w:hAnsi="Calibri" w:cs="Times New Roman"/>
                <w:sz w:val="22"/>
                <w:lang w:val="en-US" w:bidi="ar-SA"/>
              </w:rPr>
              <w:t xml:space="preserve"> </w:t>
            </w:r>
            <w:r w:rsidRPr="00DD1B58">
              <w:rPr>
                <w:rFonts w:ascii="Calibri" w:eastAsia="Times New Roman" w:hAnsi="Calibri" w:cs="Calibri"/>
                <w:color w:val="000000"/>
                <w:sz w:val="20"/>
                <w:szCs w:val="20"/>
                <w:lang w:val="en-US" w:eastAsia="en-GB" w:bidi="ar-SA"/>
              </w:rPr>
              <w:t>Destruction of the bulk liquid metal coolant from the primary circuit was completed in 2012. Complete delivery of all fuels from DFR to Sellafield expected in 2023. Dounreay Material Test Reactor Structures to be demolished by 2023 (</w:t>
            </w:r>
            <w:hyperlink r:id="rId20" w:history="1">
              <w:r w:rsidRPr="00DD1B58">
                <w:rPr>
                  <w:rFonts w:ascii="Calibri" w:eastAsia="Times New Roman" w:hAnsi="Calibri" w:cs="Calibri"/>
                  <w:color w:val="000000"/>
                  <w:sz w:val="20"/>
                  <w:szCs w:val="20"/>
                  <w:lang w:val="en-US" w:eastAsia="en-GB" w:bidi="ar-SA"/>
                </w:rPr>
                <w:t>NDA Draft Business Plan 2020 to 2023 (publishing.service.gov.uk)</w:t>
              </w:r>
            </w:hyperlink>
            <w:r w:rsidRPr="00DD1B58">
              <w:rPr>
                <w:rFonts w:ascii="Calibri" w:eastAsia="Times New Roman" w:hAnsi="Calibri" w:cs="Calibri"/>
                <w:color w:val="000000"/>
                <w:sz w:val="20"/>
                <w:szCs w:val="20"/>
                <w:lang w:val="en-US" w:eastAsia="en-GB" w:bidi="ar-SA"/>
              </w:rPr>
              <w:t>)</w:t>
            </w:r>
          </w:p>
          <w:p w14:paraId="0A13773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5050" w:type="dxa"/>
            <w:tcBorders>
              <w:top w:val="nil"/>
              <w:left w:val="single" w:sz="4" w:space="0" w:color="auto"/>
              <w:bottom w:val="single" w:sz="4" w:space="0" w:color="auto"/>
              <w:right w:val="single" w:sz="4" w:space="0" w:color="auto"/>
            </w:tcBorders>
          </w:tcPr>
          <w:p w14:paraId="27D1C84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Prototype Fast Reactor (PFR) complex</w:t>
            </w:r>
            <w:r w:rsidRPr="00DD1B58">
              <w:rPr>
                <w:rFonts w:ascii="Calibri" w:eastAsia="Times New Roman" w:hAnsi="Calibri" w:cs="Calibri"/>
                <w:color w:val="000000"/>
                <w:sz w:val="20"/>
                <w:szCs w:val="20"/>
                <w:lang w:val="en-US" w:eastAsia="en-GB" w:bidi="ar-SA"/>
              </w:rPr>
              <w:t>. Focus on PFR is based on radiological risk from irradiated fuel, distinct fire hazards and technology, and overall site complexity. The PFR complex includes the Irradiated Fuel Cave (waste storage).</w:t>
            </w:r>
          </w:p>
        </w:tc>
      </w:tr>
      <w:tr w:rsidR="00234199" w:rsidRPr="00DD1B58" w14:paraId="035E2E67" w14:textId="77777777">
        <w:trPr>
          <w:trHeight w:val="300"/>
        </w:trPr>
        <w:tc>
          <w:tcPr>
            <w:tcW w:w="2405" w:type="dxa"/>
            <w:tcBorders>
              <w:top w:val="nil"/>
              <w:left w:val="single" w:sz="4" w:space="0" w:color="auto"/>
              <w:right w:val="single" w:sz="4" w:space="0" w:color="auto"/>
            </w:tcBorders>
            <w:shd w:val="clear" w:color="auto" w:fill="auto"/>
          </w:tcPr>
          <w:p w14:paraId="774A325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1985" w:type="dxa"/>
            <w:tcBorders>
              <w:top w:val="nil"/>
              <w:left w:val="single" w:sz="4" w:space="0" w:color="auto"/>
              <w:right w:val="single" w:sz="4" w:space="0" w:color="auto"/>
            </w:tcBorders>
          </w:tcPr>
          <w:p w14:paraId="747927A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66F28CB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2 at Winfrith </w:t>
            </w:r>
          </w:p>
        </w:tc>
        <w:tc>
          <w:tcPr>
            <w:tcW w:w="2268" w:type="dxa"/>
            <w:tcBorders>
              <w:top w:val="nil"/>
              <w:left w:val="single" w:sz="4" w:space="0" w:color="auto"/>
              <w:bottom w:val="single" w:sz="4" w:space="0" w:color="auto"/>
              <w:right w:val="single" w:sz="4" w:space="0" w:color="auto"/>
            </w:tcBorders>
          </w:tcPr>
          <w:p w14:paraId="020DA6C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Magnox Ltd.* </w:t>
            </w:r>
          </w:p>
          <w:p w14:paraId="60C490D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*Inutec Ltd is the licensee for B4 and A50 plots</w:t>
            </w:r>
          </w:p>
        </w:tc>
        <w:tc>
          <w:tcPr>
            <w:tcW w:w="6237" w:type="dxa"/>
            <w:tcBorders>
              <w:top w:val="nil"/>
              <w:left w:val="single" w:sz="4" w:space="0" w:color="auto"/>
              <w:bottom w:val="single" w:sz="4" w:space="0" w:color="auto"/>
              <w:right w:val="single" w:sz="4" w:space="0" w:color="auto"/>
            </w:tcBorders>
          </w:tcPr>
          <w:p w14:paraId="6FF457F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Only 2 out of the 9 research reactors at Winfrith (the prototype high gas cooled reactor, DRAGON, and the SGHWR, Steam Generating Heavy Water Reactor) remain on site but are under decommissioning. The interim end state is expected to be reached after demolition of the remaining reactors in 2023.</w:t>
            </w:r>
          </w:p>
        </w:tc>
        <w:tc>
          <w:tcPr>
            <w:tcW w:w="5050" w:type="dxa"/>
            <w:tcBorders>
              <w:top w:val="nil"/>
              <w:left w:val="single" w:sz="4" w:space="0" w:color="auto"/>
              <w:bottom w:val="single" w:sz="4" w:space="0" w:color="auto"/>
              <w:right w:val="single" w:sz="4" w:space="0" w:color="auto"/>
            </w:tcBorders>
          </w:tcPr>
          <w:p w14:paraId="0BDEF4B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Decommissioning in advanced stages. Demolition of the remaining reactors (SGHWR and Dragon) expected to complete in 2023 [NDA 2021 strategy </w:t>
            </w:r>
            <w:hyperlink r:id="rId21" w:history="1">
              <w:r w:rsidRPr="00DD1B58">
                <w:rPr>
                  <w:rFonts w:ascii="Calibri" w:eastAsia="Times New Roman" w:hAnsi="Calibri" w:cs="Calibri"/>
                  <w:color w:val="000000"/>
                  <w:sz w:val="20"/>
                  <w:szCs w:val="20"/>
                  <w:lang w:val="en-US" w:eastAsia="en-GB" w:bidi="ar-SA"/>
                </w:rPr>
                <w:t>Land &amp; Property Management publishing.service.gov.uk)</w:t>
              </w:r>
            </w:hyperlink>
            <w:r w:rsidRPr="00DD1B58">
              <w:rPr>
                <w:rFonts w:ascii="Calibri" w:eastAsia="Times New Roman" w:hAnsi="Calibri" w:cs="Calibri"/>
                <w:color w:val="000000"/>
                <w:sz w:val="20"/>
                <w:szCs w:val="20"/>
                <w:lang w:val="en-US" w:eastAsia="en-GB" w:bidi="ar-SA"/>
              </w:rPr>
              <w:t>]. The site does not attract an offsite emergency planning zone.</w:t>
            </w:r>
          </w:p>
        </w:tc>
      </w:tr>
      <w:tr w:rsidR="00234199" w:rsidRPr="00DD1B58" w14:paraId="0DED9146" w14:textId="77777777">
        <w:trPr>
          <w:trHeight w:val="300"/>
        </w:trPr>
        <w:tc>
          <w:tcPr>
            <w:tcW w:w="2405" w:type="dxa"/>
            <w:tcBorders>
              <w:top w:val="nil"/>
              <w:left w:val="single" w:sz="4" w:space="0" w:color="auto"/>
              <w:bottom w:val="single" w:sz="4" w:space="0" w:color="auto"/>
              <w:right w:val="single" w:sz="4" w:space="0" w:color="auto"/>
            </w:tcBorders>
            <w:shd w:val="clear" w:color="auto" w:fill="auto"/>
            <w:hideMark/>
          </w:tcPr>
          <w:p w14:paraId="4F26E1C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1985" w:type="dxa"/>
            <w:tcBorders>
              <w:top w:val="nil"/>
              <w:left w:val="single" w:sz="4" w:space="0" w:color="auto"/>
              <w:bottom w:val="single" w:sz="4" w:space="0" w:color="auto"/>
              <w:right w:val="single" w:sz="4" w:space="0" w:color="auto"/>
            </w:tcBorders>
          </w:tcPr>
          <w:p w14:paraId="21B1AB7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380C22A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3 at Harwell</w:t>
            </w:r>
          </w:p>
        </w:tc>
        <w:tc>
          <w:tcPr>
            <w:tcW w:w="2268" w:type="dxa"/>
            <w:tcBorders>
              <w:top w:val="nil"/>
              <w:left w:val="single" w:sz="4" w:space="0" w:color="auto"/>
              <w:bottom w:val="single" w:sz="4" w:space="0" w:color="auto"/>
              <w:right w:val="single" w:sz="4" w:space="0" w:color="auto"/>
            </w:tcBorders>
          </w:tcPr>
          <w:p w14:paraId="449AA83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Magnox Ltd.</w:t>
            </w:r>
          </w:p>
        </w:tc>
        <w:tc>
          <w:tcPr>
            <w:tcW w:w="6237" w:type="dxa"/>
            <w:tcBorders>
              <w:top w:val="nil"/>
              <w:left w:val="single" w:sz="4" w:space="0" w:color="auto"/>
              <w:bottom w:val="single" w:sz="4" w:space="0" w:color="auto"/>
              <w:right w:val="single" w:sz="4" w:space="0" w:color="auto"/>
            </w:tcBorders>
          </w:tcPr>
          <w:p w14:paraId="7C33A19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Two of the five reactors have been completely removed:</w:t>
            </w:r>
          </w:p>
          <w:p w14:paraId="63CA06E0" w14:textId="77777777" w:rsidR="00234199" w:rsidRPr="00DD1B58" w:rsidRDefault="00234199" w:rsidP="00234199">
            <w:pPr>
              <w:numPr>
                <w:ilvl w:val="0"/>
                <w:numId w:val="54"/>
              </w:numPr>
              <w:spacing w:after="0" w:line="240"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Low-energy graphite reactor – fully decommissioned.  Graphite core incinerated at an off-site facility;</w:t>
            </w:r>
          </w:p>
          <w:p w14:paraId="58769910" w14:textId="77777777" w:rsidR="00234199" w:rsidRPr="00DD1B58" w:rsidRDefault="00234199" w:rsidP="00234199">
            <w:pPr>
              <w:numPr>
                <w:ilvl w:val="0"/>
                <w:numId w:val="54"/>
              </w:numPr>
              <w:spacing w:after="0" w:line="240"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Experimental graphite reactor, materials testing reactors and PIE concrete-shielded cells all in storage;</w:t>
            </w:r>
          </w:p>
          <w:p w14:paraId="58DAE4E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All fuel has been removed from the remaining three which are now in decommissioning. ILW retrieval and packaging operations are underway; nuclear materials are being transferred off-site.</w:t>
            </w:r>
          </w:p>
        </w:tc>
        <w:tc>
          <w:tcPr>
            <w:tcW w:w="5050" w:type="dxa"/>
            <w:tcBorders>
              <w:top w:val="nil"/>
              <w:left w:val="single" w:sz="4" w:space="0" w:color="auto"/>
              <w:bottom w:val="single" w:sz="4" w:space="0" w:color="auto"/>
              <w:right w:val="single" w:sz="4" w:space="0" w:color="auto"/>
            </w:tcBorders>
          </w:tcPr>
          <w:p w14:paraId="608CA04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Decommissioning in advanced stages.</w:t>
            </w:r>
            <w:r w:rsidRPr="00DD1B58">
              <w:rPr>
                <w:rFonts w:ascii="Calibri" w:hAnsi="Calibri" w:cs="Times New Roman"/>
                <w:sz w:val="22"/>
                <w:lang w:val="en-US" w:bidi="ar-SA"/>
              </w:rPr>
              <w:t xml:space="preserve"> </w:t>
            </w:r>
            <w:r w:rsidRPr="00DD1B58">
              <w:rPr>
                <w:rFonts w:ascii="Calibri" w:eastAsia="Times New Roman" w:hAnsi="Calibri" w:cs="Calibri"/>
                <w:color w:val="000000"/>
                <w:sz w:val="20"/>
                <w:szCs w:val="20"/>
                <w:lang w:val="en-US" w:eastAsia="en-GB" w:bidi="ar-SA"/>
              </w:rPr>
              <w:t>All fuel has been removed. ILW retrieval and packaging operations are underway; nuclear materials are being transferred off-site. Site does not attract an offsite emergency planning zone.</w:t>
            </w:r>
          </w:p>
        </w:tc>
      </w:tr>
      <w:tr w:rsidR="00234199" w:rsidRPr="00DD1B58" w14:paraId="41D15A45" w14:textId="77777777">
        <w:trPr>
          <w:trHeight w:val="360"/>
        </w:trPr>
        <w:tc>
          <w:tcPr>
            <w:tcW w:w="2405"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6DEAD6DC"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Spent fuel storage facilities</w:t>
            </w:r>
          </w:p>
        </w:tc>
        <w:tc>
          <w:tcPr>
            <w:tcW w:w="1985" w:type="dxa"/>
            <w:tcBorders>
              <w:top w:val="single" w:sz="4" w:space="0" w:color="auto"/>
              <w:left w:val="single" w:sz="4" w:space="0" w:color="auto"/>
              <w:bottom w:val="single" w:sz="4" w:space="0" w:color="auto"/>
              <w:right w:val="single" w:sz="4" w:space="0" w:color="auto"/>
            </w:tcBorders>
            <w:shd w:val="clear" w:color="000000" w:fill="B8CCE4"/>
          </w:tcPr>
          <w:p w14:paraId="6541AB1C"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sz w:val="28"/>
                <w:szCs w:val="28"/>
                <w:lang w:val="en-US" w:eastAsia="en-GB" w:bidi="ar-SA"/>
              </w:rPr>
              <w:t>Number</w:t>
            </w:r>
          </w:p>
        </w:tc>
        <w:tc>
          <w:tcPr>
            <w:tcW w:w="2976" w:type="dxa"/>
            <w:tcBorders>
              <w:top w:val="nil"/>
              <w:left w:val="single" w:sz="4" w:space="0" w:color="auto"/>
              <w:bottom w:val="single" w:sz="4" w:space="0" w:color="auto"/>
              <w:right w:val="single" w:sz="4" w:space="0" w:color="auto"/>
            </w:tcBorders>
            <w:shd w:val="clear" w:color="000000" w:fill="B8CCE4"/>
          </w:tcPr>
          <w:p w14:paraId="234E2E4F"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sz w:val="28"/>
                <w:szCs w:val="28"/>
                <w:lang w:val="en-US" w:eastAsia="en-GB" w:bidi="ar-SA"/>
              </w:rPr>
              <w:t>Installations</w:t>
            </w:r>
          </w:p>
        </w:tc>
        <w:tc>
          <w:tcPr>
            <w:tcW w:w="2268" w:type="dxa"/>
            <w:tcBorders>
              <w:top w:val="nil"/>
              <w:left w:val="single" w:sz="4" w:space="0" w:color="auto"/>
              <w:bottom w:val="single" w:sz="4" w:space="0" w:color="auto"/>
              <w:right w:val="single" w:sz="4" w:space="0" w:color="auto"/>
            </w:tcBorders>
            <w:shd w:val="clear" w:color="000000" w:fill="B8CCE4"/>
          </w:tcPr>
          <w:p w14:paraId="09535E13"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Licensee</w:t>
            </w:r>
          </w:p>
          <w:p w14:paraId="5E4CBC6B"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6237" w:type="dxa"/>
            <w:tcBorders>
              <w:top w:val="nil"/>
              <w:left w:val="single" w:sz="4" w:space="0" w:color="auto"/>
              <w:bottom w:val="single" w:sz="4" w:space="0" w:color="auto"/>
              <w:right w:val="single" w:sz="4" w:space="0" w:color="auto"/>
            </w:tcBorders>
            <w:shd w:val="clear" w:color="000000" w:fill="B8CCE4"/>
            <w:vAlign w:val="center"/>
          </w:tcPr>
          <w:p w14:paraId="40E53395"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Type &amp; Status</w:t>
            </w:r>
          </w:p>
          <w:p w14:paraId="33F8A562"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5050" w:type="dxa"/>
            <w:tcBorders>
              <w:top w:val="nil"/>
              <w:left w:val="single" w:sz="4" w:space="0" w:color="auto"/>
              <w:bottom w:val="single" w:sz="4" w:space="0" w:color="auto"/>
              <w:right w:val="single" w:sz="4" w:space="0" w:color="auto"/>
            </w:tcBorders>
            <w:shd w:val="clear" w:color="000000" w:fill="B8CCE4"/>
            <w:vAlign w:val="center"/>
          </w:tcPr>
          <w:p w14:paraId="64ED7AAA"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Sampling rationale</w:t>
            </w:r>
          </w:p>
          <w:p w14:paraId="0587B257"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sz w:val="22"/>
                <w:lang w:val="en-US" w:eastAsia="en-GB" w:bidi="ar-SA"/>
              </w:rPr>
              <w:t>(highlighting installations selected for TPR)</w:t>
            </w:r>
          </w:p>
        </w:tc>
      </w:tr>
      <w:tr w:rsidR="00234199" w:rsidRPr="00DD1B58" w14:paraId="1CF5D135" w14:textId="77777777">
        <w:trPr>
          <w:trHeight w:val="285"/>
        </w:trPr>
        <w:tc>
          <w:tcPr>
            <w:tcW w:w="2405" w:type="dxa"/>
            <w:tcBorders>
              <w:top w:val="single" w:sz="4" w:space="0" w:color="auto"/>
              <w:left w:val="single" w:sz="4" w:space="0" w:color="auto"/>
              <w:right w:val="single" w:sz="4" w:space="0" w:color="auto"/>
            </w:tcBorders>
            <w:shd w:val="clear" w:color="auto" w:fill="auto"/>
            <w:hideMark/>
          </w:tcPr>
          <w:p w14:paraId="1780D86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operation</w:t>
            </w:r>
          </w:p>
        </w:tc>
        <w:tc>
          <w:tcPr>
            <w:tcW w:w="1985" w:type="dxa"/>
            <w:tcBorders>
              <w:top w:val="single" w:sz="4" w:space="0" w:color="auto"/>
              <w:left w:val="single" w:sz="4" w:space="0" w:color="auto"/>
              <w:right w:val="single" w:sz="4" w:space="0" w:color="auto"/>
            </w:tcBorders>
          </w:tcPr>
          <w:p w14:paraId="44FB420F"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 xml:space="preserve">7* </w:t>
            </w:r>
          </w:p>
          <w:p w14:paraId="76221456"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14730DB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Dry store at Sizewell B </w:t>
            </w:r>
          </w:p>
        </w:tc>
        <w:tc>
          <w:tcPr>
            <w:tcW w:w="2268" w:type="dxa"/>
            <w:tcBorders>
              <w:top w:val="nil"/>
              <w:left w:val="single" w:sz="4" w:space="0" w:color="auto"/>
              <w:bottom w:val="single" w:sz="4" w:space="0" w:color="auto"/>
              <w:right w:val="single" w:sz="4" w:space="0" w:color="auto"/>
            </w:tcBorders>
          </w:tcPr>
          <w:p w14:paraId="1CE31E72"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EDF Energy Nuclear Generation Ltd</w:t>
            </w:r>
          </w:p>
        </w:tc>
        <w:tc>
          <w:tcPr>
            <w:tcW w:w="6237" w:type="dxa"/>
            <w:tcBorders>
              <w:top w:val="nil"/>
              <w:left w:val="single" w:sz="4" w:space="0" w:color="auto"/>
              <w:bottom w:val="single" w:sz="4" w:space="0" w:color="auto"/>
              <w:right w:val="single" w:sz="4" w:space="0" w:color="auto"/>
            </w:tcBorders>
          </w:tcPr>
          <w:p w14:paraId="5013CEE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 operation</w:t>
            </w:r>
          </w:p>
        </w:tc>
        <w:tc>
          <w:tcPr>
            <w:tcW w:w="5050" w:type="dxa"/>
            <w:tcBorders>
              <w:top w:val="nil"/>
              <w:left w:val="single" w:sz="4" w:space="0" w:color="auto"/>
              <w:bottom w:val="single" w:sz="4" w:space="0" w:color="auto"/>
              <w:right w:val="single" w:sz="4" w:space="0" w:color="auto"/>
            </w:tcBorders>
          </w:tcPr>
          <w:p w14:paraId="22F49B4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Included as part of Sizewell B’s</w:t>
            </w:r>
            <w:r w:rsidRPr="00DD1B58">
              <w:rPr>
                <w:rFonts w:ascii="Calibri" w:eastAsia="Times New Roman" w:hAnsi="Calibri" w:cs="Calibri"/>
                <w:color w:val="000000"/>
                <w:sz w:val="20"/>
                <w:szCs w:val="20"/>
                <w:lang w:val="en-US" w:eastAsia="en-GB" w:bidi="ar-SA"/>
              </w:rPr>
              <w:t xml:space="preserve"> </w:t>
            </w:r>
          </w:p>
        </w:tc>
      </w:tr>
      <w:tr w:rsidR="00234199" w:rsidRPr="00DD1B58" w14:paraId="39FC2901" w14:textId="77777777">
        <w:trPr>
          <w:trHeight w:val="285"/>
        </w:trPr>
        <w:tc>
          <w:tcPr>
            <w:tcW w:w="2405" w:type="dxa"/>
            <w:tcBorders>
              <w:top w:val="nil"/>
              <w:left w:val="single" w:sz="4" w:space="0" w:color="auto"/>
              <w:right w:val="single" w:sz="4" w:space="0" w:color="auto"/>
            </w:tcBorders>
            <w:shd w:val="clear" w:color="auto" w:fill="auto"/>
          </w:tcPr>
          <w:p w14:paraId="1D678CA3"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1985" w:type="dxa"/>
            <w:tcBorders>
              <w:top w:val="nil"/>
              <w:left w:val="single" w:sz="4" w:space="0" w:color="auto"/>
              <w:right w:val="single" w:sz="4" w:space="0" w:color="auto"/>
            </w:tcBorders>
          </w:tcPr>
          <w:p w14:paraId="288B0D67"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798DE72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Dounreay, the Irradiated Fuel Store and Shielded cave</w:t>
            </w:r>
          </w:p>
        </w:tc>
        <w:tc>
          <w:tcPr>
            <w:tcW w:w="2268" w:type="dxa"/>
            <w:tcBorders>
              <w:top w:val="nil"/>
              <w:left w:val="single" w:sz="4" w:space="0" w:color="auto"/>
              <w:bottom w:val="single" w:sz="4" w:space="0" w:color="auto"/>
              <w:right w:val="single" w:sz="4" w:space="0" w:color="auto"/>
            </w:tcBorders>
          </w:tcPr>
          <w:p w14:paraId="53E8DE77"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Dounreay Site Restoration Limited (DSRL). </w:t>
            </w:r>
          </w:p>
        </w:tc>
        <w:tc>
          <w:tcPr>
            <w:tcW w:w="6237" w:type="dxa"/>
            <w:tcBorders>
              <w:top w:val="nil"/>
              <w:left w:val="single" w:sz="4" w:space="0" w:color="auto"/>
              <w:bottom w:val="single" w:sz="4" w:space="0" w:color="auto"/>
              <w:right w:val="single" w:sz="4" w:space="0" w:color="auto"/>
            </w:tcBorders>
          </w:tcPr>
          <w:p w14:paraId="27AB5047"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Remaining PFR fuel is currently dry stored in the Irradiated Fuel Cave. The remainder of the irradiated fuel is stored in a shielded cave that was previously used for the examination of irradiated fuel.</w:t>
            </w:r>
          </w:p>
        </w:tc>
        <w:tc>
          <w:tcPr>
            <w:tcW w:w="5050" w:type="dxa"/>
            <w:tcBorders>
              <w:top w:val="nil"/>
              <w:left w:val="single" w:sz="4" w:space="0" w:color="auto"/>
              <w:bottom w:val="single" w:sz="4" w:space="0" w:color="auto"/>
              <w:right w:val="single" w:sz="4" w:space="0" w:color="auto"/>
            </w:tcBorders>
            <w:shd w:val="clear" w:color="auto" w:fill="auto"/>
          </w:tcPr>
          <w:p w14:paraId="72336D7C" w14:textId="77777777" w:rsidR="00234199" w:rsidRPr="00DD1B58" w:rsidRDefault="00234199" w:rsidP="00234199">
            <w:pPr>
              <w:spacing w:after="0" w:line="240" w:lineRule="auto"/>
              <w:rPr>
                <w:rFonts w:ascii="Calibri" w:eastAsia="Times New Roman" w:hAnsi="Calibri" w:cs="Calibri"/>
                <w:b/>
                <w:bCs/>
                <w:i/>
                <w:iCs/>
                <w:color w:val="000000"/>
                <w:sz w:val="20"/>
                <w:szCs w:val="20"/>
                <w:highlight w:val="green"/>
                <w:lang w:val="en-US" w:eastAsia="en-GB" w:bidi="ar-SA"/>
              </w:rPr>
            </w:pPr>
            <w:r w:rsidRPr="00DD1B58">
              <w:rPr>
                <w:rFonts w:ascii="Calibri" w:eastAsia="Times New Roman" w:hAnsi="Calibri" w:cs="Calibri"/>
                <w:color w:val="000000"/>
                <w:sz w:val="20"/>
                <w:szCs w:val="20"/>
                <w:highlight w:val="green"/>
                <w:lang w:val="en-US" w:eastAsia="en-GB" w:bidi="ar-SA"/>
              </w:rPr>
              <w:t>Irradiated Fuel Cave included as part of Dounreay’s report on the PFR complex</w:t>
            </w:r>
          </w:p>
        </w:tc>
      </w:tr>
      <w:tr w:rsidR="00234199" w:rsidRPr="00DD1B58" w14:paraId="381B7278" w14:textId="77777777">
        <w:trPr>
          <w:trHeight w:val="285"/>
        </w:trPr>
        <w:tc>
          <w:tcPr>
            <w:tcW w:w="2405" w:type="dxa"/>
            <w:tcBorders>
              <w:top w:val="nil"/>
              <w:left w:val="single" w:sz="4" w:space="0" w:color="auto"/>
              <w:bottom w:val="single" w:sz="4" w:space="0" w:color="auto"/>
              <w:right w:val="single" w:sz="4" w:space="0" w:color="auto"/>
            </w:tcBorders>
            <w:shd w:val="clear" w:color="auto" w:fill="auto"/>
          </w:tcPr>
          <w:p w14:paraId="19BDE80D"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1985" w:type="dxa"/>
            <w:tcBorders>
              <w:top w:val="nil"/>
              <w:left w:val="single" w:sz="4" w:space="0" w:color="auto"/>
              <w:bottom w:val="single" w:sz="4" w:space="0" w:color="auto"/>
              <w:right w:val="single" w:sz="4" w:space="0" w:color="auto"/>
            </w:tcBorders>
          </w:tcPr>
          <w:p w14:paraId="257C08A6"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22649E8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4 at Sellafield:</w:t>
            </w:r>
          </w:p>
          <w:p w14:paraId="09233D5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FGOSP (First Generation Magnox Storage Pond), </w:t>
            </w:r>
          </w:p>
          <w:p w14:paraId="27F4522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FHP (Fuel Handling Pond)</w:t>
            </w:r>
          </w:p>
          <w:p w14:paraId="63014497"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TRSP (THORP Receipt and Storage Pond)</w:t>
            </w:r>
          </w:p>
          <w:p w14:paraId="42B1303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FGASP (First Generation AGR Storage Pond)</w:t>
            </w:r>
          </w:p>
        </w:tc>
        <w:tc>
          <w:tcPr>
            <w:tcW w:w="2268" w:type="dxa"/>
            <w:tcBorders>
              <w:top w:val="nil"/>
              <w:left w:val="single" w:sz="4" w:space="0" w:color="auto"/>
              <w:bottom w:val="single" w:sz="4" w:space="0" w:color="auto"/>
              <w:right w:val="single" w:sz="4" w:space="0" w:color="auto"/>
            </w:tcBorders>
          </w:tcPr>
          <w:p w14:paraId="2292B1C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6237" w:type="dxa"/>
            <w:tcBorders>
              <w:top w:val="nil"/>
              <w:left w:val="single" w:sz="4" w:space="0" w:color="auto"/>
              <w:bottom w:val="single" w:sz="4" w:space="0" w:color="auto"/>
              <w:right w:val="single" w:sz="4" w:space="0" w:color="auto"/>
            </w:tcBorders>
          </w:tcPr>
          <w:p w14:paraId="70B9E671" w14:textId="77777777" w:rsidR="00234199" w:rsidRPr="00DD1B58" w:rsidRDefault="00234199" w:rsidP="00234199">
            <w:pPr>
              <w:spacing w:after="12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FGOSP was used between around 1968 and 2004 for the receipt and storage of spent oxide fuel, including fuel to be reprocessed in THORP. The pond is still operational but with limited fuel inventory. </w:t>
            </w:r>
          </w:p>
          <w:p w14:paraId="26CA7922" w14:textId="77777777" w:rsidR="00234199" w:rsidRPr="00DD1B58" w:rsidRDefault="00234199" w:rsidP="00234199">
            <w:pPr>
              <w:spacing w:after="12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FHP has been used since 1984 to store and cool spent Magnox and AGR fuel and to remove the fuel cladding. Spent Magnox fuel which has not been reprocessed is stored in the pond pending a future decision on its disposition. AGR fuel is subsequently transferred to the THORP Receipt and Storage Pond.</w:t>
            </w:r>
          </w:p>
          <w:p w14:paraId="4095DF66" w14:textId="77777777" w:rsidR="00234199" w:rsidRPr="00DD1B58" w:rsidRDefault="00234199" w:rsidP="00234199">
            <w:pPr>
              <w:spacing w:after="12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THORP Receipt and Storage Pond used since 1988 as a short-term buffer store for spent AGR fuel prior to reprocessing in THORP. Since the cessation of reprocessing in THORP in 2018, TRSP is now used as an interim store for spent AGR fuel pending a decision on its disposition.</w:t>
            </w:r>
          </w:p>
          <w:p w14:paraId="50A821EC" w14:textId="02F35BDD" w:rsidR="00234199" w:rsidRPr="00DD1B58" w:rsidRDefault="00234199" w:rsidP="00234199">
            <w:pPr>
              <w:spacing w:after="12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FGASP; this pond has been used since 1982 for the temporary storage of dismantled AGR fuel from FHP before subsequent dispatch to the </w:t>
            </w:r>
            <w:r w:rsidR="000E0945" w:rsidRPr="00DD1B58">
              <w:rPr>
                <w:rFonts w:ascii="Calibri" w:eastAsia="Times New Roman" w:hAnsi="Calibri" w:cs="Calibri"/>
                <w:color w:val="000000"/>
                <w:sz w:val="20"/>
                <w:szCs w:val="20"/>
                <w:lang w:val="en-US" w:eastAsia="en-GB" w:bidi="ar-SA"/>
              </w:rPr>
              <w:t>Thermal Oxide Reprocessing Plant (THORP) Receipt and Storage (</w:t>
            </w:r>
            <w:r w:rsidRPr="00DD1B58">
              <w:rPr>
                <w:rFonts w:ascii="Calibri" w:eastAsia="Times New Roman" w:hAnsi="Calibri" w:cs="Calibri"/>
                <w:color w:val="000000"/>
                <w:sz w:val="20"/>
                <w:szCs w:val="20"/>
                <w:lang w:val="en-US" w:eastAsia="en-GB" w:bidi="ar-SA"/>
              </w:rPr>
              <w:t>TR&amp;S</w:t>
            </w:r>
            <w:r w:rsidR="000E0945" w:rsidRPr="00DD1B58">
              <w:rPr>
                <w:rFonts w:ascii="Calibri" w:eastAsia="Times New Roman" w:hAnsi="Calibri" w:cs="Calibri"/>
                <w:color w:val="000000"/>
                <w:sz w:val="20"/>
                <w:szCs w:val="20"/>
                <w:lang w:val="en-US" w:eastAsia="en-GB" w:bidi="ar-SA"/>
              </w:rPr>
              <w:t>)</w:t>
            </w:r>
            <w:r w:rsidRPr="00DD1B58">
              <w:rPr>
                <w:rFonts w:ascii="Calibri" w:eastAsia="Times New Roman" w:hAnsi="Calibri" w:cs="Calibri"/>
                <w:color w:val="000000"/>
                <w:sz w:val="20"/>
                <w:szCs w:val="20"/>
                <w:lang w:val="en-US" w:eastAsia="en-GB" w:bidi="ar-SA"/>
              </w:rPr>
              <w:t xml:space="preserve"> for processing through THORP. The pond is still operational and is a key operational part of the AGR flask moves.</w:t>
            </w:r>
          </w:p>
        </w:tc>
        <w:tc>
          <w:tcPr>
            <w:tcW w:w="5050" w:type="dxa"/>
            <w:tcBorders>
              <w:top w:val="nil"/>
              <w:left w:val="single" w:sz="4" w:space="0" w:color="auto"/>
              <w:bottom w:val="single" w:sz="4" w:space="0" w:color="auto"/>
              <w:right w:val="single" w:sz="4" w:space="0" w:color="auto"/>
            </w:tcBorders>
          </w:tcPr>
          <w:p w14:paraId="5D2A3AB7"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Spent Fuel Ponds in AGR stations included in UK sample. Nuclear Fire Safety Arrangements and standards in these Sellafield facilities represented by the sample of waste storage facilities at the Sellafield Licensed site (operated under the same licensee arrangements)</w:t>
            </w:r>
          </w:p>
        </w:tc>
      </w:tr>
      <w:tr w:rsidR="00234199" w:rsidRPr="00DD1B58" w14:paraId="03CE7873" w14:textId="77777777">
        <w:trPr>
          <w:trHeight w:val="28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10034654"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construction</w:t>
            </w:r>
          </w:p>
        </w:tc>
        <w:tc>
          <w:tcPr>
            <w:tcW w:w="1985" w:type="dxa"/>
            <w:tcBorders>
              <w:top w:val="single" w:sz="4" w:space="0" w:color="auto"/>
              <w:left w:val="single" w:sz="4" w:space="0" w:color="auto"/>
              <w:bottom w:val="single" w:sz="4" w:space="0" w:color="auto"/>
              <w:right w:val="single" w:sz="4" w:space="0" w:color="auto"/>
            </w:tcBorders>
          </w:tcPr>
          <w:p w14:paraId="68ADCB19"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0</w:t>
            </w:r>
          </w:p>
        </w:tc>
        <w:tc>
          <w:tcPr>
            <w:tcW w:w="2976" w:type="dxa"/>
            <w:tcBorders>
              <w:top w:val="single" w:sz="4" w:space="0" w:color="auto"/>
              <w:left w:val="single" w:sz="4" w:space="0" w:color="auto"/>
              <w:bottom w:val="single" w:sz="4" w:space="0" w:color="auto"/>
              <w:right w:val="single" w:sz="4" w:space="0" w:color="auto"/>
            </w:tcBorders>
          </w:tcPr>
          <w:p w14:paraId="6E555BF7"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single" w:sz="4" w:space="0" w:color="auto"/>
              <w:left w:val="single" w:sz="4" w:space="0" w:color="auto"/>
              <w:bottom w:val="single" w:sz="4" w:space="0" w:color="auto"/>
              <w:right w:val="single" w:sz="4" w:space="0" w:color="auto"/>
            </w:tcBorders>
          </w:tcPr>
          <w:p w14:paraId="5BB6036C" w14:textId="77777777" w:rsidR="00234199" w:rsidRPr="00DD1B58" w:rsidRDefault="00234199" w:rsidP="00234199">
            <w:pPr>
              <w:spacing w:after="0" w:line="240" w:lineRule="auto"/>
              <w:rPr>
                <w:rFonts w:ascii="Calibri" w:eastAsia="Times New Roman" w:hAnsi="Calibri" w:cs="Calibri"/>
                <w:i/>
                <w:iCs/>
                <w:color w:val="000000"/>
                <w:sz w:val="20"/>
                <w:szCs w:val="20"/>
                <w:lang w:val="en-US" w:eastAsia="en-GB" w:bidi="ar-SA"/>
              </w:rPr>
            </w:pPr>
            <w:r w:rsidRPr="00DD1B58">
              <w:rPr>
                <w:rFonts w:ascii="Calibri" w:eastAsia="Times New Roman" w:hAnsi="Calibri" w:cs="Calibri"/>
                <w:i/>
                <w:iCs/>
                <w:color w:val="000000"/>
                <w:sz w:val="20"/>
                <w:szCs w:val="20"/>
                <w:lang w:val="en-US" w:eastAsia="en-GB" w:bidi="ar-SA"/>
              </w:rPr>
              <w:t>N/A</w:t>
            </w:r>
          </w:p>
        </w:tc>
        <w:tc>
          <w:tcPr>
            <w:tcW w:w="6237" w:type="dxa"/>
            <w:tcBorders>
              <w:top w:val="single" w:sz="4" w:space="0" w:color="auto"/>
              <w:left w:val="single" w:sz="4" w:space="0" w:color="auto"/>
              <w:bottom w:val="single" w:sz="4" w:space="0" w:color="auto"/>
              <w:right w:val="single" w:sz="4" w:space="0" w:color="auto"/>
            </w:tcBorders>
          </w:tcPr>
          <w:p w14:paraId="70AE274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single" w:sz="4" w:space="0" w:color="auto"/>
              <w:left w:val="single" w:sz="4" w:space="0" w:color="auto"/>
              <w:bottom w:val="single" w:sz="4" w:space="0" w:color="auto"/>
              <w:right w:val="single" w:sz="4" w:space="0" w:color="auto"/>
            </w:tcBorders>
          </w:tcPr>
          <w:p w14:paraId="64253E28" w14:textId="77777777" w:rsidR="00234199" w:rsidRPr="00DD1B58" w:rsidRDefault="00234199" w:rsidP="00234199">
            <w:pPr>
              <w:spacing w:after="0" w:line="240" w:lineRule="auto"/>
              <w:rPr>
                <w:rFonts w:ascii="Calibri" w:eastAsia="Times New Roman" w:hAnsi="Calibri" w:cs="Calibri"/>
                <w:i/>
                <w:iCs/>
                <w:color w:val="000000"/>
                <w:sz w:val="20"/>
                <w:szCs w:val="20"/>
                <w:lang w:val="en-US" w:eastAsia="en-GB" w:bidi="ar-SA"/>
              </w:rPr>
            </w:pPr>
            <w:r w:rsidRPr="00DD1B58">
              <w:rPr>
                <w:rFonts w:ascii="Calibri" w:eastAsia="Times New Roman" w:hAnsi="Calibri" w:cs="Calibri"/>
                <w:i/>
                <w:iCs/>
                <w:color w:val="000000"/>
                <w:sz w:val="20"/>
                <w:szCs w:val="20"/>
                <w:lang w:val="en-US" w:eastAsia="en-GB" w:bidi="ar-SA"/>
              </w:rPr>
              <w:t>N/A</w:t>
            </w:r>
          </w:p>
        </w:tc>
      </w:tr>
      <w:tr w:rsidR="00234199" w:rsidRPr="00DD1B58" w14:paraId="48CC4D70" w14:textId="77777777">
        <w:trPr>
          <w:trHeight w:val="285"/>
        </w:trPr>
        <w:tc>
          <w:tcPr>
            <w:tcW w:w="2405" w:type="dxa"/>
            <w:vMerge w:val="restart"/>
            <w:tcBorders>
              <w:top w:val="single" w:sz="4" w:space="0" w:color="auto"/>
              <w:left w:val="single" w:sz="4" w:space="0" w:color="auto"/>
              <w:right w:val="single" w:sz="4" w:space="0" w:color="auto"/>
            </w:tcBorders>
            <w:shd w:val="clear" w:color="auto" w:fill="auto"/>
            <w:hideMark/>
          </w:tcPr>
          <w:p w14:paraId="22EF872E"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decommissioning</w:t>
            </w:r>
          </w:p>
        </w:tc>
        <w:tc>
          <w:tcPr>
            <w:tcW w:w="1985" w:type="dxa"/>
            <w:vMerge w:val="restart"/>
            <w:tcBorders>
              <w:top w:val="single" w:sz="4" w:space="0" w:color="auto"/>
              <w:left w:val="single" w:sz="4" w:space="0" w:color="auto"/>
              <w:right w:val="single" w:sz="4" w:space="0" w:color="auto"/>
            </w:tcBorders>
          </w:tcPr>
          <w:p w14:paraId="5A21BA6A"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3</w:t>
            </w:r>
          </w:p>
        </w:tc>
        <w:tc>
          <w:tcPr>
            <w:tcW w:w="2976" w:type="dxa"/>
            <w:tcBorders>
              <w:top w:val="single" w:sz="4" w:space="0" w:color="auto"/>
              <w:left w:val="single" w:sz="4" w:space="0" w:color="auto"/>
              <w:bottom w:val="single" w:sz="4" w:space="0" w:color="auto"/>
              <w:right w:val="single" w:sz="4" w:space="0" w:color="auto"/>
            </w:tcBorders>
          </w:tcPr>
          <w:p w14:paraId="5AF9520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 DFR’s Irradiated fuel in the vessel</w:t>
            </w:r>
          </w:p>
        </w:tc>
        <w:tc>
          <w:tcPr>
            <w:tcW w:w="2268" w:type="dxa"/>
            <w:tcBorders>
              <w:top w:val="single" w:sz="4" w:space="0" w:color="auto"/>
              <w:left w:val="single" w:sz="4" w:space="0" w:color="auto"/>
              <w:bottom w:val="single" w:sz="4" w:space="0" w:color="auto"/>
              <w:right w:val="single" w:sz="4" w:space="0" w:color="auto"/>
            </w:tcBorders>
          </w:tcPr>
          <w:p w14:paraId="29CC57A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Dounreay Site Restoration Limited (DSRL). </w:t>
            </w:r>
          </w:p>
        </w:tc>
        <w:tc>
          <w:tcPr>
            <w:tcW w:w="6237" w:type="dxa"/>
            <w:tcBorders>
              <w:top w:val="single" w:sz="4" w:space="0" w:color="auto"/>
              <w:left w:val="single" w:sz="4" w:space="0" w:color="auto"/>
              <w:bottom w:val="single" w:sz="4" w:space="0" w:color="auto"/>
              <w:right w:val="single" w:sz="4" w:space="0" w:color="auto"/>
            </w:tcBorders>
          </w:tcPr>
          <w:p w14:paraId="1F4C0A6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Breeder fuel elements are currently located in the DFR vessel and are being retrieved for reprocessing at Sellafield.</w:t>
            </w:r>
          </w:p>
        </w:tc>
        <w:tc>
          <w:tcPr>
            <w:tcW w:w="5050" w:type="dxa"/>
            <w:tcBorders>
              <w:top w:val="single" w:sz="4" w:space="0" w:color="auto"/>
              <w:left w:val="single" w:sz="4" w:space="0" w:color="auto"/>
              <w:bottom w:val="single" w:sz="4" w:space="0" w:color="auto"/>
              <w:right w:val="single" w:sz="4" w:space="0" w:color="auto"/>
            </w:tcBorders>
          </w:tcPr>
          <w:p w14:paraId="4337A546"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represented by Dounreay’s sample e.g. the Irradiated Fuel Cave in the PFR complex</w:t>
            </w:r>
          </w:p>
        </w:tc>
      </w:tr>
      <w:tr w:rsidR="00234199" w:rsidRPr="00DD1B58" w14:paraId="401A3E28" w14:textId="77777777">
        <w:trPr>
          <w:trHeight w:val="285"/>
        </w:trPr>
        <w:tc>
          <w:tcPr>
            <w:tcW w:w="2405" w:type="dxa"/>
            <w:vMerge/>
            <w:tcBorders>
              <w:left w:val="single" w:sz="4" w:space="0" w:color="auto"/>
              <w:bottom w:val="single" w:sz="4" w:space="0" w:color="auto"/>
              <w:right w:val="single" w:sz="4" w:space="0" w:color="auto"/>
            </w:tcBorders>
            <w:shd w:val="clear" w:color="auto" w:fill="auto"/>
          </w:tcPr>
          <w:p w14:paraId="60C3A7D0"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1985" w:type="dxa"/>
            <w:vMerge/>
            <w:tcBorders>
              <w:left w:val="single" w:sz="4" w:space="0" w:color="auto"/>
              <w:bottom w:val="single" w:sz="4" w:space="0" w:color="auto"/>
              <w:right w:val="single" w:sz="4" w:space="0" w:color="auto"/>
            </w:tcBorders>
          </w:tcPr>
          <w:p w14:paraId="4D09C681"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976" w:type="dxa"/>
            <w:tcBorders>
              <w:top w:val="single" w:sz="4" w:space="0" w:color="auto"/>
              <w:left w:val="single" w:sz="4" w:space="0" w:color="auto"/>
              <w:bottom w:val="single" w:sz="4" w:space="0" w:color="auto"/>
              <w:right w:val="single" w:sz="4" w:space="0" w:color="auto"/>
            </w:tcBorders>
          </w:tcPr>
          <w:p w14:paraId="0B112AF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2 at Sellafield:</w:t>
            </w:r>
          </w:p>
          <w:p w14:paraId="2CA91E7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PFSP (Pile Fuel Storage Pond)</w:t>
            </w:r>
          </w:p>
          <w:p w14:paraId="6F03916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FGMSP (First Generation Magnox Storage Pond)</w:t>
            </w:r>
          </w:p>
        </w:tc>
        <w:tc>
          <w:tcPr>
            <w:tcW w:w="2268" w:type="dxa"/>
            <w:tcBorders>
              <w:top w:val="single" w:sz="4" w:space="0" w:color="auto"/>
              <w:left w:val="single" w:sz="4" w:space="0" w:color="auto"/>
              <w:bottom w:val="single" w:sz="4" w:space="0" w:color="auto"/>
              <w:right w:val="single" w:sz="4" w:space="0" w:color="auto"/>
            </w:tcBorders>
          </w:tcPr>
          <w:p w14:paraId="76EEF1A3"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6237" w:type="dxa"/>
            <w:tcBorders>
              <w:top w:val="nil"/>
              <w:left w:val="single" w:sz="4" w:space="0" w:color="auto"/>
              <w:bottom w:val="single" w:sz="4" w:space="0" w:color="auto"/>
              <w:right w:val="single" w:sz="4" w:space="0" w:color="auto"/>
            </w:tcBorders>
          </w:tcPr>
          <w:p w14:paraId="47B901E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fuel has been removed from PFSP and is now stored in modern engineered storage facilities. Pond sludge is being retrieved and encapsulated in the Waste Encapsulation Plant</w:t>
            </w:r>
          </w:p>
          <w:p w14:paraId="1F8B1FB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p w14:paraId="374B66D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FGMSP - transfer of sludge-to-sludge buffer tanks continues (2021 JCR). Since fuel exports began in 2016 nearly a quarter of the fuel has been removed.</w:t>
            </w:r>
          </w:p>
        </w:tc>
        <w:tc>
          <w:tcPr>
            <w:tcW w:w="5050" w:type="dxa"/>
            <w:tcBorders>
              <w:top w:val="nil"/>
              <w:left w:val="single" w:sz="4" w:space="0" w:color="auto"/>
              <w:bottom w:val="single" w:sz="4" w:space="0" w:color="auto"/>
              <w:right w:val="single" w:sz="4" w:space="0" w:color="auto"/>
            </w:tcBorders>
          </w:tcPr>
          <w:p w14:paraId="62B475D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in High Hazard and Risk Reduction (HHRR) Facilities represented by sample of HHRR waste storage facilities at the Sellafield Licensed site.</w:t>
            </w:r>
          </w:p>
        </w:tc>
      </w:tr>
      <w:tr w:rsidR="00234199" w:rsidRPr="00DD1B58" w14:paraId="3272BF0C" w14:textId="77777777">
        <w:trPr>
          <w:trHeight w:val="285"/>
        </w:trPr>
        <w:tc>
          <w:tcPr>
            <w:tcW w:w="20921" w:type="dxa"/>
            <w:gridSpan w:val="6"/>
            <w:tcBorders>
              <w:top w:val="nil"/>
              <w:left w:val="single" w:sz="4" w:space="0" w:color="auto"/>
              <w:bottom w:val="single" w:sz="4" w:space="0" w:color="auto"/>
              <w:right w:val="single" w:sz="4" w:space="0" w:color="auto"/>
            </w:tcBorders>
            <w:shd w:val="clear" w:color="auto" w:fill="auto"/>
          </w:tcPr>
          <w:p w14:paraId="49CF581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*Each AGR site has one fuel storage pond (these are not included in the numbers for this section. Sizewell' dry store is included in this list.  Three facilities at Dounreay (DFR vessel, Irradiated Fuel Cave and shielded cave). As per joint convention report, DFR held fuel is being retrieved. Sellafield: PFSP (bulk fuel removed), FGMSP (fuel being removed) + FGOSP in ops, FHP (in ops), TRSP, FGASP</w:t>
            </w:r>
          </w:p>
        </w:tc>
      </w:tr>
      <w:tr w:rsidR="00234199" w:rsidRPr="00DD1B58" w14:paraId="5CD2DB99" w14:textId="77777777">
        <w:trPr>
          <w:trHeight w:val="360"/>
        </w:trPr>
        <w:tc>
          <w:tcPr>
            <w:tcW w:w="2405" w:type="dxa"/>
            <w:tcBorders>
              <w:top w:val="nil"/>
              <w:left w:val="single" w:sz="4" w:space="0" w:color="auto"/>
              <w:bottom w:val="single" w:sz="4" w:space="0" w:color="auto"/>
              <w:right w:val="single" w:sz="4" w:space="0" w:color="auto"/>
            </w:tcBorders>
            <w:shd w:val="clear" w:color="000000" w:fill="B1A0C7"/>
            <w:noWrap/>
            <w:vAlign w:val="center"/>
            <w:hideMark/>
          </w:tcPr>
          <w:p w14:paraId="771809A5"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Fuel cycle facilities</w:t>
            </w:r>
          </w:p>
        </w:tc>
        <w:tc>
          <w:tcPr>
            <w:tcW w:w="1985" w:type="dxa"/>
            <w:tcBorders>
              <w:top w:val="nil"/>
              <w:left w:val="single" w:sz="4" w:space="0" w:color="auto"/>
              <w:bottom w:val="single" w:sz="4" w:space="0" w:color="auto"/>
              <w:right w:val="single" w:sz="4" w:space="0" w:color="auto"/>
            </w:tcBorders>
            <w:shd w:val="clear" w:color="000000" w:fill="B1A0C7"/>
            <w:vAlign w:val="center"/>
          </w:tcPr>
          <w:p w14:paraId="7036FA6C"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Number</w:t>
            </w:r>
          </w:p>
        </w:tc>
        <w:tc>
          <w:tcPr>
            <w:tcW w:w="2976" w:type="dxa"/>
            <w:tcBorders>
              <w:top w:val="nil"/>
              <w:left w:val="single" w:sz="4" w:space="0" w:color="auto"/>
              <w:bottom w:val="single" w:sz="4" w:space="0" w:color="auto"/>
              <w:right w:val="single" w:sz="4" w:space="0" w:color="auto"/>
            </w:tcBorders>
            <w:shd w:val="clear" w:color="000000" w:fill="B1A0C7"/>
            <w:vAlign w:val="center"/>
          </w:tcPr>
          <w:p w14:paraId="0831E844"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Installations</w:t>
            </w:r>
          </w:p>
        </w:tc>
        <w:tc>
          <w:tcPr>
            <w:tcW w:w="2268" w:type="dxa"/>
            <w:tcBorders>
              <w:top w:val="nil"/>
              <w:left w:val="single" w:sz="4" w:space="0" w:color="auto"/>
              <w:bottom w:val="single" w:sz="4" w:space="0" w:color="auto"/>
              <w:right w:val="single" w:sz="4" w:space="0" w:color="auto"/>
            </w:tcBorders>
            <w:shd w:val="clear" w:color="000000" w:fill="B1A0C7"/>
            <w:vAlign w:val="center"/>
          </w:tcPr>
          <w:p w14:paraId="7DA822E2"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b/>
                <w:bCs/>
                <w:color w:val="000000"/>
                <w:sz w:val="28"/>
                <w:szCs w:val="28"/>
                <w:lang w:val="en-US" w:eastAsia="en-GB" w:bidi="ar-SA"/>
              </w:rPr>
              <w:t>Licensee</w:t>
            </w:r>
          </w:p>
        </w:tc>
        <w:tc>
          <w:tcPr>
            <w:tcW w:w="6237" w:type="dxa"/>
            <w:tcBorders>
              <w:top w:val="nil"/>
              <w:left w:val="single" w:sz="4" w:space="0" w:color="auto"/>
              <w:bottom w:val="single" w:sz="4" w:space="0" w:color="auto"/>
              <w:right w:val="single" w:sz="4" w:space="0" w:color="auto"/>
            </w:tcBorders>
            <w:shd w:val="clear" w:color="000000" w:fill="B1A0C7"/>
            <w:vAlign w:val="center"/>
          </w:tcPr>
          <w:p w14:paraId="364F426C"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Type &amp; Status</w:t>
            </w:r>
          </w:p>
          <w:p w14:paraId="19B3E8B4"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5050" w:type="dxa"/>
            <w:tcBorders>
              <w:top w:val="nil"/>
              <w:left w:val="single" w:sz="4" w:space="0" w:color="auto"/>
              <w:bottom w:val="single" w:sz="4" w:space="0" w:color="auto"/>
              <w:right w:val="single" w:sz="4" w:space="0" w:color="auto"/>
            </w:tcBorders>
            <w:shd w:val="clear" w:color="000000" w:fill="B1A0C7"/>
            <w:vAlign w:val="center"/>
          </w:tcPr>
          <w:p w14:paraId="25F2EF19"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Sampling rationale</w:t>
            </w:r>
          </w:p>
          <w:p w14:paraId="73CB6447" w14:textId="77777777"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eastAsia="Times New Roman" w:hAnsi="Calibri" w:cs="Calibri"/>
                <w:sz w:val="22"/>
                <w:lang w:val="en-US" w:eastAsia="en-GB" w:bidi="ar-SA"/>
              </w:rPr>
              <w:t>(highlighting installations selected for TPR)</w:t>
            </w:r>
          </w:p>
        </w:tc>
      </w:tr>
      <w:tr w:rsidR="00234199" w:rsidRPr="00DD1B58" w14:paraId="48113478" w14:textId="77777777">
        <w:trPr>
          <w:trHeight w:val="315"/>
        </w:trPr>
        <w:tc>
          <w:tcPr>
            <w:tcW w:w="2405" w:type="dxa"/>
            <w:tcBorders>
              <w:top w:val="nil"/>
              <w:left w:val="single" w:sz="4" w:space="0" w:color="auto"/>
              <w:bottom w:val="single" w:sz="4" w:space="0" w:color="auto"/>
              <w:right w:val="single" w:sz="4" w:space="0" w:color="auto"/>
            </w:tcBorders>
            <w:shd w:val="clear" w:color="000000" w:fill="E4DFEC"/>
            <w:noWrap/>
            <w:vAlign w:val="bottom"/>
            <w:hideMark/>
          </w:tcPr>
          <w:p w14:paraId="203F5453"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r w:rsidRPr="00DD1B58">
              <w:rPr>
                <w:rFonts w:ascii="Calibri" w:eastAsia="Times New Roman" w:hAnsi="Calibri" w:cs="Calibri"/>
                <w:b/>
                <w:bCs/>
                <w:color w:val="000000"/>
                <w:szCs w:val="24"/>
                <w:lang w:val="en-US" w:eastAsia="en-GB" w:bidi="ar-SA"/>
              </w:rPr>
              <w:t>Enrichment plant</w:t>
            </w:r>
          </w:p>
        </w:tc>
        <w:tc>
          <w:tcPr>
            <w:tcW w:w="1985" w:type="dxa"/>
            <w:tcBorders>
              <w:top w:val="nil"/>
              <w:left w:val="single" w:sz="4" w:space="0" w:color="auto"/>
              <w:bottom w:val="single" w:sz="4" w:space="0" w:color="auto"/>
              <w:right w:val="single" w:sz="4" w:space="0" w:color="auto"/>
            </w:tcBorders>
            <w:shd w:val="clear" w:color="000000" w:fill="E4DFEC"/>
          </w:tcPr>
          <w:p w14:paraId="3892C287"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2976" w:type="dxa"/>
            <w:tcBorders>
              <w:top w:val="nil"/>
              <w:left w:val="single" w:sz="4" w:space="0" w:color="auto"/>
              <w:bottom w:val="single" w:sz="4" w:space="0" w:color="auto"/>
              <w:right w:val="single" w:sz="4" w:space="0" w:color="auto"/>
            </w:tcBorders>
            <w:shd w:val="clear" w:color="000000" w:fill="E4DFEC"/>
          </w:tcPr>
          <w:p w14:paraId="713D8EBB"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2268" w:type="dxa"/>
            <w:tcBorders>
              <w:top w:val="nil"/>
              <w:left w:val="single" w:sz="4" w:space="0" w:color="auto"/>
              <w:bottom w:val="single" w:sz="4" w:space="0" w:color="auto"/>
              <w:right w:val="single" w:sz="4" w:space="0" w:color="auto"/>
            </w:tcBorders>
            <w:shd w:val="clear" w:color="000000" w:fill="E4DFEC"/>
          </w:tcPr>
          <w:p w14:paraId="61998608"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6237" w:type="dxa"/>
            <w:tcBorders>
              <w:top w:val="nil"/>
              <w:left w:val="single" w:sz="4" w:space="0" w:color="auto"/>
              <w:bottom w:val="single" w:sz="4" w:space="0" w:color="auto"/>
              <w:right w:val="single" w:sz="4" w:space="0" w:color="auto"/>
            </w:tcBorders>
            <w:shd w:val="clear" w:color="000000" w:fill="E4DFEC"/>
          </w:tcPr>
          <w:p w14:paraId="59B7C289"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5050" w:type="dxa"/>
            <w:tcBorders>
              <w:top w:val="nil"/>
              <w:left w:val="single" w:sz="4" w:space="0" w:color="auto"/>
              <w:bottom w:val="single" w:sz="4" w:space="0" w:color="auto"/>
              <w:right w:val="single" w:sz="4" w:space="0" w:color="auto"/>
            </w:tcBorders>
            <w:shd w:val="clear" w:color="000000" w:fill="E4DFEC"/>
          </w:tcPr>
          <w:p w14:paraId="79AEF59B"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r>
      <w:tr w:rsidR="00234199" w:rsidRPr="00DD1B58" w14:paraId="3C8D9D68"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5716AE7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in operation</w:t>
            </w:r>
          </w:p>
        </w:tc>
        <w:tc>
          <w:tcPr>
            <w:tcW w:w="1985" w:type="dxa"/>
            <w:tcBorders>
              <w:top w:val="nil"/>
              <w:left w:val="single" w:sz="4" w:space="0" w:color="auto"/>
              <w:bottom w:val="single" w:sz="4" w:space="0" w:color="auto"/>
              <w:right w:val="single" w:sz="4" w:space="0" w:color="auto"/>
            </w:tcBorders>
          </w:tcPr>
          <w:p w14:paraId="1C30FBE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1 </w:t>
            </w:r>
          </w:p>
        </w:tc>
        <w:tc>
          <w:tcPr>
            <w:tcW w:w="2976" w:type="dxa"/>
            <w:tcBorders>
              <w:top w:val="nil"/>
              <w:left w:val="single" w:sz="4" w:space="0" w:color="auto"/>
              <w:bottom w:val="single" w:sz="4" w:space="0" w:color="auto"/>
              <w:right w:val="single" w:sz="4" w:space="0" w:color="auto"/>
            </w:tcBorders>
          </w:tcPr>
          <w:p w14:paraId="1E3BB3F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Capenhurst works</w:t>
            </w:r>
          </w:p>
        </w:tc>
        <w:tc>
          <w:tcPr>
            <w:tcW w:w="2268" w:type="dxa"/>
            <w:tcBorders>
              <w:top w:val="nil"/>
              <w:left w:val="single" w:sz="4" w:space="0" w:color="auto"/>
              <w:bottom w:val="single" w:sz="4" w:space="0" w:color="auto"/>
              <w:right w:val="single" w:sz="4" w:space="0" w:color="auto"/>
            </w:tcBorders>
          </w:tcPr>
          <w:p w14:paraId="7374D52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Urenco UK Ltd</w:t>
            </w:r>
          </w:p>
        </w:tc>
        <w:tc>
          <w:tcPr>
            <w:tcW w:w="6237" w:type="dxa"/>
            <w:tcBorders>
              <w:top w:val="nil"/>
              <w:left w:val="single" w:sz="4" w:space="0" w:color="auto"/>
              <w:bottom w:val="single" w:sz="4" w:space="0" w:color="auto"/>
              <w:right w:val="single" w:sz="4" w:space="0" w:color="auto"/>
            </w:tcBorders>
          </w:tcPr>
          <w:p w14:paraId="6422877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Site contains three enrichment plants. It also contains cylinder storage raft, cylinder storage, residues stores and Tails Management Facility.</w:t>
            </w:r>
          </w:p>
        </w:tc>
        <w:tc>
          <w:tcPr>
            <w:tcW w:w="5050" w:type="dxa"/>
            <w:tcBorders>
              <w:top w:val="nil"/>
              <w:left w:val="single" w:sz="4" w:space="0" w:color="auto"/>
              <w:bottom w:val="single" w:sz="4" w:space="0" w:color="auto"/>
              <w:right w:val="single" w:sz="4" w:space="0" w:color="auto"/>
            </w:tcBorders>
          </w:tcPr>
          <w:p w14:paraId="1BB2FC8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Capenhurst works</w:t>
            </w:r>
            <w:r w:rsidRPr="00DD1B58">
              <w:rPr>
                <w:rFonts w:ascii="Calibri" w:eastAsia="Times New Roman" w:hAnsi="Calibri" w:cs="Calibri"/>
                <w:color w:val="000000"/>
                <w:sz w:val="20"/>
                <w:szCs w:val="20"/>
                <w:lang w:val="en-US" w:eastAsia="en-GB" w:bidi="ar-SA"/>
              </w:rPr>
              <w:t xml:space="preserve"> included as the UK’s only enrichment facility and in line with the expectation to provide a reasonable cover of the fuel cycle in the sample/ all facility types covered by the Nuclear Safety Directive.</w:t>
            </w:r>
          </w:p>
        </w:tc>
      </w:tr>
      <w:tr w:rsidR="00234199" w:rsidRPr="00DD1B58" w14:paraId="173CED3E"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1FDC6FA2"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construction</w:t>
            </w:r>
          </w:p>
        </w:tc>
        <w:tc>
          <w:tcPr>
            <w:tcW w:w="1985" w:type="dxa"/>
            <w:tcBorders>
              <w:top w:val="nil"/>
              <w:left w:val="single" w:sz="4" w:space="0" w:color="auto"/>
              <w:bottom w:val="single" w:sz="4" w:space="0" w:color="auto"/>
              <w:right w:val="single" w:sz="4" w:space="0" w:color="auto"/>
            </w:tcBorders>
          </w:tcPr>
          <w:p w14:paraId="66B34CF3"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0</w:t>
            </w:r>
          </w:p>
        </w:tc>
        <w:tc>
          <w:tcPr>
            <w:tcW w:w="2976" w:type="dxa"/>
            <w:tcBorders>
              <w:top w:val="nil"/>
              <w:left w:val="single" w:sz="4" w:space="0" w:color="auto"/>
              <w:bottom w:val="single" w:sz="4" w:space="0" w:color="auto"/>
              <w:right w:val="single" w:sz="4" w:space="0" w:color="auto"/>
            </w:tcBorders>
          </w:tcPr>
          <w:p w14:paraId="079C01D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06FF366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07D5CD3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302F076F"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r>
      <w:tr w:rsidR="00234199" w:rsidRPr="00DD1B58" w14:paraId="72F80274" w14:textId="77777777">
        <w:trPr>
          <w:trHeight w:val="642"/>
        </w:trPr>
        <w:tc>
          <w:tcPr>
            <w:tcW w:w="2405" w:type="dxa"/>
            <w:tcBorders>
              <w:top w:val="nil"/>
              <w:left w:val="single" w:sz="4" w:space="0" w:color="auto"/>
              <w:bottom w:val="single" w:sz="4" w:space="0" w:color="auto"/>
              <w:right w:val="single" w:sz="4" w:space="0" w:color="auto"/>
            </w:tcBorders>
            <w:shd w:val="clear" w:color="auto" w:fill="auto"/>
            <w:hideMark/>
          </w:tcPr>
          <w:p w14:paraId="176614AE"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decommissioning</w:t>
            </w:r>
          </w:p>
        </w:tc>
        <w:tc>
          <w:tcPr>
            <w:tcW w:w="1985" w:type="dxa"/>
            <w:tcBorders>
              <w:top w:val="nil"/>
              <w:left w:val="single" w:sz="4" w:space="0" w:color="auto"/>
              <w:bottom w:val="single" w:sz="4" w:space="0" w:color="auto"/>
              <w:right w:val="single" w:sz="4" w:space="0" w:color="auto"/>
            </w:tcBorders>
          </w:tcPr>
          <w:p w14:paraId="423410AE"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0</w:t>
            </w:r>
          </w:p>
        </w:tc>
        <w:tc>
          <w:tcPr>
            <w:tcW w:w="2976" w:type="dxa"/>
            <w:tcBorders>
              <w:top w:val="nil"/>
              <w:left w:val="single" w:sz="4" w:space="0" w:color="auto"/>
              <w:bottom w:val="single" w:sz="4" w:space="0" w:color="auto"/>
              <w:right w:val="single" w:sz="4" w:space="0" w:color="auto"/>
            </w:tcBorders>
          </w:tcPr>
          <w:p w14:paraId="6270C943"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1BE5F85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6074014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5D6125E7"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r>
      <w:tr w:rsidR="00234199" w:rsidRPr="00DD1B58" w14:paraId="168116DB" w14:textId="77777777">
        <w:trPr>
          <w:trHeight w:val="315"/>
        </w:trPr>
        <w:tc>
          <w:tcPr>
            <w:tcW w:w="2405" w:type="dxa"/>
            <w:tcBorders>
              <w:top w:val="single" w:sz="4" w:space="0" w:color="auto"/>
              <w:left w:val="single" w:sz="4" w:space="0" w:color="auto"/>
              <w:bottom w:val="single" w:sz="4" w:space="0" w:color="auto"/>
              <w:right w:val="single" w:sz="4" w:space="0" w:color="auto"/>
            </w:tcBorders>
            <w:shd w:val="clear" w:color="000000" w:fill="E4DFEC"/>
            <w:noWrap/>
            <w:vAlign w:val="bottom"/>
            <w:hideMark/>
          </w:tcPr>
          <w:p w14:paraId="2F831FCA"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r w:rsidRPr="00DD1B58">
              <w:rPr>
                <w:rFonts w:ascii="Calibri" w:eastAsia="Times New Roman" w:hAnsi="Calibri" w:cs="Calibri"/>
                <w:b/>
                <w:bCs/>
                <w:color w:val="000000"/>
                <w:szCs w:val="24"/>
                <w:lang w:val="en-US" w:eastAsia="en-GB" w:bidi="ar-SA"/>
              </w:rPr>
              <w:t>Nuclear fuel fabrication plants</w:t>
            </w:r>
          </w:p>
        </w:tc>
        <w:tc>
          <w:tcPr>
            <w:tcW w:w="1985" w:type="dxa"/>
            <w:tcBorders>
              <w:top w:val="single" w:sz="4" w:space="0" w:color="auto"/>
              <w:left w:val="single" w:sz="4" w:space="0" w:color="auto"/>
              <w:bottom w:val="single" w:sz="4" w:space="0" w:color="auto"/>
              <w:right w:val="single" w:sz="4" w:space="0" w:color="auto"/>
            </w:tcBorders>
            <w:shd w:val="clear" w:color="000000" w:fill="E4DFEC"/>
          </w:tcPr>
          <w:p w14:paraId="546767C4" w14:textId="77777777" w:rsidR="00234199" w:rsidRPr="00DD1B58" w:rsidRDefault="00234199" w:rsidP="00234199">
            <w:pPr>
              <w:spacing w:after="0" w:line="240" w:lineRule="auto"/>
              <w:rPr>
                <w:rFonts w:ascii="Calibri" w:hAnsi="Calibri" w:cs="Times New Roman"/>
                <w:sz w:val="20"/>
                <w:lang w:val="en-US" w:bidi="ar-SA"/>
              </w:rPr>
            </w:pPr>
          </w:p>
        </w:tc>
        <w:tc>
          <w:tcPr>
            <w:tcW w:w="2976" w:type="dxa"/>
            <w:tcBorders>
              <w:top w:val="single" w:sz="4" w:space="0" w:color="auto"/>
              <w:left w:val="single" w:sz="4" w:space="0" w:color="auto"/>
              <w:bottom w:val="single" w:sz="4" w:space="0" w:color="auto"/>
              <w:right w:val="single" w:sz="4" w:space="0" w:color="auto"/>
            </w:tcBorders>
            <w:shd w:val="clear" w:color="000000" w:fill="E4DFEC"/>
          </w:tcPr>
          <w:p w14:paraId="1E04ACD0" w14:textId="77777777" w:rsidR="00234199" w:rsidRPr="00DD1B58" w:rsidRDefault="00234199" w:rsidP="00234199">
            <w:pPr>
              <w:spacing w:after="0" w:line="240" w:lineRule="auto"/>
              <w:rPr>
                <w:rFonts w:ascii="Calibri" w:hAnsi="Calibri" w:cs="Times New Roman"/>
                <w:sz w:val="20"/>
                <w:lang w:val="en-US" w:bidi="ar-SA"/>
              </w:rPr>
            </w:pPr>
          </w:p>
        </w:tc>
        <w:tc>
          <w:tcPr>
            <w:tcW w:w="2268" w:type="dxa"/>
            <w:tcBorders>
              <w:top w:val="single" w:sz="4" w:space="0" w:color="auto"/>
              <w:left w:val="single" w:sz="4" w:space="0" w:color="auto"/>
              <w:bottom w:val="single" w:sz="4" w:space="0" w:color="auto"/>
              <w:right w:val="single" w:sz="4" w:space="0" w:color="auto"/>
            </w:tcBorders>
            <w:shd w:val="clear" w:color="000000" w:fill="E4DFEC"/>
          </w:tcPr>
          <w:p w14:paraId="34665C8A" w14:textId="77777777" w:rsidR="00234199" w:rsidRPr="00DD1B58" w:rsidRDefault="00234199" w:rsidP="00234199">
            <w:pPr>
              <w:spacing w:after="0" w:line="240" w:lineRule="auto"/>
              <w:rPr>
                <w:rFonts w:ascii="Calibri" w:hAnsi="Calibri" w:cs="Times New Roman"/>
                <w:sz w:val="20"/>
                <w:lang w:val="en-US" w:bidi="ar-SA"/>
              </w:rPr>
            </w:pPr>
          </w:p>
        </w:tc>
        <w:tc>
          <w:tcPr>
            <w:tcW w:w="6237" w:type="dxa"/>
            <w:tcBorders>
              <w:top w:val="single" w:sz="4" w:space="0" w:color="auto"/>
              <w:left w:val="single" w:sz="4" w:space="0" w:color="auto"/>
              <w:bottom w:val="single" w:sz="4" w:space="0" w:color="auto"/>
              <w:right w:val="single" w:sz="4" w:space="0" w:color="auto"/>
            </w:tcBorders>
            <w:shd w:val="clear" w:color="000000" w:fill="E4DFEC"/>
          </w:tcPr>
          <w:p w14:paraId="55F8DDB8" w14:textId="77777777" w:rsidR="00234199" w:rsidRPr="00DD1B58" w:rsidRDefault="00234199" w:rsidP="00234199">
            <w:pPr>
              <w:spacing w:after="0" w:line="240" w:lineRule="auto"/>
              <w:rPr>
                <w:rFonts w:ascii="Calibri" w:hAnsi="Calibri" w:cs="Times New Roman"/>
                <w:sz w:val="20"/>
                <w:lang w:val="en-US" w:bidi="ar-SA"/>
              </w:rPr>
            </w:pPr>
          </w:p>
        </w:tc>
        <w:tc>
          <w:tcPr>
            <w:tcW w:w="5050" w:type="dxa"/>
            <w:tcBorders>
              <w:top w:val="single" w:sz="4" w:space="0" w:color="auto"/>
              <w:left w:val="single" w:sz="4" w:space="0" w:color="auto"/>
              <w:bottom w:val="single" w:sz="4" w:space="0" w:color="auto"/>
              <w:right w:val="single" w:sz="4" w:space="0" w:color="auto"/>
            </w:tcBorders>
            <w:shd w:val="clear" w:color="000000" w:fill="E4DFEC"/>
          </w:tcPr>
          <w:p w14:paraId="475EAF8A" w14:textId="77777777" w:rsidR="00234199" w:rsidRPr="00DD1B58" w:rsidRDefault="00234199" w:rsidP="00234199">
            <w:pPr>
              <w:spacing w:after="0" w:line="240" w:lineRule="auto"/>
              <w:rPr>
                <w:rFonts w:ascii="Calibri" w:hAnsi="Calibri" w:cs="Times New Roman"/>
                <w:sz w:val="20"/>
                <w:lang w:val="en-US" w:bidi="ar-SA"/>
              </w:rPr>
            </w:pPr>
          </w:p>
        </w:tc>
      </w:tr>
      <w:tr w:rsidR="00234199" w:rsidRPr="00DD1B58" w14:paraId="6066F9F4" w14:textId="77777777">
        <w:trPr>
          <w:trHeight w:val="28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1567B3D"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operation</w:t>
            </w:r>
          </w:p>
        </w:tc>
        <w:tc>
          <w:tcPr>
            <w:tcW w:w="1985" w:type="dxa"/>
            <w:tcBorders>
              <w:top w:val="single" w:sz="4" w:space="0" w:color="auto"/>
              <w:left w:val="single" w:sz="4" w:space="0" w:color="auto"/>
              <w:bottom w:val="single" w:sz="4" w:space="0" w:color="auto"/>
              <w:right w:val="single" w:sz="4" w:space="0" w:color="auto"/>
            </w:tcBorders>
          </w:tcPr>
          <w:p w14:paraId="1DC2CF65" w14:textId="77777777" w:rsidR="00234199" w:rsidRPr="00DD1B58" w:rsidRDefault="00234199" w:rsidP="003622B0">
            <w:pPr>
              <w:spacing w:after="0" w:line="240" w:lineRule="auto"/>
              <w:rPr>
                <w:rFonts w:ascii="Calibri" w:hAnsi="Calibri" w:cs="Times New Roman"/>
                <w:sz w:val="20"/>
                <w:lang w:val="en-US" w:bidi="ar-SA"/>
              </w:rPr>
            </w:pPr>
            <w:r w:rsidRPr="00DD1B58">
              <w:rPr>
                <w:rFonts w:ascii="Calibri" w:hAnsi="Calibri" w:cs="Times New Roman"/>
                <w:sz w:val="20"/>
                <w:lang w:val="en-US" w:bidi="ar-SA"/>
              </w:rPr>
              <w:t>1</w:t>
            </w:r>
          </w:p>
          <w:p w14:paraId="559B0F76" w14:textId="77777777" w:rsidR="00234199" w:rsidRPr="00DD1B58" w:rsidRDefault="00234199" w:rsidP="00951D03">
            <w:pPr>
              <w:spacing w:after="0" w:line="240" w:lineRule="auto"/>
              <w:rPr>
                <w:rFonts w:ascii="Calibri" w:hAnsi="Calibri" w:cs="Times New Roman"/>
                <w:sz w:val="20"/>
                <w:lang w:val="en-US" w:bidi="ar-SA"/>
              </w:rPr>
            </w:pPr>
          </w:p>
        </w:tc>
        <w:tc>
          <w:tcPr>
            <w:tcW w:w="2976" w:type="dxa"/>
            <w:tcBorders>
              <w:top w:val="single" w:sz="4" w:space="0" w:color="auto"/>
              <w:left w:val="single" w:sz="4" w:space="0" w:color="auto"/>
              <w:bottom w:val="single" w:sz="4" w:space="0" w:color="auto"/>
              <w:right w:val="single" w:sz="4" w:space="0" w:color="auto"/>
            </w:tcBorders>
          </w:tcPr>
          <w:p w14:paraId="38ACFD6E" w14:textId="77777777" w:rsidR="00234199" w:rsidRPr="00DD1B58" w:rsidRDefault="00234199" w:rsidP="003622B0">
            <w:pPr>
              <w:spacing w:after="0" w:line="240" w:lineRule="auto"/>
              <w:rPr>
                <w:rFonts w:ascii="Calibri" w:hAnsi="Calibri" w:cs="Times New Roman"/>
                <w:sz w:val="20"/>
                <w:lang w:val="en-US" w:bidi="ar-SA"/>
              </w:rPr>
            </w:pPr>
            <w:r w:rsidRPr="00DD1B58">
              <w:rPr>
                <w:rFonts w:ascii="Calibri" w:hAnsi="Calibri" w:cs="Times New Roman"/>
                <w:sz w:val="20"/>
                <w:lang w:val="en-US" w:bidi="ar-SA"/>
              </w:rPr>
              <w:t>Springfields</w:t>
            </w:r>
          </w:p>
        </w:tc>
        <w:tc>
          <w:tcPr>
            <w:tcW w:w="2268" w:type="dxa"/>
            <w:tcBorders>
              <w:top w:val="single" w:sz="4" w:space="0" w:color="auto"/>
              <w:left w:val="single" w:sz="4" w:space="0" w:color="auto"/>
              <w:bottom w:val="single" w:sz="4" w:space="0" w:color="auto"/>
              <w:right w:val="single" w:sz="4" w:space="0" w:color="auto"/>
            </w:tcBorders>
          </w:tcPr>
          <w:p w14:paraId="5F833D73" w14:textId="77777777" w:rsidR="00234199" w:rsidRPr="00DD1B58" w:rsidRDefault="00234199" w:rsidP="003622B0">
            <w:pPr>
              <w:spacing w:after="0" w:line="240" w:lineRule="auto"/>
              <w:rPr>
                <w:rFonts w:ascii="Calibri" w:hAnsi="Calibri" w:cs="Times New Roman"/>
                <w:sz w:val="20"/>
                <w:lang w:val="en-US" w:bidi="ar-SA"/>
              </w:rPr>
            </w:pPr>
            <w:r w:rsidRPr="00DD1B58">
              <w:rPr>
                <w:rFonts w:ascii="Calibri" w:hAnsi="Calibri" w:cs="Times New Roman"/>
                <w:sz w:val="20"/>
                <w:lang w:val="en-US" w:bidi="ar-SA"/>
              </w:rPr>
              <w:t>Springfield Fuels Limited (SFL)</w:t>
            </w:r>
          </w:p>
        </w:tc>
        <w:tc>
          <w:tcPr>
            <w:tcW w:w="6237" w:type="dxa"/>
            <w:tcBorders>
              <w:top w:val="single" w:sz="4" w:space="0" w:color="auto"/>
              <w:left w:val="single" w:sz="4" w:space="0" w:color="auto"/>
              <w:bottom w:val="single" w:sz="4" w:space="0" w:color="auto"/>
              <w:right w:val="single" w:sz="4" w:space="0" w:color="auto"/>
            </w:tcBorders>
          </w:tcPr>
          <w:p w14:paraId="48D95279" w14:textId="77777777" w:rsidR="00234199" w:rsidRPr="00DD1B58" w:rsidRDefault="00234199" w:rsidP="003622B0">
            <w:pPr>
              <w:spacing w:after="0" w:line="240" w:lineRule="auto"/>
              <w:rPr>
                <w:rFonts w:ascii="Calibri" w:hAnsi="Calibri" w:cs="Times New Roman"/>
                <w:sz w:val="20"/>
                <w:lang w:val="en-US" w:bidi="ar-SA"/>
              </w:rPr>
            </w:pPr>
            <w:r w:rsidRPr="00DD1B58">
              <w:rPr>
                <w:rFonts w:ascii="Calibri" w:hAnsi="Calibri" w:cs="Times New Roman"/>
                <w:sz w:val="20"/>
                <w:lang w:val="en-US" w:bidi="ar-SA"/>
              </w:rPr>
              <w:t>In operation, manufacture of oxide fuels for Advanced Gas-cooled and Light Water Reactors, intermediate fuel products, such as powders, granules and pellets, uranium recovery services and decommissioning and demolition of redundant plants and buildings.</w:t>
            </w:r>
          </w:p>
        </w:tc>
        <w:tc>
          <w:tcPr>
            <w:tcW w:w="5050" w:type="dxa"/>
            <w:tcBorders>
              <w:top w:val="single" w:sz="4" w:space="0" w:color="auto"/>
              <w:left w:val="single" w:sz="4" w:space="0" w:color="auto"/>
              <w:bottom w:val="single" w:sz="4" w:space="0" w:color="auto"/>
              <w:right w:val="single" w:sz="4" w:space="0" w:color="auto"/>
            </w:tcBorders>
          </w:tcPr>
          <w:p w14:paraId="543DC2CC" w14:textId="1F91A0C1" w:rsidR="00234199" w:rsidRPr="00DD1B58" w:rsidRDefault="00234199" w:rsidP="003622B0">
            <w:pPr>
              <w:spacing w:after="0" w:line="240" w:lineRule="auto"/>
              <w:rPr>
                <w:rFonts w:ascii="Calibri" w:hAnsi="Calibri" w:cs="Times New Roman"/>
                <w:b/>
                <w:bCs/>
                <w:sz w:val="20"/>
                <w:lang w:val="en-US" w:bidi="ar-SA"/>
              </w:rPr>
            </w:pPr>
            <w:r w:rsidRPr="00DD1B58">
              <w:rPr>
                <w:rFonts w:ascii="Calibri" w:hAnsi="Calibri" w:cs="Times New Roman"/>
                <w:sz w:val="20"/>
                <w:highlight w:val="green"/>
                <w:lang w:val="en-US" w:bidi="ar-SA"/>
              </w:rPr>
              <w:t>Springfields Fuels Limited (SFL)</w:t>
            </w:r>
            <w:r w:rsidRPr="00DD1B58">
              <w:rPr>
                <w:rFonts w:ascii="Calibri" w:hAnsi="Calibri" w:cs="Times New Roman"/>
                <w:sz w:val="20"/>
                <w:lang w:val="en-US" w:bidi="ar-SA"/>
              </w:rPr>
              <w:t xml:space="preserve"> included as the UK’s only operational fuel fabrication facility and in line with the expectation to provide a reasonable cover of the fuel cycle in the sample/ all facility types covered by the Nuclear Safety Directive. </w:t>
            </w:r>
          </w:p>
        </w:tc>
      </w:tr>
      <w:tr w:rsidR="00234199" w:rsidRPr="00DD1B58" w14:paraId="0DBD3598"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698FEA6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construction</w:t>
            </w:r>
          </w:p>
        </w:tc>
        <w:tc>
          <w:tcPr>
            <w:tcW w:w="1985" w:type="dxa"/>
            <w:tcBorders>
              <w:top w:val="nil"/>
              <w:left w:val="single" w:sz="4" w:space="0" w:color="auto"/>
              <w:bottom w:val="single" w:sz="4" w:space="0" w:color="auto"/>
              <w:right w:val="single" w:sz="4" w:space="0" w:color="auto"/>
            </w:tcBorders>
          </w:tcPr>
          <w:p w14:paraId="5120F079"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hAnsi="Calibri" w:cs="Times New Roman"/>
                <w:sz w:val="20"/>
                <w:lang w:val="en-US" w:bidi="ar-SA"/>
              </w:rPr>
              <w:t>0</w:t>
            </w:r>
          </w:p>
        </w:tc>
        <w:tc>
          <w:tcPr>
            <w:tcW w:w="2976" w:type="dxa"/>
            <w:tcBorders>
              <w:top w:val="nil"/>
              <w:left w:val="single" w:sz="4" w:space="0" w:color="auto"/>
              <w:bottom w:val="single" w:sz="4" w:space="0" w:color="auto"/>
              <w:right w:val="single" w:sz="4" w:space="0" w:color="auto"/>
            </w:tcBorders>
          </w:tcPr>
          <w:p w14:paraId="77B6377B"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247B6E9C"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2E4F1324"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2A9E15F6" w14:textId="77777777" w:rsidR="00234199" w:rsidRPr="00DD1B58" w:rsidRDefault="00234199" w:rsidP="00234199">
            <w:pPr>
              <w:spacing w:after="0" w:line="240" w:lineRule="auto"/>
              <w:rPr>
                <w:rFonts w:ascii="Calibri" w:hAnsi="Calibri" w:cs="Times New Roman"/>
                <w:b/>
                <w:bCs/>
                <w:sz w:val="20"/>
                <w:lang w:val="en-US" w:bidi="ar-SA"/>
              </w:rPr>
            </w:pPr>
            <w:r w:rsidRPr="00DD1B58">
              <w:rPr>
                <w:rFonts w:ascii="Calibri" w:eastAsia="Times New Roman" w:hAnsi="Calibri" w:cs="Calibri"/>
                <w:color w:val="000000"/>
                <w:sz w:val="20"/>
                <w:szCs w:val="20"/>
                <w:lang w:val="en-US" w:eastAsia="en-GB" w:bidi="ar-SA"/>
              </w:rPr>
              <w:t>N/A</w:t>
            </w:r>
          </w:p>
        </w:tc>
      </w:tr>
      <w:tr w:rsidR="00234199" w:rsidRPr="00DD1B58" w14:paraId="09E6B249"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2EBDB6AD"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decommissioning</w:t>
            </w:r>
          </w:p>
        </w:tc>
        <w:tc>
          <w:tcPr>
            <w:tcW w:w="1985" w:type="dxa"/>
            <w:tcBorders>
              <w:top w:val="nil"/>
              <w:left w:val="single" w:sz="4" w:space="0" w:color="auto"/>
              <w:bottom w:val="single" w:sz="4" w:space="0" w:color="auto"/>
              <w:right w:val="single" w:sz="4" w:space="0" w:color="auto"/>
            </w:tcBorders>
          </w:tcPr>
          <w:p w14:paraId="3F15D600"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hAnsi="Calibri" w:cs="Times New Roman"/>
                <w:sz w:val="20"/>
                <w:lang w:val="en-US" w:bidi="ar-SA"/>
              </w:rPr>
              <w:t xml:space="preserve">3* </w:t>
            </w:r>
          </w:p>
        </w:tc>
        <w:tc>
          <w:tcPr>
            <w:tcW w:w="2976" w:type="dxa"/>
            <w:tcBorders>
              <w:top w:val="nil"/>
              <w:left w:val="single" w:sz="4" w:space="0" w:color="auto"/>
              <w:bottom w:val="single" w:sz="4" w:space="0" w:color="auto"/>
              <w:right w:val="single" w:sz="4" w:space="0" w:color="auto"/>
            </w:tcBorders>
          </w:tcPr>
          <w:p w14:paraId="43BF9EF5"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Sellafield’s Fast reactor fuel plant, MOX fuel demonstration plant and the plutonium purification plants</w:t>
            </w:r>
          </w:p>
        </w:tc>
        <w:tc>
          <w:tcPr>
            <w:tcW w:w="2268" w:type="dxa"/>
            <w:tcBorders>
              <w:top w:val="nil"/>
              <w:left w:val="single" w:sz="4" w:space="0" w:color="auto"/>
              <w:bottom w:val="single" w:sz="4" w:space="0" w:color="auto"/>
              <w:right w:val="single" w:sz="4" w:space="0" w:color="auto"/>
            </w:tcBorders>
          </w:tcPr>
          <w:p w14:paraId="2941F87E"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hAnsi="Calibri" w:cs="Times New Roman"/>
                <w:sz w:val="20"/>
                <w:lang w:val="en-US" w:bidi="ar-SA"/>
              </w:rPr>
              <w:t>Sellafield Ltd.</w:t>
            </w:r>
          </w:p>
        </w:tc>
        <w:tc>
          <w:tcPr>
            <w:tcW w:w="6237" w:type="dxa"/>
            <w:tcBorders>
              <w:top w:val="nil"/>
              <w:left w:val="single" w:sz="4" w:space="0" w:color="auto"/>
              <w:bottom w:val="single" w:sz="4" w:space="0" w:color="auto"/>
              <w:right w:val="single" w:sz="4" w:space="0" w:color="auto"/>
            </w:tcBorders>
          </w:tcPr>
          <w:p w14:paraId="62E6CB4B"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Advanced stages of decommissioning – most equipment has been removed. Some buildings have been removed</w:t>
            </w:r>
          </w:p>
        </w:tc>
        <w:tc>
          <w:tcPr>
            <w:tcW w:w="5050" w:type="dxa"/>
            <w:tcBorders>
              <w:top w:val="nil"/>
              <w:left w:val="single" w:sz="4" w:space="0" w:color="auto"/>
              <w:bottom w:val="single" w:sz="4" w:space="0" w:color="auto"/>
              <w:right w:val="single" w:sz="4" w:space="0" w:color="auto"/>
            </w:tcBorders>
          </w:tcPr>
          <w:p w14:paraId="4B11EE10" w14:textId="30D0BC71" w:rsidR="00234199" w:rsidRPr="00DD1B58" w:rsidRDefault="00234199" w:rsidP="00234199">
            <w:pPr>
              <w:spacing w:after="0" w:line="240" w:lineRule="auto"/>
              <w:rPr>
                <w:rFonts w:ascii="Calibri" w:hAnsi="Calibri" w:cs="Times New Roman"/>
                <w:b/>
                <w:bCs/>
                <w:sz w:val="20"/>
                <w:lang w:val="en-US" w:bidi="ar-SA"/>
              </w:rPr>
            </w:pPr>
            <w:r w:rsidRPr="00DD1B58">
              <w:rPr>
                <w:rFonts w:ascii="Calibri" w:eastAsia="Times New Roman" w:hAnsi="Calibri" w:cs="Calibri"/>
                <w:color w:val="000000"/>
                <w:sz w:val="20"/>
                <w:szCs w:val="20"/>
                <w:lang w:val="en-US" w:eastAsia="en-GB" w:bidi="ar-SA"/>
              </w:rPr>
              <w:t xml:space="preserve">Not included, facilities and equipment largely removed. Nuclear Fire Safety Arrangements and standards at the licensee represented by sample of </w:t>
            </w:r>
            <w:r w:rsidR="00D7676F" w:rsidRPr="00DD1B58">
              <w:rPr>
                <w:rFonts w:ascii="Calibri" w:eastAsia="Times New Roman" w:hAnsi="Calibri" w:cs="Calibri"/>
                <w:color w:val="000000"/>
                <w:sz w:val="20"/>
                <w:szCs w:val="20"/>
                <w:lang w:val="en-US" w:eastAsia="en-GB" w:bidi="ar-SA"/>
              </w:rPr>
              <w:t>Sellafield Ltd.</w:t>
            </w:r>
            <w:r w:rsidRPr="00DD1B58">
              <w:rPr>
                <w:rFonts w:ascii="Calibri" w:eastAsia="Times New Roman" w:hAnsi="Calibri" w:cs="Calibri"/>
                <w:color w:val="000000"/>
                <w:sz w:val="20"/>
                <w:szCs w:val="20"/>
                <w:lang w:val="en-US" w:eastAsia="en-GB" w:bidi="ar-SA"/>
              </w:rPr>
              <w:t xml:space="preserve"> waste storage facilities below.</w:t>
            </w:r>
          </w:p>
        </w:tc>
      </w:tr>
      <w:tr w:rsidR="00234199" w:rsidRPr="00DD1B58" w14:paraId="584DDAEA" w14:textId="77777777">
        <w:trPr>
          <w:trHeight w:val="285"/>
        </w:trPr>
        <w:tc>
          <w:tcPr>
            <w:tcW w:w="20921" w:type="dxa"/>
            <w:gridSpan w:val="6"/>
            <w:tcBorders>
              <w:top w:val="nil"/>
              <w:left w:val="single" w:sz="4" w:space="0" w:color="auto"/>
              <w:bottom w:val="single" w:sz="4" w:space="0" w:color="auto"/>
              <w:right w:val="single" w:sz="4" w:space="0" w:color="auto"/>
            </w:tcBorders>
            <w:shd w:val="clear" w:color="auto" w:fill="auto"/>
          </w:tcPr>
          <w:p w14:paraId="72523F28"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*MTR fuel fabrication facility at Dounreay already decommissioned and demolished therefore not counted</w:t>
            </w:r>
          </w:p>
        </w:tc>
      </w:tr>
      <w:tr w:rsidR="00234199" w:rsidRPr="00DD1B58" w14:paraId="6C6A3DD3" w14:textId="77777777">
        <w:trPr>
          <w:trHeight w:val="315"/>
        </w:trPr>
        <w:tc>
          <w:tcPr>
            <w:tcW w:w="2405" w:type="dxa"/>
            <w:tcBorders>
              <w:top w:val="nil"/>
              <w:left w:val="single" w:sz="4" w:space="0" w:color="auto"/>
              <w:bottom w:val="single" w:sz="4" w:space="0" w:color="auto"/>
              <w:right w:val="single" w:sz="4" w:space="0" w:color="auto"/>
            </w:tcBorders>
            <w:shd w:val="clear" w:color="000000" w:fill="E4DFEC"/>
            <w:noWrap/>
            <w:vAlign w:val="bottom"/>
            <w:hideMark/>
          </w:tcPr>
          <w:p w14:paraId="3DD426BD"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r w:rsidRPr="00DD1B58">
              <w:rPr>
                <w:rFonts w:ascii="Calibri" w:eastAsia="Times New Roman" w:hAnsi="Calibri" w:cs="Calibri"/>
                <w:b/>
                <w:bCs/>
                <w:color w:val="000000"/>
                <w:szCs w:val="24"/>
                <w:lang w:val="en-US" w:eastAsia="en-GB" w:bidi="ar-SA"/>
              </w:rPr>
              <w:t>Reprocessing plants</w:t>
            </w:r>
          </w:p>
        </w:tc>
        <w:tc>
          <w:tcPr>
            <w:tcW w:w="1985" w:type="dxa"/>
            <w:tcBorders>
              <w:top w:val="nil"/>
              <w:left w:val="single" w:sz="4" w:space="0" w:color="auto"/>
              <w:bottom w:val="single" w:sz="4" w:space="0" w:color="auto"/>
              <w:right w:val="single" w:sz="4" w:space="0" w:color="auto"/>
            </w:tcBorders>
            <w:shd w:val="clear" w:color="000000" w:fill="E4DFEC"/>
          </w:tcPr>
          <w:p w14:paraId="0EDEF170"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2976" w:type="dxa"/>
            <w:tcBorders>
              <w:top w:val="nil"/>
              <w:left w:val="single" w:sz="4" w:space="0" w:color="auto"/>
              <w:bottom w:val="single" w:sz="4" w:space="0" w:color="auto"/>
              <w:right w:val="single" w:sz="4" w:space="0" w:color="auto"/>
            </w:tcBorders>
            <w:shd w:val="clear" w:color="000000" w:fill="E4DFEC"/>
          </w:tcPr>
          <w:p w14:paraId="19E101D3"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2268" w:type="dxa"/>
            <w:tcBorders>
              <w:top w:val="nil"/>
              <w:left w:val="single" w:sz="4" w:space="0" w:color="auto"/>
              <w:bottom w:val="single" w:sz="4" w:space="0" w:color="auto"/>
              <w:right w:val="single" w:sz="4" w:space="0" w:color="auto"/>
            </w:tcBorders>
            <w:shd w:val="clear" w:color="000000" w:fill="E4DFEC"/>
          </w:tcPr>
          <w:p w14:paraId="680FAE9A"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6237" w:type="dxa"/>
            <w:tcBorders>
              <w:top w:val="nil"/>
              <w:left w:val="single" w:sz="4" w:space="0" w:color="auto"/>
              <w:bottom w:val="single" w:sz="4" w:space="0" w:color="auto"/>
              <w:right w:val="single" w:sz="4" w:space="0" w:color="auto"/>
            </w:tcBorders>
            <w:shd w:val="clear" w:color="000000" w:fill="E4DFEC"/>
          </w:tcPr>
          <w:p w14:paraId="3CAA3791"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c>
          <w:tcPr>
            <w:tcW w:w="5050" w:type="dxa"/>
            <w:tcBorders>
              <w:top w:val="nil"/>
              <w:left w:val="single" w:sz="4" w:space="0" w:color="auto"/>
              <w:bottom w:val="single" w:sz="4" w:space="0" w:color="auto"/>
              <w:right w:val="single" w:sz="4" w:space="0" w:color="auto"/>
            </w:tcBorders>
            <w:shd w:val="clear" w:color="000000" w:fill="E4DFEC"/>
          </w:tcPr>
          <w:p w14:paraId="6922858C" w14:textId="77777777" w:rsidR="00234199" w:rsidRPr="00DD1B58" w:rsidRDefault="00234199" w:rsidP="00234199">
            <w:pPr>
              <w:spacing w:after="0" w:line="240" w:lineRule="auto"/>
              <w:rPr>
                <w:rFonts w:ascii="Calibri" w:eastAsia="Times New Roman" w:hAnsi="Calibri" w:cs="Calibri"/>
                <w:b/>
                <w:bCs/>
                <w:color w:val="000000"/>
                <w:szCs w:val="24"/>
                <w:lang w:val="en-US" w:eastAsia="en-GB" w:bidi="ar-SA"/>
              </w:rPr>
            </w:pPr>
          </w:p>
        </w:tc>
      </w:tr>
      <w:tr w:rsidR="00234199" w:rsidRPr="00DD1B58" w14:paraId="5CC56D38"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42D2AC0E"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operation</w:t>
            </w:r>
          </w:p>
        </w:tc>
        <w:tc>
          <w:tcPr>
            <w:tcW w:w="1985" w:type="dxa"/>
            <w:tcBorders>
              <w:top w:val="nil"/>
              <w:left w:val="single" w:sz="4" w:space="0" w:color="auto"/>
              <w:bottom w:val="single" w:sz="4" w:space="0" w:color="auto"/>
              <w:right w:val="single" w:sz="4" w:space="0" w:color="auto"/>
            </w:tcBorders>
          </w:tcPr>
          <w:p w14:paraId="271F7E3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1</w:t>
            </w:r>
          </w:p>
        </w:tc>
        <w:tc>
          <w:tcPr>
            <w:tcW w:w="2976" w:type="dxa"/>
            <w:tcBorders>
              <w:top w:val="nil"/>
              <w:left w:val="single" w:sz="4" w:space="0" w:color="auto"/>
              <w:bottom w:val="single" w:sz="4" w:space="0" w:color="auto"/>
              <w:right w:val="single" w:sz="4" w:space="0" w:color="auto"/>
            </w:tcBorders>
          </w:tcPr>
          <w:p w14:paraId="7E39B16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Magnox reprocessing plant</w:t>
            </w:r>
          </w:p>
        </w:tc>
        <w:tc>
          <w:tcPr>
            <w:tcW w:w="2268" w:type="dxa"/>
            <w:tcBorders>
              <w:top w:val="nil"/>
              <w:left w:val="single" w:sz="4" w:space="0" w:color="auto"/>
              <w:bottom w:val="single" w:sz="4" w:space="0" w:color="auto"/>
              <w:right w:val="single" w:sz="4" w:space="0" w:color="auto"/>
            </w:tcBorders>
          </w:tcPr>
          <w:p w14:paraId="0656FFA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6237" w:type="dxa"/>
            <w:tcBorders>
              <w:top w:val="nil"/>
              <w:left w:val="single" w:sz="4" w:space="0" w:color="auto"/>
              <w:bottom w:val="single" w:sz="4" w:space="0" w:color="auto"/>
              <w:right w:val="single" w:sz="4" w:space="0" w:color="auto"/>
            </w:tcBorders>
          </w:tcPr>
          <w:p w14:paraId="529A77AB"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Operations expected to complete in 2022 – likely to be in decommissioning by TPR start</w:t>
            </w:r>
          </w:p>
        </w:tc>
        <w:tc>
          <w:tcPr>
            <w:tcW w:w="5050" w:type="dxa"/>
            <w:tcBorders>
              <w:top w:val="nil"/>
              <w:left w:val="single" w:sz="4" w:space="0" w:color="auto"/>
              <w:bottom w:val="single" w:sz="4" w:space="0" w:color="auto"/>
              <w:right w:val="single" w:sz="4" w:space="0" w:color="auto"/>
            </w:tcBorders>
          </w:tcPr>
          <w:p w14:paraId="0AEDB85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highlight w:val="green"/>
                <w:lang w:val="en-US" w:eastAsia="en-GB" w:bidi="ar-SA"/>
              </w:rPr>
              <w:t xml:space="preserve">Magnox reprocessing plant </w:t>
            </w:r>
            <w:r w:rsidRPr="00DD1B58">
              <w:rPr>
                <w:rFonts w:ascii="Calibri" w:eastAsia="Times New Roman" w:hAnsi="Calibri" w:cs="Calibri"/>
                <w:color w:val="000000"/>
                <w:sz w:val="20"/>
                <w:szCs w:val="20"/>
                <w:lang w:val="en-US" w:eastAsia="en-GB" w:bidi="ar-SA"/>
              </w:rPr>
              <w:t>included as UK’s only reprocessing plan in operation by 30</w:t>
            </w:r>
            <w:r w:rsidRPr="00DD1B58">
              <w:rPr>
                <w:rFonts w:ascii="Calibri" w:eastAsia="Times New Roman" w:hAnsi="Calibri" w:cs="Calibri"/>
                <w:color w:val="000000"/>
                <w:sz w:val="20"/>
                <w:szCs w:val="20"/>
                <w:vertAlign w:val="superscript"/>
                <w:lang w:val="en-US" w:eastAsia="en-GB" w:bidi="ar-SA"/>
              </w:rPr>
              <w:t>th</w:t>
            </w:r>
            <w:r w:rsidRPr="00DD1B58">
              <w:rPr>
                <w:rFonts w:ascii="Calibri" w:eastAsia="Times New Roman" w:hAnsi="Calibri" w:cs="Calibri"/>
                <w:color w:val="000000"/>
                <w:sz w:val="20"/>
                <w:szCs w:val="20"/>
                <w:lang w:val="en-US" w:eastAsia="en-GB" w:bidi="ar-SA"/>
              </w:rPr>
              <w:t xml:space="preserve"> June 2022, to include all facility types covered by the Nuclear Safety Directive. The facility ceased operations and entered clean-up and decommissioning phases in 2022.</w:t>
            </w:r>
          </w:p>
        </w:tc>
      </w:tr>
      <w:tr w:rsidR="00234199" w:rsidRPr="00DD1B58" w14:paraId="5A138809" w14:textId="77777777">
        <w:trPr>
          <w:trHeight w:val="285"/>
        </w:trPr>
        <w:tc>
          <w:tcPr>
            <w:tcW w:w="2405" w:type="dxa"/>
            <w:tcBorders>
              <w:top w:val="nil"/>
              <w:left w:val="single" w:sz="4" w:space="0" w:color="auto"/>
              <w:bottom w:val="single" w:sz="4" w:space="0" w:color="auto"/>
              <w:right w:val="single" w:sz="4" w:space="0" w:color="auto"/>
            </w:tcBorders>
            <w:shd w:val="clear" w:color="auto" w:fill="auto"/>
            <w:hideMark/>
          </w:tcPr>
          <w:p w14:paraId="1CFBDD1B"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construction</w:t>
            </w:r>
          </w:p>
        </w:tc>
        <w:tc>
          <w:tcPr>
            <w:tcW w:w="1985" w:type="dxa"/>
            <w:tcBorders>
              <w:top w:val="nil"/>
              <w:left w:val="single" w:sz="4" w:space="0" w:color="auto"/>
              <w:bottom w:val="single" w:sz="4" w:space="0" w:color="auto"/>
              <w:right w:val="single" w:sz="4" w:space="0" w:color="auto"/>
            </w:tcBorders>
          </w:tcPr>
          <w:p w14:paraId="055E0D89"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0</w:t>
            </w:r>
          </w:p>
        </w:tc>
        <w:tc>
          <w:tcPr>
            <w:tcW w:w="2976" w:type="dxa"/>
            <w:tcBorders>
              <w:top w:val="nil"/>
              <w:left w:val="single" w:sz="4" w:space="0" w:color="auto"/>
              <w:bottom w:val="single" w:sz="4" w:space="0" w:color="auto"/>
              <w:right w:val="single" w:sz="4" w:space="0" w:color="auto"/>
            </w:tcBorders>
          </w:tcPr>
          <w:p w14:paraId="0439E12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2268" w:type="dxa"/>
            <w:tcBorders>
              <w:top w:val="nil"/>
              <w:left w:val="single" w:sz="4" w:space="0" w:color="auto"/>
              <w:bottom w:val="single" w:sz="4" w:space="0" w:color="auto"/>
              <w:right w:val="single" w:sz="4" w:space="0" w:color="auto"/>
            </w:tcBorders>
          </w:tcPr>
          <w:p w14:paraId="3B7EE78A"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6237" w:type="dxa"/>
            <w:tcBorders>
              <w:top w:val="nil"/>
              <w:left w:val="single" w:sz="4" w:space="0" w:color="auto"/>
              <w:bottom w:val="single" w:sz="4" w:space="0" w:color="auto"/>
              <w:right w:val="single" w:sz="4" w:space="0" w:color="auto"/>
            </w:tcBorders>
          </w:tcPr>
          <w:p w14:paraId="0E855B39"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N/A</w:t>
            </w:r>
          </w:p>
        </w:tc>
        <w:tc>
          <w:tcPr>
            <w:tcW w:w="5050" w:type="dxa"/>
            <w:tcBorders>
              <w:top w:val="nil"/>
              <w:left w:val="single" w:sz="4" w:space="0" w:color="auto"/>
              <w:bottom w:val="single" w:sz="4" w:space="0" w:color="auto"/>
              <w:right w:val="single" w:sz="4" w:space="0" w:color="auto"/>
            </w:tcBorders>
          </w:tcPr>
          <w:p w14:paraId="2D095520"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r>
      <w:tr w:rsidR="00234199" w:rsidRPr="00DD1B58" w14:paraId="36D21D8E" w14:textId="77777777">
        <w:trPr>
          <w:trHeight w:val="285"/>
        </w:trPr>
        <w:tc>
          <w:tcPr>
            <w:tcW w:w="2405" w:type="dxa"/>
            <w:vMerge w:val="restart"/>
            <w:tcBorders>
              <w:top w:val="nil"/>
              <w:left w:val="single" w:sz="4" w:space="0" w:color="auto"/>
              <w:right w:val="single" w:sz="4" w:space="0" w:color="auto"/>
            </w:tcBorders>
            <w:shd w:val="clear" w:color="auto" w:fill="auto"/>
            <w:hideMark/>
          </w:tcPr>
          <w:p w14:paraId="3A56B230"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in decommissioning</w:t>
            </w:r>
          </w:p>
        </w:tc>
        <w:tc>
          <w:tcPr>
            <w:tcW w:w="1985" w:type="dxa"/>
            <w:vMerge w:val="restart"/>
            <w:tcBorders>
              <w:top w:val="nil"/>
              <w:left w:val="single" w:sz="4" w:space="0" w:color="auto"/>
              <w:right w:val="single" w:sz="4" w:space="0" w:color="auto"/>
            </w:tcBorders>
          </w:tcPr>
          <w:p w14:paraId="2AFEAB03"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i/>
                <w:iCs/>
                <w:color w:val="000000"/>
                <w:sz w:val="20"/>
                <w:szCs w:val="20"/>
                <w:lang w:val="en-US" w:eastAsia="en-GB" w:bidi="ar-SA"/>
              </w:rPr>
              <w:t xml:space="preserve">4 </w:t>
            </w:r>
          </w:p>
        </w:tc>
        <w:tc>
          <w:tcPr>
            <w:tcW w:w="2976" w:type="dxa"/>
            <w:tcBorders>
              <w:top w:val="nil"/>
              <w:left w:val="single" w:sz="4" w:space="0" w:color="auto"/>
              <w:bottom w:val="single" w:sz="4" w:space="0" w:color="auto"/>
              <w:right w:val="single" w:sz="4" w:space="0" w:color="auto"/>
            </w:tcBorders>
          </w:tcPr>
          <w:p w14:paraId="06F36830"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Reprocessing at Thorp </w:t>
            </w:r>
          </w:p>
        </w:tc>
        <w:tc>
          <w:tcPr>
            <w:tcW w:w="2268" w:type="dxa"/>
            <w:tcBorders>
              <w:top w:val="nil"/>
              <w:left w:val="single" w:sz="4" w:space="0" w:color="auto"/>
              <w:bottom w:val="single" w:sz="4" w:space="0" w:color="auto"/>
              <w:right w:val="single" w:sz="4" w:space="0" w:color="auto"/>
            </w:tcBorders>
          </w:tcPr>
          <w:p w14:paraId="42F0A199"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Sellafield Ltd.</w:t>
            </w:r>
          </w:p>
        </w:tc>
        <w:tc>
          <w:tcPr>
            <w:tcW w:w="6237" w:type="dxa"/>
            <w:tcBorders>
              <w:top w:val="nil"/>
              <w:left w:val="single" w:sz="4" w:space="0" w:color="auto"/>
              <w:bottom w:val="single" w:sz="4" w:space="0" w:color="auto"/>
              <w:right w:val="single" w:sz="4" w:space="0" w:color="auto"/>
            </w:tcBorders>
          </w:tcPr>
          <w:p w14:paraId="24745236"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entering post operational clean out (POCO) stage</w:t>
            </w:r>
          </w:p>
        </w:tc>
        <w:tc>
          <w:tcPr>
            <w:tcW w:w="5050" w:type="dxa"/>
            <w:tcBorders>
              <w:top w:val="nil"/>
              <w:left w:val="single" w:sz="4" w:space="0" w:color="auto"/>
              <w:bottom w:val="single" w:sz="4" w:space="0" w:color="auto"/>
              <w:right w:val="single" w:sz="4" w:space="0" w:color="auto"/>
            </w:tcBorders>
          </w:tcPr>
          <w:p w14:paraId="1D829D1D"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and facility type represented by Magnox reprocessing plant at the same licensee site above.</w:t>
            </w:r>
          </w:p>
        </w:tc>
      </w:tr>
      <w:tr w:rsidR="00234199" w:rsidRPr="00DD1B58" w14:paraId="1ECBA7AD" w14:textId="77777777">
        <w:trPr>
          <w:trHeight w:val="285"/>
        </w:trPr>
        <w:tc>
          <w:tcPr>
            <w:tcW w:w="2405" w:type="dxa"/>
            <w:vMerge/>
            <w:tcBorders>
              <w:left w:val="single" w:sz="4" w:space="0" w:color="auto"/>
              <w:bottom w:val="single" w:sz="4" w:space="0" w:color="auto"/>
              <w:right w:val="single" w:sz="4" w:space="0" w:color="auto"/>
            </w:tcBorders>
            <w:shd w:val="clear" w:color="auto" w:fill="auto"/>
          </w:tcPr>
          <w:p w14:paraId="35C49705"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1985" w:type="dxa"/>
            <w:vMerge/>
            <w:tcBorders>
              <w:left w:val="single" w:sz="4" w:space="0" w:color="auto"/>
              <w:bottom w:val="single" w:sz="4" w:space="0" w:color="auto"/>
              <w:right w:val="single" w:sz="4" w:space="0" w:color="auto"/>
            </w:tcBorders>
          </w:tcPr>
          <w:p w14:paraId="51E26AC4"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p>
        </w:tc>
        <w:tc>
          <w:tcPr>
            <w:tcW w:w="2976" w:type="dxa"/>
            <w:tcBorders>
              <w:top w:val="nil"/>
              <w:left w:val="single" w:sz="4" w:space="0" w:color="auto"/>
              <w:bottom w:val="single" w:sz="4" w:space="0" w:color="auto"/>
              <w:right w:val="single" w:sz="4" w:space="0" w:color="auto"/>
            </w:tcBorders>
          </w:tcPr>
          <w:p w14:paraId="7626B3C5"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 MTR reprocessing, Dounreay Fast Reactor Fuel Reprocessing Plant,</w:t>
            </w:r>
          </w:p>
          <w:p w14:paraId="43C36175" w14:textId="77777777" w:rsidR="00234199" w:rsidRPr="00DD1B58" w:rsidRDefault="00234199" w:rsidP="00234199">
            <w:pPr>
              <w:spacing w:after="0" w:line="240" w:lineRule="auto"/>
              <w:rPr>
                <w:rFonts w:ascii="Calibri" w:hAnsi="Calibri" w:cs="Times New Roman"/>
                <w:sz w:val="20"/>
                <w:lang w:val="en-US" w:bidi="ar-SA"/>
              </w:rPr>
            </w:pPr>
            <w:r w:rsidRPr="00DD1B58">
              <w:rPr>
                <w:rFonts w:ascii="Calibri" w:eastAsia="Times New Roman" w:hAnsi="Calibri" w:cs="Calibri"/>
                <w:color w:val="000000"/>
                <w:sz w:val="20"/>
                <w:szCs w:val="20"/>
                <w:lang w:val="en-US" w:eastAsia="en-GB" w:bidi="ar-SA"/>
              </w:rPr>
              <w:t>Dounreay’s E</w:t>
            </w:r>
            <w:r w:rsidRPr="00DD1B58">
              <w:rPr>
                <w:rFonts w:ascii="Calibri" w:hAnsi="Calibri" w:cs="Times New Roman"/>
                <w:sz w:val="20"/>
                <w:lang w:val="en-US" w:bidi="ar-SA"/>
              </w:rPr>
              <w:t>nriched Uranium processing facility</w:t>
            </w:r>
          </w:p>
          <w:p w14:paraId="45CB9336" w14:textId="3AB16D85" w:rsidR="00E87F9C" w:rsidRPr="00DD1B58" w:rsidRDefault="00E87F9C" w:rsidP="00234199">
            <w:pPr>
              <w:spacing w:after="0" w:line="240" w:lineRule="auto"/>
              <w:rPr>
                <w:rFonts w:ascii="Calibri" w:eastAsia="Times New Roman" w:hAnsi="Calibri" w:cs="Calibri"/>
                <w:color w:val="000000"/>
                <w:sz w:val="20"/>
                <w:szCs w:val="20"/>
                <w:lang w:val="en-US" w:eastAsia="en-GB" w:bidi="ar-SA"/>
              </w:rPr>
            </w:pPr>
          </w:p>
        </w:tc>
        <w:tc>
          <w:tcPr>
            <w:tcW w:w="2268" w:type="dxa"/>
            <w:tcBorders>
              <w:top w:val="nil"/>
              <w:left w:val="single" w:sz="4" w:space="0" w:color="auto"/>
              <w:bottom w:val="single" w:sz="4" w:space="0" w:color="auto"/>
              <w:right w:val="single" w:sz="4" w:space="0" w:color="auto"/>
            </w:tcBorders>
          </w:tcPr>
          <w:p w14:paraId="2DDB683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Dounreay Site Restoration Limited (DSRL). </w:t>
            </w:r>
          </w:p>
        </w:tc>
        <w:tc>
          <w:tcPr>
            <w:tcW w:w="6237" w:type="dxa"/>
            <w:tcBorders>
              <w:top w:val="nil"/>
              <w:left w:val="single" w:sz="4" w:space="0" w:color="auto"/>
              <w:bottom w:val="single" w:sz="4" w:space="0" w:color="auto"/>
              <w:right w:val="single" w:sz="4" w:space="0" w:color="auto"/>
            </w:tcBorders>
          </w:tcPr>
          <w:p w14:paraId="5538F704"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xml:space="preserve">Dounreay MTR reprocessing – partially decommissioned. </w:t>
            </w:r>
          </w:p>
          <w:p w14:paraId="05693EC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 Fast Reactor Fuel Reprocessing Plant – POCO stage</w:t>
            </w:r>
          </w:p>
          <w:p w14:paraId="319A287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Dounreay’s E</w:t>
            </w:r>
            <w:r w:rsidRPr="00DD1B58">
              <w:rPr>
                <w:rFonts w:ascii="Calibri" w:hAnsi="Calibri" w:cs="Times New Roman"/>
                <w:sz w:val="20"/>
                <w:lang w:val="en-US" w:bidi="ar-SA"/>
              </w:rPr>
              <w:t xml:space="preserve">nriched Uranium Processing facility – partially decommissioned </w:t>
            </w:r>
          </w:p>
        </w:tc>
        <w:tc>
          <w:tcPr>
            <w:tcW w:w="5050" w:type="dxa"/>
            <w:tcBorders>
              <w:top w:val="nil"/>
              <w:left w:val="single" w:sz="4" w:space="0" w:color="auto"/>
              <w:bottom w:val="single" w:sz="4" w:space="0" w:color="auto"/>
              <w:right w:val="single" w:sz="4" w:space="0" w:color="auto"/>
            </w:tcBorders>
          </w:tcPr>
          <w:p w14:paraId="020F44B6"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Nuclear Fire Safety Arrangements and standards represented by Dounreay’s reporting on the PFR complex including the Irradiated Fuel Cave.</w:t>
            </w:r>
          </w:p>
        </w:tc>
      </w:tr>
    </w:tbl>
    <w:p w14:paraId="02436ECE" w14:textId="77777777" w:rsidR="00725495" w:rsidRPr="00DD1B58" w:rsidRDefault="00725495">
      <w:pPr>
        <w:rPr>
          <w:lang w:val="en-US"/>
        </w:rPr>
      </w:pPr>
      <w:r w:rsidRPr="00DD1B58">
        <w:rPr>
          <w:lang w:val="en-US"/>
        </w:rPr>
        <w:br w:type="page"/>
      </w:r>
    </w:p>
    <w:tbl>
      <w:tblPr>
        <w:tblW w:w="20921" w:type="dxa"/>
        <w:tblLayout w:type="fixed"/>
        <w:tblLook w:val="04A0" w:firstRow="1" w:lastRow="0" w:firstColumn="1" w:lastColumn="0" w:noHBand="0" w:noVBand="1"/>
      </w:tblPr>
      <w:tblGrid>
        <w:gridCol w:w="2405"/>
        <w:gridCol w:w="1985"/>
        <w:gridCol w:w="2976"/>
        <w:gridCol w:w="2268"/>
        <w:gridCol w:w="6521"/>
        <w:gridCol w:w="4766"/>
      </w:tblGrid>
      <w:tr w:rsidR="00DD65FD" w:rsidRPr="00DD1B58" w14:paraId="19249DBC" w14:textId="77777777" w:rsidTr="00234199">
        <w:trPr>
          <w:trHeight w:val="285"/>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C5C1D" w14:textId="209B561E" w:rsidR="00234199" w:rsidRPr="00DD1B58" w:rsidRDefault="00234199" w:rsidP="00234199">
            <w:pPr>
              <w:spacing w:after="0" w:line="240" w:lineRule="auto"/>
              <w:jc w:val="center"/>
              <w:rPr>
                <w:rFonts w:ascii="Calibri" w:eastAsia="Times New Roman" w:hAnsi="Calibri" w:cs="Calibri"/>
                <w:b/>
                <w:bCs/>
                <w:color w:val="000000"/>
                <w:sz w:val="28"/>
                <w:szCs w:val="28"/>
                <w:lang w:val="en-US" w:eastAsia="en-GB" w:bidi="ar-SA"/>
              </w:rPr>
            </w:pPr>
            <w:r w:rsidRPr="00DD1B58">
              <w:rPr>
                <w:rFonts w:ascii="Calibri" w:hAnsi="Calibri" w:cs="Times New Roman"/>
                <w:sz w:val="22"/>
                <w:lang w:val="en-US" w:bidi="ar-SA"/>
              </w:rPr>
              <w:br w:type="page"/>
            </w:r>
            <w:r w:rsidRPr="00DD1B58">
              <w:rPr>
                <w:rFonts w:ascii="Calibri" w:eastAsia="Times New Roman" w:hAnsi="Calibri" w:cs="Calibri"/>
                <w:b/>
                <w:bCs/>
                <w:color w:val="000000"/>
                <w:sz w:val="28"/>
                <w:szCs w:val="28"/>
                <w:lang w:val="en-US" w:eastAsia="en-GB" w:bidi="ar-SA"/>
              </w:rPr>
              <w:t>Waste Storage / Management Facilities*</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14:paraId="57967ADB"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color w:val="000000"/>
                <w:sz w:val="28"/>
                <w:szCs w:val="28"/>
                <w:lang w:val="en-US" w:eastAsia="en-GB" w:bidi="ar-SA"/>
              </w:rPr>
              <w:t>Number</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14:paraId="42F417D9"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color w:val="000000"/>
                <w:sz w:val="28"/>
                <w:szCs w:val="28"/>
                <w:lang w:val="en-US" w:eastAsia="en-GB" w:bidi="ar-SA"/>
              </w:rPr>
              <w:t>Installations</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2943B614"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
                <w:bCs/>
                <w:color w:val="000000"/>
                <w:sz w:val="28"/>
                <w:szCs w:val="28"/>
                <w:lang w:val="en-US" w:eastAsia="en-GB" w:bidi="ar-SA"/>
              </w:rPr>
              <w:t>Licensee</w:t>
            </w:r>
          </w:p>
        </w:tc>
        <w:tc>
          <w:tcPr>
            <w:tcW w:w="6521" w:type="dxa"/>
            <w:tcBorders>
              <w:top w:val="single" w:sz="4" w:space="0" w:color="auto"/>
              <w:left w:val="single" w:sz="4" w:space="0" w:color="auto"/>
              <w:bottom w:val="single" w:sz="4" w:space="0" w:color="auto"/>
              <w:right w:val="single" w:sz="4" w:space="0" w:color="auto"/>
            </w:tcBorders>
            <w:shd w:val="clear" w:color="auto" w:fill="D9D9D9"/>
            <w:vAlign w:val="center"/>
          </w:tcPr>
          <w:p w14:paraId="25ACD35E"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Type &amp; Status</w:t>
            </w:r>
          </w:p>
          <w:p w14:paraId="7235762B"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sz w:val="22"/>
                <w:lang w:val="en-US" w:eastAsia="en-GB" w:bidi="ar-SA"/>
              </w:rPr>
              <w:t>(as of 30</w:t>
            </w:r>
            <w:r w:rsidRPr="00DD1B58">
              <w:rPr>
                <w:rFonts w:ascii="Calibri" w:eastAsia="Times New Roman" w:hAnsi="Calibri" w:cs="Calibri"/>
                <w:sz w:val="22"/>
                <w:vertAlign w:val="superscript"/>
                <w:lang w:val="en-US" w:eastAsia="en-GB" w:bidi="ar-SA"/>
              </w:rPr>
              <w:t>th</w:t>
            </w:r>
            <w:r w:rsidRPr="00DD1B58">
              <w:rPr>
                <w:rFonts w:ascii="Calibri" w:eastAsia="Times New Roman" w:hAnsi="Calibri" w:cs="Calibri"/>
                <w:sz w:val="22"/>
                <w:lang w:val="en-US" w:eastAsia="en-GB" w:bidi="ar-SA"/>
              </w:rPr>
              <w:t xml:space="preserve"> June 2022)</w:t>
            </w:r>
          </w:p>
        </w:tc>
        <w:tc>
          <w:tcPr>
            <w:tcW w:w="4766" w:type="dxa"/>
            <w:tcBorders>
              <w:top w:val="single" w:sz="4" w:space="0" w:color="auto"/>
              <w:left w:val="single" w:sz="4" w:space="0" w:color="auto"/>
              <w:bottom w:val="single" w:sz="4" w:space="0" w:color="auto"/>
              <w:right w:val="single" w:sz="4" w:space="0" w:color="auto"/>
            </w:tcBorders>
            <w:shd w:val="clear" w:color="auto" w:fill="D9D9D9"/>
            <w:vAlign w:val="center"/>
          </w:tcPr>
          <w:p w14:paraId="0803323B" w14:textId="77777777" w:rsidR="00234199" w:rsidRPr="00DD1B58" w:rsidRDefault="00234199" w:rsidP="00234199">
            <w:pPr>
              <w:spacing w:after="0" w:line="240" w:lineRule="auto"/>
              <w:jc w:val="center"/>
              <w:rPr>
                <w:rFonts w:ascii="Calibri" w:eastAsia="Times New Roman" w:hAnsi="Calibri" w:cs="Calibri"/>
                <w:b/>
                <w:bCs/>
                <w:sz w:val="28"/>
                <w:szCs w:val="28"/>
                <w:lang w:val="en-US" w:eastAsia="en-GB" w:bidi="ar-SA"/>
              </w:rPr>
            </w:pPr>
            <w:r w:rsidRPr="00DD1B58">
              <w:rPr>
                <w:rFonts w:ascii="Calibri" w:eastAsia="Times New Roman" w:hAnsi="Calibri" w:cs="Calibri"/>
                <w:b/>
                <w:bCs/>
                <w:sz w:val="28"/>
                <w:szCs w:val="28"/>
                <w:lang w:val="en-US" w:eastAsia="en-GB" w:bidi="ar-SA"/>
              </w:rPr>
              <w:t>Sampling rationale</w:t>
            </w:r>
          </w:p>
          <w:p w14:paraId="7DAAB668" w14:textId="77777777" w:rsidR="00234199" w:rsidRPr="00DD1B58" w:rsidRDefault="00234199" w:rsidP="00234199">
            <w:pPr>
              <w:spacing w:after="0" w:line="240" w:lineRule="auto"/>
              <w:jc w:val="center"/>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sz w:val="22"/>
                <w:lang w:val="en-US" w:eastAsia="en-GB" w:bidi="ar-SA"/>
              </w:rPr>
              <w:t>(highlighting installations selected for TPR)</w:t>
            </w:r>
          </w:p>
        </w:tc>
      </w:tr>
      <w:tr w:rsidR="00234199" w:rsidRPr="00DD1B58" w14:paraId="71B923F0" w14:textId="77777777">
        <w:trPr>
          <w:trHeight w:val="3493"/>
        </w:trPr>
        <w:tc>
          <w:tcPr>
            <w:tcW w:w="7366"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C3E2C8"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The Sellafield site comprises more than 250 nuclear facilities and over 1000 buildings, with a wide diversity in radiological inventories and plant designs. Sellafield’s main waste processing and storage facilities are ~22 facilities including: Waste Monitoring and Compaction Plant (WAMAC); Waste Treatment Complex (WTC); Magnox Encapsulation Plant (MEP); Waste Encapsulation Plant (WEP); Waste Processing and Encapsulation Plant (WPEP); Liquid Effluent Treatment Plants; series of facilities for engineered storage for conditioned wastes. Interim PCM drum storage (unconditioned); Magnox Swarf Storage Silo (MSSS), Intermediate Level Waste (ILW) tanks, Miscellaneous Beta Gamma Waste (MBGW) store, High Level Waste Plants and vitrification; Active Handling Facility; Windscale Advanced Gas Cooled Reactor (WAGR) Packaging Plant and Box Store; Floc storage tanks, Magnox sludge settling facility.</w:t>
            </w:r>
          </w:p>
          <w:p w14:paraId="71DFCFF2" w14:textId="77777777" w:rsidR="00234199" w:rsidRPr="00DD1B58" w:rsidRDefault="00234199" w:rsidP="00234199">
            <w:pPr>
              <w:spacing w:after="0" w:line="240" w:lineRule="auto"/>
              <w:ind w:left="720"/>
              <w:contextualSpacing/>
              <w:rPr>
                <w:rFonts w:ascii="Calibri" w:eastAsia="Times New Roman" w:hAnsi="Calibri" w:cs="Calibri"/>
                <w:color w:val="000000"/>
                <w:sz w:val="20"/>
                <w:szCs w:val="20"/>
                <w:lang w:val="en-US" w:eastAsia="en-GB" w:bidi="ar-SA"/>
              </w:rPr>
            </w:pPr>
          </w:p>
          <w:p w14:paraId="32396715" w14:textId="77777777" w:rsidR="00234199" w:rsidRPr="00DD1B58" w:rsidRDefault="00234199" w:rsidP="00234199">
            <w:pPr>
              <w:spacing w:after="160" w:line="259" w:lineRule="auto"/>
              <w:rPr>
                <w:rFonts w:ascii="Calibri" w:eastAsia="Times New Roman" w:hAnsi="Calibri" w:cs="Calibri"/>
                <w:color w:val="000000"/>
                <w:sz w:val="20"/>
                <w:szCs w:val="20"/>
                <w:lang w:val="en-US" w:eastAsia="en-GB" w:bidi="ar-SA"/>
              </w:rPr>
            </w:pPr>
          </w:p>
        </w:tc>
        <w:tc>
          <w:tcPr>
            <w:tcW w:w="2268" w:type="dxa"/>
            <w:tcBorders>
              <w:top w:val="single" w:sz="4" w:space="0" w:color="auto"/>
              <w:left w:val="single" w:sz="4" w:space="0" w:color="auto"/>
              <w:bottom w:val="single" w:sz="4" w:space="0" w:color="auto"/>
              <w:right w:val="single" w:sz="4" w:space="0" w:color="auto"/>
            </w:tcBorders>
          </w:tcPr>
          <w:p w14:paraId="5F346752" w14:textId="77777777" w:rsidR="00234199" w:rsidRPr="00DD1B58" w:rsidRDefault="00234199" w:rsidP="00234199">
            <w:pPr>
              <w:spacing w:after="0" w:line="240" w:lineRule="auto"/>
              <w:rPr>
                <w:rFonts w:ascii="Calibri" w:eastAsia="Times New Roman" w:hAnsi="Calibri" w:cs="Calibri"/>
                <w:b/>
                <w:bCs/>
                <w:i/>
                <w:iCs/>
                <w:color w:val="000000"/>
                <w:sz w:val="20"/>
                <w:szCs w:val="20"/>
                <w:lang w:val="en-US" w:eastAsia="en-GB" w:bidi="ar-SA"/>
              </w:rPr>
            </w:pPr>
            <w:r w:rsidRPr="00DD1B58">
              <w:rPr>
                <w:rFonts w:ascii="Calibri" w:eastAsia="Times New Roman" w:hAnsi="Calibri" w:cs="Calibri"/>
                <w:bCs/>
                <w:iCs/>
                <w:color w:val="000000"/>
                <w:sz w:val="20"/>
                <w:szCs w:val="20"/>
                <w:lang w:val="en-US" w:eastAsia="en-GB" w:bidi="ar-SA"/>
              </w:rPr>
              <w:t>Sellafield Ltd</w:t>
            </w:r>
          </w:p>
        </w:tc>
        <w:tc>
          <w:tcPr>
            <w:tcW w:w="6521" w:type="dxa"/>
            <w:tcBorders>
              <w:top w:val="single" w:sz="4" w:space="0" w:color="auto"/>
              <w:left w:val="single" w:sz="4" w:space="0" w:color="auto"/>
              <w:bottom w:val="single" w:sz="4" w:space="0" w:color="auto"/>
              <w:right w:val="single" w:sz="4" w:space="0" w:color="auto"/>
            </w:tcBorders>
          </w:tcPr>
          <w:p w14:paraId="786C94B2"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Wide range of facilities and lifecycle stages. TPR focus on High Hazard and Risk and significance of nuclear fire safety considerations in design and operations.</w:t>
            </w:r>
          </w:p>
        </w:tc>
        <w:tc>
          <w:tcPr>
            <w:tcW w:w="4766" w:type="dxa"/>
            <w:tcBorders>
              <w:top w:val="single" w:sz="4" w:space="0" w:color="auto"/>
              <w:left w:val="single" w:sz="4" w:space="0" w:color="auto"/>
              <w:bottom w:val="single" w:sz="4" w:space="0" w:color="auto"/>
              <w:right w:val="single" w:sz="4" w:space="0" w:color="auto"/>
            </w:tcBorders>
          </w:tcPr>
          <w:p w14:paraId="78915DA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4A7507">
              <w:rPr>
                <w:rFonts w:ascii="Calibri" w:eastAsia="Times New Roman" w:hAnsi="Calibri" w:cs="Calibri"/>
                <w:color w:val="000000"/>
                <w:sz w:val="20"/>
                <w:szCs w:val="20"/>
                <w:highlight w:val="yellow"/>
                <w:lang w:val="en-US" w:eastAsia="en-GB" w:bidi="ar-SA"/>
              </w:rPr>
              <w:t xml:space="preserve">High Level Waste Plant, Waste Vitrification Plant and Encapsulation Plants </w:t>
            </w:r>
            <w:r w:rsidRPr="00DD1B58">
              <w:rPr>
                <w:rFonts w:ascii="Calibri" w:eastAsia="Times New Roman" w:hAnsi="Calibri" w:cs="Calibri"/>
                <w:color w:val="000000"/>
                <w:sz w:val="20"/>
                <w:szCs w:val="20"/>
                <w:lang w:val="en-US" w:eastAsia="en-GB" w:bidi="ar-SA"/>
              </w:rPr>
              <w:t>representative of waste storage facilities and fire safety standards. Significance of fire considerations in design and operations e.g. redundant and diverse safety systems such as power supplies, control systems, and HVAC.</w:t>
            </w:r>
          </w:p>
          <w:p w14:paraId="7BC3E780"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p w14:paraId="25950D1E"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4A7507">
              <w:rPr>
                <w:rFonts w:ascii="Calibri" w:eastAsia="Times New Roman" w:hAnsi="Calibri" w:cs="Calibri"/>
                <w:color w:val="000000"/>
                <w:sz w:val="20"/>
                <w:szCs w:val="20"/>
                <w:highlight w:val="yellow"/>
                <w:lang w:val="en-US" w:eastAsia="en-GB" w:bidi="ar-SA"/>
              </w:rPr>
              <w:t>Sellafield Product and Residues Store (SPRS)</w:t>
            </w:r>
            <w:r w:rsidRPr="00DD1B58">
              <w:rPr>
                <w:rFonts w:ascii="Calibri" w:eastAsia="Times New Roman" w:hAnsi="Calibri" w:cs="Calibri"/>
                <w:color w:val="000000"/>
                <w:sz w:val="20"/>
                <w:szCs w:val="20"/>
                <w:lang w:val="en-US" w:eastAsia="en-GB" w:bidi="ar-SA"/>
              </w:rPr>
              <w:t xml:space="preserve"> representative of alpha facilities </w:t>
            </w:r>
          </w:p>
          <w:p w14:paraId="6224F5DD"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p>
          <w:p w14:paraId="3EF90171"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4A7507">
              <w:rPr>
                <w:rFonts w:ascii="Calibri" w:eastAsia="Times New Roman" w:hAnsi="Calibri" w:cs="Calibri"/>
                <w:color w:val="000000"/>
                <w:sz w:val="20"/>
                <w:szCs w:val="20"/>
                <w:highlight w:val="yellow"/>
                <w:lang w:val="en-US" w:eastAsia="en-GB" w:bidi="ar-SA"/>
              </w:rPr>
              <w:t xml:space="preserve">Box Encapsulation Plant Product Store – Direct Import Facility (BEPPS-DIF) </w:t>
            </w:r>
            <w:r w:rsidRPr="00DD1B58">
              <w:rPr>
                <w:rFonts w:ascii="Calibri" w:eastAsia="Times New Roman" w:hAnsi="Calibri" w:cs="Calibri"/>
                <w:color w:val="000000"/>
                <w:sz w:val="20"/>
                <w:szCs w:val="20"/>
                <w:lang w:val="en-US" w:eastAsia="en-GB" w:bidi="ar-SA"/>
              </w:rPr>
              <w:t xml:space="preserve">High Hazard and Risk Reduction (HHRR) enabler, modern facility under construction and commissioning by the start of TPR. </w:t>
            </w:r>
          </w:p>
        </w:tc>
      </w:tr>
    </w:tbl>
    <w:p w14:paraId="66A4B0DC" w14:textId="77777777" w:rsidR="00234199" w:rsidRPr="00DD1B58" w:rsidRDefault="00234199" w:rsidP="00234199">
      <w:pPr>
        <w:spacing w:after="0" w:line="240" w:lineRule="auto"/>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 Other waste storage/management facilities at GB licensed sites in this table:</w:t>
      </w:r>
    </w:p>
    <w:p w14:paraId="5721DFBB" w14:textId="77777777" w:rsidR="00234199" w:rsidRPr="00DD1B58" w:rsidRDefault="00234199" w:rsidP="00234199">
      <w:pPr>
        <w:numPr>
          <w:ilvl w:val="0"/>
          <w:numId w:val="53"/>
        </w:numPr>
        <w:spacing w:after="0" w:line="240"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Low-Level Waste Repository (LLWR) incl. trenches, vaults 8 and 9; Grouting Facility; PCM assay facility.</w:t>
      </w:r>
    </w:p>
    <w:p w14:paraId="4990F3C8" w14:textId="77777777" w:rsidR="00234199" w:rsidRPr="00DD1B58" w:rsidRDefault="00234199" w:rsidP="00234199">
      <w:pPr>
        <w:numPr>
          <w:ilvl w:val="0"/>
          <w:numId w:val="53"/>
        </w:numPr>
        <w:spacing w:after="160" w:line="259"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Waste management facilities at Magnox sites: encapsulation facilities at Berkeley, Chapelcross, Harwell, Hinkley Point A, Hunterston A, Trawsfynydd &amp; Winfrith; vacuum drying plants at Berkeley, Bradwell, Chapelcross, Dungeness A, Hinkley Point A, Oldbury, Sizewell A; interim ILW stores at Berkeley, Bradwell, Chapelcross, Harwell, Hinkley Point A, Hunterston A, Trawsfynydd, Wylfa</w:t>
      </w:r>
    </w:p>
    <w:p w14:paraId="58E51A3E" w14:textId="77777777" w:rsidR="00234199" w:rsidRPr="00DD1B58" w:rsidRDefault="00234199" w:rsidP="00234199">
      <w:pPr>
        <w:numPr>
          <w:ilvl w:val="0"/>
          <w:numId w:val="53"/>
        </w:numPr>
        <w:spacing w:after="160" w:line="259" w:lineRule="auto"/>
        <w:contextualSpacing/>
        <w:rPr>
          <w:rFonts w:ascii="Calibri" w:hAnsi="Calibri" w:cs="Times New Roman"/>
          <w:sz w:val="22"/>
          <w:lang w:val="en-US" w:bidi="ar-SA"/>
        </w:rPr>
      </w:pPr>
      <w:r w:rsidRPr="00DD1B58">
        <w:rPr>
          <w:rFonts w:ascii="Calibri" w:eastAsia="Times New Roman" w:hAnsi="Calibri" w:cs="Calibri"/>
          <w:color w:val="000000"/>
          <w:sz w:val="20"/>
          <w:szCs w:val="20"/>
          <w:lang w:val="en-US" w:eastAsia="en-GB" w:bidi="ar-SA"/>
        </w:rPr>
        <w:t>Tradebe Inutec Ltd at Winfrith</w:t>
      </w:r>
    </w:p>
    <w:p w14:paraId="682CAD83" w14:textId="77777777" w:rsidR="00234199" w:rsidRPr="00DD1B58" w:rsidRDefault="00234199" w:rsidP="00234199">
      <w:pPr>
        <w:numPr>
          <w:ilvl w:val="0"/>
          <w:numId w:val="53"/>
        </w:numPr>
        <w:spacing w:after="160" w:line="259"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Dounreay’s waste management: cementation plant, low level liquid effluent treatment plant, Low Level Waste (LLW) receipt characterisation and super compaction facility</w:t>
      </w:r>
    </w:p>
    <w:p w14:paraId="306BB3C3" w14:textId="4DD4B7F3" w:rsidR="00A917F3" w:rsidRPr="00DD1B58" w:rsidRDefault="00234199" w:rsidP="00973FF4">
      <w:pPr>
        <w:numPr>
          <w:ilvl w:val="0"/>
          <w:numId w:val="53"/>
        </w:numPr>
        <w:spacing w:after="160" w:line="259" w:lineRule="auto"/>
        <w:contextualSpacing/>
        <w:rPr>
          <w:rFonts w:ascii="Calibri" w:eastAsia="Times New Roman" w:hAnsi="Calibri" w:cs="Calibri"/>
          <w:color w:val="000000"/>
          <w:sz w:val="20"/>
          <w:szCs w:val="20"/>
          <w:lang w:val="en-US" w:eastAsia="en-GB" w:bidi="ar-SA"/>
        </w:rPr>
      </w:pPr>
      <w:r w:rsidRPr="00DD1B58">
        <w:rPr>
          <w:rFonts w:ascii="Calibri" w:eastAsia="Times New Roman" w:hAnsi="Calibri" w:cs="Calibri"/>
          <w:color w:val="000000"/>
          <w:sz w:val="20"/>
          <w:szCs w:val="20"/>
          <w:lang w:val="en-US" w:eastAsia="en-GB" w:bidi="ar-SA"/>
        </w:rPr>
        <w:t>Dounreay’s waste storage facilities: waste wet silo, shaft, 2x Stores for unconditioned solid remote and contact handled ILW drums, store for conditioned ILW 500L drums and raw solid remote handleable intermediate level waste (RHILW) 200L drums; liquid ILW storage facility; solvents and oil storage facility; Dounreay LLW Disposal Facility</w:t>
      </w:r>
    </w:p>
    <w:p w14:paraId="64E9B7A4" w14:textId="77777777" w:rsidR="000E7205" w:rsidRPr="00DD1B58" w:rsidRDefault="000E7205" w:rsidP="000E7205">
      <w:pPr>
        <w:pStyle w:val="Heading1A"/>
        <w:rPr>
          <w:lang w:val="en-US"/>
        </w:rPr>
        <w:sectPr w:rsidR="000E7205" w:rsidRPr="00DD1B58" w:rsidSect="00973FF4">
          <w:pgSz w:w="23811" w:h="16838" w:orient="landscape" w:code="8"/>
          <w:pgMar w:top="1077" w:right="902" w:bottom="1077" w:left="1843" w:header="397" w:footer="397" w:gutter="0"/>
          <w:cols w:space="312"/>
          <w:docGrid w:linePitch="360"/>
        </w:sectPr>
      </w:pPr>
    </w:p>
    <w:p w14:paraId="7537009E" w14:textId="4870CD20" w:rsidR="0092149B" w:rsidRPr="00DD1B58" w:rsidRDefault="00284926">
      <w:pPr>
        <w:pStyle w:val="Heading3A"/>
        <w:rPr>
          <w:lang w:val="en-US"/>
        </w:rPr>
      </w:pPr>
      <w:bookmarkStart w:id="204" w:name="_Toc147090665"/>
      <w:r w:rsidRPr="00DD1B58">
        <w:rPr>
          <w:lang w:val="en-US"/>
        </w:rPr>
        <w:t>NNB GenCo</w:t>
      </w:r>
      <w:r w:rsidR="00A917F3" w:rsidRPr="00DD1B58">
        <w:rPr>
          <w:lang w:val="en-US"/>
        </w:rPr>
        <w:t>’s</w:t>
      </w:r>
      <w:r w:rsidRPr="00DD1B58">
        <w:rPr>
          <w:lang w:val="en-US"/>
        </w:rPr>
        <w:t xml:space="preserve"> </w:t>
      </w:r>
      <w:r w:rsidR="00C51653" w:rsidRPr="00DD1B58">
        <w:rPr>
          <w:lang w:val="en-US"/>
        </w:rPr>
        <w:t xml:space="preserve">Internal </w:t>
      </w:r>
      <w:r w:rsidR="00ED3AD8" w:rsidRPr="00DD1B58">
        <w:rPr>
          <w:lang w:val="en-US"/>
        </w:rPr>
        <w:t xml:space="preserve">Fire Hazard Analysis </w:t>
      </w:r>
      <w:r w:rsidR="00B50F5B" w:rsidRPr="00DD1B58">
        <w:rPr>
          <w:lang w:val="en-US"/>
        </w:rPr>
        <w:t xml:space="preserve">process </w:t>
      </w:r>
      <w:r w:rsidR="00ED3AD8" w:rsidRPr="00DD1B58">
        <w:rPr>
          <w:lang w:val="en-US"/>
        </w:rPr>
        <w:t xml:space="preserve">using </w:t>
      </w:r>
      <w:r w:rsidR="00B50F5B" w:rsidRPr="00DD1B58">
        <w:rPr>
          <w:lang w:val="en-US"/>
        </w:rPr>
        <w:t>EPRESSI studies and FRA</w:t>
      </w:r>
      <w:bookmarkEnd w:id="204"/>
      <w:r w:rsidR="00506167" w:rsidRPr="00DD1B58">
        <w:rPr>
          <w:lang w:val="en-US"/>
        </w:rPr>
        <w:t xml:space="preserve"> </w:t>
      </w:r>
    </w:p>
    <w:p w14:paraId="5A1F98C5" w14:textId="77777777" w:rsidR="00B50F5B" w:rsidRPr="00DD1B58" w:rsidRDefault="00B50F5B" w:rsidP="00B50F5B">
      <w:pPr>
        <w:pStyle w:val="Bulletlist1"/>
        <w:numPr>
          <w:ilvl w:val="0"/>
          <w:numId w:val="0"/>
        </w:numPr>
        <w:rPr>
          <w:b/>
          <w:szCs w:val="24"/>
          <w:lang w:val="en-US"/>
        </w:rPr>
      </w:pPr>
      <w:r w:rsidRPr="00DD1B58">
        <w:rPr>
          <w:b/>
          <w:szCs w:val="24"/>
          <w:lang w:val="en-US"/>
        </w:rPr>
        <w:t>Internal Fire EPRESSI Studies – Fires Inside buildings</w:t>
      </w:r>
    </w:p>
    <w:p w14:paraId="0934A2A6" w14:textId="0BD12665" w:rsidR="00B50F5B" w:rsidRPr="00DD1B58" w:rsidRDefault="004217C5" w:rsidP="00B50F5B">
      <w:pPr>
        <w:pStyle w:val="Bulletlist1"/>
        <w:numPr>
          <w:ilvl w:val="0"/>
          <w:numId w:val="0"/>
        </w:numPr>
        <w:rPr>
          <w:szCs w:val="24"/>
          <w:lang w:val="en-US"/>
        </w:rPr>
      </w:pPr>
      <w:r w:rsidRPr="00DD1B58">
        <w:rPr>
          <w:szCs w:val="24"/>
          <w:lang w:val="en-US"/>
        </w:rPr>
        <w:t xml:space="preserve">NNB GenCo carries out </w:t>
      </w:r>
      <w:r w:rsidR="00B50F5B" w:rsidRPr="00DD1B58">
        <w:rPr>
          <w:szCs w:val="24"/>
          <w:lang w:val="en-US"/>
        </w:rPr>
        <w:t>EPRESSI studies room-by-room for fires inside buildings so are very extensive in their scope. A single bounding fire scenario is defined for each room. The methodology follows the principles of ISO 18195.</w:t>
      </w:r>
    </w:p>
    <w:p w14:paraId="43506F0E" w14:textId="77777777" w:rsidR="00B50F5B" w:rsidRPr="00DD1B58" w:rsidRDefault="00B50F5B" w:rsidP="00B50F5B">
      <w:pPr>
        <w:pStyle w:val="Bulletlist1"/>
        <w:numPr>
          <w:ilvl w:val="0"/>
          <w:numId w:val="0"/>
        </w:numPr>
        <w:rPr>
          <w:lang w:val="en-US"/>
        </w:rPr>
      </w:pPr>
      <w:r w:rsidRPr="00DD1B58">
        <w:rPr>
          <w:szCs w:val="24"/>
          <w:lang w:val="en-US"/>
        </w:rPr>
        <w:t>The fire risk within a room is categorised as (in order of highest fire risk to lowest):</w:t>
      </w:r>
    </w:p>
    <w:p w14:paraId="7FC14120" w14:textId="77777777" w:rsidR="00B50F5B" w:rsidRPr="00DD1B58" w:rsidRDefault="00B50F5B" w:rsidP="00B50F5B">
      <w:pPr>
        <w:pStyle w:val="Bulletlist1"/>
        <w:rPr>
          <w:lang w:val="en-US"/>
        </w:rPr>
      </w:pPr>
      <w:r w:rsidRPr="00DD1B58">
        <w:rPr>
          <w:lang w:val="en-US"/>
        </w:rPr>
        <w:t>PFG – which indicates the ‘Possibility of a Generalised Fire’.</w:t>
      </w:r>
    </w:p>
    <w:p w14:paraId="33EC6F0C" w14:textId="77777777" w:rsidR="00B50F5B" w:rsidRPr="00DD1B58" w:rsidRDefault="00B50F5B" w:rsidP="00B50F5B">
      <w:pPr>
        <w:pStyle w:val="Bulletlist1"/>
        <w:rPr>
          <w:lang w:val="en-US"/>
        </w:rPr>
      </w:pPr>
      <w:r w:rsidRPr="00DD1B58">
        <w:rPr>
          <w:lang w:val="en-US"/>
        </w:rPr>
        <w:t>PFL – which indicates the ‘Possibility of a Localised Fire’.</w:t>
      </w:r>
    </w:p>
    <w:p w14:paraId="106CF41B" w14:textId="77777777" w:rsidR="00B50F5B" w:rsidRPr="00DD1B58" w:rsidRDefault="00B50F5B" w:rsidP="00B50F5B">
      <w:pPr>
        <w:pStyle w:val="Bulletlist1"/>
        <w:rPr>
          <w:lang w:val="en-US"/>
        </w:rPr>
      </w:pPr>
      <w:r w:rsidRPr="00DD1B58">
        <w:rPr>
          <w:lang w:val="en-US"/>
        </w:rPr>
        <w:t>nPFGnPFL for rooms which are ‘neither PFG nor PFL’, which indicates that a developed fire will not occur.</w:t>
      </w:r>
    </w:p>
    <w:p w14:paraId="3EDD73FE" w14:textId="0225307D" w:rsidR="00B50F5B" w:rsidRPr="00DD1B58" w:rsidRDefault="00B50F5B" w:rsidP="00B50F5B">
      <w:pPr>
        <w:pStyle w:val="Bulletlist1"/>
        <w:numPr>
          <w:ilvl w:val="0"/>
          <w:numId w:val="0"/>
        </w:numPr>
        <w:rPr>
          <w:lang w:val="en-US"/>
        </w:rPr>
      </w:pPr>
      <w:r w:rsidRPr="00DD1B58">
        <w:rPr>
          <w:szCs w:val="24"/>
          <w:lang w:val="en-US"/>
        </w:rPr>
        <w:t>The fire scenario is also categorised according to fuel type: combustible liquid</w:t>
      </w:r>
      <w:r w:rsidR="007C3F42" w:rsidRPr="00DD1B58">
        <w:rPr>
          <w:szCs w:val="24"/>
          <w:lang w:val="en-US"/>
        </w:rPr>
        <w:t>/</w:t>
      </w:r>
      <w:r w:rsidRPr="00DD1B58">
        <w:rPr>
          <w:szCs w:val="24"/>
          <w:lang w:val="en-US"/>
        </w:rPr>
        <w:t>cable</w:t>
      </w:r>
      <w:r w:rsidR="007C3F42" w:rsidRPr="00DD1B58">
        <w:rPr>
          <w:szCs w:val="24"/>
          <w:lang w:val="en-US"/>
        </w:rPr>
        <w:t>/</w:t>
      </w:r>
      <w:r w:rsidRPr="00DD1B58">
        <w:rPr>
          <w:szCs w:val="24"/>
          <w:lang w:val="en-US"/>
        </w:rPr>
        <w:t>solid materials</w:t>
      </w:r>
      <w:r w:rsidR="007C3F42" w:rsidRPr="00DD1B58">
        <w:rPr>
          <w:szCs w:val="24"/>
          <w:lang w:val="en-US"/>
        </w:rPr>
        <w:t>/</w:t>
      </w:r>
      <w:r w:rsidRPr="00DD1B58">
        <w:rPr>
          <w:szCs w:val="24"/>
          <w:lang w:val="en-US"/>
        </w:rPr>
        <w:t>electromechanical equipment. The fire scenario can then be characterised according to both the fire risk and the fuel type. For example, a room may be ‘PFG Liquid’ or ‘PFL Cable’.</w:t>
      </w:r>
    </w:p>
    <w:p w14:paraId="50B7BC5A" w14:textId="0541772A" w:rsidR="00B50F5B" w:rsidRPr="00DD1B58" w:rsidRDefault="00B50F5B" w:rsidP="00B50F5B">
      <w:pPr>
        <w:pStyle w:val="Bulletlist1"/>
        <w:numPr>
          <w:ilvl w:val="0"/>
          <w:numId w:val="0"/>
        </w:numPr>
        <w:rPr>
          <w:lang w:val="en-US"/>
        </w:rPr>
      </w:pPr>
      <w:r w:rsidRPr="00DD1B58">
        <w:rPr>
          <w:lang w:val="en-US"/>
        </w:rPr>
        <w:t xml:space="preserve">The rules associated with determining the presence of PFG or PFL fire risks according to the amount of fuel type present and its configuration are detailed in the EPRESSI methodology </w:t>
      </w:r>
      <w:sdt>
        <w:sdtPr>
          <w:rPr>
            <w:lang w:val="en-US"/>
          </w:rPr>
          <w:id w:val="-533115500"/>
          <w:citation/>
        </w:sdtPr>
        <w:sdtContent>
          <w:r w:rsidRPr="00DD1B58">
            <w:rPr>
              <w:lang w:val="en-US"/>
            </w:rPr>
            <w:fldChar w:fldCharType="begin"/>
          </w:r>
          <w:r w:rsidRPr="00DD1B58">
            <w:rPr>
              <w:lang w:val="en-US"/>
            </w:rPr>
            <w:instrText xml:space="preserve"> CITATION NNB162 \l 2057 </w:instrText>
          </w:r>
          <w:r w:rsidRPr="00DD1B58">
            <w:rPr>
              <w:lang w:val="en-US"/>
            </w:rPr>
            <w:fldChar w:fldCharType="separate"/>
          </w:r>
          <w:r w:rsidR="00DF47DA" w:rsidRPr="00DF47DA">
            <w:rPr>
              <w:lang w:val="en-US"/>
            </w:rPr>
            <w:t>[57]</w:t>
          </w:r>
          <w:r w:rsidRPr="00DD1B58">
            <w:rPr>
              <w:lang w:val="en-US"/>
            </w:rPr>
            <w:fldChar w:fldCharType="end"/>
          </w:r>
        </w:sdtContent>
      </w:sdt>
      <w:r w:rsidRPr="00DD1B58">
        <w:rPr>
          <w:lang w:val="en-US"/>
        </w:rPr>
        <w:t xml:space="preserve"> and the Fire Application Document (FAD) </w:t>
      </w:r>
      <w:sdt>
        <w:sdtPr>
          <w:rPr>
            <w:lang w:val="en-US"/>
          </w:rPr>
          <w:id w:val="-2138550109"/>
          <w:citation/>
        </w:sdtPr>
        <w:sdtContent>
          <w:r w:rsidRPr="00DD1B58">
            <w:rPr>
              <w:lang w:val="en-US"/>
            </w:rPr>
            <w:fldChar w:fldCharType="begin"/>
          </w:r>
          <w:r w:rsidRPr="00DD1B58">
            <w:rPr>
              <w:lang w:val="en-US"/>
            </w:rPr>
            <w:instrText xml:space="preserve"> CITATION NNB19 \l 2057 </w:instrText>
          </w:r>
          <w:r w:rsidRPr="00DD1B58">
            <w:rPr>
              <w:lang w:val="en-US"/>
            </w:rPr>
            <w:fldChar w:fldCharType="separate"/>
          </w:r>
          <w:r w:rsidR="00DF47DA" w:rsidRPr="00DF47DA">
            <w:rPr>
              <w:lang w:val="en-US"/>
            </w:rPr>
            <w:t>[48]</w:t>
          </w:r>
          <w:r w:rsidRPr="00DD1B58">
            <w:rPr>
              <w:lang w:val="en-US"/>
            </w:rPr>
            <w:fldChar w:fldCharType="end"/>
          </w:r>
        </w:sdtContent>
      </w:sdt>
      <w:r w:rsidRPr="00DD1B58">
        <w:rPr>
          <w:lang w:val="en-US"/>
        </w:rPr>
        <w:t>.</w:t>
      </w:r>
    </w:p>
    <w:p w14:paraId="33C1A3CF" w14:textId="0F2F5C6D" w:rsidR="00B50F5B" w:rsidRPr="00DD1B58" w:rsidRDefault="00B50F5B" w:rsidP="00B50F5B">
      <w:pPr>
        <w:pStyle w:val="Bulletlist1"/>
        <w:numPr>
          <w:ilvl w:val="0"/>
          <w:numId w:val="0"/>
        </w:numPr>
        <w:rPr>
          <w:lang w:val="en-US"/>
        </w:rPr>
      </w:pPr>
      <w:r w:rsidRPr="00DD1B58">
        <w:rPr>
          <w:szCs w:val="24"/>
          <w:lang w:val="en-US"/>
        </w:rPr>
        <w:t>The principle is that the most onerous fire scenario that could occur in each room is studied A PFG scenario is adopted in preference to a PFL scenario. The hierarchy associated with fuel type is (from highest threat to lowest): combustible liquid</w:t>
      </w:r>
      <w:r w:rsidR="007C3F42" w:rsidRPr="00DD1B58">
        <w:rPr>
          <w:szCs w:val="24"/>
          <w:lang w:val="en-US"/>
        </w:rPr>
        <w:t>/</w:t>
      </w:r>
      <w:r w:rsidRPr="00DD1B58">
        <w:rPr>
          <w:szCs w:val="24"/>
          <w:lang w:val="en-US"/>
        </w:rPr>
        <w:t>cable</w:t>
      </w:r>
      <w:r w:rsidR="007C3F42" w:rsidRPr="00DD1B58">
        <w:rPr>
          <w:szCs w:val="24"/>
          <w:lang w:val="en-US"/>
        </w:rPr>
        <w:t>/</w:t>
      </w:r>
      <w:r w:rsidRPr="00DD1B58">
        <w:rPr>
          <w:szCs w:val="24"/>
          <w:lang w:val="en-US"/>
        </w:rPr>
        <w:t>solid materials</w:t>
      </w:r>
      <w:r w:rsidR="007C3F42" w:rsidRPr="00DD1B58">
        <w:rPr>
          <w:szCs w:val="24"/>
          <w:lang w:val="en-US"/>
        </w:rPr>
        <w:t>/</w:t>
      </w:r>
      <w:r w:rsidRPr="00DD1B58">
        <w:rPr>
          <w:szCs w:val="24"/>
          <w:lang w:val="en-US"/>
        </w:rPr>
        <w:t>electromechanical equipment.</w:t>
      </w:r>
    </w:p>
    <w:p w14:paraId="26B6113F" w14:textId="26F96BB6" w:rsidR="00B50F5B" w:rsidRPr="00DD1B58" w:rsidRDefault="00C66DFB" w:rsidP="00B50F5B">
      <w:pPr>
        <w:pStyle w:val="Bulletlist1"/>
        <w:numPr>
          <w:ilvl w:val="0"/>
          <w:numId w:val="0"/>
        </w:numPr>
        <w:rPr>
          <w:lang w:val="en-US"/>
        </w:rPr>
      </w:pPr>
      <w:r w:rsidRPr="00DD1B58">
        <w:rPr>
          <w:szCs w:val="24"/>
          <w:lang w:val="en-US"/>
        </w:rPr>
        <w:t>T</w:t>
      </w:r>
      <w:r w:rsidR="00B50F5B" w:rsidRPr="00DD1B58">
        <w:rPr>
          <w:szCs w:val="24"/>
          <w:lang w:val="en-US"/>
        </w:rPr>
        <w:t>he methodology considers the layout configuration of the fuel in assessing the fire risk. For cable trays this includes the number of cable trays in a stack, their orientation, their length, and the mass of cables present. This leads to the identification of a high fire risk where there are multiple heavily loaded cables trays in a particular location but does not always identify a high fire risk where the fire load is more evenly distributed.</w:t>
      </w:r>
    </w:p>
    <w:p w14:paraId="31C05795" w14:textId="49A5DBBD" w:rsidR="00B50F5B" w:rsidRPr="00DD1B58" w:rsidRDefault="00B50F5B" w:rsidP="00B50F5B">
      <w:pPr>
        <w:pStyle w:val="Bulletlist1"/>
        <w:numPr>
          <w:ilvl w:val="0"/>
          <w:numId w:val="0"/>
        </w:numPr>
        <w:rPr>
          <w:lang w:val="en-US"/>
        </w:rPr>
      </w:pPr>
      <w:r w:rsidRPr="00DD1B58">
        <w:rPr>
          <w:szCs w:val="24"/>
          <w:lang w:val="en-US"/>
        </w:rPr>
        <w:t>In order to ensure that such fire risks are not missed, if a room is initially designated as nPFGnPFL then an additional criterion is checked which assesses the total fire load within the room in relation to the room surface area (walls/ceiling/floor). In this way, even if the layout configuration does not meet the PFG or PFL criteria, a PFL risk is still identified. Additionally, according to the methodology, if the fire analysis indicates that the hot gas layer temperature reaches 350</w:t>
      </w:r>
      <w:r w:rsidR="006D36A2" w:rsidRPr="00DD1B58">
        <w:rPr>
          <w:szCs w:val="24"/>
          <w:lang w:val="en-US"/>
        </w:rPr>
        <w:t xml:space="preserve">⁰ </w:t>
      </w:r>
      <w:r w:rsidRPr="00DD1B58">
        <w:rPr>
          <w:szCs w:val="24"/>
          <w:lang w:val="en-US"/>
        </w:rPr>
        <w:t>C then the room must be designated as PFG (it is assumed that the fire will spread).</w:t>
      </w:r>
    </w:p>
    <w:p w14:paraId="3AECC3B9" w14:textId="77777777" w:rsidR="00B50F5B" w:rsidRPr="00DD1B58" w:rsidRDefault="00B50F5B" w:rsidP="00B50F5B">
      <w:pPr>
        <w:pStyle w:val="Bulletlist1"/>
        <w:numPr>
          <w:ilvl w:val="0"/>
          <w:numId w:val="0"/>
        </w:numPr>
        <w:rPr>
          <w:lang w:val="en-US"/>
        </w:rPr>
      </w:pPr>
      <w:r w:rsidRPr="00DD1B58">
        <w:rPr>
          <w:szCs w:val="24"/>
          <w:lang w:val="en-US"/>
        </w:rPr>
        <w:t>The results of the analysis influence the fire zone designation of the room or area.</w:t>
      </w:r>
    </w:p>
    <w:p w14:paraId="281D6CD2" w14:textId="189D04C0" w:rsidR="00B50F5B" w:rsidRPr="00DD1B58" w:rsidRDefault="006D36A2" w:rsidP="00B50F5B">
      <w:pPr>
        <w:pStyle w:val="Bulletlist1"/>
        <w:numPr>
          <w:ilvl w:val="0"/>
          <w:numId w:val="0"/>
        </w:numPr>
        <w:rPr>
          <w:b/>
          <w:szCs w:val="24"/>
          <w:lang w:val="en-US"/>
        </w:rPr>
      </w:pPr>
      <w:r w:rsidRPr="00DD1B58">
        <w:rPr>
          <w:b/>
          <w:szCs w:val="24"/>
          <w:lang w:val="en-US"/>
        </w:rPr>
        <w:t xml:space="preserve">NNB GenCo’s </w:t>
      </w:r>
      <w:r w:rsidR="00B50F5B" w:rsidRPr="00DD1B58">
        <w:rPr>
          <w:b/>
          <w:szCs w:val="24"/>
          <w:lang w:val="en-US"/>
        </w:rPr>
        <w:t>Internal Fire Risk Analysis – Fires Inside Buildings</w:t>
      </w:r>
    </w:p>
    <w:p w14:paraId="0BE47B40" w14:textId="77777777" w:rsidR="00B50F5B" w:rsidRPr="00DD1B58" w:rsidRDefault="00B50F5B" w:rsidP="00B50F5B">
      <w:pPr>
        <w:pStyle w:val="Bulletlist1"/>
        <w:numPr>
          <w:ilvl w:val="0"/>
          <w:numId w:val="0"/>
        </w:numPr>
        <w:rPr>
          <w:szCs w:val="24"/>
          <w:lang w:val="en-US"/>
        </w:rPr>
      </w:pPr>
      <w:r w:rsidRPr="00DD1B58">
        <w:rPr>
          <w:szCs w:val="24"/>
          <w:lang w:val="en-US"/>
        </w:rPr>
        <w:t>Both the EPRESSI and Fire Risk Analysis approach classify fire sources which could impact a target as either close fire sources (within the target room) or distant fire sources (outside of the target room). The nPFGnPFL rooms are not assessed within the EPRESSI study whereas they are assessed within the FRA (the nPFGnPFL risk must be treated as a PFL risk).</w:t>
      </w:r>
    </w:p>
    <w:p w14:paraId="5758FA40" w14:textId="68D0AFD3" w:rsidR="00B50F5B" w:rsidRPr="00DD1B58" w:rsidRDefault="00B50F5B" w:rsidP="00B50F5B">
      <w:pPr>
        <w:pStyle w:val="Bulletlist1"/>
        <w:numPr>
          <w:ilvl w:val="0"/>
          <w:numId w:val="0"/>
        </w:numPr>
        <w:rPr>
          <w:szCs w:val="24"/>
          <w:lang w:val="en-US"/>
        </w:rPr>
      </w:pPr>
      <w:r w:rsidRPr="00DD1B58">
        <w:rPr>
          <w:lang w:val="en-US"/>
        </w:rPr>
        <w:t>According to the FRA methodology,</w:t>
      </w:r>
      <w:r w:rsidR="00404735" w:rsidRPr="00DD1B58">
        <w:rPr>
          <w:lang w:val="en-US"/>
        </w:rPr>
        <w:t xml:space="preserve"> NNB GenCO uses</w:t>
      </w:r>
      <w:r w:rsidRPr="00DD1B58">
        <w:rPr>
          <w:lang w:val="en-US"/>
        </w:rPr>
        <w:t xml:space="preserve"> several filters for screening purposes to either discount the risk or confirm the risk. Potential fire sources which are in the proximity of a safety target may not be considered as fire initiators (they may be screened out) according to different criteria, note that they are still assessed as combustible materials which could be ignited by another fire source. Fire sources may be discounted if self-ignition is not possible however the potential for ignition through human action or the presence of transient combustibles must be considered. Fire sources may also be discounted on either an energy (minimal amount) or configuration criteria (sealed units with no air supply). This is detailed within Section 5.2.3.3 of the FRA methodology </w:t>
      </w:r>
      <w:sdt>
        <w:sdtPr>
          <w:rPr>
            <w:lang w:val="en-US"/>
          </w:rPr>
          <w:id w:val="-759991048"/>
          <w:citation/>
        </w:sdtPr>
        <w:sdtContent>
          <w:r w:rsidRPr="00DD1B58">
            <w:rPr>
              <w:lang w:val="en-US"/>
            </w:rPr>
            <w:fldChar w:fldCharType="begin"/>
          </w:r>
          <w:r w:rsidRPr="00DD1B58">
            <w:rPr>
              <w:lang w:val="en-US"/>
            </w:rPr>
            <w:instrText xml:space="preserve"> CITATION NNB202 \l 2057 </w:instrText>
          </w:r>
          <w:r w:rsidRPr="00DD1B58">
            <w:rPr>
              <w:lang w:val="en-US"/>
            </w:rPr>
            <w:fldChar w:fldCharType="separate"/>
          </w:r>
          <w:r w:rsidR="00DF47DA" w:rsidRPr="00DF47DA">
            <w:rPr>
              <w:lang w:val="en-US"/>
            </w:rPr>
            <w:t>[59]</w:t>
          </w:r>
          <w:r w:rsidRPr="00DD1B58">
            <w:rPr>
              <w:lang w:val="en-US"/>
            </w:rPr>
            <w:fldChar w:fldCharType="end"/>
          </w:r>
        </w:sdtContent>
      </w:sdt>
      <w:r w:rsidRPr="00DD1B58">
        <w:rPr>
          <w:lang w:val="en-US"/>
        </w:rPr>
        <w:t xml:space="preserve">. The screening describes the filters used to discount or confirm the failure of the target for both close and distant fire sources and is summarised in Table 2 of the lincensee’s submission </w:t>
      </w:r>
      <w:sdt>
        <w:sdtPr>
          <w:rPr>
            <w:lang w:val="en-US"/>
          </w:rPr>
          <w:id w:val="-1396970499"/>
          <w:citation/>
        </w:sdtPr>
        <w:sdtContent>
          <w:r w:rsidRPr="00DD1B58">
            <w:rPr>
              <w:lang w:val="en-US"/>
            </w:rPr>
            <w:fldChar w:fldCharType="begin"/>
          </w:r>
          <w:r w:rsidRPr="00DD1B58">
            <w:rPr>
              <w:lang w:val="en-US"/>
            </w:rPr>
            <w:instrText xml:space="preserve"> CITATION NNB236 \l 2057 </w:instrText>
          </w:r>
          <w:r w:rsidRPr="00DD1B58">
            <w:rPr>
              <w:lang w:val="en-US"/>
            </w:rPr>
            <w:fldChar w:fldCharType="separate"/>
          </w:r>
          <w:r w:rsidR="00DF47DA" w:rsidRPr="00DF47DA">
            <w:rPr>
              <w:lang w:val="en-US"/>
            </w:rPr>
            <w:t>[49]</w:t>
          </w:r>
          <w:r w:rsidRPr="00DD1B58">
            <w:rPr>
              <w:lang w:val="en-US"/>
            </w:rPr>
            <w:fldChar w:fldCharType="end"/>
          </w:r>
        </w:sdtContent>
      </w:sdt>
      <w:r w:rsidRPr="00DD1B58">
        <w:rPr>
          <w:lang w:val="en-US"/>
        </w:rPr>
        <w:t xml:space="preserve">. </w:t>
      </w:r>
    </w:p>
    <w:p w14:paraId="0B854557" w14:textId="77777777" w:rsidR="00B50F5B" w:rsidRPr="00DD1B58" w:rsidRDefault="00B50F5B" w:rsidP="00B50F5B">
      <w:pPr>
        <w:pStyle w:val="Bulletlist1"/>
        <w:numPr>
          <w:ilvl w:val="0"/>
          <w:numId w:val="0"/>
        </w:numPr>
        <w:rPr>
          <w:szCs w:val="24"/>
          <w:lang w:val="en-US"/>
        </w:rPr>
      </w:pPr>
      <w:r w:rsidRPr="00DD1B58">
        <w:rPr>
          <w:szCs w:val="24"/>
          <w:lang w:val="en-US"/>
        </w:rPr>
        <w:t>Scenario selection is detailed in Section 6.3 of the FRA methodology. For close fire sources, the methodology allows the user to study each fire source individually, to select several fire sources to group together, or to group all fire sources within the room together as a single fire source. For grouping of multiple fire sources, the fire power and fire loading of the individual fire sources are added together. Then the most onerous fire growth rate and fire location must be selected considering the individual fire sources being grouped together.</w:t>
      </w:r>
    </w:p>
    <w:p w14:paraId="12C1D727" w14:textId="77777777" w:rsidR="00B50F5B" w:rsidRPr="00DD1B58" w:rsidRDefault="00B50F5B" w:rsidP="00B50F5B">
      <w:pPr>
        <w:rPr>
          <w:noProof/>
          <w:szCs w:val="24"/>
          <w:lang w:val="en-US"/>
        </w:rPr>
      </w:pPr>
      <w:r w:rsidRPr="00DD1B58">
        <w:rPr>
          <w:noProof/>
          <w:lang w:val="en-US"/>
        </w:rPr>
        <w:t>For distant fire sources, the user can select a penalising fire source based on the firepower, the size and position of openings, room volumes, and the potential for a PFG to occur. The choice of a penalising scenario must be justified.</w:t>
      </w:r>
    </w:p>
    <w:p w14:paraId="31679DA7" w14:textId="49B5DA09" w:rsidR="00B50F5B" w:rsidRPr="00DD1B58" w:rsidRDefault="00B50F5B" w:rsidP="00B50F5B">
      <w:pPr>
        <w:pStyle w:val="Bulletlist1"/>
        <w:numPr>
          <w:ilvl w:val="0"/>
          <w:numId w:val="0"/>
        </w:numPr>
        <w:rPr>
          <w:b/>
          <w:szCs w:val="24"/>
          <w:lang w:val="en-US"/>
        </w:rPr>
      </w:pPr>
      <w:r w:rsidRPr="00DD1B58">
        <w:rPr>
          <w:b/>
          <w:szCs w:val="24"/>
          <w:lang w:val="en-US"/>
        </w:rPr>
        <w:t xml:space="preserve">Internal Fires Inside Buildings – </w:t>
      </w:r>
      <w:r w:rsidR="002C569A" w:rsidRPr="00DD1B58">
        <w:rPr>
          <w:b/>
          <w:szCs w:val="24"/>
          <w:lang w:val="en-US"/>
        </w:rPr>
        <w:t xml:space="preserve">NNB GenCo’s </w:t>
      </w:r>
      <w:r w:rsidRPr="00DD1B58">
        <w:rPr>
          <w:b/>
          <w:szCs w:val="24"/>
          <w:lang w:val="en-US"/>
        </w:rPr>
        <w:t>Reactor Building Methodology</w:t>
      </w:r>
    </w:p>
    <w:p w14:paraId="6F17E921" w14:textId="26D4750D" w:rsidR="00B50F5B" w:rsidRPr="00DD1B58" w:rsidRDefault="00B50F5B" w:rsidP="00B50F5B">
      <w:pPr>
        <w:pStyle w:val="Bulletlist1"/>
        <w:numPr>
          <w:ilvl w:val="0"/>
          <w:numId w:val="0"/>
        </w:numPr>
        <w:rPr>
          <w:szCs w:val="24"/>
          <w:lang w:val="en-US"/>
        </w:rPr>
      </w:pPr>
      <w:r w:rsidRPr="00DD1B58">
        <w:rPr>
          <w:szCs w:val="24"/>
          <w:lang w:val="en-US"/>
        </w:rPr>
        <w:t xml:space="preserve">The reactor building methodology </w:t>
      </w:r>
      <w:sdt>
        <w:sdtPr>
          <w:rPr>
            <w:szCs w:val="24"/>
            <w:lang w:val="en-US"/>
          </w:rPr>
          <w:id w:val="-1047606680"/>
          <w:citation/>
        </w:sdtPr>
        <w:sdtContent>
          <w:r w:rsidRPr="00DD1B58">
            <w:rPr>
              <w:szCs w:val="24"/>
              <w:lang w:val="en-US"/>
            </w:rPr>
            <w:fldChar w:fldCharType="begin"/>
          </w:r>
          <w:r w:rsidRPr="00DD1B58">
            <w:rPr>
              <w:szCs w:val="24"/>
              <w:lang w:val="en-US"/>
            </w:rPr>
            <w:instrText xml:space="preserve"> CITATION NNB225 \l 2057 </w:instrText>
          </w:r>
          <w:r w:rsidRPr="00DD1B58">
            <w:rPr>
              <w:szCs w:val="24"/>
              <w:lang w:val="en-US"/>
            </w:rPr>
            <w:fldChar w:fldCharType="separate"/>
          </w:r>
          <w:r w:rsidR="00DF47DA" w:rsidRPr="00DF47DA">
            <w:rPr>
              <w:szCs w:val="24"/>
              <w:lang w:val="en-US"/>
            </w:rPr>
            <w:t>[206]</w:t>
          </w:r>
          <w:r w:rsidRPr="00DD1B58">
            <w:rPr>
              <w:szCs w:val="24"/>
              <w:lang w:val="en-US"/>
            </w:rPr>
            <w:fldChar w:fldCharType="end"/>
          </w:r>
        </w:sdtContent>
      </w:sdt>
      <w:r w:rsidRPr="00DD1B58">
        <w:rPr>
          <w:szCs w:val="24"/>
          <w:lang w:val="en-US"/>
        </w:rPr>
        <w:t xml:space="preserve"> is based on the steps of the Fire Risk Analysis methodology described previously but with the following amendments to take account of the layout features and large internal volumes in the reactor building:</w:t>
      </w:r>
    </w:p>
    <w:p w14:paraId="0357928D" w14:textId="77777777" w:rsidR="00B50F5B" w:rsidRPr="00DD1B58" w:rsidRDefault="00B50F5B" w:rsidP="00B50F5B">
      <w:pPr>
        <w:pStyle w:val="Bulletlist1"/>
        <w:numPr>
          <w:ilvl w:val="0"/>
          <w:numId w:val="0"/>
        </w:numPr>
        <w:rPr>
          <w:szCs w:val="24"/>
          <w:lang w:val="en-US"/>
        </w:rPr>
      </w:pPr>
      <w:r w:rsidRPr="00DD1B58">
        <w:rPr>
          <w:szCs w:val="24"/>
          <w:lang w:val="en-US"/>
        </w:rPr>
        <w:t>The MAGIC fire zone modelling tool cannot be used for volumes inside the reactor building that exceed the volume sizes for which the software has been validated.</w:t>
      </w:r>
    </w:p>
    <w:p w14:paraId="519DCC91" w14:textId="77777777" w:rsidR="00B50F5B" w:rsidRPr="00DD1B58" w:rsidRDefault="00B50F5B" w:rsidP="00B50F5B">
      <w:pPr>
        <w:pStyle w:val="Bulletlist1"/>
        <w:numPr>
          <w:ilvl w:val="0"/>
          <w:numId w:val="0"/>
        </w:numPr>
        <w:rPr>
          <w:szCs w:val="24"/>
          <w:lang w:val="en-US"/>
        </w:rPr>
      </w:pPr>
      <w:r w:rsidRPr="00DD1B58">
        <w:rPr>
          <w:szCs w:val="24"/>
          <w:lang w:val="en-US"/>
        </w:rPr>
        <w:t>In the standard EPRESSI approach, the performance curve of a fire zoning elements is compared to the temperature curve of the room corresponding to the hot gas layer temperature. In the large volumes, this is no longer relevant, since there is no formation of a hot gas layer. The temperature curve used for comparison against the performance curve is consequently based on localized temperatures (that could be significantly high): this approach is conservative.</w:t>
      </w:r>
    </w:p>
    <w:p w14:paraId="2DBDA9FF" w14:textId="77777777" w:rsidR="00B50F5B" w:rsidRPr="00DD1B58" w:rsidRDefault="00B50F5B" w:rsidP="00B50F5B">
      <w:pPr>
        <w:pStyle w:val="Bulletlist1"/>
        <w:numPr>
          <w:ilvl w:val="0"/>
          <w:numId w:val="0"/>
        </w:numPr>
        <w:rPr>
          <w:szCs w:val="24"/>
          <w:lang w:val="en-US"/>
        </w:rPr>
      </w:pPr>
      <w:r w:rsidRPr="00DD1B58">
        <w:rPr>
          <w:szCs w:val="24"/>
          <w:lang w:val="en-US"/>
        </w:rPr>
        <w:t>The concept of “close” and “distant” fire sources is not fully applicable to HR because of the large high volumes in the building with no hot layer formation and large openings between the volumes. All fire sources are therefore treated as close fire sources, and a separate assessment category has been developed for large cable fire sources.</w:t>
      </w:r>
    </w:p>
    <w:p w14:paraId="602F74E0" w14:textId="47FEB8D1" w:rsidR="00B50F5B" w:rsidRPr="00DD1B58" w:rsidRDefault="002C569A" w:rsidP="00B50F5B">
      <w:pPr>
        <w:pStyle w:val="Bulletlist1"/>
        <w:numPr>
          <w:ilvl w:val="0"/>
          <w:numId w:val="0"/>
        </w:numPr>
        <w:rPr>
          <w:b/>
          <w:szCs w:val="24"/>
          <w:lang w:val="en-US"/>
        </w:rPr>
      </w:pPr>
      <w:r w:rsidRPr="00DD1B58">
        <w:rPr>
          <w:b/>
          <w:szCs w:val="24"/>
          <w:lang w:val="en-US"/>
        </w:rPr>
        <w:t xml:space="preserve">NNB GenCo’s </w:t>
      </w:r>
      <w:r w:rsidR="00B50F5B" w:rsidRPr="00DD1B58">
        <w:rPr>
          <w:b/>
          <w:szCs w:val="24"/>
          <w:lang w:val="en-US"/>
        </w:rPr>
        <w:t>Internal Fires Outside Buildings</w:t>
      </w:r>
    </w:p>
    <w:p w14:paraId="17A39C08" w14:textId="77777777" w:rsidR="00B50F5B" w:rsidRPr="00DD1B58" w:rsidRDefault="00B50F5B" w:rsidP="00B50F5B">
      <w:pPr>
        <w:pStyle w:val="Bulletlist1"/>
        <w:numPr>
          <w:ilvl w:val="0"/>
          <w:numId w:val="0"/>
        </w:numPr>
        <w:rPr>
          <w:szCs w:val="24"/>
          <w:lang w:val="en-US"/>
        </w:rPr>
      </w:pPr>
      <w:r w:rsidRPr="00DD1B58">
        <w:rPr>
          <w:szCs w:val="24"/>
          <w:lang w:val="en-US"/>
        </w:rPr>
        <w:t>Most of the fire scenarios for HPC originate inside buildings, but some fires could also originate inside the site boundary but outside a building. The internal fire hazard assessment also needs to consider fires spreading between buildings. These are not all explicitly covered by the fire risk assessment methodology, so additional methodologies and assessments are being developed.</w:t>
      </w:r>
    </w:p>
    <w:p w14:paraId="7AA58C89" w14:textId="66AA5CBE" w:rsidR="00B50F5B" w:rsidRPr="00DD1B58" w:rsidRDefault="00B50F5B" w:rsidP="00B50F5B">
      <w:pPr>
        <w:pStyle w:val="Bulletlist1"/>
        <w:numPr>
          <w:ilvl w:val="0"/>
          <w:numId w:val="0"/>
        </w:numPr>
        <w:rPr>
          <w:szCs w:val="24"/>
          <w:lang w:val="en-US"/>
        </w:rPr>
      </w:pPr>
      <w:r w:rsidRPr="00DD1B58">
        <w:rPr>
          <w:szCs w:val="24"/>
          <w:lang w:val="en-US"/>
        </w:rPr>
        <w:t>A study of fire domino effects has been carried out for CI</w:t>
      </w:r>
      <w:r w:rsidR="005D5C50" w:rsidRPr="00DD1B58">
        <w:rPr>
          <w:szCs w:val="24"/>
          <w:lang w:val="en-US"/>
        </w:rPr>
        <w:t>/</w:t>
      </w:r>
      <w:r w:rsidRPr="00DD1B58">
        <w:rPr>
          <w:szCs w:val="24"/>
          <w:lang w:val="en-US"/>
        </w:rPr>
        <w:t>Balance of Plant (BoP) buildings [48] which considered thermal</w:t>
      </w:r>
      <w:r w:rsidR="007C3F42" w:rsidRPr="00DD1B58">
        <w:rPr>
          <w:szCs w:val="24"/>
          <w:lang w:val="en-US"/>
        </w:rPr>
        <w:t>/</w:t>
      </w:r>
      <w:r w:rsidRPr="00DD1B58">
        <w:rPr>
          <w:szCs w:val="24"/>
          <w:lang w:val="en-US"/>
        </w:rPr>
        <w:t xml:space="preserve">radiative effects and smoke effects of a fire spreading between buildings. The methodology screened buildings based on their combustible inventories and PFG risk,mitigating measures such as fire-resistant external walls, openings through which fire could spread, building separation and boundary distance based on the enclosing rectangle method in BR187 </w:t>
      </w:r>
      <w:sdt>
        <w:sdtPr>
          <w:rPr>
            <w:szCs w:val="24"/>
            <w:lang w:val="en-US"/>
          </w:rPr>
          <w:id w:val="1895460382"/>
          <w:citation/>
        </w:sdtPr>
        <w:sdtContent>
          <w:r w:rsidRPr="00DD1B58">
            <w:rPr>
              <w:szCs w:val="24"/>
              <w:lang w:val="en-US"/>
            </w:rPr>
            <w:fldChar w:fldCharType="begin"/>
          </w:r>
          <w:r w:rsidRPr="00DD1B58">
            <w:rPr>
              <w:szCs w:val="24"/>
              <w:lang w:val="en-US"/>
            </w:rPr>
            <w:instrText xml:space="preserve"> CITATION Bui91 \l 2057 </w:instrText>
          </w:r>
          <w:r w:rsidRPr="00DD1B58">
            <w:rPr>
              <w:szCs w:val="24"/>
              <w:lang w:val="en-US"/>
            </w:rPr>
            <w:fldChar w:fldCharType="separate"/>
          </w:r>
          <w:r w:rsidR="00DF47DA" w:rsidRPr="00DF47DA">
            <w:rPr>
              <w:szCs w:val="24"/>
              <w:lang w:val="en-US"/>
            </w:rPr>
            <w:t>[207]</w:t>
          </w:r>
          <w:r w:rsidRPr="00DD1B58">
            <w:rPr>
              <w:szCs w:val="24"/>
              <w:lang w:val="en-US"/>
            </w:rPr>
            <w:fldChar w:fldCharType="end"/>
          </w:r>
        </w:sdtContent>
      </w:sdt>
      <w:bookmarkStart w:id="205" w:name="_Toc109727646"/>
      <w:r w:rsidRPr="00DD1B58">
        <w:rPr>
          <w:szCs w:val="24"/>
          <w:lang w:val="en-US"/>
        </w:rPr>
        <w:t xml:space="preserve"> and heat flux. The scenarios studied for smoke propagation were identified based on a high-level review of the site layout and operations with potential fire hazards and their location relative to building Heating, Ventilation and Air Conditioning (HVAC) openings.</w:t>
      </w:r>
    </w:p>
    <w:p w14:paraId="3C0D555D" w14:textId="77777777" w:rsidR="00B50F5B" w:rsidRPr="00DD1B58" w:rsidRDefault="00B50F5B" w:rsidP="00B50F5B">
      <w:pPr>
        <w:rPr>
          <w:noProof/>
          <w:szCs w:val="24"/>
          <w:lang w:val="en-US"/>
        </w:rPr>
      </w:pPr>
      <w:r w:rsidRPr="00DD1B58">
        <w:rPr>
          <w:noProof/>
          <w:lang w:val="en-US"/>
        </w:rPr>
        <w:t>Propagation of hot gas or smoke into the HVAC systems of NI buildings was also assessed [50] to determine whether fire could affect SSCs claimed for nuclear safety, and included the following scenarios:</w:t>
      </w:r>
    </w:p>
    <w:p w14:paraId="66909258" w14:textId="77777777" w:rsidR="00B50F5B" w:rsidRPr="00DD1B58" w:rsidRDefault="00B50F5B" w:rsidP="00B50F5B">
      <w:pPr>
        <w:pStyle w:val="ListParagraph"/>
        <w:numPr>
          <w:ilvl w:val="1"/>
          <w:numId w:val="18"/>
        </w:numPr>
        <w:ind w:left="360"/>
        <w:rPr>
          <w:lang w:val="en-US"/>
        </w:rPr>
      </w:pPr>
      <w:r w:rsidRPr="00DD1B58">
        <w:rPr>
          <w:noProof/>
          <w:lang w:val="en-US"/>
        </w:rPr>
        <w:t>Diesel tanker impact accidents or fire;</w:t>
      </w:r>
    </w:p>
    <w:p w14:paraId="534B37B3" w14:textId="77777777" w:rsidR="00B50F5B" w:rsidRPr="00DD1B58" w:rsidRDefault="00B50F5B" w:rsidP="00B50F5B">
      <w:pPr>
        <w:pStyle w:val="ListParagraph"/>
        <w:numPr>
          <w:ilvl w:val="0"/>
          <w:numId w:val="18"/>
        </w:numPr>
        <w:ind w:left="360"/>
        <w:rPr>
          <w:lang w:val="en-US"/>
        </w:rPr>
      </w:pPr>
      <w:r w:rsidRPr="00DD1B58">
        <w:rPr>
          <w:noProof/>
          <w:lang w:val="en-US"/>
        </w:rPr>
        <w:t>Ignition of materials temporarily stored outside buildings;</w:t>
      </w:r>
    </w:p>
    <w:p w14:paraId="07A49FED" w14:textId="77777777" w:rsidR="00B50F5B" w:rsidRPr="00DD1B58" w:rsidRDefault="00B50F5B" w:rsidP="00B50F5B">
      <w:pPr>
        <w:pStyle w:val="ListParagraph"/>
        <w:numPr>
          <w:ilvl w:val="1"/>
          <w:numId w:val="18"/>
        </w:numPr>
        <w:ind w:left="360"/>
        <w:rPr>
          <w:lang w:val="en-US"/>
        </w:rPr>
      </w:pPr>
      <w:r w:rsidRPr="00DD1B58">
        <w:rPr>
          <w:noProof/>
          <w:lang w:val="en-US"/>
        </w:rPr>
        <w:t>Fire in turbine hall or diesel generator buildings;</w:t>
      </w:r>
    </w:p>
    <w:p w14:paraId="51980F07" w14:textId="77777777" w:rsidR="00B50F5B" w:rsidRPr="00DD1B58" w:rsidRDefault="00B50F5B" w:rsidP="00B50F5B">
      <w:pPr>
        <w:pStyle w:val="ListParagraph"/>
        <w:numPr>
          <w:ilvl w:val="1"/>
          <w:numId w:val="18"/>
        </w:numPr>
        <w:ind w:left="360"/>
        <w:rPr>
          <w:lang w:val="en-US"/>
        </w:rPr>
      </w:pPr>
      <w:r w:rsidRPr="00DD1B58">
        <w:rPr>
          <w:noProof/>
          <w:lang w:val="en-US"/>
        </w:rPr>
        <w:t>Accidents during diesel generator refuelling;</w:t>
      </w:r>
    </w:p>
    <w:p w14:paraId="518567C4" w14:textId="77777777" w:rsidR="00B50F5B" w:rsidRPr="00DD1B58" w:rsidRDefault="00B50F5B" w:rsidP="00B50F5B">
      <w:pPr>
        <w:pStyle w:val="ListParagraph"/>
        <w:numPr>
          <w:ilvl w:val="1"/>
          <w:numId w:val="18"/>
        </w:numPr>
        <w:ind w:left="360"/>
        <w:rPr>
          <w:lang w:val="en-US"/>
        </w:rPr>
      </w:pPr>
      <w:r w:rsidRPr="00DD1B58">
        <w:rPr>
          <w:noProof/>
          <w:lang w:val="en-US"/>
        </w:rPr>
        <w:t>Transformer fire.</w:t>
      </w:r>
    </w:p>
    <w:p w14:paraId="05EABD72" w14:textId="77777777" w:rsidR="00B50F5B" w:rsidRPr="00DD1B58" w:rsidRDefault="00B50F5B" w:rsidP="00B50F5B">
      <w:pPr>
        <w:rPr>
          <w:noProof/>
          <w:szCs w:val="24"/>
          <w:lang w:val="en-US"/>
        </w:rPr>
      </w:pPr>
      <w:r w:rsidRPr="00DD1B58">
        <w:rPr>
          <w:noProof/>
          <w:lang w:val="en-US"/>
        </w:rPr>
        <w:t>A separate work stream has been initiated in 2022 to ensure studies of fire outside buildings are sufficiently robust and cover additional aspects such as fire induced sparks, fire spread in roof materials, and fire spread from car parks.</w:t>
      </w:r>
    </w:p>
    <w:p w14:paraId="19727FD4" w14:textId="77777777" w:rsidR="00B50F5B" w:rsidRPr="00DD1B58" w:rsidRDefault="00B50F5B" w:rsidP="00B50F5B">
      <w:pPr>
        <w:pStyle w:val="Heading3A"/>
        <w:numPr>
          <w:ilvl w:val="0"/>
          <w:numId w:val="0"/>
        </w:numPr>
        <w:ind w:left="964"/>
        <w:rPr>
          <w:lang w:val="en-US"/>
        </w:rPr>
      </w:pPr>
      <w:r w:rsidRPr="00DD1B58">
        <w:rPr>
          <w:b/>
          <w:bCs/>
          <w:lang w:val="en-US"/>
        </w:rPr>
        <w:br w:type="page"/>
      </w:r>
    </w:p>
    <w:p w14:paraId="589EB172" w14:textId="77777777" w:rsidR="0092149B" w:rsidRPr="00DD1B58" w:rsidRDefault="0092149B" w:rsidP="00B50F5B">
      <w:pPr>
        <w:pStyle w:val="Heading1A"/>
        <w:numPr>
          <w:ilvl w:val="0"/>
          <w:numId w:val="0"/>
        </w:numPr>
        <w:ind w:left="567"/>
        <w:rPr>
          <w:lang w:val="en-US"/>
        </w:rPr>
        <w:sectPr w:rsidR="0092149B" w:rsidRPr="00DD1B58" w:rsidSect="00C449F1">
          <w:pgSz w:w="11906" w:h="16838" w:code="9"/>
          <w:pgMar w:top="902" w:right="1077" w:bottom="1843" w:left="1077" w:header="397" w:footer="397" w:gutter="0"/>
          <w:cols w:space="312"/>
          <w:docGrid w:linePitch="360"/>
        </w:sectPr>
      </w:pPr>
    </w:p>
    <w:p w14:paraId="66A1FDF8" w14:textId="0B85D2B1" w:rsidR="009E50BD" w:rsidRPr="00DD1B58" w:rsidRDefault="009E50BD">
      <w:pPr>
        <w:spacing w:after="0" w:line="240" w:lineRule="auto"/>
        <w:rPr>
          <w:b/>
          <w:bCs/>
          <w:color w:val="22413A"/>
          <w:sz w:val="28"/>
          <w:szCs w:val="24"/>
          <w:lang w:val="en-US"/>
        </w:rPr>
      </w:pPr>
    </w:p>
    <w:p w14:paraId="5DD9A40A" w14:textId="108A3E40" w:rsidR="0A47ED9B" w:rsidRPr="00DD1B58" w:rsidRDefault="0A47ED9B" w:rsidP="00252FAF">
      <w:pPr>
        <w:pStyle w:val="Heading3A"/>
        <w:rPr>
          <w:lang w:val="en-US"/>
        </w:rPr>
      </w:pPr>
      <w:bookmarkStart w:id="206" w:name="_Toc144924992"/>
      <w:bookmarkStart w:id="207" w:name="_Toc144926737"/>
      <w:bookmarkStart w:id="208" w:name="_Toc144927180"/>
      <w:bookmarkStart w:id="209" w:name="_Toc145055820"/>
      <w:bookmarkEnd w:id="206"/>
      <w:bookmarkEnd w:id="207"/>
      <w:bookmarkEnd w:id="208"/>
      <w:bookmarkEnd w:id="209"/>
      <w:r w:rsidRPr="00DD1B58">
        <w:rPr>
          <w:b/>
          <w:bCs/>
          <w:lang w:val="en-US"/>
        </w:rPr>
        <w:t xml:space="preserve"> </w:t>
      </w:r>
      <w:bookmarkStart w:id="210" w:name="_Toc147090666"/>
      <w:r w:rsidR="007A5F99" w:rsidRPr="00DD1B58">
        <w:rPr>
          <w:lang w:val="en-US"/>
        </w:rPr>
        <w:t>EDF NGL</w:t>
      </w:r>
      <w:r w:rsidR="007C4F27" w:rsidRPr="00DD1B58">
        <w:rPr>
          <w:lang w:val="en-US"/>
        </w:rPr>
        <w:t>’s</w:t>
      </w:r>
      <w:r w:rsidR="0061463D" w:rsidRPr="00DD1B58">
        <w:rPr>
          <w:lang w:val="en-US"/>
        </w:rPr>
        <w:t xml:space="preserve"> </w:t>
      </w:r>
      <w:r w:rsidR="00977B91" w:rsidRPr="00DD1B58">
        <w:rPr>
          <w:lang w:val="en-US"/>
        </w:rPr>
        <w:t>f</w:t>
      </w:r>
      <w:r w:rsidRPr="00DD1B58">
        <w:rPr>
          <w:lang w:val="en-US"/>
        </w:rPr>
        <w:t xml:space="preserve">ire protection </w:t>
      </w:r>
      <w:r w:rsidR="006256DD" w:rsidRPr="00DD1B58">
        <w:rPr>
          <w:lang w:val="en-US"/>
        </w:rPr>
        <w:t xml:space="preserve">approach </w:t>
      </w:r>
      <w:r w:rsidRPr="00DD1B58">
        <w:rPr>
          <w:lang w:val="en-US"/>
        </w:rPr>
        <w:t>for fire areas containing safety</w:t>
      </w:r>
      <w:r w:rsidR="0063409C" w:rsidRPr="00DD1B58">
        <w:rPr>
          <w:lang w:val="en-US"/>
        </w:rPr>
        <w:t>-</w:t>
      </w:r>
      <w:r w:rsidRPr="00DD1B58">
        <w:rPr>
          <w:lang w:val="en-US"/>
        </w:rPr>
        <w:t>related plant performing the same safety function</w:t>
      </w:r>
      <w:bookmarkEnd w:id="210"/>
    </w:p>
    <w:p w14:paraId="0176FE43" w14:textId="1B803F8F" w:rsidR="0A47ED9B" w:rsidRPr="00DD1B58" w:rsidRDefault="0A47ED9B" w:rsidP="00973FF4">
      <w:pPr>
        <w:pStyle w:val="Heading4A"/>
        <w:rPr>
          <w:lang w:val="en-US"/>
        </w:rPr>
      </w:pPr>
      <w:r w:rsidRPr="00DD1B58">
        <w:rPr>
          <w:lang w:val="en-US"/>
        </w:rPr>
        <w:t xml:space="preserve"> </w:t>
      </w:r>
      <w:r w:rsidR="00354988" w:rsidRPr="00DD1B58">
        <w:rPr>
          <w:lang w:val="en-US"/>
        </w:rPr>
        <w:t>C</w:t>
      </w:r>
      <w:r w:rsidR="1DD8AE29" w:rsidRPr="00DD1B58">
        <w:rPr>
          <w:lang w:val="en-US"/>
        </w:rPr>
        <w:t>.1 INTRODUCTION</w:t>
      </w:r>
    </w:p>
    <w:p w14:paraId="4D04EFA9" w14:textId="3E10CE31" w:rsidR="1DD8AE29" w:rsidRPr="00DD1B58" w:rsidRDefault="1DD8AE29" w:rsidP="50AE0A86">
      <w:pPr>
        <w:rPr>
          <w:lang w:val="en-US"/>
        </w:rPr>
      </w:pPr>
      <w:r w:rsidRPr="00DD1B58">
        <w:rPr>
          <w:lang w:val="en-US"/>
        </w:rPr>
        <w:t xml:space="preserve">This appendix provides </w:t>
      </w:r>
      <w:r w:rsidR="007A5F99" w:rsidRPr="00DD1B58">
        <w:rPr>
          <w:lang w:val="en-US"/>
        </w:rPr>
        <w:t>EDF-NGL</w:t>
      </w:r>
      <w:r w:rsidR="0063409C" w:rsidRPr="00DD1B58">
        <w:rPr>
          <w:lang w:val="en-US"/>
        </w:rPr>
        <w:t xml:space="preserve">’s approach </w:t>
      </w:r>
      <w:r w:rsidRPr="00DD1B58">
        <w:rPr>
          <w:lang w:val="en-US"/>
        </w:rPr>
        <w:t xml:space="preserve">for </w:t>
      </w:r>
      <w:r w:rsidR="00A21DBD" w:rsidRPr="00DD1B58">
        <w:rPr>
          <w:lang w:val="en-US"/>
        </w:rPr>
        <w:t xml:space="preserve">locations </w:t>
      </w:r>
      <w:r w:rsidRPr="00DD1B58">
        <w:rPr>
          <w:lang w:val="en-US"/>
        </w:rPr>
        <w:t xml:space="preserve">where it </w:t>
      </w:r>
      <w:r w:rsidR="00AF0DB8" w:rsidRPr="00DD1B58">
        <w:rPr>
          <w:lang w:val="en-US"/>
        </w:rPr>
        <w:t>relies</w:t>
      </w:r>
      <w:r w:rsidRPr="00DD1B58">
        <w:rPr>
          <w:lang w:val="en-US"/>
        </w:rPr>
        <w:t xml:space="preserve"> on fire protection systems</w:t>
      </w:r>
      <w:r w:rsidR="5F8A9966" w:rsidRPr="00DD1B58">
        <w:rPr>
          <w:lang w:val="en-US"/>
        </w:rPr>
        <w:t xml:space="preserve"> </w:t>
      </w:r>
      <w:r w:rsidR="005D2297" w:rsidRPr="00DD1B58">
        <w:rPr>
          <w:lang w:val="en-US"/>
        </w:rPr>
        <w:t>to protect</w:t>
      </w:r>
      <w:r w:rsidRPr="00DD1B58">
        <w:rPr>
          <w:lang w:val="en-US"/>
        </w:rPr>
        <w:t xml:space="preserve"> adjacent redundant safety systems. </w:t>
      </w:r>
      <w:r w:rsidR="007A5F99" w:rsidRPr="00DD1B58">
        <w:rPr>
          <w:lang w:val="en-US"/>
        </w:rPr>
        <w:t>EDF-NGL</w:t>
      </w:r>
      <w:r w:rsidR="005D2297" w:rsidRPr="00DD1B58">
        <w:rPr>
          <w:lang w:val="en-US"/>
        </w:rPr>
        <w:t xml:space="preserve"> considers the </w:t>
      </w:r>
      <w:r w:rsidRPr="00DD1B58">
        <w:rPr>
          <w:lang w:val="en-US"/>
        </w:rPr>
        <w:t>majority of such situations involve cabling where i</w:t>
      </w:r>
      <w:r w:rsidR="00A21DBD" w:rsidRPr="00DD1B58">
        <w:rPr>
          <w:lang w:val="en-US"/>
        </w:rPr>
        <w:t>s not</w:t>
      </w:r>
      <w:r w:rsidRPr="00DD1B58">
        <w:rPr>
          <w:lang w:val="en-US"/>
        </w:rPr>
        <w:t xml:space="preserve"> reasonably practicable to achieve segregation by locating</w:t>
      </w:r>
      <w:r w:rsidR="1C67ACD1" w:rsidRPr="00DD1B58">
        <w:rPr>
          <w:lang w:val="en-US"/>
        </w:rPr>
        <w:t xml:space="preserve"> </w:t>
      </w:r>
      <w:r w:rsidRPr="00DD1B58">
        <w:rPr>
          <w:lang w:val="en-US"/>
        </w:rPr>
        <w:t>fire barriers or re-cabling and so guidance here is restricted to this case. However, the philosophy of the</w:t>
      </w:r>
      <w:r w:rsidR="242774DA" w:rsidRPr="00DD1B58">
        <w:rPr>
          <w:lang w:val="en-US"/>
        </w:rPr>
        <w:t xml:space="preserve"> </w:t>
      </w:r>
      <w:r w:rsidRPr="00DD1B58">
        <w:rPr>
          <w:lang w:val="en-US"/>
        </w:rPr>
        <w:t>guidelines is readily applicable to plant other than cabling when assessing fire protection requirements.</w:t>
      </w:r>
    </w:p>
    <w:p w14:paraId="516AFD63" w14:textId="0B81DDAD" w:rsidR="1DD8AE29" w:rsidRPr="00DD1B58" w:rsidRDefault="00354988" w:rsidP="00973FF4">
      <w:pPr>
        <w:pStyle w:val="Heading4A"/>
        <w:rPr>
          <w:lang w:val="en-US"/>
        </w:rPr>
      </w:pPr>
      <w:r w:rsidRPr="00DD1B58">
        <w:rPr>
          <w:lang w:val="en-US"/>
        </w:rPr>
        <w:t>C</w:t>
      </w:r>
      <w:r w:rsidR="1DD8AE29" w:rsidRPr="00DD1B58">
        <w:rPr>
          <w:lang w:val="en-US"/>
        </w:rPr>
        <w:t>.2 FIRE PROTECTION REQUIREMENTS</w:t>
      </w:r>
    </w:p>
    <w:p w14:paraId="10879FDA" w14:textId="4830D76B" w:rsidR="1DD8AE29" w:rsidRPr="00DD1B58" w:rsidRDefault="009A5DF7" w:rsidP="50AE0A86">
      <w:pPr>
        <w:rPr>
          <w:lang w:val="en-US"/>
        </w:rPr>
      </w:pPr>
      <w:r w:rsidRPr="00DD1B58">
        <w:rPr>
          <w:lang w:val="en-US"/>
        </w:rPr>
        <w:t xml:space="preserve">EDF-NGL’s </w:t>
      </w:r>
      <w:r w:rsidR="1DD8AE29" w:rsidRPr="00DD1B58">
        <w:rPr>
          <w:lang w:val="en-US"/>
        </w:rPr>
        <w:t>approach to the fire protection of cables is developed from a report issued by the</w:t>
      </w:r>
      <w:r w:rsidR="6A220E83" w:rsidRPr="00DD1B58">
        <w:rPr>
          <w:lang w:val="en-US"/>
        </w:rPr>
        <w:t xml:space="preserve"> </w:t>
      </w:r>
      <w:r w:rsidR="1DD8AE29" w:rsidRPr="00DD1B58">
        <w:rPr>
          <w:lang w:val="en-US"/>
        </w:rPr>
        <w:t xml:space="preserve">United States Electric Power Research Institute. </w:t>
      </w:r>
      <w:r w:rsidR="007A5F99" w:rsidRPr="00DD1B58">
        <w:rPr>
          <w:lang w:val="en-US"/>
        </w:rPr>
        <w:t xml:space="preserve">EDF-NGL’s </w:t>
      </w:r>
      <w:r w:rsidR="1DD8AE29" w:rsidRPr="00DD1B58">
        <w:rPr>
          <w:lang w:val="en-US"/>
        </w:rPr>
        <w:t>aim is to specify levels of protection graded</w:t>
      </w:r>
      <w:r w:rsidR="7794FF33" w:rsidRPr="00DD1B58">
        <w:rPr>
          <w:lang w:val="en-US"/>
        </w:rPr>
        <w:t xml:space="preserve"> </w:t>
      </w:r>
      <w:r w:rsidR="1DD8AE29" w:rsidRPr="00DD1B58">
        <w:rPr>
          <w:lang w:val="en-US"/>
        </w:rPr>
        <w:t>according to the perceived consequences of fire, as determined from a fire hazard analysis (see</w:t>
      </w:r>
      <w:r w:rsidR="421C5C56" w:rsidRPr="00DD1B58">
        <w:rPr>
          <w:lang w:val="en-US"/>
        </w:rPr>
        <w:t xml:space="preserve"> </w:t>
      </w:r>
      <w:r w:rsidR="1DD8AE29" w:rsidRPr="00DD1B58">
        <w:rPr>
          <w:lang w:val="en-US"/>
        </w:rPr>
        <w:t>Appendix B). One of three requirements could arise from the fire hazards analyses:</w:t>
      </w:r>
    </w:p>
    <w:p w14:paraId="3E0C1C5A" w14:textId="77777777" w:rsidR="1DD8AE29" w:rsidRPr="00DD1B58" w:rsidRDefault="1DD8AE29" w:rsidP="50AE0A86">
      <w:pPr>
        <w:rPr>
          <w:lang w:val="en-US"/>
        </w:rPr>
      </w:pPr>
      <w:r w:rsidRPr="00DD1B58">
        <w:rPr>
          <w:lang w:val="en-US"/>
        </w:rPr>
        <w:t>(a) To detect and extinguish a fire before an electrical fault results.</w:t>
      </w:r>
    </w:p>
    <w:p w14:paraId="71A87E56" w14:textId="77777777" w:rsidR="1DD8AE29" w:rsidRPr="00DD1B58" w:rsidRDefault="1DD8AE29" w:rsidP="50AE0A86">
      <w:pPr>
        <w:rPr>
          <w:lang w:val="en-US"/>
        </w:rPr>
      </w:pPr>
      <w:r w:rsidRPr="00DD1B58">
        <w:rPr>
          <w:lang w:val="en-US"/>
        </w:rPr>
        <w:t>(b) To limit damage to a single cable tray.</w:t>
      </w:r>
    </w:p>
    <w:p w14:paraId="68039AAE" w14:textId="77777777" w:rsidR="1DD8AE29" w:rsidRPr="00DD1B58" w:rsidRDefault="1DD8AE29" w:rsidP="50AE0A86">
      <w:pPr>
        <w:rPr>
          <w:lang w:val="en-US"/>
        </w:rPr>
      </w:pPr>
      <w:r w:rsidRPr="00DD1B58">
        <w:rPr>
          <w:lang w:val="en-US"/>
        </w:rPr>
        <w:t>(c) To limit damage to a single cable group.</w:t>
      </w:r>
    </w:p>
    <w:p w14:paraId="6D5205B6" w14:textId="5957BE69" w:rsidR="1DD8AE29" w:rsidRPr="00DD1B58" w:rsidRDefault="1DD8AE29" w:rsidP="50AE0A86">
      <w:pPr>
        <w:rPr>
          <w:lang w:val="en-US"/>
        </w:rPr>
      </w:pPr>
      <w:r w:rsidRPr="00DD1B58">
        <w:rPr>
          <w:lang w:val="en-US"/>
        </w:rPr>
        <w:t xml:space="preserve">By way of guidance, </w:t>
      </w:r>
      <w:r w:rsidR="007A5F99" w:rsidRPr="00DD1B58">
        <w:rPr>
          <w:lang w:val="en-US"/>
        </w:rPr>
        <w:t>EDF-NGL’s</w:t>
      </w:r>
      <w:r w:rsidR="00E96582" w:rsidRPr="00DD1B58">
        <w:rPr>
          <w:lang w:val="en-US"/>
        </w:rPr>
        <w:t xml:space="preserve"> considers that </w:t>
      </w:r>
      <w:r w:rsidRPr="00DD1B58">
        <w:rPr>
          <w:lang w:val="en-US"/>
        </w:rPr>
        <w:t>the following fire protection measures would meet these requirements:</w:t>
      </w:r>
    </w:p>
    <w:p w14:paraId="7EB204A9" w14:textId="6E7BF46B" w:rsidR="1DD8AE29" w:rsidRPr="00DD1B58" w:rsidRDefault="00354988" w:rsidP="50AE0A86">
      <w:pPr>
        <w:rPr>
          <w:b/>
          <w:bCs/>
          <w:lang w:val="en-US"/>
        </w:rPr>
      </w:pPr>
      <w:r w:rsidRPr="00DD1B58">
        <w:rPr>
          <w:b/>
          <w:bCs/>
          <w:lang w:val="en-US"/>
        </w:rPr>
        <w:t>C</w:t>
      </w:r>
      <w:r w:rsidR="1DD8AE29" w:rsidRPr="00DD1B58">
        <w:rPr>
          <w:b/>
          <w:bCs/>
          <w:lang w:val="en-US"/>
        </w:rPr>
        <w:t>.2.1 For case a):</w:t>
      </w:r>
    </w:p>
    <w:p w14:paraId="0E69B6D1" w14:textId="77777777" w:rsidR="1DD8AE29" w:rsidRPr="00DD1B58" w:rsidRDefault="1DD8AE29" w:rsidP="50AE0A86">
      <w:pPr>
        <w:rPr>
          <w:highlight w:val="yellow"/>
          <w:lang w:val="en-US"/>
        </w:rPr>
      </w:pPr>
      <w:r w:rsidRPr="00DD1B58">
        <w:rPr>
          <w:lang w:val="en-US"/>
        </w:rPr>
        <w:t>A fast acting detection system monitoring the identified at risk cables and operating an automatic water</w:t>
      </w:r>
      <w:r w:rsidR="65F12FCA" w:rsidRPr="00DD1B58">
        <w:rPr>
          <w:lang w:val="en-US"/>
        </w:rPr>
        <w:t xml:space="preserve"> </w:t>
      </w:r>
      <w:r w:rsidRPr="00DD1B58">
        <w:rPr>
          <w:lang w:val="en-US"/>
        </w:rPr>
        <w:t>sprinkler/deluge/spray system designed to discharge water from directional nozzles directly onto the</w:t>
      </w:r>
      <w:r w:rsidR="00040852" w:rsidRPr="00DD1B58">
        <w:rPr>
          <w:lang w:val="en-US"/>
        </w:rPr>
        <w:t xml:space="preserve"> </w:t>
      </w:r>
      <w:r w:rsidRPr="00DD1B58">
        <w:rPr>
          <w:lang w:val="en-US"/>
        </w:rPr>
        <w:t>cables</w:t>
      </w:r>
      <w:bookmarkStart w:id="211" w:name="_Ref141696414"/>
      <w:r w:rsidR="00DB3D4D" w:rsidRPr="00DD1B58">
        <w:rPr>
          <w:rStyle w:val="FootnoteReference"/>
          <w:lang w:val="en-US"/>
        </w:rPr>
        <w:footnoteReference w:id="3"/>
      </w:r>
      <w:bookmarkEnd w:id="211"/>
      <w:r w:rsidRPr="00DD1B58">
        <w:rPr>
          <w:lang w:val="en-US"/>
        </w:rPr>
        <w:t>.</w:t>
      </w:r>
    </w:p>
    <w:p w14:paraId="0897274D" w14:textId="245CB16C" w:rsidR="1DD8AE29" w:rsidRPr="00DD1B58" w:rsidRDefault="00354988" w:rsidP="50AE0A86">
      <w:pPr>
        <w:rPr>
          <w:b/>
          <w:bCs/>
          <w:lang w:val="en-US"/>
        </w:rPr>
      </w:pPr>
      <w:r w:rsidRPr="00DD1B58">
        <w:rPr>
          <w:b/>
          <w:bCs/>
          <w:lang w:val="en-US"/>
        </w:rPr>
        <w:t>C</w:t>
      </w:r>
      <w:r w:rsidR="1DD8AE29" w:rsidRPr="00DD1B58">
        <w:rPr>
          <w:b/>
          <w:bCs/>
          <w:lang w:val="en-US"/>
        </w:rPr>
        <w:t>.2.2 For case b):</w:t>
      </w:r>
    </w:p>
    <w:p w14:paraId="29CB715E" w14:textId="2ECC25D6" w:rsidR="1DD8AE29" w:rsidRPr="00DD1B58" w:rsidRDefault="1DD8AE29" w:rsidP="50AE0A86">
      <w:pPr>
        <w:rPr>
          <w:highlight w:val="yellow"/>
          <w:lang w:val="en-US"/>
        </w:rPr>
      </w:pPr>
      <w:r w:rsidRPr="00DD1B58">
        <w:rPr>
          <w:lang w:val="en-US"/>
        </w:rPr>
        <w:t>A fast acting detection system monitoring the identified cable tray and operating an automatic water</w:t>
      </w:r>
      <w:r w:rsidR="7AAFAEA0" w:rsidRPr="00DD1B58">
        <w:rPr>
          <w:lang w:val="en-US"/>
        </w:rPr>
        <w:t xml:space="preserve"> </w:t>
      </w:r>
      <w:r w:rsidRPr="00DD1B58">
        <w:rPr>
          <w:lang w:val="en-US"/>
        </w:rPr>
        <w:t>sprinkler/deluge/spray system designed to discharge water from directional nozzles directly onto the</w:t>
      </w:r>
      <w:r w:rsidR="62B6C80B" w:rsidRPr="00DD1B58">
        <w:rPr>
          <w:lang w:val="en-US"/>
        </w:rPr>
        <w:t xml:space="preserve"> </w:t>
      </w:r>
      <w:r w:rsidRPr="00DD1B58">
        <w:rPr>
          <w:lang w:val="en-US"/>
        </w:rPr>
        <w:t>cable tray</w:t>
      </w:r>
      <w:r w:rsidR="000478A2" w:rsidRPr="00DD1B58">
        <w:rPr>
          <w:lang w:val="en-US"/>
        </w:rPr>
        <w:fldChar w:fldCharType="begin"/>
      </w:r>
      <w:r w:rsidR="000478A2" w:rsidRPr="00DD1B58">
        <w:rPr>
          <w:lang w:val="en-US"/>
        </w:rPr>
        <w:instrText xml:space="preserve"> NOTEREF _Ref141696414 \f \h </w:instrText>
      </w:r>
      <w:r w:rsidR="000478A2" w:rsidRPr="00DD1B58">
        <w:rPr>
          <w:lang w:val="en-US"/>
        </w:rPr>
      </w:r>
      <w:r w:rsidR="000478A2" w:rsidRPr="00DD1B58">
        <w:rPr>
          <w:lang w:val="en-US"/>
        </w:rPr>
        <w:fldChar w:fldCharType="separate"/>
      </w:r>
      <w:r w:rsidR="00DF47DA" w:rsidRPr="00DF47DA">
        <w:rPr>
          <w:rStyle w:val="FootnoteReference"/>
        </w:rPr>
        <w:t>2</w:t>
      </w:r>
      <w:r w:rsidR="000478A2" w:rsidRPr="00DD1B58">
        <w:rPr>
          <w:lang w:val="en-US"/>
        </w:rPr>
        <w:fldChar w:fldCharType="end"/>
      </w:r>
      <w:r w:rsidRPr="00DD1B58">
        <w:rPr>
          <w:lang w:val="en-US"/>
        </w:rPr>
        <w:t>.</w:t>
      </w:r>
    </w:p>
    <w:p w14:paraId="7CC8E60E" w14:textId="130F3C27" w:rsidR="1DD8AE29" w:rsidRPr="00DD1B58" w:rsidRDefault="00354988" w:rsidP="50AE0A86">
      <w:pPr>
        <w:rPr>
          <w:b/>
          <w:bCs/>
          <w:lang w:val="en-US"/>
        </w:rPr>
      </w:pPr>
      <w:r w:rsidRPr="00DD1B58">
        <w:rPr>
          <w:b/>
          <w:bCs/>
          <w:lang w:val="en-US"/>
        </w:rPr>
        <w:t>C</w:t>
      </w:r>
      <w:r w:rsidR="1DD8AE29" w:rsidRPr="00DD1B58">
        <w:rPr>
          <w:b/>
          <w:bCs/>
          <w:lang w:val="en-US"/>
        </w:rPr>
        <w:t>.2.3 For case c):</w:t>
      </w:r>
    </w:p>
    <w:p w14:paraId="422EAF28" w14:textId="34444512" w:rsidR="1DD8AE29" w:rsidRPr="00DD1B58" w:rsidRDefault="1DD8AE29" w:rsidP="50AE0A86">
      <w:pPr>
        <w:rPr>
          <w:highlight w:val="yellow"/>
          <w:lang w:val="en-US"/>
        </w:rPr>
      </w:pPr>
      <w:r w:rsidRPr="00DD1B58">
        <w:rPr>
          <w:lang w:val="en-US"/>
        </w:rPr>
        <w:t>A fast acting detection system monitoring the identified cable group and operating an automatic water</w:t>
      </w:r>
      <w:r w:rsidR="4C190171" w:rsidRPr="00DD1B58">
        <w:rPr>
          <w:lang w:val="en-US"/>
        </w:rPr>
        <w:t xml:space="preserve"> </w:t>
      </w:r>
      <w:r w:rsidRPr="00DD1B58">
        <w:rPr>
          <w:lang w:val="en-US"/>
        </w:rPr>
        <w:t>sprinkler/deluge/spray system designed to discharge water from directional nozzles directly onto the</w:t>
      </w:r>
      <w:r w:rsidR="1CA0DB5C" w:rsidRPr="00DD1B58">
        <w:rPr>
          <w:lang w:val="en-US"/>
        </w:rPr>
        <w:t xml:space="preserve"> </w:t>
      </w:r>
      <w:r w:rsidRPr="00DD1B58">
        <w:rPr>
          <w:lang w:val="en-US"/>
        </w:rPr>
        <w:t>cable group</w:t>
      </w:r>
      <w:r w:rsidR="003923E5" w:rsidRPr="00DD1B58">
        <w:rPr>
          <w:lang w:val="en-US"/>
        </w:rPr>
        <w:fldChar w:fldCharType="begin"/>
      </w:r>
      <w:r w:rsidR="003923E5" w:rsidRPr="00DD1B58">
        <w:rPr>
          <w:lang w:val="en-US"/>
        </w:rPr>
        <w:instrText xml:space="preserve"> NOTEREF _Ref141696414 \f \h </w:instrText>
      </w:r>
      <w:r w:rsidR="003923E5" w:rsidRPr="00DD1B58">
        <w:rPr>
          <w:lang w:val="en-US"/>
        </w:rPr>
      </w:r>
      <w:r w:rsidR="003923E5" w:rsidRPr="00DD1B58">
        <w:rPr>
          <w:lang w:val="en-US"/>
        </w:rPr>
        <w:fldChar w:fldCharType="separate"/>
      </w:r>
      <w:r w:rsidR="00DF47DA" w:rsidRPr="00DF47DA">
        <w:rPr>
          <w:rStyle w:val="FootnoteReference"/>
        </w:rPr>
        <w:t>2</w:t>
      </w:r>
      <w:r w:rsidR="003923E5" w:rsidRPr="00DD1B58">
        <w:rPr>
          <w:lang w:val="en-US"/>
        </w:rPr>
        <w:fldChar w:fldCharType="end"/>
      </w:r>
      <w:r w:rsidRPr="00DD1B58">
        <w:rPr>
          <w:lang w:val="en-US"/>
        </w:rPr>
        <w:t>.</w:t>
      </w:r>
    </w:p>
    <w:p w14:paraId="140265FA" w14:textId="4A835552" w:rsidR="1DD8AE29" w:rsidRPr="00DD1B58" w:rsidRDefault="00354988" w:rsidP="50AE0A86">
      <w:pPr>
        <w:rPr>
          <w:b/>
          <w:bCs/>
          <w:lang w:val="en-US"/>
        </w:rPr>
      </w:pPr>
      <w:r w:rsidRPr="00DD1B58">
        <w:rPr>
          <w:b/>
          <w:bCs/>
          <w:lang w:val="en-US"/>
        </w:rPr>
        <w:t>C</w:t>
      </w:r>
      <w:r w:rsidR="1DD8AE29" w:rsidRPr="00DD1B58">
        <w:rPr>
          <w:b/>
          <w:bCs/>
          <w:lang w:val="en-US"/>
        </w:rPr>
        <w:t>.2.4 For all cases:</w:t>
      </w:r>
    </w:p>
    <w:p w14:paraId="3B0EF67F" w14:textId="2A0BC44D" w:rsidR="486FD108" w:rsidRPr="00DD1B58" w:rsidRDefault="486FD108" w:rsidP="50AE0A86">
      <w:pPr>
        <w:rPr>
          <w:highlight w:val="yellow"/>
          <w:lang w:val="en-US"/>
        </w:rPr>
      </w:pPr>
      <w:r w:rsidRPr="00DD1B58">
        <w:rPr>
          <w:lang w:val="en-US"/>
        </w:rPr>
        <w:t xml:space="preserve">A </w:t>
      </w:r>
      <w:r w:rsidR="006010CC" w:rsidRPr="00DD1B58">
        <w:rPr>
          <w:lang w:val="en-US"/>
        </w:rPr>
        <w:t>fast-acting</w:t>
      </w:r>
      <w:r w:rsidRPr="00DD1B58">
        <w:rPr>
          <w:lang w:val="en-US"/>
        </w:rPr>
        <w:t xml:space="preserve"> detection system monitoring all remaining cables and operating an automatic water sprinkler/deluge/spray system. A smoke detection system operating an alarm in the Control Room</w:t>
      </w:r>
      <w:r w:rsidR="00EE54D9" w:rsidRPr="00DD1B58">
        <w:rPr>
          <w:lang w:val="en-US"/>
        </w:rPr>
        <w:fldChar w:fldCharType="begin"/>
      </w:r>
      <w:r w:rsidR="00EE54D9" w:rsidRPr="00DD1B58">
        <w:rPr>
          <w:lang w:val="en-US"/>
        </w:rPr>
        <w:instrText xml:space="preserve"> NOTEREF _Ref141696414 \f \h </w:instrText>
      </w:r>
      <w:r w:rsidR="00EE54D9" w:rsidRPr="00DD1B58">
        <w:rPr>
          <w:lang w:val="en-US"/>
        </w:rPr>
      </w:r>
      <w:r w:rsidR="00EE54D9" w:rsidRPr="00DD1B58">
        <w:rPr>
          <w:lang w:val="en-US"/>
        </w:rPr>
        <w:fldChar w:fldCharType="separate"/>
      </w:r>
      <w:r w:rsidR="00DF47DA" w:rsidRPr="00DF47DA">
        <w:rPr>
          <w:rStyle w:val="FootnoteReference"/>
        </w:rPr>
        <w:t>2</w:t>
      </w:r>
      <w:r w:rsidR="00EE54D9" w:rsidRPr="00DD1B58">
        <w:rPr>
          <w:lang w:val="en-US"/>
        </w:rPr>
        <w:fldChar w:fldCharType="end"/>
      </w:r>
      <w:r w:rsidRPr="00DD1B58">
        <w:rPr>
          <w:lang w:val="en-US"/>
        </w:rPr>
        <w:t>.</w:t>
      </w:r>
    </w:p>
    <w:p w14:paraId="48133556" w14:textId="77777777" w:rsidR="50AE0A86" w:rsidRPr="00DD1B58" w:rsidRDefault="50AE0A86">
      <w:pPr>
        <w:spacing w:after="0" w:line="240" w:lineRule="auto"/>
        <w:rPr>
          <w:lang w:val="en-US"/>
        </w:rPr>
      </w:pPr>
      <w:r w:rsidRPr="00DD1B58">
        <w:rPr>
          <w:lang w:val="en-US"/>
        </w:rPr>
        <w:br w:type="page"/>
      </w:r>
    </w:p>
    <w:p w14:paraId="064637B1" w14:textId="5EAF0C97" w:rsidR="0038033D" w:rsidRPr="00DD1B58" w:rsidRDefault="00607216" w:rsidP="00973FF4">
      <w:pPr>
        <w:pStyle w:val="Heading3A"/>
        <w:rPr>
          <w:lang w:val="en-US"/>
        </w:rPr>
      </w:pPr>
      <w:bookmarkStart w:id="212" w:name="_Toc144925046"/>
      <w:bookmarkStart w:id="213" w:name="_Toc144926791"/>
      <w:bookmarkStart w:id="214" w:name="_Toc144927234"/>
      <w:bookmarkStart w:id="215" w:name="_Toc145055874"/>
      <w:bookmarkStart w:id="216" w:name="_Toc144925049"/>
      <w:bookmarkStart w:id="217" w:name="_Toc144926794"/>
      <w:bookmarkStart w:id="218" w:name="_Toc144927237"/>
      <w:bookmarkStart w:id="219" w:name="_Toc145055877"/>
      <w:bookmarkStart w:id="220" w:name="_Toc147090667"/>
      <w:bookmarkEnd w:id="205"/>
      <w:bookmarkEnd w:id="212"/>
      <w:bookmarkEnd w:id="213"/>
      <w:bookmarkEnd w:id="214"/>
      <w:bookmarkEnd w:id="215"/>
      <w:bookmarkEnd w:id="216"/>
      <w:bookmarkEnd w:id="217"/>
      <w:bookmarkEnd w:id="218"/>
      <w:bookmarkEnd w:id="219"/>
      <w:r w:rsidRPr="00DD1B58">
        <w:rPr>
          <w:bCs/>
          <w:lang w:val="en-US"/>
        </w:rPr>
        <w:t xml:space="preserve">NNB GenCo’s </w:t>
      </w:r>
      <w:r w:rsidR="00CE56AC" w:rsidRPr="00DD1B58">
        <w:rPr>
          <w:lang w:val="en-US"/>
        </w:rPr>
        <w:t>f</w:t>
      </w:r>
      <w:r w:rsidR="0038033D" w:rsidRPr="00DD1B58">
        <w:rPr>
          <w:lang w:val="en-US"/>
        </w:rPr>
        <w:t xml:space="preserve">ire </w:t>
      </w:r>
      <w:r w:rsidR="00CE56AC" w:rsidRPr="00DD1B58">
        <w:rPr>
          <w:lang w:val="en-US"/>
        </w:rPr>
        <w:t>d</w:t>
      </w:r>
      <w:r w:rsidR="0038033D" w:rsidRPr="00DD1B58">
        <w:rPr>
          <w:lang w:val="en-US"/>
        </w:rPr>
        <w:t xml:space="preserve">etection </w:t>
      </w:r>
      <w:r w:rsidR="00CE56AC" w:rsidRPr="00DD1B58">
        <w:rPr>
          <w:lang w:val="en-US"/>
        </w:rPr>
        <w:t>m</w:t>
      </w:r>
      <w:r w:rsidR="0038033D" w:rsidRPr="00DD1B58">
        <w:rPr>
          <w:lang w:val="en-US"/>
        </w:rPr>
        <w:t xml:space="preserve">easures – Special </w:t>
      </w:r>
      <w:r w:rsidR="00CE56AC" w:rsidRPr="00DD1B58">
        <w:rPr>
          <w:lang w:val="en-US"/>
        </w:rPr>
        <w:t>r</w:t>
      </w:r>
      <w:r w:rsidR="0038033D" w:rsidRPr="00DD1B58">
        <w:rPr>
          <w:lang w:val="en-US"/>
        </w:rPr>
        <w:t>isks</w:t>
      </w:r>
      <w:bookmarkEnd w:id="220"/>
    </w:p>
    <w:tbl>
      <w:tblPr>
        <w:tblStyle w:val="TableGrid"/>
        <w:tblW w:w="9747" w:type="dxa"/>
        <w:tblInd w:w="-5" w:type="dxa"/>
        <w:tblLayout w:type="fixed"/>
        <w:tblLook w:val="06A0" w:firstRow="1" w:lastRow="0" w:firstColumn="1" w:lastColumn="0" w:noHBand="1" w:noVBand="1"/>
      </w:tblPr>
      <w:tblGrid>
        <w:gridCol w:w="2694"/>
        <w:gridCol w:w="7053"/>
      </w:tblGrid>
      <w:tr w:rsidR="0038033D" w:rsidRPr="00DD1B58" w14:paraId="41B2D57F" w14:textId="77777777">
        <w:trPr>
          <w:trHeight w:val="300"/>
        </w:trPr>
        <w:tc>
          <w:tcPr>
            <w:tcW w:w="2694" w:type="dxa"/>
          </w:tcPr>
          <w:p w14:paraId="4ED33693" w14:textId="77777777" w:rsidR="0038033D" w:rsidRPr="00DD1B58" w:rsidRDefault="0038033D" w:rsidP="00386EED">
            <w:pPr>
              <w:rPr>
                <w:b/>
                <w:sz w:val="22"/>
                <w:lang w:val="en-US"/>
              </w:rPr>
            </w:pPr>
            <w:r w:rsidRPr="00DD1B58">
              <w:rPr>
                <w:b/>
                <w:sz w:val="22"/>
                <w:lang w:val="en-US"/>
              </w:rPr>
              <w:t>Item</w:t>
            </w:r>
          </w:p>
        </w:tc>
        <w:tc>
          <w:tcPr>
            <w:tcW w:w="7053" w:type="dxa"/>
          </w:tcPr>
          <w:p w14:paraId="17E184DD" w14:textId="77777777" w:rsidR="0038033D" w:rsidRPr="00DD1B58" w:rsidRDefault="0038033D" w:rsidP="00386EED">
            <w:pPr>
              <w:rPr>
                <w:b/>
                <w:sz w:val="22"/>
                <w:lang w:val="en-US"/>
              </w:rPr>
            </w:pPr>
            <w:r w:rsidRPr="00DD1B58">
              <w:rPr>
                <w:b/>
                <w:sz w:val="22"/>
                <w:lang w:val="en-US"/>
              </w:rPr>
              <w:t>Detection</w:t>
            </w:r>
          </w:p>
        </w:tc>
      </w:tr>
      <w:tr w:rsidR="0038033D" w:rsidRPr="00DD1B58" w14:paraId="217E3AFE" w14:textId="77777777">
        <w:trPr>
          <w:trHeight w:val="300"/>
        </w:trPr>
        <w:tc>
          <w:tcPr>
            <w:tcW w:w="2694" w:type="dxa"/>
          </w:tcPr>
          <w:p w14:paraId="04B5405B" w14:textId="77777777" w:rsidR="0038033D" w:rsidRPr="00DD1B58" w:rsidRDefault="0038033D" w:rsidP="00386EED">
            <w:pPr>
              <w:rPr>
                <w:sz w:val="22"/>
                <w:lang w:val="en-US"/>
              </w:rPr>
            </w:pPr>
            <w:r w:rsidRPr="00DD1B58">
              <w:rPr>
                <w:sz w:val="22"/>
                <w:lang w:val="en-US"/>
              </w:rPr>
              <w:t>Oil Cooled Transformers</w:t>
            </w:r>
          </w:p>
        </w:tc>
        <w:tc>
          <w:tcPr>
            <w:tcW w:w="7053" w:type="dxa"/>
          </w:tcPr>
          <w:p w14:paraId="3872A705" w14:textId="77777777" w:rsidR="0038033D" w:rsidRPr="00DD1B58" w:rsidRDefault="0038033D" w:rsidP="00386EED">
            <w:pPr>
              <w:rPr>
                <w:sz w:val="22"/>
                <w:lang w:val="en-US"/>
              </w:rPr>
            </w:pPr>
            <w:r w:rsidRPr="00DD1B58">
              <w:rPr>
                <w:sz w:val="22"/>
                <w:lang w:val="en-US"/>
              </w:rPr>
              <w:t xml:space="preserve">Internal heat detection </w:t>
            </w:r>
          </w:p>
        </w:tc>
      </w:tr>
      <w:tr w:rsidR="0038033D" w:rsidRPr="00DD1B58" w14:paraId="704B68B9" w14:textId="77777777">
        <w:trPr>
          <w:trHeight w:val="300"/>
        </w:trPr>
        <w:tc>
          <w:tcPr>
            <w:tcW w:w="2694" w:type="dxa"/>
          </w:tcPr>
          <w:p w14:paraId="02A9E364" w14:textId="77777777" w:rsidR="0038033D" w:rsidRPr="00DD1B58" w:rsidRDefault="0038033D" w:rsidP="00386EED">
            <w:pPr>
              <w:rPr>
                <w:sz w:val="22"/>
                <w:lang w:val="en-US"/>
              </w:rPr>
            </w:pPr>
            <w:r w:rsidRPr="00DD1B58">
              <w:rPr>
                <w:sz w:val="22"/>
                <w:lang w:val="en-US"/>
              </w:rPr>
              <w:t>Diesel generators</w:t>
            </w:r>
          </w:p>
        </w:tc>
        <w:tc>
          <w:tcPr>
            <w:tcW w:w="7053" w:type="dxa"/>
          </w:tcPr>
          <w:p w14:paraId="4A8520E2" w14:textId="77777777" w:rsidR="0038033D" w:rsidRPr="00DD1B58" w:rsidRDefault="0038033D" w:rsidP="00386EED">
            <w:pPr>
              <w:rPr>
                <w:sz w:val="22"/>
                <w:lang w:val="en-US"/>
              </w:rPr>
            </w:pPr>
            <w:r w:rsidRPr="00DD1B58">
              <w:rPr>
                <w:sz w:val="22"/>
                <w:lang w:val="en-US"/>
              </w:rPr>
              <w:t>Smoke detection, flame detection</w:t>
            </w:r>
          </w:p>
        </w:tc>
      </w:tr>
      <w:tr w:rsidR="0038033D" w:rsidRPr="00DD1B58" w14:paraId="4D374508" w14:textId="77777777">
        <w:trPr>
          <w:trHeight w:val="300"/>
        </w:trPr>
        <w:tc>
          <w:tcPr>
            <w:tcW w:w="2694" w:type="dxa"/>
          </w:tcPr>
          <w:p w14:paraId="17FD8442" w14:textId="77777777" w:rsidR="0038033D" w:rsidRPr="00DD1B58" w:rsidRDefault="0038033D" w:rsidP="00386EED">
            <w:pPr>
              <w:rPr>
                <w:sz w:val="22"/>
                <w:lang w:val="en-US"/>
              </w:rPr>
            </w:pPr>
            <w:r w:rsidRPr="00DD1B58">
              <w:rPr>
                <w:sz w:val="22"/>
                <w:lang w:val="en-US"/>
              </w:rPr>
              <w:t>Diesel driven pumps</w:t>
            </w:r>
          </w:p>
        </w:tc>
        <w:tc>
          <w:tcPr>
            <w:tcW w:w="7053" w:type="dxa"/>
          </w:tcPr>
          <w:p w14:paraId="73C7A5F9" w14:textId="77777777" w:rsidR="0038033D" w:rsidRPr="00DD1B58" w:rsidRDefault="0038033D" w:rsidP="00386EED">
            <w:pPr>
              <w:rPr>
                <w:sz w:val="22"/>
                <w:lang w:val="en-US"/>
              </w:rPr>
            </w:pPr>
            <w:r w:rsidRPr="00DD1B58">
              <w:rPr>
                <w:sz w:val="22"/>
                <w:lang w:val="en-US"/>
              </w:rPr>
              <w:t>Smoke detection</w:t>
            </w:r>
          </w:p>
        </w:tc>
      </w:tr>
      <w:tr w:rsidR="0038033D" w:rsidRPr="00DD1B58" w14:paraId="2242A507" w14:textId="77777777">
        <w:trPr>
          <w:trHeight w:val="300"/>
        </w:trPr>
        <w:tc>
          <w:tcPr>
            <w:tcW w:w="2694" w:type="dxa"/>
          </w:tcPr>
          <w:p w14:paraId="5C601C3F" w14:textId="77777777" w:rsidR="0038033D" w:rsidRPr="00DD1B58" w:rsidRDefault="0038033D" w:rsidP="00386EED">
            <w:pPr>
              <w:rPr>
                <w:sz w:val="22"/>
                <w:lang w:val="en-US"/>
              </w:rPr>
            </w:pPr>
            <w:r w:rsidRPr="00DD1B58">
              <w:rPr>
                <w:sz w:val="22"/>
                <w:lang w:val="en-US"/>
              </w:rPr>
              <w:t>Turbine bearings</w:t>
            </w:r>
          </w:p>
        </w:tc>
        <w:tc>
          <w:tcPr>
            <w:tcW w:w="7053" w:type="dxa"/>
          </w:tcPr>
          <w:p w14:paraId="6E287CA5" w14:textId="77777777" w:rsidR="0038033D" w:rsidRPr="00DD1B58" w:rsidRDefault="0038033D" w:rsidP="00386EED">
            <w:pPr>
              <w:rPr>
                <w:sz w:val="22"/>
                <w:lang w:val="en-US"/>
              </w:rPr>
            </w:pPr>
            <w:r w:rsidRPr="00DD1B58">
              <w:rPr>
                <w:sz w:val="22"/>
                <w:lang w:val="en-US"/>
              </w:rPr>
              <w:t>Linear smoke detection</w:t>
            </w:r>
          </w:p>
        </w:tc>
      </w:tr>
      <w:tr w:rsidR="0038033D" w:rsidRPr="00DD1B58" w14:paraId="754AF296" w14:textId="77777777">
        <w:trPr>
          <w:trHeight w:val="531"/>
        </w:trPr>
        <w:tc>
          <w:tcPr>
            <w:tcW w:w="2694" w:type="dxa"/>
          </w:tcPr>
          <w:p w14:paraId="71C1C459" w14:textId="77777777" w:rsidR="0038033D" w:rsidRPr="00DD1B58" w:rsidRDefault="0038033D" w:rsidP="00386EED">
            <w:pPr>
              <w:rPr>
                <w:sz w:val="22"/>
                <w:lang w:val="en-US"/>
              </w:rPr>
            </w:pPr>
            <w:r w:rsidRPr="00DD1B58">
              <w:rPr>
                <w:sz w:val="22"/>
                <w:lang w:val="en-US"/>
              </w:rPr>
              <w:t>Cable spreading rooms</w:t>
            </w:r>
          </w:p>
        </w:tc>
        <w:tc>
          <w:tcPr>
            <w:tcW w:w="7053" w:type="dxa"/>
          </w:tcPr>
          <w:p w14:paraId="31967D20" w14:textId="77777777" w:rsidR="0038033D" w:rsidRPr="00DD1B58" w:rsidRDefault="0038033D" w:rsidP="00386EED">
            <w:pPr>
              <w:rPr>
                <w:sz w:val="22"/>
                <w:lang w:val="en-US"/>
              </w:rPr>
            </w:pPr>
            <w:r w:rsidRPr="00DD1B58">
              <w:rPr>
                <w:sz w:val="22"/>
                <w:lang w:val="en-US"/>
              </w:rPr>
              <w:t>Point type detection, with smoke or linear heat detection in reactor annulus to protect cable trays</w:t>
            </w:r>
          </w:p>
        </w:tc>
      </w:tr>
      <w:tr w:rsidR="0038033D" w:rsidRPr="00DD1B58" w14:paraId="02A0DD5F" w14:textId="77777777">
        <w:trPr>
          <w:trHeight w:val="300"/>
        </w:trPr>
        <w:tc>
          <w:tcPr>
            <w:tcW w:w="2694" w:type="dxa"/>
          </w:tcPr>
          <w:p w14:paraId="57496D03" w14:textId="77777777" w:rsidR="0038033D" w:rsidRPr="00DD1B58" w:rsidRDefault="0038033D" w:rsidP="00386EED">
            <w:pPr>
              <w:rPr>
                <w:sz w:val="22"/>
                <w:lang w:val="en-US"/>
              </w:rPr>
            </w:pPr>
            <w:r w:rsidRPr="00DD1B58">
              <w:rPr>
                <w:sz w:val="22"/>
                <w:lang w:val="en-US"/>
              </w:rPr>
              <w:t>Server and I&amp;C cabinet rooms</w:t>
            </w:r>
          </w:p>
        </w:tc>
        <w:tc>
          <w:tcPr>
            <w:tcW w:w="7053" w:type="dxa"/>
          </w:tcPr>
          <w:p w14:paraId="36E7E422" w14:textId="77777777" w:rsidR="0038033D" w:rsidRPr="00DD1B58" w:rsidRDefault="0038033D" w:rsidP="00386EED">
            <w:pPr>
              <w:rPr>
                <w:sz w:val="22"/>
                <w:lang w:val="en-US"/>
              </w:rPr>
            </w:pPr>
            <w:r w:rsidRPr="00DD1B58">
              <w:rPr>
                <w:sz w:val="22"/>
                <w:lang w:val="en-US"/>
              </w:rPr>
              <w:t>Point type detection to the room, ceiling voids and floor voids in accordance with BS 5839-1 and BS 6266.</w:t>
            </w:r>
          </w:p>
          <w:p w14:paraId="7927B03C" w14:textId="77777777" w:rsidR="0038033D" w:rsidRPr="00DD1B58" w:rsidRDefault="0038033D" w:rsidP="00386EED">
            <w:pPr>
              <w:rPr>
                <w:sz w:val="22"/>
                <w:lang w:val="en-US"/>
              </w:rPr>
            </w:pPr>
            <w:r w:rsidRPr="00DD1B58">
              <w:rPr>
                <w:sz w:val="22"/>
                <w:lang w:val="en-US"/>
              </w:rPr>
              <w:t>Depending on the associated risk and criticality of the equipment, aspirating detection to the airflow path upstream of any cooling unit when local cooling units are provided, or throughout the room.</w:t>
            </w:r>
          </w:p>
        </w:tc>
      </w:tr>
      <w:tr w:rsidR="0038033D" w:rsidRPr="00DD1B58" w14:paraId="595AD58E" w14:textId="77777777">
        <w:trPr>
          <w:trHeight w:val="300"/>
        </w:trPr>
        <w:tc>
          <w:tcPr>
            <w:tcW w:w="2694" w:type="dxa"/>
          </w:tcPr>
          <w:p w14:paraId="70592474" w14:textId="77777777" w:rsidR="0038033D" w:rsidRPr="00DD1B58" w:rsidRDefault="0038033D" w:rsidP="00386EED">
            <w:pPr>
              <w:rPr>
                <w:sz w:val="22"/>
                <w:lang w:val="en-US"/>
              </w:rPr>
            </w:pPr>
            <w:r w:rsidRPr="00DD1B58">
              <w:rPr>
                <w:sz w:val="22"/>
                <w:lang w:val="en-US"/>
              </w:rPr>
              <w:t>Cable galleries</w:t>
            </w:r>
          </w:p>
        </w:tc>
        <w:tc>
          <w:tcPr>
            <w:tcW w:w="7053" w:type="dxa"/>
          </w:tcPr>
          <w:p w14:paraId="26D87706" w14:textId="77777777" w:rsidR="0038033D" w:rsidRPr="00DD1B58" w:rsidRDefault="0038033D" w:rsidP="00386EED">
            <w:pPr>
              <w:rPr>
                <w:sz w:val="22"/>
                <w:lang w:val="en-US"/>
              </w:rPr>
            </w:pPr>
            <w:r w:rsidRPr="00DD1B58">
              <w:rPr>
                <w:sz w:val="22"/>
                <w:lang w:val="en-US"/>
              </w:rPr>
              <w:t>Smoke detection</w:t>
            </w:r>
          </w:p>
        </w:tc>
      </w:tr>
      <w:tr w:rsidR="0038033D" w:rsidRPr="00DD1B58" w14:paraId="59226550" w14:textId="77777777">
        <w:trPr>
          <w:trHeight w:val="300"/>
        </w:trPr>
        <w:tc>
          <w:tcPr>
            <w:tcW w:w="2694" w:type="dxa"/>
          </w:tcPr>
          <w:p w14:paraId="0CBF8128" w14:textId="77777777" w:rsidR="0038033D" w:rsidRPr="00DD1B58" w:rsidRDefault="0038033D" w:rsidP="00386EED">
            <w:pPr>
              <w:rPr>
                <w:sz w:val="22"/>
                <w:lang w:val="en-US"/>
              </w:rPr>
            </w:pPr>
            <w:r w:rsidRPr="00DD1B58">
              <w:rPr>
                <w:sz w:val="22"/>
                <w:lang w:val="en-US"/>
              </w:rPr>
              <w:t>Electrical switchrooms</w:t>
            </w:r>
          </w:p>
        </w:tc>
        <w:tc>
          <w:tcPr>
            <w:tcW w:w="7053" w:type="dxa"/>
          </w:tcPr>
          <w:p w14:paraId="29CA8378" w14:textId="6F085303" w:rsidR="0038033D" w:rsidRPr="00DD1B58" w:rsidRDefault="0038033D" w:rsidP="00386EED">
            <w:pPr>
              <w:rPr>
                <w:sz w:val="22"/>
                <w:lang w:val="en-US"/>
              </w:rPr>
            </w:pPr>
            <w:r w:rsidRPr="00DD1B58">
              <w:rPr>
                <w:sz w:val="22"/>
                <w:lang w:val="en-US"/>
              </w:rPr>
              <w:t>Smoke detection and</w:t>
            </w:r>
            <w:r w:rsidR="007C3F42" w:rsidRPr="00DD1B58">
              <w:rPr>
                <w:sz w:val="22"/>
                <w:lang w:val="en-US"/>
              </w:rPr>
              <w:t>/</w:t>
            </w:r>
            <w:r w:rsidRPr="00DD1B58">
              <w:rPr>
                <w:sz w:val="22"/>
                <w:lang w:val="en-US"/>
              </w:rPr>
              <w:t>or aspirating detection</w:t>
            </w:r>
          </w:p>
        </w:tc>
      </w:tr>
      <w:tr w:rsidR="0038033D" w:rsidRPr="00DD1B58" w14:paraId="52BB4E81" w14:textId="77777777">
        <w:trPr>
          <w:trHeight w:val="300"/>
        </w:trPr>
        <w:tc>
          <w:tcPr>
            <w:tcW w:w="2694" w:type="dxa"/>
          </w:tcPr>
          <w:p w14:paraId="17959C49" w14:textId="77777777" w:rsidR="0038033D" w:rsidRPr="00DD1B58" w:rsidRDefault="0038033D" w:rsidP="00386EED">
            <w:pPr>
              <w:rPr>
                <w:sz w:val="22"/>
                <w:lang w:val="en-US"/>
              </w:rPr>
            </w:pPr>
            <w:r w:rsidRPr="00DD1B58">
              <w:rPr>
                <w:sz w:val="22"/>
                <w:lang w:val="en-US"/>
              </w:rPr>
              <w:t>Combustible and flammable liquid storage</w:t>
            </w:r>
          </w:p>
        </w:tc>
        <w:tc>
          <w:tcPr>
            <w:tcW w:w="7053" w:type="dxa"/>
          </w:tcPr>
          <w:p w14:paraId="61995769" w14:textId="2D658550" w:rsidR="0038033D" w:rsidRPr="00DD1B58" w:rsidRDefault="0038033D" w:rsidP="00386EED">
            <w:pPr>
              <w:rPr>
                <w:sz w:val="22"/>
                <w:lang w:val="en-US"/>
              </w:rPr>
            </w:pPr>
            <w:r w:rsidRPr="00DD1B58">
              <w:rPr>
                <w:sz w:val="22"/>
                <w:lang w:val="en-US"/>
              </w:rPr>
              <w:t>Detection measures will be based on the combustible</w:t>
            </w:r>
            <w:r w:rsidR="007C3F42" w:rsidRPr="00DD1B58">
              <w:rPr>
                <w:sz w:val="22"/>
                <w:lang w:val="en-US"/>
              </w:rPr>
              <w:t>/</w:t>
            </w:r>
            <w:r w:rsidRPr="00DD1B58">
              <w:rPr>
                <w:sz w:val="22"/>
                <w:lang w:val="en-US"/>
              </w:rPr>
              <w:t>flammable liquid stored and fire hazard analysis to determine the appropriate fire detection. Examples of appropriate detection types: Smoke detection, flame detection</w:t>
            </w:r>
          </w:p>
        </w:tc>
      </w:tr>
      <w:tr w:rsidR="0038033D" w:rsidRPr="00DD1B58" w14:paraId="7541807C" w14:textId="77777777">
        <w:trPr>
          <w:trHeight w:val="300"/>
        </w:trPr>
        <w:tc>
          <w:tcPr>
            <w:tcW w:w="2694" w:type="dxa"/>
          </w:tcPr>
          <w:p w14:paraId="76BF9243" w14:textId="77777777" w:rsidR="0038033D" w:rsidRPr="00DD1B58" w:rsidRDefault="0038033D" w:rsidP="00386EED">
            <w:pPr>
              <w:rPr>
                <w:sz w:val="22"/>
                <w:lang w:val="en-US"/>
              </w:rPr>
            </w:pPr>
            <w:r w:rsidRPr="00DD1B58">
              <w:rPr>
                <w:sz w:val="22"/>
                <w:lang w:val="en-US"/>
              </w:rPr>
              <w:t>Charcoal filters</w:t>
            </w:r>
          </w:p>
        </w:tc>
        <w:tc>
          <w:tcPr>
            <w:tcW w:w="7053" w:type="dxa"/>
          </w:tcPr>
          <w:p w14:paraId="2E5B07A8" w14:textId="77777777" w:rsidR="0038033D" w:rsidRPr="00DD1B58" w:rsidRDefault="0038033D" w:rsidP="00386EED">
            <w:pPr>
              <w:rPr>
                <w:sz w:val="22"/>
                <w:lang w:val="en-US"/>
              </w:rPr>
            </w:pPr>
            <w:r w:rsidRPr="00DD1B58">
              <w:rPr>
                <w:sz w:val="22"/>
                <w:lang w:val="en-US"/>
              </w:rPr>
              <w:t>Thermal sensors</w:t>
            </w:r>
          </w:p>
        </w:tc>
      </w:tr>
      <w:tr w:rsidR="0038033D" w:rsidRPr="00DD1B58" w14:paraId="0C155DBC" w14:textId="77777777">
        <w:trPr>
          <w:trHeight w:val="300"/>
        </w:trPr>
        <w:tc>
          <w:tcPr>
            <w:tcW w:w="2694" w:type="dxa"/>
          </w:tcPr>
          <w:p w14:paraId="6CEB07AF" w14:textId="77777777" w:rsidR="0038033D" w:rsidRPr="00DD1B58" w:rsidRDefault="0038033D" w:rsidP="00386EED">
            <w:pPr>
              <w:rPr>
                <w:sz w:val="22"/>
                <w:lang w:val="en-US"/>
              </w:rPr>
            </w:pPr>
            <w:r w:rsidRPr="00DD1B58">
              <w:rPr>
                <w:sz w:val="22"/>
                <w:lang w:val="en-US"/>
              </w:rPr>
              <w:t>Outside areas with a hydrogen risk</w:t>
            </w:r>
          </w:p>
        </w:tc>
        <w:tc>
          <w:tcPr>
            <w:tcW w:w="7053" w:type="dxa"/>
          </w:tcPr>
          <w:p w14:paraId="0F92C17C" w14:textId="77777777" w:rsidR="0038033D" w:rsidRPr="00DD1B58" w:rsidRDefault="0038033D" w:rsidP="00386EED">
            <w:pPr>
              <w:rPr>
                <w:sz w:val="22"/>
                <w:lang w:val="en-US"/>
              </w:rPr>
            </w:pPr>
            <w:r w:rsidRPr="00DD1B58">
              <w:rPr>
                <w:sz w:val="22"/>
                <w:lang w:val="en-US"/>
              </w:rPr>
              <w:t>Hydrogen flame detection, IR detection</w:t>
            </w:r>
          </w:p>
        </w:tc>
      </w:tr>
      <w:tr w:rsidR="0038033D" w:rsidRPr="00DD1B58" w14:paraId="685A5221" w14:textId="77777777">
        <w:trPr>
          <w:trHeight w:val="300"/>
        </w:trPr>
        <w:tc>
          <w:tcPr>
            <w:tcW w:w="2694" w:type="dxa"/>
          </w:tcPr>
          <w:p w14:paraId="2AB9A4CE" w14:textId="77777777" w:rsidR="0038033D" w:rsidRPr="00DD1B58" w:rsidRDefault="0038033D" w:rsidP="00386EED">
            <w:pPr>
              <w:rPr>
                <w:sz w:val="22"/>
                <w:lang w:val="en-US"/>
              </w:rPr>
            </w:pPr>
            <w:r w:rsidRPr="00DD1B58">
              <w:rPr>
                <w:sz w:val="22"/>
                <w:lang w:val="en-US"/>
              </w:rPr>
              <w:t>Internal areas with a hydrogen risk</w:t>
            </w:r>
          </w:p>
        </w:tc>
        <w:tc>
          <w:tcPr>
            <w:tcW w:w="7053" w:type="dxa"/>
          </w:tcPr>
          <w:p w14:paraId="2EF42C75" w14:textId="77777777" w:rsidR="0038033D" w:rsidRPr="00DD1B58" w:rsidRDefault="0038033D" w:rsidP="00386EED">
            <w:pPr>
              <w:rPr>
                <w:sz w:val="22"/>
                <w:lang w:val="en-US"/>
              </w:rPr>
            </w:pPr>
            <w:r w:rsidRPr="00DD1B58">
              <w:rPr>
                <w:sz w:val="22"/>
                <w:lang w:val="en-US"/>
              </w:rPr>
              <w:t>Point type detection, IR detection, Hydrogen leak detection</w:t>
            </w:r>
          </w:p>
        </w:tc>
      </w:tr>
    </w:tbl>
    <w:p w14:paraId="6C0D9CB8" w14:textId="77777777" w:rsidR="0038033D" w:rsidRPr="00DD1B58" w:rsidRDefault="0038033D" w:rsidP="50AE0A86">
      <w:pPr>
        <w:pStyle w:val="Bulletlist1"/>
        <w:numPr>
          <w:ilvl w:val="0"/>
          <w:numId w:val="0"/>
        </w:numPr>
        <w:rPr>
          <w:lang w:val="en-US"/>
        </w:rPr>
      </w:pPr>
    </w:p>
    <w:p w14:paraId="61422BCA" w14:textId="77777777" w:rsidR="0038033D" w:rsidRPr="00DD1B58" w:rsidRDefault="0038033D">
      <w:pPr>
        <w:spacing w:after="0" w:line="240" w:lineRule="auto"/>
        <w:rPr>
          <w:noProof/>
          <w:lang w:val="en-US"/>
        </w:rPr>
      </w:pPr>
      <w:r w:rsidRPr="00DD1B58">
        <w:rPr>
          <w:lang w:val="en-US"/>
        </w:rPr>
        <w:br w:type="page"/>
      </w:r>
    </w:p>
    <w:p w14:paraId="4296C26B" w14:textId="3FA7B2AA" w:rsidR="1F6B463D" w:rsidRPr="00DD1B58" w:rsidRDefault="008558D8" w:rsidP="006A4814">
      <w:pPr>
        <w:pStyle w:val="Heading3A"/>
        <w:rPr>
          <w:bCs/>
          <w:lang w:val="en-US"/>
        </w:rPr>
      </w:pPr>
      <w:bookmarkStart w:id="221" w:name="_Toc147090668"/>
      <w:r w:rsidRPr="00DD1B58">
        <w:rPr>
          <w:bCs/>
          <w:lang w:val="en-US"/>
        </w:rPr>
        <w:t xml:space="preserve">NNB GenCo’s </w:t>
      </w:r>
      <w:r w:rsidR="00CE56AC" w:rsidRPr="00DD1B58">
        <w:rPr>
          <w:bCs/>
          <w:lang w:val="en-US"/>
        </w:rPr>
        <w:t>l</w:t>
      </w:r>
      <w:r w:rsidR="48ECF39B" w:rsidRPr="00DD1B58">
        <w:rPr>
          <w:bCs/>
          <w:lang w:val="en-US"/>
        </w:rPr>
        <w:t xml:space="preserve">ist of </w:t>
      </w:r>
      <w:r w:rsidR="00CE56AC" w:rsidRPr="00DD1B58">
        <w:rPr>
          <w:bCs/>
          <w:lang w:val="en-US"/>
        </w:rPr>
        <w:t>r</w:t>
      </w:r>
      <w:r w:rsidR="48ECF39B" w:rsidRPr="00DD1B58">
        <w:rPr>
          <w:bCs/>
          <w:lang w:val="en-US"/>
        </w:rPr>
        <w:t xml:space="preserve">egulations, </w:t>
      </w:r>
      <w:r w:rsidR="00CE56AC" w:rsidRPr="00DD1B58">
        <w:rPr>
          <w:bCs/>
          <w:lang w:val="en-US"/>
        </w:rPr>
        <w:t>c</w:t>
      </w:r>
      <w:r w:rsidR="48ECF39B" w:rsidRPr="00DD1B58">
        <w:rPr>
          <w:bCs/>
          <w:lang w:val="en-US"/>
        </w:rPr>
        <w:t xml:space="preserve">odes and </w:t>
      </w:r>
      <w:r w:rsidR="00CE56AC" w:rsidRPr="00DD1B58">
        <w:rPr>
          <w:bCs/>
          <w:lang w:val="en-US"/>
        </w:rPr>
        <w:t>s</w:t>
      </w:r>
      <w:r w:rsidR="48ECF39B" w:rsidRPr="00DD1B58">
        <w:rPr>
          <w:bCs/>
          <w:lang w:val="en-US"/>
        </w:rPr>
        <w:t>tandards</w:t>
      </w:r>
      <w:bookmarkEnd w:id="221"/>
    </w:p>
    <w:p w14:paraId="2CAD5B23" w14:textId="686CD4A5" w:rsidR="00AB62B2" w:rsidRPr="00DD1B58" w:rsidRDefault="00AB62B2" w:rsidP="00AB62B2">
      <w:pPr>
        <w:pStyle w:val="ListParagraph"/>
        <w:ind w:left="0"/>
        <w:rPr>
          <w:lang w:val="en-US"/>
        </w:rPr>
      </w:pPr>
      <w:r w:rsidRPr="00DD1B58">
        <w:rPr>
          <w:szCs w:val="24"/>
          <w:lang w:val="en-US"/>
        </w:rPr>
        <w:t xml:space="preserve">The list of regulations, codes and standards is from the most recent issue of the HPC Fire Strategy document </w:t>
      </w:r>
      <w:sdt>
        <w:sdtPr>
          <w:rPr>
            <w:szCs w:val="24"/>
            <w:lang w:val="en-US"/>
          </w:rPr>
          <w:id w:val="1232431025"/>
          <w:citation/>
        </w:sdtPr>
        <w:sdtContent>
          <w:r w:rsidR="00732CDF" w:rsidRPr="00DD1B58">
            <w:rPr>
              <w:szCs w:val="24"/>
              <w:lang w:val="en-US"/>
            </w:rPr>
            <w:fldChar w:fldCharType="begin"/>
          </w:r>
          <w:r w:rsidR="00732CDF" w:rsidRPr="00DD1B58">
            <w:rPr>
              <w:szCs w:val="24"/>
              <w:lang w:val="en-US"/>
            </w:rPr>
            <w:instrText xml:space="preserve"> CITATION NNB21 \l 2057 </w:instrText>
          </w:r>
          <w:r w:rsidR="00732CDF" w:rsidRPr="00DD1B58">
            <w:rPr>
              <w:szCs w:val="24"/>
              <w:lang w:val="en-US"/>
            </w:rPr>
            <w:fldChar w:fldCharType="separate"/>
          </w:r>
          <w:r w:rsidR="00DF47DA" w:rsidRPr="00DF47DA">
            <w:rPr>
              <w:noProof/>
              <w:szCs w:val="24"/>
              <w:lang w:val="en-US"/>
            </w:rPr>
            <w:t>[130]</w:t>
          </w:r>
          <w:r w:rsidR="00732CDF" w:rsidRPr="00DD1B58">
            <w:rPr>
              <w:szCs w:val="24"/>
              <w:lang w:val="en-US"/>
            </w:rPr>
            <w:fldChar w:fldCharType="end"/>
          </w:r>
        </w:sdtContent>
      </w:sdt>
      <w:r w:rsidRPr="00DD1B58">
        <w:rPr>
          <w:szCs w:val="24"/>
          <w:lang w:val="en-US"/>
        </w:rPr>
        <w:t>, which was approved in 2021</w:t>
      </w:r>
      <w:r w:rsidR="000D4B6D" w:rsidRPr="00DD1B58">
        <w:rPr>
          <w:szCs w:val="24"/>
          <w:lang w:val="en-US"/>
        </w:rPr>
        <w:t>. NB</w:t>
      </w:r>
      <w:r w:rsidRPr="00DD1B58">
        <w:rPr>
          <w:szCs w:val="24"/>
          <w:lang w:val="en-US"/>
        </w:rPr>
        <w:t xml:space="preserve"> some of the documents listed below have been updated since the HPC Fire Strategy was published</w:t>
      </w:r>
      <w:r w:rsidR="000D4B6D" w:rsidRPr="00DD1B58">
        <w:rPr>
          <w:szCs w:val="24"/>
          <w:lang w:val="en-US"/>
        </w:rPr>
        <w:t xml:space="preserve"> and</w:t>
      </w:r>
      <w:r w:rsidRPr="00DD1B58">
        <w:rPr>
          <w:szCs w:val="24"/>
          <w:lang w:val="en-US"/>
        </w:rPr>
        <w:t xml:space="preserve"> </w:t>
      </w:r>
      <w:r w:rsidR="000D4B6D" w:rsidRPr="00DD1B58">
        <w:rPr>
          <w:szCs w:val="24"/>
          <w:lang w:val="en-US"/>
        </w:rPr>
        <w:t xml:space="preserve">NNB GenCo </w:t>
      </w:r>
      <w:r w:rsidRPr="00DD1B58">
        <w:rPr>
          <w:szCs w:val="24"/>
          <w:lang w:val="en-US"/>
        </w:rPr>
        <w:t>will capture relevant updates</w:t>
      </w:r>
      <w:r w:rsidR="000D4B6D" w:rsidRPr="00DD1B58">
        <w:rPr>
          <w:szCs w:val="24"/>
          <w:lang w:val="en-US"/>
        </w:rPr>
        <w:t xml:space="preserve"> in the next revision of the HPC Fire Strategy.</w:t>
      </w:r>
    </w:p>
    <w:tbl>
      <w:tblPr>
        <w:tblStyle w:val="TableGrid"/>
        <w:tblW w:w="0" w:type="auto"/>
        <w:tblInd w:w="-5" w:type="dxa"/>
        <w:tblLook w:val="04A0" w:firstRow="1" w:lastRow="0" w:firstColumn="1" w:lastColumn="0" w:noHBand="0" w:noVBand="1"/>
      </w:tblPr>
      <w:tblGrid>
        <w:gridCol w:w="897"/>
        <w:gridCol w:w="8745"/>
      </w:tblGrid>
      <w:tr w:rsidR="00982158" w:rsidRPr="00DD1B58" w14:paraId="50B88E89" w14:textId="77777777" w:rsidTr="00982158">
        <w:trPr>
          <w:cantSplit/>
          <w:tblHeader/>
        </w:trPr>
        <w:tc>
          <w:tcPr>
            <w:tcW w:w="888" w:type="dxa"/>
            <w:tcBorders>
              <w:top w:val="single" w:sz="4" w:space="0" w:color="auto"/>
              <w:left w:val="single" w:sz="4" w:space="0" w:color="auto"/>
              <w:bottom w:val="single" w:sz="4" w:space="0" w:color="auto"/>
              <w:right w:val="single" w:sz="4" w:space="0" w:color="auto"/>
            </w:tcBorders>
            <w:vAlign w:val="center"/>
            <w:hideMark/>
          </w:tcPr>
          <w:p w14:paraId="15680612" w14:textId="77777777" w:rsidR="00982158" w:rsidRPr="00DD1B58" w:rsidRDefault="00982158">
            <w:pPr>
              <w:pStyle w:val="NNBTableHeader"/>
              <w:jc w:val="left"/>
              <w:rPr>
                <w:lang w:val="en-US"/>
              </w:rPr>
            </w:pPr>
            <w:r w:rsidRPr="00DD1B58">
              <w:rPr>
                <w:lang w:val="en-US"/>
              </w:rPr>
              <w:t>Number</w:t>
            </w:r>
          </w:p>
        </w:tc>
        <w:tc>
          <w:tcPr>
            <w:tcW w:w="8745" w:type="dxa"/>
            <w:tcBorders>
              <w:top w:val="single" w:sz="4" w:space="0" w:color="auto"/>
              <w:left w:val="single" w:sz="4" w:space="0" w:color="auto"/>
              <w:bottom w:val="single" w:sz="4" w:space="0" w:color="auto"/>
              <w:right w:val="single" w:sz="4" w:space="0" w:color="auto"/>
            </w:tcBorders>
            <w:vAlign w:val="center"/>
            <w:hideMark/>
          </w:tcPr>
          <w:p w14:paraId="52BDA6E5" w14:textId="77777777" w:rsidR="00982158" w:rsidRPr="00DD1B58" w:rsidRDefault="00982158">
            <w:pPr>
              <w:pStyle w:val="NNBTableHeader"/>
              <w:rPr>
                <w:lang w:val="en-US"/>
              </w:rPr>
            </w:pPr>
            <w:r w:rsidRPr="00DD1B58">
              <w:rPr>
                <w:lang w:val="en-US"/>
              </w:rPr>
              <w:t>Standard</w:t>
            </w:r>
          </w:p>
        </w:tc>
      </w:tr>
      <w:tr w:rsidR="00982158" w:rsidRPr="00DD1B58" w14:paraId="5C7BC2F3"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5340F476"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DEF32C6" w14:textId="77777777" w:rsidR="00982158" w:rsidRPr="00DD1B58" w:rsidRDefault="00982158">
            <w:pPr>
              <w:pStyle w:val="NNBTableBodyText"/>
              <w:jc w:val="left"/>
              <w:rPr>
                <w:lang w:val="en-US"/>
              </w:rPr>
            </w:pPr>
            <w:r w:rsidRPr="00DD1B58">
              <w:rPr>
                <w:lang w:val="en-US"/>
              </w:rPr>
              <w:t xml:space="preserve">Building and Buildings, England and Wales, The Building Regulations 2010. No. 2214. Statutory Instruments. 2010. </w:t>
            </w:r>
          </w:p>
        </w:tc>
      </w:tr>
      <w:tr w:rsidR="00982158" w:rsidRPr="00DD1B58" w14:paraId="1BDF3040"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2F2C935"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71DC36F" w14:textId="77777777" w:rsidR="00982158" w:rsidRPr="00DD1B58" w:rsidRDefault="00982158">
            <w:pPr>
              <w:pStyle w:val="NNBTableBodyText"/>
              <w:jc w:val="left"/>
              <w:rPr>
                <w:lang w:val="en-US"/>
              </w:rPr>
            </w:pPr>
            <w:r w:rsidRPr="00DD1B58">
              <w:rPr>
                <w:lang w:val="en-US"/>
              </w:rPr>
              <w:t xml:space="preserve">Health and Safety at Work etc. Act 1974. </w:t>
            </w:r>
          </w:p>
        </w:tc>
      </w:tr>
      <w:tr w:rsidR="00982158" w:rsidRPr="00DD1B58" w14:paraId="5D36ACE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5C4AC032"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ABC19CD" w14:textId="77777777" w:rsidR="00982158" w:rsidRPr="00DD1B58" w:rsidRDefault="00982158">
            <w:pPr>
              <w:pStyle w:val="NNBTableBodyText"/>
              <w:jc w:val="left"/>
              <w:rPr>
                <w:lang w:val="en-US"/>
              </w:rPr>
            </w:pPr>
            <w:r w:rsidRPr="00DD1B58">
              <w:rPr>
                <w:lang w:val="en-US"/>
              </w:rPr>
              <w:t xml:space="preserve">The Regulatory Reform (Fire Safety) Order 2005. No. 1541. Statutory Instruments. 2005. </w:t>
            </w:r>
          </w:p>
        </w:tc>
      </w:tr>
      <w:tr w:rsidR="00982158" w:rsidRPr="00DD1B58" w14:paraId="79407F5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595100A"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295007D" w14:textId="77777777" w:rsidR="00982158" w:rsidRPr="00DD1B58" w:rsidRDefault="00982158">
            <w:pPr>
              <w:pStyle w:val="NNBTableBodyText"/>
              <w:jc w:val="left"/>
              <w:rPr>
                <w:lang w:val="en-US"/>
              </w:rPr>
            </w:pPr>
            <w:r w:rsidRPr="00DD1B58">
              <w:rPr>
                <w:lang w:val="en-US"/>
              </w:rPr>
              <w:t xml:space="preserve">The Health and Safety (Safety Signs and Signals) Regulations 1996. Statutory Instruments. 1996. </w:t>
            </w:r>
          </w:p>
        </w:tc>
      </w:tr>
      <w:tr w:rsidR="00982158" w:rsidRPr="00DD1B58" w14:paraId="69C46A62"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A632FB0"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A293434" w14:textId="77777777" w:rsidR="00982158" w:rsidRPr="00DD1B58" w:rsidRDefault="00982158">
            <w:pPr>
              <w:pStyle w:val="NNBTableBodyText"/>
              <w:jc w:val="left"/>
              <w:rPr>
                <w:lang w:val="en-US"/>
              </w:rPr>
            </w:pPr>
            <w:r w:rsidRPr="00DD1B58">
              <w:rPr>
                <w:lang w:val="en-US"/>
              </w:rPr>
              <w:t xml:space="preserve">European Mutual Association for Nuclear Insurance Loss Control Standards. EMANI. 2009. </w:t>
            </w:r>
          </w:p>
        </w:tc>
      </w:tr>
      <w:tr w:rsidR="00982158" w:rsidRPr="00DD1B58" w14:paraId="303C1D22"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F3213F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F3570FB" w14:textId="77777777" w:rsidR="00982158" w:rsidRPr="00DD1B58" w:rsidRDefault="00982158">
            <w:pPr>
              <w:pStyle w:val="NNBTableBodyText"/>
              <w:jc w:val="left"/>
              <w:rPr>
                <w:highlight w:val="yellow"/>
                <w:lang w:val="en-US"/>
              </w:rPr>
            </w:pPr>
            <w:r w:rsidRPr="00DD1B58">
              <w:rPr>
                <w:lang w:val="en-US"/>
              </w:rPr>
              <w:t>Approved Document B. Volume 2 – Buildings other than Dwellings HM Government. 2006 incorporating 2013 amendments.</w:t>
            </w:r>
          </w:p>
        </w:tc>
      </w:tr>
      <w:tr w:rsidR="00982158" w:rsidRPr="00DD1B58" w14:paraId="046F53F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D3673ED"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D0A0504" w14:textId="77777777" w:rsidR="00982158" w:rsidRPr="00DD1B58" w:rsidRDefault="00982158">
            <w:pPr>
              <w:pStyle w:val="NNBTableBodyText"/>
              <w:jc w:val="left"/>
              <w:rPr>
                <w:highlight w:val="yellow"/>
                <w:lang w:val="en-US"/>
              </w:rPr>
            </w:pPr>
            <w:r w:rsidRPr="00DD1B58">
              <w:rPr>
                <w:lang w:val="en-US"/>
              </w:rPr>
              <w:t xml:space="preserve">Approved Document M. Access to and use of buildings. HM Government. 2004 edition incorporating 2010 and 2013 amendments. </w:t>
            </w:r>
          </w:p>
        </w:tc>
      </w:tr>
      <w:tr w:rsidR="00982158" w:rsidRPr="00DD1B58" w14:paraId="58D2A371"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DF487E4"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90DFDE8" w14:textId="77777777" w:rsidR="00982158" w:rsidRPr="00DD1B58" w:rsidRDefault="00982158">
            <w:pPr>
              <w:pStyle w:val="NNBTableBodyText"/>
              <w:jc w:val="left"/>
              <w:rPr>
                <w:lang w:val="en-US"/>
              </w:rPr>
            </w:pPr>
            <w:r w:rsidRPr="00DD1B58">
              <w:rPr>
                <w:lang w:val="en-US"/>
              </w:rPr>
              <w:t xml:space="preserve">International Guidelines for the Fire Protection of Nuclear Power Plants. Nuclear Pools Forum. 4th Edition. 2006. </w:t>
            </w:r>
          </w:p>
        </w:tc>
      </w:tr>
      <w:tr w:rsidR="00982158" w:rsidRPr="00DD1B58" w14:paraId="3D1583D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3D5110D"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FFBE1E2" w14:textId="77777777" w:rsidR="00982158" w:rsidRPr="00DD1B58" w:rsidRDefault="00982158">
            <w:pPr>
              <w:pStyle w:val="NNBTableBodyText"/>
              <w:jc w:val="left"/>
              <w:rPr>
                <w:lang w:val="en-US"/>
              </w:rPr>
            </w:pPr>
            <w:r w:rsidRPr="00DD1B58">
              <w:rPr>
                <w:lang w:val="en-US"/>
              </w:rPr>
              <w:t xml:space="preserve">Construction (Design and Management) Regulations 2015. Statutory Instruments. ISBN 978 0 7176 6626 32015. </w:t>
            </w:r>
          </w:p>
        </w:tc>
      </w:tr>
      <w:tr w:rsidR="00982158" w:rsidRPr="00DD1B58" w14:paraId="09EA24A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D70197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08E9B56" w14:textId="77777777" w:rsidR="00982158" w:rsidRPr="00DD1B58" w:rsidRDefault="00982158">
            <w:pPr>
              <w:pStyle w:val="NNBTableBodyText"/>
              <w:jc w:val="left"/>
              <w:rPr>
                <w:lang w:val="en-US"/>
              </w:rPr>
            </w:pPr>
            <w:r w:rsidRPr="00DD1B58">
              <w:rPr>
                <w:lang w:val="en-US"/>
              </w:rPr>
              <w:t xml:space="preserve">BS 476-22 1987: Fire tests on building materials and structures — Part 22: Methods for determination of the fire resistance of non-loadbearing elements of construction. British Standards Institute. 1987. </w:t>
            </w:r>
          </w:p>
        </w:tc>
      </w:tr>
      <w:tr w:rsidR="00982158" w:rsidRPr="00DD1B58" w14:paraId="0C45A29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68D28E1"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0663680" w14:textId="4A582DA5" w:rsidR="00982158" w:rsidRPr="00DD1B58" w:rsidRDefault="00982158">
            <w:pPr>
              <w:pStyle w:val="NNBTableBodyText"/>
              <w:jc w:val="left"/>
              <w:rPr>
                <w:highlight w:val="yellow"/>
                <w:lang w:val="en-US"/>
              </w:rPr>
            </w:pPr>
            <w:r w:rsidRPr="00DD1B58">
              <w:rPr>
                <w:lang w:val="en-US"/>
              </w:rPr>
              <w:t xml:space="preserve">BS 8519: Selection and installation of fire-resistant power and control cable systems for life safety and </w:t>
            </w:r>
            <w:r w:rsidR="004F5760" w:rsidRPr="00DD1B58">
              <w:rPr>
                <w:lang w:val="en-US"/>
              </w:rPr>
              <w:t>firefight</w:t>
            </w:r>
            <w:r w:rsidRPr="00DD1B58">
              <w:rPr>
                <w:lang w:val="en-US"/>
              </w:rPr>
              <w:t>ing applications – Code of practice. British Standards Institute. 2010</w:t>
            </w:r>
          </w:p>
        </w:tc>
      </w:tr>
      <w:tr w:rsidR="00982158" w:rsidRPr="00DD1B58" w14:paraId="064AC92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67B6FB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87AB3A7" w14:textId="77777777" w:rsidR="00982158" w:rsidRPr="00DD1B58" w:rsidRDefault="00982158">
            <w:pPr>
              <w:pStyle w:val="NNBTableBodyText"/>
              <w:jc w:val="left"/>
              <w:rPr>
                <w:lang w:val="en-US"/>
              </w:rPr>
            </w:pPr>
            <w:r w:rsidRPr="00DD1B58">
              <w:rPr>
                <w:lang w:val="en-US"/>
              </w:rPr>
              <w:t xml:space="preserve">BS 9999: 2008 Code of Practice for fire safety in the design, management, and use of buildings. British Standards Institute. 2008. </w:t>
            </w:r>
          </w:p>
        </w:tc>
      </w:tr>
      <w:tr w:rsidR="00982158" w:rsidRPr="00DD1B58" w14:paraId="2AEC6F0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E140C46"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227C639" w14:textId="77777777" w:rsidR="00982158" w:rsidRPr="00DD1B58" w:rsidRDefault="00982158">
            <w:pPr>
              <w:pStyle w:val="NNBTableBodyText"/>
              <w:jc w:val="left"/>
              <w:rPr>
                <w:lang w:val="en-US"/>
              </w:rPr>
            </w:pPr>
            <w:r w:rsidRPr="00DD1B58">
              <w:rPr>
                <w:lang w:val="en-US"/>
              </w:rPr>
              <w:t xml:space="preserve">BS 9999: 2017 Fire safety in the design, management, and use of buildings – Code of practice. British Standard Institute. 2017 </w:t>
            </w:r>
          </w:p>
        </w:tc>
      </w:tr>
      <w:tr w:rsidR="00982158" w:rsidRPr="00DD1B58" w14:paraId="4BF34563"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B6BE563"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54BE740" w14:textId="77777777" w:rsidR="00982158" w:rsidRPr="00DD1B58" w:rsidRDefault="00982158">
            <w:pPr>
              <w:pStyle w:val="NNBTableBodyText"/>
              <w:jc w:val="left"/>
              <w:rPr>
                <w:highlight w:val="yellow"/>
                <w:lang w:val="en-US"/>
              </w:rPr>
            </w:pPr>
            <w:r w:rsidRPr="00DD1B58">
              <w:rPr>
                <w:lang w:val="en-US"/>
              </w:rPr>
              <w:t>BS 5839-1:2013 Fire detection and fire alarm systems for buildings – Part 1: Code of practice for design, installation, commissioning, and maintenance of systems in non-domestic premises. British Standards Institute. 2013</w:t>
            </w:r>
          </w:p>
        </w:tc>
      </w:tr>
      <w:tr w:rsidR="00982158" w:rsidRPr="00DD1B58" w14:paraId="0582129D"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EB9B736"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5B68110" w14:textId="77777777" w:rsidR="00982158" w:rsidRPr="00DD1B58" w:rsidRDefault="00982158">
            <w:pPr>
              <w:pStyle w:val="NNBTableBodyText"/>
              <w:jc w:val="left"/>
              <w:rPr>
                <w:lang w:val="en-US"/>
              </w:rPr>
            </w:pPr>
            <w:r w:rsidRPr="00DD1B58">
              <w:rPr>
                <w:lang w:val="en-US"/>
              </w:rPr>
              <w:t xml:space="preserve">BS 5839-8:2013 Fire detection and fire alarm systems for buildings – Part 8: Code of practice for the design, installation, commissioning, and maintenance of voice alarm systems. British Standards Institute. 2013. </w:t>
            </w:r>
          </w:p>
        </w:tc>
      </w:tr>
      <w:tr w:rsidR="00982158" w:rsidRPr="00DD1B58" w14:paraId="4FCD47B1"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A10D5AB"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2E1E9A6" w14:textId="77777777" w:rsidR="00982158" w:rsidRPr="00DD1B58" w:rsidRDefault="00982158">
            <w:pPr>
              <w:pStyle w:val="NNBTableBodyText"/>
              <w:jc w:val="left"/>
              <w:rPr>
                <w:highlight w:val="yellow"/>
                <w:lang w:val="en-US"/>
              </w:rPr>
            </w:pPr>
            <w:r w:rsidRPr="00DD1B58">
              <w:rPr>
                <w:lang w:val="en-US"/>
              </w:rPr>
              <w:t>BS 5839-9:2011 Fire Detection and fire alarm systems for buildings – Part 9: Code of Practice for the design, installation, commissioning, and maintenance of emergency voice communication systems. British Standards Institute. 2011</w:t>
            </w:r>
          </w:p>
        </w:tc>
      </w:tr>
      <w:tr w:rsidR="00982158" w:rsidRPr="00DD1B58" w14:paraId="76B5EFDB"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1442898"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ED61A25" w14:textId="77777777" w:rsidR="00982158" w:rsidRPr="00DD1B58" w:rsidRDefault="00982158">
            <w:pPr>
              <w:pStyle w:val="NNBTableBodyText"/>
              <w:jc w:val="left"/>
              <w:rPr>
                <w:lang w:val="en-US"/>
              </w:rPr>
            </w:pPr>
            <w:r w:rsidRPr="00DD1B58">
              <w:rPr>
                <w:lang w:val="en-US"/>
              </w:rPr>
              <w:t xml:space="preserve">BS EN 10255: Non-alloy steel tubes suitable for welding and threading – Technical delivery conditions. British Standards Institute. 2004. </w:t>
            </w:r>
          </w:p>
        </w:tc>
      </w:tr>
      <w:tr w:rsidR="00982158" w:rsidRPr="00DD1B58" w14:paraId="3052BC47"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CBF8C7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B7D487E" w14:textId="77777777" w:rsidR="00982158" w:rsidRPr="00DD1B58" w:rsidRDefault="00982158">
            <w:pPr>
              <w:pStyle w:val="NNBTableBodyText"/>
              <w:jc w:val="left"/>
              <w:rPr>
                <w:highlight w:val="yellow"/>
                <w:lang w:val="en-US"/>
              </w:rPr>
            </w:pPr>
            <w:r w:rsidRPr="00DD1B58">
              <w:rPr>
                <w:lang w:val="en-US"/>
              </w:rPr>
              <w:t>BS EN 12101-6 Smoke and heat control systems – Part 6: Specification for pressure differential systems – Kits. British Standards Institute. 2005</w:t>
            </w:r>
          </w:p>
        </w:tc>
      </w:tr>
      <w:tr w:rsidR="00982158" w:rsidRPr="00DD1B58" w14:paraId="3C84DB37"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10DB39A"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5B0038C" w14:textId="77777777" w:rsidR="00982158" w:rsidRPr="00DD1B58" w:rsidRDefault="00982158">
            <w:pPr>
              <w:pStyle w:val="NNBTableBodyText"/>
              <w:jc w:val="left"/>
              <w:rPr>
                <w:lang w:val="en-US"/>
              </w:rPr>
            </w:pPr>
            <w:r w:rsidRPr="00DD1B58">
              <w:rPr>
                <w:lang w:val="en-US"/>
              </w:rPr>
              <w:t xml:space="preserve">BS EN 12101-8 Smoke and heat control systems – Part 8 Smoke Control Dampers. British Standards Institute. 2011. </w:t>
            </w:r>
          </w:p>
        </w:tc>
      </w:tr>
      <w:tr w:rsidR="00982158" w:rsidRPr="00DD1B58" w14:paraId="2FDDC17D"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FDAA026"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13EC379" w14:textId="77777777" w:rsidR="00982158" w:rsidRPr="00DD1B58" w:rsidRDefault="00982158">
            <w:pPr>
              <w:pStyle w:val="NNBTableBodyText"/>
              <w:jc w:val="left"/>
              <w:rPr>
                <w:lang w:val="en-US"/>
              </w:rPr>
            </w:pPr>
            <w:r w:rsidRPr="00DD1B58">
              <w:rPr>
                <w:lang w:val="en-US"/>
              </w:rPr>
              <w:t xml:space="preserve">BS EN 12101-10 Smoke and heat control systems – Part 10: Power Supplies. British Standards Institute. 2005. </w:t>
            </w:r>
          </w:p>
        </w:tc>
      </w:tr>
      <w:tr w:rsidR="00982158" w:rsidRPr="00DD1B58" w14:paraId="66795AB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954ABA7"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04A1E4D" w14:textId="77777777" w:rsidR="00982158" w:rsidRPr="00DD1B58" w:rsidRDefault="00982158">
            <w:pPr>
              <w:pStyle w:val="NNBTableBodyText"/>
              <w:jc w:val="left"/>
              <w:rPr>
                <w:lang w:val="en-US"/>
              </w:rPr>
            </w:pPr>
            <w:r w:rsidRPr="00DD1B58">
              <w:rPr>
                <w:lang w:val="en-US"/>
              </w:rPr>
              <w:t xml:space="preserve">BS EN 12259-2 Fixed firefighting systems – components for sprinkler and water spray systems – Part 2: Wet alarm valve assemblies. British Standards Institute. 1999. </w:t>
            </w:r>
          </w:p>
        </w:tc>
      </w:tr>
      <w:tr w:rsidR="00982158" w:rsidRPr="00DD1B58" w14:paraId="064B6462"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589B2515"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2EA6C59" w14:textId="77777777" w:rsidR="00982158" w:rsidRPr="00DD1B58" w:rsidRDefault="00982158">
            <w:pPr>
              <w:pStyle w:val="NNBTableBodyText"/>
              <w:jc w:val="left"/>
              <w:rPr>
                <w:lang w:val="en-US"/>
              </w:rPr>
            </w:pPr>
            <w:r w:rsidRPr="00DD1B58">
              <w:rPr>
                <w:lang w:val="en-US"/>
              </w:rPr>
              <w:t xml:space="preserve">BS EN 12259-3 Fixed firefighting systems – components for sprinkler and water spray systems – Part 3: Dry alarm valve assemblies. British Standards Institute. 2000. </w:t>
            </w:r>
          </w:p>
        </w:tc>
      </w:tr>
      <w:tr w:rsidR="00982158" w:rsidRPr="00DD1B58" w14:paraId="436C235F"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556B31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A21F2CB" w14:textId="77777777" w:rsidR="00982158" w:rsidRPr="00DD1B58" w:rsidRDefault="00982158">
            <w:pPr>
              <w:pStyle w:val="NNBTableBodyText"/>
              <w:jc w:val="left"/>
              <w:rPr>
                <w:highlight w:val="yellow"/>
                <w:lang w:val="en-US"/>
              </w:rPr>
            </w:pPr>
            <w:r w:rsidRPr="00DD1B58">
              <w:rPr>
                <w:lang w:val="en-US"/>
              </w:rPr>
              <w:t xml:space="preserve">BS EN 12845: 2004+A2:2009 Fixed firefighting systems – Automatic sprinkler systems – Design, installation, and maintenance. British Standards Institute. 2004. </w:t>
            </w:r>
          </w:p>
        </w:tc>
      </w:tr>
      <w:tr w:rsidR="00982158" w:rsidRPr="00DD1B58" w14:paraId="5382487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695D43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CFC3B78" w14:textId="77777777" w:rsidR="00982158" w:rsidRPr="00DD1B58" w:rsidRDefault="00982158">
            <w:pPr>
              <w:pStyle w:val="NNBTableBodyText"/>
              <w:jc w:val="left"/>
              <w:rPr>
                <w:lang w:val="en-US"/>
              </w:rPr>
            </w:pPr>
            <w:r w:rsidRPr="00DD1B58">
              <w:rPr>
                <w:lang w:val="en-US"/>
              </w:rPr>
              <w:t xml:space="preserve">BS EN 13565-2 Fixed firefighting systems – Foam systems – Part 2: Design, construction, and maintenance. British Standards Institute. 2018. </w:t>
            </w:r>
          </w:p>
        </w:tc>
      </w:tr>
      <w:tr w:rsidR="00982158" w:rsidRPr="00DD1B58" w14:paraId="0AC534B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8236103"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04D9120" w14:textId="77777777" w:rsidR="00982158" w:rsidRPr="00DD1B58" w:rsidRDefault="00982158">
            <w:pPr>
              <w:pStyle w:val="NNBTableBodyText"/>
              <w:jc w:val="left"/>
              <w:rPr>
                <w:lang w:val="en-US"/>
              </w:rPr>
            </w:pPr>
            <w:r w:rsidRPr="00DD1B58">
              <w:rPr>
                <w:lang w:val="en-US"/>
              </w:rPr>
              <w:t xml:space="preserve">BS EN 50200 Method of test for resistance of fire of unprotected small cables for use in emergency circuits. British Standards Institute. 2015. </w:t>
            </w:r>
          </w:p>
        </w:tc>
      </w:tr>
      <w:tr w:rsidR="00982158" w:rsidRPr="00DD1B58" w14:paraId="23316F6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A84443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F3AF0B7" w14:textId="77777777" w:rsidR="00982158" w:rsidRPr="00DD1B58" w:rsidRDefault="00982158">
            <w:pPr>
              <w:pStyle w:val="NNBTableBodyText"/>
              <w:jc w:val="left"/>
              <w:rPr>
                <w:lang w:val="en-US"/>
              </w:rPr>
            </w:pPr>
            <w:r w:rsidRPr="00DD1B58">
              <w:rPr>
                <w:lang w:val="en-US"/>
              </w:rPr>
              <w:t xml:space="preserve">BS EN 50362 Method of test for resistance to fire of larger unprotected power and control cables for use in emergency circuits. British Standards Institute. 2003. </w:t>
            </w:r>
          </w:p>
        </w:tc>
      </w:tr>
      <w:tr w:rsidR="00982158" w:rsidRPr="00DD1B58" w14:paraId="58BDC88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A8C855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BE4EF51" w14:textId="77777777" w:rsidR="00982158" w:rsidRPr="00DD1B58" w:rsidRDefault="00982158">
            <w:pPr>
              <w:pStyle w:val="NNBTableBodyText"/>
              <w:jc w:val="left"/>
              <w:rPr>
                <w:lang w:val="en-US"/>
              </w:rPr>
            </w:pPr>
            <w:r w:rsidRPr="00DD1B58">
              <w:rPr>
                <w:lang w:val="en-US"/>
              </w:rPr>
              <w:t xml:space="preserve">BS EN 50267-2-3 Common test methods for cables under fire conditions. Tests on gases evolved during combustion of materials from cables. Procedures. Determination of degree of acidity of gases for cables by determination of the weighted average of pH and conductivity. Determination of degree of acidity of gases for cables by determination of the weighted average of pH and conductivity. British Standards Institute. 1999. </w:t>
            </w:r>
          </w:p>
        </w:tc>
      </w:tr>
      <w:tr w:rsidR="00982158" w:rsidRPr="00DD1B58" w14:paraId="60EF280B"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3C37FB3"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E06AB86" w14:textId="77777777" w:rsidR="00982158" w:rsidRPr="00DD1B58" w:rsidRDefault="00982158">
            <w:pPr>
              <w:pStyle w:val="NNBTableBodyText"/>
              <w:jc w:val="left"/>
              <w:rPr>
                <w:lang w:val="en-US"/>
              </w:rPr>
            </w:pPr>
            <w:r w:rsidRPr="00DD1B58">
              <w:rPr>
                <w:lang w:val="en-US"/>
              </w:rPr>
              <w:t xml:space="preserve">BS EN 50575 Power control and communication cables – Cables for general applications in construction works subject to reaction to fire requirements. British Standards Institute. 2016. </w:t>
            </w:r>
          </w:p>
        </w:tc>
      </w:tr>
      <w:tr w:rsidR="00982158" w:rsidRPr="00DD1B58" w14:paraId="5BD4B8D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51E00B48"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B1DA878" w14:textId="77777777" w:rsidR="00982158" w:rsidRPr="00DD1B58" w:rsidRDefault="00982158">
            <w:pPr>
              <w:pStyle w:val="NNBTableBodyText"/>
              <w:jc w:val="left"/>
              <w:rPr>
                <w:lang w:val="en-US"/>
              </w:rPr>
            </w:pPr>
            <w:r w:rsidRPr="00DD1B58">
              <w:rPr>
                <w:lang w:val="en-US"/>
              </w:rPr>
              <w:t xml:space="preserve">BS EN 61034-2 Measurement of smoke density of cables burning under defined conditions- Part 2: Test procedure and requirements. British Standards Institute. 2005. </w:t>
            </w:r>
          </w:p>
        </w:tc>
      </w:tr>
      <w:tr w:rsidR="00982158" w:rsidRPr="00DD1B58" w14:paraId="5B5863D1"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AC4FC1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2088162" w14:textId="77777777" w:rsidR="00982158" w:rsidRPr="00DD1B58" w:rsidRDefault="00982158">
            <w:pPr>
              <w:pStyle w:val="NNBTableBodyText"/>
              <w:jc w:val="left"/>
              <w:rPr>
                <w:lang w:val="en-US"/>
              </w:rPr>
            </w:pPr>
            <w:r w:rsidRPr="00DD1B58">
              <w:rPr>
                <w:lang w:val="en-US"/>
              </w:rPr>
              <w:t>BS 5266 Emergency lighting – Part 1: Code of practice for the emergency escape lighting premises. British Standards Institute. 2011.</w:t>
            </w:r>
          </w:p>
        </w:tc>
      </w:tr>
      <w:tr w:rsidR="00982158" w:rsidRPr="00DD1B58" w14:paraId="76A38CB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8FA333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18CEE6C" w14:textId="77777777" w:rsidR="00982158" w:rsidRPr="00DD1B58" w:rsidRDefault="00982158">
            <w:pPr>
              <w:pStyle w:val="NNBTableBodyText"/>
              <w:jc w:val="left"/>
              <w:rPr>
                <w:lang w:val="en-US"/>
              </w:rPr>
            </w:pPr>
            <w:r w:rsidRPr="00DD1B58">
              <w:rPr>
                <w:lang w:val="en-US"/>
              </w:rPr>
              <w:t xml:space="preserve">BS EN 13501-1 Fire classification of construction products and building elements – Part 1: Classification using data from reaction to fire tests. British Standards Institute. 2007 + A1:2009. </w:t>
            </w:r>
          </w:p>
        </w:tc>
      </w:tr>
      <w:tr w:rsidR="00982158" w:rsidRPr="00DD1B58" w14:paraId="5B8F93F3"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B59F609"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540A1E4" w14:textId="77777777" w:rsidR="00982158" w:rsidRPr="00DD1B58" w:rsidRDefault="00982158">
            <w:pPr>
              <w:pStyle w:val="NNBTableBodyText"/>
              <w:jc w:val="left"/>
              <w:rPr>
                <w:lang w:val="en-US"/>
              </w:rPr>
            </w:pPr>
            <w:r w:rsidRPr="00DD1B58">
              <w:rPr>
                <w:lang w:val="en-US"/>
              </w:rPr>
              <w:t xml:space="preserve">BS EN 13501-6 Fire classification of construction products and building elements – Part 6: Classification using data from reaction to fire tests on power, control, and communication cables. British Standards Institute. 2018. </w:t>
            </w:r>
          </w:p>
        </w:tc>
      </w:tr>
      <w:tr w:rsidR="00982158" w:rsidRPr="00DD1B58" w14:paraId="45F5CD6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E2BAF3D"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CEE8875" w14:textId="77777777" w:rsidR="00982158" w:rsidRPr="00DD1B58" w:rsidRDefault="00982158">
            <w:pPr>
              <w:pStyle w:val="NNBTableBodyText"/>
              <w:jc w:val="left"/>
              <w:rPr>
                <w:lang w:val="en-US"/>
              </w:rPr>
            </w:pPr>
            <w:r w:rsidRPr="00DD1B58">
              <w:rPr>
                <w:lang w:val="en-US"/>
              </w:rPr>
              <w:t xml:space="preserve">BS 5306-1 Code of practice for fire extinguishing installations and equipment on premises – Part 1: Hose reels and foam inlets. British Standards; 2006. </w:t>
            </w:r>
          </w:p>
        </w:tc>
      </w:tr>
      <w:tr w:rsidR="00982158" w:rsidRPr="00DD1B58" w14:paraId="27CFC7A3"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1D63E58"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322597D" w14:textId="77777777" w:rsidR="00982158" w:rsidRPr="00DD1B58" w:rsidRDefault="00982158">
            <w:pPr>
              <w:pStyle w:val="NNBTableBodyText"/>
              <w:jc w:val="left"/>
              <w:rPr>
                <w:highlight w:val="yellow"/>
                <w:lang w:val="en-US"/>
              </w:rPr>
            </w:pPr>
            <w:r w:rsidRPr="00DD1B58">
              <w:rPr>
                <w:lang w:val="en-US"/>
              </w:rPr>
              <w:t>BS 5306-3 Fire extinguishing installation and equipment on premises – Part 3: Commissioning and maintenance of portable fire extinguishers – Code of practice. British Standards Institute. 2009</w:t>
            </w:r>
          </w:p>
        </w:tc>
      </w:tr>
      <w:tr w:rsidR="00982158" w:rsidRPr="00DD1B58" w14:paraId="69B70D9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92A7DAC"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E2417F0" w14:textId="77777777" w:rsidR="00982158" w:rsidRPr="00DD1B58" w:rsidRDefault="00982158">
            <w:pPr>
              <w:pStyle w:val="NNBTableBodyText"/>
              <w:jc w:val="left"/>
              <w:rPr>
                <w:lang w:val="en-US"/>
              </w:rPr>
            </w:pPr>
            <w:r w:rsidRPr="00DD1B58">
              <w:rPr>
                <w:lang w:val="en-US"/>
              </w:rPr>
              <w:t xml:space="preserve">BS 5306-8 Fire extinguishing installation and equipment on premises – Part 8: Selection and positioning of portable fire extinguishers – Code of practice. British Standards Institute. 2012. </w:t>
            </w:r>
          </w:p>
        </w:tc>
      </w:tr>
      <w:tr w:rsidR="00982158" w:rsidRPr="00DD1B58" w14:paraId="63E45D6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E91CEB9"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AB459C3" w14:textId="77777777" w:rsidR="00982158" w:rsidRPr="00DD1B58" w:rsidRDefault="00982158">
            <w:pPr>
              <w:pStyle w:val="NNBTableBodyText"/>
              <w:jc w:val="left"/>
              <w:rPr>
                <w:lang w:val="en-US"/>
              </w:rPr>
            </w:pPr>
            <w:r w:rsidRPr="00DD1B58">
              <w:rPr>
                <w:lang w:val="en-US"/>
              </w:rPr>
              <w:t xml:space="preserve">BS 6266 Fire protection for electronic equipment installations – Code of practice. British Standards Institute. 2011. </w:t>
            </w:r>
          </w:p>
        </w:tc>
      </w:tr>
      <w:tr w:rsidR="00982158" w:rsidRPr="00DD1B58" w14:paraId="1336463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AE0819A"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1D8BF79" w14:textId="77777777" w:rsidR="00982158" w:rsidRPr="00DD1B58" w:rsidRDefault="00982158">
            <w:pPr>
              <w:pStyle w:val="NNBTableBodyText"/>
              <w:jc w:val="left"/>
              <w:rPr>
                <w:lang w:val="en-US"/>
              </w:rPr>
            </w:pPr>
            <w:r w:rsidRPr="00DD1B58">
              <w:rPr>
                <w:lang w:val="en-US"/>
              </w:rPr>
              <w:t xml:space="preserve">BS 7176 Specification for resistance to ignition of upholstered furniture for non-domestic seating by testing composites. British Standards Institute. 2007 + A1:2011. </w:t>
            </w:r>
          </w:p>
        </w:tc>
      </w:tr>
      <w:tr w:rsidR="00982158" w:rsidRPr="00DD1B58" w14:paraId="28A9B314"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430B434"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B7DEAE8" w14:textId="77777777" w:rsidR="00982158" w:rsidRPr="00DD1B58" w:rsidRDefault="00982158">
            <w:pPr>
              <w:pStyle w:val="NNBTableBodyText"/>
              <w:jc w:val="left"/>
              <w:rPr>
                <w:lang w:val="en-US"/>
              </w:rPr>
            </w:pPr>
            <w:r w:rsidRPr="00DD1B58">
              <w:rPr>
                <w:lang w:val="en-US"/>
              </w:rPr>
              <w:t xml:space="preserve">BS 7273-3 Code of practice for the operation of fire protection measures – Part 3: Electrical actuation of pre-action watermist and sprinkler systems. British Standards Institute. 2008. </w:t>
            </w:r>
          </w:p>
        </w:tc>
      </w:tr>
      <w:tr w:rsidR="00982158" w:rsidRPr="00DD1B58" w14:paraId="568DD781"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147D638"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BF1CE8E" w14:textId="77777777" w:rsidR="00982158" w:rsidRPr="00DD1B58" w:rsidRDefault="00982158">
            <w:pPr>
              <w:pStyle w:val="NNBTableBodyText"/>
              <w:jc w:val="left"/>
              <w:rPr>
                <w:highlight w:val="yellow"/>
                <w:lang w:val="en-US"/>
              </w:rPr>
            </w:pPr>
            <w:r w:rsidRPr="00DD1B58">
              <w:rPr>
                <w:lang w:val="en-US"/>
              </w:rPr>
              <w:t>BS 7273-4 Code of practice for the operation of fire protection measures – Part 4: Actuation of release mechanisms for doors. British Standards Institute. 2007</w:t>
            </w:r>
            <w:r w:rsidRPr="00DD1B58">
              <w:rPr>
                <w:highlight w:val="magenta"/>
                <w:lang w:val="en-US"/>
              </w:rPr>
              <w:t xml:space="preserve"> </w:t>
            </w:r>
          </w:p>
        </w:tc>
      </w:tr>
      <w:tr w:rsidR="00982158" w:rsidRPr="00DD1B58" w14:paraId="7E19C25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A91595D"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51E1508" w14:textId="77777777" w:rsidR="00982158" w:rsidRPr="00DD1B58" w:rsidRDefault="00982158">
            <w:pPr>
              <w:pStyle w:val="NNBTableBodyText"/>
              <w:jc w:val="left"/>
              <w:rPr>
                <w:lang w:val="en-US"/>
              </w:rPr>
            </w:pPr>
            <w:r w:rsidRPr="00DD1B58">
              <w:rPr>
                <w:lang w:val="en-US"/>
              </w:rPr>
              <w:t xml:space="preserve">BS 7671 - Requirements for Electrical Installations. IET Wiring Regulations. British Standards Institute. 2018. </w:t>
            </w:r>
          </w:p>
        </w:tc>
      </w:tr>
      <w:tr w:rsidR="00982158" w:rsidRPr="00DD1B58" w14:paraId="0FD4DFF7"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D41C67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F68BAD9" w14:textId="77777777" w:rsidR="00982158" w:rsidRPr="00DD1B58" w:rsidRDefault="00982158">
            <w:pPr>
              <w:pStyle w:val="NNBTableBodyText"/>
              <w:jc w:val="left"/>
              <w:rPr>
                <w:lang w:val="en-US"/>
              </w:rPr>
            </w:pPr>
            <w:r w:rsidRPr="00DD1B58">
              <w:rPr>
                <w:lang w:val="en-US"/>
              </w:rPr>
              <w:t xml:space="preserve">BS 8489 – Fixed fire protection systems – Industrial and commercial watermist systems Part 1: Code of practice for design and installation. British Standards Institute. 2016. </w:t>
            </w:r>
          </w:p>
        </w:tc>
      </w:tr>
      <w:tr w:rsidR="00982158" w:rsidRPr="00DD1B58" w14:paraId="0FA671E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4A0C4F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6B2424D" w14:textId="77777777" w:rsidR="00982158" w:rsidRPr="00DD1B58" w:rsidRDefault="00982158">
            <w:pPr>
              <w:pStyle w:val="NNBTableBodyText"/>
              <w:jc w:val="left"/>
              <w:rPr>
                <w:lang w:val="en-US"/>
              </w:rPr>
            </w:pPr>
            <w:r w:rsidRPr="00DD1B58">
              <w:rPr>
                <w:lang w:val="en-US"/>
              </w:rPr>
              <w:t xml:space="preserve">BS EN 15004-1 Fixed firefighting systems – Gas extinguishing systems – Part 1: Design, installation, and maintenance. British Standards Institute. 2019. </w:t>
            </w:r>
          </w:p>
        </w:tc>
      </w:tr>
      <w:tr w:rsidR="00982158" w:rsidRPr="00DD1B58" w14:paraId="240B871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7F6C2392"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29D9FE2" w14:textId="77777777" w:rsidR="00982158" w:rsidRPr="00DD1B58" w:rsidRDefault="00982158">
            <w:pPr>
              <w:pStyle w:val="NNBTableBodyText"/>
              <w:jc w:val="left"/>
              <w:rPr>
                <w:lang w:val="en-US"/>
              </w:rPr>
            </w:pPr>
            <w:r w:rsidRPr="00DD1B58">
              <w:rPr>
                <w:lang w:val="en-US"/>
              </w:rPr>
              <w:t>BS EN 81-72 Safety rules for the construction and installation of lifts – Particular applications for passenger and goods passenger lifts – Part 72: Firefighters lifts. British Standards Institute. 2003</w:t>
            </w:r>
          </w:p>
        </w:tc>
      </w:tr>
      <w:tr w:rsidR="00982158" w:rsidRPr="00DD1B58" w14:paraId="27A7150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949EC58"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3FCE341" w14:textId="77777777" w:rsidR="00982158" w:rsidRPr="00DD1B58" w:rsidRDefault="00982158">
            <w:pPr>
              <w:pStyle w:val="NNBTableBodyText"/>
              <w:jc w:val="left"/>
              <w:rPr>
                <w:lang w:val="en-US"/>
              </w:rPr>
            </w:pPr>
            <w:r w:rsidRPr="00DD1B58">
              <w:rPr>
                <w:lang w:val="en-US"/>
              </w:rPr>
              <w:t xml:space="preserve">BS EN 81-73 Safety rules for the construction and installation of lifts – Particular applications for passenger and goods passenger lifts – Part 73: Behaviour of lifts in the event of fire. British Standards Institute. 2003. </w:t>
            </w:r>
          </w:p>
        </w:tc>
      </w:tr>
      <w:tr w:rsidR="00982158" w:rsidRPr="00DD1B58" w14:paraId="1B92B5B6"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FDF3E6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26AF055" w14:textId="77777777" w:rsidR="00982158" w:rsidRPr="00DD1B58" w:rsidRDefault="00982158">
            <w:pPr>
              <w:pStyle w:val="NNBTableBodyText"/>
              <w:jc w:val="left"/>
              <w:rPr>
                <w:highlight w:val="yellow"/>
                <w:lang w:val="en-US"/>
              </w:rPr>
            </w:pPr>
            <w:r w:rsidRPr="00DD1B58">
              <w:rPr>
                <w:lang w:val="en-US"/>
              </w:rPr>
              <w:t>BS EN ISO 14122-4 Safety of machinery – Permanent means of access to machinery – Part 4: Fixed ladders. British Standards Institute</w:t>
            </w:r>
          </w:p>
        </w:tc>
      </w:tr>
      <w:tr w:rsidR="00982158" w:rsidRPr="00DD1B58" w14:paraId="0847BF2B"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651CFD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BA08629" w14:textId="77777777" w:rsidR="00982158" w:rsidRPr="00DD1B58" w:rsidRDefault="00982158">
            <w:pPr>
              <w:pStyle w:val="NNBTableBodyText"/>
              <w:jc w:val="left"/>
              <w:rPr>
                <w:lang w:val="en-US"/>
              </w:rPr>
            </w:pPr>
            <w:r w:rsidRPr="00DD1B58">
              <w:rPr>
                <w:lang w:val="en-US"/>
              </w:rPr>
              <w:t xml:space="preserve">BS EN 50172 BS 5266-8 Emergency Escape lighting systems. British Standards Institute. 2004. </w:t>
            </w:r>
          </w:p>
        </w:tc>
      </w:tr>
      <w:tr w:rsidR="00982158" w:rsidRPr="00DD1B58" w14:paraId="4715F70B"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37D9A3B"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4929975" w14:textId="77777777" w:rsidR="00982158" w:rsidRPr="00DD1B58" w:rsidRDefault="00982158">
            <w:pPr>
              <w:pStyle w:val="NNBTableBodyText"/>
              <w:jc w:val="left"/>
              <w:rPr>
                <w:lang w:val="en-US"/>
              </w:rPr>
            </w:pPr>
            <w:r w:rsidRPr="00DD1B58">
              <w:rPr>
                <w:lang w:val="en-US"/>
              </w:rPr>
              <w:t xml:space="preserve">BS EN 50265-2-1 Common test methods for cables under fire conditions – Test for resistance to vertical flame propagation for a single insulated conductor or cable – Part 2-1 – 1 kW pre-mixed flame. British Standards Institute. 1999. </w:t>
            </w:r>
          </w:p>
        </w:tc>
      </w:tr>
      <w:tr w:rsidR="00982158" w:rsidRPr="00DD1B58" w14:paraId="532E8F82"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0B33D29"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73E1167" w14:textId="33DBEE5B" w:rsidR="00982158" w:rsidRPr="00DD1B58" w:rsidRDefault="00982158">
            <w:pPr>
              <w:pStyle w:val="NNBTableBodyText"/>
              <w:jc w:val="left"/>
              <w:rPr>
                <w:lang w:val="en-US"/>
              </w:rPr>
            </w:pPr>
            <w:r w:rsidRPr="00DD1B58">
              <w:rPr>
                <w:lang w:val="en-US"/>
              </w:rPr>
              <w:t>BS EN 60079-29-2 Explosive Atmospheres Part 29-2</w:t>
            </w:r>
            <w:r w:rsidR="005D5C50" w:rsidRPr="00DD1B58">
              <w:rPr>
                <w:lang w:val="en-US"/>
              </w:rPr>
              <w:t>/</w:t>
            </w:r>
            <w:r w:rsidRPr="00DD1B58">
              <w:rPr>
                <w:lang w:val="en-US"/>
              </w:rPr>
              <w:t xml:space="preserve">Gas detectors – Selection, installation, use and maintenance of detectors for flammable gases and oxygen. British Standards Institute. 2015. </w:t>
            </w:r>
          </w:p>
        </w:tc>
      </w:tr>
      <w:tr w:rsidR="00982158" w:rsidRPr="00DD1B58" w14:paraId="2A54AF39"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C444811"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28D85DA" w14:textId="77777777" w:rsidR="00982158" w:rsidRPr="00DD1B58" w:rsidRDefault="00982158">
            <w:pPr>
              <w:pStyle w:val="NNBTableBodyText"/>
              <w:jc w:val="left"/>
              <w:rPr>
                <w:lang w:val="en-US"/>
              </w:rPr>
            </w:pPr>
            <w:r w:rsidRPr="00DD1B58">
              <w:rPr>
                <w:lang w:val="en-US"/>
              </w:rPr>
              <w:t xml:space="preserve">BS 9990 Non-automatic firefighting systems in buildings – Code of practice. British Standards Institute.2015. </w:t>
            </w:r>
          </w:p>
        </w:tc>
      </w:tr>
      <w:tr w:rsidR="00982158" w:rsidRPr="00DD1B58" w14:paraId="1A0D28BF"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DD2EBF0"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FB1FB93" w14:textId="084FCD9D" w:rsidR="00982158" w:rsidRPr="00DD1B58" w:rsidRDefault="00982158">
            <w:pPr>
              <w:pStyle w:val="NNBTableBodyText"/>
              <w:jc w:val="left"/>
              <w:rPr>
                <w:highlight w:val="yellow"/>
                <w:lang w:val="en-US"/>
              </w:rPr>
            </w:pPr>
            <w:r w:rsidRPr="00DD1B58">
              <w:rPr>
                <w:lang w:val="en-US"/>
              </w:rPr>
              <w:t>BS 1838</w:t>
            </w:r>
            <w:r w:rsidR="007C3F42" w:rsidRPr="00DD1B58">
              <w:rPr>
                <w:lang w:val="en-US"/>
              </w:rPr>
              <w:t>/</w:t>
            </w:r>
            <w:r w:rsidRPr="00DD1B58">
              <w:rPr>
                <w:lang w:val="en-US"/>
              </w:rPr>
              <w:t>BS 5266-7 Lighting applications – Emergency Lighting. British Standards Institute. 1999</w:t>
            </w:r>
          </w:p>
        </w:tc>
      </w:tr>
      <w:tr w:rsidR="00982158" w:rsidRPr="00DD1B58" w14:paraId="6B4042E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5E0E20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F4D158B" w14:textId="77777777" w:rsidR="00982158" w:rsidRPr="00DD1B58" w:rsidRDefault="00982158">
            <w:pPr>
              <w:pStyle w:val="NNBTableBodyText"/>
              <w:jc w:val="left"/>
              <w:rPr>
                <w:highlight w:val="yellow"/>
                <w:lang w:val="en-US"/>
              </w:rPr>
            </w:pPr>
            <w:r w:rsidRPr="00DD1B58">
              <w:rPr>
                <w:lang w:val="en-US"/>
              </w:rPr>
              <w:t>BS ISO 3864-1 Graphical symbols – Safety colours and safety signs – Part 1: Design principles for safety signs and safety markings. British Standards Institute. 2002</w:t>
            </w:r>
          </w:p>
        </w:tc>
      </w:tr>
      <w:tr w:rsidR="00982158" w:rsidRPr="00DD1B58" w14:paraId="74CFF69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B533D62"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366AB8C" w14:textId="77777777" w:rsidR="00982158" w:rsidRPr="00DD1B58" w:rsidRDefault="00982158">
            <w:pPr>
              <w:pStyle w:val="NNBTableBodyText"/>
              <w:jc w:val="left"/>
              <w:rPr>
                <w:lang w:val="en-US"/>
              </w:rPr>
            </w:pPr>
            <w:r w:rsidRPr="00DD1B58">
              <w:rPr>
                <w:lang w:val="en-US"/>
              </w:rPr>
              <w:t xml:space="preserve">BS 5499-1 Graphical symbols and signs – Safety signs, including fire safety signs – Part 1: Specification for geometric shapes, colours, and layout. British Standards Institute. 2002. </w:t>
            </w:r>
          </w:p>
        </w:tc>
      </w:tr>
      <w:tr w:rsidR="00982158" w:rsidRPr="00DD1B58" w14:paraId="55CCEDE0"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93506A7"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324D2D3B" w14:textId="77777777" w:rsidR="00982158" w:rsidRPr="00DD1B58" w:rsidRDefault="00982158">
            <w:pPr>
              <w:pStyle w:val="NNBTableBodyText"/>
              <w:jc w:val="left"/>
              <w:rPr>
                <w:lang w:val="en-US"/>
              </w:rPr>
            </w:pPr>
            <w:r w:rsidRPr="00DD1B58">
              <w:rPr>
                <w:lang w:val="en-US"/>
              </w:rPr>
              <w:t xml:space="preserve">BS 5499-4 Safety signs, including Fire Safety Signs – Part 4: Code of Practice for Escape Route Signing – CORR 12082. British Standards Institute. 2000. </w:t>
            </w:r>
          </w:p>
        </w:tc>
      </w:tr>
      <w:tr w:rsidR="00982158" w:rsidRPr="00DD1B58" w14:paraId="10EC621F"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1CE821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A628746" w14:textId="77777777" w:rsidR="00982158" w:rsidRPr="00DD1B58" w:rsidRDefault="00982158">
            <w:pPr>
              <w:pStyle w:val="NNBTableBodyText"/>
              <w:jc w:val="left"/>
              <w:rPr>
                <w:highlight w:val="yellow"/>
                <w:lang w:val="en-US"/>
              </w:rPr>
            </w:pPr>
            <w:r w:rsidRPr="00DD1B58">
              <w:rPr>
                <w:lang w:val="en-US"/>
              </w:rPr>
              <w:t xml:space="preserve">NFPA 13 Standard for the Installation of Sprinkler Systems. NFPA. 2013. </w:t>
            </w:r>
          </w:p>
        </w:tc>
      </w:tr>
      <w:tr w:rsidR="00982158" w:rsidRPr="00DD1B58" w14:paraId="0BD76E8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577D02FF"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71E8D244" w14:textId="77777777" w:rsidR="00982158" w:rsidRPr="00DD1B58" w:rsidRDefault="00982158">
            <w:pPr>
              <w:pStyle w:val="NNBTableBodyText"/>
              <w:jc w:val="left"/>
              <w:rPr>
                <w:lang w:val="en-US"/>
              </w:rPr>
            </w:pPr>
            <w:r w:rsidRPr="00DD1B58">
              <w:rPr>
                <w:lang w:val="en-US"/>
              </w:rPr>
              <w:t xml:space="preserve">NFPA 15 Standard for Water Spray Fixed Systems for Fire Protection. NFPA. 2012. </w:t>
            </w:r>
          </w:p>
        </w:tc>
      </w:tr>
      <w:tr w:rsidR="00982158" w:rsidRPr="00DD1B58" w14:paraId="52FD0475"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2B89D71"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5F7CD4CF" w14:textId="77777777" w:rsidR="00982158" w:rsidRPr="00DD1B58" w:rsidRDefault="00982158">
            <w:pPr>
              <w:pStyle w:val="NNBTableBodyText"/>
              <w:jc w:val="left"/>
              <w:rPr>
                <w:lang w:val="en-US"/>
              </w:rPr>
            </w:pPr>
            <w:r w:rsidRPr="00DD1B58">
              <w:rPr>
                <w:lang w:val="en-US"/>
              </w:rPr>
              <w:t xml:space="preserve">NFPA 20 Standard for the Installation of Stationary Pumps for Fire Protection. NFPA. 2016. </w:t>
            </w:r>
          </w:p>
        </w:tc>
      </w:tr>
      <w:tr w:rsidR="00982158" w:rsidRPr="00DD1B58" w14:paraId="5EAF353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FA0CEA0"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723ACF6" w14:textId="77777777" w:rsidR="00982158" w:rsidRPr="00DD1B58" w:rsidRDefault="00982158">
            <w:pPr>
              <w:pStyle w:val="NNBTableBodyText"/>
              <w:jc w:val="left"/>
              <w:rPr>
                <w:lang w:val="en-US"/>
              </w:rPr>
            </w:pPr>
            <w:r w:rsidRPr="00DD1B58">
              <w:rPr>
                <w:lang w:val="en-US"/>
              </w:rPr>
              <w:t>NFPA 24 Standard for the Installation of Private Fire Service Mains and Their Appurtenances. NFPA 2013.</w:t>
            </w:r>
          </w:p>
        </w:tc>
      </w:tr>
      <w:tr w:rsidR="00982158" w:rsidRPr="00DD1B58" w14:paraId="1956191D"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299E670"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52A0D88" w14:textId="77777777" w:rsidR="00982158" w:rsidRPr="00DD1B58" w:rsidRDefault="00982158">
            <w:pPr>
              <w:pStyle w:val="NNBTableBodyText"/>
              <w:jc w:val="left"/>
              <w:rPr>
                <w:lang w:val="en-US"/>
              </w:rPr>
            </w:pPr>
            <w:r w:rsidRPr="00DD1B58">
              <w:rPr>
                <w:lang w:val="en-US"/>
              </w:rPr>
              <w:t>NFPA 72 National Fire Alarm and Signalling Code. NFPA 2019.</w:t>
            </w:r>
          </w:p>
        </w:tc>
      </w:tr>
      <w:tr w:rsidR="00982158" w:rsidRPr="00DD1B58" w14:paraId="54B45906"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170E3DF0"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86ACFD8" w14:textId="77777777" w:rsidR="00982158" w:rsidRPr="00DD1B58" w:rsidRDefault="00982158">
            <w:pPr>
              <w:pStyle w:val="NNBTableBodyText"/>
              <w:jc w:val="left"/>
              <w:rPr>
                <w:lang w:val="en-US"/>
              </w:rPr>
            </w:pPr>
            <w:r w:rsidRPr="00DD1B58">
              <w:rPr>
                <w:lang w:val="en-US"/>
              </w:rPr>
              <w:t xml:space="preserve">NFPA 804 Standard for Fire Protection for Advanced Light Water Reactor Electric Generating Plants. NFPA. 2010. </w:t>
            </w:r>
          </w:p>
        </w:tc>
      </w:tr>
      <w:tr w:rsidR="00982158" w:rsidRPr="00DD1B58" w14:paraId="72E99AAA"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5C826E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A8A3395" w14:textId="77777777" w:rsidR="00982158" w:rsidRPr="00DD1B58" w:rsidRDefault="00982158">
            <w:pPr>
              <w:pStyle w:val="NNBTableBodyText"/>
              <w:jc w:val="left"/>
              <w:rPr>
                <w:highlight w:val="magenta"/>
                <w:lang w:val="en-US"/>
              </w:rPr>
            </w:pPr>
            <w:r w:rsidRPr="00DD1B58">
              <w:rPr>
                <w:lang w:val="en-US"/>
              </w:rPr>
              <w:t>Protection against Internal Fires and Explosions in the Design of Nuclear Power Plants. No. NS-G-1.7. IAEA. 2004. Now superseded by IAEA SSG-64</w:t>
            </w:r>
          </w:p>
        </w:tc>
      </w:tr>
      <w:tr w:rsidR="00982158" w:rsidRPr="00DD1B58" w14:paraId="6CE86D24"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6DF6D2A"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46B8C0B" w14:textId="788FAFC3" w:rsidR="00982158" w:rsidRPr="00DD1B58" w:rsidRDefault="00982158">
            <w:pPr>
              <w:pStyle w:val="NNBTableBodyText"/>
              <w:jc w:val="left"/>
              <w:rPr>
                <w:lang w:val="en-US"/>
              </w:rPr>
            </w:pPr>
            <w:r w:rsidRPr="00DD1B58">
              <w:rPr>
                <w:lang w:val="en-US"/>
              </w:rPr>
              <w:t>PD ISO</w:t>
            </w:r>
            <w:r w:rsidR="007C3F42" w:rsidRPr="00DD1B58">
              <w:rPr>
                <w:lang w:val="en-US"/>
              </w:rPr>
              <w:t>/</w:t>
            </w:r>
            <w:r w:rsidRPr="00DD1B58">
              <w:rPr>
                <w:lang w:val="en-US"/>
              </w:rPr>
              <w:t xml:space="preserve">TR 26368 Environmental damage limitation from firefighting water run-off. British Standards Institute. 2012. </w:t>
            </w:r>
          </w:p>
        </w:tc>
      </w:tr>
      <w:tr w:rsidR="00982158" w:rsidRPr="00DD1B58" w14:paraId="31B7757E"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BAFF48B"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184532B8" w14:textId="77777777" w:rsidR="00982158" w:rsidRPr="00DD1B58" w:rsidRDefault="00982158">
            <w:pPr>
              <w:pStyle w:val="NNBTableBodyText"/>
              <w:jc w:val="left"/>
              <w:rPr>
                <w:highlight w:val="yellow"/>
                <w:lang w:val="en-US"/>
              </w:rPr>
            </w:pPr>
            <w:r w:rsidRPr="00DD1B58">
              <w:rPr>
                <w:lang w:val="en-US"/>
              </w:rPr>
              <w:t>External fire spread: building separation and boundary distances. BR 187. Building Research Establishment. 1991</w:t>
            </w:r>
          </w:p>
        </w:tc>
      </w:tr>
      <w:tr w:rsidR="00982158" w:rsidRPr="00DD1B58" w14:paraId="6DAA1B31"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66232289"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CF0D1B6" w14:textId="77777777" w:rsidR="00982158" w:rsidRPr="00DD1B58" w:rsidRDefault="00982158">
            <w:pPr>
              <w:pStyle w:val="NNBTableBodyText"/>
              <w:jc w:val="left"/>
              <w:rPr>
                <w:lang w:val="en-US"/>
              </w:rPr>
            </w:pPr>
            <w:r w:rsidRPr="00DD1B58">
              <w:rPr>
                <w:lang w:val="en-US"/>
              </w:rPr>
              <w:t xml:space="preserve">NF C 32070 Classification tests on conductors and cables with regard to fire behaviour. 2001. </w:t>
            </w:r>
          </w:p>
        </w:tc>
      </w:tr>
      <w:tr w:rsidR="00982158" w:rsidRPr="00DD1B58" w14:paraId="5F7AB4A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31E20C2E"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47FA1169" w14:textId="77777777" w:rsidR="00982158" w:rsidRPr="00DD1B58" w:rsidRDefault="00982158">
            <w:pPr>
              <w:pStyle w:val="NNBTableBodyText"/>
              <w:jc w:val="left"/>
              <w:rPr>
                <w:lang w:val="en-US"/>
              </w:rPr>
            </w:pPr>
            <w:r w:rsidRPr="00DD1B58">
              <w:rPr>
                <w:lang w:val="en-US"/>
              </w:rPr>
              <w:t xml:space="preserve">RCC-E 2012 Design and Construction Rules for Electrical Equipment of Nuclear Island. AFCEN </w:t>
            </w:r>
          </w:p>
        </w:tc>
      </w:tr>
      <w:tr w:rsidR="00982158" w:rsidRPr="00DD1B58" w14:paraId="2BAC13C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17207ED"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0EA6AF9F" w14:textId="77777777" w:rsidR="00982158" w:rsidRPr="00DD1B58" w:rsidRDefault="00982158">
            <w:pPr>
              <w:pStyle w:val="NNBTableBodyText"/>
              <w:jc w:val="left"/>
              <w:rPr>
                <w:lang w:val="en-US"/>
              </w:rPr>
            </w:pPr>
            <w:r w:rsidRPr="00DD1B58">
              <w:rPr>
                <w:lang w:val="en-US"/>
              </w:rPr>
              <w:t xml:space="preserve">The Dangerous Substances and Explosive Atmospheres Regulations 2002. No. 2776. Statutory Instruments. 2002. </w:t>
            </w:r>
          </w:p>
        </w:tc>
      </w:tr>
      <w:tr w:rsidR="00982158" w:rsidRPr="00DD1B58" w14:paraId="24E5F393"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03803E76"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69E8D951" w14:textId="77777777" w:rsidR="00982158" w:rsidRPr="00DD1B58" w:rsidRDefault="00982158">
            <w:pPr>
              <w:pStyle w:val="NNBTableBodyText"/>
              <w:jc w:val="left"/>
              <w:rPr>
                <w:lang w:val="en-US"/>
              </w:rPr>
            </w:pPr>
            <w:r w:rsidRPr="00DD1B58">
              <w:rPr>
                <w:lang w:val="en-US"/>
              </w:rPr>
              <w:t xml:space="preserve">The Application of DSEAR (for ATEX risk) for UK EPR Design &amp; Modification. UKX-UK1421-U0-ALL-GUI-200149. EDVANCE. Revision D, BPE. </w:t>
            </w:r>
          </w:p>
        </w:tc>
      </w:tr>
      <w:tr w:rsidR="00982158" w:rsidRPr="00DD1B58" w14:paraId="5BD9841C"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24BE02DB"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88044BB" w14:textId="77777777" w:rsidR="00982158" w:rsidRPr="00DD1B58" w:rsidRDefault="00982158">
            <w:pPr>
              <w:pStyle w:val="NNBTableBodyText"/>
              <w:jc w:val="left"/>
              <w:rPr>
                <w:lang w:val="en-US"/>
              </w:rPr>
            </w:pPr>
            <w:r w:rsidRPr="00DD1B58">
              <w:rPr>
                <w:lang w:val="en-US"/>
              </w:rPr>
              <w:t xml:space="preserve">Code of Practice Dangerous Substances and Explosive Atmospheres. BEG/SPEC/SHE/COP/014 NNB GenCo. Revision 005. </w:t>
            </w:r>
          </w:p>
        </w:tc>
      </w:tr>
      <w:tr w:rsidR="00982158" w:rsidRPr="00DD1B58" w14:paraId="7FC45416" w14:textId="77777777" w:rsidTr="00982158">
        <w:trPr>
          <w:cantSplit/>
        </w:trPr>
        <w:tc>
          <w:tcPr>
            <w:tcW w:w="888" w:type="dxa"/>
            <w:tcBorders>
              <w:top w:val="single" w:sz="4" w:space="0" w:color="auto"/>
              <w:left w:val="single" w:sz="4" w:space="0" w:color="auto"/>
              <w:bottom w:val="single" w:sz="4" w:space="0" w:color="auto"/>
              <w:right w:val="single" w:sz="4" w:space="0" w:color="auto"/>
            </w:tcBorders>
            <w:vAlign w:val="center"/>
          </w:tcPr>
          <w:p w14:paraId="42AE1FA1" w14:textId="77777777" w:rsidR="00982158" w:rsidRPr="00DD1B58" w:rsidRDefault="00982158" w:rsidP="00982158">
            <w:pPr>
              <w:pStyle w:val="NNBTableHeader"/>
              <w:numPr>
                <w:ilvl w:val="0"/>
                <w:numId w:val="38"/>
              </w:numPr>
              <w:ind w:left="0" w:firstLine="0"/>
              <w:jc w:val="left"/>
              <w:rPr>
                <w:lang w:val="en-US"/>
              </w:rPr>
            </w:pPr>
          </w:p>
        </w:tc>
        <w:tc>
          <w:tcPr>
            <w:tcW w:w="8745" w:type="dxa"/>
            <w:tcBorders>
              <w:top w:val="single" w:sz="4" w:space="0" w:color="auto"/>
              <w:left w:val="single" w:sz="4" w:space="0" w:color="auto"/>
              <w:bottom w:val="single" w:sz="4" w:space="0" w:color="auto"/>
              <w:right w:val="single" w:sz="4" w:space="0" w:color="auto"/>
            </w:tcBorders>
            <w:vAlign w:val="center"/>
            <w:hideMark/>
          </w:tcPr>
          <w:p w14:paraId="2D004E30" w14:textId="77777777" w:rsidR="00982158" w:rsidRPr="00DD1B58" w:rsidRDefault="00982158">
            <w:pPr>
              <w:pStyle w:val="NNBTableBodyText"/>
              <w:jc w:val="left"/>
              <w:rPr>
                <w:lang w:val="en-US"/>
              </w:rPr>
            </w:pPr>
            <w:r w:rsidRPr="00DD1B58">
              <w:rPr>
                <w:lang w:val="en-US"/>
              </w:rPr>
              <w:t>Control of Major Accident Hazards Regulations 2015. No. 483. Statutory Instruments. 2015.</w:t>
            </w:r>
          </w:p>
        </w:tc>
      </w:tr>
    </w:tbl>
    <w:p w14:paraId="29DAC93A" w14:textId="77777777" w:rsidR="00982158" w:rsidRPr="00DD1B58" w:rsidRDefault="00982158" w:rsidP="00982158">
      <w:pPr>
        <w:pStyle w:val="EndnoteText"/>
        <w:rPr>
          <w:lang w:val="en-US"/>
        </w:rPr>
      </w:pPr>
    </w:p>
    <w:p w14:paraId="49668C03" w14:textId="1959AF65" w:rsidR="00032728" w:rsidRPr="00DD1B58" w:rsidRDefault="00032728">
      <w:pPr>
        <w:spacing w:after="0" w:line="240" w:lineRule="auto"/>
        <w:rPr>
          <w:lang w:val="en-US"/>
        </w:rPr>
      </w:pPr>
      <w:r w:rsidRPr="00DD1B58">
        <w:rPr>
          <w:lang w:val="en-US"/>
        </w:rPr>
        <w:br w:type="page"/>
      </w:r>
    </w:p>
    <w:p w14:paraId="3384668A" w14:textId="0CC64B7E" w:rsidR="00032728" w:rsidRPr="00DD1B58" w:rsidRDefault="00CD65A3" w:rsidP="00032728">
      <w:pPr>
        <w:pStyle w:val="Heading3A"/>
        <w:rPr>
          <w:bCs/>
          <w:lang w:val="en-US"/>
        </w:rPr>
      </w:pPr>
      <w:bookmarkStart w:id="222" w:name="_Toc147090669"/>
      <w:r w:rsidRPr="00DD1B58">
        <w:rPr>
          <w:bCs/>
          <w:lang w:val="en-US"/>
        </w:rPr>
        <w:t>Abbreviations</w:t>
      </w:r>
      <w:bookmarkEnd w:id="222"/>
    </w:p>
    <w:tbl>
      <w:tblPr>
        <w:tblW w:w="937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7"/>
        <w:gridCol w:w="7848"/>
      </w:tblGrid>
      <w:tr w:rsidR="00DD712B" w:rsidRPr="00DD1B58" w14:paraId="336A21F4" w14:textId="77777777" w:rsidTr="00600359">
        <w:trPr>
          <w:trHeight w:val="315"/>
          <w:tblHeader/>
        </w:trPr>
        <w:tc>
          <w:tcPr>
            <w:tcW w:w="1527" w:type="dxa"/>
            <w:tcBorders>
              <w:top w:val="nil"/>
              <w:left w:val="nil"/>
              <w:bottom w:val="nil"/>
              <w:right w:val="single" w:sz="6" w:space="0" w:color="22413A"/>
            </w:tcBorders>
            <w:shd w:val="clear" w:color="auto" w:fill="D4EFE5"/>
            <w:hideMark/>
          </w:tcPr>
          <w:p w14:paraId="33B7BC7F" w14:textId="77777777" w:rsidR="00DD712B" w:rsidRPr="00DD1B58" w:rsidRDefault="00DD712B" w:rsidP="00DD712B">
            <w:pPr>
              <w:spacing w:after="0" w:line="240" w:lineRule="auto"/>
              <w:textAlignment w:val="baseline"/>
              <w:rPr>
                <w:rFonts w:ascii="Segoe UI" w:eastAsia="Times New Roman" w:hAnsi="Segoe UI" w:cs="Segoe UI"/>
                <w:b/>
                <w:bCs/>
                <w:sz w:val="18"/>
                <w:szCs w:val="18"/>
                <w:lang w:val="en-US" w:eastAsia="en-GB" w:bidi="ar-SA"/>
              </w:rPr>
            </w:pPr>
            <w:r w:rsidRPr="00DD1B58">
              <w:rPr>
                <w:rFonts w:eastAsia="Times New Roman"/>
                <w:b/>
                <w:bCs/>
                <w:color w:val="000000"/>
                <w:szCs w:val="24"/>
                <w:lang w:val="en-US" w:eastAsia="en-GB" w:bidi="ar-SA"/>
              </w:rPr>
              <w:t>Acronym </w:t>
            </w:r>
          </w:p>
        </w:tc>
        <w:tc>
          <w:tcPr>
            <w:tcW w:w="7848" w:type="dxa"/>
            <w:tcBorders>
              <w:top w:val="nil"/>
              <w:left w:val="single" w:sz="6" w:space="0" w:color="22413A"/>
              <w:bottom w:val="nil"/>
              <w:right w:val="nil"/>
            </w:tcBorders>
            <w:shd w:val="clear" w:color="auto" w:fill="D4EFE5"/>
            <w:hideMark/>
          </w:tcPr>
          <w:p w14:paraId="2AC71B2C" w14:textId="77777777" w:rsidR="00DD712B" w:rsidRPr="00DD1B58" w:rsidRDefault="00DD712B" w:rsidP="00DD712B">
            <w:pPr>
              <w:spacing w:after="0" w:line="240" w:lineRule="auto"/>
              <w:textAlignment w:val="baseline"/>
              <w:rPr>
                <w:rFonts w:ascii="Segoe UI" w:eastAsia="Times New Roman" w:hAnsi="Segoe UI" w:cs="Segoe UI"/>
                <w:b/>
                <w:bCs/>
                <w:sz w:val="18"/>
                <w:szCs w:val="18"/>
                <w:lang w:val="en-US" w:eastAsia="en-GB" w:bidi="ar-SA"/>
              </w:rPr>
            </w:pPr>
            <w:r w:rsidRPr="00DD1B58">
              <w:rPr>
                <w:rFonts w:eastAsia="Times New Roman"/>
                <w:b/>
                <w:bCs/>
                <w:color w:val="000000"/>
                <w:szCs w:val="24"/>
                <w:lang w:val="en-US" w:eastAsia="en-GB" w:bidi="ar-SA"/>
              </w:rPr>
              <w:t>Meaning </w:t>
            </w:r>
          </w:p>
        </w:tc>
      </w:tr>
      <w:tr w:rsidR="00DD712B" w:rsidRPr="00DD1B58" w14:paraId="5CFD442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9A5659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ADB </w:t>
            </w:r>
          </w:p>
        </w:tc>
        <w:tc>
          <w:tcPr>
            <w:tcW w:w="7848" w:type="dxa"/>
            <w:tcBorders>
              <w:top w:val="single" w:sz="6" w:space="0" w:color="22413A"/>
              <w:left w:val="single" w:sz="6" w:space="0" w:color="22413A"/>
              <w:bottom w:val="single" w:sz="6" w:space="0" w:color="22413A"/>
              <w:right w:val="nil"/>
            </w:tcBorders>
            <w:shd w:val="clear" w:color="auto" w:fill="auto"/>
            <w:hideMark/>
          </w:tcPr>
          <w:p w14:paraId="2937CE9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(Building Regulations) Approved Document B  </w:t>
            </w:r>
          </w:p>
        </w:tc>
      </w:tr>
      <w:tr w:rsidR="00DD712B" w:rsidRPr="00DD1B58" w14:paraId="42188D5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2D83E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AECP </w:t>
            </w:r>
          </w:p>
        </w:tc>
        <w:tc>
          <w:tcPr>
            <w:tcW w:w="7848" w:type="dxa"/>
            <w:tcBorders>
              <w:top w:val="single" w:sz="6" w:space="0" w:color="22413A"/>
              <w:left w:val="single" w:sz="6" w:space="0" w:color="22413A"/>
              <w:bottom w:val="single" w:sz="6" w:space="0" w:color="22413A"/>
              <w:right w:val="nil"/>
            </w:tcBorders>
            <w:shd w:val="clear" w:color="auto" w:fill="auto"/>
            <w:hideMark/>
          </w:tcPr>
          <w:p w14:paraId="1C2B3EE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Atomic Energy Code of Practice </w:t>
            </w:r>
          </w:p>
        </w:tc>
      </w:tr>
      <w:tr w:rsidR="00DD712B" w:rsidRPr="00DD1B58" w14:paraId="12A9D03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F40F2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AESS </w:t>
            </w:r>
          </w:p>
        </w:tc>
        <w:tc>
          <w:tcPr>
            <w:tcW w:w="7848" w:type="dxa"/>
            <w:tcBorders>
              <w:top w:val="single" w:sz="6" w:space="0" w:color="22413A"/>
              <w:left w:val="single" w:sz="6" w:space="0" w:color="22413A"/>
              <w:bottom w:val="single" w:sz="6" w:space="0" w:color="22413A"/>
              <w:right w:val="nil"/>
            </w:tcBorders>
            <w:shd w:val="clear" w:color="auto" w:fill="auto"/>
            <w:hideMark/>
          </w:tcPr>
          <w:p w14:paraId="27F5903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Atomic Energy Standard Specifications </w:t>
            </w:r>
          </w:p>
        </w:tc>
      </w:tr>
      <w:tr w:rsidR="00DD712B" w:rsidRPr="00DD1B58" w14:paraId="2EA5888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7A69A9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AFCEN </w:t>
            </w:r>
          </w:p>
        </w:tc>
        <w:tc>
          <w:tcPr>
            <w:tcW w:w="7848" w:type="dxa"/>
            <w:tcBorders>
              <w:top w:val="single" w:sz="6" w:space="0" w:color="22413A"/>
              <w:left w:val="single" w:sz="6" w:space="0" w:color="22413A"/>
              <w:bottom w:val="single" w:sz="6" w:space="0" w:color="22413A"/>
              <w:right w:val="nil"/>
            </w:tcBorders>
            <w:shd w:val="clear" w:color="auto" w:fill="auto"/>
            <w:hideMark/>
          </w:tcPr>
          <w:p w14:paraId="6D8551F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French Association for Design, Construction and Surveillance Rules of Nuclear Power </w:t>
            </w:r>
          </w:p>
        </w:tc>
      </w:tr>
      <w:tr w:rsidR="00DD712B" w:rsidRPr="00DD1B58" w14:paraId="0837BD2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F72A3B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AFFF </w:t>
            </w:r>
          </w:p>
        </w:tc>
        <w:tc>
          <w:tcPr>
            <w:tcW w:w="7848" w:type="dxa"/>
            <w:tcBorders>
              <w:top w:val="single" w:sz="6" w:space="0" w:color="22413A"/>
              <w:left w:val="single" w:sz="6" w:space="0" w:color="22413A"/>
              <w:bottom w:val="single" w:sz="6" w:space="0" w:color="22413A"/>
              <w:right w:val="nil"/>
            </w:tcBorders>
            <w:shd w:val="clear" w:color="auto" w:fill="auto"/>
            <w:hideMark/>
          </w:tcPr>
          <w:p w14:paraId="0C00729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Aqueous Film Forming Foam  </w:t>
            </w:r>
          </w:p>
        </w:tc>
      </w:tr>
      <w:tr w:rsidR="00DD712B" w:rsidRPr="00DD1B58" w14:paraId="78F7235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D61506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AFI </w:t>
            </w:r>
          </w:p>
        </w:tc>
        <w:tc>
          <w:tcPr>
            <w:tcW w:w="7848" w:type="dxa"/>
            <w:tcBorders>
              <w:top w:val="single" w:sz="6" w:space="0" w:color="22413A"/>
              <w:left w:val="single" w:sz="6" w:space="0" w:color="22413A"/>
              <w:bottom w:val="single" w:sz="6" w:space="0" w:color="22413A"/>
              <w:right w:val="nil"/>
            </w:tcBorders>
            <w:shd w:val="clear" w:color="auto" w:fill="auto"/>
            <w:hideMark/>
          </w:tcPr>
          <w:p w14:paraId="795625D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Area For Improvement  </w:t>
            </w:r>
          </w:p>
        </w:tc>
      </w:tr>
      <w:tr w:rsidR="00DD712B" w:rsidRPr="00DD1B58" w14:paraId="23FE7C5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C149AB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AGR </w:t>
            </w:r>
          </w:p>
        </w:tc>
        <w:tc>
          <w:tcPr>
            <w:tcW w:w="7848" w:type="dxa"/>
            <w:tcBorders>
              <w:top w:val="single" w:sz="6" w:space="0" w:color="22413A"/>
              <w:left w:val="single" w:sz="6" w:space="0" w:color="22413A"/>
              <w:bottom w:val="single" w:sz="6" w:space="0" w:color="22413A"/>
              <w:right w:val="nil"/>
            </w:tcBorders>
            <w:shd w:val="clear" w:color="auto" w:fill="auto"/>
            <w:hideMark/>
          </w:tcPr>
          <w:p w14:paraId="7D7F9ED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Advanced Gas Reactor  </w:t>
            </w:r>
          </w:p>
        </w:tc>
      </w:tr>
      <w:tr w:rsidR="00DD712B" w:rsidRPr="00DD1B58" w14:paraId="65BD27D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4F42F5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ALARP </w:t>
            </w:r>
          </w:p>
        </w:tc>
        <w:tc>
          <w:tcPr>
            <w:tcW w:w="7848" w:type="dxa"/>
            <w:tcBorders>
              <w:top w:val="single" w:sz="6" w:space="0" w:color="22413A"/>
              <w:left w:val="single" w:sz="6" w:space="0" w:color="22413A"/>
              <w:bottom w:val="single" w:sz="6" w:space="0" w:color="22413A"/>
              <w:right w:val="nil"/>
            </w:tcBorders>
            <w:shd w:val="clear" w:color="auto" w:fill="auto"/>
            <w:hideMark/>
          </w:tcPr>
          <w:p w14:paraId="56C885A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As low as reasonably practicable </w:t>
            </w:r>
          </w:p>
        </w:tc>
      </w:tr>
      <w:tr w:rsidR="00DD712B" w:rsidRPr="00DD1B58" w14:paraId="1BD3DDD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4AF70A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AML </w:t>
            </w:r>
          </w:p>
        </w:tc>
        <w:tc>
          <w:tcPr>
            <w:tcW w:w="7848" w:type="dxa"/>
            <w:tcBorders>
              <w:top w:val="single" w:sz="6" w:space="0" w:color="22413A"/>
              <w:left w:val="single" w:sz="6" w:space="0" w:color="22413A"/>
              <w:bottom w:val="single" w:sz="6" w:space="0" w:color="22413A"/>
              <w:right w:val="nil"/>
            </w:tcBorders>
            <w:shd w:val="clear" w:color="auto" w:fill="auto"/>
            <w:hideMark/>
          </w:tcPr>
          <w:p w14:paraId="79826E7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Alkali Metal Laboratory  </w:t>
            </w:r>
          </w:p>
        </w:tc>
      </w:tr>
      <w:tr w:rsidR="00DD712B" w:rsidRPr="00DD1B58" w14:paraId="267B79C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9F22D1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AMS </w:t>
            </w:r>
          </w:p>
        </w:tc>
        <w:tc>
          <w:tcPr>
            <w:tcW w:w="7848" w:type="dxa"/>
            <w:tcBorders>
              <w:top w:val="single" w:sz="6" w:space="0" w:color="22413A"/>
              <w:left w:val="single" w:sz="6" w:space="0" w:color="22413A"/>
              <w:bottom w:val="single" w:sz="6" w:space="0" w:color="22413A"/>
              <w:right w:val="nil"/>
            </w:tcBorders>
            <w:shd w:val="clear" w:color="auto" w:fill="auto"/>
            <w:hideMark/>
          </w:tcPr>
          <w:p w14:paraId="4AB896B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Asset Management System </w:t>
            </w:r>
          </w:p>
        </w:tc>
      </w:tr>
      <w:tr w:rsidR="00DD712B" w:rsidRPr="00DD1B58" w14:paraId="5B87EC4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FC563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ANSI </w:t>
            </w:r>
          </w:p>
        </w:tc>
        <w:tc>
          <w:tcPr>
            <w:tcW w:w="7848" w:type="dxa"/>
            <w:tcBorders>
              <w:top w:val="single" w:sz="6" w:space="0" w:color="22413A"/>
              <w:left w:val="single" w:sz="6" w:space="0" w:color="22413A"/>
              <w:bottom w:val="single" w:sz="6" w:space="0" w:color="22413A"/>
              <w:right w:val="nil"/>
            </w:tcBorders>
            <w:shd w:val="clear" w:color="auto" w:fill="auto"/>
            <w:hideMark/>
          </w:tcPr>
          <w:p w14:paraId="10850E7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American National Standards Institute </w:t>
            </w:r>
          </w:p>
        </w:tc>
      </w:tr>
      <w:tr w:rsidR="00DD712B" w:rsidRPr="00DD1B58" w14:paraId="7A3ECA5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812B5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ARC </w:t>
            </w:r>
          </w:p>
        </w:tc>
        <w:tc>
          <w:tcPr>
            <w:tcW w:w="7848" w:type="dxa"/>
            <w:tcBorders>
              <w:top w:val="single" w:sz="6" w:space="0" w:color="22413A"/>
              <w:left w:val="single" w:sz="6" w:space="0" w:color="22413A"/>
              <w:bottom w:val="single" w:sz="6" w:space="0" w:color="22413A"/>
              <w:right w:val="nil"/>
            </w:tcBorders>
            <w:shd w:val="clear" w:color="auto" w:fill="auto"/>
            <w:hideMark/>
          </w:tcPr>
          <w:p w14:paraId="5E68EC5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Alarm Receiving Centre </w:t>
            </w:r>
          </w:p>
        </w:tc>
      </w:tr>
      <w:tr w:rsidR="00DD712B" w:rsidRPr="00DD1B58" w14:paraId="0D2D27E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5E599E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ATEX </w:t>
            </w:r>
          </w:p>
        </w:tc>
        <w:tc>
          <w:tcPr>
            <w:tcW w:w="7848" w:type="dxa"/>
            <w:tcBorders>
              <w:top w:val="single" w:sz="6" w:space="0" w:color="22413A"/>
              <w:left w:val="single" w:sz="6" w:space="0" w:color="22413A"/>
              <w:bottom w:val="single" w:sz="6" w:space="0" w:color="22413A"/>
              <w:right w:val="nil"/>
            </w:tcBorders>
            <w:shd w:val="clear" w:color="auto" w:fill="auto"/>
            <w:hideMark/>
          </w:tcPr>
          <w:p w14:paraId="644D867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Atmosphères Explosives </w:t>
            </w:r>
          </w:p>
        </w:tc>
      </w:tr>
      <w:tr w:rsidR="00DD712B" w:rsidRPr="00DD1B58" w14:paraId="2E8B31D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608F2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ATLAS </w:t>
            </w:r>
          </w:p>
        </w:tc>
        <w:tc>
          <w:tcPr>
            <w:tcW w:w="7848" w:type="dxa"/>
            <w:tcBorders>
              <w:top w:val="single" w:sz="6" w:space="0" w:color="22413A"/>
              <w:left w:val="single" w:sz="6" w:space="0" w:color="22413A"/>
              <w:bottom w:val="single" w:sz="6" w:space="0" w:color="22413A"/>
              <w:right w:val="nil"/>
            </w:tcBorders>
            <w:shd w:val="clear" w:color="auto" w:fill="auto"/>
            <w:hideMark/>
          </w:tcPr>
          <w:p w14:paraId="4B5FA00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Analysing, Trending, Learning And Safety </w:t>
            </w:r>
          </w:p>
        </w:tc>
      </w:tr>
      <w:tr w:rsidR="00DD712B" w:rsidRPr="00DD1B58" w14:paraId="2F8CA11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03E44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AV </w:t>
            </w:r>
          </w:p>
        </w:tc>
        <w:tc>
          <w:tcPr>
            <w:tcW w:w="7848" w:type="dxa"/>
            <w:tcBorders>
              <w:top w:val="single" w:sz="6" w:space="0" w:color="22413A"/>
              <w:left w:val="single" w:sz="6" w:space="0" w:color="22413A"/>
              <w:bottom w:val="single" w:sz="6" w:space="0" w:color="22413A"/>
              <w:right w:val="nil"/>
            </w:tcBorders>
            <w:shd w:val="clear" w:color="auto" w:fill="auto"/>
            <w:hideMark/>
          </w:tcPr>
          <w:p w14:paraId="0958D26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Assurance of validity </w:t>
            </w:r>
          </w:p>
        </w:tc>
      </w:tr>
      <w:tr w:rsidR="00DD712B" w:rsidRPr="00DD1B58" w14:paraId="7083A16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0DE4B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BAFE </w:t>
            </w:r>
          </w:p>
        </w:tc>
        <w:tc>
          <w:tcPr>
            <w:tcW w:w="7848" w:type="dxa"/>
            <w:tcBorders>
              <w:top w:val="single" w:sz="6" w:space="0" w:color="22413A"/>
              <w:left w:val="single" w:sz="6" w:space="0" w:color="22413A"/>
              <w:bottom w:val="single" w:sz="6" w:space="0" w:color="22413A"/>
              <w:right w:val="nil"/>
            </w:tcBorders>
            <w:shd w:val="clear" w:color="auto" w:fill="auto"/>
            <w:hideMark/>
          </w:tcPr>
          <w:p w14:paraId="4D0C6B7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British Association of Fire Equipment </w:t>
            </w:r>
          </w:p>
        </w:tc>
      </w:tr>
      <w:tr w:rsidR="00DD712B" w:rsidRPr="00DD1B58" w14:paraId="137BE64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D3B8D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BCDG </w:t>
            </w:r>
          </w:p>
        </w:tc>
        <w:tc>
          <w:tcPr>
            <w:tcW w:w="7848" w:type="dxa"/>
            <w:tcBorders>
              <w:top w:val="single" w:sz="6" w:space="0" w:color="22413A"/>
              <w:left w:val="single" w:sz="6" w:space="0" w:color="22413A"/>
              <w:bottom w:val="single" w:sz="6" w:space="0" w:color="22413A"/>
              <w:right w:val="nil"/>
            </w:tcBorders>
            <w:shd w:val="clear" w:color="auto" w:fill="auto"/>
            <w:hideMark/>
          </w:tcPr>
          <w:p w14:paraId="49671AC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Battery Charging Diesel Generators  </w:t>
            </w:r>
          </w:p>
        </w:tc>
      </w:tr>
      <w:tr w:rsidR="00DD712B" w:rsidRPr="00DD1B58" w14:paraId="3E5E2FD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33D969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BCGA </w:t>
            </w:r>
          </w:p>
        </w:tc>
        <w:tc>
          <w:tcPr>
            <w:tcW w:w="7848" w:type="dxa"/>
            <w:tcBorders>
              <w:top w:val="single" w:sz="6" w:space="0" w:color="22413A"/>
              <w:left w:val="single" w:sz="6" w:space="0" w:color="22413A"/>
              <w:bottom w:val="single" w:sz="6" w:space="0" w:color="22413A"/>
              <w:right w:val="nil"/>
            </w:tcBorders>
            <w:shd w:val="clear" w:color="auto" w:fill="auto"/>
            <w:hideMark/>
          </w:tcPr>
          <w:p w14:paraId="3CC7218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British Compressed Gas Association Guidance  </w:t>
            </w:r>
          </w:p>
        </w:tc>
      </w:tr>
      <w:tr w:rsidR="00DD712B" w:rsidRPr="00DD1B58" w14:paraId="087F762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5EA90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BDHPS </w:t>
            </w:r>
          </w:p>
        </w:tc>
        <w:tc>
          <w:tcPr>
            <w:tcW w:w="7848" w:type="dxa"/>
            <w:tcBorders>
              <w:top w:val="single" w:sz="6" w:space="0" w:color="22413A"/>
              <w:left w:val="single" w:sz="6" w:space="0" w:color="22413A"/>
              <w:bottom w:val="single" w:sz="6" w:space="0" w:color="22413A"/>
              <w:right w:val="nil"/>
            </w:tcBorders>
            <w:shd w:val="clear" w:color="auto" w:fill="auto"/>
            <w:hideMark/>
          </w:tcPr>
          <w:p w14:paraId="5087E59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Basic Design Hazard Protection Schedule  </w:t>
            </w:r>
          </w:p>
        </w:tc>
      </w:tr>
      <w:tr w:rsidR="00DD712B" w:rsidRPr="00DD1B58" w14:paraId="6460A51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CE359C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BEPPS-DIF  </w:t>
            </w:r>
          </w:p>
        </w:tc>
        <w:tc>
          <w:tcPr>
            <w:tcW w:w="7848" w:type="dxa"/>
            <w:tcBorders>
              <w:top w:val="single" w:sz="6" w:space="0" w:color="22413A"/>
              <w:left w:val="single" w:sz="6" w:space="0" w:color="22413A"/>
              <w:bottom w:val="single" w:sz="6" w:space="0" w:color="22413A"/>
              <w:right w:val="nil"/>
            </w:tcBorders>
            <w:shd w:val="clear" w:color="auto" w:fill="auto"/>
            <w:hideMark/>
          </w:tcPr>
          <w:p w14:paraId="58F905C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Box Encapsulation Plant Product Store - Direct Import Facility  </w:t>
            </w:r>
          </w:p>
        </w:tc>
      </w:tr>
      <w:tr w:rsidR="00DD712B" w:rsidRPr="00DD1B58" w14:paraId="0450BE3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AAA942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BFNP </w:t>
            </w:r>
          </w:p>
        </w:tc>
        <w:tc>
          <w:tcPr>
            <w:tcW w:w="7848" w:type="dxa"/>
            <w:tcBorders>
              <w:top w:val="single" w:sz="6" w:space="0" w:color="22413A"/>
              <w:left w:val="single" w:sz="6" w:space="0" w:color="22413A"/>
              <w:bottom w:val="single" w:sz="6" w:space="0" w:color="22413A"/>
              <w:right w:val="nil"/>
            </w:tcBorders>
            <w:shd w:val="clear" w:color="auto" w:fill="auto"/>
            <w:hideMark/>
          </w:tcPr>
          <w:p w14:paraId="2D03C2B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Building Fire Nominated Persons  </w:t>
            </w:r>
          </w:p>
        </w:tc>
      </w:tr>
      <w:tr w:rsidR="00DD712B" w:rsidRPr="00DD1B58" w14:paraId="43A8C2A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89D38F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BIM </w:t>
            </w:r>
          </w:p>
        </w:tc>
        <w:tc>
          <w:tcPr>
            <w:tcW w:w="7848" w:type="dxa"/>
            <w:tcBorders>
              <w:top w:val="single" w:sz="6" w:space="0" w:color="22413A"/>
              <w:left w:val="single" w:sz="6" w:space="0" w:color="22413A"/>
              <w:bottom w:val="single" w:sz="6" w:space="0" w:color="22413A"/>
              <w:right w:val="nil"/>
            </w:tcBorders>
            <w:shd w:val="clear" w:color="auto" w:fill="auto"/>
            <w:hideMark/>
          </w:tcPr>
          <w:p w14:paraId="32A01DE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Building Information Models/Modelling </w:t>
            </w:r>
          </w:p>
        </w:tc>
      </w:tr>
      <w:tr w:rsidR="00DD712B" w:rsidRPr="00DD1B58" w14:paraId="786D9C2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C41157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BNFL </w:t>
            </w:r>
          </w:p>
        </w:tc>
        <w:tc>
          <w:tcPr>
            <w:tcW w:w="7848" w:type="dxa"/>
            <w:tcBorders>
              <w:top w:val="single" w:sz="6" w:space="0" w:color="22413A"/>
              <w:left w:val="single" w:sz="6" w:space="0" w:color="22413A"/>
              <w:bottom w:val="single" w:sz="6" w:space="0" w:color="22413A"/>
              <w:right w:val="nil"/>
            </w:tcBorders>
            <w:shd w:val="clear" w:color="auto" w:fill="auto"/>
            <w:hideMark/>
          </w:tcPr>
          <w:p w14:paraId="27E0DC3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British Nuclear Fuels Ltd </w:t>
            </w:r>
          </w:p>
        </w:tc>
      </w:tr>
      <w:tr w:rsidR="00DD712B" w:rsidRPr="00DD1B58" w14:paraId="0A6C2AC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0C3A0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BR(E) </w:t>
            </w:r>
          </w:p>
        </w:tc>
        <w:tc>
          <w:tcPr>
            <w:tcW w:w="7848" w:type="dxa"/>
            <w:tcBorders>
              <w:top w:val="single" w:sz="6" w:space="0" w:color="22413A"/>
              <w:left w:val="single" w:sz="6" w:space="0" w:color="22413A"/>
              <w:bottom w:val="single" w:sz="6" w:space="0" w:color="22413A"/>
              <w:right w:val="nil"/>
            </w:tcBorders>
            <w:shd w:val="clear" w:color="auto" w:fill="auto"/>
            <w:hideMark/>
          </w:tcPr>
          <w:p w14:paraId="101B828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Building Research (Establishment) </w:t>
            </w:r>
          </w:p>
        </w:tc>
      </w:tr>
      <w:tr w:rsidR="00DD712B" w:rsidRPr="00DD1B58" w14:paraId="4C17D92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B2AA3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BS </w:t>
            </w:r>
          </w:p>
        </w:tc>
        <w:tc>
          <w:tcPr>
            <w:tcW w:w="7848" w:type="dxa"/>
            <w:tcBorders>
              <w:top w:val="single" w:sz="6" w:space="0" w:color="22413A"/>
              <w:left w:val="single" w:sz="6" w:space="0" w:color="22413A"/>
              <w:bottom w:val="single" w:sz="6" w:space="0" w:color="22413A"/>
              <w:right w:val="nil"/>
            </w:tcBorders>
            <w:shd w:val="clear" w:color="auto" w:fill="auto"/>
            <w:hideMark/>
          </w:tcPr>
          <w:p w14:paraId="4B385B6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British Standards </w:t>
            </w:r>
          </w:p>
        </w:tc>
      </w:tr>
      <w:tr w:rsidR="00DD712B" w:rsidRPr="00DD1B58" w14:paraId="0EB661A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9F1CF3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BSM </w:t>
            </w:r>
          </w:p>
        </w:tc>
        <w:tc>
          <w:tcPr>
            <w:tcW w:w="7848" w:type="dxa"/>
            <w:tcBorders>
              <w:top w:val="single" w:sz="6" w:space="0" w:color="22413A"/>
              <w:left w:val="single" w:sz="6" w:space="0" w:color="22413A"/>
              <w:bottom w:val="single" w:sz="6" w:space="0" w:color="22413A"/>
              <w:right w:val="nil"/>
            </w:tcBorders>
            <w:shd w:val="clear" w:color="auto" w:fill="auto"/>
            <w:hideMark/>
          </w:tcPr>
          <w:p w14:paraId="5CA706A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Basket Safety Measure  </w:t>
            </w:r>
          </w:p>
        </w:tc>
      </w:tr>
      <w:tr w:rsidR="00DD712B" w:rsidRPr="00DD1B58" w14:paraId="7785505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5CCED4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BUCS </w:t>
            </w:r>
          </w:p>
        </w:tc>
        <w:tc>
          <w:tcPr>
            <w:tcW w:w="7848" w:type="dxa"/>
            <w:tcBorders>
              <w:top w:val="single" w:sz="6" w:space="0" w:color="22413A"/>
              <w:left w:val="single" w:sz="6" w:space="0" w:color="22413A"/>
              <w:bottom w:val="single" w:sz="6" w:space="0" w:color="22413A"/>
              <w:right w:val="nil"/>
            </w:tcBorders>
            <w:shd w:val="clear" w:color="auto" w:fill="auto"/>
            <w:hideMark/>
          </w:tcPr>
          <w:p w14:paraId="21B6A93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Back-Up Cooling System </w:t>
            </w:r>
          </w:p>
        </w:tc>
      </w:tr>
      <w:tr w:rsidR="00DD712B" w:rsidRPr="00DD1B58" w14:paraId="4D076E9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0689C8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BWF </w:t>
            </w:r>
          </w:p>
        </w:tc>
        <w:tc>
          <w:tcPr>
            <w:tcW w:w="7848" w:type="dxa"/>
            <w:tcBorders>
              <w:top w:val="single" w:sz="6" w:space="0" w:color="22413A"/>
              <w:left w:val="single" w:sz="6" w:space="0" w:color="22413A"/>
              <w:bottom w:val="single" w:sz="6" w:space="0" w:color="22413A"/>
              <w:right w:val="nil"/>
            </w:tcBorders>
            <w:shd w:val="clear" w:color="auto" w:fill="auto"/>
            <w:hideMark/>
          </w:tcPr>
          <w:p w14:paraId="584AEA3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British Woodworking Federation </w:t>
            </w:r>
          </w:p>
        </w:tc>
      </w:tr>
      <w:tr w:rsidR="00DD712B" w:rsidRPr="00DD1B58" w14:paraId="5B6FED6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12B267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CAP </w:t>
            </w:r>
          </w:p>
        </w:tc>
        <w:tc>
          <w:tcPr>
            <w:tcW w:w="7848" w:type="dxa"/>
            <w:tcBorders>
              <w:top w:val="single" w:sz="6" w:space="0" w:color="22413A"/>
              <w:left w:val="single" w:sz="6" w:space="0" w:color="22413A"/>
              <w:bottom w:val="single" w:sz="6" w:space="0" w:color="22413A"/>
              <w:right w:val="nil"/>
            </w:tcBorders>
            <w:shd w:val="clear" w:color="auto" w:fill="auto"/>
            <w:hideMark/>
          </w:tcPr>
          <w:p w14:paraId="5F6FB49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Corrective Action Programme  </w:t>
            </w:r>
          </w:p>
        </w:tc>
      </w:tr>
      <w:tr w:rsidR="00DD712B" w:rsidRPr="00DD1B58" w14:paraId="707B0CE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FF28AF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CCF </w:t>
            </w:r>
          </w:p>
        </w:tc>
        <w:tc>
          <w:tcPr>
            <w:tcW w:w="7848" w:type="dxa"/>
            <w:tcBorders>
              <w:top w:val="single" w:sz="6" w:space="0" w:color="22413A"/>
              <w:left w:val="single" w:sz="6" w:space="0" w:color="22413A"/>
              <w:bottom w:val="single" w:sz="6" w:space="0" w:color="22413A"/>
              <w:right w:val="nil"/>
            </w:tcBorders>
            <w:shd w:val="clear" w:color="auto" w:fill="auto"/>
            <w:hideMark/>
          </w:tcPr>
          <w:p w14:paraId="46CAE33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Common Cause Failure  </w:t>
            </w:r>
          </w:p>
        </w:tc>
      </w:tr>
      <w:tr w:rsidR="00DD712B" w:rsidRPr="00DD1B58" w14:paraId="4859D61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BAA803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CCH </w:t>
            </w:r>
          </w:p>
        </w:tc>
        <w:tc>
          <w:tcPr>
            <w:tcW w:w="7848" w:type="dxa"/>
            <w:tcBorders>
              <w:top w:val="single" w:sz="6" w:space="0" w:color="22413A"/>
              <w:left w:val="single" w:sz="6" w:space="0" w:color="22413A"/>
              <w:bottom w:val="single" w:sz="6" w:space="0" w:color="22413A"/>
              <w:right w:val="nil"/>
            </w:tcBorders>
            <w:shd w:val="clear" w:color="auto" w:fill="auto"/>
            <w:hideMark/>
          </w:tcPr>
          <w:p w14:paraId="17057B5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Combined and Consequential Hazards  </w:t>
            </w:r>
          </w:p>
        </w:tc>
      </w:tr>
      <w:tr w:rsidR="00DD712B" w:rsidRPr="00DD1B58" w14:paraId="687B0EE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779C4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CCR </w:t>
            </w:r>
          </w:p>
        </w:tc>
        <w:tc>
          <w:tcPr>
            <w:tcW w:w="7848" w:type="dxa"/>
            <w:tcBorders>
              <w:top w:val="single" w:sz="6" w:space="0" w:color="22413A"/>
              <w:left w:val="single" w:sz="6" w:space="0" w:color="22413A"/>
              <w:bottom w:val="single" w:sz="6" w:space="0" w:color="22413A"/>
              <w:right w:val="nil"/>
            </w:tcBorders>
            <w:shd w:val="clear" w:color="auto" w:fill="auto"/>
            <w:hideMark/>
          </w:tcPr>
          <w:p w14:paraId="3CB435A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Central Control Room  </w:t>
            </w:r>
          </w:p>
        </w:tc>
      </w:tr>
      <w:tr w:rsidR="00DD712B" w:rsidRPr="00DD1B58" w14:paraId="16FAC0D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F869F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CCTV </w:t>
            </w:r>
          </w:p>
        </w:tc>
        <w:tc>
          <w:tcPr>
            <w:tcW w:w="7848" w:type="dxa"/>
            <w:tcBorders>
              <w:top w:val="single" w:sz="6" w:space="0" w:color="22413A"/>
              <w:left w:val="single" w:sz="6" w:space="0" w:color="22413A"/>
              <w:bottom w:val="single" w:sz="6" w:space="0" w:color="22413A"/>
              <w:right w:val="nil"/>
            </w:tcBorders>
            <w:shd w:val="clear" w:color="auto" w:fill="auto"/>
            <w:hideMark/>
          </w:tcPr>
          <w:p w14:paraId="7C06410E" w14:textId="5BD09F89"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Closed-circuit </w:t>
            </w:r>
            <w:r w:rsidR="00E21D06" w:rsidRPr="00DD1B58">
              <w:rPr>
                <w:rFonts w:eastAsia="Times New Roman"/>
                <w:color w:val="000000"/>
                <w:szCs w:val="24"/>
                <w:lang w:val="en-US" w:eastAsia="en-GB" w:bidi="ar-SA"/>
              </w:rPr>
              <w:t>T</w:t>
            </w:r>
            <w:r w:rsidRPr="00DD1B58">
              <w:rPr>
                <w:rFonts w:eastAsia="Times New Roman"/>
                <w:color w:val="000000"/>
                <w:szCs w:val="24"/>
                <w:lang w:val="en-US" w:eastAsia="en-GB" w:bidi="ar-SA"/>
              </w:rPr>
              <w:t>elevision </w:t>
            </w:r>
          </w:p>
        </w:tc>
      </w:tr>
      <w:tr w:rsidR="00DD712B" w:rsidRPr="00DD1B58" w14:paraId="2F82C7A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CC5545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CDM </w:t>
            </w:r>
          </w:p>
        </w:tc>
        <w:tc>
          <w:tcPr>
            <w:tcW w:w="7848" w:type="dxa"/>
            <w:tcBorders>
              <w:top w:val="single" w:sz="6" w:space="0" w:color="22413A"/>
              <w:left w:val="single" w:sz="6" w:space="0" w:color="22413A"/>
              <w:bottom w:val="single" w:sz="6" w:space="0" w:color="22413A"/>
              <w:right w:val="nil"/>
            </w:tcBorders>
            <w:shd w:val="clear" w:color="auto" w:fill="auto"/>
            <w:hideMark/>
          </w:tcPr>
          <w:p w14:paraId="2940A19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Construction (Design and Management) Regulations 2015 </w:t>
            </w:r>
          </w:p>
        </w:tc>
      </w:tr>
      <w:tr w:rsidR="00DD712B" w:rsidRPr="00DD1B58" w14:paraId="154ACB4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731862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CE&amp;I </w:t>
            </w:r>
          </w:p>
        </w:tc>
        <w:tc>
          <w:tcPr>
            <w:tcW w:w="7848" w:type="dxa"/>
            <w:tcBorders>
              <w:top w:val="single" w:sz="6" w:space="0" w:color="22413A"/>
              <w:left w:val="single" w:sz="6" w:space="0" w:color="22413A"/>
              <w:bottom w:val="single" w:sz="6" w:space="0" w:color="22413A"/>
              <w:right w:val="nil"/>
            </w:tcBorders>
            <w:shd w:val="clear" w:color="auto" w:fill="auto"/>
            <w:hideMark/>
          </w:tcPr>
          <w:p w14:paraId="51F3E952" w14:textId="7475560C"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Control, </w:t>
            </w:r>
            <w:r w:rsidR="006A72AD" w:rsidRPr="00DD1B58">
              <w:rPr>
                <w:rFonts w:eastAsia="Times New Roman"/>
                <w:color w:val="000000"/>
                <w:szCs w:val="24"/>
                <w:lang w:val="en-US" w:eastAsia="en-GB" w:bidi="ar-SA"/>
              </w:rPr>
              <w:t>E</w:t>
            </w:r>
            <w:r w:rsidRPr="00DD1B58">
              <w:rPr>
                <w:rFonts w:eastAsia="Times New Roman"/>
                <w:color w:val="000000"/>
                <w:szCs w:val="24"/>
                <w:lang w:val="en-US" w:eastAsia="en-GB" w:bidi="ar-SA"/>
              </w:rPr>
              <w:t xml:space="preserve">lectrical &amp; </w:t>
            </w:r>
            <w:r w:rsidR="00E21D06" w:rsidRPr="00DD1B58">
              <w:rPr>
                <w:rFonts w:eastAsia="Times New Roman"/>
                <w:color w:val="000000"/>
                <w:szCs w:val="24"/>
                <w:lang w:val="en-US" w:eastAsia="en-GB" w:bidi="ar-SA"/>
              </w:rPr>
              <w:t>I</w:t>
            </w:r>
            <w:r w:rsidRPr="00DD1B58">
              <w:rPr>
                <w:rFonts w:eastAsia="Times New Roman"/>
                <w:color w:val="000000"/>
                <w:szCs w:val="24"/>
                <w:lang w:val="en-US" w:eastAsia="en-GB" w:bidi="ar-SA"/>
              </w:rPr>
              <w:t>nstrumentation </w:t>
            </w:r>
          </w:p>
        </w:tc>
      </w:tr>
      <w:tr w:rsidR="00DD712B" w:rsidRPr="00DD1B58" w14:paraId="0982E5D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16435A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CEGB </w:t>
            </w:r>
          </w:p>
        </w:tc>
        <w:tc>
          <w:tcPr>
            <w:tcW w:w="7848" w:type="dxa"/>
            <w:tcBorders>
              <w:top w:val="single" w:sz="6" w:space="0" w:color="22413A"/>
              <w:left w:val="single" w:sz="6" w:space="0" w:color="22413A"/>
              <w:bottom w:val="single" w:sz="6" w:space="0" w:color="22413A"/>
              <w:right w:val="nil"/>
            </w:tcBorders>
            <w:shd w:val="clear" w:color="auto" w:fill="auto"/>
            <w:hideMark/>
          </w:tcPr>
          <w:p w14:paraId="2C6A6A7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Central Electricity Generating Board </w:t>
            </w:r>
          </w:p>
        </w:tc>
      </w:tr>
      <w:tr w:rsidR="00DD712B" w:rsidRPr="00DD1B58" w14:paraId="5E9EB57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DB8530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CESC </w:t>
            </w:r>
          </w:p>
        </w:tc>
        <w:tc>
          <w:tcPr>
            <w:tcW w:w="7848" w:type="dxa"/>
            <w:tcBorders>
              <w:top w:val="single" w:sz="6" w:space="0" w:color="22413A"/>
              <w:left w:val="single" w:sz="6" w:space="0" w:color="22413A"/>
              <w:bottom w:val="single" w:sz="6" w:space="0" w:color="22413A"/>
              <w:right w:val="nil"/>
            </w:tcBorders>
            <w:shd w:val="clear" w:color="auto" w:fill="auto"/>
            <w:hideMark/>
          </w:tcPr>
          <w:p w14:paraId="235713C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Central Emergency Support Centre </w:t>
            </w:r>
          </w:p>
        </w:tc>
      </w:tr>
      <w:tr w:rsidR="00DD712B" w:rsidRPr="00DD1B58" w14:paraId="55C6282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9A3D5C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CF&amp;RS </w:t>
            </w:r>
          </w:p>
        </w:tc>
        <w:tc>
          <w:tcPr>
            <w:tcW w:w="7848" w:type="dxa"/>
            <w:tcBorders>
              <w:top w:val="single" w:sz="6" w:space="0" w:color="22413A"/>
              <w:left w:val="single" w:sz="6" w:space="0" w:color="22413A"/>
              <w:bottom w:val="single" w:sz="6" w:space="0" w:color="22413A"/>
              <w:right w:val="nil"/>
            </w:tcBorders>
            <w:shd w:val="clear" w:color="auto" w:fill="auto"/>
            <w:hideMark/>
          </w:tcPr>
          <w:p w14:paraId="6D4D9E7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Cumbria Fire &amp; Rescue Services </w:t>
            </w:r>
          </w:p>
        </w:tc>
      </w:tr>
      <w:tr w:rsidR="00DD712B" w:rsidRPr="00DD1B58" w14:paraId="5931A11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FE6A9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CFAST </w:t>
            </w:r>
          </w:p>
        </w:tc>
        <w:tc>
          <w:tcPr>
            <w:tcW w:w="7848" w:type="dxa"/>
            <w:tcBorders>
              <w:top w:val="single" w:sz="6" w:space="0" w:color="22413A"/>
              <w:left w:val="single" w:sz="6" w:space="0" w:color="22413A"/>
              <w:bottom w:val="single" w:sz="6" w:space="0" w:color="22413A"/>
              <w:right w:val="nil"/>
            </w:tcBorders>
            <w:shd w:val="clear" w:color="auto" w:fill="auto"/>
            <w:hideMark/>
          </w:tcPr>
          <w:p w14:paraId="144C9660" w14:textId="689B67A0"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Consolidated </w:t>
            </w:r>
            <w:r w:rsidR="00E21D06" w:rsidRPr="00DD1B58">
              <w:rPr>
                <w:rFonts w:eastAsia="Times New Roman"/>
                <w:color w:val="000000"/>
                <w:szCs w:val="24"/>
                <w:lang w:val="en-US" w:eastAsia="en-GB" w:bidi="ar-SA"/>
              </w:rPr>
              <w:t>M</w:t>
            </w:r>
            <w:r w:rsidRPr="00DD1B58">
              <w:rPr>
                <w:rFonts w:eastAsia="Times New Roman"/>
                <w:color w:val="000000"/>
                <w:szCs w:val="24"/>
                <w:lang w:val="en-US" w:eastAsia="en-GB" w:bidi="ar-SA"/>
              </w:rPr>
              <w:t>odel of Fire And Smoke Transport  </w:t>
            </w:r>
          </w:p>
        </w:tc>
      </w:tr>
      <w:tr w:rsidR="00DD712B" w:rsidRPr="00DD1B58" w14:paraId="7EE6B3D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FFDBC6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CFD </w:t>
            </w:r>
          </w:p>
        </w:tc>
        <w:tc>
          <w:tcPr>
            <w:tcW w:w="7848" w:type="dxa"/>
            <w:tcBorders>
              <w:top w:val="single" w:sz="6" w:space="0" w:color="22413A"/>
              <w:left w:val="single" w:sz="6" w:space="0" w:color="22413A"/>
              <w:bottom w:val="single" w:sz="6" w:space="0" w:color="22413A"/>
              <w:right w:val="nil"/>
            </w:tcBorders>
            <w:shd w:val="clear" w:color="auto" w:fill="auto"/>
            <w:hideMark/>
          </w:tcPr>
          <w:p w14:paraId="2430CAF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Computational Fluid Dynamics  </w:t>
            </w:r>
          </w:p>
        </w:tc>
      </w:tr>
      <w:tr w:rsidR="00DD712B" w:rsidRPr="00DD1B58" w14:paraId="30C01F3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38DA6E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CFNP </w:t>
            </w:r>
          </w:p>
        </w:tc>
        <w:tc>
          <w:tcPr>
            <w:tcW w:w="7848" w:type="dxa"/>
            <w:tcBorders>
              <w:top w:val="single" w:sz="6" w:space="0" w:color="22413A"/>
              <w:left w:val="single" w:sz="6" w:space="0" w:color="22413A"/>
              <w:bottom w:val="single" w:sz="6" w:space="0" w:color="22413A"/>
              <w:right w:val="nil"/>
            </w:tcBorders>
            <w:shd w:val="clear" w:color="auto" w:fill="auto"/>
            <w:hideMark/>
          </w:tcPr>
          <w:p w14:paraId="1C48D27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Core Fire Nominated Persons  </w:t>
            </w:r>
          </w:p>
        </w:tc>
      </w:tr>
      <w:tr w:rsidR="00DD712B" w:rsidRPr="00DD1B58" w14:paraId="32AA250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57B3D7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CFR </w:t>
            </w:r>
          </w:p>
        </w:tc>
        <w:tc>
          <w:tcPr>
            <w:tcW w:w="7848" w:type="dxa"/>
            <w:tcBorders>
              <w:top w:val="single" w:sz="6" w:space="0" w:color="22413A"/>
              <w:left w:val="single" w:sz="6" w:space="0" w:color="22413A"/>
              <w:bottom w:val="single" w:sz="6" w:space="0" w:color="22413A"/>
              <w:right w:val="nil"/>
            </w:tcBorders>
            <w:shd w:val="clear" w:color="auto" w:fill="auto"/>
            <w:hideMark/>
          </w:tcPr>
          <w:p w14:paraId="73F254B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Code of Federal Regulations </w:t>
            </w:r>
          </w:p>
        </w:tc>
      </w:tr>
      <w:tr w:rsidR="00DD712B" w:rsidRPr="00DD1B58" w14:paraId="43F9AD2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45AC73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CGF </w:t>
            </w:r>
          </w:p>
        </w:tc>
        <w:tc>
          <w:tcPr>
            <w:tcW w:w="7848" w:type="dxa"/>
            <w:tcBorders>
              <w:top w:val="single" w:sz="6" w:space="0" w:color="22413A"/>
              <w:left w:val="single" w:sz="6" w:space="0" w:color="22413A"/>
              <w:bottom w:val="single" w:sz="6" w:space="0" w:color="22413A"/>
              <w:right w:val="nil"/>
            </w:tcBorders>
            <w:shd w:val="clear" w:color="auto" w:fill="auto"/>
            <w:hideMark/>
          </w:tcPr>
          <w:p w14:paraId="6999951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Civilian Guard Force  </w:t>
            </w:r>
          </w:p>
        </w:tc>
      </w:tr>
      <w:tr w:rsidR="00DD712B" w:rsidRPr="00DD1B58" w14:paraId="6024FAB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C75BA6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CHF </w:t>
            </w:r>
          </w:p>
        </w:tc>
        <w:tc>
          <w:tcPr>
            <w:tcW w:w="7848" w:type="dxa"/>
            <w:tcBorders>
              <w:top w:val="single" w:sz="6" w:space="0" w:color="22413A"/>
              <w:left w:val="single" w:sz="6" w:space="0" w:color="22413A"/>
              <w:bottom w:val="single" w:sz="6" w:space="0" w:color="22413A"/>
              <w:right w:val="nil"/>
            </w:tcBorders>
            <w:shd w:val="clear" w:color="auto" w:fill="auto"/>
            <w:hideMark/>
          </w:tcPr>
          <w:p w14:paraId="2B7C71C2" w14:textId="421191E0" w:rsidR="00DD712B" w:rsidRPr="00DD1B58" w:rsidRDefault="00E21D0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w:t>
            </w:r>
            <w:r w:rsidR="00DD712B" w:rsidRPr="00DD1B58">
              <w:rPr>
                <w:rFonts w:eastAsia="Times New Roman"/>
                <w:color w:val="000000"/>
                <w:szCs w:val="24"/>
                <w:lang w:val="en-US" w:eastAsia="en-GB" w:bidi="ar-SA"/>
              </w:rPr>
              <w:t xml:space="preserve">oncentrated </w:t>
            </w:r>
            <w:r w:rsidRPr="00DD1B58">
              <w:rPr>
                <w:rFonts w:eastAsia="Times New Roman"/>
                <w:color w:val="000000"/>
                <w:szCs w:val="24"/>
                <w:lang w:val="en-US" w:eastAsia="en-GB" w:bidi="ar-SA"/>
              </w:rPr>
              <w:t>H</w:t>
            </w:r>
            <w:r w:rsidR="00DD712B" w:rsidRPr="00DD1B58">
              <w:rPr>
                <w:rFonts w:eastAsia="Times New Roman"/>
                <w:color w:val="000000"/>
                <w:szCs w:val="24"/>
                <w:lang w:val="en-US" w:eastAsia="en-GB" w:bidi="ar-SA"/>
              </w:rPr>
              <w:t xml:space="preserve">ydrofluoric </w:t>
            </w:r>
            <w:r w:rsidRPr="00DD1B58">
              <w:rPr>
                <w:rFonts w:eastAsia="Times New Roman"/>
                <w:color w:val="000000"/>
                <w:szCs w:val="24"/>
                <w:lang w:val="en-US" w:eastAsia="en-GB" w:bidi="ar-SA"/>
              </w:rPr>
              <w:t>A</w:t>
            </w:r>
            <w:r w:rsidR="00DD712B" w:rsidRPr="00DD1B58">
              <w:rPr>
                <w:rFonts w:eastAsia="Times New Roman"/>
                <w:color w:val="000000"/>
                <w:szCs w:val="24"/>
                <w:lang w:val="en-US" w:eastAsia="en-GB" w:bidi="ar-SA"/>
              </w:rPr>
              <w:t>cid  </w:t>
            </w:r>
          </w:p>
        </w:tc>
      </w:tr>
      <w:tr w:rsidR="00DD712B" w:rsidRPr="00DD1B58" w14:paraId="221A560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5B407A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CHILW </w:t>
            </w:r>
          </w:p>
        </w:tc>
        <w:tc>
          <w:tcPr>
            <w:tcW w:w="7848" w:type="dxa"/>
            <w:tcBorders>
              <w:top w:val="single" w:sz="6" w:space="0" w:color="22413A"/>
              <w:left w:val="single" w:sz="6" w:space="0" w:color="22413A"/>
              <w:bottom w:val="single" w:sz="6" w:space="0" w:color="22413A"/>
              <w:right w:val="nil"/>
            </w:tcBorders>
            <w:shd w:val="clear" w:color="auto" w:fill="auto"/>
            <w:hideMark/>
          </w:tcPr>
          <w:p w14:paraId="6695F66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Contact Handled Intermediate Level Waste </w:t>
            </w:r>
          </w:p>
        </w:tc>
      </w:tr>
      <w:tr w:rsidR="00DD712B" w:rsidRPr="00DD1B58" w14:paraId="4FA0741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7636CD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CHP </w:t>
            </w:r>
          </w:p>
        </w:tc>
        <w:tc>
          <w:tcPr>
            <w:tcW w:w="7848" w:type="dxa"/>
            <w:tcBorders>
              <w:top w:val="single" w:sz="6" w:space="0" w:color="22413A"/>
              <w:left w:val="single" w:sz="6" w:space="0" w:color="22413A"/>
              <w:bottom w:val="single" w:sz="6" w:space="0" w:color="22413A"/>
              <w:right w:val="nil"/>
            </w:tcBorders>
            <w:shd w:val="clear" w:color="auto" w:fill="auto"/>
            <w:hideMark/>
          </w:tcPr>
          <w:p w14:paraId="6C533837" w14:textId="06E1D2F2" w:rsidR="00DD712B" w:rsidRPr="00DD1B58" w:rsidRDefault="00233CC8"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w:t>
            </w:r>
            <w:r w:rsidR="00DD712B" w:rsidRPr="00DD1B58">
              <w:rPr>
                <w:rFonts w:eastAsia="Times New Roman"/>
                <w:color w:val="000000"/>
                <w:szCs w:val="24"/>
                <w:lang w:val="en-US" w:eastAsia="en-GB" w:bidi="ar-SA"/>
              </w:rPr>
              <w:t xml:space="preserve">ombined </w:t>
            </w:r>
            <w:r w:rsidRPr="00DD1B58">
              <w:rPr>
                <w:rFonts w:eastAsia="Times New Roman"/>
                <w:color w:val="000000"/>
                <w:szCs w:val="24"/>
                <w:lang w:val="en-US" w:eastAsia="en-GB" w:bidi="ar-SA"/>
              </w:rPr>
              <w:t>H</w:t>
            </w:r>
            <w:r w:rsidR="00DD712B" w:rsidRPr="00DD1B58">
              <w:rPr>
                <w:rFonts w:eastAsia="Times New Roman"/>
                <w:color w:val="000000"/>
                <w:szCs w:val="24"/>
                <w:lang w:val="en-US" w:eastAsia="en-GB" w:bidi="ar-SA"/>
              </w:rPr>
              <w:t xml:space="preserve">eat and </w:t>
            </w:r>
            <w:r w:rsidRPr="00DD1B58">
              <w:rPr>
                <w:rFonts w:eastAsia="Times New Roman"/>
                <w:color w:val="000000"/>
                <w:szCs w:val="24"/>
                <w:lang w:val="en-US" w:eastAsia="en-GB" w:bidi="ar-SA"/>
              </w:rPr>
              <w:t>P</w:t>
            </w:r>
            <w:r w:rsidR="00DD712B" w:rsidRPr="00DD1B58">
              <w:rPr>
                <w:rFonts w:eastAsia="Times New Roman"/>
                <w:color w:val="000000"/>
                <w:szCs w:val="24"/>
                <w:lang w:val="en-US" w:eastAsia="en-GB" w:bidi="ar-SA"/>
              </w:rPr>
              <w:t xml:space="preserve">ower </w:t>
            </w:r>
            <w:r w:rsidRPr="00DD1B58">
              <w:rPr>
                <w:rFonts w:eastAsia="Times New Roman"/>
                <w:color w:val="000000"/>
                <w:szCs w:val="24"/>
                <w:lang w:val="en-US" w:eastAsia="en-GB" w:bidi="ar-SA"/>
              </w:rPr>
              <w:t>P</w:t>
            </w:r>
            <w:r w:rsidR="00DD712B" w:rsidRPr="00DD1B58">
              <w:rPr>
                <w:rFonts w:eastAsia="Times New Roman"/>
                <w:color w:val="000000"/>
                <w:szCs w:val="24"/>
                <w:lang w:val="en-US" w:eastAsia="en-GB" w:bidi="ar-SA"/>
              </w:rPr>
              <w:t>lant  </w:t>
            </w:r>
          </w:p>
        </w:tc>
      </w:tr>
      <w:tr w:rsidR="00DD712B" w:rsidRPr="00DD1B58" w14:paraId="79BF564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992759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CI </w:t>
            </w:r>
          </w:p>
        </w:tc>
        <w:tc>
          <w:tcPr>
            <w:tcW w:w="7848" w:type="dxa"/>
            <w:tcBorders>
              <w:top w:val="single" w:sz="6" w:space="0" w:color="22413A"/>
              <w:left w:val="single" w:sz="6" w:space="0" w:color="22413A"/>
              <w:bottom w:val="single" w:sz="6" w:space="0" w:color="22413A"/>
              <w:right w:val="nil"/>
            </w:tcBorders>
            <w:shd w:val="clear" w:color="auto" w:fill="auto"/>
            <w:hideMark/>
          </w:tcPr>
          <w:p w14:paraId="62B5F68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Conventional Islands  </w:t>
            </w:r>
          </w:p>
        </w:tc>
      </w:tr>
      <w:tr w:rsidR="00DD712B" w:rsidRPr="00DD1B58" w14:paraId="25115C8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C5D0B2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CIE </w:t>
            </w:r>
          </w:p>
        </w:tc>
        <w:tc>
          <w:tcPr>
            <w:tcW w:w="7848" w:type="dxa"/>
            <w:tcBorders>
              <w:top w:val="single" w:sz="6" w:space="0" w:color="22413A"/>
              <w:left w:val="single" w:sz="6" w:space="0" w:color="22413A"/>
              <w:bottom w:val="single" w:sz="6" w:space="0" w:color="22413A"/>
              <w:right w:val="nil"/>
            </w:tcBorders>
            <w:shd w:val="clear" w:color="auto" w:fill="auto"/>
            <w:hideMark/>
          </w:tcPr>
          <w:p w14:paraId="5882981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Control and Indicating Equipment </w:t>
            </w:r>
          </w:p>
        </w:tc>
      </w:tr>
      <w:tr w:rsidR="00DD712B" w:rsidRPr="00DD1B58" w14:paraId="3B50255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618A84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CLP </w:t>
            </w:r>
          </w:p>
        </w:tc>
        <w:tc>
          <w:tcPr>
            <w:tcW w:w="7848" w:type="dxa"/>
            <w:tcBorders>
              <w:top w:val="single" w:sz="6" w:space="0" w:color="22413A"/>
              <w:left w:val="single" w:sz="6" w:space="0" w:color="22413A"/>
              <w:bottom w:val="single" w:sz="6" w:space="0" w:color="22413A"/>
              <w:right w:val="nil"/>
            </w:tcBorders>
            <w:shd w:val="clear" w:color="auto" w:fill="auto"/>
            <w:hideMark/>
          </w:tcPr>
          <w:p w14:paraId="1AFB71F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w:t>
            </w:r>
            <w:r w:rsidRPr="00DD1B58">
              <w:rPr>
                <w:rFonts w:eastAsia="Times New Roman"/>
                <w:color w:val="202122"/>
                <w:szCs w:val="24"/>
                <w:lang w:val="en-US" w:eastAsia="en-GB" w:bidi="ar-SA"/>
              </w:rPr>
              <w:t>lassification, Labelling and Packaging </w:t>
            </w:r>
          </w:p>
        </w:tc>
      </w:tr>
      <w:tr w:rsidR="00DD712B" w:rsidRPr="00DD1B58" w14:paraId="360A7F6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CB44F5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CMMS </w:t>
            </w:r>
          </w:p>
        </w:tc>
        <w:tc>
          <w:tcPr>
            <w:tcW w:w="7848" w:type="dxa"/>
            <w:tcBorders>
              <w:top w:val="single" w:sz="6" w:space="0" w:color="22413A"/>
              <w:left w:val="single" w:sz="6" w:space="0" w:color="22413A"/>
              <w:bottom w:val="single" w:sz="6" w:space="0" w:color="22413A"/>
              <w:right w:val="nil"/>
            </w:tcBorders>
            <w:shd w:val="clear" w:color="auto" w:fill="auto"/>
            <w:hideMark/>
          </w:tcPr>
          <w:p w14:paraId="7C53CDC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Computerised Maintenance Management System  </w:t>
            </w:r>
          </w:p>
        </w:tc>
      </w:tr>
      <w:tr w:rsidR="00DD712B" w:rsidRPr="00DD1B58" w14:paraId="0A9E099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BC71F2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CNC </w:t>
            </w:r>
          </w:p>
        </w:tc>
        <w:tc>
          <w:tcPr>
            <w:tcW w:w="7848" w:type="dxa"/>
            <w:tcBorders>
              <w:top w:val="single" w:sz="6" w:space="0" w:color="22413A"/>
              <w:left w:val="single" w:sz="6" w:space="0" w:color="22413A"/>
              <w:bottom w:val="single" w:sz="6" w:space="0" w:color="22413A"/>
              <w:right w:val="nil"/>
            </w:tcBorders>
            <w:shd w:val="clear" w:color="auto" w:fill="auto"/>
            <w:hideMark/>
          </w:tcPr>
          <w:p w14:paraId="31043CD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Civil Nuclear Constabulary  </w:t>
            </w:r>
          </w:p>
        </w:tc>
      </w:tr>
      <w:tr w:rsidR="00DD712B" w:rsidRPr="00DD1B58" w14:paraId="6C52C2C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BE30D1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COMAH </w:t>
            </w:r>
          </w:p>
        </w:tc>
        <w:tc>
          <w:tcPr>
            <w:tcW w:w="7848" w:type="dxa"/>
            <w:tcBorders>
              <w:top w:val="single" w:sz="6" w:space="0" w:color="22413A"/>
              <w:left w:val="single" w:sz="6" w:space="0" w:color="22413A"/>
              <w:bottom w:val="single" w:sz="6" w:space="0" w:color="22413A"/>
              <w:right w:val="nil"/>
            </w:tcBorders>
            <w:shd w:val="clear" w:color="auto" w:fill="auto"/>
            <w:hideMark/>
          </w:tcPr>
          <w:p w14:paraId="007A3BB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Control of Major Accident Hazards Regulations 2015 </w:t>
            </w:r>
          </w:p>
        </w:tc>
      </w:tr>
      <w:tr w:rsidR="00DD712B" w:rsidRPr="00DD1B58" w14:paraId="69B51B6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068B68" w14:textId="1CDD0600"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w:t>
            </w:r>
            <w:r w:rsidR="006A72AD" w:rsidRPr="00DD1B58">
              <w:rPr>
                <w:rFonts w:eastAsia="Times New Roman"/>
                <w:color w:val="000000"/>
                <w:szCs w:val="24"/>
                <w:lang w:val="en-US" w:eastAsia="en-GB" w:bidi="ar-SA"/>
              </w:rPr>
              <w:t>omp</w:t>
            </w:r>
            <w:r w:rsidRPr="00DD1B58">
              <w:rPr>
                <w:rFonts w:eastAsia="Times New Roman"/>
                <w:color w:val="000000"/>
                <w:szCs w:val="24"/>
                <w:lang w:val="en-US" w:eastAsia="en-GB" w:bidi="ar-SA"/>
              </w:rPr>
              <w:t>EX </w:t>
            </w:r>
          </w:p>
        </w:tc>
        <w:tc>
          <w:tcPr>
            <w:tcW w:w="7848" w:type="dxa"/>
            <w:tcBorders>
              <w:top w:val="single" w:sz="6" w:space="0" w:color="22413A"/>
              <w:left w:val="single" w:sz="6" w:space="0" w:color="22413A"/>
              <w:bottom w:val="single" w:sz="6" w:space="0" w:color="22413A"/>
              <w:right w:val="nil"/>
            </w:tcBorders>
            <w:shd w:val="clear" w:color="auto" w:fill="auto"/>
            <w:hideMark/>
          </w:tcPr>
          <w:p w14:paraId="1C1EEE9F" w14:textId="079B7A30" w:rsidR="00DD712B" w:rsidRPr="00DD1B58" w:rsidRDefault="006A72A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Competency</w:t>
            </w:r>
            <w:r w:rsidR="00DD712B" w:rsidRPr="00DD1B58">
              <w:rPr>
                <w:rFonts w:eastAsia="Times New Roman"/>
                <w:color w:val="000000" w:themeColor="text1"/>
                <w:szCs w:val="24"/>
                <w:lang w:val="en-US" w:eastAsia="en-GB" w:bidi="ar-SA"/>
              </w:rPr>
              <w:t xml:space="preserve"> in Explosive Atmospheres </w:t>
            </w:r>
          </w:p>
        </w:tc>
      </w:tr>
      <w:tr w:rsidR="00DD712B" w:rsidRPr="00DD1B58" w14:paraId="12F7178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3EA4AB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COP </w:t>
            </w:r>
          </w:p>
        </w:tc>
        <w:tc>
          <w:tcPr>
            <w:tcW w:w="7848" w:type="dxa"/>
            <w:tcBorders>
              <w:top w:val="single" w:sz="6" w:space="0" w:color="22413A"/>
              <w:left w:val="single" w:sz="6" w:space="0" w:color="22413A"/>
              <w:bottom w:val="single" w:sz="6" w:space="0" w:color="22413A"/>
              <w:right w:val="nil"/>
            </w:tcBorders>
            <w:shd w:val="clear" w:color="auto" w:fill="auto"/>
            <w:hideMark/>
          </w:tcPr>
          <w:p w14:paraId="2E411CB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Code of Practice </w:t>
            </w:r>
          </w:p>
        </w:tc>
      </w:tr>
      <w:tr w:rsidR="00DD712B" w:rsidRPr="00DD1B58" w14:paraId="7A9CD17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C4DA23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COSC </w:t>
            </w:r>
          </w:p>
        </w:tc>
        <w:tc>
          <w:tcPr>
            <w:tcW w:w="7848" w:type="dxa"/>
            <w:tcBorders>
              <w:top w:val="single" w:sz="6" w:space="0" w:color="22413A"/>
              <w:left w:val="single" w:sz="6" w:space="0" w:color="22413A"/>
              <w:bottom w:val="single" w:sz="6" w:space="0" w:color="22413A"/>
              <w:right w:val="nil"/>
            </w:tcBorders>
            <w:shd w:val="clear" w:color="auto" w:fill="auto"/>
            <w:hideMark/>
          </w:tcPr>
          <w:p w14:paraId="395485C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Continued Operations Safety Case  </w:t>
            </w:r>
          </w:p>
        </w:tc>
      </w:tr>
      <w:tr w:rsidR="00DD712B" w:rsidRPr="00DD1B58" w14:paraId="193EF70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1BFE6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COSER </w:t>
            </w:r>
          </w:p>
        </w:tc>
        <w:tc>
          <w:tcPr>
            <w:tcW w:w="7848" w:type="dxa"/>
            <w:tcBorders>
              <w:top w:val="single" w:sz="6" w:space="0" w:color="22413A"/>
              <w:left w:val="single" w:sz="6" w:space="0" w:color="22413A"/>
              <w:bottom w:val="single" w:sz="6" w:space="0" w:color="22413A"/>
              <w:right w:val="nil"/>
            </w:tcBorders>
            <w:shd w:val="clear" w:color="auto" w:fill="auto"/>
            <w:hideMark/>
          </w:tcPr>
          <w:p w14:paraId="65FC406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Continued Operations Safety and Environmental Reports  </w:t>
            </w:r>
          </w:p>
        </w:tc>
      </w:tr>
      <w:tr w:rsidR="00DD712B" w:rsidRPr="00DD1B58" w14:paraId="0B28EE1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F96771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COSHH </w:t>
            </w:r>
          </w:p>
        </w:tc>
        <w:tc>
          <w:tcPr>
            <w:tcW w:w="7848" w:type="dxa"/>
            <w:tcBorders>
              <w:top w:val="single" w:sz="6" w:space="0" w:color="22413A"/>
              <w:left w:val="single" w:sz="6" w:space="0" w:color="22413A"/>
              <w:bottom w:val="single" w:sz="6" w:space="0" w:color="22413A"/>
              <w:right w:val="nil"/>
            </w:tcBorders>
            <w:shd w:val="clear" w:color="auto" w:fill="auto"/>
            <w:hideMark/>
          </w:tcPr>
          <w:p w14:paraId="6A63A11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Control of Substances Hazardous to Health  </w:t>
            </w:r>
          </w:p>
        </w:tc>
      </w:tr>
      <w:tr w:rsidR="00DD712B" w:rsidRPr="00DD1B58" w14:paraId="2B9DE23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C42BB4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COSR </w:t>
            </w:r>
          </w:p>
        </w:tc>
        <w:tc>
          <w:tcPr>
            <w:tcW w:w="7848" w:type="dxa"/>
            <w:tcBorders>
              <w:top w:val="single" w:sz="6" w:space="0" w:color="22413A"/>
              <w:left w:val="single" w:sz="6" w:space="0" w:color="22413A"/>
              <w:bottom w:val="single" w:sz="6" w:space="0" w:color="22413A"/>
              <w:right w:val="nil"/>
            </w:tcBorders>
            <w:shd w:val="clear" w:color="auto" w:fill="auto"/>
            <w:hideMark/>
          </w:tcPr>
          <w:p w14:paraId="671855B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Continued Operations Safety Report  </w:t>
            </w:r>
          </w:p>
        </w:tc>
      </w:tr>
      <w:tr w:rsidR="00DD712B" w:rsidRPr="00DD1B58" w14:paraId="590269E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2FB43E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CPNI </w:t>
            </w:r>
          </w:p>
        </w:tc>
        <w:tc>
          <w:tcPr>
            <w:tcW w:w="7848" w:type="dxa"/>
            <w:tcBorders>
              <w:top w:val="single" w:sz="6" w:space="0" w:color="22413A"/>
              <w:left w:val="single" w:sz="6" w:space="0" w:color="22413A"/>
              <w:bottom w:val="single" w:sz="6" w:space="0" w:color="22413A"/>
              <w:right w:val="nil"/>
            </w:tcBorders>
            <w:shd w:val="clear" w:color="auto" w:fill="auto"/>
            <w:hideMark/>
          </w:tcPr>
          <w:p w14:paraId="5C69919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Centre for the Protection of National Infrastructure </w:t>
            </w:r>
          </w:p>
        </w:tc>
      </w:tr>
      <w:tr w:rsidR="00DD712B" w:rsidRPr="00DD1B58" w14:paraId="77E0807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A590EB"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CPR </w:t>
            </w:r>
          </w:p>
        </w:tc>
        <w:tc>
          <w:tcPr>
            <w:tcW w:w="7848" w:type="dxa"/>
            <w:tcBorders>
              <w:top w:val="single" w:sz="6" w:space="0" w:color="22413A"/>
              <w:left w:val="single" w:sz="6" w:space="0" w:color="22413A"/>
              <w:bottom w:val="single" w:sz="6" w:space="0" w:color="22413A"/>
              <w:right w:val="nil"/>
            </w:tcBorders>
            <w:shd w:val="clear" w:color="auto" w:fill="auto"/>
            <w:hideMark/>
          </w:tcPr>
          <w:p w14:paraId="06B5649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Construction Products Regulation  </w:t>
            </w:r>
          </w:p>
        </w:tc>
      </w:tr>
      <w:tr w:rsidR="00DD712B" w:rsidRPr="00DD1B58" w14:paraId="1091013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AAD5B5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CR </w:t>
            </w:r>
          </w:p>
        </w:tc>
        <w:tc>
          <w:tcPr>
            <w:tcW w:w="7848" w:type="dxa"/>
            <w:tcBorders>
              <w:top w:val="single" w:sz="6" w:space="0" w:color="22413A"/>
              <w:left w:val="single" w:sz="6" w:space="0" w:color="22413A"/>
              <w:bottom w:val="single" w:sz="6" w:space="0" w:color="22413A"/>
              <w:right w:val="nil"/>
            </w:tcBorders>
            <w:shd w:val="clear" w:color="auto" w:fill="auto"/>
            <w:hideMark/>
          </w:tcPr>
          <w:p w14:paraId="67966AED" w14:textId="6AD40FC8"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 xml:space="preserve">Contractor's </w:t>
            </w:r>
            <w:r w:rsidR="00233CC8" w:rsidRPr="00DD1B58">
              <w:rPr>
                <w:rFonts w:eastAsia="Times New Roman"/>
                <w:color w:val="000000" w:themeColor="text1"/>
                <w:szCs w:val="24"/>
                <w:lang w:val="en-US" w:eastAsia="en-GB" w:bidi="ar-SA"/>
              </w:rPr>
              <w:t>R</w:t>
            </w:r>
            <w:r w:rsidRPr="00DD1B58">
              <w:rPr>
                <w:rFonts w:eastAsia="Times New Roman"/>
                <w:color w:val="000000" w:themeColor="text1"/>
                <w:szCs w:val="24"/>
                <w:lang w:val="en-US" w:eastAsia="en-GB" w:bidi="ar-SA"/>
              </w:rPr>
              <w:t>eport </w:t>
            </w:r>
          </w:p>
        </w:tc>
      </w:tr>
      <w:tr w:rsidR="00DD712B" w:rsidRPr="00DD1B58" w14:paraId="6320355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5E8127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CRP </w:t>
            </w:r>
          </w:p>
        </w:tc>
        <w:tc>
          <w:tcPr>
            <w:tcW w:w="7848" w:type="dxa"/>
            <w:tcBorders>
              <w:top w:val="single" w:sz="6" w:space="0" w:color="22413A"/>
              <w:left w:val="single" w:sz="6" w:space="0" w:color="22413A"/>
              <w:bottom w:val="single" w:sz="6" w:space="0" w:color="22413A"/>
              <w:right w:val="nil"/>
            </w:tcBorders>
            <w:shd w:val="clear" w:color="auto" w:fill="auto"/>
            <w:hideMark/>
          </w:tcPr>
          <w:p w14:paraId="531837C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Caesium Removal Plant  </w:t>
            </w:r>
          </w:p>
        </w:tc>
      </w:tr>
      <w:tr w:rsidR="00DD712B" w:rsidRPr="00DD1B58" w14:paraId="0F992B4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5AA397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CSS </w:t>
            </w:r>
          </w:p>
        </w:tc>
        <w:tc>
          <w:tcPr>
            <w:tcW w:w="7848" w:type="dxa"/>
            <w:tcBorders>
              <w:top w:val="single" w:sz="6" w:space="0" w:color="22413A"/>
              <w:left w:val="single" w:sz="6" w:space="0" w:color="22413A"/>
              <w:bottom w:val="single" w:sz="6" w:space="0" w:color="22413A"/>
              <w:right w:val="nil"/>
            </w:tcBorders>
            <w:shd w:val="clear" w:color="auto" w:fill="auto"/>
            <w:hideMark/>
          </w:tcPr>
          <w:p w14:paraId="4E6B90A7" w14:textId="78A7533B" w:rsidR="00DD712B" w:rsidRPr="00DD1B58" w:rsidRDefault="00D46F09"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Circular Smoke &amp; Fire Damper</w:t>
            </w:r>
          </w:p>
        </w:tc>
      </w:tr>
      <w:tr w:rsidR="00DD712B" w:rsidRPr="00DD1B58" w14:paraId="7E58CFF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21D85F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DA </w:t>
            </w:r>
          </w:p>
        </w:tc>
        <w:tc>
          <w:tcPr>
            <w:tcW w:w="7848" w:type="dxa"/>
            <w:tcBorders>
              <w:top w:val="single" w:sz="6" w:space="0" w:color="22413A"/>
              <w:left w:val="single" w:sz="6" w:space="0" w:color="22413A"/>
              <w:bottom w:val="single" w:sz="6" w:space="0" w:color="22413A"/>
              <w:right w:val="nil"/>
            </w:tcBorders>
            <w:shd w:val="clear" w:color="auto" w:fill="auto"/>
            <w:hideMark/>
          </w:tcPr>
          <w:p w14:paraId="41A8A89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Authority  </w:t>
            </w:r>
          </w:p>
        </w:tc>
      </w:tr>
      <w:tr w:rsidR="00DD712B" w:rsidRPr="00DD1B58" w14:paraId="0B80D69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02E6A0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DAP </w:t>
            </w:r>
          </w:p>
        </w:tc>
        <w:tc>
          <w:tcPr>
            <w:tcW w:w="7848" w:type="dxa"/>
            <w:tcBorders>
              <w:top w:val="single" w:sz="6" w:space="0" w:color="22413A"/>
              <w:left w:val="single" w:sz="6" w:space="0" w:color="22413A"/>
              <w:bottom w:val="single" w:sz="6" w:space="0" w:color="22413A"/>
              <w:right w:val="nil"/>
            </w:tcBorders>
            <w:shd w:val="clear" w:color="auto" w:fill="auto"/>
            <w:hideMark/>
          </w:tcPr>
          <w:p w14:paraId="7FA5823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Duly Authorised Person  </w:t>
            </w:r>
          </w:p>
        </w:tc>
      </w:tr>
      <w:tr w:rsidR="00DD712B" w:rsidRPr="00DD1B58" w14:paraId="0AE35AF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8B42BD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DAS </w:t>
            </w:r>
          </w:p>
        </w:tc>
        <w:tc>
          <w:tcPr>
            <w:tcW w:w="7848" w:type="dxa"/>
            <w:tcBorders>
              <w:top w:val="single" w:sz="6" w:space="0" w:color="22413A"/>
              <w:left w:val="single" w:sz="6" w:space="0" w:color="22413A"/>
              <w:bottom w:val="single" w:sz="6" w:space="0" w:color="22413A"/>
              <w:right w:val="nil"/>
            </w:tcBorders>
            <w:shd w:val="clear" w:color="auto" w:fill="auto"/>
            <w:hideMark/>
          </w:tcPr>
          <w:p w14:paraId="6303265B" w14:textId="72785FF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Diesel Alternator Set / </w:t>
            </w:r>
            <w:r w:rsidR="00D46F09" w:rsidRPr="00DD1B58">
              <w:rPr>
                <w:rFonts w:eastAsia="Times New Roman"/>
                <w:color w:val="000000"/>
                <w:szCs w:val="24"/>
                <w:lang w:val="en-US" w:eastAsia="en-GB" w:bidi="ar-SA"/>
              </w:rPr>
              <w:t>D</w:t>
            </w:r>
            <w:r w:rsidRPr="00DD1B58">
              <w:rPr>
                <w:rFonts w:eastAsia="Times New Roman"/>
                <w:color w:val="000000"/>
                <w:szCs w:val="24"/>
                <w:lang w:val="en-US" w:eastAsia="en-GB" w:bidi="ar-SA"/>
              </w:rPr>
              <w:t xml:space="preserve">istributed </w:t>
            </w:r>
            <w:r w:rsidR="00D46F09" w:rsidRPr="00DD1B58">
              <w:rPr>
                <w:rFonts w:eastAsia="Times New Roman"/>
                <w:color w:val="000000"/>
                <w:szCs w:val="24"/>
                <w:lang w:val="en-US" w:eastAsia="en-GB" w:bidi="ar-SA"/>
              </w:rPr>
              <w:t>A</w:t>
            </w:r>
            <w:r w:rsidRPr="00DD1B58">
              <w:rPr>
                <w:rFonts w:eastAsia="Times New Roman"/>
                <w:color w:val="000000"/>
                <w:szCs w:val="24"/>
                <w:lang w:val="en-US" w:eastAsia="en-GB" w:bidi="ar-SA"/>
              </w:rPr>
              <w:t xml:space="preserve">ntenna </w:t>
            </w:r>
            <w:r w:rsidR="00D46F09" w:rsidRPr="00DD1B58">
              <w:rPr>
                <w:rFonts w:eastAsia="Times New Roman"/>
                <w:color w:val="000000"/>
                <w:szCs w:val="24"/>
                <w:lang w:val="en-US" w:eastAsia="en-GB" w:bidi="ar-SA"/>
              </w:rPr>
              <w:t>S</w:t>
            </w:r>
            <w:r w:rsidRPr="00DD1B58">
              <w:rPr>
                <w:rFonts w:eastAsia="Times New Roman"/>
                <w:color w:val="000000"/>
                <w:szCs w:val="24"/>
                <w:lang w:val="en-US" w:eastAsia="en-GB" w:bidi="ar-SA"/>
              </w:rPr>
              <w:t>ystem   </w:t>
            </w:r>
          </w:p>
        </w:tc>
      </w:tr>
      <w:tr w:rsidR="00DD712B" w:rsidRPr="00DD1B58" w14:paraId="647E6D7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F244F8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DBA </w:t>
            </w:r>
          </w:p>
        </w:tc>
        <w:tc>
          <w:tcPr>
            <w:tcW w:w="7848" w:type="dxa"/>
            <w:tcBorders>
              <w:top w:val="single" w:sz="6" w:space="0" w:color="22413A"/>
              <w:left w:val="single" w:sz="6" w:space="0" w:color="22413A"/>
              <w:bottom w:val="single" w:sz="6" w:space="0" w:color="22413A"/>
              <w:right w:val="nil"/>
            </w:tcBorders>
            <w:shd w:val="clear" w:color="auto" w:fill="auto"/>
            <w:hideMark/>
          </w:tcPr>
          <w:p w14:paraId="3F0CAE1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Accident  </w:t>
            </w:r>
          </w:p>
        </w:tc>
      </w:tr>
      <w:tr w:rsidR="00DD712B" w:rsidRPr="00DD1B58" w14:paraId="7DB6D9C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3B076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DBAA </w:t>
            </w:r>
          </w:p>
        </w:tc>
        <w:tc>
          <w:tcPr>
            <w:tcW w:w="7848" w:type="dxa"/>
            <w:tcBorders>
              <w:top w:val="single" w:sz="6" w:space="0" w:color="22413A"/>
              <w:left w:val="single" w:sz="6" w:space="0" w:color="22413A"/>
              <w:bottom w:val="single" w:sz="6" w:space="0" w:color="22413A"/>
              <w:right w:val="nil"/>
            </w:tcBorders>
            <w:shd w:val="clear" w:color="auto" w:fill="auto"/>
            <w:hideMark/>
          </w:tcPr>
          <w:p w14:paraId="309921E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Accident Analysis  </w:t>
            </w:r>
          </w:p>
        </w:tc>
      </w:tr>
      <w:tr w:rsidR="00DD712B" w:rsidRPr="00DD1B58" w14:paraId="07B7248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ACCD9D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DBHL </w:t>
            </w:r>
          </w:p>
        </w:tc>
        <w:tc>
          <w:tcPr>
            <w:tcW w:w="7848" w:type="dxa"/>
            <w:tcBorders>
              <w:top w:val="single" w:sz="6" w:space="0" w:color="22413A"/>
              <w:left w:val="single" w:sz="6" w:space="0" w:color="22413A"/>
              <w:bottom w:val="single" w:sz="6" w:space="0" w:color="22413A"/>
              <w:right w:val="nil"/>
            </w:tcBorders>
            <w:shd w:val="clear" w:color="auto" w:fill="auto"/>
            <w:hideMark/>
          </w:tcPr>
          <w:p w14:paraId="4FCD07F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Hazard Level </w:t>
            </w:r>
          </w:p>
        </w:tc>
      </w:tr>
      <w:tr w:rsidR="00DD712B" w:rsidRPr="00DD1B58" w14:paraId="1C1DDE5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01702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DBIF </w:t>
            </w:r>
          </w:p>
        </w:tc>
        <w:tc>
          <w:tcPr>
            <w:tcW w:w="7848" w:type="dxa"/>
            <w:tcBorders>
              <w:top w:val="single" w:sz="6" w:space="0" w:color="22413A"/>
              <w:left w:val="single" w:sz="6" w:space="0" w:color="22413A"/>
              <w:bottom w:val="single" w:sz="6" w:space="0" w:color="22413A"/>
              <w:right w:val="nil"/>
            </w:tcBorders>
            <w:shd w:val="clear" w:color="auto" w:fill="auto"/>
            <w:hideMark/>
          </w:tcPr>
          <w:p w14:paraId="0A37DCC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Initiating Faults  </w:t>
            </w:r>
          </w:p>
        </w:tc>
      </w:tr>
      <w:tr w:rsidR="00DD712B" w:rsidRPr="00DD1B58" w14:paraId="0FF3524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0E788D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DBIH </w:t>
            </w:r>
          </w:p>
        </w:tc>
        <w:tc>
          <w:tcPr>
            <w:tcW w:w="7848" w:type="dxa"/>
            <w:tcBorders>
              <w:top w:val="single" w:sz="6" w:space="0" w:color="22413A"/>
              <w:left w:val="single" w:sz="6" w:space="0" w:color="22413A"/>
              <w:bottom w:val="single" w:sz="6" w:space="0" w:color="22413A"/>
              <w:right w:val="nil"/>
            </w:tcBorders>
            <w:shd w:val="clear" w:color="auto" w:fill="auto"/>
            <w:hideMark/>
          </w:tcPr>
          <w:p w14:paraId="0D79AD20" w14:textId="045285AD" w:rsidR="00DD712B" w:rsidRPr="00DD1B58" w:rsidRDefault="00FC19D8"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Internal Hazard</w:t>
            </w:r>
          </w:p>
        </w:tc>
      </w:tr>
      <w:tr w:rsidR="00DD712B" w:rsidRPr="00DD1B58" w14:paraId="16EFD44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A7793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DBSM </w:t>
            </w:r>
          </w:p>
        </w:tc>
        <w:tc>
          <w:tcPr>
            <w:tcW w:w="7848" w:type="dxa"/>
            <w:tcBorders>
              <w:top w:val="single" w:sz="6" w:space="0" w:color="22413A"/>
              <w:left w:val="single" w:sz="6" w:space="0" w:color="22413A"/>
              <w:bottom w:val="single" w:sz="6" w:space="0" w:color="22413A"/>
              <w:right w:val="nil"/>
            </w:tcBorders>
            <w:shd w:val="clear" w:color="auto" w:fill="auto"/>
            <w:hideMark/>
          </w:tcPr>
          <w:p w14:paraId="27E1A7D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Design Basis Safety Measures  </w:t>
            </w:r>
          </w:p>
        </w:tc>
      </w:tr>
      <w:tr w:rsidR="00DD712B" w:rsidRPr="00DD1B58" w14:paraId="6F5B36B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9B0132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DCP </w:t>
            </w:r>
          </w:p>
        </w:tc>
        <w:tc>
          <w:tcPr>
            <w:tcW w:w="7848" w:type="dxa"/>
            <w:tcBorders>
              <w:top w:val="single" w:sz="6" w:space="0" w:color="22413A"/>
              <w:left w:val="single" w:sz="6" w:space="0" w:color="22413A"/>
              <w:bottom w:val="single" w:sz="6" w:space="0" w:color="22413A"/>
              <w:right w:val="nil"/>
            </w:tcBorders>
            <w:shd w:val="clear" w:color="auto" w:fill="auto"/>
            <w:hideMark/>
          </w:tcPr>
          <w:p w14:paraId="42DB3A5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Dounreay Cementation Plant  </w:t>
            </w:r>
          </w:p>
        </w:tc>
      </w:tr>
      <w:tr w:rsidR="00DD712B" w:rsidRPr="00DD1B58" w14:paraId="2DEB3C0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94FBD8A" w14:textId="42BF1FB3"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w:t>
            </w:r>
            <w:r w:rsidR="00456F7A" w:rsidRPr="00DD1B58">
              <w:rPr>
                <w:rFonts w:eastAsia="Times New Roman"/>
                <w:color w:val="000000"/>
                <w:szCs w:val="24"/>
                <w:lang w:val="en-US" w:eastAsia="en-GB" w:bidi="ar-SA"/>
              </w:rPr>
              <w:t>SE</w:t>
            </w:r>
            <w:r w:rsidRPr="00DD1B58">
              <w:rPr>
                <w:rFonts w:eastAsia="Times New Roman"/>
                <w:color w:val="000000"/>
                <w:szCs w:val="24"/>
                <w:lang w:val="en-US" w:eastAsia="en-GB" w:bidi="ar-SA"/>
              </w:rPr>
              <w:t>AR </w:t>
            </w:r>
          </w:p>
        </w:tc>
        <w:tc>
          <w:tcPr>
            <w:tcW w:w="7848" w:type="dxa"/>
            <w:tcBorders>
              <w:top w:val="single" w:sz="6" w:space="0" w:color="22413A"/>
              <w:left w:val="single" w:sz="6" w:space="0" w:color="22413A"/>
              <w:bottom w:val="single" w:sz="6" w:space="0" w:color="22413A"/>
              <w:right w:val="nil"/>
            </w:tcBorders>
            <w:shd w:val="clear" w:color="auto" w:fill="auto"/>
            <w:hideMark/>
          </w:tcPr>
          <w:p w14:paraId="232718B2" w14:textId="2F4016E0" w:rsidR="00DD712B" w:rsidRPr="00DD1B58" w:rsidRDefault="00456F7A"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Dangerous Substances and Explosives Atmospheres Regulations</w:t>
            </w:r>
            <w:r w:rsidR="00DD712B" w:rsidRPr="00DD1B58">
              <w:rPr>
                <w:rFonts w:eastAsia="Times New Roman"/>
                <w:color w:val="000000" w:themeColor="text1"/>
                <w:szCs w:val="24"/>
                <w:lang w:val="en-US" w:eastAsia="en-GB" w:bidi="ar-SA"/>
              </w:rPr>
              <w:t> </w:t>
            </w:r>
          </w:p>
        </w:tc>
      </w:tr>
      <w:tr w:rsidR="00DD712B" w:rsidRPr="00DD1B58" w14:paraId="2816E56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46AD0C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 </w:t>
            </w:r>
          </w:p>
        </w:tc>
        <w:tc>
          <w:tcPr>
            <w:tcW w:w="7848" w:type="dxa"/>
            <w:tcBorders>
              <w:top w:val="single" w:sz="6" w:space="0" w:color="22413A"/>
              <w:left w:val="single" w:sz="6" w:space="0" w:color="22413A"/>
              <w:bottom w:val="single" w:sz="6" w:space="0" w:color="22413A"/>
              <w:right w:val="nil"/>
            </w:tcBorders>
            <w:shd w:val="clear" w:color="auto" w:fill="auto"/>
            <w:hideMark/>
          </w:tcPr>
          <w:p w14:paraId="00D936C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Decontamination Factors  </w:t>
            </w:r>
          </w:p>
        </w:tc>
      </w:tr>
      <w:tr w:rsidR="00DD712B" w:rsidRPr="00DD1B58" w14:paraId="33A669E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16C79D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DFARS </w:t>
            </w:r>
          </w:p>
        </w:tc>
        <w:tc>
          <w:tcPr>
            <w:tcW w:w="7848" w:type="dxa"/>
            <w:tcBorders>
              <w:top w:val="single" w:sz="6" w:space="0" w:color="22413A"/>
              <w:left w:val="single" w:sz="6" w:space="0" w:color="22413A"/>
              <w:bottom w:val="single" w:sz="6" w:space="0" w:color="22413A"/>
              <w:right w:val="nil"/>
            </w:tcBorders>
            <w:shd w:val="clear" w:color="auto" w:fill="auto"/>
            <w:hideMark/>
          </w:tcPr>
          <w:p w14:paraId="098AFA0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Dounreay Fire Ambulance and Rescue Service  </w:t>
            </w:r>
          </w:p>
        </w:tc>
      </w:tr>
      <w:tr w:rsidR="00DD712B" w:rsidRPr="00DD1B58" w14:paraId="6A7F391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23950BF"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DFR </w:t>
            </w:r>
          </w:p>
        </w:tc>
        <w:tc>
          <w:tcPr>
            <w:tcW w:w="7848" w:type="dxa"/>
            <w:tcBorders>
              <w:top w:val="single" w:sz="6" w:space="0" w:color="22413A"/>
              <w:left w:val="single" w:sz="6" w:space="0" w:color="22413A"/>
              <w:bottom w:val="single" w:sz="6" w:space="0" w:color="22413A"/>
              <w:right w:val="nil"/>
            </w:tcBorders>
            <w:shd w:val="clear" w:color="auto" w:fill="auto"/>
            <w:hideMark/>
          </w:tcPr>
          <w:p w14:paraId="3BDB635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Dounreay Fast (Breeder) Reactor  </w:t>
            </w:r>
          </w:p>
        </w:tc>
      </w:tr>
      <w:tr w:rsidR="00DD712B" w:rsidRPr="00DD1B58" w14:paraId="278F9CF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BF05B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DFRA </w:t>
            </w:r>
          </w:p>
        </w:tc>
        <w:tc>
          <w:tcPr>
            <w:tcW w:w="7848" w:type="dxa"/>
            <w:tcBorders>
              <w:top w:val="single" w:sz="6" w:space="0" w:color="22413A"/>
              <w:left w:val="single" w:sz="6" w:space="0" w:color="22413A"/>
              <w:bottom w:val="single" w:sz="6" w:space="0" w:color="22413A"/>
              <w:right w:val="nil"/>
            </w:tcBorders>
            <w:shd w:val="clear" w:color="auto" w:fill="auto"/>
            <w:hideMark/>
          </w:tcPr>
          <w:p w14:paraId="144B4B2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Deterministic Fire Risk Assessment </w:t>
            </w:r>
          </w:p>
        </w:tc>
      </w:tr>
      <w:tr w:rsidR="00DD712B" w:rsidRPr="00DD1B58" w14:paraId="160A81F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B85A29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DFS </w:t>
            </w:r>
          </w:p>
        </w:tc>
        <w:tc>
          <w:tcPr>
            <w:tcW w:w="7848" w:type="dxa"/>
            <w:tcBorders>
              <w:top w:val="single" w:sz="6" w:space="0" w:color="22413A"/>
              <w:left w:val="single" w:sz="6" w:space="0" w:color="22413A"/>
              <w:bottom w:val="single" w:sz="6" w:space="0" w:color="22413A"/>
              <w:right w:val="nil"/>
            </w:tcBorders>
            <w:shd w:val="clear" w:color="auto" w:fill="auto"/>
            <w:hideMark/>
          </w:tcPr>
          <w:p w14:paraId="60BB8C8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Dry Fuel Store </w:t>
            </w:r>
          </w:p>
        </w:tc>
      </w:tr>
      <w:tr w:rsidR="00DD712B" w:rsidRPr="00DD1B58" w14:paraId="61AAD3E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C299F2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DFSB </w:t>
            </w:r>
          </w:p>
        </w:tc>
        <w:tc>
          <w:tcPr>
            <w:tcW w:w="7848" w:type="dxa"/>
            <w:tcBorders>
              <w:top w:val="single" w:sz="6" w:space="0" w:color="22413A"/>
              <w:left w:val="single" w:sz="6" w:space="0" w:color="22413A"/>
              <w:bottom w:val="single" w:sz="6" w:space="0" w:color="22413A"/>
              <w:right w:val="nil"/>
            </w:tcBorders>
            <w:shd w:val="clear" w:color="auto" w:fill="auto"/>
            <w:hideMark/>
          </w:tcPr>
          <w:p w14:paraId="53CC5A2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Dry Fuel Store Building  </w:t>
            </w:r>
          </w:p>
        </w:tc>
      </w:tr>
      <w:tr w:rsidR="00DD712B" w:rsidRPr="00DD1B58" w14:paraId="640F49D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190CB1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DMR </w:t>
            </w:r>
          </w:p>
        </w:tc>
        <w:tc>
          <w:tcPr>
            <w:tcW w:w="7848" w:type="dxa"/>
            <w:tcBorders>
              <w:top w:val="single" w:sz="6" w:space="0" w:color="22413A"/>
              <w:left w:val="single" w:sz="6" w:space="0" w:color="22413A"/>
              <w:bottom w:val="single" w:sz="6" w:space="0" w:color="22413A"/>
              <w:right w:val="nil"/>
            </w:tcBorders>
            <w:shd w:val="clear" w:color="auto" w:fill="auto"/>
            <w:hideMark/>
          </w:tcPr>
          <w:p w14:paraId="5ACC20B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Dounreay Modification Report  </w:t>
            </w:r>
          </w:p>
        </w:tc>
      </w:tr>
      <w:tr w:rsidR="00DD712B" w:rsidRPr="00DD1B58" w14:paraId="7D94A3D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91B77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DNB </w:t>
            </w:r>
          </w:p>
        </w:tc>
        <w:tc>
          <w:tcPr>
            <w:tcW w:w="7848" w:type="dxa"/>
            <w:tcBorders>
              <w:top w:val="single" w:sz="6" w:space="0" w:color="22413A"/>
              <w:left w:val="single" w:sz="6" w:space="0" w:color="22413A"/>
              <w:bottom w:val="single" w:sz="6" w:space="0" w:color="22413A"/>
              <w:right w:val="nil"/>
            </w:tcBorders>
            <w:shd w:val="clear" w:color="auto" w:fill="auto"/>
            <w:hideMark/>
          </w:tcPr>
          <w:p w14:paraId="2639418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Dungeness B </w:t>
            </w:r>
          </w:p>
        </w:tc>
      </w:tr>
      <w:tr w:rsidR="00DD712B" w:rsidRPr="00DD1B58" w14:paraId="7BE0C39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A5DBB2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DNV </w:t>
            </w:r>
          </w:p>
        </w:tc>
        <w:tc>
          <w:tcPr>
            <w:tcW w:w="7848" w:type="dxa"/>
            <w:tcBorders>
              <w:top w:val="single" w:sz="6" w:space="0" w:color="22413A"/>
              <w:left w:val="single" w:sz="6" w:space="0" w:color="22413A"/>
              <w:bottom w:val="single" w:sz="6" w:space="0" w:color="22413A"/>
              <w:right w:val="nil"/>
            </w:tcBorders>
            <w:shd w:val="clear" w:color="auto" w:fill="auto"/>
            <w:hideMark/>
          </w:tcPr>
          <w:p w14:paraId="08E2B25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Det Norske Veritas </w:t>
            </w:r>
          </w:p>
        </w:tc>
      </w:tr>
      <w:tr w:rsidR="00DD712B" w:rsidRPr="00DD1B58" w14:paraId="6D90715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8BD629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DPVCW </w:t>
            </w:r>
          </w:p>
        </w:tc>
        <w:tc>
          <w:tcPr>
            <w:tcW w:w="7848" w:type="dxa"/>
            <w:tcBorders>
              <w:top w:val="single" w:sz="6" w:space="0" w:color="22413A"/>
              <w:left w:val="single" w:sz="6" w:space="0" w:color="22413A"/>
              <w:bottom w:val="single" w:sz="6" w:space="0" w:color="22413A"/>
              <w:right w:val="nil"/>
            </w:tcBorders>
            <w:shd w:val="clear" w:color="auto" w:fill="auto"/>
            <w:hideMark/>
          </w:tcPr>
          <w:p w14:paraId="147BD46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Diverse Pressure Vessel Cooling Water  </w:t>
            </w:r>
          </w:p>
        </w:tc>
      </w:tr>
      <w:tr w:rsidR="00DD712B" w:rsidRPr="00DD1B58" w14:paraId="316F4FA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95A305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DSC </w:t>
            </w:r>
          </w:p>
        </w:tc>
        <w:tc>
          <w:tcPr>
            <w:tcW w:w="7848" w:type="dxa"/>
            <w:tcBorders>
              <w:top w:val="single" w:sz="6" w:space="0" w:color="22413A"/>
              <w:left w:val="single" w:sz="6" w:space="0" w:color="22413A"/>
              <w:bottom w:val="single" w:sz="6" w:space="0" w:color="22413A"/>
              <w:right w:val="nil"/>
            </w:tcBorders>
            <w:shd w:val="clear" w:color="auto" w:fill="auto"/>
            <w:hideMark/>
          </w:tcPr>
          <w:p w14:paraId="73FC4EF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Decommissioning Safety Case  </w:t>
            </w:r>
          </w:p>
        </w:tc>
      </w:tr>
      <w:tr w:rsidR="00DD712B" w:rsidRPr="00DD1B58" w14:paraId="7298D1E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4E6F9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DSEAR </w:t>
            </w:r>
          </w:p>
        </w:tc>
        <w:tc>
          <w:tcPr>
            <w:tcW w:w="7848" w:type="dxa"/>
            <w:tcBorders>
              <w:top w:val="single" w:sz="6" w:space="0" w:color="22413A"/>
              <w:left w:val="single" w:sz="6" w:space="0" w:color="22413A"/>
              <w:bottom w:val="single" w:sz="6" w:space="0" w:color="22413A"/>
              <w:right w:val="nil"/>
            </w:tcBorders>
            <w:shd w:val="clear" w:color="auto" w:fill="auto"/>
            <w:hideMark/>
          </w:tcPr>
          <w:p w14:paraId="5A1BABC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Dangerous Substances &amp; Explosive Atmospheres Regulations </w:t>
            </w:r>
          </w:p>
        </w:tc>
      </w:tr>
      <w:tr w:rsidR="00DD712B" w:rsidRPr="00DD1B58" w14:paraId="656CC0F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BBA172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DSRL </w:t>
            </w:r>
          </w:p>
        </w:tc>
        <w:tc>
          <w:tcPr>
            <w:tcW w:w="7848" w:type="dxa"/>
            <w:tcBorders>
              <w:top w:val="single" w:sz="6" w:space="0" w:color="22413A"/>
              <w:left w:val="single" w:sz="6" w:space="0" w:color="22413A"/>
              <w:bottom w:val="single" w:sz="6" w:space="0" w:color="22413A"/>
              <w:right w:val="nil"/>
            </w:tcBorders>
            <w:shd w:val="clear" w:color="auto" w:fill="auto"/>
            <w:hideMark/>
          </w:tcPr>
          <w:p w14:paraId="5D17643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Dounreay Site Restoration Limited  </w:t>
            </w:r>
          </w:p>
        </w:tc>
      </w:tr>
      <w:tr w:rsidR="00DD712B" w:rsidRPr="00DD1B58" w14:paraId="5E414D0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32960D"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DU </w:t>
            </w:r>
          </w:p>
        </w:tc>
        <w:tc>
          <w:tcPr>
            <w:tcW w:w="7848" w:type="dxa"/>
            <w:tcBorders>
              <w:top w:val="single" w:sz="6" w:space="0" w:color="22413A"/>
              <w:left w:val="single" w:sz="6" w:space="0" w:color="22413A"/>
              <w:bottom w:val="single" w:sz="6" w:space="0" w:color="22413A"/>
              <w:right w:val="nil"/>
            </w:tcBorders>
            <w:shd w:val="clear" w:color="auto" w:fill="auto"/>
            <w:hideMark/>
          </w:tcPr>
          <w:p w14:paraId="67B3228C" w14:textId="2360D5BD" w:rsidR="00DD712B" w:rsidRPr="00DD1B58" w:rsidRDefault="00456F7A"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D</w:t>
            </w:r>
            <w:r w:rsidR="00DD712B" w:rsidRPr="00DD1B58">
              <w:rPr>
                <w:rFonts w:eastAsia="Times New Roman"/>
                <w:color w:val="000000"/>
                <w:szCs w:val="24"/>
                <w:lang w:val="en-US" w:eastAsia="en-GB" w:bidi="ar-SA"/>
              </w:rPr>
              <w:t xml:space="preserve">epleted </w:t>
            </w:r>
            <w:r w:rsidRPr="00DD1B58">
              <w:rPr>
                <w:rFonts w:eastAsia="Times New Roman"/>
                <w:color w:val="000000"/>
                <w:szCs w:val="24"/>
                <w:lang w:val="en-US" w:eastAsia="en-GB" w:bidi="ar-SA"/>
              </w:rPr>
              <w:t>U</w:t>
            </w:r>
            <w:r w:rsidR="00DD712B" w:rsidRPr="00DD1B58">
              <w:rPr>
                <w:rFonts w:eastAsia="Times New Roman"/>
                <w:color w:val="000000"/>
                <w:szCs w:val="24"/>
                <w:lang w:val="en-US" w:eastAsia="en-GB" w:bidi="ar-SA"/>
              </w:rPr>
              <w:t>ranium  </w:t>
            </w:r>
          </w:p>
        </w:tc>
      </w:tr>
      <w:tr w:rsidR="00DD712B" w:rsidRPr="00DD1B58" w14:paraId="3332DF3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A35865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EC </w:t>
            </w:r>
          </w:p>
        </w:tc>
        <w:tc>
          <w:tcPr>
            <w:tcW w:w="7848" w:type="dxa"/>
            <w:tcBorders>
              <w:top w:val="single" w:sz="6" w:space="0" w:color="22413A"/>
              <w:left w:val="single" w:sz="6" w:space="0" w:color="22413A"/>
              <w:bottom w:val="single" w:sz="6" w:space="0" w:color="22413A"/>
              <w:right w:val="nil"/>
            </w:tcBorders>
            <w:shd w:val="clear" w:color="auto" w:fill="auto"/>
            <w:hideMark/>
          </w:tcPr>
          <w:p w14:paraId="426EE423"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Engineering Change / European Regulation  </w:t>
            </w:r>
          </w:p>
        </w:tc>
      </w:tr>
      <w:tr w:rsidR="00DD712B" w:rsidRPr="00DD1B58" w14:paraId="74F5064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AA2C4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ECC </w:t>
            </w:r>
          </w:p>
        </w:tc>
        <w:tc>
          <w:tcPr>
            <w:tcW w:w="7848" w:type="dxa"/>
            <w:tcBorders>
              <w:top w:val="single" w:sz="6" w:space="0" w:color="22413A"/>
              <w:left w:val="single" w:sz="6" w:space="0" w:color="22413A"/>
              <w:bottom w:val="single" w:sz="6" w:space="0" w:color="22413A"/>
              <w:right w:val="nil"/>
            </w:tcBorders>
            <w:shd w:val="clear" w:color="auto" w:fill="auto"/>
            <w:hideMark/>
          </w:tcPr>
          <w:p w14:paraId="38717DD4"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Emergency Control Centre  </w:t>
            </w:r>
          </w:p>
        </w:tc>
      </w:tr>
      <w:tr w:rsidR="00DD712B" w:rsidRPr="00DD1B58" w14:paraId="382320F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6807482"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EDF </w:t>
            </w:r>
          </w:p>
        </w:tc>
        <w:tc>
          <w:tcPr>
            <w:tcW w:w="7848" w:type="dxa"/>
            <w:tcBorders>
              <w:top w:val="single" w:sz="6" w:space="0" w:color="22413A"/>
              <w:left w:val="single" w:sz="6" w:space="0" w:color="22413A"/>
              <w:bottom w:val="single" w:sz="6" w:space="0" w:color="22413A"/>
              <w:right w:val="nil"/>
            </w:tcBorders>
            <w:shd w:val="clear" w:color="auto" w:fill="auto"/>
            <w:hideMark/>
          </w:tcPr>
          <w:p w14:paraId="09024BD0"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Electricité de France  </w:t>
            </w:r>
          </w:p>
        </w:tc>
      </w:tr>
      <w:tr w:rsidR="00DD712B" w:rsidRPr="00DD1B58" w14:paraId="03045D4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ED6AA4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EDP </w:t>
            </w:r>
          </w:p>
        </w:tc>
        <w:tc>
          <w:tcPr>
            <w:tcW w:w="7848" w:type="dxa"/>
            <w:tcBorders>
              <w:top w:val="single" w:sz="6" w:space="0" w:color="22413A"/>
              <w:left w:val="single" w:sz="6" w:space="0" w:color="22413A"/>
              <w:bottom w:val="single" w:sz="6" w:space="0" w:color="22413A"/>
              <w:right w:val="nil"/>
            </w:tcBorders>
            <w:shd w:val="clear" w:color="auto" w:fill="auto"/>
            <w:hideMark/>
          </w:tcPr>
          <w:p w14:paraId="1C4E4D9E" w14:textId="3FF4031C" w:rsidR="00DD712B" w:rsidRPr="00DD1B58" w:rsidRDefault="00E97AB7"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Electronic Data Processing</w:t>
            </w:r>
          </w:p>
        </w:tc>
      </w:tr>
      <w:tr w:rsidR="00DD712B" w:rsidRPr="00DD1B58" w14:paraId="73842D1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97A123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EHA </w:t>
            </w:r>
          </w:p>
        </w:tc>
        <w:tc>
          <w:tcPr>
            <w:tcW w:w="7848" w:type="dxa"/>
            <w:tcBorders>
              <w:top w:val="single" w:sz="6" w:space="0" w:color="22413A"/>
              <w:left w:val="single" w:sz="6" w:space="0" w:color="22413A"/>
              <w:bottom w:val="single" w:sz="6" w:space="0" w:color="22413A"/>
              <w:right w:val="nil"/>
            </w:tcBorders>
            <w:shd w:val="clear" w:color="auto" w:fill="auto"/>
            <w:hideMark/>
          </w:tcPr>
          <w:p w14:paraId="3B1A1AD5"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Internal and External Hazards  </w:t>
            </w:r>
          </w:p>
        </w:tc>
      </w:tr>
      <w:tr w:rsidR="00DD712B" w:rsidRPr="00DD1B58" w14:paraId="48D2A43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0C3227A"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EHS </w:t>
            </w:r>
          </w:p>
        </w:tc>
        <w:tc>
          <w:tcPr>
            <w:tcW w:w="7848" w:type="dxa"/>
            <w:tcBorders>
              <w:top w:val="single" w:sz="6" w:space="0" w:color="22413A"/>
              <w:left w:val="single" w:sz="6" w:space="0" w:color="22413A"/>
              <w:bottom w:val="single" w:sz="6" w:space="0" w:color="22413A"/>
              <w:right w:val="nil"/>
            </w:tcBorders>
            <w:shd w:val="clear" w:color="auto" w:fill="auto"/>
            <w:hideMark/>
          </w:tcPr>
          <w:p w14:paraId="490E68AE" w14:textId="1C7A954E"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Environment </w:t>
            </w:r>
            <w:r w:rsidR="00456F7A" w:rsidRPr="00DD1B58">
              <w:rPr>
                <w:rFonts w:eastAsia="Times New Roman"/>
                <w:color w:val="000000"/>
                <w:szCs w:val="24"/>
                <w:lang w:val="en-US" w:eastAsia="en-GB" w:bidi="ar-SA"/>
              </w:rPr>
              <w:t>H</w:t>
            </w:r>
            <w:r w:rsidRPr="00DD1B58">
              <w:rPr>
                <w:rFonts w:eastAsia="Times New Roman"/>
                <w:color w:val="000000"/>
                <w:szCs w:val="24"/>
                <w:lang w:val="en-US" w:eastAsia="en-GB" w:bidi="ar-SA"/>
              </w:rPr>
              <w:t xml:space="preserve">ealth and </w:t>
            </w:r>
            <w:r w:rsidR="00EC059A" w:rsidRPr="00DD1B58">
              <w:rPr>
                <w:rFonts w:eastAsia="Times New Roman"/>
                <w:color w:val="000000"/>
                <w:szCs w:val="24"/>
                <w:lang w:val="en-US" w:eastAsia="en-GB" w:bidi="ar-SA"/>
              </w:rPr>
              <w:t>S</w:t>
            </w:r>
            <w:r w:rsidRPr="00DD1B58">
              <w:rPr>
                <w:rFonts w:eastAsia="Times New Roman"/>
                <w:color w:val="000000"/>
                <w:szCs w:val="24"/>
                <w:lang w:val="en-US" w:eastAsia="en-GB" w:bidi="ar-SA"/>
              </w:rPr>
              <w:t>afety  </w:t>
            </w:r>
          </w:p>
        </w:tc>
      </w:tr>
      <w:tr w:rsidR="00DD712B" w:rsidRPr="00DD1B58" w14:paraId="4F616F3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F1C27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EIM&amp;T </w:t>
            </w:r>
          </w:p>
        </w:tc>
        <w:tc>
          <w:tcPr>
            <w:tcW w:w="7848" w:type="dxa"/>
            <w:tcBorders>
              <w:top w:val="single" w:sz="6" w:space="0" w:color="22413A"/>
              <w:left w:val="single" w:sz="6" w:space="0" w:color="22413A"/>
              <w:bottom w:val="single" w:sz="6" w:space="0" w:color="22413A"/>
              <w:right w:val="nil"/>
            </w:tcBorders>
            <w:shd w:val="clear" w:color="auto" w:fill="auto"/>
            <w:hideMark/>
          </w:tcPr>
          <w:p w14:paraId="7CBF3BAE"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Examination, Inspection Maintenance and Testing </w:t>
            </w:r>
          </w:p>
        </w:tc>
      </w:tr>
      <w:tr w:rsidR="00DD712B" w:rsidRPr="00DD1B58" w14:paraId="284BCDA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7F50F5C"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EKP </w:t>
            </w:r>
          </w:p>
        </w:tc>
        <w:tc>
          <w:tcPr>
            <w:tcW w:w="7848" w:type="dxa"/>
            <w:tcBorders>
              <w:top w:val="single" w:sz="6" w:space="0" w:color="22413A"/>
              <w:left w:val="single" w:sz="6" w:space="0" w:color="22413A"/>
              <w:bottom w:val="single" w:sz="6" w:space="0" w:color="22413A"/>
              <w:right w:val="nil"/>
            </w:tcBorders>
            <w:shd w:val="clear" w:color="auto" w:fill="auto"/>
            <w:hideMark/>
          </w:tcPr>
          <w:p w14:paraId="3F5B2FF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Engineering Key Principles  </w:t>
            </w:r>
          </w:p>
        </w:tc>
      </w:tr>
      <w:tr w:rsidR="00DD712B" w:rsidRPr="00DD1B58" w14:paraId="1307000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F1D5EF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EMANI </w:t>
            </w:r>
          </w:p>
        </w:tc>
        <w:tc>
          <w:tcPr>
            <w:tcW w:w="7848" w:type="dxa"/>
            <w:tcBorders>
              <w:top w:val="single" w:sz="6" w:space="0" w:color="22413A"/>
              <w:left w:val="single" w:sz="6" w:space="0" w:color="22413A"/>
              <w:bottom w:val="single" w:sz="6" w:space="0" w:color="22413A"/>
              <w:right w:val="nil"/>
            </w:tcBorders>
            <w:shd w:val="clear" w:color="auto" w:fill="auto"/>
            <w:hideMark/>
          </w:tcPr>
          <w:p w14:paraId="24D17876"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European Mutual Association for Nuclear Insurance Loss Control Standards </w:t>
            </w:r>
          </w:p>
        </w:tc>
      </w:tr>
      <w:tr w:rsidR="00DD712B" w:rsidRPr="00DD1B58" w14:paraId="1A14AEB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E9949D1"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EMIT </w:t>
            </w:r>
          </w:p>
        </w:tc>
        <w:tc>
          <w:tcPr>
            <w:tcW w:w="7848" w:type="dxa"/>
            <w:tcBorders>
              <w:top w:val="single" w:sz="6" w:space="0" w:color="22413A"/>
              <w:left w:val="single" w:sz="6" w:space="0" w:color="22413A"/>
              <w:bottom w:val="single" w:sz="6" w:space="0" w:color="22413A"/>
              <w:right w:val="nil"/>
            </w:tcBorders>
            <w:shd w:val="clear" w:color="auto" w:fill="auto"/>
            <w:hideMark/>
          </w:tcPr>
          <w:p w14:paraId="29B183A9"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Engineering, Maintenance, Inspection &amp; Testing </w:t>
            </w:r>
          </w:p>
        </w:tc>
      </w:tr>
      <w:tr w:rsidR="00DD712B" w:rsidRPr="00DD1B58" w14:paraId="5E3385C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D6B34C8"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 </w:t>
            </w:r>
          </w:p>
        </w:tc>
        <w:tc>
          <w:tcPr>
            <w:tcW w:w="7848" w:type="dxa"/>
            <w:tcBorders>
              <w:top w:val="single" w:sz="6" w:space="0" w:color="22413A"/>
              <w:left w:val="single" w:sz="6" w:space="0" w:color="22413A"/>
              <w:bottom w:val="single" w:sz="6" w:space="0" w:color="22413A"/>
              <w:right w:val="nil"/>
            </w:tcBorders>
            <w:shd w:val="clear" w:color="auto" w:fill="auto"/>
            <w:hideMark/>
          </w:tcPr>
          <w:p w14:paraId="34D4AE67" w14:textId="77777777" w:rsidR="00DD712B" w:rsidRPr="00DD1B58" w:rsidRDefault="00DD712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European Normative </w:t>
            </w:r>
          </w:p>
        </w:tc>
      </w:tr>
      <w:tr w:rsidR="001F1046" w:rsidRPr="00DD1B58" w14:paraId="02EF898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99FED65" w14:textId="5810153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ENSREG </w:t>
            </w:r>
          </w:p>
        </w:tc>
        <w:tc>
          <w:tcPr>
            <w:tcW w:w="7848" w:type="dxa"/>
            <w:tcBorders>
              <w:top w:val="single" w:sz="6" w:space="0" w:color="22413A"/>
              <w:left w:val="single" w:sz="6" w:space="0" w:color="22413A"/>
              <w:bottom w:val="single" w:sz="6" w:space="0" w:color="22413A"/>
              <w:right w:val="nil"/>
            </w:tcBorders>
            <w:shd w:val="clear" w:color="auto" w:fill="auto"/>
            <w:hideMark/>
          </w:tcPr>
          <w:p w14:paraId="07632E30" w14:textId="5C577AF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European Nuclear Safety Regulators Group  </w:t>
            </w:r>
          </w:p>
        </w:tc>
      </w:tr>
      <w:tr w:rsidR="001F1046" w:rsidRPr="00DD1B58" w14:paraId="3F977A2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A7BF2AF" w14:textId="3D0DC27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EPCC </w:t>
            </w:r>
          </w:p>
        </w:tc>
        <w:tc>
          <w:tcPr>
            <w:tcW w:w="7848" w:type="dxa"/>
            <w:tcBorders>
              <w:top w:val="single" w:sz="6" w:space="0" w:color="22413A"/>
              <w:left w:val="single" w:sz="6" w:space="0" w:color="22413A"/>
              <w:bottom w:val="single" w:sz="6" w:space="0" w:color="22413A"/>
              <w:right w:val="nil"/>
            </w:tcBorders>
            <w:shd w:val="clear" w:color="auto" w:fill="auto"/>
            <w:hideMark/>
          </w:tcPr>
          <w:p w14:paraId="4019F9F8" w14:textId="231FEA6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Emergency Preparedness Consultative Committee  </w:t>
            </w:r>
          </w:p>
        </w:tc>
      </w:tr>
      <w:tr w:rsidR="001F1046" w:rsidRPr="00DD1B58" w14:paraId="005F538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135386E" w14:textId="681BF225"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EPR </w:t>
            </w:r>
          </w:p>
        </w:tc>
        <w:tc>
          <w:tcPr>
            <w:tcW w:w="7848" w:type="dxa"/>
            <w:tcBorders>
              <w:top w:val="single" w:sz="6" w:space="0" w:color="22413A"/>
              <w:left w:val="single" w:sz="6" w:space="0" w:color="22413A"/>
              <w:bottom w:val="single" w:sz="6" w:space="0" w:color="22413A"/>
              <w:right w:val="nil"/>
            </w:tcBorders>
            <w:shd w:val="clear" w:color="auto" w:fill="auto"/>
            <w:hideMark/>
          </w:tcPr>
          <w:p w14:paraId="61C291C6" w14:textId="07D54F2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European Pressurised Water Reactor  </w:t>
            </w:r>
          </w:p>
        </w:tc>
      </w:tr>
      <w:tr w:rsidR="001F1046" w:rsidRPr="00DD1B58" w14:paraId="6D57187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413A8B9" w14:textId="572C85E1"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EPRESSI </w:t>
            </w:r>
          </w:p>
        </w:tc>
        <w:tc>
          <w:tcPr>
            <w:tcW w:w="7848" w:type="dxa"/>
            <w:tcBorders>
              <w:top w:val="single" w:sz="6" w:space="0" w:color="22413A"/>
              <w:left w:val="single" w:sz="6" w:space="0" w:color="22413A"/>
              <w:bottom w:val="single" w:sz="6" w:space="0" w:color="22413A"/>
              <w:right w:val="nil"/>
            </w:tcBorders>
            <w:shd w:val="clear" w:color="auto" w:fill="auto"/>
            <w:hideMark/>
          </w:tcPr>
          <w:p w14:paraId="613C9CC5" w14:textId="44C434C3"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Evaluation des Performances Réelles des Eléments de Sectorisation Sous Incendie [Assessment of the real performance of partitioning elements in the event of fire] </w:t>
            </w:r>
          </w:p>
        </w:tc>
      </w:tr>
      <w:tr w:rsidR="001F1046" w:rsidRPr="00DD1B58" w14:paraId="7E6037E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518FF3" w14:textId="42E33AC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EPRI </w:t>
            </w:r>
          </w:p>
        </w:tc>
        <w:tc>
          <w:tcPr>
            <w:tcW w:w="7848" w:type="dxa"/>
            <w:tcBorders>
              <w:top w:val="single" w:sz="6" w:space="0" w:color="22413A"/>
              <w:left w:val="single" w:sz="6" w:space="0" w:color="22413A"/>
              <w:bottom w:val="single" w:sz="6" w:space="0" w:color="22413A"/>
              <w:right w:val="nil"/>
            </w:tcBorders>
            <w:shd w:val="clear" w:color="auto" w:fill="auto"/>
            <w:hideMark/>
          </w:tcPr>
          <w:p w14:paraId="710C4281" w14:textId="2C980E6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Electric Power Research Institute  </w:t>
            </w:r>
          </w:p>
        </w:tc>
      </w:tr>
      <w:tr w:rsidR="001F1046" w:rsidRPr="00DD1B58" w14:paraId="6449F3E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4DD8F5" w14:textId="06B45E3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ER </w:t>
            </w:r>
          </w:p>
        </w:tc>
        <w:tc>
          <w:tcPr>
            <w:tcW w:w="7848" w:type="dxa"/>
            <w:tcBorders>
              <w:top w:val="single" w:sz="6" w:space="0" w:color="22413A"/>
              <w:left w:val="single" w:sz="6" w:space="0" w:color="22413A"/>
              <w:bottom w:val="single" w:sz="6" w:space="0" w:color="22413A"/>
              <w:right w:val="nil"/>
            </w:tcBorders>
            <w:shd w:val="clear" w:color="auto" w:fill="auto"/>
            <w:hideMark/>
          </w:tcPr>
          <w:p w14:paraId="61891DD2" w14:textId="1D66FB2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Equipment Reliability  </w:t>
            </w:r>
          </w:p>
        </w:tc>
      </w:tr>
      <w:tr w:rsidR="001F1046" w:rsidRPr="00DD1B58" w14:paraId="6AAEFE5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1FC7DB" w14:textId="14716FD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ES </w:t>
            </w:r>
          </w:p>
        </w:tc>
        <w:tc>
          <w:tcPr>
            <w:tcW w:w="7848" w:type="dxa"/>
            <w:tcBorders>
              <w:top w:val="single" w:sz="6" w:space="0" w:color="22413A"/>
              <w:left w:val="single" w:sz="6" w:space="0" w:color="22413A"/>
              <w:bottom w:val="single" w:sz="6" w:space="0" w:color="22413A"/>
              <w:right w:val="nil"/>
            </w:tcBorders>
            <w:shd w:val="clear" w:color="auto" w:fill="auto"/>
            <w:hideMark/>
          </w:tcPr>
          <w:p w14:paraId="5242E098" w14:textId="5D1A203A" w:rsidR="001F1046" w:rsidRPr="00DD1B58" w:rsidRDefault="001F1046" w:rsidP="00DD712B">
            <w:pPr>
              <w:spacing w:after="0" w:line="240" w:lineRule="auto"/>
              <w:textAlignment w:val="baseline"/>
              <w:rPr>
                <w:rFonts w:eastAsia="Times New Roman"/>
                <w:color w:val="000000"/>
                <w:szCs w:val="24"/>
                <w:lang w:val="en-US" w:eastAsia="en-GB" w:bidi="ar-SA"/>
              </w:rPr>
            </w:pPr>
            <w:r w:rsidRPr="00DD1B58">
              <w:rPr>
                <w:rFonts w:eastAsia="Times New Roman"/>
                <w:color w:val="000000"/>
                <w:szCs w:val="24"/>
                <w:lang w:val="en-US" w:eastAsia="en-GB" w:bidi="ar-SA"/>
              </w:rPr>
              <w:t>Engineering Schedule  </w:t>
            </w:r>
          </w:p>
        </w:tc>
      </w:tr>
      <w:tr w:rsidR="001F1046" w:rsidRPr="00DD1B58" w14:paraId="410DB19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60F2C7" w14:textId="19222A5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ESBWR </w:t>
            </w:r>
          </w:p>
        </w:tc>
        <w:tc>
          <w:tcPr>
            <w:tcW w:w="7848" w:type="dxa"/>
            <w:tcBorders>
              <w:top w:val="single" w:sz="6" w:space="0" w:color="22413A"/>
              <w:left w:val="single" w:sz="6" w:space="0" w:color="22413A"/>
              <w:bottom w:val="single" w:sz="6" w:space="0" w:color="22413A"/>
              <w:right w:val="nil"/>
            </w:tcBorders>
            <w:shd w:val="clear" w:color="auto" w:fill="auto"/>
            <w:hideMark/>
          </w:tcPr>
          <w:p w14:paraId="604E9096" w14:textId="12BDF5E7" w:rsidR="001F1046" w:rsidRPr="00DD1B58" w:rsidRDefault="001F1046" w:rsidP="00DD712B">
            <w:pPr>
              <w:spacing w:after="0" w:line="240" w:lineRule="auto"/>
              <w:textAlignment w:val="baseline"/>
              <w:rPr>
                <w:rFonts w:eastAsia="Times New Roman"/>
                <w:color w:val="000000" w:themeColor="text1"/>
                <w:szCs w:val="24"/>
                <w:lang w:val="en-US" w:eastAsia="en-GB" w:bidi="ar-SA"/>
              </w:rPr>
            </w:pPr>
            <w:r w:rsidRPr="00DD1B58">
              <w:rPr>
                <w:rFonts w:eastAsia="Times New Roman"/>
                <w:color w:val="000000" w:themeColor="text1"/>
                <w:szCs w:val="24"/>
                <w:lang w:val="en-US" w:eastAsia="en-GB" w:bidi="ar-SA"/>
              </w:rPr>
              <w:t>Economic Simplified Boiling Water Reactor </w:t>
            </w:r>
          </w:p>
        </w:tc>
      </w:tr>
      <w:tr w:rsidR="001F1046" w:rsidRPr="00DD1B58" w14:paraId="79A64D2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62EBA9" w14:textId="13E20CC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ESF </w:t>
            </w:r>
          </w:p>
        </w:tc>
        <w:tc>
          <w:tcPr>
            <w:tcW w:w="7848" w:type="dxa"/>
            <w:tcBorders>
              <w:top w:val="single" w:sz="6" w:space="0" w:color="22413A"/>
              <w:left w:val="single" w:sz="6" w:space="0" w:color="22413A"/>
              <w:bottom w:val="single" w:sz="6" w:space="0" w:color="22413A"/>
              <w:right w:val="nil"/>
            </w:tcBorders>
            <w:shd w:val="clear" w:color="auto" w:fill="auto"/>
            <w:hideMark/>
          </w:tcPr>
          <w:p w14:paraId="7EF78B42" w14:textId="4547B0A5" w:rsidR="001F1046" w:rsidRPr="00DD1B58" w:rsidRDefault="001F1046" w:rsidP="00DD712B">
            <w:pPr>
              <w:spacing w:after="0" w:line="240" w:lineRule="auto"/>
              <w:textAlignment w:val="baseline"/>
              <w:rPr>
                <w:rFonts w:eastAsia="Times New Roman"/>
                <w:color w:val="000000" w:themeColor="text1"/>
                <w:szCs w:val="24"/>
                <w:lang w:val="en-US" w:eastAsia="en-GB" w:bidi="ar-SA"/>
              </w:rPr>
            </w:pPr>
            <w:r w:rsidRPr="00DD1B58">
              <w:rPr>
                <w:rFonts w:eastAsia="Times New Roman"/>
                <w:color w:val="000000" w:themeColor="text1"/>
                <w:szCs w:val="24"/>
                <w:lang w:val="en-US" w:eastAsia="en-GB" w:bidi="ar-SA"/>
              </w:rPr>
              <w:t>Essential Safety Function  </w:t>
            </w:r>
          </w:p>
        </w:tc>
      </w:tr>
      <w:tr w:rsidR="001F1046" w:rsidRPr="00DD1B58" w14:paraId="3F7849B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EA937A" w14:textId="6ABBFAD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ESLG </w:t>
            </w:r>
          </w:p>
        </w:tc>
        <w:tc>
          <w:tcPr>
            <w:tcW w:w="7848" w:type="dxa"/>
            <w:tcBorders>
              <w:top w:val="single" w:sz="6" w:space="0" w:color="22413A"/>
              <w:left w:val="single" w:sz="6" w:space="0" w:color="22413A"/>
              <w:bottom w:val="single" w:sz="6" w:space="0" w:color="22413A"/>
              <w:right w:val="nil"/>
            </w:tcBorders>
            <w:shd w:val="clear" w:color="auto" w:fill="auto"/>
            <w:hideMark/>
          </w:tcPr>
          <w:p w14:paraId="7128A614" w14:textId="3B6480B3"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Emergency Services Liaison Group  </w:t>
            </w:r>
          </w:p>
        </w:tc>
      </w:tr>
      <w:tr w:rsidR="001F1046" w:rsidRPr="00DD1B58" w14:paraId="53533EB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B10CD0" w14:textId="47D39BB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ETA </w:t>
            </w:r>
          </w:p>
        </w:tc>
        <w:tc>
          <w:tcPr>
            <w:tcW w:w="7848" w:type="dxa"/>
            <w:tcBorders>
              <w:top w:val="single" w:sz="6" w:space="0" w:color="22413A"/>
              <w:left w:val="single" w:sz="6" w:space="0" w:color="22413A"/>
              <w:bottom w:val="single" w:sz="6" w:space="0" w:color="22413A"/>
              <w:right w:val="nil"/>
            </w:tcBorders>
            <w:shd w:val="clear" w:color="auto" w:fill="auto"/>
            <w:hideMark/>
          </w:tcPr>
          <w:p w14:paraId="1745296F" w14:textId="67198638" w:rsidR="001F1046" w:rsidRPr="00DD1B58" w:rsidRDefault="00B9330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w:t>
            </w:r>
            <w:r w:rsidR="001F1046" w:rsidRPr="00DD1B58">
              <w:rPr>
                <w:rFonts w:eastAsia="Times New Roman"/>
                <w:color w:val="000000" w:themeColor="text1"/>
                <w:szCs w:val="24"/>
                <w:lang w:val="en-US" w:eastAsia="en-GB" w:bidi="ar-SA"/>
              </w:rPr>
              <w:t>thanolamine  </w:t>
            </w:r>
          </w:p>
        </w:tc>
      </w:tr>
      <w:tr w:rsidR="001F1046" w:rsidRPr="00DD1B58" w14:paraId="3B34D42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B99156C" w14:textId="2949CF0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ETBFPS </w:t>
            </w:r>
          </w:p>
        </w:tc>
        <w:tc>
          <w:tcPr>
            <w:tcW w:w="7848" w:type="dxa"/>
            <w:tcBorders>
              <w:top w:val="single" w:sz="6" w:space="0" w:color="22413A"/>
              <w:left w:val="single" w:sz="6" w:space="0" w:color="22413A"/>
              <w:bottom w:val="single" w:sz="6" w:space="0" w:color="22413A"/>
              <w:right w:val="nil"/>
            </w:tcBorders>
            <w:shd w:val="clear" w:color="auto" w:fill="auto"/>
            <w:hideMark/>
          </w:tcPr>
          <w:p w14:paraId="7AD79324" w14:textId="662EE6A1"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Effluent Treatment Building Fire Protection System </w:t>
            </w:r>
          </w:p>
        </w:tc>
      </w:tr>
      <w:tr w:rsidR="001F1046" w:rsidRPr="00DD1B58" w14:paraId="57725E7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4BB8A3F" w14:textId="0D52082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ETC </w:t>
            </w:r>
          </w:p>
        </w:tc>
        <w:tc>
          <w:tcPr>
            <w:tcW w:w="7848" w:type="dxa"/>
            <w:tcBorders>
              <w:top w:val="single" w:sz="6" w:space="0" w:color="22413A"/>
              <w:left w:val="single" w:sz="6" w:space="0" w:color="22413A"/>
              <w:bottom w:val="single" w:sz="6" w:space="0" w:color="22413A"/>
              <w:right w:val="nil"/>
            </w:tcBorders>
            <w:shd w:val="clear" w:color="auto" w:fill="auto"/>
            <w:hideMark/>
          </w:tcPr>
          <w:p w14:paraId="59B387EC" w14:textId="3EA8C98B"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EPR Technical Code </w:t>
            </w:r>
          </w:p>
        </w:tc>
      </w:tr>
      <w:tr w:rsidR="001F1046" w:rsidRPr="00DD1B58" w14:paraId="5D78EBE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99E22F7" w14:textId="7F0968A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ETP </w:t>
            </w:r>
          </w:p>
        </w:tc>
        <w:tc>
          <w:tcPr>
            <w:tcW w:w="7848" w:type="dxa"/>
            <w:tcBorders>
              <w:top w:val="single" w:sz="6" w:space="0" w:color="22413A"/>
              <w:left w:val="single" w:sz="6" w:space="0" w:color="22413A"/>
              <w:bottom w:val="single" w:sz="6" w:space="0" w:color="22413A"/>
              <w:right w:val="nil"/>
            </w:tcBorders>
            <w:shd w:val="clear" w:color="auto" w:fill="auto"/>
            <w:hideMark/>
          </w:tcPr>
          <w:p w14:paraId="22B0389F" w14:textId="3B7B6B8C"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Effluent Treatment Plant  </w:t>
            </w:r>
          </w:p>
        </w:tc>
      </w:tr>
      <w:tr w:rsidR="001F1046" w:rsidRPr="00DD1B58" w14:paraId="2099321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2FEC2FB" w14:textId="1DF9B42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 </w:t>
            </w:r>
          </w:p>
        </w:tc>
        <w:tc>
          <w:tcPr>
            <w:tcW w:w="7848" w:type="dxa"/>
            <w:tcBorders>
              <w:top w:val="single" w:sz="6" w:space="0" w:color="22413A"/>
              <w:left w:val="single" w:sz="6" w:space="0" w:color="22413A"/>
              <w:bottom w:val="single" w:sz="6" w:space="0" w:color="22413A"/>
              <w:right w:val="nil"/>
            </w:tcBorders>
            <w:shd w:val="clear" w:color="auto" w:fill="auto"/>
            <w:hideMark/>
          </w:tcPr>
          <w:p w14:paraId="028AC44B" w14:textId="6593DD34"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European Utility Requirements  </w:t>
            </w:r>
          </w:p>
        </w:tc>
      </w:tr>
      <w:tr w:rsidR="001F1046" w:rsidRPr="00DD1B58" w14:paraId="10F24B2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0225EDC" w14:textId="1453D41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EURATOM </w:t>
            </w:r>
          </w:p>
        </w:tc>
        <w:tc>
          <w:tcPr>
            <w:tcW w:w="7848" w:type="dxa"/>
            <w:tcBorders>
              <w:top w:val="single" w:sz="6" w:space="0" w:color="22413A"/>
              <w:left w:val="single" w:sz="6" w:space="0" w:color="22413A"/>
              <w:bottom w:val="single" w:sz="6" w:space="0" w:color="22413A"/>
              <w:right w:val="nil"/>
            </w:tcBorders>
            <w:shd w:val="clear" w:color="auto" w:fill="auto"/>
            <w:hideMark/>
          </w:tcPr>
          <w:p w14:paraId="319DE1F5" w14:textId="2AAAA223"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European Atomic Energy Community </w:t>
            </w:r>
          </w:p>
        </w:tc>
      </w:tr>
      <w:tr w:rsidR="001F1046" w:rsidRPr="00DD1B58" w14:paraId="4A06398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A39ADCC" w14:textId="6D34404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EURRP </w:t>
            </w:r>
          </w:p>
        </w:tc>
        <w:tc>
          <w:tcPr>
            <w:tcW w:w="7848" w:type="dxa"/>
            <w:tcBorders>
              <w:top w:val="single" w:sz="6" w:space="0" w:color="22413A"/>
              <w:left w:val="single" w:sz="6" w:space="0" w:color="22413A"/>
              <w:bottom w:val="single" w:sz="6" w:space="0" w:color="22413A"/>
              <w:right w:val="nil"/>
            </w:tcBorders>
            <w:shd w:val="clear" w:color="auto" w:fill="auto"/>
            <w:hideMark/>
          </w:tcPr>
          <w:p w14:paraId="51CD3F67" w14:textId="55CEB28F"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Enriched Uranium Residues Recovery Plant  </w:t>
            </w:r>
          </w:p>
        </w:tc>
      </w:tr>
      <w:tr w:rsidR="001F1046" w:rsidRPr="00DD1B58" w14:paraId="75091CE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BD97AC1" w14:textId="0D8F1241"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EX </w:t>
            </w:r>
          </w:p>
        </w:tc>
        <w:tc>
          <w:tcPr>
            <w:tcW w:w="7848" w:type="dxa"/>
            <w:tcBorders>
              <w:top w:val="single" w:sz="6" w:space="0" w:color="22413A"/>
              <w:left w:val="single" w:sz="6" w:space="0" w:color="22413A"/>
              <w:bottom w:val="single" w:sz="6" w:space="0" w:color="22413A"/>
              <w:right w:val="nil"/>
            </w:tcBorders>
            <w:shd w:val="clear" w:color="auto" w:fill="auto"/>
            <w:hideMark/>
          </w:tcPr>
          <w:p w14:paraId="11473D58" w14:textId="61D7AB1B" w:rsidR="001F1046" w:rsidRPr="00DD1B58" w:rsidRDefault="00B9330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Explosion</w:t>
            </w:r>
          </w:p>
        </w:tc>
      </w:tr>
      <w:tr w:rsidR="001F1046" w:rsidRPr="00DD1B58" w14:paraId="20A4364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9A7A6A2" w14:textId="60B0ACAF"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 </w:t>
            </w:r>
          </w:p>
        </w:tc>
        <w:tc>
          <w:tcPr>
            <w:tcW w:w="7848" w:type="dxa"/>
            <w:tcBorders>
              <w:top w:val="single" w:sz="6" w:space="0" w:color="22413A"/>
              <w:left w:val="single" w:sz="6" w:space="0" w:color="22413A"/>
              <w:bottom w:val="single" w:sz="6" w:space="0" w:color="22413A"/>
              <w:right w:val="nil"/>
            </w:tcBorders>
            <w:shd w:val="clear" w:color="auto" w:fill="auto"/>
            <w:hideMark/>
          </w:tcPr>
          <w:p w14:paraId="2FB07C7B" w14:textId="4237DB1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Fault Analysis  </w:t>
            </w:r>
          </w:p>
        </w:tc>
      </w:tr>
      <w:tr w:rsidR="001F1046" w:rsidRPr="00DD1B58" w14:paraId="196F004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C21E99" w14:textId="65302FE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FACP </w:t>
            </w:r>
          </w:p>
        </w:tc>
        <w:tc>
          <w:tcPr>
            <w:tcW w:w="7848" w:type="dxa"/>
            <w:tcBorders>
              <w:top w:val="single" w:sz="6" w:space="0" w:color="22413A"/>
              <w:left w:val="single" w:sz="6" w:space="0" w:color="22413A"/>
              <w:bottom w:val="single" w:sz="6" w:space="0" w:color="22413A"/>
              <w:right w:val="nil"/>
            </w:tcBorders>
            <w:shd w:val="clear" w:color="auto" w:fill="auto"/>
            <w:hideMark/>
          </w:tcPr>
          <w:p w14:paraId="701CBC41" w14:textId="0599ED4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Alarm Control Panels  </w:t>
            </w:r>
          </w:p>
        </w:tc>
      </w:tr>
      <w:tr w:rsidR="001F1046" w:rsidRPr="00DD1B58" w14:paraId="556AEAE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26B5905" w14:textId="54664B7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FAD </w:t>
            </w:r>
          </w:p>
        </w:tc>
        <w:tc>
          <w:tcPr>
            <w:tcW w:w="7848" w:type="dxa"/>
            <w:tcBorders>
              <w:top w:val="single" w:sz="6" w:space="0" w:color="22413A"/>
              <w:left w:val="single" w:sz="6" w:space="0" w:color="22413A"/>
              <w:bottom w:val="single" w:sz="6" w:space="0" w:color="22413A"/>
              <w:right w:val="nil"/>
            </w:tcBorders>
            <w:shd w:val="clear" w:color="auto" w:fill="auto"/>
            <w:hideMark/>
          </w:tcPr>
          <w:p w14:paraId="7B4306DB" w14:textId="2107397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Application Document  </w:t>
            </w:r>
          </w:p>
        </w:tc>
      </w:tr>
      <w:tr w:rsidR="001F1046" w:rsidRPr="00DD1B58" w14:paraId="6434E3E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1C3918B" w14:textId="6522E4A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FAIR </w:t>
            </w:r>
          </w:p>
        </w:tc>
        <w:tc>
          <w:tcPr>
            <w:tcW w:w="7848" w:type="dxa"/>
            <w:tcBorders>
              <w:top w:val="single" w:sz="6" w:space="0" w:color="22413A"/>
              <w:left w:val="single" w:sz="6" w:space="0" w:color="22413A"/>
              <w:bottom w:val="single" w:sz="6" w:space="0" w:color="22413A"/>
              <w:right w:val="nil"/>
            </w:tcBorders>
            <w:shd w:val="clear" w:color="auto" w:fill="auto"/>
            <w:hideMark/>
          </w:tcPr>
          <w:p w14:paraId="46B3363F" w14:textId="200A994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Risk Assessment through Innovative Research </w:t>
            </w:r>
          </w:p>
        </w:tc>
      </w:tr>
      <w:tr w:rsidR="001F1046" w:rsidRPr="00DD1B58" w14:paraId="15B206B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C191885" w14:textId="667A7C9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FARP </w:t>
            </w:r>
          </w:p>
        </w:tc>
        <w:tc>
          <w:tcPr>
            <w:tcW w:w="7848" w:type="dxa"/>
            <w:tcBorders>
              <w:top w:val="single" w:sz="6" w:space="0" w:color="22413A"/>
              <w:left w:val="single" w:sz="6" w:space="0" w:color="22413A"/>
              <w:bottom w:val="single" w:sz="6" w:space="0" w:color="22413A"/>
              <w:right w:val="nil"/>
            </w:tcBorders>
            <w:shd w:val="clear" w:color="auto" w:fill="auto"/>
            <w:hideMark/>
          </w:tcPr>
          <w:p w14:paraId="49CE9835" w14:textId="251D5A0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Alarm Repeater Panels  </w:t>
            </w:r>
          </w:p>
        </w:tc>
      </w:tr>
      <w:tr w:rsidR="001F1046" w:rsidRPr="00DD1B58" w14:paraId="202914C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B77B2E" w14:textId="5C4A588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FCA </w:t>
            </w:r>
          </w:p>
        </w:tc>
        <w:tc>
          <w:tcPr>
            <w:tcW w:w="7848" w:type="dxa"/>
            <w:tcBorders>
              <w:top w:val="single" w:sz="6" w:space="0" w:color="22413A"/>
              <w:left w:val="single" w:sz="6" w:space="0" w:color="22413A"/>
              <w:bottom w:val="single" w:sz="6" w:space="0" w:color="22413A"/>
              <w:right w:val="nil"/>
            </w:tcBorders>
            <w:shd w:val="clear" w:color="auto" w:fill="auto"/>
            <w:hideMark/>
          </w:tcPr>
          <w:p w14:paraId="3EFD8D78" w14:textId="0028698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Fuel Cycle Area  </w:t>
            </w:r>
          </w:p>
        </w:tc>
      </w:tr>
      <w:tr w:rsidR="001F1046" w:rsidRPr="00DD1B58" w14:paraId="3C14DD0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30FDF00" w14:textId="78807AB6"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F-CTW </w:t>
            </w:r>
          </w:p>
        </w:tc>
        <w:tc>
          <w:tcPr>
            <w:tcW w:w="7848" w:type="dxa"/>
            <w:tcBorders>
              <w:top w:val="single" w:sz="6" w:space="0" w:color="22413A"/>
              <w:left w:val="single" w:sz="6" w:space="0" w:color="22413A"/>
              <w:bottom w:val="single" w:sz="6" w:space="0" w:color="22413A"/>
              <w:right w:val="nil"/>
            </w:tcBorders>
            <w:shd w:val="clear" w:color="auto" w:fill="auto"/>
            <w:hideMark/>
          </w:tcPr>
          <w:p w14:paraId="72EAFDBB" w14:textId="6689679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Functional Cable Tray Wrapping  </w:t>
            </w:r>
          </w:p>
        </w:tc>
      </w:tr>
      <w:tr w:rsidR="001F1046" w:rsidRPr="00DD1B58" w14:paraId="6B64D81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76F42C3" w14:textId="2F3C767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FDS </w:t>
            </w:r>
          </w:p>
        </w:tc>
        <w:tc>
          <w:tcPr>
            <w:tcW w:w="7848" w:type="dxa"/>
            <w:tcBorders>
              <w:top w:val="single" w:sz="6" w:space="0" w:color="22413A"/>
              <w:left w:val="single" w:sz="6" w:space="0" w:color="22413A"/>
              <w:bottom w:val="single" w:sz="6" w:space="0" w:color="22413A"/>
              <w:right w:val="nil"/>
            </w:tcBorders>
            <w:shd w:val="clear" w:color="auto" w:fill="auto"/>
            <w:hideMark/>
          </w:tcPr>
          <w:p w14:paraId="5260ECAF" w14:textId="6063968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Dynamics Simulator  </w:t>
            </w:r>
          </w:p>
        </w:tc>
      </w:tr>
      <w:tr w:rsidR="001F1046" w:rsidRPr="00DD1B58" w14:paraId="1C282FE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C3582E" w14:textId="7F38041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FDSS </w:t>
            </w:r>
          </w:p>
        </w:tc>
        <w:tc>
          <w:tcPr>
            <w:tcW w:w="7848" w:type="dxa"/>
            <w:tcBorders>
              <w:top w:val="single" w:sz="6" w:space="0" w:color="22413A"/>
              <w:left w:val="single" w:sz="6" w:space="0" w:color="22413A"/>
              <w:bottom w:val="single" w:sz="6" w:space="0" w:color="22413A"/>
              <w:right w:val="nil"/>
            </w:tcBorders>
            <w:shd w:val="clear" w:color="auto" w:fill="auto"/>
            <w:hideMark/>
          </w:tcPr>
          <w:p w14:paraId="5F1AA491" w14:textId="4BA249A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Detection and Suppression Systems </w:t>
            </w:r>
          </w:p>
        </w:tc>
      </w:tr>
      <w:tr w:rsidR="001F1046" w:rsidRPr="00DD1B58" w14:paraId="1DEC2A4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C3B4D2" w14:textId="36BAEDC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FEA </w:t>
            </w:r>
          </w:p>
        </w:tc>
        <w:tc>
          <w:tcPr>
            <w:tcW w:w="7848" w:type="dxa"/>
            <w:tcBorders>
              <w:top w:val="single" w:sz="6" w:space="0" w:color="22413A"/>
              <w:left w:val="single" w:sz="6" w:space="0" w:color="22413A"/>
              <w:bottom w:val="single" w:sz="6" w:space="0" w:color="22413A"/>
              <w:right w:val="nil"/>
            </w:tcBorders>
            <w:shd w:val="clear" w:color="auto" w:fill="auto"/>
            <w:hideMark/>
          </w:tcPr>
          <w:p w14:paraId="0AFCC3B2" w14:textId="04C3ACF3"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Failure Effects Analysis  </w:t>
            </w:r>
          </w:p>
        </w:tc>
      </w:tr>
      <w:tr w:rsidR="001F1046" w:rsidRPr="00DD1B58" w14:paraId="62448C6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1DC7FF" w14:textId="57F2BDC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FEC </w:t>
            </w:r>
          </w:p>
        </w:tc>
        <w:tc>
          <w:tcPr>
            <w:tcW w:w="7848" w:type="dxa"/>
            <w:tcBorders>
              <w:top w:val="single" w:sz="6" w:space="0" w:color="22413A"/>
              <w:left w:val="single" w:sz="6" w:space="0" w:color="22413A"/>
              <w:bottom w:val="single" w:sz="6" w:space="0" w:color="22413A"/>
              <w:right w:val="nil"/>
            </w:tcBorders>
            <w:shd w:val="clear" w:color="auto" w:fill="auto"/>
            <w:hideMark/>
          </w:tcPr>
          <w:p w14:paraId="798E46F1" w14:textId="3B2CDA6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Event Code  </w:t>
            </w:r>
          </w:p>
        </w:tc>
      </w:tr>
      <w:tr w:rsidR="001F1046" w:rsidRPr="00DD1B58" w14:paraId="2874905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ACC1B9E" w14:textId="300FF3D5"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FFF </w:t>
            </w:r>
          </w:p>
        </w:tc>
        <w:tc>
          <w:tcPr>
            <w:tcW w:w="7848" w:type="dxa"/>
            <w:tcBorders>
              <w:top w:val="single" w:sz="6" w:space="0" w:color="22413A"/>
              <w:left w:val="single" w:sz="6" w:space="0" w:color="22413A"/>
              <w:bottom w:val="single" w:sz="6" w:space="0" w:color="22413A"/>
              <w:right w:val="nil"/>
            </w:tcBorders>
            <w:shd w:val="clear" w:color="auto" w:fill="auto"/>
            <w:hideMark/>
          </w:tcPr>
          <w:p w14:paraId="034C7D6E" w14:textId="1099B04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Fixed Firefighting  </w:t>
            </w:r>
          </w:p>
        </w:tc>
      </w:tr>
      <w:tr w:rsidR="001F1046" w:rsidRPr="00DD1B58" w14:paraId="3B1C583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AD26055" w14:textId="0761F05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FGASP </w:t>
            </w:r>
          </w:p>
        </w:tc>
        <w:tc>
          <w:tcPr>
            <w:tcW w:w="7848" w:type="dxa"/>
            <w:tcBorders>
              <w:top w:val="single" w:sz="6" w:space="0" w:color="22413A"/>
              <w:left w:val="single" w:sz="6" w:space="0" w:color="22413A"/>
              <w:bottom w:val="single" w:sz="6" w:space="0" w:color="22413A"/>
              <w:right w:val="nil"/>
            </w:tcBorders>
            <w:shd w:val="clear" w:color="auto" w:fill="auto"/>
            <w:hideMark/>
          </w:tcPr>
          <w:p w14:paraId="13C657A0" w14:textId="5A989F53"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First Generation AGR Storage Pond </w:t>
            </w:r>
          </w:p>
        </w:tc>
      </w:tr>
      <w:tr w:rsidR="001F1046" w:rsidRPr="00DD1B58" w14:paraId="536220C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96FF2B8" w14:textId="288474D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FGMSP </w:t>
            </w:r>
          </w:p>
        </w:tc>
        <w:tc>
          <w:tcPr>
            <w:tcW w:w="7848" w:type="dxa"/>
            <w:tcBorders>
              <w:top w:val="single" w:sz="6" w:space="0" w:color="22413A"/>
              <w:left w:val="single" w:sz="6" w:space="0" w:color="22413A"/>
              <w:bottom w:val="single" w:sz="6" w:space="0" w:color="22413A"/>
              <w:right w:val="nil"/>
            </w:tcBorders>
            <w:shd w:val="clear" w:color="auto" w:fill="auto"/>
            <w:hideMark/>
          </w:tcPr>
          <w:p w14:paraId="66BF490B" w14:textId="4BDFD5D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First Generation Magnox Storage Pond </w:t>
            </w:r>
          </w:p>
        </w:tc>
      </w:tr>
      <w:tr w:rsidR="001F1046" w:rsidRPr="00DD1B58" w14:paraId="5D715F8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690872C" w14:textId="76691E63"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FGOSP </w:t>
            </w:r>
          </w:p>
        </w:tc>
        <w:tc>
          <w:tcPr>
            <w:tcW w:w="7848" w:type="dxa"/>
            <w:tcBorders>
              <w:top w:val="single" w:sz="6" w:space="0" w:color="22413A"/>
              <w:left w:val="single" w:sz="6" w:space="0" w:color="22413A"/>
              <w:bottom w:val="single" w:sz="6" w:space="0" w:color="22413A"/>
              <w:right w:val="nil"/>
            </w:tcBorders>
            <w:shd w:val="clear" w:color="auto" w:fill="auto"/>
            <w:hideMark/>
          </w:tcPr>
          <w:p w14:paraId="219EA01E" w14:textId="7A6EEBD8"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First Generation Magnox Storage Pond </w:t>
            </w:r>
          </w:p>
        </w:tc>
      </w:tr>
      <w:tr w:rsidR="001F1046" w:rsidRPr="00DD1B58" w14:paraId="5B55FB2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6BE7C9" w14:textId="11BF4B7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FHP </w:t>
            </w:r>
          </w:p>
        </w:tc>
        <w:tc>
          <w:tcPr>
            <w:tcW w:w="7848" w:type="dxa"/>
            <w:tcBorders>
              <w:top w:val="single" w:sz="6" w:space="0" w:color="22413A"/>
              <w:left w:val="single" w:sz="6" w:space="0" w:color="22413A"/>
              <w:bottom w:val="single" w:sz="6" w:space="0" w:color="22413A"/>
              <w:right w:val="nil"/>
            </w:tcBorders>
            <w:shd w:val="clear" w:color="auto" w:fill="auto"/>
            <w:hideMark/>
          </w:tcPr>
          <w:p w14:paraId="03A7E702" w14:textId="72FBD77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Fuel Handling Pond </w:t>
            </w:r>
          </w:p>
        </w:tc>
      </w:tr>
      <w:tr w:rsidR="001F1046" w:rsidRPr="00DD1B58" w14:paraId="7099213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76E71C0" w14:textId="2925578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w:t>
            </w:r>
          </w:p>
        </w:tc>
        <w:tc>
          <w:tcPr>
            <w:tcW w:w="7848" w:type="dxa"/>
            <w:tcBorders>
              <w:top w:val="single" w:sz="6" w:space="0" w:color="22413A"/>
              <w:left w:val="single" w:sz="6" w:space="0" w:color="22413A"/>
              <w:bottom w:val="single" w:sz="6" w:space="0" w:color="22413A"/>
              <w:right w:val="nil"/>
            </w:tcBorders>
            <w:shd w:val="clear" w:color="auto" w:fill="auto"/>
            <w:hideMark/>
          </w:tcPr>
          <w:p w14:paraId="530E8F37" w14:textId="1E76E9C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Incidents Records Exchange </w:t>
            </w:r>
          </w:p>
        </w:tc>
      </w:tr>
      <w:tr w:rsidR="001F1046" w:rsidRPr="00DD1B58" w14:paraId="36D90E3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D9C654B" w14:textId="63C4E97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FIVE </w:t>
            </w:r>
          </w:p>
        </w:tc>
        <w:tc>
          <w:tcPr>
            <w:tcW w:w="7848" w:type="dxa"/>
            <w:tcBorders>
              <w:top w:val="single" w:sz="6" w:space="0" w:color="22413A"/>
              <w:left w:val="single" w:sz="6" w:space="0" w:color="22413A"/>
              <w:bottom w:val="single" w:sz="6" w:space="0" w:color="22413A"/>
              <w:right w:val="nil"/>
            </w:tcBorders>
            <w:shd w:val="clear" w:color="auto" w:fill="auto"/>
            <w:hideMark/>
          </w:tcPr>
          <w:p w14:paraId="33E6C324" w14:textId="6BF03DF6"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fire-induced vulnerability evaluation  </w:t>
            </w:r>
          </w:p>
        </w:tc>
      </w:tr>
      <w:tr w:rsidR="001F1046" w:rsidRPr="00DD1B58" w14:paraId="4286FC4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002975D" w14:textId="6E7A73B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FLD </w:t>
            </w:r>
          </w:p>
        </w:tc>
        <w:tc>
          <w:tcPr>
            <w:tcW w:w="7848" w:type="dxa"/>
            <w:tcBorders>
              <w:top w:val="single" w:sz="6" w:space="0" w:color="22413A"/>
              <w:left w:val="single" w:sz="6" w:space="0" w:color="22413A"/>
              <w:bottom w:val="single" w:sz="6" w:space="0" w:color="22413A"/>
              <w:right w:val="nil"/>
            </w:tcBorders>
            <w:shd w:val="clear" w:color="auto" w:fill="auto"/>
            <w:hideMark/>
          </w:tcPr>
          <w:p w14:paraId="3E75A6A6" w14:textId="5A519475"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load density  </w:t>
            </w:r>
          </w:p>
        </w:tc>
      </w:tr>
      <w:tr w:rsidR="001F1046" w:rsidRPr="00DD1B58" w14:paraId="0A92CC4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F8A198C" w14:textId="1013B28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FM </w:t>
            </w:r>
          </w:p>
        </w:tc>
        <w:tc>
          <w:tcPr>
            <w:tcW w:w="7848" w:type="dxa"/>
            <w:tcBorders>
              <w:top w:val="single" w:sz="6" w:space="0" w:color="22413A"/>
              <w:left w:val="single" w:sz="6" w:space="0" w:color="22413A"/>
              <w:bottom w:val="single" w:sz="6" w:space="0" w:color="22413A"/>
              <w:right w:val="nil"/>
            </w:tcBorders>
            <w:shd w:val="clear" w:color="auto" w:fill="auto"/>
            <w:hideMark/>
          </w:tcPr>
          <w:p w14:paraId="0002E834" w14:textId="65084E2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Factory Mutual  </w:t>
            </w:r>
          </w:p>
        </w:tc>
      </w:tr>
      <w:tr w:rsidR="001F1046" w:rsidRPr="00DD1B58" w14:paraId="241DFF9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CB3EB9B" w14:textId="048E1225"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FNP </w:t>
            </w:r>
          </w:p>
        </w:tc>
        <w:tc>
          <w:tcPr>
            <w:tcW w:w="7848" w:type="dxa"/>
            <w:tcBorders>
              <w:top w:val="single" w:sz="6" w:space="0" w:color="22413A"/>
              <w:left w:val="single" w:sz="6" w:space="0" w:color="22413A"/>
              <w:bottom w:val="single" w:sz="6" w:space="0" w:color="22413A"/>
              <w:right w:val="nil"/>
            </w:tcBorders>
            <w:shd w:val="clear" w:color="auto" w:fill="auto"/>
            <w:hideMark/>
          </w:tcPr>
          <w:p w14:paraId="5D626DE0" w14:textId="7683A84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Nominated Person  </w:t>
            </w:r>
          </w:p>
        </w:tc>
      </w:tr>
      <w:tr w:rsidR="001F1046" w:rsidRPr="00DD1B58" w14:paraId="3EE7DC1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E24BAC" w14:textId="1429E11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FPA </w:t>
            </w:r>
          </w:p>
        </w:tc>
        <w:tc>
          <w:tcPr>
            <w:tcW w:w="7848" w:type="dxa"/>
            <w:tcBorders>
              <w:top w:val="single" w:sz="6" w:space="0" w:color="22413A"/>
              <w:left w:val="single" w:sz="6" w:space="0" w:color="22413A"/>
              <w:bottom w:val="single" w:sz="6" w:space="0" w:color="22413A"/>
              <w:right w:val="nil"/>
            </w:tcBorders>
            <w:shd w:val="clear" w:color="auto" w:fill="auto"/>
            <w:hideMark/>
          </w:tcPr>
          <w:p w14:paraId="5D7DD1D6" w14:textId="4DB7C94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Protection Association  </w:t>
            </w:r>
          </w:p>
        </w:tc>
      </w:tr>
      <w:tr w:rsidR="001F1046" w:rsidRPr="00DD1B58" w14:paraId="4BBA980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FF3B7B9" w14:textId="4D44F611"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FPAS </w:t>
            </w:r>
          </w:p>
        </w:tc>
        <w:tc>
          <w:tcPr>
            <w:tcW w:w="7848" w:type="dxa"/>
            <w:tcBorders>
              <w:top w:val="single" w:sz="6" w:space="0" w:color="22413A"/>
              <w:left w:val="single" w:sz="6" w:space="0" w:color="22413A"/>
              <w:bottom w:val="single" w:sz="6" w:space="0" w:color="22413A"/>
              <w:right w:val="nil"/>
            </w:tcBorders>
            <w:shd w:val="clear" w:color="auto" w:fill="auto"/>
            <w:hideMark/>
          </w:tcPr>
          <w:p w14:paraId="23DC0BBA" w14:textId="19A6A93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Protection Alert System  </w:t>
            </w:r>
          </w:p>
        </w:tc>
      </w:tr>
      <w:tr w:rsidR="001F1046" w:rsidRPr="00DD1B58" w14:paraId="0AA8860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0679DAF" w14:textId="344E6891"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FPASS </w:t>
            </w:r>
          </w:p>
        </w:tc>
        <w:tc>
          <w:tcPr>
            <w:tcW w:w="7848" w:type="dxa"/>
            <w:tcBorders>
              <w:top w:val="single" w:sz="6" w:space="0" w:color="22413A"/>
              <w:left w:val="single" w:sz="6" w:space="0" w:color="22413A"/>
              <w:bottom w:val="single" w:sz="6" w:space="0" w:color="22413A"/>
              <w:right w:val="nil"/>
            </w:tcBorders>
            <w:shd w:val="clear" w:color="auto" w:fill="auto"/>
            <w:hideMark/>
          </w:tcPr>
          <w:p w14:paraId="32192B8D" w14:textId="247203ED"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Protection Alarm Supervisory System  </w:t>
            </w:r>
          </w:p>
        </w:tc>
      </w:tr>
      <w:tr w:rsidR="001F1046" w:rsidRPr="00DD1B58" w14:paraId="0E6D17E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E2BAC03" w14:textId="10178548"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FPS </w:t>
            </w:r>
          </w:p>
        </w:tc>
        <w:tc>
          <w:tcPr>
            <w:tcW w:w="7848" w:type="dxa"/>
            <w:tcBorders>
              <w:top w:val="single" w:sz="6" w:space="0" w:color="22413A"/>
              <w:left w:val="single" w:sz="6" w:space="0" w:color="22413A"/>
              <w:bottom w:val="single" w:sz="6" w:space="0" w:color="22413A"/>
              <w:right w:val="nil"/>
            </w:tcBorders>
            <w:shd w:val="clear" w:color="auto" w:fill="auto"/>
            <w:hideMark/>
          </w:tcPr>
          <w:p w14:paraId="6C72E2A0" w14:textId="5944071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Protection System  </w:t>
            </w:r>
          </w:p>
        </w:tc>
      </w:tr>
      <w:tr w:rsidR="001F1046" w:rsidRPr="00DD1B58" w14:paraId="1401B4D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A3BA60F" w14:textId="765E3628"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FRA </w:t>
            </w:r>
          </w:p>
        </w:tc>
        <w:tc>
          <w:tcPr>
            <w:tcW w:w="7848" w:type="dxa"/>
            <w:tcBorders>
              <w:top w:val="single" w:sz="6" w:space="0" w:color="22413A"/>
              <w:left w:val="single" w:sz="6" w:space="0" w:color="22413A"/>
              <w:bottom w:val="single" w:sz="6" w:space="0" w:color="22413A"/>
              <w:right w:val="nil"/>
            </w:tcBorders>
            <w:shd w:val="clear" w:color="auto" w:fill="auto"/>
            <w:hideMark/>
          </w:tcPr>
          <w:p w14:paraId="2D5E4173" w14:textId="404F803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Risk Analysis  </w:t>
            </w:r>
          </w:p>
        </w:tc>
      </w:tr>
      <w:tr w:rsidR="001F1046" w:rsidRPr="00DD1B58" w14:paraId="10EC8EC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846531" w14:textId="13BD252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FREC </w:t>
            </w:r>
          </w:p>
        </w:tc>
        <w:tc>
          <w:tcPr>
            <w:tcW w:w="7848" w:type="dxa"/>
            <w:tcBorders>
              <w:top w:val="single" w:sz="6" w:space="0" w:color="22413A"/>
              <w:left w:val="single" w:sz="6" w:space="0" w:color="22413A"/>
              <w:bottom w:val="single" w:sz="6" w:space="0" w:color="22413A"/>
              <w:right w:val="nil"/>
            </w:tcBorders>
            <w:shd w:val="clear" w:color="auto" w:fill="auto"/>
            <w:hideMark/>
          </w:tcPr>
          <w:p w14:paraId="122AD9A7" w14:textId="4E470223"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First Response Emergency Care  </w:t>
            </w:r>
          </w:p>
        </w:tc>
      </w:tr>
      <w:tr w:rsidR="001F1046" w:rsidRPr="00DD1B58" w14:paraId="7A0C522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08DA0F" w14:textId="072A7A07"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FRS </w:t>
            </w:r>
          </w:p>
        </w:tc>
        <w:tc>
          <w:tcPr>
            <w:tcW w:w="7848" w:type="dxa"/>
            <w:tcBorders>
              <w:top w:val="single" w:sz="6" w:space="0" w:color="22413A"/>
              <w:left w:val="single" w:sz="6" w:space="0" w:color="22413A"/>
              <w:bottom w:val="single" w:sz="6" w:space="0" w:color="22413A"/>
              <w:right w:val="nil"/>
            </w:tcBorders>
            <w:shd w:val="clear" w:color="auto" w:fill="auto"/>
            <w:hideMark/>
          </w:tcPr>
          <w:p w14:paraId="07A257BB" w14:textId="45F95AEA"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 and Rescue Service</w:t>
            </w:r>
          </w:p>
        </w:tc>
      </w:tr>
      <w:tr w:rsidR="001F1046" w:rsidRPr="00DD1B58" w14:paraId="75F6839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B8D5B2" w14:textId="741D8A5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FSA </w:t>
            </w:r>
          </w:p>
        </w:tc>
        <w:tc>
          <w:tcPr>
            <w:tcW w:w="7848" w:type="dxa"/>
            <w:tcBorders>
              <w:top w:val="single" w:sz="6" w:space="0" w:color="22413A"/>
              <w:left w:val="single" w:sz="6" w:space="0" w:color="22413A"/>
              <w:bottom w:val="single" w:sz="6" w:space="0" w:color="22413A"/>
              <w:right w:val="nil"/>
            </w:tcBorders>
            <w:shd w:val="clear" w:color="auto" w:fill="auto"/>
            <w:hideMark/>
          </w:tcPr>
          <w:p w14:paraId="5EEAEF98" w14:textId="4109F214"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 (Scotland) Act 2005  </w:t>
            </w:r>
          </w:p>
        </w:tc>
      </w:tr>
      <w:tr w:rsidR="001F1046" w:rsidRPr="00DD1B58" w14:paraId="35BDF1B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D223A5B" w14:textId="6E68D84A"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FSB </w:t>
            </w:r>
          </w:p>
        </w:tc>
        <w:tc>
          <w:tcPr>
            <w:tcW w:w="7848" w:type="dxa"/>
            <w:tcBorders>
              <w:top w:val="single" w:sz="6" w:space="0" w:color="22413A"/>
              <w:left w:val="single" w:sz="6" w:space="0" w:color="22413A"/>
              <w:bottom w:val="single" w:sz="6" w:space="0" w:color="22413A"/>
              <w:right w:val="nil"/>
            </w:tcBorders>
            <w:shd w:val="clear" w:color="auto" w:fill="auto"/>
            <w:hideMark/>
          </w:tcPr>
          <w:p w14:paraId="75255F17" w14:textId="11A3A2EF" w:rsidR="001F1046" w:rsidRPr="00DD1B58" w:rsidRDefault="001F1046"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Fuel Storage Building  </w:t>
            </w:r>
          </w:p>
        </w:tc>
      </w:tr>
      <w:tr w:rsidR="001F1046" w:rsidRPr="00DD1B58" w14:paraId="3B63C50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2EFA737" w14:textId="7DA7238B"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FSM </w:t>
            </w:r>
          </w:p>
        </w:tc>
        <w:tc>
          <w:tcPr>
            <w:tcW w:w="7848" w:type="dxa"/>
            <w:tcBorders>
              <w:top w:val="single" w:sz="6" w:space="0" w:color="22413A"/>
              <w:left w:val="single" w:sz="6" w:space="0" w:color="22413A"/>
              <w:bottom w:val="single" w:sz="6" w:space="0" w:color="22413A"/>
              <w:right w:val="nil"/>
            </w:tcBorders>
            <w:shd w:val="clear" w:color="auto" w:fill="auto"/>
            <w:hideMark/>
          </w:tcPr>
          <w:p w14:paraId="4EEED4BA" w14:textId="095667F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Fire </w:t>
            </w:r>
            <w:r w:rsidR="00C77E09" w:rsidRPr="00DD1B58">
              <w:rPr>
                <w:rFonts w:eastAsia="Times New Roman"/>
                <w:color w:val="000000"/>
                <w:szCs w:val="24"/>
                <w:lang w:val="en-US" w:eastAsia="en-GB" w:bidi="ar-SA"/>
              </w:rPr>
              <w:t>S</w:t>
            </w:r>
            <w:r w:rsidRPr="00DD1B58">
              <w:rPr>
                <w:rFonts w:eastAsia="Times New Roman"/>
                <w:color w:val="000000"/>
                <w:szCs w:val="24"/>
                <w:lang w:val="en-US" w:eastAsia="en-GB" w:bidi="ar-SA"/>
              </w:rPr>
              <w:t>afety Manager  </w:t>
            </w:r>
          </w:p>
        </w:tc>
      </w:tr>
      <w:tr w:rsidR="001F1046" w:rsidRPr="00DD1B58" w14:paraId="450CEB6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D8B699F" w14:textId="49587AEE"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FSO </w:t>
            </w:r>
          </w:p>
        </w:tc>
        <w:tc>
          <w:tcPr>
            <w:tcW w:w="7848" w:type="dxa"/>
            <w:tcBorders>
              <w:top w:val="single" w:sz="6" w:space="0" w:color="22413A"/>
              <w:left w:val="single" w:sz="6" w:space="0" w:color="22413A"/>
              <w:bottom w:val="single" w:sz="6" w:space="0" w:color="22413A"/>
              <w:right w:val="nil"/>
            </w:tcBorders>
            <w:shd w:val="clear" w:color="auto" w:fill="auto"/>
            <w:hideMark/>
          </w:tcPr>
          <w:p w14:paraId="685FFA29" w14:textId="29533E63"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Regulatory Reform (Fire Safety) Order 2005  </w:t>
            </w:r>
          </w:p>
        </w:tc>
      </w:tr>
      <w:tr w:rsidR="001F1046" w:rsidRPr="00DD1B58" w14:paraId="2393B77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AFDFEE" w14:textId="020422F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FSP </w:t>
            </w:r>
          </w:p>
        </w:tc>
        <w:tc>
          <w:tcPr>
            <w:tcW w:w="7848" w:type="dxa"/>
            <w:tcBorders>
              <w:top w:val="single" w:sz="6" w:space="0" w:color="22413A"/>
              <w:left w:val="single" w:sz="6" w:space="0" w:color="22413A"/>
              <w:bottom w:val="single" w:sz="6" w:space="0" w:color="22413A"/>
              <w:right w:val="nil"/>
            </w:tcBorders>
            <w:shd w:val="clear" w:color="auto" w:fill="auto"/>
            <w:hideMark/>
          </w:tcPr>
          <w:p w14:paraId="452E7D8F" w14:textId="07FE7D98" w:rsidR="001F1046" w:rsidRPr="00DD1B58" w:rsidRDefault="0066187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Fire Sector Panel</w:t>
            </w:r>
            <w:r w:rsidR="001F1046" w:rsidRPr="00DD1B58">
              <w:rPr>
                <w:rFonts w:eastAsia="Times New Roman"/>
                <w:color w:val="000000" w:themeColor="text1"/>
                <w:szCs w:val="24"/>
                <w:lang w:val="en-US" w:eastAsia="en-GB" w:bidi="ar-SA"/>
              </w:rPr>
              <w:t> </w:t>
            </w:r>
          </w:p>
        </w:tc>
      </w:tr>
      <w:tr w:rsidR="001F1046" w:rsidRPr="00DD1B58" w14:paraId="3E3361B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4F1DB8B" w14:textId="180FB286"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FSS </w:t>
            </w:r>
          </w:p>
        </w:tc>
        <w:tc>
          <w:tcPr>
            <w:tcW w:w="7848" w:type="dxa"/>
            <w:tcBorders>
              <w:top w:val="single" w:sz="6" w:space="0" w:color="22413A"/>
              <w:left w:val="single" w:sz="6" w:space="0" w:color="22413A"/>
              <w:bottom w:val="single" w:sz="6" w:space="0" w:color="22413A"/>
              <w:right w:val="nil"/>
            </w:tcBorders>
            <w:shd w:val="clear" w:color="auto" w:fill="auto"/>
            <w:hideMark/>
          </w:tcPr>
          <w:p w14:paraId="7D804DBE" w14:textId="1EA75DD8"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Fire Safety Strategies  </w:t>
            </w:r>
          </w:p>
        </w:tc>
      </w:tr>
      <w:tr w:rsidR="001F1046" w:rsidRPr="00DD1B58" w14:paraId="34EB440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4398945" w14:textId="76A40FA9"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GB </w:t>
            </w:r>
          </w:p>
        </w:tc>
        <w:tc>
          <w:tcPr>
            <w:tcW w:w="7848" w:type="dxa"/>
            <w:tcBorders>
              <w:top w:val="single" w:sz="6" w:space="0" w:color="22413A"/>
              <w:left w:val="single" w:sz="6" w:space="0" w:color="22413A"/>
              <w:bottom w:val="single" w:sz="6" w:space="0" w:color="22413A"/>
              <w:right w:val="nil"/>
            </w:tcBorders>
            <w:shd w:val="clear" w:color="auto" w:fill="auto"/>
            <w:hideMark/>
          </w:tcPr>
          <w:p w14:paraId="3E53EE57" w14:textId="2D42C6A5"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Great Britain </w:t>
            </w:r>
          </w:p>
        </w:tc>
      </w:tr>
      <w:tr w:rsidR="001F1046" w:rsidRPr="00DD1B58" w14:paraId="1E5B70D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09D2113" w14:textId="1508E7EC"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GDA </w:t>
            </w:r>
          </w:p>
        </w:tc>
        <w:tc>
          <w:tcPr>
            <w:tcW w:w="7848" w:type="dxa"/>
            <w:tcBorders>
              <w:top w:val="single" w:sz="6" w:space="0" w:color="22413A"/>
              <w:left w:val="single" w:sz="6" w:space="0" w:color="22413A"/>
              <w:bottom w:val="single" w:sz="6" w:space="0" w:color="22413A"/>
              <w:right w:val="nil"/>
            </w:tcBorders>
            <w:shd w:val="clear" w:color="auto" w:fill="auto"/>
            <w:hideMark/>
          </w:tcPr>
          <w:p w14:paraId="670AA4A6" w14:textId="39259C44"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Generic Design Assessment  </w:t>
            </w:r>
          </w:p>
        </w:tc>
      </w:tr>
      <w:tr w:rsidR="001F1046" w:rsidRPr="00DD1B58" w14:paraId="01FC417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15581BF" w14:textId="24618600"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GEST </w:t>
            </w:r>
          </w:p>
        </w:tc>
        <w:tc>
          <w:tcPr>
            <w:tcW w:w="7848" w:type="dxa"/>
            <w:tcBorders>
              <w:top w:val="single" w:sz="6" w:space="0" w:color="22413A"/>
              <w:left w:val="single" w:sz="6" w:space="0" w:color="22413A"/>
              <w:bottom w:val="single" w:sz="6" w:space="0" w:color="22413A"/>
              <w:right w:val="nil"/>
            </w:tcBorders>
            <w:shd w:val="clear" w:color="auto" w:fill="auto"/>
            <w:hideMark/>
          </w:tcPr>
          <w:p w14:paraId="785F7AF0" w14:textId="34B7C002" w:rsidR="001F1046" w:rsidRPr="00DD1B58" w:rsidRDefault="001F104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Generic Emergency Scheme Training  </w:t>
            </w:r>
          </w:p>
        </w:tc>
      </w:tr>
      <w:tr w:rsidR="00097D8D" w:rsidRPr="00DD1B58" w14:paraId="378A15F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67A0C9" w14:textId="29677A0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GTH </w:t>
            </w:r>
          </w:p>
        </w:tc>
        <w:tc>
          <w:tcPr>
            <w:tcW w:w="7848" w:type="dxa"/>
            <w:tcBorders>
              <w:top w:val="single" w:sz="6" w:space="0" w:color="22413A"/>
              <w:left w:val="single" w:sz="6" w:space="0" w:color="22413A"/>
              <w:bottom w:val="single" w:sz="6" w:space="0" w:color="22413A"/>
              <w:right w:val="nil"/>
            </w:tcBorders>
            <w:shd w:val="clear" w:color="auto" w:fill="auto"/>
            <w:hideMark/>
          </w:tcPr>
          <w:p w14:paraId="339007DA" w14:textId="3B8F89C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Generator Transformer House  </w:t>
            </w:r>
          </w:p>
        </w:tc>
      </w:tr>
      <w:tr w:rsidR="00097D8D" w:rsidRPr="00DD1B58" w14:paraId="705E53C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77910B9" w14:textId="04543B7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GUI </w:t>
            </w:r>
          </w:p>
        </w:tc>
        <w:tc>
          <w:tcPr>
            <w:tcW w:w="7848" w:type="dxa"/>
            <w:tcBorders>
              <w:top w:val="single" w:sz="6" w:space="0" w:color="22413A"/>
              <w:left w:val="single" w:sz="6" w:space="0" w:color="22413A"/>
              <w:bottom w:val="single" w:sz="6" w:space="0" w:color="22413A"/>
              <w:right w:val="nil"/>
            </w:tcBorders>
            <w:shd w:val="clear" w:color="auto" w:fill="auto"/>
            <w:hideMark/>
          </w:tcPr>
          <w:p w14:paraId="0A83764E" w14:textId="0A80F22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Graphical User Interface  </w:t>
            </w:r>
          </w:p>
        </w:tc>
      </w:tr>
      <w:tr w:rsidR="00097D8D" w:rsidRPr="00DD1B58" w14:paraId="416FF52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C17B32" w14:textId="14F85B2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 </w:t>
            </w:r>
          </w:p>
        </w:tc>
        <w:tc>
          <w:tcPr>
            <w:tcW w:w="7848" w:type="dxa"/>
            <w:tcBorders>
              <w:top w:val="single" w:sz="6" w:space="0" w:color="22413A"/>
              <w:left w:val="single" w:sz="6" w:space="0" w:color="22413A"/>
              <w:bottom w:val="single" w:sz="6" w:space="0" w:color="22413A"/>
              <w:right w:val="nil"/>
            </w:tcBorders>
            <w:shd w:val="clear" w:color="auto" w:fill="auto"/>
            <w:hideMark/>
          </w:tcPr>
          <w:p w14:paraId="32A00F19" w14:textId="6FE8BE8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Highly Active  </w:t>
            </w:r>
          </w:p>
        </w:tc>
      </w:tr>
      <w:tr w:rsidR="00097D8D" w:rsidRPr="00DD1B58" w14:paraId="1F9299A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F1C55B8" w14:textId="2C67B1E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HAC </w:t>
            </w:r>
          </w:p>
        </w:tc>
        <w:tc>
          <w:tcPr>
            <w:tcW w:w="7848" w:type="dxa"/>
            <w:tcBorders>
              <w:top w:val="single" w:sz="6" w:space="0" w:color="22413A"/>
              <w:left w:val="single" w:sz="6" w:space="0" w:color="22413A"/>
              <w:bottom w:val="single" w:sz="6" w:space="0" w:color="22413A"/>
              <w:right w:val="nil"/>
            </w:tcBorders>
            <w:shd w:val="clear" w:color="auto" w:fill="auto"/>
            <w:hideMark/>
          </w:tcPr>
          <w:p w14:paraId="7D116668" w14:textId="7B2B454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Hazardous Area Classification  </w:t>
            </w:r>
          </w:p>
        </w:tc>
      </w:tr>
      <w:tr w:rsidR="00097D8D" w:rsidRPr="00DD1B58" w14:paraId="23FE7D6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1D1E24" w14:textId="474EA8D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HAL </w:t>
            </w:r>
          </w:p>
        </w:tc>
        <w:tc>
          <w:tcPr>
            <w:tcW w:w="7848" w:type="dxa"/>
            <w:tcBorders>
              <w:top w:val="single" w:sz="6" w:space="0" w:color="22413A"/>
              <w:left w:val="single" w:sz="6" w:space="0" w:color="22413A"/>
              <w:bottom w:val="single" w:sz="6" w:space="0" w:color="22413A"/>
              <w:right w:val="nil"/>
            </w:tcBorders>
            <w:shd w:val="clear" w:color="auto" w:fill="auto"/>
            <w:hideMark/>
          </w:tcPr>
          <w:p w14:paraId="361A24B1" w14:textId="2A7DE15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Highly Active Liquor  </w:t>
            </w:r>
          </w:p>
        </w:tc>
      </w:tr>
      <w:tr w:rsidR="00097D8D" w:rsidRPr="00DD1B58" w14:paraId="5784798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51ECAB6" w14:textId="5D6FD4B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HAZAN </w:t>
            </w:r>
          </w:p>
        </w:tc>
        <w:tc>
          <w:tcPr>
            <w:tcW w:w="7848" w:type="dxa"/>
            <w:tcBorders>
              <w:top w:val="single" w:sz="6" w:space="0" w:color="22413A"/>
              <w:left w:val="single" w:sz="6" w:space="0" w:color="22413A"/>
              <w:bottom w:val="single" w:sz="6" w:space="0" w:color="22413A"/>
              <w:right w:val="nil"/>
            </w:tcBorders>
            <w:shd w:val="clear" w:color="auto" w:fill="auto"/>
            <w:hideMark/>
          </w:tcPr>
          <w:p w14:paraId="39539B95" w14:textId="3AF9B3F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Hazard Analysis  </w:t>
            </w:r>
          </w:p>
        </w:tc>
      </w:tr>
      <w:tr w:rsidR="00097D8D" w:rsidRPr="00DD1B58" w14:paraId="1617031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036CDB8" w14:textId="70AE557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HAZID </w:t>
            </w:r>
          </w:p>
        </w:tc>
        <w:tc>
          <w:tcPr>
            <w:tcW w:w="7848" w:type="dxa"/>
            <w:tcBorders>
              <w:top w:val="single" w:sz="6" w:space="0" w:color="22413A"/>
              <w:left w:val="single" w:sz="6" w:space="0" w:color="22413A"/>
              <w:bottom w:val="single" w:sz="6" w:space="0" w:color="22413A"/>
              <w:right w:val="nil"/>
            </w:tcBorders>
            <w:shd w:val="clear" w:color="auto" w:fill="auto"/>
            <w:hideMark/>
          </w:tcPr>
          <w:p w14:paraId="217EBCA0" w14:textId="09AE577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Hazard Identification  </w:t>
            </w:r>
          </w:p>
        </w:tc>
      </w:tr>
      <w:tr w:rsidR="00097D8D" w:rsidRPr="00DD1B58" w14:paraId="732BDBE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18DE34A" w14:textId="3FD44EB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HAZOP </w:t>
            </w:r>
          </w:p>
        </w:tc>
        <w:tc>
          <w:tcPr>
            <w:tcW w:w="7848" w:type="dxa"/>
            <w:tcBorders>
              <w:top w:val="single" w:sz="6" w:space="0" w:color="22413A"/>
              <w:left w:val="single" w:sz="6" w:space="0" w:color="22413A"/>
              <w:bottom w:val="single" w:sz="6" w:space="0" w:color="22413A"/>
              <w:right w:val="nil"/>
            </w:tcBorders>
            <w:shd w:val="clear" w:color="auto" w:fill="auto"/>
            <w:hideMark/>
          </w:tcPr>
          <w:p w14:paraId="5B5551B1" w14:textId="0864273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Hazard and Operability  </w:t>
            </w:r>
          </w:p>
        </w:tc>
      </w:tr>
      <w:tr w:rsidR="00097D8D" w:rsidRPr="00DD1B58" w14:paraId="1CB4F53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49FF645" w14:textId="2F9E96A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HBN </w:t>
            </w:r>
          </w:p>
        </w:tc>
        <w:tc>
          <w:tcPr>
            <w:tcW w:w="7848" w:type="dxa"/>
            <w:tcBorders>
              <w:top w:val="single" w:sz="6" w:space="0" w:color="22413A"/>
              <w:left w:val="single" w:sz="6" w:space="0" w:color="22413A"/>
              <w:bottom w:val="single" w:sz="6" w:space="0" w:color="22413A"/>
              <w:right w:val="nil"/>
            </w:tcBorders>
            <w:shd w:val="clear" w:color="auto" w:fill="auto"/>
            <w:hideMark/>
          </w:tcPr>
          <w:p w14:paraId="37B7AEAD" w14:textId="22E5223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Hunterston B </w:t>
            </w:r>
          </w:p>
        </w:tc>
      </w:tr>
      <w:tr w:rsidR="00097D8D" w:rsidRPr="00DD1B58" w14:paraId="066056C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52F4A8A" w14:textId="5B2BA38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HBS </w:t>
            </w:r>
          </w:p>
        </w:tc>
        <w:tc>
          <w:tcPr>
            <w:tcW w:w="7848" w:type="dxa"/>
            <w:tcBorders>
              <w:top w:val="single" w:sz="6" w:space="0" w:color="22413A"/>
              <w:left w:val="single" w:sz="6" w:space="0" w:color="22413A"/>
              <w:bottom w:val="single" w:sz="6" w:space="0" w:color="22413A"/>
              <w:right w:val="nil"/>
            </w:tcBorders>
            <w:shd w:val="clear" w:color="auto" w:fill="auto"/>
            <w:hideMark/>
          </w:tcPr>
          <w:p w14:paraId="624B85FE" w14:textId="547A7F8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Hunterston B Simulator</w:t>
            </w:r>
          </w:p>
        </w:tc>
      </w:tr>
      <w:tr w:rsidR="00097D8D" w:rsidRPr="00DD1B58" w14:paraId="7A23A5F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8ED497D" w14:textId="7147973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HBX </w:t>
            </w:r>
          </w:p>
        </w:tc>
        <w:tc>
          <w:tcPr>
            <w:tcW w:w="7848" w:type="dxa"/>
            <w:tcBorders>
              <w:top w:val="single" w:sz="6" w:space="0" w:color="22413A"/>
              <w:left w:val="single" w:sz="6" w:space="0" w:color="22413A"/>
              <w:bottom w:val="single" w:sz="6" w:space="0" w:color="22413A"/>
              <w:right w:val="nil"/>
            </w:tcBorders>
            <w:shd w:val="clear" w:color="auto" w:fill="auto"/>
            <w:hideMark/>
          </w:tcPr>
          <w:p w14:paraId="0229014D" w14:textId="76C239E7"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Operational Service Centre Building</w:t>
            </w:r>
          </w:p>
        </w:tc>
      </w:tr>
      <w:tr w:rsidR="00097D8D" w:rsidRPr="00DD1B58" w14:paraId="39AFAF3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4A3AB89" w14:textId="46922FC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HDU </w:t>
            </w:r>
          </w:p>
        </w:tc>
        <w:tc>
          <w:tcPr>
            <w:tcW w:w="7848" w:type="dxa"/>
            <w:tcBorders>
              <w:top w:val="single" w:sz="6" w:space="0" w:color="22413A"/>
              <w:left w:val="single" w:sz="6" w:space="0" w:color="22413A"/>
              <w:bottom w:val="single" w:sz="6" w:space="0" w:color="22413A"/>
              <w:right w:val="nil"/>
            </w:tcBorders>
            <w:shd w:val="clear" w:color="auto" w:fill="auto"/>
            <w:hideMark/>
          </w:tcPr>
          <w:p w14:paraId="55F88268" w14:textId="23D82A71"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Emergency Response Energy Centre  </w:t>
            </w:r>
          </w:p>
        </w:tc>
      </w:tr>
      <w:tr w:rsidR="00097D8D" w:rsidRPr="00DD1B58" w14:paraId="6C8842E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3E2A0BC" w14:textId="4FAE120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HEG </w:t>
            </w:r>
          </w:p>
        </w:tc>
        <w:tc>
          <w:tcPr>
            <w:tcW w:w="7848" w:type="dxa"/>
            <w:tcBorders>
              <w:top w:val="single" w:sz="6" w:space="0" w:color="22413A"/>
              <w:left w:val="single" w:sz="6" w:space="0" w:color="22413A"/>
              <w:bottom w:val="single" w:sz="6" w:space="0" w:color="22413A"/>
              <w:right w:val="nil"/>
            </w:tcBorders>
            <w:shd w:val="clear" w:color="auto" w:fill="auto"/>
            <w:hideMark/>
          </w:tcPr>
          <w:p w14:paraId="483D2383" w14:textId="074143BD"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National Grid 400 kV Sub-station  </w:t>
            </w:r>
          </w:p>
        </w:tc>
      </w:tr>
      <w:tr w:rsidR="00097D8D" w:rsidRPr="00DD1B58" w14:paraId="6A80D41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7BDB2E" w14:textId="0161B67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HEPA </w:t>
            </w:r>
          </w:p>
        </w:tc>
        <w:tc>
          <w:tcPr>
            <w:tcW w:w="7848" w:type="dxa"/>
            <w:tcBorders>
              <w:top w:val="single" w:sz="6" w:space="0" w:color="22413A"/>
              <w:left w:val="single" w:sz="6" w:space="0" w:color="22413A"/>
              <w:bottom w:val="single" w:sz="6" w:space="0" w:color="22413A"/>
              <w:right w:val="nil"/>
            </w:tcBorders>
            <w:shd w:val="clear" w:color="auto" w:fill="auto"/>
            <w:hideMark/>
          </w:tcPr>
          <w:p w14:paraId="24945B57" w14:textId="532DBC2C"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Highly Efficient Particulate  </w:t>
            </w:r>
          </w:p>
        </w:tc>
      </w:tr>
      <w:tr w:rsidR="00097D8D" w:rsidRPr="00DD1B58" w14:paraId="1C5625B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B55A576" w14:textId="007A1FB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HF </w:t>
            </w:r>
          </w:p>
        </w:tc>
        <w:tc>
          <w:tcPr>
            <w:tcW w:w="7848" w:type="dxa"/>
            <w:tcBorders>
              <w:top w:val="single" w:sz="6" w:space="0" w:color="22413A"/>
              <w:left w:val="single" w:sz="6" w:space="0" w:color="22413A"/>
              <w:bottom w:val="single" w:sz="6" w:space="0" w:color="22413A"/>
              <w:right w:val="nil"/>
            </w:tcBorders>
            <w:shd w:val="clear" w:color="auto" w:fill="auto"/>
            <w:hideMark/>
          </w:tcPr>
          <w:p w14:paraId="4FB98CAA" w14:textId="74F77C60"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Hydrogen Fluoride  </w:t>
            </w:r>
          </w:p>
        </w:tc>
      </w:tr>
      <w:tr w:rsidR="00097D8D" w:rsidRPr="00DD1B58" w14:paraId="6CCD56D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FF16354" w14:textId="47AA73E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HFSA </w:t>
            </w:r>
          </w:p>
        </w:tc>
        <w:tc>
          <w:tcPr>
            <w:tcW w:w="7848" w:type="dxa"/>
            <w:tcBorders>
              <w:top w:val="single" w:sz="6" w:space="0" w:color="22413A"/>
              <w:left w:val="single" w:sz="6" w:space="0" w:color="22413A"/>
              <w:bottom w:val="single" w:sz="6" w:space="0" w:color="22413A"/>
              <w:right w:val="nil"/>
            </w:tcBorders>
            <w:shd w:val="clear" w:color="auto" w:fill="auto"/>
            <w:hideMark/>
          </w:tcPr>
          <w:p w14:paraId="5A7C476F" w14:textId="2034EDA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Hazard Functional Safety Analysis</w:t>
            </w:r>
          </w:p>
        </w:tc>
      </w:tr>
      <w:tr w:rsidR="00097D8D" w:rsidRPr="00DD1B58" w14:paraId="26B6C9A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C88ACE7" w14:textId="7886353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HGE </w:t>
            </w:r>
          </w:p>
        </w:tc>
        <w:tc>
          <w:tcPr>
            <w:tcW w:w="7848" w:type="dxa"/>
            <w:tcBorders>
              <w:top w:val="single" w:sz="6" w:space="0" w:color="22413A"/>
              <w:left w:val="single" w:sz="6" w:space="0" w:color="22413A"/>
              <w:bottom w:val="single" w:sz="6" w:space="0" w:color="22413A"/>
              <w:right w:val="nil"/>
            </w:tcBorders>
            <w:shd w:val="clear" w:color="auto" w:fill="auto"/>
            <w:hideMark/>
          </w:tcPr>
          <w:p w14:paraId="425DE213" w14:textId="7F913467" w:rsidR="00097D8D" w:rsidRPr="00DD1B58" w:rsidRDefault="00DC63DA"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Hinkley Point C Technical Gallery Designation</w:t>
            </w:r>
          </w:p>
        </w:tc>
      </w:tr>
      <w:tr w:rsidR="00097D8D" w:rsidRPr="00DD1B58" w14:paraId="0914D30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D638BFF" w14:textId="7837A9D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HHK </w:t>
            </w:r>
          </w:p>
        </w:tc>
        <w:tc>
          <w:tcPr>
            <w:tcW w:w="7848" w:type="dxa"/>
            <w:tcBorders>
              <w:top w:val="single" w:sz="6" w:space="0" w:color="22413A"/>
              <w:left w:val="single" w:sz="6" w:space="0" w:color="22413A"/>
              <w:bottom w:val="single" w:sz="6" w:space="0" w:color="22413A"/>
              <w:right w:val="nil"/>
            </w:tcBorders>
            <w:shd w:val="clear" w:color="auto" w:fill="auto"/>
            <w:hideMark/>
          </w:tcPr>
          <w:p w14:paraId="7EFE9E88" w14:textId="6C5E2972"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Interim Spent Fuel Store  </w:t>
            </w:r>
          </w:p>
        </w:tc>
      </w:tr>
      <w:tr w:rsidR="00097D8D" w:rsidRPr="00DD1B58" w14:paraId="78B10A8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EEF69C2" w14:textId="0A77156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HHRR </w:t>
            </w:r>
          </w:p>
        </w:tc>
        <w:tc>
          <w:tcPr>
            <w:tcW w:w="7848" w:type="dxa"/>
            <w:tcBorders>
              <w:top w:val="single" w:sz="6" w:space="0" w:color="22413A"/>
              <w:left w:val="single" w:sz="6" w:space="0" w:color="22413A"/>
              <w:bottom w:val="single" w:sz="6" w:space="0" w:color="22413A"/>
              <w:right w:val="nil"/>
            </w:tcBorders>
            <w:shd w:val="clear" w:color="auto" w:fill="auto"/>
            <w:hideMark/>
          </w:tcPr>
          <w:p w14:paraId="41B9319C" w14:textId="21D0067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High Hazard and Risk Reduction </w:t>
            </w:r>
          </w:p>
        </w:tc>
      </w:tr>
      <w:tr w:rsidR="00097D8D" w:rsidRPr="00DD1B58" w14:paraId="586C010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AECF917" w14:textId="3B5F5CE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HIE </w:t>
            </w:r>
          </w:p>
        </w:tc>
        <w:tc>
          <w:tcPr>
            <w:tcW w:w="7848" w:type="dxa"/>
            <w:tcBorders>
              <w:top w:val="single" w:sz="6" w:space="0" w:color="22413A"/>
              <w:left w:val="single" w:sz="6" w:space="0" w:color="22413A"/>
              <w:bottom w:val="single" w:sz="6" w:space="0" w:color="22413A"/>
              <w:right w:val="nil"/>
            </w:tcBorders>
            <w:shd w:val="clear" w:color="auto" w:fill="auto"/>
            <w:hideMark/>
          </w:tcPr>
          <w:p w14:paraId="301CB582" w14:textId="2511BDE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Hazard Initiating Event </w:t>
            </w:r>
          </w:p>
        </w:tc>
      </w:tr>
      <w:tr w:rsidR="00097D8D" w:rsidRPr="00DD1B58" w14:paraId="5EC5E8F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6FA030" w14:textId="2CF46D6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HK </w:t>
            </w:r>
          </w:p>
        </w:tc>
        <w:tc>
          <w:tcPr>
            <w:tcW w:w="7848" w:type="dxa"/>
            <w:tcBorders>
              <w:top w:val="single" w:sz="6" w:space="0" w:color="22413A"/>
              <w:left w:val="single" w:sz="6" w:space="0" w:color="22413A"/>
              <w:bottom w:val="single" w:sz="6" w:space="0" w:color="22413A"/>
              <w:right w:val="nil"/>
            </w:tcBorders>
            <w:shd w:val="clear" w:color="auto" w:fill="auto"/>
            <w:hideMark/>
          </w:tcPr>
          <w:p w14:paraId="4F6131F2" w14:textId="2AB16E9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Fuel Building  </w:t>
            </w:r>
          </w:p>
        </w:tc>
      </w:tr>
      <w:tr w:rsidR="00097D8D" w:rsidRPr="00DD1B58" w14:paraId="095D148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86C2E3" w14:textId="5A7476A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HM </w:t>
            </w:r>
          </w:p>
        </w:tc>
        <w:tc>
          <w:tcPr>
            <w:tcW w:w="7848" w:type="dxa"/>
            <w:tcBorders>
              <w:top w:val="single" w:sz="6" w:space="0" w:color="22413A"/>
              <w:left w:val="single" w:sz="6" w:space="0" w:color="22413A"/>
              <w:bottom w:val="single" w:sz="6" w:space="0" w:color="22413A"/>
              <w:right w:val="nil"/>
            </w:tcBorders>
            <w:shd w:val="clear" w:color="auto" w:fill="auto"/>
            <w:hideMark/>
          </w:tcPr>
          <w:p w14:paraId="71EF6E08" w14:textId="467E99CD"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Turbine Hall  </w:t>
            </w:r>
          </w:p>
        </w:tc>
      </w:tr>
      <w:tr w:rsidR="00097D8D" w:rsidRPr="00DD1B58" w14:paraId="7436C16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2E86C68" w14:textId="458C9FF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HMS </w:t>
            </w:r>
          </w:p>
        </w:tc>
        <w:tc>
          <w:tcPr>
            <w:tcW w:w="7848" w:type="dxa"/>
            <w:tcBorders>
              <w:top w:val="single" w:sz="6" w:space="0" w:color="22413A"/>
              <w:left w:val="single" w:sz="6" w:space="0" w:color="22413A"/>
              <w:bottom w:val="single" w:sz="6" w:space="0" w:color="22413A"/>
              <w:right w:val="nil"/>
            </w:tcBorders>
            <w:shd w:val="clear" w:color="auto" w:fill="auto"/>
            <w:hideMark/>
          </w:tcPr>
          <w:p w14:paraId="3993BFED" w14:textId="2D768AFE"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Hazard Management Strategies  </w:t>
            </w:r>
          </w:p>
        </w:tc>
      </w:tr>
      <w:tr w:rsidR="00097D8D" w:rsidRPr="00DD1B58" w14:paraId="3B94619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3A5C815" w14:textId="009523B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HNA </w:t>
            </w:r>
          </w:p>
        </w:tc>
        <w:tc>
          <w:tcPr>
            <w:tcW w:w="7848" w:type="dxa"/>
            <w:tcBorders>
              <w:top w:val="single" w:sz="6" w:space="0" w:color="22413A"/>
              <w:left w:val="single" w:sz="6" w:space="0" w:color="22413A"/>
              <w:bottom w:val="single" w:sz="6" w:space="0" w:color="22413A"/>
              <w:right w:val="nil"/>
            </w:tcBorders>
            <w:shd w:val="clear" w:color="auto" w:fill="auto"/>
            <w:hideMark/>
          </w:tcPr>
          <w:p w14:paraId="39F9B4A8" w14:textId="65ADD22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Hunterston A</w:t>
            </w:r>
          </w:p>
        </w:tc>
      </w:tr>
      <w:tr w:rsidR="00097D8D" w:rsidRPr="00DD1B58" w14:paraId="6467B0D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6704EB8" w14:textId="7E4898A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HNB </w:t>
            </w:r>
          </w:p>
        </w:tc>
        <w:tc>
          <w:tcPr>
            <w:tcW w:w="7848" w:type="dxa"/>
            <w:tcBorders>
              <w:top w:val="single" w:sz="6" w:space="0" w:color="22413A"/>
              <w:left w:val="single" w:sz="6" w:space="0" w:color="22413A"/>
              <w:bottom w:val="single" w:sz="6" w:space="0" w:color="22413A"/>
              <w:right w:val="nil"/>
            </w:tcBorders>
            <w:shd w:val="clear" w:color="auto" w:fill="auto"/>
            <w:hideMark/>
          </w:tcPr>
          <w:p w14:paraId="5D88CE85" w14:textId="56952DE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Hunterston B </w:t>
            </w:r>
          </w:p>
        </w:tc>
      </w:tr>
      <w:tr w:rsidR="00097D8D" w:rsidRPr="00DD1B58" w14:paraId="2FF4950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8F6F5FF" w14:textId="74CD6D5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HOJ </w:t>
            </w:r>
          </w:p>
        </w:tc>
        <w:tc>
          <w:tcPr>
            <w:tcW w:w="7848" w:type="dxa"/>
            <w:tcBorders>
              <w:top w:val="single" w:sz="6" w:space="0" w:color="22413A"/>
              <w:left w:val="single" w:sz="6" w:space="0" w:color="22413A"/>
              <w:bottom w:val="single" w:sz="6" w:space="0" w:color="22413A"/>
              <w:right w:val="nil"/>
            </w:tcBorders>
            <w:shd w:val="clear" w:color="auto" w:fill="auto"/>
            <w:hideMark/>
          </w:tcPr>
          <w:p w14:paraId="3548410E" w14:textId="04521639" w:rsidR="00097D8D" w:rsidRPr="00DD1B58" w:rsidRDefault="004313C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Fire-fighting Water Building</w:t>
            </w:r>
          </w:p>
        </w:tc>
      </w:tr>
      <w:tr w:rsidR="00097D8D" w:rsidRPr="00DD1B58" w14:paraId="7301810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505BFF9" w14:textId="1612AD4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HP </w:t>
            </w:r>
          </w:p>
        </w:tc>
        <w:tc>
          <w:tcPr>
            <w:tcW w:w="7848" w:type="dxa"/>
            <w:tcBorders>
              <w:top w:val="single" w:sz="6" w:space="0" w:color="22413A"/>
              <w:left w:val="single" w:sz="6" w:space="0" w:color="22413A"/>
              <w:bottom w:val="single" w:sz="6" w:space="0" w:color="22413A"/>
              <w:right w:val="nil"/>
            </w:tcBorders>
            <w:shd w:val="clear" w:color="auto" w:fill="auto"/>
            <w:hideMark/>
          </w:tcPr>
          <w:p w14:paraId="58A2A785" w14:textId="5138ED11" w:rsidR="00097D8D" w:rsidRPr="00DD1B58" w:rsidRDefault="004313C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Cooling Water Pump House</w:t>
            </w:r>
          </w:p>
        </w:tc>
      </w:tr>
      <w:tr w:rsidR="00097D8D" w:rsidRPr="00DD1B58" w14:paraId="634C90C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BF5F48" w14:textId="3E00E25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HPA </w:t>
            </w:r>
          </w:p>
        </w:tc>
        <w:tc>
          <w:tcPr>
            <w:tcW w:w="7848" w:type="dxa"/>
            <w:tcBorders>
              <w:top w:val="single" w:sz="6" w:space="0" w:color="22413A"/>
              <w:left w:val="single" w:sz="6" w:space="0" w:color="22413A"/>
              <w:bottom w:val="single" w:sz="6" w:space="0" w:color="22413A"/>
              <w:right w:val="nil"/>
            </w:tcBorders>
            <w:shd w:val="clear" w:color="auto" w:fill="auto"/>
            <w:hideMark/>
          </w:tcPr>
          <w:p w14:paraId="17B70521" w14:textId="61B7DD7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Service Water Pump Building  </w:t>
            </w:r>
          </w:p>
        </w:tc>
      </w:tr>
      <w:tr w:rsidR="00097D8D" w:rsidRPr="00DD1B58" w14:paraId="40EF7B1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B5A7783" w14:textId="2132002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HPB </w:t>
            </w:r>
          </w:p>
        </w:tc>
        <w:tc>
          <w:tcPr>
            <w:tcW w:w="7848" w:type="dxa"/>
            <w:tcBorders>
              <w:top w:val="single" w:sz="6" w:space="0" w:color="22413A"/>
              <w:left w:val="single" w:sz="6" w:space="0" w:color="22413A"/>
              <w:bottom w:val="single" w:sz="6" w:space="0" w:color="22413A"/>
              <w:right w:val="nil"/>
            </w:tcBorders>
            <w:shd w:val="clear" w:color="auto" w:fill="auto"/>
            <w:hideMark/>
          </w:tcPr>
          <w:p w14:paraId="28A79AEF" w14:textId="197FF4A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Hinkley Point B </w:t>
            </w:r>
          </w:p>
        </w:tc>
      </w:tr>
      <w:tr w:rsidR="00097D8D" w:rsidRPr="00DD1B58" w14:paraId="1FD1C01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52315E" w14:textId="6EA1BE9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HPC </w:t>
            </w:r>
          </w:p>
        </w:tc>
        <w:tc>
          <w:tcPr>
            <w:tcW w:w="7848" w:type="dxa"/>
            <w:tcBorders>
              <w:top w:val="single" w:sz="6" w:space="0" w:color="22413A"/>
              <w:left w:val="single" w:sz="6" w:space="0" w:color="22413A"/>
              <w:bottom w:val="single" w:sz="6" w:space="0" w:color="22413A"/>
              <w:right w:val="nil"/>
            </w:tcBorders>
            <w:shd w:val="clear" w:color="auto" w:fill="auto"/>
            <w:hideMark/>
          </w:tcPr>
          <w:p w14:paraId="723CC155" w14:textId="6068E10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Hinkley Point C  </w:t>
            </w:r>
          </w:p>
        </w:tc>
      </w:tr>
      <w:tr w:rsidR="00097D8D" w:rsidRPr="00DD1B58" w14:paraId="2A852FA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C2B62D" w14:textId="613E223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HR </w:t>
            </w:r>
          </w:p>
        </w:tc>
        <w:tc>
          <w:tcPr>
            <w:tcW w:w="7848" w:type="dxa"/>
            <w:tcBorders>
              <w:top w:val="single" w:sz="6" w:space="0" w:color="22413A"/>
              <w:left w:val="single" w:sz="6" w:space="0" w:color="22413A"/>
              <w:bottom w:val="single" w:sz="6" w:space="0" w:color="22413A"/>
              <w:right w:val="nil"/>
            </w:tcBorders>
            <w:shd w:val="clear" w:color="auto" w:fill="auto"/>
            <w:hideMark/>
          </w:tcPr>
          <w:p w14:paraId="64D3C04D" w14:textId="2F3A038E" w:rsidR="00097D8D" w:rsidRPr="00DD1B58" w:rsidRDefault="004313C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Reactor Building</w:t>
            </w:r>
          </w:p>
        </w:tc>
      </w:tr>
      <w:tr w:rsidR="00097D8D" w:rsidRPr="00DD1B58" w14:paraId="7C4AEEB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281DFCD" w14:textId="6C74BA4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HRA </w:t>
            </w:r>
          </w:p>
        </w:tc>
        <w:tc>
          <w:tcPr>
            <w:tcW w:w="7848" w:type="dxa"/>
            <w:tcBorders>
              <w:top w:val="single" w:sz="6" w:space="0" w:color="22413A"/>
              <w:left w:val="single" w:sz="6" w:space="0" w:color="22413A"/>
              <w:bottom w:val="single" w:sz="6" w:space="0" w:color="22413A"/>
              <w:right w:val="nil"/>
            </w:tcBorders>
            <w:shd w:val="clear" w:color="auto" w:fill="auto"/>
            <w:hideMark/>
          </w:tcPr>
          <w:p w14:paraId="5B7395E9" w14:textId="0C3A44A3" w:rsidR="00097D8D" w:rsidRPr="00DD1B58" w:rsidRDefault="004313C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Hartlepool A</w:t>
            </w:r>
          </w:p>
        </w:tc>
      </w:tr>
      <w:tr w:rsidR="00097D8D" w:rsidRPr="00DD1B58" w14:paraId="51CDFFD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B427CF" w14:textId="0F5241A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HRR </w:t>
            </w:r>
          </w:p>
        </w:tc>
        <w:tc>
          <w:tcPr>
            <w:tcW w:w="7848" w:type="dxa"/>
            <w:tcBorders>
              <w:top w:val="single" w:sz="6" w:space="0" w:color="22413A"/>
              <w:left w:val="single" w:sz="6" w:space="0" w:color="22413A"/>
              <w:bottom w:val="single" w:sz="6" w:space="0" w:color="22413A"/>
              <w:right w:val="nil"/>
            </w:tcBorders>
            <w:shd w:val="clear" w:color="auto" w:fill="auto"/>
            <w:hideMark/>
          </w:tcPr>
          <w:p w14:paraId="576827DC" w14:textId="23FB7814" w:rsidR="00097D8D" w:rsidRPr="00DD1B58" w:rsidRDefault="004313C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Heat Release Rate</w:t>
            </w:r>
          </w:p>
        </w:tc>
      </w:tr>
      <w:tr w:rsidR="00097D8D" w:rsidRPr="00DD1B58" w14:paraId="5C9D5BB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6DC7135" w14:textId="60984F6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HSE </w:t>
            </w:r>
          </w:p>
        </w:tc>
        <w:tc>
          <w:tcPr>
            <w:tcW w:w="7848" w:type="dxa"/>
            <w:tcBorders>
              <w:top w:val="single" w:sz="6" w:space="0" w:color="22413A"/>
              <w:left w:val="single" w:sz="6" w:space="0" w:color="22413A"/>
              <w:bottom w:val="single" w:sz="6" w:space="0" w:color="22413A"/>
              <w:right w:val="nil"/>
            </w:tcBorders>
            <w:shd w:val="clear" w:color="auto" w:fill="auto"/>
            <w:hideMark/>
          </w:tcPr>
          <w:p w14:paraId="31EFEE7F" w14:textId="462AA4F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Health and Safety Executive  </w:t>
            </w:r>
          </w:p>
        </w:tc>
      </w:tr>
      <w:tr w:rsidR="00097D8D" w:rsidRPr="00DD1B58" w14:paraId="71F0ED9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D49D07" w14:textId="2AC2A52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HSG </w:t>
            </w:r>
          </w:p>
        </w:tc>
        <w:tc>
          <w:tcPr>
            <w:tcW w:w="7848" w:type="dxa"/>
            <w:tcBorders>
              <w:top w:val="single" w:sz="6" w:space="0" w:color="22413A"/>
              <w:left w:val="single" w:sz="6" w:space="0" w:color="22413A"/>
              <w:bottom w:val="single" w:sz="6" w:space="0" w:color="22413A"/>
              <w:right w:val="nil"/>
            </w:tcBorders>
            <w:shd w:val="clear" w:color="auto" w:fill="auto"/>
            <w:hideMark/>
          </w:tcPr>
          <w:p w14:paraId="4698E0B2" w14:textId="73496B5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Health and Safety Executive Guidance  </w:t>
            </w:r>
          </w:p>
        </w:tc>
      </w:tr>
      <w:tr w:rsidR="00097D8D" w:rsidRPr="00DD1B58" w14:paraId="059E274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D8C840" w14:textId="141DA4B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HSSE </w:t>
            </w:r>
          </w:p>
        </w:tc>
        <w:tc>
          <w:tcPr>
            <w:tcW w:w="7848" w:type="dxa"/>
            <w:tcBorders>
              <w:top w:val="single" w:sz="6" w:space="0" w:color="22413A"/>
              <w:left w:val="single" w:sz="6" w:space="0" w:color="22413A"/>
              <w:bottom w:val="single" w:sz="6" w:space="0" w:color="22413A"/>
              <w:right w:val="nil"/>
            </w:tcBorders>
            <w:shd w:val="clear" w:color="auto" w:fill="auto"/>
            <w:hideMark/>
          </w:tcPr>
          <w:p w14:paraId="118710DA" w14:textId="2ABBE0F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40C28"/>
                <w:szCs w:val="24"/>
                <w:lang w:val="en-US" w:eastAsia="en-GB" w:bidi="ar-SA"/>
              </w:rPr>
              <w:t>Health, Safety, Security and Environment </w:t>
            </w:r>
          </w:p>
        </w:tc>
      </w:tr>
      <w:tr w:rsidR="00097D8D" w:rsidRPr="00DD1B58" w14:paraId="47FB80E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F54BAF6" w14:textId="72EEB26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HSV </w:t>
            </w:r>
          </w:p>
        </w:tc>
        <w:tc>
          <w:tcPr>
            <w:tcW w:w="7848" w:type="dxa"/>
            <w:tcBorders>
              <w:top w:val="single" w:sz="6" w:space="0" w:color="22413A"/>
              <w:left w:val="single" w:sz="6" w:space="0" w:color="22413A"/>
              <w:bottom w:val="single" w:sz="6" w:space="0" w:color="22413A"/>
              <w:right w:val="nil"/>
            </w:tcBorders>
            <w:shd w:val="clear" w:color="auto" w:fill="auto"/>
            <w:hideMark/>
          </w:tcPr>
          <w:p w14:paraId="10953AC0" w14:textId="7EB2534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Hazard Safety Volume</w:t>
            </w:r>
          </w:p>
        </w:tc>
      </w:tr>
      <w:tr w:rsidR="00097D8D" w:rsidRPr="00DD1B58" w14:paraId="748707C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8C5398" w14:textId="5F45A96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HUM </w:t>
            </w:r>
          </w:p>
        </w:tc>
        <w:tc>
          <w:tcPr>
            <w:tcW w:w="7848" w:type="dxa"/>
            <w:tcBorders>
              <w:top w:val="single" w:sz="6" w:space="0" w:color="22413A"/>
              <w:left w:val="single" w:sz="6" w:space="0" w:color="22413A"/>
              <w:bottom w:val="single" w:sz="6" w:space="0" w:color="22413A"/>
              <w:right w:val="nil"/>
            </w:tcBorders>
            <w:shd w:val="clear" w:color="auto" w:fill="auto"/>
            <w:hideMark/>
          </w:tcPr>
          <w:p w14:paraId="206F9A81" w14:textId="78CF7579"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Emergency Response Centre  </w:t>
            </w:r>
          </w:p>
        </w:tc>
      </w:tr>
      <w:tr w:rsidR="00097D8D" w:rsidRPr="00DD1B58" w14:paraId="48780B8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413620" w14:textId="5F02106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HVA </w:t>
            </w:r>
          </w:p>
        </w:tc>
        <w:tc>
          <w:tcPr>
            <w:tcW w:w="7848" w:type="dxa"/>
            <w:tcBorders>
              <w:top w:val="single" w:sz="6" w:space="0" w:color="22413A"/>
              <w:left w:val="single" w:sz="6" w:space="0" w:color="22413A"/>
              <w:bottom w:val="single" w:sz="6" w:space="0" w:color="22413A"/>
              <w:right w:val="nil"/>
            </w:tcBorders>
            <w:shd w:val="clear" w:color="auto" w:fill="auto"/>
            <w:hideMark/>
          </w:tcPr>
          <w:p w14:paraId="0FC660B0" w14:textId="313E582F"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Hazard Vulnerability Analysis  </w:t>
            </w:r>
          </w:p>
        </w:tc>
      </w:tr>
      <w:tr w:rsidR="00097D8D" w:rsidRPr="00DD1B58" w14:paraId="350AADF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05F9189" w14:textId="486D4AC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HVAC </w:t>
            </w:r>
          </w:p>
        </w:tc>
        <w:tc>
          <w:tcPr>
            <w:tcW w:w="7848" w:type="dxa"/>
            <w:tcBorders>
              <w:top w:val="single" w:sz="6" w:space="0" w:color="22413A"/>
              <w:left w:val="single" w:sz="6" w:space="0" w:color="22413A"/>
              <w:bottom w:val="single" w:sz="6" w:space="0" w:color="22413A"/>
              <w:right w:val="nil"/>
            </w:tcBorders>
            <w:shd w:val="clear" w:color="auto" w:fill="auto"/>
            <w:hideMark/>
          </w:tcPr>
          <w:p w14:paraId="2D5F1DE5" w14:textId="6D5F035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Heating, Ventilation and Air Conditioning  </w:t>
            </w:r>
          </w:p>
        </w:tc>
      </w:tr>
      <w:tr w:rsidR="00097D8D" w:rsidRPr="00DD1B58" w14:paraId="737B9F5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5C0930D" w14:textId="27FEA87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HWFRA </w:t>
            </w:r>
          </w:p>
        </w:tc>
        <w:tc>
          <w:tcPr>
            <w:tcW w:w="7848" w:type="dxa"/>
            <w:tcBorders>
              <w:top w:val="single" w:sz="6" w:space="0" w:color="22413A"/>
              <w:left w:val="single" w:sz="6" w:space="0" w:color="22413A"/>
              <w:bottom w:val="single" w:sz="6" w:space="0" w:color="22413A"/>
              <w:right w:val="nil"/>
            </w:tcBorders>
            <w:shd w:val="clear" w:color="auto" w:fill="auto"/>
            <w:hideMark/>
          </w:tcPr>
          <w:p w14:paraId="77D64E02" w14:textId="32C104F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Hot Work Fire Risk Assessment  </w:t>
            </w:r>
          </w:p>
        </w:tc>
      </w:tr>
      <w:tr w:rsidR="00097D8D" w:rsidRPr="00DD1B58" w14:paraId="71059A4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89C5C6A" w14:textId="7802417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HYA </w:t>
            </w:r>
          </w:p>
        </w:tc>
        <w:tc>
          <w:tcPr>
            <w:tcW w:w="7848" w:type="dxa"/>
            <w:tcBorders>
              <w:top w:val="single" w:sz="6" w:space="0" w:color="22413A"/>
              <w:left w:val="single" w:sz="6" w:space="0" w:color="22413A"/>
              <w:bottom w:val="single" w:sz="6" w:space="0" w:color="22413A"/>
              <w:right w:val="nil"/>
            </w:tcBorders>
            <w:shd w:val="clear" w:color="auto" w:fill="auto"/>
            <w:hideMark/>
          </w:tcPr>
          <w:p w14:paraId="519234EF" w14:textId="528DE74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Heysham 1 </w:t>
            </w:r>
          </w:p>
        </w:tc>
      </w:tr>
      <w:tr w:rsidR="00097D8D" w:rsidRPr="00DD1B58" w14:paraId="7013444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EFC6D61" w14:textId="025DD0B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HYB </w:t>
            </w:r>
          </w:p>
        </w:tc>
        <w:tc>
          <w:tcPr>
            <w:tcW w:w="7848" w:type="dxa"/>
            <w:tcBorders>
              <w:top w:val="single" w:sz="6" w:space="0" w:color="22413A"/>
              <w:left w:val="single" w:sz="6" w:space="0" w:color="22413A"/>
              <w:bottom w:val="single" w:sz="6" w:space="0" w:color="22413A"/>
              <w:right w:val="nil"/>
            </w:tcBorders>
            <w:shd w:val="clear" w:color="auto" w:fill="auto"/>
            <w:hideMark/>
          </w:tcPr>
          <w:p w14:paraId="34FD2F7B" w14:textId="7C827C9D"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Heysham 2 </w:t>
            </w:r>
          </w:p>
        </w:tc>
      </w:tr>
      <w:tr w:rsidR="00097D8D" w:rsidRPr="00DD1B58" w14:paraId="5F17965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E2FDD72" w14:textId="1AF738E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IAEA </w:t>
            </w:r>
          </w:p>
        </w:tc>
        <w:tc>
          <w:tcPr>
            <w:tcW w:w="7848" w:type="dxa"/>
            <w:tcBorders>
              <w:top w:val="single" w:sz="6" w:space="0" w:color="22413A"/>
              <w:left w:val="single" w:sz="6" w:space="0" w:color="22413A"/>
              <w:bottom w:val="single" w:sz="6" w:space="0" w:color="22413A"/>
              <w:right w:val="nil"/>
            </w:tcBorders>
            <w:shd w:val="clear" w:color="auto" w:fill="auto"/>
            <w:hideMark/>
          </w:tcPr>
          <w:p w14:paraId="7D4F1CFA" w14:textId="7EC955AA"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International Atomic Energy Agency </w:t>
            </w:r>
          </w:p>
        </w:tc>
      </w:tr>
      <w:tr w:rsidR="00097D8D" w:rsidRPr="00DD1B58" w14:paraId="7E1DFC3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6F024DC" w14:textId="01A29E2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ICP </w:t>
            </w:r>
          </w:p>
        </w:tc>
        <w:tc>
          <w:tcPr>
            <w:tcW w:w="7848" w:type="dxa"/>
            <w:tcBorders>
              <w:top w:val="single" w:sz="6" w:space="0" w:color="22413A"/>
              <w:left w:val="single" w:sz="6" w:space="0" w:color="22413A"/>
              <w:bottom w:val="single" w:sz="6" w:space="0" w:color="22413A"/>
              <w:right w:val="nil"/>
            </w:tcBorders>
            <w:shd w:val="clear" w:color="auto" w:fill="auto"/>
            <w:hideMark/>
          </w:tcPr>
          <w:p w14:paraId="65C2D2CD" w14:textId="0420B09F" w:rsidR="00097D8D" w:rsidRPr="00DD1B58" w:rsidRDefault="004313C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Integrated Company Practice</w:t>
            </w:r>
          </w:p>
        </w:tc>
      </w:tr>
      <w:tr w:rsidR="00097D8D" w:rsidRPr="00DD1B58" w14:paraId="73CE7F8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F6243A4" w14:textId="1AF1F6D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ICRP </w:t>
            </w:r>
          </w:p>
        </w:tc>
        <w:tc>
          <w:tcPr>
            <w:tcW w:w="7848" w:type="dxa"/>
            <w:tcBorders>
              <w:top w:val="single" w:sz="6" w:space="0" w:color="22413A"/>
              <w:left w:val="single" w:sz="6" w:space="0" w:color="22413A"/>
              <w:bottom w:val="single" w:sz="6" w:space="0" w:color="22413A"/>
              <w:right w:val="nil"/>
            </w:tcBorders>
            <w:shd w:val="clear" w:color="auto" w:fill="auto"/>
            <w:hideMark/>
          </w:tcPr>
          <w:p w14:paraId="57C9CD1C" w14:textId="43DEB10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International Commission Radiological Protection </w:t>
            </w:r>
          </w:p>
        </w:tc>
      </w:tr>
      <w:tr w:rsidR="00097D8D" w:rsidRPr="00DD1B58" w14:paraId="45D92DB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FFBF34" w14:textId="70B502A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ID </w:t>
            </w:r>
          </w:p>
        </w:tc>
        <w:tc>
          <w:tcPr>
            <w:tcW w:w="7848" w:type="dxa"/>
            <w:tcBorders>
              <w:top w:val="single" w:sz="6" w:space="0" w:color="22413A"/>
              <w:left w:val="single" w:sz="6" w:space="0" w:color="22413A"/>
              <w:bottom w:val="single" w:sz="6" w:space="0" w:color="22413A"/>
              <w:right w:val="nil"/>
            </w:tcBorders>
            <w:shd w:val="clear" w:color="auto" w:fill="auto"/>
            <w:hideMark/>
          </w:tcPr>
          <w:p w14:paraId="1557014A" w14:textId="377FD8DB" w:rsidR="00097D8D" w:rsidRPr="00DD1B58" w:rsidRDefault="004313C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w:t>
            </w:r>
            <w:r w:rsidR="00097D8D" w:rsidRPr="00DD1B58">
              <w:rPr>
                <w:rFonts w:eastAsia="Times New Roman"/>
                <w:color w:val="000000"/>
                <w:szCs w:val="24"/>
                <w:lang w:val="en-US" w:eastAsia="en-GB" w:bidi="ar-SA"/>
              </w:rPr>
              <w:t>dentification  </w:t>
            </w:r>
          </w:p>
        </w:tc>
      </w:tr>
      <w:tr w:rsidR="00097D8D" w:rsidRPr="00DD1B58" w14:paraId="335581A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7BC1B1A" w14:textId="32C0769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IDR </w:t>
            </w:r>
          </w:p>
        </w:tc>
        <w:tc>
          <w:tcPr>
            <w:tcW w:w="7848" w:type="dxa"/>
            <w:tcBorders>
              <w:top w:val="single" w:sz="6" w:space="0" w:color="22413A"/>
              <w:left w:val="single" w:sz="6" w:space="0" w:color="22413A"/>
              <w:bottom w:val="single" w:sz="6" w:space="0" w:color="22413A"/>
              <w:right w:val="nil"/>
            </w:tcBorders>
            <w:shd w:val="clear" w:color="auto" w:fill="auto"/>
            <w:hideMark/>
          </w:tcPr>
          <w:p w14:paraId="466888D1" w14:textId="3A8FB1B9"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Integrated Dry Route  </w:t>
            </w:r>
          </w:p>
        </w:tc>
      </w:tr>
      <w:tr w:rsidR="00097D8D" w:rsidRPr="00DD1B58" w14:paraId="0EB26D7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5AF72B" w14:textId="0C90309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IEC </w:t>
            </w:r>
          </w:p>
        </w:tc>
        <w:tc>
          <w:tcPr>
            <w:tcW w:w="7848" w:type="dxa"/>
            <w:tcBorders>
              <w:top w:val="single" w:sz="6" w:space="0" w:color="22413A"/>
              <w:left w:val="single" w:sz="6" w:space="0" w:color="22413A"/>
              <w:bottom w:val="single" w:sz="6" w:space="0" w:color="22413A"/>
              <w:right w:val="nil"/>
            </w:tcBorders>
            <w:shd w:val="clear" w:color="auto" w:fill="auto"/>
            <w:hideMark/>
          </w:tcPr>
          <w:p w14:paraId="26C92C3A" w14:textId="3154FEC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International Electrotechnical Commission </w:t>
            </w:r>
          </w:p>
        </w:tc>
      </w:tr>
      <w:tr w:rsidR="00097D8D" w:rsidRPr="00DD1B58" w14:paraId="55C0614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E1D1649" w14:textId="5FE7C9D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IEF </w:t>
            </w:r>
          </w:p>
        </w:tc>
        <w:tc>
          <w:tcPr>
            <w:tcW w:w="7848" w:type="dxa"/>
            <w:tcBorders>
              <w:top w:val="single" w:sz="6" w:space="0" w:color="22413A"/>
              <w:left w:val="single" w:sz="6" w:space="0" w:color="22413A"/>
              <w:bottom w:val="single" w:sz="6" w:space="0" w:color="22413A"/>
              <w:right w:val="nil"/>
            </w:tcBorders>
            <w:shd w:val="clear" w:color="auto" w:fill="auto"/>
            <w:hideMark/>
          </w:tcPr>
          <w:p w14:paraId="6CECDBFD" w14:textId="6574675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Initiating Event Frequency  </w:t>
            </w:r>
          </w:p>
        </w:tc>
      </w:tr>
      <w:tr w:rsidR="00097D8D" w:rsidRPr="00DD1B58" w14:paraId="65F00A9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0610868" w14:textId="3B78299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IET </w:t>
            </w:r>
          </w:p>
        </w:tc>
        <w:tc>
          <w:tcPr>
            <w:tcW w:w="7848" w:type="dxa"/>
            <w:tcBorders>
              <w:top w:val="single" w:sz="6" w:space="0" w:color="22413A"/>
              <w:left w:val="single" w:sz="6" w:space="0" w:color="22413A"/>
              <w:bottom w:val="single" w:sz="6" w:space="0" w:color="22413A"/>
              <w:right w:val="nil"/>
            </w:tcBorders>
            <w:shd w:val="clear" w:color="auto" w:fill="auto"/>
            <w:hideMark/>
          </w:tcPr>
          <w:p w14:paraId="358C6449" w14:textId="1C245D4D"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Institution of Engineering and Technology </w:t>
            </w:r>
          </w:p>
        </w:tc>
      </w:tr>
      <w:tr w:rsidR="00097D8D" w:rsidRPr="00DD1B58" w14:paraId="5AB6FDD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4D2A33C" w14:textId="28C508B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IFBS </w:t>
            </w:r>
          </w:p>
        </w:tc>
        <w:tc>
          <w:tcPr>
            <w:tcW w:w="7848" w:type="dxa"/>
            <w:tcBorders>
              <w:top w:val="single" w:sz="6" w:space="0" w:color="22413A"/>
              <w:left w:val="single" w:sz="6" w:space="0" w:color="22413A"/>
              <w:bottom w:val="single" w:sz="6" w:space="0" w:color="22413A"/>
              <w:right w:val="nil"/>
            </w:tcBorders>
            <w:shd w:val="clear" w:color="auto" w:fill="auto"/>
            <w:hideMark/>
          </w:tcPr>
          <w:p w14:paraId="5FCD1BF9" w14:textId="1091CEDE"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Irradiated Fuel Buffer Store  </w:t>
            </w:r>
          </w:p>
        </w:tc>
      </w:tr>
      <w:tr w:rsidR="00097D8D" w:rsidRPr="00DD1B58" w14:paraId="6156967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360265" w14:textId="17946F0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IFC </w:t>
            </w:r>
          </w:p>
        </w:tc>
        <w:tc>
          <w:tcPr>
            <w:tcW w:w="7848" w:type="dxa"/>
            <w:tcBorders>
              <w:top w:val="single" w:sz="6" w:space="0" w:color="22413A"/>
              <w:left w:val="single" w:sz="6" w:space="0" w:color="22413A"/>
              <w:bottom w:val="single" w:sz="6" w:space="0" w:color="22413A"/>
              <w:right w:val="nil"/>
            </w:tcBorders>
            <w:shd w:val="clear" w:color="auto" w:fill="auto"/>
            <w:hideMark/>
          </w:tcPr>
          <w:p w14:paraId="6806A0E0" w14:textId="773176AA"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Irradiated Fuel Cave  </w:t>
            </w:r>
          </w:p>
        </w:tc>
      </w:tr>
      <w:tr w:rsidR="00097D8D" w:rsidRPr="00DD1B58" w14:paraId="1AACEA1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1D6BB41" w14:textId="3B9F9F9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IFD </w:t>
            </w:r>
          </w:p>
        </w:tc>
        <w:tc>
          <w:tcPr>
            <w:tcW w:w="7848" w:type="dxa"/>
            <w:tcBorders>
              <w:top w:val="single" w:sz="6" w:space="0" w:color="22413A"/>
              <w:left w:val="single" w:sz="6" w:space="0" w:color="22413A"/>
              <w:bottom w:val="single" w:sz="6" w:space="0" w:color="22413A"/>
              <w:right w:val="nil"/>
            </w:tcBorders>
            <w:shd w:val="clear" w:color="auto" w:fill="auto"/>
            <w:hideMark/>
          </w:tcPr>
          <w:p w14:paraId="35DA81A8" w14:textId="5ACDD269"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Irradiated Fuel Disposal  </w:t>
            </w:r>
          </w:p>
        </w:tc>
      </w:tr>
      <w:tr w:rsidR="00097D8D" w:rsidRPr="00DD1B58" w14:paraId="441EE7C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69D48F2" w14:textId="1B87152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IFS </w:t>
            </w:r>
          </w:p>
        </w:tc>
        <w:tc>
          <w:tcPr>
            <w:tcW w:w="7848" w:type="dxa"/>
            <w:tcBorders>
              <w:top w:val="single" w:sz="6" w:space="0" w:color="22413A"/>
              <w:left w:val="single" w:sz="6" w:space="0" w:color="22413A"/>
              <w:bottom w:val="single" w:sz="6" w:space="0" w:color="22413A"/>
              <w:right w:val="nil"/>
            </w:tcBorders>
            <w:shd w:val="clear" w:color="auto" w:fill="auto"/>
            <w:hideMark/>
          </w:tcPr>
          <w:p w14:paraId="0B046EE4" w14:textId="67C7FB8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Irradiated Fuel Store  </w:t>
            </w:r>
          </w:p>
        </w:tc>
      </w:tr>
      <w:tr w:rsidR="00097D8D" w:rsidRPr="00DD1B58" w14:paraId="3E6FC5E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0AEE461" w14:textId="16A5969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ILW </w:t>
            </w:r>
          </w:p>
        </w:tc>
        <w:tc>
          <w:tcPr>
            <w:tcW w:w="7848" w:type="dxa"/>
            <w:tcBorders>
              <w:top w:val="single" w:sz="6" w:space="0" w:color="22413A"/>
              <w:left w:val="single" w:sz="6" w:space="0" w:color="22413A"/>
              <w:bottom w:val="single" w:sz="6" w:space="0" w:color="22413A"/>
              <w:right w:val="nil"/>
            </w:tcBorders>
            <w:shd w:val="clear" w:color="auto" w:fill="auto"/>
            <w:hideMark/>
          </w:tcPr>
          <w:p w14:paraId="007C5FB1" w14:textId="756015D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Intermediate Level Waste </w:t>
            </w:r>
          </w:p>
        </w:tc>
      </w:tr>
      <w:tr w:rsidR="00097D8D" w:rsidRPr="00DD1B58" w14:paraId="59F2687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08A030" w14:textId="0664395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ILWSRF </w:t>
            </w:r>
          </w:p>
        </w:tc>
        <w:tc>
          <w:tcPr>
            <w:tcW w:w="7848" w:type="dxa"/>
            <w:tcBorders>
              <w:top w:val="single" w:sz="6" w:space="0" w:color="22413A"/>
              <w:left w:val="single" w:sz="6" w:space="0" w:color="22413A"/>
              <w:bottom w:val="single" w:sz="6" w:space="0" w:color="22413A"/>
              <w:right w:val="nil"/>
            </w:tcBorders>
            <w:shd w:val="clear" w:color="auto" w:fill="auto"/>
            <w:hideMark/>
          </w:tcPr>
          <w:p w14:paraId="22F6323F" w14:textId="26C1EE0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Intermediate Level Waste Size Reduction Facility </w:t>
            </w:r>
          </w:p>
        </w:tc>
      </w:tr>
      <w:tr w:rsidR="00097D8D" w:rsidRPr="00DD1B58" w14:paraId="538571F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39D6A74" w14:textId="0BB047A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IMC </w:t>
            </w:r>
          </w:p>
        </w:tc>
        <w:tc>
          <w:tcPr>
            <w:tcW w:w="7848" w:type="dxa"/>
            <w:tcBorders>
              <w:top w:val="single" w:sz="6" w:space="0" w:color="22413A"/>
              <w:left w:val="single" w:sz="6" w:space="0" w:color="22413A"/>
              <w:bottom w:val="single" w:sz="6" w:space="0" w:color="22413A"/>
              <w:right w:val="nil"/>
            </w:tcBorders>
            <w:shd w:val="clear" w:color="auto" w:fill="auto"/>
            <w:hideMark/>
          </w:tcPr>
          <w:p w14:paraId="0909AED9" w14:textId="19C1122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Industry Management Committee </w:t>
            </w:r>
          </w:p>
        </w:tc>
      </w:tr>
      <w:tr w:rsidR="00097D8D" w:rsidRPr="00DD1B58" w14:paraId="76AE751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727809" w14:textId="676C21F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INA </w:t>
            </w:r>
          </w:p>
        </w:tc>
        <w:tc>
          <w:tcPr>
            <w:tcW w:w="7848" w:type="dxa"/>
            <w:tcBorders>
              <w:top w:val="single" w:sz="6" w:space="0" w:color="22413A"/>
              <w:left w:val="single" w:sz="6" w:space="0" w:color="22413A"/>
              <w:bottom w:val="single" w:sz="6" w:space="0" w:color="22413A"/>
              <w:right w:val="nil"/>
            </w:tcBorders>
            <w:shd w:val="clear" w:color="auto" w:fill="auto"/>
            <w:hideMark/>
          </w:tcPr>
          <w:p w14:paraId="5F73C08B" w14:textId="3E07361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Independent Nuclear Assessment  </w:t>
            </w:r>
          </w:p>
        </w:tc>
      </w:tr>
      <w:tr w:rsidR="00097D8D" w:rsidRPr="00DD1B58" w14:paraId="0F7EC58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DCE5F47" w14:textId="7B18DF8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IOF </w:t>
            </w:r>
          </w:p>
        </w:tc>
        <w:tc>
          <w:tcPr>
            <w:tcW w:w="7848" w:type="dxa"/>
            <w:tcBorders>
              <w:top w:val="single" w:sz="6" w:space="0" w:color="22413A"/>
              <w:left w:val="single" w:sz="6" w:space="0" w:color="22413A"/>
              <w:bottom w:val="single" w:sz="6" w:space="0" w:color="22413A"/>
              <w:right w:val="nil"/>
            </w:tcBorders>
            <w:shd w:val="clear" w:color="auto" w:fill="auto"/>
            <w:hideMark/>
          </w:tcPr>
          <w:p w14:paraId="1129E68F" w14:textId="192906B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Irradiated Oxide Fuel  </w:t>
            </w:r>
          </w:p>
        </w:tc>
      </w:tr>
      <w:tr w:rsidR="00097D8D" w:rsidRPr="00DD1B58" w14:paraId="1C7B3C8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D6CB41F" w14:textId="6D1A5B5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IOSH </w:t>
            </w:r>
          </w:p>
        </w:tc>
        <w:tc>
          <w:tcPr>
            <w:tcW w:w="7848" w:type="dxa"/>
            <w:tcBorders>
              <w:top w:val="single" w:sz="6" w:space="0" w:color="22413A"/>
              <w:left w:val="single" w:sz="6" w:space="0" w:color="22413A"/>
              <w:bottom w:val="single" w:sz="6" w:space="0" w:color="22413A"/>
              <w:right w:val="nil"/>
            </w:tcBorders>
            <w:shd w:val="clear" w:color="auto" w:fill="auto"/>
            <w:hideMark/>
          </w:tcPr>
          <w:p w14:paraId="1E46C834" w14:textId="762D3DE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Institute of Occupational Safety and Health  </w:t>
            </w:r>
          </w:p>
        </w:tc>
      </w:tr>
      <w:tr w:rsidR="00097D8D" w:rsidRPr="00DD1B58" w14:paraId="7245277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CE8F8A" w14:textId="06E5C4D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IP </w:t>
            </w:r>
          </w:p>
        </w:tc>
        <w:tc>
          <w:tcPr>
            <w:tcW w:w="7848" w:type="dxa"/>
            <w:tcBorders>
              <w:top w:val="single" w:sz="6" w:space="0" w:color="22413A"/>
              <w:left w:val="single" w:sz="6" w:space="0" w:color="22413A"/>
              <w:bottom w:val="single" w:sz="6" w:space="0" w:color="22413A"/>
              <w:right w:val="nil"/>
            </w:tcBorders>
            <w:shd w:val="clear" w:color="auto" w:fill="auto"/>
            <w:hideMark/>
          </w:tcPr>
          <w:p w14:paraId="15658251" w14:textId="6897BEEC" w:rsidR="00097D8D" w:rsidRPr="00DD1B58" w:rsidRDefault="004C4D03"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Ingress Protection</w:t>
            </w:r>
          </w:p>
        </w:tc>
      </w:tr>
      <w:tr w:rsidR="00097D8D" w:rsidRPr="00DD1B58" w14:paraId="29DD350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20778A9" w14:textId="14C7461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IR </w:t>
            </w:r>
          </w:p>
        </w:tc>
        <w:tc>
          <w:tcPr>
            <w:tcW w:w="7848" w:type="dxa"/>
            <w:tcBorders>
              <w:top w:val="single" w:sz="6" w:space="0" w:color="22413A"/>
              <w:left w:val="single" w:sz="6" w:space="0" w:color="22413A"/>
              <w:bottom w:val="single" w:sz="6" w:space="0" w:color="22413A"/>
              <w:right w:val="nil"/>
            </w:tcBorders>
            <w:shd w:val="clear" w:color="auto" w:fill="auto"/>
            <w:hideMark/>
          </w:tcPr>
          <w:p w14:paraId="53ACDE69" w14:textId="3441D674" w:rsidR="00097D8D" w:rsidRPr="00DD1B58" w:rsidRDefault="004C4D03"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Intervention Record</w:t>
            </w:r>
            <w:r w:rsidR="00097D8D" w:rsidRPr="00DD1B58">
              <w:rPr>
                <w:rFonts w:eastAsia="Times New Roman"/>
                <w:color w:val="000000" w:themeColor="text1"/>
                <w:szCs w:val="24"/>
                <w:lang w:val="en-US" w:eastAsia="en-GB" w:bidi="ar-SA"/>
              </w:rPr>
              <w:t> </w:t>
            </w:r>
          </w:p>
        </w:tc>
      </w:tr>
      <w:tr w:rsidR="00097D8D" w:rsidRPr="00DD1B58" w14:paraId="0C5724A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647B03F" w14:textId="4248885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IRS </w:t>
            </w:r>
          </w:p>
        </w:tc>
        <w:tc>
          <w:tcPr>
            <w:tcW w:w="7848" w:type="dxa"/>
            <w:tcBorders>
              <w:top w:val="single" w:sz="6" w:space="0" w:color="22413A"/>
              <w:left w:val="single" w:sz="6" w:space="0" w:color="22413A"/>
              <w:bottom w:val="single" w:sz="6" w:space="0" w:color="22413A"/>
              <w:right w:val="nil"/>
            </w:tcBorders>
            <w:shd w:val="clear" w:color="auto" w:fill="auto"/>
            <w:hideMark/>
          </w:tcPr>
          <w:p w14:paraId="274139E7" w14:textId="44BC2DBA" w:rsidR="00097D8D" w:rsidRPr="00DD1B58" w:rsidRDefault="00932A03"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Incident Response Service</w:t>
            </w:r>
          </w:p>
        </w:tc>
      </w:tr>
      <w:tr w:rsidR="00097D8D" w:rsidRPr="00DD1B58" w14:paraId="468CD57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6266E1F" w14:textId="549E659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ISBN </w:t>
            </w:r>
          </w:p>
        </w:tc>
        <w:tc>
          <w:tcPr>
            <w:tcW w:w="7848" w:type="dxa"/>
            <w:tcBorders>
              <w:top w:val="single" w:sz="6" w:space="0" w:color="22413A"/>
              <w:left w:val="single" w:sz="6" w:space="0" w:color="22413A"/>
              <w:bottom w:val="single" w:sz="6" w:space="0" w:color="22413A"/>
              <w:right w:val="nil"/>
            </w:tcBorders>
            <w:shd w:val="clear" w:color="auto" w:fill="auto"/>
            <w:hideMark/>
          </w:tcPr>
          <w:p w14:paraId="0B5B3F02" w14:textId="4A40041F"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International Standard Book Number </w:t>
            </w:r>
          </w:p>
        </w:tc>
      </w:tr>
      <w:tr w:rsidR="00097D8D" w:rsidRPr="00DD1B58" w14:paraId="20BCF68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3E70B3B" w14:textId="21AA117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ISO </w:t>
            </w:r>
          </w:p>
        </w:tc>
        <w:tc>
          <w:tcPr>
            <w:tcW w:w="7848" w:type="dxa"/>
            <w:tcBorders>
              <w:top w:val="single" w:sz="6" w:space="0" w:color="22413A"/>
              <w:left w:val="single" w:sz="6" w:space="0" w:color="22413A"/>
              <w:bottom w:val="single" w:sz="6" w:space="0" w:color="22413A"/>
              <w:right w:val="nil"/>
            </w:tcBorders>
            <w:shd w:val="clear" w:color="auto" w:fill="auto"/>
            <w:hideMark/>
          </w:tcPr>
          <w:p w14:paraId="71A6A2B5" w14:textId="368EBB86"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International Organization for Standardization </w:t>
            </w:r>
          </w:p>
        </w:tc>
      </w:tr>
      <w:tr w:rsidR="00097D8D" w:rsidRPr="00DD1B58" w14:paraId="74A485F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C49C3B4" w14:textId="60CD338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IV </w:t>
            </w:r>
          </w:p>
        </w:tc>
        <w:tc>
          <w:tcPr>
            <w:tcW w:w="7848" w:type="dxa"/>
            <w:tcBorders>
              <w:top w:val="single" w:sz="6" w:space="0" w:color="22413A"/>
              <w:left w:val="single" w:sz="6" w:space="0" w:color="22413A"/>
              <w:bottom w:val="single" w:sz="6" w:space="0" w:color="22413A"/>
              <w:right w:val="nil"/>
            </w:tcBorders>
            <w:shd w:val="clear" w:color="auto" w:fill="auto"/>
            <w:hideMark/>
          </w:tcPr>
          <w:p w14:paraId="04E58824" w14:textId="7B40E76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Independent Verification  </w:t>
            </w:r>
          </w:p>
        </w:tc>
      </w:tr>
      <w:tr w:rsidR="00097D8D" w:rsidRPr="00DD1B58" w14:paraId="2C58FCB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6B38FF2" w14:textId="3062565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JAC </w:t>
            </w:r>
          </w:p>
        </w:tc>
        <w:tc>
          <w:tcPr>
            <w:tcW w:w="7848" w:type="dxa"/>
            <w:tcBorders>
              <w:top w:val="single" w:sz="6" w:space="0" w:color="22413A"/>
              <w:left w:val="single" w:sz="6" w:space="0" w:color="22413A"/>
              <w:bottom w:val="single" w:sz="6" w:space="0" w:color="22413A"/>
              <w:right w:val="nil"/>
            </w:tcBorders>
            <w:shd w:val="clear" w:color="auto" w:fill="auto"/>
            <w:hideMark/>
          </w:tcPr>
          <w:p w14:paraId="11A61AA6" w14:textId="56F2BA4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Firefighting Water Supply System </w:t>
            </w:r>
          </w:p>
        </w:tc>
      </w:tr>
      <w:tr w:rsidR="00097D8D" w:rsidRPr="00DD1B58" w14:paraId="5534AFF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CE3CAF9" w14:textId="401BEC3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JCO </w:t>
            </w:r>
          </w:p>
        </w:tc>
        <w:tc>
          <w:tcPr>
            <w:tcW w:w="7848" w:type="dxa"/>
            <w:tcBorders>
              <w:top w:val="single" w:sz="6" w:space="0" w:color="22413A"/>
              <w:left w:val="single" w:sz="6" w:space="0" w:color="22413A"/>
              <w:bottom w:val="single" w:sz="6" w:space="0" w:color="22413A"/>
              <w:right w:val="nil"/>
            </w:tcBorders>
            <w:shd w:val="clear" w:color="auto" w:fill="auto"/>
            <w:hideMark/>
          </w:tcPr>
          <w:p w14:paraId="79EEB222" w14:textId="0F8BBD7A"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Justification for Continued Operations  </w:t>
            </w:r>
          </w:p>
        </w:tc>
      </w:tr>
      <w:tr w:rsidR="00097D8D" w:rsidRPr="00DD1B58" w14:paraId="7796AFF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4FB367" w14:textId="2FCE93F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JCR </w:t>
            </w:r>
          </w:p>
        </w:tc>
        <w:tc>
          <w:tcPr>
            <w:tcW w:w="7848" w:type="dxa"/>
            <w:tcBorders>
              <w:top w:val="single" w:sz="6" w:space="0" w:color="22413A"/>
              <w:left w:val="single" w:sz="6" w:space="0" w:color="22413A"/>
              <w:bottom w:val="single" w:sz="6" w:space="0" w:color="22413A"/>
              <w:right w:val="nil"/>
            </w:tcBorders>
            <w:shd w:val="clear" w:color="auto" w:fill="auto"/>
            <w:hideMark/>
          </w:tcPr>
          <w:p w14:paraId="49A26F5A" w14:textId="75B22AD1" w:rsidR="00097D8D" w:rsidRPr="00DD1B58" w:rsidRDefault="00445818"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Joint Convention Report</w:t>
            </w:r>
          </w:p>
        </w:tc>
      </w:tr>
      <w:tr w:rsidR="00097D8D" w:rsidRPr="00DD1B58" w14:paraId="241F84C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AE9F351" w14:textId="664791D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JDT </w:t>
            </w:r>
          </w:p>
        </w:tc>
        <w:tc>
          <w:tcPr>
            <w:tcW w:w="7848" w:type="dxa"/>
            <w:tcBorders>
              <w:top w:val="single" w:sz="6" w:space="0" w:color="22413A"/>
              <w:left w:val="single" w:sz="6" w:space="0" w:color="22413A"/>
              <w:bottom w:val="single" w:sz="6" w:space="0" w:color="22413A"/>
              <w:right w:val="nil"/>
            </w:tcBorders>
            <w:shd w:val="clear" w:color="auto" w:fill="auto"/>
            <w:hideMark/>
          </w:tcPr>
          <w:p w14:paraId="2C28610A" w14:textId="1E9EED07"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 Detection System  </w:t>
            </w:r>
          </w:p>
        </w:tc>
      </w:tr>
      <w:tr w:rsidR="00097D8D" w:rsidRPr="00DD1B58" w14:paraId="5FBAC41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8361026" w14:textId="006D183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JESIP </w:t>
            </w:r>
          </w:p>
        </w:tc>
        <w:tc>
          <w:tcPr>
            <w:tcW w:w="7848" w:type="dxa"/>
            <w:tcBorders>
              <w:top w:val="single" w:sz="6" w:space="0" w:color="22413A"/>
              <w:left w:val="single" w:sz="6" w:space="0" w:color="22413A"/>
              <w:bottom w:val="single" w:sz="6" w:space="0" w:color="22413A"/>
              <w:right w:val="nil"/>
            </w:tcBorders>
            <w:shd w:val="clear" w:color="auto" w:fill="auto"/>
            <w:hideMark/>
          </w:tcPr>
          <w:p w14:paraId="7D1668AE" w14:textId="75C88C76"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Joint Emergency Services Interoperability Principles </w:t>
            </w:r>
          </w:p>
        </w:tc>
      </w:tr>
      <w:tr w:rsidR="00097D8D" w:rsidRPr="00DD1B58" w14:paraId="7EE6E59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024B67" w14:textId="6096088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JPD </w:t>
            </w:r>
          </w:p>
        </w:tc>
        <w:tc>
          <w:tcPr>
            <w:tcW w:w="7848" w:type="dxa"/>
            <w:tcBorders>
              <w:top w:val="single" w:sz="6" w:space="0" w:color="22413A"/>
              <w:left w:val="single" w:sz="6" w:space="0" w:color="22413A"/>
              <w:bottom w:val="single" w:sz="6" w:space="0" w:color="22413A"/>
              <w:right w:val="nil"/>
            </w:tcBorders>
            <w:shd w:val="clear" w:color="auto" w:fill="auto"/>
            <w:hideMark/>
          </w:tcPr>
          <w:p w14:paraId="4213711B" w14:textId="6E7B5EC5"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Firefighting System for Conventional Island  </w:t>
            </w:r>
          </w:p>
        </w:tc>
      </w:tr>
      <w:tr w:rsidR="00097D8D" w:rsidRPr="00DD1B58" w14:paraId="473525A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03727A" w14:textId="00D910D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JPH </w:t>
            </w:r>
          </w:p>
        </w:tc>
        <w:tc>
          <w:tcPr>
            <w:tcW w:w="7848" w:type="dxa"/>
            <w:tcBorders>
              <w:top w:val="single" w:sz="6" w:space="0" w:color="22413A"/>
              <w:left w:val="single" w:sz="6" w:space="0" w:color="22413A"/>
              <w:bottom w:val="single" w:sz="6" w:space="0" w:color="22413A"/>
              <w:right w:val="nil"/>
            </w:tcBorders>
            <w:shd w:val="clear" w:color="auto" w:fill="auto"/>
            <w:hideMark/>
          </w:tcPr>
          <w:p w14:paraId="4E4BA63C" w14:textId="14FA5815"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Turbine Hall Oil Tank Firefighting system </w:t>
            </w:r>
          </w:p>
        </w:tc>
      </w:tr>
      <w:tr w:rsidR="00097D8D" w:rsidRPr="00DD1B58" w14:paraId="68F74FC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CF1AFE3" w14:textId="61F2231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JPI </w:t>
            </w:r>
          </w:p>
        </w:tc>
        <w:tc>
          <w:tcPr>
            <w:tcW w:w="7848" w:type="dxa"/>
            <w:tcBorders>
              <w:top w:val="single" w:sz="6" w:space="0" w:color="22413A"/>
              <w:left w:val="single" w:sz="6" w:space="0" w:color="22413A"/>
              <w:bottom w:val="single" w:sz="6" w:space="0" w:color="22413A"/>
              <w:right w:val="nil"/>
            </w:tcBorders>
            <w:shd w:val="clear" w:color="auto" w:fill="auto"/>
            <w:hideMark/>
          </w:tcPr>
          <w:p w14:paraId="3EF570DB" w14:textId="3F55190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Island Protection and Firefighting Water Distribution system  </w:t>
            </w:r>
          </w:p>
        </w:tc>
      </w:tr>
      <w:tr w:rsidR="00097D8D" w:rsidRPr="00DD1B58" w14:paraId="4047255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BC9DC5" w14:textId="534A817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JPS </w:t>
            </w:r>
          </w:p>
        </w:tc>
        <w:tc>
          <w:tcPr>
            <w:tcW w:w="7848" w:type="dxa"/>
            <w:tcBorders>
              <w:top w:val="single" w:sz="6" w:space="0" w:color="22413A"/>
              <w:left w:val="single" w:sz="6" w:space="0" w:color="22413A"/>
              <w:bottom w:val="single" w:sz="6" w:space="0" w:color="22413A"/>
              <w:right w:val="nil"/>
            </w:tcBorders>
            <w:shd w:val="clear" w:color="auto" w:fill="auto"/>
            <w:hideMark/>
          </w:tcPr>
          <w:p w14:paraId="48FD80E8" w14:textId="1DD974A7" w:rsidR="00097D8D" w:rsidRPr="00DD1B58" w:rsidRDefault="00733BF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Distribution of Firefighting Water</w:t>
            </w:r>
          </w:p>
        </w:tc>
      </w:tr>
      <w:tr w:rsidR="00097D8D" w:rsidRPr="00DD1B58" w14:paraId="2B441DA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6F5086" w14:textId="0E164F5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JPT </w:t>
            </w:r>
          </w:p>
        </w:tc>
        <w:tc>
          <w:tcPr>
            <w:tcW w:w="7848" w:type="dxa"/>
            <w:tcBorders>
              <w:top w:val="single" w:sz="6" w:space="0" w:color="22413A"/>
              <w:left w:val="single" w:sz="6" w:space="0" w:color="22413A"/>
              <w:bottom w:val="single" w:sz="6" w:space="0" w:color="22413A"/>
              <w:right w:val="nil"/>
            </w:tcBorders>
            <w:shd w:val="clear" w:color="auto" w:fill="auto"/>
            <w:hideMark/>
          </w:tcPr>
          <w:p w14:paraId="3D70CBB8" w14:textId="4E003508"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Transformer Fire Protection System  </w:t>
            </w:r>
          </w:p>
        </w:tc>
      </w:tr>
      <w:tr w:rsidR="00097D8D" w:rsidRPr="00DD1B58" w14:paraId="3D21384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F33226D" w14:textId="7B50E68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JPV </w:t>
            </w:r>
          </w:p>
        </w:tc>
        <w:tc>
          <w:tcPr>
            <w:tcW w:w="7848" w:type="dxa"/>
            <w:tcBorders>
              <w:top w:val="single" w:sz="6" w:space="0" w:color="22413A"/>
              <w:left w:val="single" w:sz="6" w:space="0" w:color="22413A"/>
              <w:bottom w:val="single" w:sz="6" w:space="0" w:color="22413A"/>
              <w:right w:val="nil"/>
            </w:tcBorders>
            <w:shd w:val="clear" w:color="auto" w:fill="auto"/>
            <w:hideMark/>
          </w:tcPr>
          <w:p w14:paraId="17BCB2BA" w14:textId="0529A0E9"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Diesel Fire Protection System  </w:t>
            </w:r>
          </w:p>
        </w:tc>
      </w:tr>
      <w:tr w:rsidR="00097D8D" w:rsidRPr="00DD1B58" w14:paraId="0D54BFD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77CF4F" w14:textId="6D2FF2C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KPI </w:t>
            </w:r>
          </w:p>
        </w:tc>
        <w:tc>
          <w:tcPr>
            <w:tcW w:w="7848" w:type="dxa"/>
            <w:tcBorders>
              <w:top w:val="single" w:sz="6" w:space="0" w:color="22413A"/>
              <w:left w:val="single" w:sz="6" w:space="0" w:color="22413A"/>
              <w:bottom w:val="single" w:sz="6" w:space="0" w:color="22413A"/>
              <w:right w:val="nil"/>
            </w:tcBorders>
            <w:shd w:val="clear" w:color="auto" w:fill="auto"/>
            <w:hideMark/>
          </w:tcPr>
          <w:p w14:paraId="1558DE4C" w14:textId="2099994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Key Performance Indicator  </w:t>
            </w:r>
          </w:p>
        </w:tc>
      </w:tr>
      <w:tr w:rsidR="00097D8D" w:rsidRPr="00DD1B58" w14:paraId="27B7B48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75121E2" w14:textId="02D58FB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KTA </w:t>
            </w:r>
          </w:p>
        </w:tc>
        <w:tc>
          <w:tcPr>
            <w:tcW w:w="7848" w:type="dxa"/>
            <w:tcBorders>
              <w:top w:val="single" w:sz="6" w:space="0" w:color="22413A"/>
              <w:left w:val="single" w:sz="6" w:space="0" w:color="22413A"/>
              <w:bottom w:val="single" w:sz="6" w:space="0" w:color="22413A"/>
              <w:right w:val="nil"/>
            </w:tcBorders>
            <w:shd w:val="clear" w:color="auto" w:fill="auto"/>
            <w:hideMark/>
          </w:tcPr>
          <w:p w14:paraId="4E8D8F1A" w14:textId="6298666D" w:rsidR="00097D8D" w:rsidRPr="00DD1B58" w:rsidRDefault="0024304F"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Kerntechnischer Ausschuss</w:t>
            </w:r>
          </w:p>
        </w:tc>
      </w:tr>
      <w:tr w:rsidR="00097D8D" w:rsidRPr="00DD1B58" w14:paraId="6129251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D95A850" w14:textId="44DA61F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LA </w:t>
            </w:r>
          </w:p>
        </w:tc>
        <w:tc>
          <w:tcPr>
            <w:tcW w:w="7848" w:type="dxa"/>
            <w:tcBorders>
              <w:top w:val="single" w:sz="6" w:space="0" w:color="22413A"/>
              <w:left w:val="single" w:sz="6" w:space="0" w:color="22413A"/>
              <w:bottom w:val="single" w:sz="6" w:space="0" w:color="22413A"/>
              <w:right w:val="nil"/>
            </w:tcBorders>
            <w:shd w:val="clear" w:color="auto" w:fill="auto"/>
            <w:hideMark/>
          </w:tcPr>
          <w:p w14:paraId="0166D5EA" w14:textId="4ED9E82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Low Active  </w:t>
            </w:r>
          </w:p>
        </w:tc>
      </w:tr>
      <w:tr w:rsidR="00097D8D" w:rsidRPr="00DD1B58" w14:paraId="07B2123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281785F" w14:textId="48CF48C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LC </w:t>
            </w:r>
          </w:p>
        </w:tc>
        <w:tc>
          <w:tcPr>
            <w:tcW w:w="7848" w:type="dxa"/>
            <w:tcBorders>
              <w:top w:val="single" w:sz="6" w:space="0" w:color="22413A"/>
              <w:left w:val="single" w:sz="6" w:space="0" w:color="22413A"/>
              <w:bottom w:val="single" w:sz="6" w:space="0" w:color="22413A"/>
              <w:right w:val="nil"/>
            </w:tcBorders>
            <w:shd w:val="clear" w:color="auto" w:fill="auto"/>
            <w:hideMark/>
          </w:tcPr>
          <w:p w14:paraId="3BF3813F" w14:textId="5B7D7FA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Licence Condition  </w:t>
            </w:r>
          </w:p>
        </w:tc>
      </w:tr>
      <w:tr w:rsidR="00097D8D" w:rsidRPr="00DD1B58" w14:paraId="2DE2647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571F85C" w14:textId="6907D5E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LCC </w:t>
            </w:r>
          </w:p>
        </w:tc>
        <w:tc>
          <w:tcPr>
            <w:tcW w:w="7848" w:type="dxa"/>
            <w:tcBorders>
              <w:top w:val="single" w:sz="6" w:space="0" w:color="22413A"/>
              <w:left w:val="single" w:sz="6" w:space="0" w:color="22413A"/>
              <w:bottom w:val="single" w:sz="6" w:space="0" w:color="22413A"/>
              <w:right w:val="nil"/>
            </w:tcBorders>
            <w:shd w:val="clear" w:color="auto" w:fill="auto"/>
            <w:hideMark/>
          </w:tcPr>
          <w:p w14:paraId="1051D198" w14:textId="34E8F81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Lancashire County Council  </w:t>
            </w:r>
          </w:p>
        </w:tc>
      </w:tr>
      <w:tr w:rsidR="00097D8D" w:rsidRPr="00DD1B58" w14:paraId="5E80D95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354EE5" w14:textId="72EFD10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LCM </w:t>
            </w:r>
          </w:p>
        </w:tc>
        <w:tc>
          <w:tcPr>
            <w:tcW w:w="7848" w:type="dxa"/>
            <w:tcBorders>
              <w:top w:val="single" w:sz="6" w:space="0" w:color="22413A"/>
              <w:left w:val="single" w:sz="6" w:space="0" w:color="22413A"/>
              <w:bottom w:val="single" w:sz="6" w:space="0" w:color="22413A"/>
              <w:right w:val="nil"/>
            </w:tcBorders>
            <w:shd w:val="clear" w:color="auto" w:fill="auto"/>
            <w:hideMark/>
          </w:tcPr>
          <w:p w14:paraId="55209855" w14:textId="233F7AF3" w:rsidR="00097D8D" w:rsidRPr="00DD1B58" w:rsidRDefault="007D3C4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Low Consequence Methodology</w:t>
            </w:r>
            <w:r w:rsidR="00097D8D" w:rsidRPr="00DD1B58">
              <w:rPr>
                <w:rFonts w:eastAsia="Times New Roman"/>
                <w:color w:val="000000" w:themeColor="text1"/>
                <w:szCs w:val="24"/>
                <w:lang w:val="en-US" w:eastAsia="en-GB" w:bidi="ar-SA"/>
              </w:rPr>
              <w:t> </w:t>
            </w:r>
          </w:p>
        </w:tc>
      </w:tr>
      <w:tr w:rsidR="00097D8D" w:rsidRPr="00DD1B58" w14:paraId="262D81F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01F6828" w14:textId="2706360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LF&amp;RS </w:t>
            </w:r>
          </w:p>
        </w:tc>
        <w:tc>
          <w:tcPr>
            <w:tcW w:w="7848" w:type="dxa"/>
            <w:tcBorders>
              <w:top w:val="single" w:sz="6" w:space="0" w:color="22413A"/>
              <w:left w:val="single" w:sz="6" w:space="0" w:color="22413A"/>
              <w:bottom w:val="single" w:sz="6" w:space="0" w:color="22413A"/>
              <w:right w:val="nil"/>
            </w:tcBorders>
            <w:shd w:val="clear" w:color="auto" w:fill="auto"/>
            <w:hideMark/>
          </w:tcPr>
          <w:p w14:paraId="1FEB6FD2" w14:textId="11474C16"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Lancashire Fire and Rescue Service  </w:t>
            </w:r>
          </w:p>
        </w:tc>
      </w:tr>
      <w:tr w:rsidR="00097D8D" w:rsidRPr="00DD1B58" w14:paraId="59774E2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AE09151" w14:textId="204A066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LFE </w:t>
            </w:r>
          </w:p>
        </w:tc>
        <w:tc>
          <w:tcPr>
            <w:tcW w:w="7848" w:type="dxa"/>
            <w:tcBorders>
              <w:top w:val="single" w:sz="6" w:space="0" w:color="22413A"/>
              <w:left w:val="single" w:sz="6" w:space="0" w:color="22413A"/>
              <w:bottom w:val="single" w:sz="6" w:space="0" w:color="22413A"/>
              <w:right w:val="nil"/>
            </w:tcBorders>
            <w:shd w:val="clear" w:color="auto" w:fill="auto"/>
            <w:hideMark/>
          </w:tcPr>
          <w:p w14:paraId="54339210" w14:textId="46C9156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Learning from Experience  </w:t>
            </w:r>
          </w:p>
        </w:tc>
      </w:tr>
      <w:tr w:rsidR="00097D8D" w:rsidRPr="00DD1B58" w14:paraId="1593F00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0FDD594" w14:textId="3785EA9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LHDC </w:t>
            </w:r>
          </w:p>
        </w:tc>
        <w:tc>
          <w:tcPr>
            <w:tcW w:w="7848" w:type="dxa"/>
            <w:tcBorders>
              <w:top w:val="single" w:sz="6" w:space="0" w:color="22413A"/>
              <w:left w:val="single" w:sz="6" w:space="0" w:color="22413A"/>
              <w:bottom w:val="single" w:sz="6" w:space="0" w:color="22413A"/>
              <w:right w:val="nil"/>
            </w:tcBorders>
            <w:shd w:val="clear" w:color="auto" w:fill="auto"/>
            <w:hideMark/>
          </w:tcPr>
          <w:p w14:paraId="34F77D70" w14:textId="1C15E73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Liner Heat Detection Cable  </w:t>
            </w:r>
          </w:p>
        </w:tc>
      </w:tr>
      <w:tr w:rsidR="00097D8D" w:rsidRPr="00DD1B58" w14:paraId="04F0F2D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76C1B2D" w14:textId="7E3D93D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LLSF </w:t>
            </w:r>
          </w:p>
        </w:tc>
        <w:tc>
          <w:tcPr>
            <w:tcW w:w="7848" w:type="dxa"/>
            <w:tcBorders>
              <w:top w:val="single" w:sz="6" w:space="0" w:color="22413A"/>
              <w:left w:val="single" w:sz="6" w:space="0" w:color="22413A"/>
              <w:bottom w:val="single" w:sz="6" w:space="0" w:color="22413A"/>
              <w:right w:val="nil"/>
            </w:tcBorders>
            <w:shd w:val="clear" w:color="auto" w:fill="auto"/>
            <w:hideMark/>
          </w:tcPr>
          <w:p w14:paraId="395B76FF" w14:textId="719B867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Lower Level Safety Functions  </w:t>
            </w:r>
          </w:p>
        </w:tc>
      </w:tr>
      <w:tr w:rsidR="00097D8D" w:rsidRPr="00DD1B58" w14:paraId="2F095FB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AA0487E" w14:textId="2AB415C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LLW </w:t>
            </w:r>
          </w:p>
        </w:tc>
        <w:tc>
          <w:tcPr>
            <w:tcW w:w="7848" w:type="dxa"/>
            <w:tcBorders>
              <w:top w:val="single" w:sz="6" w:space="0" w:color="22413A"/>
              <w:left w:val="single" w:sz="6" w:space="0" w:color="22413A"/>
              <w:bottom w:val="single" w:sz="6" w:space="0" w:color="22413A"/>
              <w:right w:val="nil"/>
            </w:tcBorders>
            <w:shd w:val="clear" w:color="auto" w:fill="auto"/>
            <w:hideMark/>
          </w:tcPr>
          <w:p w14:paraId="6209DA52" w14:textId="46C6B39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Low Level Waste  </w:t>
            </w:r>
          </w:p>
        </w:tc>
      </w:tr>
      <w:tr w:rsidR="00097D8D" w:rsidRPr="00DD1B58" w14:paraId="6932FB1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5AAE1B4" w14:textId="68EAD7E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LLWR </w:t>
            </w:r>
          </w:p>
        </w:tc>
        <w:tc>
          <w:tcPr>
            <w:tcW w:w="7848" w:type="dxa"/>
            <w:tcBorders>
              <w:top w:val="single" w:sz="6" w:space="0" w:color="22413A"/>
              <w:left w:val="single" w:sz="6" w:space="0" w:color="22413A"/>
              <w:bottom w:val="single" w:sz="6" w:space="0" w:color="22413A"/>
              <w:right w:val="nil"/>
            </w:tcBorders>
            <w:shd w:val="clear" w:color="auto" w:fill="auto"/>
            <w:hideMark/>
          </w:tcPr>
          <w:p w14:paraId="57A17C86" w14:textId="37C263A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Low-Level Waste Repository </w:t>
            </w:r>
          </w:p>
        </w:tc>
      </w:tr>
      <w:tr w:rsidR="00097D8D" w:rsidRPr="00DD1B58" w14:paraId="09E589D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3D890F4" w14:textId="6FE3A3A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LOPA </w:t>
            </w:r>
          </w:p>
        </w:tc>
        <w:tc>
          <w:tcPr>
            <w:tcW w:w="7848" w:type="dxa"/>
            <w:tcBorders>
              <w:top w:val="single" w:sz="6" w:space="0" w:color="22413A"/>
              <w:left w:val="single" w:sz="6" w:space="0" w:color="22413A"/>
              <w:bottom w:val="single" w:sz="6" w:space="0" w:color="22413A"/>
              <w:right w:val="nil"/>
            </w:tcBorders>
            <w:shd w:val="clear" w:color="auto" w:fill="auto"/>
            <w:hideMark/>
          </w:tcPr>
          <w:p w14:paraId="063DBF6E" w14:textId="2812FDC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Layers of Protection Analysis  </w:t>
            </w:r>
          </w:p>
        </w:tc>
      </w:tr>
      <w:tr w:rsidR="00097D8D" w:rsidRPr="00DD1B58" w14:paraId="5918907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E5133B" w14:textId="43CD9A7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LPCB </w:t>
            </w:r>
          </w:p>
        </w:tc>
        <w:tc>
          <w:tcPr>
            <w:tcW w:w="7848" w:type="dxa"/>
            <w:tcBorders>
              <w:top w:val="single" w:sz="6" w:space="0" w:color="22413A"/>
              <w:left w:val="single" w:sz="6" w:space="0" w:color="22413A"/>
              <w:bottom w:val="single" w:sz="6" w:space="0" w:color="22413A"/>
              <w:right w:val="nil"/>
            </w:tcBorders>
            <w:shd w:val="clear" w:color="auto" w:fill="auto"/>
            <w:hideMark/>
          </w:tcPr>
          <w:p w14:paraId="001FA564" w14:textId="17FF6BAF" w:rsidR="00097D8D" w:rsidRPr="00DD1B58" w:rsidRDefault="00DC1390"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Loss Prevention Certification Board</w:t>
            </w:r>
          </w:p>
        </w:tc>
      </w:tr>
      <w:tr w:rsidR="00097D8D" w:rsidRPr="00DD1B58" w14:paraId="363EEA9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E6B2CB4" w14:textId="1C0205E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LPG </w:t>
            </w:r>
          </w:p>
        </w:tc>
        <w:tc>
          <w:tcPr>
            <w:tcW w:w="7848" w:type="dxa"/>
            <w:tcBorders>
              <w:top w:val="single" w:sz="6" w:space="0" w:color="22413A"/>
              <w:left w:val="single" w:sz="6" w:space="0" w:color="22413A"/>
              <w:bottom w:val="single" w:sz="6" w:space="0" w:color="22413A"/>
              <w:right w:val="nil"/>
            </w:tcBorders>
            <w:shd w:val="clear" w:color="auto" w:fill="auto"/>
            <w:hideMark/>
          </w:tcPr>
          <w:p w14:paraId="109EC6D7" w14:textId="583EAC80" w:rsidR="00097D8D" w:rsidRPr="00DD1B58" w:rsidRDefault="00DC1390"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Liquefied Petroleum Gas</w:t>
            </w:r>
          </w:p>
        </w:tc>
      </w:tr>
      <w:tr w:rsidR="00097D8D" w:rsidRPr="00DD1B58" w14:paraId="3DDE018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6BA7D72" w14:textId="63B0E75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LPS </w:t>
            </w:r>
          </w:p>
        </w:tc>
        <w:tc>
          <w:tcPr>
            <w:tcW w:w="7848" w:type="dxa"/>
            <w:tcBorders>
              <w:top w:val="single" w:sz="6" w:space="0" w:color="22413A"/>
              <w:left w:val="single" w:sz="6" w:space="0" w:color="22413A"/>
              <w:bottom w:val="single" w:sz="6" w:space="0" w:color="22413A"/>
              <w:right w:val="nil"/>
            </w:tcBorders>
            <w:shd w:val="clear" w:color="auto" w:fill="auto"/>
            <w:hideMark/>
          </w:tcPr>
          <w:p w14:paraId="5B6B490B" w14:textId="505E9E21"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Loss Prevention Scheme  </w:t>
            </w:r>
          </w:p>
        </w:tc>
      </w:tr>
      <w:tr w:rsidR="00097D8D" w:rsidRPr="00DD1B58" w14:paraId="728EBAD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EDDD1C" w14:textId="3C5EAA8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LSS </w:t>
            </w:r>
          </w:p>
        </w:tc>
        <w:tc>
          <w:tcPr>
            <w:tcW w:w="7848" w:type="dxa"/>
            <w:tcBorders>
              <w:top w:val="single" w:sz="6" w:space="0" w:color="22413A"/>
              <w:left w:val="single" w:sz="6" w:space="0" w:color="22413A"/>
              <w:bottom w:val="single" w:sz="6" w:space="0" w:color="22413A"/>
              <w:right w:val="nil"/>
            </w:tcBorders>
            <w:shd w:val="clear" w:color="auto" w:fill="auto"/>
            <w:hideMark/>
          </w:tcPr>
          <w:p w14:paraId="284823B6" w14:textId="1235EC0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License Summary Statements  </w:t>
            </w:r>
          </w:p>
        </w:tc>
      </w:tr>
      <w:tr w:rsidR="00097D8D" w:rsidRPr="00DD1B58" w14:paraId="7E0F3A3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8A3572C" w14:textId="0BA165A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LWR </w:t>
            </w:r>
          </w:p>
        </w:tc>
        <w:tc>
          <w:tcPr>
            <w:tcW w:w="7848" w:type="dxa"/>
            <w:tcBorders>
              <w:top w:val="single" w:sz="6" w:space="0" w:color="22413A"/>
              <w:left w:val="single" w:sz="6" w:space="0" w:color="22413A"/>
              <w:bottom w:val="single" w:sz="6" w:space="0" w:color="22413A"/>
              <w:right w:val="nil"/>
            </w:tcBorders>
            <w:shd w:val="clear" w:color="auto" w:fill="auto"/>
            <w:hideMark/>
          </w:tcPr>
          <w:p w14:paraId="5D541750" w14:textId="5A0AEC4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Light Water Reactor  </w:t>
            </w:r>
          </w:p>
        </w:tc>
      </w:tr>
      <w:tr w:rsidR="00097D8D" w:rsidRPr="00DD1B58" w14:paraId="0EF4537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9394E3D" w14:textId="4AF03F3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 </w:t>
            </w:r>
          </w:p>
        </w:tc>
        <w:tc>
          <w:tcPr>
            <w:tcW w:w="7848" w:type="dxa"/>
            <w:tcBorders>
              <w:top w:val="single" w:sz="6" w:space="0" w:color="22413A"/>
              <w:left w:val="single" w:sz="6" w:space="0" w:color="22413A"/>
              <w:bottom w:val="single" w:sz="6" w:space="0" w:color="22413A"/>
              <w:right w:val="nil"/>
            </w:tcBorders>
            <w:shd w:val="clear" w:color="auto" w:fill="auto"/>
            <w:hideMark/>
          </w:tcPr>
          <w:p w14:paraId="167B3030" w14:textId="6A4E695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Medium Active  </w:t>
            </w:r>
          </w:p>
        </w:tc>
      </w:tr>
      <w:tr w:rsidR="00097D8D" w:rsidRPr="00DD1B58" w14:paraId="19B5302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847CBBA" w14:textId="73DCCDC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MAH </w:t>
            </w:r>
          </w:p>
        </w:tc>
        <w:tc>
          <w:tcPr>
            <w:tcW w:w="7848" w:type="dxa"/>
            <w:tcBorders>
              <w:top w:val="single" w:sz="6" w:space="0" w:color="22413A"/>
              <w:left w:val="single" w:sz="6" w:space="0" w:color="22413A"/>
              <w:bottom w:val="single" w:sz="6" w:space="0" w:color="22413A"/>
              <w:right w:val="nil"/>
            </w:tcBorders>
            <w:shd w:val="clear" w:color="auto" w:fill="auto"/>
            <w:hideMark/>
          </w:tcPr>
          <w:p w14:paraId="655F726A" w14:textId="6E01A05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Major Accident Hazard  </w:t>
            </w:r>
          </w:p>
        </w:tc>
      </w:tr>
      <w:tr w:rsidR="00097D8D" w:rsidRPr="00DD1B58" w14:paraId="54148DE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7058510" w14:textId="183B271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MBGW </w:t>
            </w:r>
          </w:p>
        </w:tc>
        <w:tc>
          <w:tcPr>
            <w:tcW w:w="7848" w:type="dxa"/>
            <w:tcBorders>
              <w:top w:val="single" w:sz="6" w:space="0" w:color="22413A"/>
              <w:left w:val="single" w:sz="6" w:space="0" w:color="22413A"/>
              <w:bottom w:val="single" w:sz="6" w:space="0" w:color="22413A"/>
              <w:right w:val="nil"/>
            </w:tcBorders>
            <w:shd w:val="clear" w:color="auto" w:fill="auto"/>
            <w:hideMark/>
          </w:tcPr>
          <w:p w14:paraId="09CE8D6F" w14:textId="07D1435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Miscellaneous Beta Gamma Waste  </w:t>
            </w:r>
          </w:p>
        </w:tc>
      </w:tr>
      <w:tr w:rsidR="00097D8D" w:rsidRPr="00DD1B58" w14:paraId="31876B2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394A1B3" w14:textId="7BB0649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MCR </w:t>
            </w:r>
          </w:p>
        </w:tc>
        <w:tc>
          <w:tcPr>
            <w:tcW w:w="7848" w:type="dxa"/>
            <w:tcBorders>
              <w:top w:val="single" w:sz="6" w:space="0" w:color="22413A"/>
              <w:left w:val="single" w:sz="6" w:space="0" w:color="22413A"/>
              <w:bottom w:val="single" w:sz="6" w:space="0" w:color="22413A"/>
              <w:right w:val="nil"/>
            </w:tcBorders>
            <w:shd w:val="clear" w:color="auto" w:fill="auto"/>
            <w:hideMark/>
          </w:tcPr>
          <w:p w14:paraId="680C0E24" w14:textId="4B614B9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Main Control Room  </w:t>
            </w:r>
          </w:p>
        </w:tc>
      </w:tr>
      <w:tr w:rsidR="00097D8D" w:rsidRPr="00DD1B58" w14:paraId="5D63886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32746A2" w14:textId="6E24068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MDT </w:t>
            </w:r>
          </w:p>
        </w:tc>
        <w:tc>
          <w:tcPr>
            <w:tcW w:w="7848" w:type="dxa"/>
            <w:tcBorders>
              <w:top w:val="single" w:sz="6" w:space="0" w:color="22413A"/>
              <w:left w:val="single" w:sz="6" w:space="0" w:color="22413A"/>
              <w:bottom w:val="single" w:sz="6" w:space="0" w:color="22413A"/>
              <w:right w:val="nil"/>
            </w:tcBorders>
            <w:shd w:val="clear" w:color="auto" w:fill="auto"/>
            <w:hideMark/>
          </w:tcPr>
          <w:p w14:paraId="04CD91EB" w14:textId="40B8B37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Mobile Data Terminal </w:t>
            </w:r>
          </w:p>
        </w:tc>
      </w:tr>
      <w:tr w:rsidR="00097D8D" w:rsidRPr="00DD1B58" w14:paraId="2433311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E750C25" w14:textId="0BFF93C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MEH </w:t>
            </w:r>
          </w:p>
        </w:tc>
        <w:tc>
          <w:tcPr>
            <w:tcW w:w="7848" w:type="dxa"/>
            <w:tcBorders>
              <w:top w:val="single" w:sz="6" w:space="0" w:color="22413A"/>
              <w:left w:val="single" w:sz="6" w:space="0" w:color="22413A"/>
              <w:bottom w:val="single" w:sz="6" w:space="0" w:color="22413A"/>
              <w:right w:val="nil"/>
            </w:tcBorders>
            <w:shd w:val="clear" w:color="auto" w:fill="auto"/>
            <w:hideMark/>
          </w:tcPr>
          <w:p w14:paraId="7B5FC5C6" w14:textId="1A532CAE" w:rsidR="00097D8D" w:rsidRPr="00DD1B58" w:rsidRDefault="00B97D4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Mechanical, Electrical and HVAC works (heating, ventilation and air conditioning)</w:t>
            </w:r>
          </w:p>
        </w:tc>
      </w:tr>
      <w:tr w:rsidR="00097D8D" w:rsidRPr="00DD1B58" w14:paraId="5784606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AEE47FE" w14:textId="16B8E24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MEP </w:t>
            </w:r>
          </w:p>
        </w:tc>
        <w:tc>
          <w:tcPr>
            <w:tcW w:w="7848" w:type="dxa"/>
            <w:tcBorders>
              <w:top w:val="single" w:sz="6" w:space="0" w:color="22413A"/>
              <w:left w:val="single" w:sz="6" w:space="0" w:color="22413A"/>
              <w:bottom w:val="single" w:sz="6" w:space="0" w:color="22413A"/>
              <w:right w:val="nil"/>
            </w:tcBorders>
            <w:shd w:val="clear" w:color="auto" w:fill="auto"/>
            <w:hideMark/>
          </w:tcPr>
          <w:p w14:paraId="024CCDEB" w14:textId="0F98949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Magnox Encapsulation Plant </w:t>
            </w:r>
          </w:p>
        </w:tc>
      </w:tr>
      <w:tr w:rsidR="00097D8D" w:rsidRPr="00DD1B58" w14:paraId="5D5BC5C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C731375" w14:textId="032C494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MER </w:t>
            </w:r>
          </w:p>
        </w:tc>
        <w:tc>
          <w:tcPr>
            <w:tcW w:w="7848" w:type="dxa"/>
            <w:tcBorders>
              <w:top w:val="single" w:sz="6" w:space="0" w:color="22413A"/>
              <w:left w:val="single" w:sz="6" w:space="0" w:color="22413A"/>
              <w:bottom w:val="single" w:sz="6" w:space="0" w:color="22413A"/>
              <w:right w:val="nil"/>
            </w:tcBorders>
            <w:shd w:val="clear" w:color="auto" w:fill="auto"/>
            <w:hideMark/>
          </w:tcPr>
          <w:p w14:paraId="35BE3749" w14:textId="4C78F4FA"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Magnox East River </w:t>
            </w:r>
          </w:p>
        </w:tc>
      </w:tr>
      <w:tr w:rsidR="00097D8D" w:rsidRPr="00DD1B58" w14:paraId="69C5D79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4C06B52" w14:textId="30BDA5E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MICC </w:t>
            </w:r>
          </w:p>
        </w:tc>
        <w:tc>
          <w:tcPr>
            <w:tcW w:w="7848" w:type="dxa"/>
            <w:tcBorders>
              <w:top w:val="single" w:sz="6" w:space="0" w:color="22413A"/>
              <w:left w:val="single" w:sz="6" w:space="0" w:color="22413A"/>
              <w:bottom w:val="single" w:sz="6" w:space="0" w:color="22413A"/>
              <w:right w:val="nil"/>
            </w:tcBorders>
            <w:shd w:val="clear" w:color="auto" w:fill="auto"/>
            <w:hideMark/>
          </w:tcPr>
          <w:p w14:paraId="04E1E975" w14:textId="134BC97D" w:rsidR="00097D8D" w:rsidRPr="00DD1B58" w:rsidRDefault="00DE2B59"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Mineral Insulated Copper Covered</w:t>
            </w:r>
          </w:p>
        </w:tc>
      </w:tr>
      <w:tr w:rsidR="00097D8D" w:rsidRPr="00DD1B58" w14:paraId="14371D7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0BCCF7F" w14:textId="0D104F5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MJ </w:t>
            </w:r>
          </w:p>
        </w:tc>
        <w:tc>
          <w:tcPr>
            <w:tcW w:w="7848" w:type="dxa"/>
            <w:tcBorders>
              <w:top w:val="single" w:sz="6" w:space="0" w:color="22413A"/>
              <w:left w:val="single" w:sz="6" w:space="0" w:color="22413A"/>
              <w:bottom w:val="single" w:sz="6" w:space="0" w:color="22413A"/>
              <w:right w:val="nil"/>
            </w:tcBorders>
            <w:shd w:val="clear" w:color="auto" w:fill="auto"/>
            <w:hideMark/>
          </w:tcPr>
          <w:p w14:paraId="6670E612" w14:textId="608693C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Megajoules </w:t>
            </w:r>
          </w:p>
        </w:tc>
      </w:tr>
      <w:tr w:rsidR="00097D8D" w:rsidRPr="00DD1B58" w14:paraId="011DA91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171B313" w14:textId="055E9B2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MOD </w:t>
            </w:r>
          </w:p>
        </w:tc>
        <w:tc>
          <w:tcPr>
            <w:tcW w:w="7848" w:type="dxa"/>
            <w:tcBorders>
              <w:top w:val="single" w:sz="6" w:space="0" w:color="22413A"/>
              <w:left w:val="single" w:sz="6" w:space="0" w:color="22413A"/>
              <w:bottom w:val="single" w:sz="6" w:space="0" w:color="22413A"/>
              <w:right w:val="nil"/>
            </w:tcBorders>
            <w:shd w:val="clear" w:color="auto" w:fill="auto"/>
            <w:hideMark/>
          </w:tcPr>
          <w:p w14:paraId="21EFA1C4" w14:textId="7D15D58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Ministry of Defence </w:t>
            </w:r>
          </w:p>
        </w:tc>
      </w:tr>
      <w:tr w:rsidR="00097D8D" w:rsidRPr="00DD1B58" w14:paraId="66793A3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EC4C0A" w14:textId="2B47844C"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MOX </w:t>
            </w:r>
          </w:p>
        </w:tc>
        <w:tc>
          <w:tcPr>
            <w:tcW w:w="7848" w:type="dxa"/>
            <w:tcBorders>
              <w:top w:val="single" w:sz="6" w:space="0" w:color="22413A"/>
              <w:left w:val="single" w:sz="6" w:space="0" w:color="22413A"/>
              <w:bottom w:val="single" w:sz="6" w:space="0" w:color="22413A"/>
              <w:right w:val="nil"/>
            </w:tcBorders>
            <w:shd w:val="clear" w:color="auto" w:fill="auto"/>
            <w:hideMark/>
          </w:tcPr>
          <w:p w14:paraId="292E0B6E" w14:textId="061CD121" w:rsidR="00097D8D" w:rsidRPr="00DD1B58" w:rsidRDefault="008A5AC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Mixed Oxide</w:t>
            </w:r>
            <w:r w:rsidR="00097D8D" w:rsidRPr="00DD1B58">
              <w:rPr>
                <w:rFonts w:eastAsia="Times New Roman"/>
                <w:color w:val="000000" w:themeColor="text1"/>
                <w:szCs w:val="24"/>
                <w:lang w:val="en-US" w:eastAsia="en-GB" w:bidi="ar-SA"/>
              </w:rPr>
              <w:t> </w:t>
            </w:r>
            <w:r w:rsidRPr="00DD1B58">
              <w:rPr>
                <w:rFonts w:eastAsia="Times New Roman"/>
                <w:color w:val="000000" w:themeColor="text1"/>
                <w:szCs w:val="24"/>
                <w:lang w:val="en-US" w:eastAsia="en-GB" w:bidi="ar-SA"/>
              </w:rPr>
              <w:t>Fuel</w:t>
            </w:r>
          </w:p>
        </w:tc>
      </w:tr>
      <w:tr w:rsidR="00097D8D" w:rsidRPr="00DD1B58" w14:paraId="0EEFD3A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BA9C0E" w14:textId="4F9CD9A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MR </w:t>
            </w:r>
          </w:p>
        </w:tc>
        <w:tc>
          <w:tcPr>
            <w:tcW w:w="7848" w:type="dxa"/>
            <w:tcBorders>
              <w:top w:val="single" w:sz="6" w:space="0" w:color="22413A"/>
              <w:left w:val="single" w:sz="6" w:space="0" w:color="22413A"/>
              <w:bottom w:val="single" w:sz="6" w:space="0" w:color="22413A"/>
              <w:right w:val="nil"/>
            </w:tcBorders>
            <w:shd w:val="clear" w:color="auto" w:fill="auto"/>
            <w:hideMark/>
          </w:tcPr>
          <w:p w14:paraId="3901A3A5" w14:textId="0F9F7A8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Main Review  </w:t>
            </w:r>
          </w:p>
        </w:tc>
      </w:tr>
      <w:tr w:rsidR="00097D8D" w:rsidRPr="00DD1B58" w14:paraId="7F4D696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1965D12" w14:textId="5E8D5CA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MS </w:t>
            </w:r>
          </w:p>
        </w:tc>
        <w:tc>
          <w:tcPr>
            <w:tcW w:w="7848" w:type="dxa"/>
            <w:tcBorders>
              <w:top w:val="single" w:sz="6" w:space="0" w:color="22413A"/>
              <w:left w:val="single" w:sz="6" w:space="0" w:color="22413A"/>
              <w:bottom w:val="single" w:sz="6" w:space="0" w:color="22413A"/>
              <w:right w:val="nil"/>
            </w:tcBorders>
            <w:shd w:val="clear" w:color="auto" w:fill="auto"/>
            <w:hideMark/>
          </w:tcPr>
          <w:p w14:paraId="207D3B01" w14:textId="5E6120E5" w:rsidR="00097D8D" w:rsidRPr="00DD1B58" w:rsidRDefault="008A5AC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Management for Safety</w:t>
            </w:r>
          </w:p>
        </w:tc>
      </w:tr>
      <w:tr w:rsidR="00097D8D" w:rsidRPr="00DD1B58" w14:paraId="6B7BC7D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7D29985" w14:textId="2521ACD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MSC </w:t>
            </w:r>
          </w:p>
        </w:tc>
        <w:tc>
          <w:tcPr>
            <w:tcW w:w="7848" w:type="dxa"/>
            <w:tcBorders>
              <w:top w:val="single" w:sz="6" w:space="0" w:color="22413A"/>
              <w:left w:val="single" w:sz="6" w:space="0" w:color="22413A"/>
              <w:bottom w:val="single" w:sz="6" w:space="0" w:color="22413A"/>
              <w:right w:val="nil"/>
            </w:tcBorders>
            <w:shd w:val="clear" w:color="auto" w:fill="auto"/>
            <w:hideMark/>
          </w:tcPr>
          <w:p w14:paraId="45586732" w14:textId="5DCC2F0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Management Safety Committee  </w:t>
            </w:r>
          </w:p>
        </w:tc>
      </w:tr>
      <w:tr w:rsidR="00097D8D" w:rsidRPr="00DD1B58" w14:paraId="3C270FA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6AFA6A2" w14:textId="60BC73E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MSF </w:t>
            </w:r>
          </w:p>
        </w:tc>
        <w:tc>
          <w:tcPr>
            <w:tcW w:w="7848" w:type="dxa"/>
            <w:tcBorders>
              <w:top w:val="single" w:sz="6" w:space="0" w:color="22413A"/>
              <w:left w:val="single" w:sz="6" w:space="0" w:color="22413A"/>
              <w:bottom w:val="single" w:sz="6" w:space="0" w:color="22413A"/>
              <w:right w:val="nil"/>
            </w:tcBorders>
            <w:shd w:val="clear" w:color="auto" w:fill="auto"/>
            <w:hideMark/>
          </w:tcPr>
          <w:p w14:paraId="1B9848A1" w14:textId="57D0CC5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Main Safety Functions  </w:t>
            </w:r>
          </w:p>
        </w:tc>
      </w:tr>
      <w:tr w:rsidR="00097D8D" w:rsidRPr="00DD1B58" w14:paraId="1BC484C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910264" w14:textId="4D387E3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MSSS </w:t>
            </w:r>
          </w:p>
        </w:tc>
        <w:tc>
          <w:tcPr>
            <w:tcW w:w="7848" w:type="dxa"/>
            <w:tcBorders>
              <w:top w:val="single" w:sz="6" w:space="0" w:color="22413A"/>
              <w:left w:val="single" w:sz="6" w:space="0" w:color="22413A"/>
              <w:bottom w:val="single" w:sz="6" w:space="0" w:color="22413A"/>
              <w:right w:val="nil"/>
            </w:tcBorders>
            <w:shd w:val="clear" w:color="auto" w:fill="auto"/>
            <w:hideMark/>
          </w:tcPr>
          <w:p w14:paraId="7315860D" w14:textId="7E67F6D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Magnox Swarf Storage Silo </w:t>
            </w:r>
          </w:p>
        </w:tc>
      </w:tr>
      <w:tr w:rsidR="00097D8D" w:rsidRPr="00DD1B58" w14:paraId="544525E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D25A678" w14:textId="2519425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MTR </w:t>
            </w:r>
          </w:p>
        </w:tc>
        <w:tc>
          <w:tcPr>
            <w:tcW w:w="7848" w:type="dxa"/>
            <w:tcBorders>
              <w:top w:val="single" w:sz="6" w:space="0" w:color="22413A"/>
              <w:left w:val="single" w:sz="6" w:space="0" w:color="22413A"/>
              <w:bottom w:val="single" w:sz="6" w:space="0" w:color="22413A"/>
              <w:right w:val="nil"/>
            </w:tcBorders>
            <w:shd w:val="clear" w:color="auto" w:fill="auto"/>
            <w:hideMark/>
          </w:tcPr>
          <w:p w14:paraId="087038F1" w14:textId="3D3D395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Materials Test Reactor  </w:t>
            </w:r>
          </w:p>
        </w:tc>
      </w:tr>
      <w:tr w:rsidR="00097D8D" w:rsidRPr="00DD1B58" w14:paraId="1DD4584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CB08A5" w14:textId="1C0B770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MW </w:t>
            </w:r>
          </w:p>
        </w:tc>
        <w:tc>
          <w:tcPr>
            <w:tcW w:w="7848" w:type="dxa"/>
            <w:tcBorders>
              <w:top w:val="single" w:sz="6" w:space="0" w:color="22413A"/>
              <w:left w:val="single" w:sz="6" w:space="0" w:color="22413A"/>
              <w:bottom w:val="single" w:sz="6" w:space="0" w:color="22413A"/>
              <w:right w:val="nil"/>
            </w:tcBorders>
            <w:shd w:val="clear" w:color="auto" w:fill="auto"/>
            <w:hideMark/>
          </w:tcPr>
          <w:p w14:paraId="37178EF7" w14:textId="371DF878"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Megawatts </w:t>
            </w:r>
          </w:p>
        </w:tc>
      </w:tr>
      <w:tr w:rsidR="00097D8D" w:rsidRPr="00DD1B58" w14:paraId="4E7183B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64C28C8" w14:textId="71B15CE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NAR </w:t>
            </w:r>
          </w:p>
        </w:tc>
        <w:tc>
          <w:tcPr>
            <w:tcW w:w="7848" w:type="dxa"/>
            <w:tcBorders>
              <w:top w:val="single" w:sz="6" w:space="0" w:color="22413A"/>
              <w:left w:val="single" w:sz="6" w:space="0" w:color="22413A"/>
              <w:bottom w:val="single" w:sz="6" w:space="0" w:color="22413A"/>
              <w:right w:val="nil"/>
            </w:tcBorders>
            <w:shd w:val="clear" w:color="auto" w:fill="auto"/>
            <w:hideMark/>
          </w:tcPr>
          <w:p w14:paraId="62C5844E" w14:textId="3C4D713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National Assessment Report  </w:t>
            </w:r>
          </w:p>
        </w:tc>
      </w:tr>
      <w:tr w:rsidR="00097D8D" w:rsidRPr="00DD1B58" w14:paraId="181E099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3D70C72" w14:textId="01ACC71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NDA </w:t>
            </w:r>
          </w:p>
        </w:tc>
        <w:tc>
          <w:tcPr>
            <w:tcW w:w="7848" w:type="dxa"/>
            <w:tcBorders>
              <w:top w:val="single" w:sz="6" w:space="0" w:color="22413A"/>
              <w:left w:val="single" w:sz="6" w:space="0" w:color="22413A"/>
              <w:bottom w:val="single" w:sz="6" w:space="0" w:color="22413A"/>
              <w:right w:val="nil"/>
            </w:tcBorders>
            <w:shd w:val="clear" w:color="auto" w:fill="auto"/>
            <w:hideMark/>
          </w:tcPr>
          <w:p w14:paraId="1C05731E" w14:textId="2C2E127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Decommissioning Authority </w:t>
            </w:r>
          </w:p>
        </w:tc>
      </w:tr>
      <w:tr w:rsidR="00097D8D" w:rsidRPr="00DD1B58" w14:paraId="0C19C64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618D9D" w14:textId="5E8D694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NEPS </w:t>
            </w:r>
          </w:p>
        </w:tc>
        <w:tc>
          <w:tcPr>
            <w:tcW w:w="7848" w:type="dxa"/>
            <w:tcBorders>
              <w:top w:val="single" w:sz="6" w:space="0" w:color="22413A"/>
              <w:left w:val="single" w:sz="6" w:space="0" w:color="22413A"/>
              <w:bottom w:val="single" w:sz="6" w:space="0" w:color="22413A"/>
              <w:right w:val="nil"/>
            </w:tcBorders>
            <w:shd w:val="clear" w:color="auto" w:fill="auto"/>
            <w:hideMark/>
          </w:tcPr>
          <w:p w14:paraId="608291A1" w14:textId="44F8FD85"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New Enriched Powder Store </w:t>
            </w:r>
          </w:p>
        </w:tc>
      </w:tr>
      <w:tr w:rsidR="00097D8D" w:rsidRPr="00DD1B58" w14:paraId="49C083F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D83DC6" w14:textId="2224127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 </w:t>
            </w:r>
          </w:p>
        </w:tc>
        <w:tc>
          <w:tcPr>
            <w:tcW w:w="7848" w:type="dxa"/>
            <w:tcBorders>
              <w:top w:val="single" w:sz="6" w:space="0" w:color="22413A"/>
              <w:left w:val="single" w:sz="6" w:space="0" w:color="22413A"/>
              <w:bottom w:val="single" w:sz="6" w:space="0" w:color="22413A"/>
              <w:right w:val="nil"/>
            </w:tcBorders>
            <w:shd w:val="clear" w:color="auto" w:fill="auto"/>
            <w:hideMark/>
          </w:tcPr>
          <w:p w14:paraId="29C6C6AC" w14:textId="54256884" w:rsidR="00097D8D" w:rsidRPr="00DD1B58" w:rsidRDefault="008A5AC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Norme Française</w:t>
            </w:r>
          </w:p>
        </w:tc>
      </w:tr>
      <w:tr w:rsidR="00097D8D" w:rsidRPr="00DD1B58" w14:paraId="1280195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8FAAC68" w14:textId="40A86CB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NFCC </w:t>
            </w:r>
          </w:p>
        </w:tc>
        <w:tc>
          <w:tcPr>
            <w:tcW w:w="7848" w:type="dxa"/>
            <w:tcBorders>
              <w:top w:val="single" w:sz="6" w:space="0" w:color="22413A"/>
              <w:left w:val="single" w:sz="6" w:space="0" w:color="22413A"/>
              <w:bottom w:val="single" w:sz="6" w:space="0" w:color="22413A"/>
              <w:right w:val="nil"/>
            </w:tcBorders>
            <w:shd w:val="clear" w:color="auto" w:fill="auto"/>
            <w:hideMark/>
          </w:tcPr>
          <w:p w14:paraId="43B504A5" w14:textId="19F72258" w:rsidR="00097D8D" w:rsidRPr="00DD1B58" w:rsidRDefault="00BE617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National Fire Chiefs Council</w:t>
            </w:r>
          </w:p>
        </w:tc>
      </w:tr>
      <w:tr w:rsidR="00097D8D" w:rsidRPr="00DD1B58" w14:paraId="065AF1F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757F711" w14:textId="3D7B679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NFCR </w:t>
            </w:r>
          </w:p>
        </w:tc>
        <w:tc>
          <w:tcPr>
            <w:tcW w:w="7848" w:type="dxa"/>
            <w:tcBorders>
              <w:top w:val="single" w:sz="6" w:space="0" w:color="22413A"/>
              <w:left w:val="single" w:sz="6" w:space="0" w:color="22413A"/>
              <w:bottom w:val="single" w:sz="6" w:space="0" w:color="22413A"/>
              <w:right w:val="nil"/>
            </w:tcBorders>
            <w:shd w:val="clear" w:color="auto" w:fill="auto"/>
            <w:hideMark/>
          </w:tcPr>
          <w:p w14:paraId="64AE1B51" w14:textId="67AE65D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Fire Collaborative Review  </w:t>
            </w:r>
          </w:p>
        </w:tc>
      </w:tr>
      <w:tr w:rsidR="00097D8D" w:rsidRPr="00DD1B58" w14:paraId="4BACA9B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2D606A2" w14:textId="1D8215F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NFPA </w:t>
            </w:r>
          </w:p>
        </w:tc>
        <w:tc>
          <w:tcPr>
            <w:tcW w:w="7848" w:type="dxa"/>
            <w:tcBorders>
              <w:top w:val="single" w:sz="6" w:space="0" w:color="22413A"/>
              <w:left w:val="single" w:sz="6" w:space="0" w:color="22413A"/>
              <w:bottom w:val="single" w:sz="6" w:space="0" w:color="22413A"/>
              <w:right w:val="nil"/>
            </w:tcBorders>
            <w:shd w:val="clear" w:color="auto" w:fill="auto"/>
            <w:hideMark/>
          </w:tcPr>
          <w:p w14:paraId="07C92C14" w14:textId="366D759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National Fire Protection Association </w:t>
            </w:r>
          </w:p>
        </w:tc>
      </w:tr>
      <w:tr w:rsidR="00097D8D" w:rsidRPr="00DD1B58" w14:paraId="4AB217B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F7E95C" w14:textId="0654E74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NFSA </w:t>
            </w:r>
          </w:p>
        </w:tc>
        <w:tc>
          <w:tcPr>
            <w:tcW w:w="7848" w:type="dxa"/>
            <w:tcBorders>
              <w:top w:val="single" w:sz="6" w:space="0" w:color="22413A"/>
              <w:left w:val="single" w:sz="6" w:space="0" w:color="22413A"/>
              <w:bottom w:val="single" w:sz="6" w:space="0" w:color="22413A"/>
              <w:right w:val="nil"/>
            </w:tcBorders>
            <w:shd w:val="clear" w:color="auto" w:fill="auto"/>
            <w:hideMark/>
          </w:tcPr>
          <w:p w14:paraId="76C04F60" w14:textId="5F6E213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Fire Safety Analysis  </w:t>
            </w:r>
          </w:p>
        </w:tc>
      </w:tr>
      <w:tr w:rsidR="00097D8D" w:rsidRPr="00DD1B58" w14:paraId="4638985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450C2B" w14:textId="2978E75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NFSHA </w:t>
            </w:r>
          </w:p>
        </w:tc>
        <w:tc>
          <w:tcPr>
            <w:tcW w:w="7848" w:type="dxa"/>
            <w:tcBorders>
              <w:top w:val="single" w:sz="6" w:space="0" w:color="22413A"/>
              <w:left w:val="single" w:sz="6" w:space="0" w:color="22413A"/>
              <w:bottom w:val="single" w:sz="6" w:space="0" w:color="22413A"/>
              <w:right w:val="nil"/>
            </w:tcBorders>
            <w:shd w:val="clear" w:color="auto" w:fill="auto"/>
            <w:hideMark/>
          </w:tcPr>
          <w:p w14:paraId="4CF0A00B" w14:textId="2A4B7F18"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Fire Safety Hazard Analysis  </w:t>
            </w:r>
          </w:p>
        </w:tc>
      </w:tr>
      <w:tr w:rsidR="00097D8D" w:rsidRPr="00DD1B58" w14:paraId="074E549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C9C583" w14:textId="645E007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NGL </w:t>
            </w:r>
          </w:p>
        </w:tc>
        <w:tc>
          <w:tcPr>
            <w:tcW w:w="7848" w:type="dxa"/>
            <w:tcBorders>
              <w:top w:val="single" w:sz="6" w:space="0" w:color="22413A"/>
              <w:left w:val="single" w:sz="6" w:space="0" w:color="22413A"/>
              <w:bottom w:val="single" w:sz="6" w:space="0" w:color="22413A"/>
              <w:right w:val="nil"/>
            </w:tcBorders>
            <w:shd w:val="clear" w:color="auto" w:fill="auto"/>
            <w:hideMark/>
          </w:tcPr>
          <w:p w14:paraId="26AAF38E" w14:textId="60BF6ACE"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Generation Limited </w:t>
            </w:r>
          </w:p>
        </w:tc>
      </w:tr>
      <w:tr w:rsidR="00097D8D" w:rsidRPr="00DD1B58" w14:paraId="0022680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30F318A" w14:textId="142F142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NHSS </w:t>
            </w:r>
          </w:p>
        </w:tc>
        <w:tc>
          <w:tcPr>
            <w:tcW w:w="7848" w:type="dxa"/>
            <w:tcBorders>
              <w:top w:val="single" w:sz="6" w:space="0" w:color="22413A"/>
              <w:left w:val="single" w:sz="6" w:space="0" w:color="22413A"/>
              <w:bottom w:val="single" w:sz="6" w:space="0" w:color="22413A"/>
              <w:right w:val="nil"/>
            </w:tcBorders>
            <w:shd w:val="clear" w:color="auto" w:fill="auto"/>
            <w:hideMark/>
          </w:tcPr>
          <w:p w14:paraId="58EC666E" w14:textId="46956FF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Non-Hazardous Stable State  </w:t>
            </w:r>
          </w:p>
        </w:tc>
      </w:tr>
      <w:tr w:rsidR="00097D8D" w:rsidRPr="00DD1B58" w14:paraId="4B79F05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FC79E7" w14:textId="08BB6AC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 </w:t>
            </w:r>
          </w:p>
        </w:tc>
        <w:tc>
          <w:tcPr>
            <w:tcW w:w="7848" w:type="dxa"/>
            <w:tcBorders>
              <w:top w:val="single" w:sz="6" w:space="0" w:color="22413A"/>
              <w:left w:val="single" w:sz="6" w:space="0" w:color="22413A"/>
              <w:bottom w:val="single" w:sz="6" w:space="0" w:color="22413A"/>
              <w:right w:val="nil"/>
            </w:tcBorders>
            <w:shd w:val="clear" w:color="auto" w:fill="auto"/>
            <w:hideMark/>
          </w:tcPr>
          <w:p w14:paraId="6ADD6BB5" w14:textId="311A00C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Island  </w:t>
            </w:r>
          </w:p>
        </w:tc>
      </w:tr>
      <w:tr w:rsidR="00097D8D" w:rsidRPr="00DD1B58" w14:paraId="3B8C86D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0647E6" w14:textId="6432CE0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NI&amp;IO </w:t>
            </w:r>
          </w:p>
        </w:tc>
        <w:tc>
          <w:tcPr>
            <w:tcW w:w="7848" w:type="dxa"/>
            <w:tcBorders>
              <w:top w:val="single" w:sz="6" w:space="0" w:color="22413A"/>
              <w:left w:val="single" w:sz="6" w:space="0" w:color="22413A"/>
              <w:bottom w:val="single" w:sz="6" w:space="0" w:color="22413A"/>
              <w:right w:val="nil"/>
            </w:tcBorders>
            <w:shd w:val="clear" w:color="auto" w:fill="auto"/>
            <w:hideMark/>
          </w:tcPr>
          <w:p w14:paraId="2C00F38F" w14:textId="1626B70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Intelligence and Independent Oversight </w:t>
            </w:r>
          </w:p>
        </w:tc>
      </w:tr>
      <w:tr w:rsidR="00097D8D" w:rsidRPr="00DD1B58" w14:paraId="1A5EA00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91DFAC4" w14:textId="2E5C1C8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NIA </w:t>
            </w:r>
          </w:p>
        </w:tc>
        <w:tc>
          <w:tcPr>
            <w:tcW w:w="7848" w:type="dxa"/>
            <w:tcBorders>
              <w:top w:val="single" w:sz="6" w:space="0" w:color="22413A"/>
              <w:left w:val="single" w:sz="6" w:space="0" w:color="22413A"/>
              <w:bottom w:val="single" w:sz="6" w:space="0" w:color="22413A"/>
              <w:right w:val="nil"/>
            </w:tcBorders>
            <w:shd w:val="clear" w:color="auto" w:fill="auto"/>
            <w:hideMark/>
          </w:tcPr>
          <w:p w14:paraId="2E29F311" w14:textId="6DDDF1A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Installations Act 1965 </w:t>
            </w:r>
          </w:p>
        </w:tc>
      </w:tr>
      <w:tr w:rsidR="00097D8D" w:rsidRPr="00DD1B58" w14:paraId="60EB899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B2EFA80" w14:textId="77ED7B9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NIFPS </w:t>
            </w:r>
          </w:p>
        </w:tc>
        <w:tc>
          <w:tcPr>
            <w:tcW w:w="7848" w:type="dxa"/>
            <w:tcBorders>
              <w:top w:val="single" w:sz="6" w:space="0" w:color="22413A"/>
              <w:left w:val="single" w:sz="6" w:space="0" w:color="22413A"/>
              <w:bottom w:val="single" w:sz="6" w:space="0" w:color="22413A"/>
              <w:right w:val="nil"/>
            </w:tcBorders>
            <w:shd w:val="clear" w:color="auto" w:fill="auto"/>
            <w:hideMark/>
          </w:tcPr>
          <w:p w14:paraId="144CC9EF" w14:textId="6231BDF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Island Protection and Firefighting Water Distribution system  </w:t>
            </w:r>
          </w:p>
        </w:tc>
      </w:tr>
      <w:tr w:rsidR="00097D8D" w:rsidRPr="00DD1B58" w14:paraId="11B352E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70AA021" w14:textId="7F8B0E2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NIFSCC </w:t>
            </w:r>
          </w:p>
        </w:tc>
        <w:tc>
          <w:tcPr>
            <w:tcW w:w="7848" w:type="dxa"/>
            <w:tcBorders>
              <w:top w:val="single" w:sz="6" w:space="0" w:color="22413A"/>
              <w:left w:val="single" w:sz="6" w:space="0" w:color="22413A"/>
              <w:bottom w:val="single" w:sz="6" w:space="0" w:color="22413A"/>
              <w:right w:val="nil"/>
            </w:tcBorders>
            <w:shd w:val="clear" w:color="auto" w:fill="auto"/>
            <w:hideMark/>
          </w:tcPr>
          <w:p w14:paraId="7DADDAE4" w14:textId="161E147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Industry Fire Safety Coordinating Committee  </w:t>
            </w:r>
          </w:p>
        </w:tc>
      </w:tr>
      <w:tr w:rsidR="00097D8D" w:rsidRPr="00DD1B58" w14:paraId="1FB6016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780BF0A" w14:textId="2EC6D70F"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NII </w:t>
            </w:r>
          </w:p>
        </w:tc>
        <w:tc>
          <w:tcPr>
            <w:tcW w:w="7848" w:type="dxa"/>
            <w:tcBorders>
              <w:top w:val="single" w:sz="6" w:space="0" w:color="22413A"/>
              <w:left w:val="single" w:sz="6" w:space="0" w:color="22413A"/>
              <w:bottom w:val="single" w:sz="6" w:space="0" w:color="22413A"/>
              <w:right w:val="nil"/>
            </w:tcBorders>
            <w:shd w:val="clear" w:color="auto" w:fill="auto"/>
            <w:hideMark/>
          </w:tcPr>
          <w:p w14:paraId="112DA8EB" w14:textId="385C6826"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Installations Inspectorate</w:t>
            </w:r>
          </w:p>
        </w:tc>
      </w:tr>
      <w:tr w:rsidR="00097D8D" w:rsidRPr="00DD1B58" w14:paraId="6F24492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45FE76B" w14:textId="37BF7F6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NIST </w:t>
            </w:r>
          </w:p>
        </w:tc>
        <w:tc>
          <w:tcPr>
            <w:tcW w:w="7848" w:type="dxa"/>
            <w:tcBorders>
              <w:top w:val="single" w:sz="6" w:space="0" w:color="22413A"/>
              <w:left w:val="single" w:sz="6" w:space="0" w:color="22413A"/>
              <w:bottom w:val="single" w:sz="6" w:space="0" w:color="22413A"/>
              <w:right w:val="nil"/>
            </w:tcBorders>
            <w:shd w:val="clear" w:color="auto" w:fill="auto"/>
            <w:hideMark/>
          </w:tcPr>
          <w:p w14:paraId="0E3DAD0B" w14:textId="521C8FA1" w:rsidR="00097D8D" w:rsidRPr="00DD1B58" w:rsidRDefault="00D44D3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National Institute for Standards and Technology</w:t>
            </w:r>
          </w:p>
        </w:tc>
      </w:tr>
      <w:tr w:rsidR="00097D8D" w:rsidRPr="00DD1B58" w14:paraId="486E6C1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775852F" w14:textId="44B950C6"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NNB </w:t>
            </w:r>
          </w:p>
        </w:tc>
        <w:tc>
          <w:tcPr>
            <w:tcW w:w="7848" w:type="dxa"/>
            <w:tcBorders>
              <w:top w:val="single" w:sz="6" w:space="0" w:color="22413A"/>
              <w:left w:val="single" w:sz="6" w:space="0" w:color="22413A"/>
              <w:bottom w:val="single" w:sz="6" w:space="0" w:color="22413A"/>
              <w:right w:val="nil"/>
            </w:tcBorders>
            <w:shd w:val="clear" w:color="auto" w:fill="auto"/>
            <w:hideMark/>
          </w:tcPr>
          <w:p w14:paraId="12830BF5" w14:textId="3D1CA0A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New Build </w:t>
            </w:r>
          </w:p>
        </w:tc>
      </w:tr>
      <w:tr w:rsidR="00097D8D" w:rsidRPr="00DD1B58" w14:paraId="190C8AA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BC65B09" w14:textId="086BE81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NNL </w:t>
            </w:r>
          </w:p>
        </w:tc>
        <w:tc>
          <w:tcPr>
            <w:tcW w:w="7848" w:type="dxa"/>
            <w:tcBorders>
              <w:top w:val="single" w:sz="6" w:space="0" w:color="22413A"/>
              <w:left w:val="single" w:sz="6" w:space="0" w:color="22413A"/>
              <w:bottom w:val="single" w:sz="6" w:space="0" w:color="22413A"/>
              <w:right w:val="nil"/>
            </w:tcBorders>
            <w:shd w:val="clear" w:color="auto" w:fill="auto"/>
            <w:hideMark/>
          </w:tcPr>
          <w:p w14:paraId="539F159A" w14:textId="17CDFA1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National Nuclear Laboratory </w:t>
            </w:r>
          </w:p>
        </w:tc>
      </w:tr>
      <w:tr w:rsidR="00097D8D" w:rsidRPr="00DD1B58" w14:paraId="3B08016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A197A80" w14:textId="38537C5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NP </w:t>
            </w:r>
          </w:p>
        </w:tc>
        <w:tc>
          <w:tcPr>
            <w:tcW w:w="7848" w:type="dxa"/>
            <w:tcBorders>
              <w:top w:val="single" w:sz="6" w:space="0" w:color="22413A"/>
              <w:left w:val="single" w:sz="6" w:space="0" w:color="22413A"/>
              <w:bottom w:val="single" w:sz="6" w:space="0" w:color="22413A"/>
              <w:right w:val="nil"/>
            </w:tcBorders>
            <w:shd w:val="clear" w:color="auto" w:fill="auto"/>
            <w:hideMark/>
          </w:tcPr>
          <w:p w14:paraId="4E7D613B" w14:textId="3CFB1FA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Normal plant  </w:t>
            </w:r>
          </w:p>
        </w:tc>
      </w:tr>
      <w:tr w:rsidR="00097D8D" w:rsidRPr="00DD1B58" w14:paraId="243176A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D29C420" w14:textId="7CC62C1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NPP </w:t>
            </w:r>
          </w:p>
        </w:tc>
        <w:tc>
          <w:tcPr>
            <w:tcW w:w="7848" w:type="dxa"/>
            <w:tcBorders>
              <w:top w:val="single" w:sz="6" w:space="0" w:color="22413A"/>
              <w:left w:val="single" w:sz="6" w:space="0" w:color="22413A"/>
              <w:bottom w:val="single" w:sz="6" w:space="0" w:color="22413A"/>
              <w:right w:val="nil"/>
            </w:tcBorders>
            <w:shd w:val="clear" w:color="auto" w:fill="auto"/>
            <w:hideMark/>
          </w:tcPr>
          <w:p w14:paraId="0655C9F5" w14:textId="71D2351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Nuclear Power Plant  </w:t>
            </w:r>
          </w:p>
        </w:tc>
      </w:tr>
      <w:tr w:rsidR="00097D8D" w:rsidRPr="00DD1B58" w14:paraId="0D3B947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A286F1" w14:textId="4E5A91F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NS </w:t>
            </w:r>
          </w:p>
        </w:tc>
        <w:tc>
          <w:tcPr>
            <w:tcW w:w="7848" w:type="dxa"/>
            <w:tcBorders>
              <w:top w:val="single" w:sz="6" w:space="0" w:color="22413A"/>
              <w:left w:val="single" w:sz="6" w:space="0" w:color="22413A"/>
              <w:bottom w:val="single" w:sz="6" w:space="0" w:color="22413A"/>
              <w:right w:val="nil"/>
            </w:tcBorders>
            <w:shd w:val="clear" w:color="auto" w:fill="auto"/>
            <w:hideMark/>
          </w:tcPr>
          <w:p w14:paraId="2E1F98F4" w14:textId="1FCC21EF" w:rsidR="00097D8D" w:rsidRPr="00DD1B58" w:rsidRDefault="00B046B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Safety</w:t>
            </w:r>
          </w:p>
        </w:tc>
      </w:tr>
      <w:tr w:rsidR="00097D8D" w:rsidRPr="00DD1B58" w14:paraId="75E9EA1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BB928A" w14:textId="720BFD7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NSC </w:t>
            </w:r>
          </w:p>
        </w:tc>
        <w:tc>
          <w:tcPr>
            <w:tcW w:w="7848" w:type="dxa"/>
            <w:tcBorders>
              <w:top w:val="single" w:sz="6" w:space="0" w:color="22413A"/>
              <w:left w:val="single" w:sz="6" w:space="0" w:color="22413A"/>
              <w:bottom w:val="single" w:sz="6" w:space="0" w:color="22413A"/>
              <w:right w:val="nil"/>
            </w:tcBorders>
            <w:shd w:val="clear" w:color="auto" w:fill="auto"/>
            <w:hideMark/>
          </w:tcPr>
          <w:p w14:paraId="53F194E5" w14:textId="0135C3F5"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Safety Committee  </w:t>
            </w:r>
          </w:p>
        </w:tc>
      </w:tr>
      <w:tr w:rsidR="00097D8D" w:rsidRPr="00DD1B58" w14:paraId="7068795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9C6201E" w14:textId="02745EE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NSD </w:t>
            </w:r>
          </w:p>
        </w:tc>
        <w:tc>
          <w:tcPr>
            <w:tcW w:w="7848" w:type="dxa"/>
            <w:tcBorders>
              <w:top w:val="single" w:sz="6" w:space="0" w:color="22413A"/>
              <w:left w:val="single" w:sz="6" w:space="0" w:color="22413A"/>
              <w:bottom w:val="single" w:sz="6" w:space="0" w:color="22413A"/>
              <w:right w:val="nil"/>
            </w:tcBorders>
            <w:shd w:val="clear" w:color="auto" w:fill="auto"/>
            <w:hideMark/>
          </w:tcPr>
          <w:p w14:paraId="30CAD55F" w14:textId="3B4793F9" w:rsidR="00097D8D" w:rsidRPr="00DD1B58" w:rsidRDefault="00045B4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Safety Directive</w:t>
            </w:r>
          </w:p>
        </w:tc>
      </w:tr>
      <w:tr w:rsidR="00097D8D" w:rsidRPr="00DD1B58" w14:paraId="15B335C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30525DF" w14:textId="1A03E42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NUREG </w:t>
            </w:r>
          </w:p>
        </w:tc>
        <w:tc>
          <w:tcPr>
            <w:tcW w:w="7848" w:type="dxa"/>
            <w:tcBorders>
              <w:top w:val="single" w:sz="6" w:space="0" w:color="22413A"/>
              <w:left w:val="single" w:sz="6" w:space="0" w:color="22413A"/>
              <w:bottom w:val="single" w:sz="6" w:space="0" w:color="22413A"/>
              <w:right w:val="nil"/>
            </w:tcBorders>
            <w:shd w:val="clear" w:color="auto" w:fill="auto"/>
            <w:hideMark/>
          </w:tcPr>
          <w:p w14:paraId="278ADFAA" w14:textId="3B1C734E" w:rsidR="00097D8D" w:rsidRPr="00DD1B58" w:rsidRDefault="00432B38"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Regulatory Commission Regulation</w:t>
            </w:r>
          </w:p>
        </w:tc>
      </w:tr>
      <w:tr w:rsidR="00097D8D" w:rsidRPr="00DD1B58" w14:paraId="45DF3BC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722F5E7" w14:textId="09A6DE1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NVF </w:t>
            </w:r>
          </w:p>
        </w:tc>
        <w:tc>
          <w:tcPr>
            <w:tcW w:w="7848" w:type="dxa"/>
            <w:tcBorders>
              <w:top w:val="single" w:sz="6" w:space="0" w:color="22413A"/>
              <w:left w:val="single" w:sz="6" w:space="0" w:color="22413A"/>
              <w:bottom w:val="single" w:sz="6" w:space="0" w:color="22413A"/>
              <w:right w:val="nil"/>
            </w:tcBorders>
            <w:shd w:val="clear" w:color="auto" w:fill="auto"/>
            <w:hideMark/>
          </w:tcPr>
          <w:p w14:paraId="334053E5" w14:textId="457AB067" w:rsidR="00097D8D" w:rsidRPr="00DD1B58" w:rsidRDefault="002C7832"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Ventilation Forum</w:t>
            </w:r>
          </w:p>
        </w:tc>
      </w:tr>
      <w:tr w:rsidR="00097D8D" w:rsidRPr="00DD1B58" w14:paraId="54AF098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0514FD" w14:textId="6AEEA1D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OA </w:t>
            </w:r>
          </w:p>
        </w:tc>
        <w:tc>
          <w:tcPr>
            <w:tcW w:w="7848" w:type="dxa"/>
            <w:tcBorders>
              <w:top w:val="single" w:sz="6" w:space="0" w:color="22413A"/>
              <w:left w:val="single" w:sz="6" w:space="0" w:color="22413A"/>
              <w:bottom w:val="single" w:sz="6" w:space="0" w:color="22413A"/>
              <w:right w:val="nil"/>
            </w:tcBorders>
            <w:shd w:val="clear" w:color="auto" w:fill="auto"/>
            <w:hideMark/>
          </w:tcPr>
          <w:p w14:paraId="7E0303A0" w14:textId="5BAEFC8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Operating Assumption  </w:t>
            </w:r>
          </w:p>
        </w:tc>
      </w:tr>
      <w:tr w:rsidR="00097D8D" w:rsidRPr="00DD1B58" w14:paraId="12A4070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A0DA2B6" w14:textId="0C9B752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OE </w:t>
            </w:r>
          </w:p>
        </w:tc>
        <w:tc>
          <w:tcPr>
            <w:tcW w:w="7848" w:type="dxa"/>
            <w:tcBorders>
              <w:top w:val="single" w:sz="6" w:space="0" w:color="22413A"/>
              <w:left w:val="single" w:sz="6" w:space="0" w:color="22413A"/>
              <w:bottom w:val="single" w:sz="6" w:space="0" w:color="22413A"/>
              <w:right w:val="nil"/>
            </w:tcBorders>
            <w:shd w:val="clear" w:color="auto" w:fill="auto"/>
            <w:hideMark/>
          </w:tcPr>
          <w:p w14:paraId="58280711" w14:textId="379B50F2"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 xml:space="preserve">Operational </w:t>
            </w:r>
            <w:r w:rsidR="002C7832" w:rsidRPr="00DD1B58">
              <w:rPr>
                <w:rFonts w:eastAsia="Times New Roman"/>
                <w:color w:val="000000" w:themeColor="text1"/>
                <w:szCs w:val="24"/>
                <w:lang w:val="en-US" w:eastAsia="en-GB" w:bidi="ar-SA"/>
              </w:rPr>
              <w:t>E</w:t>
            </w:r>
            <w:r w:rsidRPr="00DD1B58">
              <w:rPr>
                <w:rFonts w:eastAsia="Times New Roman"/>
                <w:color w:val="000000" w:themeColor="text1"/>
                <w:szCs w:val="24"/>
                <w:lang w:val="en-US" w:eastAsia="en-GB" w:bidi="ar-SA"/>
              </w:rPr>
              <w:t>xperience  </w:t>
            </w:r>
          </w:p>
        </w:tc>
      </w:tr>
      <w:tr w:rsidR="00097D8D" w:rsidRPr="00DD1B58" w14:paraId="679C2C4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AF121B" w14:textId="4331FC1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OECD </w:t>
            </w:r>
          </w:p>
        </w:tc>
        <w:tc>
          <w:tcPr>
            <w:tcW w:w="7848" w:type="dxa"/>
            <w:tcBorders>
              <w:top w:val="single" w:sz="6" w:space="0" w:color="22413A"/>
              <w:left w:val="single" w:sz="6" w:space="0" w:color="22413A"/>
              <w:bottom w:val="single" w:sz="6" w:space="0" w:color="22413A"/>
              <w:right w:val="nil"/>
            </w:tcBorders>
            <w:shd w:val="clear" w:color="auto" w:fill="auto"/>
            <w:hideMark/>
          </w:tcPr>
          <w:p w14:paraId="0C5658DF" w14:textId="5E4CE233"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Organisation for Economic Co-operation and Development </w:t>
            </w:r>
          </w:p>
        </w:tc>
      </w:tr>
      <w:tr w:rsidR="00097D8D" w:rsidRPr="00DD1B58" w14:paraId="72917F0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5C0572" w14:textId="21292AA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OFC </w:t>
            </w:r>
          </w:p>
        </w:tc>
        <w:tc>
          <w:tcPr>
            <w:tcW w:w="7848" w:type="dxa"/>
            <w:tcBorders>
              <w:top w:val="single" w:sz="6" w:space="0" w:color="22413A"/>
              <w:left w:val="single" w:sz="6" w:space="0" w:color="22413A"/>
              <w:bottom w:val="single" w:sz="6" w:space="0" w:color="22413A"/>
              <w:right w:val="nil"/>
            </w:tcBorders>
            <w:shd w:val="clear" w:color="auto" w:fill="auto"/>
            <w:hideMark/>
          </w:tcPr>
          <w:p w14:paraId="7E49DC33" w14:textId="7C84C7F4"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Oxide Fuels Complex  </w:t>
            </w:r>
          </w:p>
        </w:tc>
      </w:tr>
      <w:tr w:rsidR="00097D8D" w:rsidRPr="00DD1B58" w14:paraId="3E27812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2C3C633" w14:textId="43B950F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OHD </w:t>
            </w:r>
          </w:p>
        </w:tc>
        <w:tc>
          <w:tcPr>
            <w:tcW w:w="7848" w:type="dxa"/>
            <w:tcBorders>
              <w:top w:val="single" w:sz="6" w:space="0" w:color="22413A"/>
              <w:left w:val="single" w:sz="6" w:space="0" w:color="22413A"/>
              <w:bottom w:val="single" w:sz="6" w:space="0" w:color="22413A"/>
              <w:right w:val="nil"/>
            </w:tcBorders>
            <w:shd w:val="clear" w:color="auto" w:fill="auto"/>
            <w:hideMark/>
          </w:tcPr>
          <w:p w14:paraId="3B978073" w14:textId="7CB342D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Occupational Health Department </w:t>
            </w:r>
          </w:p>
        </w:tc>
      </w:tr>
      <w:tr w:rsidR="00097D8D" w:rsidRPr="00DD1B58" w14:paraId="2EAF105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C92E361" w14:textId="1110A12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ONR </w:t>
            </w:r>
          </w:p>
        </w:tc>
        <w:tc>
          <w:tcPr>
            <w:tcW w:w="7848" w:type="dxa"/>
            <w:tcBorders>
              <w:top w:val="single" w:sz="6" w:space="0" w:color="22413A"/>
              <w:left w:val="single" w:sz="6" w:space="0" w:color="22413A"/>
              <w:bottom w:val="single" w:sz="6" w:space="0" w:color="22413A"/>
              <w:right w:val="nil"/>
            </w:tcBorders>
            <w:shd w:val="clear" w:color="auto" w:fill="auto"/>
            <w:hideMark/>
          </w:tcPr>
          <w:p w14:paraId="7A29BFC6" w14:textId="1995A43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Office for Nuclear Regulation </w:t>
            </w:r>
          </w:p>
        </w:tc>
      </w:tr>
      <w:tr w:rsidR="00097D8D" w:rsidRPr="00DD1B58" w14:paraId="377C846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D125B08" w14:textId="76FC814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OPEX </w:t>
            </w:r>
          </w:p>
        </w:tc>
        <w:tc>
          <w:tcPr>
            <w:tcW w:w="7848" w:type="dxa"/>
            <w:tcBorders>
              <w:top w:val="single" w:sz="6" w:space="0" w:color="22413A"/>
              <w:left w:val="single" w:sz="6" w:space="0" w:color="22413A"/>
              <w:bottom w:val="single" w:sz="6" w:space="0" w:color="22413A"/>
              <w:right w:val="nil"/>
            </w:tcBorders>
            <w:shd w:val="clear" w:color="auto" w:fill="auto"/>
            <w:hideMark/>
          </w:tcPr>
          <w:p w14:paraId="143B06B2" w14:textId="0C1756F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Operational Experience  </w:t>
            </w:r>
          </w:p>
        </w:tc>
      </w:tr>
      <w:tr w:rsidR="00097D8D" w:rsidRPr="00DD1B58" w14:paraId="659367F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F01D90" w14:textId="77EC720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ORQ </w:t>
            </w:r>
          </w:p>
        </w:tc>
        <w:tc>
          <w:tcPr>
            <w:tcW w:w="7848" w:type="dxa"/>
            <w:tcBorders>
              <w:top w:val="single" w:sz="6" w:space="0" w:color="22413A"/>
              <w:left w:val="single" w:sz="6" w:space="0" w:color="22413A"/>
              <w:bottom w:val="single" w:sz="6" w:space="0" w:color="22413A"/>
              <w:right w:val="nil"/>
            </w:tcBorders>
            <w:shd w:val="clear" w:color="auto" w:fill="auto"/>
            <w:hideMark/>
          </w:tcPr>
          <w:p w14:paraId="1CAAF55B" w14:textId="1268934E" w:rsidR="00097D8D" w:rsidRPr="00DD1B58" w:rsidRDefault="00D017F6"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O</w:t>
            </w:r>
            <w:r w:rsidR="00097D8D" w:rsidRPr="00DD1B58">
              <w:rPr>
                <w:rFonts w:eastAsia="Times New Roman"/>
                <w:color w:val="000000"/>
                <w:szCs w:val="24"/>
                <w:lang w:val="en-US" w:eastAsia="en-GB" w:bidi="ar-SA"/>
              </w:rPr>
              <w:t xml:space="preserve">perating </w:t>
            </w:r>
            <w:r w:rsidRPr="00DD1B58">
              <w:rPr>
                <w:rFonts w:eastAsia="Times New Roman"/>
                <w:color w:val="000000"/>
                <w:szCs w:val="24"/>
                <w:lang w:val="en-US" w:eastAsia="en-GB" w:bidi="ar-SA"/>
              </w:rPr>
              <w:t>R</w:t>
            </w:r>
            <w:r w:rsidR="00097D8D" w:rsidRPr="00DD1B58">
              <w:rPr>
                <w:rFonts w:eastAsia="Times New Roman"/>
                <w:color w:val="000000"/>
                <w:szCs w:val="24"/>
                <w:lang w:val="en-US" w:eastAsia="en-GB" w:bidi="ar-SA"/>
              </w:rPr>
              <w:t>equirement  </w:t>
            </w:r>
          </w:p>
        </w:tc>
      </w:tr>
      <w:tr w:rsidR="00097D8D" w:rsidRPr="00DD1B58" w14:paraId="52A495A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307781E" w14:textId="1D78C2D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PAT </w:t>
            </w:r>
          </w:p>
        </w:tc>
        <w:tc>
          <w:tcPr>
            <w:tcW w:w="7848" w:type="dxa"/>
            <w:tcBorders>
              <w:top w:val="single" w:sz="6" w:space="0" w:color="22413A"/>
              <w:left w:val="single" w:sz="6" w:space="0" w:color="22413A"/>
              <w:bottom w:val="single" w:sz="6" w:space="0" w:color="22413A"/>
              <w:right w:val="nil"/>
            </w:tcBorders>
            <w:shd w:val="clear" w:color="auto" w:fill="auto"/>
            <w:hideMark/>
          </w:tcPr>
          <w:p w14:paraId="3098027F" w14:textId="23FEBA8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Portable Appliance Testing  </w:t>
            </w:r>
          </w:p>
        </w:tc>
      </w:tr>
      <w:tr w:rsidR="00097D8D" w:rsidRPr="00DD1B58" w14:paraId="3F43467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F0F225C" w14:textId="5B9F968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PC  </w:t>
            </w:r>
          </w:p>
        </w:tc>
        <w:tc>
          <w:tcPr>
            <w:tcW w:w="7848" w:type="dxa"/>
            <w:tcBorders>
              <w:top w:val="single" w:sz="6" w:space="0" w:color="22413A"/>
              <w:left w:val="single" w:sz="6" w:space="0" w:color="22413A"/>
              <w:bottom w:val="single" w:sz="6" w:space="0" w:color="22413A"/>
              <w:right w:val="nil"/>
            </w:tcBorders>
            <w:shd w:val="clear" w:color="auto" w:fill="auto"/>
            <w:hideMark/>
          </w:tcPr>
          <w:p w14:paraId="52A5D759" w14:textId="32FDEDA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Personal Computer </w:t>
            </w:r>
          </w:p>
        </w:tc>
      </w:tr>
      <w:tr w:rsidR="00097D8D" w:rsidRPr="00DD1B58" w14:paraId="5AB456A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2F290CF" w14:textId="481E48C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PCM </w:t>
            </w:r>
          </w:p>
        </w:tc>
        <w:tc>
          <w:tcPr>
            <w:tcW w:w="7848" w:type="dxa"/>
            <w:tcBorders>
              <w:top w:val="single" w:sz="6" w:space="0" w:color="22413A"/>
              <w:left w:val="single" w:sz="6" w:space="0" w:color="22413A"/>
              <w:bottom w:val="single" w:sz="6" w:space="0" w:color="22413A"/>
              <w:right w:val="nil"/>
            </w:tcBorders>
            <w:shd w:val="clear" w:color="auto" w:fill="auto"/>
            <w:hideMark/>
          </w:tcPr>
          <w:p w14:paraId="7EA9FF4E" w14:textId="324F767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Plutonium Contaminated Material  </w:t>
            </w:r>
          </w:p>
        </w:tc>
      </w:tr>
      <w:tr w:rsidR="00097D8D" w:rsidRPr="00DD1B58" w14:paraId="63CF1A3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B18AE0F" w14:textId="5BE7F5DC"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PDA </w:t>
            </w:r>
          </w:p>
        </w:tc>
        <w:tc>
          <w:tcPr>
            <w:tcW w:w="7848" w:type="dxa"/>
            <w:tcBorders>
              <w:top w:val="single" w:sz="6" w:space="0" w:color="22413A"/>
              <w:left w:val="single" w:sz="6" w:space="0" w:color="22413A"/>
              <w:bottom w:val="single" w:sz="6" w:space="0" w:color="22413A"/>
              <w:right w:val="nil"/>
            </w:tcBorders>
            <w:shd w:val="clear" w:color="auto" w:fill="auto"/>
            <w:hideMark/>
          </w:tcPr>
          <w:p w14:paraId="7CDA7533" w14:textId="5D15CF4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Pre-Determined Attendance  </w:t>
            </w:r>
          </w:p>
        </w:tc>
      </w:tr>
      <w:tr w:rsidR="00097D8D" w:rsidRPr="00DD1B58" w14:paraId="6E323AE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B2C9C99" w14:textId="5114C3B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PFB </w:t>
            </w:r>
          </w:p>
        </w:tc>
        <w:tc>
          <w:tcPr>
            <w:tcW w:w="7848" w:type="dxa"/>
            <w:tcBorders>
              <w:top w:val="single" w:sz="6" w:space="0" w:color="22413A"/>
              <w:left w:val="single" w:sz="6" w:space="0" w:color="22413A"/>
              <w:bottom w:val="single" w:sz="6" w:space="0" w:color="22413A"/>
              <w:right w:val="nil"/>
            </w:tcBorders>
            <w:shd w:val="clear" w:color="auto" w:fill="auto"/>
            <w:hideMark/>
          </w:tcPr>
          <w:p w14:paraId="19806869" w14:textId="44FA3BA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Principal Fire Barrier  </w:t>
            </w:r>
          </w:p>
        </w:tc>
      </w:tr>
      <w:tr w:rsidR="00097D8D" w:rsidRPr="00DD1B58" w14:paraId="15CD125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0B1ABF" w14:textId="16C87FA1"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PFG </w:t>
            </w:r>
          </w:p>
        </w:tc>
        <w:tc>
          <w:tcPr>
            <w:tcW w:w="7848" w:type="dxa"/>
            <w:tcBorders>
              <w:top w:val="single" w:sz="6" w:space="0" w:color="22413A"/>
              <w:left w:val="single" w:sz="6" w:space="0" w:color="22413A"/>
              <w:bottom w:val="single" w:sz="6" w:space="0" w:color="22413A"/>
              <w:right w:val="nil"/>
            </w:tcBorders>
            <w:shd w:val="clear" w:color="auto" w:fill="auto"/>
            <w:hideMark/>
          </w:tcPr>
          <w:p w14:paraId="7D0DCF0D" w14:textId="38482C6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Possibility of a Generalised Fire </w:t>
            </w:r>
          </w:p>
        </w:tc>
      </w:tr>
      <w:tr w:rsidR="00097D8D" w:rsidRPr="00DD1B58" w14:paraId="66E6303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74688AC" w14:textId="022E46A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PFL </w:t>
            </w:r>
          </w:p>
        </w:tc>
        <w:tc>
          <w:tcPr>
            <w:tcW w:w="7848" w:type="dxa"/>
            <w:tcBorders>
              <w:top w:val="single" w:sz="6" w:space="0" w:color="22413A"/>
              <w:left w:val="single" w:sz="6" w:space="0" w:color="22413A"/>
              <w:bottom w:val="single" w:sz="6" w:space="0" w:color="22413A"/>
              <w:right w:val="nil"/>
            </w:tcBorders>
            <w:shd w:val="clear" w:color="auto" w:fill="auto"/>
            <w:hideMark/>
          </w:tcPr>
          <w:p w14:paraId="67F6173B" w14:textId="11BCB715"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Possibility of a Localised Fire </w:t>
            </w:r>
          </w:p>
        </w:tc>
      </w:tr>
      <w:tr w:rsidR="00097D8D" w:rsidRPr="00DD1B58" w14:paraId="270A8A4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7D56D07" w14:textId="2E41DD8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PFR </w:t>
            </w:r>
          </w:p>
        </w:tc>
        <w:tc>
          <w:tcPr>
            <w:tcW w:w="7848" w:type="dxa"/>
            <w:tcBorders>
              <w:top w:val="single" w:sz="6" w:space="0" w:color="22413A"/>
              <w:left w:val="single" w:sz="6" w:space="0" w:color="22413A"/>
              <w:bottom w:val="single" w:sz="6" w:space="0" w:color="22413A"/>
              <w:right w:val="nil"/>
            </w:tcBorders>
            <w:shd w:val="clear" w:color="auto" w:fill="auto"/>
            <w:hideMark/>
          </w:tcPr>
          <w:p w14:paraId="41C4695A" w14:textId="7B569A5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Prototype Fast Reactor  </w:t>
            </w:r>
          </w:p>
        </w:tc>
      </w:tr>
      <w:tr w:rsidR="00097D8D" w:rsidRPr="00DD1B58" w14:paraId="1189653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A684EF6" w14:textId="02F0BA17"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PFSP </w:t>
            </w:r>
          </w:p>
        </w:tc>
        <w:tc>
          <w:tcPr>
            <w:tcW w:w="7848" w:type="dxa"/>
            <w:tcBorders>
              <w:top w:val="single" w:sz="6" w:space="0" w:color="22413A"/>
              <w:left w:val="single" w:sz="6" w:space="0" w:color="22413A"/>
              <w:bottom w:val="single" w:sz="6" w:space="0" w:color="22413A"/>
              <w:right w:val="nil"/>
            </w:tcBorders>
            <w:shd w:val="clear" w:color="auto" w:fill="auto"/>
            <w:hideMark/>
          </w:tcPr>
          <w:p w14:paraId="6EAA2CE6" w14:textId="705BF55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Pile Fuel Storage Pond </w:t>
            </w:r>
          </w:p>
        </w:tc>
      </w:tr>
      <w:tr w:rsidR="00097D8D" w:rsidRPr="00DD1B58" w14:paraId="4EC95AE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C7F8B3" w14:textId="573F8ADD"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PHAST </w:t>
            </w:r>
          </w:p>
        </w:tc>
        <w:tc>
          <w:tcPr>
            <w:tcW w:w="7848" w:type="dxa"/>
            <w:tcBorders>
              <w:top w:val="single" w:sz="6" w:space="0" w:color="22413A"/>
              <w:left w:val="single" w:sz="6" w:space="0" w:color="22413A"/>
              <w:bottom w:val="single" w:sz="6" w:space="0" w:color="22413A"/>
              <w:right w:val="nil"/>
            </w:tcBorders>
            <w:shd w:val="clear" w:color="auto" w:fill="auto"/>
            <w:hideMark/>
          </w:tcPr>
          <w:p w14:paraId="239CBB47" w14:textId="74741FA2"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Process Hazard Analysis Software Tool </w:t>
            </w:r>
          </w:p>
        </w:tc>
      </w:tr>
      <w:tr w:rsidR="00097D8D" w:rsidRPr="00DD1B58" w14:paraId="50DAAAB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DB0132D" w14:textId="1C7400F0"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PIE </w:t>
            </w:r>
          </w:p>
        </w:tc>
        <w:tc>
          <w:tcPr>
            <w:tcW w:w="7848" w:type="dxa"/>
            <w:tcBorders>
              <w:top w:val="single" w:sz="6" w:space="0" w:color="22413A"/>
              <w:left w:val="single" w:sz="6" w:space="0" w:color="22413A"/>
              <w:bottom w:val="single" w:sz="6" w:space="0" w:color="22413A"/>
              <w:right w:val="nil"/>
            </w:tcBorders>
            <w:shd w:val="clear" w:color="auto" w:fill="auto"/>
            <w:hideMark/>
          </w:tcPr>
          <w:p w14:paraId="06DC69FC" w14:textId="27DED5C5" w:rsidR="00097D8D" w:rsidRPr="00DD1B58" w:rsidRDefault="00BB56C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Post-irradiation Examination</w:t>
            </w:r>
          </w:p>
        </w:tc>
      </w:tr>
      <w:tr w:rsidR="00097D8D" w:rsidRPr="00DD1B58" w14:paraId="1BB65F8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FD3CA80" w14:textId="29D7FFE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PLSF </w:t>
            </w:r>
          </w:p>
        </w:tc>
        <w:tc>
          <w:tcPr>
            <w:tcW w:w="7848" w:type="dxa"/>
            <w:tcBorders>
              <w:top w:val="single" w:sz="6" w:space="0" w:color="22413A"/>
              <w:left w:val="single" w:sz="6" w:space="0" w:color="22413A"/>
              <w:bottom w:val="single" w:sz="6" w:space="0" w:color="22413A"/>
              <w:right w:val="nil"/>
            </w:tcBorders>
            <w:shd w:val="clear" w:color="auto" w:fill="auto"/>
            <w:hideMark/>
          </w:tcPr>
          <w:p w14:paraId="2B0C8E28" w14:textId="4DB02B6E"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Plant Level Safety Functions  </w:t>
            </w:r>
          </w:p>
        </w:tc>
      </w:tr>
      <w:tr w:rsidR="00097D8D" w:rsidRPr="00DD1B58" w14:paraId="463E934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7BDDCA" w14:textId="1F12896E"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PMP </w:t>
            </w:r>
          </w:p>
        </w:tc>
        <w:tc>
          <w:tcPr>
            <w:tcW w:w="7848" w:type="dxa"/>
            <w:tcBorders>
              <w:top w:val="single" w:sz="6" w:space="0" w:color="22413A"/>
              <w:left w:val="single" w:sz="6" w:space="0" w:color="22413A"/>
              <w:bottom w:val="single" w:sz="6" w:space="0" w:color="22413A"/>
              <w:right w:val="nil"/>
            </w:tcBorders>
            <w:shd w:val="clear" w:color="auto" w:fill="auto"/>
            <w:hideMark/>
          </w:tcPr>
          <w:p w14:paraId="30F8721D" w14:textId="14854E10"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Plant Modification Procedure  </w:t>
            </w:r>
          </w:p>
        </w:tc>
      </w:tr>
      <w:tr w:rsidR="00097D8D" w:rsidRPr="00DD1B58" w14:paraId="739F60F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A61031" w14:textId="4649F52F"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PMS </w:t>
            </w:r>
          </w:p>
        </w:tc>
        <w:tc>
          <w:tcPr>
            <w:tcW w:w="7848" w:type="dxa"/>
            <w:tcBorders>
              <w:top w:val="single" w:sz="6" w:space="0" w:color="22413A"/>
              <w:left w:val="single" w:sz="6" w:space="0" w:color="22413A"/>
              <w:bottom w:val="single" w:sz="6" w:space="0" w:color="22413A"/>
              <w:right w:val="nil"/>
            </w:tcBorders>
            <w:shd w:val="clear" w:color="auto" w:fill="auto"/>
            <w:hideMark/>
          </w:tcPr>
          <w:p w14:paraId="22C8277B" w14:textId="6855E890" w:rsidR="00097D8D" w:rsidRPr="00DD1B58" w:rsidRDefault="00097D8D"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Plant Maintenance Schedule  </w:t>
            </w:r>
          </w:p>
        </w:tc>
      </w:tr>
      <w:tr w:rsidR="00097D8D" w:rsidRPr="00DD1B58" w14:paraId="78153AA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456CD6D" w14:textId="06BCA23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PO&amp;C </w:t>
            </w:r>
          </w:p>
        </w:tc>
        <w:tc>
          <w:tcPr>
            <w:tcW w:w="7848" w:type="dxa"/>
            <w:tcBorders>
              <w:top w:val="single" w:sz="6" w:space="0" w:color="22413A"/>
              <w:left w:val="single" w:sz="6" w:space="0" w:color="22413A"/>
              <w:bottom w:val="single" w:sz="6" w:space="0" w:color="22413A"/>
              <w:right w:val="nil"/>
            </w:tcBorders>
            <w:shd w:val="clear" w:color="auto" w:fill="auto"/>
            <w:hideMark/>
          </w:tcPr>
          <w:p w14:paraId="51139A59" w14:textId="7A2C33B1" w:rsidR="00097D8D" w:rsidRPr="00DD1B58" w:rsidRDefault="005322C7"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Performance Objectives and Criteria</w:t>
            </w:r>
          </w:p>
        </w:tc>
      </w:tr>
      <w:tr w:rsidR="00097D8D" w:rsidRPr="00DD1B58" w14:paraId="220A98A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178B95D" w14:textId="42D125F4"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POCO </w:t>
            </w:r>
          </w:p>
        </w:tc>
        <w:tc>
          <w:tcPr>
            <w:tcW w:w="7848" w:type="dxa"/>
            <w:tcBorders>
              <w:top w:val="single" w:sz="6" w:space="0" w:color="22413A"/>
              <w:left w:val="single" w:sz="6" w:space="0" w:color="22413A"/>
              <w:bottom w:val="single" w:sz="6" w:space="0" w:color="22413A"/>
              <w:right w:val="nil"/>
            </w:tcBorders>
            <w:shd w:val="clear" w:color="auto" w:fill="auto"/>
            <w:hideMark/>
          </w:tcPr>
          <w:p w14:paraId="6F6C1FBD" w14:textId="555399B6" w:rsidR="00097D8D" w:rsidRPr="00DD1B58" w:rsidRDefault="00AF4838"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w:t>
            </w:r>
            <w:r w:rsidR="00097D8D" w:rsidRPr="00DD1B58">
              <w:rPr>
                <w:rFonts w:eastAsia="Times New Roman"/>
                <w:color w:val="000000"/>
                <w:szCs w:val="24"/>
                <w:lang w:val="en-US" w:eastAsia="en-GB" w:bidi="ar-SA"/>
              </w:rPr>
              <w:t xml:space="preserve">ost </w:t>
            </w:r>
            <w:r w:rsidRPr="00DD1B58">
              <w:rPr>
                <w:rFonts w:eastAsia="Times New Roman"/>
                <w:color w:val="000000"/>
                <w:szCs w:val="24"/>
                <w:lang w:val="en-US" w:eastAsia="en-GB" w:bidi="ar-SA"/>
              </w:rPr>
              <w:t>O</w:t>
            </w:r>
            <w:r w:rsidR="00097D8D" w:rsidRPr="00DD1B58">
              <w:rPr>
                <w:rFonts w:eastAsia="Times New Roman"/>
                <w:color w:val="000000"/>
                <w:szCs w:val="24"/>
                <w:lang w:val="en-US" w:eastAsia="en-GB" w:bidi="ar-SA"/>
              </w:rPr>
              <w:t xml:space="preserve">perational </w:t>
            </w:r>
            <w:r w:rsidRPr="00DD1B58">
              <w:rPr>
                <w:rFonts w:eastAsia="Times New Roman"/>
                <w:color w:val="000000"/>
                <w:szCs w:val="24"/>
                <w:lang w:val="en-US" w:eastAsia="en-GB" w:bidi="ar-SA"/>
              </w:rPr>
              <w:t>C</w:t>
            </w:r>
            <w:r w:rsidR="00097D8D" w:rsidRPr="00DD1B58">
              <w:rPr>
                <w:rFonts w:eastAsia="Times New Roman"/>
                <w:color w:val="000000"/>
                <w:szCs w:val="24"/>
                <w:lang w:val="en-US" w:eastAsia="en-GB" w:bidi="ar-SA"/>
              </w:rPr>
              <w:t xml:space="preserve">lean </w:t>
            </w:r>
            <w:r w:rsidRPr="00DD1B58">
              <w:rPr>
                <w:rFonts w:eastAsia="Times New Roman"/>
                <w:color w:val="000000"/>
                <w:szCs w:val="24"/>
                <w:lang w:val="en-US" w:eastAsia="en-GB" w:bidi="ar-SA"/>
              </w:rPr>
              <w:t>O</w:t>
            </w:r>
            <w:r w:rsidR="00097D8D" w:rsidRPr="00DD1B58">
              <w:rPr>
                <w:rFonts w:eastAsia="Times New Roman"/>
                <w:color w:val="000000"/>
                <w:szCs w:val="24"/>
                <w:lang w:val="en-US" w:eastAsia="en-GB" w:bidi="ar-SA"/>
              </w:rPr>
              <w:t>ut  </w:t>
            </w:r>
          </w:p>
        </w:tc>
      </w:tr>
      <w:tr w:rsidR="00097D8D" w:rsidRPr="00DD1B58" w14:paraId="20A5686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B8E6C2D" w14:textId="075012EB"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PPE </w:t>
            </w:r>
          </w:p>
        </w:tc>
        <w:tc>
          <w:tcPr>
            <w:tcW w:w="7848" w:type="dxa"/>
            <w:tcBorders>
              <w:top w:val="single" w:sz="6" w:space="0" w:color="22413A"/>
              <w:left w:val="single" w:sz="6" w:space="0" w:color="22413A"/>
              <w:bottom w:val="single" w:sz="6" w:space="0" w:color="22413A"/>
              <w:right w:val="nil"/>
            </w:tcBorders>
            <w:shd w:val="clear" w:color="auto" w:fill="auto"/>
            <w:hideMark/>
          </w:tcPr>
          <w:p w14:paraId="71D8AE58" w14:textId="5D04873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Personal Protective Equipment  </w:t>
            </w:r>
          </w:p>
        </w:tc>
      </w:tr>
      <w:tr w:rsidR="00097D8D" w:rsidRPr="00DD1B58" w14:paraId="48B66A6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A3B3DB" w14:textId="137F839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PPEF </w:t>
            </w:r>
          </w:p>
        </w:tc>
        <w:tc>
          <w:tcPr>
            <w:tcW w:w="7848" w:type="dxa"/>
            <w:tcBorders>
              <w:top w:val="single" w:sz="6" w:space="0" w:color="22413A"/>
              <w:left w:val="single" w:sz="6" w:space="0" w:color="22413A"/>
              <w:bottom w:val="single" w:sz="6" w:space="0" w:color="22413A"/>
              <w:right w:val="nil"/>
            </w:tcBorders>
            <w:shd w:val="clear" w:color="auto" w:fill="auto"/>
            <w:hideMark/>
          </w:tcPr>
          <w:p w14:paraId="17378A04" w14:textId="253FA399"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Powder and Pellet Export Facility  </w:t>
            </w:r>
          </w:p>
        </w:tc>
      </w:tr>
      <w:tr w:rsidR="00097D8D" w:rsidRPr="00DD1B58" w14:paraId="18AE8A1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91DF9E5" w14:textId="25DCC833"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PPP </w:t>
            </w:r>
          </w:p>
        </w:tc>
        <w:tc>
          <w:tcPr>
            <w:tcW w:w="7848" w:type="dxa"/>
            <w:tcBorders>
              <w:top w:val="single" w:sz="6" w:space="0" w:color="22413A"/>
              <w:left w:val="single" w:sz="6" w:space="0" w:color="22413A"/>
              <w:bottom w:val="single" w:sz="6" w:space="0" w:color="22413A"/>
              <w:right w:val="nil"/>
            </w:tcBorders>
            <w:shd w:val="clear" w:color="auto" w:fill="auto"/>
            <w:hideMark/>
          </w:tcPr>
          <w:p w14:paraId="2E088A4D" w14:textId="32D56C4A" w:rsidR="00097D8D" w:rsidRPr="00DD1B58" w:rsidRDefault="00097D8D"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Programme Project Partners  </w:t>
            </w:r>
          </w:p>
        </w:tc>
      </w:tr>
      <w:tr w:rsidR="002C1A1B" w:rsidRPr="004A7507" w14:paraId="708E345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AF426DC" w14:textId="23DC198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PRISME </w:t>
            </w:r>
          </w:p>
        </w:tc>
        <w:tc>
          <w:tcPr>
            <w:tcW w:w="7848" w:type="dxa"/>
            <w:tcBorders>
              <w:top w:val="single" w:sz="6" w:space="0" w:color="22413A"/>
              <w:left w:val="single" w:sz="6" w:space="0" w:color="22413A"/>
              <w:bottom w:val="single" w:sz="6" w:space="0" w:color="22413A"/>
              <w:right w:val="nil"/>
            </w:tcBorders>
            <w:shd w:val="clear" w:color="auto" w:fill="auto"/>
            <w:hideMark/>
          </w:tcPr>
          <w:p w14:paraId="0383C0F5" w14:textId="571E7AA7" w:rsidR="002C1A1B" w:rsidRPr="004A7507" w:rsidRDefault="002C1A1B" w:rsidP="00DD712B">
            <w:pPr>
              <w:spacing w:after="0" w:line="240" w:lineRule="auto"/>
              <w:textAlignment w:val="baseline"/>
              <w:rPr>
                <w:rFonts w:ascii="Segoe UI" w:eastAsia="Times New Roman" w:hAnsi="Segoe UI" w:cs="Segoe UI"/>
                <w:sz w:val="18"/>
                <w:szCs w:val="18"/>
                <w:lang w:val="fr-FR" w:eastAsia="en-GB" w:bidi="ar-SA"/>
              </w:rPr>
            </w:pPr>
            <w:r w:rsidRPr="004A7507">
              <w:rPr>
                <w:rFonts w:eastAsia="Times New Roman"/>
                <w:color w:val="000000"/>
                <w:szCs w:val="24"/>
                <w:lang w:val="fr-FR" w:eastAsia="en-GB" w:bidi="ar-SA"/>
              </w:rPr>
              <w:t>Propagation d’un incendie pour des scénarios multi-locaux élémentaires (fire propagation in elementary, multi-room scenarios) </w:t>
            </w:r>
          </w:p>
        </w:tc>
      </w:tr>
      <w:tr w:rsidR="002C1A1B" w:rsidRPr="00DD1B58" w14:paraId="14E4428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A7BF149" w14:textId="0D8DE0F0"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PSA </w:t>
            </w:r>
          </w:p>
        </w:tc>
        <w:tc>
          <w:tcPr>
            <w:tcW w:w="7848" w:type="dxa"/>
            <w:tcBorders>
              <w:top w:val="single" w:sz="6" w:space="0" w:color="22413A"/>
              <w:left w:val="single" w:sz="6" w:space="0" w:color="22413A"/>
              <w:bottom w:val="single" w:sz="6" w:space="0" w:color="22413A"/>
              <w:right w:val="nil"/>
            </w:tcBorders>
            <w:shd w:val="clear" w:color="auto" w:fill="auto"/>
            <w:hideMark/>
          </w:tcPr>
          <w:p w14:paraId="1FE4502B" w14:textId="5D74F33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Probabilistic Safety Assessment </w:t>
            </w:r>
          </w:p>
        </w:tc>
      </w:tr>
      <w:tr w:rsidR="002C1A1B" w:rsidRPr="00DD1B58" w14:paraId="4614E16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3D85A9C" w14:textId="216D592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PSR </w:t>
            </w:r>
          </w:p>
        </w:tc>
        <w:tc>
          <w:tcPr>
            <w:tcW w:w="7848" w:type="dxa"/>
            <w:tcBorders>
              <w:top w:val="single" w:sz="6" w:space="0" w:color="22413A"/>
              <w:left w:val="single" w:sz="6" w:space="0" w:color="22413A"/>
              <w:bottom w:val="single" w:sz="6" w:space="0" w:color="22413A"/>
              <w:right w:val="nil"/>
            </w:tcBorders>
            <w:shd w:val="clear" w:color="auto" w:fill="auto"/>
            <w:hideMark/>
          </w:tcPr>
          <w:p w14:paraId="6E18BCEE" w14:textId="00C38FAA"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Preliminary / Periodic Safety Report  </w:t>
            </w:r>
          </w:p>
        </w:tc>
      </w:tr>
      <w:tr w:rsidR="002C1A1B" w:rsidRPr="00DD1B58" w14:paraId="21064D3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A174E3C" w14:textId="52D4B6EF"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PVCS </w:t>
            </w:r>
          </w:p>
        </w:tc>
        <w:tc>
          <w:tcPr>
            <w:tcW w:w="7848" w:type="dxa"/>
            <w:tcBorders>
              <w:top w:val="single" w:sz="6" w:space="0" w:color="22413A"/>
              <w:left w:val="single" w:sz="6" w:space="0" w:color="22413A"/>
              <w:bottom w:val="single" w:sz="6" w:space="0" w:color="22413A"/>
              <w:right w:val="nil"/>
            </w:tcBorders>
            <w:shd w:val="clear" w:color="auto" w:fill="auto"/>
            <w:hideMark/>
          </w:tcPr>
          <w:p w14:paraId="5B212145" w14:textId="53DE7853" w:rsidR="002C1A1B" w:rsidRPr="00DD1B58" w:rsidRDefault="00A25975"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Pressure Vessel Cooling. System</w:t>
            </w:r>
          </w:p>
        </w:tc>
      </w:tr>
      <w:tr w:rsidR="002C1A1B" w:rsidRPr="00DD1B58" w14:paraId="67FC55E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9CD78E6" w14:textId="5638272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PVCW </w:t>
            </w:r>
          </w:p>
        </w:tc>
        <w:tc>
          <w:tcPr>
            <w:tcW w:w="7848" w:type="dxa"/>
            <w:tcBorders>
              <w:top w:val="single" w:sz="6" w:space="0" w:color="22413A"/>
              <w:left w:val="single" w:sz="6" w:space="0" w:color="22413A"/>
              <w:bottom w:val="single" w:sz="6" w:space="0" w:color="22413A"/>
              <w:right w:val="nil"/>
            </w:tcBorders>
            <w:shd w:val="clear" w:color="auto" w:fill="auto"/>
            <w:hideMark/>
          </w:tcPr>
          <w:p w14:paraId="2AA3C654" w14:textId="1554730F"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Pressure Vessel Cooling Water  </w:t>
            </w:r>
          </w:p>
        </w:tc>
      </w:tr>
      <w:tr w:rsidR="002C1A1B" w:rsidRPr="00DD1B58" w14:paraId="1C23C47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77C958" w14:textId="698D604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PWR </w:t>
            </w:r>
          </w:p>
        </w:tc>
        <w:tc>
          <w:tcPr>
            <w:tcW w:w="7848" w:type="dxa"/>
            <w:tcBorders>
              <w:top w:val="single" w:sz="6" w:space="0" w:color="22413A"/>
              <w:left w:val="single" w:sz="6" w:space="0" w:color="22413A"/>
              <w:bottom w:val="single" w:sz="6" w:space="0" w:color="22413A"/>
              <w:right w:val="nil"/>
            </w:tcBorders>
            <w:shd w:val="clear" w:color="auto" w:fill="auto"/>
            <w:hideMark/>
          </w:tcPr>
          <w:p w14:paraId="4C7413AD" w14:textId="54F75AAF"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Pressurised Water Reactor  </w:t>
            </w:r>
          </w:p>
        </w:tc>
      </w:tr>
      <w:tr w:rsidR="002C1A1B" w:rsidRPr="00DD1B58" w14:paraId="15405DA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334E34C" w14:textId="609CE77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QA </w:t>
            </w:r>
          </w:p>
        </w:tc>
        <w:tc>
          <w:tcPr>
            <w:tcW w:w="7848" w:type="dxa"/>
            <w:tcBorders>
              <w:top w:val="single" w:sz="6" w:space="0" w:color="22413A"/>
              <w:left w:val="single" w:sz="6" w:space="0" w:color="22413A"/>
              <w:bottom w:val="single" w:sz="6" w:space="0" w:color="22413A"/>
              <w:right w:val="nil"/>
            </w:tcBorders>
            <w:shd w:val="clear" w:color="auto" w:fill="auto"/>
            <w:hideMark/>
          </w:tcPr>
          <w:p w14:paraId="3F009AD3" w14:textId="7A5F63EE"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Quality Assurance </w:t>
            </w:r>
          </w:p>
        </w:tc>
      </w:tr>
      <w:tr w:rsidR="002C1A1B" w:rsidRPr="00DD1B58" w14:paraId="1A3D742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141577" w14:textId="3C3E8AC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RAG </w:t>
            </w:r>
          </w:p>
        </w:tc>
        <w:tc>
          <w:tcPr>
            <w:tcW w:w="7848" w:type="dxa"/>
            <w:tcBorders>
              <w:top w:val="single" w:sz="6" w:space="0" w:color="22413A"/>
              <w:left w:val="single" w:sz="6" w:space="0" w:color="22413A"/>
              <w:bottom w:val="single" w:sz="6" w:space="0" w:color="22413A"/>
              <w:right w:val="nil"/>
            </w:tcBorders>
            <w:shd w:val="clear" w:color="auto" w:fill="auto"/>
            <w:hideMark/>
          </w:tcPr>
          <w:p w14:paraId="5B8862A6" w14:textId="4A536AD2"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Red Amber Green </w:t>
            </w:r>
          </w:p>
        </w:tc>
      </w:tr>
      <w:tr w:rsidR="002C1A1B" w:rsidRPr="00DD1B58" w14:paraId="59E58EE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9D49E4" w14:textId="30D9333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RB </w:t>
            </w:r>
          </w:p>
        </w:tc>
        <w:tc>
          <w:tcPr>
            <w:tcW w:w="7848" w:type="dxa"/>
            <w:tcBorders>
              <w:top w:val="single" w:sz="6" w:space="0" w:color="22413A"/>
              <w:left w:val="single" w:sz="6" w:space="0" w:color="22413A"/>
              <w:bottom w:val="single" w:sz="6" w:space="0" w:color="22413A"/>
              <w:right w:val="nil"/>
            </w:tcBorders>
            <w:shd w:val="clear" w:color="auto" w:fill="auto"/>
            <w:hideMark/>
          </w:tcPr>
          <w:p w14:paraId="27288E3D" w14:textId="0721155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Reactor Building </w:t>
            </w:r>
          </w:p>
        </w:tc>
      </w:tr>
      <w:tr w:rsidR="002C1A1B" w:rsidRPr="00DD1B58" w14:paraId="0F03D1D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A81E77" w14:textId="27A6C93E"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RC </w:t>
            </w:r>
          </w:p>
        </w:tc>
        <w:tc>
          <w:tcPr>
            <w:tcW w:w="7848" w:type="dxa"/>
            <w:tcBorders>
              <w:top w:val="single" w:sz="6" w:space="0" w:color="22413A"/>
              <w:left w:val="single" w:sz="6" w:space="0" w:color="22413A"/>
              <w:bottom w:val="single" w:sz="6" w:space="0" w:color="22413A"/>
              <w:right w:val="nil"/>
            </w:tcBorders>
            <w:shd w:val="clear" w:color="auto" w:fill="auto"/>
            <w:hideMark/>
          </w:tcPr>
          <w:p w14:paraId="0AA5A050" w14:textId="2A6A44F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Reference Configuration  </w:t>
            </w:r>
          </w:p>
        </w:tc>
      </w:tr>
      <w:tr w:rsidR="002C1A1B" w:rsidRPr="00DD1B58" w14:paraId="2DFB71B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94ED9C" w14:textId="4112488A"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RCA </w:t>
            </w:r>
          </w:p>
        </w:tc>
        <w:tc>
          <w:tcPr>
            <w:tcW w:w="7848" w:type="dxa"/>
            <w:tcBorders>
              <w:top w:val="single" w:sz="6" w:space="0" w:color="22413A"/>
              <w:left w:val="single" w:sz="6" w:space="0" w:color="22413A"/>
              <w:bottom w:val="single" w:sz="6" w:space="0" w:color="22413A"/>
              <w:right w:val="nil"/>
            </w:tcBorders>
            <w:shd w:val="clear" w:color="auto" w:fill="auto"/>
            <w:hideMark/>
          </w:tcPr>
          <w:p w14:paraId="0C6C335F" w14:textId="66A7AE30"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Radiological Controlled Area  </w:t>
            </w:r>
          </w:p>
        </w:tc>
      </w:tr>
      <w:tr w:rsidR="002C1A1B" w:rsidRPr="00DD1B58" w14:paraId="38B5485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24762A3" w14:textId="67A93C13"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RCD </w:t>
            </w:r>
          </w:p>
        </w:tc>
        <w:tc>
          <w:tcPr>
            <w:tcW w:w="7848" w:type="dxa"/>
            <w:tcBorders>
              <w:top w:val="single" w:sz="6" w:space="0" w:color="22413A"/>
              <w:left w:val="single" w:sz="6" w:space="0" w:color="22413A"/>
              <w:bottom w:val="single" w:sz="6" w:space="0" w:color="22413A"/>
              <w:right w:val="nil"/>
            </w:tcBorders>
            <w:shd w:val="clear" w:color="auto" w:fill="auto"/>
            <w:hideMark/>
          </w:tcPr>
          <w:p w14:paraId="279FCE2C" w14:textId="06BD67CC" w:rsidR="002C1A1B" w:rsidRPr="00DD1B58" w:rsidRDefault="00F0695A"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Residual Current Device</w:t>
            </w:r>
          </w:p>
        </w:tc>
      </w:tr>
      <w:tr w:rsidR="002C1A1B" w:rsidRPr="00DD1B58" w14:paraId="405926D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67FBA9E" w14:textId="6706DEB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REDE </w:t>
            </w:r>
          </w:p>
        </w:tc>
        <w:tc>
          <w:tcPr>
            <w:tcW w:w="7848" w:type="dxa"/>
            <w:tcBorders>
              <w:top w:val="single" w:sz="6" w:space="0" w:color="22413A"/>
              <w:left w:val="single" w:sz="6" w:space="0" w:color="22413A"/>
              <w:bottom w:val="single" w:sz="6" w:space="0" w:color="22413A"/>
              <w:right w:val="nil"/>
            </w:tcBorders>
            <w:shd w:val="clear" w:color="auto" w:fill="auto"/>
            <w:hideMark/>
          </w:tcPr>
          <w:p w14:paraId="5D271B8F" w14:textId="4D7EBC62"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Regulatory Evaluated Demonstration Exercise  </w:t>
            </w:r>
          </w:p>
        </w:tc>
      </w:tr>
      <w:tr w:rsidR="002C1A1B" w:rsidRPr="00DD1B58" w14:paraId="340188F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7333961" w14:textId="42FCD0BA"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REPPIR </w:t>
            </w:r>
          </w:p>
        </w:tc>
        <w:tc>
          <w:tcPr>
            <w:tcW w:w="7848" w:type="dxa"/>
            <w:tcBorders>
              <w:top w:val="single" w:sz="6" w:space="0" w:color="22413A"/>
              <w:left w:val="single" w:sz="6" w:space="0" w:color="22413A"/>
              <w:bottom w:val="single" w:sz="6" w:space="0" w:color="22413A"/>
              <w:right w:val="nil"/>
            </w:tcBorders>
            <w:shd w:val="clear" w:color="auto" w:fill="auto"/>
            <w:hideMark/>
          </w:tcPr>
          <w:p w14:paraId="432D1814" w14:textId="770B15F7"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Radiation (Emergency Preparedness and Public Information) Regulations 2019 </w:t>
            </w:r>
          </w:p>
        </w:tc>
      </w:tr>
      <w:tr w:rsidR="002C1A1B" w:rsidRPr="00DD1B58" w14:paraId="0955030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EF3894" w14:textId="3B0E070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RFDB </w:t>
            </w:r>
          </w:p>
        </w:tc>
        <w:tc>
          <w:tcPr>
            <w:tcW w:w="7848" w:type="dxa"/>
            <w:tcBorders>
              <w:top w:val="single" w:sz="6" w:space="0" w:color="22413A"/>
              <w:left w:val="single" w:sz="6" w:space="0" w:color="22413A"/>
              <w:bottom w:val="single" w:sz="6" w:space="0" w:color="22413A"/>
              <w:right w:val="nil"/>
            </w:tcBorders>
            <w:shd w:val="clear" w:color="auto" w:fill="auto"/>
            <w:hideMark/>
          </w:tcPr>
          <w:p w14:paraId="295A53FE" w14:textId="56AA5D76"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Release Fraction Database  </w:t>
            </w:r>
          </w:p>
        </w:tc>
      </w:tr>
      <w:tr w:rsidR="002C1A1B" w:rsidRPr="00DD1B58" w14:paraId="0511530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D61EF86" w14:textId="0E612B0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RFT </w:t>
            </w:r>
          </w:p>
        </w:tc>
        <w:tc>
          <w:tcPr>
            <w:tcW w:w="7848" w:type="dxa"/>
            <w:tcBorders>
              <w:top w:val="single" w:sz="6" w:space="0" w:color="22413A"/>
              <w:left w:val="single" w:sz="6" w:space="0" w:color="22413A"/>
              <w:bottom w:val="single" w:sz="6" w:space="0" w:color="22413A"/>
              <w:right w:val="nil"/>
            </w:tcBorders>
            <w:shd w:val="clear" w:color="auto" w:fill="auto"/>
            <w:hideMark/>
          </w:tcPr>
          <w:p w14:paraId="512EA233" w14:textId="7FC2A5D3" w:rsidR="002C1A1B" w:rsidRPr="00DD1B58" w:rsidRDefault="00B83658"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Reserve Feedwater Tank</w:t>
            </w:r>
          </w:p>
        </w:tc>
      </w:tr>
      <w:tr w:rsidR="002C1A1B" w:rsidRPr="00DD1B58" w14:paraId="4FDD270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4ABC902" w14:textId="50D16567"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RGP </w:t>
            </w:r>
          </w:p>
        </w:tc>
        <w:tc>
          <w:tcPr>
            <w:tcW w:w="7848" w:type="dxa"/>
            <w:tcBorders>
              <w:top w:val="single" w:sz="6" w:space="0" w:color="22413A"/>
              <w:left w:val="single" w:sz="6" w:space="0" w:color="22413A"/>
              <w:bottom w:val="single" w:sz="6" w:space="0" w:color="22413A"/>
              <w:right w:val="nil"/>
            </w:tcBorders>
            <w:shd w:val="clear" w:color="auto" w:fill="auto"/>
            <w:hideMark/>
          </w:tcPr>
          <w:p w14:paraId="4D4AF671" w14:textId="6A0FEDC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 xml:space="preserve">Relevant </w:t>
            </w:r>
            <w:r w:rsidR="00B83658" w:rsidRPr="00DD1B58">
              <w:rPr>
                <w:rFonts w:eastAsia="Times New Roman"/>
                <w:color w:val="000000"/>
                <w:szCs w:val="24"/>
                <w:lang w:val="en-US" w:eastAsia="en-GB" w:bidi="ar-SA"/>
              </w:rPr>
              <w:t>G</w:t>
            </w:r>
            <w:r w:rsidRPr="00DD1B58">
              <w:rPr>
                <w:rFonts w:eastAsia="Times New Roman"/>
                <w:color w:val="000000"/>
                <w:szCs w:val="24"/>
                <w:lang w:val="en-US" w:eastAsia="en-GB" w:bidi="ar-SA"/>
              </w:rPr>
              <w:t xml:space="preserve">ood </w:t>
            </w:r>
            <w:r w:rsidR="00B83658" w:rsidRPr="00DD1B58">
              <w:rPr>
                <w:rFonts w:eastAsia="Times New Roman"/>
                <w:color w:val="000000"/>
                <w:szCs w:val="24"/>
                <w:lang w:val="en-US" w:eastAsia="en-GB" w:bidi="ar-SA"/>
              </w:rPr>
              <w:t>P</w:t>
            </w:r>
            <w:r w:rsidRPr="00DD1B58">
              <w:rPr>
                <w:rFonts w:eastAsia="Times New Roman"/>
                <w:color w:val="000000"/>
                <w:szCs w:val="24"/>
                <w:lang w:val="en-US" w:eastAsia="en-GB" w:bidi="ar-SA"/>
              </w:rPr>
              <w:t>ractice </w:t>
            </w:r>
          </w:p>
        </w:tc>
      </w:tr>
      <w:tr w:rsidR="002C1A1B" w:rsidRPr="00DD1B58" w14:paraId="7065BE8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2F8A3D" w14:textId="724ADEF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RHILW </w:t>
            </w:r>
          </w:p>
        </w:tc>
        <w:tc>
          <w:tcPr>
            <w:tcW w:w="7848" w:type="dxa"/>
            <w:tcBorders>
              <w:top w:val="single" w:sz="6" w:space="0" w:color="22413A"/>
              <w:left w:val="single" w:sz="6" w:space="0" w:color="22413A"/>
              <w:bottom w:val="single" w:sz="6" w:space="0" w:color="22413A"/>
              <w:right w:val="nil"/>
            </w:tcBorders>
            <w:shd w:val="clear" w:color="auto" w:fill="auto"/>
            <w:hideMark/>
          </w:tcPr>
          <w:p w14:paraId="24D73DAC" w14:textId="7318ED5D"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Remote Handled Intermediate Level Waste </w:t>
            </w:r>
          </w:p>
        </w:tc>
      </w:tr>
      <w:tr w:rsidR="002C1A1B" w:rsidRPr="00DD1B58" w14:paraId="05F4A4C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A4B5973" w14:textId="13610C85"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RHM </w:t>
            </w:r>
          </w:p>
        </w:tc>
        <w:tc>
          <w:tcPr>
            <w:tcW w:w="7848" w:type="dxa"/>
            <w:tcBorders>
              <w:top w:val="single" w:sz="6" w:space="0" w:color="22413A"/>
              <w:left w:val="single" w:sz="6" w:space="0" w:color="22413A"/>
              <w:bottom w:val="single" w:sz="6" w:space="0" w:color="22413A"/>
              <w:right w:val="nil"/>
            </w:tcBorders>
            <w:shd w:val="clear" w:color="auto" w:fill="auto"/>
            <w:hideMark/>
          </w:tcPr>
          <w:p w14:paraId="07B355F1" w14:textId="1AE2BBDD"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Reactor Hall Mortuary  </w:t>
            </w:r>
          </w:p>
        </w:tc>
      </w:tr>
      <w:tr w:rsidR="002C1A1B" w:rsidRPr="00DD1B58" w14:paraId="670BB9D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561BF1C" w14:textId="5A8231E7"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RIDDOR </w:t>
            </w:r>
          </w:p>
        </w:tc>
        <w:tc>
          <w:tcPr>
            <w:tcW w:w="7848" w:type="dxa"/>
            <w:tcBorders>
              <w:top w:val="single" w:sz="6" w:space="0" w:color="22413A"/>
              <w:left w:val="single" w:sz="6" w:space="0" w:color="22413A"/>
              <w:bottom w:val="single" w:sz="6" w:space="0" w:color="22413A"/>
              <w:right w:val="nil"/>
            </w:tcBorders>
            <w:shd w:val="clear" w:color="auto" w:fill="auto"/>
            <w:hideMark/>
          </w:tcPr>
          <w:p w14:paraId="61ED48B9" w14:textId="3A984EC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Reporting of Injuries, Diseases and Dangerous Occurrences Regulations 2013 </w:t>
            </w:r>
          </w:p>
        </w:tc>
      </w:tr>
      <w:tr w:rsidR="002C1A1B" w:rsidRPr="00DD1B58" w14:paraId="09A83F9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7E58F1A" w14:textId="277F084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RIS </w:t>
            </w:r>
          </w:p>
        </w:tc>
        <w:tc>
          <w:tcPr>
            <w:tcW w:w="7848" w:type="dxa"/>
            <w:tcBorders>
              <w:top w:val="single" w:sz="6" w:space="0" w:color="22413A"/>
              <w:left w:val="single" w:sz="6" w:space="0" w:color="22413A"/>
              <w:bottom w:val="single" w:sz="6" w:space="0" w:color="22413A"/>
              <w:right w:val="nil"/>
            </w:tcBorders>
            <w:shd w:val="clear" w:color="auto" w:fill="auto"/>
            <w:hideMark/>
          </w:tcPr>
          <w:p w14:paraId="4CAFA70B" w14:textId="4EC4ED8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Safety Injection</w:t>
            </w:r>
          </w:p>
        </w:tc>
      </w:tr>
      <w:tr w:rsidR="002C1A1B" w:rsidRPr="00DD1B58" w14:paraId="4FE209F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9C6198" w14:textId="2ED730DA"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RPE </w:t>
            </w:r>
          </w:p>
        </w:tc>
        <w:tc>
          <w:tcPr>
            <w:tcW w:w="7848" w:type="dxa"/>
            <w:tcBorders>
              <w:top w:val="single" w:sz="6" w:space="0" w:color="22413A"/>
              <w:left w:val="single" w:sz="6" w:space="0" w:color="22413A"/>
              <w:bottom w:val="single" w:sz="6" w:space="0" w:color="22413A"/>
              <w:right w:val="nil"/>
            </w:tcBorders>
            <w:shd w:val="clear" w:color="auto" w:fill="auto"/>
            <w:hideMark/>
          </w:tcPr>
          <w:p w14:paraId="0858C09D" w14:textId="4841AF8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Respiratory Protective Equipment  </w:t>
            </w:r>
          </w:p>
        </w:tc>
      </w:tr>
      <w:tr w:rsidR="002C1A1B" w:rsidRPr="00DD1B58" w14:paraId="36AF01E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A46A9F" w14:textId="3C1E2A47"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RPG </w:t>
            </w:r>
          </w:p>
        </w:tc>
        <w:tc>
          <w:tcPr>
            <w:tcW w:w="7848" w:type="dxa"/>
            <w:tcBorders>
              <w:top w:val="single" w:sz="6" w:space="0" w:color="22413A"/>
              <w:left w:val="single" w:sz="6" w:space="0" w:color="22413A"/>
              <w:bottom w:val="single" w:sz="6" w:space="0" w:color="22413A"/>
              <w:right w:val="nil"/>
            </w:tcBorders>
            <w:shd w:val="clear" w:color="auto" w:fill="auto"/>
            <w:hideMark/>
          </w:tcPr>
          <w:p w14:paraId="179B2A35" w14:textId="3E937054" w:rsidR="002C1A1B" w:rsidRPr="00DD1B58" w:rsidRDefault="00B83658"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w:t>
            </w:r>
            <w:r w:rsidR="002C1A1B" w:rsidRPr="00DD1B58">
              <w:rPr>
                <w:rFonts w:eastAsia="Times New Roman"/>
                <w:color w:val="000000"/>
                <w:szCs w:val="24"/>
                <w:lang w:val="en-US" w:eastAsia="en-GB" w:bidi="ar-SA"/>
              </w:rPr>
              <w:t xml:space="preserve">ole </w:t>
            </w:r>
            <w:r w:rsidRPr="00DD1B58">
              <w:rPr>
                <w:rFonts w:eastAsia="Times New Roman"/>
                <w:color w:val="000000"/>
                <w:szCs w:val="24"/>
                <w:lang w:val="en-US" w:eastAsia="en-GB" w:bidi="ar-SA"/>
              </w:rPr>
              <w:t>P</w:t>
            </w:r>
            <w:r w:rsidR="002C1A1B" w:rsidRPr="00DD1B58">
              <w:rPr>
                <w:rFonts w:eastAsia="Times New Roman"/>
                <w:color w:val="000000"/>
                <w:szCs w:val="24"/>
                <w:lang w:val="en-US" w:eastAsia="en-GB" w:bidi="ar-SA"/>
              </w:rPr>
              <w:t xml:space="preserve">roficiency </w:t>
            </w:r>
            <w:r w:rsidRPr="00DD1B58">
              <w:rPr>
                <w:rFonts w:eastAsia="Times New Roman"/>
                <w:color w:val="000000"/>
                <w:szCs w:val="24"/>
                <w:lang w:val="en-US" w:eastAsia="en-GB" w:bidi="ar-SA"/>
              </w:rPr>
              <w:t>G</w:t>
            </w:r>
            <w:r w:rsidR="002C1A1B" w:rsidRPr="00DD1B58">
              <w:rPr>
                <w:rFonts w:eastAsia="Times New Roman"/>
                <w:color w:val="000000"/>
                <w:szCs w:val="24"/>
                <w:lang w:val="en-US" w:eastAsia="en-GB" w:bidi="ar-SA"/>
              </w:rPr>
              <w:t>raphs  </w:t>
            </w:r>
          </w:p>
        </w:tc>
      </w:tr>
      <w:tr w:rsidR="002C1A1B" w:rsidRPr="00DD1B58" w14:paraId="29308ED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E9D6A8" w14:textId="46DF760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RPS </w:t>
            </w:r>
          </w:p>
        </w:tc>
        <w:tc>
          <w:tcPr>
            <w:tcW w:w="7848" w:type="dxa"/>
            <w:tcBorders>
              <w:top w:val="single" w:sz="6" w:space="0" w:color="22413A"/>
              <w:left w:val="single" w:sz="6" w:space="0" w:color="22413A"/>
              <w:bottom w:val="single" w:sz="6" w:space="0" w:color="22413A"/>
              <w:right w:val="nil"/>
            </w:tcBorders>
            <w:shd w:val="clear" w:color="auto" w:fill="auto"/>
            <w:hideMark/>
          </w:tcPr>
          <w:p w14:paraId="0FDCEB03" w14:textId="5A56DF60"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Reactor Protection System  </w:t>
            </w:r>
          </w:p>
        </w:tc>
      </w:tr>
      <w:tr w:rsidR="002C1A1B" w:rsidRPr="00DD1B58" w14:paraId="07F2F89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6E54D50" w14:textId="1B829733"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RRA </w:t>
            </w:r>
          </w:p>
        </w:tc>
        <w:tc>
          <w:tcPr>
            <w:tcW w:w="7848" w:type="dxa"/>
            <w:tcBorders>
              <w:top w:val="single" w:sz="6" w:space="0" w:color="22413A"/>
              <w:left w:val="single" w:sz="6" w:space="0" w:color="22413A"/>
              <w:bottom w:val="single" w:sz="6" w:space="0" w:color="22413A"/>
              <w:right w:val="nil"/>
            </w:tcBorders>
            <w:shd w:val="clear" w:color="auto" w:fill="auto"/>
            <w:hideMark/>
          </w:tcPr>
          <w:p w14:paraId="65D3C329" w14:textId="324BD5A2"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Residual Heat Removal System  </w:t>
            </w:r>
          </w:p>
        </w:tc>
      </w:tr>
      <w:tr w:rsidR="002C1A1B" w:rsidRPr="00DD1B58" w14:paraId="38EABA8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49D312" w14:textId="261C056F"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RSA </w:t>
            </w:r>
          </w:p>
        </w:tc>
        <w:tc>
          <w:tcPr>
            <w:tcW w:w="7848" w:type="dxa"/>
            <w:tcBorders>
              <w:top w:val="single" w:sz="6" w:space="0" w:color="22413A"/>
              <w:left w:val="single" w:sz="6" w:space="0" w:color="22413A"/>
              <w:bottom w:val="single" w:sz="6" w:space="0" w:color="22413A"/>
              <w:right w:val="nil"/>
            </w:tcBorders>
            <w:shd w:val="clear" w:color="auto" w:fill="auto"/>
            <w:hideMark/>
          </w:tcPr>
          <w:p w14:paraId="253337A7" w14:textId="5CA1D11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Radioactive Substances Act 1993 </w:t>
            </w:r>
          </w:p>
        </w:tc>
      </w:tr>
      <w:tr w:rsidR="002C1A1B" w:rsidRPr="00DD1B58" w14:paraId="473D3BE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0314CE" w14:textId="1671F75E"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RSS </w:t>
            </w:r>
          </w:p>
        </w:tc>
        <w:tc>
          <w:tcPr>
            <w:tcW w:w="7848" w:type="dxa"/>
            <w:tcBorders>
              <w:top w:val="single" w:sz="6" w:space="0" w:color="22413A"/>
              <w:left w:val="single" w:sz="6" w:space="0" w:color="22413A"/>
              <w:bottom w:val="single" w:sz="6" w:space="0" w:color="22413A"/>
              <w:right w:val="nil"/>
            </w:tcBorders>
            <w:shd w:val="clear" w:color="auto" w:fill="auto"/>
            <w:hideMark/>
          </w:tcPr>
          <w:p w14:paraId="3141E00E" w14:textId="29F5327C"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Remote Shutdown Station  </w:t>
            </w:r>
          </w:p>
        </w:tc>
      </w:tr>
      <w:tr w:rsidR="002C1A1B" w:rsidRPr="00DD1B58" w14:paraId="23FBD3F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330A77A" w14:textId="59454EC7"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RV </w:t>
            </w:r>
          </w:p>
        </w:tc>
        <w:tc>
          <w:tcPr>
            <w:tcW w:w="7848" w:type="dxa"/>
            <w:tcBorders>
              <w:top w:val="single" w:sz="6" w:space="0" w:color="22413A"/>
              <w:left w:val="single" w:sz="6" w:space="0" w:color="22413A"/>
              <w:bottom w:val="single" w:sz="6" w:space="0" w:color="22413A"/>
              <w:right w:val="nil"/>
            </w:tcBorders>
            <w:shd w:val="clear" w:color="auto" w:fill="auto"/>
            <w:hideMark/>
          </w:tcPr>
          <w:p w14:paraId="4C95A586" w14:textId="2726F9F6"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Reactor Vessel  </w:t>
            </w:r>
          </w:p>
        </w:tc>
      </w:tr>
      <w:tr w:rsidR="002C1A1B" w:rsidRPr="00DD1B58" w14:paraId="4B6F41F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F0016E8" w14:textId="5DB5866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RVP </w:t>
            </w:r>
          </w:p>
        </w:tc>
        <w:tc>
          <w:tcPr>
            <w:tcW w:w="7848" w:type="dxa"/>
            <w:tcBorders>
              <w:top w:val="single" w:sz="6" w:space="0" w:color="22413A"/>
              <w:left w:val="single" w:sz="6" w:space="0" w:color="22413A"/>
              <w:bottom w:val="single" w:sz="6" w:space="0" w:color="22413A"/>
              <w:right w:val="nil"/>
            </w:tcBorders>
            <w:shd w:val="clear" w:color="auto" w:fill="auto"/>
            <w:hideMark/>
          </w:tcPr>
          <w:p w14:paraId="117B8A24" w14:textId="2C91D4E8" w:rsidR="002C1A1B" w:rsidRPr="00DD1B58" w:rsidRDefault="00DC2309"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Rendezvous Points</w:t>
            </w:r>
          </w:p>
        </w:tc>
      </w:tr>
      <w:tr w:rsidR="002C1A1B" w:rsidRPr="004A7507" w14:paraId="66A5547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642BE75" w14:textId="3FD143BC"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RWVN </w:t>
            </w:r>
          </w:p>
        </w:tc>
        <w:tc>
          <w:tcPr>
            <w:tcW w:w="7848" w:type="dxa"/>
            <w:tcBorders>
              <w:top w:val="single" w:sz="6" w:space="0" w:color="22413A"/>
              <w:left w:val="single" w:sz="6" w:space="0" w:color="22413A"/>
              <w:bottom w:val="single" w:sz="6" w:space="0" w:color="22413A"/>
              <w:right w:val="nil"/>
            </w:tcBorders>
            <w:shd w:val="clear" w:color="auto" w:fill="auto"/>
            <w:hideMark/>
          </w:tcPr>
          <w:p w14:paraId="49914F8B" w14:textId="66AB2F4B" w:rsidR="002C1A1B" w:rsidRPr="004A7507" w:rsidRDefault="00DC2309" w:rsidP="00DD712B">
            <w:pPr>
              <w:spacing w:after="0" w:line="240" w:lineRule="auto"/>
              <w:textAlignment w:val="baseline"/>
              <w:rPr>
                <w:rFonts w:ascii="Segoe UI" w:eastAsia="Times New Roman" w:hAnsi="Segoe UI" w:cs="Segoe UI"/>
                <w:color w:val="000000" w:themeColor="text1"/>
                <w:sz w:val="18"/>
                <w:szCs w:val="18"/>
                <w:lang w:val="nl-NL" w:eastAsia="en-GB" w:bidi="ar-SA"/>
              </w:rPr>
            </w:pPr>
            <w:r w:rsidRPr="004A7507">
              <w:rPr>
                <w:rFonts w:eastAsia="Times New Roman"/>
                <w:color w:val="000000" w:themeColor="text1"/>
                <w:szCs w:val="24"/>
                <w:lang w:val="nl-NL" w:eastAsia="en-GB" w:bidi="ar-SA"/>
              </w:rPr>
              <w:t>Reactor Vessel Water Vapour Nitrogen</w:t>
            </w:r>
          </w:p>
        </w:tc>
      </w:tr>
      <w:tr w:rsidR="002C1A1B" w:rsidRPr="00DD1B58" w14:paraId="160F6F7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FA58828" w14:textId="761776B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SAG </w:t>
            </w:r>
          </w:p>
        </w:tc>
        <w:tc>
          <w:tcPr>
            <w:tcW w:w="7848" w:type="dxa"/>
            <w:tcBorders>
              <w:top w:val="single" w:sz="6" w:space="0" w:color="22413A"/>
              <w:left w:val="single" w:sz="6" w:space="0" w:color="22413A"/>
              <w:bottom w:val="single" w:sz="6" w:space="0" w:color="22413A"/>
              <w:right w:val="nil"/>
            </w:tcBorders>
            <w:shd w:val="clear" w:color="auto" w:fill="auto"/>
            <w:hideMark/>
          </w:tcPr>
          <w:p w14:paraId="3C655234" w14:textId="2ACDC1C7" w:rsidR="002C1A1B" w:rsidRPr="00DD1B58" w:rsidRDefault="007D359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Severe Accident Guideline</w:t>
            </w:r>
            <w:r w:rsidR="002C1A1B" w:rsidRPr="00DD1B58">
              <w:rPr>
                <w:rFonts w:eastAsia="Times New Roman"/>
                <w:color w:val="000000" w:themeColor="text1"/>
                <w:szCs w:val="24"/>
                <w:lang w:val="en-US" w:eastAsia="en-GB" w:bidi="ar-SA"/>
              </w:rPr>
              <w:t> </w:t>
            </w:r>
          </w:p>
        </w:tc>
      </w:tr>
      <w:tr w:rsidR="002C1A1B" w:rsidRPr="00DD1B58" w14:paraId="7C189F4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348C4F" w14:textId="7302931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SAH </w:t>
            </w:r>
          </w:p>
        </w:tc>
        <w:tc>
          <w:tcPr>
            <w:tcW w:w="7848" w:type="dxa"/>
            <w:tcBorders>
              <w:top w:val="single" w:sz="6" w:space="0" w:color="22413A"/>
              <w:left w:val="single" w:sz="6" w:space="0" w:color="22413A"/>
              <w:bottom w:val="single" w:sz="6" w:space="0" w:color="22413A"/>
              <w:right w:val="nil"/>
            </w:tcBorders>
            <w:shd w:val="clear" w:color="auto" w:fill="auto"/>
            <w:hideMark/>
          </w:tcPr>
          <w:p w14:paraId="1FF7AF9B" w14:textId="42E0FFBF"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Assessment Handbook  </w:t>
            </w:r>
          </w:p>
        </w:tc>
      </w:tr>
      <w:tr w:rsidR="002C1A1B" w:rsidRPr="00DD1B58" w14:paraId="374629E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7A35C0E" w14:textId="449E0D20"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SAP </w:t>
            </w:r>
          </w:p>
        </w:tc>
        <w:tc>
          <w:tcPr>
            <w:tcW w:w="7848" w:type="dxa"/>
            <w:tcBorders>
              <w:top w:val="single" w:sz="6" w:space="0" w:color="22413A"/>
              <w:left w:val="single" w:sz="6" w:space="0" w:color="22413A"/>
              <w:bottom w:val="single" w:sz="6" w:space="0" w:color="22413A"/>
              <w:right w:val="nil"/>
            </w:tcBorders>
            <w:shd w:val="clear" w:color="auto" w:fill="auto"/>
            <w:hideMark/>
          </w:tcPr>
          <w:p w14:paraId="310F6944" w14:textId="5D476121"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 xml:space="preserve">Safety Assessment </w:t>
            </w:r>
            <w:r w:rsidR="008F1989" w:rsidRPr="00DD1B58">
              <w:rPr>
                <w:rFonts w:eastAsia="Times New Roman"/>
                <w:color w:val="000000" w:themeColor="text1"/>
                <w:szCs w:val="24"/>
                <w:lang w:val="en-US" w:eastAsia="en-GB" w:bidi="ar-SA"/>
              </w:rPr>
              <w:t>Principle</w:t>
            </w:r>
            <w:r w:rsidRPr="00DD1B58">
              <w:rPr>
                <w:rFonts w:eastAsia="Times New Roman"/>
                <w:color w:val="000000" w:themeColor="text1"/>
                <w:szCs w:val="24"/>
                <w:lang w:val="en-US" w:eastAsia="en-GB" w:bidi="ar-SA"/>
              </w:rPr>
              <w:t>  </w:t>
            </w:r>
          </w:p>
        </w:tc>
      </w:tr>
      <w:tr w:rsidR="002C1A1B" w:rsidRPr="00DD1B58" w14:paraId="7BE6421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9C322DF" w14:textId="6DD939B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SAT </w:t>
            </w:r>
          </w:p>
        </w:tc>
        <w:tc>
          <w:tcPr>
            <w:tcW w:w="7848" w:type="dxa"/>
            <w:tcBorders>
              <w:top w:val="single" w:sz="6" w:space="0" w:color="22413A"/>
              <w:left w:val="single" w:sz="6" w:space="0" w:color="22413A"/>
              <w:bottom w:val="single" w:sz="6" w:space="0" w:color="22413A"/>
              <w:right w:val="nil"/>
            </w:tcBorders>
            <w:shd w:val="clear" w:color="auto" w:fill="auto"/>
            <w:hideMark/>
          </w:tcPr>
          <w:p w14:paraId="6E1D7A35" w14:textId="25AAFAD7"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Systematic Approach to Training  </w:t>
            </w:r>
          </w:p>
        </w:tc>
      </w:tr>
      <w:tr w:rsidR="002C1A1B" w:rsidRPr="00DD1B58" w14:paraId="4B7C260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7D909AC" w14:textId="75A38A3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SBI </w:t>
            </w:r>
          </w:p>
        </w:tc>
        <w:tc>
          <w:tcPr>
            <w:tcW w:w="7848" w:type="dxa"/>
            <w:tcBorders>
              <w:top w:val="single" w:sz="6" w:space="0" w:color="22413A"/>
              <w:left w:val="single" w:sz="6" w:space="0" w:color="22413A"/>
              <w:bottom w:val="single" w:sz="6" w:space="0" w:color="22413A"/>
              <w:right w:val="nil"/>
            </w:tcBorders>
            <w:shd w:val="clear" w:color="auto" w:fill="auto"/>
            <w:hideMark/>
          </w:tcPr>
          <w:p w14:paraId="2C54C7A7" w14:textId="05F07219"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System Based Inspection </w:t>
            </w:r>
          </w:p>
        </w:tc>
      </w:tr>
      <w:tr w:rsidR="002C1A1B" w:rsidRPr="00DD1B58" w14:paraId="54FAC65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4CC1556" w14:textId="082674F0"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SCADA </w:t>
            </w:r>
          </w:p>
        </w:tc>
        <w:tc>
          <w:tcPr>
            <w:tcW w:w="7848" w:type="dxa"/>
            <w:tcBorders>
              <w:top w:val="single" w:sz="6" w:space="0" w:color="22413A"/>
              <w:left w:val="single" w:sz="6" w:space="0" w:color="22413A"/>
              <w:bottom w:val="single" w:sz="6" w:space="0" w:color="22413A"/>
              <w:right w:val="nil"/>
            </w:tcBorders>
            <w:shd w:val="clear" w:color="auto" w:fill="auto"/>
            <w:hideMark/>
          </w:tcPr>
          <w:p w14:paraId="545B7DED" w14:textId="6444B0A4"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Supervisory Control and Data Acquisition  </w:t>
            </w:r>
          </w:p>
        </w:tc>
      </w:tr>
      <w:tr w:rsidR="002C1A1B" w:rsidRPr="00DD1B58" w14:paraId="07EC1CA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397B7E5" w14:textId="1AC72F55"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SCALF </w:t>
            </w:r>
          </w:p>
        </w:tc>
        <w:tc>
          <w:tcPr>
            <w:tcW w:w="7848" w:type="dxa"/>
            <w:tcBorders>
              <w:top w:val="single" w:sz="6" w:space="0" w:color="22413A"/>
              <w:left w:val="single" w:sz="6" w:space="0" w:color="22413A"/>
              <w:bottom w:val="single" w:sz="6" w:space="0" w:color="22413A"/>
              <w:right w:val="nil"/>
            </w:tcBorders>
            <w:shd w:val="clear" w:color="auto" w:fill="auto"/>
            <w:hideMark/>
          </w:tcPr>
          <w:p w14:paraId="5E76A02F" w14:textId="20546D77"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Steam Clean Active Liquor Filter </w:t>
            </w:r>
          </w:p>
        </w:tc>
      </w:tr>
      <w:tr w:rsidR="002C1A1B" w:rsidRPr="00DD1B58" w14:paraId="7BFD747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148DB0" w14:textId="2F231BA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SCB </w:t>
            </w:r>
          </w:p>
        </w:tc>
        <w:tc>
          <w:tcPr>
            <w:tcW w:w="7848" w:type="dxa"/>
            <w:tcBorders>
              <w:top w:val="single" w:sz="6" w:space="0" w:color="22413A"/>
              <w:left w:val="single" w:sz="6" w:space="0" w:color="22413A"/>
              <w:bottom w:val="single" w:sz="6" w:space="0" w:color="22413A"/>
              <w:right w:val="nil"/>
            </w:tcBorders>
            <w:shd w:val="clear" w:color="auto" w:fill="auto"/>
            <w:hideMark/>
          </w:tcPr>
          <w:p w14:paraId="178C49F2" w14:textId="2795F83C"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Secondary Containment Building  </w:t>
            </w:r>
          </w:p>
        </w:tc>
      </w:tr>
      <w:tr w:rsidR="002C1A1B" w:rsidRPr="004A7507" w14:paraId="2421941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56927B5" w14:textId="2A0782CC"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SCC </w:t>
            </w:r>
          </w:p>
        </w:tc>
        <w:tc>
          <w:tcPr>
            <w:tcW w:w="7848" w:type="dxa"/>
            <w:tcBorders>
              <w:top w:val="single" w:sz="6" w:space="0" w:color="22413A"/>
              <w:left w:val="single" w:sz="6" w:space="0" w:color="22413A"/>
              <w:bottom w:val="single" w:sz="6" w:space="0" w:color="22413A"/>
              <w:right w:val="nil"/>
            </w:tcBorders>
            <w:shd w:val="clear" w:color="auto" w:fill="auto"/>
            <w:hideMark/>
          </w:tcPr>
          <w:p w14:paraId="6E2532FA" w14:textId="5CFC0E8E" w:rsidR="002C1A1B" w:rsidRPr="004A7507" w:rsidRDefault="002C1A1B" w:rsidP="00DD712B">
            <w:pPr>
              <w:spacing w:after="0" w:line="240" w:lineRule="auto"/>
              <w:textAlignment w:val="baseline"/>
              <w:rPr>
                <w:rFonts w:ascii="Segoe UI" w:eastAsia="Times New Roman" w:hAnsi="Segoe UI" w:cs="Segoe UI"/>
                <w:sz w:val="18"/>
                <w:szCs w:val="18"/>
                <w:lang w:val="fr-FR" w:eastAsia="en-GB" w:bidi="ar-SA"/>
              </w:rPr>
            </w:pPr>
            <w:r w:rsidRPr="004A7507">
              <w:rPr>
                <w:rFonts w:eastAsia="Times New Roman"/>
                <w:color w:val="000000"/>
                <w:szCs w:val="24"/>
                <w:lang w:val="fr-FR" w:eastAsia="en-GB" w:bidi="ar-SA"/>
              </w:rPr>
              <w:t>Soustraction de Charges Calorifiques (Heat Load Subtraction System) </w:t>
            </w:r>
          </w:p>
        </w:tc>
      </w:tr>
      <w:tr w:rsidR="002C1A1B" w:rsidRPr="00DD1B58" w14:paraId="728EB16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739EB60" w14:textId="44503B3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SCM </w:t>
            </w:r>
          </w:p>
        </w:tc>
        <w:tc>
          <w:tcPr>
            <w:tcW w:w="7848" w:type="dxa"/>
            <w:tcBorders>
              <w:top w:val="single" w:sz="6" w:space="0" w:color="22413A"/>
              <w:left w:val="single" w:sz="6" w:space="0" w:color="22413A"/>
              <w:bottom w:val="single" w:sz="6" w:space="0" w:color="22413A"/>
              <w:right w:val="nil"/>
            </w:tcBorders>
            <w:shd w:val="clear" w:color="auto" w:fill="auto"/>
            <w:hideMark/>
          </w:tcPr>
          <w:p w14:paraId="4407993E" w14:textId="62F5449E"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Safety Case Manual  </w:t>
            </w:r>
          </w:p>
        </w:tc>
      </w:tr>
      <w:tr w:rsidR="002C1A1B" w:rsidRPr="00DD1B58" w14:paraId="451821F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6F4E182" w14:textId="38D1160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SDF </w:t>
            </w:r>
          </w:p>
        </w:tc>
        <w:tc>
          <w:tcPr>
            <w:tcW w:w="7848" w:type="dxa"/>
            <w:tcBorders>
              <w:top w:val="single" w:sz="6" w:space="0" w:color="22413A"/>
              <w:left w:val="single" w:sz="6" w:space="0" w:color="22413A"/>
              <w:bottom w:val="single" w:sz="6" w:space="0" w:color="22413A"/>
              <w:right w:val="nil"/>
            </w:tcBorders>
            <w:shd w:val="clear" w:color="auto" w:fill="auto"/>
            <w:hideMark/>
          </w:tcPr>
          <w:p w14:paraId="5B7C2805" w14:textId="6950CBF7"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Directors Forum  </w:t>
            </w:r>
          </w:p>
        </w:tc>
      </w:tr>
      <w:tr w:rsidR="002C1A1B" w:rsidRPr="00DD1B58" w14:paraId="4F21D24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215BE55" w14:textId="27022A02"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SDO </w:t>
            </w:r>
          </w:p>
        </w:tc>
        <w:tc>
          <w:tcPr>
            <w:tcW w:w="7848" w:type="dxa"/>
            <w:tcBorders>
              <w:top w:val="single" w:sz="6" w:space="0" w:color="22413A"/>
              <w:left w:val="single" w:sz="6" w:space="0" w:color="22413A"/>
              <w:bottom w:val="single" w:sz="6" w:space="0" w:color="22413A"/>
              <w:right w:val="nil"/>
            </w:tcBorders>
            <w:shd w:val="clear" w:color="auto" w:fill="auto"/>
            <w:hideMark/>
          </w:tcPr>
          <w:p w14:paraId="3733892A" w14:textId="4A91EB2A" w:rsidR="002C1A1B" w:rsidRPr="00DD1B58" w:rsidRDefault="00460F90"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Design Objective</w:t>
            </w:r>
          </w:p>
        </w:tc>
      </w:tr>
      <w:tr w:rsidR="002C1A1B" w:rsidRPr="00DD1B58" w14:paraId="6689B59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F8C7BE1" w14:textId="340B3F6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SDP </w:t>
            </w:r>
          </w:p>
        </w:tc>
        <w:tc>
          <w:tcPr>
            <w:tcW w:w="7848" w:type="dxa"/>
            <w:tcBorders>
              <w:top w:val="single" w:sz="6" w:space="0" w:color="22413A"/>
              <w:left w:val="single" w:sz="6" w:space="0" w:color="22413A"/>
              <w:bottom w:val="single" w:sz="6" w:space="0" w:color="22413A"/>
              <w:right w:val="nil"/>
            </w:tcBorders>
            <w:shd w:val="clear" w:color="auto" w:fill="auto"/>
            <w:hideMark/>
          </w:tcPr>
          <w:p w14:paraId="2B794646" w14:textId="58FD8C1B"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Sodium Disposal Plant  </w:t>
            </w:r>
          </w:p>
        </w:tc>
      </w:tr>
      <w:tr w:rsidR="002C1A1B" w:rsidRPr="00DD1B58" w14:paraId="1B8D839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08F4C4" w14:textId="7BC2DCD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SECC </w:t>
            </w:r>
          </w:p>
        </w:tc>
        <w:tc>
          <w:tcPr>
            <w:tcW w:w="7848" w:type="dxa"/>
            <w:tcBorders>
              <w:top w:val="single" w:sz="6" w:space="0" w:color="22413A"/>
              <w:left w:val="single" w:sz="6" w:space="0" w:color="22413A"/>
              <w:bottom w:val="single" w:sz="6" w:space="0" w:color="22413A"/>
              <w:right w:val="nil"/>
            </w:tcBorders>
            <w:shd w:val="clear" w:color="auto" w:fill="auto"/>
            <w:hideMark/>
          </w:tcPr>
          <w:p w14:paraId="0EA2EDE8" w14:textId="2AA505C8"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Site Emergency Control Centre  </w:t>
            </w:r>
          </w:p>
        </w:tc>
      </w:tr>
      <w:tr w:rsidR="002C1A1B" w:rsidRPr="00DD1B58" w14:paraId="1C777BB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EFD4AE9" w14:textId="03256560"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SEHSC </w:t>
            </w:r>
          </w:p>
        </w:tc>
        <w:tc>
          <w:tcPr>
            <w:tcW w:w="7848" w:type="dxa"/>
            <w:tcBorders>
              <w:top w:val="single" w:sz="6" w:space="0" w:color="22413A"/>
              <w:left w:val="single" w:sz="6" w:space="0" w:color="22413A"/>
              <w:bottom w:val="single" w:sz="6" w:space="0" w:color="22413A"/>
              <w:right w:val="nil"/>
            </w:tcBorders>
            <w:shd w:val="clear" w:color="auto" w:fill="auto"/>
            <w:hideMark/>
          </w:tcPr>
          <w:p w14:paraId="762FA26F" w14:textId="2216307B"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Springfields Environment Health and Safety Committee  </w:t>
            </w:r>
          </w:p>
        </w:tc>
      </w:tr>
      <w:tr w:rsidR="002C1A1B" w:rsidRPr="00DD1B58" w14:paraId="10C9B00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ED17A24" w14:textId="6E701AF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 </w:t>
            </w:r>
          </w:p>
        </w:tc>
        <w:tc>
          <w:tcPr>
            <w:tcW w:w="7848" w:type="dxa"/>
            <w:tcBorders>
              <w:top w:val="single" w:sz="6" w:space="0" w:color="22413A"/>
              <w:left w:val="single" w:sz="6" w:space="0" w:color="22413A"/>
              <w:bottom w:val="single" w:sz="6" w:space="0" w:color="22413A"/>
              <w:right w:val="nil"/>
            </w:tcBorders>
            <w:shd w:val="clear" w:color="auto" w:fill="auto"/>
            <w:hideMark/>
          </w:tcPr>
          <w:p w14:paraId="35477113" w14:textId="187FA5C9"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Safety Features  </w:t>
            </w:r>
          </w:p>
        </w:tc>
      </w:tr>
      <w:tr w:rsidR="002C1A1B" w:rsidRPr="00DD1B58" w14:paraId="04EA9FB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47208DB" w14:textId="4279CC31"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SF&amp;RS </w:t>
            </w:r>
          </w:p>
        </w:tc>
        <w:tc>
          <w:tcPr>
            <w:tcW w:w="7848" w:type="dxa"/>
            <w:tcBorders>
              <w:top w:val="single" w:sz="6" w:space="0" w:color="22413A"/>
              <w:left w:val="single" w:sz="6" w:space="0" w:color="22413A"/>
              <w:bottom w:val="single" w:sz="6" w:space="0" w:color="22413A"/>
              <w:right w:val="nil"/>
            </w:tcBorders>
            <w:shd w:val="clear" w:color="auto" w:fill="auto"/>
            <w:hideMark/>
          </w:tcPr>
          <w:p w14:paraId="45CA8204" w14:textId="28C2477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Sellafield Fire &amp; Rescue Service </w:t>
            </w:r>
          </w:p>
        </w:tc>
      </w:tr>
      <w:tr w:rsidR="002C1A1B" w:rsidRPr="00DD1B58" w14:paraId="4A01815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7FE9F54" w14:textId="094EAE00"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SFA </w:t>
            </w:r>
          </w:p>
        </w:tc>
        <w:tc>
          <w:tcPr>
            <w:tcW w:w="7848" w:type="dxa"/>
            <w:tcBorders>
              <w:top w:val="single" w:sz="6" w:space="0" w:color="22413A"/>
              <w:left w:val="single" w:sz="6" w:space="0" w:color="22413A"/>
              <w:bottom w:val="single" w:sz="6" w:space="0" w:color="22413A"/>
              <w:right w:val="nil"/>
            </w:tcBorders>
            <w:shd w:val="clear" w:color="auto" w:fill="auto"/>
            <w:hideMark/>
          </w:tcPr>
          <w:p w14:paraId="3E331D8D" w14:textId="552B45B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Spent Fuel Assemblies </w:t>
            </w:r>
          </w:p>
        </w:tc>
      </w:tr>
      <w:tr w:rsidR="002C1A1B" w:rsidRPr="00DD1B58" w14:paraId="19D6089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6CCB024" w14:textId="6C5A4F63"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SFAIRP </w:t>
            </w:r>
          </w:p>
        </w:tc>
        <w:tc>
          <w:tcPr>
            <w:tcW w:w="7848" w:type="dxa"/>
            <w:tcBorders>
              <w:top w:val="single" w:sz="6" w:space="0" w:color="22413A"/>
              <w:left w:val="single" w:sz="6" w:space="0" w:color="22413A"/>
              <w:bottom w:val="single" w:sz="6" w:space="0" w:color="22413A"/>
              <w:right w:val="nil"/>
            </w:tcBorders>
            <w:shd w:val="clear" w:color="auto" w:fill="auto"/>
            <w:hideMark/>
          </w:tcPr>
          <w:p w14:paraId="658E295F" w14:textId="2755CEF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So Far As Is Reasonably Practicable  </w:t>
            </w:r>
          </w:p>
        </w:tc>
      </w:tr>
      <w:tr w:rsidR="002C1A1B" w:rsidRPr="00DD1B58" w14:paraId="2EAAE84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315467A" w14:textId="57504912"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SFC </w:t>
            </w:r>
          </w:p>
        </w:tc>
        <w:tc>
          <w:tcPr>
            <w:tcW w:w="7848" w:type="dxa"/>
            <w:tcBorders>
              <w:top w:val="single" w:sz="6" w:space="0" w:color="22413A"/>
              <w:left w:val="single" w:sz="6" w:space="0" w:color="22413A"/>
              <w:bottom w:val="single" w:sz="6" w:space="0" w:color="22413A"/>
              <w:right w:val="nil"/>
            </w:tcBorders>
            <w:shd w:val="clear" w:color="auto" w:fill="auto"/>
            <w:hideMark/>
          </w:tcPr>
          <w:p w14:paraId="223D8F30" w14:textId="2A19FFDA"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Single Failure Criterion / Class </w:t>
            </w:r>
          </w:p>
        </w:tc>
      </w:tr>
      <w:tr w:rsidR="002C1A1B" w:rsidRPr="00DD1B58" w14:paraId="750C8F7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9CA17C" w14:textId="17327144"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SFG </w:t>
            </w:r>
          </w:p>
        </w:tc>
        <w:tc>
          <w:tcPr>
            <w:tcW w:w="7848" w:type="dxa"/>
            <w:tcBorders>
              <w:top w:val="single" w:sz="6" w:space="0" w:color="22413A"/>
              <w:left w:val="single" w:sz="6" w:space="0" w:color="22413A"/>
              <w:bottom w:val="single" w:sz="6" w:space="0" w:color="22413A"/>
              <w:right w:val="nil"/>
            </w:tcBorders>
            <w:shd w:val="clear" w:color="auto" w:fill="auto"/>
            <w:hideMark/>
          </w:tcPr>
          <w:p w14:paraId="2CEC01C4" w14:textId="53B66498"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Safety Feature Groups  </w:t>
            </w:r>
          </w:p>
        </w:tc>
      </w:tr>
      <w:tr w:rsidR="002C1A1B" w:rsidRPr="00DD1B58" w14:paraId="017FEFC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DE8010C" w14:textId="009BF293"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SFI </w:t>
            </w:r>
          </w:p>
        </w:tc>
        <w:tc>
          <w:tcPr>
            <w:tcW w:w="7848" w:type="dxa"/>
            <w:tcBorders>
              <w:top w:val="single" w:sz="6" w:space="0" w:color="22413A"/>
              <w:left w:val="single" w:sz="6" w:space="0" w:color="22413A"/>
              <w:bottom w:val="single" w:sz="6" w:space="0" w:color="22413A"/>
              <w:right w:val="nil"/>
            </w:tcBorders>
            <w:shd w:val="clear" w:color="auto" w:fill="auto"/>
            <w:hideMark/>
          </w:tcPr>
          <w:p w14:paraId="487D1448" w14:textId="119FD2EC"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 xml:space="preserve">Intervention </w:t>
            </w:r>
            <w:r w:rsidR="00246687" w:rsidRPr="00DD1B58">
              <w:rPr>
                <w:rFonts w:eastAsia="Times New Roman"/>
                <w:color w:val="000000" w:themeColor="text1"/>
                <w:szCs w:val="24"/>
                <w:lang w:val="en-US" w:eastAsia="en-GB" w:bidi="ar-SA"/>
              </w:rPr>
              <w:t>F</w:t>
            </w:r>
            <w:r w:rsidRPr="00DD1B58">
              <w:rPr>
                <w:rFonts w:eastAsia="Times New Roman"/>
                <w:color w:val="000000" w:themeColor="text1"/>
                <w:szCs w:val="24"/>
                <w:lang w:val="en-US" w:eastAsia="en-GB" w:bidi="ar-SA"/>
              </w:rPr>
              <w:t>ire Compartment  </w:t>
            </w:r>
          </w:p>
        </w:tc>
      </w:tr>
      <w:tr w:rsidR="002C1A1B" w:rsidRPr="00DD1B58" w14:paraId="4D199C2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41EE5DC" w14:textId="725DB1DC"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SFL </w:t>
            </w:r>
          </w:p>
        </w:tc>
        <w:tc>
          <w:tcPr>
            <w:tcW w:w="7848" w:type="dxa"/>
            <w:tcBorders>
              <w:top w:val="single" w:sz="6" w:space="0" w:color="22413A"/>
              <w:left w:val="single" w:sz="6" w:space="0" w:color="22413A"/>
              <w:bottom w:val="single" w:sz="6" w:space="0" w:color="22413A"/>
              <w:right w:val="nil"/>
            </w:tcBorders>
            <w:shd w:val="clear" w:color="auto" w:fill="auto"/>
            <w:hideMark/>
          </w:tcPr>
          <w:p w14:paraId="5064FBB8" w14:textId="0125B256"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Springfield Fuels Limited  </w:t>
            </w:r>
          </w:p>
        </w:tc>
      </w:tr>
      <w:tr w:rsidR="002C1A1B" w:rsidRPr="00DD1B58" w14:paraId="7CD7D26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A89095E" w14:textId="7E5ED12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SFP </w:t>
            </w:r>
          </w:p>
        </w:tc>
        <w:tc>
          <w:tcPr>
            <w:tcW w:w="7848" w:type="dxa"/>
            <w:tcBorders>
              <w:top w:val="single" w:sz="6" w:space="0" w:color="22413A"/>
              <w:left w:val="single" w:sz="6" w:space="0" w:color="22413A"/>
              <w:bottom w:val="single" w:sz="6" w:space="0" w:color="22413A"/>
              <w:right w:val="nil"/>
            </w:tcBorders>
            <w:shd w:val="clear" w:color="auto" w:fill="auto"/>
            <w:hideMark/>
          </w:tcPr>
          <w:p w14:paraId="26393CA2" w14:textId="626BA398" w:rsidR="002C1A1B" w:rsidRPr="00DD1B58" w:rsidRDefault="00246687"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Spent Fuel Pond</w:t>
            </w:r>
            <w:r w:rsidR="002C1A1B" w:rsidRPr="00DD1B58">
              <w:rPr>
                <w:rFonts w:eastAsia="Times New Roman"/>
                <w:color w:val="000000" w:themeColor="text1"/>
                <w:szCs w:val="24"/>
                <w:lang w:val="en-US" w:eastAsia="en-GB" w:bidi="ar-SA"/>
              </w:rPr>
              <w:t> </w:t>
            </w:r>
          </w:p>
        </w:tc>
      </w:tr>
      <w:tr w:rsidR="002C1A1B" w:rsidRPr="00DD1B58" w14:paraId="53930BD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EAF215D" w14:textId="0AEDD8AD"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SFPE </w:t>
            </w:r>
          </w:p>
        </w:tc>
        <w:tc>
          <w:tcPr>
            <w:tcW w:w="7848" w:type="dxa"/>
            <w:tcBorders>
              <w:top w:val="single" w:sz="6" w:space="0" w:color="22413A"/>
              <w:left w:val="single" w:sz="6" w:space="0" w:color="22413A"/>
              <w:bottom w:val="single" w:sz="6" w:space="0" w:color="22413A"/>
              <w:right w:val="nil"/>
            </w:tcBorders>
            <w:shd w:val="clear" w:color="auto" w:fill="auto"/>
            <w:hideMark/>
          </w:tcPr>
          <w:p w14:paraId="1F9FE14D" w14:textId="7FD83D4F"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Society of Fire Protection Engineers</w:t>
            </w:r>
          </w:p>
        </w:tc>
      </w:tr>
      <w:tr w:rsidR="002C1A1B" w:rsidRPr="00DD1B58" w14:paraId="19A7A6E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B39C172" w14:textId="7E800886" w:rsidR="002C1A1B" w:rsidRPr="00DD1B58" w:rsidRDefault="002C1A1B"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SFS/ZFS </w:t>
            </w:r>
          </w:p>
        </w:tc>
        <w:tc>
          <w:tcPr>
            <w:tcW w:w="7848" w:type="dxa"/>
            <w:tcBorders>
              <w:top w:val="single" w:sz="6" w:space="0" w:color="22413A"/>
              <w:left w:val="single" w:sz="6" w:space="0" w:color="22413A"/>
              <w:bottom w:val="single" w:sz="6" w:space="0" w:color="22413A"/>
              <w:right w:val="nil"/>
            </w:tcBorders>
            <w:shd w:val="clear" w:color="auto" w:fill="auto"/>
            <w:hideMark/>
          </w:tcPr>
          <w:p w14:paraId="01BF0ECE" w14:textId="3C4370D6" w:rsidR="002C1A1B" w:rsidRPr="00DD1B58" w:rsidRDefault="002C1A1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Nuclear Fire Safety Compartment / Nuclear Fire Safety Cell  </w:t>
            </w:r>
          </w:p>
        </w:tc>
      </w:tr>
      <w:tr w:rsidR="00AA2291" w:rsidRPr="00DD1B58" w14:paraId="10AA899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FBA3931" w14:textId="577899D2" w:rsidR="00AA2291" w:rsidRPr="00DD1B58" w:rsidRDefault="00AA229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SGHWR </w:t>
            </w:r>
          </w:p>
        </w:tc>
        <w:tc>
          <w:tcPr>
            <w:tcW w:w="7848" w:type="dxa"/>
            <w:tcBorders>
              <w:top w:val="single" w:sz="6" w:space="0" w:color="22413A"/>
              <w:left w:val="single" w:sz="6" w:space="0" w:color="22413A"/>
              <w:bottom w:val="single" w:sz="6" w:space="0" w:color="22413A"/>
              <w:right w:val="nil"/>
            </w:tcBorders>
            <w:shd w:val="clear" w:color="auto" w:fill="auto"/>
            <w:hideMark/>
          </w:tcPr>
          <w:p w14:paraId="3630FEC5" w14:textId="073D78ED" w:rsidR="00AA2291" w:rsidRPr="00DD1B58" w:rsidRDefault="00AA2291"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Steam Generating Heavy Water Reactor </w:t>
            </w:r>
          </w:p>
        </w:tc>
      </w:tr>
      <w:tr w:rsidR="00AA2291" w:rsidRPr="00DD1B58" w14:paraId="67DB7B8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96DE86E" w14:textId="64E227F0" w:rsidR="00AA2291" w:rsidRPr="00DD1B58" w:rsidRDefault="00AA229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SHE </w:t>
            </w:r>
          </w:p>
        </w:tc>
        <w:tc>
          <w:tcPr>
            <w:tcW w:w="7848" w:type="dxa"/>
            <w:tcBorders>
              <w:top w:val="single" w:sz="6" w:space="0" w:color="22413A"/>
              <w:left w:val="single" w:sz="6" w:space="0" w:color="22413A"/>
              <w:bottom w:val="single" w:sz="6" w:space="0" w:color="22413A"/>
              <w:right w:val="nil"/>
            </w:tcBorders>
            <w:shd w:val="clear" w:color="auto" w:fill="auto"/>
            <w:hideMark/>
          </w:tcPr>
          <w:p w14:paraId="087ABE19" w14:textId="728AE388" w:rsidR="00AA2291" w:rsidRPr="00DD1B58" w:rsidRDefault="0053133F"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Health and Environment</w:t>
            </w:r>
          </w:p>
        </w:tc>
      </w:tr>
      <w:tr w:rsidR="00AA2291" w:rsidRPr="00DD1B58" w14:paraId="696FD68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A1FD272" w14:textId="2DC69BE8" w:rsidR="00AA2291" w:rsidRPr="00DD1B58" w:rsidRDefault="00AA229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SID </w:t>
            </w:r>
          </w:p>
        </w:tc>
        <w:tc>
          <w:tcPr>
            <w:tcW w:w="7848" w:type="dxa"/>
            <w:tcBorders>
              <w:top w:val="single" w:sz="6" w:space="0" w:color="22413A"/>
              <w:left w:val="single" w:sz="6" w:space="0" w:color="22413A"/>
              <w:bottom w:val="single" w:sz="6" w:space="0" w:color="22413A"/>
              <w:right w:val="nil"/>
            </w:tcBorders>
            <w:shd w:val="clear" w:color="auto" w:fill="auto"/>
            <w:hideMark/>
          </w:tcPr>
          <w:p w14:paraId="61D953C7" w14:textId="690327C7" w:rsidR="00AA2291" w:rsidRPr="00DD1B58" w:rsidRDefault="00AA2291"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Sodium Inventory Disposal  </w:t>
            </w:r>
          </w:p>
        </w:tc>
      </w:tr>
      <w:tr w:rsidR="00C9546C" w:rsidRPr="00DD1B58" w14:paraId="73BF046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284EB35" w14:textId="420214E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SLMS </w:t>
            </w:r>
          </w:p>
        </w:tc>
        <w:tc>
          <w:tcPr>
            <w:tcW w:w="7848" w:type="dxa"/>
            <w:tcBorders>
              <w:top w:val="single" w:sz="6" w:space="0" w:color="22413A"/>
              <w:left w:val="single" w:sz="6" w:space="0" w:color="22413A"/>
              <w:bottom w:val="single" w:sz="6" w:space="0" w:color="22413A"/>
              <w:right w:val="nil"/>
            </w:tcBorders>
            <w:shd w:val="clear" w:color="auto" w:fill="auto"/>
            <w:hideMark/>
          </w:tcPr>
          <w:p w14:paraId="404009A6" w14:textId="49BA902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Sellafield Ltd Management System  </w:t>
            </w:r>
          </w:p>
        </w:tc>
      </w:tr>
      <w:tr w:rsidR="00C9546C" w:rsidRPr="00DD1B58" w14:paraId="7D0DE9D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2184E11" w14:textId="2488EC2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SM </w:t>
            </w:r>
          </w:p>
        </w:tc>
        <w:tc>
          <w:tcPr>
            <w:tcW w:w="7848" w:type="dxa"/>
            <w:tcBorders>
              <w:top w:val="single" w:sz="6" w:space="0" w:color="22413A"/>
              <w:left w:val="single" w:sz="6" w:space="0" w:color="22413A"/>
              <w:bottom w:val="single" w:sz="6" w:space="0" w:color="22413A"/>
              <w:right w:val="nil"/>
            </w:tcBorders>
            <w:shd w:val="clear" w:color="auto" w:fill="auto"/>
            <w:hideMark/>
          </w:tcPr>
          <w:p w14:paraId="79779EA4" w14:textId="7AEFED1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Safety Mechanism </w:t>
            </w:r>
          </w:p>
        </w:tc>
      </w:tr>
      <w:tr w:rsidR="00C9546C" w:rsidRPr="00DD1B58" w14:paraId="60AAE78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9D011F4" w14:textId="4A97875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SME </w:t>
            </w:r>
          </w:p>
        </w:tc>
        <w:tc>
          <w:tcPr>
            <w:tcW w:w="7848" w:type="dxa"/>
            <w:tcBorders>
              <w:top w:val="single" w:sz="6" w:space="0" w:color="22413A"/>
              <w:left w:val="single" w:sz="6" w:space="0" w:color="22413A"/>
              <w:bottom w:val="single" w:sz="6" w:space="0" w:color="22413A"/>
              <w:right w:val="nil"/>
            </w:tcBorders>
            <w:shd w:val="clear" w:color="auto" w:fill="auto"/>
            <w:hideMark/>
          </w:tcPr>
          <w:p w14:paraId="5E4D906F" w14:textId="06FFE98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themeColor="text1"/>
                <w:szCs w:val="24"/>
                <w:lang w:val="en-US" w:eastAsia="en-GB" w:bidi="ar-SA"/>
              </w:rPr>
              <w:t>Subject Matter Expert  </w:t>
            </w:r>
          </w:p>
        </w:tc>
      </w:tr>
      <w:tr w:rsidR="00C9546C" w:rsidRPr="00DD1B58" w14:paraId="1B70626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78069BA" w14:textId="6E94A5D4"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SPRS </w:t>
            </w:r>
          </w:p>
        </w:tc>
        <w:tc>
          <w:tcPr>
            <w:tcW w:w="7848" w:type="dxa"/>
            <w:tcBorders>
              <w:top w:val="single" w:sz="6" w:space="0" w:color="22413A"/>
              <w:left w:val="single" w:sz="6" w:space="0" w:color="22413A"/>
              <w:bottom w:val="single" w:sz="6" w:space="0" w:color="22413A"/>
              <w:right w:val="nil"/>
            </w:tcBorders>
            <w:shd w:val="clear" w:color="auto" w:fill="auto"/>
            <w:hideMark/>
          </w:tcPr>
          <w:p w14:paraId="3464D5F2" w14:textId="5EF7F400"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Sellafield Product and Residues Store  </w:t>
            </w:r>
          </w:p>
        </w:tc>
      </w:tr>
      <w:tr w:rsidR="00C9546C" w:rsidRPr="00DD1B58" w14:paraId="68CB10B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17CF4AC" w14:textId="617D25E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SQEP </w:t>
            </w:r>
          </w:p>
        </w:tc>
        <w:tc>
          <w:tcPr>
            <w:tcW w:w="7848" w:type="dxa"/>
            <w:tcBorders>
              <w:top w:val="single" w:sz="6" w:space="0" w:color="22413A"/>
              <w:left w:val="single" w:sz="6" w:space="0" w:color="22413A"/>
              <w:bottom w:val="single" w:sz="6" w:space="0" w:color="22413A"/>
              <w:right w:val="nil"/>
            </w:tcBorders>
            <w:shd w:val="clear" w:color="auto" w:fill="auto"/>
            <w:hideMark/>
          </w:tcPr>
          <w:p w14:paraId="71C334BC" w14:textId="554ABB48"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Suitably Qualified and Experienced Person </w:t>
            </w:r>
          </w:p>
        </w:tc>
      </w:tr>
      <w:tr w:rsidR="00C9546C" w:rsidRPr="00DD1B58" w14:paraId="06FA527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14D6FEF" w14:textId="4DCA514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SR </w:t>
            </w:r>
          </w:p>
        </w:tc>
        <w:tc>
          <w:tcPr>
            <w:tcW w:w="7848" w:type="dxa"/>
            <w:tcBorders>
              <w:top w:val="single" w:sz="6" w:space="0" w:color="22413A"/>
              <w:left w:val="single" w:sz="6" w:space="0" w:color="22413A"/>
              <w:bottom w:val="single" w:sz="6" w:space="0" w:color="22413A"/>
              <w:right w:val="nil"/>
            </w:tcBorders>
            <w:shd w:val="clear" w:color="auto" w:fill="auto"/>
            <w:hideMark/>
          </w:tcPr>
          <w:p w14:paraId="22CBFECA" w14:textId="6C185A62"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related  </w:t>
            </w:r>
          </w:p>
        </w:tc>
      </w:tr>
      <w:tr w:rsidR="00C9546C" w:rsidRPr="00DD1B58" w14:paraId="799A6B0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C3B6DB6" w14:textId="1EA7FE7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SRE </w:t>
            </w:r>
          </w:p>
        </w:tc>
        <w:tc>
          <w:tcPr>
            <w:tcW w:w="7848" w:type="dxa"/>
            <w:tcBorders>
              <w:top w:val="single" w:sz="6" w:space="0" w:color="22413A"/>
              <w:left w:val="single" w:sz="6" w:space="0" w:color="22413A"/>
              <w:bottom w:val="single" w:sz="6" w:space="0" w:color="22413A"/>
              <w:right w:val="nil"/>
            </w:tcBorders>
            <w:shd w:val="clear" w:color="auto" w:fill="auto"/>
            <w:hideMark/>
          </w:tcPr>
          <w:p w14:paraId="1EECB2F7" w14:textId="7758D908"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Safety-related Equipment  </w:t>
            </w:r>
          </w:p>
        </w:tc>
      </w:tr>
      <w:tr w:rsidR="00C9546C" w:rsidRPr="00DD1B58" w14:paraId="1CE1741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4088EFC" w14:textId="05FC358C"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SRF </w:t>
            </w:r>
          </w:p>
        </w:tc>
        <w:tc>
          <w:tcPr>
            <w:tcW w:w="7848" w:type="dxa"/>
            <w:tcBorders>
              <w:top w:val="single" w:sz="6" w:space="0" w:color="22413A"/>
              <w:left w:val="single" w:sz="6" w:space="0" w:color="22413A"/>
              <w:bottom w:val="single" w:sz="6" w:space="0" w:color="22413A"/>
              <w:right w:val="nil"/>
            </w:tcBorders>
            <w:shd w:val="clear" w:color="auto" w:fill="auto"/>
            <w:hideMark/>
          </w:tcPr>
          <w:p w14:paraId="4762303D" w14:textId="799991F9"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Size Reduction Facility  </w:t>
            </w:r>
          </w:p>
        </w:tc>
      </w:tr>
      <w:tr w:rsidR="00C9546C" w:rsidRPr="00DD1B58" w14:paraId="39A9C20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02E9D33" w14:textId="1E0D3AE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SRI </w:t>
            </w:r>
          </w:p>
        </w:tc>
        <w:tc>
          <w:tcPr>
            <w:tcW w:w="7848" w:type="dxa"/>
            <w:tcBorders>
              <w:top w:val="single" w:sz="6" w:space="0" w:color="22413A"/>
              <w:left w:val="single" w:sz="6" w:space="0" w:color="22413A"/>
              <w:bottom w:val="single" w:sz="6" w:space="0" w:color="22413A"/>
              <w:right w:val="nil"/>
            </w:tcBorders>
            <w:shd w:val="clear" w:color="auto" w:fill="auto"/>
            <w:hideMark/>
          </w:tcPr>
          <w:p w14:paraId="67516C04" w14:textId="24FC4CB5"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Related Instrumentation  </w:t>
            </w:r>
          </w:p>
        </w:tc>
      </w:tr>
      <w:tr w:rsidR="00C9546C" w:rsidRPr="00DD1B58" w14:paraId="3EC792C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0854196" w14:textId="0185312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SRL </w:t>
            </w:r>
          </w:p>
        </w:tc>
        <w:tc>
          <w:tcPr>
            <w:tcW w:w="7848" w:type="dxa"/>
            <w:tcBorders>
              <w:top w:val="single" w:sz="6" w:space="0" w:color="22413A"/>
              <w:left w:val="single" w:sz="6" w:space="0" w:color="22413A"/>
              <w:bottom w:val="single" w:sz="6" w:space="0" w:color="22413A"/>
              <w:right w:val="nil"/>
            </w:tcBorders>
            <w:shd w:val="clear" w:color="auto" w:fill="auto"/>
            <w:hideMark/>
          </w:tcPr>
          <w:p w14:paraId="5331F66D" w14:textId="670E2609"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Reference Levels </w:t>
            </w:r>
          </w:p>
        </w:tc>
      </w:tr>
      <w:tr w:rsidR="00C9546C" w:rsidRPr="00DD1B58" w14:paraId="340CBD2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955EA2E" w14:textId="1209B85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SSC </w:t>
            </w:r>
          </w:p>
        </w:tc>
        <w:tc>
          <w:tcPr>
            <w:tcW w:w="7848" w:type="dxa"/>
            <w:tcBorders>
              <w:top w:val="single" w:sz="6" w:space="0" w:color="22413A"/>
              <w:left w:val="single" w:sz="6" w:space="0" w:color="22413A"/>
              <w:bottom w:val="single" w:sz="6" w:space="0" w:color="22413A"/>
              <w:right w:val="nil"/>
            </w:tcBorders>
            <w:shd w:val="clear" w:color="auto" w:fill="auto"/>
            <w:hideMark/>
          </w:tcPr>
          <w:p w14:paraId="4005A80C" w14:textId="0C4F90B2"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Structures, Systems and Components  </w:t>
            </w:r>
          </w:p>
        </w:tc>
      </w:tr>
      <w:tr w:rsidR="00C9546C" w:rsidRPr="00DD1B58" w14:paraId="4E2C232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7C29255" w14:textId="50BA5A9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SSG </w:t>
            </w:r>
          </w:p>
        </w:tc>
        <w:tc>
          <w:tcPr>
            <w:tcW w:w="7848" w:type="dxa"/>
            <w:tcBorders>
              <w:top w:val="single" w:sz="6" w:space="0" w:color="22413A"/>
              <w:left w:val="single" w:sz="6" w:space="0" w:color="22413A"/>
              <w:bottom w:val="single" w:sz="6" w:space="0" w:color="22413A"/>
              <w:right w:val="nil"/>
            </w:tcBorders>
            <w:shd w:val="clear" w:color="auto" w:fill="auto"/>
            <w:hideMark/>
          </w:tcPr>
          <w:p w14:paraId="2E74B40D" w14:textId="044B9067"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Specific Safety Guide</w:t>
            </w:r>
          </w:p>
        </w:tc>
      </w:tr>
      <w:tr w:rsidR="00C9546C" w:rsidRPr="00DD1B58" w14:paraId="5B4E9A1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E4D4D23" w14:textId="3096EE71"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SSI </w:t>
            </w:r>
          </w:p>
        </w:tc>
        <w:tc>
          <w:tcPr>
            <w:tcW w:w="7848" w:type="dxa"/>
            <w:tcBorders>
              <w:top w:val="single" w:sz="6" w:space="0" w:color="22413A"/>
              <w:left w:val="single" w:sz="6" w:space="0" w:color="22413A"/>
              <w:bottom w:val="single" w:sz="6" w:space="0" w:color="22413A"/>
              <w:right w:val="nil"/>
            </w:tcBorders>
            <w:shd w:val="clear" w:color="auto" w:fill="auto"/>
            <w:hideMark/>
          </w:tcPr>
          <w:p w14:paraId="4694F382" w14:textId="04C55B13"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Site Safety Instructions </w:t>
            </w:r>
          </w:p>
        </w:tc>
      </w:tr>
      <w:tr w:rsidR="00C9546C" w:rsidRPr="00DD1B58" w14:paraId="20E66AB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17B4D35" w14:textId="591B8AB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SSR </w:t>
            </w:r>
          </w:p>
        </w:tc>
        <w:tc>
          <w:tcPr>
            <w:tcW w:w="7848" w:type="dxa"/>
            <w:tcBorders>
              <w:top w:val="single" w:sz="6" w:space="0" w:color="22413A"/>
              <w:left w:val="single" w:sz="6" w:space="0" w:color="22413A"/>
              <w:bottom w:val="single" w:sz="6" w:space="0" w:color="22413A"/>
              <w:right w:val="nil"/>
            </w:tcBorders>
            <w:shd w:val="clear" w:color="auto" w:fill="auto"/>
            <w:hideMark/>
          </w:tcPr>
          <w:p w14:paraId="224DE211" w14:textId="2A795AB9"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Specific Safety Requirements </w:t>
            </w:r>
          </w:p>
        </w:tc>
      </w:tr>
      <w:tr w:rsidR="00C9546C" w:rsidRPr="00DD1B58" w14:paraId="51679CC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215812B" w14:textId="3369733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SSRI </w:t>
            </w:r>
          </w:p>
        </w:tc>
        <w:tc>
          <w:tcPr>
            <w:tcW w:w="7848" w:type="dxa"/>
            <w:tcBorders>
              <w:top w:val="single" w:sz="6" w:space="0" w:color="22413A"/>
              <w:left w:val="single" w:sz="6" w:space="0" w:color="22413A"/>
              <w:bottom w:val="single" w:sz="6" w:space="0" w:color="22413A"/>
              <w:right w:val="nil"/>
            </w:tcBorders>
            <w:shd w:val="clear" w:color="auto" w:fill="auto"/>
            <w:hideMark/>
          </w:tcPr>
          <w:p w14:paraId="4E092F47" w14:textId="6E14382A"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szCs w:val="24"/>
                <w:lang w:val="en-US" w:eastAsia="en-GB" w:bidi="ar-SA"/>
              </w:rPr>
              <w:t>Site-Specific Risk Information </w:t>
            </w:r>
          </w:p>
        </w:tc>
      </w:tr>
      <w:tr w:rsidR="00C9546C" w:rsidRPr="00DD1B58" w14:paraId="3A025F9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EF61393" w14:textId="3D22BF7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SSS </w:t>
            </w:r>
          </w:p>
        </w:tc>
        <w:tc>
          <w:tcPr>
            <w:tcW w:w="7848" w:type="dxa"/>
            <w:tcBorders>
              <w:top w:val="single" w:sz="6" w:space="0" w:color="22413A"/>
              <w:left w:val="single" w:sz="6" w:space="0" w:color="22413A"/>
              <w:bottom w:val="single" w:sz="6" w:space="0" w:color="22413A"/>
              <w:right w:val="nil"/>
            </w:tcBorders>
            <w:shd w:val="clear" w:color="auto" w:fill="auto"/>
            <w:hideMark/>
          </w:tcPr>
          <w:p w14:paraId="1159B85C" w14:textId="51F32BB3"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Safe Shutdown State  </w:t>
            </w:r>
          </w:p>
        </w:tc>
      </w:tr>
      <w:tr w:rsidR="00C9546C" w:rsidRPr="00DD1B58" w14:paraId="63BF611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1ADABD" w14:textId="4A05750F"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SSSC </w:t>
            </w:r>
          </w:p>
        </w:tc>
        <w:tc>
          <w:tcPr>
            <w:tcW w:w="7848" w:type="dxa"/>
            <w:tcBorders>
              <w:top w:val="single" w:sz="6" w:space="0" w:color="22413A"/>
              <w:left w:val="single" w:sz="6" w:space="0" w:color="22413A"/>
              <w:bottom w:val="single" w:sz="6" w:space="0" w:color="22413A"/>
              <w:right w:val="nil"/>
            </w:tcBorders>
            <w:shd w:val="clear" w:color="auto" w:fill="auto"/>
            <w:hideMark/>
          </w:tcPr>
          <w:p w14:paraId="094629D4" w14:textId="160D0CBB" w:rsidR="00C9546C" w:rsidRPr="00DD1B58" w:rsidRDefault="002C3DE9"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Safety Systems, Structures and Components</w:t>
            </w:r>
          </w:p>
        </w:tc>
      </w:tr>
      <w:tr w:rsidR="00C9546C" w:rsidRPr="00DD1B58" w14:paraId="5F1D88C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FFC763D" w14:textId="5947172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STF </w:t>
            </w:r>
          </w:p>
        </w:tc>
        <w:tc>
          <w:tcPr>
            <w:tcW w:w="7848" w:type="dxa"/>
            <w:tcBorders>
              <w:top w:val="single" w:sz="6" w:space="0" w:color="22413A"/>
              <w:left w:val="single" w:sz="6" w:space="0" w:color="22413A"/>
              <w:bottom w:val="single" w:sz="6" w:space="0" w:color="22413A"/>
              <w:right w:val="nil"/>
            </w:tcBorders>
            <w:shd w:val="clear" w:color="auto" w:fill="auto"/>
            <w:hideMark/>
          </w:tcPr>
          <w:p w14:paraId="5350D58E" w14:textId="5604E832"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Sodium Tank Farm  </w:t>
            </w:r>
          </w:p>
        </w:tc>
      </w:tr>
      <w:tr w:rsidR="00C9546C" w:rsidRPr="00DD1B58" w14:paraId="6C32220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6D270E" w14:textId="6AA41EDC"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SWP </w:t>
            </w:r>
          </w:p>
        </w:tc>
        <w:tc>
          <w:tcPr>
            <w:tcW w:w="7848" w:type="dxa"/>
            <w:tcBorders>
              <w:top w:val="single" w:sz="6" w:space="0" w:color="22413A"/>
              <w:left w:val="single" w:sz="6" w:space="0" w:color="22413A"/>
              <w:bottom w:val="single" w:sz="6" w:space="0" w:color="22413A"/>
              <w:right w:val="nil"/>
            </w:tcBorders>
            <w:shd w:val="clear" w:color="auto" w:fill="auto"/>
            <w:hideMark/>
          </w:tcPr>
          <w:p w14:paraId="747FF6F6" w14:textId="3443CBB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Sea Wall Structures  </w:t>
            </w:r>
          </w:p>
        </w:tc>
      </w:tr>
      <w:tr w:rsidR="00C9546C" w:rsidRPr="00DD1B58" w14:paraId="1AF153F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A4FEDF6" w14:textId="1C43683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SZB </w:t>
            </w:r>
          </w:p>
        </w:tc>
        <w:tc>
          <w:tcPr>
            <w:tcW w:w="7848" w:type="dxa"/>
            <w:tcBorders>
              <w:top w:val="single" w:sz="6" w:space="0" w:color="22413A"/>
              <w:left w:val="single" w:sz="6" w:space="0" w:color="22413A"/>
              <w:bottom w:val="single" w:sz="6" w:space="0" w:color="22413A"/>
              <w:right w:val="nil"/>
            </w:tcBorders>
            <w:shd w:val="clear" w:color="auto" w:fill="auto"/>
            <w:hideMark/>
          </w:tcPr>
          <w:p w14:paraId="4768CF9B" w14:textId="6D3299D3"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Sizewell B </w:t>
            </w:r>
          </w:p>
        </w:tc>
      </w:tr>
      <w:tr w:rsidR="00C9546C" w:rsidRPr="00DD1B58" w14:paraId="7CC4E20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72ED85D" w14:textId="20835C0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SZC </w:t>
            </w:r>
          </w:p>
        </w:tc>
        <w:tc>
          <w:tcPr>
            <w:tcW w:w="7848" w:type="dxa"/>
            <w:tcBorders>
              <w:top w:val="single" w:sz="6" w:space="0" w:color="22413A"/>
              <w:left w:val="single" w:sz="6" w:space="0" w:color="22413A"/>
              <w:bottom w:val="single" w:sz="6" w:space="0" w:color="22413A"/>
              <w:right w:val="nil"/>
            </w:tcBorders>
            <w:shd w:val="clear" w:color="auto" w:fill="auto"/>
            <w:hideMark/>
          </w:tcPr>
          <w:p w14:paraId="1B2F3304" w14:textId="2753BF8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Sizewell C </w:t>
            </w:r>
          </w:p>
        </w:tc>
      </w:tr>
      <w:tr w:rsidR="00C9546C" w:rsidRPr="00DD1B58" w14:paraId="4CD1F51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81F8AD2" w14:textId="489D52B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TAG </w:t>
            </w:r>
          </w:p>
        </w:tc>
        <w:tc>
          <w:tcPr>
            <w:tcW w:w="7848" w:type="dxa"/>
            <w:tcBorders>
              <w:top w:val="single" w:sz="6" w:space="0" w:color="22413A"/>
              <w:left w:val="single" w:sz="6" w:space="0" w:color="22413A"/>
              <w:bottom w:val="single" w:sz="6" w:space="0" w:color="22413A"/>
              <w:right w:val="nil"/>
            </w:tcBorders>
            <w:shd w:val="clear" w:color="auto" w:fill="auto"/>
            <w:hideMark/>
          </w:tcPr>
          <w:p w14:paraId="5D1D6C56" w14:textId="18D3FB4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Technical Assessment Guide </w:t>
            </w:r>
          </w:p>
        </w:tc>
      </w:tr>
      <w:tr w:rsidR="00C9546C" w:rsidRPr="00DD1B58" w14:paraId="7A61E64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DB51328" w14:textId="2A80BA9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TBC </w:t>
            </w:r>
          </w:p>
        </w:tc>
        <w:tc>
          <w:tcPr>
            <w:tcW w:w="7848" w:type="dxa"/>
            <w:tcBorders>
              <w:top w:val="single" w:sz="6" w:space="0" w:color="22413A"/>
              <w:left w:val="single" w:sz="6" w:space="0" w:color="22413A"/>
              <w:bottom w:val="single" w:sz="6" w:space="0" w:color="22413A"/>
              <w:right w:val="nil"/>
            </w:tcBorders>
            <w:shd w:val="clear" w:color="auto" w:fill="auto"/>
            <w:hideMark/>
          </w:tcPr>
          <w:p w14:paraId="16ACB329" w14:textId="2989135C"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To be confirmed </w:t>
            </w:r>
          </w:p>
        </w:tc>
      </w:tr>
      <w:tr w:rsidR="00C9546C" w:rsidRPr="00DD1B58" w14:paraId="6F5862D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CB854A" w14:textId="03D47D9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TBP/OK </w:t>
            </w:r>
          </w:p>
        </w:tc>
        <w:tc>
          <w:tcPr>
            <w:tcW w:w="7848" w:type="dxa"/>
            <w:tcBorders>
              <w:top w:val="single" w:sz="6" w:space="0" w:color="22413A"/>
              <w:left w:val="single" w:sz="6" w:space="0" w:color="22413A"/>
              <w:bottom w:val="single" w:sz="6" w:space="0" w:color="22413A"/>
              <w:right w:val="nil"/>
            </w:tcBorders>
            <w:shd w:val="clear" w:color="auto" w:fill="auto"/>
            <w:hideMark/>
          </w:tcPr>
          <w:p w14:paraId="52C51F8E" w14:textId="45549EAD" w:rsidR="00C9546C" w:rsidRPr="00DD1B58" w:rsidRDefault="000E0945"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w:t>
            </w:r>
            <w:r w:rsidR="00C9546C" w:rsidRPr="00DD1B58">
              <w:rPr>
                <w:rFonts w:eastAsia="Times New Roman"/>
                <w:color w:val="000000"/>
                <w:szCs w:val="24"/>
                <w:lang w:val="en-US" w:eastAsia="en-GB" w:bidi="ar-SA"/>
              </w:rPr>
              <w:t>ri-n-butyl phosphate/</w:t>
            </w:r>
            <w:r w:rsidRPr="00DD1B58">
              <w:rPr>
                <w:rFonts w:eastAsia="Times New Roman"/>
                <w:color w:val="000000"/>
                <w:szCs w:val="24"/>
                <w:lang w:val="en-US" w:eastAsia="en-GB" w:bidi="ar-SA"/>
              </w:rPr>
              <w:t>O</w:t>
            </w:r>
            <w:r w:rsidR="00C9546C" w:rsidRPr="00DD1B58">
              <w:rPr>
                <w:rFonts w:eastAsia="Times New Roman"/>
                <w:color w:val="000000"/>
                <w:szCs w:val="24"/>
                <w:lang w:val="en-US" w:eastAsia="en-GB" w:bidi="ar-SA"/>
              </w:rPr>
              <w:t xml:space="preserve">dourless </w:t>
            </w:r>
            <w:r w:rsidRPr="00DD1B58">
              <w:rPr>
                <w:rFonts w:eastAsia="Times New Roman"/>
                <w:color w:val="000000"/>
                <w:szCs w:val="24"/>
                <w:lang w:val="en-US" w:eastAsia="en-GB" w:bidi="ar-SA"/>
              </w:rPr>
              <w:t>k</w:t>
            </w:r>
            <w:r w:rsidR="00C9546C" w:rsidRPr="00DD1B58">
              <w:rPr>
                <w:rFonts w:eastAsia="Times New Roman"/>
                <w:color w:val="000000"/>
                <w:szCs w:val="24"/>
                <w:lang w:val="en-US" w:eastAsia="en-GB" w:bidi="ar-SA"/>
              </w:rPr>
              <w:t>erosene </w:t>
            </w:r>
          </w:p>
        </w:tc>
      </w:tr>
      <w:tr w:rsidR="00C9546C" w:rsidRPr="00DD1B58" w14:paraId="2DF3A55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CD51DFD" w14:textId="6CF96075"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TH </w:t>
            </w:r>
          </w:p>
        </w:tc>
        <w:tc>
          <w:tcPr>
            <w:tcW w:w="7848" w:type="dxa"/>
            <w:tcBorders>
              <w:top w:val="single" w:sz="6" w:space="0" w:color="22413A"/>
              <w:left w:val="single" w:sz="6" w:space="0" w:color="22413A"/>
              <w:bottom w:val="single" w:sz="6" w:space="0" w:color="22413A"/>
              <w:right w:val="nil"/>
            </w:tcBorders>
            <w:shd w:val="clear" w:color="auto" w:fill="auto"/>
            <w:hideMark/>
          </w:tcPr>
          <w:p w14:paraId="06EC2FD5" w14:textId="7AEB423F"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Turbine Hall  </w:t>
            </w:r>
          </w:p>
        </w:tc>
      </w:tr>
      <w:tr w:rsidR="00C9546C" w:rsidRPr="00DD1B58" w14:paraId="539B7B2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71AE5D3" w14:textId="5FD47F1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THORP </w:t>
            </w:r>
          </w:p>
        </w:tc>
        <w:tc>
          <w:tcPr>
            <w:tcW w:w="7848" w:type="dxa"/>
            <w:tcBorders>
              <w:top w:val="single" w:sz="6" w:space="0" w:color="22413A"/>
              <w:left w:val="single" w:sz="6" w:space="0" w:color="22413A"/>
              <w:bottom w:val="single" w:sz="6" w:space="0" w:color="22413A"/>
              <w:right w:val="nil"/>
            </w:tcBorders>
            <w:shd w:val="clear" w:color="auto" w:fill="auto"/>
            <w:hideMark/>
          </w:tcPr>
          <w:p w14:paraId="5DEFCD15" w14:textId="68C22BA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Thermal Oxide Reprocessing Plant </w:t>
            </w:r>
          </w:p>
        </w:tc>
      </w:tr>
      <w:tr w:rsidR="00C9546C" w:rsidRPr="00DD1B58" w14:paraId="4FF79D3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ED0E09D" w14:textId="47133E8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TMF </w:t>
            </w:r>
          </w:p>
        </w:tc>
        <w:tc>
          <w:tcPr>
            <w:tcW w:w="7848" w:type="dxa"/>
            <w:tcBorders>
              <w:top w:val="single" w:sz="6" w:space="0" w:color="22413A"/>
              <w:left w:val="single" w:sz="6" w:space="0" w:color="22413A"/>
              <w:bottom w:val="single" w:sz="6" w:space="0" w:color="22413A"/>
              <w:right w:val="nil"/>
            </w:tcBorders>
            <w:shd w:val="clear" w:color="auto" w:fill="auto"/>
            <w:hideMark/>
          </w:tcPr>
          <w:p w14:paraId="7E459F27" w14:textId="4385B19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Tails Management Facility  </w:t>
            </w:r>
          </w:p>
        </w:tc>
      </w:tr>
      <w:tr w:rsidR="00C9546C" w:rsidRPr="00DD1B58" w14:paraId="2D26518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95839F3" w14:textId="529EC89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TOR </w:t>
            </w:r>
          </w:p>
        </w:tc>
        <w:tc>
          <w:tcPr>
            <w:tcW w:w="7848" w:type="dxa"/>
            <w:tcBorders>
              <w:top w:val="single" w:sz="6" w:space="0" w:color="22413A"/>
              <w:left w:val="single" w:sz="6" w:space="0" w:color="22413A"/>
              <w:bottom w:val="single" w:sz="6" w:space="0" w:color="22413A"/>
              <w:right w:val="nil"/>
            </w:tcBorders>
            <w:shd w:val="clear" w:color="auto" w:fill="auto"/>
            <w:hideMark/>
          </w:tcPr>
          <w:p w14:paraId="78B404BA" w14:textId="54FC0AC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Torness  </w:t>
            </w:r>
          </w:p>
        </w:tc>
      </w:tr>
      <w:tr w:rsidR="00C9546C" w:rsidRPr="00DD1B58" w14:paraId="08E6924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212688F" w14:textId="2CB61C5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TPR </w:t>
            </w:r>
          </w:p>
        </w:tc>
        <w:tc>
          <w:tcPr>
            <w:tcW w:w="7848" w:type="dxa"/>
            <w:tcBorders>
              <w:top w:val="single" w:sz="6" w:space="0" w:color="22413A"/>
              <w:left w:val="single" w:sz="6" w:space="0" w:color="22413A"/>
              <w:bottom w:val="single" w:sz="6" w:space="0" w:color="22413A"/>
              <w:right w:val="nil"/>
            </w:tcBorders>
            <w:shd w:val="clear" w:color="auto" w:fill="auto"/>
            <w:hideMark/>
          </w:tcPr>
          <w:p w14:paraId="0741F87D" w14:textId="63C8F6AF" w:rsidR="00C9546C" w:rsidRPr="00DD1B58" w:rsidRDefault="000E0945"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w:t>
            </w:r>
            <w:r w:rsidR="00C9546C" w:rsidRPr="00DD1B58">
              <w:rPr>
                <w:rFonts w:eastAsia="Times New Roman"/>
                <w:color w:val="000000" w:themeColor="text1"/>
                <w:szCs w:val="24"/>
                <w:lang w:val="en-US" w:eastAsia="en-GB" w:bidi="ar-SA"/>
              </w:rPr>
              <w:t xml:space="preserve">opical </w:t>
            </w:r>
            <w:r w:rsidRPr="00DD1B58">
              <w:rPr>
                <w:rFonts w:eastAsia="Times New Roman"/>
                <w:color w:val="000000" w:themeColor="text1"/>
                <w:szCs w:val="24"/>
                <w:lang w:val="en-US" w:eastAsia="en-GB" w:bidi="ar-SA"/>
              </w:rPr>
              <w:t>P</w:t>
            </w:r>
            <w:r w:rsidR="00C9546C" w:rsidRPr="00DD1B58">
              <w:rPr>
                <w:rFonts w:eastAsia="Times New Roman"/>
                <w:color w:val="000000" w:themeColor="text1"/>
                <w:szCs w:val="24"/>
                <w:lang w:val="en-US" w:eastAsia="en-GB" w:bidi="ar-SA"/>
              </w:rPr>
              <w:t xml:space="preserve">eer </w:t>
            </w:r>
            <w:r w:rsidRPr="00DD1B58">
              <w:rPr>
                <w:rFonts w:eastAsia="Times New Roman"/>
                <w:color w:val="000000" w:themeColor="text1"/>
                <w:szCs w:val="24"/>
                <w:lang w:val="en-US" w:eastAsia="en-GB" w:bidi="ar-SA"/>
              </w:rPr>
              <w:t>R</w:t>
            </w:r>
            <w:r w:rsidR="00C9546C" w:rsidRPr="00DD1B58">
              <w:rPr>
                <w:rFonts w:eastAsia="Times New Roman"/>
                <w:color w:val="000000" w:themeColor="text1"/>
                <w:szCs w:val="24"/>
                <w:lang w:val="en-US" w:eastAsia="en-GB" w:bidi="ar-SA"/>
              </w:rPr>
              <w:t>eview </w:t>
            </w:r>
          </w:p>
        </w:tc>
      </w:tr>
      <w:tr w:rsidR="00C9546C" w:rsidRPr="00DD1B58" w14:paraId="6277D4D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086707B" w14:textId="7D5B2414"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TR&amp;S </w:t>
            </w:r>
          </w:p>
        </w:tc>
        <w:tc>
          <w:tcPr>
            <w:tcW w:w="7848" w:type="dxa"/>
            <w:tcBorders>
              <w:top w:val="single" w:sz="6" w:space="0" w:color="22413A"/>
              <w:left w:val="single" w:sz="6" w:space="0" w:color="22413A"/>
              <w:bottom w:val="single" w:sz="6" w:space="0" w:color="22413A"/>
              <w:right w:val="nil"/>
            </w:tcBorders>
            <w:shd w:val="clear" w:color="auto" w:fill="auto"/>
            <w:hideMark/>
          </w:tcPr>
          <w:p w14:paraId="1095EB7D" w14:textId="04C53A37" w:rsidR="00C9546C" w:rsidRPr="00DD1B58" w:rsidRDefault="000E0945"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THORP Receipt and Storage</w:t>
            </w:r>
          </w:p>
        </w:tc>
      </w:tr>
      <w:tr w:rsidR="00C9546C" w:rsidRPr="00DD1B58" w14:paraId="642FBBE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A2DA31C" w14:textId="7E8483E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TRSP </w:t>
            </w:r>
          </w:p>
        </w:tc>
        <w:tc>
          <w:tcPr>
            <w:tcW w:w="7848" w:type="dxa"/>
            <w:tcBorders>
              <w:top w:val="single" w:sz="6" w:space="0" w:color="22413A"/>
              <w:left w:val="single" w:sz="6" w:space="0" w:color="22413A"/>
              <w:bottom w:val="single" w:sz="6" w:space="0" w:color="22413A"/>
              <w:right w:val="nil"/>
            </w:tcBorders>
            <w:shd w:val="clear" w:color="auto" w:fill="auto"/>
            <w:hideMark/>
          </w:tcPr>
          <w:p w14:paraId="33D742F0" w14:textId="077D529B"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THORP Receipt and Storage Pond </w:t>
            </w:r>
          </w:p>
        </w:tc>
      </w:tr>
      <w:tr w:rsidR="00C9546C" w:rsidRPr="00DD1B58" w14:paraId="324761C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647F757" w14:textId="052DA08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TSC </w:t>
            </w:r>
          </w:p>
        </w:tc>
        <w:tc>
          <w:tcPr>
            <w:tcW w:w="7848" w:type="dxa"/>
            <w:tcBorders>
              <w:top w:val="single" w:sz="6" w:space="0" w:color="22413A"/>
              <w:left w:val="single" w:sz="6" w:space="0" w:color="22413A"/>
              <w:bottom w:val="single" w:sz="6" w:space="0" w:color="22413A"/>
              <w:right w:val="nil"/>
            </w:tcBorders>
            <w:shd w:val="clear" w:color="auto" w:fill="auto"/>
            <w:hideMark/>
          </w:tcPr>
          <w:p w14:paraId="61E89274" w14:textId="67CFA767"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Technical Support Centre  </w:t>
            </w:r>
          </w:p>
        </w:tc>
      </w:tr>
      <w:tr w:rsidR="00C9546C" w:rsidRPr="00DD1B58" w14:paraId="39B6ECBB"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77EEFDF" w14:textId="493790E6"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UCP </w:t>
            </w:r>
          </w:p>
        </w:tc>
        <w:tc>
          <w:tcPr>
            <w:tcW w:w="7848" w:type="dxa"/>
            <w:tcBorders>
              <w:top w:val="single" w:sz="6" w:space="0" w:color="22413A"/>
              <w:left w:val="single" w:sz="6" w:space="0" w:color="22413A"/>
              <w:bottom w:val="single" w:sz="6" w:space="0" w:color="22413A"/>
              <w:right w:val="nil"/>
            </w:tcBorders>
            <w:shd w:val="clear" w:color="auto" w:fill="auto"/>
            <w:hideMark/>
          </w:tcPr>
          <w:p w14:paraId="5BC54362" w14:textId="0BB42427"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Urenco ChemPlants  </w:t>
            </w:r>
          </w:p>
        </w:tc>
      </w:tr>
      <w:tr w:rsidR="00C9546C" w:rsidRPr="00DD1B58" w14:paraId="3C1E4710"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9A48B84" w14:textId="7B3F708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UD </w:t>
            </w:r>
          </w:p>
        </w:tc>
        <w:tc>
          <w:tcPr>
            <w:tcW w:w="7848" w:type="dxa"/>
            <w:tcBorders>
              <w:top w:val="single" w:sz="6" w:space="0" w:color="22413A"/>
              <w:left w:val="single" w:sz="6" w:space="0" w:color="22413A"/>
              <w:bottom w:val="single" w:sz="6" w:space="0" w:color="22413A"/>
              <w:right w:val="nil"/>
            </w:tcBorders>
            <w:shd w:val="clear" w:color="auto" w:fill="auto"/>
            <w:hideMark/>
          </w:tcPr>
          <w:p w14:paraId="788908AA" w14:textId="20F6320D"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Urenco Deutschland </w:t>
            </w:r>
          </w:p>
        </w:tc>
      </w:tr>
      <w:tr w:rsidR="00C9546C" w:rsidRPr="00DD1B58" w14:paraId="650ADCC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098FA77" w14:textId="62CDEAC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UDG </w:t>
            </w:r>
          </w:p>
        </w:tc>
        <w:tc>
          <w:tcPr>
            <w:tcW w:w="7848" w:type="dxa"/>
            <w:tcBorders>
              <w:top w:val="single" w:sz="6" w:space="0" w:color="22413A"/>
              <w:left w:val="single" w:sz="6" w:space="0" w:color="22413A"/>
              <w:bottom w:val="single" w:sz="6" w:space="0" w:color="22413A"/>
              <w:right w:val="nil"/>
            </w:tcBorders>
            <w:shd w:val="clear" w:color="auto" w:fill="auto"/>
            <w:hideMark/>
          </w:tcPr>
          <w:p w14:paraId="37CD9646" w14:textId="4AB13187" w:rsidR="00C9546C" w:rsidRPr="00DD1B58" w:rsidRDefault="00391243"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s="Segoe UI"/>
                <w:szCs w:val="18"/>
                <w:lang w:val="en-US" w:eastAsia="en-GB" w:bidi="ar-SA"/>
              </w:rPr>
              <w:t>Ultimate Diesel Generator</w:t>
            </w:r>
          </w:p>
        </w:tc>
      </w:tr>
      <w:tr w:rsidR="00C9546C" w:rsidRPr="00DD1B58" w14:paraId="13AFA24D"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CC3FCCE" w14:textId="35B145A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UHF </w:t>
            </w:r>
          </w:p>
        </w:tc>
        <w:tc>
          <w:tcPr>
            <w:tcW w:w="7848" w:type="dxa"/>
            <w:tcBorders>
              <w:top w:val="single" w:sz="6" w:space="0" w:color="22413A"/>
              <w:left w:val="single" w:sz="6" w:space="0" w:color="22413A"/>
              <w:bottom w:val="single" w:sz="6" w:space="0" w:color="22413A"/>
              <w:right w:val="nil"/>
            </w:tcBorders>
            <w:shd w:val="clear" w:color="auto" w:fill="auto"/>
            <w:hideMark/>
          </w:tcPr>
          <w:p w14:paraId="35C64E1E" w14:textId="0A7198D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Ultra-high Frequency </w:t>
            </w:r>
          </w:p>
        </w:tc>
      </w:tr>
      <w:tr w:rsidR="00C9546C" w:rsidRPr="00DD1B58" w14:paraId="376A4BA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3F22FCD" w14:textId="116729E5"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UK </w:t>
            </w:r>
          </w:p>
        </w:tc>
        <w:tc>
          <w:tcPr>
            <w:tcW w:w="7848" w:type="dxa"/>
            <w:tcBorders>
              <w:top w:val="single" w:sz="6" w:space="0" w:color="22413A"/>
              <w:left w:val="single" w:sz="6" w:space="0" w:color="22413A"/>
              <w:bottom w:val="single" w:sz="6" w:space="0" w:color="22413A"/>
              <w:right w:val="nil"/>
            </w:tcBorders>
            <w:shd w:val="clear" w:color="auto" w:fill="auto"/>
            <w:hideMark/>
          </w:tcPr>
          <w:p w14:paraId="0D209E6C" w14:textId="084921BD" w:rsidR="00C9546C" w:rsidRPr="00DD1B58" w:rsidRDefault="00C9546C"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United Kingdom </w:t>
            </w:r>
          </w:p>
        </w:tc>
      </w:tr>
      <w:tr w:rsidR="00C9546C" w:rsidRPr="00DD1B58" w14:paraId="6AB10F0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3E45AC0" w14:textId="6CFE821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UKAS </w:t>
            </w:r>
          </w:p>
        </w:tc>
        <w:tc>
          <w:tcPr>
            <w:tcW w:w="7848" w:type="dxa"/>
            <w:tcBorders>
              <w:top w:val="single" w:sz="6" w:space="0" w:color="22413A"/>
              <w:left w:val="single" w:sz="6" w:space="0" w:color="22413A"/>
              <w:bottom w:val="single" w:sz="6" w:space="0" w:color="22413A"/>
              <w:right w:val="nil"/>
            </w:tcBorders>
            <w:shd w:val="clear" w:color="auto" w:fill="auto"/>
            <w:hideMark/>
          </w:tcPr>
          <w:p w14:paraId="6A7A2382" w14:textId="56B2F571" w:rsidR="00C9546C" w:rsidRPr="00DD1B58" w:rsidRDefault="00FD3B4B"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United Kingdom Accreditation Service</w:t>
            </w:r>
          </w:p>
        </w:tc>
      </w:tr>
      <w:tr w:rsidR="00C9546C" w:rsidRPr="00DD1B58" w14:paraId="7EFF480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59BB4AD" w14:textId="09A85BE1"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UKCA </w:t>
            </w:r>
          </w:p>
        </w:tc>
        <w:tc>
          <w:tcPr>
            <w:tcW w:w="7848" w:type="dxa"/>
            <w:tcBorders>
              <w:top w:val="single" w:sz="6" w:space="0" w:color="22413A"/>
              <w:left w:val="single" w:sz="6" w:space="0" w:color="22413A"/>
              <w:bottom w:val="single" w:sz="6" w:space="0" w:color="22413A"/>
              <w:right w:val="nil"/>
            </w:tcBorders>
            <w:shd w:val="clear" w:color="auto" w:fill="auto"/>
            <w:hideMark/>
          </w:tcPr>
          <w:p w14:paraId="616F1ED9" w14:textId="3B5CA8A1"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UK Conformity Assessed </w:t>
            </w:r>
          </w:p>
        </w:tc>
      </w:tr>
      <w:tr w:rsidR="00C9546C" w:rsidRPr="00DD1B58" w14:paraId="5797944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D31A814" w14:textId="625354F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UNL </w:t>
            </w:r>
          </w:p>
        </w:tc>
        <w:tc>
          <w:tcPr>
            <w:tcW w:w="7848" w:type="dxa"/>
            <w:tcBorders>
              <w:top w:val="single" w:sz="6" w:space="0" w:color="22413A"/>
              <w:left w:val="single" w:sz="6" w:space="0" w:color="22413A"/>
              <w:bottom w:val="single" w:sz="6" w:space="0" w:color="22413A"/>
              <w:right w:val="nil"/>
            </w:tcBorders>
            <w:shd w:val="clear" w:color="auto" w:fill="auto"/>
            <w:hideMark/>
          </w:tcPr>
          <w:p w14:paraId="3509E4B4" w14:textId="6FC94903"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szCs w:val="24"/>
                <w:lang w:val="en-US" w:eastAsia="en-GB" w:bidi="ar-SA"/>
              </w:rPr>
              <w:t>Urenco Nederland </w:t>
            </w:r>
          </w:p>
        </w:tc>
      </w:tr>
      <w:tr w:rsidR="00C9546C" w:rsidRPr="00DD1B58" w14:paraId="5DFF547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D2014D3" w14:textId="6730E18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UNOR </w:t>
            </w:r>
          </w:p>
        </w:tc>
        <w:tc>
          <w:tcPr>
            <w:tcW w:w="7848" w:type="dxa"/>
            <w:tcBorders>
              <w:top w:val="single" w:sz="6" w:space="0" w:color="22413A"/>
              <w:left w:val="single" w:sz="6" w:space="0" w:color="22413A"/>
              <w:bottom w:val="single" w:sz="6" w:space="0" w:color="22413A"/>
              <w:right w:val="nil"/>
            </w:tcBorders>
            <w:shd w:val="clear" w:color="auto" w:fill="auto"/>
            <w:hideMark/>
          </w:tcPr>
          <w:p w14:paraId="02CBC2DD" w14:textId="6F0C5AD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Unusual Occurrence Report </w:t>
            </w:r>
          </w:p>
        </w:tc>
      </w:tr>
      <w:tr w:rsidR="00C9546C" w:rsidRPr="00DD1B58" w14:paraId="3719DE3A"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757BA84" w14:textId="2F2BDA7F"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UNS </w:t>
            </w:r>
          </w:p>
        </w:tc>
        <w:tc>
          <w:tcPr>
            <w:tcW w:w="7848" w:type="dxa"/>
            <w:tcBorders>
              <w:top w:val="single" w:sz="6" w:space="0" w:color="22413A"/>
              <w:left w:val="single" w:sz="6" w:space="0" w:color="22413A"/>
              <w:bottom w:val="single" w:sz="6" w:space="0" w:color="22413A"/>
              <w:right w:val="nil"/>
            </w:tcBorders>
            <w:shd w:val="clear" w:color="auto" w:fill="auto"/>
            <w:hideMark/>
          </w:tcPr>
          <w:p w14:paraId="6B9B124C" w14:textId="4ED29D5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Urenco Nuclear Stewardship  </w:t>
            </w:r>
          </w:p>
        </w:tc>
      </w:tr>
      <w:tr w:rsidR="00C9546C" w:rsidRPr="00DD1B58" w14:paraId="2E2EA08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66F3135" w14:textId="6387E393"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UPS </w:t>
            </w:r>
          </w:p>
        </w:tc>
        <w:tc>
          <w:tcPr>
            <w:tcW w:w="7848" w:type="dxa"/>
            <w:tcBorders>
              <w:top w:val="single" w:sz="6" w:space="0" w:color="22413A"/>
              <w:left w:val="single" w:sz="6" w:space="0" w:color="22413A"/>
              <w:bottom w:val="single" w:sz="6" w:space="0" w:color="22413A"/>
              <w:right w:val="nil"/>
            </w:tcBorders>
            <w:shd w:val="clear" w:color="auto" w:fill="auto"/>
            <w:hideMark/>
          </w:tcPr>
          <w:p w14:paraId="22BFABCD" w14:textId="007593F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Uninterruptible Power Supply  </w:t>
            </w:r>
          </w:p>
        </w:tc>
      </w:tr>
      <w:tr w:rsidR="00C9546C" w:rsidRPr="00DD1B58" w14:paraId="39C704B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DD138B4" w14:textId="348F1E35"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US </w:t>
            </w:r>
          </w:p>
        </w:tc>
        <w:tc>
          <w:tcPr>
            <w:tcW w:w="7848" w:type="dxa"/>
            <w:tcBorders>
              <w:top w:val="single" w:sz="6" w:space="0" w:color="22413A"/>
              <w:left w:val="single" w:sz="6" w:space="0" w:color="22413A"/>
              <w:bottom w:val="single" w:sz="6" w:space="0" w:color="22413A"/>
              <w:right w:val="nil"/>
            </w:tcBorders>
            <w:shd w:val="clear" w:color="auto" w:fill="auto"/>
            <w:hideMark/>
          </w:tcPr>
          <w:p w14:paraId="6E792D2D" w14:textId="39CC6B9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United States </w:t>
            </w:r>
          </w:p>
        </w:tc>
      </w:tr>
      <w:tr w:rsidR="00C9546C" w:rsidRPr="00DD1B58" w14:paraId="4ADB367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30DCE5B" w14:textId="280A84B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US NRC </w:t>
            </w:r>
          </w:p>
        </w:tc>
        <w:tc>
          <w:tcPr>
            <w:tcW w:w="7848" w:type="dxa"/>
            <w:tcBorders>
              <w:top w:val="single" w:sz="6" w:space="0" w:color="22413A"/>
              <w:left w:val="single" w:sz="6" w:space="0" w:color="22413A"/>
              <w:bottom w:val="single" w:sz="6" w:space="0" w:color="22413A"/>
              <w:right w:val="nil"/>
            </w:tcBorders>
            <w:shd w:val="clear" w:color="auto" w:fill="auto"/>
            <w:hideMark/>
          </w:tcPr>
          <w:p w14:paraId="63B25106" w14:textId="44CC1AA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United States Nuclear Regulatory Commission  </w:t>
            </w:r>
          </w:p>
        </w:tc>
      </w:tr>
      <w:tr w:rsidR="00C9546C" w:rsidRPr="00DD1B58" w14:paraId="7E4F7E3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6C51A31" w14:textId="3D94A856"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UUK </w:t>
            </w:r>
          </w:p>
        </w:tc>
        <w:tc>
          <w:tcPr>
            <w:tcW w:w="7848" w:type="dxa"/>
            <w:tcBorders>
              <w:top w:val="single" w:sz="6" w:space="0" w:color="22413A"/>
              <w:left w:val="single" w:sz="6" w:space="0" w:color="22413A"/>
              <w:bottom w:val="single" w:sz="6" w:space="0" w:color="22413A"/>
              <w:right w:val="nil"/>
            </w:tcBorders>
            <w:shd w:val="clear" w:color="auto" w:fill="auto"/>
            <w:hideMark/>
          </w:tcPr>
          <w:p w14:paraId="628AB505" w14:textId="040E2D1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Urenco United Kingdom </w:t>
            </w:r>
          </w:p>
        </w:tc>
      </w:tr>
      <w:tr w:rsidR="00C9546C" w:rsidRPr="00DD1B58" w14:paraId="03A0F11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AAB1346" w14:textId="41F1A6F1"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VDU </w:t>
            </w:r>
          </w:p>
        </w:tc>
        <w:tc>
          <w:tcPr>
            <w:tcW w:w="7848" w:type="dxa"/>
            <w:tcBorders>
              <w:top w:val="single" w:sz="6" w:space="0" w:color="22413A"/>
              <w:left w:val="single" w:sz="6" w:space="0" w:color="22413A"/>
              <w:bottom w:val="single" w:sz="6" w:space="0" w:color="22413A"/>
              <w:right w:val="nil"/>
            </w:tcBorders>
            <w:shd w:val="clear" w:color="auto" w:fill="auto"/>
            <w:hideMark/>
          </w:tcPr>
          <w:p w14:paraId="200F3CEC" w14:textId="7F9911D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Visual Display Unit </w:t>
            </w:r>
          </w:p>
        </w:tc>
      </w:tr>
      <w:tr w:rsidR="00C9546C" w:rsidRPr="00DD1B58" w14:paraId="5AA4C363"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04CF004" w14:textId="511F390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VHF </w:t>
            </w:r>
          </w:p>
        </w:tc>
        <w:tc>
          <w:tcPr>
            <w:tcW w:w="7848" w:type="dxa"/>
            <w:tcBorders>
              <w:top w:val="single" w:sz="6" w:space="0" w:color="22413A"/>
              <w:left w:val="single" w:sz="6" w:space="0" w:color="22413A"/>
              <w:bottom w:val="single" w:sz="6" w:space="0" w:color="22413A"/>
              <w:right w:val="nil"/>
            </w:tcBorders>
            <w:shd w:val="clear" w:color="auto" w:fill="auto"/>
            <w:hideMark/>
          </w:tcPr>
          <w:p w14:paraId="32A0B74D" w14:textId="3F200541"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Very High Frequency </w:t>
            </w:r>
          </w:p>
        </w:tc>
      </w:tr>
      <w:tr w:rsidR="00C9546C" w:rsidRPr="00DD1B58" w14:paraId="17CD6B8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DE89290" w14:textId="3BB8CC75"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VLLW </w:t>
            </w:r>
          </w:p>
        </w:tc>
        <w:tc>
          <w:tcPr>
            <w:tcW w:w="7848" w:type="dxa"/>
            <w:tcBorders>
              <w:top w:val="single" w:sz="6" w:space="0" w:color="22413A"/>
              <w:left w:val="single" w:sz="6" w:space="0" w:color="22413A"/>
              <w:bottom w:val="single" w:sz="6" w:space="0" w:color="22413A"/>
              <w:right w:val="nil"/>
            </w:tcBorders>
            <w:shd w:val="clear" w:color="auto" w:fill="auto"/>
            <w:hideMark/>
          </w:tcPr>
          <w:p w14:paraId="5E4BAA34" w14:textId="6EB0ACF4"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Very Low-Level Waste  </w:t>
            </w:r>
          </w:p>
        </w:tc>
      </w:tr>
      <w:tr w:rsidR="00C9546C" w:rsidRPr="00DD1B58" w14:paraId="08A7623C"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EA2DD54" w14:textId="1AEC2759"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VRLA </w:t>
            </w:r>
          </w:p>
        </w:tc>
        <w:tc>
          <w:tcPr>
            <w:tcW w:w="7848" w:type="dxa"/>
            <w:tcBorders>
              <w:top w:val="single" w:sz="6" w:space="0" w:color="22413A"/>
              <w:left w:val="single" w:sz="6" w:space="0" w:color="22413A"/>
              <w:bottom w:val="single" w:sz="6" w:space="0" w:color="22413A"/>
              <w:right w:val="nil"/>
            </w:tcBorders>
            <w:shd w:val="clear" w:color="auto" w:fill="auto"/>
            <w:hideMark/>
          </w:tcPr>
          <w:p w14:paraId="0911BDB4" w14:textId="4035EB2D"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Valve Regulated Lead Acid  </w:t>
            </w:r>
          </w:p>
        </w:tc>
      </w:tr>
      <w:tr w:rsidR="00C9546C" w:rsidRPr="00DD1B58" w14:paraId="0AB10A6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87041FC" w14:textId="70318E34"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VTT </w:t>
            </w:r>
          </w:p>
        </w:tc>
        <w:tc>
          <w:tcPr>
            <w:tcW w:w="7848" w:type="dxa"/>
            <w:tcBorders>
              <w:top w:val="single" w:sz="6" w:space="0" w:color="22413A"/>
              <w:left w:val="single" w:sz="6" w:space="0" w:color="22413A"/>
              <w:bottom w:val="single" w:sz="6" w:space="0" w:color="22413A"/>
              <w:right w:val="nil"/>
            </w:tcBorders>
            <w:shd w:val="clear" w:color="auto" w:fill="auto"/>
            <w:hideMark/>
          </w:tcPr>
          <w:p w14:paraId="25A01E24" w14:textId="176DF1A6" w:rsidR="00C9546C" w:rsidRPr="00DD1B58" w:rsidRDefault="00FB3DA4" w:rsidP="00DD712B">
            <w:pPr>
              <w:spacing w:after="0" w:line="240" w:lineRule="auto"/>
              <w:textAlignment w:val="baseline"/>
              <w:rPr>
                <w:rFonts w:ascii="Segoe UI" w:eastAsia="Times New Roman" w:hAnsi="Segoe UI" w:cs="Segoe UI"/>
                <w:color w:val="000000" w:themeColor="text1"/>
                <w:sz w:val="18"/>
                <w:szCs w:val="18"/>
                <w:lang w:val="en-US" w:eastAsia="en-GB" w:bidi="ar-SA"/>
              </w:rPr>
            </w:pPr>
            <w:r w:rsidRPr="00DD1B58">
              <w:rPr>
                <w:rFonts w:eastAsia="Times New Roman"/>
                <w:color w:val="000000" w:themeColor="text1"/>
                <w:szCs w:val="24"/>
                <w:lang w:val="en-US" w:eastAsia="en-GB" w:bidi="ar-SA"/>
              </w:rPr>
              <w:t>VTT Technical Research Centre of Finland</w:t>
            </w:r>
          </w:p>
        </w:tc>
      </w:tr>
      <w:tr w:rsidR="00C9546C" w:rsidRPr="00DD1B58" w14:paraId="52A4A469"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44E88AD3" w14:textId="557A07A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WAC </w:t>
            </w:r>
          </w:p>
        </w:tc>
        <w:tc>
          <w:tcPr>
            <w:tcW w:w="7848" w:type="dxa"/>
            <w:tcBorders>
              <w:top w:val="single" w:sz="6" w:space="0" w:color="22413A"/>
              <w:left w:val="single" w:sz="6" w:space="0" w:color="22413A"/>
              <w:bottom w:val="single" w:sz="6" w:space="0" w:color="22413A"/>
              <w:right w:val="nil"/>
            </w:tcBorders>
            <w:shd w:val="clear" w:color="auto" w:fill="auto"/>
            <w:hideMark/>
          </w:tcPr>
          <w:p w14:paraId="28229B18" w14:textId="36DAFC3F" w:rsidR="00C9546C" w:rsidRPr="00DD1B58" w:rsidRDefault="00640948" w:rsidP="00DD712B">
            <w:pPr>
              <w:spacing w:after="0" w:line="240" w:lineRule="auto"/>
              <w:textAlignment w:val="baseline"/>
              <w:rPr>
                <w:rFonts w:eastAsia="Times New Roman"/>
                <w:color w:val="000000" w:themeColor="text1"/>
                <w:szCs w:val="24"/>
                <w:lang w:val="en-US" w:eastAsia="en-GB" w:bidi="ar-SA"/>
              </w:rPr>
            </w:pPr>
            <w:r w:rsidRPr="00DD1B58">
              <w:rPr>
                <w:rFonts w:eastAsia="Times New Roman"/>
                <w:color w:val="000000" w:themeColor="text1"/>
                <w:szCs w:val="24"/>
                <w:lang w:val="en-US" w:eastAsia="en-GB" w:bidi="ar-SA"/>
              </w:rPr>
              <w:t>W</w:t>
            </w:r>
            <w:r w:rsidR="00C9546C" w:rsidRPr="00DD1B58">
              <w:rPr>
                <w:rFonts w:eastAsia="Times New Roman"/>
                <w:color w:val="000000" w:themeColor="text1"/>
                <w:szCs w:val="24"/>
                <w:lang w:val="en-US" w:eastAsia="en-GB" w:bidi="ar-SA"/>
              </w:rPr>
              <w:t xml:space="preserve">aste </w:t>
            </w:r>
            <w:r w:rsidR="00FB3DA4" w:rsidRPr="00DD1B58">
              <w:rPr>
                <w:rFonts w:eastAsia="Times New Roman"/>
                <w:color w:val="000000" w:themeColor="text1"/>
                <w:szCs w:val="24"/>
                <w:lang w:val="en-US" w:eastAsia="en-GB" w:bidi="ar-SA"/>
              </w:rPr>
              <w:t>A</w:t>
            </w:r>
            <w:r w:rsidR="00C9546C" w:rsidRPr="00DD1B58">
              <w:rPr>
                <w:rFonts w:eastAsia="Times New Roman"/>
                <w:color w:val="000000" w:themeColor="text1"/>
                <w:szCs w:val="24"/>
                <w:lang w:val="en-US" w:eastAsia="en-GB" w:bidi="ar-SA"/>
              </w:rPr>
              <w:t xml:space="preserve">cceptance </w:t>
            </w:r>
            <w:r w:rsidR="00FB3DA4" w:rsidRPr="00DD1B58">
              <w:rPr>
                <w:rFonts w:eastAsia="Times New Roman"/>
                <w:color w:val="000000" w:themeColor="text1"/>
                <w:szCs w:val="24"/>
                <w:lang w:val="en-US" w:eastAsia="en-GB" w:bidi="ar-SA"/>
              </w:rPr>
              <w:t>C</w:t>
            </w:r>
            <w:r w:rsidR="00C9546C" w:rsidRPr="00DD1B58">
              <w:rPr>
                <w:rFonts w:eastAsia="Times New Roman"/>
                <w:color w:val="000000" w:themeColor="text1"/>
                <w:szCs w:val="24"/>
                <w:lang w:val="en-US" w:eastAsia="en-GB" w:bidi="ar-SA"/>
              </w:rPr>
              <w:t>riteria  </w:t>
            </w:r>
          </w:p>
        </w:tc>
      </w:tr>
      <w:tr w:rsidR="00C9546C" w:rsidRPr="00DD1B58" w14:paraId="6483DC8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1442EEF" w14:textId="33B73890"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WAGR </w:t>
            </w:r>
          </w:p>
        </w:tc>
        <w:tc>
          <w:tcPr>
            <w:tcW w:w="7848" w:type="dxa"/>
            <w:tcBorders>
              <w:top w:val="single" w:sz="6" w:space="0" w:color="22413A"/>
              <w:left w:val="single" w:sz="6" w:space="0" w:color="22413A"/>
              <w:bottom w:val="single" w:sz="6" w:space="0" w:color="22413A"/>
              <w:right w:val="nil"/>
            </w:tcBorders>
            <w:shd w:val="clear" w:color="auto" w:fill="auto"/>
            <w:hideMark/>
          </w:tcPr>
          <w:p w14:paraId="7FC931AE" w14:textId="78E3E20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Windscale Advanced Gas Cooled Reactor  </w:t>
            </w:r>
          </w:p>
        </w:tc>
      </w:tr>
      <w:tr w:rsidR="00C9546C" w:rsidRPr="00DD1B58" w14:paraId="06378D0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1AF9AFB" w14:textId="256AA226"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WAMAC </w:t>
            </w:r>
          </w:p>
        </w:tc>
        <w:tc>
          <w:tcPr>
            <w:tcW w:w="7848" w:type="dxa"/>
            <w:tcBorders>
              <w:top w:val="single" w:sz="6" w:space="0" w:color="22413A"/>
              <w:left w:val="single" w:sz="6" w:space="0" w:color="22413A"/>
              <w:bottom w:val="single" w:sz="6" w:space="0" w:color="22413A"/>
              <w:right w:val="nil"/>
            </w:tcBorders>
            <w:shd w:val="clear" w:color="auto" w:fill="auto"/>
            <w:hideMark/>
          </w:tcPr>
          <w:p w14:paraId="38D95FA8" w14:textId="6F69F00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Waste Monitoring and Compaction Plant  </w:t>
            </w:r>
          </w:p>
        </w:tc>
      </w:tr>
      <w:tr w:rsidR="00C9546C" w:rsidRPr="00DD1B58" w14:paraId="7A4B4D78"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1C29BC41" w14:textId="53B8DEEB"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WANO </w:t>
            </w:r>
          </w:p>
        </w:tc>
        <w:tc>
          <w:tcPr>
            <w:tcW w:w="7848" w:type="dxa"/>
            <w:tcBorders>
              <w:top w:val="single" w:sz="6" w:space="0" w:color="22413A"/>
              <w:left w:val="single" w:sz="6" w:space="0" w:color="22413A"/>
              <w:bottom w:val="single" w:sz="6" w:space="0" w:color="22413A"/>
              <w:right w:val="nil"/>
            </w:tcBorders>
            <w:shd w:val="clear" w:color="auto" w:fill="auto"/>
            <w:hideMark/>
          </w:tcPr>
          <w:p w14:paraId="0827CF60" w14:textId="41DE389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World Association of Nuclear Operators  </w:t>
            </w:r>
          </w:p>
        </w:tc>
      </w:tr>
      <w:tr w:rsidR="00C9546C" w:rsidRPr="00DD1B58" w14:paraId="6D8A1561"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35E7EC41" w14:textId="2FDDEF5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WASRF </w:t>
            </w:r>
          </w:p>
        </w:tc>
        <w:tc>
          <w:tcPr>
            <w:tcW w:w="7848" w:type="dxa"/>
            <w:tcBorders>
              <w:top w:val="single" w:sz="6" w:space="0" w:color="22413A"/>
              <w:left w:val="single" w:sz="6" w:space="0" w:color="22413A"/>
              <w:bottom w:val="single" w:sz="6" w:space="0" w:color="22413A"/>
              <w:right w:val="nil"/>
            </w:tcBorders>
            <w:shd w:val="clear" w:color="auto" w:fill="auto"/>
            <w:hideMark/>
          </w:tcPr>
          <w:p w14:paraId="1D5F569A" w14:textId="2AB9100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Wet Area Size Reduction Facility  </w:t>
            </w:r>
          </w:p>
        </w:tc>
      </w:tr>
      <w:tr w:rsidR="00C9546C" w:rsidRPr="00DD1B58" w14:paraId="14A151C6"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563165C" w14:textId="2B9BD51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WEM </w:t>
            </w:r>
          </w:p>
        </w:tc>
        <w:tc>
          <w:tcPr>
            <w:tcW w:w="7848" w:type="dxa"/>
            <w:tcBorders>
              <w:top w:val="single" w:sz="6" w:space="0" w:color="22413A"/>
              <w:left w:val="single" w:sz="6" w:space="0" w:color="22413A"/>
              <w:bottom w:val="single" w:sz="6" w:space="0" w:color="22413A"/>
              <w:right w:val="nil"/>
            </w:tcBorders>
            <w:shd w:val="clear" w:color="auto" w:fill="auto"/>
            <w:hideMark/>
          </w:tcPr>
          <w:p w14:paraId="255DA575" w14:textId="0448F62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West End Mortuary  </w:t>
            </w:r>
          </w:p>
        </w:tc>
      </w:tr>
      <w:tr w:rsidR="00C9546C" w:rsidRPr="00DD1B58" w14:paraId="52B6080F"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BCACB5C" w14:textId="34438CE6"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WENRA </w:t>
            </w:r>
          </w:p>
        </w:tc>
        <w:tc>
          <w:tcPr>
            <w:tcW w:w="7848" w:type="dxa"/>
            <w:tcBorders>
              <w:top w:val="single" w:sz="6" w:space="0" w:color="22413A"/>
              <w:left w:val="single" w:sz="6" w:space="0" w:color="22413A"/>
              <w:bottom w:val="single" w:sz="6" w:space="0" w:color="22413A"/>
              <w:right w:val="nil"/>
            </w:tcBorders>
            <w:shd w:val="clear" w:color="auto" w:fill="auto"/>
            <w:hideMark/>
          </w:tcPr>
          <w:p w14:paraId="7DE84543" w14:textId="7339F55C"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Western European Nuclear Regulators' Association </w:t>
            </w:r>
          </w:p>
        </w:tc>
      </w:tr>
      <w:tr w:rsidR="00C9546C" w:rsidRPr="00DD1B58" w14:paraId="0596527E"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C6016DE" w14:textId="6982A764"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WEP </w:t>
            </w:r>
          </w:p>
        </w:tc>
        <w:tc>
          <w:tcPr>
            <w:tcW w:w="7848" w:type="dxa"/>
            <w:tcBorders>
              <w:top w:val="single" w:sz="6" w:space="0" w:color="22413A"/>
              <w:left w:val="single" w:sz="6" w:space="0" w:color="22413A"/>
              <w:bottom w:val="single" w:sz="6" w:space="0" w:color="22413A"/>
              <w:right w:val="nil"/>
            </w:tcBorders>
            <w:shd w:val="clear" w:color="auto" w:fill="auto"/>
            <w:hideMark/>
          </w:tcPr>
          <w:p w14:paraId="7D5A204E" w14:textId="2B36DBD5"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Waste Encapsulation Plant  </w:t>
            </w:r>
          </w:p>
        </w:tc>
      </w:tr>
      <w:tr w:rsidR="00C9546C" w:rsidRPr="00DD1B58" w14:paraId="7ECD2D7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72E74C84" w14:textId="3279516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w:t>
            </w:r>
            <w:r w:rsidR="00BF6E9F" w:rsidRPr="00DD1B58">
              <w:rPr>
                <w:rFonts w:eastAsia="Times New Roman"/>
                <w:color w:val="000000"/>
                <w:szCs w:val="24"/>
                <w:lang w:val="en-US" w:eastAsia="en-GB" w:bidi="ar-SA"/>
              </w:rPr>
              <w:t>G</w:t>
            </w:r>
            <w:r w:rsidRPr="00DD1B58">
              <w:rPr>
                <w:rFonts w:eastAsia="Times New Roman"/>
                <w:color w:val="000000"/>
                <w:szCs w:val="24"/>
                <w:lang w:val="en-US" w:eastAsia="en-GB" w:bidi="ar-SA"/>
              </w:rPr>
              <w:t>R </w:t>
            </w:r>
          </w:p>
        </w:tc>
        <w:tc>
          <w:tcPr>
            <w:tcW w:w="7848" w:type="dxa"/>
            <w:tcBorders>
              <w:top w:val="single" w:sz="6" w:space="0" w:color="22413A"/>
              <w:left w:val="single" w:sz="6" w:space="0" w:color="22413A"/>
              <w:bottom w:val="single" w:sz="6" w:space="0" w:color="22413A"/>
              <w:right w:val="nil"/>
            </w:tcBorders>
            <w:shd w:val="clear" w:color="auto" w:fill="auto"/>
            <w:hideMark/>
          </w:tcPr>
          <w:p w14:paraId="2E6F4C41" w14:textId="3B3E5A7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Windscale Advanced Gas Reactor  </w:t>
            </w:r>
          </w:p>
        </w:tc>
      </w:tr>
      <w:tr w:rsidR="00C9546C" w:rsidRPr="00DD1B58" w14:paraId="712A8C62"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2055C529" w14:textId="7DE3CAD6"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WPEP </w:t>
            </w:r>
          </w:p>
        </w:tc>
        <w:tc>
          <w:tcPr>
            <w:tcW w:w="7848" w:type="dxa"/>
            <w:tcBorders>
              <w:top w:val="single" w:sz="6" w:space="0" w:color="22413A"/>
              <w:left w:val="single" w:sz="6" w:space="0" w:color="22413A"/>
              <w:bottom w:val="single" w:sz="6" w:space="0" w:color="22413A"/>
              <w:right w:val="nil"/>
            </w:tcBorders>
            <w:shd w:val="clear" w:color="auto" w:fill="auto"/>
            <w:hideMark/>
          </w:tcPr>
          <w:p w14:paraId="15797FDA" w14:textId="0124EA3A"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Waste Processing and Encapsulation Plant </w:t>
            </w:r>
          </w:p>
        </w:tc>
      </w:tr>
      <w:tr w:rsidR="00C9546C" w:rsidRPr="00DD1B58" w14:paraId="09B7D0D4"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085882AB" w14:textId="11568F9B"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WTC </w:t>
            </w:r>
          </w:p>
        </w:tc>
        <w:tc>
          <w:tcPr>
            <w:tcW w:w="7848" w:type="dxa"/>
            <w:tcBorders>
              <w:top w:val="single" w:sz="6" w:space="0" w:color="22413A"/>
              <w:left w:val="single" w:sz="6" w:space="0" w:color="22413A"/>
              <w:bottom w:val="single" w:sz="6" w:space="0" w:color="22413A"/>
              <w:right w:val="nil"/>
            </w:tcBorders>
            <w:shd w:val="clear" w:color="auto" w:fill="auto"/>
            <w:hideMark/>
          </w:tcPr>
          <w:p w14:paraId="46997F5C" w14:textId="2F5F253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Waste Treatment Complex  </w:t>
            </w:r>
          </w:p>
        </w:tc>
      </w:tr>
      <w:tr w:rsidR="00C9546C" w:rsidRPr="00DD1B58" w14:paraId="77E99FA5"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6BD317C6" w14:textId="024C3A8E"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WVP </w:t>
            </w:r>
          </w:p>
        </w:tc>
        <w:tc>
          <w:tcPr>
            <w:tcW w:w="7848" w:type="dxa"/>
            <w:tcBorders>
              <w:top w:val="single" w:sz="6" w:space="0" w:color="22413A"/>
              <w:left w:val="single" w:sz="6" w:space="0" w:color="22413A"/>
              <w:bottom w:val="single" w:sz="6" w:space="0" w:color="22413A"/>
              <w:right w:val="nil"/>
            </w:tcBorders>
            <w:shd w:val="clear" w:color="auto" w:fill="auto"/>
            <w:hideMark/>
          </w:tcPr>
          <w:p w14:paraId="1C440111" w14:textId="1DE94F02"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Waste Vitrification Plant  </w:t>
            </w:r>
          </w:p>
        </w:tc>
      </w:tr>
      <w:tr w:rsidR="00C9546C" w:rsidRPr="00DD1B58" w14:paraId="25B70AB7" w14:textId="77777777" w:rsidTr="00600359">
        <w:trPr>
          <w:trHeight w:val="315"/>
        </w:trPr>
        <w:tc>
          <w:tcPr>
            <w:tcW w:w="1527" w:type="dxa"/>
            <w:tcBorders>
              <w:top w:val="single" w:sz="6" w:space="0" w:color="22413A"/>
              <w:left w:val="nil"/>
              <w:bottom w:val="single" w:sz="6" w:space="0" w:color="22413A"/>
              <w:right w:val="single" w:sz="6" w:space="0" w:color="22413A"/>
            </w:tcBorders>
            <w:shd w:val="clear" w:color="auto" w:fill="auto"/>
            <w:hideMark/>
          </w:tcPr>
          <w:p w14:paraId="589E7F2A" w14:textId="38E17AB8"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XLPE </w:t>
            </w:r>
          </w:p>
        </w:tc>
        <w:tc>
          <w:tcPr>
            <w:tcW w:w="7848" w:type="dxa"/>
            <w:tcBorders>
              <w:top w:val="single" w:sz="6" w:space="0" w:color="22413A"/>
              <w:left w:val="single" w:sz="6" w:space="0" w:color="22413A"/>
              <w:bottom w:val="single" w:sz="6" w:space="0" w:color="22413A"/>
              <w:right w:val="nil"/>
            </w:tcBorders>
            <w:shd w:val="clear" w:color="auto" w:fill="auto"/>
            <w:hideMark/>
          </w:tcPr>
          <w:p w14:paraId="538162C5" w14:textId="6C406837" w:rsidR="00C9546C" w:rsidRPr="00DD1B58" w:rsidRDefault="00C9546C" w:rsidP="00DD712B">
            <w:pPr>
              <w:spacing w:after="0" w:line="240" w:lineRule="auto"/>
              <w:textAlignment w:val="baseline"/>
              <w:rPr>
                <w:rFonts w:ascii="Segoe UI" w:eastAsia="Times New Roman" w:hAnsi="Segoe UI" w:cs="Segoe UI"/>
                <w:sz w:val="18"/>
                <w:szCs w:val="18"/>
                <w:lang w:val="en-US" w:eastAsia="en-GB" w:bidi="ar-SA"/>
              </w:rPr>
            </w:pPr>
            <w:r w:rsidRPr="00DD1B58">
              <w:rPr>
                <w:rFonts w:eastAsia="Times New Roman"/>
                <w:color w:val="000000"/>
                <w:szCs w:val="24"/>
                <w:lang w:val="en-US" w:eastAsia="en-GB" w:bidi="ar-SA"/>
              </w:rPr>
              <w:t>cross-linked polyethylene </w:t>
            </w:r>
          </w:p>
        </w:tc>
      </w:tr>
    </w:tbl>
    <w:p w14:paraId="61D7CFFA" w14:textId="77777777" w:rsidR="00DD712B" w:rsidRPr="00DD1B58" w:rsidRDefault="00DD712B" w:rsidP="004313C1">
      <w:pPr>
        <w:rPr>
          <w:lang w:val="en-US"/>
        </w:rPr>
      </w:pPr>
    </w:p>
    <w:p w14:paraId="20AA717D" w14:textId="77777777" w:rsidR="00DB3279" w:rsidRPr="00DD1B58" w:rsidRDefault="00DB3279" w:rsidP="00982158">
      <w:pPr>
        <w:rPr>
          <w:lang w:val="en-US"/>
        </w:rPr>
      </w:pPr>
    </w:p>
    <w:sectPr w:rsidR="00DB3279" w:rsidRPr="00DD1B58"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0E79" w14:textId="77777777" w:rsidR="00F65591" w:rsidRDefault="00F65591" w:rsidP="007D199A">
      <w:pPr>
        <w:spacing w:after="0"/>
      </w:pPr>
      <w:r>
        <w:separator/>
      </w:r>
    </w:p>
    <w:p w14:paraId="49E4043C" w14:textId="77777777" w:rsidR="00F65591" w:rsidRDefault="00F65591"/>
  </w:endnote>
  <w:endnote w:type="continuationSeparator" w:id="0">
    <w:p w14:paraId="067543D7" w14:textId="77777777" w:rsidR="00F65591" w:rsidRDefault="00F65591" w:rsidP="007D199A">
      <w:pPr>
        <w:spacing w:after="0"/>
      </w:pPr>
      <w:r>
        <w:continuationSeparator/>
      </w:r>
    </w:p>
    <w:p w14:paraId="5BB83FE2" w14:textId="77777777" w:rsidR="00F65591" w:rsidRDefault="00F65591"/>
  </w:endnote>
  <w:endnote w:type="continuationNotice" w:id="1">
    <w:p w14:paraId="76ECF0CC" w14:textId="77777777" w:rsidR="00F65591" w:rsidRDefault="00F65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FCE8" w14:textId="77777777" w:rsidR="004D16D7" w:rsidRPr="004D16D7" w:rsidRDefault="004D16D7" w:rsidP="004D16D7">
    <w:pPr>
      <w:pStyle w:val="Footer"/>
    </w:pPr>
    <w:r w:rsidRPr="004A7507">
      <w:rPr>
        <w:color w:val="595959" w:themeColor="text2" w:themeTint="A6"/>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942C" w14:textId="77777777" w:rsidR="00F65591" w:rsidRPr="005E0344" w:rsidRDefault="00F65591" w:rsidP="005E0344">
      <w:pPr>
        <w:spacing w:after="120"/>
        <w:rPr>
          <w:color w:val="000000" w:themeColor="text2"/>
        </w:rPr>
      </w:pPr>
      <w:r w:rsidRPr="005E0344">
        <w:rPr>
          <w:color w:val="000000" w:themeColor="text2"/>
        </w:rPr>
        <w:separator/>
      </w:r>
    </w:p>
  </w:footnote>
  <w:footnote w:type="continuationSeparator" w:id="0">
    <w:p w14:paraId="46B8F2AD" w14:textId="77777777" w:rsidR="00F65591" w:rsidRPr="005E0344" w:rsidRDefault="00F65591" w:rsidP="0090581D">
      <w:pPr>
        <w:spacing w:after="120"/>
        <w:rPr>
          <w:color w:val="000000" w:themeColor="text2"/>
        </w:rPr>
      </w:pPr>
      <w:r w:rsidRPr="005E0344">
        <w:rPr>
          <w:color w:val="000000" w:themeColor="text2"/>
        </w:rPr>
        <w:continuationSeparator/>
      </w:r>
    </w:p>
    <w:p w14:paraId="40429EB4" w14:textId="77777777" w:rsidR="00F65591" w:rsidRDefault="00F65591"/>
  </w:footnote>
  <w:footnote w:type="continuationNotice" w:id="1">
    <w:p w14:paraId="67EFF14D" w14:textId="77777777" w:rsidR="00F65591" w:rsidRDefault="00F65591">
      <w:pPr>
        <w:spacing w:after="0"/>
      </w:pPr>
    </w:p>
    <w:p w14:paraId="7B08FE5F" w14:textId="77777777" w:rsidR="00F65591" w:rsidRDefault="00F65591"/>
  </w:footnote>
  <w:footnote w:id="2">
    <w:p w14:paraId="04D49E35" w14:textId="29F4888E" w:rsidR="00710610" w:rsidRDefault="00710610" w:rsidP="00710610">
      <w:pPr>
        <w:pStyle w:val="FootnoteText"/>
        <w:ind w:left="142" w:hanging="142"/>
      </w:pPr>
      <w:r>
        <w:rPr>
          <w:rStyle w:val="FootnoteReference"/>
        </w:rPr>
        <w:footnoteRef/>
      </w:r>
      <w:r>
        <w:t xml:space="preserve"> </w:t>
      </w:r>
      <w:r w:rsidRPr="774B19A3">
        <w:rPr>
          <w:noProof/>
          <w:szCs w:val="24"/>
        </w:rPr>
        <w:t>SQEP is a term for qualified personnel in a given field and is used in the UK nuclear industry. It stands for Suitably Qualified and Experienced Person</w:t>
      </w:r>
      <w:r w:rsidR="008F0AF1">
        <w:rPr>
          <w:noProof/>
          <w:szCs w:val="24"/>
        </w:rPr>
        <w:t>.</w:t>
      </w:r>
    </w:p>
  </w:footnote>
  <w:footnote w:id="3">
    <w:p w14:paraId="6BC6124C" w14:textId="252781C9" w:rsidR="00040852" w:rsidRDefault="00DB3D4D" w:rsidP="00040852">
      <w:pPr>
        <w:autoSpaceDE w:val="0"/>
        <w:autoSpaceDN w:val="0"/>
        <w:adjustRightInd w:val="0"/>
        <w:spacing w:after="0" w:line="240" w:lineRule="auto"/>
        <w:rPr>
          <w:rFonts w:ascii="TimesNewRoman" w:eastAsia="TimesNewRoman" w:hAnsi="Calibri" w:cs="TimesNewRoman"/>
          <w:sz w:val="20"/>
          <w:szCs w:val="20"/>
          <w:lang w:eastAsia="en-GB" w:bidi="ar-SA"/>
        </w:rPr>
      </w:pPr>
      <w:r>
        <w:rPr>
          <w:rStyle w:val="FootnoteReference"/>
        </w:rPr>
        <w:footnoteRef/>
      </w:r>
      <w:r>
        <w:t xml:space="preserve"> </w:t>
      </w:r>
      <w:r w:rsidR="00040852">
        <w:rPr>
          <w:rFonts w:ascii="TimesNewRoman" w:eastAsia="TimesNewRoman" w:hAnsi="Calibri" w:cs="TimesNewRoman"/>
          <w:sz w:val="20"/>
          <w:szCs w:val="20"/>
          <w:lang w:eastAsia="en-GB" w:bidi="ar-SA"/>
        </w:rPr>
        <w:t>It is EDF NGL practice for all alarms and suppression systems covering nuclear safety related</w:t>
      </w:r>
    </w:p>
    <w:p w14:paraId="28B8CC8C" w14:textId="77777777" w:rsidR="00DB3D4D" w:rsidRDefault="00040852" w:rsidP="00040852">
      <w:pPr>
        <w:pStyle w:val="FootnoteText"/>
      </w:pPr>
      <w:r>
        <w:rPr>
          <w:rFonts w:ascii="TimesNewRoman" w:eastAsia="TimesNewRoman" w:hAnsi="Calibri" w:cs="TimesNewRoman"/>
          <w:lang w:eastAsia="en-GB" w:bidi="ar-SA"/>
        </w:rPr>
        <w:t>plant to be monitored in the Control Room.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8422" w14:textId="05614B4D"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4D14B3">
          <w:rPr>
            <w:sz w:val="20"/>
            <w:szCs w:val="24"/>
          </w:rPr>
          <w:t>United Kingdom National Assessment Report</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178D1">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F9C"/>
    <w:multiLevelType w:val="hybridMultilevel"/>
    <w:tmpl w:val="FCC6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26CD6"/>
    <w:multiLevelType w:val="multilevel"/>
    <w:tmpl w:val="BB1E19D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8CE8CB"/>
    <w:multiLevelType w:val="hybridMultilevel"/>
    <w:tmpl w:val="ACC44780"/>
    <w:lvl w:ilvl="0" w:tplc="587ACEBA">
      <w:start w:val="1"/>
      <w:numFmt w:val="bullet"/>
      <w:lvlText w:val=""/>
      <w:lvlJc w:val="left"/>
      <w:pPr>
        <w:ind w:left="720" w:hanging="360"/>
      </w:pPr>
      <w:rPr>
        <w:rFonts w:ascii="Symbol" w:hAnsi="Symbol" w:hint="default"/>
      </w:rPr>
    </w:lvl>
    <w:lvl w:ilvl="1" w:tplc="52C48EC2">
      <w:start w:val="1"/>
      <w:numFmt w:val="bullet"/>
      <w:lvlText w:val=""/>
      <w:lvlJc w:val="left"/>
      <w:pPr>
        <w:ind w:left="1440" w:hanging="360"/>
      </w:pPr>
      <w:rPr>
        <w:rFonts w:ascii="Symbol" w:hAnsi="Symbol" w:hint="default"/>
      </w:rPr>
    </w:lvl>
    <w:lvl w:ilvl="2" w:tplc="39920EEA">
      <w:start w:val="1"/>
      <w:numFmt w:val="bullet"/>
      <w:lvlText w:val=""/>
      <w:lvlJc w:val="left"/>
      <w:pPr>
        <w:ind w:left="2160" w:hanging="360"/>
      </w:pPr>
      <w:rPr>
        <w:rFonts w:ascii="Wingdings" w:hAnsi="Wingdings" w:hint="default"/>
      </w:rPr>
    </w:lvl>
    <w:lvl w:ilvl="3" w:tplc="6258594C">
      <w:start w:val="1"/>
      <w:numFmt w:val="bullet"/>
      <w:lvlText w:val=""/>
      <w:lvlJc w:val="left"/>
      <w:pPr>
        <w:ind w:left="2880" w:hanging="360"/>
      </w:pPr>
      <w:rPr>
        <w:rFonts w:ascii="Symbol" w:hAnsi="Symbol" w:hint="default"/>
      </w:rPr>
    </w:lvl>
    <w:lvl w:ilvl="4" w:tplc="19F65276">
      <w:start w:val="1"/>
      <w:numFmt w:val="bullet"/>
      <w:lvlText w:val="o"/>
      <w:lvlJc w:val="left"/>
      <w:pPr>
        <w:ind w:left="3600" w:hanging="360"/>
      </w:pPr>
      <w:rPr>
        <w:rFonts w:ascii="Courier New" w:hAnsi="Courier New" w:hint="default"/>
      </w:rPr>
    </w:lvl>
    <w:lvl w:ilvl="5" w:tplc="E35E3332">
      <w:start w:val="1"/>
      <w:numFmt w:val="bullet"/>
      <w:lvlText w:val=""/>
      <w:lvlJc w:val="left"/>
      <w:pPr>
        <w:ind w:left="4320" w:hanging="360"/>
      </w:pPr>
      <w:rPr>
        <w:rFonts w:ascii="Wingdings" w:hAnsi="Wingdings" w:hint="default"/>
      </w:rPr>
    </w:lvl>
    <w:lvl w:ilvl="6" w:tplc="726CFC3E">
      <w:start w:val="1"/>
      <w:numFmt w:val="bullet"/>
      <w:lvlText w:val=""/>
      <w:lvlJc w:val="left"/>
      <w:pPr>
        <w:ind w:left="5040" w:hanging="360"/>
      </w:pPr>
      <w:rPr>
        <w:rFonts w:ascii="Symbol" w:hAnsi="Symbol" w:hint="default"/>
      </w:rPr>
    </w:lvl>
    <w:lvl w:ilvl="7" w:tplc="85800222">
      <w:start w:val="1"/>
      <w:numFmt w:val="bullet"/>
      <w:lvlText w:val="o"/>
      <w:lvlJc w:val="left"/>
      <w:pPr>
        <w:ind w:left="5760" w:hanging="360"/>
      </w:pPr>
      <w:rPr>
        <w:rFonts w:ascii="Courier New" w:hAnsi="Courier New" w:hint="default"/>
      </w:rPr>
    </w:lvl>
    <w:lvl w:ilvl="8" w:tplc="3208BF4C">
      <w:start w:val="1"/>
      <w:numFmt w:val="bullet"/>
      <w:lvlText w:val=""/>
      <w:lvlJc w:val="left"/>
      <w:pPr>
        <w:ind w:left="6480" w:hanging="360"/>
      </w:pPr>
      <w:rPr>
        <w:rFonts w:ascii="Wingdings" w:hAnsi="Wingdings" w:hint="default"/>
      </w:rPr>
    </w:lvl>
  </w:abstractNum>
  <w:abstractNum w:abstractNumId="3" w15:restartNumberingAfterBreak="0">
    <w:nsid w:val="07E87A88"/>
    <w:multiLevelType w:val="hybridMultilevel"/>
    <w:tmpl w:val="12E6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13E08"/>
    <w:multiLevelType w:val="hybridMultilevel"/>
    <w:tmpl w:val="12AC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166D6"/>
    <w:multiLevelType w:val="hybridMultilevel"/>
    <w:tmpl w:val="320A07A8"/>
    <w:lvl w:ilvl="0" w:tplc="1C1A71C8">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33FB6"/>
    <w:multiLevelType w:val="hybridMultilevel"/>
    <w:tmpl w:val="C74C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E15D0"/>
    <w:multiLevelType w:val="hybridMultilevel"/>
    <w:tmpl w:val="FDD4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10EA6"/>
    <w:multiLevelType w:val="hybridMultilevel"/>
    <w:tmpl w:val="D59C4F38"/>
    <w:lvl w:ilvl="0" w:tplc="AE96325C">
      <w:start w:val="1"/>
      <w:numFmt w:val="bullet"/>
      <w:lvlText w:val=""/>
      <w:lvlJc w:val="left"/>
      <w:pPr>
        <w:ind w:left="720" w:hanging="360"/>
      </w:pPr>
      <w:rPr>
        <w:rFonts w:ascii="Symbol" w:hAnsi="Symbol" w:hint="default"/>
      </w:rPr>
    </w:lvl>
    <w:lvl w:ilvl="1" w:tplc="46E29EF4">
      <w:start w:val="1"/>
      <w:numFmt w:val="bullet"/>
      <w:lvlText w:val=""/>
      <w:lvlJc w:val="left"/>
      <w:pPr>
        <w:ind w:left="1440" w:hanging="360"/>
      </w:pPr>
      <w:rPr>
        <w:rFonts w:ascii="Symbol" w:hAnsi="Symbol" w:hint="default"/>
      </w:rPr>
    </w:lvl>
    <w:lvl w:ilvl="2" w:tplc="73C02108">
      <w:start w:val="1"/>
      <w:numFmt w:val="bullet"/>
      <w:lvlText w:val=""/>
      <w:lvlJc w:val="left"/>
      <w:pPr>
        <w:ind w:left="2160" w:hanging="360"/>
      </w:pPr>
      <w:rPr>
        <w:rFonts w:ascii="Wingdings" w:hAnsi="Wingdings" w:hint="default"/>
      </w:rPr>
    </w:lvl>
    <w:lvl w:ilvl="3" w:tplc="ACCC7F6C">
      <w:start w:val="1"/>
      <w:numFmt w:val="bullet"/>
      <w:lvlText w:val=""/>
      <w:lvlJc w:val="left"/>
      <w:pPr>
        <w:ind w:left="2880" w:hanging="360"/>
      </w:pPr>
      <w:rPr>
        <w:rFonts w:ascii="Symbol" w:hAnsi="Symbol" w:hint="default"/>
      </w:rPr>
    </w:lvl>
    <w:lvl w:ilvl="4" w:tplc="C4BAAE3A">
      <w:start w:val="1"/>
      <w:numFmt w:val="bullet"/>
      <w:lvlText w:val="o"/>
      <w:lvlJc w:val="left"/>
      <w:pPr>
        <w:ind w:left="3600" w:hanging="360"/>
      </w:pPr>
      <w:rPr>
        <w:rFonts w:ascii="Courier New" w:hAnsi="Courier New" w:hint="default"/>
      </w:rPr>
    </w:lvl>
    <w:lvl w:ilvl="5" w:tplc="62C0D9E2">
      <w:start w:val="1"/>
      <w:numFmt w:val="bullet"/>
      <w:lvlText w:val=""/>
      <w:lvlJc w:val="left"/>
      <w:pPr>
        <w:ind w:left="4320" w:hanging="360"/>
      </w:pPr>
      <w:rPr>
        <w:rFonts w:ascii="Wingdings" w:hAnsi="Wingdings" w:hint="default"/>
      </w:rPr>
    </w:lvl>
    <w:lvl w:ilvl="6" w:tplc="65560236">
      <w:start w:val="1"/>
      <w:numFmt w:val="bullet"/>
      <w:lvlText w:val=""/>
      <w:lvlJc w:val="left"/>
      <w:pPr>
        <w:ind w:left="5040" w:hanging="360"/>
      </w:pPr>
      <w:rPr>
        <w:rFonts w:ascii="Symbol" w:hAnsi="Symbol" w:hint="default"/>
      </w:rPr>
    </w:lvl>
    <w:lvl w:ilvl="7" w:tplc="0902ED84">
      <w:start w:val="1"/>
      <w:numFmt w:val="bullet"/>
      <w:lvlText w:val="o"/>
      <w:lvlJc w:val="left"/>
      <w:pPr>
        <w:ind w:left="5760" w:hanging="360"/>
      </w:pPr>
      <w:rPr>
        <w:rFonts w:ascii="Courier New" w:hAnsi="Courier New" w:hint="default"/>
      </w:rPr>
    </w:lvl>
    <w:lvl w:ilvl="8" w:tplc="6B80817C">
      <w:start w:val="1"/>
      <w:numFmt w:val="bullet"/>
      <w:lvlText w:val=""/>
      <w:lvlJc w:val="left"/>
      <w:pPr>
        <w:ind w:left="6480" w:hanging="360"/>
      </w:pPr>
      <w:rPr>
        <w:rFonts w:ascii="Wingdings" w:hAnsi="Wingdings" w:hint="default"/>
      </w:rPr>
    </w:lvl>
  </w:abstractNum>
  <w:abstractNum w:abstractNumId="9" w15:restartNumberingAfterBreak="0">
    <w:nsid w:val="1056663F"/>
    <w:multiLevelType w:val="hybridMultilevel"/>
    <w:tmpl w:val="AB86C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BF1982"/>
    <w:multiLevelType w:val="hybridMultilevel"/>
    <w:tmpl w:val="8332A6E4"/>
    <w:lvl w:ilvl="0" w:tplc="8C4EF946">
      <w:start w:val="3"/>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F7C02"/>
    <w:multiLevelType w:val="hybridMultilevel"/>
    <w:tmpl w:val="7D0A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15AAF"/>
    <w:multiLevelType w:val="hybridMultilevel"/>
    <w:tmpl w:val="5F3C0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B13DEB"/>
    <w:multiLevelType w:val="multilevel"/>
    <w:tmpl w:val="888003C2"/>
    <w:lvl w:ilvl="0">
      <w:start w:val="1"/>
      <w:numFmt w:val="lowerLetter"/>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145BF0"/>
    <w:multiLevelType w:val="hybridMultilevel"/>
    <w:tmpl w:val="84E24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E1453"/>
    <w:multiLevelType w:val="hybridMultilevel"/>
    <w:tmpl w:val="F514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94E3E"/>
    <w:multiLevelType w:val="hybridMultilevel"/>
    <w:tmpl w:val="A438A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AF2FA8"/>
    <w:multiLevelType w:val="hybridMultilevel"/>
    <w:tmpl w:val="79B81030"/>
    <w:styleLink w:val="Heading1S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72AB0"/>
    <w:multiLevelType w:val="hybridMultilevel"/>
    <w:tmpl w:val="BF747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6D14A2"/>
    <w:multiLevelType w:val="multilevel"/>
    <w:tmpl w:val="E5B6FF9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upperRoman"/>
      <w:pStyle w:val="Heading3"/>
      <w:lvlText w:val="%3"/>
      <w:lvlJc w:val="left"/>
      <w:pPr>
        <w:ind w:left="1224" w:hanging="504"/>
      </w:pPr>
      <w:rPr>
        <w:rFonts w:hint="default"/>
        <w:b w:val="0"/>
        <w:bCs/>
        <w:i w:val="0"/>
      </w:rPr>
    </w:lvl>
    <w:lvl w:ilvl="3">
      <w:start w:val="1"/>
      <w:numFmt w:val="decimal"/>
      <w:pStyle w:val="Heading4"/>
      <w:lvlText w:val="%3-%1.%2.%4"/>
      <w:lvlJc w:val="left"/>
      <w:pPr>
        <w:ind w:left="1073" w:hanging="648"/>
      </w:pPr>
      <w:rPr>
        <w:rFonts w:hint="default"/>
      </w:rPr>
    </w:lvl>
    <w:lvl w:ilvl="4">
      <w:start w:val="1"/>
      <w:numFmt w:val="decimal"/>
      <w:lvlText w:val="%3-%1.%2.%4.%5."/>
      <w:lvlJc w:val="left"/>
      <w:pPr>
        <w:ind w:left="1707" w:hanging="431"/>
      </w:pPr>
      <w:rPr>
        <w:rFonts w:hint="default"/>
      </w:rPr>
    </w:lvl>
    <w:lvl w:ilvl="5">
      <w:start w:val="1"/>
      <w:numFmt w:val="decimal"/>
      <w:lvlRestart w:val="2"/>
      <w:lvlText w:val="%1.%2.%6"/>
      <w:lvlJc w:val="left"/>
      <w:pPr>
        <w:ind w:left="431" w:hanging="431"/>
      </w:pPr>
      <w:rPr>
        <w:rFonts w:hint="default"/>
      </w:rPr>
    </w:lvl>
    <w:lvl w:ilvl="6">
      <w:start w:val="1"/>
      <w:numFmt w:val="decimal"/>
      <w:lvlText w:val="%1.%2.%6.%7"/>
      <w:lvlJc w:val="left"/>
      <w:pPr>
        <w:ind w:left="431" w:hanging="431"/>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44375F"/>
    <w:multiLevelType w:val="multilevel"/>
    <w:tmpl w:val="12E06E42"/>
    <w:lvl w:ilvl="0">
      <w:start w:val="3"/>
      <w:numFmt w:val="decimal"/>
      <w:pStyle w:val="Heading1A"/>
      <w:lvlText w:val="%1."/>
      <w:lvlJc w:val="left"/>
      <w:pPr>
        <w:ind w:left="567" w:firstLine="0"/>
      </w:pPr>
      <w:rPr>
        <w:rFonts w:hint="default"/>
        <w:sz w:val="48"/>
      </w:rPr>
    </w:lvl>
    <w:lvl w:ilvl="1">
      <w:start w:val="1"/>
      <w:numFmt w:val="decimal"/>
      <w:pStyle w:val="Heading2A"/>
      <w:lvlText w:val="%1.%2"/>
      <w:lvlJc w:val="left"/>
      <w:pPr>
        <w:ind w:left="680" w:firstLine="0"/>
      </w:pPr>
      <w:rPr>
        <w:rFonts w:hint="default"/>
      </w:rPr>
    </w:lvl>
    <w:lvl w:ilvl="2">
      <w:start w:val="1"/>
      <w:numFmt w:val="upperLetter"/>
      <w:pStyle w:val="Heading3A"/>
      <w:lvlText w:val="%3"/>
      <w:lvlJc w:val="right"/>
      <w:pPr>
        <w:ind w:left="964" w:hanging="171"/>
      </w:pPr>
      <w:rPr>
        <w:rFonts w:hint="default"/>
      </w:rPr>
    </w:lvl>
    <w:lvl w:ilvl="3">
      <w:start w:val="1"/>
      <w:numFmt w:val="upperRoman"/>
      <w:pStyle w:val="Heading4A"/>
      <w:lvlText w:val="%3-%4"/>
      <w:lvlJc w:val="left"/>
      <w:pPr>
        <w:ind w:left="431" w:hanging="431"/>
      </w:pPr>
      <w:rPr>
        <w:rFonts w:hint="default"/>
        <w:b/>
        <w:bCs/>
        <w:sz w:val="28"/>
        <w:szCs w:val="24"/>
      </w:rPr>
    </w:lvl>
    <w:lvl w:ilvl="4">
      <w:start w:val="1"/>
      <w:numFmt w:val="decimal"/>
      <w:pStyle w:val="Heading5A"/>
      <w:lvlText w:val="%3-%4-%1.%2.%5"/>
      <w:lvlJc w:val="left"/>
      <w:pPr>
        <w:ind w:left="431" w:hanging="431"/>
      </w:pPr>
      <w:rPr>
        <w:rFonts w:hint="default"/>
      </w:rPr>
    </w:lvl>
    <w:lvl w:ilvl="5">
      <w:start w:val="1"/>
      <w:numFmt w:val="decimal"/>
      <w:lvlText w:val="%3-%4-%1.%2.%5.%6"/>
      <w:lvlJc w:val="left"/>
      <w:pPr>
        <w:ind w:left="431" w:hanging="431"/>
      </w:pPr>
      <w:rPr>
        <w:rFonts w:hint="default"/>
      </w:rPr>
    </w:lvl>
    <w:lvl w:ilvl="6">
      <w:start w:val="1"/>
      <w:numFmt w:val="decimal"/>
      <w:lvlText w:val="%7."/>
      <w:lvlJc w:val="left"/>
      <w:pPr>
        <w:ind w:left="1245" w:firstLine="0"/>
      </w:pPr>
      <w:rPr>
        <w:rFonts w:hint="default"/>
      </w:rPr>
    </w:lvl>
    <w:lvl w:ilvl="7">
      <w:start w:val="1"/>
      <w:numFmt w:val="lowerLetter"/>
      <w:lvlText w:val="%8."/>
      <w:lvlJc w:val="left"/>
      <w:pPr>
        <w:ind w:left="1358" w:firstLine="0"/>
      </w:pPr>
      <w:rPr>
        <w:rFonts w:hint="default"/>
      </w:rPr>
    </w:lvl>
    <w:lvl w:ilvl="8">
      <w:start w:val="1"/>
      <w:numFmt w:val="lowerRoman"/>
      <w:lvlText w:val="%9."/>
      <w:lvlJc w:val="right"/>
      <w:pPr>
        <w:ind w:left="1471" w:firstLine="0"/>
      </w:pPr>
      <w:rPr>
        <w:rFonts w:hint="default"/>
      </w:rPr>
    </w:lvl>
  </w:abstractNum>
  <w:abstractNum w:abstractNumId="21" w15:restartNumberingAfterBreak="0">
    <w:nsid w:val="31D025CB"/>
    <w:multiLevelType w:val="hybridMultilevel"/>
    <w:tmpl w:val="B9E05D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61B2"/>
    <w:multiLevelType w:val="hybridMultilevel"/>
    <w:tmpl w:val="4DB6A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B0CE4"/>
    <w:multiLevelType w:val="hybridMultilevel"/>
    <w:tmpl w:val="33AE1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550080"/>
    <w:multiLevelType w:val="hybridMultilevel"/>
    <w:tmpl w:val="B61C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1F1B77"/>
    <w:multiLevelType w:val="hybridMultilevel"/>
    <w:tmpl w:val="FFFFFFFF"/>
    <w:lvl w:ilvl="0" w:tplc="24E60DAE">
      <w:start w:val="1"/>
      <w:numFmt w:val="bullet"/>
      <w:lvlText w:val="o"/>
      <w:lvlJc w:val="left"/>
      <w:pPr>
        <w:ind w:left="720" w:hanging="360"/>
      </w:pPr>
      <w:rPr>
        <w:rFonts w:ascii="Courier New" w:hAnsi="Courier New" w:hint="default"/>
      </w:rPr>
    </w:lvl>
    <w:lvl w:ilvl="1" w:tplc="29FCF66C">
      <w:start w:val="1"/>
      <w:numFmt w:val="bullet"/>
      <w:lvlText w:val="o"/>
      <w:lvlJc w:val="left"/>
      <w:pPr>
        <w:ind w:left="1440" w:hanging="360"/>
      </w:pPr>
      <w:rPr>
        <w:rFonts w:ascii="Courier New" w:hAnsi="Courier New" w:hint="default"/>
      </w:rPr>
    </w:lvl>
    <w:lvl w:ilvl="2" w:tplc="2ACEA9E6">
      <w:start w:val="1"/>
      <w:numFmt w:val="bullet"/>
      <w:lvlText w:val=""/>
      <w:lvlJc w:val="left"/>
      <w:pPr>
        <w:ind w:left="2160" w:hanging="360"/>
      </w:pPr>
      <w:rPr>
        <w:rFonts w:ascii="Wingdings" w:hAnsi="Wingdings" w:hint="default"/>
      </w:rPr>
    </w:lvl>
    <w:lvl w:ilvl="3" w:tplc="75A2278A">
      <w:start w:val="1"/>
      <w:numFmt w:val="bullet"/>
      <w:lvlText w:val=""/>
      <w:lvlJc w:val="left"/>
      <w:pPr>
        <w:ind w:left="2880" w:hanging="360"/>
      </w:pPr>
      <w:rPr>
        <w:rFonts w:ascii="Symbol" w:hAnsi="Symbol" w:hint="default"/>
      </w:rPr>
    </w:lvl>
    <w:lvl w:ilvl="4" w:tplc="1C184F3E">
      <w:start w:val="1"/>
      <w:numFmt w:val="bullet"/>
      <w:lvlText w:val="o"/>
      <w:lvlJc w:val="left"/>
      <w:pPr>
        <w:ind w:left="3600" w:hanging="360"/>
      </w:pPr>
      <w:rPr>
        <w:rFonts w:ascii="Courier New" w:hAnsi="Courier New" w:hint="default"/>
      </w:rPr>
    </w:lvl>
    <w:lvl w:ilvl="5" w:tplc="61B0F72E">
      <w:start w:val="1"/>
      <w:numFmt w:val="bullet"/>
      <w:lvlText w:val=""/>
      <w:lvlJc w:val="left"/>
      <w:pPr>
        <w:ind w:left="4320" w:hanging="360"/>
      </w:pPr>
      <w:rPr>
        <w:rFonts w:ascii="Wingdings" w:hAnsi="Wingdings" w:hint="default"/>
      </w:rPr>
    </w:lvl>
    <w:lvl w:ilvl="6" w:tplc="6BE6B57C">
      <w:start w:val="1"/>
      <w:numFmt w:val="bullet"/>
      <w:lvlText w:val=""/>
      <w:lvlJc w:val="left"/>
      <w:pPr>
        <w:ind w:left="5040" w:hanging="360"/>
      </w:pPr>
      <w:rPr>
        <w:rFonts w:ascii="Symbol" w:hAnsi="Symbol" w:hint="default"/>
      </w:rPr>
    </w:lvl>
    <w:lvl w:ilvl="7" w:tplc="D6D089A8">
      <w:start w:val="1"/>
      <w:numFmt w:val="bullet"/>
      <w:lvlText w:val="o"/>
      <w:lvlJc w:val="left"/>
      <w:pPr>
        <w:ind w:left="5760" w:hanging="360"/>
      </w:pPr>
      <w:rPr>
        <w:rFonts w:ascii="Courier New" w:hAnsi="Courier New" w:hint="default"/>
      </w:rPr>
    </w:lvl>
    <w:lvl w:ilvl="8" w:tplc="7618D58A">
      <w:start w:val="1"/>
      <w:numFmt w:val="bullet"/>
      <w:lvlText w:val=""/>
      <w:lvlJc w:val="left"/>
      <w:pPr>
        <w:ind w:left="6480" w:hanging="360"/>
      </w:pPr>
      <w:rPr>
        <w:rFonts w:ascii="Wingdings" w:hAnsi="Wingdings" w:hint="default"/>
      </w:rPr>
    </w:lvl>
  </w:abstractNum>
  <w:abstractNum w:abstractNumId="26" w15:restartNumberingAfterBreak="0">
    <w:nsid w:val="453552E8"/>
    <w:multiLevelType w:val="hybridMultilevel"/>
    <w:tmpl w:val="6172F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91F7F"/>
    <w:multiLevelType w:val="hybridMultilevel"/>
    <w:tmpl w:val="EE5CC3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B2175EB"/>
    <w:multiLevelType w:val="hybridMultilevel"/>
    <w:tmpl w:val="1F48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05F96"/>
    <w:multiLevelType w:val="hybridMultilevel"/>
    <w:tmpl w:val="6E427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E42542"/>
    <w:multiLevelType w:val="hybridMultilevel"/>
    <w:tmpl w:val="2000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5420D"/>
    <w:multiLevelType w:val="hybridMultilevel"/>
    <w:tmpl w:val="48E28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4600D"/>
    <w:multiLevelType w:val="multilevel"/>
    <w:tmpl w:val="9DE8418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C270667"/>
    <w:multiLevelType w:val="hybridMultilevel"/>
    <w:tmpl w:val="B76E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862EBD"/>
    <w:multiLevelType w:val="hybridMultilevel"/>
    <w:tmpl w:val="AEC2F438"/>
    <w:lvl w:ilvl="0" w:tplc="08090017">
      <w:start w:val="1"/>
      <w:numFmt w:val="lowerLetter"/>
      <w:lvlText w:val="%1)"/>
      <w:lvlJc w:val="left"/>
      <w:pPr>
        <w:ind w:left="720" w:hanging="360"/>
      </w:pPr>
    </w:lvl>
    <w:lvl w:ilvl="1" w:tplc="A8E02080">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602F94"/>
    <w:multiLevelType w:val="hybridMultilevel"/>
    <w:tmpl w:val="E104F24A"/>
    <w:lvl w:ilvl="0" w:tplc="93522072">
      <w:start w:val="1"/>
      <w:numFmt w:val="bullet"/>
      <w:lvlText w:val="·"/>
      <w:lvlJc w:val="left"/>
      <w:pPr>
        <w:ind w:left="720" w:hanging="360"/>
      </w:pPr>
      <w:rPr>
        <w:rFonts w:ascii="Symbol" w:hAnsi="Symbol" w:hint="default"/>
      </w:rPr>
    </w:lvl>
    <w:lvl w:ilvl="1" w:tplc="27565FEE">
      <w:start w:val="1"/>
      <w:numFmt w:val="bullet"/>
      <w:lvlText w:val="o"/>
      <w:lvlJc w:val="left"/>
      <w:pPr>
        <w:ind w:left="1440" w:hanging="360"/>
      </w:pPr>
      <w:rPr>
        <w:rFonts w:ascii="Courier New" w:hAnsi="Courier New" w:hint="default"/>
      </w:rPr>
    </w:lvl>
    <w:lvl w:ilvl="2" w:tplc="BD668FE8">
      <w:start w:val="1"/>
      <w:numFmt w:val="bullet"/>
      <w:lvlText w:val=""/>
      <w:lvlJc w:val="left"/>
      <w:pPr>
        <w:ind w:left="2160" w:hanging="360"/>
      </w:pPr>
      <w:rPr>
        <w:rFonts w:ascii="Wingdings" w:hAnsi="Wingdings" w:hint="default"/>
      </w:rPr>
    </w:lvl>
    <w:lvl w:ilvl="3" w:tplc="35044CAA">
      <w:start w:val="1"/>
      <w:numFmt w:val="bullet"/>
      <w:lvlText w:val=""/>
      <w:lvlJc w:val="left"/>
      <w:pPr>
        <w:ind w:left="2880" w:hanging="360"/>
      </w:pPr>
      <w:rPr>
        <w:rFonts w:ascii="Symbol" w:hAnsi="Symbol" w:hint="default"/>
      </w:rPr>
    </w:lvl>
    <w:lvl w:ilvl="4" w:tplc="AA90F9B0">
      <w:start w:val="1"/>
      <w:numFmt w:val="bullet"/>
      <w:lvlText w:val="o"/>
      <w:lvlJc w:val="left"/>
      <w:pPr>
        <w:ind w:left="3600" w:hanging="360"/>
      </w:pPr>
      <w:rPr>
        <w:rFonts w:ascii="Courier New" w:hAnsi="Courier New" w:hint="default"/>
      </w:rPr>
    </w:lvl>
    <w:lvl w:ilvl="5" w:tplc="58DC6870">
      <w:start w:val="1"/>
      <w:numFmt w:val="bullet"/>
      <w:lvlText w:val=""/>
      <w:lvlJc w:val="left"/>
      <w:pPr>
        <w:ind w:left="4320" w:hanging="360"/>
      </w:pPr>
      <w:rPr>
        <w:rFonts w:ascii="Wingdings" w:hAnsi="Wingdings" w:hint="default"/>
      </w:rPr>
    </w:lvl>
    <w:lvl w:ilvl="6" w:tplc="F53245B2">
      <w:start w:val="1"/>
      <w:numFmt w:val="bullet"/>
      <w:lvlText w:val=""/>
      <w:lvlJc w:val="left"/>
      <w:pPr>
        <w:ind w:left="5040" w:hanging="360"/>
      </w:pPr>
      <w:rPr>
        <w:rFonts w:ascii="Symbol" w:hAnsi="Symbol" w:hint="default"/>
      </w:rPr>
    </w:lvl>
    <w:lvl w:ilvl="7" w:tplc="20001A94">
      <w:start w:val="1"/>
      <w:numFmt w:val="bullet"/>
      <w:lvlText w:val="o"/>
      <w:lvlJc w:val="left"/>
      <w:pPr>
        <w:ind w:left="5760" w:hanging="360"/>
      </w:pPr>
      <w:rPr>
        <w:rFonts w:ascii="Courier New" w:hAnsi="Courier New" w:hint="default"/>
      </w:rPr>
    </w:lvl>
    <w:lvl w:ilvl="8" w:tplc="0E66D7AC">
      <w:start w:val="1"/>
      <w:numFmt w:val="bullet"/>
      <w:lvlText w:val=""/>
      <w:lvlJc w:val="left"/>
      <w:pPr>
        <w:ind w:left="6480" w:hanging="360"/>
      </w:pPr>
      <w:rPr>
        <w:rFonts w:ascii="Wingdings" w:hAnsi="Wingdings" w:hint="default"/>
      </w:rPr>
    </w:lvl>
  </w:abstractNum>
  <w:abstractNum w:abstractNumId="36" w15:restartNumberingAfterBreak="0">
    <w:nsid w:val="65F8A77E"/>
    <w:multiLevelType w:val="hybridMultilevel"/>
    <w:tmpl w:val="FFFFFFFF"/>
    <w:lvl w:ilvl="0" w:tplc="7C6495BE">
      <w:start w:val="1"/>
      <w:numFmt w:val="bullet"/>
      <w:lvlText w:val=""/>
      <w:lvlJc w:val="left"/>
      <w:pPr>
        <w:ind w:left="360" w:hanging="360"/>
      </w:pPr>
      <w:rPr>
        <w:rFonts w:ascii="Symbol" w:hAnsi="Symbol" w:hint="default"/>
      </w:rPr>
    </w:lvl>
    <w:lvl w:ilvl="1" w:tplc="3E467F70">
      <w:start w:val="1"/>
      <w:numFmt w:val="bullet"/>
      <w:lvlText w:val="o"/>
      <w:lvlJc w:val="left"/>
      <w:pPr>
        <w:ind w:left="1440" w:hanging="360"/>
      </w:pPr>
      <w:rPr>
        <w:rFonts w:ascii="Courier New" w:hAnsi="Courier New" w:hint="default"/>
      </w:rPr>
    </w:lvl>
    <w:lvl w:ilvl="2" w:tplc="89E8243A">
      <w:start w:val="1"/>
      <w:numFmt w:val="bullet"/>
      <w:lvlText w:val=""/>
      <w:lvlJc w:val="left"/>
      <w:pPr>
        <w:ind w:left="2160" w:hanging="360"/>
      </w:pPr>
      <w:rPr>
        <w:rFonts w:ascii="Wingdings" w:hAnsi="Wingdings" w:hint="default"/>
      </w:rPr>
    </w:lvl>
    <w:lvl w:ilvl="3" w:tplc="3EA831CC">
      <w:start w:val="1"/>
      <w:numFmt w:val="bullet"/>
      <w:lvlText w:val=""/>
      <w:lvlJc w:val="left"/>
      <w:pPr>
        <w:ind w:left="2880" w:hanging="360"/>
      </w:pPr>
      <w:rPr>
        <w:rFonts w:ascii="Symbol" w:hAnsi="Symbol" w:hint="default"/>
      </w:rPr>
    </w:lvl>
    <w:lvl w:ilvl="4" w:tplc="B82AAD4A">
      <w:start w:val="1"/>
      <w:numFmt w:val="bullet"/>
      <w:lvlText w:val="o"/>
      <w:lvlJc w:val="left"/>
      <w:pPr>
        <w:ind w:left="3600" w:hanging="360"/>
      </w:pPr>
      <w:rPr>
        <w:rFonts w:ascii="Courier New" w:hAnsi="Courier New" w:hint="default"/>
      </w:rPr>
    </w:lvl>
    <w:lvl w:ilvl="5" w:tplc="72720428">
      <w:start w:val="1"/>
      <w:numFmt w:val="bullet"/>
      <w:lvlText w:val=""/>
      <w:lvlJc w:val="left"/>
      <w:pPr>
        <w:ind w:left="4320" w:hanging="360"/>
      </w:pPr>
      <w:rPr>
        <w:rFonts w:ascii="Wingdings" w:hAnsi="Wingdings" w:hint="default"/>
      </w:rPr>
    </w:lvl>
    <w:lvl w:ilvl="6" w:tplc="DAB25756">
      <w:start w:val="1"/>
      <w:numFmt w:val="bullet"/>
      <w:lvlText w:val=""/>
      <w:lvlJc w:val="left"/>
      <w:pPr>
        <w:ind w:left="5040" w:hanging="360"/>
      </w:pPr>
      <w:rPr>
        <w:rFonts w:ascii="Symbol" w:hAnsi="Symbol" w:hint="default"/>
      </w:rPr>
    </w:lvl>
    <w:lvl w:ilvl="7" w:tplc="F2A8A11E">
      <w:start w:val="1"/>
      <w:numFmt w:val="bullet"/>
      <w:lvlText w:val="o"/>
      <w:lvlJc w:val="left"/>
      <w:pPr>
        <w:ind w:left="5760" w:hanging="360"/>
      </w:pPr>
      <w:rPr>
        <w:rFonts w:ascii="Courier New" w:hAnsi="Courier New" w:hint="default"/>
      </w:rPr>
    </w:lvl>
    <w:lvl w:ilvl="8" w:tplc="A0128078">
      <w:start w:val="1"/>
      <w:numFmt w:val="bullet"/>
      <w:lvlText w:val=""/>
      <w:lvlJc w:val="left"/>
      <w:pPr>
        <w:ind w:left="6480" w:hanging="360"/>
      </w:pPr>
      <w:rPr>
        <w:rFonts w:ascii="Wingdings" w:hAnsi="Wingdings" w:hint="default"/>
      </w:rPr>
    </w:lvl>
  </w:abstractNum>
  <w:abstractNum w:abstractNumId="37" w15:restartNumberingAfterBreak="0">
    <w:nsid w:val="68D205E6"/>
    <w:multiLevelType w:val="hybridMultilevel"/>
    <w:tmpl w:val="79B81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AF4B53"/>
    <w:multiLevelType w:val="hybridMultilevel"/>
    <w:tmpl w:val="C7FA77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7150679A"/>
    <w:multiLevelType w:val="hybridMultilevel"/>
    <w:tmpl w:val="997C9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8A0F99"/>
    <w:multiLevelType w:val="multilevel"/>
    <w:tmpl w:val="6602DCC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39A1E4C"/>
    <w:multiLevelType w:val="hybridMultilevel"/>
    <w:tmpl w:val="F3861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D12FD7"/>
    <w:multiLevelType w:val="hybridMultilevel"/>
    <w:tmpl w:val="FB20A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98527AA"/>
    <w:multiLevelType w:val="hybridMultilevel"/>
    <w:tmpl w:val="B7CE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0B329A"/>
    <w:multiLevelType w:val="hybridMultilevel"/>
    <w:tmpl w:val="EB1086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91813146">
    <w:abstractNumId w:val="42"/>
  </w:num>
  <w:num w:numId="2" w16cid:durableId="1854295319">
    <w:abstractNumId w:val="40"/>
  </w:num>
  <w:num w:numId="3" w16cid:durableId="1696883011">
    <w:abstractNumId w:val="19"/>
  </w:num>
  <w:num w:numId="4" w16cid:durableId="281351502">
    <w:abstractNumId w:val="1"/>
  </w:num>
  <w:num w:numId="5" w16cid:durableId="1809207357">
    <w:abstractNumId w:val="3"/>
  </w:num>
  <w:num w:numId="6" w16cid:durableId="94254014">
    <w:abstractNumId w:val="30"/>
  </w:num>
  <w:num w:numId="7" w16cid:durableId="96340301">
    <w:abstractNumId w:val="20"/>
  </w:num>
  <w:num w:numId="8" w16cid:durableId="1072705208">
    <w:abstractNumId w:val="41"/>
  </w:num>
  <w:num w:numId="9" w16cid:durableId="1313174041">
    <w:abstractNumId w:val="4"/>
  </w:num>
  <w:num w:numId="10" w16cid:durableId="1780105327">
    <w:abstractNumId w:val="18"/>
  </w:num>
  <w:num w:numId="11" w16cid:durableId="951205522">
    <w:abstractNumId w:val="34"/>
  </w:num>
  <w:num w:numId="12" w16cid:durableId="551767541">
    <w:abstractNumId w:val="25"/>
  </w:num>
  <w:num w:numId="13" w16cid:durableId="1523276852">
    <w:abstractNumId w:val="28"/>
  </w:num>
  <w:num w:numId="14" w16cid:durableId="1895776098">
    <w:abstractNumId w:val="11"/>
  </w:num>
  <w:num w:numId="15" w16cid:durableId="1945399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902602">
    <w:abstractNumId w:val="35"/>
  </w:num>
  <w:num w:numId="17" w16cid:durableId="629015287">
    <w:abstractNumId w:val="2"/>
  </w:num>
  <w:num w:numId="18" w16cid:durableId="1605383730">
    <w:abstractNumId w:val="8"/>
  </w:num>
  <w:num w:numId="19" w16cid:durableId="1167131449">
    <w:abstractNumId w:val="16"/>
  </w:num>
  <w:num w:numId="20" w16cid:durableId="918948556">
    <w:abstractNumId w:val="17"/>
  </w:num>
  <w:num w:numId="21" w16cid:durableId="1337462546">
    <w:abstractNumId w:val="15"/>
  </w:num>
  <w:num w:numId="22" w16cid:durableId="51466168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6866359">
    <w:abstractNumId w:val="7"/>
  </w:num>
  <w:num w:numId="24" w16cid:durableId="325135188">
    <w:abstractNumId w:val="44"/>
  </w:num>
  <w:num w:numId="25" w16cid:durableId="2050302801">
    <w:abstractNumId w:val="14"/>
  </w:num>
  <w:num w:numId="26" w16cid:durableId="182518898">
    <w:abstractNumId w:val="19"/>
  </w:num>
  <w:num w:numId="27" w16cid:durableId="1058475438">
    <w:abstractNumId w:val="36"/>
  </w:num>
  <w:num w:numId="28" w16cid:durableId="1990941141">
    <w:abstractNumId w:val="31"/>
  </w:num>
  <w:num w:numId="29" w16cid:durableId="2099018785">
    <w:abstractNumId w:val="0"/>
  </w:num>
  <w:num w:numId="30" w16cid:durableId="1665937058">
    <w:abstractNumId w:val="29"/>
  </w:num>
  <w:num w:numId="31" w16cid:durableId="644890087">
    <w:abstractNumId w:val="26"/>
  </w:num>
  <w:num w:numId="32" w16cid:durableId="308287650">
    <w:abstractNumId w:val="21"/>
  </w:num>
  <w:num w:numId="33" w16cid:durableId="886452278">
    <w:abstractNumId w:val="27"/>
  </w:num>
  <w:num w:numId="34" w16cid:durableId="959142752">
    <w:abstractNumId w:val="38"/>
  </w:num>
  <w:num w:numId="35" w16cid:durableId="1245452733">
    <w:abstractNumId w:val="10"/>
  </w:num>
  <w:num w:numId="36" w16cid:durableId="271744936">
    <w:abstractNumId w:val="9"/>
  </w:num>
  <w:num w:numId="37" w16cid:durableId="834613572">
    <w:abstractNumId w:val="39"/>
  </w:num>
  <w:num w:numId="38" w16cid:durableId="7688186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6501629">
    <w:abstractNumId w:val="42"/>
  </w:num>
  <w:num w:numId="40" w16cid:durableId="1754735754">
    <w:abstractNumId w:val="6"/>
  </w:num>
  <w:num w:numId="41" w16cid:durableId="168532524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940106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1079556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020063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8470035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25745942">
    <w:abstractNumId w:val="42"/>
  </w:num>
  <w:num w:numId="47" w16cid:durableId="149446262">
    <w:abstractNumId w:val="42"/>
  </w:num>
  <w:num w:numId="48" w16cid:durableId="675838988">
    <w:abstractNumId w:val="23"/>
  </w:num>
  <w:num w:numId="49" w16cid:durableId="1633631503">
    <w:abstractNumId w:val="22"/>
  </w:num>
  <w:num w:numId="50" w16cid:durableId="1995717437">
    <w:abstractNumId w:val="33"/>
  </w:num>
  <w:num w:numId="51" w16cid:durableId="364408080">
    <w:abstractNumId w:val="13"/>
  </w:num>
  <w:num w:numId="52" w16cid:durableId="1516336295">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9938100">
    <w:abstractNumId w:val="5"/>
  </w:num>
  <w:num w:numId="54" w16cid:durableId="987173978">
    <w:abstractNumId w:val="24"/>
  </w:num>
  <w:num w:numId="55" w16cid:durableId="58482448">
    <w:abstractNumId w:val="32"/>
  </w:num>
  <w:num w:numId="56" w16cid:durableId="21417219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093499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5926413">
    <w:abstractNumId w:val="37"/>
  </w:num>
  <w:num w:numId="59" w16cid:durableId="114466363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537404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52226349">
    <w:abstractNumId w:val="43"/>
  </w:num>
  <w:num w:numId="62" w16cid:durableId="1778451466">
    <w:abstractNumId w:val="12"/>
  </w:num>
  <w:num w:numId="63" w16cid:durableId="11408041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D3"/>
    <w:rsid w:val="000005F4"/>
    <w:rsid w:val="000006DE"/>
    <w:rsid w:val="00000855"/>
    <w:rsid w:val="00000942"/>
    <w:rsid w:val="00000BB6"/>
    <w:rsid w:val="00000EE7"/>
    <w:rsid w:val="00000FDF"/>
    <w:rsid w:val="000010A9"/>
    <w:rsid w:val="0000115A"/>
    <w:rsid w:val="00001185"/>
    <w:rsid w:val="0000120D"/>
    <w:rsid w:val="00001336"/>
    <w:rsid w:val="000015C8"/>
    <w:rsid w:val="000019EA"/>
    <w:rsid w:val="00001AA3"/>
    <w:rsid w:val="00001B0B"/>
    <w:rsid w:val="00001BDC"/>
    <w:rsid w:val="00001D44"/>
    <w:rsid w:val="00001EE0"/>
    <w:rsid w:val="00001F97"/>
    <w:rsid w:val="00001F98"/>
    <w:rsid w:val="00002389"/>
    <w:rsid w:val="000023B9"/>
    <w:rsid w:val="00002975"/>
    <w:rsid w:val="00002DF5"/>
    <w:rsid w:val="00002F03"/>
    <w:rsid w:val="00003163"/>
    <w:rsid w:val="0000326B"/>
    <w:rsid w:val="00003453"/>
    <w:rsid w:val="0000360A"/>
    <w:rsid w:val="00003C66"/>
    <w:rsid w:val="00003C73"/>
    <w:rsid w:val="00003DC9"/>
    <w:rsid w:val="0000413A"/>
    <w:rsid w:val="00004144"/>
    <w:rsid w:val="0000489B"/>
    <w:rsid w:val="000048BC"/>
    <w:rsid w:val="000048C5"/>
    <w:rsid w:val="00004C16"/>
    <w:rsid w:val="00004C7D"/>
    <w:rsid w:val="00004D7D"/>
    <w:rsid w:val="000052A3"/>
    <w:rsid w:val="000054F2"/>
    <w:rsid w:val="000057E8"/>
    <w:rsid w:val="000058D4"/>
    <w:rsid w:val="00005927"/>
    <w:rsid w:val="00005B0A"/>
    <w:rsid w:val="00005BC8"/>
    <w:rsid w:val="00005DB4"/>
    <w:rsid w:val="00005DDD"/>
    <w:rsid w:val="00005DEA"/>
    <w:rsid w:val="00005FCE"/>
    <w:rsid w:val="0000632A"/>
    <w:rsid w:val="00006344"/>
    <w:rsid w:val="000066D3"/>
    <w:rsid w:val="00006805"/>
    <w:rsid w:val="000069AB"/>
    <w:rsid w:val="00006A07"/>
    <w:rsid w:val="00006A82"/>
    <w:rsid w:val="00006E33"/>
    <w:rsid w:val="00006E42"/>
    <w:rsid w:val="00006E9C"/>
    <w:rsid w:val="00006FED"/>
    <w:rsid w:val="000075BD"/>
    <w:rsid w:val="000077E5"/>
    <w:rsid w:val="00007F9B"/>
    <w:rsid w:val="00007FF6"/>
    <w:rsid w:val="000100B3"/>
    <w:rsid w:val="00010104"/>
    <w:rsid w:val="0001029F"/>
    <w:rsid w:val="000105D5"/>
    <w:rsid w:val="000106DF"/>
    <w:rsid w:val="00010713"/>
    <w:rsid w:val="00010755"/>
    <w:rsid w:val="00010A2E"/>
    <w:rsid w:val="00010A7B"/>
    <w:rsid w:val="00010AB8"/>
    <w:rsid w:val="00010B76"/>
    <w:rsid w:val="00010B92"/>
    <w:rsid w:val="00010C1D"/>
    <w:rsid w:val="00010ECE"/>
    <w:rsid w:val="0001105F"/>
    <w:rsid w:val="00011129"/>
    <w:rsid w:val="00011177"/>
    <w:rsid w:val="0001117F"/>
    <w:rsid w:val="0001141C"/>
    <w:rsid w:val="000119F1"/>
    <w:rsid w:val="00011A8A"/>
    <w:rsid w:val="00011C06"/>
    <w:rsid w:val="00011C62"/>
    <w:rsid w:val="00011E0F"/>
    <w:rsid w:val="00011E94"/>
    <w:rsid w:val="00011FFE"/>
    <w:rsid w:val="000121FC"/>
    <w:rsid w:val="000123A7"/>
    <w:rsid w:val="00012932"/>
    <w:rsid w:val="00012AA8"/>
    <w:rsid w:val="00013186"/>
    <w:rsid w:val="00013250"/>
    <w:rsid w:val="00013887"/>
    <w:rsid w:val="000139CC"/>
    <w:rsid w:val="00013B6E"/>
    <w:rsid w:val="00013BA5"/>
    <w:rsid w:val="00013C5F"/>
    <w:rsid w:val="00013E21"/>
    <w:rsid w:val="00013E9E"/>
    <w:rsid w:val="00013F4C"/>
    <w:rsid w:val="00014466"/>
    <w:rsid w:val="0001475E"/>
    <w:rsid w:val="00014814"/>
    <w:rsid w:val="000148A1"/>
    <w:rsid w:val="00014C51"/>
    <w:rsid w:val="00014D55"/>
    <w:rsid w:val="00014DD5"/>
    <w:rsid w:val="00015046"/>
    <w:rsid w:val="000150A6"/>
    <w:rsid w:val="000153BA"/>
    <w:rsid w:val="000156DD"/>
    <w:rsid w:val="000156E3"/>
    <w:rsid w:val="0001599C"/>
    <w:rsid w:val="00015BB9"/>
    <w:rsid w:val="00015C60"/>
    <w:rsid w:val="00016139"/>
    <w:rsid w:val="000161EB"/>
    <w:rsid w:val="000164C7"/>
    <w:rsid w:val="000165A7"/>
    <w:rsid w:val="000167FA"/>
    <w:rsid w:val="00016855"/>
    <w:rsid w:val="00016E6A"/>
    <w:rsid w:val="00016F43"/>
    <w:rsid w:val="00017165"/>
    <w:rsid w:val="0001728D"/>
    <w:rsid w:val="0001743A"/>
    <w:rsid w:val="00017755"/>
    <w:rsid w:val="00017757"/>
    <w:rsid w:val="00017847"/>
    <w:rsid w:val="000178D1"/>
    <w:rsid w:val="000179DE"/>
    <w:rsid w:val="00017A69"/>
    <w:rsid w:val="00017ABF"/>
    <w:rsid w:val="00017BD2"/>
    <w:rsid w:val="00020138"/>
    <w:rsid w:val="00020179"/>
    <w:rsid w:val="00020186"/>
    <w:rsid w:val="000201A7"/>
    <w:rsid w:val="0002063A"/>
    <w:rsid w:val="000207AC"/>
    <w:rsid w:val="00020821"/>
    <w:rsid w:val="00020864"/>
    <w:rsid w:val="00020AA1"/>
    <w:rsid w:val="00020E0D"/>
    <w:rsid w:val="00020F4D"/>
    <w:rsid w:val="0002114D"/>
    <w:rsid w:val="000211D6"/>
    <w:rsid w:val="000218ED"/>
    <w:rsid w:val="00022059"/>
    <w:rsid w:val="00022254"/>
    <w:rsid w:val="0002240E"/>
    <w:rsid w:val="00022480"/>
    <w:rsid w:val="000224DE"/>
    <w:rsid w:val="00023060"/>
    <w:rsid w:val="00023279"/>
    <w:rsid w:val="000233E8"/>
    <w:rsid w:val="0002345D"/>
    <w:rsid w:val="00023668"/>
    <w:rsid w:val="0002376A"/>
    <w:rsid w:val="00023896"/>
    <w:rsid w:val="00023E53"/>
    <w:rsid w:val="00023E90"/>
    <w:rsid w:val="00023F3D"/>
    <w:rsid w:val="00024522"/>
    <w:rsid w:val="00024668"/>
    <w:rsid w:val="000249A7"/>
    <w:rsid w:val="00024AC6"/>
    <w:rsid w:val="00024B2E"/>
    <w:rsid w:val="00024C7F"/>
    <w:rsid w:val="00024FF0"/>
    <w:rsid w:val="000251EA"/>
    <w:rsid w:val="00025438"/>
    <w:rsid w:val="00025487"/>
    <w:rsid w:val="00025531"/>
    <w:rsid w:val="00025BFE"/>
    <w:rsid w:val="00025D05"/>
    <w:rsid w:val="000263BE"/>
    <w:rsid w:val="000269A5"/>
    <w:rsid w:val="000269FA"/>
    <w:rsid w:val="00026D48"/>
    <w:rsid w:val="00026DCB"/>
    <w:rsid w:val="00026E4B"/>
    <w:rsid w:val="00026EDE"/>
    <w:rsid w:val="00026FBF"/>
    <w:rsid w:val="00027047"/>
    <w:rsid w:val="00027174"/>
    <w:rsid w:val="000271F0"/>
    <w:rsid w:val="000273A7"/>
    <w:rsid w:val="00027C3A"/>
    <w:rsid w:val="00027DBA"/>
    <w:rsid w:val="00027F4F"/>
    <w:rsid w:val="000300C3"/>
    <w:rsid w:val="00030430"/>
    <w:rsid w:val="000304FF"/>
    <w:rsid w:val="000305B2"/>
    <w:rsid w:val="00030717"/>
    <w:rsid w:val="0003078E"/>
    <w:rsid w:val="00030A5D"/>
    <w:rsid w:val="00030AD2"/>
    <w:rsid w:val="00030B2D"/>
    <w:rsid w:val="00030BDE"/>
    <w:rsid w:val="00030C7F"/>
    <w:rsid w:val="00030C83"/>
    <w:rsid w:val="00030CB0"/>
    <w:rsid w:val="00030D23"/>
    <w:rsid w:val="000312AE"/>
    <w:rsid w:val="00031A27"/>
    <w:rsid w:val="00031B89"/>
    <w:rsid w:val="00031C25"/>
    <w:rsid w:val="00031D6A"/>
    <w:rsid w:val="00031E41"/>
    <w:rsid w:val="0003262C"/>
    <w:rsid w:val="00032728"/>
    <w:rsid w:val="0003279F"/>
    <w:rsid w:val="00032B65"/>
    <w:rsid w:val="00032DFB"/>
    <w:rsid w:val="00032F73"/>
    <w:rsid w:val="0003311C"/>
    <w:rsid w:val="00033129"/>
    <w:rsid w:val="000334D9"/>
    <w:rsid w:val="0003352C"/>
    <w:rsid w:val="00033570"/>
    <w:rsid w:val="0003361C"/>
    <w:rsid w:val="000336B6"/>
    <w:rsid w:val="000336DB"/>
    <w:rsid w:val="00033738"/>
    <w:rsid w:val="00033AC4"/>
    <w:rsid w:val="00033D79"/>
    <w:rsid w:val="00033F06"/>
    <w:rsid w:val="000345A8"/>
    <w:rsid w:val="000347BD"/>
    <w:rsid w:val="00034AB5"/>
    <w:rsid w:val="00034E1B"/>
    <w:rsid w:val="00034F7B"/>
    <w:rsid w:val="00035036"/>
    <w:rsid w:val="000351FF"/>
    <w:rsid w:val="0003537D"/>
    <w:rsid w:val="0003555A"/>
    <w:rsid w:val="00035619"/>
    <w:rsid w:val="0003579C"/>
    <w:rsid w:val="000357E8"/>
    <w:rsid w:val="00035AE8"/>
    <w:rsid w:val="00035B38"/>
    <w:rsid w:val="00035CD8"/>
    <w:rsid w:val="00036398"/>
    <w:rsid w:val="00036526"/>
    <w:rsid w:val="0003652F"/>
    <w:rsid w:val="0003665B"/>
    <w:rsid w:val="000367D8"/>
    <w:rsid w:val="0003693D"/>
    <w:rsid w:val="000369CB"/>
    <w:rsid w:val="00036A50"/>
    <w:rsid w:val="00036C12"/>
    <w:rsid w:val="00036D2F"/>
    <w:rsid w:val="00036DCB"/>
    <w:rsid w:val="00036FB2"/>
    <w:rsid w:val="00037147"/>
    <w:rsid w:val="000371E8"/>
    <w:rsid w:val="000372F9"/>
    <w:rsid w:val="00037831"/>
    <w:rsid w:val="000400D5"/>
    <w:rsid w:val="000400F8"/>
    <w:rsid w:val="0004021C"/>
    <w:rsid w:val="000403C3"/>
    <w:rsid w:val="00040492"/>
    <w:rsid w:val="00040529"/>
    <w:rsid w:val="00040852"/>
    <w:rsid w:val="000411C0"/>
    <w:rsid w:val="000413AB"/>
    <w:rsid w:val="00041436"/>
    <w:rsid w:val="0004146F"/>
    <w:rsid w:val="000418D1"/>
    <w:rsid w:val="000419C3"/>
    <w:rsid w:val="00041AD4"/>
    <w:rsid w:val="00041BD2"/>
    <w:rsid w:val="00041D11"/>
    <w:rsid w:val="00041D18"/>
    <w:rsid w:val="00041EFA"/>
    <w:rsid w:val="0004226B"/>
    <w:rsid w:val="00042501"/>
    <w:rsid w:val="0004281E"/>
    <w:rsid w:val="00042B92"/>
    <w:rsid w:val="00042BCC"/>
    <w:rsid w:val="00042EAA"/>
    <w:rsid w:val="00042FBD"/>
    <w:rsid w:val="00043051"/>
    <w:rsid w:val="000432BA"/>
    <w:rsid w:val="000434ED"/>
    <w:rsid w:val="000439BC"/>
    <w:rsid w:val="00043AB9"/>
    <w:rsid w:val="00043ACB"/>
    <w:rsid w:val="00043B2F"/>
    <w:rsid w:val="00043E3B"/>
    <w:rsid w:val="00043FB6"/>
    <w:rsid w:val="00044339"/>
    <w:rsid w:val="0004440F"/>
    <w:rsid w:val="00044718"/>
    <w:rsid w:val="00044A58"/>
    <w:rsid w:val="00044C31"/>
    <w:rsid w:val="0004529D"/>
    <w:rsid w:val="000459D0"/>
    <w:rsid w:val="00045A43"/>
    <w:rsid w:val="00045B44"/>
    <w:rsid w:val="00046143"/>
    <w:rsid w:val="00046301"/>
    <w:rsid w:val="000463C3"/>
    <w:rsid w:val="000463E8"/>
    <w:rsid w:val="0004656B"/>
    <w:rsid w:val="0004672B"/>
    <w:rsid w:val="0004674C"/>
    <w:rsid w:val="00046776"/>
    <w:rsid w:val="0004677F"/>
    <w:rsid w:val="000467A1"/>
    <w:rsid w:val="0004680F"/>
    <w:rsid w:val="00046C7B"/>
    <w:rsid w:val="00046EAB"/>
    <w:rsid w:val="00046EC1"/>
    <w:rsid w:val="00046FB7"/>
    <w:rsid w:val="00047387"/>
    <w:rsid w:val="00047514"/>
    <w:rsid w:val="000478A2"/>
    <w:rsid w:val="00047957"/>
    <w:rsid w:val="0004798A"/>
    <w:rsid w:val="00047AFB"/>
    <w:rsid w:val="00047CE0"/>
    <w:rsid w:val="00047D8A"/>
    <w:rsid w:val="00047DF9"/>
    <w:rsid w:val="0005032B"/>
    <w:rsid w:val="00050570"/>
    <w:rsid w:val="00050620"/>
    <w:rsid w:val="0005062A"/>
    <w:rsid w:val="00050B5F"/>
    <w:rsid w:val="00050F0A"/>
    <w:rsid w:val="00051122"/>
    <w:rsid w:val="0005120C"/>
    <w:rsid w:val="00051375"/>
    <w:rsid w:val="0005145D"/>
    <w:rsid w:val="0005149E"/>
    <w:rsid w:val="000514A1"/>
    <w:rsid w:val="00051548"/>
    <w:rsid w:val="000517B0"/>
    <w:rsid w:val="00051E11"/>
    <w:rsid w:val="00051EA2"/>
    <w:rsid w:val="00052145"/>
    <w:rsid w:val="000525FB"/>
    <w:rsid w:val="00052AE4"/>
    <w:rsid w:val="00052C8A"/>
    <w:rsid w:val="00052E35"/>
    <w:rsid w:val="000532EB"/>
    <w:rsid w:val="00053473"/>
    <w:rsid w:val="00053780"/>
    <w:rsid w:val="00053B77"/>
    <w:rsid w:val="00053CDE"/>
    <w:rsid w:val="00053EBA"/>
    <w:rsid w:val="00054083"/>
    <w:rsid w:val="0005446F"/>
    <w:rsid w:val="000548C8"/>
    <w:rsid w:val="00054923"/>
    <w:rsid w:val="00054948"/>
    <w:rsid w:val="00054A75"/>
    <w:rsid w:val="00054B94"/>
    <w:rsid w:val="00054E69"/>
    <w:rsid w:val="00054EDC"/>
    <w:rsid w:val="0005536F"/>
    <w:rsid w:val="000554AA"/>
    <w:rsid w:val="00055566"/>
    <w:rsid w:val="000555B7"/>
    <w:rsid w:val="00055726"/>
    <w:rsid w:val="00055889"/>
    <w:rsid w:val="00055BC8"/>
    <w:rsid w:val="00055D27"/>
    <w:rsid w:val="00056115"/>
    <w:rsid w:val="00056263"/>
    <w:rsid w:val="0005646A"/>
    <w:rsid w:val="000566F1"/>
    <w:rsid w:val="000568A8"/>
    <w:rsid w:val="0005710C"/>
    <w:rsid w:val="0005730E"/>
    <w:rsid w:val="000573BD"/>
    <w:rsid w:val="000574BF"/>
    <w:rsid w:val="0005762E"/>
    <w:rsid w:val="00057881"/>
    <w:rsid w:val="000578E2"/>
    <w:rsid w:val="0005794F"/>
    <w:rsid w:val="00057B09"/>
    <w:rsid w:val="00057B15"/>
    <w:rsid w:val="00057E23"/>
    <w:rsid w:val="00057EEC"/>
    <w:rsid w:val="00057F1E"/>
    <w:rsid w:val="00060248"/>
    <w:rsid w:val="000604E8"/>
    <w:rsid w:val="0006079B"/>
    <w:rsid w:val="000607E4"/>
    <w:rsid w:val="00060842"/>
    <w:rsid w:val="0006098E"/>
    <w:rsid w:val="00060B9E"/>
    <w:rsid w:val="00060C65"/>
    <w:rsid w:val="00061074"/>
    <w:rsid w:val="0006132F"/>
    <w:rsid w:val="000613E1"/>
    <w:rsid w:val="00061458"/>
    <w:rsid w:val="000615BB"/>
    <w:rsid w:val="000616B0"/>
    <w:rsid w:val="00061737"/>
    <w:rsid w:val="0006175C"/>
    <w:rsid w:val="00061991"/>
    <w:rsid w:val="00061E64"/>
    <w:rsid w:val="00061F7B"/>
    <w:rsid w:val="00062453"/>
    <w:rsid w:val="00062611"/>
    <w:rsid w:val="000626E9"/>
    <w:rsid w:val="00062DA2"/>
    <w:rsid w:val="00062FB0"/>
    <w:rsid w:val="00063133"/>
    <w:rsid w:val="000631C1"/>
    <w:rsid w:val="000634AF"/>
    <w:rsid w:val="00063614"/>
    <w:rsid w:val="00063696"/>
    <w:rsid w:val="0006391D"/>
    <w:rsid w:val="00063D65"/>
    <w:rsid w:val="00063D93"/>
    <w:rsid w:val="00063F47"/>
    <w:rsid w:val="00064076"/>
    <w:rsid w:val="000641B5"/>
    <w:rsid w:val="0006435D"/>
    <w:rsid w:val="000643AC"/>
    <w:rsid w:val="0006442B"/>
    <w:rsid w:val="00064441"/>
    <w:rsid w:val="000644C4"/>
    <w:rsid w:val="00064551"/>
    <w:rsid w:val="000645DB"/>
    <w:rsid w:val="00064846"/>
    <w:rsid w:val="000649EB"/>
    <w:rsid w:val="00064A8D"/>
    <w:rsid w:val="00064B57"/>
    <w:rsid w:val="00064C4B"/>
    <w:rsid w:val="00064F01"/>
    <w:rsid w:val="00064F40"/>
    <w:rsid w:val="000651B7"/>
    <w:rsid w:val="000653D1"/>
    <w:rsid w:val="00065631"/>
    <w:rsid w:val="0006575A"/>
    <w:rsid w:val="0006575D"/>
    <w:rsid w:val="00065AF3"/>
    <w:rsid w:val="00065B7C"/>
    <w:rsid w:val="00066652"/>
    <w:rsid w:val="000666AA"/>
    <w:rsid w:val="000668EB"/>
    <w:rsid w:val="00066ADD"/>
    <w:rsid w:val="00066B22"/>
    <w:rsid w:val="00066D4F"/>
    <w:rsid w:val="00066EDD"/>
    <w:rsid w:val="00066F12"/>
    <w:rsid w:val="00066F77"/>
    <w:rsid w:val="00067A84"/>
    <w:rsid w:val="00067E45"/>
    <w:rsid w:val="00067F74"/>
    <w:rsid w:val="00070146"/>
    <w:rsid w:val="000707D4"/>
    <w:rsid w:val="000709A1"/>
    <w:rsid w:val="000709EE"/>
    <w:rsid w:val="00070B01"/>
    <w:rsid w:val="00070E52"/>
    <w:rsid w:val="00070E6A"/>
    <w:rsid w:val="00070EB7"/>
    <w:rsid w:val="00070FC8"/>
    <w:rsid w:val="000711C2"/>
    <w:rsid w:val="00071248"/>
    <w:rsid w:val="000712EF"/>
    <w:rsid w:val="0007148F"/>
    <w:rsid w:val="00071545"/>
    <w:rsid w:val="00071640"/>
    <w:rsid w:val="00071AEF"/>
    <w:rsid w:val="00071C17"/>
    <w:rsid w:val="0007204D"/>
    <w:rsid w:val="000721F0"/>
    <w:rsid w:val="000722BD"/>
    <w:rsid w:val="000725CD"/>
    <w:rsid w:val="00072887"/>
    <w:rsid w:val="000728A0"/>
    <w:rsid w:val="000729A2"/>
    <w:rsid w:val="00072B9F"/>
    <w:rsid w:val="00072DA4"/>
    <w:rsid w:val="00072E05"/>
    <w:rsid w:val="00072E80"/>
    <w:rsid w:val="00073028"/>
    <w:rsid w:val="000734AD"/>
    <w:rsid w:val="00073643"/>
    <w:rsid w:val="000736BC"/>
    <w:rsid w:val="0007372F"/>
    <w:rsid w:val="00073849"/>
    <w:rsid w:val="00073B8E"/>
    <w:rsid w:val="00073EDF"/>
    <w:rsid w:val="0007405D"/>
    <w:rsid w:val="000745BB"/>
    <w:rsid w:val="00074AF3"/>
    <w:rsid w:val="00074C1E"/>
    <w:rsid w:val="00074E7C"/>
    <w:rsid w:val="00074EF6"/>
    <w:rsid w:val="00075026"/>
    <w:rsid w:val="00075428"/>
    <w:rsid w:val="00075446"/>
    <w:rsid w:val="00075500"/>
    <w:rsid w:val="00075605"/>
    <w:rsid w:val="00075C12"/>
    <w:rsid w:val="00075C66"/>
    <w:rsid w:val="00075EAC"/>
    <w:rsid w:val="00075F97"/>
    <w:rsid w:val="00076317"/>
    <w:rsid w:val="00076654"/>
    <w:rsid w:val="00076696"/>
    <w:rsid w:val="000766E3"/>
    <w:rsid w:val="00076925"/>
    <w:rsid w:val="00076C7D"/>
    <w:rsid w:val="00076E5B"/>
    <w:rsid w:val="00077066"/>
    <w:rsid w:val="000772FE"/>
    <w:rsid w:val="000778A1"/>
    <w:rsid w:val="00077972"/>
    <w:rsid w:val="00077A0C"/>
    <w:rsid w:val="00077ACF"/>
    <w:rsid w:val="00077CD5"/>
    <w:rsid w:val="00077CEC"/>
    <w:rsid w:val="000801C3"/>
    <w:rsid w:val="000803B9"/>
    <w:rsid w:val="0008048C"/>
    <w:rsid w:val="00080775"/>
    <w:rsid w:val="000808FF"/>
    <w:rsid w:val="000811A8"/>
    <w:rsid w:val="0008127C"/>
    <w:rsid w:val="00081437"/>
    <w:rsid w:val="000817D4"/>
    <w:rsid w:val="0008184F"/>
    <w:rsid w:val="00081AE7"/>
    <w:rsid w:val="00081C74"/>
    <w:rsid w:val="0008244E"/>
    <w:rsid w:val="00082523"/>
    <w:rsid w:val="00082879"/>
    <w:rsid w:val="00082D7F"/>
    <w:rsid w:val="00082EFA"/>
    <w:rsid w:val="00083113"/>
    <w:rsid w:val="000832AE"/>
    <w:rsid w:val="000832C7"/>
    <w:rsid w:val="00083367"/>
    <w:rsid w:val="000835C1"/>
    <w:rsid w:val="000835CF"/>
    <w:rsid w:val="0008361C"/>
    <w:rsid w:val="00083677"/>
    <w:rsid w:val="000838B1"/>
    <w:rsid w:val="000839FB"/>
    <w:rsid w:val="00083CD1"/>
    <w:rsid w:val="00083EE6"/>
    <w:rsid w:val="00084168"/>
    <w:rsid w:val="000845CA"/>
    <w:rsid w:val="0008488F"/>
    <w:rsid w:val="00084986"/>
    <w:rsid w:val="0008499E"/>
    <w:rsid w:val="00084F3B"/>
    <w:rsid w:val="00085138"/>
    <w:rsid w:val="000852EB"/>
    <w:rsid w:val="0008536F"/>
    <w:rsid w:val="00085404"/>
    <w:rsid w:val="00085530"/>
    <w:rsid w:val="0008566F"/>
    <w:rsid w:val="0008573F"/>
    <w:rsid w:val="000857C0"/>
    <w:rsid w:val="00086223"/>
    <w:rsid w:val="00086464"/>
    <w:rsid w:val="00086532"/>
    <w:rsid w:val="000865C9"/>
    <w:rsid w:val="00086697"/>
    <w:rsid w:val="00086DD1"/>
    <w:rsid w:val="00087312"/>
    <w:rsid w:val="0008747F"/>
    <w:rsid w:val="000901EF"/>
    <w:rsid w:val="00090726"/>
    <w:rsid w:val="000907BC"/>
    <w:rsid w:val="00090B42"/>
    <w:rsid w:val="00090DBF"/>
    <w:rsid w:val="00091181"/>
    <w:rsid w:val="0009157E"/>
    <w:rsid w:val="00091C10"/>
    <w:rsid w:val="00091C61"/>
    <w:rsid w:val="00091CDF"/>
    <w:rsid w:val="00091EEA"/>
    <w:rsid w:val="00092162"/>
    <w:rsid w:val="000921DE"/>
    <w:rsid w:val="00092453"/>
    <w:rsid w:val="0009254A"/>
    <w:rsid w:val="0009255E"/>
    <w:rsid w:val="0009353E"/>
    <w:rsid w:val="00093594"/>
    <w:rsid w:val="00093818"/>
    <w:rsid w:val="00093967"/>
    <w:rsid w:val="00093C96"/>
    <w:rsid w:val="00093F96"/>
    <w:rsid w:val="00093FA8"/>
    <w:rsid w:val="00094014"/>
    <w:rsid w:val="000940A4"/>
    <w:rsid w:val="000940B1"/>
    <w:rsid w:val="0009411C"/>
    <w:rsid w:val="0009420B"/>
    <w:rsid w:val="0009451C"/>
    <w:rsid w:val="00094810"/>
    <w:rsid w:val="00094AD4"/>
    <w:rsid w:val="00094FB7"/>
    <w:rsid w:val="00095221"/>
    <w:rsid w:val="0009527A"/>
    <w:rsid w:val="000952AB"/>
    <w:rsid w:val="00095540"/>
    <w:rsid w:val="000959AD"/>
    <w:rsid w:val="00095AEE"/>
    <w:rsid w:val="00095C5C"/>
    <w:rsid w:val="00096030"/>
    <w:rsid w:val="00096BDF"/>
    <w:rsid w:val="00096C69"/>
    <w:rsid w:val="00096E3A"/>
    <w:rsid w:val="00096E86"/>
    <w:rsid w:val="0009754E"/>
    <w:rsid w:val="00097557"/>
    <w:rsid w:val="0009791F"/>
    <w:rsid w:val="0009793D"/>
    <w:rsid w:val="0009797D"/>
    <w:rsid w:val="00097B1F"/>
    <w:rsid w:val="00097B28"/>
    <w:rsid w:val="00097CA4"/>
    <w:rsid w:val="00097D8D"/>
    <w:rsid w:val="00097E3A"/>
    <w:rsid w:val="00097E73"/>
    <w:rsid w:val="000A01AE"/>
    <w:rsid w:val="000A03CC"/>
    <w:rsid w:val="000A0804"/>
    <w:rsid w:val="000A0917"/>
    <w:rsid w:val="000A0A5B"/>
    <w:rsid w:val="000A0C2A"/>
    <w:rsid w:val="000A0E39"/>
    <w:rsid w:val="000A105C"/>
    <w:rsid w:val="000A13AA"/>
    <w:rsid w:val="000A1520"/>
    <w:rsid w:val="000A1806"/>
    <w:rsid w:val="000A18E4"/>
    <w:rsid w:val="000A1971"/>
    <w:rsid w:val="000A1CBD"/>
    <w:rsid w:val="000A1DD5"/>
    <w:rsid w:val="000A1E20"/>
    <w:rsid w:val="000A2014"/>
    <w:rsid w:val="000A20DC"/>
    <w:rsid w:val="000A218F"/>
    <w:rsid w:val="000A2192"/>
    <w:rsid w:val="000A22A6"/>
    <w:rsid w:val="000A242D"/>
    <w:rsid w:val="000A26AD"/>
    <w:rsid w:val="000A2BE0"/>
    <w:rsid w:val="000A2C2F"/>
    <w:rsid w:val="000A2F4B"/>
    <w:rsid w:val="000A3009"/>
    <w:rsid w:val="000A32E5"/>
    <w:rsid w:val="000A33CD"/>
    <w:rsid w:val="000A3BD9"/>
    <w:rsid w:val="000A4080"/>
    <w:rsid w:val="000A40FA"/>
    <w:rsid w:val="000A4132"/>
    <w:rsid w:val="000A4228"/>
    <w:rsid w:val="000A42F8"/>
    <w:rsid w:val="000A48FD"/>
    <w:rsid w:val="000A4BB8"/>
    <w:rsid w:val="000A5031"/>
    <w:rsid w:val="000A510E"/>
    <w:rsid w:val="000A5286"/>
    <w:rsid w:val="000A5925"/>
    <w:rsid w:val="000A5ABB"/>
    <w:rsid w:val="000A5C4A"/>
    <w:rsid w:val="000A5E6B"/>
    <w:rsid w:val="000A60B4"/>
    <w:rsid w:val="000A60DA"/>
    <w:rsid w:val="000A62B7"/>
    <w:rsid w:val="000A6416"/>
    <w:rsid w:val="000A658A"/>
    <w:rsid w:val="000A665C"/>
    <w:rsid w:val="000A684A"/>
    <w:rsid w:val="000A6B0D"/>
    <w:rsid w:val="000A6B6D"/>
    <w:rsid w:val="000A6CA7"/>
    <w:rsid w:val="000A6E76"/>
    <w:rsid w:val="000A6FE6"/>
    <w:rsid w:val="000A727D"/>
    <w:rsid w:val="000A72E2"/>
    <w:rsid w:val="000A755B"/>
    <w:rsid w:val="000A7579"/>
    <w:rsid w:val="000A776F"/>
    <w:rsid w:val="000A779A"/>
    <w:rsid w:val="000A7B8E"/>
    <w:rsid w:val="000A7C2A"/>
    <w:rsid w:val="000B053B"/>
    <w:rsid w:val="000B0A28"/>
    <w:rsid w:val="000B0A2E"/>
    <w:rsid w:val="000B0E3C"/>
    <w:rsid w:val="000B0E42"/>
    <w:rsid w:val="000B0EF9"/>
    <w:rsid w:val="000B118D"/>
    <w:rsid w:val="000B1422"/>
    <w:rsid w:val="000B1447"/>
    <w:rsid w:val="000B15D1"/>
    <w:rsid w:val="000B1715"/>
    <w:rsid w:val="000B17BE"/>
    <w:rsid w:val="000B1ACF"/>
    <w:rsid w:val="000B1E5F"/>
    <w:rsid w:val="000B1EA4"/>
    <w:rsid w:val="000B1F7A"/>
    <w:rsid w:val="000B2273"/>
    <w:rsid w:val="000B2DD7"/>
    <w:rsid w:val="000B30BA"/>
    <w:rsid w:val="000B31CB"/>
    <w:rsid w:val="000B344A"/>
    <w:rsid w:val="000B3585"/>
    <w:rsid w:val="000B36A5"/>
    <w:rsid w:val="000B3AE8"/>
    <w:rsid w:val="000B3B5C"/>
    <w:rsid w:val="000B3D22"/>
    <w:rsid w:val="000B43A7"/>
    <w:rsid w:val="000B43C3"/>
    <w:rsid w:val="000B43D2"/>
    <w:rsid w:val="000B451F"/>
    <w:rsid w:val="000B4BEC"/>
    <w:rsid w:val="000B4C3D"/>
    <w:rsid w:val="000B4CF7"/>
    <w:rsid w:val="000B501C"/>
    <w:rsid w:val="000B5102"/>
    <w:rsid w:val="000B51A1"/>
    <w:rsid w:val="000B549D"/>
    <w:rsid w:val="000B54C1"/>
    <w:rsid w:val="000B55B9"/>
    <w:rsid w:val="000B5BC4"/>
    <w:rsid w:val="000B5BCE"/>
    <w:rsid w:val="000B5CB1"/>
    <w:rsid w:val="000B5CB8"/>
    <w:rsid w:val="000B5D67"/>
    <w:rsid w:val="000B5DBE"/>
    <w:rsid w:val="000B5DE2"/>
    <w:rsid w:val="000B602C"/>
    <w:rsid w:val="000B615C"/>
    <w:rsid w:val="000B6300"/>
    <w:rsid w:val="000B64FE"/>
    <w:rsid w:val="000B6B1A"/>
    <w:rsid w:val="000B70E1"/>
    <w:rsid w:val="000B70E4"/>
    <w:rsid w:val="000B70ED"/>
    <w:rsid w:val="000B7291"/>
    <w:rsid w:val="000B72BC"/>
    <w:rsid w:val="000B730A"/>
    <w:rsid w:val="000B791A"/>
    <w:rsid w:val="000B7A94"/>
    <w:rsid w:val="000B7AAD"/>
    <w:rsid w:val="000B7B09"/>
    <w:rsid w:val="000B7C16"/>
    <w:rsid w:val="000C0368"/>
    <w:rsid w:val="000C03AB"/>
    <w:rsid w:val="000C068C"/>
    <w:rsid w:val="000C0738"/>
    <w:rsid w:val="000C0BFE"/>
    <w:rsid w:val="000C0C2D"/>
    <w:rsid w:val="000C0CB6"/>
    <w:rsid w:val="000C0D18"/>
    <w:rsid w:val="000C0E06"/>
    <w:rsid w:val="000C11A0"/>
    <w:rsid w:val="000C1638"/>
    <w:rsid w:val="000C1856"/>
    <w:rsid w:val="000C1891"/>
    <w:rsid w:val="000C1AA5"/>
    <w:rsid w:val="000C1B73"/>
    <w:rsid w:val="000C1D4C"/>
    <w:rsid w:val="000C1ECC"/>
    <w:rsid w:val="000C2116"/>
    <w:rsid w:val="000C228B"/>
    <w:rsid w:val="000C22C4"/>
    <w:rsid w:val="000C2693"/>
    <w:rsid w:val="000C2C24"/>
    <w:rsid w:val="000C2C35"/>
    <w:rsid w:val="000C2DDC"/>
    <w:rsid w:val="000C2FCB"/>
    <w:rsid w:val="000C31E4"/>
    <w:rsid w:val="000C32BD"/>
    <w:rsid w:val="000C3792"/>
    <w:rsid w:val="000C3972"/>
    <w:rsid w:val="000C3A27"/>
    <w:rsid w:val="000C3B8C"/>
    <w:rsid w:val="000C3E02"/>
    <w:rsid w:val="000C3E04"/>
    <w:rsid w:val="000C3E63"/>
    <w:rsid w:val="000C4623"/>
    <w:rsid w:val="000C4735"/>
    <w:rsid w:val="000C481E"/>
    <w:rsid w:val="000C4992"/>
    <w:rsid w:val="000C4DD0"/>
    <w:rsid w:val="000C4F6F"/>
    <w:rsid w:val="000C4F85"/>
    <w:rsid w:val="000C4F8E"/>
    <w:rsid w:val="000C4F91"/>
    <w:rsid w:val="000C5913"/>
    <w:rsid w:val="000C5C7B"/>
    <w:rsid w:val="000C5EDA"/>
    <w:rsid w:val="000C6052"/>
    <w:rsid w:val="000C60E8"/>
    <w:rsid w:val="000C60F3"/>
    <w:rsid w:val="000C6100"/>
    <w:rsid w:val="000C66B7"/>
    <w:rsid w:val="000C68C9"/>
    <w:rsid w:val="000C6A5C"/>
    <w:rsid w:val="000C6C9B"/>
    <w:rsid w:val="000C6D2F"/>
    <w:rsid w:val="000C6E42"/>
    <w:rsid w:val="000C6F45"/>
    <w:rsid w:val="000C72F3"/>
    <w:rsid w:val="000C7509"/>
    <w:rsid w:val="000C7D94"/>
    <w:rsid w:val="000C7ED7"/>
    <w:rsid w:val="000D0008"/>
    <w:rsid w:val="000D000C"/>
    <w:rsid w:val="000D0555"/>
    <w:rsid w:val="000D0A34"/>
    <w:rsid w:val="000D0A43"/>
    <w:rsid w:val="000D0C59"/>
    <w:rsid w:val="000D131E"/>
    <w:rsid w:val="000D1527"/>
    <w:rsid w:val="000D1B94"/>
    <w:rsid w:val="000D22F8"/>
    <w:rsid w:val="000D2318"/>
    <w:rsid w:val="000D250C"/>
    <w:rsid w:val="000D2565"/>
    <w:rsid w:val="000D257B"/>
    <w:rsid w:val="000D25A2"/>
    <w:rsid w:val="000D2902"/>
    <w:rsid w:val="000D29CE"/>
    <w:rsid w:val="000D2A39"/>
    <w:rsid w:val="000D2AD9"/>
    <w:rsid w:val="000D2B2B"/>
    <w:rsid w:val="000D2BD6"/>
    <w:rsid w:val="000D2C91"/>
    <w:rsid w:val="000D2EAD"/>
    <w:rsid w:val="000D2FD4"/>
    <w:rsid w:val="000D3024"/>
    <w:rsid w:val="000D30A1"/>
    <w:rsid w:val="000D3531"/>
    <w:rsid w:val="000D360F"/>
    <w:rsid w:val="000D388E"/>
    <w:rsid w:val="000D3A25"/>
    <w:rsid w:val="000D3AC6"/>
    <w:rsid w:val="000D4061"/>
    <w:rsid w:val="000D4199"/>
    <w:rsid w:val="000D42D2"/>
    <w:rsid w:val="000D4612"/>
    <w:rsid w:val="000D4B6D"/>
    <w:rsid w:val="000D4BA0"/>
    <w:rsid w:val="000D4C1B"/>
    <w:rsid w:val="000D4C44"/>
    <w:rsid w:val="000D4C4F"/>
    <w:rsid w:val="000D51B0"/>
    <w:rsid w:val="000D532D"/>
    <w:rsid w:val="000D5371"/>
    <w:rsid w:val="000D56A7"/>
    <w:rsid w:val="000D59CC"/>
    <w:rsid w:val="000D5C20"/>
    <w:rsid w:val="000D5C2D"/>
    <w:rsid w:val="000D6307"/>
    <w:rsid w:val="000D6344"/>
    <w:rsid w:val="000D63DC"/>
    <w:rsid w:val="000D6900"/>
    <w:rsid w:val="000D69A1"/>
    <w:rsid w:val="000D6A0F"/>
    <w:rsid w:val="000D6E84"/>
    <w:rsid w:val="000D6EE3"/>
    <w:rsid w:val="000D704A"/>
    <w:rsid w:val="000D750E"/>
    <w:rsid w:val="000D791E"/>
    <w:rsid w:val="000D7924"/>
    <w:rsid w:val="000D7936"/>
    <w:rsid w:val="000D7EF1"/>
    <w:rsid w:val="000E00BA"/>
    <w:rsid w:val="000E028E"/>
    <w:rsid w:val="000E0395"/>
    <w:rsid w:val="000E07B8"/>
    <w:rsid w:val="000E0945"/>
    <w:rsid w:val="000E0DD3"/>
    <w:rsid w:val="000E1068"/>
    <w:rsid w:val="000E12D9"/>
    <w:rsid w:val="000E14E2"/>
    <w:rsid w:val="000E17EB"/>
    <w:rsid w:val="000E184F"/>
    <w:rsid w:val="000E199C"/>
    <w:rsid w:val="000E1F28"/>
    <w:rsid w:val="000E2055"/>
    <w:rsid w:val="000E207B"/>
    <w:rsid w:val="000E209E"/>
    <w:rsid w:val="000E22B8"/>
    <w:rsid w:val="000E234C"/>
    <w:rsid w:val="000E23A3"/>
    <w:rsid w:val="000E243A"/>
    <w:rsid w:val="000E259D"/>
    <w:rsid w:val="000E279D"/>
    <w:rsid w:val="000E27F6"/>
    <w:rsid w:val="000E2BC6"/>
    <w:rsid w:val="000E2BCF"/>
    <w:rsid w:val="000E2C61"/>
    <w:rsid w:val="000E2DCC"/>
    <w:rsid w:val="000E31AE"/>
    <w:rsid w:val="000E3205"/>
    <w:rsid w:val="000E3379"/>
    <w:rsid w:val="000E339B"/>
    <w:rsid w:val="000E35AF"/>
    <w:rsid w:val="000E365D"/>
    <w:rsid w:val="000E36A1"/>
    <w:rsid w:val="000E37FB"/>
    <w:rsid w:val="000E3A11"/>
    <w:rsid w:val="000E3DED"/>
    <w:rsid w:val="000E3ED6"/>
    <w:rsid w:val="000E3FEC"/>
    <w:rsid w:val="000E40AD"/>
    <w:rsid w:val="000E44E8"/>
    <w:rsid w:val="000E45A7"/>
    <w:rsid w:val="000E474B"/>
    <w:rsid w:val="000E49A2"/>
    <w:rsid w:val="000E49EC"/>
    <w:rsid w:val="000E4AA2"/>
    <w:rsid w:val="000E4EB2"/>
    <w:rsid w:val="000E57CD"/>
    <w:rsid w:val="000E58D9"/>
    <w:rsid w:val="000E590F"/>
    <w:rsid w:val="000E59C8"/>
    <w:rsid w:val="000E5B8C"/>
    <w:rsid w:val="000E5C6E"/>
    <w:rsid w:val="000E5EB0"/>
    <w:rsid w:val="000E648B"/>
    <w:rsid w:val="000E6A8E"/>
    <w:rsid w:val="000E6CA3"/>
    <w:rsid w:val="000E6CC4"/>
    <w:rsid w:val="000E6F2B"/>
    <w:rsid w:val="000E6FB6"/>
    <w:rsid w:val="000E7205"/>
    <w:rsid w:val="000E73EC"/>
    <w:rsid w:val="000E7460"/>
    <w:rsid w:val="000E7719"/>
    <w:rsid w:val="000E77A7"/>
    <w:rsid w:val="000E7844"/>
    <w:rsid w:val="000E7848"/>
    <w:rsid w:val="000E7B1F"/>
    <w:rsid w:val="000E7F92"/>
    <w:rsid w:val="000F0056"/>
    <w:rsid w:val="000F0438"/>
    <w:rsid w:val="000F0489"/>
    <w:rsid w:val="000F05F4"/>
    <w:rsid w:val="000F098F"/>
    <w:rsid w:val="000F0994"/>
    <w:rsid w:val="000F0AA8"/>
    <w:rsid w:val="000F0DED"/>
    <w:rsid w:val="000F116C"/>
    <w:rsid w:val="000F1512"/>
    <w:rsid w:val="000F1724"/>
    <w:rsid w:val="000F181E"/>
    <w:rsid w:val="000F18F9"/>
    <w:rsid w:val="000F1AF1"/>
    <w:rsid w:val="000F1B7B"/>
    <w:rsid w:val="000F1E90"/>
    <w:rsid w:val="000F1EBC"/>
    <w:rsid w:val="000F2410"/>
    <w:rsid w:val="000F25B9"/>
    <w:rsid w:val="000F2628"/>
    <w:rsid w:val="000F289C"/>
    <w:rsid w:val="000F2B48"/>
    <w:rsid w:val="000F2C66"/>
    <w:rsid w:val="000F2CD8"/>
    <w:rsid w:val="000F2E4A"/>
    <w:rsid w:val="000F2ED4"/>
    <w:rsid w:val="000F2FE6"/>
    <w:rsid w:val="000F3591"/>
    <w:rsid w:val="000F35CF"/>
    <w:rsid w:val="000F362B"/>
    <w:rsid w:val="000F369B"/>
    <w:rsid w:val="000F3EFA"/>
    <w:rsid w:val="000F4109"/>
    <w:rsid w:val="000F42CF"/>
    <w:rsid w:val="000F4359"/>
    <w:rsid w:val="000F441A"/>
    <w:rsid w:val="000F46D0"/>
    <w:rsid w:val="000F475E"/>
    <w:rsid w:val="000F47D1"/>
    <w:rsid w:val="000F4811"/>
    <w:rsid w:val="000F48B7"/>
    <w:rsid w:val="000F4B26"/>
    <w:rsid w:val="000F4B92"/>
    <w:rsid w:val="000F4D3F"/>
    <w:rsid w:val="000F4EC2"/>
    <w:rsid w:val="000F50B2"/>
    <w:rsid w:val="000F51A6"/>
    <w:rsid w:val="000F523C"/>
    <w:rsid w:val="000F5325"/>
    <w:rsid w:val="000F5450"/>
    <w:rsid w:val="000F562F"/>
    <w:rsid w:val="000F58F7"/>
    <w:rsid w:val="000F59D4"/>
    <w:rsid w:val="000F5E37"/>
    <w:rsid w:val="000F5E94"/>
    <w:rsid w:val="000F623F"/>
    <w:rsid w:val="000F67F4"/>
    <w:rsid w:val="000F6994"/>
    <w:rsid w:val="000F6B12"/>
    <w:rsid w:val="000F6B47"/>
    <w:rsid w:val="000F6E12"/>
    <w:rsid w:val="000F7111"/>
    <w:rsid w:val="000F717D"/>
    <w:rsid w:val="000F7710"/>
    <w:rsid w:val="000F7857"/>
    <w:rsid w:val="000F7938"/>
    <w:rsid w:val="000F796E"/>
    <w:rsid w:val="000F79C8"/>
    <w:rsid w:val="000F7A82"/>
    <w:rsid w:val="000F7B03"/>
    <w:rsid w:val="000F7B9B"/>
    <w:rsid w:val="000F7E19"/>
    <w:rsid w:val="00100188"/>
    <w:rsid w:val="00100209"/>
    <w:rsid w:val="00100253"/>
    <w:rsid w:val="001003E7"/>
    <w:rsid w:val="001004CE"/>
    <w:rsid w:val="00100A9B"/>
    <w:rsid w:val="00100EB6"/>
    <w:rsid w:val="00101445"/>
    <w:rsid w:val="00101A33"/>
    <w:rsid w:val="00101AF2"/>
    <w:rsid w:val="00101B94"/>
    <w:rsid w:val="00101CBD"/>
    <w:rsid w:val="00101E33"/>
    <w:rsid w:val="00101F41"/>
    <w:rsid w:val="00102207"/>
    <w:rsid w:val="00102240"/>
    <w:rsid w:val="0010232A"/>
    <w:rsid w:val="00102451"/>
    <w:rsid w:val="001027ED"/>
    <w:rsid w:val="001028E8"/>
    <w:rsid w:val="001034DD"/>
    <w:rsid w:val="001036D0"/>
    <w:rsid w:val="001038E4"/>
    <w:rsid w:val="00103AF8"/>
    <w:rsid w:val="00103F34"/>
    <w:rsid w:val="00103F55"/>
    <w:rsid w:val="001040CC"/>
    <w:rsid w:val="0010420E"/>
    <w:rsid w:val="00104440"/>
    <w:rsid w:val="001048F7"/>
    <w:rsid w:val="00104F63"/>
    <w:rsid w:val="00105CA6"/>
    <w:rsid w:val="00105DA8"/>
    <w:rsid w:val="00105DC4"/>
    <w:rsid w:val="00105F59"/>
    <w:rsid w:val="00106005"/>
    <w:rsid w:val="0010610F"/>
    <w:rsid w:val="0010617C"/>
    <w:rsid w:val="0010646E"/>
    <w:rsid w:val="00106523"/>
    <w:rsid w:val="0010659A"/>
    <w:rsid w:val="00106768"/>
    <w:rsid w:val="001068A5"/>
    <w:rsid w:val="0010690F"/>
    <w:rsid w:val="0010697E"/>
    <w:rsid w:val="001069C7"/>
    <w:rsid w:val="00106EC9"/>
    <w:rsid w:val="00106F41"/>
    <w:rsid w:val="0010727C"/>
    <w:rsid w:val="00107306"/>
    <w:rsid w:val="0010745E"/>
    <w:rsid w:val="001076B9"/>
    <w:rsid w:val="00107AF6"/>
    <w:rsid w:val="00107CE2"/>
    <w:rsid w:val="0011006C"/>
    <w:rsid w:val="0011029D"/>
    <w:rsid w:val="0011087A"/>
    <w:rsid w:val="001108B6"/>
    <w:rsid w:val="001108CB"/>
    <w:rsid w:val="00110F88"/>
    <w:rsid w:val="00111030"/>
    <w:rsid w:val="00111347"/>
    <w:rsid w:val="0011145F"/>
    <w:rsid w:val="001116DA"/>
    <w:rsid w:val="0011173A"/>
    <w:rsid w:val="00111762"/>
    <w:rsid w:val="00111AFA"/>
    <w:rsid w:val="00111B4A"/>
    <w:rsid w:val="00111CEC"/>
    <w:rsid w:val="00111EC3"/>
    <w:rsid w:val="00111F1B"/>
    <w:rsid w:val="00111F44"/>
    <w:rsid w:val="00111F5C"/>
    <w:rsid w:val="00112000"/>
    <w:rsid w:val="001122DD"/>
    <w:rsid w:val="001123E4"/>
    <w:rsid w:val="00112423"/>
    <w:rsid w:val="001125FD"/>
    <w:rsid w:val="0011282E"/>
    <w:rsid w:val="0011288F"/>
    <w:rsid w:val="00112E4C"/>
    <w:rsid w:val="00112F28"/>
    <w:rsid w:val="00112F73"/>
    <w:rsid w:val="00112FC5"/>
    <w:rsid w:val="001131F8"/>
    <w:rsid w:val="00113283"/>
    <w:rsid w:val="00113949"/>
    <w:rsid w:val="00113B54"/>
    <w:rsid w:val="00113C55"/>
    <w:rsid w:val="00113C57"/>
    <w:rsid w:val="00113CBB"/>
    <w:rsid w:val="00113DB6"/>
    <w:rsid w:val="00113F89"/>
    <w:rsid w:val="001140E9"/>
    <w:rsid w:val="001143CF"/>
    <w:rsid w:val="00114494"/>
    <w:rsid w:val="001144D4"/>
    <w:rsid w:val="00114763"/>
    <w:rsid w:val="00114775"/>
    <w:rsid w:val="00114C7C"/>
    <w:rsid w:val="00114FBB"/>
    <w:rsid w:val="00115012"/>
    <w:rsid w:val="0011516B"/>
    <w:rsid w:val="0011516C"/>
    <w:rsid w:val="0011522B"/>
    <w:rsid w:val="001157C4"/>
    <w:rsid w:val="001157EB"/>
    <w:rsid w:val="00115A00"/>
    <w:rsid w:val="00115D99"/>
    <w:rsid w:val="001161BF"/>
    <w:rsid w:val="001165B5"/>
    <w:rsid w:val="0011679F"/>
    <w:rsid w:val="00116AED"/>
    <w:rsid w:val="00116BB3"/>
    <w:rsid w:val="00116BFA"/>
    <w:rsid w:val="00116C40"/>
    <w:rsid w:val="00116F33"/>
    <w:rsid w:val="00116FFA"/>
    <w:rsid w:val="001170C8"/>
    <w:rsid w:val="00117188"/>
    <w:rsid w:val="001173FF"/>
    <w:rsid w:val="00117535"/>
    <w:rsid w:val="001178B2"/>
    <w:rsid w:val="001179A4"/>
    <w:rsid w:val="001179C4"/>
    <w:rsid w:val="00117C7B"/>
    <w:rsid w:val="00117CAB"/>
    <w:rsid w:val="00117D81"/>
    <w:rsid w:val="00117F31"/>
    <w:rsid w:val="00117FB9"/>
    <w:rsid w:val="001202FB"/>
    <w:rsid w:val="001206A0"/>
    <w:rsid w:val="0012082F"/>
    <w:rsid w:val="001208E1"/>
    <w:rsid w:val="00120A7D"/>
    <w:rsid w:val="00120D75"/>
    <w:rsid w:val="001210E4"/>
    <w:rsid w:val="0012196D"/>
    <w:rsid w:val="001219C6"/>
    <w:rsid w:val="00121C1F"/>
    <w:rsid w:val="00121D7B"/>
    <w:rsid w:val="00121DFF"/>
    <w:rsid w:val="00121EB4"/>
    <w:rsid w:val="00122065"/>
    <w:rsid w:val="001224C1"/>
    <w:rsid w:val="0012252F"/>
    <w:rsid w:val="00122842"/>
    <w:rsid w:val="001228A3"/>
    <w:rsid w:val="00122A03"/>
    <w:rsid w:val="00122A1A"/>
    <w:rsid w:val="00122E3B"/>
    <w:rsid w:val="00122E8C"/>
    <w:rsid w:val="00122FCC"/>
    <w:rsid w:val="00123173"/>
    <w:rsid w:val="00123534"/>
    <w:rsid w:val="001237A2"/>
    <w:rsid w:val="0012398A"/>
    <w:rsid w:val="00123C8F"/>
    <w:rsid w:val="00123F5A"/>
    <w:rsid w:val="0012400B"/>
    <w:rsid w:val="00124269"/>
    <w:rsid w:val="001243AF"/>
    <w:rsid w:val="00124588"/>
    <w:rsid w:val="001247B6"/>
    <w:rsid w:val="00124A0F"/>
    <w:rsid w:val="00124C10"/>
    <w:rsid w:val="00124C2B"/>
    <w:rsid w:val="00124CD3"/>
    <w:rsid w:val="00124D0C"/>
    <w:rsid w:val="001252DB"/>
    <w:rsid w:val="0012535B"/>
    <w:rsid w:val="001254B3"/>
    <w:rsid w:val="001254C5"/>
    <w:rsid w:val="001255BB"/>
    <w:rsid w:val="0012593E"/>
    <w:rsid w:val="001259E2"/>
    <w:rsid w:val="00125C18"/>
    <w:rsid w:val="00125C1D"/>
    <w:rsid w:val="00125CC3"/>
    <w:rsid w:val="00125F2D"/>
    <w:rsid w:val="0012605B"/>
    <w:rsid w:val="001260D1"/>
    <w:rsid w:val="00126130"/>
    <w:rsid w:val="0012631F"/>
    <w:rsid w:val="00126406"/>
    <w:rsid w:val="0012643C"/>
    <w:rsid w:val="00126752"/>
    <w:rsid w:val="0012685C"/>
    <w:rsid w:val="001268CF"/>
    <w:rsid w:val="00126B49"/>
    <w:rsid w:val="001270D9"/>
    <w:rsid w:val="001273C1"/>
    <w:rsid w:val="00127452"/>
    <w:rsid w:val="00127505"/>
    <w:rsid w:val="00127558"/>
    <w:rsid w:val="00127711"/>
    <w:rsid w:val="00127801"/>
    <w:rsid w:val="00127946"/>
    <w:rsid w:val="001279C9"/>
    <w:rsid w:val="001279D6"/>
    <w:rsid w:val="00127A90"/>
    <w:rsid w:val="00127B1F"/>
    <w:rsid w:val="00127B62"/>
    <w:rsid w:val="00127F75"/>
    <w:rsid w:val="001301F5"/>
    <w:rsid w:val="00130635"/>
    <w:rsid w:val="001306F2"/>
    <w:rsid w:val="00130A41"/>
    <w:rsid w:val="00130ABA"/>
    <w:rsid w:val="00130B30"/>
    <w:rsid w:val="00130B64"/>
    <w:rsid w:val="00130CCC"/>
    <w:rsid w:val="00130E9E"/>
    <w:rsid w:val="00131168"/>
    <w:rsid w:val="001311AF"/>
    <w:rsid w:val="00131463"/>
    <w:rsid w:val="0013192C"/>
    <w:rsid w:val="00131A72"/>
    <w:rsid w:val="00131C58"/>
    <w:rsid w:val="00131E8F"/>
    <w:rsid w:val="001321DC"/>
    <w:rsid w:val="0013220B"/>
    <w:rsid w:val="001322D8"/>
    <w:rsid w:val="001322E5"/>
    <w:rsid w:val="0013234E"/>
    <w:rsid w:val="001323CB"/>
    <w:rsid w:val="00132C0B"/>
    <w:rsid w:val="00132C94"/>
    <w:rsid w:val="00132C9E"/>
    <w:rsid w:val="00132DAC"/>
    <w:rsid w:val="00132DB1"/>
    <w:rsid w:val="00132E48"/>
    <w:rsid w:val="00132E88"/>
    <w:rsid w:val="00132F89"/>
    <w:rsid w:val="00132FA4"/>
    <w:rsid w:val="0013302E"/>
    <w:rsid w:val="00133275"/>
    <w:rsid w:val="001332F9"/>
    <w:rsid w:val="001333F9"/>
    <w:rsid w:val="00133460"/>
    <w:rsid w:val="00133738"/>
    <w:rsid w:val="00133964"/>
    <w:rsid w:val="00133B34"/>
    <w:rsid w:val="001341AB"/>
    <w:rsid w:val="001341AF"/>
    <w:rsid w:val="00134292"/>
    <w:rsid w:val="0013459F"/>
    <w:rsid w:val="00134A09"/>
    <w:rsid w:val="00134C44"/>
    <w:rsid w:val="00134EA8"/>
    <w:rsid w:val="0013533A"/>
    <w:rsid w:val="0013549A"/>
    <w:rsid w:val="00135627"/>
    <w:rsid w:val="00135998"/>
    <w:rsid w:val="00135D1C"/>
    <w:rsid w:val="00135F0E"/>
    <w:rsid w:val="00135FC0"/>
    <w:rsid w:val="001360F2"/>
    <w:rsid w:val="001362A1"/>
    <w:rsid w:val="0013655D"/>
    <w:rsid w:val="00136A19"/>
    <w:rsid w:val="00136A55"/>
    <w:rsid w:val="00136A58"/>
    <w:rsid w:val="0013743C"/>
    <w:rsid w:val="00137B68"/>
    <w:rsid w:val="00137C18"/>
    <w:rsid w:val="00137EAF"/>
    <w:rsid w:val="00137FE4"/>
    <w:rsid w:val="00137FF7"/>
    <w:rsid w:val="001402C2"/>
    <w:rsid w:val="0014052B"/>
    <w:rsid w:val="00140813"/>
    <w:rsid w:val="00140CD5"/>
    <w:rsid w:val="00140D01"/>
    <w:rsid w:val="00140D7D"/>
    <w:rsid w:val="00140E1C"/>
    <w:rsid w:val="00140EA6"/>
    <w:rsid w:val="00140FEF"/>
    <w:rsid w:val="0014106D"/>
    <w:rsid w:val="0014111F"/>
    <w:rsid w:val="001414C7"/>
    <w:rsid w:val="001415F5"/>
    <w:rsid w:val="001417C5"/>
    <w:rsid w:val="0014195B"/>
    <w:rsid w:val="00141987"/>
    <w:rsid w:val="001419D9"/>
    <w:rsid w:val="00141B9F"/>
    <w:rsid w:val="00141ED6"/>
    <w:rsid w:val="00142047"/>
    <w:rsid w:val="001420F6"/>
    <w:rsid w:val="00142A1A"/>
    <w:rsid w:val="00142AB2"/>
    <w:rsid w:val="00142BE3"/>
    <w:rsid w:val="00142D3F"/>
    <w:rsid w:val="00142DF7"/>
    <w:rsid w:val="00142EC4"/>
    <w:rsid w:val="00142EF3"/>
    <w:rsid w:val="001430E9"/>
    <w:rsid w:val="001431E3"/>
    <w:rsid w:val="00143378"/>
    <w:rsid w:val="00143404"/>
    <w:rsid w:val="001435C0"/>
    <w:rsid w:val="0014485C"/>
    <w:rsid w:val="00144AB6"/>
    <w:rsid w:val="00144B08"/>
    <w:rsid w:val="00144BB9"/>
    <w:rsid w:val="0014506F"/>
    <w:rsid w:val="001453F6"/>
    <w:rsid w:val="00145785"/>
    <w:rsid w:val="00145AB1"/>
    <w:rsid w:val="00145ED5"/>
    <w:rsid w:val="00146176"/>
    <w:rsid w:val="0014619C"/>
    <w:rsid w:val="00146234"/>
    <w:rsid w:val="001463F5"/>
    <w:rsid w:val="0014670C"/>
    <w:rsid w:val="001469E4"/>
    <w:rsid w:val="00146ECD"/>
    <w:rsid w:val="001471BE"/>
    <w:rsid w:val="00147242"/>
    <w:rsid w:val="00147253"/>
    <w:rsid w:val="0014740D"/>
    <w:rsid w:val="00147AE4"/>
    <w:rsid w:val="00147EC2"/>
    <w:rsid w:val="0015032A"/>
    <w:rsid w:val="00150A9A"/>
    <w:rsid w:val="00150D33"/>
    <w:rsid w:val="00150D60"/>
    <w:rsid w:val="001512B6"/>
    <w:rsid w:val="00151616"/>
    <w:rsid w:val="0015178F"/>
    <w:rsid w:val="00151C2A"/>
    <w:rsid w:val="00151FCD"/>
    <w:rsid w:val="0015206C"/>
    <w:rsid w:val="00152404"/>
    <w:rsid w:val="0015267F"/>
    <w:rsid w:val="00152AD0"/>
    <w:rsid w:val="00152B4C"/>
    <w:rsid w:val="00152D02"/>
    <w:rsid w:val="001530E0"/>
    <w:rsid w:val="00153202"/>
    <w:rsid w:val="001533CA"/>
    <w:rsid w:val="00153806"/>
    <w:rsid w:val="001538CA"/>
    <w:rsid w:val="00153957"/>
    <w:rsid w:val="00153F17"/>
    <w:rsid w:val="00154787"/>
    <w:rsid w:val="0015484C"/>
    <w:rsid w:val="00154B7B"/>
    <w:rsid w:val="00154FC1"/>
    <w:rsid w:val="0015505C"/>
    <w:rsid w:val="001551D3"/>
    <w:rsid w:val="001552D0"/>
    <w:rsid w:val="001557F2"/>
    <w:rsid w:val="00155920"/>
    <w:rsid w:val="00155B56"/>
    <w:rsid w:val="00155CF7"/>
    <w:rsid w:val="00155DE3"/>
    <w:rsid w:val="001562F2"/>
    <w:rsid w:val="00156482"/>
    <w:rsid w:val="00156649"/>
    <w:rsid w:val="001568B6"/>
    <w:rsid w:val="00156B19"/>
    <w:rsid w:val="001571E5"/>
    <w:rsid w:val="00157339"/>
    <w:rsid w:val="0015755C"/>
    <w:rsid w:val="0015756D"/>
    <w:rsid w:val="001575D7"/>
    <w:rsid w:val="00157815"/>
    <w:rsid w:val="001578CF"/>
    <w:rsid w:val="00157BBA"/>
    <w:rsid w:val="00157E75"/>
    <w:rsid w:val="0016008E"/>
    <w:rsid w:val="00160433"/>
    <w:rsid w:val="00160489"/>
    <w:rsid w:val="0016068A"/>
    <w:rsid w:val="001609CB"/>
    <w:rsid w:val="00160B41"/>
    <w:rsid w:val="00160C28"/>
    <w:rsid w:val="00160D65"/>
    <w:rsid w:val="00160DD6"/>
    <w:rsid w:val="00160E8E"/>
    <w:rsid w:val="00160EEC"/>
    <w:rsid w:val="00160FAF"/>
    <w:rsid w:val="001610AE"/>
    <w:rsid w:val="00161140"/>
    <w:rsid w:val="00161214"/>
    <w:rsid w:val="001613D0"/>
    <w:rsid w:val="00161580"/>
    <w:rsid w:val="00161753"/>
    <w:rsid w:val="00161918"/>
    <w:rsid w:val="0016199D"/>
    <w:rsid w:val="00161BFD"/>
    <w:rsid w:val="00161CD9"/>
    <w:rsid w:val="00161E40"/>
    <w:rsid w:val="00161EB4"/>
    <w:rsid w:val="00161FAF"/>
    <w:rsid w:val="001623D1"/>
    <w:rsid w:val="00162DA3"/>
    <w:rsid w:val="00162DAA"/>
    <w:rsid w:val="00162F02"/>
    <w:rsid w:val="0016308B"/>
    <w:rsid w:val="001632CF"/>
    <w:rsid w:val="001634EA"/>
    <w:rsid w:val="001636DA"/>
    <w:rsid w:val="00163E26"/>
    <w:rsid w:val="00163E61"/>
    <w:rsid w:val="0016465B"/>
    <w:rsid w:val="00164A4F"/>
    <w:rsid w:val="00164C14"/>
    <w:rsid w:val="00164CC2"/>
    <w:rsid w:val="00164EBE"/>
    <w:rsid w:val="00165068"/>
    <w:rsid w:val="0016512C"/>
    <w:rsid w:val="0016536B"/>
    <w:rsid w:val="0016575B"/>
    <w:rsid w:val="0016582B"/>
    <w:rsid w:val="00165A19"/>
    <w:rsid w:val="00165A8F"/>
    <w:rsid w:val="00165CF6"/>
    <w:rsid w:val="00165E79"/>
    <w:rsid w:val="00165F24"/>
    <w:rsid w:val="00166027"/>
    <w:rsid w:val="0016609D"/>
    <w:rsid w:val="00166172"/>
    <w:rsid w:val="001661B7"/>
    <w:rsid w:val="00166345"/>
    <w:rsid w:val="00166482"/>
    <w:rsid w:val="0016693F"/>
    <w:rsid w:val="00166AC9"/>
    <w:rsid w:val="00166FFA"/>
    <w:rsid w:val="001673DE"/>
    <w:rsid w:val="00167673"/>
    <w:rsid w:val="001679BB"/>
    <w:rsid w:val="001679EC"/>
    <w:rsid w:val="00167A8F"/>
    <w:rsid w:val="00167D52"/>
    <w:rsid w:val="00167EF3"/>
    <w:rsid w:val="00167FB1"/>
    <w:rsid w:val="00170087"/>
    <w:rsid w:val="001709C7"/>
    <w:rsid w:val="00170ABB"/>
    <w:rsid w:val="00170E25"/>
    <w:rsid w:val="00170E86"/>
    <w:rsid w:val="00170F39"/>
    <w:rsid w:val="001715F6"/>
    <w:rsid w:val="001716E3"/>
    <w:rsid w:val="00171855"/>
    <w:rsid w:val="001722AA"/>
    <w:rsid w:val="001723EF"/>
    <w:rsid w:val="00172605"/>
    <w:rsid w:val="00172933"/>
    <w:rsid w:val="00172959"/>
    <w:rsid w:val="00172ABD"/>
    <w:rsid w:val="00172B7F"/>
    <w:rsid w:val="00172D76"/>
    <w:rsid w:val="00172E6A"/>
    <w:rsid w:val="00173688"/>
    <w:rsid w:val="001737A2"/>
    <w:rsid w:val="001738C8"/>
    <w:rsid w:val="0017435B"/>
    <w:rsid w:val="001743D2"/>
    <w:rsid w:val="0017445C"/>
    <w:rsid w:val="001746BC"/>
    <w:rsid w:val="00174909"/>
    <w:rsid w:val="00174B33"/>
    <w:rsid w:val="00174BCD"/>
    <w:rsid w:val="00175024"/>
    <w:rsid w:val="001750B1"/>
    <w:rsid w:val="00175219"/>
    <w:rsid w:val="001754A3"/>
    <w:rsid w:val="00175707"/>
    <w:rsid w:val="0017584E"/>
    <w:rsid w:val="00175DD8"/>
    <w:rsid w:val="0017618D"/>
    <w:rsid w:val="00176313"/>
    <w:rsid w:val="00176518"/>
    <w:rsid w:val="00176528"/>
    <w:rsid w:val="00176A69"/>
    <w:rsid w:val="00176C28"/>
    <w:rsid w:val="00176D0E"/>
    <w:rsid w:val="00176DFB"/>
    <w:rsid w:val="00176F1D"/>
    <w:rsid w:val="0017715E"/>
    <w:rsid w:val="00177274"/>
    <w:rsid w:val="001773D8"/>
    <w:rsid w:val="0017742C"/>
    <w:rsid w:val="00177432"/>
    <w:rsid w:val="001774FA"/>
    <w:rsid w:val="00177666"/>
    <w:rsid w:val="00177BF1"/>
    <w:rsid w:val="00177EEF"/>
    <w:rsid w:val="001802CB"/>
    <w:rsid w:val="001805CD"/>
    <w:rsid w:val="00180AC2"/>
    <w:rsid w:val="00181245"/>
    <w:rsid w:val="001814D8"/>
    <w:rsid w:val="00181BF9"/>
    <w:rsid w:val="00181ED1"/>
    <w:rsid w:val="00182183"/>
    <w:rsid w:val="001828CE"/>
    <w:rsid w:val="001829FC"/>
    <w:rsid w:val="00182D3E"/>
    <w:rsid w:val="00182D8A"/>
    <w:rsid w:val="00182EAB"/>
    <w:rsid w:val="0018336A"/>
    <w:rsid w:val="00183725"/>
    <w:rsid w:val="00183C17"/>
    <w:rsid w:val="00183CB6"/>
    <w:rsid w:val="00183D3F"/>
    <w:rsid w:val="00183D8E"/>
    <w:rsid w:val="00183D9B"/>
    <w:rsid w:val="00183DFE"/>
    <w:rsid w:val="001842DB"/>
    <w:rsid w:val="00184312"/>
    <w:rsid w:val="0018468E"/>
    <w:rsid w:val="001847AD"/>
    <w:rsid w:val="00184922"/>
    <w:rsid w:val="001849CA"/>
    <w:rsid w:val="00184E33"/>
    <w:rsid w:val="00185024"/>
    <w:rsid w:val="001852EA"/>
    <w:rsid w:val="0018531F"/>
    <w:rsid w:val="00185410"/>
    <w:rsid w:val="001857E8"/>
    <w:rsid w:val="0018588B"/>
    <w:rsid w:val="00185BC6"/>
    <w:rsid w:val="001860D1"/>
    <w:rsid w:val="0018700F"/>
    <w:rsid w:val="001875BA"/>
    <w:rsid w:val="001877E3"/>
    <w:rsid w:val="00187942"/>
    <w:rsid w:val="001879C0"/>
    <w:rsid w:val="00187A8C"/>
    <w:rsid w:val="001903B6"/>
    <w:rsid w:val="00190522"/>
    <w:rsid w:val="00190857"/>
    <w:rsid w:val="0019097D"/>
    <w:rsid w:val="00190B62"/>
    <w:rsid w:val="00191397"/>
    <w:rsid w:val="0019152D"/>
    <w:rsid w:val="00191E96"/>
    <w:rsid w:val="00191EAE"/>
    <w:rsid w:val="00191FE6"/>
    <w:rsid w:val="00192350"/>
    <w:rsid w:val="00192352"/>
    <w:rsid w:val="001924C6"/>
    <w:rsid w:val="0019273D"/>
    <w:rsid w:val="00192801"/>
    <w:rsid w:val="00192868"/>
    <w:rsid w:val="00192979"/>
    <w:rsid w:val="00192B9A"/>
    <w:rsid w:val="00192C0C"/>
    <w:rsid w:val="00192C75"/>
    <w:rsid w:val="00192CF7"/>
    <w:rsid w:val="00192DBD"/>
    <w:rsid w:val="001933E8"/>
    <w:rsid w:val="001934D0"/>
    <w:rsid w:val="00193661"/>
    <w:rsid w:val="001936BD"/>
    <w:rsid w:val="001938EF"/>
    <w:rsid w:val="00193B00"/>
    <w:rsid w:val="00194148"/>
    <w:rsid w:val="00194304"/>
    <w:rsid w:val="00194875"/>
    <w:rsid w:val="00194A4E"/>
    <w:rsid w:val="00194AD3"/>
    <w:rsid w:val="00194C62"/>
    <w:rsid w:val="00194D15"/>
    <w:rsid w:val="00194F48"/>
    <w:rsid w:val="00195065"/>
    <w:rsid w:val="001950A9"/>
    <w:rsid w:val="001951E8"/>
    <w:rsid w:val="001956ED"/>
    <w:rsid w:val="0019593E"/>
    <w:rsid w:val="00195A74"/>
    <w:rsid w:val="00196015"/>
    <w:rsid w:val="001960D7"/>
    <w:rsid w:val="0019649E"/>
    <w:rsid w:val="0019675F"/>
    <w:rsid w:val="00196A93"/>
    <w:rsid w:val="00196B39"/>
    <w:rsid w:val="00196BC1"/>
    <w:rsid w:val="00196BDD"/>
    <w:rsid w:val="00196C67"/>
    <w:rsid w:val="00196DA5"/>
    <w:rsid w:val="00196E30"/>
    <w:rsid w:val="001976DE"/>
    <w:rsid w:val="00197A04"/>
    <w:rsid w:val="00197A21"/>
    <w:rsid w:val="00197A85"/>
    <w:rsid w:val="00197CFE"/>
    <w:rsid w:val="00197DFB"/>
    <w:rsid w:val="00197EB4"/>
    <w:rsid w:val="001A0367"/>
    <w:rsid w:val="001A040F"/>
    <w:rsid w:val="001A0535"/>
    <w:rsid w:val="001A07A9"/>
    <w:rsid w:val="001A1105"/>
    <w:rsid w:val="001A141E"/>
    <w:rsid w:val="001A1518"/>
    <w:rsid w:val="001A161C"/>
    <w:rsid w:val="001A18EE"/>
    <w:rsid w:val="001A1EEE"/>
    <w:rsid w:val="001A2006"/>
    <w:rsid w:val="001A217B"/>
    <w:rsid w:val="001A21A0"/>
    <w:rsid w:val="001A22BE"/>
    <w:rsid w:val="001A250B"/>
    <w:rsid w:val="001A2A1A"/>
    <w:rsid w:val="001A2C78"/>
    <w:rsid w:val="001A2D4E"/>
    <w:rsid w:val="001A2D55"/>
    <w:rsid w:val="001A2D84"/>
    <w:rsid w:val="001A319C"/>
    <w:rsid w:val="001A3492"/>
    <w:rsid w:val="001A361E"/>
    <w:rsid w:val="001A3695"/>
    <w:rsid w:val="001A38EF"/>
    <w:rsid w:val="001A3A82"/>
    <w:rsid w:val="001A3B51"/>
    <w:rsid w:val="001A3E72"/>
    <w:rsid w:val="001A3F5A"/>
    <w:rsid w:val="001A4196"/>
    <w:rsid w:val="001A4A5A"/>
    <w:rsid w:val="001A4D3A"/>
    <w:rsid w:val="001A4E65"/>
    <w:rsid w:val="001A4EA9"/>
    <w:rsid w:val="001A57DF"/>
    <w:rsid w:val="001A57F8"/>
    <w:rsid w:val="001A63FC"/>
    <w:rsid w:val="001A6423"/>
    <w:rsid w:val="001A6A5D"/>
    <w:rsid w:val="001A6BF4"/>
    <w:rsid w:val="001A6CE9"/>
    <w:rsid w:val="001A6EC5"/>
    <w:rsid w:val="001A77E2"/>
    <w:rsid w:val="001A7C7C"/>
    <w:rsid w:val="001B028D"/>
    <w:rsid w:val="001B0713"/>
    <w:rsid w:val="001B0965"/>
    <w:rsid w:val="001B0A56"/>
    <w:rsid w:val="001B0BD9"/>
    <w:rsid w:val="001B0CFD"/>
    <w:rsid w:val="001B0E53"/>
    <w:rsid w:val="001B119A"/>
    <w:rsid w:val="001B12E0"/>
    <w:rsid w:val="001B13EA"/>
    <w:rsid w:val="001B143A"/>
    <w:rsid w:val="001B1721"/>
    <w:rsid w:val="001B1DF1"/>
    <w:rsid w:val="001B1EEF"/>
    <w:rsid w:val="001B1F04"/>
    <w:rsid w:val="001B2090"/>
    <w:rsid w:val="001B220A"/>
    <w:rsid w:val="001B294C"/>
    <w:rsid w:val="001B2C88"/>
    <w:rsid w:val="001B30F0"/>
    <w:rsid w:val="001B31D4"/>
    <w:rsid w:val="001B37FA"/>
    <w:rsid w:val="001B398D"/>
    <w:rsid w:val="001B3A73"/>
    <w:rsid w:val="001B3B84"/>
    <w:rsid w:val="001B3BF7"/>
    <w:rsid w:val="001B3C7B"/>
    <w:rsid w:val="001B3FF6"/>
    <w:rsid w:val="001B411D"/>
    <w:rsid w:val="001B4184"/>
    <w:rsid w:val="001B49D0"/>
    <w:rsid w:val="001B49F8"/>
    <w:rsid w:val="001B4B18"/>
    <w:rsid w:val="001B4B55"/>
    <w:rsid w:val="001B4D8F"/>
    <w:rsid w:val="001B51AA"/>
    <w:rsid w:val="001B5975"/>
    <w:rsid w:val="001B5A11"/>
    <w:rsid w:val="001B5AFD"/>
    <w:rsid w:val="001B6209"/>
    <w:rsid w:val="001B64B8"/>
    <w:rsid w:val="001B665D"/>
    <w:rsid w:val="001B6C00"/>
    <w:rsid w:val="001B706D"/>
    <w:rsid w:val="001B71A0"/>
    <w:rsid w:val="001B7B4B"/>
    <w:rsid w:val="001B7BD8"/>
    <w:rsid w:val="001B7D03"/>
    <w:rsid w:val="001C0006"/>
    <w:rsid w:val="001C00AD"/>
    <w:rsid w:val="001C0102"/>
    <w:rsid w:val="001C0415"/>
    <w:rsid w:val="001C0B44"/>
    <w:rsid w:val="001C0D23"/>
    <w:rsid w:val="001C1021"/>
    <w:rsid w:val="001C14A1"/>
    <w:rsid w:val="001C17B6"/>
    <w:rsid w:val="001C1AFC"/>
    <w:rsid w:val="001C1BBC"/>
    <w:rsid w:val="001C1EBD"/>
    <w:rsid w:val="001C1F57"/>
    <w:rsid w:val="001C2276"/>
    <w:rsid w:val="001C2364"/>
    <w:rsid w:val="001C2517"/>
    <w:rsid w:val="001C2878"/>
    <w:rsid w:val="001C2987"/>
    <w:rsid w:val="001C2A30"/>
    <w:rsid w:val="001C2A77"/>
    <w:rsid w:val="001C2CB0"/>
    <w:rsid w:val="001C3186"/>
    <w:rsid w:val="001C3280"/>
    <w:rsid w:val="001C32CE"/>
    <w:rsid w:val="001C3345"/>
    <w:rsid w:val="001C3426"/>
    <w:rsid w:val="001C3480"/>
    <w:rsid w:val="001C3789"/>
    <w:rsid w:val="001C37E6"/>
    <w:rsid w:val="001C386C"/>
    <w:rsid w:val="001C3AD8"/>
    <w:rsid w:val="001C3DE3"/>
    <w:rsid w:val="001C3F87"/>
    <w:rsid w:val="001C40E0"/>
    <w:rsid w:val="001C4128"/>
    <w:rsid w:val="001C4301"/>
    <w:rsid w:val="001C45E7"/>
    <w:rsid w:val="001C4886"/>
    <w:rsid w:val="001C490D"/>
    <w:rsid w:val="001C4D63"/>
    <w:rsid w:val="001C4E64"/>
    <w:rsid w:val="001C4FA9"/>
    <w:rsid w:val="001C51F1"/>
    <w:rsid w:val="001C5356"/>
    <w:rsid w:val="001C5808"/>
    <w:rsid w:val="001C58BC"/>
    <w:rsid w:val="001C5B5F"/>
    <w:rsid w:val="001C5D5D"/>
    <w:rsid w:val="001C5DD1"/>
    <w:rsid w:val="001C5FC7"/>
    <w:rsid w:val="001C6139"/>
    <w:rsid w:val="001C624E"/>
    <w:rsid w:val="001C6461"/>
    <w:rsid w:val="001C68DB"/>
    <w:rsid w:val="001C68F2"/>
    <w:rsid w:val="001C701E"/>
    <w:rsid w:val="001C7069"/>
    <w:rsid w:val="001C728E"/>
    <w:rsid w:val="001C73C9"/>
    <w:rsid w:val="001C73F5"/>
    <w:rsid w:val="001C7491"/>
    <w:rsid w:val="001C7B9D"/>
    <w:rsid w:val="001C7E3C"/>
    <w:rsid w:val="001D0252"/>
    <w:rsid w:val="001D05C9"/>
    <w:rsid w:val="001D08C5"/>
    <w:rsid w:val="001D08EA"/>
    <w:rsid w:val="001D0960"/>
    <w:rsid w:val="001D0980"/>
    <w:rsid w:val="001D0D52"/>
    <w:rsid w:val="001D0DC3"/>
    <w:rsid w:val="001D0DE0"/>
    <w:rsid w:val="001D0E8F"/>
    <w:rsid w:val="001D10A1"/>
    <w:rsid w:val="001D1577"/>
    <w:rsid w:val="001D15C1"/>
    <w:rsid w:val="001D1974"/>
    <w:rsid w:val="001D1989"/>
    <w:rsid w:val="001D1CEF"/>
    <w:rsid w:val="001D1EBD"/>
    <w:rsid w:val="001D1F4F"/>
    <w:rsid w:val="001D20C5"/>
    <w:rsid w:val="001D270A"/>
    <w:rsid w:val="001D2879"/>
    <w:rsid w:val="001D2CFE"/>
    <w:rsid w:val="001D30E6"/>
    <w:rsid w:val="001D34C8"/>
    <w:rsid w:val="001D363F"/>
    <w:rsid w:val="001D3962"/>
    <w:rsid w:val="001D3C8D"/>
    <w:rsid w:val="001D3DC0"/>
    <w:rsid w:val="001D3DDD"/>
    <w:rsid w:val="001D417C"/>
    <w:rsid w:val="001D43C3"/>
    <w:rsid w:val="001D533C"/>
    <w:rsid w:val="001D544E"/>
    <w:rsid w:val="001D55D9"/>
    <w:rsid w:val="001D57D5"/>
    <w:rsid w:val="001D5876"/>
    <w:rsid w:val="001D59CB"/>
    <w:rsid w:val="001D5A6C"/>
    <w:rsid w:val="001D5AFF"/>
    <w:rsid w:val="001D5C00"/>
    <w:rsid w:val="001D5D90"/>
    <w:rsid w:val="001D5E85"/>
    <w:rsid w:val="001D60C9"/>
    <w:rsid w:val="001D6171"/>
    <w:rsid w:val="001D61D5"/>
    <w:rsid w:val="001D6A56"/>
    <w:rsid w:val="001D6AFF"/>
    <w:rsid w:val="001D6B8A"/>
    <w:rsid w:val="001D6DBD"/>
    <w:rsid w:val="001D7143"/>
    <w:rsid w:val="001D7201"/>
    <w:rsid w:val="001D7243"/>
    <w:rsid w:val="001D72B5"/>
    <w:rsid w:val="001D72E5"/>
    <w:rsid w:val="001D74B4"/>
    <w:rsid w:val="001D74D8"/>
    <w:rsid w:val="001D7656"/>
    <w:rsid w:val="001D7684"/>
    <w:rsid w:val="001D76A6"/>
    <w:rsid w:val="001D7715"/>
    <w:rsid w:val="001D7969"/>
    <w:rsid w:val="001D7F18"/>
    <w:rsid w:val="001E0168"/>
    <w:rsid w:val="001E02BD"/>
    <w:rsid w:val="001E03E1"/>
    <w:rsid w:val="001E059F"/>
    <w:rsid w:val="001E07AA"/>
    <w:rsid w:val="001E0A03"/>
    <w:rsid w:val="001E0E27"/>
    <w:rsid w:val="001E0E7B"/>
    <w:rsid w:val="001E153F"/>
    <w:rsid w:val="001E1843"/>
    <w:rsid w:val="001E18BB"/>
    <w:rsid w:val="001E1AB3"/>
    <w:rsid w:val="001E1CC2"/>
    <w:rsid w:val="001E2188"/>
    <w:rsid w:val="001E2A95"/>
    <w:rsid w:val="001E2CB7"/>
    <w:rsid w:val="001E3002"/>
    <w:rsid w:val="001E3039"/>
    <w:rsid w:val="001E3299"/>
    <w:rsid w:val="001E339E"/>
    <w:rsid w:val="001E33A9"/>
    <w:rsid w:val="001E3735"/>
    <w:rsid w:val="001E3900"/>
    <w:rsid w:val="001E3981"/>
    <w:rsid w:val="001E3EE8"/>
    <w:rsid w:val="001E42FE"/>
    <w:rsid w:val="001E4848"/>
    <w:rsid w:val="001E48E6"/>
    <w:rsid w:val="001E49C0"/>
    <w:rsid w:val="001E4CCA"/>
    <w:rsid w:val="001E5526"/>
    <w:rsid w:val="001E5556"/>
    <w:rsid w:val="001E56FF"/>
    <w:rsid w:val="001E5777"/>
    <w:rsid w:val="001E57C3"/>
    <w:rsid w:val="001E5B02"/>
    <w:rsid w:val="001E5B6D"/>
    <w:rsid w:val="001E5DA5"/>
    <w:rsid w:val="001E5EF6"/>
    <w:rsid w:val="001E61CF"/>
    <w:rsid w:val="001E6214"/>
    <w:rsid w:val="001E6426"/>
    <w:rsid w:val="001E64FA"/>
    <w:rsid w:val="001E6F8D"/>
    <w:rsid w:val="001E71EB"/>
    <w:rsid w:val="001F00FF"/>
    <w:rsid w:val="001F02A7"/>
    <w:rsid w:val="001F03A4"/>
    <w:rsid w:val="001F059F"/>
    <w:rsid w:val="001F0E0D"/>
    <w:rsid w:val="001F1046"/>
    <w:rsid w:val="001F1190"/>
    <w:rsid w:val="001F1488"/>
    <w:rsid w:val="001F1644"/>
    <w:rsid w:val="001F16A8"/>
    <w:rsid w:val="001F170B"/>
    <w:rsid w:val="001F199A"/>
    <w:rsid w:val="001F1BEC"/>
    <w:rsid w:val="001F1C95"/>
    <w:rsid w:val="001F20D2"/>
    <w:rsid w:val="001F21EB"/>
    <w:rsid w:val="001F2228"/>
    <w:rsid w:val="001F222E"/>
    <w:rsid w:val="001F233E"/>
    <w:rsid w:val="001F23B8"/>
    <w:rsid w:val="001F260B"/>
    <w:rsid w:val="001F26B3"/>
    <w:rsid w:val="001F287E"/>
    <w:rsid w:val="001F2880"/>
    <w:rsid w:val="001F295E"/>
    <w:rsid w:val="001F2CA1"/>
    <w:rsid w:val="001F2E1F"/>
    <w:rsid w:val="001F33E8"/>
    <w:rsid w:val="001F34BB"/>
    <w:rsid w:val="001F34E4"/>
    <w:rsid w:val="001F3A9C"/>
    <w:rsid w:val="001F3D85"/>
    <w:rsid w:val="001F3E08"/>
    <w:rsid w:val="001F3E2D"/>
    <w:rsid w:val="001F3FF0"/>
    <w:rsid w:val="001F40B4"/>
    <w:rsid w:val="001F4267"/>
    <w:rsid w:val="001F42B4"/>
    <w:rsid w:val="001F4329"/>
    <w:rsid w:val="001F4369"/>
    <w:rsid w:val="001F4486"/>
    <w:rsid w:val="001F4726"/>
    <w:rsid w:val="001F4A57"/>
    <w:rsid w:val="001F4B78"/>
    <w:rsid w:val="001F4F3A"/>
    <w:rsid w:val="001F5075"/>
    <w:rsid w:val="001F54DE"/>
    <w:rsid w:val="001F5545"/>
    <w:rsid w:val="001F569F"/>
    <w:rsid w:val="001F57F2"/>
    <w:rsid w:val="001F5C8E"/>
    <w:rsid w:val="001F5E82"/>
    <w:rsid w:val="001F6256"/>
    <w:rsid w:val="001F65B9"/>
    <w:rsid w:val="001F66F1"/>
    <w:rsid w:val="001F68CC"/>
    <w:rsid w:val="001F69C0"/>
    <w:rsid w:val="001F69F9"/>
    <w:rsid w:val="001F6A5E"/>
    <w:rsid w:val="001F6B64"/>
    <w:rsid w:val="001F6CE6"/>
    <w:rsid w:val="001F6F7C"/>
    <w:rsid w:val="001F73CC"/>
    <w:rsid w:val="001F7464"/>
    <w:rsid w:val="001F74A2"/>
    <w:rsid w:val="001F768C"/>
    <w:rsid w:val="001F7E76"/>
    <w:rsid w:val="002001B6"/>
    <w:rsid w:val="002005E1"/>
    <w:rsid w:val="002006D8"/>
    <w:rsid w:val="002006E5"/>
    <w:rsid w:val="00200811"/>
    <w:rsid w:val="00200CA1"/>
    <w:rsid w:val="00201083"/>
    <w:rsid w:val="002010A8"/>
    <w:rsid w:val="002011E1"/>
    <w:rsid w:val="0020144D"/>
    <w:rsid w:val="00201A43"/>
    <w:rsid w:val="00201E46"/>
    <w:rsid w:val="002020F1"/>
    <w:rsid w:val="0020210F"/>
    <w:rsid w:val="002022BB"/>
    <w:rsid w:val="00202353"/>
    <w:rsid w:val="00202637"/>
    <w:rsid w:val="0020265B"/>
    <w:rsid w:val="002026B9"/>
    <w:rsid w:val="00202C61"/>
    <w:rsid w:val="002032F8"/>
    <w:rsid w:val="002034C2"/>
    <w:rsid w:val="002036DF"/>
    <w:rsid w:val="00203755"/>
    <w:rsid w:val="002037BD"/>
    <w:rsid w:val="00203B87"/>
    <w:rsid w:val="00203C07"/>
    <w:rsid w:val="00203D6F"/>
    <w:rsid w:val="00203E65"/>
    <w:rsid w:val="00203E8E"/>
    <w:rsid w:val="00204276"/>
    <w:rsid w:val="002044D4"/>
    <w:rsid w:val="002047E3"/>
    <w:rsid w:val="00204952"/>
    <w:rsid w:val="00204CB1"/>
    <w:rsid w:val="00204CFC"/>
    <w:rsid w:val="00204D94"/>
    <w:rsid w:val="00204EB1"/>
    <w:rsid w:val="00205103"/>
    <w:rsid w:val="002051CD"/>
    <w:rsid w:val="0020526A"/>
    <w:rsid w:val="00205282"/>
    <w:rsid w:val="002052DF"/>
    <w:rsid w:val="002052E7"/>
    <w:rsid w:val="00205EC6"/>
    <w:rsid w:val="00205F47"/>
    <w:rsid w:val="00206163"/>
    <w:rsid w:val="00206397"/>
    <w:rsid w:val="002063CA"/>
    <w:rsid w:val="002065BF"/>
    <w:rsid w:val="00206979"/>
    <w:rsid w:val="00206DE5"/>
    <w:rsid w:val="00207625"/>
    <w:rsid w:val="00207726"/>
    <w:rsid w:val="00207906"/>
    <w:rsid w:val="0020794F"/>
    <w:rsid w:val="00207A11"/>
    <w:rsid w:val="00207A70"/>
    <w:rsid w:val="00207D69"/>
    <w:rsid w:val="00207DD5"/>
    <w:rsid w:val="00207DF9"/>
    <w:rsid w:val="00207FBF"/>
    <w:rsid w:val="0021018F"/>
    <w:rsid w:val="00210218"/>
    <w:rsid w:val="00210424"/>
    <w:rsid w:val="00210C28"/>
    <w:rsid w:val="00210C59"/>
    <w:rsid w:val="00210E40"/>
    <w:rsid w:val="00210E63"/>
    <w:rsid w:val="00210F42"/>
    <w:rsid w:val="002110C5"/>
    <w:rsid w:val="0021110B"/>
    <w:rsid w:val="0021130F"/>
    <w:rsid w:val="0021144F"/>
    <w:rsid w:val="002114E9"/>
    <w:rsid w:val="002115B8"/>
    <w:rsid w:val="00211716"/>
    <w:rsid w:val="00211764"/>
    <w:rsid w:val="00211846"/>
    <w:rsid w:val="00211A17"/>
    <w:rsid w:val="002120ED"/>
    <w:rsid w:val="002123E1"/>
    <w:rsid w:val="002129CA"/>
    <w:rsid w:val="00212B5C"/>
    <w:rsid w:val="00212B67"/>
    <w:rsid w:val="00213192"/>
    <w:rsid w:val="0021338D"/>
    <w:rsid w:val="0021351F"/>
    <w:rsid w:val="00213771"/>
    <w:rsid w:val="002137B6"/>
    <w:rsid w:val="0021382D"/>
    <w:rsid w:val="00213B84"/>
    <w:rsid w:val="00213BB2"/>
    <w:rsid w:val="00213D16"/>
    <w:rsid w:val="00214144"/>
    <w:rsid w:val="00214224"/>
    <w:rsid w:val="0021426C"/>
    <w:rsid w:val="002142FC"/>
    <w:rsid w:val="00214529"/>
    <w:rsid w:val="002149B9"/>
    <w:rsid w:val="00214D43"/>
    <w:rsid w:val="002152CA"/>
    <w:rsid w:val="0021534F"/>
    <w:rsid w:val="002153EC"/>
    <w:rsid w:val="00215573"/>
    <w:rsid w:val="002155DA"/>
    <w:rsid w:val="002156F2"/>
    <w:rsid w:val="0021591B"/>
    <w:rsid w:val="00215AA7"/>
    <w:rsid w:val="00215D06"/>
    <w:rsid w:val="00215DF0"/>
    <w:rsid w:val="00215EC5"/>
    <w:rsid w:val="00215FE3"/>
    <w:rsid w:val="002162A2"/>
    <w:rsid w:val="002165A3"/>
    <w:rsid w:val="00216652"/>
    <w:rsid w:val="00216777"/>
    <w:rsid w:val="002169E7"/>
    <w:rsid w:val="00216ADF"/>
    <w:rsid w:val="00216C8F"/>
    <w:rsid w:val="00216FD0"/>
    <w:rsid w:val="0021717D"/>
    <w:rsid w:val="002172FD"/>
    <w:rsid w:val="00217579"/>
    <w:rsid w:val="002175BC"/>
    <w:rsid w:val="002176A9"/>
    <w:rsid w:val="0021772C"/>
    <w:rsid w:val="00217A9D"/>
    <w:rsid w:val="00220096"/>
    <w:rsid w:val="0022027D"/>
    <w:rsid w:val="002207C6"/>
    <w:rsid w:val="00220E0B"/>
    <w:rsid w:val="00220E46"/>
    <w:rsid w:val="0022111F"/>
    <w:rsid w:val="002214E9"/>
    <w:rsid w:val="002215BF"/>
    <w:rsid w:val="00221A36"/>
    <w:rsid w:val="00221BCD"/>
    <w:rsid w:val="00222056"/>
    <w:rsid w:val="00222544"/>
    <w:rsid w:val="00222593"/>
    <w:rsid w:val="00222595"/>
    <w:rsid w:val="002226D8"/>
    <w:rsid w:val="00222A91"/>
    <w:rsid w:val="00222CD0"/>
    <w:rsid w:val="00222FE1"/>
    <w:rsid w:val="00223090"/>
    <w:rsid w:val="002230BE"/>
    <w:rsid w:val="002231F2"/>
    <w:rsid w:val="0022332E"/>
    <w:rsid w:val="002234BC"/>
    <w:rsid w:val="00223624"/>
    <w:rsid w:val="00223843"/>
    <w:rsid w:val="002238B4"/>
    <w:rsid w:val="00223D3D"/>
    <w:rsid w:val="00223EF0"/>
    <w:rsid w:val="002240E8"/>
    <w:rsid w:val="00224118"/>
    <w:rsid w:val="002242C0"/>
    <w:rsid w:val="002242EA"/>
    <w:rsid w:val="00224310"/>
    <w:rsid w:val="002243E4"/>
    <w:rsid w:val="00224585"/>
    <w:rsid w:val="002246D5"/>
    <w:rsid w:val="00224759"/>
    <w:rsid w:val="00224772"/>
    <w:rsid w:val="002252ED"/>
    <w:rsid w:val="0022543A"/>
    <w:rsid w:val="00225632"/>
    <w:rsid w:val="0022593D"/>
    <w:rsid w:val="00225E30"/>
    <w:rsid w:val="00225E36"/>
    <w:rsid w:val="002261C2"/>
    <w:rsid w:val="002266E0"/>
    <w:rsid w:val="0022688D"/>
    <w:rsid w:val="002268B5"/>
    <w:rsid w:val="002268E5"/>
    <w:rsid w:val="00226921"/>
    <w:rsid w:val="00226956"/>
    <w:rsid w:val="00226CF7"/>
    <w:rsid w:val="00226D40"/>
    <w:rsid w:val="00226E89"/>
    <w:rsid w:val="00226F53"/>
    <w:rsid w:val="002271E9"/>
    <w:rsid w:val="002273EE"/>
    <w:rsid w:val="00227579"/>
    <w:rsid w:val="00227657"/>
    <w:rsid w:val="00227835"/>
    <w:rsid w:val="00227D7E"/>
    <w:rsid w:val="00227E90"/>
    <w:rsid w:val="00230366"/>
    <w:rsid w:val="00230544"/>
    <w:rsid w:val="0023056A"/>
    <w:rsid w:val="00230628"/>
    <w:rsid w:val="00230723"/>
    <w:rsid w:val="0023076E"/>
    <w:rsid w:val="002307C4"/>
    <w:rsid w:val="002308C7"/>
    <w:rsid w:val="0023092B"/>
    <w:rsid w:val="0023092F"/>
    <w:rsid w:val="00230F85"/>
    <w:rsid w:val="002312E5"/>
    <w:rsid w:val="002316EA"/>
    <w:rsid w:val="0023183F"/>
    <w:rsid w:val="00231993"/>
    <w:rsid w:val="002319AB"/>
    <w:rsid w:val="002319AC"/>
    <w:rsid w:val="00231D3A"/>
    <w:rsid w:val="00231DE6"/>
    <w:rsid w:val="00232229"/>
    <w:rsid w:val="00232303"/>
    <w:rsid w:val="00232886"/>
    <w:rsid w:val="00232D46"/>
    <w:rsid w:val="0023335E"/>
    <w:rsid w:val="00233540"/>
    <w:rsid w:val="00233A4D"/>
    <w:rsid w:val="00233CC8"/>
    <w:rsid w:val="00234199"/>
    <w:rsid w:val="0023422F"/>
    <w:rsid w:val="00234242"/>
    <w:rsid w:val="00234342"/>
    <w:rsid w:val="002343F3"/>
    <w:rsid w:val="002345D3"/>
    <w:rsid w:val="00234A47"/>
    <w:rsid w:val="00234B3E"/>
    <w:rsid w:val="00234B85"/>
    <w:rsid w:val="00234E10"/>
    <w:rsid w:val="00234F10"/>
    <w:rsid w:val="00235261"/>
    <w:rsid w:val="0023538A"/>
    <w:rsid w:val="00235408"/>
    <w:rsid w:val="00235616"/>
    <w:rsid w:val="00235736"/>
    <w:rsid w:val="002357FA"/>
    <w:rsid w:val="002358D5"/>
    <w:rsid w:val="002358E4"/>
    <w:rsid w:val="00235C5F"/>
    <w:rsid w:val="00235E26"/>
    <w:rsid w:val="00235E99"/>
    <w:rsid w:val="002365B2"/>
    <w:rsid w:val="00236735"/>
    <w:rsid w:val="00236782"/>
    <w:rsid w:val="0023687B"/>
    <w:rsid w:val="00236B99"/>
    <w:rsid w:val="00236CBD"/>
    <w:rsid w:val="00236CFB"/>
    <w:rsid w:val="002372BC"/>
    <w:rsid w:val="00237343"/>
    <w:rsid w:val="002375DE"/>
    <w:rsid w:val="00237974"/>
    <w:rsid w:val="00237B56"/>
    <w:rsid w:val="00237DC6"/>
    <w:rsid w:val="00237F8E"/>
    <w:rsid w:val="0024040D"/>
    <w:rsid w:val="0024046A"/>
    <w:rsid w:val="00240610"/>
    <w:rsid w:val="002406FA"/>
    <w:rsid w:val="00240A9C"/>
    <w:rsid w:val="00240C4F"/>
    <w:rsid w:val="00240D30"/>
    <w:rsid w:val="00240F65"/>
    <w:rsid w:val="00240FB9"/>
    <w:rsid w:val="00240FBB"/>
    <w:rsid w:val="00240FEF"/>
    <w:rsid w:val="00241110"/>
    <w:rsid w:val="00241304"/>
    <w:rsid w:val="002413BE"/>
    <w:rsid w:val="0024143A"/>
    <w:rsid w:val="0024161D"/>
    <w:rsid w:val="0024187D"/>
    <w:rsid w:val="00241956"/>
    <w:rsid w:val="00241AF9"/>
    <w:rsid w:val="00241B93"/>
    <w:rsid w:val="00241E2C"/>
    <w:rsid w:val="00241F89"/>
    <w:rsid w:val="002421B8"/>
    <w:rsid w:val="002421E4"/>
    <w:rsid w:val="002424CD"/>
    <w:rsid w:val="00242711"/>
    <w:rsid w:val="00242D70"/>
    <w:rsid w:val="00242E24"/>
    <w:rsid w:val="0024304F"/>
    <w:rsid w:val="002431F6"/>
    <w:rsid w:val="002433D8"/>
    <w:rsid w:val="00243608"/>
    <w:rsid w:val="0024362F"/>
    <w:rsid w:val="002437C7"/>
    <w:rsid w:val="00243F35"/>
    <w:rsid w:val="00244228"/>
    <w:rsid w:val="0024447F"/>
    <w:rsid w:val="002447CC"/>
    <w:rsid w:val="00244983"/>
    <w:rsid w:val="00244F78"/>
    <w:rsid w:val="00245047"/>
    <w:rsid w:val="00245286"/>
    <w:rsid w:val="002452CA"/>
    <w:rsid w:val="0024536D"/>
    <w:rsid w:val="00245685"/>
    <w:rsid w:val="00245C90"/>
    <w:rsid w:val="00245E11"/>
    <w:rsid w:val="00245F0B"/>
    <w:rsid w:val="002460C2"/>
    <w:rsid w:val="002463FE"/>
    <w:rsid w:val="002464B9"/>
    <w:rsid w:val="00246574"/>
    <w:rsid w:val="00246687"/>
    <w:rsid w:val="00246C3F"/>
    <w:rsid w:val="002474B2"/>
    <w:rsid w:val="0024757C"/>
    <w:rsid w:val="002479C3"/>
    <w:rsid w:val="00247B3B"/>
    <w:rsid w:val="00247B7A"/>
    <w:rsid w:val="00247BBB"/>
    <w:rsid w:val="00247E38"/>
    <w:rsid w:val="00247FD7"/>
    <w:rsid w:val="002501AC"/>
    <w:rsid w:val="00250394"/>
    <w:rsid w:val="002504CB"/>
    <w:rsid w:val="002505EA"/>
    <w:rsid w:val="00250716"/>
    <w:rsid w:val="00250936"/>
    <w:rsid w:val="00250AE1"/>
    <w:rsid w:val="00250F43"/>
    <w:rsid w:val="00250FE2"/>
    <w:rsid w:val="00251084"/>
    <w:rsid w:val="002512EA"/>
    <w:rsid w:val="00251307"/>
    <w:rsid w:val="002513CE"/>
    <w:rsid w:val="0025155F"/>
    <w:rsid w:val="00251BCD"/>
    <w:rsid w:val="00251CD7"/>
    <w:rsid w:val="00251D34"/>
    <w:rsid w:val="00251E53"/>
    <w:rsid w:val="002522DA"/>
    <w:rsid w:val="00252B64"/>
    <w:rsid w:val="00252DA6"/>
    <w:rsid w:val="00252FAF"/>
    <w:rsid w:val="00253141"/>
    <w:rsid w:val="002532AD"/>
    <w:rsid w:val="00253605"/>
    <w:rsid w:val="002536D9"/>
    <w:rsid w:val="00253A1F"/>
    <w:rsid w:val="00253C43"/>
    <w:rsid w:val="00253C50"/>
    <w:rsid w:val="00253F0E"/>
    <w:rsid w:val="00254186"/>
    <w:rsid w:val="0025420E"/>
    <w:rsid w:val="00254218"/>
    <w:rsid w:val="0025460D"/>
    <w:rsid w:val="00254862"/>
    <w:rsid w:val="00254A95"/>
    <w:rsid w:val="00254BFB"/>
    <w:rsid w:val="00254CD7"/>
    <w:rsid w:val="00254D83"/>
    <w:rsid w:val="00254DF4"/>
    <w:rsid w:val="00254E9C"/>
    <w:rsid w:val="00254F8D"/>
    <w:rsid w:val="00255289"/>
    <w:rsid w:val="002553FF"/>
    <w:rsid w:val="002554B8"/>
    <w:rsid w:val="002559C3"/>
    <w:rsid w:val="00255FA3"/>
    <w:rsid w:val="002560BF"/>
    <w:rsid w:val="002562C5"/>
    <w:rsid w:val="002562DB"/>
    <w:rsid w:val="002564F9"/>
    <w:rsid w:val="0025650E"/>
    <w:rsid w:val="00256C46"/>
    <w:rsid w:val="00256DC5"/>
    <w:rsid w:val="00256EC8"/>
    <w:rsid w:val="00257284"/>
    <w:rsid w:val="00257288"/>
    <w:rsid w:val="0025734D"/>
    <w:rsid w:val="002574BF"/>
    <w:rsid w:val="00257857"/>
    <w:rsid w:val="002579DB"/>
    <w:rsid w:val="0026015F"/>
    <w:rsid w:val="00260EE0"/>
    <w:rsid w:val="00260F3E"/>
    <w:rsid w:val="00260F60"/>
    <w:rsid w:val="002611D6"/>
    <w:rsid w:val="0026127A"/>
    <w:rsid w:val="002616D0"/>
    <w:rsid w:val="002618A2"/>
    <w:rsid w:val="00261902"/>
    <w:rsid w:val="00261D52"/>
    <w:rsid w:val="00261EFB"/>
    <w:rsid w:val="00261F00"/>
    <w:rsid w:val="00261FB6"/>
    <w:rsid w:val="002620D7"/>
    <w:rsid w:val="0026256D"/>
    <w:rsid w:val="00262585"/>
    <w:rsid w:val="002629F8"/>
    <w:rsid w:val="00262CF2"/>
    <w:rsid w:val="00262D48"/>
    <w:rsid w:val="00262F7E"/>
    <w:rsid w:val="00263396"/>
    <w:rsid w:val="002633F6"/>
    <w:rsid w:val="00263688"/>
    <w:rsid w:val="00263812"/>
    <w:rsid w:val="0026385F"/>
    <w:rsid w:val="002638A8"/>
    <w:rsid w:val="00263A4E"/>
    <w:rsid w:val="00263AC1"/>
    <w:rsid w:val="00264159"/>
    <w:rsid w:val="002644C7"/>
    <w:rsid w:val="00264708"/>
    <w:rsid w:val="00264729"/>
    <w:rsid w:val="002649BB"/>
    <w:rsid w:val="00264C93"/>
    <w:rsid w:val="00264D13"/>
    <w:rsid w:val="00264D89"/>
    <w:rsid w:val="002653BE"/>
    <w:rsid w:val="00265448"/>
    <w:rsid w:val="002655CB"/>
    <w:rsid w:val="002656B4"/>
    <w:rsid w:val="00265769"/>
    <w:rsid w:val="0026585F"/>
    <w:rsid w:val="002659FA"/>
    <w:rsid w:val="0026604A"/>
    <w:rsid w:val="0026657F"/>
    <w:rsid w:val="002667E6"/>
    <w:rsid w:val="002668AD"/>
    <w:rsid w:val="002669BD"/>
    <w:rsid w:val="00266A2B"/>
    <w:rsid w:val="00266B98"/>
    <w:rsid w:val="00266EA5"/>
    <w:rsid w:val="002670C7"/>
    <w:rsid w:val="002670F2"/>
    <w:rsid w:val="0026772E"/>
    <w:rsid w:val="002677EA"/>
    <w:rsid w:val="00267815"/>
    <w:rsid w:val="00267FD0"/>
    <w:rsid w:val="00270176"/>
    <w:rsid w:val="00270353"/>
    <w:rsid w:val="00270507"/>
    <w:rsid w:val="0027054F"/>
    <w:rsid w:val="002705A7"/>
    <w:rsid w:val="002705CF"/>
    <w:rsid w:val="002706AF"/>
    <w:rsid w:val="00270C38"/>
    <w:rsid w:val="00270FEC"/>
    <w:rsid w:val="00271291"/>
    <w:rsid w:val="002712A7"/>
    <w:rsid w:val="00271316"/>
    <w:rsid w:val="0027154C"/>
    <w:rsid w:val="00271619"/>
    <w:rsid w:val="002717C7"/>
    <w:rsid w:val="002717D6"/>
    <w:rsid w:val="00271917"/>
    <w:rsid w:val="00271B9A"/>
    <w:rsid w:val="00271E9D"/>
    <w:rsid w:val="00271FC7"/>
    <w:rsid w:val="00272700"/>
    <w:rsid w:val="00272753"/>
    <w:rsid w:val="002728AA"/>
    <w:rsid w:val="002729F2"/>
    <w:rsid w:val="00272D22"/>
    <w:rsid w:val="00272D6D"/>
    <w:rsid w:val="0027310A"/>
    <w:rsid w:val="00273231"/>
    <w:rsid w:val="002734BC"/>
    <w:rsid w:val="0027368C"/>
    <w:rsid w:val="00273A39"/>
    <w:rsid w:val="00273D77"/>
    <w:rsid w:val="0027448D"/>
    <w:rsid w:val="002745B2"/>
    <w:rsid w:val="00274B74"/>
    <w:rsid w:val="00274B95"/>
    <w:rsid w:val="00275789"/>
    <w:rsid w:val="002757A5"/>
    <w:rsid w:val="00275847"/>
    <w:rsid w:val="00275952"/>
    <w:rsid w:val="00275D5A"/>
    <w:rsid w:val="00275D5E"/>
    <w:rsid w:val="002767E7"/>
    <w:rsid w:val="00276896"/>
    <w:rsid w:val="00276974"/>
    <w:rsid w:val="00276B44"/>
    <w:rsid w:val="00276B4A"/>
    <w:rsid w:val="00276BE3"/>
    <w:rsid w:val="00277152"/>
    <w:rsid w:val="0027723F"/>
    <w:rsid w:val="0027746C"/>
    <w:rsid w:val="0027762C"/>
    <w:rsid w:val="00277732"/>
    <w:rsid w:val="0027782C"/>
    <w:rsid w:val="002778CE"/>
    <w:rsid w:val="002778F5"/>
    <w:rsid w:val="00277A23"/>
    <w:rsid w:val="00277ABF"/>
    <w:rsid w:val="00277B1A"/>
    <w:rsid w:val="00277C89"/>
    <w:rsid w:val="00277CD2"/>
    <w:rsid w:val="00277D38"/>
    <w:rsid w:val="00280246"/>
    <w:rsid w:val="00280318"/>
    <w:rsid w:val="0028039F"/>
    <w:rsid w:val="002807E7"/>
    <w:rsid w:val="002808C4"/>
    <w:rsid w:val="002809D5"/>
    <w:rsid w:val="00280D6D"/>
    <w:rsid w:val="00280DDF"/>
    <w:rsid w:val="00281032"/>
    <w:rsid w:val="00281081"/>
    <w:rsid w:val="002811C9"/>
    <w:rsid w:val="002812D5"/>
    <w:rsid w:val="002817E9"/>
    <w:rsid w:val="0028191A"/>
    <w:rsid w:val="00281AFF"/>
    <w:rsid w:val="00281C0A"/>
    <w:rsid w:val="00281D38"/>
    <w:rsid w:val="00281DF8"/>
    <w:rsid w:val="0028226B"/>
    <w:rsid w:val="00282784"/>
    <w:rsid w:val="00282854"/>
    <w:rsid w:val="00282AB2"/>
    <w:rsid w:val="00282F57"/>
    <w:rsid w:val="00283193"/>
    <w:rsid w:val="0028326C"/>
    <w:rsid w:val="00283751"/>
    <w:rsid w:val="002837AC"/>
    <w:rsid w:val="00283D1D"/>
    <w:rsid w:val="00283EC5"/>
    <w:rsid w:val="00283EF1"/>
    <w:rsid w:val="0028405E"/>
    <w:rsid w:val="0028454B"/>
    <w:rsid w:val="00284849"/>
    <w:rsid w:val="00284926"/>
    <w:rsid w:val="0028495F"/>
    <w:rsid w:val="002849C4"/>
    <w:rsid w:val="0028500E"/>
    <w:rsid w:val="00285069"/>
    <w:rsid w:val="00285111"/>
    <w:rsid w:val="002852B4"/>
    <w:rsid w:val="00285505"/>
    <w:rsid w:val="002857A0"/>
    <w:rsid w:val="002857FB"/>
    <w:rsid w:val="00285820"/>
    <w:rsid w:val="00285874"/>
    <w:rsid w:val="0028589F"/>
    <w:rsid w:val="00285AAE"/>
    <w:rsid w:val="00286223"/>
    <w:rsid w:val="00286486"/>
    <w:rsid w:val="002864A4"/>
    <w:rsid w:val="00286562"/>
    <w:rsid w:val="0028683D"/>
    <w:rsid w:val="0028691C"/>
    <w:rsid w:val="00286CBE"/>
    <w:rsid w:val="00286E8C"/>
    <w:rsid w:val="00287069"/>
    <w:rsid w:val="0028782A"/>
    <w:rsid w:val="00287BB5"/>
    <w:rsid w:val="00287CA6"/>
    <w:rsid w:val="00290075"/>
    <w:rsid w:val="00290107"/>
    <w:rsid w:val="0029035D"/>
    <w:rsid w:val="0029036D"/>
    <w:rsid w:val="00290497"/>
    <w:rsid w:val="002905BC"/>
    <w:rsid w:val="002905D2"/>
    <w:rsid w:val="00290B8E"/>
    <w:rsid w:val="00290BAA"/>
    <w:rsid w:val="00290CFB"/>
    <w:rsid w:val="00290F1E"/>
    <w:rsid w:val="00291184"/>
    <w:rsid w:val="0029126D"/>
    <w:rsid w:val="00291601"/>
    <w:rsid w:val="00291737"/>
    <w:rsid w:val="002917B0"/>
    <w:rsid w:val="002917FF"/>
    <w:rsid w:val="002918A2"/>
    <w:rsid w:val="002918DF"/>
    <w:rsid w:val="00291908"/>
    <w:rsid w:val="00291DD8"/>
    <w:rsid w:val="00291E23"/>
    <w:rsid w:val="00291ECB"/>
    <w:rsid w:val="0029201C"/>
    <w:rsid w:val="00292269"/>
    <w:rsid w:val="002922D3"/>
    <w:rsid w:val="0029230D"/>
    <w:rsid w:val="00292399"/>
    <w:rsid w:val="0029250D"/>
    <w:rsid w:val="00292579"/>
    <w:rsid w:val="0029290F"/>
    <w:rsid w:val="00292A4F"/>
    <w:rsid w:val="00292A50"/>
    <w:rsid w:val="00292ADF"/>
    <w:rsid w:val="00292DBA"/>
    <w:rsid w:val="00292E01"/>
    <w:rsid w:val="00292FCD"/>
    <w:rsid w:val="00293253"/>
    <w:rsid w:val="002932D6"/>
    <w:rsid w:val="00293977"/>
    <w:rsid w:val="00293A79"/>
    <w:rsid w:val="0029411A"/>
    <w:rsid w:val="00294208"/>
    <w:rsid w:val="002942D1"/>
    <w:rsid w:val="00294337"/>
    <w:rsid w:val="002943D3"/>
    <w:rsid w:val="002943EB"/>
    <w:rsid w:val="00294466"/>
    <w:rsid w:val="00294530"/>
    <w:rsid w:val="0029454A"/>
    <w:rsid w:val="0029460E"/>
    <w:rsid w:val="00294716"/>
    <w:rsid w:val="00294A0D"/>
    <w:rsid w:val="00294B96"/>
    <w:rsid w:val="00294C7F"/>
    <w:rsid w:val="00295777"/>
    <w:rsid w:val="00295AC3"/>
    <w:rsid w:val="00295EAF"/>
    <w:rsid w:val="00295EF1"/>
    <w:rsid w:val="00295F09"/>
    <w:rsid w:val="00295F4B"/>
    <w:rsid w:val="002961C2"/>
    <w:rsid w:val="002961DA"/>
    <w:rsid w:val="002962A8"/>
    <w:rsid w:val="00296484"/>
    <w:rsid w:val="00296967"/>
    <w:rsid w:val="002969E8"/>
    <w:rsid w:val="00296CAF"/>
    <w:rsid w:val="00297072"/>
    <w:rsid w:val="00297D3E"/>
    <w:rsid w:val="00297F6C"/>
    <w:rsid w:val="00297F8F"/>
    <w:rsid w:val="002A050B"/>
    <w:rsid w:val="002A0510"/>
    <w:rsid w:val="002A068B"/>
    <w:rsid w:val="002A0791"/>
    <w:rsid w:val="002A0A9E"/>
    <w:rsid w:val="002A0AE5"/>
    <w:rsid w:val="002A0C56"/>
    <w:rsid w:val="002A0C9C"/>
    <w:rsid w:val="002A0DEC"/>
    <w:rsid w:val="002A0DF9"/>
    <w:rsid w:val="002A0E1A"/>
    <w:rsid w:val="002A1204"/>
    <w:rsid w:val="002A1312"/>
    <w:rsid w:val="002A1524"/>
    <w:rsid w:val="002A1598"/>
    <w:rsid w:val="002A19B6"/>
    <w:rsid w:val="002A1CBF"/>
    <w:rsid w:val="002A1DC1"/>
    <w:rsid w:val="002A1EDF"/>
    <w:rsid w:val="002A1F23"/>
    <w:rsid w:val="002A1FDD"/>
    <w:rsid w:val="002A2E9C"/>
    <w:rsid w:val="002A31D7"/>
    <w:rsid w:val="002A31E9"/>
    <w:rsid w:val="002A36B4"/>
    <w:rsid w:val="002A37AC"/>
    <w:rsid w:val="002A395C"/>
    <w:rsid w:val="002A3975"/>
    <w:rsid w:val="002A4021"/>
    <w:rsid w:val="002A4059"/>
    <w:rsid w:val="002A45EE"/>
    <w:rsid w:val="002A4C4E"/>
    <w:rsid w:val="002A4E10"/>
    <w:rsid w:val="002A4E9E"/>
    <w:rsid w:val="002A5145"/>
    <w:rsid w:val="002A5535"/>
    <w:rsid w:val="002A559B"/>
    <w:rsid w:val="002A55D7"/>
    <w:rsid w:val="002A5A06"/>
    <w:rsid w:val="002A5A5C"/>
    <w:rsid w:val="002A5B82"/>
    <w:rsid w:val="002A5EBD"/>
    <w:rsid w:val="002A5F8C"/>
    <w:rsid w:val="002A61B6"/>
    <w:rsid w:val="002A65FF"/>
    <w:rsid w:val="002A666A"/>
    <w:rsid w:val="002A6B08"/>
    <w:rsid w:val="002A6E59"/>
    <w:rsid w:val="002A6E92"/>
    <w:rsid w:val="002A6FD8"/>
    <w:rsid w:val="002A70E6"/>
    <w:rsid w:val="002A7281"/>
    <w:rsid w:val="002A736B"/>
    <w:rsid w:val="002A73D0"/>
    <w:rsid w:val="002A74E7"/>
    <w:rsid w:val="002A755C"/>
    <w:rsid w:val="002A76A8"/>
    <w:rsid w:val="002A7790"/>
    <w:rsid w:val="002A7EFB"/>
    <w:rsid w:val="002A7FDF"/>
    <w:rsid w:val="002B0252"/>
    <w:rsid w:val="002B031E"/>
    <w:rsid w:val="002B0714"/>
    <w:rsid w:val="002B0733"/>
    <w:rsid w:val="002B0885"/>
    <w:rsid w:val="002B0C03"/>
    <w:rsid w:val="002B0D2C"/>
    <w:rsid w:val="002B0DFB"/>
    <w:rsid w:val="002B0FD2"/>
    <w:rsid w:val="002B1123"/>
    <w:rsid w:val="002B19B8"/>
    <w:rsid w:val="002B19F6"/>
    <w:rsid w:val="002B1C53"/>
    <w:rsid w:val="002B1EA9"/>
    <w:rsid w:val="002B1F22"/>
    <w:rsid w:val="002B21EF"/>
    <w:rsid w:val="002B253C"/>
    <w:rsid w:val="002B27C9"/>
    <w:rsid w:val="002B291F"/>
    <w:rsid w:val="002B2FBB"/>
    <w:rsid w:val="002B3272"/>
    <w:rsid w:val="002B3320"/>
    <w:rsid w:val="002B33B4"/>
    <w:rsid w:val="002B340F"/>
    <w:rsid w:val="002B34C9"/>
    <w:rsid w:val="002B3764"/>
    <w:rsid w:val="002B38CC"/>
    <w:rsid w:val="002B38D3"/>
    <w:rsid w:val="002B3BC8"/>
    <w:rsid w:val="002B3C9F"/>
    <w:rsid w:val="002B3D53"/>
    <w:rsid w:val="002B40D9"/>
    <w:rsid w:val="002B42CB"/>
    <w:rsid w:val="002B43AC"/>
    <w:rsid w:val="002B46C9"/>
    <w:rsid w:val="002B4722"/>
    <w:rsid w:val="002B4A7C"/>
    <w:rsid w:val="002B4BFF"/>
    <w:rsid w:val="002B4CB7"/>
    <w:rsid w:val="002B4F4B"/>
    <w:rsid w:val="002B55F2"/>
    <w:rsid w:val="002B580E"/>
    <w:rsid w:val="002B5A2E"/>
    <w:rsid w:val="002B5B6B"/>
    <w:rsid w:val="002B5F68"/>
    <w:rsid w:val="002B62A4"/>
    <w:rsid w:val="002B6379"/>
    <w:rsid w:val="002B63F5"/>
    <w:rsid w:val="002B656D"/>
    <w:rsid w:val="002B6603"/>
    <w:rsid w:val="002B6C25"/>
    <w:rsid w:val="002B6CDC"/>
    <w:rsid w:val="002B6D0E"/>
    <w:rsid w:val="002B70F4"/>
    <w:rsid w:val="002B70FD"/>
    <w:rsid w:val="002B7103"/>
    <w:rsid w:val="002B712B"/>
    <w:rsid w:val="002B71B5"/>
    <w:rsid w:val="002B7744"/>
    <w:rsid w:val="002B7999"/>
    <w:rsid w:val="002B7D27"/>
    <w:rsid w:val="002B7EED"/>
    <w:rsid w:val="002C0004"/>
    <w:rsid w:val="002C00FB"/>
    <w:rsid w:val="002C014D"/>
    <w:rsid w:val="002C054C"/>
    <w:rsid w:val="002C06EC"/>
    <w:rsid w:val="002C080B"/>
    <w:rsid w:val="002C08E6"/>
    <w:rsid w:val="002C09B7"/>
    <w:rsid w:val="002C0B8D"/>
    <w:rsid w:val="002C0C7A"/>
    <w:rsid w:val="002C0D9A"/>
    <w:rsid w:val="002C0FEE"/>
    <w:rsid w:val="002C10EF"/>
    <w:rsid w:val="002C171B"/>
    <w:rsid w:val="002C1A1B"/>
    <w:rsid w:val="002C1FC5"/>
    <w:rsid w:val="002C231A"/>
    <w:rsid w:val="002C2332"/>
    <w:rsid w:val="002C244B"/>
    <w:rsid w:val="002C25A0"/>
    <w:rsid w:val="002C2641"/>
    <w:rsid w:val="002C2780"/>
    <w:rsid w:val="002C2A67"/>
    <w:rsid w:val="002C2C17"/>
    <w:rsid w:val="002C2DEA"/>
    <w:rsid w:val="002C2E47"/>
    <w:rsid w:val="002C3232"/>
    <w:rsid w:val="002C343B"/>
    <w:rsid w:val="002C35DA"/>
    <w:rsid w:val="002C3B0D"/>
    <w:rsid w:val="002C3DE9"/>
    <w:rsid w:val="002C3EA8"/>
    <w:rsid w:val="002C418C"/>
    <w:rsid w:val="002C41E6"/>
    <w:rsid w:val="002C4549"/>
    <w:rsid w:val="002C48DA"/>
    <w:rsid w:val="002C4DDE"/>
    <w:rsid w:val="002C4DF5"/>
    <w:rsid w:val="002C4FBD"/>
    <w:rsid w:val="002C51E7"/>
    <w:rsid w:val="002C5241"/>
    <w:rsid w:val="002C52A8"/>
    <w:rsid w:val="002C536B"/>
    <w:rsid w:val="002C569A"/>
    <w:rsid w:val="002C56E6"/>
    <w:rsid w:val="002C5866"/>
    <w:rsid w:val="002C58CB"/>
    <w:rsid w:val="002C59BE"/>
    <w:rsid w:val="002C5DD6"/>
    <w:rsid w:val="002C60A5"/>
    <w:rsid w:val="002C62A9"/>
    <w:rsid w:val="002C66FD"/>
    <w:rsid w:val="002C6AC6"/>
    <w:rsid w:val="002C6B6F"/>
    <w:rsid w:val="002C6D88"/>
    <w:rsid w:val="002C6FC8"/>
    <w:rsid w:val="002C7066"/>
    <w:rsid w:val="002C7403"/>
    <w:rsid w:val="002C7832"/>
    <w:rsid w:val="002C7A25"/>
    <w:rsid w:val="002C7A9D"/>
    <w:rsid w:val="002C7AB0"/>
    <w:rsid w:val="002C7BFE"/>
    <w:rsid w:val="002C7DEB"/>
    <w:rsid w:val="002C7E50"/>
    <w:rsid w:val="002D02B5"/>
    <w:rsid w:val="002D03AB"/>
    <w:rsid w:val="002D06C6"/>
    <w:rsid w:val="002D06D9"/>
    <w:rsid w:val="002D06E0"/>
    <w:rsid w:val="002D0AC6"/>
    <w:rsid w:val="002D0C4D"/>
    <w:rsid w:val="002D119A"/>
    <w:rsid w:val="002D1362"/>
    <w:rsid w:val="002D138A"/>
    <w:rsid w:val="002D1606"/>
    <w:rsid w:val="002D1773"/>
    <w:rsid w:val="002D18FB"/>
    <w:rsid w:val="002D19AC"/>
    <w:rsid w:val="002D1A26"/>
    <w:rsid w:val="002D1E66"/>
    <w:rsid w:val="002D206D"/>
    <w:rsid w:val="002D23F5"/>
    <w:rsid w:val="002D2985"/>
    <w:rsid w:val="002D2B20"/>
    <w:rsid w:val="002D2DAE"/>
    <w:rsid w:val="002D2DD6"/>
    <w:rsid w:val="002D2EE3"/>
    <w:rsid w:val="002D31BB"/>
    <w:rsid w:val="002D31DF"/>
    <w:rsid w:val="002D359C"/>
    <w:rsid w:val="002D3860"/>
    <w:rsid w:val="002D395B"/>
    <w:rsid w:val="002D3CF5"/>
    <w:rsid w:val="002D3D11"/>
    <w:rsid w:val="002D3D4C"/>
    <w:rsid w:val="002D3EED"/>
    <w:rsid w:val="002D4339"/>
    <w:rsid w:val="002D4383"/>
    <w:rsid w:val="002D4776"/>
    <w:rsid w:val="002D4DAE"/>
    <w:rsid w:val="002D5671"/>
    <w:rsid w:val="002D59C7"/>
    <w:rsid w:val="002D5C37"/>
    <w:rsid w:val="002D5E86"/>
    <w:rsid w:val="002D6153"/>
    <w:rsid w:val="002D61F9"/>
    <w:rsid w:val="002D65FE"/>
    <w:rsid w:val="002D6982"/>
    <w:rsid w:val="002D6B07"/>
    <w:rsid w:val="002D6C5A"/>
    <w:rsid w:val="002D6E3C"/>
    <w:rsid w:val="002D73E2"/>
    <w:rsid w:val="002D7576"/>
    <w:rsid w:val="002D770D"/>
    <w:rsid w:val="002D77AF"/>
    <w:rsid w:val="002D7AEF"/>
    <w:rsid w:val="002D7D5B"/>
    <w:rsid w:val="002D7E5F"/>
    <w:rsid w:val="002D7F1D"/>
    <w:rsid w:val="002E0179"/>
    <w:rsid w:val="002E01BA"/>
    <w:rsid w:val="002E03E8"/>
    <w:rsid w:val="002E05CA"/>
    <w:rsid w:val="002E065F"/>
    <w:rsid w:val="002E089D"/>
    <w:rsid w:val="002E0BE4"/>
    <w:rsid w:val="002E1029"/>
    <w:rsid w:val="002E135A"/>
    <w:rsid w:val="002E1521"/>
    <w:rsid w:val="002E172B"/>
    <w:rsid w:val="002E1885"/>
    <w:rsid w:val="002E1B33"/>
    <w:rsid w:val="002E1E35"/>
    <w:rsid w:val="002E1F6D"/>
    <w:rsid w:val="002E21B0"/>
    <w:rsid w:val="002E21D1"/>
    <w:rsid w:val="002E2224"/>
    <w:rsid w:val="002E23A1"/>
    <w:rsid w:val="002E23EF"/>
    <w:rsid w:val="002E264C"/>
    <w:rsid w:val="002E2AD0"/>
    <w:rsid w:val="002E2B13"/>
    <w:rsid w:val="002E2C32"/>
    <w:rsid w:val="002E2CCD"/>
    <w:rsid w:val="002E2D19"/>
    <w:rsid w:val="002E2DED"/>
    <w:rsid w:val="002E301E"/>
    <w:rsid w:val="002E312A"/>
    <w:rsid w:val="002E33F1"/>
    <w:rsid w:val="002E344E"/>
    <w:rsid w:val="002E3994"/>
    <w:rsid w:val="002E39C1"/>
    <w:rsid w:val="002E39DF"/>
    <w:rsid w:val="002E3B58"/>
    <w:rsid w:val="002E3D00"/>
    <w:rsid w:val="002E3E73"/>
    <w:rsid w:val="002E3E8A"/>
    <w:rsid w:val="002E3FE3"/>
    <w:rsid w:val="002E4122"/>
    <w:rsid w:val="002E4572"/>
    <w:rsid w:val="002E4763"/>
    <w:rsid w:val="002E4F4F"/>
    <w:rsid w:val="002E5532"/>
    <w:rsid w:val="002E5650"/>
    <w:rsid w:val="002E571D"/>
    <w:rsid w:val="002E57EE"/>
    <w:rsid w:val="002E5BF3"/>
    <w:rsid w:val="002E5ED8"/>
    <w:rsid w:val="002E5F32"/>
    <w:rsid w:val="002E5FFC"/>
    <w:rsid w:val="002E6070"/>
    <w:rsid w:val="002E6164"/>
    <w:rsid w:val="002E62EC"/>
    <w:rsid w:val="002E6981"/>
    <w:rsid w:val="002E6A6A"/>
    <w:rsid w:val="002E6EE5"/>
    <w:rsid w:val="002E6F6A"/>
    <w:rsid w:val="002E72AE"/>
    <w:rsid w:val="002E7715"/>
    <w:rsid w:val="002E78BA"/>
    <w:rsid w:val="002E7A36"/>
    <w:rsid w:val="002E7F56"/>
    <w:rsid w:val="002E7FE1"/>
    <w:rsid w:val="002F0131"/>
    <w:rsid w:val="002F020C"/>
    <w:rsid w:val="002F0216"/>
    <w:rsid w:val="002F059B"/>
    <w:rsid w:val="002F073F"/>
    <w:rsid w:val="002F0CEF"/>
    <w:rsid w:val="002F105C"/>
    <w:rsid w:val="002F1257"/>
    <w:rsid w:val="002F125E"/>
    <w:rsid w:val="002F12FD"/>
    <w:rsid w:val="002F140C"/>
    <w:rsid w:val="002F1427"/>
    <w:rsid w:val="002F150A"/>
    <w:rsid w:val="002F1802"/>
    <w:rsid w:val="002F1DBD"/>
    <w:rsid w:val="002F248B"/>
    <w:rsid w:val="002F2668"/>
    <w:rsid w:val="002F26B8"/>
    <w:rsid w:val="002F2783"/>
    <w:rsid w:val="002F2801"/>
    <w:rsid w:val="002F28DE"/>
    <w:rsid w:val="002F294B"/>
    <w:rsid w:val="002F2958"/>
    <w:rsid w:val="002F2A82"/>
    <w:rsid w:val="002F2C11"/>
    <w:rsid w:val="002F2E74"/>
    <w:rsid w:val="002F2EAA"/>
    <w:rsid w:val="002F328E"/>
    <w:rsid w:val="002F3397"/>
    <w:rsid w:val="002F34B0"/>
    <w:rsid w:val="002F3602"/>
    <w:rsid w:val="002F36BF"/>
    <w:rsid w:val="002F374E"/>
    <w:rsid w:val="002F3818"/>
    <w:rsid w:val="002F3D79"/>
    <w:rsid w:val="002F3E44"/>
    <w:rsid w:val="002F4473"/>
    <w:rsid w:val="002F4A48"/>
    <w:rsid w:val="002F4AB8"/>
    <w:rsid w:val="002F4B82"/>
    <w:rsid w:val="002F4C9E"/>
    <w:rsid w:val="002F4D94"/>
    <w:rsid w:val="002F4F51"/>
    <w:rsid w:val="002F51CC"/>
    <w:rsid w:val="002F5423"/>
    <w:rsid w:val="002F5860"/>
    <w:rsid w:val="002F5992"/>
    <w:rsid w:val="002F5D22"/>
    <w:rsid w:val="002F68FD"/>
    <w:rsid w:val="002F6B29"/>
    <w:rsid w:val="002F6B5F"/>
    <w:rsid w:val="002F6CC5"/>
    <w:rsid w:val="002F6D48"/>
    <w:rsid w:val="002F76FD"/>
    <w:rsid w:val="002F7D74"/>
    <w:rsid w:val="002F7E05"/>
    <w:rsid w:val="0030013F"/>
    <w:rsid w:val="00300298"/>
    <w:rsid w:val="003002E7"/>
    <w:rsid w:val="0030059D"/>
    <w:rsid w:val="0030085F"/>
    <w:rsid w:val="00300939"/>
    <w:rsid w:val="00300C1F"/>
    <w:rsid w:val="00300D6E"/>
    <w:rsid w:val="00300E03"/>
    <w:rsid w:val="003010D4"/>
    <w:rsid w:val="0030126A"/>
    <w:rsid w:val="00301446"/>
    <w:rsid w:val="00301A46"/>
    <w:rsid w:val="00301DF8"/>
    <w:rsid w:val="00301E22"/>
    <w:rsid w:val="003020B4"/>
    <w:rsid w:val="0030221E"/>
    <w:rsid w:val="00302418"/>
    <w:rsid w:val="00302574"/>
    <w:rsid w:val="00302763"/>
    <w:rsid w:val="003028B5"/>
    <w:rsid w:val="003028C5"/>
    <w:rsid w:val="003032D4"/>
    <w:rsid w:val="003033DD"/>
    <w:rsid w:val="0030380D"/>
    <w:rsid w:val="00303969"/>
    <w:rsid w:val="003039D2"/>
    <w:rsid w:val="00303A47"/>
    <w:rsid w:val="00303B97"/>
    <w:rsid w:val="00303DCB"/>
    <w:rsid w:val="00303E42"/>
    <w:rsid w:val="00304293"/>
    <w:rsid w:val="00304404"/>
    <w:rsid w:val="00304776"/>
    <w:rsid w:val="003049ED"/>
    <w:rsid w:val="00304B5F"/>
    <w:rsid w:val="00304D65"/>
    <w:rsid w:val="00304E56"/>
    <w:rsid w:val="00304F32"/>
    <w:rsid w:val="00305021"/>
    <w:rsid w:val="003050F2"/>
    <w:rsid w:val="003051D8"/>
    <w:rsid w:val="003051E8"/>
    <w:rsid w:val="003053A9"/>
    <w:rsid w:val="0030541D"/>
    <w:rsid w:val="0030543B"/>
    <w:rsid w:val="00305559"/>
    <w:rsid w:val="003056D4"/>
    <w:rsid w:val="0030570D"/>
    <w:rsid w:val="00305808"/>
    <w:rsid w:val="003059BF"/>
    <w:rsid w:val="003059E2"/>
    <w:rsid w:val="00305A97"/>
    <w:rsid w:val="00305B92"/>
    <w:rsid w:val="00305CA6"/>
    <w:rsid w:val="00305FE3"/>
    <w:rsid w:val="003060E8"/>
    <w:rsid w:val="0030649E"/>
    <w:rsid w:val="00306543"/>
    <w:rsid w:val="00307070"/>
    <w:rsid w:val="0030709F"/>
    <w:rsid w:val="003075EE"/>
    <w:rsid w:val="00307778"/>
    <w:rsid w:val="003077ED"/>
    <w:rsid w:val="00307840"/>
    <w:rsid w:val="00307E06"/>
    <w:rsid w:val="00307F93"/>
    <w:rsid w:val="0030C61F"/>
    <w:rsid w:val="00310352"/>
    <w:rsid w:val="00310522"/>
    <w:rsid w:val="00310688"/>
    <w:rsid w:val="0031073F"/>
    <w:rsid w:val="00310D15"/>
    <w:rsid w:val="00311204"/>
    <w:rsid w:val="003112CE"/>
    <w:rsid w:val="003117AB"/>
    <w:rsid w:val="003117CE"/>
    <w:rsid w:val="0031183A"/>
    <w:rsid w:val="00311A1A"/>
    <w:rsid w:val="00311AC9"/>
    <w:rsid w:val="00312207"/>
    <w:rsid w:val="00312253"/>
    <w:rsid w:val="00312411"/>
    <w:rsid w:val="00312836"/>
    <w:rsid w:val="00312905"/>
    <w:rsid w:val="00312AB5"/>
    <w:rsid w:val="00312E5A"/>
    <w:rsid w:val="00312EB8"/>
    <w:rsid w:val="00312FED"/>
    <w:rsid w:val="00313168"/>
    <w:rsid w:val="003132D4"/>
    <w:rsid w:val="003136BF"/>
    <w:rsid w:val="00313793"/>
    <w:rsid w:val="003137AA"/>
    <w:rsid w:val="00313822"/>
    <w:rsid w:val="00313A8C"/>
    <w:rsid w:val="00313F62"/>
    <w:rsid w:val="00314477"/>
    <w:rsid w:val="00314597"/>
    <w:rsid w:val="0031459E"/>
    <w:rsid w:val="00314914"/>
    <w:rsid w:val="00314B76"/>
    <w:rsid w:val="00314BAE"/>
    <w:rsid w:val="00314E41"/>
    <w:rsid w:val="00315124"/>
    <w:rsid w:val="0031549E"/>
    <w:rsid w:val="003156C6"/>
    <w:rsid w:val="0031591A"/>
    <w:rsid w:val="0031595E"/>
    <w:rsid w:val="003159F8"/>
    <w:rsid w:val="00315F9C"/>
    <w:rsid w:val="0031607F"/>
    <w:rsid w:val="003161C4"/>
    <w:rsid w:val="00316397"/>
    <w:rsid w:val="0031665F"/>
    <w:rsid w:val="003168B6"/>
    <w:rsid w:val="003169BD"/>
    <w:rsid w:val="00316BC5"/>
    <w:rsid w:val="00316D89"/>
    <w:rsid w:val="00316F73"/>
    <w:rsid w:val="0031739B"/>
    <w:rsid w:val="0031780E"/>
    <w:rsid w:val="003179C6"/>
    <w:rsid w:val="00317D78"/>
    <w:rsid w:val="00317E0D"/>
    <w:rsid w:val="00317E6C"/>
    <w:rsid w:val="00317EE2"/>
    <w:rsid w:val="0032009F"/>
    <w:rsid w:val="00320101"/>
    <w:rsid w:val="003206AA"/>
    <w:rsid w:val="00320770"/>
    <w:rsid w:val="00320A8B"/>
    <w:rsid w:val="00320BAA"/>
    <w:rsid w:val="00320F4D"/>
    <w:rsid w:val="0032102E"/>
    <w:rsid w:val="00321157"/>
    <w:rsid w:val="00321339"/>
    <w:rsid w:val="00321435"/>
    <w:rsid w:val="003219B6"/>
    <w:rsid w:val="003220E2"/>
    <w:rsid w:val="003222E4"/>
    <w:rsid w:val="003224D8"/>
    <w:rsid w:val="003228F1"/>
    <w:rsid w:val="00322A4F"/>
    <w:rsid w:val="00322BF7"/>
    <w:rsid w:val="0032325C"/>
    <w:rsid w:val="00323467"/>
    <w:rsid w:val="0032360B"/>
    <w:rsid w:val="0032363A"/>
    <w:rsid w:val="00323691"/>
    <w:rsid w:val="00323AA8"/>
    <w:rsid w:val="00323B36"/>
    <w:rsid w:val="00323E71"/>
    <w:rsid w:val="00324025"/>
    <w:rsid w:val="00324A4A"/>
    <w:rsid w:val="00324AD5"/>
    <w:rsid w:val="00324E45"/>
    <w:rsid w:val="00324F6F"/>
    <w:rsid w:val="003255E9"/>
    <w:rsid w:val="0032578F"/>
    <w:rsid w:val="003258FA"/>
    <w:rsid w:val="0032598F"/>
    <w:rsid w:val="00325B7D"/>
    <w:rsid w:val="00325D62"/>
    <w:rsid w:val="00325E6D"/>
    <w:rsid w:val="0032638A"/>
    <w:rsid w:val="00326528"/>
    <w:rsid w:val="00326588"/>
    <w:rsid w:val="0032678A"/>
    <w:rsid w:val="003267E7"/>
    <w:rsid w:val="0032680B"/>
    <w:rsid w:val="0032681B"/>
    <w:rsid w:val="00326AD0"/>
    <w:rsid w:val="00326CA7"/>
    <w:rsid w:val="00326D5E"/>
    <w:rsid w:val="00326E3D"/>
    <w:rsid w:val="00326F77"/>
    <w:rsid w:val="00326FC5"/>
    <w:rsid w:val="003270A6"/>
    <w:rsid w:val="00327321"/>
    <w:rsid w:val="00327457"/>
    <w:rsid w:val="00327615"/>
    <w:rsid w:val="00327B52"/>
    <w:rsid w:val="00327BCF"/>
    <w:rsid w:val="00327E10"/>
    <w:rsid w:val="00330347"/>
    <w:rsid w:val="00330553"/>
    <w:rsid w:val="00330954"/>
    <w:rsid w:val="00330973"/>
    <w:rsid w:val="00330C64"/>
    <w:rsid w:val="00330CED"/>
    <w:rsid w:val="00330DB2"/>
    <w:rsid w:val="00330EE1"/>
    <w:rsid w:val="00331282"/>
    <w:rsid w:val="00331572"/>
    <w:rsid w:val="003315B0"/>
    <w:rsid w:val="00331818"/>
    <w:rsid w:val="00331873"/>
    <w:rsid w:val="003319CF"/>
    <w:rsid w:val="00331AB8"/>
    <w:rsid w:val="00331EBD"/>
    <w:rsid w:val="003323DC"/>
    <w:rsid w:val="00332733"/>
    <w:rsid w:val="0033285A"/>
    <w:rsid w:val="00332BD0"/>
    <w:rsid w:val="00332DC3"/>
    <w:rsid w:val="00333339"/>
    <w:rsid w:val="00333497"/>
    <w:rsid w:val="00333499"/>
    <w:rsid w:val="003334C6"/>
    <w:rsid w:val="0033371E"/>
    <w:rsid w:val="0033395D"/>
    <w:rsid w:val="003339FD"/>
    <w:rsid w:val="00333A0A"/>
    <w:rsid w:val="00333B1E"/>
    <w:rsid w:val="00333C1D"/>
    <w:rsid w:val="00333C5D"/>
    <w:rsid w:val="00333EBA"/>
    <w:rsid w:val="00333FC0"/>
    <w:rsid w:val="00334624"/>
    <w:rsid w:val="00334B49"/>
    <w:rsid w:val="00334C9D"/>
    <w:rsid w:val="003350CC"/>
    <w:rsid w:val="00335727"/>
    <w:rsid w:val="003359CE"/>
    <w:rsid w:val="00335A73"/>
    <w:rsid w:val="00335FD2"/>
    <w:rsid w:val="0033600E"/>
    <w:rsid w:val="003360CC"/>
    <w:rsid w:val="00336143"/>
    <w:rsid w:val="00336219"/>
    <w:rsid w:val="00336B25"/>
    <w:rsid w:val="00336E64"/>
    <w:rsid w:val="003372CA"/>
    <w:rsid w:val="0033746C"/>
    <w:rsid w:val="0033747B"/>
    <w:rsid w:val="00337485"/>
    <w:rsid w:val="0033780D"/>
    <w:rsid w:val="00337CC4"/>
    <w:rsid w:val="00340054"/>
    <w:rsid w:val="003400DD"/>
    <w:rsid w:val="003401AB"/>
    <w:rsid w:val="003401B0"/>
    <w:rsid w:val="003403D0"/>
    <w:rsid w:val="003403F9"/>
    <w:rsid w:val="00340858"/>
    <w:rsid w:val="00340892"/>
    <w:rsid w:val="003408F1"/>
    <w:rsid w:val="00340D19"/>
    <w:rsid w:val="00340F83"/>
    <w:rsid w:val="00340F9D"/>
    <w:rsid w:val="00341191"/>
    <w:rsid w:val="003413DE"/>
    <w:rsid w:val="00341484"/>
    <w:rsid w:val="00341653"/>
    <w:rsid w:val="003416EB"/>
    <w:rsid w:val="00341871"/>
    <w:rsid w:val="00341BA0"/>
    <w:rsid w:val="00341E56"/>
    <w:rsid w:val="0034201B"/>
    <w:rsid w:val="003420E8"/>
    <w:rsid w:val="0034211E"/>
    <w:rsid w:val="003421E6"/>
    <w:rsid w:val="003425DA"/>
    <w:rsid w:val="00342EA8"/>
    <w:rsid w:val="00342FB7"/>
    <w:rsid w:val="00343275"/>
    <w:rsid w:val="003432FA"/>
    <w:rsid w:val="003437DB"/>
    <w:rsid w:val="00343830"/>
    <w:rsid w:val="003438EA"/>
    <w:rsid w:val="00343940"/>
    <w:rsid w:val="003439F6"/>
    <w:rsid w:val="00343A3D"/>
    <w:rsid w:val="00343A49"/>
    <w:rsid w:val="00343A6D"/>
    <w:rsid w:val="00343B1D"/>
    <w:rsid w:val="00343D70"/>
    <w:rsid w:val="00343DC6"/>
    <w:rsid w:val="00344026"/>
    <w:rsid w:val="003441E7"/>
    <w:rsid w:val="00344433"/>
    <w:rsid w:val="00344561"/>
    <w:rsid w:val="0034484D"/>
    <w:rsid w:val="00344BF7"/>
    <w:rsid w:val="00344C48"/>
    <w:rsid w:val="00344CAA"/>
    <w:rsid w:val="00344DFA"/>
    <w:rsid w:val="00344EEF"/>
    <w:rsid w:val="00345246"/>
    <w:rsid w:val="0034537B"/>
    <w:rsid w:val="00345441"/>
    <w:rsid w:val="003455EF"/>
    <w:rsid w:val="003458C3"/>
    <w:rsid w:val="00345F4B"/>
    <w:rsid w:val="00345F6A"/>
    <w:rsid w:val="003462ED"/>
    <w:rsid w:val="00346401"/>
    <w:rsid w:val="00346418"/>
    <w:rsid w:val="003464D8"/>
    <w:rsid w:val="00346557"/>
    <w:rsid w:val="00346577"/>
    <w:rsid w:val="003465B4"/>
    <w:rsid w:val="0034680E"/>
    <w:rsid w:val="00346A5A"/>
    <w:rsid w:val="00346B01"/>
    <w:rsid w:val="00346B53"/>
    <w:rsid w:val="00346C5B"/>
    <w:rsid w:val="00346C8E"/>
    <w:rsid w:val="00346EA2"/>
    <w:rsid w:val="00346F47"/>
    <w:rsid w:val="003473BB"/>
    <w:rsid w:val="00347599"/>
    <w:rsid w:val="0034760B"/>
    <w:rsid w:val="003478AE"/>
    <w:rsid w:val="00347B3D"/>
    <w:rsid w:val="00347B45"/>
    <w:rsid w:val="00347F92"/>
    <w:rsid w:val="003503B1"/>
    <w:rsid w:val="00350512"/>
    <w:rsid w:val="00350858"/>
    <w:rsid w:val="0035132F"/>
    <w:rsid w:val="0035134C"/>
    <w:rsid w:val="003513C2"/>
    <w:rsid w:val="00351666"/>
    <w:rsid w:val="003517B9"/>
    <w:rsid w:val="00351835"/>
    <w:rsid w:val="00351A50"/>
    <w:rsid w:val="00351B08"/>
    <w:rsid w:val="003520E3"/>
    <w:rsid w:val="00352200"/>
    <w:rsid w:val="00352377"/>
    <w:rsid w:val="003529B5"/>
    <w:rsid w:val="003529D4"/>
    <w:rsid w:val="00352ED8"/>
    <w:rsid w:val="00352FD0"/>
    <w:rsid w:val="003533F4"/>
    <w:rsid w:val="003534D0"/>
    <w:rsid w:val="0035363C"/>
    <w:rsid w:val="0035366B"/>
    <w:rsid w:val="00353796"/>
    <w:rsid w:val="0035381A"/>
    <w:rsid w:val="00353B20"/>
    <w:rsid w:val="0035425C"/>
    <w:rsid w:val="003543F9"/>
    <w:rsid w:val="00354853"/>
    <w:rsid w:val="00354988"/>
    <w:rsid w:val="00354C15"/>
    <w:rsid w:val="00354D19"/>
    <w:rsid w:val="00354E33"/>
    <w:rsid w:val="00354ECD"/>
    <w:rsid w:val="003550F9"/>
    <w:rsid w:val="00355464"/>
    <w:rsid w:val="003554D1"/>
    <w:rsid w:val="003554D4"/>
    <w:rsid w:val="00355758"/>
    <w:rsid w:val="00355A38"/>
    <w:rsid w:val="00355B09"/>
    <w:rsid w:val="00355B5C"/>
    <w:rsid w:val="00355BD2"/>
    <w:rsid w:val="00355DF5"/>
    <w:rsid w:val="00355FE2"/>
    <w:rsid w:val="00356142"/>
    <w:rsid w:val="00356159"/>
    <w:rsid w:val="0035630E"/>
    <w:rsid w:val="0035650B"/>
    <w:rsid w:val="0035667F"/>
    <w:rsid w:val="003568E7"/>
    <w:rsid w:val="003568FE"/>
    <w:rsid w:val="00356CE2"/>
    <w:rsid w:val="00356F49"/>
    <w:rsid w:val="0035711F"/>
    <w:rsid w:val="0035736F"/>
    <w:rsid w:val="00357A78"/>
    <w:rsid w:val="00357C99"/>
    <w:rsid w:val="00357E0A"/>
    <w:rsid w:val="00357E35"/>
    <w:rsid w:val="00357F46"/>
    <w:rsid w:val="00357FA7"/>
    <w:rsid w:val="0035CAFC"/>
    <w:rsid w:val="0036005B"/>
    <w:rsid w:val="00360351"/>
    <w:rsid w:val="0036052A"/>
    <w:rsid w:val="0036096A"/>
    <w:rsid w:val="00360B9A"/>
    <w:rsid w:val="00360D6F"/>
    <w:rsid w:val="00360DAE"/>
    <w:rsid w:val="003614B6"/>
    <w:rsid w:val="00361A22"/>
    <w:rsid w:val="00361B64"/>
    <w:rsid w:val="00361EA7"/>
    <w:rsid w:val="003622B0"/>
    <w:rsid w:val="00362BDB"/>
    <w:rsid w:val="00362CEB"/>
    <w:rsid w:val="00362D95"/>
    <w:rsid w:val="00362ED7"/>
    <w:rsid w:val="0036336E"/>
    <w:rsid w:val="00363744"/>
    <w:rsid w:val="00363C4B"/>
    <w:rsid w:val="003641BC"/>
    <w:rsid w:val="003641C0"/>
    <w:rsid w:val="003644B7"/>
    <w:rsid w:val="003644F3"/>
    <w:rsid w:val="0036470D"/>
    <w:rsid w:val="00364727"/>
    <w:rsid w:val="00364841"/>
    <w:rsid w:val="00364BFA"/>
    <w:rsid w:val="0036506D"/>
    <w:rsid w:val="003650BC"/>
    <w:rsid w:val="0036529B"/>
    <w:rsid w:val="00365515"/>
    <w:rsid w:val="0036563F"/>
    <w:rsid w:val="0036568E"/>
    <w:rsid w:val="0036572E"/>
    <w:rsid w:val="00365965"/>
    <w:rsid w:val="00365BE6"/>
    <w:rsid w:val="00365E41"/>
    <w:rsid w:val="00366421"/>
    <w:rsid w:val="003665A5"/>
    <w:rsid w:val="003669CE"/>
    <w:rsid w:val="00366E97"/>
    <w:rsid w:val="00367128"/>
    <w:rsid w:val="003671FF"/>
    <w:rsid w:val="003673CD"/>
    <w:rsid w:val="0036741D"/>
    <w:rsid w:val="0036744E"/>
    <w:rsid w:val="00367491"/>
    <w:rsid w:val="003676A0"/>
    <w:rsid w:val="00367AA4"/>
    <w:rsid w:val="00367AD9"/>
    <w:rsid w:val="00367B70"/>
    <w:rsid w:val="00367BD5"/>
    <w:rsid w:val="00367BED"/>
    <w:rsid w:val="00367C8D"/>
    <w:rsid w:val="00367CF1"/>
    <w:rsid w:val="00367CF4"/>
    <w:rsid w:val="00367E49"/>
    <w:rsid w:val="00367EA5"/>
    <w:rsid w:val="00367EF9"/>
    <w:rsid w:val="00367FC6"/>
    <w:rsid w:val="0037021E"/>
    <w:rsid w:val="00370272"/>
    <w:rsid w:val="003702D1"/>
    <w:rsid w:val="0037050B"/>
    <w:rsid w:val="003708B1"/>
    <w:rsid w:val="00370C3C"/>
    <w:rsid w:val="00370DBC"/>
    <w:rsid w:val="00370F1E"/>
    <w:rsid w:val="003710E5"/>
    <w:rsid w:val="0037128B"/>
    <w:rsid w:val="003713BD"/>
    <w:rsid w:val="003718CE"/>
    <w:rsid w:val="00371A1A"/>
    <w:rsid w:val="00371CDD"/>
    <w:rsid w:val="003727AD"/>
    <w:rsid w:val="003727C5"/>
    <w:rsid w:val="00372AF1"/>
    <w:rsid w:val="00372DAA"/>
    <w:rsid w:val="00372E05"/>
    <w:rsid w:val="00372F2A"/>
    <w:rsid w:val="00373594"/>
    <w:rsid w:val="0037391B"/>
    <w:rsid w:val="00373C31"/>
    <w:rsid w:val="00373CE5"/>
    <w:rsid w:val="00374170"/>
    <w:rsid w:val="0037424B"/>
    <w:rsid w:val="003745F0"/>
    <w:rsid w:val="0037466C"/>
    <w:rsid w:val="0037498F"/>
    <w:rsid w:val="00374C97"/>
    <w:rsid w:val="0037515C"/>
    <w:rsid w:val="003754AA"/>
    <w:rsid w:val="00375628"/>
    <w:rsid w:val="003756E7"/>
    <w:rsid w:val="00375703"/>
    <w:rsid w:val="00375967"/>
    <w:rsid w:val="00375BEA"/>
    <w:rsid w:val="00375D77"/>
    <w:rsid w:val="003761E0"/>
    <w:rsid w:val="00376BF7"/>
    <w:rsid w:val="00376DDE"/>
    <w:rsid w:val="00376E3F"/>
    <w:rsid w:val="00376E65"/>
    <w:rsid w:val="00376F3A"/>
    <w:rsid w:val="0037774F"/>
    <w:rsid w:val="00377BCD"/>
    <w:rsid w:val="00377DB1"/>
    <w:rsid w:val="00377F48"/>
    <w:rsid w:val="0038003C"/>
    <w:rsid w:val="003800F5"/>
    <w:rsid w:val="003801D3"/>
    <w:rsid w:val="0038033D"/>
    <w:rsid w:val="003807AF"/>
    <w:rsid w:val="00380889"/>
    <w:rsid w:val="0038126E"/>
    <w:rsid w:val="0038142D"/>
    <w:rsid w:val="00381747"/>
    <w:rsid w:val="00381802"/>
    <w:rsid w:val="00381821"/>
    <w:rsid w:val="0038215B"/>
    <w:rsid w:val="0038226F"/>
    <w:rsid w:val="0038235F"/>
    <w:rsid w:val="0038242D"/>
    <w:rsid w:val="00382758"/>
    <w:rsid w:val="0038279A"/>
    <w:rsid w:val="0038283B"/>
    <w:rsid w:val="003828D4"/>
    <w:rsid w:val="00382925"/>
    <w:rsid w:val="003829D0"/>
    <w:rsid w:val="00382C6F"/>
    <w:rsid w:val="00382CFB"/>
    <w:rsid w:val="00382D3A"/>
    <w:rsid w:val="00382D7A"/>
    <w:rsid w:val="003831AE"/>
    <w:rsid w:val="003836C8"/>
    <w:rsid w:val="00383837"/>
    <w:rsid w:val="00383841"/>
    <w:rsid w:val="00383859"/>
    <w:rsid w:val="0038394F"/>
    <w:rsid w:val="00383970"/>
    <w:rsid w:val="003839F6"/>
    <w:rsid w:val="0038404A"/>
    <w:rsid w:val="0038464E"/>
    <w:rsid w:val="0038467A"/>
    <w:rsid w:val="003847CA"/>
    <w:rsid w:val="0038488F"/>
    <w:rsid w:val="00384A09"/>
    <w:rsid w:val="00384AEA"/>
    <w:rsid w:val="00384D60"/>
    <w:rsid w:val="00384F3D"/>
    <w:rsid w:val="003851AB"/>
    <w:rsid w:val="00385628"/>
    <w:rsid w:val="003859C8"/>
    <w:rsid w:val="00385CE6"/>
    <w:rsid w:val="00385E02"/>
    <w:rsid w:val="0038616F"/>
    <w:rsid w:val="003861AC"/>
    <w:rsid w:val="00386738"/>
    <w:rsid w:val="00386871"/>
    <w:rsid w:val="00386B66"/>
    <w:rsid w:val="00386C95"/>
    <w:rsid w:val="00386CC1"/>
    <w:rsid w:val="00386D3F"/>
    <w:rsid w:val="00386EED"/>
    <w:rsid w:val="003872FD"/>
    <w:rsid w:val="003874E5"/>
    <w:rsid w:val="0038766B"/>
    <w:rsid w:val="00387A64"/>
    <w:rsid w:val="00387A88"/>
    <w:rsid w:val="00387AE6"/>
    <w:rsid w:val="00387B72"/>
    <w:rsid w:val="00387CEF"/>
    <w:rsid w:val="00387E3D"/>
    <w:rsid w:val="003900F5"/>
    <w:rsid w:val="00390166"/>
    <w:rsid w:val="00390263"/>
    <w:rsid w:val="00390327"/>
    <w:rsid w:val="003904D1"/>
    <w:rsid w:val="00391155"/>
    <w:rsid w:val="00391243"/>
    <w:rsid w:val="0039161D"/>
    <w:rsid w:val="00391812"/>
    <w:rsid w:val="00391A90"/>
    <w:rsid w:val="00391BFB"/>
    <w:rsid w:val="00391CF1"/>
    <w:rsid w:val="003921A8"/>
    <w:rsid w:val="003922FE"/>
    <w:rsid w:val="003923E5"/>
    <w:rsid w:val="003925D3"/>
    <w:rsid w:val="00392664"/>
    <w:rsid w:val="00392864"/>
    <w:rsid w:val="0039299B"/>
    <w:rsid w:val="00392FE3"/>
    <w:rsid w:val="00393066"/>
    <w:rsid w:val="003934FE"/>
    <w:rsid w:val="00393783"/>
    <w:rsid w:val="003939FF"/>
    <w:rsid w:val="00393B78"/>
    <w:rsid w:val="00393F8C"/>
    <w:rsid w:val="0039402C"/>
    <w:rsid w:val="00394081"/>
    <w:rsid w:val="00394230"/>
    <w:rsid w:val="003944E0"/>
    <w:rsid w:val="00394601"/>
    <w:rsid w:val="00394787"/>
    <w:rsid w:val="00394A14"/>
    <w:rsid w:val="00394BBF"/>
    <w:rsid w:val="00394C04"/>
    <w:rsid w:val="00394DC5"/>
    <w:rsid w:val="00394EDE"/>
    <w:rsid w:val="003952F2"/>
    <w:rsid w:val="0039533E"/>
    <w:rsid w:val="0039560B"/>
    <w:rsid w:val="00395629"/>
    <w:rsid w:val="003956B4"/>
    <w:rsid w:val="00395B57"/>
    <w:rsid w:val="00395CE6"/>
    <w:rsid w:val="00395DB1"/>
    <w:rsid w:val="00396187"/>
    <w:rsid w:val="003962D9"/>
    <w:rsid w:val="003963A2"/>
    <w:rsid w:val="003966B0"/>
    <w:rsid w:val="003967E5"/>
    <w:rsid w:val="003968C2"/>
    <w:rsid w:val="00396956"/>
    <w:rsid w:val="00396CA4"/>
    <w:rsid w:val="00396CBD"/>
    <w:rsid w:val="00396DF1"/>
    <w:rsid w:val="00396E9A"/>
    <w:rsid w:val="00396EC7"/>
    <w:rsid w:val="00396F22"/>
    <w:rsid w:val="003970E7"/>
    <w:rsid w:val="00397207"/>
    <w:rsid w:val="00397856"/>
    <w:rsid w:val="00397C64"/>
    <w:rsid w:val="003A00A6"/>
    <w:rsid w:val="003A01E9"/>
    <w:rsid w:val="003A0709"/>
    <w:rsid w:val="003A09DC"/>
    <w:rsid w:val="003A0A46"/>
    <w:rsid w:val="003A0A97"/>
    <w:rsid w:val="003A0D39"/>
    <w:rsid w:val="003A12D2"/>
    <w:rsid w:val="003A158F"/>
    <w:rsid w:val="003A19FD"/>
    <w:rsid w:val="003A1C7C"/>
    <w:rsid w:val="003A1E94"/>
    <w:rsid w:val="003A201F"/>
    <w:rsid w:val="003A2CA9"/>
    <w:rsid w:val="003A2E93"/>
    <w:rsid w:val="003A2ED5"/>
    <w:rsid w:val="003A2F96"/>
    <w:rsid w:val="003A360D"/>
    <w:rsid w:val="003A3686"/>
    <w:rsid w:val="003A3ACD"/>
    <w:rsid w:val="003A3F53"/>
    <w:rsid w:val="003A4017"/>
    <w:rsid w:val="003A4183"/>
    <w:rsid w:val="003A44EA"/>
    <w:rsid w:val="003A46A1"/>
    <w:rsid w:val="003A4787"/>
    <w:rsid w:val="003A47A2"/>
    <w:rsid w:val="003A5235"/>
    <w:rsid w:val="003A5374"/>
    <w:rsid w:val="003A5644"/>
    <w:rsid w:val="003A5949"/>
    <w:rsid w:val="003A5AEC"/>
    <w:rsid w:val="003A5B17"/>
    <w:rsid w:val="003A5F6C"/>
    <w:rsid w:val="003A61EA"/>
    <w:rsid w:val="003A626C"/>
    <w:rsid w:val="003A6543"/>
    <w:rsid w:val="003A6560"/>
    <w:rsid w:val="003A66B7"/>
    <w:rsid w:val="003A6749"/>
    <w:rsid w:val="003A6A1B"/>
    <w:rsid w:val="003A6B95"/>
    <w:rsid w:val="003A6E92"/>
    <w:rsid w:val="003A718F"/>
    <w:rsid w:val="003A7236"/>
    <w:rsid w:val="003A7272"/>
    <w:rsid w:val="003A7440"/>
    <w:rsid w:val="003A7BFF"/>
    <w:rsid w:val="003A7DCA"/>
    <w:rsid w:val="003A7E1C"/>
    <w:rsid w:val="003B0464"/>
    <w:rsid w:val="003B0591"/>
    <w:rsid w:val="003B0853"/>
    <w:rsid w:val="003B08EE"/>
    <w:rsid w:val="003B094F"/>
    <w:rsid w:val="003B0A6F"/>
    <w:rsid w:val="003B0A7C"/>
    <w:rsid w:val="003B0ABE"/>
    <w:rsid w:val="003B0BAF"/>
    <w:rsid w:val="003B0C27"/>
    <w:rsid w:val="003B1018"/>
    <w:rsid w:val="003B1328"/>
    <w:rsid w:val="003B15D2"/>
    <w:rsid w:val="003B18C6"/>
    <w:rsid w:val="003B1BA5"/>
    <w:rsid w:val="003B1ED9"/>
    <w:rsid w:val="003B21A6"/>
    <w:rsid w:val="003B24AA"/>
    <w:rsid w:val="003B2A2C"/>
    <w:rsid w:val="003B2AA4"/>
    <w:rsid w:val="003B2B27"/>
    <w:rsid w:val="003B2E3E"/>
    <w:rsid w:val="003B311A"/>
    <w:rsid w:val="003B31B6"/>
    <w:rsid w:val="003B36E1"/>
    <w:rsid w:val="003B37CC"/>
    <w:rsid w:val="003B396D"/>
    <w:rsid w:val="003B3BF7"/>
    <w:rsid w:val="003B3CE1"/>
    <w:rsid w:val="003B408E"/>
    <w:rsid w:val="003B40BF"/>
    <w:rsid w:val="003B4165"/>
    <w:rsid w:val="003B45F4"/>
    <w:rsid w:val="003B4781"/>
    <w:rsid w:val="003B4A71"/>
    <w:rsid w:val="003B4C63"/>
    <w:rsid w:val="003B4ECC"/>
    <w:rsid w:val="003B5366"/>
    <w:rsid w:val="003B5460"/>
    <w:rsid w:val="003B5485"/>
    <w:rsid w:val="003B5542"/>
    <w:rsid w:val="003B59F7"/>
    <w:rsid w:val="003B5C4C"/>
    <w:rsid w:val="003B5D4C"/>
    <w:rsid w:val="003B603C"/>
    <w:rsid w:val="003B6259"/>
    <w:rsid w:val="003B6A5F"/>
    <w:rsid w:val="003B6A7C"/>
    <w:rsid w:val="003B6B96"/>
    <w:rsid w:val="003B6D40"/>
    <w:rsid w:val="003B72AA"/>
    <w:rsid w:val="003B72D4"/>
    <w:rsid w:val="003B7333"/>
    <w:rsid w:val="003B7460"/>
    <w:rsid w:val="003B7477"/>
    <w:rsid w:val="003B7513"/>
    <w:rsid w:val="003B7B84"/>
    <w:rsid w:val="003B7BDC"/>
    <w:rsid w:val="003B7C3E"/>
    <w:rsid w:val="003B7CB8"/>
    <w:rsid w:val="003B7D8C"/>
    <w:rsid w:val="003B7F07"/>
    <w:rsid w:val="003B7F8F"/>
    <w:rsid w:val="003C0306"/>
    <w:rsid w:val="003C03EF"/>
    <w:rsid w:val="003C0672"/>
    <w:rsid w:val="003C0802"/>
    <w:rsid w:val="003C0FB2"/>
    <w:rsid w:val="003C109A"/>
    <w:rsid w:val="003C114C"/>
    <w:rsid w:val="003C13A3"/>
    <w:rsid w:val="003C188A"/>
    <w:rsid w:val="003C1C41"/>
    <w:rsid w:val="003C1D33"/>
    <w:rsid w:val="003C21C0"/>
    <w:rsid w:val="003C232A"/>
    <w:rsid w:val="003C2365"/>
    <w:rsid w:val="003C237B"/>
    <w:rsid w:val="003C24B2"/>
    <w:rsid w:val="003C2658"/>
    <w:rsid w:val="003C2694"/>
    <w:rsid w:val="003C27C7"/>
    <w:rsid w:val="003C2804"/>
    <w:rsid w:val="003C2C5F"/>
    <w:rsid w:val="003C2C90"/>
    <w:rsid w:val="003C2D90"/>
    <w:rsid w:val="003C2EB2"/>
    <w:rsid w:val="003C317D"/>
    <w:rsid w:val="003C322E"/>
    <w:rsid w:val="003C3463"/>
    <w:rsid w:val="003C3673"/>
    <w:rsid w:val="003C3674"/>
    <w:rsid w:val="003C36C1"/>
    <w:rsid w:val="003C36D8"/>
    <w:rsid w:val="003C3951"/>
    <w:rsid w:val="003C39DA"/>
    <w:rsid w:val="003C3BE1"/>
    <w:rsid w:val="003C3E21"/>
    <w:rsid w:val="003C41D1"/>
    <w:rsid w:val="003C4217"/>
    <w:rsid w:val="003C4616"/>
    <w:rsid w:val="003C465D"/>
    <w:rsid w:val="003C4733"/>
    <w:rsid w:val="003C4CE7"/>
    <w:rsid w:val="003C501D"/>
    <w:rsid w:val="003C52D3"/>
    <w:rsid w:val="003C5383"/>
    <w:rsid w:val="003C556D"/>
    <w:rsid w:val="003C5887"/>
    <w:rsid w:val="003C5946"/>
    <w:rsid w:val="003C5DCF"/>
    <w:rsid w:val="003C5EEC"/>
    <w:rsid w:val="003C6AFD"/>
    <w:rsid w:val="003C703C"/>
    <w:rsid w:val="003C717B"/>
    <w:rsid w:val="003C7229"/>
    <w:rsid w:val="003C725D"/>
    <w:rsid w:val="003C7320"/>
    <w:rsid w:val="003C746B"/>
    <w:rsid w:val="003C77E5"/>
    <w:rsid w:val="003C7964"/>
    <w:rsid w:val="003C7A0F"/>
    <w:rsid w:val="003C7A1C"/>
    <w:rsid w:val="003C7EA7"/>
    <w:rsid w:val="003D0085"/>
    <w:rsid w:val="003D0787"/>
    <w:rsid w:val="003D09E8"/>
    <w:rsid w:val="003D0A36"/>
    <w:rsid w:val="003D0C5C"/>
    <w:rsid w:val="003D0CCE"/>
    <w:rsid w:val="003D0D30"/>
    <w:rsid w:val="003D15A7"/>
    <w:rsid w:val="003D1A6A"/>
    <w:rsid w:val="003D1B03"/>
    <w:rsid w:val="003D1BCF"/>
    <w:rsid w:val="003D1F57"/>
    <w:rsid w:val="003D1F81"/>
    <w:rsid w:val="003D1FA5"/>
    <w:rsid w:val="003D214A"/>
    <w:rsid w:val="003D21A1"/>
    <w:rsid w:val="003D2688"/>
    <w:rsid w:val="003D26EE"/>
    <w:rsid w:val="003D2712"/>
    <w:rsid w:val="003D2830"/>
    <w:rsid w:val="003D2982"/>
    <w:rsid w:val="003D2D4D"/>
    <w:rsid w:val="003D2E92"/>
    <w:rsid w:val="003D2F7E"/>
    <w:rsid w:val="003D310C"/>
    <w:rsid w:val="003D32A0"/>
    <w:rsid w:val="003D3476"/>
    <w:rsid w:val="003D3689"/>
    <w:rsid w:val="003D3861"/>
    <w:rsid w:val="003D3934"/>
    <w:rsid w:val="003D3EEE"/>
    <w:rsid w:val="003D40ED"/>
    <w:rsid w:val="003D453C"/>
    <w:rsid w:val="003D45A1"/>
    <w:rsid w:val="003D464A"/>
    <w:rsid w:val="003D4691"/>
    <w:rsid w:val="003D485B"/>
    <w:rsid w:val="003D495D"/>
    <w:rsid w:val="003D4A1A"/>
    <w:rsid w:val="003D4AF9"/>
    <w:rsid w:val="003D4BBF"/>
    <w:rsid w:val="003D4C84"/>
    <w:rsid w:val="003D4D3A"/>
    <w:rsid w:val="003D4E77"/>
    <w:rsid w:val="003D4F7C"/>
    <w:rsid w:val="003D4FB9"/>
    <w:rsid w:val="003D51DD"/>
    <w:rsid w:val="003D5273"/>
    <w:rsid w:val="003D52A1"/>
    <w:rsid w:val="003D5446"/>
    <w:rsid w:val="003D57C9"/>
    <w:rsid w:val="003D587C"/>
    <w:rsid w:val="003D58BA"/>
    <w:rsid w:val="003D5B84"/>
    <w:rsid w:val="003D5D35"/>
    <w:rsid w:val="003D5D5F"/>
    <w:rsid w:val="003D5DA5"/>
    <w:rsid w:val="003D5DE5"/>
    <w:rsid w:val="003D5E0C"/>
    <w:rsid w:val="003D5FE6"/>
    <w:rsid w:val="003D6153"/>
    <w:rsid w:val="003D64CB"/>
    <w:rsid w:val="003D6598"/>
    <w:rsid w:val="003D6749"/>
    <w:rsid w:val="003D6880"/>
    <w:rsid w:val="003D6B64"/>
    <w:rsid w:val="003D6C7B"/>
    <w:rsid w:val="003D6CF3"/>
    <w:rsid w:val="003D6D27"/>
    <w:rsid w:val="003D6DB3"/>
    <w:rsid w:val="003D6DE3"/>
    <w:rsid w:val="003D6FE9"/>
    <w:rsid w:val="003D7000"/>
    <w:rsid w:val="003D700A"/>
    <w:rsid w:val="003D7015"/>
    <w:rsid w:val="003D70AB"/>
    <w:rsid w:val="003D7213"/>
    <w:rsid w:val="003D7696"/>
    <w:rsid w:val="003D77EF"/>
    <w:rsid w:val="003D7BEC"/>
    <w:rsid w:val="003D7CB6"/>
    <w:rsid w:val="003D7E70"/>
    <w:rsid w:val="003E005E"/>
    <w:rsid w:val="003E00D0"/>
    <w:rsid w:val="003E01C3"/>
    <w:rsid w:val="003E04B6"/>
    <w:rsid w:val="003E04E4"/>
    <w:rsid w:val="003E0701"/>
    <w:rsid w:val="003E0764"/>
    <w:rsid w:val="003E097F"/>
    <w:rsid w:val="003E098E"/>
    <w:rsid w:val="003E0B08"/>
    <w:rsid w:val="003E0B6C"/>
    <w:rsid w:val="003E0CAD"/>
    <w:rsid w:val="003E0D7D"/>
    <w:rsid w:val="003E0EED"/>
    <w:rsid w:val="003E1018"/>
    <w:rsid w:val="003E11CD"/>
    <w:rsid w:val="003E18A3"/>
    <w:rsid w:val="003E1943"/>
    <w:rsid w:val="003E19A4"/>
    <w:rsid w:val="003E1E57"/>
    <w:rsid w:val="003E2291"/>
    <w:rsid w:val="003E22E0"/>
    <w:rsid w:val="003E23DC"/>
    <w:rsid w:val="003E24B7"/>
    <w:rsid w:val="003E25BA"/>
    <w:rsid w:val="003E2965"/>
    <w:rsid w:val="003E2A9B"/>
    <w:rsid w:val="003E2AF8"/>
    <w:rsid w:val="003E2D58"/>
    <w:rsid w:val="003E2FAE"/>
    <w:rsid w:val="003E2FF9"/>
    <w:rsid w:val="003E3087"/>
    <w:rsid w:val="003E3710"/>
    <w:rsid w:val="003E390F"/>
    <w:rsid w:val="003E3959"/>
    <w:rsid w:val="003E3A16"/>
    <w:rsid w:val="003E3B04"/>
    <w:rsid w:val="003E3D41"/>
    <w:rsid w:val="003E3F69"/>
    <w:rsid w:val="003E4341"/>
    <w:rsid w:val="003E465B"/>
    <w:rsid w:val="003E46F9"/>
    <w:rsid w:val="003E4741"/>
    <w:rsid w:val="003E4B4A"/>
    <w:rsid w:val="003E4BB7"/>
    <w:rsid w:val="003E4DBA"/>
    <w:rsid w:val="003E5068"/>
    <w:rsid w:val="003E5529"/>
    <w:rsid w:val="003E5A31"/>
    <w:rsid w:val="003E5B27"/>
    <w:rsid w:val="003E5C5F"/>
    <w:rsid w:val="003E5D1A"/>
    <w:rsid w:val="003E5D8B"/>
    <w:rsid w:val="003E5EE9"/>
    <w:rsid w:val="003E5F47"/>
    <w:rsid w:val="003E5FD6"/>
    <w:rsid w:val="003E623F"/>
    <w:rsid w:val="003E62D9"/>
    <w:rsid w:val="003E6391"/>
    <w:rsid w:val="003E66CB"/>
    <w:rsid w:val="003E695C"/>
    <w:rsid w:val="003E6F13"/>
    <w:rsid w:val="003E70D1"/>
    <w:rsid w:val="003E739A"/>
    <w:rsid w:val="003E74CE"/>
    <w:rsid w:val="003E7859"/>
    <w:rsid w:val="003E7C68"/>
    <w:rsid w:val="003E7C95"/>
    <w:rsid w:val="003E7EAA"/>
    <w:rsid w:val="003F00E3"/>
    <w:rsid w:val="003F0C51"/>
    <w:rsid w:val="003F0FBF"/>
    <w:rsid w:val="003F12F2"/>
    <w:rsid w:val="003F13BC"/>
    <w:rsid w:val="003F16E8"/>
    <w:rsid w:val="003F1806"/>
    <w:rsid w:val="003F19FD"/>
    <w:rsid w:val="003F1AB3"/>
    <w:rsid w:val="003F1D5A"/>
    <w:rsid w:val="003F1EA9"/>
    <w:rsid w:val="003F2141"/>
    <w:rsid w:val="003F259A"/>
    <w:rsid w:val="003F294B"/>
    <w:rsid w:val="003F2A9A"/>
    <w:rsid w:val="003F2AA7"/>
    <w:rsid w:val="003F2CAC"/>
    <w:rsid w:val="003F328A"/>
    <w:rsid w:val="003F332E"/>
    <w:rsid w:val="003F338B"/>
    <w:rsid w:val="003F3774"/>
    <w:rsid w:val="003F393F"/>
    <w:rsid w:val="003F3C4D"/>
    <w:rsid w:val="003F3D86"/>
    <w:rsid w:val="003F3DF4"/>
    <w:rsid w:val="003F3F24"/>
    <w:rsid w:val="003F4007"/>
    <w:rsid w:val="003F42EF"/>
    <w:rsid w:val="003F433F"/>
    <w:rsid w:val="003F44BD"/>
    <w:rsid w:val="003F46C2"/>
    <w:rsid w:val="003F46DD"/>
    <w:rsid w:val="003F4739"/>
    <w:rsid w:val="003F4A79"/>
    <w:rsid w:val="003F4AD3"/>
    <w:rsid w:val="003F4B59"/>
    <w:rsid w:val="003F4CE0"/>
    <w:rsid w:val="003F4E5F"/>
    <w:rsid w:val="003F4EC7"/>
    <w:rsid w:val="003F504F"/>
    <w:rsid w:val="003F5145"/>
    <w:rsid w:val="003F55E3"/>
    <w:rsid w:val="003F5782"/>
    <w:rsid w:val="003F5B14"/>
    <w:rsid w:val="003F5B44"/>
    <w:rsid w:val="003F5BD3"/>
    <w:rsid w:val="003F5E50"/>
    <w:rsid w:val="003F636D"/>
    <w:rsid w:val="003F6551"/>
    <w:rsid w:val="003F687D"/>
    <w:rsid w:val="003F6941"/>
    <w:rsid w:val="003F6C48"/>
    <w:rsid w:val="003F6C52"/>
    <w:rsid w:val="003F7222"/>
    <w:rsid w:val="003F7736"/>
    <w:rsid w:val="003F790C"/>
    <w:rsid w:val="003F7F3F"/>
    <w:rsid w:val="0040025D"/>
    <w:rsid w:val="004003BC"/>
    <w:rsid w:val="00400484"/>
    <w:rsid w:val="0040049F"/>
    <w:rsid w:val="004006C3"/>
    <w:rsid w:val="00400743"/>
    <w:rsid w:val="00400BE6"/>
    <w:rsid w:val="00400F64"/>
    <w:rsid w:val="00401130"/>
    <w:rsid w:val="00401163"/>
    <w:rsid w:val="0040121E"/>
    <w:rsid w:val="004013E9"/>
    <w:rsid w:val="00401655"/>
    <w:rsid w:val="004017AC"/>
    <w:rsid w:val="00402038"/>
    <w:rsid w:val="004020E2"/>
    <w:rsid w:val="00402255"/>
    <w:rsid w:val="004022DB"/>
    <w:rsid w:val="004027C0"/>
    <w:rsid w:val="0040290C"/>
    <w:rsid w:val="00402E9B"/>
    <w:rsid w:val="00402FBE"/>
    <w:rsid w:val="0040305C"/>
    <w:rsid w:val="00403133"/>
    <w:rsid w:val="00403513"/>
    <w:rsid w:val="00403910"/>
    <w:rsid w:val="00403A18"/>
    <w:rsid w:val="00403B20"/>
    <w:rsid w:val="00403DF5"/>
    <w:rsid w:val="00403EAF"/>
    <w:rsid w:val="00403F12"/>
    <w:rsid w:val="00403FDA"/>
    <w:rsid w:val="00404021"/>
    <w:rsid w:val="00404131"/>
    <w:rsid w:val="00404204"/>
    <w:rsid w:val="00404615"/>
    <w:rsid w:val="00404735"/>
    <w:rsid w:val="004053D1"/>
    <w:rsid w:val="00405755"/>
    <w:rsid w:val="0040594E"/>
    <w:rsid w:val="00405F85"/>
    <w:rsid w:val="00405FE9"/>
    <w:rsid w:val="00406045"/>
    <w:rsid w:val="00406280"/>
    <w:rsid w:val="0040662A"/>
    <w:rsid w:val="00406761"/>
    <w:rsid w:val="004069BA"/>
    <w:rsid w:val="00406F7F"/>
    <w:rsid w:val="00407268"/>
    <w:rsid w:val="00407557"/>
    <w:rsid w:val="00407689"/>
    <w:rsid w:val="0040777C"/>
    <w:rsid w:val="00407A52"/>
    <w:rsid w:val="00407AB5"/>
    <w:rsid w:val="00407CF7"/>
    <w:rsid w:val="004105FC"/>
    <w:rsid w:val="0041074C"/>
    <w:rsid w:val="0041082D"/>
    <w:rsid w:val="00410947"/>
    <w:rsid w:val="00410E0A"/>
    <w:rsid w:val="00410E6E"/>
    <w:rsid w:val="00411104"/>
    <w:rsid w:val="00411479"/>
    <w:rsid w:val="004114AD"/>
    <w:rsid w:val="0041168F"/>
    <w:rsid w:val="004116B1"/>
    <w:rsid w:val="0041179C"/>
    <w:rsid w:val="00411A88"/>
    <w:rsid w:val="00411AFC"/>
    <w:rsid w:val="00411CBA"/>
    <w:rsid w:val="0041205B"/>
    <w:rsid w:val="00412221"/>
    <w:rsid w:val="004125CC"/>
    <w:rsid w:val="004127A0"/>
    <w:rsid w:val="00412F57"/>
    <w:rsid w:val="00412F5E"/>
    <w:rsid w:val="00413523"/>
    <w:rsid w:val="00413593"/>
    <w:rsid w:val="004135CF"/>
    <w:rsid w:val="00413816"/>
    <w:rsid w:val="00413B5D"/>
    <w:rsid w:val="00413F49"/>
    <w:rsid w:val="0041421A"/>
    <w:rsid w:val="00414338"/>
    <w:rsid w:val="004144D6"/>
    <w:rsid w:val="00414A5F"/>
    <w:rsid w:val="00414BB6"/>
    <w:rsid w:val="00414D00"/>
    <w:rsid w:val="00415533"/>
    <w:rsid w:val="00415A66"/>
    <w:rsid w:val="00415A9A"/>
    <w:rsid w:val="00415C76"/>
    <w:rsid w:val="00415ED6"/>
    <w:rsid w:val="0041600E"/>
    <w:rsid w:val="00416226"/>
    <w:rsid w:val="004162D0"/>
    <w:rsid w:val="00416322"/>
    <w:rsid w:val="004165EE"/>
    <w:rsid w:val="004167C1"/>
    <w:rsid w:val="0041689C"/>
    <w:rsid w:val="00416B7C"/>
    <w:rsid w:val="00416C75"/>
    <w:rsid w:val="00416DB9"/>
    <w:rsid w:val="00416E40"/>
    <w:rsid w:val="00416E80"/>
    <w:rsid w:val="0041720E"/>
    <w:rsid w:val="00417300"/>
    <w:rsid w:val="00417339"/>
    <w:rsid w:val="004173E9"/>
    <w:rsid w:val="0041744D"/>
    <w:rsid w:val="00417559"/>
    <w:rsid w:val="0041755A"/>
    <w:rsid w:val="00417892"/>
    <w:rsid w:val="00417CAF"/>
    <w:rsid w:val="00417DC7"/>
    <w:rsid w:val="00417E20"/>
    <w:rsid w:val="00417ED9"/>
    <w:rsid w:val="00420024"/>
    <w:rsid w:val="0042014A"/>
    <w:rsid w:val="00420427"/>
    <w:rsid w:val="0042064C"/>
    <w:rsid w:val="004208DF"/>
    <w:rsid w:val="00420A11"/>
    <w:rsid w:val="00420C27"/>
    <w:rsid w:val="00420C7B"/>
    <w:rsid w:val="00420CBC"/>
    <w:rsid w:val="00420DBF"/>
    <w:rsid w:val="00420E92"/>
    <w:rsid w:val="00420E9F"/>
    <w:rsid w:val="00420F26"/>
    <w:rsid w:val="00421216"/>
    <w:rsid w:val="0042126E"/>
    <w:rsid w:val="0042130E"/>
    <w:rsid w:val="0042141E"/>
    <w:rsid w:val="0042175A"/>
    <w:rsid w:val="004217C5"/>
    <w:rsid w:val="0042183A"/>
    <w:rsid w:val="00421A20"/>
    <w:rsid w:val="00421A78"/>
    <w:rsid w:val="00421B03"/>
    <w:rsid w:val="00421BD9"/>
    <w:rsid w:val="00421CF0"/>
    <w:rsid w:val="00422035"/>
    <w:rsid w:val="0042224F"/>
    <w:rsid w:val="00422262"/>
    <w:rsid w:val="00422265"/>
    <w:rsid w:val="00422393"/>
    <w:rsid w:val="00422631"/>
    <w:rsid w:val="0042282F"/>
    <w:rsid w:val="0042297F"/>
    <w:rsid w:val="00422D68"/>
    <w:rsid w:val="00422E04"/>
    <w:rsid w:val="00422FE0"/>
    <w:rsid w:val="004233B9"/>
    <w:rsid w:val="00423440"/>
    <w:rsid w:val="0042353C"/>
    <w:rsid w:val="0042359F"/>
    <w:rsid w:val="00423D69"/>
    <w:rsid w:val="00424118"/>
    <w:rsid w:val="004244D0"/>
    <w:rsid w:val="0042478D"/>
    <w:rsid w:val="00424C17"/>
    <w:rsid w:val="00424D9E"/>
    <w:rsid w:val="00424DEB"/>
    <w:rsid w:val="0042504B"/>
    <w:rsid w:val="004253FB"/>
    <w:rsid w:val="00425447"/>
    <w:rsid w:val="00425498"/>
    <w:rsid w:val="00425711"/>
    <w:rsid w:val="00425744"/>
    <w:rsid w:val="00426021"/>
    <w:rsid w:val="0042605A"/>
    <w:rsid w:val="0042636C"/>
    <w:rsid w:val="004263B1"/>
    <w:rsid w:val="0042667F"/>
    <w:rsid w:val="00426A0D"/>
    <w:rsid w:val="00426CF9"/>
    <w:rsid w:val="00426D9B"/>
    <w:rsid w:val="00426E2C"/>
    <w:rsid w:val="00427167"/>
    <w:rsid w:val="004272A3"/>
    <w:rsid w:val="004273F0"/>
    <w:rsid w:val="00427500"/>
    <w:rsid w:val="00427B26"/>
    <w:rsid w:val="00427BCC"/>
    <w:rsid w:val="00427E03"/>
    <w:rsid w:val="00427E85"/>
    <w:rsid w:val="00427F52"/>
    <w:rsid w:val="00427FD6"/>
    <w:rsid w:val="00430014"/>
    <w:rsid w:val="004301AA"/>
    <w:rsid w:val="00430220"/>
    <w:rsid w:val="004302F7"/>
    <w:rsid w:val="0043036A"/>
    <w:rsid w:val="004306F6"/>
    <w:rsid w:val="00430711"/>
    <w:rsid w:val="00430AF4"/>
    <w:rsid w:val="00430D98"/>
    <w:rsid w:val="00431045"/>
    <w:rsid w:val="00431284"/>
    <w:rsid w:val="004313C1"/>
    <w:rsid w:val="004318FB"/>
    <w:rsid w:val="00431949"/>
    <w:rsid w:val="00431B88"/>
    <w:rsid w:val="00431D15"/>
    <w:rsid w:val="00431DCE"/>
    <w:rsid w:val="00431E15"/>
    <w:rsid w:val="00431F0A"/>
    <w:rsid w:val="00431F0E"/>
    <w:rsid w:val="00431F6B"/>
    <w:rsid w:val="004320DA"/>
    <w:rsid w:val="004320F6"/>
    <w:rsid w:val="004322D6"/>
    <w:rsid w:val="004325BB"/>
    <w:rsid w:val="00432B38"/>
    <w:rsid w:val="00432BBC"/>
    <w:rsid w:val="00433044"/>
    <w:rsid w:val="004338B0"/>
    <w:rsid w:val="0043392E"/>
    <w:rsid w:val="00433975"/>
    <w:rsid w:val="00433EE5"/>
    <w:rsid w:val="00434121"/>
    <w:rsid w:val="004345F7"/>
    <w:rsid w:val="00434629"/>
    <w:rsid w:val="00434651"/>
    <w:rsid w:val="00434747"/>
    <w:rsid w:val="004348AA"/>
    <w:rsid w:val="00434920"/>
    <w:rsid w:val="00434CD8"/>
    <w:rsid w:val="00434DF2"/>
    <w:rsid w:val="00434DF3"/>
    <w:rsid w:val="00434DFD"/>
    <w:rsid w:val="00434E73"/>
    <w:rsid w:val="00434E88"/>
    <w:rsid w:val="00434FE4"/>
    <w:rsid w:val="00434FEB"/>
    <w:rsid w:val="004350F8"/>
    <w:rsid w:val="0043512B"/>
    <w:rsid w:val="00435AD7"/>
    <w:rsid w:val="00435D0F"/>
    <w:rsid w:val="00436179"/>
    <w:rsid w:val="00436196"/>
    <w:rsid w:val="00436423"/>
    <w:rsid w:val="00436C1C"/>
    <w:rsid w:val="00436F8B"/>
    <w:rsid w:val="00437199"/>
    <w:rsid w:val="0043723E"/>
    <w:rsid w:val="004373A7"/>
    <w:rsid w:val="00437B7C"/>
    <w:rsid w:val="00437D94"/>
    <w:rsid w:val="00437FAB"/>
    <w:rsid w:val="00437FB6"/>
    <w:rsid w:val="00440002"/>
    <w:rsid w:val="00440252"/>
    <w:rsid w:val="0044030C"/>
    <w:rsid w:val="00440447"/>
    <w:rsid w:val="004405E5"/>
    <w:rsid w:val="00440890"/>
    <w:rsid w:val="00440A1C"/>
    <w:rsid w:val="00440AA8"/>
    <w:rsid w:val="00440ACF"/>
    <w:rsid w:val="00440D04"/>
    <w:rsid w:val="00440DB1"/>
    <w:rsid w:val="0044121F"/>
    <w:rsid w:val="00441561"/>
    <w:rsid w:val="00441AC4"/>
    <w:rsid w:val="00441B84"/>
    <w:rsid w:val="00441CE0"/>
    <w:rsid w:val="00441D21"/>
    <w:rsid w:val="00441E0B"/>
    <w:rsid w:val="00441FDD"/>
    <w:rsid w:val="00441FE6"/>
    <w:rsid w:val="00442210"/>
    <w:rsid w:val="004426BA"/>
    <w:rsid w:val="00442A32"/>
    <w:rsid w:val="00442F27"/>
    <w:rsid w:val="00443278"/>
    <w:rsid w:val="004433A4"/>
    <w:rsid w:val="004436C3"/>
    <w:rsid w:val="004438E5"/>
    <w:rsid w:val="00443919"/>
    <w:rsid w:val="00443948"/>
    <w:rsid w:val="00443AAA"/>
    <w:rsid w:val="00443DA1"/>
    <w:rsid w:val="00443E39"/>
    <w:rsid w:val="00443FA0"/>
    <w:rsid w:val="00443FF7"/>
    <w:rsid w:val="00444029"/>
    <w:rsid w:val="004441B8"/>
    <w:rsid w:val="004447BA"/>
    <w:rsid w:val="004448FE"/>
    <w:rsid w:val="004449A9"/>
    <w:rsid w:val="00444A84"/>
    <w:rsid w:val="00444C21"/>
    <w:rsid w:val="004451CD"/>
    <w:rsid w:val="0044551F"/>
    <w:rsid w:val="0044567B"/>
    <w:rsid w:val="004456CA"/>
    <w:rsid w:val="0044572F"/>
    <w:rsid w:val="00445818"/>
    <w:rsid w:val="00445908"/>
    <w:rsid w:val="0044591C"/>
    <w:rsid w:val="00445A8E"/>
    <w:rsid w:val="00445F40"/>
    <w:rsid w:val="00445F87"/>
    <w:rsid w:val="00446525"/>
    <w:rsid w:val="00446582"/>
    <w:rsid w:val="00446745"/>
    <w:rsid w:val="004469B2"/>
    <w:rsid w:val="004469B3"/>
    <w:rsid w:val="00446C17"/>
    <w:rsid w:val="00446E81"/>
    <w:rsid w:val="00446EAC"/>
    <w:rsid w:val="00446FD4"/>
    <w:rsid w:val="004470FD"/>
    <w:rsid w:val="0044714C"/>
    <w:rsid w:val="004471A8"/>
    <w:rsid w:val="00447247"/>
    <w:rsid w:val="00447C72"/>
    <w:rsid w:val="00447D14"/>
    <w:rsid w:val="004503EB"/>
    <w:rsid w:val="00450741"/>
    <w:rsid w:val="0045083A"/>
    <w:rsid w:val="004508D8"/>
    <w:rsid w:val="00450DF6"/>
    <w:rsid w:val="00450F64"/>
    <w:rsid w:val="00451A5A"/>
    <w:rsid w:val="00451E7E"/>
    <w:rsid w:val="00452077"/>
    <w:rsid w:val="00452321"/>
    <w:rsid w:val="004526B2"/>
    <w:rsid w:val="00452754"/>
    <w:rsid w:val="00452D78"/>
    <w:rsid w:val="00452E7A"/>
    <w:rsid w:val="00452EA8"/>
    <w:rsid w:val="0045300A"/>
    <w:rsid w:val="0045301C"/>
    <w:rsid w:val="004531B4"/>
    <w:rsid w:val="0045346E"/>
    <w:rsid w:val="0045347E"/>
    <w:rsid w:val="004535AE"/>
    <w:rsid w:val="00453708"/>
    <w:rsid w:val="004537EF"/>
    <w:rsid w:val="004539EA"/>
    <w:rsid w:val="00453CF8"/>
    <w:rsid w:val="00453FCC"/>
    <w:rsid w:val="004546B1"/>
    <w:rsid w:val="004548FB"/>
    <w:rsid w:val="00454B1F"/>
    <w:rsid w:val="00454F6C"/>
    <w:rsid w:val="00454F84"/>
    <w:rsid w:val="00454FAE"/>
    <w:rsid w:val="00455125"/>
    <w:rsid w:val="004552E6"/>
    <w:rsid w:val="00455BE6"/>
    <w:rsid w:val="004562E9"/>
    <w:rsid w:val="00456714"/>
    <w:rsid w:val="00456990"/>
    <w:rsid w:val="004569F8"/>
    <w:rsid w:val="00456A2E"/>
    <w:rsid w:val="00456BDA"/>
    <w:rsid w:val="00456C96"/>
    <w:rsid w:val="00456F7A"/>
    <w:rsid w:val="00457E6D"/>
    <w:rsid w:val="0046079E"/>
    <w:rsid w:val="00460846"/>
    <w:rsid w:val="00460939"/>
    <w:rsid w:val="0046095F"/>
    <w:rsid w:val="00460F2C"/>
    <w:rsid w:val="00460F90"/>
    <w:rsid w:val="004610EA"/>
    <w:rsid w:val="004613AC"/>
    <w:rsid w:val="004615C3"/>
    <w:rsid w:val="00461980"/>
    <w:rsid w:val="00461D02"/>
    <w:rsid w:val="00461FF7"/>
    <w:rsid w:val="00462271"/>
    <w:rsid w:val="00462561"/>
    <w:rsid w:val="0046370C"/>
    <w:rsid w:val="00463725"/>
    <w:rsid w:val="004637EA"/>
    <w:rsid w:val="00463979"/>
    <w:rsid w:val="00464704"/>
    <w:rsid w:val="004648A4"/>
    <w:rsid w:val="00464D52"/>
    <w:rsid w:val="00465281"/>
    <w:rsid w:val="00465544"/>
    <w:rsid w:val="0046555E"/>
    <w:rsid w:val="004657E7"/>
    <w:rsid w:val="00465871"/>
    <w:rsid w:val="00465ABC"/>
    <w:rsid w:val="00465B5B"/>
    <w:rsid w:val="00465F9C"/>
    <w:rsid w:val="00465FB4"/>
    <w:rsid w:val="004668E0"/>
    <w:rsid w:val="004669A1"/>
    <w:rsid w:val="00466BB3"/>
    <w:rsid w:val="00466BBE"/>
    <w:rsid w:val="00467251"/>
    <w:rsid w:val="004673A9"/>
    <w:rsid w:val="004673AD"/>
    <w:rsid w:val="00467688"/>
    <w:rsid w:val="0046775F"/>
    <w:rsid w:val="004677A9"/>
    <w:rsid w:val="004677D1"/>
    <w:rsid w:val="00467917"/>
    <w:rsid w:val="004679BE"/>
    <w:rsid w:val="004679DD"/>
    <w:rsid w:val="00467A75"/>
    <w:rsid w:val="00467AE8"/>
    <w:rsid w:val="00467BC1"/>
    <w:rsid w:val="004707FF"/>
    <w:rsid w:val="0047096F"/>
    <w:rsid w:val="00470B09"/>
    <w:rsid w:val="00470B0A"/>
    <w:rsid w:val="00470E78"/>
    <w:rsid w:val="0047102A"/>
    <w:rsid w:val="00471038"/>
    <w:rsid w:val="00471378"/>
    <w:rsid w:val="00471380"/>
    <w:rsid w:val="004715DA"/>
    <w:rsid w:val="00471930"/>
    <w:rsid w:val="00471E07"/>
    <w:rsid w:val="00471F38"/>
    <w:rsid w:val="00471F9A"/>
    <w:rsid w:val="00471FFB"/>
    <w:rsid w:val="004722D6"/>
    <w:rsid w:val="0047278C"/>
    <w:rsid w:val="004727F0"/>
    <w:rsid w:val="00472896"/>
    <w:rsid w:val="0047297D"/>
    <w:rsid w:val="00472A71"/>
    <w:rsid w:val="00472C6E"/>
    <w:rsid w:val="00473042"/>
    <w:rsid w:val="0047309B"/>
    <w:rsid w:val="004733DC"/>
    <w:rsid w:val="0047377C"/>
    <w:rsid w:val="00473894"/>
    <w:rsid w:val="00473C13"/>
    <w:rsid w:val="00474251"/>
    <w:rsid w:val="00474285"/>
    <w:rsid w:val="00474666"/>
    <w:rsid w:val="004747C2"/>
    <w:rsid w:val="00474ACB"/>
    <w:rsid w:val="00474D47"/>
    <w:rsid w:val="0047528B"/>
    <w:rsid w:val="0047559D"/>
    <w:rsid w:val="00475F3C"/>
    <w:rsid w:val="00475FAF"/>
    <w:rsid w:val="00475FD0"/>
    <w:rsid w:val="0047657F"/>
    <w:rsid w:val="00476A49"/>
    <w:rsid w:val="00476F25"/>
    <w:rsid w:val="00477299"/>
    <w:rsid w:val="004774E9"/>
    <w:rsid w:val="004775E1"/>
    <w:rsid w:val="004775F0"/>
    <w:rsid w:val="00477747"/>
    <w:rsid w:val="00480024"/>
    <w:rsid w:val="004806CE"/>
    <w:rsid w:val="004807AA"/>
    <w:rsid w:val="0048094E"/>
    <w:rsid w:val="004809A2"/>
    <w:rsid w:val="004809D1"/>
    <w:rsid w:val="00480C5C"/>
    <w:rsid w:val="00480E59"/>
    <w:rsid w:val="00481077"/>
    <w:rsid w:val="0048119D"/>
    <w:rsid w:val="0048135A"/>
    <w:rsid w:val="004813C3"/>
    <w:rsid w:val="00481849"/>
    <w:rsid w:val="00481EAA"/>
    <w:rsid w:val="0048206C"/>
    <w:rsid w:val="00482468"/>
    <w:rsid w:val="00482666"/>
    <w:rsid w:val="00482B76"/>
    <w:rsid w:val="00482CB2"/>
    <w:rsid w:val="00482FAF"/>
    <w:rsid w:val="0048317F"/>
    <w:rsid w:val="0048321C"/>
    <w:rsid w:val="004832A7"/>
    <w:rsid w:val="00483435"/>
    <w:rsid w:val="00483518"/>
    <w:rsid w:val="0048370D"/>
    <w:rsid w:val="00483B89"/>
    <w:rsid w:val="00483B9E"/>
    <w:rsid w:val="00483F68"/>
    <w:rsid w:val="0048404C"/>
    <w:rsid w:val="0048408A"/>
    <w:rsid w:val="00484292"/>
    <w:rsid w:val="00484359"/>
    <w:rsid w:val="00484418"/>
    <w:rsid w:val="004844B1"/>
    <w:rsid w:val="004849C1"/>
    <w:rsid w:val="004849CA"/>
    <w:rsid w:val="00484CE8"/>
    <w:rsid w:val="00484D8C"/>
    <w:rsid w:val="00484F61"/>
    <w:rsid w:val="00485852"/>
    <w:rsid w:val="00485BE8"/>
    <w:rsid w:val="00485C35"/>
    <w:rsid w:val="00485D98"/>
    <w:rsid w:val="00485E41"/>
    <w:rsid w:val="00486012"/>
    <w:rsid w:val="00486715"/>
    <w:rsid w:val="00486AFD"/>
    <w:rsid w:val="00486CDB"/>
    <w:rsid w:val="00486DBA"/>
    <w:rsid w:val="004872A2"/>
    <w:rsid w:val="004874C4"/>
    <w:rsid w:val="00487614"/>
    <w:rsid w:val="00487DF8"/>
    <w:rsid w:val="00487ED4"/>
    <w:rsid w:val="00487F73"/>
    <w:rsid w:val="00490293"/>
    <w:rsid w:val="004902FD"/>
    <w:rsid w:val="00490836"/>
    <w:rsid w:val="00490874"/>
    <w:rsid w:val="00490C44"/>
    <w:rsid w:val="00490DC0"/>
    <w:rsid w:val="00490E93"/>
    <w:rsid w:val="00490FA1"/>
    <w:rsid w:val="004910A3"/>
    <w:rsid w:val="00491139"/>
    <w:rsid w:val="0049132A"/>
    <w:rsid w:val="00491399"/>
    <w:rsid w:val="004913B5"/>
    <w:rsid w:val="004913F3"/>
    <w:rsid w:val="00491431"/>
    <w:rsid w:val="004914E3"/>
    <w:rsid w:val="00491834"/>
    <w:rsid w:val="00491AD5"/>
    <w:rsid w:val="00491C21"/>
    <w:rsid w:val="00491C43"/>
    <w:rsid w:val="00491C77"/>
    <w:rsid w:val="00491DF1"/>
    <w:rsid w:val="00491E1A"/>
    <w:rsid w:val="004922D3"/>
    <w:rsid w:val="004922FE"/>
    <w:rsid w:val="004923B1"/>
    <w:rsid w:val="00492616"/>
    <w:rsid w:val="00492789"/>
    <w:rsid w:val="004929F9"/>
    <w:rsid w:val="00492A16"/>
    <w:rsid w:val="00492A3F"/>
    <w:rsid w:val="00492DB6"/>
    <w:rsid w:val="00493677"/>
    <w:rsid w:val="00493D81"/>
    <w:rsid w:val="00494082"/>
    <w:rsid w:val="004940BB"/>
    <w:rsid w:val="004948E9"/>
    <w:rsid w:val="00494934"/>
    <w:rsid w:val="00494F0D"/>
    <w:rsid w:val="004954A5"/>
    <w:rsid w:val="004956EA"/>
    <w:rsid w:val="004957B5"/>
    <w:rsid w:val="00495994"/>
    <w:rsid w:val="00495FE4"/>
    <w:rsid w:val="0049632B"/>
    <w:rsid w:val="004965E1"/>
    <w:rsid w:val="00496851"/>
    <w:rsid w:val="00496AA3"/>
    <w:rsid w:val="00496BFD"/>
    <w:rsid w:val="00496C8D"/>
    <w:rsid w:val="00496FC5"/>
    <w:rsid w:val="00496FEF"/>
    <w:rsid w:val="00497254"/>
    <w:rsid w:val="00497C06"/>
    <w:rsid w:val="00497D46"/>
    <w:rsid w:val="00497E7D"/>
    <w:rsid w:val="004A03E8"/>
    <w:rsid w:val="004A04F7"/>
    <w:rsid w:val="004A06D9"/>
    <w:rsid w:val="004A0A65"/>
    <w:rsid w:val="004A0B35"/>
    <w:rsid w:val="004A0D5D"/>
    <w:rsid w:val="004A1002"/>
    <w:rsid w:val="004A124E"/>
    <w:rsid w:val="004A12AD"/>
    <w:rsid w:val="004A198A"/>
    <w:rsid w:val="004A1D48"/>
    <w:rsid w:val="004A1D6F"/>
    <w:rsid w:val="004A201D"/>
    <w:rsid w:val="004A207B"/>
    <w:rsid w:val="004A21DC"/>
    <w:rsid w:val="004A247D"/>
    <w:rsid w:val="004A2683"/>
    <w:rsid w:val="004A2758"/>
    <w:rsid w:val="004A28FD"/>
    <w:rsid w:val="004A2C65"/>
    <w:rsid w:val="004A2DB8"/>
    <w:rsid w:val="004A300E"/>
    <w:rsid w:val="004A35F7"/>
    <w:rsid w:val="004A36F8"/>
    <w:rsid w:val="004A3982"/>
    <w:rsid w:val="004A3BDC"/>
    <w:rsid w:val="004A3DC5"/>
    <w:rsid w:val="004A3DF2"/>
    <w:rsid w:val="004A3E5C"/>
    <w:rsid w:val="004A434C"/>
    <w:rsid w:val="004A4400"/>
    <w:rsid w:val="004A4B13"/>
    <w:rsid w:val="004A4BB7"/>
    <w:rsid w:val="004A4D4C"/>
    <w:rsid w:val="004A5136"/>
    <w:rsid w:val="004A527B"/>
    <w:rsid w:val="004A53CE"/>
    <w:rsid w:val="004A56FE"/>
    <w:rsid w:val="004A58C2"/>
    <w:rsid w:val="004A5A6D"/>
    <w:rsid w:val="004A5B09"/>
    <w:rsid w:val="004A5C13"/>
    <w:rsid w:val="004A5CF8"/>
    <w:rsid w:val="004A5DBB"/>
    <w:rsid w:val="004A5F0C"/>
    <w:rsid w:val="004A6066"/>
    <w:rsid w:val="004A62CE"/>
    <w:rsid w:val="004A63C2"/>
    <w:rsid w:val="004A6517"/>
    <w:rsid w:val="004A671A"/>
    <w:rsid w:val="004A6CD6"/>
    <w:rsid w:val="004A7199"/>
    <w:rsid w:val="004A72F0"/>
    <w:rsid w:val="004A74A2"/>
    <w:rsid w:val="004A7507"/>
    <w:rsid w:val="004A7AF6"/>
    <w:rsid w:val="004A7D03"/>
    <w:rsid w:val="004A7E8C"/>
    <w:rsid w:val="004A7E8F"/>
    <w:rsid w:val="004A7F1F"/>
    <w:rsid w:val="004A7FDE"/>
    <w:rsid w:val="004B0004"/>
    <w:rsid w:val="004B02D7"/>
    <w:rsid w:val="004B054E"/>
    <w:rsid w:val="004B0714"/>
    <w:rsid w:val="004B0732"/>
    <w:rsid w:val="004B0FD0"/>
    <w:rsid w:val="004B1025"/>
    <w:rsid w:val="004B10A9"/>
    <w:rsid w:val="004B1162"/>
    <w:rsid w:val="004B1629"/>
    <w:rsid w:val="004B1C44"/>
    <w:rsid w:val="004B1C62"/>
    <w:rsid w:val="004B1FB0"/>
    <w:rsid w:val="004B2312"/>
    <w:rsid w:val="004B23E1"/>
    <w:rsid w:val="004B26A0"/>
    <w:rsid w:val="004B2859"/>
    <w:rsid w:val="004B2993"/>
    <w:rsid w:val="004B2AAC"/>
    <w:rsid w:val="004B2B89"/>
    <w:rsid w:val="004B2B8C"/>
    <w:rsid w:val="004B2E86"/>
    <w:rsid w:val="004B302F"/>
    <w:rsid w:val="004B347F"/>
    <w:rsid w:val="004B3BFF"/>
    <w:rsid w:val="004B3DD4"/>
    <w:rsid w:val="004B4425"/>
    <w:rsid w:val="004B452C"/>
    <w:rsid w:val="004B4593"/>
    <w:rsid w:val="004B4681"/>
    <w:rsid w:val="004B46AE"/>
    <w:rsid w:val="004B46BA"/>
    <w:rsid w:val="004B4918"/>
    <w:rsid w:val="004B49C3"/>
    <w:rsid w:val="004B49ED"/>
    <w:rsid w:val="004B4A36"/>
    <w:rsid w:val="004B4D1B"/>
    <w:rsid w:val="004B5675"/>
    <w:rsid w:val="004B5941"/>
    <w:rsid w:val="004B5A06"/>
    <w:rsid w:val="004B5A07"/>
    <w:rsid w:val="004B5AF4"/>
    <w:rsid w:val="004B5BAF"/>
    <w:rsid w:val="004B5E9B"/>
    <w:rsid w:val="004B5EAB"/>
    <w:rsid w:val="004B5FB2"/>
    <w:rsid w:val="004B60F4"/>
    <w:rsid w:val="004B61C4"/>
    <w:rsid w:val="004B6365"/>
    <w:rsid w:val="004B68B2"/>
    <w:rsid w:val="004B69AB"/>
    <w:rsid w:val="004B6C8C"/>
    <w:rsid w:val="004B6F0B"/>
    <w:rsid w:val="004B6F6D"/>
    <w:rsid w:val="004B7033"/>
    <w:rsid w:val="004B741D"/>
    <w:rsid w:val="004B74BC"/>
    <w:rsid w:val="004B75B8"/>
    <w:rsid w:val="004B7DF0"/>
    <w:rsid w:val="004C0123"/>
    <w:rsid w:val="004C02EC"/>
    <w:rsid w:val="004C0344"/>
    <w:rsid w:val="004C0506"/>
    <w:rsid w:val="004C077D"/>
    <w:rsid w:val="004C08D9"/>
    <w:rsid w:val="004C0AEF"/>
    <w:rsid w:val="004C0C9E"/>
    <w:rsid w:val="004C0D43"/>
    <w:rsid w:val="004C10A3"/>
    <w:rsid w:val="004C11C5"/>
    <w:rsid w:val="004C14B8"/>
    <w:rsid w:val="004C15AC"/>
    <w:rsid w:val="004C1A4D"/>
    <w:rsid w:val="004C1D17"/>
    <w:rsid w:val="004C1FD2"/>
    <w:rsid w:val="004C21FE"/>
    <w:rsid w:val="004C2312"/>
    <w:rsid w:val="004C23B6"/>
    <w:rsid w:val="004C2664"/>
    <w:rsid w:val="004C277D"/>
    <w:rsid w:val="004C28F9"/>
    <w:rsid w:val="004C30F9"/>
    <w:rsid w:val="004C361D"/>
    <w:rsid w:val="004C39AA"/>
    <w:rsid w:val="004C3B16"/>
    <w:rsid w:val="004C3E86"/>
    <w:rsid w:val="004C3EF4"/>
    <w:rsid w:val="004C409E"/>
    <w:rsid w:val="004C443D"/>
    <w:rsid w:val="004C45FB"/>
    <w:rsid w:val="004C47F1"/>
    <w:rsid w:val="004C4891"/>
    <w:rsid w:val="004C4A94"/>
    <w:rsid w:val="004C4BB5"/>
    <w:rsid w:val="004C4BBC"/>
    <w:rsid w:val="004C4C41"/>
    <w:rsid w:val="004C4D03"/>
    <w:rsid w:val="004C4E5E"/>
    <w:rsid w:val="004C50FE"/>
    <w:rsid w:val="004C5613"/>
    <w:rsid w:val="004C5741"/>
    <w:rsid w:val="004C5996"/>
    <w:rsid w:val="004C5A61"/>
    <w:rsid w:val="004C5F4F"/>
    <w:rsid w:val="004C6004"/>
    <w:rsid w:val="004C600F"/>
    <w:rsid w:val="004C61E8"/>
    <w:rsid w:val="004C6336"/>
    <w:rsid w:val="004C6616"/>
    <w:rsid w:val="004C6C10"/>
    <w:rsid w:val="004C6C3E"/>
    <w:rsid w:val="004C6C58"/>
    <w:rsid w:val="004C700F"/>
    <w:rsid w:val="004C70B6"/>
    <w:rsid w:val="004C7348"/>
    <w:rsid w:val="004C7536"/>
    <w:rsid w:val="004C7565"/>
    <w:rsid w:val="004C7AE9"/>
    <w:rsid w:val="004C7E94"/>
    <w:rsid w:val="004D05FF"/>
    <w:rsid w:val="004D0933"/>
    <w:rsid w:val="004D0A4C"/>
    <w:rsid w:val="004D0DA8"/>
    <w:rsid w:val="004D0DAB"/>
    <w:rsid w:val="004D14B3"/>
    <w:rsid w:val="004D16D7"/>
    <w:rsid w:val="004D1B7E"/>
    <w:rsid w:val="004D1DB1"/>
    <w:rsid w:val="004D20A8"/>
    <w:rsid w:val="004D217A"/>
    <w:rsid w:val="004D2334"/>
    <w:rsid w:val="004D27CF"/>
    <w:rsid w:val="004D28DD"/>
    <w:rsid w:val="004D290D"/>
    <w:rsid w:val="004D2959"/>
    <w:rsid w:val="004D298D"/>
    <w:rsid w:val="004D2ABD"/>
    <w:rsid w:val="004D2C89"/>
    <w:rsid w:val="004D3044"/>
    <w:rsid w:val="004D30BF"/>
    <w:rsid w:val="004D313C"/>
    <w:rsid w:val="004D353C"/>
    <w:rsid w:val="004D3579"/>
    <w:rsid w:val="004D35ED"/>
    <w:rsid w:val="004D3674"/>
    <w:rsid w:val="004D3906"/>
    <w:rsid w:val="004D3A55"/>
    <w:rsid w:val="004D3C28"/>
    <w:rsid w:val="004D3C9C"/>
    <w:rsid w:val="004D3D87"/>
    <w:rsid w:val="004D4350"/>
    <w:rsid w:val="004D46CD"/>
    <w:rsid w:val="004D491B"/>
    <w:rsid w:val="004D497D"/>
    <w:rsid w:val="004D4B07"/>
    <w:rsid w:val="004D4BBC"/>
    <w:rsid w:val="004D4CFF"/>
    <w:rsid w:val="004D4D46"/>
    <w:rsid w:val="004D4E36"/>
    <w:rsid w:val="004D4EDF"/>
    <w:rsid w:val="004D5261"/>
    <w:rsid w:val="004D56B8"/>
    <w:rsid w:val="004D575D"/>
    <w:rsid w:val="004D57AF"/>
    <w:rsid w:val="004D5993"/>
    <w:rsid w:val="004D5AAA"/>
    <w:rsid w:val="004D5AAC"/>
    <w:rsid w:val="004D5AEF"/>
    <w:rsid w:val="004D5C77"/>
    <w:rsid w:val="004D5CB2"/>
    <w:rsid w:val="004D5F35"/>
    <w:rsid w:val="004D608B"/>
    <w:rsid w:val="004D6701"/>
    <w:rsid w:val="004D6A93"/>
    <w:rsid w:val="004D6C13"/>
    <w:rsid w:val="004D6CD3"/>
    <w:rsid w:val="004D7153"/>
    <w:rsid w:val="004D78E0"/>
    <w:rsid w:val="004D78F4"/>
    <w:rsid w:val="004D7DBD"/>
    <w:rsid w:val="004E04ED"/>
    <w:rsid w:val="004E0E53"/>
    <w:rsid w:val="004E0F6B"/>
    <w:rsid w:val="004E1350"/>
    <w:rsid w:val="004E1385"/>
    <w:rsid w:val="004E16C9"/>
    <w:rsid w:val="004E17A1"/>
    <w:rsid w:val="004E17BC"/>
    <w:rsid w:val="004E17BD"/>
    <w:rsid w:val="004E1AA7"/>
    <w:rsid w:val="004E2431"/>
    <w:rsid w:val="004E2662"/>
    <w:rsid w:val="004E2668"/>
    <w:rsid w:val="004E2851"/>
    <w:rsid w:val="004E2866"/>
    <w:rsid w:val="004E2962"/>
    <w:rsid w:val="004E2CDB"/>
    <w:rsid w:val="004E3018"/>
    <w:rsid w:val="004E3591"/>
    <w:rsid w:val="004E3932"/>
    <w:rsid w:val="004E3A16"/>
    <w:rsid w:val="004E3C0D"/>
    <w:rsid w:val="004E3F30"/>
    <w:rsid w:val="004E4298"/>
    <w:rsid w:val="004E43E1"/>
    <w:rsid w:val="004E4425"/>
    <w:rsid w:val="004E4489"/>
    <w:rsid w:val="004E4C3E"/>
    <w:rsid w:val="004E4DFC"/>
    <w:rsid w:val="004E4F6F"/>
    <w:rsid w:val="004E50B5"/>
    <w:rsid w:val="004E53FF"/>
    <w:rsid w:val="004E5417"/>
    <w:rsid w:val="004E5465"/>
    <w:rsid w:val="004E5780"/>
    <w:rsid w:val="004E5873"/>
    <w:rsid w:val="004E59E2"/>
    <w:rsid w:val="004E5B8A"/>
    <w:rsid w:val="004E5DCF"/>
    <w:rsid w:val="004E60C8"/>
    <w:rsid w:val="004E60D6"/>
    <w:rsid w:val="004E66BF"/>
    <w:rsid w:val="004E6969"/>
    <w:rsid w:val="004E697B"/>
    <w:rsid w:val="004E6A57"/>
    <w:rsid w:val="004E6B10"/>
    <w:rsid w:val="004E6C67"/>
    <w:rsid w:val="004E6D5D"/>
    <w:rsid w:val="004E6D74"/>
    <w:rsid w:val="004E6F57"/>
    <w:rsid w:val="004E7006"/>
    <w:rsid w:val="004E7068"/>
    <w:rsid w:val="004E7330"/>
    <w:rsid w:val="004E77C2"/>
    <w:rsid w:val="004E7CFF"/>
    <w:rsid w:val="004E7D98"/>
    <w:rsid w:val="004F0581"/>
    <w:rsid w:val="004F0B80"/>
    <w:rsid w:val="004F0CDC"/>
    <w:rsid w:val="004F0D9D"/>
    <w:rsid w:val="004F0FB3"/>
    <w:rsid w:val="004F108E"/>
    <w:rsid w:val="004F11CD"/>
    <w:rsid w:val="004F134B"/>
    <w:rsid w:val="004F15A3"/>
    <w:rsid w:val="004F170E"/>
    <w:rsid w:val="004F1E79"/>
    <w:rsid w:val="004F21CF"/>
    <w:rsid w:val="004F238E"/>
    <w:rsid w:val="004F2663"/>
    <w:rsid w:val="004F267C"/>
    <w:rsid w:val="004F2777"/>
    <w:rsid w:val="004F27D6"/>
    <w:rsid w:val="004F289F"/>
    <w:rsid w:val="004F2B12"/>
    <w:rsid w:val="004F2CF2"/>
    <w:rsid w:val="004F2FB2"/>
    <w:rsid w:val="004F342D"/>
    <w:rsid w:val="004F34C8"/>
    <w:rsid w:val="004F356C"/>
    <w:rsid w:val="004F35CF"/>
    <w:rsid w:val="004F3888"/>
    <w:rsid w:val="004F3966"/>
    <w:rsid w:val="004F3D9E"/>
    <w:rsid w:val="004F3E74"/>
    <w:rsid w:val="004F3F4E"/>
    <w:rsid w:val="004F4240"/>
    <w:rsid w:val="004F42C2"/>
    <w:rsid w:val="004F4655"/>
    <w:rsid w:val="004F4C37"/>
    <w:rsid w:val="004F4C7C"/>
    <w:rsid w:val="004F4DAF"/>
    <w:rsid w:val="004F4E91"/>
    <w:rsid w:val="004F5068"/>
    <w:rsid w:val="004F5204"/>
    <w:rsid w:val="004F552A"/>
    <w:rsid w:val="004F5574"/>
    <w:rsid w:val="004F5760"/>
    <w:rsid w:val="004F5797"/>
    <w:rsid w:val="004F5839"/>
    <w:rsid w:val="004F5C72"/>
    <w:rsid w:val="004F5D40"/>
    <w:rsid w:val="004F5F33"/>
    <w:rsid w:val="004F6379"/>
    <w:rsid w:val="004F64C7"/>
    <w:rsid w:val="004F67C0"/>
    <w:rsid w:val="004F6D07"/>
    <w:rsid w:val="004F7566"/>
    <w:rsid w:val="004F795C"/>
    <w:rsid w:val="004F7A5B"/>
    <w:rsid w:val="004F7F83"/>
    <w:rsid w:val="004FBA9E"/>
    <w:rsid w:val="0050013B"/>
    <w:rsid w:val="005001D3"/>
    <w:rsid w:val="00500609"/>
    <w:rsid w:val="00500720"/>
    <w:rsid w:val="00500867"/>
    <w:rsid w:val="005009AB"/>
    <w:rsid w:val="00500A79"/>
    <w:rsid w:val="00500D43"/>
    <w:rsid w:val="00500EC2"/>
    <w:rsid w:val="00500EF8"/>
    <w:rsid w:val="0050103A"/>
    <w:rsid w:val="005011D6"/>
    <w:rsid w:val="005013B1"/>
    <w:rsid w:val="00501574"/>
    <w:rsid w:val="005017BE"/>
    <w:rsid w:val="0050185D"/>
    <w:rsid w:val="00501C0E"/>
    <w:rsid w:val="00501FE0"/>
    <w:rsid w:val="005021BA"/>
    <w:rsid w:val="005023C4"/>
    <w:rsid w:val="005023ED"/>
    <w:rsid w:val="0050252C"/>
    <w:rsid w:val="00502692"/>
    <w:rsid w:val="00502722"/>
    <w:rsid w:val="00502CE4"/>
    <w:rsid w:val="00502D6A"/>
    <w:rsid w:val="0050313D"/>
    <w:rsid w:val="005034D3"/>
    <w:rsid w:val="00503609"/>
    <w:rsid w:val="00503779"/>
    <w:rsid w:val="00503C00"/>
    <w:rsid w:val="00503C4D"/>
    <w:rsid w:val="005041BC"/>
    <w:rsid w:val="00504204"/>
    <w:rsid w:val="0050475C"/>
    <w:rsid w:val="0050489F"/>
    <w:rsid w:val="0050538F"/>
    <w:rsid w:val="00505550"/>
    <w:rsid w:val="005055F2"/>
    <w:rsid w:val="00505799"/>
    <w:rsid w:val="005058E4"/>
    <w:rsid w:val="00505A31"/>
    <w:rsid w:val="00505AA2"/>
    <w:rsid w:val="00505B54"/>
    <w:rsid w:val="0050601C"/>
    <w:rsid w:val="0050611B"/>
    <w:rsid w:val="00506125"/>
    <w:rsid w:val="00506167"/>
    <w:rsid w:val="0050629C"/>
    <w:rsid w:val="005068C3"/>
    <w:rsid w:val="00506ACE"/>
    <w:rsid w:val="00506E11"/>
    <w:rsid w:val="00506FC7"/>
    <w:rsid w:val="0050752F"/>
    <w:rsid w:val="005075F7"/>
    <w:rsid w:val="0050796C"/>
    <w:rsid w:val="00507B3A"/>
    <w:rsid w:val="00507B99"/>
    <w:rsid w:val="00507C14"/>
    <w:rsid w:val="00507DF9"/>
    <w:rsid w:val="0051030B"/>
    <w:rsid w:val="005105AD"/>
    <w:rsid w:val="00510854"/>
    <w:rsid w:val="00510883"/>
    <w:rsid w:val="00510895"/>
    <w:rsid w:val="0051090C"/>
    <w:rsid w:val="005109F8"/>
    <w:rsid w:val="00510A02"/>
    <w:rsid w:val="00510D27"/>
    <w:rsid w:val="00510DCD"/>
    <w:rsid w:val="00510DD1"/>
    <w:rsid w:val="00510F59"/>
    <w:rsid w:val="00511268"/>
    <w:rsid w:val="005112E4"/>
    <w:rsid w:val="00511365"/>
    <w:rsid w:val="00511711"/>
    <w:rsid w:val="005119F4"/>
    <w:rsid w:val="00511B0F"/>
    <w:rsid w:val="00511C28"/>
    <w:rsid w:val="00511D4C"/>
    <w:rsid w:val="00511D7A"/>
    <w:rsid w:val="00512210"/>
    <w:rsid w:val="005122B3"/>
    <w:rsid w:val="00512B05"/>
    <w:rsid w:val="0051342E"/>
    <w:rsid w:val="005135CD"/>
    <w:rsid w:val="0051361D"/>
    <w:rsid w:val="00513639"/>
    <w:rsid w:val="0051380D"/>
    <w:rsid w:val="005139CC"/>
    <w:rsid w:val="00513A64"/>
    <w:rsid w:val="00513B78"/>
    <w:rsid w:val="00513C36"/>
    <w:rsid w:val="00513E12"/>
    <w:rsid w:val="00513F7F"/>
    <w:rsid w:val="0051408D"/>
    <w:rsid w:val="00514117"/>
    <w:rsid w:val="005142A6"/>
    <w:rsid w:val="0051445F"/>
    <w:rsid w:val="00514562"/>
    <w:rsid w:val="0051483B"/>
    <w:rsid w:val="00514866"/>
    <w:rsid w:val="00514AC7"/>
    <w:rsid w:val="00514F42"/>
    <w:rsid w:val="00514FDC"/>
    <w:rsid w:val="00515056"/>
    <w:rsid w:val="0051508E"/>
    <w:rsid w:val="00515358"/>
    <w:rsid w:val="005153FD"/>
    <w:rsid w:val="00515502"/>
    <w:rsid w:val="00515A9D"/>
    <w:rsid w:val="00515FD0"/>
    <w:rsid w:val="00516094"/>
    <w:rsid w:val="0051615F"/>
    <w:rsid w:val="005162AB"/>
    <w:rsid w:val="00516370"/>
    <w:rsid w:val="00516565"/>
    <w:rsid w:val="0051679A"/>
    <w:rsid w:val="00516924"/>
    <w:rsid w:val="00517012"/>
    <w:rsid w:val="00517394"/>
    <w:rsid w:val="0051752F"/>
    <w:rsid w:val="0051759B"/>
    <w:rsid w:val="00517783"/>
    <w:rsid w:val="005178C7"/>
    <w:rsid w:val="00517B04"/>
    <w:rsid w:val="00517C88"/>
    <w:rsid w:val="00517ECE"/>
    <w:rsid w:val="00517ED0"/>
    <w:rsid w:val="00520086"/>
    <w:rsid w:val="0052033C"/>
    <w:rsid w:val="005203BC"/>
    <w:rsid w:val="00520438"/>
    <w:rsid w:val="005204C9"/>
    <w:rsid w:val="00520936"/>
    <w:rsid w:val="00520B09"/>
    <w:rsid w:val="00521447"/>
    <w:rsid w:val="005216F3"/>
    <w:rsid w:val="0052180F"/>
    <w:rsid w:val="00521BF4"/>
    <w:rsid w:val="00521C88"/>
    <w:rsid w:val="00521C89"/>
    <w:rsid w:val="00521FBE"/>
    <w:rsid w:val="005221A1"/>
    <w:rsid w:val="00522966"/>
    <w:rsid w:val="00523B56"/>
    <w:rsid w:val="00523C0D"/>
    <w:rsid w:val="00523C18"/>
    <w:rsid w:val="00523F7A"/>
    <w:rsid w:val="00524088"/>
    <w:rsid w:val="005240DE"/>
    <w:rsid w:val="00524337"/>
    <w:rsid w:val="005244C4"/>
    <w:rsid w:val="0052483B"/>
    <w:rsid w:val="00524AF4"/>
    <w:rsid w:val="00524DC4"/>
    <w:rsid w:val="00524E18"/>
    <w:rsid w:val="00525266"/>
    <w:rsid w:val="00525788"/>
    <w:rsid w:val="00525A89"/>
    <w:rsid w:val="00525D35"/>
    <w:rsid w:val="00525EEE"/>
    <w:rsid w:val="0052604C"/>
    <w:rsid w:val="0052639B"/>
    <w:rsid w:val="00526643"/>
    <w:rsid w:val="00526799"/>
    <w:rsid w:val="0052680A"/>
    <w:rsid w:val="0052687D"/>
    <w:rsid w:val="00526E4B"/>
    <w:rsid w:val="005270C4"/>
    <w:rsid w:val="00527386"/>
    <w:rsid w:val="005274BB"/>
    <w:rsid w:val="005276EB"/>
    <w:rsid w:val="0052793D"/>
    <w:rsid w:val="00527BF5"/>
    <w:rsid w:val="00527CBC"/>
    <w:rsid w:val="00530102"/>
    <w:rsid w:val="0053013B"/>
    <w:rsid w:val="005302FF"/>
    <w:rsid w:val="005305A6"/>
    <w:rsid w:val="005307E8"/>
    <w:rsid w:val="005308AF"/>
    <w:rsid w:val="00530C52"/>
    <w:rsid w:val="00531076"/>
    <w:rsid w:val="005312B0"/>
    <w:rsid w:val="0053133F"/>
    <w:rsid w:val="0053135F"/>
    <w:rsid w:val="00531411"/>
    <w:rsid w:val="00531608"/>
    <w:rsid w:val="0053167A"/>
    <w:rsid w:val="0053175F"/>
    <w:rsid w:val="005317F5"/>
    <w:rsid w:val="0053189A"/>
    <w:rsid w:val="00531A67"/>
    <w:rsid w:val="005321B8"/>
    <w:rsid w:val="005322B6"/>
    <w:rsid w:val="005322C7"/>
    <w:rsid w:val="005325AC"/>
    <w:rsid w:val="0053260D"/>
    <w:rsid w:val="005329DB"/>
    <w:rsid w:val="005332D9"/>
    <w:rsid w:val="0053355C"/>
    <w:rsid w:val="00533968"/>
    <w:rsid w:val="00533B7C"/>
    <w:rsid w:val="0053419F"/>
    <w:rsid w:val="005341EF"/>
    <w:rsid w:val="005344A1"/>
    <w:rsid w:val="005345AF"/>
    <w:rsid w:val="0053483D"/>
    <w:rsid w:val="00534899"/>
    <w:rsid w:val="0053492D"/>
    <w:rsid w:val="005349D8"/>
    <w:rsid w:val="00534B47"/>
    <w:rsid w:val="00534E69"/>
    <w:rsid w:val="005350F7"/>
    <w:rsid w:val="0053511B"/>
    <w:rsid w:val="005351CF"/>
    <w:rsid w:val="00535225"/>
    <w:rsid w:val="005354CB"/>
    <w:rsid w:val="0053565F"/>
    <w:rsid w:val="0053577D"/>
    <w:rsid w:val="00535979"/>
    <w:rsid w:val="00535E4B"/>
    <w:rsid w:val="00535EA6"/>
    <w:rsid w:val="0053607D"/>
    <w:rsid w:val="0053622F"/>
    <w:rsid w:val="00536326"/>
    <w:rsid w:val="00536572"/>
    <w:rsid w:val="00536A3E"/>
    <w:rsid w:val="00536B58"/>
    <w:rsid w:val="005370DD"/>
    <w:rsid w:val="0053737B"/>
    <w:rsid w:val="0053747C"/>
    <w:rsid w:val="00537496"/>
    <w:rsid w:val="005374C4"/>
    <w:rsid w:val="005375A7"/>
    <w:rsid w:val="005376D0"/>
    <w:rsid w:val="00537834"/>
    <w:rsid w:val="005409B2"/>
    <w:rsid w:val="00540E61"/>
    <w:rsid w:val="00540F6D"/>
    <w:rsid w:val="00540F91"/>
    <w:rsid w:val="00540FDF"/>
    <w:rsid w:val="0054153B"/>
    <w:rsid w:val="0054236A"/>
    <w:rsid w:val="0054275E"/>
    <w:rsid w:val="0054289B"/>
    <w:rsid w:val="00542B07"/>
    <w:rsid w:val="00542D2D"/>
    <w:rsid w:val="00542DCE"/>
    <w:rsid w:val="00542E7F"/>
    <w:rsid w:val="00542F16"/>
    <w:rsid w:val="00542F93"/>
    <w:rsid w:val="005436AF"/>
    <w:rsid w:val="00543B8F"/>
    <w:rsid w:val="00543E55"/>
    <w:rsid w:val="00543FD5"/>
    <w:rsid w:val="0054428F"/>
    <w:rsid w:val="00544336"/>
    <w:rsid w:val="0054458D"/>
    <w:rsid w:val="00544733"/>
    <w:rsid w:val="005449D8"/>
    <w:rsid w:val="005449DB"/>
    <w:rsid w:val="00544CE5"/>
    <w:rsid w:val="00544DA8"/>
    <w:rsid w:val="00544DDE"/>
    <w:rsid w:val="00544EEC"/>
    <w:rsid w:val="0054510F"/>
    <w:rsid w:val="005455E6"/>
    <w:rsid w:val="005457BC"/>
    <w:rsid w:val="00545F25"/>
    <w:rsid w:val="005462DF"/>
    <w:rsid w:val="005467C7"/>
    <w:rsid w:val="0054706C"/>
    <w:rsid w:val="0054709E"/>
    <w:rsid w:val="00547138"/>
    <w:rsid w:val="0054718E"/>
    <w:rsid w:val="005471FC"/>
    <w:rsid w:val="00547DF0"/>
    <w:rsid w:val="00547F9D"/>
    <w:rsid w:val="00550346"/>
    <w:rsid w:val="005503A8"/>
    <w:rsid w:val="0055062E"/>
    <w:rsid w:val="00550773"/>
    <w:rsid w:val="005514D1"/>
    <w:rsid w:val="0055184E"/>
    <w:rsid w:val="00551AB8"/>
    <w:rsid w:val="00551E5C"/>
    <w:rsid w:val="00551E6A"/>
    <w:rsid w:val="005520E0"/>
    <w:rsid w:val="00552104"/>
    <w:rsid w:val="005523BF"/>
    <w:rsid w:val="0055267D"/>
    <w:rsid w:val="0055271F"/>
    <w:rsid w:val="00552868"/>
    <w:rsid w:val="00552B74"/>
    <w:rsid w:val="00552CCE"/>
    <w:rsid w:val="00552DA9"/>
    <w:rsid w:val="00552DB8"/>
    <w:rsid w:val="00552E56"/>
    <w:rsid w:val="00553122"/>
    <w:rsid w:val="005531B0"/>
    <w:rsid w:val="0055320D"/>
    <w:rsid w:val="0055343F"/>
    <w:rsid w:val="005534BB"/>
    <w:rsid w:val="00553561"/>
    <w:rsid w:val="00553648"/>
    <w:rsid w:val="0055388E"/>
    <w:rsid w:val="00553DF9"/>
    <w:rsid w:val="00553F76"/>
    <w:rsid w:val="00554652"/>
    <w:rsid w:val="0055478B"/>
    <w:rsid w:val="0055499D"/>
    <w:rsid w:val="00554B27"/>
    <w:rsid w:val="00554D28"/>
    <w:rsid w:val="00554E5A"/>
    <w:rsid w:val="00555028"/>
    <w:rsid w:val="0055506C"/>
    <w:rsid w:val="0055507F"/>
    <w:rsid w:val="005550F1"/>
    <w:rsid w:val="00555173"/>
    <w:rsid w:val="005553F1"/>
    <w:rsid w:val="00555530"/>
    <w:rsid w:val="00555905"/>
    <w:rsid w:val="00555AF8"/>
    <w:rsid w:val="00555E70"/>
    <w:rsid w:val="00555F47"/>
    <w:rsid w:val="00555F54"/>
    <w:rsid w:val="00556322"/>
    <w:rsid w:val="005564C6"/>
    <w:rsid w:val="005567BE"/>
    <w:rsid w:val="0055688A"/>
    <w:rsid w:val="00556D32"/>
    <w:rsid w:val="00556E48"/>
    <w:rsid w:val="00556F76"/>
    <w:rsid w:val="00557401"/>
    <w:rsid w:val="0055757A"/>
    <w:rsid w:val="005575D5"/>
    <w:rsid w:val="00557741"/>
    <w:rsid w:val="0055775A"/>
    <w:rsid w:val="005577CB"/>
    <w:rsid w:val="005578BC"/>
    <w:rsid w:val="00557AFD"/>
    <w:rsid w:val="00557F40"/>
    <w:rsid w:val="00560437"/>
    <w:rsid w:val="0056050A"/>
    <w:rsid w:val="0056082A"/>
    <w:rsid w:val="0056091B"/>
    <w:rsid w:val="005609C8"/>
    <w:rsid w:val="0056102A"/>
    <w:rsid w:val="0056107C"/>
    <w:rsid w:val="005610DA"/>
    <w:rsid w:val="00561515"/>
    <w:rsid w:val="00561611"/>
    <w:rsid w:val="0056178C"/>
    <w:rsid w:val="00561806"/>
    <w:rsid w:val="00561AE4"/>
    <w:rsid w:val="00561F75"/>
    <w:rsid w:val="0056235B"/>
    <w:rsid w:val="00562395"/>
    <w:rsid w:val="005627E1"/>
    <w:rsid w:val="00562A8F"/>
    <w:rsid w:val="00562A9E"/>
    <w:rsid w:val="00562F92"/>
    <w:rsid w:val="00563290"/>
    <w:rsid w:val="005636C0"/>
    <w:rsid w:val="0056388B"/>
    <w:rsid w:val="0056391A"/>
    <w:rsid w:val="00563A34"/>
    <w:rsid w:val="00564846"/>
    <w:rsid w:val="0056545D"/>
    <w:rsid w:val="0056554A"/>
    <w:rsid w:val="00565561"/>
    <w:rsid w:val="005659EB"/>
    <w:rsid w:val="00565D77"/>
    <w:rsid w:val="0056609B"/>
    <w:rsid w:val="00566178"/>
    <w:rsid w:val="0056626F"/>
    <w:rsid w:val="005662A0"/>
    <w:rsid w:val="0056637C"/>
    <w:rsid w:val="00566620"/>
    <w:rsid w:val="00566839"/>
    <w:rsid w:val="005669D5"/>
    <w:rsid w:val="00566F8B"/>
    <w:rsid w:val="005672C9"/>
    <w:rsid w:val="0056738F"/>
    <w:rsid w:val="0056753F"/>
    <w:rsid w:val="005678C0"/>
    <w:rsid w:val="00567B4E"/>
    <w:rsid w:val="00567C42"/>
    <w:rsid w:val="00567C75"/>
    <w:rsid w:val="00567CD4"/>
    <w:rsid w:val="0057006D"/>
    <w:rsid w:val="005702F1"/>
    <w:rsid w:val="00570578"/>
    <w:rsid w:val="00570B52"/>
    <w:rsid w:val="0057115B"/>
    <w:rsid w:val="005714D9"/>
    <w:rsid w:val="005717B9"/>
    <w:rsid w:val="0057183C"/>
    <w:rsid w:val="0057184A"/>
    <w:rsid w:val="00571CDB"/>
    <w:rsid w:val="00571DE8"/>
    <w:rsid w:val="00572110"/>
    <w:rsid w:val="0057287E"/>
    <w:rsid w:val="00572936"/>
    <w:rsid w:val="00572A0C"/>
    <w:rsid w:val="00572A68"/>
    <w:rsid w:val="00572A98"/>
    <w:rsid w:val="00572AA5"/>
    <w:rsid w:val="00572EAB"/>
    <w:rsid w:val="005731FA"/>
    <w:rsid w:val="00573B0F"/>
    <w:rsid w:val="00573B67"/>
    <w:rsid w:val="00573CC0"/>
    <w:rsid w:val="00573F84"/>
    <w:rsid w:val="005747C0"/>
    <w:rsid w:val="00574AD7"/>
    <w:rsid w:val="00574BE0"/>
    <w:rsid w:val="005751BF"/>
    <w:rsid w:val="005753BE"/>
    <w:rsid w:val="005754AE"/>
    <w:rsid w:val="005755D7"/>
    <w:rsid w:val="00575714"/>
    <w:rsid w:val="0057609B"/>
    <w:rsid w:val="005762D9"/>
    <w:rsid w:val="005763CA"/>
    <w:rsid w:val="00576775"/>
    <w:rsid w:val="005769FE"/>
    <w:rsid w:val="00576ABE"/>
    <w:rsid w:val="00576D66"/>
    <w:rsid w:val="00576E0B"/>
    <w:rsid w:val="00577146"/>
    <w:rsid w:val="005777A3"/>
    <w:rsid w:val="005777FD"/>
    <w:rsid w:val="00577ABD"/>
    <w:rsid w:val="00577AEA"/>
    <w:rsid w:val="00577FB5"/>
    <w:rsid w:val="00579F4B"/>
    <w:rsid w:val="00580073"/>
    <w:rsid w:val="00580248"/>
    <w:rsid w:val="0058030C"/>
    <w:rsid w:val="00580510"/>
    <w:rsid w:val="00580B59"/>
    <w:rsid w:val="00580C09"/>
    <w:rsid w:val="00580EC0"/>
    <w:rsid w:val="0058132A"/>
    <w:rsid w:val="005814AC"/>
    <w:rsid w:val="00581537"/>
    <w:rsid w:val="00581635"/>
    <w:rsid w:val="00581916"/>
    <w:rsid w:val="005819B5"/>
    <w:rsid w:val="00581A17"/>
    <w:rsid w:val="00581BA9"/>
    <w:rsid w:val="005820CE"/>
    <w:rsid w:val="005821B6"/>
    <w:rsid w:val="00582212"/>
    <w:rsid w:val="00582276"/>
    <w:rsid w:val="005823BF"/>
    <w:rsid w:val="00582626"/>
    <w:rsid w:val="005827DF"/>
    <w:rsid w:val="00582B57"/>
    <w:rsid w:val="00583111"/>
    <w:rsid w:val="00583608"/>
    <w:rsid w:val="00583676"/>
    <w:rsid w:val="005839BE"/>
    <w:rsid w:val="00583A3F"/>
    <w:rsid w:val="00583AE7"/>
    <w:rsid w:val="0058478C"/>
    <w:rsid w:val="005847D9"/>
    <w:rsid w:val="00584A08"/>
    <w:rsid w:val="00584BFD"/>
    <w:rsid w:val="00584C78"/>
    <w:rsid w:val="00584E96"/>
    <w:rsid w:val="00584ECE"/>
    <w:rsid w:val="00584F21"/>
    <w:rsid w:val="00584F67"/>
    <w:rsid w:val="005852A0"/>
    <w:rsid w:val="005852D1"/>
    <w:rsid w:val="0058581B"/>
    <w:rsid w:val="00585C40"/>
    <w:rsid w:val="00585FDB"/>
    <w:rsid w:val="005862B2"/>
    <w:rsid w:val="005863F8"/>
    <w:rsid w:val="00586478"/>
    <w:rsid w:val="00586512"/>
    <w:rsid w:val="00586658"/>
    <w:rsid w:val="00586691"/>
    <w:rsid w:val="005868D7"/>
    <w:rsid w:val="00587109"/>
    <w:rsid w:val="0058728E"/>
    <w:rsid w:val="00587A03"/>
    <w:rsid w:val="00587A22"/>
    <w:rsid w:val="00587B79"/>
    <w:rsid w:val="0058DDAF"/>
    <w:rsid w:val="0059010C"/>
    <w:rsid w:val="00590665"/>
    <w:rsid w:val="00590949"/>
    <w:rsid w:val="00590984"/>
    <w:rsid w:val="005909C1"/>
    <w:rsid w:val="00590B22"/>
    <w:rsid w:val="00590CD0"/>
    <w:rsid w:val="0059107B"/>
    <w:rsid w:val="005910A8"/>
    <w:rsid w:val="005912F5"/>
    <w:rsid w:val="00591846"/>
    <w:rsid w:val="00591A52"/>
    <w:rsid w:val="00591E7E"/>
    <w:rsid w:val="00592799"/>
    <w:rsid w:val="00592956"/>
    <w:rsid w:val="0059299D"/>
    <w:rsid w:val="00592E10"/>
    <w:rsid w:val="0059318F"/>
    <w:rsid w:val="00593344"/>
    <w:rsid w:val="005934D3"/>
    <w:rsid w:val="0059357E"/>
    <w:rsid w:val="00593581"/>
    <w:rsid w:val="005935F1"/>
    <w:rsid w:val="005939C9"/>
    <w:rsid w:val="00593BE6"/>
    <w:rsid w:val="00593D78"/>
    <w:rsid w:val="0059446A"/>
    <w:rsid w:val="005944CE"/>
    <w:rsid w:val="00594544"/>
    <w:rsid w:val="00594699"/>
    <w:rsid w:val="00594D0E"/>
    <w:rsid w:val="00594F27"/>
    <w:rsid w:val="005952A1"/>
    <w:rsid w:val="005952C5"/>
    <w:rsid w:val="00595328"/>
    <w:rsid w:val="00595334"/>
    <w:rsid w:val="005954D2"/>
    <w:rsid w:val="00595790"/>
    <w:rsid w:val="005959EF"/>
    <w:rsid w:val="00595C6E"/>
    <w:rsid w:val="00595C8C"/>
    <w:rsid w:val="00595DCF"/>
    <w:rsid w:val="00595DF9"/>
    <w:rsid w:val="00596580"/>
    <w:rsid w:val="0059658B"/>
    <w:rsid w:val="005965DC"/>
    <w:rsid w:val="00596894"/>
    <w:rsid w:val="0059689A"/>
    <w:rsid w:val="00596C81"/>
    <w:rsid w:val="00596CC2"/>
    <w:rsid w:val="00596FE6"/>
    <w:rsid w:val="0059702E"/>
    <w:rsid w:val="005970E7"/>
    <w:rsid w:val="005970F9"/>
    <w:rsid w:val="00597153"/>
    <w:rsid w:val="00597661"/>
    <w:rsid w:val="00597743"/>
    <w:rsid w:val="00597747"/>
    <w:rsid w:val="00597758"/>
    <w:rsid w:val="00597804"/>
    <w:rsid w:val="00597894"/>
    <w:rsid w:val="005978A0"/>
    <w:rsid w:val="0059799E"/>
    <w:rsid w:val="005A035D"/>
    <w:rsid w:val="005A04A0"/>
    <w:rsid w:val="005A0890"/>
    <w:rsid w:val="005A0D45"/>
    <w:rsid w:val="005A0EA2"/>
    <w:rsid w:val="005A0ED7"/>
    <w:rsid w:val="005A0F28"/>
    <w:rsid w:val="005A1654"/>
    <w:rsid w:val="005A16DD"/>
    <w:rsid w:val="005A1745"/>
    <w:rsid w:val="005A1778"/>
    <w:rsid w:val="005A18D9"/>
    <w:rsid w:val="005A1B25"/>
    <w:rsid w:val="005A1C35"/>
    <w:rsid w:val="005A1EFC"/>
    <w:rsid w:val="005A2434"/>
    <w:rsid w:val="005A281A"/>
    <w:rsid w:val="005A2AB2"/>
    <w:rsid w:val="005A2DE8"/>
    <w:rsid w:val="005A2DFA"/>
    <w:rsid w:val="005A31DB"/>
    <w:rsid w:val="005A39E0"/>
    <w:rsid w:val="005A3A4A"/>
    <w:rsid w:val="005A3AC1"/>
    <w:rsid w:val="005A3B03"/>
    <w:rsid w:val="005A3BDD"/>
    <w:rsid w:val="005A3D59"/>
    <w:rsid w:val="005A3E85"/>
    <w:rsid w:val="005A425B"/>
    <w:rsid w:val="005A44D5"/>
    <w:rsid w:val="005A4595"/>
    <w:rsid w:val="005A48DF"/>
    <w:rsid w:val="005A4BF7"/>
    <w:rsid w:val="005A4C30"/>
    <w:rsid w:val="005A4CDD"/>
    <w:rsid w:val="005A50FE"/>
    <w:rsid w:val="005A51AA"/>
    <w:rsid w:val="005A5691"/>
    <w:rsid w:val="005A5794"/>
    <w:rsid w:val="005A58E2"/>
    <w:rsid w:val="005A5A35"/>
    <w:rsid w:val="005A5F8A"/>
    <w:rsid w:val="005A5FC5"/>
    <w:rsid w:val="005A61A0"/>
    <w:rsid w:val="005A65A3"/>
    <w:rsid w:val="005A6976"/>
    <w:rsid w:val="005A6B31"/>
    <w:rsid w:val="005A6D66"/>
    <w:rsid w:val="005A6F26"/>
    <w:rsid w:val="005A6F2B"/>
    <w:rsid w:val="005A6F67"/>
    <w:rsid w:val="005A7168"/>
    <w:rsid w:val="005A72A2"/>
    <w:rsid w:val="005A734A"/>
    <w:rsid w:val="005A7474"/>
    <w:rsid w:val="005A74CA"/>
    <w:rsid w:val="005A7615"/>
    <w:rsid w:val="005A7871"/>
    <w:rsid w:val="005A7997"/>
    <w:rsid w:val="005A7A27"/>
    <w:rsid w:val="005A7AA5"/>
    <w:rsid w:val="005A7DFF"/>
    <w:rsid w:val="005B050F"/>
    <w:rsid w:val="005B0C87"/>
    <w:rsid w:val="005B0EA0"/>
    <w:rsid w:val="005B1320"/>
    <w:rsid w:val="005B15D6"/>
    <w:rsid w:val="005B16E8"/>
    <w:rsid w:val="005B1715"/>
    <w:rsid w:val="005B1C7E"/>
    <w:rsid w:val="005B1CE9"/>
    <w:rsid w:val="005B1F3C"/>
    <w:rsid w:val="005B205C"/>
    <w:rsid w:val="005B22D9"/>
    <w:rsid w:val="005B2950"/>
    <w:rsid w:val="005B2B24"/>
    <w:rsid w:val="005B2CBE"/>
    <w:rsid w:val="005B2F54"/>
    <w:rsid w:val="005B3024"/>
    <w:rsid w:val="005B31A4"/>
    <w:rsid w:val="005B3309"/>
    <w:rsid w:val="005B33F3"/>
    <w:rsid w:val="005B379F"/>
    <w:rsid w:val="005B3DAA"/>
    <w:rsid w:val="005B3FA7"/>
    <w:rsid w:val="005B411C"/>
    <w:rsid w:val="005B4385"/>
    <w:rsid w:val="005B4A68"/>
    <w:rsid w:val="005B4E01"/>
    <w:rsid w:val="005B4F43"/>
    <w:rsid w:val="005B4F8E"/>
    <w:rsid w:val="005B4F92"/>
    <w:rsid w:val="005B5655"/>
    <w:rsid w:val="005B568B"/>
    <w:rsid w:val="005B57E4"/>
    <w:rsid w:val="005B5893"/>
    <w:rsid w:val="005B5999"/>
    <w:rsid w:val="005B5ABD"/>
    <w:rsid w:val="005B5B1B"/>
    <w:rsid w:val="005B5BED"/>
    <w:rsid w:val="005B6078"/>
    <w:rsid w:val="005B64B4"/>
    <w:rsid w:val="005B656C"/>
    <w:rsid w:val="005B6AEA"/>
    <w:rsid w:val="005B6B5D"/>
    <w:rsid w:val="005B6B6B"/>
    <w:rsid w:val="005B7299"/>
    <w:rsid w:val="005B73AA"/>
    <w:rsid w:val="005B74B3"/>
    <w:rsid w:val="005B7653"/>
    <w:rsid w:val="005B7798"/>
    <w:rsid w:val="005B790B"/>
    <w:rsid w:val="005B79CB"/>
    <w:rsid w:val="005B7AF0"/>
    <w:rsid w:val="005C0076"/>
    <w:rsid w:val="005C06DB"/>
    <w:rsid w:val="005C08D3"/>
    <w:rsid w:val="005C0B80"/>
    <w:rsid w:val="005C140A"/>
    <w:rsid w:val="005C1A20"/>
    <w:rsid w:val="005C1D60"/>
    <w:rsid w:val="005C1E52"/>
    <w:rsid w:val="005C2135"/>
    <w:rsid w:val="005C2145"/>
    <w:rsid w:val="005C229D"/>
    <w:rsid w:val="005C234E"/>
    <w:rsid w:val="005C26CF"/>
    <w:rsid w:val="005C27CF"/>
    <w:rsid w:val="005C2F14"/>
    <w:rsid w:val="005C30CF"/>
    <w:rsid w:val="005C36DD"/>
    <w:rsid w:val="005C3A2B"/>
    <w:rsid w:val="005C3AF5"/>
    <w:rsid w:val="005C3AF8"/>
    <w:rsid w:val="005C3C3D"/>
    <w:rsid w:val="005C413D"/>
    <w:rsid w:val="005C421C"/>
    <w:rsid w:val="005C448B"/>
    <w:rsid w:val="005C496D"/>
    <w:rsid w:val="005C4CBC"/>
    <w:rsid w:val="005C4E88"/>
    <w:rsid w:val="005C4F63"/>
    <w:rsid w:val="005C54B1"/>
    <w:rsid w:val="005C5706"/>
    <w:rsid w:val="005C57DD"/>
    <w:rsid w:val="005C5E1E"/>
    <w:rsid w:val="005C5F11"/>
    <w:rsid w:val="005C6763"/>
    <w:rsid w:val="005C69D4"/>
    <w:rsid w:val="005C6B71"/>
    <w:rsid w:val="005C6BB5"/>
    <w:rsid w:val="005C6C47"/>
    <w:rsid w:val="005C6F0F"/>
    <w:rsid w:val="005C738F"/>
    <w:rsid w:val="005C745A"/>
    <w:rsid w:val="005C754A"/>
    <w:rsid w:val="005C7555"/>
    <w:rsid w:val="005C794E"/>
    <w:rsid w:val="005D0271"/>
    <w:rsid w:val="005D03BB"/>
    <w:rsid w:val="005D041F"/>
    <w:rsid w:val="005D0430"/>
    <w:rsid w:val="005D05B4"/>
    <w:rsid w:val="005D08CC"/>
    <w:rsid w:val="005D0A2A"/>
    <w:rsid w:val="005D0B4C"/>
    <w:rsid w:val="005D0CD4"/>
    <w:rsid w:val="005D0E98"/>
    <w:rsid w:val="005D0EA0"/>
    <w:rsid w:val="005D0ED9"/>
    <w:rsid w:val="005D0FC5"/>
    <w:rsid w:val="005D0FDD"/>
    <w:rsid w:val="005D1205"/>
    <w:rsid w:val="005D1784"/>
    <w:rsid w:val="005D1A2D"/>
    <w:rsid w:val="005D1A7C"/>
    <w:rsid w:val="005D1B6F"/>
    <w:rsid w:val="005D1E21"/>
    <w:rsid w:val="005D205F"/>
    <w:rsid w:val="005D2297"/>
    <w:rsid w:val="005D25BF"/>
    <w:rsid w:val="005D279B"/>
    <w:rsid w:val="005D2D4A"/>
    <w:rsid w:val="005D2D5A"/>
    <w:rsid w:val="005D2E38"/>
    <w:rsid w:val="005D2E99"/>
    <w:rsid w:val="005D2EF5"/>
    <w:rsid w:val="005D2F91"/>
    <w:rsid w:val="005D303E"/>
    <w:rsid w:val="005D3164"/>
    <w:rsid w:val="005D35A4"/>
    <w:rsid w:val="005D38EB"/>
    <w:rsid w:val="005D3A26"/>
    <w:rsid w:val="005D3CA1"/>
    <w:rsid w:val="005D3DAC"/>
    <w:rsid w:val="005D3F7C"/>
    <w:rsid w:val="005D4468"/>
    <w:rsid w:val="005D44AC"/>
    <w:rsid w:val="005D45A4"/>
    <w:rsid w:val="005D4B0D"/>
    <w:rsid w:val="005D4CE5"/>
    <w:rsid w:val="005D4D05"/>
    <w:rsid w:val="005D4EDE"/>
    <w:rsid w:val="005D4F0F"/>
    <w:rsid w:val="005D50AB"/>
    <w:rsid w:val="005D5134"/>
    <w:rsid w:val="005D53C8"/>
    <w:rsid w:val="005D55C3"/>
    <w:rsid w:val="005D5609"/>
    <w:rsid w:val="005D5927"/>
    <w:rsid w:val="005D5AF7"/>
    <w:rsid w:val="005D5C50"/>
    <w:rsid w:val="005D6024"/>
    <w:rsid w:val="005D641A"/>
    <w:rsid w:val="005D64CD"/>
    <w:rsid w:val="005D6534"/>
    <w:rsid w:val="005D65E8"/>
    <w:rsid w:val="005D6AE0"/>
    <w:rsid w:val="005D6E81"/>
    <w:rsid w:val="005D7536"/>
    <w:rsid w:val="005D7D3B"/>
    <w:rsid w:val="005E0344"/>
    <w:rsid w:val="005E03B7"/>
    <w:rsid w:val="005E0498"/>
    <w:rsid w:val="005E068A"/>
    <w:rsid w:val="005E095C"/>
    <w:rsid w:val="005E10AD"/>
    <w:rsid w:val="005E1109"/>
    <w:rsid w:val="005E1230"/>
    <w:rsid w:val="005E1653"/>
    <w:rsid w:val="005E16F1"/>
    <w:rsid w:val="005E1702"/>
    <w:rsid w:val="005E1784"/>
    <w:rsid w:val="005E1859"/>
    <w:rsid w:val="005E1999"/>
    <w:rsid w:val="005E1BDA"/>
    <w:rsid w:val="005E1C67"/>
    <w:rsid w:val="005E2440"/>
    <w:rsid w:val="005E2ADA"/>
    <w:rsid w:val="005E2C78"/>
    <w:rsid w:val="005E30D7"/>
    <w:rsid w:val="005E3360"/>
    <w:rsid w:val="005E3932"/>
    <w:rsid w:val="005E3A1C"/>
    <w:rsid w:val="005E4071"/>
    <w:rsid w:val="005E407C"/>
    <w:rsid w:val="005E440B"/>
    <w:rsid w:val="005E4740"/>
    <w:rsid w:val="005E4C24"/>
    <w:rsid w:val="005E4E1E"/>
    <w:rsid w:val="005E4E31"/>
    <w:rsid w:val="005E4E78"/>
    <w:rsid w:val="005E4F5E"/>
    <w:rsid w:val="005E4FA7"/>
    <w:rsid w:val="005E5027"/>
    <w:rsid w:val="005E510B"/>
    <w:rsid w:val="005E53BE"/>
    <w:rsid w:val="005E53F6"/>
    <w:rsid w:val="005E5400"/>
    <w:rsid w:val="005E55DB"/>
    <w:rsid w:val="005E58D5"/>
    <w:rsid w:val="005E6119"/>
    <w:rsid w:val="005E62CE"/>
    <w:rsid w:val="005E651F"/>
    <w:rsid w:val="005E685F"/>
    <w:rsid w:val="005E6983"/>
    <w:rsid w:val="005E6A37"/>
    <w:rsid w:val="005E6C0E"/>
    <w:rsid w:val="005E7408"/>
    <w:rsid w:val="005E7D81"/>
    <w:rsid w:val="005E7D9D"/>
    <w:rsid w:val="005F01B9"/>
    <w:rsid w:val="005F035A"/>
    <w:rsid w:val="005F05AA"/>
    <w:rsid w:val="005F0917"/>
    <w:rsid w:val="005F0ADA"/>
    <w:rsid w:val="005F0ADF"/>
    <w:rsid w:val="005F0BB7"/>
    <w:rsid w:val="005F0CCF"/>
    <w:rsid w:val="005F0D1C"/>
    <w:rsid w:val="005F0DDE"/>
    <w:rsid w:val="005F0EA0"/>
    <w:rsid w:val="005F100A"/>
    <w:rsid w:val="005F1363"/>
    <w:rsid w:val="005F137D"/>
    <w:rsid w:val="005F14E5"/>
    <w:rsid w:val="005F1734"/>
    <w:rsid w:val="005F1859"/>
    <w:rsid w:val="005F1BA3"/>
    <w:rsid w:val="005F1DD5"/>
    <w:rsid w:val="005F221B"/>
    <w:rsid w:val="005F2ABF"/>
    <w:rsid w:val="005F2C7F"/>
    <w:rsid w:val="005F2C85"/>
    <w:rsid w:val="005F2E9D"/>
    <w:rsid w:val="005F30BD"/>
    <w:rsid w:val="005F3618"/>
    <w:rsid w:val="005F3724"/>
    <w:rsid w:val="005F3A26"/>
    <w:rsid w:val="005F3DBA"/>
    <w:rsid w:val="005F3E86"/>
    <w:rsid w:val="005F42FB"/>
    <w:rsid w:val="005F4319"/>
    <w:rsid w:val="005F440D"/>
    <w:rsid w:val="005F4892"/>
    <w:rsid w:val="005F4A56"/>
    <w:rsid w:val="005F4B20"/>
    <w:rsid w:val="005F4EA3"/>
    <w:rsid w:val="005F52D3"/>
    <w:rsid w:val="005F54C2"/>
    <w:rsid w:val="005F570D"/>
    <w:rsid w:val="005F575B"/>
    <w:rsid w:val="005F57CF"/>
    <w:rsid w:val="005F5EE2"/>
    <w:rsid w:val="005F5F94"/>
    <w:rsid w:val="005F605D"/>
    <w:rsid w:val="005F60BF"/>
    <w:rsid w:val="005F62C8"/>
    <w:rsid w:val="005F6384"/>
    <w:rsid w:val="005F6648"/>
    <w:rsid w:val="005F68D2"/>
    <w:rsid w:val="005F6B62"/>
    <w:rsid w:val="005F6C7C"/>
    <w:rsid w:val="005F6C9C"/>
    <w:rsid w:val="005F6EFD"/>
    <w:rsid w:val="005F6F03"/>
    <w:rsid w:val="005F6F9A"/>
    <w:rsid w:val="005F7245"/>
    <w:rsid w:val="005F77DC"/>
    <w:rsid w:val="005F7A38"/>
    <w:rsid w:val="005F7EF7"/>
    <w:rsid w:val="005F7F8A"/>
    <w:rsid w:val="00600179"/>
    <w:rsid w:val="006002F1"/>
    <w:rsid w:val="00600359"/>
    <w:rsid w:val="00600368"/>
    <w:rsid w:val="00600410"/>
    <w:rsid w:val="00600827"/>
    <w:rsid w:val="0060087E"/>
    <w:rsid w:val="00600A9E"/>
    <w:rsid w:val="00600B1E"/>
    <w:rsid w:val="006010CC"/>
    <w:rsid w:val="006012E7"/>
    <w:rsid w:val="00601ABA"/>
    <w:rsid w:val="00601B0B"/>
    <w:rsid w:val="00601CB0"/>
    <w:rsid w:val="00601D6E"/>
    <w:rsid w:val="00601E56"/>
    <w:rsid w:val="0060202F"/>
    <w:rsid w:val="006025D9"/>
    <w:rsid w:val="00602670"/>
    <w:rsid w:val="0060270F"/>
    <w:rsid w:val="006027BE"/>
    <w:rsid w:val="00602840"/>
    <w:rsid w:val="0060285B"/>
    <w:rsid w:val="00602B88"/>
    <w:rsid w:val="00602BC0"/>
    <w:rsid w:val="00602D19"/>
    <w:rsid w:val="00602E4A"/>
    <w:rsid w:val="0060304A"/>
    <w:rsid w:val="00603087"/>
    <w:rsid w:val="006031C5"/>
    <w:rsid w:val="0060331E"/>
    <w:rsid w:val="00603640"/>
    <w:rsid w:val="0060380C"/>
    <w:rsid w:val="00603A39"/>
    <w:rsid w:val="00603D81"/>
    <w:rsid w:val="00603D95"/>
    <w:rsid w:val="00603E5B"/>
    <w:rsid w:val="00603F9D"/>
    <w:rsid w:val="00603FDD"/>
    <w:rsid w:val="00604240"/>
    <w:rsid w:val="00604555"/>
    <w:rsid w:val="00604574"/>
    <w:rsid w:val="0060471E"/>
    <w:rsid w:val="006048BF"/>
    <w:rsid w:val="006049E9"/>
    <w:rsid w:val="00604B6E"/>
    <w:rsid w:val="00604BD1"/>
    <w:rsid w:val="00605397"/>
    <w:rsid w:val="006053B9"/>
    <w:rsid w:val="0060544A"/>
    <w:rsid w:val="00605604"/>
    <w:rsid w:val="0060589C"/>
    <w:rsid w:val="00605ADB"/>
    <w:rsid w:val="006062DB"/>
    <w:rsid w:val="00606454"/>
    <w:rsid w:val="0060667A"/>
    <w:rsid w:val="006067D2"/>
    <w:rsid w:val="006067F5"/>
    <w:rsid w:val="0060680E"/>
    <w:rsid w:val="00606829"/>
    <w:rsid w:val="00606837"/>
    <w:rsid w:val="00606853"/>
    <w:rsid w:val="00606B4A"/>
    <w:rsid w:val="00606D34"/>
    <w:rsid w:val="00606E03"/>
    <w:rsid w:val="00606EE1"/>
    <w:rsid w:val="00606FCC"/>
    <w:rsid w:val="00607216"/>
    <w:rsid w:val="006072DB"/>
    <w:rsid w:val="006072ED"/>
    <w:rsid w:val="00607523"/>
    <w:rsid w:val="006075B3"/>
    <w:rsid w:val="0060764C"/>
    <w:rsid w:val="0060787D"/>
    <w:rsid w:val="00607968"/>
    <w:rsid w:val="0060796A"/>
    <w:rsid w:val="00607D86"/>
    <w:rsid w:val="00607F08"/>
    <w:rsid w:val="006100C4"/>
    <w:rsid w:val="0061054E"/>
    <w:rsid w:val="006106B1"/>
    <w:rsid w:val="00610772"/>
    <w:rsid w:val="00610AFF"/>
    <w:rsid w:val="00610E54"/>
    <w:rsid w:val="006110D8"/>
    <w:rsid w:val="00611265"/>
    <w:rsid w:val="00611349"/>
    <w:rsid w:val="006115B6"/>
    <w:rsid w:val="00611629"/>
    <w:rsid w:val="0061165E"/>
    <w:rsid w:val="006116C0"/>
    <w:rsid w:val="0061191F"/>
    <w:rsid w:val="00611BC5"/>
    <w:rsid w:val="00611C9F"/>
    <w:rsid w:val="00611D77"/>
    <w:rsid w:val="00611D8C"/>
    <w:rsid w:val="00612357"/>
    <w:rsid w:val="006124A0"/>
    <w:rsid w:val="00612523"/>
    <w:rsid w:val="00612700"/>
    <w:rsid w:val="00612A6E"/>
    <w:rsid w:val="006131AA"/>
    <w:rsid w:val="00613254"/>
    <w:rsid w:val="006132BA"/>
    <w:rsid w:val="006134D9"/>
    <w:rsid w:val="00613764"/>
    <w:rsid w:val="00613BFC"/>
    <w:rsid w:val="00613C96"/>
    <w:rsid w:val="00613D32"/>
    <w:rsid w:val="00613D9C"/>
    <w:rsid w:val="00613EC5"/>
    <w:rsid w:val="00614497"/>
    <w:rsid w:val="0061463D"/>
    <w:rsid w:val="00614698"/>
    <w:rsid w:val="00614699"/>
    <w:rsid w:val="00614DB8"/>
    <w:rsid w:val="00615192"/>
    <w:rsid w:val="00615249"/>
    <w:rsid w:val="0061540A"/>
    <w:rsid w:val="0061554C"/>
    <w:rsid w:val="00615581"/>
    <w:rsid w:val="006156A2"/>
    <w:rsid w:val="00615969"/>
    <w:rsid w:val="00615AE5"/>
    <w:rsid w:val="00615C7A"/>
    <w:rsid w:val="00615CB6"/>
    <w:rsid w:val="00615D71"/>
    <w:rsid w:val="00615D9E"/>
    <w:rsid w:val="00615DD6"/>
    <w:rsid w:val="00615E7B"/>
    <w:rsid w:val="0061601E"/>
    <w:rsid w:val="00616340"/>
    <w:rsid w:val="006163B6"/>
    <w:rsid w:val="006164FB"/>
    <w:rsid w:val="00616523"/>
    <w:rsid w:val="00616540"/>
    <w:rsid w:val="00616614"/>
    <w:rsid w:val="0061680D"/>
    <w:rsid w:val="006168A2"/>
    <w:rsid w:val="0061695D"/>
    <w:rsid w:val="00616ABF"/>
    <w:rsid w:val="00616AF7"/>
    <w:rsid w:val="00616C6A"/>
    <w:rsid w:val="00616D53"/>
    <w:rsid w:val="00617071"/>
    <w:rsid w:val="006171EA"/>
    <w:rsid w:val="00617272"/>
    <w:rsid w:val="0061727D"/>
    <w:rsid w:val="0061784A"/>
    <w:rsid w:val="00617AA1"/>
    <w:rsid w:val="00617AC8"/>
    <w:rsid w:val="00617C1A"/>
    <w:rsid w:val="00617D72"/>
    <w:rsid w:val="00617FEF"/>
    <w:rsid w:val="00620094"/>
    <w:rsid w:val="006201B5"/>
    <w:rsid w:val="006202D5"/>
    <w:rsid w:val="00620508"/>
    <w:rsid w:val="0062051B"/>
    <w:rsid w:val="006205C4"/>
    <w:rsid w:val="00620616"/>
    <w:rsid w:val="0062074B"/>
    <w:rsid w:val="00620D41"/>
    <w:rsid w:val="00620DD6"/>
    <w:rsid w:val="00621574"/>
    <w:rsid w:val="006215E3"/>
    <w:rsid w:val="00621708"/>
    <w:rsid w:val="00621784"/>
    <w:rsid w:val="00621876"/>
    <w:rsid w:val="00621898"/>
    <w:rsid w:val="00621A7F"/>
    <w:rsid w:val="00621ADE"/>
    <w:rsid w:val="00621D9A"/>
    <w:rsid w:val="00621E38"/>
    <w:rsid w:val="00621E8B"/>
    <w:rsid w:val="00621EE2"/>
    <w:rsid w:val="00621FBE"/>
    <w:rsid w:val="00622107"/>
    <w:rsid w:val="0062218A"/>
    <w:rsid w:val="0062252B"/>
    <w:rsid w:val="00622C52"/>
    <w:rsid w:val="00622CB4"/>
    <w:rsid w:val="006230C3"/>
    <w:rsid w:val="00623457"/>
    <w:rsid w:val="00623594"/>
    <w:rsid w:val="006236CD"/>
    <w:rsid w:val="00623C40"/>
    <w:rsid w:val="00623C62"/>
    <w:rsid w:val="00623D37"/>
    <w:rsid w:val="006243FB"/>
    <w:rsid w:val="006248DE"/>
    <w:rsid w:val="00624DD7"/>
    <w:rsid w:val="0062501D"/>
    <w:rsid w:val="006250F6"/>
    <w:rsid w:val="0062539A"/>
    <w:rsid w:val="00625515"/>
    <w:rsid w:val="00625535"/>
    <w:rsid w:val="006256DD"/>
    <w:rsid w:val="006257EF"/>
    <w:rsid w:val="0062581D"/>
    <w:rsid w:val="00625910"/>
    <w:rsid w:val="00625A83"/>
    <w:rsid w:val="00625C72"/>
    <w:rsid w:val="006264C9"/>
    <w:rsid w:val="006267F1"/>
    <w:rsid w:val="00626B67"/>
    <w:rsid w:val="00626ED4"/>
    <w:rsid w:val="00627297"/>
    <w:rsid w:val="00627555"/>
    <w:rsid w:val="006275CA"/>
    <w:rsid w:val="006276D8"/>
    <w:rsid w:val="0062780B"/>
    <w:rsid w:val="00627830"/>
    <w:rsid w:val="00627964"/>
    <w:rsid w:val="00627A4F"/>
    <w:rsid w:val="00627BC5"/>
    <w:rsid w:val="00627C4A"/>
    <w:rsid w:val="00627E10"/>
    <w:rsid w:val="0063011B"/>
    <w:rsid w:val="0063030F"/>
    <w:rsid w:val="006303DD"/>
    <w:rsid w:val="00630816"/>
    <w:rsid w:val="00630999"/>
    <w:rsid w:val="006317B3"/>
    <w:rsid w:val="0063181C"/>
    <w:rsid w:val="00631995"/>
    <w:rsid w:val="00631D1E"/>
    <w:rsid w:val="00631DC4"/>
    <w:rsid w:val="00631EE7"/>
    <w:rsid w:val="00631F61"/>
    <w:rsid w:val="006322A0"/>
    <w:rsid w:val="00632325"/>
    <w:rsid w:val="0063260F"/>
    <w:rsid w:val="0063273E"/>
    <w:rsid w:val="0063297B"/>
    <w:rsid w:val="006329FF"/>
    <w:rsid w:val="00632A3A"/>
    <w:rsid w:val="00632CE8"/>
    <w:rsid w:val="00633243"/>
    <w:rsid w:val="00633664"/>
    <w:rsid w:val="00633D6D"/>
    <w:rsid w:val="00633FFC"/>
    <w:rsid w:val="0063409C"/>
    <w:rsid w:val="0063418E"/>
    <w:rsid w:val="0063453F"/>
    <w:rsid w:val="0063456D"/>
    <w:rsid w:val="00634906"/>
    <w:rsid w:val="00634E0C"/>
    <w:rsid w:val="00634E6D"/>
    <w:rsid w:val="006353DE"/>
    <w:rsid w:val="00635754"/>
    <w:rsid w:val="00635841"/>
    <w:rsid w:val="006358C9"/>
    <w:rsid w:val="00635DAC"/>
    <w:rsid w:val="00635E02"/>
    <w:rsid w:val="00635F5A"/>
    <w:rsid w:val="006361FD"/>
    <w:rsid w:val="006365BA"/>
    <w:rsid w:val="00636853"/>
    <w:rsid w:val="00636863"/>
    <w:rsid w:val="006368B7"/>
    <w:rsid w:val="00636A34"/>
    <w:rsid w:val="00636BCB"/>
    <w:rsid w:val="00636BCE"/>
    <w:rsid w:val="00636E09"/>
    <w:rsid w:val="00636F10"/>
    <w:rsid w:val="00636F4C"/>
    <w:rsid w:val="00637235"/>
    <w:rsid w:val="00637473"/>
    <w:rsid w:val="006378E7"/>
    <w:rsid w:val="00637A5F"/>
    <w:rsid w:val="00637DD0"/>
    <w:rsid w:val="006404F4"/>
    <w:rsid w:val="0064092E"/>
    <w:rsid w:val="00640948"/>
    <w:rsid w:val="006409D8"/>
    <w:rsid w:val="00640B10"/>
    <w:rsid w:val="00640F45"/>
    <w:rsid w:val="006410CA"/>
    <w:rsid w:val="00641124"/>
    <w:rsid w:val="006412C7"/>
    <w:rsid w:val="00641966"/>
    <w:rsid w:val="00641CF6"/>
    <w:rsid w:val="00641D0D"/>
    <w:rsid w:val="00641EA7"/>
    <w:rsid w:val="0064226F"/>
    <w:rsid w:val="006422B7"/>
    <w:rsid w:val="0064256A"/>
    <w:rsid w:val="0064272D"/>
    <w:rsid w:val="006428CB"/>
    <w:rsid w:val="006429A1"/>
    <w:rsid w:val="00642D03"/>
    <w:rsid w:val="00642DC2"/>
    <w:rsid w:val="00642DDB"/>
    <w:rsid w:val="00642FED"/>
    <w:rsid w:val="00643238"/>
    <w:rsid w:val="00643319"/>
    <w:rsid w:val="0064334B"/>
    <w:rsid w:val="00643663"/>
    <w:rsid w:val="0064381F"/>
    <w:rsid w:val="006438A1"/>
    <w:rsid w:val="0064392E"/>
    <w:rsid w:val="00643E46"/>
    <w:rsid w:val="0064431A"/>
    <w:rsid w:val="00644753"/>
    <w:rsid w:val="00644F20"/>
    <w:rsid w:val="00645439"/>
    <w:rsid w:val="006455F7"/>
    <w:rsid w:val="006456BA"/>
    <w:rsid w:val="00645880"/>
    <w:rsid w:val="00645C0E"/>
    <w:rsid w:val="00645D51"/>
    <w:rsid w:val="00645E17"/>
    <w:rsid w:val="00645FCA"/>
    <w:rsid w:val="00645FD7"/>
    <w:rsid w:val="00646511"/>
    <w:rsid w:val="00646538"/>
    <w:rsid w:val="0064677F"/>
    <w:rsid w:val="00647637"/>
    <w:rsid w:val="0064781E"/>
    <w:rsid w:val="00647A5A"/>
    <w:rsid w:val="00647A87"/>
    <w:rsid w:val="00647C28"/>
    <w:rsid w:val="00647C60"/>
    <w:rsid w:val="00647C87"/>
    <w:rsid w:val="00647F02"/>
    <w:rsid w:val="00647F2A"/>
    <w:rsid w:val="0065009D"/>
    <w:rsid w:val="006509B5"/>
    <w:rsid w:val="006509C4"/>
    <w:rsid w:val="00650C14"/>
    <w:rsid w:val="00650CF9"/>
    <w:rsid w:val="00650E7E"/>
    <w:rsid w:val="00650ED4"/>
    <w:rsid w:val="00650F25"/>
    <w:rsid w:val="0065100E"/>
    <w:rsid w:val="0065103D"/>
    <w:rsid w:val="00651499"/>
    <w:rsid w:val="00651969"/>
    <w:rsid w:val="00651D8E"/>
    <w:rsid w:val="00651E82"/>
    <w:rsid w:val="00651EB0"/>
    <w:rsid w:val="006521E0"/>
    <w:rsid w:val="0065262B"/>
    <w:rsid w:val="00652644"/>
    <w:rsid w:val="006527C1"/>
    <w:rsid w:val="006529C2"/>
    <w:rsid w:val="00652B53"/>
    <w:rsid w:val="00652B5E"/>
    <w:rsid w:val="00652C46"/>
    <w:rsid w:val="00653298"/>
    <w:rsid w:val="006532D3"/>
    <w:rsid w:val="00653531"/>
    <w:rsid w:val="00653C06"/>
    <w:rsid w:val="00653D05"/>
    <w:rsid w:val="0065472D"/>
    <w:rsid w:val="00654ECE"/>
    <w:rsid w:val="00655654"/>
    <w:rsid w:val="00655973"/>
    <w:rsid w:val="00655A88"/>
    <w:rsid w:val="006564FD"/>
    <w:rsid w:val="00656B8C"/>
    <w:rsid w:val="00656EDA"/>
    <w:rsid w:val="00657054"/>
    <w:rsid w:val="0065713E"/>
    <w:rsid w:val="00657237"/>
    <w:rsid w:val="006573AB"/>
    <w:rsid w:val="006576E6"/>
    <w:rsid w:val="0065776E"/>
    <w:rsid w:val="00657A30"/>
    <w:rsid w:val="0066097D"/>
    <w:rsid w:val="006609A1"/>
    <w:rsid w:val="00660B18"/>
    <w:rsid w:val="00660F9A"/>
    <w:rsid w:val="00661306"/>
    <w:rsid w:val="006613CC"/>
    <w:rsid w:val="0066151B"/>
    <w:rsid w:val="006615D9"/>
    <w:rsid w:val="006616B7"/>
    <w:rsid w:val="0066187B"/>
    <w:rsid w:val="00661ADC"/>
    <w:rsid w:val="00662527"/>
    <w:rsid w:val="00662534"/>
    <w:rsid w:val="006625F9"/>
    <w:rsid w:val="006626AA"/>
    <w:rsid w:val="00662CC2"/>
    <w:rsid w:val="00662F5A"/>
    <w:rsid w:val="006631F6"/>
    <w:rsid w:val="0066323D"/>
    <w:rsid w:val="006633A7"/>
    <w:rsid w:val="00663556"/>
    <w:rsid w:val="0066382D"/>
    <w:rsid w:val="00663A7C"/>
    <w:rsid w:val="00663BB8"/>
    <w:rsid w:val="00663C66"/>
    <w:rsid w:val="00663D4D"/>
    <w:rsid w:val="006640DF"/>
    <w:rsid w:val="006646A8"/>
    <w:rsid w:val="00664B24"/>
    <w:rsid w:val="00664DE2"/>
    <w:rsid w:val="00665056"/>
    <w:rsid w:val="00665125"/>
    <w:rsid w:val="0066512D"/>
    <w:rsid w:val="0066589E"/>
    <w:rsid w:val="006658FE"/>
    <w:rsid w:val="00665927"/>
    <w:rsid w:val="00665992"/>
    <w:rsid w:val="00665BC3"/>
    <w:rsid w:val="00665BDA"/>
    <w:rsid w:val="00665D71"/>
    <w:rsid w:val="00665E78"/>
    <w:rsid w:val="00666187"/>
    <w:rsid w:val="006661EA"/>
    <w:rsid w:val="0066623B"/>
    <w:rsid w:val="006662C2"/>
    <w:rsid w:val="006663D5"/>
    <w:rsid w:val="0066652E"/>
    <w:rsid w:val="006665B6"/>
    <w:rsid w:val="006665C7"/>
    <w:rsid w:val="00666C05"/>
    <w:rsid w:val="00666D74"/>
    <w:rsid w:val="00666ECB"/>
    <w:rsid w:val="0066700E"/>
    <w:rsid w:val="006674F0"/>
    <w:rsid w:val="0066752A"/>
    <w:rsid w:val="0066758E"/>
    <w:rsid w:val="00667643"/>
    <w:rsid w:val="006677BA"/>
    <w:rsid w:val="006677BB"/>
    <w:rsid w:val="00667895"/>
    <w:rsid w:val="00667B4F"/>
    <w:rsid w:val="00667BD7"/>
    <w:rsid w:val="00667D3C"/>
    <w:rsid w:val="00667DAC"/>
    <w:rsid w:val="00667DF2"/>
    <w:rsid w:val="00667EE5"/>
    <w:rsid w:val="00670111"/>
    <w:rsid w:val="00670150"/>
    <w:rsid w:val="0067084E"/>
    <w:rsid w:val="0067090A"/>
    <w:rsid w:val="00670A54"/>
    <w:rsid w:val="00670DF1"/>
    <w:rsid w:val="00670E20"/>
    <w:rsid w:val="0067118D"/>
    <w:rsid w:val="00671345"/>
    <w:rsid w:val="00671ABC"/>
    <w:rsid w:val="00671B7E"/>
    <w:rsid w:val="00671C20"/>
    <w:rsid w:val="006722BC"/>
    <w:rsid w:val="00672476"/>
    <w:rsid w:val="00672823"/>
    <w:rsid w:val="00672899"/>
    <w:rsid w:val="00672A9B"/>
    <w:rsid w:val="00672B0E"/>
    <w:rsid w:val="00672B6A"/>
    <w:rsid w:val="00672B7C"/>
    <w:rsid w:val="00672C1C"/>
    <w:rsid w:val="00672F0E"/>
    <w:rsid w:val="00673BDF"/>
    <w:rsid w:val="00673DDE"/>
    <w:rsid w:val="00674033"/>
    <w:rsid w:val="00674602"/>
    <w:rsid w:val="00674637"/>
    <w:rsid w:val="00674779"/>
    <w:rsid w:val="00674DEF"/>
    <w:rsid w:val="00674E6E"/>
    <w:rsid w:val="00674F60"/>
    <w:rsid w:val="00675158"/>
    <w:rsid w:val="00675190"/>
    <w:rsid w:val="00675315"/>
    <w:rsid w:val="00675366"/>
    <w:rsid w:val="0067565B"/>
    <w:rsid w:val="006756F7"/>
    <w:rsid w:val="00675729"/>
    <w:rsid w:val="006757EB"/>
    <w:rsid w:val="00675884"/>
    <w:rsid w:val="006759DD"/>
    <w:rsid w:val="00675C6A"/>
    <w:rsid w:val="00675CE2"/>
    <w:rsid w:val="00675EE0"/>
    <w:rsid w:val="0067627B"/>
    <w:rsid w:val="0067632B"/>
    <w:rsid w:val="006763FF"/>
    <w:rsid w:val="0067642F"/>
    <w:rsid w:val="0067648A"/>
    <w:rsid w:val="006765DC"/>
    <w:rsid w:val="006767A3"/>
    <w:rsid w:val="006768FF"/>
    <w:rsid w:val="0067696A"/>
    <w:rsid w:val="00676AF0"/>
    <w:rsid w:val="006770B7"/>
    <w:rsid w:val="00677104"/>
    <w:rsid w:val="00677255"/>
    <w:rsid w:val="00677439"/>
    <w:rsid w:val="00677C9F"/>
    <w:rsid w:val="00677F1E"/>
    <w:rsid w:val="00677FE3"/>
    <w:rsid w:val="006801DF"/>
    <w:rsid w:val="006802C8"/>
    <w:rsid w:val="0068035D"/>
    <w:rsid w:val="00680A3B"/>
    <w:rsid w:val="00680AF2"/>
    <w:rsid w:val="00680FDC"/>
    <w:rsid w:val="0068102B"/>
    <w:rsid w:val="0068130B"/>
    <w:rsid w:val="0068169C"/>
    <w:rsid w:val="00681838"/>
    <w:rsid w:val="00681841"/>
    <w:rsid w:val="00681B96"/>
    <w:rsid w:val="00681BAD"/>
    <w:rsid w:val="00681F9F"/>
    <w:rsid w:val="00682021"/>
    <w:rsid w:val="00682063"/>
    <w:rsid w:val="0068227F"/>
    <w:rsid w:val="00682A44"/>
    <w:rsid w:val="00682DA6"/>
    <w:rsid w:val="006830E5"/>
    <w:rsid w:val="006833EF"/>
    <w:rsid w:val="006835D5"/>
    <w:rsid w:val="006836C4"/>
    <w:rsid w:val="00683706"/>
    <w:rsid w:val="00683968"/>
    <w:rsid w:val="00683AB9"/>
    <w:rsid w:val="00683C4A"/>
    <w:rsid w:val="006840C3"/>
    <w:rsid w:val="00684243"/>
    <w:rsid w:val="00684511"/>
    <w:rsid w:val="006847B2"/>
    <w:rsid w:val="0068489B"/>
    <w:rsid w:val="00684B03"/>
    <w:rsid w:val="00684B04"/>
    <w:rsid w:val="00684B30"/>
    <w:rsid w:val="00684BAB"/>
    <w:rsid w:val="00684C94"/>
    <w:rsid w:val="00684FB8"/>
    <w:rsid w:val="00685357"/>
    <w:rsid w:val="0068550D"/>
    <w:rsid w:val="006856C0"/>
    <w:rsid w:val="006858CE"/>
    <w:rsid w:val="006859CF"/>
    <w:rsid w:val="00685C7B"/>
    <w:rsid w:val="00685E88"/>
    <w:rsid w:val="00685F72"/>
    <w:rsid w:val="00685F79"/>
    <w:rsid w:val="00686083"/>
    <w:rsid w:val="00686343"/>
    <w:rsid w:val="00686652"/>
    <w:rsid w:val="00686A05"/>
    <w:rsid w:val="00686CE0"/>
    <w:rsid w:val="00686CE6"/>
    <w:rsid w:val="00686FA8"/>
    <w:rsid w:val="006871C1"/>
    <w:rsid w:val="006872E8"/>
    <w:rsid w:val="00687391"/>
    <w:rsid w:val="006874AA"/>
    <w:rsid w:val="00687DA0"/>
    <w:rsid w:val="00687DEF"/>
    <w:rsid w:val="0069001E"/>
    <w:rsid w:val="00690072"/>
    <w:rsid w:val="0069016A"/>
    <w:rsid w:val="00690296"/>
    <w:rsid w:val="00690700"/>
    <w:rsid w:val="0069087A"/>
    <w:rsid w:val="006909AF"/>
    <w:rsid w:val="00690A84"/>
    <w:rsid w:val="00690AE0"/>
    <w:rsid w:val="00690AE8"/>
    <w:rsid w:val="00690C89"/>
    <w:rsid w:val="006911CF"/>
    <w:rsid w:val="00691263"/>
    <w:rsid w:val="006912C4"/>
    <w:rsid w:val="006913A3"/>
    <w:rsid w:val="006916DE"/>
    <w:rsid w:val="0069195F"/>
    <w:rsid w:val="0069216E"/>
    <w:rsid w:val="006928B7"/>
    <w:rsid w:val="006929D8"/>
    <w:rsid w:val="00692BB6"/>
    <w:rsid w:val="00692C3F"/>
    <w:rsid w:val="00693626"/>
    <w:rsid w:val="0069364D"/>
    <w:rsid w:val="00693748"/>
    <w:rsid w:val="00693935"/>
    <w:rsid w:val="00693BF2"/>
    <w:rsid w:val="00693E5C"/>
    <w:rsid w:val="00693EA0"/>
    <w:rsid w:val="00694266"/>
    <w:rsid w:val="006943F0"/>
    <w:rsid w:val="006944F1"/>
    <w:rsid w:val="006945EA"/>
    <w:rsid w:val="00694757"/>
    <w:rsid w:val="006949B3"/>
    <w:rsid w:val="00694B81"/>
    <w:rsid w:val="00694B8A"/>
    <w:rsid w:val="00694EE3"/>
    <w:rsid w:val="00695051"/>
    <w:rsid w:val="00695162"/>
    <w:rsid w:val="00695581"/>
    <w:rsid w:val="0069590F"/>
    <w:rsid w:val="00695B95"/>
    <w:rsid w:val="00695FD4"/>
    <w:rsid w:val="00695FE6"/>
    <w:rsid w:val="00696412"/>
    <w:rsid w:val="006965CC"/>
    <w:rsid w:val="00696620"/>
    <w:rsid w:val="006968BE"/>
    <w:rsid w:val="00696A35"/>
    <w:rsid w:val="00696BF2"/>
    <w:rsid w:val="00696EE0"/>
    <w:rsid w:val="00696F41"/>
    <w:rsid w:val="00697027"/>
    <w:rsid w:val="00697053"/>
    <w:rsid w:val="006974D4"/>
    <w:rsid w:val="0069790E"/>
    <w:rsid w:val="00697934"/>
    <w:rsid w:val="00697980"/>
    <w:rsid w:val="00697C83"/>
    <w:rsid w:val="00697DCB"/>
    <w:rsid w:val="00697F5D"/>
    <w:rsid w:val="006A0233"/>
    <w:rsid w:val="006A0305"/>
    <w:rsid w:val="006A043C"/>
    <w:rsid w:val="006A04EF"/>
    <w:rsid w:val="006A04FB"/>
    <w:rsid w:val="006A050D"/>
    <w:rsid w:val="006A0564"/>
    <w:rsid w:val="006A08AB"/>
    <w:rsid w:val="006A0A6F"/>
    <w:rsid w:val="006A0CFC"/>
    <w:rsid w:val="006A0D55"/>
    <w:rsid w:val="006A0E28"/>
    <w:rsid w:val="006A102A"/>
    <w:rsid w:val="006A130B"/>
    <w:rsid w:val="006A1342"/>
    <w:rsid w:val="006A1523"/>
    <w:rsid w:val="006A19EF"/>
    <w:rsid w:val="006A1A16"/>
    <w:rsid w:val="006A1C36"/>
    <w:rsid w:val="006A20C3"/>
    <w:rsid w:val="006A249B"/>
    <w:rsid w:val="006A263B"/>
    <w:rsid w:val="006A27B4"/>
    <w:rsid w:val="006A2B6C"/>
    <w:rsid w:val="006A30DF"/>
    <w:rsid w:val="006A311B"/>
    <w:rsid w:val="006A32F0"/>
    <w:rsid w:val="006A33CD"/>
    <w:rsid w:val="006A3433"/>
    <w:rsid w:val="006A3677"/>
    <w:rsid w:val="006A3AED"/>
    <w:rsid w:val="006A4059"/>
    <w:rsid w:val="006A43D5"/>
    <w:rsid w:val="006A476F"/>
    <w:rsid w:val="006A4814"/>
    <w:rsid w:val="006A4BF3"/>
    <w:rsid w:val="006A4F92"/>
    <w:rsid w:val="006A50DD"/>
    <w:rsid w:val="006A525B"/>
    <w:rsid w:val="006A549B"/>
    <w:rsid w:val="006A56A6"/>
    <w:rsid w:val="006A5B17"/>
    <w:rsid w:val="006A62BF"/>
    <w:rsid w:val="006A67D2"/>
    <w:rsid w:val="006A6B2B"/>
    <w:rsid w:val="006A6DD7"/>
    <w:rsid w:val="006A711B"/>
    <w:rsid w:val="006A712A"/>
    <w:rsid w:val="006A72AD"/>
    <w:rsid w:val="006A72EA"/>
    <w:rsid w:val="006A7484"/>
    <w:rsid w:val="006A74D3"/>
    <w:rsid w:val="006A7589"/>
    <w:rsid w:val="006A766D"/>
    <w:rsid w:val="006A7BB3"/>
    <w:rsid w:val="006B0023"/>
    <w:rsid w:val="006B06E5"/>
    <w:rsid w:val="006B0DDA"/>
    <w:rsid w:val="006B0FAA"/>
    <w:rsid w:val="006B1006"/>
    <w:rsid w:val="006B137D"/>
    <w:rsid w:val="006B1430"/>
    <w:rsid w:val="006B14FF"/>
    <w:rsid w:val="006B150B"/>
    <w:rsid w:val="006B17C7"/>
    <w:rsid w:val="006B18A1"/>
    <w:rsid w:val="006B1AD2"/>
    <w:rsid w:val="006B1AF9"/>
    <w:rsid w:val="006B1C05"/>
    <w:rsid w:val="006B1C76"/>
    <w:rsid w:val="006B2178"/>
    <w:rsid w:val="006B2469"/>
    <w:rsid w:val="006B24C0"/>
    <w:rsid w:val="006B24F6"/>
    <w:rsid w:val="006B26A8"/>
    <w:rsid w:val="006B2875"/>
    <w:rsid w:val="006B2996"/>
    <w:rsid w:val="006B2A09"/>
    <w:rsid w:val="006B2DDB"/>
    <w:rsid w:val="006B2F44"/>
    <w:rsid w:val="006B3C01"/>
    <w:rsid w:val="006B3DC8"/>
    <w:rsid w:val="006B3E43"/>
    <w:rsid w:val="006B3E51"/>
    <w:rsid w:val="006B4458"/>
    <w:rsid w:val="006B49D1"/>
    <w:rsid w:val="006B4A7F"/>
    <w:rsid w:val="006B4D07"/>
    <w:rsid w:val="006B4D16"/>
    <w:rsid w:val="006B4DE6"/>
    <w:rsid w:val="006B52FC"/>
    <w:rsid w:val="006B572B"/>
    <w:rsid w:val="006B59C1"/>
    <w:rsid w:val="006B59F7"/>
    <w:rsid w:val="006B5B8C"/>
    <w:rsid w:val="006B5CE5"/>
    <w:rsid w:val="006B5E7A"/>
    <w:rsid w:val="006B5E92"/>
    <w:rsid w:val="006B5EA6"/>
    <w:rsid w:val="006B60D7"/>
    <w:rsid w:val="006B6116"/>
    <w:rsid w:val="006B6510"/>
    <w:rsid w:val="006B6697"/>
    <w:rsid w:val="006B6872"/>
    <w:rsid w:val="006B6A75"/>
    <w:rsid w:val="006B6A94"/>
    <w:rsid w:val="006B6ABF"/>
    <w:rsid w:val="006B6CD5"/>
    <w:rsid w:val="006B6D55"/>
    <w:rsid w:val="006B6EB7"/>
    <w:rsid w:val="006B6F2F"/>
    <w:rsid w:val="006B70F3"/>
    <w:rsid w:val="006B71C1"/>
    <w:rsid w:val="006B71F9"/>
    <w:rsid w:val="006B71FC"/>
    <w:rsid w:val="006B73B4"/>
    <w:rsid w:val="006B79DD"/>
    <w:rsid w:val="006B79E0"/>
    <w:rsid w:val="006B7AA4"/>
    <w:rsid w:val="006B7B8A"/>
    <w:rsid w:val="006B7DFC"/>
    <w:rsid w:val="006B7FC6"/>
    <w:rsid w:val="006C01CB"/>
    <w:rsid w:val="006C03CC"/>
    <w:rsid w:val="006C045F"/>
    <w:rsid w:val="006C08AD"/>
    <w:rsid w:val="006C0B04"/>
    <w:rsid w:val="006C0FDF"/>
    <w:rsid w:val="006C1371"/>
    <w:rsid w:val="006C1623"/>
    <w:rsid w:val="006C1697"/>
    <w:rsid w:val="006C17AD"/>
    <w:rsid w:val="006C1895"/>
    <w:rsid w:val="006C18FF"/>
    <w:rsid w:val="006C19CE"/>
    <w:rsid w:val="006C200D"/>
    <w:rsid w:val="006C207C"/>
    <w:rsid w:val="006C2290"/>
    <w:rsid w:val="006C24F2"/>
    <w:rsid w:val="006C2585"/>
    <w:rsid w:val="006C2B5C"/>
    <w:rsid w:val="006C2CBC"/>
    <w:rsid w:val="006C2F79"/>
    <w:rsid w:val="006C3622"/>
    <w:rsid w:val="006C364F"/>
    <w:rsid w:val="006C36B6"/>
    <w:rsid w:val="006C4005"/>
    <w:rsid w:val="006C40F6"/>
    <w:rsid w:val="006C4196"/>
    <w:rsid w:val="006C42DF"/>
    <w:rsid w:val="006C47B7"/>
    <w:rsid w:val="006C47F8"/>
    <w:rsid w:val="006C49B7"/>
    <w:rsid w:val="006C49BD"/>
    <w:rsid w:val="006C4C59"/>
    <w:rsid w:val="006C4D44"/>
    <w:rsid w:val="006C50DE"/>
    <w:rsid w:val="006C550E"/>
    <w:rsid w:val="006C5C07"/>
    <w:rsid w:val="006C5E26"/>
    <w:rsid w:val="006C61D1"/>
    <w:rsid w:val="006C634B"/>
    <w:rsid w:val="006C6369"/>
    <w:rsid w:val="006C63B0"/>
    <w:rsid w:val="006C65F1"/>
    <w:rsid w:val="006C6740"/>
    <w:rsid w:val="006C6ECD"/>
    <w:rsid w:val="006C6F4E"/>
    <w:rsid w:val="006C7017"/>
    <w:rsid w:val="006C70A1"/>
    <w:rsid w:val="006C71E3"/>
    <w:rsid w:val="006C7599"/>
    <w:rsid w:val="006C76A2"/>
    <w:rsid w:val="006C792E"/>
    <w:rsid w:val="006C7E51"/>
    <w:rsid w:val="006D0067"/>
    <w:rsid w:val="006D00C7"/>
    <w:rsid w:val="006D020A"/>
    <w:rsid w:val="006D0ACF"/>
    <w:rsid w:val="006D0AD7"/>
    <w:rsid w:val="006D0CAA"/>
    <w:rsid w:val="006D0DE0"/>
    <w:rsid w:val="006D1110"/>
    <w:rsid w:val="006D116C"/>
    <w:rsid w:val="006D1599"/>
    <w:rsid w:val="006D187B"/>
    <w:rsid w:val="006D195D"/>
    <w:rsid w:val="006D1B1B"/>
    <w:rsid w:val="006D1B82"/>
    <w:rsid w:val="006D1C23"/>
    <w:rsid w:val="006D1FFA"/>
    <w:rsid w:val="006D2020"/>
    <w:rsid w:val="006D234C"/>
    <w:rsid w:val="006D237E"/>
    <w:rsid w:val="006D23AB"/>
    <w:rsid w:val="006D2596"/>
    <w:rsid w:val="006D26BB"/>
    <w:rsid w:val="006D2714"/>
    <w:rsid w:val="006D2CD7"/>
    <w:rsid w:val="006D2FF2"/>
    <w:rsid w:val="006D3268"/>
    <w:rsid w:val="006D359E"/>
    <w:rsid w:val="006D36A2"/>
    <w:rsid w:val="006D37C3"/>
    <w:rsid w:val="006D3A22"/>
    <w:rsid w:val="006D3B61"/>
    <w:rsid w:val="006D3EA0"/>
    <w:rsid w:val="006D3EA2"/>
    <w:rsid w:val="006D3EFE"/>
    <w:rsid w:val="006D3FB3"/>
    <w:rsid w:val="006D4135"/>
    <w:rsid w:val="006D4474"/>
    <w:rsid w:val="006D44B6"/>
    <w:rsid w:val="006D456F"/>
    <w:rsid w:val="006D47DB"/>
    <w:rsid w:val="006D4B5C"/>
    <w:rsid w:val="006D4C21"/>
    <w:rsid w:val="006D4CFA"/>
    <w:rsid w:val="006D51C6"/>
    <w:rsid w:val="006D5256"/>
    <w:rsid w:val="006D554F"/>
    <w:rsid w:val="006D583D"/>
    <w:rsid w:val="006D5AEC"/>
    <w:rsid w:val="006D5D65"/>
    <w:rsid w:val="006D5DC7"/>
    <w:rsid w:val="006D5DCF"/>
    <w:rsid w:val="006D5E1C"/>
    <w:rsid w:val="006D601B"/>
    <w:rsid w:val="006D618C"/>
    <w:rsid w:val="006D64B8"/>
    <w:rsid w:val="006D64BC"/>
    <w:rsid w:val="006D650F"/>
    <w:rsid w:val="006D6A18"/>
    <w:rsid w:val="006D6A67"/>
    <w:rsid w:val="006D6F23"/>
    <w:rsid w:val="006D70C8"/>
    <w:rsid w:val="006D729F"/>
    <w:rsid w:val="006D73B0"/>
    <w:rsid w:val="006D754F"/>
    <w:rsid w:val="006D755E"/>
    <w:rsid w:val="006D76A2"/>
    <w:rsid w:val="006D78A9"/>
    <w:rsid w:val="006D798B"/>
    <w:rsid w:val="006D7C76"/>
    <w:rsid w:val="006D7E0D"/>
    <w:rsid w:val="006E0065"/>
    <w:rsid w:val="006E0116"/>
    <w:rsid w:val="006E01FC"/>
    <w:rsid w:val="006E0632"/>
    <w:rsid w:val="006E0799"/>
    <w:rsid w:val="006E0DA4"/>
    <w:rsid w:val="006E11E0"/>
    <w:rsid w:val="006E1EE3"/>
    <w:rsid w:val="006E2443"/>
    <w:rsid w:val="006E32F0"/>
    <w:rsid w:val="006E33E6"/>
    <w:rsid w:val="006E3549"/>
    <w:rsid w:val="006E373D"/>
    <w:rsid w:val="006E38B9"/>
    <w:rsid w:val="006E3C47"/>
    <w:rsid w:val="006E3E94"/>
    <w:rsid w:val="006E3EA5"/>
    <w:rsid w:val="006E439E"/>
    <w:rsid w:val="006E46B5"/>
    <w:rsid w:val="006E483B"/>
    <w:rsid w:val="006E4CE6"/>
    <w:rsid w:val="006E4D5A"/>
    <w:rsid w:val="006E4E26"/>
    <w:rsid w:val="006E546D"/>
    <w:rsid w:val="006E5572"/>
    <w:rsid w:val="006E59AC"/>
    <w:rsid w:val="006E5D6C"/>
    <w:rsid w:val="006E616F"/>
    <w:rsid w:val="006E677B"/>
    <w:rsid w:val="006E67E3"/>
    <w:rsid w:val="006E69E1"/>
    <w:rsid w:val="006E6A1E"/>
    <w:rsid w:val="006E6D2F"/>
    <w:rsid w:val="006E6F5E"/>
    <w:rsid w:val="006E6FB3"/>
    <w:rsid w:val="006E71B5"/>
    <w:rsid w:val="006E723C"/>
    <w:rsid w:val="006E73D6"/>
    <w:rsid w:val="006E741B"/>
    <w:rsid w:val="006E743B"/>
    <w:rsid w:val="006E7675"/>
    <w:rsid w:val="006E769D"/>
    <w:rsid w:val="006E7881"/>
    <w:rsid w:val="006E7913"/>
    <w:rsid w:val="006E7B23"/>
    <w:rsid w:val="006E7B4B"/>
    <w:rsid w:val="006E7C42"/>
    <w:rsid w:val="006E7CBA"/>
    <w:rsid w:val="006F0670"/>
    <w:rsid w:val="006F087D"/>
    <w:rsid w:val="006F0BF8"/>
    <w:rsid w:val="006F0C2A"/>
    <w:rsid w:val="006F0EDB"/>
    <w:rsid w:val="006F1181"/>
    <w:rsid w:val="006F13A4"/>
    <w:rsid w:val="006F15DA"/>
    <w:rsid w:val="006F168A"/>
    <w:rsid w:val="006F1EAB"/>
    <w:rsid w:val="006F1F1C"/>
    <w:rsid w:val="006F1F7F"/>
    <w:rsid w:val="006F20C7"/>
    <w:rsid w:val="006F21C1"/>
    <w:rsid w:val="006F2763"/>
    <w:rsid w:val="006F2843"/>
    <w:rsid w:val="006F289D"/>
    <w:rsid w:val="006F295F"/>
    <w:rsid w:val="006F2FDC"/>
    <w:rsid w:val="006F32A2"/>
    <w:rsid w:val="006F3D23"/>
    <w:rsid w:val="006F3D63"/>
    <w:rsid w:val="006F3D6F"/>
    <w:rsid w:val="006F3DF8"/>
    <w:rsid w:val="006F40EF"/>
    <w:rsid w:val="006F458A"/>
    <w:rsid w:val="006F4A33"/>
    <w:rsid w:val="006F4FF4"/>
    <w:rsid w:val="006F5076"/>
    <w:rsid w:val="006F51DB"/>
    <w:rsid w:val="006F5237"/>
    <w:rsid w:val="006F53AF"/>
    <w:rsid w:val="006F541C"/>
    <w:rsid w:val="006F59C6"/>
    <w:rsid w:val="006F5CF5"/>
    <w:rsid w:val="006F5D81"/>
    <w:rsid w:val="006F6009"/>
    <w:rsid w:val="006F615E"/>
    <w:rsid w:val="006F6A42"/>
    <w:rsid w:val="006F6E08"/>
    <w:rsid w:val="006F6FB1"/>
    <w:rsid w:val="006F7220"/>
    <w:rsid w:val="006F7F08"/>
    <w:rsid w:val="006F7F45"/>
    <w:rsid w:val="007003D0"/>
    <w:rsid w:val="007004C0"/>
    <w:rsid w:val="0070057F"/>
    <w:rsid w:val="00700A7A"/>
    <w:rsid w:val="00700C48"/>
    <w:rsid w:val="00700D4B"/>
    <w:rsid w:val="00700D63"/>
    <w:rsid w:val="00700EDF"/>
    <w:rsid w:val="0070106B"/>
    <w:rsid w:val="007010BF"/>
    <w:rsid w:val="007012FE"/>
    <w:rsid w:val="0070145F"/>
    <w:rsid w:val="00701539"/>
    <w:rsid w:val="007019CF"/>
    <w:rsid w:val="00701B2D"/>
    <w:rsid w:val="00701C11"/>
    <w:rsid w:val="00701C2B"/>
    <w:rsid w:val="00701D73"/>
    <w:rsid w:val="007021EA"/>
    <w:rsid w:val="007022C3"/>
    <w:rsid w:val="00702485"/>
    <w:rsid w:val="00702598"/>
    <w:rsid w:val="00702781"/>
    <w:rsid w:val="007027D9"/>
    <w:rsid w:val="0070282A"/>
    <w:rsid w:val="00702B08"/>
    <w:rsid w:val="00702EF6"/>
    <w:rsid w:val="007030E2"/>
    <w:rsid w:val="00703145"/>
    <w:rsid w:val="0070320C"/>
    <w:rsid w:val="0070321D"/>
    <w:rsid w:val="007034B8"/>
    <w:rsid w:val="007036F0"/>
    <w:rsid w:val="007037A7"/>
    <w:rsid w:val="00703A66"/>
    <w:rsid w:val="00703A9A"/>
    <w:rsid w:val="00703AF8"/>
    <w:rsid w:val="00703C45"/>
    <w:rsid w:val="00703DDA"/>
    <w:rsid w:val="00703FF3"/>
    <w:rsid w:val="0070417D"/>
    <w:rsid w:val="00704587"/>
    <w:rsid w:val="00704598"/>
    <w:rsid w:val="00704672"/>
    <w:rsid w:val="00704A5A"/>
    <w:rsid w:val="00704D51"/>
    <w:rsid w:val="007050DC"/>
    <w:rsid w:val="00705364"/>
    <w:rsid w:val="007057BD"/>
    <w:rsid w:val="007058DA"/>
    <w:rsid w:val="00705C29"/>
    <w:rsid w:val="00705D93"/>
    <w:rsid w:val="007065B4"/>
    <w:rsid w:val="007066AC"/>
    <w:rsid w:val="007066DE"/>
    <w:rsid w:val="00706772"/>
    <w:rsid w:val="007068BA"/>
    <w:rsid w:val="0070697F"/>
    <w:rsid w:val="00706A32"/>
    <w:rsid w:val="00707357"/>
    <w:rsid w:val="00707382"/>
    <w:rsid w:val="0070738A"/>
    <w:rsid w:val="00707517"/>
    <w:rsid w:val="007078B1"/>
    <w:rsid w:val="00707931"/>
    <w:rsid w:val="00707A8D"/>
    <w:rsid w:val="00707BB8"/>
    <w:rsid w:val="00707E5B"/>
    <w:rsid w:val="00707E6B"/>
    <w:rsid w:val="0070894E"/>
    <w:rsid w:val="00710134"/>
    <w:rsid w:val="007105FD"/>
    <w:rsid w:val="00710610"/>
    <w:rsid w:val="00710685"/>
    <w:rsid w:val="007107C8"/>
    <w:rsid w:val="00710E04"/>
    <w:rsid w:val="00710F88"/>
    <w:rsid w:val="007111B9"/>
    <w:rsid w:val="007115DE"/>
    <w:rsid w:val="00711679"/>
    <w:rsid w:val="0071179C"/>
    <w:rsid w:val="00711877"/>
    <w:rsid w:val="00711A64"/>
    <w:rsid w:val="00711AE0"/>
    <w:rsid w:val="00711B73"/>
    <w:rsid w:val="00711B95"/>
    <w:rsid w:val="00711E5E"/>
    <w:rsid w:val="00711F5A"/>
    <w:rsid w:val="00712401"/>
    <w:rsid w:val="0071269F"/>
    <w:rsid w:val="00712790"/>
    <w:rsid w:val="00712ABE"/>
    <w:rsid w:val="00712FEF"/>
    <w:rsid w:val="007130A6"/>
    <w:rsid w:val="007130F8"/>
    <w:rsid w:val="00713211"/>
    <w:rsid w:val="0071333C"/>
    <w:rsid w:val="007133A4"/>
    <w:rsid w:val="00713809"/>
    <w:rsid w:val="0071380F"/>
    <w:rsid w:val="00713827"/>
    <w:rsid w:val="00713AC7"/>
    <w:rsid w:val="00713AE6"/>
    <w:rsid w:val="00713C6E"/>
    <w:rsid w:val="00713D44"/>
    <w:rsid w:val="00713D54"/>
    <w:rsid w:val="00713D56"/>
    <w:rsid w:val="00713E41"/>
    <w:rsid w:val="007141AF"/>
    <w:rsid w:val="0071423D"/>
    <w:rsid w:val="007143AE"/>
    <w:rsid w:val="00714608"/>
    <w:rsid w:val="007146BD"/>
    <w:rsid w:val="007147A9"/>
    <w:rsid w:val="007147E1"/>
    <w:rsid w:val="007148DC"/>
    <w:rsid w:val="00714B15"/>
    <w:rsid w:val="00714D42"/>
    <w:rsid w:val="00714DF1"/>
    <w:rsid w:val="00714FBC"/>
    <w:rsid w:val="007153D0"/>
    <w:rsid w:val="007154C5"/>
    <w:rsid w:val="00715555"/>
    <w:rsid w:val="00715723"/>
    <w:rsid w:val="007164ED"/>
    <w:rsid w:val="00716544"/>
    <w:rsid w:val="0071693A"/>
    <w:rsid w:val="00716AB1"/>
    <w:rsid w:val="00716D00"/>
    <w:rsid w:val="00717212"/>
    <w:rsid w:val="0071761A"/>
    <w:rsid w:val="007177AB"/>
    <w:rsid w:val="007177B6"/>
    <w:rsid w:val="00717880"/>
    <w:rsid w:val="00717ECC"/>
    <w:rsid w:val="007201F0"/>
    <w:rsid w:val="007205ED"/>
    <w:rsid w:val="00720672"/>
    <w:rsid w:val="00720786"/>
    <w:rsid w:val="00720991"/>
    <w:rsid w:val="007209F9"/>
    <w:rsid w:val="00720C70"/>
    <w:rsid w:val="00720DC7"/>
    <w:rsid w:val="00720FF9"/>
    <w:rsid w:val="007211CE"/>
    <w:rsid w:val="0072125C"/>
    <w:rsid w:val="0072160F"/>
    <w:rsid w:val="00721767"/>
    <w:rsid w:val="00721862"/>
    <w:rsid w:val="00721A93"/>
    <w:rsid w:val="00721C90"/>
    <w:rsid w:val="00721D63"/>
    <w:rsid w:val="0072210A"/>
    <w:rsid w:val="00722632"/>
    <w:rsid w:val="00722921"/>
    <w:rsid w:val="00722B2B"/>
    <w:rsid w:val="00722B34"/>
    <w:rsid w:val="00722D20"/>
    <w:rsid w:val="007233CF"/>
    <w:rsid w:val="007239CE"/>
    <w:rsid w:val="00723E7B"/>
    <w:rsid w:val="0072404D"/>
    <w:rsid w:val="0072428E"/>
    <w:rsid w:val="0072433C"/>
    <w:rsid w:val="00724396"/>
    <w:rsid w:val="007246B0"/>
    <w:rsid w:val="007248FF"/>
    <w:rsid w:val="00724906"/>
    <w:rsid w:val="00725495"/>
    <w:rsid w:val="00725515"/>
    <w:rsid w:val="00725559"/>
    <w:rsid w:val="0072555C"/>
    <w:rsid w:val="00725667"/>
    <w:rsid w:val="00725907"/>
    <w:rsid w:val="007259C6"/>
    <w:rsid w:val="00725A76"/>
    <w:rsid w:val="00725D3B"/>
    <w:rsid w:val="00726254"/>
    <w:rsid w:val="007264F7"/>
    <w:rsid w:val="00726699"/>
    <w:rsid w:val="007269AE"/>
    <w:rsid w:val="00726D8E"/>
    <w:rsid w:val="00727471"/>
    <w:rsid w:val="007278E4"/>
    <w:rsid w:val="00727FEC"/>
    <w:rsid w:val="0073026A"/>
    <w:rsid w:val="007304A5"/>
    <w:rsid w:val="007304C7"/>
    <w:rsid w:val="0073054C"/>
    <w:rsid w:val="00730C7C"/>
    <w:rsid w:val="00730CAE"/>
    <w:rsid w:val="00730D70"/>
    <w:rsid w:val="007314E2"/>
    <w:rsid w:val="007317A0"/>
    <w:rsid w:val="00731999"/>
    <w:rsid w:val="00731AD5"/>
    <w:rsid w:val="00731BD8"/>
    <w:rsid w:val="0073295F"/>
    <w:rsid w:val="00732B75"/>
    <w:rsid w:val="00732C7B"/>
    <w:rsid w:val="00732CDD"/>
    <w:rsid w:val="00732CDF"/>
    <w:rsid w:val="00732FA6"/>
    <w:rsid w:val="00733154"/>
    <w:rsid w:val="00733183"/>
    <w:rsid w:val="007334AB"/>
    <w:rsid w:val="00733534"/>
    <w:rsid w:val="00733869"/>
    <w:rsid w:val="007339DF"/>
    <w:rsid w:val="00733A3D"/>
    <w:rsid w:val="00733AEF"/>
    <w:rsid w:val="00733B48"/>
    <w:rsid w:val="00733BF4"/>
    <w:rsid w:val="00733C15"/>
    <w:rsid w:val="007341BE"/>
    <w:rsid w:val="007342A4"/>
    <w:rsid w:val="00734406"/>
    <w:rsid w:val="00734538"/>
    <w:rsid w:val="007346C3"/>
    <w:rsid w:val="007346D6"/>
    <w:rsid w:val="0073493A"/>
    <w:rsid w:val="00734C5C"/>
    <w:rsid w:val="00734D2B"/>
    <w:rsid w:val="0073544C"/>
    <w:rsid w:val="00735637"/>
    <w:rsid w:val="0073598F"/>
    <w:rsid w:val="00735A3D"/>
    <w:rsid w:val="00735FE6"/>
    <w:rsid w:val="0073620E"/>
    <w:rsid w:val="0073641F"/>
    <w:rsid w:val="00736483"/>
    <w:rsid w:val="007365C6"/>
    <w:rsid w:val="00736646"/>
    <w:rsid w:val="0073675A"/>
    <w:rsid w:val="007367C6"/>
    <w:rsid w:val="007367E2"/>
    <w:rsid w:val="00736ABC"/>
    <w:rsid w:val="00736E5D"/>
    <w:rsid w:val="00736FB2"/>
    <w:rsid w:val="007370B8"/>
    <w:rsid w:val="007372C7"/>
    <w:rsid w:val="0073731F"/>
    <w:rsid w:val="007376D6"/>
    <w:rsid w:val="00737705"/>
    <w:rsid w:val="00737768"/>
    <w:rsid w:val="00737C7E"/>
    <w:rsid w:val="00737D6B"/>
    <w:rsid w:val="00737EC2"/>
    <w:rsid w:val="007402CB"/>
    <w:rsid w:val="00740355"/>
    <w:rsid w:val="0074075A"/>
    <w:rsid w:val="0074084D"/>
    <w:rsid w:val="007408D4"/>
    <w:rsid w:val="00740B7E"/>
    <w:rsid w:val="007414AA"/>
    <w:rsid w:val="0074168C"/>
    <w:rsid w:val="00741917"/>
    <w:rsid w:val="00741B5D"/>
    <w:rsid w:val="00741CD8"/>
    <w:rsid w:val="00742067"/>
    <w:rsid w:val="007420AC"/>
    <w:rsid w:val="007423DE"/>
    <w:rsid w:val="00742617"/>
    <w:rsid w:val="00742653"/>
    <w:rsid w:val="007427CD"/>
    <w:rsid w:val="00742A12"/>
    <w:rsid w:val="00742C38"/>
    <w:rsid w:val="00742C89"/>
    <w:rsid w:val="00743384"/>
    <w:rsid w:val="007433EB"/>
    <w:rsid w:val="007434D6"/>
    <w:rsid w:val="0074377B"/>
    <w:rsid w:val="007437C7"/>
    <w:rsid w:val="007437E7"/>
    <w:rsid w:val="00744060"/>
    <w:rsid w:val="0074432C"/>
    <w:rsid w:val="00744455"/>
    <w:rsid w:val="007444C7"/>
    <w:rsid w:val="00744526"/>
    <w:rsid w:val="00744537"/>
    <w:rsid w:val="007446BB"/>
    <w:rsid w:val="00744852"/>
    <w:rsid w:val="007449CC"/>
    <w:rsid w:val="00744F11"/>
    <w:rsid w:val="00745035"/>
    <w:rsid w:val="00745091"/>
    <w:rsid w:val="007451DD"/>
    <w:rsid w:val="007453AA"/>
    <w:rsid w:val="00745691"/>
    <w:rsid w:val="00745951"/>
    <w:rsid w:val="007459F1"/>
    <w:rsid w:val="00745C4A"/>
    <w:rsid w:val="00745FE2"/>
    <w:rsid w:val="00746251"/>
    <w:rsid w:val="0074626E"/>
    <w:rsid w:val="0074665B"/>
    <w:rsid w:val="00746676"/>
    <w:rsid w:val="0074675B"/>
    <w:rsid w:val="00746FEE"/>
    <w:rsid w:val="00747178"/>
    <w:rsid w:val="00747301"/>
    <w:rsid w:val="007473EF"/>
    <w:rsid w:val="00747799"/>
    <w:rsid w:val="00747934"/>
    <w:rsid w:val="00747C12"/>
    <w:rsid w:val="00747C95"/>
    <w:rsid w:val="00750487"/>
    <w:rsid w:val="007505FC"/>
    <w:rsid w:val="007508E1"/>
    <w:rsid w:val="00750B19"/>
    <w:rsid w:val="00751334"/>
    <w:rsid w:val="007514E8"/>
    <w:rsid w:val="0075150C"/>
    <w:rsid w:val="007516F7"/>
    <w:rsid w:val="007517C7"/>
    <w:rsid w:val="0075196F"/>
    <w:rsid w:val="00751AEE"/>
    <w:rsid w:val="00751D91"/>
    <w:rsid w:val="00752205"/>
    <w:rsid w:val="007522B4"/>
    <w:rsid w:val="00752595"/>
    <w:rsid w:val="007525F1"/>
    <w:rsid w:val="00752858"/>
    <w:rsid w:val="00752B98"/>
    <w:rsid w:val="00752CEC"/>
    <w:rsid w:val="00752DE7"/>
    <w:rsid w:val="007530C7"/>
    <w:rsid w:val="00753262"/>
    <w:rsid w:val="007536F9"/>
    <w:rsid w:val="007538EB"/>
    <w:rsid w:val="00753C46"/>
    <w:rsid w:val="00753C98"/>
    <w:rsid w:val="007540F4"/>
    <w:rsid w:val="00754217"/>
    <w:rsid w:val="0075437B"/>
    <w:rsid w:val="00754497"/>
    <w:rsid w:val="00754710"/>
    <w:rsid w:val="00754839"/>
    <w:rsid w:val="007548A9"/>
    <w:rsid w:val="00754DD7"/>
    <w:rsid w:val="007552CA"/>
    <w:rsid w:val="00755649"/>
    <w:rsid w:val="007556AA"/>
    <w:rsid w:val="0075571E"/>
    <w:rsid w:val="007557DE"/>
    <w:rsid w:val="007559ED"/>
    <w:rsid w:val="00755B85"/>
    <w:rsid w:val="00755C03"/>
    <w:rsid w:val="00755E9F"/>
    <w:rsid w:val="00755EE1"/>
    <w:rsid w:val="00756570"/>
    <w:rsid w:val="007568F6"/>
    <w:rsid w:val="007569DE"/>
    <w:rsid w:val="007569F0"/>
    <w:rsid w:val="00756D1D"/>
    <w:rsid w:val="00756FA5"/>
    <w:rsid w:val="0075717C"/>
    <w:rsid w:val="007572B7"/>
    <w:rsid w:val="007573F0"/>
    <w:rsid w:val="007574CC"/>
    <w:rsid w:val="007577B2"/>
    <w:rsid w:val="00757C52"/>
    <w:rsid w:val="00757CA4"/>
    <w:rsid w:val="00757DEA"/>
    <w:rsid w:val="00760032"/>
    <w:rsid w:val="00760149"/>
    <w:rsid w:val="00760407"/>
    <w:rsid w:val="00760440"/>
    <w:rsid w:val="007605D7"/>
    <w:rsid w:val="007605E6"/>
    <w:rsid w:val="00760683"/>
    <w:rsid w:val="00760849"/>
    <w:rsid w:val="00760AB2"/>
    <w:rsid w:val="00760D3A"/>
    <w:rsid w:val="007617B9"/>
    <w:rsid w:val="00761828"/>
    <w:rsid w:val="00761935"/>
    <w:rsid w:val="00761BC0"/>
    <w:rsid w:val="00761D65"/>
    <w:rsid w:val="00761E48"/>
    <w:rsid w:val="00761F03"/>
    <w:rsid w:val="00761F31"/>
    <w:rsid w:val="00762097"/>
    <w:rsid w:val="00762518"/>
    <w:rsid w:val="00762820"/>
    <w:rsid w:val="0076294E"/>
    <w:rsid w:val="00762A6C"/>
    <w:rsid w:val="00762B6A"/>
    <w:rsid w:val="00762B8B"/>
    <w:rsid w:val="00762C4A"/>
    <w:rsid w:val="0076310D"/>
    <w:rsid w:val="00763283"/>
    <w:rsid w:val="007633B1"/>
    <w:rsid w:val="007635B0"/>
    <w:rsid w:val="00763636"/>
    <w:rsid w:val="0076389A"/>
    <w:rsid w:val="00763BB0"/>
    <w:rsid w:val="00763C39"/>
    <w:rsid w:val="00763D43"/>
    <w:rsid w:val="00763DCF"/>
    <w:rsid w:val="00763F6D"/>
    <w:rsid w:val="007641A4"/>
    <w:rsid w:val="00764240"/>
    <w:rsid w:val="007645F3"/>
    <w:rsid w:val="0076468A"/>
    <w:rsid w:val="00764C1C"/>
    <w:rsid w:val="00764CC9"/>
    <w:rsid w:val="00765620"/>
    <w:rsid w:val="00765AAF"/>
    <w:rsid w:val="00765FFB"/>
    <w:rsid w:val="007667D4"/>
    <w:rsid w:val="00766B35"/>
    <w:rsid w:val="00766C9F"/>
    <w:rsid w:val="007670B9"/>
    <w:rsid w:val="007670F3"/>
    <w:rsid w:val="007672F4"/>
    <w:rsid w:val="0076755C"/>
    <w:rsid w:val="007678AC"/>
    <w:rsid w:val="00767D52"/>
    <w:rsid w:val="00770273"/>
    <w:rsid w:val="00770A82"/>
    <w:rsid w:val="00770B39"/>
    <w:rsid w:val="00770B4F"/>
    <w:rsid w:val="00770B7C"/>
    <w:rsid w:val="00770E24"/>
    <w:rsid w:val="00771036"/>
    <w:rsid w:val="007716BC"/>
    <w:rsid w:val="0077190D"/>
    <w:rsid w:val="00771A73"/>
    <w:rsid w:val="00771B95"/>
    <w:rsid w:val="00771D68"/>
    <w:rsid w:val="00771F62"/>
    <w:rsid w:val="00772162"/>
    <w:rsid w:val="0077219C"/>
    <w:rsid w:val="007728DA"/>
    <w:rsid w:val="00772A64"/>
    <w:rsid w:val="00772D42"/>
    <w:rsid w:val="00772F1A"/>
    <w:rsid w:val="00772FB0"/>
    <w:rsid w:val="007732A3"/>
    <w:rsid w:val="007737ED"/>
    <w:rsid w:val="00773AD4"/>
    <w:rsid w:val="00773EE7"/>
    <w:rsid w:val="00773FC8"/>
    <w:rsid w:val="00774610"/>
    <w:rsid w:val="00774613"/>
    <w:rsid w:val="00774C25"/>
    <w:rsid w:val="00774ED2"/>
    <w:rsid w:val="0077511B"/>
    <w:rsid w:val="007751E5"/>
    <w:rsid w:val="00775684"/>
    <w:rsid w:val="00775916"/>
    <w:rsid w:val="00775AE7"/>
    <w:rsid w:val="00775B28"/>
    <w:rsid w:val="00775C2F"/>
    <w:rsid w:val="00775EF6"/>
    <w:rsid w:val="00776448"/>
    <w:rsid w:val="007764FA"/>
    <w:rsid w:val="007768E2"/>
    <w:rsid w:val="007769A5"/>
    <w:rsid w:val="00776B62"/>
    <w:rsid w:val="00776E2D"/>
    <w:rsid w:val="00777278"/>
    <w:rsid w:val="00777579"/>
    <w:rsid w:val="00777632"/>
    <w:rsid w:val="007778BA"/>
    <w:rsid w:val="00777A80"/>
    <w:rsid w:val="007802EE"/>
    <w:rsid w:val="007807F6"/>
    <w:rsid w:val="007808A9"/>
    <w:rsid w:val="00780983"/>
    <w:rsid w:val="0078099E"/>
    <w:rsid w:val="00780AE1"/>
    <w:rsid w:val="00780B64"/>
    <w:rsid w:val="00780E61"/>
    <w:rsid w:val="00780F00"/>
    <w:rsid w:val="00780F98"/>
    <w:rsid w:val="0078120E"/>
    <w:rsid w:val="00781291"/>
    <w:rsid w:val="00781357"/>
    <w:rsid w:val="0078139A"/>
    <w:rsid w:val="00781501"/>
    <w:rsid w:val="0078194B"/>
    <w:rsid w:val="00781BCD"/>
    <w:rsid w:val="00781E7A"/>
    <w:rsid w:val="007820BE"/>
    <w:rsid w:val="00782111"/>
    <w:rsid w:val="00782195"/>
    <w:rsid w:val="007824D4"/>
    <w:rsid w:val="00782587"/>
    <w:rsid w:val="00782C17"/>
    <w:rsid w:val="00782DCA"/>
    <w:rsid w:val="00782E66"/>
    <w:rsid w:val="00783311"/>
    <w:rsid w:val="0078335C"/>
    <w:rsid w:val="007834D7"/>
    <w:rsid w:val="00783548"/>
    <w:rsid w:val="00783586"/>
    <w:rsid w:val="0078370D"/>
    <w:rsid w:val="007837FD"/>
    <w:rsid w:val="00783A56"/>
    <w:rsid w:val="00783A75"/>
    <w:rsid w:val="00783AFA"/>
    <w:rsid w:val="00783BA0"/>
    <w:rsid w:val="00784029"/>
    <w:rsid w:val="007841B3"/>
    <w:rsid w:val="007841E2"/>
    <w:rsid w:val="00784477"/>
    <w:rsid w:val="00784641"/>
    <w:rsid w:val="00784873"/>
    <w:rsid w:val="0078490E"/>
    <w:rsid w:val="007849DD"/>
    <w:rsid w:val="00784B6A"/>
    <w:rsid w:val="0078502A"/>
    <w:rsid w:val="007850BB"/>
    <w:rsid w:val="007851A7"/>
    <w:rsid w:val="007851D0"/>
    <w:rsid w:val="00785253"/>
    <w:rsid w:val="00785427"/>
    <w:rsid w:val="00785467"/>
    <w:rsid w:val="00785542"/>
    <w:rsid w:val="007857F3"/>
    <w:rsid w:val="00785B69"/>
    <w:rsid w:val="00785DB8"/>
    <w:rsid w:val="007860A4"/>
    <w:rsid w:val="00786986"/>
    <w:rsid w:val="00786E6D"/>
    <w:rsid w:val="0078738F"/>
    <w:rsid w:val="00787410"/>
    <w:rsid w:val="0078780E"/>
    <w:rsid w:val="007878D5"/>
    <w:rsid w:val="00787A48"/>
    <w:rsid w:val="00787A79"/>
    <w:rsid w:val="00787F07"/>
    <w:rsid w:val="00787F46"/>
    <w:rsid w:val="00787FC3"/>
    <w:rsid w:val="007901DF"/>
    <w:rsid w:val="007902D8"/>
    <w:rsid w:val="00790409"/>
    <w:rsid w:val="00790473"/>
    <w:rsid w:val="00790475"/>
    <w:rsid w:val="00790540"/>
    <w:rsid w:val="00790669"/>
    <w:rsid w:val="00790D69"/>
    <w:rsid w:val="00790F06"/>
    <w:rsid w:val="007911FB"/>
    <w:rsid w:val="0079160F"/>
    <w:rsid w:val="00791650"/>
    <w:rsid w:val="0079174A"/>
    <w:rsid w:val="00791862"/>
    <w:rsid w:val="00792068"/>
    <w:rsid w:val="00792202"/>
    <w:rsid w:val="00792342"/>
    <w:rsid w:val="0079241A"/>
    <w:rsid w:val="007925BB"/>
    <w:rsid w:val="00792667"/>
    <w:rsid w:val="007926C3"/>
    <w:rsid w:val="00792712"/>
    <w:rsid w:val="00792764"/>
    <w:rsid w:val="00792877"/>
    <w:rsid w:val="007928D5"/>
    <w:rsid w:val="007929C7"/>
    <w:rsid w:val="00792C9A"/>
    <w:rsid w:val="00792D2D"/>
    <w:rsid w:val="00792F07"/>
    <w:rsid w:val="00792FCC"/>
    <w:rsid w:val="007930F5"/>
    <w:rsid w:val="00793230"/>
    <w:rsid w:val="0079375B"/>
    <w:rsid w:val="007937FF"/>
    <w:rsid w:val="00793AA4"/>
    <w:rsid w:val="00793AE9"/>
    <w:rsid w:val="00793DCA"/>
    <w:rsid w:val="00793F11"/>
    <w:rsid w:val="00794062"/>
    <w:rsid w:val="0079438D"/>
    <w:rsid w:val="00794BD5"/>
    <w:rsid w:val="00794E75"/>
    <w:rsid w:val="007952E6"/>
    <w:rsid w:val="007955BF"/>
    <w:rsid w:val="0079572E"/>
    <w:rsid w:val="0079573A"/>
    <w:rsid w:val="00795892"/>
    <w:rsid w:val="00795D1F"/>
    <w:rsid w:val="00795F96"/>
    <w:rsid w:val="007962F0"/>
    <w:rsid w:val="00796721"/>
    <w:rsid w:val="00796887"/>
    <w:rsid w:val="007968CA"/>
    <w:rsid w:val="0079694B"/>
    <w:rsid w:val="00796AB5"/>
    <w:rsid w:val="00796CB9"/>
    <w:rsid w:val="00796D70"/>
    <w:rsid w:val="00796DE7"/>
    <w:rsid w:val="00797C9C"/>
    <w:rsid w:val="00797DB6"/>
    <w:rsid w:val="00797E39"/>
    <w:rsid w:val="007A0051"/>
    <w:rsid w:val="007A0161"/>
    <w:rsid w:val="007A01CB"/>
    <w:rsid w:val="007A02AE"/>
    <w:rsid w:val="007A0895"/>
    <w:rsid w:val="007A09D5"/>
    <w:rsid w:val="007A1008"/>
    <w:rsid w:val="007A115F"/>
    <w:rsid w:val="007A13C1"/>
    <w:rsid w:val="007A14BD"/>
    <w:rsid w:val="007A154E"/>
    <w:rsid w:val="007A178C"/>
    <w:rsid w:val="007A1847"/>
    <w:rsid w:val="007A202D"/>
    <w:rsid w:val="007A20BF"/>
    <w:rsid w:val="007A22F6"/>
    <w:rsid w:val="007A2409"/>
    <w:rsid w:val="007A2640"/>
    <w:rsid w:val="007A2721"/>
    <w:rsid w:val="007A2C01"/>
    <w:rsid w:val="007A2C67"/>
    <w:rsid w:val="007A2CD2"/>
    <w:rsid w:val="007A2F8D"/>
    <w:rsid w:val="007A2FF0"/>
    <w:rsid w:val="007A310C"/>
    <w:rsid w:val="007A340F"/>
    <w:rsid w:val="007A343F"/>
    <w:rsid w:val="007A3515"/>
    <w:rsid w:val="007A362D"/>
    <w:rsid w:val="007A374D"/>
    <w:rsid w:val="007A37D6"/>
    <w:rsid w:val="007A39EE"/>
    <w:rsid w:val="007A3A6A"/>
    <w:rsid w:val="007A3DA8"/>
    <w:rsid w:val="007A3DAA"/>
    <w:rsid w:val="007A3DFA"/>
    <w:rsid w:val="007A3E7B"/>
    <w:rsid w:val="007A3EEF"/>
    <w:rsid w:val="007A3FA4"/>
    <w:rsid w:val="007A41C7"/>
    <w:rsid w:val="007A41CE"/>
    <w:rsid w:val="007A41F6"/>
    <w:rsid w:val="007A43FF"/>
    <w:rsid w:val="007A45FA"/>
    <w:rsid w:val="007A477A"/>
    <w:rsid w:val="007A4868"/>
    <w:rsid w:val="007A4B42"/>
    <w:rsid w:val="007A4E62"/>
    <w:rsid w:val="007A54A9"/>
    <w:rsid w:val="007A5513"/>
    <w:rsid w:val="007A55C7"/>
    <w:rsid w:val="007A5AE1"/>
    <w:rsid w:val="007A5B33"/>
    <w:rsid w:val="007A5F3D"/>
    <w:rsid w:val="007A5F99"/>
    <w:rsid w:val="007A6025"/>
    <w:rsid w:val="007A60A8"/>
    <w:rsid w:val="007A6148"/>
    <w:rsid w:val="007A6350"/>
    <w:rsid w:val="007A6353"/>
    <w:rsid w:val="007A64F8"/>
    <w:rsid w:val="007A651F"/>
    <w:rsid w:val="007A6563"/>
    <w:rsid w:val="007A66D6"/>
    <w:rsid w:val="007A69EC"/>
    <w:rsid w:val="007A6BA1"/>
    <w:rsid w:val="007A6C38"/>
    <w:rsid w:val="007A6C6C"/>
    <w:rsid w:val="007A70E8"/>
    <w:rsid w:val="007A7121"/>
    <w:rsid w:val="007A72BE"/>
    <w:rsid w:val="007A74AE"/>
    <w:rsid w:val="007A767B"/>
    <w:rsid w:val="007A7C6D"/>
    <w:rsid w:val="007A7EEC"/>
    <w:rsid w:val="007B01F8"/>
    <w:rsid w:val="007B022B"/>
    <w:rsid w:val="007B0301"/>
    <w:rsid w:val="007B066F"/>
    <w:rsid w:val="007B0835"/>
    <w:rsid w:val="007B08DB"/>
    <w:rsid w:val="007B0AC0"/>
    <w:rsid w:val="007B0D8A"/>
    <w:rsid w:val="007B1070"/>
    <w:rsid w:val="007B1092"/>
    <w:rsid w:val="007B1109"/>
    <w:rsid w:val="007B12F9"/>
    <w:rsid w:val="007B1532"/>
    <w:rsid w:val="007B156B"/>
    <w:rsid w:val="007B1910"/>
    <w:rsid w:val="007B1AEB"/>
    <w:rsid w:val="007B1B6F"/>
    <w:rsid w:val="007B1C88"/>
    <w:rsid w:val="007B1D1C"/>
    <w:rsid w:val="007B2046"/>
    <w:rsid w:val="007B2265"/>
    <w:rsid w:val="007B24DC"/>
    <w:rsid w:val="007B293F"/>
    <w:rsid w:val="007B2945"/>
    <w:rsid w:val="007B2B96"/>
    <w:rsid w:val="007B2D95"/>
    <w:rsid w:val="007B31DB"/>
    <w:rsid w:val="007B3269"/>
    <w:rsid w:val="007B379F"/>
    <w:rsid w:val="007B37AB"/>
    <w:rsid w:val="007B3918"/>
    <w:rsid w:val="007B3A4E"/>
    <w:rsid w:val="007B3A93"/>
    <w:rsid w:val="007B3CF5"/>
    <w:rsid w:val="007B408A"/>
    <w:rsid w:val="007B415E"/>
    <w:rsid w:val="007B4240"/>
    <w:rsid w:val="007B43D5"/>
    <w:rsid w:val="007B4436"/>
    <w:rsid w:val="007B455A"/>
    <w:rsid w:val="007B4714"/>
    <w:rsid w:val="007B4B7A"/>
    <w:rsid w:val="007B4CF2"/>
    <w:rsid w:val="007B4D47"/>
    <w:rsid w:val="007B4F18"/>
    <w:rsid w:val="007B4F3C"/>
    <w:rsid w:val="007B5083"/>
    <w:rsid w:val="007B53E2"/>
    <w:rsid w:val="007B54E3"/>
    <w:rsid w:val="007B5959"/>
    <w:rsid w:val="007B5A5C"/>
    <w:rsid w:val="007B5B63"/>
    <w:rsid w:val="007B5E27"/>
    <w:rsid w:val="007B5ECF"/>
    <w:rsid w:val="007B602E"/>
    <w:rsid w:val="007B6728"/>
    <w:rsid w:val="007B6805"/>
    <w:rsid w:val="007B687F"/>
    <w:rsid w:val="007B6990"/>
    <w:rsid w:val="007B6C8B"/>
    <w:rsid w:val="007B6D10"/>
    <w:rsid w:val="007B7004"/>
    <w:rsid w:val="007B70AA"/>
    <w:rsid w:val="007B71CE"/>
    <w:rsid w:val="007B77B2"/>
    <w:rsid w:val="007B77F1"/>
    <w:rsid w:val="007B7862"/>
    <w:rsid w:val="007B7891"/>
    <w:rsid w:val="007B794B"/>
    <w:rsid w:val="007B7D29"/>
    <w:rsid w:val="007B7F04"/>
    <w:rsid w:val="007B7FE5"/>
    <w:rsid w:val="007C0159"/>
    <w:rsid w:val="007C017A"/>
    <w:rsid w:val="007C03AB"/>
    <w:rsid w:val="007C04F1"/>
    <w:rsid w:val="007C04F2"/>
    <w:rsid w:val="007C05EB"/>
    <w:rsid w:val="007C06E8"/>
    <w:rsid w:val="007C0EDF"/>
    <w:rsid w:val="007C0EFB"/>
    <w:rsid w:val="007C0F28"/>
    <w:rsid w:val="007C1284"/>
    <w:rsid w:val="007C156E"/>
    <w:rsid w:val="007C1BC7"/>
    <w:rsid w:val="007C1E28"/>
    <w:rsid w:val="007C219F"/>
    <w:rsid w:val="007C28EB"/>
    <w:rsid w:val="007C2F0D"/>
    <w:rsid w:val="007C2FC1"/>
    <w:rsid w:val="007C2FF6"/>
    <w:rsid w:val="007C3076"/>
    <w:rsid w:val="007C30C2"/>
    <w:rsid w:val="007C31B9"/>
    <w:rsid w:val="007C360E"/>
    <w:rsid w:val="007C3906"/>
    <w:rsid w:val="007C3BF0"/>
    <w:rsid w:val="007C3C1D"/>
    <w:rsid w:val="007C3D9C"/>
    <w:rsid w:val="007C3DE5"/>
    <w:rsid w:val="007C3DF8"/>
    <w:rsid w:val="007C3F42"/>
    <w:rsid w:val="007C4064"/>
    <w:rsid w:val="007C425E"/>
    <w:rsid w:val="007C42F5"/>
    <w:rsid w:val="007C4951"/>
    <w:rsid w:val="007C4DFB"/>
    <w:rsid w:val="007C4F27"/>
    <w:rsid w:val="007C50CC"/>
    <w:rsid w:val="007C510C"/>
    <w:rsid w:val="007C529D"/>
    <w:rsid w:val="007C54D5"/>
    <w:rsid w:val="007C59B6"/>
    <w:rsid w:val="007C5C7E"/>
    <w:rsid w:val="007C5CF4"/>
    <w:rsid w:val="007C60C5"/>
    <w:rsid w:val="007C641C"/>
    <w:rsid w:val="007C663F"/>
    <w:rsid w:val="007C675D"/>
    <w:rsid w:val="007C6AF3"/>
    <w:rsid w:val="007C6BEB"/>
    <w:rsid w:val="007C6F03"/>
    <w:rsid w:val="007C70D1"/>
    <w:rsid w:val="007C7715"/>
    <w:rsid w:val="007C7963"/>
    <w:rsid w:val="007C7A1A"/>
    <w:rsid w:val="007D0141"/>
    <w:rsid w:val="007D01AF"/>
    <w:rsid w:val="007D066E"/>
    <w:rsid w:val="007D0A5B"/>
    <w:rsid w:val="007D0B44"/>
    <w:rsid w:val="007D0D5F"/>
    <w:rsid w:val="007D11D4"/>
    <w:rsid w:val="007D128E"/>
    <w:rsid w:val="007D13FD"/>
    <w:rsid w:val="007D1589"/>
    <w:rsid w:val="007D15FD"/>
    <w:rsid w:val="007D199A"/>
    <w:rsid w:val="007D1C50"/>
    <w:rsid w:val="007D2281"/>
    <w:rsid w:val="007D25B2"/>
    <w:rsid w:val="007D25D9"/>
    <w:rsid w:val="007D2755"/>
    <w:rsid w:val="007D2A89"/>
    <w:rsid w:val="007D2EBE"/>
    <w:rsid w:val="007D317C"/>
    <w:rsid w:val="007D33CF"/>
    <w:rsid w:val="007D3407"/>
    <w:rsid w:val="007D348D"/>
    <w:rsid w:val="007D3594"/>
    <w:rsid w:val="007D36FA"/>
    <w:rsid w:val="007D37FA"/>
    <w:rsid w:val="007D3866"/>
    <w:rsid w:val="007D396A"/>
    <w:rsid w:val="007D398B"/>
    <w:rsid w:val="007D39C0"/>
    <w:rsid w:val="007D3C44"/>
    <w:rsid w:val="007D3EB2"/>
    <w:rsid w:val="007D3FBC"/>
    <w:rsid w:val="007D410D"/>
    <w:rsid w:val="007D422A"/>
    <w:rsid w:val="007D43A3"/>
    <w:rsid w:val="007D4600"/>
    <w:rsid w:val="007D493C"/>
    <w:rsid w:val="007D4AA7"/>
    <w:rsid w:val="007D4BDD"/>
    <w:rsid w:val="007D4E20"/>
    <w:rsid w:val="007D506A"/>
    <w:rsid w:val="007D53E7"/>
    <w:rsid w:val="007D5809"/>
    <w:rsid w:val="007D58D7"/>
    <w:rsid w:val="007D5A3A"/>
    <w:rsid w:val="007D5A77"/>
    <w:rsid w:val="007D5C3B"/>
    <w:rsid w:val="007D5D6D"/>
    <w:rsid w:val="007D5DD0"/>
    <w:rsid w:val="007D5EDA"/>
    <w:rsid w:val="007D6188"/>
    <w:rsid w:val="007D6240"/>
    <w:rsid w:val="007D63CF"/>
    <w:rsid w:val="007D63FF"/>
    <w:rsid w:val="007D6803"/>
    <w:rsid w:val="007D6BED"/>
    <w:rsid w:val="007D6F5A"/>
    <w:rsid w:val="007D70D1"/>
    <w:rsid w:val="007D7379"/>
    <w:rsid w:val="007D75B9"/>
    <w:rsid w:val="007D75E4"/>
    <w:rsid w:val="007D7680"/>
    <w:rsid w:val="007D77CE"/>
    <w:rsid w:val="007D7905"/>
    <w:rsid w:val="007D7923"/>
    <w:rsid w:val="007D7DEC"/>
    <w:rsid w:val="007D7E99"/>
    <w:rsid w:val="007D7EB3"/>
    <w:rsid w:val="007E0255"/>
    <w:rsid w:val="007E02FF"/>
    <w:rsid w:val="007E030B"/>
    <w:rsid w:val="007E045E"/>
    <w:rsid w:val="007E06A3"/>
    <w:rsid w:val="007E0BAC"/>
    <w:rsid w:val="007E0C7B"/>
    <w:rsid w:val="007E0EE2"/>
    <w:rsid w:val="007E0F17"/>
    <w:rsid w:val="007E1081"/>
    <w:rsid w:val="007E1C07"/>
    <w:rsid w:val="007E1E59"/>
    <w:rsid w:val="007E1E86"/>
    <w:rsid w:val="007E1FE4"/>
    <w:rsid w:val="007E22E5"/>
    <w:rsid w:val="007E2534"/>
    <w:rsid w:val="007E261A"/>
    <w:rsid w:val="007E2A07"/>
    <w:rsid w:val="007E2A94"/>
    <w:rsid w:val="007E2CBA"/>
    <w:rsid w:val="007E2CFA"/>
    <w:rsid w:val="007E2E1B"/>
    <w:rsid w:val="007E2E66"/>
    <w:rsid w:val="007E2F18"/>
    <w:rsid w:val="007E2F64"/>
    <w:rsid w:val="007E3354"/>
    <w:rsid w:val="007E373E"/>
    <w:rsid w:val="007E39D4"/>
    <w:rsid w:val="007E3A2F"/>
    <w:rsid w:val="007E3BAE"/>
    <w:rsid w:val="007E43D2"/>
    <w:rsid w:val="007E47BA"/>
    <w:rsid w:val="007E4AE8"/>
    <w:rsid w:val="007E4B56"/>
    <w:rsid w:val="007E4C31"/>
    <w:rsid w:val="007E4D4B"/>
    <w:rsid w:val="007E4EB2"/>
    <w:rsid w:val="007E4F6F"/>
    <w:rsid w:val="007E50CB"/>
    <w:rsid w:val="007E520E"/>
    <w:rsid w:val="007E523E"/>
    <w:rsid w:val="007E53CB"/>
    <w:rsid w:val="007E5649"/>
    <w:rsid w:val="007E5741"/>
    <w:rsid w:val="007E58EB"/>
    <w:rsid w:val="007E5C85"/>
    <w:rsid w:val="007E60D5"/>
    <w:rsid w:val="007E61F1"/>
    <w:rsid w:val="007E621B"/>
    <w:rsid w:val="007E6357"/>
    <w:rsid w:val="007E635A"/>
    <w:rsid w:val="007E6498"/>
    <w:rsid w:val="007E65DC"/>
    <w:rsid w:val="007E6C8E"/>
    <w:rsid w:val="007E6CB0"/>
    <w:rsid w:val="007E6D1B"/>
    <w:rsid w:val="007E6E9F"/>
    <w:rsid w:val="007E6F10"/>
    <w:rsid w:val="007E7073"/>
    <w:rsid w:val="007E71D1"/>
    <w:rsid w:val="007E739E"/>
    <w:rsid w:val="007E76E8"/>
    <w:rsid w:val="007E789F"/>
    <w:rsid w:val="007E7D9A"/>
    <w:rsid w:val="007E7FB0"/>
    <w:rsid w:val="007F01A8"/>
    <w:rsid w:val="007F0680"/>
    <w:rsid w:val="007F0766"/>
    <w:rsid w:val="007F088E"/>
    <w:rsid w:val="007F0945"/>
    <w:rsid w:val="007F0BBC"/>
    <w:rsid w:val="007F0CFA"/>
    <w:rsid w:val="007F0FB3"/>
    <w:rsid w:val="007F100E"/>
    <w:rsid w:val="007F1017"/>
    <w:rsid w:val="007F10DF"/>
    <w:rsid w:val="007F10F5"/>
    <w:rsid w:val="007F11E7"/>
    <w:rsid w:val="007F1244"/>
    <w:rsid w:val="007F1344"/>
    <w:rsid w:val="007F147C"/>
    <w:rsid w:val="007F172B"/>
    <w:rsid w:val="007F1C3F"/>
    <w:rsid w:val="007F2158"/>
    <w:rsid w:val="007F2284"/>
    <w:rsid w:val="007F24B6"/>
    <w:rsid w:val="007F25C3"/>
    <w:rsid w:val="007F289E"/>
    <w:rsid w:val="007F2AA7"/>
    <w:rsid w:val="007F2B29"/>
    <w:rsid w:val="007F2B90"/>
    <w:rsid w:val="007F2EFB"/>
    <w:rsid w:val="007F3186"/>
    <w:rsid w:val="007F3229"/>
    <w:rsid w:val="007F3409"/>
    <w:rsid w:val="007F35D9"/>
    <w:rsid w:val="007F366F"/>
    <w:rsid w:val="007F387A"/>
    <w:rsid w:val="007F3CDB"/>
    <w:rsid w:val="007F3DE7"/>
    <w:rsid w:val="007F3E45"/>
    <w:rsid w:val="007F3F6B"/>
    <w:rsid w:val="007F4069"/>
    <w:rsid w:val="007F43AD"/>
    <w:rsid w:val="007F43FE"/>
    <w:rsid w:val="007F46D7"/>
    <w:rsid w:val="007F470D"/>
    <w:rsid w:val="007F4BBA"/>
    <w:rsid w:val="007F4CBD"/>
    <w:rsid w:val="007F5018"/>
    <w:rsid w:val="007F5275"/>
    <w:rsid w:val="007F53CC"/>
    <w:rsid w:val="007F5A64"/>
    <w:rsid w:val="007F5DFE"/>
    <w:rsid w:val="007F5F0D"/>
    <w:rsid w:val="007F60A8"/>
    <w:rsid w:val="007F61AF"/>
    <w:rsid w:val="007F62D8"/>
    <w:rsid w:val="007F6BB2"/>
    <w:rsid w:val="007F6BD1"/>
    <w:rsid w:val="007F6E41"/>
    <w:rsid w:val="007F71A3"/>
    <w:rsid w:val="007F76AA"/>
    <w:rsid w:val="007F7794"/>
    <w:rsid w:val="007F793E"/>
    <w:rsid w:val="007F7C19"/>
    <w:rsid w:val="007F7D52"/>
    <w:rsid w:val="007F7F12"/>
    <w:rsid w:val="008004C5"/>
    <w:rsid w:val="00800569"/>
    <w:rsid w:val="00800B5E"/>
    <w:rsid w:val="00801533"/>
    <w:rsid w:val="0080154B"/>
    <w:rsid w:val="0080159E"/>
    <w:rsid w:val="00801609"/>
    <w:rsid w:val="00801662"/>
    <w:rsid w:val="008016D8"/>
    <w:rsid w:val="00801723"/>
    <w:rsid w:val="008022C8"/>
    <w:rsid w:val="008023F0"/>
    <w:rsid w:val="00802430"/>
    <w:rsid w:val="008027A4"/>
    <w:rsid w:val="00802813"/>
    <w:rsid w:val="00802C00"/>
    <w:rsid w:val="00802D0E"/>
    <w:rsid w:val="00802EFE"/>
    <w:rsid w:val="0080305D"/>
    <w:rsid w:val="00803759"/>
    <w:rsid w:val="00803801"/>
    <w:rsid w:val="00803D94"/>
    <w:rsid w:val="008042FF"/>
    <w:rsid w:val="008044AC"/>
    <w:rsid w:val="0080450E"/>
    <w:rsid w:val="008048BD"/>
    <w:rsid w:val="0080492A"/>
    <w:rsid w:val="008049E4"/>
    <w:rsid w:val="00804B67"/>
    <w:rsid w:val="00804D49"/>
    <w:rsid w:val="00804EBB"/>
    <w:rsid w:val="00804EBD"/>
    <w:rsid w:val="00805180"/>
    <w:rsid w:val="0080519D"/>
    <w:rsid w:val="008053B2"/>
    <w:rsid w:val="0080554F"/>
    <w:rsid w:val="00805973"/>
    <w:rsid w:val="008059E2"/>
    <w:rsid w:val="008059FE"/>
    <w:rsid w:val="00805BAB"/>
    <w:rsid w:val="00805FB6"/>
    <w:rsid w:val="008060B0"/>
    <w:rsid w:val="00806433"/>
    <w:rsid w:val="00806A1F"/>
    <w:rsid w:val="00806BAC"/>
    <w:rsid w:val="00806D97"/>
    <w:rsid w:val="00806DAF"/>
    <w:rsid w:val="008073DA"/>
    <w:rsid w:val="008077BA"/>
    <w:rsid w:val="008078B1"/>
    <w:rsid w:val="00807911"/>
    <w:rsid w:val="00807A78"/>
    <w:rsid w:val="00807B10"/>
    <w:rsid w:val="00807BEB"/>
    <w:rsid w:val="00807CAA"/>
    <w:rsid w:val="00807DAD"/>
    <w:rsid w:val="00807DDB"/>
    <w:rsid w:val="00807F9F"/>
    <w:rsid w:val="00807FF9"/>
    <w:rsid w:val="008101F7"/>
    <w:rsid w:val="008102B2"/>
    <w:rsid w:val="008105D1"/>
    <w:rsid w:val="00810B89"/>
    <w:rsid w:val="00810BE2"/>
    <w:rsid w:val="00810C0E"/>
    <w:rsid w:val="00810C92"/>
    <w:rsid w:val="00810D4B"/>
    <w:rsid w:val="00810E3F"/>
    <w:rsid w:val="00810F16"/>
    <w:rsid w:val="00810FA0"/>
    <w:rsid w:val="008113A3"/>
    <w:rsid w:val="008117C4"/>
    <w:rsid w:val="0081206D"/>
    <w:rsid w:val="00812489"/>
    <w:rsid w:val="00812C82"/>
    <w:rsid w:val="00812FE8"/>
    <w:rsid w:val="00813182"/>
    <w:rsid w:val="00813888"/>
    <w:rsid w:val="008139B3"/>
    <w:rsid w:val="00813A7B"/>
    <w:rsid w:val="00813DE0"/>
    <w:rsid w:val="00813FA4"/>
    <w:rsid w:val="00813FAC"/>
    <w:rsid w:val="0081400B"/>
    <w:rsid w:val="00814B39"/>
    <w:rsid w:val="00814BEB"/>
    <w:rsid w:val="00814C59"/>
    <w:rsid w:val="00814CEF"/>
    <w:rsid w:val="00814D83"/>
    <w:rsid w:val="0081535B"/>
    <w:rsid w:val="00815574"/>
    <w:rsid w:val="00815D21"/>
    <w:rsid w:val="008162B2"/>
    <w:rsid w:val="008165A5"/>
    <w:rsid w:val="0081668A"/>
    <w:rsid w:val="00816840"/>
    <w:rsid w:val="00816933"/>
    <w:rsid w:val="008169A7"/>
    <w:rsid w:val="00816B78"/>
    <w:rsid w:val="00816B85"/>
    <w:rsid w:val="00816DB3"/>
    <w:rsid w:val="00816E03"/>
    <w:rsid w:val="00816E08"/>
    <w:rsid w:val="00816E7D"/>
    <w:rsid w:val="00816FCB"/>
    <w:rsid w:val="00817192"/>
    <w:rsid w:val="0081751F"/>
    <w:rsid w:val="00817728"/>
    <w:rsid w:val="00817949"/>
    <w:rsid w:val="00817ABA"/>
    <w:rsid w:val="00817B5E"/>
    <w:rsid w:val="00817B94"/>
    <w:rsid w:val="00817E51"/>
    <w:rsid w:val="00817E69"/>
    <w:rsid w:val="008203ED"/>
    <w:rsid w:val="00820499"/>
    <w:rsid w:val="008204CE"/>
    <w:rsid w:val="008205D5"/>
    <w:rsid w:val="008209EB"/>
    <w:rsid w:val="00820A37"/>
    <w:rsid w:val="00820B1A"/>
    <w:rsid w:val="00820E6B"/>
    <w:rsid w:val="00820E9F"/>
    <w:rsid w:val="00821016"/>
    <w:rsid w:val="00821230"/>
    <w:rsid w:val="0082136B"/>
    <w:rsid w:val="0082155A"/>
    <w:rsid w:val="00821583"/>
    <w:rsid w:val="008216F1"/>
    <w:rsid w:val="00821845"/>
    <w:rsid w:val="008219D6"/>
    <w:rsid w:val="00821B2E"/>
    <w:rsid w:val="00821CAC"/>
    <w:rsid w:val="008224DA"/>
    <w:rsid w:val="0082276F"/>
    <w:rsid w:val="0082292F"/>
    <w:rsid w:val="008229BA"/>
    <w:rsid w:val="00822D0F"/>
    <w:rsid w:val="00822D26"/>
    <w:rsid w:val="00822E0E"/>
    <w:rsid w:val="008230BE"/>
    <w:rsid w:val="0082323A"/>
    <w:rsid w:val="008232ED"/>
    <w:rsid w:val="0082339F"/>
    <w:rsid w:val="008234D3"/>
    <w:rsid w:val="008235DD"/>
    <w:rsid w:val="008235F1"/>
    <w:rsid w:val="008238E0"/>
    <w:rsid w:val="008239DD"/>
    <w:rsid w:val="00823FF6"/>
    <w:rsid w:val="00824027"/>
    <w:rsid w:val="00824151"/>
    <w:rsid w:val="00824214"/>
    <w:rsid w:val="008242A0"/>
    <w:rsid w:val="00824854"/>
    <w:rsid w:val="00824857"/>
    <w:rsid w:val="00824C60"/>
    <w:rsid w:val="00824D4D"/>
    <w:rsid w:val="00824E25"/>
    <w:rsid w:val="00824E7E"/>
    <w:rsid w:val="00824FFF"/>
    <w:rsid w:val="0082595C"/>
    <w:rsid w:val="00825A86"/>
    <w:rsid w:val="00825B54"/>
    <w:rsid w:val="00825B5F"/>
    <w:rsid w:val="00825BA7"/>
    <w:rsid w:val="00825C56"/>
    <w:rsid w:val="00825C76"/>
    <w:rsid w:val="00825D26"/>
    <w:rsid w:val="00825F6B"/>
    <w:rsid w:val="00826100"/>
    <w:rsid w:val="008264D1"/>
    <w:rsid w:val="008266CD"/>
    <w:rsid w:val="00826795"/>
    <w:rsid w:val="008269FA"/>
    <w:rsid w:val="00826E9D"/>
    <w:rsid w:val="00827049"/>
    <w:rsid w:val="008271C1"/>
    <w:rsid w:val="008271CE"/>
    <w:rsid w:val="00827AAE"/>
    <w:rsid w:val="00827C06"/>
    <w:rsid w:val="00827CB9"/>
    <w:rsid w:val="00827F66"/>
    <w:rsid w:val="00827FFB"/>
    <w:rsid w:val="0083022F"/>
    <w:rsid w:val="00830253"/>
    <w:rsid w:val="00830623"/>
    <w:rsid w:val="008308BD"/>
    <w:rsid w:val="00830959"/>
    <w:rsid w:val="00830BB5"/>
    <w:rsid w:val="00830CCD"/>
    <w:rsid w:val="008310FB"/>
    <w:rsid w:val="00831239"/>
    <w:rsid w:val="008313A5"/>
    <w:rsid w:val="008315C8"/>
    <w:rsid w:val="00831A43"/>
    <w:rsid w:val="00831A6A"/>
    <w:rsid w:val="00831B0F"/>
    <w:rsid w:val="00831E0C"/>
    <w:rsid w:val="00831E5A"/>
    <w:rsid w:val="00831FE4"/>
    <w:rsid w:val="00831FE9"/>
    <w:rsid w:val="00832076"/>
    <w:rsid w:val="00832081"/>
    <w:rsid w:val="008321B7"/>
    <w:rsid w:val="00832204"/>
    <w:rsid w:val="00832442"/>
    <w:rsid w:val="0083256F"/>
    <w:rsid w:val="00832878"/>
    <w:rsid w:val="00832B37"/>
    <w:rsid w:val="00832BB1"/>
    <w:rsid w:val="00832EE9"/>
    <w:rsid w:val="00833199"/>
    <w:rsid w:val="00833450"/>
    <w:rsid w:val="008334EE"/>
    <w:rsid w:val="00833632"/>
    <w:rsid w:val="0083382C"/>
    <w:rsid w:val="00833A67"/>
    <w:rsid w:val="00833AB1"/>
    <w:rsid w:val="00833C1D"/>
    <w:rsid w:val="00833D32"/>
    <w:rsid w:val="008340C0"/>
    <w:rsid w:val="008341F6"/>
    <w:rsid w:val="008343FE"/>
    <w:rsid w:val="00834921"/>
    <w:rsid w:val="00834AB3"/>
    <w:rsid w:val="00834AEE"/>
    <w:rsid w:val="00834B5B"/>
    <w:rsid w:val="00834BAB"/>
    <w:rsid w:val="00834D06"/>
    <w:rsid w:val="008352E3"/>
    <w:rsid w:val="008352EE"/>
    <w:rsid w:val="00835526"/>
    <w:rsid w:val="00835812"/>
    <w:rsid w:val="00835901"/>
    <w:rsid w:val="00835B29"/>
    <w:rsid w:val="00835B90"/>
    <w:rsid w:val="00835BC5"/>
    <w:rsid w:val="00835D78"/>
    <w:rsid w:val="00836017"/>
    <w:rsid w:val="00836266"/>
    <w:rsid w:val="00836762"/>
    <w:rsid w:val="00836ACB"/>
    <w:rsid w:val="00836C82"/>
    <w:rsid w:val="00836CCD"/>
    <w:rsid w:val="00836F5C"/>
    <w:rsid w:val="008370ED"/>
    <w:rsid w:val="0083719E"/>
    <w:rsid w:val="008371CF"/>
    <w:rsid w:val="008372B1"/>
    <w:rsid w:val="008375D7"/>
    <w:rsid w:val="00837FD0"/>
    <w:rsid w:val="00840404"/>
    <w:rsid w:val="008404B9"/>
    <w:rsid w:val="00840568"/>
    <w:rsid w:val="0084090C"/>
    <w:rsid w:val="008412A6"/>
    <w:rsid w:val="00841390"/>
    <w:rsid w:val="008415D4"/>
    <w:rsid w:val="00841631"/>
    <w:rsid w:val="0084168F"/>
    <w:rsid w:val="0084179D"/>
    <w:rsid w:val="00841848"/>
    <w:rsid w:val="00841958"/>
    <w:rsid w:val="0084197F"/>
    <w:rsid w:val="00841A66"/>
    <w:rsid w:val="00841AE5"/>
    <w:rsid w:val="00841C0C"/>
    <w:rsid w:val="00841D80"/>
    <w:rsid w:val="00841F07"/>
    <w:rsid w:val="008420DE"/>
    <w:rsid w:val="008421C9"/>
    <w:rsid w:val="008422C9"/>
    <w:rsid w:val="00842466"/>
    <w:rsid w:val="0084246D"/>
    <w:rsid w:val="0084275E"/>
    <w:rsid w:val="00842B78"/>
    <w:rsid w:val="00842DA9"/>
    <w:rsid w:val="00842DEE"/>
    <w:rsid w:val="0084353A"/>
    <w:rsid w:val="0084359E"/>
    <w:rsid w:val="00843635"/>
    <w:rsid w:val="00843692"/>
    <w:rsid w:val="00843732"/>
    <w:rsid w:val="008437AE"/>
    <w:rsid w:val="00843800"/>
    <w:rsid w:val="00843A66"/>
    <w:rsid w:val="00843B87"/>
    <w:rsid w:val="00843D50"/>
    <w:rsid w:val="00843DE1"/>
    <w:rsid w:val="00843E9C"/>
    <w:rsid w:val="00844108"/>
    <w:rsid w:val="008441A3"/>
    <w:rsid w:val="008441E3"/>
    <w:rsid w:val="0084444D"/>
    <w:rsid w:val="008445F4"/>
    <w:rsid w:val="0084473A"/>
    <w:rsid w:val="00844CC8"/>
    <w:rsid w:val="00844F1B"/>
    <w:rsid w:val="00845390"/>
    <w:rsid w:val="0084568C"/>
    <w:rsid w:val="0084571D"/>
    <w:rsid w:val="00845A43"/>
    <w:rsid w:val="00845D26"/>
    <w:rsid w:val="00845D69"/>
    <w:rsid w:val="0084601B"/>
    <w:rsid w:val="00846070"/>
    <w:rsid w:val="0084653B"/>
    <w:rsid w:val="008468C4"/>
    <w:rsid w:val="008468C8"/>
    <w:rsid w:val="00846B9A"/>
    <w:rsid w:val="00846C74"/>
    <w:rsid w:val="00846CE0"/>
    <w:rsid w:val="00846FCC"/>
    <w:rsid w:val="0084790D"/>
    <w:rsid w:val="00847EE3"/>
    <w:rsid w:val="00850047"/>
    <w:rsid w:val="00850156"/>
    <w:rsid w:val="00850228"/>
    <w:rsid w:val="0085025A"/>
    <w:rsid w:val="008504E5"/>
    <w:rsid w:val="0085058E"/>
    <w:rsid w:val="00850644"/>
    <w:rsid w:val="00850731"/>
    <w:rsid w:val="00850914"/>
    <w:rsid w:val="00850A3C"/>
    <w:rsid w:val="00850B77"/>
    <w:rsid w:val="00851088"/>
    <w:rsid w:val="00851862"/>
    <w:rsid w:val="00851B3B"/>
    <w:rsid w:val="00851D53"/>
    <w:rsid w:val="00851DB3"/>
    <w:rsid w:val="00852032"/>
    <w:rsid w:val="00852471"/>
    <w:rsid w:val="008524FC"/>
    <w:rsid w:val="0085258C"/>
    <w:rsid w:val="00852621"/>
    <w:rsid w:val="008528D0"/>
    <w:rsid w:val="00852AA1"/>
    <w:rsid w:val="00852BA2"/>
    <w:rsid w:val="00852D42"/>
    <w:rsid w:val="00852FA6"/>
    <w:rsid w:val="00852FEA"/>
    <w:rsid w:val="0085300C"/>
    <w:rsid w:val="0085342B"/>
    <w:rsid w:val="008535F0"/>
    <w:rsid w:val="00853799"/>
    <w:rsid w:val="008537C9"/>
    <w:rsid w:val="008538E8"/>
    <w:rsid w:val="0085391D"/>
    <w:rsid w:val="00853C45"/>
    <w:rsid w:val="00853DB9"/>
    <w:rsid w:val="00853DF1"/>
    <w:rsid w:val="00853E71"/>
    <w:rsid w:val="00854225"/>
    <w:rsid w:val="00854449"/>
    <w:rsid w:val="008545D1"/>
    <w:rsid w:val="0085460F"/>
    <w:rsid w:val="0085491D"/>
    <w:rsid w:val="00854A98"/>
    <w:rsid w:val="00854BEF"/>
    <w:rsid w:val="00854F4B"/>
    <w:rsid w:val="00855002"/>
    <w:rsid w:val="00855347"/>
    <w:rsid w:val="008557E8"/>
    <w:rsid w:val="008558D8"/>
    <w:rsid w:val="00855B74"/>
    <w:rsid w:val="00855C6B"/>
    <w:rsid w:val="00856152"/>
    <w:rsid w:val="008561FB"/>
    <w:rsid w:val="008567CC"/>
    <w:rsid w:val="008568A3"/>
    <w:rsid w:val="00856E74"/>
    <w:rsid w:val="00856F99"/>
    <w:rsid w:val="00857718"/>
    <w:rsid w:val="008577F9"/>
    <w:rsid w:val="00857D6B"/>
    <w:rsid w:val="00857DA4"/>
    <w:rsid w:val="00857F2C"/>
    <w:rsid w:val="0086034B"/>
    <w:rsid w:val="008606F0"/>
    <w:rsid w:val="00860717"/>
    <w:rsid w:val="00860B39"/>
    <w:rsid w:val="00861018"/>
    <w:rsid w:val="00861209"/>
    <w:rsid w:val="00861244"/>
    <w:rsid w:val="008616AE"/>
    <w:rsid w:val="00861B51"/>
    <w:rsid w:val="00861BF2"/>
    <w:rsid w:val="00861C55"/>
    <w:rsid w:val="00861E9B"/>
    <w:rsid w:val="00861F87"/>
    <w:rsid w:val="008622FF"/>
    <w:rsid w:val="00862309"/>
    <w:rsid w:val="008625D4"/>
    <w:rsid w:val="00862632"/>
    <w:rsid w:val="00862A9F"/>
    <w:rsid w:val="00862AF4"/>
    <w:rsid w:val="00862D56"/>
    <w:rsid w:val="00862E3E"/>
    <w:rsid w:val="00862E8B"/>
    <w:rsid w:val="00862F96"/>
    <w:rsid w:val="0086327F"/>
    <w:rsid w:val="008634FB"/>
    <w:rsid w:val="00863523"/>
    <w:rsid w:val="00863837"/>
    <w:rsid w:val="008639ED"/>
    <w:rsid w:val="00863AC4"/>
    <w:rsid w:val="00863BF4"/>
    <w:rsid w:val="00863F45"/>
    <w:rsid w:val="00864A6D"/>
    <w:rsid w:val="00864FC4"/>
    <w:rsid w:val="00865397"/>
    <w:rsid w:val="00865489"/>
    <w:rsid w:val="0086553D"/>
    <w:rsid w:val="00865E1B"/>
    <w:rsid w:val="00865E84"/>
    <w:rsid w:val="00865E8D"/>
    <w:rsid w:val="008661C2"/>
    <w:rsid w:val="008661E4"/>
    <w:rsid w:val="008661E6"/>
    <w:rsid w:val="00866422"/>
    <w:rsid w:val="008667D4"/>
    <w:rsid w:val="00866A37"/>
    <w:rsid w:val="00866B2B"/>
    <w:rsid w:val="00866BB8"/>
    <w:rsid w:val="00866E4F"/>
    <w:rsid w:val="00866F33"/>
    <w:rsid w:val="00866FF7"/>
    <w:rsid w:val="0086752F"/>
    <w:rsid w:val="0086795B"/>
    <w:rsid w:val="00867A5D"/>
    <w:rsid w:val="00867B8E"/>
    <w:rsid w:val="00867BB2"/>
    <w:rsid w:val="00870270"/>
    <w:rsid w:val="00870B65"/>
    <w:rsid w:val="00870E2D"/>
    <w:rsid w:val="00870F5E"/>
    <w:rsid w:val="008717A9"/>
    <w:rsid w:val="00871856"/>
    <w:rsid w:val="00871AEC"/>
    <w:rsid w:val="00871AF9"/>
    <w:rsid w:val="00871DB2"/>
    <w:rsid w:val="00872180"/>
    <w:rsid w:val="008724BB"/>
    <w:rsid w:val="00872731"/>
    <w:rsid w:val="008727C6"/>
    <w:rsid w:val="00872BEC"/>
    <w:rsid w:val="00872E14"/>
    <w:rsid w:val="00872F8D"/>
    <w:rsid w:val="00872FE5"/>
    <w:rsid w:val="008730A5"/>
    <w:rsid w:val="0087328B"/>
    <w:rsid w:val="0087328C"/>
    <w:rsid w:val="0087358B"/>
    <w:rsid w:val="0087367C"/>
    <w:rsid w:val="008739E2"/>
    <w:rsid w:val="00874174"/>
    <w:rsid w:val="008743E4"/>
    <w:rsid w:val="00874419"/>
    <w:rsid w:val="008745B1"/>
    <w:rsid w:val="008746E8"/>
    <w:rsid w:val="00874812"/>
    <w:rsid w:val="00874935"/>
    <w:rsid w:val="00874C67"/>
    <w:rsid w:val="00874DC4"/>
    <w:rsid w:val="00874E02"/>
    <w:rsid w:val="00874FEB"/>
    <w:rsid w:val="00875102"/>
    <w:rsid w:val="00875809"/>
    <w:rsid w:val="00875C67"/>
    <w:rsid w:val="00875E1C"/>
    <w:rsid w:val="00876B27"/>
    <w:rsid w:val="00876BEA"/>
    <w:rsid w:val="00876CD1"/>
    <w:rsid w:val="0087771D"/>
    <w:rsid w:val="00877833"/>
    <w:rsid w:val="00877DC8"/>
    <w:rsid w:val="0088042D"/>
    <w:rsid w:val="00880806"/>
    <w:rsid w:val="008809C1"/>
    <w:rsid w:val="00880A6B"/>
    <w:rsid w:val="00880A8D"/>
    <w:rsid w:val="00880A90"/>
    <w:rsid w:val="00880AA0"/>
    <w:rsid w:val="00880AED"/>
    <w:rsid w:val="00880C42"/>
    <w:rsid w:val="008814AA"/>
    <w:rsid w:val="008817B3"/>
    <w:rsid w:val="008817F6"/>
    <w:rsid w:val="008818C9"/>
    <w:rsid w:val="0088199B"/>
    <w:rsid w:val="008819FC"/>
    <w:rsid w:val="00881B6F"/>
    <w:rsid w:val="00881BEA"/>
    <w:rsid w:val="00881C12"/>
    <w:rsid w:val="00881CE9"/>
    <w:rsid w:val="00881D02"/>
    <w:rsid w:val="00881E2B"/>
    <w:rsid w:val="00881E2E"/>
    <w:rsid w:val="00881EE5"/>
    <w:rsid w:val="008823F4"/>
    <w:rsid w:val="008825DB"/>
    <w:rsid w:val="00882601"/>
    <w:rsid w:val="008826D9"/>
    <w:rsid w:val="00882805"/>
    <w:rsid w:val="00882AA4"/>
    <w:rsid w:val="00882BC7"/>
    <w:rsid w:val="00882D26"/>
    <w:rsid w:val="00882F2F"/>
    <w:rsid w:val="00882F46"/>
    <w:rsid w:val="00882F64"/>
    <w:rsid w:val="00883226"/>
    <w:rsid w:val="008837F6"/>
    <w:rsid w:val="00883881"/>
    <w:rsid w:val="0088391E"/>
    <w:rsid w:val="00883AA8"/>
    <w:rsid w:val="00883C33"/>
    <w:rsid w:val="00883E22"/>
    <w:rsid w:val="00883E3E"/>
    <w:rsid w:val="00883EC0"/>
    <w:rsid w:val="00884124"/>
    <w:rsid w:val="00884125"/>
    <w:rsid w:val="0088415D"/>
    <w:rsid w:val="00884397"/>
    <w:rsid w:val="0088464C"/>
    <w:rsid w:val="00884687"/>
    <w:rsid w:val="00884A38"/>
    <w:rsid w:val="00884CF3"/>
    <w:rsid w:val="00884E43"/>
    <w:rsid w:val="00885042"/>
    <w:rsid w:val="008851DF"/>
    <w:rsid w:val="00885946"/>
    <w:rsid w:val="00885D7D"/>
    <w:rsid w:val="008862F6"/>
    <w:rsid w:val="0088637A"/>
    <w:rsid w:val="00886391"/>
    <w:rsid w:val="008864D1"/>
    <w:rsid w:val="00886ADE"/>
    <w:rsid w:val="008871CA"/>
    <w:rsid w:val="008872B6"/>
    <w:rsid w:val="008872E0"/>
    <w:rsid w:val="00887461"/>
    <w:rsid w:val="00887AEC"/>
    <w:rsid w:val="00887C19"/>
    <w:rsid w:val="00887D5E"/>
    <w:rsid w:val="00887EC6"/>
    <w:rsid w:val="00887EF8"/>
    <w:rsid w:val="00890088"/>
    <w:rsid w:val="008901AC"/>
    <w:rsid w:val="0089059A"/>
    <w:rsid w:val="0089084C"/>
    <w:rsid w:val="008909E4"/>
    <w:rsid w:val="00891559"/>
    <w:rsid w:val="008915E5"/>
    <w:rsid w:val="0089183A"/>
    <w:rsid w:val="00891843"/>
    <w:rsid w:val="008918DF"/>
    <w:rsid w:val="00891C0D"/>
    <w:rsid w:val="00891C65"/>
    <w:rsid w:val="00892269"/>
    <w:rsid w:val="008924C7"/>
    <w:rsid w:val="0089254F"/>
    <w:rsid w:val="00892E4F"/>
    <w:rsid w:val="00893409"/>
    <w:rsid w:val="00893790"/>
    <w:rsid w:val="00893B46"/>
    <w:rsid w:val="00893D15"/>
    <w:rsid w:val="00893D9D"/>
    <w:rsid w:val="00893D9F"/>
    <w:rsid w:val="0089406E"/>
    <w:rsid w:val="0089424C"/>
    <w:rsid w:val="008945F9"/>
    <w:rsid w:val="008947B0"/>
    <w:rsid w:val="008949BA"/>
    <w:rsid w:val="00894A6D"/>
    <w:rsid w:val="00894B43"/>
    <w:rsid w:val="00894D8B"/>
    <w:rsid w:val="00895503"/>
    <w:rsid w:val="00895BFB"/>
    <w:rsid w:val="00895C4E"/>
    <w:rsid w:val="00895C84"/>
    <w:rsid w:val="0089635E"/>
    <w:rsid w:val="0089637D"/>
    <w:rsid w:val="008963D6"/>
    <w:rsid w:val="008966C4"/>
    <w:rsid w:val="008968C0"/>
    <w:rsid w:val="00896A38"/>
    <w:rsid w:val="00896D31"/>
    <w:rsid w:val="00896D56"/>
    <w:rsid w:val="00896F90"/>
    <w:rsid w:val="00897228"/>
    <w:rsid w:val="00897B90"/>
    <w:rsid w:val="00897B99"/>
    <w:rsid w:val="008A02AE"/>
    <w:rsid w:val="008A03A8"/>
    <w:rsid w:val="008A06B2"/>
    <w:rsid w:val="008A07E8"/>
    <w:rsid w:val="008A0A3A"/>
    <w:rsid w:val="008A0AC0"/>
    <w:rsid w:val="008A0BD5"/>
    <w:rsid w:val="008A0DD0"/>
    <w:rsid w:val="008A0DF6"/>
    <w:rsid w:val="008A0E97"/>
    <w:rsid w:val="008A0FE9"/>
    <w:rsid w:val="008A1163"/>
    <w:rsid w:val="008A135D"/>
    <w:rsid w:val="008A1586"/>
    <w:rsid w:val="008A1609"/>
    <w:rsid w:val="008A1996"/>
    <w:rsid w:val="008A1BCE"/>
    <w:rsid w:val="008A1C93"/>
    <w:rsid w:val="008A1D70"/>
    <w:rsid w:val="008A1DA6"/>
    <w:rsid w:val="008A1F2F"/>
    <w:rsid w:val="008A1F88"/>
    <w:rsid w:val="008A2024"/>
    <w:rsid w:val="008A20CB"/>
    <w:rsid w:val="008A2158"/>
    <w:rsid w:val="008A2379"/>
    <w:rsid w:val="008A2428"/>
    <w:rsid w:val="008A2B97"/>
    <w:rsid w:val="008A2C72"/>
    <w:rsid w:val="008A2CC3"/>
    <w:rsid w:val="008A2D51"/>
    <w:rsid w:val="008A2DF7"/>
    <w:rsid w:val="008A2E61"/>
    <w:rsid w:val="008A3244"/>
    <w:rsid w:val="008A3333"/>
    <w:rsid w:val="008A375B"/>
    <w:rsid w:val="008A3889"/>
    <w:rsid w:val="008A3B28"/>
    <w:rsid w:val="008A3BAC"/>
    <w:rsid w:val="008A3DA5"/>
    <w:rsid w:val="008A3F84"/>
    <w:rsid w:val="008A41D3"/>
    <w:rsid w:val="008A426D"/>
    <w:rsid w:val="008A4323"/>
    <w:rsid w:val="008A4329"/>
    <w:rsid w:val="008A4361"/>
    <w:rsid w:val="008A473F"/>
    <w:rsid w:val="008A503F"/>
    <w:rsid w:val="008A5349"/>
    <w:rsid w:val="008A577D"/>
    <w:rsid w:val="008A578E"/>
    <w:rsid w:val="008A579E"/>
    <w:rsid w:val="008A59C4"/>
    <w:rsid w:val="008A5ACC"/>
    <w:rsid w:val="008A5D06"/>
    <w:rsid w:val="008A5D14"/>
    <w:rsid w:val="008A5F91"/>
    <w:rsid w:val="008A5FF8"/>
    <w:rsid w:val="008A6064"/>
    <w:rsid w:val="008A617A"/>
    <w:rsid w:val="008A61FD"/>
    <w:rsid w:val="008A626D"/>
    <w:rsid w:val="008A64C3"/>
    <w:rsid w:val="008A64D0"/>
    <w:rsid w:val="008A6692"/>
    <w:rsid w:val="008A66EE"/>
    <w:rsid w:val="008A68B0"/>
    <w:rsid w:val="008A68B1"/>
    <w:rsid w:val="008A6AA1"/>
    <w:rsid w:val="008A6C32"/>
    <w:rsid w:val="008A6C4B"/>
    <w:rsid w:val="008A6C97"/>
    <w:rsid w:val="008A6CB2"/>
    <w:rsid w:val="008A6DAC"/>
    <w:rsid w:val="008A6F83"/>
    <w:rsid w:val="008A7207"/>
    <w:rsid w:val="008A7DA1"/>
    <w:rsid w:val="008A7E2A"/>
    <w:rsid w:val="008B01B2"/>
    <w:rsid w:val="008B0748"/>
    <w:rsid w:val="008B0932"/>
    <w:rsid w:val="008B0A16"/>
    <w:rsid w:val="008B0AEB"/>
    <w:rsid w:val="008B0B71"/>
    <w:rsid w:val="008B0C49"/>
    <w:rsid w:val="008B0E9D"/>
    <w:rsid w:val="008B0FA1"/>
    <w:rsid w:val="008B13F8"/>
    <w:rsid w:val="008B1519"/>
    <w:rsid w:val="008B1754"/>
    <w:rsid w:val="008B1856"/>
    <w:rsid w:val="008B18B5"/>
    <w:rsid w:val="008B1A1D"/>
    <w:rsid w:val="008B1E0B"/>
    <w:rsid w:val="008B1FF5"/>
    <w:rsid w:val="008B2165"/>
    <w:rsid w:val="008B2309"/>
    <w:rsid w:val="008B2736"/>
    <w:rsid w:val="008B2804"/>
    <w:rsid w:val="008B2A8A"/>
    <w:rsid w:val="008B2BFE"/>
    <w:rsid w:val="008B3032"/>
    <w:rsid w:val="008B3097"/>
    <w:rsid w:val="008B309F"/>
    <w:rsid w:val="008B3F93"/>
    <w:rsid w:val="008B4176"/>
    <w:rsid w:val="008B41BB"/>
    <w:rsid w:val="008B480D"/>
    <w:rsid w:val="008B4BD0"/>
    <w:rsid w:val="008B4FB3"/>
    <w:rsid w:val="008B512A"/>
    <w:rsid w:val="008B578F"/>
    <w:rsid w:val="008B57D0"/>
    <w:rsid w:val="008B5D15"/>
    <w:rsid w:val="008B603C"/>
    <w:rsid w:val="008B61E4"/>
    <w:rsid w:val="008B6288"/>
    <w:rsid w:val="008B629D"/>
    <w:rsid w:val="008B638C"/>
    <w:rsid w:val="008B7087"/>
    <w:rsid w:val="008B7173"/>
    <w:rsid w:val="008B7192"/>
    <w:rsid w:val="008B7575"/>
    <w:rsid w:val="008B786A"/>
    <w:rsid w:val="008B7A1F"/>
    <w:rsid w:val="008B7A26"/>
    <w:rsid w:val="008B7AC2"/>
    <w:rsid w:val="008B7B5B"/>
    <w:rsid w:val="008B7BC5"/>
    <w:rsid w:val="008B7BCC"/>
    <w:rsid w:val="008B7CCF"/>
    <w:rsid w:val="008C01E6"/>
    <w:rsid w:val="008C06EE"/>
    <w:rsid w:val="008C0701"/>
    <w:rsid w:val="008C0983"/>
    <w:rsid w:val="008C0C8A"/>
    <w:rsid w:val="008C0E6B"/>
    <w:rsid w:val="008C0E8E"/>
    <w:rsid w:val="008C0F4D"/>
    <w:rsid w:val="008C11C7"/>
    <w:rsid w:val="008C12A3"/>
    <w:rsid w:val="008C13BD"/>
    <w:rsid w:val="008C1813"/>
    <w:rsid w:val="008C18E7"/>
    <w:rsid w:val="008C18F0"/>
    <w:rsid w:val="008C1A7F"/>
    <w:rsid w:val="008C1B17"/>
    <w:rsid w:val="008C1C73"/>
    <w:rsid w:val="008C1D31"/>
    <w:rsid w:val="008C1DDB"/>
    <w:rsid w:val="008C1EEC"/>
    <w:rsid w:val="008C214A"/>
    <w:rsid w:val="008C2291"/>
    <w:rsid w:val="008C274B"/>
    <w:rsid w:val="008C27C9"/>
    <w:rsid w:val="008C297C"/>
    <w:rsid w:val="008C2A08"/>
    <w:rsid w:val="008C2B73"/>
    <w:rsid w:val="008C30C8"/>
    <w:rsid w:val="008C3260"/>
    <w:rsid w:val="008C33DC"/>
    <w:rsid w:val="008C3657"/>
    <w:rsid w:val="008C39F4"/>
    <w:rsid w:val="008C3D6B"/>
    <w:rsid w:val="008C3EFE"/>
    <w:rsid w:val="008C404F"/>
    <w:rsid w:val="008C40D7"/>
    <w:rsid w:val="008C4482"/>
    <w:rsid w:val="008C46DA"/>
    <w:rsid w:val="008C4765"/>
    <w:rsid w:val="008C4A96"/>
    <w:rsid w:val="008C4C11"/>
    <w:rsid w:val="008C4EC1"/>
    <w:rsid w:val="008C4ED3"/>
    <w:rsid w:val="008C50C3"/>
    <w:rsid w:val="008C52E8"/>
    <w:rsid w:val="008C559B"/>
    <w:rsid w:val="008C55DB"/>
    <w:rsid w:val="008C589C"/>
    <w:rsid w:val="008C59EF"/>
    <w:rsid w:val="008C5A32"/>
    <w:rsid w:val="008C5C0A"/>
    <w:rsid w:val="008C5DB2"/>
    <w:rsid w:val="008C5E97"/>
    <w:rsid w:val="008C5F35"/>
    <w:rsid w:val="008C616A"/>
    <w:rsid w:val="008C61B0"/>
    <w:rsid w:val="008C61B8"/>
    <w:rsid w:val="008C6261"/>
    <w:rsid w:val="008C627A"/>
    <w:rsid w:val="008C6722"/>
    <w:rsid w:val="008C6854"/>
    <w:rsid w:val="008C6A9C"/>
    <w:rsid w:val="008C6B44"/>
    <w:rsid w:val="008C7094"/>
    <w:rsid w:val="008C71C4"/>
    <w:rsid w:val="008C76E8"/>
    <w:rsid w:val="008C784D"/>
    <w:rsid w:val="008C7BB7"/>
    <w:rsid w:val="008D0190"/>
    <w:rsid w:val="008D0492"/>
    <w:rsid w:val="008D0555"/>
    <w:rsid w:val="008D056E"/>
    <w:rsid w:val="008D0604"/>
    <w:rsid w:val="008D07D6"/>
    <w:rsid w:val="008D08A8"/>
    <w:rsid w:val="008D095E"/>
    <w:rsid w:val="008D1426"/>
    <w:rsid w:val="008D145E"/>
    <w:rsid w:val="008D1579"/>
    <w:rsid w:val="008D17FC"/>
    <w:rsid w:val="008D1A6B"/>
    <w:rsid w:val="008D1AB2"/>
    <w:rsid w:val="008D1B79"/>
    <w:rsid w:val="008D1B86"/>
    <w:rsid w:val="008D1C0D"/>
    <w:rsid w:val="008D2149"/>
    <w:rsid w:val="008D2214"/>
    <w:rsid w:val="008D263F"/>
    <w:rsid w:val="008D28F2"/>
    <w:rsid w:val="008D2B97"/>
    <w:rsid w:val="008D2BBE"/>
    <w:rsid w:val="008D3312"/>
    <w:rsid w:val="008D3576"/>
    <w:rsid w:val="008D3976"/>
    <w:rsid w:val="008D3AC1"/>
    <w:rsid w:val="008D3AC3"/>
    <w:rsid w:val="008D3FE9"/>
    <w:rsid w:val="008D40D2"/>
    <w:rsid w:val="008D41A7"/>
    <w:rsid w:val="008D42D6"/>
    <w:rsid w:val="008D4509"/>
    <w:rsid w:val="008D46B7"/>
    <w:rsid w:val="008D47A0"/>
    <w:rsid w:val="008D4857"/>
    <w:rsid w:val="008D49A5"/>
    <w:rsid w:val="008D49C3"/>
    <w:rsid w:val="008D4AA5"/>
    <w:rsid w:val="008D4C35"/>
    <w:rsid w:val="008D4E86"/>
    <w:rsid w:val="008D4EF6"/>
    <w:rsid w:val="008D4F55"/>
    <w:rsid w:val="008D4F68"/>
    <w:rsid w:val="008D5000"/>
    <w:rsid w:val="008D55D6"/>
    <w:rsid w:val="008D568A"/>
    <w:rsid w:val="008D57BF"/>
    <w:rsid w:val="008D5949"/>
    <w:rsid w:val="008D5C7D"/>
    <w:rsid w:val="008D5D69"/>
    <w:rsid w:val="008D5D7B"/>
    <w:rsid w:val="008D5FC3"/>
    <w:rsid w:val="008D66DA"/>
    <w:rsid w:val="008D672B"/>
    <w:rsid w:val="008D6C81"/>
    <w:rsid w:val="008D7029"/>
    <w:rsid w:val="008D72F3"/>
    <w:rsid w:val="008D74AB"/>
    <w:rsid w:val="008D7833"/>
    <w:rsid w:val="008D7C70"/>
    <w:rsid w:val="008D7FC3"/>
    <w:rsid w:val="008E03C8"/>
    <w:rsid w:val="008E0416"/>
    <w:rsid w:val="008E04D8"/>
    <w:rsid w:val="008E04DD"/>
    <w:rsid w:val="008E0695"/>
    <w:rsid w:val="008E0D26"/>
    <w:rsid w:val="008E0F2E"/>
    <w:rsid w:val="008E1324"/>
    <w:rsid w:val="008E1572"/>
    <w:rsid w:val="008E1AD3"/>
    <w:rsid w:val="008E1B5A"/>
    <w:rsid w:val="008E1D8A"/>
    <w:rsid w:val="008E1E81"/>
    <w:rsid w:val="008E1EB0"/>
    <w:rsid w:val="008E210D"/>
    <w:rsid w:val="008E2350"/>
    <w:rsid w:val="008E2408"/>
    <w:rsid w:val="008E2912"/>
    <w:rsid w:val="008E2977"/>
    <w:rsid w:val="008E2D44"/>
    <w:rsid w:val="008E3166"/>
    <w:rsid w:val="008E31DA"/>
    <w:rsid w:val="008E32A8"/>
    <w:rsid w:val="008E32DB"/>
    <w:rsid w:val="008E3777"/>
    <w:rsid w:val="008E3DAB"/>
    <w:rsid w:val="008E3F94"/>
    <w:rsid w:val="008E4078"/>
    <w:rsid w:val="008E410C"/>
    <w:rsid w:val="008E4217"/>
    <w:rsid w:val="008E428C"/>
    <w:rsid w:val="008E4294"/>
    <w:rsid w:val="008E4469"/>
    <w:rsid w:val="008E4501"/>
    <w:rsid w:val="008E46F3"/>
    <w:rsid w:val="008E4708"/>
    <w:rsid w:val="008E4C44"/>
    <w:rsid w:val="008E4DF3"/>
    <w:rsid w:val="008E4E96"/>
    <w:rsid w:val="008E4F3E"/>
    <w:rsid w:val="008E4F51"/>
    <w:rsid w:val="008E5041"/>
    <w:rsid w:val="008E50C4"/>
    <w:rsid w:val="008E515D"/>
    <w:rsid w:val="008E5167"/>
    <w:rsid w:val="008E5342"/>
    <w:rsid w:val="008E55B3"/>
    <w:rsid w:val="008E59FE"/>
    <w:rsid w:val="008E5ABB"/>
    <w:rsid w:val="008E5D1E"/>
    <w:rsid w:val="008E5F14"/>
    <w:rsid w:val="008E5FB3"/>
    <w:rsid w:val="008E6058"/>
    <w:rsid w:val="008E62BD"/>
    <w:rsid w:val="008E64B4"/>
    <w:rsid w:val="008E67DD"/>
    <w:rsid w:val="008E680C"/>
    <w:rsid w:val="008E699F"/>
    <w:rsid w:val="008E6CF0"/>
    <w:rsid w:val="008E6DE2"/>
    <w:rsid w:val="008E6EE1"/>
    <w:rsid w:val="008E6FB1"/>
    <w:rsid w:val="008E7013"/>
    <w:rsid w:val="008E718B"/>
    <w:rsid w:val="008E71DA"/>
    <w:rsid w:val="008E722F"/>
    <w:rsid w:val="008E754B"/>
    <w:rsid w:val="008E79D1"/>
    <w:rsid w:val="008E7A6B"/>
    <w:rsid w:val="008E7AB7"/>
    <w:rsid w:val="008E7B2B"/>
    <w:rsid w:val="008E7B6D"/>
    <w:rsid w:val="008E7BEC"/>
    <w:rsid w:val="008F0210"/>
    <w:rsid w:val="008F0253"/>
    <w:rsid w:val="008F0AF1"/>
    <w:rsid w:val="008F0FCA"/>
    <w:rsid w:val="008F1075"/>
    <w:rsid w:val="008F10DD"/>
    <w:rsid w:val="008F1373"/>
    <w:rsid w:val="008F1439"/>
    <w:rsid w:val="008F14BB"/>
    <w:rsid w:val="008F1648"/>
    <w:rsid w:val="008F1695"/>
    <w:rsid w:val="008F1870"/>
    <w:rsid w:val="008F1989"/>
    <w:rsid w:val="008F198F"/>
    <w:rsid w:val="008F1A96"/>
    <w:rsid w:val="008F1E16"/>
    <w:rsid w:val="008F208F"/>
    <w:rsid w:val="008F2230"/>
    <w:rsid w:val="008F22E8"/>
    <w:rsid w:val="008F23E3"/>
    <w:rsid w:val="008F264C"/>
    <w:rsid w:val="008F26EB"/>
    <w:rsid w:val="008F26F5"/>
    <w:rsid w:val="008F27D4"/>
    <w:rsid w:val="008F2F6C"/>
    <w:rsid w:val="008F3171"/>
    <w:rsid w:val="008F31D0"/>
    <w:rsid w:val="008F3724"/>
    <w:rsid w:val="008F3A7D"/>
    <w:rsid w:val="008F3B90"/>
    <w:rsid w:val="008F3BAF"/>
    <w:rsid w:val="008F3BB7"/>
    <w:rsid w:val="008F4107"/>
    <w:rsid w:val="008F41A6"/>
    <w:rsid w:val="008F43DD"/>
    <w:rsid w:val="008F449F"/>
    <w:rsid w:val="008F44C8"/>
    <w:rsid w:val="008F4653"/>
    <w:rsid w:val="008F466B"/>
    <w:rsid w:val="008F4927"/>
    <w:rsid w:val="008F4C2F"/>
    <w:rsid w:val="008F4C42"/>
    <w:rsid w:val="008F51C1"/>
    <w:rsid w:val="008F51C4"/>
    <w:rsid w:val="008F53FF"/>
    <w:rsid w:val="008F5402"/>
    <w:rsid w:val="008F5415"/>
    <w:rsid w:val="008F543D"/>
    <w:rsid w:val="008F54F8"/>
    <w:rsid w:val="008F55DC"/>
    <w:rsid w:val="008F5921"/>
    <w:rsid w:val="008F5A0B"/>
    <w:rsid w:val="008F5B6D"/>
    <w:rsid w:val="008F5B97"/>
    <w:rsid w:val="008F5CA5"/>
    <w:rsid w:val="008F5E43"/>
    <w:rsid w:val="008F5F63"/>
    <w:rsid w:val="008F62A5"/>
    <w:rsid w:val="008F642C"/>
    <w:rsid w:val="008F6A92"/>
    <w:rsid w:val="008F6D2B"/>
    <w:rsid w:val="008F6E84"/>
    <w:rsid w:val="008F7051"/>
    <w:rsid w:val="008F73A6"/>
    <w:rsid w:val="008F773D"/>
    <w:rsid w:val="008F78FA"/>
    <w:rsid w:val="008F7CDF"/>
    <w:rsid w:val="0090018E"/>
    <w:rsid w:val="009004B9"/>
    <w:rsid w:val="0090062E"/>
    <w:rsid w:val="009009AA"/>
    <w:rsid w:val="00900B8A"/>
    <w:rsid w:val="00900BA5"/>
    <w:rsid w:val="00900BBE"/>
    <w:rsid w:val="00900C15"/>
    <w:rsid w:val="00900E33"/>
    <w:rsid w:val="00900FD8"/>
    <w:rsid w:val="0090116A"/>
    <w:rsid w:val="009015FE"/>
    <w:rsid w:val="00901736"/>
    <w:rsid w:val="009018AC"/>
    <w:rsid w:val="00901B9C"/>
    <w:rsid w:val="00901E60"/>
    <w:rsid w:val="00902165"/>
    <w:rsid w:val="009027CF"/>
    <w:rsid w:val="009028FA"/>
    <w:rsid w:val="00902904"/>
    <w:rsid w:val="00902F66"/>
    <w:rsid w:val="009033A9"/>
    <w:rsid w:val="009033B3"/>
    <w:rsid w:val="009033D5"/>
    <w:rsid w:val="00903417"/>
    <w:rsid w:val="00903623"/>
    <w:rsid w:val="00903657"/>
    <w:rsid w:val="0090390A"/>
    <w:rsid w:val="00903B09"/>
    <w:rsid w:val="00903EB4"/>
    <w:rsid w:val="00903FE4"/>
    <w:rsid w:val="009041FD"/>
    <w:rsid w:val="00904285"/>
    <w:rsid w:val="00904342"/>
    <w:rsid w:val="00904798"/>
    <w:rsid w:val="009048A1"/>
    <w:rsid w:val="00904985"/>
    <w:rsid w:val="00904D31"/>
    <w:rsid w:val="00904E7C"/>
    <w:rsid w:val="00904F8C"/>
    <w:rsid w:val="00904FF2"/>
    <w:rsid w:val="0090515B"/>
    <w:rsid w:val="00905229"/>
    <w:rsid w:val="00905468"/>
    <w:rsid w:val="00905702"/>
    <w:rsid w:val="0090581D"/>
    <w:rsid w:val="00905957"/>
    <w:rsid w:val="009059E5"/>
    <w:rsid w:val="00905B22"/>
    <w:rsid w:val="00905CCB"/>
    <w:rsid w:val="00905E41"/>
    <w:rsid w:val="00905EC2"/>
    <w:rsid w:val="00905FB4"/>
    <w:rsid w:val="00906325"/>
    <w:rsid w:val="00906364"/>
    <w:rsid w:val="00906455"/>
    <w:rsid w:val="00906A3F"/>
    <w:rsid w:val="00906AD7"/>
    <w:rsid w:val="00906CEE"/>
    <w:rsid w:val="00906DF8"/>
    <w:rsid w:val="00906E9E"/>
    <w:rsid w:val="009073A5"/>
    <w:rsid w:val="009073D2"/>
    <w:rsid w:val="0090753C"/>
    <w:rsid w:val="0090781F"/>
    <w:rsid w:val="00907882"/>
    <w:rsid w:val="00907B0D"/>
    <w:rsid w:val="00907B3A"/>
    <w:rsid w:val="00907C13"/>
    <w:rsid w:val="00907D78"/>
    <w:rsid w:val="00910184"/>
    <w:rsid w:val="009104A8"/>
    <w:rsid w:val="00910900"/>
    <w:rsid w:val="00910A50"/>
    <w:rsid w:val="00910CC5"/>
    <w:rsid w:val="00910D61"/>
    <w:rsid w:val="0091121E"/>
    <w:rsid w:val="009112F4"/>
    <w:rsid w:val="00911367"/>
    <w:rsid w:val="0091142D"/>
    <w:rsid w:val="0091143B"/>
    <w:rsid w:val="0091171C"/>
    <w:rsid w:val="0091186F"/>
    <w:rsid w:val="00911930"/>
    <w:rsid w:val="00911957"/>
    <w:rsid w:val="00911C96"/>
    <w:rsid w:val="00912109"/>
    <w:rsid w:val="0091241A"/>
    <w:rsid w:val="0091280B"/>
    <w:rsid w:val="00912BC3"/>
    <w:rsid w:val="009132F6"/>
    <w:rsid w:val="0091344A"/>
    <w:rsid w:val="009135C6"/>
    <w:rsid w:val="0091376F"/>
    <w:rsid w:val="0091389C"/>
    <w:rsid w:val="00913CFF"/>
    <w:rsid w:val="00913D58"/>
    <w:rsid w:val="00914264"/>
    <w:rsid w:val="00914357"/>
    <w:rsid w:val="0091439C"/>
    <w:rsid w:val="009143DB"/>
    <w:rsid w:val="00914433"/>
    <w:rsid w:val="00914844"/>
    <w:rsid w:val="00914871"/>
    <w:rsid w:val="009148F9"/>
    <w:rsid w:val="00914D53"/>
    <w:rsid w:val="00914E3E"/>
    <w:rsid w:val="009151A9"/>
    <w:rsid w:val="009155A0"/>
    <w:rsid w:val="009157F2"/>
    <w:rsid w:val="00915C60"/>
    <w:rsid w:val="00915DF1"/>
    <w:rsid w:val="00915E4F"/>
    <w:rsid w:val="00915F52"/>
    <w:rsid w:val="00916057"/>
    <w:rsid w:val="0091624F"/>
    <w:rsid w:val="009162CD"/>
    <w:rsid w:val="009163C4"/>
    <w:rsid w:val="00916574"/>
    <w:rsid w:val="00916666"/>
    <w:rsid w:val="009169E4"/>
    <w:rsid w:val="009169EB"/>
    <w:rsid w:val="00916B03"/>
    <w:rsid w:val="00916D73"/>
    <w:rsid w:val="00916DEC"/>
    <w:rsid w:val="00916FD0"/>
    <w:rsid w:val="00917250"/>
    <w:rsid w:val="00917418"/>
    <w:rsid w:val="00917FA9"/>
    <w:rsid w:val="00920228"/>
    <w:rsid w:val="0092025D"/>
    <w:rsid w:val="0092026C"/>
    <w:rsid w:val="00920572"/>
    <w:rsid w:val="00920667"/>
    <w:rsid w:val="00920770"/>
    <w:rsid w:val="00920B68"/>
    <w:rsid w:val="00920BF2"/>
    <w:rsid w:val="00920C93"/>
    <w:rsid w:val="00921140"/>
    <w:rsid w:val="009212BB"/>
    <w:rsid w:val="0092135D"/>
    <w:rsid w:val="009213BB"/>
    <w:rsid w:val="0092149B"/>
    <w:rsid w:val="0092153A"/>
    <w:rsid w:val="009216B0"/>
    <w:rsid w:val="00921B58"/>
    <w:rsid w:val="00921BAC"/>
    <w:rsid w:val="00921C9D"/>
    <w:rsid w:val="00922134"/>
    <w:rsid w:val="009222A7"/>
    <w:rsid w:val="0092248C"/>
    <w:rsid w:val="00922922"/>
    <w:rsid w:val="00922EDE"/>
    <w:rsid w:val="0092368F"/>
    <w:rsid w:val="00923743"/>
    <w:rsid w:val="00923831"/>
    <w:rsid w:val="009238AC"/>
    <w:rsid w:val="00923942"/>
    <w:rsid w:val="00923A0C"/>
    <w:rsid w:val="00924217"/>
    <w:rsid w:val="0092465C"/>
    <w:rsid w:val="009247FD"/>
    <w:rsid w:val="00924E56"/>
    <w:rsid w:val="00924F19"/>
    <w:rsid w:val="00925054"/>
    <w:rsid w:val="0092527A"/>
    <w:rsid w:val="009256A6"/>
    <w:rsid w:val="0092584D"/>
    <w:rsid w:val="00925B9D"/>
    <w:rsid w:val="00925BFA"/>
    <w:rsid w:val="00925D34"/>
    <w:rsid w:val="00925E5F"/>
    <w:rsid w:val="00926347"/>
    <w:rsid w:val="00926573"/>
    <w:rsid w:val="009268B3"/>
    <w:rsid w:val="009269CD"/>
    <w:rsid w:val="009269F8"/>
    <w:rsid w:val="00926A33"/>
    <w:rsid w:val="00926A6B"/>
    <w:rsid w:val="00926B96"/>
    <w:rsid w:val="00926E35"/>
    <w:rsid w:val="00927033"/>
    <w:rsid w:val="009271A2"/>
    <w:rsid w:val="0092724E"/>
    <w:rsid w:val="009276E1"/>
    <w:rsid w:val="009278DF"/>
    <w:rsid w:val="00927BA7"/>
    <w:rsid w:val="00927C0C"/>
    <w:rsid w:val="00927C21"/>
    <w:rsid w:val="00927D56"/>
    <w:rsid w:val="00930104"/>
    <w:rsid w:val="0093050D"/>
    <w:rsid w:val="00930840"/>
    <w:rsid w:val="00930874"/>
    <w:rsid w:val="009309A4"/>
    <w:rsid w:val="00930E60"/>
    <w:rsid w:val="00930F9F"/>
    <w:rsid w:val="00930FF7"/>
    <w:rsid w:val="00931564"/>
    <w:rsid w:val="009315BB"/>
    <w:rsid w:val="009315ED"/>
    <w:rsid w:val="009319E6"/>
    <w:rsid w:val="009319EF"/>
    <w:rsid w:val="00931B69"/>
    <w:rsid w:val="00931CE2"/>
    <w:rsid w:val="00932019"/>
    <w:rsid w:val="0093238D"/>
    <w:rsid w:val="009325C1"/>
    <w:rsid w:val="0093282E"/>
    <w:rsid w:val="0093289A"/>
    <w:rsid w:val="00932913"/>
    <w:rsid w:val="00932A03"/>
    <w:rsid w:val="00932B40"/>
    <w:rsid w:val="00932C97"/>
    <w:rsid w:val="00932D78"/>
    <w:rsid w:val="00932E26"/>
    <w:rsid w:val="00932F4D"/>
    <w:rsid w:val="009330B5"/>
    <w:rsid w:val="00933409"/>
    <w:rsid w:val="009335B7"/>
    <w:rsid w:val="00933956"/>
    <w:rsid w:val="00933B26"/>
    <w:rsid w:val="00933D92"/>
    <w:rsid w:val="00933E0C"/>
    <w:rsid w:val="00933F12"/>
    <w:rsid w:val="009345A3"/>
    <w:rsid w:val="009346EA"/>
    <w:rsid w:val="009347D0"/>
    <w:rsid w:val="00934818"/>
    <w:rsid w:val="009348E6"/>
    <w:rsid w:val="009349A9"/>
    <w:rsid w:val="00934A4F"/>
    <w:rsid w:val="00934C62"/>
    <w:rsid w:val="00934E0C"/>
    <w:rsid w:val="009351C6"/>
    <w:rsid w:val="0093532F"/>
    <w:rsid w:val="009355E7"/>
    <w:rsid w:val="00935E1C"/>
    <w:rsid w:val="00935E8C"/>
    <w:rsid w:val="009361F0"/>
    <w:rsid w:val="00936633"/>
    <w:rsid w:val="00936C52"/>
    <w:rsid w:val="009370DD"/>
    <w:rsid w:val="009373B7"/>
    <w:rsid w:val="009377B9"/>
    <w:rsid w:val="009378A8"/>
    <w:rsid w:val="00937AAF"/>
    <w:rsid w:val="00937B1F"/>
    <w:rsid w:val="00937CF4"/>
    <w:rsid w:val="00937D63"/>
    <w:rsid w:val="0094064F"/>
    <w:rsid w:val="00940819"/>
    <w:rsid w:val="00940991"/>
    <w:rsid w:val="009409E8"/>
    <w:rsid w:val="00940D2A"/>
    <w:rsid w:val="00940D3A"/>
    <w:rsid w:val="0094106D"/>
    <w:rsid w:val="009410C0"/>
    <w:rsid w:val="0094131D"/>
    <w:rsid w:val="00941549"/>
    <w:rsid w:val="00941C00"/>
    <w:rsid w:val="00941C20"/>
    <w:rsid w:val="00941E02"/>
    <w:rsid w:val="009423EA"/>
    <w:rsid w:val="009424D7"/>
    <w:rsid w:val="0094256E"/>
    <w:rsid w:val="009426CD"/>
    <w:rsid w:val="009429C2"/>
    <w:rsid w:val="00942BF8"/>
    <w:rsid w:val="00942C57"/>
    <w:rsid w:val="0094342A"/>
    <w:rsid w:val="009434CB"/>
    <w:rsid w:val="00943786"/>
    <w:rsid w:val="00943A63"/>
    <w:rsid w:val="00943BDF"/>
    <w:rsid w:val="00943F0C"/>
    <w:rsid w:val="009440CB"/>
    <w:rsid w:val="009441D3"/>
    <w:rsid w:val="009443E0"/>
    <w:rsid w:val="009444B3"/>
    <w:rsid w:val="00944AC4"/>
    <w:rsid w:val="00944DD0"/>
    <w:rsid w:val="00944E0F"/>
    <w:rsid w:val="00945078"/>
    <w:rsid w:val="00945604"/>
    <w:rsid w:val="00945772"/>
    <w:rsid w:val="00945E58"/>
    <w:rsid w:val="00945F8D"/>
    <w:rsid w:val="00946507"/>
    <w:rsid w:val="00946577"/>
    <w:rsid w:val="00946612"/>
    <w:rsid w:val="009468AB"/>
    <w:rsid w:val="00946AE3"/>
    <w:rsid w:val="00946B33"/>
    <w:rsid w:val="00946B5F"/>
    <w:rsid w:val="00946C16"/>
    <w:rsid w:val="00946C1A"/>
    <w:rsid w:val="00946FC6"/>
    <w:rsid w:val="0094736A"/>
    <w:rsid w:val="009474CC"/>
    <w:rsid w:val="0094769C"/>
    <w:rsid w:val="00947839"/>
    <w:rsid w:val="00947D56"/>
    <w:rsid w:val="00950366"/>
    <w:rsid w:val="0095049E"/>
    <w:rsid w:val="00950BD0"/>
    <w:rsid w:val="00951051"/>
    <w:rsid w:val="009512E5"/>
    <w:rsid w:val="009513A0"/>
    <w:rsid w:val="009515B1"/>
    <w:rsid w:val="009515F7"/>
    <w:rsid w:val="00951664"/>
    <w:rsid w:val="00951849"/>
    <w:rsid w:val="00951C25"/>
    <w:rsid w:val="00951CC6"/>
    <w:rsid w:val="00951D03"/>
    <w:rsid w:val="00951D16"/>
    <w:rsid w:val="00952258"/>
    <w:rsid w:val="009523DA"/>
    <w:rsid w:val="00952451"/>
    <w:rsid w:val="00952504"/>
    <w:rsid w:val="00952942"/>
    <w:rsid w:val="00952C8B"/>
    <w:rsid w:val="00952D34"/>
    <w:rsid w:val="00952E07"/>
    <w:rsid w:val="009530B4"/>
    <w:rsid w:val="009531FE"/>
    <w:rsid w:val="00953408"/>
    <w:rsid w:val="009538F9"/>
    <w:rsid w:val="00953D86"/>
    <w:rsid w:val="0095412F"/>
    <w:rsid w:val="009544E9"/>
    <w:rsid w:val="0095489B"/>
    <w:rsid w:val="00954B03"/>
    <w:rsid w:val="00954B7C"/>
    <w:rsid w:val="00954BAB"/>
    <w:rsid w:val="00954C1C"/>
    <w:rsid w:val="00955011"/>
    <w:rsid w:val="00955169"/>
    <w:rsid w:val="0095516F"/>
    <w:rsid w:val="009555DA"/>
    <w:rsid w:val="009557CC"/>
    <w:rsid w:val="00955846"/>
    <w:rsid w:val="009558D6"/>
    <w:rsid w:val="00955BEE"/>
    <w:rsid w:val="00955F97"/>
    <w:rsid w:val="009560D3"/>
    <w:rsid w:val="00956297"/>
    <w:rsid w:val="0095631E"/>
    <w:rsid w:val="009563FE"/>
    <w:rsid w:val="00956553"/>
    <w:rsid w:val="0095672A"/>
    <w:rsid w:val="00956ACD"/>
    <w:rsid w:val="00956E17"/>
    <w:rsid w:val="009571C6"/>
    <w:rsid w:val="0095773C"/>
    <w:rsid w:val="009577B2"/>
    <w:rsid w:val="00957917"/>
    <w:rsid w:val="009579D3"/>
    <w:rsid w:val="00957D4E"/>
    <w:rsid w:val="0096024D"/>
    <w:rsid w:val="009605BF"/>
    <w:rsid w:val="009609A1"/>
    <w:rsid w:val="00960DFB"/>
    <w:rsid w:val="00960E83"/>
    <w:rsid w:val="00961206"/>
    <w:rsid w:val="00961307"/>
    <w:rsid w:val="009613B0"/>
    <w:rsid w:val="00961469"/>
    <w:rsid w:val="00961593"/>
    <w:rsid w:val="0096166F"/>
    <w:rsid w:val="00961B27"/>
    <w:rsid w:val="00961E4A"/>
    <w:rsid w:val="009626AA"/>
    <w:rsid w:val="009626D6"/>
    <w:rsid w:val="009627A5"/>
    <w:rsid w:val="009628FE"/>
    <w:rsid w:val="00962CD3"/>
    <w:rsid w:val="00962F69"/>
    <w:rsid w:val="0096323F"/>
    <w:rsid w:val="009633C0"/>
    <w:rsid w:val="009633C5"/>
    <w:rsid w:val="0096380B"/>
    <w:rsid w:val="0096390E"/>
    <w:rsid w:val="00963A58"/>
    <w:rsid w:val="00963C8F"/>
    <w:rsid w:val="00963DA1"/>
    <w:rsid w:val="00963DE6"/>
    <w:rsid w:val="00963F78"/>
    <w:rsid w:val="0096466F"/>
    <w:rsid w:val="0096477C"/>
    <w:rsid w:val="00964B3C"/>
    <w:rsid w:val="00964BBC"/>
    <w:rsid w:val="00964BC4"/>
    <w:rsid w:val="00964F70"/>
    <w:rsid w:val="00964FE2"/>
    <w:rsid w:val="0096516B"/>
    <w:rsid w:val="009652FD"/>
    <w:rsid w:val="00965613"/>
    <w:rsid w:val="00965772"/>
    <w:rsid w:val="009658AE"/>
    <w:rsid w:val="009658B1"/>
    <w:rsid w:val="00965AF6"/>
    <w:rsid w:val="00965D96"/>
    <w:rsid w:val="00965FAE"/>
    <w:rsid w:val="009660E9"/>
    <w:rsid w:val="009661C3"/>
    <w:rsid w:val="00966447"/>
    <w:rsid w:val="0096669D"/>
    <w:rsid w:val="0096673C"/>
    <w:rsid w:val="00966742"/>
    <w:rsid w:val="00966937"/>
    <w:rsid w:val="00966B78"/>
    <w:rsid w:val="00966D6A"/>
    <w:rsid w:val="00966E56"/>
    <w:rsid w:val="00966FB9"/>
    <w:rsid w:val="00966FC3"/>
    <w:rsid w:val="009670AC"/>
    <w:rsid w:val="009671CD"/>
    <w:rsid w:val="00967426"/>
    <w:rsid w:val="0096743A"/>
    <w:rsid w:val="009674F3"/>
    <w:rsid w:val="009677E8"/>
    <w:rsid w:val="0097014B"/>
    <w:rsid w:val="0097037A"/>
    <w:rsid w:val="00970420"/>
    <w:rsid w:val="0097049E"/>
    <w:rsid w:val="009707DE"/>
    <w:rsid w:val="00970A7A"/>
    <w:rsid w:val="00970C3F"/>
    <w:rsid w:val="00971A8C"/>
    <w:rsid w:val="00971CA7"/>
    <w:rsid w:val="00971CA9"/>
    <w:rsid w:val="00971E99"/>
    <w:rsid w:val="00971EBA"/>
    <w:rsid w:val="00971F1C"/>
    <w:rsid w:val="00971F32"/>
    <w:rsid w:val="00972126"/>
    <w:rsid w:val="009721D0"/>
    <w:rsid w:val="009723AF"/>
    <w:rsid w:val="009723C6"/>
    <w:rsid w:val="009726CB"/>
    <w:rsid w:val="009729EC"/>
    <w:rsid w:val="00972F49"/>
    <w:rsid w:val="00973DA6"/>
    <w:rsid w:val="00973ECC"/>
    <w:rsid w:val="00973FF4"/>
    <w:rsid w:val="00974093"/>
    <w:rsid w:val="009742DD"/>
    <w:rsid w:val="009746A6"/>
    <w:rsid w:val="009746D9"/>
    <w:rsid w:val="0097495A"/>
    <w:rsid w:val="00974C6B"/>
    <w:rsid w:val="00974C9C"/>
    <w:rsid w:val="00974C9E"/>
    <w:rsid w:val="009751A9"/>
    <w:rsid w:val="00975349"/>
    <w:rsid w:val="0097573F"/>
    <w:rsid w:val="0097585A"/>
    <w:rsid w:val="009758AA"/>
    <w:rsid w:val="00975B38"/>
    <w:rsid w:val="00975E7B"/>
    <w:rsid w:val="009761A6"/>
    <w:rsid w:val="00976361"/>
    <w:rsid w:val="009763FB"/>
    <w:rsid w:val="009767E8"/>
    <w:rsid w:val="009768D3"/>
    <w:rsid w:val="00976BC1"/>
    <w:rsid w:val="00976D0B"/>
    <w:rsid w:val="00976D58"/>
    <w:rsid w:val="00976EFC"/>
    <w:rsid w:val="00977B91"/>
    <w:rsid w:val="00977C50"/>
    <w:rsid w:val="00977F7C"/>
    <w:rsid w:val="0097E641"/>
    <w:rsid w:val="0098000C"/>
    <w:rsid w:val="0098059F"/>
    <w:rsid w:val="009808FB"/>
    <w:rsid w:val="00980AF6"/>
    <w:rsid w:val="00980BE6"/>
    <w:rsid w:val="00980F91"/>
    <w:rsid w:val="00980F9C"/>
    <w:rsid w:val="00981605"/>
    <w:rsid w:val="0098174A"/>
    <w:rsid w:val="0098194D"/>
    <w:rsid w:val="00981B30"/>
    <w:rsid w:val="0098203C"/>
    <w:rsid w:val="00982158"/>
    <w:rsid w:val="009822C2"/>
    <w:rsid w:val="00982921"/>
    <w:rsid w:val="00982A0A"/>
    <w:rsid w:val="00983026"/>
    <w:rsid w:val="0098312E"/>
    <w:rsid w:val="009834D6"/>
    <w:rsid w:val="009836B1"/>
    <w:rsid w:val="0098370A"/>
    <w:rsid w:val="00983761"/>
    <w:rsid w:val="00983917"/>
    <w:rsid w:val="009839A9"/>
    <w:rsid w:val="009839C8"/>
    <w:rsid w:val="00983E78"/>
    <w:rsid w:val="00983EDF"/>
    <w:rsid w:val="00983F6A"/>
    <w:rsid w:val="00984118"/>
    <w:rsid w:val="0098480D"/>
    <w:rsid w:val="00984B46"/>
    <w:rsid w:val="00985014"/>
    <w:rsid w:val="00985303"/>
    <w:rsid w:val="00985418"/>
    <w:rsid w:val="00985773"/>
    <w:rsid w:val="009859D3"/>
    <w:rsid w:val="00985BF4"/>
    <w:rsid w:val="00985DEE"/>
    <w:rsid w:val="00985F6B"/>
    <w:rsid w:val="0098614B"/>
    <w:rsid w:val="009862B0"/>
    <w:rsid w:val="0098632B"/>
    <w:rsid w:val="00986517"/>
    <w:rsid w:val="00986661"/>
    <w:rsid w:val="00986768"/>
    <w:rsid w:val="00986769"/>
    <w:rsid w:val="00986AEE"/>
    <w:rsid w:val="00986E1D"/>
    <w:rsid w:val="0098758E"/>
    <w:rsid w:val="009875CD"/>
    <w:rsid w:val="0098765F"/>
    <w:rsid w:val="0098769A"/>
    <w:rsid w:val="00987737"/>
    <w:rsid w:val="00987814"/>
    <w:rsid w:val="00987B14"/>
    <w:rsid w:val="00987C8A"/>
    <w:rsid w:val="009900CB"/>
    <w:rsid w:val="0099046D"/>
    <w:rsid w:val="009904C8"/>
    <w:rsid w:val="00990B52"/>
    <w:rsid w:val="00990D71"/>
    <w:rsid w:val="00990DA3"/>
    <w:rsid w:val="00990DE6"/>
    <w:rsid w:val="0099102B"/>
    <w:rsid w:val="0099159D"/>
    <w:rsid w:val="00991688"/>
    <w:rsid w:val="0099190E"/>
    <w:rsid w:val="00991998"/>
    <w:rsid w:val="00991B7B"/>
    <w:rsid w:val="00991C29"/>
    <w:rsid w:val="00991EBB"/>
    <w:rsid w:val="00991ED8"/>
    <w:rsid w:val="00992295"/>
    <w:rsid w:val="00992676"/>
    <w:rsid w:val="009927AB"/>
    <w:rsid w:val="00992C2F"/>
    <w:rsid w:val="00992C65"/>
    <w:rsid w:val="00993091"/>
    <w:rsid w:val="00993100"/>
    <w:rsid w:val="009933DF"/>
    <w:rsid w:val="009934B7"/>
    <w:rsid w:val="009936B5"/>
    <w:rsid w:val="00993A1B"/>
    <w:rsid w:val="00993E2B"/>
    <w:rsid w:val="009941B1"/>
    <w:rsid w:val="009944EB"/>
    <w:rsid w:val="009946A1"/>
    <w:rsid w:val="009948B9"/>
    <w:rsid w:val="00994DBE"/>
    <w:rsid w:val="00994F9A"/>
    <w:rsid w:val="009950B6"/>
    <w:rsid w:val="00995254"/>
    <w:rsid w:val="00995402"/>
    <w:rsid w:val="009958EF"/>
    <w:rsid w:val="00995A32"/>
    <w:rsid w:val="00995B9C"/>
    <w:rsid w:val="00995C2F"/>
    <w:rsid w:val="00995D52"/>
    <w:rsid w:val="00995E5C"/>
    <w:rsid w:val="00995FCD"/>
    <w:rsid w:val="009961E0"/>
    <w:rsid w:val="0099620E"/>
    <w:rsid w:val="00996393"/>
    <w:rsid w:val="009964F6"/>
    <w:rsid w:val="00996849"/>
    <w:rsid w:val="00996BE5"/>
    <w:rsid w:val="009970BB"/>
    <w:rsid w:val="009970F2"/>
    <w:rsid w:val="009974A7"/>
    <w:rsid w:val="0099750E"/>
    <w:rsid w:val="00997BFB"/>
    <w:rsid w:val="009A01BA"/>
    <w:rsid w:val="009A0360"/>
    <w:rsid w:val="009A045B"/>
    <w:rsid w:val="009A04C3"/>
    <w:rsid w:val="009A04F3"/>
    <w:rsid w:val="009A066D"/>
    <w:rsid w:val="009A073F"/>
    <w:rsid w:val="009A09B9"/>
    <w:rsid w:val="009A0E1F"/>
    <w:rsid w:val="009A0E91"/>
    <w:rsid w:val="009A1369"/>
    <w:rsid w:val="009A16DA"/>
    <w:rsid w:val="009A1719"/>
    <w:rsid w:val="009A191F"/>
    <w:rsid w:val="009A1AD8"/>
    <w:rsid w:val="009A1C72"/>
    <w:rsid w:val="009A20CD"/>
    <w:rsid w:val="009A220D"/>
    <w:rsid w:val="009A2338"/>
    <w:rsid w:val="009A2422"/>
    <w:rsid w:val="009A29E2"/>
    <w:rsid w:val="009A300C"/>
    <w:rsid w:val="009A3172"/>
    <w:rsid w:val="009A34DC"/>
    <w:rsid w:val="009A376F"/>
    <w:rsid w:val="009A37E9"/>
    <w:rsid w:val="009A38AA"/>
    <w:rsid w:val="009A3D60"/>
    <w:rsid w:val="009A3DFB"/>
    <w:rsid w:val="009A3EFD"/>
    <w:rsid w:val="009A43D4"/>
    <w:rsid w:val="009A4757"/>
    <w:rsid w:val="009A47A8"/>
    <w:rsid w:val="009A4D76"/>
    <w:rsid w:val="009A4E6F"/>
    <w:rsid w:val="009A4E8D"/>
    <w:rsid w:val="009A4EC6"/>
    <w:rsid w:val="009A52D3"/>
    <w:rsid w:val="009A5530"/>
    <w:rsid w:val="009A5620"/>
    <w:rsid w:val="009A5645"/>
    <w:rsid w:val="009A5690"/>
    <w:rsid w:val="009A56E0"/>
    <w:rsid w:val="009A5809"/>
    <w:rsid w:val="009A597C"/>
    <w:rsid w:val="009A5A69"/>
    <w:rsid w:val="009A5C6E"/>
    <w:rsid w:val="009A5CA6"/>
    <w:rsid w:val="009A5D3B"/>
    <w:rsid w:val="009A5D79"/>
    <w:rsid w:val="009A5DF7"/>
    <w:rsid w:val="009A6078"/>
    <w:rsid w:val="009A6684"/>
    <w:rsid w:val="009A67A1"/>
    <w:rsid w:val="009A6A8A"/>
    <w:rsid w:val="009A7005"/>
    <w:rsid w:val="009A7348"/>
    <w:rsid w:val="009A73C5"/>
    <w:rsid w:val="009A76A2"/>
    <w:rsid w:val="009A7709"/>
    <w:rsid w:val="009A7C55"/>
    <w:rsid w:val="009B011B"/>
    <w:rsid w:val="009B026A"/>
    <w:rsid w:val="009B0387"/>
    <w:rsid w:val="009B0402"/>
    <w:rsid w:val="009B042E"/>
    <w:rsid w:val="009B070D"/>
    <w:rsid w:val="009B07DA"/>
    <w:rsid w:val="009B0D9A"/>
    <w:rsid w:val="009B0F14"/>
    <w:rsid w:val="009B104C"/>
    <w:rsid w:val="009B17E8"/>
    <w:rsid w:val="009B1A2E"/>
    <w:rsid w:val="009B1F24"/>
    <w:rsid w:val="009B1F32"/>
    <w:rsid w:val="009B238E"/>
    <w:rsid w:val="009B2426"/>
    <w:rsid w:val="009B263A"/>
    <w:rsid w:val="009B2A11"/>
    <w:rsid w:val="009B2D59"/>
    <w:rsid w:val="009B2DEE"/>
    <w:rsid w:val="009B2FCD"/>
    <w:rsid w:val="009B309D"/>
    <w:rsid w:val="009B328B"/>
    <w:rsid w:val="009B3558"/>
    <w:rsid w:val="009B37A9"/>
    <w:rsid w:val="009B3975"/>
    <w:rsid w:val="009B3AEA"/>
    <w:rsid w:val="009B44C0"/>
    <w:rsid w:val="009B462C"/>
    <w:rsid w:val="009B4829"/>
    <w:rsid w:val="009B4929"/>
    <w:rsid w:val="009B4A5E"/>
    <w:rsid w:val="009B4CBD"/>
    <w:rsid w:val="009B4D7E"/>
    <w:rsid w:val="009B4FD9"/>
    <w:rsid w:val="009B50EA"/>
    <w:rsid w:val="009B51EC"/>
    <w:rsid w:val="009B51ED"/>
    <w:rsid w:val="009B5263"/>
    <w:rsid w:val="009B5719"/>
    <w:rsid w:val="009B5B59"/>
    <w:rsid w:val="009B5D80"/>
    <w:rsid w:val="009B5FF4"/>
    <w:rsid w:val="009B6954"/>
    <w:rsid w:val="009B6D06"/>
    <w:rsid w:val="009B6F2A"/>
    <w:rsid w:val="009B7030"/>
    <w:rsid w:val="009B72BB"/>
    <w:rsid w:val="009B747C"/>
    <w:rsid w:val="009B7847"/>
    <w:rsid w:val="009B7A5A"/>
    <w:rsid w:val="009B7D54"/>
    <w:rsid w:val="009B7E6B"/>
    <w:rsid w:val="009C01A3"/>
    <w:rsid w:val="009C01B2"/>
    <w:rsid w:val="009C02CF"/>
    <w:rsid w:val="009C0692"/>
    <w:rsid w:val="009C0896"/>
    <w:rsid w:val="009C0931"/>
    <w:rsid w:val="009C1416"/>
    <w:rsid w:val="009C147D"/>
    <w:rsid w:val="009C1482"/>
    <w:rsid w:val="009C15F3"/>
    <w:rsid w:val="009C1883"/>
    <w:rsid w:val="009C1B88"/>
    <w:rsid w:val="009C1CCC"/>
    <w:rsid w:val="009C1D62"/>
    <w:rsid w:val="009C2069"/>
    <w:rsid w:val="009C2201"/>
    <w:rsid w:val="009C2354"/>
    <w:rsid w:val="009C2431"/>
    <w:rsid w:val="009C246B"/>
    <w:rsid w:val="009C24ED"/>
    <w:rsid w:val="009C2723"/>
    <w:rsid w:val="009C27BE"/>
    <w:rsid w:val="009C2AD0"/>
    <w:rsid w:val="009C2BF4"/>
    <w:rsid w:val="009C3504"/>
    <w:rsid w:val="009C3528"/>
    <w:rsid w:val="009C3571"/>
    <w:rsid w:val="009C3689"/>
    <w:rsid w:val="009C3774"/>
    <w:rsid w:val="009C3821"/>
    <w:rsid w:val="009C3938"/>
    <w:rsid w:val="009C4020"/>
    <w:rsid w:val="009C420F"/>
    <w:rsid w:val="009C4290"/>
    <w:rsid w:val="009C45C0"/>
    <w:rsid w:val="009C4631"/>
    <w:rsid w:val="009C4830"/>
    <w:rsid w:val="009C4908"/>
    <w:rsid w:val="009C4975"/>
    <w:rsid w:val="009C49DE"/>
    <w:rsid w:val="009C4A6C"/>
    <w:rsid w:val="009C51F1"/>
    <w:rsid w:val="009C52CA"/>
    <w:rsid w:val="009C5838"/>
    <w:rsid w:val="009C58CF"/>
    <w:rsid w:val="009C5B9F"/>
    <w:rsid w:val="009C5C85"/>
    <w:rsid w:val="009C5D87"/>
    <w:rsid w:val="009C5ECC"/>
    <w:rsid w:val="009C61EB"/>
    <w:rsid w:val="009C63DD"/>
    <w:rsid w:val="009C6417"/>
    <w:rsid w:val="009C663D"/>
    <w:rsid w:val="009C6919"/>
    <w:rsid w:val="009C6E6C"/>
    <w:rsid w:val="009C6EA5"/>
    <w:rsid w:val="009C6EF6"/>
    <w:rsid w:val="009C73B5"/>
    <w:rsid w:val="009C7576"/>
    <w:rsid w:val="009C76B2"/>
    <w:rsid w:val="009C7816"/>
    <w:rsid w:val="009C7B2A"/>
    <w:rsid w:val="009C7D66"/>
    <w:rsid w:val="009C7E13"/>
    <w:rsid w:val="009D018C"/>
    <w:rsid w:val="009D028B"/>
    <w:rsid w:val="009D05CB"/>
    <w:rsid w:val="009D05CD"/>
    <w:rsid w:val="009D0887"/>
    <w:rsid w:val="009D0901"/>
    <w:rsid w:val="009D09AA"/>
    <w:rsid w:val="009D0D5E"/>
    <w:rsid w:val="009D1021"/>
    <w:rsid w:val="009D11E2"/>
    <w:rsid w:val="009D1233"/>
    <w:rsid w:val="009D17AA"/>
    <w:rsid w:val="009D1924"/>
    <w:rsid w:val="009D1934"/>
    <w:rsid w:val="009D1A9A"/>
    <w:rsid w:val="009D1AC4"/>
    <w:rsid w:val="009D21FF"/>
    <w:rsid w:val="009D2736"/>
    <w:rsid w:val="009D28BC"/>
    <w:rsid w:val="009D2A38"/>
    <w:rsid w:val="009D2C36"/>
    <w:rsid w:val="009D2D59"/>
    <w:rsid w:val="009D2F4F"/>
    <w:rsid w:val="009D3056"/>
    <w:rsid w:val="009D32A1"/>
    <w:rsid w:val="009D356A"/>
    <w:rsid w:val="009D36BD"/>
    <w:rsid w:val="009D4115"/>
    <w:rsid w:val="009D41EC"/>
    <w:rsid w:val="009D426E"/>
    <w:rsid w:val="009D42F4"/>
    <w:rsid w:val="009D4348"/>
    <w:rsid w:val="009D43F8"/>
    <w:rsid w:val="009D4477"/>
    <w:rsid w:val="009D4479"/>
    <w:rsid w:val="009D447D"/>
    <w:rsid w:val="009D46E2"/>
    <w:rsid w:val="009D47EC"/>
    <w:rsid w:val="009D4911"/>
    <w:rsid w:val="009D4B02"/>
    <w:rsid w:val="009D4EEF"/>
    <w:rsid w:val="009D5149"/>
    <w:rsid w:val="009D551D"/>
    <w:rsid w:val="009D55E2"/>
    <w:rsid w:val="009D573C"/>
    <w:rsid w:val="009D5936"/>
    <w:rsid w:val="009D5A32"/>
    <w:rsid w:val="009D60AB"/>
    <w:rsid w:val="009D61DD"/>
    <w:rsid w:val="009D62AD"/>
    <w:rsid w:val="009D6B89"/>
    <w:rsid w:val="009D6B9F"/>
    <w:rsid w:val="009D6C99"/>
    <w:rsid w:val="009D6D7E"/>
    <w:rsid w:val="009D6DE2"/>
    <w:rsid w:val="009D7051"/>
    <w:rsid w:val="009D70CD"/>
    <w:rsid w:val="009D710D"/>
    <w:rsid w:val="009D753B"/>
    <w:rsid w:val="009D75CC"/>
    <w:rsid w:val="009D765A"/>
    <w:rsid w:val="009D7684"/>
    <w:rsid w:val="009D7709"/>
    <w:rsid w:val="009D788E"/>
    <w:rsid w:val="009D78F8"/>
    <w:rsid w:val="009D792A"/>
    <w:rsid w:val="009D7B8C"/>
    <w:rsid w:val="009D7E07"/>
    <w:rsid w:val="009D7E3F"/>
    <w:rsid w:val="009E01BA"/>
    <w:rsid w:val="009E07C2"/>
    <w:rsid w:val="009E080C"/>
    <w:rsid w:val="009E0A0A"/>
    <w:rsid w:val="009E0DF2"/>
    <w:rsid w:val="009E0E52"/>
    <w:rsid w:val="009E10A5"/>
    <w:rsid w:val="009E1330"/>
    <w:rsid w:val="009E17EA"/>
    <w:rsid w:val="009E1896"/>
    <w:rsid w:val="009E1958"/>
    <w:rsid w:val="009E19FE"/>
    <w:rsid w:val="009E1A2C"/>
    <w:rsid w:val="009E1ABD"/>
    <w:rsid w:val="009E1B20"/>
    <w:rsid w:val="009E1D79"/>
    <w:rsid w:val="009E1ED7"/>
    <w:rsid w:val="009E1F18"/>
    <w:rsid w:val="009E20D9"/>
    <w:rsid w:val="009E266F"/>
    <w:rsid w:val="009E26B6"/>
    <w:rsid w:val="009E2A68"/>
    <w:rsid w:val="009E2AC0"/>
    <w:rsid w:val="009E30E4"/>
    <w:rsid w:val="009E3345"/>
    <w:rsid w:val="009E35A7"/>
    <w:rsid w:val="009E3A3B"/>
    <w:rsid w:val="009E3D70"/>
    <w:rsid w:val="009E3DC5"/>
    <w:rsid w:val="009E4052"/>
    <w:rsid w:val="009E40C1"/>
    <w:rsid w:val="009E42AD"/>
    <w:rsid w:val="009E42D2"/>
    <w:rsid w:val="009E4683"/>
    <w:rsid w:val="009E4A31"/>
    <w:rsid w:val="009E50BD"/>
    <w:rsid w:val="009E5124"/>
    <w:rsid w:val="009E51A0"/>
    <w:rsid w:val="009E51BA"/>
    <w:rsid w:val="009E531D"/>
    <w:rsid w:val="009E5644"/>
    <w:rsid w:val="009E569B"/>
    <w:rsid w:val="009E5739"/>
    <w:rsid w:val="009E58E2"/>
    <w:rsid w:val="009E6093"/>
    <w:rsid w:val="009E62FF"/>
    <w:rsid w:val="009E693C"/>
    <w:rsid w:val="009E695E"/>
    <w:rsid w:val="009E6BE4"/>
    <w:rsid w:val="009E6CDC"/>
    <w:rsid w:val="009E6D93"/>
    <w:rsid w:val="009E6DE3"/>
    <w:rsid w:val="009E7136"/>
    <w:rsid w:val="009E762A"/>
    <w:rsid w:val="009E79D6"/>
    <w:rsid w:val="009E7AD8"/>
    <w:rsid w:val="009E7B33"/>
    <w:rsid w:val="009E7D85"/>
    <w:rsid w:val="009E7E31"/>
    <w:rsid w:val="009E7F64"/>
    <w:rsid w:val="009EB148"/>
    <w:rsid w:val="009F01B5"/>
    <w:rsid w:val="009F0396"/>
    <w:rsid w:val="009F068E"/>
    <w:rsid w:val="009F06D6"/>
    <w:rsid w:val="009F0777"/>
    <w:rsid w:val="009F0A60"/>
    <w:rsid w:val="009F15B4"/>
    <w:rsid w:val="009F1882"/>
    <w:rsid w:val="009F1A89"/>
    <w:rsid w:val="009F1C8D"/>
    <w:rsid w:val="009F1F9D"/>
    <w:rsid w:val="009F21D5"/>
    <w:rsid w:val="009F2592"/>
    <w:rsid w:val="009F2807"/>
    <w:rsid w:val="009F2BEE"/>
    <w:rsid w:val="009F2E3F"/>
    <w:rsid w:val="009F3254"/>
    <w:rsid w:val="009F32C1"/>
    <w:rsid w:val="009F33B8"/>
    <w:rsid w:val="009F3738"/>
    <w:rsid w:val="009F37B8"/>
    <w:rsid w:val="009F3B00"/>
    <w:rsid w:val="009F3DA4"/>
    <w:rsid w:val="009F3DDB"/>
    <w:rsid w:val="009F3F9E"/>
    <w:rsid w:val="009F40AC"/>
    <w:rsid w:val="009F41D2"/>
    <w:rsid w:val="009F446A"/>
    <w:rsid w:val="009F51E2"/>
    <w:rsid w:val="009F5228"/>
    <w:rsid w:val="009F5251"/>
    <w:rsid w:val="009F526E"/>
    <w:rsid w:val="009F5337"/>
    <w:rsid w:val="009F5510"/>
    <w:rsid w:val="009F576E"/>
    <w:rsid w:val="009F57BC"/>
    <w:rsid w:val="009F5BE4"/>
    <w:rsid w:val="009F5D94"/>
    <w:rsid w:val="009F5FAF"/>
    <w:rsid w:val="009F63A1"/>
    <w:rsid w:val="009F6785"/>
    <w:rsid w:val="009F67F1"/>
    <w:rsid w:val="009F6948"/>
    <w:rsid w:val="009F70A8"/>
    <w:rsid w:val="009F70E9"/>
    <w:rsid w:val="009F71FA"/>
    <w:rsid w:val="009F7259"/>
    <w:rsid w:val="009F72F9"/>
    <w:rsid w:val="009F7525"/>
    <w:rsid w:val="009F7562"/>
    <w:rsid w:val="009F76C6"/>
    <w:rsid w:val="009F7B47"/>
    <w:rsid w:val="009F7F2C"/>
    <w:rsid w:val="00A00055"/>
    <w:rsid w:val="00A000E1"/>
    <w:rsid w:val="00A00205"/>
    <w:rsid w:val="00A0036D"/>
    <w:rsid w:val="00A0080B"/>
    <w:rsid w:val="00A009E1"/>
    <w:rsid w:val="00A00A6A"/>
    <w:rsid w:val="00A00AF0"/>
    <w:rsid w:val="00A00B1D"/>
    <w:rsid w:val="00A00B94"/>
    <w:rsid w:val="00A00D4A"/>
    <w:rsid w:val="00A00DC8"/>
    <w:rsid w:val="00A01209"/>
    <w:rsid w:val="00A0158E"/>
    <w:rsid w:val="00A0168D"/>
    <w:rsid w:val="00A016F1"/>
    <w:rsid w:val="00A0176E"/>
    <w:rsid w:val="00A017E4"/>
    <w:rsid w:val="00A017EF"/>
    <w:rsid w:val="00A019FB"/>
    <w:rsid w:val="00A01B65"/>
    <w:rsid w:val="00A01DA2"/>
    <w:rsid w:val="00A01DDE"/>
    <w:rsid w:val="00A02102"/>
    <w:rsid w:val="00A02456"/>
    <w:rsid w:val="00A0258E"/>
    <w:rsid w:val="00A02623"/>
    <w:rsid w:val="00A026A5"/>
    <w:rsid w:val="00A02AFC"/>
    <w:rsid w:val="00A02F60"/>
    <w:rsid w:val="00A02FDD"/>
    <w:rsid w:val="00A032D6"/>
    <w:rsid w:val="00A03303"/>
    <w:rsid w:val="00A037C6"/>
    <w:rsid w:val="00A03AFD"/>
    <w:rsid w:val="00A03BD1"/>
    <w:rsid w:val="00A03CE7"/>
    <w:rsid w:val="00A03F12"/>
    <w:rsid w:val="00A03FE6"/>
    <w:rsid w:val="00A042FC"/>
    <w:rsid w:val="00A0484E"/>
    <w:rsid w:val="00A049D1"/>
    <w:rsid w:val="00A04DC2"/>
    <w:rsid w:val="00A04E2C"/>
    <w:rsid w:val="00A050EB"/>
    <w:rsid w:val="00A05125"/>
    <w:rsid w:val="00A0528C"/>
    <w:rsid w:val="00A053D8"/>
    <w:rsid w:val="00A055F0"/>
    <w:rsid w:val="00A055F4"/>
    <w:rsid w:val="00A0580F"/>
    <w:rsid w:val="00A0589C"/>
    <w:rsid w:val="00A0591B"/>
    <w:rsid w:val="00A05E4A"/>
    <w:rsid w:val="00A06808"/>
    <w:rsid w:val="00A06CCD"/>
    <w:rsid w:val="00A06D14"/>
    <w:rsid w:val="00A06D1B"/>
    <w:rsid w:val="00A06DE2"/>
    <w:rsid w:val="00A06F61"/>
    <w:rsid w:val="00A07886"/>
    <w:rsid w:val="00A078E5"/>
    <w:rsid w:val="00A07CA1"/>
    <w:rsid w:val="00A07DAD"/>
    <w:rsid w:val="00A07E12"/>
    <w:rsid w:val="00A07EAF"/>
    <w:rsid w:val="00A101EB"/>
    <w:rsid w:val="00A1038E"/>
    <w:rsid w:val="00A1052E"/>
    <w:rsid w:val="00A1057B"/>
    <w:rsid w:val="00A10615"/>
    <w:rsid w:val="00A10BD4"/>
    <w:rsid w:val="00A10CFF"/>
    <w:rsid w:val="00A10D69"/>
    <w:rsid w:val="00A111E7"/>
    <w:rsid w:val="00A112BA"/>
    <w:rsid w:val="00A1155D"/>
    <w:rsid w:val="00A11713"/>
    <w:rsid w:val="00A11A24"/>
    <w:rsid w:val="00A11F35"/>
    <w:rsid w:val="00A12329"/>
    <w:rsid w:val="00A123BB"/>
    <w:rsid w:val="00A127F9"/>
    <w:rsid w:val="00A12937"/>
    <w:rsid w:val="00A12D18"/>
    <w:rsid w:val="00A12DC6"/>
    <w:rsid w:val="00A12E7F"/>
    <w:rsid w:val="00A135F7"/>
    <w:rsid w:val="00A138B6"/>
    <w:rsid w:val="00A139E3"/>
    <w:rsid w:val="00A13FAC"/>
    <w:rsid w:val="00A1416E"/>
    <w:rsid w:val="00A14372"/>
    <w:rsid w:val="00A14377"/>
    <w:rsid w:val="00A1462E"/>
    <w:rsid w:val="00A14A02"/>
    <w:rsid w:val="00A14B17"/>
    <w:rsid w:val="00A14B1D"/>
    <w:rsid w:val="00A14B5A"/>
    <w:rsid w:val="00A14BDD"/>
    <w:rsid w:val="00A14C30"/>
    <w:rsid w:val="00A14D96"/>
    <w:rsid w:val="00A14FBB"/>
    <w:rsid w:val="00A14FFB"/>
    <w:rsid w:val="00A1519E"/>
    <w:rsid w:val="00A153A9"/>
    <w:rsid w:val="00A155A4"/>
    <w:rsid w:val="00A15897"/>
    <w:rsid w:val="00A15986"/>
    <w:rsid w:val="00A15B43"/>
    <w:rsid w:val="00A15D9C"/>
    <w:rsid w:val="00A163F1"/>
    <w:rsid w:val="00A16502"/>
    <w:rsid w:val="00A16741"/>
    <w:rsid w:val="00A16A25"/>
    <w:rsid w:val="00A16AA8"/>
    <w:rsid w:val="00A16C63"/>
    <w:rsid w:val="00A16D94"/>
    <w:rsid w:val="00A17688"/>
    <w:rsid w:val="00A17AAD"/>
    <w:rsid w:val="00A17B07"/>
    <w:rsid w:val="00A17F88"/>
    <w:rsid w:val="00A2013C"/>
    <w:rsid w:val="00A205A1"/>
    <w:rsid w:val="00A20697"/>
    <w:rsid w:val="00A20C11"/>
    <w:rsid w:val="00A20E77"/>
    <w:rsid w:val="00A21096"/>
    <w:rsid w:val="00A210BF"/>
    <w:rsid w:val="00A21132"/>
    <w:rsid w:val="00A2124C"/>
    <w:rsid w:val="00A2133A"/>
    <w:rsid w:val="00A216DA"/>
    <w:rsid w:val="00A216FB"/>
    <w:rsid w:val="00A21740"/>
    <w:rsid w:val="00A218AD"/>
    <w:rsid w:val="00A21DBD"/>
    <w:rsid w:val="00A21F41"/>
    <w:rsid w:val="00A221C0"/>
    <w:rsid w:val="00A223C5"/>
    <w:rsid w:val="00A22404"/>
    <w:rsid w:val="00A22616"/>
    <w:rsid w:val="00A229B3"/>
    <w:rsid w:val="00A22DE2"/>
    <w:rsid w:val="00A232C2"/>
    <w:rsid w:val="00A234FB"/>
    <w:rsid w:val="00A23590"/>
    <w:rsid w:val="00A235BA"/>
    <w:rsid w:val="00A23811"/>
    <w:rsid w:val="00A23A1E"/>
    <w:rsid w:val="00A23A9C"/>
    <w:rsid w:val="00A23B6F"/>
    <w:rsid w:val="00A23BE4"/>
    <w:rsid w:val="00A23C00"/>
    <w:rsid w:val="00A23C67"/>
    <w:rsid w:val="00A23D6E"/>
    <w:rsid w:val="00A23E9B"/>
    <w:rsid w:val="00A23FCE"/>
    <w:rsid w:val="00A240DE"/>
    <w:rsid w:val="00A2473D"/>
    <w:rsid w:val="00A249FB"/>
    <w:rsid w:val="00A24FBB"/>
    <w:rsid w:val="00A2578F"/>
    <w:rsid w:val="00A25790"/>
    <w:rsid w:val="00A25829"/>
    <w:rsid w:val="00A25975"/>
    <w:rsid w:val="00A259B5"/>
    <w:rsid w:val="00A25D79"/>
    <w:rsid w:val="00A25EC9"/>
    <w:rsid w:val="00A25F29"/>
    <w:rsid w:val="00A25F5E"/>
    <w:rsid w:val="00A261FE"/>
    <w:rsid w:val="00A2621F"/>
    <w:rsid w:val="00A26370"/>
    <w:rsid w:val="00A26459"/>
    <w:rsid w:val="00A2649B"/>
    <w:rsid w:val="00A266F5"/>
    <w:rsid w:val="00A26713"/>
    <w:rsid w:val="00A268D0"/>
    <w:rsid w:val="00A26A54"/>
    <w:rsid w:val="00A26C71"/>
    <w:rsid w:val="00A26E1B"/>
    <w:rsid w:val="00A26E37"/>
    <w:rsid w:val="00A26FFB"/>
    <w:rsid w:val="00A2707C"/>
    <w:rsid w:val="00A2773D"/>
    <w:rsid w:val="00A278AF"/>
    <w:rsid w:val="00A278FF"/>
    <w:rsid w:val="00A2790F"/>
    <w:rsid w:val="00A27C9E"/>
    <w:rsid w:val="00A27E3F"/>
    <w:rsid w:val="00A27FF0"/>
    <w:rsid w:val="00A3010D"/>
    <w:rsid w:val="00A301A5"/>
    <w:rsid w:val="00A309B0"/>
    <w:rsid w:val="00A30BB1"/>
    <w:rsid w:val="00A30E97"/>
    <w:rsid w:val="00A30F98"/>
    <w:rsid w:val="00A318AE"/>
    <w:rsid w:val="00A31D8A"/>
    <w:rsid w:val="00A31E56"/>
    <w:rsid w:val="00A31E6F"/>
    <w:rsid w:val="00A3296F"/>
    <w:rsid w:val="00A32F59"/>
    <w:rsid w:val="00A330B1"/>
    <w:rsid w:val="00A332B7"/>
    <w:rsid w:val="00A33C0E"/>
    <w:rsid w:val="00A33D6D"/>
    <w:rsid w:val="00A33EF9"/>
    <w:rsid w:val="00A3435A"/>
    <w:rsid w:val="00A345E1"/>
    <w:rsid w:val="00A346F0"/>
    <w:rsid w:val="00A34774"/>
    <w:rsid w:val="00A348C2"/>
    <w:rsid w:val="00A34C42"/>
    <w:rsid w:val="00A34E27"/>
    <w:rsid w:val="00A34E8F"/>
    <w:rsid w:val="00A35275"/>
    <w:rsid w:val="00A3536C"/>
    <w:rsid w:val="00A3539F"/>
    <w:rsid w:val="00A354A7"/>
    <w:rsid w:val="00A355A0"/>
    <w:rsid w:val="00A3567F"/>
    <w:rsid w:val="00A35792"/>
    <w:rsid w:val="00A35810"/>
    <w:rsid w:val="00A35835"/>
    <w:rsid w:val="00A35857"/>
    <w:rsid w:val="00A358A4"/>
    <w:rsid w:val="00A3597A"/>
    <w:rsid w:val="00A359D9"/>
    <w:rsid w:val="00A35BAA"/>
    <w:rsid w:val="00A35D5D"/>
    <w:rsid w:val="00A36103"/>
    <w:rsid w:val="00A364AD"/>
    <w:rsid w:val="00A36CC1"/>
    <w:rsid w:val="00A371C5"/>
    <w:rsid w:val="00A372B1"/>
    <w:rsid w:val="00A372FF"/>
    <w:rsid w:val="00A37449"/>
    <w:rsid w:val="00A37698"/>
    <w:rsid w:val="00A3775B"/>
    <w:rsid w:val="00A3778C"/>
    <w:rsid w:val="00A37929"/>
    <w:rsid w:val="00A379BD"/>
    <w:rsid w:val="00A37A65"/>
    <w:rsid w:val="00A37AA8"/>
    <w:rsid w:val="00A37D86"/>
    <w:rsid w:val="00A40090"/>
    <w:rsid w:val="00A4010E"/>
    <w:rsid w:val="00A40130"/>
    <w:rsid w:val="00A40188"/>
    <w:rsid w:val="00A40234"/>
    <w:rsid w:val="00A40305"/>
    <w:rsid w:val="00A405BB"/>
    <w:rsid w:val="00A4076E"/>
    <w:rsid w:val="00A407EB"/>
    <w:rsid w:val="00A408C4"/>
    <w:rsid w:val="00A4093C"/>
    <w:rsid w:val="00A40A0D"/>
    <w:rsid w:val="00A40B45"/>
    <w:rsid w:val="00A40EAB"/>
    <w:rsid w:val="00A40ED3"/>
    <w:rsid w:val="00A40F4A"/>
    <w:rsid w:val="00A40FA7"/>
    <w:rsid w:val="00A412E5"/>
    <w:rsid w:val="00A4176D"/>
    <w:rsid w:val="00A41818"/>
    <w:rsid w:val="00A41B23"/>
    <w:rsid w:val="00A41ED3"/>
    <w:rsid w:val="00A41EEB"/>
    <w:rsid w:val="00A420BF"/>
    <w:rsid w:val="00A424A6"/>
    <w:rsid w:val="00A429A0"/>
    <w:rsid w:val="00A42C50"/>
    <w:rsid w:val="00A42CE0"/>
    <w:rsid w:val="00A42F6A"/>
    <w:rsid w:val="00A42FA2"/>
    <w:rsid w:val="00A42FD0"/>
    <w:rsid w:val="00A43107"/>
    <w:rsid w:val="00A431DA"/>
    <w:rsid w:val="00A432D4"/>
    <w:rsid w:val="00A432E2"/>
    <w:rsid w:val="00A434B7"/>
    <w:rsid w:val="00A43712"/>
    <w:rsid w:val="00A4391B"/>
    <w:rsid w:val="00A43921"/>
    <w:rsid w:val="00A43BAC"/>
    <w:rsid w:val="00A43BAF"/>
    <w:rsid w:val="00A43F3C"/>
    <w:rsid w:val="00A43FC9"/>
    <w:rsid w:val="00A4417E"/>
    <w:rsid w:val="00A441AA"/>
    <w:rsid w:val="00A44540"/>
    <w:rsid w:val="00A44810"/>
    <w:rsid w:val="00A44971"/>
    <w:rsid w:val="00A44A3A"/>
    <w:rsid w:val="00A44B30"/>
    <w:rsid w:val="00A4518E"/>
    <w:rsid w:val="00A45CFD"/>
    <w:rsid w:val="00A45DEE"/>
    <w:rsid w:val="00A45F4C"/>
    <w:rsid w:val="00A45FA3"/>
    <w:rsid w:val="00A461F5"/>
    <w:rsid w:val="00A4627E"/>
    <w:rsid w:val="00A46349"/>
    <w:rsid w:val="00A4643E"/>
    <w:rsid w:val="00A4654E"/>
    <w:rsid w:val="00A467BF"/>
    <w:rsid w:val="00A468AC"/>
    <w:rsid w:val="00A46958"/>
    <w:rsid w:val="00A46C52"/>
    <w:rsid w:val="00A46F26"/>
    <w:rsid w:val="00A470BC"/>
    <w:rsid w:val="00A47282"/>
    <w:rsid w:val="00A4740D"/>
    <w:rsid w:val="00A47559"/>
    <w:rsid w:val="00A4777D"/>
    <w:rsid w:val="00A4781D"/>
    <w:rsid w:val="00A47997"/>
    <w:rsid w:val="00A47D05"/>
    <w:rsid w:val="00A47D8B"/>
    <w:rsid w:val="00A504EB"/>
    <w:rsid w:val="00A505E3"/>
    <w:rsid w:val="00A505FA"/>
    <w:rsid w:val="00A506D2"/>
    <w:rsid w:val="00A50874"/>
    <w:rsid w:val="00A50A86"/>
    <w:rsid w:val="00A50CBC"/>
    <w:rsid w:val="00A50FF1"/>
    <w:rsid w:val="00A51141"/>
    <w:rsid w:val="00A51259"/>
    <w:rsid w:val="00A5143B"/>
    <w:rsid w:val="00A519A0"/>
    <w:rsid w:val="00A519E4"/>
    <w:rsid w:val="00A51B16"/>
    <w:rsid w:val="00A51B5C"/>
    <w:rsid w:val="00A51C60"/>
    <w:rsid w:val="00A51EA8"/>
    <w:rsid w:val="00A51F1A"/>
    <w:rsid w:val="00A5204D"/>
    <w:rsid w:val="00A5211F"/>
    <w:rsid w:val="00A522DC"/>
    <w:rsid w:val="00A52378"/>
    <w:rsid w:val="00A52442"/>
    <w:rsid w:val="00A52638"/>
    <w:rsid w:val="00A52816"/>
    <w:rsid w:val="00A52A1F"/>
    <w:rsid w:val="00A52B58"/>
    <w:rsid w:val="00A52DDC"/>
    <w:rsid w:val="00A52E56"/>
    <w:rsid w:val="00A52FA6"/>
    <w:rsid w:val="00A53C7C"/>
    <w:rsid w:val="00A53E09"/>
    <w:rsid w:val="00A540CF"/>
    <w:rsid w:val="00A54510"/>
    <w:rsid w:val="00A545A1"/>
    <w:rsid w:val="00A547FC"/>
    <w:rsid w:val="00A5496A"/>
    <w:rsid w:val="00A549A2"/>
    <w:rsid w:val="00A54A33"/>
    <w:rsid w:val="00A54A60"/>
    <w:rsid w:val="00A54EB1"/>
    <w:rsid w:val="00A555E3"/>
    <w:rsid w:val="00A55828"/>
    <w:rsid w:val="00A55D21"/>
    <w:rsid w:val="00A56148"/>
    <w:rsid w:val="00A56243"/>
    <w:rsid w:val="00A562B4"/>
    <w:rsid w:val="00A5654A"/>
    <w:rsid w:val="00A56C08"/>
    <w:rsid w:val="00A56F8D"/>
    <w:rsid w:val="00A5701F"/>
    <w:rsid w:val="00A57163"/>
    <w:rsid w:val="00A57423"/>
    <w:rsid w:val="00A5781D"/>
    <w:rsid w:val="00A57866"/>
    <w:rsid w:val="00A5789B"/>
    <w:rsid w:val="00A5793C"/>
    <w:rsid w:val="00A57E14"/>
    <w:rsid w:val="00A608F1"/>
    <w:rsid w:val="00A60992"/>
    <w:rsid w:val="00A60BE2"/>
    <w:rsid w:val="00A60CBC"/>
    <w:rsid w:val="00A60E72"/>
    <w:rsid w:val="00A61850"/>
    <w:rsid w:val="00A6195A"/>
    <w:rsid w:val="00A619FA"/>
    <w:rsid w:val="00A61CD5"/>
    <w:rsid w:val="00A61D4A"/>
    <w:rsid w:val="00A61EF2"/>
    <w:rsid w:val="00A62023"/>
    <w:rsid w:val="00A62087"/>
    <w:rsid w:val="00A62141"/>
    <w:rsid w:val="00A62884"/>
    <w:rsid w:val="00A62A1A"/>
    <w:rsid w:val="00A62C98"/>
    <w:rsid w:val="00A63270"/>
    <w:rsid w:val="00A6344D"/>
    <w:rsid w:val="00A635FB"/>
    <w:rsid w:val="00A63DAE"/>
    <w:rsid w:val="00A64053"/>
    <w:rsid w:val="00A64208"/>
    <w:rsid w:val="00A643BB"/>
    <w:rsid w:val="00A64906"/>
    <w:rsid w:val="00A6494A"/>
    <w:rsid w:val="00A64CC6"/>
    <w:rsid w:val="00A64ECF"/>
    <w:rsid w:val="00A6503B"/>
    <w:rsid w:val="00A65505"/>
    <w:rsid w:val="00A656BB"/>
    <w:rsid w:val="00A6580F"/>
    <w:rsid w:val="00A65926"/>
    <w:rsid w:val="00A65C13"/>
    <w:rsid w:val="00A65EAF"/>
    <w:rsid w:val="00A65F14"/>
    <w:rsid w:val="00A65FD4"/>
    <w:rsid w:val="00A661D3"/>
    <w:rsid w:val="00A6645B"/>
    <w:rsid w:val="00A66496"/>
    <w:rsid w:val="00A666E2"/>
    <w:rsid w:val="00A6671E"/>
    <w:rsid w:val="00A66985"/>
    <w:rsid w:val="00A66A8C"/>
    <w:rsid w:val="00A66AC4"/>
    <w:rsid w:val="00A66F57"/>
    <w:rsid w:val="00A66F86"/>
    <w:rsid w:val="00A67087"/>
    <w:rsid w:val="00A67204"/>
    <w:rsid w:val="00A6738D"/>
    <w:rsid w:val="00A67443"/>
    <w:rsid w:val="00A67582"/>
    <w:rsid w:val="00A67620"/>
    <w:rsid w:val="00A67A9D"/>
    <w:rsid w:val="00A67AAC"/>
    <w:rsid w:val="00A7029B"/>
    <w:rsid w:val="00A70593"/>
    <w:rsid w:val="00A70825"/>
    <w:rsid w:val="00A70897"/>
    <w:rsid w:val="00A70AAA"/>
    <w:rsid w:val="00A70D04"/>
    <w:rsid w:val="00A714E7"/>
    <w:rsid w:val="00A714FB"/>
    <w:rsid w:val="00A715D8"/>
    <w:rsid w:val="00A71960"/>
    <w:rsid w:val="00A71AF8"/>
    <w:rsid w:val="00A7233C"/>
    <w:rsid w:val="00A725F7"/>
    <w:rsid w:val="00A726D2"/>
    <w:rsid w:val="00A72B7F"/>
    <w:rsid w:val="00A72C98"/>
    <w:rsid w:val="00A72E21"/>
    <w:rsid w:val="00A72FA1"/>
    <w:rsid w:val="00A73048"/>
    <w:rsid w:val="00A731C8"/>
    <w:rsid w:val="00A731F6"/>
    <w:rsid w:val="00A73393"/>
    <w:rsid w:val="00A734BA"/>
    <w:rsid w:val="00A7376A"/>
    <w:rsid w:val="00A737DA"/>
    <w:rsid w:val="00A73971"/>
    <w:rsid w:val="00A73973"/>
    <w:rsid w:val="00A739BF"/>
    <w:rsid w:val="00A73F1C"/>
    <w:rsid w:val="00A73F43"/>
    <w:rsid w:val="00A741DA"/>
    <w:rsid w:val="00A74985"/>
    <w:rsid w:val="00A74C91"/>
    <w:rsid w:val="00A74DA6"/>
    <w:rsid w:val="00A74F4D"/>
    <w:rsid w:val="00A752CA"/>
    <w:rsid w:val="00A7532B"/>
    <w:rsid w:val="00A75690"/>
    <w:rsid w:val="00A7581A"/>
    <w:rsid w:val="00A75B67"/>
    <w:rsid w:val="00A75B82"/>
    <w:rsid w:val="00A75DF0"/>
    <w:rsid w:val="00A75E4F"/>
    <w:rsid w:val="00A75E77"/>
    <w:rsid w:val="00A762FA"/>
    <w:rsid w:val="00A763B6"/>
    <w:rsid w:val="00A76465"/>
    <w:rsid w:val="00A76711"/>
    <w:rsid w:val="00A76750"/>
    <w:rsid w:val="00A76C5C"/>
    <w:rsid w:val="00A76D62"/>
    <w:rsid w:val="00A76DA9"/>
    <w:rsid w:val="00A76FBF"/>
    <w:rsid w:val="00A76FC5"/>
    <w:rsid w:val="00A775F5"/>
    <w:rsid w:val="00A77B13"/>
    <w:rsid w:val="00A80005"/>
    <w:rsid w:val="00A80413"/>
    <w:rsid w:val="00A805CB"/>
    <w:rsid w:val="00A8061E"/>
    <w:rsid w:val="00A806E5"/>
    <w:rsid w:val="00A80765"/>
    <w:rsid w:val="00A80B0F"/>
    <w:rsid w:val="00A80C87"/>
    <w:rsid w:val="00A80FCD"/>
    <w:rsid w:val="00A81172"/>
    <w:rsid w:val="00A811BB"/>
    <w:rsid w:val="00A812A5"/>
    <w:rsid w:val="00A813EF"/>
    <w:rsid w:val="00A81706"/>
    <w:rsid w:val="00A81967"/>
    <w:rsid w:val="00A819E8"/>
    <w:rsid w:val="00A81BC9"/>
    <w:rsid w:val="00A81D82"/>
    <w:rsid w:val="00A81FEF"/>
    <w:rsid w:val="00A8222A"/>
    <w:rsid w:val="00A82394"/>
    <w:rsid w:val="00A823D2"/>
    <w:rsid w:val="00A82B28"/>
    <w:rsid w:val="00A82B78"/>
    <w:rsid w:val="00A82CD7"/>
    <w:rsid w:val="00A82D5A"/>
    <w:rsid w:val="00A82FC9"/>
    <w:rsid w:val="00A8346B"/>
    <w:rsid w:val="00A8363E"/>
    <w:rsid w:val="00A8369B"/>
    <w:rsid w:val="00A8375C"/>
    <w:rsid w:val="00A838C6"/>
    <w:rsid w:val="00A83939"/>
    <w:rsid w:val="00A8395F"/>
    <w:rsid w:val="00A839B0"/>
    <w:rsid w:val="00A83A0A"/>
    <w:rsid w:val="00A83E04"/>
    <w:rsid w:val="00A84081"/>
    <w:rsid w:val="00A8490F"/>
    <w:rsid w:val="00A84AF6"/>
    <w:rsid w:val="00A84DAC"/>
    <w:rsid w:val="00A84F2A"/>
    <w:rsid w:val="00A84F36"/>
    <w:rsid w:val="00A8559B"/>
    <w:rsid w:val="00A8560B"/>
    <w:rsid w:val="00A85A2F"/>
    <w:rsid w:val="00A85AC3"/>
    <w:rsid w:val="00A85CAC"/>
    <w:rsid w:val="00A86204"/>
    <w:rsid w:val="00A862D2"/>
    <w:rsid w:val="00A8636A"/>
    <w:rsid w:val="00A869D3"/>
    <w:rsid w:val="00A86A00"/>
    <w:rsid w:val="00A86B31"/>
    <w:rsid w:val="00A86C6D"/>
    <w:rsid w:val="00A86DB0"/>
    <w:rsid w:val="00A86FB3"/>
    <w:rsid w:val="00A8712E"/>
    <w:rsid w:val="00A8771A"/>
    <w:rsid w:val="00A877D3"/>
    <w:rsid w:val="00A87BB2"/>
    <w:rsid w:val="00A87BF8"/>
    <w:rsid w:val="00A87FA8"/>
    <w:rsid w:val="00A9005A"/>
    <w:rsid w:val="00A909E2"/>
    <w:rsid w:val="00A90E5D"/>
    <w:rsid w:val="00A90FDA"/>
    <w:rsid w:val="00A9114E"/>
    <w:rsid w:val="00A9118F"/>
    <w:rsid w:val="00A9166E"/>
    <w:rsid w:val="00A91710"/>
    <w:rsid w:val="00A91725"/>
    <w:rsid w:val="00A91769"/>
    <w:rsid w:val="00A917F3"/>
    <w:rsid w:val="00A92158"/>
    <w:rsid w:val="00A9255E"/>
    <w:rsid w:val="00A92715"/>
    <w:rsid w:val="00A92871"/>
    <w:rsid w:val="00A9292F"/>
    <w:rsid w:val="00A92A95"/>
    <w:rsid w:val="00A92CB7"/>
    <w:rsid w:val="00A93126"/>
    <w:rsid w:val="00A9324C"/>
    <w:rsid w:val="00A93339"/>
    <w:rsid w:val="00A933ED"/>
    <w:rsid w:val="00A935E2"/>
    <w:rsid w:val="00A93618"/>
    <w:rsid w:val="00A9369F"/>
    <w:rsid w:val="00A936EB"/>
    <w:rsid w:val="00A93768"/>
    <w:rsid w:val="00A93857"/>
    <w:rsid w:val="00A9386C"/>
    <w:rsid w:val="00A938DC"/>
    <w:rsid w:val="00A93A89"/>
    <w:rsid w:val="00A93AB4"/>
    <w:rsid w:val="00A93C9B"/>
    <w:rsid w:val="00A93E33"/>
    <w:rsid w:val="00A94122"/>
    <w:rsid w:val="00A94143"/>
    <w:rsid w:val="00A94170"/>
    <w:rsid w:val="00A94296"/>
    <w:rsid w:val="00A944E9"/>
    <w:rsid w:val="00A94581"/>
    <w:rsid w:val="00A9460B"/>
    <w:rsid w:val="00A94A91"/>
    <w:rsid w:val="00A94C41"/>
    <w:rsid w:val="00A94CDD"/>
    <w:rsid w:val="00A94DFE"/>
    <w:rsid w:val="00A9509D"/>
    <w:rsid w:val="00A951ED"/>
    <w:rsid w:val="00A953DE"/>
    <w:rsid w:val="00A959EB"/>
    <w:rsid w:val="00A95C0A"/>
    <w:rsid w:val="00A95C58"/>
    <w:rsid w:val="00A95CA5"/>
    <w:rsid w:val="00A95FD3"/>
    <w:rsid w:val="00A963DA"/>
    <w:rsid w:val="00A9654C"/>
    <w:rsid w:val="00A96720"/>
    <w:rsid w:val="00A96917"/>
    <w:rsid w:val="00A96945"/>
    <w:rsid w:val="00A96998"/>
    <w:rsid w:val="00A969A9"/>
    <w:rsid w:val="00A96DB1"/>
    <w:rsid w:val="00A97190"/>
    <w:rsid w:val="00A97471"/>
    <w:rsid w:val="00A97472"/>
    <w:rsid w:val="00A974CE"/>
    <w:rsid w:val="00A97636"/>
    <w:rsid w:val="00A97743"/>
    <w:rsid w:val="00A9788A"/>
    <w:rsid w:val="00A97972"/>
    <w:rsid w:val="00A97BE2"/>
    <w:rsid w:val="00A97D44"/>
    <w:rsid w:val="00AA0095"/>
    <w:rsid w:val="00AA0442"/>
    <w:rsid w:val="00AA0548"/>
    <w:rsid w:val="00AA06B5"/>
    <w:rsid w:val="00AA07BB"/>
    <w:rsid w:val="00AA08DB"/>
    <w:rsid w:val="00AA09D5"/>
    <w:rsid w:val="00AA0B07"/>
    <w:rsid w:val="00AA0B82"/>
    <w:rsid w:val="00AA0B87"/>
    <w:rsid w:val="00AA0BE3"/>
    <w:rsid w:val="00AA11AC"/>
    <w:rsid w:val="00AA1472"/>
    <w:rsid w:val="00AA1511"/>
    <w:rsid w:val="00AA196B"/>
    <w:rsid w:val="00AA19A1"/>
    <w:rsid w:val="00AA1ADB"/>
    <w:rsid w:val="00AA1BE9"/>
    <w:rsid w:val="00AA1CFE"/>
    <w:rsid w:val="00AA1D86"/>
    <w:rsid w:val="00AA1F2F"/>
    <w:rsid w:val="00AA2291"/>
    <w:rsid w:val="00AA2416"/>
    <w:rsid w:val="00AA25E9"/>
    <w:rsid w:val="00AA28EC"/>
    <w:rsid w:val="00AA290B"/>
    <w:rsid w:val="00AA29A4"/>
    <w:rsid w:val="00AA2A60"/>
    <w:rsid w:val="00AA2A70"/>
    <w:rsid w:val="00AA2CB5"/>
    <w:rsid w:val="00AA2DC2"/>
    <w:rsid w:val="00AA2E1A"/>
    <w:rsid w:val="00AA2FF8"/>
    <w:rsid w:val="00AA3127"/>
    <w:rsid w:val="00AA317E"/>
    <w:rsid w:val="00AA3696"/>
    <w:rsid w:val="00AA377A"/>
    <w:rsid w:val="00AA385D"/>
    <w:rsid w:val="00AA3AEE"/>
    <w:rsid w:val="00AA3ECC"/>
    <w:rsid w:val="00AA3EFE"/>
    <w:rsid w:val="00AA446F"/>
    <w:rsid w:val="00AA4860"/>
    <w:rsid w:val="00AA49B2"/>
    <w:rsid w:val="00AA4D5D"/>
    <w:rsid w:val="00AA4E78"/>
    <w:rsid w:val="00AA4F53"/>
    <w:rsid w:val="00AA5F0F"/>
    <w:rsid w:val="00AA5F31"/>
    <w:rsid w:val="00AA5F94"/>
    <w:rsid w:val="00AA61AD"/>
    <w:rsid w:val="00AA61B0"/>
    <w:rsid w:val="00AA61ED"/>
    <w:rsid w:val="00AA67B3"/>
    <w:rsid w:val="00AA68F0"/>
    <w:rsid w:val="00AA6A42"/>
    <w:rsid w:val="00AA6FCA"/>
    <w:rsid w:val="00AA70F1"/>
    <w:rsid w:val="00AA7280"/>
    <w:rsid w:val="00AA737A"/>
    <w:rsid w:val="00AA7536"/>
    <w:rsid w:val="00AA7B40"/>
    <w:rsid w:val="00AA7D2B"/>
    <w:rsid w:val="00AA7E7D"/>
    <w:rsid w:val="00AB018F"/>
    <w:rsid w:val="00AB034F"/>
    <w:rsid w:val="00AB0359"/>
    <w:rsid w:val="00AB04EB"/>
    <w:rsid w:val="00AB069B"/>
    <w:rsid w:val="00AB083E"/>
    <w:rsid w:val="00AB0974"/>
    <w:rsid w:val="00AB0A23"/>
    <w:rsid w:val="00AB0A2B"/>
    <w:rsid w:val="00AB0D05"/>
    <w:rsid w:val="00AB10E9"/>
    <w:rsid w:val="00AB112A"/>
    <w:rsid w:val="00AB1433"/>
    <w:rsid w:val="00AB1810"/>
    <w:rsid w:val="00AB1974"/>
    <w:rsid w:val="00AB1A5F"/>
    <w:rsid w:val="00AB1DB4"/>
    <w:rsid w:val="00AB1FDA"/>
    <w:rsid w:val="00AB2053"/>
    <w:rsid w:val="00AB2060"/>
    <w:rsid w:val="00AB2656"/>
    <w:rsid w:val="00AB2B42"/>
    <w:rsid w:val="00AB2C87"/>
    <w:rsid w:val="00AB2FA2"/>
    <w:rsid w:val="00AB3376"/>
    <w:rsid w:val="00AB340D"/>
    <w:rsid w:val="00AB367B"/>
    <w:rsid w:val="00AB36A0"/>
    <w:rsid w:val="00AB36AD"/>
    <w:rsid w:val="00AB3725"/>
    <w:rsid w:val="00AB377E"/>
    <w:rsid w:val="00AB37AD"/>
    <w:rsid w:val="00AB3BB1"/>
    <w:rsid w:val="00AB3DE9"/>
    <w:rsid w:val="00AB3F24"/>
    <w:rsid w:val="00AB3FD1"/>
    <w:rsid w:val="00AB46D7"/>
    <w:rsid w:val="00AB48D1"/>
    <w:rsid w:val="00AB4A7B"/>
    <w:rsid w:val="00AB4A9A"/>
    <w:rsid w:val="00AB4B22"/>
    <w:rsid w:val="00AB4E08"/>
    <w:rsid w:val="00AB5134"/>
    <w:rsid w:val="00AB533B"/>
    <w:rsid w:val="00AB544D"/>
    <w:rsid w:val="00AB5519"/>
    <w:rsid w:val="00AB57A1"/>
    <w:rsid w:val="00AB583D"/>
    <w:rsid w:val="00AB5891"/>
    <w:rsid w:val="00AB5900"/>
    <w:rsid w:val="00AB62B2"/>
    <w:rsid w:val="00AB6513"/>
    <w:rsid w:val="00AB6566"/>
    <w:rsid w:val="00AB66A2"/>
    <w:rsid w:val="00AB6726"/>
    <w:rsid w:val="00AB6891"/>
    <w:rsid w:val="00AB6970"/>
    <w:rsid w:val="00AB6EF3"/>
    <w:rsid w:val="00AB7126"/>
    <w:rsid w:val="00AB78E1"/>
    <w:rsid w:val="00AB78F7"/>
    <w:rsid w:val="00AB7943"/>
    <w:rsid w:val="00AB7E7D"/>
    <w:rsid w:val="00AB7FC1"/>
    <w:rsid w:val="00AC06AE"/>
    <w:rsid w:val="00AC07FC"/>
    <w:rsid w:val="00AC0A82"/>
    <w:rsid w:val="00AC0B87"/>
    <w:rsid w:val="00AC0D4E"/>
    <w:rsid w:val="00AC1315"/>
    <w:rsid w:val="00AC173A"/>
    <w:rsid w:val="00AC1939"/>
    <w:rsid w:val="00AC1C92"/>
    <w:rsid w:val="00AC1EEA"/>
    <w:rsid w:val="00AC1F29"/>
    <w:rsid w:val="00AC259C"/>
    <w:rsid w:val="00AC298E"/>
    <w:rsid w:val="00AC2F87"/>
    <w:rsid w:val="00AC3010"/>
    <w:rsid w:val="00AC312E"/>
    <w:rsid w:val="00AC31FA"/>
    <w:rsid w:val="00AC325D"/>
    <w:rsid w:val="00AC347C"/>
    <w:rsid w:val="00AC35BC"/>
    <w:rsid w:val="00AC35CA"/>
    <w:rsid w:val="00AC37CC"/>
    <w:rsid w:val="00AC3AC1"/>
    <w:rsid w:val="00AC3F4D"/>
    <w:rsid w:val="00AC41AF"/>
    <w:rsid w:val="00AC478F"/>
    <w:rsid w:val="00AC4898"/>
    <w:rsid w:val="00AC4999"/>
    <w:rsid w:val="00AC4CD0"/>
    <w:rsid w:val="00AC5B1B"/>
    <w:rsid w:val="00AC5B85"/>
    <w:rsid w:val="00AC5E11"/>
    <w:rsid w:val="00AC6337"/>
    <w:rsid w:val="00AC697E"/>
    <w:rsid w:val="00AC7086"/>
    <w:rsid w:val="00AC73D3"/>
    <w:rsid w:val="00AC763D"/>
    <w:rsid w:val="00AC7751"/>
    <w:rsid w:val="00AC7891"/>
    <w:rsid w:val="00AC794D"/>
    <w:rsid w:val="00AC7B13"/>
    <w:rsid w:val="00AC7C05"/>
    <w:rsid w:val="00AC7C49"/>
    <w:rsid w:val="00AC7DEE"/>
    <w:rsid w:val="00AC7E51"/>
    <w:rsid w:val="00AC7EF7"/>
    <w:rsid w:val="00AC7F95"/>
    <w:rsid w:val="00AD00DF"/>
    <w:rsid w:val="00AD01ED"/>
    <w:rsid w:val="00AD037E"/>
    <w:rsid w:val="00AD0408"/>
    <w:rsid w:val="00AD0481"/>
    <w:rsid w:val="00AD05CA"/>
    <w:rsid w:val="00AD0812"/>
    <w:rsid w:val="00AD0A05"/>
    <w:rsid w:val="00AD0B55"/>
    <w:rsid w:val="00AD0BFA"/>
    <w:rsid w:val="00AD0DA5"/>
    <w:rsid w:val="00AD0E5E"/>
    <w:rsid w:val="00AD0FE3"/>
    <w:rsid w:val="00AD11F5"/>
    <w:rsid w:val="00AD12C0"/>
    <w:rsid w:val="00AD1313"/>
    <w:rsid w:val="00AD1636"/>
    <w:rsid w:val="00AD167C"/>
    <w:rsid w:val="00AD16FB"/>
    <w:rsid w:val="00AD17C7"/>
    <w:rsid w:val="00AD18B8"/>
    <w:rsid w:val="00AD1BA7"/>
    <w:rsid w:val="00AD1CBC"/>
    <w:rsid w:val="00AD2094"/>
    <w:rsid w:val="00AD2350"/>
    <w:rsid w:val="00AD237B"/>
    <w:rsid w:val="00AD25B6"/>
    <w:rsid w:val="00AD2CA1"/>
    <w:rsid w:val="00AD2CE3"/>
    <w:rsid w:val="00AD2F27"/>
    <w:rsid w:val="00AD381C"/>
    <w:rsid w:val="00AD3BE9"/>
    <w:rsid w:val="00AD3C4C"/>
    <w:rsid w:val="00AD3D5E"/>
    <w:rsid w:val="00AD3DFB"/>
    <w:rsid w:val="00AD3FE9"/>
    <w:rsid w:val="00AD4041"/>
    <w:rsid w:val="00AD405F"/>
    <w:rsid w:val="00AD40CA"/>
    <w:rsid w:val="00AD44C0"/>
    <w:rsid w:val="00AD4726"/>
    <w:rsid w:val="00AD4E2C"/>
    <w:rsid w:val="00AD4EF0"/>
    <w:rsid w:val="00AD50AC"/>
    <w:rsid w:val="00AD5331"/>
    <w:rsid w:val="00AD54BB"/>
    <w:rsid w:val="00AD54D1"/>
    <w:rsid w:val="00AD557C"/>
    <w:rsid w:val="00AD56AF"/>
    <w:rsid w:val="00AD589E"/>
    <w:rsid w:val="00AD59E4"/>
    <w:rsid w:val="00AD5BBD"/>
    <w:rsid w:val="00AD61C6"/>
    <w:rsid w:val="00AD623D"/>
    <w:rsid w:val="00AD644C"/>
    <w:rsid w:val="00AD651F"/>
    <w:rsid w:val="00AD66EE"/>
    <w:rsid w:val="00AD6766"/>
    <w:rsid w:val="00AD6942"/>
    <w:rsid w:val="00AD6B5C"/>
    <w:rsid w:val="00AD6C43"/>
    <w:rsid w:val="00AD6DA0"/>
    <w:rsid w:val="00AD6F4C"/>
    <w:rsid w:val="00AD730D"/>
    <w:rsid w:val="00AD7694"/>
    <w:rsid w:val="00AD76DD"/>
    <w:rsid w:val="00AD7780"/>
    <w:rsid w:val="00AD783D"/>
    <w:rsid w:val="00AD78CB"/>
    <w:rsid w:val="00AD79BD"/>
    <w:rsid w:val="00ADBCAD"/>
    <w:rsid w:val="00AE00A1"/>
    <w:rsid w:val="00AE011C"/>
    <w:rsid w:val="00AE030D"/>
    <w:rsid w:val="00AE0534"/>
    <w:rsid w:val="00AE065C"/>
    <w:rsid w:val="00AE067F"/>
    <w:rsid w:val="00AE0688"/>
    <w:rsid w:val="00AE0787"/>
    <w:rsid w:val="00AE0929"/>
    <w:rsid w:val="00AE096A"/>
    <w:rsid w:val="00AE0A3F"/>
    <w:rsid w:val="00AE0C24"/>
    <w:rsid w:val="00AE0CE1"/>
    <w:rsid w:val="00AE10C6"/>
    <w:rsid w:val="00AE1161"/>
    <w:rsid w:val="00AE17E6"/>
    <w:rsid w:val="00AE1D20"/>
    <w:rsid w:val="00AE214E"/>
    <w:rsid w:val="00AE24C9"/>
    <w:rsid w:val="00AE254C"/>
    <w:rsid w:val="00AE257E"/>
    <w:rsid w:val="00AE2886"/>
    <w:rsid w:val="00AE2A71"/>
    <w:rsid w:val="00AE2B6E"/>
    <w:rsid w:val="00AE2EA6"/>
    <w:rsid w:val="00AE302B"/>
    <w:rsid w:val="00AE30AA"/>
    <w:rsid w:val="00AE31FD"/>
    <w:rsid w:val="00AE3783"/>
    <w:rsid w:val="00AE3A11"/>
    <w:rsid w:val="00AE3AB7"/>
    <w:rsid w:val="00AE3C22"/>
    <w:rsid w:val="00AE43A5"/>
    <w:rsid w:val="00AE447C"/>
    <w:rsid w:val="00AE455F"/>
    <w:rsid w:val="00AE45F1"/>
    <w:rsid w:val="00AE4740"/>
    <w:rsid w:val="00AE4A39"/>
    <w:rsid w:val="00AE4B3E"/>
    <w:rsid w:val="00AE4F8E"/>
    <w:rsid w:val="00AE4FA0"/>
    <w:rsid w:val="00AE4FD0"/>
    <w:rsid w:val="00AE52B2"/>
    <w:rsid w:val="00AE534A"/>
    <w:rsid w:val="00AE5538"/>
    <w:rsid w:val="00AE5A16"/>
    <w:rsid w:val="00AE5A58"/>
    <w:rsid w:val="00AE5B69"/>
    <w:rsid w:val="00AE5C18"/>
    <w:rsid w:val="00AE5D41"/>
    <w:rsid w:val="00AE5EE0"/>
    <w:rsid w:val="00AE5FEB"/>
    <w:rsid w:val="00AE60C7"/>
    <w:rsid w:val="00AE61D7"/>
    <w:rsid w:val="00AE640E"/>
    <w:rsid w:val="00AE6505"/>
    <w:rsid w:val="00AE6532"/>
    <w:rsid w:val="00AE680C"/>
    <w:rsid w:val="00AE692C"/>
    <w:rsid w:val="00AE69F6"/>
    <w:rsid w:val="00AE6A69"/>
    <w:rsid w:val="00AE6D6A"/>
    <w:rsid w:val="00AE6DFE"/>
    <w:rsid w:val="00AE7409"/>
    <w:rsid w:val="00AE75D4"/>
    <w:rsid w:val="00AE7848"/>
    <w:rsid w:val="00AE7BA2"/>
    <w:rsid w:val="00AE7CF5"/>
    <w:rsid w:val="00AEAFF1"/>
    <w:rsid w:val="00AF018A"/>
    <w:rsid w:val="00AF01F1"/>
    <w:rsid w:val="00AF029C"/>
    <w:rsid w:val="00AF05D3"/>
    <w:rsid w:val="00AF097B"/>
    <w:rsid w:val="00AF09F1"/>
    <w:rsid w:val="00AF0ADD"/>
    <w:rsid w:val="00AF0D70"/>
    <w:rsid w:val="00AF0D92"/>
    <w:rsid w:val="00AF0DB8"/>
    <w:rsid w:val="00AF102E"/>
    <w:rsid w:val="00AF1156"/>
    <w:rsid w:val="00AF11C5"/>
    <w:rsid w:val="00AF12F3"/>
    <w:rsid w:val="00AF153D"/>
    <w:rsid w:val="00AF197C"/>
    <w:rsid w:val="00AF1C05"/>
    <w:rsid w:val="00AF1F1A"/>
    <w:rsid w:val="00AF1FEC"/>
    <w:rsid w:val="00AF206D"/>
    <w:rsid w:val="00AF22C9"/>
    <w:rsid w:val="00AF24E5"/>
    <w:rsid w:val="00AF2671"/>
    <w:rsid w:val="00AF3275"/>
    <w:rsid w:val="00AF351A"/>
    <w:rsid w:val="00AF3749"/>
    <w:rsid w:val="00AF3939"/>
    <w:rsid w:val="00AF398C"/>
    <w:rsid w:val="00AF3992"/>
    <w:rsid w:val="00AF3A5D"/>
    <w:rsid w:val="00AF3BF2"/>
    <w:rsid w:val="00AF3C75"/>
    <w:rsid w:val="00AF3E83"/>
    <w:rsid w:val="00AF4838"/>
    <w:rsid w:val="00AF4A9C"/>
    <w:rsid w:val="00AF4D14"/>
    <w:rsid w:val="00AF4D57"/>
    <w:rsid w:val="00AF4E75"/>
    <w:rsid w:val="00AF4E89"/>
    <w:rsid w:val="00AF4F00"/>
    <w:rsid w:val="00AF4F5C"/>
    <w:rsid w:val="00AF5447"/>
    <w:rsid w:val="00AF5865"/>
    <w:rsid w:val="00AF5A7F"/>
    <w:rsid w:val="00AF629D"/>
    <w:rsid w:val="00AF6623"/>
    <w:rsid w:val="00AF6D81"/>
    <w:rsid w:val="00AF6DB5"/>
    <w:rsid w:val="00AF6F66"/>
    <w:rsid w:val="00AF7161"/>
    <w:rsid w:val="00AF731D"/>
    <w:rsid w:val="00AF740E"/>
    <w:rsid w:val="00AF7B2D"/>
    <w:rsid w:val="00AF7F35"/>
    <w:rsid w:val="00AF7F73"/>
    <w:rsid w:val="00B00149"/>
    <w:rsid w:val="00B00166"/>
    <w:rsid w:val="00B004B0"/>
    <w:rsid w:val="00B0055E"/>
    <w:rsid w:val="00B0057D"/>
    <w:rsid w:val="00B00942"/>
    <w:rsid w:val="00B00965"/>
    <w:rsid w:val="00B0102D"/>
    <w:rsid w:val="00B0120A"/>
    <w:rsid w:val="00B019B8"/>
    <w:rsid w:val="00B01AA8"/>
    <w:rsid w:val="00B01E04"/>
    <w:rsid w:val="00B0204C"/>
    <w:rsid w:val="00B023E2"/>
    <w:rsid w:val="00B024F4"/>
    <w:rsid w:val="00B02535"/>
    <w:rsid w:val="00B0299A"/>
    <w:rsid w:val="00B02A6F"/>
    <w:rsid w:val="00B03337"/>
    <w:rsid w:val="00B0336A"/>
    <w:rsid w:val="00B03761"/>
    <w:rsid w:val="00B038BC"/>
    <w:rsid w:val="00B0396B"/>
    <w:rsid w:val="00B03EF6"/>
    <w:rsid w:val="00B0434A"/>
    <w:rsid w:val="00B0441A"/>
    <w:rsid w:val="00B046B4"/>
    <w:rsid w:val="00B0483F"/>
    <w:rsid w:val="00B04992"/>
    <w:rsid w:val="00B04C1D"/>
    <w:rsid w:val="00B04CD9"/>
    <w:rsid w:val="00B04D52"/>
    <w:rsid w:val="00B04D87"/>
    <w:rsid w:val="00B05315"/>
    <w:rsid w:val="00B055D9"/>
    <w:rsid w:val="00B059CB"/>
    <w:rsid w:val="00B05A13"/>
    <w:rsid w:val="00B05B6D"/>
    <w:rsid w:val="00B0624F"/>
    <w:rsid w:val="00B0664B"/>
    <w:rsid w:val="00B066A3"/>
    <w:rsid w:val="00B06A82"/>
    <w:rsid w:val="00B06DCF"/>
    <w:rsid w:val="00B06E7C"/>
    <w:rsid w:val="00B06FE7"/>
    <w:rsid w:val="00B070E4"/>
    <w:rsid w:val="00B0727F"/>
    <w:rsid w:val="00B0734C"/>
    <w:rsid w:val="00B07748"/>
    <w:rsid w:val="00B07DD8"/>
    <w:rsid w:val="00B10264"/>
    <w:rsid w:val="00B10307"/>
    <w:rsid w:val="00B105F4"/>
    <w:rsid w:val="00B10C3F"/>
    <w:rsid w:val="00B11031"/>
    <w:rsid w:val="00B1167E"/>
    <w:rsid w:val="00B11866"/>
    <w:rsid w:val="00B1190A"/>
    <w:rsid w:val="00B11921"/>
    <w:rsid w:val="00B11A7D"/>
    <w:rsid w:val="00B11C85"/>
    <w:rsid w:val="00B11DDE"/>
    <w:rsid w:val="00B1237A"/>
    <w:rsid w:val="00B1238E"/>
    <w:rsid w:val="00B126B3"/>
    <w:rsid w:val="00B12C65"/>
    <w:rsid w:val="00B1352F"/>
    <w:rsid w:val="00B138BB"/>
    <w:rsid w:val="00B139A8"/>
    <w:rsid w:val="00B13A13"/>
    <w:rsid w:val="00B13A1F"/>
    <w:rsid w:val="00B13AE0"/>
    <w:rsid w:val="00B13C25"/>
    <w:rsid w:val="00B13D2C"/>
    <w:rsid w:val="00B14324"/>
    <w:rsid w:val="00B143A8"/>
    <w:rsid w:val="00B14686"/>
    <w:rsid w:val="00B146F2"/>
    <w:rsid w:val="00B14899"/>
    <w:rsid w:val="00B14D02"/>
    <w:rsid w:val="00B14D98"/>
    <w:rsid w:val="00B15128"/>
    <w:rsid w:val="00B152C7"/>
    <w:rsid w:val="00B1533D"/>
    <w:rsid w:val="00B15739"/>
    <w:rsid w:val="00B15973"/>
    <w:rsid w:val="00B15BC4"/>
    <w:rsid w:val="00B15F73"/>
    <w:rsid w:val="00B16354"/>
    <w:rsid w:val="00B163FB"/>
    <w:rsid w:val="00B16414"/>
    <w:rsid w:val="00B165C0"/>
    <w:rsid w:val="00B1675A"/>
    <w:rsid w:val="00B167E6"/>
    <w:rsid w:val="00B168AD"/>
    <w:rsid w:val="00B168C9"/>
    <w:rsid w:val="00B168DE"/>
    <w:rsid w:val="00B16B35"/>
    <w:rsid w:val="00B16BE5"/>
    <w:rsid w:val="00B16ED4"/>
    <w:rsid w:val="00B176DA"/>
    <w:rsid w:val="00B178FE"/>
    <w:rsid w:val="00B17BF1"/>
    <w:rsid w:val="00B17C01"/>
    <w:rsid w:val="00B17D54"/>
    <w:rsid w:val="00B17F2D"/>
    <w:rsid w:val="00B2007A"/>
    <w:rsid w:val="00B200BD"/>
    <w:rsid w:val="00B201C3"/>
    <w:rsid w:val="00B201FF"/>
    <w:rsid w:val="00B20516"/>
    <w:rsid w:val="00B2089F"/>
    <w:rsid w:val="00B20A3F"/>
    <w:rsid w:val="00B20AA8"/>
    <w:rsid w:val="00B20AD3"/>
    <w:rsid w:val="00B20BDC"/>
    <w:rsid w:val="00B20FE5"/>
    <w:rsid w:val="00B21087"/>
    <w:rsid w:val="00B211BD"/>
    <w:rsid w:val="00B21306"/>
    <w:rsid w:val="00B216EB"/>
    <w:rsid w:val="00B21769"/>
    <w:rsid w:val="00B21995"/>
    <w:rsid w:val="00B21A8E"/>
    <w:rsid w:val="00B21E39"/>
    <w:rsid w:val="00B21ECD"/>
    <w:rsid w:val="00B2234F"/>
    <w:rsid w:val="00B225A9"/>
    <w:rsid w:val="00B229CD"/>
    <w:rsid w:val="00B22C9F"/>
    <w:rsid w:val="00B232D6"/>
    <w:rsid w:val="00B233C9"/>
    <w:rsid w:val="00B23412"/>
    <w:rsid w:val="00B239E3"/>
    <w:rsid w:val="00B23AA4"/>
    <w:rsid w:val="00B23E62"/>
    <w:rsid w:val="00B2402A"/>
    <w:rsid w:val="00B2481D"/>
    <w:rsid w:val="00B24F0F"/>
    <w:rsid w:val="00B24FB7"/>
    <w:rsid w:val="00B25514"/>
    <w:rsid w:val="00B25547"/>
    <w:rsid w:val="00B257A6"/>
    <w:rsid w:val="00B259DF"/>
    <w:rsid w:val="00B25BA8"/>
    <w:rsid w:val="00B260A8"/>
    <w:rsid w:val="00B260EF"/>
    <w:rsid w:val="00B2623B"/>
    <w:rsid w:val="00B26762"/>
    <w:rsid w:val="00B26A5F"/>
    <w:rsid w:val="00B26C6F"/>
    <w:rsid w:val="00B26E0A"/>
    <w:rsid w:val="00B26E3C"/>
    <w:rsid w:val="00B26F54"/>
    <w:rsid w:val="00B26F7A"/>
    <w:rsid w:val="00B2703B"/>
    <w:rsid w:val="00B2735A"/>
    <w:rsid w:val="00B2777A"/>
    <w:rsid w:val="00B2777F"/>
    <w:rsid w:val="00B27E57"/>
    <w:rsid w:val="00B27F7A"/>
    <w:rsid w:val="00B30224"/>
    <w:rsid w:val="00B30461"/>
    <w:rsid w:val="00B30470"/>
    <w:rsid w:val="00B30879"/>
    <w:rsid w:val="00B3088A"/>
    <w:rsid w:val="00B30CA3"/>
    <w:rsid w:val="00B30CF5"/>
    <w:rsid w:val="00B310DC"/>
    <w:rsid w:val="00B31176"/>
    <w:rsid w:val="00B311A9"/>
    <w:rsid w:val="00B316ED"/>
    <w:rsid w:val="00B31816"/>
    <w:rsid w:val="00B3185B"/>
    <w:rsid w:val="00B3193C"/>
    <w:rsid w:val="00B319F3"/>
    <w:rsid w:val="00B31A3B"/>
    <w:rsid w:val="00B31C10"/>
    <w:rsid w:val="00B31D94"/>
    <w:rsid w:val="00B31EC6"/>
    <w:rsid w:val="00B31F3C"/>
    <w:rsid w:val="00B3215F"/>
    <w:rsid w:val="00B326D4"/>
    <w:rsid w:val="00B3278E"/>
    <w:rsid w:val="00B327F1"/>
    <w:rsid w:val="00B328E2"/>
    <w:rsid w:val="00B32954"/>
    <w:rsid w:val="00B32B0B"/>
    <w:rsid w:val="00B32C1A"/>
    <w:rsid w:val="00B32D5C"/>
    <w:rsid w:val="00B335E6"/>
    <w:rsid w:val="00B33923"/>
    <w:rsid w:val="00B33E46"/>
    <w:rsid w:val="00B34111"/>
    <w:rsid w:val="00B3431F"/>
    <w:rsid w:val="00B344E9"/>
    <w:rsid w:val="00B346BE"/>
    <w:rsid w:val="00B34894"/>
    <w:rsid w:val="00B349D6"/>
    <w:rsid w:val="00B34A3A"/>
    <w:rsid w:val="00B34B1B"/>
    <w:rsid w:val="00B34E95"/>
    <w:rsid w:val="00B35112"/>
    <w:rsid w:val="00B353A7"/>
    <w:rsid w:val="00B35426"/>
    <w:rsid w:val="00B354BB"/>
    <w:rsid w:val="00B355B2"/>
    <w:rsid w:val="00B357AE"/>
    <w:rsid w:val="00B35B2F"/>
    <w:rsid w:val="00B35DE7"/>
    <w:rsid w:val="00B35EFE"/>
    <w:rsid w:val="00B35F8F"/>
    <w:rsid w:val="00B36083"/>
    <w:rsid w:val="00B361D7"/>
    <w:rsid w:val="00B3625B"/>
    <w:rsid w:val="00B36796"/>
    <w:rsid w:val="00B36805"/>
    <w:rsid w:val="00B36849"/>
    <w:rsid w:val="00B369E2"/>
    <w:rsid w:val="00B36B74"/>
    <w:rsid w:val="00B36BBD"/>
    <w:rsid w:val="00B36D54"/>
    <w:rsid w:val="00B36EBB"/>
    <w:rsid w:val="00B37148"/>
    <w:rsid w:val="00B3732A"/>
    <w:rsid w:val="00B37467"/>
    <w:rsid w:val="00B3748E"/>
    <w:rsid w:val="00B377A7"/>
    <w:rsid w:val="00B37A06"/>
    <w:rsid w:val="00B37B8E"/>
    <w:rsid w:val="00B405BF"/>
    <w:rsid w:val="00B405FF"/>
    <w:rsid w:val="00B40723"/>
    <w:rsid w:val="00B409CB"/>
    <w:rsid w:val="00B40CAC"/>
    <w:rsid w:val="00B40CAE"/>
    <w:rsid w:val="00B40E5F"/>
    <w:rsid w:val="00B40F49"/>
    <w:rsid w:val="00B412EE"/>
    <w:rsid w:val="00B415E4"/>
    <w:rsid w:val="00B41B31"/>
    <w:rsid w:val="00B41B37"/>
    <w:rsid w:val="00B41CE3"/>
    <w:rsid w:val="00B41CE5"/>
    <w:rsid w:val="00B42535"/>
    <w:rsid w:val="00B427C2"/>
    <w:rsid w:val="00B42B3E"/>
    <w:rsid w:val="00B42BA1"/>
    <w:rsid w:val="00B42D31"/>
    <w:rsid w:val="00B42DFD"/>
    <w:rsid w:val="00B42EBC"/>
    <w:rsid w:val="00B42F6B"/>
    <w:rsid w:val="00B43106"/>
    <w:rsid w:val="00B436AC"/>
    <w:rsid w:val="00B43868"/>
    <w:rsid w:val="00B43AAD"/>
    <w:rsid w:val="00B43C3C"/>
    <w:rsid w:val="00B43C92"/>
    <w:rsid w:val="00B43E44"/>
    <w:rsid w:val="00B43EDA"/>
    <w:rsid w:val="00B43F1C"/>
    <w:rsid w:val="00B43FB5"/>
    <w:rsid w:val="00B44207"/>
    <w:rsid w:val="00B4439F"/>
    <w:rsid w:val="00B443BF"/>
    <w:rsid w:val="00B44642"/>
    <w:rsid w:val="00B447FD"/>
    <w:rsid w:val="00B44A32"/>
    <w:rsid w:val="00B44B1F"/>
    <w:rsid w:val="00B44B66"/>
    <w:rsid w:val="00B44D1E"/>
    <w:rsid w:val="00B44D65"/>
    <w:rsid w:val="00B45126"/>
    <w:rsid w:val="00B453AC"/>
    <w:rsid w:val="00B453E0"/>
    <w:rsid w:val="00B453F2"/>
    <w:rsid w:val="00B45536"/>
    <w:rsid w:val="00B455E6"/>
    <w:rsid w:val="00B45865"/>
    <w:rsid w:val="00B45B89"/>
    <w:rsid w:val="00B45E72"/>
    <w:rsid w:val="00B45F9A"/>
    <w:rsid w:val="00B45FE2"/>
    <w:rsid w:val="00B46040"/>
    <w:rsid w:val="00B460A7"/>
    <w:rsid w:val="00B4652F"/>
    <w:rsid w:val="00B46811"/>
    <w:rsid w:val="00B46879"/>
    <w:rsid w:val="00B46A5D"/>
    <w:rsid w:val="00B46C0F"/>
    <w:rsid w:val="00B46D90"/>
    <w:rsid w:val="00B46DB0"/>
    <w:rsid w:val="00B46FC2"/>
    <w:rsid w:val="00B47097"/>
    <w:rsid w:val="00B470AA"/>
    <w:rsid w:val="00B471BB"/>
    <w:rsid w:val="00B47245"/>
    <w:rsid w:val="00B476CC"/>
    <w:rsid w:val="00B477AB"/>
    <w:rsid w:val="00B47923"/>
    <w:rsid w:val="00B47A20"/>
    <w:rsid w:val="00B47DE7"/>
    <w:rsid w:val="00B47F1F"/>
    <w:rsid w:val="00B50006"/>
    <w:rsid w:val="00B50277"/>
    <w:rsid w:val="00B50349"/>
    <w:rsid w:val="00B50659"/>
    <w:rsid w:val="00B50690"/>
    <w:rsid w:val="00B509B6"/>
    <w:rsid w:val="00B50EA3"/>
    <w:rsid w:val="00B50F5B"/>
    <w:rsid w:val="00B51103"/>
    <w:rsid w:val="00B512DD"/>
    <w:rsid w:val="00B5136B"/>
    <w:rsid w:val="00B5173F"/>
    <w:rsid w:val="00B517A5"/>
    <w:rsid w:val="00B51B2E"/>
    <w:rsid w:val="00B51CA2"/>
    <w:rsid w:val="00B51D01"/>
    <w:rsid w:val="00B528E1"/>
    <w:rsid w:val="00B52A31"/>
    <w:rsid w:val="00B52E72"/>
    <w:rsid w:val="00B53128"/>
    <w:rsid w:val="00B53179"/>
    <w:rsid w:val="00B532D5"/>
    <w:rsid w:val="00B53306"/>
    <w:rsid w:val="00B5366E"/>
    <w:rsid w:val="00B5367B"/>
    <w:rsid w:val="00B53D8C"/>
    <w:rsid w:val="00B53F7C"/>
    <w:rsid w:val="00B5417C"/>
    <w:rsid w:val="00B54186"/>
    <w:rsid w:val="00B541BE"/>
    <w:rsid w:val="00B543A8"/>
    <w:rsid w:val="00B5444A"/>
    <w:rsid w:val="00B54754"/>
    <w:rsid w:val="00B547C3"/>
    <w:rsid w:val="00B54853"/>
    <w:rsid w:val="00B54ADC"/>
    <w:rsid w:val="00B54C30"/>
    <w:rsid w:val="00B54C99"/>
    <w:rsid w:val="00B54E2D"/>
    <w:rsid w:val="00B55002"/>
    <w:rsid w:val="00B55065"/>
    <w:rsid w:val="00B552D0"/>
    <w:rsid w:val="00B5530B"/>
    <w:rsid w:val="00B553BB"/>
    <w:rsid w:val="00B554EA"/>
    <w:rsid w:val="00B555CF"/>
    <w:rsid w:val="00B55700"/>
    <w:rsid w:val="00B55723"/>
    <w:rsid w:val="00B55B1A"/>
    <w:rsid w:val="00B56361"/>
    <w:rsid w:val="00B5668C"/>
    <w:rsid w:val="00B5669B"/>
    <w:rsid w:val="00B566DA"/>
    <w:rsid w:val="00B56BD0"/>
    <w:rsid w:val="00B56C51"/>
    <w:rsid w:val="00B56E9C"/>
    <w:rsid w:val="00B5739D"/>
    <w:rsid w:val="00B57444"/>
    <w:rsid w:val="00B57536"/>
    <w:rsid w:val="00B5797C"/>
    <w:rsid w:val="00B57B17"/>
    <w:rsid w:val="00B57CE7"/>
    <w:rsid w:val="00B604C1"/>
    <w:rsid w:val="00B606EE"/>
    <w:rsid w:val="00B60751"/>
    <w:rsid w:val="00B60A10"/>
    <w:rsid w:val="00B60B4C"/>
    <w:rsid w:val="00B60BD1"/>
    <w:rsid w:val="00B60CB7"/>
    <w:rsid w:val="00B60DB4"/>
    <w:rsid w:val="00B61F7E"/>
    <w:rsid w:val="00B62108"/>
    <w:rsid w:val="00B62307"/>
    <w:rsid w:val="00B6238E"/>
    <w:rsid w:val="00B627E4"/>
    <w:rsid w:val="00B62B2D"/>
    <w:rsid w:val="00B62C89"/>
    <w:rsid w:val="00B62DE9"/>
    <w:rsid w:val="00B62E83"/>
    <w:rsid w:val="00B63696"/>
    <w:rsid w:val="00B6370C"/>
    <w:rsid w:val="00B637C4"/>
    <w:rsid w:val="00B639C6"/>
    <w:rsid w:val="00B63BC1"/>
    <w:rsid w:val="00B63E2C"/>
    <w:rsid w:val="00B63F06"/>
    <w:rsid w:val="00B64141"/>
    <w:rsid w:val="00B6426D"/>
    <w:rsid w:val="00B642AB"/>
    <w:rsid w:val="00B643F7"/>
    <w:rsid w:val="00B64406"/>
    <w:rsid w:val="00B6454D"/>
    <w:rsid w:val="00B64681"/>
    <w:rsid w:val="00B646E5"/>
    <w:rsid w:val="00B646F2"/>
    <w:rsid w:val="00B64840"/>
    <w:rsid w:val="00B64860"/>
    <w:rsid w:val="00B649C3"/>
    <w:rsid w:val="00B64AC0"/>
    <w:rsid w:val="00B64BDB"/>
    <w:rsid w:val="00B64E72"/>
    <w:rsid w:val="00B64EF4"/>
    <w:rsid w:val="00B65270"/>
    <w:rsid w:val="00B65289"/>
    <w:rsid w:val="00B65365"/>
    <w:rsid w:val="00B653B7"/>
    <w:rsid w:val="00B65835"/>
    <w:rsid w:val="00B65A92"/>
    <w:rsid w:val="00B65C38"/>
    <w:rsid w:val="00B65C83"/>
    <w:rsid w:val="00B65D54"/>
    <w:rsid w:val="00B662D2"/>
    <w:rsid w:val="00B6648F"/>
    <w:rsid w:val="00B66B73"/>
    <w:rsid w:val="00B66EAE"/>
    <w:rsid w:val="00B67492"/>
    <w:rsid w:val="00B674AC"/>
    <w:rsid w:val="00B676BB"/>
    <w:rsid w:val="00B67C98"/>
    <w:rsid w:val="00B7024D"/>
    <w:rsid w:val="00B7043F"/>
    <w:rsid w:val="00B70681"/>
    <w:rsid w:val="00B7091E"/>
    <w:rsid w:val="00B7093A"/>
    <w:rsid w:val="00B709AE"/>
    <w:rsid w:val="00B70A9E"/>
    <w:rsid w:val="00B70E86"/>
    <w:rsid w:val="00B714B9"/>
    <w:rsid w:val="00B71696"/>
    <w:rsid w:val="00B71895"/>
    <w:rsid w:val="00B71FFA"/>
    <w:rsid w:val="00B72230"/>
    <w:rsid w:val="00B723E5"/>
    <w:rsid w:val="00B7269B"/>
    <w:rsid w:val="00B7291A"/>
    <w:rsid w:val="00B72B45"/>
    <w:rsid w:val="00B72CE1"/>
    <w:rsid w:val="00B72DD8"/>
    <w:rsid w:val="00B72F72"/>
    <w:rsid w:val="00B73453"/>
    <w:rsid w:val="00B734DD"/>
    <w:rsid w:val="00B73512"/>
    <w:rsid w:val="00B737DC"/>
    <w:rsid w:val="00B7389E"/>
    <w:rsid w:val="00B738CB"/>
    <w:rsid w:val="00B73D05"/>
    <w:rsid w:val="00B73F81"/>
    <w:rsid w:val="00B74032"/>
    <w:rsid w:val="00B74154"/>
    <w:rsid w:val="00B74214"/>
    <w:rsid w:val="00B74385"/>
    <w:rsid w:val="00B7461B"/>
    <w:rsid w:val="00B74878"/>
    <w:rsid w:val="00B74A9B"/>
    <w:rsid w:val="00B7513E"/>
    <w:rsid w:val="00B7546E"/>
    <w:rsid w:val="00B7554A"/>
    <w:rsid w:val="00B755DA"/>
    <w:rsid w:val="00B759A7"/>
    <w:rsid w:val="00B75BD4"/>
    <w:rsid w:val="00B7604F"/>
    <w:rsid w:val="00B76635"/>
    <w:rsid w:val="00B76996"/>
    <w:rsid w:val="00B76AD9"/>
    <w:rsid w:val="00B76AEA"/>
    <w:rsid w:val="00B76D57"/>
    <w:rsid w:val="00B773C6"/>
    <w:rsid w:val="00B7756B"/>
    <w:rsid w:val="00B776A9"/>
    <w:rsid w:val="00B776B0"/>
    <w:rsid w:val="00B7775A"/>
    <w:rsid w:val="00B77803"/>
    <w:rsid w:val="00B77913"/>
    <w:rsid w:val="00B77B1B"/>
    <w:rsid w:val="00B77B4A"/>
    <w:rsid w:val="00B77D3C"/>
    <w:rsid w:val="00B77D50"/>
    <w:rsid w:val="00B802F5"/>
    <w:rsid w:val="00B807D4"/>
    <w:rsid w:val="00B80875"/>
    <w:rsid w:val="00B80E71"/>
    <w:rsid w:val="00B80ECB"/>
    <w:rsid w:val="00B80F82"/>
    <w:rsid w:val="00B813AD"/>
    <w:rsid w:val="00B8149F"/>
    <w:rsid w:val="00B81663"/>
    <w:rsid w:val="00B81689"/>
    <w:rsid w:val="00B81768"/>
    <w:rsid w:val="00B81B11"/>
    <w:rsid w:val="00B8201B"/>
    <w:rsid w:val="00B82283"/>
    <w:rsid w:val="00B823E3"/>
    <w:rsid w:val="00B824FB"/>
    <w:rsid w:val="00B825FF"/>
    <w:rsid w:val="00B82646"/>
    <w:rsid w:val="00B827A2"/>
    <w:rsid w:val="00B829A9"/>
    <w:rsid w:val="00B82A0B"/>
    <w:rsid w:val="00B82FC4"/>
    <w:rsid w:val="00B83645"/>
    <w:rsid w:val="00B83658"/>
    <w:rsid w:val="00B836E9"/>
    <w:rsid w:val="00B83967"/>
    <w:rsid w:val="00B83E08"/>
    <w:rsid w:val="00B83F11"/>
    <w:rsid w:val="00B84031"/>
    <w:rsid w:val="00B841CC"/>
    <w:rsid w:val="00B84267"/>
    <w:rsid w:val="00B8430E"/>
    <w:rsid w:val="00B8440E"/>
    <w:rsid w:val="00B8464E"/>
    <w:rsid w:val="00B8489A"/>
    <w:rsid w:val="00B84ADE"/>
    <w:rsid w:val="00B84B7C"/>
    <w:rsid w:val="00B84B97"/>
    <w:rsid w:val="00B84C14"/>
    <w:rsid w:val="00B84F24"/>
    <w:rsid w:val="00B84FF1"/>
    <w:rsid w:val="00B8502C"/>
    <w:rsid w:val="00B852C3"/>
    <w:rsid w:val="00B85434"/>
    <w:rsid w:val="00B85637"/>
    <w:rsid w:val="00B857F5"/>
    <w:rsid w:val="00B85A4B"/>
    <w:rsid w:val="00B85E21"/>
    <w:rsid w:val="00B8624E"/>
    <w:rsid w:val="00B8662D"/>
    <w:rsid w:val="00B871DB"/>
    <w:rsid w:val="00B87257"/>
    <w:rsid w:val="00B87410"/>
    <w:rsid w:val="00B87C33"/>
    <w:rsid w:val="00B87CAE"/>
    <w:rsid w:val="00B87D14"/>
    <w:rsid w:val="00B8AF4E"/>
    <w:rsid w:val="00B906D8"/>
    <w:rsid w:val="00B90896"/>
    <w:rsid w:val="00B909ED"/>
    <w:rsid w:val="00B90DA9"/>
    <w:rsid w:val="00B911E9"/>
    <w:rsid w:val="00B916CE"/>
    <w:rsid w:val="00B91728"/>
    <w:rsid w:val="00B91A5B"/>
    <w:rsid w:val="00B91BF7"/>
    <w:rsid w:val="00B91C78"/>
    <w:rsid w:val="00B91EE2"/>
    <w:rsid w:val="00B9258E"/>
    <w:rsid w:val="00B928AF"/>
    <w:rsid w:val="00B92B2B"/>
    <w:rsid w:val="00B92C9E"/>
    <w:rsid w:val="00B92D7F"/>
    <w:rsid w:val="00B92E5E"/>
    <w:rsid w:val="00B9323D"/>
    <w:rsid w:val="00B93301"/>
    <w:rsid w:val="00B9332D"/>
    <w:rsid w:val="00B9336C"/>
    <w:rsid w:val="00B93384"/>
    <w:rsid w:val="00B93585"/>
    <w:rsid w:val="00B936BB"/>
    <w:rsid w:val="00B93767"/>
    <w:rsid w:val="00B93A67"/>
    <w:rsid w:val="00B9432B"/>
    <w:rsid w:val="00B946AC"/>
    <w:rsid w:val="00B947BE"/>
    <w:rsid w:val="00B94C7E"/>
    <w:rsid w:val="00B94C8A"/>
    <w:rsid w:val="00B94DDF"/>
    <w:rsid w:val="00B95545"/>
    <w:rsid w:val="00B9595C"/>
    <w:rsid w:val="00B9599F"/>
    <w:rsid w:val="00B95AEB"/>
    <w:rsid w:val="00B95E5A"/>
    <w:rsid w:val="00B95F97"/>
    <w:rsid w:val="00B961D9"/>
    <w:rsid w:val="00B96252"/>
    <w:rsid w:val="00B9682C"/>
    <w:rsid w:val="00B9695F"/>
    <w:rsid w:val="00B9696D"/>
    <w:rsid w:val="00B9724F"/>
    <w:rsid w:val="00B97359"/>
    <w:rsid w:val="00B97438"/>
    <w:rsid w:val="00B9794D"/>
    <w:rsid w:val="00B97A8F"/>
    <w:rsid w:val="00B97A95"/>
    <w:rsid w:val="00B97AF8"/>
    <w:rsid w:val="00B97B57"/>
    <w:rsid w:val="00B97D41"/>
    <w:rsid w:val="00BA014C"/>
    <w:rsid w:val="00BA02AF"/>
    <w:rsid w:val="00BA0466"/>
    <w:rsid w:val="00BA0489"/>
    <w:rsid w:val="00BA04D7"/>
    <w:rsid w:val="00BA055F"/>
    <w:rsid w:val="00BA057C"/>
    <w:rsid w:val="00BA0650"/>
    <w:rsid w:val="00BA06A3"/>
    <w:rsid w:val="00BA0792"/>
    <w:rsid w:val="00BA08A2"/>
    <w:rsid w:val="00BA0DEC"/>
    <w:rsid w:val="00BA0FAB"/>
    <w:rsid w:val="00BA10FF"/>
    <w:rsid w:val="00BA1334"/>
    <w:rsid w:val="00BA13F1"/>
    <w:rsid w:val="00BA1527"/>
    <w:rsid w:val="00BA1533"/>
    <w:rsid w:val="00BA15BF"/>
    <w:rsid w:val="00BA181F"/>
    <w:rsid w:val="00BA1CDB"/>
    <w:rsid w:val="00BA1D0A"/>
    <w:rsid w:val="00BA1D11"/>
    <w:rsid w:val="00BA1DAB"/>
    <w:rsid w:val="00BA216E"/>
    <w:rsid w:val="00BA21FD"/>
    <w:rsid w:val="00BA221A"/>
    <w:rsid w:val="00BA22D3"/>
    <w:rsid w:val="00BA2304"/>
    <w:rsid w:val="00BA2451"/>
    <w:rsid w:val="00BA2552"/>
    <w:rsid w:val="00BA259A"/>
    <w:rsid w:val="00BA27B1"/>
    <w:rsid w:val="00BA2931"/>
    <w:rsid w:val="00BA2A79"/>
    <w:rsid w:val="00BA2AE7"/>
    <w:rsid w:val="00BA2D23"/>
    <w:rsid w:val="00BA2E6D"/>
    <w:rsid w:val="00BA2EEB"/>
    <w:rsid w:val="00BA3052"/>
    <w:rsid w:val="00BA340A"/>
    <w:rsid w:val="00BA3517"/>
    <w:rsid w:val="00BA35C5"/>
    <w:rsid w:val="00BA3C22"/>
    <w:rsid w:val="00BA3DAA"/>
    <w:rsid w:val="00BA3FA3"/>
    <w:rsid w:val="00BA4214"/>
    <w:rsid w:val="00BA45F5"/>
    <w:rsid w:val="00BA493C"/>
    <w:rsid w:val="00BA4A99"/>
    <w:rsid w:val="00BA4E58"/>
    <w:rsid w:val="00BA4FD5"/>
    <w:rsid w:val="00BA501B"/>
    <w:rsid w:val="00BA58C3"/>
    <w:rsid w:val="00BA5A1A"/>
    <w:rsid w:val="00BA5B5F"/>
    <w:rsid w:val="00BA5BF2"/>
    <w:rsid w:val="00BA5CDD"/>
    <w:rsid w:val="00BA5D07"/>
    <w:rsid w:val="00BA6085"/>
    <w:rsid w:val="00BA6093"/>
    <w:rsid w:val="00BA6284"/>
    <w:rsid w:val="00BA6413"/>
    <w:rsid w:val="00BA6461"/>
    <w:rsid w:val="00BA6632"/>
    <w:rsid w:val="00BA67E2"/>
    <w:rsid w:val="00BA6912"/>
    <w:rsid w:val="00BA69B0"/>
    <w:rsid w:val="00BA69CD"/>
    <w:rsid w:val="00BA7074"/>
    <w:rsid w:val="00BA70CD"/>
    <w:rsid w:val="00BA7148"/>
    <w:rsid w:val="00BA7264"/>
    <w:rsid w:val="00BA72BD"/>
    <w:rsid w:val="00BA7383"/>
    <w:rsid w:val="00BA76A7"/>
    <w:rsid w:val="00BA79BB"/>
    <w:rsid w:val="00BA7A87"/>
    <w:rsid w:val="00BA7B39"/>
    <w:rsid w:val="00BA7C73"/>
    <w:rsid w:val="00BA7F76"/>
    <w:rsid w:val="00BB0265"/>
    <w:rsid w:val="00BB02D8"/>
    <w:rsid w:val="00BB06FE"/>
    <w:rsid w:val="00BB08B7"/>
    <w:rsid w:val="00BB0D2B"/>
    <w:rsid w:val="00BB0E8D"/>
    <w:rsid w:val="00BB1241"/>
    <w:rsid w:val="00BB12B7"/>
    <w:rsid w:val="00BB151E"/>
    <w:rsid w:val="00BB16D7"/>
    <w:rsid w:val="00BB16F2"/>
    <w:rsid w:val="00BB20E2"/>
    <w:rsid w:val="00BB262F"/>
    <w:rsid w:val="00BB2892"/>
    <w:rsid w:val="00BB2B95"/>
    <w:rsid w:val="00BB2DDD"/>
    <w:rsid w:val="00BB2F1A"/>
    <w:rsid w:val="00BB30AD"/>
    <w:rsid w:val="00BB346A"/>
    <w:rsid w:val="00BB3545"/>
    <w:rsid w:val="00BB36BC"/>
    <w:rsid w:val="00BB36E8"/>
    <w:rsid w:val="00BB378C"/>
    <w:rsid w:val="00BB37D9"/>
    <w:rsid w:val="00BB3928"/>
    <w:rsid w:val="00BB3AB7"/>
    <w:rsid w:val="00BB3BE1"/>
    <w:rsid w:val="00BB3F82"/>
    <w:rsid w:val="00BB42B2"/>
    <w:rsid w:val="00BB42CC"/>
    <w:rsid w:val="00BB43F6"/>
    <w:rsid w:val="00BB4940"/>
    <w:rsid w:val="00BB496B"/>
    <w:rsid w:val="00BB4B59"/>
    <w:rsid w:val="00BB4C10"/>
    <w:rsid w:val="00BB4C36"/>
    <w:rsid w:val="00BB4C7E"/>
    <w:rsid w:val="00BB4F85"/>
    <w:rsid w:val="00BB51A9"/>
    <w:rsid w:val="00BB51C5"/>
    <w:rsid w:val="00BB56CC"/>
    <w:rsid w:val="00BB5FF2"/>
    <w:rsid w:val="00BB6056"/>
    <w:rsid w:val="00BB60FA"/>
    <w:rsid w:val="00BB6138"/>
    <w:rsid w:val="00BB69D6"/>
    <w:rsid w:val="00BB6AD1"/>
    <w:rsid w:val="00BB6CCE"/>
    <w:rsid w:val="00BB6D12"/>
    <w:rsid w:val="00BB7182"/>
    <w:rsid w:val="00BB74BE"/>
    <w:rsid w:val="00BB77F1"/>
    <w:rsid w:val="00BB7829"/>
    <w:rsid w:val="00BB7985"/>
    <w:rsid w:val="00BB79C4"/>
    <w:rsid w:val="00BB7C79"/>
    <w:rsid w:val="00BB7F97"/>
    <w:rsid w:val="00BC041C"/>
    <w:rsid w:val="00BC0787"/>
    <w:rsid w:val="00BC0A52"/>
    <w:rsid w:val="00BC0B98"/>
    <w:rsid w:val="00BC0C36"/>
    <w:rsid w:val="00BC1070"/>
    <w:rsid w:val="00BC12E0"/>
    <w:rsid w:val="00BC1752"/>
    <w:rsid w:val="00BC1783"/>
    <w:rsid w:val="00BC1907"/>
    <w:rsid w:val="00BC19B4"/>
    <w:rsid w:val="00BC1B6F"/>
    <w:rsid w:val="00BC1E37"/>
    <w:rsid w:val="00BC2142"/>
    <w:rsid w:val="00BC2373"/>
    <w:rsid w:val="00BC2475"/>
    <w:rsid w:val="00BC25D9"/>
    <w:rsid w:val="00BC2773"/>
    <w:rsid w:val="00BC28B8"/>
    <w:rsid w:val="00BC29E6"/>
    <w:rsid w:val="00BC2A08"/>
    <w:rsid w:val="00BC3D8A"/>
    <w:rsid w:val="00BC3D8B"/>
    <w:rsid w:val="00BC3E38"/>
    <w:rsid w:val="00BC3EFB"/>
    <w:rsid w:val="00BC4267"/>
    <w:rsid w:val="00BC440B"/>
    <w:rsid w:val="00BC4753"/>
    <w:rsid w:val="00BC4844"/>
    <w:rsid w:val="00BC49E0"/>
    <w:rsid w:val="00BC4A2F"/>
    <w:rsid w:val="00BC4BBB"/>
    <w:rsid w:val="00BC4F4F"/>
    <w:rsid w:val="00BC51BA"/>
    <w:rsid w:val="00BC5590"/>
    <w:rsid w:val="00BC576D"/>
    <w:rsid w:val="00BC57FC"/>
    <w:rsid w:val="00BC58BB"/>
    <w:rsid w:val="00BC58C9"/>
    <w:rsid w:val="00BC603E"/>
    <w:rsid w:val="00BC644B"/>
    <w:rsid w:val="00BC673D"/>
    <w:rsid w:val="00BC6812"/>
    <w:rsid w:val="00BC6C45"/>
    <w:rsid w:val="00BC6CBA"/>
    <w:rsid w:val="00BC724C"/>
    <w:rsid w:val="00BC727E"/>
    <w:rsid w:val="00BC741E"/>
    <w:rsid w:val="00BC79B3"/>
    <w:rsid w:val="00BC7A36"/>
    <w:rsid w:val="00BC7AA3"/>
    <w:rsid w:val="00BC7B42"/>
    <w:rsid w:val="00BC7BEA"/>
    <w:rsid w:val="00BC7EEF"/>
    <w:rsid w:val="00BC7F6E"/>
    <w:rsid w:val="00BD0090"/>
    <w:rsid w:val="00BD017A"/>
    <w:rsid w:val="00BD0229"/>
    <w:rsid w:val="00BD0327"/>
    <w:rsid w:val="00BD03AF"/>
    <w:rsid w:val="00BD04D3"/>
    <w:rsid w:val="00BD058C"/>
    <w:rsid w:val="00BD0FAE"/>
    <w:rsid w:val="00BD1196"/>
    <w:rsid w:val="00BD1457"/>
    <w:rsid w:val="00BD1718"/>
    <w:rsid w:val="00BD1B37"/>
    <w:rsid w:val="00BD1E4C"/>
    <w:rsid w:val="00BD1F6D"/>
    <w:rsid w:val="00BD22B1"/>
    <w:rsid w:val="00BD257D"/>
    <w:rsid w:val="00BD2653"/>
    <w:rsid w:val="00BD2712"/>
    <w:rsid w:val="00BD2979"/>
    <w:rsid w:val="00BD2A77"/>
    <w:rsid w:val="00BD2E1A"/>
    <w:rsid w:val="00BD3162"/>
    <w:rsid w:val="00BD3362"/>
    <w:rsid w:val="00BD3576"/>
    <w:rsid w:val="00BD382B"/>
    <w:rsid w:val="00BD41B3"/>
    <w:rsid w:val="00BD4429"/>
    <w:rsid w:val="00BD44E5"/>
    <w:rsid w:val="00BD4CAB"/>
    <w:rsid w:val="00BD4F22"/>
    <w:rsid w:val="00BD51B5"/>
    <w:rsid w:val="00BD5369"/>
    <w:rsid w:val="00BD5750"/>
    <w:rsid w:val="00BD58AD"/>
    <w:rsid w:val="00BD58BD"/>
    <w:rsid w:val="00BD62CB"/>
    <w:rsid w:val="00BD6369"/>
    <w:rsid w:val="00BD6606"/>
    <w:rsid w:val="00BD6A30"/>
    <w:rsid w:val="00BD6A8D"/>
    <w:rsid w:val="00BD6ADD"/>
    <w:rsid w:val="00BD6B74"/>
    <w:rsid w:val="00BD6D25"/>
    <w:rsid w:val="00BD6FF5"/>
    <w:rsid w:val="00BE0197"/>
    <w:rsid w:val="00BE0270"/>
    <w:rsid w:val="00BE0455"/>
    <w:rsid w:val="00BE048F"/>
    <w:rsid w:val="00BE0779"/>
    <w:rsid w:val="00BE0C90"/>
    <w:rsid w:val="00BE0DD9"/>
    <w:rsid w:val="00BE10CD"/>
    <w:rsid w:val="00BE10D0"/>
    <w:rsid w:val="00BE16CB"/>
    <w:rsid w:val="00BE2091"/>
    <w:rsid w:val="00BE279A"/>
    <w:rsid w:val="00BE2AD9"/>
    <w:rsid w:val="00BE2B3A"/>
    <w:rsid w:val="00BE302B"/>
    <w:rsid w:val="00BE3927"/>
    <w:rsid w:val="00BE3ABF"/>
    <w:rsid w:val="00BE3B50"/>
    <w:rsid w:val="00BE3B89"/>
    <w:rsid w:val="00BE3C7C"/>
    <w:rsid w:val="00BE3F62"/>
    <w:rsid w:val="00BE4074"/>
    <w:rsid w:val="00BE40B1"/>
    <w:rsid w:val="00BE4112"/>
    <w:rsid w:val="00BE4224"/>
    <w:rsid w:val="00BE4316"/>
    <w:rsid w:val="00BE4372"/>
    <w:rsid w:val="00BE444D"/>
    <w:rsid w:val="00BE4505"/>
    <w:rsid w:val="00BE4679"/>
    <w:rsid w:val="00BE4C59"/>
    <w:rsid w:val="00BE4D08"/>
    <w:rsid w:val="00BE4FE2"/>
    <w:rsid w:val="00BE50AC"/>
    <w:rsid w:val="00BE5170"/>
    <w:rsid w:val="00BE590C"/>
    <w:rsid w:val="00BE59A6"/>
    <w:rsid w:val="00BE5ED6"/>
    <w:rsid w:val="00BE617D"/>
    <w:rsid w:val="00BE631F"/>
    <w:rsid w:val="00BE6341"/>
    <w:rsid w:val="00BE636C"/>
    <w:rsid w:val="00BE6975"/>
    <w:rsid w:val="00BE6A18"/>
    <w:rsid w:val="00BE6C25"/>
    <w:rsid w:val="00BE6D07"/>
    <w:rsid w:val="00BE7222"/>
    <w:rsid w:val="00BE72D2"/>
    <w:rsid w:val="00BE72FE"/>
    <w:rsid w:val="00BE745D"/>
    <w:rsid w:val="00BE7509"/>
    <w:rsid w:val="00BE7657"/>
    <w:rsid w:val="00BE79CE"/>
    <w:rsid w:val="00BE7BE7"/>
    <w:rsid w:val="00BE7C04"/>
    <w:rsid w:val="00BE7CCC"/>
    <w:rsid w:val="00BE7CE6"/>
    <w:rsid w:val="00BE7E96"/>
    <w:rsid w:val="00BF005D"/>
    <w:rsid w:val="00BF008E"/>
    <w:rsid w:val="00BF0904"/>
    <w:rsid w:val="00BF0931"/>
    <w:rsid w:val="00BF097E"/>
    <w:rsid w:val="00BF0BD2"/>
    <w:rsid w:val="00BF0D1B"/>
    <w:rsid w:val="00BF0D27"/>
    <w:rsid w:val="00BF11CA"/>
    <w:rsid w:val="00BF1201"/>
    <w:rsid w:val="00BF171C"/>
    <w:rsid w:val="00BF18D9"/>
    <w:rsid w:val="00BF1A23"/>
    <w:rsid w:val="00BF1DAB"/>
    <w:rsid w:val="00BF25A3"/>
    <w:rsid w:val="00BF25E8"/>
    <w:rsid w:val="00BF26F9"/>
    <w:rsid w:val="00BF27FE"/>
    <w:rsid w:val="00BF2A1E"/>
    <w:rsid w:val="00BF2F7E"/>
    <w:rsid w:val="00BF3069"/>
    <w:rsid w:val="00BF3229"/>
    <w:rsid w:val="00BF3AAA"/>
    <w:rsid w:val="00BF3BBE"/>
    <w:rsid w:val="00BF3D0C"/>
    <w:rsid w:val="00BF410E"/>
    <w:rsid w:val="00BF4702"/>
    <w:rsid w:val="00BF496E"/>
    <w:rsid w:val="00BF4A04"/>
    <w:rsid w:val="00BF4B20"/>
    <w:rsid w:val="00BF4D81"/>
    <w:rsid w:val="00BF4E9E"/>
    <w:rsid w:val="00BF5060"/>
    <w:rsid w:val="00BF56DA"/>
    <w:rsid w:val="00BF5820"/>
    <w:rsid w:val="00BF5A71"/>
    <w:rsid w:val="00BF5C2E"/>
    <w:rsid w:val="00BF5DFF"/>
    <w:rsid w:val="00BF5E0D"/>
    <w:rsid w:val="00BF5F50"/>
    <w:rsid w:val="00BF632A"/>
    <w:rsid w:val="00BF6518"/>
    <w:rsid w:val="00BF6CD4"/>
    <w:rsid w:val="00BF6E9F"/>
    <w:rsid w:val="00BF772D"/>
    <w:rsid w:val="00BF792E"/>
    <w:rsid w:val="00BF7B7F"/>
    <w:rsid w:val="00BF7C5B"/>
    <w:rsid w:val="00BF7DF6"/>
    <w:rsid w:val="00C003C5"/>
    <w:rsid w:val="00C00616"/>
    <w:rsid w:val="00C0065C"/>
    <w:rsid w:val="00C0071F"/>
    <w:rsid w:val="00C00887"/>
    <w:rsid w:val="00C009EE"/>
    <w:rsid w:val="00C00C35"/>
    <w:rsid w:val="00C00D22"/>
    <w:rsid w:val="00C00ED8"/>
    <w:rsid w:val="00C00FC3"/>
    <w:rsid w:val="00C011B3"/>
    <w:rsid w:val="00C011C8"/>
    <w:rsid w:val="00C014DD"/>
    <w:rsid w:val="00C018A9"/>
    <w:rsid w:val="00C019F6"/>
    <w:rsid w:val="00C01E2D"/>
    <w:rsid w:val="00C02186"/>
    <w:rsid w:val="00C0259F"/>
    <w:rsid w:val="00C027F1"/>
    <w:rsid w:val="00C029D2"/>
    <w:rsid w:val="00C029E5"/>
    <w:rsid w:val="00C030FD"/>
    <w:rsid w:val="00C03167"/>
    <w:rsid w:val="00C0340C"/>
    <w:rsid w:val="00C039DD"/>
    <w:rsid w:val="00C03BCA"/>
    <w:rsid w:val="00C043B3"/>
    <w:rsid w:val="00C043C1"/>
    <w:rsid w:val="00C048B4"/>
    <w:rsid w:val="00C04C26"/>
    <w:rsid w:val="00C04C7D"/>
    <w:rsid w:val="00C04D78"/>
    <w:rsid w:val="00C04DD8"/>
    <w:rsid w:val="00C04E5C"/>
    <w:rsid w:val="00C04E78"/>
    <w:rsid w:val="00C05085"/>
    <w:rsid w:val="00C05178"/>
    <w:rsid w:val="00C05219"/>
    <w:rsid w:val="00C05399"/>
    <w:rsid w:val="00C05430"/>
    <w:rsid w:val="00C055C7"/>
    <w:rsid w:val="00C056BD"/>
    <w:rsid w:val="00C05765"/>
    <w:rsid w:val="00C05936"/>
    <w:rsid w:val="00C059B0"/>
    <w:rsid w:val="00C05A96"/>
    <w:rsid w:val="00C05B59"/>
    <w:rsid w:val="00C06302"/>
    <w:rsid w:val="00C067C4"/>
    <w:rsid w:val="00C06AA2"/>
    <w:rsid w:val="00C06FB3"/>
    <w:rsid w:val="00C070B5"/>
    <w:rsid w:val="00C071C7"/>
    <w:rsid w:val="00C0727B"/>
    <w:rsid w:val="00C072F8"/>
    <w:rsid w:val="00C07320"/>
    <w:rsid w:val="00C0737F"/>
    <w:rsid w:val="00C07441"/>
    <w:rsid w:val="00C07549"/>
    <w:rsid w:val="00C07604"/>
    <w:rsid w:val="00C07663"/>
    <w:rsid w:val="00C079AB"/>
    <w:rsid w:val="00C07C93"/>
    <w:rsid w:val="00C07D6E"/>
    <w:rsid w:val="00C100A9"/>
    <w:rsid w:val="00C10159"/>
    <w:rsid w:val="00C104A3"/>
    <w:rsid w:val="00C106C8"/>
    <w:rsid w:val="00C106F6"/>
    <w:rsid w:val="00C10A79"/>
    <w:rsid w:val="00C10AA2"/>
    <w:rsid w:val="00C10AB3"/>
    <w:rsid w:val="00C10CB3"/>
    <w:rsid w:val="00C10E61"/>
    <w:rsid w:val="00C1121F"/>
    <w:rsid w:val="00C1129E"/>
    <w:rsid w:val="00C11726"/>
    <w:rsid w:val="00C118EE"/>
    <w:rsid w:val="00C11A2F"/>
    <w:rsid w:val="00C11AA7"/>
    <w:rsid w:val="00C11D66"/>
    <w:rsid w:val="00C11DEA"/>
    <w:rsid w:val="00C121CA"/>
    <w:rsid w:val="00C129F7"/>
    <w:rsid w:val="00C12D01"/>
    <w:rsid w:val="00C12F08"/>
    <w:rsid w:val="00C1311E"/>
    <w:rsid w:val="00C132B8"/>
    <w:rsid w:val="00C1355B"/>
    <w:rsid w:val="00C13846"/>
    <w:rsid w:val="00C140BC"/>
    <w:rsid w:val="00C1439E"/>
    <w:rsid w:val="00C14787"/>
    <w:rsid w:val="00C14923"/>
    <w:rsid w:val="00C14C9B"/>
    <w:rsid w:val="00C14E60"/>
    <w:rsid w:val="00C14FDA"/>
    <w:rsid w:val="00C15257"/>
    <w:rsid w:val="00C15678"/>
    <w:rsid w:val="00C157DD"/>
    <w:rsid w:val="00C158B7"/>
    <w:rsid w:val="00C1596D"/>
    <w:rsid w:val="00C15B8D"/>
    <w:rsid w:val="00C15DF0"/>
    <w:rsid w:val="00C15F94"/>
    <w:rsid w:val="00C16702"/>
    <w:rsid w:val="00C16713"/>
    <w:rsid w:val="00C1675E"/>
    <w:rsid w:val="00C167D5"/>
    <w:rsid w:val="00C16C44"/>
    <w:rsid w:val="00C17010"/>
    <w:rsid w:val="00C1706C"/>
    <w:rsid w:val="00C171FE"/>
    <w:rsid w:val="00C17302"/>
    <w:rsid w:val="00C17450"/>
    <w:rsid w:val="00C17539"/>
    <w:rsid w:val="00C17C81"/>
    <w:rsid w:val="00C18F36"/>
    <w:rsid w:val="00C20562"/>
    <w:rsid w:val="00C20971"/>
    <w:rsid w:val="00C2098F"/>
    <w:rsid w:val="00C20E9B"/>
    <w:rsid w:val="00C20EE5"/>
    <w:rsid w:val="00C20F88"/>
    <w:rsid w:val="00C20FA5"/>
    <w:rsid w:val="00C210A5"/>
    <w:rsid w:val="00C210E3"/>
    <w:rsid w:val="00C21491"/>
    <w:rsid w:val="00C214FF"/>
    <w:rsid w:val="00C215C3"/>
    <w:rsid w:val="00C21649"/>
    <w:rsid w:val="00C218E8"/>
    <w:rsid w:val="00C2199F"/>
    <w:rsid w:val="00C21D0E"/>
    <w:rsid w:val="00C21D5E"/>
    <w:rsid w:val="00C21F05"/>
    <w:rsid w:val="00C2208A"/>
    <w:rsid w:val="00C222A8"/>
    <w:rsid w:val="00C22437"/>
    <w:rsid w:val="00C22599"/>
    <w:rsid w:val="00C22937"/>
    <w:rsid w:val="00C22F52"/>
    <w:rsid w:val="00C23342"/>
    <w:rsid w:val="00C2346F"/>
    <w:rsid w:val="00C23A96"/>
    <w:rsid w:val="00C23E2E"/>
    <w:rsid w:val="00C23E67"/>
    <w:rsid w:val="00C24011"/>
    <w:rsid w:val="00C247B6"/>
    <w:rsid w:val="00C247D4"/>
    <w:rsid w:val="00C247FA"/>
    <w:rsid w:val="00C24849"/>
    <w:rsid w:val="00C248C1"/>
    <w:rsid w:val="00C249C6"/>
    <w:rsid w:val="00C24A03"/>
    <w:rsid w:val="00C24B22"/>
    <w:rsid w:val="00C24DC2"/>
    <w:rsid w:val="00C24E3E"/>
    <w:rsid w:val="00C24FCF"/>
    <w:rsid w:val="00C25259"/>
    <w:rsid w:val="00C25485"/>
    <w:rsid w:val="00C255DB"/>
    <w:rsid w:val="00C25B40"/>
    <w:rsid w:val="00C25CFF"/>
    <w:rsid w:val="00C25D63"/>
    <w:rsid w:val="00C25D76"/>
    <w:rsid w:val="00C26A0A"/>
    <w:rsid w:val="00C26ADC"/>
    <w:rsid w:val="00C27288"/>
    <w:rsid w:val="00C275FA"/>
    <w:rsid w:val="00C276C0"/>
    <w:rsid w:val="00C278BF"/>
    <w:rsid w:val="00C27D43"/>
    <w:rsid w:val="00C27DE2"/>
    <w:rsid w:val="00C27F00"/>
    <w:rsid w:val="00C300D3"/>
    <w:rsid w:val="00C302C9"/>
    <w:rsid w:val="00C304E7"/>
    <w:rsid w:val="00C30BE4"/>
    <w:rsid w:val="00C30BF6"/>
    <w:rsid w:val="00C30F7C"/>
    <w:rsid w:val="00C312CB"/>
    <w:rsid w:val="00C31340"/>
    <w:rsid w:val="00C3134F"/>
    <w:rsid w:val="00C31444"/>
    <w:rsid w:val="00C31939"/>
    <w:rsid w:val="00C31EAA"/>
    <w:rsid w:val="00C32260"/>
    <w:rsid w:val="00C323E7"/>
    <w:rsid w:val="00C3273E"/>
    <w:rsid w:val="00C32CC1"/>
    <w:rsid w:val="00C32DB5"/>
    <w:rsid w:val="00C32DE4"/>
    <w:rsid w:val="00C32F97"/>
    <w:rsid w:val="00C33076"/>
    <w:rsid w:val="00C33564"/>
    <w:rsid w:val="00C335D5"/>
    <w:rsid w:val="00C33651"/>
    <w:rsid w:val="00C33967"/>
    <w:rsid w:val="00C33E9F"/>
    <w:rsid w:val="00C33FA8"/>
    <w:rsid w:val="00C340F6"/>
    <w:rsid w:val="00C34271"/>
    <w:rsid w:val="00C3437C"/>
    <w:rsid w:val="00C34564"/>
    <w:rsid w:val="00C34569"/>
    <w:rsid w:val="00C34722"/>
    <w:rsid w:val="00C34827"/>
    <w:rsid w:val="00C34BB5"/>
    <w:rsid w:val="00C34DFD"/>
    <w:rsid w:val="00C352A0"/>
    <w:rsid w:val="00C352FC"/>
    <w:rsid w:val="00C35602"/>
    <w:rsid w:val="00C3577B"/>
    <w:rsid w:val="00C357B8"/>
    <w:rsid w:val="00C3583E"/>
    <w:rsid w:val="00C359C6"/>
    <w:rsid w:val="00C35AB6"/>
    <w:rsid w:val="00C35B06"/>
    <w:rsid w:val="00C35DD3"/>
    <w:rsid w:val="00C35FB1"/>
    <w:rsid w:val="00C3611A"/>
    <w:rsid w:val="00C362CA"/>
    <w:rsid w:val="00C364D8"/>
    <w:rsid w:val="00C3696F"/>
    <w:rsid w:val="00C369AD"/>
    <w:rsid w:val="00C36B1D"/>
    <w:rsid w:val="00C36B89"/>
    <w:rsid w:val="00C36E89"/>
    <w:rsid w:val="00C37286"/>
    <w:rsid w:val="00C3737B"/>
    <w:rsid w:val="00C37581"/>
    <w:rsid w:val="00C3767E"/>
    <w:rsid w:val="00C37921"/>
    <w:rsid w:val="00C37F13"/>
    <w:rsid w:val="00C37F31"/>
    <w:rsid w:val="00C40180"/>
    <w:rsid w:val="00C404DA"/>
    <w:rsid w:val="00C404F0"/>
    <w:rsid w:val="00C40898"/>
    <w:rsid w:val="00C408A1"/>
    <w:rsid w:val="00C40A7E"/>
    <w:rsid w:val="00C40EE9"/>
    <w:rsid w:val="00C40FE3"/>
    <w:rsid w:val="00C41396"/>
    <w:rsid w:val="00C41734"/>
    <w:rsid w:val="00C4177B"/>
    <w:rsid w:val="00C417B9"/>
    <w:rsid w:val="00C41849"/>
    <w:rsid w:val="00C41963"/>
    <w:rsid w:val="00C41CC6"/>
    <w:rsid w:val="00C41CC8"/>
    <w:rsid w:val="00C41E73"/>
    <w:rsid w:val="00C420E4"/>
    <w:rsid w:val="00C423DF"/>
    <w:rsid w:val="00C42690"/>
    <w:rsid w:val="00C426EC"/>
    <w:rsid w:val="00C42789"/>
    <w:rsid w:val="00C4285A"/>
    <w:rsid w:val="00C42AE8"/>
    <w:rsid w:val="00C42E40"/>
    <w:rsid w:val="00C430CB"/>
    <w:rsid w:val="00C43212"/>
    <w:rsid w:val="00C4326E"/>
    <w:rsid w:val="00C43272"/>
    <w:rsid w:val="00C43347"/>
    <w:rsid w:val="00C4345A"/>
    <w:rsid w:val="00C434BB"/>
    <w:rsid w:val="00C437B2"/>
    <w:rsid w:val="00C438F5"/>
    <w:rsid w:val="00C43937"/>
    <w:rsid w:val="00C43BCC"/>
    <w:rsid w:val="00C43D46"/>
    <w:rsid w:val="00C44240"/>
    <w:rsid w:val="00C442A1"/>
    <w:rsid w:val="00C44362"/>
    <w:rsid w:val="00C4488D"/>
    <w:rsid w:val="00C449C2"/>
    <w:rsid w:val="00C449F1"/>
    <w:rsid w:val="00C44ADD"/>
    <w:rsid w:val="00C44C75"/>
    <w:rsid w:val="00C4599F"/>
    <w:rsid w:val="00C45AA3"/>
    <w:rsid w:val="00C45C9E"/>
    <w:rsid w:val="00C45FB0"/>
    <w:rsid w:val="00C462CD"/>
    <w:rsid w:val="00C463C8"/>
    <w:rsid w:val="00C469E0"/>
    <w:rsid w:val="00C46D2B"/>
    <w:rsid w:val="00C46E1F"/>
    <w:rsid w:val="00C46F7C"/>
    <w:rsid w:val="00C4702B"/>
    <w:rsid w:val="00C47140"/>
    <w:rsid w:val="00C471C4"/>
    <w:rsid w:val="00C472C5"/>
    <w:rsid w:val="00C47917"/>
    <w:rsid w:val="00C4796B"/>
    <w:rsid w:val="00C47AE5"/>
    <w:rsid w:val="00C47E95"/>
    <w:rsid w:val="00C503C8"/>
    <w:rsid w:val="00C5047A"/>
    <w:rsid w:val="00C50A20"/>
    <w:rsid w:val="00C50B3F"/>
    <w:rsid w:val="00C50BE9"/>
    <w:rsid w:val="00C50F61"/>
    <w:rsid w:val="00C51145"/>
    <w:rsid w:val="00C51620"/>
    <w:rsid w:val="00C51653"/>
    <w:rsid w:val="00C51A7A"/>
    <w:rsid w:val="00C51ABD"/>
    <w:rsid w:val="00C51B4B"/>
    <w:rsid w:val="00C51CB4"/>
    <w:rsid w:val="00C51DC0"/>
    <w:rsid w:val="00C5205A"/>
    <w:rsid w:val="00C52161"/>
    <w:rsid w:val="00C521AD"/>
    <w:rsid w:val="00C521AE"/>
    <w:rsid w:val="00C521FA"/>
    <w:rsid w:val="00C52231"/>
    <w:rsid w:val="00C5230B"/>
    <w:rsid w:val="00C52571"/>
    <w:rsid w:val="00C52586"/>
    <w:rsid w:val="00C525D4"/>
    <w:rsid w:val="00C52911"/>
    <w:rsid w:val="00C52A8F"/>
    <w:rsid w:val="00C52D04"/>
    <w:rsid w:val="00C52FFF"/>
    <w:rsid w:val="00C530C4"/>
    <w:rsid w:val="00C535B1"/>
    <w:rsid w:val="00C536DD"/>
    <w:rsid w:val="00C53814"/>
    <w:rsid w:val="00C538AB"/>
    <w:rsid w:val="00C53A18"/>
    <w:rsid w:val="00C53A49"/>
    <w:rsid w:val="00C53B18"/>
    <w:rsid w:val="00C53C55"/>
    <w:rsid w:val="00C53CC1"/>
    <w:rsid w:val="00C5421C"/>
    <w:rsid w:val="00C544BB"/>
    <w:rsid w:val="00C547DE"/>
    <w:rsid w:val="00C5498F"/>
    <w:rsid w:val="00C54EA9"/>
    <w:rsid w:val="00C54FD9"/>
    <w:rsid w:val="00C55313"/>
    <w:rsid w:val="00C55596"/>
    <w:rsid w:val="00C55750"/>
    <w:rsid w:val="00C55887"/>
    <w:rsid w:val="00C55B12"/>
    <w:rsid w:val="00C55E55"/>
    <w:rsid w:val="00C5628C"/>
    <w:rsid w:val="00C56FA9"/>
    <w:rsid w:val="00C5779B"/>
    <w:rsid w:val="00C577E8"/>
    <w:rsid w:val="00C579F0"/>
    <w:rsid w:val="00C57ADD"/>
    <w:rsid w:val="00C57E8C"/>
    <w:rsid w:val="00C5E0DB"/>
    <w:rsid w:val="00C601F6"/>
    <w:rsid w:val="00C60620"/>
    <w:rsid w:val="00C607F5"/>
    <w:rsid w:val="00C6083B"/>
    <w:rsid w:val="00C60AAC"/>
    <w:rsid w:val="00C611CB"/>
    <w:rsid w:val="00C61837"/>
    <w:rsid w:val="00C61931"/>
    <w:rsid w:val="00C61A3D"/>
    <w:rsid w:val="00C61A49"/>
    <w:rsid w:val="00C61C87"/>
    <w:rsid w:val="00C61CC9"/>
    <w:rsid w:val="00C61DA3"/>
    <w:rsid w:val="00C6218E"/>
    <w:rsid w:val="00C62C9A"/>
    <w:rsid w:val="00C62CA6"/>
    <w:rsid w:val="00C62DB7"/>
    <w:rsid w:val="00C62EC6"/>
    <w:rsid w:val="00C63067"/>
    <w:rsid w:val="00C630DD"/>
    <w:rsid w:val="00C631F0"/>
    <w:rsid w:val="00C63870"/>
    <w:rsid w:val="00C63AED"/>
    <w:rsid w:val="00C641E6"/>
    <w:rsid w:val="00C643D9"/>
    <w:rsid w:val="00C64561"/>
    <w:rsid w:val="00C645A7"/>
    <w:rsid w:val="00C6483C"/>
    <w:rsid w:val="00C6489C"/>
    <w:rsid w:val="00C648C1"/>
    <w:rsid w:val="00C64AE9"/>
    <w:rsid w:val="00C64B3A"/>
    <w:rsid w:val="00C64B74"/>
    <w:rsid w:val="00C64BE1"/>
    <w:rsid w:val="00C64C0F"/>
    <w:rsid w:val="00C64F5F"/>
    <w:rsid w:val="00C650B1"/>
    <w:rsid w:val="00C651DF"/>
    <w:rsid w:val="00C652A6"/>
    <w:rsid w:val="00C6577B"/>
    <w:rsid w:val="00C66083"/>
    <w:rsid w:val="00C66121"/>
    <w:rsid w:val="00C6616F"/>
    <w:rsid w:val="00C66229"/>
    <w:rsid w:val="00C66477"/>
    <w:rsid w:val="00C665A3"/>
    <w:rsid w:val="00C666AC"/>
    <w:rsid w:val="00C6678B"/>
    <w:rsid w:val="00C66BC1"/>
    <w:rsid w:val="00C66D8D"/>
    <w:rsid w:val="00C66DDA"/>
    <w:rsid w:val="00C66DFB"/>
    <w:rsid w:val="00C66E12"/>
    <w:rsid w:val="00C67142"/>
    <w:rsid w:val="00C6728C"/>
    <w:rsid w:val="00C673BD"/>
    <w:rsid w:val="00C678FF"/>
    <w:rsid w:val="00C67B63"/>
    <w:rsid w:val="00C67CA1"/>
    <w:rsid w:val="00C67D6F"/>
    <w:rsid w:val="00C67F71"/>
    <w:rsid w:val="00C7000C"/>
    <w:rsid w:val="00C7018F"/>
    <w:rsid w:val="00C7089F"/>
    <w:rsid w:val="00C70AAF"/>
    <w:rsid w:val="00C70CFF"/>
    <w:rsid w:val="00C70E18"/>
    <w:rsid w:val="00C70E65"/>
    <w:rsid w:val="00C712DF"/>
    <w:rsid w:val="00C713C3"/>
    <w:rsid w:val="00C718A6"/>
    <w:rsid w:val="00C718FE"/>
    <w:rsid w:val="00C719BC"/>
    <w:rsid w:val="00C71A85"/>
    <w:rsid w:val="00C71B75"/>
    <w:rsid w:val="00C71D32"/>
    <w:rsid w:val="00C71FAE"/>
    <w:rsid w:val="00C72112"/>
    <w:rsid w:val="00C723A0"/>
    <w:rsid w:val="00C72558"/>
    <w:rsid w:val="00C727EB"/>
    <w:rsid w:val="00C728EB"/>
    <w:rsid w:val="00C72F37"/>
    <w:rsid w:val="00C73289"/>
    <w:rsid w:val="00C732E8"/>
    <w:rsid w:val="00C73395"/>
    <w:rsid w:val="00C733C5"/>
    <w:rsid w:val="00C73537"/>
    <w:rsid w:val="00C738EA"/>
    <w:rsid w:val="00C73A5F"/>
    <w:rsid w:val="00C73F8F"/>
    <w:rsid w:val="00C74256"/>
    <w:rsid w:val="00C74362"/>
    <w:rsid w:val="00C744BA"/>
    <w:rsid w:val="00C74B6D"/>
    <w:rsid w:val="00C74BC3"/>
    <w:rsid w:val="00C74F2A"/>
    <w:rsid w:val="00C75086"/>
    <w:rsid w:val="00C752D2"/>
    <w:rsid w:val="00C75302"/>
    <w:rsid w:val="00C75371"/>
    <w:rsid w:val="00C75446"/>
    <w:rsid w:val="00C754CB"/>
    <w:rsid w:val="00C75716"/>
    <w:rsid w:val="00C7593A"/>
    <w:rsid w:val="00C75BCB"/>
    <w:rsid w:val="00C75C20"/>
    <w:rsid w:val="00C75CC7"/>
    <w:rsid w:val="00C75DA2"/>
    <w:rsid w:val="00C765FF"/>
    <w:rsid w:val="00C76A14"/>
    <w:rsid w:val="00C76C0E"/>
    <w:rsid w:val="00C76E8D"/>
    <w:rsid w:val="00C76E97"/>
    <w:rsid w:val="00C76F9D"/>
    <w:rsid w:val="00C7773E"/>
    <w:rsid w:val="00C77932"/>
    <w:rsid w:val="00C77A50"/>
    <w:rsid w:val="00C77E09"/>
    <w:rsid w:val="00C801BB"/>
    <w:rsid w:val="00C80256"/>
    <w:rsid w:val="00C80288"/>
    <w:rsid w:val="00C805F2"/>
    <w:rsid w:val="00C808CD"/>
    <w:rsid w:val="00C808FF"/>
    <w:rsid w:val="00C8093C"/>
    <w:rsid w:val="00C809D2"/>
    <w:rsid w:val="00C80AA6"/>
    <w:rsid w:val="00C80B90"/>
    <w:rsid w:val="00C813BA"/>
    <w:rsid w:val="00C814B4"/>
    <w:rsid w:val="00C81A59"/>
    <w:rsid w:val="00C81D82"/>
    <w:rsid w:val="00C81D94"/>
    <w:rsid w:val="00C81E9E"/>
    <w:rsid w:val="00C820F2"/>
    <w:rsid w:val="00C822F4"/>
    <w:rsid w:val="00C82482"/>
    <w:rsid w:val="00C824AA"/>
    <w:rsid w:val="00C82726"/>
    <w:rsid w:val="00C82A28"/>
    <w:rsid w:val="00C82B62"/>
    <w:rsid w:val="00C82E09"/>
    <w:rsid w:val="00C82F38"/>
    <w:rsid w:val="00C82FA7"/>
    <w:rsid w:val="00C8303B"/>
    <w:rsid w:val="00C8319A"/>
    <w:rsid w:val="00C83203"/>
    <w:rsid w:val="00C8321A"/>
    <w:rsid w:val="00C8338B"/>
    <w:rsid w:val="00C8363D"/>
    <w:rsid w:val="00C8387F"/>
    <w:rsid w:val="00C838D5"/>
    <w:rsid w:val="00C8399D"/>
    <w:rsid w:val="00C83CA5"/>
    <w:rsid w:val="00C840A7"/>
    <w:rsid w:val="00C8410B"/>
    <w:rsid w:val="00C84503"/>
    <w:rsid w:val="00C84B2B"/>
    <w:rsid w:val="00C84D7B"/>
    <w:rsid w:val="00C84DE7"/>
    <w:rsid w:val="00C85082"/>
    <w:rsid w:val="00C8548E"/>
    <w:rsid w:val="00C8582F"/>
    <w:rsid w:val="00C85979"/>
    <w:rsid w:val="00C859F2"/>
    <w:rsid w:val="00C85A44"/>
    <w:rsid w:val="00C85BE8"/>
    <w:rsid w:val="00C85DE7"/>
    <w:rsid w:val="00C85E91"/>
    <w:rsid w:val="00C85F5F"/>
    <w:rsid w:val="00C86603"/>
    <w:rsid w:val="00C866A7"/>
    <w:rsid w:val="00C86864"/>
    <w:rsid w:val="00C86CEC"/>
    <w:rsid w:val="00C87666"/>
    <w:rsid w:val="00C8773D"/>
    <w:rsid w:val="00C87ABB"/>
    <w:rsid w:val="00C87F02"/>
    <w:rsid w:val="00C90062"/>
    <w:rsid w:val="00C901A9"/>
    <w:rsid w:val="00C90358"/>
    <w:rsid w:val="00C9039F"/>
    <w:rsid w:val="00C9047C"/>
    <w:rsid w:val="00C90E0B"/>
    <w:rsid w:val="00C91497"/>
    <w:rsid w:val="00C915D7"/>
    <w:rsid w:val="00C91695"/>
    <w:rsid w:val="00C91796"/>
    <w:rsid w:val="00C91831"/>
    <w:rsid w:val="00C9188F"/>
    <w:rsid w:val="00C91D12"/>
    <w:rsid w:val="00C91DAB"/>
    <w:rsid w:val="00C92019"/>
    <w:rsid w:val="00C924BB"/>
    <w:rsid w:val="00C9251D"/>
    <w:rsid w:val="00C92AB0"/>
    <w:rsid w:val="00C92C9E"/>
    <w:rsid w:val="00C92D43"/>
    <w:rsid w:val="00C9336E"/>
    <w:rsid w:val="00C93504"/>
    <w:rsid w:val="00C93832"/>
    <w:rsid w:val="00C93A67"/>
    <w:rsid w:val="00C93AD5"/>
    <w:rsid w:val="00C93C99"/>
    <w:rsid w:val="00C93ECA"/>
    <w:rsid w:val="00C93F29"/>
    <w:rsid w:val="00C94133"/>
    <w:rsid w:val="00C941D4"/>
    <w:rsid w:val="00C942FF"/>
    <w:rsid w:val="00C9439F"/>
    <w:rsid w:val="00C94902"/>
    <w:rsid w:val="00C94D0A"/>
    <w:rsid w:val="00C94D74"/>
    <w:rsid w:val="00C952E5"/>
    <w:rsid w:val="00C95363"/>
    <w:rsid w:val="00C953DF"/>
    <w:rsid w:val="00C9546C"/>
    <w:rsid w:val="00C95599"/>
    <w:rsid w:val="00C95A55"/>
    <w:rsid w:val="00C95AC9"/>
    <w:rsid w:val="00C95DFA"/>
    <w:rsid w:val="00C961A3"/>
    <w:rsid w:val="00C961C7"/>
    <w:rsid w:val="00C96405"/>
    <w:rsid w:val="00C96464"/>
    <w:rsid w:val="00C968B4"/>
    <w:rsid w:val="00C96C70"/>
    <w:rsid w:val="00C97080"/>
    <w:rsid w:val="00C971DE"/>
    <w:rsid w:val="00C97273"/>
    <w:rsid w:val="00C9731F"/>
    <w:rsid w:val="00C97323"/>
    <w:rsid w:val="00C97408"/>
    <w:rsid w:val="00C97877"/>
    <w:rsid w:val="00C978C4"/>
    <w:rsid w:val="00C97C4A"/>
    <w:rsid w:val="00C97EC5"/>
    <w:rsid w:val="00CA007E"/>
    <w:rsid w:val="00CA019A"/>
    <w:rsid w:val="00CA0797"/>
    <w:rsid w:val="00CA084C"/>
    <w:rsid w:val="00CA0E34"/>
    <w:rsid w:val="00CA0EF1"/>
    <w:rsid w:val="00CA1543"/>
    <w:rsid w:val="00CA179D"/>
    <w:rsid w:val="00CA17AC"/>
    <w:rsid w:val="00CA1901"/>
    <w:rsid w:val="00CA1D80"/>
    <w:rsid w:val="00CA1E41"/>
    <w:rsid w:val="00CA23DB"/>
    <w:rsid w:val="00CA2588"/>
    <w:rsid w:val="00CA2C79"/>
    <w:rsid w:val="00CA2F02"/>
    <w:rsid w:val="00CA303A"/>
    <w:rsid w:val="00CA31B8"/>
    <w:rsid w:val="00CA3557"/>
    <w:rsid w:val="00CA358E"/>
    <w:rsid w:val="00CA3823"/>
    <w:rsid w:val="00CA3A72"/>
    <w:rsid w:val="00CA3BDE"/>
    <w:rsid w:val="00CA3D5A"/>
    <w:rsid w:val="00CA3F18"/>
    <w:rsid w:val="00CA3FF3"/>
    <w:rsid w:val="00CA4368"/>
    <w:rsid w:val="00CA4D60"/>
    <w:rsid w:val="00CA4E15"/>
    <w:rsid w:val="00CA531C"/>
    <w:rsid w:val="00CA5573"/>
    <w:rsid w:val="00CA5700"/>
    <w:rsid w:val="00CA5702"/>
    <w:rsid w:val="00CA570D"/>
    <w:rsid w:val="00CA588E"/>
    <w:rsid w:val="00CA6149"/>
    <w:rsid w:val="00CA6438"/>
    <w:rsid w:val="00CA651C"/>
    <w:rsid w:val="00CA6936"/>
    <w:rsid w:val="00CA6AEA"/>
    <w:rsid w:val="00CA6BA8"/>
    <w:rsid w:val="00CA6CEB"/>
    <w:rsid w:val="00CA74D9"/>
    <w:rsid w:val="00CA7696"/>
    <w:rsid w:val="00CA79E2"/>
    <w:rsid w:val="00CA7F25"/>
    <w:rsid w:val="00CB007C"/>
    <w:rsid w:val="00CB00DA"/>
    <w:rsid w:val="00CB020C"/>
    <w:rsid w:val="00CB02A4"/>
    <w:rsid w:val="00CB0389"/>
    <w:rsid w:val="00CB0562"/>
    <w:rsid w:val="00CB057A"/>
    <w:rsid w:val="00CB065C"/>
    <w:rsid w:val="00CB06E6"/>
    <w:rsid w:val="00CB090C"/>
    <w:rsid w:val="00CB0E60"/>
    <w:rsid w:val="00CB1754"/>
    <w:rsid w:val="00CB1AF4"/>
    <w:rsid w:val="00CB1BA5"/>
    <w:rsid w:val="00CB227F"/>
    <w:rsid w:val="00CB24BB"/>
    <w:rsid w:val="00CB28E3"/>
    <w:rsid w:val="00CB2B32"/>
    <w:rsid w:val="00CB2BEC"/>
    <w:rsid w:val="00CB3267"/>
    <w:rsid w:val="00CB33C3"/>
    <w:rsid w:val="00CB36B4"/>
    <w:rsid w:val="00CB38D4"/>
    <w:rsid w:val="00CB3C17"/>
    <w:rsid w:val="00CB3C97"/>
    <w:rsid w:val="00CB3EAF"/>
    <w:rsid w:val="00CB3FB1"/>
    <w:rsid w:val="00CB4000"/>
    <w:rsid w:val="00CB4237"/>
    <w:rsid w:val="00CB4270"/>
    <w:rsid w:val="00CB43BF"/>
    <w:rsid w:val="00CB45DE"/>
    <w:rsid w:val="00CB45E5"/>
    <w:rsid w:val="00CB46C2"/>
    <w:rsid w:val="00CB46C9"/>
    <w:rsid w:val="00CB46CF"/>
    <w:rsid w:val="00CB4934"/>
    <w:rsid w:val="00CB49F6"/>
    <w:rsid w:val="00CB4CA8"/>
    <w:rsid w:val="00CB4F57"/>
    <w:rsid w:val="00CB4FD0"/>
    <w:rsid w:val="00CB53E6"/>
    <w:rsid w:val="00CB553A"/>
    <w:rsid w:val="00CB59C0"/>
    <w:rsid w:val="00CB59D0"/>
    <w:rsid w:val="00CB5D7E"/>
    <w:rsid w:val="00CB5E42"/>
    <w:rsid w:val="00CB5F74"/>
    <w:rsid w:val="00CB62BF"/>
    <w:rsid w:val="00CB6691"/>
    <w:rsid w:val="00CB6A77"/>
    <w:rsid w:val="00CB6D7A"/>
    <w:rsid w:val="00CB70AC"/>
    <w:rsid w:val="00CB7510"/>
    <w:rsid w:val="00CB79CE"/>
    <w:rsid w:val="00CB7D2B"/>
    <w:rsid w:val="00CB7EC1"/>
    <w:rsid w:val="00CB7FF4"/>
    <w:rsid w:val="00CC000A"/>
    <w:rsid w:val="00CC01F0"/>
    <w:rsid w:val="00CC0204"/>
    <w:rsid w:val="00CC035A"/>
    <w:rsid w:val="00CC03E7"/>
    <w:rsid w:val="00CC08A0"/>
    <w:rsid w:val="00CC0B26"/>
    <w:rsid w:val="00CC0B85"/>
    <w:rsid w:val="00CC0C06"/>
    <w:rsid w:val="00CC0CD5"/>
    <w:rsid w:val="00CC0D2B"/>
    <w:rsid w:val="00CC0DAB"/>
    <w:rsid w:val="00CC0DE1"/>
    <w:rsid w:val="00CC1027"/>
    <w:rsid w:val="00CC108A"/>
    <w:rsid w:val="00CC164C"/>
    <w:rsid w:val="00CC1A95"/>
    <w:rsid w:val="00CC1B80"/>
    <w:rsid w:val="00CC1E49"/>
    <w:rsid w:val="00CC1E8A"/>
    <w:rsid w:val="00CC1EDE"/>
    <w:rsid w:val="00CC24BC"/>
    <w:rsid w:val="00CC29B3"/>
    <w:rsid w:val="00CC2B0D"/>
    <w:rsid w:val="00CC2CE9"/>
    <w:rsid w:val="00CC2CEB"/>
    <w:rsid w:val="00CC2F1B"/>
    <w:rsid w:val="00CC3221"/>
    <w:rsid w:val="00CC32DC"/>
    <w:rsid w:val="00CC39D1"/>
    <w:rsid w:val="00CC3AAE"/>
    <w:rsid w:val="00CC3B15"/>
    <w:rsid w:val="00CC3C70"/>
    <w:rsid w:val="00CC3CC2"/>
    <w:rsid w:val="00CC3DB8"/>
    <w:rsid w:val="00CC4181"/>
    <w:rsid w:val="00CC44EB"/>
    <w:rsid w:val="00CC456C"/>
    <w:rsid w:val="00CC46B0"/>
    <w:rsid w:val="00CC481E"/>
    <w:rsid w:val="00CC4844"/>
    <w:rsid w:val="00CC4A1A"/>
    <w:rsid w:val="00CC4B87"/>
    <w:rsid w:val="00CC4BCD"/>
    <w:rsid w:val="00CC4FCD"/>
    <w:rsid w:val="00CC51D1"/>
    <w:rsid w:val="00CC52B9"/>
    <w:rsid w:val="00CC52F6"/>
    <w:rsid w:val="00CC53D6"/>
    <w:rsid w:val="00CC5630"/>
    <w:rsid w:val="00CC591D"/>
    <w:rsid w:val="00CC5939"/>
    <w:rsid w:val="00CC5BD1"/>
    <w:rsid w:val="00CC6466"/>
    <w:rsid w:val="00CC65AC"/>
    <w:rsid w:val="00CC669F"/>
    <w:rsid w:val="00CC6F42"/>
    <w:rsid w:val="00CC707A"/>
    <w:rsid w:val="00CC73B3"/>
    <w:rsid w:val="00CC7ACB"/>
    <w:rsid w:val="00CC7B1C"/>
    <w:rsid w:val="00CC7B5C"/>
    <w:rsid w:val="00CC7C0D"/>
    <w:rsid w:val="00CC7EF9"/>
    <w:rsid w:val="00CD0442"/>
    <w:rsid w:val="00CD05E0"/>
    <w:rsid w:val="00CD0830"/>
    <w:rsid w:val="00CD0910"/>
    <w:rsid w:val="00CD09D8"/>
    <w:rsid w:val="00CD0ABD"/>
    <w:rsid w:val="00CD0C4D"/>
    <w:rsid w:val="00CD0FED"/>
    <w:rsid w:val="00CD10C4"/>
    <w:rsid w:val="00CD11A4"/>
    <w:rsid w:val="00CD1452"/>
    <w:rsid w:val="00CD14DA"/>
    <w:rsid w:val="00CD1B0A"/>
    <w:rsid w:val="00CD1C3C"/>
    <w:rsid w:val="00CD1F6C"/>
    <w:rsid w:val="00CD235C"/>
    <w:rsid w:val="00CD2B0D"/>
    <w:rsid w:val="00CD2F32"/>
    <w:rsid w:val="00CD302B"/>
    <w:rsid w:val="00CD307C"/>
    <w:rsid w:val="00CD3128"/>
    <w:rsid w:val="00CD32C0"/>
    <w:rsid w:val="00CD3312"/>
    <w:rsid w:val="00CD36CC"/>
    <w:rsid w:val="00CD3804"/>
    <w:rsid w:val="00CD3ACA"/>
    <w:rsid w:val="00CD3FCF"/>
    <w:rsid w:val="00CD4115"/>
    <w:rsid w:val="00CD44C6"/>
    <w:rsid w:val="00CD4862"/>
    <w:rsid w:val="00CD4BFC"/>
    <w:rsid w:val="00CD4C28"/>
    <w:rsid w:val="00CD4CAA"/>
    <w:rsid w:val="00CD4EC5"/>
    <w:rsid w:val="00CD508F"/>
    <w:rsid w:val="00CD5401"/>
    <w:rsid w:val="00CD5477"/>
    <w:rsid w:val="00CD5700"/>
    <w:rsid w:val="00CD594F"/>
    <w:rsid w:val="00CD5A89"/>
    <w:rsid w:val="00CD5B8E"/>
    <w:rsid w:val="00CD5DFC"/>
    <w:rsid w:val="00CD64B9"/>
    <w:rsid w:val="00CD64C6"/>
    <w:rsid w:val="00CD6589"/>
    <w:rsid w:val="00CD65A3"/>
    <w:rsid w:val="00CD65AE"/>
    <w:rsid w:val="00CD662D"/>
    <w:rsid w:val="00CD6862"/>
    <w:rsid w:val="00CD688D"/>
    <w:rsid w:val="00CD6C39"/>
    <w:rsid w:val="00CD7436"/>
    <w:rsid w:val="00CD793B"/>
    <w:rsid w:val="00CD7984"/>
    <w:rsid w:val="00CD7ABC"/>
    <w:rsid w:val="00CD7EB4"/>
    <w:rsid w:val="00CD7FDC"/>
    <w:rsid w:val="00CE0704"/>
    <w:rsid w:val="00CE0746"/>
    <w:rsid w:val="00CE0992"/>
    <w:rsid w:val="00CE0993"/>
    <w:rsid w:val="00CE0DAC"/>
    <w:rsid w:val="00CE0E70"/>
    <w:rsid w:val="00CE12E2"/>
    <w:rsid w:val="00CE158F"/>
    <w:rsid w:val="00CE15ED"/>
    <w:rsid w:val="00CE194E"/>
    <w:rsid w:val="00CE1B5E"/>
    <w:rsid w:val="00CE1D9E"/>
    <w:rsid w:val="00CE1DF3"/>
    <w:rsid w:val="00CE1FB7"/>
    <w:rsid w:val="00CE20BB"/>
    <w:rsid w:val="00CE260E"/>
    <w:rsid w:val="00CE2651"/>
    <w:rsid w:val="00CE26FC"/>
    <w:rsid w:val="00CE2709"/>
    <w:rsid w:val="00CE28CC"/>
    <w:rsid w:val="00CE2926"/>
    <w:rsid w:val="00CE2967"/>
    <w:rsid w:val="00CE2B34"/>
    <w:rsid w:val="00CE2B90"/>
    <w:rsid w:val="00CE2C7B"/>
    <w:rsid w:val="00CE2CA2"/>
    <w:rsid w:val="00CE2D64"/>
    <w:rsid w:val="00CE33F4"/>
    <w:rsid w:val="00CE3721"/>
    <w:rsid w:val="00CE3C28"/>
    <w:rsid w:val="00CE3D04"/>
    <w:rsid w:val="00CE3DA5"/>
    <w:rsid w:val="00CE3EEA"/>
    <w:rsid w:val="00CE4450"/>
    <w:rsid w:val="00CE4498"/>
    <w:rsid w:val="00CE454B"/>
    <w:rsid w:val="00CE467E"/>
    <w:rsid w:val="00CE48EA"/>
    <w:rsid w:val="00CE4944"/>
    <w:rsid w:val="00CE4A88"/>
    <w:rsid w:val="00CE4EF1"/>
    <w:rsid w:val="00CE4F84"/>
    <w:rsid w:val="00CE52E4"/>
    <w:rsid w:val="00CE53A8"/>
    <w:rsid w:val="00CE53F8"/>
    <w:rsid w:val="00CE5478"/>
    <w:rsid w:val="00CE551F"/>
    <w:rsid w:val="00CE5569"/>
    <w:rsid w:val="00CE56AC"/>
    <w:rsid w:val="00CE592F"/>
    <w:rsid w:val="00CE5B28"/>
    <w:rsid w:val="00CE5D66"/>
    <w:rsid w:val="00CE5E14"/>
    <w:rsid w:val="00CE6198"/>
    <w:rsid w:val="00CE629A"/>
    <w:rsid w:val="00CE651B"/>
    <w:rsid w:val="00CE66EB"/>
    <w:rsid w:val="00CE6841"/>
    <w:rsid w:val="00CE6851"/>
    <w:rsid w:val="00CE6CF9"/>
    <w:rsid w:val="00CE6EDD"/>
    <w:rsid w:val="00CE6EE0"/>
    <w:rsid w:val="00CE717A"/>
    <w:rsid w:val="00CE7248"/>
    <w:rsid w:val="00CE76B0"/>
    <w:rsid w:val="00CE7E3F"/>
    <w:rsid w:val="00CE7F18"/>
    <w:rsid w:val="00CEF3CF"/>
    <w:rsid w:val="00CF03FE"/>
    <w:rsid w:val="00CF067F"/>
    <w:rsid w:val="00CF0A34"/>
    <w:rsid w:val="00CF0CCA"/>
    <w:rsid w:val="00CF0D04"/>
    <w:rsid w:val="00CF1006"/>
    <w:rsid w:val="00CF1141"/>
    <w:rsid w:val="00CF12FE"/>
    <w:rsid w:val="00CF178A"/>
    <w:rsid w:val="00CF1828"/>
    <w:rsid w:val="00CF1900"/>
    <w:rsid w:val="00CF1988"/>
    <w:rsid w:val="00CF1ADD"/>
    <w:rsid w:val="00CF1CEC"/>
    <w:rsid w:val="00CF1DE8"/>
    <w:rsid w:val="00CF1EBB"/>
    <w:rsid w:val="00CF204E"/>
    <w:rsid w:val="00CF22B1"/>
    <w:rsid w:val="00CF261C"/>
    <w:rsid w:val="00CF275C"/>
    <w:rsid w:val="00CF287C"/>
    <w:rsid w:val="00CF294C"/>
    <w:rsid w:val="00CF2C34"/>
    <w:rsid w:val="00CF2E5C"/>
    <w:rsid w:val="00CF30CF"/>
    <w:rsid w:val="00CF3166"/>
    <w:rsid w:val="00CF318E"/>
    <w:rsid w:val="00CF31EB"/>
    <w:rsid w:val="00CF346C"/>
    <w:rsid w:val="00CF34A0"/>
    <w:rsid w:val="00CF3569"/>
    <w:rsid w:val="00CF3732"/>
    <w:rsid w:val="00CF39B0"/>
    <w:rsid w:val="00CF3C05"/>
    <w:rsid w:val="00CF3C7D"/>
    <w:rsid w:val="00CF3EBD"/>
    <w:rsid w:val="00CF4084"/>
    <w:rsid w:val="00CF411C"/>
    <w:rsid w:val="00CF4122"/>
    <w:rsid w:val="00CF457F"/>
    <w:rsid w:val="00CF47F9"/>
    <w:rsid w:val="00CF490F"/>
    <w:rsid w:val="00CF4E1F"/>
    <w:rsid w:val="00CF501C"/>
    <w:rsid w:val="00CF5117"/>
    <w:rsid w:val="00CF530B"/>
    <w:rsid w:val="00CF53C3"/>
    <w:rsid w:val="00CF58C1"/>
    <w:rsid w:val="00CF59C0"/>
    <w:rsid w:val="00CF5ADA"/>
    <w:rsid w:val="00CF5B73"/>
    <w:rsid w:val="00CF5DC2"/>
    <w:rsid w:val="00CF5E60"/>
    <w:rsid w:val="00CF61C4"/>
    <w:rsid w:val="00CF6230"/>
    <w:rsid w:val="00CF6281"/>
    <w:rsid w:val="00CF65AA"/>
    <w:rsid w:val="00CF65D5"/>
    <w:rsid w:val="00CF661E"/>
    <w:rsid w:val="00CF669A"/>
    <w:rsid w:val="00CF6D81"/>
    <w:rsid w:val="00CF6E49"/>
    <w:rsid w:val="00CF6E4A"/>
    <w:rsid w:val="00CF7046"/>
    <w:rsid w:val="00CF73F3"/>
    <w:rsid w:val="00CF757A"/>
    <w:rsid w:val="00CF771F"/>
    <w:rsid w:val="00CF7745"/>
    <w:rsid w:val="00CF77A9"/>
    <w:rsid w:val="00CF784A"/>
    <w:rsid w:val="00CF7CAD"/>
    <w:rsid w:val="00CF7D31"/>
    <w:rsid w:val="00CF7DB8"/>
    <w:rsid w:val="00CF7DDE"/>
    <w:rsid w:val="00CF7FFB"/>
    <w:rsid w:val="00D0021E"/>
    <w:rsid w:val="00D0030E"/>
    <w:rsid w:val="00D003B1"/>
    <w:rsid w:val="00D005D8"/>
    <w:rsid w:val="00D00730"/>
    <w:rsid w:val="00D008E6"/>
    <w:rsid w:val="00D00A2B"/>
    <w:rsid w:val="00D00CD7"/>
    <w:rsid w:val="00D00D2C"/>
    <w:rsid w:val="00D00FD9"/>
    <w:rsid w:val="00D01306"/>
    <w:rsid w:val="00D013B5"/>
    <w:rsid w:val="00D013F1"/>
    <w:rsid w:val="00D0161A"/>
    <w:rsid w:val="00D0162C"/>
    <w:rsid w:val="00D017F6"/>
    <w:rsid w:val="00D017FC"/>
    <w:rsid w:val="00D01818"/>
    <w:rsid w:val="00D01D36"/>
    <w:rsid w:val="00D01D84"/>
    <w:rsid w:val="00D01D8E"/>
    <w:rsid w:val="00D020F3"/>
    <w:rsid w:val="00D02226"/>
    <w:rsid w:val="00D0226A"/>
    <w:rsid w:val="00D02919"/>
    <w:rsid w:val="00D029CF"/>
    <w:rsid w:val="00D02C11"/>
    <w:rsid w:val="00D03242"/>
    <w:rsid w:val="00D033A5"/>
    <w:rsid w:val="00D033F1"/>
    <w:rsid w:val="00D03657"/>
    <w:rsid w:val="00D038AB"/>
    <w:rsid w:val="00D03922"/>
    <w:rsid w:val="00D03A26"/>
    <w:rsid w:val="00D03AD1"/>
    <w:rsid w:val="00D040F8"/>
    <w:rsid w:val="00D044FD"/>
    <w:rsid w:val="00D04786"/>
    <w:rsid w:val="00D04CD1"/>
    <w:rsid w:val="00D04D01"/>
    <w:rsid w:val="00D04F11"/>
    <w:rsid w:val="00D0506F"/>
    <w:rsid w:val="00D05379"/>
    <w:rsid w:val="00D0568A"/>
    <w:rsid w:val="00D05769"/>
    <w:rsid w:val="00D05D33"/>
    <w:rsid w:val="00D05E83"/>
    <w:rsid w:val="00D06147"/>
    <w:rsid w:val="00D0648F"/>
    <w:rsid w:val="00D06C88"/>
    <w:rsid w:val="00D06CA6"/>
    <w:rsid w:val="00D06CC3"/>
    <w:rsid w:val="00D0707E"/>
    <w:rsid w:val="00D075E3"/>
    <w:rsid w:val="00D07621"/>
    <w:rsid w:val="00D07761"/>
    <w:rsid w:val="00D07782"/>
    <w:rsid w:val="00D078C7"/>
    <w:rsid w:val="00D10134"/>
    <w:rsid w:val="00D1043F"/>
    <w:rsid w:val="00D1098D"/>
    <w:rsid w:val="00D10EE3"/>
    <w:rsid w:val="00D11651"/>
    <w:rsid w:val="00D11678"/>
    <w:rsid w:val="00D116DA"/>
    <w:rsid w:val="00D11844"/>
    <w:rsid w:val="00D118C1"/>
    <w:rsid w:val="00D119E3"/>
    <w:rsid w:val="00D11A8A"/>
    <w:rsid w:val="00D11B78"/>
    <w:rsid w:val="00D11B89"/>
    <w:rsid w:val="00D12117"/>
    <w:rsid w:val="00D1219C"/>
    <w:rsid w:val="00D121A9"/>
    <w:rsid w:val="00D122FD"/>
    <w:rsid w:val="00D123CD"/>
    <w:rsid w:val="00D12484"/>
    <w:rsid w:val="00D12782"/>
    <w:rsid w:val="00D128F9"/>
    <w:rsid w:val="00D1296D"/>
    <w:rsid w:val="00D12DBC"/>
    <w:rsid w:val="00D1304A"/>
    <w:rsid w:val="00D13147"/>
    <w:rsid w:val="00D13174"/>
    <w:rsid w:val="00D1365F"/>
    <w:rsid w:val="00D13AC8"/>
    <w:rsid w:val="00D13B44"/>
    <w:rsid w:val="00D13CD2"/>
    <w:rsid w:val="00D13E82"/>
    <w:rsid w:val="00D141CD"/>
    <w:rsid w:val="00D1462F"/>
    <w:rsid w:val="00D1465C"/>
    <w:rsid w:val="00D14868"/>
    <w:rsid w:val="00D14B14"/>
    <w:rsid w:val="00D14B1F"/>
    <w:rsid w:val="00D14EA7"/>
    <w:rsid w:val="00D15646"/>
    <w:rsid w:val="00D156B1"/>
    <w:rsid w:val="00D1579A"/>
    <w:rsid w:val="00D1588C"/>
    <w:rsid w:val="00D15A8B"/>
    <w:rsid w:val="00D15E99"/>
    <w:rsid w:val="00D1610A"/>
    <w:rsid w:val="00D16121"/>
    <w:rsid w:val="00D1658C"/>
    <w:rsid w:val="00D16B07"/>
    <w:rsid w:val="00D16D90"/>
    <w:rsid w:val="00D171BD"/>
    <w:rsid w:val="00D172A6"/>
    <w:rsid w:val="00D172E8"/>
    <w:rsid w:val="00D17AF4"/>
    <w:rsid w:val="00D17CBD"/>
    <w:rsid w:val="00D17CD6"/>
    <w:rsid w:val="00D17EA9"/>
    <w:rsid w:val="00D17F68"/>
    <w:rsid w:val="00D2002E"/>
    <w:rsid w:val="00D20272"/>
    <w:rsid w:val="00D2052C"/>
    <w:rsid w:val="00D205C7"/>
    <w:rsid w:val="00D2087D"/>
    <w:rsid w:val="00D20BDC"/>
    <w:rsid w:val="00D20DDC"/>
    <w:rsid w:val="00D20E69"/>
    <w:rsid w:val="00D20F17"/>
    <w:rsid w:val="00D2108D"/>
    <w:rsid w:val="00D213AB"/>
    <w:rsid w:val="00D214A9"/>
    <w:rsid w:val="00D21ACC"/>
    <w:rsid w:val="00D21AE1"/>
    <w:rsid w:val="00D21C8C"/>
    <w:rsid w:val="00D22554"/>
    <w:rsid w:val="00D22903"/>
    <w:rsid w:val="00D22A35"/>
    <w:rsid w:val="00D22AB1"/>
    <w:rsid w:val="00D22C03"/>
    <w:rsid w:val="00D22CC1"/>
    <w:rsid w:val="00D2367D"/>
    <w:rsid w:val="00D23DE0"/>
    <w:rsid w:val="00D24310"/>
    <w:rsid w:val="00D24446"/>
    <w:rsid w:val="00D245D6"/>
    <w:rsid w:val="00D24691"/>
    <w:rsid w:val="00D24BF4"/>
    <w:rsid w:val="00D24D9A"/>
    <w:rsid w:val="00D24DD6"/>
    <w:rsid w:val="00D24DF1"/>
    <w:rsid w:val="00D24EEB"/>
    <w:rsid w:val="00D25040"/>
    <w:rsid w:val="00D2552D"/>
    <w:rsid w:val="00D25581"/>
    <w:rsid w:val="00D256DB"/>
    <w:rsid w:val="00D25831"/>
    <w:rsid w:val="00D258F3"/>
    <w:rsid w:val="00D25A8F"/>
    <w:rsid w:val="00D25BCA"/>
    <w:rsid w:val="00D25C30"/>
    <w:rsid w:val="00D25EDB"/>
    <w:rsid w:val="00D26187"/>
    <w:rsid w:val="00D26353"/>
    <w:rsid w:val="00D263DC"/>
    <w:rsid w:val="00D2642A"/>
    <w:rsid w:val="00D2644B"/>
    <w:rsid w:val="00D268BC"/>
    <w:rsid w:val="00D26F6F"/>
    <w:rsid w:val="00D27151"/>
    <w:rsid w:val="00D272A8"/>
    <w:rsid w:val="00D279AE"/>
    <w:rsid w:val="00D27CC4"/>
    <w:rsid w:val="00D27FA3"/>
    <w:rsid w:val="00D30026"/>
    <w:rsid w:val="00D30160"/>
    <w:rsid w:val="00D30524"/>
    <w:rsid w:val="00D305D0"/>
    <w:rsid w:val="00D3062F"/>
    <w:rsid w:val="00D30654"/>
    <w:rsid w:val="00D30677"/>
    <w:rsid w:val="00D30A21"/>
    <w:rsid w:val="00D30A8E"/>
    <w:rsid w:val="00D30C4A"/>
    <w:rsid w:val="00D30C8F"/>
    <w:rsid w:val="00D30DA9"/>
    <w:rsid w:val="00D30E7F"/>
    <w:rsid w:val="00D30EEF"/>
    <w:rsid w:val="00D31019"/>
    <w:rsid w:val="00D3121A"/>
    <w:rsid w:val="00D3191F"/>
    <w:rsid w:val="00D319A7"/>
    <w:rsid w:val="00D31A51"/>
    <w:rsid w:val="00D31B0C"/>
    <w:rsid w:val="00D31DC3"/>
    <w:rsid w:val="00D32139"/>
    <w:rsid w:val="00D322FB"/>
    <w:rsid w:val="00D32476"/>
    <w:rsid w:val="00D324FE"/>
    <w:rsid w:val="00D325D1"/>
    <w:rsid w:val="00D32703"/>
    <w:rsid w:val="00D329E9"/>
    <w:rsid w:val="00D329EB"/>
    <w:rsid w:val="00D32AC1"/>
    <w:rsid w:val="00D32F78"/>
    <w:rsid w:val="00D330EA"/>
    <w:rsid w:val="00D33473"/>
    <w:rsid w:val="00D33699"/>
    <w:rsid w:val="00D33BB6"/>
    <w:rsid w:val="00D33BDA"/>
    <w:rsid w:val="00D33E01"/>
    <w:rsid w:val="00D33E87"/>
    <w:rsid w:val="00D33EE6"/>
    <w:rsid w:val="00D33F42"/>
    <w:rsid w:val="00D34555"/>
    <w:rsid w:val="00D3460E"/>
    <w:rsid w:val="00D34623"/>
    <w:rsid w:val="00D346FA"/>
    <w:rsid w:val="00D34C6F"/>
    <w:rsid w:val="00D351E6"/>
    <w:rsid w:val="00D35329"/>
    <w:rsid w:val="00D35410"/>
    <w:rsid w:val="00D3542A"/>
    <w:rsid w:val="00D35444"/>
    <w:rsid w:val="00D35564"/>
    <w:rsid w:val="00D359B8"/>
    <w:rsid w:val="00D35A30"/>
    <w:rsid w:val="00D35F5A"/>
    <w:rsid w:val="00D3647B"/>
    <w:rsid w:val="00D36909"/>
    <w:rsid w:val="00D3691C"/>
    <w:rsid w:val="00D36A2B"/>
    <w:rsid w:val="00D36AB8"/>
    <w:rsid w:val="00D36E23"/>
    <w:rsid w:val="00D37204"/>
    <w:rsid w:val="00D37CC0"/>
    <w:rsid w:val="00D37CF2"/>
    <w:rsid w:val="00D37E19"/>
    <w:rsid w:val="00D40160"/>
    <w:rsid w:val="00D402B0"/>
    <w:rsid w:val="00D4036B"/>
    <w:rsid w:val="00D406F4"/>
    <w:rsid w:val="00D40820"/>
    <w:rsid w:val="00D40824"/>
    <w:rsid w:val="00D40844"/>
    <w:rsid w:val="00D409DE"/>
    <w:rsid w:val="00D40D33"/>
    <w:rsid w:val="00D40D4F"/>
    <w:rsid w:val="00D40F70"/>
    <w:rsid w:val="00D40F7A"/>
    <w:rsid w:val="00D4149C"/>
    <w:rsid w:val="00D417A1"/>
    <w:rsid w:val="00D4187D"/>
    <w:rsid w:val="00D420A4"/>
    <w:rsid w:val="00D422A1"/>
    <w:rsid w:val="00D423F1"/>
    <w:rsid w:val="00D425E5"/>
    <w:rsid w:val="00D426FA"/>
    <w:rsid w:val="00D4282B"/>
    <w:rsid w:val="00D42897"/>
    <w:rsid w:val="00D42974"/>
    <w:rsid w:val="00D429C8"/>
    <w:rsid w:val="00D431C1"/>
    <w:rsid w:val="00D43271"/>
    <w:rsid w:val="00D43376"/>
    <w:rsid w:val="00D433A4"/>
    <w:rsid w:val="00D4356C"/>
    <w:rsid w:val="00D438DC"/>
    <w:rsid w:val="00D43CAC"/>
    <w:rsid w:val="00D43D0B"/>
    <w:rsid w:val="00D43D57"/>
    <w:rsid w:val="00D43FEB"/>
    <w:rsid w:val="00D43FF6"/>
    <w:rsid w:val="00D44157"/>
    <w:rsid w:val="00D44592"/>
    <w:rsid w:val="00D446EE"/>
    <w:rsid w:val="00D4491E"/>
    <w:rsid w:val="00D44AE0"/>
    <w:rsid w:val="00D44CDB"/>
    <w:rsid w:val="00D44D10"/>
    <w:rsid w:val="00D44D31"/>
    <w:rsid w:val="00D44F1D"/>
    <w:rsid w:val="00D450B6"/>
    <w:rsid w:val="00D45418"/>
    <w:rsid w:val="00D4594F"/>
    <w:rsid w:val="00D45D2E"/>
    <w:rsid w:val="00D45F8E"/>
    <w:rsid w:val="00D45F95"/>
    <w:rsid w:val="00D463FF"/>
    <w:rsid w:val="00D46656"/>
    <w:rsid w:val="00D46660"/>
    <w:rsid w:val="00D466E6"/>
    <w:rsid w:val="00D46713"/>
    <w:rsid w:val="00D46840"/>
    <w:rsid w:val="00D4695D"/>
    <w:rsid w:val="00D46AA9"/>
    <w:rsid w:val="00D46F09"/>
    <w:rsid w:val="00D47070"/>
    <w:rsid w:val="00D47339"/>
    <w:rsid w:val="00D47638"/>
    <w:rsid w:val="00D47923"/>
    <w:rsid w:val="00D47AB6"/>
    <w:rsid w:val="00D47D6E"/>
    <w:rsid w:val="00D47E72"/>
    <w:rsid w:val="00D50268"/>
    <w:rsid w:val="00D503B3"/>
    <w:rsid w:val="00D50725"/>
    <w:rsid w:val="00D507F9"/>
    <w:rsid w:val="00D50C80"/>
    <w:rsid w:val="00D510C3"/>
    <w:rsid w:val="00D51259"/>
    <w:rsid w:val="00D51573"/>
    <w:rsid w:val="00D51575"/>
    <w:rsid w:val="00D516D2"/>
    <w:rsid w:val="00D51759"/>
    <w:rsid w:val="00D518E8"/>
    <w:rsid w:val="00D51997"/>
    <w:rsid w:val="00D52315"/>
    <w:rsid w:val="00D523DB"/>
    <w:rsid w:val="00D52740"/>
    <w:rsid w:val="00D52795"/>
    <w:rsid w:val="00D528BB"/>
    <w:rsid w:val="00D52A73"/>
    <w:rsid w:val="00D52ED3"/>
    <w:rsid w:val="00D52F0B"/>
    <w:rsid w:val="00D5300D"/>
    <w:rsid w:val="00D53489"/>
    <w:rsid w:val="00D535AC"/>
    <w:rsid w:val="00D538EB"/>
    <w:rsid w:val="00D539D0"/>
    <w:rsid w:val="00D53D00"/>
    <w:rsid w:val="00D53FF9"/>
    <w:rsid w:val="00D54792"/>
    <w:rsid w:val="00D549A7"/>
    <w:rsid w:val="00D54BD3"/>
    <w:rsid w:val="00D54EFF"/>
    <w:rsid w:val="00D54F43"/>
    <w:rsid w:val="00D55110"/>
    <w:rsid w:val="00D55223"/>
    <w:rsid w:val="00D5532D"/>
    <w:rsid w:val="00D553A3"/>
    <w:rsid w:val="00D55569"/>
    <w:rsid w:val="00D555E1"/>
    <w:rsid w:val="00D55CF4"/>
    <w:rsid w:val="00D55F50"/>
    <w:rsid w:val="00D56013"/>
    <w:rsid w:val="00D5617D"/>
    <w:rsid w:val="00D564F4"/>
    <w:rsid w:val="00D567C9"/>
    <w:rsid w:val="00D568BB"/>
    <w:rsid w:val="00D56E1D"/>
    <w:rsid w:val="00D56E49"/>
    <w:rsid w:val="00D5715A"/>
    <w:rsid w:val="00D5726B"/>
    <w:rsid w:val="00D574AC"/>
    <w:rsid w:val="00D575AA"/>
    <w:rsid w:val="00D57600"/>
    <w:rsid w:val="00D57795"/>
    <w:rsid w:val="00D57C6A"/>
    <w:rsid w:val="00D57CEF"/>
    <w:rsid w:val="00D57F55"/>
    <w:rsid w:val="00D60148"/>
    <w:rsid w:val="00D601AC"/>
    <w:rsid w:val="00D603E8"/>
    <w:rsid w:val="00D605B4"/>
    <w:rsid w:val="00D60694"/>
    <w:rsid w:val="00D60B5E"/>
    <w:rsid w:val="00D60B65"/>
    <w:rsid w:val="00D610A0"/>
    <w:rsid w:val="00D6117F"/>
    <w:rsid w:val="00D6163D"/>
    <w:rsid w:val="00D6187F"/>
    <w:rsid w:val="00D61917"/>
    <w:rsid w:val="00D619D6"/>
    <w:rsid w:val="00D61D34"/>
    <w:rsid w:val="00D62016"/>
    <w:rsid w:val="00D622FA"/>
    <w:rsid w:val="00D6247E"/>
    <w:rsid w:val="00D625AA"/>
    <w:rsid w:val="00D62643"/>
    <w:rsid w:val="00D6266F"/>
    <w:rsid w:val="00D62A5A"/>
    <w:rsid w:val="00D62D2B"/>
    <w:rsid w:val="00D63058"/>
    <w:rsid w:val="00D6314D"/>
    <w:rsid w:val="00D6357F"/>
    <w:rsid w:val="00D639B3"/>
    <w:rsid w:val="00D63A09"/>
    <w:rsid w:val="00D63ADB"/>
    <w:rsid w:val="00D643AA"/>
    <w:rsid w:val="00D64570"/>
    <w:rsid w:val="00D645DF"/>
    <w:rsid w:val="00D6462B"/>
    <w:rsid w:val="00D6486E"/>
    <w:rsid w:val="00D64F15"/>
    <w:rsid w:val="00D65259"/>
    <w:rsid w:val="00D652CA"/>
    <w:rsid w:val="00D656A5"/>
    <w:rsid w:val="00D65B09"/>
    <w:rsid w:val="00D66275"/>
    <w:rsid w:val="00D66420"/>
    <w:rsid w:val="00D66A2B"/>
    <w:rsid w:val="00D66D50"/>
    <w:rsid w:val="00D6729B"/>
    <w:rsid w:val="00D673CD"/>
    <w:rsid w:val="00D67455"/>
    <w:rsid w:val="00D6770B"/>
    <w:rsid w:val="00D67748"/>
    <w:rsid w:val="00D67770"/>
    <w:rsid w:val="00D677ED"/>
    <w:rsid w:val="00D677EF"/>
    <w:rsid w:val="00D677F3"/>
    <w:rsid w:val="00D67985"/>
    <w:rsid w:val="00D67E4E"/>
    <w:rsid w:val="00D67F74"/>
    <w:rsid w:val="00D70025"/>
    <w:rsid w:val="00D704B2"/>
    <w:rsid w:val="00D70A7C"/>
    <w:rsid w:val="00D70AC4"/>
    <w:rsid w:val="00D70BAD"/>
    <w:rsid w:val="00D70D59"/>
    <w:rsid w:val="00D70DF8"/>
    <w:rsid w:val="00D71013"/>
    <w:rsid w:val="00D7131D"/>
    <w:rsid w:val="00D7153C"/>
    <w:rsid w:val="00D71687"/>
    <w:rsid w:val="00D718DA"/>
    <w:rsid w:val="00D72B48"/>
    <w:rsid w:val="00D72F59"/>
    <w:rsid w:val="00D7302A"/>
    <w:rsid w:val="00D731A9"/>
    <w:rsid w:val="00D732A2"/>
    <w:rsid w:val="00D7330C"/>
    <w:rsid w:val="00D735FC"/>
    <w:rsid w:val="00D736B8"/>
    <w:rsid w:val="00D7387F"/>
    <w:rsid w:val="00D738A4"/>
    <w:rsid w:val="00D73F96"/>
    <w:rsid w:val="00D73FDC"/>
    <w:rsid w:val="00D742AE"/>
    <w:rsid w:val="00D742B3"/>
    <w:rsid w:val="00D7445F"/>
    <w:rsid w:val="00D7448F"/>
    <w:rsid w:val="00D74813"/>
    <w:rsid w:val="00D74C2E"/>
    <w:rsid w:val="00D751C8"/>
    <w:rsid w:val="00D751E3"/>
    <w:rsid w:val="00D75367"/>
    <w:rsid w:val="00D75379"/>
    <w:rsid w:val="00D75565"/>
    <w:rsid w:val="00D755F6"/>
    <w:rsid w:val="00D75965"/>
    <w:rsid w:val="00D761D5"/>
    <w:rsid w:val="00D76308"/>
    <w:rsid w:val="00D76433"/>
    <w:rsid w:val="00D764D9"/>
    <w:rsid w:val="00D766B9"/>
    <w:rsid w:val="00D7676F"/>
    <w:rsid w:val="00D7681B"/>
    <w:rsid w:val="00D7685C"/>
    <w:rsid w:val="00D76914"/>
    <w:rsid w:val="00D7695E"/>
    <w:rsid w:val="00D770BB"/>
    <w:rsid w:val="00D77101"/>
    <w:rsid w:val="00D773D9"/>
    <w:rsid w:val="00D775F9"/>
    <w:rsid w:val="00D776E2"/>
    <w:rsid w:val="00D77852"/>
    <w:rsid w:val="00D77AC4"/>
    <w:rsid w:val="00D77E1B"/>
    <w:rsid w:val="00D804AB"/>
    <w:rsid w:val="00D806E3"/>
    <w:rsid w:val="00D80796"/>
    <w:rsid w:val="00D807C4"/>
    <w:rsid w:val="00D80F93"/>
    <w:rsid w:val="00D810E8"/>
    <w:rsid w:val="00D81112"/>
    <w:rsid w:val="00D81114"/>
    <w:rsid w:val="00D8130B"/>
    <w:rsid w:val="00D813A6"/>
    <w:rsid w:val="00D8183F"/>
    <w:rsid w:val="00D819E5"/>
    <w:rsid w:val="00D81A33"/>
    <w:rsid w:val="00D81A51"/>
    <w:rsid w:val="00D81CA4"/>
    <w:rsid w:val="00D81D3E"/>
    <w:rsid w:val="00D81E02"/>
    <w:rsid w:val="00D81E22"/>
    <w:rsid w:val="00D81E64"/>
    <w:rsid w:val="00D81FEE"/>
    <w:rsid w:val="00D81FFE"/>
    <w:rsid w:val="00D8205A"/>
    <w:rsid w:val="00D820B1"/>
    <w:rsid w:val="00D8233C"/>
    <w:rsid w:val="00D8244B"/>
    <w:rsid w:val="00D8248B"/>
    <w:rsid w:val="00D827BB"/>
    <w:rsid w:val="00D82836"/>
    <w:rsid w:val="00D829B7"/>
    <w:rsid w:val="00D82A4B"/>
    <w:rsid w:val="00D82CBE"/>
    <w:rsid w:val="00D834B0"/>
    <w:rsid w:val="00D8357F"/>
    <w:rsid w:val="00D83770"/>
    <w:rsid w:val="00D83A6D"/>
    <w:rsid w:val="00D83C09"/>
    <w:rsid w:val="00D83C33"/>
    <w:rsid w:val="00D83C72"/>
    <w:rsid w:val="00D83E88"/>
    <w:rsid w:val="00D83EF6"/>
    <w:rsid w:val="00D83F38"/>
    <w:rsid w:val="00D83FFA"/>
    <w:rsid w:val="00D8402A"/>
    <w:rsid w:val="00D840E8"/>
    <w:rsid w:val="00D8417C"/>
    <w:rsid w:val="00D841DB"/>
    <w:rsid w:val="00D842A6"/>
    <w:rsid w:val="00D84586"/>
    <w:rsid w:val="00D84ABE"/>
    <w:rsid w:val="00D85206"/>
    <w:rsid w:val="00D8544F"/>
    <w:rsid w:val="00D857DC"/>
    <w:rsid w:val="00D85DEF"/>
    <w:rsid w:val="00D85E5E"/>
    <w:rsid w:val="00D860E9"/>
    <w:rsid w:val="00D86294"/>
    <w:rsid w:val="00D863FD"/>
    <w:rsid w:val="00D86631"/>
    <w:rsid w:val="00D866A5"/>
    <w:rsid w:val="00D86941"/>
    <w:rsid w:val="00D86A44"/>
    <w:rsid w:val="00D86CA0"/>
    <w:rsid w:val="00D86CD4"/>
    <w:rsid w:val="00D86E56"/>
    <w:rsid w:val="00D86F6D"/>
    <w:rsid w:val="00D87028"/>
    <w:rsid w:val="00D87039"/>
    <w:rsid w:val="00D87161"/>
    <w:rsid w:val="00D872E5"/>
    <w:rsid w:val="00D87B0A"/>
    <w:rsid w:val="00D8BC01"/>
    <w:rsid w:val="00D90020"/>
    <w:rsid w:val="00D9017D"/>
    <w:rsid w:val="00D90332"/>
    <w:rsid w:val="00D903BF"/>
    <w:rsid w:val="00D905C2"/>
    <w:rsid w:val="00D90ADF"/>
    <w:rsid w:val="00D90EE6"/>
    <w:rsid w:val="00D9106C"/>
    <w:rsid w:val="00D91281"/>
    <w:rsid w:val="00D913FF"/>
    <w:rsid w:val="00D9179F"/>
    <w:rsid w:val="00D91984"/>
    <w:rsid w:val="00D91DAA"/>
    <w:rsid w:val="00D91E16"/>
    <w:rsid w:val="00D92190"/>
    <w:rsid w:val="00D92239"/>
    <w:rsid w:val="00D92367"/>
    <w:rsid w:val="00D927AE"/>
    <w:rsid w:val="00D92B31"/>
    <w:rsid w:val="00D931C8"/>
    <w:rsid w:val="00D93224"/>
    <w:rsid w:val="00D93247"/>
    <w:rsid w:val="00D934AB"/>
    <w:rsid w:val="00D936A3"/>
    <w:rsid w:val="00D9383C"/>
    <w:rsid w:val="00D93844"/>
    <w:rsid w:val="00D94065"/>
    <w:rsid w:val="00D9438E"/>
    <w:rsid w:val="00D94567"/>
    <w:rsid w:val="00D94712"/>
    <w:rsid w:val="00D94827"/>
    <w:rsid w:val="00D94848"/>
    <w:rsid w:val="00D949BB"/>
    <w:rsid w:val="00D94DE8"/>
    <w:rsid w:val="00D94E06"/>
    <w:rsid w:val="00D95127"/>
    <w:rsid w:val="00D9567B"/>
    <w:rsid w:val="00D956AF"/>
    <w:rsid w:val="00D959F6"/>
    <w:rsid w:val="00D95BB5"/>
    <w:rsid w:val="00D95BE3"/>
    <w:rsid w:val="00D9604A"/>
    <w:rsid w:val="00D960F6"/>
    <w:rsid w:val="00D96244"/>
    <w:rsid w:val="00D96447"/>
    <w:rsid w:val="00D968F6"/>
    <w:rsid w:val="00D96D67"/>
    <w:rsid w:val="00D97208"/>
    <w:rsid w:val="00D9730C"/>
    <w:rsid w:val="00D97317"/>
    <w:rsid w:val="00D9769E"/>
    <w:rsid w:val="00D978A0"/>
    <w:rsid w:val="00D97B16"/>
    <w:rsid w:val="00DA03C6"/>
    <w:rsid w:val="00DA0602"/>
    <w:rsid w:val="00DA070F"/>
    <w:rsid w:val="00DA0776"/>
    <w:rsid w:val="00DA07B0"/>
    <w:rsid w:val="00DA0EFF"/>
    <w:rsid w:val="00DA1684"/>
    <w:rsid w:val="00DA1A3B"/>
    <w:rsid w:val="00DA1C3A"/>
    <w:rsid w:val="00DA1DE9"/>
    <w:rsid w:val="00DA1DF3"/>
    <w:rsid w:val="00DA1E96"/>
    <w:rsid w:val="00DA2217"/>
    <w:rsid w:val="00DA25B5"/>
    <w:rsid w:val="00DA2638"/>
    <w:rsid w:val="00DA277B"/>
    <w:rsid w:val="00DA2AEB"/>
    <w:rsid w:val="00DA2B2B"/>
    <w:rsid w:val="00DA2D41"/>
    <w:rsid w:val="00DA30BC"/>
    <w:rsid w:val="00DA3565"/>
    <w:rsid w:val="00DA372E"/>
    <w:rsid w:val="00DA385A"/>
    <w:rsid w:val="00DA3E59"/>
    <w:rsid w:val="00DA3E75"/>
    <w:rsid w:val="00DA3F92"/>
    <w:rsid w:val="00DA477F"/>
    <w:rsid w:val="00DA484E"/>
    <w:rsid w:val="00DA4A2E"/>
    <w:rsid w:val="00DA4E5D"/>
    <w:rsid w:val="00DA4FF5"/>
    <w:rsid w:val="00DA5221"/>
    <w:rsid w:val="00DA546E"/>
    <w:rsid w:val="00DA570F"/>
    <w:rsid w:val="00DA5BD3"/>
    <w:rsid w:val="00DA5D57"/>
    <w:rsid w:val="00DA6066"/>
    <w:rsid w:val="00DA61C7"/>
    <w:rsid w:val="00DA6426"/>
    <w:rsid w:val="00DA647A"/>
    <w:rsid w:val="00DA66D1"/>
    <w:rsid w:val="00DA69C2"/>
    <w:rsid w:val="00DA6D4E"/>
    <w:rsid w:val="00DA6D70"/>
    <w:rsid w:val="00DA741E"/>
    <w:rsid w:val="00DA7617"/>
    <w:rsid w:val="00DA7627"/>
    <w:rsid w:val="00DA7799"/>
    <w:rsid w:val="00DA7AA4"/>
    <w:rsid w:val="00DA7B28"/>
    <w:rsid w:val="00DB005C"/>
    <w:rsid w:val="00DB0072"/>
    <w:rsid w:val="00DB00D8"/>
    <w:rsid w:val="00DB022F"/>
    <w:rsid w:val="00DB0285"/>
    <w:rsid w:val="00DB0437"/>
    <w:rsid w:val="00DB0444"/>
    <w:rsid w:val="00DB0535"/>
    <w:rsid w:val="00DB06AA"/>
    <w:rsid w:val="00DB077A"/>
    <w:rsid w:val="00DB0A04"/>
    <w:rsid w:val="00DB0A05"/>
    <w:rsid w:val="00DB0BC2"/>
    <w:rsid w:val="00DB0E0E"/>
    <w:rsid w:val="00DB0E6A"/>
    <w:rsid w:val="00DB1309"/>
    <w:rsid w:val="00DB161D"/>
    <w:rsid w:val="00DB1778"/>
    <w:rsid w:val="00DB1828"/>
    <w:rsid w:val="00DB1D69"/>
    <w:rsid w:val="00DB228A"/>
    <w:rsid w:val="00DB2575"/>
    <w:rsid w:val="00DB285A"/>
    <w:rsid w:val="00DB2D3D"/>
    <w:rsid w:val="00DB3279"/>
    <w:rsid w:val="00DB32F3"/>
    <w:rsid w:val="00DB3375"/>
    <w:rsid w:val="00DB3756"/>
    <w:rsid w:val="00DB38CD"/>
    <w:rsid w:val="00DB3C75"/>
    <w:rsid w:val="00DB3D4D"/>
    <w:rsid w:val="00DB3E85"/>
    <w:rsid w:val="00DB3F31"/>
    <w:rsid w:val="00DB4384"/>
    <w:rsid w:val="00DB4488"/>
    <w:rsid w:val="00DB44A0"/>
    <w:rsid w:val="00DB4887"/>
    <w:rsid w:val="00DB4CE8"/>
    <w:rsid w:val="00DB4D57"/>
    <w:rsid w:val="00DB534F"/>
    <w:rsid w:val="00DB5368"/>
    <w:rsid w:val="00DB54B1"/>
    <w:rsid w:val="00DB5BEB"/>
    <w:rsid w:val="00DB5FA0"/>
    <w:rsid w:val="00DB5FA1"/>
    <w:rsid w:val="00DB6050"/>
    <w:rsid w:val="00DB62BD"/>
    <w:rsid w:val="00DB62C2"/>
    <w:rsid w:val="00DB6369"/>
    <w:rsid w:val="00DB6395"/>
    <w:rsid w:val="00DB6780"/>
    <w:rsid w:val="00DB68D3"/>
    <w:rsid w:val="00DB6A4C"/>
    <w:rsid w:val="00DB6C19"/>
    <w:rsid w:val="00DB6F9C"/>
    <w:rsid w:val="00DB767D"/>
    <w:rsid w:val="00DB76AD"/>
    <w:rsid w:val="00DB774C"/>
    <w:rsid w:val="00DB7758"/>
    <w:rsid w:val="00DB77B2"/>
    <w:rsid w:val="00DB7864"/>
    <w:rsid w:val="00DB7BD6"/>
    <w:rsid w:val="00DB7BFA"/>
    <w:rsid w:val="00DB7C70"/>
    <w:rsid w:val="00DB7C95"/>
    <w:rsid w:val="00DB7E38"/>
    <w:rsid w:val="00DB7EB0"/>
    <w:rsid w:val="00DB7FB4"/>
    <w:rsid w:val="00DB7FBD"/>
    <w:rsid w:val="00DC02DB"/>
    <w:rsid w:val="00DC03AF"/>
    <w:rsid w:val="00DC03F0"/>
    <w:rsid w:val="00DC0470"/>
    <w:rsid w:val="00DC0487"/>
    <w:rsid w:val="00DC08F7"/>
    <w:rsid w:val="00DC091E"/>
    <w:rsid w:val="00DC0A3A"/>
    <w:rsid w:val="00DC0AF3"/>
    <w:rsid w:val="00DC0B04"/>
    <w:rsid w:val="00DC0B12"/>
    <w:rsid w:val="00DC0CF4"/>
    <w:rsid w:val="00DC0F54"/>
    <w:rsid w:val="00DC0F5A"/>
    <w:rsid w:val="00DC1107"/>
    <w:rsid w:val="00DC1141"/>
    <w:rsid w:val="00DC1390"/>
    <w:rsid w:val="00DC13EB"/>
    <w:rsid w:val="00DC190F"/>
    <w:rsid w:val="00DC1B73"/>
    <w:rsid w:val="00DC1BC0"/>
    <w:rsid w:val="00DC1CA0"/>
    <w:rsid w:val="00DC1FF7"/>
    <w:rsid w:val="00DC22A7"/>
    <w:rsid w:val="00DC2309"/>
    <w:rsid w:val="00DC2450"/>
    <w:rsid w:val="00DC2973"/>
    <w:rsid w:val="00DC2C34"/>
    <w:rsid w:val="00DC2D54"/>
    <w:rsid w:val="00DC2FA6"/>
    <w:rsid w:val="00DC3301"/>
    <w:rsid w:val="00DC3525"/>
    <w:rsid w:val="00DC370C"/>
    <w:rsid w:val="00DC3876"/>
    <w:rsid w:val="00DC3B9B"/>
    <w:rsid w:val="00DC3C5A"/>
    <w:rsid w:val="00DC3DE3"/>
    <w:rsid w:val="00DC4208"/>
    <w:rsid w:val="00DC43D4"/>
    <w:rsid w:val="00DC467A"/>
    <w:rsid w:val="00DC4AE0"/>
    <w:rsid w:val="00DC4F0B"/>
    <w:rsid w:val="00DC532C"/>
    <w:rsid w:val="00DC57E5"/>
    <w:rsid w:val="00DC582E"/>
    <w:rsid w:val="00DC5A30"/>
    <w:rsid w:val="00DC5BA7"/>
    <w:rsid w:val="00DC5C29"/>
    <w:rsid w:val="00DC5E7E"/>
    <w:rsid w:val="00DC5EF4"/>
    <w:rsid w:val="00DC62A3"/>
    <w:rsid w:val="00DC62D0"/>
    <w:rsid w:val="00DC6364"/>
    <w:rsid w:val="00DC63DA"/>
    <w:rsid w:val="00DC6686"/>
    <w:rsid w:val="00DC68DE"/>
    <w:rsid w:val="00DC6BF8"/>
    <w:rsid w:val="00DC6EBA"/>
    <w:rsid w:val="00DC6F67"/>
    <w:rsid w:val="00DC7027"/>
    <w:rsid w:val="00DC7637"/>
    <w:rsid w:val="00DC7A15"/>
    <w:rsid w:val="00DC7E04"/>
    <w:rsid w:val="00DC7F5D"/>
    <w:rsid w:val="00DD040C"/>
    <w:rsid w:val="00DD04A5"/>
    <w:rsid w:val="00DD04C1"/>
    <w:rsid w:val="00DD0668"/>
    <w:rsid w:val="00DD0771"/>
    <w:rsid w:val="00DD09CD"/>
    <w:rsid w:val="00DD09FD"/>
    <w:rsid w:val="00DD0CAB"/>
    <w:rsid w:val="00DD115D"/>
    <w:rsid w:val="00DD15F7"/>
    <w:rsid w:val="00DD1607"/>
    <w:rsid w:val="00DD162E"/>
    <w:rsid w:val="00DD18C3"/>
    <w:rsid w:val="00DD19FF"/>
    <w:rsid w:val="00DD1B58"/>
    <w:rsid w:val="00DD1D28"/>
    <w:rsid w:val="00DD21E8"/>
    <w:rsid w:val="00DD23ED"/>
    <w:rsid w:val="00DD24CF"/>
    <w:rsid w:val="00DD27AD"/>
    <w:rsid w:val="00DD319D"/>
    <w:rsid w:val="00DD3538"/>
    <w:rsid w:val="00DD35CF"/>
    <w:rsid w:val="00DD36E7"/>
    <w:rsid w:val="00DD3965"/>
    <w:rsid w:val="00DD3BAB"/>
    <w:rsid w:val="00DD3BCA"/>
    <w:rsid w:val="00DD3C6A"/>
    <w:rsid w:val="00DD3CB3"/>
    <w:rsid w:val="00DD3DFB"/>
    <w:rsid w:val="00DD3F60"/>
    <w:rsid w:val="00DD3FE9"/>
    <w:rsid w:val="00DD4098"/>
    <w:rsid w:val="00DD4192"/>
    <w:rsid w:val="00DD427C"/>
    <w:rsid w:val="00DD4585"/>
    <w:rsid w:val="00DD45F1"/>
    <w:rsid w:val="00DD460A"/>
    <w:rsid w:val="00DD4635"/>
    <w:rsid w:val="00DD463C"/>
    <w:rsid w:val="00DD4A00"/>
    <w:rsid w:val="00DD549F"/>
    <w:rsid w:val="00DD5522"/>
    <w:rsid w:val="00DD55EB"/>
    <w:rsid w:val="00DD5713"/>
    <w:rsid w:val="00DD5730"/>
    <w:rsid w:val="00DD5734"/>
    <w:rsid w:val="00DD5769"/>
    <w:rsid w:val="00DD5A8A"/>
    <w:rsid w:val="00DD5A90"/>
    <w:rsid w:val="00DD5C24"/>
    <w:rsid w:val="00DD5E2E"/>
    <w:rsid w:val="00DD6298"/>
    <w:rsid w:val="00DD6593"/>
    <w:rsid w:val="00DD65FD"/>
    <w:rsid w:val="00DD6722"/>
    <w:rsid w:val="00DD6868"/>
    <w:rsid w:val="00DD6AC7"/>
    <w:rsid w:val="00DD6B4A"/>
    <w:rsid w:val="00DD6BE3"/>
    <w:rsid w:val="00DD6CE4"/>
    <w:rsid w:val="00DD6F8A"/>
    <w:rsid w:val="00DD712B"/>
    <w:rsid w:val="00DD7134"/>
    <w:rsid w:val="00DD723E"/>
    <w:rsid w:val="00DD74B8"/>
    <w:rsid w:val="00DD74F4"/>
    <w:rsid w:val="00DD7918"/>
    <w:rsid w:val="00DD7E66"/>
    <w:rsid w:val="00DE01A7"/>
    <w:rsid w:val="00DE051F"/>
    <w:rsid w:val="00DE0589"/>
    <w:rsid w:val="00DE07C8"/>
    <w:rsid w:val="00DE08E9"/>
    <w:rsid w:val="00DE0C3B"/>
    <w:rsid w:val="00DE0DCA"/>
    <w:rsid w:val="00DE11E7"/>
    <w:rsid w:val="00DE1650"/>
    <w:rsid w:val="00DE165F"/>
    <w:rsid w:val="00DE1791"/>
    <w:rsid w:val="00DE17A9"/>
    <w:rsid w:val="00DE199F"/>
    <w:rsid w:val="00DE1B9B"/>
    <w:rsid w:val="00DE1C01"/>
    <w:rsid w:val="00DE1DE5"/>
    <w:rsid w:val="00DE1EBA"/>
    <w:rsid w:val="00DE1EE4"/>
    <w:rsid w:val="00DE1FBA"/>
    <w:rsid w:val="00DE2210"/>
    <w:rsid w:val="00DE2274"/>
    <w:rsid w:val="00DE23D4"/>
    <w:rsid w:val="00DE2B59"/>
    <w:rsid w:val="00DE2C00"/>
    <w:rsid w:val="00DE2C87"/>
    <w:rsid w:val="00DE2C89"/>
    <w:rsid w:val="00DE3017"/>
    <w:rsid w:val="00DE3621"/>
    <w:rsid w:val="00DE3913"/>
    <w:rsid w:val="00DE3AAF"/>
    <w:rsid w:val="00DE3AB8"/>
    <w:rsid w:val="00DE3C64"/>
    <w:rsid w:val="00DE3D83"/>
    <w:rsid w:val="00DE429C"/>
    <w:rsid w:val="00DE445C"/>
    <w:rsid w:val="00DE4561"/>
    <w:rsid w:val="00DE459A"/>
    <w:rsid w:val="00DE4642"/>
    <w:rsid w:val="00DE4666"/>
    <w:rsid w:val="00DE530B"/>
    <w:rsid w:val="00DE532A"/>
    <w:rsid w:val="00DE558C"/>
    <w:rsid w:val="00DE587E"/>
    <w:rsid w:val="00DE5A45"/>
    <w:rsid w:val="00DE5A9E"/>
    <w:rsid w:val="00DE5E95"/>
    <w:rsid w:val="00DE5F56"/>
    <w:rsid w:val="00DE6234"/>
    <w:rsid w:val="00DE65D6"/>
    <w:rsid w:val="00DE6773"/>
    <w:rsid w:val="00DE68AB"/>
    <w:rsid w:val="00DE7037"/>
    <w:rsid w:val="00DE73D0"/>
    <w:rsid w:val="00DE73D4"/>
    <w:rsid w:val="00DE74CB"/>
    <w:rsid w:val="00DE7582"/>
    <w:rsid w:val="00DE795A"/>
    <w:rsid w:val="00DE7F79"/>
    <w:rsid w:val="00DE7FE3"/>
    <w:rsid w:val="00DF0090"/>
    <w:rsid w:val="00DF00C8"/>
    <w:rsid w:val="00DF0278"/>
    <w:rsid w:val="00DF06BE"/>
    <w:rsid w:val="00DF0970"/>
    <w:rsid w:val="00DF0AD2"/>
    <w:rsid w:val="00DF0D47"/>
    <w:rsid w:val="00DF0E14"/>
    <w:rsid w:val="00DF10BA"/>
    <w:rsid w:val="00DF10C1"/>
    <w:rsid w:val="00DF11C2"/>
    <w:rsid w:val="00DF18EA"/>
    <w:rsid w:val="00DF18FA"/>
    <w:rsid w:val="00DF19F7"/>
    <w:rsid w:val="00DF1A83"/>
    <w:rsid w:val="00DF1D01"/>
    <w:rsid w:val="00DF20C3"/>
    <w:rsid w:val="00DF2340"/>
    <w:rsid w:val="00DF23BA"/>
    <w:rsid w:val="00DF2661"/>
    <w:rsid w:val="00DF2676"/>
    <w:rsid w:val="00DF27DA"/>
    <w:rsid w:val="00DF297D"/>
    <w:rsid w:val="00DF2B1D"/>
    <w:rsid w:val="00DF2E7A"/>
    <w:rsid w:val="00DF3093"/>
    <w:rsid w:val="00DF3AD9"/>
    <w:rsid w:val="00DF3B44"/>
    <w:rsid w:val="00DF3B89"/>
    <w:rsid w:val="00DF3F79"/>
    <w:rsid w:val="00DF4021"/>
    <w:rsid w:val="00DF4170"/>
    <w:rsid w:val="00DF41D0"/>
    <w:rsid w:val="00DF4625"/>
    <w:rsid w:val="00DF46FC"/>
    <w:rsid w:val="00DF47DA"/>
    <w:rsid w:val="00DF47FE"/>
    <w:rsid w:val="00DF49BF"/>
    <w:rsid w:val="00DF49F8"/>
    <w:rsid w:val="00DF4B31"/>
    <w:rsid w:val="00DF4DBE"/>
    <w:rsid w:val="00DF504C"/>
    <w:rsid w:val="00DF52F4"/>
    <w:rsid w:val="00DF5549"/>
    <w:rsid w:val="00DF560C"/>
    <w:rsid w:val="00DF5786"/>
    <w:rsid w:val="00DF5E50"/>
    <w:rsid w:val="00DF644C"/>
    <w:rsid w:val="00DF65F0"/>
    <w:rsid w:val="00DF6654"/>
    <w:rsid w:val="00DF66AA"/>
    <w:rsid w:val="00DF6DBE"/>
    <w:rsid w:val="00DF6F53"/>
    <w:rsid w:val="00DF715F"/>
    <w:rsid w:val="00DF7162"/>
    <w:rsid w:val="00DF7175"/>
    <w:rsid w:val="00DF72BE"/>
    <w:rsid w:val="00DF733A"/>
    <w:rsid w:val="00DF73BC"/>
    <w:rsid w:val="00DF75BC"/>
    <w:rsid w:val="00DF767F"/>
    <w:rsid w:val="00DF7A36"/>
    <w:rsid w:val="00DF7FEB"/>
    <w:rsid w:val="00E00125"/>
    <w:rsid w:val="00E0029F"/>
    <w:rsid w:val="00E002F7"/>
    <w:rsid w:val="00E0036A"/>
    <w:rsid w:val="00E003D4"/>
    <w:rsid w:val="00E00435"/>
    <w:rsid w:val="00E004E9"/>
    <w:rsid w:val="00E00644"/>
    <w:rsid w:val="00E007AE"/>
    <w:rsid w:val="00E00BCF"/>
    <w:rsid w:val="00E00CC8"/>
    <w:rsid w:val="00E00F1A"/>
    <w:rsid w:val="00E00FE7"/>
    <w:rsid w:val="00E011D4"/>
    <w:rsid w:val="00E01596"/>
    <w:rsid w:val="00E015CA"/>
    <w:rsid w:val="00E0178F"/>
    <w:rsid w:val="00E017DF"/>
    <w:rsid w:val="00E0198C"/>
    <w:rsid w:val="00E01D6E"/>
    <w:rsid w:val="00E01E91"/>
    <w:rsid w:val="00E01F73"/>
    <w:rsid w:val="00E02AE9"/>
    <w:rsid w:val="00E02EE8"/>
    <w:rsid w:val="00E03120"/>
    <w:rsid w:val="00E03283"/>
    <w:rsid w:val="00E03569"/>
    <w:rsid w:val="00E035DC"/>
    <w:rsid w:val="00E03A76"/>
    <w:rsid w:val="00E03AED"/>
    <w:rsid w:val="00E03B3F"/>
    <w:rsid w:val="00E03D62"/>
    <w:rsid w:val="00E03EF8"/>
    <w:rsid w:val="00E0441C"/>
    <w:rsid w:val="00E0454A"/>
    <w:rsid w:val="00E0460C"/>
    <w:rsid w:val="00E049C9"/>
    <w:rsid w:val="00E04A64"/>
    <w:rsid w:val="00E04BFA"/>
    <w:rsid w:val="00E04EB5"/>
    <w:rsid w:val="00E058C0"/>
    <w:rsid w:val="00E059A2"/>
    <w:rsid w:val="00E05B2A"/>
    <w:rsid w:val="00E05C43"/>
    <w:rsid w:val="00E05DEE"/>
    <w:rsid w:val="00E05F3F"/>
    <w:rsid w:val="00E060C0"/>
    <w:rsid w:val="00E06345"/>
    <w:rsid w:val="00E06664"/>
    <w:rsid w:val="00E0682C"/>
    <w:rsid w:val="00E06A82"/>
    <w:rsid w:val="00E06D53"/>
    <w:rsid w:val="00E06EF0"/>
    <w:rsid w:val="00E071C9"/>
    <w:rsid w:val="00E0777F"/>
    <w:rsid w:val="00E077A1"/>
    <w:rsid w:val="00E0787C"/>
    <w:rsid w:val="00E079DD"/>
    <w:rsid w:val="00E079F4"/>
    <w:rsid w:val="00E07A12"/>
    <w:rsid w:val="00E07B1A"/>
    <w:rsid w:val="00E07BFB"/>
    <w:rsid w:val="00E07D83"/>
    <w:rsid w:val="00E07DB0"/>
    <w:rsid w:val="00E07F9E"/>
    <w:rsid w:val="00E101C4"/>
    <w:rsid w:val="00E1024C"/>
    <w:rsid w:val="00E10504"/>
    <w:rsid w:val="00E106A4"/>
    <w:rsid w:val="00E109C1"/>
    <w:rsid w:val="00E10A36"/>
    <w:rsid w:val="00E10A51"/>
    <w:rsid w:val="00E10A6A"/>
    <w:rsid w:val="00E112DB"/>
    <w:rsid w:val="00E11396"/>
    <w:rsid w:val="00E11457"/>
    <w:rsid w:val="00E1156C"/>
    <w:rsid w:val="00E11B25"/>
    <w:rsid w:val="00E11DC2"/>
    <w:rsid w:val="00E11DDB"/>
    <w:rsid w:val="00E11FC6"/>
    <w:rsid w:val="00E11FFC"/>
    <w:rsid w:val="00E12080"/>
    <w:rsid w:val="00E1289C"/>
    <w:rsid w:val="00E1293C"/>
    <w:rsid w:val="00E12B8C"/>
    <w:rsid w:val="00E12EDC"/>
    <w:rsid w:val="00E13362"/>
    <w:rsid w:val="00E1338D"/>
    <w:rsid w:val="00E1360E"/>
    <w:rsid w:val="00E13815"/>
    <w:rsid w:val="00E13A6A"/>
    <w:rsid w:val="00E13C4E"/>
    <w:rsid w:val="00E13CCD"/>
    <w:rsid w:val="00E14288"/>
    <w:rsid w:val="00E1428A"/>
    <w:rsid w:val="00E1464B"/>
    <w:rsid w:val="00E1465C"/>
    <w:rsid w:val="00E147D7"/>
    <w:rsid w:val="00E14AA0"/>
    <w:rsid w:val="00E14C2F"/>
    <w:rsid w:val="00E14CC3"/>
    <w:rsid w:val="00E14E13"/>
    <w:rsid w:val="00E151C6"/>
    <w:rsid w:val="00E152DD"/>
    <w:rsid w:val="00E15303"/>
    <w:rsid w:val="00E15371"/>
    <w:rsid w:val="00E153BB"/>
    <w:rsid w:val="00E15610"/>
    <w:rsid w:val="00E158F4"/>
    <w:rsid w:val="00E15937"/>
    <w:rsid w:val="00E15AB0"/>
    <w:rsid w:val="00E15D38"/>
    <w:rsid w:val="00E15D7A"/>
    <w:rsid w:val="00E15F73"/>
    <w:rsid w:val="00E1605B"/>
    <w:rsid w:val="00E160DB"/>
    <w:rsid w:val="00E1634C"/>
    <w:rsid w:val="00E163EE"/>
    <w:rsid w:val="00E16496"/>
    <w:rsid w:val="00E16557"/>
    <w:rsid w:val="00E165EF"/>
    <w:rsid w:val="00E16709"/>
    <w:rsid w:val="00E167E4"/>
    <w:rsid w:val="00E17254"/>
    <w:rsid w:val="00E17499"/>
    <w:rsid w:val="00E1758B"/>
    <w:rsid w:val="00E177A0"/>
    <w:rsid w:val="00E177A9"/>
    <w:rsid w:val="00E177F4"/>
    <w:rsid w:val="00E17929"/>
    <w:rsid w:val="00E17AAA"/>
    <w:rsid w:val="00E17CD0"/>
    <w:rsid w:val="00E200B1"/>
    <w:rsid w:val="00E20743"/>
    <w:rsid w:val="00E208A0"/>
    <w:rsid w:val="00E20B0D"/>
    <w:rsid w:val="00E2105D"/>
    <w:rsid w:val="00E210BC"/>
    <w:rsid w:val="00E210BF"/>
    <w:rsid w:val="00E211EB"/>
    <w:rsid w:val="00E21362"/>
    <w:rsid w:val="00E21368"/>
    <w:rsid w:val="00E214A3"/>
    <w:rsid w:val="00E21B09"/>
    <w:rsid w:val="00E21B78"/>
    <w:rsid w:val="00E21D06"/>
    <w:rsid w:val="00E21F41"/>
    <w:rsid w:val="00E21F7F"/>
    <w:rsid w:val="00E22261"/>
    <w:rsid w:val="00E2226F"/>
    <w:rsid w:val="00E2230A"/>
    <w:rsid w:val="00E225B2"/>
    <w:rsid w:val="00E227B8"/>
    <w:rsid w:val="00E227F1"/>
    <w:rsid w:val="00E22854"/>
    <w:rsid w:val="00E22931"/>
    <w:rsid w:val="00E22980"/>
    <w:rsid w:val="00E22C07"/>
    <w:rsid w:val="00E22D87"/>
    <w:rsid w:val="00E23082"/>
    <w:rsid w:val="00E23156"/>
    <w:rsid w:val="00E232AC"/>
    <w:rsid w:val="00E237D6"/>
    <w:rsid w:val="00E23BD3"/>
    <w:rsid w:val="00E23DF9"/>
    <w:rsid w:val="00E23EBE"/>
    <w:rsid w:val="00E23F3E"/>
    <w:rsid w:val="00E245DE"/>
    <w:rsid w:val="00E2492F"/>
    <w:rsid w:val="00E24AFC"/>
    <w:rsid w:val="00E24B1B"/>
    <w:rsid w:val="00E24C2A"/>
    <w:rsid w:val="00E24CCA"/>
    <w:rsid w:val="00E24CFC"/>
    <w:rsid w:val="00E25000"/>
    <w:rsid w:val="00E25062"/>
    <w:rsid w:val="00E25086"/>
    <w:rsid w:val="00E25471"/>
    <w:rsid w:val="00E25579"/>
    <w:rsid w:val="00E255BC"/>
    <w:rsid w:val="00E25650"/>
    <w:rsid w:val="00E258EB"/>
    <w:rsid w:val="00E25AAE"/>
    <w:rsid w:val="00E25B8E"/>
    <w:rsid w:val="00E25BA8"/>
    <w:rsid w:val="00E25C18"/>
    <w:rsid w:val="00E26142"/>
    <w:rsid w:val="00E2639F"/>
    <w:rsid w:val="00E26C25"/>
    <w:rsid w:val="00E26D8E"/>
    <w:rsid w:val="00E26F4B"/>
    <w:rsid w:val="00E27161"/>
    <w:rsid w:val="00E27331"/>
    <w:rsid w:val="00E2760E"/>
    <w:rsid w:val="00E27978"/>
    <w:rsid w:val="00E27A5D"/>
    <w:rsid w:val="00E27BDC"/>
    <w:rsid w:val="00E27CD6"/>
    <w:rsid w:val="00E27E15"/>
    <w:rsid w:val="00E30028"/>
    <w:rsid w:val="00E302D9"/>
    <w:rsid w:val="00E3043B"/>
    <w:rsid w:val="00E305CB"/>
    <w:rsid w:val="00E3074A"/>
    <w:rsid w:val="00E30911"/>
    <w:rsid w:val="00E3095E"/>
    <w:rsid w:val="00E309B7"/>
    <w:rsid w:val="00E30A4A"/>
    <w:rsid w:val="00E30BA9"/>
    <w:rsid w:val="00E30D1C"/>
    <w:rsid w:val="00E30E25"/>
    <w:rsid w:val="00E30E96"/>
    <w:rsid w:val="00E30F74"/>
    <w:rsid w:val="00E31066"/>
    <w:rsid w:val="00E31070"/>
    <w:rsid w:val="00E31284"/>
    <w:rsid w:val="00E3146B"/>
    <w:rsid w:val="00E315FD"/>
    <w:rsid w:val="00E317A0"/>
    <w:rsid w:val="00E31952"/>
    <w:rsid w:val="00E31971"/>
    <w:rsid w:val="00E31CE6"/>
    <w:rsid w:val="00E31FB5"/>
    <w:rsid w:val="00E32045"/>
    <w:rsid w:val="00E320B7"/>
    <w:rsid w:val="00E320E1"/>
    <w:rsid w:val="00E321D6"/>
    <w:rsid w:val="00E323C7"/>
    <w:rsid w:val="00E3278F"/>
    <w:rsid w:val="00E32C24"/>
    <w:rsid w:val="00E32C67"/>
    <w:rsid w:val="00E32CAE"/>
    <w:rsid w:val="00E32E1E"/>
    <w:rsid w:val="00E32FD1"/>
    <w:rsid w:val="00E33078"/>
    <w:rsid w:val="00E3315D"/>
    <w:rsid w:val="00E331BE"/>
    <w:rsid w:val="00E3323D"/>
    <w:rsid w:val="00E33503"/>
    <w:rsid w:val="00E3351E"/>
    <w:rsid w:val="00E336A4"/>
    <w:rsid w:val="00E336AA"/>
    <w:rsid w:val="00E33986"/>
    <w:rsid w:val="00E33CCE"/>
    <w:rsid w:val="00E344D7"/>
    <w:rsid w:val="00E346A4"/>
    <w:rsid w:val="00E34832"/>
    <w:rsid w:val="00E34856"/>
    <w:rsid w:val="00E3485C"/>
    <w:rsid w:val="00E348FE"/>
    <w:rsid w:val="00E34A2A"/>
    <w:rsid w:val="00E34AEA"/>
    <w:rsid w:val="00E34C70"/>
    <w:rsid w:val="00E34D83"/>
    <w:rsid w:val="00E34E62"/>
    <w:rsid w:val="00E352C3"/>
    <w:rsid w:val="00E355B4"/>
    <w:rsid w:val="00E358C9"/>
    <w:rsid w:val="00E3597A"/>
    <w:rsid w:val="00E35983"/>
    <w:rsid w:val="00E35A3A"/>
    <w:rsid w:val="00E35C2B"/>
    <w:rsid w:val="00E35CD7"/>
    <w:rsid w:val="00E35F90"/>
    <w:rsid w:val="00E35F92"/>
    <w:rsid w:val="00E35F97"/>
    <w:rsid w:val="00E36774"/>
    <w:rsid w:val="00E367A1"/>
    <w:rsid w:val="00E36B47"/>
    <w:rsid w:val="00E36C80"/>
    <w:rsid w:val="00E36DC9"/>
    <w:rsid w:val="00E36F6E"/>
    <w:rsid w:val="00E37392"/>
    <w:rsid w:val="00E37504"/>
    <w:rsid w:val="00E379A3"/>
    <w:rsid w:val="00E37AB4"/>
    <w:rsid w:val="00E37B83"/>
    <w:rsid w:val="00E37BE2"/>
    <w:rsid w:val="00E37BE4"/>
    <w:rsid w:val="00E37D26"/>
    <w:rsid w:val="00E37ED9"/>
    <w:rsid w:val="00E37F67"/>
    <w:rsid w:val="00E400DF"/>
    <w:rsid w:val="00E402A8"/>
    <w:rsid w:val="00E40415"/>
    <w:rsid w:val="00E4047D"/>
    <w:rsid w:val="00E40820"/>
    <w:rsid w:val="00E4082D"/>
    <w:rsid w:val="00E40BD7"/>
    <w:rsid w:val="00E40DC8"/>
    <w:rsid w:val="00E40E8E"/>
    <w:rsid w:val="00E40EED"/>
    <w:rsid w:val="00E40EF4"/>
    <w:rsid w:val="00E410E8"/>
    <w:rsid w:val="00E412FA"/>
    <w:rsid w:val="00E41682"/>
    <w:rsid w:val="00E41F0A"/>
    <w:rsid w:val="00E41F86"/>
    <w:rsid w:val="00E425BF"/>
    <w:rsid w:val="00E42C2D"/>
    <w:rsid w:val="00E42D3E"/>
    <w:rsid w:val="00E42FFC"/>
    <w:rsid w:val="00E4346F"/>
    <w:rsid w:val="00E434FD"/>
    <w:rsid w:val="00E43590"/>
    <w:rsid w:val="00E4389A"/>
    <w:rsid w:val="00E43B10"/>
    <w:rsid w:val="00E43B38"/>
    <w:rsid w:val="00E43BCE"/>
    <w:rsid w:val="00E43D30"/>
    <w:rsid w:val="00E43DDA"/>
    <w:rsid w:val="00E43E95"/>
    <w:rsid w:val="00E43ECA"/>
    <w:rsid w:val="00E441BC"/>
    <w:rsid w:val="00E446CD"/>
    <w:rsid w:val="00E448AA"/>
    <w:rsid w:val="00E44964"/>
    <w:rsid w:val="00E44AF0"/>
    <w:rsid w:val="00E44B12"/>
    <w:rsid w:val="00E44F58"/>
    <w:rsid w:val="00E450D1"/>
    <w:rsid w:val="00E4529B"/>
    <w:rsid w:val="00E452D1"/>
    <w:rsid w:val="00E45475"/>
    <w:rsid w:val="00E454EB"/>
    <w:rsid w:val="00E45849"/>
    <w:rsid w:val="00E45970"/>
    <w:rsid w:val="00E459C6"/>
    <w:rsid w:val="00E45C52"/>
    <w:rsid w:val="00E45D7A"/>
    <w:rsid w:val="00E45F97"/>
    <w:rsid w:val="00E460F4"/>
    <w:rsid w:val="00E46429"/>
    <w:rsid w:val="00E4658F"/>
    <w:rsid w:val="00E465FD"/>
    <w:rsid w:val="00E468F3"/>
    <w:rsid w:val="00E46915"/>
    <w:rsid w:val="00E46AD1"/>
    <w:rsid w:val="00E46C34"/>
    <w:rsid w:val="00E47064"/>
    <w:rsid w:val="00E4762F"/>
    <w:rsid w:val="00E4766F"/>
    <w:rsid w:val="00E4779B"/>
    <w:rsid w:val="00E478A2"/>
    <w:rsid w:val="00E47A49"/>
    <w:rsid w:val="00E47BE6"/>
    <w:rsid w:val="00E47DAF"/>
    <w:rsid w:val="00E47EBB"/>
    <w:rsid w:val="00E47F54"/>
    <w:rsid w:val="00E50540"/>
    <w:rsid w:val="00E507D9"/>
    <w:rsid w:val="00E50A27"/>
    <w:rsid w:val="00E5104B"/>
    <w:rsid w:val="00E51166"/>
    <w:rsid w:val="00E51435"/>
    <w:rsid w:val="00E5179E"/>
    <w:rsid w:val="00E51952"/>
    <w:rsid w:val="00E519A6"/>
    <w:rsid w:val="00E51E16"/>
    <w:rsid w:val="00E51E39"/>
    <w:rsid w:val="00E51E49"/>
    <w:rsid w:val="00E520D7"/>
    <w:rsid w:val="00E52362"/>
    <w:rsid w:val="00E531D1"/>
    <w:rsid w:val="00E5322F"/>
    <w:rsid w:val="00E53255"/>
    <w:rsid w:val="00E53374"/>
    <w:rsid w:val="00E535D0"/>
    <w:rsid w:val="00E53A80"/>
    <w:rsid w:val="00E53DB5"/>
    <w:rsid w:val="00E5400C"/>
    <w:rsid w:val="00E54223"/>
    <w:rsid w:val="00E5442D"/>
    <w:rsid w:val="00E544DC"/>
    <w:rsid w:val="00E5454C"/>
    <w:rsid w:val="00E54767"/>
    <w:rsid w:val="00E5487C"/>
    <w:rsid w:val="00E5491F"/>
    <w:rsid w:val="00E54A67"/>
    <w:rsid w:val="00E54D08"/>
    <w:rsid w:val="00E54E39"/>
    <w:rsid w:val="00E5536A"/>
    <w:rsid w:val="00E55400"/>
    <w:rsid w:val="00E55594"/>
    <w:rsid w:val="00E55988"/>
    <w:rsid w:val="00E55BCF"/>
    <w:rsid w:val="00E55BEA"/>
    <w:rsid w:val="00E55CE9"/>
    <w:rsid w:val="00E55D09"/>
    <w:rsid w:val="00E55D1D"/>
    <w:rsid w:val="00E56193"/>
    <w:rsid w:val="00E56197"/>
    <w:rsid w:val="00E562C3"/>
    <w:rsid w:val="00E5665A"/>
    <w:rsid w:val="00E566FB"/>
    <w:rsid w:val="00E567CD"/>
    <w:rsid w:val="00E567CE"/>
    <w:rsid w:val="00E56A63"/>
    <w:rsid w:val="00E56D31"/>
    <w:rsid w:val="00E5723A"/>
    <w:rsid w:val="00E57401"/>
    <w:rsid w:val="00E575DA"/>
    <w:rsid w:val="00E57741"/>
    <w:rsid w:val="00E5799D"/>
    <w:rsid w:val="00E57D42"/>
    <w:rsid w:val="00E57E49"/>
    <w:rsid w:val="00E57EA0"/>
    <w:rsid w:val="00E57F14"/>
    <w:rsid w:val="00E57F46"/>
    <w:rsid w:val="00E60262"/>
    <w:rsid w:val="00E6043C"/>
    <w:rsid w:val="00E60627"/>
    <w:rsid w:val="00E6071E"/>
    <w:rsid w:val="00E607F9"/>
    <w:rsid w:val="00E608CE"/>
    <w:rsid w:val="00E60BCB"/>
    <w:rsid w:val="00E60C01"/>
    <w:rsid w:val="00E60C2C"/>
    <w:rsid w:val="00E6132B"/>
    <w:rsid w:val="00E613F3"/>
    <w:rsid w:val="00E61B10"/>
    <w:rsid w:val="00E61C0D"/>
    <w:rsid w:val="00E61F99"/>
    <w:rsid w:val="00E620CC"/>
    <w:rsid w:val="00E6285D"/>
    <w:rsid w:val="00E628F5"/>
    <w:rsid w:val="00E629D0"/>
    <w:rsid w:val="00E62A20"/>
    <w:rsid w:val="00E637D3"/>
    <w:rsid w:val="00E637E5"/>
    <w:rsid w:val="00E63848"/>
    <w:rsid w:val="00E6384D"/>
    <w:rsid w:val="00E639F3"/>
    <w:rsid w:val="00E63CBB"/>
    <w:rsid w:val="00E63DCA"/>
    <w:rsid w:val="00E63EB4"/>
    <w:rsid w:val="00E644F0"/>
    <w:rsid w:val="00E64510"/>
    <w:rsid w:val="00E6486C"/>
    <w:rsid w:val="00E6493D"/>
    <w:rsid w:val="00E64975"/>
    <w:rsid w:val="00E64AB1"/>
    <w:rsid w:val="00E64FF7"/>
    <w:rsid w:val="00E653CA"/>
    <w:rsid w:val="00E6549C"/>
    <w:rsid w:val="00E65ACD"/>
    <w:rsid w:val="00E65B0A"/>
    <w:rsid w:val="00E65C01"/>
    <w:rsid w:val="00E65C5A"/>
    <w:rsid w:val="00E65CF4"/>
    <w:rsid w:val="00E65EAA"/>
    <w:rsid w:val="00E65EE4"/>
    <w:rsid w:val="00E65F08"/>
    <w:rsid w:val="00E65FA6"/>
    <w:rsid w:val="00E66048"/>
    <w:rsid w:val="00E66089"/>
    <w:rsid w:val="00E6612A"/>
    <w:rsid w:val="00E66139"/>
    <w:rsid w:val="00E66160"/>
    <w:rsid w:val="00E66369"/>
    <w:rsid w:val="00E6641C"/>
    <w:rsid w:val="00E665F2"/>
    <w:rsid w:val="00E666A5"/>
    <w:rsid w:val="00E667F6"/>
    <w:rsid w:val="00E66826"/>
    <w:rsid w:val="00E66B45"/>
    <w:rsid w:val="00E66E62"/>
    <w:rsid w:val="00E66FDB"/>
    <w:rsid w:val="00E671D5"/>
    <w:rsid w:val="00E672CF"/>
    <w:rsid w:val="00E67481"/>
    <w:rsid w:val="00E674D1"/>
    <w:rsid w:val="00E676D2"/>
    <w:rsid w:val="00E67886"/>
    <w:rsid w:val="00E67A7C"/>
    <w:rsid w:val="00E67B92"/>
    <w:rsid w:val="00E70111"/>
    <w:rsid w:val="00E7024D"/>
    <w:rsid w:val="00E708D1"/>
    <w:rsid w:val="00E70A65"/>
    <w:rsid w:val="00E70C23"/>
    <w:rsid w:val="00E70D08"/>
    <w:rsid w:val="00E70DCC"/>
    <w:rsid w:val="00E70F3E"/>
    <w:rsid w:val="00E70F50"/>
    <w:rsid w:val="00E71263"/>
    <w:rsid w:val="00E7128F"/>
    <w:rsid w:val="00E71329"/>
    <w:rsid w:val="00E713DB"/>
    <w:rsid w:val="00E7167F"/>
    <w:rsid w:val="00E71703"/>
    <w:rsid w:val="00E71909"/>
    <w:rsid w:val="00E7195F"/>
    <w:rsid w:val="00E71BD6"/>
    <w:rsid w:val="00E71FE1"/>
    <w:rsid w:val="00E71FFE"/>
    <w:rsid w:val="00E720AF"/>
    <w:rsid w:val="00E72127"/>
    <w:rsid w:val="00E725FA"/>
    <w:rsid w:val="00E72AF1"/>
    <w:rsid w:val="00E72B6A"/>
    <w:rsid w:val="00E72E33"/>
    <w:rsid w:val="00E72FDF"/>
    <w:rsid w:val="00E73192"/>
    <w:rsid w:val="00E73950"/>
    <w:rsid w:val="00E739BF"/>
    <w:rsid w:val="00E73B53"/>
    <w:rsid w:val="00E73C6F"/>
    <w:rsid w:val="00E73C92"/>
    <w:rsid w:val="00E73EBB"/>
    <w:rsid w:val="00E73F32"/>
    <w:rsid w:val="00E741DF"/>
    <w:rsid w:val="00E7461A"/>
    <w:rsid w:val="00E7469A"/>
    <w:rsid w:val="00E7476D"/>
    <w:rsid w:val="00E748CD"/>
    <w:rsid w:val="00E74AE3"/>
    <w:rsid w:val="00E74C17"/>
    <w:rsid w:val="00E74D9C"/>
    <w:rsid w:val="00E751A2"/>
    <w:rsid w:val="00E752E1"/>
    <w:rsid w:val="00E75495"/>
    <w:rsid w:val="00E754F7"/>
    <w:rsid w:val="00E7559B"/>
    <w:rsid w:val="00E7575B"/>
    <w:rsid w:val="00E7594B"/>
    <w:rsid w:val="00E75D19"/>
    <w:rsid w:val="00E75DAE"/>
    <w:rsid w:val="00E75F2F"/>
    <w:rsid w:val="00E760DF"/>
    <w:rsid w:val="00E761C9"/>
    <w:rsid w:val="00E76204"/>
    <w:rsid w:val="00E76801"/>
    <w:rsid w:val="00E768FC"/>
    <w:rsid w:val="00E76980"/>
    <w:rsid w:val="00E76FC1"/>
    <w:rsid w:val="00E7758E"/>
    <w:rsid w:val="00E77809"/>
    <w:rsid w:val="00E778A5"/>
    <w:rsid w:val="00E77C2B"/>
    <w:rsid w:val="00E77F4D"/>
    <w:rsid w:val="00E8068D"/>
    <w:rsid w:val="00E80748"/>
    <w:rsid w:val="00E807AD"/>
    <w:rsid w:val="00E8081F"/>
    <w:rsid w:val="00E80C62"/>
    <w:rsid w:val="00E810D9"/>
    <w:rsid w:val="00E81290"/>
    <w:rsid w:val="00E81296"/>
    <w:rsid w:val="00E813B1"/>
    <w:rsid w:val="00E81466"/>
    <w:rsid w:val="00E8172A"/>
    <w:rsid w:val="00E8181E"/>
    <w:rsid w:val="00E81A07"/>
    <w:rsid w:val="00E81C3C"/>
    <w:rsid w:val="00E81C64"/>
    <w:rsid w:val="00E81F6A"/>
    <w:rsid w:val="00E81FFA"/>
    <w:rsid w:val="00E820CE"/>
    <w:rsid w:val="00E82388"/>
    <w:rsid w:val="00E823FB"/>
    <w:rsid w:val="00E824B3"/>
    <w:rsid w:val="00E82840"/>
    <w:rsid w:val="00E829C8"/>
    <w:rsid w:val="00E82A21"/>
    <w:rsid w:val="00E82CD4"/>
    <w:rsid w:val="00E82F88"/>
    <w:rsid w:val="00E82F9C"/>
    <w:rsid w:val="00E831EF"/>
    <w:rsid w:val="00E83603"/>
    <w:rsid w:val="00E8363B"/>
    <w:rsid w:val="00E83762"/>
    <w:rsid w:val="00E83805"/>
    <w:rsid w:val="00E83B0B"/>
    <w:rsid w:val="00E83E51"/>
    <w:rsid w:val="00E83F7C"/>
    <w:rsid w:val="00E842A8"/>
    <w:rsid w:val="00E8466A"/>
    <w:rsid w:val="00E84966"/>
    <w:rsid w:val="00E84A52"/>
    <w:rsid w:val="00E84B13"/>
    <w:rsid w:val="00E84E15"/>
    <w:rsid w:val="00E852AC"/>
    <w:rsid w:val="00E856E2"/>
    <w:rsid w:val="00E858D1"/>
    <w:rsid w:val="00E859BA"/>
    <w:rsid w:val="00E85CF0"/>
    <w:rsid w:val="00E85FA2"/>
    <w:rsid w:val="00E86190"/>
    <w:rsid w:val="00E86565"/>
    <w:rsid w:val="00E869C9"/>
    <w:rsid w:val="00E86BDF"/>
    <w:rsid w:val="00E86DB3"/>
    <w:rsid w:val="00E86F36"/>
    <w:rsid w:val="00E87124"/>
    <w:rsid w:val="00E8726C"/>
    <w:rsid w:val="00E87612"/>
    <w:rsid w:val="00E876B0"/>
    <w:rsid w:val="00E8775D"/>
    <w:rsid w:val="00E87BA7"/>
    <w:rsid w:val="00E87E2D"/>
    <w:rsid w:val="00E87E35"/>
    <w:rsid w:val="00E87F9C"/>
    <w:rsid w:val="00E9017B"/>
    <w:rsid w:val="00E90316"/>
    <w:rsid w:val="00E9049E"/>
    <w:rsid w:val="00E905A5"/>
    <w:rsid w:val="00E907F2"/>
    <w:rsid w:val="00E90858"/>
    <w:rsid w:val="00E909FD"/>
    <w:rsid w:val="00E90C63"/>
    <w:rsid w:val="00E90CED"/>
    <w:rsid w:val="00E90FD8"/>
    <w:rsid w:val="00E9113A"/>
    <w:rsid w:val="00E914BE"/>
    <w:rsid w:val="00E914F2"/>
    <w:rsid w:val="00E91505"/>
    <w:rsid w:val="00E9166A"/>
    <w:rsid w:val="00E9179C"/>
    <w:rsid w:val="00E91B53"/>
    <w:rsid w:val="00E91C50"/>
    <w:rsid w:val="00E92383"/>
    <w:rsid w:val="00E92393"/>
    <w:rsid w:val="00E927B9"/>
    <w:rsid w:val="00E928A1"/>
    <w:rsid w:val="00E92975"/>
    <w:rsid w:val="00E92D4A"/>
    <w:rsid w:val="00E92D6F"/>
    <w:rsid w:val="00E92F19"/>
    <w:rsid w:val="00E92FEA"/>
    <w:rsid w:val="00E930BE"/>
    <w:rsid w:val="00E9329A"/>
    <w:rsid w:val="00E93366"/>
    <w:rsid w:val="00E93AED"/>
    <w:rsid w:val="00E93C53"/>
    <w:rsid w:val="00E93CA6"/>
    <w:rsid w:val="00E93F76"/>
    <w:rsid w:val="00E94361"/>
    <w:rsid w:val="00E94453"/>
    <w:rsid w:val="00E944B4"/>
    <w:rsid w:val="00E94854"/>
    <w:rsid w:val="00E94939"/>
    <w:rsid w:val="00E94CEA"/>
    <w:rsid w:val="00E94F88"/>
    <w:rsid w:val="00E95219"/>
    <w:rsid w:val="00E953A3"/>
    <w:rsid w:val="00E9548F"/>
    <w:rsid w:val="00E955C5"/>
    <w:rsid w:val="00E9588E"/>
    <w:rsid w:val="00E95912"/>
    <w:rsid w:val="00E95A42"/>
    <w:rsid w:val="00E95BC5"/>
    <w:rsid w:val="00E95BCC"/>
    <w:rsid w:val="00E95D21"/>
    <w:rsid w:val="00E9615F"/>
    <w:rsid w:val="00E9625E"/>
    <w:rsid w:val="00E962AD"/>
    <w:rsid w:val="00E96377"/>
    <w:rsid w:val="00E96582"/>
    <w:rsid w:val="00E96856"/>
    <w:rsid w:val="00E96AC4"/>
    <w:rsid w:val="00E96C53"/>
    <w:rsid w:val="00E96CE3"/>
    <w:rsid w:val="00E96F35"/>
    <w:rsid w:val="00E96F8F"/>
    <w:rsid w:val="00E974C4"/>
    <w:rsid w:val="00E974DE"/>
    <w:rsid w:val="00E97606"/>
    <w:rsid w:val="00E976F0"/>
    <w:rsid w:val="00E97AB7"/>
    <w:rsid w:val="00E97ACD"/>
    <w:rsid w:val="00E97B55"/>
    <w:rsid w:val="00E97B73"/>
    <w:rsid w:val="00E9D0A4"/>
    <w:rsid w:val="00EA04F1"/>
    <w:rsid w:val="00EA05E3"/>
    <w:rsid w:val="00EA0834"/>
    <w:rsid w:val="00EA0836"/>
    <w:rsid w:val="00EA08C5"/>
    <w:rsid w:val="00EA0F39"/>
    <w:rsid w:val="00EA0F49"/>
    <w:rsid w:val="00EA103D"/>
    <w:rsid w:val="00EA1981"/>
    <w:rsid w:val="00EA1B3A"/>
    <w:rsid w:val="00EA1EEB"/>
    <w:rsid w:val="00EA1EF7"/>
    <w:rsid w:val="00EA1F4E"/>
    <w:rsid w:val="00EA1F65"/>
    <w:rsid w:val="00EA1FEF"/>
    <w:rsid w:val="00EA2107"/>
    <w:rsid w:val="00EA2109"/>
    <w:rsid w:val="00EA23DB"/>
    <w:rsid w:val="00EA2B84"/>
    <w:rsid w:val="00EA2BB7"/>
    <w:rsid w:val="00EA2C6B"/>
    <w:rsid w:val="00EA2EF5"/>
    <w:rsid w:val="00EA3018"/>
    <w:rsid w:val="00EA3820"/>
    <w:rsid w:val="00EA3D6E"/>
    <w:rsid w:val="00EA4053"/>
    <w:rsid w:val="00EA4074"/>
    <w:rsid w:val="00EA479F"/>
    <w:rsid w:val="00EA4AE2"/>
    <w:rsid w:val="00EA4BE5"/>
    <w:rsid w:val="00EA4EB5"/>
    <w:rsid w:val="00EA4FF7"/>
    <w:rsid w:val="00EA5371"/>
    <w:rsid w:val="00EA56C2"/>
    <w:rsid w:val="00EA576C"/>
    <w:rsid w:val="00EA583E"/>
    <w:rsid w:val="00EA5DA8"/>
    <w:rsid w:val="00EA5DCB"/>
    <w:rsid w:val="00EA5DD3"/>
    <w:rsid w:val="00EA621A"/>
    <w:rsid w:val="00EA6341"/>
    <w:rsid w:val="00EA6488"/>
    <w:rsid w:val="00EA6742"/>
    <w:rsid w:val="00EA6BCC"/>
    <w:rsid w:val="00EA705D"/>
    <w:rsid w:val="00EA70F7"/>
    <w:rsid w:val="00EA725C"/>
    <w:rsid w:val="00EA728B"/>
    <w:rsid w:val="00EA731E"/>
    <w:rsid w:val="00EA7484"/>
    <w:rsid w:val="00EA78FB"/>
    <w:rsid w:val="00EA7D25"/>
    <w:rsid w:val="00EA7D8E"/>
    <w:rsid w:val="00EA7E2E"/>
    <w:rsid w:val="00EA7E89"/>
    <w:rsid w:val="00EA7FF8"/>
    <w:rsid w:val="00EB02B3"/>
    <w:rsid w:val="00EB0306"/>
    <w:rsid w:val="00EB0830"/>
    <w:rsid w:val="00EB0A5F"/>
    <w:rsid w:val="00EB0C15"/>
    <w:rsid w:val="00EB0C7C"/>
    <w:rsid w:val="00EB0E36"/>
    <w:rsid w:val="00EB0EFA"/>
    <w:rsid w:val="00EB0F3A"/>
    <w:rsid w:val="00EB10ED"/>
    <w:rsid w:val="00EB145C"/>
    <w:rsid w:val="00EB1557"/>
    <w:rsid w:val="00EB165A"/>
    <w:rsid w:val="00EB17EA"/>
    <w:rsid w:val="00EB1E18"/>
    <w:rsid w:val="00EB211A"/>
    <w:rsid w:val="00EB2205"/>
    <w:rsid w:val="00EB28E1"/>
    <w:rsid w:val="00EB2A9D"/>
    <w:rsid w:val="00EB2AAD"/>
    <w:rsid w:val="00EB2ADE"/>
    <w:rsid w:val="00EB2E83"/>
    <w:rsid w:val="00EB2F0F"/>
    <w:rsid w:val="00EB30FF"/>
    <w:rsid w:val="00EB3366"/>
    <w:rsid w:val="00EB37AE"/>
    <w:rsid w:val="00EB3A62"/>
    <w:rsid w:val="00EB3D48"/>
    <w:rsid w:val="00EB3E4B"/>
    <w:rsid w:val="00EB4174"/>
    <w:rsid w:val="00EB41EE"/>
    <w:rsid w:val="00EB4627"/>
    <w:rsid w:val="00EB489B"/>
    <w:rsid w:val="00EB49ED"/>
    <w:rsid w:val="00EB4BD0"/>
    <w:rsid w:val="00EB4E4C"/>
    <w:rsid w:val="00EB4FBC"/>
    <w:rsid w:val="00EB50F1"/>
    <w:rsid w:val="00EB54DE"/>
    <w:rsid w:val="00EB58FF"/>
    <w:rsid w:val="00EB5DF0"/>
    <w:rsid w:val="00EB60E4"/>
    <w:rsid w:val="00EB6361"/>
    <w:rsid w:val="00EB63A3"/>
    <w:rsid w:val="00EB66F7"/>
    <w:rsid w:val="00EB6A1C"/>
    <w:rsid w:val="00EB6A3C"/>
    <w:rsid w:val="00EB6CC4"/>
    <w:rsid w:val="00EB6DB3"/>
    <w:rsid w:val="00EB6FE0"/>
    <w:rsid w:val="00EB77E4"/>
    <w:rsid w:val="00EB7A7E"/>
    <w:rsid w:val="00EB7ED5"/>
    <w:rsid w:val="00EB7FC6"/>
    <w:rsid w:val="00EB7FDE"/>
    <w:rsid w:val="00EB7FFA"/>
    <w:rsid w:val="00EC0074"/>
    <w:rsid w:val="00EC059A"/>
    <w:rsid w:val="00EC05F5"/>
    <w:rsid w:val="00EC06A3"/>
    <w:rsid w:val="00EC07C9"/>
    <w:rsid w:val="00EC089C"/>
    <w:rsid w:val="00EC08C6"/>
    <w:rsid w:val="00EC08DF"/>
    <w:rsid w:val="00EC0A30"/>
    <w:rsid w:val="00EC0A95"/>
    <w:rsid w:val="00EC0DE1"/>
    <w:rsid w:val="00EC0FE7"/>
    <w:rsid w:val="00EC10D7"/>
    <w:rsid w:val="00EC13C6"/>
    <w:rsid w:val="00EC15D2"/>
    <w:rsid w:val="00EC1A82"/>
    <w:rsid w:val="00EC1ACC"/>
    <w:rsid w:val="00EC1ADE"/>
    <w:rsid w:val="00EC1AE4"/>
    <w:rsid w:val="00EC1B9C"/>
    <w:rsid w:val="00EC1F9A"/>
    <w:rsid w:val="00EC2239"/>
    <w:rsid w:val="00EC274B"/>
    <w:rsid w:val="00EC293D"/>
    <w:rsid w:val="00EC2979"/>
    <w:rsid w:val="00EC2A07"/>
    <w:rsid w:val="00EC2A5A"/>
    <w:rsid w:val="00EC332B"/>
    <w:rsid w:val="00EC346F"/>
    <w:rsid w:val="00EC3555"/>
    <w:rsid w:val="00EC379A"/>
    <w:rsid w:val="00EC385B"/>
    <w:rsid w:val="00EC3934"/>
    <w:rsid w:val="00EC3ADB"/>
    <w:rsid w:val="00EC3C5B"/>
    <w:rsid w:val="00EC3D43"/>
    <w:rsid w:val="00EC3DD8"/>
    <w:rsid w:val="00EC405A"/>
    <w:rsid w:val="00EC4864"/>
    <w:rsid w:val="00EC4987"/>
    <w:rsid w:val="00EC4C4C"/>
    <w:rsid w:val="00EC5035"/>
    <w:rsid w:val="00EC5081"/>
    <w:rsid w:val="00EC53C1"/>
    <w:rsid w:val="00EC5407"/>
    <w:rsid w:val="00EC59DE"/>
    <w:rsid w:val="00EC5AC6"/>
    <w:rsid w:val="00EC5E69"/>
    <w:rsid w:val="00EC607B"/>
    <w:rsid w:val="00EC63CC"/>
    <w:rsid w:val="00EC63E4"/>
    <w:rsid w:val="00EC6747"/>
    <w:rsid w:val="00EC6767"/>
    <w:rsid w:val="00EC6924"/>
    <w:rsid w:val="00EC6B24"/>
    <w:rsid w:val="00EC6B6F"/>
    <w:rsid w:val="00EC6BF5"/>
    <w:rsid w:val="00EC6F7E"/>
    <w:rsid w:val="00EC718B"/>
    <w:rsid w:val="00EC72FD"/>
    <w:rsid w:val="00EC753B"/>
    <w:rsid w:val="00EC7661"/>
    <w:rsid w:val="00EC7694"/>
    <w:rsid w:val="00EC7A3C"/>
    <w:rsid w:val="00EC7C18"/>
    <w:rsid w:val="00EC7D3A"/>
    <w:rsid w:val="00EC7F05"/>
    <w:rsid w:val="00ED0082"/>
    <w:rsid w:val="00ED00DC"/>
    <w:rsid w:val="00ED0327"/>
    <w:rsid w:val="00ED07E2"/>
    <w:rsid w:val="00ED08FA"/>
    <w:rsid w:val="00ED09E9"/>
    <w:rsid w:val="00ED0AA7"/>
    <w:rsid w:val="00ED0E41"/>
    <w:rsid w:val="00ED0F45"/>
    <w:rsid w:val="00ED10F4"/>
    <w:rsid w:val="00ED125D"/>
    <w:rsid w:val="00ED1603"/>
    <w:rsid w:val="00ED1741"/>
    <w:rsid w:val="00ED196B"/>
    <w:rsid w:val="00ED1B50"/>
    <w:rsid w:val="00ED1B52"/>
    <w:rsid w:val="00ED1CE5"/>
    <w:rsid w:val="00ED1EF8"/>
    <w:rsid w:val="00ED20FB"/>
    <w:rsid w:val="00ED2707"/>
    <w:rsid w:val="00ED2C00"/>
    <w:rsid w:val="00ED2CB2"/>
    <w:rsid w:val="00ED319B"/>
    <w:rsid w:val="00ED34D5"/>
    <w:rsid w:val="00ED376E"/>
    <w:rsid w:val="00ED3793"/>
    <w:rsid w:val="00ED393E"/>
    <w:rsid w:val="00ED3AD8"/>
    <w:rsid w:val="00ED429F"/>
    <w:rsid w:val="00ED44E2"/>
    <w:rsid w:val="00ED477D"/>
    <w:rsid w:val="00ED4D4E"/>
    <w:rsid w:val="00ED4D6A"/>
    <w:rsid w:val="00ED5298"/>
    <w:rsid w:val="00ED546C"/>
    <w:rsid w:val="00ED55BB"/>
    <w:rsid w:val="00ED58C8"/>
    <w:rsid w:val="00ED5B32"/>
    <w:rsid w:val="00ED5C5A"/>
    <w:rsid w:val="00ED61E2"/>
    <w:rsid w:val="00ED65FC"/>
    <w:rsid w:val="00ED6638"/>
    <w:rsid w:val="00ED6AFD"/>
    <w:rsid w:val="00ED6FEA"/>
    <w:rsid w:val="00ED73DB"/>
    <w:rsid w:val="00ED7801"/>
    <w:rsid w:val="00ED7832"/>
    <w:rsid w:val="00ED7AD7"/>
    <w:rsid w:val="00ED7D0D"/>
    <w:rsid w:val="00ED7EFD"/>
    <w:rsid w:val="00ED7FAD"/>
    <w:rsid w:val="00EE0212"/>
    <w:rsid w:val="00EE027D"/>
    <w:rsid w:val="00EE069A"/>
    <w:rsid w:val="00EE0783"/>
    <w:rsid w:val="00EE0C77"/>
    <w:rsid w:val="00EE10C9"/>
    <w:rsid w:val="00EE13CA"/>
    <w:rsid w:val="00EE18F1"/>
    <w:rsid w:val="00EE1AF2"/>
    <w:rsid w:val="00EE1DB2"/>
    <w:rsid w:val="00EE1EB9"/>
    <w:rsid w:val="00EE1FAB"/>
    <w:rsid w:val="00EE2331"/>
    <w:rsid w:val="00EE2496"/>
    <w:rsid w:val="00EE24E7"/>
    <w:rsid w:val="00EE281B"/>
    <w:rsid w:val="00EE28CF"/>
    <w:rsid w:val="00EE2984"/>
    <w:rsid w:val="00EE2CFE"/>
    <w:rsid w:val="00EE2FB5"/>
    <w:rsid w:val="00EE31CF"/>
    <w:rsid w:val="00EE3242"/>
    <w:rsid w:val="00EE327B"/>
    <w:rsid w:val="00EE3288"/>
    <w:rsid w:val="00EE33E3"/>
    <w:rsid w:val="00EE3662"/>
    <w:rsid w:val="00EE3862"/>
    <w:rsid w:val="00EE38B0"/>
    <w:rsid w:val="00EE39E7"/>
    <w:rsid w:val="00EE3B9D"/>
    <w:rsid w:val="00EE3C57"/>
    <w:rsid w:val="00EE3ECC"/>
    <w:rsid w:val="00EE413B"/>
    <w:rsid w:val="00EE4289"/>
    <w:rsid w:val="00EE487C"/>
    <w:rsid w:val="00EE49B8"/>
    <w:rsid w:val="00EE4A5B"/>
    <w:rsid w:val="00EE4A77"/>
    <w:rsid w:val="00EE4B73"/>
    <w:rsid w:val="00EE4D86"/>
    <w:rsid w:val="00EE4E54"/>
    <w:rsid w:val="00EE4ECD"/>
    <w:rsid w:val="00EE5016"/>
    <w:rsid w:val="00EE5049"/>
    <w:rsid w:val="00EE511E"/>
    <w:rsid w:val="00EE52AD"/>
    <w:rsid w:val="00EE5382"/>
    <w:rsid w:val="00EE53E2"/>
    <w:rsid w:val="00EE54D9"/>
    <w:rsid w:val="00EE59B1"/>
    <w:rsid w:val="00EE5C3B"/>
    <w:rsid w:val="00EE5D02"/>
    <w:rsid w:val="00EE676F"/>
    <w:rsid w:val="00EE6999"/>
    <w:rsid w:val="00EE6B12"/>
    <w:rsid w:val="00EE6C3D"/>
    <w:rsid w:val="00EE6CE5"/>
    <w:rsid w:val="00EE6CEA"/>
    <w:rsid w:val="00EE6E09"/>
    <w:rsid w:val="00EE6F9C"/>
    <w:rsid w:val="00EE71AE"/>
    <w:rsid w:val="00EE771C"/>
    <w:rsid w:val="00EE7A7E"/>
    <w:rsid w:val="00EE7A88"/>
    <w:rsid w:val="00EE7F21"/>
    <w:rsid w:val="00EF03FA"/>
    <w:rsid w:val="00EF09CB"/>
    <w:rsid w:val="00EF0B20"/>
    <w:rsid w:val="00EF0C20"/>
    <w:rsid w:val="00EF0C9F"/>
    <w:rsid w:val="00EF0DA7"/>
    <w:rsid w:val="00EF0F3E"/>
    <w:rsid w:val="00EF1380"/>
    <w:rsid w:val="00EF15A1"/>
    <w:rsid w:val="00EF1B2A"/>
    <w:rsid w:val="00EF1CE4"/>
    <w:rsid w:val="00EF2049"/>
    <w:rsid w:val="00EF217E"/>
    <w:rsid w:val="00EF2757"/>
    <w:rsid w:val="00EF2953"/>
    <w:rsid w:val="00EF2BAB"/>
    <w:rsid w:val="00EF3196"/>
    <w:rsid w:val="00EF33BD"/>
    <w:rsid w:val="00EF3800"/>
    <w:rsid w:val="00EF3829"/>
    <w:rsid w:val="00EF4334"/>
    <w:rsid w:val="00EF47F9"/>
    <w:rsid w:val="00EF4F5D"/>
    <w:rsid w:val="00EF4FBB"/>
    <w:rsid w:val="00EF4FC1"/>
    <w:rsid w:val="00EF529D"/>
    <w:rsid w:val="00EF571A"/>
    <w:rsid w:val="00EF59A9"/>
    <w:rsid w:val="00EF59DD"/>
    <w:rsid w:val="00EF5E96"/>
    <w:rsid w:val="00EF5F9E"/>
    <w:rsid w:val="00EF63DD"/>
    <w:rsid w:val="00EF6995"/>
    <w:rsid w:val="00EF6FE9"/>
    <w:rsid w:val="00EF7436"/>
    <w:rsid w:val="00EF757F"/>
    <w:rsid w:val="00EF77C8"/>
    <w:rsid w:val="00EF7BD8"/>
    <w:rsid w:val="00EF7E0B"/>
    <w:rsid w:val="00F00AA4"/>
    <w:rsid w:val="00F00DB0"/>
    <w:rsid w:val="00F015ED"/>
    <w:rsid w:val="00F01727"/>
    <w:rsid w:val="00F01781"/>
    <w:rsid w:val="00F01982"/>
    <w:rsid w:val="00F01BA1"/>
    <w:rsid w:val="00F020B8"/>
    <w:rsid w:val="00F02203"/>
    <w:rsid w:val="00F02210"/>
    <w:rsid w:val="00F0233E"/>
    <w:rsid w:val="00F02758"/>
    <w:rsid w:val="00F027E3"/>
    <w:rsid w:val="00F02803"/>
    <w:rsid w:val="00F02A5E"/>
    <w:rsid w:val="00F02E62"/>
    <w:rsid w:val="00F02E6C"/>
    <w:rsid w:val="00F02FB4"/>
    <w:rsid w:val="00F02FDA"/>
    <w:rsid w:val="00F0301A"/>
    <w:rsid w:val="00F0350B"/>
    <w:rsid w:val="00F0357C"/>
    <w:rsid w:val="00F03760"/>
    <w:rsid w:val="00F03C6B"/>
    <w:rsid w:val="00F03D49"/>
    <w:rsid w:val="00F03DCD"/>
    <w:rsid w:val="00F03E7A"/>
    <w:rsid w:val="00F03F18"/>
    <w:rsid w:val="00F03F72"/>
    <w:rsid w:val="00F040C9"/>
    <w:rsid w:val="00F04118"/>
    <w:rsid w:val="00F0440E"/>
    <w:rsid w:val="00F04639"/>
    <w:rsid w:val="00F04D1F"/>
    <w:rsid w:val="00F04D73"/>
    <w:rsid w:val="00F05210"/>
    <w:rsid w:val="00F05459"/>
    <w:rsid w:val="00F0549A"/>
    <w:rsid w:val="00F05858"/>
    <w:rsid w:val="00F059B9"/>
    <w:rsid w:val="00F05C46"/>
    <w:rsid w:val="00F05EE3"/>
    <w:rsid w:val="00F061F3"/>
    <w:rsid w:val="00F0671C"/>
    <w:rsid w:val="00F0695A"/>
    <w:rsid w:val="00F06969"/>
    <w:rsid w:val="00F06B9D"/>
    <w:rsid w:val="00F073BF"/>
    <w:rsid w:val="00F07802"/>
    <w:rsid w:val="00F0790A"/>
    <w:rsid w:val="00F07C5B"/>
    <w:rsid w:val="00F1023A"/>
    <w:rsid w:val="00F10438"/>
    <w:rsid w:val="00F104FF"/>
    <w:rsid w:val="00F106CD"/>
    <w:rsid w:val="00F10803"/>
    <w:rsid w:val="00F10949"/>
    <w:rsid w:val="00F10B7E"/>
    <w:rsid w:val="00F11096"/>
    <w:rsid w:val="00F1128E"/>
    <w:rsid w:val="00F11370"/>
    <w:rsid w:val="00F11657"/>
    <w:rsid w:val="00F117BC"/>
    <w:rsid w:val="00F1180A"/>
    <w:rsid w:val="00F11826"/>
    <w:rsid w:val="00F11D0B"/>
    <w:rsid w:val="00F11E1C"/>
    <w:rsid w:val="00F125E4"/>
    <w:rsid w:val="00F129D0"/>
    <w:rsid w:val="00F12C4A"/>
    <w:rsid w:val="00F13228"/>
    <w:rsid w:val="00F133B9"/>
    <w:rsid w:val="00F133D2"/>
    <w:rsid w:val="00F13643"/>
    <w:rsid w:val="00F13743"/>
    <w:rsid w:val="00F1398E"/>
    <w:rsid w:val="00F13F69"/>
    <w:rsid w:val="00F1407F"/>
    <w:rsid w:val="00F1431F"/>
    <w:rsid w:val="00F1433E"/>
    <w:rsid w:val="00F14368"/>
    <w:rsid w:val="00F143FB"/>
    <w:rsid w:val="00F14680"/>
    <w:rsid w:val="00F14868"/>
    <w:rsid w:val="00F14E73"/>
    <w:rsid w:val="00F14FEA"/>
    <w:rsid w:val="00F15096"/>
    <w:rsid w:val="00F15156"/>
    <w:rsid w:val="00F1565C"/>
    <w:rsid w:val="00F15864"/>
    <w:rsid w:val="00F158AB"/>
    <w:rsid w:val="00F15A22"/>
    <w:rsid w:val="00F162B9"/>
    <w:rsid w:val="00F16849"/>
    <w:rsid w:val="00F16895"/>
    <w:rsid w:val="00F169C6"/>
    <w:rsid w:val="00F169F6"/>
    <w:rsid w:val="00F16A95"/>
    <w:rsid w:val="00F16F35"/>
    <w:rsid w:val="00F17023"/>
    <w:rsid w:val="00F171D6"/>
    <w:rsid w:val="00F171DA"/>
    <w:rsid w:val="00F17358"/>
    <w:rsid w:val="00F17649"/>
    <w:rsid w:val="00F178EB"/>
    <w:rsid w:val="00F17AA3"/>
    <w:rsid w:val="00F17C4E"/>
    <w:rsid w:val="00F17F3A"/>
    <w:rsid w:val="00F19DD4"/>
    <w:rsid w:val="00F2006B"/>
    <w:rsid w:val="00F20088"/>
    <w:rsid w:val="00F200B0"/>
    <w:rsid w:val="00F20DDF"/>
    <w:rsid w:val="00F21003"/>
    <w:rsid w:val="00F2147F"/>
    <w:rsid w:val="00F2161B"/>
    <w:rsid w:val="00F21A60"/>
    <w:rsid w:val="00F21BB0"/>
    <w:rsid w:val="00F21BEE"/>
    <w:rsid w:val="00F222B2"/>
    <w:rsid w:val="00F222D9"/>
    <w:rsid w:val="00F22927"/>
    <w:rsid w:val="00F22C4D"/>
    <w:rsid w:val="00F22C5B"/>
    <w:rsid w:val="00F23477"/>
    <w:rsid w:val="00F237C2"/>
    <w:rsid w:val="00F239CD"/>
    <w:rsid w:val="00F241B4"/>
    <w:rsid w:val="00F24227"/>
    <w:rsid w:val="00F24738"/>
    <w:rsid w:val="00F24796"/>
    <w:rsid w:val="00F2487E"/>
    <w:rsid w:val="00F24EBE"/>
    <w:rsid w:val="00F25222"/>
    <w:rsid w:val="00F2531D"/>
    <w:rsid w:val="00F25D52"/>
    <w:rsid w:val="00F25DF5"/>
    <w:rsid w:val="00F25F8B"/>
    <w:rsid w:val="00F262BC"/>
    <w:rsid w:val="00F263BE"/>
    <w:rsid w:val="00F26474"/>
    <w:rsid w:val="00F266F5"/>
    <w:rsid w:val="00F266F7"/>
    <w:rsid w:val="00F26D71"/>
    <w:rsid w:val="00F26D8A"/>
    <w:rsid w:val="00F26E1A"/>
    <w:rsid w:val="00F26EF9"/>
    <w:rsid w:val="00F27060"/>
    <w:rsid w:val="00F27095"/>
    <w:rsid w:val="00F273E1"/>
    <w:rsid w:val="00F27432"/>
    <w:rsid w:val="00F27495"/>
    <w:rsid w:val="00F27541"/>
    <w:rsid w:val="00F2768D"/>
    <w:rsid w:val="00F2784D"/>
    <w:rsid w:val="00F27977"/>
    <w:rsid w:val="00F27A34"/>
    <w:rsid w:val="00F27A62"/>
    <w:rsid w:val="00F27B12"/>
    <w:rsid w:val="00F27D99"/>
    <w:rsid w:val="00F27FF3"/>
    <w:rsid w:val="00F300F0"/>
    <w:rsid w:val="00F3018E"/>
    <w:rsid w:val="00F301C9"/>
    <w:rsid w:val="00F301DA"/>
    <w:rsid w:val="00F30274"/>
    <w:rsid w:val="00F30B21"/>
    <w:rsid w:val="00F3139A"/>
    <w:rsid w:val="00F3155A"/>
    <w:rsid w:val="00F3167C"/>
    <w:rsid w:val="00F3191A"/>
    <w:rsid w:val="00F31BD2"/>
    <w:rsid w:val="00F3224F"/>
    <w:rsid w:val="00F32284"/>
    <w:rsid w:val="00F325A6"/>
    <w:rsid w:val="00F32A62"/>
    <w:rsid w:val="00F32EA0"/>
    <w:rsid w:val="00F32F4A"/>
    <w:rsid w:val="00F3304B"/>
    <w:rsid w:val="00F3346F"/>
    <w:rsid w:val="00F33754"/>
    <w:rsid w:val="00F33939"/>
    <w:rsid w:val="00F3396A"/>
    <w:rsid w:val="00F33B66"/>
    <w:rsid w:val="00F33C73"/>
    <w:rsid w:val="00F33CB1"/>
    <w:rsid w:val="00F341FA"/>
    <w:rsid w:val="00F34277"/>
    <w:rsid w:val="00F343B4"/>
    <w:rsid w:val="00F3442E"/>
    <w:rsid w:val="00F347CD"/>
    <w:rsid w:val="00F348A4"/>
    <w:rsid w:val="00F348E6"/>
    <w:rsid w:val="00F34BBB"/>
    <w:rsid w:val="00F34C02"/>
    <w:rsid w:val="00F34CB8"/>
    <w:rsid w:val="00F34D15"/>
    <w:rsid w:val="00F34F39"/>
    <w:rsid w:val="00F34F8F"/>
    <w:rsid w:val="00F35136"/>
    <w:rsid w:val="00F354E2"/>
    <w:rsid w:val="00F35560"/>
    <w:rsid w:val="00F355CC"/>
    <w:rsid w:val="00F356B6"/>
    <w:rsid w:val="00F3577E"/>
    <w:rsid w:val="00F3581A"/>
    <w:rsid w:val="00F358B8"/>
    <w:rsid w:val="00F3597D"/>
    <w:rsid w:val="00F35D42"/>
    <w:rsid w:val="00F35DE8"/>
    <w:rsid w:val="00F35E70"/>
    <w:rsid w:val="00F36752"/>
    <w:rsid w:val="00F3677C"/>
    <w:rsid w:val="00F367FE"/>
    <w:rsid w:val="00F36971"/>
    <w:rsid w:val="00F36AF6"/>
    <w:rsid w:val="00F36DFC"/>
    <w:rsid w:val="00F37208"/>
    <w:rsid w:val="00F37E31"/>
    <w:rsid w:val="00F403A2"/>
    <w:rsid w:val="00F406CC"/>
    <w:rsid w:val="00F40A3E"/>
    <w:rsid w:val="00F40B46"/>
    <w:rsid w:val="00F40D07"/>
    <w:rsid w:val="00F41013"/>
    <w:rsid w:val="00F41125"/>
    <w:rsid w:val="00F411DB"/>
    <w:rsid w:val="00F412C1"/>
    <w:rsid w:val="00F41312"/>
    <w:rsid w:val="00F41753"/>
    <w:rsid w:val="00F41768"/>
    <w:rsid w:val="00F424F7"/>
    <w:rsid w:val="00F4262F"/>
    <w:rsid w:val="00F42B9A"/>
    <w:rsid w:val="00F42BDA"/>
    <w:rsid w:val="00F42D21"/>
    <w:rsid w:val="00F42F15"/>
    <w:rsid w:val="00F43027"/>
    <w:rsid w:val="00F436BB"/>
    <w:rsid w:val="00F43976"/>
    <w:rsid w:val="00F43B89"/>
    <w:rsid w:val="00F44116"/>
    <w:rsid w:val="00F4471D"/>
    <w:rsid w:val="00F448BA"/>
    <w:rsid w:val="00F44AE5"/>
    <w:rsid w:val="00F44B52"/>
    <w:rsid w:val="00F44F69"/>
    <w:rsid w:val="00F4509C"/>
    <w:rsid w:val="00F452EE"/>
    <w:rsid w:val="00F4535C"/>
    <w:rsid w:val="00F45548"/>
    <w:rsid w:val="00F45611"/>
    <w:rsid w:val="00F45839"/>
    <w:rsid w:val="00F459C0"/>
    <w:rsid w:val="00F45E5C"/>
    <w:rsid w:val="00F45FBF"/>
    <w:rsid w:val="00F462F3"/>
    <w:rsid w:val="00F464B1"/>
    <w:rsid w:val="00F466D4"/>
    <w:rsid w:val="00F468EE"/>
    <w:rsid w:val="00F46914"/>
    <w:rsid w:val="00F46A96"/>
    <w:rsid w:val="00F46DB5"/>
    <w:rsid w:val="00F46FBA"/>
    <w:rsid w:val="00F47145"/>
    <w:rsid w:val="00F4737D"/>
    <w:rsid w:val="00F4774A"/>
    <w:rsid w:val="00F479C6"/>
    <w:rsid w:val="00F47DAB"/>
    <w:rsid w:val="00F47DD4"/>
    <w:rsid w:val="00F47DDF"/>
    <w:rsid w:val="00F47E27"/>
    <w:rsid w:val="00F50039"/>
    <w:rsid w:val="00F501D0"/>
    <w:rsid w:val="00F502BA"/>
    <w:rsid w:val="00F50414"/>
    <w:rsid w:val="00F5060E"/>
    <w:rsid w:val="00F5095F"/>
    <w:rsid w:val="00F50A35"/>
    <w:rsid w:val="00F50D8E"/>
    <w:rsid w:val="00F5106E"/>
    <w:rsid w:val="00F510A2"/>
    <w:rsid w:val="00F51A3D"/>
    <w:rsid w:val="00F51FD1"/>
    <w:rsid w:val="00F520F8"/>
    <w:rsid w:val="00F52184"/>
    <w:rsid w:val="00F522E5"/>
    <w:rsid w:val="00F5234B"/>
    <w:rsid w:val="00F52674"/>
    <w:rsid w:val="00F52681"/>
    <w:rsid w:val="00F52B3E"/>
    <w:rsid w:val="00F52BAD"/>
    <w:rsid w:val="00F52C85"/>
    <w:rsid w:val="00F52EF1"/>
    <w:rsid w:val="00F530A9"/>
    <w:rsid w:val="00F53366"/>
    <w:rsid w:val="00F53472"/>
    <w:rsid w:val="00F53A4A"/>
    <w:rsid w:val="00F54062"/>
    <w:rsid w:val="00F54087"/>
    <w:rsid w:val="00F543A5"/>
    <w:rsid w:val="00F545BF"/>
    <w:rsid w:val="00F546D2"/>
    <w:rsid w:val="00F54734"/>
    <w:rsid w:val="00F5473E"/>
    <w:rsid w:val="00F54859"/>
    <w:rsid w:val="00F54A37"/>
    <w:rsid w:val="00F54CC3"/>
    <w:rsid w:val="00F54F9B"/>
    <w:rsid w:val="00F550DA"/>
    <w:rsid w:val="00F5542B"/>
    <w:rsid w:val="00F556E8"/>
    <w:rsid w:val="00F559D8"/>
    <w:rsid w:val="00F55D63"/>
    <w:rsid w:val="00F561C2"/>
    <w:rsid w:val="00F562BA"/>
    <w:rsid w:val="00F56320"/>
    <w:rsid w:val="00F56533"/>
    <w:rsid w:val="00F56646"/>
    <w:rsid w:val="00F56820"/>
    <w:rsid w:val="00F569B2"/>
    <w:rsid w:val="00F56ACF"/>
    <w:rsid w:val="00F56AF6"/>
    <w:rsid w:val="00F56C93"/>
    <w:rsid w:val="00F56DFB"/>
    <w:rsid w:val="00F56EB0"/>
    <w:rsid w:val="00F56FB8"/>
    <w:rsid w:val="00F57003"/>
    <w:rsid w:val="00F57139"/>
    <w:rsid w:val="00F57258"/>
    <w:rsid w:val="00F57384"/>
    <w:rsid w:val="00F573B9"/>
    <w:rsid w:val="00F57818"/>
    <w:rsid w:val="00F578B2"/>
    <w:rsid w:val="00F57CD4"/>
    <w:rsid w:val="00F57D53"/>
    <w:rsid w:val="00F57F32"/>
    <w:rsid w:val="00F5D60C"/>
    <w:rsid w:val="00F600AD"/>
    <w:rsid w:val="00F601E6"/>
    <w:rsid w:val="00F60DA4"/>
    <w:rsid w:val="00F60F26"/>
    <w:rsid w:val="00F6105F"/>
    <w:rsid w:val="00F610C9"/>
    <w:rsid w:val="00F614E1"/>
    <w:rsid w:val="00F615BC"/>
    <w:rsid w:val="00F61646"/>
    <w:rsid w:val="00F618A6"/>
    <w:rsid w:val="00F61D5E"/>
    <w:rsid w:val="00F61E61"/>
    <w:rsid w:val="00F61F23"/>
    <w:rsid w:val="00F61FD0"/>
    <w:rsid w:val="00F621A5"/>
    <w:rsid w:val="00F621E4"/>
    <w:rsid w:val="00F622C5"/>
    <w:rsid w:val="00F62AFD"/>
    <w:rsid w:val="00F62B3D"/>
    <w:rsid w:val="00F62F37"/>
    <w:rsid w:val="00F630A9"/>
    <w:rsid w:val="00F63270"/>
    <w:rsid w:val="00F63441"/>
    <w:rsid w:val="00F6351C"/>
    <w:rsid w:val="00F63653"/>
    <w:rsid w:val="00F638DD"/>
    <w:rsid w:val="00F639D3"/>
    <w:rsid w:val="00F63F30"/>
    <w:rsid w:val="00F63F58"/>
    <w:rsid w:val="00F64641"/>
    <w:rsid w:val="00F64736"/>
    <w:rsid w:val="00F64999"/>
    <w:rsid w:val="00F64AF1"/>
    <w:rsid w:val="00F64D99"/>
    <w:rsid w:val="00F64E75"/>
    <w:rsid w:val="00F64EF6"/>
    <w:rsid w:val="00F651AB"/>
    <w:rsid w:val="00F651B4"/>
    <w:rsid w:val="00F6520A"/>
    <w:rsid w:val="00F6526B"/>
    <w:rsid w:val="00F65365"/>
    <w:rsid w:val="00F65591"/>
    <w:rsid w:val="00F65856"/>
    <w:rsid w:val="00F6593A"/>
    <w:rsid w:val="00F65DC8"/>
    <w:rsid w:val="00F65E17"/>
    <w:rsid w:val="00F660A5"/>
    <w:rsid w:val="00F6614A"/>
    <w:rsid w:val="00F66383"/>
    <w:rsid w:val="00F6665C"/>
    <w:rsid w:val="00F66A4A"/>
    <w:rsid w:val="00F66C86"/>
    <w:rsid w:val="00F67E2D"/>
    <w:rsid w:val="00F7038F"/>
    <w:rsid w:val="00F705FC"/>
    <w:rsid w:val="00F7060C"/>
    <w:rsid w:val="00F70761"/>
    <w:rsid w:val="00F70826"/>
    <w:rsid w:val="00F70A68"/>
    <w:rsid w:val="00F70BB4"/>
    <w:rsid w:val="00F70D88"/>
    <w:rsid w:val="00F70ED3"/>
    <w:rsid w:val="00F70FF2"/>
    <w:rsid w:val="00F710EC"/>
    <w:rsid w:val="00F7138A"/>
    <w:rsid w:val="00F71816"/>
    <w:rsid w:val="00F71821"/>
    <w:rsid w:val="00F71B56"/>
    <w:rsid w:val="00F71B93"/>
    <w:rsid w:val="00F71F59"/>
    <w:rsid w:val="00F72370"/>
    <w:rsid w:val="00F7266E"/>
    <w:rsid w:val="00F727F9"/>
    <w:rsid w:val="00F72D81"/>
    <w:rsid w:val="00F72EAC"/>
    <w:rsid w:val="00F73047"/>
    <w:rsid w:val="00F730FC"/>
    <w:rsid w:val="00F734ED"/>
    <w:rsid w:val="00F73B95"/>
    <w:rsid w:val="00F7407A"/>
    <w:rsid w:val="00F741B0"/>
    <w:rsid w:val="00F7449E"/>
    <w:rsid w:val="00F753B1"/>
    <w:rsid w:val="00F75590"/>
    <w:rsid w:val="00F7560D"/>
    <w:rsid w:val="00F7581D"/>
    <w:rsid w:val="00F758F7"/>
    <w:rsid w:val="00F75B97"/>
    <w:rsid w:val="00F75DDC"/>
    <w:rsid w:val="00F75ED9"/>
    <w:rsid w:val="00F76034"/>
    <w:rsid w:val="00F76B35"/>
    <w:rsid w:val="00F76D33"/>
    <w:rsid w:val="00F76E8F"/>
    <w:rsid w:val="00F7727E"/>
    <w:rsid w:val="00F77521"/>
    <w:rsid w:val="00F77A06"/>
    <w:rsid w:val="00F77A38"/>
    <w:rsid w:val="00F77BD4"/>
    <w:rsid w:val="00F77BEC"/>
    <w:rsid w:val="00F77C37"/>
    <w:rsid w:val="00F80147"/>
    <w:rsid w:val="00F8022F"/>
    <w:rsid w:val="00F80647"/>
    <w:rsid w:val="00F809CF"/>
    <w:rsid w:val="00F81030"/>
    <w:rsid w:val="00F81052"/>
    <w:rsid w:val="00F81100"/>
    <w:rsid w:val="00F8116D"/>
    <w:rsid w:val="00F811EE"/>
    <w:rsid w:val="00F81314"/>
    <w:rsid w:val="00F8164A"/>
    <w:rsid w:val="00F81667"/>
    <w:rsid w:val="00F81DD2"/>
    <w:rsid w:val="00F81F50"/>
    <w:rsid w:val="00F82032"/>
    <w:rsid w:val="00F822A9"/>
    <w:rsid w:val="00F82344"/>
    <w:rsid w:val="00F823CC"/>
    <w:rsid w:val="00F82583"/>
    <w:rsid w:val="00F82623"/>
    <w:rsid w:val="00F829B6"/>
    <w:rsid w:val="00F82ADA"/>
    <w:rsid w:val="00F82BAE"/>
    <w:rsid w:val="00F82BE3"/>
    <w:rsid w:val="00F82D8C"/>
    <w:rsid w:val="00F82D9E"/>
    <w:rsid w:val="00F82EDA"/>
    <w:rsid w:val="00F82F33"/>
    <w:rsid w:val="00F82FD9"/>
    <w:rsid w:val="00F832C8"/>
    <w:rsid w:val="00F83349"/>
    <w:rsid w:val="00F8374F"/>
    <w:rsid w:val="00F83AC0"/>
    <w:rsid w:val="00F83B13"/>
    <w:rsid w:val="00F83E2E"/>
    <w:rsid w:val="00F83F02"/>
    <w:rsid w:val="00F83F96"/>
    <w:rsid w:val="00F84081"/>
    <w:rsid w:val="00F842DC"/>
    <w:rsid w:val="00F843DB"/>
    <w:rsid w:val="00F8451A"/>
    <w:rsid w:val="00F84A9B"/>
    <w:rsid w:val="00F84D11"/>
    <w:rsid w:val="00F84E45"/>
    <w:rsid w:val="00F85272"/>
    <w:rsid w:val="00F856BB"/>
    <w:rsid w:val="00F8591A"/>
    <w:rsid w:val="00F85B17"/>
    <w:rsid w:val="00F85CD3"/>
    <w:rsid w:val="00F85EFC"/>
    <w:rsid w:val="00F85F24"/>
    <w:rsid w:val="00F85FC9"/>
    <w:rsid w:val="00F8609F"/>
    <w:rsid w:val="00F86437"/>
    <w:rsid w:val="00F86AA6"/>
    <w:rsid w:val="00F86F07"/>
    <w:rsid w:val="00F87115"/>
    <w:rsid w:val="00F8725B"/>
    <w:rsid w:val="00F873B3"/>
    <w:rsid w:val="00F874BD"/>
    <w:rsid w:val="00F87600"/>
    <w:rsid w:val="00F8762E"/>
    <w:rsid w:val="00F876BF"/>
    <w:rsid w:val="00F876D9"/>
    <w:rsid w:val="00F87844"/>
    <w:rsid w:val="00F87E8F"/>
    <w:rsid w:val="00F890C6"/>
    <w:rsid w:val="00F905FD"/>
    <w:rsid w:val="00F90749"/>
    <w:rsid w:val="00F907D2"/>
    <w:rsid w:val="00F9083E"/>
    <w:rsid w:val="00F90B0D"/>
    <w:rsid w:val="00F9104B"/>
    <w:rsid w:val="00F9123E"/>
    <w:rsid w:val="00F91630"/>
    <w:rsid w:val="00F9183B"/>
    <w:rsid w:val="00F918D0"/>
    <w:rsid w:val="00F91A1D"/>
    <w:rsid w:val="00F91BE7"/>
    <w:rsid w:val="00F91CA7"/>
    <w:rsid w:val="00F91ED5"/>
    <w:rsid w:val="00F91EF9"/>
    <w:rsid w:val="00F91FF8"/>
    <w:rsid w:val="00F920FF"/>
    <w:rsid w:val="00F92109"/>
    <w:rsid w:val="00F92169"/>
    <w:rsid w:val="00F92261"/>
    <w:rsid w:val="00F925AB"/>
    <w:rsid w:val="00F92728"/>
    <w:rsid w:val="00F92796"/>
    <w:rsid w:val="00F92D7F"/>
    <w:rsid w:val="00F92DB1"/>
    <w:rsid w:val="00F92E0A"/>
    <w:rsid w:val="00F92E6F"/>
    <w:rsid w:val="00F93484"/>
    <w:rsid w:val="00F93669"/>
    <w:rsid w:val="00F937C0"/>
    <w:rsid w:val="00F93827"/>
    <w:rsid w:val="00F939DF"/>
    <w:rsid w:val="00F93AAB"/>
    <w:rsid w:val="00F93D5A"/>
    <w:rsid w:val="00F93E3D"/>
    <w:rsid w:val="00F93EDF"/>
    <w:rsid w:val="00F94334"/>
    <w:rsid w:val="00F944E9"/>
    <w:rsid w:val="00F94848"/>
    <w:rsid w:val="00F94AA3"/>
    <w:rsid w:val="00F94B90"/>
    <w:rsid w:val="00F94D36"/>
    <w:rsid w:val="00F94DB4"/>
    <w:rsid w:val="00F94DC5"/>
    <w:rsid w:val="00F94E2A"/>
    <w:rsid w:val="00F94F32"/>
    <w:rsid w:val="00F95148"/>
    <w:rsid w:val="00F95336"/>
    <w:rsid w:val="00F953A6"/>
    <w:rsid w:val="00F95610"/>
    <w:rsid w:val="00F95841"/>
    <w:rsid w:val="00F95904"/>
    <w:rsid w:val="00F95B3F"/>
    <w:rsid w:val="00F95C0E"/>
    <w:rsid w:val="00F95C57"/>
    <w:rsid w:val="00F95CE6"/>
    <w:rsid w:val="00F95DC3"/>
    <w:rsid w:val="00F96261"/>
    <w:rsid w:val="00F9634F"/>
    <w:rsid w:val="00F965A2"/>
    <w:rsid w:val="00F965CD"/>
    <w:rsid w:val="00F96809"/>
    <w:rsid w:val="00F96838"/>
    <w:rsid w:val="00F96856"/>
    <w:rsid w:val="00F9697A"/>
    <w:rsid w:val="00F96A16"/>
    <w:rsid w:val="00F96AA6"/>
    <w:rsid w:val="00F96CAC"/>
    <w:rsid w:val="00F96F0A"/>
    <w:rsid w:val="00F970FE"/>
    <w:rsid w:val="00F9719D"/>
    <w:rsid w:val="00F97325"/>
    <w:rsid w:val="00F97ABD"/>
    <w:rsid w:val="00F97C06"/>
    <w:rsid w:val="00F97D49"/>
    <w:rsid w:val="00F97FE7"/>
    <w:rsid w:val="00FA01C4"/>
    <w:rsid w:val="00FA01D9"/>
    <w:rsid w:val="00FA04FA"/>
    <w:rsid w:val="00FA0B38"/>
    <w:rsid w:val="00FA0B4A"/>
    <w:rsid w:val="00FA1138"/>
    <w:rsid w:val="00FA1447"/>
    <w:rsid w:val="00FA1968"/>
    <w:rsid w:val="00FA1D58"/>
    <w:rsid w:val="00FA227D"/>
    <w:rsid w:val="00FA23E9"/>
    <w:rsid w:val="00FA26A3"/>
    <w:rsid w:val="00FA28F1"/>
    <w:rsid w:val="00FA29B2"/>
    <w:rsid w:val="00FA2BB6"/>
    <w:rsid w:val="00FA2D7E"/>
    <w:rsid w:val="00FA30CE"/>
    <w:rsid w:val="00FA320B"/>
    <w:rsid w:val="00FA33FE"/>
    <w:rsid w:val="00FA3604"/>
    <w:rsid w:val="00FA398A"/>
    <w:rsid w:val="00FA3A1F"/>
    <w:rsid w:val="00FA42B9"/>
    <w:rsid w:val="00FA475C"/>
    <w:rsid w:val="00FA4851"/>
    <w:rsid w:val="00FA4889"/>
    <w:rsid w:val="00FA510B"/>
    <w:rsid w:val="00FA534B"/>
    <w:rsid w:val="00FA571F"/>
    <w:rsid w:val="00FA5744"/>
    <w:rsid w:val="00FA5F53"/>
    <w:rsid w:val="00FA60DE"/>
    <w:rsid w:val="00FA65A6"/>
    <w:rsid w:val="00FA6790"/>
    <w:rsid w:val="00FA6916"/>
    <w:rsid w:val="00FA6F34"/>
    <w:rsid w:val="00FA7231"/>
    <w:rsid w:val="00FA7322"/>
    <w:rsid w:val="00FA755A"/>
    <w:rsid w:val="00FA75B7"/>
    <w:rsid w:val="00FA76FF"/>
    <w:rsid w:val="00FA7BEB"/>
    <w:rsid w:val="00FA7CF4"/>
    <w:rsid w:val="00FA7F59"/>
    <w:rsid w:val="00FB040C"/>
    <w:rsid w:val="00FB04EF"/>
    <w:rsid w:val="00FB04FF"/>
    <w:rsid w:val="00FB057B"/>
    <w:rsid w:val="00FB08C6"/>
    <w:rsid w:val="00FB0932"/>
    <w:rsid w:val="00FB0C6B"/>
    <w:rsid w:val="00FB0CA0"/>
    <w:rsid w:val="00FB0DA5"/>
    <w:rsid w:val="00FB0E8C"/>
    <w:rsid w:val="00FB0EB0"/>
    <w:rsid w:val="00FB0ECE"/>
    <w:rsid w:val="00FB1045"/>
    <w:rsid w:val="00FB11C7"/>
    <w:rsid w:val="00FB1372"/>
    <w:rsid w:val="00FB1EBD"/>
    <w:rsid w:val="00FB205C"/>
    <w:rsid w:val="00FB2504"/>
    <w:rsid w:val="00FB27EE"/>
    <w:rsid w:val="00FB2990"/>
    <w:rsid w:val="00FB2B0F"/>
    <w:rsid w:val="00FB2B11"/>
    <w:rsid w:val="00FB3243"/>
    <w:rsid w:val="00FB333F"/>
    <w:rsid w:val="00FB3470"/>
    <w:rsid w:val="00FB3582"/>
    <w:rsid w:val="00FB3660"/>
    <w:rsid w:val="00FB3B16"/>
    <w:rsid w:val="00FB3B8E"/>
    <w:rsid w:val="00FB3DA4"/>
    <w:rsid w:val="00FB3E57"/>
    <w:rsid w:val="00FB41E1"/>
    <w:rsid w:val="00FB4715"/>
    <w:rsid w:val="00FB4791"/>
    <w:rsid w:val="00FB4CAC"/>
    <w:rsid w:val="00FB4CC1"/>
    <w:rsid w:val="00FB4E0A"/>
    <w:rsid w:val="00FB4F2B"/>
    <w:rsid w:val="00FB4F6B"/>
    <w:rsid w:val="00FB52A7"/>
    <w:rsid w:val="00FB54C4"/>
    <w:rsid w:val="00FB56B1"/>
    <w:rsid w:val="00FB56C5"/>
    <w:rsid w:val="00FB5783"/>
    <w:rsid w:val="00FB5B31"/>
    <w:rsid w:val="00FB5B37"/>
    <w:rsid w:val="00FB5FE1"/>
    <w:rsid w:val="00FB6147"/>
    <w:rsid w:val="00FB61C8"/>
    <w:rsid w:val="00FB66AA"/>
    <w:rsid w:val="00FB69F2"/>
    <w:rsid w:val="00FB6F96"/>
    <w:rsid w:val="00FB7027"/>
    <w:rsid w:val="00FB7059"/>
    <w:rsid w:val="00FB7200"/>
    <w:rsid w:val="00FB741D"/>
    <w:rsid w:val="00FB7596"/>
    <w:rsid w:val="00FB764A"/>
    <w:rsid w:val="00FB799F"/>
    <w:rsid w:val="00FB7B67"/>
    <w:rsid w:val="00FB7CE5"/>
    <w:rsid w:val="00FB7DD5"/>
    <w:rsid w:val="00FC0248"/>
    <w:rsid w:val="00FC0D6D"/>
    <w:rsid w:val="00FC0E8D"/>
    <w:rsid w:val="00FC0FDA"/>
    <w:rsid w:val="00FC1326"/>
    <w:rsid w:val="00FC14DB"/>
    <w:rsid w:val="00FC1557"/>
    <w:rsid w:val="00FC16F1"/>
    <w:rsid w:val="00FC19D8"/>
    <w:rsid w:val="00FC2773"/>
    <w:rsid w:val="00FC2B48"/>
    <w:rsid w:val="00FC2C6B"/>
    <w:rsid w:val="00FC2D4A"/>
    <w:rsid w:val="00FC396C"/>
    <w:rsid w:val="00FC3B6B"/>
    <w:rsid w:val="00FC3D2C"/>
    <w:rsid w:val="00FC3DBA"/>
    <w:rsid w:val="00FC3EAF"/>
    <w:rsid w:val="00FC4141"/>
    <w:rsid w:val="00FC4209"/>
    <w:rsid w:val="00FC424A"/>
    <w:rsid w:val="00FC4369"/>
    <w:rsid w:val="00FC44B9"/>
    <w:rsid w:val="00FC44F3"/>
    <w:rsid w:val="00FC46EF"/>
    <w:rsid w:val="00FC4777"/>
    <w:rsid w:val="00FC4C2F"/>
    <w:rsid w:val="00FC5345"/>
    <w:rsid w:val="00FC5399"/>
    <w:rsid w:val="00FC544C"/>
    <w:rsid w:val="00FC54E4"/>
    <w:rsid w:val="00FC5521"/>
    <w:rsid w:val="00FC558F"/>
    <w:rsid w:val="00FC577F"/>
    <w:rsid w:val="00FC5885"/>
    <w:rsid w:val="00FC5A8D"/>
    <w:rsid w:val="00FC5C18"/>
    <w:rsid w:val="00FC5FF9"/>
    <w:rsid w:val="00FC63A8"/>
    <w:rsid w:val="00FC666C"/>
    <w:rsid w:val="00FC6745"/>
    <w:rsid w:val="00FC6B43"/>
    <w:rsid w:val="00FC6C3F"/>
    <w:rsid w:val="00FC6D2A"/>
    <w:rsid w:val="00FC727E"/>
    <w:rsid w:val="00FC79F7"/>
    <w:rsid w:val="00FC7A27"/>
    <w:rsid w:val="00FC7DF4"/>
    <w:rsid w:val="00FC7F66"/>
    <w:rsid w:val="00FD0187"/>
    <w:rsid w:val="00FD01CB"/>
    <w:rsid w:val="00FD0223"/>
    <w:rsid w:val="00FD0646"/>
    <w:rsid w:val="00FD06D1"/>
    <w:rsid w:val="00FD0B9F"/>
    <w:rsid w:val="00FD0FB1"/>
    <w:rsid w:val="00FD18C8"/>
    <w:rsid w:val="00FD1BB5"/>
    <w:rsid w:val="00FD1BEF"/>
    <w:rsid w:val="00FD1C3B"/>
    <w:rsid w:val="00FD1CC3"/>
    <w:rsid w:val="00FD1DC9"/>
    <w:rsid w:val="00FD1EC3"/>
    <w:rsid w:val="00FD1F5D"/>
    <w:rsid w:val="00FD1FFA"/>
    <w:rsid w:val="00FD2137"/>
    <w:rsid w:val="00FD2701"/>
    <w:rsid w:val="00FD28BD"/>
    <w:rsid w:val="00FD2BAA"/>
    <w:rsid w:val="00FD2E4D"/>
    <w:rsid w:val="00FD2F3B"/>
    <w:rsid w:val="00FD2F4A"/>
    <w:rsid w:val="00FD2FDD"/>
    <w:rsid w:val="00FD31B3"/>
    <w:rsid w:val="00FD39AE"/>
    <w:rsid w:val="00FD3A0F"/>
    <w:rsid w:val="00FD3A47"/>
    <w:rsid w:val="00FD3A58"/>
    <w:rsid w:val="00FD3B4B"/>
    <w:rsid w:val="00FD3BAD"/>
    <w:rsid w:val="00FD3C48"/>
    <w:rsid w:val="00FD3CFC"/>
    <w:rsid w:val="00FD402F"/>
    <w:rsid w:val="00FD4116"/>
    <w:rsid w:val="00FD4204"/>
    <w:rsid w:val="00FD42DC"/>
    <w:rsid w:val="00FD4342"/>
    <w:rsid w:val="00FD4BF2"/>
    <w:rsid w:val="00FD4E6D"/>
    <w:rsid w:val="00FD5777"/>
    <w:rsid w:val="00FD5782"/>
    <w:rsid w:val="00FD580B"/>
    <w:rsid w:val="00FD5DFC"/>
    <w:rsid w:val="00FD63DF"/>
    <w:rsid w:val="00FD645B"/>
    <w:rsid w:val="00FD6477"/>
    <w:rsid w:val="00FD66D5"/>
    <w:rsid w:val="00FD691C"/>
    <w:rsid w:val="00FD69E9"/>
    <w:rsid w:val="00FD6BA0"/>
    <w:rsid w:val="00FD6C06"/>
    <w:rsid w:val="00FD6C4D"/>
    <w:rsid w:val="00FD6C77"/>
    <w:rsid w:val="00FD6D2A"/>
    <w:rsid w:val="00FD6FBB"/>
    <w:rsid w:val="00FD71F5"/>
    <w:rsid w:val="00FD7515"/>
    <w:rsid w:val="00FD759D"/>
    <w:rsid w:val="00FD76CE"/>
    <w:rsid w:val="00FD76E5"/>
    <w:rsid w:val="00FD7899"/>
    <w:rsid w:val="00FD7A53"/>
    <w:rsid w:val="00FD7A59"/>
    <w:rsid w:val="00FD7C1C"/>
    <w:rsid w:val="00FD7C41"/>
    <w:rsid w:val="00FD7E63"/>
    <w:rsid w:val="00FD7F13"/>
    <w:rsid w:val="00FE027D"/>
    <w:rsid w:val="00FE0281"/>
    <w:rsid w:val="00FE0394"/>
    <w:rsid w:val="00FE05A2"/>
    <w:rsid w:val="00FE05AC"/>
    <w:rsid w:val="00FE0761"/>
    <w:rsid w:val="00FE081C"/>
    <w:rsid w:val="00FE09ED"/>
    <w:rsid w:val="00FE0B67"/>
    <w:rsid w:val="00FE0CC9"/>
    <w:rsid w:val="00FE0D0F"/>
    <w:rsid w:val="00FE0F31"/>
    <w:rsid w:val="00FE1002"/>
    <w:rsid w:val="00FE1358"/>
    <w:rsid w:val="00FE1463"/>
    <w:rsid w:val="00FE15AF"/>
    <w:rsid w:val="00FE1738"/>
    <w:rsid w:val="00FE1E91"/>
    <w:rsid w:val="00FE21E6"/>
    <w:rsid w:val="00FE2410"/>
    <w:rsid w:val="00FE265A"/>
    <w:rsid w:val="00FE2693"/>
    <w:rsid w:val="00FE2FF4"/>
    <w:rsid w:val="00FE3429"/>
    <w:rsid w:val="00FE34EE"/>
    <w:rsid w:val="00FE351D"/>
    <w:rsid w:val="00FE3A93"/>
    <w:rsid w:val="00FE3AB8"/>
    <w:rsid w:val="00FE3B20"/>
    <w:rsid w:val="00FE3D41"/>
    <w:rsid w:val="00FE3D4F"/>
    <w:rsid w:val="00FE3E1D"/>
    <w:rsid w:val="00FE4000"/>
    <w:rsid w:val="00FE421B"/>
    <w:rsid w:val="00FE442C"/>
    <w:rsid w:val="00FE4580"/>
    <w:rsid w:val="00FE4935"/>
    <w:rsid w:val="00FE4C56"/>
    <w:rsid w:val="00FE5315"/>
    <w:rsid w:val="00FE5DF0"/>
    <w:rsid w:val="00FE5E4F"/>
    <w:rsid w:val="00FE5ECD"/>
    <w:rsid w:val="00FE5F0C"/>
    <w:rsid w:val="00FE62DD"/>
    <w:rsid w:val="00FE6DE7"/>
    <w:rsid w:val="00FE6E15"/>
    <w:rsid w:val="00FE7447"/>
    <w:rsid w:val="00FE749F"/>
    <w:rsid w:val="00FE7595"/>
    <w:rsid w:val="00FE7768"/>
    <w:rsid w:val="00FE77C5"/>
    <w:rsid w:val="00FE7A63"/>
    <w:rsid w:val="00FE7AEA"/>
    <w:rsid w:val="00FE7CE3"/>
    <w:rsid w:val="00FE7DA2"/>
    <w:rsid w:val="00FE7EB3"/>
    <w:rsid w:val="00FF01D1"/>
    <w:rsid w:val="00FF02F2"/>
    <w:rsid w:val="00FF0575"/>
    <w:rsid w:val="00FF0685"/>
    <w:rsid w:val="00FF0865"/>
    <w:rsid w:val="00FF0928"/>
    <w:rsid w:val="00FF1036"/>
    <w:rsid w:val="00FF11A6"/>
    <w:rsid w:val="00FF156F"/>
    <w:rsid w:val="00FF1BA0"/>
    <w:rsid w:val="00FF23F8"/>
    <w:rsid w:val="00FF2886"/>
    <w:rsid w:val="00FF28EB"/>
    <w:rsid w:val="00FF2B35"/>
    <w:rsid w:val="00FF2C4A"/>
    <w:rsid w:val="00FF2CB9"/>
    <w:rsid w:val="00FF39F9"/>
    <w:rsid w:val="00FF3C32"/>
    <w:rsid w:val="00FF3CCB"/>
    <w:rsid w:val="00FF3EAB"/>
    <w:rsid w:val="00FF407F"/>
    <w:rsid w:val="00FF40D1"/>
    <w:rsid w:val="00FF4448"/>
    <w:rsid w:val="00FF466E"/>
    <w:rsid w:val="00FF4F5E"/>
    <w:rsid w:val="00FF513B"/>
    <w:rsid w:val="00FF5402"/>
    <w:rsid w:val="00FF54E7"/>
    <w:rsid w:val="00FF5799"/>
    <w:rsid w:val="00FF57B5"/>
    <w:rsid w:val="00FF5847"/>
    <w:rsid w:val="00FF592D"/>
    <w:rsid w:val="00FF5B66"/>
    <w:rsid w:val="00FF604A"/>
    <w:rsid w:val="00FF61BF"/>
    <w:rsid w:val="00FF6435"/>
    <w:rsid w:val="00FF6CC5"/>
    <w:rsid w:val="00FF6D25"/>
    <w:rsid w:val="00FF6E79"/>
    <w:rsid w:val="00FF7252"/>
    <w:rsid w:val="00FF78DE"/>
    <w:rsid w:val="00FF7922"/>
    <w:rsid w:val="00FF7B12"/>
    <w:rsid w:val="00FF7EE7"/>
    <w:rsid w:val="010AD95F"/>
    <w:rsid w:val="010C0400"/>
    <w:rsid w:val="01122ACE"/>
    <w:rsid w:val="0113348F"/>
    <w:rsid w:val="01160E55"/>
    <w:rsid w:val="011C7E71"/>
    <w:rsid w:val="0129C8E9"/>
    <w:rsid w:val="01397531"/>
    <w:rsid w:val="0139AF13"/>
    <w:rsid w:val="014521D6"/>
    <w:rsid w:val="017BCEAD"/>
    <w:rsid w:val="01958948"/>
    <w:rsid w:val="019E8F80"/>
    <w:rsid w:val="01AD6270"/>
    <w:rsid w:val="01BAD08D"/>
    <w:rsid w:val="01BED6B2"/>
    <w:rsid w:val="01C7E539"/>
    <w:rsid w:val="01CCA39D"/>
    <w:rsid w:val="01D5C1C6"/>
    <w:rsid w:val="01E5C3C3"/>
    <w:rsid w:val="01E7CE95"/>
    <w:rsid w:val="01EB4F4C"/>
    <w:rsid w:val="01EF7CF1"/>
    <w:rsid w:val="01F32A8C"/>
    <w:rsid w:val="0205E9B9"/>
    <w:rsid w:val="020B5A26"/>
    <w:rsid w:val="0221A845"/>
    <w:rsid w:val="0228FD9C"/>
    <w:rsid w:val="022AEEB9"/>
    <w:rsid w:val="0236F832"/>
    <w:rsid w:val="0239EB80"/>
    <w:rsid w:val="0248B928"/>
    <w:rsid w:val="024DAD39"/>
    <w:rsid w:val="02560AAB"/>
    <w:rsid w:val="0262ABCA"/>
    <w:rsid w:val="0262DF8F"/>
    <w:rsid w:val="026342A2"/>
    <w:rsid w:val="026347FD"/>
    <w:rsid w:val="0271FDC8"/>
    <w:rsid w:val="027A083A"/>
    <w:rsid w:val="0280D732"/>
    <w:rsid w:val="0288C0A9"/>
    <w:rsid w:val="028ECFA1"/>
    <w:rsid w:val="029029E8"/>
    <w:rsid w:val="029E98BA"/>
    <w:rsid w:val="02AD7667"/>
    <w:rsid w:val="02B12A6F"/>
    <w:rsid w:val="02D62BC0"/>
    <w:rsid w:val="02E2DEA4"/>
    <w:rsid w:val="02EB318F"/>
    <w:rsid w:val="02ED9A82"/>
    <w:rsid w:val="02F15C72"/>
    <w:rsid w:val="02F22B67"/>
    <w:rsid w:val="02F4398E"/>
    <w:rsid w:val="02F709FE"/>
    <w:rsid w:val="0300586F"/>
    <w:rsid w:val="0301B0DA"/>
    <w:rsid w:val="0301BDF9"/>
    <w:rsid w:val="0307883B"/>
    <w:rsid w:val="030886B7"/>
    <w:rsid w:val="030DA142"/>
    <w:rsid w:val="030FE2CE"/>
    <w:rsid w:val="03206359"/>
    <w:rsid w:val="033D355D"/>
    <w:rsid w:val="033F05F0"/>
    <w:rsid w:val="034350F0"/>
    <w:rsid w:val="0346D6D0"/>
    <w:rsid w:val="03524303"/>
    <w:rsid w:val="0361A291"/>
    <w:rsid w:val="0364319F"/>
    <w:rsid w:val="0364BD1D"/>
    <w:rsid w:val="036866E1"/>
    <w:rsid w:val="0368AD2D"/>
    <w:rsid w:val="03694809"/>
    <w:rsid w:val="0370E2BB"/>
    <w:rsid w:val="037407D3"/>
    <w:rsid w:val="038035A4"/>
    <w:rsid w:val="03849A63"/>
    <w:rsid w:val="03883E3A"/>
    <w:rsid w:val="03A261BB"/>
    <w:rsid w:val="03B8E7CA"/>
    <w:rsid w:val="03BE1EE4"/>
    <w:rsid w:val="03D5AE1B"/>
    <w:rsid w:val="03D81580"/>
    <w:rsid w:val="03E7C1E4"/>
    <w:rsid w:val="03E93AE2"/>
    <w:rsid w:val="03EC104B"/>
    <w:rsid w:val="03F09317"/>
    <w:rsid w:val="03F92FF8"/>
    <w:rsid w:val="044060C7"/>
    <w:rsid w:val="04406F05"/>
    <w:rsid w:val="044CA070"/>
    <w:rsid w:val="045B6B1E"/>
    <w:rsid w:val="0464DDE8"/>
    <w:rsid w:val="04658381"/>
    <w:rsid w:val="0469F5FE"/>
    <w:rsid w:val="04788019"/>
    <w:rsid w:val="04AF37AF"/>
    <w:rsid w:val="04B414B4"/>
    <w:rsid w:val="04BADF5A"/>
    <w:rsid w:val="04BB327F"/>
    <w:rsid w:val="04C0442B"/>
    <w:rsid w:val="04DA6849"/>
    <w:rsid w:val="04E0A70D"/>
    <w:rsid w:val="04E478DC"/>
    <w:rsid w:val="04E7649A"/>
    <w:rsid w:val="04EA20CD"/>
    <w:rsid w:val="04EAFC01"/>
    <w:rsid w:val="0503FD62"/>
    <w:rsid w:val="05043742"/>
    <w:rsid w:val="050A6FCC"/>
    <w:rsid w:val="051579E8"/>
    <w:rsid w:val="0520AA04"/>
    <w:rsid w:val="0523426B"/>
    <w:rsid w:val="052ACD74"/>
    <w:rsid w:val="052BBE43"/>
    <w:rsid w:val="0533F814"/>
    <w:rsid w:val="05372DB6"/>
    <w:rsid w:val="0549E0FC"/>
    <w:rsid w:val="0550BB88"/>
    <w:rsid w:val="0554083C"/>
    <w:rsid w:val="055577A0"/>
    <w:rsid w:val="0555C016"/>
    <w:rsid w:val="056BB87D"/>
    <w:rsid w:val="056D21A4"/>
    <w:rsid w:val="0578D94D"/>
    <w:rsid w:val="058EF440"/>
    <w:rsid w:val="05922E3B"/>
    <w:rsid w:val="059CE4E3"/>
    <w:rsid w:val="059F0D89"/>
    <w:rsid w:val="05A9B989"/>
    <w:rsid w:val="05B0040E"/>
    <w:rsid w:val="05CEB6DD"/>
    <w:rsid w:val="05D25221"/>
    <w:rsid w:val="05D55DB6"/>
    <w:rsid w:val="05F6BBAB"/>
    <w:rsid w:val="05FA2489"/>
    <w:rsid w:val="05FDB1E2"/>
    <w:rsid w:val="05FF0A81"/>
    <w:rsid w:val="05FF67E7"/>
    <w:rsid w:val="06028DFA"/>
    <w:rsid w:val="0613C3F7"/>
    <w:rsid w:val="061E93E8"/>
    <w:rsid w:val="06226618"/>
    <w:rsid w:val="063BDFB5"/>
    <w:rsid w:val="064C07A1"/>
    <w:rsid w:val="0658F368"/>
    <w:rsid w:val="065A3341"/>
    <w:rsid w:val="066D3CBB"/>
    <w:rsid w:val="067647BA"/>
    <w:rsid w:val="0677CE87"/>
    <w:rsid w:val="068778EF"/>
    <w:rsid w:val="06901A09"/>
    <w:rsid w:val="06A007A3"/>
    <w:rsid w:val="06A13650"/>
    <w:rsid w:val="06A2F71B"/>
    <w:rsid w:val="06A3A7E1"/>
    <w:rsid w:val="06BFF4B2"/>
    <w:rsid w:val="06C88E30"/>
    <w:rsid w:val="06CD63A7"/>
    <w:rsid w:val="06DA027D"/>
    <w:rsid w:val="06EF409F"/>
    <w:rsid w:val="06FD8954"/>
    <w:rsid w:val="0703E249"/>
    <w:rsid w:val="07065EF5"/>
    <w:rsid w:val="07165B87"/>
    <w:rsid w:val="07178839"/>
    <w:rsid w:val="07182212"/>
    <w:rsid w:val="0720582C"/>
    <w:rsid w:val="07287855"/>
    <w:rsid w:val="0739DEB9"/>
    <w:rsid w:val="074DD593"/>
    <w:rsid w:val="075AD123"/>
    <w:rsid w:val="075B31C3"/>
    <w:rsid w:val="0779E155"/>
    <w:rsid w:val="077E31C6"/>
    <w:rsid w:val="078E4B9B"/>
    <w:rsid w:val="079B821D"/>
    <w:rsid w:val="07AE6E47"/>
    <w:rsid w:val="07B85EC9"/>
    <w:rsid w:val="07BED929"/>
    <w:rsid w:val="07BF0148"/>
    <w:rsid w:val="07C56A40"/>
    <w:rsid w:val="07CB9CC2"/>
    <w:rsid w:val="07D62E27"/>
    <w:rsid w:val="07E7EB0C"/>
    <w:rsid w:val="07E9D1F4"/>
    <w:rsid w:val="07EDCA29"/>
    <w:rsid w:val="07F35C57"/>
    <w:rsid w:val="0809FAD2"/>
    <w:rsid w:val="0823AD0D"/>
    <w:rsid w:val="0828205E"/>
    <w:rsid w:val="083652A5"/>
    <w:rsid w:val="08365E89"/>
    <w:rsid w:val="083CD1CA"/>
    <w:rsid w:val="0848D5E2"/>
    <w:rsid w:val="084C5AF9"/>
    <w:rsid w:val="08584AC6"/>
    <w:rsid w:val="08678473"/>
    <w:rsid w:val="087090C9"/>
    <w:rsid w:val="0870EE80"/>
    <w:rsid w:val="087410FC"/>
    <w:rsid w:val="0879ECC5"/>
    <w:rsid w:val="087AEE02"/>
    <w:rsid w:val="08801DCF"/>
    <w:rsid w:val="0882F2FE"/>
    <w:rsid w:val="089047F9"/>
    <w:rsid w:val="089A303D"/>
    <w:rsid w:val="08BA4B90"/>
    <w:rsid w:val="08C448B6"/>
    <w:rsid w:val="08C6BAFD"/>
    <w:rsid w:val="08D46CAD"/>
    <w:rsid w:val="08D5AD44"/>
    <w:rsid w:val="08DA07BD"/>
    <w:rsid w:val="08E976DC"/>
    <w:rsid w:val="08EA3592"/>
    <w:rsid w:val="08F6E4CA"/>
    <w:rsid w:val="08F7F331"/>
    <w:rsid w:val="08FCC2E7"/>
    <w:rsid w:val="08FEF07F"/>
    <w:rsid w:val="0904FB55"/>
    <w:rsid w:val="090729DF"/>
    <w:rsid w:val="0914BABF"/>
    <w:rsid w:val="092194F1"/>
    <w:rsid w:val="09233B65"/>
    <w:rsid w:val="092E38C1"/>
    <w:rsid w:val="092FBEDB"/>
    <w:rsid w:val="093B412C"/>
    <w:rsid w:val="09654398"/>
    <w:rsid w:val="097489B8"/>
    <w:rsid w:val="0978C45A"/>
    <w:rsid w:val="0981F1E3"/>
    <w:rsid w:val="09900D1B"/>
    <w:rsid w:val="099979B8"/>
    <w:rsid w:val="09A38561"/>
    <w:rsid w:val="09A5F99C"/>
    <w:rsid w:val="09A729E1"/>
    <w:rsid w:val="09A789D9"/>
    <w:rsid w:val="09AA6D77"/>
    <w:rsid w:val="09BD203D"/>
    <w:rsid w:val="09C5B9E2"/>
    <w:rsid w:val="09C98E9C"/>
    <w:rsid w:val="09D91078"/>
    <w:rsid w:val="09F4D215"/>
    <w:rsid w:val="09F77FBE"/>
    <w:rsid w:val="0A09E570"/>
    <w:rsid w:val="0A0D1C9A"/>
    <w:rsid w:val="0A1C5352"/>
    <w:rsid w:val="0A292A0C"/>
    <w:rsid w:val="0A30B8E2"/>
    <w:rsid w:val="0A3B830B"/>
    <w:rsid w:val="0A43B7A0"/>
    <w:rsid w:val="0A47ED9B"/>
    <w:rsid w:val="0A4EB7AA"/>
    <w:rsid w:val="0A5262D1"/>
    <w:rsid w:val="0A5BCDC3"/>
    <w:rsid w:val="0A68FC12"/>
    <w:rsid w:val="0A6F14B1"/>
    <w:rsid w:val="0A78E69C"/>
    <w:rsid w:val="0A8FCD4D"/>
    <w:rsid w:val="0A9CA911"/>
    <w:rsid w:val="0AA93D36"/>
    <w:rsid w:val="0AB5AFDF"/>
    <w:rsid w:val="0ABE9347"/>
    <w:rsid w:val="0ABF0BC6"/>
    <w:rsid w:val="0AC33912"/>
    <w:rsid w:val="0AD2D90A"/>
    <w:rsid w:val="0AD93ADA"/>
    <w:rsid w:val="0AE27E48"/>
    <w:rsid w:val="0AE467B0"/>
    <w:rsid w:val="0AEA2424"/>
    <w:rsid w:val="0B009431"/>
    <w:rsid w:val="0B06CCA4"/>
    <w:rsid w:val="0B0B2356"/>
    <w:rsid w:val="0B1154A3"/>
    <w:rsid w:val="0B1494BB"/>
    <w:rsid w:val="0B1AF4B3"/>
    <w:rsid w:val="0B2864B6"/>
    <w:rsid w:val="0B2D61A0"/>
    <w:rsid w:val="0B435A3A"/>
    <w:rsid w:val="0B48CD7E"/>
    <w:rsid w:val="0B4F54FB"/>
    <w:rsid w:val="0B6F3135"/>
    <w:rsid w:val="0B776A52"/>
    <w:rsid w:val="0B8341BF"/>
    <w:rsid w:val="0B839040"/>
    <w:rsid w:val="0B8C9F84"/>
    <w:rsid w:val="0B950218"/>
    <w:rsid w:val="0BA390BB"/>
    <w:rsid w:val="0BAB271E"/>
    <w:rsid w:val="0BAD73A0"/>
    <w:rsid w:val="0BB126CF"/>
    <w:rsid w:val="0BC36E6C"/>
    <w:rsid w:val="0BC8757A"/>
    <w:rsid w:val="0BCF4605"/>
    <w:rsid w:val="0BE5FA70"/>
    <w:rsid w:val="0BE8A68A"/>
    <w:rsid w:val="0BFDE4F7"/>
    <w:rsid w:val="0C01654A"/>
    <w:rsid w:val="0C0CA5A1"/>
    <w:rsid w:val="0C13FA4C"/>
    <w:rsid w:val="0C1A62D7"/>
    <w:rsid w:val="0C1D86F8"/>
    <w:rsid w:val="0C22CD38"/>
    <w:rsid w:val="0C235C23"/>
    <w:rsid w:val="0C26D953"/>
    <w:rsid w:val="0C3227E0"/>
    <w:rsid w:val="0C3DF861"/>
    <w:rsid w:val="0C3ECAA1"/>
    <w:rsid w:val="0C4425D2"/>
    <w:rsid w:val="0C45E5E7"/>
    <w:rsid w:val="0C4D7271"/>
    <w:rsid w:val="0C5178F6"/>
    <w:rsid w:val="0C533133"/>
    <w:rsid w:val="0C536F42"/>
    <w:rsid w:val="0C61C27E"/>
    <w:rsid w:val="0C750B3B"/>
    <w:rsid w:val="0C7C4701"/>
    <w:rsid w:val="0C7EA981"/>
    <w:rsid w:val="0C823A3F"/>
    <w:rsid w:val="0C89ED89"/>
    <w:rsid w:val="0C9E45FA"/>
    <w:rsid w:val="0CA32205"/>
    <w:rsid w:val="0CB3F474"/>
    <w:rsid w:val="0CBCC46B"/>
    <w:rsid w:val="0CCE2673"/>
    <w:rsid w:val="0CD75DCC"/>
    <w:rsid w:val="0CD78AF7"/>
    <w:rsid w:val="0CF45403"/>
    <w:rsid w:val="0CF76A41"/>
    <w:rsid w:val="0D0EE90F"/>
    <w:rsid w:val="0D1BF4F7"/>
    <w:rsid w:val="0D1CECCE"/>
    <w:rsid w:val="0D1DC4C3"/>
    <w:rsid w:val="0D207307"/>
    <w:rsid w:val="0D2AA32A"/>
    <w:rsid w:val="0D3BF783"/>
    <w:rsid w:val="0D4DE608"/>
    <w:rsid w:val="0D523754"/>
    <w:rsid w:val="0D5D5C5B"/>
    <w:rsid w:val="0D6035A5"/>
    <w:rsid w:val="0D6DA160"/>
    <w:rsid w:val="0D83E692"/>
    <w:rsid w:val="0D848BAD"/>
    <w:rsid w:val="0D948B98"/>
    <w:rsid w:val="0D97376A"/>
    <w:rsid w:val="0D97AA77"/>
    <w:rsid w:val="0D9FD1F3"/>
    <w:rsid w:val="0DA31625"/>
    <w:rsid w:val="0DB1DCF5"/>
    <w:rsid w:val="0DC0AC71"/>
    <w:rsid w:val="0DCF5B95"/>
    <w:rsid w:val="0DD5DC90"/>
    <w:rsid w:val="0DD9910B"/>
    <w:rsid w:val="0DDA4394"/>
    <w:rsid w:val="0DDDAEA6"/>
    <w:rsid w:val="0DE1B648"/>
    <w:rsid w:val="0DF09884"/>
    <w:rsid w:val="0E04147F"/>
    <w:rsid w:val="0E0C55CC"/>
    <w:rsid w:val="0E1DFBB0"/>
    <w:rsid w:val="0E26067C"/>
    <w:rsid w:val="0E27F5D3"/>
    <w:rsid w:val="0E2B3068"/>
    <w:rsid w:val="0E4A2714"/>
    <w:rsid w:val="0E556416"/>
    <w:rsid w:val="0E55E0B5"/>
    <w:rsid w:val="0E67BA3F"/>
    <w:rsid w:val="0E6A32C2"/>
    <w:rsid w:val="0E6FE6A6"/>
    <w:rsid w:val="0E84D477"/>
    <w:rsid w:val="0EA37C74"/>
    <w:rsid w:val="0EB7EA8D"/>
    <w:rsid w:val="0EC2911F"/>
    <w:rsid w:val="0EC9F5A6"/>
    <w:rsid w:val="0ECA3757"/>
    <w:rsid w:val="0ED17744"/>
    <w:rsid w:val="0EDC262C"/>
    <w:rsid w:val="0EEFED9F"/>
    <w:rsid w:val="0EF2A0D6"/>
    <w:rsid w:val="0EFE3115"/>
    <w:rsid w:val="0F07A4C4"/>
    <w:rsid w:val="0F10452A"/>
    <w:rsid w:val="0F27A028"/>
    <w:rsid w:val="0F2ACE67"/>
    <w:rsid w:val="0F2BA2D6"/>
    <w:rsid w:val="0F3F998F"/>
    <w:rsid w:val="0F448E1E"/>
    <w:rsid w:val="0F461BC8"/>
    <w:rsid w:val="0F46CAA1"/>
    <w:rsid w:val="0F4AFBB0"/>
    <w:rsid w:val="0F57933F"/>
    <w:rsid w:val="0F6495C3"/>
    <w:rsid w:val="0F6525E6"/>
    <w:rsid w:val="0F6D9ECF"/>
    <w:rsid w:val="0F766B63"/>
    <w:rsid w:val="0F7B1344"/>
    <w:rsid w:val="0F7C3418"/>
    <w:rsid w:val="0F808E73"/>
    <w:rsid w:val="0F838161"/>
    <w:rsid w:val="0F844D36"/>
    <w:rsid w:val="0F86B8E9"/>
    <w:rsid w:val="0F879059"/>
    <w:rsid w:val="0F8AC9EA"/>
    <w:rsid w:val="0F8ACCD4"/>
    <w:rsid w:val="0F8AEE96"/>
    <w:rsid w:val="0F8F669A"/>
    <w:rsid w:val="0F8F7215"/>
    <w:rsid w:val="0F9B57BC"/>
    <w:rsid w:val="0FA6CA01"/>
    <w:rsid w:val="0FAF4DC1"/>
    <w:rsid w:val="0FC2CD08"/>
    <w:rsid w:val="0FC62C42"/>
    <w:rsid w:val="0FC992E7"/>
    <w:rsid w:val="0FDD8679"/>
    <w:rsid w:val="0FE6AEBC"/>
    <w:rsid w:val="0FF4652D"/>
    <w:rsid w:val="0FF8DC0E"/>
    <w:rsid w:val="0FFB8ECC"/>
    <w:rsid w:val="0FFECD07"/>
    <w:rsid w:val="0FFFDBDA"/>
    <w:rsid w:val="10098B5B"/>
    <w:rsid w:val="100E24D0"/>
    <w:rsid w:val="101D5557"/>
    <w:rsid w:val="102F78C5"/>
    <w:rsid w:val="10496957"/>
    <w:rsid w:val="104A7037"/>
    <w:rsid w:val="1053E7C7"/>
    <w:rsid w:val="106F20DD"/>
    <w:rsid w:val="1071D302"/>
    <w:rsid w:val="107B6A53"/>
    <w:rsid w:val="109540D3"/>
    <w:rsid w:val="10A4FFC4"/>
    <w:rsid w:val="10A54222"/>
    <w:rsid w:val="10AB984E"/>
    <w:rsid w:val="10B3036B"/>
    <w:rsid w:val="10BEC1B5"/>
    <w:rsid w:val="10C23EB0"/>
    <w:rsid w:val="10C71EB2"/>
    <w:rsid w:val="10CEFFC3"/>
    <w:rsid w:val="10DB69F0"/>
    <w:rsid w:val="10E14309"/>
    <w:rsid w:val="10ED32B3"/>
    <w:rsid w:val="10EDD3FA"/>
    <w:rsid w:val="10EE45AD"/>
    <w:rsid w:val="10F93436"/>
    <w:rsid w:val="11049359"/>
    <w:rsid w:val="11116984"/>
    <w:rsid w:val="1122C4CB"/>
    <w:rsid w:val="11236254"/>
    <w:rsid w:val="113996B0"/>
    <w:rsid w:val="113DF365"/>
    <w:rsid w:val="11541F53"/>
    <w:rsid w:val="115B45A0"/>
    <w:rsid w:val="115CBB74"/>
    <w:rsid w:val="1161468F"/>
    <w:rsid w:val="117A4F2E"/>
    <w:rsid w:val="11861531"/>
    <w:rsid w:val="119E40A1"/>
    <w:rsid w:val="119ED115"/>
    <w:rsid w:val="11A5F76D"/>
    <w:rsid w:val="11AFF35D"/>
    <w:rsid w:val="11B230DC"/>
    <w:rsid w:val="11B4F443"/>
    <w:rsid w:val="11B5BD32"/>
    <w:rsid w:val="11B768FE"/>
    <w:rsid w:val="11BE0371"/>
    <w:rsid w:val="11DC358A"/>
    <w:rsid w:val="11E70E7B"/>
    <w:rsid w:val="11EBAC9B"/>
    <w:rsid w:val="11EBEB30"/>
    <w:rsid w:val="11F2B396"/>
    <w:rsid w:val="11FC1736"/>
    <w:rsid w:val="120153A7"/>
    <w:rsid w:val="120CF2DC"/>
    <w:rsid w:val="1214784D"/>
    <w:rsid w:val="12164C3D"/>
    <w:rsid w:val="12179451"/>
    <w:rsid w:val="121DF169"/>
    <w:rsid w:val="122C2B24"/>
    <w:rsid w:val="124097CD"/>
    <w:rsid w:val="1245B495"/>
    <w:rsid w:val="124694F0"/>
    <w:rsid w:val="12540673"/>
    <w:rsid w:val="1257FCD0"/>
    <w:rsid w:val="1259F025"/>
    <w:rsid w:val="1261D43B"/>
    <w:rsid w:val="12646862"/>
    <w:rsid w:val="12658B57"/>
    <w:rsid w:val="1265B205"/>
    <w:rsid w:val="126937A7"/>
    <w:rsid w:val="12773A51"/>
    <w:rsid w:val="127A17B4"/>
    <w:rsid w:val="128C29F0"/>
    <w:rsid w:val="128DFCAA"/>
    <w:rsid w:val="1290CF00"/>
    <w:rsid w:val="12987E80"/>
    <w:rsid w:val="12994E9B"/>
    <w:rsid w:val="129D02D2"/>
    <w:rsid w:val="12C38395"/>
    <w:rsid w:val="12CAEBC1"/>
    <w:rsid w:val="12D0AE82"/>
    <w:rsid w:val="12E0E12F"/>
    <w:rsid w:val="12E42270"/>
    <w:rsid w:val="12EDC71B"/>
    <w:rsid w:val="12F067E4"/>
    <w:rsid w:val="12F747B5"/>
    <w:rsid w:val="12FF0AF5"/>
    <w:rsid w:val="1312DD92"/>
    <w:rsid w:val="131C7F02"/>
    <w:rsid w:val="131E26A9"/>
    <w:rsid w:val="131FA186"/>
    <w:rsid w:val="132335F8"/>
    <w:rsid w:val="132A2186"/>
    <w:rsid w:val="132DA41E"/>
    <w:rsid w:val="132DF41E"/>
    <w:rsid w:val="13325BFF"/>
    <w:rsid w:val="134ADA26"/>
    <w:rsid w:val="134E1B13"/>
    <w:rsid w:val="135373CB"/>
    <w:rsid w:val="1354FD10"/>
    <w:rsid w:val="135DB0E0"/>
    <w:rsid w:val="136D4FD4"/>
    <w:rsid w:val="1396A419"/>
    <w:rsid w:val="13976820"/>
    <w:rsid w:val="139892C1"/>
    <w:rsid w:val="13B23C8D"/>
    <w:rsid w:val="13B6B8BC"/>
    <w:rsid w:val="13BDF66A"/>
    <w:rsid w:val="13C3ECE2"/>
    <w:rsid w:val="13D4397C"/>
    <w:rsid w:val="13D9F52E"/>
    <w:rsid w:val="13DF81FE"/>
    <w:rsid w:val="13E2E2C4"/>
    <w:rsid w:val="13EBDFAB"/>
    <w:rsid w:val="13F5E308"/>
    <w:rsid w:val="1401D9BA"/>
    <w:rsid w:val="142FBC58"/>
    <w:rsid w:val="143F0ECC"/>
    <w:rsid w:val="144510E4"/>
    <w:rsid w:val="14460D40"/>
    <w:rsid w:val="1458A73C"/>
    <w:rsid w:val="145BA1F8"/>
    <w:rsid w:val="14724641"/>
    <w:rsid w:val="1474FCB7"/>
    <w:rsid w:val="147C5ED6"/>
    <w:rsid w:val="148C55B4"/>
    <w:rsid w:val="14A2E245"/>
    <w:rsid w:val="14A89727"/>
    <w:rsid w:val="14BD5736"/>
    <w:rsid w:val="14C3EC10"/>
    <w:rsid w:val="14D79F32"/>
    <w:rsid w:val="14EB6ADB"/>
    <w:rsid w:val="14F6BD34"/>
    <w:rsid w:val="14F865A2"/>
    <w:rsid w:val="15044ABF"/>
    <w:rsid w:val="150C4551"/>
    <w:rsid w:val="150F1A96"/>
    <w:rsid w:val="1515A278"/>
    <w:rsid w:val="15164F05"/>
    <w:rsid w:val="151FBC91"/>
    <w:rsid w:val="152758EA"/>
    <w:rsid w:val="152B0C6E"/>
    <w:rsid w:val="1533F737"/>
    <w:rsid w:val="153452BC"/>
    <w:rsid w:val="15346322"/>
    <w:rsid w:val="153C022F"/>
    <w:rsid w:val="1540B31D"/>
    <w:rsid w:val="154A5606"/>
    <w:rsid w:val="155B1B91"/>
    <w:rsid w:val="1563C22D"/>
    <w:rsid w:val="1568F5C5"/>
    <w:rsid w:val="156FED5D"/>
    <w:rsid w:val="158DB552"/>
    <w:rsid w:val="158DDACA"/>
    <w:rsid w:val="1594DB43"/>
    <w:rsid w:val="1599A42D"/>
    <w:rsid w:val="159F67B0"/>
    <w:rsid w:val="15A9197A"/>
    <w:rsid w:val="15B2D157"/>
    <w:rsid w:val="15BA3D34"/>
    <w:rsid w:val="15BB70AD"/>
    <w:rsid w:val="15C3AD52"/>
    <w:rsid w:val="15C75778"/>
    <w:rsid w:val="15C9F396"/>
    <w:rsid w:val="15CE2E09"/>
    <w:rsid w:val="15DA6D7A"/>
    <w:rsid w:val="15E748D1"/>
    <w:rsid w:val="15EBA851"/>
    <w:rsid w:val="15F0C50B"/>
    <w:rsid w:val="15F2E51B"/>
    <w:rsid w:val="15F51C6C"/>
    <w:rsid w:val="15FDA904"/>
    <w:rsid w:val="16049540"/>
    <w:rsid w:val="16088E16"/>
    <w:rsid w:val="1609D83B"/>
    <w:rsid w:val="16173E2B"/>
    <w:rsid w:val="16190D65"/>
    <w:rsid w:val="161CB292"/>
    <w:rsid w:val="161FF104"/>
    <w:rsid w:val="16269F4D"/>
    <w:rsid w:val="162D2B0F"/>
    <w:rsid w:val="163973F0"/>
    <w:rsid w:val="163E2C21"/>
    <w:rsid w:val="1647B7F1"/>
    <w:rsid w:val="164F56DE"/>
    <w:rsid w:val="165B22B5"/>
    <w:rsid w:val="165C74E9"/>
    <w:rsid w:val="166023C7"/>
    <w:rsid w:val="1663A6B1"/>
    <w:rsid w:val="166544E0"/>
    <w:rsid w:val="166A0884"/>
    <w:rsid w:val="1671B1C4"/>
    <w:rsid w:val="1673DC0A"/>
    <w:rsid w:val="1682BF8F"/>
    <w:rsid w:val="168B2307"/>
    <w:rsid w:val="1690F794"/>
    <w:rsid w:val="169BA345"/>
    <w:rsid w:val="16A2EF11"/>
    <w:rsid w:val="16A43CEA"/>
    <w:rsid w:val="16B172D9"/>
    <w:rsid w:val="16B9E3B1"/>
    <w:rsid w:val="16BD5A3D"/>
    <w:rsid w:val="16C77811"/>
    <w:rsid w:val="16D91AC4"/>
    <w:rsid w:val="16F0A61B"/>
    <w:rsid w:val="17077161"/>
    <w:rsid w:val="170800F3"/>
    <w:rsid w:val="170A7887"/>
    <w:rsid w:val="171359FB"/>
    <w:rsid w:val="17137F2A"/>
    <w:rsid w:val="171A15A1"/>
    <w:rsid w:val="1723806D"/>
    <w:rsid w:val="17291DC1"/>
    <w:rsid w:val="1731D36C"/>
    <w:rsid w:val="173623F0"/>
    <w:rsid w:val="173971E3"/>
    <w:rsid w:val="17653636"/>
    <w:rsid w:val="176688E2"/>
    <w:rsid w:val="176741C6"/>
    <w:rsid w:val="176E2411"/>
    <w:rsid w:val="176F3245"/>
    <w:rsid w:val="17727AB3"/>
    <w:rsid w:val="1788988E"/>
    <w:rsid w:val="178B9015"/>
    <w:rsid w:val="178CBE2F"/>
    <w:rsid w:val="17950F27"/>
    <w:rsid w:val="17A66EB6"/>
    <w:rsid w:val="17AA1868"/>
    <w:rsid w:val="17AC62AB"/>
    <w:rsid w:val="17AD79BC"/>
    <w:rsid w:val="17B2D8CE"/>
    <w:rsid w:val="17B3094A"/>
    <w:rsid w:val="17B40A86"/>
    <w:rsid w:val="17B78B84"/>
    <w:rsid w:val="17CF6D69"/>
    <w:rsid w:val="17E69553"/>
    <w:rsid w:val="17E9AD11"/>
    <w:rsid w:val="17F6DC90"/>
    <w:rsid w:val="17FC6782"/>
    <w:rsid w:val="1805FC5C"/>
    <w:rsid w:val="18069EB2"/>
    <w:rsid w:val="18074CB5"/>
    <w:rsid w:val="181BC08E"/>
    <w:rsid w:val="181C6940"/>
    <w:rsid w:val="18229062"/>
    <w:rsid w:val="18229560"/>
    <w:rsid w:val="1827A39E"/>
    <w:rsid w:val="1836FD3B"/>
    <w:rsid w:val="183C92CF"/>
    <w:rsid w:val="184B10E0"/>
    <w:rsid w:val="18678F64"/>
    <w:rsid w:val="1869CA93"/>
    <w:rsid w:val="186D1628"/>
    <w:rsid w:val="186E0206"/>
    <w:rsid w:val="1880AB3B"/>
    <w:rsid w:val="188C6380"/>
    <w:rsid w:val="188CB73F"/>
    <w:rsid w:val="1891FBB4"/>
    <w:rsid w:val="189458E2"/>
    <w:rsid w:val="1895AFFB"/>
    <w:rsid w:val="189E1E27"/>
    <w:rsid w:val="18A97812"/>
    <w:rsid w:val="18BF50CE"/>
    <w:rsid w:val="18C21CFA"/>
    <w:rsid w:val="18C2C9E9"/>
    <w:rsid w:val="18C39041"/>
    <w:rsid w:val="18D8792B"/>
    <w:rsid w:val="18E97C84"/>
    <w:rsid w:val="18F95792"/>
    <w:rsid w:val="18FB43FF"/>
    <w:rsid w:val="1900F564"/>
    <w:rsid w:val="190E8592"/>
    <w:rsid w:val="19120E3C"/>
    <w:rsid w:val="1912E6B1"/>
    <w:rsid w:val="1915520D"/>
    <w:rsid w:val="193C2D13"/>
    <w:rsid w:val="193E3726"/>
    <w:rsid w:val="193E69D8"/>
    <w:rsid w:val="193F5D9C"/>
    <w:rsid w:val="194820A4"/>
    <w:rsid w:val="1948330C"/>
    <w:rsid w:val="194C6DBD"/>
    <w:rsid w:val="195F1643"/>
    <w:rsid w:val="19648CBD"/>
    <w:rsid w:val="19665785"/>
    <w:rsid w:val="19701951"/>
    <w:rsid w:val="1973A72E"/>
    <w:rsid w:val="19785222"/>
    <w:rsid w:val="197EED50"/>
    <w:rsid w:val="198C86F0"/>
    <w:rsid w:val="199D35A2"/>
    <w:rsid w:val="19A0A894"/>
    <w:rsid w:val="19C27AE3"/>
    <w:rsid w:val="19C7EEF1"/>
    <w:rsid w:val="19CF2B6E"/>
    <w:rsid w:val="19D443BA"/>
    <w:rsid w:val="19DDEFAE"/>
    <w:rsid w:val="19DFDBBD"/>
    <w:rsid w:val="19F8F696"/>
    <w:rsid w:val="19FE8201"/>
    <w:rsid w:val="1A0C522A"/>
    <w:rsid w:val="1A135A8B"/>
    <w:rsid w:val="1A1ADCE6"/>
    <w:rsid w:val="1A1B83D7"/>
    <w:rsid w:val="1A1C6CA1"/>
    <w:rsid w:val="1A1E41A6"/>
    <w:rsid w:val="1A272867"/>
    <w:rsid w:val="1A2F06AC"/>
    <w:rsid w:val="1A3F2303"/>
    <w:rsid w:val="1A42582F"/>
    <w:rsid w:val="1A469CD2"/>
    <w:rsid w:val="1A473423"/>
    <w:rsid w:val="1A474692"/>
    <w:rsid w:val="1A4AE4DE"/>
    <w:rsid w:val="1A6807C6"/>
    <w:rsid w:val="1A74498C"/>
    <w:rsid w:val="1A7DCF8F"/>
    <w:rsid w:val="1A825B67"/>
    <w:rsid w:val="1A94B640"/>
    <w:rsid w:val="1AAAC501"/>
    <w:rsid w:val="1AB06460"/>
    <w:rsid w:val="1ABB536E"/>
    <w:rsid w:val="1ABF1974"/>
    <w:rsid w:val="1AC022AB"/>
    <w:rsid w:val="1AC0B422"/>
    <w:rsid w:val="1AC10B90"/>
    <w:rsid w:val="1AC45E78"/>
    <w:rsid w:val="1AFAF5B1"/>
    <w:rsid w:val="1B09A46F"/>
    <w:rsid w:val="1B2562F4"/>
    <w:rsid w:val="1B2B0ECE"/>
    <w:rsid w:val="1B3845F4"/>
    <w:rsid w:val="1B3990E1"/>
    <w:rsid w:val="1B3A0944"/>
    <w:rsid w:val="1B3C2EF1"/>
    <w:rsid w:val="1B4A5EFD"/>
    <w:rsid w:val="1B54E57E"/>
    <w:rsid w:val="1B5FCFDC"/>
    <w:rsid w:val="1B6DB796"/>
    <w:rsid w:val="1B71FFDC"/>
    <w:rsid w:val="1B74983D"/>
    <w:rsid w:val="1B77A303"/>
    <w:rsid w:val="1B796684"/>
    <w:rsid w:val="1B80D1EC"/>
    <w:rsid w:val="1B8A53F0"/>
    <w:rsid w:val="1B8B36C8"/>
    <w:rsid w:val="1B8DE06D"/>
    <w:rsid w:val="1BA27A05"/>
    <w:rsid w:val="1BA901AD"/>
    <w:rsid w:val="1BAE1F50"/>
    <w:rsid w:val="1BAF79EF"/>
    <w:rsid w:val="1BB3E8C2"/>
    <w:rsid w:val="1BB70769"/>
    <w:rsid w:val="1BBDEE1A"/>
    <w:rsid w:val="1BC33772"/>
    <w:rsid w:val="1BC68478"/>
    <w:rsid w:val="1BC8B749"/>
    <w:rsid w:val="1BCB91C1"/>
    <w:rsid w:val="1BCE2679"/>
    <w:rsid w:val="1BD4CC4C"/>
    <w:rsid w:val="1BDA48B4"/>
    <w:rsid w:val="1BE5C35B"/>
    <w:rsid w:val="1BF4C1FA"/>
    <w:rsid w:val="1BF55847"/>
    <w:rsid w:val="1BFAA93D"/>
    <w:rsid w:val="1BFF206A"/>
    <w:rsid w:val="1C1F5D4C"/>
    <w:rsid w:val="1C447F00"/>
    <w:rsid w:val="1C4956EE"/>
    <w:rsid w:val="1C52AF2E"/>
    <w:rsid w:val="1C5395F8"/>
    <w:rsid w:val="1C58A5DA"/>
    <w:rsid w:val="1C59B55D"/>
    <w:rsid w:val="1C6591C4"/>
    <w:rsid w:val="1C66B057"/>
    <w:rsid w:val="1C67ACD1"/>
    <w:rsid w:val="1C6B54DD"/>
    <w:rsid w:val="1C71430D"/>
    <w:rsid w:val="1C7E8D2B"/>
    <w:rsid w:val="1C7FD3CE"/>
    <w:rsid w:val="1C821766"/>
    <w:rsid w:val="1C892E5A"/>
    <w:rsid w:val="1C8B6D0A"/>
    <w:rsid w:val="1C8ECDF4"/>
    <w:rsid w:val="1C9AEC39"/>
    <w:rsid w:val="1C9C000D"/>
    <w:rsid w:val="1C9C3474"/>
    <w:rsid w:val="1CA0DB5C"/>
    <w:rsid w:val="1CA0DE19"/>
    <w:rsid w:val="1CA36C3D"/>
    <w:rsid w:val="1CA68F8D"/>
    <w:rsid w:val="1CA98B1A"/>
    <w:rsid w:val="1CAB00D9"/>
    <w:rsid w:val="1CB0EFE1"/>
    <w:rsid w:val="1CB9CC75"/>
    <w:rsid w:val="1CC0DDE4"/>
    <w:rsid w:val="1CCCDE03"/>
    <w:rsid w:val="1CD4D664"/>
    <w:rsid w:val="1CDFF57E"/>
    <w:rsid w:val="1CF41CC5"/>
    <w:rsid w:val="1CFA5611"/>
    <w:rsid w:val="1CFE76D3"/>
    <w:rsid w:val="1D1ABD98"/>
    <w:rsid w:val="1D27EADA"/>
    <w:rsid w:val="1D2C21C6"/>
    <w:rsid w:val="1D32F729"/>
    <w:rsid w:val="1D351680"/>
    <w:rsid w:val="1D3A79B4"/>
    <w:rsid w:val="1D46BF42"/>
    <w:rsid w:val="1D47628D"/>
    <w:rsid w:val="1D49BED8"/>
    <w:rsid w:val="1D4F5964"/>
    <w:rsid w:val="1D526785"/>
    <w:rsid w:val="1D578951"/>
    <w:rsid w:val="1D5D5ACE"/>
    <w:rsid w:val="1D6B1B16"/>
    <w:rsid w:val="1D8B49B1"/>
    <w:rsid w:val="1D9128A8"/>
    <w:rsid w:val="1D9C35AA"/>
    <w:rsid w:val="1DABEA4E"/>
    <w:rsid w:val="1DB5EFE9"/>
    <w:rsid w:val="1DCCBA7D"/>
    <w:rsid w:val="1DCD4E11"/>
    <w:rsid w:val="1DCEA815"/>
    <w:rsid w:val="1DCF8938"/>
    <w:rsid w:val="1DD41309"/>
    <w:rsid w:val="1DD8AE29"/>
    <w:rsid w:val="1DE19443"/>
    <w:rsid w:val="1DE1A6FC"/>
    <w:rsid w:val="1DE5103C"/>
    <w:rsid w:val="1DE57F5F"/>
    <w:rsid w:val="1DEB17DB"/>
    <w:rsid w:val="1DF5CC5D"/>
    <w:rsid w:val="1E00BC41"/>
    <w:rsid w:val="1E21826F"/>
    <w:rsid w:val="1E257899"/>
    <w:rsid w:val="1E2C8EC6"/>
    <w:rsid w:val="1E2D7B0A"/>
    <w:rsid w:val="1E32CC0F"/>
    <w:rsid w:val="1E357F7F"/>
    <w:rsid w:val="1E3CAE7A"/>
    <w:rsid w:val="1E4593A9"/>
    <w:rsid w:val="1E485676"/>
    <w:rsid w:val="1E53E644"/>
    <w:rsid w:val="1E6627CE"/>
    <w:rsid w:val="1E66BFCE"/>
    <w:rsid w:val="1E69B74B"/>
    <w:rsid w:val="1E6A9D16"/>
    <w:rsid w:val="1E7EBA2B"/>
    <w:rsid w:val="1E82A223"/>
    <w:rsid w:val="1E842CE5"/>
    <w:rsid w:val="1E8476E4"/>
    <w:rsid w:val="1E8684E4"/>
    <w:rsid w:val="1E9065BF"/>
    <w:rsid w:val="1EA99E98"/>
    <w:rsid w:val="1EBBDA94"/>
    <w:rsid w:val="1EBC5E4D"/>
    <w:rsid w:val="1EBDDFA8"/>
    <w:rsid w:val="1EC23485"/>
    <w:rsid w:val="1EC5369F"/>
    <w:rsid w:val="1EC8DA45"/>
    <w:rsid w:val="1EE332EE"/>
    <w:rsid w:val="1EEA7D29"/>
    <w:rsid w:val="1EEB4C09"/>
    <w:rsid w:val="1EFF4FCF"/>
    <w:rsid w:val="1F12AA84"/>
    <w:rsid w:val="1F1416D6"/>
    <w:rsid w:val="1F14633E"/>
    <w:rsid w:val="1F1673C2"/>
    <w:rsid w:val="1F18A958"/>
    <w:rsid w:val="1F197AD4"/>
    <w:rsid w:val="1F1CB988"/>
    <w:rsid w:val="1F22747D"/>
    <w:rsid w:val="1F2E631D"/>
    <w:rsid w:val="1F33D597"/>
    <w:rsid w:val="1F3B24D6"/>
    <w:rsid w:val="1F4D35E4"/>
    <w:rsid w:val="1F614B0B"/>
    <w:rsid w:val="1F6900D3"/>
    <w:rsid w:val="1F6B463D"/>
    <w:rsid w:val="1F760698"/>
    <w:rsid w:val="1F7FB443"/>
    <w:rsid w:val="1F81C173"/>
    <w:rsid w:val="1F9B9AD8"/>
    <w:rsid w:val="1FA1749A"/>
    <w:rsid w:val="1FABD26E"/>
    <w:rsid w:val="1FF1609A"/>
    <w:rsid w:val="20040413"/>
    <w:rsid w:val="200E853D"/>
    <w:rsid w:val="201D439C"/>
    <w:rsid w:val="2036201D"/>
    <w:rsid w:val="20417410"/>
    <w:rsid w:val="20583851"/>
    <w:rsid w:val="20586E7B"/>
    <w:rsid w:val="2059CFFD"/>
    <w:rsid w:val="2069DBEA"/>
    <w:rsid w:val="206E0ACA"/>
    <w:rsid w:val="2072A616"/>
    <w:rsid w:val="207C72D0"/>
    <w:rsid w:val="207D0281"/>
    <w:rsid w:val="207FA8B3"/>
    <w:rsid w:val="208380E9"/>
    <w:rsid w:val="2090ABA4"/>
    <w:rsid w:val="209C2385"/>
    <w:rsid w:val="20A4C17F"/>
    <w:rsid w:val="20A4C7F2"/>
    <w:rsid w:val="20A7B3D0"/>
    <w:rsid w:val="20AF7EB5"/>
    <w:rsid w:val="20B0339F"/>
    <w:rsid w:val="20B2A529"/>
    <w:rsid w:val="20CA8220"/>
    <w:rsid w:val="20DAD95F"/>
    <w:rsid w:val="20E6DD44"/>
    <w:rsid w:val="20EC7F09"/>
    <w:rsid w:val="20F695EF"/>
    <w:rsid w:val="211915DC"/>
    <w:rsid w:val="211D91D4"/>
    <w:rsid w:val="213A1C94"/>
    <w:rsid w:val="214C009F"/>
    <w:rsid w:val="2153F602"/>
    <w:rsid w:val="215688C8"/>
    <w:rsid w:val="215960CB"/>
    <w:rsid w:val="216B59DB"/>
    <w:rsid w:val="216C3958"/>
    <w:rsid w:val="21843C12"/>
    <w:rsid w:val="218B7E03"/>
    <w:rsid w:val="21A0C984"/>
    <w:rsid w:val="21A4549B"/>
    <w:rsid w:val="21C87C54"/>
    <w:rsid w:val="21D87C55"/>
    <w:rsid w:val="21DAD9BF"/>
    <w:rsid w:val="21E7A33D"/>
    <w:rsid w:val="21FB4CB0"/>
    <w:rsid w:val="21FD558F"/>
    <w:rsid w:val="21FF9688"/>
    <w:rsid w:val="2206FD7A"/>
    <w:rsid w:val="220E30C1"/>
    <w:rsid w:val="2217640F"/>
    <w:rsid w:val="221BAA73"/>
    <w:rsid w:val="221FB59D"/>
    <w:rsid w:val="2235CF48"/>
    <w:rsid w:val="223AC674"/>
    <w:rsid w:val="22409853"/>
    <w:rsid w:val="22423737"/>
    <w:rsid w:val="225183A2"/>
    <w:rsid w:val="225F8288"/>
    <w:rsid w:val="226FB917"/>
    <w:rsid w:val="2278D123"/>
    <w:rsid w:val="228480D9"/>
    <w:rsid w:val="2288E174"/>
    <w:rsid w:val="228AF817"/>
    <w:rsid w:val="228B1D2F"/>
    <w:rsid w:val="228EEDE2"/>
    <w:rsid w:val="229EE56D"/>
    <w:rsid w:val="22AF3E58"/>
    <w:rsid w:val="22B8A555"/>
    <w:rsid w:val="22D6C30F"/>
    <w:rsid w:val="22D9C8CA"/>
    <w:rsid w:val="22DBA640"/>
    <w:rsid w:val="22EFBC63"/>
    <w:rsid w:val="22EFC32D"/>
    <w:rsid w:val="22F9FADF"/>
    <w:rsid w:val="23110722"/>
    <w:rsid w:val="232970E9"/>
    <w:rsid w:val="232CFE7C"/>
    <w:rsid w:val="233BB962"/>
    <w:rsid w:val="233C2A62"/>
    <w:rsid w:val="233C5968"/>
    <w:rsid w:val="2342AB17"/>
    <w:rsid w:val="2348BB30"/>
    <w:rsid w:val="2350A664"/>
    <w:rsid w:val="236D3A22"/>
    <w:rsid w:val="238B1EBC"/>
    <w:rsid w:val="23970C12"/>
    <w:rsid w:val="239C9BFB"/>
    <w:rsid w:val="239D7BB4"/>
    <w:rsid w:val="23B801D8"/>
    <w:rsid w:val="23BFA924"/>
    <w:rsid w:val="23C2E946"/>
    <w:rsid w:val="23C3FD83"/>
    <w:rsid w:val="23C5689A"/>
    <w:rsid w:val="23C59E29"/>
    <w:rsid w:val="23D031BA"/>
    <w:rsid w:val="23D231E9"/>
    <w:rsid w:val="23E19A2C"/>
    <w:rsid w:val="23E44386"/>
    <w:rsid w:val="23E7D461"/>
    <w:rsid w:val="23ECF09F"/>
    <w:rsid w:val="23ED5403"/>
    <w:rsid w:val="23EDA88D"/>
    <w:rsid w:val="23F3EBD5"/>
    <w:rsid w:val="23F3F95B"/>
    <w:rsid w:val="24065B39"/>
    <w:rsid w:val="2409F0FB"/>
    <w:rsid w:val="2426C3C2"/>
    <w:rsid w:val="242774DA"/>
    <w:rsid w:val="2435E848"/>
    <w:rsid w:val="2438678A"/>
    <w:rsid w:val="243B2607"/>
    <w:rsid w:val="24423A33"/>
    <w:rsid w:val="244730CF"/>
    <w:rsid w:val="244A9574"/>
    <w:rsid w:val="244D3CC0"/>
    <w:rsid w:val="2456EA93"/>
    <w:rsid w:val="2465C0DD"/>
    <w:rsid w:val="2469F263"/>
    <w:rsid w:val="24783379"/>
    <w:rsid w:val="247C1FBF"/>
    <w:rsid w:val="2481BE87"/>
    <w:rsid w:val="24947B37"/>
    <w:rsid w:val="2495AF72"/>
    <w:rsid w:val="24A9BFC0"/>
    <w:rsid w:val="24AC1D7D"/>
    <w:rsid w:val="24AD79CD"/>
    <w:rsid w:val="24BCAC18"/>
    <w:rsid w:val="24CF9218"/>
    <w:rsid w:val="24D9DE9A"/>
    <w:rsid w:val="24F0E5E1"/>
    <w:rsid w:val="24F4C8FA"/>
    <w:rsid w:val="24F75EE5"/>
    <w:rsid w:val="2507BA89"/>
    <w:rsid w:val="250D7E0C"/>
    <w:rsid w:val="250DA5A0"/>
    <w:rsid w:val="25283D2B"/>
    <w:rsid w:val="254648FF"/>
    <w:rsid w:val="2559BEAD"/>
    <w:rsid w:val="255E7255"/>
    <w:rsid w:val="25676DA5"/>
    <w:rsid w:val="2567A49A"/>
    <w:rsid w:val="256BFE4F"/>
    <w:rsid w:val="256D25ED"/>
    <w:rsid w:val="256E71B9"/>
    <w:rsid w:val="256FAF04"/>
    <w:rsid w:val="257940FD"/>
    <w:rsid w:val="257F348B"/>
    <w:rsid w:val="258C9214"/>
    <w:rsid w:val="25A0F7DC"/>
    <w:rsid w:val="25B162E8"/>
    <w:rsid w:val="25D65AB0"/>
    <w:rsid w:val="25D84E84"/>
    <w:rsid w:val="25D85F55"/>
    <w:rsid w:val="25E1D0B9"/>
    <w:rsid w:val="25F1DE10"/>
    <w:rsid w:val="2600CA58"/>
    <w:rsid w:val="2606A760"/>
    <w:rsid w:val="2612E452"/>
    <w:rsid w:val="262360FE"/>
    <w:rsid w:val="2633BADB"/>
    <w:rsid w:val="2642C7C4"/>
    <w:rsid w:val="26430FC5"/>
    <w:rsid w:val="26435307"/>
    <w:rsid w:val="26437C3D"/>
    <w:rsid w:val="264561A3"/>
    <w:rsid w:val="2645941A"/>
    <w:rsid w:val="26519BC6"/>
    <w:rsid w:val="265E3CA3"/>
    <w:rsid w:val="2665718E"/>
    <w:rsid w:val="2665BC19"/>
    <w:rsid w:val="2667C9BE"/>
    <w:rsid w:val="266D651D"/>
    <w:rsid w:val="267298B3"/>
    <w:rsid w:val="2683F5B1"/>
    <w:rsid w:val="268715DC"/>
    <w:rsid w:val="268D1A9E"/>
    <w:rsid w:val="269B77A4"/>
    <w:rsid w:val="269DB7E2"/>
    <w:rsid w:val="26D362DD"/>
    <w:rsid w:val="26D6347A"/>
    <w:rsid w:val="26D7F668"/>
    <w:rsid w:val="26D87C50"/>
    <w:rsid w:val="26DBF2D7"/>
    <w:rsid w:val="26EE7FD2"/>
    <w:rsid w:val="26EFE760"/>
    <w:rsid w:val="26F30AB9"/>
    <w:rsid w:val="26F5298E"/>
    <w:rsid w:val="26FA0FFF"/>
    <w:rsid w:val="26FF5A2B"/>
    <w:rsid w:val="2704192D"/>
    <w:rsid w:val="270C4DB5"/>
    <w:rsid w:val="27101CD2"/>
    <w:rsid w:val="27193369"/>
    <w:rsid w:val="271F7523"/>
    <w:rsid w:val="2727729B"/>
    <w:rsid w:val="273ECB90"/>
    <w:rsid w:val="27429372"/>
    <w:rsid w:val="2745FAFB"/>
    <w:rsid w:val="274B78FB"/>
    <w:rsid w:val="274C092F"/>
    <w:rsid w:val="27503F65"/>
    <w:rsid w:val="275AC97F"/>
    <w:rsid w:val="277CBC21"/>
    <w:rsid w:val="277FCC93"/>
    <w:rsid w:val="27958881"/>
    <w:rsid w:val="27AB63C4"/>
    <w:rsid w:val="27ACBC8E"/>
    <w:rsid w:val="27AFDC1E"/>
    <w:rsid w:val="27BF795F"/>
    <w:rsid w:val="27C085F8"/>
    <w:rsid w:val="27C3E29B"/>
    <w:rsid w:val="27C5EA43"/>
    <w:rsid w:val="27C95BFA"/>
    <w:rsid w:val="27D6D645"/>
    <w:rsid w:val="27D9E360"/>
    <w:rsid w:val="27DCB309"/>
    <w:rsid w:val="280026D3"/>
    <w:rsid w:val="28051B97"/>
    <w:rsid w:val="2809E418"/>
    <w:rsid w:val="280AC473"/>
    <w:rsid w:val="281497C9"/>
    <w:rsid w:val="2814F8E2"/>
    <w:rsid w:val="281A289C"/>
    <w:rsid w:val="28264646"/>
    <w:rsid w:val="283554B0"/>
    <w:rsid w:val="28374805"/>
    <w:rsid w:val="284CDC01"/>
    <w:rsid w:val="284DDC37"/>
    <w:rsid w:val="2864B70B"/>
    <w:rsid w:val="28661CB6"/>
    <w:rsid w:val="2866E51B"/>
    <w:rsid w:val="286A7D35"/>
    <w:rsid w:val="286F7110"/>
    <w:rsid w:val="2874C3FA"/>
    <w:rsid w:val="287678E6"/>
    <w:rsid w:val="28784355"/>
    <w:rsid w:val="288DB06D"/>
    <w:rsid w:val="288EDB1A"/>
    <w:rsid w:val="28A22DE8"/>
    <w:rsid w:val="28A2C0BD"/>
    <w:rsid w:val="28A66341"/>
    <w:rsid w:val="28AA07F8"/>
    <w:rsid w:val="28B5C88A"/>
    <w:rsid w:val="28CC439C"/>
    <w:rsid w:val="28CC973E"/>
    <w:rsid w:val="28D1B701"/>
    <w:rsid w:val="28D5276E"/>
    <w:rsid w:val="28DA04D0"/>
    <w:rsid w:val="28DCBCE4"/>
    <w:rsid w:val="28DCF916"/>
    <w:rsid w:val="28EBCF10"/>
    <w:rsid w:val="28EDB996"/>
    <w:rsid w:val="28F07C10"/>
    <w:rsid w:val="28F97345"/>
    <w:rsid w:val="290160CB"/>
    <w:rsid w:val="290B8CE8"/>
    <w:rsid w:val="290D8EB1"/>
    <w:rsid w:val="29124D7A"/>
    <w:rsid w:val="291768E2"/>
    <w:rsid w:val="29183E4E"/>
    <w:rsid w:val="291D058E"/>
    <w:rsid w:val="2927D8E8"/>
    <w:rsid w:val="292837E5"/>
    <w:rsid w:val="292DB6C3"/>
    <w:rsid w:val="295F47C2"/>
    <w:rsid w:val="2960F25F"/>
    <w:rsid w:val="2963E618"/>
    <w:rsid w:val="29673809"/>
    <w:rsid w:val="296A772A"/>
    <w:rsid w:val="297DBAB8"/>
    <w:rsid w:val="298221CC"/>
    <w:rsid w:val="2988F932"/>
    <w:rsid w:val="29A2EC99"/>
    <w:rsid w:val="29A5693E"/>
    <w:rsid w:val="29A694D4"/>
    <w:rsid w:val="29A7CCDC"/>
    <w:rsid w:val="29A7CDFF"/>
    <w:rsid w:val="29ABA39F"/>
    <w:rsid w:val="29AC3B8C"/>
    <w:rsid w:val="29C547BF"/>
    <w:rsid w:val="29D00674"/>
    <w:rsid w:val="29D1DA22"/>
    <w:rsid w:val="29D31866"/>
    <w:rsid w:val="29DDBC6E"/>
    <w:rsid w:val="29DF49FA"/>
    <w:rsid w:val="29E21CCB"/>
    <w:rsid w:val="29ED3638"/>
    <w:rsid w:val="29EF7EA9"/>
    <w:rsid w:val="29EF95C9"/>
    <w:rsid w:val="29F618C3"/>
    <w:rsid w:val="2A018BB7"/>
    <w:rsid w:val="2A178E40"/>
    <w:rsid w:val="2A1D4BF0"/>
    <w:rsid w:val="2A23003D"/>
    <w:rsid w:val="2A2AAB7B"/>
    <w:rsid w:val="2A2B02CB"/>
    <w:rsid w:val="2A33F9C7"/>
    <w:rsid w:val="2A3467B4"/>
    <w:rsid w:val="2A7B5EF0"/>
    <w:rsid w:val="2A9336A8"/>
    <w:rsid w:val="2AA93645"/>
    <w:rsid w:val="2AA974C8"/>
    <w:rsid w:val="2AABF26C"/>
    <w:rsid w:val="2ABD9ACF"/>
    <w:rsid w:val="2ABFF5C5"/>
    <w:rsid w:val="2AC54F33"/>
    <w:rsid w:val="2AD31DA6"/>
    <w:rsid w:val="2AD344BD"/>
    <w:rsid w:val="2AD3B221"/>
    <w:rsid w:val="2AD6D7EC"/>
    <w:rsid w:val="2ADAA66F"/>
    <w:rsid w:val="2ADE4358"/>
    <w:rsid w:val="2AE142D4"/>
    <w:rsid w:val="2AE2982B"/>
    <w:rsid w:val="2AE3D66A"/>
    <w:rsid w:val="2AE5398B"/>
    <w:rsid w:val="2AF26264"/>
    <w:rsid w:val="2AF4085C"/>
    <w:rsid w:val="2AF5F145"/>
    <w:rsid w:val="2AFE4717"/>
    <w:rsid w:val="2B065962"/>
    <w:rsid w:val="2B0CD218"/>
    <w:rsid w:val="2B23427C"/>
    <w:rsid w:val="2B2CE179"/>
    <w:rsid w:val="2B2E090F"/>
    <w:rsid w:val="2B2E1525"/>
    <w:rsid w:val="2B3B3AE1"/>
    <w:rsid w:val="2B4668A1"/>
    <w:rsid w:val="2B47430D"/>
    <w:rsid w:val="2B4F8417"/>
    <w:rsid w:val="2B5BBDAF"/>
    <w:rsid w:val="2B67645B"/>
    <w:rsid w:val="2B6A3AA7"/>
    <w:rsid w:val="2B7ECD98"/>
    <w:rsid w:val="2B898599"/>
    <w:rsid w:val="2B8B0446"/>
    <w:rsid w:val="2B912BD4"/>
    <w:rsid w:val="2B9F2682"/>
    <w:rsid w:val="2BA21DF7"/>
    <w:rsid w:val="2BA70FA7"/>
    <w:rsid w:val="2BAB8E23"/>
    <w:rsid w:val="2BB4F6FD"/>
    <w:rsid w:val="2BBCDB7B"/>
    <w:rsid w:val="2BC846A4"/>
    <w:rsid w:val="2C0CE434"/>
    <w:rsid w:val="2C100AD2"/>
    <w:rsid w:val="2C101584"/>
    <w:rsid w:val="2C104E64"/>
    <w:rsid w:val="2C1C4E6E"/>
    <w:rsid w:val="2C20AAEB"/>
    <w:rsid w:val="2C25716F"/>
    <w:rsid w:val="2C26A518"/>
    <w:rsid w:val="2C285D2F"/>
    <w:rsid w:val="2C317762"/>
    <w:rsid w:val="2C34F39F"/>
    <w:rsid w:val="2C362828"/>
    <w:rsid w:val="2C3EF691"/>
    <w:rsid w:val="2C4B6A5E"/>
    <w:rsid w:val="2C561DB1"/>
    <w:rsid w:val="2C597FF0"/>
    <w:rsid w:val="2C5CEB02"/>
    <w:rsid w:val="2C631699"/>
    <w:rsid w:val="2C65400E"/>
    <w:rsid w:val="2C6A4CFB"/>
    <w:rsid w:val="2C717D59"/>
    <w:rsid w:val="2C8006B6"/>
    <w:rsid w:val="2C824876"/>
    <w:rsid w:val="2C8A761F"/>
    <w:rsid w:val="2C995B66"/>
    <w:rsid w:val="2C9DAB35"/>
    <w:rsid w:val="2CAC156D"/>
    <w:rsid w:val="2CB196D7"/>
    <w:rsid w:val="2CBD4568"/>
    <w:rsid w:val="2CCC3076"/>
    <w:rsid w:val="2CDE7E4D"/>
    <w:rsid w:val="2CE0E942"/>
    <w:rsid w:val="2CE4BF9A"/>
    <w:rsid w:val="2CEF9D76"/>
    <w:rsid w:val="2CF39C7F"/>
    <w:rsid w:val="2CFB0E00"/>
    <w:rsid w:val="2D103F6F"/>
    <w:rsid w:val="2D14E605"/>
    <w:rsid w:val="2D2C1F4B"/>
    <w:rsid w:val="2D41CD7B"/>
    <w:rsid w:val="2D472A81"/>
    <w:rsid w:val="2D5151E4"/>
    <w:rsid w:val="2D60C562"/>
    <w:rsid w:val="2D64D658"/>
    <w:rsid w:val="2D676472"/>
    <w:rsid w:val="2D6C0876"/>
    <w:rsid w:val="2D79E8A9"/>
    <w:rsid w:val="2D7A28AE"/>
    <w:rsid w:val="2D7C4DB5"/>
    <w:rsid w:val="2D82D56B"/>
    <w:rsid w:val="2D840625"/>
    <w:rsid w:val="2D8567C1"/>
    <w:rsid w:val="2D93E7F0"/>
    <w:rsid w:val="2D9690E8"/>
    <w:rsid w:val="2D9AA522"/>
    <w:rsid w:val="2D9CE6BF"/>
    <w:rsid w:val="2DA4F7A8"/>
    <w:rsid w:val="2DA51050"/>
    <w:rsid w:val="2DC1D65E"/>
    <w:rsid w:val="2DC98E31"/>
    <w:rsid w:val="2DD1B1A8"/>
    <w:rsid w:val="2DDE3325"/>
    <w:rsid w:val="2DE9276D"/>
    <w:rsid w:val="2DF08198"/>
    <w:rsid w:val="2DF4FE52"/>
    <w:rsid w:val="2DFC2321"/>
    <w:rsid w:val="2E006C15"/>
    <w:rsid w:val="2E0E8535"/>
    <w:rsid w:val="2E19BD0B"/>
    <w:rsid w:val="2E329048"/>
    <w:rsid w:val="2E38E430"/>
    <w:rsid w:val="2E3F0DE3"/>
    <w:rsid w:val="2E3F8E49"/>
    <w:rsid w:val="2E59FF23"/>
    <w:rsid w:val="2E5BF139"/>
    <w:rsid w:val="2E5D472D"/>
    <w:rsid w:val="2E6051F5"/>
    <w:rsid w:val="2E61A79F"/>
    <w:rsid w:val="2E72D241"/>
    <w:rsid w:val="2E78186A"/>
    <w:rsid w:val="2E7C7110"/>
    <w:rsid w:val="2E7CDF5C"/>
    <w:rsid w:val="2E81CDE5"/>
    <w:rsid w:val="2E825C01"/>
    <w:rsid w:val="2E84BB47"/>
    <w:rsid w:val="2E86CA8F"/>
    <w:rsid w:val="2E91DF9C"/>
    <w:rsid w:val="2E9BA1F7"/>
    <w:rsid w:val="2E9C98AA"/>
    <w:rsid w:val="2EA4E1BF"/>
    <w:rsid w:val="2EAAD707"/>
    <w:rsid w:val="2EAD360D"/>
    <w:rsid w:val="2EAE6FDA"/>
    <w:rsid w:val="2EB33A6C"/>
    <w:rsid w:val="2EB3FC5B"/>
    <w:rsid w:val="2EB437C2"/>
    <w:rsid w:val="2EC1B439"/>
    <w:rsid w:val="2EC22042"/>
    <w:rsid w:val="2EDEB753"/>
    <w:rsid w:val="2EE51CE3"/>
    <w:rsid w:val="2EEF0E0C"/>
    <w:rsid w:val="2EFA973F"/>
    <w:rsid w:val="2EFB816B"/>
    <w:rsid w:val="2EFBAEE4"/>
    <w:rsid w:val="2EFDB688"/>
    <w:rsid w:val="2F027C59"/>
    <w:rsid w:val="2F06622C"/>
    <w:rsid w:val="2F19497C"/>
    <w:rsid w:val="2F2354D3"/>
    <w:rsid w:val="2F2A8708"/>
    <w:rsid w:val="2F36A839"/>
    <w:rsid w:val="2F40E0B1"/>
    <w:rsid w:val="2F43A4EA"/>
    <w:rsid w:val="2F469537"/>
    <w:rsid w:val="2F4A265D"/>
    <w:rsid w:val="2F4CA3A2"/>
    <w:rsid w:val="2F720424"/>
    <w:rsid w:val="2F762139"/>
    <w:rsid w:val="2F774344"/>
    <w:rsid w:val="2F7F3F04"/>
    <w:rsid w:val="2F96FB3B"/>
    <w:rsid w:val="2FBCC27A"/>
    <w:rsid w:val="2FC9ECAD"/>
    <w:rsid w:val="2FCE01EA"/>
    <w:rsid w:val="2FD0FC28"/>
    <w:rsid w:val="2FF521FA"/>
    <w:rsid w:val="2FFD2B6E"/>
    <w:rsid w:val="30065580"/>
    <w:rsid w:val="3008D08D"/>
    <w:rsid w:val="300EAC04"/>
    <w:rsid w:val="300EB2DB"/>
    <w:rsid w:val="3014C209"/>
    <w:rsid w:val="30195691"/>
    <w:rsid w:val="301C6A03"/>
    <w:rsid w:val="301E49FB"/>
    <w:rsid w:val="30229AF0"/>
    <w:rsid w:val="3023750D"/>
    <w:rsid w:val="3027C1E4"/>
    <w:rsid w:val="3027D461"/>
    <w:rsid w:val="302CB61E"/>
    <w:rsid w:val="304259EA"/>
    <w:rsid w:val="304B1EFE"/>
    <w:rsid w:val="3057FC0B"/>
    <w:rsid w:val="305B43E3"/>
    <w:rsid w:val="30727FD3"/>
    <w:rsid w:val="3076D7A6"/>
    <w:rsid w:val="307AC098"/>
    <w:rsid w:val="30853B13"/>
    <w:rsid w:val="30876F20"/>
    <w:rsid w:val="308C8349"/>
    <w:rsid w:val="30952719"/>
    <w:rsid w:val="309CF0E0"/>
    <w:rsid w:val="30A181C0"/>
    <w:rsid w:val="30A533DA"/>
    <w:rsid w:val="30A6898A"/>
    <w:rsid w:val="30A7388C"/>
    <w:rsid w:val="30B1A2F8"/>
    <w:rsid w:val="30B519DD"/>
    <w:rsid w:val="30C975ED"/>
    <w:rsid w:val="30CCC220"/>
    <w:rsid w:val="30D41537"/>
    <w:rsid w:val="30DA82BD"/>
    <w:rsid w:val="30DAF0D8"/>
    <w:rsid w:val="30DF7FC6"/>
    <w:rsid w:val="30E87403"/>
    <w:rsid w:val="30EFD7A9"/>
    <w:rsid w:val="30F34A53"/>
    <w:rsid w:val="310B48EC"/>
    <w:rsid w:val="310CB150"/>
    <w:rsid w:val="3121CC39"/>
    <w:rsid w:val="31220914"/>
    <w:rsid w:val="312EE679"/>
    <w:rsid w:val="31305C25"/>
    <w:rsid w:val="3135122E"/>
    <w:rsid w:val="31375B4E"/>
    <w:rsid w:val="313A3917"/>
    <w:rsid w:val="313D9607"/>
    <w:rsid w:val="3141F32B"/>
    <w:rsid w:val="31447EC2"/>
    <w:rsid w:val="31535D7D"/>
    <w:rsid w:val="315B564B"/>
    <w:rsid w:val="315EBA14"/>
    <w:rsid w:val="3168EE5F"/>
    <w:rsid w:val="31700689"/>
    <w:rsid w:val="317745C3"/>
    <w:rsid w:val="317BB9C7"/>
    <w:rsid w:val="317F64DF"/>
    <w:rsid w:val="31864F4A"/>
    <w:rsid w:val="3192E3C4"/>
    <w:rsid w:val="3197FFEB"/>
    <w:rsid w:val="31A017CE"/>
    <w:rsid w:val="31ABFB0D"/>
    <w:rsid w:val="31AFF2C0"/>
    <w:rsid w:val="31B411D2"/>
    <w:rsid w:val="31BBA6BB"/>
    <w:rsid w:val="31BE6B51"/>
    <w:rsid w:val="31C781CF"/>
    <w:rsid w:val="31CAED65"/>
    <w:rsid w:val="31D7F616"/>
    <w:rsid w:val="31DE2A4B"/>
    <w:rsid w:val="31E5C258"/>
    <w:rsid w:val="31E8D5AE"/>
    <w:rsid w:val="31F2BB1B"/>
    <w:rsid w:val="31F317DA"/>
    <w:rsid w:val="32045796"/>
    <w:rsid w:val="3224C112"/>
    <w:rsid w:val="32277891"/>
    <w:rsid w:val="322DCEA0"/>
    <w:rsid w:val="322DF642"/>
    <w:rsid w:val="3235BD60"/>
    <w:rsid w:val="32398A64"/>
    <w:rsid w:val="3239D258"/>
    <w:rsid w:val="323E110D"/>
    <w:rsid w:val="323FB087"/>
    <w:rsid w:val="3244786B"/>
    <w:rsid w:val="32852C8E"/>
    <w:rsid w:val="328DF329"/>
    <w:rsid w:val="32918BA7"/>
    <w:rsid w:val="329717B8"/>
    <w:rsid w:val="329D9D02"/>
    <w:rsid w:val="32A3C7A8"/>
    <w:rsid w:val="32A84311"/>
    <w:rsid w:val="32A9A4E6"/>
    <w:rsid w:val="32B0F1AA"/>
    <w:rsid w:val="32B3FC25"/>
    <w:rsid w:val="32BBD66D"/>
    <w:rsid w:val="32BF1826"/>
    <w:rsid w:val="32BF7EAE"/>
    <w:rsid w:val="32C11D46"/>
    <w:rsid w:val="32C5B464"/>
    <w:rsid w:val="32C80840"/>
    <w:rsid w:val="32CFEE4E"/>
    <w:rsid w:val="32D8FB46"/>
    <w:rsid w:val="32E8D2E3"/>
    <w:rsid w:val="32F93518"/>
    <w:rsid w:val="330243C0"/>
    <w:rsid w:val="330B9210"/>
    <w:rsid w:val="331C3564"/>
    <w:rsid w:val="332CD993"/>
    <w:rsid w:val="33338929"/>
    <w:rsid w:val="333AE268"/>
    <w:rsid w:val="333C6970"/>
    <w:rsid w:val="333C7FB6"/>
    <w:rsid w:val="33464CC6"/>
    <w:rsid w:val="3346F5B2"/>
    <w:rsid w:val="334EFCCC"/>
    <w:rsid w:val="334FE233"/>
    <w:rsid w:val="33685F66"/>
    <w:rsid w:val="336F4F44"/>
    <w:rsid w:val="3381BF07"/>
    <w:rsid w:val="3384611C"/>
    <w:rsid w:val="33861909"/>
    <w:rsid w:val="3396D310"/>
    <w:rsid w:val="339C1013"/>
    <w:rsid w:val="33AA8CE2"/>
    <w:rsid w:val="33B1F78E"/>
    <w:rsid w:val="33C22548"/>
    <w:rsid w:val="33C7F8AF"/>
    <w:rsid w:val="33CA540B"/>
    <w:rsid w:val="33D6D54D"/>
    <w:rsid w:val="33F2028F"/>
    <w:rsid w:val="33F4791F"/>
    <w:rsid w:val="33F64E91"/>
    <w:rsid w:val="33FB0F59"/>
    <w:rsid w:val="3403A3DA"/>
    <w:rsid w:val="3405234B"/>
    <w:rsid w:val="3405A93B"/>
    <w:rsid w:val="3408B20C"/>
    <w:rsid w:val="340C7B1B"/>
    <w:rsid w:val="34122816"/>
    <w:rsid w:val="341DD7BE"/>
    <w:rsid w:val="34259E88"/>
    <w:rsid w:val="342879EC"/>
    <w:rsid w:val="343117E2"/>
    <w:rsid w:val="34376872"/>
    <w:rsid w:val="343A15C1"/>
    <w:rsid w:val="34521297"/>
    <w:rsid w:val="34550021"/>
    <w:rsid w:val="3458DCD9"/>
    <w:rsid w:val="34595B82"/>
    <w:rsid w:val="346175AD"/>
    <w:rsid w:val="34719053"/>
    <w:rsid w:val="347C9801"/>
    <w:rsid w:val="347D4ECD"/>
    <w:rsid w:val="3485545A"/>
    <w:rsid w:val="34893D46"/>
    <w:rsid w:val="34941F0D"/>
    <w:rsid w:val="349DCBA1"/>
    <w:rsid w:val="34AC2857"/>
    <w:rsid w:val="34BBAFDD"/>
    <w:rsid w:val="34C0FE70"/>
    <w:rsid w:val="34C6A6E2"/>
    <w:rsid w:val="34CA6136"/>
    <w:rsid w:val="34E21D27"/>
    <w:rsid w:val="34E8CB49"/>
    <w:rsid w:val="34ED84E0"/>
    <w:rsid w:val="34EE2F18"/>
    <w:rsid w:val="34F65B2C"/>
    <w:rsid w:val="34FAAF5B"/>
    <w:rsid w:val="34FD1EFE"/>
    <w:rsid w:val="35006BF8"/>
    <w:rsid w:val="3504FB15"/>
    <w:rsid w:val="350A7979"/>
    <w:rsid w:val="350DE398"/>
    <w:rsid w:val="350F495D"/>
    <w:rsid w:val="350F6296"/>
    <w:rsid w:val="35152B73"/>
    <w:rsid w:val="351A99C0"/>
    <w:rsid w:val="3542EEBA"/>
    <w:rsid w:val="354E453E"/>
    <w:rsid w:val="355CB971"/>
    <w:rsid w:val="355EA94C"/>
    <w:rsid w:val="357567AF"/>
    <w:rsid w:val="3585F9E7"/>
    <w:rsid w:val="35888B00"/>
    <w:rsid w:val="35929657"/>
    <w:rsid w:val="359877D6"/>
    <w:rsid w:val="3598C2FA"/>
    <w:rsid w:val="35AB7925"/>
    <w:rsid w:val="35CDF4DE"/>
    <w:rsid w:val="35D16B87"/>
    <w:rsid w:val="35E3C557"/>
    <w:rsid w:val="35F335E0"/>
    <w:rsid w:val="35F92F08"/>
    <w:rsid w:val="360FA219"/>
    <w:rsid w:val="36353712"/>
    <w:rsid w:val="363C193C"/>
    <w:rsid w:val="36473B26"/>
    <w:rsid w:val="365245B0"/>
    <w:rsid w:val="3653FD9A"/>
    <w:rsid w:val="365CADCC"/>
    <w:rsid w:val="365E5949"/>
    <w:rsid w:val="36627743"/>
    <w:rsid w:val="366C6CF2"/>
    <w:rsid w:val="3675BEC4"/>
    <w:rsid w:val="36879F97"/>
    <w:rsid w:val="368D2A80"/>
    <w:rsid w:val="368DAAB6"/>
    <w:rsid w:val="36A03BED"/>
    <w:rsid w:val="36A16429"/>
    <w:rsid w:val="36A46FFF"/>
    <w:rsid w:val="36A77FEF"/>
    <w:rsid w:val="36A86859"/>
    <w:rsid w:val="36AA106F"/>
    <w:rsid w:val="36ABA05D"/>
    <w:rsid w:val="36B5B89C"/>
    <w:rsid w:val="36B9D977"/>
    <w:rsid w:val="36BDA6B6"/>
    <w:rsid w:val="36BE460A"/>
    <w:rsid w:val="36BE82B2"/>
    <w:rsid w:val="36C033CC"/>
    <w:rsid w:val="36C3CBF7"/>
    <w:rsid w:val="36C900B7"/>
    <w:rsid w:val="36C97F66"/>
    <w:rsid w:val="36D135E5"/>
    <w:rsid w:val="36EA592A"/>
    <w:rsid w:val="36F52626"/>
    <w:rsid w:val="36F7903B"/>
    <w:rsid w:val="37206EE9"/>
    <w:rsid w:val="372399AF"/>
    <w:rsid w:val="37266E9A"/>
    <w:rsid w:val="37286C10"/>
    <w:rsid w:val="37323161"/>
    <w:rsid w:val="3733B8F3"/>
    <w:rsid w:val="37506720"/>
    <w:rsid w:val="3753E1BD"/>
    <w:rsid w:val="37628BD7"/>
    <w:rsid w:val="3765B831"/>
    <w:rsid w:val="37693336"/>
    <w:rsid w:val="377BB434"/>
    <w:rsid w:val="37836EB1"/>
    <w:rsid w:val="37940BDB"/>
    <w:rsid w:val="3799F30E"/>
    <w:rsid w:val="379B58F6"/>
    <w:rsid w:val="379EDA8B"/>
    <w:rsid w:val="37A92E8C"/>
    <w:rsid w:val="37AC6C69"/>
    <w:rsid w:val="37C7A308"/>
    <w:rsid w:val="37CE7C64"/>
    <w:rsid w:val="37ED22D9"/>
    <w:rsid w:val="37F83952"/>
    <w:rsid w:val="38017FB8"/>
    <w:rsid w:val="380A2AF9"/>
    <w:rsid w:val="3812D66D"/>
    <w:rsid w:val="3819BDE9"/>
    <w:rsid w:val="3832501D"/>
    <w:rsid w:val="383A5BB2"/>
    <w:rsid w:val="383BE8EC"/>
    <w:rsid w:val="383FA2BD"/>
    <w:rsid w:val="3841F1AB"/>
    <w:rsid w:val="3856B476"/>
    <w:rsid w:val="3860DE0C"/>
    <w:rsid w:val="386789A1"/>
    <w:rsid w:val="386D2B7D"/>
    <w:rsid w:val="3871213D"/>
    <w:rsid w:val="387DF87A"/>
    <w:rsid w:val="387FB0BC"/>
    <w:rsid w:val="3885E600"/>
    <w:rsid w:val="3887C917"/>
    <w:rsid w:val="388BD5A6"/>
    <w:rsid w:val="388D48D2"/>
    <w:rsid w:val="388F7AB8"/>
    <w:rsid w:val="38A78339"/>
    <w:rsid w:val="38AAE75A"/>
    <w:rsid w:val="38AB7BD5"/>
    <w:rsid w:val="38B4DC35"/>
    <w:rsid w:val="38B95519"/>
    <w:rsid w:val="38D19282"/>
    <w:rsid w:val="38E20221"/>
    <w:rsid w:val="38F89E47"/>
    <w:rsid w:val="38FE5C38"/>
    <w:rsid w:val="39136830"/>
    <w:rsid w:val="3914A976"/>
    <w:rsid w:val="391BCD8B"/>
    <w:rsid w:val="39227BC6"/>
    <w:rsid w:val="39259F26"/>
    <w:rsid w:val="39260F63"/>
    <w:rsid w:val="392F7787"/>
    <w:rsid w:val="3933895C"/>
    <w:rsid w:val="39354053"/>
    <w:rsid w:val="3935DD2E"/>
    <w:rsid w:val="393F7EDB"/>
    <w:rsid w:val="39421B85"/>
    <w:rsid w:val="39454A7F"/>
    <w:rsid w:val="394DB144"/>
    <w:rsid w:val="39520EC1"/>
    <w:rsid w:val="395C5A20"/>
    <w:rsid w:val="3961D5FA"/>
    <w:rsid w:val="39642349"/>
    <w:rsid w:val="3974BDD0"/>
    <w:rsid w:val="3988BDAD"/>
    <w:rsid w:val="3990C7AC"/>
    <w:rsid w:val="399C53BA"/>
    <w:rsid w:val="39A49F50"/>
    <w:rsid w:val="39BD7BD0"/>
    <w:rsid w:val="39C3C5C9"/>
    <w:rsid w:val="39CB763D"/>
    <w:rsid w:val="39CBF3C3"/>
    <w:rsid w:val="39D2EA46"/>
    <w:rsid w:val="39DA626D"/>
    <w:rsid w:val="39E2C716"/>
    <w:rsid w:val="39E3D344"/>
    <w:rsid w:val="39E699CD"/>
    <w:rsid w:val="39E91D0C"/>
    <w:rsid w:val="39F1B759"/>
    <w:rsid w:val="3A0E11E1"/>
    <w:rsid w:val="3A121987"/>
    <w:rsid w:val="3A17E9AB"/>
    <w:rsid w:val="3A22D760"/>
    <w:rsid w:val="3A45AA1D"/>
    <w:rsid w:val="3A4AC26C"/>
    <w:rsid w:val="3A51ECC6"/>
    <w:rsid w:val="3A61FFC7"/>
    <w:rsid w:val="3A663D16"/>
    <w:rsid w:val="3A66659B"/>
    <w:rsid w:val="3A780474"/>
    <w:rsid w:val="3A7A811D"/>
    <w:rsid w:val="3A7DD8A5"/>
    <w:rsid w:val="3A7E6372"/>
    <w:rsid w:val="3A820206"/>
    <w:rsid w:val="3A8428A2"/>
    <w:rsid w:val="3A92B574"/>
    <w:rsid w:val="3AA0D8D3"/>
    <w:rsid w:val="3AA417CC"/>
    <w:rsid w:val="3AB11E3F"/>
    <w:rsid w:val="3ABCD4A2"/>
    <w:rsid w:val="3AC0512D"/>
    <w:rsid w:val="3AC6D3B9"/>
    <w:rsid w:val="3AD4B6C5"/>
    <w:rsid w:val="3ADF0176"/>
    <w:rsid w:val="3AE5EEC7"/>
    <w:rsid w:val="3AEF8C85"/>
    <w:rsid w:val="3AF70BF6"/>
    <w:rsid w:val="3B036091"/>
    <w:rsid w:val="3B0987A5"/>
    <w:rsid w:val="3B174959"/>
    <w:rsid w:val="3B1B69DB"/>
    <w:rsid w:val="3B21A1BE"/>
    <w:rsid w:val="3B290FCE"/>
    <w:rsid w:val="3B4454DA"/>
    <w:rsid w:val="3B69F0DF"/>
    <w:rsid w:val="3B6BB9CF"/>
    <w:rsid w:val="3B7E3D2D"/>
    <w:rsid w:val="3B93B858"/>
    <w:rsid w:val="3BB80C50"/>
    <w:rsid w:val="3BC37749"/>
    <w:rsid w:val="3BC7EDBA"/>
    <w:rsid w:val="3BCAFF8D"/>
    <w:rsid w:val="3BD2B579"/>
    <w:rsid w:val="3BD71000"/>
    <w:rsid w:val="3BD83B40"/>
    <w:rsid w:val="3BE57201"/>
    <w:rsid w:val="3BF0A38B"/>
    <w:rsid w:val="3BF1558C"/>
    <w:rsid w:val="3C1B4EC1"/>
    <w:rsid w:val="3C20BD3B"/>
    <w:rsid w:val="3C279756"/>
    <w:rsid w:val="3C2988E1"/>
    <w:rsid w:val="3C2FE318"/>
    <w:rsid w:val="3C3DBFAC"/>
    <w:rsid w:val="3C3FE82D"/>
    <w:rsid w:val="3C419827"/>
    <w:rsid w:val="3C45E784"/>
    <w:rsid w:val="3C4DD5D6"/>
    <w:rsid w:val="3C4EAA6B"/>
    <w:rsid w:val="3C56C146"/>
    <w:rsid w:val="3C5A8B99"/>
    <w:rsid w:val="3C6101FD"/>
    <w:rsid w:val="3C62AC9E"/>
    <w:rsid w:val="3C7231C5"/>
    <w:rsid w:val="3C7C08A3"/>
    <w:rsid w:val="3C809575"/>
    <w:rsid w:val="3C911744"/>
    <w:rsid w:val="3C9AD996"/>
    <w:rsid w:val="3CA8CAD6"/>
    <w:rsid w:val="3CAF04B5"/>
    <w:rsid w:val="3CB22BBD"/>
    <w:rsid w:val="3CB27456"/>
    <w:rsid w:val="3CB319BA"/>
    <w:rsid w:val="3CC11105"/>
    <w:rsid w:val="3CC5D430"/>
    <w:rsid w:val="3CD2671A"/>
    <w:rsid w:val="3CD37D28"/>
    <w:rsid w:val="3CD46DE3"/>
    <w:rsid w:val="3CD838F9"/>
    <w:rsid w:val="3CDA79AA"/>
    <w:rsid w:val="3CE2EAD4"/>
    <w:rsid w:val="3CE67E37"/>
    <w:rsid w:val="3CEC36FB"/>
    <w:rsid w:val="3CEC44AA"/>
    <w:rsid w:val="3D028E34"/>
    <w:rsid w:val="3D15F560"/>
    <w:rsid w:val="3D18B034"/>
    <w:rsid w:val="3D1CAD89"/>
    <w:rsid w:val="3D1CB945"/>
    <w:rsid w:val="3D20821A"/>
    <w:rsid w:val="3D340E42"/>
    <w:rsid w:val="3D38423B"/>
    <w:rsid w:val="3D3F5651"/>
    <w:rsid w:val="3D41BF16"/>
    <w:rsid w:val="3D43170F"/>
    <w:rsid w:val="3D5104AE"/>
    <w:rsid w:val="3D66A744"/>
    <w:rsid w:val="3D74C621"/>
    <w:rsid w:val="3D75127F"/>
    <w:rsid w:val="3D7686CA"/>
    <w:rsid w:val="3D834CBA"/>
    <w:rsid w:val="3D92DD34"/>
    <w:rsid w:val="3D99A089"/>
    <w:rsid w:val="3D9CE500"/>
    <w:rsid w:val="3DC50DA9"/>
    <w:rsid w:val="3DE67335"/>
    <w:rsid w:val="3DE8A274"/>
    <w:rsid w:val="3DFD0D8B"/>
    <w:rsid w:val="3E04F066"/>
    <w:rsid w:val="3E09FBFF"/>
    <w:rsid w:val="3E108827"/>
    <w:rsid w:val="3E16DF6D"/>
    <w:rsid w:val="3E19C912"/>
    <w:rsid w:val="3E1FA978"/>
    <w:rsid w:val="3E622F3E"/>
    <w:rsid w:val="3E6674FC"/>
    <w:rsid w:val="3E6E377B"/>
    <w:rsid w:val="3E7236FE"/>
    <w:rsid w:val="3E781073"/>
    <w:rsid w:val="3E8258A5"/>
    <w:rsid w:val="3E85FA66"/>
    <w:rsid w:val="3E90ECF3"/>
    <w:rsid w:val="3E99D107"/>
    <w:rsid w:val="3E9D7CBE"/>
    <w:rsid w:val="3EA384F6"/>
    <w:rsid w:val="3EAA2D09"/>
    <w:rsid w:val="3EAE3469"/>
    <w:rsid w:val="3EB431FD"/>
    <w:rsid w:val="3EC45128"/>
    <w:rsid w:val="3EC54578"/>
    <w:rsid w:val="3ECBAC15"/>
    <w:rsid w:val="3EDE46E1"/>
    <w:rsid w:val="3EE88905"/>
    <w:rsid w:val="3EFA9A64"/>
    <w:rsid w:val="3EFC8612"/>
    <w:rsid w:val="3F0B2FE5"/>
    <w:rsid w:val="3F0F70E0"/>
    <w:rsid w:val="3F2085DC"/>
    <w:rsid w:val="3F255DE9"/>
    <w:rsid w:val="3F2D9003"/>
    <w:rsid w:val="3F2D9970"/>
    <w:rsid w:val="3F40AAD2"/>
    <w:rsid w:val="3F47358A"/>
    <w:rsid w:val="3F490942"/>
    <w:rsid w:val="3F631E09"/>
    <w:rsid w:val="3F672472"/>
    <w:rsid w:val="3F9931DB"/>
    <w:rsid w:val="3FAD4448"/>
    <w:rsid w:val="3FB48889"/>
    <w:rsid w:val="3FBE4692"/>
    <w:rsid w:val="3FCB84B8"/>
    <w:rsid w:val="3FCC0B53"/>
    <w:rsid w:val="3FD72A04"/>
    <w:rsid w:val="3FDDC563"/>
    <w:rsid w:val="3FE0E35C"/>
    <w:rsid w:val="3FE83E6E"/>
    <w:rsid w:val="400983E7"/>
    <w:rsid w:val="40107EFD"/>
    <w:rsid w:val="4015C300"/>
    <w:rsid w:val="40203AB4"/>
    <w:rsid w:val="4022CD87"/>
    <w:rsid w:val="4025EE7F"/>
    <w:rsid w:val="4027578D"/>
    <w:rsid w:val="4030BB62"/>
    <w:rsid w:val="404681F9"/>
    <w:rsid w:val="404BED22"/>
    <w:rsid w:val="4054C932"/>
    <w:rsid w:val="4080CBA8"/>
    <w:rsid w:val="4086FCE5"/>
    <w:rsid w:val="40897EB6"/>
    <w:rsid w:val="408D4DF9"/>
    <w:rsid w:val="408E8F6D"/>
    <w:rsid w:val="4090F7E5"/>
    <w:rsid w:val="409B6087"/>
    <w:rsid w:val="40A2CDCF"/>
    <w:rsid w:val="40A9C8EC"/>
    <w:rsid w:val="40AB9A95"/>
    <w:rsid w:val="40B19218"/>
    <w:rsid w:val="40C34A2C"/>
    <w:rsid w:val="40DD700E"/>
    <w:rsid w:val="40F088B1"/>
    <w:rsid w:val="40FDCACF"/>
    <w:rsid w:val="41096E1D"/>
    <w:rsid w:val="410CAA19"/>
    <w:rsid w:val="4111DB20"/>
    <w:rsid w:val="411C309C"/>
    <w:rsid w:val="411E3F1C"/>
    <w:rsid w:val="411F7634"/>
    <w:rsid w:val="41333ACC"/>
    <w:rsid w:val="4143F849"/>
    <w:rsid w:val="4144BF03"/>
    <w:rsid w:val="415CEE02"/>
    <w:rsid w:val="416C93DC"/>
    <w:rsid w:val="41752733"/>
    <w:rsid w:val="417980E1"/>
    <w:rsid w:val="41849A10"/>
    <w:rsid w:val="418CAFE0"/>
    <w:rsid w:val="418F98B7"/>
    <w:rsid w:val="419FC2FF"/>
    <w:rsid w:val="41B0F3B5"/>
    <w:rsid w:val="41B23073"/>
    <w:rsid w:val="41B51695"/>
    <w:rsid w:val="41BA344D"/>
    <w:rsid w:val="41BAA2B7"/>
    <w:rsid w:val="41C88DB5"/>
    <w:rsid w:val="41CA359C"/>
    <w:rsid w:val="41CB8D55"/>
    <w:rsid w:val="41EB0C98"/>
    <w:rsid w:val="41EB2684"/>
    <w:rsid w:val="41EFFEEC"/>
    <w:rsid w:val="41F41565"/>
    <w:rsid w:val="41FA0705"/>
    <w:rsid w:val="4201A037"/>
    <w:rsid w:val="420A2434"/>
    <w:rsid w:val="4211D93C"/>
    <w:rsid w:val="42191950"/>
    <w:rsid w:val="421C5C56"/>
    <w:rsid w:val="42252227"/>
    <w:rsid w:val="42254F17"/>
    <w:rsid w:val="42302E2C"/>
    <w:rsid w:val="423E0ADA"/>
    <w:rsid w:val="423F3276"/>
    <w:rsid w:val="42476FEB"/>
    <w:rsid w:val="424A7D60"/>
    <w:rsid w:val="425105B7"/>
    <w:rsid w:val="426010D0"/>
    <w:rsid w:val="4261F687"/>
    <w:rsid w:val="4269880D"/>
    <w:rsid w:val="426E5BE4"/>
    <w:rsid w:val="429C4749"/>
    <w:rsid w:val="429DCDD4"/>
    <w:rsid w:val="42ADDC1E"/>
    <w:rsid w:val="42B493DC"/>
    <w:rsid w:val="42BBA99C"/>
    <w:rsid w:val="42CC61C5"/>
    <w:rsid w:val="42D86A5A"/>
    <w:rsid w:val="43021DDB"/>
    <w:rsid w:val="430365CE"/>
    <w:rsid w:val="4305FCFE"/>
    <w:rsid w:val="43210DFF"/>
    <w:rsid w:val="432AD70F"/>
    <w:rsid w:val="433195A0"/>
    <w:rsid w:val="434075DC"/>
    <w:rsid w:val="43499744"/>
    <w:rsid w:val="434EC028"/>
    <w:rsid w:val="435865EA"/>
    <w:rsid w:val="435D9493"/>
    <w:rsid w:val="43645E16"/>
    <w:rsid w:val="436A4FF9"/>
    <w:rsid w:val="436B1754"/>
    <w:rsid w:val="43777B41"/>
    <w:rsid w:val="437DB931"/>
    <w:rsid w:val="4381F562"/>
    <w:rsid w:val="438DE5BB"/>
    <w:rsid w:val="4396AA03"/>
    <w:rsid w:val="43A16D4E"/>
    <w:rsid w:val="43A201F1"/>
    <w:rsid w:val="43A4F2C7"/>
    <w:rsid w:val="43B0CD39"/>
    <w:rsid w:val="43C1261F"/>
    <w:rsid w:val="43DDCC2D"/>
    <w:rsid w:val="43E09E47"/>
    <w:rsid w:val="43E30E7C"/>
    <w:rsid w:val="43ED04CF"/>
    <w:rsid w:val="43EDB67B"/>
    <w:rsid w:val="43FE6F4A"/>
    <w:rsid w:val="4415ECF5"/>
    <w:rsid w:val="442D14AD"/>
    <w:rsid w:val="44366A65"/>
    <w:rsid w:val="4436E6DC"/>
    <w:rsid w:val="44373883"/>
    <w:rsid w:val="4442C0CB"/>
    <w:rsid w:val="4449E1A6"/>
    <w:rsid w:val="44550C2B"/>
    <w:rsid w:val="44697AC8"/>
    <w:rsid w:val="446FCDA0"/>
    <w:rsid w:val="44711A6C"/>
    <w:rsid w:val="448074AF"/>
    <w:rsid w:val="4481482F"/>
    <w:rsid w:val="448955E9"/>
    <w:rsid w:val="4495C076"/>
    <w:rsid w:val="44A186C2"/>
    <w:rsid w:val="44ABEA09"/>
    <w:rsid w:val="44BA0B36"/>
    <w:rsid w:val="44C35982"/>
    <w:rsid w:val="44C72496"/>
    <w:rsid w:val="44C884DF"/>
    <w:rsid w:val="44CA04A5"/>
    <w:rsid w:val="44CEA919"/>
    <w:rsid w:val="44D71018"/>
    <w:rsid w:val="44DCA920"/>
    <w:rsid w:val="44E2E9E4"/>
    <w:rsid w:val="44F1D50F"/>
    <w:rsid w:val="44F6A411"/>
    <w:rsid w:val="45027991"/>
    <w:rsid w:val="4523A679"/>
    <w:rsid w:val="452A2BC3"/>
    <w:rsid w:val="452F3E5F"/>
    <w:rsid w:val="4532B8AE"/>
    <w:rsid w:val="4542FF7F"/>
    <w:rsid w:val="4550817C"/>
    <w:rsid w:val="45513493"/>
    <w:rsid w:val="45529F39"/>
    <w:rsid w:val="45537734"/>
    <w:rsid w:val="455EE811"/>
    <w:rsid w:val="45646908"/>
    <w:rsid w:val="456CDDE4"/>
    <w:rsid w:val="456D812F"/>
    <w:rsid w:val="456DFDC0"/>
    <w:rsid w:val="45775C25"/>
    <w:rsid w:val="45816320"/>
    <w:rsid w:val="458AC4B0"/>
    <w:rsid w:val="4598C020"/>
    <w:rsid w:val="459CD187"/>
    <w:rsid w:val="459CDDA2"/>
    <w:rsid w:val="459EB17F"/>
    <w:rsid w:val="459F953E"/>
    <w:rsid w:val="45A4B26E"/>
    <w:rsid w:val="45A9346A"/>
    <w:rsid w:val="45A95BA8"/>
    <w:rsid w:val="45AFEC8F"/>
    <w:rsid w:val="45B12F1F"/>
    <w:rsid w:val="45C3E58D"/>
    <w:rsid w:val="45C42C1A"/>
    <w:rsid w:val="45E03287"/>
    <w:rsid w:val="45EFD165"/>
    <w:rsid w:val="45F59951"/>
    <w:rsid w:val="462C86B8"/>
    <w:rsid w:val="462D54F9"/>
    <w:rsid w:val="462DE699"/>
    <w:rsid w:val="4631F9EA"/>
    <w:rsid w:val="4633343F"/>
    <w:rsid w:val="463A95F2"/>
    <w:rsid w:val="46408D37"/>
    <w:rsid w:val="464544F9"/>
    <w:rsid w:val="464578BD"/>
    <w:rsid w:val="4651F7B7"/>
    <w:rsid w:val="46594CFA"/>
    <w:rsid w:val="4665A093"/>
    <w:rsid w:val="466F8DD2"/>
    <w:rsid w:val="467BB8B0"/>
    <w:rsid w:val="468A020A"/>
    <w:rsid w:val="468CCD9C"/>
    <w:rsid w:val="468D540D"/>
    <w:rsid w:val="4691E924"/>
    <w:rsid w:val="46A4D30D"/>
    <w:rsid w:val="46B84512"/>
    <w:rsid w:val="46C5FC24"/>
    <w:rsid w:val="46C62EB9"/>
    <w:rsid w:val="46C76460"/>
    <w:rsid w:val="46E0F0B4"/>
    <w:rsid w:val="46EBDE84"/>
    <w:rsid w:val="46EE1687"/>
    <w:rsid w:val="46F04259"/>
    <w:rsid w:val="46F7766A"/>
    <w:rsid w:val="46FDA61B"/>
    <w:rsid w:val="470DF34C"/>
    <w:rsid w:val="4712A5B8"/>
    <w:rsid w:val="471A5488"/>
    <w:rsid w:val="471D3381"/>
    <w:rsid w:val="471EC79E"/>
    <w:rsid w:val="47265FA8"/>
    <w:rsid w:val="472771A9"/>
    <w:rsid w:val="472B4939"/>
    <w:rsid w:val="4730FC0C"/>
    <w:rsid w:val="474252AB"/>
    <w:rsid w:val="474924D1"/>
    <w:rsid w:val="47538345"/>
    <w:rsid w:val="4753A4D9"/>
    <w:rsid w:val="4758B3E9"/>
    <w:rsid w:val="475E8FD3"/>
    <w:rsid w:val="4766A1D7"/>
    <w:rsid w:val="4766A568"/>
    <w:rsid w:val="4766DE7A"/>
    <w:rsid w:val="47694CCB"/>
    <w:rsid w:val="476C7ED2"/>
    <w:rsid w:val="476EB2BF"/>
    <w:rsid w:val="47731F44"/>
    <w:rsid w:val="47743533"/>
    <w:rsid w:val="4778DB17"/>
    <w:rsid w:val="47805A63"/>
    <w:rsid w:val="4781FEFC"/>
    <w:rsid w:val="4785761C"/>
    <w:rsid w:val="4788065A"/>
    <w:rsid w:val="47893171"/>
    <w:rsid w:val="479ADF75"/>
    <w:rsid w:val="479CC108"/>
    <w:rsid w:val="479F24A6"/>
    <w:rsid w:val="47A76E62"/>
    <w:rsid w:val="47AB73DF"/>
    <w:rsid w:val="47B2C15F"/>
    <w:rsid w:val="47BAFFBC"/>
    <w:rsid w:val="47BDAEF9"/>
    <w:rsid w:val="47C6EA51"/>
    <w:rsid w:val="47C9255A"/>
    <w:rsid w:val="47CCADCF"/>
    <w:rsid w:val="47D56D2C"/>
    <w:rsid w:val="47DA6028"/>
    <w:rsid w:val="47DAD3FF"/>
    <w:rsid w:val="47DB9CCB"/>
    <w:rsid w:val="47EFFD9B"/>
    <w:rsid w:val="480C6D85"/>
    <w:rsid w:val="481021A2"/>
    <w:rsid w:val="48104D74"/>
    <w:rsid w:val="481AEFBC"/>
    <w:rsid w:val="481D4216"/>
    <w:rsid w:val="481FFE11"/>
    <w:rsid w:val="482219BB"/>
    <w:rsid w:val="48309151"/>
    <w:rsid w:val="48381B43"/>
    <w:rsid w:val="483B4DD7"/>
    <w:rsid w:val="48433223"/>
    <w:rsid w:val="484BFCEE"/>
    <w:rsid w:val="484FC2E1"/>
    <w:rsid w:val="48561355"/>
    <w:rsid w:val="485CE657"/>
    <w:rsid w:val="485D356A"/>
    <w:rsid w:val="4868F43E"/>
    <w:rsid w:val="486B1FD3"/>
    <w:rsid w:val="486C7294"/>
    <w:rsid w:val="486FD108"/>
    <w:rsid w:val="488005F0"/>
    <w:rsid w:val="488A3FFB"/>
    <w:rsid w:val="489C09CA"/>
    <w:rsid w:val="48A21DC6"/>
    <w:rsid w:val="48A2DD47"/>
    <w:rsid w:val="48A4A13E"/>
    <w:rsid w:val="48A59E82"/>
    <w:rsid w:val="48A78A46"/>
    <w:rsid w:val="48B58729"/>
    <w:rsid w:val="48BBC91E"/>
    <w:rsid w:val="48C03D59"/>
    <w:rsid w:val="48C9CDEC"/>
    <w:rsid w:val="48CD035B"/>
    <w:rsid w:val="48EAE8E4"/>
    <w:rsid w:val="48ECF39B"/>
    <w:rsid w:val="48EF9B2D"/>
    <w:rsid w:val="48F40841"/>
    <w:rsid w:val="48F426C3"/>
    <w:rsid w:val="48FBEDB3"/>
    <w:rsid w:val="4903452B"/>
    <w:rsid w:val="49070A09"/>
    <w:rsid w:val="490A1045"/>
    <w:rsid w:val="490D3B51"/>
    <w:rsid w:val="4933E658"/>
    <w:rsid w:val="4939C4A1"/>
    <w:rsid w:val="49429091"/>
    <w:rsid w:val="49463F12"/>
    <w:rsid w:val="4946A344"/>
    <w:rsid w:val="4947698E"/>
    <w:rsid w:val="49534DA9"/>
    <w:rsid w:val="49571A5D"/>
    <w:rsid w:val="497236B4"/>
    <w:rsid w:val="49761568"/>
    <w:rsid w:val="498688CF"/>
    <w:rsid w:val="499E02D2"/>
    <w:rsid w:val="49CA1534"/>
    <w:rsid w:val="49CA6737"/>
    <w:rsid w:val="49CC5E5D"/>
    <w:rsid w:val="49CD4B29"/>
    <w:rsid w:val="49D297EC"/>
    <w:rsid w:val="49D30971"/>
    <w:rsid w:val="49D88157"/>
    <w:rsid w:val="49EE04B2"/>
    <w:rsid w:val="49F7179C"/>
    <w:rsid w:val="4A09094B"/>
    <w:rsid w:val="4A232BC0"/>
    <w:rsid w:val="4A2EBB70"/>
    <w:rsid w:val="4A37DA2B"/>
    <w:rsid w:val="4A483C8D"/>
    <w:rsid w:val="4A5838DA"/>
    <w:rsid w:val="4A597764"/>
    <w:rsid w:val="4A5C03DF"/>
    <w:rsid w:val="4A65EECF"/>
    <w:rsid w:val="4A6835F3"/>
    <w:rsid w:val="4A6DB6A2"/>
    <w:rsid w:val="4A7057DA"/>
    <w:rsid w:val="4A73F797"/>
    <w:rsid w:val="4A7E1F03"/>
    <w:rsid w:val="4A805DD8"/>
    <w:rsid w:val="4A8A7489"/>
    <w:rsid w:val="4AAFA8E7"/>
    <w:rsid w:val="4AB6605B"/>
    <w:rsid w:val="4AC1D91C"/>
    <w:rsid w:val="4AD15464"/>
    <w:rsid w:val="4AD314F1"/>
    <w:rsid w:val="4AE1687B"/>
    <w:rsid w:val="4AE3C8CE"/>
    <w:rsid w:val="4AF3D033"/>
    <w:rsid w:val="4AF5E3F6"/>
    <w:rsid w:val="4AFE0395"/>
    <w:rsid w:val="4B056B0F"/>
    <w:rsid w:val="4B05D7B0"/>
    <w:rsid w:val="4B0A2374"/>
    <w:rsid w:val="4B25A5B6"/>
    <w:rsid w:val="4B3145A4"/>
    <w:rsid w:val="4B4404BA"/>
    <w:rsid w:val="4B492F87"/>
    <w:rsid w:val="4B611693"/>
    <w:rsid w:val="4B65D1BB"/>
    <w:rsid w:val="4B6CA36A"/>
    <w:rsid w:val="4B6F6FFB"/>
    <w:rsid w:val="4B7451B8"/>
    <w:rsid w:val="4B8A094A"/>
    <w:rsid w:val="4BA2DF7D"/>
    <w:rsid w:val="4BA859E4"/>
    <w:rsid w:val="4BB3E6C9"/>
    <w:rsid w:val="4BB6901E"/>
    <w:rsid w:val="4BB931B4"/>
    <w:rsid w:val="4BC1CFEA"/>
    <w:rsid w:val="4BC21899"/>
    <w:rsid w:val="4BC5D815"/>
    <w:rsid w:val="4BC6A136"/>
    <w:rsid w:val="4BC744F5"/>
    <w:rsid w:val="4BCAE491"/>
    <w:rsid w:val="4BE40CEE"/>
    <w:rsid w:val="4BEC6EF5"/>
    <w:rsid w:val="4BEC9B89"/>
    <w:rsid w:val="4BF0A4A4"/>
    <w:rsid w:val="4C006934"/>
    <w:rsid w:val="4C046D2F"/>
    <w:rsid w:val="4C1336D8"/>
    <w:rsid w:val="4C13F543"/>
    <w:rsid w:val="4C15BDF6"/>
    <w:rsid w:val="4C190171"/>
    <w:rsid w:val="4C19668C"/>
    <w:rsid w:val="4C1B8B40"/>
    <w:rsid w:val="4C1FF449"/>
    <w:rsid w:val="4C255098"/>
    <w:rsid w:val="4C2BE5A3"/>
    <w:rsid w:val="4C43D565"/>
    <w:rsid w:val="4C45CE7C"/>
    <w:rsid w:val="4C47298D"/>
    <w:rsid w:val="4C4759D2"/>
    <w:rsid w:val="4C51A311"/>
    <w:rsid w:val="4C54BE01"/>
    <w:rsid w:val="4C6FDF79"/>
    <w:rsid w:val="4C840661"/>
    <w:rsid w:val="4C8FE8C3"/>
    <w:rsid w:val="4CA40AD8"/>
    <w:rsid w:val="4CA6C4FD"/>
    <w:rsid w:val="4CB16DE5"/>
    <w:rsid w:val="4CB5BE0D"/>
    <w:rsid w:val="4CBA7485"/>
    <w:rsid w:val="4CCCD420"/>
    <w:rsid w:val="4CE22A50"/>
    <w:rsid w:val="4CE60420"/>
    <w:rsid w:val="4D0B7909"/>
    <w:rsid w:val="4D0EE5D1"/>
    <w:rsid w:val="4D10429C"/>
    <w:rsid w:val="4D182725"/>
    <w:rsid w:val="4D1F5083"/>
    <w:rsid w:val="4D21699F"/>
    <w:rsid w:val="4D2602BF"/>
    <w:rsid w:val="4D287884"/>
    <w:rsid w:val="4D304B26"/>
    <w:rsid w:val="4D3364F8"/>
    <w:rsid w:val="4D3B1D35"/>
    <w:rsid w:val="4D3E99CC"/>
    <w:rsid w:val="4D3EAFDE"/>
    <w:rsid w:val="4D46C554"/>
    <w:rsid w:val="4D4BB446"/>
    <w:rsid w:val="4D5B6762"/>
    <w:rsid w:val="4D5D5D68"/>
    <w:rsid w:val="4D5DB11E"/>
    <w:rsid w:val="4D61E6CE"/>
    <w:rsid w:val="4D6BD41B"/>
    <w:rsid w:val="4D7303F7"/>
    <w:rsid w:val="4D7A802C"/>
    <w:rsid w:val="4D7ADD10"/>
    <w:rsid w:val="4D807389"/>
    <w:rsid w:val="4D8334DB"/>
    <w:rsid w:val="4D8A74CB"/>
    <w:rsid w:val="4DA9124C"/>
    <w:rsid w:val="4DAF1CE7"/>
    <w:rsid w:val="4DB36BC0"/>
    <w:rsid w:val="4DB9460F"/>
    <w:rsid w:val="4DBF3C67"/>
    <w:rsid w:val="4DC8B60A"/>
    <w:rsid w:val="4DD0459A"/>
    <w:rsid w:val="4DD370BB"/>
    <w:rsid w:val="4DD9E2A8"/>
    <w:rsid w:val="4DF40D58"/>
    <w:rsid w:val="4DF42883"/>
    <w:rsid w:val="4DFAD65A"/>
    <w:rsid w:val="4E12F593"/>
    <w:rsid w:val="4E177C80"/>
    <w:rsid w:val="4E2BECAF"/>
    <w:rsid w:val="4E344BCB"/>
    <w:rsid w:val="4E51136B"/>
    <w:rsid w:val="4E6BB2BC"/>
    <w:rsid w:val="4E8D479F"/>
    <w:rsid w:val="4E971251"/>
    <w:rsid w:val="4E9BCD9D"/>
    <w:rsid w:val="4EA34201"/>
    <w:rsid w:val="4EAA8F56"/>
    <w:rsid w:val="4EAEC12E"/>
    <w:rsid w:val="4EC55098"/>
    <w:rsid w:val="4ED1B05F"/>
    <w:rsid w:val="4ED45DF6"/>
    <w:rsid w:val="4ED6676C"/>
    <w:rsid w:val="4EDD6B8B"/>
    <w:rsid w:val="4EE59F4B"/>
    <w:rsid w:val="4EEE30E0"/>
    <w:rsid w:val="4EEE60D0"/>
    <w:rsid w:val="4EF65E24"/>
    <w:rsid w:val="4EF7EC29"/>
    <w:rsid w:val="4F1258E3"/>
    <w:rsid w:val="4F13350E"/>
    <w:rsid w:val="4F1BADB0"/>
    <w:rsid w:val="4F214322"/>
    <w:rsid w:val="4F235AB1"/>
    <w:rsid w:val="4F291692"/>
    <w:rsid w:val="4F4DA967"/>
    <w:rsid w:val="4F4F91CF"/>
    <w:rsid w:val="4F5C3545"/>
    <w:rsid w:val="4F62A6A1"/>
    <w:rsid w:val="4F6B5525"/>
    <w:rsid w:val="4F6C529D"/>
    <w:rsid w:val="4F9B4EE6"/>
    <w:rsid w:val="4FA99F49"/>
    <w:rsid w:val="4FADC586"/>
    <w:rsid w:val="4FAF2D62"/>
    <w:rsid w:val="4FB5902B"/>
    <w:rsid w:val="4FC1C29D"/>
    <w:rsid w:val="4FC23064"/>
    <w:rsid w:val="4FCCCF3C"/>
    <w:rsid w:val="4FD11960"/>
    <w:rsid w:val="4FE17838"/>
    <w:rsid w:val="4FE2C34E"/>
    <w:rsid w:val="4FE706E3"/>
    <w:rsid w:val="4FF13908"/>
    <w:rsid w:val="4FF4A0D4"/>
    <w:rsid w:val="4FFDCEF9"/>
    <w:rsid w:val="500038E2"/>
    <w:rsid w:val="5000634B"/>
    <w:rsid w:val="50113D39"/>
    <w:rsid w:val="50177F6A"/>
    <w:rsid w:val="50281FE4"/>
    <w:rsid w:val="502C2441"/>
    <w:rsid w:val="502F59FD"/>
    <w:rsid w:val="50355AE7"/>
    <w:rsid w:val="503959C7"/>
    <w:rsid w:val="50440907"/>
    <w:rsid w:val="504B0A59"/>
    <w:rsid w:val="505D18AB"/>
    <w:rsid w:val="5068474F"/>
    <w:rsid w:val="508A7F88"/>
    <w:rsid w:val="50905EAE"/>
    <w:rsid w:val="509DD237"/>
    <w:rsid w:val="50A5AD4C"/>
    <w:rsid w:val="50ACB8D1"/>
    <w:rsid w:val="50AE0A86"/>
    <w:rsid w:val="50B02A34"/>
    <w:rsid w:val="50C0CB62"/>
    <w:rsid w:val="50CB06A6"/>
    <w:rsid w:val="50D1548F"/>
    <w:rsid w:val="50DF995E"/>
    <w:rsid w:val="50E378AC"/>
    <w:rsid w:val="50EEFC63"/>
    <w:rsid w:val="50F8A84E"/>
    <w:rsid w:val="5108002A"/>
    <w:rsid w:val="5109450C"/>
    <w:rsid w:val="5109A54A"/>
    <w:rsid w:val="511483DD"/>
    <w:rsid w:val="51158EA0"/>
    <w:rsid w:val="5116BE7E"/>
    <w:rsid w:val="51386C1C"/>
    <w:rsid w:val="514BC2E0"/>
    <w:rsid w:val="5167ACA4"/>
    <w:rsid w:val="517A3D16"/>
    <w:rsid w:val="517CD051"/>
    <w:rsid w:val="517F9CEB"/>
    <w:rsid w:val="5182E0E6"/>
    <w:rsid w:val="518C4FD5"/>
    <w:rsid w:val="518C9D09"/>
    <w:rsid w:val="51971EEC"/>
    <w:rsid w:val="51986059"/>
    <w:rsid w:val="5199AE1D"/>
    <w:rsid w:val="519DFBA0"/>
    <w:rsid w:val="519E9293"/>
    <w:rsid w:val="51A9A92D"/>
    <w:rsid w:val="51AD91E8"/>
    <w:rsid w:val="51ADEEC0"/>
    <w:rsid w:val="51B4088C"/>
    <w:rsid w:val="51C61A25"/>
    <w:rsid w:val="51C87796"/>
    <w:rsid w:val="51CCAAE9"/>
    <w:rsid w:val="51CCD43D"/>
    <w:rsid w:val="51DAD45B"/>
    <w:rsid w:val="51E3933C"/>
    <w:rsid w:val="51F2C746"/>
    <w:rsid w:val="51F4803D"/>
    <w:rsid w:val="51F8DC30"/>
    <w:rsid w:val="5200CF58"/>
    <w:rsid w:val="52077D8E"/>
    <w:rsid w:val="520B0F56"/>
    <w:rsid w:val="5212E68E"/>
    <w:rsid w:val="521354DA"/>
    <w:rsid w:val="52141B30"/>
    <w:rsid w:val="5218F47F"/>
    <w:rsid w:val="521B79F7"/>
    <w:rsid w:val="521DA3E8"/>
    <w:rsid w:val="5223F6F8"/>
    <w:rsid w:val="522F5B4D"/>
    <w:rsid w:val="5233B53B"/>
    <w:rsid w:val="52485886"/>
    <w:rsid w:val="524AD5D0"/>
    <w:rsid w:val="524B3A77"/>
    <w:rsid w:val="524FF5A9"/>
    <w:rsid w:val="5251BAA5"/>
    <w:rsid w:val="5253AF06"/>
    <w:rsid w:val="525FE628"/>
    <w:rsid w:val="5263D5F4"/>
    <w:rsid w:val="527F835C"/>
    <w:rsid w:val="52938DDB"/>
    <w:rsid w:val="5299205E"/>
    <w:rsid w:val="529A83A7"/>
    <w:rsid w:val="52A290B6"/>
    <w:rsid w:val="52A65693"/>
    <w:rsid w:val="52A6BEEB"/>
    <w:rsid w:val="52BE241C"/>
    <w:rsid w:val="52C9F0C3"/>
    <w:rsid w:val="52DCF100"/>
    <w:rsid w:val="52E3CE31"/>
    <w:rsid w:val="530B37BB"/>
    <w:rsid w:val="530F4E04"/>
    <w:rsid w:val="531A1EBB"/>
    <w:rsid w:val="5325DADE"/>
    <w:rsid w:val="533137B3"/>
    <w:rsid w:val="533584B1"/>
    <w:rsid w:val="533A0453"/>
    <w:rsid w:val="53486994"/>
    <w:rsid w:val="534FD8ED"/>
    <w:rsid w:val="534FE6F2"/>
    <w:rsid w:val="535A0B82"/>
    <w:rsid w:val="535AEDA1"/>
    <w:rsid w:val="536288A6"/>
    <w:rsid w:val="53766EF6"/>
    <w:rsid w:val="537A422F"/>
    <w:rsid w:val="537B2A02"/>
    <w:rsid w:val="537F639D"/>
    <w:rsid w:val="539E1D47"/>
    <w:rsid w:val="53B650C8"/>
    <w:rsid w:val="53BAD8CE"/>
    <w:rsid w:val="53BD56FC"/>
    <w:rsid w:val="53C52D52"/>
    <w:rsid w:val="53C92276"/>
    <w:rsid w:val="53CB5D4C"/>
    <w:rsid w:val="53CBC1A6"/>
    <w:rsid w:val="53DBD963"/>
    <w:rsid w:val="53E6EEE5"/>
    <w:rsid w:val="53F6CA45"/>
    <w:rsid w:val="53FBB689"/>
    <w:rsid w:val="5403759E"/>
    <w:rsid w:val="5408AD0D"/>
    <w:rsid w:val="541882C7"/>
    <w:rsid w:val="541EBA19"/>
    <w:rsid w:val="54269D25"/>
    <w:rsid w:val="5431BC52"/>
    <w:rsid w:val="5438E3F5"/>
    <w:rsid w:val="543B2182"/>
    <w:rsid w:val="54466FCD"/>
    <w:rsid w:val="5447EAA4"/>
    <w:rsid w:val="545A0D58"/>
    <w:rsid w:val="545E1854"/>
    <w:rsid w:val="5464F288"/>
    <w:rsid w:val="546D1810"/>
    <w:rsid w:val="547F9E92"/>
    <w:rsid w:val="5484E60F"/>
    <w:rsid w:val="5488ECDE"/>
    <w:rsid w:val="548E41AB"/>
    <w:rsid w:val="5492B766"/>
    <w:rsid w:val="5494C83F"/>
    <w:rsid w:val="549E96D8"/>
    <w:rsid w:val="54A02EAA"/>
    <w:rsid w:val="54A09FFD"/>
    <w:rsid w:val="54A8F4C0"/>
    <w:rsid w:val="54B40BAC"/>
    <w:rsid w:val="54C2EBBF"/>
    <w:rsid w:val="54C2F244"/>
    <w:rsid w:val="54D0B2CA"/>
    <w:rsid w:val="54D43406"/>
    <w:rsid w:val="54D7B6B8"/>
    <w:rsid w:val="54F1E6C4"/>
    <w:rsid w:val="55074830"/>
    <w:rsid w:val="550AAB72"/>
    <w:rsid w:val="550AD8E6"/>
    <w:rsid w:val="551177F6"/>
    <w:rsid w:val="552629F1"/>
    <w:rsid w:val="552AFFD3"/>
    <w:rsid w:val="552D1A84"/>
    <w:rsid w:val="55312BCE"/>
    <w:rsid w:val="554447C7"/>
    <w:rsid w:val="554647E7"/>
    <w:rsid w:val="554B1994"/>
    <w:rsid w:val="555012B9"/>
    <w:rsid w:val="5555FC8C"/>
    <w:rsid w:val="5559C894"/>
    <w:rsid w:val="555BDECA"/>
    <w:rsid w:val="555F804F"/>
    <w:rsid w:val="5560FDB3"/>
    <w:rsid w:val="55613A2A"/>
    <w:rsid w:val="5563CFD1"/>
    <w:rsid w:val="557BDEE2"/>
    <w:rsid w:val="557FDCA5"/>
    <w:rsid w:val="559135D2"/>
    <w:rsid w:val="559D8655"/>
    <w:rsid w:val="55A5D717"/>
    <w:rsid w:val="55AE3F02"/>
    <w:rsid w:val="55B4D549"/>
    <w:rsid w:val="55B8B36D"/>
    <w:rsid w:val="55C76ECC"/>
    <w:rsid w:val="55C7DE76"/>
    <w:rsid w:val="55D81057"/>
    <w:rsid w:val="55DA6819"/>
    <w:rsid w:val="55DB04B4"/>
    <w:rsid w:val="55DBBDCC"/>
    <w:rsid w:val="55EAFC2B"/>
    <w:rsid w:val="55EB2021"/>
    <w:rsid w:val="55F294BE"/>
    <w:rsid w:val="55F5D555"/>
    <w:rsid w:val="55FB01B0"/>
    <w:rsid w:val="560852C4"/>
    <w:rsid w:val="560B669C"/>
    <w:rsid w:val="5612AFA5"/>
    <w:rsid w:val="56134AE2"/>
    <w:rsid w:val="56185739"/>
    <w:rsid w:val="561C8978"/>
    <w:rsid w:val="56257B04"/>
    <w:rsid w:val="562D9F07"/>
    <w:rsid w:val="563529F6"/>
    <w:rsid w:val="56465061"/>
    <w:rsid w:val="56552768"/>
    <w:rsid w:val="56564867"/>
    <w:rsid w:val="565BAF10"/>
    <w:rsid w:val="565BB5CA"/>
    <w:rsid w:val="565EBC20"/>
    <w:rsid w:val="5667CC52"/>
    <w:rsid w:val="5670756F"/>
    <w:rsid w:val="5673F84B"/>
    <w:rsid w:val="5674BBE2"/>
    <w:rsid w:val="567A741C"/>
    <w:rsid w:val="5688BC09"/>
    <w:rsid w:val="568AC37F"/>
    <w:rsid w:val="56951A96"/>
    <w:rsid w:val="56958805"/>
    <w:rsid w:val="5697EFF4"/>
    <w:rsid w:val="56A29D9B"/>
    <w:rsid w:val="56AEE238"/>
    <w:rsid w:val="56B1DE63"/>
    <w:rsid w:val="56B7045F"/>
    <w:rsid w:val="56C6267B"/>
    <w:rsid w:val="56CC4D53"/>
    <w:rsid w:val="56D128DB"/>
    <w:rsid w:val="56DFD45E"/>
    <w:rsid w:val="56E8B9D6"/>
    <w:rsid w:val="56EF92D1"/>
    <w:rsid w:val="56F01558"/>
    <w:rsid w:val="56F8CA5B"/>
    <w:rsid w:val="56FCE31E"/>
    <w:rsid w:val="5704A487"/>
    <w:rsid w:val="57051E99"/>
    <w:rsid w:val="570BFE34"/>
    <w:rsid w:val="5714886D"/>
    <w:rsid w:val="571AD130"/>
    <w:rsid w:val="571D6671"/>
    <w:rsid w:val="571F6BB8"/>
    <w:rsid w:val="57217374"/>
    <w:rsid w:val="572BE814"/>
    <w:rsid w:val="5758B37E"/>
    <w:rsid w:val="575AB8EC"/>
    <w:rsid w:val="575B2A54"/>
    <w:rsid w:val="5768A4A2"/>
    <w:rsid w:val="5775CC1F"/>
    <w:rsid w:val="5776E276"/>
    <w:rsid w:val="577A83E1"/>
    <w:rsid w:val="577F807A"/>
    <w:rsid w:val="578E1875"/>
    <w:rsid w:val="579C4A95"/>
    <w:rsid w:val="579DA9BD"/>
    <w:rsid w:val="57A3C628"/>
    <w:rsid w:val="57A925C5"/>
    <w:rsid w:val="57AA00BC"/>
    <w:rsid w:val="57B1A9BC"/>
    <w:rsid w:val="57C08DA0"/>
    <w:rsid w:val="57D7C638"/>
    <w:rsid w:val="57E7F617"/>
    <w:rsid w:val="57E85AE0"/>
    <w:rsid w:val="57E8D8A9"/>
    <w:rsid w:val="57ED05D5"/>
    <w:rsid w:val="57ED1C40"/>
    <w:rsid w:val="57EDCBAF"/>
    <w:rsid w:val="57F0F7C9"/>
    <w:rsid w:val="57FB5EC1"/>
    <w:rsid w:val="57FDD16D"/>
    <w:rsid w:val="57FFF59F"/>
    <w:rsid w:val="58094094"/>
    <w:rsid w:val="580B916F"/>
    <w:rsid w:val="5813A2C5"/>
    <w:rsid w:val="581818D2"/>
    <w:rsid w:val="5820B204"/>
    <w:rsid w:val="583AE2C9"/>
    <w:rsid w:val="584C5D91"/>
    <w:rsid w:val="58505718"/>
    <w:rsid w:val="5858DF03"/>
    <w:rsid w:val="58616C3F"/>
    <w:rsid w:val="5866D180"/>
    <w:rsid w:val="5868788C"/>
    <w:rsid w:val="586ED6E6"/>
    <w:rsid w:val="587A4D9F"/>
    <w:rsid w:val="587DCF6C"/>
    <w:rsid w:val="588481D5"/>
    <w:rsid w:val="5887CA60"/>
    <w:rsid w:val="589758F9"/>
    <w:rsid w:val="589F55DC"/>
    <w:rsid w:val="58A0EEF7"/>
    <w:rsid w:val="58A6F94A"/>
    <w:rsid w:val="58B1C6D2"/>
    <w:rsid w:val="58BAA270"/>
    <w:rsid w:val="58C00F92"/>
    <w:rsid w:val="58CB3638"/>
    <w:rsid w:val="58CF0DA3"/>
    <w:rsid w:val="58DC2936"/>
    <w:rsid w:val="58DE9DAA"/>
    <w:rsid w:val="58DEEEDE"/>
    <w:rsid w:val="58E26A58"/>
    <w:rsid w:val="58F3A12B"/>
    <w:rsid w:val="58FF0DBA"/>
    <w:rsid w:val="590696BE"/>
    <w:rsid w:val="590F91CC"/>
    <w:rsid w:val="5912A576"/>
    <w:rsid w:val="59325699"/>
    <w:rsid w:val="5937BDD2"/>
    <w:rsid w:val="59382B90"/>
    <w:rsid w:val="593E8231"/>
    <w:rsid w:val="59422C03"/>
    <w:rsid w:val="5943DC05"/>
    <w:rsid w:val="594E10C2"/>
    <w:rsid w:val="595C99DF"/>
    <w:rsid w:val="595D30F4"/>
    <w:rsid w:val="59600E33"/>
    <w:rsid w:val="5965FFC0"/>
    <w:rsid w:val="596A2CF2"/>
    <w:rsid w:val="5972B44E"/>
    <w:rsid w:val="59796F34"/>
    <w:rsid w:val="59831E63"/>
    <w:rsid w:val="598DF2CB"/>
    <w:rsid w:val="5995E051"/>
    <w:rsid w:val="599E3A99"/>
    <w:rsid w:val="59A0F8F3"/>
    <w:rsid w:val="59A4C002"/>
    <w:rsid w:val="59A62BAE"/>
    <w:rsid w:val="59A90F49"/>
    <w:rsid w:val="59ABBDA0"/>
    <w:rsid w:val="59AF853F"/>
    <w:rsid w:val="59B0E2B7"/>
    <w:rsid w:val="59BB0902"/>
    <w:rsid w:val="59BEAF4D"/>
    <w:rsid w:val="59C5A34B"/>
    <w:rsid w:val="59C82BDC"/>
    <w:rsid w:val="59CA30E4"/>
    <w:rsid w:val="59D0092D"/>
    <w:rsid w:val="59D922A9"/>
    <w:rsid w:val="59E64F3E"/>
    <w:rsid w:val="59F0A6D7"/>
    <w:rsid w:val="59FCB58A"/>
    <w:rsid w:val="59FE685C"/>
    <w:rsid w:val="5A018DD7"/>
    <w:rsid w:val="5A1B51A5"/>
    <w:rsid w:val="5A1B8D42"/>
    <w:rsid w:val="5A2851F2"/>
    <w:rsid w:val="5A31877F"/>
    <w:rsid w:val="5A3472C8"/>
    <w:rsid w:val="5A3549EF"/>
    <w:rsid w:val="5A357455"/>
    <w:rsid w:val="5A36EB7D"/>
    <w:rsid w:val="5A4134C6"/>
    <w:rsid w:val="5A458A61"/>
    <w:rsid w:val="5A5DCFE9"/>
    <w:rsid w:val="5A72B08E"/>
    <w:rsid w:val="5A732E96"/>
    <w:rsid w:val="5A73FB44"/>
    <w:rsid w:val="5A795C27"/>
    <w:rsid w:val="5A7A33DF"/>
    <w:rsid w:val="5A88F2E8"/>
    <w:rsid w:val="5A905C86"/>
    <w:rsid w:val="5A9888D1"/>
    <w:rsid w:val="5A9D9ECE"/>
    <w:rsid w:val="5AA056D8"/>
    <w:rsid w:val="5ABFA2C5"/>
    <w:rsid w:val="5AC47AC0"/>
    <w:rsid w:val="5AC4F2D3"/>
    <w:rsid w:val="5AC5CEC4"/>
    <w:rsid w:val="5AC9D862"/>
    <w:rsid w:val="5ACD340B"/>
    <w:rsid w:val="5ADE811A"/>
    <w:rsid w:val="5AE5F777"/>
    <w:rsid w:val="5AE94A7E"/>
    <w:rsid w:val="5AEE9217"/>
    <w:rsid w:val="5AF1605D"/>
    <w:rsid w:val="5B08EBDF"/>
    <w:rsid w:val="5B14275F"/>
    <w:rsid w:val="5B178926"/>
    <w:rsid w:val="5B1A67F7"/>
    <w:rsid w:val="5B31CAAE"/>
    <w:rsid w:val="5B3D1250"/>
    <w:rsid w:val="5B4376DA"/>
    <w:rsid w:val="5B4D298C"/>
    <w:rsid w:val="5B4FB994"/>
    <w:rsid w:val="5B5784BF"/>
    <w:rsid w:val="5B645B09"/>
    <w:rsid w:val="5B67B1F0"/>
    <w:rsid w:val="5B6BA6AC"/>
    <w:rsid w:val="5B7A7DAB"/>
    <w:rsid w:val="5B7B9209"/>
    <w:rsid w:val="5B7C095F"/>
    <w:rsid w:val="5B7FDEE0"/>
    <w:rsid w:val="5B813A06"/>
    <w:rsid w:val="5B82F79C"/>
    <w:rsid w:val="5B84E494"/>
    <w:rsid w:val="5B886F3B"/>
    <w:rsid w:val="5B89E54E"/>
    <w:rsid w:val="5B97D0F0"/>
    <w:rsid w:val="5BA5F2FF"/>
    <w:rsid w:val="5BA62420"/>
    <w:rsid w:val="5BD03F37"/>
    <w:rsid w:val="5BE5E3A0"/>
    <w:rsid w:val="5BE630B9"/>
    <w:rsid w:val="5BF591F7"/>
    <w:rsid w:val="5BFC8709"/>
    <w:rsid w:val="5C06988E"/>
    <w:rsid w:val="5C096E0F"/>
    <w:rsid w:val="5C0E73B1"/>
    <w:rsid w:val="5C1AB720"/>
    <w:rsid w:val="5C2D8FB6"/>
    <w:rsid w:val="5C38DE35"/>
    <w:rsid w:val="5C3CB6EC"/>
    <w:rsid w:val="5C51D4F3"/>
    <w:rsid w:val="5C655A46"/>
    <w:rsid w:val="5C671854"/>
    <w:rsid w:val="5C6F475D"/>
    <w:rsid w:val="5C7B5C6F"/>
    <w:rsid w:val="5C7E6179"/>
    <w:rsid w:val="5C8583B3"/>
    <w:rsid w:val="5C89FB66"/>
    <w:rsid w:val="5C9172B7"/>
    <w:rsid w:val="5C9F2ADC"/>
    <w:rsid w:val="5CACC63A"/>
    <w:rsid w:val="5CB29F1D"/>
    <w:rsid w:val="5CB2C3EA"/>
    <w:rsid w:val="5CB56517"/>
    <w:rsid w:val="5CC17DC1"/>
    <w:rsid w:val="5CC589EB"/>
    <w:rsid w:val="5CCA8378"/>
    <w:rsid w:val="5CDC1F86"/>
    <w:rsid w:val="5CE5CD78"/>
    <w:rsid w:val="5CE60625"/>
    <w:rsid w:val="5CEA3EE6"/>
    <w:rsid w:val="5CEAC560"/>
    <w:rsid w:val="5CEB89F5"/>
    <w:rsid w:val="5CF626B7"/>
    <w:rsid w:val="5D0ABF86"/>
    <w:rsid w:val="5D0B018B"/>
    <w:rsid w:val="5D0DEF0B"/>
    <w:rsid w:val="5D109B83"/>
    <w:rsid w:val="5D25D0B2"/>
    <w:rsid w:val="5D33A151"/>
    <w:rsid w:val="5D38F38E"/>
    <w:rsid w:val="5D45943F"/>
    <w:rsid w:val="5D4A5CD1"/>
    <w:rsid w:val="5D668951"/>
    <w:rsid w:val="5D8726CE"/>
    <w:rsid w:val="5D8C482D"/>
    <w:rsid w:val="5D9106C8"/>
    <w:rsid w:val="5D92F82E"/>
    <w:rsid w:val="5DA5FD66"/>
    <w:rsid w:val="5DAB9CF2"/>
    <w:rsid w:val="5DAC4C48"/>
    <w:rsid w:val="5DACF39D"/>
    <w:rsid w:val="5DB988CE"/>
    <w:rsid w:val="5DCFC9A8"/>
    <w:rsid w:val="5DD6B248"/>
    <w:rsid w:val="5DDD1843"/>
    <w:rsid w:val="5DE5C6F3"/>
    <w:rsid w:val="5DEB79AD"/>
    <w:rsid w:val="5DED5F0C"/>
    <w:rsid w:val="5DF1D481"/>
    <w:rsid w:val="5DFC2ECB"/>
    <w:rsid w:val="5E0E96BF"/>
    <w:rsid w:val="5E199267"/>
    <w:rsid w:val="5E1B90A8"/>
    <w:rsid w:val="5E1B99C7"/>
    <w:rsid w:val="5E1ECEC5"/>
    <w:rsid w:val="5E21530E"/>
    <w:rsid w:val="5E224332"/>
    <w:rsid w:val="5E26FA15"/>
    <w:rsid w:val="5E276444"/>
    <w:rsid w:val="5E337F56"/>
    <w:rsid w:val="5E3F3092"/>
    <w:rsid w:val="5E4174A8"/>
    <w:rsid w:val="5E431EDF"/>
    <w:rsid w:val="5E43E87F"/>
    <w:rsid w:val="5E46387B"/>
    <w:rsid w:val="5E46AA2E"/>
    <w:rsid w:val="5E55DF11"/>
    <w:rsid w:val="5E5A5170"/>
    <w:rsid w:val="5E5E2801"/>
    <w:rsid w:val="5E5F08C8"/>
    <w:rsid w:val="5E60AE12"/>
    <w:rsid w:val="5E626132"/>
    <w:rsid w:val="5E630613"/>
    <w:rsid w:val="5E66C0F5"/>
    <w:rsid w:val="5E696239"/>
    <w:rsid w:val="5E71C724"/>
    <w:rsid w:val="5E866959"/>
    <w:rsid w:val="5EA775DE"/>
    <w:rsid w:val="5EA8E9E2"/>
    <w:rsid w:val="5EAC77EC"/>
    <w:rsid w:val="5EB06573"/>
    <w:rsid w:val="5EC7FC75"/>
    <w:rsid w:val="5ECB2E95"/>
    <w:rsid w:val="5ECC3FEC"/>
    <w:rsid w:val="5ED033B3"/>
    <w:rsid w:val="5EE29AB8"/>
    <w:rsid w:val="5EEAB4BB"/>
    <w:rsid w:val="5EF33AB4"/>
    <w:rsid w:val="5EF461AE"/>
    <w:rsid w:val="5F08080F"/>
    <w:rsid w:val="5F16AF2F"/>
    <w:rsid w:val="5F1B6B32"/>
    <w:rsid w:val="5F1CC015"/>
    <w:rsid w:val="5F29E3F4"/>
    <w:rsid w:val="5F2C73E1"/>
    <w:rsid w:val="5F2FE60C"/>
    <w:rsid w:val="5F349716"/>
    <w:rsid w:val="5F424D9B"/>
    <w:rsid w:val="5F43AFE7"/>
    <w:rsid w:val="5F6041C9"/>
    <w:rsid w:val="5F6176DC"/>
    <w:rsid w:val="5F71A906"/>
    <w:rsid w:val="5F8197B5"/>
    <w:rsid w:val="5F85D114"/>
    <w:rsid w:val="5F8A33DC"/>
    <w:rsid w:val="5F8A9966"/>
    <w:rsid w:val="5F92A4F4"/>
    <w:rsid w:val="5F97CF1D"/>
    <w:rsid w:val="5F9A0C2B"/>
    <w:rsid w:val="5FA4E28A"/>
    <w:rsid w:val="5FB35823"/>
    <w:rsid w:val="5FBBD551"/>
    <w:rsid w:val="5FBD642C"/>
    <w:rsid w:val="5FC002DF"/>
    <w:rsid w:val="5FC95724"/>
    <w:rsid w:val="5FD43948"/>
    <w:rsid w:val="5FDB11F4"/>
    <w:rsid w:val="5FDD2827"/>
    <w:rsid w:val="5FDEEF40"/>
    <w:rsid w:val="5FE589D6"/>
    <w:rsid w:val="5FE9D94D"/>
    <w:rsid w:val="5FEC3BCA"/>
    <w:rsid w:val="5FEEA645"/>
    <w:rsid w:val="60029156"/>
    <w:rsid w:val="60047E8A"/>
    <w:rsid w:val="60135D45"/>
    <w:rsid w:val="6015965C"/>
    <w:rsid w:val="6015F0EE"/>
    <w:rsid w:val="601DA6E7"/>
    <w:rsid w:val="601F938F"/>
    <w:rsid w:val="6031613E"/>
    <w:rsid w:val="6034722D"/>
    <w:rsid w:val="6035CAFC"/>
    <w:rsid w:val="603E50D3"/>
    <w:rsid w:val="6048484D"/>
    <w:rsid w:val="604976D3"/>
    <w:rsid w:val="6051232C"/>
    <w:rsid w:val="60604F8F"/>
    <w:rsid w:val="60676FB7"/>
    <w:rsid w:val="607BD760"/>
    <w:rsid w:val="6083DE1A"/>
    <w:rsid w:val="608A164A"/>
    <w:rsid w:val="60972160"/>
    <w:rsid w:val="609E2A13"/>
    <w:rsid w:val="609FEFA3"/>
    <w:rsid w:val="60ABD7B1"/>
    <w:rsid w:val="60AD5D7A"/>
    <w:rsid w:val="60CEF1CC"/>
    <w:rsid w:val="60CFEBB5"/>
    <w:rsid w:val="60D7D1F9"/>
    <w:rsid w:val="60DC4300"/>
    <w:rsid w:val="60DD4CDE"/>
    <w:rsid w:val="60E054AF"/>
    <w:rsid w:val="60E3ED0A"/>
    <w:rsid w:val="60ED7C3D"/>
    <w:rsid w:val="6101BF29"/>
    <w:rsid w:val="6102655D"/>
    <w:rsid w:val="610A9269"/>
    <w:rsid w:val="610F3401"/>
    <w:rsid w:val="6110203D"/>
    <w:rsid w:val="61227013"/>
    <w:rsid w:val="612F221D"/>
    <w:rsid w:val="613305A8"/>
    <w:rsid w:val="61371E06"/>
    <w:rsid w:val="613A8799"/>
    <w:rsid w:val="61471058"/>
    <w:rsid w:val="61485FC5"/>
    <w:rsid w:val="61565D89"/>
    <w:rsid w:val="619325ED"/>
    <w:rsid w:val="6196A98A"/>
    <w:rsid w:val="6197B344"/>
    <w:rsid w:val="61A4BD2B"/>
    <w:rsid w:val="61AEE817"/>
    <w:rsid w:val="61B5BD2A"/>
    <w:rsid w:val="61BA7C13"/>
    <w:rsid w:val="61D98239"/>
    <w:rsid w:val="61EB4AE3"/>
    <w:rsid w:val="61FCBF73"/>
    <w:rsid w:val="61FD8D35"/>
    <w:rsid w:val="61FEC469"/>
    <w:rsid w:val="61FFE0AC"/>
    <w:rsid w:val="620A0BD6"/>
    <w:rsid w:val="621C6FB2"/>
    <w:rsid w:val="621F3E04"/>
    <w:rsid w:val="62203AD1"/>
    <w:rsid w:val="6226C01B"/>
    <w:rsid w:val="6226F0AF"/>
    <w:rsid w:val="622DD431"/>
    <w:rsid w:val="6232C7FF"/>
    <w:rsid w:val="6233F4D3"/>
    <w:rsid w:val="6238BC30"/>
    <w:rsid w:val="623F80BB"/>
    <w:rsid w:val="62464406"/>
    <w:rsid w:val="62469049"/>
    <w:rsid w:val="62497C96"/>
    <w:rsid w:val="625509CA"/>
    <w:rsid w:val="62696AA2"/>
    <w:rsid w:val="626E65AD"/>
    <w:rsid w:val="626FC504"/>
    <w:rsid w:val="62719C30"/>
    <w:rsid w:val="627F877D"/>
    <w:rsid w:val="627FBD6B"/>
    <w:rsid w:val="62842E5A"/>
    <w:rsid w:val="62887793"/>
    <w:rsid w:val="6290137C"/>
    <w:rsid w:val="629FF7B3"/>
    <w:rsid w:val="62A9E18B"/>
    <w:rsid w:val="62ABBBEC"/>
    <w:rsid w:val="62B41494"/>
    <w:rsid w:val="62B6C80B"/>
    <w:rsid w:val="62B93877"/>
    <w:rsid w:val="62BC7775"/>
    <w:rsid w:val="62BC917B"/>
    <w:rsid w:val="62BD92DF"/>
    <w:rsid w:val="62C40581"/>
    <w:rsid w:val="62C68C96"/>
    <w:rsid w:val="62CD6679"/>
    <w:rsid w:val="62CD6EAF"/>
    <w:rsid w:val="62DC834C"/>
    <w:rsid w:val="62DE9C14"/>
    <w:rsid w:val="62E6B754"/>
    <w:rsid w:val="62EE3241"/>
    <w:rsid w:val="62FBB0F3"/>
    <w:rsid w:val="62FE3B3F"/>
    <w:rsid w:val="6311D60A"/>
    <w:rsid w:val="6331B3C7"/>
    <w:rsid w:val="6335CEF4"/>
    <w:rsid w:val="63394792"/>
    <w:rsid w:val="633B70D5"/>
    <w:rsid w:val="63452CAE"/>
    <w:rsid w:val="63562B8B"/>
    <w:rsid w:val="63564C74"/>
    <w:rsid w:val="6357E90E"/>
    <w:rsid w:val="635E36DE"/>
    <w:rsid w:val="63604082"/>
    <w:rsid w:val="636F64B7"/>
    <w:rsid w:val="637D6314"/>
    <w:rsid w:val="63900F81"/>
    <w:rsid w:val="6391A7FE"/>
    <w:rsid w:val="639523EF"/>
    <w:rsid w:val="63A2E2D5"/>
    <w:rsid w:val="63A9B92F"/>
    <w:rsid w:val="63BEE9F3"/>
    <w:rsid w:val="63C4FADD"/>
    <w:rsid w:val="63CE9860"/>
    <w:rsid w:val="63D05C3F"/>
    <w:rsid w:val="63D48C91"/>
    <w:rsid w:val="63E40645"/>
    <w:rsid w:val="63E85B97"/>
    <w:rsid w:val="63EE70C3"/>
    <w:rsid w:val="63EF1A4F"/>
    <w:rsid w:val="63F926EF"/>
    <w:rsid w:val="63FD5517"/>
    <w:rsid w:val="63FD88A7"/>
    <w:rsid w:val="6423EECA"/>
    <w:rsid w:val="6426F05E"/>
    <w:rsid w:val="64271C57"/>
    <w:rsid w:val="642D5195"/>
    <w:rsid w:val="64366A83"/>
    <w:rsid w:val="644529AB"/>
    <w:rsid w:val="6445EE5D"/>
    <w:rsid w:val="64488AC8"/>
    <w:rsid w:val="644F4ABA"/>
    <w:rsid w:val="645FD5E2"/>
    <w:rsid w:val="6463C65E"/>
    <w:rsid w:val="6478EC1E"/>
    <w:rsid w:val="6479DBAD"/>
    <w:rsid w:val="6485E84B"/>
    <w:rsid w:val="6491897E"/>
    <w:rsid w:val="649B561F"/>
    <w:rsid w:val="649DFFC3"/>
    <w:rsid w:val="64A0DD10"/>
    <w:rsid w:val="64AEE3CC"/>
    <w:rsid w:val="64B510E8"/>
    <w:rsid w:val="64B5E725"/>
    <w:rsid w:val="64B7E448"/>
    <w:rsid w:val="64BFC993"/>
    <w:rsid w:val="64C3D119"/>
    <w:rsid w:val="64C6E31D"/>
    <w:rsid w:val="64D892F8"/>
    <w:rsid w:val="64DB2E5B"/>
    <w:rsid w:val="64DD58DE"/>
    <w:rsid w:val="64E3AE67"/>
    <w:rsid w:val="64E86C83"/>
    <w:rsid w:val="65009C5F"/>
    <w:rsid w:val="6502D742"/>
    <w:rsid w:val="6505CEF0"/>
    <w:rsid w:val="650EDBD1"/>
    <w:rsid w:val="650F03B5"/>
    <w:rsid w:val="651071AC"/>
    <w:rsid w:val="651F8295"/>
    <w:rsid w:val="6537A082"/>
    <w:rsid w:val="6539AC7E"/>
    <w:rsid w:val="653BD9CD"/>
    <w:rsid w:val="6553B6D5"/>
    <w:rsid w:val="655C0029"/>
    <w:rsid w:val="65600BF2"/>
    <w:rsid w:val="65684296"/>
    <w:rsid w:val="656B1B43"/>
    <w:rsid w:val="658BD588"/>
    <w:rsid w:val="65906BEB"/>
    <w:rsid w:val="659BBD73"/>
    <w:rsid w:val="659CC1B2"/>
    <w:rsid w:val="65A112FE"/>
    <w:rsid w:val="65A996BE"/>
    <w:rsid w:val="65ACBDEC"/>
    <w:rsid w:val="65BC3D91"/>
    <w:rsid w:val="65CB316B"/>
    <w:rsid w:val="65DB6E65"/>
    <w:rsid w:val="65E74EBD"/>
    <w:rsid w:val="65EB5FEB"/>
    <w:rsid w:val="65EE3AB9"/>
    <w:rsid w:val="65F12FCA"/>
    <w:rsid w:val="660BF25E"/>
    <w:rsid w:val="6625120A"/>
    <w:rsid w:val="66345A14"/>
    <w:rsid w:val="66380371"/>
    <w:rsid w:val="6642FE54"/>
    <w:rsid w:val="664DED1A"/>
    <w:rsid w:val="6651E822"/>
    <w:rsid w:val="6660DB61"/>
    <w:rsid w:val="6670E854"/>
    <w:rsid w:val="667195B0"/>
    <w:rsid w:val="6673C00E"/>
    <w:rsid w:val="6677DF90"/>
    <w:rsid w:val="66895AD6"/>
    <w:rsid w:val="668EA0E6"/>
    <w:rsid w:val="66AC8BFB"/>
    <w:rsid w:val="66B4BBB7"/>
    <w:rsid w:val="66B7BF6D"/>
    <w:rsid w:val="66B7C564"/>
    <w:rsid w:val="66C6931D"/>
    <w:rsid w:val="66D81E1C"/>
    <w:rsid w:val="66E13EE5"/>
    <w:rsid w:val="66E9ADF1"/>
    <w:rsid w:val="66EDC435"/>
    <w:rsid w:val="66F0949B"/>
    <w:rsid w:val="66F233A2"/>
    <w:rsid w:val="66FE39B8"/>
    <w:rsid w:val="6704931B"/>
    <w:rsid w:val="6705740E"/>
    <w:rsid w:val="67066E2E"/>
    <w:rsid w:val="6707F732"/>
    <w:rsid w:val="67106103"/>
    <w:rsid w:val="673083CD"/>
    <w:rsid w:val="67343723"/>
    <w:rsid w:val="6742B132"/>
    <w:rsid w:val="6743E4EF"/>
    <w:rsid w:val="674E1E36"/>
    <w:rsid w:val="6754E2E8"/>
    <w:rsid w:val="6768A2DD"/>
    <w:rsid w:val="67785D91"/>
    <w:rsid w:val="677E7585"/>
    <w:rsid w:val="67864665"/>
    <w:rsid w:val="6787C7E3"/>
    <w:rsid w:val="67899F58"/>
    <w:rsid w:val="6790A5F6"/>
    <w:rsid w:val="679798BC"/>
    <w:rsid w:val="6798E50F"/>
    <w:rsid w:val="67A241A1"/>
    <w:rsid w:val="67A7C2BF"/>
    <w:rsid w:val="67AB5361"/>
    <w:rsid w:val="67B367C9"/>
    <w:rsid w:val="67C08DD2"/>
    <w:rsid w:val="67C57129"/>
    <w:rsid w:val="67D0D905"/>
    <w:rsid w:val="67EDF336"/>
    <w:rsid w:val="67F380E3"/>
    <w:rsid w:val="67F551C4"/>
    <w:rsid w:val="67FF45B4"/>
    <w:rsid w:val="67FFF517"/>
    <w:rsid w:val="68083C92"/>
    <w:rsid w:val="68117037"/>
    <w:rsid w:val="6813DB53"/>
    <w:rsid w:val="6814F9A0"/>
    <w:rsid w:val="68185740"/>
    <w:rsid w:val="6818661A"/>
    <w:rsid w:val="681C593A"/>
    <w:rsid w:val="681D1F8F"/>
    <w:rsid w:val="682415AB"/>
    <w:rsid w:val="6827A1E3"/>
    <w:rsid w:val="6829B5B4"/>
    <w:rsid w:val="682F04A5"/>
    <w:rsid w:val="6840A29F"/>
    <w:rsid w:val="684CEDC6"/>
    <w:rsid w:val="684E6022"/>
    <w:rsid w:val="684F4E8C"/>
    <w:rsid w:val="684FA375"/>
    <w:rsid w:val="685D4FE1"/>
    <w:rsid w:val="6866F60A"/>
    <w:rsid w:val="686ECA6E"/>
    <w:rsid w:val="687B2855"/>
    <w:rsid w:val="688ECDB1"/>
    <w:rsid w:val="6891D52B"/>
    <w:rsid w:val="6896749A"/>
    <w:rsid w:val="689D8768"/>
    <w:rsid w:val="68A4F0A4"/>
    <w:rsid w:val="68B1070F"/>
    <w:rsid w:val="68B1A7F3"/>
    <w:rsid w:val="68B7A635"/>
    <w:rsid w:val="68BE52A4"/>
    <w:rsid w:val="68BF8B63"/>
    <w:rsid w:val="68EB8F00"/>
    <w:rsid w:val="68F3A7B3"/>
    <w:rsid w:val="690171F1"/>
    <w:rsid w:val="6910551A"/>
    <w:rsid w:val="691F31C4"/>
    <w:rsid w:val="692BFC01"/>
    <w:rsid w:val="6930C462"/>
    <w:rsid w:val="693EEA10"/>
    <w:rsid w:val="69453278"/>
    <w:rsid w:val="69482E1E"/>
    <w:rsid w:val="6948314A"/>
    <w:rsid w:val="69486CB5"/>
    <w:rsid w:val="694A26B2"/>
    <w:rsid w:val="694DBCC8"/>
    <w:rsid w:val="6960EE75"/>
    <w:rsid w:val="696251D9"/>
    <w:rsid w:val="696813E6"/>
    <w:rsid w:val="696F6B4D"/>
    <w:rsid w:val="69785B8F"/>
    <w:rsid w:val="697B4244"/>
    <w:rsid w:val="697E6B22"/>
    <w:rsid w:val="697F47CB"/>
    <w:rsid w:val="69816114"/>
    <w:rsid w:val="6988EB22"/>
    <w:rsid w:val="6995E42F"/>
    <w:rsid w:val="69A3CFE2"/>
    <w:rsid w:val="69AE62F1"/>
    <w:rsid w:val="69B34E56"/>
    <w:rsid w:val="69BB678F"/>
    <w:rsid w:val="69C23859"/>
    <w:rsid w:val="69CC5F1E"/>
    <w:rsid w:val="69D937C1"/>
    <w:rsid w:val="69E71EEC"/>
    <w:rsid w:val="69F5E82E"/>
    <w:rsid w:val="6A08B809"/>
    <w:rsid w:val="6A185497"/>
    <w:rsid w:val="6A1A11DF"/>
    <w:rsid w:val="6A1ACA37"/>
    <w:rsid w:val="6A1FE815"/>
    <w:rsid w:val="6A210EED"/>
    <w:rsid w:val="6A220E83"/>
    <w:rsid w:val="6A2CD695"/>
    <w:rsid w:val="6A2E56C4"/>
    <w:rsid w:val="6A326FA7"/>
    <w:rsid w:val="6A341C3D"/>
    <w:rsid w:val="6A653F72"/>
    <w:rsid w:val="6A69926D"/>
    <w:rsid w:val="6A6E960B"/>
    <w:rsid w:val="6A7C01E8"/>
    <w:rsid w:val="6A7C9133"/>
    <w:rsid w:val="6A848904"/>
    <w:rsid w:val="6A868142"/>
    <w:rsid w:val="6A88DA90"/>
    <w:rsid w:val="6A8C83AA"/>
    <w:rsid w:val="6A8F2116"/>
    <w:rsid w:val="6AA21C15"/>
    <w:rsid w:val="6AAAE55F"/>
    <w:rsid w:val="6AABFCAA"/>
    <w:rsid w:val="6AB5EF09"/>
    <w:rsid w:val="6AB61647"/>
    <w:rsid w:val="6AC87F52"/>
    <w:rsid w:val="6AC8DE11"/>
    <w:rsid w:val="6AC9E6B3"/>
    <w:rsid w:val="6AD1AB73"/>
    <w:rsid w:val="6ADABA71"/>
    <w:rsid w:val="6AF27053"/>
    <w:rsid w:val="6AF73D54"/>
    <w:rsid w:val="6B02E7AA"/>
    <w:rsid w:val="6B15D449"/>
    <w:rsid w:val="6B188325"/>
    <w:rsid w:val="6B19756B"/>
    <w:rsid w:val="6B206B5F"/>
    <w:rsid w:val="6B2BF01B"/>
    <w:rsid w:val="6B309228"/>
    <w:rsid w:val="6B30AA41"/>
    <w:rsid w:val="6B371636"/>
    <w:rsid w:val="6B37E876"/>
    <w:rsid w:val="6B453B4C"/>
    <w:rsid w:val="6B47D50F"/>
    <w:rsid w:val="6B4CAB05"/>
    <w:rsid w:val="6B4FC6F9"/>
    <w:rsid w:val="6B506132"/>
    <w:rsid w:val="6B580F7D"/>
    <w:rsid w:val="6B5877DB"/>
    <w:rsid w:val="6B5EEBE0"/>
    <w:rsid w:val="6B64B680"/>
    <w:rsid w:val="6B65DD5E"/>
    <w:rsid w:val="6B6777BC"/>
    <w:rsid w:val="6B6AE68C"/>
    <w:rsid w:val="6B71D7F6"/>
    <w:rsid w:val="6B77026A"/>
    <w:rsid w:val="6B795CD6"/>
    <w:rsid w:val="6B7BC5B8"/>
    <w:rsid w:val="6B7E6EDF"/>
    <w:rsid w:val="6B8F6068"/>
    <w:rsid w:val="6B9512FB"/>
    <w:rsid w:val="6B9662F4"/>
    <w:rsid w:val="6BA77173"/>
    <w:rsid w:val="6BAAFB47"/>
    <w:rsid w:val="6BAF0F0B"/>
    <w:rsid w:val="6BB48631"/>
    <w:rsid w:val="6BB6C441"/>
    <w:rsid w:val="6BBB6F88"/>
    <w:rsid w:val="6BC36E0F"/>
    <w:rsid w:val="6BCFEC9E"/>
    <w:rsid w:val="6BD6962C"/>
    <w:rsid w:val="6BD6AA1C"/>
    <w:rsid w:val="6BE0C7DC"/>
    <w:rsid w:val="6BE41DF5"/>
    <w:rsid w:val="6BEC0FB2"/>
    <w:rsid w:val="6BF724F4"/>
    <w:rsid w:val="6C105482"/>
    <w:rsid w:val="6C161039"/>
    <w:rsid w:val="6C1D1304"/>
    <w:rsid w:val="6C1E59DE"/>
    <w:rsid w:val="6C220CBD"/>
    <w:rsid w:val="6C2734F8"/>
    <w:rsid w:val="6C28540B"/>
    <w:rsid w:val="6C3A9BD6"/>
    <w:rsid w:val="6C40978E"/>
    <w:rsid w:val="6C4151A7"/>
    <w:rsid w:val="6C444310"/>
    <w:rsid w:val="6C4D33C6"/>
    <w:rsid w:val="6C510D7D"/>
    <w:rsid w:val="6C544DB5"/>
    <w:rsid w:val="6C77BCE6"/>
    <w:rsid w:val="6C7BEFCD"/>
    <w:rsid w:val="6C8431FD"/>
    <w:rsid w:val="6C85F01C"/>
    <w:rsid w:val="6C87D867"/>
    <w:rsid w:val="6C8E7F7F"/>
    <w:rsid w:val="6CA886F3"/>
    <w:rsid w:val="6CABCA16"/>
    <w:rsid w:val="6CAC1F87"/>
    <w:rsid w:val="6CB98F91"/>
    <w:rsid w:val="6CC08BE4"/>
    <w:rsid w:val="6CC8629D"/>
    <w:rsid w:val="6CCDBF36"/>
    <w:rsid w:val="6CCFEE0D"/>
    <w:rsid w:val="6CD250E9"/>
    <w:rsid w:val="6CD39072"/>
    <w:rsid w:val="6CD3DBF8"/>
    <w:rsid w:val="6CD6CC7B"/>
    <w:rsid w:val="6CDC2DD6"/>
    <w:rsid w:val="6CE24ACD"/>
    <w:rsid w:val="6CEAEF18"/>
    <w:rsid w:val="6CF0092B"/>
    <w:rsid w:val="6CF1FFD1"/>
    <w:rsid w:val="6CF6B0B4"/>
    <w:rsid w:val="6CF6D734"/>
    <w:rsid w:val="6CFCBC9D"/>
    <w:rsid w:val="6D01ADBF"/>
    <w:rsid w:val="6D054A81"/>
    <w:rsid w:val="6D0C01AB"/>
    <w:rsid w:val="6D27CE5C"/>
    <w:rsid w:val="6D33F7FA"/>
    <w:rsid w:val="6D3B266B"/>
    <w:rsid w:val="6D3C5047"/>
    <w:rsid w:val="6D49391D"/>
    <w:rsid w:val="6D4BB34A"/>
    <w:rsid w:val="6D505692"/>
    <w:rsid w:val="6D64DBA7"/>
    <w:rsid w:val="6D6C9F0A"/>
    <w:rsid w:val="6D7493C2"/>
    <w:rsid w:val="6D75D93F"/>
    <w:rsid w:val="6D782AC0"/>
    <w:rsid w:val="6D7861C7"/>
    <w:rsid w:val="6D939EE9"/>
    <w:rsid w:val="6D9CB96C"/>
    <w:rsid w:val="6D9FC551"/>
    <w:rsid w:val="6DBA8945"/>
    <w:rsid w:val="6DD65D44"/>
    <w:rsid w:val="6DDB80E8"/>
    <w:rsid w:val="6DE26136"/>
    <w:rsid w:val="6DE67715"/>
    <w:rsid w:val="6DED7678"/>
    <w:rsid w:val="6DFABF63"/>
    <w:rsid w:val="6E0BC508"/>
    <w:rsid w:val="6E0C6B03"/>
    <w:rsid w:val="6E0D5F28"/>
    <w:rsid w:val="6E142ADD"/>
    <w:rsid w:val="6E1616A8"/>
    <w:rsid w:val="6E1A670F"/>
    <w:rsid w:val="6E2177B9"/>
    <w:rsid w:val="6E29773E"/>
    <w:rsid w:val="6E2A360C"/>
    <w:rsid w:val="6E2C4D37"/>
    <w:rsid w:val="6E349417"/>
    <w:rsid w:val="6E440D58"/>
    <w:rsid w:val="6E54E034"/>
    <w:rsid w:val="6E613F97"/>
    <w:rsid w:val="6E6449CB"/>
    <w:rsid w:val="6E83D3A9"/>
    <w:rsid w:val="6E83F323"/>
    <w:rsid w:val="6E89CFA4"/>
    <w:rsid w:val="6E9F53F0"/>
    <w:rsid w:val="6EA3DD29"/>
    <w:rsid w:val="6EA47C93"/>
    <w:rsid w:val="6EA9C061"/>
    <w:rsid w:val="6EB52BFE"/>
    <w:rsid w:val="6EB7D0AE"/>
    <w:rsid w:val="6EB8B58D"/>
    <w:rsid w:val="6EBFB8C8"/>
    <w:rsid w:val="6EC356AE"/>
    <w:rsid w:val="6ED86309"/>
    <w:rsid w:val="6EDD7A4E"/>
    <w:rsid w:val="6EDE7DB9"/>
    <w:rsid w:val="6EF01540"/>
    <w:rsid w:val="6EF8BE82"/>
    <w:rsid w:val="6EFDD43C"/>
    <w:rsid w:val="6F054F50"/>
    <w:rsid w:val="6F0A385D"/>
    <w:rsid w:val="6F16C466"/>
    <w:rsid w:val="6F18630E"/>
    <w:rsid w:val="6F2DF283"/>
    <w:rsid w:val="6F3361A4"/>
    <w:rsid w:val="6F3F612D"/>
    <w:rsid w:val="6F517732"/>
    <w:rsid w:val="6F5E453B"/>
    <w:rsid w:val="6F6DA719"/>
    <w:rsid w:val="6F732E8F"/>
    <w:rsid w:val="6F790B78"/>
    <w:rsid w:val="6F871A22"/>
    <w:rsid w:val="6F8DA2C3"/>
    <w:rsid w:val="6F95E2A0"/>
    <w:rsid w:val="6FA01228"/>
    <w:rsid w:val="6FA60258"/>
    <w:rsid w:val="6FB056FC"/>
    <w:rsid w:val="6FB9C58B"/>
    <w:rsid w:val="6FBCFE4C"/>
    <w:rsid w:val="6FC7F45A"/>
    <w:rsid w:val="6FDDEF10"/>
    <w:rsid w:val="6FE51368"/>
    <w:rsid w:val="6FE7C860"/>
    <w:rsid w:val="6FE8DDC7"/>
    <w:rsid w:val="6FFC5115"/>
    <w:rsid w:val="6FFCAF10"/>
    <w:rsid w:val="7009C2AC"/>
    <w:rsid w:val="70200E64"/>
    <w:rsid w:val="702165EF"/>
    <w:rsid w:val="7023AFB6"/>
    <w:rsid w:val="70263F11"/>
    <w:rsid w:val="7027D15A"/>
    <w:rsid w:val="702929CB"/>
    <w:rsid w:val="70371516"/>
    <w:rsid w:val="704ADB6D"/>
    <w:rsid w:val="7054C44C"/>
    <w:rsid w:val="70609D22"/>
    <w:rsid w:val="7069F55E"/>
    <w:rsid w:val="7070D3D7"/>
    <w:rsid w:val="7074EFD8"/>
    <w:rsid w:val="70780D42"/>
    <w:rsid w:val="707939CA"/>
    <w:rsid w:val="7079E379"/>
    <w:rsid w:val="707A4E1A"/>
    <w:rsid w:val="707B5BAB"/>
    <w:rsid w:val="7080EBF0"/>
    <w:rsid w:val="7082F399"/>
    <w:rsid w:val="708DCA44"/>
    <w:rsid w:val="708EC56F"/>
    <w:rsid w:val="70921F68"/>
    <w:rsid w:val="709D70F6"/>
    <w:rsid w:val="70B4289F"/>
    <w:rsid w:val="70B468BA"/>
    <w:rsid w:val="70B8484B"/>
    <w:rsid w:val="70C7C54E"/>
    <w:rsid w:val="70D3B261"/>
    <w:rsid w:val="70DE4330"/>
    <w:rsid w:val="70F4BC58"/>
    <w:rsid w:val="70F671C2"/>
    <w:rsid w:val="70F89DFF"/>
    <w:rsid w:val="70FBAC99"/>
    <w:rsid w:val="70FE4A4C"/>
    <w:rsid w:val="710375B4"/>
    <w:rsid w:val="710B2226"/>
    <w:rsid w:val="71206220"/>
    <w:rsid w:val="7122F319"/>
    <w:rsid w:val="712A2E86"/>
    <w:rsid w:val="7140D815"/>
    <w:rsid w:val="7143EA91"/>
    <w:rsid w:val="7156D573"/>
    <w:rsid w:val="71587AEC"/>
    <w:rsid w:val="716ADBA8"/>
    <w:rsid w:val="717281CC"/>
    <w:rsid w:val="71775800"/>
    <w:rsid w:val="7182C230"/>
    <w:rsid w:val="7183323A"/>
    <w:rsid w:val="71865429"/>
    <w:rsid w:val="7187B5FE"/>
    <w:rsid w:val="718D7A18"/>
    <w:rsid w:val="719BC8F3"/>
    <w:rsid w:val="719BEA8D"/>
    <w:rsid w:val="71C10906"/>
    <w:rsid w:val="71C60200"/>
    <w:rsid w:val="71D2E577"/>
    <w:rsid w:val="71D4E8AB"/>
    <w:rsid w:val="71D91BFD"/>
    <w:rsid w:val="71DA29FD"/>
    <w:rsid w:val="71DFDBD0"/>
    <w:rsid w:val="71E1B5A2"/>
    <w:rsid w:val="71ED1740"/>
    <w:rsid w:val="7202454C"/>
    <w:rsid w:val="72088FDF"/>
    <w:rsid w:val="7217378D"/>
    <w:rsid w:val="72299AA5"/>
    <w:rsid w:val="7238CEE5"/>
    <w:rsid w:val="724469AE"/>
    <w:rsid w:val="72494A62"/>
    <w:rsid w:val="724C95C6"/>
    <w:rsid w:val="72547B58"/>
    <w:rsid w:val="72572CC7"/>
    <w:rsid w:val="7263EDEA"/>
    <w:rsid w:val="726A36A4"/>
    <w:rsid w:val="727F9606"/>
    <w:rsid w:val="7280F250"/>
    <w:rsid w:val="7287CF1D"/>
    <w:rsid w:val="728C71AD"/>
    <w:rsid w:val="728FF6FD"/>
    <w:rsid w:val="7294CB33"/>
    <w:rsid w:val="7295EEA2"/>
    <w:rsid w:val="7297D4B7"/>
    <w:rsid w:val="72A47407"/>
    <w:rsid w:val="72A8890B"/>
    <w:rsid w:val="72B30FB6"/>
    <w:rsid w:val="72B5B499"/>
    <w:rsid w:val="72BEC37A"/>
    <w:rsid w:val="72C18160"/>
    <w:rsid w:val="72C8E1D5"/>
    <w:rsid w:val="72D2966E"/>
    <w:rsid w:val="72DD4D4B"/>
    <w:rsid w:val="72E1792D"/>
    <w:rsid w:val="72E695FD"/>
    <w:rsid w:val="72F9E6C8"/>
    <w:rsid w:val="73060CC9"/>
    <w:rsid w:val="730BE7AA"/>
    <w:rsid w:val="73112DA4"/>
    <w:rsid w:val="7316689D"/>
    <w:rsid w:val="731F0444"/>
    <w:rsid w:val="73201B07"/>
    <w:rsid w:val="7327E8F0"/>
    <w:rsid w:val="732B1950"/>
    <w:rsid w:val="7330A5DD"/>
    <w:rsid w:val="7333825F"/>
    <w:rsid w:val="733487BA"/>
    <w:rsid w:val="7335B7E6"/>
    <w:rsid w:val="7350EAB2"/>
    <w:rsid w:val="73544C52"/>
    <w:rsid w:val="7358381B"/>
    <w:rsid w:val="7359D57D"/>
    <w:rsid w:val="735AE189"/>
    <w:rsid w:val="736C7253"/>
    <w:rsid w:val="736FBE51"/>
    <w:rsid w:val="7370D340"/>
    <w:rsid w:val="73760306"/>
    <w:rsid w:val="7376767F"/>
    <w:rsid w:val="7379BFE4"/>
    <w:rsid w:val="7388A869"/>
    <w:rsid w:val="738DFB53"/>
    <w:rsid w:val="739478CD"/>
    <w:rsid w:val="73A0192F"/>
    <w:rsid w:val="73AA9957"/>
    <w:rsid w:val="73AE3036"/>
    <w:rsid w:val="73B30883"/>
    <w:rsid w:val="73B494D6"/>
    <w:rsid w:val="73BAE3A2"/>
    <w:rsid w:val="73BAF120"/>
    <w:rsid w:val="73BD52F1"/>
    <w:rsid w:val="73BD5B58"/>
    <w:rsid w:val="73BF9816"/>
    <w:rsid w:val="73C75893"/>
    <w:rsid w:val="73C8E497"/>
    <w:rsid w:val="73D13A5B"/>
    <w:rsid w:val="73D2FCC0"/>
    <w:rsid w:val="73E2D964"/>
    <w:rsid w:val="73E30C2D"/>
    <w:rsid w:val="73E5DED4"/>
    <w:rsid w:val="73E86201"/>
    <w:rsid w:val="73F3F53C"/>
    <w:rsid w:val="73F64F60"/>
    <w:rsid w:val="7409124B"/>
    <w:rsid w:val="740CD033"/>
    <w:rsid w:val="740D17FF"/>
    <w:rsid w:val="7410160D"/>
    <w:rsid w:val="741A8883"/>
    <w:rsid w:val="7429B172"/>
    <w:rsid w:val="742FA459"/>
    <w:rsid w:val="74306BB2"/>
    <w:rsid w:val="7438DFD2"/>
    <w:rsid w:val="743D76F8"/>
    <w:rsid w:val="743D9DE5"/>
    <w:rsid w:val="743FB76A"/>
    <w:rsid w:val="7441261C"/>
    <w:rsid w:val="74526D30"/>
    <w:rsid w:val="745A8B45"/>
    <w:rsid w:val="7461CFCB"/>
    <w:rsid w:val="7461E9D0"/>
    <w:rsid w:val="747A8182"/>
    <w:rsid w:val="747FC72A"/>
    <w:rsid w:val="74877399"/>
    <w:rsid w:val="748C24A3"/>
    <w:rsid w:val="74A82E7F"/>
    <w:rsid w:val="74AF29FA"/>
    <w:rsid w:val="74B12189"/>
    <w:rsid w:val="74B59919"/>
    <w:rsid w:val="74C64439"/>
    <w:rsid w:val="74D6348D"/>
    <w:rsid w:val="74E74DDB"/>
    <w:rsid w:val="74EC5B9C"/>
    <w:rsid w:val="74FACA37"/>
    <w:rsid w:val="74FF5AAA"/>
    <w:rsid w:val="75150B56"/>
    <w:rsid w:val="752BB2F8"/>
    <w:rsid w:val="7531DDBD"/>
    <w:rsid w:val="75394928"/>
    <w:rsid w:val="75401901"/>
    <w:rsid w:val="754203AC"/>
    <w:rsid w:val="75461812"/>
    <w:rsid w:val="75506537"/>
    <w:rsid w:val="755592BE"/>
    <w:rsid w:val="755C97C6"/>
    <w:rsid w:val="7567FE62"/>
    <w:rsid w:val="757683F9"/>
    <w:rsid w:val="7577927B"/>
    <w:rsid w:val="75896A86"/>
    <w:rsid w:val="7597C55F"/>
    <w:rsid w:val="759B42BF"/>
    <w:rsid w:val="759F7CB1"/>
    <w:rsid w:val="75A6922B"/>
    <w:rsid w:val="75A8599D"/>
    <w:rsid w:val="75AAFA45"/>
    <w:rsid w:val="75AB70E2"/>
    <w:rsid w:val="75B352A2"/>
    <w:rsid w:val="75B4D597"/>
    <w:rsid w:val="75CA9530"/>
    <w:rsid w:val="75DD3BDF"/>
    <w:rsid w:val="75E2DB35"/>
    <w:rsid w:val="75E527D4"/>
    <w:rsid w:val="75E77171"/>
    <w:rsid w:val="75F6445F"/>
    <w:rsid w:val="7607DD5E"/>
    <w:rsid w:val="761A9842"/>
    <w:rsid w:val="76223F4E"/>
    <w:rsid w:val="7625E2A9"/>
    <w:rsid w:val="76434438"/>
    <w:rsid w:val="7643AECF"/>
    <w:rsid w:val="76516B25"/>
    <w:rsid w:val="76653206"/>
    <w:rsid w:val="7667D2F1"/>
    <w:rsid w:val="766B8A20"/>
    <w:rsid w:val="766F49D5"/>
    <w:rsid w:val="767E40CE"/>
    <w:rsid w:val="768A7D81"/>
    <w:rsid w:val="768CE857"/>
    <w:rsid w:val="768FAC2D"/>
    <w:rsid w:val="76A39A78"/>
    <w:rsid w:val="76B12639"/>
    <w:rsid w:val="76BD90DC"/>
    <w:rsid w:val="76C3A4F9"/>
    <w:rsid w:val="76D51989"/>
    <w:rsid w:val="76D5308E"/>
    <w:rsid w:val="76D613B1"/>
    <w:rsid w:val="76DB36C9"/>
    <w:rsid w:val="76DD070F"/>
    <w:rsid w:val="76E5D0F8"/>
    <w:rsid w:val="76E88FF1"/>
    <w:rsid w:val="76ED0A54"/>
    <w:rsid w:val="76F29590"/>
    <w:rsid w:val="76FA3316"/>
    <w:rsid w:val="7718EDC5"/>
    <w:rsid w:val="77219C0C"/>
    <w:rsid w:val="7724085F"/>
    <w:rsid w:val="773355C4"/>
    <w:rsid w:val="7745FF9C"/>
    <w:rsid w:val="774A5D8F"/>
    <w:rsid w:val="774B19A3"/>
    <w:rsid w:val="77501700"/>
    <w:rsid w:val="77530729"/>
    <w:rsid w:val="776E769F"/>
    <w:rsid w:val="7778BAF9"/>
    <w:rsid w:val="777AB089"/>
    <w:rsid w:val="778341D2"/>
    <w:rsid w:val="77878CB9"/>
    <w:rsid w:val="7793A83A"/>
    <w:rsid w:val="7794FF33"/>
    <w:rsid w:val="77950DA8"/>
    <w:rsid w:val="7796CF28"/>
    <w:rsid w:val="77A17E5F"/>
    <w:rsid w:val="77A3ADBF"/>
    <w:rsid w:val="77B4FD15"/>
    <w:rsid w:val="77B5CAB7"/>
    <w:rsid w:val="77B6A586"/>
    <w:rsid w:val="77BF141F"/>
    <w:rsid w:val="77CD43B4"/>
    <w:rsid w:val="77CFB8D8"/>
    <w:rsid w:val="77D943A6"/>
    <w:rsid w:val="77DBC84F"/>
    <w:rsid w:val="77E6A385"/>
    <w:rsid w:val="77F97F7E"/>
    <w:rsid w:val="77FACF60"/>
    <w:rsid w:val="78033E8B"/>
    <w:rsid w:val="780437D8"/>
    <w:rsid w:val="780D2585"/>
    <w:rsid w:val="78161410"/>
    <w:rsid w:val="78161E65"/>
    <w:rsid w:val="781C4094"/>
    <w:rsid w:val="78258DF7"/>
    <w:rsid w:val="782EC19B"/>
    <w:rsid w:val="7835BBEC"/>
    <w:rsid w:val="7837CFEE"/>
    <w:rsid w:val="783B724D"/>
    <w:rsid w:val="783CFE0A"/>
    <w:rsid w:val="7843ECEE"/>
    <w:rsid w:val="784B3724"/>
    <w:rsid w:val="784C9E72"/>
    <w:rsid w:val="78560BCE"/>
    <w:rsid w:val="78742678"/>
    <w:rsid w:val="788C133E"/>
    <w:rsid w:val="78960377"/>
    <w:rsid w:val="789CE812"/>
    <w:rsid w:val="78A8EA80"/>
    <w:rsid w:val="78AC3196"/>
    <w:rsid w:val="78B571C5"/>
    <w:rsid w:val="78D4B34E"/>
    <w:rsid w:val="78E50D3F"/>
    <w:rsid w:val="78F3E7E2"/>
    <w:rsid w:val="78FBF2A8"/>
    <w:rsid w:val="78FFC779"/>
    <w:rsid w:val="79016EAB"/>
    <w:rsid w:val="7917905E"/>
    <w:rsid w:val="79385736"/>
    <w:rsid w:val="79498DF3"/>
    <w:rsid w:val="7954CA4F"/>
    <w:rsid w:val="795B934F"/>
    <w:rsid w:val="79652DE7"/>
    <w:rsid w:val="796EFFDE"/>
    <w:rsid w:val="797307E5"/>
    <w:rsid w:val="7975B3BB"/>
    <w:rsid w:val="7976D563"/>
    <w:rsid w:val="79783137"/>
    <w:rsid w:val="7983F4A0"/>
    <w:rsid w:val="79840826"/>
    <w:rsid w:val="7987CA48"/>
    <w:rsid w:val="798E45C8"/>
    <w:rsid w:val="79903C4A"/>
    <w:rsid w:val="799A24B1"/>
    <w:rsid w:val="799E085F"/>
    <w:rsid w:val="79A8F5E6"/>
    <w:rsid w:val="79B4CB28"/>
    <w:rsid w:val="79C1849A"/>
    <w:rsid w:val="79C7847D"/>
    <w:rsid w:val="79E049A9"/>
    <w:rsid w:val="79EB1E3D"/>
    <w:rsid w:val="79F04550"/>
    <w:rsid w:val="7A06609F"/>
    <w:rsid w:val="7A095897"/>
    <w:rsid w:val="7A24A68A"/>
    <w:rsid w:val="7A279FE4"/>
    <w:rsid w:val="7A2BD47D"/>
    <w:rsid w:val="7A2E6572"/>
    <w:rsid w:val="7A38DA60"/>
    <w:rsid w:val="7A3EC0DE"/>
    <w:rsid w:val="7A524DB1"/>
    <w:rsid w:val="7A6B980A"/>
    <w:rsid w:val="7A7A034E"/>
    <w:rsid w:val="7A830BD5"/>
    <w:rsid w:val="7A88C8C1"/>
    <w:rsid w:val="7A893C4C"/>
    <w:rsid w:val="7A9695E7"/>
    <w:rsid w:val="7A997404"/>
    <w:rsid w:val="7A9A26F2"/>
    <w:rsid w:val="7A9AD4E6"/>
    <w:rsid w:val="7AA80BFF"/>
    <w:rsid w:val="7AAFAEA0"/>
    <w:rsid w:val="7AB166CB"/>
    <w:rsid w:val="7AB52118"/>
    <w:rsid w:val="7AB86FC4"/>
    <w:rsid w:val="7AC0BA03"/>
    <w:rsid w:val="7AC63385"/>
    <w:rsid w:val="7AD5886E"/>
    <w:rsid w:val="7AD98F23"/>
    <w:rsid w:val="7ADB9064"/>
    <w:rsid w:val="7AF76A59"/>
    <w:rsid w:val="7B0B332C"/>
    <w:rsid w:val="7B1C7B35"/>
    <w:rsid w:val="7B2850FA"/>
    <w:rsid w:val="7B3410F0"/>
    <w:rsid w:val="7B3C1C31"/>
    <w:rsid w:val="7B3DF752"/>
    <w:rsid w:val="7B3F9A6D"/>
    <w:rsid w:val="7B4D3DDA"/>
    <w:rsid w:val="7B55275C"/>
    <w:rsid w:val="7B598C6D"/>
    <w:rsid w:val="7B5D4680"/>
    <w:rsid w:val="7B61C144"/>
    <w:rsid w:val="7B748016"/>
    <w:rsid w:val="7B7BB174"/>
    <w:rsid w:val="7BABF401"/>
    <w:rsid w:val="7BBBDB2D"/>
    <w:rsid w:val="7BBEB65F"/>
    <w:rsid w:val="7BC4EE47"/>
    <w:rsid w:val="7BC606B3"/>
    <w:rsid w:val="7BCDA439"/>
    <w:rsid w:val="7BD29781"/>
    <w:rsid w:val="7BD4FAFB"/>
    <w:rsid w:val="7BDBC562"/>
    <w:rsid w:val="7BE3290B"/>
    <w:rsid w:val="7BE56106"/>
    <w:rsid w:val="7BE5DD75"/>
    <w:rsid w:val="7BE90511"/>
    <w:rsid w:val="7BEF529E"/>
    <w:rsid w:val="7BF3F368"/>
    <w:rsid w:val="7C126047"/>
    <w:rsid w:val="7C13E8A0"/>
    <w:rsid w:val="7C1CA808"/>
    <w:rsid w:val="7C274723"/>
    <w:rsid w:val="7C358606"/>
    <w:rsid w:val="7C4177C5"/>
    <w:rsid w:val="7C44B85C"/>
    <w:rsid w:val="7C45E2F9"/>
    <w:rsid w:val="7C4C74CD"/>
    <w:rsid w:val="7C5DF685"/>
    <w:rsid w:val="7C6E84BF"/>
    <w:rsid w:val="7C919D57"/>
    <w:rsid w:val="7C91DF83"/>
    <w:rsid w:val="7C9DCA6C"/>
    <w:rsid w:val="7CA041AC"/>
    <w:rsid w:val="7CAEE130"/>
    <w:rsid w:val="7CBE87BC"/>
    <w:rsid w:val="7CCEA87C"/>
    <w:rsid w:val="7CDF7724"/>
    <w:rsid w:val="7CE3EF9B"/>
    <w:rsid w:val="7CE66D7B"/>
    <w:rsid w:val="7CE67823"/>
    <w:rsid w:val="7CE68184"/>
    <w:rsid w:val="7CF3A672"/>
    <w:rsid w:val="7CF99BF9"/>
    <w:rsid w:val="7D09EEB2"/>
    <w:rsid w:val="7D0B0825"/>
    <w:rsid w:val="7D1C5EF1"/>
    <w:rsid w:val="7D2F3668"/>
    <w:rsid w:val="7D2FA6CC"/>
    <w:rsid w:val="7D3D6204"/>
    <w:rsid w:val="7D40C85E"/>
    <w:rsid w:val="7D42B179"/>
    <w:rsid w:val="7D4332F3"/>
    <w:rsid w:val="7D6FC215"/>
    <w:rsid w:val="7D7232AE"/>
    <w:rsid w:val="7D74BF87"/>
    <w:rsid w:val="7D7FC868"/>
    <w:rsid w:val="7D998027"/>
    <w:rsid w:val="7DA23516"/>
    <w:rsid w:val="7DA4F605"/>
    <w:rsid w:val="7DBD4C60"/>
    <w:rsid w:val="7DC69C7E"/>
    <w:rsid w:val="7DD3B264"/>
    <w:rsid w:val="7DDC50BA"/>
    <w:rsid w:val="7DE088BD"/>
    <w:rsid w:val="7DEA23ED"/>
    <w:rsid w:val="7DF0B14A"/>
    <w:rsid w:val="7DF60B32"/>
    <w:rsid w:val="7DF61957"/>
    <w:rsid w:val="7DF8933D"/>
    <w:rsid w:val="7DFE2EF9"/>
    <w:rsid w:val="7E1036E4"/>
    <w:rsid w:val="7E117EF9"/>
    <w:rsid w:val="7E122C75"/>
    <w:rsid w:val="7E16E646"/>
    <w:rsid w:val="7E25E70A"/>
    <w:rsid w:val="7E28B9F4"/>
    <w:rsid w:val="7E2CBA6E"/>
    <w:rsid w:val="7E33C500"/>
    <w:rsid w:val="7E39AB5F"/>
    <w:rsid w:val="7E3A37E7"/>
    <w:rsid w:val="7E427249"/>
    <w:rsid w:val="7E5C1D95"/>
    <w:rsid w:val="7E7753C8"/>
    <w:rsid w:val="7E793F6E"/>
    <w:rsid w:val="7E7AB1AD"/>
    <w:rsid w:val="7E7D9A05"/>
    <w:rsid w:val="7E7FFAD3"/>
    <w:rsid w:val="7E839EBC"/>
    <w:rsid w:val="7E8756A0"/>
    <w:rsid w:val="7E8C3A11"/>
    <w:rsid w:val="7E8CD318"/>
    <w:rsid w:val="7E943707"/>
    <w:rsid w:val="7E9729FF"/>
    <w:rsid w:val="7EA17800"/>
    <w:rsid w:val="7EA930EC"/>
    <w:rsid w:val="7EB4E2CC"/>
    <w:rsid w:val="7EB9DE67"/>
    <w:rsid w:val="7ED01198"/>
    <w:rsid w:val="7ED065B3"/>
    <w:rsid w:val="7ED5146B"/>
    <w:rsid w:val="7EDAC67C"/>
    <w:rsid w:val="7EE10E91"/>
    <w:rsid w:val="7EE3790C"/>
    <w:rsid w:val="7EE818F4"/>
    <w:rsid w:val="7EEC254F"/>
    <w:rsid w:val="7EEF0BB3"/>
    <w:rsid w:val="7EF0CA4D"/>
    <w:rsid w:val="7F08C7AA"/>
    <w:rsid w:val="7F0B8BBB"/>
    <w:rsid w:val="7F108FE8"/>
    <w:rsid w:val="7F1986A3"/>
    <w:rsid w:val="7F1D3FE8"/>
    <w:rsid w:val="7F1D666F"/>
    <w:rsid w:val="7F286581"/>
    <w:rsid w:val="7F28FA7F"/>
    <w:rsid w:val="7F3947B8"/>
    <w:rsid w:val="7F498302"/>
    <w:rsid w:val="7F4D1AA5"/>
    <w:rsid w:val="7F6DEEC0"/>
    <w:rsid w:val="7F6E8971"/>
    <w:rsid w:val="7F70B02F"/>
    <w:rsid w:val="7F74E3E0"/>
    <w:rsid w:val="7F796FF5"/>
    <w:rsid w:val="7F833F75"/>
    <w:rsid w:val="7F85B177"/>
    <w:rsid w:val="7F877A26"/>
    <w:rsid w:val="7F8C0892"/>
    <w:rsid w:val="7F93AC27"/>
    <w:rsid w:val="7F959747"/>
    <w:rsid w:val="7FA12257"/>
    <w:rsid w:val="7FB1C9AA"/>
    <w:rsid w:val="7FB59F61"/>
    <w:rsid w:val="7FB6C3D3"/>
    <w:rsid w:val="7FB7C351"/>
    <w:rsid w:val="7FB84F55"/>
    <w:rsid w:val="7FC1CE1C"/>
    <w:rsid w:val="7FC892C1"/>
    <w:rsid w:val="7FCADB58"/>
    <w:rsid w:val="7FD6C50E"/>
    <w:rsid w:val="7FDE6433"/>
    <w:rsid w:val="7FE16757"/>
    <w:rsid w:val="7FE50804"/>
    <w:rsid w:val="7FF16804"/>
    <w:rsid w:val="7FF60DB0"/>
    <w:rsid w:val="7FFAAD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E2A26"/>
  <w15:docId w15:val="{761BDF61-2EA8-4D78-998F-9279234A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CB"/>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link w:val="TOC1Char"/>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1B0E53"/>
    <w:pPr>
      <w:tabs>
        <w:tab w:val="left" w:pos="1320"/>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autoRedefine/>
    <w:uiPriority w:val="1"/>
    <w:qFormat/>
    <w:rsid w:val="005274BB"/>
    <w:pPr>
      <w:spacing w:line="257" w:lineRule="auto"/>
      <w:ind w:left="397" w:right="397"/>
      <w:mirrorIndents/>
    </w:pPr>
    <w:rPr>
      <w:color w:val="033835" w:themeColor="accent1" w:themeShade="80"/>
    </w:rPr>
  </w:style>
  <w:style w:type="paragraph" w:customStyle="1" w:styleId="NumList1">
    <w:name w:val="Num List 1"/>
    <w:basedOn w:val="Normal"/>
    <w:uiPriority w:val="1"/>
    <w:qFormat/>
    <w:rsid w:val="00FD31B3"/>
    <w:pPr>
      <w:numPr>
        <w:numId w:val="56"/>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56"/>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semiHidden/>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CommentSubject">
    <w:name w:val="annotation subject"/>
    <w:basedOn w:val="CommentText"/>
    <w:next w:val="CommentText"/>
    <w:link w:val="CommentSubjectChar"/>
    <w:uiPriority w:val="99"/>
    <w:semiHidden/>
    <w:unhideWhenUsed/>
    <w:rsid w:val="00B7189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71895"/>
    <w:rPr>
      <w:rFonts w:ascii="Arial" w:eastAsiaTheme="minorHAnsi" w:hAnsi="Arial" w:cstheme="minorBidi"/>
      <w:b/>
      <w:bCs/>
      <w:lang w:eastAsia="en-US" w:bidi="he-IL"/>
    </w:rPr>
  </w:style>
  <w:style w:type="paragraph" w:customStyle="1" w:styleId="Default">
    <w:name w:val="Default"/>
    <w:rsid w:val="00B71895"/>
    <w:pPr>
      <w:autoSpaceDE w:val="0"/>
      <w:autoSpaceDN w:val="0"/>
      <w:adjustRightInd w:val="0"/>
    </w:pPr>
    <w:rPr>
      <w:rFonts w:ascii="Arial" w:hAnsi="Arial"/>
      <w:color w:val="000000"/>
      <w:sz w:val="24"/>
      <w:szCs w:val="24"/>
    </w:rPr>
  </w:style>
  <w:style w:type="character" w:customStyle="1" w:styleId="TOC1Char">
    <w:name w:val="TOC 1 Char"/>
    <w:basedOn w:val="DefaultParagraphFont"/>
    <w:link w:val="TOC1"/>
    <w:uiPriority w:val="39"/>
    <w:rsid w:val="00760149"/>
    <w:rPr>
      <w:rFonts w:ascii="Arial" w:hAnsi="Arial"/>
      <w:noProof/>
      <w:sz w:val="24"/>
      <w:szCs w:val="22"/>
      <w:lang w:eastAsia="en-US" w:bidi="he-IL"/>
    </w:rPr>
  </w:style>
  <w:style w:type="paragraph" w:customStyle="1" w:styleId="Heading1A">
    <w:name w:val="Heading 1A"/>
    <w:basedOn w:val="Heading1"/>
    <w:link w:val="Heading1AChar"/>
    <w:qFormat/>
    <w:rsid w:val="005317F5"/>
    <w:pPr>
      <w:numPr>
        <w:numId w:val="57"/>
      </w:numPr>
    </w:pPr>
    <w:rPr>
      <w:szCs w:val="44"/>
    </w:rPr>
  </w:style>
  <w:style w:type="paragraph" w:customStyle="1" w:styleId="Heading2A">
    <w:name w:val="Heading 2A"/>
    <w:basedOn w:val="Heading2"/>
    <w:link w:val="Heading2AChar"/>
    <w:qFormat/>
    <w:rsid w:val="0023335E"/>
    <w:pPr>
      <w:numPr>
        <w:numId w:val="57"/>
      </w:numPr>
    </w:pPr>
    <w:rPr>
      <w:szCs w:val="32"/>
    </w:rPr>
  </w:style>
  <w:style w:type="character" w:customStyle="1" w:styleId="Heading1AChar">
    <w:name w:val="Heading 1A Char"/>
    <w:basedOn w:val="Heading3Char"/>
    <w:link w:val="Heading1A"/>
    <w:rsid w:val="0023335E"/>
    <w:rPr>
      <w:rFonts w:ascii="Arial" w:hAnsi="Arial"/>
      <w:color w:val="22413A"/>
      <w:sz w:val="48"/>
      <w:szCs w:val="44"/>
      <w:lang w:eastAsia="en-US" w:bidi="he-IL"/>
    </w:rPr>
  </w:style>
  <w:style w:type="paragraph" w:customStyle="1" w:styleId="Heading3A">
    <w:name w:val="Heading 3A"/>
    <w:basedOn w:val="Heading3"/>
    <w:link w:val="Heading3AChar"/>
    <w:qFormat/>
    <w:rsid w:val="0023335E"/>
    <w:pPr>
      <w:numPr>
        <w:numId w:val="57"/>
      </w:numPr>
    </w:pPr>
    <w:rPr>
      <w:szCs w:val="24"/>
    </w:rPr>
  </w:style>
  <w:style w:type="character" w:customStyle="1" w:styleId="Heading2AChar">
    <w:name w:val="Heading 2A Char"/>
    <w:basedOn w:val="Heading2Char"/>
    <w:link w:val="Heading2A"/>
    <w:rsid w:val="0023335E"/>
    <w:rPr>
      <w:rFonts w:ascii="Arial" w:hAnsi="Arial"/>
      <w:color w:val="22413A"/>
      <w:sz w:val="36"/>
      <w:szCs w:val="32"/>
      <w:lang w:eastAsia="en-US" w:bidi="he-IL"/>
    </w:rPr>
  </w:style>
  <w:style w:type="paragraph" w:customStyle="1" w:styleId="Heading4A">
    <w:name w:val="Heading 4A"/>
    <w:basedOn w:val="Heading4"/>
    <w:link w:val="Heading4AChar"/>
    <w:qFormat/>
    <w:rsid w:val="0023335E"/>
    <w:pPr>
      <w:numPr>
        <w:numId w:val="57"/>
      </w:numPr>
    </w:pPr>
    <w:rPr>
      <w:sz w:val="28"/>
      <w:szCs w:val="24"/>
    </w:rPr>
  </w:style>
  <w:style w:type="character" w:customStyle="1" w:styleId="Heading3AChar">
    <w:name w:val="Heading 3A Char"/>
    <w:basedOn w:val="Heading3Char"/>
    <w:link w:val="Heading3A"/>
    <w:rsid w:val="0023335E"/>
    <w:rPr>
      <w:rFonts w:ascii="Arial" w:hAnsi="Arial"/>
      <w:color w:val="22413A"/>
      <w:sz w:val="28"/>
      <w:szCs w:val="24"/>
      <w:lang w:eastAsia="en-US" w:bidi="he-IL"/>
    </w:rPr>
  </w:style>
  <w:style w:type="paragraph" w:customStyle="1" w:styleId="Heading5A">
    <w:name w:val="Heading 5A"/>
    <w:basedOn w:val="Heading5"/>
    <w:link w:val="Heading5AChar"/>
    <w:qFormat/>
    <w:rsid w:val="00633FFC"/>
    <w:pPr>
      <w:numPr>
        <w:ilvl w:val="4"/>
        <w:numId w:val="57"/>
      </w:numPr>
    </w:pPr>
    <w:rPr>
      <w:i w:val="0"/>
      <w:szCs w:val="32"/>
    </w:rPr>
  </w:style>
  <w:style w:type="character" w:customStyle="1" w:styleId="Heading4AChar">
    <w:name w:val="Heading 4A Char"/>
    <w:basedOn w:val="Heading4Char"/>
    <w:link w:val="Heading4A"/>
    <w:rsid w:val="0023335E"/>
    <w:rPr>
      <w:rFonts w:ascii="Arial" w:hAnsi="Arial"/>
      <w:b/>
      <w:bCs/>
      <w:color w:val="22413A"/>
      <w:sz w:val="28"/>
      <w:szCs w:val="24"/>
      <w:lang w:eastAsia="en-US" w:bidi="he-IL"/>
    </w:rPr>
  </w:style>
  <w:style w:type="character" w:customStyle="1" w:styleId="Heading5AChar">
    <w:name w:val="Heading 5A Char"/>
    <w:basedOn w:val="Heading5Char"/>
    <w:link w:val="Heading5A"/>
    <w:rsid w:val="00633FFC"/>
    <w:rPr>
      <w:rFonts w:ascii="Arial" w:hAnsi="Arial"/>
      <w:i w:val="0"/>
      <w:noProof/>
      <w:color w:val="22413A"/>
      <w:sz w:val="24"/>
      <w:szCs w:val="32"/>
      <w:lang w:eastAsia="en-US" w:bidi="he-IL"/>
    </w:rPr>
  </w:style>
  <w:style w:type="character" w:customStyle="1" w:styleId="ListParagraphChar">
    <w:name w:val="List Paragraph Char"/>
    <w:link w:val="ListParagraph"/>
    <w:uiPriority w:val="34"/>
    <w:rsid w:val="00EA103D"/>
    <w:rPr>
      <w:rFonts w:ascii="Arial" w:hAnsi="Arial"/>
      <w:sz w:val="24"/>
      <w:szCs w:val="22"/>
      <w:lang w:eastAsia="en-US" w:bidi="he-IL"/>
    </w:rPr>
  </w:style>
  <w:style w:type="numbering" w:customStyle="1" w:styleId="Heading1S2">
    <w:name w:val="Heading 1S2"/>
    <w:uiPriority w:val="99"/>
    <w:rsid w:val="007C54D5"/>
    <w:pPr>
      <w:numPr>
        <w:numId w:val="20"/>
      </w:numPr>
    </w:pPr>
  </w:style>
  <w:style w:type="paragraph" w:styleId="TOCHeading">
    <w:name w:val="TOC Heading"/>
    <w:basedOn w:val="Heading1"/>
    <w:next w:val="Normal"/>
    <w:uiPriority w:val="39"/>
    <w:unhideWhenUsed/>
    <w:qFormat/>
    <w:rsid w:val="00B45865"/>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TOC4">
    <w:name w:val="toc 4"/>
    <w:basedOn w:val="Normal"/>
    <w:next w:val="Normal"/>
    <w:autoRedefine/>
    <w:uiPriority w:val="39"/>
    <w:rsid w:val="00520936"/>
    <w:pPr>
      <w:spacing w:after="100"/>
      <w:ind w:left="720"/>
    </w:pPr>
  </w:style>
  <w:style w:type="paragraph" w:styleId="TOC5">
    <w:name w:val="toc 5"/>
    <w:basedOn w:val="Normal"/>
    <w:next w:val="Normal"/>
    <w:autoRedefine/>
    <w:uiPriority w:val="39"/>
    <w:rsid w:val="00520936"/>
    <w:pPr>
      <w:spacing w:after="100"/>
      <w:ind w:left="960"/>
    </w:pPr>
  </w:style>
  <w:style w:type="paragraph" w:styleId="TOC6">
    <w:name w:val="toc 6"/>
    <w:basedOn w:val="Normal"/>
    <w:next w:val="Normal"/>
    <w:autoRedefine/>
    <w:uiPriority w:val="39"/>
    <w:unhideWhenUsed/>
    <w:rsid w:val="00520936"/>
    <w:pPr>
      <w:spacing w:after="100" w:line="259" w:lineRule="auto"/>
      <w:ind w:left="1100"/>
    </w:pPr>
    <w:rPr>
      <w:rFonts w:asciiTheme="minorHAnsi" w:eastAsiaTheme="minorEastAsia" w:hAnsiTheme="minorHAnsi" w:cstheme="minorBidi"/>
      <w:sz w:val="22"/>
      <w:lang w:eastAsia="en-GB" w:bidi="ar-SA"/>
    </w:rPr>
  </w:style>
  <w:style w:type="paragraph" w:styleId="TOC7">
    <w:name w:val="toc 7"/>
    <w:basedOn w:val="Normal"/>
    <w:next w:val="Normal"/>
    <w:autoRedefine/>
    <w:uiPriority w:val="39"/>
    <w:unhideWhenUsed/>
    <w:rsid w:val="00520936"/>
    <w:pPr>
      <w:spacing w:after="100" w:line="259" w:lineRule="auto"/>
      <w:ind w:left="1320"/>
    </w:pPr>
    <w:rPr>
      <w:rFonts w:asciiTheme="minorHAnsi" w:eastAsiaTheme="minorEastAsia" w:hAnsiTheme="minorHAnsi" w:cstheme="minorBidi"/>
      <w:sz w:val="22"/>
      <w:lang w:eastAsia="en-GB" w:bidi="ar-SA"/>
    </w:rPr>
  </w:style>
  <w:style w:type="paragraph" w:styleId="TOC8">
    <w:name w:val="toc 8"/>
    <w:basedOn w:val="Normal"/>
    <w:next w:val="Normal"/>
    <w:autoRedefine/>
    <w:uiPriority w:val="39"/>
    <w:unhideWhenUsed/>
    <w:rsid w:val="00520936"/>
    <w:pPr>
      <w:spacing w:after="100" w:line="259" w:lineRule="auto"/>
      <w:ind w:left="1540"/>
    </w:pPr>
    <w:rPr>
      <w:rFonts w:asciiTheme="minorHAnsi" w:eastAsiaTheme="minorEastAsia" w:hAnsiTheme="minorHAnsi" w:cstheme="minorBidi"/>
      <w:sz w:val="22"/>
      <w:lang w:eastAsia="en-GB" w:bidi="ar-SA"/>
    </w:rPr>
  </w:style>
  <w:style w:type="paragraph" w:styleId="TOC9">
    <w:name w:val="toc 9"/>
    <w:basedOn w:val="Normal"/>
    <w:next w:val="Normal"/>
    <w:autoRedefine/>
    <w:uiPriority w:val="39"/>
    <w:unhideWhenUsed/>
    <w:rsid w:val="00520936"/>
    <w:pPr>
      <w:spacing w:after="100" w:line="259" w:lineRule="auto"/>
      <w:ind w:left="1760"/>
    </w:pPr>
    <w:rPr>
      <w:rFonts w:asciiTheme="minorHAnsi" w:eastAsiaTheme="minorEastAsia" w:hAnsiTheme="minorHAnsi" w:cstheme="minorBidi"/>
      <w:sz w:val="22"/>
      <w:lang w:eastAsia="en-GB" w:bidi="ar-SA"/>
    </w:rPr>
  </w:style>
  <w:style w:type="character" w:styleId="Mention">
    <w:name w:val="Mention"/>
    <w:basedOn w:val="DefaultParagraphFont"/>
    <w:uiPriority w:val="99"/>
    <w:unhideWhenUsed/>
    <w:rsid w:val="00176518"/>
    <w:rPr>
      <w:color w:val="2B579A"/>
      <w:shd w:val="clear" w:color="auto" w:fill="E1DFDD"/>
    </w:rPr>
  </w:style>
  <w:style w:type="paragraph" w:customStyle="1" w:styleId="StyleBodyTextCharJustifiedFirstline0cmAfter12pt">
    <w:name w:val="Style Body Text Char + Justified First line:  0 cm After:  12 pt"/>
    <w:basedOn w:val="BodyText"/>
    <w:rsid w:val="000F562F"/>
    <w:pPr>
      <w:spacing w:before="120" w:line="240" w:lineRule="auto"/>
      <w:ind w:left="720"/>
      <w:jc w:val="both"/>
    </w:pPr>
    <w:rPr>
      <w:rFonts w:eastAsia="Times New Roman" w:cs="Times New Roman"/>
      <w:sz w:val="22"/>
      <w:szCs w:val="20"/>
      <w:lang w:val="en-US" w:bidi="ar-SA"/>
    </w:rPr>
  </w:style>
  <w:style w:type="paragraph" w:styleId="BodyText">
    <w:name w:val="Body Text"/>
    <w:basedOn w:val="Normal"/>
    <w:link w:val="BodyTextChar"/>
    <w:semiHidden/>
    <w:unhideWhenUsed/>
    <w:qFormat/>
    <w:rsid w:val="000F562F"/>
    <w:pPr>
      <w:spacing w:after="120"/>
    </w:pPr>
  </w:style>
  <w:style w:type="character" w:customStyle="1" w:styleId="BodyTextChar">
    <w:name w:val="Body Text Char"/>
    <w:basedOn w:val="DefaultParagraphFont"/>
    <w:link w:val="BodyText"/>
    <w:semiHidden/>
    <w:rsid w:val="000F562F"/>
    <w:rPr>
      <w:rFonts w:ascii="Arial" w:hAnsi="Arial"/>
      <w:sz w:val="24"/>
      <w:szCs w:val="22"/>
      <w:lang w:eastAsia="en-US" w:bidi="he-IL"/>
    </w:rPr>
  </w:style>
  <w:style w:type="paragraph" w:customStyle="1" w:styleId="NNBTableHeader">
    <w:name w:val="NNB Table Header"/>
    <w:basedOn w:val="BodyText"/>
    <w:rsid w:val="000F562F"/>
    <w:pPr>
      <w:spacing w:before="60" w:after="40" w:line="240" w:lineRule="auto"/>
      <w:jc w:val="center"/>
    </w:pPr>
    <w:rPr>
      <w:rFonts w:eastAsia="Times New Roman"/>
      <w:b/>
      <w:sz w:val="18"/>
      <w:szCs w:val="32"/>
      <w:lang w:bidi="ar-SA"/>
    </w:rPr>
  </w:style>
  <w:style w:type="paragraph" w:customStyle="1" w:styleId="NNBTableBodyText">
    <w:name w:val="NNB Table Body Text"/>
    <w:basedOn w:val="BodyText"/>
    <w:rsid w:val="000F562F"/>
    <w:pPr>
      <w:spacing w:before="60" w:after="40" w:line="240" w:lineRule="auto"/>
      <w:ind w:left="57"/>
      <w:jc w:val="both"/>
    </w:pPr>
    <w:rPr>
      <w:rFonts w:eastAsia="Times New Roman"/>
      <w:sz w:val="18"/>
      <w:szCs w:val="32"/>
      <w:lang w:bidi="ar-SA"/>
    </w:rPr>
  </w:style>
  <w:style w:type="paragraph" w:styleId="Revision">
    <w:name w:val="Revision"/>
    <w:hidden/>
    <w:uiPriority w:val="99"/>
    <w:semiHidden/>
    <w:rsid w:val="000F562F"/>
    <w:rPr>
      <w:rFonts w:ascii="Arial" w:hAnsi="Arial"/>
      <w:sz w:val="24"/>
      <w:szCs w:val="22"/>
      <w:lang w:eastAsia="en-US" w:bidi="he-IL"/>
    </w:rPr>
  </w:style>
  <w:style w:type="character" w:customStyle="1" w:styleId="cf01">
    <w:name w:val="cf01"/>
    <w:basedOn w:val="DefaultParagraphFont"/>
    <w:rsid w:val="00862F96"/>
    <w:rPr>
      <w:rFonts w:ascii="Segoe UI" w:hAnsi="Segoe UI" w:cs="Segoe UI" w:hint="default"/>
      <w:sz w:val="18"/>
      <w:szCs w:val="18"/>
    </w:rPr>
  </w:style>
  <w:style w:type="paragraph" w:customStyle="1" w:styleId="pf0">
    <w:name w:val="pf0"/>
    <w:basedOn w:val="Normal"/>
    <w:rsid w:val="00862F96"/>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FollowedHyperlink">
    <w:name w:val="FollowedHyperlink"/>
    <w:basedOn w:val="DefaultParagraphFont"/>
    <w:uiPriority w:val="99"/>
    <w:semiHidden/>
    <w:unhideWhenUsed/>
    <w:rsid w:val="007B2945"/>
    <w:rPr>
      <w:color w:val="AA1C76" w:themeColor="followedHyperlink"/>
      <w:u w:val="single"/>
    </w:rPr>
  </w:style>
  <w:style w:type="paragraph" w:customStyle="1" w:styleId="PCSR3Heading2nozero">
    <w:name w:val="PCSR3 Heading 2 no zero"/>
    <w:basedOn w:val="Heading2"/>
    <w:link w:val="PCSR3Heading2nozeroChar"/>
    <w:autoRedefine/>
    <w:qFormat/>
    <w:rsid w:val="00F300F0"/>
    <w:pPr>
      <w:keepLines/>
      <w:numPr>
        <w:ilvl w:val="0"/>
        <w:numId w:val="0"/>
      </w:numPr>
      <w:overflowPunct w:val="0"/>
      <w:autoSpaceDE w:val="0"/>
      <w:autoSpaceDN w:val="0"/>
      <w:adjustRightInd w:val="0"/>
      <w:spacing w:after="0" w:line="240" w:lineRule="auto"/>
      <w:textAlignment w:val="baseline"/>
    </w:pPr>
    <w:rPr>
      <w:rFonts w:eastAsia="Times New Roman"/>
      <w:b/>
      <w:bCs/>
      <w:caps/>
      <w:snapToGrid w:val="0"/>
      <w:color w:val="000000"/>
      <w:sz w:val="24"/>
      <w:szCs w:val="24"/>
      <w:lang w:eastAsia="en-GB" w:bidi="ar-SA"/>
    </w:rPr>
  </w:style>
  <w:style w:type="character" w:customStyle="1" w:styleId="PCSR3Heading2nozeroChar">
    <w:name w:val="PCSR3 Heading 2 no zero Char"/>
    <w:link w:val="PCSR3Heading2nozero"/>
    <w:rsid w:val="00F300F0"/>
    <w:rPr>
      <w:rFonts w:ascii="Arial" w:eastAsia="Times New Roman" w:hAnsi="Arial"/>
      <w:b/>
      <w:bCs/>
      <w:caps/>
      <w:snapToGrid w:val="0"/>
      <w:color w:val="000000"/>
      <w:sz w:val="24"/>
      <w:szCs w:val="24"/>
    </w:rPr>
  </w:style>
  <w:style w:type="numbering" w:customStyle="1" w:styleId="NoList1">
    <w:name w:val="No List1"/>
    <w:next w:val="NoList"/>
    <w:uiPriority w:val="99"/>
    <w:semiHidden/>
    <w:unhideWhenUsed/>
    <w:rsid w:val="008E3F94"/>
  </w:style>
  <w:style w:type="paragraph" w:customStyle="1" w:styleId="msonormal0">
    <w:name w:val="msonormal"/>
    <w:basedOn w:val="Normal"/>
    <w:rsid w:val="008E3F94"/>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paragraph">
    <w:name w:val="paragraph"/>
    <w:basedOn w:val="Normal"/>
    <w:rsid w:val="008E3F94"/>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textrun">
    <w:name w:val="textrun"/>
    <w:basedOn w:val="DefaultParagraphFont"/>
    <w:rsid w:val="008E3F94"/>
  </w:style>
  <w:style w:type="character" w:customStyle="1" w:styleId="normaltextrun">
    <w:name w:val="normaltextrun"/>
    <w:basedOn w:val="DefaultParagraphFont"/>
    <w:rsid w:val="008E3F94"/>
  </w:style>
  <w:style w:type="character" w:customStyle="1" w:styleId="eop">
    <w:name w:val="eop"/>
    <w:basedOn w:val="DefaultParagraphFont"/>
    <w:rsid w:val="008E3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7">
      <w:bodyDiv w:val="1"/>
      <w:marLeft w:val="0"/>
      <w:marRight w:val="0"/>
      <w:marTop w:val="0"/>
      <w:marBottom w:val="0"/>
      <w:divBdr>
        <w:top w:val="none" w:sz="0" w:space="0" w:color="auto"/>
        <w:left w:val="none" w:sz="0" w:space="0" w:color="auto"/>
        <w:bottom w:val="none" w:sz="0" w:space="0" w:color="auto"/>
        <w:right w:val="none" w:sz="0" w:space="0" w:color="auto"/>
      </w:divBdr>
    </w:div>
    <w:div w:id="12976">
      <w:bodyDiv w:val="1"/>
      <w:marLeft w:val="0"/>
      <w:marRight w:val="0"/>
      <w:marTop w:val="0"/>
      <w:marBottom w:val="0"/>
      <w:divBdr>
        <w:top w:val="none" w:sz="0" w:space="0" w:color="auto"/>
        <w:left w:val="none" w:sz="0" w:space="0" w:color="auto"/>
        <w:bottom w:val="none" w:sz="0" w:space="0" w:color="auto"/>
        <w:right w:val="none" w:sz="0" w:space="0" w:color="auto"/>
      </w:divBdr>
    </w:div>
    <w:div w:id="13337">
      <w:bodyDiv w:val="1"/>
      <w:marLeft w:val="0"/>
      <w:marRight w:val="0"/>
      <w:marTop w:val="0"/>
      <w:marBottom w:val="0"/>
      <w:divBdr>
        <w:top w:val="none" w:sz="0" w:space="0" w:color="auto"/>
        <w:left w:val="none" w:sz="0" w:space="0" w:color="auto"/>
        <w:bottom w:val="none" w:sz="0" w:space="0" w:color="auto"/>
        <w:right w:val="none" w:sz="0" w:space="0" w:color="auto"/>
      </w:divBdr>
    </w:div>
    <w:div w:id="87635">
      <w:bodyDiv w:val="1"/>
      <w:marLeft w:val="0"/>
      <w:marRight w:val="0"/>
      <w:marTop w:val="0"/>
      <w:marBottom w:val="0"/>
      <w:divBdr>
        <w:top w:val="none" w:sz="0" w:space="0" w:color="auto"/>
        <w:left w:val="none" w:sz="0" w:space="0" w:color="auto"/>
        <w:bottom w:val="none" w:sz="0" w:space="0" w:color="auto"/>
        <w:right w:val="none" w:sz="0" w:space="0" w:color="auto"/>
      </w:divBdr>
    </w:div>
    <w:div w:id="159834">
      <w:bodyDiv w:val="1"/>
      <w:marLeft w:val="0"/>
      <w:marRight w:val="0"/>
      <w:marTop w:val="0"/>
      <w:marBottom w:val="0"/>
      <w:divBdr>
        <w:top w:val="none" w:sz="0" w:space="0" w:color="auto"/>
        <w:left w:val="none" w:sz="0" w:space="0" w:color="auto"/>
        <w:bottom w:val="none" w:sz="0" w:space="0" w:color="auto"/>
        <w:right w:val="none" w:sz="0" w:space="0" w:color="auto"/>
      </w:divBdr>
    </w:div>
    <w:div w:id="206412">
      <w:bodyDiv w:val="1"/>
      <w:marLeft w:val="0"/>
      <w:marRight w:val="0"/>
      <w:marTop w:val="0"/>
      <w:marBottom w:val="0"/>
      <w:divBdr>
        <w:top w:val="none" w:sz="0" w:space="0" w:color="auto"/>
        <w:left w:val="none" w:sz="0" w:space="0" w:color="auto"/>
        <w:bottom w:val="none" w:sz="0" w:space="0" w:color="auto"/>
        <w:right w:val="none" w:sz="0" w:space="0" w:color="auto"/>
      </w:divBdr>
    </w:div>
    <w:div w:id="396019">
      <w:bodyDiv w:val="1"/>
      <w:marLeft w:val="0"/>
      <w:marRight w:val="0"/>
      <w:marTop w:val="0"/>
      <w:marBottom w:val="0"/>
      <w:divBdr>
        <w:top w:val="none" w:sz="0" w:space="0" w:color="auto"/>
        <w:left w:val="none" w:sz="0" w:space="0" w:color="auto"/>
        <w:bottom w:val="none" w:sz="0" w:space="0" w:color="auto"/>
        <w:right w:val="none" w:sz="0" w:space="0" w:color="auto"/>
      </w:divBdr>
    </w:div>
    <w:div w:id="402938">
      <w:bodyDiv w:val="1"/>
      <w:marLeft w:val="0"/>
      <w:marRight w:val="0"/>
      <w:marTop w:val="0"/>
      <w:marBottom w:val="0"/>
      <w:divBdr>
        <w:top w:val="none" w:sz="0" w:space="0" w:color="auto"/>
        <w:left w:val="none" w:sz="0" w:space="0" w:color="auto"/>
        <w:bottom w:val="none" w:sz="0" w:space="0" w:color="auto"/>
        <w:right w:val="none" w:sz="0" w:space="0" w:color="auto"/>
      </w:divBdr>
    </w:div>
    <w:div w:id="472600">
      <w:bodyDiv w:val="1"/>
      <w:marLeft w:val="0"/>
      <w:marRight w:val="0"/>
      <w:marTop w:val="0"/>
      <w:marBottom w:val="0"/>
      <w:divBdr>
        <w:top w:val="none" w:sz="0" w:space="0" w:color="auto"/>
        <w:left w:val="none" w:sz="0" w:space="0" w:color="auto"/>
        <w:bottom w:val="none" w:sz="0" w:space="0" w:color="auto"/>
        <w:right w:val="none" w:sz="0" w:space="0" w:color="auto"/>
      </w:divBdr>
    </w:div>
    <w:div w:id="552047">
      <w:bodyDiv w:val="1"/>
      <w:marLeft w:val="0"/>
      <w:marRight w:val="0"/>
      <w:marTop w:val="0"/>
      <w:marBottom w:val="0"/>
      <w:divBdr>
        <w:top w:val="none" w:sz="0" w:space="0" w:color="auto"/>
        <w:left w:val="none" w:sz="0" w:space="0" w:color="auto"/>
        <w:bottom w:val="none" w:sz="0" w:space="0" w:color="auto"/>
        <w:right w:val="none" w:sz="0" w:space="0" w:color="auto"/>
      </w:divBdr>
    </w:div>
    <w:div w:id="594238">
      <w:bodyDiv w:val="1"/>
      <w:marLeft w:val="0"/>
      <w:marRight w:val="0"/>
      <w:marTop w:val="0"/>
      <w:marBottom w:val="0"/>
      <w:divBdr>
        <w:top w:val="none" w:sz="0" w:space="0" w:color="auto"/>
        <w:left w:val="none" w:sz="0" w:space="0" w:color="auto"/>
        <w:bottom w:val="none" w:sz="0" w:space="0" w:color="auto"/>
        <w:right w:val="none" w:sz="0" w:space="0" w:color="auto"/>
      </w:divBdr>
    </w:div>
    <w:div w:id="594948">
      <w:bodyDiv w:val="1"/>
      <w:marLeft w:val="0"/>
      <w:marRight w:val="0"/>
      <w:marTop w:val="0"/>
      <w:marBottom w:val="0"/>
      <w:divBdr>
        <w:top w:val="none" w:sz="0" w:space="0" w:color="auto"/>
        <w:left w:val="none" w:sz="0" w:space="0" w:color="auto"/>
        <w:bottom w:val="none" w:sz="0" w:space="0" w:color="auto"/>
        <w:right w:val="none" w:sz="0" w:space="0" w:color="auto"/>
      </w:divBdr>
    </w:div>
    <w:div w:id="671439">
      <w:bodyDiv w:val="1"/>
      <w:marLeft w:val="0"/>
      <w:marRight w:val="0"/>
      <w:marTop w:val="0"/>
      <w:marBottom w:val="0"/>
      <w:divBdr>
        <w:top w:val="none" w:sz="0" w:space="0" w:color="auto"/>
        <w:left w:val="none" w:sz="0" w:space="0" w:color="auto"/>
        <w:bottom w:val="none" w:sz="0" w:space="0" w:color="auto"/>
        <w:right w:val="none" w:sz="0" w:space="0" w:color="auto"/>
      </w:divBdr>
    </w:div>
    <w:div w:id="743207">
      <w:bodyDiv w:val="1"/>
      <w:marLeft w:val="0"/>
      <w:marRight w:val="0"/>
      <w:marTop w:val="0"/>
      <w:marBottom w:val="0"/>
      <w:divBdr>
        <w:top w:val="none" w:sz="0" w:space="0" w:color="auto"/>
        <w:left w:val="none" w:sz="0" w:space="0" w:color="auto"/>
        <w:bottom w:val="none" w:sz="0" w:space="0" w:color="auto"/>
        <w:right w:val="none" w:sz="0" w:space="0" w:color="auto"/>
      </w:divBdr>
    </w:div>
    <w:div w:id="744111">
      <w:bodyDiv w:val="1"/>
      <w:marLeft w:val="0"/>
      <w:marRight w:val="0"/>
      <w:marTop w:val="0"/>
      <w:marBottom w:val="0"/>
      <w:divBdr>
        <w:top w:val="none" w:sz="0" w:space="0" w:color="auto"/>
        <w:left w:val="none" w:sz="0" w:space="0" w:color="auto"/>
        <w:bottom w:val="none" w:sz="0" w:space="0" w:color="auto"/>
        <w:right w:val="none" w:sz="0" w:space="0" w:color="auto"/>
      </w:divBdr>
    </w:div>
    <w:div w:id="818783">
      <w:bodyDiv w:val="1"/>
      <w:marLeft w:val="0"/>
      <w:marRight w:val="0"/>
      <w:marTop w:val="0"/>
      <w:marBottom w:val="0"/>
      <w:divBdr>
        <w:top w:val="none" w:sz="0" w:space="0" w:color="auto"/>
        <w:left w:val="none" w:sz="0" w:space="0" w:color="auto"/>
        <w:bottom w:val="none" w:sz="0" w:space="0" w:color="auto"/>
        <w:right w:val="none" w:sz="0" w:space="0" w:color="auto"/>
      </w:divBdr>
    </w:div>
    <w:div w:id="861378">
      <w:bodyDiv w:val="1"/>
      <w:marLeft w:val="0"/>
      <w:marRight w:val="0"/>
      <w:marTop w:val="0"/>
      <w:marBottom w:val="0"/>
      <w:divBdr>
        <w:top w:val="none" w:sz="0" w:space="0" w:color="auto"/>
        <w:left w:val="none" w:sz="0" w:space="0" w:color="auto"/>
        <w:bottom w:val="none" w:sz="0" w:space="0" w:color="auto"/>
        <w:right w:val="none" w:sz="0" w:space="0" w:color="auto"/>
      </w:divBdr>
    </w:div>
    <w:div w:id="1200074">
      <w:bodyDiv w:val="1"/>
      <w:marLeft w:val="0"/>
      <w:marRight w:val="0"/>
      <w:marTop w:val="0"/>
      <w:marBottom w:val="0"/>
      <w:divBdr>
        <w:top w:val="none" w:sz="0" w:space="0" w:color="auto"/>
        <w:left w:val="none" w:sz="0" w:space="0" w:color="auto"/>
        <w:bottom w:val="none" w:sz="0" w:space="0" w:color="auto"/>
        <w:right w:val="none" w:sz="0" w:space="0" w:color="auto"/>
      </w:divBdr>
    </w:div>
    <w:div w:id="1201150">
      <w:bodyDiv w:val="1"/>
      <w:marLeft w:val="0"/>
      <w:marRight w:val="0"/>
      <w:marTop w:val="0"/>
      <w:marBottom w:val="0"/>
      <w:divBdr>
        <w:top w:val="none" w:sz="0" w:space="0" w:color="auto"/>
        <w:left w:val="none" w:sz="0" w:space="0" w:color="auto"/>
        <w:bottom w:val="none" w:sz="0" w:space="0" w:color="auto"/>
        <w:right w:val="none" w:sz="0" w:space="0" w:color="auto"/>
      </w:divBdr>
    </w:div>
    <w:div w:id="1277182">
      <w:bodyDiv w:val="1"/>
      <w:marLeft w:val="0"/>
      <w:marRight w:val="0"/>
      <w:marTop w:val="0"/>
      <w:marBottom w:val="0"/>
      <w:divBdr>
        <w:top w:val="none" w:sz="0" w:space="0" w:color="auto"/>
        <w:left w:val="none" w:sz="0" w:space="0" w:color="auto"/>
        <w:bottom w:val="none" w:sz="0" w:space="0" w:color="auto"/>
        <w:right w:val="none" w:sz="0" w:space="0" w:color="auto"/>
      </w:divBdr>
    </w:div>
    <w:div w:id="1320462">
      <w:bodyDiv w:val="1"/>
      <w:marLeft w:val="0"/>
      <w:marRight w:val="0"/>
      <w:marTop w:val="0"/>
      <w:marBottom w:val="0"/>
      <w:divBdr>
        <w:top w:val="none" w:sz="0" w:space="0" w:color="auto"/>
        <w:left w:val="none" w:sz="0" w:space="0" w:color="auto"/>
        <w:bottom w:val="none" w:sz="0" w:space="0" w:color="auto"/>
        <w:right w:val="none" w:sz="0" w:space="0" w:color="auto"/>
      </w:divBdr>
    </w:div>
    <w:div w:id="1442144">
      <w:bodyDiv w:val="1"/>
      <w:marLeft w:val="0"/>
      <w:marRight w:val="0"/>
      <w:marTop w:val="0"/>
      <w:marBottom w:val="0"/>
      <w:divBdr>
        <w:top w:val="none" w:sz="0" w:space="0" w:color="auto"/>
        <w:left w:val="none" w:sz="0" w:space="0" w:color="auto"/>
        <w:bottom w:val="none" w:sz="0" w:space="0" w:color="auto"/>
        <w:right w:val="none" w:sz="0" w:space="0" w:color="auto"/>
      </w:divBdr>
    </w:div>
    <w:div w:id="1517059">
      <w:bodyDiv w:val="1"/>
      <w:marLeft w:val="0"/>
      <w:marRight w:val="0"/>
      <w:marTop w:val="0"/>
      <w:marBottom w:val="0"/>
      <w:divBdr>
        <w:top w:val="none" w:sz="0" w:space="0" w:color="auto"/>
        <w:left w:val="none" w:sz="0" w:space="0" w:color="auto"/>
        <w:bottom w:val="none" w:sz="0" w:space="0" w:color="auto"/>
        <w:right w:val="none" w:sz="0" w:space="0" w:color="auto"/>
      </w:divBdr>
    </w:div>
    <w:div w:id="1668056">
      <w:bodyDiv w:val="1"/>
      <w:marLeft w:val="0"/>
      <w:marRight w:val="0"/>
      <w:marTop w:val="0"/>
      <w:marBottom w:val="0"/>
      <w:divBdr>
        <w:top w:val="none" w:sz="0" w:space="0" w:color="auto"/>
        <w:left w:val="none" w:sz="0" w:space="0" w:color="auto"/>
        <w:bottom w:val="none" w:sz="0" w:space="0" w:color="auto"/>
        <w:right w:val="none" w:sz="0" w:space="0" w:color="auto"/>
      </w:divBdr>
    </w:div>
    <w:div w:id="1669643">
      <w:bodyDiv w:val="1"/>
      <w:marLeft w:val="0"/>
      <w:marRight w:val="0"/>
      <w:marTop w:val="0"/>
      <w:marBottom w:val="0"/>
      <w:divBdr>
        <w:top w:val="none" w:sz="0" w:space="0" w:color="auto"/>
        <w:left w:val="none" w:sz="0" w:space="0" w:color="auto"/>
        <w:bottom w:val="none" w:sz="0" w:space="0" w:color="auto"/>
        <w:right w:val="none" w:sz="0" w:space="0" w:color="auto"/>
      </w:divBdr>
    </w:div>
    <w:div w:id="1709484">
      <w:bodyDiv w:val="1"/>
      <w:marLeft w:val="0"/>
      <w:marRight w:val="0"/>
      <w:marTop w:val="0"/>
      <w:marBottom w:val="0"/>
      <w:divBdr>
        <w:top w:val="none" w:sz="0" w:space="0" w:color="auto"/>
        <w:left w:val="none" w:sz="0" w:space="0" w:color="auto"/>
        <w:bottom w:val="none" w:sz="0" w:space="0" w:color="auto"/>
        <w:right w:val="none" w:sz="0" w:space="0" w:color="auto"/>
      </w:divBdr>
    </w:div>
    <w:div w:id="1786899">
      <w:bodyDiv w:val="1"/>
      <w:marLeft w:val="0"/>
      <w:marRight w:val="0"/>
      <w:marTop w:val="0"/>
      <w:marBottom w:val="0"/>
      <w:divBdr>
        <w:top w:val="none" w:sz="0" w:space="0" w:color="auto"/>
        <w:left w:val="none" w:sz="0" w:space="0" w:color="auto"/>
        <w:bottom w:val="none" w:sz="0" w:space="0" w:color="auto"/>
        <w:right w:val="none" w:sz="0" w:space="0" w:color="auto"/>
      </w:divBdr>
    </w:div>
    <w:div w:id="1787192">
      <w:bodyDiv w:val="1"/>
      <w:marLeft w:val="0"/>
      <w:marRight w:val="0"/>
      <w:marTop w:val="0"/>
      <w:marBottom w:val="0"/>
      <w:divBdr>
        <w:top w:val="none" w:sz="0" w:space="0" w:color="auto"/>
        <w:left w:val="none" w:sz="0" w:space="0" w:color="auto"/>
        <w:bottom w:val="none" w:sz="0" w:space="0" w:color="auto"/>
        <w:right w:val="none" w:sz="0" w:space="0" w:color="auto"/>
      </w:divBdr>
    </w:div>
    <w:div w:id="1979463">
      <w:bodyDiv w:val="1"/>
      <w:marLeft w:val="0"/>
      <w:marRight w:val="0"/>
      <w:marTop w:val="0"/>
      <w:marBottom w:val="0"/>
      <w:divBdr>
        <w:top w:val="none" w:sz="0" w:space="0" w:color="auto"/>
        <w:left w:val="none" w:sz="0" w:space="0" w:color="auto"/>
        <w:bottom w:val="none" w:sz="0" w:space="0" w:color="auto"/>
        <w:right w:val="none" w:sz="0" w:space="0" w:color="auto"/>
      </w:divBdr>
    </w:div>
    <w:div w:id="2049097">
      <w:bodyDiv w:val="1"/>
      <w:marLeft w:val="0"/>
      <w:marRight w:val="0"/>
      <w:marTop w:val="0"/>
      <w:marBottom w:val="0"/>
      <w:divBdr>
        <w:top w:val="none" w:sz="0" w:space="0" w:color="auto"/>
        <w:left w:val="none" w:sz="0" w:space="0" w:color="auto"/>
        <w:bottom w:val="none" w:sz="0" w:space="0" w:color="auto"/>
        <w:right w:val="none" w:sz="0" w:space="0" w:color="auto"/>
      </w:divBdr>
    </w:div>
    <w:div w:id="2097486">
      <w:bodyDiv w:val="1"/>
      <w:marLeft w:val="0"/>
      <w:marRight w:val="0"/>
      <w:marTop w:val="0"/>
      <w:marBottom w:val="0"/>
      <w:divBdr>
        <w:top w:val="none" w:sz="0" w:space="0" w:color="auto"/>
        <w:left w:val="none" w:sz="0" w:space="0" w:color="auto"/>
        <w:bottom w:val="none" w:sz="0" w:space="0" w:color="auto"/>
        <w:right w:val="none" w:sz="0" w:space="0" w:color="auto"/>
      </w:divBdr>
    </w:div>
    <w:div w:id="2123777">
      <w:bodyDiv w:val="1"/>
      <w:marLeft w:val="0"/>
      <w:marRight w:val="0"/>
      <w:marTop w:val="0"/>
      <w:marBottom w:val="0"/>
      <w:divBdr>
        <w:top w:val="none" w:sz="0" w:space="0" w:color="auto"/>
        <w:left w:val="none" w:sz="0" w:space="0" w:color="auto"/>
        <w:bottom w:val="none" w:sz="0" w:space="0" w:color="auto"/>
        <w:right w:val="none" w:sz="0" w:space="0" w:color="auto"/>
      </w:divBdr>
    </w:div>
    <w:div w:id="2126301">
      <w:bodyDiv w:val="1"/>
      <w:marLeft w:val="0"/>
      <w:marRight w:val="0"/>
      <w:marTop w:val="0"/>
      <w:marBottom w:val="0"/>
      <w:divBdr>
        <w:top w:val="none" w:sz="0" w:space="0" w:color="auto"/>
        <w:left w:val="none" w:sz="0" w:space="0" w:color="auto"/>
        <w:bottom w:val="none" w:sz="0" w:space="0" w:color="auto"/>
        <w:right w:val="none" w:sz="0" w:space="0" w:color="auto"/>
      </w:divBdr>
    </w:div>
    <w:div w:id="2175757">
      <w:bodyDiv w:val="1"/>
      <w:marLeft w:val="0"/>
      <w:marRight w:val="0"/>
      <w:marTop w:val="0"/>
      <w:marBottom w:val="0"/>
      <w:divBdr>
        <w:top w:val="none" w:sz="0" w:space="0" w:color="auto"/>
        <w:left w:val="none" w:sz="0" w:space="0" w:color="auto"/>
        <w:bottom w:val="none" w:sz="0" w:space="0" w:color="auto"/>
        <w:right w:val="none" w:sz="0" w:space="0" w:color="auto"/>
      </w:divBdr>
    </w:div>
    <w:div w:id="2243124">
      <w:bodyDiv w:val="1"/>
      <w:marLeft w:val="0"/>
      <w:marRight w:val="0"/>
      <w:marTop w:val="0"/>
      <w:marBottom w:val="0"/>
      <w:divBdr>
        <w:top w:val="none" w:sz="0" w:space="0" w:color="auto"/>
        <w:left w:val="none" w:sz="0" w:space="0" w:color="auto"/>
        <w:bottom w:val="none" w:sz="0" w:space="0" w:color="auto"/>
        <w:right w:val="none" w:sz="0" w:space="0" w:color="auto"/>
      </w:divBdr>
    </w:div>
    <w:div w:id="2369064">
      <w:bodyDiv w:val="1"/>
      <w:marLeft w:val="0"/>
      <w:marRight w:val="0"/>
      <w:marTop w:val="0"/>
      <w:marBottom w:val="0"/>
      <w:divBdr>
        <w:top w:val="none" w:sz="0" w:space="0" w:color="auto"/>
        <w:left w:val="none" w:sz="0" w:space="0" w:color="auto"/>
        <w:bottom w:val="none" w:sz="0" w:space="0" w:color="auto"/>
        <w:right w:val="none" w:sz="0" w:space="0" w:color="auto"/>
      </w:divBdr>
    </w:div>
    <w:div w:id="2555944">
      <w:bodyDiv w:val="1"/>
      <w:marLeft w:val="0"/>
      <w:marRight w:val="0"/>
      <w:marTop w:val="0"/>
      <w:marBottom w:val="0"/>
      <w:divBdr>
        <w:top w:val="none" w:sz="0" w:space="0" w:color="auto"/>
        <w:left w:val="none" w:sz="0" w:space="0" w:color="auto"/>
        <w:bottom w:val="none" w:sz="0" w:space="0" w:color="auto"/>
        <w:right w:val="none" w:sz="0" w:space="0" w:color="auto"/>
      </w:divBdr>
    </w:div>
    <w:div w:id="2706368">
      <w:bodyDiv w:val="1"/>
      <w:marLeft w:val="0"/>
      <w:marRight w:val="0"/>
      <w:marTop w:val="0"/>
      <w:marBottom w:val="0"/>
      <w:divBdr>
        <w:top w:val="none" w:sz="0" w:space="0" w:color="auto"/>
        <w:left w:val="none" w:sz="0" w:space="0" w:color="auto"/>
        <w:bottom w:val="none" w:sz="0" w:space="0" w:color="auto"/>
        <w:right w:val="none" w:sz="0" w:space="0" w:color="auto"/>
      </w:divBdr>
    </w:div>
    <w:div w:id="2712042">
      <w:bodyDiv w:val="1"/>
      <w:marLeft w:val="0"/>
      <w:marRight w:val="0"/>
      <w:marTop w:val="0"/>
      <w:marBottom w:val="0"/>
      <w:divBdr>
        <w:top w:val="none" w:sz="0" w:space="0" w:color="auto"/>
        <w:left w:val="none" w:sz="0" w:space="0" w:color="auto"/>
        <w:bottom w:val="none" w:sz="0" w:space="0" w:color="auto"/>
        <w:right w:val="none" w:sz="0" w:space="0" w:color="auto"/>
      </w:divBdr>
    </w:div>
    <w:div w:id="2779312">
      <w:bodyDiv w:val="1"/>
      <w:marLeft w:val="0"/>
      <w:marRight w:val="0"/>
      <w:marTop w:val="0"/>
      <w:marBottom w:val="0"/>
      <w:divBdr>
        <w:top w:val="none" w:sz="0" w:space="0" w:color="auto"/>
        <w:left w:val="none" w:sz="0" w:space="0" w:color="auto"/>
        <w:bottom w:val="none" w:sz="0" w:space="0" w:color="auto"/>
        <w:right w:val="none" w:sz="0" w:space="0" w:color="auto"/>
      </w:divBdr>
    </w:div>
    <w:div w:id="2976009">
      <w:bodyDiv w:val="1"/>
      <w:marLeft w:val="0"/>
      <w:marRight w:val="0"/>
      <w:marTop w:val="0"/>
      <w:marBottom w:val="0"/>
      <w:divBdr>
        <w:top w:val="none" w:sz="0" w:space="0" w:color="auto"/>
        <w:left w:val="none" w:sz="0" w:space="0" w:color="auto"/>
        <w:bottom w:val="none" w:sz="0" w:space="0" w:color="auto"/>
        <w:right w:val="none" w:sz="0" w:space="0" w:color="auto"/>
      </w:divBdr>
    </w:div>
    <w:div w:id="2978644">
      <w:bodyDiv w:val="1"/>
      <w:marLeft w:val="0"/>
      <w:marRight w:val="0"/>
      <w:marTop w:val="0"/>
      <w:marBottom w:val="0"/>
      <w:divBdr>
        <w:top w:val="none" w:sz="0" w:space="0" w:color="auto"/>
        <w:left w:val="none" w:sz="0" w:space="0" w:color="auto"/>
        <w:bottom w:val="none" w:sz="0" w:space="0" w:color="auto"/>
        <w:right w:val="none" w:sz="0" w:space="0" w:color="auto"/>
      </w:divBdr>
    </w:div>
    <w:div w:id="3093299">
      <w:bodyDiv w:val="1"/>
      <w:marLeft w:val="0"/>
      <w:marRight w:val="0"/>
      <w:marTop w:val="0"/>
      <w:marBottom w:val="0"/>
      <w:divBdr>
        <w:top w:val="none" w:sz="0" w:space="0" w:color="auto"/>
        <w:left w:val="none" w:sz="0" w:space="0" w:color="auto"/>
        <w:bottom w:val="none" w:sz="0" w:space="0" w:color="auto"/>
        <w:right w:val="none" w:sz="0" w:space="0" w:color="auto"/>
      </w:divBdr>
    </w:div>
    <w:div w:id="3093949">
      <w:bodyDiv w:val="1"/>
      <w:marLeft w:val="0"/>
      <w:marRight w:val="0"/>
      <w:marTop w:val="0"/>
      <w:marBottom w:val="0"/>
      <w:divBdr>
        <w:top w:val="none" w:sz="0" w:space="0" w:color="auto"/>
        <w:left w:val="none" w:sz="0" w:space="0" w:color="auto"/>
        <w:bottom w:val="none" w:sz="0" w:space="0" w:color="auto"/>
        <w:right w:val="none" w:sz="0" w:space="0" w:color="auto"/>
      </w:divBdr>
    </w:div>
    <w:div w:id="3217707">
      <w:bodyDiv w:val="1"/>
      <w:marLeft w:val="0"/>
      <w:marRight w:val="0"/>
      <w:marTop w:val="0"/>
      <w:marBottom w:val="0"/>
      <w:divBdr>
        <w:top w:val="none" w:sz="0" w:space="0" w:color="auto"/>
        <w:left w:val="none" w:sz="0" w:space="0" w:color="auto"/>
        <w:bottom w:val="none" w:sz="0" w:space="0" w:color="auto"/>
        <w:right w:val="none" w:sz="0" w:space="0" w:color="auto"/>
      </w:divBdr>
    </w:div>
    <w:div w:id="3241118">
      <w:bodyDiv w:val="1"/>
      <w:marLeft w:val="0"/>
      <w:marRight w:val="0"/>
      <w:marTop w:val="0"/>
      <w:marBottom w:val="0"/>
      <w:divBdr>
        <w:top w:val="none" w:sz="0" w:space="0" w:color="auto"/>
        <w:left w:val="none" w:sz="0" w:space="0" w:color="auto"/>
        <w:bottom w:val="none" w:sz="0" w:space="0" w:color="auto"/>
        <w:right w:val="none" w:sz="0" w:space="0" w:color="auto"/>
      </w:divBdr>
    </w:div>
    <w:div w:id="3287164">
      <w:bodyDiv w:val="1"/>
      <w:marLeft w:val="0"/>
      <w:marRight w:val="0"/>
      <w:marTop w:val="0"/>
      <w:marBottom w:val="0"/>
      <w:divBdr>
        <w:top w:val="none" w:sz="0" w:space="0" w:color="auto"/>
        <w:left w:val="none" w:sz="0" w:space="0" w:color="auto"/>
        <w:bottom w:val="none" w:sz="0" w:space="0" w:color="auto"/>
        <w:right w:val="none" w:sz="0" w:space="0" w:color="auto"/>
      </w:divBdr>
    </w:div>
    <w:div w:id="3361228">
      <w:bodyDiv w:val="1"/>
      <w:marLeft w:val="0"/>
      <w:marRight w:val="0"/>
      <w:marTop w:val="0"/>
      <w:marBottom w:val="0"/>
      <w:divBdr>
        <w:top w:val="none" w:sz="0" w:space="0" w:color="auto"/>
        <w:left w:val="none" w:sz="0" w:space="0" w:color="auto"/>
        <w:bottom w:val="none" w:sz="0" w:space="0" w:color="auto"/>
        <w:right w:val="none" w:sz="0" w:space="0" w:color="auto"/>
      </w:divBdr>
    </w:div>
    <w:div w:id="3554989">
      <w:bodyDiv w:val="1"/>
      <w:marLeft w:val="0"/>
      <w:marRight w:val="0"/>
      <w:marTop w:val="0"/>
      <w:marBottom w:val="0"/>
      <w:divBdr>
        <w:top w:val="none" w:sz="0" w:space="0" w:color="auto"/>
        <w:left w:val="none" w:sz="0" w:space="0" w:color="auto"/>
        <w:bottom w:val="none" w:sz="0" w:space="0" w:color="auto"/>
        <w:right w:val="none" w:sz="0" w:space="0" w:color="auto"/>
      </w:divBdr>
    </w:div>
    <w:div w:id="3561225">
      <w:bodyDiv w:val="1"/>
      <w:marLeft w:val="0"/>
      <w:marRight w:val="0"/>
      <w:marTop w:val="0"/>
      <w:marBottom w:val="0"/>
      <w:divBdr>
        <w:top w:val="none" w:sz="0" w:space="0" w:color="auto"/>
        <w:left w:val="none" w:sz="0" w:space="0" w:color="auto"/>
        <w:bottom w:val="none" w:sz="0" w:space="0" w:color="auto"/>
        <w:right w:val="none" w:sz="0" w:space="0" w:color="auto"/>
      </w:divBdr>
    </w:div>
    <w:div w:id="3635576">
      <w:bodyDiv w:val="1"/>
      <w:marLeft w:val="0"/>
      <w:marRight w:val="0"/>
      <w:marTop w:val="0"/>
      <w:marBottom w:val="0"/>
      <w:divBdr>
        <w:top w:val="none" w:sz="0" w:space="0" w:color="auto"/>
        <w:left w:val="none" w:sz="0" w:space="0" w:color="auto"/>
        <w:bottom w:val="none" w:sz="0" w:space="0" w:color="auto"/>
        <w:right w:val="none" w:sz="0" w:space="0" w:color="auto"/>
      </w:divBdr>
    </w:div>
    <w:div w:id="3746952">
      <w:bodyDiv w:val="1"/>
      <w:marLeft w:val="0"/>
      <w:marRight w:val="0"/>
      <w:marTop w:val="0"/>
      <w:marBottom w:val="0"/>
      <w:divBdr>
        <w:top w:val="none" w:sz="0" w:space="0" w:color="auto"/>
        <w:left w:val="none" w:sz="0" w:space="0" w:color="auto"/>
        <w:bottom w:val="none" w:sz="0" w:space="0" w:color="auto"/>
        <w:right w:val="none" w:sz="0" w:space="0" w:color="auto"/>
      </w:divBdr>
    </w:div>
    <w:div w:id="3746986">
      <w:bodyDiv w:val="1"/>
      <w:marLeft w:val="0"/>
      <w:marRight w:val="0"/>
      <w:marTop w:val="0"/>
      <w:marBottom w:val="0"/>
      <w:divBdr>
        <w:top w:val="none" w:sz="0" w:space="0" w:color="auto"/>
        <w:left w:val="none" w:sz="0" w:space="0" w:color="auto"/>
        <w:bottom w:val="none" w:sz="0" w:space="0" w:color="auto"/>
        <w:right w:val="none" w:sz="0" w:space="0" w:color="auto"/>
      </w:divBdr>
    </w:div>
    <w:div w:id="3867645">
      <w:bodyDiv w:val="1"/>
      <w:marLeft w:val="0"/>
      <w:marRight w:val="0"/>
      <w:marTop w:val="0"/>
      <w:marBottom w:val="0"/>
      <w:divBdr>
        <w:top w:val="none" w:sz="0" w:space="0" w:color="auto"/>
        <w:left w:val="none" w:sz="0" w:space="0" w:color="auto"/>
        <w:bottom w:val="none" w:sz="0" w:space="0" w:color="auto"/>
        <w:right w:val="none" w:sz="0" w:space="0" w:color="auto"/>
      </w:divBdr>
    </w:div>
    <w:div w:id="3870222">
      <w:bodyDiv w:val="1"/>
      <w:marLeft w:val="0"/>
      <w:marRight w:val="0"/>
      <w:marTop w:val="0"/>
      <w:marBottom w:val="0"/>
      <w:divBdr>
        <w:top w:val="none" w:sz="0" w:space="0" w:color="auto"/>
        <w:left w:val="none" w:sz="0" w:space="0" w:color="auto"/>
        <w:bottom w:val="none" w:sz="0" w:space="0" w:color="auto"/>
        <w:right w:val="none" w:sz="0" w:space="0" w:color="auto"/>
      </w:divBdr>
    </w:div>
    <w:div w:id="3871645">
      <w:bodyDiv w:val="1"/>
      <w:marLeft w:val="0"/>
      <w:marRight w:val="0"/>
      <w:marTop w:val="0"/>
      <w:marBottom w:val="0"/>
      <w:divBdr>
        <w:top w:val="none" w:sz="0" w:space="0" w:color="auto"/>
        <w:left w:val="none" w:sz="0" w:space="0" w:color="auto"/>
        <w:bottom w:val="none" w:sz="0" w:space="0" w:color="auto"/>
        <w:right w:val="none" w:sz="0" w:space="0" w:color="auto"/>
      </w:divBdr>
    </w:div>
    <w:div w:id="4022729">
      <w:bodyDiv w:val="1"/>
      <w:marLeft w:val="0"/>
      <w:marRight w:val="0"/>
      <w:marTop w:val="0"/>
      <w:marBottom w:val="0"/>
      <w:divBdr>
        <w:top w:val="none" w:sz="0" w:space="0" w:color="auto"/>
        <w:left w:val="none" w:sz="0" w:space="0" w:color="auto"/>
        <w:bottom w:val="none" w:sz="0" w:space="0" w:color="auto"/>
        <w:right w:val="none" w:sz="0" w:space="0" w:color="auto"/>
      </w:divBdr>
    </w:div>
    <w:div w:id="4092721">
      <w:bodyDiv w:val="1"/>
      <w:marLeft w:val="0"/>
      <w:marRight w:val="0"/>
      <w:marTop w:val="0"/>
      <w:marBottom w:val="0"/>
      <w:divBdr>
        <w:top w:val="none" w:sz="0" w:space="0" w:color="auto"/>
        <w:left w:val="none" w:sz="0" w:space="0" w:color="auto"/>
        <w:bottom w:val="none" w:sz="0" w:space="0" w:color="auto"/>
        <w:right w:val="none" w:sz="0" w:space="0" w:color="auto"/>
      </w:divBdr>
    </w:div>
    <w:div w:id="4132706">
      <w:bodyDiv w:val="1"/>
      <w:marLeft w:val="0"/>
      <w:marRight w:val="0"/>
      <w:marTop w:val="0"/>
      <w:marBottom w:val="0"/>
      <w:divBdr>
        <w:top w:val="none" w:sz="0" w:space="0" w:color="auto"/>
        <w:left w:val="none" w:sz="0" w:space="0" w:color="auto"/>
        <w:bottom w:val="none" w:sz="0" w:space="0" w:color="auto"/>
        <w:right w:val="none" w:sz="0" w:space="0" w:color="auto"/>
      </w:divBdr>
    </w:div>
    <w:div w:id="4211302">
      <w:bodyDiv w:val="1"/>
      <w:marLeft w:val="0"/>
      <w:marRight w:val="0"/>
      <w:marTop w:val="0"/>
      <w:marBottom w:val="0"/>
      <w:divBdr>
        <w:top w:val="none" w:sz="0" w:space="0" w:color="auto"/>
        <w:left w:val="none" w:sz="0" w:space="0" w:color="auto"/>
        <w:bottom w:val="none" w:sz="0" w:space="0" w:color="auto"/>
        <w:right w:val="none" w:sz="0" w:space="0" w:color="auto"/>
      </w:divBdr>
    </w:div>
    <w:div w:id="4405190">
      <w:bodyDiv w:val="1"/>
      <w:marLeft w:val="0"/>
      <w:marRight w:val="0"/>
      <w:marTop w:val="0"/>
      <w:marBottom w:val="0"/>
      <w:divBdr>
        <w:top w:val="none" w:sz="0" w:space="0" w:color="auto"/>
        <w:left w:val="none" w:sz="0" w:space="0" w:color="auto"/>
        <w:bottom w:val="none" w:sz="0" w:space="0" w:color="auto"/>
        <w:right w:val="none" w:sz="0" w:space="0" w:color="auto"/>
      </w:divBdr>
    </w:div>
    <w:div w:id="4477070">
      <w:bodyDiv w:val="1"/>
      <w:marLeft w:val="0"/>
      <w:marRight w:val="0"/>
      <w:marTop w:val="0"/>
      <w:marBottom w:val="0"/>
      <w:divBdr>
        <w:top w:val="none" w:sz="0" w:space="0" w:color="auto"/>
        <w:left w:val="none" w:sz="0" w:space="0" w:color="auto"/>
        <w:bottom w:val="none" w:sz="0" w:space="0" w:color="auto"/>
        <w:right w:val="none" w:sz="0" w:space="0" w:color="auto"/>
      </w:divBdr>
    </w:div>
    <w:div w:id="4480117">
      <w:bodyDiv w:val="1"/>
      <w:marLeft w:val="0"/>
      <w:marRight w:val="0"/>
      <w:marTop w:val="0"/>
      <w:marBottom w:val="0"/>
      <w:divBdr>
        <w:top w:val="none" w:sz="0" w:space="0" w:color="auto"/>
        <w:left w:val="none" w:sz="0" w:space="0" w:color="auto"/>
        <w:bottom w:val="none" w:sz="0" w:space="0" w:color="auto"/>
        <w:right w:val="none" w:sz="0" w:space="0" w:color="auto"/>
      </w:divBdr>
    </w:div>
    <w:div w:id="4720466">
      <w:bodyDiv w:val="1"/>
      <w:marLeft w:val="0"/>
      <w:marRight w:val="0"/>
      <w:marTop w:val="0"/>
      <w:marBottom w:val="0"/>
      <w:divBdr>
        <w:top w:val="none" w:sz="0" w:space="0" w:color="auto"/>
        <w:left w:val="none" w:sz="0" w:space="0" w:color="auto"/>
        <w:bottom w:val="none" w:sz="0" w:space="0" w:color="auto"/>
        <w:right w:val="none" w:sz="0" w:space="0" w:color="auto"/>
      </w:divBdr>
    </w:div>
    <w:div w:id="4748326">
      <w:bodyDiv w:val="1"/>
      <w:marLeft w:val="0"/>
      <w:marRight w:val="0"/>
      <w:marTop w:val="0"/>
      <w:marBottom w:val="0"/>
      <w:divBdr>
        <w:top w:val="none" w:sz="0" w:space="0" w:color="auto"/>
        <w:left w:val="none" w:sz="0" w:space="0" w:color="auto"/>
        <w:bottom w:val="none" w:sz="0" w:space="0" w:color="auto"/>
        <w:right w:val="none" w:sz="0" w:space="0" w:color="auto"/>
      </w:divBdr>
    </w:div>
    <w:div w:id="4795317">
      <w:bodyDiv w:val="1"/>
      <w:marLeft w:val="0"/>
      <w:marRight w:val="0"/>
      <w:marTop w:val="0"/>
      <w:marBottom w:val="0"/>
      <w:divBdr>
        <w:top w:val="none" w:sz="0" w:space="0" w:color="auto"/>
        <w:left w:val="none" w:sz="0" w:space="0" w:color="auto"/>
        <w:bottom w:val="none" w:sz="0" w:space="0" w:color="auto"/>
        <w:right w:val="none" w:sz="0" w:space="0" w:color="auto"/>
      </w:divBdr>
    </w:div>
    <w:div w:id="4866935">
      <w:bodyDiv w:val="1"/>
      <w:marLeft w:val="0"/>
      <w:marRight w:val="0"/>
      <w:marTop w:val="0"/>
      <w:marBottom w:val="0"/>
      <w:divBdr>
        <w:top w:val="none" w:sz="0" w:space="0" w:color="auto"/>
        <w:left w:val="none" w:sz="0" w:space="0" w:color="auto"/>
        <w:bottom w:val="none" w:sz="0" w:space="0" w:color="auto"/>
        <w:right w:val="none" w:sz="0" w:space="0" w:color="auto"/>
      </w:divBdr>
    </w:div>
    <w:div w:id="4938178">
      <w:bodyDiv w:val="1"/>
      <w:marLeft w:val="0"/>
      <w:marRight w:val="0"/>
      <w:marTop w:val="0"/>
      <w:marBottom w:val="0"/>
      <w:divBdr>
        <w:top w:val="none" w:sz="0" w:space="0" w:color="auto"/>
        <w:left w:val="none" w:sz="0" w:space="0" w:color="auto"/>
        <w:bottom w:val="none" w:sz="0" w:space="0" w:color="auto"/>
        <w:right w:val="none" w:sz="0" w:space="0" w:color="auto"/>
      </w:divBdr>
    </w:div>
    <w:div w:id="4947573">
      <w:bodyDiv w:val="1"/>
      <w:marLeft w:val="0"/>
      <w:marRight w:val="0"/>
      <w:marTop w:val="0"/>
      <w:marBottom w:val="0"/>
      <w:divBdr>
        <w:top w:val="none" w:sz="0" w:space="0" w:color="auto"/>
        <w:left w:val="none" w:sz="0" w:space="0" w:color="auto"/>
        <w:bottom w:val="none" w:sz="0" w:space="0" w:color="auto"/>
        <w:right w:val="none" w:sz="0" w:space="0" w:color="auto"/>
      </w:divBdr>
    </w:div>
    <w:div w:id="4988083">
      <w:bodyDiv w:val="1"/>
      <w:marLeft w:val="0"/>
      <w:marRight w:val="0"/>
      <w:marTop w:val="0"/>
      <w:marBottom w:val="0"/>
      <w:divBdr>
        <w:top w:val="none" w:sz="0" w:space="0" w:color="auto"/>
        <w:left w:val="none" w:sz="0" w:space="0" w:color="auto"/>
        <w:bottom w:val="none" w:sz="0" w:space="0" w:color="auto"/>
        <w:right w:val="none" w:sz="0" w:space="0" w:color="auto"/>
      </w:divBdr>
    </w:div>
    <w:div w:id="4988961">
      <w:bodyDiv w:val="1"/>
      <w:marLeft w:val="0"/>
      <w:marRight w:val="0"/>
      <w:marTop w:val="0"/>
      <w:marBottom w:val="0"/>
      <w:divBdr>
        <w:top w:val="none" w:sz="0" w:space="0" w:color="auto"/>
        <w:left w:val="none" w:sz="0" w:space="0" w:color="auto"/>
        <w:bottom w:val="none" w:sz="0" w:space="0" w:color="auto"/>
        <w:right w:val="none" w:sz="0" w:space="0" w:color="auto"/>
      </w:divBdr>
    </w:div>
    <w:div w:id="5257072">
      <w:bodyDiv w:val="1"/>
      <w:marLeft w:val="0"/>
      <w:marRight w:val="0"/>
      <w:marTop w:val="0"/>
      <w:marBottom w:val="0"/>
      <w:divBdr>
        <w:top w:val="none" w:sz="0" w:space="0" w:color="auto"/>
        <w:left w:val="none" w:sz="0" w:space="0" w:color="auto"/>
        <w:bottom w:val="none" w:sz="0" w:space="0" w:color="auto"/>
        <w:right w:val="none" w:sz="0" w:space="0" w:color="auto"/>
      </w:divBdr>
    </w:div>
    <w:div w:id="5258145">
      <w:bodyDiv w:val="1"/>
      <w:marLeft w:val="0"/>
      <w:marRight w:val="0"/>
      <w:marTop w:val="0"/>
      <w:marBottom w:val="0"/>
      <w:divBdr>
        <w:top w:val="none" w:sz="0" w:space="0" w:color="auto"/>
        <w:left w:val="none" w:sz="0" w:space="0" w:color="auto"/>
        <w:bottom w:val="none" w:sz="0" w:space="0" w:color="auto"/>
        <w:right w:val="none" w:sz="0" w:space="0" w:color="auto"/>
      </w:divBdr>
    </w:div>
    <w:div w:id="5328057">
      <w:bodyDiv w:val="1"/>
      <w:marLeft w:val="0"/>
      <w:marRight w:val="0"/>
      <w:marTop w:val="0"/>
      <w:marBottom w:val="0"/>
      <w:divBdr>
        <w:top w:val="none" w:sz="0" w:space="0" w:color="auto"/>
        <w:left w:val="none" w:sz="0" w:space="0" w:color="auto"/>
        <w:bottom w:val="none" w:sz="0" w:space="0" w:color="auto"/>
        <w:right w:val="none" w:sz="0" w:space="0" w:color="auto"/>
      </w:divBdr>
    </w:div>
    <w:div w:id="5519311">
      <w:bodyDiv w:val="1"/>
      <w:marLeft w:val="0"/>
      <w:marRight w:val="0"/>
      <w:marTop w:val="0"/>
      <w:marBottom w:val="0"/>
      <w:divBdr>
        <w:top w:val="none" w:sz="0" w:space="0" w:color="auto"/>
        <w:left w:val="none" w:sz="0" w:space="0" w:color="auto"/>
        <w:bottom w:val="none" w:sz="0" w:space="0" w:color="auto"/>
        <w:right w:val="none" w:sz="0" w:space="0" w:color="auto"/>
      </w:divBdr>
    </w:div>
    <w:div w:id="5519723">
      <w:bodyDiv w:val="1"/>
      <w:marLeft w:val="0"/>
      <w:marRight w:val="0"/>
      <w:marTop w:val="0"/>
      <w:marBottom w:val="0"/>
      <w:divBdr>
        <w:top w:val="none" w:sz="0" w:space="0" w:color="auto"/>
        <w:left w:val="none" w:sz="0" w:space="0" w:color="auto"/>
        <w:bottom w:val="none" w:sz="0" w:space="0" w:color="auto"/>
        <w:right w:val="none" w:sz="0" w:space="0" w:color="auto"/>
      </w:divBdr>
    </w:div>
    <w:div w:id="5637273">
      <w:bodyDiv w:val="1"/>
      <w:marLeft w:val="0"/>
      <w:marRight w:val="0"/>
      <w:marTop w:val="0"/>
      <w:marBottom w:val="0"/>
      <w:divBdr>
        <w:top w:val="none" w:sz="0" w:space="0" w:color="auto"/>
        <w:left w:val="none" w:sz="0" w:space="0" w:color="auto"/>
        <w:bottom w:val="none" w:sz="0" w:space="0" w:color="auto"/>
        <w:right w:val="none" w:sz="0" w:space="0" w:color="auto"/>
      </w:divBdr>
    </w:div>
    <w:div w:id="5643294">
      <w:bodyDiv w:val="1"/>
      <w:marLeft w:val="0"/>
      <w:marRight w:val="0"/>
      <w:marTop w:val="0"/>
      <w:marBottom w:val="0"/>
      <w:divBdr>
        <w:top w:val="none" w:sz="0" w:space="0" w:color="auto"/>
        <w:left w:val="none" w:sz="0" w:space="0" w:color="auto"/>
        <w:bottom w:val="none" w:sz="0" w:space="0" w:color="auto"/>
        <w:right w:val="none" w:sz="0" w:space="0" w:color="auto"/>
      </w:divBdr>
    </w:div>
    <w:div w:id="5716971">
      <w:bodyDiv w:val="1"/>
      <w:marLeft w:val="0"/>
      <w:marRight w:val="0"/>
      <w:marTop w:val="0"/>
      <w:marBottom w:val="0"/>
      <w:divBdr>
        <w:top w:val="none" w:sz="0" w:space="0" w:color="auto"/>
        <w:left w:val="none" w:sz="0" w:space="0" w:color="auto"/>
        <w:bottom w:val="none" w:sz="0" w:space="0" w:color="auto"/>
        <w:right w:val="none" w:sz="0" w:space="0" w:color="auto"/>
      </w:divBdr>
    </w:div>
    <w:div w:id="5719919">
      <w:bodyDiv w:val="1"/>
      <w:marLeft w:val="0"/>
      <w:marRight w:val="0"/>
      <w:marTop w:val="0"/>
      <w:marBottom w:val="0"/>
      <w:divBdr>
        <w:top w:val="none" w:sz="0" w:space="0" w:color="auto"/>
        <w:left w:val="none" w:sz="0" w:space="0" w:color="auto"/>
        <w:bottom w:val="none" w:sz="0" w:space="0" w:color="auto"/>
        <w:right w:val="none" w:sz="0" w:space="0" w:color="auto"/>
      </w:divBdr>
    </w:div>
    <w:div w:id="5795300">
      <w:bodyDiv w:val="1"/>
      <w:marLeft w:val="0"/>
      <w:marRight w:val="0"/>
      <w:marTop w:val="0"/>
      <w:marBottom w:val="0"/>
      <w:divBdr>
        <w:top w:val="none" w:sz="0" w:space="0" w:color="auto"/>
        <w:left w:val="none" w:sz="0" w:space="0" w:color="auto"/>
        <w:bottom w:val="none" w:sz="0" w:space="0" w:color="auto"/>
        <w:right w:val="none" w:sz="0" w:space="0" w:color="auto"/>
      </w:divBdr>
    </w:div>
    <w:div w:id="5905400">
      <w:bodyDiv w:val="1"/>
      <w:marLeft w:val="0"/>
      <w:marRight w:val="0"/>
      <w:marTop w:val="0"/>
      <w:marBottom w:val="0"/>
      <w:divBdr>
        <w:top w:val="none" w:sz="0" w:space="0" w:color="auto"/>
        <w:left w:val="none" w:sz="0" w:space="0" w:color="auto"/>
        <w:bottom w:val="none" w:sz="0" w:space="0" w:color="auto"/>
        <w:right w:val="none" w:sz="0" w:space="0" w:color="auto"/>
      </w:divBdr>
    </w:div>
    <w:div w:id="5913517">
      <w:bodyDiv w:val="1"/>
      <w:marLeft w:val="0"/>
      <w:marRight w:val="0"/>
      <w:marTop w:val="0"/>
      <w:marBottom w:val="0"/>
      <w:divBdr>
        <w:top w:val="none" w:sz="0" w:space="0" w:color="auto"/>
        <w:left w:val="none" w:sz="0" w:space="0" w:color="auto"/>
        <w:bottom w:val="none" w:sz="0" w:space="0" w:color="auto"/>
        <w:right w:val="none" w:sz="0" w:space="0" w:color="auto"/>
      </w:divBdr>
    </w:div>
    <w:div w:id="6101397">
      <w:bodyDiv w:val="1"/>
      <w:marLeft w:val="0"/>
      <w:marRight w:val="0"/>
      <w:marTop w:val="0"/>
      <w:marBottom w:val="0"/>
      <w:divBdr>
        <w:top w:val="none" w:sz="0" w:space="0" w:color="auto"/>
        <w:left w:val="none" w:sz="0" w:space="0" w:color="auto"/>
        <w:bottom w:val="none" w:sz="0" w:space="0" w:color="auto"/>
        <w:right w:val="none" w:sz="0" w:space="0" w:color="auto"/>
      </w:divBdr>
    </w:div>
    <w:div w:id="6178216">
      <w:bodyDiv w:val="1"/>
      <w:marLeft w:val="0"/>
      <w:marRight w:val="0"/>
      <w:marTop w:val="0"/>
      <w:marBottom w:val="0"/>
      <w:divBdr>
        <w:top w:val="none" w:sz="0" w:space="0" w:color="auto"/>
        <w:left w:val="none" w:sz="0" w:space="0" w:color="auto"/>
        <w:bottom w:val="none" w:sz="0" w:space="0" w:color="auto"/>
        <w:right w:val="none" w:sz="0" w:space="0" w:color="auto"/>
      </w:divBdr>
    </w:div>
    <w:div w:id="6179796">
      <w:bodyDiv w:val="1"/>
      <w:marLeft w:val="0"/>
      <w:marRight w:val="0"/>
      <w:marTop w:val="0"/>
      <w:marBottom w:val="0"/>
      <w:divBdr>
        <w:top w:val="none" w:sz="0" w:space="0" w:color="auto"/>
        <w:left w:val="none" w:sz="0" w:space="0" w:color="auto"/>
        <w:bottom w:val="none" w:sz="0" w:space="0" w:color="auto"/>
        <w:right w:val="none" w:sz="0" w:space="0" w:color="auto"/>
      </w:divBdr>
    </w:div>
    <w:div w:id="6252355">
      <w:bodyDiv w:val="1"/>
      <w:marLeft w:val="0"/>
      <w:marRight w:val="0"/>
      <w:marTop w:val="0"/>
      <w:marBottom w:val="0"/>
      <w:divBdr>
        <w:top w:val="none" w:sz="0" w:space="0" w:color="auto"/>
        <w:left w:val="none" w:sz="0" w:space="0" w:color="auto"/>
        <w:bottom w:val="none" w:sz="0" w:space="0" w:color="auto"/>
        <w:right w:val="none" w:sz="0" w:space="0" w:color="auto"/>
      </w:divBdr>
    </w:div>
    <w:div w:id="6446409">
      <w:bodyDiv w:val="1"/>
      <w:marLeft w:val="0"/>
      <w:marRight w:val="0"/>
      <w:marTop w:val="0"/>
      <w:marBottom w:val="0"/>
      <w:divBdr>
        <w:top w:val="none" w:sz="0" w:space="0" w:color="auto"/>
        <w:left w:val="none" w:sz="0" w:space="0" w:color="auto"/>
        <w:bottom w:val="none" w:sz="0" w:space="0" w:color="auto"/>
        <w:right w:val="none" w:sz="0" w:space="0" w:color="auto"/>
      </w:divBdr>
    </w:div>
    <w:div w:id="6520674">
      <w:bodyDiv w:val="1"/>
      <w:marLeft w:val="0"/>
      <w:marRight w:val="0"/>
      <w:marTop w:val="0"/>
      <w:marBottom w:val="0"/>
      <w:divBdr>
        <w:top w:val="none" w:sz="0" w:space="0" w:color="auto"/>
        <w:left w:val="none" w:sz="0" w:space="0" w:color="auto"/>
        <w:bottom w:val="none" w:sz="0" w:space="0" w:color="auto"/>
        <w:right w:val="none" w:sz="0" w:space="0" w:color="auto"/>
      </w:divBdr>
    </w:div>
    <w:div w:id="6561964">
      <w:bodyDiv w:val="1"/>
      <w:marLeft w:val="0"/>
      <w:marRight w:val="0"/>
      <w:marTop w:val="0"/>
      <w:marBottom w:val="0"/>
      <w:divBdr>
        <w:top w:val="none" w:sz="0" w:space="0" w:color="auto"/>
        <w:left w:val="none" w:sz="0" w:space="0" w:color="auto"/>
        <w:bottom w:val="none" w:sz="0" w:space="0" w:color="auto"/>
        <w:right w:val="none" w:sz="0" w:space="0" w:color="auto"/>
      </w:divBdr>
    </w:div>
    <w:div w:id="6710951">
      <w:bodyDiv w:val="1"/>
      <w:marLeft w:val="0"/>
      <w:marRight w:val="0"/>
      <w:marTop w:val="0"/>
      <w:marBottom w:val="0"/>
      <w:divBdr>
        <w:top w:val="none" w:sz="0" w:space="0" w:color="auto"/>
        <w:left w:val="none" w:sz="0" w:space="0" w:color="auto"/>
        <w:bottom w:val="none" w:sz="0" w:space="0" w:color="auto"/>
        <w:right w:val="none" w:sz="0" w:space="0" w:color="auto"/>
      </w:divBdr>
    </w:div>
    <w:div w:id="6712022">
      <w:bodyDiv w:val="1"/>
      <w:marLeft w:val="0"/>
      <w:marRight w:val="0"/>
      <w:marTop w:val="0"/>
      <w:marBottom w:val="0"/>
      <w:divBdr>
        <w:top w:val="none" w:sz="0" w:space="0" w:color="auto"/>
        <w:left w:val="none" w:sz="0" w:space="0" w:color="auto"/>
        <w:bottom w:val="none" w:sz="0" w:space="0" w:color="auto"/>
        <w:right w:val="none" w:sz="0" w:space="0" w:color="auto"/>
      </w:divBdr>
    </w:div>
    <w:div w:id="6712565">
      <w:bodyDiv w:val="1"/>
      <w:marLeft w:val="0"/>
      <w:marRight w:val="0"/>
      <w:marTop w:val="0"/>
      <w:marBottom w:val="0"/>
      <w:divBdr>
        <w:top w:val="none" w:sz="0" w:space="0" w:color="auto"/>
        <w:left w:val="none" w:sz="0" w:space="0" w:color="auto"/>
        <w:bottom w:val="none" w:sz="0" w:space="0" w:color="auto"/>
        <w:right w:val="none" w:sz="0" w:space="0" w:color="auto"/>
      </w:divBdr>
    </w:div>
    <w:div w:id="6758771">
      <w:bodyDiv w:val="1"/>
      <w:marLeft w:val="0"/>
      <w:marRight w:val="0"/>
      <w:marTop w:val="0"/>
      <w:marBottom w:val="0"/>
      <w:divBdr>
        <w:top w:val="none" w:sz="0" w:space="0" w:color="auto"/>
        <w:left w:val="none" w:sz="0" w:space="0" w:color="auto"/>
        <w:bottom w:val="none" w:sz="0" w:space="0" w:color="auto"/>
        <w:right w:val="none" w:sz="0" w:space="0" w:color="auto"/>
      </w:divBdr>
    </w:div>
    <w:div w:id="7028356">
      <w:bodyDiv w:val="1"/>
      <w:marLeft w:val="0"/>
      <w:marRight w:val="0"/>
      <w:marTop w:val="0"/>
      <w:marBottom w:val="0"/>
      <w:divBdr>
        <w:top w:val="none" w:sz="0" w:space="0" w:color="auto"/>
        <w:left w:val="none" w:sz="0" w:space="0" w:color="auto"/>
        <w:bottom w:val="none" w:sz="0" w:space="0" w:color="auto"/>
        <w:right w:val="none" w:sz="0" w:space="0" w:color="auto"/>
      </w:divBdr>
    </w:div>
    <w:div w:id="7031332">
      <w:bodyDiv w:val="1"/>
      <w:marLeft w:val="0"/>
      <w:marRight w:val="0"/>
      <w:marTop w:val="0"/>
      <w:marBottom w:val="0"/>
      <w:divBdr>
        <w:top w:val="none" w:sz="0" w:space="0" w:color="auto"/>
        <w:left w:val="none" w:sz="0" w:space="0" w:color="auto"/>
        <w:bottom w:val="none" w:sz="0" w:space="0" w:color="auto"/>
        <w:right w:val="none" w:sz="0" w:space="0" w:color="auto"/>
      </w:divBdr>
    </w:div>
    <w:div w:id="7172505">
      <w:bodyDiv w:val="1"/>
      <w:marLeft w:val="0"/>
      <w:marRight w:val="0"/>
      <w:marTop w:val="0"/>
      <w:marBottom w:val="0"/>
      <w:divBdr>
        <w:top w:val="none" w:sz="0" w:space="0" w:color="auto"/>
        <w:left w:val="none" w:sz="0" w:space="0" w:color="auto"/>
        <w:bottom w:val="none" w:sz="0" w:space="0" w:color="auto"/>
        <w:right w:val="none" w:sz="0" w:space="0" w:color="auto"/>
      </w:divBdr>
    </w:div>
    <w:div w:id="7175015">
      <w:bodyDiv w:val="1"/>
      <w:marLeft w:val="0"/>
      <w:marRight w:val="0"/>
      <w:marTop w:val="0"/>
      <w:marBottom w:val="0"/>
      <w:divBdr>
        <w:top w:val="none" w:sz="0" w:space="0" w:color="auto"/>
        <w:left w:val="none" w:sz="0" w:space="0" w:color="auto"/>
        <w:bottom w:val="none" w:sz="0" w:space="0" w:color="auto"/>
        <w:right w:val="none" w:sz="0" w:space="0" w:color="auto"/>
      </w:divBdr>
    </w:div>
    <w:div w:id="7217250">
      <w:bodyDiv w:val="1"/>
      <w:marLeft w:val="0"/>
      <w:marRight w:val="0"/>
      <w:marTop w:val="0"/>
      <w:marBottom w:val="0"/>
      <w:divBdr>
        <w:top w:val="none" w:sz="0" w:space="0" w:color="auto"/>
        <w:left w:val="none" w:sz="0" w:space="0" w:color="auto"/>
        <w:bottom w:val="none" w:sz="0" w:space="0" w:color="auto"/>
        <w:right w:val="none" w:sz="0" w:space="0" w:color="auto"/>
      </w:divBdr>
    </w:div>
    <w:div w:id="7484059">
      <w:bodyDiv w:val="1"/>
      <w:marLeft w:val="0"/>
      <w:marRight w:val="0"/>
      <w:marTop w:val="0"/>
      <w:marBottom w:val="0"/>
      <w:divBdr>
        <w:top w:val="none" w:sz="0" w:space="0" w:color="auto"/>
        <w:left w:val="none" w:sz="0" w:space="0" w:color="auto"/>
        <w:bottom w:val="none" w:sz="0" w:space="0" w:color="auto"/>
        <w:right w:val="none" w:sz="0" w:space="0" w:color="auto"/>
      </w:divBdr>
    </w:div>
    <w:div w:id="7491559">
      <w:bodyDiv w:val="1"/>
      <w:marLeft w:val="0"/>
      <w:marRight w:val="0"/>
      <w:marTop w:val="0"/>
      <w:marBottom w:val="0"/>
      <w:divBdr>
        <w:top w:val="none" w:sz="0" w:space="0" w:color="auto"/>
        <w:left w:val="none" w:sz="0" w:space="0" w:color="auto"/>
        <w:bottom w:val="none" w:sz="0" w:space="0" w:color="auto"/>
        <w:right w:val="none" w:sz="0" w:space="0" w:color="auto"/>
      </w:divBdr>
    </w:div>
    <w:div w:id="7685357">
      <w:bodyDiv w:val="1"/>
      <w:marLeft w:val="0"/>
      <w:marRight w:val="0"/>
      <w:marTop w:val="0"/>
      <w:marBottom w:val="0"/>
      <w:divBdr>
        <w:top w:val="none" w:sz="0" w:space="0" w:color="auto"/>
        <w:left w:val="none" w:sz="0" w:space="0" w:color="auto"/>
        <w:bottom w:val="none" w:sz="0" w:space="0" w:color="auto"/>
        <w:right w:val="none" w:sz="0" w:space="0" w:color="auto"/>
      </w:divBdr>
    </w:div>
    <w:div w:id="7828327">
      <w:bodyDiv w:val="1"/>
      <w:marLeft w:val="0"/>
      <w:marRight w:val="0"/>
      <w:marTop w:val="0"/>
      <w:marBottom w:val="0"/>
      <w:divBdr>
        <w:top w:val="none" w:sz="0" w:space="0" w:color="auto"/>
        <w:left w:val="none" w:sz="0" w:space="0" w:color="auto"/>
        <w:bottom w:val="none" w:sz="0" w:space="0" w:color="auto"/>
        <w:right w:val="none" w:sz="0" w:space="0" w:color="auto"/>
      </w:divBdr>
    </w:div>
    <w:div w:id="7871402">
      <w:bodyDiv w:val="1"/>
      <w:marLeft w:val="0"/>
      <w:marRight w:val="0"/>
      <w:marTop w:val="0"/>
      <w:marBottom w:val="0"/>
      <w:divBdr>
        <w:top w:val="none" w:sz="0" w:space="0" w:color="auto"/>
        <w:left w:val="none" w:sz="0" w:space="0" w:color="auto"/>
        <w:bottom w:val="none" w:sz="0" w:space="0" w:color="auto"/>
        <w:right w:val="none" w:sz="0" w:space="0" w:color="auto"/>
      </w:divBdr>
    </w:div>
    <w:div w:id="7874087">
      <w:bodyDiv w:val="1"/>
      <w:marLeft w:val="0"/>
      <w:marRight w:val="0"/>
      <w:marTop w:val="0"/>
      <w:marBottom w:val="0"/>
      <w:divBdr>
        <w:top w:val="none" w:sz="0" w:space="0" w:color="auto"/>
        <w:left w:val="none" w:sz="0" w:space="0" w:color="auto"/>
        <w:bottom w:val="none" w:sz="0" w:space="0" w:color="auto"/>
        <w:right w:val="none" w:sz="0" w:space="0" w:color="auto"/>
      </w:divBdr>
    </w:div>
    <w:div w:id="7945638">
      <w:bodyDiv w:val="1"/>
      <w:marLeft w:val="0"/>
      <w:marRight w:val="0"/>
      <w:marTop w:val="0"/>
      <w:marBottom w:val="0"/>
      <w:divBdr>
        <w:top w:val="none" w:sz="0" w:space="0" w:color="auto"/>
        <w:left w:val="none" w:sz="0" w:space="0" w:color="auto"/>
        <w:bottom w:val="none" w:sz="0" w:space="0" w:color="auto"/>
        <w:right w:val="none" w:sz="0" w:space="0" w:color="auto"/>
      </w:divBdr>
    </w:div>
    <w:div w:id="7953480">
      <w:bodyDiv w:val="1"/>
      <w:marLeft w:val="0"/>
      <w:marRight w:val="0"/>
      <w:marTop w:val="0"/>
      <w:marBottom w:val="0"/>
      <w:divBdr>
        <w:top w:val="none" w:sz="0" w:space="0" w:color="auto"/>
        <w:left w:val="none" w:sz="0" w:space="0" w:color="auto"/>
        <w:bottom w:val="none" w:sz="0" w:space="0" w:color="auto"/>
        <w:right w:val="none" w:sz="0" w:space="0" w:color="auto"/>
      </w:divBdr>
    </w:div>
    <w:div w:id="7954193">
      <w:bodyDiv w:val="1"/>
      <w:marLeft w:val="0"/>
      <w:marRight w:val="0"/>
      <w:marTop w:val="0"/>
      <w:marBottom w:val="0"/>
      <w:divBdr>
        <w:top w:val="none" w:sz="0" w:space="0" w:color="auto"/>
        <w:left w:val="none" w:sz="0" w:space="0" w:color="auto"/>
        <w:bottom w:val="none" w:sz="0" w:space="0" w:color="auto"/>
        <w:right w:val="none" w:sz="0" w:space="0" w:color="auto"/>
      </w:divBdr>
    </w:div>
    <w:div w:id="8027354">
      <w:bodyDiv w:val="1"/>
      <w:marLeft w:val="0"/>
      <w:marRight w:val="0"/>
      <w:marTop w:val="0"/>
      <w:marBottom w:val="0"/>
      <w:divBdr>
        <w:top w:val="none" w:sz="0" w:space="0" w:color="auto"/>
        <w:left w:val="none" w:sz="0" w:space="0" w:color="auto"/>
        <w:bottom w:val="none" w:sz="0" w:space="0" w:color="auto"/>
        <w:right w:val="none" w:sz="0" w:space="0" w:color="auto"/>
      </w:divBdr>
    </w:div>
    <w:div w:id="8064567">
      <w:bodyDiv w:val="1"/>
      <w:marLeft w:val="0"/>
      <w:marRight w:val="0"/>
      <w:marTop w:val="0"/>
      <w:marBottom w:val="0"/>
      <w:divBdr>
        <w:top w:val="none" w:sz="0" w:space="0" w:color="auto"/>
        <w:left w:val="none" w:sz="0" w:space="0" w:color="auto"/>
        <w:bottom w:val="none" w:sz="0" w:space="0" w:color="auto"/>
        <w:right w:val="none" w:sz="0" w:space="0" w:color="auto"/>
      </w:divBdr>
    </w:div>
    <w:div w:id="8065631">
      <w:bodyDiv w:val="1"/>
      <w:marLeft w:val="0"/>
      <w:marRight w:val="0"/>
      <w:marTop w:val="0"/>
      <w:marBottom w:val="0"/>
      <w:divBdr>
        <w:top w:val="none" w:sz="0" w:space="0" w:color="auto"/>
        <w:left w:val="none" w:sz="0" w:space="0" w:color="auto"/>
        <w:bottom w:val="none" w:sz="0" w:space="0" w:color="auto"/>
        <w:right w:val="none" w:sz="0" w:space="0" w:color="auto"/>
      </w:divBdr>
    </w:div>
    <w:div w:id="8257653">
      <w:bodyDiv w:val="1"/>
      <w:marLeft w:val="0"/>
      <w:marRight w:val="0"/>
      <w:marTop w:val="0"/>
      <w:marBottom w:val="0"/>
      <w:divBdr>
        <w:top w:val="none" w:sz="0" w:space="0" w:color="auto"/>
        <w:left w:val="none" w:sz="0" w:space="0" w:color="auto"/>
        <w:bottom w:val="none" w:sz="0" w:space="0" w:color="auto"/>
        <w:right w:val="none" w:sz="0" w:space="0" w:color="auto"/>
      </w:divBdr>
    </w:div>
    <w:div w:id="8258383">
      <w:bodyDiv w:val="1"/>
      <w:marLeft w:val="0"/>
      <w:marRight w:val="0"/>
      <w:marTop w:val="0"/>
      <w:marBottom w:val="0"/>
      <w:divBdr>
        <w:top w:val="none" w:sz="0" w:space="0" w:color="auto"/>
        <w:left w:val="none" w:sz="0" w:space="0" w:color="auto"/>
        <w:bottom w:val="none" w:sz="0" w:space="0" w:color="auto"/>
        <w:right w:val="none" w:sz="0" w:space="0" w:color="auto"/>
      </w:divBdr>
    </w:div>
    <w:div w:id="8259212">
      <w:bodyDiv w:val="1"/>
      <w:marLeft w:val="0"/>
      <w:marRight w:val="0"/>
      <w:marTop w:val="0"/>
      <w:marBottom w:val="0"/>
      <w:divBdr>
        <w:top w:val="none" w:sz="0" w:space="0" w:color="auto"/>
        <w:left w:val="none" w:sz="0" w:space="0" w:color="auto"/>
        <w:bottom w:val="none" w:sz="0" w:space="0" w:color="auto"/>
        <w:right w:val="none" w:sz="0" w:space="0" w:color="auto"/>
      </w:divBdr>
    </w:div>
    <w:div w:id="8264166">
      <w:bodyDiv w:val="1"/>
      <w:marLeft w:val="0"/>
      <w:marRight w:val="0"/>
      <w:marTop w:val="0"/>
      <w:marBottom w:val="0"/>
      <w:divBdr>
        <w:top w:val="none" w:sz="0" w:space="0" w:color="auto"/>
        <w:left w:val="none" w:sz="0" w:space="0" w:color="auto"/>
        <w:bottom w:val="none" w:sz="0" w:space="0" w:color="auto"/>
        <w:right w:val="none" w:sz="0" w:space="0" w:color="auto"/>
      </w:divBdr>
    </w:div>
    <w:div w:id="8338147">
      <w:bodyDiv w:val="1"/>
      <w:marLeft w:val="0"/>
      <w:marRight w:val="0"/>
      <w:marTop w:val="0"/>
      <w:marBottom w:val="0"/>
      <w:divBdr>
        <w:top w:val="none" w:sz="0" w:space="0" w:color="auto"/>
        <w:left w:val="none" w:sz="0" w:space="0" w:color="auto"/>
        <w:bottom w:val="none" w:sz="0" w:space="0" w:color="auto"/>
        <w:right w:val="none" w:sz="0" w:space="0" w:color="auto"/>
      </w:divBdr>
    </w:div>
    <w:div w:id="8456489">
      <w:bodyDiv w:val="1"/>
      <w:marLeft w:val="0"/>
      <w:marRight w:val="0"/>
      <w:marTop w:val="0"/>
      <w:marBottom w:val="0"/>
      <w:divBdr>
        <w:top w:val="none" w:sz="0" w:space="0" w:color="auto"/>
        <w:left w:val="none" w:sz="0" w:space="0" w:color="auto"/>
        <w:bottom w:val="none" w:sz="0" w:space="0" w:color="auto"/>
        <w:right w:val="none" w:sz="0" w:space="0" w:color="auto"/>
      </w:divBdr>
    </w:div>
    <w:div w:id="8484132">
      <w:bodyDiv w:val="1"/>
      <w:marLeft w:val="0"/>
      <w:marRight w:val="0"/>
      <w:marTop w:val="0"/>
      <w:marBottom w:val="0"/>
      <w:divBdr>
        <w:top w:val="none" w:sz="0" w:space="0" w:color="auto"/>
        <w:left w:val="none" w:sz="0" w:space="0" w:color="auto"/>
        <w:bottom w:val="none" w:sz="0" w:space="0" w:color="auto"/>
        <w:right w:val="none" w:sz="0" w:space="0" w:color="auto"/>
      </w:divBdr>
    </w:div>
    <w:div w:id="8485467">
      <w:bodyDiv w:val="1"/>
      <w:marLeft w:val="0"/>
      <w:marRight w:val="0"/>
      <w:marTop w:val="0"/>
      <w:marBottom w:val="0"/>
      <w:divBdr>
        <w:top w:val="none" w:sz="0" w:space="0" w:color="auto"/>
        <w:left w:val="none" w:sz="0" w:space="0" w:color="auto"/>
        <w:bottom w:val="none" w:sz="0" w:space="0" w:color="auto"/>
        <w:right w:val="none" w:sz="0" w:space="0" w:color="auto"/>
      </w:divBdr>
    </w:div>
    <w:div w:id="8652871">
      <w:bodyDiv w:val="1"/>
      <w:marLeft w:val="0"/>
      <w:marRight w:val="0"/>
      <w:marTop w:val="0"/>
      <w:marBottom w:val="0"/>
      <w:divBdr>
        <w:top w:val="none" w:sz="0" w:space="0" w:color="auto"/>
        <w:left w:val="none" w:sz="0" w:space="0" w:color="auto"/>
        <w:bottom w:val="none" w:sz="0" w:space="0" w:color="auto"/>
        <w:right w:val="none" w:sz="0" w:space="0" w:color="auto"/>
      </w:divBdr>
    </w:div>
    <w:div w:id="8680626">
      <w:bodyDiv w:val="1"/>
      <w:marLeft w:val="0"/>
      <w:marRight w:val="0"/>
      <w:marTop w:val="0"/>
      <w:marBottom w:val="0"/>
      <w:divBdr>
        <w:top w:val="none" w:sz="0" w:space="0" w:color="auto"/>
        <w:left w:val="none" w:sz="0" w:space="0" w:color="auto"/>
        <w:bottom w:val="none" w:sz="0" w:space="0" w:color="auto"/>
        <w:right w:val="none" w:sz="0" w:space="0" w:color="auto"/>
      </w:divBdr>
    </w:div>
    <w:div w:id="8680667">
      <w:bodyDiv w:val="1"/>
      <w:marLeft w:val="0"/>
      <w:marRight w:val="0"/>
      <w:marTop w:val="0"/>
      <w:marBottom w:val="0"/>
      <w:divBdr>
        <w:top w:val="none" w:sz="0" w:space="0" w:color="auto"/>
        <w:left w:val="none" w:sz="0" w:space="0" w:color="auto"/>
        <w:bottom w:val="none" w:sz="0" w:space="0" w:color="auto"/>
        <w:right w:val="none" w:sz="0" w:space="0" w:color="auto"/>
      </w:divBdr>
    </w:div>
    <w:div w:id="8681161">
      <w:bodyDiv w:val="1"/>
      <w:marLeft w:val="0"/>
      <w:marRight w:val="0"/>
      <w:marTop w:val="0"/>
      <w:marBottom w:val="0"/>
      <w:divBdr>
        <w:top w:val="none" w:sz="0" w:space="0" w:color="auto"/>
        <w:left w:val="none" w:sz="0" w:space="0" w:color="auto"/>
        <w:bottom w:val="none" w:sz="0" w:space="0" w:color="auto"/>
        <w:right w:val="none" w:sz="0" w:space="0" w:color="auto"/>
      </w:divBdr>
    </w:div>
    <w:div w:id="8727564">
      <w:bodyDiv w:val="1"/>
      <w:marLeft w:val="0"/>
      <w:marRight w:val="0"/>
      <w:marTop w:val="0"/>
      <w:marBottom w:val="0"/>
      <w:divBdr>
        <w:top w:val="none" w:sz="0" w:space="0" w:color="auto"/>
        <w:left w:val="none" w:sz="0" w:space="0" w:color="auto"/>
        <w:bottom w:val="none" w:sz="0" w:space="0" w:color="auto"/>
        <w:right w:val="none" w:sz="0" w:space="0" w:color="auto"/>
      </w:divBdr>
    </w:div>
    <w:div w:id="8800095">
      <w:bodyDiv w:val="1"/>
      <w:marLeft w:val="0"/>
      <w:marRight w:val="0"/>
      <w:marTop w:val="0"/>
      <w:marBottom w:val="0"/>
      <w:divBdr>
        <w:top w:val="none" w:sz="0" w:space="0" w:color="auto"/>
        <w:left w:val="none" w:sz="0" w:space="0" w:color="auto"/>
        <w:bottom w:val="none" w:sz="0" w:space="0" w:color="auto"/>
        <w:right w:val="none" w:sz="0" w:space="0" w:color="auto"/>
      </w:divBdr>
    </w:div>
    <w:div w:id="8876745">
      <w:bodyDiv w:val="1"/>
      <w:marLeft w:val="0"/>
      <w:marRight w:val="0"/>
      <w:marTop w:val="0"/>
      <w:marBottom w:val="0"/>
      <w:divBdr>
        <w:top w:val="none" w:sz="0" w:space="0" w:color="auto"/>
        <w:left w:val="none" w:sz="0" w:space="0" w:color="auto"/>
        <w:bottom w:val="none" w:sz="0" w:space="0" w:color="auto"/>
        <w:right w:val="none" w:sz="0" w:space="0" w:color="auto"/>
      </w:divBdr>
    </w:div>
    <w:div w:id="8914093">
      <w:bodyDiv w:val="1"/>
      <w:marLeft w:val="0"/>
      <w:marRight w:val="0"/>
      <w:marTop w:val="0"/>
      <w:marBottom w:val="0"/>
      <w:divBdr>
        <w:top w:val="none" w:sz="0" w:space="0" w:color="auto"/>
        <w:left w:val="none" w:sz="0" w:space="0" w:color="auto"/>
        <w:bottom w:val="none" w:sz="0" w:space="0" w:color="auto"/>
        <w:right w:val="none" w:sz="0" w:space="0" w:color="auto"/>
      </w:divBdr>
    </w:div>
    <w:div w:id="8990807">
      <w:bodyDiv w:val="1"/>
      <w:marLeft w:val="0"/>
      <w:marRight w:val="0"/>
      <w:marTop w:val="0"/>
      <w:marBottom w:val="0"/>
      <w:divBdr>
        <w:top w:val="none" w:sz="0" w:space="0" w:color="auto"/>
        <w:left w:val="none" w:sz="0" w:space="0" w:color="auto"/>
        <w:bottom w:val="none" w:sz="0" w:space="0" w:color="auto"/>
        <w:right w:val="none" w:sz="0" w:space="0" w:color="auto"/>
      </w:divBdr>
    </w:div>
    <w:div w:id="9186269">
      <w:bodyDiv w:val="1"/>
      <w:marLeft w:val="0"/>
      <w:marRight w:val="0"/>
      <w:marTop w:val="0"/>
      <w:marBottom w:val="0"/>
      <w:divBdr>
        <w:top w:val="none" w:sz="0" w:space="0" w:color="auto"/>
        <w:left w:val="none" w:sz="0" w:space="0" w:color="auto"/>
        <w:bottom w:val="none" w:sz="0" w:space="0" w:color="auto"/>
        <w:right w:val="none" w:sz="0" w:space="0" w:color="auto"/>
      </w:divBdr>
    </w:div>
    <w:div w:id="9265431">
      <w:bodyDiv w:val="1"/>
      <w:marLeft w:val="0"/>
      <w:marRight w:val="0"/>
      <w:marTop w:val="0"/>
      <w:marBottom w:val="0"/>
      <w:divBdr>
        <w:top w:val="none" w:sz="0" w:space="0" w:color="auto"/>
        <w:left w:val="none" w:sz="0" w:space="0" w:color="auto"/>
        <w:bottom w:val="none" w:sz="0" w:space="0" w:color="auto"/>
        <w:right w:val="none" w:sz="0" w:space="0" w:color="auto"/>
      </w:divBdr>
    </w:div>
    <w:div w:id="9337154">
      <w:bodyDiv w:val="1"/>
      <w:marLeft w:val="0"/>
      <w:marRight w:val="0"/>
      <w:marTop w:val="0"/>
      <w:marBottom w:val="0"/>
      <w:divBdr>
        <w:top w:val="none" w:sz="0" w:space="0" w:color="auto"/>
        <w:left w:val="none" w:sz="0" w:space="0" w:color="auto"/>
        <w:bottom w:val="none" w:sz="0" w:space="0" w:color="auto"/>
        <w:right w:val="none" w:sz="0" w:space="0" w:color="auto"/>
      </w:divBdr>
    </w:div>
    <w:div w:id="9338257">
      <w:bodyDiv w:val="1"/>
      <w:marLeft w:val="0"/>
      <w:marRight w:val="0"/>
      <w:marTop w:val="0"/>
      <w:marBottom w:val="0"/>
      <w:divBdr>
        <w:top w:val="none" w:sz="0" w:space="0" w:color="auto"/>
        <w:left w:val="none" w:sz="0" w:space="0" w:color="auto"/>
        <w:bottom w:val="none" w:sz="0" w:space="0" w:color="auto"/>
        <w:right w:val="none" w:sz="0" w:space="0" w:color="auto"/>
      </w:divBdr>
    </w:div>
    <w:div w:id="9374151">
      <w:bodyDiv w:val="1"/>
      <w:marLeft w:val="0"/>
      <w:marRight w:val="0"/>
      <w:marTop w:val="0"/>
      <w:marBottom w:val="0"/>
      <w:divBdr>
        <w:top w:val="none" w:sz="0" w:space="0" w:color="auto"/>
        <w:left w:val="none" w:sz="0" w:space="0" w:color="auto"/>
        <w:bottom w:val="none" w:sz="0" w:space="0" w:color="auto"/>
        <w:right w:val="none" w:sz="0" w:space="0" w:color="auto"/>
      </w:divBdr>
    </w:div>
    <w:div w:id="9375349">
      <w:bodyDiv w:val="1"/>
      <w:marLeft w:val="0"/>
      <w:marRight w:val="0"/>
      <w:marTop w:val="0"/>
      <w:marBottom w:val="0"/>
      <w:divBdr>
        <w:top w:val="none" w:sz="0" w:space="0" w:color="auto"/>
        <w:left w:val="none" w:sz="0" w:space="0" w:color="auto"/>
        <w:bottom w:val="none" w:sz="0" w:space="0" w:color="auto"/>
        <w:right w:val="none" w:sz="0" w:space="0" w:color="auto"/>
      </w:divBdr>
    </w:div>
    <w:div w:id="9529359">
      <w:bodyDiv w:val="1"/>
      <w:marLeft w:val="0"/>
      <w:marRight w:val="0"/>
      <w:marTop w:val="0"/>
      <w:marBottom w:val="0"/>
      <w:divBdr>
        <w:top w:val="none" w:sz="0" w:space="0" w:color="auto"/>
        <w:left w:val="none" w:sz="0" w:space="0" w:color="auto"/>
        <w:bottom w:val="none" w:sz="0" w:space="0" w:color="auto"/>
        <w:right w:val="none" w:sz="0" w:space="0" w:color="auto"/>
      </w:divBdr>
    </w:div>
    <w:div w:id="9569834">
      <w:bodyDiv w:val="1"/>
      <w:marLeft w:val="0"/>
      <w:marRight w:val="0"/>
      <w:marTop w:val="0"/>
      <w:marBottom w:val="0"/>
      <w:divBdr>
        <w:top w:val="none" w:sz="0" w:space="0" w:color="auto"/>
        <w:left w:val="none" w:sz="0" w:space="0" w:color="auto"/>
        <w:bottom w:val="none" w:sz="0" w:space="0" w:color="auto"/>
        <w:right w:val="none" w:sz="0" w:space="0" w:color="auto"/>
      </w:divBdr>
    </w:div>
    <w:div w:id="9571012">
      <w:bodyDiv w:val="1"/>
      <w:marLeft w:val="0"/>
      <w:marRight w:val="0"/>
      <w:marTop w:val="0"/>
      <w:marBottom w:val="0"/>
      <w:divBdr>
        <w:top w:val="none" w:sz="0" w:space="0" w:color="auto"/>
        <w:left w:val="none" w:sz="0" w:space="0" w:color="auto"/>
        <w:bottom w:val="none" w:sz="0" w:space="0" w:color="auto"/>
        <w:right w:val="none" w:sz="0" w:space="0" w:color="auto"/>
      </w:divBdr>
    </w:div>
    <w:div w:id="9650762">
      <w:bodyDiv w:val="1"/>
      <w:marLeft w:val="0"/>
      <w:marRight w:val="0"/>
      <w:marTop w:val="0"/>
      <w:marBottom w:val="0"/>
      <w:divBdr>
        <w:top w:val="none" w:sz="0" w:space="0" w:color="auto"/>
        <w:left w:val="none" w:sz="0" w:space="0" w:color="auto"/>
        <w:bottom w:val="none" w:sz="0" w:space="0" w:color="auto"/>
        <w:right w:val="none" w:sz="0" w:space="0" w:color="auto"/>
      </w:divBdr>
    </w:div>
    <w:div w:id="9913927">
      <w:bodyDiv w:val="1"/>
      <w:marLeft w:val="0"/>
      <w:marRight w:val="0"/>
      <w:marTop w:val="0"/>
      <w:marBottom w:val="0"/>
      <w:divBdr>
        <w:top w:val="none" w:sz="0" w:space="0" w:color="auto"/>
        <w:left w:val="none" w:sz="0" w:space="0" w:color="auto"/>
        <w:bottom w:val="none" w:sz="0" w:space="0" w:color="auto"/>
        <w:right w:val="none" w:sz="0" w:space="0" w:color="auto"/>
      </w:divBdr>
    </w:div>
    <w:div w:id="9991368">
      <w:bodyDiv w:val="1"/>
      <w:marLeft w:val="0"/>
      <w:marRight w:val="0"/>
      <w:marTop w:val="0"/>
      <w:marBottom w:val="0"/>
      <w:divBdr>
        <w:top w:val="none" w:sz="0" w:space="0" w:color="auto"/>
        <w:left w:val="none" w:sz="0" w:space="0" w:color="auto"/>
        <w:bottom w:val="none" w:sz="0" w:space="0" w:color="auto"/>
        <w:right w:val="none" w:sz="0" w:space="0" w:color="auto"/>
      </w:divBdr>
    </w:div>
    <w:div w:id="10037910">
      <w:bodyDiv w:val="1"/>
      <w:marLeft w:val="0"/>
      <w:marRight w:val="0"/>
      <w:marTop w:val="0"/>
      <w:marBottom w:val="0"/>
      <w:divBdr>
        <w:top w:val="none" w:sz="0" w:space="0" w:color="auto"/>
        <w:left w:val="none" w:sz="0" w:space="0" w:color="auto"/>
        <w:bottom w:val="none" w:sz="0" w:space="0" w:color="auto"/>
        <w:right w:val="none" w:sz="0" w:space="0" w:color="auto"/>
      </w:divBdr>
    </w:div>
    <w:div w:id="10038486">
      <w:bodyDiv w:val="1"/>
      <w:marLeft w:val="0"/>
      <w:marRight w:val="0"/>
      <w:marTop w:val="0"/>
      <w:marBottom w:val="0"/>
      <w:divBdr>
        <w:top w:val="none" w:sz="0" w:space="0" w:color="auto"/>
        <w:left w:val="none" w:sz="0" w:space="0" w:color="auto"/>
        <w:bottom w:val="none" w:sz="0" w:space="0" w:color="auto"/>
        <w:right w:val="none" w:sz="0" w:space="0" w:color="auto"/>
      </w:divBdr>
    </w:div>
    <w:div w:id="10038804">
      <w:bodyDiv w:val="1"/>
      <w:marLeft w:val="0"/>
      <w:marRight w:val="0"/>
      <w:marTop w:val="0"/>
      <w:marBottom w:val="0"/>
      <w:divBdr>
        <w:top w:val="none" w:sz="0" w:space="0" w:color="auto"/>
        <w:left w:val="none" w:sz="0" w:space="0" w:color="auto"/>
        <w:bottom w:val="none" w:sz="0" w:space="0" w:color="auto"/>
        <w:right w:val="none" w:sz="0" w:space="0" w:color="auto"/>
      </w:divBdr>
    </w:div>
    <w:div w:id="10187148">
      <w:bodyDiv w:val="1"/>
      <w:marLeft w:val="0"/>
      <w:marRight w:val="0"/>
      <w:marTop w:val="0"/>
      <w:marBottom w:val="0"/>
      <w:divBdr>
        <w:top w:val="none" w:sz="0" w:space="0" w:color="auto"/>
        <w:left w:val="none" w:sz="0" w:space="0" w:color="auto"/>
        <w:bottom w:val="none" w:sz="0" w:space="0" w:color="auto"/>
        <w:right w:val="none" w:sz="0" w:space="0" w:color="auto"/>
      </w:divBdr>
    </w:div>
    <w:div w:id="10229671">
      <w:bodyDiv w:val="1"/>
      <w:marLeft w:val="0"/>
      <w:marRight w:val="0"/>
      <w:marTop w:val="0"/>
      <w:marBottom w:val="0"/>
      <w:divBdr>
        <w:top w:val="none" w:sz="0" w:space="0" w:color="auto"/>
        <w:left w:val="none" w:sz="0" w:space="0" w:color="auto"/>
        <w:bottom w:val="none" w:sz="0" w:space="0" w:color="auto"/>
        <w:right w:val="none" w:sz="0" w:space="0" w:color="auto"/>
      </w:divBdr>
    </w:div>
    <w:div w:id="10491236">
      <w:bodyDiv w:val="1"/>
      <w:marLeft w:val="0"/>
      <w:marRight w:val="0"/>
      <w:marTop w:val="0"/>
      <w:marBottom w:val="0"/>
      <w:divBdr>
        <w:top w:val="none" w:sz="0" w:space="0" w:color="auto"/>
        <w:left w:val="none" w:sz="0" w:space="0" w:color="auto"/>
        <w:bottom w:val="none" w:sz="0" w:space="0" w:color="auto"/>
        <w:right w:val="none" w:sz="0" w:space="0" w:color="auto"/>
      </w:divBdr>
    </w:div>
    <w:div w:id="10491582">
      <w:bodyDiv w:val="1"/>
      <w:marLeft w:val="0"/>
      <w:marRight w:val="0"/>
      <w:marTop w:val="0"/>
      <w:marBottom w:val="0"/>
      <w:divBdr>
        <w:top w:val="none" w:sz="0" w:space="0" w:color="auto"/>
        <w:left w:val="none" w:sz="0" w:space="0" w:color="auto"/>
        <w:bottom w:val="none" w:sz="0" w:space="0" w:color="auto"/>
        <w:right w:val="none" w:sz="0" w:space="0" w:color="auto"/>
      </w:divBdr>
    </w:div>
    <w:div w:id="10618202">
      <w:bodyDiv w:val="1"/>
      <w:marLeft w:val="0"/>
      <w:marRight w:val="0"/>
      <w:marTop w:val="0"/>
      <w:marBottom w:val="0"/>
      <w:divBdr>
        <w:top w:val="none" w:sz="0" w:space="0" w:color="auto"/>
        <w:left w:val="none" w:sz="0" w:space="0" w:color="auto"/>
        <w:bottom w:val="none" w:sz="0" w:space="0" w:color="auto"/>
        <w:right w:val="none" w:sz="0" w:space="0" w:color="auto"/>
      </w:divBdr>
    </w:div>
    <w:div w:id="10643274">
      <w:bodyDiv w:val="1"/>
      <w:marLeft w:val="0"/>
      <w:marRight w:val="0"/>
      <w:marTop w:val="0"/>
      <w:marBottom w:val="0"/>
      <w:divBdr>
        <w:top w:val="none" w:sz="0" w:space="0" w:color="auto"/>
        <w:left w:val="none" w:sz="0" w:space="0" w:color="auto"/>
        <w:bottom w:val="none" w:sz="0" w:space="0" w:color="auto"/>
        <w:right w:val="none" w:sz="0" w:space="0" w:color="auto"/>
      </w:divBdr>
    </w:div>
    <w:div w:id="10764438">
      <w:bodyDiv w:val="1"/>
      <w:marLeft w:val="0"/>
      <w:marRight w:val="0"/>
      <w:marTop w:val="0"/>
      <w:marBottom w:val="0"/>
      <w:divBdr>
        <w:top w:val="none" w:sz="0" w:space="0" w:color="auto"/>
        <w:left w:val="none" w:sz="0" w:space="0" w:color="auto"/>
        <w:bottom w:val="none" w:sz="0" w:space="0" w:color="auto"/>
        <w:right w:val="none" w:sz="0" w:space="0" w:color="auto"/>
      </w:divBdr>
    </w:div>
    <w:div w:id="10885876">
      <w:bodyDiv w:val="1"/>
      <w:marLeft w:val="0"/>
      <w:marRight w:val="0"/>
      <w:marTop w:val="0"/>
      <w:marBottom w:val="0"/>
      <w:divBdr>
        <w:top w:val="none" w:sz="0" w:space="0" w:color="auto"/>
        <w:left w:val="none" w:sz="0" w:space="0" w:color="auto"/>
        <w:bottom w:val="none" w:sz="0" w:space="0" w:color="auto"/>
        <w:right w:val="none" w:sz="0" w:space="0" w:color="auto"/>
      </w:divBdr>
    </w:div>
    <w:div w:id="11035534">
      <w:bodyDiv w:val="1"/>
      <w:marLeft w:val="0"/>
      <w:marRight w:val="0"/>
      <w:marTop w:val="0"/>
      <w:marBottom w:val="0"/>
      <w:divBdr>
        <w:top w:val="none" w:sz="0" w:space="0" w:color="auto"/>
        <w:left w:val="none" w:sz="0" w:space="0" w:color="auto"/>
        <w:bottom w:val="none" w:sz="0" w:space="0" w:color="auto"/>
        <w:right w:val="none" w:sz="0" w:space="0" w:color="auto"/>
      </w:divBdr>
    </w:div>
    <w:div w:id="11152413">
      <w:bodyDiv w:val="1"/>
      <w:marLeft w:val="0"/>
      <w:marRight w:val="0"/>
      <w:marTop w:val="0"/>
      <w:marBottom w:val="0"/>
      <w:divBdr>
        <w:top w:val="none" w:sz="0" w:space="0" w:color="auto"/>
        <w:left w:val="none" w:sz="0" w:space="0" w:color="auto"/>
        <w:bottom w:val="none" w:sz="0" w:space="0" w:color="auto"/>
        <w:right w:val="none" w:sz="0" w:space="0" w:color="auto"/>
      </w:divBdr>
    </w:div>
    <w:div w:id="11299798">
      <w:bodyDiv w:val="1"/>
      <w:marLeft w:val="0"/>
      <w:marRight w:val="0"/>
      <w:marTop w:val="0"/>
      <w:marBottom w:val="0"/>
      <w:divBdr>
        <w:top w:val="none" w:sz="0" w:space="0" w:color="auto"/>
        <w:left w:val="none" w:sz="0" w:space="0" w:color="auto"/>
        <w:bottom w:val="none" w:sz="0" w:space="0" w:color="auto"/>
        <w:right w:val="none" w:sz="0" w:space="0" w:color="auto"/>
      </w:divBdr>
    </w:div>
    <w:div w:id="11344240">
      <w:bodyDiv w:val="1"/>
      <w:marLeft w:val="0"/>
      <w:marRight w:val="0"/>
      <w:marTop w:val="0"/>
      <w:marBottom w:val="0"/>
      <w:divBdr>
        <w:top w:val="none" w:sz="0" w:space="0" w:color="auto"/>
        <w:left w:val="none" w:sz="0" w:space="0" w:color="auto"/>
        <w:bottom w:val="none" w:sz="0" w:space="0" w:color="auto"/>
        <w:right w:val="none" w:sz="0" w:space="0" w:color="auto"/>
      </w:divBdr>
    </w:div>
    <w:div w:id="11346210">
      <w:bodyDiv w:val="1"/>
      <w:marLeft w:val="0"/>
      <w:marRight w:val="0"/>
      <w:marTop w:val="0"/>
      <w:marBottom w:val="0"/>
      <w:divBdr>
        <w:top w:val="none" w:sz="0" w:space="0" w:color="auto"/>
        <w:left w:val="none" w:sz="0" w:space="0" w:color="auto"/>
        <w:bottom w:val="none" w:sz="0" w:space="0" w:color="auto"/>
        <w:right w:val="none" w:sz="0" w:space="0" w:color="auto"/>
      </w:divBdr>
    </w:div>
    <w:div w:id="11348777">
      <w:bodyDiv w:val="1"/>
      <w:marLeft w:val="0"/>
      <w:marRight w:val="0"/>
      <w:marTop w:val="0"/>
      <w:marBottom w:val="0"/>
      <w:divBdr>
        <w:top w:val="none" w:sz="0" w:space="0" w:color="auto"/>
        <w:left w:val="none" w:sz="0" w:space="0" w:color="auto"/>
        <w:bottom w:val="none" w:sz="0" w:space="0" w:color="auto"/>
        <w:right w:val="none" w:sz="0" w:space="0" w:color="auto"/>
      </w:divBdr>
    </w:div>
    <w:div w:id="11349457">
      <w:bodyDiv w:val="1"/>
      <w:marLeft w:val="0"/>
      <w:marRight w:val="0"/>
      <w:marTop w:val="0"/>
      <w:marBottom w:val="0"/>
      <w:divBdr>
        <w:top w:val="none" w:sz="0" w:space="0" w:color="auto"/>
        <w:left w:val="none" w:sz="0" w:space="0" w:color="auto"/>
        <w:bottom w:val="none" w:sz="0" w:space="0" w:color="auto"/>
        <w:right w:val="none" w:sz="0" w:space="0" w:color="auto"/>
      </w:divBdr>
    </w:div>
    <w:div w:id="11535187">
      <w:bodyDiv w:val="1"/>
      <w:marLeft w:val="0"/>
      <w:marRight w:val="0"/>
      <w:marTop w:val="0"/>
      <w:marBottom w:val="0"/>
      <w:divBdr>
        <w:top w:val="none" w:sz="0" w:space="0" w:color="auto"/>
        <w:left w:val="none" w:sz="0" w:space="0" w:color="auto"/>
        <w:bottom w:val="none" w:sz="0" w:space="0" w:color="auto"/>
        <w:right w:val="none" w:sz="0" w:space="0" w:color="auto"/>
      </w:divBdr>
    </w:div>
    <w:div w:id="11689081">
      <w:bodyDiv w:val="1"/>
      <w:marLeft w:val="0"/>
      <w:marRight w:val="0"/>
      <w:marTop w:val="0"/>
      <w:marBottom w:val="0"/>
      <w:divBdr>
        <w:top w:val="none" w:sz="0" w:space="0" w:color="auto"/>
        <w:left w:val="none" w:sz="0" w:space="0" w:color="auto"/>
        <w:bottom w:val="none" w:sz="0" w:space="0" w:color="auto"/>
        <w:right w:val="none" w:sz="0" w:space="0" w:color="auto"/>
      </w:divBdr>
    </w:div>
    <w:div w:id="11732431">
      <w:bodyDiv w:val="1"/>
      <w:marLeft w:val="0"/>
      <w:marRight w:val="0"/>
      <w:marTop w:val="0"/>
      <w:marBottom w:val="0"/>
      <w:divBdr>
        <w:top w:val="none" w:sz="0" w:space="0" w:color="auto"/>
        <w:left w:val="none" w:sz="0" w:space="0" w:color="auto"/>
        <w:bottom w:val="none" w:sz="0" w:space="0" w:color="auto"/>
        <w:right w:val="none" w:sz="0" w:space="0" w:color="auto"/>
      </w:divBdr>
    </w:div>
    <w:div w:id="11734058">
      <w:bodyDiv w:val="1"/>
      <w:marLeft w:val="0"/>
      <w:marRight w:val="0"/>
      <w:marTop w:val="0"/>
      <w:marBottom w:val="0"/>
      <w:divBdr>
        <w:top w:val="none" w:sz="0" w:space="0" w:color="auto"/>
        <w:left w:val="none" w:sz="0" w:space="0" w:color="auto"/>
        <w:bottom w:val="none" w:sz="0" w:space="0" w:color="auto"/>
        <w:right w:val="none" w:sz="0" w:space="0" w:color="auto"/>
      </w:divBdr>
    </w:div>
    <w:div w:id="11734475">
      <w:bodyDiv w:val="1"/>
      <w:marLeft w:val="0"/>
      <w:marRight w:val="0"/>
      <w:marTop w:val="0"/>
      <w:marBottom w:val="0"/>
      <w:divBdr>
        <w:top w:val="none" w:sz="0" w:space="0" w:color="auto"/>
        <w:left w:val="none" w:sz="0" w:space="0" w:color="auto"/>
        <w:bottom w:val="none" w:sz="0" w:space="0" w:color="auto"/>
        <w:right w:val="none" w:sz="0" w:space="0" w:color="auto"/>
      </w:divBdr>
    </w:div>
    <w:div w:id="11803937">
      <w:bodyDiv w:val="1"/>
      <w:marLeft w:val="0"/>
      <w:marRight w:val="0"/>
      <w:marTop w:val="0"/>
      <w:marBottom w:val="0"/>
      <w:divBdr>
        <w:top w:val="none" w:sz="0" w:space="0" w:color="auto"/>
        <w:left w:val="none" w:sz="0" w:space="0" w:color="auto"/>
        <w:bottom w:val="none" w:sz="0" w:space="0" w:color="auto"/>
        <w:right w:val="none" w:sz="0" w:space="0" w:color="auto"/>
      </w:divBdr>
    </w:div>
    <w:div w:id="11809792">
      <w:bodyDiv w:val="1"/>
      <w:marLeft w:val="0"/>
      <w:marRight w:val="0"/>
      <w:marTop w:val="0"/>
      <w:marBottom w:val="0"/>
      <w:divBdr>
        <w:top w:val="none" w:sz="0" w:space="0" w:color="auto"/>
        <w:left w:val="none" w:sz="0" w:space="0" w:color="auto"/>
        <w:bottom w:val="none" w:sz="0" w:space="0" w:color="auto"/>
        <w:right w:val="none" w:sz="0" w:space="0" w:color="auto"/>
      </w:divBdr>
    </w:div>
    <w:div w:id="11881906">
      <w:bodyDiv w:val="1"/>
      <w:marLeft w:val="0"/>
      <w:marRight w:val="0"/>
      <w:marTop w:val="0"/>
      <w:marBottom w:val="0"/>
      <w:divBdr>
        <w:top w:val="none" w:sz="0" w:space="0" w:color="auto"/>
        <w:left w:val="none" w:sz="0" w:space="0" w:color="auto"/>
        <w:bottom w:val="none" w:sz="0" w:space="0" w:color="auto"/>
        <w:right w:val="none" w:sz="0" w:space="0" w:color="auto"/>
      </w:divBdr>
    </w:div>
    <w:div w:id="11958438">
      <w:bodyDiv w:val="1"/>
      <w:marLeft w:val="0"/>
      <w:marRight w:val="0"/>
      <w:marTop w:val="0"/>
      <w:marBottom w:val="0"/>
      <w:divBdr>
        <w:top w:val="none" w:sz="0" w:space="0" w:color="auto"/>
        <w:left w:val="none" w:sz="0" w:space="0" w:color="auto"/>
        <w:bottom w:val="none" w:sz="0" w:space="0" w:color="auto"/>
        <w:right w:val="none" w:sz="0" w:space="0" w:color="auto"/>
      </w:divBdr>
    </w:div>
    <w:div w:id="12196389">
      <w:bodyDiv w:val="1"/>
      <w:marLeft w:val="0"/>
      <w:marRight w:val="0"/>
      <w:marTop w:val="0"/>
      <w:marBottom w:val="0"/>
      <w:divBdr>
        <w:top w:val="none" w:sz="0" w:space="0" w:color="auto"/>
        <w:left w:val="none" w:sz="0" w:space="0" w:color="auto"/>
        <w:bottom w:val="none" w:sz="0" w:space="0" w:color="auto"/>
        <w:right w:val="none" w:sz="0" w:space="0" w:color="auto"/>
      </w:divBdr>
    </w:div>
    <w:div w:id="12264743">
      <w:bodyDiv w:val="1"/>
      <w:marLeft w:val="0"/>
      <w:marRight w:val="0"/>
      <w:marTop w:val="0"/>
      <w:marBottom w:val="0"/>
      <w:divBdr>
        <w:top w:val="none" w:sz="0" w:space="0" w:color="auto"/>
        <w:left w:val="none" w:sz="0" w:space="0" w:color="auto"/>
        <w:bottom w:val="none" w:sz="0" w:space="0" w:color="auto"/>
        <w:right w:val="none" w:sz="0" w:space="0" w:color="auto"/>
      </w:divBdr>
    </w:div>
    <w:div w:id="12268672">
      <w:bodyDiv w:val="1"/>
      <w:marLeft w:val="0"/>
      <w:marRight w:val="0"/>
      <w:marTop w:val="0"/>
      <w:marBottom w:val="0"/>
      <w:divBdr>
        <w:top w:val="none" w:sz="0" w:space="0" w:color="auto"/>
        <w:left w:val="none" w:sz="0" w:space="0" w:color="auto"/>
        <w:bottom w:val="none" w:sz="0" w:space="0" w:color="auto"/>
        <w:right w:val="none" w:sz="0" w:space="0" w:color="auto"/>
      </w:divBdr>
    </w:div>
    <w:div w:id="12343765">
      <w:bodyDiv w:val="1"/>
      <w:marLeft w:val="0"/>
      <w:marRight w:val="0"/>
      <w:marTop w:val="0"/>
      <w:marBottom w:val="0"/>
      <w:divBdr>
        <w:top w:val="none" w:sz="0" w:space="0" w:color="auto"/>
        <w:left w:val="none" w:sz="0" w:space="0" w:color="auto"/>
        <w:bottom w:val="none" w:sz="0" w:space="0" w:color="auto"/>
        <w:right w:val="none" w:sz="0" w:space="0" w:color="auto"/>
      </w:divBdr>
    </w:div>
    <w:div w:id="12344000">
      <w:bodyDiv w:val="1"/>
      <w:marLeft w:val="0"/>
      <w:marRight w:val="0"/>
      <w:marTop w:val="0"/>
      <w:marBottom w:val="0"/>
      <w:divBdr>
        <w:top w:val="none" w:sz="0" w:space="0" w:color="auto"/>
        <w:left w:val="none" w:sz="0" w:space="0" w:color="auto"/>
        <w:bottom w:val="none" w:sz="0" w:space="0" w:color="auto"/>
        <w:right w:val="none" w:sz="0" w:space="0" w:color="auto"/>
      </w:divBdr>
    </w:div>
    <w:div w:id="12387348">
      <w:bodyDiv w:val="1"/>
      <w:marLeft w:val="0"/>
      <w:marRight w:val="0"/>
      <w:marTop w:val="0"/>
      <w:marBottom w:val="0"/>
      <w:divBdr>
        <w:top w:val="none" w:sz="0" w:space="0" w:color="auto"/>
        <w:left w:val="none" w:sz="0" w:space="0" w:color="auto"/>
        <w:bottom w:val="none" w:sz="0" w:space="0" w:color="auto"/>
        <w:right w:val="none" w:sz="0" w:space="0" w:color="auto"/>
      </w:divBdr>
    </w:div>
    <w:div w:id="12414610">
      <w:bodyDiv w:val="1"/>
      <w:marLeft w:val="0"/>
      <w:marRight w:val="0"/>
      <w:marTop w:val="0"/>
      <w:marBottom w:val="0"/>
      <w:divBdr>
        <w:top w:val="none" w:sz="0" w:space="0" w:color="auto"/>
        <w:left w:val="none" w:sz="0" w:space="0" w:color="auto"/>
        <w:bottom w:val="none" w:sz="0" w:space="0" w:color="auto"/>
        <w:right w:val="none" w:sz="0" w:space="0" w:color="auto"/>
      </w:divBdr>
    </w:div>
    <w:div w:id="12612583">
      <w:bodyDiv w:val="1"/>
      <w:marLeft w:val="0"/>
      <w:marRight w:val="0"/>
      <w:marTop w:val="0"/>
      <w:marBottom w:val="0"/>
      <w:divBdr>
        <w:top w:val="none" w:sz="0" w:space="0" w:color="auto"/>
        <w:left w:val="none" w:sz="0" w:space="0" w:color="auto"/>
        <w:bottom w:val="none" w:sz="0" w:space="0" w:color="auto"/>
        <w:right w:val="none" w:sz="0" w:space="0" w:color="auto"/>
      </w:divBdr>
    </w:div>
    <w:div w:id="12804538">
      <w:bodyDiv w:val="1"/>
      <w:marLeft w:val="0"/>
      <w:marRight w:val="0"/>
      <w:marTop w:val="0"/>
      <w:marBottom w:val="0"/>
      <w:divBdr>
        <w:top w:val="none" w:sz="0" w:space="0" w:color="auto"/>
        <w:left w:val="none" w:sz="0" w:space="0" w:color="auto"/>
        <w:bottom w:val="none" w:sz="0" w:space="0" w:color="auto"/>
        <w:right w:val="none" w:sz="0" w:space="0" w:color="auto"/>
      </w:divBdr>
    </w:div>
    <w:div w:id="12919146">
      <w:bodyDiv w:val="1"/>
      <w:marLeft w:val="0"/>
      <w:marRight w:val="0"/>
      <w:marTop w:val="0"/>
      <w:marBottom w:val="0"/>
      <w:divBdr>
        <w:top w:val="none" w:sz="0" w:space="0" w:color="auto"/>
        <w:left w:val="none" w:sz="0" w:space="0" w:color="auto"/>
        <w:bottom w:val="none" w:sz="0" w:space="0" w:color="auto"/>
        <w:right w:val="none" w:sz="0" w:space="0" w:color="auto"/>
      </w:divBdr>
    </w:div>
    <w:div w:id="12919284">
      <w:bodyDiv w:val="1"/>
      <w:marLeft w:val="0"/>
      <w:marRight w:val="0"/>
      <w:marTop w:val="0"/>
      <w:marBottom w:val="0"/>
      <w:divBdr>
        <w:top w:val="none" w:sz="0" w:space="0" w:color="auto"/>
        <w:left w:val="none" w:sz="0" w:space="0" w:color="auto"/>
        <w:bottom w:val="none" w:sz="0" w:space="0" w:color="auto"/>
        <w:right w:val="none" w:sz="0" w:space="0" w:color="auto"/>
      </w:divBdr>
    </w:div>
    <w:div w:id="12927073">
      <w:bodyDiv w:val="1"/>
      <w:marLeft w:val="0"/>
      <w:marRight w:val="0"/>
      <w:marTop w:val="0"/>
      <w:marBottom w:val="0"/>
      <w:divBdr>
        <w:top w:val="none" w:sz="0" w:space="0" w:color="auto"/>
        <w:left w:val="none" w:sz="0" w:space="0" w:color="auto"/>
        <w:bottom w:val="none" w:sz="0" w:space="0" w:color="auto"/>
        <w:right w:val="none" w:sz="0" w:space="0" w:color="auto"/>
      </w:divBdr>
    </w:div>
    <w:div w:id="12995128">
      <w:bodyDiv w:val="1"/>
      <w:marLeft w:val="0"/>
      <w:marRight w:val="0"/>
      <w:marTop w:val="0"/>
      <w:marBottom w:val="0"/>
      <w:divBdr>
        <w:top w:val="none" w:sz="0" w:space="0" w:color="auto"/>
        <w:left w:val="none" w:sz="0" w:space="0" w:color="auto"/>
        <w:bottom w:val="none" w:sz="0" w:space="0" w:color="auto"/>
        <w:right w:val="none" w:sz="0" w:space="0" w:color="auto"/>
      </w:divBdr>
    </w:div>
    <w:div w:id="13045679">
      <w:bodyDiv w:val="1"/>
      <w:marLeft w:val="0"/>
      <w:marRight w:val="0"/>
      <w:marTop w:val="0"/>
      <w:marBottom w:val="0"/>
      <w:divBdr>
        <w:top w:val="none" w:sz="0" w:space="0" w:color="auto"/>
        <w:left w:val="none" w:sz="0" w:space="0" w:color="auto"/>
        <w:bottom w:val="none" w:sz="0" w:space="0" w:color="auto"/>
        <w:right w:val="none" w:sz="0" w:space="0" w:color="auto"/>
      </w:divBdr>
    </w:div>
    <w:div w:id="13193333">
      <w:bodyDiv w:val="1"/>
      <w:marLeft w:val="0"/>
      <w:marRight w:val="0"/>
      <w:marTop w:val="0"/>
      <w:marBottom w:val="0"/>
      <w:divBdr>
        <w:top w:val="none" w:sz="0" w:space="0" w:color="auto"/>
        <w:left w:val="none" w:sz="0" w:space="0" w:color="auto"/>
        <w:bottom w:val="none" w:sz="0" w:space="0" w:color="auto"/>
        <w:right w:val="none" w:sz="0" w:space="0" w:color="auto"/>
      </w:divBdr>
    </w:div>
    <w:div w:id="13194834">
      <w:bodyDiv w:val="1"/>
      <w:marLeft w:val="0"/>
      <w:marRight w:val="0"/>
      <w:marTop w:val="0"/>
      <w:marBottom w:val="0"/>
      <w:divBdr>
        <w:top w:val="none" w:sz="0" w:space="0" w:color="auto"/>
        <w:left w:val="none" w:sz="0" w:space="0" w:color="auto"/>
        <w:bottom w:val="none" w:sz="0" w:space="0" w:color="auto"/>
        <w:right w:val="none" w:sz="0" w:space="0" w:color="auto"/>
      </w:divBdr>
    </w:div>
    <w:div w:id="13265371">
      <w:bodyDiv w:val="1"/>
      <w:marLeft w:val="0"/>
      <w:marRight w:val="0"/>
      <w:marTop w:val="0"/>
      <w:marBottom w:val="0"/>
      <w:divBdr>
        <w:top w:val="none" w:sz="0" w:space="0" w:color="auto"/>
        <w:left w:val="none" w:sz="0" w:space="0" w:color="auto"/>
        <w:bottom w:val="none" w:sz="0" w:space="0" w:color="auto"/>
        <w:right w:val="none" w:sz="0" w:space="0" w:color="auto"/>
      </w:divBdr>
    </w:div>
    <w:div w:id="13381136">
      <w:bodyDiv w:val="1"/>
      <w:marLeft w:val="0"/>
      <w:marRight w:val="0"/>
      <w:marTop w:val="0"/>
      <w:marBottom w:val="0"/>
      <w:divBdr>
        <w:top w:val="none" w:sz="0" w:space="0" w:color="auto"/>
        <w:left w:val="none" w:sz="0" w:space="0" w:color="auto"/>
        <w:bottom w:val="none" w:sz="0" w:space="0" w:color="auto"/>
        <w:right w:val="none" w:sz="0" w:space="0" w:color="auto"/>
      </w:divBdr>
    </w:div>
    <w:div w:id="13383359">
      <w:bodyDiv w:val="1"/>
      <w:marLeft w:val="0"/>
      <w:marRight w:val="0"/>
      <w:marTop w:val="0"/>
      <w:marBottom w:val="0"/>
      <w:divBdr>
        <w:top w:val="none" w:sz="0" w:space="0" w:color="auto"/>
        <w:left w:val="none" w:sz="0" w:space="0" w:color="auto"/>
        <w:bottom w:val="none" w:sz="0" w:space="0" w:color="auto"/>
        <w:right w:val="none" w:sz="0" w:space="0" w:color="auto"/>
      </w:divBdr>
    </w:div>
    <w:div w:id="13457468">
      <w:bodyDiv w:val="1"/>
      <w:marLeft w:val="0"/>
      <w:marRight w:val="0"/>
      <w:marTop w:val="0"/>
      <w:marBottom w:val="0"/>
      <w:divBdr>
        <w:top w:val="none" w:sz="0" w:space="0" w:color="auto"/>
        <w:left w:val="none" w:sz="0" w:space="0" w:color="auto"/>
        <w:bottom w:val="none" w:sz="0" w:space="0" w:color="auto"/>
        <w:right w:val="none" w:sz="0" w:space="0" w:color="auto"/>
      </w:divBdr>
    </w:div>
    <w:div w:id="13727432">
      <w:bodyDiv w:val="1"/>
      <w:marLeft w:val="0"/>
      <w:marRight w:val="0"/>
      <w:marTop w:val="0"/>
      <w:marBottom w:val="0"/>
      <w:divBdr>
        <w:top w:val="none" w:sz="0" w:space="0" w:color="auto"/>
        <w:left w:val="none" w:sz="0" w:space="0" w:color="auto"/>
        <w:bottom w:val="none" w:sz="0" w:space="0" w:color="auto"/>
        <w:right w:val="none" w:sz="0" w:space="0" w:color="auto"/>
      </w:divBdr>
    </w:div>
    <w:div w:id="13846171">
      <w:bodyDiv w:val="1"/>
      <w:marLeft w:val="0"/>
      <w:marRight w:val="0"/>
      <w:marTop w:val="0"/>
      <w:marBottom w:val="0"/>
      <w:divBdr>
        <w:top w:val="none" w:sz="0" w:space="0" w:color="auto"/>
        <w:left w:val="none" w:sz="0" w:space="0" w:color="auto"/>
        <w:bottom w:val="none" w:sz="0" w:space="0" w:color="auto"/>
        <w:right w:val="none" w:sz="0" w:space="0" w:color="auto"/>
      </w:divBdr>
    </w:div>
    <w:div w:id="13894341">
      <w:bodyDiv w:val="1"/>
      <w:marLeft w:val="0"/>
      <w:marRight w:val="0"/>
      <w:marTop w:val="0"/>
      <w:marBottom w:val="0"/>
      <w:divBdr>
        <w:top w:val="none" w:sz="0" w:space="0" w:color="auto"/>
        <w:left w:val="none" w:sz="0" w:space="0" w:color="auto"/>
        <w:bottom w:val="none" w:sz="0" w:space="0" w:color="auto"/>
        <w:right w:val="none" w:sz="0" w:space="0" w:color="auto"/>
      </w:divBdr>
    </w:div>
    <w:div w:id="13962270">
      <w:bodyDiv w:val="1"/>
      <w:marLeft w:val="0"/>
      <w:marRight w:val="0"/>
      <w:marTop w:val="0"/>
      <w:marBottom w:val="0"/>
      <w:divBdr>
        <w:top w:val="none" w:sz="0" w:space="0" w:color="auto"/>
        <w:left w:val="none" w:sz="0" w:space="0" w:color="auto"/>
        <w:bottom w:val="none" w:sz="0" w:space="0" w:color="auto"/>
        <w:right w:val="none" w:sz="0" w:space="0" w:color="auto"/>
      </w:divBdr>
    </w:div>
    <w:div w:id="13969081">
      <w:bodyDiv w:val="1"/>
      <w:marLeft w:val="0"/>
      <w:marRight w:val="0"/>
      <w:marTop w:val="0"/>
      <w:marBottom w:val="0"/>
      <w:divBdr>
        <w:top w:val="none" w:sz="0" w:space="0" w:color="auto"/>
        <w:left w:val="none" w:sz="0" w:space="0" w:color="auto"/>
        <w:bottom w:val="none" w:sz="0" w:space="0" w:color="auto"/>
        <w:right w:val="none" w:sz="0" w:space="0" w:color="auto"/>
      </w:divBdr>
    </w:div>
    <w:div w:id="14112509">
      <w:bodyDiv w:val="1"/>
      <w:marLeft w:val="0"/>
      <w:marRight w:val="0"/>
      <w:marTop w:val="0"/>
      <w:marBottom w:val="0"/>
      <w:divBdr>
        <w:top w:val="none" w:sz="0" w:space="0" w:color="auto"/>
        <w:left w:val="none" w:sz="0" w:space="0" w:color="auto"/>
        <w:bottom w:val="none" w:sz="0" w:space="0" w:color="auto"/>
        <w:right w:val="none" w:sz="0" w:space="0" w:color="auto"/>
      </w:divBdr>
    </w:div>
    <w:div w:id="14231749">
      <w:bodyDiv w:val="1"/>
      <w:marLeft w:val="0"/>
      <w:marRight w:val="0"/>
      <w:marTop w:val="0"/>
      <w:marBottom w:val="0"/>
      <w:divBdr>
        <w:top w:val="none" w:sz="0" w:space="0" w:color="auto"/>
        <w:left w:val="none" w:sz="0" w:space="0" w:color="auto"/>
        <w:bottom w:val="none" w:sz="0" w:space="0" w:color="auto"/>
        <w:right w:val="none" w:sz="0" w:space="0" w:color="auto"/>
      </w:divBdr>
    </w:div>
    <w:div w:id="14232450">
      <w:bodyDiv w:val="1"/>
      <w:marLeft w:val="0"/>
      <w:marRight w:val="0"/>
      <w:marTop w:val="0"/>
      <w:marBottom w:val="0"/>
      <w:divBdr>
        <w:top w:val="none" w:sz="0" w:space="0" w:color="auto"/>
        <w:left w:val="none" w:sz="0" w:space="0" w:color="auto"/>
        <w:bottom w:val="none" w:sz="0" w:space="0" w:color="auto"/>
        <w:right w:val="none" w:sz="0" w:space="0" w:color="auto"/>
      </w:divBdr>
    </w:div>
    <w:div w:id="14238252">
      <w:bodyDiv w:val="1"/>
      <w:marLeft w:val="0"/>
      <w:marRight w:val="0"/>
      <w:marTop w:val="0"/>
      <w:marBottom w:val="0"/>
      <w:divBdr>
        <w:top w:val="none" w:sz="0" w:space="0" w:color="auto"/>
        <w:left w:val="none" w:sz="0" w:space="0" w:color="auto"/>
        <w:bottom w:val="none" w:sz="0" w:space="0" w:color="auto"/>
        <w:right w:val="none" w:sz="0" w:space="0" w:color="auto"/>
      </w:divBdr>
    </w:div>
    <w:div w:id="14354301">
      <w:bodyDiv w:val="1"/>
      <w:marLeft w:val="0"/>
      <w:marRight w:val="0"/>
      <w:marTop w:val="0"/>
      <w:marBottom w:val="0"/>
      <w:divBdr>
        <w:top w:val="none" w:sz="0" w:space="0" w:color="auto"/>
        <w:left w:val="none" w:sz="0" w:space="0" w:color="auto"/>
        <w:bottom w:val="none" w:sz="0" w:space="0" w:color="auto"/>
        <w:right w:val="none" w:sz="0" w:space="0" w:color="auto"/>
      </w:divBdr>
    </w:div>
    <w:div w:id="14617237">
      <w:bodyDiv w:val="1"/>
      <w:marLeft w:val="0"/>
      <w:marRight w:val="0"/>
      <w:marTop w:val="0"/>
      <w:marBottom w:val="0"/>
      <w:divBdr>
        <w:top w:val="none" w:sz="0" w:space="0" w:color="auto"/>
        <w:left w:val="none" w:sz="0" w:space="0" w:color="auto"/>
        <w:bottom w:val="none" w:sz="0" w:space="0" w:color="auto"/>
        <w:right w:val="none" w:sz="0" w:space="0" w:color="auto"/>
      </w:divBdr>
    </w:div>
    <w:div w:id="14622762">
      <w:bodyDiv w:val="1"/>
      <w:marLeft w:val="0"/>
      <w:marRight w:val="0"/>
      <w:marTop w:val="0"/>
      <w:marBottom w:val="0"/>
      <w:divBdr>
        <w:top w:val="none" w:sz="0" w:space="0" w:color="auto"/>
        <w:left w:val="none" w:sz="0" w:space="0" w:color="auto"/>
        <w:bottom w:val="none" w:sz="0" w:space="0" w:color="auto"/>
        <w:right w:val="none" w:sz="0" w:space="0" w:color="auto"/>
      </w:divBdr>
    </w:div>
    <w:div w:id="14818048">
      <w:bodyDiv w:val="1"/>
      <w:marLeft w:val="0"/>
      <w:marRight w:val="0"/>
      <w:marTop w:val="0"/>
      <w:marBottom w:val="0"/>
      <w:divBdr>
        <w:top w:val="none" w:sz="0" w:space="0" w:color="auto"/>
        <w:left w:val="none" w:sz="0" w:space="0" w:color="auto"/>
        <w:bottom w:val="none" w:sz="0" w:space="0" w:color="auto"/>
        <w:right w:val="none" w:sz="0" w:space="0" w:color="auto"/>
      </w:divBdr>
    </w:div>
    <w:div w:id="14889606">
      <w:bodyDiv w:val="1"/>
      <w:marLeft w:val="0"/>
      <w:marRight w:val="0"/>
      <w:marTop w:val="0"/>
      <w:marBottom w:val="0"/>
      <w:divBdr>
        <w:top w:val="none" w:sz="0" w:space="0" w:color="auto"/>
        <w:left w:val="none" w:sz="0" w:space="0" w:color="auto"/>
        <w:bottom w:val="none" w:sz="0" w:space="0" w:color="auto"/>
        <w:right w:val="none" w:sz="0" w:space="0" w:color="auto"/>
      </w:divBdr>
    </w:div>
    <w:div w:id="14892426">
      <w:bodyDiv w:val="1"/>
      <w:marLeft w:val="0"/>
      <w:marRight w:val="0"/>
      <w:marTop w:val="0"/>
      <w:marBottom w:val="0"/>
      <w:divBdr>
        <w:top w:val="none" w:sz="0" w:space="0" w:color="auto"/>
        <w:left w:val="none" w:sz="0" w:space="0" w:color="auto"/>
        <w:bottom w:val="none" w:sz="0" w:space="0" w:color="auto"/>
        <w:right w:val="none" w:sz="0" w:space="0" w:color="auto"/>
      </w:divBdr>
    </w:div>
    <w:div w:id="14893271">
      <w:bodyDiv w:val="1"/>
      <w:marLeft w:val="0"/>
      <w:marRight w:val="0"/>
      <w:marTop w:val="0"/>
      <w:marBottom w:val="0"/>
      <w:divBdr>
        <w:top w:val="none" w:sz="0" w:space="0" w:color="auto"/>
        <w:left w:val="none" w:sz="0" w:space="0" w:color="auto"/>
        <w:bottom w:val="none" w:sz="0" w:space="0" w:color="auto"/>
        <w:right w:val="none" w:sz="0" w:space="0" w:color="auto"/>
      </w:divBdr>
    </w:div>
    <w:div w:id="14965491">
      <w:bodyDiv w:val="1"/>
      <w:marLeft w:val="0"/>
      <w:marRight w:val="0"/>
      <w:marTop w:val="0"/>
      <w:marBottom w:val="0"/>
      <w:divBdr>
        <w:top w:val="none" w:sz="0" w:space="0" w:color="auto"/>
        <w:left w:val="none" w:sz="0" w:space="0" w:color="auto"/>
        <w:bottom w:val="none" w:sz="0" w:space="0" w:color="auto"/>
        <w:right w:val="none" w:sz="0" w:space="0" w:color="auto"/>
      </w:divBdr>
    </w:div>
    <w:div w:id="14967008">
      <w:bodyDiv w:val="1"/>
      <w:marLeft w:val="0"/>
      <w:marRight w:val="0"/>
      <w:marTop w:val="0"/>
      <w:marBottom w:val="0"/>
      <w:divBdr>
        <w:top w:val="none" w:sz="0" w:space="0" w:color="auto"/>
        <w:left w:val="none" w:sz="0" w:space="0" w:color="auto"/>
        <w:bottom w:val="none" w:sz="0" w:space="0" w:color="auto"/>
        <w:right w:val="none" w:sz="0" w:space="0" w:color="auto"/>
      </w:divBdr>
    </w:div>
    <w:div w:id="15154286">
      <w:bodyDiv w:val="1"/>
      <w:marLeft w:val="0"/>
      <w:marRight w:val="0"/>
      <w:marTop w:val="0"/>
      <w:marBottom w:val="0"/>
      <w:divBdr>
        <w:top w:val="none" w:sz="0" w:space="0" w:color="auto"/>
        <w:left w:val="none" w:sz="0" w:space="0" w:color="auto"/>
        <w:bottom w:val="none" w:sz="0" w:space="0" w:color="auto"/>
        <w:right w:val="none" w:sz="0" w:space="0" w:color="auto"/>
      </w:divBdr>
    </w:div>
    <w:div w:id="15347287">
      <w:bodyDiv w:val="1"/>
      <w:marLeft w:val="0"/>
      <w:marRight w:val="0"/>
      <w:marTop w:val="0"/>
      <w:marBottom w:val="0"/>
      <w:divBdr>
        <w:top w:val="none" w:sz="0" w:space="0" w:color="auto"/>
        <w:left w:val="none" w:sz="0" w:space="0" w:color="auto"/>
        <w:bottom w:val="none" w:sz="0" w:space="0" w:color="auto"/>
        <w:right w:val="none" w:sz="0" w:space="0" w:color="auto"/>
      </w:divBdr>
    </w:div>
    <w:div w:id="15348176">
      <w:bodyDiv w:val="1"/>
      <w:marLeft w:val="0"/>
      <w:marRight w:val="0"/>
      <w:marTop w:val="0"/>
      <w:marBottom w:val="0"/>
      <w:divBdr>
        <w:top w:val="none" w:sz="0" w:space="0" w:color="auto"/>
        <w:left w:val="none" w:sz="0" w:space="0" w:color="auto"/>
        <w:bottom w:val="none" w:sz="0" w:space="0" w:color="auto"/>
        <w:right w:val="none" w:sz="0" w:space="0" w:color="auto"/>
      </w:divBdr>
    </w:div>
    <w:div w:id="15352758">
      <w:bodyDiv w:val="1"/>
      <w:marLeft w:val="0"/>
      <w:marRight w:val="0"/>
      <w:marTop w:val="0"/>
      <w:marBottom w:val="0"/>
      <w:divBdr>
        <w:top w:val="none" w:sz="0" w:space="0" w:color="auto"/>
        <w:left w:val="none" w:sz="0" w:space="0" w:color="auto"/>
        <w:bottom w:val="none" w:sz="0" w:space="0" w:color="auto"/>
        <w:right w:val="none" w:sz="0" w:space="0" w:color="auto"/>
      </w:divBdr>
    </w:div>
    <w:div w:id="15470059">
      <w:bodyDiv w:val="1"/>
      <w:marLeft w:val="0"/>
      <w:marRight w:val="0"/>
      <w:marTop w:val="0"/>
      <w:marBottom w:val="0"/>
      <w:divBdr>
        <w:top w:val="none" w:sz="0" w:space="0" w:color="auto"/>
        <w:left w:val="none" w:sz="0" w:space="0" w:color="auto"/>
        <w:bottom w:val="none" w:sz="0" w:space="0" w:color="auto"/>
        <w:right w:val="none" w:sz="0" w:space="0" w:color="auto"/>
      </w:divBdr>
    </w:div>
    <w:div w:id="15473339">
      <w:bodyDiv w:val="1"/>
      <w:marLeft w:val="0"/>
      <w:marRight w:val="0"/>
      <w:marTop w:val="0"/>
      <w:marBottom w:val="0"/>
      <w:divBdr>
        <w:top w:val="none" w:sz="0" w:space="0" w:color="auto"/>
        <w:left w:val="none" w:sz="0" w:space="0" w:color="auto"/>
        <w:bottom w:val="none" w:sz="0" w:space="0" w:color="auto"/>
        <w:right w:val="none" w:sz="0" w:space="0" w:color="auto"/>
      </w:divBdr>
    </w:div>
    <w:div w:id="15545551">
      <w:bodyDiv w:val="1"/>
      <w:marLeft w:val="0"/>
      <w:marRight w:val="0"/>
      <w:marTop w:val="0"/>
      <w:marBottom w:val="0"/>
      <w:divBdr>
        <w:top w:val="none" w:sz="0" w:space="0" w:color="auto"/>
        <w:left w:val="none" w:sz="0" w:space="0" w:color="auto"/>
        <w:bottom w:val="none" w:sz="0" w:space="0" w:color="auto"/>
        <w:right w:val="none" w:sz="0" w:space="0" w:color="auto"/>
      </w:divBdr>
    </w:div>
    <w:div w:id="15735487">
      <w:bodyDiv w:val="1"/>
      <w:marLeft w:val="0"/>
      <w:marRight w:val="0"/>
      <w:marTop w:val="0"/>
      <w:marBottom w:val="0"/>
      <w:divBdr>
        <w:top w:val="none" w:sz="0" w:space="0" w:color="auto"/>
        <w:left w:val="none" w:sz="0" w:space="0" w:color="auto"/>
        <w:bottom w:val="none" w:sz="0" w:space="0" w:color="auto"/>
        <w:right w:val="none" w:sz="0" w:space="0" w:color="auto"/>
      </w:divBdr>
    </w:div>
    <w:div w:id="15741369">
      <w:bodyDiv w:val="1"/>
      <w:marLeft w:val="0"/>
      <w:marRight w:val="0"/>
      <w:marTop w:val="0"/>
      <w:marBottom w:val="0"/>
      <w:divBdr>
        <w:top w:val="none" w:sz="0" w:space="0" w:color="auto"/>
        <w:left w:val="none" w:sz="0" w:space="0" w:color="auto"/>
        <w:bottom w:val="none" w:sz="0" w:space="0" w:color="auto"/>
        <w:right w:val="none" w:sz="0" w:space="0" w:color="auto"/>
      </w:divBdr>
    </w:div>
    <w:div w:id="15811107">
      <w:bodyDiv w:val="1"/>
      <w:marLeft w:val="0"/>
      <w:marRight w:val="0"/>
      <w:marTop w:val="0"/>
      <w:marBottom w:val="0"/>
      <w:divBdr>
        <w:top w:val="none" w:sz="0" w:space="0" w:color="auto"/>
        <w:left w:val="none" w:sz="0" w:space="0" w:color="auto"/>
        <w:bottom w:val="none" w:sz="0" w:space="0" w:color="auto"/>
        <w:right w:val="none" w:sz="0" w:space="0" w:color="auto"/>
      </w:divBdr>
    </w:div>
    <w:div w:id="15814865">
      <w:bodyDiv w:val="1"/>
      <w:marLeft w:val="0"/>
      <w:marRight w:val="0"/>
      <w:marTop w:val="0"/>
      <w:marBottom w:val="0"/>
      <w:divBdr>
        <w:top w:val="none" w:sz="0" w:space="0" w:color="auto"/>
        <w:left w:val="none" w:sz="0" w:space="0" w:color="auto"/>
        <w:bottom w:val="none" w:sz="0" w:space="0" w:color="auto"/>
        <w:right w:val="none" w:sz="0" w:space="0" w:color="auto"/>
      </w:divBdr>
    </w:div>
    <w:div w:id="15815626">
      <w:bodyDiv w:val="1"/>
      <w:marLeft w:val="0"/>
      <w:marRight w:val="0"/>
      <w:marTop w:val="0"/>
      <w:marBottom w:val="0"/>
      <w:divBdr>
        <w:top w:val="none" w:sz="0" w:space="0" w:color="auto"/>
        <w:left w:val="none" w:sz="0" w:space="0" w:color="auto"/>
        <w:bottom w:val="none" w:sz="0" w:space="0" w:color="auto"/>
        <w:right w:val="none" w:sz="0" w:space="0" w:color="auto"/>
      </w:divBdr>
    </w:div>
    <w:div w:id="15928773">
      <w:bodyDiv w:val="1"/>
      <w:marLeft w:val="0"/>
      <w:marRight w:val="0"/>
      <w:marTop w:val="0"/>
      <w:marBottom w:val="0"/>
      <w:divBdr>
        <w:top w:val="none" w:sz="0" w:space="0" w:color="auto"/>
        <w:left w:val="none" w:sz="0" w:space="0" w:color="auto"/>
        <w:bottom w:val="none" w:sz="0" w:space="0" w:color="auto"/>
        <w:right w:val="none" w:sz="0" w:space="0" w:color="auto"/>
      </w:divBdr>
    </w:div>
    <w:div w:id="15932086">
      <w:bodyDiv w:val="1"/>
      <w:marLeft w:val="0"/>
      <w:marRight w:val="0"/>
      <w:marTop w:val="0"/>
      <w:marBottom w:val="0"/>
      <w:divBdr>
        <w:top w:val="none" w:sz="0" w:space="0" w:color="auto"/>
        <w:left w:val="none" w:sz="0" w:space="0" w:color="auto"/>
        <w:bottom w:val="none" w:sz="0" w:space="0" w:color="auto"/>
        <w:right w:val="none" w:sz="0" w:space="0" w:color="auto"/>
      </w:divBdr>
    </w:div>
    <w:div w:id="15933590">
      <w:bodyDiv w:val="1"/>
      <w:marLeft w:val="0"/>
      <w:marRight w:val="0"/>
      <w:marTop w:val="0"/>
      <w:marBottom w:val="0"/>
      <w:divBdr>
        <w:top w:val="none" w:sz="0" w:space="0" w:color="auto"/>
        <w:left w:val="none" w:sz="0" w:space="0" w:color="auto"/>
        <w:bottom w:val="none" w:sz="0" w:space="0" w:color="auto"/>
        <w:right w:val="none" w:sz="0" w:space="0" w:color="auto"/>
      </w:divBdr>
    </w:div>
    <w:div w:id="16008682">
      <w:bodyDiv w:val="1"/>
      <w:marLeft w:val="0"/>
      <w:marRight w:val="0"/>
      <w:marTop w:val="0"/>
      <w:marBottom w:val="0"/>
      <w:divBdr>
        <w:top w:val="none" w:sz="0" w:space="0" w:color="auto"/>
        <w:left w:val="none" w:sz="0" w:space="0" w:color="auto"/>
        <w:bottom w:val="none" w:sz="0" w:space="0" w:color="auto"/>
        <w:right w:val="none" w:sz="0" w:space="0" w:color="auto"/>
      </w:divBdr>
    </w:div>
    <w:div w:id="16127086">
      <w:bodyDiv w:val="1"/>
      <w:marLeft w:val="0"/>
      <w:marRight w:val="0"/>
      <w:marTop w:val="0"/>
      <w:marBottom w:val="0"/>
      <w:divBdr>
        <w:top w:val="none" w:sz="0" w:space="0" w:color="auto"/>
        <w:left w:val="none" w:sz="0" w:space="0" w:color="auto"/>
        <w:bottom w:val="none" w:sz="0" w:space="0" w:color="auto"/>
        <w:right w:val="none" w:sz="0" w:space="0" w:color="auto"/>
      </w:divBdr>
    </w:div>
    <w:div w:id="16127797">
      <w:bodyDiv w:val="1"/>
      <w:marLeft w:val="0"/>
      <w:marRight w:val="0"/>
      <w:marTop w:val="0"/>
      <w:marBottom w:val="0"/>
      <w:divBdr>
        <w:top w:val="none" w:sz="0" w:space="0" w:color="auto"/>
        <w:left w:val="none" w:sz="0" w:space="0" w:color="auto"/>
        <w:bottom w:val="none" w:sz="0" w:space="0" w:color="auto"/>
        <w:right w:val="none" w:sz="0" w:space="0" w:color="auto"/>
      </w:divBdr>
    </w:div>
    <w:div w:id="16271219">
      <w:bodyDiv w:val="1"/>
      <w:marLeft w:val="0"/>
      <w:marRight w:val="0"/>
      <w:marTop w:val="0"/>
      <w:marBottom w:val="0"/>
      <w:divBdr>
        <w:top w:val="none" w:sz="0" w:space="0" w:color="auto"/>
        <w:left w:val="none" w:sz="0" w:space="0" w:color="auto"/>
        <w:bottom w:val="none" w:sz="0" w:space="0" w:color="auto"/>
        <w:right w:val="none" w:sz="0" w:space="0" w:color="auto"/>
      </w:divBdr>
    </w:div>
    <w:div w:id="16347023">
      <w:bodyDiv w:val="1"/>
      <w:marLeft w:val="0"/>
      <w:marRight w:val="0"/>
      <w:marTop w:val="0"/>
      <w:marBottom w:val="0"/>
      <w:divBdr>
        <w:top w:val="none" w:sz="0" w:space="0" w:color="auto"/>
        <w:left w:val="none" w:sz="0" w:space="0" w:color="auto"/>
        <w:bottom w:val="none" w:sz="0" w:space="0" w:color="auto"/>
        <w:right w:val="none" w:sz="0" w:space="0" w:color="auto"/>
      </w:divBdr>
    </w:div>
    <w:div w:id="16392863">
      <w:bodyDiv w:val="1"/>
      <w:marLeft w:val="0"/>
      <w:marRight w:val="0"/>
      <w:marTop w:val="0"/>
      <w:marBottom w:val="0"/>
      <w:divBdr>
        <w:top w:val="none" w:sz="0" w:space="0" w:color="auto"/>
        <w:left w:val="none" w:sz="0" w:space="0" w:color="auto"/>
        <w:bottom w:val="none" w:sz="0" w:space="0" w:color="auto"/>
        <w:right w:val="none" w:sz="0" w:space="0" w:color="auto"/>
      </w:divBdr>
    </w:div>
    <w:div w:id="16466404">
      <w:bodyDiv w:val="1"/>
      <w:marLeft w:val="0"/>
      <w:marRight w:val="0"/>
      <w:marTop w:val="0"/>
      <w:marBottom w:val="0"/>
      <w:divBdr>
        <w:top w:val="none" w:sz="0" w:space="0" w:color="auto"/>
        <w:left w:val="none" w:sz="0" w:space="0" w:color="auto"/>
        <w:bottom w:val="none" w:sz="0" w:space="0" w:color="auto"/>
        <w:right w:val="none" w:sz="0" w:space="0" w:color="auto"/>
      </w:divBdr>
    </w:div>
    <w:div w:id="16515902">
      <w:bodyDiv w:val="1"/>
      <w:marLeft w:val="0"/>
      <w:marRight w:val="0"/>
      <w:marTop w:val="0"/>
      <w:marBottom w:val="0"/>
      <w:divBdr>
        <w:top w:val="none" w:sz="0" w:space="0" w:color="auto"/>
        <w:left w:val="none" w:sz="0" w:space="0" w:color="auto"/>
        <w:bottom w:val="none" w:sz="0" w:space="0" w:color="auto"/>
        <w:right w:val="none" w:sz="0" w:space="0" w:color="auto"/>
      </w:divBdr>
    </w:div>
    <w:div w:id="16539521">
      <w:bodyDiv w:val="1"/>
      <w:marLeft w:val="0"/>
      <w:marRight w:val="0"/>
      <w:marTop w:val="0"/>
      <w:marBottom w:val="0"/>
      <w:divBdr>
        <w:top w:val="none" w:sz="0" w:space="0" w:color="auto"/>
        <w:left w:val="none" w:sz="0" w:space="0" w:color="auto"/>
        <w:bottom w:val="none" w:sz="0" w:space="0" w:color="auto"/>
        <w:right w:val="none" w:sz="0" w:space="0" w:color="auto"/>
      </w:divBdr>
    </w:div>
    <w:div w:id="16587310">
      <w:bodyDiv w:val="1"/>
      <w:marLeft w:val="0"/>
      <w:marRight w:val="0"/>
      <w:marTop w:val="0"/>
      <w:marBottom w:val="0"/>
      <w:divBdr>
        <w:top w:val="none" w:sz="0" w:space="0" w:color="auto"/>
        <w:left w:val="none" w:sz="0" w:space="0" w:color="auto"/>
        <w:bottom w:val="none" w:sz="0" w:space="0" w:color="auto"/>
        <w:right w:val="none" w:sz="0" w:space="0" w:color="auto"/>
      </w:divBdr>
    </w:div>
    <w:div w:id="16856295">
      <w:bodyDiv w:val="1"/>
      <w:marLeft w:val="0"/>
      <w:marRight w:val="0"/>
      <w:marTop w:val="0"/>
      <w:marBottom w:val="0"/>
      <w:divBdr>
        <w:top w:val="none" w:sz="0" w:space="0" w:color="auto"/>
        <w:left w:val="none" w:sz="0" w:space="0" w:color="auto"/>
        <w:bottom w:val="none" w:sz="0" w:space="0" w:color="auto"/>
        <w:right w:val="none" w:sz="0" w:space="0" w:color="auto"/>
      </w:divBdr>
    </w:div>
    <w:div w:id="16932775">
      <w:bodyDiv w:val="1"/>
      <w:marLeft w:val="0"/>
      <w:marRight w:val="0"/>
      <w:marTop w:val="0"/>
      <w:marBottom w:val="0"/>
      <w:divBdr>
        <w:top w:val="none" w:sz="0" w:space="0" w:color="auto"/>
        <w:left w:val="none" w:sz="0" w:space="0" w:color="auto"/>
        <w:bottom w:val="none" w:sz="0" w:space="0" w:color="auto"/>
        <w:right w:val="none" w:sz="0" w:space="0" w:color="auto"/>
      </w:divBdr>
    </w:div>
    <w:div w:id="17196069">
      <w:bodyDiv w:val="1"/>
      <w:marLeft w:val="0"/>
      <w:marRight w:val="0"/>
      <w:marTop w:val="0"/>
      <w:marBottom w:val="0"/>
      <w:divBdr>
        <w:top w:val="none" w:sz="0" w:space="0" w:color="auto"/>
        <w:left w:val="none" w:sz="0" w:space="0" w:color="auto"/>
        <w:bottom w:val="none" w:sz="0" w:space="0" w:color="auto"/>
        <w:right w:val="none" w:sz="0" w:space="0" w:color="auto"/>
      </w:divBdr>
    </w:div>
    <w:div w:id="17392837">
      <w:bodyDiv w:val="1"/>
      <w:marLeft w:val="0"/>
      <w:marRight w:val="0"/>
      <w:marTop w:val="0"/>
      <w:marBottom w:val="0"/>
      <w:divBdr>
        <w:top w:val="none" w:sz="0" w:space="0" w:color="auto"/>
        <w:left w:val="none" w:sz="0" w:space="0" w:color="auto"/>
        <w:bottom w:val="none" w:sz="0" w:space="0" w:color="auto"/>
        <w:right w:val="none" w:sz="0" w:space="0" w:color="auto"/>
      </w:divBdr>
    </w:div>
    <w:div w:id="17395943">
      <w:bodyDiv w:val="1"/>
      <w:marLeft w:val="0"/>
      <w:marRight w:val="0"/>
      <w:marTop w:val="0"/>
      <w:marBottom w:val="0"/>
      <w:divBdr>
        <w:top w:val="none" w:sz="0" w:space="0" w:color="auto"/>
        <w:left w:val="none" w:sz="0" w:space="0" w:color="auto"/>
        <w:bottom w:val="none" w:sz="0" w:space="0" w:color="auto"/>
        <w:right w:val="none" w:sz="0" w:space="0" w:color="auto"/>
      </w:divBdr>
    </w:div>
    <w:div w:id="17589661">
      <w:bodyDiv w:val="1"/>
      <w:marLeft w:val="0"/>
      <w:marRight w:val="0"/>
      <w:marTop w:val="0"/>
      <w:marBottom w:val="0"/>
      <w:divBdr>
        <w:top w:val="none" w:sz="0" w:space="0" w:color="auto"/>
        <w:left w:val="none" w:sz="0" w:space="0" w:color="auto"/>
        <w:bottom w:val="none" w:sz="0" w:space="0" w:color="auto"/>
        <w:right w:val="none" w:sz="0" w:space="0" w:color="auto"/>
      </w:divBdr>
    </w:div>
    <w:div w:id="17659440">
      <w:bodyDiv w:val="1"/>
      <w:marLeft w:val="0"/>
      <w:marRight w:val="0"/>
      <w:marTop w:val="0"/>
      <w:marBottom w:val="0"/>
      <w:divBdr>
        <w:top w:val="none" w:sz="0" w:space="0" w:color="auto"/>
        <w:left w:val="none" w:sz="0" w:space="0" w:color="auto"/>
        <w:bottom w:val="none" w:sz="0" w:space="0" w:color="auto"/>
        <w:right w:val="none" w:sz="0" w:space="0" w:color="auto"/>
      </w:divBdr>
    </w:div>
    <w:div w:id="17706626">
      <w:bodyDiv w:val="1"/>
      <w:marLeft w:val="0"/>
      <w:marRight w:val="0"/>
      <w:marTop w:val="0"/>
      <w:marBottom w:val="0"/>
      <w:divBdr>
        <w:top w:val="none" w:sz="0" w:space="0" w:color="auto"/>
        <w:left w:val="none" w:sz="0" w:space="0" w:color="auto"/>
        <w:bottom w:val="none" w:sz="0" w:space="0" w:color="auto"/>
        <w:right w:val="none" w:sz="0" w:space="0" w:color="auto"/>
      </w:divBdr>
    </w:div>
    <w:div w:id="17852385">
      <w:bodyDiv w:val="1"/>
      <w:marLeft w:val="0"/>
      <w:marRight w:val="0"/>
      <w:marTop w:val="0"/>
      <w:marBottom w:val="0"/>
      <w:divBdr>
        <w:top w:val="none" w:sz="0" w:space="0" w:color="auto"/>
        <w:left w:val="none" w:sz="0" w:space="0" w:color="auto"/>
        <w:bottom w:val="none" w:sz="0" w:space="0" w:color="auto"/>
        <w:right w:val="none" w:sz="0" w:space="0" w:color="auto"/>
      </w:divBdr>
    </w:div>
    <w:div w:id="17854050">
      <w:bodyDiv w:val="1"/>
      <w:marLeft w:val="0"/>
      <w:marRight w:val="0"/>
      <w:marTop w:val="0"/>
      <w:marBottom w:val="0"/>
      <w:divBdr>
        <w:top w:val="none" w:sz="0" w:space="0" w:color="auto"/>
        <w:left w:val="none" w:sz="0" w:space="0" w:color="auto"/>
        <w:bottom w:val="none" w:sz="0" w:space="0" w:color="auto"/>
        <w:right w:val="none" w:sz="0" w:space="0" w:color="auto"/>
      </w:divBdr>
    </w:div>
    <w:div w:id="17900865">
      <w:bodyDiv w:val="1"/>
      <w:marLeft w:val="0"/>
      <w:marRight w:val="0"/>
      <w:marTop w:val="0"/>
      <w:marBottom w:val="0"/>
      <w:divBdr>
        <w:top w:val="none" w:sz="0" w:space="0" w:color="auto"/>
        <w:left w:val="none" w:sz="0" w:space="0" w:color="auto"/>
        <w:bottom w:val="none" w:sz="0" w:space="0" w:color="auto"/>
        <w:right w:val="none" w:sz="0" w:space="0" w:color="auto"/>
      </w:divBdr>
    </w:div>
    <w:div w:id="18161922">
      <w:bodyDiv w:val="1"/>
      <w:marLeft w:val="0"/>
      <w:marRight w:val="0"/>
      <w:marTop w:val="0"/>
      <w:marBottom w:val="0"/>
      <w:divBdr>
        <w:top w:val="none" w:sz="0" w:space="0" w:color="auto"/>
        <w:left w:val="none" w:sz="0" w:space="0" w:color="auto"/>
        <w:bottom w:val="none" w:sz="0" w:space="0" w:color="auto"/>
        <w:right w:val="none" w:sz="0" w:space="0" w:color="auto"/>
      </w:divBdr>
    </w:div>
    <w:div w:id="18166281">
      <w:bodyDiv w:val="1"/>
      <w:marLeft w:val="0"/>
      <w:marRight w:val="0"/>
      <w:marTop w:val="0"/>
      <w:marBottom w:val="0"/>
      <w:divBdr>
        <w:top w:val="none" w:sz="0" w:space="0" w:color="auto"/>
        <w:left w:val="none" w:sz="0" w:space="0" w:color="auto"/>
        <w:bottom w:val="none" w:sz="0" w:space="0" w:color="auto"/>
        <w:right w:val="none" w:sz="0" w:space="0" w:color="auto"/>
      </w:divBdr>
    </w:div>
    <w:div w:id="18168669">
      <w:bodyDiv w:val="1"/>
      <w:marLeft w:val="0"/>
      <w:marRight w:val="0"/>
      <w:marTop w:val="0"/>
      <w:marBottom w:val="0"/>
      <w:divBdr>
        <w:top w:val="none" w:sz="0" w:space="0" w:color="auto"/>
        <w:left w:val="none" w:sz="0" w:space="0" w:color="auto"/>
        <w:bottom w:val="none" w:sz="0" w:space="0" w:color="auto"/>
        <w:right w:val="none" w:sz="0" w:space="0" w:color="auto"/>
      </w:divBdr>
    </w:div>
    <w:div w:id="18315271">
      <w:bodyDiv w:val="1"/>
      <w:marLeft w:val="0"/>
      <w:marRight w:val="0"/>
      <w:marTop w:val="0"/>
      <w:marBottom w:val="0"/>
      <w:divBdr>
        <w:top w:val="none" w:sz="0" w:space="0" w:color="auto"/>
        <w:left w:val="none" w:sz="0" w:space="0" w:color="auto"/>
        <w:bottom w:val="none" w:sz="0" w:space="0" w:color="auto"/>
        <w:right w:val="none" w:sz="0" w:space="0" w:color="auto"/>
      </w:divBdr>
    </w:div>
    <w:div w:id="18430403">
      <w:bodyDiv w:val="1"/>
      <w:marLeft w:val="0"/>
      <w:marRight w:val="0"/>
      <w:marTop w:val="0"/>
      <w:marBottom w:val="0"/>
      <w:divBdr>
        <w:top w:val="none" w:sz="0" w:space="0" w:color="auto"/>
        <w:left w:val="none" w:sz="0" w:space="0" w:color="auto"/>
        <w:bottom w:val="none" w:sz="0" w:space="0" w:color="auto"/>
        <w:right w:val="none" w:sz="0" w:space="0" w:color="auto"/>
      </w:divBdr>
    </w:div>
    <w:div w:id="18437289">
      <w:bodyDiv w:val="1"/>
      <w:marLeft w:val="0"/>
      <w:marRight w:val="0"/>
      <w:marTop w:val="0"/>
      <w:marBottom w:val="0"/>
      <w:divBdr>
        <w:top w:val="none" w:sz="0" w:space="0" w:color="auto"/>
        <w:left w:val="none" w:sz="0" w:space="0" w:color="auto"/>
        <w:bottom w:val="none" w:sz="0" w:space="0" w:color="auto"/>
        <w:right w:val="none" w:sz="0" w:space="0" w:color="auto"/>
      </w:divBdr>
    </w:div>
    <w:div w:id="18699024">
      <w:bodyDiv w:val="1"/>
      <w:marLeft w:val="0"/>
      <w:marRight w:val="0"/>
      <w:marTop w:val="0"/>
      <w:marBottom w:val="0"/>
      <w:divBdr>
        <w:top w:val="none" w:sz="0" w:space="0" w:color="auto"/>
        <w:left w:val="none" w:sz="0" w:space="0" w:color="auto"/>
        <w:bottom w:val="none" w:sz="0" w:space="0" w:color="auto"/>
        <w:right w:val="none" w:sz="0" w:space="0" w:color="auto"/>
      </w:divBdr>
    </w:div>
    <w:div w:id="18817129">
      <w:bodyDiv w:val="1"/>
      <w:marLeft w:val="0"/>
      <w:marRight w:val="0"/>
      <w:marTop w:val="0"/>
      <w:marBottom w:val="0"/>
      <w:divBdr>
        <w:top w:val="none" w:sz="0" w:space="0" w:color="auto"/>
        <w:left w:val="none" w:sz="0" w:space="0" w:color="auto"/>
        <w:bottom w:val="none" w:sz="0" w:space="0" w:color="auto"/>
        <w:right w:val="none" w:sz="0" w:space="0" w:color="auto"/>
      </w:divBdr>
    </w:div>
    <w:div w:id="18818221">
      <w:bodyDiv w:val="1"/>
      <w:marLeft w:val="0"/>
      <w:marRight w:val="0"/>
      <w:marTop w:val="0"/>
      <w:marBottom w:val="0"/>
      <w:divBdr>
        <w:top w:val="none" w:sz="0" w:space="0" w:color="auto"/>
        <w:left w:val="none" w:sz="0" w:space="0" w:color="auto"/>
        <w:bottom w:val="none" w:sz="0" w:space="0" w:color="auto"/>
        <w:right w:val="none" w:sz="0" w:space="0" w:color="auto"/>
      </w:divBdr>
    </w:div>
    <w:div w:id="18821402">
      <w:bodyDiv w:val="1"/>
      <w:marLeft w:val="0"/>
      <w:marRight w:val="0"/>
      <w:marTop w:val="0"/>
      <w:marBottom w:val="0"/>
      <w:divBdr>
        <w:top w:val="none" w:sz="0" w:space="0" w:color="auto"/>
        <w:left w:val="none" w:sz="0" w:space="0" w:color="auto"/>
        <w:bottom w:val="none" w:sz="0" w:space="0" w:color="auto"/>
        <w:right w:val="none" w:sz="0" w:space="0" w:color="auto"/>
      </w:divBdr>
    </w:div>
    <w:div w:id="18822149">
      <w:bodyDiv w:val="1"/>
      <w:marLeft w:val="0"/>
      <w:marRight w:val="0"/>
      <w:marTop w:val="0"/>
      <w:marBottom w:val="0"/>
      <w:divBdr>
        <w:top w:val="none" w:sz="0" w:space="0" w:color="auto"/>
        <w:left w:val="none" w:sz="0" w:space="0" w:color="auto"/>
        <w:bottom w:val="none" w:sz="0" w:space="0" w:color="auto"/>
        <w:right w:val="none" w:sz="0" w:space="0" w:color="auto"/>
      </w:divBdr>
    </w:div>
    <w:div w:id="18897631">
      <w:bodyDiv w:val="1"/>
      <w:marLeft w:val="0"/>
      <w:marRight w:val="0"/>
      <w:marTop w:val="0"/>
      <w:marBottom w:val="0"/>
      <w:divBdr>
        <w:top w:val="none" w:sz="0" w:space="0" w:color="auto"/>
        <w:left w:val="none" w:sz="0" w:space="0" w:color="auto"/>
        <w:bottom w:val="none" w:sz="0" w:space="0" w:color="auto"/>
        <w:right w:val="none" w:sz="0" w:space="0" w:color="auto"/>
      </w:divBdr>
    </w:div>
    <w:div w:id="19011936">
      <w:bodyDiv w:val="1"/>
      <w:marLeft w:val="0"/>
      <w:marRight w:val="0"/>
      <w:marTop w:val="0"/>
      <w:marBottom w:val="0"/>
      <w:divBdr>
        <w:top w:val="none" w:sz="0" w:space="0" w:color="auto"/>
        <w:left w:val="none" w:sz="0" w:space="0" w:color="auto"/>
        <w:bottom w:val="none" w:sz="0" w:space="0" w:color="auto"/>
        <w:right w:val="none" w:sz="0" w:space="0" w:color="auto"/>
      </w:divBdr>
    </w:div>
    <w:div w:id="19018950">
      <w:bodyDiv w:val="1"/>
      <w:marLeft w:val="0"/>
      <w:marRight w:val="0"/>
      <w:marTop w:val="0"/>
      <w:marBottom w:val="0"/>
      <w:divBdr>
        <w:top w:val="none" w:sz="0" w:space="0" w:color="auto"/>
        <w:left w:val="none" w:sz="0" w:space="0" w:color="auto"/>
        <w:bottom w:val="none" w:sz="0" w:space="0" w:color="auto"/>
        <w:right w:val="none" w:sz="0" w:space="0" w:color="auto"/>
      </w:divBdr>
    </w:div>
    <w:div w:id="19280877">
      <w:bodyDiv w:val="1"/>
      <w:marLeft w:val="0"/>
      <w:marRight w:val="0"/>
      <w:marTop w:val="0"/>
      <w:marBottom w:val="0"/>
      <w:divBdr>
        <w:top w:val="none" w:sz="0" w:space="0" w:color="auto"/>
        <w:left w:val="none" w:sz="0" w:space="0" w:color="auto"/>
        <w:bottom w:val="none" w:sz="0" w:space="0" w:color="auto"/>
        <w:right w:val="none" w:sz="0" w:space="0" w:color="auto"/>
      </w:divBdr>
    </w:div>
    <w:div w:id="19361424">
      <w:bodyDiv w:val="1"/>
      <w:marLeft w:val="0"/>
      <w:marRight w:val="0"/>
      <w:marTop w:val="0"/>
      <w:marBottom w:val="0"/>
      <w:divBdr>
        <w:top w:val="none" w:sz="0" w:space="0" w:color="auto"/>
        <w:left w:val="none" w:sz="0" w:space="0" w:color="auto"/>
        <w:bottom w:val="none" w:sz="0" w:space="0" w:color="auto"/>
        <w:right w:val="none" w:sz="0" w:space="0" w:color="auto"/>
      </w:divBdr>
    </w:div>
    <w:div w:id="19361528">
      <w:bodyDiv w:val="1"/>
      <w:marLeft w:val="0"/>
      <w:marRight w:val="0"/>
      <w:marTop w:val="0"/>
      <w:marBottom w:val="0"/>
      <w:divBdr>
        <w:top w:val="none" w:sz="0" w:space="0" w:color="auto"/>
        <w:left w:val="none" w:sz="0" w:space="0" w:color="auto"/>
        <w:bottom w:val="none" w:sz="0" w:space="0" w:color="auto"/>
        <w:right w:val="none" w:sz="0" w:space="0" w:color="auto"/>
      </w:divBdr>
    </w:div>
    <w:div w:id="19399335">
      <w:bodyDiv w:val="1"/>
      <w:marLeft w:val="0"/>
      <w:marRight w:val="0"/>
      <w:marTop w:val="0"/>
      <w:marBottom w:val="0"/>
      <w:divBdr>
        <w:top w:val="none" w:sz="0" w:space="0" w:color="auto"/>
        <w:left w:val="none" w:sz="0" w:space="0" w:color="auto"/>
        <w:bottom w:val="none" w:sz="0" w:space="0" w:color="auto"/>
        <w:right w:val="none" w:sz="0" w:space="0" w:color="auto"/>
      </w:divBdr>
    </w:div>
    <w:div w:id="19401901">
      <w:bodyDiv w:val="1"/>
      <w:marLeft w:val="0"/>
      <w:marRight w:val="0"/>
      <w:marTop w:val="0"/>
      <w:marBottom w:val="0"/>
      <w:divBdr>
        <w:top w:val="none" w:sz="0" w:space="0" w:color="auto"/>
        <w:left w:val="none" w:sz="0" w:space="0" w:color="auto"/>
        <w:bottom w:val="none" w:sz="0" w:space="0" w:color="auto"/>
        <w:right w:val="none" w:sz="0" w:space="0" w:color="auto"/>
      </w:divBdr>
    </w:div>
    <w:div w:id="19547456">
      <w:bodyDiv w:val="1"/>
      <w:marLeft w:val="0"/>
      <w:marRight w:val="0"/>
      <w:marTop w:val="0"/>
      <w:marBottom w:val="0"/>
      <w:divBdr>
        <w:top w:val="none" w:sz="0" w:space="0" w:color="auto"/>
        <w:left w:val="none" w:sz="0" w:space="0" w:color="auto"/>
        <w:bottom w:val="none" w:sz="0" w:space="0" w:color="auto"/>
        <w:right w:val="none" w:sz="0" w:space="0" w:color="auto"/>
      </w:divBdr>
    </w:div>
    <w:div w:id="19549560">
      <w:bodyDiv w:val="1"/>
      <w:marLeft w:val="0"/>
      <w:marRight w:val="0"/>
      <w:marTop w:val="0"/>
      <w:marBottom w:val="0"/>
      <w:divBdr>
        <w:top w:val="none" w:sz="0" w:space="0" w:color="auto"/>
        <w:left w:val="none" w:sz="0" w:space="0" w:color="auto"/>
        <w:bottom w:val="none" w:sz="0" w:space="0" w:color="auto"/>
        <w:right w:val="none" w:sz="0" w:space="0" w:color="auto"/>
      </w:divBdr>
    </w:div>
    <w:div w:id="19624276">
      <w:bodyDiv w:val="1"/>
      <w:marLeft w:val="0"/>
      <w:marRight w:val="0"/>
      <w:marTop w:val="0"/>
      <w:marBottom w:val="0"/>
      <w:divBdr>
        <w:top w:val="none" w:sz="0" w:space="0" w:color="auto"/>
        <w:left w:val="none" w:sz="0" w:space="0" w:color="auto"/>
        <w:bottom w:val="none" w:sz="0" w:space="0" w:color="auto"/>
        <w:right w:val="none" w:sz="0" w:space="0" w:color="auto"/>
      </w:divBdr>
    </w:div>
    <w:div w:id="19665446">
      <w:bodyDiv w:val="1"/>
      <w:marLeft w:val="0"/>
      <w:marRight w:val="0"/>
      <w:marTop w:val="0"/>
      <w:marBottom w:val="0"/>
      <w:divBdr>
        <w:top w:val="none" w:sz="0" w:space="0" w:color="auto"/>
        <w:left w:val="none" w:sz="0" w:space="0" w:color="auto"/>
        <w:bottom w:val="none" w:sz="0" w:space="0" w:color="auto"/>
        <w:right w:val="none" w:sz="0" w:space="0" w:color="auto"/>
      </w:divBdr>
    </w:div>
    <w:div w:id="19674718">
      <w:bodyDiv w:val="1"/>
      <w:marLeft w:val="0"/>
      <w:marRight w:val="0"/>
      <w:marTop w:val="0"/>
      <w:marBottom w:val="0"/>
      <w:divBdr>
        <w:top w:val="none" w:sz="0" w:space="0" w:color="auto"/>
        <w:left w:val="none" w:sz="0" w:space="0" w:color="auto"/>
        <w:bottom w:val="none" w:sz="0" w:space="0" w:color="auto"/>
        <w:right w:val="none" w:sz="0" w:space="0" w:color="auto"/>
      </w:divBdr>
    </w:div>
    <w:div w:id="19745054">
      <w:bodyDiv w:val="1"/>
      <w:marLeft w:val="0"/>
      <w:marRight w:val="0"/>
      <w:marTop w:val="0"/>
      <w:marBottom w:val="0"/>
      <w:divBdr>
        <w:top w:val="none" w:sz="0" w:space="0" w:color="auto"/>
        <w:left w:val="none" w:sz="0" w:space="0" w:color="auto"/>
        <w:bottom w:val="none" w:sz="0" w:space="0" w:color="auto"/>
        <w:right w:val="none" w:sz="0" w:space="0" w:color="auto"/>
      </w:divBdr>
    </w:div>
    <w:div w:id="19746458">
      <w:bodyDiv w:val="1"/>
      <w:marLeft w:val="0"/>
      <w:marRight w:val="0"/>
      <w:marTop w:val="0"/>
      <w:marBottom w:val="0"/>
      <w:divBdr>
        <w:top w:val="none" w:sz="0" w:space="0" w:color="auto"/>
        <w:left w:val="none" w:sz="0" w:space="0" w:color="auto"/>
        <w:bottom w:val="none" w:sz="0" w:space="0" w:color="auto"/>
        <w:right w:val="none" w:sz="0" w:space="0" w:color="auto"/>
      </w:divBdr>
    </w:div>
    <w:div w:id="19749668">
      <w:bodyDiv w:val="1"/>
      <w:marLeft w:val="0"/>
      <w:marRight w:val="0"/>
      <w:marTop w:val="0"/>
      <w:marBottom w:val="0"/>
      <w:divBdr>
        <w:top w:val="none" w:sz="0" w:space="0" w:color="auto"/>
        <w:left w:val="none" w:sz="0" w:space="0" w:color="auto"/>
        <w:bottom w:val="none" w:sz="0" w:space="0" w:color="auto"/>
        <w:right w:val="none" w:sz="0" w:space="0" w:color="auto"/>
      </w:divBdr>
    </w:div>
    <w:div w:id="19859358">
      <w:bodyDiv w:val="1"/>
      <w:marLeft w:val="0"/>
      <w:marRight w:val="0"/>
      <w:marTop w:val="0"/>
      <w:marBottom w:val="0"/>
      <w:divBdr>
        <w:top w:val="none" w:sz="0" w:space="0" w:color="auto"/>
        <w:left w:val="none" w:sz="0" w:space="0" w:color="auto"/>
        <w:bottom w:val="none" w:sz="0" w:space="0" w:color="auto"/>
        <w:right w:val="none" w:sz="0" w:space="0" w:color="auto"/>
      </w:divBdr>
    </w:div>
    <w:div w:id="19860592">
      <w:bodyDiv w:val="1"/>
      <w:marLeft w:val="0"/>
      <w:marRight w:val="0"/>
      <w:marTop w:val="0"/>
      <w:marBottom w:val="0"/>
      <w:divBdr>
        <w:top w:val="none" w:sz="0" w:space="0" w:color="auto"/>
        <w:left w:val="none" w:sz="0" w:space="0" w:color="auto"/>
        <w:bottom w:val="none" w:sz="0" w:space="0" w:color="auto"/>
        <w:right w:val="none" w:sz="0" w:space="0" w:color="auto"/>
      </w:divBdr>
    </w:div>
    <w:div w:id="19860923">
      <w:bodyDiv w:val="1"/>
      <w:marLeft w:val="0"/>
      <w:marRight w:val="0"/>
      <w:marTop w:val="0"/>
      <w:marBottom w:val="0"/>
      <w:divBdr>
        <w:top w:val="none" w:sz="0" w:space="0" w:color="auto"/>
        <w:left w:val="none" w:sz="0" w:space="0" w:color="auto"/>
        <w:bottom w:val="none" w:sz="0" w:space="0" w:color="auto"/>
        <w:right w:val="none" w:sz="0" w:space="0" w:color="auto"/>
      </w:divBdr>
    </w:div>
    <w:div w:id="19862762">
      <w:bodyDiv w:val="1"/>
      <w:marLeft w:val="0"/>
      <w:marRight w:val="0"/>
      <w:marTop w:val="0"/>
      <w:marBottom w:val="0"/>
      <w:divBdr>
        <w:top w:val="none" w:sz="0" w:space="0" w:color="auto"/>
        <w:left w:val="none" w:sz="0" w:space="0" w:color="auto"/>
        <w:bottom w:val="none" w:sz="0" w:space="0" w:color="auto"/>
        <w:right w:val="none" w:sz="0" w:space="0" w:color="auto"/>
      </w:divBdr>
    </w:div>
    <w:div w:id="19863877">
      <w:bodyDiv w:val="1"/>
      <w:marLeft w:val="0"/>
      <w:marRight w:val="0"/>
      <w:marTop w:val="0"/>
      <w:marBottom w:val="0"/>
      <w:divBdr>
        <w:top w:val="none" w:sz="0" w:space="0" w:color="auto"/>
        <w:left w:val="none" w:sz="0" w:space="0" w:color="auto"/>
        <w:bottom w:val="none" w:sz="0" w:space="0" w:color="auto"/>
        <w:right w:val="none" w:sz="0" w:space="0" w:color="auto"/>
      </w:divBdr>
    </w:div>
    <w:div w:id="19935845">
      <w:bodyDiv w:val="1"/>
      <w:marLeft w:val="0"/>
      <w:marRight w:val="0"/>
      <w:marTop w:val="0"/>
      <w:marBottom w:val="0"/>
      <w:divBdr>
        <w:top w:val="none" w:sz="0" w:space="0" w:color="auto"/>
        <w:left w:val="none" w:sz="0" w:space="0" w:color="auto"/>
        <w:bottom w:val="none" w:sz="0" w:space="0" w:color="auto"/>
        <w:right w:val="none" w:sz="0" w:space="0" w:color="auto"/>
      </w:divBdr>
    </w:div>
    <w:div w:id="20017953">
      <w:bodyDiv w:val="1"/>
      <w:marLeft w:val="0"/>
      <w:marRight w:val="0"/>
      <w:marTop w:val="0"/>
      <w:marBottom w:val="0"/>
      <w:divBdr>
        <w:top w:val="none" w:sz="0" w:space="0" w:color="auto"/>
        <w:left w:val="none" w:sz="0" w:space="0" w:color="auto"/>
        <w:bottom w:val="none" w:sz="0" w:space="0" w:color="auto"/>
        <w:right w:val="none" w:sz="0" w:space="0" w:color="auto"/>
      </w:divBdr>
    </w:div>
    <w:div w:id="20059442">
      <w:bodyDiv w:val="1"/>
      <w:marLeft w:val="0"/>
      <w:marRight w:val="0"/>
      <w:marTop w:val="0"/>
      <w:marBottom w:val="0"/>
      <w:divBdr>
        <w:top w:val="none" w:sz="0" w:space="0" w:color="auto"/>
        <w:left w:val="none" w:sz="0" w:space="0" w:color="auto"/>
        <w:bottom w:val="none" w:sz="0" w:space="0" w:color="auto"/>
        <w:right w:val="none" w:sz="0" w:space="0" w:color="auto"/>
      </w:divBdr>
    </w:div>
    <w:div w:id="20131797">
      <w:bodyDiv w:val="1"/>
      <w:marLeft w:val="0"/>
      <w:marRight w:val="0"/>
      <w:marTop w:val="0"/>
      <w:marBottom w:val="0"/>
      <w:divBdr>
        <w:top w:val="none" w:sz="0" w:space="0" w:color="auto"/>
        <w:left w:val="none" w:sz="0" w:space="0" w:color="auto"/>
        <w:bottom w:val="none" w:sz="0" w:space="0" w:color="auto"/>
        <w:right w:val="none" w:sz="0" w:space="0" w:color="auto"/>
      </w:divBdr>
    </w:div>
    <w:div w:id="20395780">
      <w:bodyDiv w:val="1"/>
      <w:marLeft w:val="0"/>
      <w:marRight w:val="0"/>
      <w:marTop w:val="0"/>
      <w:marBottom w:val="0"/>
      <w:divBdr>
        <w:top w:val="none" w:sz="0" w:space="0" w:color="auto"/>
        <w:left w:val="none" w:sz="0" w:space="0" w:color="auto"/>
        <w:bottom w:val="none" w:sz="0" w:space="0" w:color="auto"/>
        <w:right w:val="none" w:sz="0" w:space="0" w:color="auto"/>
      </w:divBdr>
    </w:div>
    <w:div w:id="20397740">
      <w:bodyDiv w:val="1"/>
      <w:marLeft w:val="0"/>
      <w:marRight w:val="0"/>
      <w:marTop w:val="0"/>
      <w:marBottom w:val="0"/>
      <w:divBdr>
        <w:top w:val="none" w:sz="0" w:space="0" w:color="auto"/>
        <w:left w:val="none" w:sz="0" w:space="0" w:color="auto"/>
        <w:bottom w:val="none" w:sz="0" w:space="0" w:color="auto"/>
        <w:right w:val="none" w:sz="0" w:space="0" w:color="auto"/>
      </w:divBdr>
    </w:div>
    <w:div w:id="20399159">
      <w:bodyDiv w:val="1"/>
      <w:marLeft w:val="0"/>
      <w:marRight w:val="0"/>
      <w:marTop w:val="0"/>
      <w:marBottom w:val="0"/>
      <w:divBdr>
        <w:top w:val="none" w:sz="0" w:space="0" w:color="auto"/>
        <w:left w:val="none" w:sz="0" w:space="0" w:color="auto"/>
        <w:bottom w:val="none" w:sz="0" w:space="0" w:color="auto"/>
        <w:right w:val="none" w:sz="0" w:space="0" w:color="auto"/>
      </w:divBdr>
    </w:div>
    <w:div w:id="20402253">
      <w:bodyDiv w:val="1"/>
      <w:marLeft w:val="0"/>
      <w:marRight w:val="0"/>
      <w:marTop w:val="0"/>
      <w:marBottom w:val="0"/>
      <w:divBdr>
        <w:top w:val="none" w:sz="0" w:space="0" w:color="auto"/>
        <w:left w:val="none" w:sz="0" w:space="0" w:color="auto"/>
        <w:bottom w:val="none" w:sz="0" w:space="0" w:color="auto"/>
        <w:right w:val="none" w:sz="0" w:space="0" w:color="auto"/>
      </w:divBdr>
    </w:div>
    <w:div w:id="20403578">
      <w:bodyDiv w:val="1"/>
      <w:marLeft w:val="0"/>
      <w:marRight w:val="0"/>
      <w:marTop w:val="0"/>
      <w:marBottom w:val="0"/>
      <w:divBdr>
        <w:top w:val="none" w:sz="0" w:space="0" w:color="auto"/>
        <w:left w:val="none" w:sz="0" w:space="0" w:color="auto"/>
        <w:bottom w:val="none" w:sz="0" w:space="0" w:color="auto"/>
        <w:right w:val="none" w:sz="0" w:space="0" w:color="auto"/>
      </w:divBdr>
    </w:div>
    <w:div w:id="20476697">
      <w:bodyDiv w:val="1"/>
      <w:marLeft w:val="0"/>
      <w:marRight w:val="0"/>
      <w:marTop w:val="0"/>
      <w:marBottom w:val="0"/>
      <w:divBdr>
        <w:top w:val="none" w:sz="0" w:space="0" w:color="auto"/>
        <w:left w:val="none" w:sz="0" w:space="0" w:color="auto"/>
        <w:bottom w:val="none" w:sz="0" w:space="0" w:color="auto"/>
        <w:right w:val="none" w:sz="0" w:space="0" w:color="auto"/>
      </w:divBdr>
    </w:div>
    <w:div w:id="20477625">
      <w:bodyDiv w:val="1"/>
      <w:marLeft w:val="0"/>
      <w:marRight w:val="0"/>
      <w:marTop w:val="0"/>
      <w:marBottom w:val="0"/>
      <w:divBdr>
        <w:top w:val="none" w:sz="0" w:space="0" w:color="auto"/>
        <w:left w:val="none" w:sz="0" w:space="0" w:color="auto"/>
        <w:bottom w:val="none" w:sz="0" w:space="0" w:color="auto"/>
        <w:right w:val="none" w:sz="0" w:space="0" w:color="auto"/>
      </w:divBdr>
    </w:div>
    <w:div w:id="20478266">
      <w:bodyDiv w:val="1"/>
      <w:marLeft w:val="0"/>
      <w:marRight w:val="0"/>
      <w:marTop w:val="0"/>
      <w:marBottom w:val="0"/>
      <w:divBdr>
        <w:top w:val="none" w:sz="0" w:space="0" w:color="auto"/>
        <w:left w:val="none" w:sz="0" w:space="0" w:color="auto"/>
        <w:bottom w:val="none" w:sz="0" w:space="0" w:color="auto"/>
        <w:right w:val="none" w:sz="0" w:space="0" w:color="auto"/>
      </w:divBdr>
    </w:div>
    <w:div w:id="20513701">
      <w:bodyDiv w:val="1"/>
      <w:marLeft w:val="0"/>
      <w:marRight w:val="0"/>
      <w:marTop w:val="0"/>
      <w:marBottom w:val="0"/>
      <w:divBdr>
        <w:top w:val="none" w:sz="0" w:space="0" w:color="auto"/>
        <w:left w:val="none" w:sz="0" w:space="0" w:color="auto"/>
        <w:bottom w:val="none" w:sz="0" w:space="0" w:color="auto"/>
        <w:right w:val="none" w:sz="0" w:space="0" w:color="auto"/>
      </w:divBdr>
    </w:div>
    <w:div w:id="20515547">
      <w:bodyDiv w:val="1"/>
      <w:marLeft w:val="0"/>
      <w:marRight w:val="0"/>
      <w:marTop w:val="0"/>
      <w:marBottom w:val="0"/>
      <w:divBdr>
        <w:top w:val="none" w:sz="0" w:space="0" w:color="auto"/>
        <w:left w:val="none" w:sz="0" w:space="0" w:color="auto"/>
        <w:bottom w:val="none" w:sz="0" w:space="0" w:color="auto"/>
        <w:right w:val="none" w:sz="0" w:space="0" w:color="auto"/>
      </w:divBdr>
    </w:div>
    <w:div w:id="20517922">
      <w:bodyDiv w:val="1"/>
      <w:marLeft w:val="0"/>
      <w:marRight w:val="0"/>
      <w:marTop w:val="0"/>
      <w:marBottom w:val="0"/>
      <w:divBdr>
        <w:top w:val="none" w:sz="0" w:space="0" w:color="auto"/>
        <w:left w:val="none" w:sz="0" w:space="0" w:color="auto"/>
        <w:bottom w:val="none" w:sz="0" w:space="0" w:color="auto"/>
        <w:right w:val="none" w:sz="0" w:space="0" w:color="auto"/>
      </w:divBdr>
    </w:div>
    <w:div w:id="20666938">
      <w:bodyDiv w:val="1"/>
      <w:marLeft w:val="0"/>
      <w:marRight w:val="0"/>
      <w:marTop w:val="0"/>
      <w:marBottom w:val="0"/>
      <w:divBdr>
        <w:top w:val="none" w:sz="0" w:space="0" w:color="auto"/>
        <w:left w:val="none" w:sz="0" w:space="0" w:color="auto"/>
        <w:bottom w:val="none" w:sz="0" w:space="0" w:color="auto"/>
        <w:right w:val="none" w:sz="0" w:space="0" w:color="auto"/>
      </w:divBdr>
    </w:div>
    <w:div w:id="20667397">
      <w:bodyDiv w:val="1"/>
      <w:marLeft w:val="0"/>
      <w:marRight w:val="0"/>
      <w:marTop w:val="0"/>
      <w:marBottom w:val="0"/>
      <w:divBdr>
        <w:top w:val="none" w:sz="0" w:space="0" w:color="auto"/>
        <w:left w:val="none" w:sz="0" w:space="0" w:color="auto"/>
        <w:bottom w:val="none" w:sz="0" w:space="0" w:color="auto"/>
        <w:right w:val="none" w:sz="0" w:space="0" w:color="auto"/>
      </w:divBdr>
    </w:div>
    <w:div w:id="20673549">
      <w:bodyDiv w:val="1"/>
      <w:marLeft w:val="0"/>
      <w:marRight w:val="0"/>
      <w:marTop w:val="0"/>
      <w:marBottom w:val="0"/>
      <w:divBdr>
        <w:top w:val="none" w:sz="0" w:space="0" w:color="auto"/>
        <w:left w:val="none" w:sz="0" w:space="0" w:color="auto"/>
        <w:bottom w:val="none" w:sz="0" w:space="0" w:color="auto"/>
        <w:right w:val="none" w:sz="0" w:space="0" w:color="auto"/>
      </w:divBdr>
    </w:div>
    <w:div w:id="20864688">
      <w:bodyDiv w:val="1"/>
      <w:marLeft w:val="0"/>
      <w:marRight w:val="0"/>
      <w:marTop w:val="0"/>
      <w:marBottom w:val="0"/>
      <w:divBdr>
        <w:top w:val="none" w:sz="0" w:space="0" w:color="auto"/>
        <w:left w:val="none" w:sz="0" w:space="0" w:color="auto"/>
        <w:bottom w:val="none" w:sz="0" w:space="0" w:color="auto"/>
        <w:right w:val="none" w:sz="0" w:space="0" w:color="auto"/>
      </w:divBdr>
    </w:div>
    <w:div w:id="20937292">
      <w:bodyDiv w:val="1"/>
      <w:marLeft w:val="0"/>
      <w:marRight w:val="0"/>
      <w:marTop w:val="0"/>
      <w:marBottom w:val="0"/>
      <w:divBdr>
        <w:top w:val="none" w:sz="0" w:space="0" w:color="auto"/>
        <w:left w:val="none" w:sz="0" w:space="0" w:color="auto"/>
        <w:bottom w:val="none" w:sz="0" w:space="0" w:color="auto"/>
        <w:right w:val="none" w:sz="0" w:space="0" w:color="auto"/>
      </w:divBdr>
    </w:div>
    <w:div w:id="20937411">
      <w:bodyDiv w:val="1"/>
      <w:marLeft w:val="0"/>
      <w:marRight w:val="0"/>
      <w:marTop w:val="0"/>
      <w:marBottom w:val="0"/>
      <w:divBdr>
        <w:top w:val="none" w:sz="0" w:space="0" w:color="auto"/>
        <w:left w:val="none" w:sz="0" w:space="0" w:color="auto"/>
        <w:bottom w:val="none" w:sz="0" w:space="0" w:color="auto"/>
        <w:right w:val="none" w:sz="0" w:space="0" w:color="auto"/>
      </w:divBdr>
    </w:div>
    <w:div w:id="21132361">
      <w:bodyDiv w:val="1"/>
      <w:marLeft w:val="0"/>
      <w:marRight w:val="0"/>
      <w:marTop w:val="0"/>
      <w:marBottom w:val="0"/>
      <w:divBdr>
        <w:top w:val="none" w:sz="0" w:space="0" w:color="auto"/>
        <w:left w:val="none" w:sz="0" w:space="0" w:color="auto"/>
        <w:bottom w:val="none" w:sz="0" w:space="0" w:color="auto"/>
        <w:right w:val="none" w:sz="0" w:space="0" w:color="auto"/>
      </w:divBdr>
    </w:div>
    <w:div w:id="21134617">
      <w:bodyDiv w:val="1"/>
      <w:marLeft w:val="0"/>
      <w:marRight w:val="0"/>
      <w:marTop w:val="0"/>
      <w:marBottom w:val="0"/>
      <w:divBdr>
        <w:top w:val="none" w:sz="0" w:space="0" w:color="auto"/>
        <w:left w:val="none" w:sz="0" w:space="0" w:color="auto"/>
        <w:bottom w:val="none" w:sz="0" w:space="0" w:color="auto"/>
        <w:right w:val="none" w:sz="0" w:space="0" w:color="auto"/>
      </w:divBdr>
    </w:div>
    <w:div w:id="21249789">
      <w:bodyDiv w:val="1"/>
      <w:marLeft w:val="0"/>
      <w:marRight w:val="0"/>
      <w:marTop w:val="0"/>
      <w:marBottom w:val="0"/>
      <w:divBdr>
        <w:top w:val="none" w:sz="0" w:space="0" w:color="auto"/>
        <w:left w:val="none" w:sz="0" w:space="0" w:color="auto"/>
        <w:bottom w:val="none" w:sz="0" w:space="0" w:color="auto"/>
        <w:right w:val="none" w:sz="0" w:space="0" w:color="auto"/>
      </w:divBdr>
    </w:div>
    <w:div w:id="21250623">
      <w:bodyDiv w:val="1"/>
      <w:marLeft w:val="0"/>
      <w:marRight w:val="0"/>
      <w:marTop w:val="0"/>
      <w:marBottom w:val="0"/>
      <w:divBdr>
        <w:top w:val="none" w:sz="0" w:space="0" w:color="auto"/>
        <w:left w:val="none" w:sz="0" w:space="0" w:color="auto"/>
        <w:bottom w:val="none" w:sz="0" w:space="0" w:color="auto"/>
        <w:right w:val="none" w:sz="0" w:space="0" w:color="auto"/>
      </w:divBdr>
    </w:div>
    <w:div w:id="21367825">
      <w:bodyDiv w:val="1"/>
      <w:marLeft w:val="0"/>
      <w:marRight w:val="0"/>
      <w:marTop w:val="0"/>
      <w:marBottom w:val="0"/>
      <w:divBdr>
        <w:top w:val="none" w:sz="0" w:space="0" w:color="auto"/>
        <w:left w:val="none" w:sz="0" w:space="0" w:color="auto"/>
        <w:bottom w:val="none" w:sz="0" w:space="0" w:color="auto"/>
        <w:right w:val="none" w:sz="0" w:space="0" w:color="auto"/>
      </w:divBdr>
    </w:div>
    <w:div w:id="21444251">
      <w:bodyDiv w:val="1"/>
      <w:marLeft w:val="0"/>
      <w:marRight w:val="0"/>
      <w:marTop w:val="0"/>
      <w:marBottom w:val="0"/>
      <w:divBdr>
        <w:top w:val="none" w:sz="0" w:space="0" w:color="auto"/>
        <w:left w:val="none" w:sz="0" w:space="0" w:color="auto"/>
        <w:bottom w:val="none" w:sz="0" w:space="0" w:color="auto"/>
        <w:right w:val="none" w:sz="0" w:space="0" w:color="auto"/>
      </w:divBdr>
    </w:div>
    <w:div w:id="21445839">
      <w:bodyDiv w:val="1"/>
      <w:marLeft w:val="0"/>
      <w:marRight w:val="0"/>
      <w:marTop w:val="0"/>
      <w:marBottom w:val="0"/>
      <w:divBdr>
        <w:top w:val="none" w:sz="0" w:space="0" w:color="auto"/>
        <w:left w:val="none" w:sz="0" w:space="0" w:color="auto"/>
        <w:bottom w:val="none" w:sz="0" w:space="0" w:color="auto"/>
        <w:right w:val="none" w:sz="0" w:space="0" w:color="auto"/>
      </w:divBdr>
    </w:div>
    <w:div w:id="21520875">
      <w:bodyDiv w:val="1"/>
      <w:marLeft w:val="0"/>
      <w:marRight w:val="0"/>
      <w:marTop w:val="0"/>
      <w:marBottom w:val="0"/>
      <w:divBdr>
        <w:top w:val="none" w:sz="0" w:space="0" w:color="auto"/>
        <w:left w:val="none" w:sz="0" w:space="0" w:color="auto"/>
        <w:bottom w:val="none" w:sz="0" w:space="0" w:color="auto"/>
        <w:right w:val="none" w:sz="0" w:space="0" w:color="auto"/>
      </w:divBdr>
    </w:div>
    <w:div w:id="21564501">
      <w:bodyDiv w:val="1"/>
      <w:marLeft w:val="0"/>
      <w:marRight w:val="0"/>
      <w:marTop w:val="0"/>
      <w:marBottom w:val="0"/>
      <w:divBdr>
        <w:top w:val="none" w:sz="0" w:space="0" w:color="auto"/>
        <w:left w:val="none" w:sz="0" w:space="0" w:color="auto"/>
        <w:bottom w:val="none" w:sz="0" w:space="0" w:color="auto"/>
        <w:right w:val="none" w:sz="0" w:space="0" w:color="auto"/>
      </w:divBdr>
    </w:div>
    <w:div w:id="21590296">
      <w:bodyDiv w:val="1"/>
      <w:marLeft w:val="0"/>
      <w:marRight w:val="0"/>
      <w:marTop w:val="0"/>
      <w:marBottom w:val="0"/>
      <w:divBdr>
        <w:top w:val="none" w:sz="0" w:space="0" w:color="auto"/>
        <w:left w:val="none" w:sz="0" w:space="0" w:color="auto"/>
        <w:bottom w:val="none" w:sz="0" w:space="0" w:color="auto"/>
        <w:right w:val="none" w:sz="0" w:space="0" w:color="auto"/>
      </w:divBdr>
    </w:div>
    <w:div w:id="21632662">
      <w:bodyDiv w:val="1"/>
      <w:marLeft w:val="0"/>
      <w:marRight w:val="0"/>
      <w:marTop w:val="0"/>
      <w:marBottom w:val="0"/>
      <w:divBdr>
        <w:top w:val="none" w:sz="0" w:space="0" w:color="auto"/>
        <w:left w:val="none" w:sz="0" w:space="0" w:color="auto"/>
        <w:bottom w:val="none" w:sz="0" w:space="0" w:color="auto"/>
        <w:right w:val="none" w:sz="0" w:space="0" w:color="auto"/>
      </w:divBdr>
    </w:div>
    <w:div w:id="21784507">
      <w:bodyDiv w:val="1"/>
      <w:marLeft w:val="0"/>
      <w:marRight w:val="0"/>
      <w:marTop w:val="0"/>
      <w:marBottom w:val="0"/>
      <w:divBdr>
        <w:top w:val="none" w:sz="0" w:space="0" w:color="auto"/>
        <w:left w:val="none" w:sz="0" w:space="0" w:color="auto"/>
        <w:bottom w:val="none" w:sz="0" w:space="0" w:color="auto"/>
        <w:right w:val="none" w:sz="0" w:space="0" w:color="auto"/>
      </w:divBdr>
    </w:div>
    <w:div w:id="21824244">
      <w:bodyDiv w:val="1"/>
      <w:marLeft w:val="0"/>
      <w:marRight w:val="0"/>
      <w:marTop w:val="0"/>
      <w:marBottom w:val="0"/>
      <w:divBdr>
        <w:top w:val="none" w:sz="0" w:space="0" w:color="auto"/>
        <w:left w:val="none" w:sz="0" w:space="0" w:color="auto"/>
        <w:bottom w:val="none" w:sz="0" w:space="0" w:color="auto"/>
        <w:right w:val="none" w:sz="0" w:space="0" w:color="auto"/>
      </w:divBdr>
    </w:div>
    <w:div w:id="21900236">
      <w:bodyDiv w:val="1"/>
      <w:marLeft w:val="0"/>
      <w:marRight w:val="0"/>
      <w:marTop w:val="0"/>
      <w:marBottom w:val="0"/>
      <w:divBdr>
        <w:top w:val="none" w:sz="0" w:space="0" w:color="auto"/>
        <w:left w:val="none" w:sz="0" w:space="0" w:color="auto"/>
        <w:bottom w:val="none" w:sz="0" w:space="0" w:color="auto"/>
        <w:right w:val="none" w:sz="0" w:space="0" w:color="auto"/>
      </w:divBdr>
    </w:div>
    <w:div w:id="22022700">
      <w:bodyDiv w:val="1"/>
      <w:marLeft w:val="0"/>
      <w:marRight w:val="0"/>
      <w:marTop w:val="0"/>
      <w:marBottom w:val="0"/>
      <w:divBdr>
        <w:top w:val="none" w:sz="0" w:space="0" w:color="auto"/>
        <w:left w:val="none" w:sz="0" w:space="0" w:color="auto"/>
        <w:bottom w:val="none" w:sz="0" w:space="0" w:color="auto"/>
        <w:right w:val="none" w:sz="0" w:space="0" w:color="auto"/>
      </w:divBdr>
    </w:div>
    <w:div w:id="22026815">
      <w:bodyDiv w:val="1"/>
      <w:marLeft w:val="0"/>
      <w:marRight w:val="0"/>
      <w:marTop w:val="0"/>
      <w:marBottom w:val="0"/>
      <w:divBdr>
        <w:top w:val="none" w:sz="0" w:space="0" w:color="auto"/>
        <w:left w:val="none" w:sz="0" w:space="0" w:color="auto"/>
        <w:bottom w:val="none" w:sz="0" w:space="0" w:color="auto"/>
        <w:right w:val="none" w:sz="0" w:space="0" w:color="auto"/>
      </w:divBdr>
    </w:div>
    <w:div w:id="22102195">
      <w:bodyDiv w:val="1"/>
      <w:marLeft w:val="0"/>
      <w:marRight w:val="0"/>
      <w:marTop w:val="0"/>
      <w:marBottom w:val="0"/>
      <w:divBdr>
        <w:top w:val="none" w:sz="0" w:space="0" w:color="auto"/>
        <w:left w:val="none" w:sz="0" w:space="0" w:color="auto"/>
        <w:bottom w:val="none" w:sz="0" w:space="0" w:color="auto"/>
        <w:right w:val="none" w:sz="0" w:space="0" w:color="auto"/>
      </w:divBdr>
    </w:div>
    <w:div w:id="22169214">
      <w:bodyDiv w:val="1"/>
      <w:marLeft w:val="0"/>
      <w:marRight w:val="0"/>
      <w:marTop w:val="0"/>
      <w:marBottom w:val="0"/>
      <w:divBdr>
        <w:top w:val="none" w:sz="0" w:space="0" w:color="auto"/>
        <w:left w:val="none" w:sz="0" w:space="0" w:color="auto"/>
        <w:bottom w:val="none" w:sz="0" w:space="0" w:color="auto"/>
        <w:right w:val="none" w:sz="0" w:space="0" w:color="auto"/>
      </w:divBdr>
    </w:div>
    <w:div w:id="22248519">
      <w:bodyDiv w:val="1"/>
      <w:marLeft w:val="0"/>
      <w:marRight w:val="0"/>
      <w:marTop w:val="0"/>
      <w:marBottom w:val="0"/>
      <w:divBdr>
        <w:top w:val="none" w:sz="0" w:space="0" w:color="auto"/>
        <w:left w:val="none" w:sz="0" w:space="0" w:color="auto"/>
        <w:bottom w:val="none" w:sz="0" w:space="0" w:color="auto"/>
        <w:right w:val="none" w:sz="0" w:space="0" w:color="auto"/>
      </w:divBdr>
    </w:div>
    <w:div w:id="22488997">
      <w:bodyDiv w:val="1"/>
      <w:marLeft w:val="0"/>
      <w:marRight w:val="0"/>
      <w:marTop w:val="0"/>
      <w:marBottom w:val="0"/>
      <w:divBdr>
        <w:top w:val="none" w:sz="0" w:space="0" w:color="auto"/>
        <w:left w:val="none" w:sz="0" w:space="0" w:color="auto"/>
        <w:bottom w:val="none" w:sz="0" w:space="0" w:color="auto"/>
        <w:right w:val="none" w:sz="0" w:space="0" w:color="auto"/>
      </w:divBdr>
    </w:div>
    <w:div w:id="22563374">
      <w:bodyDiv w:val="1"/>
      <w:marLeft w:val="0"/>
      <w:marRight w:val="0"/>
      <w:marTop w:val="0"/>
      <w:marBottom w:val="0"/>
      <w:divBdr>
        <w:top w:val="none" w:sz="0" w:space="0" w:color="auto"/>
        <w:left w:val="none" w:sz="0" w:space="0" w:color="auto"/>
        <w:bottom w:val="none" w:sz="0" w:space="0" w:color="auto"/>
        <w:right w:val="none" w:sz="0" w:space="0" w:color="auto"/>
      </w:divBdr>
    </w:div>
    <w:div w:id="22633980">
      <w:bodyDiv w:val="1"/>
      <w:marLeft w:val="0"/>
      <w:marRight w:val="0"/>
      <w:marTop w:val="0"/>
      <w:marBottom w:val="0"/>
      <w:divBdr>
        <w:top w:val="none" w:sz="0" w:space="0" w:color="auto"/>
        <w:left w:val="none" w:sz="0" w:space="0" w:color="auto"/>
        <w:bottom w:val="none" w:sz="0" w:space="0" w:color="auto"/>
        <w:right w:val="none" w:sz="0" w:space="0" w:color="auto"/>
      </w:divBdr>
    </w:div>
    <w:div w:id="22754393">
      <w:bodyDiv w:val="1"/>
      <w:marLeft w:val="0"/>
      <w:marRight w:val="0"/>
      <w:marTop w:val="0"/>
      <w:marBottom w:val="0"/>
      <w:divBdr>
        <w:top w:val="none" w:sz="0" w:space="0" w:color="auto"/>
        <w:left w:val="none" w:sz="0" w:space="0" w:color="auto"/>
        <w:bottom w:val="none" w:sz="0" w:space="0" w:color="auto"/>
        <w:right w:val="none" w:sz="0" w:space="0" w:color="auto"/>
      </w:divBdr>
    </w:div>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2828543">
      <w:bodyDiv w:val="1"/>
      <w:marLeft w:val="0"/>
      <w:marRight w:val="0"/>
      <w:marTop w:val="0"/>
      <w:marBottom w:val="0"/>
      <w:divBdr>
        <w:top w:val="none" w:sz="0" w:space="0" w:color="auto"/>
        <w:left w:val="none" w:sz="0" w:space="0" w:color="auto"/>
        <w:bottom w:val="none" w:sz="0" w:space="0" w:color="auto"/>
        <w:right w:val="none" w:sz="0" w:space="0" w:color="auto"/>
      </w:divBdr>
    </w:div>
    <w:div w:id="22902007">
      <w:bodyDiv w:val="1"/>
      <w:marLeft w:val="0"/>
      <w:marRight w:val="0"/>
      <w:marTop w:val="0"/>
      <w:marBottom w:val="0"/>
      <w:divBdr>
        <w:top w:val="none" w:sz="0" w:space="0" w:color="auto"/>
        <w:left w:val="none" w:sz="0" w:space="0" w:color="auto"/>
        <w:bottom w:val="none" w:sz="0" w:space="0" w:color="auto"/>
        <w:right w:val="none" w:sz="0" w:space="0" w:color="auto"/>
      </w:divBdr>
    </w:div>
    <w:div w:id="22941934">
      <w:bodyDiv w:val="1"/>
      <w:marLeft w:val="0"/>
      <w:marRight w:val="0"/>
      <w:marTop w:val="0"/>
      <w:marBottom w:val="0"/>
      <w:divBdr>
        <w:top w:val="none" w:sz="0" w:space="0" w:color="auto"/>
        <w:left w:val="none" w:sz="0" w:space="0" w:color="auto"/>
        <w:bottom w:val="none" w:sz="0" w:space="0" w:color="auto"/>
        <w:right w:val="none" w:sz="0" w:space="0" w:color="auto"/>
      </w:divBdr>
    </w:div>
    <w:div w:id="23023549">
      <w:bodyDiv w:val="1"/>
      <w:marLeft w:val="0"/>
      <w:marRight w:val="0"/>
      <w:marTop w:val="0"/>
      <w:marBottom w:val="0"/>
      <w:divBdr>
        <w:top w:val="none" w:sz="0" w:space="0" w:color="auto"/>
        <w:left w:val="none" w:sz="0" w:space="0" w:color="auto"/>
        <w:bottom w:val="none" w:sz="0" w:space="0" w:color="auto"/>
        <w:right w:val="none" w:sz="0" w:space="0" w:color="auto"/>
      </w:divBdr>
    </w:div>
    <w:div w:id="23287063">
      <w:bodyDiv w:val="1"/>
      <w:marLeft w:val="0"/>
      <w:marRight w:val="0"/>
      <w:marTop w:val="0"/>
      <w:marBottom w:val="0"/>
      <w:divBdr>
        <w:top w:val="none" w:sz="0" w:space="0" w:color="auto"/>
        <w:left w:val="none" w:sz="0" w:space="0" w:color="auto"/>
        <w:bottom w:val="none" w:sz="0" w:space="0" w:color="auto"/>
        <w:right w:val="none" w:sz="0" w:space="0" w:color="auto"/>
      </w:divBdr>
    </w:div>
    <w:div w:id="23483505">
      <w:bodyDiv w:val="1"/>
      <w:marLeft w:val="0"/>
      <w:marRight w:val="0"/>
      <w:marTop w:val="0"/>
      <w:marBottom w:val="0"/>
      <w:divBdr>
        <w:top w:val="none" w:sz="0" w:space="0" w:color="auto"/>
        <w:left w:val="none" w:sz="0" w:space="0" w:color="auto"/>
        <w:bottom w:val="none" w:sz="0" w:space="0" w:color="auto"/>
        <w:right w:val="none" w:sz="0" w:space="0" w:color="auto"/>
      </w:divBdr>
    </w:div>
    <w:div w:id="23603439">
      <w:bodyDiv w:val="1"/>
      <w:marLeft w:val="0"/>
      <w:marRight w:val="0"/>
      <w:marTop w:val="0"/>
      <w:marBottom w:val="0"/>
      <w:divBdr>
        <w:top w:val="none" w:sz="0" w:space="0" w:color="auto"/>
        <w:left w:val="none" w:sz="0" w:space="0" w:color="auto"/>
        <w:bottom w:val="none" w:sz="0" w:space="0" w:color="auto"/>
        <w:right w:val="none" w:sz="0" w:space="0" w:color="auto"/>
      </w:divBdr>
    </w:div>
    <w:div w:id="23677389">
      <w:bodyDiv w:val="1"/>
      <w:marLeft w:val="0"/>
      <w:marRight w:val="0"/>
      <w:marTop w:val="0"/>
      <w:marBottom w:val="0"/>
      <w:divBdr>
        <w:top w:val="none" w:sz="0" w:space="0" w:color="auto"/>
        <w:left w:val="none" w:sz="0" w:space="0" w:color="auto"/>
        <w:bottom w:val="none" w:sz="0" w:space="0" w:color="auto"/>
        <w:right w:val="none" w:sz="0" w:space="0" w:color="auto"/>
      </w:divBdr>
    </w:div>
    <w:div w:id="23797132">
      <w:bodyDiv w:val="1"/>
      <w:marLeft w:val="0"/>
      <w:marRight w:val="0"/>
      <w:marTop w:val="0"/>
      <w:marBottom w:val="0"/>
      <w:divBdr>
        <w:top w:val="none" w:sz="0" w:space="0" w:color="auto"/>
        <w:left w:val="none" w:sz="0" w:space="0" w:color="auto"/>
        <w:bottom w:val="none" w:sz="0" w:space="0" w:color="auto"/>
        <w:right w:val="none" w:sz="0" w:space="0" w:color="auto"/>
      </w:divBdr>
    </w:div>
    <w:div w:id="23944134">
      <w:bodyDiv w:val="1"/>
      <w:marLeft w:val="0"/>
      <w:marRight w:val="0"/>
      <w:marTop w:val="0"/>
      <w:marBottom w:val="0"/>
      <w:divBdr>
        <w:top w:val="none" w:sz="0" w:space="0" w:color="auto"/>
        <w:left w:val="none" w:sz="0" w:space="0" w:color="auto"/>
        <w:bottom w:val="none" w:sz="0" w:space="0" w:color="auto"/>
        <w:right w:val="none" w:sz="0" w:space="0" w:color="auto"/>
      </w:divBdr>
    </w:div>
    <w:div w:id="23945335">
      <w:bodyDiv w:val="1"/>
      <w:marLeft w:val="0"/>
      <w:marRight w:val="0"/>
      <w:marTop w:val="0"/>
      <w:marBottom w:val="0"/>
      <w:divBdr>
        <w:top w:val="none" w:sz="0" w:space="0" w:color="auto"/>
        <w:left w:val="none" w:sz="0" w:space="0" w:color="auto"/>
        <w:bottom w:val="none" w:sz="0" w:space="0" w:color="auto"/>
        <w:right w:val="none" w:sz="0" w:space="0" w:color="auto"/>
      </w:divBdr>
    </w:div>
    <w:div w:id="24138753">
      <w:bodyDiv w:val="1"/>
      <w:marLeft w:val="0"/>
      <w:marRight w:val="0"/>
      <w:marTop w:val="0"/>
      <w:marBottom w:val="0"/>
      <w:divBdr>
        <w:top w:val="none" w:sz="0" w:space="0" w:color="auto"/>
        <w:left w:val="none" w:sz="0" w:space="0" w:color="auto"/>
        <w:bottom w:val="none" w:sz="0" w:space="0" w:color="auto"/>
        <w:right w:val="none" w:sz="0" w:space="0" w:color="auto"/>
      </w:divBdr>
    </w:div>
    <w:div w:id="24253877">
      <w:bodyDiv w:val="1"/>
      <w:marLeft w:val="0"/>
      <w:marRight w:val="0"/>
      <w:marTop w:val="0"/>
      <w:marBottom w:val="0"/>
      <w:divBdr>
        <w:top w:val="none" w:sz="0" w:space="0" w:color="auto"/>
        <w:left w:val="none" w:sz="0" w:space="0" w:color="auto"/>
        <w:bottom w:val="none" w:sz="0" w:space="0" w:color="auto"/>
        <w:right w:val="none" w:sz="0" w:space="0" w:color="auto"/>
      </w:divBdr>
    </w:div>
    <w:div w:id="24335109">
      <w:bodyDiv w:val="1"/>
      <w:marLeft w:val="0"/>
      <w:marRight w:val="0"/>
      <w:marTop w:val="0"/>
      <w:marBottom w:val="0"/>
      <w:divBdr>
        <w:top w:val="none" w:sz="0" w:space="0" w:color="auto"/>
        <w:left w:val="none" w:sz="0" w:space="0" w:color="auto"/>
        <w:bottom w:val="none" w:sz="0" w:space="0" w:color="auto"/>
        <w:right w:val="none" w:sz="0" w:space="0" w:color="auto"/>
      </w:divBdr>
    </w:div>
    <w:div w:id="24336249">
      <w:bodyDiv w:val="1"/>
      <w:marLeft w:val="0"/>
      <w:marRight w:val="0"/>
      <w:marTop w:val="0"/>
      <w:marBottom w:val="0"/>
      <w:divBdr>
        <w:top w:val="none" w:sz="0" w:space="0" w:color="auto"/>
        <w:left w:val="none" w:sz="0" w:space="0" w:color="auto"/>
        <w:bottom w:val="none" w:sz="0" w:space="0" w:color="auto"/>
        <w:right w:val="none" w:sz="0" w:space="0" w:color="auto"/>
      </w:divBdr>
    </w:div>
    <w:div w:id="24410075">
      <w:bodyDiv w:val="1"/>
      <w:marLeft w:val="0"/>
      <w:marRight w:val="0"/>
      <w:marTop w:val="0"/>
      <w:marBottom w:val="0"/>
      <w:divBdr>
        <w:top w:val="none" w:sz="0" w:space="0" w:color="auto"/>
        <w:left w:val="none" w:sz="0" w:space="0" w:color="auto"/>
        <w:bottom w:val="none" w:sz="0" w:space="0" w:color="auto"/>
        <w:right w:val="none" w:sz="0" w:space="0" w:color="auto"/>
      </w:divBdr>
    </w:div>
    <w:div w:id="24451267">
      <w:bodyDiv w:val="1"/>
      <w:marLeft w:val="0"/>
      <w:marRight w:val="0"/>
      <w:marTop w:val="0"/>
      <w:marBottom w:val="0"/>
      <w:divBdr>
        <w:top w:val="none" w:sz="0" w:space="0" w:color="auto"/>
        <w:left w:val="none" w:sz="0" w:space="0" w:color="auto"/>
        <w:bottom w:val="none" w:sz="0" w:space="0" w:color="auto"/>
        <w:right w:val="none" w:sz="0" w:space="0" w:color="auto"/>
      </w:divBdr>
    </w:div>
    <w:div w:id="24643161">
      <w:bodyDiv w:val="1"/>
      <w:marLeft w:val="0"/>
      <w:marRight w:val="0"/>
      <w:marTop w:val="0"/>
      <w:marBottom w:val="0"/>
      <w:divBdr>
        <w:top w:val="none" w:sz="0" w:space="0" w:color="auto"/>
        <w:left w:val="none" w:sz="0" w:space="0" w:color="auto"/>
        <w:bottom w:val="none" w:sz="0" w:space="0" w:color="auto"/>
        <w:right w:val="none" w:sz="0" w:space="0" w:color="auto"/>
      </w:divBdr>
    </w:div>
    <w:div w:id="24723599">
      <w:bodyDiv w:val="1"/>
      <w:marLeft w:val="0"/>
      <w:marRight w:val="0"/>
      <w:marTop w:val="0"/>
      <w:marBottom w:val="0"/>
      <w:divBdr>
        <w:top w:val="none" w:sz="0" w:space="0" w:color="auto"/>
        <w:left w:val="none" w:sz="0" w:space="0" w:color="auto"/>
        <w:bottom w:val="none" w:sz="0" w:space="0" w:color="auto"/>
        <w:right w:val="none" w:sz="0" w:space="0" w:color="auto"/>
      </w:divBdr>
    </w:div>
    <w:div w:id="24797177">
      <w:bodyDiv w:val="1"/>
      <w:marLeft w:val="0"/>
      <w:marRight w:val="0"/>
      <w:marTop w:val="0"/>
      <w:marBottom w:val="0"/>
      <w:divBdr>
        <w:top w:val="none" w:sz="0" w:space="0" w:color="auto"/>
        <w:left w:val="none" w:sz="0" w:space="0" w:color="auto"/>
        <w:bottom w:val="none" w:sz="0" w:space="0" w:color="auto"/>
        <w:right w:val="none" w:sz="0" w:space="0" w:color="auto"/>
      </w:divBdr>
    </w:div>
    <w:div w:id="24868678">
      <w:bodyDiv w:val="1"/>
      <w:marLeft w:val="0"/>
      <w:marRight w:val="0"/>
      <w:marTop w:val="0"/>
      <w:marBottom w:val="0"/>
      <w:divBdr>
        <w:top w:val="none" w:sz="0" w:space="0" w:color="auto"/>
        <w:left w:val="none" w:sz="0" w:space="0" w:color="auto"/>
        <w:bottom w:val="none" w:sz="0" w:space="0" w:color="auto"/>
        <w:right w:val="none" w:sz="0" w:space="0" w:color="auto"/>
      </w:divBdr>
    </w:div>
    <w:div w:id="24983965">
      <w:bodyDiv w:val="1"/>
      <w:marLeft w:val="0"/>
      <w:marRight w:val="0"/>
      <w:marTop w:val="0"/>
      <w:marBottom w:val="0"/>
      <w:divBdr>
        <w:top w:val="none" w:sz="0" w:space="0" w:color="auto"/>
        <w:left w:val="none" w:sz="0" w:space="0" w:color="auto"/>
        <w:bottom w:val="none" w:sz="0" w:space="0" w:color="auto"/>
        <w:right w:val="none" w:sz="0" w:space="0" w:color="auto"/>
      </w:divBdr>
    </w:div>
    <w:div w:id="24989063">
      <w:bodyDiv w:val="1"/>
      <w:marLeft w:val="0"/>
      <w:marRight w:val="0"/>
      <w:marTop w:val="0"/>
      <w:marBottom w:val="0"/>
      <w:divBdr>
        <w:top w:val="none" w:sz="0" w:space="0" w:color="auto"/>
        <w:left w:val="none" w:sz="0" w:space="0" w:color="auto"/>
        <w:bottom w:val="none" w:sz="0" w:space="0" w:color="auto"/>
        <w:right w:val="none" w:sz="0" w:space="0" w:color="auto"/>
      </w:divBdr>
    </w:div>
    <w:div w:id="25062074">
      <w:bodyDiv w:val="1"/>
      <w:marLeft w:val="0"/>
      <w:marRight w:val="0"/>
      <w:marTop w:val="0"/>
      <w:marBottom w:val="0"/>
      <w:divBdr>
        <w:top w:val="none" w:sz="0" w:space="0" w:color="auto"/>
        <w:left w:val="none" w:sz="0" w:space="0" w:color="auto"/>
        <w:bottom w:val="none" w:sz="0" w:space="0" w:color="auto"/>
        <w:right w:val="none" w:sz="0" w:space="0" w:color="auto"/>
      </w:divBdr>
    </w:div>
    <w:div w:id="25110240">
      <w:bodyDiv w:val="1"/>
      <w:marLeft w:val="0"/>
      <w:marRight w:val="0"/>
      <w:marTop w:val="0"/>
      <w:marBottom w:val="0"/>
      <w:divBdr>
        <w:top w:val="none" w:sz="0" w:space="0" w:color="auto"/>
        <w:left w:val="none" w:sz="0" w:space="0" w:color="auto"/>
        <w:bottom w:val="none" w:sz="0" w:space="0" w:color="auto"/>
        <w:right w:val="none" w:sz="0" w:space="0" w:color="auto"/>
      </w:divBdr>
    </w:div>
    <w:div w:id="25370042">
      <w:bodyDiv w:val="1"/>
      <w:marLeft w:val="0"/>
      <w:marRight w:val="0"/>
      <w:marTop w:val="0"/>
      <w:marBottom w:val="0"/>
      <w:divBdr>
        <w:top w:val="none" w:sz="0" w:space="0" w:color="auto"/>
        <w:left w:val="none" w:sz="0" w:space="0" w:color="auto"/>
        <w:bottom w:val="none" w:sz="0" w:space="0" w:color="auto"/>
        <w:right w:val="none" w:sz="0" w:space="0" w:color="auto"/>
      </w:divBdr>
    </w:div>
    <w:div w:id="25374011">
      <w:bodyDiv w:val="1"/>
      <w:marLeft w:val="0"/>
      <w:marRight w:val="0"/>
      <w:marTop w:val="0"/>
      <w:marBottom w:val="0"/>
      <w:divBdr>
        <w:top w:val="none" w:sz="0" w:space="0" w:color="auto"/>
        <w:left w:val="none" w:sz="0" w:space="0" w:color="auto"/>
        <w:bottom w:val="none" w:sz="0" w:space="0" w:color="auto"/>
        <w:right w:val="none" w:sz="0" w:space="0" w:color="auto"/>
      </w:divBdr>
    </w:div>
    <w:div w:id="25571913">
      <w:bodyDiv w:val="1"/>
      <w:marLeft w:val="0"/>
      <w:marRight w:val="0"/>
      <w:marTop w:val="0"/>
      <w:marBottom w:val="0"/>
      <w:divBdr>
        <w:top w:val="none" w:sz="0" w:space="0" w:color="auto"/>
        <w:left w:val="none" w:sz="0" w:space="0" w:color="auto"/>
        <w:bottom w:val="none" w:sz="0" w:space="0" w:color="auto"/>
        <w:right w:val="none" w:sz="0" w:space="0" w:color="auto"/>
      </w:divBdr>
    </w:div>
    <w:div w:id="25644298">
      <w:bodyDiv w:val="1"/>
      <w:marLeft w:val="0"/>
      <w:marRight w:val="0"/>
      <w:marTop w:val="0"/>
      <w:marBottom w:val="0"/>
      <w:divBdr>
        <w:top w:val="none" w:sz="0" w:space="0" w:color="auto"/>
        <w:left w:val="none" w:sz="0" w:space="0" w:color="auto"/>
        <w:bottom w:val="none" w:sz="0" w:space="0" w:color="auto"/>
        <w:right w:val="none" w:sz="0" w:space="0" w:color="auto"/>
      </w:divBdr>
    </w:div>
    <w:div w:id="25760457">
      <w:bodyDiv w:val="1"/>
      <w:marLeft w:val="0"/>
      <w:marRight w:val="0"/>
      <w:marTop w:val="0"/>
      <w:marBottom w:val="0"/>
      <w:divBdr>
        <w:top w:val="none" w:sz="0" w:space="0" w:color="auto"/>
        <w:left w:val="none" w:sz="0" w:space="0" w:color="auto"/>
        <w:bottom w:val="none" w:sz="0" w:space="0" w:color="auto"/>
        <w:right w:val="none" w:sz="0" w:space="0" w:color="auto"/>
      </w:divBdr>
    </w:div>
    <w:div w:id="25840577">
      <w:bodyDiv w:val="1"/>
      <w:marLeft w:val="0"/>
      <w:marRight w:val="0"/>
      <w:marTop w:val="0"/>
      <w:marBottom w:val="0"/>
      <w:divBdr>
        <w:top w:val="none" w:sz="0" w:space="0" w:color="auto"/>
        <w:left w:val="none" w:sz="0" w:space="0" w:color="auto"/>
        <w:bottom w:val="none" w:sz="0" w:space="0" w:color="auto"/>
        <w:right w:val="none" w:sz="0" w:space="0" w:color="auto"/>
      </w:divBdr>
    </w:div>
    <w:div w:id="26102564">
      <w:bodyDiv w:val="1"/>
      <w:marLeft w:val="0"/>
      <w:marRight w:val="0"/>
      <w:marTop w:val="0"/>
      <w:marBottom w:val="0"/>
      <w:divBdr>
        <w:top w:val="none" w:sz="0" w:space="0" w:color="auto"/>
        <w:left w:val="none" w:sz="0" w:space="0" w:color="auto"/>
        <w:bottom w:val="none" w:sz="0" w:space="0" w:color="auto"/>
        <w:right w:val="none" w:sz="0" w:space="0" w:color="auto"/>
      </w:divBdr>
    </w:div>
    <w:div w:id="26106199">
      <w:bodyDiv w:val="1"/>
      <w:marLeft w:val="0"/>
      <w:marRight w:val="0"/>
      <w:marTop w:val="0"/>
      <w:marBottom w:val="0"/>
      <w:divBdr>
        <w:top w:val="none" w:sz="0" w:space="0" w:color="auto"/>
        <w:left w:val="none" w:sz="0" w:space="0" w:color="auto"/>
        <w:bottom w:val="none" w:sz="0" w:space="0" w:color="auto"/>
        <w:right w:val="none" w:sz="0" w:space="0" w:color="auto"/>
      </w:divBdr>
    </w:div>
    <w:div w:id="26178614">
      <w:bodyDiv w:val="1"/>
      <w:marLeft w:val="0"/>
      <w:marRight w:val="0"/>
      <w:marTop w:val="0"/>
      <w:marBottom w:val="0"/>
      <w:divBdr>
        <w:top w:val="none" w:sz="0" w:space="0" w:color="auto"/>
        <w:left w:val="none" w:sz="0" w:space="0" w:color="auto"/>
        <w:bottom w:val="none" w:sz="0" w:space="0" w:color="auto"/>
        <w:right w:val="none" w:sz="0" w:space="0" w:color="auto"/>
      </w:divBdr>
    </w:div>
    <w:div w:id="26181395">
      <w:bodyDiv w:val="1"/>
      <w:marLeft w:val="0"/>
      <w:marRight w:val="0"/>
      <w:marTop w:val="0"/>
      <w:marBottom w:val="0"/>
      <w:divBdr>
        <w:top w:val="none" w:sz="0" w:space="0" w:color="auto"/>
        <w:left w:val="none" w:sz="0" w:space="0" w:color="auto"/>
        <w:bottom w:val="none" w:sz="0" w:space="0" w:color="auto"/>
        <w:right w:val="none" w:sz="0" w:space="0" w:color="auto"/>
      </w:divBdr>
    </w:div>
    <w:div w:id="26220138">
      <w:bodyDiv w:val="1"/>
      <w:marLeft w:val="0"/>
      <w:marRight w:val="0"/>
      <w:marTop w:val="0"/>
      <w:marBottom w:val="0"/>
      <w:divBdr>
        <w:top w:val="none" w:sz="0" w:space="0" w:color="auto"/>
        <w:left w:val="none" w:sz="0" w:space="0" w:color="auto"/>
        <w:bottom w:val="none" w:sz="0" w:space="0" w:color="auto"/>
        <w:right w:val="none" w:sz="0" w:space="0" w:color="auto"/>
      </w:divBdr>
    </w:div>
    <w:div w:id="26224652">
      <w:bodyDiv w:val="1"/>
      <w:marLeft w:val="0"/>
      <w:marRight w:val="0"/>
      <w:marTop w:val="0"/>
      <w:marBottom w:val="0"/>
      <w:divBdr>
        <w:top w:val="none" w:sz="0" w:space="0" w:color="auto"/>
        <w:left w:val="none" w:sz="0" w:space="0" w:color="auto"/>
        <w:bottom w:val="none" w:sz="0" w:space="0" w:color="auto"/>
        <w:right w:val="none" w:sz="0" w:space="0" w:color="auto"/>
      </w:divBdr>
    </w:div>
    <w:div w:id="26295617">
      <w:bodyDiv w:val="1"/>
      <w:marLeft w:val="0"/>
      <w:marRight w:val="0"/>
      <w:marTop w:val="0"/>
      <w:marBottom w:val="0"/>
      <w:divBdr>
        <w:top w:val="none" w:sz="0" w:space="0" w:color="auto"/>
        <w:left w:val="none" w:sz="0" w:space="0" w:color="auto"/>
        <w:bottom w:val="none" w:sz="0" w:space="0" w:color="auto"/>
        <w:right w:val="none" w:sz="0" w:space="0" w:color="auto"/>
      </w:divBdr>
    </w:div>
    <w:div w:id="26375816">
      <w:bodyDiv w:val="1"/>
      <w:marLeft w:val="0"/>
      <w:marRight w:val="0"/>
      <w:marTop w:val="0"/>
      <w:marBottom w:val="0"/>
      <w:divBdr>
        <w:top w:val="none" w:sz="0" w:space="0" w:color="auto"/>
        <w:left w:val="none" w:sz="0" w:space="0" w:color="auto"/>
        <w:bottom w:val="none" w:sz="0" w:space="0" w:color="auto"/>
        <w:right w:val="none" w:sz="0" w:space="0" w:color="auto"/>
      </w:divBdr>
    </w:div>
    <w:div w:id="26492368">
      <w:bodyDiv w:val="1"/>
      <w:marLeft w:val="0"/>
      <w:marRight w:val="0"/>
      <w:marTop w:val="0"/>
      <w:marBottom w:val="0"/>
      <w:divBdr>
        <w:top w:val="none" w:sz="0" w:space="0" w:color="auto"/>
        <w:left w:val="none" w:sz="0" w:space="0" w:color="auto"/>
        <w:bottom w:val="none" w:sz="0" w:space="0" w:color="auto"/>
        <w:right w:val="none" w:sz="0" w:space="0" w:color="auto"/>
      </w:divBdr>
    </w:div>
    <w:div w:id="26567213">
      <w:bodyDiv w:val="1"/>
      <w:marLeft w:val="0"/>
      <w:marRight w:val="0"/>
      <w:marTop w:val="0"/>
      <w:marBottom w:val="0"/>
      <w:divBdr>
        <w:top w:val="none" w:sz="0" w:space="0" w:color="auto"/>
        <w:left w:val="none" w:sz="0" w:space="0" w:color="auto"/>
        <w:bottom w:val="none" w:sz="0" w:space="0" w:color="auto"/>
        <w:right w:val="none" w:sz="0" w:space="0" w:color="auto"/>
      </w:divBdr>
    </w:div>
    <w:div w:id="26637086">
      <w:bodyDiv w:val="1"/>
      <w:marLeft w:val="0"/>
      <w:marRight w:val="0"/>
      <w:marTop w:val="0"/>
      <w:marBottom w:val="0"/>
      <w:divBdr>
        <w:top w:val="none" w:sz="0" w:space="0" w:color="auto"/>
        <w:left w:val="none" w:sz="0" w:space="0" w:color="auto"/>
        <w:bottom w:val="none" w:sz="0" w:space="0" w:color="auto"/>
        <w:right w:val="none" w:sz="0" w:space="0" w:color="auto"/>
      </w:divBdr>
    </w:div>
    <w:div w:id="26684435">
      <w:bodyDiv w:val="1"/>
      <w:marLeft w:val="0"/>
      <w:marRight w:val="0"/>
      <w:marTop w:val="0"/>
      <w:marBottom w:val="0"/>
      <w:divBdr>
        <w:top w:val="none" w:sz="0" w:space="0" w:color="auto"/>
        <w:left w:val="none" w:sz="0" w:space="0" w:color="auto"/>
        <w:bottom w:val="none" w:sz="0" w:space="0" w:color="auto"/>
        <w:right w:val="none" w:sz="0" w:space="0" w:color="auto"/>
      </w:divBdr>
    </w:div>
    <w:div w:id="27149158">
      <w:bodyDiv w:val="1"/>
      <w:marLeft w:val="0"/>
      <w:marRight w:val="0"/>
      <w:marTop w:val="0"/>
      <w:marBottom w:val="0"/>
      <w:divBdr>
        <w:top w:val="none" w:sz="0" w:space="0" w:color="auto"/>
        <w:left w:val="none" w:sz="0" w:space="0" w:color="auto"/>
        <w:bottom w:val="none" w:sz="0" w:space="0" w:color="auto"/>
        <w:right w:val="none" w:sz="0" w:space="0" w:color="auto"/>
      </w:divBdr>
    </w:div>
    <w:div w:id="27217001">
      <w:bodyDiv w:val="1"/>
      <w:marLeft w:val="0"/>
      <w:marRight w:val="0"/>
      <w:marTop w:val="0"/>
      <w:marBottom w:val="0"/>
      <w:divBdr>
        <w:top w:val="none" w:sz="0" w:space="0" w:color="auto"/>
        <w:left w:val="none" w:sz="0" w:space="0" w:color="auto"/>
        <w:bottom w:val="none" w:sz="0" w:space="0" w:color="auto"/>
        <w:right w:val="none" w:sz="0" w:space="0" w:color="auto"/>
      </w:divBdr>
    </w:div>
    <w:div w:id="27335002">
      <w:bodyDiv w:val="1"/>
      <w:marLeft w:val="0"/>
      <w:marRight w:val="0"/>
      <w:marTop w:val="0"/>
      <w:marBottom w:val="0"/>
      <w:divBdr>
        <w:top w:val="none" w:sz="0" w:space="0" w:color="auto"/>
        <w:left w:val="none" w:sz="0" w:space="0" w:color="auto"/>
        <w:bottom w:val="none" w:sz="0" w:space="0" w:color="auto"/>
        <w:right w:val="none" w:sz="0" w:space="0" w:color="auto"/>
      </w:divBdr>
    </w:div>
    <w:div w:id="27342663">
      <w:bodyDiv w:val="1"/>
      <w:marLeft w:val="0"/>
      <w:marRight w:val="0"/>
      <w:marTop w:val="0"/>
      <w:marBottom w:val="0"/>
      <w:divBdr>
        <w:top w:val="none" w:sz="0" w:space="0" w:color="auto"/>
        <w:left w:val="none" w:sz="0" w:space="0" w:color="auto"/>
        <w:bottom w:val="none" w:sz="0" w:space="0" w:color="auto"/>
        <w:right w:val="none" w:sz="0" w:space="0" w:color="auto"/>
      </w:divBdr>
    </w:div>
    <w:div w:id="27412590">
      <w:bodyDiv w:val="1"/>
      <w:marLeft w:val="0"/>
      <w:marRight w:val="0"/>
      <w:marTop w:val="0"/>
      <w:marBottom w:val="0"/>
      <w:divBdr>
        <w:top w:val="none" w:sz="0" w:space="0" w:color="auto"/>
        <w:left w:val="none" w:sz="0" w:space="0" w:color="auto"/>
        <w:bottom w:val="none" w:sz="0" w:space="0" w:color="auto"/>
        <w:right w:val="none" w:sz="0" w:space="0" w:color="auto"/>
      </w:divBdr>
    </w:div>
    <w:div w:id="27606079">
      <w:bodyDiv w:val="1"/>
      <w:marLeft w:val="0"/>
      <w:marRight w:val="0"/>
      <w:marTop w:val="0"/>
      <w:marBottom w:val="0"/>
      <w:divBdr>
        <w:top w:val="none" w:sz="0" w:space="0" w:color="auto"/>
        <w:left w:val="none" w:sz="0" w:space="0" w:color="auto"/>
        <w:bottom w:val="none" w:sz="0" w:space="0" w:color="auto"/>
        <w:right w:val="none" w:sz="0" w:space="0" w:color="auto"/>
      </w:divBdr>
    </w:div>
    <w:div w:id="27682774">
      <w:bodyDiv w:val="1"/>
      <w:marLeft w:val="0"/>
      <w:marRight w:val="0"/>
      <w:marTop w:val="0"/>
      <w:marBottom w:val="0"/>
      <w:divBdr>
        <w:top w:val="none" w:sz="0" w:space="0" w:color="auto"/>
        <w:left w:val="none" w:sz="0" w:space="0" w:color="auto"/>
        <w:bottom w:val="none" w:sz="0" w:space="0" w:color="auto"/>
        <w:right w:val="none" w:sz="0" w:space="0" w:color="auto"/>
      </w:divBdr>
    </w:div>
    <w:div w:id="27683421">
      <w:bodyDiv w:val="1"/>
      <w:marLeft w:val="0"/>
      <w:marRight w:val="0"/>
      <w:marTop w:val="0"/>
      <w:marBottom w:val="0"/>
      <w:divBdr>
        <w:top w:val="none" w:sz="0" w:space="0" w:color="auto"/>
        <w:left w:val="none" w:sz="0" w:space="0" w:color="auto"/>
        <w:bottom w:val="none" w:sz="0" w:space="0" w:color="auto"/>
        <w:right w:val="none" w:sz="0" w:space="0" w:color="auto"/>
      </w:divBdr>
    </w:div>
    <w:div w:id="27686257">
      <w:bodyDiv w:val="1"/>
      <w:marLeft w:val="0"/>
      <w:marRight w:val="0"/>
      <w:marTop w:val="0"/>
      <w:marBottom w:val="0"/>
      <w:divBdr>
        <w:top w:val="none" w:sz="0" w:space="0" w:color="auto"/>
        <w:left w:val="none" w:sz="0" w:space="0" w:color="auto"/>
        <w:bottom w:val="none" w:sz="0" w:space="0" w:color="auto"/>
        <w:right w:val="none" w:sz="0" w:space="0" w:color="auto"/>
      </w:divBdr>
    </w:div>
    <w:div w:id="27878558">
      <w:bodyDiv w:val="1"/>
      <w:marLeft w:val="0"/>
      <w:marRight w:val="0"/>
      <w:marTop w:val="0"/>
      <w:marBottom w:val="0"/>
      <w:divBdr>
        <w:top w:val="none" w:sz="0" w:space="0" w:color="auto"/>
        <w:left w:val="none" w:sz="0" w:space="0" w:color="auto"/>
        <w:bottom w:val="none" w:sz="0" w:space="0" w:color="auto"/>
        <w:right w:val="none" w:sz="0" w:space="0" w:color="auto"/>
      </w:divBdr>
    </w:div>
    <w:div w:id="28073321">
      <w:bodyDiv w:val="1"/>
      <w:marLeft w:val="0"/>
      <w:marRight w:val="0"/>
      <w:marTop w:val="0"/>
      <w:marBottom w:val="0"/>
      <w:divBdr>
        <w:top w:val="none" w:sz="0" w:space="0" w:color="auto"/>
        <w:left w:val="none" w:sz="0" w:space="0" w:color="auto"/>
        <w:bottom w:val="none" w:sz="0" w:space="0" w:color="auto"/>
        <w:right w:val="none" w:sz="0" w:space="0" w:color="auto"/>
      </w:divBdr>
    </w:div>
    <w:div w:id="28144328">
      <w:bodyDiv w:val="1"/>
      <w:marLeft w:val="0"/>
      <w:marRight w:val="0"/>
      <w:marTop w:val="0"/>
      <w:marBottom w:val="0"/>
      <w:divBdr>
        <w:top w:val="none" w:sz="0" w:space="0" w:color="auto"/>
        <w:left w:val="none" w:sz="0" w:space="0" w:color="auto"/>
        <w:bottom w:val="none" w:sz="0" w:space="0" w:color="auto"/>
        <w:right w:val="none" w:sz="0" w:space="0" w:color="auto"/>
      </w:divBdr>
    </w:div>
    <w:div w:id="28184744">
      <w:bodyDiv w:val="1"/>
      <w:marLeft w:val="0"/>
      <w:marRight w:val="0"/>
      <w:marTop w:val="0"/>
      <w:marBottom w:val="0"/>
      <w:divBdr>
        <w:top w:val="none" w:sz="0" w:space="0" w:color="auto"/>
        <w:left w:val="none" w:sz="0" w:space="0" w:color="auto"/>
        <w:bottom w:val="none" w:sz="0" w:space="0" w:color="auto"/>
        <w:right w:val="none" w:sz="0" w:space="0" w:color="auto"/>
      </w:divBdr>
    </w:div>
    <w:div w:id="28192354">
      <w:bodyDiv w:val="1"/>
      <w:marLeft w:val="0"/>
      <w:marRight w:val="0"/>
      <w:marTop w:val="0"/>
      <w:marBottom w:val="0"/>
      <w:divBdr>
        <w:top w:val="none" w:sz="0" w:space="0" w:color="auto"/>
        <w:left w:val="none" w:sz="0" w:space="0" w:color="auto"/>
        <w:bottom w:val="none" w:sz="0" w:space="0" w:color="auto"/>
        <w:right w:val="none" w:sz="0" w:space="0" w:color="auto"/>
      </w:divBdr>
    </w:div>
    <w:div w:id="28335381">
      <w:bodyDiv w:val="1"/>
      <w:marLeft w:val="0"/>
      <w:marRight w:val="0"/>
      <w:marTop w:val="0"/>
      <w:marBottom w:val="0"/>
      <w:divBdr>
        <w:top w:val="none" w:sz="0" w:space="0" w:color="auto"/>
        <w:left w:val="none" w:sz="0" w:space="0" w:color="auto"/>
        <w:bottom w:val="none" w:sz="0" w:space="0" w:color="auto"/>
        <w:right w:val="none" w:sz="0" w:space="0" w:color="auto"/>
      </w:divBdr>
    </w:div>
    <w:div w:id="28338802">
      <w:bodyDiv w:val="1"/>
      <w:marLeft w:val="0"/>
      <w:marRight w:val="0"/>
      <w:marTop w:val="0"/>
      <w:marBottom w:val="0"/>
      <w:divBdr>
        <w:top w:val="none" w:sz="0" w:space="0" w:color="auto"/>
        <w:left w:val="none" w:sz="0" w:space="0" w:color="auto"/>
        <w:bottom w:val="none" w:sz="0" w:space="0" w:color="auto"/>
        <w:right w:val="none" w:sz="0" w:space="0" w:color="auto"/>
      </w:divBdr>
    </w:div>
    <w:div w:id="28378098">
      <w:bodyDiv w:val="1"/>
      <w:marLeft w:val="0"/>
      <w:marRight w:val="0"/>
      <w:marTop w:val="0"/>
      <w:marBottom w:val="0"/>
      <w:divBdr>
        <w:top w:val="none" w:sz="0" w:space="0" w:color="auto"/>
        <w:left w:val="none" w:sz="0" w:space="0" w:color="auto"/>
        <w:bottom w:val="none" w:sz="0" w:space="0" w:color="auto"/>
        <w:right w:val="none" w:sz="0" w:space="0" w:color="auto"/>
      </w:divBdr>
    </w:div>
    <w:div w:id="28459455">
      <w:bodyDiv w:val="1"/>
      <w:marLeft w:val="0"/>
      <w:marRight w:val="0"/>
      <w:marTop w:val="0"/>
      <w:marBottom w:val="0"/>
      <w:divBdr>
        <w:top w:val="none" w:sz="0" w:space="0" w:color="auto"/>
        <w:left w:val="none" w:sz="0" w:space="0" w:color="auto"/>
        <w:bottom w:val="none" w:sz="0" w:space="0" w:color="auto"/>
        <w:right w:val="none" w:sz="0" w:space="0" w:color="auto"/>
      </w:divBdr>
    </w:div>
    <w:div w:id="28802006">
      <w:bodyDiv w:val="1"/>
      <w:marLeft w:val="0"/>
      <w:marRight w:val="0"/>
      <w:marTop w:val="0"/>
      <w:marBottom w:val="0"/>
      <w:divBdr>
        <w:top w:val="none" w:sz="0" w:space="0" w:color="auto"/>
        <w:left w:val="none" w:sz="0" w:space="0" w:color="auto"/>
        <w:bottom w:val="none" w:sz="0" w:space="0" w:color="auto"/>
        <w:right w:val="none" w:sz="0" w:space="0" w:color="auto"/>
      </w:divBdr>
    </w:div>
    <w:div w:id="28916684">
      <w:bodyDiv w:val="1"/>
      <w:marLeft w:val="0"/>
      <w:marRight w:val="0"/>
      <w:marTop w:val="0"/>
      <w:marBottom w:val="0"/>
      <w:divBdr>
        <w:top w:val="none" w:sz="0" w:space="0" w:color="auto"/>
        <w:left w:val="none" w:sz="0" w:space="0" w:color="auto"/>
        <w:bottom w:val="none" w:sz="0" w:space="0" w:color="auto"/>
        <w:right w:val="none" w:sz="0" w:space="0" w:color="auto"/>
      </w:divBdr>
    </w:div>
    <w:div w:id="28917146">
      <w:bodyDiv w:val="1"/>
      <w:marLeft w:val="0"/>
      <w:marRight w:val="0"/>
      <w:marTop w:val="0"/>
      <w:marBottom w:val="0"/>
      <w:divBdr>
        <w:top w:val="none" w:sz="0" w:space="0" w:color="auto"/>
        <w:left w:val="none" w:sz="0" w:space="0" w:color="auto"/>
        <w:bottom w:val="none" w:sz="0" w:space="0" w:color="auto"/>
        <w:right w:val="none" w:sz="0" w:space="0" w:color="auto"/>
      </w:divBdr>
    </w:div>
    <w:div w:id="28922720">
      <w:bodyDiv w:val="1"/>
      <w:marLeft w:val="0"/>
      <w:marRight w:val="0"/>
      <w:marTop w:val="0"/>
      <w:marBottom w:val="0"/>
      <w:divBdr>
        <w:top w:val="none" w:sz="0" w:space="0" w:color="auto"/>
        <w:left w:val="none" w:sz="0" w:space="0" w:color="auto"/>
        <w:bottom w:val="none" w:sz="0" w:space="0" w:color="auto"/>
        <w:right w:val="none" w:sz="0" w:space="0" w:color="auto"/>
      </w:divBdr>
    </w:div>
    <w:div w:id="29040199">
      <w:bodyDiv w:val="1"/>
      <w:marLeft w:val="0"/>
      <w:marRight w:val="0"/>
      <w:marTop w:val="0"/>
      <w:marBottom w:val="0"/>
      <w:divBdr>
        <w:top w:val="none" w:sz="0" w:space="0" w:color="auto"/>
        <w:left w:val="none" w:sz="0" w:space="0" w:color="auto"/>
        <w:bottom w:val="none" w:sz="0" w:space="0" w:color="auto"/>
        <w:right w:val="none" w:sz="0" w:space="0" w:color="auto"/>
      </w:divBdr>
    </w:div>
    <w:div w:id="29040214">
      <w:bodyDiv w:val="1"/>
      <w:marLeft w:val="0"/>
      <w:marRight w:val="0"/>
      <w:marTop w:val="0"/>
      <w:marBottom w:val="0"/>
      <w:divBdr>
        <w:top w:val="none" w:sz="0" w:space="0" w:color="auto"/>
        <w:left w:val="none" w:sz="0" w:space="0" w:color="auto"/>
        <w:bottom w:val="none" w:sz="0" w:space="0" w:color="auto"/>
        <w:right w:val="none" w:sz="0" w:space="0" w:color="auto"/>
      </w:divBdr>
    </w:div>
    <w:div w:id="29191386">
      <w:bodyDiv w:val="1"/>
      <w:marLeft w:val="0"/>
      <w:marRight w:val="0"/>
      <w:marTop w:val="0"/>
      <w:marBottom w:val="0"/>
      <w:divBdr>
        <w:top w:val="none" w:sz="0" w:space="0" w:color="auto"/>
        <w:left w:val="none" w:sz="0" w:space="0" w:color="auto"/>
        <w:bottom w:val="none" w:sz="0" w:space="0" w:color="auto"/>
        <w:right w:val="none" w:sz="0" w:space="0" w:color="auto"/>
      </w:divBdr>
    </w:div>
    <w:div w:id="29234551">
      <w:bodyDiv w:val="1"/>
      <w:marLeft w:val="0"/>
      <w:marRight w:val="0"/>
      <w:marTop w:val="0"/>
      <w:marBottom w:val="0"/>
      <w:divBdr>
        <w:top w:val="none" w:sz="0" w:space="0" w:color="auto"/>
        <w:left w:val="none" w:sz="0" w:space="0" w:color="auto"/>
        <w:bottom w:val="none" w:sz="0" w:space="0" w:color="auto"/>
        <w:right w:val="none" w:sz="0" w:space="0" w:color="auto"/>
      </w:divBdr>
    </w:div>
    <w:div w:id="29234708">
      <w:bodyDiv w:val="1"/>
      <w:marLeft w:val="0"/>
      <w:marRight w:val="0"/>
      <w:marTop w:val="0"/>
      <w:marBottom w:val="0"/>
      <w:divBdr>
        <w:top w:val="none" w:sz="0" w:space="0" w:color="auto"/>
        <w:left w:val="none" w:sz="0" w:space="0" w:color="auto"/>
        <w:bottom w:val="none" w:sz="0" w:space="0" w:color="auto"/>
        <w:right w:val="none" w:sz="0" w:space="0" w:color="auto"/>
      </w:divBdr>
    </w:div>
    <w:div w:id="29306711">
      <w:bodyDiv w:val="1"/>
      <w:marLeft w:val="0"/>
      <w:marRight w:val="0"/>
      <w:marTop w:val="0"/>
      <w:marBottom w:val="0"/>
      <w:divBdr>
        <w:top w:val="none" w:sz="0" w:space="0" w:color="auto"/>
        <w:left w:val="none" w:sz="0" w:space="0" w:color="auto"/>
        <w:bottom w:val="none" w:sz="0" w:space="0" w:color="auto"/>
        <w:right w:val="none" w:sz="0" w:space="0" w:color="auto"/>
      </w:divBdr>
    </w:div>
    <w:div w:id="29380087">
      <w:bodyDiv w:val="1"/>
      <w:marLeft w:val="0"/>
      <w:marRight w:val="0"/>
      <w:marTop w:val="0"/>
      <w:marBottom w:val="0"/>
      <w:divBdr>
        <w:top w:val="none" w:sz="0" w:space="0" w:color="auto"/>
        <w:left w:val="none" w:sz="0" w:space="0" w:color="auto"/>
        <w:bottom w:val="none" w:sz="0" w:space="0" w:color="auto"/>
        <w:right w:val="none" w:sz="0" w:space="0" w:color="auto"/>
      </w:divBdr>
    </w:div>
    <w:div w:id="29380363">
      <w:bodyDiv w:val="1"/>
      <w:marLeft w:val="0"/>
      <w:marRight w:val="0"/>
      <w:marTop w:val="0"/>
      <w:marBottom w:val="0"/>
      <w:divBdr>
        <w:top w:val="none" w:sz="0" w:space="0" w:color="auto"/>
        <w:left w:val="none" w:sz="0" w:space="0" w:color="auto"/>
        <w:bottom w:val="none" w:sz="0" w:space="0" w:color="auto"/>
        <w:right w:val="none" w:sz="0" w:space="0" w:color="auto"/>
      </w:divBdr>
    </w:div>
    <w:div w:id="29426144">
      <w:bodyDiv w:val="1"/>
      <w:marLeft w:val="0"/>
      <w:marRight w:val="0"/>
      <w:marTop w:val="0"/>
      <w:marBottom w:val="0"/>
      <w:divBdr>
        <w:top w:val="none" w:sz="0" w:space="0" w:color="auto"/>
        <w:left w:val="none" w:sz="0" w:space="0" w:color="auto"/>
        <w:bottom w:val="none" w:sz="0" w:space="0" w:color="auto"/>
        <w:right w:val="none" w:sz="0" w:space="0" w:color="auto"/>
      </w:divBdr>
    </w:div>
    <w:div w:id="29451462">
      <w:bodyDiv w:val="1"/>
      <w:marLeft w:val="0"/>
      <w:marRight w:val="0"/>
      <w:marTop w:val="0"/>
      <w:marBottom w:val="0"/>
      <w:divBdr>
        <w:top w:val="none" w:sz="0" w:space="0" w:color="auto"/>
        <w:left w:val="none" w:sz="0" w:space="0" w:color="auto"/>
        <w:bottom w:val="none" w:sz="0" w:space="0" w:color="auto"/>
        <w:right w:val="none" w:sz="0" w:space="0" w:color="auto"/>
      </w:divBdr>
    </w:div>
    <w:div w:id="29497433">
      <w:bodyDiv w:val="1"/>
      <w:marLeft w:val="0"/>
      <w:marRight w:val="0"/>
      <w:marTop w:val="0"/>
      <w:marBottom w:val="0"/>
      <w:divBdr>
        <w:top w:val="none" w:sz="0" w:space="0" w:color="auto"/>
        <w:left w:val="none" w:sz="0" w:space="0" w:color="auto"/>
        <w:bottom w:val="none" w:sz="0" w:space="0" w:color="auto"/>
        <w:right w:val="none" w:sz="0" w:space="0" w:color="auto"/>
      </w:divBdr>
    </w:div>
    <w:div w:id="29577402">
      <w:bodyDiv w:val="1"/>
      <w:marLeft w:val="0"/>
      <w:marRight w:val="0"/>
      <w:marTop w:val="0"/>
      <w:marBottom w:val="0"/>
      <w:divBdr>
        <w:top w:val="none" w:sz="0" w:space="0" w:color="auto"/>
        <w:left w:val="none" w:sz="0" w:space="0" w:color="auto"/>
        <w:bottom w:val="none" w:sz="0" w:space="0" w:color="auto"/>
        <w:right w:val="none" w:sz="0" w:space="0" w:color="auto"/>
      </w:divBdr>
    </w:div>
    <w:div w:id="29843329">
      <w:bodyDiv w:val="1"/>
      <w:marLeft w:val="0"/>
      <w:marRight w:val="0"/>
      <w:marTop w:val="0"/>
      <w:marBottom w:val="0"/>
      <w:divBdr>
        <w:top w:val="none" w:sz="0" w:space="0" w:color="auto"/>
        <w:left w:val="none" w:sz="0" w:space="0" w:color="auto"/>
        <w:bottom w:val="none" w:sz="0" w:space="0" w:color="auto"/>
        <w:right w:val="none" w:sz="0" w:space="0" w:color="auto"/>
      </w:divBdr>
    </w:div>
    <w:div w:id="29915244">
      <w:bodyDiv w:val="1"/>
      <w:marLeft w:val="0"/>
      <w:marRight w:val="0"/>
      <w:marTop w:val="0"/>
      <w:marBottom w:val="0"/>
      <w:divBdr>
        <w:top w:val="none" w:sz="0" w:space="0" w:color="auto"/>
        <w:left w:val="none" w:sz="0" w:space="0" w:color="auto"/>
        <w:bottom w:val="none" w:sz="0" w:space="0" w:color="auto"/>
        <w:right w:val="none" w:sz="0" w:space="0" w:color="auto"/>
      </w:divBdr>
    </w:div>
    <w:div w:id="29915539">
      <w:bodyDiv w:val="1"/>
      <w:marLeft w:val="0"/>
      <w:marRight w:val="0"/>
      <w:marTop w:val="0"/>
      <w:marBottom w:val="0"/>
      <w:divBdr>
        <w:top w:val="none" w:sz="0" w:space="0" w:color="auto"/>
        <w:left w:val="none" w:sz="0" w:space="0" w:color="auto"/>
        <w:bottom w:val="none" w:sz="0" w:space="0" w:color="auto"/>
        <w:right w:val="none" w:sz="0" w:space="0" w:color="auto"/>
      </w:divBdr>
    </w:div>
    <w:div w:id="29958342">
      <w:bodyDiv w:val="1"/>
      <w:marLeft w:val="0"/>
      <w:marRight w:val="0"/>
      <w:marTop w:val="0"/>
      <w:marBottom w:val="0"/>
      <w:divBdr>
        <w:top w:val="none" w:sz="0" w:space="0" w:color="auto"/>
        <w:left w:val="none" w:sz="0" w:space="0" w:color="auto"/>
        <w:bottom w:val="none" w:sz="0" w:space="0" w:color="auto"/>
        <w:right w:val="none" w:sz="0" w:space="0" w:color="auto"/>
      </w:divBdr>
    </w:div>
    <w:div w:id="30150369">
      <w:bodyDiv w:val="1"/>
      <w:marLeft w:val="0"/>
      <w:marRight w:val="0"/>
      <w:marTop w:val="0"/>
      <w:marBottom w:val="0"/>
      <w:divBdr>
        <w:top w:val="none" w:sz="0" w:space="0" w:color="auto"/>
        <w:left w:val="none" w:sz="0" w:space="0" w:color="auto"/>
        <w:bottom w:val="none" w:sz="0" w:space="0" w:color="auto"/>
        <w:right w:val="none" w:sz="0" w:space="0" w:color="auto"/>
      </w:divBdr>
    </w:div>
    <w:div w:id="30151965">
      <w:bodyDiv w:val="1"/>
      <w:marLeft w:val="0"/>
      <w:marRight w:val="0"/>
      <w:marTop w:val="0"/>
      <w:marBottom w:val="0"/>
      <w:divBdr>
        <w:top w:val="none" w:sz="0" w:space="0" w:color="auto"/>
        <w:left w:val="none" w:sz="0" w:space="0" w:color="auto"/>
        <w:bottom w:val="none" w:sz="0" w:space="0" w:color="auto"/>
        <w:right w:val="none" w:sz="0" w:space="0" w:color="auto"/>
      </w:divBdr>
    </w:div>
    <w:div w:id="30228651">
      <w:bodyDiv w:val="1"/>
      <w:marLeft w:val="0"/>
      <w:marRight w:val="0"/>
      <w:marTop w:val="0"/>
      <w:marBottom w:val="0"/>
      <w:divBdr>
        <w:top w:val="none" w:sz="0" w:space="0" w:color="auto"/>
        <w:left w:val="none" w:sz="0" w:space="0" w:color="auto"/>
        <w:bottom w:val="none" w:sz="0" w:space="0" w:color="auto"/>
        <w:right w:val="none" w:sz="0" w:space="0" w:color="auto"/>
      </w:divBdr>
    </w:div>
    <w:div w:id="30229114">
      <w:bodyDiv w:val="1"/>
      <w:marLeft w:val="0"/>
      <w:marRight w:val="0"/>
      <w:marTop w:val="0"/>
      <w:marBottom w:val="0"/>
      <w:divBdr>
        <w:top w:val="none" w:sz="0" w:space="0" w:color="auto"/>
        <w:left w:val="none" w:sz="0" w:space="0" w:color="auto"/>
        <w:bottom w:val="none" w:sz="0" w:space="0" w:color="auto"/>
        <w:right w:val="none" w:sz="0" w:space="0" w:color="auto"/>
      </w:divBdr>
    </w:div>
    <w:div w:id="30232565">
      <w:bodyDiv w:val="1"/>
      <w:marLeft w:val="0"/>
      <w:marRight w:val="0"/>
      <w:marTop w:val="0"/>
      <w:marBottom w:val="0"/>
      <w:divBdr>
        <w:top w:val="none" w:sz="0" w:space="0" w:color="auto"/>
        <w:left w:val="none" w:sz="0" w:space="0" w:color="auto"/>
        <w:bottom w:val="none" w:sz="0" w:space="0" w:color="auto"/>
        <w:right w:val="none" w:sz="0" w:space="0" w:color="auto"/>
      </w:divBdr>
    </w:div>
    <w:div w:id="30309561">
      <w:bodyDiv w:val="1"/>
      <w:marLeft w:val="0"/>
      <w:marRight w:val="0"/>
      <w:marTop w:val="0"/>
      <w:marBottom w:val="0"/>
      <w:divBdr>
        <w:top w:val="none" w:sz="0" w:space="0" w:color="auto"/>
        <w:left w:val="none" w:sz="0" w:space="0" w:color="auto"/>
        <w:bottom w:val="none" w:sz="0" w:space="0" w:color="auto"/>
        <w:right w:val="none" w:sz="0" w:space="0" w:color="auto"/>
      </w:divBdr>
    </w:div>
    <w:div w:id="30349569">
      <w:bodyDiv w:val="1"/>
      <w:marLeft w:val="0"/>
      <w:marRight w:val="0"/>
      <w:marTop w:val="0"/>
      <w:marBottom w:val="0"/>
      <w:divBdr>
        <w:top w:val="none" w:sz="0" w:space="0" w:color="auto"/>
        <w:left w:val="none" w:sz="0" w:space="0" w:color="auto"/>
        <w:bottom w:val="none" w:sz="0" w:space="0" w:color="auto"/>
        <w:right w:val="none" w:sz="0" w:space="0" w:color="auto"/>
      </w:divBdr>
    </w:div>
    <w:div w:id="30421766">
      <w:bodyDiv w:val="1"/>
      <w:marLeft w:val="0"/>
      <w:marRight w:val="0"/>
      <w:marTop w:val="0"/>
      <w:marBottom w:val="0"/>
      <w:divBdr>
        <w:top w:val="none" w:sz="0" w:space="0" w:color="auto"/>
        <w:left w:val="none" w:sz="0" w:space="0" w:color="auto"/>
        <w:bottom w:val="none" w:sz="0" w:space="0" w:color="auto"/>
        <w:right w:val="none" w:sz="0" w:space="0" w:color="auto"/>
      </w:divBdr>
    </w:div>
    <w:div w:id="30613557">
      <w:bodyDiv w:val="1"/>
      <w:marLeft w:val="0"/>
      <w:marRight w:val="0"/>
      <w:marTop w:val="0"/>
      <w:marBottom w:val="0"/>
      <w:divBdr>
        <w:top w:val="none" w:sz="0" w:space="0" w:color="auto"/>
        <w:left w:val="none" w:sz="0" w:space="0" w:color="auto"/>
        <w:bottom w:val="none" w:sz="0" w:space="0" w:color="auto"/>
        <w:right w:val="none" w:sz="0" w:space="0" w:color="auto"/>
      </w:divBdr>
    </w:div>
    <w:div w:id="30810860">
      <w:bodyDiv w:val="1"/>
      <w:marLeft w:val="0"/>
      <w:marRight w:val="0"/>
      <w:marTop w:val="0"/>
      <w:marBottom w:val="0"/>
      <w:divBdr>
        <w:top w:val="none" w:sz="0" w:space="0" w:color="auto"/>
        <w:left w:val="none" w:sz="0" w:space="0" w:color="auto"/>
        <w:bottom w:val="none" w:sz="0" w:space="0" w:color="auto"/>
        <w:right w:val="none" w:sz="0" w:space="0" w:color="auto"/>
      </w:divBdr>
    </w:div>
    <w:div w:id="30887772">
      <w:bodyDiv w:val="1"/>
      <w:marLeft w:val="0"/>
      <w:marRight w:val="0"/>
      <w:marTop w:val="0"/>
      <w:marBottom w:val="0"/>
      <w:divBdr>
        <w:top w:val="none" w:sz="0" w:space="0" w:color="auto"/>
        <w:left w:val="none" w:sz="0" w:space="0" w:color="auto"/>
        <w:bottom w:val="none" w:sz="0" w:space="0" w:color="auto"/>
        <w:right w:val="none" w:sz="0" w:space="0" w:color="auto"/>
      </w:divBdr>
    </w:div>
    <w:div w:id="30957034">
      <w:bodyDiv w:val="1"/>
      <w:marLeft w:val="0"/>
      <w:marRight w:val="0"/>
      <w:marTop w:val="0"/>
      <w:marBottom w:val="0"/>
      <w:divBdr>
        <w:top w:val="none" w:sz="0" w:space="0" w:color="auto"/>
        <w:left w:val="none" w:sz="0" w:space="0" w:color="auto"/>
        <w:bottom w:val="none" w:sz="0" w:space="0" w:color="auto"/>
        <w:right w:val="none" w:sz="0" w:space="0" w:color="auto"/>
      </w:divBdr>
    </w:div>
    <w:div w:id="30958179">
      <w:bodyDiv w:val="1"/>
      <w:marLeft w:val="0"/>
      <w:marRight w:val="0"/>
      <w:marTop w:val="0"/>
      <w:marBottom w:val="0"/>
      <w:divBdr>
        <w:top w:val="none" w:sz="0" w:space="0" w:color="auto"/>
        <w:left w:val="none" w:sz="0" w:space="0" w:color="auto"/>
        <w:bottom w:val="none" w:sz="0" w:space="0" w:color="auto"/>
        <w:right w:val="none" w:sz="0" w:space="0" w:color="auto"/>
      </w:divBdr>
    </w:div>
    <w:div w:id="31003169">
      <w:bodyDiv w:val="1"/>
      <w:marLeft w:val="0"/>
      <w:marRight w:val="0"/>
      <w:marTop w:val="0"/>
      <w:marBottom w:val="0"/>
      <w:divBdr>
        <w:top w:val="none" w:sz="0" w:space="0" w:color="auto"/>
        <w:left w:val="none" w:sz="0" w:space="0" w:color="auto"/>
        <w:bottom w:val="none" w:sz="0" w:space="0" w:color="auto"/>
        <w:right w:val="none" w:sz="0" w:space="0" w:color="auto"/>
      </w:divBdr>
    </w:div>
    <w:div w:id="31004262">
      <w:bodyDiv w:val="1"/>
      <w:marLeft w:val="0"/>
      <w:marRight w:val="0"/>
      <w:marTop w:val="0"/>
      <w:marBottom w:val="0"/>
      <w:divBdr>
        <w:top w:val="none" w:sz="0" w:space="0" w:color="auto"/>
        <w:left w:val="none" w:sz="0" w:space="0" w:color="auto"/>
        <w:bottom w:val="none" w:sz="0" w:space="0" w:color="auto"/>
        <w:right w:val="none" w:sz="0" w:space="0" w:color="auto"/>
      </w:divBdr>
    </w:div>
    <w:div w:id="31152654">
      <w:bodyDiv w:val="1"/>
      <w:marLeft w:val="0"/>
      <w:marRight w:val="0"/>
      <w:marTop w:val="0"/>
      <w:marBottom w:val="0"/>
      <w:divBdr>
        <w:top w:val="none" w:sz="0" w:space="0" w:color="auto"/>
        <w:left w:val="none" w:sz="0" w:space="0" w:color="auto"/>
        <w:bottom w:val="none" w:sz="0" w:space="0" w:color="auto"/>
        <w:right w:val="none" w:sz="0" w:space="0" w:color="auto"/>
      </w:divBdr>
    </w:div>
    <w:div w:id="31224690">
      <w:bodyDiv w:val="1"/>
      <w:marLeft w:val="0"/>
      <w:marRight w:val="0"/>
      <w:marTop w:val="0"/>
      <w:marBottom w:val="0"/>
      <w:divBdr>
        <w:top w:val="none" w:sz="0" w:space="0" w:color="auto"/>
        <w:left w:val="none" w:sz="0" w:space="0" w:color="auto"/>
        <w:bottom w:val="none" w:sz="0" w:space="0" w:color="auto"/>
        <w:right w:val="none" w:sz="0" w:space="0" w:color="auto"/>
      </w:divBdr>
    </w:div>
    <w:div w:id="31267866">
      <w:bodyDiv w:val="1"/>
      <w:marLeft w:val="0"/>
      <w:marRight w:val="0"/>
      <w:marTop w:val="0"/>
      <w:marBottom w:val="0"/>
      <w:divBdr>
        <w:top w:val="none" w:sz="0" w:space="0" w:color="auto"/>
        <w:left w:val="none" w:sz="0" w:space="0" w:color="auto"/>
        <w:bottom w:val="none" w:sz="0" w:space="0" w:color="auto"/>
        <w:right w:val="none" w:sz="0" w:space="0" w:color="auto"/>
      </w:divBdr>
    </w:div>
    <w:div w:id="31274663">
      <w:bodyDiv w:val="1"/>
      <w:marLeft w:val="0"/>
      <w:marRight w:val="0"/>
      <w:marTop w:val="0"/>
      <w:marBottom w:val="0"/>
      <w:divBdr>
        <w:top w:val="none" w:sz="0" w:space="0" w:color="auto"/>
        <w:left w:val="none" w:sz="0" w:space="0" w:color="auto"/>
        <w:bottom w:val="none" w:sz="0" w:space="0" w:color="auto"/>
        <w:right w:val="none" w:sz="0" w:space="0" w:color="auto"/>
      </w:divBdr>
    </w:div>
    <w:div w:id="31274762">
      <w:bodyDiv w:val="1"/>
      <w:marLeft w:val="0"/>
      <w:marRight w:val="0"/>
      <w:marTop w:val="0"/>
      <w:marBottom w:val="0"/>
      <w:divBdr>
        <w:top w:val="none" w:sz="0" w:space="0" w:color="auto"/>
        <w:left w:val="none" w:sz="0" w:space="0" w:color="auto"/>
        <w:bottom w:val="none" w:sz="0" w:space="0" w:color="auto"/>
        <w:right w:val="none" w:sz="0" w:space="0" w:color="auto"/>
      </w:divBdr>
    </w:div>
    <w:div w:id="31392956">
      <w:bodyDiv w:val="1"/>
      <w:marLeft w:val="0"/>
      <w:marRight w:val="0"/>
      <w:marTop w:val="0"/>
      <w:marBottom w:val="0"/>
      <w:divBdr>
        <w:top w:val="none" w:sz="0" w:space="0" w:color="auto"/>
        <w:left w:val="none" w:sz="0" w:space="0" w:color="auto"/>
        <w:bottom w:val="none" w:sz="0" w:space="0" w:color="auto"/>
        <w:right w:val="none" w:sz="0" w:space="0" w:color="auto"/>
      </w:divBdr>
    </w:div>
    <w:div w:id="31465871">
      <w:bodyDiv w:val="1"/>
      <w:marLeft w:val="0"/>
      <w:marRight w:val="0"/>
      <w:marTop w:val="0"/>
      <w:marBottom w:val="0"/>
      <w:divBdr>
        <w:top w:val="none" w:sz="0" w:space="0" w:color="auto"/>
        <w:left w:val="none" w:sz="0" w:space="0" w:color="auto"/>
        <w:bottom w:val="none" w:sz="0" w:space="0" w:color="auto"/>
        <w:right w:val="none" w:sz="0" w:space="0" w:color="auto"/>
      </w:divBdr>
    </w:div>
    <w:div w:id="31809426">
      <w:bodyDiv w:val="1"/>
      <w:marLeft w:val="0"/>
      <w:marRight w:val="0"/>
      <w:marTop w:val="0"/>
      <w:marBottom w:val="0"/>
      <w:divBdr>
        <w:top w:val="none" w:sz="0" w:space="0" w:color="auto"/>
        <w:left w:val="none" w:sz="0" w:space="0" w:color="auto"/>
        <w:bottom w:val="none" w:sz="0" w:space="0" w:color="auto"/>
        <w:right w:val="none" w:sz="0" w:space="0" w:color="auto"/>
      </w:divBdr>
    </w:div>
    <w:div w:id="31923333">
      <w:bodyDiv w:val="1"/>
      <w:marLeft w:val="0"/>
      <w:marRight w:val="0"/>
      <w:marTop w:val="0"/>
      <w:marBottom w:val="0"/>
      <w:divBdr>
        <w:top w:val="none" w:sz="0" w:space="0" w:color="auto"/>
        <w:left w:val="none" w:sz="0" w:space="0" w:color="auto"/>
        <w:bottom w:val="none" w:sz="0" w:space="0" w:color="auto"/>
        <w:right w:val="none" w:sz="0" w:space="0" w:color="auto"/>
      </w:divBdr>
    </w:div>
    <w:div w:id="31923506">
      <w:bodyDiv w:val="1"/>
      <w:marLeft w:val="0"/>
      <w:marRight w:val="0"/>
      <w:marTop w:val="0"/>
      <w:marBottom w:val="0"/>
      <w:divBdr>
        <w:top w:val="none" w:sz="0" w:space="0" w:color="auto"/>
        <w:left w:val="none" w:sz="0" w:space="0" w:color="auto"/>
        <w:bottom w:val="none" w:sz="0" w:space="0" w:color="auto"/>
        <w:right w:val="none" w:sz="0" w:space="0" w:color="auto"/>
      </w:divBdr>
    </w:div>
    <w:div w:id="31929211">
      <w:bodyDiv w:val="1"/>
      <w:marLeft w:val="0"/>
      <w:marRight w:val="0"/>
      <w:marTop w:val="0"/>
      <w:marBottom w:val="0"/>
      <w:divBdr>
        <w:top w:val="none" w:sz="0" w:space="0" w:color="auto"/>
        <w:left w:val="none" w:sz="0" w:space="0" w:color="auto"/>
        <w:bottom w:val="none" w:sz="0" w:space="0" w:color="auto"/>
        <w:right w:val="none" w:sz="0" w:space="0" w:color="auto"/>
      </w:divBdr>
    </w:div>
    <w:div w:id="31998840">
      <w:bodyDiv w:val="1"/>
      <w:marLeft w:val="0"/>
      <w:marRight w:val="0"/>
      <w:marTop w:val="0"/>
      <w:marBottom w:val="0"/>
      <w:divBdr>
        <w:top w:val="none" w:sz="0" w:space="0" w:color="auto"/>
        <w:left w:val="none" w:sz="0" w:space="0" w:color="auto"/>
        <w:bottom w:val="none" w:sz="0" w:space="0" w:color="auto"/>
        <w:right w:val="none" w:sz="0" w:space="0" w:color="auto"/>
      </w:divBdr>
    </w:div>
    <w:div w:id="32002384">
      <w:bodyDiv w:val="1"/>
      <w:marLeft w:val="0"/>
      <w:marRight w:val="0"/>
      <w:marTop w:val="0"/>
      <w:marBottom w:val="0"/>
      <w:divBdr>
        <w:top w:val="none" w:sz="0" w:space="0" w:color="auto"/>
        <w:left w:val="none" w:sz="0" w:space="0" w:color="auto"/>
        <w:bottom w:val="none" w:sz="0" w:space="0" w:color="auto"/>
        <w:right w:val="none" w:sz="0" w:space="0" w:color="auto"/>
      </w:divBdr>
    </w:div>
    <w:div w:id="32002710">
      <w:bodyDiv w:val="1"/>
      <w:marLeft w:val="0"/>
      <w:marRight w:val="0"/>
      <w:marTop w:val="0"/>
      <w:marBottom w:val="0"/>
      <w:divBdr>
        <w:top w:val="none" w:sz="0" w:space="0" w:color="auto"/>
        <w:left w:val="none" w:sz="0" w:space="0" w:color="auto"/>
        <w:bottom w:val="none" w:sz="0" w:space="0" w:color="auto"/>
        <w:right w:val="none" w:sz="0" w:space="0" w:color="auto"/>
      </w:divBdr>
    </w:div>
    <w:div w:id="32003186">
      <w:bodyDiv w:val="1"/>
      <w:marLeft w:val="0"/>
      <w:marRight w:val="0"/>
      <w:marTop w:val="0"/>
      <w:marBottom w:val="0"/>
      <w:divBdr>
        <w:top w:val="none" w:sz="0" w:space="0" w:color="auto"/>
        <w:left w:val="none" w:sz="0" w:space="0" w:color="auto"/>
        <w:bottom w:val="none" w:sz="0" w:space="0" w:color="auto"/>
        <w:right w:val="none" w:sz="0" w:space="0" w:color="auto"/>
      </w:divBdr>
    </w:div>
    <w:div w:id="32006788">
      <w:bodyDiv w:val="1"/>
      <w:marLeft w:val="0"/>
      <w:marRight w:val="0"/>
      <w:marTop w:val="0"/>
      <w:marBottom w:val="0"/>
      <w:divBdr>
        <w:top w:val="none" w:sz="0" w:space="0" w:color="auto"/>
        <w:left w:val="none" w:sz="0" w:space="0" w:color="auto"/>
        <w:bottom w:val="none" w:sz="0" w:space="0" w:color="auto"/>
        <w:right w:val="none" w:sz="0" w:space="0" w:color="auto"/>
      </w:divBdr>
    </w:div>
    <w:div w:id="32049389">
      <w:bodyDiv w:val="1"/>
      <w:marLeft w:val="0"/>
      <w:marRight w:val="0"/>
      <w:marTop w:val="0"/>
      <w:marBottom w:val="0"/>
      <w:divBdr>
        <w:top w:val="none" w:sz="0" w:space="0" w:color="auto"/>
        <w:left w:val="none" w:sz="0" w:space="0" w:color="auto"/>
        <w:bottom w:val="none" w:sz="0" w:space="0" w:color="auto"/>
        <w:right w:val="none" w:sz="0" w:space="0" w:color="auto"/>
      </w:divBdr>
    </w:div>
    <w:div w:id="32074145">
      <w:bodyDiv w:val="1"/>
      <w:marLeft w:val="0"/>
      <w:marRight w:val="0"/>
      <w:marTop w:val="0"/>
      <w:marBottom w:val="0"/>
      <w:divBdr>
        <w:top w:val="none" w:sz="0" w:space="0" w:color="auto"/>
        <w:left w:val="none" w:sz="0" w:space="0" w:color="auto"/>
        <w:bottom w:val="none" w:sz="0" w:space="0" w:color="auto"/>
        <w:right w:val="none" w:sz="0" w:space="0" w:color="auto"/>
      </w:divBdr>
    </w:div>
    <w:div w:id="32077666">
      <w:bodyDiv w:val="1"/>
      <w:marLeft w:val="0"/>
      <w:marRight w:val="0"/>
      <w:marTop w:val="0"/>
      <w:marBottom w:val="0"/>
      <w:divBdr>
        <w:top w:val="none" w:sz="0" w:space="0" w:color="auto"/>
        <w:left w:val="none" w:sz="0" w:space="0" w:color="auto"/>
        <w:bottom w:val="none" w:sz="0" w:space="0" w:color="auto"/>
        <w:right w:val="none" w:sz="0" w:space="0" w:color="auto"/>
      </w:divBdr>
    </w:div>
    <w:div w:id="32115471">
      <w:bodyDiv w:val="1"/>
      <w:marLeft w:val="0"/>
      <w:marRight w:val="0"/>
      <w:marTop w:val="0"/>
      <w:marBottom w:val="0"/>
      <w:divBdr>
        <w:top w:val="none" w:sz="0" w:space="0" w:color="auto"/>
        <w:left w:val="none" w:sz="0" w:space="0" w:color="auto"/>
        <w:bottom w:val="none" w:sz="0" w:space="0" w:color="auto"/>
        <w:right w:val="none" w:sz="0" w:space="0" w:color="auto"/>
      </w:divBdr>
    </w:div>
    <w:div w:id="32123447">
      <w:bodyDiv w:val="1"/>
      <w:marLeft w:val="0"/>
      <w:marRight w:val="0"/>
      <w:marTop w:val="0"/>
      <w:marBottom w:val="0"/>
      <w:divBdr>
        <w:top w:val="none" w:sz="0" w:space="0" w:color="auto"/>
        <w:left w:val="none" w:sz="0" w:space="0" w:color="auto"/>
        <w:bottom w:val="none" w:sz="0" w:space="0" w:color="auto"/>
        <w:right w:val="none" w:sz="0" w:space="0" w:color="auto"/>
      </w:divBdr>
    </w:div>
    <w:div w:id="32314759">
      <w:bodyDiv w:val="1"/>
      <w:marLeft w:val="0"/>
      <w:marRight w:val="0"/>
      <w:marTop w:val="0"/>
      <w:marBottom w:val="0"/>
      <w:divBdr>
        <w:top w:val="none" w:sz="0" w:space="0" w:color="auto"/>
        <w:left w:val="none" w:sz="0" w:space="0" w:color="auto"/>
        <w:bottom w:val="none" w:sz="0" w:space="0" w:color="auto"/>
        <w:right w:val="none" w:sz="0" w:space="0" w:color="auto"/>
      </w:divBdr>
    </w:div>
    <w:div w:id="32315671">
      <w:bodyDiv w:val="1"/>
      <w:marLeft w:val="0"/>
      <w:marRight w:val="0"/>
      <w:marTop w:val="0"/>
      <w:marBottom w:val="0"/>
      <w:divBdr>
        <w:top w:val="none" w:sz="0" w:space="0" w:color="auto"/>
        <w:left w:val="none" w:sz="0" w:space="0" w:color="auto"/>
        <w:bottom w:val="none" w:sz="0" w:space="0" w:color="auto"/>
        <w:right w:val="none" w:sz="0" w:space="0" w:color="auto"/>
      </w:divBdr>
    </w:div>
    <w:div w:id="32388519">
      <w:bodyDiv w:val="1"/>
      <w:marLeft w:val="0"/>
      <w:marRight w:val="0"/>
      <w:marTop w:val="0"/>
      <w:marBottom w:val="0"/>
      <w:divBdr>
        <w:top w:val="none" w:sz="0" w:space="0" w:color="auto"/>
        <w:left w:val="none" w:sz="0" w:space="0" w:color="auto"/>
        <w:bottom w:val="none" w:sz="0" w:space="0" w:color="auto"/>
        <w:right w:val="none" w:sz="0" w:space="0" w:color="auto"/>
      </w:divBdr>
    </w:div>
    <w:div w:id="32507195">
      <w:bodyDiv w:val="1"/>
      <w:marLeft w:val="0"/>
      <w:marRight w:val="0"/>
      <w:marTop w:val="0"/>
      <w:marBottom w:val="0"/>
      <w:divBdr>
        <w:top w:val="none" w:sz="0" w:space="0" w:color="auto"/>
        <w:left w:val="none" w:sz="0" w:space="0" w:color="auto"/>
        <w:bottom w:val="none" w:sz="0" w:space="0" w:color="auto"/>
        <w:right w:val="none" w:sz="0" w:space="0" w:color="auto"/>
      </w:divBdr>
    </w:div>
    <w:div w:id="32538206">
      <w:bodyDiv w:val="1"/>
      <w:marLeft w:val="0"/>
      <w:marRight w:val="0"/>
      <w:marTop w:val="0"/>
      <w:marBottom w:val="0"/>
      <w:divBdr>
        <w:top w:val="none" w:sz="0" w:space="0" w:color="auto"/>
        <w:left w:val="none" w:sz="0" w:space="0" w:color="auto"/>
        <w:bottom w:val="none" w:sz="0" w:space="0" w:color="auto"/>
        <w:right w:val="none" w:sz="0" w:space="0" w:color="auto"/>
      </w:divBdr>
    </w:div>
    <w:div w:id="32657316">
      <w:bodyDiv w:val="1"/>
      <w:marLeft w:val="0"/>
      <w:marRight w:val="0"/>
      <w:marTop w:val="0"/>
      <w:marBottom w:val="0"/>
      <w:divBdr>
        <w:top w:val="none" w:sz="0" w:space="0" w:color="auto"/>
        <w:left w:val="none" w:sz="0" w:space="0" w:color="auto"/>
        <w:bottom w:val="none" w:sz="0" w:space="0" w:color="auto"/>
        <w:right w:val="none" w:sz="0" w:space="0" w:color="auto"/>
      </w:divBdr>
    </w:div>
    <w:div w:id="32658654">
      <w:bodyDiv w:val="1"/>
      <w:marLeft w:val="0"/>
      <w:marRight w:val="0"/>
      <w:marTop w:val="0"/>
      <w:marBottom w:val="0"/>
      <w:divBdr>
        <w:top w:val="none" w:sz="0" w:space="0" w:color="auto"/>
        <w:left w:val="none" w:sz="0" w:space="0" w:color="auto"/>
        <w:bottom w:val="none" w:sz="0" w:space="0" w:color="auto"/>
        <w:right w:val="none" w:sz="0" w:space="0" w:color="auto"/>
      </w:divBdr>
    </w:div>
    <w:div w:id="32728777">
      <w:bodyDiv w:val="1"/>
      <w:marLeft w:val="0"/>
      <w:marRight w:val="0"/>
      <w:marTop w:val="0"/>
      <w:marBottom w:val="0"/>
      <w:divBdr>
        <w:top w:val="none" w:sz="0" w:space="0" w:color="auto"/>
        <w:left w:val="none" w:sz="0" w:space="0" w:color="auto"/>
        <w:bottom w:val="none" w:sz="0" w:space="0" w:color="auto"/>
        <w:right w:val="none" w:sz="0" w:space="0" w:color="auto"/>
      </w:divBdr>
    </w:div>
    <w:div w:id="32846575">
      <w:bodyDiv w:val="1"/>
      <w:marLeft w:val="0"/>
      <w:marRight w:val="0"/>
      <w:marTop w:val="0"/>
      <w:marBottom w:val="0"/>
      <w:divBdr>
        <w:top w:val="none" w:sz="0" w:space="0" w:color="auto"/>
        <w:left w:val="none" w:sz="0" w:space="0" w:color="auto"/>
        <w:bottom w:val="none" w:sz="0" w:space="0" w:color="auto"/>
        <w:right w:val="none" w:sz="0" w:space="0" w:color="auto"/>
      </w:divBdr>
    </w:div>
    <w:div w:id="32929109">
      <w:bodyDiv w:val="1"/>
      <w:marLeft w:val="0"/>
      <w:marRight w:val="0"/>
      <w:marTop w:val="0"/>
      <w:marBottom w:val="0"/>
      <w:divBdr>
        <w:top w:val="none" w:sz="0" w:space="0" w:color="auto"/>
        <w:left w:val="none" w:sz="0" w:space="0" w:color="auto"/>
        <w:bottom w:val="none" w:sz="0" w:space="0" w:color="auto"/>
        <w:right w:val="none" w:sz="0" w:space="0" w:color="auto"/>
      </w:divBdr>
    </w:div>
    <w:div w:id="32972928">
      <w:bodyDiv w:val="1"/>
      <w:marLeft w:val="0"/>
      <w:marRight w:val="0"/>
      <w:marTop w:val="0"/>
      <w:marBottom w:val="0"/>
      <w:divBdr>
        <w:top w:val="none" w:sz="0" w:space="0" w:color="auto"/>
        <w:left w:val="none" w:sz="0" w:space="0" w:color="auto"/>
        <w:bottom w:val="none" w:sz="0" w:space="0" w:color="auto"/>
        <w:right w:val="none" w:sz="0" w:space="0" w:color="auto"/>
      </w:divBdr>
    </w:div>
    <w:div w:id="33359774">
      <w:bodyDiv w:val="1"/>
      <w:marLeft w:val="0"/>
      <w:marRight w:val="0"/>
      <w:marTop w:val="0"/>
      <w:marBottom w:val="0"/>
      <w:divBdr>
        <w:top w:val="none" w:sz="0" w:space="0" w:color="auto"/>
        <w:left w:val="none" w:sz="0" w:space="0" w:color="auto"/>
        <w:bottom w:val="none" w:sz="0" w:space="0" w:color="auto"/>
        <w:right w:val="none" w:sz="0" w:space="0" w:color="auto"/>
      </w:divBdr>
    </w:div>
    <w:div w:id="33386101">
      <w:bodyDiv w:val="1"/>
      <w:marLeft w:val="0"/>
      <w:marRight w:val="0"/>
      <w:marTop w:val="0"/>
      <w:marBottom w:val="0"/>
      <w:divBdr>
        <w:top w:val="none" w:sz="0" w:space="0" w:color="auto"/>
        <w:left w:val="none" w:sz="0" w:space="0" w:color="auto"/>
        <w:bottom w:val="none" w:sz="0" w:space="0" w:color="auto"/>
        <w:right w:val="none" w:sz="0" w:space="0" w:color="auto"/>
      </w:divBdr>
    </w:div>
    <w:div w:id="33429555">
      <w:bodyDiv w:val="1"/>
      <w:marLeft w:val="0"/>
      <w:marRight w:val="0"/>
      <w:marTop w:val="0"/>
      <w:marBottom w:val="0"/>
      <w:divBdr>
        <w:top w:val="none" w:sz="0" w:space="0" w:color="auto"/>
        <w:left w:val="none" w:sz="0" w:space="0" w:color="auto"/>
        <w:bottom w:val="none" w:sz="0" w:space="0" w:color="auto"/>
        <w:right w:val="none" w:sz="0" w:space="0" w:color="auto"/>
      </w:divBdr>
    </w:div>
    <w:div w:id="33501732">
      <w:bodyDiv w:val="1"/>
      <w:marLeft w:val="0"/>
      <w:marRight w:val="0"/>
      <w:marTop w:val="0"/>
      <w:marBottom w:val="0"/>
      <w:divBdr>
        <w:top w:val="none" w:sz="0" w:space="0" w:color="auto"/>
        <w:left w:val="none" w:sz="0" w:space="0" w:color="auto"/>
        <w:bottom w:val="none" w:sz="0" w:space="0" w:color="auto"/>
        <w:right w:val="none" w:sz="0" w:space="0" w:color="auto"/>
      </w:divBdr>
    </w:div>
    <w:div w:id="33576949">
      <w:bodyDiv w:val="1"/>
      <w:marLeft w:val="0"/>
      <w:marRight w:val="0"/>
      <w:marTop w:val="0"/>
      <w:marBottom w:val="0"/>
      <w:divBdr>
        <w:top w:val="none" w:sz="0" w:space="0" w:color="auto"/>
        <w:left w:val="none" w:sz="0" w:space="0" w:color="auto"/>
        <w:bottom w:val="none" w:sz="0" w:space="0" w:color="auto"/>
        <w:right w:val="none" w:sz="0" w:space="0" w:color="auto"/>
      </w:divBdr>
    </w:div>
    <w:div w:id="33627418">
      <w:bodyDiv w:val="1"/>
      <w:marLeft w:val="0"/>
      <w:marRight w:val="0"/>
      <w:marTop w:val="0"/>
      <w:marBottom w:val="0"/>
      <w:divBdr>
        <w:top w:val="none" w:sz="0" w:space="0" w:color="auto"/>
        <w:left w:val="none" w:sz="0" w:space="0" w:color="auto"/>
        <w:bottom w:val="none" w:sz="0" w:space="0" w:color="auto"/>
        <w:right w:val="none" w:sz="0" w:space="0" w:color="auto"/>
      </w:divBdr>
    </w:div>
    <w:div w:id="33697117">
      <w:bodyDiv w:val="1"/>
      <w:marLeft w:val="0"/>
      <w:marRight w:val="0"/>
      <w:marTop w:val="0"/>
      <w:marBottom w:val="0"/>
      <w:divBdr>
        <w:top w:val="none" w:sz="0" w:space="0" w:color="auto"/>
        <w:left w:val="none" w:sz="0" w:space="0" w:color="auto"/>
        <w:bottom w:val="none" w:sz="0" w:space="0" w:color="auto"/>
        <w:right w:val="none" w:sz="0" w:space="0" w:color="auto"/>
      </w:divBdr>
    </w:div>
    <w:div w:id="33701026">
      <w:bodyDiv w:val="1"/>
      <w:marLeft w:val="0"/>
      <w:marRight w:val="0"/>
      <w:marTop w:val="0"/>
      <w:marBottom w:val="0"/>
      <w:divBdr>
        <w:top w:val="none" w:sz="0" w:space="0" w:color="auto"/>
        <w:left w:val="none" w:sz="0" w:space="0" w:color="auto"/>
        <w:bottom w:val="none" w:sz="0" w:space="0" w:color="auto"/>
        <w:right w:val="none" w:sz="0" w:space="0" w:color="auto"/>
      </w:divBdr>
    </w:div>
    <w:div w:id="33891895">
      <w:bodyDiv w:val="1"/>
      <w:marLeft w:val="0"/>
      <w:marRight w:val="0"/>
      <w:marTop w:val="0"/>
      <w:marBottom w:val="0"/>
      <w:divBdr>
        <w:top w:val="none" w:sz="0" w:space="0" w:color="auto"/>
        <w:left w:val="none" w:sz="0" w:space="0" w:color="auto"/>
        <w:bottom w:val="none" w:sz="0" w:space="0" w:color="auto"/>
        <w:right w:val="none" w:sz="0" w:space="0" w:color="auto"/>
      </w:divBdr>
    </w:div>
    <w:div w:id="33892920">
      <w:bodyDiv w:val="1"/>
      <w:marLeft w:val="0"/>
      <w:marRight w:val="0"/>
      <w:marTop w:val="0"/>
      <w:marBottom w:val="0"/>
      <w:divBdr>
        <w:top w:val="none" w:sz="0" w:space="0" w:color="auto"/>
        <w:left w:val="none" w:sz="0" w:space="0" w:color="auto"/>
        <w:bottom w:val="none" w:sz="0" w:space="0" w:color="auto"/>
        <w:right w:val="none" w:sz="0" w:space="0" w:color="auto"/>
      </w:divBdr>
    </w:div>
    <w:div w:id="33963872">
      <w:bodyDiv w:val="1"/>
      <w:marLeft w:val="0"/>
      <w:marRight w:val="0"/>
      <w:marTop w:val="0"/>
      <w:marBottom w:val="0"/>
      <w:divBdr>
        <w:top w:val="none" w:sz="0" w:space="0" w:color="auto"/>
        <w:left w:val="none" w:sz="0" w:space="0" w:color="auto"/>
        <w:bottom w:val="none" w:sz="0" w:space="0" w:color="auto"/>
        <w:right w:val="none" w:sz="0" w:space="0" w:color="auto"/>
      </w:divBdr>
    </w:div>
    <w:div w:id="33968781">
      <w:bodyDiv w:val="1"/>
      <w:marLeft w:val="0"/>
      <w:marRight w:val="0"/>
      <w:marTop w:val="0"/>
      <w:marBottom w:val="0"/>
      <w:divBdr>
        <w:top w:val="none" w:sz="0" w:space="0" w:color="auto"/>
        <w:left w:val="none" w:sz="0" w:space="0" w:color="auto"/>
        <w:bottom w:val="none" w:sz="0" w:space="0" w:color="auto"/>
        <w:right w:val="none" w:sz="0" w:space="0" w:color="auto"/>
      </w:divBdr>
    </w:div>
    <w:div w:id="34043816">
      <w:bodyDiv w:val="1"/>
      <w:marLeft w:val="0"/>
      <w:marRight w:val="0"/>
      <w:marTop w:val="0"/>
      <w:marBottom w:val="0"/>
      <w:divBdr>
        <w:top w:val="none" w:sz="0" w:space="0" w:color="auto"/>
        <w:left w:val="none" w:sz="0" w:space="0" w:color="auto"/>
        <w:bottom w:val="none" w:sz="0" w:space="0" w:color="auto"/>
        <w:right w:val="none" w:sz="0" w:space="0" w:color="auto"/>
      </w:divBdr>
    </w:div>
    <w:div w:id="34235661">
      <w:bodyDiv w:val="1"/>
      <w:marLeft w:val="0"/>
      <w:marRight w:val="0"/>
      <w:marTop w:val="0"/>
      <w:marBottom w:val="0"/>
      <w:divBdr>
        <w:top w:val="none" w:sz="0" w:space="0" w:color="auto"/>
        <w:left w:val="none" w:sz="0" w:space="0" w:color="auto"/>
        <w:bottom w:val="none" w:sz="0" w:space="0" w:color="auto"/>
        <w:right w:val="none" w:sz="0" w:space="0" w:color="auto"/>
      </w:divBdr>
    </w:div>
    <w:div w:id="34236957">
      <w:bodyDiv w:val="1"/>
      <w:marLeft w:val="0"/>
      <w:marRight w:val="0"/>
      <w:marTop w:val="0"/>
      <w:marBottom w:val="0"/>
      <w:divBdr>
        <w:top w:val="none" w:sz="0" w:space="0" w:color="auto"/>
        <w:left w:val="none" w:sz="0" w:space="0" w:color="auto"/>
        <w:bottom w:val="none" w:sz="0" w:space="0" w:color="auto"/>
        <w:right w:val="none" w:sz="0" w:space="0" w:color="auto"/>
      </w:divBdr>
    </w:div>
    <w:div w:id="34276442">
      <w:bodyDiv w:val="1"/>
      <w:marLeft w:val="0"/>
      <w:marRight w:val="0"/>
      <w:marTop w:val="0"/>
      <w:marBottom w:val="0"/>
      <w:divBdr>
        <w:top w:val="none" w:sz="0" w:space="0" w:color="auto"/>
        <w:left w:val="none" w:sz="0" w:space="0" w:color="auto"/>
        <w:bottom w:val="none" w:sz="0" w:space="0" w:color="auto"/>
        <w:right w:val="none" w:sz="0" w:space="0" w:color="auto"/>
      </w:divBdr>
    </w:div>
    <w:div w:id="34278691">
      <w:bodyDiv w:val="1"/>
      <w:marLeft w:val="0"/>
      <w:marRight w:val="0"/>
      <w:marTop w:val="0"/>
      <w:marBottom w:val="0"/>
      <w:divBdr>
        <w:top w:val="none" w:sz="0" w:space="0" w:color="auto"/>
        <w:left w:val="none" w:sz="0" w:space="0" w:color="auto"/>
        <w:bottom w:val="none" w:sz="0" w:space="0" w:color="auto"/>
        <w:right w:val="none" w:sz="0" w:space="0" w:color="auto"/>
      </w:divBdr>
    </w:div>
    <w:div w:id="34350649">
      <w:bodyDiv w:val="1"/>
      <w:marLeft w:val="0"/>
      <w:marRight w:val="0"/>
      <w:marTop w:val="0"/>
      <w:marBottom w:val="0"/>
      <w:divBdr>
        <w:top w:val="none" w:sz="0" w:space="0" w:color="auto"/>
        <w:left w:val="none" w:sz="0" w:space="0" w:color="auto"/>
        <w:bottom w:val="none" w:sz="0" w:space="0" w:color="auto"/>
        <w:right w:val="none" w:sz="0" w:space="0" w:color="auto"/>
      </w:divBdr>
    </w:div>
    <w:div w:id="34425565">
      <w:bodyDiv w:val="1"/>
      <w:marLeft w:val="0"/>
      <w:marRight w:val="0"/>
      <w:marTop w:val="0"/>
      <w:marBottom w:val="0"/>
      <w:divBdr>
        <w:top w:val="none" w:sz="0" w:space="0" w:color="auto"/>
        <w:left w:val="none" w:sz="0" w:space="0" w:color="auto"/>
        <w:bottom w:val="none" w:sz="0" w:space="0" w:color="auto"/>
        <w:right w:val="none" w:sz="0" w:space="0" w:color="auto"/>
      </w:divBdr>
    </w:div>
    <w:div w:id="34474528">
      <w:bodyDiv w:val="1"/>
      <w:marLeft w:val="0"/>
      <w:marRight w:val="0"/>
      <w:marTop w:val="0"/>
      <w:marBottom w:val="0"/>
      <w:divBdr>
        <w:top w:val="none" w:sz="0" w:space="0" w:color="auto"/>
        <w:left w:val="none" w:sz="0" w:space="0" w:color="auto"/>
        <w:bottom w:val="none" w:sz="0" w:space="0" w:color="auto"/>
        <w:right w:val="none" w:sz="0" w:space="0" w:color="auto"/>
      </w:divBdr>
    </w:div>
    <w:div w:id="34544424">
      <w:bodyDiv w:val="1"/>
      <w:marLeft w:val="0"/>
      <w:marRight w:val="0"/>
      <w:marTop w:val="0"/>
      <w:marBottom w:val="0"/>
      <w:divBdr>
        <w:top w:val="none" w:sz="0" w:space="0" w:color="auto"/>
        <w:left w:val="none" w:sz="0" w:space="0" w:color="auto"/>
        <w:bottom w:val="none" w:sz="0" w:space="0" w:color="auto"/>
        <w:right w:val="none" w:sz="0" w:space="0" w:color="auto"/>
      </w:divBdr>
    </w:div>
    <w:div w:id="34551395">
      <w:bodyDiv w:val="1"/>
      <w:marLeft w:val="0"/>
      <w:marRight w:val="0"/>
      <w:marTop w:val="0"/>
      <w:marBottom w:val="0"/>
      <w:divBdr>
        <w:top w:val="none" w:sz="0" w:space="0" w:color="auto"/>
        <w:left w:val="none" w:sz="0" w:space="0" w:color="auto"/>
        <w:bottom w:val="none" w:sz="0" w:space="0" w:color="auto"/>
        <w:right w:val="none" w:sz="0" w:space="0" w:color="auto"/>
      </w:divBdr>
    </w:div>
    <w:div w:id="34695531">
      <w:bodyDiv w:val="1"/>
      <w:marLeft w:val="0"/>
      <w:marRight w:val="0"/>
      <w:marTop w:val="0"/>
      <w:marBottom w:val="0"/>
      <w:divBdr>
        <w:top w:val="none" w:sz="0" w:space="0" w:color="auto"/>
        <w:left w:val="none" w:sz="0" w:space="0" w:color="auto"/>
        <w:bottom w:val="none" w:sz="0" w:space="0" w:color="auto"/>
        <w:right w:val="none" w:sz="0" w:space="0" w:color="auto"/>
      </w:divBdr>
    </w:div>
    <w:div w:id="34893106">
      <w:bodyDiv w:val="1"/>
      <w:marLeft w:val="0"/>
      <w:marRight w:val="0"/>
      <w:marTop w:val="0"/>
      <w:marBottom w:val="0"/>
      <w:divBdr>
        <w:top w:val="none" w:sz="0" w:space="0" w:color="auto"/>
        <w:left w:val="none" w:sz="0" w:space="0" w:color="auto"/>
        <w:bottom w:val="none" w:sz="0" w:space="0" w:color="auto"/>
        <w:right w:val="none" w:sz="0" w:space="0" w:color="auto"/>
      </w:divBdr>
    </w:div>
    <w:div w:id="34934302">
      <w:bodyDiv w:val="1"/>
      <w:marLeft w:val="0"/>
      <w:marRight w:val="0"/>
      <w:marTop w:val="0"/>
      <w:marBottom w:val="0"/>
      <w:divBdr>
        <w:top w:val="none" w:sz="0" w:space="0" w:color="auto"/>
        <w:left w:val="none" w:sz="0" w:space="0" w:color="auto"/>
        <w:bottom w:val="none" w:sz="0" w:space="0" w:color="auto"/>
        <w:right w:val="none" w:sz="0" w:space="0" w:color="auto"/>
      </w:divBdr>
    </w:div>
    <w:div w:id="34936760">
      <w:bodyDiv w:val="1"/>
      <w:marLeft w:val="0"/>
      <w:marRight w:val="0"/>
      <w:marTop w:val="0"/>
      <w:marBottom w:val="0"/>
      <w:divBdr>
        <w:top w:val="none" w:sz="0" w:space="0" w:color="auto"/>
        <w:left w:val="none" w:sz="0" w:space="0" w:color="auto"/>
        <w:bottom w:val="none" w:sz="0" w:space="0" w:color="auto"/>
        <w:right w:val="none" w:sz="0" w:space="0" w:color="auto"/>
      </w:divBdr>
    </w:div>
    <w:div w:id="34962377">
      <w:bodyDiv w:val="1"/>
      <w:marLeft w:val="0"/>
      <w:marRight w:val="0"/>
      <w:marTop w:val="0"/>
      <w:marBottom w:val="0"/>
      <w:divBdr>
        <w:top w:val="none" w:sz="0" w:space="0" w:color="auto"/>
        <w:left w:val="none" w:sz="0" w:space="0" w:color="auto"/>
        <w:bottom w:val="none" w:sz="0" w:space="0" w:color="auto"/>
        <w:right w:val="none" w:sz="0" w:space="0" w:color="auto"/>
      </w:divBdr>
    </w:div>
    <w:div w:id="35010400">
      <w:bodyDiv w:val="1"/>
      <w:marLeft w:val="0"/>
      <w:marRight w:val="0"/>
      <w:marTop w:val="0"/>
      <w:marBottom w:val="0"/>
      <w:divBdr>
        <w:top w:val="none" w:sz="0" w:space="0" w:color="auto"/>
        <w:left w:val="none" w:sz="0" w:space="0" w:color="auto"/>
        <w:bottom w:val="none" w:sz="0" w:space="0" w:color="auto"/>
        <w:right w:val="none" w:sz="0" w:space="0" w:color="auto"/>
      </w:divBdr>
    </w:div>
    <w:div w:id="35081510">
      <w:bodyDiv w:val="1"/>
      <w:marLeft w:val="0"/>
      <w:marRight w:val="0"/>
      <w:marTop w:val="0"/>
      <w:marBottom w:val="0"/>
      <w:divBdr>
        <w:top w:val="none" w:sz="0" w:space="0" w:color="auto"/>
        <w:left w:val="none" w:sz="0" w:space="0" w:color="auto"/>
        <w:bottom w:val="none" w:sz="0" w:space="0" w:color="auto"/>
        <w:right w:val="none" w:sz="0" w:space="0" w:color="auto"/>
      </w:divBdr>
    </w:div>
    <w:div w:id="35127603">
      <w:bodyDiv w:val="1"/>
      <w:marLeft w:val="0"/>
      <w:marRight w:val="0"/>
      <w:marTop w:val="0"/>
      <w:marBottom w:val="0"/>
      <w:divBdr>
        <w:top w:val="none" w:sz="0" w:space="0" w:color="auto"/>
        <w:left w:val="none" w:sz="0" w:space="0" w:color="auto"/>
        <w:bottom w:val="none" w:sz="0" w:space="0" w:color="auto"/>
        <w:right w:val="none" w:sz="0" w:space="0" w:color="auto"/>
      </w:divBdr>
    </w:div>
    <w:div w:id="35128985">
      <w:bodyDiv w:val="1"/>
      <w:marLeft w:val="0"/>
      <w:marRight w:val="0"/>
      <w:marTop w:val="0"/>
      <w:marBottom w:val="0"/>
      <w:divBdr>
        <w:top w:val="none" w:sz="0" w:space="0" w:color="auto"/>
        <w:left w:val="none" w:sz="0" w:space="0" w:color="auto"/>
        <w:bottom w:val="none" w:sz="0" w:space="0" w:color="auto"/>
        <w:right w:val="none" w:sz="0" w:space="0" w:color="auto"/>
      </w:divBdr>
    </w:div>
    <w:div w:id="35157802">
      <w:bodyDiv w:val="1"/>
      <w:marLeft w:val="0"/>
      <w:marRight w:val="0"/>
      <w:marTop w:val="0"/>
      <w:marBottom w:val="0"/>
      <w:divBdr>
        <w:top w:val="none" w:sz="0" w:space="0" w:color="auto"/>
        <w:left w:val="none" w:sz="0" w:space="0" w:color="auto"/>
        <w:bottom w:val="none" w:sz="0" w:space="0" w:color="auto"/>
        <w:right w:val="none" w:sz="0" w:space="0" w:color="auto"/>
      </w:divBdr>
    </w:div>
    <w:div w:id="35159952">
      <w:bodyDiv w:val="1"/>
      <w:marLeft w:val="0"/>
      <w:marRight w:val="0"/>
      <w:marTop w:val="0"/>
      <w:marBottom w:val="0"/>
      <w:divBdr>
        <w:top w:val="none" w:sz="0" w:space="0" w:color="auto"/>
        <w:left w:val="none" w:sz="0" w:space="0" w:color="auto"/>
        <w:bottom w:val="none" w:sz="0" w:space="0" w:color="auto"/>
        <w:right w:val="none" w:sz="0" w:space="0" w:color="auto"/>
      </w:divBdr>
    </w:div>
    <w:div w:id="35274535">
      <w:bodyDiv w:val="1"/>
      <w:marLeft w:val="0"/>
      <w:marRight w:val="0"/>
      <w:marTop w:val="0"/>
      <w:marBottom w:val="0"/>
      <w:divBdr>
        <w:top w:val="none" w:sz="0" w:space="0" w:color="auto"/>
        <w:left w:val="none" w:sz="0" w:space="0" w:color="auto"/>
        <w:bottom w:val="none" w:sz="0" w:space="0" w:color="auto"/>
        <w:right w:val="none" w:sz="0" w:space="0" w:color="auto"/>
      </w:divBdr>
    </w:div>
    <w:div w:id="35466990">
      <w:bodyDiv w:val="1"/>
      <w:marLeft w:val="0"/>
      <w:marRight w:val="0"/>
      <w:marTop w:val="0"/>
      <w:marBottom w:val="0"/>
      <w:divBdr>
        <w:top w:val="none" w:sz="0" w:space="0" w:color="auto"/>
        <w:left w:val="none" w:sz="0" w:space="0" w:color="auto"/>
        <w:bottom w:val="none" w:sz="0" w:space="0" w:color="auto"/>
        <w:right w:val="none" w:sz="0" w:space="0" w:color="auto"/>
      </w:divBdr>
    </w:div>
    <w:div w:id="35550057">
      <w:bodyDiv w:val="1"/>
      <w:marLeft w:val="0"/>
      <w:marRight w:val="0"/>
      <w:marTop w:val="0"/>
      <w:marBottom w:val="0"/>
      <w:divBdr>
        <w:top w:val="none" w:sz="0" w:space="0" w:color="auto"/>
        <w:left w:val="none" w:sz="0" w:space="0" w:color="auto"/>
        <w:bottom w:val="none" w:sz="0" w:space="0" w:color="auto"/>
        <w:right w:val="none" w:sz="0" w:space="0" w:color="auto"/>
      </w:divBdr>
    </w:div>
    <w:div w:id="35551620">
      <w:bodyDiv w:val="1"/>
      <w:marLeft w:val="0"/>
      <w:marRight w:val="0"/>
      <w:marTop w:val="0"/>
      <w:marBottom w:val="0"/>
      <w:divBdr>
        <w:top w:val="none" w:sz="0" w:space="0" w:color="auto"/>
        <w:left w:val="none" w:sz="0" w:space="0" w:color="auto"/>
        <w:bottom w:val="none" w:sz="0" w:space="0" w:color="auto"/>
        <w:right w:val="none" w:sz="0" w:space="0" w:color="auto"/>
      </w:divBdr>
    </w:div>
    <w:div w:id="35587754">
      <w:bodyDiv w:val="1"/>
      <w:marLeft w:val="0"/>
      <w:marRight w:val="0"/>
      <w:marTop w:val="0"/>
      <w:marBottom w:val="0"/>
      <w:divBdr>
        <w:top w:val="none" w:sz="0" w:space="0" w:color="auto"/>
        <w:left w:val="none" w:sz="0" w:space="0" w:color="auto"/>
        <w:bottom w:val="none" w:sz="0" w:space="0" w:color="auto"/>
        <w:right w:val="none" w:sz="0" w:space="0" w:color="auto"/>
      </w:divBdr>
    </w:div>
    <w:div w:id="35787100">
      <w:bodyDiv w:val="1"/>
      <w:marLeft w:val="0"/>
      <w:marRight w:val="0"/>
      <w:marTop w:val="0"/>
      <w:marBottom w:val="0"/>
      <w:divBdr>
        <w:top w:val="none" w:sz="0" w:space="0" w:color="auto"/>
        <w:left w:val="none" w:sz="0" w:space="0" w:color="auto"/>
        <w:bottom w:val="none" w:sz="0" w:space="0" w:color="auto"/>
        <w:right w:val="none" w:sz="0" w:space="0" w:color="auto"/>
      </w:divBdr>
    </w:div>
    <w:div w:id="35812321">
      <w:bodyDiv w:val="1"/>
      <w:marLeft w:val="0"/>
      <w:marRight w:val="0"/>
      <w:marTop w:val="0"/>
      <w:marBottom w:val="0"/>
      <w:divBdr>
        <w:top w:val="none" w:sz="0" w:space="0" w:color="auto"/>
        <w:left w:val="none" w:sz="0" w:space="0" w:color="auto"/>
        <w:bottom w:val="none" w:sz="0" w:space="0" w:color="auto"/>
        <w:right w:val="none" w:sz="0" w:space="0" w:color="auto"/>
      </w:divBdr>
    </w:div>
    <w:div w:id="35980698">
      <w:bodyDiv w:val="1"/>
      <w:marLeft w:val="0"/>
      <w:marRight w:val="0"/>
      <w:marTop w:val="0"/>
      <w:marBottom w:val="0"/>
      <w:divBdr>
        <w:top w:val="none" w:sz="0" w:space="0" w:color="auto"/>
        <w:left w:val="none" w:sz="0" w:space="0" w:color="auto"/>
        <w:bottom w:val="none" w:sz="0" w:space="0" w:color="auto"/>
        <w:right w:val="none" w:sz="0" w:space="0" w:color="auto"/>
      </w:divBdr>
    </w:div>
    <w:div w:id="36049237">
      <w:bodyDiv w:val="1"/>
      <w:marLeft w:val="0"/>
      <w:marRight w:val="0"/>
      <w:marTop w:val="0"/>
      <w:marBottom w:val="0"/>
      <w:divBdr>
        <w:top w:val="none" w:sz="0" w:space="0" w:color="auto"/>
        <w:left w:val="none" w:sz="0" w:space="0" w:color="auto"/>
        <w:bottom w:val="none" w:sz="0" w:space="0" w:color="auto"/>
        <w:right w:val="none" w:sz="0" w:space="0" w:color="auto"/>
      </w:divBdr>
    </w:div>
    <w:div w:id="36049388">
      <w:bodyDiv w:val="1"/>
      <w:marLeft w:val="0"/>
      <w:marRight w:val="0"/>
      <w:marTop w:val="0"/>
      <w:marBottom w:val="0"/>
      <w:divBdr>
        <w:top w:val="none" w:sz="0" w:space="0" w:color="auto"/>
        <w:left w:val="none" w:sz="0" w:space="0" w:color="auto"/>
        <w:bottom w:val="none" w:sz="0" w:space="0" w:color="auto"/>
        <w:right w:val="none" w:sz="0" w:space="0" w:color="auto"/>
      </w:divBdr>
    </w:div>
    <w:div w:id="36049684">
      <w:bodyDiv w:val="1"/>
      <w:marLeft w:val="0"/>
      <w:marRight w:val="0"/>
      <w:marTop w:val="0"/>
      <w:marBottom w:val="0"/>
      <w:divBdr>
        <w:top w:val="none" w:sz="0" w:space="0" w:color="auto"/>
        <w:left w:val="none" w:sz="0" w:space="0" w:color="auto"/>
        <w:bottom w:val="none" w:sz="0" w:space="0" w:color="auto"/>
        <w:right w:val="none" w:sz="0" w:space="0" w:color="auto"/>
      </w:divBdr>
    </w:div>
    <w:div w:id="36050348">
      <w:bodyDiv w:val="1"/>
      <w:marLeft w:val="0"/>
      <w:marRight w:val="0"/>
      <w:marTop w:val="0"/>
      <w:marBottom w:val="0"/>
      <w:divBdr>
        <w:top w:val="none" w:sz="0" w:space="0" w:color="auto"/>
        <w:left w:val="none" w:sz="0" w:space="0" w:color="auto"/>
        <w:bottom w:val="none" w:sz="0" w:space="0" w:color="auto"/>
        <w:right w:val="none" w:sz="0" w:space="0" w:color="auto"/>
      </w:divBdr>
    </w:div>
    <w:div w:id="36125671">
      <w:bodyDiv w:val="1"/>
      <w:marLeft w:val="0"/>
      <w:marRight w:val="0"/>
      <w:marTop w:val="0"/>
      <w:marBottom w:val="0"/>
      <w:divBdr>
        <w:top w:val="none" w:sz="0" w:space="0" w:color="auto"/>
        <w:left w:val="none" w:sz="0" w:space="0" w:color="auto"/>
        <w:bottom w:val="none" w:sz="0" w:space="0" w:color="auto"/>
        <w:right w:val="none" w:sz="0" w:space="0" w:color="auto"/>
      </w:divBdr>
    </w:div>
    <w:div w:id="36249094">
      <w:bodyDiv w:val="1"/>
      <w:marLeft w:val="0"/>
      <w:marRight w:val="0"/>
      <w:marTop w:val="0"/>
      <w:marBottom w:val="0"/>
      <w:divBdr>
        <w:top w:val="none" w:sz="0" w:space="0" w:color="auto"/>
        <w:left w:val="none" w:sz="0" w:space="0" w:color="auto"/>
        <w:bottom w:val="none" w:sz="0" w:space="0" w:color="auto"/>
        <w:right w:val="none" w:sz="0" w:space="0" w:color="auto"/>
      </w:divBdr>
    </w:div>
    <w:div w:id="36317788">
      <w:bodyDiv w:val="1"/>
      <w:marLeft w:val="0"/>
      <w:marRight w:val="0"/>
      <w:marTop w:val="0"/>
      <w:marBottom w:val="0"/>
      <w:divBdr>
        <w:top w:val="none" w:sz="0" w:space="0" w:color="auto"/>
        <w:left w:val="none" w:sz="0" w:space="0" w:color="auto"/>
        <w:bottom w:val="none" w:sz="0" w:space="0" w:color="auto"/>
        <w:right w:val="none" w:sz="0" w:space="0" w:color="auto"/>
      </w:divBdr>
    </w:div>
    <w:div w:id="36393814">
      <w:bodyDiv w:val="1"/>
      <w:marLeft w:val="0"/>
      <w:marRight w:val="0"/>
      <w:marTop w:val="0"/>
      <w:marBottom w:val="0"/>
      <w:divBdr>
        <w:top w:val="none" w:sz="0" w:space="0" w:color="auto"/>
        <w:left w:val="none" w:sz="0" w:space="0" w:color="auto"/>
        <w:bottom w:val="none" w:sz="0" w:space="0" w:color="auto"/>
        <w:right w:val="none" w:sz="0" w:space="0" w:color="auto"/>
      </w:divBdr>
    </w:div>
    <w:div w:id="36439197">
      <w:bodyDiv w:val="1"/>
      <w:marLeft w:val="0"/>
      <w:marRight w:val="0"/>
      <w:marTop w:val="0"/>
      <w:marBottom w:val="0"/>
      <w:divBdr>
        <w:top w:val="none" w:sz="0" w:space="0" w:color="auto"/>
        <w:left w:val="none" w:sz="0" w:space="0" w:color="auto"/>
        <w:bottom w:val="none" w:sz="0" w:space="0" w:color="auto"/>
        <w:right w:val="none" w:sz="0" w:space="0" w:color="auto"/>
      </w:divBdr>
    </w:div>
    <w:div w:id="36586803">
      <w:bodyDiv w:val="1"/>
      <w:marLeft w:val="0"/>
      <w:marRight w:val="0"/>
      <w:marTop w:val="0"/>
      <w:marBottom w:val="0"/>
      <w:divBdr>
        <w:top w:val="none" w:sz="0" w:space="0" w:color="auto"/>
        <w:left w:val="none" w:sz="0" w:space="0" w:color="auto"/>
        <w:bottom w:val="none" w:sz="0" w:space="0" w:color="auto"/>
        <w:right w:val="none" w:sz="0" w:space="0" w:color="auto"/>
      </w:divBdr>
    </w:div>
    <w:div w:id="36592458">
      <w:bodyDiv w:val="1"/>
      <w:marLeft w:val="0"/>
      <w:marRight w:val="0"/>
      <w:marTop w:val="0"/>
      <w:marBottom w:val="0"/>
      <w:divBdr>
        <w:top w:val="none" w:sz="0" w:space="0" w:color="auto"/>
        <w:left w:val="none" w:sz="0" w:space="0" w:color="auto"/>
        <w:bottom w:val="none" w:sz="0" w:space="0" w:color="auto"/>
        <w:right w:val="none" w:sz="0" w:space="0" w:color="auto"/>
      </w:divBdr>
    </w:div>
    <w:div w:id="36593445">
      <w:bodyDiv w:val="1"/>
      <w:marLeft w:val="0"/>
      <w:marRight w:val="0"/>
      <w:marTop w:val="0"/>
      <w:marBottom w:val="0"/>
      <w:divBdr>
        <w:top w:val="none" w:sz="0" w:space="0" w:color="auto"/>
        <w:left w:val="none" w:sz="0" w:space="0" w:color="auto"/>
        <w:bottom w:val="none" w:sz="0" w:space="0" w:color="auto"/>
        <w:right w:val="none" w:sz="0" w:space="0" w:color="auto"/>
      </w:divBdr>
    </w:div>
    <w:div w:id="36860654">
      <w:bodyDiv w:val="1"/>
      <w:marLeft w:val="0"/>
      <w:marRight w:val="0"/>
      <w:marTop w:val="0"/>
      <w:marBottom w:val="0"/>
      <w:divBdr>
        <w:top w:val="none" w:sz="0" w:space="0" w:color="auto"/>
        <w:left w:val="none" w:sz="0" w:space="0" w:color="auto"/>
        <w:bottom w:val="none" w:sz="0" w:space="0" w:color="auto"/>
        <w:right w:val="none" w:sz="0" w:space="0" w:color="auto"/>
      </w:divBdr>
    </w:div>
    <w:div w:id="36897243">
      <w:bodyDiv w:val="1"/>
      <w:marLeft w:val="0"/>
      <w:marRight w:val="0"/>
      <w:marTop w:val="0"/>
      <w:marBottom w:val="0"/>
      <w:divBdr>
        <w:top w:val="none" w:sz="0" w:space="0" w:color="auto"/>
        <w:left w:val="none" w:sz="0" w:space="0" w:color="auto"/>
        <w:bottom w:val="none" w:sz="0" w:space="0" w:color="auto"/>
        <w:right w:val="none" w:sz="0" w:space="0" w:color="auto"/>
      </w:divBdr>
    </w:div>
    <w:div w:id="36902318">
      <w:bodyDiv w:val="1"/>
      <w:marLeft w:val="0"/>
      <w:marRight w:val="0"/>
      <w:marTop w:val="0"/>
      <w:marBottom w:val="0"/>
      <w:divBdr>
        <w:top w:val="none" w:sz="0" w:space="0" w:color="auto"/>
        <w:left w:val="none" w:sz="0" w:space="0" w:color="auto"/>
        <w:bottom w:val="none" w:sz="0" w:space="0" w:color="auto"/>
        <w:right w:val="none" w:sz="0" w:space="0" w:color="auto"/>
      </w:divBdr>
    </w:div>
    <w:div w:id="37052699">
      <w:bodyDiv w:val="1"/>
      <w:marLeft w:val="0"/>
      <w:marRight w:val="0"/>
      <w:marTop w:val="0"/>
      <w:marBottom w:val="0"/>
      <w:divBdr>
        <w:top w:val="none" w:sz="0" w:space="0" w:color="auto"/>
        <w:left w:val="none" w:sz="0" w:space="0" w:color="auto"/>
        <w:bottom w:val="none" w:sz="0" w:space="0" w:color="auto"/>
        <w:right w:val="none" w:sz="0" w:space="0" w:color="auto"/>
      </w:divBdr>
    </w:div>
    <w:div w:id="37093469">
      <w:bodyDiv w:val="1"/>
      <w:marLeft w:val="0"/>
      <w:marRight w:val="0"/>
      <w:marTop w:val="0"/>
      <w:marBottom w:val="0"/>
      <w:divBdr>
        <w:top w:val="none" w:sz="0" w:space="0" w:color="auto"/>
        <w:left w:val="none" w:sz="0" w:space="0" w:color="auto"/>
        <w:bottom w:val="none" w:sz="0" w:space="0" w:color="auto"/>
        <w:right w:val="none" w:sz="0" w:space="0" w:color="auto"/>
      </w:divBdr>
    </w:div>
    <w:div w:id="37316257">
      <w:bodyDiv w:val="1"/>
      <w:marLeft w:val="0"/>
      <w:marRight w:val="0"/>
      <w:marTop w:val="0"/>
      <w:marBottom w:val="0"/>
      <w:divBdr>
        <w:top w:val="none" w:sz="0" w:space="0" w:color="auto"/>
        <w:left w:val="none" w:sz="0" w:space="0" w:color="auto"/>
        <w:bottom w:val="none" w:sz="0" w:space="0" w:color="auto"/>
        <w:right w:val="none" w:sz="0" w:space="0" w:color="auto"/>
      </w:divBdr>
    </w:div>
    <w:div w:id="37321345">
      <w:bodyDiv w:val="1"/>
      <w:marLeft w:val="0"/>
      <w:marRight w:val="0"/>
      <w:marTop w:val="0"/>
      <w:marBottom w:val="0"/>
      <w:divBdr>
        <w:top w:val="none" w:sz="0" w:space="0" w:color="auto"/>
        <w:left w:val="none" w:sz="0" w:space="0" w:color="auto"/>
        <w:bottom w:val="none" w:sz="0" w:space="0" w:color="auto"/>
        <w:right w:val="none" w:sz="0" w:space="0" w:color="auto"/>
      </w:divBdr>
    </w:div>
    <w:div w:id="37365131">
      <w:bodyDiv w:val="1"/>
      <w:marLeft w:val="0"/>
      <w:marRight w:val="0"/>
      <w:marTop w:val="0"/>
      <w:marBottom w:val="0"/>
      <w:divBdr>
        <w:top w:val="none" w:sz="0" w:space="0" w:color="auto"/>
        <w:left w:val="none" w:sz="0" w:space="0" w:color="auto"/>
        <w:bottom w:val="none" w:sz="0" w:space="0" w:color="auto"/>
        <w:right w:val="none" w:sz="0" w:space="0" w:color="auto"/>
      </w:divBdr>
    </w:div>
    <w:div w:id="37365431">
      <w:bodyDiv w:val="1"/>
      <w:marLeft w:val="0"/>
      <w:marRight w:val="0"/>
      <w:marTop w:val="0"/>
      <w:marBottom w:val="0"/>
      <w:divBdr>
        <w:top w:val="none" w:sz="0" w:space="0" w:color="auto"/>
        <w:left w:val="none" w:sz="0" w:space="0" w:color="auto"/>
        <w:bottom w:val="none" w:sz="0" w:space="0" w:color="auto"/>
        <w:right w:val="none" w:sz="0" w:space="0" w:color="auto"/>
      </w:divBdr>
    </w:div>
    <w:div w:id="37439119">
      <w:bodyDiv w:val="1"/>
      <w:marLeft w:val="0"/>
      <w:marRight w:val="0"/>
      <w:marTop w:val="0"/>
      <w:marBottom w:val="0"/>
      <w:divBdr>
        <w:top w:val="none" w:sz="0" w:space="0" w:color="auto"/>
        <w:left w:val="none" w:sz="0" w:space="0" w:color="auto"/>
        <w:bottom w:val="none" w:sz="0" w:space="0" w:color="auto"/>
        <w:right w:val="none" w:sz="0" w:space="0" w:color="auto"/>
      </w:divBdr>
    </w:div>
    <w:div w:id="37440102">
      <w:bodyDiv w:val="1"/>
      <w:marLeft w:val="0"/>
      <w:marRight w:val="0"/>
      <w:marTop w:val="0"/>
      <w:marBottom w:val="0"/>
      <w:divBdr>
        <w:top w:val="none" w:sz="0" w:space="0" w:color="auto"/>
        <w:left w:val="none" w:sz="0" w:space="0" w:color="auto"/>
        <w:bottom w:val="none" w:sz="0" w:space="0" w:color="auto"/>
        <w:right w:val="none" w:sz="0" w:space="0" w:color="auto"/>
      </w:divBdr>
    </w:div>
    <w:div w:id="37516853">
      <w:bodyDiv w:val="1"/>
      <w:marLeft w:val="0"/>
      <w:marRight w:val="0"/>
      <w:marTop w:val="0"/>
      <w:marBottom w:val="0"/>
      <w:divBdr>
        <w:top w:val="none" w:sz="0" w:space="0" w:color="auto"/>
        <w:left w:val="none" w:sz="0" w:space="0" w:color="auto"/>
        <w:bottom w:val="none" w:sz="0" w:space="0" w:color="auto"/>
        <w:right w:val="none" w:sz="0" w:space="0" w:color="auto"/>
      </w:divBdr>
    </w:div>
    <w:div w:id="37703665">
      <w:bodyDiv w:val="1"/>
      <w:marLeft w:val="0"/>
      <w:marRight w:val="0"/>
      <w:marTop w:val="0"/>
      <w:marBottom w:val="0"/>
      <w:divBdr>
        <w:top w:val="none" w:sz="0" w:space="0" w:color="auto"/>
        <w:left w:val="none" w:sz="0" w:space="0" w:color="auto"/>
        <w:bottom w:val="none" w:sz="0" w:space="0" w:color="auto"/>
        <w:right w:val="none" w:sz="0" w:space="0" w:color="auto"/>
      </w:divBdr>
    </w:div>
    <w:div w:id="37708907">
      <w:bodyDiv w:val="1"/>
      <w:marLeft w:val="0"/>
      <w:marRight w:val="0"/>
      <w:marTop w:val="0"/>
      <w:marBottom w:val="0"/>
      <w:divBdr>
        <w:top w:val="none" w:sz="0" w:space="0" w:color="auto"/>
        <w:left w:val="none" w:sz="0" w:space="0" w:color="auto"/>
        <w:bottom w:val="none" w:sz="0" w:space="0" w:color="auto"/>
        <w:right w:val="none" w:sz="0" w:space="0" w:color="auto"/>
      </w:divBdr>
    </w:div>
    <w:div w:id="37752486">
      <w:bodyDiv w:val="1"/>
      <w:marLeft w:val="0"/>
      <w:marRight w:val="0"/>
      <w:marTop w:val="0"/>
      <w:marBottom w:val="0"/>
      <w:divBdr>
        <w:top w:val="none" w:sz="0" w:space="0" w:color="auto"/>
        <w:left w:val="none" w:sz="0" w:space="0" w:color="auto"/>
        <w:bottom w:val="none" w:sz="0" w:space="0" w:color="auto"/>
        <w:right w:val="none" w:sz="0" w:space="0" w:color="auto"/>
      </w:divBdr>
    </w:div>
    <w:div w:id="37820457">
      <w:bodyDiv w:val="1"/>
      <w:marLeft w:val="0"/>
      <w:marRight w:val="0"/>
      <w:marTop w:val="0"/>
      <w:marBottom w:val="0"/>
      <w:divBdr>
        <w:top w:val="none" w:sz="0" w:space="0" w:color="auto"/>
        <w:left w:val="none" w:sz="0" w:space="0" w:color="auto"/>
        <w:bottom w:val="none" w:sz="0" w:space="0" w:color="auto"/>
        <w:right w:val="none" w:sz="0" w:space="0" w:color="auto"/>
      </w:divBdr>
    </w:div>
    <w:div w:id="37821246">
      <w:bodyDiv w:val="1"/>
      <w:marLeft w:val="0"/>
      <w:marRight w:val="0"/>
      <w:marTop w:val="0"/>
      <w:marBottom w:val="0"/>
      <w:divBdr>
        <w:top w:val="none" w:sz="0" w:space="0" w:color="auto"/>
        <w:left w:val="none" w:sz="0" w:space="0" w:color="auto"/>
        <w:bottom w:val="none" w:sz="0" w:space="0" w:color="auto"/>
        <w:right w:val="none" w:sz="0" w:space="0" w:color="auto"/>
      </w:divBdr>
    </w:div>
    <w:div w:id="37821903">
      <w:bodyDiv w:val="1"/>
      <w:marLeft w:val="0"/>
      <w:marRight w:val="0"/>
      <w:marTop w:val="0"/>
      <w:marBottom w:val="0"/>
      <w:divBdr>
        <w:top w:val="none" w:sz="0" w:space="0" w:color="auto"/>
        <w:left w:val="none" w:sz="0" w:space="0" w:color="auto"/>
        <w:bottom w:val="none" w:sz="0" w:space="0" w:color="auto"/>
        <w:right w:val="none" w:sz="0" w:space="0" w:color="auto"/>
      </w:divBdr>
    </w:div>
    <w:div w:id="37823996">
      <w:bodyDiv w:val="1"/>
      <w:marLeft w:val="0"/>
      <w:marRight w:val="0"/>
      <w:marTop w:val="0"/>
      <w:marBottom w:val="0"/>
      <w:divBdr>
        <w:top w:val="none" w:sz="0" w:space="0" w:color="auto"/>
        <w:left w:val="none" w:sz="0" w:space="0" w:color="auto"/>
        <w:bottom w:val="none" w:sz="0" w:space="0" w:color="auto"/>
        <w:right w:val="none" w:sz="0" w:space="0" w:color="auto"/>
      </w:divBdr>
    </w:div>
    <w:div w:id="37945803">
      <w:bodyDiv w:val="1"/>
      <w:marLeft w:val="0"/>
      <w:marRight w:val="0"/>
      <w:marTop w:val="0"/>
      <w:marBottom w:val="0"/>
      <w:divBdr>
        <w:top w:val="none" w:sz="0" w:space="0" w:color="auto"/>
        <w:left w:val="none" w:sz="0" w:space="0" w:color="auto"/>
        <w:bottom w:val="none" w:sz="0" w:space="0" w:color="auto"/>
        <w:right w:val="none" w:sz="0" w:space="0" w:color="auto"/>
      </w:divBdr>
    </w:div>
    <w:div w:id="37976634">
      <w:bodyDiv w:val="1"/>
      <w:marLeft w:val="0"/>
      <w:marRight w:val="0"/>
      <w:marTop w:val="0"/>
      <w:marBottom w:val="0"/>
      <w:divBdr>
        <w:top w:val="none" w:sz="0" w:space="0" w:color="auto"/>
        <w:left w:val="none" w:sz="0" w:space="0" w:color="auto"/>
        <w:bottom w:val="none" w:sz="0" w:space="0" w:color="auto"/>
        <w:right w:val="none" w:sz="0" w:space="0" w:color="auto"/>
      </w:divBdr>
    </w:div>
    <w:div w:id="37978030">
      <w:bodyDiv w:val="1"/>
      <w:marLeft w:val="0"/>
      <w:marRight w:val="0"/>
      <w:marTop w:val="0"/>
      <w:marBottom w:val="0"/>
      <w:divBdr>
        <w:top w:val="none" w:sz="0" w:space="0" w:color="auto"/>
        <w:left w:val="none" w:sz="0" w:space="0" w:color="auto"/>
        <w:bottom w:val="none" w:sz="0" w:space="0" w:color="auto"/>
        <w:right w:val="none" w:sz="0" w:space="0" w:color="auto"/>
      </w:divBdr>
    </w:div>
    <w:div w:id="38016366">
      <w:bodyDiv w:val="1"/>
      <w:marLeft w:val="0"/>
      <w:marRight w:val="0"/>
      <w:marTop w:val="0"/>
      <w:marBottom w:val="0"/>
      <w:divBdr>
        <w:top w:val="none" w:sz="0" w:space="0" w:color="auto"/>
        <w:left w:val="none" w:sz="0" w:space="0" w:color="auto"/>
        <w:bottom w:val="none" w:sz="0" w:space="0" w:color="auto"/>
        <w:right w:val="none" w:sz="0" w:space="0" w:color="auto"/>
      </w:divBdr>
    </w:div>
    <w:div w:id="38164979">
      <w:bodyDiv w:val="1"/>
      <w:marLeft w:val="0"/>
      <w:marRight w:val="0"/>
      <w:marTop w:val="0"/>
      <w:marBottom w:val="0"/>
      <w:divBdr>
        <w:top w:val="none" w:sz="0" w:space="0" w:color="auto"/>
        <w:left w:val="none" w:sz="0" w:space="0" w:color="auto"/>
        <w:bottom w:val="none" w:sz="0" w:space="0" w:color="auto"/>
        <w:right w:val="none" w:sz="0" w:space="0" w:color="auto"/>
      </w:divBdr>
    </w:div>
    <w:div w:id="38288237">
      <w:bodyDiv w:val="1"/>
      <w:marLeft w:val="0"/>
      <w:marRight w:val="0"/>
      <w:marTop w:val="0"/>
      <w:marBottom w:val="0"/>
      <w:divBdr>
        <w:top w:val="none" w:sz="0" w:space="0" w:color="auto"/>
        <w:left w:val="none" w:sz="0" w:space="0" w:color="auto"/>
        <w:bottom w:val="none" w:sz="0" w:space="0" w:color="auto"/>
        <w:right w:val="none" w:sz="0" w:space="0" w:color="auto"/>
      </w:divBdr>
    </w:div>
    <w:div w:id="38360055">
      <w:bodyDiv w:val="1"/>
      <w:marLeft w:val="0"/>
      <w:marRight w:val="0"/>
      <w:marTop w:val="0"/>
      <w:marBottom w:val="0"/>
      <w:divBdr>
        <w:top w:val="none" w:sz="0" w:space="0" w:color="auto"/>
        <w:left w:val="none" w:sz="0" w:space="0" w:color="auto"/>
        <w:bottom w:val="none" w:sz="0" w:space="0" w:color="auto"/>
        <w:right w:val="none" w:sz="0" w:space="0" w:color="auto"/>
      </w:divBdr>
    </w:div>
    <w:div w:id="38406601">
      <w:bodyDiv w:val="1"/>
      <w:marLeft w:val="0"/>
      <w:marRight w:val="0"/>
      <w:marTop w:val="0"/>
      <w:marBottom w:val="0"/>
      <w:divBdr>
        <w:top w:val="none" w:sz="0" w:space="0" w:color="auto"/>
        <w:left w:val="none" w:sz="0" w:space="0" w:color="auto"/>
        <w:bottom w:val="none" w:sz="0" w:space="0" w:color="auto"/>
        <w:right w:val="none" w:sz="0" w:space="0" w:color="auto"/>
      </w:divBdr>
    </w:div>
    <w:div w:id="38475912">
      <w:bodyDiv w:val="1"/>
      <w:marLeft w:val="0"/>
      <w:marRight w:val="0"/>
      <w:marTop w:val="0"/>
      <w:marBottom w:val="0"/>
      <w:divBdr>
        <w:top w:val="none" w:sz="0" w:space="0" w:color="auto"/>
        <w:left w:val="none" w:sz="0" w:space="0" w:color="auto"/>
        <w:bottom w:val="none" w:sz="0" w:space="0" w:color="auto"/>
        <w:right w:val="none" w:sz="0" w:space="0" w:color="auto"/>
      </w:divBdr>
    </w:div>
    <w:div w:id="38631729">
      <w:bodyDiv w:val="1"/>
      <w:marLeft w:val="0"/>
      <w:marRight w:val="0"/>
      <w:marTop w:val="0"/>
      <w:marBottom w:val="0"/>
      <w:divBdr>
        <w:top w:val="none" w:sz="0" w:space="0" w:color="auto"/>
        <w:left w:val="none" w:sz="0" w:space="0" w:color="auto"/>
        <w:bottom w:val="none" w:sz="0" w:space="0" w:color="auto"/>
        <w:right w:val="none" w:sz="0" w:space="0" w:color="auto"/>
      </w:divBdr>
    </w:div>
    <w:div w:id="38822886">
      <w:bodyDiv w:val="1"/>
      <w:marLeft w:val="0"/>
      <w:marRight w:val="0"/>
      <w:marTop w:val="0"/>
      <w:marBottom w:val="0"/>
      <w:divBdr>
        <w:top w:val="none" w:sz="0" w:space="0" w:color="auto"/>
        <w:left w:val="none" w:sz="0" w:space="0" w:color="auto"/>
        <w:bottom w:val="none" w:sz="0" w:space="0" w:color="auto"/>
        <w:right w:val="none" w:sz="0" w:space="0" w:color="auto"/>
      </w:divBdr>
    </w:div>
    <w:div w:id="38867516">
      <w:bodyDiv w:val="1"/>
      <w:marLeft w:val="0"/>
      <w:marRight w:val="0"/>
      <w:marTop w:val="0"/>
      <w:marBottom w:val="0"/>
      <w:divBdr>
        <w:top w:val="none" w:sz="0" w:space="0" w:color="auto"/>
        <w:left w:val="none" w:sz="0" w:space="0" w:color="auto"/>
        <w:bottom w:val="none" w:sz="0" w:space="0" w:color="auto"/>
        <w:right w:val="none" w:sz="0" w:space="0" w:color="auto"/>
      </w:divBdr>
    </w:div>
    <w:div w:id="38944840">
      <w:bodyDiv w:val="1"/>
      <w:marLeft w:val="0"/>
      <w:marRight w:val="0"/>
      <w:marTop w:val="0"/>
      <w:marBottom w:val="0"/>
      <w:divBdr>
        <w:top w:val="none" w:sz="0" w:space="0" w:color="auto"/>
        <w:left w:val="none" w:sz="0" w:space="0" w:color="auto"/>
        <w:bottom w:val="none" w:sz="0" w:space="0" w:color="auto"/>
        <w:right w:val="none" w:sz="0" w:space="0" w:color="auto"/>
      </w:divBdr>
    </w:div>
    <w:div w:id="39015574">
      <w:bodyDiv w:val="1"/>
      <w:marLeft w:val="0"/>
      <w:marRight w:val="0"/>
      <w:marTop w:val="0"/>
      <w:marBottom w:val="0"/>
      <w:divBdr>
        <w:top w:val="none" w:sz="0" w:space="0" w:color="auto"/>
        <w:left w:val="none" w:sz="0" w:space="0" w:color="auto"/>
        <w:bottom w:val="none" w:sz="0" w:space="0" w:color="auto"/>
        <w:right w:val="none" w:sz="0" w:space="0" w:color="auto"/>
      </w:divBdr>
    </w:div>
    <w:div w:id="39017200">
      <w:bodyDiv w:val="1"/>
      <w:marLeft w:val="0"/>
      <w:marRight w:val="0"/>
      <w:marTop w:val="0"/>
      <w:marBottom w:val="0"/>
      <w:divBdr>
        <w:top w:val="none" w:sz="0" w:space="0" w:color="auto"/>
        <w:left w:val="none" w:sz="0" w:space="0" w:color="auto"/>
        <w:bottom w:val="none" w:sz="0" w:space="0" w:color="auto"/>
        <w:right w:val="none" w:sz="0" w:space="0" w:color="auto"/>
      </w:divBdr>
    </w:div>
    <w:div w:id="39059777">
      <w:bodyDiv w:val="1"/>
      <w:marLeft w:val="0"/>
      <w:marRight w:val="0"/>
      <w:marTop w:val="0"/>
      <w:marBottom w:val="0"/>
      <w:divBdr>
        <w:top w:val="none" w:sz="0" w:space="0" w:color="auto"/>
        <w:left w:val="none" w:sz="0" w:space="0" w:color="auto"/>
        <w:bottom w:val="none" w:sz="0" w:space="0" w:color="auto"/>
        <w:right w:val="none" w:sz="0" w:space="0" w:color="auto"/>
      </w:divBdr>
    </w:div>
    <w:div w:id="39087625">
      <w:bodyDiv w:val="1"/>
      <w:marLeft w:val="0"/>
      <w:marRight w:val="0"/>
      <w:marTop w:val="0"/>
      <w:marBottom w:val="0"/>
      <w:divBdr>
        <w:top w:val="none" w:sz="0" w:space="0" w:color="auto"/>
        <w:left w:val="none" w:sz="0" w:space="0" w:color="auto"/>
        <w:bottom w:val="none" w:sz="0" w:space="0" w:color="auto"/>
        <w:right w:val="none" w:sz="0" w:space="0" w:color="auto"/>
      </w:divBdr>
    </w:div>
    <w:div w:id="39132200">
      <w:bodyDiv w:val="1"/>
      <w:marLeft w:val="0"/>
      <w:marRight w:val="0"/>
      <w:marTop w:val="0"/>
      <w:marBottom w:val="0"/>
      <w:divBdr>
        <w:top w:val="none" w:sz="0" w:space="0" w:color="auto"/>
        <w:left w:val="none" w:sz="0" w:space="0" w:color="auto"/>
        <w:bottom w:val="none" w:sz="0" w:space="0" w:color="auto"/>
        <w:right w:val="none" w:sz="0" w:space="0" w:color="auto"/>
      </w:divBdr>
    </w:div>
    <w:div w:id="39139454">
      <w:bodyDiv w:val="1"/>
      <w:marLeft w:val="0"/>
      <w:marRight w:val="0"/>
      <w:marTop w:val="0"/>
      <w:marBottom w:val="0"/>
      <w:divBdr>
        <w:top w:val="none" w:sz="0" w:space="0" w:color="auto"/>
        <w:left w:val="none" w:sz="0" w:space="0" w:color="auto"/>
        <w:bottom w:val="none" w:sz="0" w:space="0" w:color="auto"/>
        <w:right w:val="none" w:sz="0" w:space="0" w:color="auto"/>
      </w:divBdr>
    </w:div>
    <w:div w:id="39209973">
      <w:bodyDiv w:val="1"/>
      <w:marLeft w:val="0"/>
      <w:marRight w:val="0"/>
      <w:marTop w:val="0"/>
      <w:marBottom w:val="0"/>
      <w:divBdr>
        <w:top w:val="none" w:sz="0" w:space="0" w:color="auto"/>
        <w:left w:val="none" w:sz="0" w:space="0" w:color="auto"/>
        <w:bottom w:val="none" w:sz="0" w:space="0" w:color="auto"/>
        <w:right w:val="none" w:sz="0" w:space="0" w:color="auto"/>
      </w:divBdr>
    </w:div>
    <w:div w:id="39286097">
      <w:bodyDiv w:val="1"/>
      <w:marLeft w:val="0"/>
      <w:marRight w:val="0"/>
      <w:marTop w:val="0"/>
      <w:marBottom w:val="0"/>
      <w:divBdr>
        <w:top w:val="none" w:sz="0" w:space="0" w:color="auto"/>
        <w:left w:val="none" w:sz="0" w:space="0" w:color="auto"/>
        <w:bottom w:val="none" w:sz="0" w:space="0" w:color="auto"/>
        <w:right w:val="none" w:sz="0" w:space="0" w:color="auto"/>
      </w:divBdr>
    </w:div>
    <w:div w:id="39404811">
      <w:bodyDiv w:val="1"/>
      <w:marLeft w:val="0"/>
      <w:marRight w:val="0"/>
      <w:marTop w:val="0"/>
      <w:marBottom w:val="0"/>
      <w:divBdr>
        <w:top w:val="none" w:sz="0" w:space="0" w:color="auto"/>
        <w:left w:val="none" w:sz="0" w:space="0" w:color="auto"/>
        <w:bottom w:val="none" w:sz="0" w:space="0" w:color="auto"/>
        <w:right w:val="none" w:sz="0" w:space="0" w:color="auto"/>
      </w:divBdr>
    </w:div>
    <w:div w:id="39550169">
      <w:bodyDiv w:val="1"/>
      <w:marLeft w:val="0"/>
      <w:marRight w:val="0"/>
      <w:marTop w:val="0"/>
      <w:marBottom w:val="0"/>
      <w:divBdr>
        <w:top w:val="none" w:sz="0" w:space="0" w:color="auto"/>
        <w:left w:val="none" w:sz="0" w:space="0" w:color="auto"/>
        <w:bottom w:val="none" w:sz="0" w:space="0" w:color="auto"/>
        <w:right w:val="none" w:sz="0" w:space="0" w:color="auto"/>
      </w:divBdr>
    </w:div>
    <w:div w:id="39865165">
      <w:bodyDiv w:val="1"/>
      <w:marLeft w:val="0"/>
      <w:marRight w:val="0"/>
      <w:marTop w:val="0"/>
      <w:marBottom w:val="0"/>
      <w:divBdr>
        <w:top w:val="none" w:sz="0" w:space="0" w:color="auto"/>
        <w:left w:val="none" w:sz="0" w:space="0" w:color="auto"/>
        <w:bottom w:val="none" w:sz="0" w:space="0" w:color="auto"/>
        <w:right w:val="none" w:sz="0" w:space="0" w:color="auto"/>
      </w:divBdr>
    </w:div>
    <w:div w:id="39983034">
      <w:bodyDiv w:val="1"/>
      <w:marLeft w:val="0"/>
      <w:marRight w:val="0"/>
      <w:marTop w:val="0"/>
      <w:marBottom w:val="0"/>
      <w:divBdr>
        <w:top w:val="none" w:sz="0" w:space="0" w:color="auto"/>
        <w:left w:val="none" w:sz="0" w:space="0" w:color="auto"/>
        <w:bottom w:val="none" w:sz="0" w:space="0" w:color="auto"/>
        <w:right w:val="none" w:sz="0" w:space="0" w:color="auto"/>
      </w:divBdr>
    </w:div>
    <w:div w:id="39983584">
      <w:bodyDiv w:val="1"/>
      <w:marLeft w:val="0"/>
      <w:marRight w:val="0"/>
      <w:marTop w:val="0"/>
      <w:marBottom w:val="0"/>
      <w:divBdr>
        <w:top w:val="none" w:sz="0" w:space="0" w:color="auto"/>
        <w:left w:val="none" w:sz="0" w:space="0" w:color="auto"/>
        <w:bottom w:val="none" w:sz="0" w:space="0" w:color="auto"/>
        <w:right w:val="none" w:sz="0" w:space="0" w:color="auto"/>
      </w:divBdr>
    </w:div>
    <w:div w:id="40060053">
      <w:bodyDiv w:val="1"/>
      <w:marLeft w:val="0"/>
      <w:marRight w:val="0"/>
      <w:marTop w:val="0"/>
      <w:marBottom w:val="0"/>
      <w:divBdr>
        <w:top w:val="none" w:sz="0" w:space="0" w:color="auto"/>
        <w:left w:val="none" w:sz="0" w:space="0" w:color="auto"/>
        <w:bottom w:val="none" w:sz="0" w:space="0" w:color="auto"/>
        <w:right w:val="none" w:sz="0" w:space="0" w:color="auto"/>
      </w:divBdr>
    </w:div>
    <w:div w:id="40129129">
      <w:bodyDiv w:val="1"/>
      <w:marLeft w:val="0"/>
      <w:marRight w:val="0"/>
      <w:marTop w:val="0"/>
      <w:marBottom w:val="0"/>
      <w:divBdr>
        <w:top w:val="none" w:sz="0" w:space="0" w:color="auto"/>
        <w:left w:val="none" w:sz="0" w:space="0" w:color="auto"/>
        <w:bottom w:val="none" w:sz="0" w:space="0" w:color="auto"/>
        <w:right w:val="none" w:sz="0" w:space="0" w:color="auto"/>
      </w:divBdr>
    </w:div>
    <w:div w:id="40175571">
      <w:bodyDiv w:val="1"/>
      <w:marLeft w:val="0"/>
      <w:marRight w:val="0"/>
      <w:marTop w:val="0"/>
      <w:marBottom w:val="0"/>
      <w:divBdr>
        <w:top w:val="none" w:sz="0" w:space="0" w:color="auto"/>
        <w:left w:val="none" w:sz="0" w:space="0" w:color="auto"/>
        <w:bottom w:val="none" w:sz="0" w:space="0" w:color="auto"/>
        <w:right w:val="none" w:sz="0" w:space="0" w:color="auto"/>
      </w:divBdr>
    </w:div>
    <w:div w:id="40177133">
      <w:bodyDiv w:val="1"/>
      <w:marLeft w:val="0"/>
      <w:marRight w:val="0"/>
      <w:marTop w:val="0"/>
      <w:marBottom w:val="0"/>
      <w:divBdr>
        <w:top w:val="none" w:sz="0" w:space="0" w:color="auto"/>
        <w:left w:val="none" w:sz="0" w:space="0" w:color="auto"/>
        <w:bottom w:val="none" w:sz="0" w:space="0" w:color="auto"/>
        <w:right w:val="none" w:sz="0" w:space="0" w:color="auto"/>
      </w:divBdr>
    </w:div>
    <w:div w:id="40179028">
      <w:bodyDiv w:val="1"/>
      <w:marLeft w:val="0"/>
      <w:marRight w:val="0"/>
      <w:marTop w:val="0"/>
      <w:marBottom w:val="0"/>
      <w:divBdr>
        <w:top w:val="none" w:sz="0" w:space="0" w:color="auto"/>
        <w:left w:val="none" w:sz="0" w:space="0" w:color="auto"/>
        <w:bottom w:val="none" w:sz="0" w:space="0" w:color="auto"/>
        <w:right w:val="none" w:sz="0" w:space="0" w:color="auto"/>
      </w:divBdr>
    </w:div>
    <w:div w:id="40252529">
      <w:bodyDiv w:val="1"/>
      <w:marLeft w:val="0"/>
      <w:marRight w:val="0"/>
      <w:marTop w:val="0"/>
      <w:marBottom w:val="0"/>
      <w:divBdr>
        <w:top w:val="none" w:sz="0" w:space="0" w:color="auto"/>
        <w:left w:val="none" w:sz="0" w:space="0" w:color="auto"/>
        <w:bottom w:val="none" w:sz="0" w:space="0" w:color="auto"/>
        <w:right w:val="none" w:sz="0" w:space="0" w:color="auto"/>
      </w:divBdr>
    </w:div>
    <w:div w:id="40441031">
      <w:bodyDiv w:val="1"/>
      <w:marLeft w:val="0"/>
      <w:marRight w:val="0"/>
      <w:marTop w:val="0"/>
      <w:marBottom w:val="0"/>
      <w:divBdr>
        <w:top w:val="none" w:sz="0" w:space="0" w:color="auto"/>
        <w:left w:val="none" w:sz="0" w:space="0" w:color="auto"/>
        <w:bottom w:val="none" w:sz="0" w:space="0" w:color="auto"/>
        <w:right w:val="none" w:sz="0" w:space="0" w:color="auto"/>
      </w:divBdr>
    </w:div>
    <w:div w:id="40445365">
      <w:bodyDiv w:val="1"/>
      <w:marLeft w:val="0"/>
      <w:marRight w:val="0"/>
      <w:marTop w:val="0"/>
      <w:marBottom w:val="0"/>
      <w:divBdr>
        <w:top w:val="none" w:sz="0" w:space="0" w:color="auto"/>
        <w:left w:val="none" w:sz="0" w:space="0" w:color="auto"/>
        <w:bottom w:val="none" w:sz="0" w:space="0" w:color="auto"/>
        <w:right w:val="none" w:sz="0" w:space="0" w:color="auto"/>
      </w:divBdr>
    </w:div>
    <w:div w:id="40567268">
      <w:bodyDiv w:val="1"/>
      <w:marLeft w:val="0"/>
      <w:marRight w:val="0"/>
      <w:marTop w:val="0"/>
      <w:marBottom w:val="0"/>
      <w:divBdr>
        <w:top w:val="none" w:sz="0" w:space="0" w:color="auto"/>
        <w:left w:val="none" w:sz="0" w:space="0" w:color="auto"/>
        <w:bottom w:val="none" w:sz="0" w:space="0" w:color="auto"/>
        <w:right w:val="none" w:sz="0" w:space="0" w:color="auto"/>
      </w:divBdr>
    </w:div>
    <w:div w:id="40634907">
      <w:bodyDiv w:val="1"/>
      <w:marLeft w:val="0"/>
      <w:marRight w:val="0"/>
      <w:marTop w:val="0"/>
      <w:marBottom w:val="0"/>
      <w:divBdr>
        <w:top w:val="none" w:sz="0" w:space="0" w:color="auto"/>
        <w:left w:val="none" w:sz="0" w:space="0" w:color="auto"/>
        <w:bottom w:val="none" w:sz="0" w:space="0" w:color="auto"/>
        <w:right w:val="none" w:sz="0" w:space="0" w:color="auto"/>
      </w:divBdr>
    </w:div>
    <w:div w:id="40642070">
      <w:bodyDiv w:val="1"/>
      <w:marLeft w:val="0"/>
      <w:marRight w:val="0"/>
      <w:marTop w:val="0"/>
      <w:marBottom w:val="0"/>
      <w:divBdr>
        <w:top w:val="none" w:sz="0" w:space="0" w:color="auto"/>
        <w:left w:val="none" w:sz="0" w:space="0" w:color="auto"/>
        <w:bottom w:val="none" w:sz="0" w:space="0" w:color="auto"/>
        <w:right w:val="none" w:sz="0" w:space="0" w:color="auto"/>
      </w:divBdr>
    </w:div>
    <w:div w:id="40715490">
      <w:bodyDiv w:val="1"/>
      <w:marLeft w:val="0"/>
      <w:marRight w:val="0"/>
      <w:marTop w:val="0"/>
      <w:marBottom w:val="0"/>
      <w:divBdr>
        <w:top w:val="none" w:sz="0" w:space="0" w:color="auto"/>
        <w:left w:val="none" w:sz="0" w:space="0" w:color="auto"/>
        <w:bottom w:val="none" w:sz="0" w:space="0" w:color="auto"/>
        <w:right w:val="none" w:sz="0" w:space="0" w:color="auto"/>
      </w:divBdr>
    </w:div>
    <w:div w:id="40829762">
      <w:bodyDiv w:val="1"/>
      <w:marLeft w:val="0"/>
      <w:marRight w:val="0"/>
      <w:marTop w:val="0"/>
      <w:marBottom w:val="0"/>
      <w:divBdr>
        <w:top w:val="none" w:sz="0" w:space="0" w:color="auto"/>
        <w:left w:val="none" w:sz="0" w:space="0" w:color="auto"/>
        <w:bottom w:val="none" w:sz="0" w:space="0" w:color="auto"/>
        <w:right w:val="none" w:sz="0" w:space="0" w:color="auto"/>
      </w:divBdr>
    </w:div>
    <w:div w:id="40904253">
      <w:bodyDiv w:val="1"/>
      <w:marLeft w:val="0"/>
      <w:marRight w:val="0"/>
      <w:marTop w:val="0"/>
      <w:marBottom w:val="0"/>
      <w:divBdr>
        <w:top w:val="none" w:sz="0" w:space="0" w:color="auto"/>
        <w:left w:val="none" w:sz="0" w:space="0" w:color="auto"/>
        <w:bottom w:val="none" w:sz="0" w:space="0" w:color="auto"/>
        <w:right w:val="none" w:sz="0" w:space="0" w:color="auto"/>
      </w:divBdr>
    </w:div>
    <w:div w:id="40981612">
      <w:bodyDiv w:val="1"/>
      <w:marLeft w:val="0"/>
      <w:marRight w:val="0"/>
      <w:marTop w:val="0"/>
      <w:marBottom w:val="0"/>
      <w:divBdr>
        <w:top w:val="none" w:sz="0" w:space="0" w:color="auto"/>
        <w:left w:val="none" w:sz="0" w:space="0" w:color="auto"/>
        <w:bottom w:val="none" w:sz="0" w:space="0" w:color="auto"/>
        <w:right w:val="none" w:sz="0" w:space="0" w:color="auto"/>
      </w:divBdr>
    </w:div>
    <w:div w:id="41025660">
      <w:bodyDiv w:val="1"/>
      <w:marLeft w:val="0"/>
      <w:marRight w:val="0"/>
      <w:marTop w:val="0"/>
      <w:marBottom w:val="0"/>
      <w:divBdr>
        <w:top w:val="none" w:sz="0" w:space="0" w:color="auto"/>
        <w:left w:val="none" w:sz="0" w:space="0" w:color="auto"/>
        <w:bottom w:val="none" w:sz="0" w:space="0" w:color="auto"/>
        <w:right w:val="none" w:sz="0" w:space="0" w:color="auto"/>
      </w:divBdr>
    </w:div>
    <w:div w:id="41025709">
      <w:bodyDiv w:val="1"/>
      <w:marLeft w:val="0"/>
      <w:marRight w:val="0"/>
      <w:marTop w:val="0"/>
      <w:marBottom w:val="0"/>
      <w:divBdr>
        <w:top w:val="none" w:sz="0" w:space="0" w:color="auto"/>
        <w:left w:val="none" w:sz="0" w:space="0" w:color="auto"/>
        <w:bottom w:val="none" w:sz="0" w:space="0" w:color="auto"/>
        <w:right w:val="none" w:sz="0" w:space="0" w:color="auto"/>
      </w:divBdr>
    </w:div>
    <w:div w:id="41099328">
      <w:bodyDiv w:val="1"/>
      <w:marLeft w:val="0"/>
      <w:marRight w:val="0"/>
      <w:marTop w:val="0"/>
      <w:marBottom w:val="0"/>
      <w:divBdr>
        <w:top w:val="none" w:sz="0" w:space="0" w:color="auto"/>
        <w:left w:val="none" w:sz="0" w:space="0" w:color="auto"/>
        <w:bottom w:val="none" w:sz="0" w:space="0" w:color="auto"/>
        <w:right w:val="none" w:sz="0" w:space="0" w:color="auto"/>
      </w:divBdr>
    </w:div>
    <w:div w:id="41173731">
      <w:bodyDiv w:val="1"/>
      <w:marLeft w:val="0"/>
      <w:marRight w:val="0"/>
      <w:marTop w:val="0"/>
      <w:marBottom w:val="0"/>
      <w:divBdr>
        <w:top w:val="none" w:sz="0" w:space="0" w:color="auto"/>
        <w:left w:val="none" w:sz="0" w:space="0" w:color="auto"/>
        <w:bottom w:val="none" w:sz="0" w:space="0" w:color="auto"/>
        <w:right w:val="none" w:sz="0" w:space="0" w:color="auto"/>
      </w:divBdr>
    </w:div>
    <w:div w:id="41179469">
      <w:bodyDiv w:val="1"/>
      <w:marLeft w:val="0"/>
      <w:marRight w:val="0"/>
      <w:marTop w:val="0"/>
      <w:marBottom w:val="0"/>
      <w:divBdr>
        <w:top w:val="none" w:sz="0" w:space="0" w:color="auto"/>
        <w:left w:val="none" w:sz="0" w:space="0" w:color="auto"/>
        <w:bottom w:val="none" w:sz="0" w:space="0" w:color="auto"/>
        <w:right w:val="none" w:sz="0" w:space="0" w:color="auto"/>
      </w:divBdr>
    </w:div>
    <w:div w:id="41297051">
      <w:bodyDiv w:val="1"/>
      <w:marLeft w:val="0"/>
      <w:marRight w:val="0"/>
      <w:marTop w:val="0"/>
      <w:marBottom w:val="0"/>
      <w:divBdr>
        <w:top w:val="none" w:sz="0" w:space="0" w:color="auto"/>
        <w:left w:val="none" w:sz="0" w:space="0" w:color="auto"/>
        <w:bottom w:val="none" w:sz="0" w:space="0" w:color="auto"/>
        <w:right w:val="none" w:sz="0" w:space="0" w:color="auto"/>
      </w:divBdr>
    </w:div>
    <w:div w:id="41366334">
      <w:bodyDiv w:val="1"/>
      <w:marLeft w:val="0"/>
      <w:marRight w:val="0"/>
      <w:marTop w:val="0"/>
      <w:marBottom w:val="0"/>
      <w:divBdr>
        <w:top w:val="none" w:sz="0" w:space="0" w:color="auto"/>
        <w:left w:val="none" w:sz="0" w:space="0" w:color="auto"/>
        <w:bottom w:val="none" w:sz="0" w:space="0" w:color="auto"/>
        <w:right w:val="none" w:sz="0" w:space="0" w:color="auto"/>
      </w:divBdr>
    </w:div>
    <w:div w:id="41368576">
      <w:bodyDiv w:val="1"/>
      <w:marLeft w:val="0"/>
      <w:marRight w:val="0"/>
      <w:marTop w:val="0"/>
      <w:marBottom w:val="0"/>
      <w:divBdr>
        <w:top w:val="none" w:sz="0" w:space="0" w:color="auto"/>
        <w:left w:val="none" w:sz="0" w:space="0" w:color="auto"/>
        <w:bottom w:val="none" w:sz="0" w:space="0" w:color="auto"/>
        <w:right w:val="none" w:sz="0" w:space="0" w:color="auto"/>
      </w:divBdr>
    </w:div>
    <w:div w:id="41370229">
      <w:bodyDiv w:val="1"/>
      <w:marLeft w:val="0"/>
      <w:marRight w:val="0"/>
      <w:marTop w:val="0"/>
      <w:marBottom w:val="0"/>
      <w:divBdr>
        <w:top w:val="none" w:sz="0" w:space="0" w:color="auto"/>
        <w:left w:val="none" w:sz="0" w:space="0" w:color="auto"/>
        <w:bottom w:val="none" w:sz="0" w:space="0" w:color="auto"/>
        <w:right w:val="none" w:sz="0" w:space="0" w:color="auto"/>
      </w:divBdr>
    </w:div>
    <w:div w:id="41446007">
      <w:bodyDiv w:val="1"/>
      <w:marLeft w:val="0"/>
      <w:marRight w:val="0"/>
      <w:marTop w:val="0"/>
      <w:marBottom w:val="0"/>
      <w:divBdr>
        <w:top w:val="none" w:sz="0" w:space="0" w:color="auto"/>
        <w:left w:val="none" w:sz="0" w:space="0" w:color="auto"/>
        <w:bottom w:val="none" w:sz="0" w:space="0" w:color="auto"/>
        <w:right w:val="none" w:sz="0" w:space="0" w:color="auto"/>
      </w:divBdr>
    </w:div>
    <w:div w:id="41488818">
      <w:bodyDiv w:val="1"/>
      <w:marLeft w:val="0"/>
      <w:marRight w:val="0"/>
      <w:marTop w:val="0"/>
      <w:marBottom w:val="0"/>
      <w:divBdr>
        <w:top w:val="none" w:sz="0" w:space="0" w:color="auto"/>
        <w:left w:val="none" w:sz="0" w:space="0" w:color="auto"/>
        <w:bottom w:val="none" w:sz="0" w:space="0" w:color="auto"/>
        <w:right w:val="none" w:sz="0" w:space="0" w:color="auto"/>
      </w:divBdr>
    </w:div>
    <w:div w:id="41516246">
      <w:bodyDiv w:val="1"/>
      <w:marLeft w:val="0"/>
      <w:marRight w:val="0"/>
      <w:marTop w:val="0"/>
      <w:marBottom w:val="0"/>
      <w:divBdr>
        <w:top w:val="none" w:sz="0" w:space="0" w:color="auto"/>
        <w:left w:val="none" w:sz="0" w:space="0" w:color="auto"/>
        <w:bottom w:val="none" w:sz="0" w:space="0" w:color="auto"/>
        <w:right w:val="none" w:sz="0" w:space="0" w:color="auto"/>
      </w:divBdr>
    </w:div>
    <w:div w:id="41558569">
      <w:bodyDiv w:val="1"/>
      <w:marLeft w:val="0"/>
      <w:marRight w:val="0"/>
      <w:marTop w:val="0"/>
      <w:marBottom w:val="0"/>
      <w:divBdr>
        <w:top w:val="none" w:sz="0" w:space="0" w:color="auto"/>
        <w:left w:val="none" w:sz="0" w:space="0" w:color="auto"/>
        <w:bottom w:val="none" w:sz="0" w:space="0" w:color="auto"/>
        <w:right w:val="none" w:sz="0" w:space="0" w:color="auto"/>
      </w:divBdr>
    </w:div>
    <w:div w:id="41566486">
      <w:bodyDiv w:val="1"/>
      <w:marLeft w:val="0"/>
      <w:marRight w:val="0"/>
      <w:marTop w:val="0"/>
      <w:marBottom w:val="0"/>
      <w:divBdr>
        <w:top w:val="none" w:sz="0" w:space="0" w:color="auto"/>
        <w:left w:val="none" w:sz="0" w:space="0" w:color="auto"/>
        <w:bottom w:val="none" w:sz="0" w:space="0" w:color="auto"/>
        <w:right w:val="none" w:sz="0" w:space="0" w:color="auto"/>
      </w:divBdr>
    </w:div>
    <w:div w:id="41684147">
      <w:bodyDiv w:val="1"/>
      <w:marLeft w:val="0"/>
      <w:marRight w:val="0"/>
      <w:marTop w:val="0"/>
      <w:marBottom w:val="0"/>
      <w:divBdr>
        <w:top w:val="none" w:sz="0" w:space="0" w:color="auto"/>
        <w:left w:val="none" w:sz="0" w:space="0" w:color="auto"/>
        <w:bottom w:val="none" w:sz="0" w:space="0" w:color="auto"/>
        <w:right w:val="none" w:sz="0" w:space="0" w:color="auto"/>
      </w:divBdr>
    </w:div>
    <w:div w:id="41758841">
      <w:bodyDiv w:val="1"/>
      <w:marLeft w:val="0"/>
      <w:marRight w:val="0"/>
      <w:marTop w:val="0"/>
      <w:marBottom w:val="0"/>
      <w:divBdr>
        <w:top w:val="none" w:sz="0" w:space="0" w:color="auto"/>
        <w:left w:val="none" w:sz="0" w:space="0" w:color="auto"/>
        <w:bottom w:val="none" w:sz="0" w:space="0" w:color="auto"/>
        <w:right w:val="none" w:sz="0" w:space="0" w:color="auto"/>
      </w:divBdr>
    </w:div>
    <w:div w:id="41828437">
      <w:bodyDiv w:val="1"/>
      <w:marLeft w:val="0"/>
      <w:marRight w:val="0"/>
      <w:marTop w:val="0"/>
      <w:marBottom w:val="0"/>
      <w:divBdr>
        <w:top w:val="none" w:sz="0" w:space="0" w:color="auto"/>
        <w:left w:val="none" w:sz="0" w:space="0" w:color="auto"/>
        <w:bottom w:val="none" w:sz="0" w:space="0" w:color="auto"/>
        <w:right w:val="none" w:sz="0" w:space="0" w:color="auto"/>
      </w:divBdr>
    </w:div>
    <w:div w:id="41835122">
      <w:bodyDiv w:val="1"/>
      <w:marLeft w:val="0"/>
      <w:marRight w:val="0"/>
      <w:marTop w:val="0"/>
      <w:marBottom w:val="0"/>
      <w:divBdr>
        <w:top w:val="none" w:sz="0" w:space="0" w:color="auto"/>
        <w:left w:val="none" w:sz="0" w:space="0" w:color="auto"/>
        <w:bottom w:val="none" w:sz="0" w:space="0" w:color="auto"/>
        <w:right w:val="none" w:sz="0" w:space="0" w:color="auto"/>
      </w:divBdr>
    </w:div>
    <w:div w:id="41951579">
      <w:bodyDiv w:val="1"/>
      <w:marLeft w:val="0"/>
      <w:marRight w:val="0"/>
      <w:marTop w:val="0"/>
      <w:marBottom w:val="0"/>
      <w:divBdr>
        <w:top w:val="none" w:sz="0" w:space="0" w:color="auto"/>
        <w:left w:val="none" w:sz="0" w:space="0" w:color="auto"/>
        <w:bottom w:val="none" w:sz="0" w:space="0" w:color="auto"/>
        <w:right w:val="none" w:sz="0" w:space="0" w:color="auto"/>
      </w:divBdr>
    </w:div>
    <w:div w:id="41952713">
      <w:bodyDiv w:val="1"/>
      <w:marLeft w:val="0"/>
      <w:marRight w:val="0"/>
      <w:marTop w:val="0"/>
      <w:marBottom w:val="0"/>
      <w:divBdr>
        <w:top w:val="none" w:sz="0" w:space="0" w:color="auto"/>
        <w:left w:val="none" w:sz="0" w:space="0" w:color="auto"/>
        <w:bottom w:val="none" w:sz="0" w:space="0" w:color="auto"/>
        <w:right w:val="none" w:sz="0" w:space="0" w:color="auto"/>
      </w:divBdr>
    </w:div>
    <w:div w:id="42099305">
      <w:bodyDiv w:val="1"/>
      <w:marLeft w:val="0"/>
      <w:marRight w:val="0"/>
      <w:marTop w:val="0"/>
      <w:marBottom w:val="0"/>
      <w:divBdr>
        <w:top w:val="none" w:sz="0" w:space="0" w:color="auto"/>
        <w:left w:val="none" w:sz="0" w:space="0" w:color="auto"/>
        <w:bottom w:val="none" w:sz="0" w:space="0" w:color="auto"/>
        <w:right w:val="none" w:sz="0" w:space="0" w:color="auto"/>
      </w:divBdr>
    </w:div>
    <w:div w:id="42101975">
      <w:bodyDiv w:val="1"/>
      <w:marLeft w:val="0"/>
      <w:marRight w:val="0"/>
      <w:marTop w:val="0"/>
      <w:marBottom w:val="0"/>
      <w:divBdr>
        <w:top w:val="none" w:sz="0" w:space="0" w:color="auto"/>
        <w:left w:val="none" w:sz="0" w:space="0" w:color="auto"/>
        <w:bottom w:val="none" w:sz="0" w:space="0" w:color="auto"/>
        <w:right w:val="none" w:sz="0" w:space="0" w:color="auto"/>
      </w:divBdr>
    </w:div>
    <w:div w:id="42143795">
      <w:bodyDiv w:val="1"/>
      <w:marLeft w:val="0"/>
      <w:marRight w:val="0"/>
      <w:marTop w:val="0"/>
      <w:marBottom w:val="0"/>
      <w:divBdr>
        <w:top w:val="none" w:sz="0" w:space="0" w:color="auto"/>
        <w:left w:val="none" w:sz="0" w:space="0" w:color="auto"/>
        <w:bottom w:val="none" w:sz="0" w:space="0" w:color="auto"/>
        <w:right w:val="none" w:sz="0" w:space="0" w:color="auto"/>
      </w:divBdr>
    </w:div>
    <w:div w:id="42146425">
      <w:bodyDiv w:val="1"/>
      <w:marLeft w:val="0"/>
      <w:marRight w:val="0"/>
      <w:marTop w:val="0"/>
      <w:marBottom w:val="0"/>
      <w:divBdr>
        <w:top w:val="none" w:sz="0" w:space="0" w:color="auto"/>
        <w:left w:val="none" w:sz="0" w:space="0" w:color="auto"/>
        <w:bottom w:val="none" w:sz="0" w:space="0" w:color="auto"/>
        <w:right w:val="none" w:sz="0" w:space="0" w:color="auto"/>
      </w:divBdr>
    </w:div>
    <w:div w:id="42288339">
      <w:bodyDiv w:val="1"/>
      <w:marLeft w:val="0"/>
      <w:marRight w:val="0"/>
      <w:marTop w:val="0"/>
      <w:marBottom w:val="0"/>
      <w:divBdr>
        <w:top w:val="none" w:sz="0" w:space="0" w:color="auto"/>
        <w:left w:val="none" w:sz="0" w:space="0" w:color="auto"/>
        <w:bottom w:val="none" w:sz="0" w:space="0" w:color="auto"/>
        <w:right w:val="none" w:sz="0" w:space="0" w:color="auto"/>
      </w:divBdr>
    </w:div>
    <w:div w:id="42290626">
      <w:bodyDiv w:val="1"/>
      <w:marLeft w:val="0"/>
      <w:marRight w:val="0"/>
      <w:marTop w:val="0"/>
      <w:marBottom w:val="0"/>
      <w:divBdr>
        <w:top w:val="none" w:sz="0" w:space="0" w:color="auto"/>
        <w:left w:val="none" w:sz="0" w:space="0" w:color="auto"/>
        <w:bottom w:val="none" w:sz="0" w:space="0" w:color="auto"/>
        <w:right w:val="none" w:sz="0" w:space="0" w:color="auto"/>
      </w:divBdr>
    </w:div>
    <w:div w:id="42337200">
      <w:bodyDiv w:val="1"/>
      <w:marLeft w:val="0"/>
      <w:marRight w:val="0"/>
      <w:marTop w:val="0"/>
      <w:marBottom w:val="0"/>
      <w:divBdr>
        <w:top w:val="none" w:sz="0" w:space="0" w:color="auto"/>
        <w:left w:val="none" w:sz="0" w:space="0" w:color="auto"/>
        <w:bottom w:val="none" w:sz="0" w:space="0" w:color="auto"/>
        <w:right w:val="none" w:sz="0" w:space="0" w:color="auto"/>
      </w:divBdr>
    </w:div>
    <w:div w:id="42407758">
      <w:bodyDiv w:val="1"/>
      <w:marLeft w:val="0"/>
      <w:marRight w:val="0"/>
      <w:marTop w:val="0"/>
      <w:marBottom w:val="0"/>
      <w:divBdr>
        <w:top w:val="none" w:sz="0" w:space="0" w:color="auto"/>
        <w:left w:val="none" w:sz="0" w:space="0" w:color="auto"/>
        <w:bottom w:val="none" w:sz="0" w:space="0" w:color="auto"/>
        <w:right w:val="none" w:sz="0" w:space="0" w:color="auto"/>
      </w:divBdr>
    </w:div>
    <w:div w:id="42410670">
      <w:bodyDiv w:val="1"/>
      <w:marLeft w:val="0"/>
      <w:marRight w:val="0"/>
      <w:marTop w:val="0"/>
      <w:marBottom w:val="0"/>
      <w:divBdr>
        <w:top w:val="none" w:sz="0" w:space="0" w:color="auto"/>
        <w:left w:val="none" w:sz="0" w:space="0" w:color="auto"/>
        <w:bottom w:val="none" w:sz="0" w:space="0" w:color="auto"/>
        <w:right w:val="none" w:sz="0" w:space="0" w:color="auto"/>
      </w:divBdr>
    </w:div>
    <w:div w:id="42414683">
      <w:bodyDiv w:val="1"/>
      <w:marLeft w:val="0"/>
      <w:marRight w:val="0"/>
      <w:marTop w:val="0"/>
      <w:marBottom w:val="0"/>
      <w:divBdr>
        <w:top w:val="none" w:sz="0" w:space="0" w:color="auto"/>
        <w:left w:val="none" w:sz="0" w:space="0" w:color="auto"/>
        <w:bottom w:val="none" w:sz="0" w:space="0" w:color="auto"/>
        <w:right w:val="none" w:sz="0" w:space="0" w:color="auto"/>
      </w:divBdr>
    </w:div>
    <w:div w:id="42607076">
      <w:bodyDiv w:val="1"/>
      <w:marLeft w:val="0"/>
      <w:marRight w:val="0"/>
      <w:marTop w:val="0"/>
      <w:marBottom w:val="0"/>
      <w:divBdr>
        <w:top w:val="none" w:sz="0" w:space="0" w:color="auto"/>
        <w:left w:val="none" w:sz="0" w:space="0" w:color="auto"/>
        <w:bottom w:val="none" w:sz="0" w:space="0" w:color="auto"/>
        <w:right w:val="none" w:sz="0" w:space="0" w:color="auto"/>
      </w:divBdr>
    </w:div>
    <w:div w:id="42679712">
      <w:bodyDiv w:val="1"/>
      <w:marLeft w:val="0"/>
      <w:marRight w:val="0"/>
      <w:marTop w:val="0"/>
      <w:marBottom w:val="0"/>
      <w:divBdr>
        <w:top w:val="none" w:sz="0" w:space="0" w:color="auto"/>
        <w:left w:val="none" w:sz="0" w:space="0" w:color="auto"/>
        <w:bottom w:val="none" w:sz="0" w:space="0" w:color="auto"/>
        <w:right w:val="none" w:sz="0" w:space="0" w:color="auto"/>
      </w:divBdr>
    </w:div>
    <w:div w:id="42750962">
      <w:bodyDiv w:val="1"/>
      <w:marLeft w:val="0"/>
      <w:marRight w:val="0"/>
      <w:marTop w:val="0"/>
      <w:marBottom w:val="0"/>
      <w:divBdr>
        <w:top w:val="none" w:sz="0" w:space="0" w:color="auto"/>
        <w:left w:val="none" w:sz="0" w:space="0" w:color="auto"/>
        <w:bottom w:val="none" w:sz="0" w:space="0" w:color="auto"/>
        <w:right w:val="none" w:sz="0" w:space="0" w:color="auto"/>
      </w:divBdr>
    </w:div>
    <w:div w:id="42753811">
      <w:bodyDiv w:val="1"/>
      <w:marLeft w:val="0"/>
      <w:marRight w:val="0"/>
      <w:marTop w:val="0"/>
      <w:marBottom w:val="0"/>
      <w:divBdr>
        <w:top w:val="none" w:sz="0" w:space="0" w:color="auto"/>
        <w:left w:val="none" w:sz="0" w:space="0" w:color="auto"/>
        <w:bottom w:val="none" w:sz="0" w:space="0" w:color="auto"/>
        <w:right w:val="none" w:sz="0" w:space="0" w:color="auto"/>
      </w:divBdr>
    </w:div>
    <w:div w:id="42757742">
      <w:bodyDiv w:val="1"/>
      <w:marLeft w:val="0"/>
      <w:marRight w:val="0"/>
      <w:marTop w:val="0"/>
      <w:marBottom w:val="0"/>
      <w:divBdr>
        <w:top w:val="none" w:sz="0" w:space="0" w:color="auto"/>
        <w:left w:val="none" w:sz="0" w:space="0" w:color="auto"/>
        <w:bottom w:val="none" w:sz="0" w:space="0" w:color="auto"/>
        <w:right w:val="none" w:sz="0" w:space="0" w:color="auto"/>
      </w:divBdr>
    </w:div>
    <w:div w:id="42797060">
      <w:bodyDiv w:val="1"/>
      <w:marLeft w:val="0"/>
      <w:marRight w:val="0"/>
      <w:marTop w:val="0"/>
      <w:marBottom w:val="0"/>
      <w:divBdr>
        <w:top w:val="none" w:sz="0" w:space="0" w:color="auto"/>
        <w:left w:val="none" w:sz="0" w:space="0" w:color="auto"/>
        <w:bottom w:val="none" w:sz="0" w:space="0" w:color="auto"/>
        <w:right w:val="none" w:sz="0" w:space="0" w:color="auto"/>
      </w:divBdr>
    </w:div>
    <w:div w:id="42869291">
      <w:bodyDiv w:val="1"/>
      <w:marLeft w:val="0"/>
      <w:marRight w:val="0"/>
      <w:marTop w:val="0"/>
      <w:marBottom w:val="0"/>
      <w:divBdr>
        <w:top w:val="none" w:sz="0" w:space="0" w:color="auto"/>
        <w:left w:val="none" w:sz="0" w:space="0" w:color="auto"/>
        <w:bottom w:val="none" w:sz="0" w:space="0" w:color="auto"/>
        <w:right w:val="none" w:sz="0" w:space="0" w:color="auto"/>
      </w:divBdr>
    </w:div>
    <w:div w:id="43062206">
      <w:bodyDiv w:val="1"/>
      <w:marLeft w:val="0"/>
      <w:marRight w:val="0"/>
      <w:marTop w:val="0"/>
      <w:marBottom w:val="0"/>
      <w:divBdr>
        <w:top w:val="none" w:sz="0" w:space="0" w:color="auto"/>
        <w:left w:val="none" w:sz="0" w:space="0" w:color="auto"/>
        <w:bottom w:val="none" w:sz="0" w:space="0" w:color="auto"/>
        <w:right w:val="none" w:sz="0" w:space="0" w:color="auto"/>
      </w:divBdr>
    </w:div>
    <w:div w:id="43069417">
      <w:bodyDiv w:val="1"/>
      <w:marLeft w:val="0"/>
      <w:marRight w:val="0"/>
      <w:marTop w:val="0"/>
      <w:marBottom w:val="0"/>
      <w:divBdr>
        <w:top w:val="none" w:sz="0" w:space="0" w:color="auto"/>
        <w:left w:val="none" w:sz="0" w:space="0" w:color="auto"/>
        <w:bottom w:val="none" w:sz="0" w:space="0" w:color="auto"/>
        <w:right w:val="none" w:sz="0" w:space="0" w:color="auto"/>
      </w:divBdr>
    </w:div>
    <w:div w:id="43070159">
      <w:bodyDiv w:val="1"/>
      <w:marLeft w:val="0"/>
      <w:marRight w:val="0"/>
      <w:marTop w:val="0"/>
      <w:marBottom w:val="0"/>
      <w:divBdr>
        <w:top w:val="none" w:sz="0" w:space="0" w:color="auto"/>
        <w:left w:val="none" w:sz="0" w:space="0" w:color="auto"/>
        <w:bottom w:val="none" w:sz="0" w:space="0" w:color="auto"/>
        <w:right w:val="none" w:sz="0" w:space="0" w:color="auto"/>
      </w:divBdr>
    </w:div>
    <w:div w:id="43213372">
      <w:bodyDiv w:val="1"/>
      <w:marLeft w:val="0"/>
      <w:marRight w:val="0"/>
      <w:marTop w:val="0"/>
      <w:marBottom w:val="0"/>
      <w:divBdr>
        <w:top w:val="none" w:sz="0" w:space="0" w:color="auto"/>
        <w:left w:val="none" w:sz="0" w:space="0" w:color="auto"/>
        <w:bottom w:val="none" w:sz="0" w:space="0" w:color="auto"/>
        <w:right w:val="none" w:sz="0" w:space="0" w:color="auto"/>
      </w:divBdr>
    </w:div>
    <w:div w:id="43219900">
      <w:bodyDiv w:val="1"/>
      <w:marLeft w:val="0"/>
      <w:marRight w:val="0"/>
      <w:marTop w:val="0"/>
      <w:marBottom w:val="0"/>
      <w:divBdr>
        <w:top w:val="none" w:sz="0" w:space="0" w:color="auto"/>
        <w:left w:val="none" w:sz="0" w:space="0" w:color="auto"/>
        <w:bottom w:val="none" w:sz="0" w:space="0" w:color="auto"/>
        <w:right w:val="none" w:sz="0" w:space="0" w:color="auto"/>
      </w:divBdr>
    </w:div>
    <w:div w:id="43332332">
      <w:bodyDiv w:val="1"/>
      <w:marLeft w:val="0"/>
      <w:marRight w:val="0"/>
      <w:marTop w:val="0"/>
      <w:marBottom w:val="0"/>
      <w:divBdr>
        <w:top w:val="none" w:sz="0" w:space="0" w:color="auto"/>
        <w:left w:val="none" w:sz="0" w:space="0" w:color="auto"/>
        <w:bottom w:val="none" w:sz="0" w:space="0" w:color="auto"/>
        <w:right w:val="none" w:sz="0" w:space="0" w:color="auto"/>
      </w:divBdr>
    </w:div>
    <w:div w:id="43334794">
      <w:bodyDiv w:val="1"/>
      <w:marLeft w:val="0"/>
      <w:marRight w:val="0"/>
      <w:marTop w:val="0"/>
      <w:marBottom w:val="0"/>
      <w:divBdr>
        <w:top w:val="none" w:sz="0" w:space="0" w:color="auto"/>
        <w:left w:val="none" w:sz="0" w:space="0" w:color="auto"/>
        <w:bottom w:val="none" w:sz="0" w:space="0" w:color="auto"/>
        <w:right w:val="none" w:sz="0" w:space="0" w:color="auto"/>
      </w:divBdr>
    </w:div>
    <w:div w:id="43409420">
      <w:bodyDiv w:val="1"/>
      <w:marLeft w:val="0"/>
      <w:marRight w:val="0"/>
      <w:marTop w:val="0"/>
      <w:marBottom w:val="0"/>
      <w:divBdr>
        <w:top w:val="none" w:sz="0" w:space="0" w:color="auto"/>
        <w:left w:val="none" w:sz="0" w:space="0" w:color="auto"/>
        <w:bottom w:val="none" w:sz="0" w:space="0" w:color="auto"/>
        <w:right w:val="none" w:sz="0" w:space="0" w:color="auto"/>
      </w:divBdr>
    </w:div>
    <w:div w:id="43453494">
      <w:bodyDiv w:val="1"/>
      <w:marLeft w:val="0"/>
      <w:marRight w:val="0"/>
      <w:marTop w:val="0"/>
      <w:marBottom w:val="0"/>
      <w:divBdr>
        <w:top w:val="none" w:sz="0" w:space="0" w:color="auto"/>
        <w:left w:val="none" w:sz="0" w:space="0" w:color="auto"/>
        <w:bottom w:val="none" w:sz="0" w:space="0" w:color="auto"/>
        <w:right w:val="none" w:sz="0" w:space="0" w:color="auto"/>
      </w:divBdr>
    </w:div>
    <w:div w:id="43598749">
      <w:bodyDiv w:val="1"/>
      <w:marLeft w:val="0"/>
      <w:marRight w:val="0"/>
      <w:marTop w:val="0"/>
      <w:marBottom w:val="0"/>
      <w:divBdr>
        <w:top w:val="none" w:sz="0" w:space="0" w:color="auto"/>
        <w:left w:val="none" w:sz="0" w:space="0" w:color="auto"/>
        <w:bottom w:val="none" w:sz="0" w:space="0" w:color="auto"/>
        <w:right w:val="none" w:sz="0" w:space="0" w:color="auto"/>
      </w:divBdr>
    </w:div>
    <w:div w:id="43601862">
      <w:bodyDiv w:val="1"/>
      <w:marLeft w:val="0"/>
      <w:marRight w:val="0"/>
      <w:marTop w:val="0"/>
      <w:marBottom w:val="0"/>
      <w:divBdr>
        <w:top w:val="none" w:sz="0" w:space="0" w:color="auto"/>
        <w:left w:val="none" w:sz="0" w:space="0" w:color="auto"/>
        <w:bottom w:val="none" w:sz="0" w:space="0" w:color="auto"/>
        <w:right w:val="none" w:sz="0" w:space="0" w:color="auto"/>
      </w:divBdr>
    </w:div>
    <w:div w:id="43794317">
      <w:bodyDiv w:val="1"/>
      <w:marLeft w:val="0"/>
      <w:marRight w:val="0"/>
      <w:marTop w:val="0"/>
      <w:marBottom w:val="0"/>
      <w:divBdr>
        <w:top w:val="none" w:sz="0" w:space="0" w:color="auto"/>
        <w:left w:val="none" w:sz="0" w:space="0" w:color="auto"/>
        <w:bottom w:val="none" w:sz="0" w:space="0" w:color="auto"/>
        <w:right w:val="none" w:sz="0" w:space="0" w:color="auto"/>
      </w:divBdr>
    </w:div>
    <w:div w:id="43796118">
      <w:bodyDiv w:val="1"/>
      <w:marLeft w:val="0"/>
      <w:marRight w:val="0"/>
      <w:marTop w:val="0"/>
      <w:marBottom w:val="0"/>
      <w:divBdr>
        <w:top w:val="none" w:sz="0" w:space="0" w:color="auto"/>
        <w:left w:val="none" w:sz="0" w:space="0" w:color="auto"/>
        <w:bottom w:val="none" w:sz="0" w:space="0" w:color="auto"/>
        <w:right w:val="none" w:sz="0" w:space="0" w:color="auto"/>
      </w:divBdr>
    </w:div>
    <w:div w:id="43870535">
      <w:bodyDiv w:val="1"/>
      <w:marLeft w:val="0"/>
      <w:marRight w:val="0"/>
      <w:marTop w:val="0"/>
      <w:marBottom w:val="0"/>
      <w:divBdr>
        <w:top w:val="none" w:sz="0" w:space="0" w:color="auto"/>
        <w:left w:val="none" w:sz="0" w:space="0" w:color="auto"/>
        <w:bottom w:val="none" w:sz="0" w:space="0" w:color="auto"/>
        <w:right w:val="none" w:sz="0" w:space="0" w:color="auto"/>
      </w:divBdr>
    </w:div>
    <w:div w:id="43871593">
      <w:bodyDiv w:val="1"/>
      <w:marLeft w:val="0"/>
      <w:marRight w:val="0"/>
      <w:marTop w:val="0"/>
      <w:marBottom w:val="0"/>
      <w:divBdr>
        <w:top w:val="none" w:sz="0" w:space="0" w:color="auto"/>
        <w:left w:val="none" w:sz="0" w:space="0" w:color="auto"/>
        <w:bottom w:val="none" w:sz="0" w:space="0" w:color="auto"/>
        <w:right w:val="none" w:sz="0" w:space="0" w:color="auto"/>
      </w:divBdr>
    </w:div>
    <w:div w:id="43990434">
      <w:bodyDiv w:val="1"/>
      <w:marLeft w:val="0"/>
      <w:marRight w:val="0"/>
      <w:marTop w:val="0"/>
      <w:marBottom w:val="0"/>
      <w:divBdr>
        <w:top w:val="none" w:sz="0" w:space="0" w:color="auto"/>
        <w:left w:val="none" w:sz="0" w:space="0" w:color="auto"/>
        <w:bottom w:val="none" w:sz="0" w:space="0" w:color="auto"/>
        <w:right w:val="none" w:sz="0" w:space="0" w:color="auto"/>
      </w:divBdr>
    </w:div>
    <w:div w:id="44067583">
      <w:bodyDiv w:val="1"/>
      <w:marLeft w:val="0"/>
      <w:marRight w:val="0"/>
      <w:marTop w:val="0"/>
      <w:marBottom w:val="0"/>
      <w:divBdr>
        <w:top w:val="none" w:sz="0" w:space="0" w:color="auto"/>
        <w:left w:val="none" w:sz="0" w:space="0" w:color="auto"/>
        <w:bottom w:val="none" w:sz="0" w:space="0" w:color="auto"/>
        <w:right w:val="none" w:sz="0" w:space="0" w:color="auto"/>
      </w:divBdr>
    </w:div>
    <w:div w:id="44112350">
      <w:bodyDiv w:val="1"/>
      <w:marLeft w:val="0"/>
      <w:marRight w:val="0"/>
      <w:marTop w:val="0"/>
      <w:marBottom w:val="0"/>
      <w:divBdr>
        <w:top w:val="none" w:sz="0" w:space="0" w:color="auto"/>
        <w:left w:val="none" w:sz="0" w:space="0" w:color="auto"/>
        <w:bottom w:val="none" w:sz="0" w:space="0" w:color="auto"/>
        <w:right w:val="none" w:sz="0" w:space="0" w:color="auto"/>
      </w:divBdr>
    </w:div>
    <w:div w:id="44136566">
      <w:bodyDiv w:val="1"/>
      <w:marLeft w:val="0"/>
      <w:marRight w:val="0"/>
      <w:marTop w:val="0"/>
      <w:marBottom w:val="0"/>
      <w:divBdr>
        <w:top w:val="none" w:sz="0" w:space="0" w:color="auto"/>
        <w:left w:val="none" w:sz="0" w:space="0" w:color="auto"/>
        <w:bottom w:val="none" w:sz="0" w:space="0" w:color="auto"/>
        <w:right w:val="none" w:sz="0" w:space="0" w:color="auto"/>
      </w:divBdr>
    </w:div>
    <w:div w:id="44331393">
      <w:bodyDiv w:val="1"/>
      <w:marLeft w:val="0"/>
      <w:marRight w:val="0"/>
      <w:marTop w:val="0"/>
      <w:marBottom w:val="0"/>
      <w:divBdr>
        <w:top w:val="none" w:sz="0" w:space="0" w:color="auto"/>
        <w:left w:val="none" w:sz="0" w:space="0" w:color="auto"/>
        <w:bottom w:val="none" w:sz="0" w:space="0" w:color="auto"/>
        <w:right w:val="none" w:sz="0" w:space="0" w:color="auto"/>
      </w:divBdr>
    </w:div>
    <w:div w:id="44565751">
      <w:bodyDiv w:val="1"/>
      <w:marLeft w:val="0"/>
      <w:marRight w:val="0"/>
      <w:marTop w:val="0"/>
      <w:marBottom w:val="0"/>
      <w:divBdr>
        <w:top w:val="none" w:sz="0" w:space="0" w:color="auto"/>
        <w:left w:val="none" w:sz="0" w:space="0" w:color="auto"/>
        <w:bottom w:val="none" w:sz="0" w:space="0" w:color="auto"/>
        <w:right w:val="none" w:sz="0" w:space="0" w:color="auto"/>
      </w:divBdr>
    </w:div>
    <w:div w:id="44645324">
      <w:bodyDiv w:val="1"/>
      <w:marLeft w:val="0"/>
      <w:marRight w:val="0"/>
      <w:marTop w:val="0"/>
      <w:marBottom w:val="0"/>
      <w:divBdr>
        <w:top w:val="none" w:sz="0" w:space="0" w:color="auto"/>
        <w:left w:val="none" w:sz="0" w:space="0" w:color="auto"/>
        <w:bottom w:val="none" w:sz="0" w:space="0" w:color="auto"/>
        <w:right w:val="none" w:sz="0" w:space="0" w:color="auto"/>
      </w:divBdr>
    </w:div>
    <w:div w:id="44645831">
      <w:bodyDiv w:val="1"/>
      <w:marLeft w:val="0"/>
      <w:marRight w:val="0"/>
      <w:marTop w:val="0"/>
      <w:marBottom w:val="0"/>
      <w:divBdr>
        <w:top w:val="none" w:sz="0" w:space="0" w:color="auto"/>
        <w:left w:val="none" w:sz="0" w:space="0" w:color="auto"/>
        <w:bottom w:val="none" w:sz="0" w:space="0" w:color="auto"/>
        <w:right w:val="none" w:sz="0" w:space="0" w:color="auto"/>
      </w:divBdr>
    </w:div>
    <w:div w:id="44722295">
      <w:bodyDiv w:val="1"/>
      <w:marLeft w:val="0"/>
      <w:marRight w:val="0"/>
      <w:marTop w:val="0"/>
      <w:marBottom w:val="0"/>
      <w:divBdr>
        <w:top w:val="none" w:sz="0" w:space="0" w:color="auto"/>
        <w:left w:val="none" w:sz="0" w:space="0" w:color="auto"/>
        <w:bottom w:val="none" w:sz="0" w:space="0" w:color="auto"/>
        <w:right w:val="none" w:sz="0" w:space="0" w:color="auto"/>
      </w:divBdr>
    </w:div>
    <w:div w:id="44840244">
      <w:bodyDiv w:val="1"/>
      <w:marLeft w:val="0"/>
      <w:marRight w:val="0"/>
      <w:marTop w:val="0"/>
      <w:marBottom w:val="0"/>
      <w:divBdr>
        <w:top w:val="none" w:sz="0" w:space="0" w:color="auto"/>
        <w:left w:val="none" w:sz="0" w:space="0" w:color="auto"/>
        <w:bottom w:val="none" w:sz="0" w:space="0" w:color="auto"/>
        <w:right w:val="none" w:sz="0" w:space="0" w:color="auto"/>
      </w:divBdr>
    </w:div>
    <w:div w:id="44959675">
      <w:bodyDiv w:val="1"/>
      <w:marLeft w:val="0"/>
      <w:marRight w:val="0"/>
      <w:marTop w:val="0"/>
      <w:marBottom w:val="0"/>
      <w:divBdr>
        <w:top w:val="none" w:sz="0" w:space="0" w:color="auto"/>
        <w:left w:val="none" w:sz="0" w:space="0" w:color="auto"/>
        <w:bottom w:val="none" w:sz="0" w:space="0" w:color="auto"/>
        <w:right w:val="none" w:sz="0" w:space="0" w:color="auto"/>
      </w:divBdr>
    </w:div>
    <w:div w:id="45422476">
      <w:bodyDiv w:val="1"/>
      <w:marLeft w:val="0"/>
      <w:marRight w:val="0"/>
      <w:marTop w:val="0"/>
      <w:marBottom w:val="0"/>
      <w:divBdr>
        <w:top w:val="none" w:sz="0" w:space="0" w:color="auto"/>
        <w:left w:val="none" w:sz="0" w:space="0" w:color="auto"/>
        <w:bottom w:val="none" w:sz="0" w:space="0" w:color="auto"/>
        <w:right w:val="none" w:sz="0" w:space="0" w:color="auto"/>
      </w:divBdr>
    </w:div>
    <w:div w:id="45491459">
      <w:bodyDiv w:val="1"/>
      <w:marLeft w:val="0"/>
      <w:marRight w:val="0"/>
      <w:marTop w:val="0"/>
      <w:marBottom w:val="0"/>
      <w:divBdr>
        <w:top w:val="none" w:sz="0" w:space="0" w:color="auto"/>
        <w:left w:val="none" w:sz="0" w:space="0" w:color="auto"/>
        <w:bottom w:val="none" w:sz="0" w:space="0" w:color="auto"/>
        <w:right w:val="none" w:sz="0" w:space="0" w:color="auto"/>
      </w:divBdr>
    </w:div>
    <w:div w:id="45565924">
      <w:bodyDiv w:val="1"/>
      <w:marLeft w:val="0"/>
      <w:marRight w:val="0"/>
      <w:marTop w:val="0"/>
      <w:marBottom w:val="0"/>
      <w:divBdr>
        <w:top w:val="none" w:sz="0" w:space="0" w:color="auto"/>
        <w:left w:val="none" w:sz="0" w:space="0" w:color="auto"/>
        <w:bottom w:val="none" w:sz="0" w:space="0" w:color="auto"/>
        <w:right w:val="none" w:sz="0" w:space="0" w:color="auto"/>
      </w:divBdr>
    </w:div>
    <w:div w:id="45613612">
      <w:bodyDiv w:val="1"/>
      <w:marLeft w:val="0"/>
      <w:marRight w:val="0"/>
      <w:marTop w:val="0"/>
      <w:marBottom w:val="0"/>
      <w:divBdr>
        <w:top w:val="none" w:sz="0" w:space="0" w:color="auto"/>
        <w:left w:val="none" w:sz="0" w:space="0" w:color="auto"/>
        <w:bottom w:val="none" w:sz="0" w:space="0" w:color="auto"/>
        <w:right w:val="none" w:sz="0" w:space="0" w:color="auto"/>
      </w:divBdr>
    </w:div>
    <w:div w:id="45643544">
      <w:bodyDiv w:val="1"/>
      <w:marLeft w:val="0"/>
      <w:marRight w:val="0"/>
      <w:marTop w:val="0"/>
      <w:marBottom w:val="0"/>
      <w:divBdr>
        <w:top w:val="none" w:sz="0" w:space="0" w:color="auto"/>
        <w:left w:val="none" w:sz="0" w:space="0" w:color="auto"/>
        <w:bottom w:val="none" w:sz="0" w:space="0" w:color="auto"/>
        <w:right w:val="none" w:sz="0" w:space="0" w:color="auto"/>
      </w:divBdr>
    </w:div>
    <w:div w:id="45685758">
      <w:bodyDiv w:val="1"/>
      <w:marLeft w:val="0"/>
      <w:marRight w:val="0"/>
      <w:marTop w:val="0"/>
      <w:marBottom w:val="0"/>
      <w:divBdr>
        <w:top w:val="none" w:sz="0" w:space="0" w:color="auto"/>
        <w:left w:val="none" w:sz="0" w:space="0" w:color="auto"/>
        <w:bottom w:val="none" w:sz="0" w:space="0" w:color="auto"/>
        <w:right w:val="none" w:sz="0" w:space="0" w:color="auto"/>
      </w:divBdr>
    </w:div>
    <w:div w:id="45686414">
      <w:bodyDiv w:val="1"/>
      <w:marLeft w:val="0"/>
      <w:marRight w:val="0"/>
      <w:marTop w:val="0"/>
      <w:marBottom w:val="0"/>
      <w:divBdr>
        <w:top w:val="none" w:sz="0" w:space="0" w:color="auto"/>
        <w:left w:val="none" w:sz="0" w:space="0" w:color="auto"/>
        <w:bottom w:val="none" w:sz="0" w:space="0" w:color="auto"/>
        <w:right w:val="none" w:sz="0" w:space="0" w:color="auto"/>
      </w:divBdr>
    </w:div>
    <w:div w:id="45689579">
      <w:bodyDiv w:val="1"/>
      <w:marLeft w:val="0"/>
      <w:marRight w:val="0"/>
      <w:marTop w:val="0"/>
      <w:marBottom w:val="0"/>
      <w:divBdr>
        <w:top w:val="none" w:sz="0" w:space="0" w:color="auto"/>
        <w:left w:val="none" w:sz="0" w:space="0" w:color="auto"/>
        <w:bottom w:val="none" w:sz="0" w:space="0" w:color="auto"/>
        <w:right w:val="none" w:sz="0" w:space="0" w:color="auto"/>
      </w:divBdr>
    </w:div>
    <w:div w:id="45837372">
      <w:bodyDiv w:val="1"/>
      <w:marLeft w:val="0"/>
      <w:marRight w:val="0"/>
      <w:marTop w:val="0"/>
      <w:marBottom w:val="0"/>
      <w:divBdr>
        <w:top w:val="none" w:sz="0" w:space="0" w:color="auto"/>
        <w:left w:val="none" w:sz="0" w:space="0" w:color="auto"/>
        <w:bottom w:val="none" w:sz="0" w:space="0" w:color="auto"/>
        <w:right w:val="none" w:sz="0" w:space="0" w:color="auto"/>
      </w:divBdr>
    </w:div>
    <w:div w:id="45951587">
      <w:bodyDiv w:val="1"/>
      <w:marLeft w:val="0"/>
      <w:marRight w:val="0"/>
      <w:marTop w:val="0"/>
      <w:marBottom w:val="0"/>
      <w:divBdr>
        <w:top w:val="none" w:sz="0" w:space="0" w:color="auto"/>
        <w:left w:val="none" w:sz="0" w:space="0" w:color="auto"/>
        <w:bottom w:val="none" w:sz="0" w:space="0" w:color="auto"/>
        <w:right w:val="none" w:sz="0" w:space="0" w:color="auto"/>
      </w:divBdr>
    </w:div>
    <w:div w:id="46032271">
      <w:bodyDiv w:val="1"/>
      <w:marLeft w:val="0"/>
      <w:marRight w:val="0"/>
      <w:marTop w:val="0"/>
      <w:marBottom w:val="0"/>
      <w:divBdr>
        <w:top w:val="none" w:sz="0" w:space="0" w:color="auto"/>
        <w:left w:val="none" w:sz="0" w:space="0" w:color="auto"/>
        <w:bottom w:val="none" w:sz="0" w:space="0" w:color="auto"/>
        <w:right w:val="none" w:sz="0" w:space="0" w:color="auto"/>
      </w:divBdr>
    </w:div>
    <w:div w:id="46036249">
      <w:bodyDiv w:val="1"/>
      <w:marLeft w:val="0"/>
      <w:marRight w:val="0"/>
      <w:marTop w:val="0"/>
      <w:marBottom w:val="0"/>
      <w:divBdr>
        <w:top w:val="none" w:sz="0" w:space="0" w:color="auto"/>
        <w:left w:val="none" w:sz="0" w:space="0" w:color="auto"/>
        <w:bottom w:val="none" w:sz="0" w:space="0" w:color="auto"/>
        <w:right w:val="none" w:sz="0" w:space="0" w:color="auto"/>
      </w:divBdr>
    </w:div>
    <w:div w:id="46228838">
      <w:bodyDiv w:val="1"/>
      <w:marLeft w:val="0"/>
      <w:marRight w:val="0"/>
      <w:marTop w:val="0"/>
      <w:marBottom w:val="0"/>
      <w:divBdr>
        <w:top w:val="none" w:sz="0" w:space="0" w:color="auto"/>
        <w:left w:val="none" w:sz="0" w:space="0" w:color="auto"/>
        <w:bottom w:val="none" w:sz="0" w:space="0" w:color="auto"/>
        <w:right w:val="none" w:sz="0" w:space="0" w:color="auto"/>
      </w:divBdr>
    </w:div>
    <w:div w:id="46269226">
      <w:bodyDiv w:val="1"/>
      <w:marLeft w:val="0"/>
      <w:marRight w:val="0"/>
      <w:marTop w:val="0"/>
      <w:marBottom w:val="0"/>
      <w:divBdr>
        <w:top w:val="none" w:sz="0" w:space="0" w:color="auto"/>
        <w:left w:val="none" w:sz="0" w:space="0" w:color="auto"/>
        <w:bottom w:val="none" w:sz="0" w:space="0" w:color="auto"/>
        <w:right w:val="none" w:sz="0" w:space="0" w:color="auto"/>
      </w:divBdr>
    </w:div>
    <w:div w:id="46415433">
      <w:bodyDiv w:val="1"/>
      <w:marLeft w:val="0"/>
      <w:marRight w:val="0"/>
      <w:marTop w:val="0"/>
      <w:marBottom w:val="0"/>
      <w:divBdr>
        <w:top w:val="none" w:sz="0" w:space="0" w:color="auto"/>
        <w:left w:val="none" w:sz="0" w:space="0" w:color="auto"/>
        <w:bottom w:val="none" w:sz="0" w:space="0" w:color="auto"/>
        <w:right w:val="none" w:sz="0" w:space="0" w:color="auto"/>
      </w:divBdr>
    </w:div>
    <w:div w:id="46533474">
      <w:bodyDiv w:val="1"/>
      <w:marLeft w:val="0"/>
      <w:marRight w:val="0"/>
      <w:marTop w:val="0"/>
      <w:marBottom w:val="0"/>
      <w:divBdr>
        <w:top w:val="none" w:sz="0" w:space="0" w:color="auto"/>
        <w:left w:val="none" w:sz="0" w:space="0" w:color="auto"/>
        <w:bottom w:val="none" w:sz="0" w:space="0" w:color="auto"/>
        <w:right w:val="none" w:sz="0" w:space="0" w:color="auto"/>
      </w:divBdr>
    </w:div>
    <w:div w:id="46613561">
      <w:bodyDiv w:val="1"/>
      <w:marLeft w:val="0"/>
      <w:marRight w:val="0"/>
      <w:marTop w:val="0"/>
      <w:marBottom w:val="0"/>
      <w:divBdr>
        <w:top w:val="none" w:sz="0" w:space="0" w:color="auto"/>
        <w:left w:val="none" w:sz="0" w:space="0" w:color="auto"/>
        <w:bottom w:val="none" w:sz="0" w:space="0" w:color="auto"/>
        <w:right w:val="none" w:sz="0" w:space="0" w:color="auto"/>
      </w:divBdr>
    </w:div>
    <w:div w:id="46688936">
      <w:bodyDiv w:val="1"/>
      <w:marLeft w:val="0"/>
      <w:marRight w:val="0"/>
      <w:marTop w:val="0"/>
      <w:marBottom w:val="0"/>
      <w:divBdr>
        <w:top w:val="none" w:sz="0" w:space="0" w:color="auto"/>
        <w:left w:val="none" w:sz="0" w:space="0" w:color="auto"/>
        <w:bottom w:val="none" w:sz="0" w:space="0" w:color="auto"/>
        <w:right w:val="none" w:sz="0" w:space="0" w:color="auto"/>
      </w:divBdr>
    </w:div>
    <w:div w:id="46733449">
      <w:bodyDiv w:val="1"/>
      <w:marLeft w:val="0"/>
      <w:marRight w:val="0"/>
      <w:marTop w:val="0"/>
      <w:marBottom w:val="0"/>
      <w:divBdr>
        <w:top w:val="none" w:sz="0" w:space="0" w:color="auto"/>
        <w:left w:val="none" w:sz="0" w:space="0" w:color="auto"/>
        <w:bottom w:val="none" w:sz="0" w:space="0" w:color="auto"/>
        <w:right w:val="none" w:sz="0" w:space="0" w:color="auto"/>
      </w:divBdr>
    </w:div>
    <w:div w:id="46999841">
      <w:bodyDiv w:val="1"/>
      <w:marLeft w:val="0"/>
      <w:marRight w:val="0"/>
      <w:marTop w:val="0"/>
      <w:marBottom w:val="0"/>
      <w:divBdr>
        <w:top w:val="none" w:sz="0" w:space="0" w:color="auto"/>
        <w:left w:val="none" w:sz="0" w:space="0" w:color="auto"/>
        <w:bottom w:val="none" w:sz="0" w:space="0" w:color="auto"/>
        <w:right w:val="none" w:sz="0" w:space="0" w:color="auto"/>
      </w:divBdr>
    </w:div>
    <w:div w:id="47073255">
      <w:bodyDiv w:val="1"/>
      <w:marLeft w:val="0"/>
      <w:marRight w:val="0"/>
      <w:marTop w:val="0"/>
      <w:marBottom w:val="0"/>
      <w:divBdr>
        <w:top w:val="none" w:sz="0" w:space="0" w:color="auto"/>
        <w:left w:val="none" w:sz="0" w:space="0" w:color="auto"/>
        <w:bottom w:val="none" w:sz="0" w:space="0" w:color="auto"/>
        <w:right w:val="none" w:sz="0" w:space="0" w:color="auto"/>
      </w:divBdr>
    </w:div>
    <w:div w:id="47073996">
      <w:bodyDiv w:val="1"/>
      <w:marLeft w:val="0"/>
      <w:marRight w:val="0"/>
      <w:marTop w:val="0"/>
      <w:marBottom w:val="0"/>
      <w:divBdr>
        <w:top w:val="none" w:sz="0" w:space="0" w:color="auto"/>
        <w:left w:val="none" w:sz="0" w:space="0" w:color="auto"/>
        <w:bottom w:val="none" w:sz="0" w:space="0" w:color="auto"/>
        <w:right w:val="none" w:sz="0" w:space="0" w:color="auto"/>
      </w:divBdr>
    </w:div>
    <w:div w:id="47192607">
      <w:bodyDiv w:val="1"/>
      <w:marLeft w:val="0"/>
      <w:marRight w:val="0"/>
      <w:marTop w:val="0"/>
      <w:marBottom w:val="0"/>
      <w:divBdr>
        <w:top w:val="none" w:sz="0" w:space="0" w:color="auto"/>
        <w:left w:val="none" w:sz="0" w:space="0" w:color="auto"/>
        <w:bottom w:val="none" w:sz="0" w:space="0" w:color="auto"/>
        <w:right w:val="none" w:sz="0" w:space="0" w:color="auto"/>
      </w:divBdr>
    </w:div>
    <w:div w:id="47383717">
      <w:bodyDiv w:val="1"/>
      <w:marLeft w:val="0"/>
      <w:marRight w:val="0"/>
      <w:marTop w:val="0"/>
      <w:marBottom w:val="0"/>
      <w:divBdr>
        <w:top w:val="none" w:sz="0" w:space="0" w:color="auto"/>
        <w:left w:val="none" w:sz="0" w:space="0" w:color="auto"/>
        <w:bottom w:val="none" w:sz="0" w:space="0" w:color="auto"/>
        <w:right w:val="none" w:sz="0" w:space="0" w:color="auto"/>
      </w:divBdr>
    </w:div>
    <w:div w:id="47458740">
      <w:bodyDiv w:val="1"/>
      <w:marLeft w:val="0"/>
      <w:marRight w:val="0"/>
      <w:marTop w:val="0"/>
      <w:marBottom w:val="0"/>
      <w:divBdr>
        <w:top w:val="none" w:sz="0" w:space="0" w:color="auto"/>
        <w:left w:val="none" w:sz="0" w:space="0" w:color="auto"/>
        <w:bottom w:val="none" w:sz="0" w:space="0" w:color="auto"/>
        <w:right w:val="none" w:sz="0" w:space="0" w:color="auto"/>
      </w:divBdr>
    </w:div>
    <w:div w:id="47464143">
      <w:bodyDiv w:val="1"/>
      <w:marLeft w:val="0"/>
      <w:marRight w:val="0"/>
      <w:marTop w:val="0"/>
      <w:marBottom w:val="0"/>
      <w:divBdr>
        <w:top w:val="none" w:sz="0" w:space="0" w:color="auto"/>
        <w:left w:val="none" w:sz="0" w:space="0" w:color="auto"/>
        <w:bottom w:val="none" w:sz="0" w:space="0" w:color="auto"/>
        <w:right w:val="none" w:sz="0" w:space="0" w:color="auto"/>
      </w:divBdr>
    </w:div>
    <w:div w:id="47530538">
      <w:bodyDiv w:val="1"/>
      <w:marLeft w:val="0"/>
      <w:marRight w:val="0"/>
      <w:marTop w:val="0"/>
      <w:marBottom w:val="0"/>
      <w:divBdr>
        <w:top w:val="none" w:sz="0" w:space="0" w:color="auto"/>
        <w:left w:val="none" w:sz="0" w:space="0" w:color="auto"/>
        <w:bottom w:val="none" w:sz="0" w:space="0" w:color="auto"/>
        <w:right w:val="none" w:sz="0" w:space="0" w:color="auto"/>
      </w:divBdr>
    </w:div>
    <w:div w:id="47607545">
      <w:bodyDiv w:val="1"/>
      <w:marLeft w:val="0"/>
      <w:marRight w:val="0"/>
      <w:marTop w:val="0"/>
      <w:marBottom w:val="0"/>
      <w:divBdr>
        <w:top w:val="none" w:sz="0" w:space="0" w:color="auto"/>
        <w:left w:val="none" w:sz="0" w:space="0" w:color="auto"/>
        <w:bottom w:val="none" w:sz="0" w:space="0" w:color="auto"/>
        <w:right w:val="none" w:sz="0" w:space="0" w:color="auto"/>
      </w:divBdr>
    </w:div>
    <w:div w:id="47803449">
      <w:bodyDiv w:val="1"/>
      <w:marLeft w:val="0"/>
      <w:marRight w:val="0"/>
      <w:marTop w:val="0"/>
      <w:marBottom w:val="0"/>
      <w:divBdr>
        <w:top w:val="none" w:sz="0" w:space="0" w:color="auto"/>
        <w:left w:val="none" w:sz="0" w:space="0" w:color="auto"/>
        <w:bottom w:val="none" w:sz="0" w:space="0" w:color="auto"/>
        <w:right w:val="none" w:sz="0" w:space="0" w:color="auto"/>
      </w:divBdr>
    </w:div>
    <w:div w:id="47842880">
      <w:bodyDiv w:val="1"/>
      <w:marLeft w:val="0"/>
      <w:marRight w:val="0"/>
      <w:marTop w:val="0"/>
      <w:marBottom w:val="0"/>
      <w:divBdr>
        <w:top w:val="none" w:sz="0" w:space="0" w:color="auto"/>
        <w:left w:val="none" w:sz="0" w:space="0" w:color="auto"/>
        <w:bottom w:val="none" w:sz="0" w:space="0" w:color="auto"/>
        <w:right w:val="none" w:sz="0" w:space="0" w:color="auto"/>
      </w:divBdr>
    </w:div>
    <w:div w:id="47843878">
      <w:bodyDiv w:val="1"/>
      <w:marLeft w:val="0"/>
      <w:marRight w:val="0"/>
      <w:marTop w:val="0"/>
      <w:marBottom w:val="0"/>
      <w:divBdr>
        <w:top w:val="none" w:sz="0" w:space="0" w:color="auto"/>
        <w:left w:val="none" w:sz="0" w:space="0" w:color="auto"/>
        <w:bottom w:val="none" w:sz="0" w:space="0" w:color="auto"/>
        <w:right w:val="none" w:sz="0" w:space="0" w:color="auto"/>
      </w:divBdr>
    </w:div>
    <w:div w:id="47848605">
      <w:bodyDiv w:val="1"/>
      <w:marLeft w:val="0"/>
      <w:marRight w:val="0"/>
      <w:marTop w:val="0"/>
      <w:marBottom w:val="0"/>
      <w:divBdr>
        <w:top w:val="none" w:sz="0" w:space="0" w:color="auto"/>
        <w:left w:val="none" w:sz="0" w:space="0" w:color="auto"/>
        <w:bottom w:val="none" w:sz="0" w:space="0" w:color="auto"/>
        <w:right w:val="none" w:sz="0" w:space="0" w:color="auto"/>
      </w:divBdr>
    </w:div>
    <w:div w:id="47848721">
      <w:bodyDiv w:val="1"/>
      <w:marLeft w:val="0"/>
      <w:marRight w:val="0"/>
      <w:marTop w:val="0"/>
      <w:marBottom w:val="0"/>
      <w:divBdr>
        <w:top w:val="none" w:sz="0" w:space="0" w:color="auto"/>
        <w:left w:val="none" w:sz="0" w:space="0" w:color="auto"/>
        <w:bottom w:val="none" w:sz="0" w:space="0" w:color="auto"/>
        <w:right w:val="none" w:sz="0" w:space="0" w:color="auto"/>
      </w:divBdr>
    </w:div>
    <w:div w:id="47921376">
      <w:bodyDiv w:val="1"/>
      <w:marLeft w:val="0"/>
      <w:marRight w:val="0"/>
      <w:marTop w:val="0"/>
      <w:marBottom w:val="0"/>
      <w:divBdr>
        <w:top w:val="none" w:sz="0" w:space="0" w:color="auto"/>
        <w:left w:val="none" w:sz="0" w:space="0" w:color="auto"/>
        <w:bottom w:val="none" w:sz="0" w:space="0" w:color="auto"/>
        <w:right w:val="none" w:sz="0" w:space="0" w:color="auto"/>
      </w:divBdr>
    </w:div>
    <w:div w:id="47922506">
      <w:bodyDiv w:val="1"/>
      <w:marLeft w:val="0"/>
      <w:marRight w:val="0"/>
      <w:marTop w:val="0"/>
      <w:marBottom w:val="0"/>
      <w:divBdr>
        <w:top w:val="none" w:sz="0" w:space="0" w:color="auto"/>
        <w:left w:val="none" w:sz="0" w:space="0" w:color="auto"/>
        <w:bottom w:val="none" w:sz="0" w:space="0" w:color="auto"/>
        <w:right w:val="none" w:sz="0" w:space="0" w:color="auto"/>
      </w:divBdr>
    </w:div>
    <w:div w:id="47925835">
      <w:bodyDiv w:val="1"/>
      <w:marLeft w:val="0"/>
      <w:marRight w:val="0"/>
      <w:marTop w:val="0"/>
      <w:marBottom w:val="0"/>
      <w:divBdr>
        <w:top w:val="none" w:sz="0" w:space="0" w:color="auto"/>
        <w:left w:val="none" w:sz="0" w:space="0" w:color="auto"/>
        <w:bottom w:val="none" w:sz="0" w:space="0" w:color="auto"/>
        <w:right w:val="none" w:sz="0" w:space="0" w:color="auto"/>
      </w:divBdr>
    </w:div>
    <w:div w:id="47996344">
      <w:bodyDiv w:val="1"/>
      <w:marLeft w:val="0"/>
      <w:marRight w:val="0"/>
      <w:marTop w:val="0"/>
      <w:marBottom w:val="0"/>
      <w:divBdr>
        <w:top w:val="none" w:sz="0" w:space="0" w:color="auto"/>
        <w:left w:val="none" w:sz="0" w:space="0" w:color="auto"/>
        <w:bottom w:val="none" w:sz="0" w:space="0" w:color="auto"/>
        <w:right w:val="none" w:sz="0" w:space="0" w:color="auto"/>
      </w:divBdr>
    </w:div>
    <w:div w:id="47998697">
      <w:bodyDiv w:val="1"/>
      <w:marLeft w:val="0"/>
      <w:marRight w:val="0"/>
      <w:marTop w:val="0"/>
      <w:marBottom w:val="0"/>
      <w:divBdr>
        <w:top w:val="none" w:sz="0" w:space="0" w:color="auto"/>
        <w:left w:val="none" w:sz="0" w:space="0" w:color="auto"/>
        <w:bottom w:val="none" w:sz="0" w:space="0" w:color="auto"/>
        <w:right w:val="none" w:sz="0" w:space="0" w:color="auto"/>
      </w:divBdr>
    </w:div>
    <w:div w:id="48112036">
      <w:bodyDiv w:val="1"/>
      <w:marLeft w:val="0"/>
      <w:marRight w:val="0"/>
      <w:marTop w:val="0"/>
      <w:marBottom w:val="0"/>
      <w:divBdr>
        <w:top w:val="none" w:sz="0" w:space="0" w:color="auto"/>
        <w:left w:val="none" w:sz="0" w:space="0" w:color="auto"/>
        <w:bottom w:val="none" w:sz="0" w:space="0" w:color="auto"/>
        <w:right w:val="none" w:sz="0" w:space="0" w:color="auto"/>
      </w:divBdr>
    </w:div>
    <w:div w:id="48116879">
      <w:bodyDiv w:val="1"/>
      <w:marLeft w:val="0"/>
      <w:marRight w:val="0"/>
      <w:marTop w:val="0"/>
      <w:marBottom w:val="0"/>
      <w:divBdr>
        <w:top w:val="none" w:sz="0" w:space="0" w:color="auto"/>
        <w:left w:val="none" w:sz="0" w:space="0" w:color="auto"/>
        <w:bottom w:val="none" w:sz="0" w:space="0" w:color="auto"/>
        <w:right w:val="none" w:sz="0" w:space="0" w:color="auto"/>
      </w:divBdr>
    </w:div>
    <w:div w:id="48193324">
      <w:bodyDiv w:val="1"/>
      <w:marLeft w:val="0"/>
      <w:marRight w:val="0"/>
      <w:marTop w:val="0"/>
      <w:marBottom w:val="0"/>
      <w:divBdr>
        <w:top w:val="none" w:sz="0" w:space="0" w:color="auto"/>
        <w:left w:val="none" w:sz="0" w:space="0" w:color="auto"/>
        <w:bottom w:val="none" w:sz="0" w:space="0" w:color="auto"/>
        <w:right w:val="none" w:sz="0" w:space="0" w:color="auto"/>
      </w:divBdr>
    </w:div>
    <w:div w:id="48262099">
      <w:bodyDiv w:val="1"/>
      <w:marLeft w:val="0"/>
      <w:marRight w:val="0"/>
      <w:marTop w:val="0"/>
      <w:marBottom w:val="0"/>
      <w:divBdr>
        <w:top w:val="none" w:sz="0" w:space="0" w:color="auto"/>
        <w:left w:val="none" w:sz="0" w:space="0" w:color="auto"/>
        <w:bottom w:val="none" w:sz="0" w:space="0" w:color="auto"/>
        <w:right w:val="none" w:sz="0" w:space="0" w:color="auto"/>
      </w:divBdr>
    </w:div>
    <w:div w:id="48383139">
      <w:bodyDiv w:val="1"/>
      <w:marLeft w:val="0"/>
      <w:marRight w:val="0"/>
      <w:marTop w:val="0"/>
      <w:marBottom w:val="0"/>
      <w:divBdr>
        <w:top w:val="none" w:sz="0" w:space="0" w:color="auto"/>
        <w:left w:val="none" w:sz="0" w:space="0" w:color="auto"/>
        <w:bottom w:val="none" w:sz="0" w:space="0" w:color="auto"/>
        <w:right w:val="none" w:sz="0" w:space="0" w:color="auto"/>
      </w:divBdr>
    </w:div>
    <w:div w:id="48462087">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579694">
      <w:bodyDiv w:val="1"/>
      <w:marLeft w:val="0"/>
      <w:marRight w:val="0"/>
      <w:marTop w:val="0"/>
      <w:marBottom w:val="0"/>
      <w:divBdr>
        <w:top w:val="none" w:sz="0" w:space="0" w:color="auto"/>
        <w:left w:val="none" w:sz="0" w:space="0" w:color="auto"/>
        <w:bottom w:val="none" w:sz="0" w:space="0" w:color="auto"/>
        <w:right w:val="none" w:sz="0" w:space="0" w:color="auto"/>
      </w:divBdr>
    </w:div>
    <w:div w:id="48765896">
      <w:bodyDiv w:val="1"/>
      <w:marLeft w:val="0"/>
      <w:marRight w:val="0"/>
      <w:marTop w:val="0"/>
      <w:marBottom w:val="0"/>
      <w:divBdr>
        <w:top w:val="none" w:sz="0" w:space="0" w:color="auto"/>
        <w:left w:val="none" w:sz="0" w:space="0" w:color="auto"/>
        <w:bottom w:val="none" w:sz="0" w:space="0" w:color="auto"/>
        <w:right w:val="none" w:sz="0" w:space="0" w:color="auto"/>
      </w:divBdr>
    </w:div>
    <w:div w:id="48766845">
      <w:bodyDiv w:val="1"/>
      <w:marLeft w:val="0"/>
      <w:marRight w:val="0"/>
      <w:marTop w:val="0"/>
      <w:marBottom w:val="0"/>
      <w:divBdr>
        <w:top w:val="none" w:sz="0" w:space="0" w:color="auto"/>
        <w:left w:val="none" w:sz="0" w:space="0" w:color="auto"/>
        <w:bottom w:val="none" w:sz="0" w:space="0" w:color="auto"/>
        <w:right w:val="none" w:sz="0" w:space="0" w:color="auto"/>
      </w:divBdr>
    </w:div>
    <w:div w:id="48774128">
      <w:bodyDiv w:val="1"/>
      <w:marLeft w:val="0"/>
      <w:marRight w:val="0"/>
      <w:marTop w:val="0"/>
      <w:marBottom w:val="0"/>
      <w:divBdr>
        <w:top w:val="none" w:sz="0" w:space="0" w:color="auto"/>
        <w:left w:val="none" w:sz="0" w:space="0" w:color="auto"/>
        <w:bottom w:val="none" w:sz="0" w:space="0" w:color="auto"/>
        <w:right w:val="none" w:sz="0" w:space="0" w:color="auto"/>
      </w:divBdr>
    </w:div>
    <w:div w:id="48774937">
      <w:bodyDiv w:val="1"/>
      <w:marLeft w:val="0"/>
      <w:marRight w:val="0"/>
      <w:marTop w:val="0"/>
      <w:marBottom w:val="0"/>
      <w:divBdr>
        <w:top w:val="none" w:sz="0" w:space="0" w:color="auto"/>
        <w:left w:val="none" w:sz="0" w:space="0" w:color="auto"/>
        <w:bottom w:val="none" w:sz="0" w:space="0" w:color="auto"/>
        <w:right w:val="none" w:sz="0" w:space="0" w:color="auto"/>
      </w:divBdr>
    </w:div>
    <w:div w:id="48775137">
      <w:bodyDiv w:val="1"/>
      <w:marLeft w:val="0"/>
      <w:marRight w:val="0"/>
      <w:marTop w:val="0"/>
      <w:marBottom w:val="0"/>
      <w:divBdr>
        <w:top w:val="none" w:sz="0" w:space="0" w:color="auto"/>
        <w:left w:val="none" w:sz="0" w:space="0" w:color="auto"/>
        <w:bottom w:val="none" w:sz="0" w:space="0" w:color="auto"/>
        <w:right w:val="none" w:sz="0" w:space="0" w:color="auto"/>
      </w:divBdr>
    </w:div>
    <w:div w:id="48848412">
      <w:bodyDiv w:val="1"/>
      <w:marLeft w:val="0"/>
      <w:marRight w:val="0"/>
      <w:marTop w:val="0"/>
      <w:marBottom w:val="0"/>
      <w:divBdr>
        <w:top w:val="none" w:sz="0" w:space="0" w:color="auto"/>
        <w:left w:val="none" w:sz="0" w:space="0" w:color="auto"/>
        <w:bottom w:val="none" w:sz="0" w:space="0" w:color="auto"/>
        <w:right w:val="none" w:sz="0" w:space="0" w:color="auto"/>
      </w:divBdr>
    </w:div>
    <w:div w:id="48891013">
      <w:bodyDiv w:val="1"/>
      <w:marLeft w:val="0"/>
      <w:marRight w:val="0"/>
      <w:marTop w:val="0"/>
      <w:marBottom w:val="0"/>
      <w:divBdr>
        <w:top w:val="none" w:sz="0" w:space="0" w:color="auto"/>
        <w:left w:val="none" w:sz="0" w:space="0" w:color="auto"/>
        <w:bottom w:val="none" w:sz="0" w:space="0" w:color="auto"/>
        <w:right w:val="none" w:sz="0" w:space="0" w:color="auto"/>
      </w:divBdr>
    </w:div>
    <w:div w:id="48967250">
      <w:bodyDiv w:val="1"/>
      <w:marLeft w:val="0"/>
      <w:marRight w:val="0"/>
      <w:marTop w:val="0"/>
      <w:marBottom w:val="0"/>
      <w:divBdr>
        <w:top w:val="none" w:sz="0" w:space="0" w:color="auto"/>
        <w:left w:val="none" w:sz="0" w:space="0" w:color="auto"/>
        <w:bottom w:val="none" w:sz="0" w:space="0" w:color="auto"/>
        <w:right w:val="none" w:sz="0" w:space="0" w:color="auto"/>
      </w:divBdr>
    </w:div>
    <w:div w:id="49228343">
      <w:bodyDiv w:val="1"/>
      <w:marLeft w:val="0"/>
      <w:marRight w:val="0"/>
      <w:marTop w:val="0"/>
      <w:marBottom w:val="0"/>
      <w:divBdr>
        <w:top w:val="none" w:sz="0" w:space="0" w:color="auto"/>
        <w:left w:val="none" w:sz="0" w:space="0" w:color="auto"/>
        <w:bottom w:val="none" w:sz="0" w:space="0" w:color="auto"/>
        <w:right w:val="none" w:sz="0" w:space="0" w:color="auto"/>
      </w:divBdr>
    </w:div>
    <w:div w:id="49235161">
      <w:bodyDiv w:val="1"/>
      <w:marLeft w:val="0"/>
      <w:marRight w:val="0"/>
      <w:marTop w:val="0"/>
      <w:marBottom w:val="0"/>
      <w:divBdr>
        <w:top w:val="none" w:sz="0" w:space="0" w:color="auto"/>
        <w:left w:val="none" w:sz="0" w:space="0" w:color="auto"/>
        <w:bottom w:val="none" w:sz="0" w:space="0" w:color="auto"/>
        <w:right w:val="none" w:sz="0" w:space="0" w:color="auto"/>
      </w:divBdr>
    </w:div>
    <w:div w:id="49427435">
      <w:bodyDiv w:val="1"/>
      <w:marLeft w:val="0"/>
      <w:marRight w:val="0"/>
      <w:marTop w:val="0"/>
      <w:marBottom w:val="0"/>
      <w:divBdr>
        <w:top w:val="none" w:sz="0" w:space="0" w:color="auto"/>
        <w:left w:val="none" w:sz="0" w:space="0" w:color="auto"/>
        <w:bottom w:val="none" w:sz="0" w:space="0" w:color="auto"/>
        <w:right w:val="none" w:sz="0" w:space="0" w:color="auto"/>
      </w:divBdr>
    </w:div>
    <w:div w:id="49498280">
      <w:bodyDiv w:val="1"/>
      <w:marLeft w:val="0"/>
      <w:marRight w:val="0"/>
      <w:marTop w:val="0"/>
      <w:marBottom w:val="0"/>
      <w:divBdr>
        <w:top w:val="none" w:sz="0" w:space="0" w:color="auto"/>
        <w:left w:val="none" w:sz="0" w:space="0" w:color="auto"/>
        <w:bottom w:val="none" w:sz="0" w:space="0" w:color="auto"/>
        <w:right w:val="none" w:sz="0" w:space="0" w:color="auto"/>
      </w:divBdr>
    </w:div>
    <w:div w:id="49501119">
      <w:bodyDiv w:val="1"/>
      <w:marLeft w:val="0"/>
      <w:marRight w:val="0"/>
      <w:marTop w:val="0"/>
      <w:marBottom w:val="0"/>
      <w:divBdr>
        <w:top w:val="none" w:sz="0" w:space="0" w:color="auto"/>
        <w:left w:val="none" w:sz="0" w:space="0" w:color="auto"/>
        <w:bottom w:val="none" w:sz="0" w:space="0" w:color="auto"/>
        <w:right w:val="none" w:sz="0" w:space="0" w:color="auto"/>
      </w:divBdr>
    </w:div>
    <w:div w:id="49505441">
      <w:bodyDiv w:val="1"/>
      <w:marLeft w:val="0"/>
      <w:marRight w:val="0"/>
      <w:marTop w:val="0"/>
      <w:marBottom w:val="0"/>
      <w:divBdr>
        <w:top w:val="none" w:sz="0" w:space="0" w:color="auto"/>
        <w:left w:val="none" w:sz="0" w:space="0" w:color="auto"/>
        <w:bottom w:val="none" w:sz="0" w:space="0" w:color="auto"/>
        <w:right w:val="none" w:sz="0" w:space="0" w:color="auto"/>
      </w:divBdr>
    </w:div>
    <w:div w:id="49547647">
      <w:bodyDiv w:val="1"/>
      <w:marLeft w:val="0"/>
      <w:marRight w:val="0"/>
      <w:marTop w:val="0"/>
      <w:marBottom w:val="0"/>
      <w:divBdr>
        <w:top w:val="none" w:sz="0" w:space="0" w:color="auto"/>
        <w:left w:val="none" w:sz="0" w:space="0" w:color="auto"/>
        <w:bottom w:val="none" w:sz="0" w:space="0" w:color="auto"/>
        <w:right w:val="none" w:sz="0" w:space="0" w:color="auto"/>
      </w:divBdr>
    </w:div>
    <w:div w:id="49620755">
      <w:bodyDiv w:val="1"/>
      <w:marLeft w:val="0"/>
      <w:marRight w:val="0"/>
      <w:marTop w:val="0"/>
      <w:marBottom w:val="0"/>
      <w:divBdr>
        <w:top w:val="none" w:sz="0" w:space="0" w:color="auto"/>
        <w:left w:val="none" w:sz="0" w:space="0" w:color="auto"/>
        <w:bottom w:val="none" w:sz="0" w:space="0" w:color="auto"/>
        <w:right w:val="none" w:sz="0" w:space="0" w:color="auto"/>
      </w:divBdr>
    </w:div>
    <w:div w:id="49765354">
      <w:bodyDiv w:val="1"/>
      <w:marLeft w:val="0"/>
      <w:marRight w:val="0"/>
      <w:marTop w:val="0"/>
      <w:marBottom w:val="0"/>
      <w:divBdr>
        <w:top w:val="none" w:sz="0" w:space="0" w:color="auto"/>
        <w:left w:val="none" w:sz="0" w:space="0" w:color="auto"/>
        <w:bottom w:val="none" w:sz="0" w:space="0" w:color="auto"/>
        <w:right w:val="none" w:sz="0" w:space="0" w:color="auto"/>
      </w:divBdr>
    </w:div>
    <w:div w:id="50005461">
      <w:bodyDiv w:val="1"/>
      <w:marLeft w:val="0"/>
      <w:marRight w:val="0"/>
      <w:marTop w:val="0"/>
      <w:marBottom w:val="0"/>
      <w:divBdr>
        <w:top w:val="none" w:sz="0" w:space="0" w:color="auto"/>
        <w:left w:val="none" w:sz="0" w:space="0" w:color="auto"/>
        <w:bottom w:val="none" w:sz="0" w:space="0" w:color="auto"/>
        <w:right w:val="none" w:sz="0" w:space="0" w:color="auto"/>
      </w:divBdr>
    </w:div>
    <w:div w:id="50006696">
      <w:bodyDiv w:val="1"/>
      <w:marLeft w:val="0"/>
      <w:marRight w:val="0"/>
      <w:marTop w:val="0"/>
      <w:marBottom w:val="0"/>
      <w:divBdr>
        <w:top w:val="none" w:sz="0" w:space="0" w:color="auto"/>
        <w:left w:val="none" w:sz="0" w:space="0" w:color="auto"/>
        <w:bottom w:val="none" w:sz="0" w:space="0" w:color="auto"/>
        <w:right w:val="none" w:sz="0" w:space="0" w:color="auto"/>
      </w:divBdr>
    </w:div>
    <w:div w:id="50035789">
      <w:bodyDiv w:val="1"/>
      <w:marLeft w:val="0"/>
      <w:marRight w:val="0"/>
      <w:marTop w:val="0"/>
      <w:marBottom w:val="0"/>
      <w:divBdr>
        <w:top w:val="none" w:sz="0" w:space="0" w:color="auto"/>
        <w:left w:val="none" w:sz="0" w:space="0" w:color="auto"/>
        <w:bottom w:val="none" w:sz="0" w:space="0" w:color="auto"/>
        <w:right w:val="none" w:sz="0" w:space="0" w:color="auto"/>
      </w:divBdr>
    </w:div>
    <w:div w:id="50081737">
      <w:bodyDiv w:val="1"/>
      <w:marLeft w:val="0"/>
      <w:marRight w:val="0"/>
      <w:marTop w:val="0"/>
      <w:marBottom w:val="0"/>
      <w:divBdr>
        <w:top w:val="none" w:sz="0" w:space="0" w:color="auto"/>
        <w:left w:val="none" w:sz="0" w:space="0" w:color="auto"/>
        <w:bottom w:val="none" w:sz="0" w:space="0" w:color="auto"/>
        <w:right w:val="none" w:sz="0" w:space="0" w:color="auto"/>
      </w:divBdr>
    </w:div>
    <w:div w:id="50202519">
      <w:bodyDiv w:val="1"/>
      <w:marLeft w:val="0"/>
      <w:marRight w:val="0"/>
      <w:marTop w:val="0"/>
      <w:marBottom w:val="0"/>
      <w:divBdr>
        <w:top w:val="none" w:sz="0" w:space="0" w:color="auto"/>
        <w:left w:val="none" w:sz="0" w:space="0" w:color="auto"/>
        <w:bottom w:val="none" w:sz="0" w:space="0" w:color="auto"/>
        <w:right w:val="none" w:sz="0" w:space="0" w:color="auto"/>
      </w:divBdr>
    </w:div>
    <w:div w:id="50269798">
      <w:bodyDiv w:val="1"/>
      <w:marLeft w:val="0"/>
      <w:marRight w:val="0"/>
      <w:marTop w:val="0"/>
      <w:marBottom w:val="0"/>
      <w:divBdr>
        <w:top w:val="none" w:sz="0" w:space="0" w:color="auto"/>
        <w:left w:val="none" w:sz="0" w:space="0" w:color="auto"/>
        <w:bottom w:val="none" w:sz="0" w:space="0" w:color="auto"/>
        <w:right w:val="none" w:sz="0" w:space="0" w:color="auto"/>
      </w:divBdr>
    </w:div>
    <w:div w:id="50270922">
      <w:bodyDiv w:val="1"/>
      <w:marLeft w:val="0"/>
      <w:marRight w:val="0"/>
      <w:marTop w:val="0"/>
      <w:marBottom w:val="0"/>
      <w:divBdr>
        <w:top w:val="none" w:sz="0" w:space="0" w:color="auto"/>
        <w:left w:val="none" w:sz="0" w:space="0" w:color="auto"/>
        <w:bottom w:val="none" w:sz="0" w:space="0" w:color="auto"/>
        <w:right w:val="none" w:sz="0" w:space="0" w:color="auto"/>
      </w:divBdr>
    </w:div>
    <w:div w:id="50271171">
      <w:bodyDiv w:val="1"/>
      <w:marLeft w:val="0"/>
      <w:marRight w:val="0"/>
      <w:marTop w:val="0"/>
      <w:marBottom w:val="0"/>
      <w:divBdr>
        <w:top w:val="none" w:sz="0" w:space="0" w:color="auto"/>
        <w:left w:val="none" w:sz="0" w:space="0" w:color="auto"/>
        <w:bottom w:val="none" w:sz="0" w:space="0" w:color="auto"/>
        <w:right w:val="none" w:sz="0" w:space="0" w:color="auto"/>
      </w:divBdr>
    </w:div>
    <w:div w:id="50278969">
      <w:bodyDiv w:val="1"/>
      <w:marLeft w:val="0"/>
      <w:marRight w:val="0"/>
      <w:marTop w:val="0"/>
      <w:marBottom w:val="0"/>
      <w:divBdr>
        <w:top w:val="none" w:sz="0" w:space="0" w:color="auto"/>
        <w:left w:val="none" w:sz="0" w:space="0" w:color="auto"/>
        <w:bottom w:val="none" w:sz="0" w:space="0" w:color="auto"/>
        <w:right w:val="none" w:sz="0" w:space="0" w:color="auto"/>
      </w:divBdr>
    </w:div>
    <w:div w:id="50420920">
      <w:bodyDiv w:val="1"/>
      <w:marLeft w:val="0"/>
      <w:marRight w:val="0"/>
      <w:marTop w:val="0"/>
      <w:marBottom w:val="0"/>
      <w:divBdr>
        <w:top w:val="none" w:sz="0" w:space="0" w:color="auto"/>
        <w:left w:val="none" w:sz="0" w:space="0" w:color="auto"/>
        <w:bottom w:val="none" w:sz="0" w:space="0" w:color="auto"/>
        <w:right w:val="none" w:sz="0" w:space="0" w:color="auto"/>
      </w:divBdr>
    </w:div>
    <w:div w:id="50423023">
      <w:bodyDiv w:val="1"/>
      <w:marLeft w:val="0"/>
      <w:marRight w:val="0"/>
      <w:marTop w:val="0"/>
      <w:marBottom w:val="0"/>
      <w:divBdr>
        <w:top w:val="none" w:sz="0" w:space="0" w:color="auto"/>
        <w:left w:val="none" w:sz="0" w:space="0" w:color="auto"/>
        <w:bottom w:val="none" w:sz="0" w:space="0" w:color="auto"/>
        <w:right w:val="none" w:sz="0" w:space="0" w:color="auto"/>
      </w:divBdr>
    </w:div>
    <w:div w:id="50617616">
      <w:bodyDiv w:val="1"/>
      <w:marLeft w:val="0"/>
      <w:marRight w:val="0"/>
      <w:marTop w:val="0"/>
      <w:marBottom w:val="0"/>
      <w:divBdr>
        <w:top w:val="none" w:sz="0" w:space="0" w:color="auto"/>
        <w:left w:val="none" w:sz="0" w:space="0" w:color="auto"/>
        <w:bottom w:val="none" w:sz="0" w:space="0" w:color="auto"/>
        <w:right w:val="none" w:sz="0" w:space="0" w:color="auto"/>
      </w:divBdr>
    </w:div>
    <w:div w:id="50621806">
      <w:bodyDiv w:val="1"/>
      <w:marLeft w:val="0"/>
      <w:marRight w:val="0"/>
      <w:marTop w:val="0"/>
      <w:marBottom w:val="0"/>
      <w:divBdr>
        <w:top w:val="none" w:sz="0" w:space="0" w:color="auto"/>
        <w:left w:val="none" w:sz="0" w:space="0" w:color="auto"/>
        <w:bottom w:val="none" w:sz="0" w:space="0" w:color="auto"/>
        <w:right w:val="none" w:sz="0" w:space="0" w:color="auto"/>
      </w:divBdr>
    </w:div>
    <w:div w:id="50663333">
      <w:bodyDiv w:val="1"/>
      <w:marLeft w:val="0"/>
      <w:marRight w:val="0"/>
      <w:marTop w:val="0"/>
      <w:marBottom w:val="0"/>
      <w:divBdr>
        <w:top w:val="none" w:sz="0" w:space="0" w:color="auto"/>
        <w:left w:val="none" w:sz="0" w:space="0" w:color="auto"/>
        <w:bottom w:val="none" w:sz="0" w:space="0" w:color="auto"/>
        <w:right w:val="none" w:sz="0" w:space="0" w:color="auto"/>
      </w:divBdr>
    </w:div>
    <w:div w:id="50928216">
      <w:bodyDiv w:val="1"/>
      <w:marLeft w:val="0"/>
      <w:marRight w:val="0"/>
      <w:marTop w:val="0"/>
      <w:marBottom w:val="0"/>
      <w:divBdr>
        <w:top w:val="none" w:sz="0" w:space="0" w:color="auto"/>
        <w:left w:val="none" w:sz="0" w:space="0" w:color="auto"/>
        <w:bottom w:val="none" w:sz="0" w:space="0" w:color="auto"/>
        <w:right w:val="none" w:sz="0" w:space="0" w:color="auto"/>
      </w:divBdr>
    </w:div>
    <w:div w:id="50930232">
      <w:bodyDiv w:val="1"/>
      <w:marLeft w:val="0"/>
      <w:marRight w:val="0"/>
      <w:marTop w:val="0"/>
      <w:marBottom w:val="0"/>
      <w:divBdr>
        <w:top w:val="none" w:sz="0" w:space="0" w:color="auto"/>
        <w:left w:val="none" w:sz="0" w:space="0" w:color="auto"/>
        <w:bottom w:val="none" w:sz="0" w:space="0" w:color="auto"/>
        <w:right w:val="none" w:sz="0" w:space="0" w:color="auto"/>
      </w:divBdr>
    </w:div>
    <w:div w:id="51001934">
      <w:bodyDiv w:val="1"/>
      <w:marLeft w:val="0"/>
      <w:marRight w:val="0"/>
      <w:marTop w:val="0"/>
      <w:marBottom w:val="0"/>
      <w:divBdr>
        <w:top w:val="none" w:sz="0" w:space="0" w:color="auto"/>
        <w:left w:val="none" w:sz="0" w:space="0" w:color="auto"/>
        <w:bottom w:val="none" w:sz="0" w:space="0" w:color="auto"/>
        <w:right w:val="none" w:sz="0" w:space="0" w:color="auto"/>
      </w:divBdr>
    </w:div>
    <w:div w:id="51076108">
      <w:bodyDiv w:val="1"/>
      <w:marLeft w:val="0"/>
      <w:marRight w:val="0"/>
      <w:marTop w:val="0"/>
      <w:marBottom w:val="0"/>
      <w:divBdr>
        <w:top w:val="none" w:sz="0" w:space="0" w:color="auto"/>
        <w:left w:val="none" w:sz="0" w:space="0" w:color="auto"/>
        <w:bottom w:val="none" w:sz="0" w:space="0" w:color="auto"/>
        <w:right w:val="none" w:sz="0" w:space="0" w:color="auto"/>
      </w:divBdr>
    </w:div>
    <w:div w:id="51077420">
      <w:bodyDiv w:val="1"/>
      <w:marLeft w:val="0"/>
      <w:marRight w:val="0"/>
      <w:marTop w:val="0"/>
      <w:marBottom w:val="0"/>
      <w:divBdr>
        <w:top w:val="none" w:sz="0" w:space="0" w:color="auto"/>
        <w:left w:val="none" w:sz="0" w:space="0" w:color="auto"/>
        <w:bottom w:val="none" w:sz="0" w:space="0" w:color="auto"/>
        <w:right w:val="none" w:sz="0" w:space="0" w:color="auto"/>
      </w:divBdr>
    </w:div>
    <w:div w:id="51078248">
      <w:bodyDiv w:val="1"/>
      <w:marLeft w:val="0"/>
      <w:marRight w:val="0"/>
      <w:marTop w:val="0"/>
      <w:marBottom w:val="0"/>
      <w:divBdr>
        <w:top w:val="none" w:sz="0" w:space="0" w:color="auto"/>
        <w:left w:val="none" w:sz="0" w:space="0" w:color="auto"/>
        <w:bottom w:val="none" w:sz="0" w:space="0" w:color="auto"/>
        <w:right w:val="none" w:sz="0" w:space="0" w:color="auto"/>
      </w:divBdr>
    </w:div>
    <w:div w:id="51124933">
      <w:bodyDiv w:val="1"/>
      <w:marLeft w:val="0"/>
      <w:marRight w:val="0"/>
      <w:marTop w:val="0"/>
      <w:marBottom w:val="0"/>
      <w:divBdr>
        <w:top w:val="none" w:sz="0" w:space="0" w:color="auto"/>
        <w:left w:val="none" w:sz="0" w:space="0" w:color="auto"/>
        <w:bottom w:val="none" w:sz="0" w:space="0" w:color="auto"/>
        <w:right w:val="none" w:sz="0" w:space="0" w:color="auto"/>
      </w:divBdr>
    </w:div>
    <w:div w:id="51196594">
      <w:bodyDiv w:val="1"/>
      <w:marLeft w:val="0"/>
      <w:marRight w:val="0"/>
      <w:marTop w:val="0"/>
      <w:marBottom w:val="0"/>
      <w:divBdr>
        <w:top w:val="none" w:sz="0" w:space="0" w:color="auto"/>
        <w:left w:val="none" w:sz="0" w:space="0" w:color="auto"/>
        <w:bottom w:val="none" w:sz="0" w:space="0" w:color="auto"/>
        <w:right w:val="none" w:sz="0" w:space="0" w:color="auto"/>
      </w:divBdr>
    </w:div>
    <w:div w:id="51198704">
      <w:bodyDiv w:val="1"/>
      <w:marLeft w:val="0"/>
      <w:marRight w:val="0"/>
      <w:marTop w:val="0"/>
      <w:marBottom w:val="0"/>
      <w:divBdr>
        <w:top w:val="none" w:sz="0" w:space="0" w:color="auto"/>
        <w:left w:val="none" w:sz="0" w:space="0" w:color="auto"/>
        <w:bottom w:val="none" w:sz="0" w:space="0" w:color="auto"/>
        <w:right w:val="none" w:sz="0" w:space="0" w:color="auto"/>
      </w:divBdr>
    </w:div>
    <w:div w:id="51200833">
      <w:bodyDiv w:val="1"/>
      <w:marLeft w:val="0"/>
      <w:marRight w:val="0"/>
      <w:marTop w:val="0"/>
      <w:marBottom w:val="0"/>
      <w:divBdr>
        <w:top w:val="none" w:sz="0" w:space="0" w:color="auto"/>
        <w:left w:val="none" w:sz="0" w:space="0" w:color="auto"/>
        <w:bottom w:val="none" w:sz="0" w:space="0" w:color="auto"/>
        <w:right w:val="none" w:sz="0" w:space="0" w:color="auto"/>
      </w:divBdr>
    </w:div>
    <w:div w:id="51276264">
      <w:bodyDiv w:val="1"/>
      <w:marLeft w:val="0"/>
      <w:marRight w:val="0"/>
      <w:marTop w:val="0"/>
      <w:marBottom w:val="0"/>
      <w:divBdr>
        <w:top w:val="none" w:sz="0" w:space="0" w:color="auto"/>
        <w:left w:val="none" w:sz="0" w:space="0" w:color="auto"/>
        <w:bottom w:val="none" w:sz="0" w:space="0" w:color="auto"/>
        <w:right w:val="none" w:sz="0" w:space="0" w:color="auto"/>
      </w:divBdr>
    </w:div>
    <w:div w:id="51346176">
      <w:bodyDiv w:val="1"/>
      <w:marLeft w:val="0"/>
      <w:marRight w:val="0"/>
      <w:marTop w:val="0"/>
      <w:marBottom w:val="0"/>
      <w:divBdr>
        <w:top w:val="none" w:sz="0" w:space="0" w:color="auto"/>
        <w:left w:val="none" w:sz="0" w:space="0" w:color="auto"/>
        <w:bottom w:val="none" w:sz="0" w:space="0" w:color="auto"/>
        <w:right w:val="none" w:sz="0" w:space="0" w:color="auto"/>
      </w:divBdr>
    </w:div>
    <w:div w:id="51394724">
      <w:bodyDiv w:val="1"/>
      <w:marLeft w:val="0"/>
      <w:marRight w:val="0"/>
      <w:marTop w:val="0"/>
      <w:marBottom w:val="0"/>
      <w:divBdr>
        <w:top w:val="none" w:sz="0" w:space="0" w:color="auto"/>
        <w:left w:val="none" w:sz="0" w:space="0" w:color="auto"/>
        <w:bottom w:val="none" w:sz="0" w:space="0" w:color="auto"/>
        <w:right w:val="none" w:sz="0" w:space="0" w:color="auto"/>
      </w:divBdr>
    </w:div>
    <w:div w:id="51469713">
      <w:bodyDiv w:val="1"/>
      <w:marLeft w:val="0"/>
      <w:marRight w:val="0"/>
      <w:marTop w:val="0"/>
      <w:marBottom w:val="0"/>
      <w:divBdr>
        <w:top w:val="none" w:sz="0" w:space="0" w:color="auto"/>
        <w:left w:val="none" w:sz="0" w:space="0" w:color="auto"/>
        <w:bottom w:val="none" w:sz="0" w:space="0" w:color="auto"/>
        <w:right w:val="none" w:sz="0" w:space="0" w:color="auto"/>
      </w:divBdr>
    </w:div>
    <w:div w:id="51470486">
      <w:bodyDiv w:val="1"/>
      <w:marLeft w:val="0"/>
      <w:marRight w:val="0"/>
      <w:marTop w:val="0"/>
      <w:marBottom w:val="0"/>
      <w:divBdr>
        <w:top w:val="none" w:sz="0" w:space="0" w:color="auto"/>
        <w:left w:val="none" w:sz="0" w:space="0" w:color="auto"/>
        <w:bottom w:val="none" w:sz="0" w:space="0" w:color="auto"/>
        <w:right w:val="none" w:sz="0" w:space="0" w:color="auto"/>
      </w:divBdr>
    </w:div>
    <w:div w:id="51579885">
      <w:bodyDiv w:val="1"/>
      <w:marLeft w:val="0"/>
      <w:marRight w:val="0"/>
      <w:marTop w:val="0"/>
      <w:marBottom w:val="0"/>
      <w:divBdr>
        <w:top w:val="none" w:sz="0" w:space="0" w:color="auto"/>
        <w:left w:val="none" w:sz="0" w:space="0" w:color="auto"/>
        <w:bottom w:val="none" w:sz="0" w:space="0" w:color="auto"/>
        <w:right w:val="none" w:sz="0" w:space="0" w:color="auto"/>
      </w:divBdr>
    </w:div>
    <w:div w:id="51656675">
      <w:bodyDiv w:val="1"/>
      <w:marLeft w:val="0"/>
      <w:marRight w:val="0"/>
      <w:marTop w:val="0"/>
      <w:marBottom w:val="0"/>
      <w:divBdr>
        <w:top w:val="none" w:sz="0" w:space="0" w:color="auto"/>
        <w:left w:val="none" w:sz="0" w:space="0" w:color="auto"/>
        <w:bottom w:val="none" w:sz="0" w:space="0" w:color="auto"/>
        <w:right w:val="none" w:sz="0" w:space="0" w:color="auto"/>
      </w:divBdr>
    </w:div>
    <w:div w:id="51658051">
      <w:bodyDiv w:val="1"/>
      <w:marLeft w:val="0"/>
      <w:marRight w:val="0"/>
      <w:marTop w:val="0"/>
      <w:marBottom w:val="0"/>
      <w:divBdr>
        <w:top w:val="none" w:sz="0" w:space="0" w:color="auto"/>
        <w:left w:val="none" w:sz="0" w:space="0" w:color="auto"/>
        <w:bottom w:val="none" w:sz="0" w:space="0" w:color="auto"/>
        <w:right w:val="none" w:sz="0" w:space="0" w:color="auto"/>
      </w:divBdr>
    </w:div>
    <w:div w:id="51780821">
      <w:bodyDiv w:val="1"/>
      <w:marLeft w:val="0"/>
      <w:marRight w:val="0"/>
      <w:marTop w:val="0"/>
      <w:marBottom w:val="0"/>
      <w:divBdr>
        <w:top w:val="none" w:sz="0" w:space="0" w:color="auto"/>
        <w:left w:val="none" w:sz="0" w:space="0" w:color="auto"/>
        <w:bottom w:val="none" w:sz="0" w:space="0" w:color="auto"/>
        <w:right w:val="none" w:sz="0" w:space="0" w:color="auto"/>
      </w:divBdr>
    </w:div>
    <w:div w:id="51853037">
      <w:bodyDiv w:val="1"/>
      <w:marLeft w:val="0"/>
      <w:marRight w:val="0"/>
      <w:marTop w:val="0"/>
      <w:marBottom w:val="0"/>
      <w:divBdr>
        <w:top w:val="none" w:sz="0" w:space="0" w:color="auto"/>
        <w:left w:val="none" w:sz="0" w:space="0" w:color="auto"/>
        <w:bottom w:val="none" w:sz="0" w:space="0" w:color="auto"/>
        <w:right w:val="none" w:sz="0" w:space="0" w:color="auto"/>
      </w:divBdr>
    </w:div>
    <w:div w:id="51926727">
      <w:bodyDiv w:val="1"/>
      <w:marLeft w:val="0"/>
      <w:marRight w:val="0"/>
      <w:marTop w:val="0"/>
      <w:marBottom w:val="0"/>
      <w:divBdr>
        <w:top w:val="none" w:sz="0" w:space="0" w:color="auto"/>
        <w:left w:val="none" w:sz="0" w:space="0" w:color="auto"/>
        <w:bottom w:val="none" w:sz="0" w:space="0" w:color="auto"/>
        <w:right w:val="none" w:sz="0" w:space="0" w:color="auto"/>
      </w:divBdr>
    </w:div>
    <w:div w:id="51933338">
      <w:bodyDiv w:val="1"/>
      <w:marLeft w:val="0"/>
      <w:marRight w:val="0"/>
      <w:marTop w:val="0"/>
      <w:marBottom w:val="0"/>
      <w:divBdr>
        <w:top w:val="none" w:sz="0" w:space="0" w:color="auto"/>
        <w:left w:val="none" w:sz="0" w:space="0" w:color="auto"/>
        <w:bottom w:val="none" w:sz="0" w:space="0" w:color="auto"/>
        <w:right w:val="none" w:sz="0" w:space="0" w:color="auto"/>
      </w:divBdr>
    </w:div>
    <w:div w:id="52002081">
      <w:bodyDiv w:val="1"/>
      <w:marLeft w:val="0"/>
      <w:marRight w:val="0"/>
      <w:marTop w:val="0"/>
      <w:marBottom w:val="0"/>
      <w:divBdr>
        <w:top w:val="none" w:sz="0" w:space="0" w:color="auto"/>
        <w:left w:val="none" w:sz="0" w:space="0" w:color="auto"/>
        <w:bottom w:val="none" w:sz="0" w:space="0" w:color="auto"/>
        <w:right w:val="none" w:sz="0" w:space="0" w:color="auto"/>
      </w:divBdr>
    </w:div>
    <w:div w:id="52042644">
      <w:bodyDiv w:val="1"/>
      <w:marLeft w:val="0"/>
      <w:marRight w:val="0"/>
      <w:marTop w:val="0"/>
      <w:marBottom w:val="0"/>
      <w:divBdr>
        <w:top w:val="none" w:sz="0" w:space="0" w:color="auto"/>
        <w:left w:val="none" w:sz="0" w:space="0" w:color="auto"/>
        <w:bottom w:val="none" w:sz="0" w:space="0" w:color="auto"/>
        <w:right w:val="none" w:sz="0" w:space="0" w:color="auto"/>
      </w:divBdr>
    </w:div>
    <w:div w:id="52195536">
      <w:bodyDiv w:val="1"/>
      <w:marLeft w:val="0"/>
      <w:marRight w:val="0"/>
      <w:marTop w:val="0"/>
      <w:marBottom w:val="0"/>
      <w:divBdr>
        <w:top w:val="none" w:sz="0" w:space="0" w:color="auto"/>
        <w:left w:val="none" w:sz="0" w:space="0" w:color="auto"/>
        <w:bottom w:val="none" w:sz="0" w:space="0" w:color="auto"/>
        <w:right w:val="none" w:sz="0" w:space="0" w:color="auto"/>
      </w:divBdr>
    </w:div>
    <w:div w:id="52236336">
      <w:bodyDiv w:val="1"/>
      <w:marLeft w:val="0"/>
      <w:marRight w:val="0"/>
      <w:marTop w:val="0"/>
      <w:marBottom w:val="0"/>
      <w:divBdr>
        <w:top w:val="none" w:sz="0" w:space="0" w:color="auto"/>
        <w:left w:val="none" w:sz="0" w:space="0" w:color="auto"/>
        <w:bottom w:val="none" w:sz="0" w:space="0" w:color="auto"/>
        <w:right w:val="none" w:sz="0" w:space="0" w:color="auto"/>
      </w:divBdr>
    </w:div>
    <w:div w:id="52240610">
      <w:bodyDiv w:val="1"/>
      <w:marLeft w:val="0"/>
      <w:marRight w:val="0"/>
      <w:marTop w:val="0"/>
      <w:marBottom w:val="0"/>
      <w:divBdr>
        <w:top w:val="none" w:sz="0" w:space="0" w:color="auto"/>
        <w:left w:val="none" w:sz="0" w:space="0" w:color="auto"/>
        <w:bottom w:val="none" w:sz="0" w:space="0" w:color="auto"/>
        <w:right w:val="none" w:sz="0" w:space="0" w:color="auto"/>
      </w:divBdr>
    </w:div>
    <w:div w:id="52241676">
      <w:bodyDiv w:val="1"/>
      <w:marLeft w:val="0"/>
      <w:marRight w:val="0"/>
      <w:marTop w:val="0"/>
      <w:marBottom w:val="0"/>
      <w:divBdr>
        <w:top w:val="none" w:sz="0" w:space="0" w:color="auto"/>
        <w:left w:val="none" w:sz="0" w:space="0" w:color="auto"/>
        <w:bottom w:val="none" w:sz="0" w:space="0" w:color="auto"/>
        <w:right w:val="none" w:sz="0" w:space="0" w:color="auto"/>
      </w:divBdr>
    </w:div>
    <w:div w:id="52387302">
      <w:bodyDiv w:val="1"/>
      <w:marLeft w:val="0"/>
      <w:marRight w:val="0"/>
      <w:marTop w:val="0"/>
      <w:marBottom w:val="0"/>
      <w:divBdr>
        <w:top w:val="none" w:sz="0" w:space="0" w:color="auto"/>
        <w:left w:val="none" w:sz="0" w:space="0" w:color="auto"/>
        <w:bottom w:val="none" w:sz="0" w:space="0" w:color="auto"/>
        <w:right w:val="none" w:sz="0" w:space="0" w:color="auto"/>
      </w:divBdr>
    </w:div>
    <w:div w:id="52389490">
      <w:bodyDiv w:val="1"/>
      <w:marLeft w:val="0"/>
      <w:marRight w:val="0"/>
      <w:marTop w:val="0"/>
      <w:marBottom w:val="0"/>
      <w:divBdr>
        <w:top w:val="none" w:sz="0" w:space="0" w:color="auto"/>
        <w:left w:val="none" w:sz="0" w:space="0" w:color="auto"/>
        <w:bottom w:val="none" w:sz="0" w:space="0" w:color="auto"/>
        <w:right w:val="none" w:sz="0" w:space="0" w:color="auto"/>
      </w:divBdr>
    </w:div>
    <w:div w:id="52392932">
      <w:bodyDiv w:val="1"/>
      <w:marLeft w:val="0"/>
      <w:marRight w:val="0"/>
      <w:marTop w:val="0"/>
      <w:marBottom w:val="0"/>
      <w:divBdr>
        <w:top w:val="none" w:sz="0" w:space="0" w:color="auto"/>
        <w:left w:val="none" w:sz="0" w:space="0" w:color="auto"/>
        <w:bottom w:val="none" w:sz="0" w:space="0" w:color="auto"/>
        <w:right w:val="none" w:sz="0" w:space="0" w:color="auto"/>
      </w:divBdr>
    </w:div>
    <w:div w:id="52433653">
      <w:bodyDiv w:val="1"/>
      <w:marLeft w:val="0"/>
      <w:marRight w:val="0"/>
      <w:marTop w:val="0"/>
      <w:marBottom w:val="0"/>
      <w:divBdr>
        <w:top w:val="none" w:sz="0" w:space="0" w:color="auto"/>
        <w:left w:val="none" w:sz="0" w:space="0" w:color="auto"/>
        <w:bottom w:val="none" w:sz="0" w:space="0" w:color="auto"/>
        <w:right w:val="none" w:sz="0" w:space="0" w:color="auto"/>
      </w:divBdr>
    </w:div>
    <w:div w:id="52435997">
      <w:bodyDiv w:val="1"/>
      <w:marLeft w:val="0"/>
      <w:marRight w:val="0"/>
      <w:marTop w:val="0"/>
      <w:marBottom w:val="0"/>
      <w:divBdr>
        <w:top w:val="none" w:sz="0" w:space="0" w:color="auto"/>
        <w:left w:val="none" w:sz="0" w:space="0" w:color="auto"/>
        <w:bottom w:val="none" w:sz="0" w:space="0" w:color="auto"/>
        <w:right w:val="none" w:sz="0" w:space="0" w:color="auto"/>
      </w:divBdr>
    </w:div>
    <w:div w:id="52509261">
      <w:bodyDiv w:val="1"/>
      <w:marLeft w:val="0"/>
      <w:marRight w:val="0"/>
      <w:marTop w:val="0"/>
      <w:marBottom w:val="0"/>
      <w:divBdr>
        <w:top w:val="none" w:sz="0" w:space="0" w:color="auto"/>
        <w:left w:val="none" w:sz="0" w:space="0" w:color="auto"/>
        <w:bottom w:val="none" w:sz="0" w:space="0" w:color="auto"/>
        <w:right w:val="none" w:sz="0" w:space="0" w:color="auto"/>
      </w:divBdr>
    </w:div>
    <w:div w:id="52582947">
      <w:bodyDiv w:val="1"/>
      <w:marLeft w:val="0"/>
      <w:marRight w:val="0"/>
      <w:marTop w:val="0"/>
      <w:marBottom w:val="0"/>
      <w:divBdr>
        <w:top w:val="none" w:sz="0" w:space="0" w:color="auto"/>
        <w:left w:val="none" w:sz="0" w:space="0" w:color="auto"/>
        <w:bottom w:val="none" w:sz="0" w:space="0" w:color="auto"/>
        <w:right w:val="none" w:sz="0" w:space="0" w:color="auto"/>
      </w:divBdr>
    </w:div>
    <w:div w:id="52772577">
      <w:bodyDiv w:val="1"/>
      <w:marLeft w:val="0"/>
      <w:marRight w:val="0"/>
      <w:marTop w:val="0"/>
      <w:marBottom w:val="0"/>
      <w:divBdr>
        <w:top w:val="none" w:sz="0" w:space="0" w:color="auto"/>
        <w:left w:val="none" w:sz="0" w:space="0" w:color="auto"/>
        <w:bottom w:val="none" w:sz="0" w:space="0" w:color="auto"/>
        <w:right w:val="none" w:sz="0" w:space="0" w:color="auto"/>
      </w:divBdr>
    </w:div>
    <w:div w:id="52778044">
      <w:bodyDiv w:val="1"/>
      <w:marLeft w:val="0"/>
      <w:marRight w:val="0"/>
      <w:marTop w:val="0"/>
      <w:marBottom w:val="0"/>
      <w:divBdr>
        <w:top w:val="none" w:sz="0" w:space="0" w:color="auto"/>
        <w:left w:val="none" w:sz="0" w:space="0" w:color="auto"/>
        <w:bottom w:val="none" w:sz="0" w:space="0" w:color="auto"/>
        <w:right w:val="none" w:sz="0" w:space="0" w:color="auto"/>
      </w:divBdr>
    </w:div>
    <w:div w:id="52851330">
      <w:bodyDiv w:val="1"/>
      <w:marLeft w:val="0"/>
      <w:marRight w:val="0"/>
      <w:marTop w:val="0"/>
      <w:marBottom w:val="0"/>
      <w:divBdr>
        <w:top w:val="none" w:sz="0" w:space="0" w:color="auto"/>
        <w:left w:val="none" w:sz="0" w:space="0" w:color="auto"/>
        <w:bottom w:val="none" w:sz="0" w:space="0" w:color="auto"/>
        <w:right w:val="none" w:sz="0" w:space="0" w:color="auto"/>
      </w:divBdr>
    </w:div>
    <w:div w:id="53091333">
      <w:bodyDiv w:val="1"/>
      <w:marLeft w:val="0"/>
      <w:marRight w:val="0"/>
      <w:marTop w:val="0"/>
      <w:marBottom w:val="0"/>
      <w:divBdr>
        <w:top w:val="none" w:sz="0" w:space="0" w:color="auto"/>
        <w:left w:val="none" w:sz="0" w:space="0" w:color="auto"/>
        <w:bottom w:val="none" w:sz="0" w:space="0" w:color="auto"/>
        <w:right w:val="none" w:sz="0" w:space="0" w:color="auto"/>
      </w:divBdr>
    </w:div>
    <w:div w:id="53243130">
      <w:bodyDiv w:val="1"/>
      <w:marLeft w:val="0"/>
      <w:marRight w:val="0"/>
      <w:marTop w:val="0"/>
      <w:marBottom w:val="0"/>
      <w:divBdr>
        <w:top w:val="none" w:sz="0" w:space="0" w:color="auto"/>
        <w:left w:val="none" w:sz="0" w:space="0" w:color="auto"/>
        <w:bottom w:val="none" w:sz="0" w:space="0" w:color="auto"/>
        <w:right w:val="none" w:sz="0" w:space="0" w:color="auto"/>
      </w:divBdr>
    </w:div>
    <w:div w:id="53353396">
      <w:bodyDiv w:val="1"/>
      <w:marLeft w:val="0"/>
      <w:marRight w:val="0"/>
      <w:marTop w:val="0"/>
      <w:marBottom w:val="0"/>
      <w:divBdr>
        <w:top w:val="none" w:sz="0" w:space="0" w:color="auto"/>
        <w:left w:val="none" w:sz="0" w:space="0" w:color="auto"/>
        <w:bottom w:val="none" w:sz="0" w:space="0" w:color="auto"/>
        <w:right w:val="none" w:sz="0" w:space="0" w:color="auto"/>
      </w:divBdr>
    </w:div>
    <w:div w:id="53353838">
      <w:bodyDiv w:val="1"/>
      <w:marLeft w:val="0"/>
      <w:marRight w:val="0"/>
      <w:marTop w:val="0"/>
      <w:marBottom w:val="0"/>
      <w:divBdr>
        <w:top w:val="none" w:sz="0" w:space="0" w:color="auto"/>
        <w:left w:val="none" w:sz="0" w:space="0" w:color="auto"/>
        <w:bottom w:val="none" w:sz="0" w:space="0" w:color="auto"/>
        <w:right w:val="none" w:sz="0" w:space="0" w:color="auto"/>
      </w:divBdr>
    </w:div>
    <w:div w:id="53358556">
      <w:bodyDiv w:val="1"/>
      <w:marLeft w:val="0"/>
      <w:marRight w:val="0"/>
      <w:marTop w:val="0"/>
      <w:marBottom w:val="0"/>
      <w:divBdr>
        <w:top w:val="none" w:sz="0" w:space="0" w:color="auto"/>
        <w:left w:val="none" w:sz="0" w:space="0" w:color="auto"/>
        <w:bottom w:val="none" w:sz="0" w:space="0" w:color="auto"/>
        <w:right w:val="none" w:sz="0" w:space="0" w:color="auto"/>
      </w:divBdr>
    </w:div>
    <w:div w:id="53628805">
      <w:bodyDiv w:val="1"/>
      <w:marLeft w:val="0"/>
      <w:marRight w:val="0"/>
      <w:marTop w:val="0"/>
      <w:marBottom w:val="0"/>
      <w:divBdr>
        <w:top w:val="none" w:sz="0" w:space="0" w:color="auto"/>
        <w:left w:val="none" w:sz="0" w:space="0" w:color="auto"/>
        <w:bottom w:val="none" w:sz="0" w:space="0" w:color="auto"/>
        <w:right w:val="none" w:sz="0" w:space="0" w:color="auto"/>
      </w:divBdr>
    </w:div>
    <w:div w:id="53700259">
      <w:bodyDiv w:val="1"/>
      <w:marLeft w:val="0"/>
      <w:marRight w:val="0"/>
      <w:marTop w:val="0"/>
      <w:marBottom w:val="0"/>
      <w:divBdr>
        <w:top w:val="none" w:sz="0" w:space="0" w:color="auto"/>
        <w:left w:val="none" w:sz="0" w:space="0" w:color="auto"/>
        <w:bottom w:val="none" w:sz="0" w:space="0" w:color="auto"/>
        <w:right w:val="none" w:sz="0" w:space="0" w:color="auto"/>
      </w:divBdr>
    </w:div>
    <w:div w:id="53706102">
      <w:bodyDiv w:val="1"/>
      <w:marLeft w:val="0"/>
      <w:marRight w:val="0"/>
      <w:marTop w:val="0"/>
      <w:marBottom w:val="0"/>
      <w:divBdr>
        <w:top w:val="none" w:sz="0" w:space="0" w:color="auto"/>
        <w:left w:val="none" w:sz="0" w:space="0" w:color="auto"/>
        <w:bottom w:val="none" w:sz="0" w:space="0" w:color="auto"/>
        <w:right w:val="none" w:sz="0" w:space="0" w:color="auto"/>
      </w:divBdr>
    </w:div>
    <w:div w:id="53744168">
      <w:bodyDiv w:val="1"/>
      <w:marLeft w:val="0"/>
      <w:marRight w:val="0"/>
      <w:marTop w:val="0"/>
      <w:marBottom w:val="0"/>
      <w:divBdr>
        <w:top w:val="none" w:sz="0" w:space="0" w:color="auto"/>
        <w:left w:val="none" w:sz="0" w:space="0" w:color="auto"/>
        <w:bottom w:val="none" w:sz="0" w:space="0" w:color="auto"/>
        <w:right w:val="none" w:sz="0" w:space="0" w:color="auto"/>
      </w:divBdr>
    </w:div>
    <w:div w:id="53822208">
      <w:bodyDiv w:val="1"/>
      <w:marLeft w:val="0"/>
      <w:marRight w:val="0"/>
      <w:marTop w:val="0"/>
      <w:marBottom w:val="0"/>
      <w:divBdr>
        <w:top w:val="none" w:sz="0" w:space="0" w:color="auto"/>
        <w:left w:val="none" w:sz="0" w:space="0" w:color="auto"/>
        <w:bottom w:val="none" w:sz="0" w:space="0" w:color="auto"/>
        <w:right w:val="none" w:sz="0" w:space="0" w:color="auto"/>
      </w:divBdr>
    </w:div>
    <w:div w:id="53937121">
      <w:bodyDiv w:val="1"/>
      <w:marLeft w:val="0"/>
      <w:marRight w:val="0"/>
      <w:marTop w:val="0"/>
      <w:marBottom w:val="0"/>
      <w:divBdr>
        <w:top w:val="none" w:sz="0" w:space="0" w:color="auto"/>
        <w:left w:val="none" w:sz="0" w:space="0" w:color="auto"/>
        <w:bottom w:val="none" w:sz="0" w:space="0" w:color="auto"/>
        <w:right w:val="none" w:sz="0" w:space="0" w:color="auto"/>
      </w:divBdr>
    </w:div>
    <w:div w:id="53940894">
      <w:bodyDiv w:val="1"/>
      <w:marLeft w:val="0"/>
      <w:marRight w:val="0"/>
      <w:marTop w:val="0"/>
      <w:marBottom w:val="0"/>
      <w:divBdr>
        <w:top w:val="none" w:sz="0" w:space="0" w:color="auto"/>
        <w:left w:val="none" w:sz="0" w:space="0" w:color="auto"/>
        <w:bottom w:val="none" w:sz="0" w:space="0" w:color="auto"/>
        <w:right w:val="none" w:sz="0" w:space="0" w:color="auto"/>
      </w:divBdr>
    </w:div>
    <w:div w:id="53942055">
      <w:bodyDiv w:val="1"/>
      <w:marLeft w:val="0"/>
      <w:marRight w:val="0"/>
      <w:marTop w:val="0"/>
      <w:marBottom w:val="0"/>
      <w:divBdr>
        <w:top w:val="none" w:sz="0" w:space="0" w:color="auto"/>
        <w:left w:val="none" w:sz="0" w:space="0" w:color="auto"/>
        <w:bottom w:val="none" w:sz="0" w:space="0" w:color="auto"/>
        <w:right w:val="none" w:sz="0" w:space="0" w:color="auto"/>
      </w:divBdr>
    </w:div>
    <w:div w:id="54010773">
      <w:bodyDiv w:val="1"/>
      <w:marLeft w:val="0"/>
      <w:marRight w:val="0"/>
      <w:marTop w:val="0"/>
      <w:marBottom w:val="0"/>
      <w:divBdr>
        <w:top w:val="none" w:sz="0" w:space="0" w:color="auto"/>
        <w:left w:val="none" w:sz="0" w:space="0" w:color="auto"/>
        <w:bottom w:val="none" w:sz="0" w:space="0" w:color="auto"/>
        <w:right w:val="none" w:sz="0" w:space="0" w:color="auto"/>
      </w:divBdr>
    </w:div>
    <w:div w:id="54083892">
      <w:bodyDiv w:val="1"/>
      <w:marLeft w:val="0"/>
      <w:marRight w:val="0"/>
      <w:marTop w:val="0"/>
      <w:marBottom w:val="0"/>
      <w:divBdr>
        <w:top w:val="none" w:sz="0" w:space="0" w:color="auto"/>
        <w:left w:val="none" w:sz="0" w:space="0" w:color="auto"/>
        <w:bottom w:val="none" w:sz="0" w:space="0" w:color="auto"/>
        <w:right w:val="none" w:sz="0" w:space="0" w:color="auto"/>
      </w:divBdr>
    </w:div>
    <w:div w:id="54203705">
      <w:bodyDiv w:val="1"/>
      <w:marLeft w:val="0"/>
      <w:marRight w:val="0"/>
      <w:marTop w:val="0"/>
      <w:marBottom w:val="0"/>
      <w:divBdr>
        <w:top w:val="none" w:sz="0" w:space="0" w:color="auto"/>
        <w:left w:val="none" w:sz="0" w:space="0" w:color="auto"/>
        <w:bottom w:val="none" w:sz="0" w:space="0" w:color="auto"/>
        <w:right w:val="none" w:sz="0" w:space="0" w:color="auto"/>
      </w:divBdr>
    </w:div>
    <w:div w:id="54280360">
      <w:bodyDiv w:val="1"/>
      <w:marLeft w:val="0"/>
      <w:marRight w:val="0"/>
      <w:marTop w:val="0"/>
      <w:marBottom w:val="0"/>
      <w:divBdr>
        <w:top w:val="none" w:sz="0" w:space="0" w:color="auto"/>
        <w:left w:val="none" w:sz="0" w:space="0" w:color="auto"/>
        <w:bottom w:val="none" w:sz="0" w:space="0" w:color="auto"/>
        <w:right w:val="none" w:sz="0" w:space="0" w:color="auto"/>
      </w:divBdr>
    </w:div>
    <w:div w:id="54284949">
      <w:bodyDiv w:val="1"/>
      <w:marLeft w:val="0"/>
      <w:marRight w:val="0"/>
      <w:marTop w:val="0"/>
      <w:marBottom w:val="0"/>
      <w:divBdr>
        <w:top w:val="none" w:sz="0" w:space="0" w:color="auto"/>
        <w:left w:val="none" w:sz="0" w:space="0" w:color="auto"/>
        <w:bottom w:val="none" w:sz="0" w:space="0" w:color="auto"/>
        <w:right w:val="none" w:sz="0" w:space="0" w:color="auto"/>
      </w:divBdr>
    </w:div>
    <w:div w:id="54358813">
      <w:bodyDiv w:val="1"/>
      <w:marLeft w:val="0"/>
      <w:marRight w:val="0"/>
      <w:marTop w:val="0"/>
      <w:marBottom w:val="0"/>
      <w:divBdr>
        <w:top w:val="none" w:sz="0" w:space="0" w:color="auto"/>
        <w:left w:val="none" w:sz="0" w:space="0" w:color="auto"/>
        <w:bottom w:val="none" w:sz="0" w:space="0" w:color="auto"/>
        <w:right w:val="none" w:sz="0" w:space="0" w:color="auto"/>
      </w:divBdr>
    </w:div>
    <w:div w:id="54396957">
      <w:bodyDiv w:val="1"/>
      <w:marLeft w:val="0"/>
      <w:marRight w:val="0"/>
      <w:marTop w:val="0"/>
      <w:marBottom w:val="0"/>
      <w:divBdr>
        <w:top w:val="none" w:sz="0" w:space="0" w:color="auto"/>
        <w:left w:val="none" w:sz="0" w:space="0" w:color="auto"/>
        <w:bottom w:val="none" w:sz="0" w:space="0" w:color="auto"/>
        <w:right w:val="none" w:sz="0" w:space="0" w:color="auto"/>
      </w:divBdr>
    </w:div>
    <w:div w:id="54858909">
      <w:bodyDiv w:val="1"/>
      <w:marLeft w:val="0"/>
      <w:marRight w:val="0"/>
      <w:marTop w:val="0"/>
      <w:marBottom w:val="0"/>
      <w:divBdr>
        <w:top w:val="none" w:sz="0" w:space="0" w:color="auto"/>
        <w:left w:val="none" w:sz="0" w:space="0" w:color="auto"/>
        <w:bottom w:val="none" w:sz="0" w:space="0" w:color="auto"/>
        <w:right w:val="none" w:sz="0" w:space="0" w:color="auto"/>
      </w:divBdr>
    </w:div>
    <w:div w:id="55008414">
      <w:bodyDiv w:val="1"/>
      <w:marLeft w:val="0"/>
      <w:marRight w:val="0"/>
      <w:marTop w:val="0"/>
      <w:marBottom w:val="0"/>
      <w:divBdr>
        <w:top w:val="none" w:sz="0" w:space="0" w:color="auto"/>
        <w:left w:val="none" w:sz="0" w:space="0" w:color="auto"/>
        <w:bottom w:val="none" w:sz="0" w:space="0" w:color="auto"/>
        <w:right w:val="none" w:sz="0" w:space="0" w:color="auto"/>
      </w:divBdr>
    </w:div>
    <w:div w:id="55015969">
      <w:bodyDiv w:val="1"/>
      <w:marLeft w:val="0"/>
      <w:marRight w:val="0"/>
      <w:marTop w:val="0"/>
      <w:marBottom w:val="0"/>
      <w:divBdr>
        <w:top w:val="none" w:sz="0" w:space="0" w:color="auto"/>
        <w:left w:val="none" w:sz="0" w:space="0" w:color="auto"/>
        <w:bottom w:val="none" w:sz="0" w:space="0" w:color="auto"/>
        <w:right w:val="none" w:sz="0" w:space="0" w:color="auto"/>
      </w:divBdr>
    </w:div>
    <w:div w:id="55055495">
      <w:bodyDiv w:val="1"/>
      <w:marLeft w:val="0"/>
      <w:marRight w:val="0"/>
      <w:marTop w:val="0"/>
      <w:marBottom w:val="0"/>
      <w:divBdr>
        <w:top w:val="none" w:sz="0" w:space="0" w:color="auto"/>
        <w:left w:val="none" w:sz="0" w:space="0" w:color="auto"/>
        <w:bottom w:val="none" w:sz="0" w:space="0" w:color="auto"/>
        <w:right w:val="none" w:sz="0" w:space="0" w:color="auto"/>
      </w:divBdr>
    </w:div>
    <w:div w:id="55130488">
      <w:bodyDiv w:val="1"/>
      <w:marLeft w:val="0"/>
      <w:marRight w:val="0"/>
      <w:marTop w:val="0"/>
      <w:marBottom w:val="0"/>
      <w:divBdr>
        <w:top w:val="none" w:sz="0" w:space="0" w:color="auto"/>
        <w:left w:val="none" w:sz="0" w:space="0" w:color="auto"/>
        <w:bottom w:val="none" w:sz="0" w:space="0" w:color="auto"/>
        <w:right w:val="none" w:sz="0" w:space="0" w:color="auto"/>
      </w:divBdr>
    </w:div>
    <w:div w:id="55131213">
      <w:bodyDiv w:val="1"/>
      <w:marLeft w:val="0"/>
      <w:marRight w:val="0"/>
      <w:marTop w:val="0"/>
      <w:marBottom w:val="0"/>
      <w:divBdr>
        <w:top w:val="none" w:sz="0" w:space="0" w:color="auto"/>
        <w:left w:val="none" w:sz="0" w:space="0" w:color="auto"/>
        <w:bottom w:val="none" w:sz="0" w:space="0" w:color="auto"/>
        <w:right w:val="none" w:sz="0" w:space="0" w:color="auto"/>
      </w:divBdr>
    </w:div>
    <w:div w:id="55133831">
      <w:bodyDiv w:val="1"/>
      <w:marLeft w:val="0"/>
      <w:marRight w:val="0"/>
      <w:marTop w:val="0"/>
      <w:marBottom w:val="0"/>
      <w:divBdr>
        <w:top w:val="none" w:sz="0" w:space="0" w:color="auto"/>
        <w:left w:val="none" w:sz="0" w:space="0" w:color="auto"/>
        <w:bottom w:val="none" w:sz="0" w:space="0" w:color="auto"/>
        <w:right w:val="none" w:sz="0" w:space="0" w:color="auto"/>
      </w:divBdr>
    </w:div>
    <w:div w:id="55277996">
      <w:bodyDiv w:val="1"/>
      <w:marLeft w:val="0"/>
      <w:marRight w:val="0"/>
      <w:marTop w:val="0"/>
      <w:marBottom w:val="0"/>
      <w:divBdr>
        <w:top w:val="none" w:sz="0" w:space="0" w:color="auto"/>
        <w:left w:val="none" w:sz="0" w:space="0" w:color="auto"/>
        <w:bottom w:val="none" w:sz="0" w:space="0" w:color="auto"/>
        <w:right w:val="none" w:sz="0" w:space="0" w:color="auto"/>
      </w:divBdr>
    </w:div>
    <w:div w:id="55322044">
      <w:bodyDiv w:val="1"/>
      <w:marLeft w:val="0"/>
      <w:marRight w:val="0"/>
      <w:marTop w:val="0"/>
      <w:marBottom w:val="0"/>
      <w:divBdr>
        <w:top w:val="none" w:sz="0" w:space="0" w:color="auto"/>
        <w:left w:val="none" w:sz="0" w:space="0" w:color="auto"/>
        <w:bottom w:val="none" w:sz="0" w:space="0" w:color="auto"/>
        <w:right w:val="none" w:sz="0" w:space="0" w:color="auto"/>
      </w:divBdr>
    </w:div>
    <w:div w:id="55470678">
      <w:bodyDiv w:val="1"/>
      <w:marLeft w:val="0"/>
      <w:marRight w:val="0"/>
      <w:marTop w:val="0"/>
      <w:marBottom w:val="0"/>
      <w:divBdr>
        <w:top w:val="none" w:sz="0" w:space="0" w:color="auto"/>
        <w:left w:val="none" w:sz="0" w:space="0" w:color="auto"/>
        <w:bottom w:val="none" w:sz="0" w:space="0" w:color="auto"/>
        <w:right w:val="none" w:sz="0" w:space="0" w:color="auto"/>
      </w:divBdr>
    </w:div>
    <w:div w:id="55473483">
      <w:bodyDiv w:val="1"/>
      <w:marLeft w:val="0"/>
      <w:marRight w:val="0"/>
      <w:marTop w:val="0"/>
      <w:marBottom w:val="0"/>
      <w:divBdr>
        <w:top w:val="none" w:sz="0" w:space="0" w:color="auto"/>
        <w:left w:val="none" w:sz="0" w:space="0" w:color="auto"/>
        <w:bottom w:val="none" w:sz="0" w:space="0" w:color="auto"/>
        <w:right w:val="none" w:sz="0" w:space="0" w:color="auto"/>
      </w:divBdr>
    </w:div>
    <w:div w:id="55514618">
      <w:bodyDiv w:val="1"/>
      <w:marLeft w:val="0"/>
      <w:marRight w:val="0"/>
      <w:marTop w:val="0"/>
      <w:marBottom w:val="0"/>
      <w:divBdr>
        <w:top w:val="none" w:sz="0" w:space="0" w:color="auto"/>
        <w:left w:val="none" w:sz="0" w:space="0" w:color="auto"/>
        <w:bottom w:val="none" w:sz="0" w:space="0" w:color="auto"/>
        <w:right w:val="none" w:sz="0" w:space="0" w:color="auto"/>
      </w:divBdr>
    </w:div>
    <w:div w:id="55514661">
      <w:bodyDiv w:val="1"/>
      <w:marLeft w:val="0"/>
      <w:marRight w:val="0"/>
      <w:marTop w:val="0"/>
      <w:marBottom w:val="0"/>
      <w:divBdr>
        <w:top w:val="none" w:sz="0" w:space="0" w:color="auto"/>
        <w:left w:val="none" w:sz="0" w:space="0" w:color="auto"/>
        <w:bottom w:val="none" w:sz="0" w:space="0" w:color="auto"/>
        <w:right w:val="none" w:sz="0" w:space="0" w:color="auto"/>
      </w:divBdr>
    </w:div>
    <w:div w:id="55515926">
      <w:bodyDiv w:val="1"/>
      <w:marLeft w:val="0"/>
      <w:marRight w:val="0"/>
      <w:marTop w:val="0"/>
      <w:marBottom w:val="0"/>
      <w:divBdr>
        <w:top w:val="none" w:sz="0" w:space="0" w:color="auto"/>
        <w:left w:val="none" w:sz="0" w:space="0" w:color="auto"/>
        <w:bottom w:val="none" w:sz="0" w:space="0" w:color="auto"/>
        <w:right w:val="none" w:sz="0" w:space="0" w:color="auto"/>
      </w:divBdr>
    </w:div>
    <w:div w:id="55596574">
      <w:bodyDiv w:val="1"/>
      <w:marLeft w:val="0"/>
      <w:marRight w:val="0"/>
      <w:marTop w:val="0"/>
      <w:marBottom w:val="0"/>
      <w:divBdr>
        <w:top w:val="none" w:sz="0" w:space="0" w:color="auto"/>
        <w:left w:val="none" w:sz="0" w:space="0" w:color="auto"/>
        <w:bottom w:val="none" w:sz="0" w:space="0" w:color="auto"/>
        <w:right w:val="none" w:sz="0" w:space="0" w:color="auto"/>
      </w:divBdr>
    </w:div>
    <w:div w:id="55860642">
      <w:bodyDiv w:val="1"/>
      <w:marLeft w:val="0"/>
      <w:marRight w:val="0"/>
      <w:marTop w:val="0"/>
      <w:marBottom w:val="0"/>
      <w:divBdr>
        <w:top w:val="none" w:sz="0" w:space="0" w:color="auto"/>
        <w:left w:val="none" w:sz="0" w:space="0" w:color="auto"/>
        <w:bottom w:val="none" w:sz="0" w:space="0" w:color="auto"/>
        <w:right w:val="none" w:sz="0" w:space="0" w:color="auto"/>
      </w:divBdr>
    </w:div>
    <w:div w:id="55863663">
      <w:bodyDiv w:val="1"/>
      <w:marLeft w:val="0"/>
      <w:marRight w:val="0"/>
      <w:marTop w:val="0"/>
      <w:marBottom w:val="0"/>
      <w:divBdr>
        <w:top w:val="none" w:sz="0" w:space="0" w:color="auto"/>
        <w:left w:val="none" w:sz="0" w:space="0" w:color="auto"/>
        <w:bottom w:val="none" w:sz="0" w:space="0" w:color="auto"/>
        <w:right w:val="none" w:sz="0" w:space="0" w:color="auto"/>
      </w:divBdr>
    </w:div>
    <w:div w:id="55980129">
      <w:bodyDiv w:val="1"/>
      <w:marLeft w:val="0"/>
      <w:marRight w:val="0"/>
      <w:marTop w:val="0"/>
      <w:marBottom w:val="0"/>
      <w:divBdr>
        <w:top w:val="none" w:sz="0" w:space="0" w:color="auto"/>
        <w:left w:val="none" w:sz="0" w:space="0" w:color="auto"/>
        <w:bottom w:val="none" w:sz="0" w:space="0" w:color="auto"/>
        <w:right w:val="none" w:sz="0" w:space="0" w:color="auto"/>
      </w:divBdr>
    </w:div>
    <w:div w:id="56054279">
      <w:bodyDiv w:val="1"/>
      <w:marLeft w:val="0"/>
      <w:marRight w:val="0"/>
      <w:marTop w:val="0"/>
      <w:marBottom w:val="0"/>
      <w:divBdr>
        <w:top w:val="none" w:sz="0" w:space="0" w:color="auto"/>
        <w:left w:val="none" w:sz="0" w:space="0" w:color="auto"/>
        <w:bottom w:val="none" w:sz="0" w:space="0" w:color="auto"/>
        <w:right w:val="none" w:sz="0" w:space="0" w:color="auto"/>
      </w:divBdr>
    </w:div>
    <w:div w:id="56054768">
      <w:bodyDiv w:val="1"/>
      <w:marLeft w:val="0"/>
      <w:marRight w:val="0"/>
      <w:marTop w:val="0"/>
      <w:marBottom w:val="0"/>
      <w:divBdr>
        <w:top w:val="none" w:sz="0" w:space="0" w:color="auto"/>
        <w:left w:val="none" w:sz="0" w:space="0" w:color="auto"/>
        <w:bottom w:val="none" w:sz="0" w:space="0" w:color="auto"/>
        <w:right w:val="none" w:sz="0" w:space="0" w:color="auto"/>
      </w:divBdr>
    </w:div>
    <w:div w:id="56055358">
      <w:bodyDiv w:val="1"/>
      <w:marLeft w:val="0"/>
      <w:marRight w:val="0"/>
      <w:marTop w:val="0"/>
      <w:marBottom w:val="0"/>
      <w:divBdr>
        <w:top w:val="none" w:sz="0" w:space="0" w:color="auto"/>
        <w:left w:val="none" w:sz="0" w:space="0" w:color="auto"/>
        <w:bottom w:val="none" w:sz="0" w:space="0" w:color="auto"/>
        <w:right w:val="none" w:sz="0" w:space="0" w:color="auto"/>
      </w:divBdr>
    </w:div>
    <w:div w:id="56055380">
      <w:bodyDiv w:val="1"/>
      <w:marLeft w:val="0"/>
      <w:marRight w:val="0"/>
      <w:marTop w:val="0"/>
      <w:marBottom w:val="0"/>
      <w:divBdr>
        <w:top w:val="none" w:sz="0" w:space="0" w:color="auto"/>
        <w:left w:val="none" w:sz="0" w:space="0" w:color="auto"/>
        <w:bottom w:val="none" w:sz="0" w:space="0" w:color="auto"/>
        <w:right w:val="none" w:sz="0" w:space="0" w:color="auto"/>
      </w:divBdr>
    </w:div>
    <w:div w:id="56098846">
      <w:bodyDiv w:val="1"/>
      <w:marLeft w:val="0"/>
      <w:marRight w:val="0"/>
      <w:marTop w:val="0"/>
      <w:marBottom w:val="0"/>
      <w:divBdr>
        <w:top w:val="none" w:sz="0" w:space="0" w:color="auto"/>
        <w:left w:val="none" w:sz="0" w:space="0" w:color="auto"/>
        <w:bottom w:val="none" w:sz="0" w:space="0" w:color="auto"/>
        <w:right w:val="none" w:sz="0" w:space="0" w:color="auto"/>
      </w:divBdr>
    </w:div>
    <w:div w:id="56124697">
      <w:bodyDiv w:val="1"/>
      <w:marLeft w:val="0"/>
      <w:marRight w:val="0"/>
      <w:marTop w:val="0"/>
      <w:marBottom w:val="0"/>
      <w:divBdr>
        <w:top w:val="none" w:sz="0" w:space="0" w:color="auto"/>
        <w:left w:val="none" w:sz="0" w:space="0" w:color="auto"/>
        <w:bottom w:val="none" w:sz="0" w:space="0" w:color="auto"/>
        <w:right w:val="none" w:sz="0" w:space="0" w:color="auto"/>
      </w:divBdr>
    </w:div>
    <w:div w:id="56128188">
      <w:bodyDiv w:val="1"/>
      <w:marLeft w:val="0"/>
      <w:marRight w:val="0"/>
      <w:marTop w:val="0"/>
      <w:marBottom w:val="0"/>
      <w:divBdr>
        <w:top w:val="none" w:sz="0" w:space="0" w:color="auto"/>
        <w:left w:val="none" w:sz="0" w:space="0" w:color="auto"/>
        <w:bottom w:val="none" w:sz="0" w:space="0" w:color="auto"/>
        <w:right w:val="none" w:sz="0" w:space="0" w:color="auto"/>
      </w:divBdr>
    </w:div>
    <w:div w:id="56171827">
      <w:bodyDiv w:val="1"/>
      <w:marLeft w:val="0"/>
      <w:marRight w:val="0"/>
      <w:marTop w:val="0"/>
      <w:marBottom w:val="0"/>
      <w:divBdr>
        <w:top w:val="none" w:sz="0" w:space="0" w:color="auto"/>
        <w:left w:val="none" w:sz="0" w:space="0" w:color="auto"/>
        <w:bottom w:val="none" w:sz="0" w:space="0" w:color="auto"/>
        <w:right w:val="none" w:sz="0" w:space="0" w:color="auto"/>
      </w:divBdr>
    </w:div>
    <w:div w:id="56322019">
      <w:bodyDiv w:val="1"/>
      <w:marLeft w:val="0"/>
      <w:marRight w:val="0"/>
      <w:marTop w:val="0"/>
      <w:marBottom w:val="0"/>
      <w:divBdr>
        <w:top w:val="none" w:sz="0" w:space="0" w:color="auto"/>
        <w:left w:val="none" w:sz="0" w:space="0" w:color="auto"/>
        <w:bottom w:val="none" w:sz="0" w:space="0" w:color="auto"/>
        <w:right w:val="none" w:sz="0" w:space="0" w:color="auto"/>
      </w:divBdr>
    </w:div>
    <w:div w:id="56439665">
      <w:bodyDiv w:val="1"/>
      <w:marLeft w:val="0"/>
      <w:marRight w:val="0"/>
      <w:marTop w:val="0"/>
      <w:marBottom w:val="0"/>
      <w:divBdr>
        <w:top w:val="none" w:sz="0" w:space="0" w:color="auto"/>
        <w:left w:val="none" w:sz="0" w:space="0" w:color="auto"/>
        <w:bottom w:val="none" w:sz="0" w:space="0" w:color="auto"/>
        <w:right w:val="none" w:sz="0" w:space="0" w:color="auto"/>
      </w:divBdr>
    </w:div>
    <w:div w:id="56510835">
      <w:bodyDiv w:val="1"/>
      <w:marLeft w:val="0"/>
      <w:marRight w:val="0"/>
      <w:marTop w:val="0"/>
      <w:marBottom w:val="0"/>
      <w:divBdr>
        <w:top w:val="none" w:sz="0" w:space="0" w:color="auto"/>
        <w:left w:val="none" w:sz="0" w:space="0" w:color="auto"/>
        <w:bottom w:val="none" w:sz="0" w:space="0" w:color="auto"/>
        <w:right w:val="none" w:sz="0" w:space="0" w:color="auto"/>
      </w:divBdr>
    </w:div>
    <w:div w:id="56629763">
      <w:bodyDiv w:val="1"/>
      <w:marLeft w:val="0"/>
      <w:marRight w:val="0"/>
      <w:marTop w:val="0"/>
      <w:marBottom w:val="0"/>
      <w:divBdr>
        <w:top w:val="none" w:sz="0" w:space="0" w:color="auto"/>
        <w:left w:val="none" w:sz="0" w:space="0" w:color="auto"/>
        <w:bottom w:val="none" w:sz="0" w:space="0" w:color="auto"/>
        <w:right w:val="none" w:sz="0" w:space="0" w:color="auto"/>
      </w:divBdr>
    </w:div>
    <w:div w:id="56635222">
      <w:bodyDiv w:val="1"/>
      <w:marLeft w:val="0"/>
      <w:marRight w:val="0"/>
      <w:marTop w:val="0"/>
      <w:marBottom w:val="0"/>
      <w:divBdr>
        <w:top w:val="none" w:sz="0" w:space="0" w:color="auto"/>
        <w:left w:val="none" w:sz="0" w:space="0" w:color="auto"/>
        <w:bottom w:val="none" w:sz="0" w:space="0" w:color="auto"/>
        <w:right w:val="none" w:sz="0" w:space="0" w:color="auto"/>
      </w:divBdr>
    </w:div>
    <w:div w:id="56710516">
      <w:bodyDiv w:val="1"/>
      <w:marLeft w:val="0"/>
      <w:marRight w:val="0"/>
      <w:marTop w:val="0"/>
      <w:marBottom w:val="0"/>
      <w:divBdr>
        <w:top w:val="none" w:sz="0" w:space="0" w:color="auto"/>
        <w:left w:val="none" w:sz="0" w:space="0" w:color="auto"/>
        <w:bottom w:val="none" w:sz="0" w:space="0" w:color="auto"/>
        <w:right w:val="none" w:sz="0" w:space="0" w:color="auto"/>
      </w:divBdr>
    </w:div>
    <w:div w:id="56785622">
      <w:bodyDiv w:val="1"/>
      <w:marLeft w:val="0"/>
      <w:marRight w:val="0"/>
      <w:marTop w:val="0"/>
      <w:marBottom w:val="0"/>
      <w:divBdr>
        <w:top w:val="none" w:sz="0" w:space="0" w:color="auto"/>
        <w:left w:val="none" w:sz="0" w:space="0" w:color="auto"/>
        <w:bottom w:val="none" w:sz="0" w:space="0" w:color="auto"/>
        <w:right w:val="none" w:sz="0" w:space="0" w:color="auto"/>
      </w:divBdr>
    </w:div>
    <w:div w:id="56902874">
      <w:bodyDiv w:val="1"/>
      <w:marLeft w:val="0"/>
      <w:marRight w:val="0"/>
      <w:marTop w:val="0"/>
      <w:marBottom w:val="0"/>
      <w:divBdr>
        <w:top w:val="none" w:sz="0" w:space="0" w:color="auto"/>
        <w:left w:val="none" w:sz="0" w:space="0" w:color="auto"/>
        <w:bottom w:val="none" w:sz="0" w:space="0" w:color="auto"/>
        <w:right w:val="none" w:sz="0" w:space="0" w:color="auto"/>
      </w:divBdr>
    </w:div>
    <w:div w:id="56979336">
      <w:bodyDiv w:val="1"/>
      <w:marLeft w:val="0"/>
      <w:marRight w:val="0"/>
      <w:marTop w:val="0"/>
      <w:marBottom w:val="0"/>
      <w:divBdr>
        <w:top w:val="none" w:sz="0" w:space="0" w:color="auto"/>
        <w:left w:val="none" w:sz="0" w:space="0" w:color="auto"/>
        <w:bottom w:val="none" w:sz="0" w:space="0" w:color="auto"/>
        <w:right w:val="none" w:sz="0" w:space="0" w:color="auto"/>
      </w:divBdr>
    </w:div>
    <w:div w:id="57048838">
      <w:bodyDiv w:val="1"/>
      <w:marLeft w:val="0"/>
      <w:marRight w:val="0"/>
      <w:marTop w:val="0"/>
      <w:marBottom w:val="0"/>
      <w:divBdr>
        <w:top w:val="none" w:sz="0" w:space="0" w:color="auto"/>
        <w:left w:val="none" w:sz="0" w:space="0" w:color="auto"/>
        <w:bottom w:val="none" w:sz="0" w:space="0" w:color="auto"/>
        <w:right w:val="none" w:sz="0" w:space="0" w:color="auto"/>
      </w:divBdr>
    </w:div>
    <w:div w:id="57171510">
      <w:bodyDiv w:val="1"/>
      <w:marLeft w:val="0"/>
      <w:marRight w:val="0"/>
      <w:marTop w:val="0"/>
      <w:marBottom w:val="0"/>
      <w:divBdr>
        <w:top w:val="none" w:sz="0" w:space="0" w:color="auto"/>
        <w:left w:val="none" w:sz="0" w:space="0" w:color="auto"/>
        <w:bottom w:val="none" w:sz="0" w:space="0" w:color="auto"/>
        <w:right w:val="none" w:sz="0" w:space="0" w:color="auto"/>
      </w:divBdr>
    </w:div>
    <w:div w:id="57173159">
      <w:bodyDiv w:val="1"/>
      <w:marLeft w:val="0"/>
      <w:marRight w:val="0"/>
      <w:marTop w:val="0"/>
      <w:marBottom w:val="0"/>
      <w:divBdr>
        <w:top w:val="none" w:sz="0" w:space="0" w:color="auto"/>
        <w:left w:val="none" w:sz="0" w:space="0" w:color="auto"/>
        <w:bottom w:val="none" w:sz="0" w:space="0" w:color="auto"/>
        <w:right w:val="none" w:sz="0" w:space="0" w:color="auto"/>
      </w:divBdr>
    </w:div>
    <w:div w:id="57244039">
      <w:bodyDiv w:val="1"/>
      <w:marLeft w:val="0"/>
      <w:marRight w:val="0"/>
      <w:marTop w:val="0"/>
      <w:marBottom w:val="0"/>
      <w:divBdr>
        <w:top w:val="none" w:sz="0" w:space="0" w:color="auto"/>
        <w:left w:val="none" w:sz="0" w:space="0" w:color="auto"/>
        <w:bottom w:val="none" w:sz="0" w:space="0" w:color="auto"/>
        <w:right w:val="none" w:sz="0" w:space="0" w:color="auto"/>
      </w:divBdr>
    </w:div>
    <w:div w:id="57289981">
      <w:bodyDiv w:val="1"/>
      <w:marLeft w:val="0"/>
      <w:marRight w:val="0"/>
      <w:marTop w:val="0"/>
      <w:marBottom w:val="0"/>
      <w:divBdr>
        <w:top w:val="none" w:sz="0" w:space="0" w:color="auto"/>
        <w:left w:val="none" w:sz="0" w:space="0" w:color="auto"/>
        <w:bottom w:val="none" w:sz="0" w:space="0" w:color="auto"/>
        <w:right w:val="none" w:sz="0" w:space="0" w:color="auto"/>
      </w:divBdr>
    </w:div>
    <w:div w:id="57361718">
      <w:bodyDiv w:val="1"/>
      <w:marLeft w:val="0"/>
      <w:marRight w:val="0"/>
      <w:marTop w:val="0"/>
      <w:marBottom w:val="0"/>
      <w:divBdr>
        <w:top w:val="none" w:sz="0" w:space="0" w:color="auto"/>
        <w:left w:val="none" w:sz="0" w:space="0" w:color="auto"/>
        <w:bottom w:val="none" w:sz="0" w:space="0" w:color="auto"/>
        <w:right w:val="none" w:sz="0" w:space="0" w:color="auto"/>
      </w:divBdr>
    </w:div>
    <w:div w:id="57361913">
      <w:bodyDiv w:val="1"/>
      <w:marLeft w:val="0"/>
      <w:marRight w:val="0"/>
      <w:marTop w:val="0"/>
      <w:marBottom w:val="0"/>
      <w:divBdr>
        <w:top w:val="none" w:sz="0" w:space="0" w:color="auto"/>
        <w:left w:val="none" w:sz="0" w:space="0" w:color="auto"/>
        <w:bottom w:val="none" w:sz="0" w:space="0" w:color="auto"/>
        <w:right w:val="none" w:sz="0" w:space="0" w:color="auto"/>
      </w:divBdr>
    </w:div>
    <w:div w:id="57363448">
      <w:bodyDiv w:val="1"/>
      <w:marLeft w:val="0"/>
      <w:marRight w:val="0"/>
      <w:marTop w:val="0"/>
      <w:marBottom w:val="0"/>
      <w:divBdr>
        <w:top w:val="none" w:sz="0" w:space="0" w:color="auto"/>
        <w:left w:val="none" w:sz="0" w:space="0" w:color="auto"/>
        <w:bottom w:val="none" w:sz="0" w:space="0" w:color="auto"/>
        <w:right w:val="none" w:sz="0" w:space="0" w:color="auto"/>
      </w:divBdr>
    </w:div>
    <w:div w:id="57367878">
      <w:bodyDiv w:val="1"/>
      <w:marLeft w:val="0"/>
      <w:marRight w:val="0"/>
      <w:marTop w:val="0"/>
      <w:marBottom w:val="0"/>
      <w:divBdr>
        <w:top w:val="none" w:sz="0" w:space="0" w:color="auto"/>
        <w:left w:val="none" w:sz="0" w:space="0" w:color="auto"/>
        <w:bottom w:val="none" w:sz="0" w:space="0" w:color="auto"/>
        <w:right w:val="none" w:sz="0" w:space="0" w:color="auto"/>
      </w:divBdr>
    </w:div>
    <w:div w:id="57479302">
      <w:bodyDiv w:val="1"/>
      <w:marLeft w:val="0"/>
      <w:marRight w:val="0"/>
      <w:marTop w:val="0"/>
      <w:marBottom w:val="0"/>
      <w:divBdr>
        <w:top w:val="none" w:sz="0" w:space="0" w:color="auto"/>
        <w:left w:val="none" w:sz="0" w:space="0" w:color="auto"/>
        <w:bottom w:val="none" w:sz="0" w:space="0" w:color="auto"/>
        <w:right w:val="none" w:sz="0" w:space="0" w:color="auto"/>
      </w:divBdr>
    </w:div>
    <w:div w:id="57556474">
      <w:bodyDiv w:val="1"/>
      <w:marLeft w:val="0"/>
      <w:marRight w:val="0"/>
      <w:marTop w:val="0"/>
      <w:marBottom w:val="0"/>
      <w:divBdr>
        <w:top w:val="none" w:sz="0" w:space="0" w:color="auto"/>
        <w:left w:val="none" w:sz="0" w:space="0" w:color="auto"/>
        <w:bottom w:val="none" w:sz="0" w:space="0" w:color="auto"/>
        <w:right w:val="none" w:sz="0" w:space="0" w:color="auto"/>
      </w:divBdr>
    </w:div>
    <w:div w:id="57557967">
      <w:bodyDiv w:val="1"/>
      <w:marLeft w:val="0"/>
      <w:marRight w:val="0"/>
      <w:marTop w:val="0"/>
      <w:marBottom w:val="0"/>
      <w:divBdr>
        <w:top w:val="none" w:sz="0" w:space="0" w:color="auto"/>
        <w:left w:val="none" w:sz="0" w:space="0" w:color="auto"/>
        <w:bottom w:val="none" w:sz="0" w:space="0" w:color="auto"/>
        <w:right w:val="none" w:sz="0" w:space="0" w:color="auto"/>
      </w:divBdr>
    </w:div>
    <w:div w:id="57560214">
      <w:bodyDiv w:val="1"/>
      <w:marLeft w:val="0"/>
      <w:marRight w:val="0"/>
      <w:marTop w:val="0"/>
      <w:marBottom w:val="0"/>
      <w:divBdr>
        <w:top w:val="none" w:sz="0" w:space="0" w:color="auto"/>
        <w:left w:val="none" w:sz="0" w:space="0" w:color="auto"/>
        <w:bottom w:val="none" w:sz="0" w:space="0" w:color="auto"/>
        <w:right w:val="none" w:sz="0" w:space="0" w:color="auto"/>
      </w:divBdr>
    </w:div>
    <w:div w:id="57677812">
      <w:bodyDiv w:val="1"/>
      <w:marLeft w:val="0"/>
      <w:marRight w:val="0"/>
      <w:marTop w:val="0"/>
      <w:marBottom w:val="0"/>
      <w:divBdr>
        <w:top w:val="none" w:sz="0" w:space="0" w:color="auto"/>
        <w:left w:val="none" w:sz="0" w:space="0" w:color="auto"/>
        <w:bottom w:val="none" w:sz="0" w:space="0" w:color="auto"/>
        <w:right w:val="none" w:sz="0" w:space="0" w:color="auto"/>
      </w:divBdr>
    </w:div>
    <w:div w:id="57703587">
      <w:bodyDiv w:val="1"/>
      <w:marLeft w:val="0"/>
      <w:marRight w:val="0"/>
      <w:marTop w:val="0"/>
      <w:marBottom w:val="0"/>
      <w:divBdr>
        <w:top w:val="none" w:sz="0" w:space="0" w:color="auto"/>
        <w:left w:val="none" w:sz="0" w:space="0" w:color="auto"/>
        <w:bottom w:val="none" w:sz="0" w:space="0" w:color="auto"/>
        <w:right w:val="none" w:sz="0" w:space="0" w:color="auto"/>
      </w:divBdr>
    </w:div>
    <w:div w:id="57823946">
      <w:bodyDiv w:val="1"/>
      <w:marLeft w:val="0"/>
      <w:marRight w:val="0"/>
      <w:marTop w:val="0"/>
      <w:marBottom w:val="0"/>
      <w:divBdr>
        <w:top w:val="none" w:sz="0" w:space="0" w:color="auto"/>
        <w:left w:val="none" w:sz="0" w:space="0" w:color="auto"/>
        <w:bottom w:val="none" w:sz="0" w:space="0" w:color="auto"/>
        <w:right w:val="none" w:sz="0" w:space="0" w:color="auto"/>
      </w:divBdr>
    </w:div>
    <w:div w:id="57824533">
      <w:bodyDiv w:val="1"/>
      <w:marLeft w:val="0"/>
      <w:marRight w:val="0"/>
      <w:marTop w:val="0"/>
      <w:marBottom w:val="0"/>
      <w:divBdr>
        <w:top w:val="none" w:sz="0" w:space="0" w:color="auto"/>
        <w:left w:val="none" w:sz="0" w:space="0" w:color="auto"/>
        <w:bottom w:val="none" w:sz="0" w:space="0" w:color="auto"/>
        <w:right w:val="none" w:sz="0" w:space="0" w:color="auto"/>
      </w:divBdr>
    </w:div>
    <w:div w:id="58133589">
      <w:bodyDiv w:val="1"/>
      <w:marLeft w:val="0"/>
      <w:marRight w:val="0"/>
      <w:marTop w:val="0"/>
      <w:marBottom w:val="0"/>
      <w:divBdr>
        <w:top w:val="none" w:sz="0" w:space="0" w:color="auto"/>
        <w:left w:val="none" w:sz="0" w:space="0" w:color="auto"/>
        <w:bottom w:val="none" w:sz="0" w:space="0" w:color="auto"/>
        <w:right w:val="none" w:sz="0" w:space="0" w:color="auto"/>
      </w:divBdr>
    </w:div>
    <w:div w:id="58134431">
      <w:bodyDiv w:val="1"/>
      <w:marLeft w:val="0"/>
      <w:marRight w:val="0"/>
      <w:marTop w:val="0"/>
      <w:marBottom w:val="0"/>
      <w:divBdr>
        <w:top w:val="none" w:sz="0" w:space="0" w:color="auto"/>
        <w:left w:val="none" w:sz="0" w:space="0" w:color="auto"/>
        <w:bottom w:val="none" w:sz="0" w:space="0" w:color="auto"/>
        <w:right w:val="none" w:sz="0" w:space="0" w:color="auto"/>
      </w:divBdr>
    </w:div>
    <w:div w:id="58136218">
      <w:bodyDiv w:val="1"/>
      <w:marLeft w:val="0"/>
      <w:marRight w:val="0"/>
      <w:marTop w:val="0"/>
      <w:marBottom w:val="0"/>
      <w:divBdr>
        <w:top w:val="none" w:sz="0" w:space="0" w:color="auto"/>
        <w:left w:val="none" w:sz="0" w:space="0" w:color="auto"/>
        <w:bottom w:val="none" w:sz="0" w:space="0" w:color="auto"/>
        <w:right w:val="none" w:sz="0" w:space="0" w:color="auto"/>
      </w:divBdr>
    </w:div>
    <w:div w:id="58138301">
      <w:bodyDiv w:val="1"/>
      <w:marLeft w:val="0"/>
      <w:marRight w:val="0"/>
      <w:marTop w:val="0"/>
      <w:marBottom w:val="0"/>
      <w:divBdr>
        <w:top w:val="none" w:sz="0" w:space="0" w:color="auto"/>
        <w:left w:val="none" w:sz="0" w:space="0" w:color="auto"/>
        <w:bottom w:val="none" w:sz="0" w:space="0" w:color="auto"/>
        <w:right w:val="none" w:sz="0" w:space="0" w:color="auto"/>
      </w:divBdr>
    </w:div>
    <w:div w:id="58409514">
      <w:bodyDiv w:val="1"/>
      <w:marLeft w:val="0"/>
      <w:marRight w:val="0"/>
      <w:marTop w:val="0"/>
      <w:marBottom w:val="0"/>
      <w:divBdr>
        <w:top w:val="none" w:sz="0" w:space="0" w:color="auto"/>
        <w:left w:val="none" w:sz="0" w:space="0" w:color="auto"/>
        <w:bottom w:val="none" w:sz="0" w:space="0" w:color="auto"/>
        <w:right w:val="none" w:sz="0" w:space="0" w:color="auto"/>
      </w:divBdr>
    </w:div>
    <w:div w:id="58410069">
      <w:bodyDiv w:val="1"/>
      <w:marLeft w:val="0"/>
      <w:marRight w:val="0"/>
      <w:marTop w:val="0"/>
      <w:marBottom w:val="0"/>
      <w:divBdr>
        <w:top w:val="none" w:sz="0" w:space="0" w:color="auto"/>
        <w:left w:val="none" w:sz="0" w:space="0" w:color="auto"/>
        <w:bottom w:val="none" w:sz="0" w:space="0" w:color="auto"/>
        <w:right w:val="none" w:sz="0" w:space="0" w:color="auto"/>
      </w:divBdr>
    </w:div>
    <w:div w:id="58482084">
      <w:bodyDiv w:val="1"/>
      <w:marLeft w:val="0"/>
      <w:marRight w:val="0"/>
      <w:marTop w:val="0"/>
      <w:marBottom w:val="0"/>
      <w:divBdr>
        <w:top w:val="none" w:sz="0" w:space="0" w:color="auto"/>
        <w:left w:val="none" w:sz="0" w:space="0" w:color="auto"/>
        <w:bottom w:val="none" w:sz="0" w:space="0" w:color="auto"/>
        <w:right w:val="none" w:sz="0" w:space="0" w:color="auto"/>
      </w:divBdr>
    </w:div>
    <w:div w:id="58553012">
      <w:bodyDiv w:val="1"/>
      <w:marLeft w:val="0"/>
      <w:marRight w:val="0"/>
      <w:marTop w:val="0"/>
      <w:marBottom w:val="0"/>
      <w:divBdr>
        <w:top w:val="none" w:sz="0" w:space="0" w:color="auto"/>
        <w:left w:val="none" w:sz="0" w:space="0" w:color="auto"/>
        <w:bottom w:val="none" w:sz="0" w:space="0" w:color="auto"/>
        <w:right w:val="none" w:sz="0" w:space="0" w:color="auto"/>
      </w:divBdr>
    </w:div>
    <w:div w:id="58671712">
      <w:bodyDiv w:val="1"/>
      <w:marLeft w:val="0"/>
      <w:marRight w:val="0"/>
      <w:marTop w:val="0"/>
      <w:marBottom w:val="0"/>
      <w:divBdr>
        <w:top w:val="none" w:sz="0" w:space="0" w:color="auto"/>
        <w:left w:val="none" w:sz="0" w:space="0" w:color="auto"/>
        <w:bottom w:val="none" w:sz="0" w:space="0" w:color="auto"/>
        <w:right w:val="none" w:sz="0" w:space="0" w:color="auto"/>
      </w:divBdr>
    </w:div>
    <w:div w:id="59061353">
      <w:bodyDiv w:val="1"/>
      <w:marLeft w:val="0"/>
      <w:marRight w:val="0"/>
      <w:marTop w:val="0"/>
      <w:marBottom w:val="0"/>
      <w:divBdr>
        <w:top w:val="none" w:sz="0" w:space="0" w:color="auto"/>
        <w:left w:val="none" w:sz="0" w:space="0" w:color="auto"/>
        <w:bottom w:val="none" w:sz="0" w:space="0" w:color="auto"/>
        <w:right w:val="none" w:sz="0" w:space="0" w:color="auto"/>
      </w:divBdr>
    </w:div>
    <w:div w:id="59064521">
      <w:bodyDiv w:val="1"/>
      <w:marLeft w:val="0"/>
      <w:marRight w:val="0"/>
      <w:marTop w:val="0"/>
      <w:marBottom w:val="0"/>
      <w:divBdr>
        <w:top w:val="none" w:sz="0" w:space="0" w:color="auto"/>
        <w:left w:val="none" w:sz="0" w:space="0" w:color="auto"/>
        <w:bottom w:val="none" w:sz="0" w:space="0" w:color="auto"/>
        <w:right w:val="none" w:sz="0" w:space="0" w:color="auto"/>
      </w:divBdr>
    </w:div>
    <w:div w:id="59136858">
      <w:bodyDiv w:val="1"/>
      <w:marLeft w:val="0"/>
      <w:marRight w:val="0"/>
      <w:marTop w:val="0"/>
      <w:marBottom w:val="0"/>
      <w:divBdr>
        <w:top w:val="none" w:sz="0" w:space="0" w:color="auto"/>
        <w:left w:val="none" w:sz="0" w:space="0" w:color="auto"/>
        <w:bottom w:val="none" w:sz="0" w:space="0" w:color="auto"/>
        <w:right w:val="none" w:sz="0" w:space="0" w:color="auto"/>
      </w:divBdr>
    </w:div>
    <w:div w:id="59182321">
      <w:bodyDiv w:val="1"/>
      <w:marLeft w:val="0"/>
      <w:marRight w:val="0"/>
      <w:marTop w:val="0"/>
      <w:marBottom w:val="0"/>
      <w:divBdr>
        <w:top w:val="none" w:sz="0" w:space="0" w:color="auto"/>
        <w:left w:val="none" w:sz="0" w:space="0" w:color="auto"/>
        <w:bottom w:val="none" w:sz="0" w:space="0" w:color="auto"/>
        <w:right w:val="none" w:sz="0" w:space="0" w:color="auto"/>
      </w:divBdr>
    </w:div>
    <w:div w:id="59182764">
      <w:bodyDiv w:val="1"/>
      <w:marLeft w:val="0"/>
      <w:marRight w:val="0"/>
      <w:marTop w:val="0"/>
      <w:marBottom w:val="0"/>
      <w:divBdr>
        <w:top w:val="none" w:sz="0" w:space="0" w:color="auto"/>
        <w:left w:val="none" w:sz="0" w:space="0" w:color="auto"/>
        <w:bottom w:val="none" w:sz="0" w:space="0" w:color="auto"/>
        <w:right w:val="none" w:sz="0" w:space="0" w:color="auto"/>
      </w:divBdr>
    </w:div>
    <w:div w:id="59183473">
      <w:bodyDiv w:val="1"/>
      <w:marLeft w:val="0"/>
      <w:marRight w:val="0"/>
      <w:marTop w:val="0"/>
      <w:marBottom w:val="0"/>
      <w:divBdr>
        <w:top w:val="none" w:sz="0" w:space="0" w:color="auto"/>
        <w:left w:val="none" w:sz="0" w:space="0" w:color="auto"/>
        <w:bottom w:val="none" w:sz="0" w:space="0" w:color="auto"/>
        <w:right w:val="none" w:sz="0" w:space="0" w:color="auto"/>
      </w:divBdr>
    </w:div>
    <w:div w:id="59211315">
      <w:bodyDiv w:val="1"/>
      <w:marLeft w:val="0"/>
      <w:marRight w:val="0"/>
      <w:marTop w:val="0"/>
      <w:marBottom w:val="0"/>
      <w:divBdr>
        <w:top w:val="none" w:sz="0" w:space="0" w:color="auto"/>
        <w:left w:val="none" w:sz="0" w:space="0" w:color="auto"/>
        <w:bottom w:val="none" w:sz="0" w:space="0" w:color="auto"/>
        <w:right w:val="none" w:sz="0" w:space="0" w:color="auto"/>
      </w:divBdr>
    </w:div>
    <w:div w:id="59331134">
      <w:bodyDiv w:val="1"/>
      <w:marLeft w:val="0"/>
      <w:marRight w:val="0"/>
      <w:marTop w:val="0"/>
      <w:marBottom w:val="0"/>
      <w:divBdr>
        <w:top w:val="none" w:sz="0" w:space="0" w:color="auto"/>
        <w:left w:val="none" w:sz="0" w:space="0" w:color="auto"/>
        <w:bottom w:val="none" w:sz="0" w:space="0" w:color="auto"/>
        <w:right w:val="none" w:sz="0" w:space="0" w:color="auto"/>
      </w:divBdr>
    </w:div>
    <w:div w:id="59447937">
      <w:bodyDiv w:val="1"/>
      <w:marLeft w:val="0"/>
      <w:marRight w:val="0"/>
      <w:marTop w:val="0"/>
      <w:marBottom w:val="0"/>
      <w:divBdr>
        <w:top w:val="none" w:sz="0" w:space="0" w:color="auto"/>
        <w:left w:val="none" w:sz="0" w:space="0" w:color="auto"/>
        <w:bottom w:val="none" w:sz="0" w:space="0" w:color="auto"/>
        <w:right w:val="none" w:sz="0" w:space="0" w:color="auto"/>
      </w:divBdr>
    </w:div>
    <w:div w:id="59600340">
      <w:bodyDiv w:val="1"/>
      <w:marLeft w:val="0"/>
      <w:marRight w:val="0"/>
      <w:marTop w:val="0"/>
      <w:marBottom w:val="0"/>
      <w:divBdr>
        <w:top w:val="none" w:sz="0" w:space="0" w:color="auto"/>
        <w:left w:val="none" w:sz="0" w:space="0" w:color="auto"/>
        <w:bottom w:val="none" w:sz="0" w:space="0" w:color="auto"/>
        <w:right w:val="none" w:sz="0" w:space="0" w:color="auto"/>
      </w:divBdr>
    </w:div>
    <w:div w:id="59602268">
      <w:bodyDiv w:val="1"/>
      <w:marLeft w:val="0"/>
      <w:marRight w:val="0"/>
      <w:marTop w:val="0"/>
      <w:marBottom w:val="0"/>
      <w:divBdr>
        <w:top w:val="none" w:sz="0" w:space="0" w:color="auto"/>
        <w:left w:val="none" w:sz="0" w:space="0" w:color="auto"/>
        <w:bottom w:val="none" w:sz="0" w:space="0" w:color="auto"/>
        <w:right w:val="none" w:sz="0" w:space="0" w:color="auto"/>
      </w:divBdr>
    </w:div>
    <w:div w:id="59602912">
      <w:bodyDiv w:val="1"/>
      <w:marLeft w:val="0"/>
      <w:marRight w:val="0"/>
      <w:marTop w:val="0"/>
      <w:marBottom w:val="0"/>
      <w:divBdr>
        <w:top w:val="none" w:sz="0" w:space="0" w:color="auto"/>
        <w:left w:val="none" w:sz="0" w:space="0" w:color="auto"/>
        <w:bottom w:val="none" w:sz="0" w:space="0" w:color="auto"/>
        <w:right w:val="none" w:sz="0" w:space="0" w:color="auto"/>
      </w:divBdr>
    </w:div>
    <w:div w:id="59639119">
      <w:bodyDiv w:val="1"/>
      <w:marLeft w:val="0"/>
      <w:marRight w:val="0"/>
      <w:marTop w:val="0"/>
      <w:marBottom w:val="0"/>
      <w:divBdr>
        <w:top w:val="none" w:sz="0" w:space="0" w:color="auto"/>
        <w:left w:val="none" w:sz="0" w:space="0" w:color="auto"/>
        <w:bottom w:val="none" w:sz="0" w:space="0" w:color="auto"/>
        <w:right w:val="none" w:sz="0" w:space="0" w:color="auto"/>
      </w:divBdr>
    </w:div>
    <w:div w:id="59712399">
      <w:bodyDiv w:val="1"/>
      <w:marLeft w:val="0"/>
      <w:marRight w:val="0"/>
      <w:marTop w:val="0"/>
      <w:marBottom w:val="0"/>
      <w:divBdr>
        <w:top w:val="none" w:sz="0" w:space="0" w:color="auto"/>
        <w:left w:val="none" w:sz="0" w:space="0" w:color="auto"/>
        <w:bottom w:val="none" w:sz="0" w:space="0" w:color="auto"/>
        <w:right w:val="none" w:sz="0" w:space="0" w:color="auto"/>
      </w:divBdr>
    </w:div>
    <w:div w:id="59713797">
      <w:bodyDiv w:val="1"/>
      <w:marLeft w:val="0"/>
      <w:marRight w:val="0"/>
      <w:marTop w:val="0"/>
      <w:marBottom w:val="0"/>
      <w:divBdr>
        <w:top w:val="none" w:sz="0" w:space="0" w:color="auto"/>
        <w:left w:val="none" w:sz="0" w:space="0" w:color="auto"/>
        <w:bottom w:val="none" w:sz="0" w:space="0" w:color="auto"/>
        <w:right w:val="none" w:sz="0" w:space="0" w:color="auto"/>
      </w:divBdr>
    </w:div>
    <w:div w:id="59837921">
      <w:bodyDiv w:val="1"/>
      <w:marLeft w:val="0"/>
      <w:marRight w:val="0"/>
      <w:marTop w:val="0"/>
      <w:marBottom w:val="0"/>
      <w:divBdr>
        <w:top w:val="none" w:sz="0" w:space="0" w:color="auto"/>
        <w:left w:val="none" w:sz="0" w:space="0" w:color="auto"/>
        <w:bottom w:val="none" w:sz="0" w:space="0" w:color="auto"/>
        <w:right w:val="none" w:sz="0" w:space="0" w:color="auto"/>
      </w:divBdr>
    </w:div>
    <w:div w:id="59906668">
      <w:bodyDiv w:val="1"/>
      <w:marLeft w:val="0"/>
      <w:marRight w:val="0"/>
      <w:marTop w:val="0"/>
      <w:marBottom w:val="0"/>
      <w:divBdr>
        <w:top w:val="none" w:sz="0" w:space="0" w:color="auto"/>
        <w:left w:val="none" w:sz="0" w:space="0" w:color="auto"/>
        <w:bottom w:val="none" w:sz="0" w:space="0" w:color="auto"/>
        <w:right w:val="none" w:sz="0" w:space="0" w:color="auto"/>
      </w:divBdr>
    </w:div>
    <w:div w:id="60061969">
      <w:bodyDiv w:val="1"/>
      <w:marLeft w:val="0"/>
      <w:marRight w:val="0"/>
      <w:marTop w:val="0"/>
      <w:marBottom w:val="0"/>
      <w:divBdr>
        <w:top w:val="none" w:sz="0" w:space="0" w:color="auto"/>
        <w:left w:val="none" w:sz="0" w:space="0" w:color="auto"/>
        <w:bottom w:val="none" w:sz="0" w:space="0" w:color="auto"/>
        <w:right w:val="none" w:sz="0" w:space="0" w:color="auto"/>
      </w:divBdr>
    </w:div>
    <w:div w:id="60101903">
      <w:bodyDiv w:val="1"/>
      <w:marLeft w:val="0"/>
      <w:marRight w:val="0"/>
      <w:marTop w:val="0"/>
      <w:marBottom w:val="0"/>
      <w:divBdr>
        <w:top w:val="none" w:sz="0" w:space="0" w:color="auto"/>
        <w:left w:val="none" w:sz="0" w:space="0" w:color="auto"/>
        <w:bottom w:val="none" w:sz="0" w:space="0" w:color="auto"/>
        <w:right w:val="none" w:sz="0" w:space="0" w:color="auto"/>
      </w:divBdr>
    </w:div>
    <w:div w:id="60105932">
      <w:bodyDiv w:val="1"/>
      <w:marLeft w:val="0"/>
      <w:marRight w:val="0"/>
      <w:marTop w:val="0"/>
      <w:marBottom w:val="0"/>
      <w:divBdr>
        <w:top w:val="none" w:sz="0" w:space="0" w:color="auto"/>
        <w:left w:val="none" w:sz="0" w:space="0" w:color="auto"/>
        <w:bottom w:val="none" w:sz="0" w:space="0" w:color="auto"/>
        <w:right w:val="none" w:sz="0" w:space="0" w:color="auto"/>
      </w:divBdr>
    </w:div>
    <w:div w:id="60180517">
      <w:bodyDiv w:val="1"/>
      <w:marLeft w:val="0"/>
      <w:marRight w:val="0"/>
      <w:marTop w:val="0"/>
      <w:marBottom w:val="0"/>
      <w:divBdr>
        <w:top w:val="none" w:sz="0" w:space="0" w:color="auto"/>
        <w:left w:val="none" w:sz="0" w:space="0" w:color="auto"/>
        <w:bottom w:val="none" w:sz="0" w:space="0" w:color="auto"/>
        <w:right w:val="none" w:sz="0" w:space="0" w:color="auto"/>
      </w:divBdr>
    </w:div>
    <w:div w:id="60256162">
      <w:bodyDiv w:val="1"/>
      <w:marLeft w:val="0"/>
      <w:marRight w:val="0"/>
      <w:marTop w:val="0"/>
      <w:marBottom w:val="0"/>
      <w:divBdr>
        <w:top w:val="none" w:sz="0" w:space="0" w:color="auto"/>
        <w:left w:val="none" w:sz="0" w:space="0" w:color="auto"/>
        <w:bottom w:val="none" w:sz="0" w:space="0" w:color="auto"/>
        <w:right w:val="none" w:sz="0" w:space="0" w:color="auto"/>
      </w:divBdr>
    </w:div>
    <w:div w:id="60443830">
      <w:bodyDiv w:val="1"/>
      <w:marLeft w:val="0"/>
      <w:marRight w:val="0"/>
      <w:marTop w:val="0"/>
      <w:marBottom w:val="0"/>
      <w:divBdr>
        <w:top w:val="none" w:sz="0" w:space="0" w:color="auto"/>
        <w:left w:val="none" w:sz="0" w:space="0" w:color="auto"/>
        <w:bottom w:val="none" w:sz="0" w:space="0" w:color="auto"/>
        <w:right w:val="none" w:sz="0" w:space="0" w:color="auto"/>
      </w:divBdr>
    </w:div>
    <w:div w:id="60565217">
      <w:bodyDiv w:val="1"/>
      <w:marLeft w:val="0"/>
      <w:marRight w:val="0"/>
      <w:marTop w:val="0"/>
      <w:marBottom w:val="0"/>
      <w:divBdr>
        <w:top w:val="none" w:sz="0" w:space="0" w:color="auto"/>
        <w:left w:val="none" w:sz="0" w:space="0" w:color="auto"/>
        <w:bottom w:val="none" w:sz="0" w:space="0" w:color="auto"/>
        <w:right w:val="none" w:sz="0" w:space="0" w:color="auto"/>
      </w:divBdr>
    </w:div>
    <w:div w:id="60643433">
      <w:bodyDiv w:val="1"/>
      <w:marLeft w:val="0"/>
      <w:marRight w:val="0"/>
      <w:marTop w:val="0"/>
      <w:marBottom w:val="0"/>
      <w:divBdr>
        <w:top w:val="none" w:sz="0" w:space="0" w:color="auto"/>
        <w:left w:val="none" w:sz="0" w:space="0" w:color="auto"/>
        <w:bottom w:val="none" w:sz="0" w:space="0" w:color="auto"/>
        <w:right w:val="none" w:sz="0" w:space="0" w:color="auto"/>
      </w:divBdr>
    </w:div>
    <w:div w:id="60715670">
      <w:bodyDiv w:val="1"/>
      <w:marLeft w:val="0"/>
      <w:marRight w:val="0"/>
      <w:marTop w:val="0"/>
      <w:marBottom w:val="0"/>
      <w:divBdr>
        <w:top w:val="none" w:sz="0" w:space="0" w:color="auto"/>
        <w:left w:val="none" w:sz="0" w:space="0" w:color="auto"/>
        <w:bottom w:val="none" w:sz="0" w:space="0" w:color="auto"/>
        <w:right w:val="none" w:sz="0" w:space="0" w:color="auto"/>
      </w:divBdr>
    </w:div>
    <w:div w:id="60754956">
      <w:bodyDiv w:val="1"/>
      <w:marLeft w:val="0"/>
      <w:marRight w:val="0"/>
      <w:marTop w:val="0"/>
      <w:marBottom w:val="0"/>
      <w:divBdr>
        <w:top w:val="none" w:sz="0" w:space="0" w:color="auto"/>
        <w:left w:val="none" w:sz="0" w:space="0" w:color="auto"/>
        <w:bottom w:val="none" w:sz="0" w:space="0" w:color="auto"/>
        <w:right w:val="none" w:sz="0" w:space="0" w:color="auto"/>
      </w:divBdr>
    </w:div>
    <w:div w:id="60838467">
      <w:bodyDiv w:val="1"/>
      <w:marLeft w:val="0"/>
      <w:marRight w:val="0"/>
      <w:marTop w:val="0"/>
      <w:marBottom w:val="0"/>
      <w:divBdr>
        <w:top w:val="none" w:sz="0" w:space="0" w:color="auto"/>
        <w:left w:val="none" w:sz="0" w:space="0" w:color="auto"/>
        <w:bottom w:val="none" w:sz="0" w:space="0" w:color="auto"/>
        <w:right w:val="none" w:sz="0" w:space="0" w:color="auto"/>
      </w:divBdr>
    </w:div>
    <w:div w:id="60956548">
      <w:bodyDiv w:val="1"/>
      <w:marLeft w:val="0"/>
      <w:marRight w:val="0"/>
      <w:marTop w:val="0"/>
      <w:marBottom w:val="0"/>
      <w:divBdr>
        <w:top w:val="none" w:sz="0" w:space="0" w:color="auto"/>
        <w:left w:val="none" w:sz="0" w:space="0" w:color="auto"/>
        <w:bottom w:val="none" w:sz="0" w:space="0" w:color="auto"/>
        <w:right w:val="none" w:sz="0" w:space="0" w:color="auto"/>
      </w:divBdr>
    </w:div>
    <w:div w:id="60980240">
      <w:bodyDiv w:val="1"/>
      <w:marLeft w:val="0"/>
      <w:marRight w:val="0"/>
      <w:marTop w:val="0"/>
      <w:marBottom w:val="0"/>
      <w:divBdr>
        <w:top w:val="none" w:sz="0" w:space="0" w:color="auto"/>
        <w:left w:val="none" w:sz="0" w:space="0" w:color="auto"/>
        <w:bottom w:val="none" w:sz="0" w:space="0" w:color="auto"/>
        <w:right w:val="none" w:sz="0" w:space="0" w:color="auto"/>
      </w:divBdr>
    </w:div>
    <w:div w:id="61217451">
      <w:bodyDiv w:val="1"/>
      <w:marLeft w:val="0"/>
      <w:marRight w:val="0"/>
      <w:marTop w:val="0"/>
      <w:marBottom w:val="0"/>
      <w:divBdr>
        <w:top w:val="none" w:sz="0" w:space="0" w:color="auto"/>
        <w:left w:val="none" w:sz="0" w:space="0" w:color="auto"/>
        <w:bottom w:val="none" w:sz="0" w:space="0" w:color="auto"/>
        <w:right w:val="none" w:sz="0" w:space="0" w:color="auto"/>
      </w:divBdr>
    </w:div>
    <w:div w:id="61218754">
      <w:bodyDiv w:val="1"/>
      <w:marLeft w:val="0"/>
      <w:marRight w:val="0"/>
      <w:marTop w:val="0"/>
      <w:marBottom w:val="0"/>
      <w:divBdr>
        <w:top w:val="none" w:sz="0" w:space="0" w:color="auto"/>
        <w:left w:val="none" w:sz="0" w:space="0" w:color="auto"/>
        <w:bottom w:val="none" w:sz="0" w:space="0" w:color="auto"/>
        <w:right w:val="none" w:sz="0" w:space="0" w:color="auto"/>
      </w:divBdr>
    </w:div>
    <w:div w:id="61410209">
      <w:bodyDiv w:val="1"/>
      <w:marLeft w:val="0"/>
      <w:marRight w:val="0"/>
      <w:marTop w:val="0"/>
      <w:marBottom w:val="0"/>
      <w:divBdr>
        <w:top w:val="none" w:sz="0" w:space="0" w:color="auto"/>
        <w:left w:val="none" w:sz="0" w:space="0" w:color="auto"/>
        <w:bottom w:val="none" w:sz="0" w:space="0" w:color="auto"/>
        <w:right w:val="none" w:sz="0" w:space="0" w:color="auto"/>
      </w:divBdr>
    </w:div>
    <w:div w:id="61410527">
      <w:bodyDiv w:val="1"/>
      <w:marLeft w:val="0"/>
      <w:marRight w:val="0"/>
      <w:marTop w:val="0"/>
      <w:marBottom w:val="0"/>
      <w:divBdr>
        <w:top w:val="none" w:sz="0" w:space="0" w:color="auto"/>
        <w:left w:val="none" w:sz="0" w:space="0" w:color="auto"/>
        <w:bottom w:val="none" w:sz="0" w:space="0" w:color="auto"/>
        <w:right w:val="none" w:sz="0" w:space="0" w:color="auto"/>
      </w:divBdr>
    </w:div>
    <w:div w:id="61486866">
      <w:bodyDiv w:val="1"/>
      <w:marLeft w:val="0"/>
      <w:marRight w:val="0"/>
      <w:marTop w:val="0"/>
      <w:marBottom w:val="0"/>
      <w:divBdr>
        <w:top w:val="none" w:sz="0" w:space="0" w:color="auto"/>
        <w:left w:val="none" w:sz="0" w:space="0" w:color="auto"/>
        <w:bottom w:val="none" w:sz="0" w:space="0" w:color="auto"/>
        <w:right w:val="none" w:sz="0" w:space="0" w:color="auto"/>
      </w:divBdr>
    </w:div>
    <w:div w:id="61562857">
      <w:bodyDiv w:val="1"/>
      <w:marLeft w:val="0"/>
      <w:marRight w:val="0"/>
      <w:marTop w:val="0"/>
      <w:marBottom w:val="0"/>
      <w:divBdr>
        <w:top w:val="none" w:sz="0" w:space="0" w:color="auto"/>
        <w:left w:val="none" w:sz="0" w:space="0" w:color="auto"/>
        <w:bottom w:val="none" w:sz="0" w:space="0" w:color="auto"/>
        <w:right w:val="none" w:sz="0" w:space="0" w:color="auto"/>
      </w:divBdr>
    </w:div>
    <w:div w:id="61562946">
      <w:bodyDiv w:val="1"/>
      <w:marLeft w:val="0"/>
      <w:marRight w:val="0"/>
      <w:marTop w:val="0"/>
      <w:marBottom w:val="0"/>
      <w:divBdr>
        <w:top w:val="none" w:sz="0" w:space="0" w:color="auto"/>
        <w:left w:val="none" w:sz="0" w:space="0" w:color="auto"/>
        <w:bottom w:val="none" w:sz="0" w:space="0" w:color="auto"/>
        <w:right w:val="none" w:sz="0" w:space="0" w:color="auto"/>
      </w:divBdr>
    </w:div>
    <w:div w:id="61568109">
      <w:bodyDiv w:val="1"/>
      <w:marLeft w:val="0"/>
      <w:marRight w:val="0"/>
      <w:marTop w:val="0"/>
      <w:marBottom w:val="0"/>
      <w:divBdr>
        <w:top w:val="none" w:sz="0" w:space="0" w:color="auto"/>
        <w:left w:val="none" w:sz="0" w:space="0" w:color="auto"/>
        <w:bottom w:val="none" w:sz="0" w:space="0" w:color="auto"/>
        <w:right w:val="none" w:sz="0" w:space="0" w:color="auto"/>
      </w:divBdr>
    </w:div>
    <w:div w:id="61607589">
      <w:bodyDiv w:val="1"/>
      <w:marLeft w:val="0"/>
      <w:marRight w:val="0"/>
      <w:marTop w:val="0"/>
      <w:marBottom w:val="0"/>
      <w:divBdr>
        <w:top w:val="none" w:sz="0" w:space="0" w:color="auto"/>
        <w:left w:val="none" w:sz="0" w:space="0" w:color="auto"/>
        <w:bottom w:val="none" w:sz="0" w:space="0" w:color="auto"/>
        <w:right w:val="none" w:sz="0" w:space="0" w:color="auto"/>
      </w:divBdr>
    </w:div>
    <w:div w:id="61754628">
      <w:bodyDiv w:val="1"/>
      <w:marLeft w:val="0"/>
      <w:marRight w:val="0"/>
      <w:marTop w:val="0"/>
      <w:marBottom w:val="0"/>
      <w:divBdr>
        <w:top w:val="none" w:sz="0" w:space="0" w:color="auto"/>
        <w:left w:val="none" w:sz="0" w:space="0" w:color="auto"/>
        <w:bottom w:val="none" w:sz="0" w:space="0" w:color="auto"/>
        <w:right w:val="none" w:sz="0" w:space="0" w:color="auto"/>
      </w:divBdr>
    </w:div>
    <w:div w:id="61760342">
      <w:bodyDiv w:val="1"/>
      <w:marLeft w:val="0"/>
      <w:marRight w:val="0"/>
      <w:marTop w:val="0"/>
      <w:marBottom w:val="0"/>
      <w:divBdr>
        <w:top w:val="none" w:sz="0" w:space="0" w:color="auto"/>
        <w:left w:val="none" w:sz="0" w:space="0" w:color="auto"/>
        <w:bottom w:val="none" w:sz="0" w:space="0" w:color="auto"/>
        <w:right w:val="none" w:sz="0" w:space="0" w:color="auto"/>
      </w:divBdr>
    </w:div>
    <w:div w:id="62023313">
      <w:bodyDiv w:val="1"/>
      <w:marLeft w:val="0"/>
      <w:marRight w:val="0"/>
      <w:marTop w:val="0"/>
      <w:marBottom w:val="0"/>
      <w:divBdr>
        <w:top w:val="none" w:sz="0" w:space="0" w:color="auto"/>
        <w:left w:val="none" w:sz="0" w:space="0" w:color="auto"/>
        <w:bottom w:val="none" w:sz="0" w:space="0" w:color="auto"/>
        <w:right w:val="none" w:sz="0" w:space="0" w:color="auto"/>
      </w:divBdr>
    </w:div>
    <w:div w:id="62069290">
      <w:bodyDiv w:val="1"/>
      <w:marLeft w:val="0"/>
      <w:marRight w:val="0"/>
      <w:marTop w:val="0"/>
      <w:marBottom w:val="0"/>
      <w:divBdr>
        <w:top w:val="none" w:sz="0" w:space="0" w:color="auto"/>
        <w:left w:val="none" w:sz="0" w:space="0" w:color="auto"/>
        <w:bottom w:val="none" w:sz="0" w:space="0" w:color="auto"/>
        <w:right w:val="none" w:sz="0" w:space="0" w:color="auto"/>
      </w:divBdr>
    </w:div>
    <w:div w:id="62073301">
      <w:bodyDiv w:val="1"/>
      <w:marLeft w:val="0"/>
      <w:marRight w:val="0"/>
      <w:marTop w:val="0"/>
      <w:marBottom w:val="0"/>
      <w:divBdr>
        <w:top w:val="none" w:sz="0" w:space="0" w:color="auto"/>
        <w:left w:val="none" w:sz="0" w:space="0" w:color="auto"/>
        <w:bottom w:val="none" w:sz="0" w:space="0" w:color="auto"/>
        <w:right w:val="none" w:sz="0" w:space="0" w:color="auto"/>
      </w:divBdr>
    </w:div>
    <w:div w:id="62139653">
      <w:bodyDiv w:val="1"/>
      <w:marLeft w:val="0"/>
      <w:marRight w:val="0"/>
      <w:marTop w:val="0"/>
      <w:marBottom w:val="0"/>
      <w:divBdr>
        <w:top w:val="none" w:sz="0" w:space="0" w:color="auto"/>
        <w:left w:val="none" w:sz="0" w:space="0" w:color="auto"/>
        <w:bottom w:val="none" w:sz="0" w:space="0" w:color="auto"/>
        <w:right w:val="none" w:sz="0" w:space="0" w:color="auto"/>
      </w:divBdr>
    </w:div>
    <w:div w:id="62141995">
      <w:bodyDiv w:val="1"/>
      <w:marLeft w:val="0"/>
      <w:marRight w:val="0"/>
      <w:marTop w:val="0"/>
      <w:marBottom w:val="0"/>
      <w:divBdr>
        <w:top w:val="none" w:sz="0" w:space="0" w:color="auto"/>
        <w:left w:val="none" w:sz="0" w:space="0" w:color="auto"/>
        <w:bottom w:val="none" w:sz="0" w:space="0" w:color="auto"/>
        <w:right w:val="none" w:sz="0" w:space="0" w:color="auto"/>
      </w:divBdr>
    </w:div>
    <w:div w:id="62222319">
      <w:bodyDiv w:val="1"/>
      <w:marLeft w:val="0"/>
      <w:marRight w:val="0"/>
      <w:marTop w:val="0"/>
      <w:marBottom w:val="0"/>
      <w:divBdr>
        <w:top w:val="none" w:sz="0" w:space="0" w:color="auto"/>
        <w:left w:val="none" w:sz="0" w:space="0" w:color="auto"/>
        <w:bottom w:val="none" w:sz="0" w:space="0" w:color="auto"/>
        <w:right w:val="none" w:sz="0" w:space="0" w:color="auto"/>
      </w:divBdr>
    </w:div>
    <w:div w:id="62262240">
      <w:bodyDiv w:val="1"/>
      <w:marLeft w:val="0"/>
      <w:marRight w:val="0"/>
      <w:marTop w:val="0"/>
      <w:marBottom w:val="0"/>
      <w:divBdr>
        <w:top w:val="none" w:sz="0" w:space="0" w:color="auto"/>
        <w:left w:val="none" w:sz="0" w:space="0" w:color="auto"/>
        <w:bottom w:val="none" w:sz="0" w:space="0" w:color="auto"/>
        <w:right w:val="none" w:sz="0" w:space="0" w:color="auto"/>
      </w:divBdr>
    </w:div>
    <w:div w:id="62264079">
      <w:bodyDiv w:val="1"/>
      <w:marLeft w:val="0"/>
      <w:marRight w:val="0"/>
      <w:marTop w:val="0"/>
      <w:marBottom w:val="0"/>
      <w:divBdr>
        <w:top w:val="none" w:sz="0" w:space="0" w:color="auto"/>
        <w:left w:val="none" w:sz="0" w:space="0" w:color="auto"/>
        <w:bottom w:val="none" w:sz="0" w:space="0" w:color="auto"/>
        <w:right w:val="none" w:sz="0" w:space="0" w:color="auto"/>
      </w:divBdr>
    </w:div>
    <w:div w:id="62410228">
      <w:bodyDiv w:val="1"/>
      <w:marLeft w:val="0"/>
      <w:marRight w:val="0"/>
      <w:marTop w:val="0"/>
      <w:marBottom w:val="0"/>
      <w:divBdr>
        <w:top w:val="none" w:sz="0" w:space="0" w:color="auto"/>
        <w:left w:val="none" w:sz="0" w:space="0" w:color="auto"/>
        <w:bottom w:val="none" w:sz="0" w:space="0" w:color="auto"/>
        <w:right w:val="none" w:sz="0" w:space="0" w:color="auto"/>
      </w:divBdr>
    </w:div>
    <w:div w:id="62530286">
      <w:bodyDiv w:val="1"/>
      <w:marLeft w:val="0"/>
      <w:marRight w:val="0"/>
      <w:marTop w:val="0"/>
      <w:marBottom w:val="0"/>
      <w:divBdr>
        <w:top w:val="none" w:sz="0" w:space="0" w:color="auto"/>
        <w:left w:val="none" w:sz="0" w:space="0" w:color="auto"/>
        <w:bottom w:val="none" w:sz="0" w:space="0" w:color="auto"/>
        <w:right w:val="none" w:sz="0" w:space="0" w:color="auto"/>
      </w:divBdr>
    </w:div>
    <w:div w:id="62652458">
      <w:bodyDiv w:val="1"/>
      <w:marLeft w:val="0"/>
      <w:marRight w:val="0"/>
      <w:marTop w:val="0"/>
      <w:marBottom w:val="0"/>
      <w:divBdr>
        <w:top w:val="none" w:sz="0" w:space="0" w:color="auto"/>
        <w:left w:val="none" w:sz="0" w:space="0" w:color="auto"/>
        <w:bottom w:val="none" w:sz="0" w:space="0" w:color="auto"/>
        <w:right w:val="none" w:sz="0" w:space="0" w:color="auto"/>
      </w:divBdr>
    </w:div>
    <w:div w:id="62681937">
      <w:bodyDiv w:val="1"/>
      <w:marLeft w:val="0"/>
      <w:marRight w:val="0"/>
      <w:marTop w:val="0"/>
      <w:marBottom w:val="0"/>
      <w:divBdr>
        <w:top w:val="none" w:sz="0" w:space="0" w:color="auto"/>
        <w:left w:val="none" w:sz="0" w:space="0" w:color="auto"/>
        <w:bottom w:val="none" w:sz="0" w:space="0" w:color="auto"/>
        <w:right w:val="none" w:sz="0" w:space="0" w:color="auto"/>
      </w:divBdr>
    </w:div>
    <w:div w:id="62719755">
      <w:bodyDiv w:val="1"/>
      <w:marLeft w:val="0"/>
      <w:marRight w:val="0"/>
      <w:marTop w:val="0"/>
      <w:marBottom w:val="0"/>
      <w:divBdr>
        <w:top w:val="none" w:sz="0" w:space="0" w:color="auto"/>
        <w:left w:val="none" w:sz="0" w:space="0" w:color="auto"/>
        <w:bottom w:val="none" w:sz="0" w:space="0" w:color="auto"/>
        <w:right w:val="none" w:sz="0" w:space="0" w:color="auto"/>
      </w:divBdr>
    </w:div>
    <w:div w:id="62920755">
      <w:bodyDiv w:val="1"/>
      <w:marLeft w:val="0"/>
      <w:marRight w:val="0"/>
      <w:marTop w:val="0"/>
      <w:marBottom w:val="0"/>
      <w:divBdr>
        <w:top w:val="none" w:sz="0" w:space="0" w:color="auto"/>
        <w:left w:val="none" w:sz="0" w:space="0" w:color="auto"/>
        <w:bottom w:val="none" w:sz="0" w:space="0" w:color="auto"/>
        <w:right w:val="none" w:sz="0" w:space="0" w:color="auto"/>
      </w:divBdr>
    </w:div>
    <w:div w:id="62921994">
      <w:bodyDiv w:val="1"/>
      <w:marLeft w:val="0"/>
      <w:marRight w:val="0"/>
      <w:marTop w:val="0"/>
      <w:marBottom w:val="0"/>
      <w:divBdr>
        <w:top w:val="none" w:sz="0" w:space="0" w:color="auto"/>
        <w:left w:val="none" w:sz="0" w:space="0" w:color="auto"/>
        <w:bottom w:val="none" w:sz="0" w:space="0" w:color="auto"/>
        <w:right w:val="none" w:sz="0" w:space="0" w:color="auto"/>
      </w:divBdr>
    </w:div>
    <w:div w:id="62990318">
      <w:bodyDiv w:val="1"/>
      <w:marLeft w:val="0"/>
      <w:marRight w:val="0"/>
      <w:marTop w:val="0"/>
      <w:marBottom w:val="0"/>
      <w:divBdr>
        <w:top w:val="none" w:sz="0" w:space="0" w:color="auto"/>
        <w:left w:val="none" w:sz="0" w:space="0" w:color="auto"/>
        <w:bottom w:val="none" w:sz="0" w:space="0" w:color="auto"/>
        <w:right w:val="none" w:sz="0" w:space="0" w:color="auto"/>
      </w:divBdr>
    </w:div>
    <w:div w:id="63063682">
      <w:bodyDiv w:val="1"/>
      <w:marLeft w:val="0"/>
      <w:marRight w:val="0"/>
      <w:marTop w:val="0"/>
      <w:marBottom w:val="0"/>
      <w:divBdr>
        <w:top w:val="none" w:sz="0" w:space="0" w:color="auto"/>
        <w:left w:val="none" w:sz="0" w:space="0" w:color="auto"/>
        <w:bottom w:val="none" w:sz="0" w:space="0" w:color="auto"/>
        <w:right w:val="none" w:sz="0" w:space="0" w:color="auto"/>
      </w:divBdr>
    </w:div>
    <w:div w:id="63067541">
      <w:bodyDiv w:val="1"/>
      <w:marLeft w:val="0"/>
      <w:marRight w:val="0"/>
      <w:marTop w:val="0"/>
      <w:marBottom w:val="0"/>
      <w:divBdr>
        <w:top w:val="none" w:sz="0" w:space="0" w:color="auto"/>
        <w:left w:val="none" w:sz="0" w:space="0" w:color="auto"/>
        <w:bottom w:val="none" w:sz="0" w:space="0" w:color="auto"/>
        <w:right w:val="none" w:sz="0" w:space="0" w:color="auto"/>
      </w:divBdr>
    </w:div>
    <w:div w:id="63340395">
      <w:bodyDiv w:val="1"/>
      <w:marLeft w:val="0"/>
      <w:marRight w:val="0"/>
      <w:marTop w:val="0"/>
      <w:marBottom w:val="0"/>
      <w:divBdr>
        <w:top w:val="none" w:sz="0" w:space="0" w:color="auto"/>
        <w:left w:val="none" w:sz="0" w:space="0" w:color="auto"/>
        <w:bottom w:val="none" w:sz="0" w:space="0" w:color="auto"/>
        <w:right w:val="none" w:sz="0" w:space="0" w:color="auto"/>
      </w:divBdr>
    </w:div>
    <w:div w:id="63375185">
      <w:bodyDiv w:val="1"/>
      <w:marLeft w:val="0"/>
      <w:marRight w:val="0"/>
      <w:marTop w:val="0"/>
      <w:marBottom w:val="0"/>
      <w:divBdr>
        <w:top w:val="none" w:sz="0" w:space="0" w:color="auto"/>
        <w:left w:val="none" w:sz="0" w:space="0" w:color="auto"/>
        <w:bottom w:val="none" w:sz="0" w:space="0" w:color="auto"/>
        <w:right w:val="none" w:sz="0" w:space="0" w:color="auto"/>
      </w:divBdr>
    </w:div>
    <w:div w:id="63382025">
      <w:bodyDiv w:val="1"/>
      <w:marLeft w:val="0"/>
      <w:marRight w:val="0"/>
      <w:marTop w:val="0"/>
      <w:marBottom w:val="0"/>
      <w:divBdr>
        <w:top w:val="none" w:sz="0" w:space="0" w:color="auto"/>
        <w:left w:val="none" w:sz="0" w:space="0" w:color="auto"/>
        <w:bottom w:val="none" w:sz="0" w:space="0" w:color="auto"/>
        <w:right w:val="none" w:sz="0" w:space="0" w:color="auto"/>
      </w:divBdr>
    </w:div>
    <w:div w:id="63454127">
      <w:bodyDiv w:val="1"/>
      <w:marLeft w:val="0"/>
      <w:marRight w:val="0"/>
      <w:marTop w:val="0"/>
      <w:marBottom w:val="0"/>
      <w:divBdr>
        <w:top w:val="none" w:sz="0" w:space="0" w:color="auto"/>
        <w:left w:val="none" w:sz="0" w:space="0" w:color="auto"/>
        <w:bottom w:val="none" w:sz="0" w:space="0" w:color="auto"/>
        <w:right w:val="none" w:sz="0" w:space="0" w:color="auto"/>
      </w:divBdr>
    </w:div>
    <w:div w:id="63534256">
      <w:bodyDiv w:val="1"/>
      <w:marLeft w:val="0"/>
      <w:marRight w:val="0"/>
      <w:marTop w:val="0"/>
      <w:marBottom w:val="0"/>
      <w:divBdr>
        <w:top w:val="none" w:sz="0" w:space="0" w:color="auto"/>
        <w:left w:val="none" w:sz="0" w:space="0" w:color="auto"/>
        <w:bottom w:val="none" w:sz="0" w:space="0" w:color="auto"/>
        <w:right w:val="none" w:sz="0" w:space="0" w:color="auto"/>
      </w:divBdr>
    </w:div>
    <w:div w:id="63726311">
      <w:bodyDiv w:val="1"/>
      <w:marLeft w:val="0"/>
      <w:marRight w:val="0"/>
      <w:marTop w:val="0"/>
      <w:marBottom w:val="0"/>
      <w:divBdr>
        <w:top w:val="none" w:sz="0" w:space="0" w:color="auto"/>
        <w:left w:val="none" w:sz="0" w:space="0" w:color="auto"/>
        <w:bottom w:val="none" w:sz="0" w:space="0" w:color="auto"/>
        <w:right w:val="none" w:sz="0" w:space="0" w:color="auto"/>
      </w:divBdr>
    </w:div>
    <w:div w:id="63769962">
      <w:bodyDiv w:val="1"/>
      <w:marLeft w:val="0"/>
      <w:marRight w:val="0"/>
      <w:marTop w:val="0"/>
      <w:marBottom w:val="0"/>
      <w:divBdr>
        <w:top w:val="none" w:sz="0" w:space="0" w:color="auto"/>
        <w:left w:val="none" w:sz="0" w:space="0" w:color="auto"/>
        <w:bottom w:val="none" w:sz="0" w:space="0" w:color="auto"/>
        <w:right w:val="none" w:sz="0" w:space="0" w:color="auto"/>
      </w:divBdr>
    </w:div>
    <w:div w:id="63797749">
      <w:bodyDiv w:val="1"/>
      <w:marLeft w:val="0"/>
      <w:marRight w:val="0"/>
      <w:marTop w:val="0"/>
      <w:marBottom w:val="0"/>
      <w:divBdr>
        <w:top w:val="none" w:sz="0" w:space="0" w:color="auto"/>
        <w:left w:val="none" w:sz="0" w:space="0" w:color="auto"/>
        <w:bottom w:val="none" w:sz="0" w:space="0" w:color="auto"/>
        <w:right w:val="none" w:sz="0" w:space="0" w:color="auto"/>
      </w:divBdr>
    </w:div>
    <w:div w:id="63837319">
      <w:bodyDiv w:val="1"/>
      <w:marLeft w:val="0"/>
      <w:marRight w:val="0"/>
      <w:marTop w:val="0"/>
      <w:marBottom w:val="0"/>
      <w:divBdr>
        <w:top w:val="none" w:sz="0" w:space="0" w:color="auto"/>
        <w:left w:val="none" w:sz="0" w:space="0" w:color="auto"/>
        <w:bottom w:val="none" w:sz="0" w:space="0" w:color="auto"/>
        <w:right w:val="none" w:sz="0" w:space="0" w:color="auto"/>
      </w:divBdr>
    </w:div>
    <w:div w:id="63841410">
      <w:bodyDiv w:val="1"/>
      <w:marLeft w:val="0"/>
      <w:marRight w:val="0"/>
      <w:marTop w:val="0"/>
      <w:marBottom w:val="0"/>
      <w:divBdr>
        <w:top w:val="none" w:sz="0" w:space="0" w:color="auto"/>
        <w:left w:val="none" w:sz="0" w:space="0" w:color="auto"/>
        <w:bottom w:val="none" w:sz="0" w:space="0" w:color="auto"/>
        <w:right w:val="none" w:sz="0" w:space="0" w:color="auto"/>
      </w:divBdr>
    </w:div>
    <w:div w:id="63992089">
      <w:bodyDiv w:val="1"/>
      <w:marLeft w:val="0"/>
      <w:marRight w:val="0"/>
      <w:marTop w:val="0"/>
      <w:marBottom w:val="0"/>
      <w:divBdr>
        <w:top w:val="none" w:sz="0" w:space="0" w:color="auto"/>
        <w:left w:val="none" w:sz="0" w:space="0" w:color="auto"/>
        <w:bottom w:val="none" w:sz="0" w:space="0" w:color="auto"/>
        <w:right w:val="none" w:sz="0" w:space="0" w:color="auto"/>
      </w:divBdr>
    </w:div>
    <w:div w:id="63994131">
      <w:bodyDiv w:val="1"/>
      <w:marLeft w:val="0"/>
      <w:marRight w:val="0"/>
      <w:marTop w:val="0"/>
      <w:marBottom w:val="0"/>
      <w:divBdr>
        <w:top w:val="none" w:sz="0" w:space="0" w:color="auto"/>
        <w:left w:val="none" w:sz="0" w:space="0" w:color="auto"/>
        <w:bottom w:val="none" w:sz="0" w:space="0" w:color="auto"/>
        <w:right w:val="none" w:sz="0" w:space="0" w:color="auto"/>
      </w:divBdr>
    </w:div>
    <w:div w:id="64034372">
      <w:bodyDiv w:val="1"/>
      <w:marLeft w:val="0"/>
      <w:marRight w:val="0"/>
      <w:marTop w:val="0"/>
      <w:marBottom w:val="0"/>
      <w:divBdr>
        <w:top w:val="none" w:sz="0" w:space="0" w:color="auto"/>
        <w:left w:val="none" w:sz="0" w:space="0" w:color="auto"/>
        <w:bottom w:val="none" w:sz="0" w:space="0" w:color="auto"/>
        <w:right w:val="none" w:sz="0" w:space="0" w:color="auto"/>
      </w:divBdr>
    </w:div>
    <w:div w:id="64180721">
      <w:bodyDiv w:val="1"/>
      <w:marLeft w:val="0"/>
      <w:marRight w:val="0"/>
      <w:marTop w:val="0"/>
      <w:marBottom w:val="0"/>
      <w:divBdr>
        <w:top w:val="none" w:sz="0" w:space="0" w:color="auto"/>
        <w:left w:val="none" w:sz="0" w:space="0" w:color="auto"/>
        <w:bottom w:val="none" w:sz="0" w:space="0" w:color="auto"/>
        <w:right w:val="none" w:sz="0" w:space="0" w:color="auto"/>
      </w:divBdr>
    </w:div>
    <w:div w:id="64183664">
      <w:bodyDiv w:val="1"/>
      <w:marLeft w:val="0"/>
      <w:marRight w:val="0"/>
      <w:marTop w:val="0"/>
      <w:marBottom w:val="0"/>
      <w:divBdr>
        <w:top w:val="none" w:sz="0" w:space="0" w:color="auto"/>
        <w:left w:val="none" w:sz="0" w:space="0" w:color="auto"/>
        <w:bottom w:val="none" w:sz="0" w:space="0" w:color="auto"/>
        <w:right w:val="none" w:sz="0" w:space="0" w:color="auto"/>
      </w:divBdr>
    </w:div>
    <w:div w:id="64227009">
      <w:bodyDiv w:val="1"/>
      <w:marLeft w:val="0"/>
      <w:marRight w:val="0"/>
      <w:marTop w:val="0"/>
      <w:marBottom w:val="0"/>
      <w:divBdr>
        <w:top w:val="none" w:sz="0" w:space="0" w:color="auto"/>
        <w:left w:val="none" w:sz="0" w:space="0" w:color="auto"/>
        <w:bottom w:val="none" w:sz="0" w:space="0" w:color="auto"/>
        <w:right w:val="none" w:sz="0" w:space="0" w:color="auto"/>
      </w:divBdr>
    </w:div>
    <w:div w:id="64230811">
      <w:bodyDiv w:val="1"/>
      <w:marLeft w:val="0"/>
      <w:marRight w:val="0"/>
      <w:marTop w:val="0"/>
      <w:marBottom w:val="0"/>
      <w:divBdr>
        <w:top w:val="none" w:sz="0" w:space="0" w:color="auto"/>
        <w:left w:val="none" w:sz="0" w:space="0" w:color="auto"/>
        <w:bottom w:val="none" w:sz="0" w:space="0" w:color="auto"/>
        <w:right w:val="none" w:sz="0" w:space="0" w:color="auto"/>
      </w:divBdr>
    </w:div>
    <w:div w:id="64231027">
      <w:bodyDiv w:val="1"/>
      <w:marLeft w:val="0"/>
      <w:marRight w:val="0"/>
      <w:marTop w:val="0"/>
      <w:marBottom w:val="0"/>
      <w:divBdr>
        <w:top w:val="none" w:sz="0" w:space="0" w:color="auto"/>
        <w:left w:val="none" w:sz="0" w:space="0" w:color="auto"/>
        <w:bottom w:val="none" w:sz="0" w:space="0" w:color="auto"/>
        <w:right w:val="none" w:sz="0" w:space="0" w:color="auto"/>
      </w:divBdr>
    </w:div>
    <w:div w:id="64231632">
      <w:bodyDiv w:val="1"/>
      <w:marLeft w:val="0"/>
      <w:marRight w:val="0"/>
      <w:marTop w:val="0"/>
      <w:marBottom w:val="0"/>
      <w:divBdr>
        <w:top w:val="none" w:sz="0" w:space="0" w:color="auto"/>
        <w:left w:val="none" w:sz="0" w:space="0" w:color="auto"/>
        <w:bottom w:val="none" w:sz="0" w:space="0" w:color="auto"/>
        <w:right w:val="none" w:sz="0" w:space="0" w:color="auto"/>
      </w:divBdr>
    </w:div>
    <w:div w:id="64378577">
      <w:bodyDiv w:val="1"/>
      <w:marLeft w:val="0"/>
      <w:marRight w:val="0"/>
      <w:marTop w:val="0"/>
      <w:marBottom w:val="0"/>
      <w:divBdr>
        <w:top w:val="none" w:sz="0" w:space="0" w:color="auto"/>
        <w:left w:val="none" w:sz="0" w:space="0" w:color="auto"/>
        <w:bottom w:val="none" w:sz="0" w:space="0" w:color="auto"/>
        <w:right w:val="none" w:sz="0" w:space="0" w:color="auto"/>
      </w:divBdr>
    </w:div>
    <w:div w:id="64425764">
      <w:bodyDiv w:val="1"/>
      <w:marLeft w:val="0"/>
      <w:marRight w:val="0"/>
      <w:marTop w:val="0"/>
      <w:marBottom w:val="0"/>
      <w:divBdr>
        <w:top w:val="none" w:sz="0" w:space="0" w:color="auto"/>
        <w:left w:val="none" w:sz="0" w:space="0" w:color="auto"/>
        <w:bottom w:val="none" w:sz="0" w:space="0" w:color="auto"/>
        <w:right w:val="none" w:sz="0" w:space="0" w:color="auto"/>
      </w:divBdr>
    </w:div>
    <w:div w:id="64648749">
      <w:bodyDiv w:val="1"/>
      <w:marLeft w:val="0"/>
      <w:marRight w:val="0"/>
      <w:marTop w:val="0"/>
      <w:marBottom w:val="0"/>
      <w:divBdr>
        <w:top w:val="none" w:sz="0" w:space="0" w:color="auto"/>
        <w:left w:val="none" w:sz="0" w:space="0" w:color="auto"/>
        <w:bottom w:val="none" w:sz="0" w:space="0" w:color="auto"/>
        <w:right w:val="none" w:sz="0" w:space="0" w:color="auto"/>
      </w:divBdr>
    </w:div>
    <w:div w:id="64687369">
      <w:bodyDiv w:val="1"/>
      <w:marLeft w:val="0"/>
      <w:marRight w:val="0"/>
      <w:marTop w:val="0"/>
      <w:marBottom w:val="0"/>
      <w:divBdr>
        <w:top w:val="none" w:sz="0" w:space="0" w:color="auto"/>
        <w:left w:val="none" w:sz="0" w:space="0" w:color="auto"/>
        <w:bottom w:val="none" w:sz="0" w:space="0" w:color="auto"/>
        <w:right w:val="none" w:sz="0" w:space="0" w:color="auto"/>
      </w:divBdr>
    </w:div>
    <w:div w:id="64689377">
      <w:bodyDiv w:val="1"/>
      <w:marLeft w:val="0"/>
      <w:marRight w:val="0"/>
      <w:marTop w:val="0"/>
      <w:marBottom w:val="0"/>
      <w:divBdr>
        <w:top w:val="none" w:sz="0" w:space="0" w:color="auto"/>
        <w:left w:val="none" w:sz="0" w:space="0" w:color="auto"/>
        <w:bottom w:val="none" w:sz="0" w:space="0" w:color="auto"/>
        <w:right w:val="none" w:sz="0" w:space="0" w:color="auto"/>
      </w:divBdr>
    </w:div>
    <w:div w:id="64693204">
      <w:bodyDiv w:val="1"/>
      <w:marLeft w:val="0"/>
      <w:marRight w:val="0"/>
      <w:marTop w:val="0"/>
      <w:marBottom w:val="0"/>
      <w:divBdr>
        <w:top w:val="none" w:sz="0" w:space="0" w:color="auto"/>
        <w:left w:val="none" w:sz="0" w:space="0" w:color="auto"/>
        <w:bottom w:val="none" w:sz="0" w:space="0" w:color="auto"/>
        <w:right w:val="none" w:sz="0" w:space="0" w:color="auto"/>
      </w:divBdr>
    </w:div>
    <w:div w:id="64693730">
      <w:bodyDiv w:val="1"/>
      <w:marLeft w:val="0"/>
      <w:marRight w:val="0"/>
      <w:marTop w:val="0"/>
      <w:marBottom w:val="0"/>
      <w:divBdr>
        <w:top w:val="none" w:sz="0" w:space="0" w:color="auto"/>
        <w:left w:val="none" w:sz="0" w:space="0" w:color="auto"/>
        <w:bottom w:val="none" w:sz="0" w:space="0" w:color="auto"/>
        <w:right w:val="none" w:sz="0" w:space="0" w:color="auto"/>
      </w:divBdr>
    </w:div>
    <w:div w:id="64693751">
      <w:bodyDiv w:val="1"/>
      <w:marLeft w:val="0"/>
      <w:marRight w:val="0"/>
      <w:marTop w:val="0"/>
      <w:marBottom w:val="0"/>
      <w:divBdr>
        <w:top w:val="none" w:sz="0" w:space="0" w:color="auto"/>
        <w:left w:val="none" w:sz="0" w:space="0" w:color="auto"/>
        <w:bottom w:val="none" w:sz="0" w:space="0" w:color="auto"/>
        <w:right w:val="none" w:sz="0" w:space="0" w:color="auto"/>
      </w:divBdr>
    </w:div>
    <w:div w:id="64760768">
      <w:bodyDiv w:val="1"/>
      <w:marLeft w:val="0"/>
      <w:marRight w:val="0"/>
      <w:marTop w:val="0"/>
      <w:marBottom w:val="0"/>
      <w:divBdr>
        <w:top w:val="none" w:sz="0" w:space="0" w:color="auto"/>
        <w:left w:val="none" w:sz="0" w:space="0" w:color="auto"/>
        <w:bottom w:val="none" w:sz="0" w:space="0" w:color="auto"/>
        <w:right w:val="none" w:sz="0" w:space="0" w:color="auto"/>
      </w:divBdr>
    </w:div>
    <w:div w:id="64763748">
      <w:bodyDiv w:val="1"/>
      <w:marLeft w:val="0"/>
      <w:marRight w:val="0"/>
      <w:marTop w:val="0"/>
      <w:marBottom w:val="0"/>
      <w:divBdr>
        <w:top w:val="none" w:sz="0" w:space="0" w:color="auto"/>
        <w:left w:val="none" w:sz="0" w:space="0" w:color="auto"/>
        <w:bottom w:val="none" w:sz="0" w:space="0" w:color="auto"/>
        <w:right w:val="none" w:sz="0" w:space="0" w:color="auto"/>
      </w:divBdr>
    </w:div>
    <w:div w:id="64765085">
      <w:bodyDiv w:val="1"/>
      <w:marLeft w:val="0"/>
      <w:marRight w:val="0"/>
      <w:marTop w:val="0"/>
      <w:marBottom w:val="0"/>
      <w:divBdr>
        <w:top w:val="none" w:sz="0" w:space="0" w:color="auto"/>
        <w:left w:val="none" w:sz="0" w:space="0" w:color="auto"/>
        <w:bottom w:val="none" w:sz="0" w:space="0" w:color="auto"/>
        <w:right w:val="none" w:sz="0" w:space="0" w:color="auto"/>
      </w:divBdr>
    </w:div>
    <w:div w:id="64769900">
      <w:bodyDiv w:val="1"/>
      <w:marLeft w:val="0"/>
      <w:marRight w:val="0"/>
      <w:marTop w:val="0"/>
      <w:marBottom w:val="0"/>
      <w:divBdr>
        <w:top w:val="none" w:sz="0" w:space="0" w:color="auto"/>
        <w:left w:val="none" w:sz="0" w:space="0" w:color="auto"/>
        <w:bottom w:val="none" w:sz="0" w:space="0" w:color="auto"/>
        <w:right w:val="none" w:sz="0" w:space="0" w:color="auto"/>
      </w:divBdr>
    </w:div>
    <w:div w:id="64843799">
      <w:bodyDiv w:val="1"/>
      <w:marLeft w:val="0"/>
      <w:marRight w:val="0"/>
      <w:marTop w:val="0"/>
      <w:marBottom w:val="0"/>
      <w:divBdr>
        <w:top w:val="none" w:sz="0" w:space="0" w:color="auto"/>
        <w:left w:val="none" w:sz="0" w:space="0" w:color="auto"/>
        <w:bottom w:val="none" w:sz="0" w:space="0" w:color="auto"/>
        <w:right w:val="none" w:sz="0" w:space="0" w:color="auto"/>
      </w:divBdr>
    </w:div>
    <w:div w:id="64961845">
      <w:bodyDiv w:val="1"/>
      <w:marLeft w:val="0"/>
      <w:marRight w:val="0"/>
      <w:marTop w:val="0"/>
      <w:marBottom w:val="0"/>
      <w:divBdr>
        <w:top w:val="none" w:sz="0" w:space="0" w:color="auto"/>
        <w:left w:val="none" w:sz="0" w:space="0" w:color="auto"/>
        <w:bottom w:val="none" w:sz="0" w:space="0" w:color="auto"/>
        <w:right w:val="none" w:sz="0" w:space="0" w:color="auto"/>
      </w:divBdr>
    </w:div>
    <w:div w:id="65030714">
      <w:bodyDiv w:val="1"/>
      <w:marLeft w:val="0"/>
      <w:marRight w:val="0"/>
      <w:marTop w:val="0"/>
      <w:marBottom w:val="0"/>
      <w:divBdr>
        <w:top w:val="none" w:sz="0" w:space="0" w:color="auto"/>
        <w:left w:val="none" w:sz="0" w:space="0" w:color="auto"/>
        <w:bottom w:val="none" w:sz="0" w:space="0" w:color="auto"/>
        <w:right w:val="none" w:sz="0" w:space="0" w:color="auto"/>
      </w:divBdr>
    </w:div>
    <w:div w:id="65036887">
      <w:bodyDiv w:val="1"/>
      <w:marLeft w:val="0"/>
      <w:marRight w:val="0"/>
      <w:marTop w:val="0"/>
      <w:marBottom w:val="0"/>
      <w:divBdr>
        <w:top w:val="none" w:sz="0" w:space="0" w:color="auto"/>
        <w:left w:val="none" w:sz="0" w:space="0" w:color="auto"/>
        <w:bottom w:val="none" w:sz="0" w:space="0" w:color="auto"/>
        <w:right w:val="none" w:sz="0" w:space="0" w:color="auto"/>
      </w:divBdr>
    </w:div>
    <w:div w:id="65232099">
      <w:bodyDiv w:val="1"/>
      <w:marLeft w:val="0"/>
      <w:marRight w:val="0"/>
      <w:marTop w:val="0"/>
      <w:marBottom w:val="0"/>
      <w:divBdr>
        <w:top w:val="none" w:sz="0" w:space="0" w:color="auto"/>
        <w:left w:val="none" w:sz="0" w:space="0" w:color="auto"/>
        <w:bottom w:val="none" w:sz="0" w:space="0" w:color="auto"/>
        <w:right w:val="none" w:sz="0" w:space="0" w:color="auto"/>
      </w:divBdr>
    </w:div>
    <w:div w:id="65302140">
      <w:bodyDiv w:val="1"/>
      <w:marLeft w:val="0"/>
      <w:marRight w:val="0"/>
      <w:marTop w:val="0"/>
      <w:marBottom w:val="0"/>
      <w:divBdr>
        <w:top w:val="none" w:sz="0" w:space="0" w:color="auto"/>
        <w:left w:val="none" w:sz="0" w:space="0" w:color="auto"/>
        <w:bottom w:val="none" w:sz="0" w:space="0" w:color="auto"/>
        <w:right w:val="none" w:sz="0" w:space="0" w:color="auto"/>
      </w:divBdr>
    </w:div>
    <w:div w:id="65345908">
      <w:bodyDiv w:val="1"/>
      <w:marLeft w:val="0"/>
      <w:marRight w:val="0"/>
      <w:marTop w:val="0"/>
      <w:marBottom w:val="0"/>
      <w:divBdr>
        <w:top w:val="none" w:sz="0" w:space="0" w:color="auto"/>
        <w:left w:val="none" w:sz="0" w:space="0" w:color="auto"/>
        <w:bottom w:val="none" w:sz="0" w:space="0" w:color="auto"/>
        <w:right w:val="none" w:sz="0" w:space="0" w:color="auto"/>
      </w:divBdr>
    </w:div>
    <w:div w:id="65346041">
      <w:bodyDiv w:val="1"/>
      <w:marLeft w:val="0"/>
      <w:marRight w:val="0"/>
      <w:marTop w:val="0"/>
      <w:marBottom w:val="0"/>
      <w:divBdr>
        <w:top w:val="none" w:sz="0" w:space="0" w:color="auto"/>
        <w:left w:val="none" w:sz="0" w:space="0" w:color="auto"/>
        <w:bottom w:val="none" w:sz="0" w:space="0" w:color="auto"/>
        <w:right w:val="none" w:sz="0" w:space="0" w:color="auto"/>
      </w:divBdr>
    </w:div>
    <w:div w:id="65421849">
      <w:bodyDiv w:val="1"/>
      <w:marLeft w:val="0"/>
      <w:marRight w:val="0"/>
      <w:marTop w:val="0"/>
      <w:marBottom w:val="0"/>
      <w:divBdr>
        <w:top w:val="none" w:sz="0" w:space="0" w:color="auto"/>
        <w:left w:val="none" w:sz="0" w:space="0" w:color="auto"/>
        <w:bottom w:val="none" w:sz="0" w:space="0" w:color="auto"/>
        <w:right w:val="none" w:sz="0" w:space="0" w:color="auto"/>
      </w:divBdr>
    </w:div>
    <w:div w:id="65423243">
      <w:bodyDiv w:val="1"/>
      <w:marLeft w:val="0"/>
      <w:marRight w:val="0"/>
      <w:marTop w:val="0"/>
      <w:marBottom w:val="0"/>
      <w:divBdr>
        <w:top w:val="none" w:sz="0" w:space="0" w:color="auto"/>
        <w:left w:val="none" w:sz="0" w:space="0" w:color="auto"/>
        <w:bottom w:val="none" w:sz="0" w:space="0" w:color="auto"/>
        <w:right w:val="none" w:sz="0" w:space="0" w:color="auto"/>
      </w:divBdr>
    </w:div>
    <w:div w:id="65539499">
      <w:bodyDiv w:val="1"/>
      <w:marLeft w:val="0"/>
      <w:marRight w:val="0"/>
      <w:marTop w:val="0"/>
      <w:marBottom w:val="0"/>
      <w:divBdr>
        <w:top w:val="none" w:sz="0" w:space="0" w:color="auto"/>
        <w:left w:val="none" w:sz="0" w:space="0" w:color="auto"/>
        <w:bottom w:val="none" w:sz="0" w:space="0" w:color="auto"/>
        <w:right w:val="none" w:sz="0" w:space="0" w:color="auto"/>
      </w:divBdr>
    </w:div>
    <w:div w:id="65763632">
      <w:bodyDiv w:val="1"/>
      <w:marLeft w:val="0"/>
      <w:marRight w:val="0"/>
      <w:marTop w:val="0"/>
      <w:marBottom w:val="0"/>
      <w:divBdr>
        <w:top w:val="none" w:sz="0" w:space="0" w:color="auto"/>
        <w:left w:val="none" w:sz="0" w:space="0" w:color="auto"/>
        <w:bottom w:val="none" w:sz="0" w:space="0" w:color="auto"/>
        <w:right w:val="none" w:sz="0" w:space="0" w:color="auto"/>
      </w:divBdr>
    </w:div>
    <w:div w:id="65804631">
      <w:bodyDiv w:val="1"/>
      <w:marLeft w:val="0"/>
      <w:marRight w:val="0"/>
      <w:marTop w:val="0"/>
      <w:marBottom w:val="0"/>
      <w:divBdr>
        <w:top w:val="none" w:sz="0" w:space="0" w:color="auto"/>
        <w:left w:val="none" w:sz="0" w:space="0" w:color="auto"/>
        <w:bottom w:val="none" w:sz="0" w:space="0" w:color="auto"/>
        <w:right w:val="none" w:sz="0" w:space="0" w:color="auto"/>
      </w:divBdr>
    </w:div>
    <w:div w:id="65953797">
      <w:bodyDiv w:val="1"/>
      <w:marLeft w:val="0"/>
      <w:marRight w:val="0"/>
      <w:marTop w:val="0"/>
      <w:marBottom w:val="0"/>
      <w:divBdr>
        <w:top w:val="none" w:sz="0" w:space="0" w:color="auto"/>
        <w:left w:val="none" w:sz="0" w:space="0" w:color="auto"/>
        <w:bottom w:val="none" w:sz="0" w:space="0" w:color="auto"/>
        <w:right w:val="none" w:sz="0" w:space="0" w:color="auto"/>
      </w:divBdr>
    </w:div>
    <w:div w:id="65960654">
      <w:bodyDiv w:val="1"/>
      <w:marLeft w:val="0"/>
      <w:marRight w:val="0"/>
      <w:marTop w:val="0"/>
      <w:marBottom w:val="0"/>
      <w:divBdr>
        <w:top w:val="none" w:sz="0" w:space="0" w:color="auto"/>
        <w:left w:val="none" w:sz="0" w:space="0" w:color="auto"/>
        <w:bottom w:val="none" w:sz="0" w:space="0" w:color="auto"/>
        <w:right w:val="none" w:sz="0" w:space="0" w:color="auto"/>
      </w:divBdr>
    </w:div>
    <w:div w:id="65997377">
      <w:bodyDiv w:val="1"/>
      <w:marLeft w:val="0"/>
      <w:marRight w:val="0"/>
      <w:marTop w:val="0"/>
      <w:marBottom w:val="0"/>
      <w:divBdr>
        <w:top w:val="none" w:sz="0" w:space="0" w:color="auto"/>
        <w:left w:val="none" w:sz="0" w:space="0" w:color="auto"/>
        <w:bottom w:val="none" w:sz="0" w:space="0" w:color="auto"/>
        <w:right w:val="none" w:sz="0" w:space="0" w:color="auto"/>
      </w:divBdr>
    </w:div>
    <w:div w:id="66072286">
      <w:bodyDiv w:val="1"/>
      <w:marLeft w:val="0"/>
      <w:marRight w:val="0"/>
      <w:marTop w:val="0"/>
      <w:marBottom w:val="0"/>
      <w:divBdr>
        <w:top w:val="none" w:sz="0" w:space="0" w:color="auto"/>
        <w:left w:val="none" w:sz="0" w:space="0" w:color="auto"/>
        <w:bottom w:val="none" w:sz="0" w:space="0" w:color="auto"/>
        <w:right w:val="none" w:sz="0" w:space="0" w:color="auto"/>
      </w:divBdr>
    </w:div>
    <w:div w:id="66079940">
      <w:bodyDiv w:val="1"/>
      <w:marLeft w:val="0"/>
      <w:marRight w:val="0"/>
      <w:marTop w:val="0"/>
      <w:marBottom w:val="0"/>
      <w:divBdr>
        <w:top w:val="none" w:sz="0" w:space="0" w:color="auto"/>
        <w:left w:val="none" w:sz="0" w:space="0" w:color="auto"/>
        <w:bottom w:val="none" w:sz="0" w:space="0" w:color="auto"/>
        <w:right w:val="none" w:sz="0" w:space="0" w:color="auto"/>
      </w:divBdr>
    </w:div>
    <w:div w:id="66147520">
      <w:bodyDiv w:val="1"/>
      <w:marLeft w:val="0"/>
      <w:marRight w:val="0"/>
      <w:marTop w:val="0"/>
      <w:marBottom w:val="0"/>
      <w:divBdr>
        <w:top w:val="none" w:sz="0" w:space="0" w:color="auto"/>
        <w:left w:val="none" w:sz="0" w:space="0" w:color="auto"/>
        <w:bottom w:val="none" w:sz="0" w:space="0" w:color="auto"/>
        <w:right w:val="none" w:sz="0" w:space="0" w:color="auto"/>
      </w:divBdr>
    </w:div>
    <w:div w:id="66195046">
      <w:bodyDiv w:val="1"/>
      <w:marLeft w:val="0"/>
      <w:marRight w:val="0"/>
      <w:marTop w:val="0"/>
      <w:marBottom w:val="0"/>
      <w:divBdr>
        <w:top w:val="none" w:sz="0" w:space="0" w:color="auto"/>
        <w:left w:val="none" w:sz="0" w:space="0" w:color="auto"/>
        <w:bottom w:val="none" w:sz="0" w:space="0" w:color="auto"/>
        <w:right w:val="none" w:sz="0" w:space="0" w:color="auto"/>
      </w:divBdr>
    </w:div>
    <w:div w:id="66196224">
      <w:bodyDiv w:val="1"/>
      <w:marLeft w:val="0"/>
      <w:marRight w:val="0"/>
      <w:marTop w:val="0"/>
      <w:marBottom w:val="0"/>
      <w:divBdr>
        <w:top w:val="none" w:sz="0" w:space="0" w:color="auto"/>
        <w:left w:val="none" w:sz="0" w:space="0" w:color="auto"/>
        <w:bottom w:val="none" w:sz="0" w:space="0" w:color="auto"/>
        <w:right w:val="none" w:sz="0" w:space="0" w:color="auto"/>
      </w:divBdr>
    </w:div>
    <w:div w:id="66345964">
      <w:bodyDiv w:val="1"/>
      <w:marLeft w:val="0"/>
      <w:marRight w:val="0"/>
      <w:marTop w:val="0"/>
      <w:marBottom w:val="0"/>
      <w:divBdr>
        <w:top w:val="none" w:sz="0" w:space="0" w:color="auto"/>
        <w:left w:val="none" w:sz="0" w:space="0" w:color="auto"/>
        <w:bottom w:val="none" w:sz="0" w:space="0" w:color="auto"/>
        <w:right w:val="none" w:sz="0" w:space="0" w:color="auto"/>
      </w:divBdr>
    </w:div>
    <w:div w:id="66419918">
      <w:bodyDiv w:val="1"/>
      <w:marLeft w:val="0"/>
      <w:marRight w:val="0"/>
      <w:marTop w:val="0"/>
      <w:marBottom w:val="0"/>
      <w:divBdr>
        <w:top w:val="none" w:sz="0" w:space="0" w:color="auto"/>
        <w:left w:val="none" w:sz="0" w:space="0" w:color="auto"/>
        <w:bottom w:val="none" w:sz="0" w:space="0" w:color="auto"/>
        <w:right w:val="none" w:sz="0" w:space="0" w:color="auto"/>
      </w:divBdr>
    </w:div>
    <w:div w:id="66464151">
      <w:bodyDiv w:val="1"/>
      <w:marLeft w:val="0"/>
      <w:marRight w:val="0"/>
      <w:marTop w:val="0"/>
      <w:marBottom w:val="0"/>
      <w:divBdr>
        <w:top w:val="none" w:sz="0" w:space="0" w:color="auto"/>
        <w:left w:val="none" w:sz="0" w:space="0" w:color="auto"/>
        <w:bottom w:val="none" w:sz="0" w:space="0" w:color="auto"/>
        <w:right w:val="none" w:sz="0" w:space="0" w:color="auto"/>
      </w:divBdr>
    </w:div>
    <w:div w:id="66533674">
      <w:bodyDiv w:val="1"/>
      <w:marLeft w:val="0"/>
      <w:marRight w:val="0"/>
      <w:marTop w:val="0"/>
      <w:marBottom w:val="0"/>
      <w:divBdr>
        <w:top w:val="none" w:sz="0" w:space="0" w:color="auto"/>
        <w:left w:val="none" w:sz="0" w:space="0" w:color="auto"/>
        <w:bottom w:val="none" w:sz="0" w:space="0" w:color="auto"/>
        <w:right w:val="none" w:sz="0" w:space="0" w:color="auto"/>
      </w:divBdr>
    </w:div>
    <w:div w:id="66608838">
      <w:bodyDiv w:val="1"/>
      <w:marLeft w:val="0"/>
      <w:marRight w:val="0"/>
      <w:marTop w:val="0"/>
      <w:marBottom w:val="0"/>
      <w:divBdr>
        <w:top w:val="none" w:sz="0" w:space="0" w:color="auto"/>
        <w:left w:val="none" w:sz="0" w:space="0" w:color="auto"/>
        <w:bottom w:val="none" w:sz="0" w:space="0" w:color="auto"/>
        <w:right w:val="none" w:sz="0" w:space="0" w:color="auto"/>
      </w:divBdr>
    </w:div>
    <w:div w:id="66653015">
      <w:bodyDiv w:val="1"/>
      <w:marLeft w:val="0"/>
      <w:marRight w:val="0"/>
      <w:marTop w:val="0"/>
      <w:marBottom w:val="0"/>
      <w:divBdr>
        <w:top w:val="none" w:sz="0" w:space="0" w:color="auto"/>
        <w:left w:val="none" w:sz="0" w:space="0" w:color="auto"/>
        <w:bottom w:val="none" w:sz="0" w:space="0" w:color="auto"/>
        <w:right w:val="none" w:sz="0" w:space="0" w:color="auto"/>
      </w:divBdr>
    </w:div>
    <w:div w:id="66730099">
      <w:bodyDiv w:val="1"/>
      <w:marLeft w:val="0"/>
      <w:marRight w:val="0"/>
      <w:marTop w:val="0"/>
      <w:marBottom w:val="0"/>
      <w:divBdr>
        <w:top w:val="none" w:sz="0" w:space="0" w:color="auto"/>
        <w:left w:val="none" w:sz="0" w:space="0" w:color="auto"/>
        <w:bottom w:val="none" w:sz="0" w:space="0" w:color="auto"/>
        <w:right w:val="none" w:sz="0" w:space="0" w:color="auto"/>
      </w:divBdr>
    </w:div>
    <w:div w:id="66731330">
      <w:bodyDiv w:val="1"/>
      <w:marLeft w:val="0"/>
      <w:marRight w:val="0"/>
      <w:marTop w:val="0"/>
      <w:marBottom w:val="0"/>
      <w:divBdr>
        <w:top w:val="none" w:sz="0" w:space="0" w:color="auto"/>
        <w:left w:val="none" w:sz="0" w:space="0" w:color="auto"/>
        <w:bottom w:val="none" w:sz="0" w:space="0" w:color="auto"/>
        <w:right w:val="none" w:sz="0" w:space="0" w:color="auto"/>
      </w:divBdr>
    </w:div>
    <w:div w:id="66802274">
      <w:bodyDiv w:val="1"/>
      <w:marLeft w:val="0"/>
      <w:marRight w:val="0"/>
      <w:marTop w:val="0"/>
      <w:marBottom w:val="0"/>
      <w:divBdr>
        <w:top w:val="none" w:sz="0" w:space="0" w:color="auto"/>
        <w:left w:val="none" w:sz="0" w:space="0" w:color="auto"/>
        <w:bottom w:val="none" w:sz="0" w:space="0" w:color="auto"/>
        <w:right w:val="none" w:sz="0" w:space="0" w:color="auto"/>
      </w:divBdr>
    </w:div>
    <w:div w:id="66807572">
      <w:bodyDiv w:val="1"/>
      <w:marLeft w:val="0"/>
      <w:marRight w:val="0"/>
      <w:marTop w:val="0"/>
      <w:marBottom w:val="0"/>
      <w:divBdr>
        <w:top w:val="none" w:sz="0" w:space="0" w:color="auto"/>
        <w:left w:val="none" w:sz="0" w:space="0" w:color="auto"/>
        <w:bottom w:val="none" w:sz="0" w:space="0" w:color="auto"/>
        <w:right w:val="none" w:sz="0" w:space="0" w:color="auto"/>
      </w:divBdr>
    </w:div>
    <w:div w:id="66808607">
      <w:bodyDiv w:val="1"/>
      <w:marLeft w:val="0"/>
      <w:marRight w:val="0"/>
      <w:marTop w:val="0"/>
      <w:marBottom w:val="0"/>
      <w:divBdr>
        <w:top w:val="none" w:sz="0" w:space="0" w:color="auto"/>
        <w:left w:val="none" w:sz="0" w:space="0" w:color="auto"/>
        <w:bottom w:val="none" w:sz="0" w:space="0" w:color="auto"/>
        <w:right w:val="none" w:sz="0" w:space="0" w:color="auto"/>
      </w:divBdr>
    </w:div>
    <w:div w:id="66850816">
      <w:bodyDiv w:val="1"/>
      <w:marLeft w:val="0"/>
      <w:marRight w:val="0"/>
      <w:marTop w:val="0"/>
      <w:marBottom w:val="0"/>
      <w:divBdr>
        <w:top w:val="none" w:sz="0" w:space="0" w:color="auto"/>
        <w:left w:val="none" w:sz="0" w:space="0" w:color="auto"/>
        <w:bottom w:val="none" w:sz="0" w:space="0" w:color="auto"/>
        <w:right w:val="none" w:sz="0" w:space="0" w:color="auto"/>
      </w:divBdr>
    </w:div>
    <w:div w:id="66926814">
      <w:bodyDiv w:val="1"/>
      <w:marLeft w:val="0"/>
      <w:marRight w:val="0"/>
      <w:marTop w:val="0"/>
      <w:marBottom w:val="0"/>
      <w:divBdr>
        <w:top w:val="none" w:sz="0" w:space="0" w:color="auto"/>
        <w:left w:val="none" w:sz="0" w:space="0" w:color="auto"/>
        <w:bottom w:val="none" w:sz="0" w:space="0" w:color="auto"/>
        <w:right w:val="none" w:sz="0" w:space="0" w:color="auto"/>
      </w:divBdr>
    </w:div>
    <w:div w:id="67045430">
      <w:bodyDiv w:val="1"/>
      <w:marLeft w:val="0"/>
      <w:marRight w:val="0"/>
      <w:marTop w:val="0"/>
      <w:marBottom w:val="0"/>
      <w:divBdr>
        <w:top w:val="none" w:sz="0" w:space="0" w:color="auto"/>
        <w:left w:val="none" w:sz="0" w:space="0" w:color="auto"/>
        <w:bottom w:val="none" w:sz="0" w:space="0" w:color="auto"/>
        <w:right w:val="none" w:sz="0" w:space="0" w:color="auto"/>
      </w:divBdr>
    </w:div>
    <w:div w:id="67197708">
      <w:bodyDiv w:val="1"/>
      <w:marLeft w:val="0"/>
      <w:marRight w:val="0"/>
      <w:marTop w:val="0"/>
      <w:marBottom w:val="0"/>
      <w:divBdr>
        <w:top w:val="none" w:sz="0" w:space="0" w:color="auto"/>
        <w:left w:val="none" w:sz="0" w:space="0" w:color="auto"/>
        <w:bottom w:val="none" w:sz="0" w:space="0" w:color="auto"/>
        <w:right w:val="none" w:sz="0" w:space="0" w:color="auto"/>
      </w:divBdr>
    </w:div>
    <w:div w:id="67385222">
      <w:bodyDiv w:val="1"/>
      <w:marLeft w:val="0"/>
      <w:marRight w:val="0"/>
      <w:marTop w:val="0"/>
      <w:marBottom w:val="0"/>
      <w:divBdr>
        <w:top w:val="none" w:sz="0" w:space="0" w:color="auto"/>
        <w:left w:val="none" w:sz="0" w:space="0" w:color="auto"/>
        <w:bottom w:val="none" w:sz="0" w:space="0" w:color="auto"/>
        <w:right w:val="none" w:sz="0" w:space="0" w:color="auto"/>
      </w:divBdr>
    </w:div>
    <w:div w:id="67388567">
      <w:bodyDiv w:val="1"/>
      <w:marLeft w:val="0"/>
      <w:marRight w:val="0"/>
      <w:marTop w:val="0"/>
      <w:marBottom w:val="0"/>
      <w:divBdr>
        <w:top w:val="none" w:sz="0" w:space="0" w:color="auto"/>
        <w:left w:val="none" w:sz="0" w:space="0" w:color="auto"/>
        <w:bottom w:val="none" w:sz="0" w:space="0" w:color="auto"/>
        <w:right w:val="none" w:sz="0" w:space="0" w:color="auto"/>
      </w:divBdr>
    </w:div>
    <w:div w:id="67389652">
      <w:bodyDiv w:val="1"/>
      <w:marLeft w:val="0"/>
      <w:marRight w:val="0"/>
      <w:marTop w:val="0"/>
      <w:marBottom w:val="0"/>
      <w:divBdr>
        <w:top w:val="none" w:sz="0" w:space="0" w:color="auto"/>
        <w:left w:val="none" w:sz="0" w:space="0" w:color="auto"/>
        <w:bottom w:val="none" w:sz="0" w:space="0" w:color="auto"/>
        <w:right w:val="none" w:sz="0" w:space="0" w:color="auto"/>
      </w:divBdr>
    </w:div>
    <w:div w:id="67390832">
      <w:bodyDiv w:val="1"/>
      <w:marLeft w:val="0"/>
      <w:marRight w:val="0"/>
      <w:marTop w:val="0"/>
      <w:marBottom w:val="0"/>
      <w:divBdr>
        <w:top w:val="none" w:sz="0" w:space="0" w:color="auto"/>
        <w:left w:val="none" w:sz="0" w:space="0" w:color="auto"/>
        <w:bottom w:val="none" w:sz="0" w:space="0" w:color="auto"/>
        <w:right w:val="none" w:sz="0" w:space="0" w:color="auto"/>
      </w:divBdr>
    </w:div>
    <w:div w:id="67465094">
      <w:bodyDiv w:val="1"/>
      <w:marLeft w:val="0"/>
      <w:marRight w:val="0"/>
      <w:marTop w:val="0"/>
      <w:marBottom w:val="0"/>
      <w:divBdr>
        <w:top w:val="none" w:sz="0" w:space="0" w:color="auto"/>
        <w:left w:val="none" w:sz="0" w:space="0" w:color="auto"/>
        <w:bottom w:val="none" w:sz="0" w:space="0" w:color="auto"/>
        <w:right w:val="none" w:sz="0" w:space="0" w:color="auto"/>
      </w:divBdr>
    </w:div>
    <w:div w:id="67579215">
      <w:bodyDiv w:val="1"/>
      <w:marLeft w:val="0"/>
      <w:marRight w:val="0"/>
      <w:marTop w:val="0"/>
      <w:marBottom w:val="0"/>
      <w:divBdr>
        <w:top w:val="none" w:sz="0" w:space="0" w:color="auto"/>
        <w:left w:val="none" w:sz="0" w:space="0" w:color="auto"/>
        <w:bottom w:val="none" w:sz="0" w:space="0" w:color="auto"/>
        <w:right w:val="none" w:sz="0" w:space="0" w:color="auto"/>
      </w:divBdr>
    </w:div>
    <w:div w:id="67730735">
      <w:bodyDiv w:val="1"/>
      <w:marLeft w:val="0"/>
      <w:marRight w:val="0"/>
      <w:marTop w:val="0"/>
      <w:marBottom w:val="0"/>
      <w:divBdr>
        <w:top w:val="none" w:sz="0" w:space="0" w:color="auto"/>
        <w:left w:val="none" w:sz="0" w:space="0" w:color="auto"/>
        <w:bottom w:val="none" w:sz="0" w:space="0" w:color="auto"/>
        <w:right w:val="none" w:sz="0" w:space="0" w:color="auto"/>
      </w:divBdr>
    </w:div>
    <w:div w:id="67775648">
      <w:bodyDiv w:val="1"/>
      <w:marLeft w:val="0"/>
      <w:marRight w:val="0"/>
      <w:marTop w:val="0"/>
      <w:marBottom w:val="0"/>
      <w:divBdr>
        <w:top w:val="none" w:sz="0" w:space="0" w:color="auto"/>
        <w:left w:val="none" w:sz="0" w:space="0" w:color="auto"/>
        <w:bottom w:val="none" w:sz="0" w:space="0" w:color="auto"/>
        <w:right w:val="none" w:sz="0" w:space="0" w:color="auto"/>
      </w:divBdr>
    </w:div>
    <w:div w:id="67849122">
      <w:bodyDiv w:val="1"/>
      <w:marLeft w:val="0"/>
      <w:marRight w:val="0"/>
      <w:marTop w:val="0"/>
      <w:marBottom w:val="0"/>
      <w:divBdr>
        <w:top w:val="none" w:sz="0" w:space="0" w:color="auto"/>
        <w:left w:val="none" w:sz="0" w:space="0" w:color="auto"/>
        <w:bottom w:val="none" w:sz="0" w:space="0" w:color="auto"/>
        <w:right w:val="none" w:sz="0" w:space="0" w:color="auto"/>
      </w:divBdr>
    </w:div>
    <w:div w:id="67963567">
      <w:bodyDiv w:val="1"/>
      <w:marLeft w:val="0"/>
      <w:marRight w:val="0"/>
      <w:marTop w:val="0"/>
      <w:marBottom w:val="0"/>
      <w:divBdr>
        <w:top w:val="none" w:sz="0" w:space="0" w:color="auto"/>
        <w:left w:val="none" w:sz="0" w:space="0" w:color="auto"/>
        <w:bottom w:val="none" w:sz="0" w:space="0" w:color="auto"/>
        <w:right w:val="none" w:sz="0" w:space="0" w:color="auto"/>
      </w:divBdr>
    </w:div>
    <w:div w:id="68038717">
      <w:bodyDiv w:val="1"/>
      <w:marLeft w:val="0"/>
      <w:marRight w:val="0"/>
      <w:marTop w:val="0"/>
      <w:marBottom w:val="0"/>
      <w:divBdr>
        <w:top w:val="none" w:sz="0" w:space="0" w:color="auto"/>
        <w:left w:val="none" w:sz="0" w:space="0" w:color="auto"/>
        <w:bottom w:val="none" w:sz="0" w:space="0" w:color="auto"/>
        <w:right w:val="none" w:sz="0" w:space="0" w:color="auto"/>
      </w:divBdr>
    </w:div>
    <w:div w:id="68164667">
      <w:bodyDiv w:val="1"/>
      <w:marLeft w:val="0"/>
      <w:marRight w:val="0"/>
      <w:marTop w:val="0"/>
      <w:marBottom w:val="0"/>
      <w:divBdr>
        <w:top w:val="none" w:sz="0" w:space="0" w:color="auto"/>
        <w:left w:val="none" w:sz="0" w:space="0" w:color="auto"/>
        <w:bottom w:val="none" w:sz="0" w:space="0" w:color="auto"/>
        <w:right w:val="none" w:sz="0" w:space="0" w:color="auto"/>
      </w:divBdr>
    </w:div>
    <w:div w:id="68384675">
      <w:bodyDiv w:val="1"/>
      <w:marLeft w:val="0"/>
      <w:marRight w:val="0"/>
      <w:marTop w:val="0"/>
      <w:marBottom w:val="0"/>
      <w:divBdr>
        <w:top w:val="none" w:sz="0" w:space="0" w:color="auto"/>
        <w:left w:val="none" w:sz="0" w:space="0" w:color="auto"/>
        <w:bottom w:val="none" w:sz="0" w:space="0" w:color="auto"/>
        <w:right w:val="none" w:sz="0" w:space="0" w:color="auto"/>
      </w:divBdr>
    </w:div>
    <w:div w:id="68385251">
      <w:bodyDiv w:val="1"/>
      <w:marLeft w:val="0"/>
      <w:marRight w:val="0"/>
      <w:marTop w:val="0"/>
      <w:marBottom w:val="0"/>
      <w:divBdr>
        <w:top w:val="none" w:sz="0" w:space="0" w:color="auto"/>
        <w:left w:val="none" w:sz="0" w:space="0" w:color="auto"/>
        <w:bottom w:val="none" w:sz="0" w:space="0" w:color="auto"/>
        <w:right w:val="none" w:sz="0" w:space="0" w:color="auto"/>
      </w:divBdr>
    </w:div>
    <w:div w:id="68424517">
      <w:bodyDiv w:val="1"/>
      <w:marLeft w:val="0"/>
      <w:marRight w:val="0"/>
      <w:marTop w:val="0"/>
      <w:marBottom w:val="0"/>
      <w:divBdr>
        <w:top w:val="none" w:sz="0" w:space="0" w:color="auto"/>
        <w:left w:val="none" w:sz="0" w:space="0" w:color="auto"/>
        <w:bottom w:val="none" w:sz="0" w:space="0" w:color="auto"/>
        <w:right w:val="none" w:sz="0" w:space="0" w:color="auto"/>
      </w:divBdr>
    </w:div>
    <w:div w:id="68429712">
      <w:bodyDiv w:val="1"/>
      <w:marLeft w:val="0"/>
      <w:marRight w:val="0"/>
      <w:marTop w:val="0"/>
      <w:marBottom w:val="0"/>
      <w:divBdr>
        <w:top w:val="none" w:sz="0" w:space="0" w:color="auto"/>
        <w:left w:val="none" w:sz="0" w:space="0" w:color="auto"/>
        <w:bottom w:val="none" w:sz="0" w:space="0" w:color="auto"/>
        <w:right w:val="none" w:sz="0" w:space="0" w:color="auto"/>
      </w:divBdr>
    </w:div>
    <w:div w:id="68506539">
      <w:bodyDiv w:val="1"/>
      <w:marLeft w:val="0"/>
      <w:marRight w:val="0"/>
      <w:marTop w:val="0"/>
      <w:marBottom w:val="0"/>
      <w:divBdr>
        <w:top w:val="none" w:sz="0" w:space="0" w:color="auto"/>
        <w:left w:val="none" w:sz="0" w:space="0" w:color="auto"/>
        <w:bottom w:val="none" w:sz="0" w:space="0" w:color="auto"/>
        <w:right w:val="none" w:sz="0" w:space="0" w:color="auto"/>
      </w:divBdr>
    </w:div>
    <w:div w:id="68581593">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
    <w:div w:id="68770759">
      <w:bodyDiv w:val="1"/>
      <w:marLeft w:val="0"/>
      <w:marRight w:val="0"/>
      <w:marTop w:val="0"/>
      <w:marBottom w:val="0"/>
      <w:divBdr>
        <w:top w:val="none" w:sz="0" w:space="0" w:color="auto"/>
        <w:left w:val="none" w:sz="0" w:space="0" w:color="auto"/>
        <w:bottom w:val="none" w:sz="0" w:space="0" w:color="auto"/>
        <w:right w:val="none" w:sz="0" w:space="0" w:color="auto"/>
      </w:divBdr>
    </w:div>
    <w:div w:id="68889333">
      <w:bodyDiv w:val="1"/>
      <w:marLeft w:val="0"/>
      <w:marRight w:val="0"/>
      <w:marTop w:val="0"/>
      <w:marBottom w:val="0"/>
      <w:divBdr>
        <w:top w:val="none" w:sz="0" w:space="0" w:color="auto"/>
        <w:left w:val="none" w:sz="0" w:space="0" w:color="auto"/>
        <w:bottom w:val="none" w:sz="0" w:space="0" w:color="auto"/>
        <w:right w:val="none" w:sz="0" w:space="0" w:color="auto"/>
      </w:divBdr>
    </w:div>
    <w:div w:id="68889433">
      <w:bodyDiv w:val="1"/>
      <w:marLeft w:val="0"/>
      <w:marRight w:val="0"/>
      <w:marTop w:val="0"/>
      <w:marBottom w:val="0"/>
      <w:divBdr>
        <w:top w:val="none" w:sz="0" w:space="0" w:color="auto"/>
        <w:left w:val="none" w:sz="0" w:space="0" w:color="auto"/>
        <w:bottom w:val="none" w:sz="0" w:space="0" w:color="auto"/>
        <w:right w:val="none" w:sz="0" w:space="0" w:color="auto"/>
      </w:divBdr>
    </w:div>
    <w:div w:id="69081614">
      <w:bodyDiv w:val="1"/>
      <w:marLeft w:val="0"/>
      <w:marRight w:val="0"/>
      <w:marTop w:val="0"/>
      <w:marBottom w:val="0"/>
      <w:divBdr>
        <w:top w:val="none" w:sz="0" w:space="0" w:color="auto"/>
        <w:left w:val="none" w:sz="0" w:space="0" w:color="auto"/>
        <w:bottom w:val="none" w:sz="0" w:space="0" w:color="auto"/>
        <w:right w:val="none" w:sz="0" w:space="0" w:color="auto"/>
      </w:divBdr>
    </w:div>
    <w:div w:id="69230000">
      <w:bodyDiv w:val="1"/>
      <w:marLeft w:val="0"/>
      <w:marRight w:val="0"/>
      <w:marTop w:val="0"/>
      <w:marBottom w:val="0"/>
      <w:divBdr>
        <w:top w:val="none" w:sz="0" w:space="0" w:color="auto"/>
        <w:left w:val="none" w:sz="0" w:space="0" w:color="auto"/>
        <w:bottom w:val="none" w:sz="0" w:space="0" w:color="auto"/>
        <w:right w:val="none" w:sz="0" w:space="0" w:color="auto"/>
      </w:divBdr>
    </w:div>
    <w:div w:id="69356487">
      <w:bodyDiv w:val="1"/>
      <w:marLeft w:val="0"/>
      <w:marRight w:val="0"/>
      <w:marTop w:val="0"/>
      <w:marBottom w:val="0"/>
      <w:divBdr>
        <w:top w:val="none" w:sz="0" w:space="0" w:color="auto"/>
        <w:left w:val="none" w:sz="0" w:space="0" w:color="auto"/>
        <w:bottom w:val="none" w:sz="0" w:space="0" w:color="auto"/>
        <w:right w:val="none" w:sz="0" w:space="0" w:color="auto"/>
      </w:divBdr>
    </w:div>
    <w:div w:id="69424477">
      <w:bodyDiv w:val="1"/>
      <w:marLeft w:val="0"/>
      <w:marRight w:val="0"/>
      <w:marTop w:val="0"/>
      <w:marBottom w:val="0"/>
      <w:divBdr>
        <w:top w:val="none" w:sz="0" w:space="0" w:color="auto"/>
        <w:left w:val="none" w:sz="0" w:space="0" w:color="auto"/>
        <w:bottom w:val="none" w:sz="0" w:space="0" w:color="auto"/>
        <w:right w:val="none" w:sz="0" w:space="0" w:color="auto"/>
      </w:divBdr>
    </w:div>
    <w:div w:id="69429241">
      <w:bodyDiv w:val="1"/>
      <w:marLeft w:val="0"/>
      <w:marRight w:val="0"/>
      <w:marTop w:val="0"/>
      <w:marBottom w:val="0"/>
      <w:divBdr>
        <w:top w:val="none" w:sz="0" w:space="0" w:color="auto"/>
        <w:left w:val="none" w:sz="0" w:space="0" w:color="auto"/>
        <w:bottom w:val="none" w:sz="0" w:space="0" w:color="auto"/>
        <w:right w:val="none" w:sz="0" w:space="0" w:color="auto"/>
      </w:divBdr>
    </w:div>
    <w:div w:id="69473341">
      <w:bodyDiv w:val="1"/>
      <w:marLeft w:val="0"/>
      <w:marRight w:val="0"/>
      <w:marTop w:val="0"/>
      <w:marBottom w:val="0"/>
      <w:divBdr>
        <w:top w:val="none" w:sz="0" w:space="0" w:color="auto"/>
        <w:left w:val="none" w:sz="0" w:space="0" w:color="auto"/>
        <w:bottom w:val="none" w:sz="0" w:space="0" w:color="auto"/>
        <w:right w:val="none" w:sz="0" w:space="0" w:color="auto"/>
      </w:divBdr>
    </w:div>
    <w:div w:id="69500284">
      <w:bodyDiv w:val="1"/>
      <w:marLeft w:val="0"/>
      <w:marRight w:val="0"/>
      <w:marTop w:val="0"/>
      <w:marBottom w:val="0"/>
      <w:divBdr>
        <w:top w:val="none" w:sz="0" w:space="0" w:color="auto"/>
        <w:left w:val="none" w:sz="0" w:space="0" w:color="auto"/>
        <w:bottom w:val="none" w:sz="0" w:space="0" w:color="auto"/>
        <w:right w:val="none" w:sz="0" w:space="0" w:color="auto"/>
      </w:divBdr>
    </w:div>
    <w:div w:id="69543649">
      <w:bodyDiv w:val="1"/>
      <w:marLeft w:val="0"/>
      <w:marRight w:val="0"/>
      <w:marTop w:val="0"/>
      <w:marBottom w:val="0"/>
      <w:divBdr>
        <w:top w:val="none" w:sz="0" w:space="0" w:color="auto"/>
        <w:left w:val="none" w:sz="0" w:space="0" w:color="auto"/>
        <w:bottom w:val="none" w:sz="0" w:space="0" w:color="auto"/>
        <w:right w:val="none" w:sz="0" w:space="0" w:color="auto"/>
      </w:divBdr>
    </w:div>
    <w:div w:id="69620246">
      <w:bodyDiv w:val="1"/>
      <w:marLeft w:val="0"/>
      <w:marRight w:val="0"/>
      <w:marTop w:val="0"/>
      <w:marBottom w:val="0"/>
      <w:divBdr>
        <w:top w:val="none" w:sz="0" w:space="0" w:color="auto"/>
        <w:left w:val="none" w:sz="0" w:space="0" w:color="auto"/>
        <w:bottom w:val="none" w:sz="0" w:space="0" w:color="auto"/>
        <w:right w:val="none" w:sz="0" w:space="0" w:color="auto"/>
      </w:divBdr>
    </w:div>
    <w:div w:id="69666620">
      <w:bodyDiv w:val="1"/>
      <w:marLeft w:val="0"/>
      <w:marRight w:val="0"/>
      <w:marTop w:val="0"/>
      <w:marBottom w:val="0"/>
      <w:divBdr>
        <w:top w:val="none" w:sz="0" w:space="0" w:color="auto"/>
        <w:left w:val="none" w:sz="0" w:space="0" w:color="auto"/>
        <w:bottom w:val="none" w:sz="0" w:space="0" w:color="auto"/>
        <w:right w:val="none" w:sz="0" w:space="0" w:color="auto"/>
      </w:divBdr>
    </w:div>
    <w:div w:id="69737165">
      <w:bodyDiv w:val="1"/>
      <w:marLeft w:val="0"/>
      <w:marRight w:val="0"/>
      <w:marTop w:val="0"/>
      <w:marBottom w:val="0"/>
      <w:divBdr>
        <w:top w:val="none" w:sz="0" w:space="0" w:color="auto"/>
        <w:left w:val="none" w:sz="0" w:space="0" w:color="auto"/>
        <w:bottom w:val="none" w:sz="0" w:space="0" w:color="auto"/>
        <w:right w:val="none" w:sz="0" w:space="0" w:color="auto"/>
      </w:divBdr>
    </w:div>
    <w:div w:id="69809524">
      <w:bodyDiv w:val="1"/>
      <w:marLeft w:val="0"/>
      <w:marRight w:val="0"/>
      <w:marTop w:val="0"/>
      <w:marBottom w:val="0"/>
      <w:divBdr>
        <w:top w:val="none" w:sz="0" w:space="0" w:color="auto"/>
        <w:left w:val="none" w:sz="0" w:space="0" w:color="auto"/>
        <w:bottom w:val="none" w:sz="0" w:space="0" w:color="auto"/>
        <w:right w:val="none" w:sz="0" w:space="0" w:color="auto"/>
      </w:divBdr>
    </w:div>
    <w:div w:id="69884974">
      <w:bodyDiv w:val="1"/>
      <w:marLeft w:val="0"/>
      <w:marRight w:val="0"/>
      <w:marTop w:val="0"/>
      <w:marBottom w:val="0"/>
      <w:divBdr>
        <w:top w:val="none" w:sz="0" w:space="0" w:color="auto"/>
        <w:left w:val="none" w:sz="0" w:space="0" w:color="auto"/>
        <w:bottom w:val="none" w:sz="0" w:space="0" w:color="auto"/>
        <w:right w:val="none" w:sz="0" w:space="0" w:color="auto"/>
      </w:divBdr>
    </w:div>
    <w:div w:id="69890003">
      <w:bodyDiv w:val="1"/>
      <w:marLeft w:val="0"/>
      <w:marRight w:val="0"/>
      <w:marTop w:val="0"/>
      <w:marBottom w:val="0"/>
      <w:divBdr>
        <w:top w:val="none" w:sz="0" w:space="0" w:color="auto"/>
        <w:left w:val="none" w:sz="0" w:space="0" w:color="auto"/>
        <w:bottom w:val="none" w:sz="0" w:space="0" w:color="auto"/>
        <w:right w:val="none" w:sz="0" w:space="0" w:color="auto"/>
      </w:divBdr>
    </w:div>
    <w:div w:id="70082042">
      <w:bodyDiv w:val="1"/>
      <w:marLeft w:val="0"/>
      <w:marRight w:val="0"/>
      <w:marTop w:val="0"/>
      <w:marBottom w:val="0"/>
      <w:divBdr>
        <w:top w:val="none" w:sz="0" w:space="0" w:color="auto"/>
        <w:left w:val="none" w:sz="0" w:space="0" w:color="auto"/>
        <w:bottom w:val="none" w:sz="0" w:space="0" w:color="auto"/>
        <w:right w:val="none" w:sz="0" w:space="0" w:color="auto"/>
      </w:divBdr>
    </w:div>
    <w:div w:id="70348206">
      <w:bodyDiv w:val="1"/>
      <w:marLeft w:val="0"/>
      <w:marRight w:val="0"/>
      <w:marTop w:val="0"/>
      <w:marBottom w:val="0"/>
      <w:divBdr>
        <w:top w:val="none" w:sz="0" w:space="0" w:color="auto"/>
        <w:left w:val="none" w:sz="0" w:space="0" w:color="auto"/>
        <w:bottom w:val="none" w:sz="0" w:space="0" w:color="auto"/>
        <w:right w:val="none" w:sz="0" w:space="0" w:color="auto"/>
      </w:divBdr>
    </w:div>
    <w:div w:id="70466666">
      <w:bodyDiv w:val="1"/>
      <w:marLeft w:val="0"/>
      <w:marRight w:val="0"/>
      <w:marTop w:val="0"/>
      <w:marBottom w:val="0"/>
      <w:divBdr>
        <w:top w:val="none" w:sz="0" w:space="0" w:color="auto"/>
        <w:left w:val="none" w:sz="0" w:space="0" w:color="auto"/>
        <w:bottom w:val="none" w:sz="0" w:space="0" w:color="auto"/>
        <w:right w:val="none" w:sz="0" w:space="0" w:color="auto"/>
      </w:divBdr>
    </w:div>
    <w:div w:id="70543964">
      <w:bodyDiv w:val="1"/>
      <w:marLeft w:val="0"/>
      <w:marRight w:val="0"/>
      <w:marTop w:val="0"/>
      <w:marBottom w:val="0"/>
      <w:divBdr>
        <w:top w:val="none" w:sz="0" w:space="0" w:color="auto"/>
        <w:left w:val="none" w:sz="0" w:space="0" w:color="auto"/>
        <w:bottom w:val="none" w:sz="0" w:space="0" w:color="auto"/>
        <w:right w:val="none" w:sz="0" w:space="0" w:color="auto"/>
      </w:divBdr>
    </w:div>
    <w:div w:id="70585233">
      <w:bodyDiv w:val="1"/>
      <w:marLeft w:val="0"/>
      <w:marRight w:val="0"/>
      <w:marTop w:val="0"/>
      <w:marBottom w:val="0"/>
      <w:divBdr>
        <w:top w:val="none" w:sz="0" w:space="0" w:color="auto"/>
        <w:left w:val="none" w:sz="0" w:space="0" w:color="auto"/>
        <w:bottom w:val="none" w:sz="0" w:space="0" w:color="auto"/>
        <w:right w:val="none" w:sz="0" w:space="0" w:color="auto"/>
      </w:divBdr>
    </w:div>
    <w:div w:id="70592352">
      <w:bodyDiv w:val="1"/>
      <w:marLeft w:val="0"/>
      <w:marRight w:val="0"/>
      <w:marTop w:val="0"/>
      <w:marBottom w:val="0"/>
      <w:divBdr>
        <w:top w:val="none" w:sz="0" w:space="0" w:color="auto"/>
        <w:left w:val="none" w:sz="0" w:space="0" w:color="auto"/>
        <w:bottom w:val="none" w:sz="0" w:space="0" w:color="auto"/>
        <w:right w:val="none" w:sz="0" w:space="0" w:color="auto"/>
      </w:divBdr>
    </w:div>
    <w:div w:id="70666424">
      <w:bodyDiv w:val="1"/>
      <w:marLeft w:val="0"/>
      <w:marRight w:val="0"/>
      <w:marTop w:val="0"/>
      <w:marBottom w:val="0"/>
      <w:divBdr>
        <w:top w:val="none" w:sz="0" w:space="0" w:color="auto"/>
        <w:left w:val="none" w:sz="0" w:space="0" w:color="auto"/>
        <w:bottom w:val="none" w:sz="0" w:space="0" w:color="auto"/>
        <w:right w:val="none" w:sz="0" w:space="0" w:color="auto"/>
      </w:divBdr>
    </w:div>
    <w:div w:id="70855158">
      <w:bodyDiv w:val="1"/>
      <w:marLeft w:val="0"/>
      <w:marRight w:val="0"/>
      <w:marTop w:val="0"/>
      <w:marBottom w:val="0"/>
      <w:divBdr>
        <w:top w:val="none" w:sz="0" w:space="0" w:color="auto"/>
        <w:left w:val="none" w:sz="0" w:space="0" w:color="auto"/>
        <w:bottom w:val="none" w:sz="0" w:space="0" w:color="auto"/>
        <w:right w:val="none" w:sz="0" w:space="0" w:color="auto"/>
      </w:divBdr>
    </w:div>
    <w:div w:id="70927700">
      <w:bodyDiv w:val="1"/>
      <w:marLeft w:val="0"/>
      <w:marRight w:val="0"/>
      <w:marTop w:val="0"/>
      <w:marBottom w:val="0"/>
      <w:divBdr>
        <w:top w:val="none" w:sz="0" w:space="0" w:color="auto"/>
        <w:left w:val="none" w:sz="0" w:space="0" w:color="auto"/>
        <w:bottom w:val="none" w:sz="0" w:space="0" w:color="auto"/>
        <w:right w:val="none" w:sz="0" w:space="0" w:color="auto"/>
      </w:divBdr>
    </w:div>
    <w:div w:id="70929508">
      <w:bodyDiv w:val="1"/>
      <w:marLeft w:val="0"/>
      <w:marRight w:val="0"/>
      <w:marTop w:val="0"/>
      <w:marBottom w:val="0"/>
      <w:divBdr>
        <w:top w:val="none" w:sz="0" w:space="0" w:color="auto"/>
        <w:left w:val="none" w:sz="0" w:space="0" w:color="auto"/>
        <w:bottom w:val="none" w:sz="0" w:space="0" w:color="auto"/>
        <w:right w:val="none" w:sz="0" w:space="0" w:color="auto"/>
      </w:divBdr>
    </w:div>
    <w:div w:id="70935967">
      <w:bodyDiv w:val="1"/>
      <w:marLeft w:val="0"/>
      <w:marRight w:val="0"/>
      <w:marTop w:val="0"/>
      <w:marBottom w:val="0"/>
      <w:divBdr>
        <w:top w:val="none" w:sz="0" w:space="0" w:color="auto"/>
        <w:left w:val="none" w:sz="0" w:space="0" w:color="auto"/>
        <w:bottom w:val="none" w:sz="0" w:space="0" w:color="auto"/>
        <w:right w:val="none" w:sz="0" w:space="0" w:color="auto"/>
      </w:divBdr>
    </w:div>
    <w:div w:id="71120790">
      <w:bodyDiv w:val="1"/>
      <w:marLeft w:val="0"/>
      <w:marRight w:val="0"/>
      <w:marTop w:val="0"/>
      <w:marBottom w:val="0"/>
      <w:divBdr>
        <w:top w:val="none" w:sz="0" w:space="0" w:color="auto"/>
        <w:left w:val="none" w:sz="0" w:space="0" w:color="auto"/>
        <w:bottom w:val="none" w:sz="0" w:space="0" w:color="auto"/>
        <w:right w:val="none" w:sz="0" w:space="0" w:color="auto"/>
      </w:divBdr>
    </w:div>
    <w:div w:id="71124909">
      <w:bodyDiv w:val="1"/>
      <w:marLeft w:val="0"/>
      <w:marRight w:val="0"/>
      <w:marTop w:val="0"/>
      <w:marBottom w:val="0"/>
      <w:divBdr>
        <w:top w:val="none" w:sz="0" w:space="0" w:color="auto"/>
        <w:left w:val="none" w:sz="0" w:space="0" w:color="auto"/>
        <w:bottom w:val="none" w:sz="0" w:space="0" w:color="auto"/>
        <w:right w:val="none" w:sz="0" w:space="0" w:color="auto"/>
      </w:divBdr>
    </w:div>
    <w:div w:id="71197954">
      <w:bodyDiv w:val="1"/>
      <w:marLeft w:val="0"/>
      <w:marRight w:val="0"/>
      <w:marTop w:val="0"/>
      <w:marBottom w:val="0"/>
      <w:divBdr>
        <w:top w:val="none" w:sz="0" w:space="0" w:color="auto"/>
        <w:left w:val="none" w:sz="0" w:space="0" w:color="auto"/>
        <w:bottom w:val="none" w:sz="0" w:space="0" w:color="auto"/>
        <w:right w:val="none" w:sz="0" w:space="0" w:color="auto"/>
      </w:divBdr>
    </w:div>
    <w:div w:id="71199771">
      <w:bodyDiv w:val="1"/>
      <w:marLeft w:val="0"/>
      <w:marRight w:val="0"/>
      <w:marTop w:val="0"/>
      <w:marBottom w:val="0"/>
      <w:divBdr>
        <w:top w:val="none" w:sz="0" w:space="0" w:color="auto"/>
        <w:left w:val="none" w:sz="0" w:space="0" w:color="auto"/>
        <w:bottom w:val="none" w:sz="0" w:space="0" w:color="auto"/>
        <w:right w:val="none" w:sz="0" w:space="0" w:color="auto"/>
      </w:divBdr>
    </w:div>
    <w:div w:id="71200691">
      <w:bodyDiv w:val="1"/>
      <w:marLeft w:val="0"/>
      <w:marRight w:val="0"/>
      <w:marTop w:val="0"/>
      <w:marBottom w:val="0"/>
      <w:divBdr>
        <w:top w:val="none" w:sz="0" w:space="0" w:color="auto"/>
        <w:left w:val="none" w:sz="0" w:space="0" w:color="auto"/>
        <w:bottom w:val="none" w:sz="0" w:space="0" w:color="auto"/>
        <w:right w:val="none" w:sz="0" w:space="0" w:color="auto"/>
      </w:divBdr>
    </w:div>
    <w:div w:id="71244074">
      <w:bodyDiv w:val="1"/>
      <w:marLeft w:val="0"/>
      <w:marRight w:val="0"/>
      <w:marTop w:val="0"/>
      <w:marBottom w:val="0"/>
      <w:divBdr>
        <w:top w:val="none" w:sz="0" w:space="0" w:color="auto"/>
        <w:left w:val="none" w:sz="0" w:space="0" w:color="auto"/>
        <w:bottom w:val="none" w:sz="0" w:space="0" w:color="auto"/>
        <w:right w:val="none" w:sz="0" w:space="0" w:color="auto"/>
      </w:divBdr>
    </w:div>
    <w:div w:id="71321445">
      <w:bodyDiv w:val="1"/>
      <w:marLeft w:val="0"/>
      <w:marRight w:val="0"/>
      <w:marTop w:val="0"/>
      <w:marBottom w:val="0"/>
      <w:divBdr>
        <w:top w:val="none" w:sz="0" w:space="0" w:color="auto"/>
        <w:left w:val="none" w:sz="0" w:space="0" w:color="auto"/>
        <w:bottom w:val="none" w:sz="0" w:space="0" w:color="auto"/>
        <w:right w:val="none" w:sz="0" w:space="0" w:color="auto"/>
      </w:divBdr>
    </w:div>
    <w:div w:id="71397189">
      <w:bodyDiv w:val="1"/>
      <w:marLeft w:val="0"/>
      <w:marRight w:val="0"/>
      <w:marTop w:val="0"/>
      <w:marBottom w:val="0"/>
      <w:divBdr>
        <w:top w:val="none" w:sz="0" w:space="0" w:color="auto"/>
        <w:left w:val="none" w:sz="0" w:space="0" w:color="auto"/>
        <w:bottom w:val="none" w:sz="0" w:space="0" w:color="auto"/>
        <w:right w:val="none" w:sz="0" w:space="0" w:color="auto"/>
      </w:divBdr>
    </w:div>
    <w:div w:id="71464108">
      <w:bodyDiv w:val="1"/>
      <w:marLeft w:val="0"/>
      <w:marRight w:val="0"/>
      <w:marTop w:val="0"/>
      <w:marBottom w:val="0"/>
      <w:divBdr>
        <w:top w:val="none" w:sz="0" w:space="0" w:color="auto"/>
        <w:left w:val="none" w:sz="0" w:space="0" w:color="auto"/>
        <w:bottom w:val="none" w:sz="0" w:space="0" w:color="auto"/>
        <w:right w:val="none" w:sz="0" w:space="0" w:color="auto"/>
      </w:divBdr>
    </w:div>
    <w:div w:id="71657729">
      <w:bodyDiv w:val="1"/>
      <w:marLeft w:val="0"/>
      <w:marRight w:val="0"/>
      <w:marTop w:val="0"/>
      <w:marBottom w:val="0"/>
      <w:divBdr>
        <w:top w:val="none" w:sz="0" w:space="0" w:color="auto"/>
        <w:left w:val="none" w:sz="0" w:space="0" w:color="auto"/>
        <w:bottom w:val="none" w:sz="0" w:space="0" w:color="auto"/>
        <w:right w:val="none" w:sz="0" w:space="0" w:color="auto"/>
      </w:divBdr>
    </w:div>
    <w:div w:id="71659358">
      <w:bodyDiv w:val="1"/>
      <w:marLeft w:val="0"/>
      <w:marRight w:val="0"/>
      <w:marTop w:val="0"/>
      <w:marBottom w:val="0"/>
      <w:divBdr>
        <w:top w:val="none" w:sz="0" w:space="0" w:color="auto"/>
        <w:left w:val="none" w:sz="0" w:space="0" w:color="auto"/>
        <w:bottom w:val="none" w:sz="0" w:space="0" w:color="auto"/>
        <w:right w:val="none" w:sz="0" w:space="0" w:color="auto"/>
      </w:divBdr>
    </w:div>
    <w:div w:id="71701749">
      <w:bodyDiv w:val="1"/>
      <w:marLeft w:val="0"/>
      <w:marRight w:val="0"/>
      <w:marTop w:val="0"/>
      <w:marBottom w:val="0"/>
      <w:divBdr>
        <w:top w:val="none" w:sz="0" w:space="0" w:color="auto"/>
        <w:left w:val="none" w:sz="0" w:space="0" w:color="auto"/>
        <w:bottom w:val="none" w:sz="0" w:space="0" w:color="auto"/>
        <w:right w:val="none" w:sz="0" w:space="0" w:color="auto"/>
      </w:divBdr>
    </w:div>
    <w:div w:id="72289315">
      <w:bodyDiv w:val="1"/>
      <w:marLeft w:val="0"/>
      <w:marRight w:val="0"/>
      <w:marTop w:val="0"/>
      <w:marBottom w:val="0"/>
      <w:divBdr>
        <w:top w:val="none" w:sz="0" w:space="0" w:color="auto"/>
        <w:left w:val="none" w:sz="0" w:space="0" w:color="auto"/>
        <w:bottom w:val="none" w:sz="0" w:space="0" w:color="auto"/>
        <w:right w:val="none" w:sz="0" w:space="0" w:color="auto"/>
      </w:divBdr>
    </w:div>
    <w:div w:id="72507334">
      <w:bodyDiv w:val="1"/>
      <w:marLeft w:val="0"/>
      <w:marRight w:val="0"/>
      <w:marTop w:val="0"/>
      <w:marBottom w:val="0"/>
      <w:divBdr>
        <w:top w:val="none" w:sz="0" w:space="0" w:color="auto"/>
        <w:left w:val="none" w:sz="0" w:space="0" w:color="auto"/>
        <w:bottom w:val="none" w:sz="0" w:space="0" w:color="auto"/>
        <w:right w:val="none" w:sz="0" w:space="0" w:color="auto"/>
      </w:divBdr>
    </w:div>
    <w:div w:id="72511050">
      <w:bodyDiv w:val="1"/>
      <w:marLeft w:val="0"/>
      <w:marRight w:val="0"/>
      <w:marTop w:val="0"/>
      <w:marBottom w:val="0"/>
      <w:divBdr>
        <w:top w:val="none" w:sz="0" w:space="0" w:color="auto"/>
        <w:left w:val="none" w:sz="0" w:space="0" w:color="auto"/>
        <w:bottom w:val="none" w:sz="0" w:space="0" w:color="auto"/>
        <w:right w:val="none" w:sz="0" w:space="0" w:color="auto"/>
      </w:divBdr>
    </w:div>
    <w:div w:id="72706338">
      <w:bodyDiv w:val="1"/>
      <w:marLeft w:val="0"/>
      <w:marRight w:val="0"/>
      <w:marTop w:val="0"/>
      <w:marBottom w:val="0"/>
      <w:divBdr>
        <w:top w:val="none" w:sz="0" w:space="0" w:color="auto"/>
        <w:left w:val="none" w:sz="0" w:space="0" w:color="auto"/>
        <w:bottom w:val="none" w:sz="0" w:space="0" w:color="auto"/>
        <w:right w:val="none" w:sz="0" w:space="0" w:color="auto"/>
      </w:divBdr>
    </w:div>
    <w:div w:id="72746088">
      <w:bodyDiv w:val="1"/>
      <w:marLeft w:val="0"/>
      <w:marRight w:val="0"/>
      <w:marTop w:val="0"/>
      <w:marBottom w:val="0"/>
      <w:divBdr>
        <w:top w:val="none" w:sz="0" w:space="0" w:color="auto"/>
        <w:left w:val="none" w:sz="0" w:space="0" w:color="auto"/>
        <w:bottom w:val="none" w:sz="0" w:space="0" w:color="auto"/>
        <w:right w:val="none" w:sz="0" w:space="0" w:color="auto"/>
      </w:divBdr>
    </w:div>
    <w:div w:id="72750592">
      <w:bodyDiv w:val="1"/>
      <w:marLeft w:val="0"/>
      <w:marRight w:val="0"/>
      <w:marTop w:val="0"/>
      <w:marBottom w:val="0"/>
      <w:divBdr>
        <w:top w:val="none" w:sz="0" w:space="0" w:color="auto"/>
        <w:left w:val="none" w:sz="0" w:space="0" w:color="auto"/>
        <w:bottom w:val="none" w:sz="0" w:space="0" w:color="auto"/>
        <w:right w:val="none" w:sz="0" w:space="0" w:color="auto"/>
      </w:divBdr>
    </w:div>
    <w:div w:id="72899262">
      <w:bodyDiv w:val="1"/>
      <w:marLeft w:val="0"/>
      <w:marRight w:val="0"/>
      <w:marTop w:val="0"/>
      <w:marBottom w:val="0"/>
      <w:divBdr>
        <w:top w:val="none" w:sz="0" w:space="0" w:color="auto"/>
        <w:left w:val="none" w:sz="0" w:space="0" w:color="auto"/>
        <w:bottom w:val="none" w:sz="0" w:space="0" w:color="auto"/>
        <w:right w:val="none" w:sz="0" w:space="0" w:color="auto"/>
      </w:divBdr>
    </w:div>
    <w:div w:id="72942692">
      <w:bodyDiv w:val="1"/>
      <w:marLeft w:val="0"/>
      <w:marRight w:val="0"/>
      <w:marTop w:val="0"/>
      <w:marBottom w:val="0"/>
      <w:divBdr>
        <w:top w:val="none" w:sz="0" w:space="0" w:color="auto"/>
        <w:left w:val="none" w:sz="0" w:space="0" w:color="auto"/>
        <w:bottom w:val="none" w:sz="0" w:space="0" w:color="auto"/>
        <w:right w:val="none" w:sz="0" w:space="0" w:color="auto"/>
      </w:divBdr>
    </w:div>
    <w:div w:id="73086055">
      <w:bodyDiv w:val="1"/>
      <w:marLeft w:val="0"/>
      <w:marRight w:val="0"/>
      <w:marTop w:val="0"/>
      <w:marBottom w:val="0"/>
      <w:divBdr>
        <w:top w:val="none" w:sz="0" w:space="0" w:color="auto"/>
        <w:left w:val="none" w:sz="0" w:space="0" w:color="auto"/>
        <w:bottom w:val="none" w:sz="0" w:space="0" w:color="auto"/>
        <w:right w:val="none" w:sz="0" w:space="0" w:color="auto"/>
      </w:divBdr>
    </w:div>
    <w:div w:id="73087022">
      <w:bodyDiv w:val="1"/>
      <w:marLeft w:val="0"/>
      <w:marRight w:val="0"/>
      <w:marTop w:val="0"/>
      <w:marBottom w:val="0"/>
      <w:divBdr>
        <w:top w:val="none" w:sz="0" w:space="0" w:color="auto"/>
        <w:left w:val="none" w:sz="0" w:space="0" w:color="auto"/>
        <w:bottom w:val="none" w:sz="0" w:space="0" w:color="auto"/>
        <w:right w:val="none" w:sz="0" w:space="0" w:color="auto"/>
      </w:divBdr>
    </w:div>
    <w:div w:id="73089910">
      <w:bodyDiv w:val="1"/>
      <w:marLeft w:val="0"/>
      <w:marRight w:val="0"/>
      <w:marTop w:val="0"/>
      <w:marBottom w:val="0"/>
      <w:divBdr>
        <w:top w:val="none" w:sz="0" w:space="0" w:color="auto"/>
        <w:left w:val="none" w:sz="0" w:space="0" w:color="auto"/>
        <w:bottom w:val="none" w:sz="0" w:space="0" w:color="auto"/>
        <w:right w:val="none" w:sz="0" w:space="0" w:color="auto"/>
      </w:divBdr>
    </w:div>
    <w:div w:id="73280428">
      <w:bodyDiv w:val="1"/>
      <w:marLeft w:val="0"/>
      <w:marRight w:val="0"/>
      <w:marTop w:val="0"/>
      <w:marBottom w:val="0"/>
      <w:divBdr>
        <w:top w:val="none" w:sz="0" w:space="0" w:color="auto"/>
        <w:left w:val="none" w:sz="0" w:space="0" w:color="auto"/>
        <w:bottom w:val="none" w:sz="0" w:space="0" w:color="auto"/>
        <w:right w:val="none" w:sz="0" w:space="0" w:color="auto"/>
      </w:divBdr>
    </w:div>
    <w:div w:id="73283063">
      <w:bodyDiv w:val="1"/>
      <w:marLeft w:val="0"/>
      <w:marRight w:val="0"/>
      <w:marTop w:val="0"/>
      <w:marBottom w:val="0"/>
      <w:divBdr>
        <w:top w:val="none" w:sz="0" w:space="0" w:color="auto"/>
        <w:left w:val="none" w:sz="0" w:space="0" w:color="auto"/>
        <w:bottom w:val="none" w:sz="0" w:space="0" w:color="auto"/>
        <w:right w:val="none" w:sz="0" w:space="0" w:color="auto"/>
      </w:divBdr>
    </w:div>
    <w:div w:id="73288899">
      <w:bodyDiv w:val="1"/>
      <w:marLeft w:val="0"/>
      <w:marRight w:val="0"/>
      <w:marTop w:val="0"/>
      <w:marBottom w:val="0"/>
      <w:divBdr>
        <w:top w:val="none" w:sz="0" w:space="0" w:color="auto"/>
        <w:left w:val="none" w:sz="0" w:space="0" w:color="auto"/>
        <w:bottom w:val="none" w:sz="0" w:space="0" w:color="auto"/>
        <w:right w:val="none" w:sz="0" w:space="0" w:color="auto"/>
      </w:divBdr>
    </w:div>
    <w:div w:id="73480536">
      <w:bodyDiv w:val="1"/>
      <w:marLeft w:val="0"/>
      <w:marRight w:val="0"/>
      <w:marTop w:val="0"/>
      <w:marBottom w:val="0"/>
      <w:divBdr>
        <w:top w:val="none" w:sz="0" w:space="0" w:color="auto"/>
        <w:left w:val="none" w:sz="0" w:space="0" w:color="auto"/>
        <w:bottom w:val="none" w:sz="0" w:space="0" w:color="auto"/>
        <w:right w:val="none" w:sz="0" w:space="0" w:color="auto"/>
      </w:divBdr>
    </w:div>
    <w:div w:id="73481883">
      <w:bodyDiv w:val="1"/>
      <w:marLeft w:val="0"/>
      <w:marRight w:val="0"/>
      <w:marTop w:val="0"/>
      <w:marBottom w:val="0"/>
      <w:divBdr>
        <w:top w:val="none" w:sz="0" w:space="0" w:color="auto"/>
        <w:left w:val="none" w:sz="0" w:space="0" w:color="auto"/>
        <w:bottom w:val="none" w:sz="0" w:space="0" w:color="auto"/>
        <w:right w:val="none" w:sz="0" w:space="0" w:color="auto"/>
      </w:divBdr>
    </w:div>
    <w:div w:id="73598390">
      <w:bodyDiv w:val="1"/>
      <w:marLeft w:val="0"/>
      <w:marRight w:val="0"/>
      <w:marTop w:val="0"/>
      <w:marBottom w:val="0"/>
      <w:divBdr>
        <w:top w:val="none" w:sz="0" w:space="0" w:color="auto"/>
        <w:left w:val="none" w:sz="0" w:space="0" w:color="auto"/>
        <w:bottom w:val="none" w:sz="0" w:space="0" w:color="auto"/>
        <w:right w:val="none" w:sz="0" w:space="0" w:color="auto"/>
      </w:divBdr>
    </w:div>
    <w:div w:id="73666371">
      <w:bodyDiv w:val="1"/>
      <w:marLeft w:val="0"/>
      <w:marRight w:val="0"/>
      <w:marTop w:val="0"/>
      <w:marBottom w:val="0"/>
      <w:divBdr>
        <w:top w:val="none" w:sz="0" w:space="0" w:color="auto"/>
        <w:left w:val="none" w:sz="0" w:space="0" w:color="auto"/>
        <w:bottom w:val="none" w:sz="0" w:space="0" w:color="auto"/>
        <w:right w:val="none" w:sz="0" w:space="0" w:color="auto"/>
      </w:divBdr>
    </w:div>
    <w:div w:id="73819619">
      <w:bodyDiv w:val="1"/>
      <w:marLeft w:val="0"/>
      <w:marRight w:val="0"/>
      <w:marTop w:val="0"/>
      <w:marBottom w:val="0"/>
      <w:divBdr>
        <w:top w:val="none" w:sz="0" w:space="0" w:color="auto"/>
        <w:left w:val="none" w:sz="0" w:space="0" w:color="auto"/>
        <w:bottom w:val="none" w:sz="0" w:space="0" w:color="auto"/>
        <w:right w:val="none" w:sz="0" w:space="0" w:color="auto"/>
      </w:divBdr>
    </w:div>
    <w:div w:id="73825741">
      <w:bodyDiv w:val="1"/>
      <w:marLeft w:val="0"/>
      <w:marRight w:val="0"/>
      <w:marTop w:val="0"/>
      <w:marBottom w:val="0"/>
      <w:divBdr>
        <w:top w:val="none" w:sz="0" w:space="0" w:color="auto"/>
        <w:left w:val="none" w:sz="0" w:space="0" w:color="auto"/>
        <w:bottom w:val="none" w:sz="0" w:space="0" w:color="auto"/>
        <w:right w:val="none" w:sz="0" w:space="0" w:color="auto"/>
      </w:divBdr>
    </w:div>
    <w:div w:id="74010727">
      <w:bodyDiv w:val="1"/>
      <w:marLeft w:val="0"/>
      <w:marRight w:val="0"/>
      <w:marTop w:val="0"/>
      <w:marBottom w:val="0"/>
      <w:divBdr>
        <w:top w:val="none" w:sz="0" w:space="0" w:color="auto"/>
        <w:left w:val="none" w:sz="0" w:space="0" w:color="auto"/>
        <w:bottom w:val="none" w:sz="0" w:space="0" w:color="auto"/>
        <w:right w:val="none" w:sz="0" w:space="0" w:color="auto"/>
      </w:divBdr>
    </w:div>
    <w:div w:id="74017084">
      <w:bodyDiv w:val="1"/>
      <w:marLeft w:val="0"/>
      <w:marRight w:val="0"/>
      <w:marTop w:val="0"/>
      <w:marBottom w:val="0"/>
      <w:divBdr>
        <w:top w:val="none" w:sz="0" w:space="0" w:color="auto"/>
        <w:left w:val="none" w:sz="0" w:space="0" w:color="auto"/>
        <w:bottom w:val="none" w:sz="0" w:space="0" w:color="auto"/>
        <w:right w:val="none" w:sz="0" w:space="0" w:color="auto"/>
      </w:divBdr>
    </w:div>
    <w:div w:id="74018314">
      <w:bodyDiv w:val="1"/>
      <w:marLeft w:val="0"/>
      <w:marRight w:val="0"/>
      <w:marTop w:val="0"/>
      <w:marBottom w:val="0"/>
      <w:divBdr>
        <w:top w:val="none" w:sz="0" w:space="0" w:color="auto"/>
        <w:left w:val="none" w:sz="0" w:space="0" w:color="auto"/>
        <w:bottom w:val="none" w:sz="0" w:space="0" w:color="auto"/>
        <w:right w:val="none" w:sz="0" w:space="0" w:color="auto"/>
      </w:divBdr>
    </w:div>
    <w:div w:id="74131152">
      <w:bodyDiv w:val="1"/>
      <w:marLeft w:val="0"/>
      <w:marRight w:val="0"/>
      <w:marTop w:val="0"/>
      <w:marBottom w:val="0"/>
      <w:divBdr>
        <w:top w:val="none" w:sz="0" w:space="0" w:color="auto"/>
        <w:left w:val="none" w:sz="0" w:space="0" w:color="auto"/>
        <w:bottom w:val="none" w:sz="0" w:space="0" w:color="auto"/>
        <w:right w:val="none" w:sz="0" w:space="0" w:color="auto"/>
      </w:divBdr>
    </w:div>
    <w:div w:id="74131485">
      <w:bodyDiv w:val="1"/>
      <w:marLeft w:val="0"/>
      <w:marRight w:val="0"/>
      <w:marTop w:val="0"/>
      <w:marBottom w:val="0"/>
      <w:divBdr>
        <w:top w:val="none" w:sz="0" w:space="0" w:color="auto"/>
        <w:left w:val="none" w:sz="0" w:space="0" w:color="auto"/>
        <w:bottom w:val="none" w:sz="0" w:space="0" w:color="auto"/>
        <w:right w:val="none" w:sz="0" w:space="0" w:color="auto"/>
      </w:divBdr>
    </w:div>
    <w:div w:id="74133053">
      <w:bodyDiv w:val="1"/>
      <w:marLeft w:val="0"/>
      <w:marRight w:val="0"/>
      <w:marTop w:val="0"/>
      <w:marBottom w:val="0"/>
      <w:divBdr>
        <w:top w:val="none" w:sz="0" w:space="0" w:color="auto"/>
        <w:left w:val="none" w:sz="0" w:space="0" w:color="auto"/>
        <w:bottom w:val="none" w:sz="0" w:space="0" w:color="auto"/>
        <w:right w:val="none" w:sz="0" w:space="0" w:color="auto"/>
      </w:divBdr>
    </w:div>
    <w:div w:id="74207848">
      <w:bodyDiv w:val="1"/>
      <w:marLeft w:val="0"/>
      <w:marRight w:val="0"/>
      <w:marTop w:val="0"/>
      <w:marBottom w:val="0"/>
      <w:divBdr>
        <w:top w:val="none" w:sz="0" w:space="0" w:color="auto"/>
        <w:left w:val="none" w:sz="0" w:space="0" w:color="auto"/>
        <w:bottom w:val="none" w:sz="0" w:space="0" w:color="auto"/>
        <w:right w:val="none" w:sz="0" w:space="0" w:color="auto"/>
      </w:divBdr>
    </w:div>
    <w:div w:id="74281072">
      <w:bodyDiv w:val="1"/>
      <w:marLeft w:val="0"/>
      <w:marRight w:val="0"/>
      <w:marTop w:val="0"/>
      <w:marBottom w:val="0"/>
      <w:divBdr>
        <w:top w:val="none" w:sz="0" w:space="0" w:color="auto"/>
        <w:left w:val="none" w:sz="0" w:space="0" w:color="auto"/>
        <w:bottom w:val="none" w:sz="0" w:space="0" w:color="auto"/>
        <w:right w:val="none" w:sz="0" w:space="0" w:color="auto"/>
      </w:divBdr>
    </w:div>
    <w:div w:id="74403959">
      <w:bodyDiv w:val="1"/>
      <w:marLeft w:val="0"/>
      <w:marRight w:val="0"/>
      <w:marTop w:val="0"/>
      <w:marBottom w:val="0"/>
      <w:divBdr>
        <w:top w:val="none" w:sz="0" w:space="0" w:color="auto"/>
        <w:left w:val="none" w:sz="0" w:space="0" w:color="auto"/>
        <w:bottom w:val="none" w:sz="0" w:space="0" w:color="auto"/>
        <w:right w:val="none" w:sz="0" w:space="0" w:color="auto"/>
      </w:divBdr>
    </w:div>
    <w:div w:id="74478512">
      <w:bodyDiv w:val="1"/>
      <w:marLeft w:val="0"/>
      <w:marRight w:val="0"/>
      <w:marTop w:val="0"/>
      <w:marBottom w:val="0"/>
      <w:divBdr>
        <w:top w:val="none" w:sz="0" w:space="0" w:color="auto"/>
        <w:left w:val="none" w:sz="0" w:space="0" w:color="auto"/>
        <w:bottom w:val="none" w:sz="0" w:space="0" w:color="auto"/>
        <w:right w:val="none" w:sz="0" w:space="0" w:color="auto"/>
      </w:divBdr>
    </w:div>
    <w:div w:id="74514858">
      <w:bodyDiv w:val="1"/>
      <w:marLeft w:val="0"/>
      <w:marRight w:val="0"/>
      <w:marTop w:val="0"/>
      <w:marBottom w:val="0"/>
      <w:divBdr>
        <w:top w:val="none" w:sz="0" w:space="0" w:color="auto"/>
        <w:left w:val="none" w:sz="0" w:space="0" w:color="auto"/>
        <w:bottom w:val="none" w:sz="0" w:space="0" w:color="auto"/>
        <w:right w:val="none" w:sz="0" w:space="0" w:color="auto"/>
      </w:divBdr>
    </w:div>
    <w:div w:id="74519827">
      <w:bodyDiv w:val="1"/>
      <w:marLeft w:val="0"/>
      <w:marRight w:val="0"/>
      <w:marTop w:val="0"/>
      <w:marBottom w:val="0"/>
      <w:divBdr>
        <w:top w:val="none" w:sz="0" w:space="0" w:color="auto"/>
        <w:left w:val="none" w:sz="0" w:space="0" w:color="auto"/>
        <w:bottom w:val="none" w:sz="0" w:space="0" w:color="auto"/>
        <w:right w:val="none" w:sz="0" w:space="0" w:color="auto"/>
      </w:divBdr>
    </w:div>
    <w:div w:id="74669452">
      <w:bodyDiv w:val="1"/>
      <w:marLeft w:val="0"/>
      <w:marRight w:val="0"/>
      <w:marTop w:val="0"/>
      <w:marBottom w:val="0"/>
      <w:divBdr>
        <w:top w:val="none" w:sz="0" w:space="0" w:color="auto"/>
        <w:left w:val="none" w:sz="0" w:space="0" w:color="auto"/>
        <w:bottom w:val="none" w:sz="0" w:space="0" w:color="auto"/>
        <w:right w:val="none" w:sz="0" w:space="0" w:color="auto"/>
      </w:divBdr>
    </w:div>
    <w:div w:id="74743522">
      <w:bodyDiv w:val="1"/>
      <w:marLeft w:val="0"/>
      <w:marRight w:val="0"/>
      <w:marTop w:val="0"/>
      <w:marBottom w:val="0"/>
      <w:divBdr>
        <w:top w:val="none" w:sz="0" w:space="0" w:color="auto"/>
        <w:left w:val="none" w:sz="0" w:space="0" w:color="auto"/>
        <w:bottom w:val="none" w:sz="0" w:space="0" w:color="auto"/>
        <w:right w:val="none" w:sz="0" w:space="0" w:color="auto"/>
      </w:divBdr>
    </w:div>
    <w:div w:id="74867914">
      <w:bodyDiv w:val="1"/>
      <w:marLeft w:val="0"/>
      <w:marRight w:val="0"/>
      <w:marTop w:val="0"/>
      <w:marBottom w:val="0"/>
      <w:divBdr>
        <w:top w:val="none" w:sz="0" w:space="0" w:color="auto"/>
        <w:left w:val="none" w:sz="0" w:space="0" w:color="auto"/>
        <w:bottom w:val="none" w:sz="0" w:space="0" w:color="auto"/>
        <w:right w:val="none" w:sz="0" w:space="0" w:color="auto"/>
      </w:divBdr>
    </w:div>
    <w:div w:id="75053759">
      <w:bodyDiv w:val="1"/>
      <w:marLeft w:val="0"/>
      <w:marRight w:val="0"/>
      <w:marTop w:val="0"/>
      <w:marBottom w:val="0"/>
      <w:divBdr>
        <w:top w:val="none" w:sz="0" w:space="0" w:color="auto"/>
        <w:left w:val="none" w:sz="0" w:space="0" w:color="auto"/>
        <w:bottom w:val="none" w:sz="0" w:space="0" w:color="auto"/>
        <w:right w:val="none" w:sz="0" w:space="0" w:color="auto"/>
      </w:divBdr>
    </w:div>
    <w:div w:id="75127781">
      <w:bodyDiv w:val="1"/>
      <w:marLeft w:val="0"/>
      <w:marRight w:val="0"/>
      <w:marTop w:val="0"/>
      <w:marBottom w:val="0"/>
      <w:divBdr>
        <w:top w:val="none" w:sz="0" w:space="0" w:color="auto"/>
        <w:left w:val="none" w:sz="0" w:space="0" w:color="auto"/>
        <w:bottom w:val="none" w:sz="0" w:space="0" w:color="auto"/>
        <w:right w:val="none" w:sz="0" w:space="0" w:color="auto"/>
      </w:divBdr>
    </w:div>
    <w:div w:id="75368682">
      <w:bodyDiv w:val="1"/>
      <w:marLeft w:val="0"/>
      <w:marRight w:val="0"/>
      <w:marTop w:val="0"/>
      <w:marBottom w:val="0"/>
      <w:divBdr>
        <w:top w:val="none" w:sz="0" w:space="0" w:color="auto"/>
        <w:left w:val="none" w:sz="0" w:space="0" w:color="auto"/>
        <w:bottom w:val="none" w:sz="0" w:space="0" w:color="auto"/>
        <w:right w:val="none" w:sz="0" w:space="0" w:color="auto"/>
      </w:divBdr>
    </w:div>
    <w:div w:id="75589791">
      <w:bodyDiv w:val="1"/>
      <w:marLeft w:val="0"/>
      <w:marRight w:val="0"/>
      <w:marTop w:val="0"/>
      <w:marBottom w:val="0"/>
      <w:divBdr>
        <w:top w:val="none" w:sz="0" w:space="0" w:color="auto"/>
        <w:left w:val="none" w:sz="0" w:space="0" w:color="auto"/>
        <w:bottom w:val="none" w:sz="0" w:space="0" w:color="auto"/>
        <w:right w:val="none" w:sz="0" w:space="0" w:color="auto"/>
      </w:divBdr>
    </w:div>
    <w:div w:id="75595590">
      <w:bodyDiv w:val="1"/>
      <w:marLeft w:val="0"/>
      <w:marRight w:val="0"/>
      <w:marTop w:val="0"/>
      <w:marBottom w:val="0"/>
      <w:divBdr>
        <w:top w:val="none" w:sz="0" w:space="0" w:color="auto"/>
        <w:left w:val="none" w:sz="0" w:space="0" w:color="auto"/>
        <w:bottom w:val="none" w:sz="0" w:space="0" w:color="auto"/>
        <w:right w:val="none" w:sz="0" w:space="0" w:color="auto"/>
      </w:divBdr>
    </w:div>
    <w:div w:id="75631586">
      <w:bodyDiv w:val="1"/>
      <w:marLeft w:val="0"/>
      <w:marRight w:val="0"/>
      <w:marTop w:val="0"/>
      <w:marBottom w:val="0"/>
      <w:divBdr>
        <w:top w:val="none" w:sz="0" w:space="0" w:color="auto"/>
        <w:left w:val="none" w:sz="0" w:space="0" w:color="auto"/>
        <w:bottom w:val="none" w:sz="0" w:space="0" w:color="auto"/>
        <w:right w:val="none" w:sz="0" w:space="0" w:color="auto"/>
      </w:divBdr>
    </w:div>
    <w:div w:id="75638408">
      <w:bodyDiv w:val="1"/>
      <w:marLeft w:val="0"/>
      <w:marRight w:val="0"/>
      <w:marTop w:val="0"/>
      <w:marBottom w:val="0"/>
      <w:divBdr>
        <w:top w:val="none" w:sz="0" w:space="0" w:color="auto"/>
        <w:left w:val="none" w:sz="0" w:space="0" w:color="auto"/>
        <w:bottom w:val="none" w:sz="0" w:space="0" w:color="auto"/>
        <w:right w:val="none" w:sz="0" w:space="0" w:color="auto"/>
      </w:divBdr>
    </w:div>
    <w:div w:id="75639147">
      <w:bodyDiv w:val="1"/>
      <w:marLeft w:val="0"/>
      <w:marRight w:val="0"/>
      <w:marTop w:val="0"/>
      <w:marBottom w:val="0"/>
      <w:divBdr>
        <w:top w:val="none" w:sz="0" w:space="0" w:color="auto"/>
        <w:left w:val="none" w:sz="0" w:space="0" w:color="auto"/>
        <w:bottom w:val="none" w:sz="0" w:space="0" w:color="auto"/>
        <w:right w:val="none" w:sz="0" w:space="0" w:color="auto"/>
      </w:divBdr>
    </w:div>
    <w:div w:id="75714926">
      <w:bodyDiv w:val="1"/>
      <w:marLeft w:val="0"/>
      <w:marRight w:val="0"/>
      <w:marTop w:val="0"/>
      <w:marBottom w:val="0"/>
      <w:divBdr>
        <w:top w:val="none" w:sz="0" w:space="0" w:color="auto"/>
        <w:left w:val="none" w:sz="0" w:space="0" w:color="auto"/>
        <w:bottom w:val="none" w:sz="0" w:space="0" w:color="auto"/>
        <w:right w:val="none" w:sz="0" w:space="0" w:color="auto"/>
      </w:divBdr>
    </w:div>
    <w:div w:id="75784507">
      <w:bodyDiv w:val="1"/>
      <w:marLeft w:val="0"/>
      <w:marRight w:val="0"/>
      <w:marTop w:val="0"/>
      <w:marBottom w:val="0"/>
      <w:divBdr>
        <w:top w:val="none" w:sz="0" w:space="0" w:color="auto"/>
        <w:left w:val="none" w:sz="0" w:space="0" w:color="auto"/>
        <w:bottom w:val="none" w:sz="0" w:space="0" w:color="auto"/>
        <w:right w:val="none" w:sz="0" w:space="0" w:color="auto"/>
      </w:divBdr>
    </w:div>
    <w:div w:id="75905418">
      <w:bodyDiv w:val="1"/>
      <w:marLeft w:val="0"/>
      <w:marRight w:val="0"/>
      <w:marTop w:val="0"/>
      <w:marBottom w:val="0"/>
      <w:divBdr>
        <w:top w:val="none" w:sz="0" w:space="0" w:color="auto"/>
        <w:left w:val="none" w:sz="0" w:space="0" w:color="auto"/>
        <w:bottom w:val="none" w:sz="0" w:space="0" w:color="auto"/>
        <w:right w:val="none" w:sz="0" w:space="0" w:color="auto"/>
      </w:divBdr>
    </w:div>
    <w:div w:id="76053510">
      <w:bodyDiv w:val="1"/>
      <w:marLeft w:val="0"/>
      <w:marRight w:val="0"/>
      <w:marTop w:val="0"/>
      <w:marBottom w:val="0"/>
      <w:divBdr>
        <w:top w:val="none" w:sz="0" w:space="0" w:color="auto"/>
        <w:left w:val="none" w:sz="0" w:space="0" w:color="auto"/>
        <w:bottom w:val="none" w:sz="0" w:space="0" w:color="auto"/>
        <w:right w:val="none" w:sz="0" w:space="0" w:color="auto"/>
      </w:divBdr>
    </w:div>
    <w:div w:id="76096932">
      <w:bodyDiv w:val="1"/>
      <w:marLeft w:val="0"/>
      <w:marRight w:val="0"/>
      <w:marTop w:val="0"/>
      <w:marBottom w:val="0"/>
      <w:divBdr>
        <w:top w:val="none" w:sz="0" w:space="0" w:color="auto"/>
        <w:left w:val="none" w:sz="0" w:space="0" w:color="auto"/>
        <w:bottom w:val="none" w:sz="0" w:space="0" w:color="auto"/>
        <w:right w:val="none" w:sz="0" w:space="0" w:color="auto"/>
      </w:divBdr>
    </w:div>
    <w:div w:id="76097433">
      <w:bodyDiv w:val="1"/>
      <w:marLeft w:val="0"/>
      <w:marRight w:val="0"/>
      <w:marTop w:val="0"/>
      <w:marBottom w:val="0"/>
      <w:divBdr>
        <w:top w:val="none" w:sz="0" w:space="0" w:color="auto"/>
        <w:left w:val="none" w:sz="0" w:space="0" w:color="auto"/>
        <w:bottom w:val="none" w:sz="0" w:space="0" w:color="auto"/>
        <w:right w:val="none" w:sz="0" w:space="0" w:color="auto"/>
      </w:divBdr>
    </w:div>
    <w:div w:id="76172875">
      <w:bodyDiv w:val="1"/>
      <w:marLeft w:val="0"/>
      <w:marRight w:val="0"/>
      <w:marTop w:val="0"/>
      <w:marBottom w:val="0"/>
      <w:divBdr>
        <w:top w:val="none" w:sz="0" w:space="0" w:color="auto"/>
        <w:left w:val="none" w:sz="0" w:space="0" w:color="auto"/>
        <w:bottom w:val="none" w:sz="0" w:space="0" w:color="auto"/>
        <w:right w:val="none" w:sz="0" w:space="0" w:color="auto"/>
      </w:divBdr>
    </w:div>
    <w:div w:id="76288192">
      <w:bodyDiv w:val="1"/>
      <w:marLeft w:val="0"/>
      <w:marRight w:val="0"/>
      <w:marTop w:val="0"/>
      <w:marBottom w:val="0"/>
      <w:divBdr>
        <w:top w:val="none" w:sz="0" w:space="0" w:color="auto"/>
        <w:left w:val="none" w:sz="0" w:space="0" w:color="auto"/>
        <w:bottom w:val="none" w:sz="0" w:space="0" w:color="auto"/>
        <w:right w:val="none" w:sz="0" w:space="0" w:color="auto"/>
      </w:divBdr>
    </w:div>
    <w:div w:id="76440150">
      <w:bodyDiv w:val="1"/>
      <w:marLeft w:val="0"/>
      <w:marRight w:val="0"/>
      <w:marTop w:val="0"/>
      <w:marBottom w:val="0"/>
      <w:divBdr>
        <w:top w:val="none" w:sz="0" w:space="0" w:color="auto"/>
        <w:left w:val="none" w:sz="0" w:space="0" w:color="auto"/>
        <w:bottom w:val="none" w:sz="0" w:space="0" w:color="auto"/>
        <w:right w:val="none" w:sz="0" w:space="0" w:color="auto"/>
      </w:divBdr>
    </w:div>
    <w:div w:id="76560956">
      <w:bodyDiv w:val="1"/>
      <w:marLeft w:val="0"/>
      <w:marRight w:val="0"/>
      <w:marTop w:val="0"/>
      <w:marBottom w:val="0"/>
      <w:divBdr>
        <w:top w:val="none" w:sz="0" w:space="0" w:color="auto"/>
        <w:left w:val="none" w:sz="0" w:space="0" w:color="auto"/>
        <w:bottom w:val="none" w:sz="0" w:space="0" w:color="auto"/>
        <w:right w:val="none" w:sz="0" w:space="0" w:color="auto"/>
      </w:divBdr>
    </w:div>
    <w:div w:id="76634303">
      <w:bodyDiv w:val="1"/>
      <w:marLeft w:val="0"/>
      <w:marRight w:val="0"/>
      <w:marTop w:val="0"/>
      <w:marBottom w:val="0"/>
      <w:divBdr>
        <w:top w:val="none" w:sz="0" w:space="0" w:color="auto"/>
        <w:left w:val="none" w:sz="0" w:space="0" w:color="auto"/>
        <w:bottom w:val="none" w:sz="0" w:space="0" w:color="auto"/>
        <w:right w:val="none" w:sz="0" w:space="0" w:color="auto"/>
      </w:divBdr>
    </w:div>
    <w:div w:id="76682737">
      <w:bodyDiv w:val="1"/>
      <w:marLeft w:val="0"/>
      <w:marRight w:val="0"/>
      <w:marTop w:val="0"/>
      <w:marBottom w:val="0"/>
      <w:divBdr>
        <w:top w:val="none" w:sz="0" w:space="0" w:color="auto"/>
        <w:left w:val="none" w:sz="0" w:space="0" w:color="auto"/>
        <w:bottom w:val="none" w:sz="0" w:space="0" w:color="auto"/>
        <w:right w:val="none" w:sz="0" w:space="0" w:color="auto"/>
      </w:divBdr>
    </w:div>
    <w:div w:id="76824924">
      <w:bodyDiv w:val="1"/>
      <w:marLeft w:val="0"/>
      <w:marRight w:val="0"/>
      <w:marTop w:val="0"/>
      <w:marBottom w:val="0"/>
      <w:divBdr>
        <w:top w:val="none" w:sz="0" w:space="0" w:color="auto"/>
        <w:left w:val="none" w:sz="0" w:space="0" w:color="auto"/>
        <w:bottom w:val="none" w:sz="0" w:space="0" w:color="auto"/>
        <w:right w:val="none" w:sz="0" w:space="0" w:color="auto"/>
      </w:divBdr>
    </w:div>
    <w:div w:id="76831595">
      <w:bodyDiv w:val="1"/>
      <w:marLeft w:val="0"/>
      <w:marRight w:val="0"/>
      <w:marTop w:val="0"/>
      <w:marBottom w:val="0"/>
      <w:divBdr>
        <w:top w:val="none" w:sz="0" w:space="0" w:color="auto"/>
        <w:left w:val="none" w:sz="0" w:space="0" w:color="auto"/>
        <w:bottom w:val="none" w:sz="0" w:space="0" w:color="auto"/>
        <w:right w:val="none" w:sz="0" w:space="0" w:color="auto"/>
      </w:divBdr>
    </w:div>
    <w:div w:id="77093382">
      <w:bodyDiv w:val="1"/>
      <w:marLeft w:val="0"/>
      <w:marRight w:val="0"/>
      <w:marTop w:val="0"/>
      <w:marBottom w:val="0"/>
      <w:divBdr>
        <w:top w:val="none" w:sz="0" w:space="0" w:color="auto"/>
        <w:left w:val="none" w:sz="0" w:space="0" w:color="auto"/>
        <w:bottom w:val="none" w:sz="0" w:space="0" w:color="auto"/>
        <w:right w:val="none" w:sz="0" w:space="0" w:color="auto"/>
      </w:divBdr>
    </w:div>
    <w:div w:id="77099048">
      <w:bodyDiv w:val="1"/>
      <w:marLeft w:val="0"/>
      <w:marRight w:val="0"/>
      <w:marTop w:val="0"/>
      <w:marBottom w:val="0"/>
      <w:divBdr>
        <w:top w:val="none" w:sz="0" w:space="0" w:color="auto"/>
        <w:left w:val="none" w:sz="0" w:space="0" w:color="auto"/>
        <w:bottom w:val="none" w:sz="0" w:space="0" w:color="auto"/>
        <w:right w:val="none" w:sz="0" w:space="0" w:color="auto"/>
      </w:divBdr>
    </w:div>
    <w:div w:id="77141599">
      <w:bodyDiv w:val="1"/>
      <w:marLeft w:val="0"/>
      <w:marRight w:val="0"/>
      <w:marTop w:val="0"/>
      <w:marBottom w:val="0"/>
      <w:divBdr>
        <w:top w:val="none" w:sz="0" w:space="0" w:color="auto"/>
        <w:left w:val="none" w:sz="0" w:space="0" w:color="auto"/>
        <w:bottom w:val="none" w:sz="0" w:space="0" w:color="auto"/>
        <w:right w:val="none" w:sz="0" w:space="0" w:color="auto"/>
      </w:divBdr>
    </w:div>
    <w:div w:id="77145132">
      <w:bodyDiv w:val="1"/>
      <w:marLeft w:val="0"/>
      <w:marRight w:val="0"/>
      <w:marTop w:val="0"/>
      <w:marBottom w:val="0"/>
      <w:divBdr>
        <w:top w:val="none" w:sz="0" w:space="0" w:color="auto"/>
        <w:left w:val="none" w:sz="0" w:space="0" w:color="auto"/>
        <w:bottom w:val="none" w:sz="0" w:space="0" w:color="auto"/>
        <w:right w:val="none" w:sz="0" w:space="0" w:color="auto"/>
      </w:divBdr>
    </w:div>
    <w:div w:id="77292921">
      <w:bodyDiv w:val="1"/>
      <w:marLeft w:val="0"/>
      <w:marRight w:val="0"/>
      <w:marTop w:val="0"/>
      <w:marBottom w:val="0"/>
      <w:divBdr>
        <w:top w:val="none" w:sz="0" w:space="0" w:color="auto"/>
        <w:left w:val="none" w:sz="0" w:space="0" w:color="auto"/>
        <w:bottom w:val="none" w:sz="0" w:space="0" w:color="auto"/>
        <w:right w:val="none" w:sz="0" w:space="0" w:color="auto"/>
      </w:divBdr>
    </w:div>
    <w:div w:id="77294624">
      <w:bodyDiv w:val="1"/>
      <w:marLeft w:val="0"/>
      <w:marRight w:val="0"/>
      <w:marTop w:val="0"/>
      <w:marBottom w:val="0"/>
      <w:divBdr>
        <w:top w:val="none" w:sz="0" w:space="0" w:color="auto"/>
        <w:left w:val="none" w:sz="0" w:space="0" w:color="auto"/>
        <w:bottom w:val="none" w:sz="0" w:space="0" w:color="auto"/>
        <w:right w:val="none" w:sz="0" w:space="0" w:color="auto"/>
      </w:divBdr>
    </w:div>
    <w:div w:id="77332573">
      <w:bodyDiv w:val="1"/>
      <w:marLeft w:val="0"/>
      <w:marRight w:val="0"/>
      <w:marTop w:val="0"/>
      <w:marBottom w:val="0"/>
      <w:divBdr>
        <w:top w:val="none" w:sz="0" w:space="0" w:color="auto"/>
        <w:left w:val="none" w:sz="0" w:space="0" w:color="auto"/>
        <w:bottom w:val="none" w:sz="0" w:space="0" w:color="auto"/>
        <w:right w:val="none" w:sz="0" w:space="0" w:color="auto"/>
      </w:divBdr>
    </w:div>
    <w:div w:id="77363019">
      <w:bodyDiv w:val="1"/>
      <w:marLeft w:val="0"/>
      <w:marRight w:val="0"/>
      <w:marTop w:val="0"/>
      <w:marBottom w:val="0"/>
      <w:divBdr>
        <w:top w:val="none" w:sz="0" w:space="0" w:color="auto"/>
        <w:left w:val="none" w:sz="0" w:space="0" w:color="auto"/>
        <w:bottom w:val="none" w:sz="0" w:space="0" w:color="auto"/>
        <w:right w:val="none" w:sz="0" w:space="0" w:color="auto"/>
      </w:divBdr>
    </w:div>
    <w:div w:id="77530484">
      <w:bodyDiv w:val="1"/>
      <w:marLeft w:val="0"/>
      <w:marRight w:val="0"/>
      <w:marTop w:val="0"/>
      <w:marBottom w:val="0"/>
      <w:divBdr>
        <w:top w:val="none" w:sz="0" w:space="0" w:color="auto"/>
        <w:left w:val="none" w:sz="0" w:space="0" w:color="auto"/>
        <w:bottom w:val="none" w:sz="0" w:space="0" w:color="auto"/>
        <w:right w:val="none" w:sz="0" w:space="0" w:color="auto"/>
      </w:divBdr>
    </w:div>
    <w:div w:id="77792387">
      <w:bodyDiv w:val="1"/>
      <w:marLeft w:val="0"/>
      <w:marRight w:val="0"/>
      <w:marTop w:val="0"/>
      <w:marBottom w:val="0"/>
      <w:divBdr>
        <w:top w:val="none" w:sz="0" w:space="0" w:color="auto"/>
        <w:left w:val="none" w:sz="0" w:space="0" w:color="auto"/>
        <w:bottom w:val="none" w:sz="0" w:space="0" w:color="auto"/>
        <w:right w:val="none" w:sz="0" w:space="0" w:color="auto"/>
      </w:divBdr>
    </w:div>
    <w:div w:id="77942347">
      <w:bodyDiv w:val="1"/>
      <w:marLeft w:val="0"/>
      <w:marRight w:val="0"/>
      <w:marTop w:val="0"/>
      <w:marBottom w:val="0"/>
      <w:divBdr>
        <w:top w:val="none" w:sz="0" w:space="0" w:color="auto"/>
        <w:left w:val="none" w:sz="0" w:space="0" w:color="auto"/>
        <w:bottom w:val="none" w:sz="0" w:space="0" w:color="auto"/>
        <w:right w:val="none" w:sz="0" w:space="0" w:color="auto"/>
      </w:divBdr>
    </w:div>
    <w:div w:id="77949901">
      <w:bodyDiv w:val="1"/>
      <w:marLeft w:val="0"/>
      <w:marRight w:val="0"/>
      <w:marTop w:val="0"/>
      <w:marBottom w:val="0"/>
      <w:divBdr>
        <w:top w:val="none" w:sz="0" w:space="0" w:color="auto"/>
        <w:left w:val="none" w:sz="0" w:space="0" w:color="auto"/>
        <w:bottom w:val="none" w:sz="0" w:space="0" w:color="auto"/>
        <w:right w:val="none" w:sz="0" w:space="0" w:color="auto"/>
      </w:divBdr>
    </w:div>
    <w:div w:id="77989206">
      <w:bodyDiv w:val="1"/>
      <w:marLeft w:val="0"/>
      <w:marRight w:val="0"/>
      <w:marTop w:val="0"/>
      <w:marBottom w:val="0"/>
      <w:divBdr>
        <w:top w:val="none" w:sz="0" w:space="0" w:color="auto"/>
        <w:left w:val="none" w:sz="0" w:space="0" w:color="auto"/>
        <w:bottom w:val="none" w:sz="0" w:space="0" w:color="auto"/>
        <w:right w:val="none" w:sz="0" w:space="0" w:color="auto"/>
      </w:divBdr>
    </w:div>
    <w:div w:id="77991971">
      <w:bodyDiv w:val="1"/>
      <w:marLeft w:val="0"/>
      <w:marRight w:val="0"/>
      <w:marTop w:val="0"/>
      <w:marBottom w:val="0"/>
      <w:divBdr>
        <w:top w:val="none" w:sz="0" w:space="0" w:color="auto"/>
        <w:left w:val="none" w:sz="0" w:space="0" w:color="auto"/>
        <w:bottom w:val="none" w:sz="0" w:space="0" w:color="auto"/>
        <w:right w:val="none" w:sz="0" w:space="0" w:color="auto"/>
      </w:divBdr>
    </w:div>
    <w:div w:id="78064057">
      <w:bodyDiv w:val="1"/>
      <w:marLeft w:val="0"/>
      <w:marRight w:val="0"/>
      <w:marTop w:val="0"/>
      <w:marBottom w:val="0"/>
      <w:divBdr>
        <w:top w:val="none" w:sz="0" w:space="0" w:color="auto"/>
        <w:left w:val="none" w:sz="0" w:space="0" w:color="auto"/>
        <w:bottom w:val="none" w:sz="0" w:space="0" w:color="auto"/>
        <w:right w:val="none" w:sz="0" w:space="0" w:color="auto"/>
      </w:divBdr>
    </w:div>
    <w:div w:id="78066840">
      <w:bodyDiv w:val="1"/>
      <w:marLeft w:val="0"/>
      <w:marRight w:val="0"/>
      <w:marTop w:val="0"/>
      <w:marBottom w:val="0"/>
      <w:divBdr>
        <w:top w:val="none" w:sz="0" w:space="0" w:color="auto"/>
        <w:left w:val="none" w:sz="0" w:space="0" w:color="auto"/>
        <w:bottom w:val="none" w:sz="0" w:space="0" w:color="auto"/>
        <w:right w:val="none" w:sz="0" w:space="0" w:color="auto"/>
      </w:divBdr>
    </w:div>
    <w:div w:id="78138094">
      <w:bodyDiv w:val="1"/>
      <w:marLeft w:val="0"/>
      <w:marRight w:val="0"/>
      <w:marTop w:val="0"/>
      <w:marBottom w:val="0"/>
      <w:divBdr>
        <w:top w:val="none" w:sz="0" w:space="0" w:color="auto"/>
        <w:left w:val="none" w:sz="0" w:space="0" w:color="auto"/>
        <w:bottom w:val="none" w:sz="0" w:space="0" w:color="auto"/>
        <w:right w:val="none" w:sz="0" w:space="0" w:color="auto"/>
      </w:divBdr>
    </w:div>
    <w:div w:id="78138267">
      <w:bodyDiv w:val="1"/>
      <w:marLeft w:val="0"/>
      <w:marRight w:val="0"/>
      <w:marTop w:val="0"/>
      <w:marBottom w:val="0"/>
      <w:divBdr>
        <w:top w:val="none" w:sz="0" w:space="0" w:color="auto"/>
        <w:left w:val="none" w:sz="0" w:space="0" w:color="auto"/>
        <w:bottom w:val="none" w:sz="0" w:space="0" w:color="auto"/>
        <w:right w:val="none" w:sz="0" w:space="0" w:color="auto"/>
      </w:divBdr>
    </w:div>
    <w:div w:id="78139015">
      <w:bodyDiv w:val="1"/>
      <w:marLeft w:val="0"/>
      <w:marRight w:val="0"/>
      <w:marTop w:val="0"/>
      <w:marBottom w:val="0"/>
      <w:divBdr>
        <w:top w:val="none" w:sz="0" w:space="0" w:color="auto"/>
        <w:left w:val="none" w:sz="0" w:space="0" w:color="auto"/>
        <w:bottom w:val="none" w:sz="0" w:space="0" w:color="auto"/>
        <w:right w:val="none" w:sz="0" w:space="0" w:color="auto"/>
      </w:divBdr>
    </w:div>
    <w:div w:id="78139324">
      <w:bodyDiv w:val="1"/>
      <w:marLeft w:val="0"/>
      <w:marRight w:val="0"/>
      <w:marTop w:val="0"/>
      <w:marBottom w:val="0"/>
      <w:divBdr>
        <w:top w:val="none" w:sz="0" w:space="0" w:color="auto"/>
        <w:left w:val="none" w:sz="0" w:space="0" w:color="auto"/>
        <w:bottom w:val="none" w:sz="0" w:space="0" w:color="auto"/>
        <w:right w:val="none" w:sz="0" w:space="0" w:color="auto"/>
      </w:divBdr>
    </w:div>
    <w:div w:id="78142664">
      <w:bodyDiv w:val="1"/>
      <w:marLeft w:val="0"/>
      <w:marRight w:val="0"/>
      <w:marTop w:val="0"/>
      <w:marBottom w:val="0"/>
      <w:divBdr>
        <w:top w:val="none" w:sz="0" w:space="0" w:color="auto"/>
        <w:left w:val="none" w:sz="0" w:space="0" w:color="auto"/>
        <w:bottom w:val="none" w:sz="0" w:space="0" w:color="auto"/>
        <w:right w:val="none" w:sz="0" w:space="0" w:color="auto"/>
      </w:divBdr>
    </w:div>
    <w:div w:id="78213135">
      <w:bodyDiv w:val="1"/>
      <w:marLeft w:val="0"/>
      <w:marRight w:val="0"/>
      <w:marTop w:val="0"/>
      <w:marBottom w:val="0"/>
      <w:divBdr>
        <w:top w:val="none" w:sz="0" w:space="0" w:color="auto"/>
        <w:left w:val="none" w:sz="0" w:space="0" w:color="auto"/>
        <w:bottom w:val="none" w:sz="0" w:space="0" w:color="auto"/>
        <w:right w:val="none" w:sz="0" w:space="0" w:color="auto"/>
      </w:divBdr>
    </w:div>
    <w:div w:id="78217030">
      <w:bodyDiv w:val="1"/>
      <w:marLeft w:val="0"/>
      <w:marRight w:val="0"/>
      <w:marTop w:val="0"/>
      <w:marBottom w:val="0"/>
      <w:divBdr>
        <w:top w:val="none" w:sz="0" w:space="0" w:color="auto"/>
        <w:left w:val="none" w:sz="0" w:space="0" w:color="auto"/>
        <w:bottom w:val="none" w:sz="0" w:space="0" w:color="auto"/>
        <w:right w:val="none" w:sz="0" w:space="0" w:color="auto"/>
      </w:divBdr>
    </w:div>
    <w:div w:id="78257244">
      <w:bodyDiv w:val="1"/>
      <w:marLeft w:val="0"/>
      <w:marRight w:val="0"/>
      <w:marTop w:val="0"/>
      <w:marBottom w:val="0"/>
      <w:divBdr>
        <w:top w:val="none" w:sz="0" w:space="0" w:color="auto"/>
        <w:left w:val="none" w:sz="0" w:space="0" w:color="auto"/>
        <w:bottom w:val="none" w:sz="0" w:space="0" w:color="auto"/>
        <w:right w:val="none" w:sz="0" w:space="0" w:color="auto"/>
      </w:divBdr>
    </w:div>
    <w:div w:id="78403708">
      <w:bodyDiv w:val="1"/>
      <w:marLeft w:val="0"/>
      <w:marRight w:val="0"/>
      <w:marTop w:val="0"/>
      <w:marBottom w:val="0"/>
      <w:divBdr>
        <w:top w:val="none" w:sz="0" w:space="0" w:color="auto"/>
        <w:left w:val="none" w:sz="0" w:space="0" w:color="auto"/>
        <w:bottom w:val="none" w:sz="0" w:space="0" w:color="auto"/>
        <w:right w:val="none" w:sz="0" w:space="0" w:color="auto"/>
      </w:divBdr>
    </w:div>
    <w:div w:id="78447063">
      <w:bodyDiv w:val="1"/>
      <w:marLeft w:val="0"/>
      <w:marRight w:val="0"/>
      <w:marTop w:val="0"/>
      <w:marBottom w:val="0"/>
      <w:divBdr>
        <w:top w:val="none" w:sz="0" w:space="0" w:color="auto"/>
        <w:left w:val="none" w:sz="0" w:space="0" w:color="auto"/>
        <w:bottom w:val="none" w:sz="0" w:space="0" w:color="auto"/>
        <w:right w:val="none" w:sz="0" w:space="0" w:color="auto"/>
      </w:divBdr>
    </w:div>
    <w:div w:id="78524478">
      <w:bodyDiv w:val="1"/>
      <w:marLeft w:val="0"/>
      <w:marRight w:val="0"/>
      <w:marTop w:val="0"/>
      <w:marBottom w:val="0"/>
      <w:divBdr>
        <w:top w:val="none" w:sz="0" w:space="0" w:color="auto"/>
        <w:left w:val="none" w:sz="0" w:space="0" w:color="auto"/>
        <w:bottom w:val="none" w:sz="0" w:space="0" w:color="auto"/>
        <w:right w:val="none" w:sz="0" w:space="0" w:color="auto"/>
      </w:divBdr>
    </w:div>
    <w:div w:id="78528660">
      <w:bodyDiv w:val="1"/>
      <w:marLeft w:val="0"/>
      <w:marRight w:val="0"/>
      <w:marTop w:val="0"/>
      <w:marBottom w:val="0"/>
      <w:divBdr>
        <w:top w:val="none" w:sz="0" w:space="0" w:color="auto"/>
        <w:left w:val="none" w:sz="0" w:space="0" w:color="auto"/>
        <w:bottom w:val="none" w:sz="0" w:space="0" w:color="auto"/>
        <w:right w:val="none" w:sz="0" w:space="0" w:color="auto"/>
      </w:divBdr>
    </w:div>
    <w:div w:id="78599534">
      <w:bodyDiv w:val="1"/>
      <w:marLeft w:val="0"/>
      <w:marRight w:val="0"/>
      <w:marTop w:val="0"/>
      <w:marBottom w:val="0"/>
      <w:divBdr>
        <w:top w:val="none" w:sz="0" w:space="0" w:color="auto"/>
        <w:left w:val="none" w:sz="0" w:space="0" w:color="auto"/>
        <w:bottom w:val="none" w:sz="0" w:space="0" w:color="auto"/>
        <w:right w:val="none" w:sz="0" w:space="0" w:color="auto"/>
      </w:divBdr>
    </w:div>
    <w:div w:id="78602104">
      <w:bodyDiv w:val="1"/>
      <w:marLeft w:val="0"/>
      <w:marRight w:val="0"/>
      <w:marTop w:val="0"/>
      <w:marBottom w:val="0"/>
      <w:divBdr>
        <w:top w:val="none" w:sz="0" w:space="0" w:color="auto"/>
        <w:left w:val="none" w:sz="0" w:space="0" w:color="auto"/>
        <w:bottom w:val="none" w:sz="0" w:space="0" w:color="auto"/>
        <w:right w:val="none" w:sz="0" w:space="0" w:color="auto"/>
      </w:divBdr>
    </w:div>
    <w:div w:id="78790577">
      <w:bodyDiv w:val="1"/>
      <w:marLeft w:val="0"/>
      <w:marRight w:val="0"/>
      <w:marTop w:val="0"/>
      <w:marBottom w:val="0"/>
      <w:divBdr>
        <w:top w:val="none" w:sz="0" w:space="0" w:color="auto"/>
        <w:left w:val="none" w:sz="0" w:space="0" w:color="auto"/>
        <w:bottom w:val="none" w:sz="0" w:space="0" w:color="auto"/>
        <w:right w:val="none" w:sz="0" w:space="0" w:color="auto"/>
      </w:divBdr>
    </w:div>
    <w:div w:id="78797632">
      <w:bodyDiv w:val="1"/>
      <w:marLeft w:val="0"/>
      <w:marRight w:val="0"/>
      <w:marTop w:val="0"/>
      <w:marBottom w:val="0"/>
      <w:divBdr>
        <w:top w:val="none" w:sz="0" w:space="0" w:color="auto"/>
        <w:left w:val="none" w:sz="0" w:space="0" w:color="auto"/>
        <w:bottom w:val="none" w:sz="0" w:space="0" w:color="auto"/>
        <w:right w:val="none" w:sz="0" w:space="0" w:color="auto"/>
      </w:divBdr>
    </w:div>
    <w:div w:id="78841768">
      <w:bodyDiv w:val="1"/>
      <w:marLeft w:val="0"/>
      <w:marRight w:val="0"/>
      <w:marTop w:val="0"/>
      <w:marBottom w:val="0"/>
      <w:divBdr>
        <w:top w:val="none" w:sz="0" w:space="0" w:color="auto"/>
        <w:left w:val="none" w:sz="0" w:space="0" w:color="auto"/>
        <w:bottom w:val="none" w:sz="0" w:space="0" w:color="auto"/>
        <w:right w:val="none" w:sz="0" w:space="0" w:color="auto"/>
      </w:divBdr>
    </w:div>
    <w:div w:id="78910131">
      <w:bodyDiv w:val="1"/>
      <w:marLeft w:val="0"/>
      <w:marRight w:val="0"/>
      <w:marTop w:val="0"/>
      <w:marBottom w:val="0"/>
      <w:divBdr>
        <w:top w:val="none" w:sz="0" w:space="0" w:color="auto"/>
        <w:left w:val="none" w:sz="0" w:space="0" w:color="auto"/>
        <w:bottom w:val="none" w:sz="0" w:space="0" w:color="auto"/>
        <w:right w:val="none" w:sz="0" w:space="0" w:color="auto"/>
      </w:divBdr>
    </w:div>
    <w:div w:id="78987979">
      <w:bodyDiv w:val="1"/>
      <w:marLeft w:val="0"/>
      <w:marRight w:val="0"/>
      <w:marTop w:val="0"/>
      <w:marBottom w:val="0"/>
      <w:divBdr>
        <w:top w:val="none" w:sz="0" w:space="0" w:color="auto"/>
        <w:left w:val="none" w:sz="0" w:space="0" w:color="auto"/>
        <w:bottom w:val="none" w:sz="0" w:space="0" w:color="auto"/>
        <w:right w:val="none" w:sz="0" w:space="0" w:color="auto"/>
      </w:divBdr>
    </w:div>
    <w:div w:id="79058593">
      <w:bodyDiv w:val="1"/>
      <w:marLeft w:val="0"/>
      <w:marRight w:val="0"/>
      <w:marTop w:val="0"/>
      <w:marBottom w:val="0"/>
      <w:divBdr>
        <w:top w:val="none" w:sz="0" w:space="0" w:color="auto"/>
        <w:left w:val="none" w:sz="0" w:space="0" w:color="auto"/>
        <w:bottom w:val="none" w:sz="0" w:space="0" w:color="auto"/>
        <w:right w:val="none" w:sz="0" w:space="0" w:color="auto"/>
      </w:divBdr>
    </w:div>
    <w:div w:id="79062055">
      <w:bodyDiv w:val="1"/>
      <w:marLeft w:val="0"/>
      <w:marRight w:val="0"/>
      <w:marTop w:val="0"/>
      <w:marBottom w:val="0"/>
      <w:divBdr>
        <w:top w:val="none" w:sz="0" w:space="0" w:color="auto"/>
        <w:left w:val="none" w:sz="0" w:space="0" w:color="auto"/>
        <w:bottom w:val="none" w:sz="0" w:space="0" w:color="auto"/>
        <w:right w:val="none" w:sz="0" w:space="0" w:color="auto"/>
      </w:divBdr>
    </w:div>
    <w:div w:id="79104914">
      <w:bodyDiv w:val="1"/>
      <w:marLeft w:val="0"/>
      <w:marRight w:val="0"/>
      <w:marTop w:val="0"/>
      <w:marBottom w:val="0"/>
      <w:divBdr>
        <w:top w:val="none" w:sz="0" w:space="0" w:color="auto"/>
        <w:left w:val="none" w:sz="0" w:space="0" w:color="auto"/>
        <w:bottom w:val="none" w:sz="0" w:space="0" w:color="auto"/>
        <w:right w:val="none" w:sz="0" w:space="0" w:color="auto"/>
      </w:divBdr>
    </w:div>
    <w:div w:id="79182004">
      <w:bodyDiv w:val="1"/>
      <w:marLeft w:val="0"/>
      <w:marRight w:val="0"/>
      <w:marTop w:val="0"/>
      <w:marBottom w:val="0"/>
      <w:divBdr>
        <w:top w:val="none" w:sz="0" w:space="0" w:color="auto"/>
        <w:left w:val="none" w:sz="0" w:space="0" w:color="auto"/>
        <w:bottom w:val="none" w:sz="0" w:space="0" w:color="auto"/>
        <w:right w:val="none" w:sz="0" w:space="0" w:color="auto"/>
      </w:divBdr>
    </w:div>
    <w:div w:id="79330866">
      <w:bodyDiv w:val="1"/>
      <w:marLeft w:val="0"/>
      <w:marRight w:val="0"/>
      <w:marTop w:val="0"/>
      <w:marBottom w:val="0"/>
      <w:divBdr>
        <w:top w:val="none" w:sz="0" w:space="0" w:color="auto"/>
        <w:left w:val="none" w:sz="0" w:space="0" w:color="auto"/>
        <w:bottom w:val="none" w:sz="0" w:space="0" w:color="auto"/>
        <w:right w:val="none" w:sz="0" w:space="0" w:color="auto"/>
      </w:divBdr>
    </w:div>
    <w:div w:id="79370173">
      <w:bodyDiv w:val="1"/>
      <w:marLeft w:val="0"/>
      <w:marRight w:val="0"/>
      <w:marTop w:val="0"/>
      <w:marBottom w:val="0"/>
      <w:divBdr>
        <w:top w:val="none" w:sz="0" w:space="0" w:color="auto"/>
        <w:left w:val="none" w:sz="0" w:space="0" w:color="auto"/>
        <w:bottom w:val="none" w:sz="0" w:space="0" w:color="auto"/>
        <w:right w:val="none" w:sz="0" w:space="0" w:color="auto"/>
      </w:divBdr>
    </w:div>
    <w:div w:id="79565670">
      <w:bodyDiv w:val="1"/>
      <w:marLeft w:val="0"/>
      <w:marRight w:val="0"/>
      <w:marTop w:val="0"/>
      <w:marBottom w:val="0"/>
      <w:divBdr>
        <w:top w:val="none" w:sz="0" w:space="0" w:color="auto"/>
        <w:left w:val="none" w:sz="0" w:space="0" w:color="auto"/>
        <w:bottom w:val="none" w:sz="0" w:space="0" w:color="auto"/>
        <w:right w:val="none" w:sz="0" w:space="0" w:color="auto"/>
      </w:divBdr>
    </w:div>
    <w:div w:id="79642631">
      <w:bodyDiv w:val="1"/>
      <w:marLeft w:val="0"/>
      <w:marRight w:val="0"/>
      <w:marTop w:val="0"/>
      <w:marBottom w:val="0"/>
      <w:divBdr>
        <w:top w:val="none" w:sz="0" w:space="0" w:color="auto"/>
        <w:left w:val="none" w:sz="0" w:space="0" w:color="auto"/>
        <w:bottom w:val="none" w:sz="0" w:space="0" w:color="auto"/>
        <w:right w:val="none" w:sz="0" w:space="0" w:color="auto"/>
      </w:divBdr>
    </w:div>
    <w:div w:id="79719514">
      <w:bodyDiv w:val="1"/>
      <w:marLeft w:val="0"/>
      <w:marRight w:val="0"/>
      <w:marTop w:val="0"/>
      <w:marBottom w:val="0"/>
      <w:divBdr>
        <w:top w:val="none" w:sz="0" w:space="0" w:color="auto"/>
        <w:left w:val="none" w:sz="0" w:space="0" w:color="auto"/>
        <w:bottom w:val="none" w:sz="0" w:space="0" w:color="auto"/>
        <w:right w:val="none" w:sz="0" w:space="0" w:color="auto"/>
      </w:divBdr>
    </w:div>
    <w:div w:id="79758142">
      <w:bodyDiv w:val="1"/>
      <w:marLeft w:val="0"/>
      <w:marRight w:val="0"/>
      <w:marTop w:val="0"/>
      <w:marBottom w:val="0"/>
      <w:divBdr>
        <w:top w:val="none" w:sz="0" w:space="0" w:color="auto"/>
        <w:left w:val="none" w:sz="0" w:space="0" w:color="auto"/>
        <w:bottom w:val="none" w:sz="0" w:space="0" w:color="auto"/>
        <w:right w:val="none" w:sz="0" w:space="0" w:color="auto"/>
      </w:divBdr>
    </w:div>
    <w:div w:id="79789254">
      <w:bodyDiv w:val="1"/>
      <w:marLeft w:val="0"/>
      <w:marRight w:val="0"/>
      <w:marTop w:val="0"/>
      <w:marBottom w:val="0"/>
      <w:divBdr>
        <w:top w:val="none" w:sz="0" w:space="0" w:color="auto"/>
        <w:left w:val="none" w:sz="0" w:space="0" w:color="auto"/>
        <w:bottom w:val="none" w:sz="0" w:space="0" w:color="auto"/>
        <w:right w:val="none" w:sz="0" w:space="0" w:color="auto"/>
      </w:divBdr>
    </w:div>
    <w:div w:id="80180244">
      <w:bodyDiv w:val="1"/>
      <w:marLeft w:val="0"/>
      <w:marRight w:val="0"/>
      <w:marTop w:val="0"/>
      <w:marBottom w:val="0"/>
      <w:divBdr>
        <w:top w:val="none" w:sz="0" w:space="0" w:color="auto"/>
        <w:left w:val="none" w:sz="0" w:space="0" w:color="auto"/>
        <w:bottom w:val="none" w:sz="0" w:space="0" w:color="auto"/>
        <w:right w:val="none" w:sz="0" w:space="0" w:color="auto"/>
      </w:divBdr>
    </w:div>
    <w:div w:id="80180815">
      <w:bodyDiv w:val="1"/>
      <w:marLeft w:val="0"/>
      <w:marRight w:val="0"/>
      <w:marTop w:val="0"/>
      <w:marBottom w:val="0"/>
      <w:divBdr>
        <w:top w:val="none" w:sz="0" w:space="0" w:color="auto"/>
        <w:left w:val="none" w:sz="0" w:space="0" w:color="auto"/>
        <w:bottom w:val="none" w:sz="0" w:space="0" w:color="auto"/>
        <w:right w:val="none" w:sz="0" w:space="0" w:color="auto"/>
      </w:divBdr>
    </w:div>
    <w:div w:id="80302526">
      <w:bodyDiv w:val="1"/>
      <w:marLeft w:val="0"/>
      <w:marRight w:val="0"/>
      <w:marTop w:val="0"/>
      <w:marBottom w:val="0"/>
      <w:divBdr>
        <w:top w:val="none" w:sz="0" w:space="0" w:color="auto"/>
        <w:left w:val="none" w:sz="0" w:space="0" w:color="auto"/>
        <w:bottom w:val="none" w:sz="0" w:space="0" w:color="auto"/>
        <w:right w:val="none" w:sz="0" w:space="0" w:color="auto"/>
      </w:divBdr>
    </w:div>
    <w:div w:id="80370515">
      <w:bodyDiv w:val="1"/>
      <w:marLeft w:val="0"/>
      <w:marRight w:val="0"/>
      <w:marTop w:val="0"/>
      <w:marBottom w:val="0"/>
      <w:divBdr>
        <w:top w:val="none" w:sz="0" w:space="0" w:color="auto"/>
        <w:left w:val="none" w:sz="0" w:space="0" w:color="auto"/>
        <w:bottom w:val="none" w:sz="0" w:space="0" w:color="auto"/>
        <w:right w:val="none" w:sz="0" w:space="0" w:color="auto"/>
      </w:divBdr>
    </w:div>
    <w:div w:id="80374554">
      <w:bodyDiv w:val="1"/>
      <w:marLeft w:val="0"/>
      <w:marRight w:val="0"/>
      <w:marTop w:val="0"/>
      <w:marBottom w:val="0"/>
      <w:divBdr>
        <w:top w:val="none" w:sz="0" w:space="0" w:color="auto"/>
        <w:left w:val="none" w:sz="0" w:space="0" w:color="auto"/>
        <w:bottom w:val="none" w:sz="0" w:space="0" w:color="auto"/>
        <w:right w:val="none" w:sz="0" w:space="0" w:color="auto"/>
      </w:divBdr>
    </w:div>
    <w:div w:id="80374780">
      <w:bodyDiv w:val="1"/>
      <w:marLeft w:val="0"/>
      <w:marRight w:val="0"/>
      <w:marTop w:val="0"/>
      <w:marBottom w:val="0"/>
      <w:divBdr>
        <w:top w:val="none" w:sz="0" w:space="0" w:color="auto"/>
        <w:left w:val="none" w:sz="0" w:space="0" w:color="auto"/>
        <w:bottom w:val="none" w:sz="0" w:space="0" w:color="auto"/>
        <w:right w:val="none" w:sz="0" w:space="0" w:color="auto"/>
      </w:divBdr>
    </w:div>
    <w:div w:id="80375736">
      <w:bodyDiv w:val="1"/>
      <w:marLeft w:val="0"/>
      <w:marRight w:val="0"/>
      <w:marTop w:val="0"/>
      <w:marBottom w:val="0"/>
      <w:divBdr>
        <w:top w:val="none" w:sz="0" w:space="0" w:color="auto"/>
        <w:left w:val="none" w:sz="0" w:space="0" w:color="auto"/>
        <w:bottom w:val="none" w:sz="0" w:space="0" w:color="auto"/>
        <w:right w:val="none" w:sz="0" w:space="0" w:color="auto"/>
      </w:divBdr>
    </w:div>
    <w:div w:id="80376952">
      <w:bodyDiv w:val="1"/>
      <w:marLeft w:val="0"/>
      <w:marRight w:val="0"/>
      <w:marTop w:val="0"/>
      <w:marBottom w:val="0"/>
      <w:divBdr>
        <w:top w:val="none" w:sz="0" w:space="0" w:color="auto"/>
        <w:left w:val="none" w:sz="0" w:space="0" w:color="auto"/>
        <w:bottom w:val="none" w:sz="0" w:space="0" w:color="auto"/>
        <w:right w:val="none" w:sz="0" w:space="0" w:color="auto"/>
      </w:divBdr>
    </w:div>
    <w:div w:id="80445224">
      <w:bodyDiv w:val="1"/>
      <w:marLeft w:val="0"/>
      <w:marRight w:val="0"/>
      <w:marTop w:val="0"/>
      <w:marBottom w:val="0"/>
      <w:divBdr>
        <w:top w:val="none" w:sz="0" w:space="0" w:color="auto"/>
        <w:left w:val="none" w:sz="0" w:space="0" w:color="auto"/>
        <w:bottom w:val="none" w:sz="0" w:space="0" w:color="auto"/>
        <w:right w:val="none" w:sz="0" w:space="0" w:color="auto"/>
      </w:divBdr>
    </w:div>
    <w:div w:id="80492161">
      <w:bodyDiv w:val="1"/>
      <w:marLeft w:val="0"/>
      <w:marRight w:val="0"/>
      <w:marTop w:val="0"/>
      <w:marBottom w:val="0"/>
      <w:divBdr>
        <w:top w:val="none" w:sz="0" w:space="0" w:color="auto"/>
        <w:left w:val="none" w:sz="0" w:space="0" w:color="auto"/>
        <w:bottom w:val="none" w:sz="0" w:space="0" w:color="auto"/>
        <w:right w:val="none" w:sz="0" w:space="0" w:color="auto"/>
      </w:divBdr>
    </w:div>
    <w:div w:id="80565837">
      <w:bodyDiv w:val="1"/>
      <w:marLeft w:val="0"/>
      <w:marRight w:val="0"/>
      <w:marTop w:val="0"/>
      <w:marBottom w:val="0"/>
      <w:divBdr>
        <w:top w:val="none" w:sz="0" w:space="0" w:color="auto"/>
        <w:left w:val="none" w:sz="0" w:space="0" w:color="auto"/>
        <w:bottom w:val="none" w:sz="0" w:space="0" w:color="auto"/>
        <w:right w:val="none" w:sz="0" w:space="0" w:color="auto"/>
      </w:divBdr>
    </w:div>
    <w:div w:id="80878390">
      <w:bodyDiv w:val="1"/>
      <w:marLeft w:val="0"/>
      <w:marRight w:val="0"/>
      <w:marTop w:val="0"/>
      <w:marBottom w:val="0"/>
      <w:divBdr>
        <w:top w:val="none" w:sz="0" w:space="0" w:color="auto"/>
        <w:left w:val="none" w:sz="0" w:space="0" w:color="auto"/>
        <w:bottom w:val="none" w:sz="0" w:space="0" w:color="auto"/>
        <w:right w:val="none" w:sz="0" w:space="0" w:color="auto"/>
      </w:divBdr>
    </w:div>
    <w:div w:id="81147362">
      <w:bodyDiv w:val="1"/>
      <w:marLeft w:val="0"/>
      <w:marRight w:val="0"/>
      <w:marTop w:val="0"/>
      <w:marBottom w:val="0"/>
      <w:divBdr>
        <w:top w:val="none" w:sz="0" w:space="0" w:color="auto"/>
        <w:left w:val="none" w:sz="0" w:space="0" w:color="auto"/>
        <w:bottom w:val="none" w:sz="0" w:space="0" w:color="auto"/>
        <w:right w:val="none" w:sz="0" w:space="0" w:color="auto"/>
      </w:divBdr>
    </w:div>
    <w:div w:id="81219823">
      <w:bodyDiv w:val="1"/>
      <w:marLeft w:val="0"/>
      <w:marRight w:val="0"/>
      <w:marTop w:val="0"/>
      <w:marBottom w:val="0"/>
      <w:divBdr>
        <w:top w:val="none" w:sz="0" w:space="0" w:color="auto"/>
        <w:left w:val="none" w:sz="0" w:space="0" w:color="auto"/>
        <w:bottom w:val="none" w:sz="0" w:space="0" w:color="auto"/>
        <w:right w:val="none" w:sz="0" w:space="0" w:color="auto"/>
      </w:divBdr>
    </w:div>
    <w:div w:id="81267696">
      <w:bodyDiv w:val="1"/>
      <w:marLeft w:val="0"/>
      <w:marRight w:val="0"/>
      <w:marTop w:val="0"/>
      <w:marBottom w:val="0"/>
      <w:divBdr>
        <w:top w:val="none" w:sz="0" w:space="0" w:color="auto"/>
        <w:left w:val="none" w:sz="0" w:space="0" w:color="auto"/>
        <w:bottom w:val="none" w:sz="0" w:space="0" w:color="auto"/>
        <w:right w:val="none" w:sz="0" w:space="0" w:color="auto"/>
      </w:divBdr>
    </w:div>
    <w:div w:id="81336959">
      <w:bodyDiv w:val="1"/>
      <w:marLeft w:val="0"/>
      <w:marRight w:val="0"/>
      <w:marTop w:val="0"/>
      <w:marBottom w:val="0"/>
      <w:divBdr>
        <w:top w:val="none" w:sz="0" w:space="0" w:color="auto"/>
        <w:left w:val="none" w:sz="0" w:space="0" w:color="auto"/>
        <w:bottom w:val="none" w:sz="0" w:space="0" w:color="auto"/>
        <w:right w:val="none" w:sz="0" w:space="0" w:color="auto"/>
      </w:divBdr>
    </w:div>
    <w:div w:id="81338777">
      <w:bodyDiv w:val="1"/>
      <w:marLeft w:val="0"/>
      <w:marRight w:val="0"/>
      <w:marTop w:val="0"/>
      <w:marBottom w:val="0"/>
      <w:divBdr>
        <w:top w:val="none" w:sz="0" w:space="0" w:color="auto"/>
        <w:left w:val="none" w:sz="0" w:space="0" w:color="auto"/>
        <w:bottom w:val="none" w:sz="0" w:space="0" w:color="auto"/>
        <w:right w:val="none" w:sz="0" w:space="0" w:color="auto"/>
      </w:divBdr>
    </w:div>
    <w:div w:id="81343060">
      <w:bodyDiv w:val="1"/>
      <w:marLeft w:val="0"/>
      <w:marRight w:val="0"/>
      <w:marTop w:val="0"/>
      <w:marBottom w:val="0"/>
      <w:divBdr>
        <w:top w:val="none" w:sz="0" w:space="0" w:color="auto"/>
        <w:left w:val="none" w:sz="0" w:space="0" w:color="auto"/>
        <w:bottom w:val="none" w:sz="0" w:space="0" w:color="auto"/>
        <w:right w:val="none" w:sz="0" w:space="0" w:color="auto"/>
      </w:divBdr>
    </w:div>
    <w:div w:id="81418677">
      <w:bodyDiv w:val="1"/>
      <w:marLeft w:val="0"/>
      <w:marRight w:val="0"/>
      <w:marTop w:val="0"/>
      <w:marBottom w:val="0"/>
      <w:divBdr>
        <w:top w:val="none" w:sz="0" w:space="0" w:color="auto"/>
        <w:left w:val="none" w:sz="0" w:space="0" w:color="auto"/>
        <w:bottom w:val="none" w:sz="0" w:space="0" w:color="auto"/>
        <w:right w:val="none" w:sz="0" w:space="0" w:color="auto"/>
      </w:divBdr>
    </w:div>
    <w:div w:id="81612536">
      <w:bodyDiv w:val="1"/>
      <w:marLeft w:val="0"/>
      <w:marRight w:val="0"/>
      <w:marTop w:val="0"/>
      <w:marBottom w:val="0"/>
      <w:divBdr>
        <w:top w:val="none" w:sz="0" w:space="0" w:color="auto"/>
        <w:left w:val="none" w:sz="0" w:space="0" w:color="auto"/>
        <w:bottom w:val="none" w:sz="0" w:space="0" w:color="auto"/>
        <w:right w:val="none" w:sz="0" w:space="0" w:color="auto"/>
      </w:divBdr>
    </w:div>
    <w:div w:id="81682172">
      <w:bodyDiv w:val="1"/>
      <w:marLeft w:val="0"/>
      <w:marRight w:val="0"/>
      <w:marTop w:val="0"/>
      <w:marBottom w:val="0"/>
      <w:divBdr>
        <w:top w:val="none" w:sz="0" w:space="0" w:color="auto"/>
        <w:left w:val="none" w:sz="0" w:space="0" w:color="auto"/>
        <w:bottom w:val="none" w:sz="0" w:space="0" w:color="auto"/>
        <w:right w:val="none" w:sz="0" w:space="0" w:color="auto"/>
      </w:divBdr>
    </w:div>
    <w:div w:id="81923541">
      <w:bodyDiv w:val="1"/>
      <w:marLeft w:val="0"/>
      <w:marRight w:val="0"/>
      <w:marTop w:val="0"/>
      <w:marBottom w:val="0"/>
      <w:divBdr>
        <w:top w:val="none" w:sz="0" w:space="0" w:color="auto"/>
        <w:left w:val="none" w:sz="0" w:space="0" w:color="auto"/>
        <w:bottom w:val="none" w:sz="0" w:space="0" w:color="auto"/>
        <w:right w:val="none" w:sz="0" w:space="0" w:color="auto"/>
      </w:divBdr>
    </w:div>
    <w:div w:id="82259936">
      <w:bodyDiv w:val="1"/>
      <w:marLeft w:val="0"/>
      <w:marRight w:val="0"/>
      <w:marTop w:val="0"/>
      <w:marBottom w:val="0"/>
      <w:divBdr>
        <w:top w:val="none" w:sz="0" w:space="0" w:color="auto"/>
        <w:left w:val="none" w:sz="0" w:space="0" w:color="auto"/>
        <w:bottom w:val="none" w:sz="0" w:space="0" w:color="auto"/>
        <w:right w:val="none" w:sz="0" w:space="0" w:color="auto"/>
      </w:divBdr>
    </w:div>
    <w:div w:id="82264036">
      <w:bodyDiv w:val="1"/>
      <w:marLeft w:val="0"/>
      <w:marRight w:val="0"/>
      <w:marTop w:val="0"/>
      <w:marBottom w:val="0"/>
      <w:divBdr>
        <w:top w:val="none" w:sz="0" w:space="0" w:color="auto"/>
        <w:left w:val="none" w:sz="0" w:space="0" w:color="auto"/>
        <w:bottom w:val="none" w:sz="0" w:space="0" w:color="auto"/>
        <w:right w:val="none" w:sz="0" w:space="0" w:color="auto"/>
      </w:divBdr>
    </w:div>
    <w:div w:id="82343864">
      <w:bodyDiv w:val="1"/>
      <w:marLeft w:val="0"/>
      <w:marRight w:val="0"/>
      <w:marTop w:val="0"/>
      <w:marBottom w:val="0"/>
      <w:divBdr>
        <w:top w:val="none" w:sz="0" w:space="0" w:color="auto"/>
        <w:left w:val="none" w:sz="0" w:space="0" w:color="auto"/>
        <w:bottom w:val="none" w:sz="0" w:space="0" w:color="auto"/>
        <w:right w:val="none" w:sz="0" w:space="0" w:color="auto"/>
      </w:divBdr>
    </w:div>
    <w:div w:id="82344688">
      <w:bodyDiv w:val="1"/>
      <w:marLeft w:val="0"/>
      <w:marRight w:val="0"/>
      <w:marTop w:val="0"/>
      <w:marBottom w:val="0"/>
      <w:divBdr>
        <w:top w:val="none" w:sz="0" w:space="0" w:color="auto"/>
        <w:left w:val="none" w:sz="0" w:space="0" w:color="auto"/>
        <w:bottom w:val="none" w:sz="0" w:space="0" w:color="auto"/>
        <w:right w:val="none" w:sz="0" w:space="0" w:color="auto"/>
      </w:divBdr>
    </w:div>
    <w:div w:id="82457402">
      <w:bodyDiv w:val="1"/>
      <w:marLeft w:val="0"/>
      <w:marRight w:val="0"/>
      <w:marTop w:val="0"/>
      <w:marBottom w:val="0"/>
      <w:divBdr>
        <w:top w:val="none" w:sz="0" w:space="0" w:color="auto"/>
        <w:left w:val="none" w:sz="0" w:space="0" w:color="auto"/>
        <w:bottom w:val="none" w:sz="0" w:space="0" w:color="auto"/>
        <w:right w:val="none" w:sz="0" w:space="0" w:color="auto"/>
      </w:divBdr>
    </w:div>
    <w:div w:id="82460853">
      <w:bodyDiv w:val="1"/>
      <w:marLeft w:val="0"/>
      <w:marRight w:val="0"/>
      <w:marTop w:val="0"/>
      <w:marBottom w:val="0"/>
      <w:divBdr>
        <w:top w:val="none" w:sz="0" w:space="0" w:color="auto"/>
        <w:left w:val="none" w:sz="0" w:space="0" w:color="auto"/>
        <w:bottom w:val="none" w:sz="0" w:space="0" w:color="auto"/>
        <w:right w:val="none" w:sz="0" w:space="0" w:color="auto"/>
      </w:divBdr>
    </w:div>
    <w:div w:id="82603800">
      <w:bodyDiv w:val="1"/>
      <w:marLeft w:val="0"/>
      <w:marRight w:val="0"/>
      <w:marTop w:val="0"/>
      <w:marBottom w:val="0"/>
      <w:divBdr>
        <w:top w:val="none" w:sz="0" w:space="0" w:color="auto"/>
        <w:left w:val="none" w:sz="0" w:space="0" w:color="auto"/>
        <w:bottom w:val="none" w:sz="0" w:space="0" w:color="auto"/>
        <w:right w:val="none" w:sz="0" w:space="0" w:color="auto"/>
      </w:divBdr>
    </w:div>
    <w:div w:id="82607304">
      <w:bodyDiv w:val="1"/>
      <w:marLeft w:val="0"/>
      <w:marRight w:val="0"/>
      <w:marTop w:val="0"/>
      <w:marBottom w:val="0"/>
      <w:divBdr>
        <w:top w:val="none" w:sz="0" w:space="0" w:color="auto"/>
        <w:left w:val="none" w:sz="0" w:space="0" w:color="auto"/>
        <w:bottom w:val="none" w:sz="0" w:space="0" w:color="auto"/>
        <w:right w:val="none" w:sz="0" w:space="0" w:color="auto"/>
      </w:divBdr>
    </w:div>
    <w:div w:id="82650530">
      <w:bodyDiv w:val="1"/>
      <w:marLeft w:val="0"/>
      <w:marRight w:val="0"/>
      <w:marTop w:val="0"/>
      <w:marBottom w:val="0"/>
      <w:divBdr>
        <w:top w:val="none" w:sz="0" w:space="0" w:color="auto"/>
        <w:left w:val="none" w:sz="0" w:space="0" w:color="auto"/>
        <w:bottom w:val="none" w:sz="0" w:space="0" w:color="auto"/>
        <w:right w:val="none" w:sz="0" w:space="0" w:color="auto"/>
      </w:divBdr>
    </w:div>
    <w:div w:id="82726634">
      <w:bodyDiv w:val="1"/>
      <w:marLeft w:val="0"/>
      <w:marRight w:val="0"/>
      <w:marTop w:val="0"/>
      <w:marBottom w:val="0"/>
      <w:divBdr>
        <w:top w:val="none" w:sz="0" w:space="0" w:color="auto"/>
        <w:left w:val="none" w:sz="0" w:space="0" w:color="auto"/>
        <w:bottom w:val="none" w:sz="0" w:space="0" w:color="auto"/>
        <w:right w:val="none" w:sz="0" w:space="0" w:color="auto"/>
      </w:divBdr>
    </w:div>
    <w:div w:id="82729202">
      <w:bodyDiv w:val="1"/>
      <w:marLeft w:val="0"/>
      <w:marRight w:val="0"/>
      <w:marTop w:val="0"/>
      <w:marBottom w:val="0"/>
      <w:divBdr>
        <w:top w:val="none" w:sz="0" w:space="0" w:color="auto"/>
        <w:left w:val="none" w:sz="0" w:space="0" w:color="auto"/>
        <w:bottom w:val="none" w:sz="0" w:space="0" w:color="auto"/>
        <w:right w:val="none" w:sz="0" w:space="0" w:color="auto"/>
      </w:divBdr>
    </w:div>
    <w:div w:id="82921266">
      <w:bodyDiv w:val="1"/>
      <w:marLeft w:val="0"/>
      <w:marRight w:val="0"/>
      <w:marTop w:val="0"/>
      <w:marBottom w:val="0"/>
      <w:divBdr>
        <w:top w:val="none" w:sz="0" w:space="0" w:color="auto"/>
        <w:left w:val="none" w:sz="0" w:space="0" w:color="auto"/>
        <w:bottom w:val="none" w:sz="0" w:space="0" w:color="auto"/>
        <w:right w:val="none" w:sz="0" w:space="0" w:color="auto"/>
      </w:divBdr>
    </w:div>
    <w:div w:id="82997683">
      <w:bodyDiv w:val="1"/>
      <w:marLeft w:val="0"/>
      <w:marRight w:val="0"/>
      <w:marTop w:val="0"/>
      <w:marBottom w:val="0"/>
      <w:divBdr>
        <w:top w:val="none" w:sz="0" w:space="0" w:color="auto"/>
        <w:left w:val="none" w:sz="0" w:space="0" w:color="auto"/>
        <w:bottom w:val="none" w:sz="0" w:space="0" w:color="auto"/>
        <w:right w:val="none" w:sz="0" w:space="0" w:color="auto"/>
      </w:divBdr>
    </w:div>
    <w:div w:id="83039792">
      <w:bodyDiv w:val="1"/>
      <w:marLeft w:val="0"/>
      <w:marRight w:val="0"/>
      <w:marTop w:val="0"/>
      <w:marBottom w:val="0"/>
      <w:divBdr>
        <w:top w:val="none" w:sz="0" w:space="0" w:color="auto"/>
        <w:left w:val="none" w:sz="0" w:space="0" w:color="auto"/>
        <w:bottom w:val="none" w:sz="0" w:space="0" w:color="auto"/>
        <w:right w:val="none" w:sz="0" w:space="0" w:color="auto"/>
      </w:divBdr>
    </w:div>
    <w:div w:id="83041239">
      <w:bodyDiv w:val="1"/>
      <w:marLeft w:val="0"/>
      <w:marRight w:val="0"/>
      <w:marTop w:val="0"/>
      <w:marBottom w:val="0"/>
      <w:divBdr>
        <w:top w:val="none" w:sz="0" w:space="0" w:color="auto"/>
        <w:left w:val="none" w:sz="0" w:space="0" w:color="auto"/>
        <w:bottom w:val="none" w:sz="0" w:space="0" w:color="auto"/>
        <w:right w:val="none" w:sz="0" w:space="0" w:color="auto"/>
      </w:divBdr>
    </w:div>
    <w:div w:id="83189057">
      <w:bodyDiv w:val="1"/>
      <w:marLeft w:val="0"/>
      <w:marRight w:val="0"/>
      <w:marTop w:val="0"/>
      <w:marBottom w:val="0"/>
      <w:divBdr>
        <w:top w:val="none" w:sz="0" w:space="0" w:color="auto"/>
        <w:left w:val="none" w:sz="0" w:space="0" w:color="auto"/>
        <w:bottom w:val="none" w:sz="0" w:space="0" w:color="auto"/>
        <w:right w:val="none" w:sz="0" w:space="0" w:color="auto"/>
      </w:divBdr>
    </w:div>
    <w:div w:id="83261439">
      <w:bodyDiv w:val="1"/>
      <w:marLeft w:val="0"/>
      <w:marRight w:val="0"/>
      <w:marTop w:val="0"/>
      <w:marBottom w:val="0"/>
      <w:divBdr>
        <w:top w:val="none" w:sz="0" w:space="0" w:color="auto"/>
        <w:left w:val="none" w:sz="0" w:space="0" w:color="auto"/>
        <w:bottom w:val="none" w:sz="0" w:space="0" w:color="auto"/>
        <w:right w:val="none" w:sz="0" w:space="0" w:color="auto"/>
      </w:divBdr>
    </w:div>
    <w:div w:id="83309860">
      <w:bodyDiv w:val="1"/>
      <w:marLeft w:val="0"/>
      <w:marRight w:val="0"/>
      <w:marTop w:val="0"/>
      <w:marBottom w:val="0"/>
      <w:divBdr>
        <w:top w:val="none" w:sz="0" w:space="0" w:color="auto"/>
        <w:left w:val="none" w:sz="0" w:space="0" w:color="auto"/>
        <w:bottom w:val="none" w:sz="0" w:space="0" w:color="auto"/>
        <w:right w:val="none" w:sz="0" w:space="0" w:color="auto"/>
      </w:divBdr>
    </w:div>
    <w:div w:id="83499126">
      <w:bodyDiv w:val="1"/>
      <w:marLeft w:val="0"/>
      <w:marRight w:val="0"/>
      <w:marTop w:val="0"/>
      <w:marBottom w:val="0"/>
      <w:divBdr>
        <w:top w:val="none" w:sz="0" w:space="0" w:color="auto"/>
        <w:left w:val="none" w:sz="0" w:space="0" w:color="auto"/>
        <w:bottom w:val="none" w:sz="0" w:space="0" w:color="auto"/>
        <w:right w:val="none" w:sz="0" w:space="0" w:color="auto"/>
      </w:divBdr>
    </w:div>
    <w:div w:id="83501453">
      <w:bodyDiv w:val="1"/>
      <w:marLeft w:val="0"/>
      <w:marRight w:val="0"/>
      <w:marTop w:val="0"/>
      <w:marBottom w:val="0"/>
      <w:divBdr>
        <w:top w:val="none" w:sz="0" w:space="0" w:color="auto"/>
        <w:left w:val="none" w:sz="0" w:space="0" w:color="auto"/>
        <w:bottom w:val="none" w:sz="0" w:space="0" w:color="auto"/>
        <w:right w:val="none" w:sz="0" w:space="0" w:color="auto"/>
      </w:divBdr>
    </w:div>
    <w:div w:id="83503959">
      <w:bodyDiv w:val="1"/>
      <w:marLeft w:val="0"/>
      <w:marRight w:val="0"/>
      <w:marTop w:val="0"/>
      <w:marBottom w:val="0"/>
      <w:divBdr>
        <w:top w:val="none" w:sz="0" w:space="0" w:color="auto"/>
        <w:left w:val="none" w:sz="0" w:space="0" w:color="auto"/>
        <w:bottom w:val="none" w:sz="0" w:space="0" w:color="auto"/>
        <w:right w:val="none" w:sz="0" w:space="0" w:color="auto"/>
      </w:divBdr>
    </w:div>
    <w:div w:id="83570166">
      <w:bodyDiv w:val="1"/>
      <w:marLeft w:val="0"/>
      <w:marRight w:val="0"/>
      <w:marTop w:val="0"/>
      <w:marBottom w:val="0"/>
      <w:divBdr>
        <w:top w:val="none" w:sz="0" w:space="0" w:color="auto"/>
        <w:left w:val="none" w:sz="0" w:space="0" w:color="auto"/>
        <w:bottom w:val="none" w:sz="0" w:space="0" w:color="auto"/>
        <w:right w:val="none" w:sz="0" w:space="0" w:color="auto"/>
      </w:divBdr>
    </w:div>
    <w:div w:id="83574386">
      <w:bodyDiv w:val="1"/>
      <w:marLeft w:val="0"/>
      <w:marRight w:val="0"/>
      <w:marTop w:val="0"/>
      <w:marBottom w:val="0"/>
      <w:divBdr>
        <w:top w:val="none" w:sz="0" w:space="0" w:color="auto"/>
        <w:left w:val="none" w:sz="0" w:space="0" w:color="auto"/>
        <w:bottom w:val="none" w:sz="0" w:space="0" w:color="auto"/>
        <w:right w:val="none" w:sz="0" w:space="0" w:color="auto"/>
      </w:divBdr>
    </w:div>
    <w:div w:id="83578898">
      <w:bodyDiv w:val="1"/>
      <w:marLeft w:val="0"/>
      <w:marRight w:val="0"/>
      <w:marTop w:val="0"/>
      <w:marBottom w:val="0"/>
      <w:divBdr>
        <w:top w:val="none" w:sz="0" w:space="0" w:color="auto"/>
        <w:left w:val="none" w:sz="0" w:space="0" w:color="auto"/>
        <w:bottom w:val="none" w:sz="0" w:space="0" w:color="auto"/>
        <w:right w:val="none" w:sz="0" w:space="0" w:color="auto"/>
      </w:divBdr>
    </w:div>
    <w:div w:id="83579248">
      <w:bodyDiv w:val="1"/>
      <w:marLeft w:val="0"/>
      <w:marRight w:val="0"/>
      <w:marTop w:val="0"/>
      <w:marBottom w:val="0"/>
      <w:divBdr>
        <w:top w:val="none" w:sz="0" w:space="0" w:color="auto"/>
        <w:left w:val="none" w:sz="0" w:space="0" w:color="auto"/>
        <w:bottom w:val="none" w:sz="0" w:space="0" w:color="auto"/>
        <w:right w:val="none" w:sz="0" w:space="0" w:color="auto"/>
      </w:divBdr>
    </w:div>
    <w:div w:id="83650937">
      <w:bodyDiv w:val="1"/>
      <w:marLeft w:val="0"/>
      <w:marRight w:val="0"/>
      <w:marTop w:val="0"/>
      <w:marBottom w:val="0"/>
      <w:divBdr>
        <w:top w:val="none" w:sz="0" w:space="0" w:color="auto"/>
        <w:left w:val="none" w:sz="0" w:space="0" w:color="auto"/>
        <w:bottom w:val="none" w:sz="0" w:space="0" w:color="auto"/>
        <w:right w:val="none" w:sz="0" w:space="0" w:color="auto"/>
      </w:divBdr>
    </w:div>
    <w:div w:id="83692519">
      <w:bodyDiv w:val="1"/>
      <w:marLeft w:val="0"/>
      <w:marRight w:val="0"/>
      <w:marTop w:val="0"/>
      <w:marBottom w:val="0"/>
      <w:divBdr>
        <w:top w:val="none" w:sz="0" w:space="0" w:color="auto"/>
        <w:left w:val="none" w:sz="0" w:space="0" w:color="auto"/>
        <w:bottom w:val="none" w:sz="0" w:space="0" w:color="auto"/>
        <w:right w:val="none" w:sz="0" w:space="0" w:color="auto"/>
      </w:divBdr>
    </w:div>
    <w:div w:id="83694111">
      <w:bodyDiv w:val="1"/>
      <w:marLeft w:val="0"/>
      <w:marRight w:val="0"/>
      <w:marTop w:val="0"/>
      <w:marBottom w:val="0"/>
      <w:divBdr>
        <w:top w:val="none" w:sz="0" w:space="0" w:color="auto"/>
        <w:left w:val="none" w:sz="0" w:space="0" w:color="auto"/>
        <w:bottom w:val="none" w:sz="0" w:space="0" w:color="auto"/>
        <w:right w:val="none" w:sz="0" w:space="0" w:color="auto"/>
      </w:divBdr>
    </w:div>
    <w:div w:id="83843370">
      <w:bodyDiv w:val="1"/>
      <w:marLeft w:val="0"/>
      <w:marRight w:val="0"/>
      <w:marTop w:val="0"/>
      <w:marBottom w:val="0"/>
      <w:divBdr>
        <w:top w:val="none" w:sz="0" w:space="0" w:color="auto"/>
        <w:left w:val="none" w:sz="0" w:space="0" w:color="auto"/>
        <w:bottom w:val="none" w:sz="0" w:space="0" w:color="auto"/>
        <w:right w:val="none" w:sz="0" w:space="0" w:color="auto"/>
      </w:divBdr>
    </w:div>
    <w:div w:id="83956729">
      <w:bodyDiv w:val="1"/>
      <w:marLeft w:val="0"/>
      <w:marRight w:val="0"/>
      <w:marTop w:val="0"/>
      <w:marBottom w:val="0"/>
      <w:divBdr>
        <w:top w:val="none" w:sz="0" w:space="0" w:color="auto"/>
        <w:left w:val="none" w:sz="0" w:space="0" w:color="auto"/>
        <w:bottom w:val="none" w:sz="0" w:space="0" w:color="auto"/>
        <w:right w:val="none" w:sz="0" w:space="0" w:color="auto"/>
      </w:divBdr>
    </w:div>
    <w:div w:id="83961049">
      <w:bodyDiv w:val="1"/>
      <w:marLeft w:val="0"/>
      <w:marRight w:val="0"/>
      <w:marTop w:val="0"/>
      <w:marBottom w:val="0"/>
      <w:divBdr>
        <w:top w:val="none" w:sz="0" w:space="0" w:color="auto"/>
        <w:left w:val="none" w:sz="0" w:space="0" w:color="auto"/>
        <w:bottom w:val="none" w:sz="0" w:space="0" w:color="auto"/>
        <w:right w:val="none" w:sz="0" w:space="0" w:color="auto"/>
      </w:divBdr>
    </w:div>
    <w:div w:id="84152056">
      <w:bodyDiv w:val="1"/>
      <w:marLeft w:val="0"/>
      <w:marRight w:val="0"/>
      <w:marTop w:val="0"/>
      <w:marBottom w:val="0"/>
      <w:divBdr>
        <w:top w:val="none" w:sz="0" w:space="0" w:color="auto"/>
        <w:left w:val="none" w:sz="0" w:space="0" w:color="auto"/>
        <w:bottom w:val="none" w:sz="0" w:space="0" w:color="auto"/>
        <w:right w:val="none" w:sz="0" w:space="0" w:color="auto"/>
      </w:divBdr>
    </w:div>
    <w:div w:id="84159412">
      <w:bodyDiv w:val="1"/>
      <w:marLeft w:val="0"/>
      <w:marRight w:val="0"/>
      <w:marTop w:val="0"/>
      <w:marBottom w:val="0"/>
      <w:divBdr>
        <w:top w:val="none" w:sz="0" w:space="0" w:color="auto"/>
        <w:left w:val="none" w:sz="0" w:space="0" w:color="auto"/>
        <w:bottom w:val="none" w:sz="0" w:space="0" w:color="auto"/>
        <w:right w:val="none" w:sz="0" w:space="0" w:color="auto"/>
      </w:divBdr>
    </w:div>
    <w:div w:id="84352606">
      <w:bodyDiv w:val="1"/>
      <w:marLeft w:val="0"/>
      <w:marRight w:val="0"/>
      <w:marTop w:val="0"/>
      <w:marBottom w:val="0"/>
      <w:divBdr>
        <w:top w:val="none" w:sz="0" w:space="0" w:color="auto"/>
        <w:left w:val="none" w:sz="0" w:space="0" w:color="auto"/>
        <w:bottom w:val="none" w:sz="0" w:space="0" w:color="auto"/>
        <w:right w:val="none" w:sz="0" w:space="0" w:color="auto"/>
      </w:divBdr>
    </w:div>
    <w:div w:id="84498622">
      <w:bodyDiv w:val="1"/>
      <w:marLeft w:val="0"/>
      <w:marRight w:val="0"/>
      <w:marTop w:val="0"/>
      <w:marBottom w:val="0"/>
      <w:divBdr>
        <w:top w:val="none" w:sz="0" w:space="0" w:color="auto"/>
        <w:left w:val="none" w:sz="0" w:space="0" w:color="auto"/>
        <w:bottom w:val="none" w:sz="0" w:space="0" w:color="auto"/>
        <w:right w:val="none" w:sz="0" w:space="0" w:color="auto"/>
      </w:divBdr>
    </w:div>
    <w:div w:id="84500245">
      <w:bodyDiv w:val="1"/>
      <w:marLeft w:val="0"/>
      <w:marRight w:val="0"/>
      <w:marTop w:val="0"/>
      <w:marBottom w:val="0"/>
      <w:divBdr>
        <w:top w:val="none" w:sz="0" w:space="0" w:color="auto"/>
        <w:left w:val="none" w:sz="0" w:space="0" w:color="auto"/>
        <w:bottom w:val="none" w:sz="0" w:space="0" w:color="auto"/>
        <w:right w:val="none" w:sz="0" w:space="0" w:color="auto"/>
      </w:divBdr>
    </w:div>
    <w:div w:id="84502444">
      <w:bodyDiv w:val="1"/>
      <w:marLeft w:val="0"/>
      <w:marRight w:val="0"/>
      <w:marTop w:val="0"/>
      <w:marBottom w:val="0"/>
      <w:divBdr>
        <w:top w:val="none" w:sz="0" w:space="0" w:color="auto"/>
        <w:left w:val="none" w:sz="0" w:space="0" w:color="auto"/>
        <w:bottom w:val="none" w:sz="0" w:space="0" w:color="auto"/>
        <w:right w:val="none" w:sz="0" w:space="0" w:color="auto"/>
      </w:divBdr>
    </w:div>
    <w:div w:id="84694345">
      <w:bodyDiv w:val="1"/>
      <w:marLeft w:val="0"/>
      <w:marRight w:val="0"/>
      <w:marTop w:val="0"/>
      <w:marBottom w:val="0"/>
      <w:divBdr>
        <w:top w:val="none" w:sz="0" w:space="0" w:color="auto"/>
        <w:left w:val="none" w:sz="0" w:space="0" w:color="auto"/>
        <w:bottom w:val="none" w:sz="0" w:space="0" w:color="auto"/>
        <w:right w:val="none" w:sz="0" w:space="0" w:color="auto"/>
      </w:divBdr>
    </w:div>
    <w:div w:id="84739260">
      <w:bodyDiv w:val="1"/>
      <w:marLeft w:val="0"/>
      <w:marRight w:val="0"/>
      <w:marTop w:val="0"/>
      <w:marBottom w:val="0"/>
      <w:divBdr>
        <w:top w:val="none" w:sz="0" w:space="0" w:color="auto"/>
        <w:left w:val="none" w:sz="0" w:space="0" w:color="auto"/>
        <w:bottom w:val="none" w:sz="0" w:space="0" w:color="auto"/>
        <w:right w:val="none" w:sz="0" w:space="0" w:color="auto"/>
      </w:divBdr>
    </w:div>
    <w:div w:id="84813387">
      <w:bodyDiv w:val="1"/>
      <w:marLeft w:val="0"/>
      <w:marRight w:val="0"/>
      <w:marTop w:val="0"/>
      <w:marBottom w:val="0"/>
      <w:divBdr>
        <w:top w:val="none" w:sz="0" w:space="0" w:color="auto"/>
        <w:left w:val="none" w:sz="0" w:space="0" w:color="auto"/>
        <w:bottom w:val="none" w:sz="0" w:space="0" w:color="auto"/>
        <w:right w:val="none" w:sz="0" w:space="0" w:color="auto"/>
      </w:divBdr>
    </w:div>
    <w:div w:id="84883629">
      <w:bodyDiv w:val="1"/>
      <w:marLeft w:val="0"/>
      <w:marRight w:val="0"/>
      <w:marTop w:val="0"/>
      <w:marBottom w:val="0"/>
      <w:divBdr>
        <w:top w:val="none" w:sz="0" w:space="0" w:color="auto"/>
        <w:left w:val="none" w:sz="0" w:space="0" w:color="auto"/>
        <w:bottom w:val="none" w:sz="0" w:space="0" w:color="auto"/>
        <w:right w:val="none" w:sz="0" w:space="0" w:color="auto"/>
      </w:divBdr>
    </w:div>
    <w:div w:id="84887543">
      <w:bodyDiv w:val="1"/>
      <w:marLeft w:val="0"/>
      <w:marRight w:val="0"/>
      <w:marTop w:val="0"/>
      <w:marBottom w:val="0"/>
      <w:divBdr>
        <w:top w:val="none" w:sz="0" w:space="0" w:color="auto"/>
        <w:left w:val="none" w:sz="0" w:space="0" w:color="auto"/>
        <w:bottom w:val="none" w:sz="0" w:space="0" w:color="auto"/>
        <w:right w:val="none" w:sz="0" w:space="0" w:color="auto"/>
      </w:divBdr>
    </w:div>
    <w:div w:id="84960551">
      <w:bodyDiv w:val="1"/>
      <w:marLeft w:val="0"/>
      <w:marRight w:val="0"/>
      <w:marTop w:val="0"/>
      <w:marBottom w:val="0"/>
      <w:divBdr>
        <w:top w:val="none" w:sz="0" w:space="0" w:color="auto"/>
        <w:left w:val="none" w:sz="0" w:space="0" w:color="auto"/>
        <w:bottom w:val="none" w:sz="0" w:space="0" w:color="auto"/>
        <w:right w:val="none" w:sz="0" w:space="0" w:color="auto"/>
      </w:divBdr>
    </w:div>
    <w:div w:id="85000241">
      <w:bodyDiv w:val="1"/>
      <w:marLeft w:val="0"/>
      <w:marRight w:val="0"/>
      <w:marTop w:val="0"/>
      <w:marBottom w:val="0"/>
      <w:divBdr>
        <w:top w:val="none" w:sz="0" w:space="0" w:color="auto"/>
        <w:left w:val="none" w:sz="0" w:space="0" w:color="auto"/>
        <w:bottom w:val="none" w:sz="0" w:space="0" w:color="auto"/>
        <w:right w:val="none" w:sz="0" w:space="0" w:color="auto"/>
      </w:divBdr>
    </w:div>
    <w:div w:id="85074122">
      <w:bodyDiv w:val="1"/>
      <w:marLeft w:val="0"/>
      <w:marRight w:val="0"/>
      <w:marTop w:val="0"/>
      <w:marBottom w:val="0"/>
      <w:divBdr>
        <w:top w:val="none" w:sz="0" w:space="0" w:color="auto"/>
        <w:left w:val="none" w:sz="0" w:space="0" w:color="auto"/>
        <w:bottom w:val="none" w:sz="0" w:space="0" w:color="auto"/>
        <w:right w:val="none" w:sz="0" w:space="0" w:color="auto"/>
      </w:divBdr>
    </w:div>
    <w:div w:id="85158198">
      <w:bodyDiv w:val="1"/>
      <w:marLeft w:val="0"/>
      <w:marRight w:val="0"/>
      <w:marTop w:val="0"/>
      <w:marBottom w:val="0"/>
      <w:divBdr>
        <w:top w:val="none" w:sz="0" w:space="0" w:color="auto"/>
        <w:left w:val="none" w:sz="0" w:space="0" w:color="auto"/>
        <w:bottom w:val="none" w:sz="0" w:space="0" w:color="auto"/>
        <w:right w:val="none" w:sz="0" w:space="0" w:color="auto"/>
      </w:divBdr>
    </w:div>
    <w:div w:id="85268657">
      <w:bodyDiv w:val="1"/>
      <w:marLeft w:val="0"/>
      <w:marRight w:val="0"/>
      <w:marTop w:val="0"/>
      <w:marBottom w:val="0"/>
      <w:divBdr>
        <w:top w:val="none" w:sz="0" w:space="0" w:color="auto"/>
        <w:left w:val="none" w:sz="0" w:space="0" w:color="auto"/>
        <w:bottom w:val="none" w:sz="0" w:space="0" w:color="auto"/>
        <w:right w:val="none" w:sz="0" w:space="0" w:color="auto"/>
      </w:divBdr>
    </w:div>
    <w:div w:id="85345684">
      <w:bodyDiv w:val="1"/>
      <w:marLeft w:val="0"/>
      <w:marRight w:val="0"/>
      <w:marTop w:val="0"/>
      <w:marBottom w:val="0"/>
      <w:divBdr>
        <w:top w:val="none" w:sz="0" w:space="0" w:color="auto"/>
        <w:left w:val="none" w:sz="0" w:space="0" w:color="auto"/>
        <w:bottom w:val="none" w:sz="0" w:space="0" w:color="auto"/>
        <w:right w:val="none" w:sz="0" w:space="0" w:color="auto"/>
      </w:divBdr>
    </w:div>
    <w:div w:id="85348701">
      <w:bodyDiv w:val="1"/>
      <w:marLeft w:val="0"/>
      <w:marRight w:val="0"/>
      <w:marTop w:val="0"/>
      <w:marBottom w:val="0"/>
      <w:divBdr>
        <w:top w:val="none" w:sz="0" w:space="0" w:color="auto"/>
        <w:left w:val="none" w:sz="0" w:space="0" w:color="auto"/>
        <w:bottom w:val="none" w:sz="0" w:space="0" w:color="auto"/>
        <w:right w:val="none" w:sz="0" w:space="0" w:color="auto"/>
      </w:divBdr>
    </w:div>
    <w:div w:id="85424769">
      <w:bodyDiv w:val="1"/>
      <w:marLeft w:val="0"/>
      <w:marRight w:val="0"/>
      <w:marTop w:val="0"/>
      <w:marBottom w:val="0"/>
      <w:divBdr>
        <w:top w:val="none" w:sz="0" w:space="0" w:color="auto"/>
        <w:left w:val="none" w:sz="0" w:space="0" w:color="auto"/>
        <w:bottom w:val="none" w:sz="0" w:space="0" w:color="auto"/>
        <w:right w:val="none" w:sz="0" w:space="0" w:color="auto"/>
      </w:divBdr>
    </w:div>
    <w:div w:id="85462724">
      <w:bodyDiv w:val="1"/>
      <w:marLeft w:val="0"/>
      <w:marRight w:val="0"/>
      <w:marTop w:val="0"/>
      <w:marBottom w:val="0"/>
      <w:divBdr>
        <w:top w:val="none" w:sz="0" w:space="0" w:color="auto"/>
        <w:left w:val="none" w:sz="0" w:space="0" w:color="auto"/>
        <w:bottom w:val="none" w:sz="0" w:space="0" w:color="auto"/>
        <w:right w:val="none" w:sz="0" w:space="0" w:color="auto"/>
      </w:divBdr>
    </w:div>
    <w:div w:id="85463695">
      <w:bodyDiv w:val="1"/>
      <w:marLeft w:val="0"/>
      <w:marRight w:val="0"/>
      <w:marTop w:val="0"/>
      <w:marBottom w:val="0"/>
      <w:divBdr>
        <w:top w:val="none" w:sz="0" w:space="0" w:color="auto"/>
        <w:left w:val="none" w:sz="0" w:space="0" w:color="auto"/>
        <w:bottom w:val="none" w:sz="0" w:space="0" w:color="auto"/>
        <w:right w:val="none" w:sz="0" w:space="0" w:color="auto"/>
      </w:divBdr>
    </w:div>
    <w:div w:id="85620223">
      <w:bodyDiv w:val="1"/>
      <w:marLeft w:val="0"/>
      <w:marRight w:val="0"/>
      <w:marTop w:val="0"/>
      <w:marBottom w:val="0"/>
      <w:divBdr>
        <w:top w:val="none" w:sz="0" w:space="0" w:color="auto"/>
        <w:left w:val="none" w:sz="0" w:space="0" w:color="auto"/>
        <w:bottom w:val="none" w:sz="0" w:space="0" w:color="auto"/>
        <w:right w:val="none" w:sz="0" w:space="0" w:color="auto"/>
      </w:divBdr>
    </w:div>
    <w:div w:id="85810320">
      <w:bodyDiv w:val="1"/>
      <w:marLeft w:val="0"/>
      <w:marRight w:val="0"/>
      <w:marTop w:val="0"/>
      <w:marBottom w:val="0"/>
      <w:divBdr>
        <w:top w:val="none" w:sz="0" w:space="0" w:color="auto"/>
        <w:left w:val="none" w:sz="0" w:space="0" w:color="auto"/>
        <w:bottom w:val="none" w:sz="0" w:space="0" w:color="auto"/>
        <w:right w:val="none" w:sz="0" w:space="0" w:color="auto"/>
      </w:divBdr>
    </w:div>
    <w:div w:id="85812438">
      <w:bodyDiv w:val="1"/>
      <w:marLeft w:val="0"/>
      <w:marRight w:val="0"/>
      <w:marTop w:val="0"/>
      <w:marBottom w:val="0"/>
      <w:divBdr>
        <w:top w:val="none" w:sz="0" w:space="0" w:color="auto"/>
        <w:left w:val="none" w:sz="0" w:space="0" w:color="auto"/>
        <w:bottom w:val="none" w:sz="0" w:space="0" w:color="auto"/>
        <w:right w:val="none" w:sz="0" w:space="0" w:color="auto"/>
      </w:divBdr>
    </w:div>
    <w:div w:id="85852558">
      <w:bodyDiv w:val="1"/>
      <w:marLeft w:val="0"/>
      <w:marRight w:val="0"/>
      <w:marTop w:val="0"/>
      <w:marBottom w:val="0"/>
      <w:divBdr>
        <w:top w:val="none" w:sz="0" w:space="0" w:color="auto"/>
        <w:left w:val="none" w:sz="0" w:space="0" w:color="auto"/>
        <w:bottom w:val="none" w:sz="0" w:space="0" w:color="auto"/>
        <w:right w:val="none" w:sz="0" w:space="0" w:color="auto"/>
      </w:divBdr>
    </w:div>
    <w:div w:id="85880296">
      <w:bodyDiv w:val="1"/>
      <w:marLeft w:val="0"/>
      <w:marRight w:val="0"/>
      <w:marTop w:val="0"/>
      <w:marBottom w:val="0"/>
      <w:divBdr>
        <w:top w:val="none" w:sz="0" w:space="0" w:color="auto"/>
        <w:left w:val="none" w:sz="0" w:space="0" w:color="auto"/>
        <w:bottom w:val="none" w:sz="0" w:space="0" w:color="auto"/>
        <w:right w:val="none" w:sz="0" w:space="0" w:color="auto"/>
      </w:divBdr>
    </w:div>
    <w:div w:id="85922974">
      <w:bodyDiv w:val="1"/>
      <w:marLeft w:val="0"/>
      <w:marRight w:val="0"/>
      <w:marTop w:val="0"/>
      <w:marBottom w:val="0"/>
      <w:divBdr>
        <w:top w:val="none" w:sz="0" w:space="0" w:color="auto"/>
        <w:left w:val="none" w:sz="0" w:space="0" w:color="auto"/>
        <w:bottom w:val="none" w:sz="0" w:space="0" w:color="auto"/>
        <w:right w:val="none" w:sz="0" w:space="0" w:color="auto"/>
      </w:divBdr>
    </w:div>
    <w:div w:id="85923695">
      <w:bodyDiv w:val="1"/>
      <w:marLeft w:val="0"/>
      <w:marRight w:val="0"/>
      <w:marTop w:val="0"/>
      <w:marBottom w:val="0"/>
      <w:divBdr>
        <w:top w:val="none" w:sz="0" w:space="0" w:color="auto"/>
        <w:left w:val="none" w:sz="0" w:space="0" w:color="auto"/>
        <w:bottom w:val="none" w:sz="0" w:space="0" w:color="auto"/>
        <w:right w:val="none" w:sz="0" w:space="0" w:color="auto"/>
      </w:divBdr>
    </w:div>
    <w:div w:id="85925698">
      <w:bodyDiv w:val="1"/>
      <w:marLeft w:val="0"/>
      <w:marRight w:val="0"/>
      <w:marTop w:val="0"/>
      <w:marBottom w:val="0"/>
      <w:divBdr>
        <w:top w:val="none" w:sz="0" w:space="0" w:color="auto"/>
        <w:left w:val="none" w:sz="0" w:space="0" w:color="auto"/>
        <w:bottom w:val="none" w:sz="0" w:space="0" w:color="auto"/>
        <w:right w:val="none" w:sz="0" w:space="0" w:color="auto"/>
      </w:divBdr>
    </w:div>
    <w:div w:id="85932061">
      <w:bodyDiv w:val="1"/>
      <w:marLeft w:val="0"/>
      <w:marRight w:val="0"/>
      <w:marTop w:val="0"/>
      <w:marBottom w:val="0"/>
      <w:divBdr>
        <w:top w:val="none" w:sz="0" w:space="0" w:color="auto"/>
        <w:left w:val="none" w:sz="0" w:space="0" w:color="auto"/>
        <w:bottom w:val="none" w:sz="0" w:space="0" w:color="auto"/>
        <w:right w:val="none" w:sz="0" w:space="0" w:color="auto"/>
      </w:divBdr>
    </w:div>
    <w:div w:id="86007023">
      <w:bodyDiv w:val="1"/>
      <w:marLeft w:val="0"/>
      <w:marRight w:val="0"/>
      <w:marTop w:val="0"/>
      <w:marBottom w:val="0"/>
      <w:divBdr>
        <w:top w:val="none" w:sz="0" w:space="0" w:color="auto"/>
        <w:left w:val="none" w:sz="0" w:space="0" w:color="auto"/>
        <w:bottom w:val="none" w:sz="0" w:space="0" w:color="auto"/>
        <w:right w:val="none" w:sz="0" w:space="0" w:color="auto"/>
      </w:divBdr>
    </w:div>
    <w:div w:id="86118593">
      <w:bodyDiv w:val="1"/>
      <w:marLeft w:val="0"/>
      <w:marRight w:val="0"/>
      <w:marTop w:val="0"/>
      <w:marBottom w:val="0"/>
      <w:divBdr>
        <w:top w:val="none" w:sz="0" w:space="0" w:color="auto"/>
        <w:left w:val="none" w:sz="0" w:space="0" w:color="auto"/>
        <w:bottom w:val="none" w:sz="0" w:space="0" w:color="auto"/>
        <w:right w:val="none" w:sz="0" w:space="0" w:color="auto"/>
      </w:divBdr>
    </w:div>
    <w:div w:id="86200577">
      <w:bodyDiv w:val="1"/>
      <w:marLeft w:val="0"/>
      <w:marRight w:val="0"/>
      <w:marTop w:val="0"/>
      <w:marBottom w:val="0"/>
      <w:divBdr>
        <w:top w:val="none" w:sz="0" w:space="0" w:color="auto"/>
        <w:left w:val="none" w:sz="0" w:space="0" w:color="auto"/>
        <w:bottom w:val="none" w:sz="0" w:space="0" w:color="auto"/>
        <w:right w:val="none" w:sz="0" w:space="0" w:color="auto"/>
      </w:divBdr>
    </w:div>
    <w:div w:id="86270123">
      <w:bodyDiv w:val="1"/>
      <w:marLeft w:val="0"/>
      <w:marRight w:val="0"/>
      <w:marTop w:val="0"/>
      <w:marBottom w:val="0"/>
      <w:divBdr>
        <w:top w:val="none" w:sz="0" w:space="0" w:color="auto"/>
        <w:left w:val="none" w:sz="0" w:space="0" w:color="auto"/>
        <w:bottom w:val="none" w:sz="0" w:space="0" w:color="auto"/>
        <w:right w:val="none" w:sz="0" w:space="0" w:color="auto"/>
      </w:divBdr>
    </w:div>
    <w:div w:id="86584304">
      <w:bodyDiv w:val="1"/>
      <w:marLeft w:val="0"/>
      <w:marRight w:val="0"/>
      <w:marTop w:val="0"/>
      <w:marBottom w:val="0"/>
      <w:divBdr>
        <w:top w:val="none" w:sz="0" w:space="0" w:color="auto"/>
        <w:left w:val="none" w:sz="0" w:space="0" w:color="auto"/>
        <w:bottom w:val="none" w:sz="0" w:space="0" w:color="auto"/>
        <w:right w:val="none" w:sz="0" w:space="0" w:color="auto"/>
      </w:divBdr>
    </w:div>
    <w:div w:id="86656544">
      <w:bodyDiv w:val="1"/>
      <w:marLeft w:val="0"/>
      <w:marRight w:val="0"/>
      <w:marTop w:val="0"/>
      <w:marBottom w:val="0"/>
      <w:divBdr>
        <w:top w:val="none" w:sz="0" w:space="0" w:color="auto"/>
        <w:left w:val="none" w:sz="0" w:space="0" w:color="auto"/>
        <w:bottom w:val="none" w:sz="0" w:space="0" w:color="auto"/>
        <w:right w:val="none" w:sz="0" w:space="0" w:color="auto"/>
      </w:divBdr>
    </w:div>
    <w:div w:id="86772218">
      <w:bodyDiv w:val="1"/>
      <w:marLeft w:val="0"/>
      <w:marRight w:val="0"/>
      <w:marTop w:val="0"/>
      <w:marBottom w:val="0"/>
      <w:divBdr>
        <w:top w:val="none" w:sz="0" w:space="0" w:color="auto"/>
        <w:left w:val="none" w:sz="0" w:space="0" w:color="auto"/>
        <w:bottom w:val="none" w:sz="0" w:space="0" w:color="auto"/>
        <w:right w:val="none" w:sz="0" w:space="0" w:color="auto"/>
      </w:divBdr>
    </w:div>
    <w:div w:id="86846868">
      <w:bodyDiv w:val="1"/>
      <w:marLeft w:val="0"/>
      <w:marRight w:val="0"/>
      <w:marTop w:val="0"/>
      <w:marBottom w:val="0"/>
      <w:divBdr>
        <w:top w:val="none" w:sz="0" w:space="0" w:color="auto"/>
        <w:left w:val="none" w:sz="0" w:space="0" w:color="auto"/>
        <w:bottom w:val="none" w:sz="0" w:space="0" w:color="auto"/>
        <w:right w:val="none" w:sz="0" w:space="0" w:color="auto"/>
      </w:divBdr>
    </w:div>
    <w:div w:id="86967284">
      <w:bodyDiv w:val="1"/>
      <w:marLeft w:val="0"/>
      <w:marRight w:val="0"/>
      <w:marTop w:val="0"/>
      <w:marBottom w:val="0"/>
      <w:divBdr>
        <w:top w:val="none" w:sz="0" w:space="0" w:color="auto"/>
        <w:left w:val="none" w:sz="0" w:space="0" w:color="auto"/>
        <w:bottom w:val="none" w:sz="0" w:space="0" w:color="auto"/>
        <w:right w:val="none" w:sz="0" w:space="0" w:color="auto"/>
      </w:divBdr>
    </w:div>
    <w:div w:id="86972282">
      <w:bodyDiv w:val="1"/>
      <w:marLeft w:val="0"/>
      <w:marRight w:val="0"/>
      <w:marTop w:val="0"/>
      <w:marBottom w:val="0"/>
      <w:divBdr>
        <w:top w:val="none" w:sz="0" w:space="0" w:color="auto"/>
        <w:left w:val="none" w:sz="0" w:space="0" w:color="auto"/>
        <w:bottom w:val="none" w:sz="0" w:space="0" w:color="auto"/>
        <w:right w:val="none" w:sz="0" w:space="0" w:color="auto"/>
      </w:divBdr>
    </w:div>
    <w:div w:id="87167287">
      <w:bodyDiv w:val="1"/>
      <w:marLeft w:val="0"/>
      <w:marRight w:val="0"/>
      <w:marTop w:val="0"/>
      <w:marBottom w:val="0"/>
      <w:divBdr>
        <w:top w:val="none" w:sz="0" w:space="0" w:color="auto"/>
        <w:left w:val="none" w:sz="0" w:space="0" w:color="auto"/>
        <w:bottom w:val="none" w:sz="0" w:space="0" w:color="auto"/>
        <w:right w:val="none" w:sz="0" w:space="0" w:color="auto"/>
      </w:divBdr>
    </w:div>
    <w:div w:id="87190583">
      <w:bodyDiv w:val="1"/>
      <w:marLeft w:val="0"/>
      <w:marRight w:val="0"/>
      <w:marTop w:val="0"/>
      <w:marBottom w:val="0"/>
      <w:divBdr>
        <w:top w:val="none" w:sz="0" w:space="0" w:color="auto"/>
        <w:left w:val="none" w:sz="0" w:space="0" w:color="auto"/>
        <w:bottom w:val="none" w:sz="0" w:space="0" w:color="auto"/>
        <w:right w:val="none" w:sz="0" w:space="0" w:color="auto"/>
      </w:divBdr>
    </w:div>
    <w:div w:id="87388619">
      <w:bodyDiv w:val="1"/>
      <w:marLeft w:val="0"/>
      <w:marRight w:val="0"/>
      <w:marTop w:val="0"/>
      <w:marBottom w:val="0"/>
      <w:divBdr>
        <w:top w:val="none" w:sz="0" w:space="0" w:color="auto"/>
        <w:left w:val="none" w:sz="0" w:space="0" w:color="auto"/>
        <w:bottom w:val="none" w:sz="0" w:space="0" w:color="auto"/>
        <w:right w:val="none" w:sz="0" w:space="0" w:color="auto"/>
      </w:divBdr>
    </w:div>
    <w:div w:id="87388833">
      <w:bodyDiv w:val="1"/>
      <w:marLeft w:val="0"/>
      <w:marRight w:val="0"/>
      <w:marTop w:val="0"/>
      <w:marBottom w:val="0"/>
      <w:divBdr>
        <w:top w:val="none" w:sz="0" w:space="0" w:color="auto"/>
        <w:left w:val="none" w:sz="0" w:space="0" w:color="auto"/>
        <w:bottom w:val="none" w:sz="0" w:space="0" w:color="auto"/>
        <w:right w:val="none" w:sz="0" w:space="0" w:color="auto"/>
      </w:divBdr>
    </w:div>
    <w:div w:id="87771714">
      <w:bodyDiv w:val="1"/>
      <w:marLeft w:val="0"/>
      <w:marRight w:val="0"/>
      <w:marTop w:val="0"/>
      <w:marBottom w:val="0"/>
      <w:divBdr>
        <w:top w:val="none" w:sz="0" w:space="0" w:color="auto"/>
        <w:left w:val="none" w:sz="0" w:space="0" w:color="auto"/>
        <w:bottom w:val="none" w:sz="0" w:space="0" w:color="auto"/>
        <w:right w:val="none" w:sz="0" w:space="0" w:color="auto"/>
      </w:divBdr>
    </w:div>
    <w:div w:id="87964441">
      <w:bodyDiv w:val="1"/>
      <w:marLeft w:val="0"/>
      <w:marRight w:val="0"/>
      <w:marTop w:val="0"/>
      <w:marBottom w:val="0"/>
      <w:divBdr>
        <w:top w:val="none" w:sz="0" w:space="0" w:color="auto"/>
        <w:left w:val="none" w:sz="0" w:space="0" w:color="auto"/>
        <w:bottom w:val="none" w:sz="0" w:space="0" w:color="auto"/>
        <w:right w:val="none" w:sz="0" w:space="0" w:color="auto"/>
      </w:divBdr>
    </w:div>
    <w:div w:id="88041790">
      <w:bodyDiv w:val="1"/>
      <w:marLeft w:val="0"/>
      <w:marRight w:val="0"/>
      <w:marTop w:val="0"/>
      <w:marBottom w:val="0"/>
      <w:divBdr>
        <w:top w:val="none" w:sz="0" w:space="0" w:color="auto"/>
        <w:left w:val="none" w:sz="0" w:space="0" w:color="auto"/>
        <w:bottom w:val="none" w:sz="0" w:space="0" w:color="auto"/>
        <w:right w:val="none" w:sz="0" w:space="0" w:color="auto"/>
      </w:divBdr>
    </w:div>
    <w:div w:id="88158146">
      <w:bodyDiv w:val="1"/>
      <w:marLeft w:val="0"/>
      <w:marRight w:val="0"/>
      <w:marTop w:val="0"/>
      <w:marBottom w:val="0"/>
      <w:divBdr>
        <w:top w:val="none" w:sz="0" w:space="0" w:color="auto"/>
        <w:left w:val="none" w:sz="0" w:space="0" w:color="auto"/>
        <w:bottom w:val="none" w:sz="0" w:space="0" w:color="auto"/>
        <w:right w:val="none" w:sz="0" w:space="0" w:color="auto"/>
      </w:divBdr>
    </w:div>
    <w:div w:id="88236214">
      <w:bodyDiv w:val="1"/>
      <w:marLeft w:val="0"/>
      <w:marRight w:val="0"/>
      <w:marTop w:val="0"/>
      <w:marBottom w:val="0"/>
      <w:divBdr>
        <w:top w:val="none" w:sz="0" w:space="0" w:color="auto"/>
        <w:left w:val="none" w:sz="0" w:space="0" w:color="auto"/>
        <w:bottom w:val="none" w:sz="0" w:space="0" w:color="auto"/>
        <w:right w:val="none" w:sz="0" w:space="0" w:color="auto"/>
      </w:divBdr>
    </w:div>
    <w:div w:id="88284057">
      <w:bodyDiv w:val="1"/>
      <w:marLeft w:val="0"/>
      <w:marRight w:val="0"/>
      <w:marTop w:val="0"/>
      <w:marBottom w:val="0"/>
      <w:divBdr>
        <w:top w:val="none" w:sz="0" w:space="0" w:color="auto"/>
        <w:left w:val="none" w:sz="0" w:space="0" w:color="auto"/>
        <w:bottom w:val="none" w:sz="0" w:space="0" w:color="auto"/>
        <w:right w:val="none" w:sz="0" w:space="0" w:color="auto"/>
      </w:divBdr>
    </w:div>
    <w:div w:id="88355506">
      <w:bodyDiv w:val="1"/>
      <w:marLeft w:val="0"/>
      <w:marRight w:val="0"/>
      <w:marTop w:val="0"/>
      <w:marBottom w:val="0"/>
      <w:divBdr>
        <w:top w:val="none" w:sz="0" w:space="0" w:color="auto"/>
        <w:left w:val="none" w:sz="0" w:space="0" w:color="auto"/>
        <w:bottom w:val="none" w:sz="0" w:space="0" w:color="auto"/>
        <w:right w:val="none" w:sz="0" w:space="0" w:color="auto"/>
      </w:divBdr>
    </w:div>
    <w:div w:id="88356461">
      <w:bodyDiv w:val="1"/>
      <w:marLeft w:val="0"/>
      <w:marRight w:val="0"/>
      <w:marTop w:val="0"/>
      <w:marBottom w:val="0"/>
      <w:divBdr>
        <w:top w:val="none" w:sz="0" w:space="0" w:color="auto"/>
        <w:left w:val="none" w:sz="0" w:space="0" w:color="auto"/>
        <w:bottom w:val="none" w:sz="0" w:space="0" w:color="auto"/>
        <w:right w:val="none" w:sz="0" w:space="0" w:color="auto"/>
      </w:divBdr>
    </w:div>
    <w:div w:id="88474310">
      <w:bodyDiv w:val="1"/>
      <w:marLeft w:val="0"/>
      <w:marRight w:val="0"/>
      <w:marTop w:val="0"/>
      <w:marBottom w:val="0"/>
      <w:divBdr>
        <w:top w:val="none" w:sz="0" w:space="0" w:color="auto"/>
        <w:left w:val="none" w:sz="0" w:space="0" w:color="auto"/>
        <w:bottom w:val="none" w:sz="0" w:space="0" w:color="auto"/>
        <w:right w:val="none" w:sz="0" w:space="0" w:color="auto"/>
      </w:divBdr>
    </w:div>
    <w:div w:id="88624778">
      <w:bodyDiv w:val="1"/>
      <w:marLeft w:val="0"/>
      <w:marRight w:val="0"/>
      <w:marTop w:val="0"/>
      <w:marBottom w:val="0"/>
      <w:divBdr>
        <w:top w:val="none" w:sz="0" w:space="0" w:color="auto"/>
        <w:left w:val="none" w:sz="0" w:space="0" w:color="auto"/>
        <w:bottom w:val="none" w:sz="0" w:space="0" w:color="auto"/>
        <w:right w:val="none" w:sz="0" w:space="0" w:color="auto"/>
      </w:divBdr>
    </w:div>
    <w:div w:id="88821391">
      <w:bodyDiv w:val="1"/>
      <w:marLeft w:val="0"/>
      <w:marRight w:val="0"/>
      <w:marTop w:val="0"/>
      <w:marBottom w:val="0"/>
      <w:divBdr>
        <w:top w:val="none" w:sz="0" w:space="0" w:color="auto"/>
        <w:left w:val="none" w:sz="0" w:space="0" w:color="auto"/>
        <w:bottom w:val="none" w:sz="0" w:space="0" w:color="auto"/>
        <w:right w:val="none" w:sz="0" w:space="0" w:color="auto"/>
      </w:divBdr>
    </w:div>
    <w:div w:id="88888103">
      <w:bodyDiv w:val="1"/>
      <w:marLeft w:val="0"/>
      <w:marRight w:val="0"/>
      <w:marTop w:val="0"/>
      <w:marBottom w:val="0"/>
      <w:divBdr>
        <w:top w:val="none" w:sz="0" w:space="0" w:color="auto"/>
        <w:left w:val="none" w:sz="0" w:space="0" w:color="auto"/>
        <w:bottom w:val="none" w:sz="0" w:space="0" w:color="auto"/>
        <w:right w:val="none" w:sz="0" w:space="0" w:color="auto"/>
      </w:divBdr>
    </w:div>
    <w:div w:id="88890987">
      <w:bodyDiv w:val="1"/>
      <w:marLeft w:val="0"/>
      <w:marRight w:val="0"/>
      <w:marTop w:val="0"/>
      <w:marBottom w:val="0"/>
      <w:divBdr>
        <w:top w:val="none" w:sz="0" w:space="0" w:color="auto"/>
        <w:left w:val="none" w:sz="0" w:space="0" w:color="auto"/>
        <w:bottom w:val="none" w:sz="0" w:space="0" w:color="auto"/>
        <w:right w:val="none" w:sz="0" w:space="0" w:color="auto"/>
      </w:divBdr>
    </w:div>
    <w:div w:id="88934431">
      <w:bodyDiv w:val="1"/>
      <w:marLeft w:val="0"/>
      <w:marRight w:val="0"/>
      <w:marTop w:val="0"/>
      <w:marBottom w:val="0"/>
      <w:divBdr>
        <w:top w:val="none" w:sz="0" w:space="0" w:color="auto"/>
        <w:left w:val="none" w:sz="0" w:space="0" w:color="auto"/>
        <w:bottom w:val="none" w:sz="0" w:space="0" w:color="auto"/>
        <w:right w:val="none" w:sz="0" w:space="0" w:color="auto"/>
      </w:divBdr>
    </w:div>
    <w:div w:id="88936394">
      <w:bodyDiv w:val="1"/>
      <w:marLeft w:val="0"/>
      <w:marRight w:val="0"/>
      <w:marTop w:val="0"/>
      <w:marBottom w:val="0"/>
      <w:divBdr>
        <w:top w:val="none" w:sz="0" w:space="0" w:color="auto"/>
        <w:left w:val="none" w:sz="0" w:space="0" w:color="auto"/>
        <w:bottom w:val="none" w:sz="0" w:space="0" w:color="auto"/>
        <w:right w:val="none" w:sz="0" w:space="0" w:color="auto"/>
      </w:divBdr>
    </w:div>
    <w:div w:id="88937257">
      <w:bodyDiv w:val="1"/>
      <w:marLeft w:val="0"/>
      <w:marRight w:val="0"/>
      <w:marTop w:val="0"/>
      <w:marBottom w:val="0"/>
      <w:divBdr>
        <w:top w:val="none" w:sz="0" w:space="0" w:color="auto"/>
        <w:left w:val="none" w:sz="0" w:space="0" w:color="auto"/>
        <w:bottom w:val="none" w:sz="0" w:space="0" w:color="auto"/>
        <w:right w:val="none" w:sz="0" w:space="0" w:color="auto"/>
      </w:divBdr>
    </w:div>
    <w:div w:id="89007713">
      <w:bodyDiv w:val="1"/>
      <w:marLeft w:val="0"/>
      <w:marRight w:val="0"/>
      <w:marTop w:val="0"/>
      <w:marBottom w:val="0"/>
      <w:divBdr>
        <w:top w:val="none" w:sz="0" w:space="0" w:color="auto"/>
        <w:left w:val="none" w:sz="0" w:space="0" w:color="auto"/>
        <w:bottom w:val="none" w:sz="0" w:space="0" w:color="auto"/>
        <w:right w:val="none" w:sz="0" w:space="0" w:color="auto"/>
      </w:divBdr>
    </w:div>
    <w:div w:id="89132795">
      <w:bodyDiv w:val="1"/>
      <w:marLeft w:val="0"/>
      <w:marRight w:val="0"/>
      <w:marTop w:val="0"/>
      <w:marBottom w:val="0"/>
      <w:divBdr>
        <w:top w:val="none" w:sz="0" w:space="0" w:color="auto"/>
        <w:left w:val="none" w:sz="0" w:space="0" w:color="auto"/>
        <w:bottom w:val="none" w:sz="0" w:space="0" w:color="auto"/>
        <w:right w:val="none" w:sz="0" w:space="0" w:color="auto"/>
      </w:divBdr>
    </w:div>
    <w:div w:id="89157346">
      <w:bodyDiv w:val="1"/>
      <w:marLeft w:val="0"/>
      <w:marRight w:val="0"/>
      <w:marTop w:val="0"/>
      <w:marBottom w:val="0"/>
      <w:divBdr>
        <w:top w:val="none" w:sz="0" w:space="0" w:color="auto"/>
        <w:left w:val="none" w:sz="0" w:space="0" w:color="auto"/>
        <w:bottom w:val="none" w:sz="0" w:space="0" w:color="auto"/>
        <w:right w:val="none" w:sz="0" w:space="0" w:color="auto"/>
      </w:divBdr>
    </w:div>
    <w:div w:id="89159968">
      <w:bodyDiv w:val="1"/>
      <w:marLeft w:val="0"/>
      <w:marRight w:val="0"/>
      <w:marTop w:val="0"/>
      <w:marBottom w:val="0"/>
      <w:divBdr>
        <w:top w:val="none" w:sz="0" w:space="0" w:color="auto"/>
        <w:left w:val="none" w:sz="0" w:space="0" w:color="auto"/>
        <w:bottom w:val="none" w:sz="0" w:space="0" w:color="auto"/>
        <w:right w:val="none" w:sz="0" w:space="0" w:color="auto"/>
      </w:divBdr>
    </w:div>
    <w:div w:id="89351253">
      <w:bodyDiv w:val="1"/>
      <w:marLeft w:val="0"/>
      <w:marRight w:val="0"/>
      <w:marTop w:val="0"/>
      <w:marBottom w:val="0"/>
      <w:divBdr>
        <w:top w:val="none" w:sz="0" w:space="0" w:color="auto"/>
        <w:left w:val="none" w:sz="0" w:space="0" w:color="auto"/>
        <w:bottom w:val="none" w:sz="0" w:space="0" w:color="auto"/>
        <w:right w:val="none" w:sz="0" w:space="0" w:color="auto"/>
      </w:divBdr>
    </w:div>
    <w:div w:id="89351907">
      <w:bodyDiv w:val="1"/>
      <w:marLeft w:val="0"/>
      <w:marRight w:val="0"/>
      <w:marTop w:val="0"/>
      <w:marBottom w:val="0"/>
      <w:divBdr>
        <w:top w:val="none" w:sz="0" w:space="0" w:color="auto"/>
        <w:left w:val="none" w:sz="0" w:space="0" w:color="auto"/>
        <w:bottom w:val="none" w:sz="0" w:space="0" w:color="auto"/>
        <w:right w:val="none" w:sz="0" w:space="0" w:color="auto"/>
      </w:divBdr>
    </w:div>
    <w:div w:id="89356827">
      <w:bodyDiv w:val="1"/>
      <w:marLeft w:val="0"/>
      <w:marRight w:val="0"/>
      <w:marTop w:val="0"/>
      <w:marBottom w:val="0"/>
      <w:divBdr>
        <w:top w:val="none" w:sz="0" w:space="0" w:color="auto"/>
        <w:left w:val="none" w:sz="0" w:space="0" w:color="auto"/>
        <w:bottom w:val="none" w:sz="0" w:space="0" w:color="auto"/>
        <w:right w:val="none" w:sz="0" w:space="0" w:color="auto"/>
      </w:divBdr>
    </w:div>
    <w:div w:id="89401944">
      <w:bodyDiv w:val="1"/>
      <w:marLeft w:val="0"/>
      <w:marRight w:val="0"/>
      <w:marTop w:val="0"/>
      <w:marBottom w:val="0"/>
      <w:divBdr>
        <w:top w:val="none" w:sz="0" w:space="0" w:color="auto"/>
        <w:left w:val="none" w:sz="0" w:space="0" w:color="auto"/>
        <w:bottom w:val="none" w:sz="0" w:space="0" w:color="auto"/>
        <w:right w:val="none" w:sz="0" w:space="0" w:color="auto"/>
      </w:divBdr>
    </w:div>
    <w:div w:id="89543746">
      <w:bodyDiv w:val="1"/>
      <w:marLeft w:val="0"/>
      <w:marRight w:val="0"/>
      <w:marTop w:val="0"/>
      <w:marBottom w:val="0"/>
      <w:divBdr>
        <w:top w:val="none" w:sz="0" w:space="0" w:color="auto"/>
        <w:left w:val="none" w:sz="0" w:space="0" w:color="auto"/>
        <w:bottom w:val="none" w:sz="0" w:space="0" w:color="auto"/>
        <w:right w:val="none" w:sz="0" w:space="0" w:color="auto"/>
      </w:divBdr>
    </w:div>
    <w:div w:id="89592178">
      <w:bodyDiv w:val="1"/>
      <w:marLeft w:val="0"/>
      <w:marRight w:val="0"/>
      <w:marTop w:val="0"/>
      <w:marBottom w:val="0"/>
      <w:divBdr>
        <w:top w:val="none" w:sz="0" w:space="0" w:color="auto"/>
        <w:left w:val="none" w:sz="0" w:space="0" w:color="auto"/>
        <w:bottom w:val="none" w:sz="0" w:space="0" w:color="auto"/>
        <w:right w:val="none" w:sz="0" w:space="0" w:color="auto"/>
      </w:divBdr>
    </w:div>
    <w:div w:id="89858183">
      <w:bodyDiv w:val="1"/>
      <w:marLeft w:val="0"/>
      <w:marRight w:val="0"/>
      <w:marTop w:val="0"/>
      <w:marBottom w:val="0"/>
      <w:divBdr>
        <w:top w:val="none" w:sz="0" w:space="0" w:color="auto"/>
        <w:left w:val="none" w:sz="0" w:space="0" w:color="auto"/>
        <w:bottom w:val="none" w:sz="0" w:space="0" w:color="auto"/>
        <w:right w:val="none" w:sz="0" w:space="0" w:color="auto"/>
      </w:divBdr>
    </w:div>
    <w:div w:id="90005203">
      <w:bodyDiv w:val="1"/>
      <w:marLeft w:val="0"/>
      <w:marRight w:val="0"/>
      <w:marTop w:val="0"/>
      <w:marBottom w:val="0"/>
      <w:divBdr>
        <w:top w:val="none" w:sz="0" w:space="0" w:color="auto"/>
        <w:left w:val="none" w:sz="0" w:space="0" w:color="auto"/>
        <w:bottom w:val="none" w:sz="0" w:space="0" w:color="auto"/>
        <w:right w:val="none" w:sz="0" w:space="0" w:color="auto"/>
      </w:divBdr>
    </w:div>
    <w:div w:id="90050634">
      <w:bodyDiv w:val="1"/>
      <w:marLeft w:val="0"/>
      <w:marRight w:val="0"/>
      <w:marTop w:val="0"/>
      <w:marBottom w:val="0"/>
      <w:divBdr>
        <w:top w:val="none" w:sz="0" w:space="0" w:color="auto"/>
        <w:left w:val="none" w:sz="0" w:space="0" w:color="auto"/>
        <w:bottom w:val="none" w:sz="0" w:space="0" w:color="auto"/>
        <w:right w:val="none" w:sz="0" w:space="0" w:color="auto"/>
      </w:divBdr>
    </w:div>
    <w:div w:id="90051104">
      <w:bodyDiv w:val="1"/>
      <w:marLeft w:val="0"/>
      <w:marRight w:val="0"/>
      <w:marTop w:val="0"/>
      <w:marBottom w:val="0"/>
      <w:divBdr>
        <w:top w:val="none" w:sz="0" w:space="0" w:color="auto"/>
        <w:left w:val="none" w:sz="0" w:space="0" w:color="auto"/>
        <w:bottom w:val="none" w:sz="0" w:space="0" w:color="auto"/>
        <w:right w:val="none" w:sz="0" w:space="0" w:color="auto"/>
      </w:divBdr>
    </w:div>
    <w:div w:id="90127158">
      <w:bodyDiv w:val="1"/>
      <w:marLeft w:val="0"/>
      <w:marRight w:val="0"/>
      <w:marTop w:val="0"/>
      <w:marBottom w:val="0"/>
      <w:divBdr>
        <w:top w:val="none" w:sz="0" w:space="0" w:color="auto"/>
        <w:left w:val="none" w:sz="0" w:space="0" w:color="auto"/>
        <w:bottom w:val="none" w:sz="0" w:space="0" w:color="auto"/>
        <w:right w:val="none" w:sz="0" w:space="0" w:color="auto"/>
      </w:divBdr>
    </w:div>
    <w:div w:id="90207360">
      <w:bodyDiv w:val="1"/>
      <w:marLeft w:val="0"/>
      <w:marRight w:val="0"/>
      <w:marTop w:val="0"/>
      <w:marBottom w:val="0"/>
      <w:divBdr>
        <w:top w:val="none" w:sz="0" w:space="0" w:color="auto"/>
        <w:left w:val="none" w:sz="0" w:space="0" w:color="auto"/>
        <w:bottom w:val="none" w:sz="0" w:space="0" w:color="auto"/>
        <w:right w:val="none" w:sz="0" w:space="0" w:color="auto"/>
      </w:divBdr>
    </w:div>
    <w:div w:id="90247341">
      <w:bodyDiv w:val="1"/>
      <w:marLeft w:val="0"/>
      <w:marRight w:val="0"/>
      <w:marTop w:val="0"/>
      <w:marBottom w:val="0"/>
      <w:divBdr>
        <w:top w:val="none" w:sz="0" w:space="0" w:color="auto"/>
        <w:left w:val="none" w:sz="0" w:space="0" w:color="auto"/>
        <w:bottom w:val="none" w:sz="0" w:space="0" w:color="auto"/>
        <w:right w:val="none" w:sz="0" w:space="0" w:color="auto"/>
      </w:divBdr>
    </w:div>
    <w:div w:id="90395217">
      <w:bodyDiv w:val="1"/>
      <w:marLeft w:val="0"/>
      <w:marRight w:val="0"/>
      <w:marTop w:val="0"/>
      <w:marBottom w:val="0"/>
      <w:divBdr>
        <w:top w:val="none" w:sz="0" w:space="0" w:color="auto"/>
        <w:left w:val="none" w:sz="0" w:space="0" w:color="auto"/>
        <w:bottom w:val="none" w:sz="0" w:space="0" w:color="auto"/>
        <w:right w:val="none" w:sz="0" w:space="0" w:color="auto"/>
      </w:divBdr>
    </w:div>
    <w:div w:id="90585563">
      <w:bodyDiv w:val="1"/>
      <w:marLeft w:val="0"/>
      <w:marRight w:val="0"/>
      <w:marTop w:val="0"/>
      <w:marBottom w:val="0"/>
      <w:divBdr>
        <w:top w:val="none" w:sz="0" w:space="0" w:color="auto"/>
        <w:left w:val="none" w:sz="0" w:space="0" w:color="auto"/>
        <w:bottom w:val="none" w:sz="0" w:space="0" w:color="auto"/>
        <w:right w:val="none" w:sz="0" w:space="0" w:color="auto"/>
      </w:divBdr>
    </w:div>
    <w:div w:id="90585818">
      <w:bodyDiv w:val="1"/>
      <w:marLeft w:val="0"/>
      <w:marRight w:val="0"/>
      <w:marTop w:val="0"/>
      <w:marBottom w:val="0"/>
      <w:divBdr>
        <w:top w:val="none" w:sz="0" w:space="0" w:color="auto"/>
        <w:left w:val="none" w:sz="0" w:space="0" w:color="auto"/>
        <w:bottom w:val="none" w:sz="0" w:space="0" w:color="auto"/>
        <w:right w:val="none" w:sz="0" w:space="0" w:color="auto"/>
      </w:divBdr>
    </w:div>
    <w:div w:id="90666999">
      <w:bodyDiv w:val="1"/>
      <w:marLeft w:val="0"/>
      <w:marRight w:val="0"/>
      <w:marTop w:val="0"/>
      <w:marBottom w:val="0"/>
      <w:divBdr>
        <w:top w:val="none" w:sz="0" w:space="0" w:color="auto"/>
        <w:left w:val="none" w:sz="0" w:space="0" w:color="auto"/>
        <w:bottom w:val="none" w:sz="0" w:space="0" w:color="auto"/>
        <w:right w:val="none" w:sz="0" w:space="0" w:color="auto"/>
      </w:divBdr>
    </w:div>
    <w:div w:id="90705655">
      <w:bodyDiv w:val="1"/>
      <w:marLeft w:val="0"/>
      <w:marRight w:val="0"/>
      <w:marTop w:val="0"/>
      <w:marBottom w:val="0"/>
      <w:divBdr>
        <w:top w:val="none" w:sz="0" w:space="0" w:color="auto"/>
        <w:left w:val="none" w:sz="0" w:space="0" w:color="auto"/>
        <w:bottom w:val="none" w:sz="0" w:space="0" w:color="auto"/>
        <w:right w:val="none" w:sz="0" w:space="0" w:color="auto"/>
      </w:divBdr>
    </w:div>
    <w:div w:id="90706544">
      <w:bodyDiv w:val="1"/>
      <w:marLeft w:val="0"/>
      <w:marRight w:val="0"/>
      <w:marTop w:val="0"/>
      <w:marBottom w:val="0"/>
      <w:divBdr>
        <w:top w:val="none" w:sz="0" w:space="0" w:color="auto"/>
        <w:left w:val="none" w:sz="0" w:space="0" w:color="auto"/>
        <w:bottom w:val="none" w:sz="0" w:space="0" w:color="auto"/>
        <w:right w:val="none" w:sz="0" w:space="0" w:color="auto"/>
      </w:divBdr>
    </w:div>
    <w:div w:id="90707556">
      <w:bodyDiv w:val="1"/>
      <w:marLeft w:val="0"/>
      <w:marRight w:val="0"/>
      <w:marTop w:val="0"/>
      <w:marBottom w:val="0"/>
      <w:divBdr>
        <w:top w:val="none" w:sz="0" w:space="0" w:color="auto"/>
        <w:left w:val="none" w:sz="0" w:space="0" w:color="auto"/>
        <w:bottom w:val="none" w:sz="0" w:space="0" w:color="auto"/>
        <w:right w:val="none" w:sz="0" w:space="0" w:color="auto"/>
      </w:divBdr>
    </w:div>
    <w:div w:id="90712219">
      <w:bodyDiv w:val="1"/>
      <w:marLeft w:val="0"/>
      <w:marRight w:val="0"/>
      <w:marTop w:val="0"/>
      <w:marBottom w:val="0"/>
      <w:divBdr>
        <w:top w:val="none" w:sz="0" w:space="0" w:color="auto"/>
        <w:left w:val="none" w:sz="0" w:space="0" w:color="auto"/>
        <w:bottom w:val="none" w:sz="0" w:space="0" w:color="auto"/>
        <w:right w:val="none" w:sz="0" w:space="0" w:color="auto"/>
      </w:divBdr>
    </w:div>
    <w:div w:id="90785573">
      <w:bodyDiv w:val="1"/>
      <w:marLeft w:val="0"/>
      <w:marRight w:val="0"/>
      <w:marTop w:val="0"/>
      <w:marBottom w:val="0"/>
      <w:divBdr>
        <w:top w:val="none" w:sz="0" w:space="0" w:color="auto"/>
        <w:left w:val="none" w:sz="0" w:space="0" w:color="auto"/>
        <w:bottom w:val="none" w:sz="0" w:space="0" w:color="auto"/>
        <w:right w:val="none" w:sz="0" w:space="0" w:color="auto"/>
      </w:divBdr>
    </w:div>
    <w:div w:id="90855127">
      <w:bodyDiv w:val="1"/>
      <w:marLeft w:val="0"/>
      <w:marRight w:val="0"/>
      <w:marTop w:val="0"/>
      <w:marBottom w:val="0"/>
      <w:divBdr>
        <w:top w:val="none" w:sz="0" w:space="0" w:color="auto"/>
        <w:left w:val="none" w:sz="0" w:space="0" w:color="auto"/>
        <w:bottom w:val="none" w:sz="0" w:space="0" w:color="auto"/>
        <w:right w:val="none" w:sz="0" w:space="0" w:color="auto"/>
      </w:divBdr>
    </w:div>
    <w:div w:id="90857041">
      <w:bodyDiv w:val="1"/>
      <w:marLeft w:val="0"/>
      <w:marRight w:val="0"/>
      <w:marTop w:val="0"/>
      <w:marBottom w:val="0"/>
      <w:divBdr>
        <w:top w:val="none" w:sz="0" w:space="0" w:color="auto"/>
        <w:left w:val="none" w:sz="0" w:space="0" w:color="auto"/>
        <w:bottom w:val="none" w:sz="0" w:space="0" w:color="auto"/>
        <w:right w:val="none" w:sz="0" w:space="0" w:color="auto"/>
      </w:divBdr>
    </w:div>
    <w:div w:id="90905656">
      <w:bodyDiv w:val="1"/>
      <w:marLeft w:val="0"/>
      <w:marRight w:val="0"/>
      <w:marTop w:val="0"/>
      <w:marBottom w:val="0"/>
      <w:divBdr>
        <w:top w:val="none" w:sz="0" w:space="0" w:color="auto"/>
        <w:left w:val="none" w:sz="0" w:space="0" w:color="auto"/>
        <w:bottom w:val="none" w:sz="0" w:space="0" w:color="auto"/>
        <w:right w:val="none" w:sz="0" w:space="0" w:color="auto"/>
      </w:divBdr>
    </w:div>
    <w:div w:id="91047354">
      <w:bodyDiv w:val="1"/>
      <w:marLeft w:val="0"/>
      <w:marRight w:val="0"/>
      <w:marTop w:val="0"/>
      <w:marBottom w:val="0"/>
      <w:divBdr>
        <w:top w:val="none" w:sz="0" w:space="0" w:color="auto"/>
        <w:left w:val="none" w:sz="0" w:space="0" w:color="auto"/>
        <w:bottom w:val="none" w:sz="0" w:space="0" w:color="auto"/>
        <w:right w:val="none" w:sz="0" w:space="0" w:color="auto"/>
      </w:divBdr>
    </w:div>
    <w:div w:id="9112372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18456">
      <w:bodyDiv w:val="1"/>
      <w:marLeft w:val="0"/>
      <w:marRight w:val="0"/>
      <w:marTop w:val="0"/>
      <w:marBottom w:val="0"/>
      <w:divBdr>
        <w:top w:val="none" w:sz="0" w:space="0" w:color="auto"/>
        <w:left w:val="none" w:sz="0" w:space="0" w:color="auto"/>
        <w:bottom w:val="none" w:sz="0" w:space="0" w:color="auto"/>
        <w:right w:val="none" w:sz="0" w:space="0" w:color="auto"/>
      </w:divBdr>
    </w:div>
    <w:div w:id="91321585">
      <w:bodyDiv w:val="1"/>
      <w:marLeft w:val="0"/>
      <w:marRight w:val="0"/>
      <w:marTop w:val="0"/>
      <w:marBottom w:val="0"/>
      <w:divBdr>
        <w:top w:val="none" w:sz="0" w:space="0" w:color="auto"/>
        <w:left w:val="none" w:sz="0" w:space="0" w:color="auto"/>
        <w:bottom w:val="none" w:sz="0" w:space="0" w:color="auto"/>
        <w:right w:val="none" w:sz="0" w:space="0" w:color="auto"/>
      </w:divBdr>
    </w:div>
    <w:div w:id="91509482">
      <w:bodyDiv w:val="1"/>
      <w:marLeft w:val="0"/>
      <w:marRight w:val="0"/>
      <w:marTop w:val="0"/>
      <w:marBottom w:val="0"/>
      <w:divBdr>
        <w:top w:val="none" w:sz="0" w:space="0" w:color="auto"/>
        <w:left w:val="none" w:sz="0" w:space="0" w:color="auto"/>
        <w:bottom w:val="none" w:sz="0" w:space="0" w:color="auto"/>
        <w:right w:val="none" w:sz="0" w:space="0" w:color="auto"/>
      </w:divBdr>
    </w:div>
    <w:div w:id="91510667">
      <w:bodyDiv w:val="1"/>
      <w:marLeft w:val="0"/>
      <w:marRight w:val="0"/>
      <w:marTop w:val="0"/>
      <w:marBottom w:val="0"/>
      <w:divBdr>
        <w:top w:val="none" w:sz="0" w:space="0" w:color="auto"/>
        <w:left w:val="none" w:sz="0" w:space="0" w:color="auto"/>
        <w:bottom w:val="none" w:sz="0" w:space="0" w:color="auto"/>
        <w:right w:val="none" w:sz="0" w:space="0" w:color="auto"/>
      </w:divBdr>
    </w:div>
    <w:div w:id="91558334">
      <w:bodyDiv w:val="1"/>
      <w:marLeft w:val="0"/>
      <w:marRight w:val="0"/>
      <w:marTop w:val="0"/>
      <w:marBottom w:val="0"/>
      <w:divBdr>
        <w:top w:val="none" w:sz="0" w:space="0" w:color="auto"/>
        <w:left w:val="none" w:sz="0" w:space="0" w:color="auto"/>
        <w:bottom w:val="none" w:sz="0" w:space="0" w:color="auto"/>
        <w:right w:val="none" w:sz="0" w:space="0" w:color="auto"/>
      </w:divBdr>
    </w:div>
    <w:div w:id="91753675">
      <w:bodyDiv w:val="1"/>
      <w:marLeft w:val="0"/>
      <w:marRight w:val="0"/>
      <w:marTop w:val="0"/>
      <w:marBottom w:val="0"/>
      <w:divBdr>
        <w:top w:val="none" w:sz="0" w:space="0" w:color="auto"/>
        <w:left w:val="none" w:sz="0" w:space="0" w:color="auto"/>
        <w:bottom w:val="none" w:sz="0" w:space="0" w:color="auto"/>
        <w:right w:val="none" w:sz="0" w:space="0" w:color="auto"/>
      </w:divBdr>
    </w:div>
    <w:div w:id="91826074">
      <w:bodyDiv w:val="1"/>
      <w:marLeft w:val="0"/>
      <w:marRight w:val="0"/>
      <w:marTop w:val="0"/>
      <w:marBottom w:val="0"/>
      <w:divBdr>
        <w:top w:val="none" w:sz="0" w:space="0" w:color="auto"/>
        <w:left w:val="none" w:sz="0" w:space="0" w:color="auto"/>
        <w:bottom w:val="none" w:sz="0" w:space="0" w:color="auto"/>
        <w:right w:val="none" w:sz="0" w:space="0" w:color="auto"/>
      </w:divBdr>
    </w:div>
    <w:div w:id="91829243">
      <w:bodyDiv w:val="1"/>
      <w:marLeft w:val="0"/>
      <w:marRight w:val="0"/>
      <w:marTop w:val="0"/>
      <w:marBottom w:val="0"/>
      <w:divBdr>
        <w:top w:val="none" w:sz="0" w:space="0" w:color="auto"/>
        <w:left w:val="none" w:sz="0" w:space="0" w:color="auto"/>
        <w:bottom w:val="none" w:sz="0" w:space="0" w:color="auto"/>
        <w:right w:val="none" w:sz="0" w:space="0" w:color="auto"/>
      </w:divBdr>
    </w:div>
    <w:div w:id="91904532">
      <w:bodyDiv w:val="1"/>
      <w:marLeft w:val="0"/>
      <w:marRight w:val="0"/>
      <w:marTop w:val="0"/>
      <w:marBottom w:val="0"/>
      <w:divBdr>
        <w:top w:val="none" w:sz="0" w:space="0" w:color="auto"/>
        <w:left w:val="none" w:sz="0" w:space="0" w:color="auto"/>
        <w:bottom w:val="none" w:sz="0" w:space="0" w:color="auto"/>
        <w:right w:val="none" w:sz="0" w:space="0" w:color="auto"/>
      </w:divBdr>
    </w:div>
    <w:div w:id="91973958">
      <w:bodyDiv w:val="1"/>
      <w:marLeft w:val="0"/>
      <w:marRight w:val="0"/>
      <w:marTop w:val="0"/>
      <w:marBottom w:val="0"/>
      <w:divBdr>
        <w:top w:val="none" w:sz="0" w:space="0" w:color="auto"/>
        <w:left w:val="none" w:sz="0" w:space="0" w:color="auto"/>
        <w:bottom w:val="none" w:sz="0" w:space="0" w:color="auto"/>
        <w:right w:val="none" w:sz="0" w:space="0" w:color="auto"/>
      </w:divBdr>
    </w:div>
    <w:div w:id="92014905">
      <w:bodyDiv w:val="1"/>
      <w:marLeft w:val="0"/>
      <w:marRight w:val="0"/>
      <w:marTop w:val="0"/>
      <w:marBottom w:val="0"/>
      <w:divBdr>
        <w:top w:val="none" w:sz="0" w:space="0" w:color="auto"/>
        <w:left w:val="none" w:sz="0" w:space="0" w:color="auto"/>
        <w:bottom w:val="none" w:sz="0" w:space="0" w:color="auto"/>
        <w:right w:val="none" w:sz="0" w:space="0" w:color="auto"/>
      </w:divBdr>
    </w:div>
    <w:div w:id="92018819">
      <w:bodyDiv w:val="1"/>
      <w:marLeft w:val="0"/>
      <w:marRight w:val="0"/>
      <w:marTop w:val="0"/>
      <w:marBottom w:val="0"/>
      <w:divBdr>
        <w:top w:val="none" w:sz="0" w:space="0" w:color="auto"/>
        <w:left w:val="none" w:sz="0" w:space="0" w:color="auto"/>
        <w:bottom w:val="none" w:sz="0" w:space="0" w:color="auto"/>
        <w:right w:val="none" w:sz="0" w:space="0" w:color="auto"/>
      </w:divBdr>
    </w:div>
    <w:div w:id="92089098">
      <w:bodyDiv w:val="1"/>
      <w:marLeft w:val="0"/>
      <w:marRight w:val="0"/>
      <w:marTop w:val="0"/>
      <w:marBottom w:val="0"/>
      <w:divBdr>
        <w:top w:val="none" w:sz="0" w:space="0" w:color="auto"/>
        <w:left w:val="none" w:sz="0" w:space="0" w:color="auto"/>
        <w:bottom w:val="none" w:sz="0" w:space="0" w:color="auto"/>
        <w:right w:val="none" w:sz="0" w:space="0" w:color="auto"/>
      </w:divBdr>
    </w:div>
    <w:div w:id="92360493">
      <w:bodyDiv w:val="1"/>
      <w:marLeft w:val="0"/>
      <w:marRight w:val="0"/>
      <w:marTop w:val="0"/>
      <w:marBottom w:val="0"/>
      <w:divBdr>
        <w:top w:val="none" w:sz="0" w:space="0" w:color="auto"/>
        <w:left w:val="none" w:sz="0" w:space="0" w:color="auto"/>
        <w:bottom w:val="none" w:sz="0" w:space="0" w:color="auto"/>
        <w:right w:val="none" w:sz="0" w:space="0" w:color="auto"/>
      </w:divBdr>
    </w:div>
    <w:div w:id="92435311">
      <w:bodyDiv w:val="1"/>
      <w:marLeft w:val="0"/>
      <w:marRight w:val="0"/>
      <w:marTop w:val="0"/>
      <w:marBottom w:val="0"/>
      <w:divBdr>
        <w:top w:val="none" w:sz="0" w:space="0" w:color="auto"/>
        <w:left w:val="none" w:sz="0" w:space="0" w:color="auto"/>
        <w:bottom w:val="none" w:sz="0" w:space="0" w:color="auto"/>
        <w:right w:val="none" w:sz="0" w:space="0" w:color="auto"/>
      </w:divBdr>
    </w:div>
    <w:div w:id="92436117">
      <w:bodyDiv w:val="1"/>
      <w:marLeft w:val="0"/>
      <w:marRight w:val="0"/>
      <w:marTop w:val="0"/>
      <w:marBottom w:val="0"/>
      <w:divBdr>
        <w:top w:val="none" w:sz="0" w:space="0" w:color="auto"/>
        <w:left w:val="none" w:sz="0" w:space="0" w:color="auto"/>
        <w:bottom w:val="none" w:sz="0" w:space="0" w:color="auto"/>
        <w:right w:val="none" w:sz="0" w:space="0" w:color="auto"/>
      </w:divBdr>
    </w:div>
    <w:div w:id="92551463">
      <w:bodyDiv w:val="1"/>
      <w:marLeft w:val="0"/>
      <w:marRight w:val="0"/>
      <w:marTop w:val="0"/>
      <w:marBottom w:val="0"/>
      <w:divBdr>
        <w:top w:val="none" w:sz="0" w:space="0" w:color="auto"/>
        <w:left w:val="none" w:sz="0" w:space="0" w:color="auto"/>
        <w:bottom w:val="none" w:sz="0" w:space="0" w:color="auto"/>
        <w:right w:val="none" w:sz="0" w:space="0" w:color="auto"/>
      </w:divBdr>
    </w:div>
    <w:div w:id="92669658">
      <w:bodyDiv w:val="1"/>
      <w:marLeft w:val="0"/>
      <w:marRight w:val="0"/>
      <w:marTop w:val="0"/>
      <w:marBottom w:val="0"/>
      <w:divBdr>
        <w:top w:val="none" w:sz="0" w:space="0" w:color="auto"/>
        <w:left w:val="none" w:sz="0" w:space="0" w:color="auto"/>
        <w:bottom w:val="none" w:sz="0" w:space="0" w:color="auto"/>
        <w:right w:val="none" w:sz="0" w:space="0" w:color="auto"/>
      </w:divBdr>
    </w:div>
    <w:div w:id="92673222">
      <w:bodyDiv w:val="1"/>
      <w:marLeft w:val="0"/>
      <w:marRight w:val="0"/>
      <w:marTop w:val="0"/>
      <w:marBottom w:val="0"/>
      <w:divBdr>
        <w:top w:val="none" w:sz="0" w:space="0" w:color="auto"/>
        <w:left w:val="none" w:sz="0" w:space="0" w:color="auto"/>
        <w:bottom w:val="none" w:sz="0" w:space="0" w:color="auto"/>
        <w:right w:val="none" w:sz="0" w:space="0" w:color="auto"/>
      </w:divBdr>
    </w:div>
    <w:div w:id="92677461">
      <w:bodyDiv w:val="1"/>
      <w:marLeft w:val="0"/>
      <w:marRight w:val="0"/>
      <w:marTop w:val="0"/>
      <w:marBottom w:val="0"/>
      <w:divBdr>
        <w:top w:val="none" w:sz="0" w:space="0" w:color="auto"/>
        <w:left w:val="none" w:sz="0" w:space="0" w:color="auto"/>
        <w:bottom w:val="none" w:sz="0" w:space="0" w:color="auto"/>
        <w:right w:val="none" w:sz="0" w:space="0" w:color="auto"/>
      </w:divBdr>
    </w:div>
    <w:div w:id="92751175">
      <w:bodyDiv w:val="1"/>
      <w:marLeft w:val="0"/>
      <w:marRight w:val="0"/>
      <w:marTop w:val="0"/>
      <w:marBottom w:val="0"/>
      <w:divBdr>
        <w:top w:val="none" w:sz="0" w:space="0" w:color="auto"/>
        <w:left w:val="none" w:sz="0" w:space="0" w:color="auto"/>
        <w:bottom w:val="none" w:sz="0" w:space="0" w:color="auto"/>
        <w:right w:val="none" w:sz="0" w:space="0" w:color="auto"/>
      </w:divBdr>
    </w:div>
    <w:div w:id="92828724">
      <w:bodyDiv w:val="1"/>
      <w:marLeft w:val="0"/>
      <w:marRight w:val="0"/>
      <w:marTop w:val="0"/>
      <w:marBottom w:val="0"/>
      <w:divBdr>
        <w:top w:val="none" w:sz="0" w:space="0" w:color="auto"/>
        <w:left w:val="none" w:sz="0" w:space="0" w:color="auto"/>
        <w:bottom w:val="none" w:sz="0" w:space="0" w:color="auto"/>
        <w:right w:val="none" w:sz="0" w:space="0" w:color="auto"/>
      </w:divBdr>
    </w:div>
    <w:div w:id="92943568">
      <w:bodyDiv w:val="1"/>
      <w:marLeft w:val="0"/>
      <w:marRight w:val="0"/>
      <w:marTop w:val="0"/>
      <w:marBottom w:val="0"/>
      <w:divBdr>
        <w:top w:val="none" w:sz="0" w:space="0" w:color="auto"/>
        <w:left w:val="none" w:sz="0" w:space="0" w:color="auto"/>
        <w:bottom w:val="none" w:sz="0" w:space="0" w:color="auto"/>
        <w:right w:val="none" w:sz="0" w:space="0" w:color="auto"/>
      </w:divBdr>
    </w:div>
    <w:div w:id="93016564">
      <w:bodyDiv w:val="1"/>
      <w:marLeft w:val="0"/>
      <w:marRight w:val="0"/>
      <w:marTop w:val="0"/>
      <w:marBottom w:val="0"/>
      <w:divBdr>
        <w:top w:val="none" w:sz="0" w:space="0" w:color="auto"/>
        <w:left w:val="none" w:sz="0" w:space="0" w:color="auto"/>
        <w:bottom w:val="none" w:sz="0" w:space="0" w:color="auto"/>
        <w:right w:val="none" w:sz="0" w:space="0" w:color="auto"/>
      </w:divBdr>
    </w:div>
    <w:div w:id="93017434">
      <w:bodyDiv w:val="1"/>
      <w:marLeft w:val="0"/>
      <w:marRight w:val="0"/>
      <w:marTop w:val="0"/>
      <w:marBottom w:val="0"/>
      <w:divBdr>
        <w:top w:val="none" w:sz="0" w:space="0" w:color="auto"/>
        <w:left w:val="none" w:sz="0" w:space="0" w:color="auto"/>
        <w:bottom w:val="none" w:sz="0" w:space="0" w:color="auto"/>
        <w:right w:val="none" w:sz="0" w:space="0" w:color="auto"/>
      </w:divBdr>
    </w:div>
    <w:div w:id="93089501">
      <w:bodyDiv w:val="1"/>
      <w:marLeft w:val="0"/>
      <w:marRight w:val="0"/>
      <w:marTop w:val="0"/>
      <w:marBottom w:val="0"/>
      <w:divBdr>
        <w:top w:val="none" w:sz="0" w:space="0" w:color="auto"/>
        <w:left w:val="none" w:sz="0" w:space="0" w:color="auto"/>
        <w:bottom w:val="none" w:sz="0" w:space="0" w:color="auto"/>
        <w:right w:val="none" w:sz="0" w:space="0" w:color="auto"/>
      </w:divBdr>
    </w:div>
    <w:div w:id="93131356">
      <w:bodyDiv w:val="1"/>
      <w:marLeft w:val="0"/>
      <w:marRight w:val="0"/>
      <w:marTop w:val="0"/>
      <w:marBottom w:val="0"/>
      <w:divBdr>
        <w:top w:val="none" w:sz="0" w:space="0" w:color="auto"/>
        <w:left w:val="none" w:sz="0" w:space="0" w:color="auto"/>
        <w:bottom w:val="none" w:sz="0" w:space="0" w:color="auto"/>
        <w:right w:val="none" w:sz="0" w:space="0" w:color="auto"/>
      </w:divBdr>
    </w:div>
    <w:div w:id="93289049">
      <w:bodyDiv w:val="1"/>
      <w:marLeft w:val="0"/>
      <w:marRight w:val="0"/>
      <w:marTop w:val="0"/>
      <w:marBottom w:val="0"/>
      <w:divBdr>
        <w:top w:val="none" w:sz="0" w:space="0" w:color="auto"/>
        <w:left w:val="none" w:sz="0" w:space="0" w:color="auto"/>
        <w:bottom w:val="none" w:sz="0" w:space="0" w:color="auto"/>
        <w:right w:val="none" w:sz="0" w:space="0" w:color="auto"/>
      </w:divBdr>
    </w:div>
    <w:div w:id="93325595">
      <w:bodyDiv w:val="1"/>
      <w:marLeft w:val="0"/>
      <w:marRight w:val="0"/>
      <w:marTop w:val="0"/>
      <w:marBottom w:val="0"/>
      <w:divBdr>
        <w:top w:val="none" w:sz="0" w:space="0" w:color="auto"/>
        <w:left w:val="none" w:sz="0" w:space="0" w:color="auto"/>
        <w:bottom w:val="none" w:sz="0" w:space="0" w:color="auto"/>
        <w:right w:val="none" w:sz="0" w:space="0" w:color="auto"/>
      </w:divBdr>
    </w:div>
    <w:div w:id="93329996">
      <w:bodyDiv w:val="1"/>
      <w:marLeft w:val="0"/>
      <w:marRight w:val="0"/>
      <w:marTop w:val="0"/>
      <w:marBottom w:val="0"/>
      <w:divBdr>
        <w:top w:val="none" w:sz="0" w:space="0" w:color="auto"/>
        <w:left w:val="none" w:sz="0" w:space="0" w:color="auto"/>
        <w:bottom w:val="none" w:sz="0" w:space="0" w:color="auto"/>
        <w:right w:val="none" w:sz="0" w:space="0" w:color="auto"/>
      </w:divBdr>
    </w:div>
    <w:div w:id="93331045">
      <w:bodyDiv w:val="1"/>
      <w:marLeft w:val="0"/>
      <w:marRight w:val="0"/>
      <w:marTop w:val="0"/>
      <w:marBottom w:val="0"/>
      <w:divBdr>
        <w:top w:val="none" w:sz="0" w:space="0" w:color="auto"/>
        <w:left w:val="none" w:sz="0" w:space="0" w:color="auto"/>
        <w:bottom w:val="none" w:sz="0" w:space="0" w:color="auto"/>
        <w:right w:val="none" w:sz="0" w:space="0" w:color="auto"/>
      </w:divBdr>
    </w:div>
    <w:div w:id="93477265">
      <w:bodyDiv w:val="1"/>
      <w:marLeft w:val="0"/>
      <w:marRight w:val="0"/>
      <w:marTop w:val="0"/>
      <w:marBottom w:val="0"/>
      <w:divBdr>
        <w:top w:val="none" w:sz="0" w:space="0" w:color="auto"/>
        <w:left w:val="none" w:sz="0" w:space="0" w:color="auto"/>
        <w:bottom w:val="none" w:sz="0" w:space="0" w:color="auto"/>
        <w:right w:val="none" w:sz="0" w:space="0" w:color="auto"/>
      </w:divBdr>
    </w:div>
    <w:div w:id="93480329">
      <w:bodyDiv w:val="1"/>
      <w:marLeft w:val="0"/>
      <w:marRight w:val="0"/>
      <w:marTop w:val="0"/>
      <w:marBottom w:val="0"/>
      <w:divBdr>
        <w:top w:val="none" w:sz="0" w:space="0" w:color="auto"/>
        <w:left w:val="none" w:sz="0" w:space="0" w:color="auto"/>
        <w:bottom w:val="none" w:sz="0" w:space="0" w:color="auto"/>
        <w:right w:val="none" w:sz="0" w:space="0" w:color="auto"/>
      </w:divBdr>
    </w:div>
    <w:div w:id="93480353">
      <w:bodyDiv w:val="1"/>
      <w:marLeft w:val="0"/>
      <w:marRight w:val="0"/>
      <w:marTop w:val="0"/>
      <w:marBottom w:val="0"/>
      <w:divBdr>
        <w:top w:val="none" w:sz="0" w:space="0" w:color="auto"/>
        <w:left w:val="none" w:sz="0" w:space="0" w:color="auto"/>
        <w:bottom w:val="none" w:sz="0" w:space="0" w:color="auto"/>
        <w:right w:val="none" w:sz="0" w:space="0" w:color="auto"/>
      </w:divBdr>
    </w:div>
    <w:div w:id="93552128">
      <w:bodyDiv w:val="1"/>
      <w:marLeft w:val="0"/>
      <w:marRight w:val="0"/>
      <w:marTop w:val="0"/>
      <w:marBottom w:val="0"/>
      <w:divBdr>
        <w:top w:val="none" w:sz="0" w:space="0" w:color="auto"/>
        <w:left w:val="none" w:sz="0" w:space="0" w:color="auto"/>
        <w:bottom w:val="none" w:sz="0" w:space="0" w:color="auto"/>
        <w:right w:val="none" w:sz="0" w:space="0" w:color="auto"/>
      </w:divBdr>
    </w:div>
    <w:div w:id="93748548">
      <w:bodyDiv w:val="1"/>
      <w:marLeft w:val="0"/>
      <w:marRight w:val="0"/>
      <w:marTop w:val="0"/>
      <w:marBottom w:val="0"/>
      <w:divBdr>
        <w:top w:val="none" w:sz="0" w:space="0" w:color="auto"/>
        <w:left w:val="none" w:sz="0" w:space="0" w:color="auto"/>
        <w:bottom w:val="none" w:sz="0" w:space="0" w:color="auto"/>
        <w:right w:val="none" w:sz="0" w:space="0" w:color="auto"/>
      </w:divBdr>
    </w:div>
    <w:div w:id="93869574">
      <w:bodyDiv w:val="1"/>
      <w:marLeft w:val="0"/>
      <w:marRight w:val="0"/>
      <w:marTop w:val="0"/>
      <w:marBottom w:val="0"/>
      <w:divBdr>
        <w:top w:val="none" w:sz="0" w:space="0" w:color="auto"/>
        <w:left w:val="none" w:sz="0" w:space="0" w:color="auto"/>
        <w:bottom w:val="none" w:sz="0" w:space="0" w:color="auto"/>
        <w:right w:val="none" w:sz="0" w:space="0" w:color="auto"/>
      </w:divBdr>
    </w:div>
    <w:div w:id="93869938">
      <w:bodyDiv w:val="1"/>
      <w:marLeft w:val="0"/>
      <w:marRight w:val="0"/>
      <w:marTop w:val="0"/>
      <w:marBottom w:val="0"/>
      <w:divBdr>
        <w:top w:val="none" w:sz="0" w:space="0" w:color="auto"/>
        <w:left w:val="none" w:sz="0" w:space="0" w:color="auto"/>
        <w:bottom w:val="none" w:sz="0" w:space="0" w:color="auto"/>
        <w:right w:val="none" w:sz="0" w:space="0" w:color="auto"/>
      </w:divBdr>
    </w:div>
    <w:div w:id="93942296">
      <w:bodyDiv w:val="1"/>
      <w:marLeft w:val="0"/>
      <w:marRight w:val="0"/>
      <w:marTop w:val="0"/>
      <w:marBottom w:val="0"/>
      <w:divBdr>
        <w:top w:val="none" w:sz="0" w:space="0" w:color="auto"/>
        <w:left w:val="none" w:sz="0" w:space="0" w:color="auto"/>
        <w:bottom w:val="none" w:sz="0" w:space="0" w:color="auto"/>
        <w:right w:val="none" w:sz="0" w:space="0" w:color="auto"/>
      </w:divBdr>
    </w:div>
    <w:div w:id="93982046">
      <w:bodyDiv w:val="1"/>
      <w:marLeft w:val="0"/>
      <w:marRight w:val="0"/>
      <w:marTop w:val="0"/>
      <w:marBottom w:val="0"/>
      <w:divBdr>
        <w:top w:val="none" w:sz="0" w:space="0" w:color="auto"/>
        <w:left w:val="none" w:sz="0" w:space="0" w:color="auto"/>
        <w:bottom w:val="none" w:sz="0" w:space="0" w:color="auto"/>
        <w:right w:val="none" w:sz="0" w:space="0" w:color="auto"/>
      </w:divBdr>
    </w:div>
    <w:div w:id="94056361">
      <w:bodyDiv w:val="1"/>
      <w:marLeft w:val="0"/>
      <w:marRight w:val="0"/>
      <w:marTop w:val="0"/>
      <w:marBottom w:val="0"/>
      <w:divBdr>
        <w:top w:val="none" w:sz="0" w:space="0" w:color="auto"/>
        <w:left w:val="none" w:sz="0" w:space="0" w:color="auto"/>
        <w:bottom w:val="none" w:sz="0" w:space="0" w:color="auto"/>
        <w:right w:val="none" w:sz="0" w:space="0" w:color="auto"/>
      </w:divBdr>
    </w:div>
    <w:div w:id="94062247">
      <w:bodyDiv w:val="1"/>
      <w:marLeft w:val="0"/>
      <w:marRight w:val="0"/>
      <w:marTop w:val="0"/>
      <w:marBottom w:val="0"/>
      <w:divBdr>
        <w:top w:val="none" w:sz="0" w:space="0" w:color="auto"/>
        <w:left w:val="none" w:sz="0" w:space="0" w:color="auto"/>
        <w:bottom w:val="none" w:sz="0" w:space="0" w:color="auto"/>
        <w:right w:val="none" w:sz="0" w:space="0" w:color="auto"/>
      </w:divBdr>
    </w:div>
    <w:div w:id="94132337">
      <w:bodyDiv w:val="1"/>
      <w:marLeft w:val="0"/>
      <w:marRight w:val="0"/>
      <w:marTop w:val="0"/>
      <w:marBottom w:val="0"/>
      <w:divBdr>
        <w:top w:val="none" w:sz="0" w:space="0" w:color="auto"/>
        <w:left w:val="none" w:sz="0" w:space="0" w:color="auto"/>
        <w:bottom w:val="none" w:sz="0" w:space="0" w:color="auto"/>
        <w:right w:val="none" w:sz="0" w:space="0" w:color="auto"/>
      </w:divBdr>
    </w:div>
    <w:div w:id="94176008">
      <w:bodyDiv w:val="1"/>
      <w:marLeft w:val="0"/>
      <w:marRight w:val="0"/>
      <w:marTop w:val="0"/>
      <w:marBottom w:val="0"/>
      <w:divBdr>
        <w:top w:val="none" w:sz="0" w:space="0" w:color="auto"/>
        <w:left w:val="none" w:sz="0" w:space="0" w:color="auto"/>
        <w:bottom w:val="none" w:sz="0" w:space="0" w:color="auto"/>
        <w:right w:val="none" w:sz="0" w:space="0" w:color="auto"/>
      </w:divBdr>
    </w:div>
    <w:div w:id="94329023">
      <w:bodyDiv w:val="1"/>
      <w:marLeft w:val="0"/>
      <w:marRight w:val="0"/>
      <w:marTop w:val="0"/>
      <w:marBottom w:val="0"/>
      <w:divBdr>
        <w:top w:val="none" w:sz="0" w:space="0" w:color="auto"/>
        <w:left w:val="none" w:sz="0" w:space="0" w:color="auto"/>
        <w:bottom w:val="none" w:sz="0" w:space="0" w:color="auto"/>
        <w:right w:val="none" w:sz="0" w:space="0" w:color="auto"/>
      </w:divBdr>
    </w:div>
    <w:div w:id="94330161">
      <w:bodyDiv w:val="1"/>
      <w:marLeft w:val="0"/>
      <w:marRight w:val="0"/>
      <w:marTop w:val="0"/>
      <w:marBottom w:val="0"/>
      <w:divBdr>
        <w:top w:val="none" w:sz="0" w:space="0" w:color="auto"/>
        <w:left w:val="none" w:sz="0" w:space="0" w:color="auto"/>
        <w:bottom w:val="none" w:sz="0" w:space="0" w:color="auto"/>
        <w:right w:val="none" w:sz="0" w:space="0" w:color="auto"/>
      </w:divBdr>
    </w:div>
    <w:div w:id="94331426">
      <w:bodyDiv w:val="1"/>
      <w:marLeft w:val="0"/>
      <w:marRight w:val="0"/>
      <w:marTop w:val="0"/>
      <w:marBottom w:val="0"/>
      <w:divBdr>
        <w:top w:val="none" w:sz="0" w:space="0" w:color="auto"/>
        <w:left w:val="none" w:sz="0" w:space="0" w:color="auto"/>
        <w:bottom w:val="none" w:sz="0" w:space="0" w:color="auto"/>
        <w:right w:val="none" w:sz="0" w:space="0" w:color="auto"/>
      </w:divBdr>
    </w:div>
    <w:div w:id="94371963">
      <w:bodyDiv w:val="1"/>
      <w:marLeft w:val="0"/>
      <w:marRight w:val="0"/>
      <w:marTop w:val="0"/>
      <w:marBottom w:val="0"/>
      <w:divBdr>
        <w:top w:val="none" w:sz="0" w:space="0" w:color="auto"/>
        <w:left w:val="none" w:sz="0" w:space="0" w:color="auto"/>
        <w:bottom w:val="none" w:sz="0" w:space="0" w:color="auto"/>
        <w:right w:val="none" w:sz="0" w:space="0" w:color="auto"/>
      </w:divBdr>
    </w:div>
    <w:div w:id="94442076">
      <w:bodyDiv w:val="1"/>
      <w:marLeft w:val="0"/>
      <w:marRight w:val="0"/>
      <w:marTop w:val="0"/>
      <w:marBottom w:val="0"/>
      <w:divBdr>
        <w:top w:val="none" w:sz="0" w:space="0" w:color="auto"/>
        <w:left w:val="none" w:sz="0" w:space="0" w:color="auto"/>
        <w:bottom w:val="none" w:sz="0" w:space="0" w:color="auto"/>
        <w:right w:val="none" w:sz="0" w:space="0" w:color="auto"/>
      </w:divBdr>
    </w:div>
    <w:div w:id="94447398">
      <w:bodyDiv w:val="1"/>
      <w:marLeft w:val="0"/>
      <w:marRight w:val="0"/>
      <w:marTop w:val="0"/>
      <w:marBottom w:val="0"/>
      <w:divBdr>
        <w:top w:val="none" w:sz="0" w:space="0" w:color="auto"/>
        <w:left w:val="none" w:sz="0" w:space="0" w:color="auto"/>
        <w:bottom w:val="none" w:sz="0" w:space="0" w:color="auto"/>
        <w:right w:val="none" w:sz="0" w:space="0" w:color="auto"/>
      </w:divBdr>
    </w:div>
    <w:div w:id="94599596">
      <w:bodyDiv w:val="1"/>
      <w:marLeft w:val="0"/>
      <w:marRight w:val="0"/>
      <w:marTop w:val="0"/>
      <w:marBottom w:val="0"/>
      <w:divBdr>
        <w:top w:val="none" w:sz="0" w:space="0" w:color="auto"/>
        <w:left w:val="none" w:sz="0" w:space="0" w:color="auto"/>
        <w:bottom w:val="none" w:sz="0" w:space="0" w:color="auto"/>
        <w:right w:val="none" w:sz="0" w:space="0" w:color="auto"/>
      </w:divBdr>
    </w:div>
    <w:div w:id="94711912">
      <w:bodyDiv w:val="1"/>
      <w:marLeft w:val="0"/>
      <w:marRight w:val="0"/>
      <w:marTop w:val="0"/>
      <w:marBottom w:val="0"/>
      <w:divBdr>
        <w:top w:val="none" w:sz="0" w:space="0" w:color="auto"/>
        <w:left w:val="none" w:sz="0" w:space="0" w:color="auto"/>
        <w:bottom w:val="none" w:sz="0" w:space="0" w:color="auto"/>
        <w:right w:val="none" w:sz="0" w:space="0" w:color="auto"/>
      </w:divBdr>
    </w:div>
    <w:div w:id="94714854">
      <w:bodyDiv w:val="1"/>
      <w:marLeft w:val="0"/>
      <w:marRight w:val="0"/>
      <w:marTop w:val="0"/>
      <w:marBottom w:val="0"/>
      <w:divBdr>
        <w:top w:val="none" w:sz="0" w:space="0" w:color="auto"/>
        <w:left w:val="none" w:sz="0" w:space="0" w:color="auto"/>
        <w:bottom w:val="none" w:sz="0" w:space="0" w:color="auto"/>
        <w:right w:val="none" w:sz="0" w:space="0" w:color="auto"/>
      </w:divBdr>
    </w:div>
    <w:div w:id="94788494">
      <w:bodyDiv w:val="1"/>
      <w:marLeft w:val="0"/>
      <w:marRight w:val="0"/>
      <w:marTop w:val="0"/>
      <w:marBottom w:val="0"/>
      <w:divBdr>
        <w:top w:val="none" w:sz="0" w:space="0" w:color="auto"/>
        <w:left w:val="none" w:sz="0" w:space="0" w:color="auto"/>
        <w:bottom w:val="none" w:sz="0" w:space="0" w:color="auto"/>
        <w:right w:val="none" w:sz="0" w:space="0" w:color="auto"/>
      </w:divBdr>
    </w:div>
    <w:div w:id="94789897">
      <w:bodyDiv w:val="1"/>
      <w:marLeft w:val="0"/>
      <w:marRight w:val="0"/>
      <w:marTop w:val="0"/>
      <w:marBottom w:val="0"/>
      <w:divBdr>
        <w:top w:val="none" w:sz="0" w:space="0" w:color="auto"/>
        <w:left w:val="none" w:sz="0" w:space="0" w:color="auto"/>
        <w:bottom w:val="none" w:sz="0" w:space="0" w:color="auto"/>
        <w:right w:val="none" w:sz="0" w:space="0" w:color="auto"/>
      </w:divBdr>
    </w:div>
    <w:div w:id="94910965">
      <w:bodyDiv w:val="1"/>
      <w:marLeft w:val="0"/>
      <w:marRight w:val="0"/>
      <w:marTop w:val="0"/>
      <w:marBottom w:val="0"/>
      <w:divBdr>
        <w:top w:val="none" w:sz="0" w:space="0" w:color="auto"/>
        <w:left w:val="none" w:sz="0" w:space="0" w:color="auto"/>
        <w:bottom w:val="none" w:sz="0" w:space="0" w:color="auto"/>
        <w:right w:val="none" w:sz="0" w:space="0" w:color="auto"/>
      </w:divBdr>
    </w:div>
    <w:div w:id="94983779">
      <w:bodyDiv w:val="1"/>
      <w:marLeft w:val="0"/>
      <w:marRight w:val="0"/>
      <w:marTop w:val="0"/>
      <w:marBottom w:val="0"/>
      <w:divBdr>
        <w:top w:val="none" w:sz="0" w:space="0" w:color="auto"/>
        <w:left w:val="none" w:sz="0" w:space="0" w:color="auto"/>
        <w:bottom w:val="none" w:sz="0" w:space="0" w:color="auto"/>
        <w:right w:val="none" w:sz="0" w:space="0" w:color="auto"/>
      </w:divBdr>
    </w:div>
    <w:div w:id="95103760">
      <w:bodyDiv w:val="1"/>
      <w:marLeft w:val="0"/>
      <w:marRight w:val="0"/>
      <w:marTop w:val="0"/>
      <w:marBottom w:val="0"/>
      <w:divBdr>
        <w:top w:val="none" w:sz="0" w:space="0" w:color="auto"/>
        <w:left w:val="none" w:sz="0" w:space="0" w:color="auto"/>
        <w:bottom w:val="none" w:sz="0" w:space="0" w:color="auto"/>
        <w:right w:val="none" w:sz="0" w:space="0" w:color="auto"/>
      </w:divBdr>
    </w:div>
    <w:div w:id="95181240">
      <w:bodyDiv w:val="1"/>
      <w:marLeft w:val="0"/>
      <w:marRight w:val="0"/>
      <w:marTop w:val="0"/>
      <w:marBottom w:val="0"/>
      <w:divBdr>
        <w:top w:val="none" w:sz="0" w:space="0" w:color="auto"/>
        <w:left w:val="none" w:sz="0" w:space="0" w:color="auto"/>
        <w:bottom w:val="none" w:sz="0" w:space="0" w:color="auto"/>
        <w:right w:val="none" w:sz="0" w:space="0" w:color="auto"/>
      </w:divBdr>
    </w:div>
    <w:div w:id="95294446">
      <w:bodyDiv w:val="1"/>
      <w:marLeft w:val="0"/>
      <w:marRight w:val="0"/>
      <w:marTop w:val="0"/>
      <w:marBottom w:val="0"/>
      <w:divBdr>
        <w:top w:val="none" w:sz="0" w:space="0" w:color="auto"/>
        <w:left w:val="none" w:sz="0" w:space="0" w:color="auto"/>
        <w:bottom w:val="none" w:sz="0" w:space="0" w:color="auto"/>
        <w:right w:val="none" w:sz="0" w:space="0" w:color="auto"/>
      </w:divBdr>
    </w:div>
    <w:div w:id="95487173">
      <w:bodyDiv w:val="1"/>
      <w:marLeft w:val="0"/>
      <w:marRight w:val="0"/>
      <w:marTop w:val="0"/>
      <w:marBottom w:val="0"/>
      <w:divBdr>
        <w:top w:val="none" w:sz="0" w:space="0" w:color="auto"/>
        <w:left w:val="none" w:sz="0" w:space="0" w:color="auto"/>
        <w:bottom w:val="none" w:sz="0" w:space="0" w:color="auto"/>
        <w:right w:val="none" w:sz="0" w:space="0" w:color="auto"/>
      </w:divBdr>
    </w:div>
    <w:div w:id="95516640">
      <w:bodyDiv w:val="1"/>
      <w:marLeft w:val="0"/>
      <w:marRight w:val="0"/>
      <w:marTop w:val="0"/>
      <w:marBottom w:val="0"/>
      <w:divBdr>
        <w:top w:val="none" w:sz="0" w:space="0" w:color="auto"/>
        <w:left w:val="none" w:sz="0" w:space="0" w:color="auto"/>
        <w:bottom w:val="none" w:sz="0" w:space="0" w:color="auto"/>
        <w:right w:val="none" w:sz="0" w:space="0" w:color="auto"/>
      </w:divBdr>
    </w:div>
    <w:div w:id="95518567">
      <w:bodyDiv w:val="1"/>
      <w:marLeft w:val="0"/>
      <w:marRight w:val="0"/>
      <w:marTop w:val="0"/>
      <w:marBottom w:val="0"/>
      <w:divBdr>
        <w:top w:val="none" w:sz="0" w:space="0" w:color="auto"/>
        <w:left w:val="none" w:sz="0" w:space="0" w:color="auto"/>
        <w:bottom w:val="none" w:sz="0" w:space="0" w:color="auto"/>
        <w:right w:val="none" w:sz="0" w:space="0" w:color="auto"/>
      </w:divBdr>
    </w:div>
    <w:div w:id="95637213">
      <w:bodyDiv w:val="1"/>
      <w:marLeft w:val="0"/>
      <w:marRight w:val="0"/>
      <w:marTop w:val="0"/>
      <w:marBottom w:val="0"/>
      <w:divBdr>
        <w:top w:val="none" w:sz="0" w:space="0" w:color="auto"/>
        <w:left w:val="none" w:sz="0" w:space="0" w:color="auto"/>
        <w:bottom w:val="none" w:sz="0" w:space="0" w:color="auto"/>
        <w:right w:val="none" w:sz="0" w:space="0" w:color="auto"/>
      </w:divBdr>
    </w:div>
    <w:div w:id="95835426">
      <w:bodyDiv w:val="1"/>
      <w:marLeft w:val="0"/>
      <w:marRight w:val="0"/>
      <w:marTop w:val="0"/>
      <w:marBottom w:val="0"/>
      <w:divBdr>
        <w:top w:val="none" w:sz="0" w:space="0" w:color="auto"/>
        <w:left w:val="none" w:sz="0" w:space="0" w:color="auto"/>
        <w:bottom w:val="none" w:sz="0" w:space="0" w:color="auto"/>
        <w:right w:val="none" w:sz="0" w:space="0" w:color="auto"/>
      </w:divBdr>
    </w:div>
    <w:div w:id="96021220">
      <w:bodyDiv w:val="1"/>
      <w:marLeft w:val="0"/>
      <w:marRight w:val="0"/>
      <w:marTop w:val="0"/>
      <w:marBottom w:val="0"/>
      <w:divBdr>
        <w:top w:val="none" w:sz="0" w:space="0" w:color="auto"/>
        <w:left w:val="none" w:sz="0" w:space="0" w:color="auto"/>
        <w:bottom w:val="none" w:sz="0" w:space="0" w:color="auto"/>
        <w:right w:val="none" w:sz="0" w:space="0" w:color="auto"/>
      </w:divBdr>
    </w:div>
    <w:div w:id="96099341">
      <w:bodyDiv w:val="1"/>
      <w:marLeft w:val="0"/>
      <w:marRight w:val="0"/>
      <w:marTop w:val="0"/>
      <w:marBottom w:val="0"/>
      <w:divBdr>
        <w:top w:val="none" w:sz="0" w:space="0" w:color="auto"/>
        <w:left w:val="none" w:sz="0" w:space="0" w:color="auto"/>
        <w:bottom w:val="none" w:sz="0" w:space="0" w:color="auto"/>
        <w:right w:val="none" w:sz="0" w:space="0" w:color="auto"/>
      </w:divBdr>
    </w:div>
    <w:div w:id="96105325">
      <w:bodyDiv w:val="1"/>
      <w:marLeft w:val="0"/>
      <w:marRight w:val="0"/>
      <w:marTop w:val="0"/>
      <w:marBottom w:val="0"/>
      <w:divBdr>
        <w:top w:val="none" w:sz="0" w:space="0" w:color="auto"/>
        <w:left w:val="none" w:sz="0" w:space="0" w:color="auto"/>
        <w:bottom w:val="none" w:sz="0" w:space="0" w:color="auto"/>
        <w:right w:val="none" w:sz="0" w:space="0" w:color="auto"/>
      </w:divBdr>
    </w:div>
    <w:div w:id="96171550">
      <w:bodyDiv w:val="1"/>
      <w:marLeft w:val="0"/>
      <w:marRight w:val="0"/>
      <w:marTop w:val="0"/>
      <w:marBottom w:val="0"/>
      <w:divBdr>
        <w:top w:val="none" w:sz="0" w:space="0" w:color="auto"/>
        <w:left w:val="none" w:sz="0" w:space="0" w:color="auto"/>
        <w:bottom w:val="none" w:sz="0" w:space="0" w:color="auto"/>
        <w:right w:val="none" w:sz="0" w:space="0" w:color="auto"/>
      </w:divBdr>
    </w:div>
    <w:div w:id="96214001">
      <w:bodyDiv w:val="1"/>
      <w:marLeft w:val="0"/>
      <w:marRight w:val="0"/>
      <w:marTop w:val="0"/>
      <w:marBottom w:val="0"/>
      <w:divBdr>
        <w:top w:val="none" w:sz="0" w:space="0" w:color="auto"/>
        <w:left w:val="none" w:sz="0" w:space="0" w:color="auto"/>
        <w:bottom w:val="none" w:sz="0" w:space="0" w:color="auto"/>
        <w:right w:val="none" w:sz="0" w:space="0" w:color="auto"/>
      </w:divBdr>
    </w:div>
    <w:div w:id="96215235">
      <w:bodyDiv w:val="1"/>
      <w:marLeft w:val="0"/>
      <w:marRight w:val="0"/>
      <w:marTop w:val="0"/>
      <w:marBottom w:val="0"/>
      <w:divBdr>
        <w:top w:val="none" w:sz="0" w:space="0" w:color="auto"/>
        <w:left w:val="none" w:sz="0" w:space="0" w:color="auto"/>
        <w:bottom w:val="none" w:sz="0" w:space="0" w:color="auto"/>
        <w:right w:val="none" w:sz="0" w:space="0" w:color="auto"/>
      </w:divBdr>
    </w:div>
    <w:div w:id="96293696">
      <w:bodyDiv w:val="1"/>
      <w:marLeft w:val="0"/>
      <w:marRight w:val="0"/>
      <w:marTop w:val="0"/>
      <w:marBottom w:val="0"/>
      <w:divBdr>
        <w:top w:val="none" w:sz="0" w:space="0" w:color="auto"/>
        <w:left w:val="none" w:sz="0" w:space="0" w:color="auto"/>
        <w:bottom w:val="none" w:sz="0" w:space="0" w:color="auto"/>
        <w:right w:val="none" w:sz="0" w:space="0" w:color="auto"/>
      </w:divBdr>
    </w:div>
    <w:div w:id="96369353">
      <w:bodyDiv w:val="1"/>
      <w:marLeft w:val="0"/>
      <w:marRight w:val="0"/>
      <w:marTop w:val="0"/>
      <w:marBottom w:val="0"/>
      <w:divBdr>
        <w:top w:val="none" w:sz="0" w:space="0" w:color="auto"/>
        <w:left w:val="none" w:sz="0" w:space="0" w:color="auto"/>
        <w:bottom w:val="none" w:sz="0" w:space="0" w:color="auto"/>
        <w:right w:val="none" w:sz="0" w:space="0" w:color="auto"/>
      </w:divBdr>
    </w:div>
    <w:div w:id="96369796">
      <w:bodyDiv w:val="1"/>
      <w:marLeft w:val="0"/>
      <w:marRight w:val="0"/>
      <w:marTop w:val="0"/>
      <w:marBottom w:val="0"/>
      <w:divBdr>
        <w:top w:val="none" w:sz="0" w:space="0" w:color="auto"/>
        <w:left w:val="none" w:sz="0" w:space="0" w:color="auto"/>
        <w:bottom w:val="none" w:sz="0" w:space="0" w:color="auto"/>
        <w:right w:val="none" w:sz="0" w:space="0" w:color="auto"/>
      </w:divBdr>
    </w:div>
    <w:div w:id="96408189">
      <w:bodyDiv w:val="1"/>
      <w:marLeft w:val="0"/>
      <w:marRight w:val="0"/>
      <w:marTop w:val="0"/>
      <w:marBottom w:val="0"/>
      <w:divBdr>
        <w:top w:val="none" w:sz="0" w:space="0" w:color="auto"/>
        <w:left w:val="none" w:sz="0" w:space="0" w:color="auto"/>
        <w:bottom w:val="none" w:sz="0" w:space="0" w:color="auto"/>
        <w:right w:val="none" w:sz="0" w:space="0" w:color="auto"/>
      </w:divBdr>
    </w:div>
    <w:div w:id="96754052">
      <w:bodyDiv w:val="1"/>
      <w:marLeft w:val="0"/>
      <w:marRight w:val="0"/>
      <w:marTop w:val="0"/>
      <w:marBottom w:val="0"/>
      <w:divBdr>
        <w:top w:val="none" w:sz="0" w:space="0" w:color="auto"/>
        <w:left w:val="none" w:sz="0" w:space="0" w:color="auto"/>
        <w:bottom w:val="none" w:sz="0" w:space="0" w:color="auto"/>
        <w:right w:val="none" w:sz="0" w:space="0" w:color="auto"/>
      </w:divBdr>
    </w:div>
    <w:div w:id="96945976">
      <w:bodyDiv w:val="1"/>
      <w:marLeft w:val="0"/>
      <w:marRight w:val="0"/>
      <w:marTop w:val="0"/>
      <w:marBottom w:val="0"/>
      <w:divBdr>
        <w:top w:val="none" w:sz="0" w:space="0" w:color="auto"/>
        <w:left w:val="none" w:sz="0" w:space="0" w:color="auto"/>
        <w:bottom w:val="none" w:sz="0" w:space="0" w:color="auto"/>
        <w:right w:val="none" w:sz="0" w:space="0" w:color="auto"/>
      </w:divBdr>
    </w:div>
    <w:div w:id="96947550">
      <w:bodyDiv w:val="1"/>
      <w:marLeft w:val="0"/>
      <w:marRight w:val="0"/>
      <w:marTop w:val="0"/>
      <w:marBottom w:val="0"/>
      <w:divBdr>
        <w:top w:val="none" w:sz="0" w:space="0" w:color="auto"/>
        <w:left w:val="none" w:sz="0" w:space="0" w:color="auto"/>
        <w:bottom w:val="none" w:sz="0" w:space="0" w:color="auto"/>
        <w:right w:val="none" w:sz="0" w:space="0" w:color="auto"/>
      </w:divBdr>
    </w:div>
    <w:div w:id="97071450">
      <w:bodyDiv w:val="1"/>
      <w:marLeft w:val="0"/>
      <w:marRight w:val="0"/>
      <w:marTop w:val="0"/>
      <w:marBottom w:val="0"/>
      <w:divBdr>
        <w:top w:val="none" w:sz="0" w:space="0" w:color="auto"/>
        <w:left w:val="none" w:sz="0" w:space="0" w:color="auto"/>
        <w:bottom w:val="none" w:sz="0" w:space="0" w:color="auto"/>
        <w:right w:val="none" w:sz="0" w:space="0" w:color="auto"/>
      </w:divBdr>
    </w:div>
    <w:div w:id="97255736">
      <w:bodyDiv w:val="1"/>
      <w:marLeft w:val="0"/>
      <w:marRight w:val="0"/>
      <w:marTop w:val="0"/>
      <w:marBottom w:val="0"/>
      <w:divBdr>
        <w:top w:val="none" w:sz="0" w:space="0" w:color="auto"/>
        <w:left w:val="none" w:sz="0" w:space="0" w:color="auto"/>
        <w:bottom w:val="none" w:sz="0" w:space="0" w:color="auto"/>
        <w:right w:val="none" w:sz="0" w:space="0" w:color="auto"/>
      </w:divBdr>
    </w:div>
    <w:div w:id="97336261">
      <w:bodyDiv w:val="1"/>
      <w:marLeft w:val="0"/>
      <w:marRight w:val="0"/>
      <w:marTop w:val="0"/>
      <w:marBottom w:val="0"/>
      <w:divBdr>
        <w:top w:val="none" w:sz="0" w:space="0" w:color="auto"/>
        <w:left w:val="none" w:sz="0" w:space="0" w:color="auto"/>
        <w:bottom w:val="none" w:sz="0" w:space="0" w:color="auto"/>
        <w:right w:val="none" w:sz="0" w:space="0" w:color="auto"/>
      </w:divBdr>
    </w:div>
    <w:div w:id="97410700">
      <w:bodyDiv w:val="1"/>
      <w:marLeft w:val="0"/>
      <w:marRight w:val="0"/>
      <w:marTop w:val="0"/>
      <w:marBottom w:val="0"/>
      <w:divBdr>
        <w:top w:val="none" w:sz="0" w:space="0" w:color="auto"/>
        <w:left w:val="none" w:sz="0" w:space="0" w:color="auto"/>
        <w:bottom w:val="none" w:sz="0" w:space="0" w:color="auto"/>
        <w:right w:val="none" w:sz="0" w:space="0" w:color="auto"/>
      </w:divBdr>
    </w:div>
    <w:div w:id="97532756">
      <w:bodyDiv w:val="1"/>
      <w:marLeft w:val="0"/>
      <w:marRight w:val="0"/>
      <w:marTop w:val="0"/>
      <w:marBottom w:val="0"/>
      <w:divBdr>
        <w:top w:val="none" w:sz="0" w:space="0" w:color="auto"/>
        <w:left w:val="none" w:sz="0" w:space="0" w:color="auto"/>
        <w:bottom w:val="none" w:sz="0" w:space="0" w:color="auto"/>
        <w:right w:val="none" w:sz="0" w:space="0" w:color="auto"/>
      </w:divBdr>
    </w:div>
    <w:div w:id="97601298">
      <w:bodyDiv w:val="1"/>
      <w:marLeft w:val="0"/>
      <w:marRight w:val="0"/>
      <w:marTop w:val="0"/>
      <w:marBottom w:val="0"/>
      <w:divBdr>
        <w:top w:val="none" w:sz="0" w:space="0" w:color="auto"/>
        <w:left w:val="none" w:sz="0" w:space="0" w:color="auto"/>
        <w:bottom w:val="none" w:sz="0" w:space="0" w:color="auto"/>
        <w:right w:val="none" w:sz="0" w:space="0" w:color="auto"/>
      </w:divBdr>
    </w:div>
    <w:div w:id="97603023">
      <w:bodyDiv w:val="1"/>
      <w:marLeft w:val="0"/>
      <w:marRight w:val="0"/>
      <w:marTop w:val="0"/>
      <w:marBottom w:val="0"/>
      <w:divBdr>
        <w:top w:val="none" w:sz="0" w:space="0" w:color="auto"/>
        <w:left w:val="none" w:sz="0" w:space="0" w:color="auto"/>
        <w:bottom w:val="none" w:sz="0" w:space="0" w:color="auto"/>
        <w:right w:val="none" w:sz="0" w:space="0" w:color="auto"/>
      </w:divBdr>
    </w:div>
    <w:div w:id="97675458">
      <w:bodyDiv w:val="1"/>
      <w:marLeft w:val="0"/>
      <w:marRight w:val="0"/>
      <w:marTop w:val="0"/>
      <w:marBottom w:val="0"/>
      <w:divBdr>
        <w:top w:val="none" w:sz="0" w:space="0" w:color="auto"/>
        <w:left w:val="none" w:sz="0" w:space="0" w:color="auto"/>
        <w:bottom w:val="none" w:sz="0" w:space="0" w:color="auto"/>
        <w:right w:val="none" w:sz="0" w:space="0" w:color="auto"/>
      </w:divBdr>
    </w:div>
    <w:div w:id="97675544">
      <w:bodyDiv w:val="1"/>
      <w:marLeft w:val="0"/>
      <w:marRight w:val="0"/>
      <w:marTop w:val="0"/>
      <w:marBottom w:val="0"/>
      <w:divBdr>
        <w:top w:val="none" w:sz="0" w:space="0" w:color="auto"/>
        <w:left w:val="none" w:sz="0" w:space="0" w:color="auto"/>
        <w:bottom w:val="none" w:sz="0" w:space="0" w:color="auto"/>
        <w:right w:val="none" w:sz="0" w:space="0" w:color="auto"/>
      </w:divBdr>
    </w:div>
    <w:div w:id="97678256">
      <w:bodyDiv w:val="1"/>
      <w:marLeft w:val="0"/>
      <w:marRight w:val="0"/>
      <w:marTop w:val="0"/>
      <w:marBottom w:val="0"/>
      <w:divBdr>
        <w:top w:val="none" w:sz="0" w:space="0" w:color="auto"/>
        <w:left w:val="none" w:sz="0" w:space="0" w:color="auto"/>
        <w:bottom w:val="none" w:sz="0" w:space="0" w:color="auto"/>
        <w:right w:val="none" w:sz="0" w:space="0" w:color="auto"/>
      </w:divBdr>
    </w:div>
    <w:div w:id="97719620">
      <w:bodyDiv w:val="1"/>
      <w:marLeft w:val="0"/>
      <w:marRight w:val="0"/>
      <w:marTop w:val="0"/>
      <w:marBottom w:val="0"/>
      <w:divBdr>
        <w:top w:val="none" w:sz="0" w:space="0" w:color="auto"/>
        <w:left w:val="none" w:sz="0" w:space="0" w:color="auto"/>
        <w:bottom w:val="none" w:sz="0" w:space="0" w:color="auto"/>
        <w:right w:val="none" w:sz="0" w:space="0" w:color="auto"/>
      </w:divBdr>
    </w:div>
    <w:div w:id="97793231">
      <w:bodyDiv w:val="1"/>
      <w:marLeft w:val="0"/>
      <w:marRight w:val="0"/>
      <w:marTop w:val="0"/>
      <w:marBottom w:val="0"/>
      <w:divBdr>
        <w:top w:val="none" w:sz="0" w:space="0" w:color="auto"/>
        <w:left w:val="none" w:sz="0" w:space="0" w:color="auto"/>
        <w:bottom w:val="none" w:sz="0" w:space="0" w:color="auto"/>
        <w:right w:val="none" w:sz="0" w:space="0" w:color="auto"/>
      </w:divBdr>
    </w:div>
    <w:div w:id="97872357">
      <w:bodyDiv w:val="1"/>
      <w:marLeft w:val="0"/>
      <w:marRight w:val="0"/>
      <w:marTop w:val="0"/>
      <w:marBottom w:val="0"/>
      <w:divBdr>
        <w:top w:val="none" w:sz="0" w:space="0" w:color="auto"/>
        <w:left w:val="none" w:sz="0" w:space="0" w:color="auto"/>
        <w:bottom w:val="none" w:sz="0" w:space="0" w:color="auto"/>
        <w:right w:val="none" w:sz="0" w:space="0" w:color="auto"/>
      </w:divBdr>
    </w:div>
    <w:div w:id="97877894">
      <w:bodyDiv w:val="1"/>
      <w:marLeft w:val="0"/>
      <w:marRight w:val="0"/>
      <w:marTop w:val="0"/>
      <w:marBottom w:val="0"/>
      <w:divBdr>
        <w:top w:val="none" w:sz="0" w:space="0" w:color="auto"/>
        <w:left w:val="none" w:sz="0" w:space="0" w:color="auto"/>
        <w:bottom w:val="none" w:sz="0" w:space="0" w:color="auto"/>
        <w:right w:val="none" w:sz="0" w:space="0" w:color="auto"/>
      </w:divBdr>
    </w:div>
    <w:div w:id="97913679">
      <w:bodyDiv w:val="1"/>
      <w:marLeft w:val="0"/>
      <w:marRight w:val="0"/>
      <w:marTop w:val="0"/>
      <w:marBottom w:val="0"/>
      <w:divBdr>
        <w:top w:val="none" w:sz="0" w:space="0" w:color="auto"/>
        <w:left w:val="none" w:sz="0" w:space="0" w:color="auto"/>
        <w:bottom w:val="none" w:sz="0" w:space="0" w:color="auto"/>
        <w:right w:val="none" w:sz="0" w:space="0" w:color="auto"/>
      </w:divBdr>
    </w:div>
    <w:div w:id="97989237">
      <w:bodyDiv w:val="1"/>
      <w:marLeft w:val="0"/>
      <w:marRight w:val="0"/>
      <w:marTop w:val="0"/>
      <w:marBottom w:val="0"/>
      <w:divBdr>
        <w:top w:val="none" w:sz="0" w:space="0" w:color="auto"/>
        <w:left w:val="none" w:sz="0" w:space="0" w:color="auto"/>
        <w:bottom w:val="none" w:sz="0" w:space="0" w:color="auto"/>
        <w:right w:val="none" w:sz="0" w:space="0" w:color="auto"/>
      </w:divBdr>
    </w:div>
    <w:div w:id="98068693">
      <w:bodyDiv w:val="1"/>
      <w:marLeft w:val="0"/>
      <w:marRight w:val="0"/>
      <w:marTop w:val="0"/>
      <w:marBottom w:val="0"/>
      <w:divBdr>
        <w:top w:val="none" w:sz="0" w:space="0" w:color="auto"/>
        <w:left w:val="none" w:sz="0" w:space="0" w:color="auto"/>
        <w:bottom w:val="none" w:sz="0" w:space="0" w:color="auto"/>
        <w:right w:val="none" w:sz="0" w:space="0" w:color="auto"/>
      </w:divBdr>
    </w:div>
    <w:div w:id="98112967">
      <w:bodyDiv w:val="1"/>
      <w:marLeft w:val="0"/>
      <w:marRight w:val="0"/>
      <w:marTop w:val="0"/>
      <w:marBottom w:val="0"/>
      <w:divBdr>
        <w:top w:val="none" w:sz="0" w:space="0" w:color="auto"/>
        <w:left w:val="none" w:sz="0" w:space="0" w:color="auto"/>
        <w:bottom w:val="none" w:sz="0" w:space="0" w:color="auto"/>
        <w:right w:val="none" w:sz="0" w:space="0" w:color="auto"/>
      </w:divBdr>
    </w:div>
    <w:div w:id="98257133">
      <w:bodyDiv w:val="1"/>
      <w:marLeft w:val="0"/>
      <w:marRight w:val="0"/>
      <w:marTop w:val="0"/>
      <w:marBottom w:val="0"/>
      <w:divBdr>
        <w:top w:val="none" w:sz="0" w:space="0" w:color="auto"/>
        <w:left w:val="none" w:sz="0" w:space="0" w:color="auto"/>
        <w:bottom w:val="none" w:sz="0" w:space="0" w:color="auto"/>
        <w:right w:val="none" w:sz="0" w:space="0" w:color="auto"/>
      </w:divBdr>
    </w:div>
    <w:div w:id="98260769">
      <w:bodyDiv w:val="1"/>
      <w:marLeft w:val="0"/>
      <w:marRight w:val="0"/>
      <w:marTop w:val="0"/>
      <w:marBottom w:val="0"/>
      <w:divBdr>
        <w:top w:val="none" w:sz="0" w:space="0" w:color="auto"/>
        <w:left w:val="none" w:sz="0" w:space="0" w:color="auto"/>
        <w:bottom w:val="none" w:sz="0" w:space="0" w:color="auto"/>
        <w:right w:val="none" w:sz="0" w:space="0" w:color="auto"/>
      </w:divBdr>
    </w:div>
    <w:div w:id="98377927">
      <w:bodyDiv w:val="1"/>
      <w:marLeft w:val="0"/>
      <w:marRight w:val="0"/>
      <w:marTop w:val="0"/>
      <w:marBottom w:val="0"/>
      <w:divBdr>
        <w:top w:val="none" w:sz="0" w:space="0" w:color="auto"/>
        <w:left w:val="none" w:sz="0" w:space="0" w:color="auto"/>
        <w:bottom w:val="none" w:sz="0" w:space="0" w:color="auto"/>
        <w:right w:val="none" w:sz="0" w:space="0" w:color="auto"/>
      </w:divBdr>
    </w:div>
    <w:div w:id="98530086">
      <w:bodyDiv w:val="1"/>
      <w:marLeft w:val="0"/>
      <w:marRight w:val="0"/>
      <w:marTop w:val="0"/>
      <w:marBottom w:val="0"/>
      <w:divBdr>
        <w:top w:val="none" w:sz="0" w:space="0" w:color="auto"/>
        <w:left w:val="none" w:sz="0" w:space="0" w:color="auto"/>
        <w:bottom w:val="none" w:sz="0" w:space="0" w:color="auto"/>
        <w:right w:val="none" w:sz="0" w:space="0" w:color="auto"/>
      </w:divBdr>
    </w:div>
    <w:div w:id="98570789">
      <w:bodyDiv w:val="1"/>
      <w:marLeft w:val="0"/>
      <w:marRight w:val="0"/>
      <w:marTop w:val="0"/>
      <w:marBottom w:val="0"/>
      <w:divBdr>
        <w:top w:val="none" w:sz="0" w:space="0" w:color="auto"/>
        <w:left w:val="none" w:sz="0" w:space="0" w:color="auto"/>
        <w:bottom w:val="none" w:sz="0" w:space="0" w:color="auto"/>
        <w:right w:val="none" w:sz="0" w:space="0" w:color="auto"/>
      </w:divBdr>
    </w:div>
    <w:div w:id="98574710">
      <w:bodyDiv w:val="1"/>
      <w:marLeft w:val="0"/>
      <w:marRight w:val="0"/>
      <w:marTop w:val="0"/>
      <w:marBottom w:val="0"/>
      <w:divBdr>
        <w:top w:val="none" w:sz="0" w:space="0" w:color="auto"/>
        <w:left w:val="none" w:sz="0" w:space="0" w:color="auto"/>
        <w:bottom w:val="none" w:sz="0" w:space="0" w:color="auto"/>
        <w:right w:val="none" w:sz="0" w:space="0" w:color="auto"/>
      </w:divBdr>
    </w:div>
    <w:div w:id="98574790">
      <w:bodyDiv w:val="1"/>
      <w:marLeft w:val="0"/>
      <w:marRight w:val="0"/>
      <w:marTop w:val="0"/>
      <w:marBottom w:val="0"/>
      <w:divBdr>
        <w:top w:val="none" w:sz="0" w:space="0" w:color="auto"/>
        <w:left w:val="none" w:sz="0" w:space="0" w:color="auto"/>
        <w:bottom w:val="none" w:sz="0" w:space="0" w:color="auto"/>
        <w:right w:val="none" w:sz="0" w:space="0" w:color="auto"/>
      </w:divBdr>
    </w:div>
    <w:div w:id="98646335">
      <w:bodyDiv w:val="1"/>
      <w:marLeft w:val="0"/>
      <w:marRight w:val="0"/>
      <w:marTop w:val="0"/>
      <w:marBottom w:val="0"/>
      <w:divBdr>
        <w:top w:val="none" w:sz="0" w:space="0" w:color="auto"/>
        <w:left w:val="none" w:sz="0" w:space="0" w:color="auto"/>
        <w:bottom w:val="none" w:sz="0" w:space="0" w:color="auto"/>
        <w:right w:val="none" w:sz="0" w:space="0" w:color="auto"/>
      </w:divBdr>
    </w:div>
    <w:div w:id="98765455">
      <w:bodyDiv w:val="1"/>
      <w:marLeft w:val="0"/>
      <w:marRight w:val="0"/>
      <w:marTop w:val="0"/>
      <w:marBottom w:val="0"/>
      <w:divBdr>
        <w:top w:val="none" w:sz="0" w:space="0" w:color="auto"/>
        <w:left w:val="none" w:sz="0" w:space="0" w:color="auto"/>
        <w:bottom w:val="none" w:sz="0" w:space="0" w:color="auto"/>
        <w:right w:val="none" w:sz="0" w:space="0" w:color="auto"/>
      </w:divBdr>
    </w:div>
    <w:div w:id="98768673">
      <w:bodyDiv w:val="1"/>
      <w:marLeft w:val="0"/>
      <w:marRight w:val="0"/>
      <w:marTop w:val="0"/>
      <w:marBottom w:val="0"/>
      <w:divBdr>
        <w:top w:val="none" w:sz="0" w:space="0" w:color="auto"/>
        <w:left w:val="none" w:sz="0" w:space="0" w:color="auto"/>
        <w:bottom w:val="none" w:sz="0" w:space="0" w:color="auto"/>
        <w:right w:val="none" w:sz="0" w:space="0" w:color="auto"/>
      </w:divBdr>
    </w:div>
    <w:div w:id="98792741">
      <w:bodyDiv w:val="1"/>
      <w:marLeft w:val="0"/>
      <w:marRight w:val="0"/>
      <w:marTop w:val="0"/>
      <w:marBottom w:val="0"/>
      <w:divBdr>
        <w:top w:val="none" w:sz="0" w:space="0" w:color="auto"/>
        <w:left w:val="none" w:sz="0" w:space="0" w:color="auto"/>
        <w:bottom w:val="none" w:sz="0" w:space="0" w:color="auto"/>
        <w:right w:val="none" w:sz="0" w:space="0" w:color="auto"/>
      </w:divBdr>
    </w:div>
    <w:div w:id="98793539">
      <w:bodyDiv w:val="1"/>
      <w:marLeft w:val="0"/>
      <w:marRight w:val="0"/>
      <w:marTop w:val="0"/>
      <w:marBottom w:val="0"/>
      <w:divBdr>
        <w:top w:val="none" w:sz="0" w:space="0" w:color="auto"/>
        <w:left w:val="none" w:sz="0" w:space="0" w:color="auto"/>
        <w:bottom w:val="none" w:sz="0" w:space="0" w:color="auto"/>
        <w:right w:val="none" w:sz="0" w:space="0" w:color="auto"/>
      </w:divBdr>
    </w:div>
    <w:div w:id="98795284">
      <w:bodyDiv w:val="1"/>
      <w:marLeft w:val="0"/>
      <w:marRight w:val="0"/>
      <w:marTop w:val="0"/>
      <w:marBottom w:val="0"/>
      <w:divBdr>
        <w:top w:val="none" w:sz="0" w:space="0" w:color="auto"/>
        <w:left w:val="none" w:sz="0" w:space="0" w:color="auto"/>
        <w:bottom w:val="none" w:sz="0" w:space="0" w:color="auto"/>
        <w:right w:val="none" w:sz="0" w:space="0" w:color="auto"/>
      </w:divBdr>
    </w:div>
    <w:div w:id="98841905">
      <w:bodyDiv w:val="1"/>
      <w:marLeft w:val="0"/>
      <w:marRight w:val="0"/>
      <w:marTop w:val="0"/>
      <w:marBottom w:val="0"/>
      <w:divBdr>
        <w:top w:val="none" w:sz="0" w:space="0" w:color="auto"/>
        <w:left w:val="none" w:sz="0" w:space="0" w:color="auto"/>
        <w:bottom w:val="none" w:sz="0" w:space="0" w:color="auto"/>
        <w:right w:val="none" w:sz="0" w:space="0" w:color="auto"/>
      </w:divBdr>
    </w:div>
    <w:div w:id="98959430">
      <w:bodyDiv w:val="1"/>
      <w:marLeft w:val="0"/>
      <w:marRight w:val="0"/>
      <w:marTop w:val="0"/>
      <w:marBottom w:val="0"/>
      <w:divBdr>
        <w:top w:val="none" w:sz="0" w:space="0" w:color="auto"/>
        <w:left w:val="none" w:sz="0" w:space="0" w:color="auto"/>
        <w:bottom w:val="none" w:sz="0" w:space="0" w:color="auto"/>
        <w:right w:val="none" w:sz="0" w:space="0" w:color="auto"/>
      </w:divBdr>
    </w:div>
    <w:div w:id="99179399">
      <w:bodyDiv w:val="1"/>
      <w:marLeft w:val="0"/>
      <w:marRight w:val="0"/>
      <w:marTop w:val="0"/>
      <w:marBottom w:val="0"/>
      <w:divBdr>
        <w:top w:val="none" w:sz="0" w:space="0" w:color="auto"/>
        <w:left w:val="none" w:sz="0" w:space="0" w:color="auto"/>
        <w:bottom w:val="none" w:sz="0" w:space="0" w:color="auto"/>
        <w:right w:val="none" w:sz="0" w:space="0" w:color="auto"/>
      </w:divBdr>
    </w:div>
    <w:div w:id="99298524">
      <w:bodyDiv w:val="1"/>
      <w:marLeft w:val="0"/>
      <w:marRight w:val="0"/>
      <w:marTop w:val="0"/>
      <w:marBottom w:val="0"/>
      <w:divBdr>
        <w:top w:val="none" w:sz="0" w:space="0" w:color="auto"/>
        <w:left w:val="none" w:sz="0" w:space="0" w:color="auto"/>
        <w:bottom w:val="none" w:sz="0" w:space="0" w:color="auto"/>
        <w:right w:val="none" w:sz="0" w:space="0" w:color="auto"/>
      </w:divBdr>
    </w:div>
    <w:div w:id="99306239">
      <w:bodyDiv w:val="1"/>
      <w:marLeft w:val="0"/>
      <w:marRight w:val="0"/>
      <w:marTop w:val="0"/>
      <w:marBottom w:val="0"/>
      <w:divBdr>
        <w:top w:val="none" w:sz="0" w:space="0" w:color="auto"/>
        <w:left w:val="none" w:sz="0" w:space="0" w:color="auto"/>
        <w:bottom w:val="none" w:sz="0" w:space="0" w:color="auto"/>
        <w:right w:val="none" w:sz="0" w:space="0" w:color="auto"/>
      </w:divBdr>
    </w:div>
    <w:div w:id="99375293">
      <w:bodyDiv w:val="1"/>
      <w:marLeft w:val="0"/>
      <w:marRight w:val="0"/>
      <w:marTop w:val="0"/>
      <w:marBottom w:val="0"/>
      <w:divBdr>
        <w:top w:val="none" w:sz="0" w:space="0" w:color="auto"/>
        <w:left w:val="none" w:sz="0" w:space="0" w:color="auto"/>
        <w:bottom w:val="none" w:sz="0" w:space="0" w:color="auto"/>
        <w:right w:val="none" w:sz="0" w:space="0" w:color="auto"/>
      </w:divBdr>
    </w:div>
    <w:div w:id="99448492">
      <w:bodyDiv w:val="1"/>
      <w:marLeft w:val="0"/>
      <w:marRight w:val="0"/>
      <w:marTop w:val="0"/>
      <w:marBottom w:val="0"/>
      <w:divBdr>
        <w:top w:val="none" w:sz="0" w:space="0" w:color="auto"/>
        <w:left w:val="none" w:sz="0" w:space="0" w:color="auto"/>
        <w:bottom w:val="none" w:sz="0" w:space="0" w:color="auto"/>
        <w:right w:val="none" w:sz="0" w:space="0" w:color="auto"/>
      </w:divBdr>
    </w:div>
    <w:div w:id="99615737">
      <w:bodyDiv w:val="1"/>
      <w:marLeft w:val="0"/>
      <w:marRight w:val="0"/>
      <w:marTop w:val="0"/>
      <w:marBottom w:val="0"/>
      <w:divBdr>
        <w:top w:val="none" w:sz="0" w:space="0" w:color="auto"/>
        <w:left w:val="none" w:sz="0" w:space="0" w:color="auto"/>
        <w:bottom w:val="none" w:sz="0" w:space="0" w:color="auto"/>
        <w:right w:val="none" w:sz="0" w:space="0" w:color="auto"/>
      </w:divBdr>
    </w:div>
    <w:div w:id="99645056">
      <w:bodyDiv w:val="1"/>
      <w:marLeft w:val="0"/>
      <w:marRight w:val="0"/>
      <w:marTop w:val="0"/>
      <w:marBottom w:val="0"/>
      <w:divBdr>
        <w:top w:val="none" w:sz="0" w:space="0" w:color="auto"/>
        <w:left w:val="none" w:sz="0" w:space="0" w:color="auto"/>
        <w:bottom w:val="none" w:sz="0" w:space="0" w:color="auto"/>
        <w:right w:val="none" w:sz="0" w:space="0" w:color="auto"/>
      </w:divBdr>
    </w:div>
    <w:div w:id="99834508">
      <w:bodyDiv w:val="1"/>
      <w:marLeft w:val="0"/>
      <w:marRight w:val="0"/>
      <w:marTop w:val="0"/>
      <w:marBottom w:val="0"/>
      <w:divBdr>
        <w:top w:val="none" w:sz="0" w:space="0" w:color="auto"/>
        <w:left w:val="none" w:sz="0" w:space="0" w:color="auto"/>
        <w:bottom w:val="none" w:sz="0" w:space="0" w:color="auto"/>
        <w:right w:val="none" w:sz="0" w:space="0" w:color="auto"/>
      </w:divBdr>
    </w:div>
    <w:div w:id="99880605">
      <w:bodyDiv w:val="1"/>
      <w:marLeft w:val="0"/>
      <w:marRight w:val="0"/>
      <w:marTop w:val="0"/>
      <w:marBottom w:val="0"/>
      <w:divBdr>
        <w:top w:val="none" w:sz="0" w:space="0" w:color="auto"/>
        <w:left w:val="none" w:sz="0" w:space="0" w:color="auto"/>
        <w:bottom w:val="none" w:sz="0" w:space="0" w:color="auto"/>
        <w:right w:val="none" w:sz="0" w:space="0" w:color="auto"/>
      </w:divBdr>
    </w:div>
    <w:div w:id="100027301">
      <w:bodyDiv w:val="1"/>
      <w:marLeft w:val="0"/>
      <w:marRight w:val="0"/>
      <w:marTop w:val="0"/>
      <w:marBottom w:val="0"/>
      <w:divBdr>
        <w:top w:val="none" w:sz="0" w:space="0" w:color="auto"/>
        <w:left w:val="none" w:sz="0" w:space="0" w:color="auto"/>
        <w:bottom w:val="none" w:sz="0" w:space="0" w:color="auto"/>
        <w:right w:val="none" w:sz="0" w:space="0" w:color="auto"/>
      </w:divBdr>
    </w:div>
    <w:div w:id="100034047">
      <w:bodyDiv w:val="1"/>
      <w:marLeft w:val="0"/>
      <w:marRight w:val="0"/>
      <w:marTop w:val="0"/>
      <w:marBottom w:val="0"/>
      <w:divBdr>
        <w:top w:val="none" w:sz="0" w:space="0" w:color="auto"/>
        <w:left w:val="none" w:sz="0" w:space="0" w:color="auto"/>
        <w:bottom w:val="none" w:sz="0" w:space="0" w:color="auto"/>
        <w:right w:val="none" w:sz="0" w:space="0" w:color="auto"/>
      </w:divBdr>
    </w:div>
    <w:div w:id="100105327">
      <w:bodyDiv w:val="1"/>
      <w:marLeft w:val="0"/>
      <w:marRight w:val="0"/>
      <w:marTop w:val="0"/>
      <w:marBottom w:val="0"/>
      <w:divBdr>
        <w:top w:val="none" w:sz="0" w:space="0" w:color="auto"/>
        <w:left w:val="none" w:sz="0" w:space="0" w:color="auto"/>
        <w:bottom w:val="none" w:sz="0" w:space="0" w:color="auto"/>
        <w:right w:val="none" w:sz="0" w:space="0" w:color="auto"/>
      </w:divBdr>
    </w:div>
    <w:div w:id="100105656">
      <w:bodyDiv w:val="1"/>
      <w:marLeft w:val="0"/>
      <w:marRight w:val="0"/>
      <w:marTop w:val="0"/>
      <w:marBottom w:val="0"/>
      <w:divBdr>
        <w:top w:val="none" w:sz="0" w:space="0" w:color="auto"/>
        <w:left w:val="none" w:sz="0" w:space="0" w:color="auto"/>
        <w:bottom w:val="none" w:sz="0" w:space="0" w:color="auto"/>
        <w:right w:val="none" w:sz="0" w:space="0" w:color="auto"/>
      </w:divBdr>
    </w:div>
    <w:div w:id="100149682">
      <w:bodyDiv w:val="1"/>
      <w:marLeft w:val="0"/>
      <w:marRight w:val="0"/>
      <w:marTop w:val="0"/>
      <w:marBottom w:val="0"/>
      <w:divBdr>
        <w:top w:val="none" w:sz="0" w:space="0" w:color="auto"/>
        <w:left w:val="none" w:sz="0" w:space="0" w:color="auto"/>
        <w:bottom w:val="none" w:sz="0" w:space="0" w:color="auto"/>
        <w:right w:val="none" w:sz="0" w:space="0" w:color="auto"/>
      </w:divBdr>
    </w:div>
    <w:div w:id="100222317">
      <w:bodyDiv w:val="1"/>
      <w:marLeft w:val="0"/>
      <w:marRight w:val="0"/>
      <w:marTop w:val="0"/>
      <w:marBottom w:val="0"/>
      <w:divBdr>
        <w:top w:val="none" w:sz="0" w:space="0" w:color="auto"/>
        <w:left w:val="none" w:sz="0" w:space="0" w:color="auto"/>
        <w:bottom w:val="none" w:sz="0" w:space="0" w:color="auto"/>
        <w:right w:val="none" w:sz="0" w:space="0" w:color="auto"/>
      </w:divBdr>
    </w:div>
    <w:div w:id="100226047">
      <w:bodyDiv w:val="1"/>
      <w:marLeft w:val="0"/>
      <w:marRight w:val="0"/>
      <w:marTop w:val="0"/>
      <w:marBottom w:val="0"/>
      <w:divBdr>
        <w:top w:val="none" w:sz="0" w:space="0" w:color="auto"/>
        <w:left w:val="none" w:sz="0" w:space="0" w:color="auto"/>
        <w:bottom w:val="none" w:sz="0" w:space="0" w:color="auto"/>
        <w:right w:val="none" w:sz="0" w:space="0" w:color="auto"/>
      </w:divBdr>
    </w:div>
    <w:div w:id="100227849">
      <w:bodyDiv w:val="1"/>
      <w:marLeft w:val="0"/>
      <w:marRight w:val="0"/>
      <w:marTop w:val="0"/>
      <w:marBottom w:val="0"/>
      <w:divBdr>
        <w:top w:val="none" w:sz="0" w:space="0" w:color="auto"/>
        <w:left w:val="none" w:sz="0" w:space="0" w:color="auto"/>
        <w:bottom w:val="none" w:sz="0" w:space="0" w:color="auto"/>
        <w:right w:val="none" w:sz="0" w:space="0" w:color="auto"/>
      </w:divBdr>
    </w:div>
    <w:div w:id="100418459">
      <w:bodyDiv w:val="1"/>
      <w:marLeft w:val="0"/>
      <w:marRight w:val="0"/>
      <w:marTop w:val="0"/>
      <w:marBottom w:val="0"/>
      <w:divBdr>
        <w:top w:val="none" w:sz="0" w:space="0" w:color="auto"/>
        <w:left w:val="none" w:sz="0" w:space="0" w:color="auto"/>
        <w:bottom w:val="none" w:sz="0" w:space="0" w:color="auto"/>
        <w:right w:val="none" w:sz="0" w:space="0" w:color="auto"/>
      </w:divBdr>
    </w:div>
    <w:div w:id="100536197">
      <w:bodyDiv w:val="1"/>
      <w:marLeft w:val="0"/>
      <w:marRight w:val="0"/>
      <w:marTop w:val="0"/>
      <w:marBottom w:val="0"/>
      <w:divBdr>
        <w:top w:val="none" w:sz="0" w:space="0" w:color="auto"/>
        <w:left w:val="none" w:sz="0" w:space="0" w:color="auto"/>
        <w:bottom w:val="none" w:sz="0" w:space="0" w:color="auto"/>
        <w:right w:val="none" w:sz="0" w:space="0" w:color="auto"/>
      </w:divBdr>
    </w:div>
    <w:div w:id="100732252">
      <w:bodyDiv w:val="1"/>
      <w:marLeft w:val="0"/>
      <w:marRight w:val="0"/>
      <w:marTop w:val="0"/>
      <w:marBottom w:val="0"/>
      <w:divBdr>
        <w:top w:val="none" w:sz="0" w:space="0" w:color="auto"/>
        <w:left w:val="none" w:sz="0" w:space="0" w:color="auto"/>
        <w:bottom w:val="none" w:sz="0" w:space="0" w:color="auto"/>
        <w:right w:val="none" w:sz="0" w:space="0" w:color="auto"/>
      </w:divBdr>
    </w:div>
    <w:div w:id="100808614">
      <w:bodyDiv w:val="1"/>
      <w:marLeft w:val="0"/>
      <w:marRight w:val="0"/>
      <w:marTop w:val="0"/>
      <w:marBottom w:val="0"/>
      <w:divBdr>
        <w:top w:val="none" w:sz="0" w:space="0" w:color="auto"/>
        <w:left w:val="none" w:sz="0" w:space="0" w:color="auto"/>
        <w:bottom w:val="none" w:sz="0" w:space="0" w:color="auto"/>
        <w:right w:val="none" w:sz="0" w:space="0" w:color="auto"/>
      </w:divBdr>
    </w:div>
    <w:div w:id="100877610">
      <w:bodyDiv w:val="1"/>
      <w:marLeft w:val="0"/>
      <w:marRight w:val="0"/>
      <w:marTop w:val="0"/>
      <w:marBottom w:val="0"/>
      <w:divBdr>
        <w:top w:val="none" w:sz="0" w:space="0" w:color="auto"/>
        <w:left w:val="none" w:sz="0" w:space="0" w:color="auto"/>
        <w:bottom w:val="none" w:sz="0" w:space="0" w:color="auto"/>
        <w:right w:val="none" w:sz="0" w:space="0" w:color="auto"/>
      </w:divBdr>
    </w:div>
    <w:div w:id="100925502">
      <w:bodyDiv w:val="1"/>
      <w:marLeft w:val="0"/>
      <w:marRight w:val="0"/>
      <w:marTop w:val="0"/>
      <w:marBottom w:val="0"/>
      <w:divBdr>
        <w:top w:val="none" w:sz="0" w:space="0" w:color="auto"/>
        <w:left w:val="none" w:sz="0" w:space="0" w:color="auto"/>
        <w:bottom w:val="none" w:sz="0" w:space="0" w:color="auto"/>
        <w:right w:val="none" w:sz="0" w:space="0" w:color="auto"/>
      </w:divBdr>
    </w:div>
    <w:div w:id="101069172">
      <w:bodyDiv w:val="1"/>
      <w:marLeft w:val="0"/>
      <w:marRight w:val="0"/>
      <w:marTop w:val="0"/>
      <w:marBottom w:val="0"/>
      <w:divBdr>
        <w:top w:val="none" w:sz="0" w:space="0" w:color="auto"/>
        <w:left w:val="none" w:sz="0" w:space="0" w:color="auto"/>
        <w:bottom w:val="none" w:sz="0" w:space="0" w:color="auto"/>
        <w:right w:val="none" w:sz="0" w:space="0" w:color="auto"/>
      </w:divBdr>
    </w:div>
    <w:div w:id="101191636">
      <w:bodyDiv w:val="1"/>
      <w:marLeft w:val="0"/>
      <w:marRight w:val="0"/>
      <w:marTop w:val="0"/>
      <w:marBottom w:val="0"/>
      <w:divBdr>
        <w:top w:val="none" w:sz="0" w:space="0" w:color="auto"/>
        <w:left w:val="none" w:sz="0" w:space="0" w:color="auto"/>
        <w:bottom w:val="none" w:sz="0" w:space="0" w:color="auto"/>
        <w:right w:val="none" w:sz="0" w:space="0" w:color="auto"/>
      </w:divBdr>
    </w:div>
    <w:div w:id="101339007">
      <w:bodyDiv w:val="1"/>
      <w:marLeft w:val="0"/>
      <w:marRight w:val="0"/>
      <w:marTop w:val="0"/>
      <w:marBottom w:val="0"/>
      <w:divBdr>
        <w:top w:val="none" w:sz="0" w:space="0" w:color="auto"/>
        <w:left w:val="none" w:sz="0" w:space="0" w:color="auto"/>
        <w:bottom w:val="none" w:sz="0" w:space="0" w:color="auto"/>
        <w:right w:val="none" w:sz="0" w:space="0" w:color="auto"/>
      </w:divBdr>
    </w:div>
    <w:div w:id="101384581">
      <w:bodyDiv w:val="1"/>
      <w:marLeft w:val="0"/>
      <w:marRight w:val="0"/>
      <w:marTop w:val="0"/>
      <w:marBottom w:val="0"/>
      <w:divBdr>
        <w:top w:val="none" w:sz="0" w:space="0" w:color="auto"/>
        <w:left w:val="none" w:sz="0" w:space="0" w:color="auto"/>
        <w:bottom w:val="none" w:sz="0" w:space="0" w:color="auto"/>
        <w:right w:val="none" w:sz="0" w:space="0" w:color="auto"/>
      </w:divBdr>
    </w:div>
    <w:div w:id="101613214">
      <w:bodyDiv w:val="1"/>
      <w:marLeft w:val="0"/>
      <w:marRight w:val="0"/>
      <w:marTop w:val="0"/>
      <w:marBottom w:val="0"/>
      <w:divBdr>
        <w:top w:val="none" w:sz="0" w:space="0" w:color="auto"/>
        <w:left w:val="none" w:sz="0" w:space="0" w:color="auto"/>
        <w:bottom w:val="none" w:sz="0" w:space="0" w:color="auto"/>
        <w:right w:val="none" w:sz="0" w:space="0" w:color="auto"/>
      </w:divBdr>
    </w:div>
    <w:div w:id="101732687">
      <w:bodyDiv w:val="1"/>
      <w:marLeft w:val="0"/>
      <w:marRight w:val="0"/>
      <w:marTop w:val="0"/>
      <w:marBottom w:val="0"/>
      <w:divBdr>
        <w:top w:val="none" w:sz="0" w:space="0" w:color="auto"/>
        <w:left w:val="none" w:sz="0" w:space="0" w:color="auto"/>
        <w:bottom w:val="none" w:sz="0" w:space="0" w:color="auto"/>
        <w:right w:val="none" w:sz="0" w:space="0" w:color="auto"/>
      </w:divBdr>
    </w:div>
    <w:div w:id="101800068">
      <w:bodyDiv w:val="1"/>
      <w:marLeft w:val="0"/>
      <w:marRight w:val="0"/>
      <w:marTop w:val="0"/>
      <w:marBottom w:val="0"/>
      <w:divBdr>
        <w:top w:val="none" w:sz="0" w:space="0" w:color="auto"/>
        <w:left w:val="none" w:sz="0" w:space="0" w:color="auto"/>
        <w:bottom w:val="none" w:sz="0" w:space="0" w:color="auto"/>
        <w:right w:val="none" w:sz="0" w:space="0" w:color="auto"/>
      </w:divBdr>
    </w:div>
    <w:div w:id="101808411">
      <w:bodyDiv w:val="1"/>
      <w:marLeft w:val="0"/>
      <w:marRight w:val="0"/>
      <w:marTop w:val="0"/>
      <w:marBottom w:val="0"/>
      <w:divBdr>
        <w:top w:val="none" w:sz="0" w:space="0" w:color="auto"/>
        <w:left w:val="none" w:sz="0" w:space="0" w:color="auto"/>
        <w:bottom w:val="none" w:sz="0" w:space="0" w:color="auto"/>
        <w:right w:val="none" w:sz="0" w:space="0" w:color="auto"/>
      </w:divBdr>
    </w:div>
    <w:div w:id="102044604">
      <w:bodyDiv w:val="1"/>
      <w:marLeft w:val="0"/>
      <w:marRight w:val="0"/>
      <w:marTop w:val="0"/>
      <w:marBottom w:val="0"/>
      <w:divBdr>
        <w:top w:val="none" w:sz="0" w:space="0" w:color="auto"/>
        <w:left w:val="none" w:sz="0" w:space="0" w:color="auto"/>
        <w:bottom w:val="none" w:sz="0" w:space="0" w:color="auto"/>
        <w:right w:val="none" w:sz="0" w:space="0" w:color="auto"/>
      </w:divBdr>
    </w:div>
    <w:div w:id="102263251">
      <w:bodyDiv w:val="1"/>
      <w:marLeft w:val="0"/>
      <w:marRight w:val="0"/>
      <w:marTop w:val="0"/>
      <w:marBottom w:val="0"/>
      <w:divBdr>
        <w:top w:val="none" w:sz="0" w:space="0" w:color="auto"/>
        <w:left w:val="none" w:sz="0" w:space="0" w:color="auto"/>
        <w:bottom w:val="none" w:sz="0" w:space="0" w:color="auto"/>
        <w:right w:val="none" w:sz="0" w:space="0" w:color="auto"/>
      </w:divBdr>
    </w:div>
    <w:div w:id="102456426">
      <w:bodyDiv w:val="1"/>
      <w:marLeft w:val="0"/>
      <w:marRight w:val="0"/>
      <w:marTop w:val="0"/>
      <w:marBottom w:val="0"/>
      <w:divBdr>
        <w:top w:val="none" w:sz="0" w:space="0" w:color="auto"/>
        <w:left w:val="none" w:sz="0" w:space="0" w:color="auto"/>
        <w:bottom w:val="none" w:sz="0" w:space="0" w:color="auto"/>
        <w:right w:val="none" w:sz="0" w:space="0" w:color="auto"/>
      </w:divBdr>
    </w:div>
    <w:div w:id="102462179">
      <w:bodyDiv w:val="1"/>
      <w:marLeft w:val="0"/>
      <w:marRight w:val="0"/>
      <w:marTop w:val="0"/>
      <w:marBottom w:val="0"/>
      <w:divBdr>
        <w:top w:val="none" w:sz="0" w:space="0" w:color="auto"/>
        <w:left w:val="none" w:sz="0" w:space="0" w:color="auto"/>
        <w:bottom w:val="none" w:sz="0" w:space="0" w:color="auto"/>
        <w:right w:val="none" w:sz="0" w:space="0" w:color="auto"/>
      </w:divBdr>
    </w:div>
    <w:div w:id="102502216">
      <w:bodyDiv w:val="1"/>
      <w:marLeft w:val="0"/>
      <w:marRight w:val="0"/>
      <w:marTop w:val="0"/>
      <w:marBottom w:val="0"/>
      <w:divBdr>
        <w:top w:val="none" w:sz="0" w:space="0" w:color="auto"/>
        <w:left w:val="none" w:sz="0" w:space="0" w:color="auto"/>
        <w:bottom w:val="none" w:sz="0" w:space="0" w:color="auto"/>
        <w:right w:val="none" w:sz="0" w:space="0" w:color="auto"/>
      </w:divBdr>
    </w:div>
    <w:div w:id="102649552">
      <w:bodyDiv w:val="1"/>
      <w:marLeft w:val="0"/>
      <w:marRight w:val="0"/>
      <w:marTop w:val="0"/>
      <w:marBottom w:val="0"/>
      <w:divBdr>
        <w:top w:val="none" w:sz="0" w:space="0" w:color="auto"/>
        <w:left w:val="none" w:sz="0" w:space="0" w:color="auto"/>
        <w:bottom w:val="none" w:sz="0" w:space="0" w:color="auto"/>
        <w:right w:val="none" w:sz="0" w:space="0" w:color="auto"/>
      </w:divBdr>
    </w:div>
    <w:div w:id="102769948">
      <w:bodyDiv w:val="1"/>
      <w:marLeft w:val="0"/>
      <w:marRight w:val="0"/>
      <w:marTop w:val="0"/>
      <w:marBottom w:val="0"/>
      <w:divBdr>
        <w:top w:val="none" w:sz="0" w:space="0" w:color="auto"/>
        <w:left w:val="none" w:sz="0" w:space="0" w:color="auto"/>
        <w:bottom w:val="none" w:sz="0" w:space="0" w:color="auto"/>
        <w:right w:val="none" w:sz="0" w:space="0" w:color="auto"/>
      </w:divBdr>
    </w:div>
    <w:div w:id="102772189">
      <w:bodyDiv w:val="1"/>
      <w:marLeft w:val="0"/>
      <w:marRight w:val="0"/>
      <w:marTop w:val="0"/>
      <w:marBottom w:val="0"/>
      <w:divBdr>
        <w:top w:val="none" w:sz="0" w:space="0" w:color="auto"/>
        <w:left w:val="none" w:sz="0" w:space="0" w:color="auto"/>
        <w:bottom w:val="none" w:sz="0" w:space="0" w:color="auto"/>
        <w:right w:val="none" w:sz="0" w:space="0" w:color="auto"/>
      </w:divBdr>
    </w:div>
    <w:div w:id="102967593">
      <w:bodyDiv w:val="1"/>
      <w:marLeft w:val="0"/>
      <w:marRight w:val="0"/>
      <w:marTop w:val="0"/>
      <w:marBottom w:val="0"/>
      <w:divBdr>
        <w:top w:val="none" w:sz="0" w:space="0" w:color="auto"/>
        <w:left w:val="none" w:sz="0" w:space="0" w:color="auto"/>
        <w:bottom w:val="none" w:sz="0" w:space="0" w:color="auto"/>
        <w:right w:val="none" w:sz="0" w:space="0" w:color="auto"/>
      </w:divBdr>
    </w:div>
    <w:div w:id="103039022">
      <w:bodyDiv w:val="1"/>
      <w:marLeft w:val="0"/>
      <w:marRight w:val="0"/>
      <w:marTop w:val="0"/>
      <w:marBottom w:val="0"/>
      <w:divBdr>
        <w:top w:val="none" w:sz="0" w:space="0" w:color="auto"/>
        <w:left w:val="none" w:sz="0" w:space="0" w:color="auto"/>
        <w:bottom w:val="none" w:sz="0" w:space="0" w:color="auto"/>
        <w:right w:val="none" w:sz="0" w:space="0" w:color="auto"/>
      </w:divBdr>
    </w:div>
    <w:div w:id="103041246">
      <w:bodyDiv w:val="1"/>
      <w:marLeft w:val="0"/>
      <w:marRight w:val="0"/>
      <w:marTop w:val="0"/>
      <w:marBottom w:val="0"/>
      <w:divBdr>
        <w:top w:val="none" w:sz="0" w:space="0" w:color="auto"/>
        <w:left w:val="none" w:sz="0" w:space="0" w:color="auto"/>
        <w:bottom w:val="none" w:sz="0" w:space="0" w:color="auto"/>
        <w:right w:val="none" w:sz="0" w:space="0" w:color="auto"/>
      </w:divBdr>
    </w:div>
    <w:div w:id="103114252">
      <w:bodyDiv w:val="1"/>
      <w:marLeft w:val="0"/>
      <w:marRight w:val="0"/>
      <w:marTop w:val="0"/>
      <w:marBottom w:val="0"/>
      <w:divBdr>
        <w:top w:val="none" w:sz="0" w:space="0" w:color="auto"/>
        <w:left w:val="none" w:sz="0" w:space="0" w:color="auto"/>
        <w:bottom w:val="none" w:sz="0" w:space="0" w:color="auto"/>
        <w:right w:val="none" w:sz="0" w:space="0" w:color="auto"/>
      </w:divBdr>
    </w:div>
    <w:div w:id="103159457">
      <w:bodyDiv w:val="1"/>
      <w:marLeft w:val="0"/>
      <w:marRight w:val="0"/>
      <w:marTop w:val="0"/>
      <w:marBottom w:val="0"/>
      <w:divBdr>
        <w:top w:val="none" w:sz="0" w:space="0" w:color="auto"/>
        <w:left w:val="none" w:sz="0" w:space="0" w:color="auto"/>
        <w:bottom w:val="none" w:sz="0" w:space="0" w:color="auto"/>
        <w:right w:val="none" w:sz="0" w:space="0" w:color="auto"/>
      </w:divBdr>
    </w:div>
    <w:div w:id="103234821">
      <w:bodyDiv w:val="1"/>
      <w:marLeft w:val="0"/>
      <w:marRight w:val="0"/>
      <w:marTop w:val="0"/>
      <w:marBottom w:val="0"/>
      <w:divBdr>
        <w:top w:val="none" w:sz="0" w:space="0" w:color="auto"/>
        <w:left w:val="none" w:sz="0" w:space="0" w:color="auto"/>
        <w:bottom w:val="none" w:sz="0" w:space="0" w:color="auto"/>
        <w:right w:val="none" w:sz="0" w:space="0" w:color="auto"/>
      </w:divBdr>
    </w:div>
    <w:div w:id="103308356">
      <w:bodyDiv w:val="1"/>
      <w:marLeft w:val="0"/>
      <w:marRight w:val="0"/>
      <w:marTop w:val="0"/>
      <w:marBottom w:val="0"/>
      <w:divBdr>
        <w:top w:val="none" w:sz="0" w:space="0" w:color="auto"/>
        <w:left w:val="none" w:sz="0" w:space="0" w:color="auto"/>
        <w:bottom w:val="none" w:sz="0" w:space="0" w:color="auto"/>
        <w:right w:val="none" w:sz="0" w:space="0" w:color="auto"/>
      </w:divBdr>
    </w:div>
    <w:div w:id="103503830">
      <w:bodyDiv w:val="1"/>
      <w:marLeft w:val="0"/>
      <w:marRight w:val="0"/>
      <w:marTop w:val="0"/>
      <w:marBottom w:val="0"/>
      <w:divBdr>
        <w:top w:val="none" w:sz="0" w:space="0" w:color="auto"/>
        <w:left w:val="none" w:sz="0" w:space="0" w:color="auto"/>
        <w:bottom w:val="none" w:sz="0" w:space="0" w:color="auto"/>
        <w:right w:val="none" w:sz="0" w:space="0" w:color="auto"/>
      </w:divBdr>
    </w:div>
    <w:div w:id="103506064">
      <w:bodyDiv w:val="1"/>
      <w:marLeft w:val="0"/>
      <w:marRight w:val="0"/>
      <w:marTop w:val="0"/>
      <w:marBottom w:val="0"/>
      <w:divBdr>
        <w:top w:val="none" w:sz="0" w:space="0" w:color="auto"/>
        <w:left w:val="none" w:sz="0" w:space="0" w:color="auto"/>
        <w:bottom w:val="none" w:sz="0" w:space="0" w:color="auto"/>
        <w:right w:val="none" w:sz="0" w:space="0" w:color="auto"/>
      </w:divBdr>
    </w:div>
    <w:div w:id="103616588">
      <w:bodyDiv w:val="1"/>
      <w:marLeft w:val="0"/>
      <w:marRight w:val="0"/>
      <w:marTop w:val="0"/>
      <w:marBottom w:val="0"/>
      <w:divBdr>
        <w:top w:val="none" w:sz="0" w:space="0" w:color="auto"/>
        <w:left w:val="none" w:sz="0" w:space="0" w:color="auto"/>
        <w:bottom w:val="none" w:sz="0" w:space="0" w:color="auto"/>
        <w:right w:val="none" w:sz="0" w:space="0" w:color="auto"/>
      </w:divBdr>
    </w:div>
    <w:div w:id="103619273">
      <w:bodyDiv w:val="1"/>
      <w:marLeft w:val="0"/>
      <w:marRight w:val="0"/>
      <w:marTop w:val="0"/>
      <w:marBottom w:val="0"/>
      <w:divBdr>
        <w:top w:val="none" w:sz="0" w:space="0" w:color="auto"/>
        <w:left w:val="none" w:sz="0" w:space="0" w:color="auto"/>
        <w:bottom w:val="none" w:sz="0" w:space="0" w:color="auto"/>
        <w:right w:val="none" w:sz="0" w:space="0" w:color="auto"/>
      </w:divBdr>
    </w:div>
    <w:div w:id="104084252">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4467434">
      <w:bodyDiv w:val="1"/>
      <w:marLeft w:val="0"/>
      <w:marRight w:val="0"/>
      <w:marTop w:val="0"/>
      <w:marBottom w:val="0"/>
      <w:divBdr>
        <w:top w:val="none" w:sz="0" w:space="0" w:color="auto"/>
        <w:left w:val="none" w:sz="0" w:space="0" w:color="auto"/>
        <w:bottom w:val="none" w:sz="0" w:space="0" w:color="auto"/>
        <w:right w:val="none" w:sz="0" w:space="0" w:color="auto"/>
      </w:divBdr>
    </w:div>
    <w:div w:id="104468277">
      <w:bodyDiv w:val="1"/>
      <w:marLeft w:val="0"/>
      <w:marRight w:val="0"/>
      <w:marTop w:val="0"/>
      <w:marBottom w:val="0"/>
      <w:divBdr>
        <w:top w:val="none" w:sz="0" w:space="0" w:color="auto"/>
        <w:left w:val="none" w:sz="0" w:space="0" w:color="auto"/>
        <w:bottom w:val="none" w:sz="0" w:space="0" w:color="auto"/>
        <w:right w:val="none" w:sz="0" w:space="0" w:color="auto"/>
      </w:divBdr>
    </w:div>
    <w:div w:id="104472563">
      <w:bodyDiv w:val="1"/>
      <w:marLeft w:val="0"/>
      <w:marRight w:val="0"/>
      <w:marTop w:val="0"/>
      <w:marBottom w:val="0"/>
      <w:divBdr>
        <w:top w:val="none" w:sz="0" w:space="0" w:color="auto"/>
        <w:left w:val="none" w:sz="0" w:space="0" w:color="auto"/>
        <w:bottom w:val="none" w:sz="0" w:space="0" w:color="auto"/>
        <w:right w:val="none" w:sz="0" w:space="0" w:color="auto"/>
      </w:divBdr>
    </w:div>
    <w:div w:id="104690476">
      <w:bodyDiv w:val="1"/>
      <w:marLeft w:val="0"/>
      <w:marRight w:val="0"/>
      <w:marTop w:val="0"/>
      <w:marBottom w:val="0"/>
      <w:divBdr>
        <w:top w:val="none" w:sz="0" w:space="0" w:color="auto"/>
        <w:left w:val="none" w:sz="0" w:space="0" w:color="auto"/>
        <w:bottom w:val="none" w:sz="0" w:space="0" w:color="auto"/>
        <w:right w:val="none" w:sz="0" w:space="0" w:color="auto"/>
      </w:divBdr>
    </w:div>
    <w:div w:id="104733327">
      <w:bodyDiv w:val="1"/>
      <w:marLeft w:val="0"/>
      <w:marRight w:val="0"/>
      <w:marTop w:val="0"/>
      <w:marBottom w:val="0"/>
      <w:divBdr>
        <w:top w:val="none" w:sz="0" w:space="0" w:color="auto"/>
        <w:left w:val="none" w:sz="0" w:space="0" w:color="auto"/>
        <w:bottom w:val="none" w:sz="0" w:space="0" w:color="auto"/>
        <w:right w:val="none" w:sz="0" w:space="0" w:color="auto"/>
      </w:divBdr>
    </w:div>
    <w:div w:id="104889256">
      <w:bodyDiv w:val="1"/>
      <w:marLeft w:val="0"/>
      <w:marRight w:val="0"/>
      <w:marTop w:val="0"/>
      <w:marBottom w:val="0"/>
      <w:divBdr>
        <w:top w:val="none" w:sz="0" w:space="0" w:color="auto"/>
        <w:left w:val="none" w:sz="0" w:space="0" w:color="auto"/>
        <w:bottom w:val="none" w:sz="0" w:space="0" w:color="auto"/>
        <w:right w:val="none" w:sz="0" w:space="0" w:color="auto"/>
      </w:divBdr>
    </w:div>
    <w:div w:id="105200863">
      <w:bodyDiv w:val="1"/>
      <w:marLeft w:val="0"/>
      <w:marRight w:val="0"/>
      <w:marTop w:val="0"/>
      <w:marBottom w:val="0"/>
      <w:divBdr>
        <w:top w:val="none" w:sz="0" w:space="0" w:color="auto"/>
        <w:left w:val="none" w:sz="0" w:space="0" w:color="auto"/>
        <w:bottom w:val="none" w:sz="0" w:space="0" w:color="auto"/>
        <w:right w:val="none" w:sz="0" w:space="0" w:color="auto"/>
      </w:divBdr>
    </w:div>
    <w:div w:id="105320120">
      <w:bodyDiv w:val="1"/>
      <w:marLeft w:val="0"/>
      <w:marRight w:val="0"/>
      <w:marTop w:val="0"/>
      <w:marBottom w:val="0"/>
      <w:divBdr>
        <w:top w:val="none" w:sz="0" w:space="0" w:color="auto"/>
        <w:left w:val="none" w:sz="0" w:space="0" w:color="auto"/>
        <w:bottom w:val="none" w:sz="0" w:space="0" w:color="auto"/>
        <w:right w:val="none" w:sz="0" w:space="0" w:color="auto"/>
      </w:divBdr>
    </w:div>
    <w:div w:id="105346734">
      <w:bodyDiv w:val="1"/>
      <w:marLeft w:val="0"/>
      <w:marRight w:val="0"/>
      <w:marTop w:val="0"/>
      <w:marBottom w:val="0"/>
      <w:divBdr>
        <w:top w:val="none" w:sz="0" w:space="0" w:color="auto"/>
        <w:left w:val="none" w:sz="0" w:space="0" w:color="auto"/>
        <w:bottom w:val="none" w:sz="0" w:space="0" w:color="auto"/>
        <w:right w:val="none" w:sz="0" w:space="0" w:color="auto"/>
      </w:divBdr>
    </w:div>
    <w:div w:id="105538168">
      <w:bodyDiv w:val="1"/>
      <w:marLeft w:val="0"/>
      <w:marRight w:val="0"/>
      <w:marTop w:val="0"/>
      <w:marBottom w:val="0"/>
      <w:divBdr>
        <w:top w:val="none" w:sz="0" w:space="0" w:color="auto"/>
        <w:left w:val="none" w:sz="0" w:space="0" w:color="auto"/>
        <w:bottom w:val="none" w:sz="0" w:space="0" w:color="auto"/>
        <w:right w:val="none" w:sz="0" w:space="0" w:color="auto"/>
      </w:divBdr>
    </w:div>
    <w:div w:id="105661355">
      <w:bodyDiv w:val="1"/>
      <w:marLeft w:val="0"/>
      <w:marRight w:val="0"/>
      <w:marTop w:val="0"/>
      <w:marBottom w:val="0"/>
      <w:divBdr>
        <w:top w:val="none" w:sz="0" w:space="0" w:color="auto"/>
        <w:left w:val="none" w:sz="0" w:space="0" w:color="auto"/>
        <w:bottom w:val="none" w:sz="0" w:space="0" w:color="auto"/>
        <w:right w:val="none" w:sz="0" w:space="0" w:color="auto"/>
      </w:divBdr>
    </w:div>
    <w:div w:id="105662372">
      <w:bodyDiv w:val="1"/>
      <w:marLeft w:val="0"/>
      <w:marRight w:val="0"/>
      <w:marTop w:val="0"/>
      <w:marBottom w:val="0"/>
      <w:divBdr>
        <w:top w:val="none" w:sz="0" w:space="0" w:color="auto"/>
        <w:left w:val="none" w:sz="0" w:space="0" w:color="auto"/>
        <w:bottom w:val="none" w:sz="0" w:space="0" w:color="auto"/>
        <w:right w:val="none" w:sz="0" w:space="0" w:color="auto"/>
      </w:divBdr>
    </w:div>
    <w:div w:id="105665355">
      <w:bodyDiv w:val="1"/>
      <w:marLeft w:val="0"/>
      <w:marRight w:val="0"/>
      <w:marTop w:val="0"/>
      <w:marBottom w:val="0"/>
      <w:divBdr>
        <w:top w:val="none" w:sz="0" w:space="0" w:color="auto"/>
        <w:left w:val="none" w:sz="0" w:space="0" w:color="auto"/>
        <w:bottom w:val="none" w:sz="0" w:space="0" w:color="auto"/>
        <w:right w:val="none" w:sz="0" w:space="0" w:color="auto"/>
      </w:divBdr>
    </w:div>
    <w:div w:id="105854797">
      <w:bodyDiv w:val="1"/>
      <w:marLeft w:val="0"/>
      <w:marRight w:val="0"/>
      <w:marTop w:val="0"/>
      <w:marBottom w:val="0"/>
      <w:divBdr>
        <w:top w:val="none" w:sz="0" w:space="0" w:color="auto"/>
        <w:left w:val="none" w:sz="0" w:space="0" w:color="auto"/>
        <w:bottom w:val="none" w:sz="0" w:space="0" w:color="auto"/>
        <w:right w:val="none" w:sz="0" w:space="0" w:color="auto"/>
      </w:divBdr>
    </w:div>
    <w:div w:id="105856935">
      <w:bodyDiv w:val="1"/>
      <w:marLeft w:val="0"/>
      <w:marRight w:val="0"/>
      <w:marTop w:val="0"/>
      <w:marBottom w:val="0"/>
      <w:divBdr>
        <w:top w:val="none" w:sz="0" w:space="0" w:color="auto"/>
        <w:left w:val="none" w:sz="0" w:space="0" w:color="auto"/>
        <w:bottom w:val="none" w:sz="0" w:space="0" w:color="auto"/>
        <w:right w:val="none" w:sz="0" w:space="0" w:color="auto"/>
      </w:divBdr>
    </w:div>
    <w:div w:id="105927759">
      <w:bodyDiv w:val="1"/>
      <w:marLeft w:val="0"/>
      <w:marRight w:val="0"/>
      <w:marTop w:val="0"/>
      <w:marBottom w:val="0"/>
      <w:divBdr>
        <w:top w:val="none" w:sz="0" w:space="0" w:color="auto"/>
        <w:left w:val="none" w:sz="0" w:space="0" w:color="auto"/>
        <w:bottom w:val="none" w:sz="0" w:space="0" w:color="auto"/>
        <w:right w:val="none" w:sz="0" w:space="0" w:color="auto"/>
      </w:divBdr>
    </w:div>
    <w:div w:id="105928295">
      <w:bodyDiv w:val="1"/>
      <w:marLeft w:val="0"/>
      <w:marRight w:val="0"/>
      <w:marTop w:val="0"/>
      <w:marBottom w:val="0"/>
      <w:divBdr>
        <w:top w:val="none" w:sz="0" w:space="0" w:color="auto"/>
        <w:left w:val="none" w:sz="0" w:space="0" w:color="auto"/>
        <w:bottom w:val="none" w:sz="0" w:space="0" w:color="auto"/>
        <w:right w:val="none" w:sz="0" w:space="0" w:color="auto"/>
      </w:divBdr>
    </w:div>
    <w:div w:id="105929180">
      <w:bodyDiv w:val="1"/>
      <w:marLeft w:val="0"/>
      <w:marRight w:val="0"/>
      <w:marTop w:val="0"/>
      <w:marBottom w:val="0"/>
      <w:divBdr>
        <w:top w:val="none" w:sz="0" w:space="0" w:color="auto"/>
        <w:left w:val="none" w:sz="0" w:space="0" w:color="auto"/>
        <w:bottom w:val="none" w:sz="0" w:space="0" w:color="auto"/>
        <w:right w:val="none" w:sz="0" w:space="0" w:color="auto"/>
      </w:divBdr>
    </w:div>
    <w:div w:id="106121732">
      <w:bodyDiv w:val="1"/>
      <w:marLeft w:val="0"/>
      <w:marRight w:val="0"/>
      <w:marTop w:val="0"/>
      <w:marBottom w:val="0"/>
      <w:divBdr>
        <w:top w:val="none" w:sz="0" w:space="0" w:color="auto"/>
        <w:left w:val="none" w:sz="0" w:space="0" w:color="auto"/>
        <w:bottom w:val="none" w:sz="0" w:space="0" w:color="auto"/>
        <w:right w:val="none" w:sz="0" w:space="0" w:color="auto"/>
      </w:divBdr>
    </w:div>
    <w:div w:id="106122630">
      <w:bodyDiv w:val="1"/>
      <w:marLeft w:val="0"/>
      <w:marRight w:val="0"/>
      <w:marTop w:val="0"/>
      <w:marBottom w:val="0"/>
      <w:divBdr>
        <w:top w:val="none" w:sz="0" w:space="0" w:color="auto"/>
        <w:left w:val="none" w:sz="0" w:space="0" w:color="auto"/>
        <w:bottom w:val="none" w:sz="0" w:space="0" w:color="auto"/>
        <w:right w:val="none" w:sz="0" w:space="0" w:color="auto"/>
      </w:divBdr>
    </w:div>
    <w:div w:id="106316004">
      <w:bodyDiv w:val="1"/>
      <w:marLeft w:val="0"/>
      <w:marRight w:val="0"/>
      <w:marTop w:val="0"/>
      <w:marBottom w:val="0"/>
      <w:divBdr>
        <w:top w:val="none" w:sz="0" w:space="0" w:color="auto"/>
        <w:left w:val="none" w:sz="0" w:space="0" w:color="auto"/>
        <w:bottom w:val="none" w:sz="0" w:space="0" w:color="auto"/>
        <w:right w:val="none" w:sz="0" w:space="0" w:color="auto"/>
      </w:divBdr>
    </w:div>
    <w:div w:id="106391199">
      <w:bodyDiv w:val="1"/>
      <w:marLeft w:val="0"/>
      <w:marRight w:val="0"/>
      <w:marTop w:val="0"/>
      <w:marBottom w:val="0"/>
      <w:divBdr>
        <w:top w:val="none" w:sz="0" w:space="0" w:color="auto"/>
        <w:left w:val="none" w:sz="0" w:space="0" w:color="auto"/>
        <w:bottom w:val="none" w:sz="0" w:space="0" w:color="auto"/>
        <w:right w:val="none" w:sz="0" w:space="0" w:color="auto"/>
      </w:divBdr>
    </w:div>
    <w:div w:id="106393094">
      <w:bodyDiv w:val="1"/>
      <w:marLeft w:val="0"/>
      <w:marRight w:val="0"/>
      <w:marTop w:val="0"/>
      <w:marBottom w:val="0"/>
      <w:divBdr>
        <w:top w:val="none" w:sz="0" w:space="0" w:color="auto"/>
        <w:left w:val="none" w:sz="0" w:space="0" w:color="auto"/>
        <w:bottom w:val="none" w:sz="0" w:space="0" w:color="auto"/>
        <w:right w:val="none" w:sz="0" w:space="0" w:color="auto"/>
      </w:divBdr>
    </w:div>
    <w:div w:id="106430985">
      <w:bodyDiv w:val="1"/>
      <w:marLeft w:val="0"/>
      <w:marRight w:val="0"/>
      <w:marTop w:val="0"/>
      <w:marBottom w:val="0"/>
      <w:divBdr>
        <w:top w:val="none" w:sz="0" w:space="0" w:color="auto"/>
        <w:left w:val="none" w:sz="0" w:space="0" w:color="auto"/>
        <w:bottom w:val="none" w:sz="0" w:space="0" w:color="auto"/>
        <w:right w:val="none" w:sz="0" w:space="0" w:color="auto"/>
      </w:divBdr>
    </w:div>
    <w:div w:id="106437383">
      <w:bodyDiv w:val="1"/>
      <w:marLeft w:val="0"/>
      <w:marRight w:val="0"/>
      <w:marTop w:val="0"/>
      <w:marBottom w:val="0"/>
      <w:divBdr>
        <w:top w:val="none" w:sz="0" w:space="0" w:color="auto"/>
        <w:left w:val="none" w:sz="0" w:space="0" w:color="auto"/>
        <w:bottom w:val="none" w:sz="0" w:space="0" w:color="auto"/>
        <w:right w:val="none" w:sz="0" w:space="0" w:color="auto"/>
      </w:divBdr>
    </w:div>
    <w:div w:id="106510346">
      <w:bodyDiv w:val="1"/>
      <w:marLeft w:val="0"/>
      <w:marRight w:val="0"/>
      <w:marTop w:val="0"/>
      <w:marBottom w:val="0"/>
      <w:divBdr>
        <w:top w:val="none" w:sz="0" w:space="0" w:color="auto"/>
        <w:left w:val="none" w:sz="0" w:space="0" w:color="auto"/>
        <w:bottom w:val="none" w:sz="0" w:space="0" w:color="auto"/>
        <w:right w:val="none" w:sz="0" w:space="0" w:color="auto"/>
      </w:divBdr>
    </w:div>
    <w:div w:id="106702085">
      <w:bodyDiv w:val="1"/>
      <w:marLeft w:val="0"/>
      <w:marRight w:val="0"/>
      <w:marTop w:val="0"/>
      <w:marBottom w:val="0"/>
      <w:divBdr>
        <w:top w:val="none" w:sz="0" w:space="0" w:color="auto"/>
        <w:left w:val="none" w:sz="0" w:space="0" w:color="auto"/>
        <w:bottom w:val="none" w:sz="0" w:space="0" w:color="auto"/>
        <w:right w:val="none" w:sz="0" w:space="0" w:color="auto"/>
      </w:divBdr>
    </w:div>
    <w:div w:id="106782079">
      <w:bodyDiv w:val="1"/>
      <w:marLeft w:val="0"/>
      <w:marRight w:val="0"/>
      <w:marTop w:val="0"/>
      <w:marBottom w:val="0"/>
      <w:divBdr>
        <w:top w:val="none" w:sz="0" w:space="0" w:color="auto"/>
        <w:left w:val="none" w:sz="0" w:space="0" w:color="auto"/>
        <w:bottom w:val="none" w:sz="0" w:space="0" w:color="auto"/>
        <w:right w:val="none" w:sz="0" w:space="0" w:color="auto"/>
      </w:divBdr>
    </w:div>
    <w:div w:id="106824134">
      <w:bodyDiv w:val="1"/>
      <w:marLeft w:val="0"/>
      <w:marRight w:val="0"/>
      <w:marTop w:val="0"/>
      <w:marBottom w:val="0"/>
      <w:divBdr>
        <w:top w:val="none" w:sz="0" w:space="0" w:color="auto"/>
        <w:left w:val="none" w:sz="0" w:space="0" w:color="auto"/>
        <w:bottom w:val="none" w:sz="0" w:space="0" w:color="auto"/>
        <w:right w:val="none" w:sz="0" w:space="0" w:color="auto"/>
      </w:divBdr>
    </w:div>
    <w:div w:id="106824688">
      <w:bodyDiv w:val="1"/>
      <w:marLeft w:val="0"/>
      <w:marRight w:val="0"/>
      <w:marTop w:val="0"/>
      <w:marBottom w:val="0"/>
      <w:divBdr>
        <w:top w:val="none" w:sz="0" w:space="0" w:color="auto"/>
        <w:left w:val="none" w:sz="0" w:space="0" w:color="auto"/>
        <w:bottom w:val="none" w:sz="0" w:space="0" w:color="auto"/>
        <w:right w:val="none" w:sz="0" w:space="0" w:color="auto"/>
      </w:divBdr>
    </w:div>
    <w:div w:id="106898004">
      <w:bodyDiv w:val="1"/>
      <w:marLeft w:val="0"/>
      <w:marRight w:val="0"/>
      <w:marTop w:val="0"/>
      <w:marBottom w:val="0"/>
      <w:divBdr>
        <w:top w:val="none" w:sz="0" w:space="0" w:color="auto"/>
        <w:left w:val="none" w:sz="0" w:space="0" w:color="auto"/>
        <w:bottom w:val="none" w:sz="0" w:space="0" w:color="auto"/>
        <w:right w:val="none" w:sz="0" w:space="0" w:color="auto"/>
      </w:divBdr>
    </w:div>
    <w:div w:id="107086772">
      <w:bodyDiv w:val="1"/>
      <w:marLeft w:val="0"/>
      <w:marRight w:val="0"/>
      <w:marTop w:val="0"/>
      <w:marBottom w:val="0"/>
      <w:divBdr>
        <w:top w:val="none" w:sz="0" w:space="0" w:color="auto"/>
        <w:left w:val="none" w:sz="0" w:space="0" w:color="auto"/>
        <w:bottom w:val="none" w:sz="0" w:space="0" w:color="auto"/>
        <w:right w:val="none" w:sz="0" w:space="0" w:color="auto"/>
      </w:divBdr>
    </w:div>
    <w:div w:id="107091417">
      <w:bodyDiv w:val="1"/>
      <w:marLeft w:val="0"/>
      <w:marRight w:val="0"/>
      <w:marTop w:val="0"/>
      <w:marBottom w:val="0"/>
      <w:divBdr>
        <w:top w:val="none" w:sz="0" w:space="0" w:color="auto"/>
        <w:left w:val="none" w:sz="0" w:space="0" w:color="auto"/>
        <w:bottom w:val="none" w:sz="0" w:space="0" w:color="auto"/>
        <w:right w:val="none" w:sz="0" w:space="0" w:color="auto"/>
      </w:divBdr>
    </w:div>
    <w:div w:id="107091843">
      <w:bodyDiv w:val="1"/>
      <w:marLeft w:val="0"/>
      <w:marRight w:val="0"/>
      <w:marTop w:val="0"/>
      <w:marBottom w:val="0"/>
      <w:divBdr>
        <w:top w:val="none" w:sz="0" w:space="0" w:color="auto"/>
        <w:left w:val="none" w:sz="0" w:space="0" w:color="auto"/>
        <w:bottom w:val="none" w:sz="0" w:space="0" w:color="auto"/>
        <w:right w:val="none" w:sz="0" w:space="0" w:color="auto"/>
      </w:divBdr>
    </w:div>
    <w:div w:id="107092653">
      <w:bodyDiv w:val="1"/>
      <w:marLeft w:val="0"/>
      <w:marRight w:val="0"/>
      <w:marTop w:val="0"/>
      <w:marBottom w:val="0"/>
      <w:divBdr>
        <w:top w:val="none" w:sz="0" w:space="0" w:color="auto"/>
        <w:left w:val="none" w:sz="0" w:space="0" w:color="auto"/>
        <w:bottom w:val="none" w:sz="0" w:space="0" w:color="auto"/>
        <w:right w:val="none" w:sz="0" w:space="0" w:color="auto"/>
      </w:divBdr>
    </w:div>
    <w:div w:id="107164748">
      <w:bodyDiv w:val="1"/>
      <w:marLeft w:val="0"/>
      <w:marRight w:val="0"/>
      <w:marTop w:val="0"/>
      <w:marBottom w:val="0"/>
      <w:divBdr>
        <w:top w:val="none" w:sz="0" w:space="0" w:color="auto"/>
        <w:left w:val="none" w:sz="0" w:space="0" w:color="auto"/>
        <w:bottom w:val="none" w:sz="0" w:space="0" w:color="auto"/>
        <w:right w:val="none" w:sz="0" w:space="0" w:color="auto"/>
      </w:divBdr>
    </w:div>
    <w:div w:id="107165231">
      <w:bodyDiv w:val="1"/>
      <w:marLeft w:val="0"/>
      <w:marRight w:val="0"/>
      <w:marTop w:val="0"/>
      <w:marBottom w:val="0"/>
      <w:divBdr>
        <w:top w:val="none" w:sz="0" w:space="0" w:color="auto"/>
        <w:left w:val="none" w:sz="0" w:space="0" w:color="auto"/>
        <w:bottom w:val="none" w:sz="0" w:space="0" w:color="auto"/>
        <w:right w:val="none" w:sz="0" w:space="0" w:color="auto"/>
      </w:divBdr>
    </w:div>
    <w:div w:id="107311663">
      <w:bodyDiv w:val="1"/>
      <w:marLeft w:val="0"/>
      <w:marRight w:val="0"/>
      <w:marTop w:val="0"/>
      <w:marBottom w:val="0"/>
      <w:divBdr>
        <w:top w:val="none" w:sz="0" w:space="0" w:color="auto"/>
        <w:left w:val="none" w:sz="0" w:space="0" w:color="auto"/>
        <w:bottom w:val="none" w:sz="0" w:space="0" w:color="auto"/>
        <w:right w:val="none" w:sz="0" w:space="0" w:color="auto"/>
      </w:divBdr>
    </w:div>
    <w:div w:id="107437812">
      <w:bodyDiv w:val="1"/>
      <w:marLeft w:val="0"/>
      <w:marRight w:val="0"/>
      <w:marTop w:val="0"/>
      <w:marBottom w:val="0"/>
      <w:divBdr>
        <w:top w:val="none" w:sz="0" w:space="0" w:color="auto"/>
        <w:left w:val="none" w:sz="0" w:space="0" w:color="auto"/>
        <w:bottom w:val="none" w:sz="0" w:space="0" w:color="auto"/>
        <w:right w:val="none" w:sz="0" w:space="0" w:color="auto"/>
      </w:divBdr>
    </w:div>
    <w:div w:id="107480350">
      <w:bodyDiv w:val="1"/>
      <w:marLeft w:val="0"/>
      <w:marRight w:val="0"/>
      <w:marTop w:val="0"/>
      <w:marBottom w:val="0"/>
      <w:divBdr>
        <w:top w:val="none" w:sz="0" w:space="0" w:color="auto"/>
        <w:left w:val="none" w:sz="0" w:space="0" w:color="auto"/>
        <w:bottom w:val="none" w:sz="0" w:space="0" w:color="auto"/>
        <w:right w:val="none" w:sz="0" w:space="0" w:color="auto"/>
      </w:divBdr>
    </w:div>
    <w:div w:id="107505693">
      <w:bodyDiv w:val="1"/>
      <w:marLeft w:val="0"/>
      <w:marRight w:val="0"/>
      <w:marTop w:val="0"/>
      <w:marBottom w:val="0"/>
      <w:divBdr>
        <w:top w:val="none" w:sz="0" w:space="0" w:color="auto"/>
        <w:left w:val="none" w:sz="0" w:space="0" w:color="auto"/>
        <w:bottom w:val="none" w:sz="0" w:space="0" w:color="auto"/>
        <w:right w:val="none" w:sz="0" w:space="0" w:color="auto"/>
      </w:divBdr>
    </w:div>
    <w:div w:id="107549747">
      <w:bodyDiv w:val="1"/>
      <w:marLeft w:val="0"/>
      <w:marRight w:val="0"/>
      <w:marTop w:val="0"/>
      <w:marBottom w:val="0"/>
      <w:divBdr>
        <w:top w:val="none" w:sz="0" w:space="0" w:color="auto"/>
        <w:left w:val="none" w:sz="0" w:space="0" w:color="auto"/>
        <w:bottom w:val="none" w:sz="0" w:space="0" w:color="auto"/>
        <w:right w:val="none" w:sz="0" w:space="0" w:color="auto"/>
      </w:divBdr>
    </w:div>
    <w:div w:id="107626851">
      <w:bodyDiv w:val="1"/>
      <w:marLeft w:val="0"/>
      <w:marRight w:val="0"/>
      <w:marTop w:val="0"/>
      <w:marBottom w:val="0"/>
      <w:divBdr>
        <w:top w:val="none" w:sz="0" w:space="0" w:color="auto"/>
        <w:left w:val="none" w:sz="0" w:space="0" w:color="auto"/>
        <w:bottom w:val="none" w:sz="0" w:space="0" w:color="auto"/>
        <w:right w:val="none" w:sz="0" w:space="0" w:color="auto"/>
      </w:divBdr>
    </w:div>
    <w:div w:id="107745360">
      <w:bodyDiv w:val="1"/>
      <w:marLeft w:val="0"/>
      <w:marRight w:val="0"/>
      <w:marTop w:val="0"/>
      <w:marBottom w:val="0"/>
      <w:divBdr>
        <w:top w:val="none" w:sz="0" w:space="0" w:color="auto"/>
        <w:left w:val="none" w:sz="0" w:space="0" w:color="auto"/>
        <w:bottom w:val="none" w:sz="0" w:space="0" w:color="auto"/>
        <w:right w:val="none" w:sz="0" w:space="0" w:color="auto"/>
      </w:divBdr>
    </w:div>
    <w:div w:id="107772512">
      <w:bodyDiv w:val="1"/>
      <w:marLeft w:val="0"/>
      <w:marRight w:val="0"/>
      <w:marTop w:val="0"/>
      <w:marBottom w:val="0"/>
      <w:divBdr>
        <w:top w:val="none" w:sz="0" w:space="0" w:color="auto"/>
        <w:left w:val="none" w:sz="0" w:space="0" w:color="auto"/>
        <w:bottom w:val="none" w:sz="0" w:space="0" w:color="auto"/>
        <w:right w:val="none" w:sz="0" w:space="0" w:color="auto"/>
      </w:divBdr>
    </w:div>
    <w:div w:id="107816123">
      <w:bodyDiv w:val="1"/>
      <w:marLeft w:val="0"/>
      <w:marRight w:val="0"/>
      <w:marTop w:val="0"/>
      <w:marBottom w:val="0"/>
      <w:divBdr>
        <w:top w:val="none" w:sz="0" w:space="0" w:color="auto"/>
        <w:left w:val="none" w:sz="0" w:space="0" w:color="auto"/>
        <w:bottom w:val="none" w:sz="0" w:space="0" w:color="auto"/>
        <w:right w:val="none" w:sz="0" w:space="0" w:color="auto"/>
      </w:divBdr>
    </w:div>
    <w:div w:id="108089486">
      <w:bodyDiv w:val="1"/>
      <w:marLeft w:val="0"/>
      <w:marRight w:val="0"/>
      <w:marTop w:val="0"/>
      <w:marBottom w:val="0"/>
      <w:divBdr>
        <w:top w:val="none" w:sz="0" w:space="0" w:color="auto"/>
        <w:left w:val="none" w:sz="0" w:space="0" w:color="auto"/>
        <w:bottom w:val="none" w:sz="0" w:space="0" w:color="auto"/>
        <w:right w:val="none" w:sz="0" w:space="0" w:color="auto"/>
      </w:divBdr>
    </w:div>
    <w:div w:id="108206258">
      <w:bodyDiv w:val="1"/>
      <w:marLeft w:val="0"/>
      <w:marRight w:val="0"/>
      <w:marTop w:val="0"/>
      <w:marBottom w:val="0"/>
      <w:divBdr>
        <w:top w:val="none" w:sz="0" w:space="0" w:color="auto"/>
        <w:left w:val="none" w:sz="0" w:space="0" w:color="auto"/>
        <w:bottom w:val="none" w:sz="0" w:space="0" w:color="auto"/>
        <w:right w:val="none" w:sz="0" w:space="0" w:color="auto"/>
      </w:divBdr>
    </w:div>
    <w:div w:id="108208548">
      <w:bodyDiv w:val="1"/>
      <w:marLeft w:val="0"/>
      <w:marRight w:val="0"/>
      <w:marTop w:val="0"/>
      <w:marBottom w:val="0"/>
      <w:divBdr>
        <w:top w:val="none" w:sz="0" w:space="0" w:color="auto"/>
        <w:left w:val="none" w:sz="0" w:space="0" w:color="auto"/>
        <w:bottom w:val="none" w:sz="0" w:space="0" w:color="auto"/>
        <w:right w:val="none" w:sz="0" w:space="0" w:color="auto"/>
      </w:divBdr>
    </w:div>
    <w:div w:id="108209378">
      <w:bodyDiv w:val="1"/>
      <w:marLeft w:val="0"/>
      <w:marRight w:val="0"/>
      <w:marTop w:val="0"/>
      <w:marBottom w:val="0"/>
      <w:divBdr>
        <w:top w:val="none" w:sz="0" w:space="0" w:color="auto"/>
        <w:left w:val="none" w:sz="0" w:space="0" w:color="auto"/>
        <w:bottom w:val="none" w:sz="0" w:space="0" w:color="auto"/>
        <w:right w:val="none" w:sz="0" w:space="0" w:color="auto"/>
      </w:divBdr>
    </w:div>
    <w:div w:id="108396971">
      <w:bodyDiv w:val="1"/>
      <w:marLeft w:val="0"/>
      <w:marRight w:val="0"/>
      <w:marTop w:val="0"/>
      <w:marBottom w:val="0"/>
      <w:divBdr>
        <w:top w:val="none" w:sz="0" w:space="0" w:color="auto"/>
        <w:left w:val="none" w:sz="0" w:space="0" w:color="auto"/>
        <w:bottom w:val="none" w:sz="0" w:space="0" w:color="auto"/>
        <w:right w:val="none" w:sz="0" w:space="0" w:color="auto"/>
      </w:divBdr>
    </w:div>
    <w:div w:id="108471736">
      <w:bodyDiv w:val="1"/>
      <w:marLeft w:val="0"/>
      <w:marRight w:val="0"/>
      <w:marTop w:val="0"/>
      <w:marBottom w:val="0"/>
      <w:divBdr>
        <w:top w:val="none" w:sz="0" w:space="0" w:color="auto"/>
        <w:left w:val="none" w:sz="0" w:space="0" w:color="auto"/>
        <w:bottom w:val="none" w:sz="0" w:space="0" w:color="auto"/>
        <w:right w:val="none" w:sz="0" w:space="0" w:color="auto"/>
      </w:divBdr>
    </w:div>
    <w:div w:id="108551346">
      <w:bodyDiv w:val="1"/>
      <w:marLeft w:val="0"/>
      <w:marRight w:val="0"/>
      <w:marTop w:val="0"/>
      <w:marBottom w:val="0"/>
      <w:divBdr>
        <w:top w:val="none" w:sz="0" w:space="0" w:color="auto"/>
        <w:left w:val="none" w:sz="0" w:space="0" w:color="auto"/>
        <w:bottom w:val="none" w:sz="0" w:space="0" w:color="auto"/>
        <w:right w:val="none" w:sz="0" w:space="0" w:color="auto"/>
      </w:divBdr>
    </w:div>
    <w:div w:id="108593202">
      <w:bodyDiv w:val="1"/>
      <w:marLeft w:val="0"/>
      <w:marRight w:val="0"/>
      <w:marTop w:val="0"/>
      <w:marBottom w:val="0"/>
      <w:divBdr>
        <w:top w:val="none" w:sz="0" w:space="0" w:color="auto"/>
        <w:left w:val="none" w:sz="0" w:space="0" w:color="auto"/>
        <w:bottom w:val="none" w:sz="0" w:space="0" w:color="auto"/>
        <w:right w:val="none" w:sz="0" w:space="0" w:color="auto"/>
      </w:divBdr>
    </w:div>
    <w:div w:id="108621453">
      <w:bodyDiv w:val="1"/>
      <w:marLeft w:val="0"/>
      <w:marRight w:val="0"/>
      <w:marTop w:val="0"/>
      <w:marBottom w:val="0"/>
      <w:divBdr>
        <w:top w:val="none" w:sz="0" w:space="0" w:color="auto"/>
        <w:left w:val="none" w:sz="0" w:space="0" w:color="auto"/>
        <w:bottom w:val="none" w:sz="0" w:space="0" w:color="auto"/>
        <w:right w:val="none" w:sz="0" w:space="0" w:color="auto"/>
      </w:divBdr>
    </w:div>
    <w:div w:id="108741500">
      <w:bodyDiv w:val="1"/>
      <w:marLeft w:val="0"/>
      <w:marRight w:val="0"/>
      <w:marTop w:val="0"/>
      <w:marBottom w:val="0"/>
      <w:divBdr>
        <w:top w:val="none" w:sz="0" w:space="0" w:color="auto"/>
        <w:left w:val="none" w:sz="0" w:space="0" w:color="auto"/>
        <w:bottom w:val="none" w:sz="0" w:space="0" w:color="auto"/>
        <w:right w:val="none" w:sz="0" w:space="0" w:color="auto"/>
      </w:divBdr>
    </w:div>
    <w:div w:id="108819175">
      <w:bodyDiv w:val="1"/>
      <w:marLeft w:val="0"/>
      <w:marRight w:val="0"/>
      <w:marTop w:val="0"/>
      <w:marBottom w:val="0"/>
      <w:divBdr>
        <w:top w:val="none" w:sz="0" w:space="0" w:color="auto"/>
        <w:left w:val="none" w:sz="0" w:space="0" w:color="auto"/>
        <w:bottom w:val="none" w:sz="0" w:space="0" w:color="auto"/>
        <w:right w:val="none" w:sz="0" w:space="0" w:color="auto"/>
      </w:divBdr>
    </w:div>
    <w:div w:id="108937064">
      <w:bodyDiv w:val="1"/>
      <w:marLeft w:val="0"/>
      <w:marRight w:val="0"/>
      <w:marTop w:val="0"/>
      <w:marBottom w:val="0"/>
      <w:divBdr>
        <w:top w:val="none" w:sz="0" w:space="0" w:color="auto"/>
        <w:left w:val="none" w:sz="0" w:space="0" w:color="auto"/>
        <w:bottom w:val="none" w:sz="0" w:space="0" w:color="auto"/>
        <w:right w:val="none" w:sz="0" w:space="0" w:color="auto"/>
      </w:divBdr>
    </w:div>
    <w:div w:id="109014400">
      <w:bodyDiv w:val="1"/>
      <w:marLeft w:val="0"/>
      <w:marRight w:val="0"/>
      <w:marTop w:val="0"/>
      <w:marBottom w:val="0"/>
      <w:divBdr>
        <w:top w:val="none" w:sz="0" w:space="0" w:color="auto"/>
        <w:left w:val="none" w:sz="0" w:space="0" w:color="auto"/>
        <w:bottom w:val="none" w:sz="0" w:space="0" w:color="auto"/>
        <w:right w:val="none" w:sz="0" w:space="0" w:color="auto"/>
      </w:divBdr>
    </w:div>
    <w:div w:id="109057215">
      <w:bodyDiv w:val="1"/>
      <w:marLeft w:val="0"/>
      <w:marRight w:val="0"/>
      <w:marTop w:val="0"/>
      <w:marBottom w:val="0"/>
      <w:divBdr>
        <w:top w:val="none" w:sz="0" w:space="0" w:color="auto"/>
        <w:left w:val="none" w:sz="0" w:space="0" w:color="auto"/>
        <w:bottom w:val="none" w:sz="0" w:space="0" w:color="auto"/>
        <w:right w:val="none" w:sz="0" w:space="0" w:color="auto"/>
      </w:divBdr>
    </w:div>
    <w:div w:id="109126594">
      <w:bodyDiv w:val="1"/>
      <w:marLeft w:val="0"/>
      <w:marRight w:val="0"/>
      <w:marTop w:val="0"/>
      <w:marBottom w:val="0"/>
      <w:divBdr>
        <w:top w:val="none" w:sz="0" w:space="0" w:color="auto"/>
        <w:left w:val="none" w:sz="0" w:space="0" w:color="auto"/>
        <w:bottom w:val="none" w:sz="0" w:space="0" w:color="auto"/>
        <w:right w:val="none" w:sz="0" w:space="0" w:color="auto"/>
      </w:divBdr>
    </w:div>
    <w:div w:id="109135265">
      <w:bodyDiv w:val="1"/>
      <w:marLeft w:val="0"/>
      <w:marRight w:val="0"/>
      <w:marTop w:val="0"/>
      <w:marBottom w:val="0"/>
      <w:divBdr>
        <w:top w:val="none" w:sz="0" w:space="0" w:color="auto"/>
        <w:left w:val="none" w:sz="0" w:space="0" w:color="auto"/>
        <w:bottom w:val="none" w:sz="0" w:space="0" w:color="auto"/>
        <w:right w:val="none" w:sz="0" w:space="0" w:color="auto"/>
      </w:divBdr>
    </w:div>
    <w:div w:id="109322338">
      <w:bodyDiv w:val="1"/>
      <w:marLeft w:val="0"/>
      <w:marRight w:val="0"/>
      <w:marTop w:val="0"/>
      <w:marBottom w:val="0"/>
      <w:divBdr>
        <w:top w:val="none" w:sz="0" w:space="0" w:color="auto"/>
        <w:left w:val="none" w:sz="0" w:space="0" w:color="auto"/>
        <w:bottom w:val="none" w:sz="0" w:space="0" w:color="auto"/>
        <w:right w:val="none" w:sz="0" w:space="0" w:color="auto"/>
      </w:divBdr>
    </w:div>
    <w:div w:id="109325472">
      <w:bodyDiv w:val="1"/>
      <w:marLeft w:val="0"/>
      <w:marRight w:val="0"/>
      <w:marTop w:val="0"/>
      <w:marBottom w:val="0"/>
      <w:divBdr>
        <w:top w:val="none" w:sz="0" w:space="0" w:color="auto"/>
        <w:left w:val="none" w:sz="0" w:space="0" w:color="auto"/>
        <w:bottom w:val="none" w:sz="0" w:space="0" w:color="auto"/>
        <w:right w:val="none" w:sz="0" w:space="0" w:color="auto"/>
      </w:divBdr>
    </w:div>
    <w:div w:id="109395944">
      <w:bodyDiv w:val="1"/>
      <w:marLeft w:val="0"/>
      <w:marRight w:val="0"/>
      <w:marTop w:val="0"/>
      <w:marBottom w:val="0"/>
      <w:divBdr>
        <w:top w:val="none" w:sz="0" w:space="0" w:color="auto"/>
        <w:left w:val="none" w:sz="0" w:space="0" w:color="auto"/>
        <w:bottom w:val="none" w:sz="0" w:space="0" w:color="auto"/>
        <w:right w:val="none" w:sz="0" w:space="0" w:color="auto"/>
      </w:divBdr>
    </w:div>
    <w:div w:id="109397455">
      <w:bodyDiv w:val="1"/>
      <w:marLeft w:val="0"/>
      <w:marRight w:val="0"/>
      <w:marTop w:val="0"/>
      <w:marBottom w:val="0"/>
      <w:divBdr>
        <w:top w:val="none" w:sz="0" w:space="0" w:color="auto"/>
        <w:left w:val="none" w:sz="0" w:space="0" w:color="auto"/>
        <w:bottom w:val="none" w:sz="0" w:space="0" w:color="auto"/>
        <w:right w:val="none" w:sz="0" w:space="0" w:color="auto"/>
      </w:divBdr>
    </w:div>
    <w:div w:id="109398670">
      <w:bodyDiv w:val="1"/>
      <w:marLeft w:val="0"/>
      <w:marRight w:val="0"/>
      <w:marTop w:val="0"/>
      <w:marBottom w:val="0"/>
      <w:divBdr>
        <w:top w:val="none" w:sz="0" w:space="0" w:color="auto"/>
        <w:left w:val="none" w:sz="0" w:space="0" w:color="auto"/>
        <w:bottom w:val="none" w:sz="0" w:space="0" w:color="auto"/>
        <w:right w:val="none" w:sz="0" w:space="0" w:color="auto"/>
      </w:divBdr>
    </w:div>
    <w:div w:id="109400843">
      <w:bodyDiv w:val="1"/>
      <w:marLeft w:val="0"/>
      <w:marRight w:val="0"/>
      <w:marTop w:val="0"/>
      <w:marBottom w:val="0"/>
      <w:divBdr>
        <w:top w:val="none" w:sz="0" w:space="0" w:color="auto"/>
        <w:left w:val="none" w:sz="0" w:space="0" w:color="auto"/>
        <w:bottom w:val="none" w:sz="0" w:space="0" w:color="auto"/>
        <w:right w:val="none" w:sz="0" w:space="0" w:color="auto"/>
      </w:divBdr>
    </w:div>
    <w:div w:id="109512449">
      <w:bodyDiv w:val="1"/>
      <w:marLeft w:val="0"/>
      <w:marRight w:val="0"/>
      <w:marTop w:val="0"/>
      <w:marBottom w:val="0"/>
      <w:divBdr>
        <w:top w:val="none" w:sz="0" w:space="0" w:color="auto"/>
        <w:left w:val="none" w:sz="0" w:space="0" w:color="auto"/>
        <w:bottom w:val="none" w:sz="0" w:space="0" w:color="auto"/>
        <w:right w:val="none" w:sz="0" w:space="0" w:color="auto"/>
      </w:divBdr>
    </w:div>
    <w:div w:id="109710105">
      <w:bodyDiv w:val="1"/>
      <w:marLeft w:val="0"/>
      <w:marRight w:val="0"/>
      <w:marTop w:val="0"/>
      <w:marBottom w:val="0"/>
      <w:divBdr>
        <w:top w:val="none" w:sz="0" w:space="0" w:color="auto"/>
        <w:left w:val="none" w:sz="0" w:space="0" w:color="auto"/>
        <w:bottom w:val="none" w:sz="0" w:space="0" w:color="auto"/>
        <w:right w:val="none" w:sz="0" w:space="0" w:color="auto"/>
      </w:divBdr>
    </w:div>
    <w:div w:id="109711659">
      <w:bodyDiv w:val="1"/>
      <w:marLeft w:val="0"/>
      <w:marRight w:val="0"/>
      <w:marTop w:val="0"/>
      <w:marBottom w:val="0"/>
      <w:divBdr>
        <w:top w:val="none" w:sz="0" w:space="0" w:color="auto"/>
        <w:left w:val="none" w:sz="0" w:space="0" w:color="auto"/>
        <w:bottom w:val="none" w:sz="0" w:space="0" w:color="auto"/>
        <w:right w:val="none" w:sz="0" w:space="0" w:color="auto"/>
      </w:divBdr>
    </w:div>
    <w:div w:id="109784229">
      <w:bodyDiv w:val="1"/>
      <w:marLeft w:val="0"/>
      <w:marRight w:val="0"/>
      <w:marTop w:val="0"/>
      <w:marBottom w:val="0"/>
      <w:divBdr>
        <w:top w:val="none" w:sz="0" w:space="0" w:color="auto"/>
        <w:left w:val="none" w:sz="0" w:space="0" w:color="auto"/>
        <w:bottom w:val="none" w:sz="0" w:space="0" w:color="auto"/>
        <w:right w:val="none" w:sz="0" w:space="0" w:color="auto"/>
      </w:divBdr>
    </w:div>
    <w:div w:id="109790344">
      <w:bodyDiv w:val="1"/>
      <w:marLeft w:val="0"/>
      <w:marRight w:val="0"/>
      <w:marTop w:val="0"/>
      <w:marBottom w:val="0"/>
      <w:divBdr>
        <w:top w:val="none" w:sz="0" w:space="0" w:color="auto"/>
        <w:left w:val="none" w:sz="0" w:space="0" w:color="auto"/>
        <w:bottom w:val="none" w:sz="0" w:space="0" w:color="auto"/>
        <w:right w:val="none" w:sz="0" w:space="0" w:color="auto"/>
      </w:divBdr>
    </w:div>
    <w:div w:id="109856540">
      <w:bodyDiv w:val="1"/>
      <w:marLeft w:val="0"/>
      <w:marRight w:val="0"/>
      <w:marTop w:val="0"/>
      <w:marBottom w:val="0"/>
      <w:divBdr>
        <w:top w:val="none" w:sz="0" w:space="0" w:color="auto"/>
        <w:left w:val="none" w:sz="0" w:space="0" w:color="auto"/>
        <w:bottom w:val="none" w:sz="0" w:space="0" w:color="auto"/>
        <w:right w:val="none" w:sz="0" w:space="0" w:color="auto"/>
      </w:divBdr>
    </w:div>
    <w:div w:id="109905587">
      <w:bodyDiv w:val="1"/>
      <w:marLeft w:val="0"/>
      <w:marRight w:val="0"/>
      <w:marTop w:val="0"/>
      <w:marBottom w:val="0"/>
      <w:divBdr>
        <w:top w:val="none" w:sz="0" w:space="0" w:color="auto"/>
        <w:left w:val="none" w:sz="0" w:space="0" w:color="auto"/>
        <w:bottom w:val="none" w:sz="0" w:space="0" w:color="auto"/>
        <w:right w:val="none" w:sz="0" w:space="0" w:color="auto"/>
      </w:divBdr>
    </w:div>
    <w:div w:id="109936100">
      <w:bodyDiv w:val="1"/>
      <w:marLeft w:val="0"/>
      <w:marRight w:val="0"/>
      <w:marTop w:val="0"/>
      <w:marBottom w:val="0"/>
      <w:divBdr>
        <w:top w:val="none" w:sz="0" w:space="0" w:color="auto"/>
        <w:left w:val="none" w:sz="0" w:space="0" w:color="auto"/>
        <w:bottom w:val="none" w:sz="0" w:space="0" w:color="auto"/>
        <w:right w:val="none" w:sz="0" w:space="0" w:color="auto"/>
      </w:divBdr>
    </w:div>
    <w:div w:id="109980648">
      <w:bodyDiv w:val="1"/>
      <w:marLeft w:val="0"/>
      <w:marRight w:val="0"/>
      <w:marTop w:val="0"/>
      <w:marBottom w:val="0"/>
      <w:divBdr>
        <w:top w:val="none" w:sz="0" w:space="0" w:color="auto"/>
        <w:left w:val="none" w:sz="0" w:space="0" w:color="auto"/>
        <w:bottom w:val="none" w:sz="0" w:space="0" w:color="auto"/>
        <w:right w:val="none" w:sz="0" w:space="0" w:color="auto"/>
      </w:divBdr>
    </w:div>
    <w:div w:id="110320580">
      <w:bodyDiv w:val="1"/>
      <w:marLeft w:val="0"/>
      <w:marRight w:val="0"/>
      <w:marTop w:val="0"/>
      <w:marBottom w:val="0"/>
      <w:divBdr>
        <w:top w:val="none" w:sz="0" w:space="0" w:color="auto"/>
        <w:left w:val="none" w:sz="0" w:space="0" w:color="auto"/>
        <w:bottom w:val="none" w:sz="0" w:space="0" w:color="auto"/>
        <w:right w:val="none" w:sz="0" w:space="0" w:color="auto"/>
      </w:divBdr>
    </w:div>
    <w:div w:id="110321405">
      <w:bodyDiv w:val="1"/>
      <w:marLeft w:val="0"/>
      <w:marRight w:val="0"/>
      <w:marTop w:val="0"/>
      <w:marBottom w:val="0"/>
      <w:divBdr>
        <w:top w:val="none" w:sz="0" w:space="0" w:color="auto"/>
        <w:left w:val="none" w:sz="0" w:space="0" w:color="auto"/>
        <w:bottom w:val="none" w:sz="0" w:space="0" w:color="auto"/>
        <w:right w:val="none" w:sz="0" w:space="0" w:color="auto"/>
      </w:divBdr>
    </w:div>
    <w:div w:id="110438916">
      <w:bodyDiv w:val="1"/>
      <w:marLeft w:val="0"/>
      <w:marRight w:val="0"/>
      <w:marTop w:val="0"/>
      <w:marBottom w:val="0"/>
      <w:divBdr>
        <w:top w:val="none" w:sz="0" w:space="0" w:color="auto"/>
        <w:left w:val="none" w:sz="0" w:space="0" w:color="auto"/>
        <w:bottom w:val="none" w:sz="0" w:space="0" w:color="auto"/>
        <w:right w:val="none" w:sz="0" w:space="0" w:color="auto"/>
      </w:divBdr>
    </w:div>
    <w:div w:id="110440174">
      <w:bodyDiv w:val="1"/>
      <w:marLeft w:val="0"/>
      <w:marRight w:val="0"/>
      <w:marTop w:val="0"/>
      <w:marBottom w:val="0"/>
      <w:divBdr>
        <w:top w:val="none" w:sz="0" w:space="0" w:color="auto"/>
        <w:left w:val="none" w:sz="0" w:space="0" w:color="auto"/>
        <w:bottom w:val="none" w:sz="0" w:space="0" w:color="auto"/>
        <w:right w:val="none" w:sz="0" w:space="0" w:color="auto"/>
      </w:divBdr>
    </w:div>
    <w:div w:id="110512303">
      <w:bodyDiv w:val="1"/>
      <w:marLeft w:val="0"/>
      <w:marRight w:val="0"/>
      <w:marTop w:val="0"/>
      <w:marBottom w:val="0"/>
      <w:divBdr>
        <w:top w:val="none" w:sz="0" w:space="0" w:color="auto"/>
        <w:left w:val="none" w:sz="0" w:space="0" w:color="auto"/>
        <w:bottom w:val="none" w:sz="0" w:space="0" w:color="auto"/>
        <w:right w:val="none" w:sz="0" w:space="0" w:color="auto"/>
      </w:divBdr>
    </w:div>
    <w:div w:id="110516309">
      <w:bodyDiv w:val="1"/>
      <w:marLeft w:val="0"/>
      <w:marRight w:val="0"/>
      <w:marTop w:val="0"/>
      <w:marBottom w:val="0"/>
      <w:divBdr>
        <w:top w:val="none" w:sz="0" w:space="0" w:color="auto"/>
        <w:left w:val="none" w:sz="0" w:space="0" w:color="auto"/>
        <w:bottom w:val="none" w:sz="0" w:space="0" w:color="auto"/>
        <w:right w:val="none" w:sz="0" w:space="0" w:color="auto"/>
      </w:divBdr>
    </w:div>
    <w:div w:id="110520081">
      <w:bodyDiv w:val="1"/>
      <w:marLeft w:val="0"/>
      <w:marRight w:val="0"/>
      <w:marTop w:val="0"/>
      <w:marBottom w:val="0"/>
      <w:divBdr>
        <w:top w:val="none" w:sz="0" w:space="0" w:color="auto"/>
        <w:left w:val="none" w:sz="0" w:space="0" w:color="auto"/>
        <w:bottom w:val="none" w:sz="0" w:space="0" w:color="auto"/>
        <w:right w:val="none" w:sz="0" w:space="0" w:color="auto"/>
      </w:divBdr>
    </w:div>
    <w:div w:id="110631558">
      <w:bodyDiv w:val="1"/>
      <w:marLeft w:val="0"/>
      <w:marRight w:val="0"/>
      <w:marTop w:val="0"/>
      <w:marBottom w:val="0"/>
      <w:divBdr>
        <w:top w:val="none" w:sz="0" w:space="0" w:color="auto"/>
        <w:left w:val="none" w:sz="0" w:space="0" w:color="auto"/>
        <w:bottom w:val="none" w:sz="0" w:space="0" w:color="auto"/>
        <w:right w:val="none" w:sz="0" w:space="0" w:color="auto"/>
      </w:divBdr>
    </w:div>
    <w:div w:id="110633439">
      <w:bodyDiv w:val="1"/>
      <w:marLeft w:val="0"/>
      <w:marRight w:val="0"/>
      <w:marTop w:val="0"/>
      <w:marBottom w:val="0"/>
      <w:divBdr>
        <w:top w:val="none" w:sz="0" w:space="0" w:color="auto"/>
        <w:left w:val="none" w:sz="0" w:space="0" w:color="auto"/>
        <w:bottom w:val="none" w:sz="0" w:space="0" w:color="auto"/>
        <w:right w:val="none" w:sz="0" w:space="0" w:color="auto"/>
      </w:divBdr>
    </w:div>
    <w:div w:id="110637929">
      <w:bodyDiv w:val="1"/>
      <w:marLeft w:val="0"/>
      <w:marRight w:val="0"/>
      <w:marTop w:val="0"/>
      <w:marBottom w:val="0"/>
      <w:divBdr>
        <w:top w:val="none" w:sz="0" w:space="0" w:color="auto"/>
        <w:left w:val="none" w:sz="0" w:space="0" w:color="auto"/>
        <w:bottom w:val="none" w:sz="0" w:space="0" w:color="auto"/>
        <w:right w:val="none" w:sz="0" w:space="0" w:color="auto"/>
      </w:divBdr>
    </w:div>
    <w:div w:id="110900874">
      <w:bodyDiv w:val="1"/>
      <w:marLeft w:val="0"/>
      <w:marRight w:val="0"/>
      <w:marTop w:val="0"/>
      <w:marBottom w:val="0"/>
      <w:divBdr>
        <w:top w:val="none" w:sz="0" w:space="0" w:color="auto"/>
        <w:left w:val="none" w:sz="0" w:space="0" w:color="auto"/>
        <w:bottom w:val="none" w:sz="0" w:space="0" w:color="auto"/>
        <w:right w:val="none" w:sz="0" w:space="0" w:color="auto"/>
      </w:divBdr>
    </w:div>
    <w:div w:id="111020288">
      <w:bodyDiv w:val="1"/>
      <w:marLeft w:val="0"/>
      <w:marRight w:val="0"/>
      <w:marTop w:val="0"/>
      <w:marBottom w:val="0"/>
      <w:divBdr>
        <w:top w:val="none" w:sz="0" w:space="0" w:color="auto"/>
        <w:left w:val="none" w:sz="0" w:space="0" w:color="auto"/>
        <w:bottom w:val="none" w:sz="0" w:space="0" w:color="auto"/>
        <w:right w:val="none" w:sz="0" w:space="0" w:color="auto"/>
      </w:divBdr>
    </w:div>
    <w:div w:id="111025363">
      <w:bodyDiv w:val="1"/>
      <w:marLeft w:val="0"/>
      <w:marRight w:val="0"/>
      <w:marTop w:val="0"/>
      <w:marBottom w:val="0"/>
      <w:divBdr>
        <w:top w:val="none" w:sz="0" w:space="0" w:color="auto"/>
        <w:left w:val="none" w:sz="0" w:space="0" w:color="auto"/>
        <w:bottom w:val="none" w:sz="0" w:space="0" w:color="auto"/>
        <w:right w:val="none" w:sz="0" w:space="0" w:color="auto"/>
      </w:divBdr>
    </w:div>
    <w:div w:id="111049818">
      <w:bodyDiv w:val="1"/>
      <w:marLeft w:val="0"/>
      <w:marRight w:val="0"/>
      <w:marTop w:val="0"/>
      <w:marBottom w:val="0"/>
      <w:divBdr>
        <w:top w:val="none" w:sz="0" w:space="0" w:color="auto"/>
        <w:left w:val="none" w:sz="0" w:space="0" w:color="auto"/>
        <w:bottom w:val="none" w:sz="0" w:space="0" w:color="auto"/>
        <w:right w:val="none" w:sz="0" w:space="0" w:color="auto"/>
      </w:divBdr>
    </w:div>
    <w:div w:id="111098687">
      <w:bodyDiv w:val="1"/>
      <w:marLeft w:val="0"/>
      <w:marRight w:val="0"/>
      <w:marTop w:val="0"/>
      <w:marBottom w:val="0"/>
      <w:divBdr>
        <w:top w:val="none" w:sz="0" w:space="0" w:color="auto"/>
        <w:left w:val="none" w:sz="0" w:space="0" w:color="auto"/>
        <w:bottom w:val="none" w:sz="0" w:space="0" w:color="auto"/>
        <w:right w:val="none" w:sz="0" w:space="0" w:color="auto"/>
      </w:divBdr>
    </w:div>
    <w:div w:id="111173049">
      <w:bodyDiv w:val="1"/>
      <w:marLeft w:val="0"/>
      <w:marRight w:val="0"/>
      <w:marTop w:val="0"/>
      <w:marBottom w:val="0"/>
      <w:divBdr>
        <w:top w:val="none" w:sz="0" w:space="0" w:color="auto"/>
        <w:left w:val="none" w:sz="0" w:space="0" w:color="auto"/>
        <w:bottom w:val="none" w:sz="0" w:space="0" w:color="auto"/>
        <w:right w:val="none" w:sz="0" w:space="0" w:color="auto"/>
      </w:divBdr>
    </w:div>
    <w:div w:id="111218229">
      <w:bodyDiv w:val="1"/>
      <w:marLeft w:val="0"/>
      <w:marRight w:val="0"/>
      <w:marTop w:val="0"/>
      <w:marBottom w:val="0"/>
      <w:divBdr>
        <w:top w:val="none" w:sz="0" w:space="0" w:color="auto"/>
        <w:left w:val="none" w:sz="0" w:space="0" w:color="auto"/>
        <w:bottom w:val="none" w:sz="0" w:space="0" w:color="auto"/>
        <w:right w:val="none" w:sz="0" w:space="0" w:color="auto"/>
      </w:divBdr>
    </w:div>
    <w:div w:id="111285095">
      <w:bodyDiv w:val="1"/>
      <w:marLeft w:val="0"/>
      <w:marRight w:val="0"/>
      <w:marTop w:val="0"/>
      <w:marBottom w:val="0"/>
      <w:divBdr>
        <w:top w:val="none" w:sz="0" w:space="0" w:color="auto"/>
        <w:left w:val="none" w:sz="0" w:space="0" w:color="auto"/>
        <w:bottom w:val="none" w:sz="0" w:space="0" w:color="auto"/>
        <w:right w:val="none" w:sz="0" w:space="0" w:color="auto"/>
      </w:divBdr>
    </w:div>
    <w:div w:id="111364046">
      <w:bodyDiv w:val="1"/>
      <w:marLeft w:val="0"/>
      <w:marRight w:val="0"/>
      <w:marTop w:val="0"/>
      <w:marBottom w:val="0"/>
      <w:divBdr>
        <w:top w:val="none" w:sz="0" w:space="0" w:color="auto"/>
        <w:left w:val="none" w:sz="0" w:space="0" w:color="auto"/>
        <w:bottom w:val="none" w:sz="0" w:space="0" w:color="auto"/>
        <w:right w:val="none" w:sz="0" w:space="0" w:color="auto"/>
      </w:divBdr>
    </w:div>
    <w:div w:id="111440118">
      <w:bodyDiv w:val="1"/>
      <w:marLeft w:val="0"/>
      <w:marRight w:val="0"/>
      <w:marTop w:val="0"/>
      <w:marBottom w:val="0"/>
      <w:divBdr>
        <w:top w:val="none" w:sz="0" w:space="0" w:color="auto"/>
        <w:left w:val="none" w:sz="0" w:space="0" w:color="auto"/>
        <w:bottom w:val="none" w:sz="0" w:space="0" w:color="auto"/>
        <w:right w:val="none" w:sz="0" w:space="0" w:color="auto"/>
      </w:divBdr>
    </w:div>
    <w:div w:id="111483087">
      <w:bodyDiv w:val="1"/>
      <w:marLeft w:val="0"/>
      <w:marRight w:val="0"/>
      <w:marTop w:val="0"/>
      <w:marBottom w:val="0"/>
      <w:divBdr>
        <w:top w:val="none" w:sz="0" w:space="0" w:color="auto"/>
        <w:left w:val="none" w:sz="0" w:space="0" w:color="auto"/>
        <w:bottom w:val="none" w:sz="0" w:space="0" w:color="auto"/>
        <w:right w:val="none" w:sz="0" w:space="0" w:color="auto"/>
      </w:divBdr>
    </w:div>
    <w:div w:id="111485287">
      <w:bodyDiv w:val="1"/>
      <w:marLeft w:val="0"/>
      <w:marRight w:val="0"/>
      <w:marTop w:val="0"/>
      <w:marBottom w:val="0"/>
      <w:divBdr>
        <w:top w:val="none" w:sz="0" w:space="0" w:color="auto"/>
        <w:left w:val="none" w:sz="0" w:space="0" w:color="auto"/>
        <w:bottom w:val="none" w:sz="0" w:space="0" w:color="auto"/>
        <w:right w:val="none" w:sz="0" w:space="0" w:color="auto"/>
      </w:divBdr>
    </w:div>
    <w:div w:id="111487444">
      <w:bodyDiv w:val="1"/>
      <w:marLeft w:val="0"/>
      <w:marRight w:val="0"/>
      <w:marTop w:val="0"/>
      <w:marBottom w:val="0"/>
      <w:divBdr>
        <w:top w:val="none" w:sz="0" w:space="0" w:color="auto"/>
        <w:left w:val="none" w:sz="0" w:space="0" w:color="auto"/>
        <w:bottom w:val="none" w:sz="0" w:space="0" w:color="auto"/>
        <w:right w:val="none" w:sz="0" w:space="0" w:color="auto"/>
      </w:divBdr>
    </w:div>
    <w:div w:id="111562217">
      <w:bodyDiv w:val="1"/>
      <w:marLeft w:val="0"/>
      <w:marRight w:val="0"/>
      <w:marTop w:val="0"/>
      <w:marBottom w:val="0"/>
      <w:divBdr>
        <w:top w:val="none" w:sz="0" w:space="0" w:color="auto"/>
        <w:left w:val="none" w:sz="0" w:space="0" w:color="auto"/>
        <w:bottom w:val="none" w:sz="0" w:space="0" w:color="auto"/>
        <w:right w:val="none" w:sz="0" w:space="0" w:color="auto"/>
      </w:divBdr>
    </w:div>
    <w:div w:id="111746924">
      <w:bodyDiv w:val="1"/>
      <w:marLeft w:val="0"/>
      <w:marRight w:val="0"/>
      <w:marTop w:val="0"/>
      <w:marBottom w:val="0"/>
      <w:divBdr>
        <w:top w:val="none" w:sz="0" w:space="0" w:color="auto"/>
        <w:left w:val="none" w:sz="0" w:space="0" w:color="auto"/>
        <w:bottom w:val="none" w:sz="0" w:space="0" w:color="auto"/>
        <w:right w:val="none" w:sz="0" w:space="0" w:color="auto"/>
      </w:divBdr>
    </w:div>
    <w:div w:id="111755602">
      <w:bodyDiv w:val="1"/>
      <w:marLeft w:val="0"/>
      <w:marRight w:val="0"/>
      <w:marTop w:val="0"/>
      <w:marBottom w:val="0"/>
      <w:divBdr>
        <w:top w:val="none" w:sz="0" w:space="0" w:color="auto"/>
        <w:left w:val="none" w:sz="0" w:space="0" w:color="auto"/>
        <w:bottom w:val="none" w:sz="0" w:space="0" w:color="auto"/>
        <w:right w:val="none" w:sz="0" w:space="0" w:color="auto"/>
      </w:divBdr>
    </w:div>
    <w:div w:id="111829165">
      <w:bodyDiv w:val="1"/>
      <w:marLeft w:val="0"/>
      <w:marRight w:val="0"/>
      <w:marTop w:val="0"/>
      <w:marBottom w:val="0"/>
      <w:divBdr>
        <w:top w:val="none" w:sz="0" w:space="0" w:color="auto"/>
        <w:left w:val="none" w:sz="0" w:space="0" w:color="auto"/>
        <w:bottom w:val="none" w:sz="0" w:space="0" w:color="auto"/>
        <w:right w:val="none" w:sz="0" w:space="0" w:color="auto"/>
      </w:divBdr>
    </w:div>
    <w:div w:id="111831085">
      <w:bodyDiv w:val="1"/>
      <w:marLeft w:val="0"/>
      <w:marRight w:val="0"/>
      <w:marTop w:val="0"/>
      <w:marBottom w:val="0"/>
      <w:divBdr>
        <w:top w:val="none" w:sz="0" w:space="0" w:color="auto"/>
        <w:left w:val="none" w:sz="0" w:space="0" w:color="auto"/>
        <w:bottom w:val="none" w:sz="0" w:space="0" w:color="auto"/>
        <w:right w:val="none" w:sz="0" w:space="0" w:color="auto"/>
      </w:divBdr>
    </w:div>
    <w:div w:id="112017747">
      <w:bodyDiv w:val="1"/>
      <w:marLeft w:val="0"/>
      <w:marRight w:val="0"/>
      <w:marTop w:val="0"/>
      <w:marBottom w:val="0"/>
      <w:divBdr>
        <w:top w:val="none" w:sz="0" w:space="0" w:color="auto"/>
        <w:left w:val="none" w:sz="0" w:space="0" w:color="auto"/>
        <w:bottom w:val="none" w:sz="0" w:space="0" w:color="auto"/>
        <w:right w:val="none" w:sz="0" w:space="0" w:color="auto"/>
      </w:divBdr>
    </w:div>
    <w:div w:id="112134027">
      <w:bodyDiv w:val="1"/>
      <w:marLeft w:val="0"/>
      <w:marRight w:val="0"/>
      <w:marTop w:val="0"/>
      <w:marBottom w:val="0"/>
      <w:divBdr>
        <w:top w:val="none" w:sz="0" w:space="0" w:color="auto"/>
        <w:left w:val="none" w:sz="0" w:space="0" w:color="auto"/>
        <w:bottom w:val="none" w:sz="0" w:space="0" w:color="auto"/>
        <w:right w:val="none" w:sz="0" w:space="0" w:color="auto"/>
      </w:divBdr>
    </w:div>
    <w:div w:id="112218045">
      <w:bodyDiv w:val="1"/>
      <w:marLeft w:val="0"/>
      <w:marRight w:val="0"/>
      <w:marTop w:val="0"/>
      <w:marBottom w:val="0"/>
      <w:divBdr>
        <w:top w:val="none" w:sz="0" w:space="0" w:color="auto"/>
        <w:left w:val="none" w:sz="0" w:space="0" w:color="auto"/>
        <w:bottom w:val="none" w:sz="0" w:space="0" w:color="auto"/>
        <w:right w:val="none" w:sz="0" w:space="0" w:color="auto"/>
      </w:divBdr>
    </w:div>
    <w:div w:id="112285242">
      <w:bodyDiv w:val="1"/>
      <w:marLeft w:val="0"/>
      <w:marRight w:val="0"/>
      <w:marTop w:val="0"/>
      <w:marBottom w:val="0"/>
      <w:divBdr>
        <w:top w:val="none" w:sz="0" w:space="0" w:color="auto"/>
        <w:left w:val="none" w:sz="0" w:space="0" w:color="auto"/>
        <w:bottom w:val="none" w:sz="0" w:space="0" w:color="auto"/>
        <w:right w:val="none" w:sz="0" w:space="0" w:color="auto"/>
      </w:divBdr>
    </w:div>
    <w:div w:id="112288964">
      <w:bodyDiv w:val="1"/>
      <w:marLeft w:val="0"/>
      <w:marRight w:val="0"/>
      <w:marTop w:val="0"/>
      <w:marBottom w:val="0"/>
      <w:divBdr>
        <w:top w:val="none" w:sz="0" w:space="0" w:color="auto"/>
        <w:left w:val="none" w:sz="0" w:space="0" w:color="auto"/>
        <w:bottom w:val="none" w:sz="0" w:space="0" w:color="auto"/>
        <w:right w:val="none" w:sz="0" w:space="0" w:color="auto"/>
      </w:divBdr>
    </w:div>
    <w:div w:id="112292174">
      <w:bodyDiv w:val="1"/>
      <w:marLeft w:val="0"/>
      <w:marRight w:val="0"/>
      <w:marTop w:val="0"/>
      <w:marBottom w:val="0"/>
      <w:divBdr>
        <w:top w:val="none" w:sz="0" w:space="0" w:color="auto"/>
        <w:left w:val="none" w:sz="0" w:space="0" w:color="auto"/>
        <w:bottom w:val="none" w:sz="0" w:space="0" w:color="auto"/>
        <w:right w:val="none" w:sz="0" w:space="0" w:color="auto"/>
      </w:divBdr>
    </w:div>
    <w:div w:id="112479491">
      <w:bodyDiv w:val="1"/>
      <w:marLeft w:val="0"/>
      <w:marRight w:val="0"/>
      <w:marTop w:val="0"/>
      <w:marBottom w:val="0"/>
      <w:divBdr>
        <w:top w:val="none" w:sz="0" w:space="0" w:color="auto"/>
        <w:left w:val="none" w:sz="0" w:space="0" w:color="auto"/>
        <w:bottom w:val="none" w:sz="0" w:space="0" w:color="auto"/>
        <w:right w:val="none" w:sz="0" w:space="0" w:color="auto"/>
      </w:divBdr>
    </w:div>
    <w:div w:id="112481596">
      <w:bodyDiv w:val="1"/>
      <w:marLeft w:val="0"/>
      <w:marRight w:val="0"/>
      <w:marTop w:val="0"/>
      <w:marBottom w:val="0"/>
      <w:divBdr>
        <w:top w:val="none" w:sz="0" w:space="0" w:color="auto"/>
        <w:left w:val="none" w:sz="0" w:space="0" w:color="auto"/>
        <w:bottom w:val="none" w:sz="0" w:space="0" w:color="auto"/>
        <w:right w:val="none" w:sz="0" w:space="0" w:color="auto"/>
      </w:divBdr>
    </w:div>
    <w:div w:id="112555462">
      <w:bodyDiv w:val="1"/>
      <w:marLeft w:val="0"/>
      <w:marRight w:val="0"/>
      <w:marTop w:val="0"/>
      <w:marBottom w:val="0"/>
      <w:divBdr>
        <w:top w:val="none" w:sz="0" w:space="0" w:color="auto"/>
        <w:left w:val="none" w:sz="0" w:space="0" w:color="auto"/>
        <w:bottom w:val="none" w:sz="0" w:space="0" w:color="auto"/>
        <w:right w:val="none" w:sz="0" w:space="0" w:color="auto"/>
      </w:divBdr>
    </w:div>
    <w:div w:id="112555802">
      <w:bodyDiv w:val="1"/>
      <w:marLeft w:val="0"/>
      <w:marRight w:val="0"/>
      <w:marTop w:val="0"/>
      <w:marBottom w:val="0"/>
      <w:divBdr>
        <w:top w:val="none" w:sz="0" w:space="0" w:color="auto"/>
        <w:left w:val="none" w:sz="0" w:space="0" w:color="auto"/>
        <w:bottom w:val="none" w:sz="0" w:space="0" w:color="auto"/>
        <w:right w:val="none" w:sz="0" w:space="0" w:color="auto"/>
      </w:divBdr>
    </w:div>
    <w:div w:id="112556944">
      <w:bodyDiv w:val="1"/>
      <w:marLeft w:val="0"/>
      <w:marRight w:val="0"/>
      <w:marTop w:val="0"/>
      <w:marBottom w:val="0"/>
      <w:divBdr>
        <w:top w:val="none" w:sz="0" w:space="0" w:color="auto"/>
        <w:left w:val="none" w:sz="0" w:space="0" w:color="auto"/>
        <w:bottom w:val="none" w:sz="0" w:space="0" w:color="auto"/>
        <w:right w:val="none" w:sz="0" w:space="0" w:color="auto"/>
      </w:divBdr>
    </w:div>
    <w:div w:id="112598415">
      <w:bodyDiv w:val="1"/>
      <w:marLeft w:val="0"/>
      <w:marRight w:val="0"/>
      <w:marTop w:val="0"/>
      <w:marBottom w:val="0"/>
      <w:divBdr>
        <w:top w:val="none" w:sz="0" w:space="0" w:color="auto"/>
        <w:left w:val="none" w:sz="0" w:space="0" w:color="auto"/>
        <w:bottom w:val="none" w:sz="0" w:space="0" w:color="auto"/>
        <w:right w:val="none" w:sz="0" w:space="0" w:color="auto"/>
      </w:divBdr>
    </w:div>
    <w:div w:id="112601497">
      <w:bodyDiv w:val="1"/>
      <w:marLeft w:val="0"/>
      <w:marRight w:val="0"/>
      <w:marTop w:val="0"/>
      <w:marBottom w:val="0"/>
      <w:divBdr>
        <w:top w:val="none" w:sz="0" w:space="0" w:color="auto"/>
        <w:left w:val="none" w:sz="0" w:space="0" w:color="auto"/>
        <w:bottom w:val="none" w:sz="0" w:space="0" w:color="auto"/>
        <w:right w:val="none" w:sz="0" w:space="0" w:color="auto"/>
      </w:divBdr>
    </w:div>
    <w:div w:id="112602274">
      <w:bodyDiv w:val="1"/>
      <w:marLeft w:val="0"/>
      <w:marRight w:val="0"/>
      <w:marTop w:val="0"/>
      <w:marBottom w:val="0"/>
      <w:divBdr>
        <w:top w:val="none" w:sz="0" w:space="0" w:color="auto"/>
        <w:left w:val="none" w:sz="0" w:space="0" w:color="auto"/>
        <w:bottom w:val="none" w:sz="0" w:space="0" w:color="auto"/>
        <w:right w:val="none" w:sz="0" w:space="0" w:color="auto"/>
      </w:divBdr>
    </w:div>
    <w:div w:id="112797818">
      <w:bodyDiv w:val="1"/>
      <w:marLeft w:val="0"/>
      <w:marRight w:val="0"/>
      <w:marTop w:val="0"/>
      <w:marBottom w:val="0"/>
      <w:divBdr>
        <w:top w:val="none" w:sz="0" w:space="0" w:color="auto"/>
        <w:left w:val="none" w:sz="0" w:space="0" w:color="auto"/>
        <w:bottom w:val="none" w:sz="0" w:space="0" w:color="auto"/>
        <w:right w:val="none" w:sz="0" w:space="0" w:color="auto"/>
      </w:divBdr>
    </w:div>
    <w:div w:id="112867884">
      <w:bodyDiv w:val="1"/>
      <w:marLeft w:val="0"/>
      <w:marRight w:val="0"/>
      <w:marTop w:val="0"/>
      <w:marBottom w:val="0"/>
      <w:divBdr>
        <w:top w:val="none" w:sz="0" w:space="0" w:color="auto"/>
        <w:left w:val="none" w:sz="0" w:space="0" w:color="auto"/>
        <w:bottom w:val="none" w:sz="0" w:space="0" w:color="auto"/>
        <w:right w:val="none" w:sz="0" w:space="0" w:color="auto"/>
      </w:divBdr>
    </w:div>
    <w:div w:id="112870060">
      <w:bodyDiv w:val="1"/>
      <w:marLeft w:val="0"/>
      <w:marRight w:val="0"/>
      <w:marTop w:val="0"/>
      <w:marBottom w:val="0"/>
      <w:divBdr>
        <w:top w:val="none" w:sz="0" w:space="0" w:color="auto"/>
        <w:left w:val="none" w:sz="0" w:space="0" w:color="auto"/>
        <w:bottom w:val="none" w:sz="0" w:space="0" w:color="auto"/>
        <w:right w:val="none" w:sz="0" w:space="0" w:color="auto"/>
      </w:divBdr>
    </w:div>
    <w:div w:id="112944262">
      <w:bodyDiv w:val="1"/>
      <w:marLeft w:val="0"/>
      <w:marRight w:val="0"/>
      <w:marTop w:val="0"/>
      <w:marBottom w:val="0"/>
      <w:divBdr>
        <w:top w:val="none" w:sz="0" w:space="0" w:color="auto"/>
        <w:left w:val="none" w:sz="0" w:space="0" w:color="auto"/>
        <w:bottom w:val="none" w:sz="0" w:space="0" w:color="auto"/>
        <w:right w:val="none" w:sz="0" w:space="0" w:color="auto"/>
      </w:divBdr>
    </w:div>
    <w:div w:id="112944434">
      <w:bodyDiv w:val="1"/>
      <w:marLeft w:val="0"/>
      <w:marRight w:val="0"/>
      <w:marTop w:val="0"/>
      <w:marBottom w:val="0"/>
      <w:divBdr>
        <w:top w:val="none" w:sz="0" w:space="0" w:color="auto"/>
        <w:left w:val="none" w:sz="0" w:space="0" w:color="auto"/>
        <w:bottom w:val="none" w:sz="0" w:space="0" w:color="auto"/>
        <w:right w:val="none" w:sz="0" w:space="0" w:color="auto"/>
      </w:divBdr>
    </w:div>
    <w:div w:id="112988121">
      <w:bodyDiv w:val="1"/>
      <w:marLeft w:val="0"/>
      <w:marRight w:val="0"/>
      <w:marTop w:val="0"/>
      <w:marBottom w:val="0"/>
      <w:divBdr>
        <w:top w:val="none" w:sz="0" w:space="0" w:color="auto"/>
        <w:left w:val="none" w:sz="0" w:space="0" w:color="auto"/>
        <w:bottom w:val="none" w:sz="0" w:space="0" w:color="auto"/>
        <w:right w:val="none" w:sz="0" w:space="0" w:color="auto"/>
      </w:divBdr>
    </w:div>
    <w:div w:id="113066857">
      <w:bodyDiv w:val="1"/>
      <w:marLeft w:val="0"/>
      <w:marRight w:val="0"/>
      <w:marTop w:val="0"/>
      <w:marBottom w:val="0"/>
      <w:divBdr>
        <w:top w:val="none" w:sz="0" w:space="0" w:color="auto"/>
        <w:left w:val="none" w:sz="0" w:space="0" w:color="auto"/>
        <w:bottom w:val="none" w:sz="0" w:space="0" w:color="auto"/>
        <w:right w:val="none" w:sz="0" w:space="0" w:color="auto"/>
      </w:divBdr>
    </w:div>
    <w:div w:id="113139059">
      <w:bodyDiv w:val="1"/>
      <w:marLeft w:val="0"/>
      <w:marRight w:val="0"/>
      <w:marTop w:val="0"/>
      <w:marBottom w:val="0"/>
      <w:divBdr>
        <w:top w:val="none" w:sz="0" w:space="0" w:color="auto"/>
        <w:left w:val="none" w:sz="0" w:space="0" w:color="auto"/>
        <w:bottom w:val="none" w:sz="0" w:space="0" w:color="auto"/>
        <w:right w:val="none" w:sz="0" w:space="0" w:color="auto"/>
      </w:divBdr>
    </w:div>
    <w:div w:id="113377312">
      <w:bodyDiv w:val="1"/>
      <w:marLeft w:val="0"/>
      <w:marRight w:val="0"/>
      <w:marTop w:val="0"/>
      <w:marBottom w:val="0"/>
      <w:divBdr>
        <w:top w:val="none" w:sz="0" w:space="0" w:color="auto"/>
        <w:left w:val="none" w:sz="0" w:space="0" w:color="auto"/>
        <w:bottom w:val="none" w:sz="0" w:space="0" w:color="auto"/>
        <w:right w:val="none" w:sz="0" w:space="0" w:color="auto"/>
      </w:divBdr>
    </w:div>
    <w:div w:id="113377682">
      <w:bodyDiv w:val="1"/>
      <w:marLeft w:val="0"/>
      <w:marRight w:val="0"/>
      <w:marTop w:val="0"/>
      <w:marBottom w:val="0"/>
      <w:divBdr>
        <w:top w:val="none" w:sz="0" w:space="0" w:color="auto"/>
        <w:left w:val="none" w:sz="0" w:space="0" w:color="auto"/>
        <w:bottom w:val="none" w:sz="0" w:space="0" w:color="auto"/>
        <w:right w:val="none" w:sz="0" w:space="0" w:color="auto"/>
      </w:divBdr>
    </w:div>
    <w:div w:id="113836332">
      <w:bodyDiv w:val="1"/>
      <w:marLeft w:val="0"/>
      <w:marRight w:val="0"/>
      <w:marTop w:val="0"/>
      <w:marBottom w:val="0"/>
      <w:divBdr>
        <w:top w:val="none" w:sz="0" w:space="0" w:color="auto"/>
        <w:left w:val="none" w:sz="0" w:space="0" w:color="auto"/>
        <w:bottom w:val="none" w:sz="0" w:space="0" w:color="auto"/>
        <w:right w:val="none" w:sz="0" w:space="0" w:color="auto"/>
      </w:divBdr>
    </w:div>
    <w:div w:id="113912316">
      <w:bodyDiv w:val="1"/>
      <w:marLeft w:val="0"/>
      <w:marRight w:val="0"/>
      <w:marTop w:val="0"/>
      <w:marBottom w:val="0"/>
      <w:divBdr>
        <w:top w:val="none" w:sz="0" w:space="0" w:color="auto"/>
        <w:left w:val="none" w:sz="0" w:space="0" w:color="auto"/>
        <w:bottom w:val="none" w:sz="0" w:space="0" w:color="auto"/>
        <w:right w:val="none" w:sz="0" w:space="0" w:color="auto"/>
      </w:divBdr>
    </w:div>
    <w:div w:id="113915364">
      <w:bodyDiv w:val="1"/>
      <w:marLeft w:val="0"/>
      <w:marRight w:val="0"/>
      <w:marTop w:val="0"/>
      <w:marBottom w:val="0"/>
      <w:divBdr>
        <w:top w:val="none" w:sz="0" w:space="0" w:color="auto"/>
        <w:left w:val="none" w:sz="0" w:space="0" w:color="auto"/>
        <w:bottom w:val="none" w:sz="0" w:space="0" w:color="auto"/>
        <w:right w:val="none" w:sz="0" w:space="0" w:color="auto"/>
      </w:divBdr>
    </w:div>
    <w:div w:id="114062887">
      <w:bodyDiv w:val="1"/>
      <w:marLeft w:val="0"/>
      <w:marRight w:val="0"/>
      <w:marTop w:val="0"/>
      <w:marBottom w:val="0"/>
      <w:divBdr>
        <w:top w:val="none" w:sz="0" w:space="0" w:color="auto"/>
        <w:left w:val="none" w:sz="0" w:space="0" w:color="auto"/>
        <w:bottom w:val="none" w:sz="0" w:space="0" w:color="auto"/>
        <w:right w:val="none" w:sz="0" w:space="0" w:color="auto"/>
      </w:divBdr>
    </w:div>
    <w:div w:id="114102806">
      <w:bodyDiv w:val="1"/>
      <w:marLeft w:val="0"/>
      <w:marRight w:val="0"/>
      <w:marTop w:val="0"/>
      <w:marBottom w:val="0"/>
      <w:divBdr>
        <w:top w:val="none" w:sz="0" w:space="0" w:color="auto"/>
        <w:left w:val="none" w:sz="0" w:space="0" w:color="auto"/>
        <w:bottom w:val="none" w:sz="0" w:space="0" w:color="auto"/>
        <w:right w:val="none" w:sz="0" w:space="0" w:color="auto"/>
      </w:divBdr>
    </w:div>
    <w:div w:id="114180028">
      <w:bodyDiv w:val="1"/>
      <w:marLeft w:val="0"/>
      <w:marRight w:val="0"/>
      <w:marTop w:val="0"/>
      <w:marBottom w:val="0"/>
      <w:divBdr>
        <w:top w:val="none" w:sz="0" w:space="0" w:color="auto"/>
        <w:left w:val="none" w:sz="0" w:space="0" w:color="auto"/>
        <w:bottom w:val="none" w:sz="0" w:space="0" w:color="auto"/>
        <w:right w:val="none" w:sz="0" w:space="0" w:color="auto"/>
      </w:divBdr>
    </w:div>
    <w:div w:id="114259526">
      <w:bodyDiv w:val="1"/>
      <w:marLeft w:val="0"/>
      <w:marRight w:val="0"/>
      <w:marTop w:val="0"/>
      <w:marBottom w:val="0"/>
      <w:divBdr>
        <w:top w:val="none" w:sz="0" w:space="0" w:color="auto"/>
        <w:left w:val="none" w:sz="0" w:space="0" w:color="auto"/>
        <w:bottom w:val="none" w:sz="0" w:space="0" w:color="auto"/>
        <w:right w:val="none" w:sz="0" w:space="0" w:color="auto"/>
      </w:divBdr>
    </w:div>
    <w:div w:id="114491430">
      <w:bodyDiv w:val="1"/>
      <w:marLeft w:val="0"/>
      <w:marRight w:val="0"/>
      <w:marTop w:val="0"/>
      <w:marBottom w:val="0"/>
      <w:divBdr>
        <w:top w:val="none" w:sz="0" w:space="0" w:color="auto"/>
        <w:left w:val="none" w:sz="0" w:space="0" w:color="auto"/>
        <w:bottom w:val="none" w:sz="0" w:space="0" w:color="auto"/>
        <w:right w:val="none" w:sz="0" w:space="0" w:color="auto"/>
      </w:divBdr>
    </w:div>
    <w:div w:id="114523224">
      <w:bodyDiv w:val="1"/>
      <w:marLeft w:val="0"/>
      <w:marRight w:val="0"/>
      <w:marTop w:val="0"/>
      <w:marBottom w:val="0"/>
      <w:divBdr>
        <w:top w:val="none" w:sz="0" w:space="0" w:color="auto"/>
        <w:left w:val="none" w:sz="0" w:space="0" w:color="auto"/>
        <w:bottom w:val="none" w:sz="0" w:space="0" w:color="auto"/>
        <w:right w:val="none" w:sz="0" w:space="0" w:color="auto"/>
      </w:divBdr>
    </w:div>
    <w:div w:id="114567340">
      <w:bodyDiv w:val="1"/>
      <w:marLeft w:val="0"/>
      <w:marRight w:val="0"/>
      <w:marTop w:val="0"/>
      <w:marBottom w:val="0"/>
      <w:divBdr>
        <w:top w:val="none" w:sz="0" w:space="0" w:color="auto"/>
        <w:left w:val="none" w:sz="0" w:space="0" w:color="auto"/>
        <w:bottom w:val="none" w:sz="0" w:space="0" w:color="auto"/>
        <w:right w:val="none" w:sz="0" w:space="0" w:color="auto"/>
      </w:divBdr>
    </w:div>
    <w:div w:id="114638314">
      <w:bodyDiv w:val="1"/>
      <w:marLeft w:val="0"/>
      <w:marRight w:val="0"/>
      <w:marTop w:val="0"/>
      <w:marBottom w:val="0"/>
      <w:divBdr>
        <w:top w:val="none" w:sz="0" w:space="0" w:color="auto"/>
        <w:left w:val="none" w:sz="0" w:space="0" w:color="auto"/>
        <w:bottom w:val="none" w:sz="0" w:space="0" w:color="auto"/>
        <w:right w:val="none" w:sz="0" w:space="0" w:color="auto"/>
      </w:divBdr>
    </w:div>
    <w:div w:id="114639291">
      <w:bodyDiv w:val="1"/>
      <w:marLeft w:val="0"/>
      <w:marRight w:val="0"/>
      <w:marTop w:val="0"/>
      <w:marBottom w:val="0"/>
      <w:divBdr>
        <w:top w:val="none" w:sz="0" w:space="0" w:color="auto"/>
        <w:left w:val="none" w:sz="0" w:space="0" w:color="auto"/>
        <w:bottom w:val="none" w:sz="0" w:space="0" w:color="auto"/>
        <w:right w:val="none" w:sz="0" w:space="0" w:color="auto"/>
      </w:divBdr>
    </w:div>
    <w:div w:id="114642763">
      <w:bodyDiv w:val="1"/>
      <w:marLeft w:val="0"/>
      <w:marRight w:val="0"/>
      <w:marTop w:val="0"/>
      <w:marBottom w:val="0"/>
      <w:divBdr>
        <w:top w:val="none" w:sz="0" w:space="0" w:color="auto"/>
        <w:left w:val="none" w:sz="0" w:space="0" w:color="auto"/>
        <w:bottom w:val="none" w:sz="0" w:space="0" w:color="auto"/>
        <w:right w:val="none" w:sz="0" w:space="0" w:color="auto"/>
      </w:divBdr>
    </w:div>
    <w:div w:id="114643174">
      <w:bodyDiv w:val="1"/>
      <w:marLeft w:val="0"/>
      <w:marRight w:val="0"/>
      <w:marTop w:val="0"/>
      <w:marBottom w:val="0"/>
      <w:divBdr>
        <w:top w:val="none" w:sz="0" w:space="0" w:color="auto"/>
        <w:left w:val="none" w:sz="0" w:space="0" w:color="auto"/>
        <w:bottom w:val="none" w:sz="0" w:space="0" w:color="auto"/>
        <w:right w:val="none" w:sz="0" w:space="0" w:color="auto"/>
      </w:divBdr>
    </w:div>
    <w:div w:id="114718986">
      <w:bodyDiv w:val="1"/>
      <w:marLeft w:val="0"/>
      <w:marRight w:val="0"/>
      <w:marTop w:val="0"/>
      <w:marBottom w:val="0"/>
      <w:divBdr>
        <w:top w:val="none" w:sz="0" w:space="0" w:color="auto"/>
        <w:left w:val="none" w:sz="0" w:space="0" w:color="auto"/>
        <w:bottom w:val="none" w:sz="0" w:space="0" w:color="auto"/>
        <w:right w:val="none" w:sz="0" w:space="0" w:color="auto"/>
      </w:divBdr>
    </w:div>
    <w:div w:id="114756606">
      <w:bodyDiv w:val="1"/>
      <w:marLeft w:val="0"/>
      <w:marRight w:val="0"/>
      <w:marTop w:val="0"/>
      <w:marBottom w:val="0"/>
      <w:divBdr>
        <w:top w:val="none" w:sz="0" w:space="0" w:color="auto"/>
        <w:left w:val="none" w:sz="0" w:space="0" w:color="auto"/>
        <w:bottom w:val="none" w:sz="0" w:space="0" w:color="auto"/>
        <w:right w:val="none" w:sz="0" w:space="0" w:color="auto"/>
      </w:divBdr>
    </w:div>
    <w:div w:id="114759054">
      <w:bodyDiv w:val="1"/>
      <w:marLeft w:val="0"/>
      <w:marRight w:val="0"/>
      <w:marTop w:val="0"/>
      <w:marBottom w:val="0"/>
      <w:divBdr>
        <w:top w:val="none" w:sz="0" w:space="0" w:color="auto"/>
        <w:left w:val="none" w:sz="0" w:space="0" w:color="auto"/>
        <w:bottom w:val="none" w:sz="0" w:space="0" w:color="auto"/>
        <w:right w:val="none" w:sz="0" w:space="0" w:color="auto"/>
      </w:divBdr>
    </w:div>
    <w:div w:id="114951299">
      <w:bodyDiv w:val="1"/>
      <w:marLeft w:val="0"/>
      <w:marRight w:val="0"/>
      <w:marTop w:val="0"/>
      <w:marBottom w:val="0"/>
      <w:divBdr>
        <w:top w:val="none" w:sz="0" w:space="0" w:color="auto"/>
        <w:left w:val="none" w:sz="0" w:space="0" w:color="auto"/>
        <w:bottom w:val="none" w:sz="0" w:space="0" w:color="auto"/>
        <w:right w:val="none" w:sz="0" w:space="0" w:color="auto"/>
      </w:divBdr>
    </w:div>
    <w:div w:id="114954732">
      <w:bodyDiv w:val="1"/>
      <w:marLeft w:val="0"/>
      <w:marRight w:val="0"/>
      <w:marTop w:val="0"/>
      <w:marBottom w:val="0"/>
      <w:divBdr>
        <w:top w:val="none" w:sz="0" w:space="0" w:color="auto"/>
        <w:left w:val="none" w:sz="0" w:space="0" w:color="auto"/>
        <w:bottom w:val="none" w:sz="0" w:space="0" w:color="auto"/>
        <w:right w:val="none" w:sz="0" w:space="0" w:color="auto"/>
      </w:divBdr>
    </w:div>
    <w:div w:id="115292488">
      <w:bodyDiv w:val="1"/>
      <w:marLeft w:val="0"/>
      <w:marRight w:val="0"/>
      <w:marTop w:val="0"/>
      <w:marBottom w:val="0"/>
      <w:divBdr>
        <w:top w:val="none" w:sz="0" w:space="0" w:color="auto"/>
        <w:left w:val="none" w:sz="0" w:space="0" w:color="auto"/>
        <w:bottom w:val="none" w:sz="0" w:space="0" w:color="auto"/>
        <w:right w:val="none" w:sz="0" w:space="0" w:color="auto"/>
      </w:divBdr>
    </w:div>
    <w:div w:id="115293590">
      <w:bodyDiv w:val="1"/>
      <w:marLeft w:val="0"/>
      <w:marRight w:val="0"/>
      <w:marTop w:val="0"/>
      <w:marBottom w:val="0"/>
      <w:divBdr>
        <w:top w:val="none" w:sz="0" w:space="0" w:color="auto"/>
        <w:left w:val="none" w:sz="0" w:space="0" w:color="auto"/>
        <w:bottom w:val="none" w:sz="0" w:space="0" w:color="auto"/>
        <w:right w:val="none" w:sz="0" w:space="0" w:color="auto"/>
      </w:divBdr>
    </w:div>
    <w:div w:id="115374374">
      <w:bodyDiv w:val="1"/>
      <w:marLeft w:val="0"/>
      <w:marRight w:val="0"/>
      <w:marTop w:val="0"/>
      <w:marBottom w:val="0"/>
      <w:divBdr>
        <w:top w:val="none" w:sz="0" w:space="0" w:color="auto"/>
        <w:left w:val="none" w:sz="0" w:space="0" w:color="auto"/>
        <w:bottom w:val="none" w:sz="0" w:space="0" w:color="auto"/>
        <w:right w:val="none" w:sz="0" w:space="0" w:color="auto"/>
      </w:divBdr>
    </w:div>
    <w:div w:id="115489816">
      <w:bodyDiv w:val="1"/>
      <w:marLeft w:val="0"/>
      <w:marRight w:val="0"/>
      <w:marTop w:val="0"/>
      <w:marBottom w:val="0"/>
      <w:divBdr>
        <w:top w:val="none" w:sz="0" w:space="0" w:color="auto"/>
        <w:left w:val="none" w:sz="0" w:space="0" w:color="auto"/>
        <w:bottom w:val="none" w:sz="0" w:space="0" w:color="auto"/>
        <w:right w:val="none" w:sz="0" w:space="0" w:color="auto"/>
      </w:divBdr>
    </w:div>
    <w:div w:id="115683160">
      <w:bodyDiv w:val="1"/>
      <w:marLeft w:val="0"/>
      <w:marRight w:val="0"/>
      <w:marTop w:val="0"/>
      <w:marBottom w:val="0"/>
      <w:divBdr>
        <w:top w:val="none" w:sz="0" w:space="0" w:color="auto"/>
        <w:left w:val="none" w:sz="0" w:space="0" w:color="auto"/>
        <w:bottom w:val="none" w:sz="0" w:space="0" w:color="auto"/>
        <w:right w:val="none" w:sz="0" w:space="0" w:color="auto"/>
      </w:divBdr>
    </w:div>
    <w:div w:id="115757337">
      <w:bodyDiv w:val="1"/>
      <w:marLeft w:val="0"/>
      <w:marRight w:val="0"/>
      <w:marTop w:val="0"/>
      <w:marBottom w:val="0"/>
      <w:divBdr>
        <w:top w:val="none" w:sz="0" w:space="0" w:color="auto"/>
        <w:left w:val="none" w:sz="0" w:space="0" w:color="auto"/>
        <w:bottom w:val="none" w:sz="0" w:space="0" w:color="auto"/>
        <w:right w:val="none" w:sz="0" w:space="0" w:color="auto"/>
      </w:divBdr>
    </w:div>
    <w:div w:id="115830914">
      <w:bodyDiv w:val="1"/>
      <w:marLeft w:val="0"/>
      <w:marRight w:val="0"/>
      <w:marTop w:val="0"/>
      <w:marBottom w:val="0"/>
      <w:divBdr>
        <w:top w:val="none" w:sz="0" w:space="0" w:color="auto"/>
        <w:left w:val="none" w:sz="0" w:space="0" w:color="auto"/>
        <w:bottom w:val="none" w:sz="0" w:space="0" w:color="auto"/>
        <w:right w:val="none" w:sz="0" w:space="0" w:color="auto"/>
      </w:divBdr>
    </w:div>
    <w:div w:id="115832806">
      <w:bodyDiv w:val="1"/>
      <w:marLeft w:val="0"/>
      <w:marRight w:val="0"/>
      <w:marTop w:val="0"/>
      <w:marBottom w:val="0"/>
      <w:divBdr>
        <w:top w:val="none" w:sz="0" w:space="0" w:color="auto"/>
        <w:left w:val="none" w:sz="0" w:space="0" w:color="auto"/>
        <w:bottom w:val="none" w:sz="0" w:space="0" w:color="auto"/>
        <w:right w:val="none" w:sz="0" w:space="0" w:color="auto"/>
      </w:divBdr>
    </w:div>
    <w:div w:id="116026880">
      <w:bodyDiv w:val="1"/>
      <w:marLeft w:val="0"/>
      <w:marRight w:val="0"/>
      <w:marTop w:val="0"/>
      <w:marBottom w:val="0"/>
      <w:divBdr>
        <w:top w:val="none" w:sz="0" w:space="0" w:color="auto"/>
        <w:left w:val="none" w:sz="0" w:space="0" w:color="auto"/>
        <w:bottom w:val="none" w:sz="0" w:space="0" w:color="auto"/>
        <w:right w:val="none" w:sz="0" w:space="0" w:color="auto"/>
      </w:divBdr>
    </w:div>
    <w:div w:id="116072900">
      <w:bodyDiv w:val="1"/>
      <w:marLeft w:val="0"/>
      <w:marRight w:val="0"/>
      <w:marTop w:val="0"/>
      <w:marBottom w:val="0"/>
      <w:divBdr>
        <w:top w:val="none" w:sz="0" w:space="0" w:color="auto"/>
        <w:left w:val="none" w:sz="0" w:space="0" w:color="auto"/>
        <w:bottom w:val="none" w:sz="0" w:space="0" w:color="auto"/>
        <w:right w:val="none" w:sz="0" w:space="0" w:color="auto"/>
      </w:divBdr>
    </w:div>
    <w:div w:id="116074202">
      <w:bodyDiv w:val="1"/>
      <w:marLeft w:val="0"/>
      <w:marRight w:val="0"/>
      <w:marTop w:val="0"/>
      <w:marBottom w:val="0"/>
      <w:divBdr>
        <w:top w:val="none" w:sz="0" w:space="0" w:color="auto"/>
        <w:left w:val="none" w:sz="0" w:space="0" w:color="auto"/>
        <w:bottom w:val="none" w:sz="0" w:space="0" w:color="auto"/>
        <w:right w:val="none" w:sz="0" w:space="0" w:color="auto"/>
      </w:divBdr>
    </w:div>
    <w:div w:id="116262933">
      <w:bodyDiv w:val="1"/>
      <w:marLeft w:val="0"/>
      <w:marRight w:val="0"/>
      <w:marTop w:val="0"/>
      <w:marBottom w:val="0"/>
      <w:divBdr>
        <w:top w:val="none" w:sz="0" w:space="0" w:color="auto"/>
        <w:left w:val="none" w:sz="0" w:space="0" w:color="auto"/>
        <w:bottom w:val="none" w:sz="0" w:space="0" w:color="auto"/>
        <w:right w:val="none" w:sz="0" w:space="0" w:color="auto"/>
      </w:divBdr>
    </w:div>
    <w:div w:id="116336811">
      <w:bodyDiv w:val="1"/>
      <w:marLeft w:val="0"/>
      <w:marRight w:val="0"/>
      <w:marTop w:val="0"/>
      <w:marBottom w:val="0"/>
      <w:divBdr>
        <w:top w:val="none" w:sz="0" w:space="0" w:color="auto"/>
        <w:left w:val="none" w:sz="0" w:space="0" w:color="auto"/>
        <w:bottom w:val="none" w:sz="0" w:space="0" w:color="auto"/>
        <w:right w:val="none" w:sz="0" w:space="0" w:color="auto"/>
      </w:divBdr>
    </w:div>
    <w:div w:id="116339351">
      <w:bodyDiv w:val="1"/>
      <w:marLeft w:val="0"/>
      <w:marRight w:val="0"/>
      <w:marTop w:val="0"/>
      <w:marBottom w:val="0"/>
      <w:divBdr>
        <w:top w:val="none" w:sz="0" w:space="0" w:color="auto"/>
        <w:left w:val="none" w:sz="0" w:space="0" w:color="auto"/>
        <w:bottom w:val="none" w:sz="0" w:space="0" w:color="auto"/>
        <w:right w:val="none" w:sz="0" w:space="0" w:color="auto"/>
      </w:divBdr>
    </w:div>
    <w:div w:id="116409353">
      <w:bodyDiv w:val="1"/>
      <w:marLeft w:val="0"/>
      <w:marRight w:val="0"/>
      <w:marTop w:val="0"/>
      <w:marBottom w:val="0"/>
      <w:divBdr>
        <w:top w:val="none" w:sz="0" w:space="0" w:color="auto"/>
        <w:left w:val="none" w:sz="0" w:space="0" w:color="auto"/>
        <w:bottom w:val="none" w:sz="0" w:space="0" w:color="auto"/>
        <w:right w:val="none" w:sz="0" w:space="0" w:color="auto"/>
      </w:divBdr>
    </w:div>
    <w:div w:id="116413950">
      <w:bodyDiv w:val="1"/>
      <w:marLeft w:val="0"/>
      <w:marRight w:val="0"/>
      <w:marTop w:val="0"/>
      <w:marBottom w:val="0"/>
      <w:divBdr>
        <w:top w:val="none" w:sz="0" w:space="0" w:color="auto"/>
        <w:left w:val="none" w:sz="0" w:space="0" w:color="auto"/>
        <w:bottom w:val="none" w:sz="0" w:space="0" w:color="auto"/>
        <w:right w:val="none" w:sz="0" w:space="0" w:color="auto"/>
      </w:divBdr>
    </w:div>
    <w:div w:id="116527216">
      <w:bodyDiv w:val="1"/>
      <w:marLeft w:val="0"/>
      <w:marRight w:val="0"/>
      <w:marTop w:val="0"/>
      <w:marBottom w:val="0"/>
      <w:divBdr>
        <w:top w:val="none" w:sz="0" w:space="0" w:color="auto"/>
        <w:left w:val="none" w:sz="0" w:space="0" w:color="auto"/>
        <w:bottom w:val="none" w:sz="0" w:space="0" w:color="auto"/>
        <w:right w:val="none" w:sz="0" w:space="0" w:color="auto"/>
      </w:divBdr>
    </w:div>
    <w:div w:id="116531337">
      <w:bodyDiv w:val="1"/>
      <w:marLeft w:val="0"/>
      <w:marRight w:val="0"/>
      <w:marTop w:val="0"/>
      <w:marBottom w:val="0"/>
      <w:divBdr>
        <w:top w:val="none" w:sz="0" w:space="0" w:color="auto"/>
        <w:left w:val="none" w:sz="0" w:space="0" w:color="auto"/>
        <w:bottom w:val="none" w:sz="0" w:space="0" w:color="auto"/>
        <w:right w:val="none" w:sz="0" w:space="0" w:color="auto"/>
      </w:divBdr>
    </w:div>
    <w:div w:id="116606692">
      <w:bodyDiv w:val="1"/>
      <w:marLeft w:val="0"/>
      <w:marRight w:val="0"/>
      <w:marTop w:val="0"/>
      <w:marBottom w:val="0"/>
      <w:divBdr>
        <w:top w:val="none" w:sz="0" w:space="0" w:color="auto"/>
        <w:left w:val="none" w:sz="0" w:space="0" w:color="auto"/>
        <w:bottom w:val="none" w:sz="0" w:space="0" w:color="auto"/>
        <w:right w:val="none" w:sz="0" w:space="0" w:color="auto"/>
      </w:divBdr>
    </w:div>
    <w:div w:id="116608533">
      <w:bodyDiv w:val="1"/>
      <w:marLeft w:val="0"/>
      <w:marRight w:val="0"/>
      <w:marTop w:val="0"/>
      <w:marBottom w:val="0"/>
      <w:divBdr>
        <w:top w:val="none" w:sz="0" w:space="0" w:color="auto"/>
        <w:left w:val="none" w:sz="0" w:space="0" w:color="auto"/>
        <w:bottom w:val="none" w:sz="0" w:space="0" w:color="auto"/>
        <w:right w:val="none" w:sz="0" w:space="0" w:color="auto"/>
      </w:divBdr>
    </w:div>
    <w:div w:id="116684423">
      <w:bodyDiv w:val="1"/>
      <w:marLeft w:val="0"/>
      <w:marRight w:val="0"/>
      <w:marTop w:val="0"/>
      <w:marBottom w:val="0"/>
      <w:divBdr>
        <w:top w:val="none" w:sz="0" w:space="0" w:color="auto"/>
        <w:left w:val="none" w:sz="0" w:space="0" w:color="auto"/>
        <w:bottom w:val="none" w:sz="0" w:space="0" w:color="auto"/>
        <w:right w:val="none" w:sz="0" w:space="0" w:color="auto"/>
      </w:divBdr>
    </w:div>
    <w:div w:id="116722735">
      <w:bodyDiv w:val="1"/>
      <w:marLeft w:val="0"/>
      <w:marRight w:val="0"/>
      <w:marTop w:val="0"/>
      <w:marBottom w:val="0"/>
      <w:divBdr>
        <w:top w:val="none" w:sz="0" w:space="0" w:color="auto"/>
        <w:left w:val="none" w:sz="0" w:space="0" w:color="auto"/>
        <w:bottom w:val="none" w:sz="0" w:space="0" w:color="auto"/>
        <w:right w:val="none" w:sz="0" w:space="0" w:color="auto"/>
      </w:divBdr>
    </w:div>
    <w:div w:id="116803257">
      <w:bodyDiv w:val="1"/>
      <w:marLeft w:val="0"/>
      <w:marRight w:val="0"/>
      <w:marTop w:val="0"/>
      <w:marBottom w:val="0"/>
      <w:divBdr>
        <w:top w:val="none" w:sz="0" w:space="0" w:color="auto"/>
        <w:left w:val="none" w:sz="0" w:space="0" w:color="auto"/>
        <w:bottom w:val="none" w:sz="0" w:space="0" w:color="auto"/>
        <w:right w:val="none" w:sz="0" w:space="0" w:color="auto"/>
      </w:divBdr>
    </w:div>
    <w:div w:id="116917737">
      <w:bodyDiv w:val="1"/>
      <w:marLeft w:val="0"/>
      <w:marRight w:val="0"/>
      <w:marTop w:val="0"/>
      <w:marBottom w:val="0"/>
      <w:divBdr>
        <w:top w:val="none" w:sz="0" w:space="0" w:color="auto"/>
        <w:left w:val="none" w:sz="0" w:space="0" w:color="auto"/>
        <w:bottom w:val="none" w:sz="0" w:space="0" w:color="auto"/>
        <w:right w:val="none" w:sz="0" w:space="0" w:color="auto"/>
      </w:divBdr>
    </w:div>
    <w:div w:id="117073592">
      <w:bodyDiv w:val="1"/>
      <w:marLeft w:val="0"/>
      <w:marRight w:val="0"/>
      <w:marTop w:val="0"/>
      <w:marBottom w:val="0"/>
      <w:divBdr>
        <w:top w:val="none" w:sz="0" w:space="0" w:color="auto"/>
        <w:left w:val="none" w:sz="0" w:space="0" w:color="auto"/>
        <w:bottom w:val="none" w:sz="0" w:space="0" w:color="auto"/>
        <w:right w:val="none" w:sz="0" w:space="0" w:color="auto"/>
      </w:divBdr>
    </w:div>
    <w:div w:id="117114408">
      <w:bodyDiv w:val="1"/>
      <w:marLeft w:val="0"/>
      <w:marRight w:val="0"/>
      <w:marTop w:val="0"/>
      <w:marBottom w:val="0"/>
      <w:divBdr>
        <w:top w:val="none" w:sz="0" w:space="0" w:color="auto"/>
        <w:left w:val="none" w:sz="0" w:space="0" w:color="auto"/>
        <w:bottom w:val="none" w:sz="0" w:space="0" w:color="auto"/>
        <w:right w:val="none" w:sz="0" w:space="0" w:color="auto"/>
      </w:divBdr>
    </w:div>
    <w:div w:id="117114663">
      <w:bodyDiv w:val="1"/>
      <w:marLeft w:val="0"/>
      <w:marRight w:val="0"/>
      <w:marTop w:val="0"/>
      <w:marBottom w:val="0"/>
      <w:divBdr>
        <w:top w:val="none" w:sz="0" w:space="0" w:color="auto"/>
        <w:left w:val="none" w:sz="0" w:space="0" w:color="auto"/>
        <w:bottom w:val="none" w:sz="0" w:space="0" w:color="auto"/>
        <w:right w:val="none" w:sz="0" w:space="0" w:color="auto"/>
      </w:divBdr>
    </w:div>
    <w:div w:id="117266339">
      <w:bodyDiv w:val="1"/>
      <w:marLeft w:val="0"/>
      <w:marRight w:val="0"/>
      <w:marTop w:val="0"/>
      <w:marBottom w:val="0"/>
      <w:divBdr>
        <w:top w:val="none" w:sz="0" w:space="0" w:color="auto"/>
        <w:left w:val="none" w:sz="0" w:space="0" w:color="auto"/>
        <w:bottom w:val="none" w:sz="0" w:space="0" w:color="auto"/>
        <w:right w:val="none" w:sz="0" w:space="0" w:color="auto"/>
      </w:divBdr>
    </w:div>
    <w:div w:id="117337151">
      <w:bodyDiv w:val="1"/>
      <w:marLeft w:val="0"/>
      <w:marRight w:val="0"/>
      <w:marTop w:val="0"/>
      <w:marBottom w:val="0"/>
      <w:divBdr>
        <w:top w:val="none" w:sz="0" w:space="0" w:color="auto"/>
        <w:left w:val="none" w:sz="0" w:space="0" w:color="auto"/>
        <w:bottom w:val="none" w:sz="0" w:space="0" w:color="auto"/>
        <w:right w:val="none" w:sz="0" w:space="0" w:color="auto"/>
      </w:divBdr>
    </w:div>
    <w:div w:id="117530388">
      <w:bodyDiv w:val="1"/>
      <w:marLeft w:val="0"/>
      <w:marRight w:val="0"/>
      <w:marTop w:val="0"/>
      <w:marBottom w:val="0"/>
      <w:divBdr>
        <w:top w:val="none" w:sz="0" w:space="0" w:color="auto"/>
        <w:left w:val="none" w:sz="0" w:space="0" w:color="auto"/>
        <w:bottom w:val="none" w:sz="0" w:space="0" w:color="auto"/>
        <w:right w:val="none" w:sz="0" w:space="0" w:color="auto"/>
      </w:divBdr>
    </w:div>
    <w:div w:id="117649307">
      <w:bodyDiv w:val="1"/>
      <w:marLeft w:val="0"/>
      <w:marRight w:val="0"/>
      <w:marTop w:val="0"/>
      <w:marBottom w:val="0"/>
      <w:divBdr>
        <w:top w:val="none" w:sz="0" w:space="0" w:color="auto"/>
        <w:left w:val="none" w:sz="0" w:space="0" w:color="auto"/>
        <w:bottom w:val="none" w:sz="0" w:space="0" w:color="auto"/>
        <w:right w:val="none" w:sz="0" w:space="0" w:color="auto"/>
      </w:divBdr>
    </w:div>
    <w:div w:id="117651424">
      <w:bodyDiv w:val="1"/>
      <w:marLeft w:val="0"/>
      <w:marRight w:val="0"/>
      <w:marTop w:val="0"/>
      <w:marBottom w:val="0"/>
      <w:divBdr>
        <w:top w:val="none" w:sz="0" w:space="0" w:color="auto"/>
        <w:left w:val="none" w:sz="0" w:space="0" w:color="auto"/>
        <w:bottom w:val="none" w:sz="0" w:space="0" w:color="auto"/>
        <w:right w:val="none" w:sz="0" w:space="0" w:color="auto"/>
      </w:divBdr>
    </w:div>
    <w:div w:id="117652978">
      <w:bodyDiv w:val="1"/>
      <w:marLeft w:val="0"/>
      <w:marRight w:val="0"/>
      <w:marTop w:val="0"/>
      <w:marBottom w:val="0"/>
      <w:divBdr>
        <w:top w:val="none" w:sz="0" w:space="0" w:color="auto"/>
        <w:left w:val="none" w:sz="0" w:space="0" w:color="auto"/>
        <w:bottom w:val="none" w:sz="0" w:space="0" w:color="auto"/>
        <w:right w:val="none" w:sz="0" w:space="0" w:color="auto"/>
      </w:divBdr>
    </w:div>
    <w:div w:id="117723091">
      <w:bodyDiv w:val="1"/>
      <w:marLeft w:val="0"/>
      <w:marRight w:val="0"/>
      <w:marTop w:val="0"/>
      <w:marBottom w:val="0"/>
      <w:divBdr>
        <w:top w:val="none" w:sz="0" w:space="0" w:color="auto"/>
        <w:left w:val="none" w:sz="0" w:space="0" w:color="auto"/>
        <w:bottom w:val="none" w:sz="0" w:space="0" w:color="auto"/>
        <w:right w:val="none" w:sz="0" w:space="0" w:color="auto"/>
      </w:divBdr>
    </w:div>
    <w:div w:id="117727587">
      <w:bodyDiv w:val="1"/>
      <w:marLeft w:val="0"/>
      <w:marRight w:val="0"/>
      <w:marTop w:val="0"/>
      <w:marBottom w:val="0"/>
      <w:divBdr>
        <w:top w:val="none" w:sz="0" w:space="0" w:color="auto"/>
        <w:left w:val="none" w:sz="0" w:space="0" w:color="auto"/>
        <w:bottom w:val="none" w:sz="0" w:space="0" w:color="auto"/>
        <w:right w:val="none" w:sz="0" w:space="0" w:color="auto"/>
      </w:divBdr>
    </w:div>
    <w:div w:id="117770622">
      <w:bodyDiv w:val="1"/>
      <w:marLeft w:val="0"/>
      <w:marRight w:val="0"/>
      <w:marTop w:val="0"/>
      <w:marBottom w:val="0"/>
      <w:divBdr>
        <w:top w:val="none" w:sz="0" w:space="0" w:color="auto"/>
        <w:left w:val="none" w:sz="0" w:space="0" w:color="auto"/>
        <w:bottom w:val="none" w:sz="0" w:space="0" w:color="auto"/>
        <w:right w:val="none" w:sz="0" w:space="0" w:color="auto"/>
      </w:divBdr>
    </w:div>
    <w:div w:id="117994773">
      <w:bodyDiv w:val="1"/>
      <w:marLeft w:val="0"/>
      <w:marRight w:val="0"/>
      <w:marTop w:val="0"/>
      <w:marBottom w:val="0"/>
      <w:divBdr>
        <w:top w:val="none" w:sz="0" w:space="0" w:color="auto"/>
        <w:left w:val="none" w:sz="0" w:space="0" w:color="auto"/>
        <w:bottom w:val="none" w:sz="0" w:space="0" w:color="auto"/>
        <w:right w:val="none" w:sz="0" w:space="0" w:color="auto"/>
      </w:divBdr>
    </w:div>
    <w:div w:id="118036676">
      <w:bodyDiv w:val="1"/>
      <w:marLeft w:val="0"/>
      <w:marRight w:val="0"/>
      <w:marTop w:val="0"/>
      <w:marBottom w:val="0"/>
      <w:divBdr>
        <w:top w:val="none" w:sz="0" w:space="0" w:color="auto"/>
        <w:left w:val="none" w:sz="0" w:space="0" w:color="auto"/>
        <w:bottom w:val="none" w:sz="0" w:space="0" w:color="auto"/>
        <w:right w:val="none" w:sz="0" w:space="0" w:color="auto"/>
      </w:divBdr>
    </w:div>
    <w:div w:id="118109015">
      <w:bodyDiv w:val="1"/>
      <w:marLeft w:val="0"/>
      <w:marRight w:val="0"/>
      <w:marTop w:val="0"/>
      <w:marBottom w:val="0"/>
      <w:divBdr>
        <w:top w:val="none" w:sz="0" w:space="0" w:color="auto"/>
        <w:left w:val="none" w:sz="0" w:space="0" w:color="auto"/>
        <w:bottom w:val="none" w:sz="0" w:space="0" w:color="auto"/>
        <w:right w:val="none" w:sz="0" w:space="0" w:color="auto"/>
      </w:divBdr>
    </w:div>
    <w:div w:id="118110700">
      <w:bodyDiv w:val="1"/>
      <w:marLeft w:val="0"/>
      <w:marRight w:val="0"/>
      <w:marTop w:val="0"/>
      <w:marBottom w:val="0"/>
      <w:divBdr>
        <w:top w:val="none" w:sz="0" w:space="0" w:color="auto"/>
        <w:left w:val="none" w:sz="0" w:space="0" w:color="auto"/>
        <w:bottom w:val="none" w:sz="0" w:space="0" w:color="auto"/>
        <w:right w:val="none" w:sz="0" w:space="0" w:color="auto"/>
      </w:divBdr>
    </w:div>
    <w:div w:id="118190038">
      <w:bodyDiv w:val="1"/>
      <w:marLeft w:val="0"/>
      <w:marRight w:val="0"/>
      <w:marTop w:val="0"/>
      <w:marBottom w:val="0"/>
      <w:divBdr>
        <w:top w:val="none" w:sz="0" w:space="0" w:color="auto"/>
        <w:left w:val="none" w:sz="0" w:space="0" w:color="auto"/>
        <w:bottom w:val="none" w:sz="0" w:space="0" w:color="auto"/>
        <w:right w:val="none" w:sz="0" w:space="0" w:color="auto"/>
      </w:divBdr>
    </w:div>
    <w:div w:id="118231694">
      <w:bodyDiv w:val="1"/>
      <w:marLeft w:val="0"/>
      <w:marRight w:val="0"/>
      <w:marTop w:val="0"/>
      <w:marBottom w:val="0"/>
      <w:divBdr>
        <w:top w:val="none" w:sz="0" w:space="0" w:color="auto"/>
        <w:left w:val="none" w:sz="0" w:space="0" w:color="auto"/>
        <w:bottom w:val="none" w:sz="0" w:space="0" w:color="auto"/>
        <w:right w:val="none" w:sz="0" w:space="0" w:color="auto"/>
      </w:divBdr>
    </w:div>
    <w:div w:id="118375424">
      <w:bodyDiv w:val="1"/>
      <w:marLeft w:val="0"/>
      <w:marRight w:val="0"/>
      <w:marTop w:val="0"/>
      <w:marBottom w:val="0"/>
      <w:divBdr>
        <w:top w:val="none" w:sz="0" w:space="0" w:color="auto"/>
        <w:left w:val="none" w:sz="0" w:space="0" w:color="auto"/>
        <w:bottom w:val="none" w:sz="0" w:space="0" w:color="auto"/>
        <w:right w:val="none" w:sz="0" w:space="0" w:color="auto"/>
      </w:divBdr>
    </w:div>
    <w:div w:id="118381151">
      <w:bodyDiv w:val="1"/>
      <w:marLeft w:val="0"/>
      <w:marRight w:val="0"/>
      <w:marTop w:val="0"/>
      <w:marBottom w:val="0"/>
      <w:divBdr>
        <w:top w:val="none" w:sz="0" w:space="0" w:color="auto"/>
        <w:left w:val="none" w:sz="0" w:space="0" w:color="auto"/>
        <w:bottom w:val="none" w:sz="0" w:space="0" w:color="auto"/>
        <w:right w:val="none" w:sz="0" w:space="0" w:color="auto"/>
      </w:divBdr>
    </w:div>
    <w:div w:id="118382575">
      <w:bodyDiv w:val="1"/>
      <w:marLeft w:val="0"/>
      <w:marRight w:val="0"/>
      <w:marTop w:val="0"/>
      <w:marBottom w:val="0"/>
      <w:divBdr>
        <w:top w:val="none" w:sz="0" w:space="0" w:color="auto"/>
        <w:left w:val="none" w:sz="0" w:space="0" w:color="auto"/>
        <w:bottom w:val="none" w:sz="0" w:space="0" w:color="auto"/>
        <w:right w:val="none" w:sz="0" w:space="0" w:color="auto"/>
      </w:divBdr>
    </w:div>
    <w:div w:id="118451575">
      <w:bodyDiv w:val="1"/>
      <w:marLeft w:val="0"/>
      <w:marRight w:val="0"/>
      <w:marTop w:val="0"/>
      <w:marBottom w:val="0"/>
      <w:divBdr>
        <w:top w:val="none" w:sz="0" w:space="0" w:color="auto"/>
        <w:left w:val="none" w:sz="0" w:space="0" w:color="auto"/>
        <w:bottom w:val="none" w:sz="0" w:space="0" w:color="auto"/>
        <w:right w:val="none" w:sz="0" w:space="0" w:color="auto"/>
      </w:divBdr>
    </w:div>
    <w:div w:id="118451720">
      <w:bodyDiv w:val="1"/>
      <w:marLeft w:val="0"/>
      <w:marRight w:val="0"/>
      <w:marTop w:val="0"/>
      <w:marBottom w:val="0"/>
      <w:divBdr>
        <w:top w:val="none" w:sz="0" w:space="0" w:color="auto"/>
        <w:left w:val="none" w:sz="0" w:space="0" w:color="auto"/>
        <w:bottom w:val="none" w:sz="0" w:space="0" w:color="auto"/>
        <w:right w:val="none" w:sz="0" w:space="0" w:color="auto"/>
      </w:divBdr>
    </w:div>
    <w:div w:id="118452218">
      <w:bodyDiv w:val="1"/>
      <w:marLeft w:val="0"/>
      <w:marRight w:val="0"/>
      <w:marTop w:val="0"/>
      <w:marBottom w:val="0"/>
      <w:divBdr>
        <w:top w:val="none" w:sz="0" w:space="0" w:color="auto"/>
        <w:left w:val="none" w:sz="0" w:space="0" w:color="auto"/>
        <w:bottom w:val="none" w:sz="0" w:space="0" w:color="auto"/>
        <w:right w:val="none" w:sz="0" w:space="0" w:color="auto"/>
      </w:divBdr>
    </w:div>
    <w:div w:id="118455035">
      <w:bodyDiv w:val="1"/>
      <w:marLeft w:val="0"/>
      <w:marRight w:val="0"/>
      <w:marTop w:val="0"/>
      <w:marBottom w:val="0"/>
      <w:divBdr>
        <w:top w:val="none" w:sz="0" w:space="0" w:color="auto"/>
        <w:left w:val="none" w:sz="0" w:space="0" w:color="auto"/>
        <w:bottom w:val="none" w:sz="0" w:space="0" w:color="auto"/>
        <w:right w:val="none" w:sz="0" w:space="0" w:color="auto"/>
      </w:divBdr>
    </w:div>
    <w:div w:id="118495013">
      <w:bodyDiv w:val="1"/>
      <w:marLeft w:val="0"/>
      <w:marRight w:val="0"/>
      <w:marTop w:val="0"/>
      <w:marBottom w:val="0"/>
      <w:divBdr>
        <w:top w:val="none" w:sz="0" w:space="0" w:color="auto"/>
        <w:left w:val="none" w:sz="0" w:space="0" w:color="auto"/>
        <w:bottom w:val="none" w:sz="0" w:space="0" w:color="auto"/>
        <w:right w:val="none" w:sz="0" w:space="0" w:color="auto"/>
      </w:divBdr>
    </w:div>
    <w:div w:id="118497048">
      <w:bodyDiv w:val="1"/>
      <w:marLeft w:val="0"/>
      <w:marRight w:val="0"/>
      <w:marTop w:val="0"/>
      <w:marBottom w:val="0"/>
      <w:divBdr>
        <w:top w:val="none" w:sz="0" w:space="0" w:color="auto"/>
        <w:left w:val="none" w:sz="0" w:space="0" w:color="auto"/>
        <w:bottom w:val="none" w:sz="0" w:space="0" w:color="auto"/>
        <w:right w:val="none" w:sz="0" w:space="0" w:color="auto"/>
      </w:divBdr>
    </w:div>
    <w:div w:id="118497638">
      <w:bodyDiv w:val="1"/>
      <w:marLeft w:val="0"/>
      <w:marRight w:val="0"/>
      <w:marTop w:val="0"/>
      <w:marBottom w:val="0"/>
      <w:divBdr>
        <w:top w:val="none" w:sz="0" w:space="0" w:color="auto"/>
        <w:left w:val="none" w:sz="0" w:space="0" w:color="auto"/>
        <w:bottom w:val="none" w:sz="0" w:space="0" w:color="auto"/>
        <w:right w:val="none" w:sz="0" w:space="0" w:color="auto"/>
      </w:divBdr>
    </w:div>
    <w:div w:id="118571094">
      <w:bodyDiv w:val="1"/>
      <w:marLeft w:val="0"/>
      <w:marRight w:val="0"/>
      <w:marTop w:val="0"/>
      <w:marBottom w:val="0"/>
      <w:divBdr>
        <w:top w:val="none" w:sz="0" w:space="0" w:color="auto"/>
        <w:left w:val="none" w:sz="0" w:space="0" w:color="auto"/>
        <w:bottom w:val="none" w:sz="0" w:space="0" w:color="auto"/>
        <w:right w:val="none" w:sz="0" w:space="0" w:color="auto"/>
      </w:divBdr>
    </w:div>
    <w:div w:id="118693670">
      <w:bodyDiv w:val="1"/>
      <w:marLeft w:val="0"/>
      <w:marRight w:val="0"/>
      <w:marTop w:val="0"/>
      <w:marBottom w:val="0"/>
      <w:divBdr>
        <w:top w:val="none" w:sz="0" w:space="0" w:color="auto"/>
        <w:left w:val="none" w:sz="0" w:space="0" w:color="auto"/>
        <w:bottom w:val="none" w:sz="0" w:space="0" w:color="auto"/>
        <w:right w:val="none" w:sz="0" w:space="0" w:color="auto"/>
      </w:divBdr>
    </w:div>
    <w:div w:id="118694002">
      <w:bodyDiv w:val="1"/>
      <w:marLeft w:val="0"/>
      <w:marRight w:val="0"/>
      <w:marTop w:val="0"/>
      <w:marBottom w:val="0"/>
      <w:divBdr>
        <w:top w:val="none" w:sz="0" w:space="0" w:color="auto"/>
        <w:left w:val="none" w:sz="0" w:space="0" w:color="auto"/>
        <w:bottom w:val="none" w:sz="0" w:space="0" w:color="auto"/>
        <w:right w:val="none" w:sz="0" w:space="0" w:color="auto"/>
      </w:divBdr>
    </w:div>
    <w:div w:id="118766291">
      <w:bodyDiv w:val="1"/>
      <w:marLeft w:val="0"/>
      <w:marRight w:val="0"/>
      <w:marTop w:val="0"/>
      <w:marBottom w:val="0"/>
      <w:divBdr>
        <w:top w:val="none" w:sz="0" w:space="0" w:color="auto"/>
        <w:left w:val="none" w:sz="0" w:space="0" w:color="auto"/>
        <w:bottom w:val="none" w:sz="0" w:space="0" w:color="auto"/>
        <w:right w:val="none" w:sz="0" w:space="0" w:color="auto"/>
      </w:divBdr>
    </w:div>
    <w:div w:id="118840092">
      <w:bodyDiv w:val="1"/>
      <w:marLeft w:val="0"/>
      <w:marRight w:val="0"/>
      <w:marTop w:val="0"/>
      <w:marBottom w:val="0"/>
      <w:divBdr>
        <w:top w:val="none" w:sz="0" w:space="0" w:color="auto"/>
        <w:left w:val="none" w:sz="0" w:space="0" w:color="auto"/>
        <w:bottom w:val="none" w:sz="0" w:space="0" w:color="auto"/>
        <w:right w:val="none" w:sz="0" w:space="0" w:color="auto"/>
      </w:divBdr>
    </w:div>
    <w:div w:id="119034616">
      <w:bodyDiv w:val="1"/>
      <w:marLeft w:val="0"/>
      <w:marRight w:val="0"/>
      <w:marTop w:val="0"/>
      <w:marBottom w:val="0"/>
      <w:divBdr>
        <w:top w:val="none" w:sz="0" w:space="0" w:color="auto"/>
        <w:left w:val="none" w:sz="0" w:space="0" w:color="auto"/>
        <w:bottom w:val="none" w:sz="0" w:space="0" w:color="auto"/>
        <w:right w:val="none" w:sz="0" w:space="0" w:color="auto"/>
      </w:divBdr>
    </w:div>
    <w:div w:id="119107222">
      <w:bodyDiv w:val="1"/>
      <w:marLeft w:val="0"/>
      <w:marRight w:val="0"/>
      <w:marTop w:val="0"/>
      <w:marBottom w:val="0"/>
      <w:divBdr>
        <w:top w:val="none" w:sz="0" w:space="0" w:color="auto"/>
        <w:left w:val="none" w:sz="0" w:space="0" w:color="auto"/>
        <w:bottom w:val="none" w:sz="0" w:space="0" w:color="auto"/>
        <w:right w:val="none" w:sz="0" w:space="0" w:color="auto"/>
      </w:divBdr>
    </w:div>
    <w:div w:id="119109747">
      <w:bodyDiv w:val="1"/>
      <w:marLeft w:val="0"/>
      <w:marRight w:val="0"/>
      <w:marTop w:val="0"/>
      <w:marBottom w:val="0"/>
      <w:divBdr>
        <w:top w:val="none" w:sz="0" w:space="0" w:color="auto"/>
        <w:left w:val="none" w:sz="0" w:space="0" w:color="auto"/>
        <w:bottom w:val="none" w:sz="0" w:space="0" w:color="auto"/>
        <w:right w:val="none" w:sz="0" w:space="0" w:color="auto"/>
      </w:divBdr>
    </w:div>
    <w:div w:id="119154700">
      <w:bodyDiv w:val="1"/>
      <w:marLeft w:val="0"/>
      <w:marRight w:val="0"/>
      <w:marTop w:val="0"/>
      <w:marBottom w:val="0"/>
      <w:divBdr>
        <w:top w:val="none" w:sz="0" w:space="0" w:color="auto"/>
        <w:left w:val="none" w:sz="0" w:space="0" w:color="auto"/>
        <w:bottom w:val="none" w:sz="0" w:space="0" w:color="auto"/>
        <w:right w:val="none" w:sz="0" w:space="0" w:color="auto"/>
      </w:divBdr>
    </w:div>
    <w:div w:id="119223832">
      <w:bodyDiv w:val="1"/>
      <w:marLeft w:val="0"/>
      <w:marRight w:val="0"/>
      <w:marTop w:val="0"/>
      <w:marBottom w:val="0"/>
      <w:divBdr>
        <w:top w:val="none" w:sz="0" w:space="0" w:color="auto"/>
        <w:left w:val="none" w:sz="0" w:space="0" w:color="auto"/>
        <w:bottom w:val="none" w:sz="0" w:space="0" w:color="auto"/>
        <w:right w:val="none" w:sz="0" w:space="0" w:color="auto"/>
      </w:divBdr>
    </w:div>
    <w:div w:id="119225594">
      <w:bodyDiv w:val="1"/>
      <w:marLeft w:val="0"/>
      <w:marRight w:val="0"/>
      <w:marTop w:val="0"/>
      <w:marBottom w:val="0"/>
      <w:divBdr>
        <w:top w:val="none" w:sz="0" w:space="0" w:color="auto"/>
        <w:left w:val="none" w:sz="0" w:space="0" w:color="auto"/>
        <w:bottom w:val="none" w:sz="0" w:space="0" w:color="auto"/>
        <w:right w:val="none" w:sz="0" w:space="0" w:color="auto"/>
      </w:divBdr>
    </w:div>
    <w:div w:id="119419505">
      <w:bodyDiv w:val="1"/>
      <w:marLeft w:val="0"/>
      <w:marRight w:val="0"/>
      <w:marTop w:val="0"/>
      <w:marBottom w:val="0"/>
      <w:divBdr>
        <w:top w:val="none" w:sz="0" w:space="0" w:color="auto"/>
        <w:left w:val="none" w:sz="0" w:space="0" w:color="auto"/>
        <w:bottom w:val="none" w:sz="0" w:space="0" w:color="auto"/>
        <w:right w:val="none" w:sz="0" w:space="0" w:color="auto"/>
      </w:divBdr>
    </w:div>
    <w:div w:id="119497402">
      <w:bodyDiv w:val="1"/>
      <w:marLeft w:val="0"/>
      <w:marRight w:val="0"/>
      <w:marTop w:val="0"/>
      <w:marBottom w:val="0"/>
      <w:divBdr>
        <w:top w:val="none" w:sz="0" w:space="0" w:color="auto"/>
        <w:left w:val="none" w:sz="0" w:space="0" w:color="auto"/>
        <w:bottom w:val="none" w:sz="0" w:space="0" w:color="auto"/>
        <w:right w:val="none" w:sz="0" w:space="0" w:color="auto"/>
      </w:divBdr>
    </w:div>
    <w:div w:id="119497992">
      <w:bodyDiv w:val="1"/>
      <w:marLeft w:val="0"/>
      <w:marRight w:val="0"/>
      <w:marTop w:val="0"/>
      <w:marBottom w:val="0"/>
      <w:divBdr>
        <w:top w:val="none" w:sz="0" w:space="0" w:color="auto"/>
        <w:left w:val="none" w:sz="0" w:space="0" w:color="auto"/>
        <w:bottom w:val="none" w:sz="0" w:space="0" w:color="auto"/>
        <w:right w:val="none" w:sz="0" w:space="0" w:color="auto"/>
      </w:divBdr>
    </w:div>
    <w:div w:id="119498326">
      <w:bodyDiv w:val="1"/>
      <w:marLeft w:val="0"/>
      <w:marRight w:val="0"/>
      <w:marTop w:val="0"/>
      <w:marBottom w:val="0"/>
      <w:divBdr>
        <w:top w:val="none" w:sz="0" w:space="0" w:color="auto"/>
        <w:left w:val="none" w:sz="0" w:space="0" w:color="auto"/>
        <w:bottom w:val="none" w:sz="0" w:space="0" w:color="auto"/>
        <w:right w:val="none" w:sz="0" w:space="0" w:color="auto"/>
      </w:divBdr>
    </w:div>
    <w:div w:id="119498837">
      <w:bodyDiv w:val="1"/>
      <w:marLeft w:val="0"/>
      <w:marRight w:val="0"/>
      <w:marTop w:val="0"/>
      <w:marBottom w:val="0"/>
      <w:divBdr>
        <w:top w:val="none" w:sz="0" w:space="0" w:color="auto"/>
        <w:left w:val="none" w:sz="0" w:space="0" w:color="auto"/>
        <w:bottom w:val="none" w:sz="0" w:space="0" w:color="auto"/>
        <w:right w:val="none" w:sz="0" w:space="0" w:color="auto"/>
      </w:divBdr>
    </w:div>
    <w:div w:id="119541476">
      <w:bodyDiv w:val="1"/>
      <w:marLeft w:val="0"/>
      <w:marRight w:val="0"/>
      <w:marTop w:val="0"/>
      <w:marBottom w:val="0"/>
      <w:divBdr>
        <w:top w:val="none" w:sz="0" w:space="0" w:color="auto"/>
        <w:left w:val="none" w:sz="0" w:space="0" w:color="auto"/>
        <w:bottom w:val="none" w:sz="0" w:space="0" w:color="auto"/>
        <w:right w:val="none" w:sz="0" w:space="0" w:color="auto"/>
      </w:divBdr>
    </w:div>
    <w:div w:id="119614355">
      <w:bodyDiv w:val="1"/>
      <w:marLeft w:val="0"/>
      <w:marRight w:val="0"/>
      <w:marTop w:val="0"/>
      <w:marBottom w:val="0"/>
      <w:divBdr>
        <w:top w:val="none" w:sz="0" w:space="0" w:color="auto"/>
        <w:left w:val="none" w:sz="0" w:space="0" w:color="auto"/>
        <w:bottom w:val="none" w:sz="0" w:space="0" w:color="auto"/>
        <w:right w:val="none" w:sz="0" w:space="0" w:color="auto"/>
      </w:divBdr>
    </w:div>
    <w:div w:id="119692949">
      <w:bodyDiv w:val="1"/>
      <w:marLeft w:val="0"/>
      <w:marRight w:val="0"/>
      <w:marTop w:val="0"/>
      <w:marBottom w:val="0"/>
      <w:divBdr>
        <w:top w:val="none" w:sz="0" w:space="0" w:color="auto"/>
        <w:left w:val="none" w:sz="0" w:space="0" w:color="auto"/>
        <w:bottom w:val="none" w:sz="0" w:space="0" w:color="auto"/>
        <w:right w:val="none" w:sz="0" w:space="0" w:color="auto"/>
      </w:divBdr>
    </w:div>
    <w:div w:id="119761281">
      <w:bodyDiv w:val="1"/>
      <w:marLeft w:val="0"/>
      <w:marRight w:val="0"/>
      <w:marTop w:val="0"/>
      <w:marBottom w:val="0"/>
      <w:divBdr>
        <w:top w:val="none" w:sz="0" w:space="0" w:color="auto"/>
        <w:left w:val="none" w:sz="0" w:space="0" w:color="auto"/>
        <w:bottom w:val="none" w:sz="0" w:space="0" w:color="auto"/>
        <w:right w:val="none" w:sz="0" w:space="0" w:color="auto"/>
      </w:divBdr>
    </w:div>
    <w:div w:id="119805777">
      <w:bodyDiv w:val="1"/>
      <w:marLeft w:val="0"/>
      <w:marRight w:val="0"/>
      <w:marTop w:val="0"/>
      <w:marBottom w:val="0"/>
      <w:divBdr>
        <w:top w:val="none" w:sz="0" w:space="0" w:color="auto"/>
        <w:left w:val="none" w:sz="0" w:space="0" w:color="auto"/>
        <w:bottom w:val="none" w:sz="0" w:space="0" w:color="auto"/>
        <w:right w:val="none" w:sz="0" w:space="0" w:color="auto"/>
      </w:divBdr>
    </w:div>
    <w:div w:id="119810299">
      <w:bodyDiv w:val="1"/>
      <w:marLeft w:val="0"/>
      <w:marRight w:val="0"/>
      <w:marTop w:val="0"/>
      <w:marBottom w:val="0"/>
      <w:divBdr>
        <w:top w:val="none" w:sz="0" w:space="0" w:color="auto"/>
        <w:left w:val="none" w:sz="0" w:space="0" w:color="auto"/>
        <w:bottom w:val="none" w:sz="0" w:space="0" w:color="auto"/>
        <w:right w:val="none" w:sz="0" w:space="0" w:color="auto"/>
      </w:divBdr>
    </w:div>
    <w:div w:id="120004851">
      <w:bodyDiv w:val="1"/>
      <w:marLeft w:val="0"/>
      <w:marRight w:val="0"/>
      <w:marTop w:val="0"/>
      <w:marBottom w:val="0"/>
      <w:divBdr>
        <w:top w:val="none" w:sz="0" w:space="0" w:color="auto"/>
        <w:left w:val="none" w:sz="0" w:space="0" w:color="auto"/>
        <w:bottom w:val="none" w:sz="0" w:space="0" w:color="auto"/>
        <w:right w:val="none" w:sz="0" w:space="0" w:color="auto"/>
      </w:divBdr>
    </w:div>
    <w:div w:id="120075911">
      <w:bodyDiv w:val="1"/>
      <w:marLeft w:val="0"/>
      <w:marRight w:val="0"/>
      <w:marTop w:val="0"/>
      <w:marBottom w:val="0"/>
      <w:divBdr>
        <w:top w:val="none" w:sz="0" w:space="0" w:color="auto"/>
        <w:left w:val="none" w:sz="0" w:space="0" w:color="auto"/>
        <w:bottom w:val="none" w:sz="0" w:space="0" w:color="auto"/>
        <w:right w:val="none" w:sz="0" w:space="0" w:color="auto"/>
      </w:divBdr>
    </w:div>
    <w:div w:id="120150155">
      <w:bodyDiv w:val="1"/>
      <w:marLeft w:val="0"/>
      <w:marRight w:val="0"/>
      <w:marTop w:val="0"/>
      <w:marBottom w:val="0"/>
      <w:divBdr>
        <w:top w:val="none" w:sz="0" w:space="0" w:color="auto"/>
        <w:left w:val="none" w:sz="0" w:space="0" w:color="auto"/>
        <w:bottom w:val="none" w:sz="0" w:space="0" w:color="auto"/>
        <w:right w:val="none" w:sz="0" w:space="0" w:color="auto"/>
      </w:divBdr>
    </w:div>
    <w:div w:id="120344913">
      <w:bodyDiv w:val="1"/>
      <w:marLeft w:val="0"/>
      <w:marRight w:val="0"/>
      <w:marTop w:val="0"/>
      <w:marBottom w:val="0"/>
      <w:divBdr>
        <w:top w:val="none" w:sz="0" w:space="0" w:color="auto"/>
        <w:left w:val="none" w:sz="0" w:space="0" w:color="auto"/>
        <w:bottom w:val="none" w:sz="0" w:space="0" w:color="auto"/>
        <w:right w:val="none" w:sz="0" w:space="0" w:color="auto"/>
      </w:divBdr>
    </w:div>
    <w:div w:id="120541568">
      <w:bodyDiv w:val="1"/>
      <w:marLeft w:val="0"/>
      <w:marRight w:val="0"/>
      <w:marTop w:val="0"/>
      <w:marBottom w:val="0"/>
      <w:divBdr>
        <w:top w:val="none" w:sz="0" w:space="0" w:color="auto"/>
        <w:left w:val="none" w:sz="0" w:space="0" w:color="auto"/>
        <w:bottom w:val="none" w:sz="0" w:space="0" w:color="auto"/>
        <w:right w:val="none" w:sz="0" w:space="0" w:color="auto"/>
      </w:divBdr>
    </w:div>
    <w:div w:id="120615629">
      <w:bodyDiv w:val="1"/>
      <w:marLeft w:val="0"/>
      <w:marRight w:val="0"/>
      <w:marTop w:val="0"/>
      <w:marBottom w:val="0"/>
      <w:divBdr>
        <w:top w:val="none" w:sz="0" w:space="0" w:color="auto"/>
        <w:left w:val="none" w:sz="0" w:space="0" w:color="auto"/>
        <w:bottom w:val="none" w:sz="0" w:space="0" w:color="auto"/>
        <w:right w:val="none" w:sz="0" w:space="0" w:color="auto"/>
      </w:divBdr>
    </w:div>
    <w:div w:id="120657705">
      <w:bodyDiv w:val="1"/>
      <w:marLeft w:val="0"/>
      <w:marRight w:val="0"/>
      <w:marTop w:val="0"/>
      <w:marBottom w:val="0"/>
      <w:divBdr>
        <w:top w:val="none" w:sz="0" w:space="0" w:color="auto"/>
        <w:left w:val="none" w:sz="0" w:space="0" w:color="auto"/>
        <w:bottom w:val="none" w:sz="0" w:space="0" w:color="auto"/>
        <w:right w:val="none" w:sz="0" w:space="0" w:color="auto"/>
      </w:divBdr>
    </w:div>
    <w:div w:id="120729012">
      <w:bodyDiv w:val="1"/>
      <w:marLeft w:val="0"/>
      <w:marRight w:val="0"/>
      <w:marTop w:val="0"/>
      <w:marBottom w:val="0"/>
      <w:divBdr>
        <w:top w:val="none" w:sz="0" w:space="0" w:color="auto"/>
        <w:left w:val="none" w:sz="0" w:space="0" w:color="auto"/>
        <w:bottom w:val="none" w:sz="0" w:space="0" w:color="auto"/>
        <w:right w:val="none" w:sz="0" w:space="0" w:color="auto"/>
      </w:divBdr>
    </w:div>
    <w:div w:id="120803521">
      <w:bodyDiv w:val="1"/>
      <w:marLeft w:val="0"/>
      <w:marRight w:val="0"/>
      <w:marTop w:val="0"/>
      <w:marBottom w:val="0"/>
      <w:divBdr>
        <w:top w:val="none" w:sz="0" w:space="0" w:color="auto"/>
        <w:left w:val="none" w:sz="0" w:space="0" w:color="auto"/>
        <w:bottom w:val="none" w:sz="0" w:space="0" w:color="auto"/>
        <w:right w:val="none" w:sz="0" w:space="0" w:color="auto"/>
      </w:divBdr>
    </w:div>
    <w:div w:id="120804754">
      <w:bodyDiv w:val="1"/>
      <w:marLeft w:val="0"/>
      <w:marRight w:val="0"/>
      <w:marTop w:val="0"/>
      <w:marBottom w:val="0"/>
      <w:divBdr>
        <w:top w:val="none" w:sz="0" w:space="0" w:color="auto"/>
        <w:left w:val="none" w:sz="0" w:space="0" w:color="auto"/>
        <w:bottom w:val="none" w:sz="0" w:space="0" w:color="auto"/>
        <w:right w:val="none" w:sz="0" w:space="0" w:color="auto"/>
      </w:divBdr>
    </w:div>
    <w:div w:id="120807964">
      <w:bodyDiv w:val="1"/>
      <w:marLeft w:val="0"/>
      <w:marRight w:val="0"/>
      <w:marTop w:val="0"/>
      <w:marBottom w:val="0"/>
      <w:divBdr>
        <w:top w:val="none" w:sz="0" w:space="0" w:color="auto"/>
        <w:left w:val="none" w:sz="0" w:space="0" w:color="auto"/>
        <w:bottom w:val="none" w:sz="0" w:space="0" w:color="auto"/>
        <w:right w:val="none" w:sz="0" w:space="0" w:color="auto"/>
      </w:divBdr>
    </w:div>
    <w:div w:id="121045916">
      <w:bodyDiv w:val="1"/>
      <w:marLeft w:val="0"/>
      <w:marRight w:val="0"/>
      <w:marTop w:val="0"/>
      <w:marBottom w:val="0"/>
      <w:divBdr>
        <w:top w:val="none" w:sz="0" w:space="0" w:color="auto"/>
        <w:left w:val="none" w:sz="0" w:space="0" w:color="auto"/>
        <w:bottom w:val="none" w:sz="0" w:space="0" w:color="auto"/>
        <w:right w:val="none" w:sz="0" w:space="0" w:color="auto"/>
      </w:divBdr>
    </w:div>
    <w:div w:id="121313211">
      <w:bodyDiv w:val="1"/>
      <w:marLeft w:val="0"/>
      <w:marRight w:val="0"/>
      <w:marTop w:val="0"/>
      <w:marBottom w:val="0"/>
      <w:divBdr>
        <w:top w:val="none" w:sz="0" w:space="0" w:color="auto"/>
        <w:left w:val="none" w:sz="0" w:space="0" w:color="auto"/>
        <w:bottom w:val="none" w:sz="0" w:space="0" w:color="auto"/>
        <w:right w:val="none" w:sz="0" w:space="0" w:color="auto"/>
      </w:divBdr>
    </w:div>
    <w:div w:id="121385165">
      <w:bodyDiv w:val="1"/>
      <w:marLeft w:val="0"/>
      <w:marRight w:val="0"/>
      <w:marTop w:val="0"/>
      <w:marBottom w:val="0"/>
      <w:divBdr>
        <w:top w:val="none" w:sz="0" w:space="0" w:color="auto"/>
        <w:left w:val="none" w:sz="0" w:space="0" w:color="auto"/>
        <w:bottom w:val="none" w:sz="0" w:space="0" w:color="auto"/>
        <w:right w:val="none" w:sz="0" w:space="0" w:color="auto"/>
      </w:divBdr>
    </w:div>
    <w:div w:id="121388310">
      <w:bodyDiv w:val="1"/>
      <w:marLeft w:val="0"/>
      <w:marRight w:val="0"/>
      <w:marTop w:val="0"/>
      <w:marBottom w:val="0"/>
      <w:divBdr>
        <w:top w:val="none" w:sz="0" w:space="0" w:color="auto"/>
        <w:left w:val="none" w:sz="0" w:space="0" w:color="auto"/>
        <w:bottom w:val="none" w:sz="0" w:space="0" w:color="auto"/>
        <w:right w:val="none" w:sz="0" w:space="0" w:color="auto"/>
      </w:divBdr>
    </w:div>
    <w:div w:id="121389416">
      <w:bodyDiv w:val="1"/>
      <w:marLeft w:val="0"/>
      <w:marRight w:val="0"/>
      <w:marTop w:val="0"/>
      <w:marBottom w:val="0"/>
      <w:divBdr>
        <w:top w:val="none" w:sz="0" w:space="0" w:color="auto"/>
        <w:left w:val="none" w:sz="0" w:space="0" w:color="auto"/>
        <w:bottom w:val="none" w:sz="0" w:space="0" w:color="auto"/>
        <w:right w:val="none" w:sz="0" w:space="0" w:color="auto"/>
      </w:divBdr>
    </w:div>
    <w:div w:id="121463148">
      <w:bodyDiv w:val="1"/>
      <w:marLeft w:val="0"/>
      <w:marRight w:val="0"/>
      <w:marTop w:val="0"/>
      <w:marBottom w:val="0"/>
      <w:divBdr>
        <w:top w:val="none" w:sz="0" w:space="0" w:color="auto"/>
        <w:left w:val="none" w:sz="0" w:space="0" w:color="auto"/>
        <w:bottom w:val="none" w:sz="0" w:space="0" w:color="auto"/>
        <w:right w:val="none" w:sz="0" w:space="0" w:color="auto"/>
      </w:divBdr>
    </w:div>
    <w:div w:id="121503836">
      <w:bodyDiv w:val="1"/>
      <w:marLeft w:val="0"/>
      <w:marRight w:val="0"/>
      <w:marTop w:val="0"/>
      <w:marBottom w:val="0"/>
      <w:divBdr>
        <w:top w:val="none" w:sz="0" w:space="0" w:color="auto"/>
        <w:left w:val="none" w:sz="0" w:space="0" w:color="auto"/>
        <w:bottom w:val="none" w:sz="0" w:space="0" w:color="auto"/>
        <w:right w:val="none" w:sz="0" w:space="0" w:color="auto"/>
      </w:divBdr>
    </w:div>
    <w:div w:id="121503989">
      <w:bodyDiv w:val="1"/>
      <w:marLeft w:val="0"/>
      <w:marRight w:val="0"/>
      <w:marTop w:val="0"/>
      <w:marBottom w:val="0"/>
      <w:divBdr>
        <w:top w:val="none" w:sz="0" w:space="0" w:color="auto"/>
        <w:left w:val="none" w:sz="0" w:space="0" w:color="auto"/>
        <w:bottom w:val="none" w:sz="0" w:space="0" w:color="auto"/>
        <w:right w:val="none" w:sz="0" w:space="0" w:color="auto"/>
      </w:divBdr>
    </w:div>
    <w:div w:id="121505974">
      <w:bodyDiv w:val="1"/>
      <w:marLeft w:val="0"/>
      <w:marRight w:val="0"/>
      <w:marTop w:val="0"/>
      <w:marBottom w:val="0"/>
      <w:divBdr>
        <w:top w:val="none" w:sz="0" w:space="0" w:color="auto"/>
        <w:left w:val="none" w:sz="0" w:space="0" w:color="auto"/>
        <w:bottom w:val="none" w:sz="0" w:space="0" w:color="auto"/>
        <w:right w:val="none" w:sz="0" w:space="0" w:color="auto"/>
      </w:divBdr>
    </w:div>
    <w:div w:id="121533958">
      <w:bodyDiv w:val="1"/>
      <w:marLeft w:val="0"/>
      <w:marRight w:val="0"/>
      <w:marTop w:val="0"/>
      <w:marBottom w:val="0"/>
      <w:divBdr>
        <w:top w:val="none" w:sz="0" w:space="0" w:color="auto"/>
        <w:left w:val="none" w:sz="0" w:space="0" w:color="auto"/>
        <w:bottom w:val="none" w:sz="0" w:space="0" w:color="auto"/>
        <w:right w:val="none" w:sz="0" w:space="0" w:color="auto"/>
      </w:divBdr>
    </w:div>
    <w:div w:id="121581152">
      <w:bodyDiv w:val="1"/>
      <w:marLeft w:val="0"/>
      <w:marRight w:val="0"/>
      <w:marTop w:val="0"/>
      <w:marBottom w:val="0"/>
      <w:divBdr>
        <w:top w:val="none" w:sz="0" w:space="0" w:color="auto"/>
        <w:left w:val="none" w:sz="0" w:space="0" w:color="auto"/>
        <w:bottom w:val="none" w:sz="0" w:space="0" w:color="auto"/>
        <w:right w:val="none" w:sz="0" w:space="0" w:color="auto"/>
      </w:divBdr>
    </w:div>
    <w:div w:id="121702225">
      <w:bodyDiv w:val="1"/>
      <w:marLeft w:val="0"/>
      <w:marRight w:val="0"/>
      <w:marTop w:val="0"/>
      <w:marBottom w:val="0"/>
      <w:divBdr>
        <w:top w:val="none" w:sz="0" w:space="0" w:color="auto"/>
        <w:left w:val="none" w:sz="0" w:space="0" w:color="auto"/>
        <w:bottom w:val="none" w:sz="0" w:space="0" w:color="auto"/>
        <w:right w:val="none" w:sz="0" w:space="0" w:color="auto"/>
      </w:divBdr>
    </w:div>
    <w:div w:id="121776735">
      <w:bodyDiv w:val="1"/>
      <w:marLeft w:val="0"/>
      <w:marRight w:val="0"/>
      <w:marTop w:val="0"/>
      <w:marBottom w:val="0"/>
      <w:divBdr>
        <w:top w:val="none" w:sz="0" w:space="0" w:color="auto"/>
        <w:left w:val="none" w:sz="0" w:space="0" w:color="auto"/>
        <w:bottom w:val="none" w:sz="0" w:space="0" w:color="auto"/>
        <w:right w:val="none" w:sz="0" w:space="0" w:color="auto"/>
      </w:divBdr>
    </w:div>
    <w:div w:id="121849584">
      <w:bodyDiv w:val="1"/>
      <w:marLeft w:val="0"/>
      <w:marRight w:val="0"/>
      <w:marTop w:val="0"/>
      <w:marBottom w:val="0"/>
      <w:divBdr>
        <w:top w:val="none" w:sz="0" w:space="0" w:color="auto"/>
        <w:left w:val="none" w:sz="0" w:space="0" w:color="auto"/>
        <w:bottom w:val="none" w:sz="0" w:space="0" w:color="auto"/>
        <w:right w:val="none" w:sz="0" w:space="0" w:color="auto"/>
      </w:divBdr>
    </w:div>
    <w:div w:id="121923365">
      <w:bodyDiv w:val="1"/>
      <w:marLeft w:val="0"/>
      <w:marRight w:val="0"/>
      <w:marTop w:val="0"/>
      <w:marBottom w:val="0"/>
      <w:divBdr>
        <w:top w:val="none" w:sz="0" w:space="0" w:color="auto"/>
        <w:left w:val="none" w:sz="0" w:space="0" w:color="auto"/>
        <w:bottom w:val="none" w:sz="0" w:space="0" w:color="auto"/>
        <w:right w:val="none" w:sz="0" w:space="0" w:color="auto"/>
      </w:divBdr>
    </w:div>
    <w:div w:id="121929420">
      <w:bodyDiv w:val="1"/>
      <w:marLeft w:val="0"/>
      <w:marRight w:val="0"/>
      <w:marTop w:val="0"/>
      <w:marBottom w:val="0"/>
      <w:divBdr>
        <w:top w:val="none" w:sz="0" w:space="0" w:color="auto"/>
        <w:left w:val="none" w:sz="0" w:space="0" w:color="auto"/>
        <w:bottom w:val="none" w:sz="0" w:space="0" w:color="auto"/>
        <w:right w:val="none" w:sz="0" w:space="0" w:color="auto"/>
      </w:divBdr>
    </w:div>
    <w:div w:id="122042709">
      <w:bodyDiv w:val="1"/>
      <w:marLeft w:val="0"/>
      <w:marRight w:val="0"/>
      <w:marTop w:val="0"/>
      <w:marBottom w:val="0"/>
      <w:divBdr>
        <w:top w:val="none" w:sz="0" w:space="0" w:color="auto"/>
        <w:left w:val="none" w:sz="0" w:space="0" w:color="auto"/>
        <w:bottom w:val="none" w:sz="0" w:space="0" w:color="auto"/>
        <w:right w:val="none" w:sz="0" w:space="0" w:color="auto"/>
      </w:divBdr>
    </w:div>
    <w:div w:id="122116930">
      <w:bodyDiv w:val="1"/>
      <w:marLeft w:val="0"/>
      <w:marRight w:val="0"/>
      <w:marTop w:val="0"/>
      <w:marBottom w:val="0"/>
      <w:divBdr>
        <w:top w:val="none" w:sz="0" w:space="0" w:color="auto"/>
        <w:left w:val="none" w:sz="0" w:space="0" w:color="auto"/>
        <w:bottom w:val="none" w:sz="0" w:space="0" w:color="auto"/>
        <w:right w:val="none" w:sz="0" w:space="0" w:color="auto"/>
      </w:divBdr>
    </w:div>
    <w:div w:id="122121378">
      <w:bodyDiv w:val="1"/>
      <w:marLeft w:val="0"/>
      <w:marRight w:val="0"/>
      <w:marTop w:val="0"/>
      <w:marBottom w:val="0"/>
      <w:divBdr>
        <w:top w:val="none" w:sz="0" w:space="0" w:color="auto"/>
        <w:left w:val="none" w:sz="0" w:space="0" w:color="auto"/>
        <w:bottom w:val="none" w:sz="0" w:space="0" w:color="auto"/>
        <w:right w:val="none" w:sz="0" w:space="0" w:color="auto"/>
      </w:divBdr>
    </w:div>
    <w:div w:id="122311816">
      <w:bodyDiv w:val="1"/>
      <w:marLeft w:val="0"/>
      <w:marRight w:val="0"/>
      <w:marTop w:val="0"/>
      <w:marBottom w:val="0"/>
      <w:divBdr>
        <w:top w:val="none" w:sz="0" w:space="0" w:color="auto"/>
        <w:left w:val="none" w:sz="0" w:space="0" w:color="auto"/>
        <w:bottom w:val="none" w:sz="0" w:space="0" w:color="auto"/>
        <w:right w:val="none" w:sz="0" w:space="0" w:color="auto"/>
      </w:divBdr>
    </w:div>
    <w:div w:id="122315015">
      <w:bodyDiv w:val="1"/>
      <w:marLeft w:val="0"/>
      <w:marRight w:val="0"/>
      <w:marTop w:val="0"/>
      <w:marBottom w:val="0"/>
      <w:divBdr>
        <w:top w:val="none" w:sz="0" w:space="0" w:color="auto"/>
        <w:left w:val="none" w:sz="0" w:space="0" w:color="auto"/>
        <w:bottom w:val="none" w:sz="0" w:space="0" w:color="auto"/>
        <w:right w:val="none" w:sz="0" w:space="0" w:color="auto"/>
      </w:divBdr>
    </w:div>
    <w:div w:id="122385489">
      <w:bodyDiv w:val="1"/>
      <w:marLeft w:val="0"/>
      <w:marRight w:val="0"/>
      <w:marTop w:val="0"/>
      <w:marBottom w:val="0"/>
      <w:divBdr>
        <w:top w:val="none" w:sz="0" w:space="0" w:color="auto"/>
        <w:left w:val="none" w:sz="0" w:space="0" w:color="auto"/>
        <w:bottom w:val="none" w:sz="0" w:space="0" w:color="auto"/>
        <w:right w:val="none" w:sz="0" w:space="0" w:color="auto"/>
      </w:divBdr>
    </w:div>
    <w:div w:id="122427119">
      <w:bodyDiv w:val="1"/>
      <w:marLeft w:val="0"/>
      <w:marRight w:val="0"/>
      <w:marTop w:val="0"/>
      <w:marBottom w:val="0"/>
      <w:divBdr>
        <w:top w:val="none" w:sz="0" w:space="0" w:color="auto"/>
        <w:left w:val="none" w:sz="0" w:space="0" w:color="auto"/>
        <w:bottom w:val="none" w:sz="0" w:space="0" w:color="auto"/>
        <w:right w:val="none" w:sz="0" w:space="0" w:color="auto"/>
      </w:divBdr>
    </w:div>
    <w:div w:id="122577921">
      <w:bodyDiv w:val="1"/>
      <w:marLeft w:val="0"/>
      <w:marRight w:val="0"/>
      <w:marTop w:val="0"/>
      <w:marBottom w:val="0"/>
      <w:divBdr>
        <w:top w:val="none" w:sz="0" w:space="0" w:color="auto"/>
        <w:left w:val="none" w:sz="0" w:space="0" w:color="auto"/>
        <w:bottom w:val="none" w:sz="0" w:space="0" w:color="auto"/>
        <w:right w:val="none" w:sz="0" w:space="0" w:color="auto"/>
      </w:divBdr>
    </w:div>
    <w:div w:id="122579445">
      <w:bodyDiv w:val="1"/>
      <w:marLeft w:val="0"/>
      <w:marRight w:val="0"/>
      <w:marTop w:val="0"/>
      <w:marBottom w:val="0"/>
      <w:divBdr>
        <w:top w:val="none" w:sz="0" w:space="0" w:color="auto"/>
        <w:left w:val="none" w:sz="0" w:space="0" w:color="auto"/>
        <w:bottom w:val="none" w:sz="0" w:space="0" w:color="auto"/>
        <w:right w:val="none" w:sz="0" w:space="0" w:color="auto"/>
      </w:divBdr>
    </w:div>
    <w:div w:id="122583220">
      <w:bodyDiv w:val="1"/>
      <w:marLeft w:val="0"/>
      <w:marRight w:val="0"/>
      <w:marTop w:val="0"/>
      <w:marBottom w:val="0"/>
      <w:divBdr>
        <w:top w:val="none" w:sz="0" w:space="0" w:color="auto"/>
        <w:left w:val="none" w:sz="0" w:space="0" w:color="auto"/>
        <w:bottom w:val="none" w:sz="0" w:space="0" w:color="auto"/>
        <w:right w:val="none" w:sz="0" w:space="0" w:color="auto"/>
      </w:divBdr>
    </w:div>
    <w:div w:id="122624111">
      <w:bodyDiv w:val="1"/>
      <w:marLeft w:val="0"/>
      <w:marRight w:val="0"/>
      <w:marTop w:val="0"/>
      <w:marBottom w:val="0"/>
      <w:divBdr>
        <w:top w:val="none" w:sz="0" w:space="0" w:color="auto"/>
        <w:left w:val="none" w:sz="0" w:space="0" w:color="auto"/>
        <w:bottom w:val="none" w:sz="0" w:space="0" w:color="auto"/>
        <w:right w:val="none" w:sz="0" w:space="0" w:color="auto"/>
      </w:divBdr>
    </w:div>
    <w:div w:id="122699360">
      <w:bodyDiv w:val="1"/>
      <w:marLeft w:val="0"/>
      <w:marRight w:val="0"/>
      <w:marTop w:val="0"/>
      <w:marBottom w:val="0"/>
      <w:divBdr>
        <w:top w:val="none" w:sz="0" w:space="0" w:color="auto"/>
        <w:left w:val="none" w:sz="0" w:space="0" w:color="auto"/>
        <w:bottom w:val="none" w:sz="0" w:space="0" w:color="auto"/>
        <w:right w:val="none" w:sz="0" w:space="0" w:color="auto"/>
      </w:divBdr>
    </w:div>
    <w:div w:id="122816307">
      <w:bodyDiv w:val="1"/>
      <w:marLeft w:val="0"/>
      <w:marRight w:val="0"/>
      <w:marTop w:val="0"/>
      <w:marBottom w:val="0"/>
      <w:divBdr>
        <w:top w:val="none" w:sz="0" w:space="0" w:color="auto"/>
        <w:left w:val="none" w:sz="0" w:space="0" w:color="auto"/>
        <w:bottom w:val="none" w:sz="0" w:space="0" w:color="auto"/>
        <w:right w:val="none" w:sz="0" w:space="0" w:color="auto"/>
      </w:divBdr>
    </w:div>
    <w:div w:id="122962365">
      <w:bodyDiv w:val="1"/>
      <w:marLeft w:val="0"/>
      <w:marRight w:val="0"/>
      <w:marTop w:val="0"/>
      <w:marBottom w:val="0"/>
      <w:divBdr>
        <w:top w:val="none" w:sz="0" w:space="0" w:color="auto"/>
        <w:left w:val="none" w:sz="0" w:space="0" w:color="auto"/>
        <w:bottom w:val="none" w:sz="0" w:space="0" w:color="auto"/>
        <w:right w:val="none" w:sz="0" w:space="0" w:color="auto"/>
      </w:divBdr>
    </w:div>
    <w:div w:id="122962552">
      <w:bodyDiv w:val="1"/>
      <w:marLeft w:val="0"/>
      <w:marRight w:val="0"/>
      <w:marTop w:val="0"/>
      <w:marBottom w:val="0"/>
      <w:divBdr>
        <w:top w:val="none" w:sz="0" w:space="0" w:color="auto"/>
        <w:left w:val="none" w:sz="0" w:space="0" w:color="auto"/>
        <w:bottom w:val="none" w:sz="0" w:space="0" w:color="auto"/>
        <w:right w:val="none" w:sz="0" w:space="0" w:color="auto"/>
      </w:divBdr>
    </w:div>
    <w:div w:id="123011216">
      <w:bodyDiv w:val="1"/>
      <w:marLeft w:val="0"/>
      <w:marRight w:val="0"/>
      <w:marTop w:val="0"/>
      <w:marBottom w:val="0"/>
      <w:divBdr>
        <w:top w:val="none" w:sz="0" w:space="0" w:color="auto"/>
        <w:left w:val="none" w:sz="0" w:space="0" w:color="auto"/>
        <w:bottom w:val="none" w:sz="0" w:space="0" w:color="auto"/>
        <w:right w:val="none" w:sz="0" w:space="0" w:color="auto"/>
      </w:divBdr>
    </w:div>
    <w:div w:id="123037035">
      <w:bodyDiv w:val="1"/>
      <w:marLeft w:val="0"/>
      <w:marRight w:val="0"/>
      <w:marTop w:val="0"/>
      <w:marBottom w:val="0"/>
      <w:divBdr>
        <w:top w:val="none" w:sz="0" w:space="0" w:color="auto"/>
        <w:left w:val="none" w:sz="0" w:space="0" w:color="auto"/>
        <w:bottom w:val="none" w:sz="0" w:space="0" w:color="auto"/>
        <w:right w:val="none" w:sz="0" w:space="0" w:color="auto"/>
      </w:divBdr>
    </w:div>
    <w:div w:id="123042415">
      <w:bodyDiv w:val="1"/>
      <w:marLeft w:val="0"/>
      <w:marRight w:val="0"/>
      <w:marTop w:val="0"/>
      <w:marBottom w:val="0"/>
      <w:divBdr>
        <w:top w:val="none" w:sz="0" w:space="0" w:color="auto"/>
        <w:left w:val="none" w:sz="0" w:space="0" w:color="auto"/>
        <w:bottom w:val="none" w:sz="0" w:space="0" w:color="auto"/>
        <w:right w:val="none" w:sz="0" w:space="0" w:color="auto"/>
      </w:divBdr>
    </w:div>
    <w:div w:id="123081460">
      <w:bodyDiv w:val="1"/>
      <w:marLeft w:val="0"/>
      <w:marRight w:val="0"/>
      <w:marTop w:val="0"/>
      <w:marBottom w:val="0"/>
      <w:divBdr>
        <w:top w:val="none" w:sz="0" w:space="0" w:color="auto"/>
        <w:left w:val="none" w:sz="0" w:space="0" w:color="auto"/>
        <w:bottom w:val="none" w:sz="0" w:space="0" w:color="auto"/>
        <w:right w:val="none" w:sz="0" w:space="0" w:color="auto"/>
      </w:divBdr>
    </w:div>
    <w:div w:id="123231773">
      <w:bodyDiv w:val="1"/>
      <w:marLeft w:val="0"/>
      <w:marRight w:val="0"/>
      <w:marTop w:val="0"/>
      <w:marBottom w:val="0"/>
      <w:divBdr>
        <w:top w:val="none" w:sz="0" w:space="0" w:color="auto"/>
        <w:left w:val="none" w:sz="0" w:space="0" w:color="auto"/>
        <w:bottom w:val="none" w:sz="0" w:space="0" w:color="auto"/>
        <w:right w:val="none" w:sz="0" w:space="0" w:color="auto"/>
      </w:divBdr>
    </w:div>
    <w:div w:id="123233918">
      <w:bodyDiv w:val="1"/>
      <w:marLeft w:val="0"/>
      <w:marRight w:val="0"/>
      <w:marTop w:val="0"/>
      <w:marBottom w:val="0"/>
      <w:divBdr>
        <w:top w:val="none" w:sz="0" w:space="0" w:color="auto"/>
        <w:left w:val="none" w:sz="0" w:space="0" w:color="auto"/>
        <w:bottom w:val="none" w:sz="0" w:space="0" w:color="auto"/>
        <w:right w:val="none" w:sz="0" w:space="0" w:color="auto"/>
      </w:divBdr>
    </w:div>
    <w:div w:id="123274017">
      <w:bodyDiv w:val="1"/>
      <w:marLeft w:val="0"/>
      <w:marRight w:val="0"/>
      <w:marTop w:val="0"/>
      <w:marBottom w:val="0"/>
      <w:divBdr>
        <w:top w:val="none" w:sz="0" w:space="0" w:color="auto"/>
        <w:left w:val="none" w:sz="0" w:space="0" w:color="auto"/>
        <w:bottom w:val="none" w:sz="0" w:space="0" w:color="auto"/>
        <w:right w:val="none" w:sz="0" w:space="0" w:color="auto"/>
      </w:divBdr>
    </w:div>
    <w:div w:id="123274394">
      <w:bodyDiv w:val="1"/>
      <w:marLeft w:val="0"/>
      <w:marRight w:val="0"/>
      <w:marTop w:val="0"/>
      <w:marBottom w:val="0"/>
      <w:divBdr>
        <w:top w:val="none" w:sz="0" w:space="0" w:color="auto"/>
        <w:left w:val="none" w:sz="0" w:space="0" w:color="auto"/>
        <w:bottom w:val="none" w:sz="0" w:space="0" w:color="auto"/>
        <w:right w:val="none" w:sz="0" w:space="0" w:color="auto"/>
      </w:divBdr>
    </w:div>
    <w:div w:id="123275844">
      <w:bodyDiv w:val="1"/>
      <w:marLeft w:val="0"/>
      <w:marRight w:val="0"/>
      <w:marTop w:val="0"/>
      <w:marBottom w:val="0"/>
      <w:divBdr>
        <w:top w:val="none" w:sz="0" w:space="0" w:color="auto"/>
        <w:left w:val="none" w:sz="0" w:space="0" w:color="auto"/>
        <w:bottom w:val="none" w:sz="0" w:space="0" w:color="auto"/>
        <w:right w:val="none" w:sz="0" w:space="0" w:color="auto"/>
      </w:divBdr>
    </w:div>
    <w:div w:id="123350030">
      <w:bodyDiv w:val="1"/>
      <w:marLeft w:val="0"/>
      <w:marRight w:val="0"/>
      <w:marTop w:val="0"/>
      <w:marBottom w:val="0"/>
      <w:divBdr>
        <w:top w:val="none" w:sz="0" w:space="0" w:color="auto"/>
        <w:left w:val="none" w:sz="0" w:space="0" w:color="auto"/>
        <w:bottom w:val="none" w:sz="0" w:space="0" w:color="auto"/>
        <w:right w:val="none" w:sz="0" w:space="0" w:color="auto"/>
      </w:divBdr>
    </w:div>
    <w:div w:id="123500349">
      <w:bodyDiv w:val="1"/>
      <w:marLeft w:val="0"/>
      <w:marRight w:val="0"/>
      <w:marTop w:val="0"/>
      <w:marBottom w:val="0"/>
      <w:divBdr>
        <w:top w:val="none" w:sz="0" w:space="0" w:color="auto"/>
        <w:left w:val="none" w:sz="0" w:space="0" w:color="auto"/>
        <w:bottom w:val="none" w:sz="0" w:space="0" w:color="auto"/>
        <w:right w:val="none" w:sz="0" w:space="0" w:color="auto"/>
      </w:divBdr>
    </w:div>
    <w:div w:id="123617343">
      <w:bodyDiv w:val="1"/>
      <w:marLeft w:val="0"/>
      <w:marRight w:val="0"/>
      <w:marTop w:val="0"/>
      <w:marBottom w:val="0"/>
      <w:divBdr>
        <w:top w:val="none" w:sz="0" w:space="0" w:color="auto"/>
        <w:left w:val="none" w:sz="0" w:space="0" w:color="auto"/>
        <w:bottom w:val="none" w:sz="0" w:space="0" w:color="auto"/>
        <w:right w:val="none" w:sz="0" w:space="0" w:color="auto"/>
      </w:divBdr>
    </w:div>
    <w:div w:id="123626404">
      <w:bodyDiv w:val="1"/>
      <w:marLeft w:val="0"/>
      <w:marRight w:val="0"/>
      <w:marTop w:val="0"/>
      <w:marBottom w:val="0"/>
      <w:divBdr>
        <w:top w:val="none" w:sz="0" w:space="0" w:color="auto"/>
        <w:left w:val="none" w:sz="0" w:space="0" w:color="auto"/>
        <w:bottom w:val="none" w:sz="0" w:space="0" w:color="auto"/>
        <w:right w:val="none" w:sz="0" w:space="0" w:color="auto"/>
      </w:divBdr>
    </w:div>
    <w:div w:id="123734968">
      <w:bodyDiv w:val="1"/>
      <w:marLeft w:val="0"/>
      <w:marRight w:val="0"/>
      <w:marTop w:val="0"/>
      <w:marBottom w:val="0"/>
      <w:divBdr>
        <w:top w:val="none" w:sz="0" w:space="0" w:color="auto"/>
        <w:left w:val="none" w:sz="0" w:space="0" w:color="auto"/>
        <w:bottom w:val="none" w:sz="0" w:space="0" w:color="auto"/>
        <w:right w:val="none" w:sz="0" w:space="0" w:color="auto"/>
      </w:divBdr>
    </w:div>
    <w:div w:id="123741953">
      <w:bodyDiv w:val="1"/>
      <w:marLeft w:val="0"/>
      <w:marRight w:val="0"/>
      <w:marTop w:val="0"/>
      <w:marBottom w:val="0"/>
      <w:divBdr>
        <w:top w:val="none" w:sz="0" w:space="0" w:color="auto"/>
        <w:left w:val="none" w:sz="0" w:space="0" w:color="auto"/>
        <w:bottom w:val="none" w:sz="0" w:space="0" w:color="auto"/>
        <w:right w:val="none" w:sz="0" w:space="0" w:color="auto"/>
      </w:divBdr>
    </w:div>
    <w:div w:id="123742639">
      <w:bodyDiv w:val="1"/>
      <w:marLeft w:val="0"/>
      <w:marRight w:val="0"/>
      <w:marTop w:val="0"/>
      <w:marBottom w:val="0"/>
      <w:divBdr>
        <w:top w:val="none" w:sz="0" w:space="0" w:color="auto"/>
        <w:left w:val="none" w:sz="0" w:space="0" w:color="auto"/>
        <w:bottom w:val="none" w:sz="0" w:space="0" w:color="auto"/>
        <w:right w:val="none" w:sz="0" w:space="0" w:color="auto"/>
      </w:divBdr>
    </w:div>
    <w:div w:id="123811702">
      <w:bodyDiv w:val="1"/>
      <w:marLeft w:val="0"/>
      <w:marRight w:val="0"/>
      <w:marTop w:val="0"/>
      <w:marBottom w:val="0"/>
      <w:divBdr>
        <w:top w:val="none" w:sz="0" w:space="0" w:color="auto"/>
        <w:left w:val="none" w:sz="0" w:space="0" w:color="auto"/>
        <w:bottom w:val="none" w:sz="0" w:space="0" w:color="auto"/>
        <w:right w:val="none" w:sz="0" w:space="0" w:color="auto"/>
      </w:divBdr>
    </w:div>
    <w:div w:id="124012507">
      <w:bodyDiv w:val="1"/>
      <w:marLeft w:val="0"/>
      <w:marRight w:val="0"/>
      <w:marTop w:val="0"/>
      <w:marBottom w:val="0"/>
      <w:divBdr>
        <w:top w:val="none" w:sz="0" w:space="0" w:color="auto"/>
        <w:left w:val="none" w:sz="0" w:space="0" w:color="auto"/>
        <w:bottom w:val="none" w:sz="0" w:space="0" w:color="auto"/>
        <w:right w:val="none" w:sz="0" w:space="0" w:color="auto"/>
      </w:divBdr>
    </w:div>
    <w:div w:id="124201944">
      <w:bodyDiv w:val="1"/>
      <w:marLeft w:val="0"/>
      <w:marRight w:val="0"/>
      <w:marTop w:val="0"/>
      <w:marBottom w:val="0"/>
      <w:divBdr>
        <w:top w:val="none" w:sz="0" w:space="0" w:color="auto"/>
        <w:left w:val="none" w:sz="0" w:space="0" w:color="auto"/>
        <w:bottom w:val="none" w:sz="0" w:space="0" w:color="auto"/>
        <w:right w:val="none" w:sz="0" w:space="0" w:color="auto"/>
      </w:divBdr>
    </w:div>
    <w:div w:id="124277341">
      <w:bodyDiv w:val="1"/>
      <w:marLeft w:val="0"/>
      <w:marRight w:val="0"/>
      <w:marTop w:val="0"/>
      <w:marBottom w:val="0"/>
      <w:divBdr>
        <w:top w:val="none" w:sz="0" w:space="0" w:color="auto"/>
        <w:left w:val="none" w:sz="0" w:space="0" w:color="auto"/>
        <w:bottom w:val="none" w:sz="0" w:space="0" w:color="auto"/>
        <w:right w:val="none" w:sz="0" w:space="0" w:color="auto"/>
      </w:divBdr>
    </w:div>
    <w:div w:id="124349562">
      <w:bodyDiv w:val="1"/>
      <w:marLeft w:val="0"/>
      <w:marRight w:val="0"/>
      <w:marTop w:val="0"/>
      <w:marBottom w:val="0"/>
      <w:divBdr>
        <w:top w:val="none" w:sz="0" w:space="0" w:color="auto"/>
        <w:left w:val="none" w:sz="0" w:space="0" w:color="auto"/>
        <w:bottom w:val="none" w:sz="0" w:space="0" w:color="auto"/>
        <w:right w:val="none" w:sz="0" w:space="0" w:color="auto"/>
      </w:divBdr>
    </w:div>
    <w:div w:id="124353695">
      <w:bodyDiv w:val="1"/>
      <w:marLeft w:val="0"/>
      <w:marRight w:val="0"/>
      <w:marTop w:val="0"/>
      <w:marBottom w:val="0"/>
      <w:divBdr>
        <w:top w:val="none" w:sz="0" w:space="0" w:color="auto"/>
        <w:left w:val="none" w:sz="0" w:space="0" w:color="auto"/>
        <w:bottom w:val="none" w:sz="0" w:space="0" w:color="auto"/>
        <w:right w:val="none" w:sz="0" w:space="0" w:color="auto"/>
      </w:divBdr>
    </w:div>
    <w:div w:id="124468043">
      <w:bodyDiv w:val="1"/>
      <w:marLeft w:val="0"/>
      <w:marRight w:val="0"/>
      <w:marTop w:val="0"/>
      <w:marBottom w:val="0"/>
      <w:divBdr>
        <w:top w:val="none" w:sz="0" w:space="0" w:color="auto"/>
        <w:left w:val="none" w:sz="0" w:space="0" w:color="auto"/>
        <w:bottom w:val="none" w:sz="0" w:space="0" w:color="auto"/>
        <w:right w:val="none" w:sz="0" w:space="0" w:color="auto"/>
      </w:divBdr>
    </w:div>
    <w:div w:id="124544340">
      <w:bodyDiv w:val="1"/>
      <w:marLeft w:val="0"/>
      <w:marRight w:val="0"/>
      <w:marTop w:val="0"/>
      <w:marBottom w:val="0"/>
      <w:divBdr>
        <w:top w:val="none" w:sz="0" w:space="0" w:color="auto"/>
        <w:left w:val="none" w:sz="0" w:space="0" w:color="auto"/>
        <w:bottom w:val="none" w:sz="0" w:space="0" w:color="auto"/>
        <w:right w:val="none" w:sz="0" w:space="0" w:color="auto"/>
      </w:divBdr>
    </w:div>
    <w:div w:id="124549201">
      <w:bodyDiv w:val="1"/>
      <w:marLeft w:val="0"/>
      <w:marRight w:val="0"/>
      <w:marTop w:val="0"/>
      <w:marBottom w:val="0"/>
      <w:divBdr>
        <w:top w:val="none" w:sz="0" w:space="0" w:color="auto"/>
        <w:left w:val="none" w:sz="0" w:space="0" w:color="auto"/>
        <w:bottom w:val="none" w:sz="0" w:space="0" w:color="auto"/>
        <w:right w:val="none" w:sz="0" w:space="0" w:color="auto"/>
      </w:divBdr>
    </w:div>
    <w:div w:id="124549963">
      <w:bodyDiv w:val="1"/>
      <w:marLeft w:val="0"/>
      <w:marRight w:val="0"/>
      <w:marTop w:val="0"/>
      <w:marBottom w:val="0"/>
      <w:divBdr>
        <w:top w:val="none" w:sz="0" w:space="0" w:color="auto"/>
        <w:left w:val="none" w:sz="0" w:space="0" w:color="auto"/>
        <w:bottom w:val="none" w:sz="0" w:space="0" w:color="auto"/>
        <w:right w:val="none" w:sz="0" w:space="0" w:color="auto"/>
      </w:divBdr>
    </w:div>
    <w:div w:id="124589120">
      <w:bodyDiv w:val="1"/>
      <w:marLeft w:val="0"/>
      <w:marRight w:val="0"/>
      <w:marTop w:val="0"/>
      <w:marBottom w:val="0"/>
      <w:divBdr>
        <w:top w:val="none" w:sz="0" w:space="0" w:color="auto"/>
        <w:left w:val="none" w:sz="0" w:space="0" w:color="auto"/>
        <w:bottom w:val="none" w:sz="0" w:space="0" w:color="auto"/>
        <w:right w:val="none" w:sz="0" w:space="0" w:color="auto"/>
      </w:divBdr>
    </w:div>
    <w:div w:id="124591855">
      <w:bodyDiv w:val="1"/>
      <w:marLeft w:val="0"/>
      <w:marRight w:val="0"/>
      <w:marTop w:val="0"/>
      <w:marBottom w:val="0"/>
      <w:divBdr>
        <w:top w:val="none" w:sz="0" w:space="0" w:color="auto"/>
        <w:left w:val="none" w:sz="0" w:space="0" w:color="auto"/>
        <w:bottom w:val="none" w:sz="0" w:space="0" w:color="auto"/>
        <w:right w:val="none" w:sz="0" w:space="0" w:color="auto"/>
      </w:divBdr>
    </w:div>
    <w:div w:id="124663287">
      <w:bodyDiv w:val="1"/>
      <w:marLeft w:val="0"/>
      <w:marRight w:val="0"/>
      <w:marTop w:val="0"/>
      <w:marBottom w:val="0"/>
      <w:divBdr>
        <w:top w:val="none" w:sz="0" w:space="0" w:color="auto"/>
        <w:left w:val="none" w:sz="0" w:space="0" w:color="auto"/>
        <w:bottom w:val="none" w:sz="0" w:space="0" w:color="auto"/>
        <w:right w:val="none" w:sz="0" w:space="0" w:color="auto"/>
      </w:divBdr>
    </w:div>
    <w:div w:id="124782492">
      <w:bodyDiv w:val="1"/>
      <w:marLeft w:val="0"/>
      <w:marRight w:val="0"/>
      <w:marTop w:val="0"/>
      <w:marBottom w:val="0"/>
      <w:divBdr>
        <w:top w:val="none" w:sz="0" w:space="0" w:color="auto"/>
        <w:left w:val="none" w:sz="0" w:space="0" w:color="auto"/>
        <w:bottom w:val="none" w:sz="0" w:space="0" w:color="auto"/>
        <w:right w:val="none" w:sz="0" w:space="0" w:color="auto"/>
      </w:divBdr>
    </w:div>
    <w:div w:id="124785407">
      <w:bodyDiv w:val="1"/>
      <w:marLeft w:val="0"/>
      <w:marRight w:val="0"/>
      <w:marTop w:val="0"/>
      <w:marBottom w:val="0"/>
      <w:divBdr>
        <w:top w:val="none" w:sz="0" w:space="0" w:color="auto"/>
        <w:left w:val="none" w:sz="0" w:space="0" w:color="auto"/>
        <w:bottom w:val="none" w:sz="0" w:space="0" w:color="auto"/>
        <w:right w:val="none" w:sz="0" w:space="0" w:color="auto"/>
      </w:divBdr>
    </w:div>
    <w:div w:id="124813164">
      <w:bodyDiv w:val="1"/>
      <w:marLeft w:val="0"/>
      <w:marRight w:val="0"/>
      <w:marTop w:val="0"/>
      <w:marBottom w:val="0"/>
      <w:divBdr>
        <w:top w:val="none" w:sz="0" w:space="0" w:color="auto"/>
        <w:left w:val="none" w:sz="0" w:space="0" w:color="auto"/>
        <w:bottom w:val="none" w:sz="0" w:space="0" w:color="auto"/>
        <w:right w:val="none" w:sz="0" w:space="0" w:color="auto"/>
      </w:divBdr>
    </w:div>
    <w:div w:id="124931169">
      <w:bodyDiv w:val="1"/>
      <w:marLeft w:val="0"/>
      <w:marRight w:val="0"/>
      <w:marTop w:val="0"/>
      <w:marBottom w:val="0"/>
      <w:divBdr>
        <w:top w:val="none" w:sz="0" w:space="0" w:color="auto"/>
        <w:left w:val="none" w:sz="0" w:space="0" w:color="auto"/>
        <w:bottom w:val="none" w:sz="0" w:space="0" w:color="auto"/>
        <w:right w:val="none" w:sz="0" w:space="0" w:color="auto"/>
      </w:divBdr>
    </w:div>
    <w:div w:id="124933339">
      <w:bodyDiv w:val="1"/>
      <w:marLeft w:val="0"/>
      <w:marRight w:val="0"/>
      <w:marTop w:val="0"/>
      <w:marBottom w:val="0"/>
      <w:divBdr>
        <w:top w:val="none" w:sz="0" w:space="0" w:color="auto"/>
        <w:left w:val="none" w:sz="0" w:space="0" w:color="auto"/>
        <w:bottom w:val="none" w:sz="0" w:space="0" w:color="auto"/>
        <w:right w:val="none" w:sz="0" w:space="0" w:color="auto"/>
      </w:divBdr>
    </w:div>
    <w:div w:id="124934267">
      <w:bodyDiv w:val="1"/>
      <w:marLeft w:val="0"/>
      <w:marRight w:val="0"/>
      <w:marTop w:val="0"/>
      <w:marBottom w:val="0"/>
      <w:divBdr>
        <w:top w:val="none" w:sz="0" w:space="0" w:color="auto"/>
        <w:left w:val="none" w:sz="0" w:space="0" w:color="auto"/>
        <w:bottom w:val="none" w:sz="0" w:space="0" w:color="auto"/>
        <w:right w:val="none" w:sz="0" w:space="0" w:color="auto"/>
      </w:divBdr>
    </w:div>
    <w:div w:id="124936443">
      <w:bodyDiv w:val="1"/>
      <w:marLeft w:val="0"/>
      <w:marRight w:val="0"/>
      <w:marTop w:val="0"/>
      <w:marBottom w:val="0"/>
      <w:divBdr>
        <w:top w:val="none" w:sz="0" w:space="0" w:color="auto"/>
        <w:left w:val="none" w:sz="0" w:space="0" w:color="auto"/>
        <w:bottom w:val="none" w:sz="0" w:space="0" w:color="auto"/>
        <w:right w:val="none" w:sz="0" w:space="0" w:color="auto"/>
      </w:divBdr>
    </w:div>
    <w:div w:id="124978125">
      <w:bodyDiv w:val="1"/>
      <w:marLeft w:val="0"/>
      <w:marRight w:val="0"/>
      <w:marTop w:val="0"/>
      <w:marBottom w:val="0"/>
      <w:divBdr>
        <w:top w:val="none" w:sz="0" w:space="0" w:color="auto"/>
        <w:left w:val="none" w:sz="0" w:space="0" w:color="auto"/>
        <w:bottom w:val="none" w:sz="0" w:space="0" w:color="auto"/>
        <w:right w:val="none" w:sz="0" w:space="0" w:color="auto"/>
      </w:divBdr>
    </w:div>
    <w:div w:id="125053748">
      <w:bodyDiv w:val="1"/>
      <w:marLeft w:val="0"/>
      <w:marRight w:val="0"/>
      <w:marTop w:val="0"/>
      <w:marBottom w:val="0"/>
      <w:divBdr>
        <w:top w:val="none" w:sz="0" w:space="0" w:color="auto"/>
        <w:left w:val="none" w:sz="0" w:space="0" w:color="auto"/>
        <w:bottom w:val="none" w:sz="0" w:space="0" w:color="auto"/>
        <w:right w:val="none" w:sz="0" w:space="0" w:color="auto"/>
      </w:divBdr>
    </w:div>
    <w:div w:id="125126124">
      <w:bodyDiv w:val="1"/>
      <w:marLeft w:val="0"/>
      <w:marRight w:val="0"/>
      <w:marTop w:val="0"/>
      <w:marBottom w:val="0"/>
      <w:divBdr>
        <w:top w:val="none" w:sz="0" w:space="0" w:color="auto"/>
        <w:left w:val="none" w:sz="0" w:space="0" w:color="auto"/>
        <w:bottom w:val="none" w:sz="0" w:space="0" w:color="auto"/>
        <w:right w:val="none" w:sz="0" w:space="0" w:color="auto"/>
      </w:divBdr>
    </w:div>
    <w:div w:id="125317150">
      <w:bodyDiv w:val="1"/>
      <w:marLeft w:val="0"/>
      <w:marRight w:val="0"/>
      <w:marTop w:val="0"/>
      <w:marBottom w:val="0"/>
      <w:divBdr>
        <w:top w:val="none" w:sz="0" w:space="0" w:color="auto"/>
        <w:left w:val="none" w:sz="0" w:space="0" w:color="auto"/>
        <w:bottom w:val="none" w:sz="0" w:space="0" w:color="auto"/>
        <w:right w:val="none" w:sz="0" w:space="0" w:color="auto"/>
      </w:divBdr>
    </w:div>
    <w:div w:id="125392320">
      <w:bodyDiv w:val="1"/>
      <w:marLeft w:val="0"/>
      <w:marRight w:val="0"/>
      <w:marTop w:val="0"/>
      <w:marBottom w:val="0"/>
      <w:divBdr>
        <w:top w:val="none" w:sz="0" w:space="0" w:color="auto"/>
        <w:left w:val="none" w:sz="0" w:space="0" w:color="auto"/>
        <w:bottom w:val="none" w:sz="0" w:space="0" w:color="auto"/>
        <w:right w:val="none" w:sz="0" w:space="0" w:color="auto"/>
      </w:divBdr>
    </w:div>
    <w:div w:id="125392895">
      <w:bodyDiv w:val="1"/>
      <w:marLeft w:val="0"/>
      <w:marRight w:val="0"/>
      <w:marTop w:val="0"/>
      <w:marBottom w:val="0"/>
      <w:divBdr>
        <w:top w:val="none" w:sz="0" w:space="0" w:color="auto"/>
        <w:left w:val="none" w:sz="0" w:space="0" w:color="auto"/>
        <w:bottom w:val="none" w:sz="0" w:space="0" w:color="auto"/>
        <w:right w:val="none" w:sz="0" w:space="0" w:color="auto"/>
      </w:divBdr>
    </w:div>
    <w:div w:id="125395038">
      <w:bodyDiv w:val="1"/>
      <w:marLeft w:val="0"/>
      <w:marRight w:val="0"/>
      <w:marTop w:val="0"/>
      <w:marBottom w:val="0"/>
      <w:divBdr>
        <w:top w:val="none" w:sz="0" w:space="0" w:color="auto"/>
        <w:left w:val="none" w:sz="0" w:space="0" w:color="auto"/>
        <w:bottom w:val="none" w:sz="0" w:space="0" w:color="auto"/>
        <w:right w:val="none" w:sz="0" w:space="0" w:color="auto"/>
      </w:divBdr>
    </w:div>
    <w:div w:id="125439392">
      <w:bodyDiv w:val="1"/>
      <w:marLeft w:val="0"/>
      <w:marRight w:val="0"/>
      <w:marTop w:val="0"/>
      <w:marBottom w:val="0"/>
      <w:divBdr>
        <w:top w:val="none" w:sz="0" w:space="0" w:color="auto"/>
        <w:left w:val="none" w:sz="0" w:space="0" w:color="auto"/>
        <w:bottom w:val="none" w:sz="0" w:space="0" w:color="auto"/>
        <w:right w:val="none" w:sz="0" w:space="0" w:color="auto"/>
      </w:divBdr>
    </w:div>
    <w:div w:id="125508824">
      <w:bodyDiv w:val="1"/>
      <w:marLeft w:val="0"/>
      <w:marRight w:val="0"/>
      <w:marTop w:val="0"/>
      <w:marBottom w:val="0"/>
      <w:divBdr>
        <w:top w:val="none" w:sz="0" w:space="0" w:color="auto"/>
        <w:left w:val="none" w:sz="0" w:space="0" w:color="auto"/>
        <w:bottom w:val="none" w:sz="0" w:space="0" w:color="auto"/>
        <w:right w:val="none" w:sz="0" w:space="0" w:color="auto"/>
      </w:divBdr>
    </w:div>
    <w:div w:id="125515101">
      <w:bodyDiv w:val="1"/>
      <w:marLeft w:val="0"/>
      <w:marRight w:val="0"/>
      <w:marTop w:val="0"/>
      <w:marBottom w:val="0"/>
      <w:divBdr>
        <w:top w:val="none" w:sz="0" w:space="0" w:color="auto"/>
        <w:left w:val="none" w:sz="0" w:space="0" w:color="auto"/>
        <w:bottom w:val="none" w:sz="0" w:space="0" w:color="auto"/>
        <w:right w:val="none" w:sz="0" w:space="0" w:color="auto"/>
      </w:divBdr>
    </w:div>
    <w:div w:id="125516901">
      <w:bodyDiv w:val="1"/>
      <w:marLeft w:val="0"/>
      <w:marRight w:val="0"/>
      <w:marTop w:val="0"/>
      <w:marBottom w:val="0"/>
      <w:divBdr>
        <w:top w:val="none" w:sz="0" w:space="0" w:color="auto"/>
        <w:left w:val="none" w:sz="0" w:space="0" w:color="auto"/>
        <w:bottom w:val="none" w:sz="0" w:space="0" w:color="auto"/>
        <w:right w:val="none" w:sz="0" w:space="0" w:color="auto"/>
      </w:divBdr>
    </w:div>
    <w:div w:id="125708125">
      <w:bodyDiv w:val="1"/>
      <w:marLeft w:val="0"/>
      <w:marRight w:val="0"/>
      <w:marTop w:val="0"/>
      <w:marBottom w:val="0"/>
      <w:divBdr>
        <w:top w:val="none" w:sz="0" w:space="0" w:color="auto"/>
        <w:left w:val="none" w:sz="0" w:space="0" w:color="auto"/>
        <w:bottom w:val="none" w:sz="0" w:space="0" w:color="auto"/>
        <w:right w:val="none" w:sz="0" w:space="0" w:color="auto"/>
      </w:divBdr>
    </w:div>
    <w:div w:id="125784226">
      <w:bodyDiv w:val="1"/>
      <w:marLeft w:val="0"/>
      <w:marRight w:val="0"/>
      <w:marTop w:val="0"/>
      <w:marBottom w:val="0"/>
      <w:divBdr>
        <w:top w:val="none" w:sz="0" w:space="0" w:color="auto"/>
        <w:left w:val="none" w:sz="0" w:space="0" w:color="auto"/>
        <w:bottom w:val="none" w:sz="0" w:space="0" w:color="auto"/>
        <w:right w:val="none" w:sz="0" w:space="0" w:color="auto"/>
      </w:divBdr>
    </w:div>
    <w:div w:id="125851904">
      <w:bodyDiv w:val="1"/>
      <w:marLeft w:val="0"/>
      <w:marRight w:val="0"/>
      <w:marTop w:val="0"/>
      <w:marBottom w:val="0"/>
      <w:divBdr>
        <w:top w:val="none" w:sz="0" w:space="0" w:color="auto"/>
        <w:left w:val="none" w:sz="0" w:space="0" w:color="auto"/>
        <w:bottom w:val="none" w:sz="0" w:space="0" w:color="auto"/>
        <w:right w:val="none" w:sz="0" w:space="0" w:color="auto"/>
      </w:divBdr>
    </w:div>
    <w:div w:id="125858050">
      <w:bodyDiv w:val="1"/>
      <w:marLeft w:val="0"/>
      <w:marRight w:val="0"/>
      <w:marTop w:val="0"/>
      <w:marBottom w:val="0"/>
      <w:divBdr>
        <w:top w:val="none" w:sz="0" w:space="0" w:color="auto"/>
        <w:left w:val="none" w:sz="0" w:space="0" w:color="auto"/>
        <w:bottom w:val="none" w:sz="0" w:space="0" w:color="auto"/>
        <w:right w:val="none" w:sz="0" w:space="0" w:color="auto"/>
      </w:divBdr>
    </w:div>
    <w:div w:id="125897255">
      <w:bodyDiv w:val="1"/>
      <w:marLeft w:val="0"/>
      <w:marRight w:val="0"/>
      <w:marTop w:val="0"/>
      <w:marBottom w:val="0"/>
      <w:divBdr>
        <w:top w:val="none" w:sz="0" w:space="0" w:color="auto"/>
        <w:left w:val="none" w:sz="0" w:space="0" w:color="auto"/>
        <w:bottom w:val="none" w:sz="0" w:space="0" w:color="auto"/>
        <w:right w:val="none" w:sz="0" w:space="0" w:color="auto"/>
      </w:divBdr>
    </w:div>
    <w:div w:id="125901277">
      <w:bodyDiv w:val="1"/>
      <w:marLeft w:val="0"/>
      <w:marRight w:val="0"/>
      <w:marTop w:val="0"/>
      <w:marBottom w:val="0"/>
      <w:divBdr>
        <w:top w:val="none" w:sz="0" w:space="0" w:color="auto"/>
        <w:left w:val="none" w:sz="0" w:space="0" w:color="auto"/>
        <w:bottom w:val="none" w:sz="0" w:space="0" w:color="auto"/>
        <w:right w:val="none" w:sz="0" w:space="0" w:color="auto"/>
      </w:divBdr>
    </w:div>
    <w:div w:id="125977331">
      <w:bodyDiv w:val="1"/>
      <w:marLeft w:val="0"/>
      <w:marRight w:val="0"/>
      <w:marTop w:val="0"/>
      <w:marBottom w:val="0"/>
      <w:divBdr>
        <w:top w:val="none" w:sz="0" w:space="0" w:color="auto"/>
        <w:left w:val="none" w:sz="0" w:space="0" w:color="auto"/>
        <w:bottom w:val="none" w:sz="0" w:space="0" w:color="auto"/>
        <w:right w:val="none" w:sz="0" w:space="0" w:color="auto"/>
      </w:divBdr>
    </w:div>
    <w:div w:id="126045519">
      <w:bodyDiv w:val="1"/>
      <w:marLeft w:val="0"/>
      <w:marRight w:val="0"/>
      <w:marTop w:val="0"/>
      <w:marBottom w:val="0"/>
      <w:divBdr>
        <w:top w:val="none" w:sz="0" w:space="0" w:color="auto"/>
        <w:left w:val="none" w:sz="0" w:space="0" w:color="auto"/>
        <w:bottom w:val="none" w:sz="0" w:space="0" w:color="auto"/>
        <w:right w:val="none" w:sz="0" w:space="0" w:color="auto"/>
      </w:divBdr>
    </w:div>
    <w:div w:id="126046808">
      <w:bodyDiv w:val="1"/>
      <w:marLeft w:val="0"/>
      <w:marRight w:val="0"/>
      <w:marTop w:val="0"/>
      <w:marBottom w:val="0"/>
      <w:divBdr>
        <w:top w:val="none" w:sz="0" w:space="0" w:color="auto"/>
        <w:left w:val="none" w:sz="0" w:space="0" w:color="auto"/>
        <w:bottom w:val="none" w:sz="0" w:space="0" w:color="auto"/>
        <w:right w:val="none" w:sz="0" w:space="0" w:color="auto"/>
      </w:divBdr>
    </w:div>
    <w:div w:id="126123452">
      <w:bodyDiv w:val="1"/>
      <w:marLeft w:val="0"/>
      <w:marRight w:val="0"/>
      <w:marTop w:val="0"/>
      <w:marBottom w:val="0"/>
      <w:divBdr>
        <w:top w:val="none" w:sz="0" w:space="0" w:color="auto"/>
        <w:left w:val="none" w:sz="0" w:space="0" w:color="auto"/>
        <w:bottom w:val="none" w:sz="0" w:space="0" w:color="auto"/>
        <w:right w:val="none" w:sz="0" w:space="0" w:color="auto"/>
      </w:divBdr>
    </w:div>
    <w:div w:id="126162950">
      <w:bodyDiv w:val="1"/>
      <w:marLeft w:val="0"/>
      <w:marRight w:val="0"/>
      <w:marTop w:val="0"/>
      <w:marBottom w:val="0"/>
      <w:divBdr>
        <w:top w:val="none" w:sz="0" w:space="0" w:color="auto"/>
        <w:left w:val="none" w:sz="0" w:space="0" w:color="auto"/>
        <w:bottom w:val="none" w:sz="0" w:space="0" w:color="auto"/>
        <w:right w:val="none" w:sz="0" w:space="0" w:color="auto"/>
      </w:divBdr>
    </w:div>
    <w:div w:id="126169917">
      <w:bodyDiv w:val="1"/>
      <w:marLeft w:val="0"/>
      <w:marRight w:val="0"/>
      <w:marTop w:val="0"/>
      <w:marBottom w:val="0"/>
      <w:divBdr>
        <w:top w:val="none" w:sz="0" w:space="0" w:color="auto"/>
        <w:left w:val="none" w:sz="0" w:space="0" w:color="auto"/>
        <w:bottom w:val="none" w:sz="0" w:space="0" w:color="auto"/>
        <w:right w:val="none" w:sz="0" w:space="0" w:color="auto"/>
      </w:divBdr>
    </w:div>
    <w:div w:id="126170421">
      <w:bodyDiv w:val="1"/>
      <w:marLeft w:val="0"/>
      <w:marRight w:val="0"/>
      <w:marTop w:val="0"/>
      <w:marBottom w:val="0"/>
      <w:divBdr>
        <w:top w:val="none" w:sz="0" w:space="0" w:color="auto"/>
        <w:left w:val="none" w:sz="0" w:space="0" w:color="auto"/>
        <w:bottom w:val="none" w:sz="0" w:space="0" w:color="auto"/>
        <w:right w:val="none" w:sz="0" w:space="0" w:color="auto"/>
      </w:divBdr>
    </w:div>
    <w:div w:id="126238195">
      <w:bodyDiv w:val="1"/>
      <w:marLeft w:val="0"/>
      <w:marRight w:val="0"/>
      <w:marTop w:val="0"/>
      <w:marBottom w:val="0"/>
      <w:divBdr>
        <w:top w:val="none" w:sz="0" w:space="0" w:color="auto"/>
        <w:left w:val="none" w:sz="0" w:space="0" w:color="auto"/>
        <w:bottom w:val="none" w:sz="0" w:space="0" w:color="auto"/>
        <w:right w:val="none" w:sz="0" w:space="0" w:color="auto"/>
      </w:divBdr>
    </w:div>
    <w:div w:id="126313569">
      <w:bodyDiv w:val="1"/>
      <w:marLeft w:val="0"/>
      <w:marRight w:val="0"/>
      <w:marTop w:val="0"/>
      <w:marBottom w:val="0"/>
      <w:divBdr>
        <w:top w:val="none" w:sz="0" w:space="0" w:color="auto"/>
        <w:left w:val="none" w:sz="0" w:space="0" w:color="auto"/>
        <w:bottom w:val="none" w:sz="0" w:space="0" w:color="auto"/>
        <w:right w:val="none" w:sz="0" w:space="0" w:color="auto"/>
      </w:divBdr>
    </w:div>
    <w:div w:id="126317152">
      <w:bodyDiv w:val="1"/>
      <w:marLeft w:val="0"/>
      <w:marRight w:val="0"/>
      <w:marTop w:val="0"/>
      <w:marBottom w:val="0"/>
      <w:divBdr>
        <w:top w:val="none" w:sz="0" w:space="0" w:color="auto"/>
        <w:left w:val="none" w:sz="0" w:space="0" w:color="auto"/>
        <w:bottom w:val="none" w:sz="0" w:space="0" w:color="auto"/>
        <w:right w:val="none" w:sz="0" w:space="0" w:color="auto"/>
      </w:divBdr>
    </w:div>
    <w:div w:id="126437199">
      <w:bodyDiv w:val="1"/>
      <w:marLeft w:val="0"/>
      <w:marRight w:val="0"/>
      <w:marTop w:val="0"/>
      <w:marBottom w:val="0"/>
      <w:divBdr>
        <w:top w:val="none" w:sz="0" w:space="0" w:color="auto"/>
        <w:left w:val="none" w:sz="0" w:space="0" w:color="auto"/>
        <w:bottom w:val="none" w:sz="0" w:space="0" w:color="auto"/>
        <w:right w:val="none" w:sz="0" w:space="0" w:color="auto"/>
      </w:divBdr>
    </w:div>
    <w:div w:id="126625431">
      <w:bodyDiv w:val="1"/>
      <w:marLeft w:val="0"/>
      <w:marRight w:val="0"/>
      <w:marTop w:val="0"/>
      <w:marBottom w:val="0"/>
      <w:divBdr>
        <w:top w:val="none" w:sz="0" w:space="0" w:color="auto"/>
        <w:left w:val="none" w:sz="0" w:space="0" w:color="auto"/>
        <w:bottom w:val="none" w:sz="0" w:space="0" w:color="auto"/>
        <w:right w:val="none" w:sz="0" w:space="0" w:color="auto"/>
      </w:divBdr>
    </w:div>
    <w:div w:id="126627948">
      <w:bodyDiv w:val="1"/>
      <w:marLeft w:val="0"/>
      <w:marRight w:val="0"/>
      <w:marTop w:val="0"/>
      <w:marBottom w:val="0"/>
      <w:divBdr>
        <w:top w:val="none" w:sz="0" w:space="0" w:color="auto"/>
        <w:left w:val="none" w:sz="0" w:space="0" w:color="auto"/>
        <w:bottom w:val="none" w:sz="0" w:space="0" w:color="auto"/>
        <w:right w:val="none" w:sz="0" w:space="0" w:color="auto"/>
      </w:divBdr>
    </w:div>
    <w:div w:id="126750435">
      <w:bodyDiv w:val="1"/>
      <w:marLeft w:val="0"/>
      <w:marRight w:val="0"/>
      <w:marTop w:val="0"/>
      <w:marBottom w:val="0"/>
      <w:divBdr>
        <w:top w:val="none" w:sz="0" w:space="0" w:color="auto"/>
        <w:left w:val="none" w:sz="0" w:space="0" w:color="auto"/>
        <w:bottom w:val="none" w:sz="0" w:space="0" w:color="auto"/>
        <w:right w:val="none" w:sz="0" w:space="0" w:color="auto"/>
      </w:divBdr>
    </w:div>
    <w:div w:id="127011338">
      <w:bodyDiv w:val="1"/>
      <w:marLeft w:val="0"/>
      <w:marRight w:val="0"/>
      <w:marTop w:val="0"/>
      <w:marBottom w:val="0"/>
      <w:divBdr>
        <w:top w:val="none" w:sz="0" w:space="0" w:color="auto"/>
        <w:left w:val="none" w:sz="0" w:space="0" w:color="auto"/>
        <w:bottom w:val="none" w:sz="0" w:space="0" w:color="auto"/>
        <w:right w:val="none" w:sz="0" w:space="0" w:color="auto"/>
      </w:divBdr>
    </w:div>
    <w:div w:id="127016752">
      <w:bodyDiv w:val="1"/>
      <w:marLeft w:val="0"/>
      <w:marRight w:val="0"/>
      <w:marTop w:val="0"/>
      <w:marBottom w:val="0"/>
      <w:divBdr>
        <w:top w:val="none" w:sz="0" w:space="0" w:color="auto"/>
        <w:left w:val="none" w:sz="0" w:space="0" w:color="auto"/>
        <w:bottom w:val="none" w:sz="0" w:space="0" w:color="auto"/>
        <w:right w:val="none" w:sz="0" w:space="0" w:color="auto"/>
      </w:divBdr>
    </w:div>
    <w:div w:id="127020978">
      <w:bodyDiv w:val="1"/>
      <w:marLeft w:val="0"/>
      <w:marRight w:val="0"/>
      <w:marTop w:val="0"/>
      <w:marBottom w:val="0"/>
      <w:divBdr>
        <w:top w:val="none" w:sz="0" w:space="0" w:color="auto"/>
        <w:left w:val="none" w:sz="0" w:space="0" w:color="auto"/>
        <w:bottom w:val="none" w:sz="0" w:space="0" w:color="auto"/>
        <w:right w:val="none" w:sz="0" w:space="0" w:color="auto"/>
      </w:divBdr>
    </w:div>
    <w:div w:id="127088536">
      <w:bodyDiv w:val="1"/>
      <w:marLeft w:val="0"/>
      <w:marRight w:val="0"/>
      <w:marTop w:val="0"/>
      <w:marBottom w:val="0"/>
      <w:divBdr>
        <w:top w:val="none" w:sz="0" w:space="0" w:color="auto"/>
        <w:left w:val="none" w:sz="0" w:space="0" w:color="auto"/>
        <w:bottom w:val="none" w:sz="0" w:space="0" w:color="auto"/>
        <w:right w:val="none" w:sz="0" w:space="0" w:color="auto"/>
      </w:divBdr>
    </w:div>
    <w:div w:id="127092584">
      <w:bodyDiv w:val="1"/>
      <w:marLeft w:val="0"/>
      <w:marRight w:val="0"/>
      <w:marTop w:val="0"/>
      <w:marBottom w:val="0"/>
      <w:divBdr>
        <w:top w:val="none" w:sz="0" w:space="0" w:color="auto"/>
        <w:left w:val="none" w:sz="0" w:space="0" w:color="auto"/>
        <w:bottom w:val="none" w:sz="0" w:space="0" w:color="auto"/>
        <w:right w:val="none" w:sz="0" w:space="0" w:color="auto"/>
      </w:divBdr>
    </w:div>
    <w:div w:id="127162309">
      <w:bodyDiv w:val="1"/>
      <w:marLeft w:val="0"/>
      <w:marRight w:val="0"/>
      <w:marTop w:val="0"/>
      <w:marBottom w:val="0"/>
      <w:divBdr>
        <w:top w:val="none" w:sz="0" w:space="0" w:color="auto"/>
        <w:left w:val="none" w:sz="0" w:space="0" w:color="auto"/>
        <w:bottom w:val="none" w:sz="0" w:space="0" w:color="auto"/>
        <w:right w:val="none" w:sz="0" w:space="0" w:color="auto"/>
      </w:divBdr>
    </w:div>
    <w:div w:id="127206382">
      <w:bodyDiv w:val="1"/>
      <w:marLeft w:val="0"/>
      <w:marRight w:val="0"/>
      <w:marTop w:val="0"/>
      <w:marBottom w:val="0"/>
      <w:divBdr>
        <w:top w:val="none" w:sz="0" w:space="0" w:color="auto"/>
        <w:left w:val="none" w:sz="0" w:space="0" w:color="auto"/>
        <w:bottom w:val="none" w:sz="0" w:space="0" w:color="auto"/>
        <w:right w:val="none" w:sz="0" w:space="0" w:color="auto"/>
      </w:divBdr>
    </w:div>
    <w:div w:id="127206630">
      <w:bodyDiv w:val="1"/>
      <w:marLeft w:val="0"/>
      <w:marRight w:val="0"/>
      <w:marTop w:val="0"/>
      <w:marBottom w:val="0"/>
      <w:divBdr>
        <w:top w:val="none" w:sz="0" w:space="0" w:color="auto"/>
        <w:left w:val="none" w:sz="0" w:space="0" w:color="auto"/>
        <w:bottom w:val="none" w:sz="0" w:space="0" w:color="auto"/>
        <w:right w:val="none" w:sz="0" w:space="0" w:color="auto"/>
      </w:divBdr>
    </w:div>
    <w:div w:id="127355960">
      <w:bodyDiv w:val="1"/>
      <w:marLeft w:val="0"/>
      <w:marRight w:val="0"/>
      <w:marTop w:val="0"/>
      <w:marBottom w:val="0"/>
      <w:divBdr>
        <w:top w:val="none" w:sz="0" w:space="0" w:color="auto"/>
        <w:left w:val="none" w:sz="0" w:space="0" w:color="auto"/>
        <w:bottom w:val="none" w:sz="0" w:space="0" w:color="auto"/>
        <w:right w:val="none" w:sz="0" w:space="0" w:color="auto"/>
      </w:divBdr>
    </w:div>
    <w:div w:id="127356290">
      <w:bodyDiv w:val="1"/>
      <w:marLeft w:val="0"/>
      <w:marRight w:val="0"/>
      <w:marTop w:val="0"/>
      <w:marBottom w:val="0"/>
      <w:divBdr>
        <w:top w:val="none" w:sz="0" w:space="0" w:color="auto"/>
        <w:left w:val="none" w:sz="0" w:space="0" w:color="auto"/>
        <w:bottom w:val="none" w:sz="0" w:space="0" w:color="auto"/>
        <w:right w:val="none" w:sz="0" w:space="0" w:color="auto"/>
      </w:divBdr>
    </w:div>
    <w:div w:id="127667763">
      <w:bodyDiv w:val="1"/>
      <w:marLeft w:val="0"/>
      <w:marRight w:val="0"/>
      <w:marTop w:val="0"/>
      <w:marBottom w:val="0"/>
      <w:divBdr>
        <w:top w:val="none" w:sz="0" w:space="0" w:color="auto"/>
        <w:left w:val="none" w:sz="0" w:space="0" w:color="auto"/>
        <w:bottom w:val="none" w:sz="0" w:space="0" w:color="auto"/>
        <w:right w:val="none" w:sz="0" w:space="0" w:color="auto"/>
      </w:divBdr>
    </w:div>
    <w:div w:id="127668063">
      <w:bodyDiv w:val="1"/>
      <w:marLeft w:val="0"/>
      <w:marRight w:val="0"/>
      <w:marTop w:val="0"/>
      <w:marBottom w:val="0"/>
      <w:divBdr>
        <w:top w:val="none" w:sz="0" w:space="0" w:color="auto"/>
        <w:left w:val="none" w:sz="0" w:space="0" w:color="auto"/>
        <w:bottom w:val="none" w:sz="0" w:space="0" w:color="auto"/>
        <w:right w:val="none" w:sz="0" w:space="0" w:color="auto"/>
      </w:divBdr>
    </w:div>
    <w:div w:id="127741945">
      <w:bodyDiv w:val="1"/>
      <w:marLeft w:val="0"/>
      <w:marRight w:val="0"/>
      <w:marTop w:val="0"/>
      <w:marBottom w:val="0"/>
      <w:divBdr>
        <w:top w:val="none" w:sz="0" w:space="0" w:color="auto"/>
        <w:left w:val="none" w:sz="0" w:space="0" w:color="auto"/>
        <w:bottom w:val="none" w:sz="0" w:space="0" w:color="auto"/>
        <w:right w:val="none" w:sz="0" w:space="0" w:color="auto"/>
      </w:divBdr>
    </w:div>
    <w:div w:id="127820926">
      <w:bodyDiv w:val="1"/>
      <w:marLeft w:val="0"/>
      <w:marRight w:val="0"/>
      <w:marTop w:val="0"/>
      <w:marBottom w:val="0"/>
      <w:divBdr>
        <w:top w:val="none" w:sz="0" w:space="0" w:color="auto"/>
        <w:left w:val="none" w:sz="0" w:space="0" w:color="auto"/>
        <w:bottom w:val="none" w:sz="0" w:space="0" w:color="auto"/>
        <w:right w:val="none" w:sz="0" w:space="0" w:color="auto"/>
      </w:divBdr>
    </w:div>
    <w:div w:id="127824519">
      <w:bodyDiv w:val="1"/>
      <w:marLeft w:val="0"/>
      <w:marRight w:val="0"/>
      <w:marTop w:val="0"/>
      <w:marBottom w:val="0"/>
      <w:divBdr>
        <w:top w:val="none" w:sz="0" w:space="0" w:color="auto"/>
        <w:left w:val="none" w:sz="0" w:space="0" w:color="auto"/>
        <w:bottom w:val="none" w:sz="0" w:space="0" w:color="auto"/>
        <w:right w:val="none" w:sz="0" w:space="0" w:color="auto"/>
      </w:divBdr>
    </w:div>
    <w:div w:id="127860993">
      <w:bodyDiv w:val="1"/>
      <w:marLeft w:val="0"/>
      <w:marRight w:val="0"/>
      <w:marTop w:val="0"/>
      <w:marBottom w:val="0"/>
      <w:divBdr>
        <w:top w:val="none" w:sz="0" w:space="0" w:color="auto"/>
        <w:left w:val="none" w:sz="0" w:space="0" w:color="auto"/>
        <w:bottom w:val="none" w:sz="0" w:space="0" w:color="auto"/>
        <w:right w:val="none" w:sz="0" w:space="0" w:color="auto"/>
      </w:divBdr>
    </w:div>
    <w:div w:id="127864393">
      <w:bodyDiv w:val="1"/>
      <w:marLeft w:val="0"/>
      <w:marRight w:val="0"/>
      <w:marTop w:val="0"/>
      <w:marBottom w:val="0"/>
      <w:divBdr>
        <w:top w:val="none" w:sz="0" w:space="0" w:color="auto"/>
        <w:left w:val="none" w:sz="0" w:space="0" w:color="auto"/>
        <w:bottom w:val="none" w:sz="0" w:space="0" w:color="auto"/>
        <w:right w:val="none" w:sz="0" w:space="0" w:color="auto"/>
      </w:divBdr>
    </w:div>
    <w:div w:id="127937712">
      <w:bodyDiv w:val="1"/>
      <w:marLeft w:val="0"/>
      <w:marRight w:val="0"/>
      <w:marTop w:val="0"/>
      <w:marBottom w:val="0"/>
      <w:divBdr>
        <w:top w:val="none" w:sz="0" w:space="0" w:color="auto"/>
        <w:left w:val="none" w:sz="0" w:space="0" w:color="auto"/>
        <w:bottom w:val="none" w:sz="0" w:space="0" w:color="auto"/>
        <w:right w:val="none" w:sz="0" w:space="0" w:color="auto"/>
      </w:divBdr>
    </w:div>
    <w:div w:id="127943347">
      <w:bodyDiv w:val="1"/>
      <w:marLeft w:val="0"/>
      <w:marRight w:val="0"/>
      <w:marTop w:val="0"/>
      <w:marBottom w:val="0"/>
      <w:divBdr>
        <w:top w:val="none" w:sz="0" w:space="0" w:color="auto"/>
        <w:left w:val="none" w:sz="0" w:space="0" w:color="auto"/>
        <w:bottom w:val="none" w:sz="0" w:space="0" w:color="auto"/>
        <w:right w:val="none" w:sz="0" w:space="0" w:color="auto"/>
      </w:divBdr>
    </w:div>
    <w:div w:id="128137730">
      <w:bodyDiv w:val="1"/>
      <w:marLeft w:val="0"/>
      <w:marRight w:val="0"/>
      <w:marTop w:val="0"/>
      <w:marBottom w:val="0"/>
      <w:divBdr>
        <w:top w:val="none" w:sz="0" w:space="0" w:color="auto"/>
        <w:left w:val="none" w:sz="0" w:space="0" w:color="auto"/>
        <w:bottom w:val="none" w:sz="0" w:space="0" w:color="auto"/>
        <w:right w:val="none" w:sz="0" w:space="0" w:color="auto"/>
      </w:divBdr>
    </w:div>
    <w:div w:id="128205721">
      <w:bodyDiv w:val="1"/>
      <w:marLeft w:val="0"/>
      <w:marRight w:val="0"/>
      <w:marTop w:val="0"/>
      <w:marBottom w:val="0"/>
      <w:divBdr>
        <w:top w:val="none" w:sz="0" w:space="0" w:color="auto"/>
        <w:left w:val="none" w:sz="0" w:space="0" w:color="auto"/>
        <w:bottom w:val="none" w:sz="0" w:space="0" w:color="auto"/>
        <w:right w:val="none" w:sz="0" w:space="0" w:color="auto"/>
      </w:divBdr>
    </w:div>
    <w:div w:id="128210458">
      <w:bodyDiv w:val="1"/>
      <w:marLeft w:val="0"/>
      <w:marRight w:val="0"/>
      <w:marTop w:val="0"/>
      <w:marBottom w:val="0"/>
      <w:divBdr>
        <w:top w:val="none" w:sz="0" w:space="0" w:color="auto"/>
        <w:left w:val="none" w:sz="0" w:space="0" w:color="auto"/>
        <w:bottom w:val="none" w:sz="0" w:space="0" w:color="auto"/>
        <w:right w:val="none" w:sz="0" w:space="0" w:color="auto"/>
      </w:divBdr>
    </w:div>
    <w:div w:id="128211373">
      <w:bodyDiv w:val="1"/>
      <w:marLeft w:val="0"/>
      <w:marRight w:val="0"/>
      <w:marTop w:val="0"/>
      <w:marBottom w:val="0"/>
      <w:divBdr>
        <w:top w:val="none" w:sz="0" w:space="0" w:color="auto"/>
        <w:left w:val="none" w:sz="0" w:space="0" w:color="auto"/>
        <w:bottom w:val="none" w:sz="0" w:space="0" w:color="auto"/>
        <w:right w:val="none" w:sz="0" w:space="0" w:color="auto"/>
      </w:divBdr>
    </w:div>
    <w:div w:id="128403137">
      <w:bodyDiv w:val="1"/>
      <w:marLeft w:val="0"/>
      <w:marRight w:val="0"/>
      <w:marTop w:val="0"/>
      <w:marBottom w:val="0"/>
      <w:divBdr>
        <w:top w:val="none" w:sz="0" w:space="0" w:color="auto"/>
        <w:left w:val="none" w:sz="0" w:space="0" w:color="auto"/>
        <w:bottom w:val="none" w:sz="0" w:space="0" w:color="auto"/>
        <w:right w:val="none" w:sz="0" w:space="0" w:color="auto"/>
      </w:divBdr>
    </w:div>
    <w:div w:id="128475379">
      <w:bodyDiv w:val="1"/>
      <w:marLeft w:val="0"/>
      <w:marRight w:val="0"/>
      <w:marTop w:val="0"/>
      <w:marBottom w:val="0"/>
      <w:divBdr>
        <w:top w:val="none" w:sz="0" w:space="0" w:color="auto"/>
        <w:left w:val="none" w:sz="0" w:space="0" w:color="auto"/>
        <w:bottom w:val="none" w:sz="0" w:space="0" w:color="auto"/>
        <w:right w:val="none" w:sz="0" w:space="0" w:color="auto"/>
      </w:divBdr>
    </w:div>
    <w:div w:id="128480735">
      <w:bodyDiv w:val="1"/>
      <w:marLeft w:val="0"/>
      <w:marRight w:val="0"/>
      <w:marTop w:val="0"/>
      <w:marBottom w:val="0"/>
      <w:divBdr>
        <w:top w:val="none" w:sz="0" w:space="0" w:color="auto"/>
        <w:left w:val="none" w:sz="0" w:space="0" w:color="auto"/>
        <w:bottom w:val="none" w:sz="0" w:space="0" w:color="auto"/>
        <w:right w:val="none" w:sz="0" w:space="0" w:color="auto"/>
      </w:divBdr>
    </w:div>
    <w:div w:id="128592244">
      <w:bodyDiv w:val="1"/>
      <w:marLeft w:val="0"/>
      <w:marRight w:val="0"/>
      <w:marTop w:val="0"/>
      <w:marBottom w:val="0"/>
      <w:divBdr>
        <w:top w:val="none" w:sz="0" w:space="0" w:color="auto"/>
        <w:left w:val="none" w:sz="0" w:space="0" w:color="auto"/>
        <w:bottom w:val="none" w:sz="0" w:space="0" w:color="auto"/>
        <w:right w:val="none" w:sz="0" w:space="0" w:color="auto"/>
      </w:divBdr>
    </w:div>
    <w:div w:id="128674801">
      <w:bodyDiv w:val="1"/>
      <w:marLeft w:val="0"/>
      <w:marRight w:val="0"/>
      <w:marTop w:val="0"/>
      <w:marBottom w:val="0"/>
      <w:divBdr>
        <w:top w:val="none" w:sz="0" w:space="0" w:color="auto"/>
        <w:left w:val="none" w:sz="0" w:space="0" w:color="auto"/>
        <w:bottom w:val="none" w:sz="0" w:space="0" w:color="auto"/>
        <w:right w:val="none" w:sz="0" w:space="0" w:color="auto"/>
      </w:divBdr>
    </w:div>
    <w:div w:id="128716682">
      <w:bodyDiv w:val="1"/>
      <w:marLeft w:val="0"/>
      <w:marRight w:val="0"/>
      <w:marTop w:val="0"/>
      <w:marBottom w:val="0"/>
      <w:divBdr>
        <w:top w:val="none" w:sz="0" w:space="0" w:color="auto"/>
        <w:left w:val="none" w:sz="0" w:space="0" w:color="auto"/>
        <w:bottom w:val="none" w:sz="0" w:space="0" w:color="auto"/>
        <w:right w:val="none" w:sz="0" w:space="0" w:color="auto"/>
      </w:divBdr>
    </w:div>
    <w:div w:id="128784498">
      <w:bodyDiv w:val="1"/>
      <w:marLeft w:val="0"/>
      <w:marRight w:val="0"/>
      <w:marTop w:val="0"/>
      <w:marBottom w:val="0"/>
      <w:divBdr>
        <w:top w:val="none" w:sz="0" w:space="0" w:color="auto"/>
        <w:left w:val="none" w:sz="0" w:space="0" w:color="auto"/>
        <w:bottom w:val="none" w:sz="0" w:space="0" w:color="auto"/>
        <w:right w:val="none" w:sz="0" w:space="0" w:color="auto"/>
      </w:divBdr>
    </w:div>
    <w:div w:id="128863697">
      <w:bodyDiv w:val="1"/>
      <w:marLeft w:val="0"/>
      <w:marRight w:val="0"/>
      <w:marTop w:val="0"/>
      <w:marBottom w:val="0"/>
      <w:divBdr>
        <w:top w:val="none" w:sz="0" w:space="0" w:color="auto"/>
        <w:left w:val="none" w:sz="0" w:space="0" w:color="auto"/>
        <w:bottom w:val="none" w:sz="0" w:space="0" w:color="auto"/>
        <w:right w:val="none" w:sz="0" w:space="0" w:color="auto"/>
      </w:divBdr>
    </w:div>
    <w:div w:id="128939753">
      <w:bodyDiv w:val="1"/>
      <w:marLeft w:val="0"/>
      <w:marRight w:val="0"/>
      <w:marTop w:val="0"/>
      <w:marBottom w:val="0"/>
      <w:divBdr>
        <w:top w:val="none" w:sz="0" w:space="0" w:color="auto"/>
        <w:left w:val="none" w:sz="0" w:space="0" w:color="auto"/>
        <w:bottom w:val="none" w:sz="0" w:space="0" w:color="auto"/>
        <w:right w:val="none" w:sz="0" w:space="0" w:color="auto"/>
      </w:divBdr>
    </w:div>
    <w:div w:id="129055817">
      <w:bodyDiv w:val="1"/>
      <w:marLeft w:val="0"/>
      <w:marRight w:val="0"/>
      <w:marTop w:val="0"/>
      <w:marBottom w:val="0"/>
      <w:divBdr>
        <w:top w:val="none" w:sz="0" w:space="0" w:color="auto"/>
        <w:left w:val="none" w:sz="0" w:space="0" w:color="auto"/>
        <w:bottom w:val="none" w:sz="0" w:space="0" w:color="auto"/>
        <w:right w:val="none" w:sz="0" w:space="0" w:color="auto"/>
      </w:divBdr>
    </w:div>
    <w:div w:id="129135826">
      <w:bodyDiv w:val="1"/>
      <w:marLeft w:val="0"/>
      <w:marRight w:val="0"/>
      <w:marTop w:val="0"/>
      <w:marBottom w:val="0"/>
      <w:divBdr>
        <w:top w:val="none" w:sz="0" w:space="0" w:color="auto"/>
        <w:left w:val="none" w:sz="0" w:space="0" w:color="auto"/>
        <w:bottom w:val="none" w:sz="0" w:space="0" w:color="auto"/>
        <w:right w:val="none" w:sz="0" w:space="0" w:color="auto"/>
      </w:divBdr>
    </w:div>
    <w:div w:id="129178496">
      <w:bodyDiv w:val="1"/>
      <w:marLeft w:val="0"/>
      <w:marRight w:val="0"/>
      <w:marTop w:val="0"/>
      <w:marBottom w:val="0"/>
      <w:divBdr>
        <w:top w:val="none" w:sz="0" w:space="0" w:color="auto"/>
        <w:left w:val="none" w:sz="0" w:space="0" w:color="auto"/>
        <w:bottom w:val="none" w:sz="0" w:space="0" w:color="auto"/>
        <w:right w:val="none" w:sz="0" w:space="0" w:color="auto"/>
      </w:divBdr>
    </w:div>
    <w:div w:id="129397220">
      <w:bodyDiv w:val="1"/>
      <w:marLeft w:val="0"/>
      <w:marRight w:val="0"/>
      <w:marTop w:val="0"/>
      <w:marBottom w:val="0"/>
      <w:divBdr>
        <w:top w:val="none" w:sz="0" w:space="0" w:color="auto"/>
        <w:left w:val="none" w:sz="0" w:space="0" w:color="auto"/>
        <w:bottom w:val="none" w:sz="0" w:space="0" w:color="auto"/>
        <w:right w:val="none" w:sz="0" w:space="0" w:color="auto"/>
      </w:divBdr>
    </w:div>
    <w:div w:id="129443435">
      <w:bodyDiv w:val="1"/>
      <w:marLeft w:val="0"/>
      <w:marRight w:val="0"/>
      <w:marTop w:val="0"/>
      <w:marBottom w:val="0"/>
      <w:divBdr>
        <w:top w:val="none" w:sz="0" w:space="0" w:color="auto"/>
        <w:left w:val="none" w:sz="0" w:space="0" w:color="auto"/>
        <w:bottom w:val="none" w:sz="0" w:space="0" w:color="auto"/>
        <w:right w:val="none" w:sz="0" w:space="0" w:color="auto"/>
      </w:divBdr>
    </w:div>
    <w:div w:id="129445764">
      <w:bodyDiv w:val="1"/>
      <w:marLeft w:val="0"/>
      <w:marRight w:val="0"/>
      <w:marTop w:val="0"/>
      <w:marBottom w:val="0"/>
      <w:divBdr>
        <w:top w:val="none" w:sz="0" w:space="0" w:color="auto"/>
        <w:left w:val="none" w:sz="0" w:space="0" w:color="auto"/>
        <w:bottom w:val="none" w:sz="0" w:space="0" w:color="auto"/>
        <w:right w:val="none" w:sz="0" w:space="0" w:color="auto"/>
      </w:divBdr>
    </w:div>
    <w:div w:id="129518751">
      <w:bodyDiv w:val="1"/>
      <w:marLeft w:val="0"/>
      <w:marRight w:val="0"/>
      <w:marTop w:val="0"/>
      <w:marBottom w:val="0"/>
      <w:divBdr>
        <w:top w:val="none" w:sz="0" w:space="0" w:color="auto"/>
        <w:left w:val="none" w:sz="0" w:space="0" w:color="auto"/>
        <w:bottom w:val="none" w:sz="0" w:space="0" w:color="auto"/>
        <w:right w:val="none" w:sz="0" w:space="0" w:color="auto"/>
      </w:divBdr>
    </w:div>
    <w:div w:id="129565868">
      <w:bodyDiv w:val="1"/>
      <w:marLeft w:val="0"/>
      <w:marRight w:val="0"/>
      <w:marTop w:val="0"/>
      <w:marBottom w:val="0"/>
      <w:divBdr>
        <w:top w:val="none" w:sz="0" w:space="0" w:color="auto"/>
        <w:left w:val="none" w:sz="0" w:space="0" w:color="auto"/>
        <w:bottom w:val="none" w:sz="0" w:space="0" w:color="auto"/>
        <w:right w:val="none" w:sz="0" w:space="0" w:color="auto"/>
      </w:divBdr>
    </w:div>
    <w:div w:id="129593670">
      <w:bodyDiv w:val="1"/>
      <w:marLeft w:val="0"/>
      <w:marRight w:val="0"/>
      <w:marTop w:val="0"/>
      <w:marBottom w:val="0"/>
      <w:divBdr>
        <w:top w:val="none" w:sz="0" w:space="0" w:color="auto"/>
        <w:left w:val="none" w:sz="0" w:space="0" w:color="auto"/>
        <w:bottom w:val="none" w:sz="0" w:space="0" w:color="auto"/>
        <w:right w:val="none" w:sz="0" w:space="0" w:color="auto"/>
      </w:divBdr>
    </w:div>
    <w:div w:id="129787646">
      <w:bodyDiv w:val="1"/>
      <w:marLeft w:val="0"/>
      <w:marRight w:val="0"/>
      <w:marTop w:val="0"/>
      <w:marBottom w:val="0"/>
      <w:divBdr>
        <w:top w:val="none" w:sz="0" w:space="0" w:color="auto"/>
        <w:left w:val="none" w:sz="0" w:space="0" w:color="auto"/>
        <w:bottom w:val="none" w:sz="0" w:space="0" w:color="auto"/>
        <w:right w:val="none" w:sz="0" w:space="0" w:color="auto"/>
      </w:divBdr>
    </w:div>
    <w:div w:id="129830579">
      <w:bodyDiv w:val="1"/>
      <w:marLeft w:val="0"/>
      <w:marRight w:val="0"/>
      <w:marTop w:val="0"/>
      <w:marBottom w:val="0"/>
      <w:divBdr>
        <w:top w:val="none" w:sz="0" w:space="0" w:color="auto"/>
        <w:left w:val="none" w:sz="0" w:space="0" w:color="auto"/>
        <w:bottom w:val="none" w:sz="0" w:space="0" w:color="auto"/>
        <w:right w:val="none" w:sz="0" w:space="0" w:color="auto"/>
      </w:divBdr>
    </w:div>
    <w:div w:id="129977343">
      <w:bodyDiv w:val="1"/>
      <w:marLeft w:val="0"/>
      <w:marRight w:val="0"/>
      <w:marTop w:val="0"/>
      <w:marBottom w:val="0"/>
      <w:divBdr>
        <w:top w:val="none" w:sz="0" w:space="0" w:color="auto"/>
        <w:left w:val="none" w:sz="0" w:space="0" w:color="auto"/>
        <w:bottom w:val="none" w:sz="0" w:space="0" w:color="auto"/>
        <w:right w:val="none" w:sz="0" w:space="0" w:color="auto"/>
      </w:divBdr>
    </w:div>
    <w:div w:id="129985236">
      <w:bodyDiv w:val="1"/>
      <w:marLeft w:val="0"/>
      <w:marRight w:val="0"/>
      <w:marTop w:val="0"/>
      <w:marBottom w:val="0"/>
      <w:divBdr>
        <w:top w:val="none" w:sz="0" w:space="0" w:color="auto"/>
        <w:left w:val="none" w:sz="0" w:space="0" w:color="auto"/>
        <w:bottom w:val="none" w:sz="0" w:space="0" w:color="auto"/>
        <w:right w:val="none" w:sz="0" w:space="0" w:color="auto"/>
      </w:divBdr>
    </w:div>
    <w:div w:id="129985627">
      <w:bodyDiv w:val="1"/>
      <w:marLeft w:val="0"/>
      <w:marRight w:val="0"/>
      <w:marTop w:val="0"/>
      <w:marBottom w:val="0"/>
      <w:divBdr>
        <w:top w:val="none" w:sz="0" w:space="0" w:color="auto"/>
        <w:left w:val="none" w:sz="0" w:space="0" w:color="auto"/>
        <w:bottom w:val="none" w:sz="0" w:space="0" w:color="auto"/>
        <w:right w:val="none" w:sz="0" w:space="0" w:color="auto"/>
      </w:divBdr>
    </w:div>
    <w:div w:id="130055081">
      <w:bodyDiv w:val="1"/>
      <w:marLeft w:val="0"/>
      <w:marRight w:val="0"/>
      <w:marTop w:val="0"/>
      <w:marBottom w:val="0"/>
      <w:divBdr>
        <w:top w:val="none" w:sz="0" w:space="0" w:color="auto"/>
        <w:left w:val="none" w:sz="0" w:space="0" w:color="auto"/>
        <w:bottom w:val="none" w:sz="0" w:space="0" w:color="auto"/>
        <w:right w:val="none" w:sz="0" w:space="0" w:color="auto"/>
      </w:divBdr>
    </w:div>
    <w:div w:id="130094230">
      <w:bodyDiv w:val="1"/>
      <w:marLeft w:val="0"/>
      <w:marRight w:val="0"/>
      <w:marTop w:val="0"/>
      <w:marBottom w:val="0"/>
      <w:divBdr>
        <w:top w:val="none" w:sz="0" w:space="0" w:color="auto"/>
        <w:left w:val="none" w:sz="0" w:space="0" w:color="auto"/>
        <w:bottom w:val="none" w:sz="0" w:space="0" w:color="auto"/>
        <w:right w:val="none" w:sz="0" w:space="0" w:color="auto"/>
      </w:divBdr>
    </w:div>
    <w:div w:id="130099314">
      <w:bodyDiv w:val="1"/>
      <w:marLeft w:val="0"/>
      <w:marRight w:val="0"/>
      <w:marTop w:val="0"/>
      <w:marBottom w:val="0"/>
      <w:divBdr>
        <w:top w:val="none" w:sz="0" w:space="0" w:color="auto"/>
        <w:left w:val="none" w:sz="0" w:space="0" w:color="auto"/>
        <w:bottom w:val="none" w:sz="0" w:space="0" w:color="auto"/>
        <w:right w:val="none" w:sz="0" w:space="0" w:color="auto"/>
      </w:divBdr>
    </w:div>
    <w:div w:id="130099315">
      <w:bodyDiv w:val="1"/>
      <w:marLeft w:val="0"/>
      <w:marRight w:val="0"/>
      <w:marTop w:val="0"/>
      <w:marBottom w:val="0"/>
      <w:divBdr>
        <w:top w:val="none" w:sz="0" w:space="0" w:color="auto"/>
        <w:left w:val="none" w:sz="0" w:space="0" w:color="auto"/>
        <w:bottom w:val="none" w:sz="0" w:space="0" w:color="auto"/>
        <w:right w:val="none" w:sz="0" w:space="0" w:color="auto"/>
      </w:divBdr>
    </w:div>
    <w:div w:id="130102421">
      <w:bodyDiv w:val="1"/>
      <w:marLeft w:val="0"/>
      <w:marRight w:val="0"/>
      <w:marTop w:val="0"/>
      <w:marBottom w:val="0"/>
      <w:divBdr>
        <w:top w:val="none" w:sz="0" w:space="0" w:color="auto"/>
        <w:left w:val="none" w:sz="0" w:space="0" w:color="auto"/>
        <w:bottom w:val="none" w:sz="0" w:space="0" w:color="auto"/>
        <w:right w:val="none" w:sz="0" w:space="0" w:color="auto"/>
      </w:divBdr>
    </w:div>
    <w:div w:id="130103847">
      <w:bodyDiv w:val="1"/>
      <w:marLeft w:val="0"/>
      <w:marRight w:val="0"/>
      <w:marTop w:val="0"/>
      <w:marBottom w:val="0"/>
      <w:divBdr>
        <w:top w:val="none" w:sz="0" w:space="0" w:color="auto"/>
        <w:left w:val="none" w:sz="0" w:space="0" w:color="auto"/>
        <w:bottom w:val="none" w:sz="0" w:space="0" w:color="auto"/>
        <w:right w:val="none" w:sz="0" w:space="0" w:color="auto"/>
      </w:divBdr>
    </w:div>
    <w:div w:id="130171899">
      <w:bodyDiv w:val="1"/>
      <w:marLeft w:val="0"/>
      <w:marRight w:val="0"/>
      <w:marTop w:val="0"/>
      <w:marBottom w:val="0"/>
      <w:divBdr>
        <w:top w:val="none" w:sz="0" w:space="0" w:color="auto"/>
        <w:left w:val="none" w:sz="0" w:space="0" w:color="auto"/>
        <w:bottom w:val="none" w:sz="0" w:space="0" w:color="auto"/>
        <w:right w:val="none" w:sz="0" w:space="0" w:color="auto"/>
      </w:divBdr>
    </w:div>
    <w:div w:id="130174252">
      <w:bodyDiv w:val="1"/>
      <w:marLeft w:val="0"/>
      <w:marRight w:val="0"/>
      <w:marTop w:val="0"/>
      <w:marBottom w:val="0"/>
      <w:divBdr>
        <w:top w:val="none" w:sz="0" w:space="0" w:color="auto"/>
        <w:left w:val="none" w:sz="0" w:space="0" w:color="auto"/>
        <w:bottom w:val="none" w:sz="0" w:space="0" w:color="auto"/>
        <w:right w:val="none" w:sz="0" w:space="0" w:color="auto"/>
      </w:divBdr>
    </w:div>
    <w:div w:id="130176206">
      <w:bodyDiv w:val="1"/>
      <w:marLeft w:val="0"/>
      <w:marRight w:val="0"/>
      <w:marTop w:val="0"/>
      <w:marBottom w:val="0"/>
      <w:divBdr>
        <w:top w:val="none" w:sz="0" w:space="0" w:color="auto"/>
        <w:left w:val="none" w:sz="0" w:space="0" w:color="auto"/>
        <w:bottom w:val="none" w:sz="0" w:space="0" w:color="auto"/>
        <w:right w:val="none" w:sz="0" w:space="0" w:color="auto"/>
      </w:divBdr>
    </w:div>
    <w:div w:id="130292376">
      <w:bodyDiv w:val="1"/>
      <w:marLeft w:val="0"/>
      <w:marRight w:val="0"/>
      <w:marTop w:val="0"/>
      <w:marBottom w:val="0"/>
      <w:divBdr>
        <w:top w:val="none" w:sz="0" w:space="0" w:color="auto"/>
        <w:left w:val="none" w:sz="0" w:space="0" w:color="auto"/>
        <w:bottom w:val="none" w:sz="0" w:space="0" w:color="auto"/>
        <w:right w:val="none" w:sz="0" w:space="0" w:color="auto"/>
      </w:divBdr>
    </w:div>
    <w:div w:id="130371374">
      <w:bodyDiv w:val="1"/>
      <w:marLeft w:val="0"/>
      <w:marRight w:val="0"/>
      <w:marTop w:val="0"/>
      <w:marBottom w:val="0"/>
      <w:divBdr>
        <w:top w:val="none" w:sz="0" w:space="0" w:color="auto"/>
        <w:left w:val="none" w:sz="0" w:space="0" w:color="auto"/>
        <w:bottom w:val="none" w:sz="0" w:space="0" w:color="auto"/>
        <w:right w:val="none" w:sz="0" w:space="0" w:color="auto"/>
      </w:divBdr>
    </w:div>
    <w:div w:id="130445582">
      <w:bodyDiv w:val="1"/>
      <w:marLeft w:val="0"/>
      <w:marRight w:val="0"/>
      <w:marTop w:val="0"/>
      <w:marBottom w:val="0"/>
      <w:divBdr>
        <w:top w:val="none" w:sz="0" w:space="0" w:color="auto"/>
        <w:left w:val="none" w:sz="0" w:space="0" w:color="auto"/>
        <w:bottom w:val="none" w:sz="0" w:space="0" w:color="auto"/>
        <w:right w:val="none" w:sz="0" w:space="0" w:color="auto"/>
      </w:divBdr>
    </w:div>
    <w:div w:id="130482458">
      <w:bodyDiv w:val="1"/>
      <w:marLeft w:val="0"/>
      <w:marRight w:val="0"/>
      <w:marTop w:val="0"/>
      <w:marBottom w:val="0"/>
      <w:divBdr>
        <w:top w:val="none" w:sz="0" w:space="0" w:color="auto"/>
        <w:left w:val="none" w:sz="0" w:space="0" w:color="auto"/>
        <w:bottom w:val="none" w:sz="0" w:space="0" w:color="auto"/>
        <w:right w:val="none" w:sz="0" w:space="0" w:color="auto"/>
      </w:divBdr>
    </w:div>
    <w:div w:id="130487557">
      <w:bodyDiv w:val="1"/>
      <w:marLeft w:val="0"/>
      <w:marRight w:val="0"/>
      <w:marTop w:val="0"/>
      <w:marBottom w:val="0"/>
      <w:divBdr>
        <w:top w:val="none" w:sz="0" w:space="0" w:color="auto"/>
        <w:left w:val="none" w:sz="0" w:space="0" w:color="auto"/>
        <w:bottom w:val="none" w:sz="0" w:space="0" w:color="auto"/>
        <w:right w:val="none" w:sz="0" w:space="0" w:color="auto"/>
      </w:divBdr>
    </w:div>
    <w:div w:id="130557315">
      <w:bodyDiv w:val="1"/>
      <w:marLeft w:val="0"/>
      <w:marRight w:val="0"/>
      <w:marTop w:val="0"/>
      <w:marBottom w:val="0"/>
      <w:divBdr>
        <w:top w:val="none" w:sz="0" w:space="0" w:color="auto"/>
        <w:left w:val="none" w:sz="0" w:space="0" w:color="auto"/>
        <w:bottom w:val="none" w:sz="0" w:space="0" w:color="auto"/>
        <w:right w:val="none" w:sz="0" w:space="0" w:color="auto"/>
      </w:divBdr>
    </w:div>
    <w:div w:id="130563866">
      <w:bodyDiv w:val="1"/>
      <w:marLeft w:val="0"/>
      <w:marRight w:val="0"/>
      <w:marTop w:val="0"/>
      <w:marBottom w:val="0"/>
      <w:divBdr>
        <w:top w:val="none" w:sz="0" w:space="0" w:color="auto"/>
        <w:left w:val="none" w:sz="0" w:space="0" w:color="auto"/>
        <w:bottom w:val="none" w:sz="0" w:space="0" w:color="auto"/>
        <w:right w:val="none" w:sz="0" w:space="0" w:color="auto"/>
      </w:divBdr>
    </w:div>
    <w:div w:id="130564404">
      <w:bodyDiv w:val="1"/>
      <w:marLeft w:val="0"/>
      <w:marRight w:val="0"/>
      <w:marTop w:val="0"/>
      <w:marBottom w:val="0"/>
      <w:divBdr>
        <w:top w:val="none" w:sz="0" w:space="0" w:color="auto"/>
        <w:left w:val="none" w:sz="0" w:space="0" w:color="auto"/>
        <w:bottom w:val="none" w:sz="0" w:space="0" w:color="auto"/>
        <w:right w:val="none" w:sz="0" w:space="0" w:color="auto"/>
      </w:divBdr>
    </w:div>
    <w:div w:id="130564673">
      <w:bodyDiv w:val="1"/>
      <w:marLeft w:val="0"/>
      <w:marRight w:val="0"/>
      <w:marTop w:val="0"/>
      <w:marBottom w:val="0"/>
      <w:divBdr>
        <w:top w:val="none" w:sz="0" w:space="0" w:color="auto"/>
        <w:left w:val="none" w:sz="0" w:space="0" w:color="auto"/>
        <w:bottom w:val="none" w:sz="0" w:space="0" w:color="auto"/>
        <w:right w:val="none" w:sz="0" w:space="0" w:color="auto"/>
      </w:divBdr>
    </w:div>
    <w:div w:id="130636649">
      <w:bodyDiv w:val="1"/>
      <w:marLeft w:val="0"/>
      <w:marRight w:val="0"/>
      <w:marTop w:val="0"/>
      <w:marBottom w:val="0"/>
      <w:divBdr>
        <w:top w:val="none" w:sz="0" w:space="0" w:color="auto"/>
        <w:left w:val="none" w:sz="0" w:space="0" w:color="auto"/>
        <w:bottom w:val="none" w:sz="0" w:space="0" w:color="auto"/>
        <w:right w:val="none" w:sz="0" w:space="0" w:color="auto"/>
      </w:divBdr>
    </w:div>
    <w:div w:id="130682777">
      <w:bodyDiv w:val="1"/>
      <w:marLeft w:val="0"/>
      <w:marRight w:val="0"/>
      <w:marTop w:val="0"/>
      <w:marBottom w:val="0"/>
      <w:divBdr>
        <w:top w:val="none" w:sz="0" w:space="0" w:color="auto"/>
        <w:left w:val="none" w:sz="0" w:space="0" w:color="auto"/>
        <w:bottom w:val="none" w:sz="0" w:space="0" w:color="auto"/>
        <w:right w:val="none" w:sz="0" w:space="0" w:color="auto"/>
      </w:divBdr>
    </w:div>
    <w:div w:id="130754223">
      <w:bodyDiv w:val="1"/>
      <w:marLeft w:val="0"/>
      <w:marRight w:val="0"/>
      <w:marTop w:val="0"/>
      <w:marBottom w:val="0"/>
      <w:divBdr>
        <w:top w:val="none" w:sz="0" w:space="0" w:color="auto"/>
        <w:left w:val="none" w:sz="0" w:space="0" w:color="auto"/>
        <w:bottom w:val="none" w:sz="0" w:space="0" w:color="auto"/>
        <w:right w:val="none" w:sz="0" w:space="0" w:color="auto"/>
      </w:divBdr>
    </w:div>
    <w:div w:id="130830318">
      <w:bodyDiv w:val="1"/>
      <w:marLeft w:val="0"/>
      <w:marRight w:val="0"/>
      <w:marTop w:val="0"/>
      <w:marBottom w:val="0"/>
      <w:divBdr>
        <w:top w:val="none" w:sz="0" w:space="0" w:color="auto"/>
        <w:left w:val="none" w:sz="0" w:space="0" w:color="auto"/>
        <w:bottom w:val="none" w:sz="0" w:space="0" w:color="auto"/>
        <w:right w:val="none" w:sz="0" w:space="0" w:color="auto"/>
      </w:divBdr>
    </w:div>
    <w:div w:id="131218471">
      <w:bodyDiv w:val="1"/>
      <w:marLeft w:val="0"/>
      <w:marRight w:val="0"/>
      <w:marTop w:val="0"/>
      <w:marBottom w:val="0"/>
      <w:divBdr>
        <w:top w:val="none" w:sz="0" w:space="0" w:color="auto"/>
        <w:left w:val="none" w:sz="0" w:space="0" w:color="auto"/>
        <w:bottom w:val="none" w:sz="0" w:space="0" w:color="auto"/>
        <w:right w:val="none" w:sz="0" w:space="0" w:color="auto"/>
      </w:divBdr>
    </w:div>
    <w:div w:id="131294567">
      <w:bodyDiv w:val="1"/>
      <w:marLeft w:val="0"/>
      <w:marRight w:val="0"/>
      <w:marTop w:val="0"/>
      <w:marBottom w:val="0"/>
      <w:divBdr>
        <w:top w:val="none" w:sz="0" w:space="0" w:color="auto"/>
        <w:left w:val="none" w:sz="0" w:space="0" w:color="auto"/>
        <w:bottom w:val="none" w:sz="0" w:space="0" w:color="auto"/>
        <w:right w:val="none" w:sz="0" w:space="0" w:color="auto"/>
      </w:divBdr>
    </w:div>
    <w:div w:id="131409228">
      <w:bodyDiv w:val="1"/>
      <w:marLeft w:val="0"/>
      <w:marRight w:val="0"/>
      <w:marTop w:val="0"/>
      <w:marBottom w:val="0"/>
      <w:divBdr>
        <w:top w:val="none" w:sz="0" w:space="0" w:color="auto"/>
        <w:left w:val="none" w:sz="0" w:space="0" w:color="auto"/>
        <w:bottom w:val="none" w:sz="0" w:space="0" w:color="auto"/>
        <w:right w:val="none" w:sz="0" w:space="0" w:color="auto"/>
      </w:divBdr>
    </w:div>
    <w:div w:id="131676362">
      <w:bodyDiv w:val="1"/>
      <w:marLeft w:val="0"/>
      <w:marRight w:val="0"/>
      <w:marTop w:val="0"/>
      <w:marBottom w:val="0"/>
      <w:divBdr>
        <w:top w:val="none" w:sz="0" w:space="0" w:color="auto"/>
        <w:left w:val="none" w:sz="0" w:space="0" w:color="auto"/>
        <w:bottom w:val="none" w:sz="0" w:space="0" w:color="auto"/>
        <w:right w:val="none" w:sz="0" w:space="0" w:color="auto"/>
      </w:divBdr>
    </w:div>
    <w:div w:id="131681295">
      <w:bodyDiv w:val="1"/>
      <w:marLeft w:val="0"/>
      <w:marRight w:val="0"/>
      <w:marTop w:val="0"/>
      <w:marBottom w:val="0"/>
      <w:divBdr>
        <w:top w:val="none" w:sz="0" w:space="0" w:color="auto"/>
        <w:left w:val="none" w:sz="0" w:space="0" w:color="auto"/>
        <w:bottom w:val="none" w:sz="0" w:space="0" w:color="auto"/>
        <w:right w:val="none" w:sz="0" w:space="0" w:color="auto"/>
      </w:divBdr>
    </w:div>
    <w:div w:id="131800852">
      <w:bodyDiv w:val="1"/>
      <w:marLeft w:val="0"/>
      <w:marRight w:val="0"/>
      <w:marTop w:val="0"/>
      <w:marBottom w:val="0"/>
      <w:divBdr>
        <w:top w:val="none" w:sz="0" w:space="0" w:color="auto"/>
        <w:left w:val="none" w:sz="0" w:space="0" w:color="auto"/>
        <w:bottom w:val="none" w:sz="0" w:space="0" w:color="auto"/>
        <w:right w:val="none" w:sz="0" w:space="0" w:color="auto"/>
      </w:divBdr>
    </w:div>
    <w:div w:id="131869693">
      <w:bodyDiv w:val="1"/>
      <w:marLeft w:val="0"/>
      <w:marRight w:val="0"/>
      <w:marTop w:val="0"/>
      <w:marBottom w:val="0"/>
      <w:divBdr>
        <w:top w:val="none" w:sz="0" w:space="0" w:color="auto"/>
        <w:left w:val="none" w:sz="0" w:space="0" w:color="auto"/>
        <w:bottom w:val="none" w:sz="0" w:space="0" w:color="auto"/>
        <w:right w:val="none" w:sz="0" w:space="0" w:color="auto"/>
      </w:divBdr>
    </w:div>
    <w:div w:id="132064888">
      <w:bodyDiv w:val="1"/>
      <w:marLeft w:val="0"/>
      <w:marRight w:val="0"/>
      <w:marTop w:val="0"/>
      <w:marBottom w:val="0"/>
      <w:divBdr>
        <w:top w:val="none" w:sz="0" w:space="0" w:color="auto"/>
        <w:left w:val="none" w:sz="0" w:space="0" w:color="auto"/>
        <w:bottom w:val="none" w:sz="0" w:space="0" w:color="auto"/>
        <w:right w:val="none" w:sz="0" w:space="0" w:color="auto"/>
      </w:divBdr>
    </w:div>
    <w:div w:id="132210890">
      <w:bodyDiv w:val="1"/>
      <w:marLeft w:val="0"/>
      <w:marRight w:val="0"/>
      <w:marTop w:val="0"/>
      <w:marBottom w:val="0"/>
      <w:divBdr>
        <w:top w:val="none" w:sz="0" w:space="0" w:color="auto"/>
        <w:left w:val="none" w:sz="0" w:space="0" w:color="auto"/>
        <w:bottom w:val="none" w:sz="0" w:space="0" w:color="auto"/>
        <w:right w:val="none" w:sz="0" w:space="0" w:color="auto"/>
      </w:divBdr>
    </w:div>
    <w:div w:id="132256659">
      <w:bodyDiv w:val="1"/>
      <w:marLeft w:val="0"/>
      <w:marRight w:val="0"/>
      <w:marTop w:val="0"/>
      <w:marBottom w:val="0"/>
      <w:divBdr>
        <w:top w:val="none" w:sz="0" w:space="0" w:color="auto"/>
        <w:left w:val="none" w:sz="0" w:space="0" w:color="auto"/>
        <w:bottom w:val="none" w:sz="0" w:space="0" w:color="auto"/>
        <w:right w:val="none" w:sz="0" w:space="0" w:color="auto"/>
      </w:divBdr>
    </w:div>
    <w:div w:id="132331082">
      <w:bodyDiv w:val="1"/>
      <w:marLeft w:val="0"/>
      <w:marRight w:val="0"/>
      <w:marTop w:val="0"/>
      <w:marBottom w:val="0"/>
      <w:divBdr>
        <w:top w:val="none" w:sz="0" w:space="0" w:color="auto"/>
        <w:left w:val="none" w:sz="0" w:space="0" w:color="auto"/>
        <w:bottom w:val="none" w:sz="0" w:space="0" w:color="auto"/>
        <w:right w:val="none" w:sz="0" w:space="0" w:color="auto"/>
      </w:divBdr>
    </w:div>
    <w:div w:id="132597996">
      <w:bodyDiv w:val="1"/>
      <w:marLeft w:val="0"/>
      <w:marRight w:val="0"/>
      <w:marTop w:val="0"/>
      <w:marBottom w:val="0"/>
      <w:divBdr>
        <w:top w:val="none" w:sz="0" w:space="0" w:color="auto"/>
        <w:left w:val="none" w:sz="0" w:space="0" w:color="auto"/>
        <w:bottom w:val="none" w:sz="0" w:space="0" w:color="auto"/>
        <w:right w:val="none" w:sz="0" w:space="0" w:color="auto"/>
      </w:divBdr>
    </w:div>
    <w:div w:id="132604258">
      <w:bodyDiv w:val="1"/>
      <w:marLeft w:val="0"/>
      <w:marRight w:val="0"/>
      <w:marTop w:val="0"/>
      <w:marBottom w:val="0"/>
      <w:divBdr>
        <w:top w:val="none" w:sz="0" w:space="0" w:color="auto"/>
        <w:left w:val="none" w:sz="0" w:space="0" w:color="auto"/>
        <w:bottom w:val="none" w:sz="0" w:space="0" w:color="auto"/>
        <w:right w:val="none" w:sz="0" w:space="0" w:color="auto"/>
      </w:divBdr>
    </w:div>
    <w:div w:id="132724033">
      <w:bodyDiv w:val="1"/>
      <w:marLeft w:val="0"/>
      <w:marRight w:val="0"/>
      <w:marTop w:val="0"/>
      <w:marBottom w:val="0"/>
      <w:divBdr>
        <w:top w:val="none" w:sz="0" w:space="0" w:color="auto"/>
        <w:left w:val="none" w:sz="0" w:space="0" w:color="auto"/>
        <w:bottom w:val="none" w:sz="0" w:space="0" w:color="auto"/>
        <w:right w:val="none" w:sz="0" w:space="0" w:color="auto"/>
      </w:divBdr>
    </w:div>
    <w:div w:id="132790712">
      <w:bodyDiv w:val="1"/>
      <w:marLeft w:val="0"/>
      <w:marRight w:val="0"/>
      <w:marTop w:val="0"/>
      <w:marBottom w:val="0"/>
      <w:divBdr>
        <w:top w:val="none" w:sz="0" w:space="0" w:color="auto"/>
        <w:left w:val="none" w:sz="0" w:space="0" w:color="auto"/>
        <w:bottom w:val="none" w:sz="0" w:space="0" w:color="auto"/>
        <w:right w:val="none" w:sz="0" w:space="0" w:color="auto"/>
      </w:divBdr>
    </w:div>
    <w:div w:id="132869343">
      <w:bodyDiv w:val="1"/>
      <w:marLeft w:val="0"/>
      <w:marRight w:val="0"/>
      <w:marTop w:val="0"/>
      <w:marBottom w:val="0"/>
      <w:divBdr>
        <w:top w:val="none" w:sz="0" w:space="0" w:color="auto"/>
        <w:left w:val="none" w:sz="0" w:space="0" w:color="auto"/>
        <w:bottom w:val="none" w:sz="0" w:space="0" w:color="auto"/>
        <w:right w:val="none" w:sz="0" w:space="0" w:color="auto"/>
      </w:divBdr>
    </w:div>
    <w:div w:id="132984789">
      <w:bodyDiv w:val="1"/>
      <w:marLeft w:val="0"/>
      <w:marRight w:val="0"/>
      <w:marTop w:val="0"/>
      <w:marBottom w:val="0"/>
      <w:divBdr>
        <w:top w:val="none" w:sz="0" w:space="0" w:color="auto"/>
        <w:left w:val="none" w:sz="0" w:space="0" w:color="auto"/>
        <w:bottom w:val="none" w:sz="0" w:space="0" w:color="auto"/>
        <w:right w:val="none" w:sz="0" w:space="0" w:color="auto"/>
      </w:divBdr>
    </w:div>
    <w:div w:id="132986736">
      <w:bodyDiv w:val="1"/>
      <w:marLeft w:val="0"/>
      <w:marRight w:val="0"/>
      <w:marTop w:val="0"/>
      <w:marBottom w:val="0"/>
      <w:divBdr>
        <w:top w:val="none" w:sz="0" w:space="0" w:color="auto"/>
        <w:left w:val="none" w:sz="0" w:space="0" w:color="auto"/>
        <w:bottom w:val="none" w:sz="0" w:space="0" w:color="auto"/>
        <w:right w:val="none" w:sz="0" w:space="0" w:color="auto"/>
      </w:divBdr>
    </w:div>
    <w:div w:id="133179779">
      <w:bodyDiv w:val="1"/>
      <w:marLeft w:val="0"/>
      <w:marRight w:val="0"/>
      <w:marTop w:val="0"/>
      <w:marBottom w:val="0"/>
      <w:divBdr>
        <w:top w:val="none" w:sz="0" w:space="0" w:color="auto"/>
        <w:left w:val="none" w:sz="0" w:space="0" w:color="auto"/>
        <w:bottom w:val="none" w:sz="0" w:space="0" w:color="auto"/>
        <w:right w:val="none" w:sz="0" w:space="0" w:color="auto"/>
      </w:divBdr>
    </w:div>
    <w:div w:id="133258047">
      <w:bodyDiv w:val="1"/>
      <w:marLeft w:val="0"/>
      <w:marRight w:val="0"/>
      <w:marTop w:val="0"/>
      <w:marBottom w:val="0"/>
      <w:divBdr>
        <w:top w:val="none" w:sz="0" w:space="0" w:color="auto"/>
        <w:left w:val="none" w:sz="0" w:space="0" w:color="auto"/>
        <w:bottom w:val="none" w:sz="0" w:space="0" w:color="auto"/>
        <w:right w:val="none" w:sz="0" w:space="0" w:color="auto"/>
      </w:divBdr>
    </w:div>
    <w:div w:id="133376753">
      <w:bodyDiv w:val="1"/>
      <w:marLeft w:val="0"/>
      <w:marRight w:val="0"/>
      <w:marTop w:val="0"/>
      <w:marBottom w:val="0"/>
      <w:divBdr>
        <w:top w:val="none" w:sz="0" w:space="0" w:color="auto"/>
        <w:left w:val="none" w:sz="0" w:space="0" w:color="auto"/>
        <w:bottom w:val="none" w:sz="0" w:space="0" w:color="auto"/>
        <w:right w:val="none" w:sz="0" w:space="0" w:color="auto"/>
      </w:divBdr>
    </w:div>
    <w:div w:id="133378225">
      <w:bodyDiv w:val="1"/>
      <w:marLeft w:val="0"/>
      <w:marRight w:val="0"/>
      <w:marTop w:val="0"/>
      <w:marBottom w:val="0"/>
      <w:divBdr>
        <w:top w:val="none" w:sz="0" w:space="0" w:color="auto"/>
        <w:left w:val="none" w:sz="0" w:space="0" w:color="auto"/>
        <w:bottom w:val="none" w:sz="0" w:space="0" w:color="auto"/>
        <w:right w:val="none" w:sz="0" w:space="0" w:color="auto"/>
      </w:divBdr>
    </w:div>
    <w:div w:id="133524945">
      <w:bodyDiv w:val="1"/>
      <w:marLeft w:val="0"/>
      <w:marRight w:val="0"/>
      <w:marTop w:val="0"/>
      <w:marBottom w:val="0"/>
      <w:divBdr>
        <w:top w:val="none" w:sz="0" w:space="0" w:color="auto"/>
        <w:left w:val="none" w:sz="0" w:space="0" w:color="auto"/>
        <w:bottom w:val="none" w:sz="0" w:space="0" w:color="auto"/>
        <w:right w:val="none" w:sz="0" w:space="0" w:color="auto"/>
      </w:divBdr>
    </w:div>
    <w:div w:id="133566638">
      <w:bodyDiv w:val="1"/>
      <w:marLeft w:val="0"/>
      <w:marRight w:val="0"/>
      <w:marTop w:val="0"/>
      <w:marBottom w:val="0"/>
      <w:divBdr>
        <w:top w:val="none" w:sz="0" w:space="0" w:color="auto"/>
        <w:left w:val="none" w:sz="0" w:space="0" w:color="auto"/>
        <w:bottom w:val="none" w:sz="0" w:space="0" w:color="auto"/>
        <w:right w:val="none" w:sz="0" w:space="0" w:color="auto"/>
      </w:divBdr>
    </w:div>
    <w:div w:id="133571003">
      <w:bodyDiv w:val="1"/>
      <w:marLeft w:val="0"/>
      <w:marRight w:val="0"/>
      <w:marTop w:val="0"/>
      <w:marBottom w:val="0"/>
      <w:divBdr>
        <w:top w:val="none" w:sz="0" w:space="0" w:color="auto"/>
        <w:left w:val="none" w:sz="0" w:space="0" w:color="auto"/>
        <w:bottom w:val="none" w:sz="0" w:space="0" w:color="auto"/>
        <w:right w:val="none" w:sz="0" w:space="0" w:color="auto"/>
      </w:divBdr>
    </w:div>
    <w:div w:id="133572386">
      <w:bodyDiv w:val="1"/>
      <w:marLeft w:val="0"/>
      <w:marRight w:val="0"/>
      <w:marTop w:val="0"/>
      <w:marBottom w:val="0"/>
      <w:divBdr>
        <w:top w:val="none" w:sz="0" w:space="0" w:color="auto"/>
        <w:left w:val="none" w:sz="0" w:space="0" w:color="auto"/>
        <w:bottom w:val="none" w:sz="0" w:space="0" w:color="auto"/>
        <w:right w:val="none" w:sz="0" w:space="0" w:color="auto"/>
      </w:divBdr>
    </w:div>
    <w:div w:id="133645943">
      <w:bodyDiv w:val="1"/>
      <w:marLeft w:val="0"/>
      <w:marRight w:val="0"/>
      <w:marTop w:val="0"/>
      <w:marBottom w:val="0"/>
      <w:divBdr>
        <w:top w:val="none" w:sz="0" w:space="0" w:color="auto"/>
        <w:left w:val="none" w:sz="0" w:space="0" w:color="auto"/>
        <w:bottom w:val="none" w:sz="0" w:space="0" w:color="auto"/>
        <w:right w:val="none" w:sz="0" w:space="0" w:color="auto"/>
      </w:divBdr>
    </w:div>
    <w:div w:id="133716435">
      <w:bodyDiv w:val="1"/>
      <w:marLeft w:val="0"/>
      <w:marRight w:val="0"/>
      <w:marTop w:val="0"/>
      <w:marBottom w:val="0"/>
      <w:divBdr>
        <w:top w:val="none" w:sz="0" w:space="0" w:color="auto"/>
        <w:left w:val="none" w:sz="0" w:space="0" w:color="auto"/>
        <w:bottom w:val="none" w:sz="0" w:space="0" w:color="auto"/>
        <w:right w:val="none" w:sz="0" w:space="0" w:color="auto"/>
      </w:divBdr>
    </w:div>
    <w:div w:id="133721667">
      <w:bodyDiv w:val="1"/>
      <w:marLeft w:val="0"/>
      <w:marRight w:val="0"/>
      <w:marTop w:val="0"/>
      <w:marBottom w:val="0"/>
      <w:divBdr>
        <w:top w:val="none" w:sz="0" w:space="0" w:color="auto"/>
        <w:left w:val="none" w:sz="0" w:space="0" w:color="auto"/>
        <w:bottom w:val="none" w:sz="0" w:space="0" w:color="auto"/>
        <w:right w:val="none" w:sz="0" w:space="0" w:color="auto"/>
      </w:divBdr>
    </w:div>
    <w:div w:id="133760633">
      <w:bodyDiv w:val="1"/>
      <w:marLeft w:val="0"/>
      <w:marRight w:val="0"/>
      <w:marTop w:val="0"/>
      <w:marBottom w:val="0"/>
      <w:divBdr>
        <w:top w:val="none" w:sz="0" w:space="0" w:color="auto"/>
        <w:left w:val="none" w:sz="0" w:space="0" w:color="auto"/>
        <w:bottom w:val="none" w:sz="0" w:space="0" w:color="auto"/>
        <w:right w:val="none" w:sz="0" w:space="0" w:color="auto"/>
      </w:divBdr>
    </w:div>
    <w:div w:id="133764187">
      <w:bodyDiv w:val="1"/>
      <w:marLeft w:val="0"/>
      <w:marRight w:val="0"/>
      <w:marTop w:val="0"/>
      <w:marBottom w:val="0"/>
      <w:divBdr>
        <w:top w:val="none" w:sz="0" w:space="0" w:color="auto"/>
        <w:left w:val="none" w:sz="0" w:space="0" w:color="auto"/>
        <w:bottom w:val="none" w:sz="0" w:space="0" w:color="auto"/>
        <w:right w:val="none" w:sz="0" w:space="0" w:color="auto"/>
      </w:divBdr>
    </w:div>
    <w:div w:id="133908813">
      <w:bodyDiv w:val="1"/>
      <w:marLeft w:val="0"/>
      <w:marRight w:val="0"/>
      <w:marTop w:val="0"/>
      <w:marBottom w:val="0"/>
      <w:divBdr>
        <w:top w:val="none" w:sz="0" w:space="0" w:color="auto"/>
        <w:left w:val="none" w:sz="0" w:space="0" w:color="auto"/>
        <w:bottom w:val="none" w:sz="0" w:space="0" w:color="auto"/>
        <w:right w:val="none" w:sz="0" w:space="0" w:color="auto"/>
      </w:divBdr>
    </w:div>
    <w:div w:id="133983893">
      <w:bodyDiv w:val="1"/>
      <w:marLeft w:val="0"/>
      <w:marRight w:val="0"/>
      <w:marTop w:val="0"/>
      <w:marBottom w:val="0"/>
      <w:divBdr>
        <w:top w:val="none" w:sz="0" w:space="0" w:color="auto"/>
        <w:left w:val="none" w:sz="0" w:space="0" w:color="auto"/>
        <w:bottom w:val="none" w:sz="0" w:space="0" w:color="auto"/>
        <w:right w:val="none" w:sz="0" w:space="0" w:color="auto"/>
      </w:divBdr>
    </w:div>
    <w:div w:id="133987862">
      <w:bodyDiv w:val="1"/>
      <w:marLeft w:val="0"/>
      <w:marRight w:val="0"/>
      <w:marTop w:val="0"/>
      <w:marBottom w:val="0"/>
      <w:divBdr>
        <w:top w:val="none" w:sz="0" w:space="0" w:color="auto"/>
        <w:left w:val="none" w:sz="0" w:space="0" w:color="auto"/>
        <w:bottom w:val="none" w:sz="0" w:space="0" w:color="auto"/>
        <w:right w:val="none" w:sz="0" w:space="0" w:color="auto"/>
      </w:divBdr>
    </w:div>
    <w:div w:id="134110443">
      <w:bodyDiv w:val="1"/>
      <w:marLeft w:val="0"/>
      <w:marRight w:val="0"/>
      <w:marTop w:val="0"/>
      <w:marBottom w:val="0"/>
      <w:divBdr>
        <w:top w:val="none" w:sz="0" w:space="0" w:color="auto"/>
        <w:left w:val="none" w:sz="0" w:space="0" w:color="auto"/>
        <w:bottom w:val="none" w:sz="0" w:space="0" w:color="auto"/>
        <w:right w:val="none" w:sz="0" w:space="0" w:color="auto"/>
      </w:divBdr>
    </w:div>
    <w:div w:id="134223078">
      <w:bodyDiv w:val="1"/>
      <w:marLeft w:val="0"/>
      <w:marRight w:val="0"/>
      <w:marTop w:val="0"/>
      <w:marBottom w:val="0"/>
      <w:divBdr>
        <w:top w:val="none" w:sz="0" w:space="0" w:color="auto"/>
        <w:left w:val="none" w:sz="0" w:space="0" w:color="auto"/>
        <w:bottom w:val="none" w:sz="0" w:space="0" w:color="auto"/>
        <w:right w:val="none" w:sz="0" w:space="0" w:color="auto"/>
      </w:divBdr>
    </w:div>
    <w:div w:id="134223954">
      <w:bodyDiv w:val="1"/>
      <w:marLeft w:val="0"/>
      <w:marRight w:val="0"/>
      <w:marTop w:val="0"/>
      <w:marBottom w:val="0"/>
      <w:divBdr>
        <w:top w:val="none" w:sz="0" w:space="0" w:color="auto"/>
        <w:left w:val="none" w:sz="0" w:space="0" w:color="auto"/>
        <w:bottom w:val="none" w:sz="0" w:space="0" w:color="auto"/>
        <w:right w:val="none" w:sz="0" w:space="0" w:color="auto"/>
      </w:divBdr>
    </w:div>
    <w:div w:id="134296285">
      <w:bodyDiv w:val="1"/>
      <w:marLeft w:val="0"/>
      <w:marRight w:val="0"/>
      <w:marTop w:val="0"/>
      <w:marBottom w:val="0"/>
      <w:divBdr>
        <w:top w:val="none" w:sz="0" w:space="0" w:color="auto"/>
        <w:left w:val="none" w:sz="0" w:space="0" w:color="auto"/>
        <w:bottom w:val="none" w:sz="0" w:space="0" w:color="auto"/>
        <w:right w:val="none" w:sz="0" w:space="0" w:color="auto"/>
      </w:divBdr>
    </w:div>
    <w:div w:id="134297422">
      <w:bodyDiv w:val="1"/>
      <w:marLeft w:val="0"/>
      <w:marRight w:val="0"/>
      <w:marTop w:val="0"/>
      <w:marBottom w:val="0"/>
      <w:divBdr>
        <w:top w:val="none" w:sz="0" w:space="0" w:color="auto"/>
        <w:left w:val="none" w:sz="0" w:space="0" w:color="auto"/>
        <w:bottom w:val="none" w:sz="0" w:space="0" w:color="auto"/>
        <w:right w:val="none" w:sz="0" w:space="0" w:color="auto"/>
      </w:divBdr>
    </w:div>
    <w:div w:id="134299772">
      <w:bodyDiv w:val="1"/>
      <w:marLeft w:val="0"/>
      <w:marRight w:val="0"/>
      <w:marTop w:val="0"/>
      <w:marBottom w:val="0"/>
      <w:divBdr>
        <w:top w:val="none" w:sz="0" w:space="0" w:color="auto"/>
        <w:left w:val="none" w:sz="0" w:space="0" w:color="auto"/>
        <w:bottom w:val="none" w:sz="0" w:space="0" w:color="auto"/>
        <w:right w:val="none" w:sz="0" w:space="0" w:color="auto"/>
      </w:divBdr>
    </w:div>
    <w:div w:id="134302097">
      <w:bodyDiv w:val="1"/>
      <w:marLeft w:val="0"/>
      <w:marRight w:val="0"/>
      <w:marTop w:val="0"/>
      <w:marBottom w:val="0"/>
      <w:divBdr>
        <w:top w:val="none" w:sz="0" w:space="0" w:color="auto"/>
        <w:left w:val="none" w:sz="0" w:space="0" w:color="auto"/>
        <w:bottom w:val="none" w:sz="0" w:space="0" w:color="auto"/>
        <w:right w:val="none" w:sz="0" w:space="0" w:color="auto"/>
      </w:divBdr>
    </w:div>
    <w:div w:id="134302523">
      <w:bodyDiv w:val="1"/>
      <w:marLeft w:val="0"/>
      <w:marRight w:val="0"/>
      <w:marTop w:val="0"/>
      <w:marBottom w:val="0"/>
      <w:divBdr>
        <w:top w:val="none" w:sz="0" w:space="0" w:color="auto"/>
        <w:left w:val="none" w:sz="0" w:space="0" w:color="auto"/>
        <w:bottom w:val="none" w:sz="0" w:space="0" w:color="auto"/>
        <w:right w:val="none" w:sz="0" w:space="0" w:color="auto"/>
      </w:divBdr>
    </w:div>
    <w:div w:id="134564687">
      <w:bodyDiv w:val="1"/>
      <w:marLeft w:val="0"/>
      <w:marRight w:val="0"/>
      <w:marTop w:val="0"/>
      <w:marBottom w:val="0"/>
      <w:divBdr>
        <w:top w:val="none" w:sz="0" w:space="0" w:color="auto"/>
        <w:left w:val="none" w:sz="0" w:space="0" w:color="auto"/>
        <w:bottom w:val="none" w:sz="0" w:space="0" w:color="auto"/>
        <w:right w:val="none" w:sz="0" w:space="0" w:color="auto"/>
      </w:divBdr>
    </w:div>
    <w:div w:id="134567999">
      <w:bodyDiv w:val="1"/>
      <w:marLeft w:val="0"/>
      <w:marRight w:val="0"/>
      <w:marTop w:val="0"/>
      <w:marBottom w:val="0"/>
      <w:divBdr>
        <w:top w:val="none" w:sz="0" w:space="0" w:color="auto"/>
        <w:left w:val="none" w:sz="0" w:space="0" w:color="auto"/>
        <w:bottom w:val="none" w:sz="0" w:space="0" w:color="auto"/>
        <w:right w:val="none" w:sz="0" w:space="0" w:color="auto"/>
      </w:divBdr>
    </w:div>
    <w:div w:id="134611395">
      <w:bodyDiv w:val="1"/>
      <w:marLeft w:val="0"/>
      <w:marRight w:val="0"/>
      <w:marTop w:val="0"/>
      <w:marBottom w:val="0"/>
      <w:divBdr>
        <w:top w:val="none" w:sz="0" w:space="0" w:color="auto"/>
        <w:left w:val="none" w:sz="0" w:space="0" w:color="auto"/>
        <w:bottom w:val="none" w:sz="0" w:space="0" w:color="auto"/>
        <w:right w:val="none" w:sz="0" w:space="0" w:color="auto"/>
      </w:divBdr>
    </w:div>
    <w:div w:id="134686267">
      <w:bodyDiv w:val="1"/>
      <w:marLeft w:val="0"/>
      <w:marRight w:val="0"/>
      <w:marTop w:val="0"/>
      <w:marBottom w:val="0"/>
      <w:divBdr>
        <w:top w:val="none" w:sz="0" w:space="0" w:color="auto"/>
        <w:left w:val="none" w:sz="0" w:space="0" w:color="auto"/>
        <w:bottom w:val="none" w:sz="0" w:space="0" w:color="auto"/>
        <w:right w:val="none" w:sz="0" w:space="0" w:color="auto"/>
      </w:divBdr>
    </w:div>
    <w:div w:id="134808300">
      <w:bodyDiv w:val="1"/>
      <w:marLeft w:val="0"/>
      <w:marRight w:val="0"/>
      <w:marTop w:val="0"/>
      <w:marBottom w:val="0"/>
      <w:divBdr>
        <w:top w:val="none" w:sz="0" w:space="0" w:color="auto"/>
        <w:left w:val="none" w:sz="0" w:space="0" w:color="auto"/>
        <w:bottom w:val="none" w:sz="0" w:space="0" w:color="auto"/>
        <w:right w:val="none" w:sz="0" w:space="0" w:color="auto"/>
      </w:divBdr>
    </w:div>
    <w:div w:id="134834554">
      <w:bodyDiv w:val="1"/>
      <w:marLeft w:val="0"/>
      <w:marRight w:val="0"/>
      <w:marTop w:val="0"/>
      <w:marBottom w:val="0"/>
      <w:divBdr>
        <w:top w:val="none" w:sz="0" w:space="0" w:color="auto"/>
        <w:left w:val="none" w:sz="0" w:space="0" w:color="auto"/>
        <w:bottom w:val="none" w:sz="0" w:space="0" w:color="auto"/>
        <w:right w:val="none" w:sz="0" w:space="0" w:color="auto"/>
      </w:divBdr>
    </w:div>
    <w:div w:id="134959501">
      <w:bodyDiv w:val="1"/>
      <w:marLeft w:val="0"/>
      <w:marRight w:val="0"/>
      <w:marTop w:val="0"/>
      <w:marBottom w:val="0"/>
      <w:divBdr>
        <w:top w:val="none" w:sz="0" w:space="0" w:color="auto"/>
        <w:left w:val="none" w:sz="0" w:space="0" w:color="auto"/>
        <w:bottom w:val="none" w:sz="0" w:space="0" w:color="auto"/>
        <w:right w:val="none" w:sz="0" w:space="0" w:color="auto"/>
      </w:divBdr>
    </w:div>
    <w:div w:id="135143902">
      <w:bodyDiv w:val="1"/>
      <w:marLeft w:val="0"/>
      <w:marRight w:val="0"/>
      <w:marTop w:val="0"/>
      <w:marBottom w:val="0"/>
      <w:divBdr>
        <w:top w:val="none" w:sz="0" w:space="0" w:color="auto"/>
        <w:left w:val="none" w:sz="0" w:space="0" w:color="auto"/>
        <w:bottom w:val="none" w:sz="0" w:space="0" w:color="auto"/>
        <w:right w:val="none" w:sz="0" w:space="0" w:color="auto"/>
      </w:divBdr>
    </w:div>
    <w:div w:id="135222409">
      <w:bodyDiv w:val="1"/>
      <w:marLeft w:val="0"/>
      <w:marRight w:val="0"/>
      <w:marTop w:val="0"/>
      <w:marBottom w:val="0"/>
      <w:divBdr>
        <w:top w:val="none" w:sz="0" w:space="0" w:color="auto"/>
        <w:left w:val="none" w:sz="0" w:space="0" w:color="auto"/>
        <w:bottom w:val="none" w:sz="0" w:space="0" w:color="auto"/>
        <w:right w:val="none" w:sz="0" w:space="0" w:color="auto"/>
      </w:divBdr>
    </w:div>
    <w:div w:id="135295401">
      <w:bodyDiv w:val="1"/>
      <w:marLeft w:val="0"/>
      <w:marRight w:val="0"/>
      <w:marTop w:val="0"/>
      <w:marBottom w:val="0"/>
      <w:divBdr>
        <w:top w:val="none" w:sz="0" w:space="0" w:color="auto"/>
        <w:left w:val="none" w:sz="0" w:space="0" w:color="auto"/>
        <w:bottom w:val="none" w:sz="0" w:space="0" w:color="auto"/>
        <w:right w:val="none" w:sz="0" w:space="0" w:color="auto"/>
      </w:divBdr>
    </w:div>
    <w:div w:id="135298867">
      <w:bodyDiv w:val="1"/>
      <w:marLeft w:val="0"/>
      <w:marRight w:val="0"/>
      <w:marTop w:val="0"/>
      <w:marBottom w:val="0"/>
      <w:divBdr>
        <w:top w:val="none" w:sz="0" w:space="0" w:color="auto"/>
        <w:left w:val="none" w:sz="0" w:space="0" w:color="auto"/>
        <w:bottom w:val="none" w:sz="0" w:space="0" w:color="auto"/>
        <w:right w:val="none" w:sz="0" w:space="0" w:color="auto"/>
      </w:divBdr>
    </w:div>
    <w:div w:id="135344580">
      <w:bodyDiv w:val="1"/>
      <w:marLeft w:val="0"/>
      <w:marRight w:val="0"/>
      <w:marTop w:val="0"/>
      <w:marBottom w:val="0"/>
      <w:divBdr>
        <w:top w:val="none" w:sz="0" w:space="0" w:color="auto"/>
        <w:left w:val="none" w:sz="0" w:space="0" w:color="auto"/>
        <w:bottom w:val="none" w:sz="0" w:space="0" w:color="auto"/>
        <w:right w:val="none" w:sz="0" w:space="0" w:color="auto"/>
      </w:divBdr>
    </w:div>
    <w:div w:id="135494267">
      <w:bodyDiv w:val="1"/>
      <w:marLeft w:val="0"/>
      <w:marRight w:val="0"/>
      <w:marTop w:val="0"/>
      <w:marBottom w:val="0"/>
      <w:divBdr>
        <w:top w:val="none" w:sz="0" w:space="0" w:color="auto"/>
        <w:left w:val="none" w:sz="0" w:space="0" w:color="auto"/>
        <w:bottom w:val="none" w:sz="0" w:space="0" w:color="auto"/>
        <w:right w:val="none" w:sz="0" w:space="0" w:color="auto"/>
      </w:divBdr>
    </w:div>
    <w:div w:id="135494302">
      <w:bodyDiv w:val="1"/>
      <w:marLeft w:val="0"/>
      <w:marRight w:val="0"/>
      <w:marTop w:val="0"/>
      <w:marBottom w:val="0"/>
      <w:divBdr>
        <w:top w:val="none" w:sz="0" w:space="0" w:color="auto"/>
        <w:left w:val="none" w:sz="0" w:space="0" w:color="auto"/>
        <w:bottom w:val="none" w:sz="0" w:space="0" w:color="auto"/>
        <w:right w:val="none" w:sz="0" w:space="0" w:color="auto"/>
      </w:divBdr>
    </w:div>
    <w:div w:id="135529784">
      <w:bodyDiv w:val="1"/>
      <w:marLeft w:val="0"/>
      <w:marRight w:val="0"/>
      <w:marTop w:val="0"/>
      <w:marBottom w:val="0"/>
      <w:divBdr>
        <w:top w:val="none" w:sz="0" w:space="0" w:color="auto"/>
        <w:left w:val="none" w:sz="0" w:space="0" w:color="auto"/>
        <w:bottom w:val="none" w:sz="0" w:space="0" w:color="auto"/>
        <w:right w:val="none" w:sz="0" w:space="0" w:color="auto"/>
      </w:divBdr>
    </w:div>
    <w:div w:id="135609147">
      <w:bodyDiv w:val="1"/>
      <w:marLeft w:val="0"/>
      <w:marRight w:val="0"/>
      <w:marTop w:val="0"/>
      <w:marBottom w:val="0"/>
      <w:divBdr>
        <w:top w:val="none" w:sz="0" w:space="0" w:color="auto"/>
        <w:left w:val="none" w:sz="0" w:space="0" w:color="auto"/>
        <w:bottom w:val="none" w:sz="0" w:space="0" w:color="auto"/>
        <w:right w:val="none" w:sz="0" w:space="0" w:color="auto"/>
      </w:divBdr>
    </w:div>
    <w:div w:id="135613812">
      <w:bodyDiv w:val="1"/>
      <w:marLeft w:val="0"/>
      <w:marRight w:val="0"/>
      <w:marTop w:val="0"/>
      <w:marBottom w:val="0"/>
      <w:divBdr>
        <w:top w:val="none" w:sz="0" w:space="0" w:color="auto"/>
        <w:left w:val="none" w:sz="0" w:space="0" w:color="auto"/>
        <w:bottom w:val="none" w:sz="0" w:space="0" w:color="auto"/>
        <w:right w:val="none" w:sz="0" w:space="0" w:color="auto"/>
      </w:divBdr>
    </w:div>
    <w:div w:id="135683324">
      <w:bodyDiv w:val="1"/>
      <w:marLeft w:val="0"/>
      <w:marRight w:val="0"/>
      <w:marTop w:val="0"/>
      <w:marBottom w:val="0"/>
      <w:divBdr>
        <w:top w:val="none" w:sz="0" w:space="0" w:color="auto"/>
        <w:left w:val="none" w:sz="0" w:space="0" w:color="auto"/>
        <w:bottom w:val="none" w:sz="0" w:space="0" w:color="auto"/>
        <w:right w:val="none" w:sz="0" w:space="0" w:color="auto"/>
      </w:divBdr>
    </w:div>
    <w:div w:id="135726591">
      <w:bodyDiv w:val="1"/>
      <w:marLeft w:val="0"/>
      <w:marRight w:val="0"/>
      <w:marTop w:val="0"/>
      <w:marBottom w:val="0"/>
      <w:divBdr>
        <w:top w:val="none" w:sz="0" w:space="0" w:color="auto"/>
        <w:left w:val="none" w:sz="0" w:space="0" w:color="auto"/>
        <w:bottom w:val="none" w:sz="0" w:space="0" w:color="auto"/>
        <w:right w:val="none" w:sz="0" w:space="0" w:color="auto"/>
      </w:divBdr>
    </w:div>
    <w:div w:id="135804747">
      <w:bodyDiv w:val="1"/>
      <w:marLeft w:val="0"/>
      <w:marRight w:val="0"/>
      <w:marTop w:val="0"/>
      <w:marBottom w:val="0"/>
      <w:divBdr>
        <w:top w:val="none" w:sz="0" w:space="0" w:color="auto"/>
        <w:left w:val="none" w:sz="0" w:space="0" w:color="auto"/>
        <w:bottom w:val="none" w:sz="0" w:space="0" w:color="auto"/>
        <w:right w:val="none" w:sz="0" w:space="0" w:color="auto"/>
      </w:divBdr>
    </w:div>
    <w:div w:id="135804951">
      <w:bodyDiv w:val="1"/>
      <w:marLeft w:val="0"/>
      <w:marRight w:val="0"/>
      <w:marTop w:val="0"/>
      <w:marBottom w:val="0"/>
      <w:divBdr>
        <w:top w:val="none" w:sz="0" w:space="0" w:color="auto"/>
        <w:left w:val="none" w:sz="0" w:space="0" w:color="auto"/>
        <w:bottom w:val="none" w:sz="0" w:space="0" w:color="auto"/>
        <w:right w:val="none" w:sz="0" w:space="0" w:color="auto"/>
      </w:divBdr>
    </w:div>
    <w:div w:id="135806193">
      <w:bodyDiv w:val="1"/>
      <w:marLeft w:val="0"/>
      <w:marRight w:val="0"/>
      <w:marTop w:val="0"/>
      <w:marBottom w:val="0"/>
      <w:divBdr>
        <w:top w:val="none" w:sz="0" w:space="0" w:color="auto"/>
        <w:left w:val="none" w:sz="0" w:space="0" w:color="auto"/>
        <w:bottom w:val="none" w:sz="0" w:space="0" w:color="auto"/>
        <w:right w:val="none" w:sz="0" w:space="0" w:color="auto"/>
      </w:divBdr>
    </w:div>
    <w:div w:id="136000141">
      <w:bodyDiv w:val="1"/>
      <w:marLeft w:val="0"/>
      <w:marRight w:val="0"/>
      <w:marTop w:val="0"/>
      <w:marBottom w:val="0"/>
      <w:divBdr>
        <w:top w:val="none" w:sz="0" w:space="0" w:color="auto"/>
        <w:left w:val="none" w:sz="0" w:space="0" w:color="auto"/>
        <w:bottom w:val="none" w:sz="0" w:space="0" w:color="auto"/>
        <w:right w:val="none" w:sz="0" w:space="0" w:color="auto"/>
      </w:divBdr>
    </w:div>
    <w:div w:id="136143042">
      <w:bodyDiv w:val="1"/>
      <w:marLeft w:val="0"/>
      <w:marRight w:val="0"/>
      <w:marTop w:val="0"/>
      <w:marBottom w:val="0"/>
      <w:divBdr>
        <w:top w:val="none" w:sz="0" w:space="0" w:color="auto"/>
        <w:left w:val="none" w:sz="0" w:space="0" w:color="auto"/>
        <w:bottom w:val="none" w:sz="0" w:space="0" w:color="auto"/>
        <w:right w:val="none" w:sz="0" w:space="0" w:color="auto"/>
      </w:divBdr>
    </w:div>
    <w:div w:id="136187208">
      <w:bodyDiv w:val="1"/>
      <w:marLeft w:val="0"/>
      <w:marRight w:val="0"/>
      <w:marTop w:val="0"/>
      <w:marBottom w:val="0"/>
      <w:divBdr>
        <w:top w:val="none" w:sz="0" w:space="0" w:color="auto"/>
        <w:left w:val="none" w:sz="0" w:space="0" w:color="auto"/>
        <w:bottom w:val="none" w:sz="0" w:space="0" w:color="auto"/>
        <w:right w:val="none" w:sz="0" w:space="0" w:color="auto"/>
      </w:divBdr>
    </w:div>
    <w:div w:id="136189423">
      <w:bodyDiv w:val="1"/>
      <w:marLeft w:val="0"/>
      <w:marRight w:val="0"/>
      <w:marTop w:val="0"/>
      <w:marBottom w:val="0"/>
      <w:divBdr>
        <w:top w:val="none" w:sz="0" w:space="0" w:color="auto"/>
        <w:left w:val="none" w:sz="0" w:space="0" w:color="auto"/>
        <w:bottom w:val="none" w:sz="0" w:space="0" w:color="auto"/>
        <w:right w:val="none" w:sz="0" w:space="0" w:color="auto"/>
      </w:divBdr>
    </w:div>
    <w:div w:id="136264416">
      <w:bodyDiv w:val="1"/>
      <w:marLeft w:val="0"/>
      <w:marRight w:val="0"/>
      <w:marTop w:val="0"/>
      <w:marBottom w:val="0"/>
      <w:divBdr>
        <w:top w:val="none" w:sz="0" w:space="0" w:color="auto"/>
        <w:left w:val="none" w:sz="0" w:space="0" w:color="auto"/>
        <w:bottom w:val="none" w:sz="0" w:space="0" w:color="auto"/>
        <w:right w:val="none" w:sz="0" w:space="0" w:color="auto"/>
      </w:divBdr>
    </w:div>
    <w:div w:id="136341192">
      <w:bodyDiv w:val="1"/>
      <w:marLeft w:val="0"/>
      <w:marRight w:val="0"/>
      <w:marTop w:val="0"/>
      <w:marBottom w:val="0"/>
      <w:divBdr>
        <w:top w:val="none" w:sz="0" w:space="0" w:color="auto"/>
        <w:left w:val="none" w:sz="0" w:space="0" w:color="auto"/>
        <w:bottom w:val="none" w:sz="0" w:space="0" w:color="auto"/>
        <w:right w:val="none" w:sz="0" w:space="0" w:color="auto"/>
      </w:divBdr>
    </w:div>
    <w:div w:id="136382553">
      <w:bodyDiv w:val="1"/>
      <w:marLeft w:val="0"/>
      <w:marRight w:val="0"/>
      <w:marTop w:val="0"/>
      <w:marBottom w:val="0"/>
      <w:divBdr>
        <w:top w:val="none" w:sz="0" w:space="0" w:color="auto"/>
        <w:left w:val="none" w:sz="0" w:space="0" w:color="auto"/>
        <w:bottom w:val="none" w:sz="0" w:space="0" w:color="auto"/>
        <w:right w:val="none" w:sz="0" w:space="0" w:color="auto"/>
      </w:divBdr>
    </w:div>
    <w:div w:id="136386007">
      <w:bodyDiv w:val="1"/>
      <w:marLeft w:val="0"/>
      <w:marRight w:val="0"/>
      <w:marTop w:val="0"/>
      <w:marBottom w:val="0"/>
      <w:divBdr>
        <w:top w:val="none" w:sz="0" w:space="0" w:color="auto"/>
        <w:left w:val="none" w:sz="0" w:space="0" w:color="auto"/>
        <w:bottom w:val="none" w:sz="0" w:space="0" w:color="auto"/>
        <w:right w:val="none" w:sz="0" w:space="0" w:color="auto"/>
      </w:divBdr>
    </w:div>
    <w:div w:id="136386306">
      <w:bodyDiv w:val="1"/>
      <w:marLeft w:val="0"/>
      <w:marRight w:val="0"/>
      <w:marTop w:val="0"/>
      <w:marBottom w:val="0"/>
      <w:divBdr>
        <w:top w:val="none" w:sz="0" w:space="0" w:color="auto"/>
        <w:left w:val="none" w:sz="0" w:space="0" w:color="auto"/>
        <w:bottom w:val="none" w:sz="0" w:space="0" w:color="auto"/>
        <w:right w:val="none" w:sz="0" w:space="0" w:color="auto"/>
      </w:divBdr>
    </w:div>
    <w:div w:id="136577177">
      <w:bodyDiv w:val="1"/>
      <w:marLeft w:val="0"/>
      <w:marRight w:val="0"/>
      <w:marTop w:val="0"/>
      <w:marBottom w:val="0"/>
      <w:divBdr>
        <w:top w:val="none" w:sz="0" w:space="0" w:color="auto"/>
        <w:left w:val="none" w:sz="0" w:space="0" w:color="auto"/>
        <w:bottom w:val="none" w:sz="0" w:space="0" w:color="auto"/>
        <w:right w:val="none" w:sz="0" w:space="0" w:color="auto"/>
      </w:divBdr>
    </w:div>
    <w:div w:id="136803434">
      <w:bodyDiv w:val="1"/>
      <w:marLeft w:val="0"/>
      <w:marRight w:val="0"/>
      <w:marTop w:val="0"/>
      <w:marBottom w:val="0"/>
      <w:divBdr>
        <w:top w:val="none" w:sz="0" w:space="0" w:color="auto"/>
        <w:left w:val="none" w:sz="0" w:space="0" w:color="auto"/>
        <w:bottom w:val="none" w:sz="0" w:space="0" w:color="auto"/>
        <w:right w:val="none" w:sz="0" w:space="0" w:color="auto"/>
      </w:divBdr>
    </w:div>
    <w:div w:id="136849937">
      <w:bodyDiv w:val="1"/>
      <w:marLeft w:val="0"/>
      <w:marRight w:val="0"/>
      <w:marTop w:val="0"/>
      <w:marBottom w:val="0"/>
      <w:divBdr>
        <w:top w:val="none" w:sz="0" w:space="0" w:color="auto"/>
        <w:left w:val="none" w:sz="0" w:space="0" w:color="auto"/>
        <w:bottom w:val="none" w:sz="0" w:space="0" w:color="auto"/>
        <w:right w:val="none" w:sz="0" w:space="0" w:color="auto"/>
      </w:divBdr>
    </w:div>
    <w:div w:id="136917791">
      <w:bodyDiv w:val="1"/>
      <w:marLeft w:val="0"/>
      <w:marRight w:val="0"/>
      <w:marTop w:val="0"/>
      <w:marBottom w:val="0"/>
      <w:divBdr>
        <w:top w:val="none" w:sz="0" w:space="0" w:color="auto"/>
        <w:left w:val="none" w:sz="0" w:space="0" w:color="auto"/>
        <w:bottom w:val="none" w:sz="0" w:space="0" w:color="auto"/>
        <w:right w:val="none" w:sz="0" w:space="0" w:color="auto"/>
      </w:divBdr>
    </w:div>
    <w:div w:id="136996162">
      <w:bodyDiv w:val="1"/>
      <w:marLeft w:val="0"/>
      <w:marRight w:val="0"/>
      <w:marTop w:val="0"/>
      <w:marBottom w:val="0"/>
      <w:divBdr>
        <w:top w:val="none" w:sz="0" w:space="0" w:color="auto"/>
        <w:left w:val="none" w:sz="0" w:space="0" w:color="auto"/>
        <w:bottom w:val="none" w:sz="0" w:space="0" w:color="auto"/>
        <w:right w:val="none" w:sz="0" w:space="0" w:color="auto"/>
      </w:divBdr>
    </w:div>
    <w:div w:id="137066623">
      <w:bodyDiv w:val="1"/>
      <w:marLeft w:val="0"/>
      <w:marRight w:val="0"/>
      <w:marTop w:val="0"/>
      <w:marBottom w:val="0"/>
      <w:divBdr>
        <w:top w:val="none" w:sz="0" w:space="0" w:color="auto"/>
        <w:left w:val="none" w:sz="0" w:space="0" w:color="auto"/>
        <w:bottom w:val="none" w:sz="0" w:space="0" w:color="auto"/>
        <w:right w:val="none" w:sz="0" w:space="0" w:color="auto"/>
      </w:divBdr>
    </w:div>
    <w:div w:id="137187290">
      <w:bodyDiv w:val="1"/>
      <w:marLeft w:val="0"/>
      <w:marRight w:val="0"/>
      <w:marTop w:val="0"/>
      <w:marBottom w:val="0"/>
      <w:divBdr>
        <w:top w:val="none" w:sz="0" w:space="0" w:color="auto"/>
        <w:left w:val="none" w:sz="0" w:space="0" w:color="auto"/>
        <w:bottom w:val="none" w:sz="0" w:space="0" w:color="auto"/>
        <w:right w:val="none" w:sz="0" w:space="0" w:color="auto"/>
      </w:divBdr>
    </w:div>
    <w:div w:id="137428994">
      <w:bodyDiv w:val="1"/>
      <w:marLeft w:val="0"/>
      <w:marRight w:val="0"/>
      <w:marTop w:val="0"/>
      <w:marBottom w:val="0"/>
      <w:divBdr>
        <w:top w:val="none" w:sz="0" w:space="0" w:color="auto"/>
        <w:left w:val="none" w:sz="0" w:space="0" w:color="auto"/>
        <w:bottom w:val="none" w:sz="0" w:space="0" w:color="auto"/>
        <w:right w:val="none" w:sz="0" w:space="0" w:color="auto"/>
      </w:divBdr>
    </w:div>
    <w:div w:id="137457059">
      <w:bodyDiv w:val="1"/>
      <w:marLeft w:val="0"/>
      <w:marRight w:val="0"/>
      <w:marTop w:val="0"/>
      <w:marBottom w:val="0"/>
      <w:divBdr>
        <w:top w:val="none" w:sz="0" w:space="0" w:color="auto"/>
        <w:left w:val="none" w:sz="0" w:space="0" w:color="auto"/>
        <w:bottom w:val="none" w:sz="0" w:space="0" w:color="auto"/>
        <w:right w:val="none" w:sz="0" w:space="0" w:color="auto"/>
      </w:divBdr>
    </w:div>
    <w:div w:id="137499203">
      <w:bodyDiv w:val="1"/>
      <w:marLeft w:val="0"/>
      <w:marRight w:val="0"/>
      <w:marTop w:val="0"/>
      <w:marBottom w:val="0"/>
      <w:divBdr>
        <w:top w:val="none" w:sz="0" w:space="0" w:color="auto"/>
        <w:left w:val="none" w:sz="0" w:space="0" w:color="auto"/>
        <w:bottom w:val="none" w:sz="0" w:space="0" w:color="auto"/>
        <w:right w:val="none" w:sz="0" w:space="0" w:color="auto"/>
      </w:divBdr>
    </w:div>
    <w:div w:id="137499451">
      <w:bodyDiv w:val="1"/>
      <w:marLeft w:val="0"/>
      <w:marRight w:val="0"/>
      <w:marTop w:val="0"/>
      <w:marBottom w:val="0"/>
      <w:divBdr>
        <w:top w:val="none" w:sz="0" w:space="0" w:color="auto"/>
        <w:left w:val="none" w:sz="0" w:space="0" w:color="auto"/>
        <w:bottom w:val="none" w:sz="0" w:space="0" w:color="auto"/>
        <w:right w:val="none" w:sz="0" w:space="0" w:color="auto"/>
      </w:divBdr>
    </w:div>
    <w:div w:id="137504426">
      <w:bodyDiv w:val="1"/>
      <w:marLeft w:val="0"/>
      <w:marRight w:val="0"/>
      <w:marTop w:val="0"/>
      <w:marBottom w:val="0"/>
      <w:divBdr>
        <w:top w:val="none" w:sz="0" w:space="0" w:color="auto"/>
        <w:left w:val="none" w:sz="0" w:space="0" w:color="auto"/>
        <w:bottom w:val="none" w:sz="0" w:space="0" w:color="auto"/>
        <w:right w:val="none" w:sz="0" w:space="0" w:color="auto"/>
      </w:divBdr>
    </w:div>
    <w:div w:id="137573329">
      <w:bodyDiv w:val="1"/>
      <w:marLeft w:val="0"/>
      <w:marRight w:val="0"/>
      <w:marTop w:val="0"/>
      <w:marBottom w:val="0"/>
      <w:divBdr>
        <w:top w:val="none" w:sz="0" w:space="0" w:color="auto"/>
        <w:left w:val="none" w:sz="0" w:space="0" w:color="auto"/>
        <w:bottom w:val="none" w:sz="0" w:space="0" w:color="auto"/>
        <w:right w:val="none" w:sz="0" w:space="0" w:color="auto"/>
      </w:divBdr>
    </w:div>
    <w:div w:id="137890732">
      <w:bodyDiv w:val="1"/>
      <w:marLeft w:val="0"/>
      <w:marRight w:val="0"/>
      <w:marTop w:val="0"/>
      <w:marBottom w:val="0"/>
      <w:divBdr>
        <w:top w:val="none" w:sz="0" w:space="0" w:color="auto"/>
        <w:left w:val="none" w:sz="0" w:space="0" w:color="auto"/>
        <w:bottom w:val="none" w:sz="0" w:space="0" w:color="auto"/>
        <w:right w:val="none" w:sz="0" w:space="0" w:color="auto"/>
      </w:divBdr>
    </w:div>
    <w:div w:id="138038458">
      <w:bodyDiv w:val="1"/>
      <w:marLeft w:val="0"/>
      <w:marRight w:val="0"/>
      <w:marTop w:val="0"/>
      <w:marBottom w:val="0"/>
      <w:divBdr>
        <w:top w:val="none" w:sz="0" w:space="0" w:color="auto"/>
        <w:left w:val="none" w:sz="0" w:space="0" w:color="auto"/>
        <w:bottom w:val="none" w:sz="0" w:space="0" w:color="auto"/>
        <w:right w:val="none" w:sz="0" w:space="0" w:color="auto"/>
      </w:divBdr>
    </w:div>
    <w:div w:id="138308528">
      <w:bodyDiv w:val="1"/>
      <w:marLeft w:val="0"/>
      <w:marRight w:val="0"/>
      <w:marTop w:val="0"/>
      <w:marBottom w:val="0"/>
      <w:divBdr>
        <w:top w:val="none" w:sz="0" w:space="0" w:color="auto"/>
        <w:left w:val="none" w:sz="0" w:space="0" w:color="auto"/>
        <w:bottom w:val="none" w:sz="0" w:space="0" w:color="auto"/>
        <w:right w:val="none" w:sz="0" w:space="0" w:color="auto"/>
      </w:divBdr>
    </w:div>
    <w:div w:id="138496014">
      <w:bodyDiv w:val="1"/>
      <w:marLeft w:val="0"/>
      <w:marRight w:val="0"/>
      <w:marTop w:val="0"/>
      <w:marBottom w:val="0"/>
      <w:divBdr>
        <w:top w:val="none" w:sz="0" w:space="0" w:color="auto"/>
        <w:left w:val="none" w:sz="0" w:space="0" w:color="auto"/>
        <w:bottom w:val="none" w:sz="0" w:space="0" w:color="auto"/>
        <w:right w:val="none" w:sz="0" w:space="0" w:color="auto"/>
      </w:divBdr>
    </w:div>
    <w:div w:id="138496470">
      <w:bodyDiv w:val="1"/>
      <w:marLeft w:val="0"/>
      <w:marRight w:val="0"/>
      <w:marTop w:val="0"/>
      <w:marBottom w:val="0"/>
      <w:divBdr>
        <w:top w:val="none" w:sz="0" w:space="0" w:color="auto"/>
        <w:left w:val="none" w:sz="0" w:space="0" w:color="auto"/>
        <w:bottom w:val="none" w:sz="0" w:space="0" w:color="auto"/>
        <w:right w:val="none" w:sz="0" w:space="0" w:color="auto"/>
      </w:divBdr>
    </w:div>
    <w:div w:id="138693931">
      <w:bodyDiv w:val="1"/>
      <w:marLeft w:val="0"/>
      <w:marRight w:val="0"/>
      <w:marTop w:val="0"/>
      <w:marBottom w:val="0"/>
      <w:divBdr>
        <w:top w:val="none" w:sz="0" w:space="0" w:color="auto"/>
        <w:left w:val="none" w:sz="0" w:space="0" w:color="auto"/>
        <w:bottom w:val="none" w:sz="0" w:space="0" w:color="auto"/>
        <w:right w:val="none" w:sz="0" w:space="0" w:color="auto"/>
      </w:divBdr>
    </w:div>
    <w:div w:id="138770247">
      <w:bodyDiv w:val="1"/>
      <w:marLeft w:val="0"/>
      <w:marRight w:val="0"/>
      <w:marTop w:val="0"/>
      <w:marBottom w:val="0"/>
      <w:divBdr>
        <w:top w:val="none" w:sz="0" w:space="0" w:color="auto"/>
        <w:left w:val="none" w:sz="0" w:space="0" w:color="auto"/>
        <w:bottom w:val="none" w:sz="0" w:space="0" w:color="auto"/>
        <w:right w:val="none" w:sz="0" w:space="0" w:color="auto"/>
      </w:divBdr>
    </w:div>
    <w:div w:id="138810352">
      <w:bodyDiv w:val="1"/>
      <w:marLeft w:val="0"/>
      <w:marRight w:val="0"/>
      <w:marTop w:val="0"/>
      <w:marBottom w:val="0"/>
      <w:divBdr>
        <w:top w:val="none" w:sz="0" w:space="0" w:color="auto"/>
        <w:left w:val="none" w:sz="0" w:space="0" w:color="auto"/>
        <w:bottom w:val="none" w:sz="0" w:space="0" w:color="auto"/>
        <w:right w:val="none" w:sz="0" w:space="0" w:color="auto"/>
      </w:divBdr>
    </w:div>
    <w:div w:id="138815126">
      <w:bodyDiv w:val="1"/>
      <w:marLeft w:val="0"/>
      <w:marRight w:val="0"/>
      <w:marTop w:val="0"/>
      <w:marBottom w:val="0"/>
      <w:divBdr>
        <w:top w:val="none" w:sz="0" w:space="0" w:color="auto"/>
        <w:left w:val="none" w:sz="0" w:space="0" w:color="auto"/>
        <w:bottom w:val="none" w:sz="0" w:space="0" w:color="auto"/>
        <w:right w:val="none" w:sz="0" w:space="0" w:color="auto"/>
      </w:divBdr>
    </w:div>
    <w:div w:id="138889184">
      <w:bodyDiv w:val="1"/>
      <w:marLeft w:val="0"/>
      <w:marRight w:val="0"/>
      <w:marTop w:val="0"/>
      <w:marBottom w:val="0"/>
      <w:divBdr>
        <w:top w:val="none" w:sz="0" w:space="0" w:color="auto"/>
        <w:left w:val="none" w:sz="0" w:space="0" w:color="auto"/>
        <w:bottom w:val="none" w:sz="0" w:space="0" w:color="auto"/>
        <w:right w:val="none" w:sz="0" w:space="0" w:color="auto"/>
      </w:divBdr>
    </w:div>
    <w:div w:id="138957418">
      <w:bodyDiv w:val="1"/>
      <w:marLeft w:val="0"/>
      <w:marRight w:val="0"/>
      <w:marTop w:val="0"/>
      <w:marBottom w:val="0"/>
      <w:divBdr>
        <w:top w:val="none" w:sz="0" w:space="0" w:color="auto"/>
        <w:left w:val="none" w:sz="0" w:space="0" w:color="auto"/>
        <w:bottom w:val="none" w:sz="0" w:space="0" w:color="auto"/>
        <w:right w:val="none" w:sz="0" w:space="0" w:color="auto"/>
      </w:divBdr>
    </w:div>
    <w:div w:id="139159407">
      <w:bodyDiv w:val="1"/>
      <w:marLeft w:val="0"/>
      <w:marRight w:val="0"/>
      <w:marTop w:val="0"/>
      <w:marBottom w:val="0"/>
      <w:divBdr>
        <w:top w:val="none" w:sz="0" w:space="0" w:color="auto"/>
        <w:left w:val="none" w:sz="0" w:space="0" w:color="auto"/>
        <w:bottom w:val="none" w:sz="0" w:space="0" w:color="auto"/>
        <w:right w:val="none" w:sz="0" w:space="0" w:color="auto"/>
      </w:divBdr>
    </w:div>
    <w:div w:id="139543202">
      <w:bodyDiv w:val="1"/>
      <w:marLeft w:val="0"/>
      <w:marRight w:val="0"/>
      <w:marTop w:val="0"/>
      <w:marBottom w:val="0"/>
      <w:divBdr>
        <w:top w:val="none" w:sz="0" w:space="0" w:color="auto"/>
        <w:left w:val="none" w:sz="0" w:space="0" w:color="auto"/>
        <w:bottom w:val="none" w:sz="0" w:space="0" w:color="auto"/>
        <w:right w:val="none" w:sz="0" w:space="0" w:color="auto"/>
      </w:divBdr>
    </w:div>
    <w:div w:id="139619148">
      <w:bodyDiv w:val="1"/>
      <w:marLeft w:val="0"/>
      <w:marRight w:val="0"/>
      <w:marTop w:val="0"/>
      <w:marBottom w:val="0"/>
      <w:divBdr>
        <w:top w:val="none" w:sz="0" w:space="0" w:color="auto"/>
        <w:left w:val="none" w:sz="0" w:space="0" w:color="auto"/>
        <w:bottom w:val="none" w:sz="0" w:space="0" w:color="auto"/>
        <w:right w:val="none" w:sz="0" w:space="0" w:color="auto"/>
      </w:divBdr>
    </w:div>
    <w:div w:id="139689555">
      <w:bodyDiv w:val="1"/>
      <w:marLeft w:val="0"/>
      <w:marRight w:val="0"/>
      <w:marTop w:val="0"/>
      <w:marBottom w:val="0"/>
      <w:divBdr>
        <w:top w:val="none" w:sz="0" w:space="0" w:color="auto"/>
        <w:left w:val="none" w:sz="0" w:space="0" w:color="auto"/>
        <w:bottom w:val="none" w:sz="0" w:space="0" w:color="auto"/>
        <w:right w:val="none" w:sz="0" w:space="0" w:color="auto"/>
      </w:divBdr>
    </w:div>
    <w:div w:id="139806899">
      <w:bodyDiv w:val="1"/>
      <w:marLeft w:val="0"/>
      <w:marRight w:val="0"/>
      <w:marTop w:val="0"/>
      <w:marBottom w:val="0"/>
      <w:divBdr>
        <w:top w:val="none" w:sz="0" w:space="0" w:color="auto"/>
        <w:left w:val="none" w:sz="0" w:space="0" w:color="auto"/>
        <w:bottom w:val="none" w:sz="0" w:space="0" w:color="auto"/>
        <w:right w:val="none" w:sz="0" w:space="0" w:color="auto"/>
      </w:divBdr>
    </w:div>
    <w:div w:id="139807091">
      <w:bodyDiv w:val="1"/>
      <w:marLeft w:val="0"/>
      <w:marRight w:val="0"/>
      <w:marTop w:val="0"/>
      <w:marBottom w:val="0"/>
      <w:divBdr>
        <w:top w:val="none" w:sz="0" w:space="0" w:color="auto"/>
        <w:left w:val="none" w:sz="0" w:space="0" w:color="auto"/>
        <w:bottom w:val="none" w:sz="0" w:space="0" w:color="auto"/>
        <w:right w:val="none" w:sz="0" w:space="0" w:color="auto"/>
      </w:divBdr>
    </w:div>
    <w:div w:id="139808766">
      <w:bodyDiv w:val="1"/>
      <w:marLeft w:val="0"/>
      <w:marRight w:val="0"/>
      <w:marTop w:val="0"/>
      <w:marBottom w:val="0"/>
      <w:divBdr>
        <w:top w:val="none" w:sz="0" w:space="0" w:color="auto"/>
        <w:left w:val="none" w:sz="0" w:space="0" w:color="auto"/>
        <w:bottom w:val="none" w:sz="0" w:space="0" w:color="auto"/>
        <w:right w:val="none" w:sz="0" w:space="0" w:color="auto"/>
      </w:divBdr>
    </w:div>
    <w:div w:id="139854857">
      <w:bodyDiv w:val="1"/>
      <w:marLeft w:val="0"/>
      <w:marRight w:val="0"/>
      <w:marTop w:val="0"/>
      <w:marBottom w:val="0"/>
      <w:divBdr>
        <w:top w:val="none" w:sz="0" w:space="0" w:color="auto"/>
        <w:left w:val="none" w:sz="0" w:space="0" w:color="auto"/>
        <w:bottom w:val="none" w:sz="0" w:space="0" w:color="auto"/>
        <w:right w:val="none" w:sz="0" w:space="0" w:color="auto"/>
      </w:divBdr>
    </w:div>
    <w:div w:id="140004524">
      <w:bodyDiv w:val="1"/>
      <w:marLeft w:val="0"/>
      <w:marRight w:val="0"/>
      <w:marTop w:val="0"/>
      <w:marBottom w:val="0"/>
      <w:divBdr>
        <w:top w:val="none" w:sz="0" w:space="0" w:color="auto"/>
        <w:left w:val="none" w:sz="0" w:space="0" w:color="auto"/>
        <w:bottom w:val="none" w:sz="0" w:space="0" w:color="auto"/>
        <w:right w:val="none" w:sz="0" w:space="0" w:color="auto"/>
      </w:divBdr>
    </w:div>
    <w:div w:id="140120654">
      <w:bodyDiv w:val="1"/>
      <w:marLeft w:val="0"/>
      <w:marRight w:val="0"/>
      <w:marTop w:val="0"/>
      <w:marBottom w:val="0"/>
      <w:divBdr>
        <w:top w:val="none" w:sz="0" w:space="0" w:color="auto"/>
        <w:left w:val="none" w:sz="0" w:space="0" w:color="auto"/>
        <w:bottom w:val="none" w:sz="0" w:space="0" w:color="auto"/>
        <w:right w:val="none" w:sz="0" w:space="0" w:color="auto"/>
      </w:divBdr>
    </w:div>
    <w:div w:id="140192155">
      <w:bodyDiv w:val="1"/>
      <w:marLeft w:val="0"/>
      <w:marRight w:val="0"/>
      <w:marTop w:val="0"/>
      <w:marBottom w:val="0"/>
      <w:divBdr>
        <w:top w:val="none" w:sz="0" w:space="0" w:color="auto"/>
        <w:left w:val="none" w:sz="0" w:space="0" w:color="auto"/>
        <w:bottom w:val="none" w:sz="0" w:space="0" w:color="auto"/>
        <w:right w:val="none" w:sz="0" w:space="0" w:color="auto"/>
      </w:divBdr>
    </w:div>
    <w:div w:id="140272520">
      <w:bodyDiv w:val="1"/>
      <w:marLeft w:val="0"/>
      <w:marRight w:val="0"/>
      <w:marTop w:val="0"/>
      <w:marBottom w:val="0"/>
      <w:divBdr>
        <w:top w:val="none" w:sz="0" w:space="0" w:color="auto"/>
        <w:left w:val="none" w:sz="0" w:space="0" w:color="auto"/>
        <w:bottom w:val="none" w:sz="0" w:space="0" w:color="auto"/>
        <w:right w:val="none" w:sz="0" w:space="0" w:color="auto"/>
      </w:divBdr>
    </w:div>
    <w:div w:id="140388945">
      <w:bodyDiv w:val="1"/>
      <w:marLeft w:val="0"/>
      <w:marRight w:val="0"/>
      <w:marTop w:val="0"/>
      <w:marBottom w:val="0"/>
      <w:divBdr>
        <w:top w:val="none" w:sz="0" w:space="0" w:color="auto"/>
        <w:left w:val="none" w:sz="0" w:space="0" w:color="auto"/>
        <w:bottom w:val="none" w:sz="0" w:space="0" w:color="auto"/>
        <w:right w:val="none" w:sz="0" w:space="0" w:color="auto"/>
      </w:divBdr>
    </w:div>
    <w:div w:id="140466735">
      <w:bodyDiv w:val="1"/>
      <w:marLeft w:val="0"/>
      <w:marRight w:val="0"/>
      <w:marTop w:val="0"/>
      <w:marBottom w:val="0"/>
      <w:divBdr>
        <w:top w:val="none" w:sz="0" w:space="0" w:color="auto"/>
        <w:left w:val="none" w:sz="0" w:space="0" w:color="auto"/>
        <w:bottom w:val="none" w:sz="0" w:space="0" w:color="auto"/>
        <w:right w:val="none" w:sz="0" w:space="0" w:color="auto"/>
      </w:divBdr>
    </w:div>
    <w:div w:id="140509244">
      <w:bodyDiv w:val="1"/>
      <w:marLeft w:val="0"/>
      <w:marRight w:val="0"/>
      <w:marTop w:val="0"/>
      <w:marBottom w:val="0"/>
      <w:divBdr>
        <w:top w:val="none" w:sz="0" w:space="0" w:color="auto"/>
        <w:left w:val="none" w:sz="0" w:space="0" w:color="auto"/>
        <w:bottom w:val="none" w:sz="0" w:space="0" w:color="auto"/>
        <w:right w:val="none" w:sz="0" w:space="0" w:color="auto"/>
      </w:divBdr>
    </w:div>
    <w:div w:id="140582367">
      <w:bodyDiv w:val="1"/>
      <w:marLeft w:val="0"/>
      <w:marRight w:val="0"/>
      <w:marTop w:val="0"/>
      <w:marBottom w:val="0"/>
      <w:divBdr>
        <w:top w:val="none" w:sz="0" w:space="0" w:color="auto"/>
        <w:left w:val="none" w:sz="0" w:space="0" w:color="auto"/>
        <w:bottom w:val="none" w:sz="0" w:space="0" w:color="auto"/>
        <w:right w:val="none" w:sz="0" w:space="0" w:color="auto"/>
      </w:divBdr>
    </w:div>
    <w:div w:id="140586489">
      <w:bodyDiv w:val="1"/>
      <w:marLeft w:val="0"/>
      <w:marRight w:val="0"/>
      <w:marTop w:val="0"/>
      <w:marBottom w:val="0"/>
      <w:divBdr>
        <w:top w:val="none" w:sz="0" w:space="0" w:color="auto"/>
        <w:left w:val="none" w:sz="0" w:space="0" w:color="auto"/>
        <w:bottom w:val="none" w:sz="0" w:space="0" w:color="auto"/>
        <w:right w:val="none" w:sz="0" w:space="0" w:color="auto"/>
      </w:divBdr>
    </w:div>
    <w:div w:id="140587455">
      <w:bodyDiv w:val="1"/>
      <w:marLeft w:val="0"/>
      <w:marRight w:val="0"/>
      <w:marTop w:val="0"/>
      <w:marBottom w:val="0"/>
      <w:divBdr>
        <w:top w:val="none" w:sz="0" w:space="0" w:color="auto"/>
        <w:left w:val="none" w:sz="0" w:space="0" w:color="auto"/>
        <w:bottom w:val="none" w:sz="0" w:space="0" w:color="auto"/>
        <w:right w:val="none" w:sz="0" w:space="0" w:color="auto"/>
      </w:divBdr>
    </w:div>
    <w:div w:id="141045046">
      <w:bodyDiv w:val="1"/>
      <w:marLeft w:val="0"/>
      <w:marRight w:val="0"/>
      <w:marTop w:val="0"/>
      <w:marBottom w:val="0"/>
      <w:divBdr>
        <w:top w:val="none" w:sz="0" w:space="0" w:color="auto"/>
        <w:left w:val="none" w:sz="0" w:space="0" w:color="auto"/>
        <w:bottom w:val="none" w:sz="0" w:space="0" w:color="auto"/>
        <w:right w:val="none" w:sz="0" w:space="0" w:color="auto"/>
      </w:divBdr>
    </w:div>
    <w:div w:id="141045407">
      <w:bodyDiv w:val="1"/>
      <w:marLeft w:val="0"/>
      <w:marRight w:val="0"/>
      <w:marTop w:val="0"/>
      <w:marBottom w:val="0"/>
      <w:divBdr>
        <w:top w:val="none" w:sz="0" w:space="0" w:color="auto"/>
        <w:left w:val="none" w:sz="0" w:space="0" w:color="auto"/>
        <w:bottom w:val="none" w:sz="0" w:space="0" w:color="auto"/>
        <w:right w:val="none" w:sz="0" w:space="0" w:color="auto"/>
      </w:divBdr>
    </w:div>
    <w:div w:id="141045966">
      <w:bodyDiv w:val="1"/>
      <w:marLeft w:val="0"/>
      <w:marRight w:val="0"/>
      <w:marTop w:val="0"/>
      <w:marBottom w:val="0"/>
      <w:divBdr>
        <w:top w:val="none" w:sz="0" w:space="0" w:color="auto"/>
        <w:left w:val="none" w:sz="0" w:space="0" w:color="auto"/>
        <w:bottom w:val="none" w:sz="0" w:space="0" w:color="auto"/>
        <w:right w:val="none" w:sz="0" w:space="0" w:color="auto"/>
      </w:divBdr>
    </w:div>
    <w:div w:id="141049885">
      <w:bodyDiv w:val="1"/>
      <w:marLeft w:val="0"/>
      <w:marRight w:val="0"/>
      <w:marTop w:val="0"/>
      <w:marBottom w:val="0"/>
      <w:divBdr>
        <w:top w:val="none" w:sz="0" w:space="0" w:color="auto"/>
        <w:left w:val="none" w:sz="0" w:space="0" w:color="auto"/>
        <w:bottom w:val="none" w:sz="0" w:space="0" w:color="auto"/>
        <w:right w:val="none" w:sz="0" w:space="0" w:color="auto"/>
      </w:divBdr>
    </w:div>
    <w:div w:id="141120530">
      <w:bodyDiv w:val="1"/>
      <w:marLeft w:val="0"/>
      <w:marRight w:val="0"/>
      <w:marTop w:val="0"/>
      <w:marBottom w:val="0"/>
      <w:divBdr>
        <w:top w:val="none" w:sz="0" w:space="0" w:color="auto"/>
        <w:left w:val="none" w:sz="0" w:space="0" w:color="auto"/>
        <w:bottom w:val="none" w:sz="0" w:space="0" w:color="auto"/>
        <w:right w:val="none" w:sz="0" w:space="0" w:color="auto"/>
      </w:divBdr>
    </w:div>
    <w:div w:id="141124875">
      <w:bodyDiv w:val="1"/>
      <w:marLeft w:val="0"/>
      <w:marRight w:val="0"/>
      <w:marTop w:val="0"/>
      <w:marBottom w:val="0"/>
      <w:divBdr>
        <w:top w:val="none" w:sz="0" w:space="0" w:color="auto"/>
        <w:left w:val="none" w:sz="0" w:space="0" w:color="auto"/>
        <w:bottom w:val="none" w:sz="0" w:space="0" w:color="auto"/>
        <w:right w:val="none" w:sz="0" w:space="0" w:color="auto"/>
      </w:divBdr>
    </w:div>
    <w:div w:id="141242336">
      <w:bodyDiv w:val="1"/>
      <w:marLeft w:val="0"/>
      <w:marRight w:val="0"/>
      <w:marTop w:val="0"/>
      <w:marBottom w:val="0"/>
      <w:divBdr>
        <w:top w:val="none" w:sz="0" w:space="0" w:color="auto"/>
        <w:left w:val="none" w:sz="0" w:space="0" w:color="auto"/>
        <w:bottom w:val="none" w:sz="0" w:space="0" w:color="auto"/>
        <w:right w:val="none" w:sz="0" w:space="0" w:color="auto"/>
      </w:divBdr>
    </w:div>
    <w:div w:id="141242450">
      <w:bodyDiv w:val="1"/>
      <w:marLeft w:val="0"/>
      <w:marRight w:val="0"/>
      <w:marTop w:val="0"/>
      <w:marBottom w:val="0"/>
      <w:divBdr>
        <w:top w:val="none" w:sz="0" w:space="0" w:color="auto"/>
        <w:left w:val="none" w:sz="0" w:space="0" w:color="auto"/>
        <w:bottom w:val="none" w:sz="0" w:space="0" w:color="auto"/>
        <w:right w:val="none" w:sz="0" w:space="0" w:color="auto"/>
      </w:divBdr>
    </w:div>
    <w:div w:id="141310869">
      <w:bodyDiv w:val="1"/>
      <w:marLeft w:val="0"/>
      <w:marRight w:val="0"/>
      <w:marTop w:val="0"/>
      <w:marBottom w:val="0"/>
      <w:divBdr>
        <w:top w:val="none" w:sz="0" w:space="0" w:color="auto"/>
        <w:left w:val="none" w:sz="0" w:space="0" w:color="auto"/>
        <w:bottom w:val="none" w:sz="0" w:space="0" w:color="auto"/>
        <w:right w:val="none" w:sz="0" w:space="0" w:color="auto"/>
      </w:divBdr>
    </w:div>
    <w:div w:id="141387418">
      <w:bodyDiv w:val="1"/>
      <w:marLeft w:val="0"/>
      <w:marRight w:val="0"/>
      <w:marTop w:val="0"/>
      <w:marBottom w:val="0"/>
      <w:divBdr>
        <w:top w:val="none" w:sz="0" w:space="0" w:color="auto"/>
        <w:left w:val="none" w:sz="0" w:space="0" w:color="auto"/>
        <w:bottom w:val="none" w:sz="0" w:space="0" w:color="auto"/>
        <w:right w:val="none" w:sz="0" w:space="0" w:color="auto"/>
      </w:divBdr>
    </w:div>
    <w:div w:id="141429605">
      <w:bodyDiv w:val="1"/>
      <w:marLeft w:val="0"/>
      <w:marRight w:val="0"/>
      <w:marTop w:val="0"/>
      <w:marBottom w:val="0"/>
      <w:divBdr>
        <w:top w:val="none" w:sz="0" w:space="0" w:color="auto"/>
        <w:left w:val="none" w:sz="0" w:space="0" w:color="auto"/>
        <w:bottom w:val="none" w:sz="0" w:space="0" w:color="auto"/>
        <w:right w:val="none" w:sz="0" w:space="0" w:color="auto"/>
      </w:divBdr>
    </w:div>
    <w:div w:id="141510294">
      <w:bodyDiv w:val="1"/>
      <w:marLeft w:val="0"/>
      <w:marRight w:val="0"/>
      <w:marTop w:val="0"/>
      <w:marBottom w:val="0"/>
      <w:divBdr>
        <w:top w:val="none" w:sz="0" w:space="0" w:color="auto"/>
        <w:left w:val="none" w:sz="0" w:space="0" w:color="auto"/>
        <w:bottom w:val="none" w:sz="0" w:space="0" w:color="auto"/>
        <w:right w:val="none" w:sz="0" w:space="0" w:color="auto"/>
      </w:divBdr>
    </w:div>
    <w:div w:id="141510625">
      <w:bodyDiv w:val="1"/>
      <w:marLeft w:val="0"/>
      <w:marRight w:val="0"/>
      <w:marTop w:val="0"/>
      <w:marBottom w:val="0"/>
      <w:divBdr>
        <w:top w:val="none" w:sz="0" w:space="0" w:color="auto"/>
        <w:left w:val="none" w:sz="0" w:space="0" w:color="auto"/>
        <w:bottom w:val="none" w:sz="0" w:space="0" w:color="auto"/>
        <w:right w:val="none" w:sz="0" w:space="0" w:color="auto"/>
      </w:divBdr>
    </w:div>
    <w:div w:id="141626718">
      <w:bodyDiv w:val="1"/>
      <w:marLeft w:val="0"/>
      <w:marRight w:val="0"/>
      <w:marTop w:val="0"/>
      <w:marBottom w:val="0"/>
      <w:divBdr>
        <w:top w:val="none" w:sz="0" w:space="0" w:color="auto"/>
        <w:left w:val="none" w:sz="0" w:space="0" w:color="auto"/>
        <w:bottom w:val="none" w:sz="0" w:space="0" w:color="auto"/>
        <w:right w:val="none" w:sz="0" w:space="0" w:color="auto"/>
      </w:divBdr>
    </w:div>
    <w:div w:id="141655762">
      <w:bodyDiv w:val="1"/>
      <w:marLeft w:val="0"/>
      <w:marRight w:val="0"/>
      <w:marTop w:val="0"/>
      <w:marBottom w:val="0"/>
      <w:divBdr>
        <w:top w:val="none" w:sz="0" w:space="0" w:color="auto"/>
        <w:left w:val="none" w:sz="0" w:space="0" w:color="auto"/>
        <w:bottom w:val="none" w:sz="0" w:space="0" w:color="auto"/>
        <w:right w:val="none" w:sz="0" w:space="0" w:color="auto"/>
      </w:divBdr>
    </w:div>
    <w:div w:id="141703462">
      <w:bodyDiv w:val="1"/>
      <w:marLeft w:val="0"/>
      <w:marRight w:val="0"/>
      <w:marTop w:val="0"/>
      <w:marBottom w:val="0"/>
      <w:divBdr>
        <w:top w:val="none" w:sz="0" w:space="0" w:color="auto"/>
        <w:left w:val="none" w:sz="0" w:space="0" w:color="auto"/>
        <w:bottom w:val="none" w:sz="0" w:space="0" w:color="auto"/>
        <w:right w:val="none" w:sz="0" w:space="0" w:color="auto"/>
      </w:divBdr>
    </w:div>
    <w:div w:id="141772539">
      <w:bodyDiv w:val="1"/>
      <w:marLeft w:val="0"/>
      <w:marRight w:val="0"/>
      <w:marTop w:val="0"/>
      <w:marBottom w:val="0"/>
      <w:divBdr>
        <w:top w:val="none" w:sz="0" w:space="0" w:color="auto"/>
        <w:left w:val="none" w:sz="0" w:space="0" w:color="auto"/>
        <w:bottom w:val="none" w:sz="0" w:space="0" w:color="auto"/>
        <w:right w:val="none" w:sz="0" w:space="0" w:color="auto"/>
      </w:divBdr>
    </w:div>
    <w:div w:id="141777696">
      <w:bodyDiv w:val="1"/>
      <w:marLeft w:val="0"/>
      <w:marRight w:val="0"/>
      <w:marTop w:val="0"/>
      <w:marBottom w:val="0"/>
      <w:divBdr>
        <w:top w:val="none" w:sz="0" w:space="0" w:color="auto"/>
        <w:left w:val="none" w:sz="0" w:space="0" w:color="auto"/>
        <w:bottom w:val="none" w:sz="0" w:space="0" w:color="auto"/>
        <w:right w:val="none" w:sz="0" w:space="0" w:color="auto"/>
      </w:divBdr>
    </w:div>
    <w:div w:id="141894820">
      <w:bodyDiv w:val="1"/>
      <w:marLeft w:val="0"/>
      <w:marRight w:val="0"/>
      <w:marTop w:val="0"/>
      <w:marBottom w:val="0"/>
      <w:divBdr>
        <w:top w:val="none" w:sz="0" w:space="0" w:color="auto"/>
        <w:left w:val="none" w:sz="0" w:space="0" w:color="auto"/>
        <w:bottom w:val="none" w:sz="0" w:space="0" w:color="auto"/>
        <w:right w:val="none" w:sz="0" w:space="0" w:color="auto"/>
      </w:divBdr>
    </w:div>
    <w:div w:id="141964491">
      <w:bodyDiv w:val="1"/>
      <w:marLeft w:val="0"/>
      <w:marRight w:val="0"/>
      <w:marTop w:val="0"/>
      <w:marBottom w:val="0"/>
      <w:divBdr>
        <w:top w:val="none" w:sz="0" w:space="0" w:color="auto"/>
        <w:left w:val="none" w:sz="0" w:space="0" w:color="auto"/>
        <w:bottom w:val="none" w:sz="0" w:space="0" w:color="auto"/>
        <w:right w:val="none" w:sz="0" w:space="0" w:color="auto"/>
      </w:divBdr>
    </w:div>
    <w:div w:id="142046142">
      <w:bodyDiv w:val="1"/>
      <w:marLeft w:val="0"/>
      <w:marRight w:val="0"/>
      <w:marTop w:val="0"/>
      <w:marBottom w:val="0"/>
      <w:divBdr>
        <w:top w:val="none" w:sz="0" w:space="0" w:color="auto"/>
        <w:left w:val="none" w:sz="0" w:space="0" w:color="auto"/>
        <w:bottom w:val="none" w:sz="0" w:space="0" w:color="auto"/>
        <w:right w:val="none" w:sz="0" w:space="0" w:color="auto"/>
      </w:divBdr>
    </w:div>
    <w:div w:id="142084165">
      <w:bodyDiv w:val="1"/>
      <w:marLeft w:val="0"/>
      <w:marRight w:val="0"/>
      <w:marTop w:val="0"/>
      <w:marBottom w:val="0"/>
      <w:divBdr>
        <w:top w:val="none" w:sz="0" w:space="0" w:color="auto"/>
        <w:left w:val="none" w:sz="0" w:space="0" w:color="auto"/>
        <w:bottom w:val="none" w:sz="0" w:space="0" w:color="auto"/>
        <w:right w:val="none" w:sz="0" w:space="0" w:color="auto"/>
      </w:divBdr>
    </w:div>
    <w:div w:id="142086195">
      <w:bodyDiv w:val="1"/>
      <w:marLeft w:val="0"/>
      <w:marRight w:val="0"/>
      <w:marTop w:val="0"/>
      <w:marBottom w:val="0"/>
      <w:divBdr>
        <w:top w:val="none" w:sz="0" w:space="0" w:color="auto"/>
        <w:left w:val="none" w:sz="0" w:space="0" w:color="auto"/>
        <w:bottom w:val="none" w:sz="0" w:space="0" w:color="auto"/>
        <w:right w:val="none" w:sz="0" w:space="0" w:color="auto"/>
      </w:divBdr>
    </w:div>
    <w:div w:id="142090348">
      <w:bodyDiv w:val="1"/>
      <w:marLeft w:val="0"/>
      <w:marRight w:val="0"/>
      <w:marTop w:val="0"/>
      <w:marBottom w:val="0"/>
      <w:divBdr>
        <w:top w:val="none" w:sz="0" w:space="0" w:color="auto"/>
        <w:left w:val="none" w:sz="0" w:space="0" w:color="auto"/>
        <w:bottom w:val="none" w:sz="0" w:space="0" w:color="auto"/>
        <w:right w:val="none" w:sz="0" w:space="0" w:color="auto"/>
      </w:divBdr>
    </w:div>
    <w:div w:id="142285224">
      <w:bodyDiv w:val="1"/>
      <w:marLeft w:val="0"/>
      <w:marRight w:val="0"/>
      <w:marTop w:val="0"/>
      <w:marBottom w:val="0"/>
      <w:divBdr>
        <w:top w:val="none" w:sz="0" w:space="0" w:color="auto"/>
        <w:left w:val="none" w:sz="0" w:space="0" w:color="auto"/>
        <w:bottom w:val="none" w:sz="0" w:space="0" w:color="auto"/>
        <w:right w:val="none" w:sz="0" w:space="0" w:color="auto"/>
      </w:divBdr>
    </w:div>
    <w:div w:id="142427044">
      <w:bodyDiv w:val="1"/>
      <w:marLeft w:val="0"/>
      <w:marRight w:val="0"/>
      <w:marTop w:val="0"/>
      <w:marBottom w:val="0"/>
      <w:divBdr>
        <w:top w:val="none" w:sz="0" w:space="0" w:color="auto"/>
        <w:left w:val="none" w:sz="0" w:space="0" w:color="auto"/>
        <w:bottom w:val="none" w:sz="0" w:space="0" w:color="auto"/>
        <w:right w:val="none" w:sz="0" w:space="0" w:color="auto"/>
      </w:divBdr>
    </w:div>
    <w:div w:id="142434422">
      <w:bodyDiv w:val="1"/>
      <w:marLeft w:val="0"/>
      <w:marRight w:val="0"/>
      <w:marTop w:val="0"/>
      <w:marBottom w:val="0"/>
      <w:divBdr>
        <w:top w:val="none" w:sz="0" w:space="0" w:color="auto"/>
        <w:left w:val="none" w:sz="0" w:space="0" w:color="auto"/>
        <w:bottom w:val="none" w:sz="0" w:space="0" w:color="auto"/>
        <w:right w:val="none" w:sz="0" w:space="0" w:color="auto"/>
      </w:divBdr>
    </w:div>
    <w:div w:id="142501805">
      <w:bodyDiv w:val="1"/>
      <w:marLeft w:val="0"/>
      <w:marRight w:val="0"/>
      <w:marTop w:val="0"/>
      <w:marBottom w:val="0"/>
      <w:divBdr>
        <w:top w:val="none" w:sz="0" w:space="0" w:color="auto"/>
        <w:left w:val="none" w:sz="0" w:space="0" w:color="auto"/>
        <w:bottom w:val="none" w:sz="0" w:space="0" w:color="auto"/>
        <w:right w:val="none" w:sz="0" w:space="0" w:color="auto"/>
      </w:divBdr>
    </w:div>
    <w:div w:id="142506069">
      <w:bodyDiv w:val="1"/>
      <w:marLeft w:val="0"/>
      <w:marRight w:val="0"/>
      <w:marTop w:val="0"/>
      <w:marBottom w:val="0"/>
      <w:divBdr>
        <w:top w:val="none" w:sz="0" w:space="0" w:color="auto"/>
        <w:left w:val="none" w:sz="0" w:space="0" w:color="auto"/>
        <w:bottom w:val="none" w:sz="0" w:space="0" w:color="auto"/>
        <w:right w:val="none" w:sz="0" w:space="0" w:color="auto"/>
      </w:divBdr>
    </w:div>
    <w:div w:id="142507369">
      <w:bodyDiv w:val="1"/>
      <w:marLeft w:val="0"/>
      <w:marRight w:val="0"/>
      <w:marTop w:val="0"/>
      <w:marBottom w:val="0"/>
      <w:divBdr>
        <w:top w:val="none" w:sz="0" w:space="0" w:color="auto"/>
        <w:left w:val="none" w:sz="0" w:space="0" w:color="auto"/>
        <w:bottom w:val="none" w:sz="0" w:space="0" w:color="auto"/>
        <w:right w:val="none" w:sz="0" w:space="0" w:color="auto"/>
      </w:divBdr>
    </w:div>
    <w:div w:id="142820095">
      <w:bodyDiv w:val="1"/>
      <w:marLeft w:val="0"/>
      <w:marRight w:val="0"/>
      <w:marTop w:val="0"/>
      <w:marBottom w:val="0"/>
      <w:divBdr>
        <w:top w:val="none" w:sz="0" w:space="0" w:color="auto"/>
        <w:left w:val="none" w:sz="0" w:space="0" w:color="auto"/>
        <w:bottom w:val="none" w:sz="0" w:space="0" w:color="auto"/>
        <w:right w:val="none" w:sz="0" w:space="0" w:color="auto"/>
      </w:divBdr>
    </w:div>
    <w:div w:id="142894704">
      <w:bodyDiv w:val="1"/>
      <w:marLeft w:val="0"/>
      <w:marRight w:val="0"/>
      <w:marTop w:val="0"/>
      <w:marBottom w:val="0"/>
      <w:divBdr>
        <w:top w:val="none" w:sz="0" w:space="0" w:color="auto"/>
        <w:left w:val="none" w:sz="0" w:space="0" w:color="auto"/>
        <w:bottom w:val="none" w:sz="0" w:space="0" w:color="auto"/>
        <w:right w:val="none" w:sz="0" w:space="0" w:color="auto"/>
      </w:divBdr>
    </w:div>
    <w:div w:id="142896211">
      <w:bodyDiv w:val="1"/>
      <w:marLeft w:val="0"/>
      <w:marRight w:val="0"/>
      <w:marTop w:val="0"/>
      <w:marBottom w:val="0"/>
      <w:divBdr>
        <w:top w:val="none" w:sz="0" w:space="0" w:color="auto"/>
        <w:left w:val="none" w:sz="0" w:space="0" w:color="auto"/>
        <w:bottom w:val="none" w:sz="0" w:space="0" w:color="auto"/>
        <w:right w:val="none" w:sz="0" w:space="0" w:color="auto"/>
      </w:divBdr>
    </w:div>
    <w:div w:id="142966580">
      <w:bodyDiv w:val="1"/>
      <w:marLeft w:val="0"/>
      <w:marRight w:val="0"/>
      <w:marTop w:val="0"/>
      <w:marBottom w:val="0"/>
      <w:divBdr>
        <w:top w:val="none" w:sz="0" w:space="0" w:color="auto"/>
        <w:left w:val="none" w:sz="0" w:space="0" w:color="auto"/>
        <w:bottom w:val="none" w:sz="0" w:space="0" w:color="auto"/>
        <w:right w:val="none" w:sz="0" w:space="0" w:color="auto"/>
      </w:divBdr>
    </w:div>
    <w:div w:id="143131530">
      <w:bodyDiv w:val="1"/>
      <w:marLeft w:val="0"/>
      <w:marRight w:val="0"/>
      <w:marTop w:val="0"/>
      <w:marBottom w:val="0"/>
      <w:divBdr>
        <w:top w:val="none" w:sz="0" w:space="0" w:color="auto"/>
        <w:left w:val="none" w:sz="0" w:space="0" w:color="auto"/>
        <w:bottom w:val="none" w:sz="0" w:space="0" w:color="auto"/>
        <w:right w:val="none" w:sz="0" w:space="0" w:color="auto"/>
      </w:divBdr>
    </w:div>
    <w:div w:id="143161900">
      <w:bodyDiv w:val="1"/>
      <w:marLeft w:val="0"/>
      <w:marRight w:val="0"/>
      <w:marTop w:val="0"/>
      <w:marBottom w:val="0"/>
      <w:divBdr>
        <w:top w:val="none" w:sz="0" w:space="0" w:color="auto"/>
        <w:left w:val="none" w:sz="0" w:space="0" w:color="auto"/>
        <w:bottom w:val="none" w:sz="0" w:space="0" w:color="auto"/>
        <w:right w:val="none" w:sz="0" w:space="0" w:color="auto"/>
      </w:divBdr>
    </w:div>
    <w:div w:id="143476930">
      <w:bodyDiv w:val="1"/>
      <w:marLeft w:val="0"/>
      <w:marRight w:val="0"/>
      <w:marTop w:val="0"/>
      <w:marBottom w:val="0"/>
      <w:divBdr>
        <w:top w:val="none" w:sz="0" w:space="0" w:color="auto"/>
        <w:left w:val="none" w:sz="0" w:space="0" w:color="auto"/>
        <w:bottom w:val="none" w:sz="0" w:space="0" w:color="auto"/>
        <w:right w:val="none" w:sz="0" w:space="0" w:color="auto"/>
      </w:divBdr>
    </w:div>
    <w:div w:id="143546978">
      <w:bodyDiv w:val="1"/>
      <w:marLeft w:val="0"/>
      <w:marRight w:val="0"/>
      <w:marTop w:val="0"/>
      <w:marBottom w:val="0"/>
      <w:divBdr>
        <w:top w:val="none" w:sz="0" w:space="0" w:color="auto"/>
        <w:left w:val="none" w:sz="0" w:space="0" w:color="auto"/>
        <w:bottom w:val="none" w:sz="0" w:space="0" w:color="auto"/>
        <w:right w:val="none" w:sz="0" w:space="0" w:color="auto"/>
      </w:divBdr>
    </w:div>
    <w:div w:id="143548353">
      <w:bodyDiv w:val="1"/>
      <w:marLeft w:val="0"/>
      <w:marRight w:val="0"/>
      <w:marTop w:val="0"/>
      <w:marBottom w:val="0"/>
      <w:divBdr>
        <w:top w:val="none" w:sz="0" w:space="0" w:color="auto"/>
        <w:left w:val="none" w:sz="0" w:space="0" w:color="auto"/>
        <w:bottom w:val="none" w:sz="0" w:space="0" w:color="auto"/>
        <w:right w:val="none" w:sz="0" w:space="0" w:color="auto"/>
      </w:divBdr>
    </w:div>
    <w:div w:id="143737537">
      <w:bodyDiv w:val="1"/>
      <w:marLeft w:val="0"/>
      <w:marRight w:val="0"/>
      <w:marTop w:val="0"/>
      <w:marBottom w:val="0"/>
      <w:divBdr>
        <w:top w:val="none" w:sz="0" w:space="0" w:color="auto"/>
        <w:left w:val="none" w:sz="0" w:space="0" w:color="auto"/>
        <w:bottom w:val="none" w:sz="0" w:space="0" w:color="auto"/>
        <w:right w:val="none" w:sz="0" w:space="0" w:color="auto"/>
      </w:divBdr>
    </w:div>
    <w:div w:id="143860665">
      <w:bodyDiv w:val="1"/>
      <w:marLeft w:val="0"/>
      <w:marRight w:val="0"/>
      <w:marTop w:val="0"/>
      <w:marBottom w:val="0"/>
      <w:divBdr>
        <w:top w:val="none" w:sz="0" w:space="0" w:color="auto"/>
        <w:left w:val="none" w:sz="0" w:space="0" w:color="auto"/>
        <w:bottom w:val="none" w:sz="0" w:space="0" w:color="auto"/>
        <w:right w:val="none" w:sz="0" w:space="0" w:color="auto"/>
      </w:divBdr>
    </w:div>
    <w:div w:id="143861419">
      <w:bodyDiv w:val="1"/>
      <w:marLeft w:val="0"/>
      <w:marRight w:val="0"/>
      <w:marTop w:val="0"/>
      <w:marBottom w:val="0"/>
      <w:divBdr>
        <w:top w:val="none" w:sz="0" w:space="0" w:color="auto"/>
        <w:left w:val="none" w:sz="0" w:space="0" w:color="auto"/>
        <w:bottom w:val="none" w:sz="0" w:space="0" w:color="auto"/>
        <w:right w:val="none" w:sz="0" w:space="0" w:color="auto"/>
      </w:divBdr>
    </w:div>
    <w:div w:id="143936192">
      <w:bodyDiv w:val="1"/>
      <w:marLeft w:val="0"/>
      <w:marRight w:val="0"/>
      <w:marTop w:val="0"/>
      <w:marBottom w:val="0"/>
      <w:divBdr>
        <w:top w:val="none" w:sz="0" w:space="0" w:color="auto"/>
        <w:left w:val="none" w:sz="0" w:space="0" w:color="auto"/>
        <w:bottom w:val="none" w:sz="0" w:space="0" w:color="auto"/>
        <w:right w:val="none" w:sz="0" w:space="0" w:color="auto"/>
      </w:divBdr>
    </w:div>
    <w:div w:id="144050757">
      <w:bodyDiv w:val="1"/>
      <w:marLeft w:val="0"/>
      <w:marRight w:val="0"/>
      <w:marTop w:val="0"/>
      <w:marBottom w:val="0"/>
      <w:divBdr>
        <w:top w:val="none" w:sz="0" w:space="0" w:color="auto"/>
        <w:left w:val="none" w:sz="0" w:space="0" w:color="auto"/>
        <w:bottom w:val="none" w:sz="0" w:space="0" w:color="auto"/>
        <w:right w:val="none" w:sz="0" w:space="0" w:color="auto"/>
      </w:divBdr>
    </w:div>
    <w:div w:id="144320818">
      <w:bodyDiv w:val="1"/>
      <w:marLeft w:val="0"/>
      <w:marRight w:val="0"/>
      <w:marTop w:val="0"/>
      <w:marBottom w:val="0"/>
      <w:divBdr>
        <w:top w:val="none" w:sz="0" w:space="0" w:color="auto"/>
        <w:left w:val="none" w:sz="0" w:space="0" w:color="auto"/>
        <w:bottom w:val="none" w:sz="0" w:space="0" w:color="auto"/>
        <w:right w:val="none" w:sz="0" w:space="0" w:color="auto"/>
      </w:divBdr>
    </w:div>
    <w:div w:id="144396902">
      <w:bodyDiv w:val="1"/>
      <w:marLeft w:val="0"/>
      <w:marRight w:val="0"/>
      <w:marTop w:val="0"/>
      <w:marBottom w:val="0"/>
      <w:divBdr>
        <w:top w:val="none" w:sz="0" w:space="0" w:color="auto"/>
        <w:left w:val="none" w:sz="0" w:space="0" w:color="auto"/>
        <w:bottom w:val="none" w:sz="0" w:space="0" w:color="auto"/>
        <w:right w:val="none" w:sz="0" w:space="0" w:color="auto"/>
      </w:divBdr>
    </w:div>
    <w:div w:id="144400342">
      <w:bodyDiv w:val="1"/>
      <w:marLeft w:val="0"/>
      <w:marRight w:val="0"/>
      <w:marTop w:val="0"/>
      <w:marBottom w:val="0"/>
      <w:divBdr>
        <w:top w:val="none" w:sz="0" w:space="0" w:color="auto"/>
        <w:left w:val="none" w:sz="0" w:space="0" w:color="auto"/>
        <w:bottom w:val="none" w:sz="0" w:space="0" w:color="auto"/>
        <w:right w:val="none" w:sz="0" w:space="0" w:color="auto"/>
      </w:divBdr>
    </w:div>
    <w:div w:id="144587757">
      <w:bodyDiv w:val="1"/>
      <w:marLeft w:val="0"/>
      <w:marRight w:val="0"/>
      <w:marTop w:val="0"/>
      <w:marBottom w:val="0"/>
      <w:divBdr>
        <w:top w:val="none" w:sz="0" w:space="0" w:color="auto"/>
        <w:left w:val="none" w:sz="0" w:space="0" w:color="auto"/>
        <w:bottom w:val="none" w:sz="0" w:space="0" w:color="auto"/>
        <w:right w:val="none" w:sz="0" w:space="0" w:color="auto"/>
      </w:divBdr>
    </w:div>
    <w:div w:id="144662813">
      <w:bodyDiv w:val="1"/>
      <w:marLeft w:val="0"/>
      <w:marRight w:val="0"/>
      <w:marTop w:val="0"/>
      <w:marBottom w:val="0"/>
      <w:divBdr>
        <w:top w:val="none" w:sz="0" w:space="0" w:color="auto"/>
        <w:left w:val="none" w:sz="0" w:space="0" w:color="auto"/>
        <w:bottom w:val="none" w:sz="0" w:space="0" w:color="auto"/>
        <w:right w:val="none" w:sz="0" w:space="0" w:color="auto"/>
      </w:divBdr>
    </w:div>
    <w:div w:id="144706867">
      <w:bodyDiv w:val="1"/>
      <w:marLeft w:val="0"/>
      <w:marRight w:val="0"/>
      <w:marTop w:val="0"/>
      <w:marBottom w:val="0"/>
      <w:divBdr>
        <w:top w:val="none" w:sz="0" w:space="0" w:color="auto"/>
        <w:left w:val="none" w:sz="0" w:space="0" w:color="auto"/>
        <w:bottom w:val="none" w:sz="0" w:space="0" w:color="auto"/>
        <w:right w:val="none" w:sz="0" w:space="0" w:color="auto"/>
      </w:divBdr>
    </w:div>
    <w:div w:id="144900427">
      <w:bodyDiv w:val="1"/>
      <w:marLeft w:val="0"/>
      <w:marRight w:val="0"/>
      <w:marTop w:val="0"/>
      <w:marBottom w:val="0"/>
      <w:divBdr>
        <w:top w:val="none" w:sz="0" w:space="0" w:color="auto"/>
        <w:left w:val="none" w:sz="0" w:space="0" w:color="auto"/>
        <w:bottom w:val="none" w:sz="0" w:space="0" w:color="auto"/>
        <w:right w:val="none" w:sz="0" w:space="0" w:color="auto"/>
      </w:divBdr>
    </w:div>
    <w:div w:id="145099547">
      <w:bodyDiv w:val="1"/>
      <w:marLeft w:val="0"/>
      <w:marRight w:val="0"/>
      <w:marTop w:val="0"/>
      <w:marBottom w:val="0"/>
      <w:divBdr>
        <w:top w:val="none" w:sz="0" w:space="0" w:color="auto"/>
        <w:left w:val="none" w:sz="0" w:space="0" w:color="auto"/>
        <w:bottom w:val="none" w:sz="0" w:space="0" w:color="auto"/>
        <w:right w:val="none" w:sz="0" w:space="0" w:color="auto"/>
      </w:divBdr>
    </w:div>
    <w:div w:id="145242640">
      <w:bodyDiv w:val="1"/>
      <w:marLeft w:val="0"/>
      <w:marRight w:val="0"/>
      <w:marTop w:val="0"/>
      <w:marBottom w:val="0"/>
      <w:divBdr>
        <w:top w:val="none" w:sz="0" w:space="0" w:color="auto"/>
        <w:left w:val="none" w:sz="0" w:space="0" w:color="auto"/>
        <w:bottom w:val="none" w:sz="0" w:space="0" w:color="auto"/>
        <w:right w:val="none" w:sz="0" w:space="0" w:color="auto"/>
      </w:divBdr>
    </w:div>
    <w:div w:id="145320840">
      <w:bodyDiv w:val="1"/>
      <w:marLeft w:val="0"/>
      <w:marRight w:val="0"/>
      <w:marTop w:val="0"/>
      <w:marBottom w:val="0"/>
      <w:divBdr>
        <w:top w:val="none" w:sz="0" w:space="0" w:color="auto"/>
        <w:left w:val="none" w:sz="0" w:space="0" w:color="auto"/>
        <w:bottom w:val="none" w:sz="0" w:space="0" w:color="auto"/>
        <w:right w:val="none" w:sz="0" w:space="0" w:color="auto"/>
      </w:divBdr>
    </w:div>
    <w:div w:id="145367024">
      <w:bodyDiv w:val="1"/>
      <w:marLeft w:val="0"/>
      <w:marRight w:val="0"/>
      <w:marTop w:val="0"/>
      <w:marBottom w:val="0"/>
      <w:divBdr>
        <w:top w:val="none" w:sz="0" w:space="0" w:color="auto"/>
        <w:left w:val="none" w:sz="0" w:space="0" w:color="auto"/>
        <w:bottom w:val="none" w:sz="0" w:space="0" w:color="auto"/>
        <w:right w:val="none" w:sz="0" w:space="0" w:color="auto"/>
      </w:divBdr>
    </w:div>
    <w:div w:id="145441728">
      <w:bodyDiv w:val="1"/>
      <w:marLeft w:val="0"/>
      <w:marRight w:val="0"/>
      <w:marTop w:val="0"/>
      <w:marBottom w:val="0"/>
      <w:divBdr>
        <w:top w:val="none" w:sz="0" w:space="0" w:color="auto"/>
        <w:left w:val="none" w:sz="0" w:space="0" w:color="auto"/>
        <w:bottom w:val="none" w:sz="0" w:space="0" w:color="auto"/>
        <w:right w:val="none" w:sz="0" w:space="0" w:color="auto"/>
      </w:divBdr>
    </w:div>
    <w:div w:id="145515202">
      <w:bodyDiv w:val="1"/>
      <w:marLeft w:val="0"/>
      <w:marRight w:val="0"/>
      <w:marTop w:val="0"/>
      <w:marBottom w:val="0"/>
      <w:divBdr>
        <w:top w:val="none" w:sz="0" w:space="0" w:color="auto"/>
        <w:left w:val="none" w:sz="0" w:space="0" w:color="auto"/>
        <w:bottom w:val="none" w:sz="0" w:space="0" w:color="auto"/>
        <w:right w:val="none" w:sz="0" w:space="0" w:color="auto"/>
      </w:divBdr>
    </w:div>
    <w:div w:id="145585192">
      <w:bodyDiv w:val="1"/>
      <w:marLeft w:val="0"/>
      <w:marRight w:val="0"/>
      <w:marTop w:val="0"/>
      <w:marBottom w:val="0"/>
      <w:divBdr>
        <w:top w:val="none" w:sz="0" w:space="0" w:color="auto"/>
        <w:left w:val="none" w:sz="0" w:space="0" w:color="auto"/>
        <w:bottom w:val="none" w:sz="0" w:space="0" w:color="auto"/>
        <w:right w:val="none" w:sz="0" w:space="0" w:color="auto"/>
      </w:divBdr>
    </w:div>
    <w:div w:id="145628539">
      <w:bodyDiv w:val="1"/>
      <w:marLeft w:val="0"/>
      <w:marRight w:val="0"/>
      <w:marTop w:val="0"/>
      <w:marBottom w:val="0"/>
      <w:divBdr>
        <w:top w:val="none" w:sz="0" w:space="0" w:color="auto"/>
        <w:left w:val="none" w:sz="0" w:space="0" w:color="auto"/>
        <w:bottom w:val="none" w:sz="0" w:space="0" w:color="auto"/>
        <w:right w:val="none" w:sz="0" w:space="0" w:color="auto"/>
      </w:divBdr>
    </w:div>
    <w:div w:id="145632236">
      <w:bodyDiv w:val="1"/>
      <w:marLeft w:val="0"/>
      <w:marRight w:val="0"/>
      <w:marTop w:val="0"/>
      <w:marBottom w:val="0"/>
      <w:divBdr>
        <w:top w:val="none" w:sz="0" w:space="0" w:color="auto"/>
        <w:left w:val="none" w:sz="0" w:space="0" w:color="auto"/>
        <w:bottom w:val="none" w:sz="0" w:space="0" w:color="auto"/>
        <w:right w:val="none" w:sz="0" w:space="0" w:color="auto"/>
      </w:divBdr>
    </w:div>
    <w:div w:id="145632355">
      <w:bodyDiv w:val="1"/>
      <w:marLeft w:val="0"/>
      <w:marRight w:val="0"/>
      <w:marTop w:val="0"/>
      <w:marBottom w:val="0"/>
      <w:divBdr>
        <w:top w:val="none" w:sz="0" w:space="0" w:color="auto"/>
        <w:left w:val="none" w:sz="0" w:space="0" w:color="auto"/>
        <w:bottom w:val="none" w:sz="0" w:space="0" w:color="auto"/>
        <w:right w:val="none" w:sz="0" w:space="0" w:color="auto"/>
      </w:divBdr>
    </w:div>
    <w:div w:id="145706182">
      <w:bodyDiv w:val="1"/>
      <w:marLeft w:val="0"/>
      <w:marRight w:val="0"/>
      <w:marTop w:val="0"/>
      <w:marBottom w:val="0"/>
      <w:divBdr>
        <w:top w:val="none" w:sz="0" w:space="0" w:color="auto"/>
        <w:left w:val="none" w:sz="0" w:space="0" w:color="auto"/>
        <w:bottom w:val="none" w:sz="0" w:space="0" w:color="auto"/>
        <w:right w:val="none" w:sz="0" w:space="0" w:color="auto"/>
      </w:divBdr>
    </w:div>
    <w:div w:id="145822000">
      <w:bodyDiv w:val="1"/>
      <w:marLeft w:val="0"/>
      <w:marRight w:val="0"/>
      <w:marTop w:val="0"/>
      <w:marBottom w:val="0"/>
      <w:divBdr>
        <w:top w:val="none" w:sz="0" w:space="0" w:color="auto"/>
        <w:left w:val="none" w:sz="0" w:space="0" w:color="auto"/>
        <w:bottom w:val="none" w:sz="0" w:space="0" w:color="auto"/>
        <w:right w:val="none" w:sz="0" w:space="0" w:color="auto"/>
      </w:divBdr>
    </w:div>
    <w:div w:id="145896808">
      <w:bodyDiv w:val="1"/>
      <w:marLeft w:val="0"/>
      <w:marRight w:val="0"/>
      <w:marTop w:val="0"/>
      <w:marBottom w:val="0"/>
      <w:divBdr>
        <w:top w:val="none" w:sz="0" w:space="0" w:color="auto"/>
        <w:left w:val="none" w:sz="0" w:space="0" w:color="auto"/>
        <w:bottom w:val="none" w:sz="0" w:space="0" w:color="auto"/>
        <w:right w:val="none" w:sz="0" w:space="0" w:color="auto"/>
      </w:divBdr>
    </w:div>
    <w:div w:id="145977281">
      <w:bodyDiv w:val="1"/>
      <w:marLeft w:val="0"/>
      <w:marRight w:val="0"/>
      <w:marTop w:val="0"/>
      <w:marBottom w:val="0"/>
      <w:divBdr>
        <w:top w:val="none" w:sz="0" w:space="0" w:color="auto"/>
        <w:left w:val="none" w:sz="0" w:space="0" w:color="auto"/>
        <w:bottom w:val="none" w:sz="0" w:space="0" w:color="auto"/>
        <w:right w:val="none" w:sz="0" w:space="0" w:color="auto"/>
      </w:divBdr>
    </w:div>
    <w:div w:id="145980700">
      <w:bodyDiv w:val="1"/>
      <w:marLeft w:val="0"/>
      <w:marRight w:val="0"/>
      <w:marTop w:val="0"/>
      <w:marBottom w:val="0"/>
      <w:divBdr>
        <w:top w:val="none" w:sz="0" w:space="0" w:color="auto"/>
        <w:left w:val="none" w:sz="0" w:space="0" w:color="auto"/>
        <w:bottom w:val="none" w:sz="0" w:space="0" w:color="auto"/>
        <w:right w:val="none" w:sz="0" w:space="0" w:color="auto"/>
      </w:divBdr>
    </w:div>
    <w:div w:id="146017975">
      <w:bodyDiv w:val="1"/>
      <w:marLeft w:val="0"/>
      <w:marRight w:val="0"/>
      <w:marTop w:val="0"/>
      <w:marBottom w:val="0"/>
      <w:divBdr>
        <w:top w:val="none" w:sz="0" w:space="0" w:color="auto"/>
        <w:left w:val="none" w:sz="0" w:space="0" w:color="auto"/>
        <w:bottom w:val="none" w:sz="0" w:space="0" w:color="auto"/>
        <w:right w:val="none" w:sz="0" w:space="0" w:color="auto"/>
      </w:divBdr>
    </w:div>
    <w:div w:id="146285798">
      <w:bodyDiv w:val="1"/>
      <w:marLeft w:val="0"/>
      <w:marRight w:val="0"/>
      <w:marTop w:val="0"/>
      <w:marBottom w:val="0"/>
      <w:divBdr>
        <w:top w:val="none" w:sz="0" w:space="0" w:color="auto"/>
        <w:left w:val="none" w:sz="0" w:space="0" w:color="auto"/>
        <w:bottom w:val="none" w:sz="0" w:space="0" w:color="auto"/>
        <w:right w:val="none" w:sz="0" w:space="0" w:color="auto"/>
      </w:divBdr>
    </w:div>
    <w:div w:id="146436637">
      <w:bodyDiv w:val="1"/>
      <w:marLeft w:val="0"/>
      <w:marRight w:val="0"/>
      <w:marTop w:val="0"/>
      <w:marBottom w:val="0"/>
      <w:divBdr>
        <w:top w:val="none" w:sz="0" w:space="0" w:color="auto"/>
        <w:left w:val="none" w:sz="0" w:space="0" w:color="auto"/>
        <w:bottom w:val="none" w:sz="0" w:space="0" w:color="auto"/>
        <w:right w:val="none" w:sz="0" w:space="0" w:color="auto"/>
      </w:divBdr>
    </w:div>
    <w:div w:id="146485200">
      <w:bodyDiv w:val="1"/>
      <w:marLeft w:val="0"/>
      <w:marRight w:val="0"/>
      <w:marTop w:val="0"/>
      <w:marBottom w:val="0"/>
      <w:divBdr>
        <w:top w:val="none" w:sz="0" w:space="0" w:color="auto"/>
        <w:left w:val="none" w:sz="0" w:space="0" w:color="auto"/>
        <w:bottom w:val="none" w:sz="0" w:space="0" w:color="auto"/>
        <w:right w:val="none" w:sz="0" w:space="0" w:color="auto"/>
      </w:divBdr>
    </w:div>
    <w:div w:id="146559627">
      <w:bodyDiv w:val="1"/>
      <w:marLeft w:val="0"/>
      <w:marRight w:val="0"/>
      <w:marTop w:val="0"/>
      <w:marBottom w:val="0"/>
      <w:divBdr>
        <w:top w:val="none" w:sz="0" w:space="0" w:color="auto"/>
        <w:left w:val="none" w:sz="0" w:space="0" w:color="auto"/>
        <w:bottom w:val="none" w:sz="0" w:space="0" w:color="auto"/>
        <w:right w:val="none" w:sz="0" w:space="0" w:color="auto"/>
      </w:divBdr>
    </w:div>
    <w:div w:id="146829089">
      <w:bodyDiv w:val="1"/>
      <w:marLeft w:val="0"/>
      <w:marRight w:val="0"/>
      <w:marTop w:val="0"/>
      <w:marBottom w:val="0"/>
      <w:divBdr>
        <w:top w:val="none" w:sz="0" w:space="0" w:color="auto"/>
        <w:left w:val="none" w:sz="0" w:space="0" w:color="auto"/>
        <w:bottom w:val="none" w:sz="0" w:space="0" w:color="auto"/>
        <w:right w:val="none" w:sz="0" w:space="0" w:color="auto"/>
      </w:divBdr>
    </w:div>
    <w:div w:id="146897410">
      <w:bodyDiv w:val="1"/>
      <w:marLeft w:val="0"/>
      <w:marRight w:val="0"/>
      <w:marTop w:val="0"/>
      <w:marBottom w:val="0"/>
      <w:divBdr>
        <w:top w:val="none" w:sz="0" w:space="0" w:color="auto"/>
        <w:left w:val="none" w:sz="0" w:space="0" w:color="auto"/>
        <w:bottom w:val="none" w:sz="0" w:space="0" w:color="auto"/>
        <w:right w:val="none" w:sz="0" w:space="0" w:color="auto"/>
      </w:divBdr>
    </w:div>
    <w:div w:id="147014997">
      <w:bodyDiv w:val="1"/>
      <w:marLeft w:val="0"/>
      <w:marRight w:val="0"/>
      <w:marTop w:val="0"/>
      <w:marBottom w:val="0"/>
      <w:divBdr>
        <w:top w:val="none" w:sz="0" w:space="0" w:color="auto"/>
        <w:left w:val="none" w:sz="0" w:space="0" w:color="auto"/>
        <w:bottom w:val="none" w:sz="0" w:space="0" w:color="auto"/>
        <w:right w:val="none" w:sz="0" w:space="0" w:color="auto"/>
      </w:divBdr>
    </w:div>
    <w:div w:id="147206679">
      <w:bodyDiv w:val="1"/>
      <w:marLeft w:val="0"/>
      <w:marRight w:val="0"/>
      <w:marTop w:val="0"/>
      <w:marBottom w:val="0"/>
      <w:divBdr>
        <w:top w:val="none" w:sz="0" w:space="0" w:color="auto"/>
        <w:left w:val="none" w:sz="0" w:space="0" w:color="auto"/>
        <w:bottom w:val="none" w:sz="0" w:space="0" w:color="auto"/>
        <w:right w:val="none" w:sz="0" w:space="0" w:color="auto"/>
      </w:divBdr>
    </w:div>
    <w:div w:id="147214666">
      <w:bodyDiv w:val="1"/>
      <w:marLeft w:val="0"/>
      <w:marRight w:val="0"/>
      <w:marTop w:val="0"/>
      <w:marBottom w:val="0"/>
      <w:divBdr>
        <w:top w:val="none" w:sz="0" w:space="0" w:color="auto"/>
        <w:left w:val="none" w:sz="0" w:space="0" w:color="auto"/>
        <w:bottom w:val="none" w:sz="0" w:space="0" w:color="auto"/>
        <w:right w:val="none" w:sz="0" w:space="0" w:color="auto"/>
      </w:divBdr>
    </w:div>
    <w:div w:id="147332221">
      <w:bodyDiv w:val="1"/>
      <w:marLeft w:val="0"/>
      <w:marRight w:val="0"/>
      <w:marTop w:val="0"/>
      <w:marBottom w:val="0"/>
      <w:divBdr>
        <w:top w:val="none" w:sz="0" w:space="0" w:color="auto"/>
        <w:left w:val="none" w:sz="0" w:space="0" w:color="auto"/>
        <w:bottom w:val="none" w:sz="0" w:space="0" w:color="auto"/>
        <w:right w:val="none" w:sz="0" w:space="0" w:color="auto"/>
      </w:divBdr>
    </w:div>
    <w:div w:id="147333148">
      <w:bodyDiv w:val="1"/>
      <w:marLeft w:val="0"/>
      <w:marRight w:val="0"/>
      <w:marTop w:val="0"/>
      <w:marBottom w:val="0"/>
      <w:divBdr>
        <w:top w:val="none" w:sz="0" w:space="0" w:color="auto"/>
        <w:left w:val="none" w:sz="0" w:space="0" w:color="auto"/>
        <w:bottom w:val="none" w:sz="0" w:space="0" w:color="auto"/>
        <w:right w:val="none" w:sz="0" w:space="0" w:color="auto"/>
      </w:divBdr>
    </w:div>
    <w:div w:id="147333196">
      <w:bodyDiv w:val="1"/>
      <w:marLeft w:val="0"/>
      <w:marRight w:val="0"/>
      <w:marTop w:val="0"/>
      <w:marBottom w:val="0"/>
      <w:divBdr>
        <w:top w:val="none" w:sz="0" w:space="0" w:color="auto"/>
        <w:left w:val="none" w:sz="0" w:space="0" w:color="auto"/>
        <w:bottom w:val="none" w:sz="0" w:space="0" w:color="auto"/>
        <w:right w:val="none" w:sz="0" w:space="0" w:color="auto"/>
      </w:divBdr>
    </w:div>
    <w:div w:id="147749507">
      <w:bodyDiv w:val="1"/>
      <w:marLeft w:val="0"/>
      <w:marRight w:val="0"/>
      <w:marTop w:val="0"/>
      <w:marBottom w:val="0"/>
      <w:divBdr>
        <w:top w:val="none" w:sz="0" w:space="0" w:color="auto"/>
        <w:left w:val="none" w:sz="0" w:space="0" w:color="auto"/>
        <w:bottom w:val="none" w:sz="0" w:space="0" w:color="auto"/>
        <w:right w:val="none" w:sz="0" w:space="0" w:color="auto"/>
      </w:divBdr>
    </w:div>
    <w:div w:id="147940579">
      <w:bodyDiv w:val="1"/>
      <w:marLeft w:val="0"/>
      <w:marRight w:val="0"/>
      <w:marTop w:val="0"/>
      <w:marBottom w:val="0"/>
      <w:divBdr>
        <w:top w:val="none" w:sz="0" w:space="0" w:color="auto"/>
        <w:left w:val="none" w:sz="0" w:space="0" w:color="auto"/>
        <w:bottom w:val="none" w:sz="0" w:space="0" w:color="auto"/>
        <w:right w:val="none" w:sz="0" w:space="0" w:color="auto"/>
      </w:divBdr>
    </w:div>
    <w:div w:id="147986472">
      <w:bodyDiv w:val="1"/>
      <w:marLeft w:val="0"/>
      <w:marRight w:val="0"/>
      <w:marTop w:val="0"/>
      <w:marBottom w:val="0"/>
      <w:divBdr>
        <w:top w:val="none" w:sz="0" w:space="0" w:color="auto"/>
        <w:left w:val="none" w:sz="0" w:space="0" w:color="auto"/>
        <w:bottom w:val="none" w:sz="0" w:space="0" w:color="auto"/>
        <w:right w:val="none" w:sz="0" w:space="0" w:color="auto"/>
      </w:divBdr>
    </w:div>
    <w:div w:id="148059862">
      <w:bodyDiv w:val="1"/>
      <w:marLeft w:val="0"/>
      <w:marRight w:val="0"/>
      <w:marTop w:val="0"/>
      <w:marBottom w:val="0"/>
      <w:divBdr>
        <w:top w:val="none" w:sz="0" w:space="0" w:color="auto"/>
        <w:left w:val="none" w:sz="0" w:space="0" w:color="auto"/>
        <w:bottom w:val="none" w:sz="0" w:space="0" w:color="auto"/>
        <w:right w:val="none" w:sz="0" w:space="0" w:color="auto"/>
      </w:divBdr>
    </w:div>
    <w:div w:id="148062787">
      <w:bodyDiv w:val="1"/>
      <w:marLeft w:val="0"/>
      <w:marRight w:val="0"/>
      <w:marTop w:val="0"/>
      <w:marBottom w:val="0"/>
      <w:divBdr>
        <w:top w:val="none" w:sz="0" w:space="0" w:color="auto"/>
        <w:left w:val="none" w:sz="0" w:space="0" w:color="auto"/>
        <w:bottom w:val="none" w:sz="0" w:space="0" w:color="auto"/>
        <w:right w:val="none" w:sz="0" w:space="0" w:color="auto"/>
      </w:divBdr>
    </w:div>
    <w:div w:id="148134676">
      <w:bodyDiv w:val="1"/>
      <w:marLeft w:val="0"/>
      <w:marRight w:val="0"/>
      <w:marTop w:val="0"/>
      <w:marBottom w:val="0"/>
      <w:divBdr>
        <w:top w:val="none" w:sz="0" w:space="0" w:color="auto"/>
        <w:left w:val="none" w:sz="0" w:space="0" w:color="auto"/>
        <w:bottom w:val="none" w:sz="0" w:space="0" w:color="auto"/>
        <w:right w:val="none" w:sz="0" w:space="0" w:color="auto"/>
      </w:divBdr>
    </w:div>
    <w:div w:id="148135043">
      <w:bodyDiv w:val="1"/>
      <w:marLeft w:val="0"/>
      <w:marRight w:val="0"/>
      <w:marTop w:val="0"/>
      <w:marBottom w:val="0"/>
      <w:divBdr>
        <w:top w:val="none" w:sz="0" w:space="0" w:color="auto"/>
        <w:left w:val="none" w:sz="0" w:space="0" w:color="auto"/>
        <w:bottom w:val="none" w:sz="0" w:space="0" w:color="auto"/>
        <w:right w:val="none" w:sz="0" w:space="0" w:color="auto"/>
      </w:divBdr>
    </w:div>
    <w:div w:id="148207132">
      <w:bodyDiv w:val="1"/>
      <w:marLeft w:val="0"/>
      <w:marRight w:val="0"/>
      <w:marTop w:val="0"/>
      <w:marBottom w:val="0"/>
      <w:divBdr>
        <w:top w:val="none" w:sz="0" w:space="0" w:color="auto"/>
        <w:left w:val="none" w:sz="0" w:space="0" w:color="auto"/>
        <w:bottom w:val="none" w:sz="0" w:space="0" w:color="auto"/>
        <w:right w:val="none" w:sz="0" w:space="0" w:color="auto"/>
      </w:divBdr>
    </w:div>
    <w:div w:id="148402250">
      <w:bodyDiv w:val="1"/>
      <w:marLeft w:val="0"/>
      <w:marRight w:val="0"/>
      <w:marTop w:val="0"/>
      <w:marBottom w:val="0"/>
      <w:divBdr>
        <w:top w:val="none" w:sz="0" w:space="0" w:color="auto"/>
        <w:left w:val="none" w:sz="0" w:space="0" w:color="auto"/>
        <w:bottom w:val="none" w:sz="0" w:space="0" w:color="auto"/>
        <w:right w:val="none" w:sz="0" w:space="0" w:color="auto"/>
      </w:divBdr>
    </w:div>
    <w:div w:id="148449342">
      <w:bodyDiv w:val="1"/>
      <w:marLeft w:val="0"/>
      <w:marRight w:val="0"/>
      <w:marTop w:val="0"/>
      <w:marBottom w:val="0"/>
      <w:divBdr>
        <w:top w:val="none" w:sz="0" w:space="0" w:color="auto"/>
        <w:left w:val="none" w:sz="0" w:space="0" w:color="auto"/>
        <w:bottom w:val="none" w:sz="0" w:space="0" w:color="auto"/>
        <w:right w:val="none" w:sz="0" w:space="0" w:color="auto"/>
      </w:divBdr>
    </w:div>
    <w:div w:id="148597963">
      <w:bodyDiv w:val="1"/>
      <w:marLeft w:val="0"/>
      <w:marRight w:val="0"/>
      <w:marTop w:val="0"/>
      <w:marBottom w:val="0"/>
      <w:divBdr>
        <w:top w:val="none" w:sz="0" w:space="0" w:color="auto"/>
        <w:left w:val="none" w:sz="0" w:space="0" w:color="auto"/>
        <w:bottom w:val="none" w:sz="0" w:space="0" w:color="auto"/>
        <w:right w:val="none" w:sz="0" w:space="0" w:color="auto"/>
      </w:divBdr>
    </w:div>
    <w:div w:id="148643229">
      <w:bodyDiv w:val="1"/>
      <w:marLeft w:val="0"/>
      <w:marRight w:val="0"/>
      <w:marTop w:val="0"/>
      <w:marBottom w:val="0"/>
      <w:divBdr>
        <w:top w:val="none" w:sz="0" w:space="0" w:color="auto"/>
        <w:left w:val="none" w:sz="0" w:space="0" w:color="auto"/>
        <w:bottom w:val="none" w:sz="0" w:space="0" w:color="auto"/>
        <w:right w:val="none" w:sz="0" w:space="0" w:color="auto"/>
      </w:divBdr>
    </w:div>
    <w:div w:id="148789189">
      <w:bodyDiv w:val="1"/>
      <w:marLeft w:val="0"/>
      <w:marRight w:val="0"/>
      <w:marTop w:val="0"/>
      <w:marBottom w:val="0"/>
      <w:divBdr>
        <w:top w:val="none" w:sz="0" w:space="0" w:color="auto"/>
        <w:left w:val="none" w:sz="0" w:space="0" w:color="auto"/>
        <w:bottom w:val="none" w:sz="0" w:space="0" w:color="auto"/>
        <w:right w:val="none" w:sz="0" w:space="0" w:color="auto"/>
      </w:divBdr>
    </w:div>
    <w:div w:id="148904401">
      <w:bodyDiv w:val="1"/>
      <w:marLeft w:val="0"/>
      <w:marRight w:val="0"/>
      <w:marTop w:val="0"/>
      <w:marBottom w:val="0"/>
      <w:divBdr>
        <w:top w:val="none" w:sz="0" w:space="0" w:color="auto"/>
        <w:left w:val="none" w:sz="0" w:space="0" w:color="auto"/>
        <w:bottom w:val="none" w:sz="0" w:space="0" w:color="auto"/>
        <w:right w:val="none" w:sz="0" w:space="0" w:color="auto"/>
      </w:divBdr>
    </w:div>
    <w:div w:id="148984453">
      <w:bodyDiv w:val="1"/>
      <w:marLeft w:val="0"/>
      <w:marRight w:val="0"/>
      <w:marTop w:val="0"/>
      <w:marBottom w:val="0"/>
      <w:divBdr>
        <w:top w:val="none" w:sz="0" w:space="0" w:color="auto"/>
        <w:left w:val="none" w:sz="0" w:space="0" w:color="auto"/>
        <w:bottom w:val="none" w:sz="0" w:space="0" w:color="auto"/>
        <w:right w:val="none" w:sz="0" w:space="0" w:color="auto"/>
      </w:divBdr>
    </w:div>
    <w:div w:id="149054456">
      <w:bodyDiv w:val="1"/>
      <w:marLeft w:val="0"/>
      <w:marRight w:val="0"/>
      <w:marTop w:val="0"/>
      <w:marBottom w:val="0"/>
      <w:divBdr>
        <w:top w:val="none" w:sz="0" w:space="0" w:color="auto"/>
        <w:left w:val="none" w:sz="0" w:space="0" w:color="auto"/>
        <w:bottom w:val="none" w:sz="0" w:space="0" w:color="auto"/>
        <w:right w:val="none" w:sz="0" w:space="0" w:color="auto"/>
      </w:divBdr>
    </w:div>
    <w:div w:id="149099222">
      <w:bodyDiv w:val="1"/>
      <w:marLeft w:val="0"/>
      <w:marRight w:val="0"/>
      <w:marTop w:val="0"/>
      <w:marBottom w:val="0"/>
      <w:divBdr>
        <w:top w:val="none" w:sz="0" w:space="0" w:color="auto"/>
        <w:left w:val="none" w:sz="0" w:space="0" w:color="auto"/>
        <w:bottom w:val="none" w:sz="0" w:space="0" w:color="auto"/>
        <w:right w:val="none" w:sz="0" w:space="0" w:color="auto"/>
      </w:divBdr>
    </w:div>
    <w:div w:id="149101986">
      <w:bodyDiv w:val="1"/>
      <w:marLeft w:val="0"/>
      <w:marRight w:val="0"/>
      <w:marTop w:val="0"/>
      <w:marBottom w:val="0"/>
      <w:divBdr>
        <w:top w:val="none" w:sz="0" w:space="0" w:color="auto"/>
        <w:left w:val="none" w:sz="0" w:space="0" w:color="auto"/>
        <w:bottom w:val="none" w:sz="0" w:space="0" w:color="auto"/>
        <w:right w:val="none" w:sz="0" w:space="0" w:color="auto"/>
      </w:divBdr>
    </w:div>
    <w:div w:id="149106576">
      <w:bodyDiv w:val="1"/>
      <w:marLeft w:val="0"/>
      <w:marRight w:val="0"/>
      <w:marTop w:val="0"/>
      <w:marBottom w:val="0"/>
      <w:divBdr>
        <w:top w:val="none" w:sz="0" w:space="0" w:color="auto"/>
        <w:left w:val="none" w:sz="0" w:space="0" w:color="auto"/>
        <w:bottom w:val="none" w:sz="0" w:space="0" w:color="auto"/>
        <w:right w:val="none" w:sz="0" w:space="0" w:color="auto"/>
      </w:divBdr>
    </w:div>
    <w:div w:id="149175195">
      <w:bodyDiv w:val="1"/>
      <w:marLeft w:val="0"/>
      <w:marRight w:val="0"/>
      <w:marTop w:val="0"/>
      <w:marBottom w:val="0"/>
      <w:divBdr>
        <w:top w:val="none" w:sz="0" w:space="0" w:color="auto"/>
        <w:left w:val="none" w:sz="0" w:space="0" w:color="auto"/>
        <w:bottom w:val="none" w:sz="0" w:space="0" w:color="auto"/>
        <w:right w:val="none" w:sz="0" w:space="0" w:color="auto"/>
      </w:divBdr>
    </w:div>
    <w:div w:id="149179383">
      <w:bodyDiv w:val="1"/>
      <w:marLeft w:val="0"/>
      <w:marRight w:val="0"/>
      <w:marTop w:val="0"/>
      <w:marBottom w:val="0"/>
      <w:divBdr>
        <w:top w:val="none" w:sz="0" w:space="0" w:color="auto"/>
        <w:left w:val="none" w:sz="0" w:space="0" w:color="auto"/>
        <w:bottom w:val="none" w:sz="0" w:space="0" w:color="auto"/>
        <w:right w:val="none" w:sz="0" w:space="0" w:color="auto"/>
      </w:divBdr>
    </w:div>
    <w:div w:id="149715131">
      <w:bodyDiv w:val="1"/>
      <w:marLeft w:val="0"/>
      <w:marRight w:val="0"/>
      <w:marTop w:val="0"/>
      <w:marBottom w:val="0"/>
      <w:divBdr>
        <w:top w:val="none" w:sz="0" w:space="0" w:color="auto"/>
        <w:left w:val="none" w:sz="0" w:space="0" w:color="auto"/>
        <w:bottom w:val="none" w:sz="0" w:space="0" w:color="auto"/>
        <w:right w:val="none" w:sz="0" w:space="0" w:color="auto"/>
      </w:divBdr>
    </w:div>
    <w:div w:id="149756139">
      <w:bodyDiv w:val="1"/>
      <w:marLeft w:val="0"/>
      <w:marRight w:val="0"/>
      <w:marTop w:val="0"/>
      <w:marBottom w:val="0"/>
      <w:divBdr>
        <w:top w:val="none" w:sz="0" w:space="0" w:color="auto"/>
        <w:left w:val="none" w:sz="0" w:space="0" w:color="auto"/>
        <w:bottom w:val="none" w:sz="0" w:space="0" w:color="auto"/>
        <w:right w:val="none" w:sz="0" w:space="0" w:color="auto"/>
      </w:divBdr>
    </w:div>
    <w:div w:id="149761106">
      <w:bodyDiv w:val="1"/>
      <w:marLeft w:val="0"/>
      <w:marRight w:val="0"/>
      <w:marTop w:val="0"/>
      <w:marBottom w:val="0"/>
      <w:divBdr>
        <w:top w:val="none" w:sz="0" w:space="0" w:color="auto"/>
        <w:left w:val="none" w:sz="0" w:space="0" w:color="auto"/>
        <w:bottom w:val="none" w:sz="0" w:space="0" w:color="auto"/>
        <w:right w:val="none" w:sz="0" w:space="0" w:color="auto"/>
      </w:divBdr>
    </w:div>
    <w:div w:id="149907941">
      <w:bodyDiv w:val="1"/>
      <w:marLeft w:val="0"/>
      <w:marRight w:val="0"/>
      <w:marTop w:val="0"/>
      <w:marBottom w:val="0"/>
      <w:divBdr>
        <w:top w:val="none" w:sz="0" w:space="0" w:color="auto"/>
        <w:left w:val="none" w:sz="0" w:space="0" w:color="auto"/>
        <w:bottom w:val="none" w:sz="0" w:space="0" w:color="auto"/>
        <w:right w:val="none" w:sz="0" w:space="0" w:color="auto"/>
      </w:divBdr>
    </w:div>
    <w:div w:id="150105926">
      <w:bodyDiv w:val="1"/>
      <w:marLeft w:val="0"/>
      <w:marRight w:val="0"/>
      <w:marTop w:val="0"/>
      <w:marBottom w:val="0"/>
      <w:divBdr>
        <w:top w:val="none" w:sz="0" w:space="0" w:color="auto"/>
        <w:left w:val="none" w:sz="0" w:space="0" w:color="auto"/>
        <w:bottom w:val="none" w:sz="0" w:space="0" w:color="auto"/>
        <w:right w:val="none" w:sz="0" w:space="0" w:color="auto"/>
      </w:divBdr>
    </w:div>
    <w:div w:id="150144523">
      <w:bodyDiv w:val="1"/>
      <w:marLeft w:val="0"/>
      <w:marRight w:val="0"/>
      <w:marTop w:val="0"/>
      <w:marBottom w:val="0"/>
      <w:divBdr>
        <w:top w:val="none" w:sz="0" w:space="0" w:color="auto"/>
        <w:left w:val="none" w:sz="0" w:space="0" w:color="auto"/>
        <w:bottom w:val="none" w:sz="0" w:space="0" w:color="auto"/>
        <w:right w:val="none" w:sz="0" w:space="0" w:color="auto"/>
      </w:divBdr>
    </w:div>
    <w:div w:id="150295272">
      <w:bodyDiv w:val="1"/>
      <w:marLeft w:val="0"/>
      <w:marRight w:val="0"/>
      <w:marTop w:val="0"/>
      <w:marBottom w:val="0"/>
      <w:divBdr>
        <w:top w:val="none" w:sz="0" w:space="0" w:color="auto"/>
        <w:left w:val="none" w:sz="0" w:space="0" w:color="auto"/>
        <w:bottom w:val="none" w:sz="0" w:space="0" w:color="auto"/>
        <w:right w:val="none" w:sz="0" w:space="0" w:color="auto"/>
      </w:divBdr>
    </w:div>
    <w:div w:id="150410886">
      <w:bodyDiv w:val="1"/>
      <w:marLeft w:val="0"/>
      <w:marRight w:val="0"/>
      <w:marTop w:val="0"/>
      <w:marBottom w:val="0"/>
      <w:divBdr>
        <w:top w:val="none" w:sz="0" w:space="0" w:color="auto"/>
        <w:left w:val="none" w:sz="0" w:space="0" w:color="auto"/>
        <w:bottom w:val="none" w:sz="0" w:space="0" w:color="auto"/>
        <w:right w:val="none" w:sz="0" w:space="0" w:color="auto"/>
      </w:divBdr>
    </w:div>
    <w:div w:id="150486446">
      <w:bodyDiv w:val="1"/>
      <w:marLeft w:val="0"/>
      <w:marRight w:val="0"/>
      <w:marTop w:val="0"/>
      <w:marBottom w:val="0"/>
      <w:divBdr>
        <w:top w:val="none" w:sz="0" w:space="0" w:color="auto"/>
        <w:left w:val="none" w:sz="0" w:space="0" w:color="auto"/>
        <w:bottom w:val="none" w:sz="0" w:space="0" w:color="auto"/>
        <w:right w:val="none" w:sz="0" w:space="0" w:color="auto"/>
      </w:divBdr>
    </w:div>
    <w:div w:id="150564377">
      <w:bodyDiv w:val="1"/>
      <w:marLeft w:val="0"/>
      <w:marRight w:val="0"/>
      <w:marTop w:val="0"/>
      <w:marBottom w:val="0"/>
      <w:divBdr>
        <w:top w:val="none" w:sz="0" w:space="0" w:color="auto"/>
        <w:left w:val="none" w:sz="0" w:space="0" w:color="auto"/>
        <w:bottom w:val="none" w:sz="0" w:space="0" w:color="auto"/>
        <w:right w:val="none" w:sz="0" w:space="0" w:color="auto"/>
      </w:divBdr>
    </w:div>
    <w:div w:id="150682509">
      <w:bodyDiv w:val="1"/>
      <w:marLeft w:val="0"/>
      <w:marRight w:val="0"/>
      <w:marTop w:val="0"/>
      <w:marBottom w:val="0"/>
      <w:divBdr>
        <w:top w:val="none" w:sz="0" w:space="0" w:color="auto"/>
        <w:left w:val="none" w:sz="0" w:space="0" w:color="auto"/>
        <w:bottom w:val="none" w:sz="0" w:space="0" w:color="auto"/>
        <w:right w:val="none" w:sz="0" w:space="0" w:color="auto"/>
      </w:divBdr>
    </w:div>
    <w:div w:id="150757375">
      <w:bodyDiv w:val="1"/>
      <w:marLeft w:val="0"/>
      <w:marRight w:val="0"/>
      <w:marTop w:val="0"/>
      <w:marBottom w:val="0"/>
      <w:divBdr>
        <w:top w:val="none" w:sz="0" w:space="0" w:color="auto"/>
        <w:left w:val="none" w:sz="0" w:space="0" w:color="auto"/>
        <w:bottom w:val="none" w:sz="0" w:space="0" w:color="auto"/>
        <w:right w:val="none" w:sz="0" w:space="0" w:color="auto"/>
      </w:divBdr>
    </w:div>
    <w:div w:id="150759112">
      <w:bodyDiv w:val="1"/>
      <w:marLeft w:val="0"/>
      <w:marRight w:val="0"/>
      <w:marTop w:val="0"/>
      <w:marBottom w:val="0"/>
      <w:divBdr>
        <w:top w:val="none" w:sz="0" w:space="0" w:color="auto"/>
        <w:left w:val="none" w:sz="0" w:space="0" w:color="auto"/>
        <w:bottom w:val="none" w:sz="0" w:space="0" w:color="auto"/>
        <w:right w:val="none" w:sz="0" w:space="0" w:color="auto"/>
      </w:divBdr>
    </w:div>
    <w:div w:id="150801128">
      <w:bodyDiv w:val="1"/>
      <w:marLeft w:val="0"/>
      <w:marRight w:val="0"/>
      <w:marTop w:val="0"/>
      <w:marBottom w:val="0"/>
      <w:divBdr>
        <w:top w:val="none" w:sz="0" w:space="0" w:color="auto"/>
        <w:left w:val="none" w:sz="0" w:space="0" w:color="auto"/>
        <w:bottom w:val="none" w:sz="0" w:space="0" w:color="auto"/>
        <w:right w:val="none" w:sz="0" w:space="0" w:color="auto"/>
      </w:divBdr>
    </w:div>
    <w:div w:id="150950680">
      <w:bodyDiv w:val="1"/>
      <w:marLeft w:val="0"/>
      <w:marRight w:val="0"/>
      <w:marTop w:val="0"/>
      <w:marBottom w:val="0"/>
      <w:divBdr>
        <w:top w:val="none" w:sz="0" w:space="0" w:color="auto"/>
        <w:left w:val="none" w:sz="0" w:space="0" w:color="auto"/>
        <w:bottom w:val="none" w:sz="0" w:space="0" w:color="auto"/>
        <w:right w:val="none" w:sz="0" w:space="0" w:color="auto"/>
      </w:divBdr>
    </w:div>
    <w:div w:id="151026259">
      <w:bodyDiv w:val="1"/>
      <w:marLeft w:val="0"/>
      <w:marRight w:val="0"/>
      <w:marTop w:val="0"/>
      <w:marBottom w:val="0"/>
      <w:divBdr>
        <w:top w:val="none" w:sz="0" w:space="0" w:color="auto"/>
        <w:left w:val="none" w:sz="0" w:space="0" w:color="auto"/>
        <w:bottom w:val="none" w:sz="0" w:space="0" w:color="auto"/>
        <w:right w:val="none" w:sz="0" w:space="0" w:color="auto"/>
      </w:divBdr>
    </w:div>
    <w:div w:id="151062950">
      <w:bodyDiv w:val="1"/>
      <w:marLeft w:val="0"/>
      <w:marRight w:val="0"/>
      <w:marTop w:val="0"/>
      <w:marBottom w:val="0"/>
      <w:divBdr>
        <w:top w:val="none" w:sz="0" w:space="0" w:color="auto"/>
        <w:left w:val="none" w:sz="0" w:space="0" w:color="auto"/>
        <w:bottom w:val="none" w:sz="0" w:space="0" w:color="auto"/>
        <w:right w:val="none" w:sz="0" w:space="0" w:color="auto"/>
      </w:divBdr>
    </w:div>
    <w:div w:id="151065198">
      <w:bodyDiv w:val="1"/>
      <w:marLeft w:val="0"/>
      <w:marRight w:val="0"/>
      <w:marTop w:val="0"/>
      <w:marBottom w:val="0"/>
      <w:divBdr>
        <w:top w:val="none" w:sz="0" w:space="0" w:color="auto"/>
        <w:left w:val="none" w:sz="0" w:space="0" w:color="auto"/>
        <w:bottom w:val="none" w:sz="0" w:space="0" w:color="auto"/>
        <w:right w:val="none" w:sz="0" w:space="0" w:color="auto"/>
      </w:divBdr>
    </w:div>
    <w:div w:id="151069683">
      <w:bodyDiv w:val="1"/>
      <w:marLeft w:val="0"/>
      <w:marRight w:val="0"/>
      <w:marTop w:val="0"/>
      <w:marBottom w:val="0"/>
      <w:divBdr>
        <w:top w:val="none" w:sz="0" w:space="0" w:color="auto"/>
        <w:left w:val="none" w:sz="0" w:space="0" w:color="auto"/>
        <w:bottom w:val="none" w:sz="0" w:space="0" w:color="auto"/>
        <w:right w:val="none" w:sz="0" w:space="0" w:color="auto"/>
      </w:divBdr>
    </w:div>
    <w:div w:id="151143039">
      <w:bodyDiv w:val="1"/>
      <w:marLeft w:val="0"/>
      <w:marRight w:val="0"/>
      <w:marTop w:val="0"/>
      <w:marBottom w:val="0"/>
      <w:divBdr>
        <w:top w:val="none" w:sz="0" w:space="0" w:color="auto"/>
        <w:left w:val="none" w:sz="0" w:space="0" w:color="auto"/>
        <w:bottom w:val="none" w:sz="0" w:space="0" w:color="auto"/>
        <w:right w:val="none" w:sz="0" w:space="0" w:color="auto"/>
      </w:divBdr>
    </w:div>
    <w:div w:id="151217370">
      <w:bodyDiv w:val="1"/>
      <w:marLeft w:val="0"/>
      <w:marRight w:val="0"/>
      <w:marTop w:val="0"/>
      <w:marBottom w:val="0"/>
      <w:divBdr>
        <w:top w:val="none" w:sz="0" w:space="0" w:color="auto"/>
        <w:left w:val="none" w:sz="0" w:space="0" w:color="auto"/>
        <w:bottom w:val="none" w:sz="0" w:space="0" w:color="auto"/>
        <w:right w:val="none" w:sz="0" w:space="0" w:color="auto"/>
      </w:divBdr>
    </w:div>
    <w:div w:id="151681832">
      <w:bodyDiv w:val="1"/>
      <w:marLeft w:val="0"/>
      <w:marRight w:val="0"/>
      <w:marTop w:val="0"/>
      <w:marBottom w:val="0"/>
      <w:divBdr>
        <w:top w:val="none" w:sz="0" w:space="0" w:color="auto"/>
        <w:left w:val="none" w:sz="0" w:space="0" w:color="auto"/>
        <w:bottom w:val="none" w:sz="0" w:space="0" w:color="auto"/>
        <w:right w:val="none" w:sz="0" w:space="0" w:color="auto"/>
      </w:divBdr>
    </w:div>
    <w:div w:id="151722225">
      <w:bodyDiv w:val="1"/>
      <w:marLeft w:val="0"/>
      <w:marRight w:val="0"/>
      <w:marTop w:val="0"/>
      <w:marBottom w:val="0"/>
      <w:divBdr>
        <w:top w:val="none" w:sz="0" w:space="0" w:color="auto"/>
        <w:left w:val="none" w:sz="0" w:space="0" w:color="auto"/>
        <w:bottom w:val="none" w:sz="0" w:space="0" w:color="auto"/>
        <w:right w:val="none" w:sz="0" w:space="0" w:color="auto"/>
      </w:divBdr>
    </w:div>
    <w:div w:id="151802860">
      <w:bodyDiv w:val="1"/>
      <w:marLeft w:val="0"/>
      <w:marRight w:val="0"/>
      <w:marTop w:val="0"/>
      <w:marBottom w:val="0"/>
      <w:divBdr>
        <w:top w:val="none" w:sz="0" w:space="0" w:color="auto"/>
        <w:left w:val="none" w:sz="0" w:space="0" w:color="auto"/>
        <w:bottom w:val="none" w:sz="0" w:space="0" w:color="auto"/>
        <w:right w:val="none" w:sz="0" w:space="0" w:color="auto"/>
      </w:divBdr>
    </w:div>
    <w:div w:id="151877167">
      <w:bodyDiv w:val="1"/>
      <w:marLeft w:val="0"/>
      <w:marRight w:val="0"/>
      <w:marTop w:val="0"/>
      <w:marBottom w:val="0"/>
      <w:divBdr>
        <w:top w:val="none" w:sz="0" w:space="0" w:color="auto"/>
        <w:left w:val="none" w:sz="0" w:space="0" w:color="auto"/>
        <w:bottom w:val="none" w:sz="0" w:space="0" w:color="auto"/>
        <w:right w:val="none" w:sz="0" w:space="0" w:color="auto"/>
      </w:divBdr>
    </w:div>
    <w:div w:id="151877712">
      <w:bodyDiv w:val="1"/>
      <w:marLeft w:val="0"/>
      <w:marRight w:val="0"/>
      <w:marTop w:val="0"/>
      <w:marBottom w:val="0"/>
      <w:divBdr>
        <w:top w:val="none" w:sz="0" w:space="0" w:color="auto"/>
        <w:left w:val="none" w:sz="0" w:space="0" w:color="auto"/>
        <w:bottom w:val="none" w:sz="0" w:space="0" w:color="auto"/>
        <w:right w:val="none" w:sz="0" w:space="0" w:color="auto"/>
      </w:divBdr>
    </w:div>
    <w:div w:id="151988614">
      <w:bodyDiv w:val="1"/>
      <w:marLeft w:val="0"/>
      <w:marRight w:val="0"/>
      <w:marTop w:val="0"/>
      <w:marBottom w:val="0"/>
      <w:divBdr>
        <w:top w:val="none" w:sz="0" w:space="0" w:color="auto"/>
        <w:left w:val="none" w:sz="0" w:space="0" w:color="auto"/>
        <w:bottom w:val="none" w:sz="0" w:space="0" w:color="auto"/>
        <w:right w:val="none" w:sz="0" w:space="0" w:color="auto"/>
      </w:divBdr>
    </w:div>
    <w:div w:id="151996429">
      <w:bodyDiv w:val="1"/>
      <w:marLeft w:val="0"/>
      <w:marRight w:val="0"/>
      <w:marTop w:val="0"/>
      <w:marBottom w:val="0"/>
      <w:divBdr>
        <w:top w:val="none" w:sz="0" w:space="0" w:color="auto"/>
        <w:left w:val="none" w:sz="0" w:space="0" w:color="auto"/>
        <w:bottom w:val="none" w:sz="0" w:space="0" w:color="auto"/>
        <w:right w:val="none" w:sz="0" w:space="0" w:color="auto"/>
      </w:divBdr>
    </w:div>
    <w:div w:id="152065511">
      <w:bodyDiv w:val="1"/>
      <w:marLeft w:val="0"/>
      <w:marRight w:val="0"/>
      <w:marTop w:val="0"/>
      <w:marBottom w:val="0"/>
      <w:divBdr>
        <w:top w:val="none" w:sz="0" w:space="0" w:color="auto"/>
        <w:left w:val="none" w:sz="0" w:space="0" w:color="auto"/>
        <w:bottom w:val="none" w:sz="0" w:space="0" w:color="auto"/>
        <w:right w:val="none" w:sz="0" w:space="0" w:color="auto"/>
      </w:divBdr>
    </w:div>
    <w:div w:id="152141476">
      <w:bodyDiv w:val="1"/>
      <w:marLeft w:val="0"/>
      <w:marRight w:val="0"/>
      <w:marTop w:val="0"/>
      <w:marBottom w:val="0"/>
      <w:divBdr>
        <w:top w:val="none" w:sz="0" w:space="0" w:color="auto"/>
        <w:left w:val="none" w:sz="0" w:space="0" w:color="auto"/>
        <w:bottom w:val="none" w:sz="0" w:space="0" w:color="auto"/>
        <w:right w:val="none" w:sz="0" w:space="0" w:color="auto"/>
      </w:divBdr>
    </w:div>
    <w:div w:id="152260133">
      <w:bodyDiv w:val="1"/>
      <w:marLeft w:val="0"/>
      <w:marRight w:val="0"/>
      <w:marTop w:val="0"/>
      <w:marBottom w:val="0"/>
      <w:divBdr>
        <w:top w:val="none" w:sz="0" w:space="0" w:color="auto"/>
        <w:left w:val="none" w:sz="0" w:space="0" w:color="auto"/>
        <w:bottom w:val="none" w:sz="0" w:space="0" w:color="auto"/>
        <w:right w:val="none" w:sz="0" w:space="0" w:color="auto"/>
      </w:divBdr>
    </w:div>
    <w:div w:id="152331179">
      <w:bodyDiv w:val="1"/>
      <w:marLeft w:val="0"/>
      <w:marRight w:val="0"/>
      <w:marTop w:val="0"/>
      <w:marBottom w:val="0"/>
      <w:divBdr>
        <w:top w:val="none" w:sz="0" w:space="0" w:color="auto"/>
        <w:left w:val="none" w:sz="0" w:space="0" w:color="auto"/>
        <w:bottom w:val="none" w:sz="0" w:space="0" w:color="auto"/>
        <w:right w:val="none" w:sz="0" w:space="0" w:color="auto"/>
      </w:divBdr>
    </w:div>
    <w:div w:id="152337036">
      <w:bodyDiv w:val="1"/>
      <w:marLeft w:val="0"/>
      <w:marRight w:val="0"/>
      <w:marTop w:val="0"/>
      <w:marBottom w:val="0"/>
      <w:divBdr>
        <w:top w:val="none" w:sz="0" w:space="0" w:color="auto"/>
        <w:left w:val="none" w:sz="0" w:space="0" w:color="auto"/>
        <w:bottom w:val="none" w:sz="0" w:space="0" w:color="auto"/>
        <w:right w:val="none" w:sz="0" w:space="0" w:color="auto"/>
      </w:divBdr>
    </w:div>
    <w:div w:id="152646902">
      <w:bodyDiv w:val="1"/>
      <w:marLeft w:val="0"/>
      <w:marRight w:val="0"/>
      <w:marTop w:val="0"/>
      <w:marBottom w:val="0"/>
      <w:divBdr>
        <w:top w:val="none" w:sz="0" w:space="0" w:color="auto"/>
        <w:left w:val="none" w:sz="0" w:space="0" w:color="auto"/>
        <w:bottom w:val="none" w:sz="0" w:space="0" w:color="auto"/>
        <w:right w:val="none" w:sz="0" w:space="0" w:color="auto"/>
      </w:divBdr>
    </w:div>
    <w:div w:id="152722072">
      <w:bodyDiv w:val="1"/>
      <w:marLeft w:val="0"/>
      <w:marRight w:val="0"/>
      <w:marTop w:val="0"/>
      <w:marBottom w:val="0"/>
      <w:divBdr>
        <w:top w:val="none" w:sz="0" w:space="0" w:color="auto"/>
        <w:left w:val="none" w:sz="0" w:space="0" w:color="auto"/>
        <w:bottom w:val="none" w:sz="0" w:space="0" w:color="auto"/>
        <w:right w:val="none" w:sz="0" w:space="0" w:color="auto"/>
      </w:divBdr>
    </w:div>
    <w:div w:id="152988112">
      <w:bodyDiv w:val="1"/>
      <w:marLeft w:val="0"/>
      <w:marRight w:val="0"/>
      <w:marTop w:val="0"/>
      <w:marBottom w:val="0"/>
      <w:divBdr>
        <w:top w:val="none" w:sz="0" w:space="0" w:color="auto"/>
        <w:left w:val="none" w:sz="0" w:space="0" w:color="auto"/>
        <w:bottom w:val="none" w:sz="0" w:space="0" w:color="auto"/>
        <w:right w:val="none" w:sz="0" w:space="0" w:color="auto"/>
      </w:divBdr>
    </w:div>
    <w:div w:id="153034286">
      <w:bodyDiv w:val="1"/>
      <w:marLeft w:val="0"/>
      <w:marRight w:val="0"/>
      <w:marTop w:val="0"/>
      <w:marBottom w:val="0"/>
      <w:divBdr>
        <w:top w:val="none" w:sz="0" w:space="0" w:color="auto"/>
        <w:left w:val="none" w:sz="0" w:space="0" w:color="auto"/>
        <w:bottom w:val="none" w:sz="0" w:space="0" w:color="auto"/>
        <w:right w:val="none" w:sz="0" w:space="0" w:color="auto"/>
      </w:divBdr>
    </w:div>
    <w:div w:id="153110163">
      <w:bodyDiv w:val="1"/>
      <w:marLeft w:val="0"/>
      <w:marRight w:val="0"/>
      <w:marTop w:val="0"/>
      <w:marBottom w:val="0"/>
      <w:divBdr>
        <w:top w:val="none" w:sz="0" w:space="0" w:color="auto"/>
        <w:left w:val="none" w:sz="0" w:space="0" w:color="auto"/>
        <w:bottom w:val="none" w:sz="0" w:space="0" w:color="auto"/>
        <w:right w:val="none" w:sz="0" w:space="0" w:color="auto"/>
      </w:divBdr>
    </w:div>
    <w:div w:id="153184814">
      <w:bodyDiv w:val="1"/>
      <w:marLeft w:val="0"/>
      <w:marRight w:val="0"/>
      <w:marTop w:val="0"/>
      <w:marBottom w:val="0"/>
      <w:divBdr>
        <w:top w:val="none" w:sz="0" w:space="0" w:color="auto"/>
        <w:left w:val="none" w:sz="0" w:space="0" w:color="auto"/>
        <w:bottom w:val="none" w:sz="0" w:space="0" w:color="auto"/>
        <w:right w:val="none" w:sz="0" w:space="0" w:color="auto"/>
      </w:divBdr>
    </w:div>
    <w:div w:id="153226786">
      <w:bodyDiv w:val="1"/>
      <w:marLeft w:val="0"/>
      <w:marRight w:val="0"/>
      <w:marTop w:val="0"/>
      <w:marBottom w:val="0"/>
      <w:divBdr>
        <w:top w:val="none" w:sz="0" w:space="0" w:color="auto"/>
        <w:left w:val="none" w:sz="0" w:space="0" w:color="auto"/>
        <w:bottom w:val="none" w:sz="0" w:space="0" w:color="auto"/>
        <w:right w:val="none" w:sz="0" w:space="0" w:color="auto"/>
      </w:divBdr>
    </w:div>
    <w:div w:id="153420003">
      <w:bodyDiv w:val="1"/>
      <w:marLeft w:val="0"/>
      <w:marRight w:val="0"/>
      <w:marTop w:val="0"/>
      <w:marBottom w:val="0"/>
      <w:divBdr>
        <w:top w:val="none" w:sz="0" w:space="0" w:color="auto"/>
        <w:left w:val="none" w:sz="0" w:space="0" w:color="auto"/>
        <w:bottom w:val="none" w:sz="0" w:space="0" w:color="auto"/>
        <w:right w:val="none" w:sz="0" w:space="0" w:color="auto"/>
      </w:divBdr>
    </w:div>
    <w:div w:id="153571897">
      <w:bodyDiv w:val="1"/>
      <w:marLeft w:val="0"/>
      <w:marRight w:val="0"/>
      <w:marTop w:val="0"/>
      <w:marBottom w:val="0"/>
      <w:divBdr>
        <w:top w:val="none" w:sz="0" w:space="0" w:color="auto"/>
        <w:left w:val="none" w:sz="0" w:space="0" w:color="auto"/>
        <w:bottom w:val="none" w:sz="0" w:space="0" w:color="auto"/>
        <w:right w:val="none" w:sz="0" w:space="0" w:color="auto"/>
      </w:divBdr>
    </w:div>
    <w:div w:id="153836297">
      <w:bodyDiv w:val="1"/>
      <w:marLeft w:val="0"/>
      <w:marRight w:val="0"/>
      <w:marTop w:val="0"/>
      <w:marBottom w:val="0"/>
      <w:divBdr>
        <w:top w:val="none" w:sz="0" w:space="0" w:color="auto"/>
        <w:left w:val="none" w:sz="0" w:space="0" w:color="auto"/>
        <w:bottom w:val="none" w:sz="0" w:space="0" w:color="auto"/>
        <w:right w:val="none" w:sz="0" w:space="0" w:color="auto"/>
      </w:divBdr>
    </w:div>
    <w:div w:id="153881295">
      <w:bodyDiv w:val="1"/>
      <w:marLeft w:val="0"/>
      <w:marRight w:val="0"/>
      <w:marTop w:val="0"/>
      <w:marBottom w:val="0"/>
      <w:divBdr>
        <w:top w:val="none" w:sz="0" w:space="0" w:color="auto"/>
        <w:left w:val="none" w:sz="0" w:space="0" w:color="auto"/>
        <w:bottom w:val="none" w:sz="0" w:space="0" w:color="auto"/>
        <w:right w:val="none" w:sz="0" w:space="0" w:color="auto"/>
      </w:divBdr>
    </w:div>
    <w:div w:id="154077188">
      <w:bodyDiv w:val="1"/>
      <w:marLeft w:val="0"/>
      <w:marRight w:val="0"/>
      <w:marTop w:val="0"/>
      <w:marBottom w:val="0"/>
      <w:divBdr>
        <w:top w:val="none" w:sz="0" w:space="0" w:color="auto"/>
        <w:left w:val="none" w:sz="0" w:space="0" w:color="auto"/>
        <w:bottom w:val="none" w:sz="0" w:space="0" w:color="auto"/>
        <w:right w:val="none" w:sz="0" w:space="0" w:color="auto"/>
      </w:divBdr>
    </w:div>
    <w:div w:id="154079002">
      <w:bodyDiv w:val="1"/>
      <w:marLeft w:val="0"/>
      <w:marRight w:val="0"/>
      <w:marTop w:val="0"/>
      <w:marBottom w:val="0"/>
      <w:divBdr>
        <w:top w:val="none" w:sz="0" w:space="0" w:color="auto"/>
        <w:left w:val="none" w:sz="0" w:space="0" w:color="auto"/>
        <w:bottom w:val="none" w:sz="0" w:space="0" w:color="auto"/>
        <w:right w:val="none" w:sz="0" w:space="0" w:color="auto"/>
      </w:divBdr>
    </w:div>
    <w:div w:id="154148969">
      <w:bodyDiv w:val="1"/>
      <w:marLeft w:val="0"/>
      <w:marRight w:val="0"/>
      <w:marTop w:val="0"/>
      <w:marBottom w:val="0"/>
      <w:divBdr>
        <w:top w:val="none" w:sz="0" w:space="0" w:color="auto"/>
        <w:left w:val="none" w:sz="0" w:space="0" w:color="auto"/>
        <w:bottom w:val="none" w:sz="0" w:space="0" w:color="auto"/>
        <w:right w:val="none" w:sz="0" w:space="0" w:color="auto"/>
      </w:divBdr>
    </w:div>
    <w:div w:id="154153345">
      <w:bodyDiv w:val="1"/>
      <w:marLeft w:val="0"/>
      <w:marRight w:val="0"/>
      <w:marTop w:val="0"/>
      <w:marBottom w:val="0"/>
      <w:divBdr>
        <w:top w:val="none" w:sz="0" w:space="0" w:color="auto"/>
        <w:left w:val="none" w:sz="0" w:space="0" w:color="auto"/>
        <w:bottom w:val="none" w:sz="0" w:space="0" w:color="auto"/>
        <w:right w:val="none" w:sz="0" w:space="0" w:color="auto"/>
      </w:divBdr>
    </w:div>
    <w:div w:id="154271748">
      <w:bodyDiv w:val="1"/>
      <w:marLeft w:val="0"/>
      <w:marRight w:val="0"/>
      <w:marTop w:val="0"/>
      <w:marBottom w:val="0"/>
      <w:divBdr>
        <w:top w:val="none" w:sz="0" w:space="0" w:color="auto"/>
        <w:left w:val="none" w:sz="0" w:space="0" w:color="auto"/>
        <w:bottom w:val="none" w:sz="0" w:space="0" w:color="auto"/>
        <w:right w:val="none" w:sz="0" w:space="0" w:color="auto"/>
      </w:divBdr>
    </w:div>
    <w:div w:id="154539003">
      <w:bodyDiv w:val="1"/>
      <w:marLeft w:val="0"/>
      <w:marRight w:val="0"/>
      <w:marTop w:val="0"/>
      <w:marBottom w:val="0"/>
      <w:divBdr>
        <w:top w:val="none" w:sz="0" w:space="0" w:color="auto"/>
        <w:left w:val="none" w:sz="0" w:space="0" w:color="auto"/>
        <w:bottom w:val="none" w:sz="0" w:space="0" w:color="auto"/>
        <w:right w:val="none" w:sz="0" w:space="0" w:color="auto"/>
      </w:divBdr>
    </w:div>
    <w:div w:id="154615345">
      <w:bodyDiv w:val="1"/>
      <w:marLeft w:val="0"/>
      <w:marRight w:val="0"/>
      <w:marTop w:val="0"/>
      <w:marBottom w:val="0"/>
      <w:divBdr>
        <w:top w:val="none" w:sz="0" w:space="0" w:color="auto"/>
        <w:left w:val="none" w:sz="0" w:space="0" w:color="auto"/>
        <w:bottom w:val="none" w:sz="0" w:space="0" w:color="auto"/>
        <w:right w:val="none" w:sz="0" w:space="0" w:color="auto"/>
      </w:divBdr>
    </w:div>
    <w:div w:id="154686093">
      <w:bodyDiv w:val="1"/>
      <w:marLeft w:val="0"/>
      <w:marRight w:val="0"/>
      <w:marTop w:val="0"/>
      <w:marBottom w:val="0"/>
      <w:divBdr>
        <w:top w:val="none" w:sz="0" w:space="0" w:color="auto"/>
        <w:left w:val="none" w:sz="0" w:space="0" w:color="auto"/>
        <w:bottom w:val="none" w:sz="0" w:space="0" w:color="auto"/>
        <w:right w:val="none" w:sz="0" w:space="0" w:color="auto"/>
      </w:divBdr>
    </w:div>
    <w:div w:id="154731079">
      <w:bodyDiv w:val="1"/>
      <w:marLeft w:val="0"/>
      <w:marRight w:val="0"/>
      <w:marTop w:val="0"/>
      <w:marBottom w:val="0"/>
      <w:divBdr>
        <w:top w:val="none" w:sz="0" w:space="0" w:color="auto"/>
        <w:left w:val="none" w:sz="0" w:space="0" w:color="auto"/>
        <w:bottom w:val="none" w:sz="0" w:space="0" w:color="auto"/>
        <w:right w:val="none" w:sz="0" w:space="0" w:color="auto"/>
      </w:divBdr>
    </w:div>
    <w:div w:id="154731811">
      <w:bodyDiv w:val="1"/>
      <w:marLeft w:val="0"/>
      <w:marRight w:val="0"/>
      <w:marTop w:val="0"/>
      <w:marBottom w:val="0"/>
      <w:divBdr>
        <w:top w:val="none" w:sz="0" w:space="0" w:color="auto"/>
        <w:left w:val="none" w:sz="0" w:space="0" w:color="auto"/>
        <w:bottom w:val="none" w:sz="0" w:space="0" w:color="auto"/>
        <w:right w:val="none" w:sz="0" w:space="0" w:color="auto"/>
      </w:divBdr>
    </w:div>
    <w:div w:id="155077022">
      <w:bodyDiv w:val="1"/>
      <w:marLeft w:val="0"/>
      <w:marRight w:val="0"/>
      <w:marTop w:val="0"/>
      <w:marBottom w:val="0"/>
      <w:divBdr>
        <w:top w:val="none" w:sz="0" w:space="0" w:color="auto"/>
        <w:left w:val="none" w:sz="0" w:space="0" w:color="auto"/>
        <w:bottom w:val="none" w:sz="0" w:space="0" w:color="auto"/>
        <w:right w:val="none" w:sz="0" w:space="0" w:color="auto"/>
      </w:divBdr>
    </w:div>
    <w:div w:id="155265477">
      <w:bodyDiv w:val="1"/>
      <w:marLeft w:val="0"/>
      <w:marRight w:val="0"/>
      <w:marTop w:val="0"/>
      <w:marBottom w:val="0"/>
      <w:divBdr>
        <w:top w:val="none" w:sz="0" w:space="0" w:color="auto"/>
        <w:left w:val="none" w:sz="0" w:space="0" w:color="auto"/>
        <w:bottom w:val="none" w:sz="0" w:space="0" w:color="auto"/>
        <w:right w:val="none" w:sz="0" w:space="0" w:color="auto"/>
      </w:divBdr>
    </w:div>
    <w:div w:id="155728939">
      <w:bodyDiv w:val="1"/>
      <w:marLeft w:val="0"/>
      <w:marRight w:val="0"/>
      <w:marTop w:val="0"/>
      <w:marBottom w:val="0"/>
      <w:divBdr>
        <w:top w:val="none" w:sz="0" w:space="0" w:color="auto"/>
        <w:left w:val="none" w:sz="0" w:space="0" w:color="auto"/>
        <w:bottom w:val="none" w:sz="0" w:space="0" w:color="auto"/>
        <w:right w:val="none" w:sz="0" w:space="0" w:color="auto"/>
      </w:divBdr>
    </w:div>
    <w:div w:id="155734103">
      <w:bodyDiv w:val="1"/>
      <w:marLeft w:val="0"/>
      <w:marRight w:val="0"/>
      <w:marTop w:val="0"/>
      <w:marBottom w:val="0"/>
      <w:divBdr>
        <w:top w:val="none" w:sz="0" w:space="0" w:color="auto"/>
        <w:left w:val="none" w:sz="0" w:space="0" w:color="auto"/>
        <w:bottom w:val="none" w:sz="0" w:space="0" w:color="auto"/>
        <w:right w:val="none" w:sz="0" w:space="0" w:color="auto"/>
      </w:divBdr>
    </w:div>
    <w:div w:id="155802988">
      <w:bodyDiv w:val="1"/>
      <w:marLeft w:val="0"/>
      <w:marRight w:val="0"/>
      <w:marTop w:val="0"/>
      <w:marBottom w:val="0"/>
      <w:divBdr>
        <w:top w:val="none" w:sz="0" w:space="0" w:color="auto"/>
        <w:left w:val="none" w:sz="0" w:space="0" w:color="auto"/>
        <w:bottom w:val="none" w:sz="0" w:space="0" w:color="auto"/>
        <w:right w:val="none" w:sz="0" w:space="0" w:color="auto"/>
      </w:divBdr>
    </w:div>
    <w:div w:id="155803872">
      <w:bodyDiv w:val="1"/>
      <w:marLeft w:val="0"/>
      <w:marRight w:val="0"/>
      <w:marTop w:val="0"/>
      <w:marBottom w:val="0"/>
      <w:divBdr>
        <w:top w:val="none" w:sz="0" w:space="0" w:color="auto"/>
        <w:left w:val="none" w:sz="0" w:space="0" w:color="auto"/>
        <w:bottom w:val="none" w:sz="0" w:space="0" w:color="auto"/>
        <w:right w:val="none" w:sz="0" w:space="0" w:color="auto"/>
      </w:divBdr>
    </w:div>
    <w:div w:id="155994782">
      <w:bodyDiv w:val="1"/>
      <w:marLeft w:val="0"/>
      <w:marRight w:val="0"/>
      <w:marTop w:val="0"/>
      <w:marBottom w:val="0"/>
      <w:divBdr>
        <w:top w:val="none" w:sz="0" w:space="0" w:color="auto"/>
        <w:left w:val="none" w:sz="0" w:space="0" w:color="auto"/>
        <w:bottom w:val="none" w:sz="0" w:space="0" w:color="auto"/>
        <w:right w:val="none" w:sz="0" w:space="0" w:color="auto"/>
      </w:divBdr>
    </w:div>
    <w:div w:id="155995191">
      <w:bodyDiv w:val="1"/>
      <w:marLeft w:val="0"/>
      <w:marRight w:val="0"/>
      <w:marTop w:val="0"/>
      <w:marBottom w:val="0"/>
      <w:divBdr>
        <w:top w:val="none" w:sz="0" w:space="0" w:color="auto"/>
        <w:left w:val="none" w:sz="0" w:space="0" w:color="auto"/>
        <w:bottom w:val="none" w:sz="0" w:space="0" w:color="auto"/>
        <w:right w:val="none" w:sz="0" w:space="0" w:color="auto"/>
      </w:divBdr>
    </w:div>
    <w:div w:id="156045954">
      <w:bodyDiv w:val="1"/>
      <w:marLeft w:val="0"/>
      <w:marRight w:val="0"/>
      <w:marTop w:val="0"/>
      <w:marBottom w:val="0"/>
      <w:divBdr>
        <w:top w:val="none" w:sz="0" w:space="0" w:color="auto"/>
        <w:left w:val="none" w:sz="0" w:space="0" w:color="auto"/>
        <w:bottom w:val="none" w:sz="0" w:space="0" w:color="auto"/>
        <w:right w:val="none" w:sz="0" w:space="0" w:color="auto"/>
      </w:divBdr>
    </w:div>
    <w:div w:id="156190307">
      <w:bodyDiv w:val="1"/>
      <w:marLeft w:val="0"/>
      <w:marRight w:val="0"/>
      <w:marTop w:val="0"/>
      <w:marBottom w:val="0"/>
      <w:divBdr>
        <w:top w:val="none" w:sz="0" w:space="0" w:color="auto"/>
        <w:left w:val="none" w:sz="0" w:space="0" w:color="auto"/>
        <w:bottom w:val="none" w:sz="0" w:space="0" w:color="auto"/>
        <w:right w:val="none" w:sz="0" w:space="0" w:color="auto"/>
      </w:divBdr>
    </w:div>
    <w:div w:id="156266890">
      <w:bodyDiv w:val="1"/>
      <w:marLeft w:val="0"/>
      <w:marRight w:val="0"/>
      <w:marTop w:val="0"/>
      <w:marBottom w:val="0"/>
      <w:divBdr>
        <w:top w:val="none" w:sz="0" w:space="0" w:color="auto"/>
        <w:left w:val="none" w:sz="0" w:space="0" w:color="auto"/>
        <w:bottom w:val="none" w:sz="0" w:space="0" w:color="auto"/>
        <w:right w:val="none" w:sz="0" w:space="0" w:color="auto"/>
      </w:divBdr>
    </w:div>
    <w:div w:id="156268881">
      <w:bodyDiv w:val="1"/>
      <w:marLeft w:val="0"/>
      <w:marRight w:val="0"/>
      <w:marTop w:val="0"/>
      <w:marBottom w:val="0"/>
      <w:divBdr>
        <w:top w:val="none" w:sz="0" w:space="0" w:color="auto"/>
        <w:left w:val="none" w:sz="0" w:space="0" w:color="auto"/>
        <w:bottom w:val="none" w:sz="0" w:space="0" w:color="auto"/>
        <w:right w:val="none" w:sz="0" w:space="0" w:color="auto"/>
      </w:divBdr>
    </w:div>
    <w:div w:id="156310046">
      <w:bodyDiv w:val="1"/>
      <w:marLeft w:val="0"/>
      <w:marRight w:val="0"/>
      <w:marTop w:val="0"/>
      <w:marBottom w:val="0"/>
      <w:divBdr>
        <w:top w:val="none" w:sz="0" w:space="0" w:color="auto"/>
        <w:left w:val="none" w:sz="0" w:space="0" w:color="auto"/>
        <w:bottom w:val="none" w:sz="0" w:space="0" w:color="auto"/>
        <w:right w:val="none" w:sz="0" w:space="0" w:color="auto"/>
      </w:divBdr>
    </w:div>
    <w:div w:id="156387431">
      <w:bodyDiv w:val="1"/>
      <w:marLeft w:val="0"/>
      <w:marRight w:val="0"/>
      <w:marTop w:val="0"/>
      <w:marBottom w:val="0"/>
      <w:divBdr>
        <w:top w:val="none" w:sz="0" w:space="0" w:color="auto"/>
        <w:left w:val="none" w:sz="0" w:space="0" w:color="auto"/>
        <w:bottom w:val="none" w:sz="0" w:space="0" w:color="auto"/>
        <w:right w:val="none" w:sz="0" w:space="0" w:color="auto"/>
      </w:divBdr>
    </w:div>
    <w:div w:id="156578745">
      <w:bodyDiv w:val="1"/>
      <w:marLeft w:val="0"/>
      <w:marRight w:val="0"/>
      <w:marTop w:val="0"/>
      <w:marBottom w:val="0"/>
      <w:divBdr>
        <w:top w:val="none" w:sz="0" w:space="0" w:color="auto"/>
        <w:left w:val="none" w:sz="0" w:space="0" w:color="auto"/>
        <w:bottom w:val="none" w:sz="0" w:space="0" w:color="auto"/>
        <w:right w:val="none" w:sz="0" w:space="0" w:color="auto"/>
      </w:divBdr>
    </w:div>
    <w:div w:id="156579127">
      <w:bodyDiv w:val="1"/>
      <w:marLeft w:val="0"/>
      <w:marRight w:val="0"/>
      <w:marTop w:val="0"/>
      <w:marBottom w:val="0"/>
      <w:divBdr>
        <w:top w:val="none" w:sz="0" w:space="0" w:color="auto"/>
        <w:left w:val="none" w:sz="0" w:space="0" w:color="auto"/>
        <w:bottom w:val="none" w:sz="0" w:space="0" w:color="auto"/>
        <w:right w:val="none" w:sz="0" w:space="0" w:color="auto"/>
      </w:divBdr>
    </w:div>
    <w:div w:id="156653674">
      <w:bodyDiv w:val="1"/>
      <w:marLeft w:val="0"/>
      <w:marRight w:val="0"/>
      <w:marTop w:val="0"/>
      <w:marBottom w:val="0"/>
      <w:divBdr>
        <w:top w:val="none" w:sz="0" w:space="0" w:color="auto"/>
        <w:left w:val="none" w:sz="0" w:space="0" w:color="auto"/>
        <w:bottom w:val="none" w:sz="0" w:space="0" w:color="auto"/>
        <w:right w:val="none" w:sz="0" w:space="0" w:color="auto"/>
      </w:divBdr>
    </w:div>
    <w:div w:id="156656273">
      <w:bodyDiv w:val="1"/>
      <w:marLeft w:val="0"/>
      <w:marRight w:val="0"/>
      <w:marTop w:val="0"/>
      <w:marBottom w:val="0"/>
      <w:divBdr>
        <w:top w:val="none" w:sz="0" w:space="0" w:color="auto"/>
        <w:left w:val="none" w:sz="0" w:space="0" w:color="auto"/>
        <w:bottom w:val="none" w:sz="0" w:space="0" w:color="auto"/>
        <w:right w:val="none" w:sz="0" w:space="0" w:color="auto"/>
      </w:divBdr>
    </w:div>
    <w:div w:id="156844195">
      <w:bodyDiv w:val="1"/>
      <w:marLeft w:val="0"/>
      <w:marRight w:val="0"/>
      <w:marTop w:val="0"/>
      <w:marBottom w:val="0"/>
      <w:divBdr>
        <w:top w:val="none" w:sz="0" w:space="0" w:color="auto"/>
        <w:left w:val="none" w:sz="0" w:space="0" w:color="auto"/>
        <w:bottom w:val="none" w:sz="0" w:space="0" w:color="auto"/>
        <w:right w:val="none" w:sz="0" w:space="0" w:color="auto"/>
      </w:divBdr>
    </w:div>
    <w:div w:id="156918956">
      <w:bodyDiv w:val="1"/>
      <w:marLeft w:val="0"/>
      <w:marRight w:val="0"/>
      <w:marTop w:val="0"/>
      <w:marBottom w:val="0"/>
      <w:divBdr>
        <w:top w:val="none" w:sz="0" w:space="0" w:color="auto"/>
        <w:left w:val="none" w:sz="0" w:space="0" w:color="auto"/>
        <w:bottom w:val="none" w:sz="0" w:space="0" w:color="auto"/>
        <w:right w:val="none" w:sz="0" w:space="0" w:color="auto"/>
      </w:divBdr>
    </w:div>
    <w:div w:id="156921497">
      <w:bodyDiv w:val="1"/>
      <w:marLeft w:val="0"/>
      <w:marRight w:val="0"/>
      <w:marTop w:val="0"/>
      <w:marBottom w:val="0"/>
      <w:divBdr>
        <w:top w:val="none" w:sz="0" w:space="0" w:color="auto"/>
        <w:left w:val="none" w:sz="0" w:space="0" w:color="auto"/>
        <w:bottom w:val="none" w:sz="0" w:space="0" w:color="auto"/>
        <w:right w:val="none" w:sz="0" w:space="0" w:color="auto"/>
      </w:divBdr>
    </w:div>
    <w:div w:id="156961071">
      <w:bodyDiv w:val="1"/>
      <w:marLeft w:val="0"/>
      <w:marRight w:val="0"/>
      <w:marTop w:val="0"/>
      <w:marBottom w:val="0"/>
      <w:divBdr>
        <w:top w:val="none" w:sz="0" w:space="0" w:color="auto"/>
        <w:left w:val="none" w:sz="0" w:space="0" w:color="auto"/>
        <w:bottom w:val="none" w:sz="0" w:space="0" w:color="auto"/>
        <w:right w:val="none" w:sz="0" w:space="0" w:color="auto"/>
      </w:divBdr>
    </w:div>
    <w:div w:id="156964775">
      <w:bodyDiv w:val="1"/>
      <w:marLeft w:val="0"/>
      <w:marRight w:val="0"/>
      <w:marTop w:val="0"/>
      <w:marBottom w:val="0"/>
      <w:divBdr>
        <w:top w:val="none" w:sz="0" w:space="0" w:color="auto"/>
        <w:left w:val="none" w:sz="0" w:space="0" w:color="auto"/>
        <w:bottom w:val="none" w:sz="0" w:space="0" w:color="auto"/>
        <w:right w:val="none" w:sz="0" w:space="0" w:color="auto"/>
      </w:divBdr>
    </w:div>
    <w:div w:id="156968140">
      <w:bodyDiv w:val="1"/>
      <w:marLeft w:val="0"/>
      <w:marRight w:val="0"/>
      <w:marTop w:val="0"/>
      <w:marBottom w:val="0"/>
      <w:divBdr>
        <w:top w:val="none" w:sz="0" w:space="0" w:color="auto"/>
        <w:left w:val="none" w:sz="0" w:space="0" w:color="auto"/>
        <w:bottom w:val="none" w:sz="0" w:space="0" w:color="auto"/>
        <w:right w:val="none" w:sz="0" w:space="0" w:color="auto"/>
      </w:divBdr>
    </w:div>
    <w:div w:id="157038346">
      <w:bodyDiv w:val="1"/>
      <w:marLeft w:val="0"/>
      <w:marRight w:val="0"/>
      <w:marTop w:val="0"/>
      <w:marBottom w:val="0"/>
      <w:divBdr>
        <w:top w:val="none" w:sz="0" w:space="0" w:color="auto"/>
        <w:left w:val="none" w:sz="0" w:space="0" w:color="auto"/>
        <w:bottom w:val="none" w:sz="0" w:space="0" w:color="auto"/>
        <w:right w:val="none" w:sz="0" w:space="0" w:color="auto"/>
      </w:divBdr>
    </w:div>
    <w:div w:id="157157637">
      <w:bodyDiv w:val="1"/>
      <w:marLeft w:val="0"/>
      <w:marRight w:val="0"/>
      <w:marTop w:val="0"/>
      <w:marBottom w:val="0"/>
      <w:divBdr>
        <w:top w:val="none" w:sz="0" w:space="0" w:color="auto"/>
        <w:left w:val="none" w:sz="0" w:space="0" w:color="auto"/>
        <w:bottom w:val="none" w:sz="0" w:space="0" w:color="auto"/>
        <w:right w:val="none" w:sz="0" w:space="0" w:color="auto"/>
      </w:divBdr>
    </w:div>
    <w:div w:id="157159884">
      <w:bodyDiv w:val="1"/>
      <w:marLeft w:val="0"/>
      <w:marRight w:val="0"/>
      <w:marTop w:val="0"/>
      <w:marBottom w:val="0"/>
      <w:divBdr>
        <w:top w:val="none" w:sz="0" w:space="0" w:color="auto"/>
        <w:left w:val="none" w:sz="0" w:space="0" w:color="auto"/>
        <w:bottom w:val="none" w:sz="0" w:space="0" w:color="auto"/>
        <w:right w:val="none" w:sz="0" w:space="0" w:color="auto"/>
      </w:divBdr>
    </w:div>
    <w:div w:id="157231415">
      <w:bodyDiv w:val="1"/>
      <w:marLeft w:val="0"/>
      <w:marRight w:val="0"/>
      <w:marTop w:val="0"/>
      <w:marBottom w:val="0"/>
      <w:divBdr>
        <w:top w:val="none" w:sz="0" w:space="0" w:color="auto"/>
        <w:left w:val="none" w:sz="0" w:space="0" w:color="auto"/>
        <w:bottom w:val="none" w:sz="0" w:space="0" w:color="auto"/>
        <w:right w:val="none" w:sz="0" w:space="0" w:color="auto"/>
      </w:divBdr>
    </w:div>
    <w:div w:id="157306532">
      <w:bodyDiv w:val="1"/>
      <w:marLeft w:val="0"/>
      <w:marRight w:val="0"/>
      <w:marTop w:val="0"/>
      <w:marBottom w:val="0"/>
      <w:divBdr>
        <w:top w:val="none" w:sz="0" w:space="0" w:color="auto"/>
        <w:left w:val="none" w:sz="0" w:space="0" w:color="auto"/>
        <w:bottom w:val="none" w:sz="0" w:space="0" w:color="auto"/>
        <w:right w:val="none" w:sz="0" w:space="0" w:color="auto"/>
      </w:divBdr>
    </w:div>
    <w:div w:id="157430290">
      <w:bodyDiv w:val="1"/>
      <w:marLeft w:val="0"/>
      <w:marRight w:val="0"/>
      <w:marTop w:val="0"/>
      <w:marBottom w:val="0"/>
      <w:divBdr>
        <w:top w:val="none" w:sz="0" w:space="0" w:color="auto"/>
        <w:left w:val="none" w:sz="0" w:space="0" w:color="auto"/>
        <w:bottom w:val="none" w:sz="0" w:space="0" w:color="auto"/>
        <w:right w:val="none" w:sz="0" w:space="0" w:color="auto"/>
      </w:divBdr>
    </w:div>
    <w:div w:id="157700556">
      <w:bodyDiv w:val="1"/>
      <w:marLeft w:val="0"/>
      <w:marRight w:val="0"/>
      <w:marTop w:val="0"/>
      <w:marBottom w:val="0"/>
      <w:divBdr>
        <w:top w:val="none" w:sz="0" w:space="0" w:color="auto"/>
        <w:left w:val="none" w:sz="0" w:space="0" w:color="auto"/>
        <w:bottom w:val="none" w:sz="0" w:space="0" w:color="auto"/>
        <w:right w:val="none" w:sz="0" w:space="0" w:color="auto"/>
      </w:divBdr>
    </w:div>
    <w:div w:id="157769539">
      <w:bodyDiv w:val="1"/>
      <w:marLeft w:val="0"/>
      <w:marRight w:val="0"/>
      <w:marTop w:val="0"/>
      <w:marBottom w:val="0"/>
      <w:divBdr>
        <w:top w:val="none" w:sz="0" w:space="0" w:color="auto"/>
        <w:left w:val="none" w:sz="0" w:space="0" w:color="auto"/>
        <w:bottom w:val="none" w:sz="0" w:space="0" w:color="auto"/>
        <w:right w:val="none" w:sz="0" w:space="0" w:color="auto"/>
      </w:divBdr>
    </w:div>
    <w:div w:id="157773576">
      <w:bodyDiv w:val="1"/>
      <w:marLeft w:val="0"/>
      <w:marRight w:val="0"/>
      <w:marTop w:val="0"/>
      <w:marBottom w:val="0"/>
      <w:divBdr>
        <w:top w:val="none" w:sz="0" w:space="0" w:color="auto"/>
        <w:left w:val="none" w:sz="0" w:space="0" w:color="auto"/>
        <w:bottom w:val="none" w:sz="0" w:space="0" w:color="auto"/>
        <w:right w:val="none" w:sz="0" w:space="0" w:color="auto"/>
      </w:divBdr>
    </w:div>
    <w:div w:id="157812567">
      <w:bodyDiv w:val="1"/>
      <w:marLeft w:val="0"/>
      <w:marRight w:val="0"/>
      <w:marTop w:val="0"/>
      <w:marBottom w:val="0"/>
      <w:divBdr>
        <w:top w:val="none" w:sz="0" w:space="0" w:color="auto"/>
        <w:left w:val="none" w:sz="0" w:space="0" w:color="auto"/>
        <w:bottom w:val="none" w:sz="0" w:space="0" w:color="auto"/>
        <w:right w:val="none" w:sz="0" w:space="0" w:color="auto"/>
      </w:divBdr>
    </w:div>
    <w:div w:id="157817105">
      <w:bodyDiv w:val="1"/>
      <w:marLeft w:val="0"/>
      <w:marRight w:val="0"/>
      <w:marTop w:val="0"/>
      <w:marBottom w:val="0"/>
      <w:divBdr>
        <w:top w:val="none" w:sz="0" w:space="0" w:color="auto"/>
        <w:left w:val="none" w:sz="0" w:space="0" w:color="auto"/>
        <w:bottom w:val="none" w:sz="0" w:space="0" w:color="auto"/>
        <w:right w:val="none" w:sz="0" w:space="0" w:color="auto"/>
      </w:divBdr>
    </w:div>
    <w:div w:id="157818114">
      <w:bodyDiv w:val="1"/>
      <w:marLeft w:val="0"/>
      <w:marRight w:val="0"/>
      <w:marTop w:val="0"/>
      <w:marBottom w:val="0"/>
      <w:divBdr>
        <w:top w:val="none" w:sz="0" w:space="0" w:color="auto"/>
        <w:left w:val="none" w:sz="0" w:space="0" w:color="auto"/>
        <w:bottom w:val="none" w:sz="0" w:space="0" w:color="auto"/>
        <w:right w:val="none" w:sz="0" w:space="0" w:color="auto"/>
      </w:divBdr>
    </w:div>
    <w:div w:id="157886824">
      <w:bodyDiv w:val="1"/>
      <w:marLeft w:val="0"/>
      <w:marRight w:val="0"/>
      <w:marTop w:val="0"/>
      <w:marBottom w:val="0"/>
      <w:divBdr>
        <w:top w:val="none" w:sz="0" w:space="0" w:color="auto"/>
        <w:left w:val="none" w:sz="0" w:space="0" w:color="auto"/>
        <w:bottom w:val="none" w:sz="0" w:space="0" w:color="auto"/>
        <w:right w:val="none" w:sz="0" w:space="0" w:color="auto"/>
      </w:divBdr>
    </w:div>
    <w:div w:id="157887170">
      <w:bodyDiv w:val="1"/>
      <w:marLeft w:val="0"/>
      <w:marRight w:val="0"/>
      <w:marTop w:val="0"/>
      <w:marBottom w:val="0"/>
      <w:divBdr>
        <w:top w:val="none" w:sz="0" w:space="0" w:color="auto"/>
        <w:left w:val="none" w:sz="0" w:space="0" w:color="auto"/>
        <w:bottom w:val="none" w:sz="0" w:space="0" w:color="auto"/>
        <w:right w:val="none" w:sz="0" w:space="0" w:color="auto"/>
      </w:divBdr>
    </w:div>
    <w:div w:id="157890780">
      <w:bodyDiv w:val="1"/>
      <w:marLeft w:val="0"/>
      <w:marRight w:val="0"/>
      <w:marTop w:val="0"/>
      <w:marBottom w:val="0"/>
      <w:divBdr>
        <w:top w:val="none" w:sz="0" w:space="0" w:color="auto"/>
        <w:left w:val="none" w:sz="0" w:space="0" w:color="auto"/>
        <w:bottom w:val="none" w:sz="0" w:space="0" w:color="auto"/>
        <w:right w:val="none" w:sz="0" w:space="0" w:color="auto"/>
      </w:divBdr>
    </w:div>
    <w:div w:id="157964150">
      <w:bodyDiv w:val="1"/>
      <w:marLeft w:val="0"/>
      <w:marRight w:val="0"/>
      <w:marTop w:val="0"/>
      <w:marBottom w:val="0"/>
      <w:divBdr>
        <w:top w:val="none" w:sz="0" w:space="0" w:color="auto"/>
        <w:left w:val="none" w:sz="0" w:space="0" w:color="auto"/>
        <w:bottom w:val="none" w:sz="0" w:space="0" w:color="auto"/>
        <w:right w:val="none" w:sz="0" w:space="0" w:color="auto"/>
      </w:divBdr>
    </w:div>
    <w:div w:id="157966506">
      <w:bodyDiv w:val="1"/>
      <w:marLeft w:val="0"/>
      <w:marRight w:val="0"/>
      <w:marTop w:val="0"/>
      <w:marBottom w:val="0"/>
      <w:divBdr>
        <w:top w:val="none" w:sz="0" w:space="0" w:color="auto"/>
        <w:left w:val="none" w:sz="0" w:space="0" w:color="auto"/>
        <w:bottom w:val="none" w:sz="0" w:space="0" w:color="auto"/>
        <w:right w:val="none" w:sz="0" w:space="0" w:color="auto"/>
      </w:divBdr>
    </w:div>
    <w:div w:id="157967534">
      <w:bodyDiv w:val="1"/>
      <w:marLeft w:val="0"/>
      <w:marRight w:val="0"/>
      <w:marTop w:val="0"/>
      <w:marBottom w:val="0"/>
      <w:divBdr>
        <w:top w:val="none" w:sz="0" w:space="0" w:color="auto"/>
        <w:left w:val="none" w:sz="0" w:space="0" w:color="auto"/>
        <w:bottom w:val="none" w:sz="0" w:space="0" w:color="auto"/>
        <w:right w:val="none" w:sz="0" w:space="0" w:color="auto"/>
      </w:divBdr>
    </w:div>
    <w:div w:id="158081359">
      <w:bodyDiv w:val="1"/>
      <w:marLeft w:val="0"/>
      <w:marRight w:val="0"/>
      <w:marTop w:val="0"/>
      <w:marBottom w:val="0"/>
      <w:divBdr>
        <w:top w:val="none" w:sz="0" w:space="0" w:color="auto"/>
        <w:left w:val="none" w:sz="0" w:space="0" w:color="auto"/>
        <w:bottom w:val="none" w:sz="0" w:space="0" w:color="auto"/>
        <w:right w:val="none" w:sz="0" w:space="0" w:color="auto"/>
      </w:divBdr>
    </w:div>
    <w:div w:id="158157890">
      <w:bodyDiv w:val="1"/>
      <w:marLeft w:val="0"/>
      <w:marRight w:val="0"/>
      <w:marTop w:val="0"/>
      <w:marBottom w:val="0"/>
      <w:divBdr>
        <w:top w:val="none" w:sz="0" w:space="0" w:color="auto"/>
        <w:left w:val="none" w:sz="0" w:space="0" w:color="auto"/>
        <w:bottom w:val="none" w:sz="0" w:space="0" w:color="auto"/>
        <w:right w:val="none" w:sz="0" w:space="0" w:color="auto"/>
      </w:divBdr>
    </w:div>
    <w:div w:id="158162300">
      <w:bodyDiv w:val="1"/>
      <w:marLeft w:val="0"/>
      <w:marRight w:val="0"/>
      <w:marTop w:val="0"/>
      <w:marBottom w:val="0"/>
      <w:divBdr>
        <w:top w:val="none" w:sz="0" w:space="0" w:color="auto"/>
        <w:left w:val="none" w:sz="0" w:space="0" w:color="auto"/>
        <w:bottom w:val="none" w:sz="0" w:space="0" w:color="auto"/>
        <w:right w:val="none" w:sz="0" w:space="0" w:color="auto"/>
      </w:divBdr>
    </w:div>
    <w:div w:id="158228732">
      <w:bodyDiv w:val="1"/>
      <w:marLeft w:val="0"/>
      <w:marRight w:val="0"/>
      <w:marTop w:val="0"/>
      <w:marBottom w:val="0"/>
      <w:divBdr>
        <w:top w:val="none" w:sz="0" w:space="0" w:color="auto"/>
        <w:left w:val="none" w:sz="0" w:space="0" w:color="auto"/>
        <w:bottom w:val="none" w:sz="0" w:space="0" w:color="auto"/>
        <w:right w:val="none" w:sz="0" w:space="0" w:color="auto"/>
      </w:divBdr>
    </w:div>
    <w:div w:id="158234048">
      <w:bodyDiv w:val="1"/>
      <w:marLeft w:val="0"/>
      <w:marRight w:val="0"/>
      <w:marTop w:val="0"/>
      <w:marBottom w:val="0"/>
      <w:divBdr>
        <w:top w:val="none" w:sz="0" w:space="0" w:color="auto"/>
        <w:left w:val="none" w:sz="0" w:space="0" w:color="auto"/>
        <w:bottom w:val="none" w:sz="0" w:space="0" w:color="auto"/>
        <w:right w:val="none" w:sz="0" w:space="0" w:color="auto"/>
      </w:divBdr>
    </w:div>
    <w:div w:id="158236245">
      <w:bodyDiv w:val="1"/>
      <w:marLeft w:val="0"/>
      <w:marRight w:val="0"/>
      <w:marTop w:val="0"/>
      <w:marBottom w:val="0"/>
      <w:divBdr>
        <w:top w:val="none" w:sz="0" w:space="0" w:color="auto"/>
        <w:left w:val="none" w:sz="0" w:space="0" w:color="auto"/>
        <w:bottom w:val="none" w:sz="0" w:space="0" w:color="auto"/>
        <w:right w:val="none" w:sz="0" w:space="0" w:color="auto"/>
      </w:divBdr>
    </w:div>
    <w:div w:id="158274622">
      <w:bodyDiv w:val="1"/>
      <w:marLeft w:val="0"/>
      <w:marRight w:val="0"/>
      <w:marTop w:val="0"/>
      <w:marBottom w:val="0"/>
      <w:divBdr>
        <w:top w:val="none" w:sz="0" w:space="0" w:color="auto"/>
        <w:left w:val="none" w:sz="0" w:space="0" w:color="auto"/>
        <w:bottom w:val="none" w:sz="0" w:space="0" w:color="auto"/>
        <w:right w:val="none" w:sz="0" w:space="0" w:color="auto"/>
      </w:divBdr>
    </w:div>
    <w:div w:id="158275381">
      <w:bodyDiv w:val="1"/>
      <w:marLeft w:val="0"/>
      <w:marRight w:val="0"/>
      <w:marTop w:val="0"/>
      <w:marBottom w:val="0"/>
      <w:divBdr>
        <w:top w:val="none" w:sz="0" w:space="0" w:color="auto"/>
        <w:left w:val="none" w:sz="0" w:space="0" w:color="auto"/>
        <w:bottom w:val="none" w:sz="0" w:space="0" w:color="auto"/>
        <w:right w:val="none" w:sz="0" w:space="0" w:color="auto"/>
      </w:divBdr>
    </w:div>
    <w:div w:id="158423975">
      <w:bodyDiv w:val="1"/>
      <w:marLeft w:val="0"/>
      <w:marRight w:val="0"/>
      <w:marTop w:val="0"/>
      <w:marBottom w:val="0"/>
      <w:divBdr>
        <w:top w:val="none" w:sz="0" w:space="0" w:color="auto"/>
        <w:left w:val="none" w:sz="0" w:space="0" w:color="auto"/>
        <w:bottom w:val="none" w:sz="0" w:space="0" w:color="auto"/>
        <w:right w:val="none" w:sz="0" w:space="0" w:color="auto"/>
      </w:divBdr>
    </w:div>
    <w:div w:id="158424760">
      <w:bodyDiv w:val="1"/>
      <w:marLeft w:val="0"/>
      <w:marRight w:val="0"/>
      <w:marTop w:val="0"/>
      <w:marBottom w:val="0"/>
      <w:divBdr>
        <w:top w:val="none" w:sz="0" w:space="0" w:color="auto"/>
        <w:left w:val="none" w:sz="0" w:space="0" w:color="auto"/>
        <w:bottom w:val="none" w:sz="0" w:space="0" w:color="auto"/>
        <w:right w:val="none" w:sz="0" w:space="0" w:color="auto"/>
      </w:divBdr>
    </w:div>
    <w:div w:id="158466502">
      <w:bodyDiv w:val="1"/>
      <w:marLeft w:val="0"/>
      <w:marRight w:val="0"/>
      <w:marTop w:val="0"/>
      <w:marBottom w:val="0"/>
      <w:divBdr>
        <w:top w:val="none" w:sz="0" w:space="0" w:color="auto"/>
        <w:left w:val="none" w:sz="0" w:space="0" w:color="auto"/>
        <w:bottom w:val="none" w:sz="0" w:space="0" w:color="auto"/>
        <w:right w:val="none" w:sz="0" w:space="0" w:color="auto"/>
      </w:divBdr>
    </w:div>
    <w:div w:id="158470391">
      <w:bodyDiv w:val="1"/>
      <w:marLeft w:val="0"/>
      <w:marRight w:val="0"/>
      <w:marTop w:val="0"/>
      <w:marBottom w:val="0"/>
      <w:divBdr>
        <w:top w:val="none" w:sz="0" w:space="0" w:color="auto"/>
        <w:left w:val="none" w:sz="0" w:space="0" w:color="auto"/>
        <w:bottom w:val="none" w:sz="0" w:space="0" w:color="auto"/>
        <w:right w:val="none" w:sz="0" w:space="0" w:color="auto"/>
      </w:divBdr>
    </w:div>
    <w:div w:id="158470855">
      <w:bodyDiv w:val="1"/>
      <w:marLeft w:val="0"/>
      <w:marRight w:val="0"/>
      <w:marTop w:val="0"/>
      <w:marBottom w:val="0"/>
      <w:divBdr>
        <w:top w:val="none" w:sz="0" w:space="0" w:color="auto"/>
        <w:left w:val="none" w:sz="0" w:space="0" w:color="auto"/>
        <w:bottom w:val="none" w:sz="0" w:space="0" w:color="auto"/>
        <w:right w:val="none" w:sz="0" w:space="0" w:color="auto"/>
      </w:divBdr>
    </w:div>
    <w:div w:id="158544136">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58624283">
      <w:bodyDiv w:val="1"/>
      <w:marLeft w:val="0"/>
      <w:marRight w:val="0"/>
      <w:marTop w:val="0"/>
      <w:marBottom w:val="0"/>
      <w:divBdr>
        <w:top w:val="none" w:sz="0" w:space="0" w:color="auto"/>
        <w:left w:val="none" w:sz="0" w:space="0" w:color="auto"/>
        <w:bottom w:val="none" w:sz="0" w:space="0" w:color="auto"/>
        <w:right w:val="none" w:sz="0" w:space="0" w:color="auto"/>
      </w:divBdr>
    </w:div>
    <w:div w:id="158737286">
      <w:bodyDiv w:val="1"/>
      <w:marLeft w:val="0"/>
      <w:marRight w:val="0"/>
      <w:marTop w:val="0"/>
      <w:marBottom w:val="0"/>
      <w:divBdr>
        <w:top w:val="none" w:sz="0" w:space="0" w:color="auto"/>
        <w:left w:val="none" w:sz="0" w:space="0" w:color="auto"/>
        <w:bottom w:val="none" w:sz="0" w:space="0" w:color="auto"/>
        <w:right w:val="none" w:sz="0" w:space="0" w:color="auto"/>
      </w:divBdr>
    </w:div>
    <w:div w:id="158740435">
      <w:bodyDiv w:val="1"/>
      <w:marLeft w:val="0"/>
      <w:marRight w:val="0"/>
      <w:marTop w:val="0"/>
      <w:marBottom w:val="0"/>
      <w:divBdr>
        <w:top w:val="none" w:sz="0" w:space="0" w:color="auto"/>
        <w:left w:val="none" w:sz="0" w:space="0" w:color="auto"/>
        <w:bottom w:val="none" w:sz="0" w:space="0" w:color="auto"/>
        <w:right w:val="none" w:sz="0" w:space="0" w:color="auto"/>
      </w:divBdr>
    </w:div>
    <w:div w:id="158812540">
      <w:bodyDiv w:val="1"/>
      <w:marLeft w:val="0"/>
      <w:marRight w:val="0"/>
      <w:marTop w:val="0"/>
      <w:marBottom w:val="0"/>
      <w:divBdr>
        <w:top w:val="none" w:sz="0" w:space="0" w:color="auto"/>
        <w:left w:val="none" w:sz="0" w:space="0" w:color="auto"/>
        <w:bottom w:val="none" w:sz="0" w:space="0" w:color="auto"/>
        <w:right w:val="none" w:sz="0" w:space="0" w:color="auto"/>
      </w:divBdr>
    </w:div>
    <w:div w:id="159010866">
      <w:bodyDiv w:val="1"/>
      <w:marLeft w:val="0"/>
      <w:marRight w:val="0"/>
      <w:marTop w:val="0"/>
      <w:marBottom w:val="0"/>
      <w:divBdr>
        <w:top w:val="none" w:sz="0" w:space="0" w:color="auto"/>
        <w:left w:val="none" w:sz="0" w:space="0" w:color="auto"/>
        <w:bottom w:val="none" w:sz="0" w:space="0" w:color="auto"/>
        <w:right w:val="none" w:sz="0" w:space="0" w:color="auto"/>
      </w:divBdr>
    </w:div>
    <w:div w:id="159121906">
      <w:bodyDiv w:val="1"/>
      <w:marLeft w:val="0"/>
      <w:marRight w:val="0"/>
      <w:marTop w:val="0"/>
      <w:marBottom w:val="0"/>
      <w:divBdr>
        <w:top w:val="none" w:sz="0" w:space="0" w:color="auto"/>
        <w:left w:val="none" w:sz="0" w:space="0" w:color="auto"/>
        <w:bottom w:val="none" w:sz="0" w:space="0" w:color="auto"/>
        <w:right w:val="none" w:sz="0" w:space="0" w:color="auto"/>
      </w:divBdr>
    </w:div>
    <w:div w:id="159154100">
      <w:bodyDiv w:val="1"/>
      <w:marLeft w:val="0"/>
      <w:marRight w:val="0"/>
      <w:marTop w:val="0"/>
      <w:marBottom w:val="0"/>
      <w:divBdr>
        <w:top w:val="none" w:sz="0" w:space="0" w:color="auto"/>
        <w:left w:val="none" w:sz="0" w:space="0" w:color="auto"/>
        <w:bottom w:val="none" w:sz="0" w:space="0" w:color="auto"/>
        <w:right w:val="none" w:sz="0" w:space="0" w:color="auto"/>
      </w:divBdr>
    </w:div>
    <w:div w:id="159273275">
      <w:bodyDiv w:val="1"/>
      <w:marLeft w:val="0"/>
      <w:marRight w:val="0"/>
      <w:marTop w:val="0"/>
      <w:marBottom w:val="0"/>
      <w:divBdr>
        <w:top w:val="none" w:sz="0" w:space="0" w:color="auto"/>
        <w:left w:val="none" w:sz="0" w:space="0" w:color="auto"/>
        <w:bottom w:val="none" w:sz="0" w:space="0" w:color="auto"/>
        <w:right w:val="none" w:sz="0" w:space="0" w:color="auto"/>
      </w:divBdr>
    </w:div>
    <w:div w:id="159275205">
      <w:bodyDiv w:val="1"/>
      <w:marLeft w:val="0"/>
      <w:marRight w:val="0"/>
      <w:marTop w:val="0"/>
      <w:marBottom w:val="0"/>
      <w:divBdr>
        <w:top w:val="none" w:sz="0" w:space="0" w:color="auto"/>
        <w:left w:val="none" w:sz="0" w:space="0" w:color="auto"/>
        <w:bottom w:val="none" w:sz="0" w:space="0" w:color="auto"/>
        <w:right w:val="none" w:sz="0" w:space="0" w:color="auto"/>
      </w:divBdr>
    </w:div>
    <w:div w:id="159466295">
      <w:bodyDiv w:val="1"/>
      <w:marLeft w:val="0"/>
      <w:marRight w:val="0"/>
      <w:marTop w:val="0"/>
      <w:marBottom w:val="0"/>
      <w:divBdr>
        <w:top w:val="none" w:sz="0" w:space="0" w:color="auto"/>
        <w:left w:val="none" w:sz="0" w:space="0" w:color="auto"/>
        <w:bottom w:val="none" w:sz="0" w:space="0" w:color="auto"/>
        <w:right w:val="none" w:sz="0" w:space="0" w:color="auto"/>
      </w:divBdr>
    </w:div>
    <w:div w:id="159538863">
      <w:bodyDiv w:val="1"/>
      <w:marLeft w:val="0"/>
      <w:marRight w:val="0"/>
      <w:marTop w:val="0"/>
      <w:marBottom w:val="0"/>
      <w:divBdr>
        <w:top w:val="none" w:sz="0" w:space="0" w:color="auto"/>
        <w:left w:val="none" w:sz="0" w:space="0" w:color="auto"/>
        <w:bottom w:val="none" w:sz="0" w:space="0" w:color="auto"/>
        <w:right w:val="none" w:sz="0" w:space="0" w:color="auto"/>
      </w:divBdr>
    </w:div>
    <w:div w:id="159540370">
      <w:bodyDiv w:val="1"/>
      <w:marLeft w:val="0"/>
      <w:marRight w:val="0"/>
      <w:marTop w:val="0"/>
      <w:marBottom w:val="0"/>
      <w:divBdr>
        <w:top w:val="none" w:sz="0" w:space="0" w:color="auto"/>
        <w:left w:val="none" w:sz="0" w:space="0" w:color="auto"/>
        <w:bottom w:val="none" w:sz="0" w:space="0" w:color="auto"/>
        <w:right w:val="none" w:sz="0" w:space="0" w:color="auto"/>
      </w:divBdr>
    </w:div>
    <w:div w:id="159589607">
      <w:bodyDiv w:val="1"/>
      <w:marLeft w:val="0"/>
      <w:marRight w:val="0"/>
      <w:marTop w:val="0"/>
      <w:marBottom w:val="0"/>
      <w:divBdr>
        <w:top w:val="none" w:sz="0" w:space="0" w:color="auto"/>
        <w:left w:val="none" w:sz="0" w:space="0" w:color="auto"/>
        <w:bottom w:val="none" w:sz="0" w:space="0" w:color="auto"/>
        <w:right w:val="none" w:sz="0" w:space="0" w:color="auto"/>
      </w:divBdr>
    </w:div>
    <w:div w:id="159657136">
      <w:bodyDiv w:val="1"/>
      <w:marLeft w:val="0"/>
      <w:marRight w:val="0"/>
      <w:marTop w:val="0"/>
      <w:marBottom w:val="0"/>
      <w:divBdr>
        <w:top w:val="none" w:sz="0" w:space="0" w:color="auto"/>
        <w:left w:val="none" w:sz="0" w:space="0" w:color="auto"/>
        <w:bottom w:val="none" w:sz="0" w:space="0" w:color="auto"/>
        <w:right w:val="none" w:sz="0" w:space="0" w:color="auto"/>
      </w:divBdr>
    </w:div>
    <w:div w:id="159736194">
      <w:bodyDiv w:val="1"/>
      <w:marLeft w:val="0"/>
      <w:marRight w:val="0"/>
      <w:marTop w:val="0"/>
      <w:marBottom w:val="0"/>
      <w:divBdr>
        <w:top w:val="none" w:sz="0" w:space="0" w:color="auto"/>
        <w:left w:val="none" w:sz="0" w:space="0" w:color="auto"/>
        <w:bottom w:val="none" w:sz="0" w:space="0" w:color="auto"/>
        <w:right w:val="none" w:sz="0" w:space="0" w:color="auto"/>
      </w:divBdr>
    </w:div>
    <w:div w:id="159737635">
      <w:bodyDiv w:val="1"/>
      <w:marLeft w:val="0"/>
      <w:marRight w:val="0"/>
      <w:marTop w:val="0"/>
      <w:marBottom w:val="0"/>
      <w:divBdr>
        <w:top w:val="none" w:sz="0" w:space="0" w:color="auto"/>
        <w:left w:val="none" w:sz="0" w:space="0" w:color="auto"/>
        <w:bottom w:val="none" w:sz="0" w:space="0" w:color="auto"/>
        <w:right w:val="none" w:sz="0" w:space="0" w:color="auto"/>
      </w:divBdr>
    </w:div>
    <w:div w:id="159850705">
      <w:bodyDiv w:val="1"/>
      <w:marLeft w:val="0"/>
      <w:marRight w:val="0"/>
      <w:marTop w:val="0"/>
      <w:marBottom w:val="0"/>
      <w:divBdr>
        <w:top w:val="none" w:sz="0" w:space="0" w:color="auto"/>
        <w:left w:val="none" w:sz="0" w:space="0" w:color="auto"/>
        <w:bottom w:val="none" w:sz="0" w:space="0" w:color="auto"/>
        <w:right w:val="none" w:sz="0" w:space="0" w:color="auto"/>
      </w:divBdr>
    </w:div>
    <w:div w:id="159851727">
      <w:bodyDiv w:val="1"/>
      <w:marLeft w:val="0"/>
      <w:marRight w:val="0"/>
      <w:marTop w:val="0"/>
      <w:marBottom w:val="0"/>
      <w:divBdr>
        <w:top w:val="none" w:sz="0" w:space="0" w:color="auto"/>
        <w:left w:val="none" w:sz="0" w:space="0" w:color="auto"/>
        <w:bottom w:val="none" w:sz="0" w:space="0" w:color="auto"/>
        <w:right w:val="none" w:sz="0" w:space="0" w:color="auto"/>
      </w:divBdr>
    </w:div>
    <w:div w:id="159855781">
      <w:bodyDiv w:val="1"/>
      <w:marLeft w:val="0"/>
      <w:marRight w:val="0"/>
      <w:marTop w:val="0"/>
      <w:marBottom w:val="0"/>
      <w:divBdr>
        <w:top w:val="none" w:sz="0" w:space="0" w:color="auto"/>
        <w:left w:val="none" w:sz="0" w:space="0" w:color="auto"/>
        <w:bottom w:val="none" w:sz="0" w:space="0" w:color="auto"/>
        <w:right w:val="none" w:sz="0" w:space="0" w:color="auto"/>
      </w:divBdr>
    </w:div>
    <w:div w:id="159856549">
      <w:bodyDiv w:val="1"/>
      <w:marLeft w:val="0"/>
      <w:marRight w:val="0"/>
      <w:marTop w:val="0"/>
      <w:marBottom w:val="0"/>
      <w:divBdr>
        <w:top w:val="none" w:sz="0" w:space="0" w:color="auto"/>
        <w:left w:val="none" w:sz="0" w:space="0" w:color="auto"/>
        <w:bottom w:val="none" w:sz="0" w:space="0" w:color="auto"/>
        <w:right w:val="none" w:sz="0" w:space="0" w:color="auto"/>
      </w:divBdr>
    </w:div>
    <w:div w:id="159857988">
      <w:bodyDiv w:val="1"/>
      <w:marLeft w:val="0"/>
      <w:marRight w:val="0"/>
      <w:marTop w:val="0"/>
      <w:marBottom w:val="0"/>
      <w:divBdr>
        <w:top w:val="none" w:sz="0" w:space="0" w:color="auto"/>
        <w:left w:val="none" w:sz="0" w:space="0" w:color="auto"/>
        <w:bottom w:val="none" w:sz="0" w:space="0" w:color="auto"/>
        <w:right w:val="none" w:sz="0" w:space="0" w:color="auto"/>
      </w:divBdr>
    </w:div>
    <w:div w:id="159926050">
      <w:bodyDiv w:val="1"/>
      <w:marLeft w:val="0"/>
      <w:marRight w:val="0"/>
      <w:marTop w:val="0"/>
      <w:marBottom w:val="0"/>
      <w:divBdr>
        <w:top w:val="none" w:sz="0" w:space="0" w:color="auto"/>
        <w:left w:val="none" w:sz="0" w:space="0" w:color="auto"/>
        <w:bottom w:val="none" w:sz="0" w:space="0" w:color="auto"/>
        <w:right w:val="none" w:sz="0" w:space="0" w:color="auto"/>
      </w:divBdr>
    </w:div>
    <w:div w:id="160002656">
      <w:bodyDiv w:val="1"/>
      <w:marLeft w:val="0"/>
      <w:marRight w:val="0"/>
      <w:marTop w:val="0"/>
      <w:marBottom w:val="0"/>
      <w:divBdr>
        <w:top w:val="none" w:sz="0" w:space="0" w:color="auto"/>
        <w:left w:val="none" w:sz="0" w:space="0" w:color="auto"/>
        <w:bottom w:val="none" w:sz="0" w:space="0" w:color="auto"/>
        <w:right w:val="none" w:sz="0" w:space="0" w:color="auto"/>
      </w:divBdr>
    </w:div>
    <w:div w:id="160005585">
      <w:bodyDiv w:val="1"/>
      <w:marLeft w:val="0"/>
      <w:marRight w:val="0"/>
      <w:marTop w:val="0"/>
      <w:marBottom w:val="0"/>
      <w:divBdr>
        <w:top w:val="none" w:sz="0" w:space="0" w:color="auto"/>
        <w:left w:val="none" w:sz="0" w:space="0" w:color="auto"/>
        <w:bottom w:val="none" w:sz="0" w:space="0" w:color="auto"/>
        <w:right w:val="none" w:sz="0" w:space="0" w:color="auto"/>
      </w:divBdr>
    </w:div>
    <w:div w:id="160053025">
      <w:bodyDiv w:val="1"/>
      <w:marLeft w:val="0"/>
      <w:marRight w:val="0"/>
      <w:marTop w:val="0"/>
      <w:marBottom w:val="0"/>
      <w:divBdr>
        <w:top w:val="none" w:sz="0" w:space="0" w:color="auto"/>
        <w:left w:val="none" w:sz="0" w:space="0" w:color="auto"/>
        <w:bottom w:val="none" w:sz="0" w:space="0" w:color="auto"/>
        <w:right w:val="none" w:sz="0" w:space="0" w:color="auto"/>
      </w:divBdr>
    </w:div>
    <w:div w:id="160124942">
      <w:bodyDiv w:val="1"/>
      <w:marLeft w:val="0"/>
      <w:marRight w:val="0"/>
      <w:marTop w:val="0"/>
      <w:marBottom w:val="0"/>
      <w:divBdr>
        <w:top w:val="none" w:sz="0" w:space="0" w:color="auto"/>
        <w:left w:val="none" w:sz="0" w:space="0" w:color="auto"/>
        <w:bottom w:val="none" w:sz="0" w:space="0" w:color="auto"/>
        <w:right w:val="none" w:sz="0" w:space="0" w:color="auto"/>
      </w:divBdr>
    </w:div>
    <w:div w:id="160126037">
      <w:bodyDiv w:val="1"/>
      <w:marLeft w:val="0"/>
      <w:marRight w:val="0"/>
      <w:marTop w:val="0"/>
      <w:marBottom w:val="0"/>
      <w:divBdr>
        <w:top w:val="none" w:sz="0" w:space="0" w:color="auto"/>
        <w:left w:val="none" w:sz="0" w:space="0" w:color="auto"/>
        <w:bottom w:val="none" w:sz="0" w:space="0" w:color="auto"/>
        <w:right w:val="none" w:sz="0" w:space="0" w:color="auto"/>
      </w:divBdr>
    </w:div>
    <w:div w:id="160195892">
      <w:bodyDiv w:val="1"/>
      <w:marLeft w:val="0"/>
      <w:marRight w:val="0"/>
      <w:marTop w:val="0"/>
      <w:marBottom w:val="0"/>
      <w:divBdr>
        <w:top w:val="none" w:sz="0" w:space="0" w:color="auto"/>
        <w:left w:val="none" w:sz="0" w:space="0" w:color="auto"/>
        <w:bottom w:val="none" w:sz="0" w:space="0" w:color="auto"/>
        <w:right w:val="none" w:sz="0" w:space="0" w:color="auto"/>
      </w:divBdr>
    </w:div>
    <w:div w:id="160312372">
      <w:bodyDiv w:val="1"/>
      <w:marLeft w:val="0"/>
      <w:marRight w:val="0"/>
      <w:marTop w:val="0"/>
      <w:marBottom w:val="0"/>
      <w:divBdr>
        <w:top w:val="none" w:sz="0" w:space="0" w:color="auto"/>
        <w:left w:val="none" w:sz="0" w:space="0" w:color="auto"/>
        <w:bottom w:val="none" w:sz="0" w:space="0" w:color="auto"/>
        <w:right w:val="none" w:sz="0" w:space="0" w:color="auto"/>
      </w:divBdr>
    </w:div>
    <w:div w:id="160312786">
      <w:bodyDiv w:val="1"/>
      <w:marLeft w:val="0"/>
      <w:marRight w:val="0"/>
      <w:marTop w:val="0"/>
      <w:marBottom w:val="0"/>
      <w:divBdr>
        <w:top w:val="none" w:sz="0" w:space="0" w:color="auto"/>
        <w:left w:val="none" w:sz="0" w:space="0" w:color="auto"/>
        <w:bottom w:val="none" w:sz="0" w:space="0" w:color="auto"/>
        <w:right w:val="none" w:sz="0" w:space="0" w:color="auto"/>
      </w:divBdr>
    </w:div>
    <w:div w:id="160313086">
      <w:bodyDiv w:val="1"/>
      <w:marLeft w:val="0"/>
      <w:marRight w:val="0"/>
      <w:marTop w:val="0"/>
      <w:marBottom w:val="0"/>
      <w:divBdr>
        <w:top w:val="none" w:sz="0" w:space="0" w:color="auto"/>
        <w:left w:val="none" w:sz="0" w:space="0" w:color="auto"/>
        <w:bottom w:val="none" w:sz="0" w:space="0" w:color="auto"/>
        <w:right w:val="none" w:sz="0" w:space="0" w:color="auto"/>
      </w:divBdr>
    </w:div>
    <w:div w:id="160433570">
      <w:bodyDiv w:val="1"/>
      <w:marLeft w:val="0"/>
      <w:marRight w:val="0"/>
      <w:marTop w:val="0"/>
      <w:marBottom w:val="0"/>
      <w:divBdr>
        <w:top w:val="none" w:sz="0" w:space="0" w:color="auto"/>
        <w:left w:val="none" w:sz="0" w:space="0" w:color="auto"/>
        <w:bottom w:val="none" w:sz="0" w:space="0" w:color="auto"/>
        <w:right w:val="none" w:sz="0" w:space="0" w:color="auto"/>
      </w:divBdr>
    </w:div>
    <w:div w:id="160584921">
      <w:bodyDiv w:val="1"/>
      <w:marLeft w:val="0"/>
      <w:marRight w:val="0"/>
      <w:marTop w:val="0"/>
      <w:marBottom w:val="0"/>
      <w:divBdr>
        <w:top w:val="none" w:sz="0" w:space="0" w:color="auto"/>
        <w:left w:val="none" w:sz="0" w:space="0" w:color="auto"/>
        <w:bottom w:val="none" w:sz="0" w:space="0" w:color="auto"/>
        <w:right w:val="none" w:sz="0" w:space="0" w:color="auto"/>
      </w:divBdr>
    </w:div>
    <w:div w:id="160632254">
      <w:bodyDiv w:val="1"/>
      <w:marLeft w:val="0"/>
      <w:marRight w:val="0"/>
      <w:marTop w:val="0"/>
      <w:marBottom w:val="0"/>
      <w:divBdr>
        <w:top w:val="none" w:sz="0" w:space="0" w:color="auto"/>
        <w:left w:val="none" w:sz="0" w:space="0" w:color="auto"/>
        <w:bottom w:val="none" w:sz="0" w:space="0" w:color="auto"/>
        <w:right w:val="none" w:sz="0" w:space="0" w:color="auto"/>
      </w:divBdr>
    </w:div>
    <w:div w:id="160659993">
      <w:bodyDiv w:val="1"/>
      <w:marLeft w:val="0"/>
      <w:marRight w:val="0"/>
      <w:marTop w:val="0"/>
      <w:marBottom w:val="0"/>
      <w:divBdr>
        <w:top w:val="none" w:sz="0" w:space="0" w:color="auto"/>
        <w:left w:val="none" w:sz="0" w:space="0" w:color="auto"/>
        <w:bottom w:val="none" w:sz="0" w:space="0" w:color="auto"/>
        <w:right w:val="none" w:sz="0" w:space="0" w:color="auto"/>
      </w:divBdr>
    </w:div>
    <w:div w:id="160780687">
      <w:bodyDiv w:val="1"/>
      <w:marLeft w:val="0"/>
      <w:marRight w:val="0"/>
      <w:marTop w:val="0"/>
      <w:marBottom w:val="0"/>
      <w:divBdr>
        <w:top w:val="none" w:sz="0" w:space="0" w:color="auto"/>
        <w:left w:val="none" w:sz="0" w:space="0" w:color="auto"/>
        <w:bottom w:val="none" w:sz="0" w:space="0" w:color="auto"/>
        <w:right w:val="none" w:sz="0" w:space="0" w:color="auto"/>
      </w:divBdr>
    </w:div>
    <w:div w:id="160851729">
      <w:bodyDiv w:val="1"/>
      <w:marLeft w:val="0"/>
      <w:marRight w:val="0"/>
      <w:marTop w:val="0"/>
      <w:marBottom w:val="0"/>
      <w:divBdr>
        <w:top w:val="none" w:sz="0" w:space="0" w:color="auto"/>
        <w:left w:val="none" w:sz="0" w:space="0" w:color="auto"/>
        <w:bottom w:val="none" w:sz="0" w:space="0" w:color="auto"/>
        <w:right w:val="none" w:sz="0" w:space="0" w:color="auto"/>
      </w:divBdr>
    </w:div>
    <w:div w:id="160852326">
      <w:bodyDiv w:val="1"/>
      <w:marLeft w:val="0"/>
      <w:marRight w:val="0"/>
      <w:marTop w:val="0"/>
      <w:marBottom w:val="0"/>
      <w:divBdr>
        <w:top w:val="none" w:sz="0" w:space="0" w:color="auto"/>
        <w:left w:val="none" w:sz="0" w:space="0" w:color="auto"/>
        <w:bottom w:val="none" w:sz="0" w:space="0" w:color="auto"/>
        <w:right w:val="none" w:sz="0" w:space="0" w:color="auto"/>
      </w:divBdr>
    </w:div>
    <w:div w:id="160853015">
      <w:bodyDiv w:val="1"/>
      <w:marLeft w:val="0"/>
      <w:marRight w:val="0"/>
      <w:marTop w:val="0"/>
      <w:marBottom w:val="0"/>
      <w:divBdr>
        <w:top w:val="none" w:sz="0" w:space="0" w:color="auto"/>
        <w:left w:val="none" w:sz="0" w:space="0" w:color="auto"/>
        <w:bottom w:val="none" w:sz="0" w:space="0" w:color="auto"/>
        <w:right w:val="none" w:sz="0" w:space="0" w:color="auto"/>
      </w:divBdr>
    </w:div>
    <w:div w:id="160856904">
      <w:bodyDiv w:val="1"/>
      <w:marLeft w:val="0"/>
      <w:marRight w:val="0"/>
      <w:marTop w:val="0"/>
      <w:marBottom w:val="0"/>
      <w:divBdr>
        <w:top w:val="none" w:sz="0" w:space="0" w:color="auto"/>
        <w:left w:val="none" w:sz="0" w:space="0" w:color="auto"/>
        <w:bottom w:val="none" w:sz="0" w:space="0" w:color="auto"/>
        <w:right w:val="none" w:sz="0" w:space="0" w:color="auto"/>
      </w:divBdr>
    </w:div>
    <w:div w:id="160967689">
      <w:bodyDiv w:val="1"/>
      <w:marLeft w:val="0"/>
      <w:marRight w:val="0"/>
      <w:marTop w:val="0"/>
      <w:marBottom w:val="0"/>
      <w:divBdr>
        <w:top w:val="none" w:sz="0" w:space="0" w:color="auto"/>
        <w:left w:val="none" w:sz="0" w:space="0" w:color="auto"/>
        <w:bottom w:val="none" w:sz="0" w:space="0" w:color="auto"/>
        <w:right w:val="none" w:sz="0" w:space="0" w:color="auto"/>
      </w:divBdr>
    </w:div>
    <w:div w:id="160970907">
      <w:bodyDiv w:val="1"/>
      <w:marLeft w:val="0"/>
      <w:marRight w:val="0"/>
      <w:marTop w:val="0"/>
      <w:marBottom w:val="0"/>
      <w:divBdr>
        <w:top w:val="none" w:sz="0" w:space="0" w:color="auto"/>
        <w:left w:val="none" w:sz="0" w:space="0" w:color="auto"/>
        <w:bottom w:val="none" w:sz="0" w:space="0" w:color="auto"/>
        <w:right w:val="none" w:sz="0" w:space="0" w:color="auto"/>
      </w:divBdr>
    </w:div>
    <w:div w:id="160971859">
      <w:bodyDiv w:val="1"/>
      <w:marLeft w:val="0"/>
      <w:marRight w:val="0"/>
      <w:marTop w:val="0"/>
      <w:marBottom w:val="0"/>
      <w:divBdr>
        <w:top w:val="none" w:sz="0" w:space="0" w:color="auto"/>
        <w:left w:val="none" w:sz="0" w:space="0" w:color="auto"/>
        <w:bottom w:val="none" w:sz="0" w:space="0" w:color="auto"/>
        <w:right w:val="none" w:sz="0" w:space="0" w:color="auto"/>
      </w:divBdr>
    </w:div>
    <w:div w:id="161045082">
      <w:bodyDiv w:val="1"/>
      <w:marLeft w:val="0"/>
      <w:marRight w:val="0"/>
      <w:marTop w:val="0"/>
      <w:marBottom w:val="0"/>
      <w:divBdr>
        <w:top w:val="none" w:sz="0" w:space="0" w:color="auto"/>
        <w:left w:val="none" w:sz="0" w:space="0" w:color="auto"/>
        <w:bottom w:val="none" w:sz="0" w:space="0" w:color="auto"/>
        <w:right w:val="none" w:sz="0" w:space="0" w:color="auto"/>
      </w:divBdr>
    </w:div>
    <w:div w:id="161170015">
      <w:bodyDiv w:val="1"/>
      <w:marLeft w:val="0"/>
      <w:marRight w:val="0"/>
      <w:marTop w:val="0"/>
      <w:marBottom w:val="0"/>
      <w:divBdr>
        <w:top w:val="none" w:sz="0" w:space="0" w:color="auto"/>
        <w:left w:val="none" w:sz="0" w:space="0" w:color="auto"/>
        <w:bottom w:val="none" w:sz="0" w:space="0" w:color="auto"/>
        <w:right w:val="none" w:sz="0" w:space="0" w:color="auto"/>
      </w:divBdr>
    </w:div>
    <w:div w:id="161551886">
      <w:bodyDiv w:val="1"/>
      <w:marLeft w:val="0"/>
      <w:marRight w:val="0"/>
      <w:marTop w:val="0"/>
      <w:marBottom w:val="0"/>
      <w:divBdr>
        <w:top w:val="none" w:sz="0" w:space="0" w:color="auto"/>
        <w:left w:val="none" w:sz="0" w:space="0" w:color="auto"/>
        <w:bottom w:val="none" w:sz="0" w:space="0" w:color="auto"/>
        <w:right w:val="none" w:sz="0" w:space="0" w:color="auto"/>
      </w:divBdr>
    </w:div>
    <w:div w:id="161622893">
      <w:bodyDiv w:val="1"/>
      <w:marLeft w:val="0"/>
      <w:marRight w:val="0"/>
      <w:marTop w:val="0"/>
      <w:marBottom w:val="0"/>
      <w:divBdr>
        <w:top w:val="none" w:sz="0" w:space="0" w:color="auto"/>
        <w:left w:val="none" w:sz="0" w:space="0" w:color="auto"/>
        <w:bottom w:val="none" w:sz="0" w:space="0" w:color="auto"/>
        <w:right w:val="none" w:sz="0" w:space="0" w:color="auto"/>
      </w:divBdr>
    </w:div>
    <w:div w:id="161699055">
      <w:bodyDiv w:val="1"/>
      <w:marLeft w:val="0"/>
      <w:marRight w:val="0"/>
      <w:marTop w:val="0"/>
      <w:marBottom w:val="0"/>
      <w:divBdr>
        <w:top w:val="none" w:sz="0" w:space="0" w:color="auto"/>
        <w:left w:val="none" w:sz="0" w:space="0" w:color="auto"/>
        <w:bottom w:val="none" w:sz="0" w:space="0" w:color="auto"/>
        <w:right w:val="none" w:sz="0" w:space="0" w:color="auto"/>
      </w:divBdr>
    </w:div>
    <w:div w:id="162084478">
      <w:bodyDiv w:val="1"/>
      <w:marLeft w:val="0"/>
      <w:marRight w:val="0"/>
      <w:marTop w:val="0"/>
      <w:marBottom w:val="0"/>
      <w:divBdr>
        <w:top w:val="none" w:sz="0" w:space="0" w:color="auto"/>
        <w:left w:val="none" w:sz="0" w:space="0" w:color="auto"/>
        <w:bottom w:val="none" w:sz="0" w:space="0" w:color="auto"/>
        <w:right w:val="none" w:sz="0" w:space="0" w:color="auto"/>
      </w:divBdr>
    </w:div>
    <w:div w:id="162087723">
      <w:bodyDiv w:val="1"/>
      <w:marLeft w:val="0"/>
      <w:marRight w:val="0"/>
      <w:marTop w:val="0"/>
      <w:marBottom w:val="0"/>
      <w:divBdr>
        <w:top w:val="none" w:sz="0" w:space="0" w:color="auto"/>
        <w:left w:val="none" w:sz="0" w:space="0" w:color="auto"/>
        <w:bottom w:val="none" w:sz="0" w:space="0" w:color="auto"/>
        <w:right w:val="none" w:sz="0" w:space="0" w:color="auto"/>
      </w:divBdr>
    </w:div>
    <w:div w:id="162207161">
      <w:bodyDiv w:val="1"/>
      <w:marLeft w:val="0"/>
      <w:marRight w:val="0"/>
      <w:marTop w:val="0"/>
      <w:marBottom w:val="0"/>
      <w:divBdr>
        <w:top w:val="none" w:sz="0" w:space="0" w:color="auto"/>
        <w:left w:val="none" w:sz="0" w:space="0" w:color="auto"/>
        <w:bottom w:val="none" w:sz="0" w:space="0" w:color="auto"/>
        <w:right w:val="none" w:sz="0" w:space="0" w:color="auto"/>
      </w:divBdr>
    </w:div>
    <w:div w:id="162279942">
      <w:bodyDiv w:val="1"/>
      <w:marLeft w:val="0"/>
      <w:marRight w:val="0"/>
      <w:marTop w:val="0"/>
      <w:marBottom w:val="0"/>
      <w:divBdr>
        <w:top w:val="none" w:sz="0" w:space="0" w:color="auto"/>
        <w:left w:val="none" w:sz="0" w:space="0" w:color="auto"/>
        <w:bottom w:val="none" w:sz="0" w:space="0" w:color="auto"/>
        <w:right w:val="none" w:sz="0" w:space="0" w:color="auto"/>
      </w:divBdr>
    </w:div>
    <w:div w:id="162356779">
      <w:bodyDiv w:val="1"/>
      <w:marLeft w:val="0"/>
      <w:marRight w:val="0"/>
      <w:marTop w:val="0"/>
      <w:marBottom w:val="0"/>
      <w:divBdr>
        <w:top w:val="none" w:sz="0" w:space="0" w:color="auto"/>
        <w:left w:val="none" w:sz="0" w:space="0" w:color="auto"/>
        <w:bottom w:val="none" w:sz="0" w:space="0" w:color="auto"/>
        <w:right w:val="none" w:sz="0" w:space="0" w:color="auto"/>
      </w:divBdr>
    </w:div>
    <w:div w:id="162476419">
      <w:bodyDiv w:val="1"/>
      <w:marLeft w:val="0"/>
      <w:marRight w:val="0"/>
      <w:marTop w:val="0"/>
      <w:marBottom w:val="0"/>
      <w:divBdr>
        <w:top w:val="none" w:sz="0" w:space="0" w:color="auto"/>
        <w:left w:val="none" w:sz="0" w:space="0" w:color="auto"/>
        <w:bottom w:val="none" w:sz="0" w:space="0" w:color="auto"/>
        <w:right w:val="none" w:sz="0" w:space="0" w:color="auto"/>
      </w:divBdr>
    </w:div>
    <w:div w:id="162477417">
      <w:bodyDiv w:val="1"/>
      <w:marLeft w:val="0"/>
      <w:marRight w:val="0"/>
      <w:marTop w:val="0"/>
      <w:marBottom w:val="0"/>
      <w:divBdr>
        <w:top w:val="none" w:sz="0" w:space="0" w:color="auto"/>
        <w:left w:val="none" w:sz="0" w:space="0" w:color="auto"/>
        <w:bottom w:val="none" w:sz="0" w:space="0" w:color="auto"/>
        <w:right w:val="none" w:sz="0" w:space="0" w:color="auto"/>
      </w:divBdr>
    </w:div>
    <w:div w:id="162478319">
      <w:bodyDiv w:val="1"/>
      <w:marLeft w:val="0"/>
      <w:marRight w:val="0"/>
      <w:marTop w:val="0"/>
      <w:marBottom w:val="0"/>
      <w:divBdr>
        <w:top w:val="none" w:sz="0" w:space="0" w:color="auto"/>
        <w:left w:val="none" w:sz="0" w:space="0" w:color="auto"/>
        <w:bottom w:val="none" w:sz="0" w:space="0" w:color="auto"/>
        <w:right w:val="none" w:sz="0" w:space="0" w:color="auto"/>
      </w:divBdr>
    </w:div>
    <w:div w:id="162547528">
      <w:bodyDiv w:val="1"/>
      <w:marLeft w:val="0"/>
      <w:marRight w:val="0"/>
      <w:marTop w:val="0"/>
      <w:marBottom w:val="0"/>
      <w:divBdr>
        <w:top w:val="none" w:sz="0" w:space="0" w:color="auto"/>
        <w:left w:val="none" w:sz="0" w:space="0" w:color="auto"/>
        <w:bottom w:val="none" w:sz="0" w:space="0" w:color="auto"/>
        <w:right w:val="none" w:sz="0" w:space="0" w:color="auto"/>
      </w:divBdr>
    </w:div>
    <w:div w:id="162597635">
      <w:bodyDiv w:val="1"/>
      <w:marLeft w:val="0"/>
      <w:marRight w:val="0"/>
      <w:marTop w:val="0"/>
      <w:marBottom w:val="0"/>
      <w:divBdr>
        <w:top w:val="none" w:sz="0" w:space="0" w:color="auto"/>
        <w:left w:val="none" w:sz="0" w:space="0" w:color="auto"/>
        <w:bottom w:val="none" w:sz="0" w:space="0" w:color="auto"/>
        <w:right w:val="none" w:sz="0" w:space="0" w:color="auto"/>
      </w:divBdr>
    </w:div>
    <w:div w:id="162747229">
      <w:bodyDiv w:val="1"/>
      <w:marLeft w:val="0"/>
      <w:marRight w:val="0"/>
      <w:marTop w:val="0"/>
      <w:marBottom w:val="0"/>
      <w:divBdr>
        <w:top w:val="none" w:sz="0" w:space="0" w:color="auto"/>
        <w:left w:val="none" w:sz="0" w:space="0" w:color="auto"/>
        <w:bottom w:val="none" w:sz="0" w:space="0" w:color="auto"/>
        <w:right w:val="none" w:sz="0" w:space="0" w:color="auto"/>
      </w:divBdr>
    </w:div>
    <w:div w:id="162748829">
      <w:bodyDiv w:val="1"/>
      <w:marLeft w:val="0"/>
      <w:marRight w:val="0"/>
      <w:marTop w:val="0"/>
      <w:marBottom w:val="0"/>
      <w:divBdr>
        <w:top w:val="none" w:sz="0" w:space="0" w:color="auto"/>
        <w:left w:val="none" w:sz="0" w:space="0" w:color="auto"/>
        <w:bottom w:val="none" w:sz="0" w:space="0" w:color="auto"/>
        <w:right w:val="none" w:sz="0" w:space="0" w:color="auto"/>
      </w:divBdr>
    </w:div>
    <w:div w:id="162791496">
      <w:bodyDiv w:val="1"/>
      <w:marLeft w:val="0"/>
      <w:marRight w:val="0"/>
      <w:marTop w:val="0"/>
      <w:marBottom w:val="0"/>
      <w:divBdr>
        <w:top w:val="none" w:sz="0" w:space="0" w:color="auto"/>
        <w:left w:val="none" w:sz="0" w:space="0" w:color="auto"/>
        <w:bottom w:val="none" w:sz="0" w:space="0" w:color="auto"/>
        <w:right w:val="none" w:sz="0" w:space="0" w:color="auto"/>
      </w:divBdr>
    </w:div>
    <w:div w:id="162818103">
      <w:bodyDiv w:val="1"/>
      <w:marLeft w:val="0"/>
      <w:marRight w:val="0"/>
      <w:marTop w:val="0"/>
      <w:marBottom w:val="0"/>
      <w:divBdr>
        <w:top w:val="none" w:sz="0" w:space="0" w:color="auto"/>
        <w:left w:val="none" w:sz="0" w:space="0" w:color="auto"/>
        <w:bottom w:val="none" w:sz="0" w:space="0" w:color="auto"/>
        <w:right w:val="none" w:sz="0" w:space="0" w:color="auto"/>
      </w:divBdr>
    </w:div>
    <w:div w:id="162936149">
      <w:bodyDiv w:val="1"/>
      <w:marLeft w:val="0"/>
      <w:marRight w:val="0"/>
      <w:marTop w:val="0"/>
      <w:marBottom w:val="0"/>
      <w:divBdr>
        <w:top w:val="none" w:sz="0" w:space="0" w:color="auto"/>
        <w:left w:val="none" w:sz="0" w:space="0" w:color="auto"/>
        <w:bottom w:val="none" w:sz="0" w:space="0" w:color="auto"/>
        <w:right w:val="none" w:sz="0" w:space="0" w:color="auto"/>
      </w:divBdr>
    </w:div>
    <w:div w:id="163056865">
      <w:bodyDiv w:val="1"/>
      <w:marLeft w:val="0"/>
      <w:marRight w:val="0"/>
      <w:marTop w:val="0"/>
      <w:marBottom w:val="0"/>
      <w:divBdr>
        <w:top w:val="none" w:sz="0" w:space="0" w:color="auto"/>
        <w:left w:val="none" w:sz="0" w:space="0" w:color="auto"/>
        <w:bottom w:val="none" w:sz="0" w:space="0" w:color="auto"/>
        <w:right w:val="none" w:sz="0" w:space="0" w:color="auto"/>
      </w:divBdr>
    </w:div>
    <w:div w:id="163326204">
      <w:bodyDiv w:val="1"/>
      <w:marLeft w:val="0"/>
      <w:marRight w:val="0"/>
      <w:marTop w:val="0"/>
      <w:marBottom w:val="0"/>
      <w:divBdr>
        <w:top w:val="none" w:sz="0" w:space="0" w:color="auto"/>
        <w:left w:val="none" w:sz="0" w:space="0" w:color="auto"/>
        <w:bottom w:val="none" w:sz="0" w:space="0" w:color="auto"/>
        <w:right w:val="none" w:sz="0" w:space="0" w:color="auto"/>
      </w:divBdr>
    </w:div>
    <w:div w:id="163447119">
      <w:bodyDiv w:val="1"/>
      <w:marLeft w:val="0"/>
      <w:marRight w:val="0"/>
      <w:marTop w:val="0"/>
      <w:marBottom w:val="0"/>
      <w:divBdr>
        <w:top w:val="none" w:sz="0" w:space="0" w:color="auto"/>
        <w:left w:val="none" w:sz="0" w:space="0" w:color="auto"/>
        <w:bottom w:val="none" w:sz="0" w:space="0" w:color="auto"/>
        <w:right w:val="none" w:sz="0" w:space="0" w:color="auto"/>
      </w:divBdr>
    </w:div>
    <w:div w:id="163478234">
      <w:bodyDiv w:val="1"/>
      <w:marLeft w:val="0"/>
      <w:marRight w:val="0"/>
      <w:marTop w:val="0"/>
      <w:marBottom w:val="0"/>
      <w:divBdr>
        <w:top w:val="none" w:sz="0" w:space="0" w:color="auto"/>
        <w:left w:val="none" w:sz="0" w:space="0" w:color="auto"/>
        <w:bottom w:val="none" w:sz="0" w:space="0" w:color="auto"/>
        <w:right w:val="none" w:sz="0" w:space="0" w:color="auto"/>
      </w:divBdr>
    </w:div>
    <w:div w:id="163478799">
      <w:bodyDiv w:val="1"/>
      <w:marLeft w:val="0"/>
      <w:marRight w:val="0"/>
      <w:marTop w:val="0"/>
      <w:marBottom w:val="0"/>
      <w:divBdr>
        <w:top w:val="none" w:sz="0" w:space="0" w:color="auto"/>
        <w:left w:val="none" w:sz="0" w:space="0" w:color="auto"/>
        <w:bottom w:val="none" w:sz="0" w:space="0" w:color="auto"/>
        <w:right w:val="none" w:sz="0" w:space="0" w:color="auto"/>
      </w:divBdr>
    </w:div>
    <w:div w:id="163513949">
      <w:bodyDiv w:val="1"/>
      <w:marLeft w:val="0"/>
      <w:marRight w:val="0"/>
      <w:marTop w:val="0"/>
      <w:marBottom w:val="0"/>
      <w:divBdr>
        <w:top w:val="none" w:sz="0" w:space="0" w:color="auto"/>
        <w:left w:val="none" w:sz="0" w:space="0" w:color="auto"/>
        <w:bottom w:val="none" w:sz="0" w:space="0" w:color="auto"/>
        <w:right w:val="none" w:sz="0" w:space="0" w:color="auto"/>
      </w:divBdr>
    </w:div>
    <w:div w:id="163783167">
      <w:bodyDiv w:val="1"/>
      <w:marLeft w:val="0"/>
      <w:marRight w:val="0"/>
      <w:marTop w:val="0"/>
      <w:marBottom w:val="0"/>
      <w:divBdr>
        <w:top w:val="none" w:sz="0" w:space="0" w:color="auto"/>
        <w:left w:val="none" w:sz="0" w:space="0" w:color="auto"/>
        <w:bottom w:val="none" w:sz="0" w:space="0" w:color="auto"/>
        <w:right w:val="none" w:sz="0" w:space="0" w:color="auto"/>
      </w:divBdr>
    </w:div>
    <w:div w:id="163789590">
      <w:bodyDiv w:val="1"/>
      <w:marLeft w:val="0"/>
      <w:marRight w:val="0"/>
      <w:marTop w:val="0"/>
      <w:marBottom w:val="0"/>
      <w:divBdr>
        <w:top w:val="none" w:sz="0" w:space="0" w:color="auto"/>
        <w:left w:val="none" w:sz="0" w:space="0" w:color="auto"/>
        <w:bottom w:val="none" w:sz="0" w:space="0" w:color="auto"/>
        <w:right w:val="none" w:sz="0" w:space="0" w:color="auto"/>
      </w:divBdr>
    </w:div>
    <w:div w:id="163866398">
      <w:bodyDiv w:val="1"/>
      <w:marLeft w:val="0"/>
      <w:marRight w:val="0"/>
      <w:marTop w:val="0"/>
      <w:marBottom w:val="0"/>
      <w:divBdr>
        <w:top w:val="none" w:sz="0" w:space="0" w:color="auto"/>
        <w:left w:val="none" w:sz="0" w:space="0" w:color="auto"/>
        <w:bottom w:val="none" w:sz="0" w:space="0" w:color="auto"/>
        <w:right w:val="none" w:sz="0" w:space="0" w:color="auto"/>
      </w:divBdr>
    </w:div>
    <w:div w:id="163979399">
      <w:bodyDiv w:val="1"/>
      <w:marLeft w:val="0"/>
      <w:marRight w:val="0"/>
      <w:marTop w:val="0"/>
      <w:marBottom w:val="0"/>
      <w:divBdr>
        <w:top w:val="none" w:sz="0" w:space="0" w:color="auto"/>
        <w:left w:val="none" w:sz="0" w:space="0" w:color="auto"/>
        <w:bottom w:val="none" w:sz="0" w:space="0" w:color="auto"/>
        <w:right w:val="none" w:sz="0" w:space="0" w:color="auto"/>
      </w:divBdr>
    </w:div>
    <w:div w:id="163981841">
      <w:bodyDiv w:val="1"/>
      <w:marLeft w:val="0"/>
      <w:marRight w:val="0"/>
      <w:marTop w:val="0"/>
      <w:marBottom w:val="0"/>
      <w:divBdr>
        <w:top w:val="none" w:sz="0" w:space="0" w:color="auto"/>
        <w:left w:val="none" w:sz="0" w:space="0" w:color="auto"/>
        <w:bottom w:val="none" w:sz="0" w:space="0" w:color="auto"/>
        <w:right w:val="none" w:sz="0" w:space="0" w:color="auto"/>
      </w:divBdr>
    </w:div>
    <w:div w:id="163982357">
      <w:bodyDiv w:val="1"/>
      <w:marLeft w:val="0"/>
      <w:marRight w:val="0"/>
      <w:marTop w:val="0"/>
      <w:marBottom w:val="0"/>
      <w:divBdr>
        <w:top w:val="none" w:sz="0" w:space="0" w:color="auto"/>
        <w:left w:val="none" w:sz="0" w:space="0" w:color="auto"/>
        <w:bottom w:val="none" w:sz="0" w:space="0" w:color="auto"/>
        <w:right w:val="none" w:sz="0" w:space="0" w:color="auto"/>
      </w:divBdr>
    </w:div>
    <w:div w:id="164056303">
      <w:bodyDiv w:val="1"/>
      <w:marLeft w:val="0"/>
      <w:marRight w:val="0"/>
      <w:marTop w:val="0"/>
      <w:marBottom w:val="0"/>
      <w:divBdr>
        <w:top w:val="none" w:sz="0" w:space="0" w:color="auto"/>
        <w:left w:val="none" w:sz="0" w:space="0" w:color="auto"/>
        <w:bottom w:val="none" w:sz="0" w:space="0" w:color="auto"/>
        <w:right w:val="none" w:sz="0" w:space="0" w:color="auto"/>
      </w:divBdr>
    </w:div>
    <w:div w:id="164127354">
      <w:bodyDiv w:val="1"/>
      <w:marLeft w:val="0"/>
      <w:marRight w:val="0"/>
      <w:marTop w:val="0"/>
      <w:marBottom w:val="0"/>
      <w:divBdr>
        <w:top w:val="none" w:sz="0" w:space="0" w:color="auto"/>
        <w:left w:val="none" w:sz="0" w:space="0" w:color="auto"/>
        <w:bottom w:val="none" w:sz="0" w:space="0" w:color="auto"/>
        <w:right w:val="none" w:sz="0" w:space="0" w:color="auto"/>
      </w:divBdr>
    </w:div>
    <w:div w:id="164252773">
      <w:bodyDiv w:val="1"/>
      <w:marLeft w:val="0"/>
      <w:marRight w:val="0"/>
      <w:marTop w:val="0"/>
      <w:marBottom w:val="0"/>
      <w:divBdr>
        <w:top w:val="none" w:sz="0" w:space="0" w:color="auto"/>
        <w:left w:val="none" w:sz="0" w:space="0" w:color="auto"/>
        <w:bottom w:val="none" w:sz="0" w:space="0" w:color="auto"/>
        <w:right w:val="none" w:sz="0" w:space="0" w:color="auto"/>
      </w:divBdr>
    </w:div>
    <w:div w:id="164323237">
      <w:bodyDiv w:val="1"/>
      <w:marLeft w:val="0"/>
      <w:marRight w:val="0"/>
      <w:marTop w:val="0"/>
      <w:marBottom w:val="0"/>
      <w:divBdr>
        <w:top w:val="none" w:sz="0" w:space="0" w:color="auto"/>
        <w:left w:val="none" w:sz="0" w:space="0" w:color="auto"/>
        <w:bottom w:val="none" w:sz="0" w:space="0" w:color="auto"/>
        <w:right w:val="none" w:sz="0" w:space="0" w:color="auto"/>
      </w:divBdr>
    </w:div>
    <w:div w:id="164396947">
      <w:bodyDiv w:val="1"/>
      <w:marLeft w:val="0"/>
      <w:marRight w:val="0"/>
      <w:marTop w:val="0"/>
      <w:marBottom w:val="0"/>
      <w:divBdr>
        <w:top w:val="none" w:sz="0" w:space="0" w:color="auto"/>
        <w:left w:val="none" w:sz="0" w:space="0" w:color="auto"/>
        <w:bottom w:val="none" w:sz="0" w:space="0" w:color="auto"/>
        <w:right w:val="none" w:sz="0" w:space="0" w:color="auto"/>
      </w:divBdr>
    </w:div>
    <w:div w:id="164440043">
      <w:bodyDiv w:val="1"/>
      <w:marLeft w:val="0"/>
      <w:marRight w:val="0"/>
      <w:marTop w:val="0"/>
      <w:marBottom w:val="0"/>
      <w:divBdr>
        <w:top w:val="none" w:sz="0" w:space="0" w:color="auto"/>
        <w:left w:val="none" w:sz="0" w:space="0" w:color="auto"/>
        <w:bottom w:val="none" w:sz="0" w:space="0" w:color="auto"/>
        <w:right w:val="none" w:sz="0" w:space="0" w:color="auto"/>
      </w:divBdr>
    </w:div>
    <w:div w:id="164441818">
      <w:bodyDiv w:val="1"/>
      <w:marLeft w:val="0"/>
      <w:marRight w:val="0"/>
      <w:marTop w:val="0"/>
      <w:marBottom w:val="0"/>
      <w:divBdr>
        <w:top w:val="none" w:sz="0" w:space="0" w:color="auto"/>
        <w:left w:val="none" w:sz="0" w:space="0" w:color="auto"/>
        <w:bottom w:val="none" w:sz="0" w:space="0" w:color="auto"/>
        <w:right w:val="none" w:sz="0" w:space="0" w:color="auto"/>
      </w:divBdr>
    </w:div>
    <w:div w:id="164443861">
      <w:bodyDiv w:val="1"/>
      <w:marLeft w:val="0"/>
      <w:marRight w:val="0"/>
      <w:marTop w:val="0"/>
      <w:marBottom w:val="0"/>
      <w:divBdr>
        <w:top w:val="none" w:sz="0" w:space="0" w:color="auto"/>
        <w:left w:val="none" w:sz="0" w:space="0" w:color="auto"/>
        <w:bottom w:val="none" w:sz="0" w:space="0" w:color="auto"/>
        <w:right w:val="none" w:sz="0" w:space="0" w:color="auto"/>
      </w:divBdr>
    </w:div>
    <w:div w:id="164514344">
      <w:bodyDiv w:val="1"/>
      <w:marLeft w:val="0"/>
      <w:marRight w:val="0"/>
      <w:marTop w:val="0"/>
      <w:marBottom w:val="0"/>
      <w:divBdr>
        <w:top w:val="none" w:sz="0" w:space="0" w:color="auto"/>
        <w:left w:val="none" w:sz="0" w:space="0" w:color="auto"/>
        <w:bottom w:val="none" w:sz="0" w:space="0" w:color="auto"/>
        <w:right w:val="none" w:sz="0" w:space="0" w:color="auto"/>
      </w:divBdr>
    </w:div>
    <w:div w:id="164561652">
      <w:bodyDiv w:val="1"/>
      <w:marLeft w:val="0"/>
      <w:marRight w:val="0"/>
      <w:marTop w:val="0"/>
      <w:marBottom w:val="0"/>
      <w:divBdr>
        <w:top w:val="none" w:sz="0" w:space="0" w:color="auto"/>
        <w:left w:val="none" w:sz="0" w:space="0" w:color="auto"/>
        <w:bottom w:val="none" w:sz="0" w:space="0" w:color="auto"/>
        <w:right w:val="none" w:sz="0" w:space="0" w:color="auto"/>
      </w:divBdr>
    </w:div>
    <w:div w:id="164562642">
      <w:bodyDiv w:val="1"/>
      <w:marLeft w:val="0"/>
      <w:marRight w:val="0"/>
      <w:marTop w:val="0"/>
      <w:marBottom w:val="0"/>
      <w:divBdr>
        <w:top w:val="none" w:sz="0" w:space="0" w:color="auto"/>
        <w:left w:val="none" w:sz="0" w:space="0" w:color="auto"/>
        <w:bottom w:val="none" w:sz="0" w:space="0" w:color="auto"/>
        <w:right w:val="none" w:sz="0" w:space="0" w:color="auto"/>
      </w:divBdr>
    </w:div>
    <w:div w:id="164563415">
      <w:bodyDiv w:val="1"/>
      <w:marLeft w:val="0"/>
      <w:marRight w:val="0"/>
      <w:marTop w:val="0"/>
      <w:marBottom w:val="0"/>
      <w:divBdr>
        <w:top w:val="none" w:sz="0" w:space="0" w:color="auto"/>
        <w:left w:val="none" w:sz="0" w:space="0" w:color="auto"/>
        <w:bottom w:val="none" w:sz="0" w:space="0" w:color="auto"/>
        <w:right w:val="none" w:sz="0" w:space="0" w:color="auto"/>
      </w:divBdr>
    </w:div>
    <w:div w:id="164589001">
      <w:bodyDiv w:val="1"/>
      <w:marLeft w:val="0"/>
      <w:marRight w:val="0"/>
      <w:marTop w:val="0"/>
      <w:marBottom w:val="0"/>
      <w:divBdr>
        <w:top w:val="none" w:sz="0" w:space="0" w:color="auto"/>
        <w:left w:val="none" w:sz="0" w:space="0" w:color="auto"/>
        <w:bottom w:val="none" w:sz="0" w:space="0" w:color="auto"/>
        <w:right w:val="none" w:sz="0" w:space="0" w:color="auto"/>
      </w:divBdr>
    </w:div>
    <w:div w:id="164637346">
      <w:bodyDiv w:val="1"/>
      <w:marLeft w:val="0"/>
      <w:marRight w:val="0"/>
      <w:marTop w:val="0"/>
      <w:marBottom w:val="0"/>
      <w:divBdr>
        <w:top w:val="none" w:sz="0" w:space="0" w:color="auto"/>
        <w:left w:val="none" w:sz="0" w:space="0" w:color="auto"/>
        <w:bottom w:val="none" w:sz="0" w:space="0" w:color="auto"/>
        <w:right w:val="none" w:sz="0" w:space="0" w:color="auto"/>
      </w:divBdr>
    </w:div>
    <w:div w:id="164709321">
      <w:bodyDiv w:val="1"/>
      <w:marLeft w:val="0"/>
      <w:marRight w:val="0"/>
      <w:marTop w:val="0"/>
      <w:marBottom w:val="0"/>
      <w:divBdr>
        <w:top w:val="none" w:sz="0" w:space="0" w:color="auto"/>
        <w:left w:val="none" w:sz="0" w:space="0" w:color="auto"/>
        <w:bottom w:val="none" w:sz="0" w:space="0" w:color="auto"/>
        <w:right w:val="none" w:sz="0" w:space="0" w:color="auto"/>
      </w:divBdr>
    </w:div>
    <w:div w:id="164711693">
      <w:bodyDiv w:val="1"/>
      <w:marLeft w:val="0"/>
      <w:marRight w:val="0"/>
      <w:marTop w:val="0"/>
      <w:marBottom w:val="0"/>
      <w:divBdr>
        <w:top w:val="none" w:sz="0" w:space="0" w:color="auto"/>
        <w:left w:val="none" w:sz="0" w:space="0" w:color="auto"/>
        <w:bottom w:val="none" w:sz="0" w:space="0" w:color="auto"/>
        <w:right w:val="none" w:sz="0" w:space="0" w:color="auto"/>
      </w:divBdr>
    </w:div>
    <w:div w:id="164826613">
      <w:bodyDiv w:val="1"/>
      <w:marLeft w:val="0"/>
      <w:marRight w:val="0"/>
      <w:marTop w:val="0"/>
      <w:marBottom w:val="0"/>
      <w:divBdr>
        <w:top w:val="none" w:sz="0" w:space="0" w:color="auto"/>
        <w:left w:val="none" w:sz="0" w:space="0" w:color="auto"/>
        <w:bottom w:val="none" w:sz="0" w:space="0" w:color="auto"/>
        <w:right w:val="none" w:sz="0" w:space="0" w:color="auto"/>
      </w:divBdr>
    </w:div>
    <w:div w:id="164901500">
      <w:bodyDiv w:val="1"/>
      <w:marLeft w:val="0"/>
      <w:marRight w:val="0"/>
      <w:marTop w:val="0"/>
      <w:marBottom w:val="0"/>
      <w:divBdr>
        <w:top w:val="none" w:sz="0" w:space="0" w:color="auto"/>
        <w:left w:val="none" w:sz="0" w:space="0" w:color="auto"/>
        <w:bottom w:val="none" w:sz="0" w:space="0" w:color="auto"/>
        <w:right w:val="none" w:sz="0" w:space="0" w:color="auto"/>
      </w:divBdr>
    </w:div>
    <w:div w:id="164976376">
      <w:bodyDiv w:val="1"/>
      <w:marLeft w:val="0"/>
      <w:marRight w:val="0"/>
      <w:marTop w:val="0"/>
      <w:marBottom w:val="0"/>
      <w:divBdr>
        <w:top w:val="none" w:sz="0" w:space="0" w:color="auto"/>
        <w:left w:val="none" w:sz="0" w:space="0" w:color="auto"/>
        <w:bottom w:val="none" w:sz="0" w:space="0" w:color="auto"/>
        <w:right w:val="none" w:sz="0" w:space="0" w:color="auto"/>
      </w:divBdr>
    </w:div>
    <w:div w:id="165247066">
      <w:bodyDiv w:val="1"/>
      <w:marLeft w:val="0"/>
      <w:marRight w:val="0"/>
      <w:marTop w:val="0"/>
      <w:marBottom w:val="0"/>
      <w:divBdr>
        <w:top w:val="none" w:sz="0" w:space="0" w:color="auto"/>
        <w:left w:val="none" w:sz="0" w:space="0" w:color="auto"/>
        <w:bottom w:val="none" w:sz="0" w:space="0" w:color="auto"/>
        <w:right w:val="none" w:sz="0" w:space="0" w:color="auto"/>
      </w:divBdr>
    </w:div>
    <w:div w:id="165287005">
      <w:bodyDiv w:val="1"/>
      <w:marLeft w:val="0"/>
      <w:marRight w:val="0"/>
      <w:marTop w:val="0"/>
      <w:marBottom w:val="0"/>
      <w:divBdr>
        <w:top w:val="none" w:sz="0" w:space="0" w:color="auto"/>
        <w:left w:val="none" w:sz="0" w:space="0" w:color="auto"/>
        <w:bottom w:val="none" w:sz="0" w:space="0" w:color="auto"/>
        <w:right w:val="none" w:sz="0" w:space="0" w:color="auto"/>
      </w:divBdr>
    </w:div>
    <w:div w:id="165290083">
      <w:bodyDiv w:val="1"/>
      <w:marLeft w:val="0"/>
      <w:marRight w:val="0"/>
      <w:marTop w:val="0"/>
      <w:marBottom w:val="0"/>
      <w:divBdr>
        <w:top w:val="none" w:sz="0" w:space="0" w:color="auto"/>
        <w:left w:val="none" w:sz="0" w:space="0" w:color="auto"/>
        <w:bottom w:val="none" w:sz="0" w:space="0" w:color="auto"/>
        <w:right w:val="none" w:sz="0" w:space="0" w:color="auto"/>
      </w:divBdr>
    </w:div>
    <w:div w:id="165439666">
      <w:bodyDiv w:val="1"/>
      <w:marLeft w:val="0"/>
      <w:marRight w:val="0"/>
      <w:marTop w:val="0"/>
      <w:marBottom w:val="0"/>
      <w:divBdr>
        <w:top w:val="none" w:sz="0" w:space="0" w:color="auto"/>
        <w:left w:val="none" w:sz="0" w:space="0" w:color="auto"/>
        <w:bottom w:val="none" w:sz="0" w:space="0" w:color="auto"/>
        <w:right w:val="none" w:sz="0" w:space="0" w:color="auto"/>
      </w:divBdr>
    </w:div>
    <w:div w:id="165488344">
      <w:bodyDiv w:val="1"/>
      <w:marLeft w:val="0"/>
      <w:marRight w:val="0"/>
      <w:marTop w:val="0"/>
      <w:marBottom w:val="0"/>
      <w:divBdr>
        <w:top w:val="none" w:sz="0" w:space="0" w:color="auto"/>
        <w:left w:val="none" w:sz="0" w:space="0" w:color="auto"/>
        <w:bottom w:val="none" w:sz="0" w:space="0" w:color="auto"/>
        <w:right w:val="none" w:sz="0" w:space="0" w:color="auto"/>
      </w:divBdr>
    </w:div>
    <w:div w:id="165557228">
      <w:bodyDiv w:val="1"/>
      <w:marLeft w:val="0"/>
      <w:marRight w:val="0"/>
      <w:marTop w:val="0"/>
      <w:marBottom w:val="0"/>
      <w:divBdr>
        <w:top w:val="none" w:sz="0" w:space="0" w:color="auto"/>
        <w:left w:val="none" w:sz="0" w:space="0" w:color="auto"/>
        <w:bottom w:val="none" w:sz="0" w:space="0" w:color="auto"/>
        <w:right w:val="none" w:sz="0" w:space="0" w:color="auto"/>
      </w:divBdr>
    </w:div>
    <w:div w:id="165558056">
      <w:bodyDiv w:val="1"/>
      <w:marLeft w:val="0"/>
      <w:marRight w:val="0"/>
      <w:marTop w:val="0"/>
      <w:marBottom w:val="0"/>
      <w:divBdr>
        <w:top w:val="none" w:sz="0" w:space="0" w:color="auto"/>
        <w:left w:val="none" w:sz="0" w:space="0" w:color="auto"/>
        <w:bottom w:val="none" w:sz="0" w:space="0" w:color="auto"/>
        <w:right w:val="none" w:sz="0" w:space="0" w:color="auto"/>
      </w:divBdr>
    </w:div>
    <w:div w:id="165830872">
      <w:bodyDiv w:val="1"/>
      <w:marLeft w:val="0"/>
      <w:marRight w:val="0"/>
      <w:marTop w:val="0"/>
      <w:marBottom w:val="0"/>
      <w:divBdr>
        <w:top w:val="none" w:sz="0" w:space="0" w:color="auto"/>
        <w:left w:val="none" w:sz="0" w:space="0" w:color="auto"/>
        <w:bottom w:val="none" w:sz="0" w:space="0" w:color="auto"/>
        <w:right w:val="none" w:sz="0" w:space="0" w:color="auto"/>
      </w:divBdr>
    </w:div>
    <w:div w:id="165873277">
      <w:bodyDiv w:val="1"/>
      <w:marLeft w:val="0"/>
      <w:marRight w:val="0"/>
      <w:marTop w:val="0"/>
      <w:marBottom w:val="0"/>
      <w:divBdr>
        <w:top w:val="none" w:sz="0" w:space="0" w:color="auto"/>
        <w:left w:val="none" w:sz="0" w:space="0" w:color="auto"/>
        <w:bottom w:val="none" w:sz="0" w:space="0" w:color="auto"/>
        <w:right w:val="none" w:sz="0" w:space="0" w:color="auto"/>
      </w:divBdr>
    </w:div>
    <w:div w:id="165943796">
      <w:bodyDiv w:val="1"/>
      <w:marLeft w:val="0"/>
      <w:marRight w:val="0"/>
      <w:marTop w:val="0"/>
      <w:marBottom w:val="0"/>
      <w:divBdr>
        <w:top w:val="none" w:sz="0" w:space="0" w:color="auto"/>
        <w:left w:val="none" w:sz="0" w:space="0" w:color="auto"/>
        <w:bottom w:val="none" w:sz="0" w:space="0" w:color="auto"/>
        <w:right w:val="none" w:sz="0" w:space="0" w:color="auto"/>
      </w:divBdr>
    </w:div>
    <w:div w:id="165944724">
      <w:bodyDiv w:val="1"/>
      <w:marLeft w:val="0"/>
      <w:marRight w:val="0"/>
      <w:marTop w:val="0"/>
      <w:marBottom w:val="0"/>
      <w:divBdr>
        <w:top w:val="none" w:sz="0" w:space="0" w:color="auto"/>
        <w:left w:val="none" w:sz="0" w:space="0" w:color="auto"/>
        <w:bottom w:val="none" w:sz="0" w:space="0" w:color="auto"/>
        <w:right w:val="none" w:sz="0" w:space="0" w:color="auto"/>
      </w:divBdr>
    </w:div>
    <w:div w:id="165948259">
      <w:bodyDiv w:val="1"/>
      <w:marLeft w:val="0"/>
      <w:marRight w:val="0"/>
      <w:marTop w:val="0"/>
      <w:marBottom w:val="0"/>
      <w:divBdr>
        <w:top w:val="none" w:sz="0" w:space="0" w:color="auto"/>
        <w:left w:val="none" w:sz="0" w:space="0" w:color="auto"/>
        <w:bottom w:val="none" w:sz="0" w:space="0" w:color="auto"/>
        <w:right w:val="none" w:sz="0" w:space="0" w:color="auto"/>
      </w:divBdr>
    </w:div>
    <w:div w:id="166023238">
      <w:bodyDiv w:val="1"/>
      <w:marLeft w:val="0"/>
      <w:marRight w:val="0"/>
      <w:marTop w:val="0"/>
      <w:marBottom w:val="0"/>
      <w:divBdr>
        <w:top w:val="none" w:sz="0" w:space="0" w:color="auto"/>
        <w:left w:val="none" w:sz="0" w:space="0" w:color="auto"/>
        <w:bottom w:val="none" w:sz="0" w:space="0" w:color="auto"/>
        <w:right w:val="none" w:sz="0" w:space="0" w:color="auto"/>
      </w:divBdr>
    </w:div>
    <w:div w:id="166212699">
      <w:bodyDiv w:val="1"/>
      <w:marLeft w:val="0"/>
      <w:marRight w:val="0"/>
      <w:marTop w:val="0"/>
      <w:marBottom w:val="0"/>
      <w:divBdr>
        <w:top w:val="none" w:sz="0" w:space="0" w:color="auto"/>
        <w:left w:val="none" w:sz="0" w:space="0" w:color="auto"/>
        <w:bottom w:val="none" w:sz="0" w:space="0" w:color="auto"/>
        <w:right w:val="none" w:sz="0" w:space="0" w:color="auto"/>
      </w:divBdr>
    </w:div>
    <w:div w:id="166291631">
      <w:bodyDiv w:val="1"/>
      <w:marLeft w:val="0"/>
      <w:marRight w:val="0"/>
      <w:marTop w:val="0"/>
      <w:marBottom w:val="0"/>
      <w:divBdr>
        <w:top w:val="none" w:sz="0" w:space="0" w:color="auto"/>
        <w:left w:val="none" w:sz="0" w:space="0" w:color="auto"/>
        <w:bottom w:val="none" w:sz="0" w:space="0" w:color="auto"/>
        <w:right w:val="none" w:sz="0" w:space="0" w:color="auto"/>
      </w:divBdr>
    </w:div>
    <w:div w:id="166600118">
      <w:bodyDiv w:val="1"/>
      <w:marLeft w:val="0"/>
      <w:marRight w:val="0"/>
      <w:marTop w:val="0"/>
      <w:marBottom w:val="0"/>
      <w:divBdr>
        <w:top w:val="none" w:sz="0" w:space="0" w:color="auto"/>
        <w:left w:val="none" w:sz="0" w:space="0" w:color="auto"/>
        <w:bottom w:val="none" w:sz="0" w:space="0" w:color="auto"/>
        <w:right w:val="none" w:sz="0" w:space="0" w:color="auto"/>
      </w:divBdr>
    </w:div>
    <w:div w:id="166754344">
      <w:bodyDiv w:val="1"/>
      <w:marLeft w:val="0"/>
      <w:marRight w:val="0"/>
      <w:marTop w:val="0"/>
      <w:marBottom w:val="0"/>
      <w:divBdr>
        <w:top w:val="none" w:sz="0" w:space="0" w:color="auto"/>
        <w:left w:val="none" w:sz="0" w:space="0" w:color="auto"/>
        <w:bottom w:val="none" w:sz="0" w:space="0" w:color="auto"/>
        <w:right w:val="none" w:sz="0" w:space="0" w:color="auto"/>
      </w:divBdr>
    </w:div>
    <w:div w:id="166792507">
      <w:bodyDiv w:val="1"/>
      <w:marLeft w:val="0"/>
      <w:marRight w:val="0"/>
      <w:marTop w:val="0"/>
      <w:marBottom w:val="0"/>
      <w:divBdr>
        <w:top w:val="none" w:sz="0" w:space="0" w:color="auto"/>
        <w:left w:val="none" w:sz="0" w:space="0" w:color="auto"/>
        <w:bottom w:val="none" w:sz="0" w:space="0" w:color="auto"/>
        <w:right w:val="none" w:sz="0" w:space="0" w:color="auto"/>
      </w:divBdr>
    </w:div>
    <w:div w:id="166866658">
      <w:bodyDiv w:val="1"/>
      <w:marLeft w:val="0"/>
      <w:marRight w:val="0"/>
      <w:marTop w:val="0"/>
      <w:marBottom w:val="0"/>
      <w:divBdr>
        <w:top w:val="none" w:sz="0" w:space="0" w:color="auto"/>
        <w:left w:val="none" w:sz="0" w:space="0" w:color="auto"/>
        <w:bottom w:val="none" w:sz="0" w:space="0" w:color="auto"/>
        <w:right w:val="none" w:sz="0" w:space="0" w:color="auto"/>
      </w:divBdr>
    </w:div>
    <w:div w:id="166870437">
      <w:bodyDiv w:val="1"/>
      <w:marLeft w:val="0"/>
      <w:marRight w:val="0"/>
      <w:marTop w:val="0"/>
      <w:marBottom w:val="0"/>
      <w:divBdr>
        <w:top w:val="none" w:sz="0" w:space="0" w:color="auto"/>
        <w:left w:val="none" w:sz="0" w:space="0" w:color="auto"/>
        <w:bottom w:val="none" w:sz="0" w:space="0" w:color="auto"/>
        <w:right w:val="none" w:sz="0" w:space="0" w:color="auto"/>
      </w:divBdr>
    </w:div>
    <w:div w:id="166871461">
      <w:bodyDiv w:val="1"/>
      <w:marLeft w:val="0"/>
      <w:marRight w:val="0"/>
      <w:marTop w:val="0"/>
      <w:marBottom w:val="0"/>
      <w:divBdr>
        <w:top w:val="none" w:sz="0" w:space="0" w:color="auto"/>
        <w:left w:val="none" w:sz="0" w:space="0" w:color="auto"/>
        <w:bottom w:val="none" w:sz="0" w:space="0" w:color="auto"/>
        <w:right w:val="none" w:sz="0" w:space="0" w:color="auto"/>
      </w:divBdr>
    </w:div>
    <w:div w:id="166941577">
      <w:bodyDiv w:val="1"/>
      <w:marLeft w:val="0"/>
      <w:marRight w:val="0"/>
      <w:marTop w:val="0"/>
      <w:marBottom w:val="0"/>
      <w:divBdr>
        <w:top w:val="none" w:sz="0" w:space="0" w:color="auto"/>
        <w:left w:val="none" w:sz="0" w:space="0" w:color="auto"/>
        <w:bottom w:val="none" w:sz="0" w:space="0" w:color="auto"/>
        <w:right w:val="none" w:sz="0" w:space="0" w:color="auto"/>
      </w:divBdr>
    </w:div>
    <w:div w:id="166942934">
      <w:bodyDiv w:val="1"/>
      <w:marLeft w:val="0"/>
      <w:marRight w:val="0"/>
      <w:marTop w:val="0"/>
      <w:marBottom w:val="0"/>
      <w:divBdr>
        <w:top w:val="none" w:sz="0" w:space="0" w:color="auto"/>
        <w:left w:val="none" w:sz="0" w:space="0" w:color="auto"/>
        <w:bottom w:val="none" w:sz="0" w:space="0" w:color="auto"/>
        <w:right w:val="none" w:sz="0" w:space="0" w:color="auto"/>
      </w:divBdr>
    </w:div>
    <w:div w:id="166948114">
      <w:bodyDiv w:val="1"/>
      <w:marLeft w:val="0"/>
      <w:marRight w:val="0"/>
      <w:marTop w:val="0"/>
      <w:marBottom w:val="0"/>
      <w:divBdr>
        <w:top w:val="none" w:sz="0" w:space="0" w:color="auto"/>
        <w:left w:val="none" w:sz="0" w:space="0" w:color="auto"/>
        <w:bottom w:val="none" w:sz="0" w:space="0" w:color="auto"/>
        <w:right w:val="none" w:sz="0" w:space="0" w:color="auto"/>
      </w:divBdr>
    </w:div>
    <w:div w:id="167142745">
      <w:bodyDiv w:val="1"/>
      <w:marLeft w:val="0"/>
      <w:marRight w:val="0"/>
      <w:marTop w:val="0"/>
      <w:marBottom w:val="0"/>
      <w:divBdr>
        <w:top w:val="none" w:sz="0" w:space="0" w:color="auto"/>
        <w:left w:val="none" w:sz="0" w:space="0" w:color="auto"/>
        <w:bottom w:val="none" w:sz="0" w:space="0" w:color="auto"/>
        <w:right w:val="none" w:sz="0" w:space="0" w:color="auto"/>
      </w:divBdr>
    </w:div>
    <w:div w:id="167182976">
      <w:bodyDiv w:val="1"/>
      <w:marLeft w:val="0"/>
      <w:marRight w:val="0"/>
      <w:marTop w:val="0"/>
      <w:marBottom w:val="0"/>
      <w:divBdr>
        <w:top w:val="none" w:sz="0" w:space="0" w:color="auto"/>
        <w:left w:val="none" w:sz="0" w:space="0" w:color="auto"/>
        <w:bottom w:val="none" w:sz="0" w:space="0" w:color="auto"/>
        <w:right w:val="none" w:sz="0" w:space="0" w:color="auto"/>
      </w:divBdr>
    </w:div>
    <w:div w:id="167256662">
      <w:bodyDiv w:val="1"/>
      <w:marLeft w:val="0"/>
      <w:marRight w:val="0"/>
      <w:marTop w:val="0"/>
      <w:marBottom w:val="0"/>
      <w:divBdr>
        <w:top w:val="none" w:sz="0" w:space="0" w:color="auto"/>
        <w:left w:val="none" w:sz="0" w:space="0" w:color="auto"/>
        <w:bottom w:val="none" w:sz="0" w:space="0" w:color="auto"/>
        <w:right w:val="none" w:sz="0" w:space="0" w:color="auto"/>
      </w:divBdr>
    </w:div>
    <w:div w:id="167525241">
      <w:bodyDiv w:val="1"/>
      <w:marLeft w:val="0"/>
      <w:marRight w:val="0"/>
      <w:marTop w:val="0"/>
      <w:marBottom w:val="0"/>
      <w:divBdr>
        <w:top w:val="none" w:sz="0" w:space="0" w:color="auto"/>
        <w:left w:val="none" w:sz="0" w:space="0" w:color="auto"/>
        <w:bottom w:val="none" w:sz="0" w:space="0" w:color="auto"/>
        <w:right w:val="none" w:sz="0" w:space="0" w:color="auto"/>
      </w:divBdr>
    </w:div>
    <w:div w:id="167596203">
      <w:bodyDiv w:val="1"/>
      <w:marLeft w:val="0"/>
      <w:marRight w:val="0"/>
      <w:marTop w:val="0"/>
      <w:marBottom w:val="0"/>
      <w:divBdr>
        <w:top w:val="none" w:sz="0" w:space="0" w:color="auto"/>
        <w:left w:val="none" w:sz="0" w:space="0" w:color="auto"/>
        <w:bottom w:val="none" w:sz="0" w:space="0" w:color="auto"/>
        <w:right w:val="none" w:sz="0" w:space="0" w:color="auto"/>
      </w:divBdr>
    </w:div>
    <w:div w:id="167601591">
      <w:bodyDiv w:val="1"/>
      <w:marLeft w:val="0"/>
      <w:marRight w:val="0"/>
      <w:marTop w:val="0"/>
      <w:marBottom w:val="0"/>
      <w:divBdr>
        <w:top w:val="none" w:sz="0" w:space="0" w:color="auto"/>
        <w:left w:val="none" w:sz="0" w:space="0" w:color="auto"/>
        <w:bottom w:val="none" w:sz="0" w:space="0" w:color="auto"/>
        <w:right w:val="none" w:sz="0" w:space="0" w:color="auto"/>
      </w:divBdr>
    </w:div>
    <w:div w:id="167671712">
      <w:bodyDiv w:val="1"/>
      <w:marLeft w:val="0"/>
      <w:marRight w:val="0"/>
      <w:marTop w:val="0"/>
      <w:marBottom w:val="0"/>
      <w:divBdr>
        <w:top w:val="none" w:sz="0" w:space="0" w:color="auto"/>
        <w:left w:val="none" w:sz="0" w:space="0" w:color="auto"/>
        <w:bottom w:val="none" w:sz="0" w:space="0" w:color="auto"/>
        <w:right w:val="none" w:sz="0" w:space="0" w:color="auto"/>
      </w:divBdr>
    </w:div>
    <w:div w:id="167673470">
      <w:bodyDiv w:val="1"/>
      <w:marLeft w:val="0"/>
      <w:marRight w:val="0"/>
      <w:marTop w:val="0"/>
      <w:marBottom w:val="0"/>
      <w:divBdr>
        <w:top w:val="none" w:sz="0" w:space="0" w:color="auto"/>
        <w:left w:val="none" w:sz="0" w:space="0" w:color="auto"/>
        <w:bottom w:val="none" w:sz="0" w:space="0" w:color="auto"/>
        <w:right w:val="none" w:sz="0" w:space="0" w:color="auto"/>
      </w:divBdr>
    </w:div>
    <w:div w:id="167715361">
      <w:bodyDiv w:val="1"/>
      <w:marLeft w:val="0"/>
      <w:marRight w:val="0"/>
      <w:marTop w:val="0"/>
      <w:marBottom w:val="0"/>
      <w:divBdr>
        <w:top w:val="none" w:sz="0" w:space="0" w:color="auto"/>
        <w:left w:val="none" w:sz="0" w:space="0" w:color="auto"/>
        <w:bottom w:val="none" w:sz="0" w:space="0" w:color="auto"/>
        <w:right w:val="none" w:sz="0" w:space="0" w:color="auto"/>
      </w:divBdr>
    </w:div>
    <w:div w:id="167794804">
      <w:bodyDiv w:val="1"/>
      <w:marLeft w:val="0"/>
      <w:marRight w:val="0"/>
      <w:marTop w:val="0"/>
      <w:marBottom w:val="0"/>
      <w:divBdr>
        <w:top w:val="none" w:sz="0" w:space="0" w:color="auto"/>
        <w:left w:val="none" w:sz="0" w:space="0" w:color="auto"/>
        <w:bottom w:val="none" w:sz="0" w:space="0" w:color="auto"/>
        <w:right w:val="none" w:sz="0" w:space="0" w:color="auto"/>
      </w:divBdr>
    </w:div>
    <w:div w:id="167839216">
      <w:bodyDiv w:val="1"/>
      <w:marLeft w:val="0"/>
      <w:marRight w:val="0"/>
      <w:marTop w:val="0"/>
      <w:marBottom w:val="0"/>
      <w:divBdr>
        <w:top w:val="none" w:sz="0" w:space="0" w:color="auto"/>
        <w:left w:val="none" w:sz="0" w:space="0" w:color="auto"/>
        <w:bottom w:val="none" w:sz="0" w:space="0" w:color="auto"/>
        <w:right w:val="none" w:sz="0" w:space="0" w:color="auto"/>
      </w:divBdr>
    </w:div>
    <w:div w:id="167986797">
      <w:bodyDiv w:val="1"/>
      <w:marLeft w:val="0"/>
      <w:marRight w:val="0"/>
      <w:marTop w:val="0"/>
      <w:marBottom w:val="0"/>
      <w:divBdr>
        <w:top w:val="none" w:sz="0" w:space="0" w:color="auto"/>
        <w:left w:val="none" w:sz="0" w:space="0" w:color="auto"/>
        <w:bottom w:val="none" w:sz="0" w:space="0" w:color="auto"/>
        <w:right w:val="none" w:sz="0" w:space="0" w:color="auto"/>
      </w:divBdr>
    </w:div>
    <w:div w:id="168065096">
      <w:bodyDiv w:val="1"/>
      <w:marLeft w:val="0"/>
      <w:marRight w:val="0"/>
      <w:marTop w:val="0"/>
      <w:marBottom w:val="0"/>
      <w:divBdr>
        <w:top w:val="none" w:sz="0" w:space="0" w:color="auto"/>
        <w:left w:val="none" w:sz="0" w:space="0" w:color="auto"/>
        <w:bottom w:val="none" w:sz="0" w:space="0" w:color="auto"/>
        <w:right w:val="none" w:sz="0" w:space="0" w:color="auto"/>
      </w:divBdr>
    </w:div>
    <w:div w:id="168374850">
      <w:bodyDiv w:val="1"/>
      <w:marLeft w:val="0"/>
      <w:marRight w:val="0"/>
      <w:marTop w:val="0"/>
      <w:marBottom w:val="0"/>
      <w:divBdr>
        <w:top w:val="none" w:sz="0" w:space="0" w:color="auto"/>
        <w:left w:val="none" w:sz="0" w:space="0" w:color="auto"/>
        <w:bottom w:val="none" w:sz="0" w:space="0" w:color="auto"/>
        <w:right w:val="none" w:sz="0" w:space="0" w:color="auto"/>
      </w:divBdr>
    </w:div>
    <w:div w:id="168562310">
      <w:bodyDiv w:val="1"/>
      <w:marLeft w:val="0"/>
      <w:marRight w:val="0"/>
      <w:marTop w:val="0"/>
      <w:marBottom w:val="0"/>
      <w:divBdr>
        <w:top w:val="none" w:sz="0" w:space="0" w:color="auto"/>
        <w:left w:val="none" w:sz="0" w:space="0" w:color="auto"/>
        <w:bottom w:val="none" w:sz="0" w:space="0" w:color="auto"/>
        <w:right w:val="none" w:sz="0" w:space="0" w:color="auto"/>
      </w:divBdr>
    </w:div>
    <w:div w:id="168562593">
      <w:bodyDiv w:val="1"/>
      <w:marLeft w:val="0"/>
      <w:marRight w:val="0"/>
      <w:marTop w:val="0"/>
      <w:marBottom w:val="0"/>
      <w:divBdr>
        <w:top w:val="none" w:sz="0" w:space="0" w:color="auto"/>
        <w:left w:val="none" w:sz="0" w:space="0" w:color="auto"/>
        <w:bottom w:val="none" w:sz="0" w:space="0" w:color="auto"/>
        <w:right w:val="none" w:sz="0" w:space="0" w:color="auto"/>
      </w:divBdr>
    </w:div>
    <w:div w:id="168719200">
      <w:bodyDiv w:val="1"/>
      <w:marLeft w:val="0"/>
      <w:marRight w:val="0"/>
      <w:marTop w:val="0"/>
      <w:marBottom w:val="0"/>
      <w:divBdr>
        <w:top w:val="none" w:sz="0" w:space="0" w:color="auto"/>
        <w:left w:val="none" w:sz="0" w:space="0" w:color="auto"/>
        <w:bottom w:val="none" w:sz="0" w:space="0" w:color="auto"/>
        <w:right w:val="none" w:sz="0" w:space="0" w:color="auto"/>
      </w:divBdr>
    </w:div>
    <w:div w:id="168721751">
      <w:bodyDiv w:val="1"/>
      <w:marLeft w:val="0"/>
      <w:marRight w:val="0"/>
      <w:marTop w:val="0"/>
      <w:marBottom w:val="0"/>
      <w:divBdr>
        <w:top w:val="none" w:sz="0" w:space="0" w:color="auto"/>
        <w:left w:val="none" w:sz="0" w:space="0" w:color="auto"/>
        <w:bottom w:val="none" w:sz="0" w:space="0" w:color="auto"/>
        <w:right w:val="none" w:sz="0" w:space="0" w:color="auto"/>
      </w:divBdr>
    </w:div>
    <w:div w:id="168756581">
      <w:bodyDiv w:val="1"/>
      <w:marLeft w:val="0"/>
      <w:marRight w:val="0"/>
      <w:marTop w:val="0"/>
      <w:marBottom w:val="0"/>
      <w:divBdr>
        <w:top w:val="none" w:sz="0" w:space="0" w:color="auto"/>
        <w:left w:val="none" w:sz="0" w:space="0" w:color="auto"/>
        <w:bottom w:val="none" w:sz="0" w:space="0" w:color="auto"/>
        <w:right w:val="none" w:sz="0" w:space="0" w:color="auto"/>
      </w:divBdr>
    </w:div>
    <w:div w:id="168762444">
      <w:bodyDiv w:val="1"/>
      <w:marLeft w:val="0"/>
      <w:marRight w:val="0"/>
      <w:marTop w:val="0"/>
      <w:marBottom w:val="0"/>
      <w:divBdr>
        <w:top w:val="none" w:sz="0" w:space="0" w:color="auto"/>
        <w:left w:val="none" w:sz="0" w:space="0" w:color="auto"/>
        <w:bottom w:val="none" w:sz="0" w:space="0" w:color="auto"/>
        <w:right w:val="none" w:sz="0" w:space="0" w:color="auto"/>
      </w:divBdr>
    </w:div>
    <w:div w:id="168838867">
      <w:bodyDiv w:val="1"/>
      <w:marLeft w:val="0"/>
      <w:marRight w:val="0"/>
      <w:marTop w:val="0"/>
      <w:marBottom w:val="0"/>
      <w:divBdr>
        <w:top w:val="none" w:sz="0" w:space="0" w:color="auto"/>
        <w:left w:val="none" w:sz="0" w:space="0" w:color="auto"/>
        <w:bottom w:val="none" w:sz="0" w:space="0" w:color="auto"/>
        <w:right w:val="none" w:sz="0" w:space="0" w:color="auto"/>
      </w:divBdr>
    </w:div>
    <w:div w:id="168954827">
      <w:bodyDiv w:val="1"/>
      <w:marLeft w:val="0"/>
      <w:marRight w:val="0"/>
      <w:marTop w:val="0"/>
      <w:marBottom w:val="0"/>
      <w:divBdr>
        <w:top w:val="none" w:sz="0" w:space="0" w:color="auto"/>
        <w:left w:val="none" w:sz="0" w:space="0" w:color="auto"/>
        <w:bottom w:val="none" w:sz="0" w:space="0" w:color="auto"/>
        <w:right w:val="none" w:sz="0" w:space="0" w:color="auto"/>
      </w:divBdr>
    </w:div>
    <w:div w:id="168983402">
      <w:bodyDiv w:val="1"/>
      <w:marLeft w:val="0"/>
      <w:marRight w:val="0"/>
      <w:marTop w:val="0"/>
      <w:marBottom w:val="0"/>
      <w:divBdr>
        <w:top w:val="none" w:sz="0" w:space="0" w:color="auto"/>
        <w:left w:val="none" w:sz="0" w:space="0" w:color="auto"/>
        <w:bottom w:val="none" w:sz="0" w:space="0" w:color="auto"/>
        <w:right w:val="none" w:sz="0" w:space="0" w:color="auto"/>
      </w:divBdr>
    </w:div>
    <w:div w:id="169025046">
      <w:bodyDiv w:val="1"/>
      <w:marLeft w:val="0"/>
      <w:marRight w:val="0"/>
      <w:marTop w:val="0"/>
      <w:marBottom w:val="0"/>
      <w:divBdr>
        <w:top w:val="none" w:sz="0" w:space="0" w:color="auto"/>
        <w:left w:val="none" w:sz="0" w:space="0" w:color="auto"/>
        <w:bottom w:val="none" w:sz="0" w:space="0" w:color="auto"/>
        <w:right w:val="none" w:sz="0" w:space="0" w:color="auto"/>
      </w:divBdr>
    </w:div>
    <w:div w:id="169107743">
      <w:bodyDiv w:val="1"/>
      <w:marLeft w:val="0"/>
      <w:marRight w:val="0"/>
      <w:marTop w:val="0"/>
      <w:marBottom w:val="0"/>
      <w:divBdr>
        <w:top w:val="none" w:sz="0" w:space="0" w:color="auto"/>
        <w:left w:val="none" w:sz="0" w:space="0" w:color="auto"/>
        <w:bottom w:val="none" w:sz="0" w:space="0" w:color="auto"/>
        <w:right w:val="none" w:sz="0" w:space="0" w:color="auto"/>
      </w:divBdr>
    </w:div>
    <w:div w:id="169107865">
      <w:bodyDiv w:val="1"/>
      <w:marLeft w:val="0"/>
      <w:marRight w:val="0"/>
      <w:marTop w:val="0"/>
      <w:marBottom w:val="0"/>
      <w:divBdr>
        <w:top w:val="none" w:sz="0" w:space="0" w:color="auto"/>
        <w:left w:val="none" w:sz="0" w:space="0" w:color="auto"/>
        <w:bottom w:val="none" w:sz="0" w:space="0" w:color="auto"/>
        <w:right w:val="none" w:sz="0" w:space="0" w:color="auto"/>
      </w:divBdr>
    </w:div>
    <w:div w:id="169295951">
      <w:bodyDiv w:val="1"/>
      <w:marLeft w:val="0"/>
      <w:marRight w:val="0"/>
      <w:marTop w:val="0"/>
      <w:marBottom w:val="0"/>
      <w:divBdr>
        <w:top w:val="none" w:sz="0" w:space="0" w:color="auto"/>
        <w:left w:val="none" w:sz="0" w:space="0" w:color="auto"/>
        <w:bottom w:val="none" w:sz="0" w:space="0" w:color="auto"/>
        <w:right w:val="none" w:sz="0" w:space="0" w:color="auto"/>
      </w:divBdr>
    </w:div>
    <w:div w:id="169301065">
      <w:bodyDiv w:val="1"/>
      <w:marLeft w:val="0"/>
      <w:marRight w:val="0"/>
      <w:marTop w:val="0"/>
      <w:marBottom w:val="0"/>
      <w:divBdr>
        <w:top w:val="none" w:sz="0" w:space="0" w:color="auto"/>
        <w:left w:val="none" w:sz="0" w:space="0" w:color="auto"/>
        <w:bottom w:val="none" w:sz="0" w:space="0" w:color="auto"/>
        <w:right w:val="none" w:sz="0" w:space="0" w:color="auto"/>
      </w:divBdr>
    </w:div>
    <w:div w:id="169375727">
      <w:bodyDiv w:val="1"/>
      <w:marLeft w:val="0"/>
      <w:marRight w:val="0"/>
      <w:marTop w:val="0"/>
      <w:marBottom w:val="0"/>
      <w:divBdr>
        <w:top w:val="none" w:sz="0" w:space="0" w:color="auto"/>
        <w:left w:val="none" w:sz="0" w:space="0" w:color="auto"/>
        <w:bottom w:val="none" w:sz="0" w:space="0" w:color="auto"/>
        <w:right w:val="none" w:sz="0" w:space="0" w:color="auto"/>
      </w:divBdr>
    </w:div>
    <w:div w:id="169376556">
      <w:bodyDiv w:val="1"/>
      <w:marLeft w:val="0"/>
      <w:marRight w:val="0"/>
      <w:marTop w:val="0"/>
      <w:marBottom w:val="0"/>
      <w:divBdr>
        <w:top w:val="none" w:sz="0" w:space="0" w:color="auto"/>
        <w:left w:val="none" w:sz="0" w:space="0" w:color="auto"/>
        <w:bottom w:val="none" w:sz="0" w:space="0" w:color="auto"/>
        <w:right w:val="none" w:sz="0" w:space="0" w:color="auto"/>
      </w:divBdr>
    </w:div>
    <w:div w:id="169564690">
      <w:bodyDiv w:val="1"/>
      <w:marLeft w:val="0"/>
      <w:marRight w:val="0"/>
      <w:marTop w:val="0"/>
      <w:marBottom w:val="0"/>
      <w:divBdr>
        <w:top w:val="none" w:sz="0" w:space="0" w:color="auto"/>
        <w:left w:val="none" w:sz="0" w:space="0" w:color="auto"/>
        <w:bottom w:val="none" w:sz="0" w:space="0" w:color="auto"/>
        <w:right w:val="none" w:sz="0" w:space="0" w:color="auto"/>
      </w:divBdr>
    </w:div>
    <w:div w:id="169566950">
      <w:bodyDiv w:val="1"/>
      <w:marLeft w:val="0"/>
      <w:marRight w:val="0"/>
      <w:marTop w:val="0"/>
      <w:marBottom w:val="0"/>
      <w:divBdr>
        <w:top w:val="none" w:sz="0" w:space="0" w:color="auto"/>
        <w:left w:val="none" w:sz="0" w:space="0" w:color="auto"/>
        <w:bottom w:val="none" w:sz="0" w:space="0" w:color="auto"/>
        <w:right w:val="none" w:sz="0" w:space="0" w:color="auto"/>
      </w:divBdr>
    </w:div>
    <w:div w:id="169759980">
      <w:bodyDiv w:val="1"/>
      <w:marLeft w:val="0"/>
      <w:marRight w:val="0"/>
      <w:marTop w:val="0"/>
      <w:marBottom w:val="0"/>
      <w:divBdr>
        <w:top w:val="none" w:sz="0" w:space="0" w:color="auto"/>
        <w:left w:val="none" w:sz="0" w:space="0" w:color="auto"/>
        <w:bottom w:val="none" w:sz="0" w:space="0" w:color="auto"/>
        <w:right w:val="none" w:sz="0" w:space="0" w:color="auto"/>
      </w:divBdr>
    </w:div>
    <w:div w:id="169831732">
      <w:bodyDiv w:val="1"/>
      <w:marLeft w:val="0"/>
      <w:marRight w:val="0"/>
      <w:marTop w:val="0"/>
      <w:marBottom w:val="0"/>
      <w:divBdr>
        <w:top w:val="none" w:sz="0" w:space="0" w:color="auto"/>
        <w:left w:val="none" w:sz="0" w:space="0" w:color="auto"/>
        <w:bottom w:val="none" w:sz="0" w:space="0" w:color="auto"/>
        <w:right w:val="none" w:sz="0" w:space="0" w:color="auto"/>
      </w:divBdr>
    </w:div>
    <w:div w:id="169875655">
      <w:bodyDiv w:val="1"/>
      <w:marLeft w:val="0"/>
      <w:marRight w:val="0"/>
      <w:marTop w:val="0"/>
      <w:marBottom w:val="0"/>
      <w:divBdr>
        <w:top w:val="none" w:sz="0" w:space="0" w:color="auto"/>
        <w:left w:val="none" w:sz="0" w:space="0" w:color="auto"/>
        <w:bottom w:val="none" w:sz="0" w:space="0" w:color="auto"/>
        <w:right w:val="none" w:sz="0" w:space="0" w:color="auto"/>
      </w:divBdr>
    </w:div>
    <w:div w:id="170031215">
      <w:bodyDiv w:val="1"/>
      <w:marLeft w:val="0"/>
      <w:marRight w:val="0"/>
      <w:marTop w:val="0"/>
      <w:marBottom w:val="0"/>
      <w:divBdr>
        <w:top w:val="none" w:sz="0" w:space="0" w:color="auto"/>
        <w:left w:val="none" w:sz="0" w:space="0" w:color="auto"/>
        <w:bottom w:val="none" w:sz="0" w:space="0" w:color="auto"/>
        <w:right w:val="none" w:sz="0" w:space="0" w:color="auto"/>
      </w:divBdr>
    </w:div>
    <w:div w:id="170069841">
      <w:bodyDiv w:val="1"/>
      <w:marLeft w:val="0"/>
      <w:marRight w:val="0"/>
      <w:marTop w:val="0"/>
      <w:marBottom w:val="0"/>
      <w:divBdr>
        <w:top w:val="none" w:sz="0" w:space="0" w:color="auto"/>
        <w:left w:val="none" w:sz="0" w:space="0" w:color="auto"/>
        <w:bottom w:val="none" w:sz="0" w:space="0" w:color="auto"/>
        <w:right w:val="none" w:sz="0" w:space="0" w:color="auto"/>
      </w:divBdr>
    </w:div>
    <w:div w:id="170070905">
      <w:bodyDiv w:val="1"/>
      <w:marLeft w:val="0"/>
      <w:marRight w:val="0"/>
      <w:marTop w:val="0"/>
      <w:marBottom w:val="0"/>
      <w:divBdr>
        <w:top w:val="none" w:sz="0" w:space="0" w:color="auto"/>
        <w:left w:val="none" w:sz="0" w:space="0" w:color="auto"/>
        <w:bottom w:val="none" w:sz="0" w:space="0" w:color="auto"/>
        <w:right w:val="none" w:sz="0" w:space="0" w:color="auto"/>
      </w:divBdr>
    </w:div>
    <w:div w:id="170146778">
      <w:bodyDiv w:val="1"/>
      <w:marLeft w:val="0"/>
      <w:marRight w:val="0"/>
      <w:marTop w:val="0"/>
      <w:marBottom w:val="0"/>
      <w:divBdr>
        <w:top w:val="none" w:sz="0" w:space="0" w:color="auto"/>
        <w:left w:val="none" w:sz="0" w:space="0" w:color="auto"/>
        <w:bottom w:val="none" w:sz="0" w:space="0" w:color="auto"/>
        <w:right w:val="none" w:sz="0" w:space="0" w:color="auto"/>
      </w:divBdr>
    </w:div>
    <w:div w:id="170338186">
      <w:bodyDiv w:val="1"/>
      <w:marLeft w:val="0"/>
      <w:marRight w:val="0"/>
      <w:marTop w:val="0"/>
      <w:marBottom w:val="0"/>
      <w:divBdr>
        <w:top w:val="none" w:sz="0" w:space="0" w:color="auto"/>
        <w:left w:val="none" w:sz="0" w:space="0" w:color="auto"/>
        <w:bottom w:val="none" w:sz="0" w:space="0" w:color="auto"/>
        <w:right w:val="none" w:sz="0" w:space="0" w:color="auto"/>
      </w:divBdr>
    </w:div>
    <w:div w:id="170339024">
      <w:bodyDiv w:val="1"/>
      <w:marLeft w:val="0"/>
      <w:marRight w:val="0"/>
      <w:marTop w:val="0"/>
      <w:marBottom w:val="0"/>
      <w:divBdr>
        <w:top w:val="none" w:sz="0" w:space="0" w:color="auto"/>
        <w:left w:val="none" w:sz="0" w:space="0" w:color="auto"/>
        <w:bottom w:val="none" w:sz="0" w:space="0" w:color="auto"/>
        <w:right w:val="none" w:sz="0" w:space="0" w:color="auto"/>
      </w:divBdr>
    </w:div>
    <w:div w:id="170487892">
      <w:bodyDiv w:val="1"/>
      <w:marLeft w:val="0"/>
      <w:marRight w:val="0"/>
      <w:marTop w:val="0"/>
      <w:marBottom w:val="0"/>
      <w:divBdr>
        <w:top w:val="none" w:sz="0" w:space="0" w:color="auto"/>
        <w:left w:val="none" w:sz="0" w:space="0" w:color="auto"/>
        <w:bottom w:val="none" w:sz="0" w:space="0" w:color="auto"/>
        <w:right w:val="none" w:sz="0" w:space="0" w:color="auto"/>
      </w:divBdr>
    </w:div>
    <w:div w:id="170489058">
      <w:bodyDiv w:val="1"/>
      <w:marLeft w:val="0"/>
      <w:marRight w:val="0"/>
      <w:marTop w:val="0"/>
      <w:marBottom w:val="0"/>
      <w:divBdr>
        <w:top w:val="none" w:sz="0" w:space="0" w:color="auto"/>
        <w:left w:val="none" w:sz="0" w:space="0" w:color="auto"/>
        <w:bottom w:val="none" w:sz="0" w:space="0" w:color="auto"/>
        <w:right w:val="none" w:sz="0" w:space="0" w:color="auto"/>
      </w:divBdr>
    </w:div>
    <w:div w:id="170528870">
      <w:bodyDiv w:val="1"/>
      <w:marLeft w:val="0"/>
      <w:marRight w:val="0"/>
      <w:marTop w:val="0"/>
      <w:marBottom w:val="0"/>
      <w:divBdr>
        <w:top w:val="none" w:sz="0" w:space="0" w:color="auto"/>
        <w:left w:val="none" w:sz="0" w:space="0" w:color="auto"/>
        <w:bottom w:val="none" w:sz="0" w:space="0" w:color="auto"/>
        <w:right w:val="none" w:sz="0" w:space="0" w:color="auto"/>
      </w:divBdr>
    </w:div>
    <w:div w:id="170611661">
      <w:bodyDiv w:val="1"/>
      <w:marLeft w:val="0"/>
      <w:marRight w:val="0"/>
      <w:marTop w:val="0"/>
      <w:marBottom w:val="0"/>
      <w:divBdr>
        <w:top w:val="none" w:sz="0" w:space="0" w:color="auto"/>
        <w:left w:val="none" w:sz="0" w:space="0" w:color="auto"/>
        <w:bottom w:val="none" w:sz="0" w:space="0" w:color="auto"/>
        <w:right w:val="none" w:sz="0" w:space="0" w:color="auto"/>
      </w:divBdr>
    </w:div>
    <w:div w:id="170722853">
      <w:bodyDiv w:val="1"/>
      <w:marLeft w:val="0"/>
      <w:marRight w:val="0"/>
      <w:marTop w:val="0"/>
      <w:marBottom w:val="0"/>
      <w:divBdr>
        <w:top w:val="none" w:sz="0" w:space="0" w:color="auto"/>
        <w:left w:val="none" w:sz="0" w:space="0" w:color="auto"/>
        <w:bottom w:val="none" w:sz="0" w:space="0" w:color="auto"/>
        <w:right w:val="none" w:sz="0" w:space="0" w:color="auto"/>
      </w:divBdr>
    </w:div>
    <w:div w:id="170797710">
      <w:bodyDiv w:val="1"/>
      <w:marLeft w:val="0"/>
      <w:marRight w:val="0"/>
      <w:marTop w:val="0"/>
      <w:marBottom w:val="0"/>
      <w:divBdr>
        <w:top w:val="none" w:sz="0" w:space="0" w:color="auto"/>
        <w:left w:val="none" w:sz="0" w:space="0" w:color="auto"/>
        <w:bottom w:val="none" w:sz="0" w:space="0" w:color="auto"/>
        <w:right w:val="none" w:sz="0" w:space="0" w:color="auto"/>
      </w:divBdr>
    </w:div>
    <w:div w:id="170947804">
      <w:bodyDiv w:val="1"/>
      <w:marLeft w:val="0"/>
      <w:marRight w:val="0"/>
      <w:marTop w:val="0"/>
      <w:marBottom w:val="0"/>
      <w:divBdr>
        <w:top w:val="none" w:sz="0" w:space="0" w:color="auto"/>
        <w:left w:val="none" w:sz="0" w:space="0" w:color="auto"/>
        <w:bottom w:val="none" w:sz="0" w:space="0" w:color="auto"/>
        <w:right w:val="none" w:sz="0" w:space="0" w:color="auto"/>
      </w:divBdr>
    </w:div>
    <w:div w:id="170947972">
      <w:bodyDiv w:val="1"/>
      <w:marLeft w:val="0"/>
      <w:marRight w:val="0"/>
      <w:marTop w:val="0"/>
      <w:marBottom w:val="0"/>
      <w:divBdr>
        <w:top w:val="none" w:sz="0" w:space="0" w:color="auto"/>
        <w:left w:val="none" w:sz="0" w:space="0" w:color="auto"/>
        <w:bottom w:val="none" w:sz="0" w:space="0" w:color="auto"/>
        <w:right w:val="none" w:sz="0" w:space="0" w:color="auto"/>
      </w:divBdr>
    </w:div>
    <w:div w:id="170995072">
      <w:bodyDiv w:val="1"/>
      <w:marLeft w:val="0"/>
      <w:marRight w:val="0"/>
      <w:marTop w:val="0"/>
      <w:marBottom w:val="0"/>
      <w:divBdr>
        <w:top w:val="none" w:sz="0" w:space="0" w:color="auto"/>
        <w:left w:val="none" w:sz="0" w:space="0" w:color="auto"/>
        <w:bottom w:val="none" w:sz="0" w:space="0" w:color="auto"/>
        <w:right w:val="none" w:sz="0" w:space="0" w:color="auto"/>
      </w:divBdr>
    </w:div>
    <w:div w:id="171145134">
      <w:bodyDiv w:val="1"/>
      <w:marLeft w:val="0"/>
      <w:marRight w:val="0"/>
      <w:marTop w:val="0"/>
      <w:marBottom w:val="0"/>
      <w:divBdr>
        <w:top w:val="none" w:sz="0" w:space="0" w:color="auto"/>
        <w:left w:val="none" w:sz="0" w:space="0" w:color="auto"/>
        <w:bottom w:val="none" w:sz="0" w:space="0" w:color="auto"/>
        <w:right w:val="none" w:sz="0" w:space="0" w:color="auto"/>
      </w:divBdr>
    </w:div>
    <w:div w:id="171191929">
      <w:bodyDiv w:val="1"/>
      <w:marLeft w:val="0"/>
      <w:marRight w:val="0"/>
      <w:marTop w:val="0"/>
      <w:marBottom w:val="0"/>
      <w:divBdr>
        <w:top w:val="none" w:sz="0" w:space="0" w:color="auto"/>
        <w:left w:val="none" w:sz="0" w:space="0" w:color="auto"/>
        <w:bottom w:val="none" w:sz="0" w:space="0" w:color="auto"/>
        <w:right w:val="none" w:sz="0" w:space="0" w:color="auto"/>
      </w:divBdr>
    </w:div>
    <w:div w:id="171258653">
      <w:bodyDiv w:val="1"/>
      <w:marLeft w:val="0"/>
      <w:marRight w:val="0"/>
      <w:marTop w:val="0"/>
      <w:marBottom w:val="0"/>
      <w:divBdr>
        <w:top w:val="none" w:sz="0" w:space="0" w:color="auto"/>
        <w:left w:val="none" w:sz="0" w:space="0" w:color="auto"/>
        <w:bottom w:val="none" w:sz="0" w:space="0" w:color="auto"/>
        <w:right w:val="none" w:sz="0" w:space="0" w:color="auto"/>
      </w:divBdr>
    </w:div>
    <w:div w:id="171261087">
      <w:bodyDiv w:val="1"/>
      <w:marLeft w:val="0"/>
      <w:marRight w:val="0"/>
      <w:marTop w:val="0"/>
      <w:marBottom w:val="0"/>
      <w:divBdr>
        <w:top w:val="none" w:sz="0" w:space="0" w:color="auto"/>
        <w:left w:val="none" w:sz="0" w:space="0" w:color="auto"/>
        <w:bottom w:val="none" w:sz="0" w:space="0" w:color="auto"/>
        <w:right w:val="none" w:sz="0" w:space="0" w:color="auto"/>
      </w:divBdr>
    </w:div>
    <w:div w:id="171377153">
      <w:bodyDiv w:val="1"/>
      <w:marLeft w:val="0"/>
      <w:marRight w:val="0"/>
      <w:marTop w:val="0"/>
      <w:marBottom w:val="0"/>
      <w:divBdr>
        <w:top w:val="none" w:sz="0" w:space="0" w:color="auto"/>
        <w:left w:val="none" w:sz="0" w:space="0" w:color="auto"/>
        <w:bottom w:val="none" w:sz="0" w:space="0" w:color="auto"/>
        <w:right w:val="none" w:sz="0" w:space="0" w:color="auto"/>
      </w:divBdr>
    </w:div>
    <w:div w:id="171576074">
      <w:bodyDiv w:val="1"/>
      <w:marLeft w:val="0"/>
      <w:marRight w:val="0"/>
      <w:marTop w:val="0"/>
      <w:marBottom w:val="0"/>
      <w:divBdr>
        <w:top w:val="none" w:sz="0" w:space="0" w:color="auto"/>
        <w:left w:val="none" w:sz="0" w:space="0" w:color="auto"/>
        <w:bottom w:val="none" w:sz="0" w:space="0" w:color="auto"/>
        <w:right w:val="none" w:sz="0" w:space="0" w:color="auto"/>
      </w:divBdr>
    </w:div>
    <w:div w:id="171722335">
      <w:bodyDiv w:val="1"/>
      <w:marLeft w:val="0"/>
      <w:marRight w:val="0"/>
      <w:marTop w:val="0"/>
      <w:marBottom w:val="0"/>
      <w:divBdr>
        <w:top w:val="none" w:sz="0" w:space="0" w:color="auto"/>
        <w:left w:val="none" w:sz="0" w:space="0" w:color="auto"/>
        <w:bottom w:val="none" w:sz="0" w:space="0" w:color="auto"/>
        <w:right w:val="none" w:sz="0" w:space="0" w:color="auto"/>
      </w:divBdr>
    </w:div>
    <w:div w:id="171922555">
      <w:bodyDiv w:val="1"/>
      <w:marLeft w:val="0"/>
      <w:marRight w:val="0"/>
      <w:marTop w:val="0"/>
      <w:marBottom w:val="0"/>
      <w:divBdr>
        <w:top w:val="none" w:sz="0" w:space="0" w:color="auto"/>
        <w:left w:val="none" w:sz="0" w:space="0" w:color="auto"/>
        <w:bottom w:val="none" w:sz="0" w:space="0" w:color="auto"/>
        <w:right w:val="none" w:sz="0" w:space="0" w:color="auto"/>
      </w:divBdr>
    </w:div>
    <w:div w:id="171995803">
      <w:bodyDiv w:val="1"/>
      <w:marLeft w:val="0"/>
      <w:marRight w:val="0"/>
      <w:marTop w:val="0"/>
      <w:marBottom w:val="0"/>
      <w:divBdr>
        <w:top w:val="none" w:sz="0" w:space="0" w:color="auto"/>
        <w:left w:val="none" w:sz="0" w:space="0" w:color="auto"/>
        <w:bottom w:val="none" w:sz="0" w:space="0" w:color="auto"/>
        <w:right w:val="none" w:sz="0" w:space="0" w:color="auto"/>
      </w:divBdr>
    </w:div>
    <w:div w:id="171997353">
      <w:bodyDiv w:val="1"/>
      <w:marLeft w:val="0"/>
      <w:marRight w:val="0"/>
      <w:marTop w:val="0"/>
      <w:marBottom w:val="0"/>
      <w:divBdr>
        <w:top w:val="none" w:sz="0" w:space="0" w:color="auto"/>
        <w:left w:val="none" w:sz="0" w:space="0" w:color="auto"/>
        <w:bottom w:val="none" w:sz="0" w:space="0" w:color="auto"/>
        <w:right w:val="none" w:sz="0" w:space="0" w:color="auto"/>
      </w:divBdr>
    </w:div>
    <w:div w:id="172036763">
      <w:bodyDiv w:val="1"/>
      <w:marLeft w:val="0"/>
      <w:marRight w:val="0"/>
      <w:marTop w:val="0"/>
      <w:marBottom w:val="0"/>
      <w:divBdr>
        <w:top w:val="none" w:sz="0" w:space="0" w:color="auto"/>
        <w:left w:val="none" w:sz="0" w:space="0" w:color="auto"/>
        <w:bottom w:val="none" w:sz="0" w:space="0" w:color="auto"/>
        <w:right w:val="none" w:sz="0" w:space="0" w:color="auto"/>
      </w:divBdr>
    </w:div>
    <w:div w:id="172107651">
      <w:bodyDiv w:val="1"/>
      <w:marLeft w:val="0"/>
      <w:marRight w:val="0"/>
      <w:marTop w:val="0"/>
      <w:marBottom w:val="0"/>
      <w:divBdr>
        <w:top w:val="none" w:sz="0" w:space="0" w:color="auto"/>
        <w:left w:val="none" w:sz="0" w:space="0" w:color="auto"/>
        <w:bottom w:val="none" w:sz="0" w:space="0" w:color="auto"/>
        <w:right w:val="none" w:sz="0" w:space="0" w:color="auto"/>
      </w:divBdr>
    </w:div>
    <w:div w:id="172185812">
      <w:bodyDiv w:val="1"/>
      <w:marLeft w:val="0"/>
      <w:marRight w:val="0"/>
      <w:marTop w:val="0"/>
      <w:marBottom w:val="0"/>
      <w:divBdr>
        <w:top w:val="none" w:sz="0" w:space="0" w:color="auto"/>
        <w:left w:val="none" w:sz="0" w:space="0" w:color="auto"/>
        <w:bottom w:val="none" w:sz="0" w:space="0" w:color="auto"/>
        <w:right w:val="none" w:sz="0" w:space="0" w:color="auto"/>
      </w:divBdr>
    </w:div>
    <w:div w:id="172188062">
      <w:bodyDiv w:val="1"/>
      <w:marLeft w:val="0"/>
      <w:marRight w:val="0"/>
      <w:marTop w:val="0"/>
      <w:marBottom w:val="0"/>
      <w:divBdr>
        <w:top w:val="none" w:sz="0" w:space="0" w:color="auto"/>
        <w:left w:val="none" w:sz="0" w:space="0" w:color="auto"/>
        <w:bottom w:val="none" w:sz="0" w:space="0" w:color="auto"/>
        <w:right w:val="none" w:sz="0" w:space="0" w:color="auto"/>
      </w:divBdr>
    </w:div>
    <w:div w:id="172231120">
      <w:bodyDiv w:val="1"/>
      <w:marLeft w:val="0"/>
      <w:marRight w:val="0"/>
      <w:marTop w:val="0"/>
      <w:marBottom w:val="0"/>
      <w:divBdr>
        <w:top w:val="none" w:sz="0" w:space="0" w:color="auto"/>
        <w:left w:val="none" w:sz="0" w:space="0" w:color="auto"/>
        <w:bottom w:val="none" w:sz="0" w:space="0" w:color="auto"/>
        <w:right w:val="none" w:sz="0" w:space="0" w:color="auto"/>
      </w:divBdr>
    </w:div>
    <w:div w:id="172303153">
      <w:bodyDiv w:val="1"/>
      <w:marLeft w:val="0"/>
      <w:marRight w:val="0"/>
      <w:marTop w:val="0"/>
      <w:marBottom w:val="0"/>
      <w:divBdr>
        <w:top w:val="none" w:sz="0" w:space="0" w:color="auto"/>
        <w:left w:val="none" w:sz="0" w:space="0" w:color="auto"/>
        <w:bottom w:val="none" w:sz="0" w:space="0" w:color="auto"/>
        <w:right w:val="none" w:sz="0" w:space="0" w:color="auto"/>
      </w:divBdr>
    </w:div>
    <w:div w:id="172304100">
      <w:bodyDiv w:val="1"/>
      <w:marLeft w:val="0"/>
      <w:marRight w:val="0"/>
      <w:marTop w:val="0"/>
      <w:marBottom w:val="0"/>
      <w:divBdr>
        <w:top w:val="none" w:sz="0" w:space="0" w:color="auto"/>
        <w:left w:val="none" w:sz="0" w:space="0" w:color="auto"/>
        <w:bottom w:val="none" w:sz="0" w:space="0" w:color="auto"/>
        <w:right w:val="none" w:sz="0" w:space="0" w:color="auto"/>
      </w:divBdr>
    </w:div>
    <w:div w:id="172305199">
      <w:bodyDiv w:val="1"/>
      <w:marLeft w:val="0"/>
      <w:marRight w:val="0"/>
      <w:marTop w:val="0"/>
      <w:marBottom w:val="0"/>
      <w:divBdr>
        <w:top w:val="none" w:sz="0" w:space="0" w:color="auto"/>
        <w:left w:val="none" w:sz="0" w:space="0" w:color="auto"/>
        <w:bottom w:val="none" w:sz="0" w:space="0" w:color="auto"/>
        <w:right w:val="none" w:sz="0" w:space="0" w:color="auto"/>
      </w:divBdr>
    </w:div>
    <w:div w:id="172375478">
      <w:bodyDiv w:val="1"/>
      <w:marLeft w:val="0"/>
      <w:marRight w:val="0"/>
      <w:marTop w:val="0"/>
      <w:marBottom w:val="0"/>
      <w:divBdr>
        <w:top w:val="none" w:sz="0" w:space="0" w:color="auto"/>
        <w:left w:val="none" w:sz="0" w:space="0" w:color="auto"/>
        <w:bottom w:val="none" w:sz="0" w:space="0" w:color="auto"/>
        <w:right w:val="none" w:sz="0" w:space="0" w:color="auto"/>
      </w:divBdr>
    </w:div>
    <w:div w:id="172568824">
      <w:bodyDiv w:val="1"/>
      <w:marLeft w:val="0"/>
      <w:marRight w:val="0"/>
      <w:marTop w:val="0"/>
      <w:marBottom w:val="0"/>
      <w:divBdr>
        <w:top w:val="none" w:sz="0" w:space="0" w:color="auto"/>
        <w:left w:val="none" w:sz="0" w:space="0" w:color="auto"/>
        <w:bottom w:val="none" w:sz="0" w:space="0" w:color="auto"/>
        <w:right w:val="none" w:sz="0" w:space="0" w:color="auto"/>
      </w:divBdr>
    </w:div>
    <w:div w:id="172568966">
      <w:bodyDiv w:val="1"/>
      <w:marLeft w:val="0"/>
      <w:marRight w:val="0"/>
      <w:marTop w:val="0"/>
      <w:marBottom w:val="0"/>
      <w:divBdr>
        <w:top w:val="none" w:sz="0" w:space="0" w:color="auto"/>
        <w:left w:val="none" w:sz="0" w:space="0" w:color="auto"/>
        <w:bottom w:val="none" w:sz="0" w:space="0" w:color="auto"/>
        <w:right w:val="none" w:sz="0" w:space="0" w:color="auto"/>
      </w:divBdr>
    </w:div>
    <w:div w:id="172959879">
      <w:bodyDiv w:val="1"/>
      <w:marLeft w:val="0"/>
      <w:marRight w:val="0"/>
      <w:marTop w:val="0"/>
      <w:marBottom w:val="0"/>
      <w:divBdr>
        <w:top w:val="none" w:sz="0" w:space="0" w:color="auto"/>
        <w:left w:val="none" w:sz="0" w:space="0" w:color="auto"/>
        <w:bottom w:val="none" w:sz="0" w:space="0" w:color="auto"/>
        <w:right w:val="none" w:sz="0" w:space="0" w:color="auto"/>
      </w:divBdr>
    </w:div>
    <w:div w:id="173156943">
      <w:bodyDiv w:val="1"/>
      <w:marLeft w:val="0"/>
      <w:marRight w:val="0"/>
      <w:marTop w:val="0"/>
      <w:marBottom w:val="0"/>
      <w:divBdr>
        <w:top w:val="none" w:sz="0" w:space="0" w:color="auto"/>
        <w:left w:val="none" w:sz="0" w:space="0" w:color="auto"/>
        <w:bottom w:val="none" w:sz="0" w:space="0" w:color="auto"/>
        <w:right w:val="none" w:sz="0" w:space="0" w:color="auto"/>
      </w:divBdr>
    </w:div>
    <w:div w:id="173231462">
      <w:bodyDiv w:val="1"/>
      <w:marLeft w:val="0"/>
      <w:marRight w:val="0"/>
      <w:marTop w:val="0"/>
      <w:marBottom w:val="0"/>
      <w:divBdr>
        <w:top w:val="none" w:sz="0" w:space="0" w:color="auto"/>
        <w:left w:val="none" w:sz="0" w:space="0" w:color="auto"/>
        <w:bottom w:val="none" w:sz="0" w:space="0" w:color="auto"/>
        <w:right w:val="none" w:sz="0" w:space="0" w:color="auto"/>
      </w:divBdr>
    </w:div>
    <w:div w:id="173343602">
      <w:bodyDiv w:val="1"/>
      <w:marLeft w:val="0"/>
      <w:marRight w:val="0"/>
      <w:marTop w:val="0"/>
      <w:marBottom w:val="0"/>
      <w:divBdr>
        <w:top w:val="none" w:sz="0" w:space="0" w:color="auto"/>
        <w:left w:val="none" w:sz="0" w:space="0" w:color="auto"/>
        <w:bottom w:val="none" w:sz="0" w:space="0" w:color="auto"/>
        <w:right w:val="none" w:sz="0" w:space="0" w:color="auto"/>
      </w:divBdr>
    </w:div>
    <w:div w:id="173347681">
      <w:bodyDiv w:val="1"/>
      <w:marLeft w:val="0"/>
      <w:marRight w:val="0"/>
      <w:marTop w:val="0"/>
      <w:marBottom w:val="0"/>
      <w:divBdr>
        <w:top w:val="none" w:sz="0" w:space="0" w:color="auto"/>
        <w:left w:val="none" w:sz="0" w:space="0" w:color="auto"/>
        <w:bottom w:val="none" w:sz="0" w:space="0" w:color="auto"/>
        <w:right w:val="none" w:sz="0" w:space="0" w:color="auto"/>
      </w:divBdr>
    </w:div>
    <w:div w:id="173540070">
      <w:bodyDiv w:val="1"/>
      <w:marLeft w:val="0"/>
      <w:marRight w:val="0"/>
      <w:marTop w:val="0"/>
      <w:marBottom w:val="0"/>
      <w:divBdr>
        <w:top w:val="none" w:sz="0" w:space="0" w:color="auto"/>
        <w:left w:val="none" w:sz="0" w:space="0" w:color="auto"/>
        <w:bottom w:val="none" w:sz="0" w:space="0" w:color="auto"/>
        <w:right w:val="none" w:sz="0" w:space="0" w:color="auto"/>
      </w:divBdr>
    </w:div>
    <w:div w:id="173571201">
      <w:bodyDiv w:val="1"/>
      <w:marLeft w:val="0"/>
      <w:marRight w:val="0"/>
      <w:marTop w:val="0"/>
      <w:marBottom w:val="0"/>
      <w:divBdr>
        <w:top w:val="none" w:sz="0" w:space="0" w:color="auto"/>
        <w:left w:val="none" w:sz="0" w:space="0" w:color="auto"/>
        <w:bottom w:val="none" w:sz="0" w:space="0" w:color="auto"/>
        <w:right w:val="none" w:sz="0" w:space="0" w:color="auto"/>
      </w:divBdr>
    </w:div>
    <w:div w:id="173619729">
      <w:bodyDiv w:val="1"/>
      <w:marLeft w:val="0"/>
      <w:marRight w:val="0"/>
      <w:marTop w:val="0"/>
      <w:marBottom w:val="0"/>
      <w:divBdr>
        <w:top w:val="none" w:sz="0" w:space="0" w:color="auto"/>
        <w:left w:val="none" w:sz="0" w:space="0" w:color="auto"/>
        <w:bottom w:val="none" w:sz="0" w:space="0" w:color="auto"/>
        <w:right w:val="none" w:sz="0" w:space="0" w:color="auto"/>
      </w:divBdr>
    </w:div>
    <w:div w:id="173810478">
      <w:bodyDiv w:val="1"/>
      <w:marLeft w:val="0"/>
      <w:marRight w:val="0"/>
      <w:marTop w:val="0"/>
      <w:marBottom w:val="0"/>
      <w:divBdr>
        <w:top w:val="none" w:sz="0" w:space="0" w:color="auto"/>
        <w:left w:val="none" w:sz="0" w:space="0" w:color="auto"/>
        <w:bottom w:val="none" w:sz="0" w:space="0" w:color="auto"/>
        <w:right w:val="none" w:sz="0" w:space="0" w:color="auto"/>
      </w:divBdr>
    </w:div>
    <w:div w:id="173884340">
      <w:bodyDiv w:val="1"/>
      <w:marLeft w:val="0"/>
      <w:marRight w:val="0"/>
      <w:marTop w:val="0"/>
      <w:marBottom w:val="0"/>
      <w:divBdr>
        <w:top w:val="none" w:sz="0" w:space="0" w:color="auto"/>
        <w:left w:val="none" w:sz="0" w:space="0" w:color="auto"/>
        <w:bottom w:val="none" w:sz="0" w:space="0" w:color="auto"/>
        <w:right w:val="none" w:sz="0" w:space="0" w:color="auto"/>
      </w:divBdr>
    </w:div>
    <w:div w:id="173886932">
      <w:bodyDiv w:val="1"/>
      <w:marLeft w:val="0"/>
      <w:marRight w:val="0"/>
      <w:marTop w:val="0"/>
      <w:marBottom w:val="0"/>
      <w:divBdr>
        <w:top w:val="none" w:sz="0" w:space="0" w:color="auto"/>
        <w:left w:val="none" w:sz="0" w:space="0" w:color="auto"/>
        <w:bottom w:val="none" w:sz="0" w:space="0" w:color="auto"/>
        <w:right w:val="none" w:sz="0" w:space="0" w:color="auto"/>
      </w:divBdr>
    </w:div>
    <w:div w:id="174000145">
      <w:bodyDiv w:val="1"/>
      <w:marLeft w:val="0"/>
      <w:marRight w:val="0"/>
      <w:marTop w:val="0"/>
      <w:marBottom w:val="0"/>
      <w:divBdr>
        <w:top w:val="none" w:sz="0" w:space="0" w:color="auto"/>
        <w:left w:val="none" w:sz="0" w:space="0" w:color="auto"/>
        <w:bottom w:val="none" w:sz="0" w:space="0" w:color="auto"/>
        <w:right w:val="none" w:sz="0" w:space="0" w:color="auto"/>
      </w:divBdr>
    </w:div>
    <w:div w:id="174001177">
      <w:bodyDiv w:val="1"/>
      <w:marLeft w:val="0"/>
      <w:marRight w:val="0"/>
      <w:marTop w:val="0"/>
      <w:marBottom w:val="0"/>
      <w:divBdr>
        <w:top w:val="none" w:sz="0" w:space="0" w:color="auto"/>
        <w:left w:val="none" w:sz="0" w:space="0" w:color="auto"/>
        <w:bottom w:val="none" w:sz="0" w:space="0" w:color="auto"/>
        <w:right w:val="none" w:sz="0" w:space="0" w:color="auto"/>
      </w:divBdr>
    </w:div>
    <w:div w:id="174006929">
      <w:bodyDiv w:val="1"/>
      <w:marLeft w:val="0"/>
      <w:marRight w:val="0"/>
      <w:marTop w:val="0"/>
      <w:marBottom w:val="0"/>
      <w:divBdr>
        <w:top w:val="none" w:sz="0" w:space="0" w:color="auto"/>
        <w:left w:val="none" w:sz="0" w:space="0" w:color="auto"/>
        <w:bottom w:val="none" w:sz="0" w:space="0" w:color="auto"/>
        <w:right w:val="none" w:sz="0" w:space="0" w:color="auto"/>
      </w:divBdr>
    </w:div>
    <w:div w:id="174075582">
      <w:bodyDiv w:val="1"/>
      <w:marLeft w:val="0"/>
      <w:marRight w:val="0"/>
      <w:marTop w:val="0"/>
      <w:marBottom w:val="0"/>
      <w:divBdr>
        <w:top w:val="none" w:sz="0" w:space="0" w:color="auto"/>
        <w:left w:val="none" w:sz="0" w:space="0" w:color="auto"/>
        <w:bottom w:val="none" w:sz="0" w:space="0" w:color="auto"/>
        <w:right w:val="none" w:sz="0" w:space="0" w:color="auto"/>
      </w:divBdr>
    </w:div>
    <w:div w:id="174198952">
      <w:bodyDiv w:val="1"/>
      <w:marLeft w:val="0"/>
      <w:marRight w:val="0"/>
      <w:marTop w:val="0"/>
      <w:marBottom w:val="0"/>
      <w:divBdr>
        <w:top w:val="none" w:sz="0" w:space="0" w:color="auto"/>
        <w:left w:val="none" w:sz="0" w:space="0" w:color="auto"/>
        <w:bottom w:val="none" w:sz="0" w:space="0" w:color="auto"/>
        <w:right w:val="none" w:sz="0" w:space="0" w:color="auto"/>
      </w:divBdr>
    </w:div>
    <w:div w:id="174271512">
      <w:bodyDiv w:val="1"/>
      <w:marLeft w:val="0"/>
      <w:marRight w:val="0"/>
      <w:marTop w:val="0"/>
      <w:marBottom w:val="0"/>
      <w:divBdr>
        <w:top w:val="none" w:sz="0" w:space="0" w:color="auto"/>
        <w:left w:val="none" w:sz="0" w:space="0" w:color="auto"/>
        <w:bottom w:val="none" w:sz="0" w:space="0" w:color="auto"/>
        <w:right w:val="none" w:sz="0" w:space="0" w:color="auto"/>
      </w:divBdr>
    </w:div>
    <w:div w:id="174341620">
      <w:bodyDiv w:val="1"/>
      <w:marLeft w:val="0"/>
      <w:marRight w:val="0"/>
      <w:marTop w:val="0"/>
      <w:marBottom w:val="0"/>
      <w:divBdr>
        <w:top w:val="none" w:sz="0" w:space="0" w:color="auto"/>
        <w:left w:val="none" w:sz="0" w:space="0" w:color="auto"/>
        <w:bottom w:val="none" w:sz="0" w:space="0" w:color="auto"/>
        <w:right w:val="none" w:sz="0" w:space="0" w:color="auto"/>
      </w:divBdr>
    </w:div>
    <w:div w:id="174343383">
      <w:bodyDiv w:val="1"/>
      <w:marLeft w:val="0"/>
      <w:marRight w:val="0"/>
      <w:marTop w:val="0"/>
      <w:marBottom w:val="0"/>
      <w:divBdr>
        <w:top w:val="none" w:sz="0" w:space="0" w:color="auto"/>
        <w:left w:val="none" w:sz="0" w:space="0" w:color="auto"/>
        <w:bottom w:val="none" w:sz="0" w:space="0" w:color="auto"/>
        <w:right w:val="none" w:sz="0" w:space="0" w:color="auto"/>
      </w:divBdr>
    </w:div>
    <w:div w:id="174392264">
      <w:bodyDiv w:val="1"/>
      <w:marLeft w:val="0"/>
      <w:marRight w:val="0"/>
      <w:marTop w:val="0"/>
      <w:marBottom w:val="0"/>
      <w:divBdr>
        <w:top w:val="none" w:sz="0" w:space="0" w:color="auto"/>
        <w:left w:val="none" w:sz="0" w:space="0" w:color="auto"/>
        <w:bottom w:val="none" w:sz="0" w:space="0" w:color="auto"/>
        <w:right w:val="none" w:sz="0" w:space="0" w:color="auto"/>
      </w:divBdr>
    </w:div>
    <w:div w:id="174419187">
      <w:bodyDiv w:val="1"/>
      <w:marLeft w:val="0"/>
      <w:marRight w:val="0"/>
      <w:marTop w:val="0"/>
      <w:marBottom w:val="0"/>
      <w:divBdr>
        <w:top w:val="none" w:sz="0" w:space="0" w:color="auto"/>
        <w:left w:val="none" w:sz="0" w:space="0" w:color="auto"/>
        <w:bottom w:val="none" w:sz="0" w:space="0" w:color="auto"/>
        <w:right w:val="none" w:sz="0" w:space="0" w:color="auto"/>
      </w:divBdr>
    </w:div>
    <w:div w:id="174468611">
      <w:bodyDiv w:val="1"/>
      <w:marLeft w:val="0"/>
      <w:marRight w:val="0"/>
      <w:marTop w:val="0"/>
      <w:marBottom w:val="0"/>
      <w:divBdr>
        <w:top w:val="none" w:sz="0" w:space="0" w:color="auto"/>
        <w:left w:val="none" w:sz="0" w:space="0" w:color="auto"/>
        <w:bottom w:val="none" w:sz="0" w:space="0" w:color="auto"/>
        <w:right w:val="none" w:sz="0" w:space="0" w:color="auto"/>
      </w:divBdr>
    </w:div>
    <w:div w:id="174612952">
      <w:bodyDiv w:val="1"/>
      <w:marLeft w:val="0"/>
      <w:marRight w:val="0"/>
      <w:marTop w:val="0"/>
      <w:marBottom w:val="0"/>
      <w:divBdr>
        <w:top w:val="none" w:sz="0" w:space="0" w:color="auto"/>
        <w:left w:val="none" w:sz="0" w:space="0" w:color="auto"/>
        <w:bottom w:val="none" w:sz="0" w:space="0" w:color="auto"/>
        <w:right w:val="none" w:sz="0" w:space="0" w:color="auto"/>
      </w:divBdr>
    </w:div>
    <w:div w:id="174809504">
      <w:bodyDiv w:val="1"/>
      <w:marLeft w:val="0"/>
      <w:marRight w:val="0"/>
      <w:marTop w:val="0"/>
      <w:marBottom w:val="0"/>
      <w:divBdr>
        <w:top w:val="none" w:sz="0" w:space="0" w:color="auto"/>
        <w:left w:val="none" w:sz="0" w:space="0" w:color="auto"/>
        <w:bottom w:val="none" w:sz="0" w:space="0" w:color="auto"/>
        <w:right w:val="none" w:sz="0" w:space="0" w:color="auto"/>
      </w:divBdr>
    </w:div>
    <w:div w:id="174850146">
      <w:bodyDiv w:val="1"/>
      <w:marLeft w:val="0"/>
      <w:marRight w:val="0"/>
      <w:marTop w:val="0"/>
      <w:marBottom w:val="0"/>
      <w:divBdr>
        <w:top w:val="none" w:sz="0" w:space="0" w:color="auto"/>
        <w:left w:val="none" w:sz="0" w:space="0" w:color="auto"/>
        <w:bottom w:val="none" w:sz="0" w:space="0" w:color="auto"/>
        <w:right w:val="none" w:sz="0" w:space="0" w:color="auto"/>
      </w:divBdr>
    </w:div>
    <w:div w:id="174853031">
      <w:bodyDiv w:val="1"/>
      <w:marLeft w:val="0"/>
      <w:marRight w:val="0"/>
      <w:marTop w:val="0"/>
      <w:marBottom w:val="0"/>
      <w:divBdr>
        <w:top w:val="none" w:sz="0" w:space="0" w:color="auto"/>
        <w:left w:val="none" w:sz="0" w:space="0" w:color="auto"/>
        <w:bottom w:val="none" w:sz="0" w:space="0" w:color="auto"/>
        <w:right w:val="none" w:sz="0" w:space="0" w:color="auto"/>
      </w:divBdr>
    </w:div>
    <w:div w:id="174854806">
      <w:bodyDiv w:val="1"/>
      <w:marLeft w:val="0"/>
      <w:marRight w:val="0"/>
      <w:marTop w:val="0"/>
      <w:marBottom w:val="0"/>
      <w:divBdr>
        <w:top w:val="none" w:sz="0" w:space="0" w:color="auto"/>
        <w:left w:val="none" w:sz="0" w:space="0" w:color="auto"/>
        <w:bottom w:val="none" w:sz="0" w:space="0" w:color="auto"/>
        <w:right w:val="none" w:sz="0" w:space="0" w:color="auto"/>
      </w:divBdr>
    </w:div>
    <w:div w:id="174924101">
      <w:bodyDiv w:val="1"/>
      <w:marLeft w:val="0"/>
      <w:marRight w:val="0"/>
      <w:marTop w:val="0"/>
      <w:marBottom w:val="0"/>
      <w:divBdr>
        <w:top w:val="none" w:sz="0" w:space="0" w:color="auto"/>
        <w:left w:val="none" w:sz="0" w:space="0" w:color="auto"/>
        <w:bottom w:val="none" w:sz="0" w:space="0" w:color="auto"/>
        <w:right w:val="none" w:sz="0" w:space="0" w:color="auto"/>
      </w:divBdr>
    </w:div>
    <w:div w:id="174930237">
      <w:bodyDiv w:val="1"/>
      <w:marLeft w:val="0"/>
      <w:marRight w:val="0"/>
      <w:marTop w:val="0"/>
      <w:marBottom w:val="0"/>
      <w:divBdr>
        <w:top w:val="none" w:sz="0" w:space="0" w:color="auto"/>
        <w:left w:val="none" w:sz="0" w:space="0" w:color="auto"/>
        <w:bottom w:val="none" w:sz="0" w:space="0" w:color="auto"/>
        <w:right w:val="none" w:sz="0" w:space="0" w:color="auto"/>
      </w:divBdr>
    </w:div>
    <w:div w:id="175194803">
      <w:bodyDiv w:val="1"/>
      <w:marLeft w:val="0"/>
      <w:marRight w:val="0"/>
      <w:marTop w:val="0"/>
      <w:marBottom w:val="0"/>
      <w:divBdr>
        <w:top w:val="none" w:sz="0" w:space="0" w:color="auto"/>
        <w:left w:val="none" w:sz="0" w:space="0" w:color="auto"/>
        <w:bottom w:val="none" w:sz="0" w:space="0" w:color="auto"/>
        <w:right w:val="none" w:sz="0" w:space="0" w:color="auto"/>
      </w:divBdr>
    </w:div>
    <w:div w:id="175195090">
      <w:bodyDiv w:val="1"/>
      <w:marLeft w:val="0"/>
      <w:marRight w:val="0"/>
      <w:marTop w:val="0"/>
      <w:marBottom w:val="0"/>
      <w:divBdr>
        <w:top w:val="none" w:sz="0" w:space="0" w:color="auto"/>
        <w:left w:val="none" w:sz="0" w:space="0" w:color="auto"/>
        <w:bottom w:val="none" w:sz="0" w:space="0" w:color="auto"/>
        <w:right w:val="none" w:sz="0" w:space="0" w:color="auto"/>
      </w:divBdr>
    </w:div>
    <w:div w:id="175271367">
      <w:bodyDiv w:val="1"/>
      <w:marLeft w:val="0"/>
      <w:marRight w:val="0"/>
      <w:marTop w:val="0"/>
      <w:marBottom w:val="0"/>
      <w:divBdr>
        <w:top w:val="none" w:sz="0" w:space="0" w:color="auto"/>
        <w:left w:val="none" w:sz="0" w:space="0" w:color="auto"/>
        <w:bottom w:val="none" w:sz="0" w:space="0" w:color="auto"/>
        <w:right w:val="none" w:sz="0" w:space="0" w:color="auto"/>
      </w:divBdr>
    </w:div>
    <w:div w:id="175308983">
      <w:bodyDiv w:val="1"/>
      <w:marLeft w:val="0"/>
      <w:marRight w:val="0"/>
      <w:marTop w:val="0"/>
      <w:marBottom w:val="0"/>
      <w:divBdr>
        <w:top w:val="none" w:sz="0" w:space="0" w:color="auto"/>
        <w:left w:val="none" w:sz="0" w:space="0" w:color="auto"/>
        <w:bottom w:val="none" w:sz="0" w:space="0" w:color="auto"/>
        <w:right w:val="none" w:sz="0" w:space="0" w:color="auto"/>
      </w:divBdr>
    </w:div>
    <w:div w:id="175315955">
      <w:bodyDiv w:val="1"/>
      <w:marLeft w:val="0"/>
      <w:marRight w:val="0"/>
      <w:marTop w:val="0"/>
      <w:marBottom w:val="0"/>
      <w:divBdr>
        <w:top w:val="none" w:sz="0" w:space="0" w:color="auto"/>
        <w:left w:val="none" w:sz="0" w:space="0" w:color="auto"/>
        <w:bottom w:val="none" w:sz="0" w:space="0" w:color="auto"/>
        <w:right w:val="none" w:sz="0" w:space="0" w:color="auto"/>
      </w:divBdr>
    </w:div>
    <w:div w:id="175390934">
      <w:bodyDiv w:val="1"/>
      <w:marLeft w:val="0"/>
      <w:marRight w:val="0"/>
      <w:marTop w:val="0"/>
      <w:marBottom w:val="0"/>
      <w:divBdr>
        <w:top w:val="none" w:sz="0" w:space="0" w:color="auto"/>
        <w:left w:val="none" w:sz="0" w:space="0" w:color="auto"/>
        <w:bottom w:val="none" w:sz="0" w:space="0" w:color="auto"/>
        <w:right w:val="none" w:sz="0" w:space="0" w:color="auto"/>
      </w:divBdr>
    </w:div>
    <w:div w:id="175392765">
      <w:bodyDiv w:val="1"/>
      <w:marLeft w:val="0"/>
      <w:marRight w:val="0"/>
      <w:marTop w:val="0"/>
      <w:marBottom w:val="0"/>
      <w:divBdr>
        <w:top w:val="none" w:sz="0" w:space="0" w:color="auto"/>
        <w:left w:val="none" w:sz="0" w:space="0" w:color="auto"/>
        <w:bottom w:val="none" w:sz="0" w:space="0" w:color="auto"/>
        <w:right w:val="none" w:sz="0" w:space="0" w:color="auto"/>
      </w:divBdr>
    </w:div>
    <w:div w:id="175509115">
      <w:bodyDiv w:val="1"/>
      <w:marLeft w:val="0"/>
      <w:marRight w:val="0"/>
      <w:marTop w:val="0"/>
      <w:marBottom w:val="0"/>
      <w:divBdr>
        <w:top w:val="none" w:sz="0" w:space="0" w:color="auto"/>
        <w:left w:val="none" w:sz="0" w:space="0" w:color="auto"/>
        <w:bottom w:val="none" w:sz="0" w:space="0" w:color="auto"/>
        <w:right w:val="none" w:sz="0" w:space="0" w:color="auto"/>
      </w:divBdr>
    </w:div>
    <w:div w:id="175536889">
      <w:bodyDiv w:val="1"/>
      <w:marLeft w:val="0"/>
      <w:marRight w:val="0"/>
      <w:marTop w:val="0"/>
      <w:marBottom w:val="0"/>
      <w:divBdr>
        <w:top w:val="none" w:sz="0" w:space="0" w:color="auto"/>
        <w:left w:val="none" w:sz="0" w:space="0" w:color="auto"/>
        <w:bottom w:val="none" w:sz="0" w:space="0" w:color="auto"/>
        <w:right w:val="none" w:sz="0" w:space="0" w:color="auto"/>
      </w:divBdr>
    </w:div>
    <w:div w:id="175577942">
      <w:bodyDiv w:val="1"/>
      <w:marLeft w:val="0"/>
      <w:marRight w:val="0"/>
      <w:marTop w:val="0"/>
      <w:marBottom w:val="0"/>
      <w:divBdr>
        <w:top w:val="none" w:sz="0" w:space="0" w:color="auto"/>
        <w:left w:val="none" w:sz="0" w:space="0" w:color="auto"/>
        <w:bottom w:val="none" w:sz="0" w:space="0" w:color="auto"/>
        <w:right w:val="none" w:sz="0" w:space="0" w:color="auto"/>
      </w:divBdr>
    </w:div>
    <w:div w:id="175583049">
      <w:bodyDiv w:val="1"/>
      <w:marLeft w:val="0"/>
      <w:marRight w:val="0"/>
      <w:marTop w:val="0"/>
      <w:marBottom w:val="0"/>
      <w:divBdr>
        <w:top w:val="none" w:sz="0" w:space="0" w:color="auto"/>
        <w:left w:val="none" w:sz="0" w:space="0" w:color="auto"/>
        <w:bottom w:val="none" w:sz="0" w:space="0" w:color="auto"/>
        <w:right w:val="none" w:sz="0" w:space="0" w:color="auto"/>
      </w:divBdr>
    </w:div>
    <w:div w:id="175770582">
      <w:bodyDiv w:val="1"/>
      <w:marLeft w:val="0"/>
      <w:marRight w:val="0"/>
      <w:marTop w:val="0"/>
      <w:marBottom w:val="0"/>
      <w:divBdr>
        <w:top w:val="none" w:sz="0" w:space="0" w:color="auto"/>
        <w:left w:val="none" w:sz="0" w:space="0" w:color="auto"/>
        <w:bottom w:val="none" w:sz="0" w:space="0" w:color="auto"/>
        <w:right w:val="none" w:sz="0" w:space="0" w:color="auto"/>
      </w:divBdr>
    </w:div>
    <w:div w:id="175845687">
      <w:bodyDiv w:val="1"/>
      <w:marLeft w:val="0"/>
      <w:marRight w:val="0"/>
      <w:marTop w:val="0"/>
      <w:marBottom w:val="0"/>
      <w:divBdr>
        <w:top w:val="none" w:sz="0" w:space="0" w:color="auto"/>
        <w:left w:val="none" w:sz="0" w:space="0" w:color="auto"/>
        <w:bottom w:val="none" w:sz="0" w:space="0" w:color="auto"/>
        <w:right w:val="none" w:sz="0" w:space="0" w:color="auto"/>
      </w:divBdr>
    </w:div>
    <w:div w:id="175966138">
      <w:bodyDiv w:val="1"/>
      <w:marLeft w:val="0"/>
      <w:marRight w:val="0"/>
      <w:marTop w:val="0"/>
      <w:marBottom w:val="0"/>
      <w:divBdr>
        <w:top w:val="none" w:sz="0" w:space="0" w:color="auto"/>
        <w:left w:val="none" w:sz="0" w:space="0" w:color="auto"/>
        <w:bottom w:val="none" w:sz="0" w:space="0" w:color="auto"/>
        <w:right w:val="none" w:sz="0" w:space="0" w:color="auto"/>
      </w:divBdr>
    </w:div>
    <w:div w:id="176040793">
      <w:bodyDiv w:val="1"/>
      <w:marLeft w:val="0"/>
      <w:marRight w:val="0"/>
      <w:marTop w:val="0"/>
      <w:marBottom w:val="0"/>
      <w:divBdr>
        <w:top w:val="none" w:sz="0" w:space="0" w:color="auto"/>
        <w:left w:val="none" w:sz="0" w:space="0" w:color="auto"/>
        <w:bottom w:val="none" w:sz="0" w:space="0" w:color="auto"/>
        <w:right w:val="none" w:sz="0" w:space="0" w:color="auto"/>
      </w:divBdr>
    </w:div>
    <w:div w:id="176116397">
      <w:bodyDiv w:val="1"/>
      <w:marLeft w:val="0"/>
      <w:marRight w:val="0"/>
      <w:marTop w:val="0"/>
      <w:marBottom w:val="0"/>
      <w:divBdr>
        <w:top w:val="none" w:sz="0" w:space="0" w:color="auto"/>
        <w:left w:val="none" w:sz="0" w:space="0" w:color="auto"/>
        <w:bottom w:val="none" w:sz="0" w:space="0" w:color="auto"/>
        <w:right w:val="none" w:sz="0" w:space="0" w:color="auto"/>
      </w:divBdr>
    </w:div>
    <w:div w:id="176117125">
      <w:bodyDiv w:val="1"/>
      <w:marLeft w:val="0"/>
      <w:marRight w:val="0"/>
      <w:marTop w:val="0"/>
      <w:marBottom w:val="0"/>
      <w:divBdr>
        <w:top w:val="none" w:sz="0" w:space="0" w:color="auto"/>
        <w:left w:val="none" w:sz="0" w:space="0" w:color="auto"/>
        <w:bottom w:val="none" w:sz="0" w:space="0" w:color="auto"/>
        <w:right w:val="none" w:sz="0" w:space="0" w:color="auto"/>
      </w:divBdr>
    </w:div>
    <w:div w:id="176119351">
      <w:bodyDiv w:val="1"/>
      <w:marLeft w:val="0"/>
      <w:marRight w:val="0"/>
      <w:marTop w:val="0"/>
      <w:marBottom w:val="0"/>
      <w:divBdr>
        <w:top w:val="none" w:sz="0" w:space="0" w:color="auto"/>
        <w:left w:val="none" w:sz="0" w:space="0" w:color="auto"/>
        <w:bottom w:val="none" w:sz="0" w:space="0" w:color="auto"/>
        <w:right w:val="none" w:sz="0" w:space="0" w:color="auto"/>
      </w:divBdr>
    </w:div>
    <w:div w:id="176237277">
      <w:bodyDiv w:val="1"/>
      <w:marLeft w:val="0"/>
      <w:marRight w:val="0"/>
      <w:marTop w:val="0"/>
      <w:marBottom w:val="0"/>
      <w:divBdr>
        <w:top w:val="none" w:sz="0" w:space="0" w:color="auto"/>
        <w:left w:val="none" w:sz="0" w:space="0" w:color="auto"/>
        <w:bottom w:val="none" w:sz="0" w:space="0" w:color="auto"/>
        <w:right w:val="none" w:sz="0" w:space="0" w:color="auto"/>
      </w:divBdr>
    </w:div>
    <w:div w:id="176620155">
      <w:bodyDiv w:val="1"/>
      <w:marLeft w:val="0"/>
      <w:marRight w:val="0"/>
      <w:marTop w:val="0"/>
      <w:marBottom w:val="0"/>
      <w:divBdr>
        <w:top w:val="none" w:sz="0" w:space="0" w:color="auto"/>
        <w:left w:val="none" w:sz="0" w:space="0" w:color="auto"/>
        <w:bottom w:val="none" w:sz="0" w:space="0" w:color="auto"/>
        <w:right w:val="none" w:sz="0" w:space="0" w:color="auto"/>
      </w:divBdr>
    </w:div>
    <w:div w:id="176701072">
      <w:bodyDiv w:val="1"/>
      <w:marLeft w:val="0"/>
      <w:marRight w:val="0"/>
      <w:marTop w:val="0"/>
      <w:marBottom w:val="0"/>
      <w:divBdr>
        <w:top w:val="none" w:sz="0" w:space="0" w:color="auto"/>
        <w:left w:val="none" w:sz="0" w:space="0" w:color="auto"/>
        <w:bottom w:val="none" w:sz="0" w:space="0" w:color="auto"/>
        <w:right w:val="none" w:sz="0" w:space="0" w:color="auto"/>
      </w:divBdr>
    </w:div>
    <w:div w:id="176844646">
      <w:bodyDiv w:val="1"/>
      <w:marLeft w:val="0"/>
      <w:marRight w:val="0"/>
      <w:marTop w:val="0"/>
      <w:marBottom w:val="0"/>
      <w:divBdr>
        <w:top w:val="none" w:sz="0" w:space="0" w:color="auto"/>
        <w:left w:val="none" w:sz="0" w:space="0" w:color="auto"/>
        <w:bottom w:val="none" w:sz="0" w:space="0" w:color="auto"/>
        <w:right w:val="none" w:sz="0" w:space="0" w:color="auto"/>
      </w:divBdr>
    </w:div>
    <w:div w:id="176970468">
      <w:bodyDiv w:val="1"/>
      <w:marLeft w:val="0"/>
      <w:marRight w:val="0"/>
      <w:marTop w:val="0"/>
      <w:marBottom w:val="0"/>
      <w:divBdr>
        <w:top w:val="none" w:sz="0" w:space="0" w:color="auto"/>
        <w:left w:val="none" w:sz="0" w:space="0" w:color="auto"/>
        <w:bottom w:val="none" w:sz="0" w:space="0" w:color="auto"/>
        <w:right w:val="none" w:sz="0" w:space="0" w:color="auto"/>
      </w:divBdr>
    </w:div>
    <w:div w:id="177038332">
      <w:bodyDiv w:val="1"/>
      <w:marLeft w:val="0"/>
      <w:marRight w:val="0"/>
      <w:marTop w:val="0"/>
      <w:marBottom w:val="0"/>
      <w:divBdr>
        <w:top w:val="none" w:sz="0" w:space="0" w:color="auto"/>
        <w:left w:val="none" w:sz="0" w:space="0" w:color="auto"/>
        <w:bottom w:val="none" w:sz="0" w:space="0" w:color="auto"/>
        <w:right w:val="none" w:sz="0" w:space="0" w:color="auto"/>
      </w:divBdr>
    </w:div>
    <w:div w:id="177043027">
      <w:bodyDiv w:val="1"/>
      <w:marLeft w:val="0"/>
      <w:marRight w:val="0"/>
      <w:marTop w:val="0"/>
      <w:marBottom w:val="0"/>
      <w:divBdr>
        <w:top w:val="none" w:sz="0" w:space="0" w:color="auto"/>
        <w:left w:val="none" w:sz="0" w:space="0" w:color="auto"/>
        <w:bottom w:val="none" w:sz="0" w:space="0" w:color="auto"/>
        <w:right w:val="none" w:sz="0" w:space="0" w:color="auto"/>
      </w:divBdr>
    </w:div>
    <w:div w:id="177084753">
      <w:bodyDiv w:val="1"/>
      <w:marLeft w:val="0"/>
      <w:marRight w:val="0"/>
      <w:marTop w:val="0"/>
      <w:marBottom w:val="0"/>
      <w:divBdr>
        <w:top w:val="none" w:sz="0" w:space="0" w:color="auto"/>
        <w:left w:val="none" w:sz="0" w:space="0" w:color="auto"/>
        <w:bottom w:val="none" w:sz="0" w:space="0" w:color="auto"/>
        <w:right w:val="none" w:sz="0" w:space="0" w:color="auto"/>
      </w:divBdr>
    </w:div>
    <w:div w:id="177232108">
      <w:bodyDiv w:val="1"/>
      <w:marLeft w:val="0"/>
      <w:marRight w:val="0"/>
      <w:marTop w:val="0"/>
      <w:marBottom w:val="0"/>
      <w:divBdr>
        <w:top w:val="none" w:sz="0" w:space="0" w:color="auto"/>
        <w:left w:val="none" w:sz="0" w:space="0" w:color="auto"/>
        <w:bottom w:val="none" w:sz="0" w:space="0" w:color="auto"/>
        <w:right w:val="none" w:sz="0" w:space="0" w:color="auto"/>
      </w:divBdr>
    </w:div>
    <w:div w:id="177239637">
      <w:bodyDiv w:val="1"/>
      <w:marLeft w:val="0"/>
      <w:marRight w:val="0"/>
      <w:marTop w:val="0"/>
      <w:marBottom w:val="0"/>
      <w:divBdr>
        <w:top w:val="none" w:sz="0" w:space="0" w:color="auto"/>
        <w:left w:val="none" w:sz="0" w:space="0" w:color="auto"/>
        <w:bottom w:val="none" w:sz="0" w:space="0" w:color="auto"/>
        <w:right w:val="none" w:sz="0" w:space="0" w:color="auto"/>
      </w:divBdr>
    </w:div>
    <w:div w:id="177277976">
      <w:bodyDiv w:val="1"/>
      <w:marLeft w:val="0"/>
      <w:marRight w:val="0"/>
      <w:marTop w:val="0"/>
      <w:marBottom w:val="0"/>
      <w:divBdr>
        <w:top w:val="none" w:sz="0" w:space="0" w:color="auto"/>
        <w:left w:val="none" w:sz="0" w:space="0" w:color="auto"/>
        <w:bottom w:val="none" w:sz="0" w:space="0" w:color="auto"/>
        <w:right w:val="none" w:sz="0" w:space="0" w:color="auto"/>
      </w:divBdr>
    </w:div>
    <w:div w:id="177280458">
      <w:bodyDiv w:val="1"/>
      <w:marLeft w:val="0"/>
      <w:marRight w:val="0"/>
      <w:marTop w:val="0"/>
      <w:marBottom w:val="0"/>
      <w:divBdr>
        <w:top w:val="none" w:sz="0" w:space="0" w:color="auto"/>
        <w:left w:val="none" w:sz="0" w:space="0" w:color="auto"/>
        <w:bottom w:val="none" w:sz="0" w:space="0" w:color="auto"/>
        <w:right w:val="none" w:sz="0" w:space="0" w:color="auto"/>
      </w:divBdr>
    </w:div>
    <w:div w:id="177306877">
      <w:bodyDiv w:val="1"/>
      <w:marLeft w:val="0"/>
      <w:marRight w:val="0"/>
      <w:marTop w:val="0"/>
      <w:marBottom w:val="0"/>
      <w:divBdr>
        <w:top w:val="none" w:sz="0" w:space="0" w:color="auto"/>
        <w:left w:val="none" w:sz="0" w:space="0" w:color="auto"/>
        <w:bottom w:val="none" w:sz="0" w:space="0" w:color="auto"/>
        <w:right w:val="none" w:sz="0" w:space="0" w:color="auto"/>
      </w:divBdr>
    </w:div>
    <w:div w:id="177351235">
      <w:bodyDiv w:val="1"/>
      <w:marLeft w:val="0"/>
      <w:marRight w:val="0"/>
      <w:marTop w:val="0"/>
      <w:marBottom w:val="0"/>
      <w:divBdr>
        <w:top w:val="none" w:sz="0" w:space="0" w:color="auto"/>
        <w:left w:val="none" w:sz="0" w:space="0" w:color="auto"/>
        <w:bottom w:val="none" w:sz="0" w:space="0" w:color="auto"/>
        <w:right w:val="none" w:sz="0" w:space="0" w:color="auto"/>
      </w:divBdr>
    </w:div>
    <w:div w:id="177355852">
      <w:bodyDiv w:val="1"/>
      <w:marLeft w:val="0"/>
      <w:marRight w:val="0"/>
      <w:marTop w:val="0"/>
      <w:marBottom w:val="0"/>
      <w:divBdr>
        <w:top w:val="none" w:sz="0" w:space="0" w:color="auto"/>
        <w:left w:val="none" w:sz="0" w:space="0" w:color="auto"/>
        <w:bottom w:val="none" w:sz="0" w:space="0" w:color="auto"/>
        <w:right w:val="none" w:sz="0" w:space="0" w:color="auto"/>
      </w:divBdr>
    </w:div>
    <w:div w:id="177430066">
      <w:bodyDiv w:val="1"/>
      <w:marLeft w:val="0"/>
      <w:marRight w:val="0"/>
      <w:marTop w:val="0"/>
      <w:marBottom w:val="0"/>
      <w:divBdr>
        <w:top w:val="none" w:sz="0" w:space="0" w:color="auto"/>
        <w:left w:val="none" w:sz="0" w:space="0" w:color="auto"/>
        <w:bottom w:val="none" w:sz="0" w:space="0" w:color="auto"/>
        <w:right w:val="none" w:sz="0" w:space="0" w:color="auto"/>
      </w:divBdr>
    </w:div>
    <w:div w:id="177623755">
      <w:bodyDiv w:val="1"/>
      <w:marLeft w:val="0"/>
      <w:marRight w:val="0"/>
      <w:marTop w:val="0"/>
      <w:marBottom w:val="0"/>
      <w:divBdr>
        <w:top w:val="none" w:sz="0" w:space="0" w:color="auto"/>
        <w:left w:val="none" w:sz="0" w:space="0" w:color="auto"/>
        <w:bottom w:val="none" w:sz="0" w:space="0" w:color="auto"/>
        <w:right w:val="none" w:sz="0" w:space="0" w:color="auto"/>
      </w:divBdr>
    </w:div>
    <w:div w:id="177694565">
      <w:bodyDiv w:val="1"/>
      <w:marLeft w:val="0"/>
      <w:marRight w:val="0"/>
      <w:marTop w:val="0"/>
      <w:marBottom w:val="0"/>
      <w:divBdr>
        <w:top w:val="none" w:sz="0" w:space="0" w:color="auto"/>
        <w:left w:val="none" w:sz="0" w:space="0" w:color="auto"/>
        <w:bottom w:val="none" w:sz="0" w:space="0" w:color="auto"/>
        <w:right w:val="none" w:sz="0" w:space="0" w:color="auto"/>
      </w:divBdr>
    </w:div>
    <w:div w:id="177700739">
      <w:bodyDiv w:val="1"/>
      <w:marLeft w:val="0"/>
      <w:marRight w:val="0"/>
      <w:marTop w:val="0"/>
      <w:marBottom w:val="0"/>
      <w:divBdr>
        <w:top w:val="none" w:sz="0" w:space="0" w:color="auto"/>
        <w:left w:val="none" w:sz="0" w:space="0" w:color="auto"/>
        <w:bottom w:val="none" w:sz="0" w:space="0" w:color="auto"/>
        <w:right w:val="none" w:sz="0" w:space="0" w:color="auto"/>
      </w:divBdr>
    </w:div>
    <w:div w:id="177814561">
      <w:bodyDiv w:val="1"/>
      <w:marLeft w:val="0"/>
      <w:marRight w:val="0"/>
      <w:marTop w:val="0"/>
      <w:marBottom w:val="0"/>
      <w:divBdr>
        <w:top w:val="none" w:sz="0" w:space="0" w:color="auto"/>
        <w:left w:val="none" w:sz="0" w:space="0" w:color="auto"/>
        <w:bottom w:val="none" w:sz="0" w:space="0" w:color="auto"/>
        <w:right w:val="none" w:sz="0" w:space="0" w:color="auto"/>
      </w:divBdr>
    </w:div>
    <w:div w:id="177887342">
      <w:bodyDiv w:val="1"/>
      <w:marLeft w:val="0"/>
      <w:marRight w:val="0"/>
      <w:marTop w:val="0"/>
      <w:marBottom w:val="0"/>
      <w:divBdr>
        <w:top w:val="none" w:sz="0" w:space="0" w:color="auto"/>
        <w:left w:val="none" w:sz="0" w:space="0" w:color="auto"/>
        <w:bottom w:val="none" w:sz="0" w:space="0" w:color="auto"/>
        <w:right w:val="none" w:sz="0" w:space="0" w:color="auto"/>
      </w:divBdr>
    </w:div>
    <w:div w:id="178088511">
      <w:bodyDiv w:val="1"/>
      <w:marLeft w:val="0"/>
      <w:marRight w:val="0"/>
      <w:marTop w:val="0"/>
      <w:marBottom w:val="0"/>
      <w:divBdr>
        <w:top w:val="none" w:sz="0" w:space="0" w:color="auto"/>
        <w:left w:val="none" w:sz="0" w:space="0" w:color="auto"/>
        <w:bottom w:val="none" w:sz="0" w:space="0" w:color="auto"/>
        <w:right w:val="none" w:sz="0" w:space="0" w:color="auto"/>
      </w:divBdr>
    </w:div>
    <w:div w:id="178131638">
      <w:bodyDiv w:val="1"/>
      <w:marLeft w:val="0"/>
      <w:marRight w:val="0"/>
      <w:marTop w:val="0"/>
      <w:marBottom w:val="0"/>
      <w:divBdr>
        <w:top w:val="none" w:sz="0" w:space="0" w:color="auto"/>
        <w:left w:val="none" w:sz="0" w:space="0" w:color="auto"/>
        <w:bottom w:val="none" w:sz="0" w:space="0" w:color="auto"/>
        <w:right w:val="none" w:sz="0" w:space="0" w:color="auto"/>
      </w:divBdr>
    </w:div>
    <w:div w:id="178201611">
      <w:bodyDiv w:val="1"/>
      <w:marLeft w:val="0"/>
      <w:marRight w:val="0"/>
      <w:marTop w:val="0"/>
      <w:marBottom w:val="0"/>
      <w:divBdr>
        <w:top w:val="none" w:sz="0" w:space="0" w:color="auto"/>
        <w:left w:val="none" w:sz="0" w:space="0" w:color="auto"/>
        <w:bottom w:val="none" w:sz="0" w:space="0" w:color="auto"/>
        <w:right w:val="none" w:sz="0" w:space="0" w:color="auto"/>
      </w:divBdr>
    </w:div>
    <w:div w:id="178276973">
      <w:bodyDiv w:val="1"/>
      <w:marLeft w:val="0"/>
      <w:marRight w:val="0"/>
      <w:marTop w:val="0"/>
      <w:marBottom w:val="0"/>
      <w:divBdr>
        <w:top w:val="none" w:sz="0" w:space="0" w:color="auto"/>
        <w:left w:val="none" w:sz="0" w:space="0" w:color="auto"/>
        <w:bottom w:val="none" w:sz="0" w:space="0" w:color="auto"/>
        <w:right w:val="none" w:sz="0" w:space="0" w:color="auto"/>
      </w:divBdr>
    </w:div>
    <w:div w:id="178391757">
      <w:bodyDiv w:val="1"/>
      <w:marLeft w:val="0"/>
      <w:marRight w:val="0"/>
      <w:marTop w:val="0"/>
      <w:marBottom w:val="0"/>
      <w:divBdr>
        <w:top w:val="none" w:sz="0" w:space="0" w:color="auto"/>
        <w:left w:val="none" w:sz="0" w:space="0" w:color="auto"/>
        <w:bottom w:val="none" w:sz="0" w:space="0" w:color="auto"/>
        <w:right w:val="none" w:sz="0" w:space="0" w:color="auto"/>
      </w:divBdr>
    </w:div>
    <w:div w:id="178661328">
      <w:bodyDiv w:val="1"/>
      <w:marLeft w:val="0"/>
      <w:marRight w:val="0"/>
      <w:marTop w:val="0"/>
      <w:marBottom w:val="0"/>
      <w:divBdr>
        <w:top w:val="none" w:sz="0" w:space="0" w:color="auto"/>
        <w:left w:val="none" w:sz="0" w:space="0" w:color="auto"/>
        <w:bottom w:val="none" w:sz="0" w:space="0" w:color="auto"/>
        <w:right w:val="none" w:sz="0" w:space="0" w:color="auto"/>
      </w:divBdr>
    </w:div>
    <w:div w:id="178667529">
      <w:bodyDiv w:val="1"/>
      <w:marLeft w:val="0"/>
      <w:marRight w:val="0"/>
      <w:marTop w:val="0"/>
      <w:marBottom w:val="0"/>
      <w:divBdr>
        <w:top w:val="none" w:sz="0" w:space="0" w:color="auto"/>
        <w:left w:val="none" w:sz="0" w:space="0" w:color="auto"/>
        <w:bottom w:val="none" w:sz="0" w:space="0" w:color="auto"/>
        <w:right w:val="none" w:sz="0" w:space="0" w:color="auto"/>
      </w:divBdr>
    </w:div>
    <w:div w:id="178786990">
      <w:bodyDiv w:val="1"/>
      <w:marLeft w:val="0"/>
      <w:marRight w:val="0"/>
      <w:marTop w:val="0"/>
      <w:marBottom w:val="0"/>
      <w:divBdr>
        <w:top w:val="none" w:sz="0" w:space="0" w:color="auto"/>
        <w:left w:val="none" w:sz="0" w:space="0" w:color="auto"/>
        <w:bottom w:val="none" w:sz="0" w:space="0" w:color="auto"/>
        <w:right w:val="none" w:sz="0" w:space="0" w:color="auto"/>
      </w:divBdr>
    </w:div>
    <w:div w:id="178930135">
      <w:bodyDiv w:val="1"/>
      <w:marLeft w:val="0"/>
      <w:marRight w:val="0"/>
      <w:marTop w:val="0"/>
      <w:marBottom w:val="0"/>
      <w:divBdr>
        <w:top w:val="none" w:sz="0" w:space="0" w:color="auto"/>
        <w:left w:val="none" w:sz="0" w:space="0" w:color="auto"/>
        <w:bottom w:val="none" w:sz="0" w:space="0" w:color="auto"/>
        <w:right w:val="none" w:sz="0" w:space="0" w:color="auto"/>
      </w:divBdr>
    </w:div>
    <w:div w:id="178935930">
      <w:bodyDiv w:val="1"/>
      <w:marLeft w:val="0"/>
      <w:marRight w:val="0"/>
      <w:marTop w:val="0"/>
      <w:marBottom w:val="0"/>
      <w:divBdr>
        <w:top w:val="none" w:sz="0" w:space="0" w:color="auto"/>
        <w:left w:val="none" w:sz="0" w:space="0" w:color="auto"/>
        <w:bottom w:val="none" w:sz="0" w:space="0" w:color="auto"/>
        <w:right w:val="none" w:sz="0" w:space="0" w:color="auto"/>
      </w:divBdr>
    </w:div>
    <w:div w:id="178979096">
      <w:bodyDiv w:val="1"/>
      <w:marLeft w:val="0"/>
      <w:marRight w:val="0"/>
      <w:marTop w:val="0"/>
      <w:marBottom w:val="0"/>
      <w:divBdr>
        <w:top w:val="none" w:sz="0" w:space="0" w:color="auto"/>
        <w:left w:val="none" w:sz="0" w:space="0" w:color="auto"/>
        <w:bottom w:val="none" w:sz="0" w:space="0" w:color="auto"/>
        <w:right w:val="none" w:sz="0" w:space="0" w:color="auto"/>
      </w:divBdr>
    </w:div>
    <w:div w:id="179008462">
      <w:bodyDiv w:val="1"/>
      <w:marLeft w:val="0"/>
      <w:marRight w:val="0"/>
      <w:marTop w:val="0"/>
      <w:marBottom w:val="0"/>
      <w:divBdr>
        <w:top w:val="none" w:sz="0" w:space="0" w:color="auto"/>
        <w:left w:val="none" w:sz="0" w:space="0" w:color="auto"/>
        <w:bottom w:val="none" w:sz="0" w:space="0" w:color="auto"/>
        <w:right w:val="none" w:sz="0" w:space="0" w:color="auto"/>
      </w:divBdr>
    </w:div>
    <w:div w:id="179046650">
      <w:bodyDiv w:val="1"/>
      <w:marLeft w:val="0"/>
      <w:marRight w:val="0"/>
      <w:marTop w:val="0"/>
      <w:marBottom w:val="0"/>
      <w:divBdr>
        <w:top w:val="none" w:sz="0" w:space="0" w:color="auto"/>
        <w:left w:val="none" w:sz="0" w:space="0" w:color="auto"/>
        <w:bottom w:val="none" w:sz="0" w:space="0" w:color="auto"/>
        <w:right w:val="none" w:sz="0" w:space="0" w:color="auto"/>
      </w:divBdr>
    </w:div>
    <w:div w:id="179048507">
      <w:bodyDiv w:val="1"/>
      <w:marLeft w:val="0"/>
      <w:marRight w:val="0"/>
      <w:marTop w:val="0"/>
      <w:marBottom w:val="0"/>
      <w:divBdr>
        <w:top w:val="none" w:sz="0" w:space="0" w:color="auto"/>
        <w:left w:val="none" w:sz="0" w:space="0" w:color="auto"/>
        <w:bottom w:val="none" w:sz="0" w:space="0" w:color="auto"/>
        <w:right w:val="none" w:sz="0" w:space="0" w:color="auto"/>
      </w:divBdr>
    </w:div>
    <w:div w:id="179051807">
      <w:bodyDiv w:val="1"/>
      <w:marLeft w:val="0"/>
      <w:marRight w:val="0"/>
      <w:marTop w:val="0"/>
      <w:marBottom w:val="0"/>
      <w:divBdr>
        <w:top w:val="none" w:sz="0" w:space="0" w:color="auto"/>
        <w:left w:val="none" w:sz="0" w:space="0" w:color="auto"/>
        <w:bottom w:val="none" w:sz="0" w:space="0" w:color="auto"/>
        <w:right w:val="none" w:sz="0" w:space="0" w:color="auto"/>
      </w:divBdr>
    </w:div>
    <w:div w:id="179131243">
      <w:bodyDiv w:val="1"/>
      <w:marLeft w:val="0"/>
      <w:marRight w:val="0"/>
      <w:marTop w:val="0"/>
      <w:marBottom w:val="0"/>
      <w:divBdr>
        <w:top w:val="none" w:sz="0" w:space="0" w:color="auto"/>
        <w:left w:val="none" w:sz="0" w:space="0" w:color="auto"/>
        <w:bottom w:val="none" w:sz="0" w:space="0" w:color="auto"/>
        <w:right w:val="none" w:sz="0" w:space="0" w:color="auto"/>
      </w:divBdr>
    </w:div>
    <w:div w:id="179203713">
      <w:bodyDiv w:val="1"/>
      <w:marLeft w:val="0"/>
      <w:marRight w:val="0"/>
      <w:marTop w:val="0"/>
      <w:marBottom w:val="0"/>
      <w:divBdr>
        <w:top w:val="none" w:sz="0" w:space="0" w:color="auto"/>
        <w:left w:val="none" w:sz="0" w:space="0" w:color="auto"/>
        <w:bottom w:val="none" w:sz="0" w:space="0" w:color="auto"/>
        <w:right w:val="none" w:sz="0" w:space="0" w:color="auto"/>
      </w:divBdr>
    </w:div>
    <w:div w:id="179390714">
      <w:bodyDiv w:val="1"/>
      <w:marLeft w:val="0"/>
      <w:marRight w:val="0"/>
      <w:marTop w:val="0"/>
      <w:marBottom w:val="0"/>
      <w:divBdr>
        <w:top w:val="none" w:sz="0" w:space="0" w:color="auto"/>
        <w:left w:val="none" w:sz="0" w:space="0" w:color="auto"/>
        <w:bottom w:val="none" w:sz="0" w:space="0" w:color="auto"/>
        <w:right w:val="none" w:sz="0" w:space="0" w:color="auto"/>
      </w:divBdr>
    </w:div>
    <w:div w:id="179391763">
      <w:bodyDiv w:val="1"/>
      <w:marLeft w:val="0"/>
      <w:marRight w:val="0"/>
      <w:marTop w:val="0"/>
      <w:marBottom w:val="0"/>
      <w:divBdr>
        <w:top w:val="none" w:sz="0" w:space="0" w:color="auto"/>
        <w:left w:val="none" w:sz="0" w:space="0" w:color="auto"/>
        <w:bottom w:val="none" w:sz="0" w:space="0" w:color="auto"/>
        <w:right w:val="none" w:sz="0" w:space="0" w:color="auto"/>
      </w:divBdr>
    </w:div>
    <w:div w:id="179395486">
      <w:bodyDiv w:val="1"/>
      <w:marLeft w:val="0"/>
      <w:marRight w:val="0"/>
      <w:marTop w:val="0"/>
      <w:marBottom w:val="0"/>
      <w:divBdr>
        <w:top w:val="none" w:sz="0" w:space="0" w:color="auto"/>
        <w:left w:val="none" w:sz="0" w:space="0" w:color="auto"/>
        <w:bottom w:val="none" w:sz="0" w:space="0" w:color="auto"/>
        <w:right w:val="none" w:sz="0" w:space="0" w:color="auto"/>
      </w:divBdr>
    </w:div>
    <w:div w:id="179399550">
      <w:bodyDiv w:val="1"/>
      <w:marLeft w:val="0"/>
      <w:marRight w:val="0"/>
      <w:marTop w:val="0"/>
      <w:marBottom w:val="0"/>
      <w:divBdr>
        <w:top w:val="none" w:sz="0" w:space="0" w:color="auto"/>
        <w:left w:val="none" w:sz="0" w:space="0" w:color="auto"/>
        <w:bottom w:val="none" w:sz="0" w:space="0" w:color="auto"/>
        <w:right w:val="none" w:sz="0" w:space="0" w:color="auto"/>
      </w:divBdr>
    </w:div>
    <w:div w:id="179440485">
      <w:bodyDiv w:val="1"/>
      <w:marLeft w:val="0"/>
      <w:marRight w:val="0"/>
      <w:marTop w:val="0"/>
      <w:marBottom w:val="0"/>
      <w:divBdr>
        <w:top w:val="none" w:sz="0" w:space="0" w:color="auto"/>
        <w:left w:val="none" w:sz="0" w:space="0" w:color="auto"/>
        <w:bottom w:val="none" w:sz="0" w:space="0" w:color="auto"/>
        <w:right w:val="none" w:sz="0" w:space="0" w:color="auto"/>
      </w:divBdr>
    </w:div>
    <w:div w:id="179586302">
      <w:bodyDiv w:val="1"/>
      <w:marLeft w:val="0"/>
      <w:marRight w:val="0"/>
      <w:marTop w:val="0"/>
      <w:marBottom w:val="0"/>
      <w:divBdr>
        <w:top w:val="none" w:sz="0" w:space="0" w:color="auto"/>
        <w:left w:val="none" w:sz="0" w:space="0" w:color="auto"/>
        <w:bottom w:val="none" w:sz="0" w:space="0" w:color="auto"/>
        <w:right w:val="none" w:sz="0" w:space="0" w:color="auto"/>
      </w:divBdr>
    </w:div>
    <w:div w:id="179703361">
      <w:bodyDiv w:val="1"/>
      <w:marLeft w:val="0"/>
      <w:marRight w:val="0"/>
      <w:marTop w:val="0"/>
      <w:marBottom w:val="0"/>
      <w:divBdr>
        <w:top w:val="none" w:sz="0" w:space="0" w:color="auto"/>
        <w:left w:val="none" w:sz="0" w:space="0" w:color="auto"/>
        <w:bottom w:val="none" w:sz="0" w:space="0" w:color="auto"/>
        <w:right w:val="none" w:sz="0" w:space="0" w:color="auto"/>
      </w:divBdr>
    </w:div>
    <w:div w:id="179785441">
      <w:bodyDiv w:val="1"/>
      <w:marLeft w:val="0"/>
      <w:marRight w:val="0"/>
      <w:marTop w:val="0"/>
      <w:marBottom w:val="0"/>
      <w:divBdr>
        <w:top w:val="none" w:sz="0" w:space="0" w:color="auto"/>
        <w:left w:val="none" w:sz="0" w:space="0" w:color="auto"/>
        <w:bottom w:val="none" w:sz="0" w:space="0" w:color="auto"/>
        <w:right w:val="none" w:sz="0" w:space="0" w:color="auto"/>
      </w:divBdr>
    </w:div>
    <w:div w:id="179785960">
      <w:bodyDiv w:val="1"/>
      <w:marLeft w:val="0"/>
      <w:marRight w:val="0"/>
      <w:marTop w:val="0"/>
      <w:marBottom w:val="0"/>
      <w:divBdr>
        <w:top w:val="none" w:sz="0" w:space="0" w:color="auto"/>
        <w:left w:val="none" w:sz="0" w:space="0" w:color="auto"/>
        <w:bottom w:val="none" w:sz="0" w:space="0" w:color="auto"/>
        <w:right w:val="none" w:sz="0" w:space="0" w:color="auto"/>
      </w:divBdr>
    </w:div>
    <w:div w:id="179854440">
      <w:bodyDiv w:val="1"/>
      <w:marLeft w:val="0"/>
      <w:marRight w:val="0"/>
      <w:marTop w:val="0"/>
      <w:marBottom w:val="0"/>
      <w:divBdr>
        <w:top w:val="none" w:sz="0" w:space="0" w:color="auto"/>
        <w:left w:val="none" w:sz="0" w:space="0" w:color="auto"/>
        <w:bottom w:val="none" w:sz="0" w:space="0" w:color="auto"/>
        <w:right w:val="none" w:sz="0" w:space="0" w:color="auto"/>
      </w:divBdr>
    </w:div>
    <w:div w:id="179897655">
      <w:bodyDiv w:val="1"/>
      <w:marLeft w:val="0"/>
      <w:marRight w:val="0"/>
      <w:marTop w:val="0"/>
      <w:marBottom w:val="0"/>
      <w:divBdr>
        <w:top w:val="none" w:sz="0" w:space="0" w:color="auto"/>
        <w:left w:val="none" w:sz="0" w:space="0" w:color="auto"/>
        <w:bottom w:val="none" w:sz="0" w:space="0" w:color="auto"/>
        <w:right w:val="none" w:sz="0" w:space="0" w:color="auto"/>
      </w:divBdr>
    </w:div>
    <w:div w:id="179978596">
      <w:bodyDiv w:val="1"/>
      <w:marLeft w:val="0"/>
      <w:marRight w:val="0"/>
      <w:marTop w:val="0"/>
      <w:marBottom w:val="0"/>
      <w:divBdr>
        <w:top w:val="none" w:sz="0" w:space="0" w:color="auto"/>
        <w:left w:val="none" w:sz="0" w:space="0" w:color="auto"/>
        <w:bottom w:val="none" w:sz="0" w:space="0" w:color="auto"/>
        <w:right w:val="none" w:sz="0" w:space="0" w:color="auto"/>
      </w:divBdr>
    </w:div>
    <w:div w:id="179978689">
      <w:bodyDiv w:val="1"/>
      <w:marLeft w:val="0"/>
      <w:marRight w:val="0"/>
      <w:marTop w:val="0"/>
      <w:marBottom w:val="0"/>
      <w:divBdr>
        <w:top w:val="none" w:sz="0" w:space="0" w:color="auto"/>
        <w:left w:val="none" w:sz="0" w:space="0" w:color="auto"/>
        <w:bottom w:val="none" w:sz="0" w:space="0" w:color="auto"/>
        <w:right w:val="none" w:sz="0" w:space="0" w:color="auto"/>
      </w:divBdr>
    </w:div>
    <w:div w:id="180054167">
      <w:bodyDiv w:val="1"/>
      <w:marLeft w:val="0"/>
      <w:marRight w:val="0"/>
      <w:marTop w:val="0"/>
      <w:marBottom w:val="0"/>
      <w:divBdr>
        <w:top w:val="none" w:sz="0" w:space="0" w:color="auto"/>
        <w:left w:val="none" w:sz="0" w:space="0" w:color="auto"/>
        <w:bottom w:val="none" w:sz="0" w:space="0" w:color="auto"/>
        <w:right w:val="none" w:sz="0" w:space="0" w:color="auto"/>
      </w:divBdr>
    </w:div>
    <w:div w:id="180165484">
      <w:bodyDiv w:val="1"/>
      <w:marLeft w:val="0"/>
      <w:marRight w:val="0"/>
      <w:marTop w:val="0"/>
      <w:marBottom w:val="0"/>
      <w:divBdr>
        <w:top w:val="none" w:sz="0" w:space="0" w:color="auto"/>
        <w:left w:val="none" w:sz="0" w:space="0" w:color="auto"/>
        <w:bottom w:val="none" w:sz="0" w:space="0" w:color="auto"/>
        <w:right w:val="none" w:sz="0" w:space="0" w:color="auto"/>
      </w:divBdr>
    </w:div>
    <w:div w:id="180166030">
      <w:bodyDiv w:val="1"/>
      <w:marLeft w:val="0"/>
      <w:marRight w:val="0"/>
      <w:marTop w:val="0"/>
      <w:marBottom w:val="0"/>
      <w:divBdr>
        <w:top w:val="none" w:sz="0" w:space="0" w:color="auto"/>
        <w:left w:val="none" w:sz="0" w:space="0" w:color="auto"/>
        <w:bottom w:val="none" w:sz="0" w:space="0" w:color="auto"/>
        <w:right w:val="none" w:sz="0" w:space="0" w:color="auto"/>
      </w:divBdr>
    </w:div>
    <w:div w:id="180167322">
      <w:bodyDiv w:val="1"/>
      <w:marLeft w:val="0"/>
      <w:marRight w:val="0"/>
      <w:marTop w:val="0"/>
      <w:marBottom w:val="0"/>
      <w:divBdr>
        <w:top w:val="none" w:sz="0" w:space="0" w:color="auto"/>
        <w:left w:val="none" w:sz="0" w:space="0" w:color="auto"/>
        <w:bottom w:val="none" w:sz="0" w:space="0" w:color="auto"/>
        <w:right w:val="none" w:sz="0" w:space="0" w:color="auto"/>
      </w:divBdr>
    </w:div>
    <w:div w:id="180172193">
      <w:bodyDiv w:val="1"/>
      <w:marLeft w:val="0"/>
      <w:marRight w:val="0"/>
      <w:marTop w:val="0"/>
      <w:marBottom w:val="0"/>
      <w:divBdr>
        <w:top w:val="none" w:sz="0" w:space="0" w:color="auto"/>
        <w:left w:val="none" w:sz="0" w:space="0" w:color="auto"/>
        <w:bottom w:val="none" w:sz="0" w:space="0" w:color="auto"/>
        <w:right w:val="none" w:sz="0" w:space="0" w:color="auto"/>
      </w:divBdr>
    </w:div>
    <w:div w:id="180172590">
      <w:bodyDiv w:val="1"/>
      <w:marLeft w:val="0"/>
      <w:marRight w:val="0"/>
      <w:marTop w:val="0"/>
      <w:marBottom w:val="0"/>
      <w:divBdr>
        <w:top w:val="none" w:sz="0" w:space="0" w:color="auto"/>
        <w:left w:val="none" w:sz="0" w:space="0" w:color="auto"/>
        <w:bottom w:val="none" w:sz="0" w:space="0" w:color="auto"/>
        <w:right w:val="none" w:sz="0" w:space="0" w:color="auto"/>
      </w:divBdr>
    </w:div>
    <w:div w:id="180240441">
      <w:bodyDiv w:val="1"/>
      <w:marLeft w:val="0"/>
      <w:marRight w:val="0"/>
      <w:marTop w:val="0"/>
      <w:marBottom w:val="0"/>
      <w:divBdr>
        <w:top w:val="none" w:sz="0" w:space="0" w:color="auto"/>
        <w:left w:val="none" w:sz="0" w:space="0" w:color="auto"/>
        <w:bottom w:val="none" w:sz="0" w:space="0" w:color="auto"/>
        <w:right w:val="none" w:sz="0" w:space="0" w:color="auto"/>
      </w:divBdr>
    </w:div>
    <w:div w:id="180316285">
      <w:bodyDiv w:val="1"/>
      <w:marLeft w:val="0"/>
      <w:marRight w:val="0"/>
      <w:marTop w:val="0"/>
      <w:marBottom w:val="0"/>
      <w:divBdr>
        <w:top w:val="none" w:sz="0" w:space="0" w:color="auto"/>
        <w:left w:val="none" w:sz="0" w:space="0" w:color="auto"/>
        <w:bottom w:val="none" w:sz="0" w:space="0" w:color="auto"/>
        <w:right w:val="none" w:sz="0" w:space="0" w:color="auto"/>
      </w:divBdr>
    </w:div>
    <w:div w:id="180321169">
      <w:bodyDiv w:val="1"/>
      <w:marLeft w:val="0"/>
      <w:marRight w:val="0"/>
      <w:marTop w:val="0"/>
      <w:marBottom w:val="0"/>
      <w:divBdr>
        <w:top w:val="none" w:sz="0" w:space="0" w:color="auto"/>
        <w:left w:val="none" w:sz="0" w:space="0" w:color="auto"/>
        <w:bottom w:val="none" w:sz="0" w:space="0" w:color="auto"/>
        <w:right w:val="none" w:sz="0" w:space="0" w:color="auto"/>
      </w:divBdr>
    </w:div>
    <w:div w:id="180356989">
      <w:bodyDiv w:val="1"/>
      <w:marLeft w:val="0"/>
      <w:marRight w:val="0"/>
      <w:marTop w:val="0"/>
      <w:marBottom w:val="0"/>
      <w:divBdr>
        <w:top w:val="none" w:sz="0" w:space="0" w:color="auto"/>
        <w:left w:val="none" w:sz="0" w:space="0" w:color="auto"/>
        <w:bottom w:val="none" w:sz="0" w:space="0" w:color="auto"/>
        <w:right w:val="none" w:sz="0" w:space="0" w:color="auto"/>
      </w:divBdr>
    </w:div>
    <w:div w:id="180436715">
      <w:bodyDiv w:val="1"/>
      <w:marLeft w:val="0"/>
      <w:marRight w:val="0"/>
      <w:marTop w:val="0"/>
      <w:marBottom w:val="0"/>
      <w:divBdr>
        <w:top w:val="none" w:sz="0" w:space="0" w:color="auto"/>
        <w:left w:val="none" w:sz="0" w:space="0" w:color="auto"/>
        <w:bottom w:val="none" w:sz="0" w:space="0" w:color="auto"/>
        <w:right w:val="none" w:sz="0" w:space="0" w:color="auto"/>
      </w:divBdr>
    </w:div>
    <w:div w:id="180440997">
      <w:bodyDiv w:val="1"/>
      <w:marLeft w:val="0"/>
      <w:marRight w:val="0"/>
      <w:marTop w:val="0"/>
      <w:marBottom w:val="0"/>
      <w:divBdr>
        <w:top w:val="none" w:sz="0" w:space="0" w:color="auto"/>
        <w:left w:val="none" w:sz="0" w:space="0" w:color="auto"/>
        <w:bottom w:val="none" w:sz="0" w:space="0" w:color="auto"/>
        <w:right w:val="none" w:sz="0" w:space="0" w:color="auto"/>
      </w:divBdr>
    </w:div>
    <w:div w:id="180516723">
      <w:bodyDiv w:val="1"/>
      <w:marLeft w:val="0"/>
      <w:marRight w:val="0"/>
      <w:marTop w:val="0"/>
      <w:marBottom w:val="0"/>
      <w:divBdr>
        <w:top w:val="none" w:sz="0" w:space="0" w:color="auto"/>
        <w:left w:val="none" w:sz="0" w:space="0" w:color="auto"/>
        <w:bottom w:val="none" w:sz="0" w:space="0" w:color="auto"/>
        <w:right w:val="none" w:sz="0" w:space="0" w:color="auto"/>
      </w:divBdr>
    </w:div>
    <w:div w:id="180553811">
      <w:bodyDiv w:val="1"/>
      <w:marLeft w:val="0"/>
      <w:marRight w:val="0"/>
      <w:marTop w:val="0"/>
      <w:marBottom w:val="0"/>
      <w:divBdr>
        <w:top w:val="none" w:sz="0" w:space="0" w:color="auto"/>
        <w:left w:val="none" w:sz="0" w:space="0" w:color="auto"/>
        <w:bottom w:val="none" w:sz="0" w:space="0" w:color="auto"/>
        <w:right w:val="none" w:sz="0" w:space="0" w:color="auto"/>
      </w:divBdr>
    </w:div>
    <w:div w:id="180559018">
      <w:bodyDiv w:val="1"/>
      <w:marLeft w:val="0"/>
      <w:marRight w:val="0"/>
      <w:marTop w:val="0"/>
      <w:marBottom w:val="0"/>
      <w:divBdr>
        <w:top w:val="none" w:sz="0" w:space="0" w:color="auto"/>
        <w:left w:val="none" w:sz="0" w:space="0" w:color="auto"/>
        <w:bottom w:val="none" w:sz="0" w:space="0" w:color="auto"/>
        <w:right w:val="none" w:sz="0" w:space="0" w:color="auto"/>
      </w:divBdr>
    </w:div>
    <w:div w:id="180559052">
      <w:bodyDiv w:val="1"/>
      <w:marLeft w:val="0"/>
      <w:marRight w:val="0"/>
      <w:marTop w:val="0"/>
      <w:marBottom w:val="0"/>
      <w:divBdr>
        <w:top w:val="none" w:sz="0" w:space="0" w:color="auto"/>
        <w:left w:val="none" w:sz="0" w:space="0" w:color="auto"/>
        <w:bottom w:val="none" w:sz="0" w:space="0" w:color="auto"/>
        <w:right w:val="none" w:sz="0" w:space="0" w:color="auto"/>
      </w:divBdr>
    </w:div>
    <w:div w:id="180582712">
      <w:bodyDiv w:val="1"/>
      <w:marLeft w:val="0"/>
      <w:marRight w:val="0"/>
      <w:marTop w:val="0"/>
      <w:marBottom w:val="0"/>
      <w:divBdr>
        <w:top w:val="none" w:sz="0" w:space="0" w:color="auto"/>
        <w:left w:val="none" w:sz="0" w:space="0" w:color="auto"/>
        <w:bottom w:val="none" w:sz="0" w:space="0" w:color="auto"/>
        <w:right w:val="none" w:sz="0" w:space="0" w:color="auto"/>
      </w:divBdr>
    </w:div>
    <w:div w:id="180709873">
      <w:bodyDiv w:val="1"/>
      <w:marLeft w:val="0"/>
      <w:marRight w:val="0"/>
      <w:marTop w:val="0"/>
      <w:marBottom w:val="0"/>
      <w:divBdr>
        <w:top w:val="none" w:sz="0" w:space="0" w:color="auto"/>
        <w:left w:val="none" w:sz="0" w:space="0" w:color="auto"/>
        <w:bottom w:val="none" w:sz="0" w:space="0" w:color="auto"/>
        <w:right w:val="none" w:sz="0" w:space="0" w:color="auto"/>
      </w:divBdr>
    </w:div>
    <w:div w:id="180752673">
      <w:bodyDiv w:val="1"/>
      <w:marLeft w:val="0"/>
      <w:marRight w:val="0"/>
      <w:marTop w:val="0"/>
      <w:marBottom w:val="0"/>
      <w:divBdr>
        <w:top w:val="none" w:sz="0" w:space="0" w:color="auto"/>
        <w:left w:val="none" w:sz="0" w:space="0" w:color="auto"/>
        <w:bottom w:val="none" w:sz="0" w:space="0" w:color="auto"/>
        <w:right w:val="none" w:sz="0" w:space="0" w:color="auto"/>
      </w:divBdr>
    </w:div>
    <w:div w:id="181013831">
      <w:bodyDiv w:val="1"/>
      <w:marLeft w:val="0"/>
      <w:marRight w:val="0"/>
      <w:marTop w:val="0"/>
      <w:marBottom w:val="0"/>
      <w:divBdr>
        <w:top w:val="none" w:sz="0" w:space="0" w:color="auto"/>
        <w:left w:val="none" w:sz="0" w:space="0" w:color="auto"/>
        <w:bottom w:val="none" w:sz="0" w:space="0" w:color="auto"/>
        <w:right w:val="none" w:sz="0" w:space="0" w:color="auto"/>
      </w:divBdr>
    </w:div>
    <w:div w:id="181016380">
      <w:bodyDiv w:val="1"/>
      <w:marLeft w:val="0"/>
      <w:marRight w:val="0"/>
      <w:marTop w:val="0"/>
      <w:marBottom w:val="0"/>
      <w:divBdr>
        <w:top w:val="none" w:sz="0" w:space="0" w:color="auto"/>
        <w:left w:val="none" w:sz="0" w:space="0" w:color="auto"/>
        <w:bottom w:val="none" w:sz="0" w:space="0" w:color="auto"/>
        <w:right w:val="none" w:sz="0" w:space="0" w:color="auto"/>
      </w:divBdr>
    </w:div>
    <w:div w:id="181162840">
      <w:bodyDiv w:val="1"/>
      <w:marLeft w:val="0"/>
      <w:marRight w:val="0"/>
      <w:marTop w:val="0"/>
      <w:marBottom w:val="0"/>
      <w:divBdr>
        <w:top w:val="none" w:sz="0" w:space="0" w:color="auto"/>
        <w:left w:val="none" w:sz="0" w:space="0" w:color="auto"/>
        <w:bottom w:val="none" w:sz="0" w:space="0" w:color="auto"/>
        <w:right w:val="none" w:sz="0" w:space="0" w:color="auto"/>
      </w:divBdr>
    </w:div>
    <w:div w:id="181165997">
      <w:bodyDiv w:val="1"/>
      <w:marLeft w:val="0"/>
      <w:marRight w:val="0"/>
      <w:marTop w:val="0"/>
      <w:marBottom w:val="0"/>
      <w:divBdr>
        <w:top w:val="none" w:sz="0" w:space="0" w:color="auto"/>
        <w:left w:val="none" w:sz="0" w:space="0" w:color="auto"/>
        <w:bottom w:val="none" w:sz="0" w:space="0" w:color="auto"/>
        <w:right w:val="none" w:sz="0" w:space="0" w:color="auto"/>
      </w:divBdr>
    </w:div>
    <w:div w:id="181171560">
      <w:bodyDiv w:val="1"/>
      <w:marLeft w:val="0"/>
      <w:marRight w:val="0"/>
      <w:marTop w:val="0"/>
      <w:marBottom w:val="0"/>
      <w:divBdr>
        <w:top w:val="none" w:sz="0" w:space="0" w:color="auto"/>
        <w:left w:val="none" w:sz="0" w:space="0" w:color="auto"/>
        <w:bottom w:val="none" w:sz="0" w:space="0" w:color="auto"/>
        <w:right w:val="none" w:sz="0" w:space="0" w:color="auto"/>
      </w:divBdr>
    </w:div>
    <w:div w:id="181556348">
      <w:bodyDiv w:val="1"/>
      <w:marLeft w:val="0"/>
      <w:marRight w:val="0"/>
      <w:marTop w:val="0"/>
      <w:marBottom w:val="0"/>
      <w:divBdr>
        <w:top w:val="none" w:sz="0" w:space="0" w:color="auto"/>
        <w:left w:val="none" w:sz="0" w:space="0" w:color="auto"/>
        <w:bottom w:val="none" w:sz="0" w:space="0" w:color="auto"/>
        <w:right w:val="none" w:sz="0" w:space="0" w:color="auto"/>
      </w:divBdr>
    </w:div>
    <w:div w:id="181625737">
      <w:bodyDiv w:val="1"/>
      <w:marLeft w:val="0"/>
      <w:marRight w:val="0"/>
      <w:marTop w:val="0"/>
      <w:marBottom w:val="0"/>
      <w:divBdr>
        <w:top w:val="none" w:sz="0" w:space="0" w:color="auto"/>
        <w:left w:val="none" w:sz="0" w:space="0" w:color="auto"/>
        <w:bottom w:val="none" w:sz="0" w:space="0" w:color="auto"/>
        <w:right w:val="none" w:sz="0" w:space="0" w:color="auto"/>
      </w:divBdr>
    </w:div>
    <w:div w:id="181631600">
      <w:bodyDiv w:val="1"/>
      <w:marLeft w:val="0"/>
      <w:marRight w:val="0"/>
      <w:marTop w:val="0"/>
      <w:marBottom w:val="0"/>
      <w:divBdr>
        <w:top w:val="none" w:sz="0" w:space="0" w:color="auto"/>
        <w:left w:val="none" w:sz="0" w:space="0" w:color="auto"/>
        <w:bottom w:val="none" w:sz="0" w:space="0" w:color="auto"/>
        <w:right w:val="none" w:sz="0" w:space="0" w:color="auto"/>
      </w:divBdr>
    </w:div>
    <w:div w:id="181667691">
      <w:bodyDiv w:val="1"/>
      <w:marLeft w:val="0"/>
      <w:marRight w:val="0"/>
      <w:marTop w:val="0"/>
      <w:marBottom w:val="0"/>
      <w:divBdr>
        <w:top w:val="none" w:sz="0" w:space="0" w:color="auto"/>
        <w:left w:val="none" w:sz="0" w:space="0" w:color="auto"/>
        <w:bottom w:val="none" w:sz="0" w:space="0" w:color="auto"/>
        <w:right w:val="none" w:sz="0" w:space="0" w:color="auto"/>
      </w:divBdr>
    </w:div>
    <w:div w:id="181676737">
      <w:bodyDiv w:val="1"/>
      <w:marLeft w:val="0"/>
      <w:marRight w:val="0"/>
      <w:marTop w:val="0"/>
      <w:marBottom w:val="0"/>
      <w:divBdr>
        <w:top w:val="none" w:sz="0" w:space="0" w:color="auto"/>
        <w:left w:val="none" w:sz="0" w:space="0" w:color="auto"/>
        <w:bottom w:val="none" w:sz="0" w:space="0" w:color="auto"/>
        <w:right w:val="none" w:sz="0" w:space="0" w:color="auto"/>
      </w:divBdr>
    </w:div>
    <w:div w:id="181943402">
      <w:bodyDiv w:val="1"/>
      <w:marLeft w:val="0"/>
      <w:marRight w:val="0"/>
      <w:marTop w:val="0"/>
      <w:marBottom w:val="0"/>
      <w:divBdr>
        <w:top w:val="none" w:sz="0" w:space="0" w:color="auto"/>
        <w:left w:val="none" w:sz="0" w:space="0" w:color="auto"/>
        <w:bottom w:val="none" w:sz="0" w:space="0" w:color="auto"/>
        <w:right w:val="none" w:sz="0" w:space="0" w:color="auto"/>
      </w:divBdr>
    </w:div>
    <w:div w:id="182019443">
      <w:bodyDiv w:val="1"/>
      <w:marLeft w:val="0"/>
      <w:marRight w:val="0"/>
      <w:marTop w:val="0"/>
      <w:marBottom w:val="0"/>
      <w:divBdr>
        <w:top w:val="none" w:sz="0" w:space="0" w:color="auto"/>
        <w:left w:val="none" w:sz="0" w:space="0" w:color="auto"/>
        <w:bottom w:val="none" w:sz="0" w:space="0" w:color="auto"/>
        <w:right w:val="none" w:sz="0" w:space="0" w:color="auto"/>
      </w:divBdr>
    </w:div>
    <w:div w:id="182062868">
      <w:bodyDiv w:val="1"/>
      <w:marLeft w:val="0"/>
      <w:marRight w:val="0"/>
      <w:marTop w:val="0"/>
      <w:marBottom w:val="0"/>
      <w:divBdr>
        <w:top w:val="none" w:sz="0" w:space="0" w:color="auto"/>
        <w:left w:val="none" w:sz="0" w:space="0" w:color="auto"/>
        <w:bottom w:val="none" w:sz="0" w:space="0" w:color="auto"/>
        <w:right w:val="none" w:sz="0" w:space="0" w:color="auto"/>
      </w:divBdr>
    </w:div>
    <w:div w:id="182090807">
      <w:bodyDiv w:val="1"/>
      <w:marLeft w:val="0"/>
      <w:marRight w:val="0"/>
      <w:marTop w:val="0"/>
      <w:marBottom w:val="0"/>
      <w:divBdr>
        <w:top w:val="none" w:sz="0" w:space="0" w:color="auto"/>
        <w:left w:val="none" w:sz="0" w:space="0" w:color="auto"/>
        <w:bottom w:val="none" w:sz="0" w:space="0" w:color="auto"/>
        <w:right w:val="none" w:sz="0" w:space="0" w:color="auto"/>
      </w:divBdr>
    </w:div>
    <w:div w:id="182256745">
      <w:bodyDiv w:val="1"/>
      <w:marLeft w:val="0"/>
      <w:marRight w:val="0"/>
      <w:marTop w:val="0"/>
      <w:marBottom w:val="0"/>
      <w:divBdr>
        <w:top w:val="none" w:sz="0" w:space="0" w:color="auto"/>
        <w:left w:val="none" w:sz="0" w:space="0" w:color="auto"/>
        <w:bottom w:val="none" w:sz="0" w:space="0" w:color="auto"/>
        <w:right w:val="none" w:sz="0" w:space="0" w:color="auto"/>
      </w:divBdr>
    </w:div>
    <w:div w:id="182287046">
      <w:bodyDiv w:val="1"/>
      <w:marLeft w:val="0"/>
      <w:marRight w:val="0"/>
      <w:marTop w:val="0"/>
      <w:marBottom w:val="0"/>
      <w:divBdr>
        <w:top w:val="none" w:sz="0" w:space="0" w:color="auto"/>
        <w:left w:val="none" w:sz="0" w:space="0" w:color="auto"/>
        <w:bottom w:val="none" w:sz="0" w:space="0" w:color="auto"/>
        <w:right w:val="none" w:sz="0" w:space="0" w:color="auto"/>
      </w:divBdr>
    </w:div>
    <w:div w:id="182287802">
      <w:bodyDiv w:val="1"/>
      <w:marLeft w:val="0"/>
      <w:marRight w:val="0"/>
      <w:marTop w:val="0"/>
      <w:marBottom w:val="0"/>
      <w:divBdr>
        <w:top w:val="none" w:sz="0" w:space="0" w:color="auto"/>
        <w:left w:val="none" w:sz="0" w:space="0" w:color="auto"/>
        <w:bottom w:val="none" w:sz="0" w:space="0" w:color="auto"/>
        <w:right w:val="none" w:sz="0" w:space="0" w:color="auto"/>
      </w:divBdr>
    </w:div>
    <w:div w:id="182326550">
      <w:bodyDiv w:val="1"/>
      <w:marLeft w:val="0"/>
      <w:marRight w:val="0"/>
      <w:marTop w:val="0"/>
      <w:marBottom w:val="0"/>
      <w:divBdr>
        <w:top w:val="none" w:sz="0" w:space="0" w:color="auto"/>
        <w:left w:val="none" w:sz="0" w:space="0" w:color="auto"/>
        <w:bottom w:val="none" w:sz="0" w:space="0" w:color="auto"/>
        <w:right w:val="none" w:sz="0" w:space="0" w:color="auto"/>
      </w:divBdr>
    </w:div>
    <w:div w:id="182478335">
      <w:bodyDiv w:val="1"/>
      <w:marLeft w:val="0"/>
      <w:marRight w:val="0"/>
      <w:marTop w:val="0"/>
      <w:marBottom w:val="0"/>
      <w:divBdr>
        <w:top w:val="none" w:sz="0" w:space="0" w:color="auto"/>
        <w:left w:val="none" w:sz="0" w:space="0" w:color="auto"/>
        <w:bottom w:val="none" w:sz="0" w:space="0" w:color="auto"/>
        <w:right w:val="none" w:sz="0" w:space="0" w:color="auto"/>
      </w:divBdr>
    </w:div>
    <w:div w:id="182479090">
      <w:bodyDiv w:val="1"/>
      <w:marLeft w:val="0"/>
      <w:marRight w:val="0"/>
      <w:marTop w:val="0"/>
      <w:marBottom w:val="0"/>
      <w:divBdr>
        <w:top w:val="none" w:sz="0" w:space="0" w:color="auto"/>
        <w:left w:val="none" w:sz="0" w:space="0" w:color="auto"/>
        <w:bottom w:val="none" w:sz="0" w:space="0" w:color="auto"/>
        <w:right w:val="none" w:sz="0" w:space="0" w:color="auto"/>
      </w:divBdr>
    </w:div>
    <w:div w:id="182548945">
      <w:bodyDiv w:val="1"/>
      <w:marLeft w:val="0"/>
      <w:marRight w:val="0"/>
      <w:marTop w:val="0"/>
      <w:marBottom w:val="0"/>
      <w:divBdr>
        <w:top w:val="none" w:sz="0" w:space="0" w:color="auto"/>
        <w:left w:val="none" w:sz="0" w:space="0" w:color="auto"/>
        <w:bottom w:val="none" w:sz="0" w:space="0" w:color="auto"/>
        <w:right w:val="none" w:sz="0" w:space="0" w:color="auto"/>
      </w:divBdr>
    </w:div>
    <w:div w:id="182591242">
      <w:bodyDiv w:val="1"/>
      <w:marLeft w:val="0"/>
      <w:marRight w:val="0"/>
      <w:marTop w:val="0"/>
      <w:marBottom w:val="0"/>
      <w:divBdr>
        <w:top w:val="none" w:sz="0" w:space="0" w:color="auto"/>
        <w:left w:val="none" w:sz="0" w:space="0" w:color="auto"/>
        <w:bottom w:val="none" w:sz="0" w:space="0" w:color="auto"/>
        <w:right w:val="none" w:sz="0" w:space="0" w:color="auto"/>
      </w:divBdr>
    </w:div>
    <w:div w:id="182718127">
      <w:bodyDiv w:val="1"/>
      <w:marLeft w:val="0"/>
      <w:marRight w:val="0"/>
      <w:marTop w:val="0"/>
      <w:marBottom w:val="0"/>
      <w:divBdr>
        <w:top w:val="none" w:sz="0" w:space="0" w:color="auto"/>
        <w:left w:val="none" w:sz="0" w:space="0" w:color="auto"/>
        <w:bottom w:val="none" w:sz="0" w:space="0" w:color="auto"/>
        <w:right w:val="none" w:sz="0" w:space="0" w:color="auto"/>
      </w:divBdr>
    </w:div>
    <w:div w:id="182746420">
      <w:bodyDiv w:val="1"/>
      <w:marLeft w:val="0"/>
      <w:marRight w:val="0"/>
      <w:marTop w:val="0"/>
      <w:marBottom w:val="0"/>
      <w:divBdr>
        <w:top w:val="none" w:sz="0" w:space="0" w:color="auto"/>
        <w:left w:val="none" w:sz="0" w:space="0" w:color="auto"/>
        <w:bottom w:val="none" w:sz="0" w:space="0" w:color="auto"/>
        <w:right w:val="none" w:sz="0" w:space="0" w:color="auto"/>
      </w:divBdr>
    </w:div>
    <w:div w:id="182785973">
      <w:bodyDiv w:val="1"/>
      <w:marLeft w:val="0"/>
      <w:marRight w:val="0"/>
      <w:marTop w:val="0"/>
      <w:marBottom w:val="0"/>
      <w:divBdr>
        <w:top w:val="none" w:sz="0" w:space="0" w:color="auto"/>
        <w:left w:val="none" w:sz="0" w:space="0" w:color="auto"/>
        <w:bottom w:val="none" w:sz="0" w:space="0" w:color="auto"/>
        <w:right w:val="none" w:sz="0" w:space="0" w:color="auto"/>
      </w:divBdr>
    </w:div>
    <w:div w:id="182789919">
      <w:bodyDiv w:val="1"/>
      <w:marLeft w:val="0"/>
      <w:marRight w:val="0"/>
      <w:marTop w:val="0"/>
      <w:marBottom w:val="0"/>
      <w:divBdr>
        <w:top w:val="none" w:sz="0" w:space="0" w:color="auto"/>
        <w:left w:val="none" w:sz="0" w:space="0" w:color="auto"/>
        <w:bottom w:val="none" w:sz="0" w:space="0" w:color="auto"/>
        <w:right w:val="none" w:sz="0" w:space="0" w:color="auto"/>
      </w:divBdr>
    </w:div>
    <w:div w:id="182864132">
      <w:bodyDiv w:val="1"/>
      <w:marLeft w:val="0"/>
      <w:marRight w:val="0"/>
      <w:marTop w:val="0"/>
      <w:marBottom w:val="0"/>
      <w:divBdr>
        <w:top w:val="none" w:sz="0" w:space="0" w:color="auto"/>
        <w:left w:val="none" w:sz="0" w:space="0" w:color="auto"/>
        <w:bottom w:val="none" w:sz="0" w:space="0" w:color="auto"/>
        <w:right w:val="none" w:sz="0" w:space="0" w:color="auto"/>
      </w:divBdr>
    </w:div>
    <w:div w:id="182865747">
      <w:bodyDiv w:val="1"/>
      <w:marLeft w:val="0"/>
      <w:marRight w:val="0"/>
      <w:marTop w:val="0"/>
      <w:marBottom w:val="0"/>
      <w:divBdr>
        <w:top w:val="none" w:sz="0" w:space="0" w:color="auto"/>
        <w:left w:val="none" w:sz="0" w:space="0" w:color="auto"/>
        <w:bottom w:val="none" w:sz="0" w:space="0" w:color="auto"/>
        <w:right w:val="none" w:sz="0" w:space="0" w:color="auto"/>
      </w:divBdr>
    </w:div>
    <w:div w:id="182868220">
      <w:bodyDiv w:val="1"/>
      <w:marLeft w:val="0"/>
      <w:marRight w:val="0"/>
      <w:marTop w:val="0"/>
      <w:marBottom w:val="0"/>
      <w:divBdr>
        <w:top w:val="none" w:sz="0" w:space="0" w:color="auto"/>
        <w:left w:val="none" w:sz="0" w:space="0" w:color="auto"/>
        <w:bottom w:val="none" w:sz="0" w:space="0" w:color="auto"/>
        <w:right w:val="none" w:sz="0" w:space="0" w:color="auto"/>
      </w:divBdr>
    </w:div>
    <w:div w:id="182938552">
      <w:bodyDiv w:val="1"/>
      <w:marLeft w:val="0"/>
      <w:marRight w:val="0"/>
      <w:marTop w:val="0"/>
      <w:marBottom w:val="0"/>
      <w:divBdr>
        <w:top w:val="none" w:sz="0" w:space="0" w:color="auto"/>
        <w:left w:val="none" w:sz="0" w:space="0" w:color="auto"/>
        <w:bottom w:val="none" w:sz="0" w:space="0" w:color="auto"/>
        <w:right w:val="none" w:sz="0" w:space="0" w:color="auto"/>
      </w:divBdr>
    </w:div>
    <w:div w:id="182940238">
      <w:bodyDiv w:val="1"/>
      <w:marLeft w:val="0"/>
      <w:marRight w:val="0"/>
      <w:marTop w:val="0"/>
      <w:marBottom w:val="0"/>
      <w:divBdr>
        <w:top w:val="none" w:sz="0" w:space="0" w:color="auto"/>
        <w:left w:val="none" w:sz="0" w:space="0" w:color="auto"/>
        <w:bottom w:val="none" w:sz="0" w:space="0" w:color="auto"/>
        <w:right w:val="none" w:sz="0" w:space="0" w:color="auto"/>
      </w:divBdr>
    </w:div>
    <w:div w:id="182981205">
      <w:bodyDiv w:val="1"/>
      <w:marLeft w:val="0"/>
      <w:marRight w:val="0"/>
      <w:marTop w:val="0"/>
      <w:marBottom w:val="0"/>
      <w:divBdr>
        <w:top w:val="none" w:sz="0" w:space="0" w:color="auto"/>
        <w:left w:val="none" w:sz="0" w:space="0" w:color="auto"/>
        <w:bottom w:val="none" w:sz="0" w:space="0" w:color="auto"/>
        <w:right w:val="none" w:sz="0" w:space="0" w:color="auto"/>
      </w:divBdr>
    </w:div>
    <w:div w:id="182981564">
      <w:bodyDiv w:val="1"/>
      <w:marLeft w:val="0"/>
      <w:marRight w:val="0"/>
      <w:marTop w:val="0"/>
      <w:marBottom w:val="0"/>
      <w:divBdr>
        <w:top w:val="none" w:sz="0" w:space="0" w:color="auto"/>
        <w:left w:val="none" w:sz="0" w:space="0" w:color="auto"/>
        <w:bottom w:val="none" w:sz="0" w:space="0" w:color="auto"/>
        <w:right w:val="none" w:sz="0" w:space="0" w:color="auto"/>
      </w:divBdr>
    </w:div>
    <w:div w:id="183057271">
      <w:bodyDiv w:val="1"/>
      <w:marLeft w:val="0"/>
      <w:marRight w:val="0"/>
      <w:marTop w:val="0"/>
      <w:marBottom w:val="0"/>
      <w:divBdr>
        <w:top w:val="none" w:sz="0" w:space="0" w:color="auto"/>
        <w:left w:val="none" w:sz="0" w:space="0" w:color="auto"/>
        <w:bottom w:val="none" w:sz="0" w:space="0" w:color="auto"/>
        <w:right w:val="none" w:sz="0" w:space="0" w:color="auto"/>
      </w:divBdr>
    </w:div>
    <w:div w:id="183062621">
      <w:bodyDiv w:val="1"/>
      <w:marLeft w:val="0"/>
      <w:marRight w:val="0"/>
      <w:marTop w:val="0"/>
      <w:marBottom w:val="0"/>
      <w:divBdr>
        <w:top w:val="none" w:sz="0" w:space="0" w:color="auto"/>
        <w:left w:val="none" w:sz="0" w:space="0" w:color="auto"/>
        <w:bottom w:val="none" w:sz="0" w:space="0" w:color="auto"/>
        <w:right w:val="none" w:sz="0" w:space="0" w:color="auto"/>
      </w:divBdr>
    </w:div>
    <w:div w:id="183173821">
      <w:bodyDiv w:val="1"/>
      <w:marLeft w:val="0"/>
      <w:marRight w:val="0"/>
      <w:marTop w:val="0"/>
      <w:marBottom w:val="0"/>
      <w:divBdr>
        <w:top w:val="none" w:sz="0" w:space="0" w:color="auto"/>
        <w:left w:val="none" w:sz="0" w:space="0" w:color="auto"/>
        <w:bottom w:val="none" w:sz="0" w:space="0" w:color="auto"/>
        <w:right w:val="none" w:sz="0" w:space="0" w:color="auto"/>
      </w:divBdr>
    </w:div>
    <w:div w:id="183248622">
      <w:bodyDiv w:val="1"/>
      <w:marLeft w:val="0"/>
      <w:marRight w:val="0"/>
      <w:marTop w:val="0"/>
      <w:marBottom w:val="0"/>
      <w:divBdr>
        <w:top w:val="none" w:sz="0" w:space="0" w:color="auto"/>
        <w:left w:val="none" w:sz="0" w:space="0" w:color="auto"/>
        <w:bottom w:val="none" w:sz="0" w:space="0" w:color="auto"/>
        <w:right w:val="none" w:sz="0" w:space="0" w:color="auto"/>
      </w:divBdr>
    </w:div>
    <w:div w:id="183254468">
      <w:bodyDiv w:val="1"/>
      <w:marLeft w:val="0"/>
      <w:marRight w:val="0"/>
      <w:marTop w:val="0"/>
      <w:marBottom w:val="0"/>
      <w:divBdr>
        <w:top w:val="none" w:sz="0" w:space="0" w:color="auto"/>
        <w:left w:val="none" w:sz="0" w:space="0" w:color="auto"/>
        <w:bottom w:val="none" w:sz="0" w:space="0" w:color="auto"/>
        <w:right w:val="none" w:sz="0" w:space="0" w:color="auto"/>
      </w:divBdr>
    </w:div>
    <w:div w:id="183255063">
      <w:bodyDiv w:val="1"/>
      <w:marLeft w:val="0"/>
      <w:marRight w:val="0"/>
      <w:marTop w:val="0"/>
      <w:marBottom w:val="0"/>
      <w:divBdr>
        <w:top w:val="none" w:sz="0" w:space="0" w:color="auto"/>
        <w:left w:val="none" w:sz="0" w:space="0" w:color="auto"/>
        <w:bottom w:val="none" w:sz="0" w:space="0" w:color="auto"/>
        <w:right w:val="none" w:sz="0" w:space="0" w:color="auto"/>
      </w:divBdr>
    </w:div>
    <w:div w:id="183401899">
      <w:bodyDiv w:val="1"/>
      <w:marLeft w:val="0"/>
      <w:marRight w:val="0"/>
      <w:marTop w:val="0"/>
      <w:marBottom w:val="0"/>
      <w:divBdr>
        <w:top w:val="none" w:sz="0" w:space="0" w:color="auto"/>
        <w:left w:val="none" w:sz="0" w:space="0" w:color="auto"/>
        <w:bottom w:val="none" w:sz="0" w:space="0" w:color="auto"/>
        <w:right w:val="none" w:sz="0" w:space="0" w:color="auto"/>
      </w:divBdr>
    </w:div>
    <w:div w:id="183567344">
      <w:bodyDiv w:val="1"/>
      <w:marLeft w:val="0"/>
      <w:marRight w:val="0"/>
      <w:marTop w:val="0"/>
      <w:marBottom w:val="0"/>
      <w:divBdr>
        <w:top w:val="none" w:sz="0" w:space="0" w:color="auto"/>
        <w:left w:val="none" w:sz="0" w:space="0" w:color="auto"/>
        <w:bottom w:val="none" w:sz="0" w:space="0" w:color="auto"/>
        <w:right w:val="none" w:sz="0" w:space="0" w:color="auto"/>
      </w:divBdr>
    </w:div>
    <w:div w:id="183636160">
      <w:bodyDiv w:val="1"/>
      <w:marLeft w:val="0"/>
      <w:marRight w:val="0"/>
      <w:marTop w:val="0"/>
      <w:marBottom w:val="0"/>
      <w:divBdr>
        <w:top w:val="none" w:sz="0" w:space="0" w:color="auto"/>
        <w:left w:val="none" w:sz="0" w:space="0" w:color="auto"/>
        <w:bottom w:val="none" w:sz="0" w:space="0" w:color="auto"/>
        <w:right w:val="none" w:sz="0" w:space="0" w:color="auto"/>
      </w:divBdr>
    </w:div>
    <w:div w:id="183638422">
      <w:bodyDiv w:val="1"/>
      <w:marLeft w:val="0"/>
      <w:marRight w:val="0"/>
      <w:marTop w:val="0"/>
      <w:marBottom w:val="0"/>
      <w:divBdr>
        <w:top w:val="none" w:sz="0" w:space="0" w:color="auto"/>
        <w:left w:val="none" w:sz="0" w:space="0" w:color="auto"/>
        <w:bottom w:val="none" w:sz="0" w:space="0" w:color="auto"/>
        <w:right w:val="none" w:sz="0" w:space="0" w:color="auto"/>
      </w:divBdr>
    </w:div>
    <w:div w:id="183716417">
      <w:bodyDiv w:val="1"/>
      <w:marLeft w:val="0"/>
      <w:marRight w:val="0"/>
      <w:marTop w:val="0"/>
      <w:marBottom w:val="0"/>
      <w:divBdr>
        <w:top w:val="none" w:sz="0" w:space="0" w:color="auto"/>
        <w:left w:val="none" w:sz="0" w:space="0" w:color="auto"/>
        <w:bottom w:val="none" w:sz="0" w:space="0" w:color="auto"/>
        <w:right w:val="none" w:sz="0" w:space="0" w:color="auto"/>
      </w:divBdr>
    </w:div>
    <w:div w:id="183903886">
      <w:bodyDiv w:val="1"/>
      <w:marLeft w:val="0"/>
      <w:marRight w:val="0"/>
      <w:marTop w:val="0"/>
      <w:marBottom w:val="0"/>
      <w:divBdr>
        <w:top w:val="none" w:sz="0" w:space="0" w:color="auto"/>
        <w:left w:val="none" w:sz="0" w:space="0" w:color="auto"/>
        <w:bottom w:val="none" w:sz="0" w:space="0" w:color="auto"/>
        <w:right w:val="none" w:sz="0" w:space="0" w:color="auto"/>
      </w:divBdr>
    </w:div>
    <w:div w:id="184222367">
      <w:bodyDiv w:val="1"/>
      <w:marLeft w:val="0"/>
      <w:marRight w:val="0"/>
      <w:marTop w:val="0"/>
      <w:marBottom w:val="0"/>
      <w:divBdr>
        <w:top w:val="none" w:sz="0" w:space="0" w:color="auto"/>
        <w:left w:val="none" w:sz="0" w:space="0" w:color="auto"/>
        <w:bottom w:val="none" w:sz="0" w:space="0" w:color="auto"/>
        <w:right w:val="none" w:sz="0" w:space="0" w:color="auto"/>
      </w:divBdr>
    </w:div>
    <w:div w:id="184250752">
      <w:bodyDiv w:val="1"/>
      <w:marLeft w:val="0"/>
      <w:marRight w:val="0"/>
      <w:marTop w:val="0"/>
      <w:marBottom w:val="0"/>
      <w:divBdr>
        <w:top w:val="none" w:sz="0" w:space="0" w:color="auto"/>
        <w:left w:val="none" w:sz="0" w:space="0" w:color="auto"/>
        <w:bottom w:val="none" w:sz="0" w:space="0" w:color="auto"/>
        <w:right w:val="none" w:sz="0" w:space="0" w:color="auto"/>
      </w:divBdr>
    </w:div>
    <w:div w:id="184444715">
      <w:bodyDiv w:val="1"/>
      <w:marLeft w:val="0"/>
      <w:marRight w:val="0"/>
      <w:marTop w:val="0"/>
      <w:marBottom w:val="0"/>
      <w:divBdr>
        <w:top w:val="none" w:sz="0" w:space="0" w:color="auto"/>
        <w:left w:val="none" w:sz="0" w:space="0" w:color="auto"/>
        <w:bottom w:val="none" w:sz="0" w:space="0" w:color="auto"/>
        <w:right w:val="none" w:sz="0" w:space="0" w:color="auto"/>
      </w:divBdr>
    </w:div>
    <w:div w:id="184489208">
      <w:bodyDiv w:val="1"/>
      <w:marLeft w:val="0"/>
      <w:marRight w:val="0"/>
      <w:marTop w:val="0"/>
      <w:marBottom w:val="0"/>
      <w:divBdr>
        <w:top w:val="none" w:sz="0" w:space="0" w:color="auto"/>
        <w:left w:val="none" w:sz="0" w:space="0" w:color="auto"/>
        <w:bottom w:val="none" w:sz="0" w:space="0" w:color="auto"/>
        <w:right w:val="none" w:sz="0" w:space="0" w:color="auto"/>
      </w:divBdr>
    </w:div>
    <w:div w:id="184560658">
      <w:bodyDiv w:val="1"/>
      <w:marLeft w:val="0"/>
      <w:marRight w:val="0"/>
      <w:marTop w:val="0"/>
      <w:marBottom w:val="0"/>
      <w:divBdr>
        <w:top w:val="none" w:sz="0" w:space="0" w:color="auto"/>
        <w:left w:val="none" w:sz="0" w:space="0" w:color="auto"/>
        <w:bottom w:val="none" w:sz="0" w:space="0" w:color="auto"/>
        <w:right w:val="none" w:sz="0" w:space="0" w:color="auto"/>
      </w:divBdr>
    </w:div>
    <w:div w:id="184635862">
      <w:bodyDiv w:val="1"/>
      <w:marLeft w:val="0"/>
      <w:marRight w:val="0"/>
      <w:marTop w:val="0"/>
      <w:marBottom w:val="0"/>
      <w:divBdr>
        <w:top w:val="none" w:sz="0" w:space="0" w:color="auto"/>
        <w:left w:val="none" w:sz="0" w:space="0" w:color="auto"/>
        <w:bottom w:val="none" w:sz="0" w:space="0" w:color="auto"/>
        <w:right w:val="none" w:sz="0" w:space="0" w:color="auto"/>
      </w:divBdr>
    </w:div>
    <w:div w:id="184638505">
      <w:bodyDiv w:val="1"/>
      <w:marLeft w:val="0"/>
      <w:marRight w:val="0"/>
      <w:marTop w:val="0"/>
      <w:marBottom w:val="0"/>
      <w:divBdr>
        <w:top w:val="none" w:sz="0" w:space="0" w:color="auto"/>
        <w:left w:val="none" w:sz="0" w:space="0" w:color="auto"/>
        <w:bottom w:val="none" w:sz="0" w:space="0" w:color="auto"/>
        <w:right w:val="none" w:sz="0" w:space="0" w:color="auto"/>
      </w:divBdr>
    </w:div>
    <w:div w:id="184639966">
      <w:bodyDiv w:val="1"/>
      <w:marLeft w:val="0"/>
      <w:marRight w:val="0"/>
      <w:marTop w:val="0"/>
      <w:marBottom w:val="0"/>
      <w:divBdr>
        <w:top w:val="none" w:sz="0" w:space="0" w:color="auto"/>
        <w:left w:val="none" w:sz="0" w:space="0" w:color="auto"/>
        <w:bottom w:val="none" w:sz="0" w:space="0" w:color="auto"/>
        <w:right w:val="none" w:sz="0" w:space="0" w:color="auto"/>
      </w:divBdr>
    </w:div>
    <w:div w:id="184681823">
      <w:bodyDiv w:val="1"/>
      <w:marLeft w:val="0"/>
      <w:marRight w:val="0"/>
      <w:marTop w:val="0"/>
      <w:marBottom w:val="0"/>
      <w:divBdr>
        <w:top w:val="none" w:sz="0" w:space="0" w:color="auto"/>
        <w:left w:val="none" w:sz="0" w:space="0" w:color="auto"/>
        <w:bottom w:val="none" w:sz="0" w:space="0" w:color="auto"/>
        <w:right w:val="none" w:sz="0" w:space="0" w:color="auto"/>
      </w:divBdr>
    </w:div>
    <w:div w:id="184711084">
      <w:bodyDiv w:val="1"/>
      <w:marLeft w:val="0"/>
      <w:marRight w:val="0"/>
      <w:marTop w:val="0"/>
      <w:marBottom w:val="0"/>
      <w:divBdr>
        <w:top w:val="none" w:sz="0" w:space="0" w:color="auto"/>
        <w:left w:val="none" w:sz="0" w:space="0" w:color="auto"/>
        <w:bottom w:val="none" w:sz="0" w:space="0" w:color="auto"/>
        <w:right w:val="none" w:sz="0" w:space="0" w:color="auto"/>
      </w:divBdr>
    </w:div>
    <w:div w:id="184754174">
      <w:bodyDiv w:val="1"/>
      <w:marLeft w:val="0"/>
      <w:marRight w:val="0"/>
      <w:marTop w:val="0"/>
      <w:marBottom w:val="0"/>
      <w:divBdr>
        <w:top w:val="none" w:sz="0" w:space="0" w:color="auto"/>
        <w:left w:val="none" w:sz="0" w:space="0" w:color="auto"/>
        <w:bottom w:val="none" w:sz="0" w:space="0" w:color="auto"/>
        <w:right w:val="none" w:sz="0" w:space="0" w:color="auto"/>
      </w:divBdr>
    </w:div>
    <w:div w:id="184828043">
      <w:bodyDiv w:val="1"/>
      <w:marLeft w:val="0"/>
      <w:marRight w:val="0"/>
      <w:marTop w:val="0"/>
      <w:marBottom w:val="0"/>
      <w:divBdr>
        <w:top w:val="none" w:sz="0" w:space="0" w:color="auto"/>
        <w:left w:val="none" w:sz="0" w:space="0" w:color="auto"/>
        <w:bottom w:val="none" w:sz="0" w:space="0" w:color="auto"/>
        <w:right w:val="none" w:sz="0" w:space="0" w:color="auto"/>
      </w:divBdr>
    </w:div>
    <w:div w:id="185095993">
      <w:bodyDiv w:val="1"/>
      <w:marLeft w:val="0"/>
      <w:marRight w:val="0"/>
      <w:marTop w:val="0"/>
      <w:marBottom w:val="0"/>
      <w:divBdr>
        <w:top w:val="none" w:sz="0" w:space="0" w:color="auto"/>
        <w:left w:val="none" w:sz="0" w:space="0" w:color="auto"/>
        <w:bottom w:val="none" w:sz="0" w:space="0" w:color="auto"/>
        <w:right w:val="none" w:sz="0" w:space="0" w:color="auto"/>
      </w:divBdr>
    </w:div>
    <w:div w:id="185100661">
      <w:bodyDiv w:val="1"/>
      <w:marLeft w:val="0"/>
      <w:marRight w:val="0"/>
      <w:marTop w:val="0"/>
      <w:marBottom w:val="0"/>
      <w:divBdr>
        <w:top w:val="none" w:sz="0" w:space="0" w:color="auto"/>
        <w:left w:val="none" w:sz="0" w:space="0" w:color="auto"/>
        <w:bottom w:val="none" w:sz="0" w:space="0" w:color="auto"/>
        <w:right w:val="none" w:sz="0" w:space="0" w:color="auto"/>
      </w:divBdr>
    </w:div>
    <w:div w:id="185101942">
      <w:bodyDiv w:val="1"/>
      <w:marLeft w:val="0"/>
      <w:marRight w:val="0"/>
      <w:marTop w:val="0"/>
      <w:marBottom w:val="0"/>
      <w:divBdr>
        <w:top w:val="none" w:sz="0" w:space="0" w:color="auto"/>
        <w:left w:val="none" w:sz="0" w:space="0" w:color="auto"/>
        <w:bottom w:val="none" w:sz="0" w:space="0" w:color="auto"/>
        <w:right w:val="none" w:sz="0" w:space="0" w:color="auto"/>
      </w:divBdr>
    </w:div>
    <w:div w:id="185139890">
      <w:bodyDiv w:val="1"/>
      <w:marLeft w:val="0"/>
      <w:marRight w:val="0"/>
      <w:marTop w:val="0"/>
      <w:marBottom w:val="0"/>
      <w:divBdr>
        <w:top w:val="none" w:sz="0" w:space="0" w:color="auto"/>
        <w:left w:val="none" w:sz="0" w:space="0" w:color="auto"/>
        <w:bottom w:val="none" w:sz="0" w:space="0" w:color="auto"/>
        <w:right w:val="none" w:sz="0" w:space="0" w:color="auto"/>
      </w:divBdr>
    </w:div>
    <w:div w:id="185142711">
      <w:bodyDiv w:val="1"/>
      <w:marLeft w:val="0"/>
      <w:marRight w:val="0"/>
      <w:marTop w:val="0"/>
      <w:marBottom w:val="0"/>
      <w:divBdr>
        <w:top w:val="none" w:sz="0" w:space="0" w:color="auto"/>
        <w:left w:val="none" w:sz="0" w:space="0" w:color="auto"/>
        <w:bottom w:val="none" w:sz="0" w:space="0" w:color="auto"/>
        <w:right w:val="none" w:sz="0" w:space="0" w:color="auto"/>
      </w:divBdr>
    </w:div>
    <w:div w:id="185215879">
      <w:bodyDiv w:val="1"/>
      <w:marLeft w:val="0"/>
      <w:marRight w:val="0"/>
      <w:marTop w:val="0"/>
      <w:marBottom w:val="0"/>
      <w:divBdr>
        <w:top w:val="none" w:sz="0" w:space="0" w:color="auto"/>
        <w:left w:val="none" w:sz="0" w:space="0" w:color="auto"/>
        <w:bottom w:val="none" w:sz="0" w:space="0" w:color="auto"/>
        <w:right w:val="none" w:sz="0" w:space="0" w:color="auto"/>
      </w:divBdr>
    </w:div>
    <w:div w:id="185293984">
      <w:bodyDiv w:val="1"/>
      <w:marLeft w:val="0"/>
      <w:marRight w:val="0"/>
      <w:marTop w:val="0"/>
      <w:marBottom w:val="0"/>
      <w:divBdr>
        <w:top w:val="none" w:sz="0" w:space="0" w:color="auto"/>
        <w:left w:val="none" w:sz="0" w:space="0" w:color="auto"/>
        <w:bottom w:val="none" w:sz="0" w:space="0" w:color="auto"/>
        <w:right w:val="none" w:sz="0" w:space="0" w:color="auto"/>
      </w:divBdr>
    </w:div>
    <w:div w:id="185408116">
      <w:bodyDiv w:val="1"/>
      <w:marLeft w:val="0"/>
      <w:marRight w:val="0"/>
      <w:marTop w:val="0"/>
      <w:marBottom w:val="0"/>
      <w:divBdr>
        <w:top w:val="none" w:sz="0" w:space="0" w:color="auto"/>
        <w:left w:val="none" w:sz="0" w:space="0" w:color="auto"/>
        <w:bottom w:val="none" w:sz="0" w:space="0" w:color="auto"/>
        <w:right w:val="none" w:sz="0" w:space="0" w:color="auto"/>
      </w:divBdr>
    </w:div>
    <w:div w:id="185481282">
      <w:bodyDiv w:val="1"/>
      <w:marLeft w:val="0"/>
      <w:marRight w:val="0"/>
      <w:marTop w:val="0"/>
      <w:marBottom w:val="0"/>
      <w:divBdr>
        <w:top w:val="none" w:sz="0" w:space="0" w:color="auto"/>
        <w:left w:val="none" w:sz="0" w:space="0" w:color="auto"/>
        <w:bottom w:val="none" w:sz="0" w:space="0" w:color="auto"/>
        <w:right w:val="none" w:sz="0" w:space="0" w:color="auto"/>
      </w:divBdr>
    </w:div>
    <w:div w:id="185606634">
      <w:bodyDiv w:val="1"/>
      <w:marLeft w:val="0"/>
      <w:marRight w:val="0"/>
      <w:marTop w:val="0"/>
      <w:marBottom w:val="0"/>
      <w:divBdr>
        <w:top w:val="none" w:sz="0" w:space="0" w:color="auto"/>
        <w:left w:val="none" w:sz="0" w:space="0" w:color="auto"/>
        <w:bottom w:val="none" w:sz="0" w:space="0" w:color="auto"/>
        <w:right w:val="none" w:sz="0" w:space="0" w:color="auto"/>
      </w:divBdr>
    </w:div>
    <w:div w:id="185681001">
      <w:bodyDiv w:val="1"/>
      <w:marLeft w:val="0"/>
      <w:marRight w:val="0"/>
      <w:marTop w:val="0"/>
      <w:marBottom w:val="0"/>
      <w:divBdr>
        <w:top w:val="none" w:sz="0" w:space="0" w:color="auto"/>
        <w:left w:val="none" w:sz="0" w:space="0" w:color="auto"/>
        <w:bottom w:val="none" w:sz="0" w:space="0" w:color="auto"/>
        <w:right w:val="none" w:sz="0" w:space="0" w:color="auto"/>
      </w:divBdr>
    </w:div>
    <w:div w:id="185752604">
      <w:bodyDiv w:val="1"/>
      <w:marLeft w:val="0"/>
      <w:marRight w:val="0"/>
      <w:marTop w:val="0"/>
      <w:marBottom w:val="0"/>
      <w:divBdr>
        <w:top w:val="none" w:sz="0" w:space="0" w:color="auto"/>
        <w:left w:val="none" w:sz="0" w:space="0" w:color="auto"/>
        <w:bottom w:val="none" w:sz="0" w:space="0" w:color="auto"/>
        <w:right w:val="none" w:sz="0" w:space="0" w:color="auto"/>
      </w:divBdr>
    </w:div>
    <w:div w:id="185759233">
      <w:bodyDiv w:val="1"/>
      <w:marLeft w:val="0"/>
      <w:marRight w:val="0"/>
      <w:marTop w:val="0"/>
      <w:marBottom w:val="0"/>
      <w:divBdr>
        <w:top w:val="none" w:sz="0" w:space="0" w:color="auto"/>
        <w:left w:val="none" w:sz="0" w:space="0" w:color="auto"/>
        <w:bottom w:val="none" w:sz="0" w:space="0" w:color="auto"/>
        <w:right w:val="none" w:sz="0" w:space="0" w:color="auto"/>
      </w:divBdr>
    </w:div>
    <w:div w:id="185872229">
      <w:bodyDiv w:val="1"/>
      <w:marLeft w:val="0"/>
      <w:marRight w:val="0"/>
      <w:marTop w:val="0"/>
      <w:marBottom w:val="0"/>
      <w:divBdr>
        <w:top w:val="none" w:sz="0" w:space="0" w:color="auto"/>
        <w:left w:val="none" w:sz="0" w:space="0" w:color="auto"/>
        <w:bottom w:val="none" w:sz="0" w:space="0" w:color="auto"/>
        <w:right w:val="none" w:sz="0" w:space="0" w:color="auto"/>
      </w:divBdr>
    </w:div>
    <w:div w:id="185876263">
      <w:bodyDiv w:val="1"/>
      <w:marLeft w:val="0"/>
      <w:marRight w:val="0"/>
      <w:marTop w:val="0"/>
      <w:marBottom w:val="0"/>
      <w:divBdr>
        <w:top w:val="none" w:sz="0" w:space="0" w:color="auto"/>
        <w:left w:val="none" w:sz="0" w:space="0" w:color="auto"/>
        <w:bottom w:val="none" w:sz="0" w:space="0" w:color="auto"/>
        <w:right w:val="none" w:sz="0" w:space="0" w:color="auto"/>
      </w:divBdr>
    </w:div>
    <w:div w:id="185946130">
      <w:bodyDiv w:val="1"/>
      <w:marLeft w:val="0"/>
      <w:marRight w:val="0"/>
      <w:marTop w:val="0"/>
      <w:marBottom w:val="0"/>
      <w:divBdr>
        <w:top w:val="none" w:sz="0" w:space="0" w:color="auto"/>
        <w:left w:val="none" w:sz="0" w:space="0" w:color="auto"/>
        <w:bottom w:val="none" w:sz="0" w:space="0" w:color="auto"/>
        <w:right w:val="none" w:sz="0" w:space="0" w:color="auto"/>
      </w:divBdr>
    </w:div>
    <w:div w:id="185946935">
      <w:bodyDiv w:val="1"/>
      <w:marLeft w:val="0"/>
      <w:marRight w:val="0"/>
      <w:marTop w:val="0"/>
      <w:marBottom w:val="0"/>
      <w:divBdr>
        <w:top w:val="none" w:sz="0" w:space="0" w:color="auto"/>
        <w:left w:val="none" w:sz="0" w:space="0" w:color="auto"/>
        <w:bottom w:val="none" w:sz="0" w:space="0" w:color="auto"/>
        <w:right w:val="none" w:sz="0" w:space="0" w:color="auto"/>
      </w:divBdr>
    </w:div>
    <w:div w:id="186061847">
      <w:bodyDiv w:val="1"/>
      <w:marLeft w:val="0"/>
      <w:marRight w:val="0"/>
      <w:marTop w:val="0"/>
      <w:marBottom w:val="0"/>
      <w:divBdr>
        <w:top w:val="none" w:sz="0" w:space="0" w:color="auto"/>
        <w:left w:val="none" w:sz="0" w:space="0" w:color="auto"/>
        <w:bottom w:val="none" w:sz="0" w:space="0" w:color="auto"/>
        <w:right w:val="none" w:sz="0" w:space="0" w:color="auto"/>
      </w:divBdr>
    </w:div>
    <w:div w:id="186259711">
      <w:bodyDiv w:val="1"/>
      <w:marLeft w:val="0"/>
      <w:marRight w:val="0"/>
      <w:marTop w:val="0"/>
      <w:marBottom w:val="0"/>
      <w:divBdr>
        <w:top w:val="none" w:sz="0" w:space="0" w:color="auto"/>
        <w:left w:val="none" w:sz="0" w:space="0" w:color="auto"/>
        <w:bottom w:val="none" w:sz="0" w:space="0" w:color="auto"/>
        <w:right w:val="none" w:sz="0" w:space="0" w:color="auto"/>
      </w:divBdr>
    </w:div>
    <w:div w:id="186261439">
      <w:bodyDiv w:val="1"/>
      <w:marLeft w:val="0"/>
      <w:marRight w:val="0"/>
      <w:marTop w:val="0"/>
      <w:marBottom w:val="0"/>
      <w:divBdr>
        <w:top w:val="none" w:sz="0" w:space="0" w:color="auto"/>
        <w:left w:val="none" w:sz="0" w:space="0" w:color="auto"/>
        <w:bottom w:val="none" w:sz="0" w:space="0" w:color="auto"/>
        <w:right w:val="none" w:sz="0" w:space="0" w:color="auto"/>
      </w:divBdr>
    </w:div>
    <w:div w:id="186408204">
      <w:bodyDiv w:val="1"/>
      <w:marLeft w:val="0"/>
      <w:marRight w:val="0"/>
      <w:marTop w:val="0"/>
      <w:marBottom w:val="0"/>
      <w:divBdr>
        <w:top w:val="none" w:sz="0" w:space="0" w:color="auto"/>
        <w:left w:val="none" w:sz="0" w:space="0" w:color="auto"/>
        <w:bottom w:val="none" w:sz="0" w:space="0" w:color="auto"/>
        <w:right w:val="none" w:sz="0" w:space="0" w:color="auto"/>
      </w:divBdr>
    </w:div>
    <w:div w:id="186408341">
      <w:bodyDiv w:val="1"/>
      <w:marLeft w:val="0"/>
      <w:marRight w:val="0"/>
      <w:marTop w:val="0"/>
      <w:marBottom w:val="0"/>
      <w:divBdr>
        <w:top w:val="none" w:sz="0" w:space="0" w:color="auto"/>
        <w:left w:val="none" w:sz="0" w:space="0" w:color="auto"/>
        <w:bottom w:val="none" w:sz="0" w:space="0" w:color="auto"/>
        <w:right w:val="none" w:sz="0" w:space="0" w:color="auto"/>
      </w:divBdr>
    </w:div>
    <w:div w:id="186450915">
      <w:bodyDiv w:val="1"/>
      <w:marLeft w:val="0"/>
      <w:marRight w:val="0"/>
      <w:marTop w:val="0"/>
      <w:marBottom w:val="0"/>
      <w:divBdr>
        <w:top w:val="none" w:sz="0" w:space="0" w:color="auto"/>
        <w:left w:val="none" w:sz="0" w:space="0" w:color="auto"/>
        <w:bottom w:val="none" w:sz="0" w:space="0" w:color="auto"/>
        <w:right w:val="none" w:sz="0" w:space="0" w:color="auto"/>
      </w:divBdr>
    </w:div>
    <w:div w:id="186523315">
      <w:bodyDiv w:val="1"/>
      <w:marLeft w:val="0"/>
      <w:marRight w:val="0"/>
      <w:marTop w:val="0"/>
      <w:marBottom w:val="0"/>
      <w:divBdr>
        <w:top w:val="none" w:sz="0" w:space="0" w:color="auto"/>
        <w:left w:val="none" w:sz="0" w:space="0" w:color="auto"/>
        <w:bottom w:val="none" w:sz="0" w:space="0" w:color="auto"/>
        <w:right w:val="none" w:sz="0" w:space="0" w:color="auto"/>
      </w:divBdr>
    </w:div>
    <w:div w:id="186524289">
      <w:bodyDiv w:val="1"/>
      <w:marLeft w:val="0"/>
      <w:marRight w:val="0"/>
      <w:marTop w:val="0"/>
      <w:marBottom w:val="0"/>
      <w:divBdr>
        <w:top w:val="none" w:sz="0" w:space="0" w:color="auto"/>
        <w:left w:val="none" w:sz="0" w:space="0" w:color="auto"/>
        <w:bottom w:val="none" w:sz="0" w:space="0" w:color="auto"/>
        <w:right w:val="none" w:sz="0" w:space="0" w:color="auto"/>
      </w:divBdr>
    </w:div>
    <w:div w:id="186525611">
      <w:bodyDiv w:val="1"/>
      <w:marLeft w:val="0"/>
      <w:marRight w:val="0"/>
      <w:marTop w:val="0"/>
      <w:marBottom w:val="0"/>
      <w:divBdr>
        <w:top w:val="none" w:sz="0" w:space="0" w:color="auto"/>
        <w:left w:val="none" w:sz="0" w:space="0" w:color="auto"/>
        <w:bottom w:val="none" w:sz="0" w:space="0" w:color="auto"/>
        <w:right w:val="none" w:sz="0" w:space="0" w:color="auto"/>
      </w:divBdr>
    </w:div>
    <w:div w:id="186527491">
      <w:bodyDiv w:val="1"/>
      <w:marLeft w:val="0"/>
      <w:marRight w:val="0"/>
      <w:marTop w:val="0"/>
      <w:marBottom w:val="0"/>
      <w:divBdr>
        <w:top w:val="none" w:sz="0" w:space="0" w:color="auto"/>
        <w:left w:val="none" w:sz="0" w:space="0" w:color="auto"/>
        <w:bottom w:val="none" w:sz="0" w:space="0" w:color="auto"/>
        <w:right w:val="none" w:sz="0" w:space="0" w:color="auto"/>
      </w:divBdr>
    </w:div>
    <w:div w:id="186601069">
      <w:bodyDiv w:val="1"/>
      <w:marLeft w:val="0"/>
      <w:marRight w:val="0"/>
      <w:marTop w:val="0"/>
      <w:marBottom w:val="0"/>
      <w:divBdr>
        <w:top w:val="none" w:sz="0" w:space="0" w:color="auto"/>
        <w:left w:val="none" w:sz="0" w:space="0" w:color="auto"/>
        <w:bottom w:val="none" w:sz="0" w:space="0" w:color="auto"/>
        <w:right w:val="none" w:sz="0" w:space="0" w:color="auto"/>
      </w:divBdr>
    </w:div>
    <w:div w:id="186650451">
      <w:bodyDiv w:val="1"/>
      <w:marLeft w:val="0"/>
      <w:marRight w:val="0"/>
      <w:marTop w:val="0"/>
      <w:marBottom w:val="0"/>
      <w:divBdr>
        <w:top w:val="none" w:sz="0" w:space="0" w:color="auto"/>
        <w:left w:val="none" w:sz="0" w:space="0" w:color="auto"/>
        <w:bottom w:val="none" w:sz="0" w:space="0" w:color="auto"/>
        <w:right w:val="none" w:sz="0" w:space="0" w:color="auto"/>
      </w:divBdr>
    </w:div>
    <w:div w:id="186910448">
      <w:bodyDiv w:val="1"/>
      <w:marLeft w:val="0"/>
      <w:marRight w:val="0"/>
      <w:marTop w:val="0"/>
      <w:marBottom w:val="0"/>
      <w:divBdr>
        <w:top w:val="none" w:sz="0" w:space="0" w:color="auto"/>
        <w:left w:val="none" w:sz="0" w:space="0" w:color="auto"/>
        <w:bottom w:val="none" w:sz="0" w:space="0" w:color="auto"/>
        <w:right w:val="none" w:sz="0" w:space="0" w:color="auto"/>
      </w:divBdr>
    </w:div>
    <w:div w:id="186992744">
      <w:bodyDiv w:val="1"/>
      <w:marLeft w:val="0"/>
      <w:marRight w:val="0"/>
      <w:marTop w:val="0"/>
      <w:marBottom w:val="0"/>
      <w:divBdr>
        <w:top w:val="none" w:sz="0" w:space="0" w:color="auto"/>
        <w:left w:val="none" w:sz="0" w:space="0" w:color="auto"/>
        <w:bottom w:val="none" w:sz="0" w:space="0" w:color="auto"/>
        <w:right w:val="none" w:sz="0" w:space="0" w:color="auto"/>
      </w:divBdr>
    </w:div>
    <w:div w:id="187060276">
      <w:bodyDiv w:val="1"/>
      <w:marLeft w:val="0"/>
      <w:marRight w:val="0"/>
      <w:marTop w:val="0"/>
      <w:marBottom w:val="0"/>
      <w:divBdr>
        <w:top w:val="none" w:sz="0" w:space="0" w:color="auto"/>
        <w:left w:val="none" w:sz="0" w:space="0" w:color="auto"/>
        <w:bottom w:val="none" w:sz="0" w:space="0" w:color="auto"/>
        <w:right w:val="none" w:sz="0" w:space="0" w:color="auto"/>
      </w:divBdr>
    </w:div>
    <w:div w:id="187063257">
      <w:bodyDiv w:val="1"/>
      <w:marLeft w:val="0"/>
      <w:marRight w:val="0"/>
      <w:marTop w:val="0"/>
      <w:marBottom w:val="0"/>
      <w:divBdr>
        <w:top w:val="none" w:sz="0" w:space="0" w:color="auto"/>
        <w:left w:val="none" w:sz="0" w:space="0" w:color="auto"/>
        <w:bottom w:val="none" w:sz="0" w:space="0" w:color="auto"/>
        <w:right w:val="none" w:sz="0" w:space="0" w:color="auto"/>
      </w:divBdr>
    </w:div>
    <w:div w:id="187067909">
      <w:bodyDiv w:val="1"/>
      <w:marLeft w:val="0"/>
      <w:marRight w:val="0"/>
      <w:marTop w:val="0"/>
      <w:marBottom w:val="0"/>
      <w:divBdr>
        <w:top w:val="none" w:sz="0" w:space="0" w:color="auto"/>
        <w:left w:val="none" w:sz="0" w:space="0" w:color="auto"/>
        <w:bottom w:val="none" w:sz="0" w:space="0" w:color="auto"/>
        <w:right w:val="none" w:sz="0" w:space="0" w:color="auto"/>
      </w:divBdr>
    </w:div>
    <w:div w:id="187107177">
      <w:bodyDiv w:val="1"/>
      <w:marLeft w:val="0"/>
      <w:marRight w:val="0"/>
      <w:marTop w:val="0"/>
      <w:marBottom w:val="0"/>
      <w:divBdr>
        <w:top w:val="none" w:sz="0" w:space="0" w:color="auto"/>
        <w:left w:val="none" w:sz="0" w:space="0" w:color="auto"/>
        <w:bottom w:val="none" w:sz="0" w:space="0" w:color="auto"/>
        <w:right w:val="none" w:sz="0" w:space="0" w:color="auto"/>
      </w:divBdr>
    </w:div>
    <w:div w:id="187182357">
      <w:bodyDiv w:val="1"/>
      <w:marLeft w:val="0"/>
      <w:marRight w:val="0"/>
      <w:marTop w:val="0"/>
      <w:marBottom w:val="0"/>
      <w:divBdr>
        <w:top w:val="none" w:sz="0" w:space="0" w:color="auto"/>
        <w:left w:val="none" w:sz="0" w:space="0" w:color="auto"/>
        <w:bottom w:val="none" w:sz="0" w:space="0" w:color="auto"/>
        <w:right w:val="none" w:sz="0" w:space="0" w:color="auto"/>
      </w:divBdr>
    </w:div>
    <w:div w:id="187261930">
      <w:bodyDiv w:val="1"/>
      <w:marLeft w:val="0"/>
      <w:marRight w:val="0"/>
      <w:marTop w:val="0"/>
      <w:marBottom w:val="0"/>
      <w:divBdr>
        <w:top w:val="none" w:sz="0" w:space="0" w:color="auto"/>
        <w:left w:val="none" w:sz="0" w:space="0" w:color="auto"/>
        <w:bottom w:val="none" w:sz="0" w:space="0" w:color="auto"/>
        <w:right w:val="none" w:sz="0" w:space="0" w:color="auto"/>
      </w:divBdr>
    </w:div>
    <w:div w:id="187330144">
      <w:bodyDiv w:val="1"/>
      <w:marLeft w:val="0"/>
      <w:marRight w:val="0"/>
      <w:marTop w:val="0"/>
      <w:marBottom w:val="0"/>
      <w:divBdr>
        <w:top w:val="none" w:sz="0" w:space="0" w:color="auto"/>
        <w:left w:val="none" w:sz="0" w:space="0" w:color="auto"/>
        <w:bottom w:val="none" w:sz="0" w:space="0" w:color="auto"/>
        <w:right w:val="none" w:sz="0" w:space="0" w:color="auto"/>
      </w:divBdr>
    </w:div>
    <w:div w:id="187373217">
      <w:bodyDiv w:val="1"/>
      <w:marLeft w:val="0"/>
      <w:marRight w:val="0"/>
      <w:marTop w:val="0"/>
      <w:marBottom w:val="0"/>
      <w:divBdr>
        <w:top w:val="none" w:sz="0" w:space="0" w:color="auto"/>
        <w:left w:val="none" w:sz="0" w:space="0" w:color="auto"/>
        <w:bottom w:val="none" w:sz="0" w:space="0" w:color="auto"/>
        <w:right w:val="none" w:sz="0" w:space="0" w:color="auto"/>
      </w:divBdr>
    </w:div>
    <w:div w:id="187451360">
      <w:bodyDiv w:val="1"/>
      <w:marLeft w:val="0"/>
      <w:marRight w:val="0"/>
      <w:marTop w:val="0"/>
      <w:marBottom w:val="0"/>
      <w:divBdr>
        <w:top w:val="none" w:sz="0" w:space="0" w:color="auto"/>
        <w:left w:val="none" w:sz="0" w:space="0" w:color="auto"/>
        <w:bottom w:val="none" w:sz="0" w:space="0" w:color="auto"/>
        <w:right w:val="none" w:sz="0" w:space="0" w:color="auto"/>
      </w:divBdr>
    </w:div>
    <w:div w:id="187452767">
      <w:bodyDiv w:val="1"/>
      <w:marLeft w:val="0"/>
      <w:marRight w:val="0"/>
      <w:marTop w:val="0"/>
      <w:marBottom w:val="0"/>
      <w:divBdr>
        <w:top w:val="none" w:sz="0" w:space="0" w:color="auto"/>
        <w:left w:val="none" w:sz="0" w:space="0" w:color="auto"/>
        <w:bottom w:val="none" w:sz="0" w:space="0" w:color="auto"/>
        <w:right w:val="none" w:sz="0" w:space="0" w:color="auto"/>
      </w:divBdr>
    </w:div>
    <w:div w:id="187531045">
      <w:bodyDiv w:val="1"/>
      <w:marLeft w:val="0"/>
      <w:marRight w:val="0"/>
      <w:marTop w:val="0"/>
      <w:marBottom w:val="0"/>
      <w:divBdr>
        <w:top w:val="none" w:sz="0" w:space="0" w:color="auto"/>
        <w:left w:val="none" w:sz="0" w:space="0" w:color="auto"/>
        <w:bottom w:val="none" w:sz="0" w:space="0" w:color="auto"/>
        <w:right w:val="none" w:sz="0" w:space="0" w:color="auto"/>
      </w:divBdr>
    </w:div>
    <w:div w:id="187571400">
      <w:bodyDiv w:val="1"/>
      <w:marLeft w:val="0"/>
      <w:marRight w:val="0"/>
      <w:marTop w:val="0"/>
      <w:marBottom w:val="0"/>
      <w:divBdr>
        <w:top w:val="none" w:sz="0" w:space="0" w:color="auto"/>
        <w:left w:val="none" w:sz="0" w:space="0" w:color="auto"/>
        <w:bottom w:val="none" w:sz="0" w:space="0" w:color="auto"/>
        <w:right w:val="none" w:sz="0" w:space="0" w:color="auto"/>
      </w:divBdr>
    </w:div>
    <w:div w:id="187641675">
      <w:bodyDiv w:val="1"/>
      <w:marLeft w:val="0"/>
      <w:marRight w:val="0"/>
      <w:marTop w:val="0"/>
      <w:marBottom w:val="0"/>
      <w:divBdr>
        <w:top w:val="none" w:sz="0" w:space="0" w:color="auto"/>
        <w:left w:val="none" w:sz="0" w:space="0" w:color="auto"/>
        <w:bottom w:val="none" w:sz="0" w:space="0" w:color="auto"/>
        <w:right w:val="none" w:sz="0" w:space="0" w:color="auto"/>
      </w:divBdr>
    </w:div>
    <w:div w:id="187724833">
      <w:bodyDiv w:val="1"/>
      <w:marLeft w:val="0"/>
      <w:marRight w:val="0"/>
      <w:marTop w:val="0"/>
      <w:marBottom w:val="0"/>
      <w:divBdr>
        <w:top w:val="none" w:sz="0" w:space="0" w:color="auto"/>
        <w:left w:val="none" w:sz="0" w:space="0" w:color="auto"/>
        <w:bottom w:val="none" w:sz="0" w:space="0" w:color="auto"/>
        <w:right w:val="none" w:sz="0" w:space="0" w:color="auto"/>
      </w:divBdr>
    </w:div>
    <w:div w:id="187762961">
      <w:bodyDiv w:val="1"/>
      <w:marLeft w:val="0"/>
      <w:marRight w:val="0"/>
      <w:marTop w:val="0"/>
      <w:marBottom w:val="0"/>
      <w:divBdr>
        <w:top w:val="none" w:sz="0" w:space="0" w:color="auto"/>
        <w:left w:val="none" w:sz="0" w:space="0" w:color="auto"/>
        <w:bottom w:val="none" w:sz="0" w:space="0" w:color="auto"/>
        <w:right w:val="none" w:sz="0" w:space="0" w:color="auto"/>
      </w:divBdr>
    </w:div>
    <w:div w:id="187836659">
      <w:bodyDiv w:val="1"/>
      <w:marLeft w:val="0"/>
      <w:marRight w:val="0"/>
      <w:marTop w:val="0"/>
      <w:marBottom w:val="0"/>
      <w:divBdr>
        <w:top w:val="none" w:sz="0" w:space="0" w:color="auto"/>
        <w:left w:val="none" w:sz="0" w:space="0" w:color="auto"/>
        <w:bottom w:val="none" w:sz="0" w:space="0" w:color="auto"/>
        <w:right w:val="none" w:sz="0" w:space="0" w:color="auto"/>
      </w:divBdr>
    </w:div>
    <w:div w:id="187988927">
      <w:bodyDiv w:val="1"/>
      <w:marLeft w:val="0"/>
      <w:marRight w:val="0"/>
      <w:marTop w:val="0"/>
      <w:marBottom w:val="0"/>
      <w:divBdr>
        <w:top w:val="none" w:sz="0" w:space="0" w:color="auto"/>
        <w:left w:val="none" w:sz="0" w:space="0" w:color="auto"/>
        <w:bottom w:val="none" w:sz="0" w:space="0" w:color="auto"/>
        <w:right w:val="none" w:sz="0" w:space="0" w:color="auto"/>
      </w:divBdr>
    </w:div>
    <w:div w:id="188106426">
      <w:bodyDiv w:val="1"/>
      <w:marLeft w:val="0"/>
      <w:marRight w:val="0"/>
      <w:marTop w:val="0"/>
      <w:marBottom w:val="0"/>
      <w:divBdr>
        <w:top w:val="none" w:sz="0" w:space="0" w:color="auto"/>
        <w:left w:val="none" w:sz="0" w:space="0" w:color="auto"/>
        <w:bottom w:val="none" w:sz="0" w:space="0" w:color="auto"/>
        <w:right w:val="none" w:sz="0" w:space="0" w:color="auto"/>
      </w:divBdr>
    </w:div>
    <w:div w:id="188110229">
      <w:bodyDiv w:val="1"/>
      <w:marLeft w:val="0"/>
      <w:marRight w:val="0"/>
      <w:marTop w:val="0"/>
      <w:marBottom w:val="0"/>
      <w:divBdr>
        <w:top w:val="none" w:sz="0" w:space="0" w:color="auto"/>
        <w:left w:val="none" w:sz="0" w:space="0" w:color="auto"/>
        <w:bottom w:val="none" w:sz="0" w:space="0" w:color="auto"/>
        <w:right w:val="none" w:sz="0" w:space="0" w:color="auto"/>
      </w:divBdr>
    </w:div>
    <w:div w:id="188223219">
      <w:bodyDiv w:val="1"/>
      <w:marLeft w:val="0"/>
      <w:marRight w:val="0"/>
      <w:marTop w:val="0"/>
      <w:marBottom w:val="0"/>
      <w:divBdr>
        <w:top w:val="none" w:sz="0" w:space="0" w:color="auto"/>
        <w:left w:val="none" w:sz="0" w:space="0" w:color="auto"/>
        <w:bottom w:val="none" w:sz="0" w:space="0" w:color="auto"/>
        <w:right w:val="none" w:sz="0" w:space="0" w:color="auto"/>
      </w:divBdr>
    </w:div>
    <w:div w:id="188447390">
      <w:bodyDiv w:val="1"/>
      <w:marLeft w:val="0"/>
      <w:marRight w:val="0"/>
      <w:marTop w:val="0"/>
      <w:marBottom w:val="0"/>
      <w:divBdr>
        <w:top w:val="none" w:sz="0" w:space="0" w:color="auto"/>
        <w:left w:val="none" w:sz="0" w:space="0" w:color="auto"/>
        <w:bottom w:val="none" w:sz="0" w:space="0" w:color="auto"/>
        <w:right w:val="none" w:sz="0" w:space="0" w:color="auto"/>
      </w:divBdr>
    </w:div>
    <w:div w:id="188491943">
      <w:bodyDiv w:val="1"/>
      <w:marLeft w:val="0"/>
      <w:marRight w:val="0"/>
      <w:marTop w:val="0"/>
      <w:marBottom w:val="0"/>
      <w:divBdr>
        <w:top w:val="none" w:sz="0" w:space="0" w:color="auto"/>
        <w:left w:val="none" w:sz="0" w:space="0" w:color="auto"/>
        <w:bottom w:val="none" w:sz="0" w:space="0" w:color="auto"/>
        <w:right w:val="none" w:sz="0" w:space="0" w:color="auto"/>
      </w:divBdr>
    </w:div>
    <w:div w:id="188492236">
      <w:bodyDiv w:val="1"/>
      <w:marLeft w:val="0"/>
      <w:marRight w:val="0"/>
      <w:marTop w:val="0"/>
      <w:marBottom w:val="0"/>
      <w:divBdr>
        <w:top w:val="none" w:sz="0" w:space="0" w:color="auto"/>
        <w:left w:val="none" w:sz="0" w:space="0" w:color="auto"/>
        <w:bottom w:val="none" w:sz="0" w:space="0" w:color="auto"/>
        <w:right w:val="none" w:sz="0" w:space="0" w:color="auto"/>
      </w:divBdr>
    </w:div>
    <w:div w:id="188615292">
      <w:bodyDiv w:val="1"/>
      <w:marLeft w:val="0"/>
      <w:marRight w:val="0"/>
      <w:marTop w:val="0"/>
      <w:marBottom w:val="0"/>
      <w:divBdr>
        <w:top w:val="none" w:sz="0" w:space="0" w:color="auto"/>
        <w:left w:val="none" w:sz="0" w:space="0" w:color="auto"/>
        <w:bottom w:val="none" w:sz="0" w:space="0" w:color="auto"/>
        <w:right w:val="none" w:sz="0" w:space="0" w:color="auto"/>
      </w:divBdr>
    </w:div>
    <w:div w:id="188685554">
      <w:bodyDiv w:val="1"/>
      <w:marLeft w:val="0"/>
      <w:marRight w:val="0"/>
      <w:marTop w:val="0"/>
      <w:marBottom w:val="0"/>
      <w:divBdr>
        <w:top w:val="none" w:sz="0" w:space="0" w:color="auto"/>
        <w:left w:val="none" w:sz="0" w:space="0" w:color="auto"/>
        <w:bottom w:val="none" w:sz="0" w:space="0" w:color="auto"/>
        <w:right w:val="none" w:sz="0" w:space="0" w:color="auto"/>
      </w:divBdr>
    </w:div>
    <w:div w:id="188838517">
      <w:bodyDiv w:val="1"/>
      <w:marLeft w:val="0"/>
      <w:marRight w:val="0"/>
      <w:marTop w:val="0"/>
      <w:marBottom w:val="0"/>
      <w:divBdr>
        <w:top w:val="none" w:sz="0" w:space="0" w:color="auto"/>
        <w:left w:val="none" w:sz="0" w:space="0" w:color="auto"/>
        <w:bottom w:val="none" w:sz="0" w:space="0" w:color="auto"/>
        <w:right w:val="none" w:sz="0" w:space="0" w:color="auto"/>
      </w:divBdr>
    </w:div>
    <w:div w:id="188881860">
      <w:bodyDiv w:val="1"/>
      <w:marLeft w:val="0"/>
      <w:marRight w:val="0"/>
      <w:marTop w:val="0"/>
      <w:marBottom w:val="0"/>
      <w:divBdr>
        <w:top w:val="none" w:sz="0" w:space="0" w:color="auto"/>
        <w:left w:val="none" w:sz="0" w:space="0" w:color="auto"/>
        <w:bottom w:val="none" w:sz="0" w:space="0" w:color="auto"/>
        <w:right w:val="none" w:sz="0" w:space="0" w:color="auto"/>
      </w:divBdr>
    </w:div>
    <w:div w:id="189226751">
      <w:bodyDiv w:val="1"/>
      <w:marLeft w:val="0"/>
      <w:marRight w:val="0"/>
      <w:marTop w:val="0"/>
      <w:marBottom w:val="0"/>
      <w:divBdr>
        <w:top w:val="none" w:sz="0" w:space="0" w:color="auto"/>
        <w:left w:val="none" w:sz="0" w:space="0" w:color="auto"/>
        <w:bottom w:val="none" w:sz="0" w:space="0" w:color="auto"/>
        <w:right w:val="none" w:sz="0" w:space="0" w:color="auto"/>
      </w:divBdr>
    </w:div>
    <w:div w:id="189337081">
      <w:bodyDiv w:val="1"/>
      <w:marLeft w:val="0"/>
      <w:marRight w:val="0"/>
      <w:marTop w:val="0"/>
      <w:marBottom w:val="0"/>
      <w:divBdr>
        <w:top w:val="none" w:sz="0" w:space="0" w:color="auto"/>
        <w:left w:val="none" w:sz="0" w:space="0" w:color="auto"/>
        <w:bottom w:val="none" w:sz="0" w:space="0" w:color="auto"/>
        <w:right w:val="none" w:sz="0" w:space="0" w:color="auto"/>
      </w:divBdr>
    </w:div>
    <w:div w:id="189417464">
      <w:bodyDiv w:val="1"/>
      <w:marLeft w:val="0"/>
      <w:marRight w:val="0"/>
      <w:marTop w:val="0"/>
      <w:marBottom w:val="0"/>
      <w:divBdr>
        <w:top w:val="none" w:sz="0" w:space="0" w:color="auto"/>
        <w:left w:val="none" w:sz="0" w:space="0" w:color="auto"/>
        <w:bottom w:val="none" w:sz="0" w:space="0" w:color="auto"/>
        <w:right w:val="none" w:sz="0" w:space="0" w:color="auto"/>
      </w:divBdr>
    </w:div>
    <w:div w:id="189732804">
      <w:bodyDiv w:val="1"/>
      <w:marLeft w:val="0"/>
      <w:marRight w:val="0"/>
      <w:marTop w:val="0"/>
      <w:marBottom w:val="0"/>
      <w:divBdr>
        <w:top w:val="none" w:sz="0" w:space="0" w:color="auto"/>
        <w:left w:val="none" w:sz="0" w:space="0" w:color="auto"/>
        <w:bottom w:val="none" w:sz="0" w:space="0" w:color="auto"/>
        <w:right w:val="none" w:sz="0" w:space="0" w:color="auto"/>
      </w:divBdr>
    </w:div>
    <w:div w:id="189803072">
      <w:bodyDiv w:val="1"/>
      <w:marLeft w:val="0"/>
      <w:marRight w:val="0"/>
      <w:marTop w:val="0"/>
      <w:marBottom w:val="0"/>
      <w:divBdr>
        <w:top w:val="none" w:sz="0" w:space="0" w:color="auto"/>
        <w:left w:val="none" w:sz="0" w:space="0" w:color="auto"/>
        <w:bottom w:val="none" w:sz="0" w:space="0" w:color="auto"/>
        <w:right w:val="none" w:sz="0" w:space="0" w:color="auto"/>
      </w:divBdr>
    </w:div>
    <w:div w:id="189951245">
      <w:bodyDiv w:val="1"/>
      <w:marLeft w:val="0"/>
      <w:marRight w:val="0"/>
      <w:marTop w:val="0"/>
      <w:marBottom w:val="0"/>
      <w:divBdr>
        <w:top w:val="none" w:sz="0" w:space="0" w:color="auto"/>
        <w:left w:val="none" w:sz="0" w:space="0" w:color="auto"/>
        <w:bottom w:val="none" w:sz="0" w:space="0" w:color="auto"/>
        <w:right w:val="none" w:sz="0" w:space="0" w:color="auto"/>
      </w:divBdr>
    </w:div>
    <w:div w:id="189951335">
      <w:bodyDiv w:val="1"/>
      <w:marLeft w:val="0"/>
      <w:marRight w:val="0"/>
      <w:marTop w:val="0"/>
      <w:marBottom w:val="0"/>
      <w:divBdr>
        <w:top w:val="none" w:sz="0" w:space="0" w:color="auto"/>
        <w:left w:val="none" w:sz="0" w:space="0" w:color="auto"/>
        <w:bottom w:val="none" w:sz="0" w:space="0" w:color="auto"/>
        <w:right w:val="none" w:sz="0" w:space="0" w:color="auto"/>
      </w:divBdr>
    </w:div>
    <w:div w:id="189953487">
      <w:bodyDiv w:val="1"/>
      <w:marLeft w:val="0"/>
      <w:marRight w:val="0"/>
      <w:marTop w:val="0"/>
      <w:marBottom w:val="0"/>
      <w:divBdr>
        <w:top w:val="none" w:sz="0" w:space="0" w:color="auto"/>
        <w:left w:val="none" w:sz="0" w:space="0" w:color="auto"/>
        <w:bottom w:val="none" w:sz="0" w:space="0" w:color="auto"/>
        <w:right w:val="none" w:sz="0" w:space="0" w:color="auto"/>
      </w:divBdr>
    </w:div>
    <w:div w:id="189993692">
      <w:bodyDiv w:val="1"/>
      <w:marLeft w:val="0"/>
      <w:marRight w:val="0"/>
      <w:marTop w:val="0"/>
      <w:marBottom w:val="0"/>
      <w:divBdr>
        <w:top w:val="none" w:sz="0" w:space="0" w:color="auto"/>
        <w:left w:val="none" w:sz="0" w:space="0" w:color="auto"/>
        <w:bottom w:val="none" w:sz="0" w:space="0" w:color="auto"/>
        <w:right w:val="none" w:sz="0" w:space="0" w:color="auto"/>
      </w:divBdr>
    </w:div>
    <w:div w:id="190147534">
      <w:bodyDiv w:val="1"/>
      <w:marLeft w:val="0"/>
      <w:marRight w:val="0"/>
      <w:marTop w:val="0"/>
      <w:marBottom w:val="0"/>
      <w:divBdr>
        <w:top w:val="none" w:sz="0" w:space="0" w:color="auto"/>
        <w:left w:val="none" w:sz="0" w:space="0" w:color="auto"/>
        <w:bottom w:val="none" w:sz="0" w:space="0" w:color="auto"/>
        <w:right w:val="none" w:sz="0" w:space="0" w:color="auto"/>
      </w:divBdr>
    </w:div>
    <w:div w:id="190187549">
      <w:bodyDiv w:val="1"/>
      <w:marLeft w:val="0"/>
      <w:marRight w:val="0"/>
      <w:marTop w:val="0"/>
      <w:marBottom w:val="0"/>
      <w:divBdr>
        <w:top w:val="none" w:sz="0" w:space="0" w:color="auto"/>
        <w:left w:val="none" w:sz="0" w:space="0" w:color="auto"/>
        <w:bottom w:val="none" w:sz="0" w:space="0" w:color="auto"/>
        <w:right w:val="none" w:sz="0" w:space="0" w:color="auto"/>
      </w:divBdr>
    </w:div>
    <w:div w:id="190261246">
      <w:bodyDiv w:val="1"/>
      <w:marLeft w:val="0"/>
      <w:marRight w:val="0"/>
      <w:marTop w:val="0"/>
      <w:marBottom w:val="0"/>
      <w:divBdr>
        <w:top w:val="none" w:sz="0" w:space="0" w:color="auto"/>
        <w:left w:val="none" w:sz="0" w:space="0" w:color="auto"/>
        <w:bottom w:val="none" w:sz="0" w:space="0" w:color="auto"/>
        <w:right w:val="none" w:sz="0" w:space="0" w:color="auto"/>
      </w:divBdr>
    </w:div>
    <w:div w:id="190265904">
      <w:bodyDiv w:val="1"/>
      <w:marLeft w:val="0"/>
      <w:marRight w:val="0"/>
      <w:marTop w:val="0"/>
      <w:marBottom w:val="0"/>
      <w:divBdr>
        <w:top w:val="none" w:sz="0" w:space="0" w:color="auto"/>
        <w:left w:val="none" w:sz="0" w:space="0" w:color="auto"/>
        <w:bottom w:val="none" w:sz="0" w:space="0" w:color="auto"/>
        <w:right w:val="none" w:sz="0" w:space="0" w:color="auto"/>
      </w:divBdr>
    </w:div>
    <w:div w:id="190461022">
      <w:bodyDiv w:val="1"/>
      <w:marLeft w:val="0"/>
      <w:marRight w:val="0"/>
      <w:marTop w:val="0"/>
      <w:marBottom w:val="0"/>
      <w:divBdr>
        <w:top w:val="none" w:sz="0" w:space="0" w:color="auto"/>
        <w:left w:val="none" w:sz="0" w:space="0" w:color="auto"/>
        <w:bottom w:val="none" w:sz="0" w:space="0" w:color="auto"/>
        <w:right w:val="none" w:sz="0" w:space="0" w:color="auto"/>
      </w:divBdr>
    </w:div>
    <w:div w:id="190462214">
      <w:bodyDiv w:val="1"/>
      <w:marLeft w:val="0"/>
      <w:marRight w:val="0"/>
      <w:marTop w:val="0"/>
      <w:marBottom w:val="0"/>
      <w:divBdr>
        <w:top w:val="none" w:sz="0" w:space="0" w:color="auto"/>
        <w:left w:val="none" w:sz="0" w:space="0" w:color="auto"/>
        <w:bottom w:val="none" w:sz="0" w:space="0" w:color="auto"/>
        <w:right w:val="none" w:sz="0" w:space="0" w:color="auto"/>
      </w:divBdr>
    </w:div>
    <w:div w:id="190463446">
      <w:bodyDiv w:val="1"/>
      <w:marLeft w:val="0"/>
      <w:marRight w:val="0"/>
      <w:marTop w:val="0"/>
      <w:marBottom w:val="0"/>
      <w:divBdr>
        <w:top w:val="none" w:sz="0" w:space="0" w:color="auto"/>
        <w:left w:val="none" w:sz="0" w:space="0" w:color="auto"/>
        <w:bottom w:val="none" w:sz="0" w:space="0" w:color="auto"/>
        <w:right w:val="none" w:sz="0" w:space="0" w:color="auto"/>
      </w:divBdr>
    </w:div>
    <w:div w:id="190530122">
      <w:bodyDiv w:val="1"/>
      <w:marLeft w:val="0"/>
      <w:marRight w:val="0"/>
      <w:marTop w:val="0"/>
      <w:marBottom w:val="0"/>
      <w:divBdr>
        <w:top w:val="none" w:sz="0" w:space="0" w:color="auto"/>
        <w:left w:val="none" w:sz="0" w:space="0" w:color="auto"/>
        <w:bottom w:val="none" w:sz="0" w:space="0" w:color="auto"/>
        <w:right w:val="none" w:sz="0" w:space="0" w:color="auto"/>
      </w:divBdr>
    </w:div>
    <w:div w:id="190533206">
      <w:bodyDiv w:val="1"/>
      <w:marLeft w:val="0"/>
      <w:marRight w:val="0"/>
      <w:marTop w:val="0"/>
      <w:marBottom w:val="0"/>
      <w:divBdr>
        <w:top w:val="none" w:sz="0" w:space="0" w:color="auto"/>
        <w:left w:val="none" w:sz="0" w:space="0" w:color="auto"/>
        <w:bottom w:val="none" w:sz="0" w:space="0" w:color="auto"/>
        <w:right w:val="none" w:sz="0" w:space="0" w:color="auto"/>
      </w:divBdr>
    </w:div>
    <w:div w:id="190534013">
      <w:bodyDiv w:val="1"/>
      <w:marLeft w:val="0"/>
      <w:marRight w:val="0"/>
      <w:marTop w:val="0"/>
      <w:marBottom w:val="0"/>
      <w:divBdr>
        <w:top w:val="none" w:sz="0" w:space="0" w:color="auto"/>
        <w:left w:val="none" w:sz="0" w:space="0" w:color="auto"/>
        <w:bottom w:val="none" w:sz="0" w:space="0" w:color="auto"/>
        <w:right w:val="none" w:sz="0" w:space="0" w:color="auto"/>
      </w:divBdr>
    </w:div>
    <w:div w:id="190647889">
      <w:bodyDiv w:val="1"/>
      <w:marLeft w:val="0"/>
      <w:marRight w:val="0"/>
      <w:marTop w:val="0"/>
      <w:marBottom w:val="0"/>
      <w:divBdr>
        <w:top w:val="none" w:sz="0" w:space="0" w:color="auto"/>
        <w:left w:val="none" w:sz="0" w:space="0" w:color="auto"/>
        <w:bottom w:val="none" w:sz="0" w:space="0" w:color="auto"/>
        <w:right w:val="none" w:sz="0" w:space="0" w:color="auto"/>
      </w:divBdr>
    </w:div>
    <w:div w:id="190650267">
      <w:bodyDiv w:val="1"/>
      <w:marLeft w:val="0"/>
      <w:marRight w:val="0"/>
      <w:marTop w:val="0"/>
      <w:marBottom w:val="0"/>
      <w:divBdr>
        <w:top w:val="none" w:sz="0" w:space="0" w:color="auto"/>
        <w:left w:val="none" w:sz="0" w:space="0" w:color="auto"/>
        <w:bottom w:val="none" w:sz="0" w:space="0" w:color="auto"/>
        <w:right w:val="none" w:sz="0" w:space="0" w:color="auto"/>
      </w:divBdr>
    </w:div>
    <w:div w:id="190654379">
      <w:bodyDiv w:val="1"/>
      <w:marLeft w:val="0"/>
      <w:marRight w:val="0"/>
      <w:marTop w:val="0"/>
      <w:marBottom w:val="0"/>
      <w:divBdr>
        <w:top w:val="none" w:sz="0" w:space="0" w:color="auto"/>
        <w:left w:val="none" w:sz="0" w:space="0" w:color="auto"/>
        <w:bottom w:val="none" w:sz="0" w:space="0" w:color="auto"/>
        <w:right w:val="none" w:sz="0" w:space="0" w:color="auto"/>
      </w:divBdr>
    </w:div>
    <w:div w:id="190918822">
      <w:bodyDiv w:val="1"/>
      <w:marLeft w:val="0"/>
      <w:marRight w:val="0"/>
      <w:marTop w:val="0"/>
      <w:marBottom w:val="0"/>
      <w:divBdr>
        <w:top w:val="none" w:sz="0" w:space="0" w:color="auto"/>
        <w:left w:val="none" w:sz="0" w:space="0" w:color="auto"/>
        <w:bottom w:val="none" w:sz="0" w:space="0" w:color="auto"/>
        <w:right w:val="none" w:sz="0" w:space="0" w:color="auto"/>
      </w:divBdr>
    </w:div>
    <w:div w:id="190998147">
      <w:bodyDiv w:val="1"/>
      <w:marLeft w:val="0"/>
      <w:marRight w:val="0"/>
      <w:marTop w:val="0"/>
      <w:marBottom w:val="0"/>
      <w:divBdr>
        <w:top w:val="none" w:sz="0" w:space="0" w:color="auto"/>
        <w:left w:val="none" w:sz="0" w:space="0" w:color="auto"/>
        <w:bottom w:val="none" w:sz="0" w:space="0" w:color="auto"/>
        <w:right w:val="none" w:sz="0" w:space="0" w:color="auto"/>
      </w:divBdr>
    </w:div>
    <w:div w:id="191037446">
      <w:bodyDiv w:val="1"/>
      <w:marLeft w:val="0"/>
      <w:marRight w:val="0"/>
      <w:marTop w:val="0"/>
      <w:marBottom w:val="0"/>
      <w:divBdr>
        <w:top w:val="none" w:sz="0" w:space="0" w:color="auto"/>
        <w:left w:val="none" w:sz="0" w:space="0" w:color="auto"/>
        <w:bottom w:val="none" w:sz="0" w:space="0" w:color="auto"/>
        <w:right w:val="none" w:sz="0" w:space="0" w:color="auto"/>
      </w:divBdr>
    </w:div>
    <w:div w:id="191310347">
      <w:bodyDiv w:val="1"/>
      <w:marLeft w:val="0"/>
      <w:marRight w:val="0"/>
      <w:marTop w:val="0"/>
      <w:marBottom w:val="0"/>
      <w:divBdr>
        <w:top w:val="none" w:sz="0" w:space="0" w:color="auto"/>
        <w:left w:val="none" w:sz="0" w:space="0" w:color="auto"/>
        <w:bottom w:val="none" w:sz="0" w:space="0" w:color="auto"/>
        <w:right w:val="none" w:sz="0" w:space="0" w:color="auto"/>
      </w:divBdr>
    </w:div>
    <w:div w:id="191383834">
      <w:bodyDiv w:val="1"/>
      <w:marLeft w:val="0"/>
      <w:marRight w:val="0"/>
      <w:marTop w:val="0"/>
      <w:marBottom w:val="0"/>
      <w:divBdr>
        <w:top w:val="none" w:sz="0" w:space="0" w:color="auto"/>
        <w:left w:val="none" w:sz="0" w:space="0" w:color="auto"/>
        <w:bottom w:val="none" w:sz="0" w:space="0" w:color="auto"/>
        <w:right w:val="none" w:sz="0" w:space="0" w:color="auto"/>
      </w:divBdr>
    </w:div>
    <w:div w:id="191572206">
      <w:bodyDiv w:val="1"/>
      <w:marLeft w:val="0"/>
      <w:marRight w:val="0"/>
      <w:marTop w:val="0"/>
      <w:marBottom w:val="0"/>
      <w:divBdr>
        <w:top w:val="none" w:sz="0" w:space="0" w:color="auto"/>
        <w:left w:val="none" w:sz="0" w:space="0" w:color="auto"/>
        <w:bottom w:val="none" w:sz="0" w:space="0" w:color="auto"/>
        <w:right w:val="none" w:sz="0" w:space="0" w:color="auto"/>
      </w:divBdr>
    </w:div>
    <w:div w:id="191575689">
      <w:bodyDiv w:val="1"/>
      <w:marLeft w:val="0"/>
      <w:marRight w:val="0"/>
      <w:marTop w:val="0"/>
      <w:marBottom w:val="0"/>
      <w:divBdr>
        <w:top w:val="none" w:sz="0" w:space="0" w:color="auto"/>
        <w:left w:val="none" w:sz="0" w:space="0" w:color="auto"/>
        <w:bottom w:val="none" w:sz="0" w:space="0" w:color="auto"/>
        <w:right w:val="none" w:sz="0" w:space="0" w:color="auto"/>
      </w:divBdr>
    </w:div>
    <w:div w:id="191769921">
      <w:bodyDiv w:val="1"/>
      <w:marLeft w:val="0"/>
      <w:marRight w:val="0"/>
      <w:marTop w:val="0"/>
      <w:marBottom w:val="0"/>
      <w:divBdr>
        <w:top w:val="none" w:sz="0" w:space="0" w:color="auto"/>
        <w:left w:val="none" w:sz="0" w:space="0" w:color="auto"/>
        <w:bottom w:val="none" w:sz="0" w:space="0" w:color="auto"/>
        <w:right w:val="none" w:sz="0" w:space="0" w:color="auto"/>
      </w:divBdr>
    </w:div>
    <w:div w:id="191841261">
      <w:bodyDiv w:val="1"/>
      <w:marLeft w:val="0"/>
      <w:marRight w:val="0"/>
      <w:marTop w:val="0"/>
      <w:marBottom w:val="0"/>
      <w:divBdr>
        <w:top w:val="none" w:sz="0" w:space="0" w:color="auto"/>
        <w:left w:val="none" w:sz="0" w:space="0" w:color="auto"/>
        <w:bottom w:val="none" w:sz="0" w:space="0" w:color="auto"/>
        <w:right w:val="none" w:sz="0" w:space="0" w:color="auto"/>
      </w:divBdr>
    </w:div>
    <w:div w:id="192235781">
      <w:bodyDiv w:val="1"/>
      <w:marLeft w:val="0"/>
      <w:marRight w:val="0"/>
      <w:marTop w:val="0"/>
      <w:marBottom w:val="0"/>
      <w:divBdr>
        <w:top w:val="none" w:sz="0" w:space="0" w:color="auto"/>
        <w:left w:val="none" w:sz="0" w:space="0" w:color="auto"/>
        <w:bottom w:val="none" w:sz="0" w:space="0" w:color="auto"/>
        <w:right w:val="none" w:sz="0" w:space="0" w:color="auto"/>
      </w:divBdr>
    </w:div>
    <w:div w:id="192350959">
      <w:bodyDiv w:val="1"/>
      <w:marLeft w:val="0"/>
      <w:marRight w:val="0"/>
      <w:marTop w:val="0"/>
      <w:marBottom w:val="0"/>
      <w:divBdr>
        <w:top w:val="none" w:sz="0" w:space="0" w:color="auto"/>
        <w:left w:val="none" w:sz="0" w:space="0" w:color="auto"/>
        <w:bottom w:val="none" w:sz="0" w:space="0" w:color="auto"/>
        <w:right w:val="none" w:sz="0" w:space="0" w:color="auto"/>
      </w:divBdr>
    </w:div>
    <w:div w:id="192351510">
      <w:bodyDiv w:val="1"/>
      <w:marLeft w:val="0"/>
      <w:marRight w:val="0"/>
      <w:marTop w:val="0"/>
      <w:marBottom w:val="0"/>
      <w:divBdr>
        <w:top w:val="none" w:sz="0" w:space="0" w:color="auto"/>
        <w:left w:val="none" w:sz="0" w:space="0" w:color="auto"/>
        <w:bottom w:val="none" w:sz="0" w:space="0" w:color="auto"/>
        <w:right w:val="none" w:sz="0" w:space="0" w:color="auto"/>
      </w:divBdr>
    </w:div>
    <w:div w:id="192351968">
      <w:bodyDiv w:val="1"/>
      <w:marLeft w:val="0"/>
      <w:marRight w:val="0"/>
      <w:marTop w:val="0"/>
      <w:marBottom w:val="0"/>
      <w:divBdr>
        <w:top w:val="none" w:sz="0" w:space="0" w:color="auto"/>
        <w:left w:val="none" w:sz="0" w:space="0" w:color="auto"/>
        <w:bottom w:val="none" w:sz="0" w:space="0" w:color="auto"/>
        <w:right w:val="none" w:sz="0" w:space="0" w:color="auto"/>
      </w:divBdr>
    </w:div>
    <w:div w:id="192697333">
      <w:bodyDiv w:val="1"/>
      <w:marLeft w:val="0"/>
      <w:marRight w:val="0"/>
      <w:marTop w:val="0"/>
      <w:marBottom w:val="0"/>
      <w:divBdr>
        <w:top w:val="none" w:sz="0" w:space="0" w:color="auto"/>
        <w:left w:val="none" w:sz="0" w:space="0" w:color="auto"/>
        <w:bottom w:val="none" w:sz="0" w:space="0" w:color="auto"/>
        <w:right w:val="none" w:sz="0" w:space="0" w:color="auto"/>
      </w:divBdr>
    </w:div>
    <w:div w:id="192767348">
      <w:bodyDiv w:val="1"/>
      <w:marLeft w:val="0"/>
      <w:marRight w:val="0"/>
      <w:marTop w:val="0"/>
      <w:marBottom w:val="0"/>
      <w:divBdr>
        <w:top w:val="none" w:sz="0" w:space="0" w:color="auto"/>
        <w:left w:val="none" w:sz="0" w:space="0" w:color="auto"/>
        <w:bottom w:val="none" w:sz="0" w:space="0" w:color="auto"/>
        <w:right w:val="none" w:sz="0" w:space="0" w:color="auto"/>
      </w:divBdr>
    </w:div>
    <w:div w:id="192812238">
      <w:bodyDiv w:val="1"/>
      <w:marLeft w:val="0"/>
      <w:marRight w:val="0"/>
      <w:marTop w:val="0"/>
      <w:marBottom w:val="0"/>
      <w:divBdr>
        <w:top w:val="none" w:sz="0" w:space="0" w:color="auto"/>
        <w:left w:val="none" w:sz="0" w:space="0" w:color="auto"/>
        <w:bottom w:val="none" w:sz="0" w:space="0" w:color="auto"/>
        <w:right w:val="none" w:sz="0" w:space="0" w:color="auto"/>
      </w:divBdr>
    </w:div>
    <w:div w:id="192814900">
      <w:bodyDiv w:val="1"/>
      <w:marLeft w:val="0"/>
      <w:marRight w:val="0"/>
      <w:marTop w:val="0"/>
      <w:marBottom w:val="0"/>
      <w:divBdr>
        <w:top w:val="none" w:sz="0" w:space="0" w:color="auto"/>
        <w:left w:val="none" w:sz="0" w:space="0" w:color="auto"/>
        <w:bottom w:val="none" w:sz="0" w:space="0" w:color="auto"/>
        <w:right w:val="none" w:sz="0" w:space="0" w:color="auto"/>
      </w:divBdr>
    </w:div>
    <w:div w:id="192816047">
      <w:bodyDiv w:val="1"/>
      <w:marLeft w:val="0"/>
      <w:marRight w:val="0"/>
      <w:marTop w:val="0"/>
      <w:marBottom w:val="0"/>
      <w:divBdr>
        <w:top w:val="none" w:sz="0" w:space="0" w:color="auto"/>
        <w:left w:val="none" w:sz="0" w:space="0" w:color="auto"/>
        <w:bottom w:val="none" w:sz="0" w:space="0" w:color="auto"/>
        <w:right w:val="none" w:sz="0" w:space="0" w:color="auto"/>
      </w:divBdr>
    </w:div>
    <w:div w:id="192962525">
      <w:bodyDiv w:val="1"/>
      <w:marLeft w:val="0"/>
      <w:marRight w:val="0"/>
      <w:marTop w:val="0"/>
      <w:marBottom w:val="0"/>
      <w:divBdr>
        <w:top w:val="none" w:sz="0" w:space="0" w:color="auto"/>
        <w:left w:val="none" w:sz="0" w:space="0" w:color="auto"/>
        <w:bottom w:val="none" w:sz="0" w:space="0" w:color="auto"/>
        <w:right w:val="none" w:sz="0" w:space="0" w:color="auto"/>
      </w:divBdr>
    </w:div>
    <w:div w:id="193006208">
      <w:bodyDiv w:val="1"/>
      <w:marLeft w:val="0"/>
      <w:marRight w:val="0"/>
      <w:marTop w:val="0"/>
      <w:marBottom w:val="0"/>
      <w:divBdr>
        <w:top w:val="none" w:sz="0" w:space="0" w:color="auto"/>
        <w:left w:val="none" w:sz="0" w:space="0" w:color="auto"/>
        <w:bottom w:val="none" w:sz="0" w:space="0" w:color="auto"/>
        <w:right w:val="none" w:sz="0" w:space="0" w:color="auto"/>
      </w:divBdr>
    </w:div>
    <w:div w:id="193077059">
      <w:bodyDiv w:val="1"/>
      <w:marLeft w:val="0"/>
      <w:marRight w:val="0"/>
      <w:marTop w:val="0"/>
      <w:marBottom w:val="0"/>
      <w:divBdr>
        <w:top w:val="none" w:sz="0" w:space="0" w:color="auto"/>
        <w:left w:val="none" w:sz="0" w:space="0" w:color="auto"/>
        <w:bottom w:val="none" w:sz="0" w:space="0" w:color="auto"/>
        <w:right w:val="none" w:sz="0" w:space="0" w:color="auto"/>
      </w:divBdr>
    </w:div>
    <w:div w:id="193084349">
      <w:bodyDiv w:val="1"/>
      <w:marLeft w:val="0"/>
      <w:marRight w:val="0"/>
      <w:marTop w:val="0"/>
      <w:marBottom w:val="0"/>
      <w:divBdr>
        <w:top w:val="none" w:sz="0" w:space="0" w:color="auto"/>
        <w:left w:val="none" w:sz="0" w:space="0" w:color="auto"/>
        <w:bottom w:val="none" w:sz="0" w:space="0" w:color="auto"/>
        <w:right w:val="none" w:sz="0" w:space="0" w:color="auto"/>
      </w:divBdr>
    </w:div>
    <w:div w:id="193158950">
      <w:bodyDiv w:val="1"/>
      <w:marLeft w:val="0"/>
      <w:marRight w:val="0"/>
      <w:marTop w:val="0"/>
      <w:marBottom w:val="0"/>
      <w:divBdr>
        <w:top w:val="none" w:sz="0" w:space="0" w:color="auto"/>
        <w:left w:val="none" w:sz="0" w:space="0" w:color="auto"/>
        <w:bottom w:val="none" w:sz="0" w:space="0" w:color="auto"/>
        <w:right w:val="none" w:sz="0" w:space="0" w:color="auto"/>
      </w:divBdr>
    </w:div>
    <w:div w:id="193229063">
      <w:bodyDiv w:val="1"/>
      <w:marLeft w:val="0"/>
      <w:marRight w:val="0"/>
      <w:marTop w:val="0"/>
      <w:marBottom w:val="0"/>
      <w:divBdr>
        <w:top w:val="none" w:sz="0" w:space="0" w:color="auto"/>
        <w:left w:val="none" w:sz="0" w:space="0" w:color="auto"/>
        <w:bottom w:val="none" w:sz="0" w:space="0" w:color="auto"/>
        <w:right w:val="none" w:sz="0" w:space="0" w:color="auto"/>
      </w:divBdr>
    </w:div>
    <w:div w:id="193543971">
      <w:bodyDiv w:val="1"/>
      <w:marLeft w:val="0"/>
      <w:marRight w:val="0"/>
      <w:marTop w:val="0"/>
      <w:marBottom w:val="0"/>
      <w:divBdr>
        <w:top w:val="none" w:sz="0" w:space="0" w:color="auto"/>
        <w:left w:val="none" w:sz="0" w:space="0" w:color="auto"/>
        <w:bottom w:val="none" w:sz="0" w:space="0" w:color="auto"/>
        <w:right w:val="none" w:sz="0" w:space="0" w:color="auto"/>
      </w:divBdr>
    </w:div>
    <w:div w:id="193546044">
      <w:bodyDiv w:val="1"/>
      <w:marLeft w:val="0"/>
      <w:marRight w:val="0"/>
      <w:marTop w:val="0"/>
      <w:marBottom w:val="0"/>
      <w:divBdr>
        <w:top w:val="none" w:sz="0" w:space="0" w:color="auto"/>
        <w:left w:val="none" w:sz="0" w:space="0" w:color="auto"/>
        <w:bottom w:val="none" w:sz="0" w:space="0" w:color="auto"/>
        <w:right w:val="none" w:sz="0" w:space="0" w:color="auto"/>
      </w:divBdr>
    </w:div>
    <w:div w:id="193546686">
      <w:bodyDiv w:val="1"/>
      <w:marLeft w:val="0"/>
      <w:marRight w:val="0"/>
      <w:marTop w:val="0"/>
      <w:marBottom w:val="0"/>
      <w:divBdr>
        <w:top w:val="none" w:sz="0" w:space="0" w:color="auto"/>
        <w:left w:val="none" w:sz="0" w:space="0" w:color="auto"/>
        <w:bottom w:val="none" w:sz="0" w:space="0" w:color="auto"/>
        <w:right w:val="none" w:sz="0" w:space="0" w:color="auto"/>
      </w:divBdr>
    </w:div>
    <w:div w:id="193613016">
      <w:bodyDiv w:val="1"/>
      <w:marLeft w:val="0"/>
      <w:marRight w:val="0"/>
      <w:marTop w:val="0"/>
      <w:marBottom w:val="0"/>
      <w:divBdr>
        <w:top w:val="none" w:sz="0" w:space="0" w:color="auto"/>
        <w:left w:val="none" w:sz="0" w:space="0" w:color="auto"/>
        <w:bottom w:val="none" w:sz="0" w:space="0" w:color="auto"/>
        <w:right w:val="none" w:sz="0" w:space="0" w:color="auto"/>
      </w:divBdr>
    </w:div>
    <w:div w:id="193621694">
      <w:bodyDiv w:val="1"/>
      <w:marLeft w:val="0"/>
      <w:marRight w:val="0"/>
      <w:marTop w:val="0"/>
      <w:marBottom w:val="0"/>
      <w:divBdr>
        <w:top w:val="none" w:sz="0" w:space="0" w:color="auto"/>
        <w:left w:val="none" w:sz="0" w:space="0" w:color="auto"/>
        <w:bottom w:val="none" w:sz="0" w:space="0" w:color="auto"/>
        <w:right w:val="none" w:sz="0" w:space="0" w:color="auto"/>
      </w:divBdr>
    </w:div>
    <w:div w:id="193855570">
      <w:bodyDiv w:val="1"/>
      <w:marLeft w:val="0"/>
      <w:marRight w:val="0"/>
      <w:marTop w:val="0"/>
      <w:marBottom w:val="0"/>
      <w:divBdr>
        <w:top w:val="none" w:sz="0" w:space="0" w:color="auto"/>
        <w:left w:val="none" w:sz="0" w:space="0" w:color="auto"/>
        <w:bottom w:val="none" w:sz="0" w:space="0" w:color="auto"/>
        <w:right w:val="none" w:sz="0" w:space="0" w:color="auto"/>
      </w:divBdr>
    </w:div>
    <w:div w:id="193858015">
      <w:bodyDiv w:val="1"/>
      <w:marLeft w:val="0"/>
      <w:marRight w:val="0"/>
      <w:marTop w:val="0"/>
      <w:marBottom w:val="0"/>
      <w:divBdr>
        <w:top w:val="none" w:sz="0" w:space="0" w:color="auto"/>
        <w:left w:val="none" w:sz="0" w:space="0" w:color="auto"/>
        <w:bottom w:val="none" w:sz="0" w:space="0" w:color="auto"/>
        <w:right w:val="none" w:sz="0" w:space="0" w:color="auto"/>
      </w:divBdr>
    </w:div>
    <w:div w:id="193926533">
      <w:bodyDiv w:val="1"/>
      <w:marLeft w:val="0"/>
      <w:marRight w:val="0"/>
      <w:marTop w:val="0"/>
      <w:marBottom w:val="0"/>
      <w:divBdr>
        <w:top w:val="none" w:sz="0" w:space="0" w:color="auto"/>
        <w:left w:val="none" w:sz="0" w:space="0" w:color="auto"/>
        <w:bottom w:val="none" w:sz="0" w:space="0" w:color="auto"/>
        <w:right w:val="none" w:sz="0" w:space="0" w:color="auto"/>
      </w:divBdr>
    </w:div>
    <w:div w:id="194000011">
      <w:bodyDiv w:val="1"/>
      <w:marLeft w:val="0"/>
      <w:marRight w:val="0"/>
      <w:marTop w:val="0"/>
      <w:marBottom w:val="0"/>
      <w:divBdr>
        <w:top w:val="none" w:sz="0" w:space="0" w:color="auto"/>
        <w:left w:val="none" w:sz="0" w:space="0" w:color="auto"/>
        <w:bottom w:val="none" w:sz="0" w:space="0" w:color="auto"/>
        <w:right w:val="none" w:sz="0" w:space="0" w:color="auto"/>
      </w:divBdr>
    </w:div>
    <w:div w:id="194005441">
      <w:bodyDiv w:val="1"/>
      <w:marLeft w:val="0"/>
      <w:marRight w:val="0"/>
      <w:marTop w:val="0"/>
      <w:marBottom w:val="0"/>
      <w:divBdr>
        <w:top w:val="none" w:sz="0" w:space="0" w:color="auto"/>
        <w:left w:val="none" w:sz="0" w:space="0" w:color="auto"/>
        <w:bottom w:val="none" w:sz="0" w:space="0" w:color="auto"/>
        <w:right w:val="none" w:sz="0" w:space="0" w:color="auto"/>
      </w:divBdr>
    </w:div>
    <w:div w:id="194193768">
      <w:bodyDiv w:val="1"/>
      <w:marLeft w:val="0"/>
      <w:marRight w:val="0"/>
      <w:marTop w:val="0"/>
      <w:marBottom w:val="0"/>
      <w:divBdr>
        <w:top w:val="none" w:sz="0" w:space="0" w:color="auto"/>
        <w:left w:val="none" w:sz="0" w:space="0" w:color="auto"/>
        <w:bottom w:val="none" w:sz="0" w:space="0" w:color="auto"/>
        <w:right w:val="none" w:sz="0" w:space="0" w:color="auto"/>
      </w:divBdr>
    </w:div>
    <w:div w:id="194272026">
      <w:bodyDiv w:val="1"/>
      <w:marLeft w:val="0"/>
      <w:marRight w:val="0"/>
      <w:marTop w:val="0"/>
      <w:marBottom w:val="0"/>
      <w:divBdr>
        <w:top w:val="none" w:sz="0" w:space="0" w:color="auto"/>
        <w:left w:val="none" w:sz="0" w:space="0" w:color="auto"/>
        <w:bottom w:val="none" w:sz="0" w:space="0" w:color="auto"/>
        <w:right w:val="none" w:sz="0" w:space="0" w:color="auto"/>
      </w:divBdr>
    </w:div>
    <w:div w:id="194273436">
      <w:bodyDiv w:val="1"/>
      <w:marLeft w:val="0"/>
      <w:marRight w:val="0"/>
      <w:marTop w:val="0"/>
      <w:marBottom w:val="0"/>
      <w:divBdr>
        <w:top w:val="none" w:sz="0" w:space="0" w:color="auto"/>
        <w:left w:val="none" w:sz="0" w:space="0" w:color="auto"/>
        <w:bottom w:val="none" w:sz="0" w:space="0" w:color="auto"/>
        <w:right w:val="none" w:sz="0" w:space="0" w:color="auto"/>
      </w:divBdr>
    </w:div>
    <w:div w:id="194390401">
      <w:bodyDiv w:val="1"/>
      <w:marLeft w:val="0"/>
      <w:marRight w:val="0"/>
      <w:marTop w:val="0"/>
      <w:marBottom w:val="0"/>
      <w:divBdr>
        <w:top w:val="none" w:sz="0" w:space="0" w:color="auto"/>
        <w:left w:val="none" w:sz="0" w:space="0" w:color="auto"/>
        <w:bottom w:val="none" w:sz="0" w:space="0" w:color="auto"/>
        <w:right w:val="none" w:sz="0" w:space="0" w:color="auto"/>
      </w:divBdr>
    </w:div>
    <w:div w:id="194462120">
      <w:bodyDiv w:val="1"/>
      <w:marLeft w:val="0"/>
      <w:marRight w:val="0"/>
      <w:marTop w:val="0"/>
      <w:marBottom w:val="0"/>
      <w:divBdr>
        <w:top w:val="none" w:sz="0" w:space="0" w:color="auto"/>
        <w:left w:val="none" w:sz="0" w:space="0" w:color="auto"/>
        <w:bottom w:val="none" w:sz="0" w:space="0" w:color="auto"/>
        <w:right w:val="none" w:sz="0" w:space="0" w:color="auto"/>
      </w:divBdr>
    </w:div>
    <w:div w:id="194468739">
      <w:bodyDiv w:val="1"/>
      <w:marLeft w:val="0"/>
      <w:marRight w:val="0"/>
      <w:marTop w:val="0"/>
      <w:marBottom w:val="0"/>
      <w:divBdr>
        <w:top w:val="none" w:sz="0" w:space="0" w:color="auto"/>
        <w:left w:val="none" w:sz="0" w:space="0" w:color="auto"/>
        <w:bottom w:val="none" w:sz="0" w:space="0" w:color="auto"/>
        <w:right w:val="none" w:sz="0" w:space="0" w:color="auto"/>
      </w:divBdr>
    </w:div>
    <w:div w:id="194579449">
      <w:bodyDiv w:val="1"/>
      <w:marLeft w:val="0"/>
      <w:marRight w:val="0"/>
      <w:marTop w:val="0"/>
      <w:marBottom w:val="0"/>
      <w:divBdr>
        <w:top w:val="none" w:sz="0" w:space="0" w:color="auto"/>
        <w:left w:val="none" w:sz="0" w:space="0" w:color="auto"/>
        <w:bottom w:val="none" w:sz="0" w:space="0" w:color="auto"/>
        <w:right w:val="none" w:sz="0" w:space="0" w:color="auto"/>
      </w:divBdr>
    </w:div>
    <w:div w:id="194654811">
      <w:bodyDiv w:val="1"/>
      <w:marLeft w:val="0"/>
      <w:marRight w:val="0"/>
      <w:marTop w:val="0"/>
      <w:marBottom w:val="0"/>
      <w:divBdr>
        <w:top w:val="none" w:sz="0" w:space="0" w:color="auto"/>
        <w:left w:val="none" w:sz="0" w:space="0" w:color="auto"/>
        <w:bottom w:val="none" w:sz="0" w:space="0" w:color="auto"/>
        <w:right w:val="none" w:sz="0" w:space="0" w:color="auto"/>
      </w:divBdr>
    </w:div>
    <w:div w:id="194923811">
      <w:bodyDiv w:val="1"/>
      <w:marLeft w:val="0"/>
      <w:marRight w:val="0"/>
      <w:marTop w:val="0"/>
      <w:marBottom w:val="0"/>
      <w:divBdr>
        <w:top w:val="none" w:sz="0" w:space="0" w:color="auto"/>
        <w:left w:val="none" w:sz="0" w:space="0" w:color="auto"/>
        <w:bottom w:val="none" w:sz="0" w:space="0" w:color="auto"/>
        <w:right w:val="none" w:sz="0" w:space="0" w:color="auto"/>
      </w:divBdr>
    </w:div>
    <w:div w:id="194928971">
      <w:bodyDiv w:val="1"/>
      <w:marLeft w:val="0"/>
      <w:marRight w:val="0"/>
      <w:marTop w:val="0"/>
      <w:marBottom w:val="0"/>
      <w:divBdr>
        <w:top w:val="none" w:sz="0" w:space="0" w:color="auto"/>
        <w:left w:val="none" w:sz="0" w:space="0" w:color="auto"/>
        <w:bottom w:val="none" w:sz="0" w:space="0" w:color="auto"/>
        <w:right w:val="none" w:sz="0" w:space="0" w:color="auto"/>
      </w:divBdr>
    </w:div>
    <w:div w:id="195048340">
      <w:bodyDiv w:val="1"/>
      <w:marLeft w:val="0"/>
      <w:marRight w:val="0"/>
      <w:marTop w:val="0"/>
      <w:marBottom w:val="0"/>
      <w:divBdr>
        <w:top w:val="none" w:sz="0" w:space="0" w:color="auto"/>
        <w:left w:val="none" w:sz="0" w:space="0" w:color="auto"/>
        <w:bottom w:val="none" w:sz="0" w:space="0" w:color="auto"/>
        <w:right w:val="none" w:sz="0" w:space="0" w:color="auto"/>
      </w:divBdr>
    </w:div>
    <w:div w:id="195167389">
      <w:bodyDiv w:val="1"/>
      <w:marLeft w:val="0"/>
      <w:marRight w:val="0"/>
      <w:marTop w:val="0"/>
      <w:marBottom w:val="0"/>
      <w:divBdr>
        <w:top w:val="none" w:sz="0" w:space="0" w:color="auto"/>
        <w:left w:val="none" w:sz="0" w:space="0" w:color="auto"/>
        <w:bottom w:val="none" w:sz="0" w:space="0" w:color="auto"/>
        <w:right w:val="none" w:sz="0" w:space="0" w:color="auto"/>
      </w:divBdr>
    </w:div>
    <w:div w:id="195193970">
      <w:bodyDiv w:val="1"/>
      <w:marLeft w:val="0"/>
      <w:marRight w:val="0"/>
      <w:marTop w:val="0"/>
      <w:marBottom w:val="0"/>
      <w:divBdr>
        <w:top w:val="none" w:sz="0" w:space="0" w:color="auto"/>
        <w:left w:val="none" w:sz="0" w:space="0" w:color="auto"/>
        <w:bottom w:val="none" w:sz="0" w:space="0" w:color="auto"/>
        <w:right w:val="none" w:sz="0" w:space="0" w:color="auto"/>
      </w:divBdr>
    </w:div>
    <w:div w:id="195389474">
      <w:bodyDiv w:val="1"/>
      <w:marLeft w:val="0"/>
      <w:marRight w:val="0"/>
      <w:marTop w:val="0"/>
      <w:marBottom w:val="0"/>
      <w:divBdr>
        <w:top w:val="none" w:sz="0" w:space="0" w:color="auto"/>
        <w:left w:val="none" w:sz="0" w:space="0" w:color="auto"/>
        <w:bottom w:val="none" w:sz="0" w:space="0" w:color="auto"/>
        <w:right w:val="none" w:sz="0" w:space="0" w:color="auto"/>
      </w:divBdr>
    </w:div>
    <w:div w:id="195394229">
      <w:bodyDiv w:val="1"/>
      <w:marLeft w:val="0"/>
      <w:marRight w:val="0"/>
      <w:marTop w:val="0"/>
      <w:marBottom w:val="0"/>
      <w:divBdr>
        <w:top w:val="none" w:sz="0" w:space="0" w:color="auto"/>
        <w:left w:val="none" w:sz="0" w:space="0" w:color="auto"/>
        <w:bottom w:val="none" w:sz="0" w:space="0" w:color="auto"/>
        <w:right w:val="none" w:sz="0" w:space="0" w:color="auto"/>
      </w:divBdr>
    </w:div>
    <w:div w:id="195503404">
      <w:bodyDiv w:val="1"/>
      <w:marLeft w:val="0"/>
      <w:marRight w:val="0"/>
      <w:marTop w:val="0"/>
      <w:marBottom w:val="0"/>
      <w:divBdr>
        <w:top w:val="none" w:sz="0" w:space="0" w:color="auto"/>
        <w:left w:val="none" w:sz="0" w:space="0" w:color="auto"/>
        <w:bottom w:val="none" w:sz="0" w:space="0" w:color="auto"/>
        <w:right w:val="none" w:sz="0" w:space="0" w:color="auto"/>
      </w:divBdr>
    </w:div>
    <w:div w:id="195626541">
      <w:bodyDiv w:val="1"/>
      <w:marLeft w:val="0"/>
      <w:marRight w:val="0"/>
      <w:marTop w:val="0"/>
      <w:marBottom w:val="0"/>
      <w:divBdr>
        <w:top w:val="none" w:sz="0" w:space="0" w:color="auto"/>
        <w:left w:val="none" w:sz="0" w:space="0" w:color="auto"/>
        <w:bottom w:val="none" w:sz="0" w:space="0" w:color="auto"/>
        <w:right w:val="none" w:sz="0" w:space="0" w:color="auto"/>
      </w:divBdr>
    </w:div>
    <w:div w:id="195899405">
      <w:bodyDiv w:val="1"/>
      <w:marLeft w:val="0"/>
      <w:marRight w:val="0"/>
      <w:marTop w:val="0"/>
      <w:marBottom w:val="0"/>
      <w:divBdr>
        <w:top w:val="none" w:sz="0" w:space="0" w:color="auto"/>
        <w:left w:val="none" w:sz="0" w:space="0" w:color="auto"/>
        <w:bottom w:val="none" w:sz="0" w:space="0" w:color="auto"/>
        <w:right w:val="none" w:sz="0" w:space="0" w:color="auto"/>
      </w:divBdr>
    </w:div>
    <w:div w:id="196042752">
      <w:bodyDiv w:val="1"/>
      <w:marLeft w:val="0"/>
      <w:marRight w:val="0"/>
      <w:marTop w:val="0"/>
      <w:marBottom w:val="0"/>
      <w:divBdr>
        <w:top w:val="none" w:sz="0" w:space="0" w:color="auto"/>
        <w:left w:val="none" w:sz="0" w:space="0" w:color="auto"/>
        <w:bottom w:val="none" w:sz="0" w:space="0" w:color="auto"/>
        <w:right w:val="none" w:sz="0" w:space="0" w:color="auto"/>
      </w:divBdr>
    </w:div>
    <w:div w:id="196084627">
      <w:bodyDiv w:val="1"/>
      <w:marLeft w:val="0"/>
      <w:marRight w:val="0"/>
      <w:marTop w:val="0"/>
      <w:marBottom w:val="0"/>
      <w:divBdr>
        <w:top w:val="none" w:sz="0" w:space="0" w:color="auto"/>
        <w:left w:val="none" w:sz="0" w:space="0" w:color="auto"/>
        <w:bottom w:val="none" w:sz="0" w:space="0" w:color="auto"/>
        <w:right w:val="none" w:sz="0" w:space="0" w:color="auto"/>
      </w:divBdr>
    </w:div>
    <w:div w:id="196161128">
      <w:bodyDiv w:val="1"/>
      <w:marLeft w:val="0"/>
      <w:marRight w:val="0"/>
      <w:marTop w:val="0"/>
      <w:marBottom w:val="0"/>
      <w:divBdr>
        <w:top w:val="none" w:sz="0" w:space="0" w:color="auto"/>
        <w:left w:val="none" w:sz="0" w:space="0" w:color="auto"/>
        <w:bottom w:val="none" w:sz="0" w:space="0" w:color="auto"/>
        <w:right w:val="none" w:sz="0" w:space="0" w:color="auto"/>
      </w:divBdr>
    </w:div>
    <w:div w:id="196309387">
      <w:bodyDiv w:val="1"/>
      <w:marLeft w:val="0"/>
      <w:marRight w:val="0"/>
      <w:marTop w:val="0"/>
      <w:marBottom w:val="0"/>
      <w:divBdr>
        <w:top w:val="none" w:sz="0" w:space="0" w:color="auto"/>
        <w:left w:val="none" w:sz="0" w:space="0" w:color="auto"/>
        <w:bottom w:val="none" w:sz="0" w:space="0" w:color="auto"/>
        <w:right w:val="none" w:sz="0" w:space="0" w:color="auto"/>
      </w:divBdr>
    </w:div>
    <w:div w:id="196352297">
      <w:bodyDiv w:val="1"/>
      <w:marLeft w:val="0"/>
      <w:marRight w:val="0"/>
      <w:marTop w:val="0"/>
      <w:marBottom w:val="0"/>
      <w:divBdr>
        <w:top w:val="none" w:sz="0" w:space="0" w:color="auto"/>
        <w:left w:val="none" w:sz="0" w:space="0" w:color="auto"/>
        <w:bottom w:val="none" w:sz="0" w:space="0" w:color="auto"/>
        <w:right w:val="none" w:sz="0" w:space="0" w:color="auto"/>
      </w:divBdr>
    </w:div>
    <w:div w:id="196357337">
      <w:bodyDiv w:val="1"/>
      <w:marLeft w:val="0"/>
      <w:marRight w:val="0"/>
      <w:marTop w:val="0"/>
      <w:marBottom w:val="0"/>
      <w:divBdr>
        <w:top w:val="none" w:sz="0" w:space="0" w:color="auto"/>
        <w:left w:val="none" w:sz="0" w:space="0" w:color="auto"/>
        <w:bottom w:val="none" w:sz="0" w:space="0" w:color="auto"/>
        <w:right w:val="none" w:sz="0" w:space="0" w:color="auto"/>
      </w:divBdr>
    </w:div>
    <w:div w:id="196357814">
      <w:bodyDiv w:val="1"/>
      <w:marLeft w:val="0"/>
      <w:marRight w:val="0"/>
      <w:marTop w:val="0"/>
      <w:marBottom w:val="0"/>
      <w:divBdr>
        <w:top w:val="none" w:sz="0" w:space="0" w:color="auto"/>
        <w:left w:val="none" w:sz="0" w:space="0" w:color="auto"/>
        <w:bottom w:val="none" w:sz="0" w:space="0" w:color="auto"/>
        <w:right w:val="none" w:sz="0" w:space="0" w:color="auto"/>
      </w:divBdr>
    </w:div>
    <w:div w:id="196428559">
      <w:bodyDiv w:val="1"/>
      <w:marLeft w:val="0"/>
      <w:marRight w:val="0"/>
      <w:marTop w:val="0"/>
      <w:marBottom w:val="0"/>
      <w:divBdr>
        <w:top w:val="none" w:sz="0" w:space="0" w:color="auto"/>
        <w:left w:val="none" w:sz="0" w:space="0" w:color="auto"/>
        <w:bottom w:val="none" w:sz="0" w:space="0" w:color="auto"/>
        <w:right w:val="none" w:sz="0" w:space="0" w:color="auto"/>
      </w:divBdr>
    </w:div>
    <w:div w:id="196477353">
      <w:bodyDiv w:val="1"/>
      <w:marLeft w:val="0"/>
      <w:marRight w:val="0"/>
      <w:marTop w:val="0"/>
      <w:marBottom w:val="0"/>
      <w:divBdr>
        <w:top w:val="none" w:sz="0" w:space="0" w:color="auto"/>
        <w:left w:val="none" w:sz="0" w:space="0" w:color="auto"/>
        <w:bottom w:val="none" w:sz="0" w:space="0" w:color="auto"/>
        <w:right w:val="none" w:sz="0" w:space="0" w:color="auto"/>
      </w:divBdr>
    </w:div>
    <w:div w:id="196479317">
      <w:bodyDiv w:val="1"/>
      <w:marLeft w:val="0"/>
      <w:marRight w:val="0"/>
      <w:marTop w:val="0"/>
      <w:marBottom w:val="0"/>
      <w:divBdr>
        <w:top w:val="none" w:sz="0" w:space="0" w:color="auto"/>
        <w:left w:val="none" w:sz="0" w:space="0" w:color="auto"/>
        <w:bottom w:val="none" w:sz="0" w:space="0" w:color="auto"/>
        <w:right w:val="none" w:sz="0" w:space="0" w:color="auto"/>
      </w:divBdr>
    </w:div>
    <w:div w:id="196622988">
      <w:bodyDiv w:val="1"/>
      <w:marLeft w:val="0"/>
      <w:marRight w:val="0"/>
      <w:marTop w:val="0"/>
      <w:marBottom w:val="0"/>
      <w:divBdr>
        <w:top w:val="none" w:sz="0" w:space="0" w:color="auto"/>
        <w:left w:val="none" w:sz="0" w:space="0" w:color="auto"/>
        <w:bottom w:val="none" w:sz="0" w:space="0" w:color="auto"/>
        <w:right w:val="none" w:sz="0" w:space="0" w:color="auto"/>
      </w:divBdr>
    </w:div>
    <w:div w:id="196704653">
      <w:bodyDiv w:val="1"/>
      <w:marLeft w:val="0"/>
      <w:marRight w:val="0"/>
      <w:marTop w:val="0"/>
      <w:marBottom w:val="0"/>
      <w:divBdr>
        <w:top w:val="none" w:sz="0" w:space="0" w:color="auto"/>
        <w:left w:val="none" w:sz="0" w:space="0" w:color="auto"/>
        <w:bottom w:val="none" w:sz="0" w:space="0" w:color="auto"/>
        <w:right w:val="none" w:sz="0" w:space="0" w:color="auto"/>
      </w:divBdr>
    </w:div>
    <w:div w:id="196939276">
      <w:bodyDiv w:val="1"/>
      <w:marLeft w:val="0"/>
      <w:marRight w:val="0"/>
      <w:marTop w:val="0"/>
      <w:marBottom w:val="0"/>
      <w:divBdr>
        <w:top w:val="none" w:sz="0" w:space="0" w:color="auto"/>
        <w:left w:val="none" w:sz="0" w:space="0" w:color="auto"/>
        <w:bottom w:val="none" w:sz="0" w:space="0" w:color="auto"/>
        <w:right w:val="none" w:sz="0" w:space="0" w:color="auto"/>
      </w:divBdr>
    </w:div>
    <w:div w:id="196965974">
      <w:bodyDiv w:val="1"/>
      <w:marLeft w:val="0"/>
      <w:marRight w:val="0"/>
      <w:marTop w:val="0"/>
      <w:marBottom w:val="0"/>
      <w:divBdr>
        <w:top w:val="none" w:sz="0" w:space="0" w:color="auto"/>
        <w:left w:val="none" w:sz="0" w:space="0" w:color="auto"/>
        <w:bottom w:val="none" w:sz="0" w:space="0" w:color="auto"/>
        <w:right w:val="none" w:sz="0" w:space="0" w:color="auto"/>
      </w:divBdr>
    </w:div>
    <w:div w:id="197007382">
      <w:bodyDiv w:val="1"/>
      <w:marLeft w:val="0"/>
      <w:marRight w:val="0"/>
      <w:marTop w:val="0"/>
      <w:marBottom w:val="0"/>
      <w:divBdr>
        <w:top w:val="none" w:sz="0" w:space="0" w:color="auto"/>
        <w:left w:val="none" w:sz="0" w:space="0" w:color="auto"/>
        <w:bottom w:val="none" w:sz="0" w:space="0" w:color="auto"/>
        <w:right w:val="none" w:sz="0" w:space="0" w:color="auto"/>
      </w:divBdr>
    </w:div>
    <w:div w:id="197008401">
      <w:bodyDiv w:val="1"/>
      <w:marLeft w:val="0"/>
      <w:marRight w:val="0"/>
      <w:marTop w:val="0"/>
      <w:marBottom w:val="0"/>
      <w:divBdr>
        <w:top w:val="none" w:sz="0" w:space="0" w:color="auto"/>
        <w:left w:val="none" w:sz="0" w:space="0" w:color="auto"/>
        <w:bottom w:val="none" w:sz="0" w:space="0" w:color="auto"/>
        <w:right w:val="none" w:sz="0" w:space="0" w:color="auto"/>
      </w:divBdr>
    </w:div>
    <w:div w:id="197279434">
      <w:bodyDiv w:val="1"/>
      <w:marLeft w:val="0"/>
      <w:marRight w:val="0"/>
      <w:marTop w:val="0"/>
      <w:marBottom w:val="0"/>
      <w:divBdr>
        <w:top w:val="none" w:sz="0" w:space="0" w:color="auto"/>
        <w:left w:val="none" w:sz="0" w:space="0" w:color="auto"/>
        <w:bottom w:val="none" w:sz="0" w:space="0" w:color="auto"/>
        <w:right w:val="none" w:sz="0" w:space="0" w:color="auto"/>
      </w:divBdr>
    </w:div>
    <w:div w:id="197358433">
      <w:bodyDiv w:val="1"/>
      <w:marLeft w:val="0"/>
      <w:marRight w:val="0"/>
      <w:marTop w:val="0"/>
      <w:marBottom w:val="0"/>
      <w:divBdr>
        <w:top w:val="none" w:sz="0" w:space="0" w:color="auto"/>
        <w:left w:val="none" w:sz="0" w:space="0" w:color="auto"/>
        <w:bottom w:val="none" w:sz="0" w:space="0" w:color="auto"/>
        <w:right w:val="none" w:sz="0" w:space="0" w:color="auto"/>
      </w:divBdr>
    </w:div>
    <w:div w:id="197399212">
      <w:bodyDiv w:val="1"/>
      <w:marLeft w:val="0"/>
      <w:marRight w:val="0"/>
      <w:marTop w:val="0"/>
      <w:marBottom w:val="0"/>
      <w:divBdr>
        <w:top w:val="none" w:sz="0" w:space="0" w:color="auto"/>
        <w:left w:val="none" w:sz="0" w:space="0" w:color="auto"/>
        <w:bottom w:val="none" w:sz="0" w:space="0" w:color="auto"/>
        <w:right w:val="none" w:sz="0" w:space="0" w:color="auto"/>
      </w:divBdr>
    </w:div>
    <w:div w:id="197591881">
      <w:bodyDiv w:val="1"/>
      <w:marLeft w:val="0"/>
      <w:marRight w:val="0"/>
      <w:marTop w:val="0"/>
      <w:marBottom w:val="0"/>
      <w:divBdr>
        <w:top w:val="none" w:sz="0" w:space="0" w:color="auto"/>
        <w:left w:val="none" w:sz="0" w:space="0" w:color="auto"/>
        <w:bottom w:val="none" w:sz="0" w:space="0" w:color="auto"/>
        <w:right w:val="none" w:sz="0" w:space="0" w:color="auto"/>
      </w:divBdr>
    </w:div>
    <w:div w:id="197621782">
      <w:bodyDiv w:val="1"/>
      <w:marLeft w:val="0"/>
      <w:marRight w:val="0"/>
      <w:marTop w:val="0"/>
      <w:marBottom w:val="0"/>
      <w:divBdr>
        <w:top w:val="none" w:sz="0" w:space="0" w:color="auto"/>
        <w:left w:val="none" w:sz="0" w:space="0" w:color="auto"/>
        <w:bottom w:val="none" w:sz="0" w:space="0" w:color="auto"/>
        <w:right w:val="none" w:sz="0" w:space="0" w:color="auto"/>
      </w:divBdr>
    </w:div>
    <w:div w:id="197662516">
      <w:bodyDiv w:val="1"/>
      <w:marLeft w:val="0"/>
      <w:marRight w:val="0"/>
      <w:marTop w:val="0"/>
      <w:marBottom w:val="0"/>
      <w:divBdr>
        <w:top w:val="none" w:sz="0" w:space="0" w:color="auto"/>
        <w:left w:val="none" w:sz="0" w:space="0" w:color="auto"/>
        <w:bottom w:val="none" w:sz="0" w:space="0" w:color="auto"/>
        <w:right w:val="none" w:sz="0" w:space="0" w:color="auto"/>
      </w:divBdr>
    </w:div>
    <w:div w:id="197664266">
      <w:bodyDiv w:val="1"/>
      <w:marLeft w:val="0"/>
      <w:marRight w:val="0"/>
      <w:marTop w:val="0"/>
      <w:marBottom w:val="0"/>
      <w:divBdr>
        <w:top w:val="none" w:sz="0" w:space="0" w:color="auto"/>
        <w:left w:val="none" w:sz="0" w:space="0" w:color="auto"/>
        <w:bottom w:val="none" w:sz="0" w:space="0" w:color="auto"/>
        <w:right w:val="none" w:sz="0" w:space="0" w:color="auto"/>
      </w:divBdr>
    </w:div>
    <w:div w:id="197814178">
      <w:bodyDiv w:val="1"/>
      <w:marLeft w:val="0"/>
      <w:marRight w:val="0"/>
      <w:marTop w:val="0"/>
      <w:marBottom w:val="0"/>
      <w:divBdr>
        <w:top w:val="none" w:sz="0" w:space="0" w:color="auto"/>
        <w:left w:val="none" w:sz="0" w:space="0" w:color="auto"/>
        <w:bottom w:val="none" w:sz="0" w:space="0" w:color="auto"/>
        <w:right w:val="none" w:sz="0" w:space="0" w:color="auto"/>
      </w:divBdr>
    </w:div>
    <w:div w:id="197861739">
      <w:bodyDiv w:val="1"/>
      <w:marLeft w:val="0"/>
      <w:marRight w:val="0"/>
      <w:marTop w:val="0"/>
      <w:marBottom w:val="0"/>
      <w:divBdr>
        <w:top w:val="none" w:sz="0" w:space="0" w:color="auto"/>
        <w:left w:val="none" w:sz="0" w:space="0" w:color="auto"/>
        <w:bottom w:val="none" w:sz="0" w:space="0" w:color="auto"/>
        <w:right w:val="none" w:sz="0" w:space="0" w:color="auto"/>
      </w:divBdr>
    </w:div>
    <w:div w:id="198081900">
      <w:bodyDiv w:val="1"/>
      <w:marLeft w:val="0"/>
      <w:marRight w:val="0"/>
      <w:marTop w:val="0"/>
      <w:marBottom w:val="0"/>
      <w:divBdr>
        <w:top w:val="none" w:sz="0" w:space="0" w:color="auto"/>
        <w:left w:val="none" w:sz="0" w:space="0" w:color="auto"/>
        <w:bottom w:val="none" w:sz="0" w:space="0" w:color="auto"/>
        <w:right w:val="none" w:sz="0" w:space="0" w:color="auto"/>
      </w:divBdr>
    </w:div>
    <w:div w:id="198128102">
      <w:bodyDiv w:val="1"/>
      <w:marLeft w:val="0"/>
      <w:marRight w:val="0"/>
      <w:marTop w:val="0"/>
      <w:marBottom w:val="0"/>
      <w:divBdr>
        <w:top w:val="none" w:sz="0" w:space="0" w:color="auto"/>
        <w:left w:val="none" w:sz="0" w:space="0" w:color="auto"/>
        <w:bottom w:val="none" w:sz="0" w:space="0" w:color="auto"/>
        <w:right w:val="none" w:sz="0" w:space="0" w:color="auto"/>
      </w:divBdr>
    </w:div>
    <w:div w:id="198128851">
      <w:bodyDiv w:val="1"/>
      <w:marLeft w:val="0"/>
      <w:marRight w:val="0"/>
      <w:marTop w:val="0"/>
      <w:marBottom w:val="0"/>
      <w:divBdr>
        <w:top w:val="none" w:sz="0" w:space="0" w:color="auto"/>
        <w:left w:val="none" w:sz="0" w:space="0" w:color="auto"/>
        <w:bottom w:val="none" w:sz="0" w:space="0" w:color="auto"/>
        <w:right w:val="none" w:sz="0" w:space="0" w:color="auto"/>
      </w:divBdr>
    </w:div>
    <w:div w:id="198318731">
      <w:bodyDiv w:val="1"/>
      <w:marLeft w:val="0"/>
      <w:marRight w:val="0"/>
      <w:marTop w:val="0"/>
      <w:marBottom w:val="0"/>
      <w:divBdr>
        <w:top w:val="none" w:sz="0" w:space="0" w:color="auto"/>
        <w:left w:val="none" w:sz="0" w:space="0" w:color="auto"/>
        <w:bottom w:val="none" w:sz="0" w:space="0" w:color="auto"/>
        <w:right w:val="none" w:sz="0" w:space="0" w:color="auto"/>
      </w:divBdr>
    </w:div>
    <w:div w:id="198326337">
      <w:bodyDiv w:val="1"/>
      <w:marLeft w:val="0"/>
      <w:marRight w:val="0"/>
      <w:marTop w:val="0"/>
      <w:marBottom w:val="0"/>
      <w:divBdr>
        <w:top w:val="none" w:sz="0" w:space="0" w:color="auto"/>
        <w:left w:val="none" w:sz="0" w:space="0" w:color="auto"/>
        <w:bottom w:val="none" w:sz="0" w:space="0" w:color="auto"/>
        <w:right w:val="none" w:sz="0" w:space="0" w:color="auto"/>
      </w:divBdr>
    </w:div>
    <w:div w:id="198511154">
      <w:bodyDiv w:val="1"/>
      <w:marLeft w:val="0"/>
      <w:marRight w:val="0"/>
      <w:marTop w:val="0"/>
      <w:marBottom w:val="0"/>
      <w:divBdr>
        <w:top w:val="none" w:sz="0" w:space="0" w:color="auto"/>
        <w:left w:val="none" w:sz="0" w:space="0" w:color="auto"/>
        <w:bottom w:val="none" w:sz="0" w:space="0" w:color="auto"/>
        <w:right w:val="none" w:sz="0" w:space="0" w:color="auto"/>
      </w:divBdr>
    </w:div>
    <w:div w:id="198514769">
      <w:bodyDiv w:val="1"/>
      <w:marLeft w:val="0"/>
      <w:marRight w:val="0"/>
      <w:marTop w:val="0"/>
      <w:marBottom w:val="0"/>
      <w:divBdr>
        <w:top w:val="none" w:sz="0" w:space="0" w:color="auto"/>
        <w:left w:val="none" w:sz="0" w:space="0" w:color="auto"/>
        <w:bottom w:val="none" w:sz="0" w:space="0" w:color="auto"/>
        <w:right w:val="none" w:sz="0" w:space="0" w:color="auto"/>
      </w:divBdr>
    </w:div>
    <w:div w:id="198515929">
      <w:bodyDiv w:val="1"/>
      <w:marLeft w:val="0"/>
      <w:marRight w:val="0"/>
      <w:marTop w:val="0"/>
      <w:marBottom w:val="0"/>
      <w:divBdr>
        <w:top w:val="none" w:sz="0" w:space="0" w:color="auto"/>
        <w:left w:val="none" w:sz="0" w:space="0" w:color="auto"/>
        <w:bottom w:val="none" w:sz="0" w:space="0" w:color="auto"/>
        <w:right w:val="none" w:sz="0" w:space="0" w:color="auto"/>
      </w:divBdr>
    </w:div>
    <w:div w:id="198516222">
      <w:bodyDiv w:val="1"/>
      <w:marLeft w:val="0"/>
      <w:marRight w:val="0"/>
      <w:marTop w:val="0"/>
      <w:marBottom w:val="0"/>
      <w:divBdr>
        <w:top w:val="none" w:sz="0" w:space="0" w:color="auto"/>
        <w:left w:val="none" w:sz="0" w:space="0" w:color="auto"/>
        <w:bottom w:val="none" w:sz="0" w:space="0" w:color="auto"/>
        <w:right w:val="none" w:sz="0" w:space="0" w:color="auto"/>
      </w:divBdr>
    </w:div>
    <w:div w:id="198517306">
      <w:bodyDiv w:val="1"/>
      <w:marLeft w:val="0"/>
      <w:marRight w:val="0"/>
      <w:marTop w:val="0"/>
      <w:marBottom w:val="0"/>
      <w:divBdr>
        <w:top w:val="none" w:sz="0" w:space="0" w:color="auto"/>
        <w:left w:val="none" w:sz="0" w:space="0" w:color="auto"/>
        <w:bottom w:val="none" w:sz="0" w:space="0" w:color="auto"/>
        <w:right w:val="none" w:sz="0" w:space="0" w:color="auto"/>
      </w:divBdr>
    </w:div>
    <w:div w:id="198520252">
      <w:bodyDiv w:val="1"/>
      <w:marLeft w:val="0"/>
      <w:marRight w:val="0"/>
      <w:marTop w:val="0"/>
      <w:marBottom w:val="0"/>
      <w:divBdr>
        <w:top w:val="none" w:sz="0" w:space="0" w:color="auto"/>
        <w:left w:val="none" w:sz="0" w:space="0" w:color="auto"/>
        <w:bottom w:val="none" w:sz="0" w:space="0" w:color="auto"/>
        <w:right w:val="none" w:sz="0" w:space="0" w:color="auto"/>
      </w:divBdr>
    </w:div>
    <w:div w:id="198662828">
      <w:bodyDiv w:val="1"/>
      <w:marLeft w:val="0"/>
      <w:marRight w:val="0"/>
      <w:marTop w:val="0"/>
      <w:marBottom w:val="0"/>
      <w:divBdr>
        <w:top w:val="none" w:sz="0" w:space="0" w:color="auto"/>
        <w:left w:val="none" w:sz="0" w:space="0" w:color="auto"/>
        <w:bottom w:val="none" w:sz="0" w:space="0" w:color="auto"/>
        <w:right w:val="none" w:sz="0" w:space="0" w:color="auto"/>
      </w:divBdr>
    </w:div>
    <w:div w:id="198780582">
      <w:bodyDiv w:val="1"/>
      <w:marLeft w:val="0"/>
      <w:marRight w:val="0"/>
      <w:marTop w:val="0"/>
      <w:marBottom w:val="0"/>
      <w:divBdr>
        <w:top w:val="none" w:sz="0" w:space="0" w:color="auto"/>
        <w:left w:val="none" w:sz="0" w:space="0" w:color="auto"/>
        <w:bottom w:val="none" w:sz="0" w:space="0" w:color="auto"/>
        <w:right w:val="none" w:sz="0" w:space="0" w:color="auto"/>
      </w:divBdr>
    </w:div>
    <w:div w:id="198781592">
      <w:bodyDiv w:val="1"/>
      <w:marLeft w:val="0"/>
      <w:marRight w:val="0"/>
      <w:marTop w:val="0"/>
      <w:marBottom w:val="0"/>
      <w:divBdr>
        <w:top w:val="none" w:sz="0" w:space="0" w:color="auto"/>
        <w:left w:val="none" w:sz="0" w:space="0" w:color="auto"/>
        <w:bottom w:val="none" w:sz="0" w:space="0" w:color="auto"/>
        <w:right w:val="none" w:sz="0" w:space="0" w:color="auto"/>
      </w:divBdr>
    </w:div>
    <w:div w:id="198785718">
      <w:bodyDiv w:val="1"/>
      <w:marLeft w:val="0"/>
      <w:marRight w:val="0"/>
      <w:marTop w:val="0"/>
      <w:marBottom w:val="0"/>
      <w:divBdr>
        <w:top w:val="none" w:sz="0" w:space="0" w:color="auto"/>
        <w:left w:val="none" w:sz="0" w:space="0" w:color="auto"/>
        <w:bottom w:val="none" w:sz="0" w:space="0" w:color="auto"/>
        <w:right w:val="none" w:sz="0" w:space="0" w:color="auto"/>
      </w:divBdr>
    </w:div>
    <w:div w:id="198788868">
      <w:bodyDiv w:val="1"/>
      <w:marLeft w:val="0"/>
      <w:marRight w:val="0"/>
      <w:marTop w:val="0"/>
      <w:marBottom w:val="0"/>
      <w:divBdr>
        <w:top w:val="none" w:sz="0" w:space="0" w:color="auto"/>
        <w:left w:val="none" w:sz="0" w:space="0" w:color="auto"/>
        <w:bottom w:val="none" w:sz="0" w:space="0" w:color="auto"/>
        <w:right w:val="none" w:sz="0" w:space="0" w:color="auto"/>
      </w:divBdr>
    </w:div>
    <w:div w:id="198856219">
      <w:bodyDiv w:val="1"/>
      <w:marLeft w:val="0"/>
      <w:marRight w:val="0"/>
      <w:marTop w:val="0"/>
      <w:marBottom w:val="0"/>
      <w:divBdr>
        <w:top w:val="none" w:sz="0" w:space="0" w:color="auto"/>
        <w:left w:val="none" w:sz="0" w:space="0" w:color="auto"/>
        <w:bottom w:val="none" w:sz="0" w:space="0" w:color="auto"/>
        <w:right w:val="none" w:sz="0" w:space="0" w:color="auto"/>
      </w:divBdr>
    </w:div>
    <w:div w:id="198862890">
      <w:bodyDiv w:val="1"/>
      <w:marLeft w:val="0"/>
      <w:marRight w:val="0"/>
      <w:marTop w:val="0"/>
      <w:marBottom w:val="0"/>
      <w:divBdr>
        <w:top w:val="none" w:sz="0" w:space="0" w:color="auto"/>
        <w:left w:val="none" w:sz="0" w:space="0" w:color="auto"/>
        <w:bottom w:val="none" w:sz="0" w:space="0" w:color="auto"/>
        <w:right w:val="none" w:sz="0" w:space="0" w:color="auto"/>
      </w:divBdr>
    </w:div>
    <w:div w:id="198864060">
      <w:bodyDiv w:val="1"/>
      <w:marLeft w:val="0"/>
      <w:marRight w:val="0"/>
      <w:marTop w:val="0"/>
      <w:marBottom w:val="0"/>
      <w:divBdr>
        <w:top w:val="none" w:sz="0" w:space="0" w:color="auto"/>
        <w:left w:val="none" w:sz="0" w:space="0" w:color="auto"/>
        <w:bottom w:val="none" w:sz="0" w:space="0" w:color="auto"/>
        <w:right w:val="none" w:sz="0" w:space="0" w:color="auto"/>
      </w:divBdr>
    </w:div>
    <w:div w:id="198906436">
      <w:bodyDiv w:val="1"/>
      <w:marLeft w:val="0"/>
      <w:marRight w:val="0"/>
      <w:marTop w:val="0"/>
      <w:marBottom w:val="0"/>
      <w:divBdr>
        <w:top w:val="none" w:sz="0" w:space="0" w:color="auto"/>
        <w:left w:val="none" w:sz="0" w:space="0" w:color="auto"/>
        <w:bottom w:val="none" w:sz="0" w:space="0" w:color="auto"/>
        <w:right w:val="none" w:sz="0" w:space="0" w:color="auto"/>
      </w:divBdr>
    </w:div>
    <w:div w:id="199056755">
      <w:bodyDiv w:val="1"/>
      <w:marLeft w:val="0"/>
      <w:marRight w:val="0"/>
      <w:marTop w:val="0"/>
      <w:marBottom w:val="0"/>
      <w:divBdr>
        <w:top w:val="none" w:sz="0" w:space="0" w:color="auto"/>
        <w:left w:val="none" w:sz="0" w:space="0" w:color="auto"/>
        <w:bottom w:val="none" w:sz="0" w:space="0" w:color="auto"/>
        <w:right w:val="none" w:sz="0" w:space="0" w:color="auto"/>
      </w:divBdr>
    </w:div>
    <w:div w:id="199444550">
      <w:bodyDiv w:val="1"/>
      <w:marLeft w:val="0"/>
      <w:marRight w:val="0"/>
      <w:marTop w:val="0"/>
      <w:marBottom w:val="0"/>
      <w:divBdr>
        <w:top w:val="none" w:sz="0" w:space="0" w:color="auto"/>
        <w:left w:val="none" w:sz="0" w:space="0" w:color="auto"/>
        <w:bottom w:val="none" w:sz="0" w:space="0" w:color="auto"/>
        <w:right w:val="none" w:sz="0" w:space="0" w:color="auto"/>
      </w:divBdr>
    </w:div>
    <w:div w:id="199587713">
      <w:bodyDiv w:val="1"/>
      <w:marLeft w:val="0"/>
      <w:marRight w:val="0"/>
      <w:marTop w:val="0"/>
      <w:marBottom w:val="0"/>
      <w:divBdr>
        <w:top w:val="none" w:sz="0" w:space="0" w:color="auto"/>
        <w:left w:val="none" w:sz="0" w:space="0" w:color="auto"/>
        <w:bottom w:val="none" w:sz="0" w:space="0" w:color="auto"/>
        <w:right w:val="none" w:sz="0" w:space="0" w:color="auto"/>
      </w:divBdr>
    </w:div>
    <w:div w:id="199712125">
      <w:bodyDiv w:val="1"/>
      <w:marLeft w:val="0"/>
      <w:marRight w:val="0"/>
      <w:marTop w:val="0"/>
      <w:marBottom w:val="0"/>
      <w:divBdr>
        <w:top w:val="none" w:sz="0" w:space="0" w:color="auto"/>
        <w:left w:val="none" w:sz="0" w:space="0" w:color="auto"/>
        <w:bottom w:val="none" w:sz="0" w:space="0" w:color="auto"/>
        <w:right w:val="none" w:sz="0" w:space="0" w:color="auto"/>
      </w:divBdr>
    </w:div>
    <w:div w:id="199755165">
      <w:bodyDiv w:val="1"/>
      <w:marLeft w:val="0"/>
      <w:marRight w:val="0"/>
      <w:marTop w:val="0"/>
      <w:marBottom w:val="0"/>
      <w:divBdr>
        <w:top w:val="none" w:sz="0" w:space="0" w:color="auto"/>
        <w:left w:val="none" w:sz="0" w:space="0" w:color="auto"/>
        <w:bottom w:val="none" w:sz="0" w:space="0" w:color="auto"/>
        <w:right w:val="none" w:sz="0" w:space="0" w:color="auto"/>
      </w:divBdr>
    </w:div>
    <w:div w:id="199896815">
      <w:bodyDiv w:val="1"/>
      <w:marLeft w:val="0"/>
      <w:marRight w:val="0"/>
      <w:marTop w:val="0"/>
      <w:marBottom w:val="0"/>
      <w:divBdr>
        <w:top w:val="none" w:sz="0" w:space="0" w:color="auto"/>
        <w:left w:val="none" w:sz="0" w:space="0" w:color="auto"/>
        <w:bottom w:val="none" w:sz="0" w:space="0" w:color="auto"/>
        <w:right w:val="none" w:sz="0" w:space="0" w:color="auto"/>
      </w:divBdr>
    </w:div>
    <w:div w:id="199904170">
      <w:bodyDiv w:val="1"/>
      <w:marLeft w:val="0"/>
      <w:marRight w:val="0"/>
      <w:marTop w:val="0"/>
      <w:marBottom w:val="0"/>
      <w:divBdr>
        <w:top w:val="none" w:sz="0" w:space="0" w:color="auto"/>
        <w:left w:val="none" w:sz="0" w:space="0" w:color="auto"/>
        <w:bottom w:val="none" w:sz="0" w:space="0" w:color="auto"/>
        <w:right w:val="none" w:sz="0" w:space="0" w:color="auto"/>
      </w:divBdr>
    </w:div>
    <w:div w:id="200091641">
      <w:bodyDiv w:val="1"/>
      <w:marLeft w:val="0"/>
      <w:marRight w:val="0"/>
      <w:marTop w:val="0"/>
      <w:marBottom w:val="0"/>
      <w:divBdr>
        <w:top w:val="none" w:sz="0" w:space="0" w:color="auto"/>
        <w:left w:val="none" w:sz="0" w:space="0" w:color="auto"/>
        <w:bottom w:val="none" w:sz="0" w:space="0" w:color="auto"/>
        <w:right w:val="none" w:sz="0" w:space="0" w:color="auto"/>
      </w:divBdr>
    </w:div>
    <w:div w:id="200166258">
      <w:bodyDiv w:val="1"/>
      <w:marLeft w:val="0"/>
      <w:marRight w:val="0"/>
      <w:marTop w:val="0"/>
      <w:marBottom w:val="0"/>
      <w:divBdr>
        <w:top w:val="none" w:sz="0" w:space="0" w:color="auto"/>
        <w:left w:val="none" w:sz="0" w:space="0" w:color="auto"/>
        <w:bottom w:val="none" w:sz="0" w:space="0" w:color="auto"/>
        <w:right w:val="none" w:sz="0" w:space="0" w:color="auto"/>
      </w:divBdr>
    </w:div>
    <w:div w:id="200172192">
      <w:bodyDiv w:val="1"/>
      <w:marLeft w:val="0"/>
      <w:marRight w:val="0"/>
      <w:marTop w:val="0"/>
      <w:marBottom w:val="0"/>
      <w:divBdr>
        <w:top w:val="none" w:sz="0" w:space="0" w:color="auto"/>
        <w:left w:val="none" w:sz="0" w:space="0" w:color="auto"/>
        <w:bottom w:val="none" w:sz="0" w:space="0" w:color="auto"/>
        <w:right w:val="none" w:sz="0" w:space="0" w:color="auto"/>
      </w:divBdr>
    </w:div>
    <w:div w:id="200242167">
      <w:bodyDiv w:val="1"/>
      <w:marLeft w:val="0"/>
      <w:marRight w:val="0"/>
      <w:marTop w:val="0"/>
      <w:marBottom w:val="0"/>
      <w:divBdr>
        <w:top w:val="none" w:sz="0" w:space="0" w:color="auto"/>
        <w:left w:val="none" w:sz="0" w:space="0" w:color="auto"/>
        <w:bottom w:val="none" w:sz="0" w:space="0" w:color="auto"/>
        <w:right w:val="none" w:sz="0" w:space="0" w:color="auto"/>
      </w:divBdr>
    </w:div>
    <w:div w:id="200368036">
      <w:bodyDiv w:val="1"/>
      <w:marLeft w:val="0"/>
      <w:marRight w:val="0"/>
      <w:marTop w:val="0"/>
      <w:marBottom w:val="0"/>
      <w:divBdr>
        <w:top w:val="none" w:sz="0" w:space="0" w:color="auto"/>
        <w:left w:val="none" w:sz="0" w:space="0" w:color="auto"/>
        <w:bottom w:val="none" w:sz="0" w:space="0" w:color="auto"/>
        <w:right w:val="none" w:sz="0" w:space="0" w:color="auto"/>
      </w:divBdr>
    </w:div>
    <w:div w:id="200628328">
      <w:bodyDiv w:val="1"/>
      <w:marLeft w:val="0"/>
      <w:marRight w:val="0"/>
      <w:marTop w:val="0"/>
      <w:marBottom w:val="0"/>
      <w:divBdr>
        <w:top w:val="none" w:sz="0" w:space="0" w:color="auto"/>
        <w:left w:val="none" w:sz="0" w:space="0" w:color="auto"/>
        <w:bottom w:val="none" w:sz="0" w:space="0" w:color="auto"/>
        <w:right w:val="none" w:sz="0" w:space="0" w:color="auto"/>
      </w:divBdr>
    </w:div>
    <w:div w:id="200673214">
      <w:bodyDiv w:val="1"/>
      <w:marLeft w:val="0"/>
      <w:marRight w:val="0"/>
      <w:marTop w:val="0"/>
      <w:marBottom w:val="0"/>
      <w:divBdr>
        <w:top w:val="none" w:sz="0" w:space="0" w:color="auto"/>
        <w:left w:val="none" w:sz="0" w:space="0" w:color="auto"/>
        <w:bottom w:val="none" w:sz="0" w:space="0" w:color="auto"/>
        <w:right w:val="none" w:sz="0" w:space="0" w:color="auto"/>
      </w:divBdr>
    </w:div>
    <w:div w:id="200746502">
      <w:bodyDiv w:val="1"/>
      <w:marLeft w:val="0"/>
      <w:marRight w:val="0"/>
      <w:marTop w:val="0"/>
      <w:marBottom w:val="0"/>
      <w:divBdr>
        <w:top w:val="none" w:sz="0" w:space="0" w:color="auto"/>
        <w:left w:val="none" w:sz="0" w:space="0" w:color="auto"/>
        <w:bottom w:val="none" w:sz="0" w:space="0" w:color="auto"/>
        <w:right w:val="none" w:sz="0" w:space="0" w:color="auto"/>
      </w:divBdr>
    </w:div>
    <w:div w:id="200822611">
      <w:bodyDiv w:val="1"/>
      <w:marLeft w:val="0"/>
      <w:marRight w:val="0"/>
      <w:marTop w:val="0"/>
      <w:marBottom w:val="0"/>
      <w:divBdr>
        <w:top w:val="none" w:sz="0" w:space="0" w:color="auto"/>
        <w:left w:val="none" w:sz="0" w:space="0" w:color="auto"/>
        <w:bottom w:val="none" w:sz="0" w:space="0" w:color="auto"/>
        <w:right w:val="none" w:sz="0" w:space="0" w:color="auto"/>
      </w:divBdr>
    </w:div>
    <w:div w:id="200824682">
      <w:bodyDiv w:val="1"/>
      <w:marLeft w:val="0"/>
      <w:marRight w:val="0"/>
      <w:marTop w:val="0"/>
      <w:marBottom w:val="0"/>
      <w:divBdr>
        <w:top w:val="none" w:sz="0" w:space="0" w:color="auto"/>
        <w:left w:val="none" w:sz="0" w:space="0" w:color="auto"/>
        <w:bottom w:val="none" w:sz="0" w:space="0" w:color="auto"/>
        <w:right w:val="none" w:sz="0" w:space="0" w:color="auto"/>
      </w:divBdr>
    </w:div>
    <w:div w:id="200825338">
      <w:bodyDiv w:val="1"/>
      <w:marLeft w:val="0"/>
      <w:marRight w:val="0"/>
      <w:marTop w:val="0"/>
      <w:marBottom w:val="0"/>
      <w:divBdr>
        <w:top w:val="none" w:sz="0" w:space="0" w:color="auto"/>
        <w:left w:val="none" w:sz="0" w:space="0" w:color="auto"/>
        <w:bottom w:val="none" w:sz="0" w:space="0" w:color="auto"/>
        <w:right w:val="none" w:sz="0" w:space="0" w:color="auto"/>
      </w:divBdr>
    </w:div>
    <w:div w:id="200825933">
      <w:bodyDiv w:val="1"/>
      <w:marLeft w:val="0"/>
      <w:marRight w:val="0"/>
      <w:marTop w:val="0"/>
      <w:marBottom w:val="0"/>
      <w:divBdr>
        <w:top w:val="none" w:sz="0" w:space="0" w:color="auto"/>
        <w:left w:val="none" w:sz="0" w:space="0" w:color="auto"/>
        <w:bottom w:val="none" w:sz="0" w:space="0" w:color="auto"/>
        <w:right w:val="none" w:sz="0" w:space="0" w:color="auto"/>
      </w:divBdr>
    </w:div>
    <w:div w:id="200826131">
      <w:bodyDiv w:val="1"/>
      <w:marLeft w:val="0"/>
      <w:marRight w:val="0"/>
      <w:marTop w:val="0"/>
      <w:marBottom w:val="0"/>
      <w:divBdr>
        <w:top w:val="none" w:sz="0" w:space="0" w:color="auto"/>
        <w:left w:val="none" w:sz="0" w:space="0" w:color="auto"/>
        <w:bottom w:val="none" w:sz="0" w:space="0" w:color="auto"/>
        <w:right w:val="none" w:sz="0" w:space="0" w:color="auto"/>
      </w:divBdr>
    </w:div>
    <w:div w:id="200872389">
      <w:bodyDiv w:val="1"/>
      <w:marLeft w:val="0"/>
      <w:marRight w:val="0"/>
      <w:marTop w:val="0"/>
      <w:marBottom w:val="0"/>
      <w:divBdr>
        <w:top w:val="none" w:sz="0" w:space="0" w:color="auto"/>
        <w:left w:val="none" w:sz="0" w:space="0" w:color="auto"/>
        <w:bottom w:val="none" w:sz="0" w:space="0" w:color="auto"/>
        <w:right w:val="none" w:sz="0" w:space="0" w:color="auto"/>
      </w:divBdr>
    </w:div>
    <w:div w:id="200898872">
      <w:bodyDiv w:val="1"/>
      <w:marLeft w:val="0"/>
      <w:marRight w:val="0"/>
      <w:marTop w:val="0"/>
      <w:marBottom w:val="0"/>
      <w:divBdr>
        <w:top w:val="none" w:sz="0" w:space="0" w:color="auto"/>
        <w:left w:val="none" w:sz="0" w:space="0" w:color="auto"/>
        <w:bottom w:val="none" w:sz="0" w:space="0" w:color="auto"/>
        <w:right w:val="none" w:sz="0" w:space="0" w:color="auto"/>
      </w:divBdr>
    </w:div>
    <w:div w:id="200942396">
      <w:bodyDiv w:val="1"/>
      <w:marLeft w:val="0"/>
      <w:marRight w:val="0"/>
      <w:marTop w:val="0"/>
      <w:marBottom w:val="0"/>
      <w:divBdr>
        <w:top w:val="none" w:sz="0" w:space="0" w:color="auto"/>
        <w:left w:val="none" w:sz="0" w:space="0" w:color="auto"/>
        <w:bottom w:val="none" w:sz="0" w:space="0" w:color="auto"/>
        <w:right w:val="none" w:sz="0" w:space="0" w:color="auto"/>
      </w:divBdr>
    </w:div>
    <w:div w:id="201016418">
      <w:bodyDiv w:val="1"/>
      <w:marLeft w:val="0"/>
      <w:marRight w:val="0"/>
      <w:marTop w:val="0"/>
      <w:marBottom w:val="0"/>
      <w:divBdr>
        <w:top w:val="none" w:sz="0" w:space="0" w:color="auto"/>
        <w:left w:val="none" w:sz="0" w:space="0" w:color="auto"/>
        <w:bottom w:val="none" w:sz="0" w:space="0" w:color="auto"/>
        <w:right w:val="none" w:sz="0" w:space="0" w:color="auto"/>
      </w:divBdr>
    </w:div>
    <w:div w:id="201065955">
      <w:bodyDiv w:val="1"/>
      <w:marLeft w:val="0"/>
      <w:marRight w:val="0"/>
      <w:marTop w:val="0"/>
      <w:marBottom w:val="0"/>
      <w:divBdr>
        <w:top w:val="none" w:sz="0" w:space="0" w:color="auto"/>
        <w:left w:val="none" w:sz="0" w:space="0" w:color="auto"/>
        <w:bottom w:val="none" w:sz="0" w:space="0" w:color="auto"/>
        <w:right w:val="none" w:sz="0" w:space="0" w:color="auto"/>
      </w:divBdr>
    </w:div>
    <w:div w:id="201135887">
      <w:bodyDiv w:val="1"/>
      <w:marLeft w:val="0"/>
      <w:marRight w:val="0"/>
      <w:marTop w:val="0"/>
      <w:marBottom w:val="0"/>
      <w:divBdr>
        <w:top w:val="none" w:sz="0" w:space="0" w:color="auto"/>
        <w:left w:val="none" w:sz="0" w:space="0" w:color="auto"/>
        <w:bottom w:val="none" w:sz="0" w:space="0" w:color="auto"/>
        <w:right w:val="none" w:sz="0" w:space="0" w:color="auto"/>
      </w:divBdr>
    </w:div>
    <w:div w:id="201208345">
      <w:bodyDiv w:val="1"/>
      <w:marLeft w:val="0"/>
      <w:marRight w:val="0"/>
      <w:marTop w:val="0"/>
      <w:marBottom w:val="0"/>
      <w:divBdr>
        <w:top w:val="none" w:sz="0" w:space="0" w:color="auto"/>
        <w:left w:val="none" w:sz="0" w:space="0" w:color="auto"/>
        <w:bottom w:val="none" w:sz="0" w:space="0" w:color="auto"/>
        <w:right w:val="none" w:sz="0" w:space="0" w:color="auto"/>
      </w:divBdr>
    </w:div>
    <w:div w:id="201214124">
      <w:bodyDiv w:val="1"/>
      <w:marLeft w:val="0"/>
      <w:marRight w:val="0"/>
      <w:marTop w:val="0"/>
      <w:marBottom w:val="0"/>
      <w:divBdr>
        <w:top w:val="none" w:sz="0" w:space="0" w:color="auto"/>
        <w:left w:val="none" w:sz="0" w:space="0" w:color="auto"/>
        <w:bottom w:val="none" w:sz="0" w:space="0" w:color="auto"/>
        <w:right w:val="none" w:sz="0" w:space="0" w:color="auto"/>
      </w:divBdr>
    </w:div>
    <w:div w:id="201286114">
      <w:bodyDiv w:val="1"/>
      <w:marLeft w:val="0"/>
      <w:marRight w:val="0"/>
      <w:marTop w:val="0"/>
      <w:marBottom w:val="0"/>
      <w:divBdr>
        <w:top w:val="none" w:sz="0" w:space="0" w:color="auto"/>
        <w:left w:val="none" w:sz="0" w:space="0" w:color="auto"/>
        <w:bottom w:val="none" w:sz="0" w:space="0" w:color="auto"/>
        <w:right w:val="none" w:sz="0" w:space="0" w:color="auto"/>
      </w:divBdr>
    </w:div>
    <w:div w:id="201286879">
      <w:bodyDiv w:val="1"/>
      <w:marLeft w:val="0"/>
      <w:marRight w:val="0"/>
      <w:marTop w:val="0"/>
      <w:marBottom w:val="0"/>
      <w:divBdr>
        <w:top w:val="none" w:sz="0" w:space="0" w:color="auto"/>
        <w:left w:val="none" w:sz="0" w:space="0" w:color="auto"/>
        <w:bottom w:val="none" w:sz="0" w:space="0" w:color="auto"/>
        <w:right w:val="none" w:sz="0" w:space="0" w:color="auto"/>
      </w:divBdr>
    </w:div>
    <w:div w:id="201289675">
      <w:bodyDiv w:val="1"/>
      <w:marLeft w:val="0"/>
      <w:marRight w:val="0"/>
      <w:marTop w:val="0"/>
      <w:marBottom w:val="0"/>
      <w:divBdr>
        <w:top w:val="none" w:sz="0" w:space="0" w:color="auto"/>
        <w:left w:val="none" w:sz="0" w:space="0" w:color="auto"/>
        <w:bottom w:val="none" w:sz="0" w:space="0" w:color="auto"/>
        <w:right w:val="none" w:sz="0" w:space="0" w:color="auto"/>
      </w:divBdr>
    </w:div>
    <w:div w:id="201358071">
      <w:bodyDiv w:val="1"/>
      <w:marLeft w:val="0"/>
      <w:marRight w:val="0"/>
      <w:marTop w:val="0"/>
      <w:marBottom w:val="0"/>
      <w:divBdr>
        <w:top w:val="none" w:sz="0" w:space="0" w:color="auto"/>
        <w:left w:val="none" w:sz="0" w:space="0" w:color="auto"/>
        <w:bottom w:val="none" w:sz="0" w:space="0" w:color="auto"/>
        <w:right w:val="none" w:sz="0" w:space="0" w:color="auto"/>
      </w:divBdr>
    </w:div>
    <w:div w:id="201401278">
      <w:bodyDiv w:val="1"/>
      <w:marLeft w:val="0"/>
      <w:marRight w:val="0"/>
      <w:marTop w:val="0"/>
      <w:marBottom w:val="0"/>
      <w:divBdr>
        <w:top w:val="none" w:sz="0" w:space="0" w:color="auto"/>
        <w:left w:val="none" w:sz="0" w:space="0" w:color="auto"/>
        <w:bottom w:val="none" w:sz="0" w:space="0" w:color="auto"/>
        <w:right w:val="none" w:sz="0" w:space="0" w:color="auto"/>
      </w:divBdr>
    </w:div>
    <w:div w:id="201555583">
      <w:bodyDiv w:val="1"/>
      <w:marLeft w:val="0"/>
      <w:marRight w:val="0"/>
      <w:marTop w:val="0"/>
      <w:marBottom w:val="0"/>
      <w:divBdr>
        <w:top w:val="none" w:sz="0" w:space="0" w:color="auto"/>
        <w:left w:val="none" w:sz="0" w:space="0" w:color="auto"/>
        <w:bottom w:val="none" w:sz="0" w:space="0" w:color="auto"/>
        <w:right w:val="none" w:sz="0" w:space="0" w:color="auto"/>
      </w:divBdr>
    </w:div>
    <w:div w:id="201596390">
      <w:bodyDiv w:val="1"/>
      <w:marLeft w:val="0"/>
      <w:marRight w:val="0"/>
      <w:marTop w:val="0"/>
      <w:marBottom w:val="0"/>
      <w:divBdr>
        <w:top w:val="none" w:sz="0" w:space="0" w:color="auto"/>
        <w:left w:val="none" w:sz="0" w:space="0" w:color="auto"/>
        <w:bottom w:val="none" w:sz="0" w:space="0" w:color="auto"/>
        <w:right w:val="none" w:sz="0" w:space="0" w:color="auto"/>
      </w:divBdr>
    </w:div>
    <w:div w:id="201596949">
      <w:bodyDiv w:val="1"/>
      <w:marLeft w:val="0"/>
      <w:marRight w:val="0"/>
      <w:marTop w:val="0"/>
      <w:marBottom w:val="0"/>
      <w:divBdr>
        <w:top w:val="none" w:sz="0" w:space="0" w:color="auto"/>
        <w:left w:val="none" w:sz="0" w:space="0" w:color="auto"/>
        <w:bottom w:val="none" w:sz="0" w:space="0" w:color="auto"/>
        <w:right w:val="none" w:sz="0" w:space="0" w:color="auto"/>
      </w:divBdr>
    </w:div>
    <w:div w:id="201599639">
      <w:bodyDiv w:val="1"/>
      <w:marLeft w:val="0"/>
      <w:marRight w:val="0"/>
      <w:marTop w:val="0"/>
      <w:marBottom w:val="0"/>
      <w:divBdr>
        <w:top w:val="none" w:sz="0" w:space="0" w:color="auto"/>
        <w:left w:val="none" w:sz="0" w:space="0" w:color="auto"/>
        <w:bottom w:val="none" w:sz="0" w:space="0" w:color="auto"/>
        <w:right w:val="none" w:sz="0" w:space="0" w:color="auto"/>
      </w:divBdr>
    </w:div>
    <w:div w:id="201601513">
      <w:bodyDiv w:val="1"/>
      <w:marLeft w:val="0"/>
      <w:marRight w:val="0"/>
      <w:marTop w:val="0"/>
      <w:marBottom w:val="0"/>
      <w:divBdr>
        <w:top w:val="none" w:sz="0" w:space="0" w:color="auto"/>
        <w:left w:val="none" w:sz="0" w:space="0" w:color="auto"/>
        <w:bottom w:val="none" w:sz="0" w:space="0" w:color="auto"/>
        <w:right w:val="none" w:sz="0" w:space="0" w:color="auto"/>
      </w:divBdr>
    </w:div>
    <w:div w:id="201679054">
      <w:bodyDiv w:val="1"/>
      <w:marLeft w:val="0"/>
      <w:marRight w:val="0"/>
      <w:marTop w:val="0"/>
      <w:marBottom w:val="0"/>
      <w:divBdr>
        <w:top w:val="none" w:sz="0" w:space="0" w:color="auto"/>
        <w:left w:val="none" w:sz="0" w:space="0" w:color="auto"/>
        <w:bottom w:val="none" w:sz="0" w:space="0" w:color="auto"/>
        <w:right w:val="none" w:sz="0" w:space="0" w:color="auto"/>
      </w:divBdr>
    </w:div>
    <w:div w:id="201720602">
      <w:bodyDiv w:val="1"/>
      <w:marLeft w:val="0"/>
      <w:marRight w:val="0"/>
      <w:marTop w:val="0"/>
      <w:marBottom w:val="0"/>
      <w:divBdr>
        <w:top w:val="none" w:sz="0" w:space="0" w:color="auto"/>
        <w:left w:val="none" w:sz="0" w:space="0" w:color="auto"/>
        <w:bottom w:val="none" w:sz="0" w:space="0" w:color="auto"/>
        <w:right w:val="none" w:sz="0" w:space="0" w:color="auto"/>
      </w:divBdr>
    </w:div>
    <w:div w:id="201863505">
      <w:bodyDiv w:val="1"/>
      <w:marLeft w:val="0"/>
      <w:marRight w:val="0"/>
      <w:marTop w:val="0"/>
      <w:marBottom w:val="0"/>
      <w:divBdr>
        <w:top w:val="none" w:sz="0" w:space="0" w:color="auto"/>
        <w:left w:val="none" w:sz="0" w:space="0" w:color="auto"/>
        <w:bottom w:val="none" w:sz="0" w:space="0" w:color="auto"/>
        <w:right w:val="none" w:sz="0" w:space="0" w:color="auto"/>
      </w:divBdr>
    </w:div>
    <w:div w:id="201871495">
      <w:bodyDiv w:val="1"/>
      <w:marLeft w:val="0"/>
      <w:marRight w:val="0"/>
      <w:marTop w:val="0"/>
      <w:marBottom w:val="0"/>
      <w:divBdr>
        <w:top w:val="none" w:sz="0" w:space="0" w:color="auto"/>
        <w:left w:val="none" w:sz="0" w:space="0" w:color="auto"/>
        <w:bottom w:val="none" w:sz="0" w:space="0" w:color="auto"/>
        <w:right w:val="none" w:sz="0" w:space="0" w:color="auto"/>
      </w:divBdr>
    </w:div>
    <w:div w:id="201983753">
      <w:bodyDiv w:val="1"/>
      <w:marLeft w:val="0"/>
      <w:marRight w:val="0"/>
      <w:marTop w:val="0"/>
      <w:marBottom w:val="0"/>
      <w:divBdr>
        <w:top w:val="none" w:sz="0" w:space="0" w:color="auto"/>
        <w:left w:val="none" w:sz="0" w:space="0" w:color="auto"/>
        <w:bottom w:val="none" w:sz="0" w:space="0" w:color="auto"/>
        <w:right w:val="none" w:sz="0" w:space="0" w:color="auto"/>
      </w:divBdr>
    </w:div>
    <w:div w:id="202059469">
      <w:bodyDiv w:val="1"/>
      <w:marLeft w:val="0"/>
      <w:marRight w:val="0"/>
      <w:marTop w:val="0"/>
      <w:marBottom w:val="0"/>
      <w:divBdr>
        <w:top w:val="none" w:sz="0" w:space="0" w:color="auto"/>
        <w:left w:val="none" w:sz="0" w:space="0" w:color="auto"/>
        <w:bottom w:val="none" w:sz="0" w:space="0" w:color="auto"/>
        <w:right w:val="none" w:sz="0" w:space="0" w:color="auto"/>
      </w:divBdr>
    </w:div>
    <w:div w:id="202060881">
      <w:bodyDiv w:val="1"/>
      <w:marLeft w:val="0"/>
      <w:marRight w:val="0"/>
      <w:marTop w:val="0"/>
      <w:marBottom w:val="0"/>
      <w:divBdr>
        <w:top w:val="none" w:sz="0" w:space="0" w:color="auto"/>
        <w:left w:val="none" w:sz="0" w:space="0" w:color="auto"/>
        <w:bottom w:val="none" w:sz="0" w:space="0" w:color="auto"/>
        <w:right w:val="none" w:sz="0" w:space="0" w:color="auto"/>
      </w:divBdr>
    </w:div>
    <w:div w:id="202064445">
      <w:bodyDiv w:val="1"/>
      <w:marLeft w:val="0"/>
      <w:marRight w:val="0"/>
      <w:marTop w:val="0"/>
      <w:marBottom w:val="0"/>
      <w:divBdr>
        <w:top w:val="none" w:sz="0" w:space="0" w:color="auto"/>
        <w:left w:val="none" w:sz="0" w:space="0" w:color="auto"/>
        <w:bottom w:val="none" w:sz="0" w:space="0" w:color="auto"/>
        <w:right w:val="none" w:sz="0" w:space="0" w:color="auto"/>
      </w:divBdr>
    </w:div>
    <w:div w:id="202210789">
      <w:bodyDiv w:val="1"/>
      <w:marLeft w:val="0"/>
      <w:marRight w:val="0"/>
      <w:marTop w:val="0"/>
      <w:marBottom w:val="0"/>
      <w:divBdr>
        <w:top w:val="none" w:sz="0" w:space="0" w:color="auto"/>
        <w:left w:val="none" w:sz="0" w:space="0" w:color="auto"/>
        <w:bottom w:val="none" w:sz="0" w:space="0" w:color="auto"/>
        <w:right w:val="none" w:sz="0" w:space="0" w:color="auto"/>
      </w:divBdr>
    </w:div>
    <w:div w:id="20225329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331566">
      <w:bodyDiv w:val="1"/>
      <w:marLeft w:val="0"/>
      <w:marRight w:val="0"/>
      <w:marTop w:val="0"/>
      <w:marBottom w:val="0"/>
      <w:divBdr>
        <w:top w:val="none" w:sz="0" w:space="0" w:color="auto"/>
        <w:left w:val="none" w:sz="0" w:space="0" w:color="auto"/>
        <w:bottom w:val="none" w:sz="0" w:space="0" w:color="auto"/>
        <w:right w:val="none" w:sz="0" w:space="0" w:color="auto"/>
      </w:divBdr>
    </w:div>
    <w:div w:id="202333433">
      <w:bodyDiv w:val="1"/>
      <w:marLeft w:val="0"/>
      <w:marRight w:val="0"/>
      <w:marTop w:val="0"/>
      <w:marBottom w:val="0"/>
      <w:divBdr>
        <w:top w:val="none" w:sz="0" w:space="0" w:color="auto"/>
        <w:left w:val="none" w:sz="0" w:space="0" w:color="auto"/>
        <w:bottom w:val="none" w:sz="0" w:space="0" w:color="auto"/>
        <w:right w:val="none" w:sz="0" w:space="0" w:color="auto"/>
      </w:divBdr>
    </w:div>
    <w:div w:id="202445298">
      <w:bodyDiv w:val="1"/>
      <w:marLeft w:val="0"/>
      <w:marRight w:val="0"/>
      <w:marTop w:val="0"/>
      <w:marBottom w:val="0"/>
      <w:divBdr>
        <w:top w:val="none" w:sz="0" w:space="0" w:color="auto"/>
        <w:left w:val="none" w:sz="0" w:space="0" w:color="auto"/>
        <w:bottom w:val="none" w:sz="0" w:space="0" w:color="auto"/>
        <w:right w:val="none" w:sz="0" w:space="0" w:color="auto"/>
      </w:divBdr>
    </w:div>
    <w:div w:id="202719257">
      <w:bodyDiv w:val="1"/>
      <w:marLeft w:val="0"/>
      <w:marRight w:val="0"/>
      <w:marTop w:val="0"/>
      <w:marBottom w:val="0"/>
      <w:divBdr>
        <w:top w:val="none" w:sz="0" w:space="0" w:color="auto"/>
        <w:left w:val="none" w:sz="0" w:space="0" w:color="auto"/>
        <w:bottom w:val="none" w:sz="0" w:space="0" w:color="auto"/>
        <w:right w:val="none" w:sz="0" w:space="0" w:color="auto"/>
      </w:divBdr>
    </w:div>
    <w:div w:id="203106370">
      <w:bodyDiv w:val="1"/>
      <w:marLeft w:val="0"/>
      <w:marRight w:val="0"/>
      <w:marTop w:val="0"/>
      <w:marBottom w:val="0"/>
      <w:divBdr>
        <w:top w:val="none" w:sz="0" w:space="0" w:color="auto"/>
        <w:left w:val="none" w:sz="0" w:space="0" w:color="auto"/>
        <w:bottom w:val="none" w:sz="0" w:space="0" w:color="auto"/>
        <w:right w:val="none" w:sz="0" w:space="0" w:color="auto"/>
      </w:divBdr>
    </w:div>
    <w:div w:id="203180450">
      <w:bodyDiv w:val="1"/>
      <w:marLeft w:val="0"/>
      <w:marRight w:val="0"/>
      <w:marTop w:val="0"/>
      <w:marBottom w:val="0"/>
      <w:divBdr>
        <w:top w:val="none" w:sz="0" w:space="0" w:color="auto"/>
        <w:left w:val="none" w:sz="0" w:space="0" w:color="auto"/>
        <w:bottom w:val="none" w:sz="0" w:space="0" w:color="auto"/>
        <w:right w:val="none" w:sz="0" w:space="0" w:color="auto"/>
      </w:divBdr>
    </w:div>
    <w:div w:id="203182470">
      <w:bodyDiv w:val="1"/>
      <w:marLeft w:val="0"/>
      <w:marRight w:val="0"/>
      <w:marTop w:val="0"/>
      <w:marBottom w:val="0"/>
      <w:divBdr>
        <w:top w:val="none" w:sz="0" w:space="0" w:color="auto"/>
        <w:left w:val="none" w:sz="0" w:space="0" w:color="auto"/>
        <w:bottom w:val="none" w:sz="0" w:space="0" w:color="auto"/>
        <w:right w:val="none" w:sz="0" w:space="0" w:color="auto"/>
      </w:divBdr>
    </w:div>
    <w:div w:id="203250277">
      <w:bodyDiv w:val="1"/>
      <w:marLeft w:val="0"/>
      <w:marRight w:val="0"/>
      <w:marTop w:val="0"/>
      <w:marBottom w:val="0"/>
      <w:divBdr>
        <w:top w:val="none" w:sz="0" w:space="0" w:color="auto"/>
        <w:left w:val="none" w:sz="0" w:space="0" w:color="auto"/>
        <w:bottom w:val="none" w:sz="0" w:space="0" w:color="auto"/>
        <w:right w:val="none" w:sz="0" w:space="0" w:color="auto"/>
      </w:divBdr>
    </w:div>
    <w:div w:id="203252708">
      <w:bodyDiv w:val="1"/>
      <w:marLeft w:val="0"/>
      <w:marRight w:val="0"/>
      <w:marTop w:val="0"/>
      <w:marBottom w:val="0"/>
      <w:divBdr>
        <w:top w:val="none" w:sz="0" w:space="0" w:color="auto"/>
        <w:left w:val="none" w:sz="0" w:space="0" w:color="auto"/>
        <w:bottom w:val="none" w:sz="0" w:space="0" w:color="auto"/>
        <w:right w:val="none" w:sz="0" w:space="0" w:color="auto"/>
      </w:divBdr>
    </w:div>
    <w:div w:id="203375097">
      <w:bodyDiv w:val="1"/>
      <w:marLeft w:val="0"/>
      <w:marRight w:val="0"/>
      <w:marTop w:val="0"/>
      <w:marBottom w:val="0"/>
      <w:divBdr>
        <w:top w:val="none" w:sz="0" w:space="0" w:color="auto"/>
        <w:left w:val="none" w:sz="0" w:space="0" w:color="auto"/>
        <w:bottom w:val="none" w:sz="0" w:space="0" w:color="auto"/>
        <w:right w:val="none" w:sz="0" w:space="0" w:color="auto"/>
      </w:divBdr>
    </w:div>
    <w:div w:id="203445008">
      <w:bodyDiv w:val="1"/>
      <w:marLeft w:val="0"/>
      <w:marRight w:val="0"/>
      <w:marTop w:val="0"/>
      <w:marBottom w:val="0"/>
      <w:divBdr>
        <w:top w:val="none" w:sz="0" w:space="0" w:color="auto"/>
        <w:left w:val="none" w:sz="0" w:space="0" w:color="auto"/>
        <w:bottom w:val="none" w:sz="0" w:space="0" w:color="auto"/>
        <w:right w:val="none" w:sz="0" w:space="0" w:color="auto"/>
      </w:divBdr>
    </w:div>
    <w:div w:id="203446407">
      <w:bodyDiv w:val="1"/>
      <w:marLeft w:val="0"/>
      <w:marRight w:val="0"/>
      <w:marTop w:val="0"/>
      <w:marBottom w:val="0"/>
      <w:divBdr>
        <w:top w:val="none" w:sz="0" w:space="0" w:color="auto"/>
        <w:left w:val="none" w:sz="0" w:space="0" w:color="auto"/>
        <w:bottom w:val="none" w:sz="0" w:space="0" w:color="auto"/>
        <w:right w:val="none" w:sz="0" w:space="0" w:color="auto"/>
      </w:divBdr>
    </w:div>
    <w:div w:id="203450157">
      <w:bodyDiv w:val="1"/>
      <w:marLeft w:val="0"/>
      <w:marRight w:val="0"/>
      <w:marTop w:val="0"/>
      <w:marBottom w:val="0"/>
      <w:divBdr>
        <w:top w:val="none" w:sz="0" w:space="0" w:color="auto"/>
        <w:left w:val="none" w:sz="0" w:space="0" w:color="auto"/>
        <w:bottom w:val="none" w:sz="0" w:space="0" w:color="auto"/>
        <w:right w:val="none" w:sz="0" w:space="0" w:color="auto"/>
      </w:divBdr>
    </w:div>
    <w:div w:id="203491879">
      <w:bodyDiv w:val="1"/>
      <w:marLeft w:val="0"/>
      <w:marRight w:val="0"/>
      <w:marTop w:val="0"/>
      <w:marBottom w:val="0"/>
      <w:divBdr>
        <w:top w:val="none" w:sz="0" w:space="0" w:color="auto"/>
        <w:left w:val="none" w:sz="0" w:space="0" w:color="auto"/>
        <w:bottom w:val="none" w:sz="0" w:space="0" w:color="auto"/>
        <w:right w:val="none" w:sz="0" w:space="0" w:color="auto"/>
      </w:divBdr>
    </w:div>
    <w:div w:id="203517326">
      <w:bodyDiv w:val="1"/>
      <w:marLeft w:val="0"/>
      <w:marRight w:val="0"/>
      <w:marTop w:val="0"/>
      <w:marBottom w:val="0"/>
      <w:divBdr>
        <w:top w:val="none" w:sz="0" w:space="0" w:color="auto"/>
        <w:left w:val="none" w:sz="0" w:space="0" w:color="auto"/>
        <w:bottom w:val="none" w:sz="0" w:space="0" w:color="auto"/>
        <w:right w:val="none" w:sz="0" w:space="0" w:color="auto"/>
      </w:divBdr>
    </w:div>
    <w:div w:id="203519571">
      <w:bodyDiv w:val="1"/>
      <w:marLeft w:val="0"/>
      <w:marRight w:val="0"/>
      <w:marTop w:val="0"/>
      <w:marBottom w:val="0"/>
      <w:divBdr>
        <w:top w:val="none" w:sz="0" w:space="0" w:color="auto"/>
        <w:left w:val="none" w:sz="0" w:space="0" w:color="auto"/>
        <w:bottom w:val="none" w:sz="0" w:space="0" w:color="auto"/>
        <w:right w:val="none" w:sz="0" w:space="0" w:color="auto"/>
      </w:divBdr>
    </w:div>
    <w:div w:id="203636236">
      <w:bodyDiv w:val="1"/>
      <w:marLeft w:val="0"/>
      <w:marRight w:val="0"/>
      <w:marTop w:val="0"/>
      <w:marBottom w:val="0"/>
      <w:divBdr>
        <w:top w:val="none" w:sz="0" w:space="0" w:color="auto"/>
        <w:left w:val="none" w:sz="0" w:space="0" w:color="auto"/>
        <w:bottom w:val="none" w:sz="0" w:space="0" w:color="auto"/>
        <w:right w:val="none" w:sz="0" w:space="0" w:color="auto"/>
      </w:divBdr>
    </w:div>
    <w:div w:id="203829495">
      <w:bodyDiv w:val="1"/>
      <w:marLeft w:val="0"/>
      <w:marRight w:val="0"/>
      <w:marTop w:val="0"/>
      <w:marBottom w:val="0"/>
      <w:divBdr>
        <w:top w:val="none" w:sz="0" w:space="0" w:color="auto"/>
        <w:left w:val="none" w:sz="0" w:space="0" w:color="auto"/>
        <w:bottom w:val="none" w:sz="0" w:space="0" w:color="auto"/>
        <w:right w:val="none" w:sz="0" w:space="0" w:color="auto"/>
      </w:divBdr>
    </w:div>
    <w:div w:id="203830597">
      <w:bodyDiv w:val="1"/>
      <w:marLeft w:val="0"/>
      <w:marRight w:val="0"/>
      <w:marTop w:val="0"/>
      <w:marBottom w:val="0"/>
      <w:divBdr>
        <w:top w:val="none" w:sz="0" w:space="0" w:color="auto"/>
        <w:left w:val="none" w:sz="0" w:space="0" w:color="auto"/>
        <w:bottom w:val="none" w:sz="0" w:space="0" w:color="auto"/>
        <w:right w:val="none" w:sz="0" w:space="0" w:color="auto"/>
      </w:divBdr>
    </w:div>
    <w:div w:id="203837080">
      <w:bodyDiv w:val="1"/>
      <w:marLeft w:val="0"/>
      <w:marRight w:val="0"/>
      <w:marTop w:val="0"/>
      <w:marBottom w:val="0"/>
      <w:divBdr>
        <w:top w:val="none" w:sz="0" w:space="0" w:color="auto"/>
        <w:left w:val="none" w:sz="0" w:space="0" w:color="auto"/>
        <w:bottom w:val="none" w:sz="0" w:space="0" w:color="auto"/>
        <w:right w:val="none" w:sz="0" w:space="0" w:color="auto"/>
      </w:divBdr>
    </w:div>
    <w:div w:id="203909123">
      <w:bodyDiv w:val="1"/>
      <w:marLeft w:val="0"/>
      <w:marRight w:val="0"/>
      <w:marTop w:val="0"/>
      <w:marBottom w:val="0"/>
      <w:divBdr>
        <w:top w:val="none" w:sz="0" w:space="0" w:color="auto"/>
        <w:left w:val="none" w:sz="0" w:space="0" w:color="auto"/>
        <w:bottom w:val="none" w:sz="0" w:space="0" w:color="auto"/>
        <w:right w:val="none" w:sz="0" w:space="0" w:color="auto"/>
      </w:divBdr>
    </w:div>
    <w:div w:id="203953909">
      <w:bodyDiv w:val="1"/>
      <w:marLeft w:val="0"/>
      <w:marRight w:val="0"/>
      <w:marTop w:val="0"/>
      <w:marBottom w:val="0"/>
      <w:divBdr>
        <w:top w:val="none" w:sz="0" w:space="0" w:color="auto"/>
        <w:left w:val="none" w:sz="0" w:space="0" w:color="auto"/>
        <w:bottom w:val="none" w:sz="0" w:space="0" w:color="auto"/>
        <w:right w:val="none" w:sz="0" w:space="0" w:color="auto"/>
      </w:divBdr>
    </w:div>
    <w:div w:id="204174029">
      <w:bodyDiv w:val="1"/>
      <w:marLeft w:val="0"/>
      <w:marRight w:val="0"/>
      <w:marTop w:val="0"/>
      <w:marBottom w:val="0"/>
      <w:divBdr>
        <w:top w:val="none" w:sz="0" w:space="0" w:color="auto"/>
        <w:left w:val="none" w:sz="0" w:space="0" w:color="auto"/>
        <w:bottom w:val="none" w:sz="0" w:space="0" w:color="auto"/>
        <w:right w:val="none" w:sz="0" w:space="0" w:color="auto"/>
      </w:divBdr>
    </w:div>
    <w:div w:id="204219222">
      <w:bodyDiv w:val="1"/>
      <w:marLeft w:val="0"/>
      <w:marRight w:val="0"/>
      <w:marTop w:val="0"/>
      <w:marBottom w:val="0"/>
      <w:divBdr>
        <w:top w:val="none" w:sz="0" w:space="0" w:color="auto"/>
        <w:left w:val="none" w:sz="0" w:space="0" w:color="auto"/>
        <w:bottom w:val="none" w:sz="0" w:space="0" w:color="auto"/>
        <w:right w:val="none" w:sz="0" w:space="0" w:color="auto"/>
      </w:divBdr>
    </w:div>
    <w:div w:id="204220526">
      <w:bodyDiv w:val="1"/>
      <w:marLeft w:val="0"/>
      <w:marRight w:val="0"/>
      <w:marTop w:val="0"/>
      <w:marBottom w:val="0"/>
      <w:divBdr>
        <w:top w:val="none" w:sz="0" w:space="0" w:color="auto"/>
        <w:left w:val="none" w:sz="0" w:space="0" w:color="auto"/>
        <w:bottom w:val="none" w:sz="0" w:space="0" w:color="auto"/>
        <w:right w:val="none" w:sz="0" w:space="0" w:color="auto"/>
      </w:divBdr>
    </w:div>
    <w:div w:id="204408971">
      <w:bodyDiv w:val="1"/>
      <w:marLeft w:val="0"/>
      <w:marRight w:val="0"/>
      <w:marTop w:val="0"/>
      <w:marBottom w:val="0"/>
      <w:divBdr>
        <w:top w:val="none" w:sz="0" w:space="0" w:color="auto"/>
        <w:left w:val="none" w:sz="0" w:space="0" w:color="auto"/>
        <w:bottom w:val="none" w:sz="0" w:space="0" w:color="auto"/>
        <w:right w:val="none" w:sz="0" w:space="0" w:color="auto"/>
      </w:divBdr>
    </w:div>
    <w:div w:id="204415014">
      <w:bodyDiv w:val="1"/>
      <w:marLeft w:val="0"/>
      <w:marRight w:val="0"/>
      <w:marTop w:val="0"/>
      <w:marBottom w:val="0"/>
      <w:divBdr>
        <w:top w:val="none" w:sz="0" w:space="0" w:color="auto"/>
        <w:left w:val="none" w:sz="0" w:space="0" w:color="auto"/>
        <w:bottom w:val="none" w:sz="0" w:space="0" w:color="auto"/>
        <w:right w:val="none" w:sz="0" w:space="0" w:color="auto"/>
      </w:divBdr>
    </w:div>
    <w:div w:id="204484986">
      <w:bodyDiv w:val="1"/>
      <w:marLeft w:val="0"/>
      <w:marRight w:val="0"/>
      <w:marTop w:val="0"/>
      <w:marBottom w:val="0"/>
      <w:divBdr>
        <w:top w:val="none" w:sz="0" w:space="0" w:color="auto"/>
        <w:left w:val="none" w:sz="0" w:space="0" w:color="auto"/>
        <w:bottom w:val="none" w:sz="0" w:space="0" w:color="auto"/>
        <w:right w:val="none" w:sz="0" w:space="0" w:color="auto"/>
      </w:divBdr>
    </w:div>
    <w:div w:id="204486940">
      <w:bodyDiv w:val="1"/>
      <w:marLeft w:val="0"/>
      <w:marRight w:val="0"/>
      <w:marTop w:val="0"/>
      <w:marBottom w:val="0"/>
      <w:divBdr>
        <w:top w:val="none" w:sz="0" w:space="0" w:color="auto"/>
        <w:left w:val="none" w:sz="0" w:space="0" w:color="auto"/>
        <w:bottom w:val="none" w:sz="0" w:space="0" w:color="auto"/>
        <w:right w:val="none" w:sz="0" w:space="0" w:color="auto"/>
      </w:divBdr>
    </w:div>
    <w:div w:id="204487427">
      <w:bodyDiv w:val="1"/>
      <w:marLeft w:val="0"/>
      <w:marRight w:val="0"/>
      <w:marTop w:val="0"/>
      <w:marBottom w:val="0"/>
      <w:divBdr>
        <w:top w:val="none" w:sz="0" w:space="0" w:color="auto"/>
        <w:left w:val="none" w:sz="0" w:space="0" w:color="auto"/>
        <w:bottom w:val="none" w:sz="0" w:space="0" w:color="auto"/>
        <w:right w:val="none" w:sz="0" w:space="0" w:color="auto"/>
      </w:divBdr>
    </w:div>
    <w:div w:id="204567229">
      <w:bodyDiv w:val="1"/>
      <w:marLeft w:val="0"/>
      <w:marRight w:val="0"/>
      <w:marTop w:val="0"/>
      <w:marBottom w:val="0"/>
      <w:divBdr>
        <w:top w:val="none" w:sz="0" w:space="0" w:color="auto"/>
        <w:left w:val="none" w:sz="0" w:space="0" w:color="auto"/>
        <w:bottom w:val="none" w:sz="0" w:space="0" w:color="auto"/>
        <w:right w:val="none" w:sz="0" w:space="0" w:color="auto"/>
      </w:divBdr>
    </w:div>
    <w:div w:id="204607650">
      <w:bodyDiv w:val="1"/>
      <w:marLeft w:val="0"/>
      <w:marRight w:val="0"/>
      <w:marTop w:val="0"/>
      <w:marBottom w:val="0"/>
      <w:divBdr>
        <w:top w:val="none" w:sz="0" w:space="0" w:color="auto"/>
        <w:left w:val="none" w:sz="0" w:space="0" w:color="auto"/>
        <w:bottom w:val="none" w:sz="0" w:space="0" w:color="auto"/>
        <w:right w:val="none" w:sz="0" w:space="0" w:color="auto"/>
      </w:divBdr>
    </w:div>
    <w:div w:id="204608290">
      <w:bodyDiv w:val="1"/>
      <w:marLeft w:val="0"/>
      <w:marRight w:val="0"/>
      <w:marTop w:val="0"/>
      <w:marBottom w:val="0"/>
      <w:divBdr>
        <w:top w:val="none" w:sz="0" w:space="0" w:color="auto"/>
        <w:left w:val="none" w:sz="0" w:space="0" w:color="auto"/>
        <w:bottom w:val="none" w:sz="0" w:space="0" w:color="auto"/>
        <w:right w:val="none" w:sz="0" w:space="0" w:color="auto"/>
      </w:divBdr>
    </w:div>
    <w:div w:id="204609392">
      <w:bodyDiv w:val="1"/>
      <w:marLeft w:val="0"/>
      <w:marRight w:val="0"/>
      <w:marTop w:val="0"/>
      <w:marBottom w:val="0"/>
      <w:divBdr>
        <w:top w:val="none" w:sz="0" w:space="0" w:color="auto"/>
        <w:left w:val="none" w:sz="0" w:space="0" w:color="auto"/>
        <w:bottom w:val="none" w:sz="0" w:space="0" w:color="auto"/>
        <w:right w:val="none" w:sz="0" w:space="0" w:color="auto"/>
      </w:divBdr>
    </w:div>
    <w:div w:id="204681908">
      <w:bodyDiv w:val="1"/>
      <w:marLeft w:val="0"/>
      <w:marRight w:val="0"/>
      <w:marTop w:val="0"/>
      <w:marBottom w:val="0"/>
      <w:divBdr>
        <w:top w:val="none" w:sz="0" w:space="0" w:color="auto"/>
        <w:left w:val="none" w:sz="0" w:space="0" w:color="auto"/>
        <w:bottom w:val="none" w:sz="0" w:space="0" w:color="auto"/>
        <w:right w:val="none" w:sz="0" w:space="0" w:color="auto"/>
      </w:divBdr>
    </w:div>
    <w:div w:id="204686373">
      <w:bodyDiv w:val="1"/>
      <w:marLeft w:val="0"/>
      <w:marRight w:val="0"/>
      <w:marTop w:val="0"/>
      <w:marBottom w:val="0"/>
      <w:divBdr>
        <w:top w:val="none" w:sz="0" w:space="0" w:color="auto"/>
        <w:left w:val="none" w:sz="0" w:space="0" w:color="auto"/>
        <w:bottom w:val="none" w:sz="0" w:space="0" w:color="auto"/>
        <w:right w:val="none" w:sz="0" w:space="0" w:color="auto"/>
      </w:divBdr>
    </w:div>
    <w:div w:id="204757138">
      <w:bodyDiv w:val="1"/>
      <w:marLeft w:val="0"/>
      <w:marRight w:val="0"/>
      <w:marTop w:val="0"/>
      <w:marBottom w:val="0"/>
      <w:divBdr>
        <w:top w:val="none" w:sz="0" w:space="0" w:color="auto"/>
        <w:left w:val="none" w:sz="0" w:space="0" w:color="auto"/>
        <w:bottom w:val="none" w:sz="0" w:space="0" w:color="auto"/>
        <w:right w:val="none" w:sz="0" w:space="0" w:color="auto"/>
      </w:divBdr>
    </w:div>
    <w:div w:id="204760203">
      <w:bodyDiv w:val="1"/>
      <w:marLeft w:val="0"/>
      <w:marRight w:val="0"/>
      <w:marTop w:val="0"/>
      <w:marBottom w:val="0"/>
      <w:divBdr>
        <w:top w:val="none" w:sz="0" w:space="0" w:color="auto"/>
        <w:left w:val="none" w:sz="0" w:space="0" w:color="auto"/>
        <w:bottom w:val="none" w:sz="0" w:space="0" w:color="auto"/>
        <w:right w:val="none" w:sz="0" w:space="0" w:color="auto"/>
      </w:divBdr>
    </w:div>
    <w:div w:id="204876253">
      <w:bodyDiv w:val="1"/>
      <w:marLeft w:val="0"/>
      <w:marRight w:val="0"/>
      <w:marTop w:val="0"/>
      <w:marBottom w:val="0"/>
      <w:divBdr>
        <w:top w:val="none" w:sz="0" w:space="0" w:color="auto"/>
        <w:left w:val="none" w:sz="0" w:space="0" w:color="auto"/>
        <w:bottom w:val="none" w:sz="0" w:space="0" w:color="auto"/>
        <w:right w:val="none" w:sz="0" w:space="0" w:color="auto"/>
      </w:divBdr>
    </w:div>
    <w:div w:id="205067534">
      <w:bodyDiv w:val="1"/>
      <w:marLeft w:val="0"/>
      <w:marRight w:val="0"/>
      <w:marTop w:val="0"/>
      <w:marBottom w:val="0"/>
      <w:divBdr>
        <w:top w:val="none" w:sz="0" w:space="0" w:color="auto"/>
        <w:left w:val="none" w:sz="0" w:space="0" w:color="auto"/>
        <w:bottom w:val="none" w:sz="0" w:space="0" w:color="auto"/>
        <w:right w:val="none" w:sz="0" w:space="0" w:color="auto"/>
      </w:divBdr>
    </w:div>
    <w:div w:id="205141710">
      <w:bodyDiv w:val="1"/>
      <w:marLeft w:val="0"/>
      <w:marRight w:val="0"/>
      <w:marTop w:val="0"/>
      <w:marBottom w:val="0"/>
      <w:divBdr>
        <w:top w:val="none" w:sz="0" w:space="0" w:color="auto"/>
        <w:left w:val="none" w:sz="0" w:space="0" w:color="auto"/>
        <w:bottom w:val="none" w:sz="0" w:space="0" w:color="auto"/>
        <w:right w:val="none" w:sz="0" w:space="0" w:color="auto"/>
      </w:divBdr>
    </w:div>
    <w:div w:id="205145011">
      <w:bodyDiv w:val="1"/>
      <w:marLeft w:val="0"/>
      <w:marRight w:val="0"/>
      <w:marTop w:val="0"/>
      <w:marBottom w:val="0"/>
      <w:divBdr>
        <w:top w:val="none" w:sz="0" w:space="0" w:color="auto"/>
        <w:left w:val="none" w:sz="0" w:space="0" w:color="auto"/>
        <w:bottom w:val="none" w:sz="0" w:space="0" w:color="auto"/>
        <w:right w:val="none" w:sz="0" w:space="0" w:color="auto"/>
      </w:divBdr>
    </w:div>
    <w:div w:id="205145701">
      <w:bodyDiv w:val="1"/>
      <w:marLeft w:val="0"/>
      <w:marRight w:val="0"/>
      <w:marTop w:val="0"/>
      <w:marBottom w:val="0"/>
      <w:divBdr>
        <w:top w:val="none" w:sz="0" w:space="0" w:color="auto"/>
        <w:left w:val="none" w:sz="0" w:space="0" w:color="auto"/>
        <w:bottom w:val="none" w:sz="0" w:space="0" w:color="auto"/>
        <w:right w:val="none" w:sz="0" w:space="0" w:color="auto"/>
      </w:divBdr>
    </w:div>
    <w:div w:id="205146860">
      <w:bodyDiv w:val="1"/>
      <w:marLeft w:val="0"/>
      <w:marRight w:val="0"/>
      <w:marTop w:val="0"/>
      <w:marBottom w:val="0"/>
      <w:divBdr>
        <w:top w:val="none" w:sz="0" w:space="0" w:color="auto"/>
        <w:left w:val="none" w:sz="0" w:space="0" w:color="auto"/>
        <w:bottom w:val="none" w:sz="0" w:space="0" w:color="auto"/>
        <w:right w:val="none" w:sz="0" w:space="0" w:color="auto"/>
      </w:divBdr>
    </w:div>
    <w:div w:id="205335381">
      <w:bodyDiv w:val="1"/>
      <w:marLeft w:val="0"/>
      <w:marRight w:val="0"/>
      <w:marTop w:val="0"/>
      <w:marBottom w:val="0"/>
      <w:divBdr>
        <w:top w:val="none" w:sz="0" w:space="0" w:color="auto"/>
        <w:left w:val="none" w:sz="0" w:space="0" w:color="auto"/>
        <w:bottom w:val="none" w:sz="0" w:space="0" w:color="auto"/>
        <w:right w:val="none" w:sz="0" w:space="0" w:color="auto"/>
      </w:divBdr>
    </w:div>
    <w:div w:id="205417316">
      <w:bodyDiv w:val="1"/>
      <w:marLeft w:val="0"/>
      <w:marRight w:val="0"/>
      <w:marTop w:val="0"/>
      <w:marBottom w:val="0"/>
      <w:divBdr>
        <w:top w:val="none" w:sz="0" w:space="0" w:color="auto"/>
        <w:left w:val="none" w:sz="0" w:space="0" w:color="auto"/>
        <w:bottom w:val="none" w:sz="0" w:space="0" w:color="auto"/>
        <w:right w:val="none" w:sz="0" w:space="0" w:color="auto"/>
      </w:divBdr>
    </w:div>
    <w:div w:id="205604395">
      <w:bodyDiv w:val="1"/>
      <w:marLeft w:val="0"/>
      <w:marRight w:val="0"/>
      <w:marTop w:val="0"/>
      <w:marBottom w:val="0"/>
      <w:divBdr>
        <w:top w:val="none" w:sz="0" w:space="0" w:color="auto"/>
        <w:left w:val="none" w:sz="0" w:space="0" w:color="auto"/>
        <w:bottom w:val="none" w:sz="0" w:space="0" w:color="auto"/>
        <w:right w:val="none" w:sz="0" w:space="0" w:color="auto"/>
      </w:divBdr>
    </w:div>
    <w:div w:id="205680484">
      <w:bodyDiv w:val="1"/>
      <w:marLeft w:val="0"/>
      <w:marRight w:val="0"/>
      <w:marTop w:val="0"/>
      <w:marBottom w:val="0"/>
      <w:divBdr>
        <w:top w:val="none" w:sz="0" w:space="0" w:color="auto"/>
        <w:left w:val="none" w:sz="0" w:space="0" w:color="auto"/>
        <w:bottom w:val="none" w:sz="0" w:space="0" w:color="auto"/>
        <w:right w:val="none" w:sz="0" w:space="0" w:color="auto"/>
      </w:divBdr>
    </w:div>
    <w:div w:id="205682394">
      <w:bodyDiv w:val="1"/>
      <w:marLeft w:val="0"/>
      <w:marRight w:val="0"/>
      <w:marTop w:val="0"/>
      <w:marBottom w:val="0"/>
      <w:divBdr>
        <w:top w:val="none" w:sz="0" w:space="0" w:color="auto"/>
        <w:left w:val="none" w:sz="0" w:space="0" w:color="auto"/>
        <w:bottom w:val="none" w:sz="0" w:space="0" w:color="auto"/>
        <w:right w:val="none" w:sz="0" w:space="0" w:color="auto"/>
      </w:divBdr>
    </w:div>
    <w:div w:id="205869956">
      <w:bodyDiv w:val="1"/>
      <w:marLeft w:val="0"/>
      <w:marRight w:val="0"/>
      <w:marTop w:val="0"/>
      <w:marBottom w:val="0"/>
      <w:divBdr>
        <w:top w:val="none" w:sz="0" w:space="0" w:color="auto"/>
        <w:left w:val="none" w:sz="0" w:space="0" w:color="auto"/>
        <w:bottom w:val="none" w:sz="0" w:space="0" w:color="auto"/>
        <w:right w:val="none" w:sz="0" w:space="0" w:color="auto"/>
      </w:divBdr>
    </w:div>
    <w:div w:id="205991844">
      <w:bodyDiv w:val="1"/>
      <w:marLeft w:val="0"/>
      <w:marRight w:val="0"/>
      <w:marTop w:val="0"/>
      <w:marBottom w:val="0"/>
      <w:divBdr>
        <w:top w:val="none" w:sz="0" w:space="0" w:color="auto"/>
        <w:left w:val="none" w:sz="0" w:space="0" w:color="auto"/>
        <w:bottom w:val="none" w:sz="0" w:space="0" w:color="auto"/>
        <w:right w:val="none" w:sz="0" w:space="0" w:color="auto"/>
      </w:divBdr>
    </w:div>
    <w:div w:id="205995353">
      <w:bodyDiv w:val="1"/>
      <w:marLeft w:val="0"/>
      <w:marRight w:val="0"/>
      <w:marTop w:val="0"/>
      <w:marBottom w:val="0"/>
      <w:divBdr>
        <w:top w:val="none" w:sz="0" w:space="0" w:color="auto"/>
        <w:left w:val="none" w:sz="0" w:space="0" w:color="auto"/>
        <w:bottom w:val="none" w:sz="0" w:space="0" w:color="auto"/>
        <w:right w:val="none" w:sz="0" w:space="0" w:color="auto"/>
      </w:divBdr>
    </w:div>
    <w:div w:id="206068007">
      <w:bodyDiv w:val="1"/>
      <w:marLeft w:val="0"/>
      <w:marRight w:val="0"/>
      <w:marTop w:val="0"/>
      <w:marBottom w:val="0"/>
      <w:divBdr>
        <w:top w:val="none" w:sz="0" w:space="0" w:color="auto"/>
        <w:left w:val="none" w:sz="0" w:space="0" w:color="auto"/>
        <w:bottom w:val="none" w:sz="0" w:space="0" w:color="auto"/>
        <w:right w:val="none" w:sz="0" w:space="0" w:color="auto"/>
      </w:divBdr>
    </w:div>
    <w:div w:id="206068952">
      <w:bodyDiv w:val="1"/>
      <w:marLeft w:val="0"/>
      <w:marRight w:val="0"/>
      <w:marTop w:val="0"/>
      <w:marBottom w:val="0"/>
      <w:divBdr>
        <w:top w:val="none" w:sz="0" w:space="0" w:color="auto"/>
        <w:left w:val="none" w:sz="0" w:space="0" w:color="auto"/>
        <w:bottom w:val="none" w:sz="0" w:space="0" w:color="auto"/>
        <w:right w:val="none" w:sz="0" w:space="0" w:color="auto"/>
      </w:divBdr>
    </w:div>
    <w:div w:id="206110766">
      <w:bodyDiv w:val="1"/>
      <w:marLeft w:val="0"/>
      <w:marRight w:val="0"/>
      <w:marTop w:val="0"/>
      <w:marBottom w:val="0"/>
      <w:divBdr>
        <w:top w:val="none" w:sz="0" w:space="0" w:color="auto"/>
        <w:left w:val="none" w:sz="0" w:space="0" w:color="auto"/>
        <w:bottom w:val="none" w:sz="0" w:space="0" w:color="auto"/>
        <w:right w:val="none" w:sz="0" w:space="0" w:color="auto"/>
      </w:divBdr>
    </w:div>
    <w:div w:id="206143431">
      <w:bodyDiv w:val="1"/>
      <w:marLeft w:val="0"/>
      <w:marRight w:val="0"/>
      <w:marTop w:val="0"/>
      <w:marBottom w:val="0"/>
      <w:divBdr>
        <w:top w:val="none" w:sz="0" w:space="0" w:color="auto"/>
        <w:left w:val="none" w:sz="0" w:space="0" w:color="auto"/>
        <w:bottom w:val="none" w:sz="0" w:space="0" w:color="auto"/>
        <w:right w:val="none" w:sz="0" w:space="0" w:color="auto"/>
      </w:divBdr>
    </w:div>
    <w:div w:id="206454671">
      <w:bodyDiv w:val="1"/>
      <w:marLeft w:val="0"/>
      <w:marRight w:val="0"/>
      <w:marTop w:val="0"/>
      <w:marBottom w:val="0"/>
      <w:divBdr>
        <w:top w:val="none" w:sz="0" w:space="0" w:color="auto"/>
        <w:left w:val="none" w:sz="0" w:space="0" w:color="auto"/>
        <w:bottom w:val="none" w:sz="0" w:space="0" w:color="auto"/>
        <w:right w:val="none" w:sz="0" w:space="0" w:color="auto"/>
      </w:divBdr>
    </w:div>
    <w:div w:id="206644206">
      <w:bodyDiv w:val="1"/>
      <w:marLeft w:val="0"/>
      <w:marRight w:val="0"/>
      <w:marTop w:val="0"/>
      <w:marBottom w:val="0"/>
      <w:divBdr>
        <w:top w:val="none" w:sz="0" w:space="0" w:color="auto"/>
        <w:left w:val="none" w:sz="0" w:space="0" w:color="auto"/>
        <w:bottom w:val="none" w:sz="0" w:space="0" w:color="auto"/>
        <w:right w:val="none" w:sz="0" w:space="0" w:color="auto"/>
      </w:divBdr>
    </w:div>
    <w:div w:id="206912769">
      <w:bodyDiv w:val="1"/>
      <w:marLeft w:val="0"/>
      <w:marRight w:val="0"/>
      <w:marTop w:val="0"/>
      <w:marBottom w:val="0"/>
      <w:divBdr>
        <w:top w:val="none" w:sz="0" w:space="0" w:color="auto"/>
        <w:left w:val="none" w:sz="0" w:space="0" w:color="auto"/>
        <w:bottom w:val="none" w:sz="0" w:space="0" w:color="auto"/>
        <w:right w:val="none" w:sz="0" w:space="0" w:color="auto"/>
      </w:divBdr>
    </w:div>
    <w:div w:id="206913824">
      <w:bodyDiv w:val="1"/>
      <w:marLeft w:val="0"/>
      <w:marRight w:val="0"/>
      <w:marTop w:val="0"/>
      <w:marBottom w:val="0"/>
      <w:divBdr>
        <w:top w:val="none" w:sz="0" w:space="0" w:color="auto"/>
        <w:left w:val="none" w:sz="0" w:space="0" w:color="auto"/>
        <w:bottom w:val="none" w:sz="0" w:space="0" w:color="auto"/>
        <w:right w:val="none" w:sz="0" w:space="0" w:color="auto"/>
      </w:divBdr>
    </w:div>
    <w:div w:id="206917320">
      <w:bodyDiv w:val="1"/>
      <w:marLeft w:val="0"/>
      <w:marRight w:val="0"/>
      <w:marTop w:val="0"/>
      <w:marBottom w:val="0"/>
      <w:divBdr>
        <w:top w:val="none" w:sz="0" w:space="0" w:color="auto"/>
        <w:left w:val="none" w:sz="0" w:space="0" w:color="auto"/>
        <w:bottom w:val="none" w:sz="0" w:space="0" w:color="auto"/>
        <w:right w:val="none" w:sz="0" w:space="0" w:color="auto"/>
      </w:divBdr>
    </w:div>
    <w:div w:id="206995119">
      <w:bodyDiv w:val="1"/>
      <w:marLeft w:val="0"/>
      <w:marRight w:val="0"/>
      <w:marTop w:val="0"/>
      <w:marBottom w:val="0"/>
      <w:divBdr>
        <w:top w:val="none" w:sz="0" w:space="0" w:color="auto"/>
        <w:left w:val="none" w:sz="0" w:space="0" w:color="auto"/>
        <w:bottom w:val="none" w:sz="0" w:space="0" w:color="auto"/>
        <w:right w:val="none" w:sz="0" w:space="0" w:color="auto"/>
      </w:divBdr>
    </w:div>
    <w:div w:id="207035422">
      <w:bodyDiv w:val="1"/>
      <w:marLeft w:val="0"/>
      <w:marRight w:val="0"/>
      <w:marTop w:val="0"/>
      <w:marBottom w:val="0"/>
      <w:divBdr>
        <w:top w:val="none" w:sz="0" w:space="0" w:color="auto"/>
        <w:left w:val="none" w:sz="0" w:space="0" w:color="auto"/>
        <w:bottom w:val="none" w:sz="0" w:space="0" w:color="auto"/>
        <w:right w:val="none" w:sz="0" w:space="0" w:color="auto"/>
      </w:divBdr>
    </w:div>
    <w:div w:id="207105560">
      <w:bodyDiv w:val="1"/>
      <w:marLeft w:val="0"/>
      <w:marRight w:val="0"/>
      <w:marTop w:val="0"/>
      <w:marBottom w:val="0"/>
      <w:divBdr>
        <w:top w:val="none" w:sz="0" w:space="0" w:color="auto"/>
        <w:left w:val="none" w:sz="0" w:space="0" w:color="auto"/>
        <w:bottom w:val="none" w:sz="0" w:space="0" w:color="auto"/>
        <w:right w:val="none" w:sz="0" w:space="0" w:color="auto"/>
      </w:divBdr>
    </w:div>
    <w:div w:id="207186041">
      <w:bodyDiv w:val="1"/>
      <w:marLeft w:val="0"/>
      <w:marRight w:val="0"/>
      <w:marTop w:val="0"/>
      <w:marBottom w:val="0"/>
      <w:divBdr>
        <w:top w:val="none" w:sz="0" w:space="0" w:color="auto"/>
        <w:left w:val="none" w:sz="0" w:space="0" w:color="auto"/>
        <w:bottom w:val="none" w:sz="0" w:space="0" w:color="auto"/>
        <w:right w:val="none" w:sz="0" w:space="0" w:color="auto"/>
      </w:divBdr>
    </w:div>
    <w:div w:id="207230716">
      <w:bodyDiv w:val="1"/>
      <w:marLeft w:val="0"/>
      <w:marRight w:val="0"/>
      <w:marTop w:val="0"/>
      <w:marBottom w:val="0"/>
      <w:divBdr>
        <w:top w:val="none" w:sz="0" w:space="0" w:color="auto"/>
        <w:left w:val="none" w:sz="0" w:space="0" w:color="auto"/>
        <w:bottom w:val="none" w:sz="0" w:space="0" w:color="auto"/>
        <w:right w:val="none" w:sz="0" w:space="0" w:color="auto"/>
      </w:divBdr>
    </w:div>
    <w:div w:id="207303070">
      <w:bodyDiv w:val="1"/>
      <w:marLeft w:val="0"/>
      <w:marRight w:val="0"/>
      <w:marTop w:val="0"/>
      <w:marBottom w:val="0"/>
      <w:divBdr>
        <w:top w:val="none" w:sz="0" w:space="0" w:color="auto"/>
        <w:left w:val="none" w:sz="0" w:space="0" w:color="auto"/>
        <w:bottom w:val="none" w:sz="0" w:space="0" w:color="auto"/>
        <w:right w:val="none" w:sz="0" w:space="0" w:color="auto"/>
      </w:divBdr>
    </w:div>
    <w:div w:id="207494731">
      <w:bodyDiv w:val="1"/>
      <w:marLeft w:val="0"/>
      <w:marRight w:val="0"/>
      <w:marTop w:val="0"/>
      <w:marBottom w:val="0"/>
      <w:divBdr>
        <w:top w:val="none" w:sz="0" w:space="0" w:color="auto"/>
        <w:left w:val="none" w:sz="0" w:space="0" w:color="auto"/>
        <w:bottom w:val="none" w:sz="0" w:space="0" w:color="auto"/>
        <w:right w:val="none" w:sz="0" w:space="0" w:color="auto"/>
      </w:divBdr>
    </w:div>
    <w:div w:id="207500580">
      <w:bodyDiv w:val="1"/>
      <w:marLeft w:val="0"/>
      <w:marRight w:val="0"/>
      <w:marTop w:val="0"/>
      <w:marBottom w:val="0"/>
      <w:divBdr>
        <w:top w:val="none" w:sz="0" w:space="0" w:color="auto"/>
        <w:left w:val="none" w:sz="0" w:space="0" w:color="auto"/>
        <w:bottom w:val="none" w:sz="0" w:space="0" w:color="auto"/>
        <w:right w:val="none" w:sz="0" w:space="0" w:color="auto"/>
      </w:divBdr>
    </w:div>
    <w:div w:id="207500896">
      <w:bodyDiv w:val="1"/>
      <w:marLeft w:val="0"/>
      <w:marRight w:val="0"/>
      <w:marTop w:val="0"/>
      <w:marBottom w:val="0"/>
      <w:divBdr>
        <w:top w:val="none" w:sz="0" w:space="0" w:color="auto"/>
        <w:left w:val="none" w:sz="0" w:space="0" w:color="auto"/>
        <w:bottom w:val="none" w:sz="0" w:space="0" w:color="auto"/>
        <w:right w:val="none" w:sz="0" w:space="0" w:color="auto"/>
      </w:divBdr>
    </w:div>
    <w:div w:id="207643257">
      <w:bodyDiv w:val="1"/>
      <w:marLeft w:val="0"/>
      <w:marRight w:val="0"/>
      <w:marTop w:val="0"/>
      <w:marBottom w:val="0"/>
      <w:divBdr>
        <w:top w:val="none" w:sz="0" w:space="0" w:color="auto"/>
        <w:left w:val="none" w:sz="0" w:space="0" w:color="auto"/>
        <w:bottom w:val="none" w:sz="0" w:space="0" w:color="auto"/>
        <w:right w:val="none" w:sz="0" w:space="0" w:color="auto"/>
      </w:divBdr>
    </w:div>
    <w:div w:id="207836387">
      <w:bodyDiv w:val="1"/>
      <w:marLeft w:val="0"/>
      <w:marRight w:val="0"/>
      <w:marTop w:val="0"/>
      <w:marBottom w:val="0"/>
      <w:divBdr>
        <w:top w:val="none" w:sz="0" w:space="0" w:color="auto"/>
        <w:left w:val="none" w:sz="0" w:space="0" w:color="auto"/>
        <w:bottom w:val="none" w:sz="0" w:space="0" w:color="auto"/>
        <w:right w:val="none" w:sz="0" w:space="0" w:color="auto"/>
      </w:divBdr>
    </w:div>
    <w:div w:id="207839010">
      <w:bodyDiv w:val="1"/>
      <w:marLeft w:val="0"/>
      <w:marRight w:val="0"/>
      <w:marTop w:val="0"/>
      <w:marBottom w:val="0"/>
      <w:divBdr>
        <w:top w:val="none" w:sz="0" w:space="0" w:color="auto"/>
        <w:left w:val="none" w:sz="0" w:space="0" w:color="auto"/>
        <w:bottom w:val="none" w:sz="0" w:space="0" w:color="auto"/>
        <w:right w:val="none" w:sz="0" w:space="0" w:color="auto"/>
      </w:divBdr>
    </w:div>
    <w:div w:id="207839926">
      <w:bodyDiv w:val="1"/>
      <w:marLeft w:val="0"/>
      <w:marRight w:val="0"/>
      <w:marTop w:val="0"/>
      <w:marBottom w:val="0"/>
      <w:divBdr>
        <w:top w:val="none" w:sz="0" w:space="0" w:color="auto"/>
        <w:left w:val="none" w:sz="0" w:space="0" w:color="auto"/>
        <w:bottom w:val="none" w:sz="0" w:space="0" w:color="auto"/>
        <w:right w:val="none" w:sz="0" w:space="0" w:color="auto"/>
      </w:divBdr>
    </w:div>
    <w:div w:id="207884700">
      <w:bodyDiv w:val="1"/>
      <w:marLeft w:val="0"/>
      <w:marRight w:val="0"/>
      <w:marTop w:val="0"/>
      <w:marBottom w:val="0"/>
      <w:divBdr>
        <w:top w:val="none" w:sz="0" w:space="0" w:color="auto"/>
        <w:left w:val="none" w:sz="0" w:space="0" w:color="auto"/>
        <w:bottom w:val="none" w:sz="0" w:space="0" w:color="auto"/>
        <w:right w:val="none" w:sz="0" w:space="0" w:color="auto"/>
      </w:divBdr>
    </w:div>
    <w:div w:id="207885433">
      <w:bodyDiv w:val="1"/>
      <w:marLeft w:val="0"/>
      <w:marRight w:val="0"/>
      <w:marTop w:val="0"/>
      <w:marBottom w:val="0"/>
      <w:divBdr>
        <w:top w:val="none" w:sz="0" w:space="0" w:color="auto"/>
        <w:left w:val="none" w:sz="0" w:space="0" w:color="auto"/>
        <w:bottom w:val="none" w:sz="0" w:space="0" w:color="auto"/>
        <w:right w:val="none" w:sz="0" w:space="0" w:color="auto"/>
      </w:divBdr>
    </w:div>
    <w:div w:id="207886817">
      <w:bodyDiv w:val="1"/>
      <w:marLeft w:val="0"/>
      <w:marRight w:val="0"/>
      <w:marTop w:val="0"/>
      <w:marBottom w:val="0"/>
      <w:divBdr>
        <w:top w:val="none" w:sz="0" w:space="0" w:color="auto"/>
        <w:left w:val="none" w:sz="0" w:space="0" w:color="auto"/>
        <w:bottom w:val="none" w:sz="0" w:space="0" w:color="auto"/>
        <w:right w:val="none" w:sz="0" w:space="0" w:color="auto"/>
      </w:divBdr>
    </w:div>
    <w:div w:id="207954932">
      <w:bodyDiv w:val="1"/>
      <w:marLeft w:val="0"/>
      <w:marRight w:val="0"/>
      <w:marTop w:val="0"/>
      <w:marBottom w:val="0"/>
      <w:divBdr>
        <w:top w:val="none" w:sz="0" w:space="0" w:color="auto"/>
        <w:left w:val="none" w:sz="0" w:space="0" w:color="auto"/>
        <w:bottom w:val="none" w:sz="0" w:space="0" w:color="auto"/>
        <w:right w:val="none" w:sz="0" w:space="0" w:color="auto"/>
      </w:divBdr>
    </w:div>
    <w:div w:id="208032121">
      <w:bodyDiv w:val="1"/>
      <w:marLeft w:val="0"/>
      <w:marRight w:val="0"/>
      <w:marTop w:val="0"/>
      <w:marBottom w:val="0"/>
      <w:divBdr>
        <w:top w:val="none" w:sz="0" w:space="0" w:color="auto"/>
        <w:left w:val="none" w:sz="0" w:space="0" w:color="auto"/>
        <w:bottom w:val="none" w:sz="0" w:space="0" w:color="auto"/>
        <w:right w:val="none" w:sz="0" w:space="0" w:color="auto"/>
      </w:divBdr>
    </w:div>
    <w:div w:id="208032693">
      <w:bodyDiv w:val="1"/>
      <w:marLeft w:val="0"/>
      <w:marRight w:val="0"/>
      <w:marTop w:val="0"/>
      <w:marBottom w:val="0"/>
      <w:divBdr>
        <w:top w:val="none" w:sz="0" w:space="0" w:color="auto"/>
        <w:left w:val="none" w:sz="0" w:space="0" w:color="auto"/>
        <w:bottom w:val="none" w:sz="0" w:space="0" w:color="auto"/>
        <w:right w:val="none" w:sz="0" w:space="0" w:color="auto"/>
      </w:divBdr>
    </w:div>
    <w:div w:id="208107874">
      <w:bodyDiv w:val="1"/>
      <w:marLeft w:val="0"/>
      <w:marRight w:val="0"/>
      <w:marTop w:val="0"/>
      <w:marBottom w:val="0"/>
      <w:divBdr>
        <w:top w:val="none" w:sz="0" w:space="0" w:color="auto"/>
        <w:left w:val="none" w:sz="0" w:space="0" w:color="auto"/>
        <w:bottom w:val="none" w:sz="0" w:space="0" w:color="auto"/>
        <w:right w:val="none" w:sz="0" w:space="0" w:color="auto"/>
      </w:divBdr>
    </w:div>
    <w:div w:id="208302347">
      <w:bodyDiv w:val="1"/>
      <w:marLeft w:val="0"/>
      <w:marRight w:val="0"/>
      <w:marTop w:val="0"/>
      <w:marBottom w:val="0"/>
      <w:divBdr>
        <w:top w:val="none" w:sz="0" w:space="0" w:color="auto"/>
        <w:left w:val="none" w:sz="0" w:space="0" w:color="auto"/>
        <w:bottom w:val="none" w:sz="0" w:space="0" w:color="auto"/>
        <w:right w:val="none" w:sz="0" w:space="0" w:color="auto"/>
      </w:divBdr>
    </w:div>
    <w:div w:id="208302511">
      <w:bodyDiv w:val="1"/>
      <w:marLeft w:val="0"/>
      <w:marRight w:val="0"/>
      <w:marTop w:val="0"/>
      <w:marBottom w:val="0"/>
      <w:divBdr>
        <w:top w:val="none" w:sz="0" w:space="0" w:color="auto"/>
        <w:left w:val="none" w:sz="0" w:space="0" w:color="auto"/>
        <w:bottom w:val="none" w:sz="0" w:space="0" w:color="auto"/>
        <w:right w:val="none" w:sz="0" w:space="0" w:color="auto"/>
      </w:divBdr>
    </w:div>
    <w:div w:id="208497425">
      <w:bodyDiv w:val="1"/>
      <w:marLeft w:val="0"/>
      <w:marRight w:val="0"/>
      <w:marTop w:val="0"/>
      <w:marBottom w:val="0"/>
      <w:divBdr>
        <w:top w:val="none" w:sz="0" w:space="0" w:color="auto"/>
        <w:left w:val="none" w:sz="0" w:space="0" w:color="auto"/>
        <w:bottom w:val="none" w:sz="0" w:space="0" w:color="auto"/>
        <w:right w:val="none" w:sz="0" w:space="0" w:color="auto"/>
      </w:divBdr>
    </w:div>
    <w:div w:id="208611428">
      <w:bodyDiv w:val="1"/>
      <w:marLeft w:val="0"/>
      <w:marRight w:val="0"/>
      <w:marTop w:val="0"/>
      <w:marBottom w:val="0"/>
      <w:divBdr>
        <w:top w:val="none" w:sz="0" w:space="0" w:color="auto"/>
        <w:left w:val="none" w:sz="0" w:space="0" w:color="auto"/>
        <w:bottom w:val="none" w:sz="0" w:space="0" w:color="auto"/>
        <w:right w:val="none" w:sz="0" w:space="0" w:color="auto"/>
      </w:divBdr>
    </w:div>
    <w:div w:id="208617589">
      <w:bodyDiv w:val="1"/>
      <w:marLeft w:val="0"/>
      <w:marRight w:val="0"/>
      <w:marTop w:val="0"/>
      <w:marBottom w:val="0"/>
      <w:divBdr>
        <w:top w:val="none" w:sz="0" w:space="0" w:color="auto"/>
        <w:left w:val="none" w:sz="0" w:space="0" w:color="auto"/>
        <w:bottom w:val="none" w:sz="0" w:space="0" w:color="auto"/>
        <w:right w:val="none" w:sz="0" w:space="0" w:color="auto"/>
      </w:divBdr>
    </w:div>
    <w:div w:id="208618311">
      <w:bodyDiv w:val="1"/>
      <w:marLeft w:val="0"/>
      <w:marRight w:val="0"/>
      <w:marTop w:val="0"/>
      <w:marBottom w:val="0"/>
      <w:divBdr>
        <w:top w:val="none" w:sz="0" w:space="0" w:color="auto"/>
        <w:left w:val="none" w:sz="0" w:space="0" w:color="auto"/>
        <w:bottom w:val="none" w:sz="0" w:space="0" w:color="auto"/>
        <w:right w:val="none" w:sz="0" w:space="0" w:color="auto"/>
      </w:divBdr>
    </w:div>
    <w:div w:id="208956662">
      <w:bodyDiv w:val="1"/>
      <w:marLeft w:val="0"/>
      <w:marRight w:val="0"/>
      <w:marTop w:val="0"/>
      <w:marBottom w:val="0"/>
      <w:divBdr>
        <w:top w:val="none" w:sz="0" w:space="0" w:color="auto"/>
        <w:left w:val="none" w:sz="0" w:space="0" w:color="auto"/>
        <w:bottom w:val="none" w:sz="0" w:space="0" w:color="auto"/>
        <w:right w:val="none" w:sz="0" w:space="0" w:color="auto"/>
      </w:divBdr>
    </w:div>
    <w:div w:id="209002330">
      <w:bodyDiv w:val="1"/>
      <w:marLeft w:val="0"/>
      <w:marRight w:val="0"/>
      <w:marTop w:val="0"/>
      <w:marBottom w:val="0"/>
      <w:divBdr>
        <w:top w:val="none" w:sz="0" w:space="0" w:color="auto"/>
        <w:left w:val="none" w:sz="0" w:space="0" w:color="auto"/>
        <w:bottom w:val="none" w:sz="0" w:space="0" w:color="auto"/>
        <w:right w:val="none" w:sz="0" w:space="0" w:color="auto"/>
      </w:divBdr>
    </w:div>
    <w:div w:id="209339617">
      <w:bodyDiv w:val="1"/>
      <w:marLeft w:val="0"/>
      <w:marRight w:val="0"/>
      <w:marTop w:val="0"/>
      <w:marBottom w:val="0"/>
      <w:divBdr>
        <w:top w:val="none" w:sz="0" w:space="0" w:color="auto"/>
        <w:left w:val="none" w:sz="0" w:space="0" w:color="auto"/>
        <w:bottom w:val="none" w:sz="0" w:space="0" w:color="auto"/>
        <w:right w:val="none" w:sz="0" w:space="0" w:color="auto"/>
      </w:divBdr>
    </w:div>
    <w:div w:id="209347497">
      <w:bodyDiv w:val="1"/>
      <w:marLeft w:val="0"/>
      <w:marRight w:val="0"/>
      <w:marTop w:val="0"/>
      <w:marBottom w:val="0"/>
      <w:divBdr>
        <w:top w:val="none" w:sz="0" w:space="0" w:color="auto"/>
        <w:left w:val="none" w:sz="0" w:space="0" w:color="auto"/>
        <w:bottom w:val="none" w:sz="0" w:space="0" w:color="auto"/>
        <w:right w:val="none" w:sz="0" w:space="0" w:color="auto"/>
      </w:divBdr>
    </w:div>
    <w:div w:id="209388946">
      <w:bodyDiv w:val="1"/>
      <w:marLeft w:val="0"/>
      <w:marRight w:val="0"/>
      <w:marTop w:val="0"/>
      <w:marBottom w:val="0"/>
      <w:divBdr>
        <w:top w:val="none" w:sz="0" w:space="0" w:color="auto"/>
        <w:left w:val="none" w:sz="0" w:space="0" w:color="auto"/>
        <w:bottom w:val="none" w:sz="0" w:space="0" w:color="auto"/>
        <w:right w:val="none" w:sz="0" w:space="0" w:color="auto"/>
      </w:divBdr>
    </w:div>
    <w:div w:id="209415225">
      <w:bodyDiv w:val="1"/>
      <w:marLeft w:val="0"/>
      <w:marRight w:val="0"/>
      <w:marTop w:val="0"/>
      <w:marBottom w:val="0"/>
      <w:divBdr>
        <w:top w:val="none" w:sz="0" w:space="0" w:color="auto"/>
        <w:left w:val="none" w:sz="0" w:space="0" w:color="auto"/>
        <w:bottom w:val="none" w:sz="0" w:space="0" w:color="auto"/>
        <w:right w:val="none" w:sz="0" w:space="0" w:color="auto"/>
      </w:divBdr>
    </w:div>
    <w:div w:id="209464939">
      <w:bodyDiv w:val="1"/>
      <w:marLeft w:val="0"/>
      <w:marRight w:val="0"/>
      <w:marTop w:val="0"/>
      <w:marBottom w:val="0"/>
      <w:divBdr>
        <w:top w:val="none" w:sz="0" w:space="0" w:color="auto"/>
        <w:left w:val="none" w:sz="0" w:space="0" w:color="auto"/>
        <w:bottom w:val="none" w:sz="0" w:space="0" w:color="auto"/>
        <w:right w:val="none" w:sz="0" w:space="0" w:color="auto"/>
      </w:divBdr>
    </w:div>
    <w:div w:id="209465146">
      <w:bodyDiv w:val="1"/>
      <w:marLeft w:val="0"/>
      <w:marRight w:val="0"/>
      <w:marTop w:val="0"/>
      <w:marBottom w:val="0"/>
      <w:divBdr>
        <w:top w:val="none" w:sz="0" w:space="0" w:color="auto"/>
        <w:left w:val="none" w:sz="0" w:space="0" w:color="auto"/>
        <w:bottom w:val="none" w:sz="0" w:space="0" w:color="auto"/>
        <w:right w:val="none" w:sz="0" w:space="0" w:color="auto"/>
      </w:divBdr>
    </w:div>
    <w:div w:id="209466087">
      <w:bodyDiv w:val="1"/>
      <w:marLeft w:val="0"/>
      <w:marRight w:val="0"/>
      <w:marTop w:val="0"/>
      <w:marBottom w:val="0"/>
      <w:divBdr>
        <w:top w:val="none" w:sz="0" w:space="0" w:color="auto"/>
        <w:left w:val="none" w:sz="0" w:space="0" w:color="auto"/>
        <w:bottom w:val="none" w:sz="0" w:space="0" w:color="auto"/>
        <w:right w:val="none" w:sz="0" w:space="0" w:color="auto"/>
      </w:divBdr>
    </w:div>
    <w:div w:id="209584658">
      <w:bodyDiv w:val="1"/>
      <w:marLeft w:val="0"/>
      <w:marRight w:val="0"/>
      <w:marTop w:val="0"/>
      <w:marBottom w:val="0"/>
      <w:divBdr>
        <w:top w:val="none" w:sz="0" w:space="0" w:color="auto"/>
        <w:left w:val="none" w:sz="0" w:space="0" w:color="auto"/>
        <w:bottom w:val="none" w:sz="0" w:space="0" w:color="auto"/>
        <w:right w:val="none" w:sz="0" w:space="0" w:color="auto"/>
      </w:divBdr>
    </w:div>
    <w:div w:id="209608598">
      <w:bodyDiv w:val="1"/>
      <w:marLeft w:val="0"/>
      <w:marRight w:val="0"/>
      <w:marTop w:val="0"/>
      <w:marBottom w:val="0"/>
      <w:divBdr>
        <w:top w:val="none" w:sz="0" w:space="0" w:color="auto"/>
        <w:left w:val="none" w:sz="0" w:space="0" w:color="auto"/>
        <w:bottom w:val="none" w:sz="0" w:space="0" w:color="auto"/>
        <w:right w:val="none" w:sz="0" w:space="0" w:color="auto"/>
      </w:divBdr>
    </w:div>
    <w:div w:id="209726257">
      <w:bodyDiv w:val="1"/>
      <w:marLeft w:val="0"/>
      <w:marRight w:val="0"/>
      <w:marTop w:val="0"/>
      <w:marBottom w:val="0"/>
      <w:divBdr>
        <w:top w:val="none" w:sz="0" w:space="0" w:color="auto"/>
        <w:left w:val="none" w:sz="0" w:space="0" w:color="auto"/>
        <w:bottom w:val="none" w:sz="0" w:space="0" w:color="auto"/>
        <w:right w:val="none" w:sz="0" w:space="0" w:color="auto"/>
      </w:divBdr>
    </w:div>
    <w:div w:id="209808507">
      <w:bodyDiv w:val="1"/>
      <w:marLeft w:val="0"/>
      <w:marRight w:val="0"/>
      <w:marTop w:val="0"/>
      <w:marBottom w:val="0"/>
      <w:divBdr>
        <w:top w:val="none" w:sz="0" w:space="0" w:color="auto"/>
        <w:left w:val="none" w:sz="0" w:space="0" w:color="auto"/>
        <w:bottom w:val="none" w:sz="0" w:space="0" w:color="auto"/>
        <w:right w:val="none" w:sz="0" w:space="0" w:color="auto"/>
      </w:divBdr>
    </w:div>
    <w:div w:id="209851832">
      <w:bodyDiv w:val="1"/>
      <w:marLeft w:val="0"/>
      <w:marRight w:val="0"/>
      <w:marTop w:val="0"/>
      <w:marBottom w:val="0"/>
      <w:divBdr>
        <w:top w:val="none" w:sz="0" w:space="0" w:color="auto"/>
        <w:left w:val="none" w:sz="0" w:space="0" w:color="auto"/>
        <w:bottom w:val="none" w:sz="0" w:space="0" w:color="auto"/>
        <w:right w:val="none" w:sz="0" w:space="0" w:color="auto"/>
      </w:divBdr>
    </w:div>
    <w:div w:id="209927222">
      <w:bodyDiv w:val="1"/>
      <w:marLeft w:val="0"/>
      <w:marRight w:val="0"/>
      <w:marTop w:val="0"/>
      <w:marBottom w:val="0"/>
      <w:divBdr>
        <w:top w:val="none" w:sz="0" w:space="0" w:color="auto"/>
        <w:left w:val="none" w:sz="0" w:space="0" w:color="auto"/>
        <w:bottom w:val="none" w:sz="0" w:space="0" w:color="auto"/>
        <w:right w:val="none" w:sz="0" w:space="0" w:color="auto"/>
      </w:divBdr>
    </w:div>
    <w:div w:id="210044261">
      <w:bodyDiv w:val="1"/>
      <w:marLeft w:val="0"/>
      <w:marRight w:val="0"/>
      <w:marTop w:val="0"/>
      <w:marBottom w:val="0"/>
      <w:divBdr>
        <w:top w:val="none" w:sz="0" w:space="0" w:color="auto"/>
        <w:left w:val="none" w:sz="0" w:space="0" w:color="auto"/>
        <w:bottom w:val="none" w:sz="0" w:space="0" w:color="auto"/>
        <w:right w:val="none" w:sz="0" w:space="0" w:color="auto"/>
      </w:divBdr>
    </w:div>
    <w:div w:id="210113614">
      <w:bodyDiv w:val="1"/>
      <w:marLeft w:val="0"/>
      <w:marRight w:val="0"/>
      <w:marTop w:val="0"/>
      <w:marBottom w:val="0"/>
      <w:divBdr>
        <w:top w:val="none" w:sz="0" w:space="0" w:color="auto"/>
        <w:left w:val="none" w:sz="0" w:space="0" w:color="auto"/>
        <w:bottom w:val="none" w:sz="0" w:space="0" w:color="auto"/>
        <w:right w:val="none" w:sz="0" w:space="0" w:color="auto"/>
      </w:divBdr>
    </w:div>
    <w:div w:id="210195573">
      <w:bodyDiv w:val="1"/>
      <w:marLeft w:val="0"/>
      <w:marRight w:val="0"/>
      <w:marTop w:val="0"/>
      <w:marBottom w:val="0"/>
      <w:divBdr>
        <w:top w:val="none" w:sz="0" w:space="0" w:color="auto"/>
        <w:left w:val="none" w:sz="0" w:space="0" w:color="auto"/>
        <w:bottom w:val="none" w:sz="0" w:space="0" w:color="auto"/>
        <w:right w:val="none" w:sz="0" w:space="0" w:color="auto"/>
      </w:divBdr>
    </w:div>
    <w:div w:id="210306671">
      <w:bodyDiv w:val="1"/>
      <w:marLeft w:val="0"/>
      <w:marRight w:val="0"/>
      <w:marTop w:val="0"/>
      <w:marBottom w:val="0"/>
      <w:divBdr>
        <w:top w:val="none" w:sz="0" w:space="0" w:color="auto"/>
        <w:left w:val="none" w:sz="0" w:space="0" w:color="auto"/>
        <w:bottom w:val="none" w:sz="0" w:space="0" w:color="auto"/>
        <w:right w:val="none" w:sz="0" w:space="0" w:color="auto"/>
      </w:divBdr>
    </w:div>
    <w:div w:id="210384935">
      <w:bodyDiv w:val="1"/>
      <w:marLeft w:val="0"/>
      <w:marRight w:val="0"/>
      <w:marTop w:val="0"/>
      <w:marBottom w:val="0"/>
      <w:divBdr>
        <w:top w:val="none" w:sz="0" w:space="0" w:color="auto"/>
        <w:left w:val="none" w:sz="0" w:space="0" w:color="auto"/>
        <w:bottom w:val="none" w:sz="0" w:space="0" w:color="auto"/>
        <w:right w:val="none" w:sz="0" w:space="0" w:color="auto"/>
      </w:divBdr>
    </w:div>
    <w:div w:id="210459938">
      <w:bodyDiv w:val="1"/>
      <w:marLeft w:val="0"/>
      <w:marRight w:val="0"/>
      <w:marTop w:val="0"/>
      <w:marBottom w:val="0"/>
      <w:divBdr>
        <w:top w:val="none" w:sz="0" w:space="0" w:color="auto"/>
        <w:left w:val="none" w:sz="0" w:space="0" w:color="auto"/>
        <w:bottom w:val="none" w:sz="0" w:space="0" w:color="auto"/>
        <w:right w:val="none" w:sz="0" w:space="0" w:color="auto"/>
      </w:divBdr>
    </w:div>
    <w:div w:id="210465050">
      <w:bodyDiv w:val="1"/>
      <w:marLeft w:val="0"/>
      <w:marRight w:val="0"/>
      <w:marTop w:val="0"/>
      <w:marBottom w:val="0"/>
      <w:divBdr>
        <w:top w:val="none" w:sz="0" w:space="0" w:color="auto"/>
        <w:left w:val="none" w:sz="0" w:space="0" w:color="auto"/>
        <w:bottom w:val="none" w:sz="0" w:space="0" w:color="auto"/>
        <w:right w:val="none" w:sz="0" w:space="0" w:color="auto"/>
      </w:divBdr>
    </w:div>
    <w:div w:id="210505814">
      <w:bodyDiv w:val="1"/>
      <w:marLeft w:val="0"/>
      <w:marRight w:val="0"/>
      <w:marTop w:val="0"/>
      <w:marBottom w:val="0"/>
      <w:divBdr>
        <w:top w:val="none" w:sz="0" w:space="0" w:color="auto"/>
        <w:left w:val="none" w:sz="0" w:space="0" w:color="auto"/>
        <w:bottom w:val="none" w:sz="0" w:space="0" w:color="auto"/>
        <w:right w:val="none" w:sz="0" w:space="0" w:color="auto"/>
      </w:divBdr>
    </w:div>
    <w:div w:id="210575991">
      <w:bodyDiv w:val="1"/>
      <w:marLeft w:val="0"/>
      <w:marRight w:val="0"/>
      <w:marTop w:val="0"/>
      <w:marBottom w:val="0"/>
      <w:divBdr>
        <w:top w:val="none" w:sz="0" w:space="0" w:color="auto"/>
        <w:left w:val="none" w:sz="0" w:space="0" w:color="auto"/>
        <w:bottom w:val="none" w:sz="0" w:space="0" w:color="auto"/>
        <w:right w:val="none" w:sz="0" w:space="0" w:color="auto"/>
      </w:divBdr>
    </w:div>
    <w:div w:id="210658278">
      <w:bodyDiv w:val="1"/>
      <w:marLeft w:val="0"/>
      <w:marRight w:val="0"/>
      <w:marTop w:val="0"/>
      <w:marBottom w:val="0"/>
      <w:divBdr>
        <w:top w:val="none" w:sz="0" w:space="0" w:color="auto"/>
        <w:left w:val="none" w:sz="0" w:space="0" w:color="auto"/>
        <w:bottom w:val="none" w:sz="0" w:space="0" w:color="auto"/>
        <w:right w:val="none" w:sz="0" w:space="0" w:color="auto"/>
      </w:divBdr>
    </w:div>
    <w:div w:id="210776302">
      <w:bodyDiv w:val="1"/>
      <w:marLeft w:val="0"/>
      <w:marRight w:val="0"/>
      <w:marTop w:val="0"/>
      <w:marBottom w:val="0"/>
      <w:divBdr>
        <w:top w:val="none" w:sz="0" w:space="0" w:color="auto"/>
        <w:left w:val="none" w:sz="0" w:space="0" w:color="auto"/>
        <w:bottom w:val="none" w:sz="0" w:space="0" w:color="auto"/>
        <w:right w:val="none" w:sz="0" w:space="0" w:color="auto"/>
      </w:divBdr>
    </w:div>
    <w:div w:id="210851957">
      <w:bodyDiv w:val="1"/>
      <w:marLeft w:val="0"/>
      <w:marRight w:val="0"/>
      <w:marTop w:val="0"/>
      <w:marBottom w:val="0"/>
      <w:divBdr>
        <w:top w:val="none" w:sz="0" w:space="0" w:color="auto"/>
        <w:left w:val="none" w:sz="0" w:space="0" w:color="auto"/>
        <w:bottom w:val="none" w:sz="0" w:space="0" w:color="auto"/>
        <w:right w:val="none" w:sz="0" w:space="0" w:color="auto"/>
      </w:divBdr>
    </w:div>
    <w:div w:id="211163034">
      <w:bodyDiv w:val="1"/>
      <w:marLeft w:val="0"/>
      <w:marRight w:val="0"/>
      <w:marTop w:val="0"/>
      <w:marBottom w:val="0"/>
      <w:divBdr>
        <w:top w:val="none" w:sz="0" w:space="0" w:color="auto"/>
        <w:left w:val="none" w:sz="0" w:space="0" w:color="auto"/>
        <w:bottom w:val="none" w:sz="0" w:space="0" w:color="auto"/>
        <w:right w:val="none" w:sz="0" w:space="0" w:color="auto"/>
      </w:divBdr>
    </w:div>
    <w:div w:id="211306760">
      <w:bodyDiv w:val="1"/>
      <w:marLeft w:val="0"/>
      <w:marRight w:val="0"/>
      <w:marTop w:val="0"/>
      <w:marBottom w:val="0"/>
      <w:divBdr>
        <w:top w:val="none" w:sz="0" w:space="0" w:color="auto"/>
        <w:left w:val="none" w:sz="0" w:space="0" w:color="auto"/>
        <w:bottom w:val="none" w:sz="0" w:space="0" w:color="auto"/>
        <w:right w:val="none" w:sz="0" w:space="0" w:color="auto"/>
      </w:divBdr>
    </w:div>
    <w:div w:id="211312403">
      <w:bodyDiv w:val="1"/>
      <w:marLeft w:val="0"/>
      <w:marRight w:val="0"/>
      <w:marTop w:val="0"/>
      <w:marBottom w:val="0"/>
      <w:divBdr>
        <w:top w:val="none" w:sz="0" w:space="0" w:color="auto"/>
        <w:left w:val="none" w:sz="0" w:space="0" w:color="auto"/>
        <w:bottom w:val="none" w:sz="0" w:space="0" w:color="auto"/>
        <w:right w:val="none" w:sz="0" w:space="0" w:color="auto"/>
      </w:divBdr>
    </w:div>
    <w:div w:id="211312781">
      <w:bodyDiv w:val="1"/>
      <w:marLeft w:val="0"/>
      <w:marRight w:val="0"/>
      <w:marTop w:val="0"/>
      <w:marBottom w:val="0"/>
      <w:divBdr>
        <w:top w:val="none" w:sz="0" w:space="0" w:color="auto"/>
        <w:left w:val="none" w:sz="0" w:space="0" w:color="auto"/>
        <w:bottom w:val="none" w:sz="0" w:space="0" w:color="auto"/>
        <w:right w:val="none" w:sz="0" w:space="0" w:color="auto"/>
      </w:divBdr>
    </w:div>
    <w:div w:id="211500722">
      <w:bodyDiv w:val="1"/>
      <w:marLeft w:val="0"/>
      <w:marRight w:val="0"/>
      <w:marTop w:val="0"/>
      <w:marBottom w:val="0"/>
      <w:divBdr>
        <w:top w:val="none" w:sz="0" w:space="0" w:color="auto"/>
        <w:left w:val="none" w:sz="0" w:space="0" w:color="auto"/>
        <w:bottom w:val="none" w:sz="0" w:space="0" w:color="auto"/>
        <w:right w:val="none" w:sz="0" w:space="0" w:color="auto"/>
      </w:divBdr>
    </w:div>
    <w:div w:id="211504766">
      <w:bodyDiv w:val="1"/>
      <w:marLeft w:val="0"/>
      <w:marRight w:val="0"/>
      <w:marTop w:val="0"/>
      <w:marBottom w:val="0"/>
      <w:divBdr>
        <w:top w:val="none" w:sz="0" w:space="0" w:color="auto"/>
        <w:left w:val="none" w:sz="0" w:space="0" w:color="auto"/>
        <w:bottom w:val="none" w:sz="0" w:space="0" w:color="auto"/>
        <w:right w:val="none" w:sz="0" w:space="0" w:color="auto"/>
      </w:divBdr>
    </w:div>
    <w:div w:id="211770422">
      <w:bodyDiv w:val="1"/>
      <w:marLeft w:val="0"/>
      <w:marRight w:val="0"/>
      <w:marTop w:val="0"/>
      <w:marBottom w:val="0"/>
      <w:divBdr>
        <w:top w:val="none" w:sz="0" w:space="0" w:color="auto"/>
        <w:left w:val="none" w:sz="0" w:space="0" w:color="auto"/>
        <w:bottom w:val="none" w:sz="0" w:space="0" w:color="auto"/>
        <w:right w:val="none" w:sz="0" w:space="0" w:color="auto"/>
      </w:divBdr>
    </w:div>
    <w:div w:id="211893216">
      <w:bodyDiv w:val="1"/>
      <w:marLeft w:val="0"/>
      <w:marRight w:val="0"/>
      <w:marTop w:val="0"/>
      <w:marBottom w:val="0"/>
      <w:divBdr>
        <w:top w:val="none" w:sz="0" w:space="0" w:color="auto"/>
        <w:left w:val="none" w:sz="0" w:space="0" w:color="auto"/>
        <w:bottom w:val="none" w:sz="0" w:space="0" w:color="auto"/>
        <w:right w:val="none" w:sz="0" w:space="0" w:color="auto"/>
      </w:divBdr>
    </w:div>
    <w:div w:id="211894384">
      <w:bodyDiv w:val="1"/>
      <w:marLeft w:val="0"/>
      <w:marRight w:val="0"/>
      <w:marTop w:val="0"/>
      <w:marBottom w:val="0"/>
      <w:divBdr>
        <w:top w:val="none" w:sz="0" w:space="0" w:color="auto"/>
        <w:left w:val="none" w:sz="0" w:space="0" w:color="auto"/>
        <w:bottom w:val="none" w:sz="0" w:space="0" w:color="auto"/>
        <w:right w:val="none" w:sz="0" w:space="0" w:color="auto"/>
      </w:divBdr>
    </w:div>
    <w:div w:id="211968000">
      <w:bodyDiv w:val="1"/>
      <w:marLeft w:val="0"/>
      <w:marRight w:val="0"/>
      <w:marTop w:val="0"/>
      <w:marBottom w:val="0"/>
      <w:divBdr>
        <w:top w:val="none" w:sz="0" w:space="0" w:color="auto"/>
        <w:left w:val="none" w:sz="0" w:space="0" w:color="auto"/>
        <w:bottom w:val="none" w:sz="0" w:space="0" w:color="auto"/>
        <w:right w:val="none" w:sz="0" w:space="0" w:color="auto"/>
      </w:divBdr>
    </w:div>
    <w:div w:id="212039645">
      <w:bodyDiv w:val="1"/>
      <w:marLeft w:val="0"/>
      <w:marRight w:val="0"/>
      <w:marTop w:val="0"/>
      <w:marBottom w:val="0"/>
      <w:divBdr>
        <w:top w:val="none" w:sz="0" w:space="0" w:color="auto"/>
        <w:left w:val="none" w:sz="0" w:space="0" w:color="auto"/>
        <w:bottom w:val="none" w:sz="0" w:space="0" w:color="auto"/>
        <w:right w:val="none" w:sz="0" w:space="0" w:color="auto"/>
      </w:divBdr>
    </w:div>
    <w:div w:id="212079413">
      <w:bodyDiv w:val="1"/>
      <w:marLeft w:val="0"/>
      <w:marRight w:val="0"/>
      <w:marTop w:val="0"/>
      <w:marBottom w:val="0"/>
      <w:divBdr>
        <w:top w:val="none" w:sz="0" w:space="0" w:color="auto"/>
        <w:left w:val="none" w:sz="0" w:space="0" w:color="auto"/>
        <w:bottom w:val="none" w:sz="0" w:space="0" w:color="auto"/>
        <w:right w:val="none" w:sz="0" w:space="0" w:color="auto"/>
      </w:divBdr>
    </w:div>
    <w:div w:id="212232277">
      <w:bodyDiv w:val="1"/>
      <w:marLeft w:val="0"/>
      <w:marRight w:val="0"/>
      <w:marTop w:val="0"/>
      <w:marBottom w:val="0"/>
      <w:divBdr>
        <w:top w:val="none" w:sz="0" w:space="0" w:color="auto"/>
        <w:left w:val="none" w:sz="0" w:space="0" w:color="auto"/>
        <w:bottom w:val="none" w:sz="0" w:space="0" w:color="auto"/>
        <w:right w:val="none" w:sz="0" w:space="0" w:color="auto"/>
      </w:divBdr>
    </w:div>
    <w:div w:id="212272315">
      <w:bodyDiv w:val="1"/>
      <w:marLeft w:val="0"/>
      <w:marRight w:val="0"/>
      <w:marTop w:val="0"/>
      <w:marBottom w:val="0"/>
      <w:divBdr>
        <w:top w:val="none" w:sz="0" w:space="0" w:color="auto"/>
        <w:left w:val="none" w:sz="0" w:space="0" w:color="auto"/>
        <w:bottom w:val="none" w:sz="0" w:space="0" w:color="auto"/>
        <w:right w:val="none" w:sz="0" w:space="0" w:color="auto"/>
      </w:divBdr>
    </w:div>
    <w:div w:id="212422431">
      <w:bodyDiv w:val="1"/>
      <w:marLeft w:val="0"/>
      <w:marRight w:val="0"/>
      <w:marTop w:val="0"/>
      <w:marBottom w:val="0"/>
      <w:divBdr>
        <w:top w:val="none" w:sz="0" w:space="0" w:color="auto"/>
        <w:left w:val="none" w:sz="0" w:space="0" w:color="auto"/>
        <w:bottom w:val="none" w:sz="0" w:space="0" w:color="auto"/>
        <w:right w:val="none" w:sz="0" w:space="0" w:color="auto"/>
      </w:divBdr>
    </w:div>
    <w:div w:id="212426655">
      <w:bodyDiv w:val="1"/>
      <w:marLeft w:val="0"/>
      <w:marRight w:val="0"/>
      <w:marTop w:val="0"/>
      <w:marBottom w:val="0"/>
      <w:divBdr>
        <w:top w:val="none" w:sz="0" w:space="0" w:color="auto"/>
        <w:left w:val="none" w:sz="0" w:space="0" w:color="auto"/>
        <w:bottom w:val="none" w:sz="0" w:space="0" w:color="auto"/>
        <w:right w:val="none" w:sz="0" w:space="0" w:color="auto"/>
      </w:divBdr>
    </w:div>
    <w:div w:id="212469517">
      <w:bodyDiv w:val="1"/>
      <w:marLeft w:val="0"/>
      <w:marRight w:val="0"/>
      <w:marTop w:val="0"/>
      <w:marBottom w:val="0"/>
      <w:divBdr>
        <w:top w:val="none" w:sz="0" w:space="0" w:color="auto"/>
        <w:left w:val="none" w:sz="0" w:space="0" w:color="auto"/>
        <w:bottom w:val="none" w:sz="0" w:space="0" w:color="auto"/>
        <w:right w:val="none" w:sz="0" w:space="0" w:color="auto"/>
      </w:divBdr>
    </w:div>
    <w:div w:id="212546361">
      <w:bodyDiv w:val="1"/>
      <w:marLeft w:val="0"/>
      <w:marRight w:val="0"/>
      <w:marTop w:val="0"/>
      <w:marBottom w:val="0"/>
      <w:divBdr>
        <w:top w:val="none" w:sz="0" w:space="0" w:color="auto"/>
        <w:left w:val="none" w:sz="0" w:space="0" w:color="auto"/>
        <w:bottom w:val="none" w:sz="0" w:space="0" w:color="auto"/>
        <w:right w:val="none" w:sz="0" w:space="0" w:color="auto"/>
      </w:divBdr>
    </w:div>
    <w:div w:id="212738301">
      <w:bodyDiv w:val="1"/>
      <w:marLeft w:val="0"/>
      <w:marRight w:val="0"/>
      <w:marTop w:val="0"/>
      <w:marBottom w:val="0"/>
      <w:divBdr>
        <w:top w:val="none" w:sz="0" w:space="0" w:color="auto"/>
        <w:left w:val="none" w:sz="0" w:space="0" w:color="auto"/>
        <w:bottom w:val="none" w:sz="0" w:space="0" w:color="auto"/>
        <w:right w:val="none" w:sz="0" w:space="0" w:color="auto"/>
      </w:divBdr>
    </w:div>
    <w:div w:id="212817837">
      <w:bodyDiv w:val="1"/>
      <w:marLeft w:val="0"/>
      <w:marRight w:val="0"/>
      <w:marTop w:val="0"/>
      <w:marBottom w:val="0"/>
      <w:divBdr>
        <w:top w:val="none" w:sz="0" w:space="0" w:color="auto"/>
        <w:left w:val="none" w:sz="0" w:space="0" w:color="auto"/>
        <w:bottom w:val="none" w:sz="0" w:space="0" w:color="auto"/>
        <w:right w:val="none" w:sz="0" w:space="0" w:color="auto"/>
      </w:divBdr>
    </w:div>
    <w:div w:id="212928592">
      <w:bodyDiv w:val="1"/>
      <w:marLeft w:val="0"/>
      <w:marRight w:val="0"/>
      <w:marTop w:val="0"/>
      <w:marBottom w:val="0"/>
      <w:divBdr>
        <w:top w:val="none" w:sz="0" w:space="0" w:color="auto"/>
        <w:left w:val="none" w:sz="0" w:space="0" w:color="auto"/>
        <w:bottom w:val="none" w:sz="0" w:space="0" w:color="auto"/>
        <w:right w:val="none" w:sz="0" w:space="0" w:color="auto"/>
      </w:divBdr>
    </w:div>
    <w:div w:id="212935432">
      <w:bodyDiv w:val="1"/>
      <w:marLeft w:val="0"/>
      <w:marRight w:val="0"/>
      <w:marTop w:val="0"/>
      <w:marBottom w:val="0"/>
      <w:divBdr>
        <w:top w:val="none" w:sz="0" w:space="0" w:color="auto"/>
        <w:left w:val="none" w:sz="0" w:space="0" w:color="auto"/>
        <w:bottom w:val="none" w:sz="0" w:space="0" w:color="auto"/>
        <w:right w:val="none" w:sz="0" w:space="0" w:color="auto"/>
      </w:divBdr>
    </w:div>
    <w:div w:id="213125286">
      <w:bodyDiv w:val="1"/>
      <w:marLeft w:val="0"/>
      <w:marRight w:val="0"/>
      <w:marTop w:val="0"/>
      <w:marBottom w:val="0"/>
      <w:divBdr>
        <w:top w:val="none" w:sz="0" w:space="0" w:color="auto"/>
        <w:left w:val="none" w:sz="0" w:space="0" w:color="auto"/>
        <w:bottom w:val="none" w:sz="0" w:space="0" w:color="auto"/>
        <w:right w:val="none" w:sz="0" w:space="0" w:color="auto"/>
      </w:divBdr>
    </w:div>
    <w:div w:id="213198989">
      <w:bodyDiv w:val="1"/>
      <w:marLeft w:val="0"/>
      <w:marRight w:val="0"/>
      <w:marTop w:val="0"/>
      <w:marBottom w:val="0"/>
      <w:divBdr>
        <w:top w:val="none" w:sz="0" w:space="0" w:color="auto"/>
        <w:left w:val="none" w:sz="0" w:space="0" w:color="auto"/>
        <w:bottom w:val="none" w:sz="0" w:space="0" w:color="auto"/>
        <w:right w:val="none" w:sz="0" w:space="0" w:color="auto"/>
      </w:divBdr>
    </w:div>
    <w:div w:id="213199839">
      <w:bodyDiv w:val="1"/>
      <w:marLeft w:val="0"/>
      <w:marRight w:val="0"/>
      <w:marTop w:val="0"/>
      <w:marBottom w:val="0"/>
      <w:divBdr>
        <w:top w:val="none" w:sz="0" w:space="0" w:color="auto"/>
        <w:left w:val="none" w:sz="0" w:space="0" w:color="auto"/>
        <w:bottom w:val="none" w:sz="0" w:space="0" w:color="auto"/>
        <w:right w:val="none" w:sz="0" w:space="0" w:color="auto"/>
      </w:divBdr>
    </w:div>
    <w:div w:id="213394466">
      <w:bodyDiv w:val="1"/>
      <w:marLeft w:val="0"/>
      <w:marRight w:val="0"/>
      <w:marTop w:val="0"/>
      <w:marBottom w:val="0"/>
      <w:divBdr>
        <w:top w:val="none" w:sz="0" w:space="0" w:color="auto"/>
        <w:left w:val="none" w:sz="0" w:space="0" w:color="auto"/>
        <w:bottom w:val="none" w:sz="0" w:space="0" w:color="auto"/>
        <w:right w:val="none" w:sz="0" w:space="0" w:color="auto"/>
      </w:divBdr>
    </w:div>
    <w:div w:id="213470206">
      <w:bodyDiv w:val="1"/>
      <w:marLeft w:val="0"/>
      <w:marRight w:val="0"/>
      <w:marTop w:val="0"/>
      <w:marBottom w:val="0"/>
      <w:divBdr>
        <w:top w:val="none" w:sz="0" w:space="0" w:color="auto"/>
        <w:left w:val="none" w:sz="0" w:space="0" w:color="auto"/>
        <w:bottom w:val="none" w:sz="0" w:space="0" w:color="auto"/>
        <w:right w:val="none" w:sz="0" w:space="0" w:color="auto"/>
      </w:divBdr>
    </w:div>
    <w:div w:id="213541302">
      <w:bodyDiv w:val="1"/>
      <w:marLeft w:val="0"/>
      <w:marRight w:val="0"/>
      <w:marTop w:val="0"/>
      <w:marBottom w:val="0"/>
      <w:divBdr>
        <w:top w:val="none" w:sz="0" w:space="0" w:color="auto"/>
        <w:left w:val="none" w:sz="0" w:space="0" w:color="auto"/>
        <w:bottom w:val="none" w:sz="0" w:space="0" w:color="auto"/>
        <w:right w:val="none" w:sz="0" w:space="0" w:color="auto"/>
      </w:divBdr>
    </w:div>
    <w:div w:id="213543255">
      <w:bodyDiv w:val="1"/>
      <w:marLeft w:val="0"/>
      <w:marRight w:val="0"/>
      <w:marTop w:val="0"/>
      <w:marBottom w:val="0"/>
      <w:divBdr>
        <w:top w:val="none" w:sz="0" w:space="0" w:color="auto"/>
        <w:left w:val="none" w:sz="0" w:space="0" w:color="auto"/>
        <w:bottom w:val="none" w:sz="0" w:space="0" w:color="auto"/>
        <w:right w:val="none" w:sz="0" w:space="0" w:color="auto"/>
      </w:divBdr>
    </w:div>
    <w:div w:id="213735236">
      <w:bodyDiv w:val="1"/>
      <w:marLeft w:val="0"/>
      <w:marRight w:val="0"/>
      <w:marTop w:val="0"/>
      <w:marBottom w:val="0"/>
      <w:divBdr>
        <w:top w:val="none" w:sz="0" w:space="0" w:color="auto"/>
        <w:left w:val="none" w:sz="0" w:space="0" w:color="auto"/>
        <w:bottom w:val="none" w:sz="0" w:space="0" w:color="auto"/>
        <w:right w:val="none" w:sz="0" w:space="0" w:color="auto"/>
      </w:divBdr>
    </w:div>
    <w:div w:id="213927050">
      <w:bodyDiv w:val="1"/>
      <w:marLeft w:val="0"/>
      <w:marRight w:val="0"/>
      <w:marTop w:val="0"/>
      <w:marBottom w:val="0"/>
      <w:divBdr>
        <w:top w:val="none" w:sz="0" w:space="0" w:color="auto"/>
        <w:left w:val="none" w:sz="0" w:space="0" w:color="auto"/>
        <w:bottom w:val="none" w:sz="0" w:space="0" w:color="auto"/>
        <w:right w:val="none" w:sz="0" w:space="0" w:color="auto"/>
      </w:divBdr>
    </w:div>
    <w:div w:id="214002592">
      <w:bodyDiv w:val="1"/>
      <w:marLeft w:val="0"/>
      <w:marRight w:val="0"/>
      <w:marTop w:val="0"/>
      <w:marBottom w:val="0"/>
      <w:divBdr>
        <w:top w:val="none" w:sz="0" w:space="0" w:color="auto"/>
        <w:left w:val="none" w:sz="0" w:space="0" w:color="auto"/>
        <w:bottom w:val="none" w:sz="0" w:space="0" w:color="auto"/>
        <w:right w:val="none" w:sz="0" w:space="0" w:color="auto"/>
      </w:divBdr>
    </w:div>
    <w:div w:id="214121896">
      <w:bodyDiv w:val="1"/>
      <w:marLeft w:val="0"/>
      <w:marRight w:val="0"/>
      <w:marTop w:val="0"/>
      <w:marBottom w:val="0"/>
      <w:divBdr>
        <w:top w:val="none" w:sz="0" w:space="0" w:color="auto"/>
        <w:left w:val="none" w:sz="0" w:space="0" w:color="auto"/>
        <w:bottom w:val="none" w:sz="0" w:space="0" w:color="auto"/>
        <w:right w:val="none" w:sz="0" w:space="0" w:color="auto"/>
      </w:divBdr>
    </w:div>
    <w:div w:id="214126926">
      <w:bodyDiv w:val="1"/>
      <w:marLeft w:val="0"/>
      <w:marRight w:val="0"/>
      <w:marTop w:val="0"/>
      <w:marBottom w:val="0"/>
      <w:divBdr>
        <w:top w:val="none" w:sz="0" w:space="0" w:color="auto"/>
        <w:left w:val="none" w:sz="0" w:space="0" w:color="auto"/>
        <w:bottom w:val="none" w:sz="0" w:space="0" w:color="auto"/>
        <w:right w:val="none" w:sz="0" w:space="0" w:color="auto"/>
      </w:divBdr>
    </w:div>
    <w:div w:id="214194855">
      <w:bodyDiv w:val="1"/>
      <w:marLeft w:val="0"/>
      <w:marRight w:val="0"/>
      <w:marTop w:val="0"/>
      <w:marBottom w:val="0"/>
      <w:divBdr>
        <w:top w:val="none" w:sz="0" w:space="0" w:color="auto"/>
        <w:left w:val="none" w:sz="0" w:space="0" w:color="auto"/>
        <w:bottom w:val="none" w:sz="0" w:space="0" w:color="auto"/>
        <w:right w:val="none" w:sz="0" w:space="0" w:color="auto"/>
      </w:divBdr>
    </w:div>
    <w:div w:id="214195527">
      <w:bodyDiv w:val="1"/>
      <w:marLeft w:val="0"/>
      <w:marRight w:val="0"/>
      <w:marTop w:val="0"/>
      <w:marBottom w:val="0"/>
      <w:divBdr>
        <w:top w:val="none" w:sz="0" w:space="0" w:color="auto"/>
        <w:left w:val="none" w:sz="0" w:space="0" w:color="auto"/>
        <w:bottom w:val="none" w:sz="0" w:space="0" w:color="auto"/>
        <w:right w:val="none" w:sz="0" w:space="0" w:color="auto"/>
      </w:divBdr>
    </w:div>
    <w:div w:id="214199157">
      <w:bodyDiv w:val="1"/>
      <w:marLeft w:val="0"/>
      <w:marRight w:val="0"/>
      <w:marTop w:val="0"/>
      <w:marBottom w:val="0"/>
      <w:divBdr>
        <w:top w:val="none" w:sz="0" w:space="0" w:color="auto"/>
        <w:left w:val="none" w:sz="0" w:space="0" w:color="auto"/>
        <w:bottom w:val="none" w:sz="0" w:space="0" w:color="auto"/>
        <w:right w:val="none" w:sz="0" w:space="0" w:color="auto"/>
      </w:divBdr>
    </w:div>
    <w:div w:id="214321905">
      <w:bodyDiv w:val="1"/>
      <w:marLeft w:val="0"/>
      <w:marRight w:val="0"/>
      <w:marTop w:val="0"/>
      <w:marBottom w:val="0"/>
      <w:divBdr>
        <w:top w:val="none" w:sz="0" w:space="0" w:color="auto"/>
        <w:left w:val="none" w:sz="0" w:space="0" w:color="auto"/>
        <w:bottom w:val="none" w:sz="0" w:space="0" w:color="auto"/>
        <w:right w:val="none" w:sz="0" w:space="0" w:color="auto"/>
      </w:divBdr>
    </w:div>
    <w:div w:id="214388611">
      <w:bodyDiv w:val="1"/>
      <w:marLeft w:val="0"/>
      <w:marRight w:val="0"/>
      <w:marTop w:val="0"/>
      <w:marBottom w:val="0"/>
      <w:divBdr>
        <w:top w:val="none" w:sz="0" w:space="0" w:color="auto"/>
        <w:left w:val="none" w:sz="0" w:space="0" w:color="auto"/>
        <w:bottom w:val="none" w:sz="0" w:space="0" w:color="auto"/>
        <w:right w:val="none" w:sz="0" w:space="0" w:color="auto"/>
      </w:divBdr>
    </w:div>
    <w:div w:id="214510694">
      <w:bodyDiv w:val="1"/>
      <w:marLeft w:val="0"/>
      <w:marRight w:val="0"/>
      <w:marTop w:val="0"/>
      <w:marBottom w:val="0"/>
      <w:divBdr>
        <w:top w:val="none" w:sz="0" w:space="0" w:color="auto"/>
        <w:left w:val="none" w:sz="0" w:space="0" w:color="auto"/>
        <w:bottom w:val="none" w:sz="0" w:space="0" w:color="auto"/>
        <w:right w:val="none" w:sz="0" w:space="0" w:color="auto"/>
      </w:divBdr>
    </w:div>
    <w:div w:id="214511464">
      <w:bodyDiv w:val="1"/>
      <w:marLeft w:val="0"/>
      <w:marRight w:val="0"/>
      <w:marTop w:val="0"/>
      <w:marBottom w:val="0"/>
      <w:divBdr>
        <w:top w:val="none" w:sz="0" w:space="0" w:color="auto"/>
        <w:left w:val="none" w:sz="0" w:space="0" w:color="auto"/>
        <w:bottom w:val="none" w:sz="0" w:space="0" w:color="auto"/>
        <w:right w:val="none" w:sz="0" w:space="0" w:color="auto"/>
      </w:divBdr>
    </w:div>
    <w:div w:id="214587769">
      <w:bodyDiv w:val="1"/>
      <w:marLeft w:val="0"/>
      <w:marRight w:val="0"/>
      <w:marTop w:val="0"/>
      <w:marBottom w:val="0"/>
      <w:divBdr>
        <w:top w:val="none" w:sz="0" w:space="0" w:color="auto"/>
        <w:left w:val="none" w:sz="0" w:space="0" w:color="auto"/>
        <w:bottom w:val="none" w:sz="0" w:space="0" w:color="auto"/>
        <w:right w:val="none" w:sz="0" w:space="0" w:color="auto"/>
      </w:divBdr>
    </w:div>
    <w:div w:id="214588161">
      <w:bodyDiv w:val="1"/>
      <w:marLeft w:val="0"/>
      <w:marRight w:val="0"/>
      <w:marTop w:val="0"/>
      <w:marBottom w:val="0"/>
      <w:divBdr>
        <w:top w:val="none" w:sz="0" w:space="0" w:color="auto"/>
        <w:left w:val="none" w:sz="0" w:space="0" w:color="auto"/>
        <w:bottom w:val="none" w:sz="0" w:space="0" w:color="auto"/>
        <w:right w:val="none" w:sz="0" w:space="0" w:color="auto"/>
      </w:divBdr>
    </w:div>
    <w:div w:id="214662053">
      <w:bodyDiv w:val="1"/>
      <w:marLeft w:val="0"/>
      <w:marRight w:val="0"/>
      <w:marTop w:val="0"/>
      <w:marBottom w:val="0"/>
      <w:divBdr>
        <w:top w:val="none" w:sz="0" w:space="0" w:color="auto"/>
        <w:left w:val="none" w:sz="0" w:space="0" w:color="auto"/>
        <w:bottom w:val="none" w:sz="0" w:space="0" w:color="auto"/>
        <w:right w:val="none" w:sz="0" w:space="0" w:color="auto"/>
      </w:divBdr>
    </w:div>
    <w:div w:id="214855564">
      <w:bodyDiv w:val="1"/>
      <w:marLeft w:val="0"/>
      <w:marRight w:val="0"/>
      <w:marTop w:val="0"/>
      <w:marBottom w:val="0"/>
      <w:divBdr>
        <w:top w:val="none" w:sz="0" w:space="0" w:color="auto"/>
        <w:left w:val="none" w:sz="0" w:space="0" w:color="auto"/>
        <w:bottom w:val="none" w:sz="0" w:space="0" w:color="auto"/>
        <w:right w:val="none" w:sz="0" w:space="0" w:color="auto"/>
      </w:divBdr>
    </w:div>
    <w:div w:id="214893922">
      <w:bodyDiv w:val="1"/>
      <w:marLeft w:val="0"/>
      <w:marRight w:val="0"/>
      <w:marTop w:val="0"/>
      <w:marBottom w:val="0"/>
      <w:divBdr>
        <w:top w:val="none" w:sz="0" w:space="0" w:color="auto"/>
        <w:left w:val="none" w:sz="0" w:space="0" w:color="auto"/>
        <w:bottom w:val="none" w:sz="0" w:space="0" w:color="auto"/>
        <w:right w:val="none" w:sz="0" w:space="0" w:color="auto"/>
      </w:divBdr>
    </w:div>
    <w:div w:id="214900206">
      <w:bodyDiv w:val="1"/>
      <w:marLeft w:val="0"/>
      <w:marRight w:val="0"/>
      <w:marTop w:val="0"/>
      <w:marBottom w:val="0"/>
      <w:divBdr>
        <w:top w:val="none" w:sz="0" w:space="0" w:color="auto"/>
        <w:left w:val="none" w:sz="0" w:space="0" w:color="auto"/>
        <w:bottom w:val="none" w:sz="0" w:space="0" w:color="auto"/>
        <w:right w:val="none" w:sz="0" w:space="0" w:color="auto"/>
      </w:divBdr>
    </w:div>
    <w:div w:id="215047526">
      <w:bodyDiv w:val="1"/>
      <w:marLeft w:val="0"/>
      <w:marRight w:val="0"/>
      <w:marTop w:val="0"/>
      <w:marBottom w:val="0"/>
      <w:divBdr>
        <w:top w:val="none" w:sz="0" w:space="0" w:color="auto"/>
        <w:left w:val="none" w:sz="0" w:space="0" w:color="auto"/>
        <w:bottom w:val="none" w:sz="0" w:space="0" w:color="auto"/>
        <w:right w:val="none" w:sz="0" w:space="0" w:color="auto"/>
      </w:divBdr>
    </w:div>
    <w:div w:id="215118846">
      <w:bodyDiv w:val="1"/>
      <w:marLeft w:val="0"/>
      <w:marRight w:val="0"/>
      <w:marTop w:val="0"/>
      <w:marBottom w:val="0"/>
      <w:divBdr>
        <w:top w:val="none" w:sz="0" w:space="0" w:color="auto"/>
        <w:left w:val="none" w:sz="0" w:space="0" w:color="auto"/>
        <w:bottom w:val="none" w:sz="0" w:space="0" w:color="auto"/>
        <w:right w:val="none" w:sz="0" w:space="0" w:color="auto"/>
      </w:divBdr>
    </w:div>
    <w:div w:id="215825352">
      <w:bodyDiv w:val="1"/>
      <w:marLeft w:val="0"/>
      <w:marRight w:val="0"/>
      <w:marTop w:val="0"/>
      <w:marBottom w:val="0"/>
      <w:divBdr>
        <w:top w:val="none" w:sz="0" w:space="0" w:color="auto"/>
        <w:left w:val="none" w:sz="0" w:space="0" w:color="auto"/>
        <w:bottom w:val="none" w:sz="0" w:space="0" w:color="auto"/>
        <w:right w:val="none" w:sz="0" w:space="0" w:color="auto"/>
      </w:divBdr>
    </w:div>
    <w:div w:id="215971825">
      <w:bodyDiv w:val="1"/>
      <w:marLeft w:val="0"/>
      <w:marRight w:val="0"/>
      <w:marTop w:val="0"/>
      <w:marBottom w:val="0"/>
      <w:divBdr>
        <w:top w:val="none" w:sz="0" w:space="0" w:color="auto"/>
        <w:left w:val="none" w:sz="0" w:space="0" w:color="auto"/>
        <w:bottom w:val="none" w:sz="0" w:space="0" w:color="auto"/>
        <w:right w:val="none" w:sz="0" w:space="0" w:color="auto"/>
      </w:divBdr>
    </w:div>
    <w:div w:id="216017942">
      <w:bodyDiv w:val="1"/>
      <w:marLeft w:val="0"/>
      <w:marRight w:val="0"/>
      <w:marTop w:val="0"/>
      <w:marBottom w:val="0"/>
      <w:divBdr>
        <w:top w:val="none" w:sz="0" w:space="0" w:color="auto"/>
        <w:left w:val="none" w:sz="0" w:space="0" w:color="auto"/>
        <w:bottom w:val="none" w:sz="0" w:space="0" w:color="auto"/>
        <w:right w:val="none" w:sz="0" w:space="0" w:color="auto"/>
      </w:divBdr>
    </w:div>
    <w:div w:id="216163611">
      <w:bodyDiv w:val="1"/>
      <w:marLeft w:val="0"/>
      <w:marRight w:val="0"/>
      <w:marTop w:val="0"/>
      <w:marBottom w:val="0"/>
      <w:divBdr>
        <w:top w:val="none" w:sz="0" w:space="0" w:color="auto"/>
        <w:left w:val="none" w:sz="0" w:space="0" w:color="auto"/>
        <w:bottom w:val="none" w:sz="0" w:space="0" w:color="auto"/>
        <w:right w:val="none" w:sz="0" w:space="0" w:color="auto"/>
      </w:divBdr>
    </w:div>
    <w:div w:id="216168023">
      <w:bodyDiv w:val="1"/>
      <w:marLeft w:val="0"/>
      <w:marRight w:val="0"/>
      <w:marTop w:val="0"/>
      <w:marBottom w:val="0"/>
      <w:divBdr>
        <w:top w:val="none" w:sz="0" w:space="0" w:color="auto"/>
        <w:left w:val="none" w:sz="0" w:space="0" w:color="auto"/>
        <w:bottom w:val="none" w:sz="0" w:space="0" w:color="auto"/>
        <w:right w:val="none" w:sz="0" w:space="0" w:color="auto"/>
      </w:divBdr>
    </w:div>
    <w:div w:id="216168690">
      <w:bodyDiv w:val="1"/>
      <w:marLeft w:val="0"/>
      <w:marRight w:val="0"/>
      <w:marTop w:val="0"/>
      <w:marBottom w:val="0"/>
      <w:divBdr>
        <w:top w:val="none" w:sz="0" w:space="0" w:color="auto"/>
        <w:left w:val="none" w:sz="0" w:space="0" w:color="auto"/>
        <w:bottom w:val="none" w:sz="0" w:space="0" w:color="auto"/>
        <w:right w:val="none" w:sz="0" w:space="0" w:color="auto"/>
      </w:divBdr>
    </w:div>
    <w:div w:id="216358129">
      <w:bodyDiv w:val="1"/>
      <w:marLeft w:val="0"/>
      <w:marRight w:val="0"/>
      <w:marTop w:val="0"/>
      <w:marBottom w:val="0"/>
      <w:divBdr>
        <w:top w:val="none" w:sz="0" w:space="0" w:color="auto"/>
        <w:left w:val="none" w:sz="0" w:space="0" w:color="auto"/>
        <w:bottom w:val="none" w:sz="0" w:space="0" w:color="auto"/>
        <w:right w:val="none" w:sz="0" w:space="0" w:color="auto"/>
      </w:divBdr>
    </w:div>
    <w:div w:id="216478035">
      <w:bodyDiv w:val="1"/>
      <w:marLeft w:val="0"/>
      <w:marRight w:val="0"/>
      <w:marTop w:val="0"/>
      <w:marBottom w:val="0"/>
      <w:divBdr>
        <w:top w:val="none" w:sz="0" w:space="0" w:color="auto"/>
        <w:left w:val="none" w:sz="0" w:space="0" w:color="auto"/>
        <w:bottom w:val="none" w:sz="0" w:space="0" w:color="auto"/>
        <w:right w:val="none" w:sz="0" w:space="0" w:color="auto"/>
      </w:divBdr>
    </w:div>
    <w:div w:id="216555096">
      <w:bodyDiv w:val="1"/>
      <w:marLeft w:val="0"/>
      <w:marRight w:val="0"/>
      <w:marTop w:val="0"/>
      <w:marBottom w:val="0"/>
      <w:divBdr>
        <w:top w:val="none" w:sz="0" w:space="0" w:color="auto"/>
        <w:left w:val="none" w:sz="0" w:space="0" w:color="auto"/>
        <w:bottom w:val="none" w:sz="0" w:space="0" w:color="auto"/>
        <w:right w:val="none" w:sz="0" w:space="0" w:color="auto"/>
      </w:divBdr>
    </w:div>
    <w:div w:id="217012622">
      <w:bodyDiv w:val="1"/>
      <w:marLeft w:val="0"/>
      <w:marRight w:val="0"/>
      <w:marTop w:val="0"/>
      <w:marBottom w:val="0"/>
      <w:divBdr>
        <w:top w:val="none" w:sz="0" w:space="0" w:color="auto"/>
        <w:left w:val="none" w:sz="0" w:space="0" w:color="auto"/>
        <w:bottom w:val="none" w:sz="0" w:space="0" w:color="auto"/>
        <w:right w:val="none" w:sz="0" w:space="0" w:color="auto"/>
      </w:divBdr>
    </w:div>
    <w:div w:id="217129272">
      <w:bodyDiv w:val="1"/>
      <w:marLeft w:val="0"/>
      <w:marRight w:val="0"/>
      <w:marTop w:val="0"/>
      <w:marBottom w:val="0"/>
      <w:divBdr>
        <w:top w:val="none" w:sz="0" w:space="0" w:color="auto"/>
        <w:left w:val="none" w:sz="0" w:space="0" w:color="auto"/>
        <w:bottom w:val="none" w:sz="0" w:space="0" w:color="auto"/>
        <w:right w:val="none" w:sz="0" w:space="0" w:color="auto"/>
      </w:divBdr>
    </w:div>
    <w:div w:id="217131392">
      <w:bodyDiv w:val="1"/>
      <w:marLeft w:val="0"/>
      <w:marRight w:val="0"/>
      <w:marTop w:val="0"/>
      <w:marBottom w:val="0"/>
      <w:divBdr>
        <w:top w:val="none" w:sz="0" w:space="0" w:color="auto"/>
        <w:left w:val="none" w:sz="0" w:space="0" w:color="auto"/>
        <w:bottom w:val="none" w:sz="0" w:space="0" w:color="auto"/>
        <w:right w:val="none" w:sz="0" w:space="0" w:color="auto"/>
      </w:divBdr>
    </w:div>
    <w:div w:id="217131876">
      <w:bodyDiv w:val="1"/>
      <w:marLeft w:val="0"/>
      <w:marRight w:val="0"/>
      <w:marTop w:val="0"/>
      <w:marBottom w:val="0"/>
      <w:divBdr>
        <w:top w:val="none" w:sz="0" w:space="0" w:color="auto"/>
        <w:left w:val="none" w:sz="0" w:space="0" w:color="auto"/>
        <w:bottom w:val="none" w:sz="0" w:space="0" w:color="auto"/>
        <w:right w:val="none" w:sz="0" w:space="0" w:color="auto"/>
      </w:divBdr>
    </w:div>
    <w:div w:id="217210888">
      <w:bodyDiv w:val="1"/>
      <w:marLeft w:val="0"/>
      <w:marRight w:val="0"/>
      <w:marTop w:val="0"/>
      <w:marBottom w:val="0"/>
      <w:divBdr>
        <w:top w:val="none" w:sz="0" w:space="0" w:color="auto"/>
        <w:left w:val="none" w:sz="0" w:space="0" w:color="auto"/>
        <w:bottom w:val="none" w:sz="0" w:space="0" w:color="auto"/>
        <w:right w:val="none" w:sz="0" w:space="0" w:color="auto"/>
      </w:divBdr>
    </w:div>
    <w:div w:id="217278854">
      <w:bodyDiv w:val="1"/>
      <w:marLeft w:val="0"/>
      <w:marRight w:val="0"/>
      <w:marTop w:val="0"/>
      <w:marBottom w:val="0"/>
      <w:divBdr>
        <w:top w:val="none" w:sz="0" w:space="0" w:color="auto"/>
        <w:left w:val="none" w:sz="0" w:space="0" w:color="auto"/>
        <w:bottom w:val="none" w:sz="0" w:space="0" w:color="auto"/>
        <w:right w:val="none" w:sz="0" w:space="0" w:color="auto"/>
      </w:divBdr>
    </w:div>
    <w:div w:id="217399443">
      <w:bodyDiv w:val="1"/>
      <w:marLeft w:val="0"/>
      <w:marRight w:val="0"/>
      <w:marTop w:val="0"/>
      <w:marBottom w:val="0"/>
      <w:divBdr>
        <w:top w:val="none" w:sz="0" w:space="0" w:color="auto"/>
        <w:left w:val="none" w:sz="0" w:space="0" w:color="auto"/>
        <w:bottom w:val="none" w:sz="0" w:space="0" w:color="auto"/>
        <w:right w:val="none" w:sz="0" w:space="0" w:color="auto"/>
      </w:divBdr>
    </w:div>
    <w:div w:id="217477584">
      <w:bodyDiv w:val="1"/>
      <w:marLeft w:val="0"/>
      <w:marRight w:val="0"/>
      <w:marTop w:val="0"/>
      <w:marBottom w:val="0"/>
      <w:divBdr>
        <w:top w:val="none" w:sz="0" w:space="0" w:color="auto"/>
        <w:left w:val="none" w:sz="0" w:space="0" w:color="auto"/>
        <w:bottom w:val="none" w:sz="0" w:space="0" w:color="auto"/>
        <w:right w:val="none" w:sz="0" w:space="0" w:color="auto"/>
      </w:divBdr>
    </w:div>
    <w:div w:id="217479519">
      <w:bodyDiv w:val="1"/>
      <w:marLeft w:val="0"/>
      <w:marRight w:val="0"/>
      <w:marTop w:val="0"/>
      <w:marBottom w:val="0"/>
      <w:divBdr>
        <w:top w:val="none" w:sz="0" w:space="0" w:color="auto"/>
        <w:left w:val="none" w:sz="0" w:space="0" w:color="auto"/>
        <w:bottom w:val="none" w:sz="0" w:space="0" w:color="auto"/>
        <w:right w:val="none" w:sz="0" w:space="0" w:color="auto"/>
      </w:divBdr>
    </w:div>
    <w:div w:id="217665487">
      <w:bodyDiv w:val="1"/>
      <w:marLeft w:val="0"/>
      <w:marRight w:val="0"/>
      <w:marTop w:val="0"/>
      <w:marBottom w:val="0"/>
      <w:divBdr>
        <w:top w:val="none" w:sz="0" w:space="0" w:color="auto"/>
        <w:left w:val="none" w:sz="0" w:space="0" w:color="auto"/>
        <w:bottom w:val="none" w:sz="0" w:space="0" w:color="auto"/>
        <w:right w:val="none" w:sz="0" w:space="0" w:color="auto"/>
      </w:divBdr>
    </w:div>
    <w:div w:id="217665738">
      <w:bodyDiv w:val="1"/>
      <w:marLeft w:val="0"/>
      <w:marRight w:val="0"/>
      <w:marTop w:val="0"/>
      <w:marBottom w:val="0"/>
      <w:divBdr>
        <w:top w:val="none" w:sz="0" w:space="0" w:color="auto"/>
        <w:left w:val="none" w:sz="0" w:space="0" w:color="auto"/>
        <w:bottom w:val="none" w:sz="0" w:space="0" w:color="auto"/>
        <w:right w:val="none" w:sz="0" w:space="0" w:color="auto"/>
      </w:divBdr>
    </w:div>
    <w:div w:id="217669944">
      <w:bodyDiv w:val="1"/>
      <w:marLeft w:val="0"/>
      <w:marRight w:val="0"/>
      <w:marTop w:val="0"/>
      <w:marBottom w:val="0"/>
      <w:divBdr>
        <w:top w:val="none" w:sz="0" w:space="0" w:color="auto"/>
        <w:left w:val="none" w:sz="0" w:space="0" w:color="auto"/>
        <w:bottom w:val="none" w:sz="0" w:space="0" w:color="auto"/>
        <w:right w:val="none" w:sz="0" w:space="0" w:color="auto"/>
      </w:divBdr>
    </w:div>
    <w:div w:id="217786921">
      <w:bodyDiv w:val="1"/>
      <w:marLeft w:val="0"/>
      <w:marRight w:val="0"/>
      <w:marTop w:val="0"/>
      <w:marBottom w:val="0"/>
      <w:divBdr>
        <w:top w:val="none" w:sz="0" w:space="0" w:color="auto"/>
        <w:left w:val="none" w:sz="0" w:space="0" w:color="auto"/>
        <w:bottom w:val="none" w:sz="0" w:space="0" w:color="auto"/>
        <w:right w:val="none" w:sz="0" w:space="0" w:color="auto"/>
      </w:divBdr>
    </w:div>
    <w:div w:id="217907832">
      <w:bodyDiv w:val="1"/>
      <w:marLeft w:val="0"/>
      <w:marRight w:val="0"/>
      <w:marTop w:val="0"/>
      <w:marBottom w:val="0"/>
      <w:divBdr>
        <w:top w:val="none" w:sz="0" w:space="0" w:color="auto"/>
        <w:left w:val="none" w:sz="0" w:space="0" w:color="auto"/>
        <w:bottom w:val="none" w:sz="0" w:space="0" w:color="auto"/>
        <w:right w:val="none" w:sz="0" w:space="0" w:color="auto"/>
      </w:divBdr>
    </w:div>
    <w:div w:id="217934182">
      <w:bodyDiv w:val="1"/>
      <w:marLeft w:val="0"/>
      <w:marRight w:val="0"/>
      <w:marTop w:val="0"/>
      <w:marBottom w:val="0"/>
      <w:divBdr>
        <w:top w:val="none" w:sz="0" w:space="0" w:color="auto"/>
        <w:left w:val="none" w:sz="0" w:space="0" w:color="auto"/>
        <w:bottom w:val="none" w:sz="0" w:space="0" w:color="auto"/>
        <w:right w:val="none" w:sz="0" w:space="0" w:color="auto"/>
      </w:divBdr>
    </w:div>
    <w:div w:id="218058067">
      <w:bodyDiv w:val="1"/>
      <w:marLeft w:val="0"/>
      <w:marRight w:val="0"/>
      <w:marTop w:val="0"/>
      <w:marBottom w:val="0"/>
      <w:divBdr>
        <w:top w:val="none" w:sz="0" w:space="0" w:color="auto"/>
        <w:left w:val="none" w:sz="0" w:space="0" w:color="auto"/>
        <w:bottom w:val="none" w:sz="0" w:space="0" w:color="auto"/>
        <w:right w:val="none" w:sz="0" w:space="0" w:color="auto"/>
      </w:divBdr>
    </w:div>
    <w:div w:id="218128685">
      <w:bodyDiv w:val="1"/>
      <w:marLeft w:val="0"/>
      <w:marRight w:val="0"/>
      <w:marTop w:val="0"/>
      <w:marBottom w:val="0"/>
      <w:divBdr>
        <w:top w:val="none" w:sz="0" w:space="0" w:color="auto"/>
        <w:left w:val="none" w:sz="0" w:space="0" w:color="auto"/>
        <w:bottom w:val="none" w:sz="0" w:space="0" w:color="auto"/>
        <w:right w:val="none" w:sz="0" w:space="0" w:color="auto"/>
      </w:divBdr>
    </w:div>
    <w:div w:id="218177537">
      <w:bodyDiv w:val="1"/>
      <w:marLeft w:val="0"/>
      <w:marRight w:val="0"/>
      <w:marTop w:val="0"/>
      <w:marBottom w:val="0"/>
      <w:divBdr>
        <w:top w:val="none" w:sz="0" w:space="0" w:color="auto"/>
        <w:left w:val="none" w:sz="0" w:space="0" w:color="auto"/>
        <w:bottom w:val="none" w:sz="0" w:space="0" w:color="auto"/>
        <w:right w:val="none" w:sz="0" w:space="0" w:color="auto"/>
      </w:divBdr>
    </w:div>
    <w:div w:id="218252753">
      <w:bodyDiv w:val="1"/>
      <w:marLeft w:val="0"/>
      <w:marRight w:val="0"/>
      <w:marTop w:val="0"/>
      <w:marBottom w:val="0"/>
      <w:divBdr>
        <w:top w:val="none" w:sz="0" w:space="0" w:color="auto"/>
        <w:left w:val="none" w:sz="0" w:space="0" w:color="auto"/>
        <w:bottom w:val="none" w:sz="0" w:space="0" w:color="auto"/>
        <w:right w:val="none" w:sz="0" w:space="0" w:color="auto"/>
      </w:divBdr>
    </w:div>
    <w:div w:id="218253818">
      <w:bodyDiv w:val="1"/>
      <w:marLeft w:val="0"/>
      <w:marRight w:val="0"/>
      <w:marTop w:val="0"/>
      <w:marBottom w:val="0"/>
      <w:divBdr>
        <w:top w:val="none" w:sz="0" w:space="0" w:color="auto"/>
        <w:left w:val="none" w:sz="0" w:space="0" w:color="auto"/>
        <w:bottom w:val="none" w:sz="0" w:space="0" w:color="auto"/>
        <w:right w:val="none" w:sz="0" w:space="0" w:color="auto"/>
      </w:divBdr>
    </w:div>
    <w:div w:id="218328053">
      <w:bodyDiv w:val="1"/>
      <w:marLeft w:val="0"/>
      <w:marRight w:val="0"/>
      <w:marTop w:val="0"/>
      <w:marBottom w:val="0"/>
      <w:divBdr>
        <w:top w:val="none" w:sz="0" w:space="0" w:color="auto"/>
        <w:left w:val="none" w:sz="0" w:space="0" w:color="auto"/>
        <w:bottom w:val="none" w:sz="0" w:space="0" w:color="auto"/>
        <w:right w:val="none" w:sz="0" w:space="0" w:color="auto"/>
      </w:divBdr>
    </w:div>
    <w:div w:id="218371195">
      <w:bodyDiv w:val="1"/>
      <w:marLeft w:val="0"/>
      <w:marRight w:val="0"/>
      <w:marTop w:val="0"/>
      <w:marBottom w:val="0"/>
      <w:divBdr>
        <w:top w:val="none" w:sz="0" w:space="0" w:color="auto"/>
        <w:left w:val="none" w:sz="0" w:space="0" w:color="auto"/>
        <w:bottom w:val="none" w:sz="0" w:space="0" w:color="auto"/>
        <w:right w:val="none" w:sz="0" w:space="0" w:color="auto"/>
      </w:divBdr>
    </w:div>
    <w:div w:id="218395891">
      <w:bodyDiv w:val="1"/>
      <w:marLeft w:val="0"/>
      <w:marRight w:val="0"/>
      <w:marTop w:val="0"/>
      <w:marBottom w:val="0"/>
      <w:divBdr>
        <w:top w:val="none" w:sz="0" w:space="0" w:color="auto"/>
        <w:left w:val="none" w:sz="0" w:space="0" w:color="auto"/>
        <w:bottom w:val="none" w:sz="0" w:space="0" w:color="auto"/>
        <w:right w:val="none" w:sz="0" w:space="0" w:color="auto"/>
      </w:divBdr>
    </w:div>
    <w:div w:id="218446598">
      <w:bodyDiv w:val="1"/>
      <w:marLeft w:val="0"/>
      <w:marRight w:val="0"/>
      <w:marTop w:val="0"/>
      <w:marBottom w:val="0"/>
      <w:divBdr>
        <w:top w:val="none" w:sz="0" w:space="0" w:color="auto"/>
        <w:left w:val="none" w:sz="0" w:space="0" w:color="auto"/>
        <w:bottom w:val="none" w:sz="0" w:space="0" w:color="auto"/>
        <w:right w:val="none" w:sz="0" w:space="0" w:color="auto"/>
      </w:divBdr>
    </w:div>
    <w:div w:id="218517351">
      <w:bodyDiv w:val="1"/>
      <w:marLeft w:val="0"/>
      <w:marRight w:val="0"/>
      <w:marTop w:val="0"/>
      <w:marBottom w:val="0"/>
      <w:divBdr>
        <w:top w:val="none" w:sz="0" w:space="0" w:color="auto"/>
        <w:left w:val="none" w:sz="0" w:space="0" w:color="auto"/>
        <w:bottom w:val="none" w:sz="0" w:space="0" w:color="auto"/>
        <w:right w:val="none" w:sz="0" w:space="0" w:color="auto"/>
      </w:divBdr>
    </w:div>
    <w:div w:id="218519317">
      <w:bodyDiv w:val="1"/>
      <w:marLeft w:val="0"/>
      <w:marRight w:val="0"/>
      <w:marTop w:val="0"/>
      <w:marBottom w:val="0"/>
      <w:divBdr>
        <w:top w:val="none" w:sz="0" w:space="0" w:color="auto"/>
        <w:left w:val="none" w:sz="0" w:space="0" w:color="auto"/>
        <w:bottom w:val="none" w:sz="0" w:space="0" w:color="auto"/>
        <w:right w:val="none" w:sz="0" w:space="0" w:color="auto"/>
      </w:divBdr>
    </w:div>
    <w:div w:id="218519395">
      <w:bodyDiv w:val="1"/>
      <w:marLeft w:val="0"/>
      <w:marRight w:val="0"/>
      <w:marTop w:val="0"/>
      <w:marBottom w:val="0"/>
      <w:divBdr>
        <w:top w:val="none" w:sz="0" w:space="0" w:color="auto"/>
        <w:left w:val="none" w:sz="0" w:space="0" w:color="auto"/>
        <w:bottom w:val="none" w:sz="0" w:space="0" w:color="auto"/>
        <w:right w:val="none" w:sz="0" w:space="0" w:color="auto"/>
      </w:divBdr>
    </w:div>
    <w:div w:id="218591978">
      <w:bodyDiv w:val="1"/>
      <w:marLeft w:val="0"/>
      <w:marRight w:val="0"/>
      <w:marTop w:val="0"/>
      <w:marBottom w:val="0"/>
      <w:divBdr>
        <w:top w:val="none" w:sz="0" w:space="0" w:color="auto"/>
        <w:left w:val="none" w:sz="0" w:space="0" w:color="auto"/>
        <w:bottom w:val="none" w:sz="0" w:space="0" w:color="auto"/>
        <w:right w:val="none" w:sz="0" w:space="0" w:color="auto"/>
      </w:divBdr>
    </w:div>
    <w:div w:id="218592311">
      <w:bodyDiv w:val="1"/>
      <w:marLeft w:val="0"/>
      <w:marRight w:val="0"/>
      <w:marTop w:val="0"/>
      <w:marBottom w:val="0"/>
      <w:divBdr>
        <w:top w:val="none" w:sz="0" w:space="0" w:color="auto"/>
        <w:left w:val="none" w:sz="0" w:space="0" w:color="auto"/>
        <w:bottom w:val="none" w:sz="0" w:space="0" w:color="auto"/>
        <w:right w:val="none" w:sz="0" w:space="0" w:color="auto"/>
      </w:divBdr>
    </w:div>
    <w:div w:id="218630966">
      <w:bodyDiv w:val="1"/>
      <w:marLeft w:val="0"/>
      <w:marRight w:val="0"/>
      <w:marTop w:val="0"/>
      <w:marBottom w:val="0"/>
      <w:divBdr>
        <w:top w:val="none" w:sz="0" w:space="0" w:color="auto"/>
        <w:left w:val="none" w:sz="0" w:space="0" w:color="auto"/>
        <w:bottom w:val="none" w:sz="0" w:space="0" w:color="auto"/>
        <w:right w:val="none" w:sz="0" w:space="0" w:color="auto"/>
      </w:divBdr>
    </w:div>
    <w:div w:id="218713282">
      <w:bodyDiv w:val="1"/>
      <w:marLeft w:val="0"/>
      <w:marRight w:val="0"/>
      <w:marTop w:val="0"/>
      <w:marBottom w:val="0"/>
      <w:divBdr>
        <w:top w:val="none" w:sz="0" w:space="0" w:color="auto"/>
        <w:left w:val="none" w:sz="0" w:space="0" w:color="auto"/>
        <w:bottom w:val="none" w:sz="0" w:space="0" w:color="auto"/>
        <w:right w:val="none" w:sz="0" w:space="0" w:color="auto"/>
      </w:divBdr>
    </w:div>
    <w:div w:id="218857390">
      <w:bodyDiv w:val="1"/>
      <w:marLeft w:val="0"/>
      <w:marRight w:val="0"/>
      <w:marTop w:val="0"/>
      <w:marBottom w:val="0"/>
      <w:divBdr>
        <w:top w:val="none" w:sz="0" w:space="0" w:color="auto"/>
        <w:left w:val="none" w:sz="0" w:space="0" w:color="auto"/>
        <w:bottom w:val="none" w:sz="0" w:space="0" w:color="auto"/>
        <w:right w:val="none" w:sz="0" w:space="0" w:color="auto"/>
      </w:divBdr>
    </w:div>
    <w:div w:id="218900753">
      <w:bodyDiv w:val="1"/>
      <w:marLeft w:val="0"/>
      <w:marRight w:val="0"/>
      <w:marTop w:val="0"/>
      <w:marBottom w:val="0"/>
      <w:divBdr>
        <w:top w:val="none" w:sz="0" w:space="0" w:color="auto"/>
        <w:left w:val="none" w:sz="0" w:space="0" w:color="auto"/>
        <w:bottom w:val="none" w:sz="0" w:space="0" w:color="auto"/>
        <w:right w:val="none" w:sz="0" w:space="0" w:color="auto"/>
      </w:divBdr>
    </w:div>
    <w:div w:id="218983386">
      <w:bodyDiv w:val="1"/>
      <w:marLeft w:val="0"/>
      <w:marRight w:val="0"/>
      <w:marTop w:val="0"/>
      <w:marBottom w:val="0"/>
      <w:divBdr>
        <w:top w:val="none" w:sz="0" w:space="0" w:color="auto"/>
        <w:left w:val="none" w:sz="0" w:space="0" w:color="auto"/>
        <w:bottom w:val="none" w:sz="0" w:space="0" w:color="auto"/>
        <w:right w:val="none" w:sz="0" w:space="0" w:color="auto"/>
      </w:divBdr>
    </w:div>
    <w:div w:id="219093999">
      <w:bodyDiv w:val="1"/>
      <w:marLeft w:val="0"/>
      <w:marRight w:val="0"/>
      <w:marTop w:val="0"/>
      <w:marBottom w:val="0"/>
      <w:divBdr>
        <w:top w:val="none" w:sz="0" w:space="0" w:color="auto"/>
        <w:left w:val="none" w:sz="0" w:space="0" w:color="auto"/>
        <w:bottom w:val="none" w:sz="0" w:space="0" w:color="auto"/>
        <w:right w:val="none" w:sz="0" w:space="0" w:color="auto"/>
      </w:divBdr>
    </w:div>
    <w:div w:id="219244051">
      <w:bodyDiv w:val="1"/>
      <w:marLeft w:val="0"/>
      <w:marRight w:val="0"/>
      <w:marTop w:val="0"/>
      <w:marBottom w:val="0"/>
      <w:divBdr>
        <w:top w:val="none" w:sz="0" w:space="0" w:color="auto"/>
        <w:left w:val="none" w:sz="0" w:space="0" w:color="auto"/>
        <w:bottom w:val="none" w:sz="0" w:space="0" w:color="auto"/>
        <w:right w:val="none" w:sz="0" w:space="0" w:color="auto"/>
      </w:divBdr>
    </w:div>
    <w:div w:id="219293583">
      <w:bodyDiv w:val="1"/>
      <w:marLeft w:val="0"/>
      <w:marRight w:val="0"/>
      <w:marTop w:val="0"/>
      <w:marBottom w:val="0"/>
      <w:divBdr>
        <w:top w:val="none" w:sz="0" w:space="0" w:color="auto"/>
        <w:left w:val="none" w:sz="0" w:space="0" w:color="auto"/>
        <w:bottom w:val="none" w:sz="0" w:space="0" w:color="auto"/>
        <w:right w:val="none" w:sz="0" w:space="0" w:color="auto"/>
      </w:divBdr>
    </w:div>
    <w:div w:id="219366644">
      <w:bodyDiv w:val="1"/>
      <w:marLeft w:val="0"/>
      <w:marRight w:val="0"/>
      <w:marTop w:val="0"/>
      <w:marBottom w:val="0"/>
      <w:divBdr>
        <w:top w:val="none" w:sz="0" w:space="0" w:color="auto"/>
        <w:left w:val="none" w:sz="0" w:space="0" w:color="auto"/>
        <w:bottom w:val="none" w:sz="0" w:space="0" w:color="auto"/>
        <w:right w:val="none" w:sz="0" w:space="0" w:color="auto"/>
      </w:divBdr>
    </w:div>
    <w:div w:id="219369658">
      <w:bodyDiv w:val="1"/>
      <w:marLeft w:val="0"/>
      <w:marRight w:val="0"/>
      <w:marTop w:val="0"/>
      <w:marBottom w:val="0"/>
      <w:divBdr>
        <w:top w:val="none" w:sz="0" w:space="0" w:color="auto"/>
        <w:left w:val="none" w:sz="0" w:space="0" w:color="auto"/>
        <w:bottom w:val="none" w:sz="0" w:space="0" w:color="auto"/>
        <w:right w:val="none" w:sz="0" w:space="0" w:color="auto"/>
      </w:divBdr>
    </w:div>
    <w:div w:id="219437171">
      <w:bodyDiv w:val="1"/>
      <w:marLeft w:val="0"/>
      <w:marRight w:val="0"/>
      <w:marTop w:val="0"/>
      <w:marBottom w:val="0"/>
      <w:divBdr>
        <w:top w:val="none" w:sz="0" w:space="0" w:color="auto"/>
        <w:left w:val="none" w:sz="0" w:space="0" w:color="auto"/>
        <w:bottom w:val="none" w:sz="0" w:space="0" w:color="auto"/>
        <w:right w:val="none" w:sz="0" w:space="0" w:color="auto"/>
      </w:divBdr>
    </w:div>
    <w:div w:id="219707301">
      <w:bodyDiv w:val="1"/>
      <w:marLeft w:val="0"/>
      <w:marRight w:val="0"/>
      <w:marTop w:val="0"/>
      <w:marBottom w:val="0"/>
      <w:divBdr>
        <w:top w:val="none" w:sz="0" w:space="0" w:color="auto"/>
        <w:left w:val="none" w:sz="0" w:space="0" w:color="auto"/>
        <w:bottom w:val="none" w:sz="0" w:space="0" w:color="auto"/>
        <w:right w:val="none" w:sz="0" w:space="0" w:color="auto"/>
      </w:divBdr>
    </w:div>
    <w:div w:id="219756984">
      <w:bodyDiv w:val="1"/>
      <w:marLeft w:val="0"/>
      <w:marRight w:val="0"/>
      <w:marTop w:val="0"/>
      <w:marBottom w:val="0"/>
      <w:divBdr>
        <w:top w:val="none" w:sz="0" w:space="0" w:color="auto"/>
        <w:left w:val="none" w:sz="0" w:space="0" w:color="auto"/>
        <w:bottom w:val="none" w:sz="0" w:space="0" w:color="auto"/>
        <w:right w:val="none" w:sz="0" w:space="0" w:color="auto"/>
      </w:divBdr>
    </w:div>
    <w:div w:id="219900830">
      <w:bodyDiv w:val="1"/>
      <w:marLeft w:val="0"/>
      <w:marRight w:val="0"/>
      <w:marTop w:val="0"/>
      <w:marBottom w:val="0"/>
      <w:divBdr>
        <w:top w:val="none" w:sz="0" w:space="0" w:color="auto"/>
        <w:left w:val="none" w:sz="0" w:space="0" w:color="auto"/>
        <w:bottom w:val="none" w:sz="0" w:space="0" w:color="auto"/>
        <w:right w:val="none" w:sz="0" w:space="0" w:color="auto"/>
      </w:divBdr>
    </w:div>
    <w:div w:id="219905080">
      <w:bodyDiv w:val="1"/>
      <w:marLeft w:val="0"/>
      <w:marRight w:val="0"/>
      <w:marTop w:val="0"/>
      <w:marBottom w:val="0"/>
      <w:divBdr>
        <w:top w:val="none" w:sz="0" w:space="0" w:color="auto"/>
        <w:left w:val="none" w:sz="0" w:space="0" w:color="auto"/>
        <w:bottom w:val="none" w:sz="0" w:space="0" w:color="auto"/>
        <w:right w:val="none" w:sz="0" w:space="0" w:color="auto"/>
      </w:divBdr>
    </w:div>
    <w:div w:id="220096755">
      <w:bodyDiv w:val="1"/>
      <w:marLeft w:val="0"/>
      <w:marRight w:val="0"/>
      <w:marTop w:val="0"/>
      <w:marBottom w:val="0"/>
      <w:divBdr>
        <w:top w:val="none" w:sz="0" w:space="0" w:color="auto"/>
        <w:left w:val="none" w:sz="0" w:space="0" w:color="auto"/>
        <w:bottom w:val="none" w:sz="0" w:space="0" w:color="auto"/>
        <w:right w:val="none" w:sz="0" w:space="0" w:color="auto"/>
      </w:divBdr>
    </w:div>
    <w:div w:id="220140158">
      <w:bodyDiv w:val="1"/>
      <w:marLeft w:val="0"/>
      <w:marRight w:val="0"/>
      <w:marTop w:val="0"/>
      <w:marBottom w:val="0"/>
      <w:divBdr>
        <w:top w:val="none" w:sz="0" w:space="0" w:color="auto"/>
        <w:left w:val="none" w:sz="0" w:space="0" w:color="auto"/>
        <w:bottom w:val="none" w:sz="0" w:space="0" w:color="auto"/>
        <w:right w:val="none" w:sz="0" w:space="0" w:color="auto"/>
      </w:divBdr>
    </w:div>
    <w:div w:id="220286188">
      <w:bodyDiv w:val="1"/>
      <w:marLeft w:val="0"/>
      <w:marRight w:val="0"/>
      <w:marTop w:val="0"/>
      <w:marBottom w:val="0"/>
      <w:divBdr>
        <w:top w:val="none" w:sz="0" w:space="0" w:color="auto"/>
        <w:left w:val="none" w:sz="0" w:space="0" w:color="auto"/>
        <w:bottom w:val="none" w:sz="0" w:space="0" w:color="auto"/>
        <w:right w:val="none" w:sz="0" w:space="0" w:color="auto"/>
      </w:divBdr>
    </w:div>
    <w:div w:id="220294024">
      <w:bodyDiv w:val="1"/>
      <w:marLeft w:val="0"/>
      <w:marRight w:val="0"/>
      <w:marTop w:val="0"/>
      <w:marBottom w:val="0"/>
      <w:divBdr>
        <w:top w:val="none" w:sz="0" w:space="0" w:color="auto"/>
        <w:left w:val="none" w:sz="0" w:space="0" w:color="auto"/>
        <w:bottom w:val="none" w:sz="0" w:space="0" w:color="auto"/>
        <w:right w:val="none" w:sz="0" w:space="0" w:color="auto"/>
      </w:divBdr>
    </w:div>
    <w:div w:id="220335220">
      <w:bodyDiv w:val="1"/>
      <w:marLeft w:val="0"/>
      <w:marRight w:val="0"/>
      <w:marTop w:val="0"/>
      <w:marBottom w:val="0"/>
      <w:divBdr>
        <w:top w:val="none" w:sz="0" w:space="0" w:color="auto"/>
        <w:left w:val="none" w:sz="0" w:space="0" w:color="auto"/>
        <w:bottom w:val="none" w:sz="0" w:space="0" w:color="auto"/>
        <w:right w:val="none" w:sz="0" w:space="0" w:color="auto"/>
      </w:divBdr>
    </w:div>
    <w:div w:id="220361554">
      <w:bodyDiv w:val="1"/>
      <w:marLeft w:val="0"/>
      <w:marRight w:val="0"/>
      <w:marTop w:val="0"/>
      <w:marBottom w:val="0"/>
      <w:divBdr>
        <w:top w:val="none" w:sz="0" w:space="0" w:color="auto"/>
        <w:left w:val="none" w:sz="0" w:space="0" w:color="auto"/>
        <w:bottom w:val="none" w:sz="0" w:space="0" w:color="auto"/>
        <w:right w:val="none" w:sz="0" w:space="0" w:color="auto"/>
      </w:divBdr>
    </w:div>
    <w:div w:id="220485708">
      <w:bodyDiv w:val="1"/>
      <w:marLeft w:val="0"/>
      <w:marRight w:val="0"/>
      <w:marTop w:val="0"/>
      <w:marBottom w:val="0"/>
      <w:divBdr>
        <w:top w:val="none" w:sz="0" w:space="0" w:color="auto"/>
        <w:left w:val="none" w:sz="0" w:space="0" w:color="auto"/>
        <w:bottom w:val="none" w:sz="0" w:space="0" w:color="auto"/>
        <w:right w:val="none" w:sz="0" w:space="0" w:color="auto"/>
      </w:divBdr>
    </w:div>
    <w:div w:id="220530569">
      <w:bodyDiv w:val="1"/>
      <w:marLeft w:val="0"/>
      <w:marRight w:val="0"/>
      <w:marTop w:val="0"/>
      <w:marBottom w:val="0"/>
      <w:divBdr>
        <w:top w:val="none" w:sz="0" w:space="0" w:color="auto"/>
        <w:left w:val="none" w:sz="0" w:space="0" w:color="auto"/>
        <w:bottom w:val="none" w:sz="0" w:space="0" w:color="auto"/>
        <w:right w:val="none" w:sz="0" w:space="0" w:color="auto"/>
      </w:divBdr>
    </w:div>
    <w:div w:id="220558369">
      <w:bodyDiv w:val="1"/>
      <w:marLeft w:val="0"/>
      <w:marRight w:val="0"/>
      <w:marTop w:val="0"/>
      <w:marBottom w:val="0"/>
      <w:divBdr>
        <w:top w:val="none" w:sz="0" w:space="0" w:color="auto"/>
        <w:left w:val="none" w:sz="0" w:space="0" w:color="auto"/>
        <w:bottom w:val="none" w:sz="0" w:space="0" w:color="auto"/>
        <w:right w:val="none" w:sz="0" w:space="0" w:color="auto"/>
      </w:divBdr>
    </w:div>
    <w:div w:id="220598588">
      <w:bodyDiv w:val="1"/>
      <w:marLeft w:val="0"/>
      <w:marRight w:val="0"/>
      <w:marTop w:val="0"/>
      <w:marBottom w:val="0"/>
      <w:divBdr>
        <w:top w:val="none" w:sz="0" w:space="0" w:color="auto"/>
        <w:left w:val="none" w:sz="0" w:space="0" w:color="auto"/>
        <w:bottom w:val="none" w:sz="0" w:space="0" w:color="auto"/>
        <w:right w:val="none" w:sz="0" w:space="0" w:color="auto"/>
      </w:divBdr>
    </w:div>
    <w:div w:id="220673017">
      <w:bodyDiv w:val="1"/>
      <w:marLeft w:val="0"/>
      <w:marRight w:val="0"/>
      <w:marTop w:val="0"/>
      <w:marBottom w:val="0"/>
      <w:divBdr>
        <w:top w:val="none" w:sz="0" w:space="0" w:color="auto"/>
        <w:left w:val="none" w:sz="0" w:space="0" w:color="auto"/>
        <w:bottom w:val="none" w:sz="0" w:space="0" w:color="auto"/>
        <w:right w:val="none" w:sz="0" w:space="0" w:color="auto"/>
      </w:divBdr>
    </w:div>
    <w:div w:id="220749404">
      <w:bodyDiv w:val="1"/>
      <w:marLeft w:val="0"/>
      <w:marRight w:val="0"/>
      <w:marTop w:val="0"/>
      <w:marBottom w:val="0"/>
      <w:divBdr>
        <w:top w:val="none" w:sz="0" w:space="0" w:color="auto"/>
        <w:left w:val="none" w:sz="0" w:space="0" w:color="auto"/>
        <w:bottom w:val="none" w:sz="0" w:space="0" w:color="auto"/>
        <w:right w:val="none" w:sz="0" w:space="0" w:color="auto"/>
      </w:divBdr>
    </w:div>
    <w:div w:id="220791585">
      <w:bodyDiv w:val="1"/>
      <w:marLeft w:val="0"/>
      <w:marRight w:val="0"/>
      <w:marTop w:val="0"/>
      <w:marBottom w:val="0"/>
      <w:divBdr>
        <w:top w:val="none" w:sz="0" w:space="0" w:color="auto"/>
        <w:left w:val="none" w:sz="0" w:space="0" w:color="auto"/>
        <w:bottom w:val="none" w:sz="0" w:space="0" w:color="auto"/>
        <w:right w:val="none" w:sz="0" w:space="0" w:color="auto"/>
      </w:divBdr>
    </w:div>
    <w:div w:id="220866351">
      <w:bodyDiv w:val="1"/>
      <w:marLeft w:val="0"/>
      <w:marRight w:val="0"/>
      <w:marTop w:val="0"/>
      <w:marBottom w:val="0"/>
      <w:divBdr>
        <w:top w:val="none" w:sz="0" w:space="0" w:color="auto"/>
        <w:left w:val="none" w:sz="0" w:space="0" w:color="auto"/>
        <w:bottom w:val="none" w:sz="0" w:space="0" w:color="auto"/>
        <w:right w:val="none" w:sz="0" w:space="0" w:color="auto"/>
      </w:divBdr>
    </w:div>
    <w:div w:id="220988926">
      <w:bodyDiv w:val="1"/>
      <w:marLeft w:val="0"/>
      <w:marRight w:val="0"/>
      <w:marTop w:val="0"/>
      <w:marBottom w:val="0"/>
      <w:divBdr>
        <w:top w:val="none" w:sz="0" w:space="0" w:color="auto"/>
        <w:left w:val="none" w:sz="0" w:space="0" w:color="auto"/>
        <w:bottom w:val="none" w:sz="0" w:space="0" w:color="auto"/>
        <w:right w:val="none" w:sz="0" w:space="0" w:color="auto"/>
      </w:divBdr>
    </w:div>
    <w:div w:id="221141164">
      <w:bodyDiv w:val="1"/>
      <w:marLeft w:val="0"/>
      <w:marRight w:val="0"/>
      <w:marTop w:val="0"/>
      <w:marBottom w:val="0"/>
      <w:divBdr>
        <w:top w:val="none" w:sz="0" w:space="0" w:color="auto"/>
        <w:left w:val="none" w:sz="0" w:space="0" w:color="auto"/>
        <w:bottom w:val="none" w:sz="0" w:space="0" w:color="auto"/>
        <w:right w:val="none" w:sz="0" w:space="0" w:color="auto"/>
      </w:divBdr>
    </w:div>
    <w:div w:id="221255734">
      <w:bodyDiv w:val="1"/>
      <w:marLeft w:val="0"/>
      <w:marRight w:val="0"/>
      <w:marTop w:val="0"/>
      <w:marBottom w:val="0"/>
      <w:divBdr>
        <w:top w:val="none" w:sz="0" w:space="0" w:color="auto"/>
        <w:left w:val="none" w:sz="0" w:space="0" w:color="auto"/>
        <w:bottom w:val="none" w:sz="0" w:space="0" w:color="auto"/>
        <w:right w:val="none" w:sz="0" w:space="0" w:color="auto"/>
      </w:divBdr>
    </w:div>
    <w:div w:id="221261069">
      <w:bodyDiv w:val="1"/>
      <w:marLeft w:val="0"/>
      <w:marRight w:val="0"/>
      <w:marTop w:val="0"/>
      <w:marBottom w:val="0"/>
      <w:divBdr>
        <w:top w:val="none" w:sz="0" w:space="0" w:color="auto"/>
        <w:left w:val="none" w:sz="0" w:space="0" w:color="auto"/>
        <w:bottom w:val="none" w:sz="0" w:space="0" w:color="auto"/>
        <w:right w:val="none" w:sz="0" w:space="0" w:color="auto"/>
      </w:divBdr>
    </w:div>
    <w:div w:id="221405759">
      <w:bodyDiv w:val="1"/>
      <w:marLeft w:val="0"/>
      <w:marRight w:val="0"/>
      <w:marTop w:val="0"/>
      <w:marBottom w:val="0"/>
      <w:divBdr>
        <w:top w:val="none" w:sz="0" w:space="0" w:color="auto"/>
        <w:left w:val="none" w:sz="0" w:space="0" w:color="auto"/>
        <w:bottom w:val="none" w:sz="0" w:space="0" w:color="auto"/>
        <w:right w:val="none" w:sz="0" w:space="0" w:color="auto"/>
      </w:divBdr>
    </w:div>
    <w:div w:id="221598892">
      <w:bodyDiv w:val="1"/>
      <w:marLeft w:val="0"/>
      <w:marRight w:val="0"/>
      <w:marTop w:val="0"/>
      <w:marBottom w:val="0"/>
      <w:divBdr>
        <w:top w:val="none" w:sz="0" w:space="0" w:color="auto"/>
        <w:left w:val="none" w:sz="0" w:space="0" w:color="auto"/>
        <w:bottom w:val="none" w:sz="0" w:space="0" w:color="auto"/>
        <w:right w:val="none" w:sz="0" w:space="0" w:color="auto"/>
      </w:divBdr>
    </w:div>
    <w:div w:id="221599766">
      <w:bodyDiv w:val="1"/>
      <w:marLeft w:val="0"/>
      <w:marRight w:val="0"/>
      <w:marTop w:val="0"/>
      <w:marBottom w:val="0"/>
      <w:divBdr>
        <w:top w:val="none" w:sz="0" w:space="0" w:color="auto"/>
        <w:left w:val="none" w:sz="0" w:space="0" w:color="auto"/>
        <w:bottom w:val="none" w:sz="0" w:space="0" w:color="auto"/>
        <w:right w:val="none" w:sz="0" w:space="0" w:color="auto"/>
      </w:divBdr>
    </w:div>
    <w:div w:id="221602959">
      <w:bodyDiv w:val="1"/>
      <w:marLeft w:val="0"/>
      <w:marRight w:val="0"/>
      <w:marTop w:val="0"/>
      <w:marBottom w:val="0"/>
      <w:divBdr>
        <w:top w:val="none" w:sz="0" w:space="0" w:color="auto"/>
        <w:left w:val="none" w:sz="0" w:space="0" w:color="auto"/>
        <w:bottom w:val="none" w:sz="0" w:space="0" w:color="auto"/>
        <w:right w:val="none" w:sz="0" w:space="0" w:color="auto"/>
      </w:divBdr>
    </w:div>
    <w:div w:id="221645928">
      <w:bodyDiv w:val="1"/>
      <w:marLeft w:val="0"/>
      <w:marRight w:val="0"/>
      <w:marTop w:val="0"/>
      <w:marBottom w:val="0"/>
      <w:divBdr>
        <w:top w:val="none" w:sz="0" w:space="0" w:color="auto"/>
        <w:left w:val="none" w:sz="0" w:space="0" w:color="auto"/>
        <w:bottom w:val="none" w:sz="0" w:space="0" w:color="auto"/>
        <w:right w:val="none" w:sz="0" w:space="0" w:color="auto"/>
      </w:divBdr>
    </w:div>
    <w:div w:id="221793923">
      <w:bodyDiv w:val="1"/>
      <w:marLeft w:val="0"/>
      <w:marRight w:val="0"/>
      <w:marTop w:val="0"/>
      <w:marBottom w:val="0"/>
      <w:divBdr>
        <w:top w:val="none" w:sz="0" w:space="0" w:color="auto"/>
        <w:left w:val="none" w:sz="0" w:space="0" w:color="auto"/>
        <w:bottom w:val="none" w:sz="0" w:space="0" w:color="auto"/>
        <w:right w:val="none" w:sz="0" w:space="0" w:color="auto"/>
      </w:divBdr>
    </w:div>
    <w:div w:id="221916707">
      <w:bodyDiv w:val="1"/>
      <w:marLeft w:val="0"/>
      <w:marRight w:val="0"/>
      <w:marTop w:val="0"/>
      <w:marBottom w:val="0"/>
      <w:divBdr>
        <w:top w:val="none" w:sz="0" w:space="0" w:color="auto"/>
        <w:left w:val="none" w:sz="0" w:space="0" w:color="auto"/>
        <w:bottom w:val="none" w:sz="0" w:space="0" w:color="auto"/>
        <w:right w:val="none" w:sz="0" w:space="0" w:color="auto"/>
      </w:divBdr>
    </w:div>
    <w:div w:id="222102028">
      <w:bodyDiv w:val="1"/>
      <w:marLeft w:val="0"/>
      <w:marRight w:val="0"/>
      <w:marTop w:val="0"/>
      <w:marBottom w:val="0"/>
      <w:divBdr>
        <w:top w:val="none" w:sz="0" w:space="0" w:color="auto"/>
        <w:left w:val="none" w:sz="0" w:space="0" w:color="auto"/>
        <w:bottom w:val="none" w:sz="0" w:space="0" w:color="auto"/>
        <w:right w:val="none" w:sz="0" w:space="0" w:color="auto"/>
      </w:divBdr>
    </w:div>
    <w:div w:id="222176309">
      <w:bodyDiv w:val="1"/>
      <w:marLeft w:val="0"/>
      <w:marRight w:val="0"/>
      <w:marTop w:val="0"/>
      <w:marBottom w:val="0"/>
      <w:divBdr>
        <w:top w:val="none" w:sz="0" w:space="0" w:color="auto"/>
        <w:left w:val="none" w:sz="0" w:space="0" w:color="auto"/>
        <w:bottom w:val="none" w:sz="0" w:space="0" w:color="auto"/>
        <w:right w:val="none" w:sz="0" w:space="0" w:color="auto"/>
      </w:divBdr>
    </w:div>
    <w:div w:id="222254516">
      <w:bodyDiv w:val="1"/>
      <w:marLeft w:val="0"/>
      <w:marRight w:val="0"/>
      <w:marTop w:val="0"/>
      <w:marBottom w:val="0"/>
      <w:divBdr>
        <w:top w:val="none" w:sz="0" w:space="0" w:color="auto"/>
        <w:left w:val="none" w:sz="0" w:space="0" w:color="auto"/>
        <w:bottom w:val="none" w:sz="0" w:space="0" w:color="auto"/>
        <w:right w:val="none" w:sz="0" w:space="0" w:color="auto"/>
      </w:divBdr>
    </w:div>
    <w:div w:id="222378956">
      <w:bodyDiv w:val="1"/>
      <w:marLeft w:val="0"/>
      <w:marRight w:val="0"/>
      <w:marTop w:val="0"/>
      <w:marBottom w:val="0"/>
      <w:divBdr>
        <w:top w:val="none" w:sz="0" w:space="0" w:color="auto"/>
        <w:left w:val="none" w:sz="0" w:space="0" w:color="auto"/>
        <w:bottom w:val="none" w:sz="0" w:space="0" w:color="auto"/>
        <w:right w:val="none" w:sz="0" w:space="0" w:color="auto"/>
      </w:divBdr>
    </w:div>
    <w:div w:id="222450619">
      <w:bodyDiv w:val="1"/>
      <w:marLeft w:val="0"/>
      <w:marRight w:val="0"/>
      <w:marTop w:val="0"/>
      <w:marBottom w:val="0"/>
      <w:divBdr>
        <w:top w:val="none" w:sz="0" w:space="0" w:color="auto"/>
        <w:left w:val="none" w:sz="0" w:space="0" w:color="auto"/>
        <w:bottom w:val="none" w:sz="0" w:space="0" w:color="auto"/>
        <w:right w:val="none" w:sz="0" w:space="0" w:color="auto"/>
      </w:divBdr>
    </w:div>
    <w:div w:id="222569218">
      <w:bodyDiv w:val="1"/>
      <w:marLeft w:val="0"/>
      <w:marRight w:val="0"/>
      <w:marTop w:val="0"/>
      <w:marBottom w:val="0"/>
      <w:divBdr>
        <w:top w:val="none" w:sz="0" w:space="0" w:color="auto"/>
        <w:left w:val="none" w:sz="0" w:space="0" w:color="auto"/>
        <w:bottom w:val="none" w:sz="0" w:space="0" w:color="auto"/>
        <w:right w:val="none" w:sz="0" w:space="0" w:color="auto"/>
      </w:divBdr>
    </w:div>
    <w:div w:id="222758009">
      <w:bodyDiv w:val="1"/>
      <w:marLeft w:val="0"/>
      <w:marRight w:val="0"/>
      <w:marTop w:val="0"/>
      <w:marBottom w:val="0"/>
      <w:divBdr>
        <w:top w:val="none" w:sz="0" w:space="0" w:color="auto"/>
        <w:left w:val="none" w:sz="0" w:space="0" w:color="auto"/>
        <w:bottom w:val="none" w:sz="0" w:space="0" w:color="auto"/>
        <w:right w:val="none" w:sz="0" w:space="0" w:color="auto"/>
      </w:divBdr>
    </w:div>
    <w:div w:id="222762209">
      <w:bodyDiv w:val="1"/>
      <w:marLeft w:val="0"/>
      <w:marRight w:val="0"/>
      <w:marTop w:val="0"/>
      <w:marBottom w:val="0"/>
      <w:divBdr>
        <w:top w:val="none" w:sz="0" w:space="0" w:color="auto"/>
        <w:left w:val="none" w:sz="0" w:space="0" w:color="auto"/>
        <w:bottom w:val="none" w:sz="0" w:space="0" w:color="auto"/>
        <w:right w:val="none" w:sz="0" w:space="0" w:color="auto"/>
      </w:divBdr>
    </w:div>
    <w:div w:id="222912670">
      <w:bodyDiv w:val="1"/>
      <w:marLeft w:val="0"/>
      <w:marRight w:val="0"/>
      <w:marTop w:val="0"/>
      <w:marBottom w:val="0"/>
      <w:divBdr>
        <w:top w:val="none" w:sz="0" w:space="0" w:color="auto"/>
        <w:left w:val="none" w:sz="0" w:space="0" w:color="auto"/>
        <w:bottom w:val="none" w:sz="0" w:space="0" w:color="auto"/>
        <w:right w:val="none" w:sz="0" w:space="0" w:color="auto"/>
      </w:divBdr>
    </w:div>
    <w:div w:id="223107807">
      <w:bodyDiv w:val="1"/>
      <w:marLeft w:val="0"/>
      <w:marRight w:val="0"/>
      <w:marTop w:val="0"/>
      <w:marBottom w:val="0"/>
      <w:divBdr>
        <w:top w:val="none" w:sz="0" w:space="0" w:color="auto"/>
        <w:left w:val="none" w:sz="0" w:space="0" w:color="auto"/>
        <w:bottom w:val="none" w:sz="0" w:space="0" w:color="auto"/>
        <w:right w:val="none" w:sz="0" w:space="0" w:color="auto"/>
      </w:divBdr>
    </w:div>
    <w:div w:id="223176349">
      <w:bodyDiv w:val="1"/>
      <w:marLeft w:val="0"/>
      <w:marRight w:val="0"/>
      <w:marTop w:val="0"/>
      <w:marBottom w:val="0"/>
      <w:divBdr>
        <w:top w:val="none" w:sz="0" w:space="0" w:color="auto"/>
        <w:left w:val="none" w:sz="0" w:space="0" w:color="auto"/>
        <w:bottom w:val="none" w:sz="0" w:space="0" w:color="auto"/>
        <w:right w:val="none" w:sz="0" w:space="0" w:color="auto"/>
      </w:divBdr>
    </w:div>
    <w:div w:id="223293532">
      <w:bodyDiv w:val="1"/>
      <w:marLeft w:val="0"/>
      <w:marRight w:val="0"/>
      <w:marTop w:val="0"/>
      <w:marBottom w:val="0"/>
      <w:divBdr>
        <w:top w:val="none" w:sz="0" w:space="0" w:color="auto"/>
        <w:left w:val="none" w:sz="0" w:space="0" w:color="auto"/>
        <w:bottom w:val="none" w:sz="0" w:space="0" w:color="auto"/>
        <w:right w:val="none" w:sz="0" w:space="0" w:color="auto"/>
      </w:divBdr>
    </w:div>
    <w:div w:id="223294905">
      <w:bodyDiv w:val="1"/>
      <w:marLeft w:val="0"/>
      <w:marRight w:val="0"/>
      <w:marTop w:val="0"/>
      <w:marBottom w:val="0"/>
      <w:divBdr>
        <w:top w:val="none" w:sz="0" w:space="0" w:color="auto"/>
        <w:left w:val="none" w:sz="0" w:space="0" w:color="auto"/>
        <w:bottom w:val="none" w:sz="0" w:space="0" w:color="auto"/>
        <w:right w:val="none" w:sz="0" w:space="0" w:color="auto"/>
      </w:divBdr>
    </w:div>
    <w:div w:id="223297898">
      <w:bodyDiv w:val="1"/>
      <w:marLeft w:val="0"/>
      <w:marRight w:val="0"/>
      <w:marTop w:val="0"/>
      <w:marBottom w:val="0"/>
      <w:divBdr>
        <w:top w:val="none" w:sz="0" w:space="0" w:color="auto"/>
        <w:left w:val="none" w:sz="0" w:space="0" w:color="auto"/>
        <w:bottom w:val="none" w:sz="0" w:space="0" w:color="auto"/>
        <w:right w:val="none" w:sz="0" w:space="0" w:color="auto"/>
      </w:divBdr>
    </w:div>
    <w:div w:id="223371814">
      <w:bodyDiv w:val="1"/>
      <w:marLeft w:val="0"/>
      <w:marRight w:val="0"/>
      <w:marTop w:val="0"/>
      <w:marBottom w:val="0"/>
      <w:divBdr>
        <w:top w:val="none" w:sz="0" w:space="0" w:color="auto"/>
        <w:left w:val="none" w:sz="0" w:space="0" w:color="auto"/>
        <w:bottom w:val="none" w:sz="0" w:space="0" w:color="auto"/>
        <w:right w:val="none" w:sz="0" w:space="0" w:color="auto"/>
      </w:divBdr>
    </w:div>
    <w:div w:id="223414188">
      <w:bodyDiv w:val="1"/>
      <w:marLeft w:val="0"/>
      <w:marRight w:val="0"/>
      <w:marTop w:val="0"/>
      <w:marBottom w:val="0"/>
      <w:divBdr>
        <w:top w:val="none" w:sz="0" w:space="0" w:color="auto"/>
        <w:left w:val="none" w:sz="0" w:space="0" w:color="auto"/>
        <w:bottom w:val="none" w:sz="0" w:space="0" w:color="auto"/>
        <w:right w:val="none" w:sz="0" w:space="0" w:color="auto"/>
      </w:divBdr>
    </w:div>
    <w:div w:id="223415382">
      <w:bodyDiv w:val="1"/>
      <w:marLeft w:val="0"/>
      <w:marRight w:val="0"/>
      <w:marTop w:val="0"/>
      <w:marBottom w:val="0"/>
      <w:divBdr>
        <w:top w:val="none" w:sz="0" w:space="0" w:color="auto"/>
        <w:left w:val="none" w:sz="0" w:space="0" w:color="auto"/>
        <w:bottom w:val="none" w:sz="0" w:space="0" w:color="auto"/>
        <w:right w:val="none" w:sz="0" w:space="0" w:color="auto"/>
      </w:divBdr>
    </w:div>
    <w:div w:id="223419452">
      <w:bodyDiv w:val="1"/>
      <w:marLeft w:val="0"/>
      <w:marRight w:val="0"/>
      <w:marTop w:val="0"/>
      <w:marBottom w:val="0"/>
      <w:divBdr>
        <w:top w:val="none" w:sz="0" w:space="0" w:color="auto"/>
        <w:left w:val="none" w:sz="0" w:space="0" w:color="auto"/>
        <w:bottom w:val="none" w:sz="0" w:space="0" w:color="auto"/>
        <w:right w:val="none" w:sz="0" w:space="0" w:color="auto"/>
      </w:divBdr>
    </w:div>
    <w:div w:id="223494724">
      <w:bodyDiv w:val="1"/>
      <w:marLeft w:val="0"/>
      <w:marRight w:val="0"/>
      <w:marTop w:val="0"/>
      <w:marBottom w:val="0"/>
      <w:divBdr>
        <w:top w:val="none" w:sz="0" w:space="0" w:color="auto"/>
        <w:left w:val="none" w:sz="0" w:space="0" w:color="auto"/>
        <w:bottom w:val="none" w:sz="0" w:space="0" w:color="auto"/>
        <w:right w:val="none" w:sz="0" w:space="0" w:color="auto"/>
      </w:divBdr>
    </w:div>
    <w:div w:id="223563228">
      <w:bodyDiv w:val="1"/>
      <w:marLeft w:val="0"/>
      <w:marRight w:val="0"/>
      <w:marTop w:val="0"/>
      <w:marBottom w:val="0"/>
      <w:divBdr>
        <w:top w:val="none" w:sz="0" w:space="0" w:color="auto"/>
        <w:left w:val="none" w:sz="0" w:space="0" w:color="auto"/>
        <w:bottom w:val="none" w:sz="0" w:space="0" w:color="auto"/>
        <w:right w:val="none" w:sz="0" w:space="0" w:color="auto"/>
      </w:divBdr>
    </w:div>
    <w:div w:id="223563554">
      <w:bodyDiv w:val="1"/>
      <w:marLeft w:val="0"/>
      <w:marRight w:val="0"/>
      <w:marTop w:val="0"/>
      <w:marBottom w:val="0"/>
      <w:divBdr>
        <w:top w:val="none" w:sz="0" w:space="0" w:color="auto"/>
        <w:left w:val="none" w:sz="0" w:space="0" w:color="auto"/>
        <w:bottom w:val="none" w:sz="0" w:space="0" w:color="auto"/>
        <w:right w:val="none" w:sz="0" w:space="0" w:color="auto"/>
      </w:divBdr>
    </w:div>
    <w:div w:id="223568600">
      <w:bodyDiv w:val="1"/>
      <w:marLeft w:val="0"/>
      <w:marRight w:val="0"/>
      <w:marTop w:val="0"/>
      <w:marBottom w:val="0"/>
      <w:divBdr>
        <w:top w:val="none" w:sz="0" w:space="0" w:color="auto"/>
        <w:left w:val="none" w:sz="0" w:space="0" w:color="auto"/>
        <w:bottom w:val="none" w:sz="0" w:space="0" w:color="auto"/>
        <w:right w:val="none" w:sz="0" w:space="0" w:color="auto"/>
      </w:divBdr>
    </w:div>
    <w:div w:id="223610698">
      <w:bodyDiv w:val="1"/>
      <w:marLeft w:val="0"/>
      <w:marRight w:val="0"/>
      <w:marTop w:val="0"/>
      <w:marBottom w:val="0"/>
      <w:divBdr>
        <w:top w:val="none" w:sz="0" w:space="0" w:color="auto"/>
        <w:left w:val="none" w:sz="0" w:space="0" w:color="auto"/>
        <w:bottom w:val="none" w:sz="0" w:space="0" w:color="auto"/>
        <w:right w:val="none" w:sz="0" w:space="0" w:color="auto"/>
      </w:divBdr>
    </w:div>
    <w:div w:id="223612533">
      <w:bodyDiv w:val="1"/>
      <w:marLeft w:val="0"/>
      <w:marRight w:val="0"/>
      <w:marTop w:val="0"/>
      <w:marBottom w:val="0"/>
      <w:divBdr>
        <w:top w:val="none" w:sz="0" w:space="0" w:color="auto"/>
        <w:left w:val="none" w:sz="0" w:space="0" w:color="auto"/>
        <w:bottom w:val="none" w:sz="0" w:space="0" w:color="auto"/>
        <w:right w:val="none" w:sz="0" w:space="0" w:color="auto"/>
      </w:divBdr>
    </w:div>
    <w:div w:id="223612793">
      <w:bodyDiv w:val="1"/>
      <w:marLeft w:val="0"/>
      <w:marRight w:val="0"/>
      <w:marTop w:val="0"/>
      <w:marBottom w:val="0"/>
      <w:divBdr>
        <w:top w:val="none" w:sz="0" w:space="0" w:color="auto"/>
        <w:left w:val="none" w:sz="0" w:space="0" w:color="auto"/>
        <w:bottom w:val="none" w:sz="0" w:space="0" w:color="auto"/>
        <w:right w:val="none" w:sz="0" w:space="0" w:color="auto"/>
      </w:divBdr>
    </w:div>
    <w:div w:id="223613319">
      <w:bodyDiv w:val="1"/>
      <w:marLeft w:val="0"/>
      <w:marRight w:val="0"/>
      <w:marTop w:val="0"/>
      <w:marBottom w:val="0"/>
      <w:divBdr>
        <w:top w:val="none" w:sz="0" w:space="0" w:color="auto"/>
        <w:left w:val="none" w:sz="0" w:space="0" w:color="auto"/>
        <w:bottom w:val="none" w:sz="0" w:space="0" w:color="auto"/>
        <w:right w:val="none" w:sz="0" w:space="0" w:color="auto"/>
      </w:divBdr>
    </w:div>
    <w:div w:id="223759607">
      <w:bodyDiv w:val="1"/>
      <w:marLeft w:val="0"/>
      <w:marRight w:val="0"/>
      <w:marTop w:val="0"/>
      <w:marBottom w:val="0"/>
      <w:divBdr>
        <w:top w:val="none" w:sz="0" w:space="0" w:color="auto"/>
        <w:left w:val="none" w:sz="0" w:space="0" w:color="auto"/>
        <w:bottom w:val="none" w:sz="0" w:space="0" w:color="auto"/>
        <w:right w:val="none" w:sz="0" w:space="0" w:color="auto"/>
      </w:divBdr>
    </w:div>
    <w:div w:id="224149733">
      <w:bodyDiv w:val="1"/>
      <w:marLeft w:val="0"/>
      <w:marRight w:val="0"/>
      <w:marTop w:val="0"/>
      <w:marBottom w:val="0"/>
      <w:divBdr>
        <w:top w:val="none" w:sz="0" w:space="0" w:color="auto"/>
        <w:left w:val="none" w:sz="0" w:space="0" w:color="auto"/>
        <w:bottom w:val="none" w:sz="0" w:space="0" w:color="auto"/>
        <w:right w:val="none" w:sz="0" w:space="0" w:color="auto"/>
      </w:divBdr>
    </w:div>
    <w:div w:id="224225235">
      <w:bodyDiv w:val="1"/>
      <w:marLeft w:val="0"/>
      <w:marRight w:val="0"/>
      <w:marTop w:val="0"/>
      <w:marBottom w:val="0"/>
      <w:divBdr>
        <w:top w:val="none" w:sz="0" w:space="0" w:color="auto"/>
        <w:left w:val="none" w:sz="0" w:space="0" w:color="auto"/>
        <w:bottom w:val="none" w:sz="0" w:space="0" w:color="auto"/>
        <w:right w:val="none" w:sz="0" w:space="0" w:color="auto"/>
      </w:divBdr>
    </w:div>
    <w:div w:id="224293544">
      <w:bodyDiv w:val="1"/>
      <w:marLeft w:val="0"/>
      <w:marRight w:val="0"/>
      <w:marTop w:val="0"/>
      <w:marBottom w:val="0"/>
      <w:divBdr>
        <w:top w:val="none" w:sz="0" w:space="0" w:color="auto"/>
        <w:left w:val="none" w:sz="0" w:space="0" w:color="auto"/>
        <w:bottom w:val="none" w:sz="0" w:space="0" w:color="auto"/>
        <w:right w:val="none" w:sz="0" w:space="0" w:color="auto"/>
      </w:divBdr>
    </w:div>
    <w:div w:id="224487419">
      <w:bodyDiv w:val="1"/>
      <w:marLeft w:val="0"/>
      <w:marRight w:val="0"/>
      <w:marTop w:val="0"/>
      <w:marBottom w:val="0"/>
      <w:divBdr>
        <w:top w:val="none" w:sz="0" w:space="0" w:color="auto"/>
        <w:left w:val="none" w:sz="0" w:space="0" w:color="auto"/>
        <w:bottom w:val="none" w:sz="0" w:space="0" w:color="auto"/>
        <w:right w:val="none" w:sz="0" w:space="0" w:color="auto"/>
      </w:divBdr>
    </w:div>
    <w:div w:id="224606322">
      <w:bodyDiv w:val="1"/>
      <w:marLeft w:val="0"/>
      <w:marRight w:val="0"/>
      <w:marTop w:val="0"/>
      <w:marBottom w:val="0"/>
      <w:divBdr>
        <w:top w:val="none" w:sz="0" w:space="0" w:color="auto"/>
        <w:left w:val="none" w:sz="0" w:space="0" w:color="auto"/>
        <w:bottom w:val="none" w:sz="0" w:space="0" w:color="auto"/>
        <w:right w:val="none" w:sz="0" w:space="0" w:color="auto"/>
      </w:divBdr>
    </w:div>
    <w:div w:id="224679351">
      <w:bodyDiv w:val="1"/>
      <w:marLeft w:val="0"/>
      <w:marRight w:val="0"/>
      <w:marTop w:val="0"/>
      <w:marBottom w:val="0"/>
      <w:divBdr>
        <w:top w:val="none" w:sz="0" w:space="0" w:color="auto"/>
        <w:left w:val="none" w:sz="0" w:space="0" w:color="auto"/>
        <w:bottom w:val="none" w:sz="0" w:space="0" w:color="auto"/>
        <w:right w:val="none" w:sz="0" w:space="0" w:color="auto"/>
      </w:divBdr>
    </w:div>
    <w:div w:id="224799865">
      <w:bodyDiv w:val="1"/>
      <w:marLeft w:val="0"/>
      <w:marRight w:val="0"/>
      <w:marTop w:val="0"/>
      <w:marBottom w:val="0"/>
      <w:divBdr>
        <w:top w:val="none" w:sz="0" w:space="0" w:color="auto"/>
        <w:left w:val="none" w:sz="0" w:space="0" w:color="auto"/>
        <w:bottom w:val="none" w:sz="0" w:space="0" w:color="auto"/>
        <w:right w:val="none" w:sz="0" w:space="0" w:color="auto"/>
      </w:divBdr>
    </w:div>
    <w:div w:id="224800522">
      <w:bodyDiv w:val="1"/>
      <w:marLeft w:val="0"/>
      <w:marRight w:val="0"/>
      <w:marTop w:val="0"/>
      <w:marBottom w:val="0"/>
      <w:divBdr>
        <w:top w:val="none" w:sz="0" w:space="0" w:color="auto"/>
        <w:left w:val="none" w:sz="0" w:space="0" w:color="auto"/>
        <w:bottom w:val="none" w:sz="0" w:space="0" w:color="auto"/>
        <w:right w:val="none" w:sz="0" w:space="0" w:color="auto"/>
      </w:divBdr>
    </w:div>
    <w:div w:id="224873225">
      <w:bodyDiv w:val="1"/>
      <w:marLeft w:val="0"/>
      <w:marRight w:val="0"/>
      <w:marTop w:val="0"/>
      <w:marBottom w:val="0"/>
      <w:divBdr>
        <w:top w:val="none" w:sz="0" w:space="0" w:color="auto"/>
        <w:left w:val="none" w:sz="0" w:space="0" w:color="auto"/>
        <w:bottom w:val="none" w:sz="0" w:space="0" w:color="auto"/>
        <w:right w:val="none" w:sz="0" w:space="0" w:color="auto"/>
      </w:divBdr>
    </w:div>
    <w:div w:id="224992539">
      <w:bodyDiv w:val="1"/>
      <w:marLeft w:val="0"/>
      <w:marRight w:val="0"/>
      <w:marTop w:val="0"/>
      <w:marBottom w:val="0"/>
      <w:divBdr>
        <w:top w:val="none" w:sz="0" w:space="0" w:color="auto"/>
        <w:left w:val="none" w:sz="0" w:space="0" w:color="auto"/>
        <w:bottom w:val="none" w:sz="0" w:space="0" w:color="auto"/>
        <w:right w:val="none" w:sz="0" w:space="0" w:color="auto"/>
      </w:divBdr>
    </w:div>
    <w:div w:id="225141981">
      <w:bodyDiv w:val="1"/>
      <w:marLeft w:val="0"/>
      <w:marRight w:val="0"/>
      <w:marTop w:val="0"/>
      <w:marBottom w:val="0"/>
      <w:divBdr>
        <w:top w:val="none" w:sz="0" w:space="0" w:color="auto"/>
        <w:left w:val="none" w:sz="0" w:space="0" w:color="auto"/>
        <w:bottom w:val="none" w:sz="0" w:space="0" w:color="auto"/>
        <w:right w:val="none" w:sz="0" w:space="0" w:color="auto"/>
      </w:divBdr>
    </w:div>
    <w:div w:id="225144527">
      <w:bodyDiv w:val="1"/>
      <w:marLeft w:val="0"/>
      <w:marRight w:val="0"/>
      <w:marTop w:val="0"/>
      <w:marBottom w:val="0"/>
      <w:divBdr>
        <w:top w:val="none" w:sz="0" w:space="0" w:color="auto"/>
        <w:left w:val="none" w:sz="0" w:space="0" w:color="auto"/>
        <w:bottom w:val="none" w:sz="0" w:space="0" w:color="auto"/>
        <w:right w:val="none" w:sz="0" w:space="0" w:color="auto"/>
      </w:divBdr>
    </w:div>
    <w:div w:id="225260618">
      <w:bodyDiv w:val="1"/>
      <w:marLeft w:val="0"/>
      <w:marRight w:val="0"/>
      <w:marTop w:val="0"/>
      <w:marBottom w:val="0"/>
      <w:divBdr>
        <w:top w:val="none" w:sz="0" w:space="0" w:color="auto"/>
        <w:left w:val="none" w:sz="0" w:space="0" w:color="auto"/>
        <w:bottom w:val="none" w:sz="0" w:space="0" w:color="auto"/>
        <w:right w:val="none" w:sz="0" w:space="0" w:color="auto"/>
      </w:divBdr>
    </w:div>
    <w:div w:id="225339730">
      <w:bodyDiv w:val="1"/>
      <w:marLeft w:val="0"/>
      <w:marRight w:val="0"/>
      <w:marTop w:val="0"/>
      <w:marBottom w:val="0"/>
      <w:divBdr>
        <w:top w:val="none" w:sz="0" w:space="0" w:color="auto"/>
        <w:left w:val="none" w:sz="0" w:space="0" w:color="auto"/>
        <w:bottom w:val="none" w:sz="0" w:space="0" w:color="auto"/>
        <w:right w:val="none" w:sz="0" w:space="0" w:color="auto"/>
      </w:divBdr>
    </w:div>
    <w:div w:id="225645774">
      <w:bodyDiv w:val="1"/>
      <w:marLeft w:val="0"/>
      <w:marRight w:val="0"/>
      <w:marTop w:val="0"/>
      <w:marBottom w:val="0"/>
      <w:divBdr>
        <w:top w:val="none" w:sz="0" w:space="0" w:color="auto"/>
        <w:left w:val="none" w:sz="0" w:space="0" w:color="auto"/>
        <w:bottom w:val="none" w:sz="0" w:space="0" w:color="auto"/>
        <w:right w:val="none" w:sz="0" w:space="0" w:color="auto"/>
      </w:divBdr>
    </w:div>
    <w:div w:id="225650866">
      <w:bodyDiv w:val="1"/>
      <w:marLeft w:val="0"/>
      <w:marRight w:val="0"/>
      <w:marTop w:val="0"/>
      <w:marBottom w:val="0"/>
      <w:divBdr>
        <w:top w:val="none" w:sz="0" w:space="0" w:color="auto"/>
        <w:left w:val="none" w:sz="0" w:space="0" w:color="auto"/>
        <w:bottom w:val="none" w:sz="0" w:space="0" w:color="auto"/>
        <w:right w:val="none" w:sz="0" w:space="0" w:color="auto"/>
      </w:divBdr>
    </w:div>
    <w:div w:id="225728485">
      <w:bodyDiv w:val="1"/>
      <w:marLeft w:val="0"/>
      <w:marRight w:val="0"/>
      <w:marTop w:val="0"/>
      <w:marBottom w:val="0"/>
      <w:divBdr>
        <w:top w:val="none" w:sz="0" w:space="0" w:color="auto"/>
        <w:left w:val="none" w:sz="0" w:space="0" w:color="auto"/>
        <w:bottom w:val="none" w:sz="0" w:space="0" w:color="auto"/>
        <w:right w:val="none" w:sz="0" w:space="0" w:color="auto"/>
      </w:divBdr>
    </w:div>
    <w:div w:id="225798203">
      <w:bodyDiv w:val="1"/>
      <w:marLeft w:val="0"/>
      <w:marRight w:val="0"/>
      <w:marTop w:val="0"/>
      <w:marBottom w:val="0"/>
      <w:divBdr>
        <w:top w:val="none" w:sz="0" w:space="0" w:color="auto"/>
        <w:left w:val="none" w:sz="0" w:space="0" w:color="auto"/>
        <w:bottom w:val="none" w:sz="0" w:space="0" w:color="auto"/>
        <w:right w:val="none" w:sz="0" w:space="0" w:color="auto"/>
      </w:divBdr>
    </w:div>
    <w:div w:id="225993869">
      <w:bodyDiv w:val="1"/>
      <w:marLeft w:val="0"/>
      <w:marRight w:val="0"/>
      <w:marTop w:val="0"/>
      <w:marBottom w:val="0"/>
      <w:divBdr>
        <w:top w:val="none" w:sz="0" w:space="0" w:color="auto"/>
        <w:left w:val="none" w:sz="0" w:space="0" w:color="auto"/>
        <w:bottom w:val="none" w:sz="0" w:space="0" w:color="auto"/>
        <w:right w:val="none" w:sz="0" w:space="0" w:color="auto"/>
      </w:divBdr>
    </w:div>
    <w:div w:id="225997149">
      <w:bodyDiv w:val="1"/>
      <w:marLeft w:val="0"/>
      <w:marRight w:val="0"/>
      <w:marTop w:val="0"/>
      <w:marBottom w:val="0"/>
      <w:divBdr>
        <w:top w:val="none" w:sz="0" w:space="0" w:color="auto"/>
        <w:left w:val="none" w:sz="0" w:space="0" w:color="auto"/>
        <w:bottom w:val="none" w:sz="0" w:space="0" w:color="auto"/>
        <w:right w:val="none" w:sz="0" w:space="0" w:color="auto"/>
      </w:divBdr>
    </w:div>
    <w:div w:id="226188213">
      <w:bodyDiv w:val="1"/>
      <w:marLeft w:val="0"/>
      <w:marRight w:val="0"/>
      <w:marTop w:val="0"/>
      <w:marBottom w:val="0"/>
      <w:divBdr>
        <w:top w:val="none" w:sz="0" w:space="0" w:color="auto"/>
        <w:left w:val="none" w:sz="0" w:space="0" w:color="auto"/>
        <w:bottom w:val="none" w:sz="0" w:space="0" w:color="auto"/>
        <w:right w:val="none" w:sz="0" w:space="0" w:color="auto"/>
      </w:divBdr>
    </w:div>
    <w:div w:id="226308463">
      <w:bodyDiv w:val="1"/>
      <w:marLeft w:val="0"/>
      <w:marRight w:val="0"/>
      <w:marTop w:val="0"/>
      <w:marBottom w:val="0"/>
      <w:divBdr>
        <w:top w:val="none" w:sz="0" w:space="0" w:color="auto"/>
        <w:left w:val="none" w:sz="0" w:space="0" w:color="auto"/>
        <w:bottom w:val="none" w:sz="0" w:space="0" w:color="auto"/>
        <w:right w:val="none" w:sz="0" w:space="0" w:color="auto"/>
      </w:divBdr>
    </w:div>
    <w:div w:id="226454988">
      <w:bodyDiv w:val="1"/>
      <w:marLeft w:val="0"/>
      <w:marRight w:val="0"/>
      <w:marTop w:val="0"/>
      <w:marBottom w:val="0"/>
      <w:divBdr>
        <w:top w:val="none" w:sz="0" w:space="0" w:color="auto"/>
        <w:left w:val="none" w:sz="0" w:space="0" w:color="auto"/>
        <w:bottom w:val="none" w:sz="0" w:space="0" w:color="auto"/>
        <w:right w:val="none" w:sz="0" w:space="0" w:color="auto"/>
      </w:divBdr>
    </w:div>
    <w:div w:id="226458223">
      <w:bodyDiv w:val="1"/>
      <w:marLeft w:val="0"/>
      <w:marRight w:val="0"/>
      <w:marTop w:val="0"/>
      <w:marBottom w:val="0"/>
      <w:divBdr>
        <w:top w:val="none" w:sz="0" w:space="0" w:color="auto"/>
        <w:left w:val="none" w:sz="0" w:space="0" w:color="auto"/>
        <w:bottom w:val="none" w:sz="0" w:space="0" w:color="auto"/>
        <w:right w:val="none" w:sz="0" w:space="0" w:color="auto"/>
      </w:divBdr>
    </w:div>
    <w:div w:id="226496903">
      <w:bodyDiv w:val="1"/>
      <w:marLeft w:val="0"/>
      <w:marRight w:val="0"/>
      <w:marTop w:val="0"/>
      <w:marBottom w:val="0"/>
      <w:divBdr>
        <w:top w:val="none" w:sz="0" w:space="0" w:color="auto"/>
        <w:left w:val="none" w:sz="0" w:space="0" w:color="auto"/>
        <w:bottom w:val="none" w:sz="0" w:space="0" w:color="auto"/>
        <w:right w:val="none" w:sz="0" w:space="0" w:color="auto"/>
      </w:divBdr>
    </w:div>
    <w:div w:id="226497038">
      <w:bodyDiv w:val="1"/>
      <w:marLeft w:val="0"/>
      <w:marRight w:val="0"/>
      <w:marTop w:val="0"/>
      <w:marBottom w:val="0"/>
      <w:divBdr>
        <w:top w:val="none" w:sz="0" w:space="0" w:color="auto"/>
        <w:left w:val="none" w:sz="0" w:space="0" w:color="auto"/>
        <w:bottom w:val="none" w:sz="0" w:space="0" w:color="auto"/>
        <w:right w:val="none" w:sz="0" w:space="0" w:color="auto"/>
      </w:divBdr>
    </w:div>
    <w:div w:id="226579137">
      <w:bodyDiv w:val="1"/>
      <w:marLeft w:val="0"/>
      <w:marRight w:val="0"/>
      <w:marTop w:val="0"/>
      <w:marBottom w:val="0"/>
      <w:divBdr>
        <w:top w:val="none" w:sz="0" w:space="0" w:color="auto"/>
        <w:left w:val="none" w:sz="0" w:space="0" w:color="auto"/>
        <w:bottom w:val="none" w:sz="0" w:space="0" w:color="auto"/>
        <w:right w:val="none" w:sz="0" w:space="0" w:color="auto"/>
      </w:divBdr>
    </w:div>
    <w:div w:id="226645454">
      <w:bodyDiv w:val="1"/>
      <w:marLeft w:val="0"/>
      <w:marRight w:val="0"/>
      <w:marTop w:val="0"/>
      <w:marBottom w:val="0"/>
      <w:divBdr>
        <w:top w:val="none" w:sz="0" w:space="0" w:color="auto"/>
        <w:left w:val="none" w:sz="0" w:space="0" w:color="auto"/>
        <w:bottom w:val="none" w:sz="0" w:space="0" w:color="auto"/>
        <w:right w:val="none" w:sz="0" w:space="0" w:color="auto"/>
      </w:divBdr>
    </w:div>
    <w:div w:id="226689608">
      <w:bodyDiv w:val="1"/>
      <w:marLeft w:val="0"/>
      <w:marRight w:val="0"/>
      <w:marTop w:val="0"/>
      <w:marBottom w:val="0"/>
      <w:divBdr>
        <w:top w:val="none" w:sz="0" w:space="0" w:color="auto"/>
        <w:left w:val="none" w:sz="0" w:space="0" w:color="auto"/>
        <w:bottom w:val="none" w:sz="0" w:space="0" w:color="auto"/>
        <w:right w:val="none" w:sz="0" w:space="0" w:color="auto"/>
      </w:divBdr>
    </w:div>
    <w:div w:id="226694380">
      <w:bodyDiv w:val="1"/>
      <w:marLeft w:val="0"/>
      <w:marRight w:val="0"/>
      <w:marTop w:val="0"/>
      <w:marBottom w:val="0"/>
      <w:divBdr>
        <w:top w:val="none" w:sz="0" w:space="0" w:color="auto"/>
        <w:left w:val="none" w:sz="0" w:space="0" w:color="auto"/>
        <w:bottom w:val="none" w:sz="0" w:space="0" w:color="auto"/>
        <w:right w:val="none" w:sz="0" w:space="0" w:color="auto"/>
      </w:divBdr>
    </w:div>
    <w:div w:id="226695566">
      <w:bodyDiv w:val="1"/>
      <w:marLeft w:val="0"/>
      <w:marRight w:val="0"/>
      <w:marTop w:val="0"/>
      <w:marBottom w:val="0"/>
      <w:divBdr>
        <w:top w:val="none" w:sz="0" w:space="0" w:color="auto"/>
        <w:left w:val="none" w:sz="0" w:space="0" w:color="auto"/>
        <w:bottom w:val="none" w:sz="0" w:space="0" w:color="auto"/>
        <w:right w:val="none" w:sz="0" w:space="0" w:color="auto"/>
      </w:divBdr>
    </w:div>
    <w:div w:id="226720235">
      <w:bodyDiv w:val="1"/>
      <w:marLeft w:val="0"/>
      <w:marRight w:val="0"/>
      <w:marTop w:val="0"/>
      <w:marBottom w:val="0"/>
      <w:divBdr>
        <w:top w:val="none" w:sz="0" w:space="0" w:color="auto"/>
        <w:left w:val="none" w:sz="0" w:space="0" w:color="auto"/>
        <w:bottom w:val="none" w:sz="0" w:space="0" w:color="auto"/>
        <w:right w:val="none" w:sz="0" w:space="0" w:color="auto"/>
      </w:divBdr>
    </w:div>
    <w:div w:id="226720532">
      <w:bodyDiv w:val="1"/>
      <w:marLeft w:val="0"/>
      <w:marRight w:val="0"/>
      <w:marTop w:val="0"/>
      <w:marBottom w:val="0"/>
      <w:divBdr>
        <w:top w:val="none" w:sz="0" w:space="0" w:color="auto"/>
        <w:left w:val="none" w:sz="0" w:space="0" w:color="auto"/>
        <w:bottom w:val="none" w:sz="0" w:space="0" w:color="auto"/>
        <w:right w:val="none" w:sz="0" w:space="0" w:color="auto"/>
      </w:divBdr>
    </w:div>
    <w:div w:id="226764648">
      <w:bodyDiv w:val="1"/>
      <w:marLeft w:val="0"/>
      <w:marRight w:val="0"/>
      <w:marTop w:val="0"/>
      <w:marBottom w:val="0"/>
      <w:divBdr>
        <w:top w:val="none" w:sz="0" w:space="0" w:color="auto"/>
        <w:left w:val="none" w:sz="0" w:space="0" w:color="auto"/>
        <w:bottom w:val="none" w:sz="0" w:space="0" w:color="auto"/>
        <w:right w:val="none" w:sz="0" w:space="0" w:color="auto"/>
      </w:divBdr>
    </w:div>
    <w:div w:id="226961551">
      <w:bodyDiv w:val="1"/>
      <w:marLeft w:val="0"/>
      <w:marRight w:val="0"/>
      <w:marTop w:val="0"/>
      <w:marBottom w:val="0"/>
      <w:divBdr>
        <w:top w:val="none" w:sz="0" w:space="0" w:color="auto"/>
        <w:left w:val="none" w:sz="0" w:space="0" w:color="auto"/>
        <w:bottom w:val="none" w:sz="0" w:space="0" w:color="auto"/>
        <w:right w:val="none" w:sz="0" w:space="0" w:color="auto"/>
      </w:divBdr>
    </w:div>
    <w:div w:id="226962007">
      <w:bodyDiv w:val="1"/>
      <w:marLeft w:val="0"/>
      <w:marRight w:val="0"/>
      <w:marTop w:val="0"/>
      <w:marBottom w:val="0"/>
      <w:divBdr>
        <w:top w:val="none" w:sz="0" w:space="0" w:color="auto"/>
        <w:left w:val="none" w:sz="0" w:space="0" w:color="auto"/>
        <w:bottom w:val="none" w:sz="0" w:space="0" w:color="auto"/>
        <w:right w:val="none" w:sz="0" w:space="0" w:color="auto"/>
      </w:divBdr>
    </w:div>
    <w:div w:id="226962348">
      <w:bodyDiv w:val="1"/>
      <w:marLeft w:val="0"/>
      <w:marRight w:val="0"/>
      <w:marTop w:val="0"/>
      <w:marBottom w:val="0"/>
      <w:divBdr>
        <w:top w:val="none" w:sz="0" w:space="0" w:color="auto"/>
        <w:left w:val="none" w:sz="0" w:space="0" w:color="auto"/>
        <w:bottom w:val="none" w:sz="0" w:space="0" w:color="auto"/>
        <w:right w:val="none" w:sz="0" w:space="0" w:color="auto"/>
      </w:divBdr>
    </w:div>
    <w:div w:id="227034000">
      <w:bodyDiv w:val="1"/>
      <w:marLeft w:val="0"/>
      <w:marRight w:val="0"/>
      <w:marTop w:val="0"/>
      <w:marBottom w:val="0"/>
      <w:divBdr>
        <w:top w:val="none" w:sz="0" w:space="0" w:color="auto"/>
        <w:left w:val="none" w:sz="0" w:space="0" w:color="auto"/>
        <w:bottom w:val="none" w:sz="0" w:space="0" w:color="auto"/>
        <w:right w:val="none" w:sz="0" w:space="0" w:color="auto"/>
      </w:divBdr>
    </w:div>
    <w:div w:id="227036976">
      <w:bodyDiv w:val="1"/>
      <w:marLeft w:val="0"/>
      <w:marRight w:val="0"/>
      <w:marTop w:val="0"/>
      <w:marBottom w:val="0"/>
      <w:divBdr>
        <w:top w:val="none" w:sz="0" w:space="0" w:color="auto"/>
        <w:left w:val="none" w:sz="0" w:space="0" w:color="auto"/>
        <w:bottom w:val="none" w:sz="0" w:space="0" w:color="auto"/>
        <w:right w:val="none" w:sz="0" w:space="0" w:color="auto"/>
      </w:divBdr>
    </w:div>
    <w:div w:id="227110946">
      <w:bodyDiv w:val="1"/>
      <w:marLeft w:val="0"/>
      <w:marRight w:val="0"/>
      <w:marTop w:val="0"/>
      <w:marBottom w:val="0"/>
      <w:divBdr>
        <w:top w:val="none" w:sz="0" w:space="0" w:color="auto"/>
        <w:left w:val="none" w:sz="0" w:space="0" w:color="auto"/>
        <w:bottom w:val="none" w:sz="0" w:space="0" w:color="auto"/>
        <w:right w:val="none" w:sz="0" w:space="0" w:color="auto"/>
      </w:divBdr>
    </w:div>
    <w:div w:id="227158800">
      <w:bodyDiv w:val="1"/>
      <w:marLeft w:val="0"/>
      <w:marRight w:val="0"/>
      <w:marTop w:val="0"/>
      <w:marBottom w:val="0"/>
      <w:divBdr>
        <w:top w:val="none" w:sz="0" w:space="0" w:color="auto"/>
        <w:left w:val="none" w:sz="0" w:space="0" w:color="auto"/>
        <w:bottom w:val="none" w:sz="0" w:space="0" w:color="auto"/>
        <w:right w:val="none" w:sz="0" w:space="0" w:color="auto"/>
      </w:divBdr>
    </w:div>
    <w:div w:id="227495538">
      <w:bodyDiv w:val="1"/>
      <w:marLeft w:val="0"/>
      <w:marRight w:val="0"/>
      <w:marTop w:val="0"/>
      <w:marBottom w:val="0"/>
      <w:divBdr>
        <w:top w:val="none" w:sz="0" w:space="0" w:color="auto"/>
        <w:left w:val="none" w:sz="0" w:space="0" w:color="auto"/>
        <w:bottom w:val="none" w:sz="0" w:space="0" w:color="auto"/>
        <w:right w:val="none" w:sz="0" w:space="0" w:color="auto"/>
      </w:divBdr>
    </w:div>
    <w:div w:id="227497092">
      <w:bodyDiv w:val="1"/>
      <w:marLeft w:val="0"/>
      <w:marRight w:val="0"/>
      <w:marTop w:val="0"/>
      <w:marBottom w:val="0"/>
      <w:divBdr>
        <w:top w:val="none" w:sz="0" w:space="0" w:color="auto"/>
        <w:left w:val="none" w:sz="0" w:space="0" w:color="auto"/>
        <w:bottom w:val="none" w:sz="0" w:space="0" w:color="auto"/>
        <w:right w:val="none" w:sz="0" w:space="0" w:color="auto"/>
      </w:divBdr>
    </w:div>
    <w:div w:id="227542057">
      <w:bodyDiv w:val="1"/>
      <w:marLeft w:val="0"/>
      <w:marRight w:val="0"/>
      <w:marTop w:val="0"/>
      <w:marBottom w:val="0"/>
      <w:divBdr>
        <w:top w:val="none" w:sz="0" w:space="0" w:color="auto"/>
        <w:left w:val="none" w:sz="0" w:space="0" w:color="auto"/>
        <w:bottom w:val="none" w:sz="0" w:space="0" w:color="auto"/>
        <w:right w:val="none" w:sz="0" w:space="0" w:color="auto"/>
      </w:divBdr>
    </w:div>
    <w:div w:id="227621117">
      <w:bodyDiv w:val="1"/>
      <w:marLeft w:val="0"/>
      <w:marRight w:val="0"/>
      <w:marTop w:val="0"/>
      <w:marBottom w:val="0"/>
      <w:divBdr>
        <w:top w:val="none" w:sz="0" w:space="0" w:color="auto"/>
        <w:left w:val="none" w:sz="0" w:space="0" w:color="auto"/>
        <w:bottom w:val="none" w:sz="0" w:space="0" w:color="auto"/>
        <w:right w:val="none" w:sz="0" w:space="0" w:color="auto"/>
      </w:divBdr>
    </w:div>
    <w:div w:id="227767906">
      <w:bodyDiv w:val="1"/>
      <w:marLeft w:val="0"/>
      <w:marRight w:val="0"/>
      <w:marTop w:val="0"/>
      <w:marBottom w:val="0"/>
      <w:divBdr>
        <w:top w:val="none" w:sz="0" w:space="0" w:color="auto"/>
        <w:left w:val="none" w:sz="0" w:space="0" w:color="auto"/>
        <w:bottom w:val="none" w:sz="0" w:space="0" w:color="auto"/>
        <w:right w:val="none" w:sz="0" w:space="0" w:color="auto"/>
      </w:divBdr>
    </w:div>
    <w:div w:id="227813442">
      <w:bodyDiv w:val="1"/>
      <w:marLeft w:val="0"/>
      <w:marRight w:val="0"/>
      <w:marTop w:val="0"/>
      <w:marBottom w:val="0"/>
      <w:divBdr>
        <w:top w:val="none" w:sz="0" w:space="0" w:color="auto"/>
        <w:left w:val="none" w:sz="0" w:space="0" w:color="auto"/>
        <w:bottom w:val="none" w:sz="0" w:space="0" w:color="auto"/>
        <w:right w:val="none" w:sz="0" w:space="0" w:color="auto"/>
      </w:divBdr>
    </w:div>
    <w:div w:id="227813533">
      <w:bodyDiv w:val="1"/>
      <w:marLeft w:val="0"/>
      <w:marRight w:val="0"/>
      <w:marTop w:val="0"/>
      <w:marBottom w:val="0"/>
      <w:divBdr>
        <w:top w:val="none" w:sz="0" w:space="0" w:color="auto"/>
        <w:left w:val="none" w:sz="0" w:space="0" w:color="auto"/>
        <w:bottom w:val="none" w:sz="0" w:space="0" w:color="auto"/>
        <w:right w:val="none" w:sz="0" w:space="0" w:color="auto"/>
      </w:divBdr>
    </w:div>
    <w:div w:id="228005011">
      <w:bodyDiv w:val="1"/>
      <w:marLeft w:val="0"/>
      <w:marRight w:val="0"/>
      <w:marTop w:val="0"/>
      <w:marBottom w:val="0"/>
      <w:divBdr>
        <w:top w:val="none" w:sz="0" w:space="0" w:color="auto"/>
        <w:left w:val="none" w:sz="0" w:space="0" w:color="auto"/>
        <w:bottom w:val="none" w:sz="0" w:space="0" w:color="auto"/>
        <w:right w:val="none" w:sz="0" w:space="0" w:color="auto"/>
      </w:divBdr>
    </w:div>
    <w:div w:id="228226390">
      <w:bodyDiv w:val="1"/>
      <w:marLeft w:val="0"/>
      <w:marRight w:val="0"/>
      <w:marTop w:val="0"/>
      <w:marBottom w:val="0"/>
      <w:divBdr>
        <w:top w:val="none" w:sz="0" w:space="0" w:color="auto"/>
        <w:left w:val="none" w:sz="0" w:space="0" w:color="auto"/>
        <w:bottom w:val="none" w:sz="0" w:space="0" w:color="auto"/>
        <w:right w:val="none" w:sz="0" w:space="0" w:color="auto"/>
      </w:divBdr>
    </w:div>
    <w:div w:id="228267532">
      <w:bodyDiv w:val="1"/>
      <w:marLeft w:val="0"/>
      <w:marRight w:val="0"/>
      <w:marTop w:val="0"/>
      <w:marBottom w:val="0"/>
      <w:divBdr>
        <w:top w:val="none" w:sz="0" w:space="0" w:color="auto"/>
        <w:left w:val="none" w:sz="0" w:space="0" w:color="auto"/>
        <w:bottom w:val="none" w:sz="0" w:space="0" w:color="auto"/>
        <w:right w:val="none" w:sz="0" w:space="0" w:color="auto"/>
      </w:divBdr>
    </w:div>
    <w:div w:id="228419232">
      <w:bodyDiv w:val="1"/>
      <w:marLeft w:val="0"/>
      <w:marRight w:val="0"/>
      <w:marTop w:val="0"/>
      <w:marBottom w:val="0"/>
      <w:divBdr>
        <w:top w:val="none" w:sz="0" w:space="0" w:color="auto"/>
        <w:left w:val="none" w:sz="0" w:space="0" w:color="auto"/>
        <w:bottom w:val="none" w:sz="0" w:space="0" w:color="auto"/>
        <w:right w:val="none" w:sz="0" w:space="0" w:color="auto"/>
      </w:divBdr>
    </w:div>
    <w:div w:id="228460496">
      <w:bodyDiv w:val="1"/>
      <w:marLeft w:val="0"/>
      <w:marRight w:val="0"/>
      <w:marTop w:val="0"/>
      <w:marBottom w:val="0"/>
      <w:divBdr>
        <w:top w:val="none" w:sz="0" w:space="0" w:color="auto"/>
        <w:left w:val="none" w:sz="0" w:space="0" w:color="auto"/>
        <w:bottom w:val="none" w:sz="0" w:space="0" w:color="auto"/>
        <w:right w:val="none" w:sz="0" w:space="0" w:color="auto"/>
      </w:divBdr>
    </w:div>
    <w:div w:id="228465522">
      <w:bodyDiv w:val="1"/>
      <w:marLeft w:val="0"/>
      <w:marRight w:val="0"/>
      <w:marTop w:val="0"/>
      <w:marBottom w:val="0"/>
      <w:divBdr>
        <w:top w:val="none" w:sz="0" w:space="0" w:color="auto"/>
        <w:left w:val="none" w:sz="0" w:space="0" w:color="auto"/>
        <w:bottom w:val="none" w:sz="0" w:space="0" w:color="auto"/>
        <w:right w:val="none" w:sz="0" w:space="0" w:color="auto"/>
      </w:divBdr>
    </w:div>
    <w:div w:id="228542957">
      <w:bodyDiv w:val="1"/>
      <w:marLeft w:val="0"/>
      <w:marRight w:val="0"/>
      <w:marTop w:val="0"/>
      <w:marBottom w:val="0"/>
      <w:divBdr>
        <w:top w:val="none" w:sz="0" w:space="0" w:color="auto"/>
        <w:left w:val="none" w:sz="0" w:space="0" w:color="auto"/>
        <w:bottom w:val="none" w:sz="0" w:space="0" w:color="auto"/>
        <w:right w:val="none" w:sz="0" w:space="0" w:color="auto"/>
      </w:divBdr>
    </w:div>
    <w:div w:id="228618845">
      <w:bodyDiv w:val="1"/>
      <w:marLeft w:val="0"/>
      <w:marRight w:val="0"/>
      <w:marTop w:val="0"/>
      <w:marBottom w:val="0"/>
      <w:divBdr>
        <w:top w:val="none" w:sz="0" w:space="0" w:color="auto"/>
        <w:left w:val="none" w:sz="0" w:space="0" w:color="auto"/>
        <w:bottom w:val="none" w:sz="0" w:space="0" w:color="auto"/>
        <w:right w:val="none" w:sz="0" w:space="0" w:color="auto"/>
      </w:divBdr>
    </w:div>
    <w:div w:id="228812404">
      <w:bodyDiv w:val="1"/>
      <w:marLeft w:val="0"/>
      <w:marRight w:val="0"/>
      <w:marTop w:val="0"/>
      <w:marBottom w:val="0"/>
      <w:divBdr>
        <w:top w:val="none" w:sz="0" w:space="0" w:color="auto"/>
        <w:left w:val="none" w:sz="0" w:space="0" w:color="auto"/>
        <w:bottom w:val="none" w:sz="0" w:space="0" w:color="auto"/>
        <w:right w:val="none" w:sz="0" w:space="0" w:color="auto"/>
      </w:divBdr>
    </w:div>
    <w:div w:id="228812666">
      <w:bodyDiv w:val="1"/>
      <w:marLeft w:val="0"/>
      <w:marRight w:val="0"/>
      <w:marTop w:val="0"/>
      <w:marBottom w:val="0"/>
      <w:divBdr>
        <w:top w:val="none" w:sz="0" w:space="0" w:color="auto"/>
        <w:left w:val="none" w:sz="0" w:space="0" w:color="auto"/>
        <w:bottom w:val="none" w:sz="0" w:space="0" w:color="auto"/>
        <w:right w:val="none" w:sz="0" w:space="0" w:color="auto"/>
      </w:divBdr>
    </w:div>
    <w:div w:id="228926745">
      <w:bodyDiv w:val="1"/>
      <w:marLeft w:val="0"/>
      <w:marRight w:val="0"/>
      <w:marTop w:val="0"/>
      <w:marBottom w:val="0"/>
      <w:divBdr>
        <w:top w:val="none" w:sz="0" w:space="0" w:color="auto"/>
        <w:left w:val="none" w:sz="0" w:space="0" w:color="auto"/>
        <w:bottom w:val="none" w:sz="0" w:space="0" w:color="auto"/>
        <w:right w:val="none" w:sz="0" w:space="0" w:color="auto"/>
      </w:divBdr>
    </w:div>
    <w:div w:id="228998321">
      <w:bodyDiv w:val="1"/>
      <w:marLeft w:val="0"/>
      <w:marRight w:val="0"/>
      <w:marTop w:val="0"/>
      <w:marBottom w:val="0"/>
      <w:divBdr>
        <w:top w:val="none" w:sz="0" w:space="0" w:color="auto"/>
        <w:left w:val="none" w:sz="0" w:space="0" w:color="auto"/>
        <w:bottom w:val="none" w:sz="0" w:space="0" w:color="auto"/>
        <w:right w:val="none" w:sz="0" w:space="0" w:color="auto"/>
      </w:divBdr>
    </w:div>
    <w:div w:id="229002633">
      <w:bodyDiv w:val="1"/>
      <w:marLeft w:val="0"/>
      <w:marRight w:val="0"/>
      <w:marTop w:val="0"/>
      <w:marBottom w:val="0"/>
      <w:divBdr>
        <w:top w:val="none" w:sz="0" w:space="0" w:color="auto"/>
        <w:left w:val="none" w:sz="0" w:space="0" w:color="auto"/>
        <w:bottom w:val="none" w:sz="0" w:space="0" w:color="auto"/>
        <w:right w:val="none" w:sz="0" w:space="0" w:color="auto"/>
      </w:divBdr>
    </w:div>
    <w:div w:id="229003443">
      <w:bodyDiv w:val="1"/>
      <w:marLeft w:val="0"/>
      <w:marRight w:val="0"/>
      <w:marTop w:val="0"/>
      <w:marBottom w:val="0"/>
      <w:divBdr>
        <w:top w:val="none" w:sz="0" w:space="0" w:color="auto"/>
        <w:left w:val="none" w:sz="0" w:space="0" w:color="auto"/>
        <w:bottom w:val="none" w:sz="0" w:space="0" w:color="auto"/>
        <w:right w:val="none" w:sz="0" w:space="0" w:color="auto"/>
      </w:divBdr>
    </w:div>
    <w:div w:id="229073463">
      <w:bodyDiv w:val="1"/>
      <w:marLeft w:val="0"/>
      <w:marRight w:val="0"/>
      <w:marTop w:val="0"/>
      <w:marBottom w:val="0"/>
      <w:divBdr>
        <w:top w:val="none" w:sz="0" w:space="0" w:color="auto"/>
        <w:left w:val="none" w:sz="0" w:space="0" w:color="auto"/>
        <w:bottom w:val="none" w:sz="0" w:space="0" w:color="auto"/>
        <w:right w:val="none" w:sz="0" w:space="0" w:color="auto"/>
      </w:divBdr>
    </w:div>
    <w:div w:id="229076178">
      <w:bodyDiv w:val="1"/>
      <w:marLeft w:val="0"/>
      <w:marRight w:val="0"/>
      <w:marTop w:val="0"/>
      <w:marBottom w:val="0"/>
      <w:divBdr>
        <w:top w:val="none" w:sz="0" w:space="0" w:color="auto"/>
        <w:left w:val="none" w:sz="0" w:space="0" w:color="auto"/>
        <w:bottom w:val="none" w:sz="0" w:space="0" w:color="auto"/>
        <w:right w:val="none" w:sz="0" w:space="0" w:color="auto"/>
      </w:divBdr>
    </w:div>
    <w:div w:id="229121252">
      <w:bodyDiv w:val="1"/>
      <w:marLeft w:val="0"/>
      <w:marRight w:val="0"/>
      <w:marTop w:val="0"/>
      <w:marBottom w:val="0"/>
      <w:divBdr>
        <w:top w:val="none" w:sz="0" w:space="0" w:color="auto"/>
        <w:left w:val="none" w:sz="0" w:space="0" w:color="auto"/>
        <w:bottom w:val="none" w:sz="0" w:space="0" w:color="auto"/>
        <w:right w:val="none" w:sz="0" w:space="0" w:color="auto"/>
      </w:divBdr>
    </w:div>
    <w:div w:id="229122429">
      <w:bodyDiv w:val="1"/>
      <w:marLeft w:val="0"/>
      <w:marRight w:val="0"/>
      <w:marTop w:val="0"/>
      <w:marBottom w:val="0"/>
      <w:divBdr>
        <w:top w:val="none" w:sz="0" w:space="0" w:color="auto"/>
        <w:left w:val="none" w:sz="0" w:space="0" w:color="auto"/>
        <w:bottom w:val="none" w:sz="0" w:space="0" w:color="auto"/>
        <w:right w:val="none" w:sz="0" w:space="0" w:color="auto"/>
      </w:divBdr>
    </w:div>
    <w:div w:id="229267799">
      <w:bodyDiv w:val="1"/>
      <w:marLeft w:val="0"/>
      <w:marRight w:val="0"/>
      <w:marTop w:val="0"/>
      <w:marBottom w:val="0"/>
      <w:divBdr>
        <w:top w:val="none" w:sz="0" w:space="0" w:color="auto"/>
        <w:left w:val="none" w:sz="0" w:space="0" w:color="auto"/>
        <w:bottom w:val="none" w:sz="0" w:space="0" w:color="auto"/>
        <w:right w:val="none" w:sz="0" w:space="0" w:color="auto"/>
      </w:divBdr>
    </w:div>
    <w:div w:id="229318115">
      <w:bodyDiv w:val="1"/>
      <w:marLeft w:val="0"/>
      <w:marRight w:val="0"/>
      <w:marTop w:val="0"/>
      <w:marBottom w:val="0"/>
      <w:divBdr>
        <w:top w:val="none" w:sz="0" w:space="0" w:color="auto"/>
        <w:left w:val="none" w:sz="0" w:space="0" w:color="auto"/>
        <w:bottom w:val="none" w:sz="0" w:space="0" w:color="auto"/>
        <w:right w:val="none" w:sz="0" w:space="0" w:color="auto"/>
      </w:divBdr>
    </w:div>
    <w:div w:id="229463091">
      <w:bodyDiv w:val="1"/>
      <w:marLeft w:val="0"/>
      <w:marRight w:val="0"/>
      <w:marTop w:val="0"/>
      <w:marBottom w:val="0"/>
      <w:divBdr>
        <w:top w:val="none" w:sz="0" w:space="0" w:color="auto"/>
        <w:left w:val="none" w:sz="0" w:space="0" w:color="auto"/>
        <w:bottom w:val="none" w:sz="0" w:space="0" w:color="auto"/>
        <w:right w:val="none" w:sz="0" w:space="0" w:color="auto"/>
      </w:divBdr>
    </w:div>
    <w:div w:id="229467942">
      <w:bodyDiv w:val="1"/>
      <w:marLeft w:val="0"/>
      <w:marRight w:val="0"/>
      <w:marTop w:val="0"/>
      <w:marBottom w:val="0"/>
      <w:divBdr>
        <w:top w:val="none" w:sz="0" w:space="0" w:color="auto"/>
        <w:left w:val="none" w:sz="0" w:space="0" w:color="auto"/>
        <w:bottom w:val="none" w:sz="0" w:space="0" w:color="auto"/>
        <w:right w:val="none" w:sz="0" w:space="0" w:color="auto"/>
      </w:divBdr>
    </w:div>
    <w:div w:id="229660310">
      <w:bodyDiv w:val="1"/>
      <w:marLeft w:val="0"/>
      <w:marRight w:val="0"/>
      <w:marTop w:val="0"/>
      <w:marBottom w:val="0"/>
      <w:divBdr>
        <w:top w:val="none" w:sz="0" w:space="0" w:color="auto"/>
        <w:left w:val="none" w:sz="0" w:space="0" w:color="auto"/>
        <w:bottom w:val="none" w:sz="0" w:space="0" w:color="auto"/>
        <w:right w:val="none" w:sz="0" w:space="0" w:color="auto"/>
      </w:divBdr>
    </w:div>
    <w:div w:id="229661617">
      <w:bodyDiv w:val="1"/>
      <w:marLeft w:val="0"/>
      <w:marRight w:val="0"/>
      <w:marTop w:val="0"/>
      <w:marBottom w:val="0"/>
      <w:divBdr>
        <w:top w:val="none" w:sz="0" w:space="0" w:color="auto"/>
        <w:left w:val="none" w:sz="0" w:space="0" w:color="auto"/>
        <w:bottom w:val="none" w:sz="0" w:space="0" w:color="auto"/>
        <w:right w:val="none" w:sz="0" w:space="0" w:color="auto"/>
      </w:divBdr>
    </w:div>
    <w:div w:id="229731675">
      <w:bodyDiv w:val="1"/>
      <w:marLeft w:val="0"/>
      <w:marRight w:val="0"/>
      <w:marTop w:val="0"/>
      <w:marBottom w:val="0"/>
      <w:divBdr>
        <w:top w:val="none" w:sz="0" w:space="0" w:color="auto"/>
        <w:left w:val="none" w:sz="0" w:space="0" w:color="auto"/>
        <w:bottom w:val="none" w:sz="0" w:space="0" w:color="auto"/>
        <w:right w:val="none" w:sz="0" w:space="0" w:color="auto"/>
      </w:divBdr>
    </w:div>
    <w:div w:id="229778042">
      <w:bodyDiv w:val="1"/>
      <w:marLeft w:val="0"/>
      <w:marRight w:val="0"/>
      <w:marTop w:val="0"/>
      <w:marBottom w:val="0"/>
      <w:divBdr>
        <w:top w:val="none" w:sz="0" w:space="0" w:color="auto"/>
        <w:left w:val="none" w:sz="0" w:space="0" w:color="auto"/>
        <w:bottom w:val="none" w:sz="0" w:space="0" w:color="auto"/>
        <w:right w:val="none" w:sz="0" w:space="0" w:color="auto"/>
      </w:divBdr>
    </w:div>
    <w:div w:id="229779137">
      <w:bodyDiv w:val="1"/>
      <w:marLeft w:val="0"/>
      <w:marRight w:val="0"/>
      <w:marTop w:val="0"/>
      <w:marBottom w:val="0"/>
      <w:divBdr>
        <w:top w:val="none" w:sz="0" w:space="0" w:color="auto"/>
        <w:left w:val="none" w:sz="0" w:space="0" w:color="auto"/>
        <w:bottom w:val="none" w:sz="0" w:space="0" w:color="auto"/>
        <w:right w:val="none" w:sz="0" w:space="0" w:color="auto"/>
      </w:divBdr>
    </w:div>
    <w:div w:id="229929616">
      <w:bodyDiv w:val="1"/>
      <w:marLeft w:val="0"/>
      <w:marRight w:val="0"/>
      <w:marTop w:val="0"/>
      <w:marBottom w:val="0"/>
      <w:divBdr>
        <w:top w:val="none" w:sz="0" w:space="0" w:color="auto"/>
        <w:left w:val="none" w:sz="0" w:space="0" w:color="auto"/>
        <w:bottom w:val="none" w:sz="0" w:space="0" w:color="auto"/>
        <w:right w:val="none" w:sz="0" w:space="0" w:color="auto"/>
      </w:divBdr>
    </w:div>
    <w:div w:id="229930144">
      <w:bodyDiv w:val="1"/>
      <w:marLeft w:val="0"/>
      <w:marRight w:val="0"/>
      <w:marTop w:val="0"/>
      <w:marBottom w:val="0"/>
      <w:divBdr>
        <w:top w:val="none" w:sz="0" w:space="0" w:color="auto"/>
        <w:left w:val="none" w:sz="0" w:space="0" w:color="auto"/>
        <w:bottom w:val="none" w:sz="0" w:space="0" w:color="auto"/>
        <w:right w:val="none" w:sz="0" w:space="0" w:color="auto"/>
      </w:divBdr>
    </w:div>
    <w:div w:id="229966589">
      <w:bodyDiv w:val="1"/>
      <w:marLeft w:val="0"/>
      <w:marRight w:val="0"/>
      <w:marTop w:val="0"/>
      <w:marBottom w:val="0"/>
      <w:divBdr>
        <w:top w:val="none" w:sz="0" w:space="0" w:color="auto"/>
        <w:left w:val="none" w:sz="0" w:space="0" w:color="auto"/>
        <w:bottom w:val="none" w:sz="0" w:space="0" w:color="auto"/>
        <w:right w:val="none" w:sz="0" w:space="0" w:color="auto"/>
      </w:divBdr>
    </w:div>
    <w:div w:id="230233046">
      <w:bodyDiv w:val="1"/>
      <w:marLeft w:val="0"/>
      <w:marRight w:val="0"/>
      <w:marTop w:val="0"/>
      <w:marBottom w:val="0"/>
      <w:divBdr>
        <w:top w:val="none" w:sz="0" w:space="0" w:color="auto"/>
        <w:left w:val="none" w:sz="0" w:space="0" w:color="auto"/>
        <w:bottom w:val="none" w:sz="0" w:space="0" w:color="auto"/>
        <w:right w:val="none" w:sz="0" w:space="0" w:color="auto"/>
      </w:divBdr>
    </w:div>
    <w:div w:id="230240763">
      <w:bodyDiv w:val="1"/>
      <w:marLeft w:val="0"/>
      <w:marRight w:val="0"/>
      <w:marTop w:val="0"/>
      <w:marBottom w:val="0"/>
      <w:divBdr>
        <w:top w:val="none" w:sz="0" w:space="0" w:color="auto"/>
        <w:left w:val="none" w:sz="0" w:space="0" w:color="auto"/>
        <w:bottom w:val="none" w:sz="0" w:space="0" w:color="auto"/>
        <w:right w:val="none" w:sz="0" w:space="0" w:color="auto"/>
      </w:divBdr>
    </w:div>
    <w:div w:id="230388156">
      <w:bodyDiv w:val="1"/>
      <w:marLeft w:val="0"/>
      <w:marRight w:val="0"/>
      <w:marTop w:val="0"/>
      <w:marBottom w:val="0"/>
      <w:divBdr>
        <w:top w:val="none" w:sz="0" w:space="0" w:color="auto"/>
        <w:left w:val="none" w:sz="0" w:space="0" w:color="auto"/>
        <w:bottom w:val="none" w:sz="0" w:space="0" w:color="auto"/>
        <w:right w:val="none" w:sz="0" w:space="0" w:color="auto"/>
      </w:divBdr>
    </w:div>
    <w:div w:id="230433905">
      <w:bodyDiv w:val="1"/>
      <w:marLeft w:val="0"/>
      <w:marRight w:val="0"/>
      <w:marTop w:val="0"/>
      <w:marBottom w:val="0"/>
      <w:divBdr>
        <w:top w:val="none" w:sz="0" w:space="0" w:color="auto"/>
        <w:left w:val="none" w:sz="0" w:space="0" w:color="auto"/>
        <w:bottom w:val="none" w:sz="0" w:space="0" w:color="auto"/>
        <w:right w:val="none" w:sz="0" w:space="0" w:color="auto"/>
      </w:divBdr>
    </w:div>
    <w:div w:id="230434594">
      <w:bodyDiv w:val="1"/>
      <w:marLeft w:val="0"/>
      <w:marRight w:val="0"/>
      <w:marTop w:val="0"/>
      <w:marBottom w:val="0"/>
      <w:divBdr>
        <w:top w:val="none" w:sz="0" w:space="0" w:color="auto"/>
        <w:left w:val="none" w:sz="0" w:space="0" w:color="auto"/>
        <w:bottom w:val="none" w:sz="0" w:space="0" w:color="auto"/>
        <w:right w:val="none" w:sz="0" w:space="0" w:color="auto"/>
      </w:divBdr>
    </w:div>
    <w:div w:id="230504370">
      <w:bodyDiv w:val="1"/>
      <w:marLeft w:val="0"/>
      <w:marRight w:val="0"/>
      <w:marTop w:val="0"/>
      <w:marBottom w:val="0"/>
      <w:divBdr>
        <w:top w:val="none" w:sz="0" w:space="0" w:color="auto"/>
        <w:left w:val="none" w:sz="0" w:space="0" w:color="auto"/>
        <w:bottom w:val="none" w:sz="0" w:space="0" w:color="auto"/>
        <w:right w:val="none" w:sz="0" w:space="0" w:color="auto"/>
      </w:divBdr>
    </w:div>
    <w:div w:id="230585160">
      <w:bodyDiv w:val="1"/>
      <w:marLeft w:val="0"/>
      <w:marRight w:val="0"/>
      <w:marTop w:val="0"/>
      <w:marBottom w:val="0"/>
      <w:divBdr>
        <w:top w:val="none" w:sz="0" w:space="0" w:color="auto"/>
        <w:left w:val="none" w:sz="0" w:space="0" w:color="auto"/>
        <w:bottom w:val="none" w:sz="0" w:space="0" w:color="auto"/>
        <w:right w:val="none" w:sz="0" w:space="0" w:color="auto"/>
      </w:divBdr>
    </w:div>
    <w:div w:id="230695160">
      <w:bodyDiv w:val="1"/>
      <w:marLeft w:val="0"/>
      <w:marRight w:val="0"/>
      <w:marTop w:val="0"/>
      <w:marBottom w:val="0"/>
      <w:divBdr>
        <w:top w:val="none" w:sz="0" w:space="0" w:color="auto"/>
        <w:left w:val="none" w:sz="0" w:space="0" w:color="auto"/>
        <w:bottom w:val="none" w:sz="0" w:space="0" w:color="auto"/>
        <w:right w:val="none" w:sz="0" w:space="0" w:color="auto"/>
      </w:divBdr>
    </w:div>
    <w:div w:id="230699673">
      <w:bodyDiv w:val="1"/>
      <w:marLeft w:val="0"/>
      <w:marRight w:val="0"/>
      <w:marTop w:val="0"/>
      <w:marBottom w:val="0"/>
      <w:divBdr>
        <w:top w:val="none" w:sz="0" w:space="0" w:color="auto"/>
        <w:left w:val="none" w:sz="0" w:space="0" w:color="auto"/>
        <w:bottom w:val="none" w:sz="0" w:space="0" w:color="auto"/>
        <w:right w:val="none" w:sz="0" w:space="0" w:color="auto"/>
      </w:divBdr>
    </w:div>
    <w:div w:id="230770325">
      <w:bodyDiv w:val="1"/>
      <w:marLeft w:val="0"/>
      <w:marRight w:val="0"/>
      <w:marTop w:val="0"/>
      <w:marBottom w:val="0"/>
      <w:divBdr>
        <w:top w:val="none" w:sz="0" w:space="0" w:color="auto"/>
        <w:left w:val="none" w:sz="0" w:space="0" w:color="auto"/>
        <w:bottom w:val="none" w:sz="0" w:space="0" w:color="auto"/>
        <w:right w:val="none" w:sz="0" w:space="0" w:color="auto"/>
      </w:divBdr>
    </w:div>
    <w:div w:id="230771866">
      <w:bodyDiv w:val="1"/>
      <w:marLeft w:val="0"/>
      <w:marRight w:val="0"/>
      <w:marTop w:val="0"/>
      <w:marBottom w:val="0"/>
      <w:divBdr>
        <w:top w:val="none" w:sz="0" w:space="0" w:color="auto"/>
        <w:left w:val="none" w:sz="0" w:space="0" w:color="auto"/>
        <w:bottom w:val="none" w:sz="0" w:space="0" w:color="auto"/>
        <w:right w:val="none" w:sz="0" w:space="0" w:color="auto"/>
      </w:divBdr>
    </w:div>
    <w:div w:id="230772855">
      <w:bodyDiv w:val="1"/>
      <w:marLeft w:val="0"/>
      <w:marRight w:val="0"/>
      <w:marTop w:val="0"/>
      <w:marBottom w:val="0"/>
      <w:divBdr>
        <w:top w:val="none" w:sz="0" w:space="0" w:color="auto"/>
        <w:left w:val="none" w:sz="0" w:space="0" w:color="auto"/>
        <w:bottom w:val="none" w:sz="0" w:space="0" w:color="auto"/>
        <w:right w:val="none" w:sz="0" w:space="0" w:color="auto"/>
      </w:divBdr>
    </w:div>
    <w:div w:id="230776659">
      <w:bodyDiv w:val="1"/>
      <w:marLeft w:val="0"/>
      <w:marRight w:val="0"/>
      <w:marTop w:val="0"/>
      <w:marBottom w:val="0"/>
      <w:divBdr>
        <w:top w:val="none" w:sz="0" w:space="0" w:color="auto"/>
        <w:left w:val="none" w:sz="0" w:space="0" w:color="auto"/>
        <w:bottom w:val="none" w:sz="0" w:space="0" w:color="auto"/>
        <w:right w:val="none" w:sz="0" w:space="0" w:color="auto"/>
      </w:divBdr>
    </w:div>
    <w:div w:id="230777984">
      <w:bodyDiv w:val="1"/>
      <w:marLeft w:val="0"/>
      <w:marRight w:val="0"/>
      <w:marTop w:val="0"/>
      <w:marBottom w:val="0"/>
      <w:divBdr>
        <w:top w:val="none" w:sz="0" w:space="0" w:color="auto"/>
        <w:left w:val="none" w:sz="0" w:space="0" w:color="auto"/>
        <w:bottom w:val="none" w:sz="0" w:space="0" w:color="auto"/>
        <w:right w:val="none" w:sz="0" w:space="0" w:color="auto"/>
      </w:divBdr>
    </w:div>
    <w:div w:id="230890695">
      <w:bodyDiv w:val="1"/>
      <w:marLeft w:val="0"/>
      <w:marRight w:val="0"/>
      <w:marTop w:val="0"/>
      <w:marBottom w:val="0"/>
      <w:divBdr>
        <w:top w:val="none" w:sz="0" w:space="0" w:color="auto"/>
        <w:left w:val="none" w:sz="0" w:space="0" w:color="auto"/>
        <w:bottom w:val="none" w:sz="0" w:space="0" w:color="auto"/>
        <w:right w:val="none" w:sz="0" w:space="0" w:color="auto"/>
      </w:divBdr>
    </w:div>
    <w:div w:id="230890711">
      <w:bodyDiv w:val="1"/>
      <w:marLeft w:val="0"/>
      <w:marRight w:val="0"/>
      <w:marTop w:val="0"/>
      <w:marBottom w:val="0"/>
      <w:divBdr>
        <w:top w:val="none" w:sz="0" w:space="0" w:color="auto"/>
        <w:left w:val="none" w:sz="0" w:space="0" w:color="auto"/>
        <w:bottom w:val="none" w:sz="0" w:space="0" w:color="auto"/>
        <w:right w:val="none" w:sz="0" w:space="0" w:color="auto"/>
      </w:divBdr>
    </w:div>
    <w:div w:id="230890930">
      <w:bodyDiv w:val="1"/>
      <w:marLeft w:val="0"/>
      <w:marRight w:val="0"/>
      <w:marTop w:val="0"/>
      <w:marBottom w:val="0"/>
      <w:divBdr>
        <w:top w:val="none" w:sz="0" w:space="0" w:color="auto"/>
        <w:left w:val="none" w:sz="0" w:space="0" w:color="auto"/>
        <w:bottom w:val="none" w:sz="0" w:space="0" w:color="auto"/>
        <w:right w:val="none" w:sz="0" w:space="0" w:color="auto"/>
      </w:divBdr>
    </w:div>
    <w:div w:id="230892956">
      <w:bodyDiv w:val="1"/>
      <w:marLeft w:val="0"/>
      <w:marRight w:val="0"/>
      <w:marTop w:val="0"/>
      <w:marBottom w:val="0"/>
      <w:divBdr>
        <w:top w:val="none" w:sz="0" w:space="0" w:color="auto"/>
        <w:left w:val="none" w:sz="0" w:space="0" w:color="auto"/>
        <w:bottom w:val="none" w:sz="0" w:space="0" w:color="auto"/>
        <w:right w:val="none" w:sz="0" w:space="0" w:color="auto"/>
      </w:divBdr>
    </w:div>
    <w:div w:id="230894282">
      <w:bodyDiv w:val="1"/>
      <w:marLeft w:val="0"/>
      <w:marRight w:val="0"/>
      <w:marTop w:val="0"/>
      <w:marBottom w:val="0"/>
      <w:divBdr>
        <w:top w:val="none" w:sz="0" w:space="0" w:color="auto"/>
        <w:left w:val="none" w:sz="0" w:space="0" w:color="auto"/>
        <w:bottom w:val="none" w:sz="0" w:space="0" w:color="auto"/>
        <w:right w:val="none" w:sz="0" w:space="0" w:color="auto"/>
      </w:divBdr>
    </w:div>
    <w:div w:id="231164903">
      <w:bodyDiv w:val="1"/>
      <w:marLeft w:val="0"/>
      <w:marRight w:val="0"/>
      <w:marTop w:val="0"/>
      <w:marBottom w:val="0"/>
      <w:divBdr>
        <w:top w:val="none" w:sz="0" w:space="0" w:color="auto"/>
        <w:left w:val="none" w:sz="0" w:space="0" w:color="auto"/>
        <w:bottom w:val="none" w:sz="0" w:space="0" w:color="auto"/>
        <w:right w:val="none" w:sz="0" w:space="0" w:color="auto"/>
      </w:divBdr>
    </w:div>
    <w:div w:id="231307598">
      <w:bodyDiv w:val="1"/>
      <w:marLeft w:val="0"/>
      <w:marRight w:val="0"/>
      <w:marTop w:val="0"/>
      <w:marBottom w:val="0"/>
      <w:divBdr>
        <w:top w:val="none" w:sz="0" w:space="0" w:color="auto"/>
        <w:left w:val="none" w:sz="0" w:space="0" w:color="auto"/>
        <w:bottom w:val="none" w:sz="0" w:space="0" w:color="auto"/>
        <w:right w:val="none" w:sz="0" w:space="0" w:color="auto"/>
      </w:divBdr>
    </w:div>
    <w:div w:id="231353584">
      <w:bodyDiv w:val="1"/>
      <w:marLeft w:val="0"/>
      <w:marRight w:val="0"/>
      <w:marTop w:val="0"/>
      <w:marBottom w:val="0"/>
      <w:divBdr>
        <w:top w:val="none" w:sz="0" w:space="0" w:color="auto"/>
        <w:left w:val="none" w:sz="0" w:space="0" w:color="auto"/>
        <w:bottom w:val="none" w:sz="0" w:space="0" w:color="auto"/>
        <w:right w:val="none" w:sz="0" w:space="0" w:color="auto"/>
      </w:divBdr>
    </w:div>
    <w:div w:id="231429193">
      <w:bodyDiv w:val="1"/>
      <w:marLeft w:val="0"/>
      <w:marRight w:val="0"/>
      <w:marTop w:val="0"/>
      <w:marBottom w:val="0"/>
      <w:divBdr>
        <w:top w:val="none" w:sz="0" w:space="0" w:color="auto"/>
        <w:left w:val="none" w:sz="0" w:space="0" w:color="auto"/>
        <w:bottom w:val="none" w:sz="0" w:space="0" w:color="auto"/>
        <w:right w:val="none" w:sz="0" w:space="0" w:color="auto"/>
      </w:divBdr>
    </w:div>
    <w:div w:id="231429615">
      <w:bodyDiv w:val="1"/>
      <w:marLeft w:val="0"/>
      <w:marRight w:val="0"/>
      <w:marTop w:val="0"/>
      <w:marBottom w:val="0"/>
      <w:divBdr>
        <w:top w:val="none" w:sz="0" w:space="0" w:color="auto"/>
        <w:left w:val="none" w:sz="0" w:space="0" w:color="auto"/>
        <w:bottom w:val="none" w:sz="0" w:space="0" w:color="auto"/>
        <w:right w:val="none" w:sz="0" w:space="0" w:color="auto"/>
      </w:divBdr>
    </w:div>
    <w:div w:id="231503957">
      <w:bodyDiv w:val="1"/>
      <w:marLeft w:val="0"/>
      <w:marRight w:val="0"/>
      <w:marTop w:val="0"/>
      <w:marBottom w:val="0"/>
      <w:divBdr>
        <w:top w:val="none" w:sz="0" w:space="0" w:color="auto"/>
        <w:left w:val="none" w:sz="0" w:space="0" w:color="auto"/>
        <w:bottom w:val="none" w:sz="0" w:space="0" w:color="auto"/>
        <w:right w:val="none" w:sz="0" w:space="0" w:color="auto"/>
      </w:divBdr>
    </w:div>
    <w:div w:id="231620218">
      <w:bodyDiv w:val="1"/>
      <w:marLeft w:val="0"/>
      <w:marRight w:val="0"/>
      <w:marTop w:val="0"/>
      <w:marBottom w:val="0"/>
      <w:divBdr>
        <w:top w:val="none" w:sz="0" w:space="0" w:color="auto"/>
        <w:left w:val="none" w:sz="0" w:space="0" w:color="auto"/>
        <w:bottom w:val="none" w:sz="0" w:space="0" w:color="auto"/>
        <w:right w:val="none" w:sz="0" w:space="0" w:color="auto"/>
      </w:divBdr>
    </w:div>
    <w:div w:id="231694822">
      <w:bodyDiv w:val="1"/>
      <w:marLeft w:val="0"/>
      <w:marRight w:val="0"/>
      <w:marTop w:val="0"/>
      <w:marBottom w:val="0"/>
      <w:divBdr>
        <w:top w:val="none" w:sz="0" w:space="0" w:color="auto"/>
        <w:left w:val="none" w:sz="0" w:space="0" w:color="auto"/>
        <w:bottom w:val="none" w:sz="0" w:space="0" w:color="auto"/>
        <w:right w:val="none" w:sz="0" w:space="0" w:color="auto"/>
      </w:divBdr>
    </w:div>
    <w:div w:id="231701489">
      <w:bodyDiv w:val="1"/>
      <w:marLeft w:val="0"/>
      <w:marRight w:val="0"/>
      <w:marTop w:val="0"/>
      <w:marBottom w:val="0"/>
      <w:divBdr>
        <w:top w:val="none" w:sz="0" w:space="0" w:color="auto"/>
        <w:left w:val="none" w:sz="0" w:space="0" w:color="auto"/>
        <w:bottom w:val="none" w:sz="0" w:space="0" w:color="auto"/>
        <w:right w:val="none" w:sz="0" w:space="0" w:color="auto"/>
      </w:divBdr>
    </w:div>
    <w:div w:id="231814713">
      <w:bodyDiv w:val="1"/>
      <w:marLeft w:val="0"/>
      <w:marRight w:val="0"/>
      <w:marTop w:val="0"/>
      <w:marBottom w:val="0"/>
      <w:divBdr>
        <w:top w:val="none" w:sz="0" w:space="0" w:color="auto"/>
        <w:left w:val="none" w:sz="0" w:space="0" w:color="auto"/>
        <w:bottom w:val="none" w:sz="0" w:space="0" w:color="auto"/>
        <w:right w:val="none" w:sz="0" w:space="0" w:color="auto"/>
      </w:divBdr>
    </w:div>
    <w:div w:id="232011832">
      <w:bodyDiv w:val="1"/>
      <w:marLeft w:val="0"/>
      <w:marRight w:val="0"/>
      <w:marTop w:val="0"/>
      <w:marBottom w:val="0"/>
      <w:divBdr>
        <w:top w:val="none" w:sz="0" w:space="0" w:color="auto"/>
        <w:left w:val="none" w:sz="0" w:space="0" w:color="auto"/>
        <w:bottom w:val="none" w:sz="0" w:space="0" w:color="auto"/>
        <w:right w:val="none" w:sz="0" w:space="0" w:color="auto"/>
      </w:divBdr>
    </w:div>
    <w:div w:id="232012607">
      <w:bodyDiv w:val="1"/>
      <w:marLeft w:val="0"/>
      <w:marRight w:val="0"/>
      <w:marTop w:val="0"/>
      <w:marBottom w:val="0"/>
      <w:divBdr>
        <w:top w:val="none" w:sz="0" w:space="0" w:color="auto"/>
        <w:left w:val="none" w:sz="0" w:space="0" w:color="auto"/>
        <w:bottom w:val="none" w:sz="0" w:space="0" w:color="auto"/>
        <w:right w:val="none" w:sz="0" w:space="0" w:color="auto"/>
      </w:divBdr>
    </w:div>
    <w:div w:id="232129880">
      <w:bodyDiv w:val="1"/>
      <w:marLeft w:val="0"/>
      <w:marRight w:val="0"/>
      <w:marTop w:val="0"/>
      <w:marBottom w:val="0"/>
      <w:divBdr>
        <w:top w:val="none" w:sz="0" w:space="0" w:color="auto"/>
        <w:left w:val="none" w:sz="0" w:space="0" w:color="auto"/>
        <w:bottom w:val="none" w:sz="0" w:space="0" w:color="auto"/>
        <w:right w:val="none" w:sz="0" w:space="0" w:color="auto"/>
      </w:divBdr>
    </w:div>
    <w:div w:id="232205511">
      <w:bodyDiv w:val="1"/>
      <w:marLeft w:val="0"/>
      <w:marRight w:val="0"/>
      <w:marTop w:val="0"/>
      <w:marBottom w:val="0"/>
      <w:divBdr>
        <w:top w:val="none" w:sz="0" w:space="0" w:color="auto"/>
        <w:left w:val="none" w:sz="0" w:space="0" w:color="auto"/>
        <w:bottom w:val="none" w:sz="0" w:space="0" w:color="auto"/>
        <w:right w:val="none" w:sz="0" w:space="0" w:color="auto"/>
      </w:divBdr>
    </w:div>
    <w:div w:id="232352203">
      <w:bodyDiv w:val="1"/>
      <w:marLeft w:val="0"/>
      <w:marRight w:val="0"/>
      <w:marTop w:val="0"/>
      <w:marBottom w:val="0"/>
      <w:divBdr>
        <w:top w:val="none" w:sz="0" w:space="0" w:color="auto"/>
        <w:left w:val="none" w:sz="0" w:space="0" w:color="auto"/>
        <w:bottom w:val="none" w:sz="0" w:space="0" w:color="auto"/>
        <w:right w:val="none" w:sz="0" w:space="0" w:color="auto"/>
      </w:divBdr>
    </w:div>
    <w:div w:id="232396861">
      <w:bodyDiv w:val="1"/>
      <w:marLeft w:val="0"/>
      <w:marRight w:val="0"/>
      <w:marTop w:val="0"/>
      <w:marBottom w:val="0"/>
      <w:divBdr>
        <w:top w:val="none" w:sz="0" w:space="0" w:color="auto"/>
        <w:left w:val="none" w:sz="0" w:space="0" w:color="auto"/>
        <w:bottom w:val="none" w:sz="0" w:space="0" w:color="auto"/>
        <w:right w:val="none" w:sz="0" w:space="0" w:color="auto"/>
      </w:divBdr>
    </w:div>
    <w:div w:id="232469110">
      <w:bodyDiv w:val="1"/>
      <w:marLeft w:val="0"/>
      <w:marRight w:val="0"/>
      <w:marTop w:val="0"/>
      <w:marBottom w:val="0"/>
      <w:divBdr>
        <w:top w:val="none" w:sz="0" w:space="0" w:color="auto"/>
        <w:left w:val="none" w:sz="0" w:space="0" w:color="auto"/>
        <w:bottom w:val="none" w:sz="0" w:space="0" w:color="auto"/>
        <w:right w:val="none" w:sz="0" w:space="0" w:color="auto"/>
      </w:divBdr>
    </w:div>
    <w:div w:id="232543209">
      <w:bodyDiv w:val="1"/>
      <w:marLeft w:val="0"/>
      <w:marRight w:val="0"/>
      <w:marTop w:val="0"/>
      <w:marBottom w:val="0"/>
      <w:divBdr>
        <w:top w:val="none" w:sz="0" w:space="0" w:color="auto"/>
        <w:left w:val="none" w:sz="0" w:space="0" w:color="auto"/>
        <w:bottom w:val="none" w:sz="0" w:space="0" w:color="auto"/>
        <w:right w:val="none" w:sz="0" w:space="0" w:color="auto"/>
      </w:divBdr>
    </w:div>
    <w:div w:id="232544128">
      <w:bodyDiv w:val="1"/>
      <w:marLeft w:val="0"/>
      <w:marRight w:val="0"/>
      <w:marTop w:val="0"/>
      <w:marBottom w:val="0"/>
      <w:divBdr>
        <w:top w:val="none" w:sz="0" w:space="0" w:color="auto"/>
        <w:left w:val="none" w:sz="0" w:space="0" w:color="auto"/>
        <w:bottom w:val="none" w:sz="0" w:space="0" w:color="auto"/>
        <w:right w:val="none" w:sz="0" w:space="0" w:color="auto"/>
      </w:divBdr>
    </w:div>
    <w:div w:id="232548245">
      <w:bodyDiv w:val="1"/>
      <w:marLeft w:val="0"/>
      <w:marRight w:val="0"/>
      <w:marTop w:val="0"/>
      <w:marBottom w:val="0"/>
      <w:divBdr>
        <w:top w:val="none" w:sz="0" w:space="0" w:color="auto"/>
        <w:left w:val="none" w:sz="0" w:space="0" w:color="auto"/>
        <w:bottom w:val="none" w:sz="0" w:space="0" w:color="auto"/>
        <w:right w:val="none" w:sz="0" w:space="0" w:color="auto"/>
      </w:divBdr>
    </w:div>
    <w:div w:id="232660847">
      <w:bodyDiv w:val="1"/>
      <w:marLeft w:val="0"/>
      <w:marRight w:val="0"/>
      <w:marTop w:val="0"/>
      <w:marBottom w:val="0"/>
      <w:divBdr>
        <w:top w:val="none" w:sz="0" w:space="0" w:color="auto"/>
        <w:left w:val="none" w:sz="0" w:space="0" w:color="auto"/>
        <w:bottom w:val="none" w:sz="0" w:space="0" w:color="auto"/>
        <w:right w:val="none" w:sz="0" w:space="0" w:color="auto"/>
      </w:divBdr>
    </w:div>
    <w:div w:id="232740430">
      <w:bodyDiv w:val="1"/>
      <w:marLeft w:val="0"/>
      <w:marRight w:val="0"/>
      <w:marTop w:val="0"/>
      <w:marBottom w:val="0"/>
      <w:divBdr>
        <w:top w:val="none" w:sz="0" w:space="0" w:color="auto"/>
        <w:left w:val="none" w:sz="0" w:space="0" w:color="auto"/>
        <w:bottom w:val="none" w:sz="0" w:space="0" w:color="auto"/>
        <w:right w:val="none" w:sz="0" w:space="0" w:color="auto"/>
      </w:divBdr>
    </w:div>
    <w:div w:id="233125659">
      <w:bodyDiv w:val="1"/>
      <w:marLeft w:val="0"/>
      <w:marRight w:val="0"/>
      <w:marTop w:val="0"/>
      <w:marBottom w:val="0"/>
      <w:divBdr>
        <w:top w:val="none" w:sz="0" w:space="0" w:color="auto"/>
        <w:left w:val="none" w:sz="0" w:space="0" w:color="auto"/>
        <w:bottom w:val="none" w:sz="0" w:space="0" w:color="auto"/>
        <w:right w:val="none" w:sz="0" w:space="0" w:color="auto"/>
      </w:divBdr>
    </w:div>
    <w:div w:id="233127427">
      <w:bodyDiv w:val="1"/>
      <w:marLeft w:val="0"/>
      <w:marRight w:val="0"/>
      <w:marTop w:val="0"/>
      <w:marBottom w:val="0"/>
      <w:divBdr>
        <w:top w:val="none" w:sz="0" w:space="0" w:color="auto"/>
        <w:left w:val="none" w:sz="0" w:space="0" w:color="auto"/>
        <w:bottom w:val="none" w:sz="0" w:space="0" w:color="auto"/>
        <w:right w:val="none" w:sz="0" w:space="0" w:color="auto"/>
      </w:divBdr>
    </w:div>
    <w:div w:id="233198877">
      <w:bodyDiv w:val="1"/>
      <w:marLeft w:val="0"/>
      <w:marRight w:val="0"/>
      <w:marTop w:val="0"/>
      <w:marBottom w:val="0"/>
      <w:divBdr>
        <w:top w:val="none" w:sz="0" w:space="0" w:color="auto"/>
        <w:left w:val="none" w:sz="0" w:space="0" w:color="auto"/>
        <w:bottom w:val="none" w:sz="0" w:space="0" w:color="auto"/>
        <w:right w:val="none" w:sz="0" w:space="0" w:color="auto"/>
      </w:divBdr>
    </w:div>
    <w:div w:id="233199060">
      <w:bodyDiv w:val="1"/>
      <w:marLeft w:val="0"/>
      <w:marRight w:val="0"/>
      <w:marTop w:val="0"/>
      <w:marBottom w:val="0"/>
      <w:divBdr>
        <w:top w:val="none" w:sz="0" w:space="0" w:color="auto"/>
        <w:left w:val="none" w:sz="0" w:space="0" w:color="auto"/>
        <w:bottom w:val="none" w:sz="0" w:space="0" w:color="auto"/>
        <w:right w:val="none" w:sz="0" w:space="0" w:color="auto"/>
      </w:divBdr>
    </w:div>
    <w:div w:id="233201932">
      <w:bodyDiv w:val="1"/>
      <w:marLeft w:val="0"/>
      <w:marRight w:val="0"/>
      <w:marTop w:val="0"/>
      <w:marBottom w:val="0"/>
      <w:divBdr>
        <w:top w:val="none" w:sz="0" w:space="0" w:color="auto"/>
        <w:left w:val="none" w:sz="0" w:space="0" w:color="auto"/>
        <w:bottom w:val="none" w:sz="0" w:space="0" w:color="auto"/>
        <w:right w:val="none" w:sz="0" w:space="0" w:color="auto"/>
      </w:divBdr>
    </w:div>
    <w:div w:id="233246986">
      <w:bodyDiv w:val="1"/>
      <w:marLeft w:val="0"/>
      <w:marRight w:val="0"/>
      <w:marTop w:val="0"/>
      <w:marBottom w:val="0"/>
      <w:divBdr>
        <w:top w:val="none" w:sz="0" w:space="0" w:color="auto"/>
        <w:left w:val="none" w:sz="0" w:space="0" w:color="auto"/>
        <w:bottom w:val="none" w:sz="0" w:space="0" w:color="auto"/>
        <w:right w:val="none" w:sz="0" w:space="0" w:color="auto"/>
      </w:divBdr>
    </w:div>
    <w:div w:id="233316908">
      <w:bodyDiv w:val="1"/>
      <w:marLeft w:val="0"/>
      <w:marRight w:val="0"/>
      <w:marTop w:val="0"/>
      <w:marBottom w:val="0"/>
      <w:divBdr>
        <w:top w:val="none" w:sz="0" w:space="0" w:color="auto"/>
        <w:left w:val="none" w:sz="0" w:space="0" w:color="auto"/>
        <w:bottom w:val="none" w:sz="0" w:space="0" w:color="auto"/>
        <w:right w:val="none" w:sz="0" w:space="0" w:color="auto"/>
      </w:divBdr>
    </w:div>
    <w:div w:id="233323772">
      <w:bodyDiv w:val="1"/>
      <w:marLeft w:val="0"/>
      <w:marRight w:val="0"/>
      <w:marTop w:val="0"/>
      <w:marBottom w:val="0"/>
      <w:divBdr>
        <w:top w:val="none" w:sz="0" w:space="0" w:color="auto"/>
        <w:left w:val="none" w:sz="0" w:space="0" w:color="auto"/>
        <w:bottom w:val="none" w:sz="0" w:space="0" w:color="auto"/>
        <w:right w:val="none" w:sz="0" w:space="0" w:color="auto"/>
      </w:divBdr>
    </w:div>
    <w:div w:id="233390923">
      <w:bodyDiv w:val="1"/>
      <w:marLeft w:val="0"/>
      <w:marRight w:val="0"/>
      <w:marTop w:val="0"/>
      <w:marBottom w:val="0"/>
      <w:divBdr>
        <w:top w:val="none" w:sz="0" w:space="0" w:color="auto"/>
        <w:left w:val="none" w:sz="0" w:space="0" w:color="auto"/>
        <w:bottom w:val="none" w:sz="0" w:space="0" w:color="auto"/>
        <w:right w:val="none" w:sz="0" w:space="0" w:color="auto"/>
      </w:divBdr>
    </w:div>
    <w:div w:id="233514576">
      <w:bodyDiv w:val="1"/>
      <w:marLeft w:val="0"/>
      <w:marRight w:val="0"/>
      <w:marTop w:val="0"/>
      <w:marBottom w:val="0"/>
      <w:divBdr>
        <w:top w:val="none" w:sz="0" w:space="0" w:color="auto"/>
        <w:left w:val="none" w:sz="0" w:space="0" w:color="auto"/>
        <w:bottom w:val="none" w:sz="0" w:space="0" w:color="auto"/>
        <w:right w:val="none" w:sz="0" w:space="0" w:color="auto"/>
      </w:divBdr>
    </w:div>
    <w:div w:id="233584499">
      <w:bodyDiv w:val="1"/>
      <w:marLeft w:val="0"/>
      <w:marRight w:val="0"/>
      <w:marTop w:val="0"/>
      <w:marBottom w:val="0"/>
      <w:divBdr>
        <w:top w:val="none" w:sz="0" w:space="0" w:color="auto"/>
        <w:left w:val="none" w:sz="0" w:space="0" w:color="auto"/>
        <w:bottom w:val="none" w:sz="0" w:space="0" w:color="auto"/>
        <w:right w:val="none" w:sz="0" w:space="0" w:color="auto"/>
      </w:divBdr>
    </w:div>
    <w:div w:id="233588566">
      <w:bodyDiv w:val="1"/>
      <w:marLeft w:val="0"/>
      <w:marRight w:val="0"/>
      <w:marTop w:val="0"/>
      <w:marBottom w:val="0"/>
      <w:divBdr>
        <w:top w:val="none" w:sz="0" w:space="0" w:color="auto"/>
        <w:left w:val="none" w:sz="0" w:space="0" w:color="auto"/>
        <w:bottom w:val="none" w:sz="0" w:space="0" w:color="auto"/>
        <w:right w:val="none" w:sz="0" w:space="0" w:color="auto"/>
      </w:divBdr>
    </w:div>
    <w:div w:id="233710492">
      <w:bodyDiv w:val="1"/>
      <w:marLeft w:val="0"/>
      <w:marRight w:val="0"/>
      <w:marTop w:val="0"/>
      <w:marBottom w:val="0"/>
      <w:divBdr>
        <w:top w:val="none" w:sz="0" w:space="0" w:color="auto"/>
        <w:left w:val="none" w:sz="0" w:space="0" w:color="auto"/>
        <w:bottom w:val="none" w:sz="0" w:space="0" w:color="auto"/>
        <w:right w:val="none" w:sz="0" w:space="0" w:color="auto"/>
      </w:divBdr>
    </w:div>
    <w:div w:id="233854826">
      <w:bodyDiv w:val="1"/>
      <w:marLeft w:val="0"/>
      <w:marRight w:val="0"/>
      <w:marTop w:val="0"/>
      <w:marBottom w:val="0"/>
      <w:divBdr>
        <w:top w:val="none" w:sz="0" w:space="0" w:color="auto"/>
        <w:left w:val="none" w:sz="0" w:space="0" w:color="auto"/>
        <w:bottom w:val="none" w:sz="0" w:space="0" w:color="auto"/>
        <w:right w:val="none" w:sz="0" w:space="0" w:color="auto"/>
      </w:divBdr>
    </w:div>
    <w:div w:id="233974786">
      <w:bodyDiv w:val="1"/>
      <w:marLeft w:val="0"/>
      <w:marRight w:val="0"/>
      <w:marTop w:val="0"/>
      <w:marBottom w:val="0"/>
      <w:divBdr>
        <w:top w:val="none" w:sz="0" w:space="0" w:color="auto"/>
        <w:left w:val="none" w:sz="0" w:space="0" w:color="auto"/>
        <w:bottom w:val="none" w:sz="0" w:space="0" w:color="auto"/>
        <w:right w:val="none" w:sz="0" w:space="0" w:color="auto"/>
      </w:divBdr>
    </w:div>
    <w:div w:id="233975947">
      <w:bodyDiv w:val="1"/>
      <w:marLeft w:val="0"/>
      <w:marRight w:val="0"/>
      <w:marTop w:val="0"/>
      <w:marBottom w:val="0"/>
      <w:divBdr>
        <w:top w:val="none" w:sz="0" w:space="0" w:color="auto"/>
        <w:left w:val="none" w:sz="0" w:space="0" w:color="auto"/>
        <w:bottom w:val="none" w:sz="0" w:space="0" w:color="auto"/>
        <w:right w:val="none" w:sz="0" w:space="0" w:color="auto"/>
      </w:divBdr>
    </w:div>
    <w:div w:id="233977648">
      <w:bodyDiv w:val="1"/>
      <w:marLeft w:val="0"/>
      <w:marRight w:val="0"/>
      <w:marTop w:val="0"/>
      <w:marBottom w:val="0"/>
      <w:divBdr>
        <w:top w:val="none" w:sz="0" w:space="0" w:color="auto"/>
        <w:left w:val="none" w:sz="0" w:space="0" w:color="auto"/>
        <w:bottom w:val="none" w:sz="0" w:space="0" w:color="auto"/>
        <w:right w:val="none" w:sz="0" w:space="0" w:color="auto"/>
      </w:divBdr>
    </w:div>
    <w:div w:id="234126659">
      <w:bodyDiv w:val="1"/>
      <w:marLeft w:val="0"/>
      <w:marRight w:val="0"/>
      <w:marTop w:val="0"/>
      <w:marBottom w:val="0"/>
      <w:divBdr>
        <w:top w:val="none" w:sz="0" w:space="0" w:color="auto"/>
        <w:left w:val="none" w:sz="0" w:space="0" w:color="auto"/>
        <w:bottom w:val="none" w:sz="0" w:space="0" w:color="auto"/>
        <w:right w:val="none" w:sz="0" w:space="0" w:color="auto"/>
      </w:divBdr>
    </w:div>
    <w:div w:id="234172287">
      <w:bodyDiv w:val="1"/>
      <w:marLeft w:val="0"/>
      <w:marRight w:val="0"/>
      <w:marTop w:val="0"/>
      <w:marBottom w:val="0"/>
      <w:divBdr>
        <w:top w:val="none" w:sz="0" w:space="0" w:color="auto"/>
        <w:left w:val="none" w:sz="0" w:space="0" w:color="auto"/>
        <w:bottom w:val="none" w:sz="0" w:space="0" w:color="auto"/>
        <w:right w:val="none" w:sz="0" w:space="0" w:color="auto"/>
      </w:divBdr>
    </w:div>
    <w:div w:id="234315135">
      <w:bodyDiv w:val="1"/>
      <w:marLeft w:val="0"/>
      <w:marRight w:val="0"/>
      <w:marTop w:val="0"/>
      <w:marBottom w:val="0"/>
      <w:divBdr>
        <w:top w:val="none" w:sz="0" w:space="0" w:color="auto"/>
        <w:left w:val="none" w:sz="0" w:space="0" w:color="auto"/>
        <w:bottom w:val="none" w:sz="0" w:space="0" w:color="auto"/>
        <w:right w:val="none" w:sz="0" w:space="0" w:color="auto"/>
      </w:divBdr>
    </w:div>
    <w:div w:id="234322650">
      <w:bodyDiv w:val="1"/>
      <w:marLeft w:val="0"/>
      <w:marRight w:val="0"/>
      <w:marTop w:val="0"/>
      <w:marBottom w:val="0"/>
      <w:divBdr>
        <w:top w:val="none" w:sz="0" w:space="0" w:color="auto"/>
        <w:left w:val="none" w:sz="0" w:space="0" w:color="auto"/>
        <w:bottom w:val="none" w:sz="0" w:space="0" w:color="auto"/>
        <w:right w:val="none" w:sz="0" w:space="0" w:color="auto"/>
      </w:divBdr>
    </w:div>
    <w:div w:id="234359153">
      <w:bodyDiv w:val="1"/>
      <w:marLeft w:val="0"/>
      <w:marRight w:val="0"/>
      <w:marTop w:val="0"/>
      <w:marBottom w:val="0"/>
      <w:divBdr>
        <w:top w:val="none" w:sz="0" w:space="0" w:color="auto"/>
        <w:left w:val="none" w:sz="0" w:space="0" w:color="auto"/>
        <w:bottom w:val="none" w:sz="0" w:space="0" w:color="auto"/>
        <w:right w:val="none" w:sz="0" w:space="0" w:color="auto"/>
      </w:divBdr>
    </w:div>
    <w:div w:id="234360347">
      <w:bodyDiv w:val="1"/>
      <w:marLeft w:val="0"/>
      <w:marRight w:val="0"/>
      <w:marTop w:val="0"/>
      <w:marBottom w:val="0"/>
      <w:divBdr>
        <w:top w:val="none" w:sz="0" w:space="0" w:color="auto"/>
        <w:left w:val="none" w:sz="0" w:space="0" w:color="auto"/>
        <w:bottom w:val="none" w:sz="0" w:space="0" w:color="auto"/>
        <w:right w:val="none" w:sz="0" w:space="0" w:color="auto"/>
      </w:divBdr>
    </w:div>
    <w:div w:id="234360735">
      <w:bodyDiv w:val="1"/>
      <w:marLeft w:val="0"/>
      <w:marRight w:val="0"/>
      <w:marTop w:val="0"/>
      <w:marBottom w:val="0"/>
      <w:divBdr>
        <w:top w:val="none" w:sz="0" w:space="0" w:color="auto"/>
        <w:left w:val="none" w:sz="0" w:space="0" w:color="auto"/>
        <w:bottom w:val="none" w:sz="0" w:space="0" w:color="auto"/>
        <w:right w:val="none" w:sz="0" w:space="0" w:color="auto"/>
      </w:divBdr>
    </w:div>
    <w:div w:id="234583559">
      <w:bodyDiv w:val="1"/>
      <w:marLeft w:val="0"/>
      <w:marRight w:val="0"/>
      <w:marTop w:val="0"/>
      <w:marBottom w:val="0"/>
      <w:divBdr>
        <w:top w:val="none" w:sz="0" w:space="0" w:color="auto"/>
        <w:left w:val="none" w:sz="0" w:space="0" w:color="auto"/>
        <w:bottom w:val="none" w:sz="0" w:space="0" w:color="auto"/>
        <w:right w:val="none" w:sz="0" w:space="0" w:color="auto"/>
      </w:divBdr>
    </w:div>
    <w:div w:id="234635693">
      <w:bodyDiv w:val="1"/>
      <w:marLeft w:val="0"/>
      <w:marRight w:val="0"/>
      <w:marTop w:val="0"/>
      <w:marBottom w:val="0"/>
      <w:divBdr>
        <w:top w:val="none" w:sz="0" w:space="0" w:color="auto"/>
        <w:left w:val="none" w:sz="0" w:space="0" w:color="auto"/>
        <w:bottom w:val="none" w:sz="0" w:space="0" w:color="auto"/>
        <w:right w:val="none" w:sz="0" w:space="0" w:color="auto"/>
      </w:divBdr>
    </w:div>
    <w:div w:id="234702925">
      <w:bodyDiv w:val="1"/>
      <w:marLeft w:val="0"/>
      <w:marRight w:val="0"/>
      <w:marTop w:val="0"/>
      <w:marBottom w:val="0"/>
      <w:divBdr>
        <w:top w:val="none" w:sz="0" w:space="0" w:color="auto"/>
        <w:left w:val="none" w:sz="0" w:space="0" w:color="auto"/>
        <w:bottom w:val="none" w:sz="0" w:space="0" w:color="auto"/>
        <w:right w:val="none" w:sz="0" w:space="0" w:color="auto"/>
      </w:divBdr>
    </w:div>
    <w:div w:id="234706107">
      <w:bodyDiv w:val="1"/>
      <w:marLeft w:val="0"/>
      <w:marRight w:val="0"/>
      <w:marTop w:val="0"/>
      <w:marBottom w:val="0"/>
      <w:divBdr>
        <w:top w:val="none" w:sz="0" w:space="0" w:color="auto"/>
        <w:left w:val="none" w:sz="0" w:space="0" w:color="auto"/>
        <w:bottom w:val="none" w:sz="0" w:space="0" w:color="auto"/>
        <w:right w:val="none" w:sz="0" w:space="0" w:color="auto"/>
      </w:divBdr>
    </w:div>
    <w:div w:id="234827610">
      <w:bodyDiv w:val="1"/>
      <w:marLeft w:val="0"/>
      <w:marRight w:val="0"/>
      <w:marTop w:val="0"/>
      <w:marBottom w:val="0"/>
      <w:divBdr>
        <w:top w:val="none" w:sz="0" w:space="0" w:color="auto"/>
        <w:left w:val="none" w:sz="0" w:space="0" w:color="auto"/>
        <w:bottom w:val="none" w:sz="0" w:space="0" w:color="auto"/>
        <w:right w:val="none" w:sz="0" w:space="0" w:color="auto"/>
      </w:divBdr>
    </w:div>
    <w:div w:id="234971322">
      <w:bodyDiv w:val="1"/>
      <w:marLeft w:val="0"/>
      <w:marRight w:val="0"/>
      <w:marTop w:val="0"/>
      <w:marBottom w:val="0"/>
      <w:divBdr>
        <w:top w:val="none" w:sz="0" w:space="0" w:color="auto"/>
        <w:left w:val="none" w:sz="0" w:space="0" w:color="auto"/>
        <w:bottom w:val="none" w:sz="0" w:space="0" w:color="auto"/>
        <w:right w:val="none" w:sz="0" w:space="0" w:color="auto"/>
      </w:divBdr>
    </w:div>
    <w:div w:id="235021727">
      <w:bodyDiv w:val="1"/>
      <w:marLeft w:val="0"/>
      <w:marRight w:val="0"/>
      <w:marTop w:val="0"/>
      <w:marBottom w:val="0"/>
      <w:divBdr>
        <w:top w:val="none" w:sz="0" w:space="0" w:color="auto"/>
        <w:left w:val="none" w:sz="0" w:space="0" w:color="auto"/>
        <w:bottom w:val="none" w:sz="0" w:space="0" w:color="auto"/>
        <w:right w:val="none" w:sz="0" w:space="0" w:color="auto"/>
      </w:divBdr>
    </w:div>
    <w:div w:id="235088131">
      <w:bodyDiv w:val="1"/>
      <w:marLeft w:val="0"/>
      <w:marRight w:val="0"/>
      <w:marTop w:val="0"/>
      <w:marBottom w:val="0"/>
      <w:divBdr>
        <w:top w:val="none" w:sz="0" w:space="0" w:color="auto"/>
        <w:left w:val="none" w:sz="0" w:space="0" w:color="auto"/>
        <w:bottom w:val="none" w:sz="0" w:space="0" w:color="auto"/>
        <w:right w:val="none" w:sz="0" w:space="0" w:color="auto"/>
      </w:divBdr>
    </w:div>
    <w:div w:id="235164465">
      <w:bodyDiv w:val="1"/>
      <w:marLeft w:val="0"/>
      <w:marRight w:val="0"/>
      <w:marTop w:val="0"/>
      <w:marBottom w:val="0"/>
      <w:divBdr>
        <w:top w:val="none" w:sz="0" w:space="0" w:color="auto"/>
        <w:left w:val="none" w:sz="0" w:space="0" w:color="auto"/>
        <w:bottom w:val="none" w:sz="0" w:space="0" w:color="auto"/>
        <w:right w:val="none" w:sz="0" w:space="0" w:color="auto"/>
      </w:divBdr>
    </w:div>
    <w:div w:id="235169466">
      <w:bodyDiv w:val="1"/>
      <w:marLeft w:val="0"/>
      <w:marRight w:val="0"/>
      <w:marTop w:val="0"/>
      <w:marBottom w:val="0"/>
      <w:divBdr>
        <w:top w:val="none" w:sz="0" w:space="0" w:color="auto"/>
        <w:left w:val="none" w:sz="0" w:space="0" w:color="auto"/>
        <w:bottom w:val="none" w:sz="0" w:space="0" w:color="auto"/>
        <w:right w:val="none" w:sz="0" w:space="0" w:color="auto"/>
      </w:divBdr>
    </w:div>
    <w:div w:id="235289498">
      <w:bodyDiv w:val="1"/>
      <w:marLeft w:val="0"/>
      <w:marRight w:val="0"/>
      <w:marTop w:val="0"/>
      <w:marBottom w:val="0"/>
      <w:divBdr>
        <w:top w:val="none" w:sz="0" w:space="0" w:color="auto"/>
        <w:left w:val="none" w:sz="0" w:space="0" w:color="auto"/>
        <w:bottom w:val="none" w:sz="0" w:space="0" w:color="auto"/>
        <w:right w:val="none" w:sz="0" w:space="0" w:color="auto"/>
      </w:divBdr>
    </w:div>
    <w:div w:id="235289812">
      <w:bodyDiv w:val="1"/>
      <w:marLeft w:val="0"/>
      <w:marRight w:val="0"/>
      <w:marTop w:val="0"/>
      <w:marBottom w:val="0"/>
      <w:divBdr>
        <w:top w:val="none" w:sz="0" w:space="0" w:color="auto"/>
        <w:left w:val="none" w:sz="0" w:space="0" w:color="auto"/>
        <w:bottom w:val="none" w:sz="0" w:space="0" w:color="auto"/>
        <w:right w:val="none" w:sz="0" w:space="0" w:color="auto"/>
      </w:divBdr>
    </w:div>
    <w:div w:id="235365411">
      <w:bodyDiv w:val="1"/>
      <w:marLeft w:val="0"/>
      <w:marRight w:val="0"/>
      <w:marTop w:val="0"/>
      <w:marBottom w:val="0"/>
      <w:divBdr>
        <w:top w:val="none" w:sz="0" w:space="0" w:color="auto"/>
        <w:left w:val="none" w:sz="0" w:space="0" w:color="auto"/>
        <w:bottom w:val="none" w:sz="0" w:space="0" w:color="auto"/>
        <w:right w:val="none" w:sz="0" w:space="0" w:color="auto"/>
      </w:divBdr>
    </w:div>
    <w:div w:id="235477711">
      <w:bodyDiv w:val="1"/>
      <w:marLeft w:val="0"/>
      <w:marRight w:val="0"/>
      <w:marTop w:val="0"/>
      <w:marBottom w:val="0"/>
      <w:divBdr>
        <w:top w:val="none" w:sz="0" w:space="0" w:color="auto"/>
        <w:left w:val="none" w:sz="0" w:space="0" w:color="auto"/>
        <w:bottom w:val="none" w:sz="0" w:space="0" w:color="auto"/>
        <w:right w:val="none" w:sz="0" w:space="0" w:color="auto"/>
      </w:divBdr>
    </w:div>
    <w:div w:id="235483320">
      <w:bodyDiv w:val="1"/>
      <w:marLeft w:val="0"/>
      <w:marRight w:val="0"/>
      <w:marTop w:val="0"/>
      <w:marBottom w:val="0"/>
      <w:divBdr>
        <w:top w:val="none" w:sz="0" w:space="0" w:color="auto"/>
        <w:left w:val="none" w:sz="0" w:space="0" w:color="auto"/>
        <w:bottom w:val="none" w:sz="0" w:space="0" w:color="auto"/>
        <w:right w:val="none" w:sz="0" w:space="0" w:color="auto"/>
      </w:divBdr>
    </w:div>
    <w:div w:id="235557491">
      <w:bodyDiv w:val="1"/>
      <w:marLeft w:val="0"/>
      <w:marRight w:val="0"/>
      <w:marTop w:val="0"/>
      <w:marBottom w:val="0"/>
      <w:divBdr>
        <w:top w:val="none" w:sz="0" w:space="0" w:color="auto"/>
        <w:left w:val="none" w:sz="0" w:space="0" w:color="auto"/>
        <w:bottom w:val="none" w:sz="0" w:space="0" w:color="auto"/>
        <w:right w:val="none" w:sz="0" w:space="0" w:color="auto"/>
      </w:divBdr>
    </w:div>
    <w:div w:id="235630396">
      <w:bodyDiv w:val="1"/>
      <w:marLeft w:val="0"/>
      <w:marRight w:val="0"/>
      <w:marTop w:val="0"/>
      <w:marBottom w:val="0"/>
      <w:divBdr>
        <w:top w:val="none" w:sz="0" w:space="0" w:color="auto"/>
        <w:left w:val="none" w:sz="0" w:space="0" w:color="auto"/>
        <w:bottom w:val="none" w:sz="0" w:space="0" w:color="auto"/>
        <w:right w:val="none" w:sz="0" w:space="0" w:color="auto"/>
      </w:divBdr>
    </w:div>
    <w:div w:id="235669566">
      <w:bodyDiv w:val="1"/>
      <w:marLeft w:val="0"/>
      <w:marRight w:val="0"/>
      <w:marTop w:val="0"/>
      <w:marBottom w:val="0"/>
      <w:divBdr>
        <w:top w:val="none" w:sz="0" w:space="0" w:color="auto"/>
        <w:left w:val="none" w:sz="0" w:space="0" w:color="auto"/>
        <w:bottom w:val="none" w:sz="0" w:space="0" w:color="auto"/>
        <w:right w:val="none" w:sz="0" w:space="0" w:color="auto"/>
      </w:divBdr>
    </w:div>
    <w:div w:id="235670317">
      <w:bodyDiv w:val="1"/>
      <w:marLeft w:val="0"/>
      <w:marRight w:val="0"/>
      <w:marTop w:val="0"/>
      <w:marBottom w:val="0"/>
      <w:divBdr>
        <w:top w:val="none" w:sz="0" w:space="0" w:color="auto"/>
        <w:left w:val="none" w:sz="0" w:space="0" w:color="auto"/>
        <w:bottom w:val="none" w:sz="0" w:space="0" w:color="auto"/>
        <w:right w:val="none" w:sz="0" w:space="0" w:color="auto"/>
      </w:divBdr>
    </w:div>
    <w:div w:id="235670409">
      <w:bodyDiv w:val="1"/>
      <w:marLeft w:val="0"/>
      <w:marRight w:val="0"/>
      <w:marTop w:val="0"/>
      <w:marBottom w:val="0"/>
      <w:divBdr>
        <w:top w:val="none" w:sz="0" w:space="0" w:color="auto"/>
        <w:left w:val="none" w:sz="0" w:space="0" w:color="auto"/>
        <w:bottom w:val="none" w:sz="0" w:space="0" w:color="auto"/>
        <w:right w:val="none" w:sz="0" w:space="0" w:color="auto"/>
      </w:divBdr>
    </w:div>
    <w:div w:id="235752240">
      <w:bodyDiv w:val="1"/>
      <w:marLeft w:val="0"/>
      <w:marRight w:val="0"/>
      <w:marTop w:val="0"/>
      <w:marBottom w:val="0"/>
      <w:divBdr>
        <w:top w:val="none" w:sz="0" w:space="0" w:color="auto"/>
        <w:left w:val="none" w:sz="0" w:space="0" w:color="auto"/>
        <w:bottom w:val="none" w:sz="0" w:space="0" w:color="auto"/>
        <w:right w:val="none" w:sz="0" w:space="0" w:color="auto"/>
      </w:divBdr>
    </w:div>
    <w:div w:id="235866013">
      <w:bodyDiv w:val="1"/>
      <w:marLeft w:val="0"/>
      <w:marRight w:val="0"/>
      <w:marTop w:val="0"/>
      <w:marBottom w:val="0"/>
      <w:divBdr>
        <w:top w:val="none" w:sz="0" w:space="0" w:color="auto"/>
        <w:left w:val="none" w:sz="0" w:space="0" w:color="auto"/>
        <w:bottom w:val="none" w:sz="0" w:space="0" w:color="auto"/>
        <w:right w:val="none" w:sz="0" w:space="0" w:color="auto"/>
      </w:divBdr>
    </w:div>
    <w:div w:id="235867028">
      <w:bodyDiv w:val="1"/>
      <w:marLeft w:val="0"/>
      <w:marRight w:val="0"/>
      <w:marTop w:val="0"/>
      <w:marBottom w:val="0"/>
      <w:divBdr>
        <w:top w:val="none" w:sz="0" w:space="0" w:color="auto"/>
        <w:left w:val="none" w:sz="0" w:space="0" w:color="auto"/>
        <w:bottom w:val="none" w:sz="0" w:space="0" w:color="auto"/>
        <w:right w:val="none" w:sz="0" w:space="0" w:color="auto"/>
      </w:divBdr>
    </w:div>
    <w:div w:id="235870534">
      <w:bodyDiv w:val="1"/>
      <w:marLeft w:val="0"/>
      <w:marRight w:val="0"/>
      <w:marTop w:val="0"/>
      <w:marBottom w:val="0"/>
      <w:divBdr>
        <w:top w:val="none" w:sz="0" w:space="0" w:color="auto"/>
        <w:left w:val="none" w:sz="0" w:space="0" w:color="auto"/>
        <w:bottom w:val="none" w:sz="0" w:space="0" w:color="auto"/>
        <w:right w:val="none" w:sz="0" w:space="0" w:color="auto"/>
      </w:divBdr>
    </w:div>
    <w:div w:id="235870656">
      <w:bodyDiv w:val="1"/>
      <w:marLeft w:val="0"/>
      <w:marRight w:val="0"/>
      <w:marTop w:val="0"/>
      <w:marBottom w:val="0"/>
      <w:divBdr>
        <w:top w:val="none" w:sz="0" w:space="0" w:color="auto"/>
        <w:left w:val="none" w:sz="0" w:space="0" w:color="auto"/>
        <w:bottom w:val="none" w:sz="0" w:space="0" w:color="auto"/>
        <w:right w:val="none" w:sz="0" w:space="0" w:color="auto"/>
      </w:divBdr>
    </w:div>
    <w:div w:id="236063844">
      <w:bodyDiv w:val="1"/>
      <w:marLeft w:val="0"/>
      <w:marRight w:val="0"/>
      <w:marTop w:val="0"/>
      <w:marBottom w:val="0"/>
      <w:divBdr>
        <w:top w:val="none" w:sz="0" w:space="0" w:color="auto"/>
        <w:left w:val="none" w:sz="0" w:space="0" w:color="auto"/>
        <w:bottom w:val="none" w:sz="0" w:space="0" w:color="auto"/>
        <w:right w:val="none" w:sz="0" w:space="0" w:color="auto"/>
      </w:divBdr>
    </w:div>
    <w:div w:id="236135971">
      <w:bodyDiv w:val="1"/>
      <w:marLeft w:val="0"/>
      <w:marRight w:val="0"/>
      <w:marTop w:val="0"/>
      <w:marBottom w:val="0"/>
      <w:divBdr>
        <w:top w:val="none" w:sz="0" w:space="0" w:color="auto"/>
        <w:left w:val="none" w:sz="0" w:space="0" w:color="auto"/>
        <w:bottom w:val="none" w:sz="0" w:space="0" w:color="auto"/>
        <w:right w:val="none" w:sz="0" w:space="0" w:color="auto"/>
      </w:divBdr>
    </w:div>
    <w:div w:id="236208770">
      <w:bodyDiv w:val="1"/>
      <w:marLeft w:val="0"/>
      <w:marRight w:val="0"/>
      <w:marTop w:val="0"/>
      <w:marBottom w:val="0"/>
      <w:divBdr>
        <w:top w:val="none" w:sz="0" w:space="0" w:color="auto"/>
        <w:left w:val="none" w:sz="0" w:space="0" w:color="auto"/>
        <w:bottom w:val="none" w:sz="0" w:space="0" w:color="auto"/>
        <w:right w:val="none" w:sz="0" w:space="0" w:color="auto"/>
      </w:divBdr>
    </w:div>
    <w:div w:id="236211749">
      <w:bodyDiv w:val="1"/>
      <w:marLeft w:val="0"/>
      <w:marRight w:val="0"/>
      <w:marTop w:val="0"/>
      <w:marBottom w:val="0"/>
      <w:divBdr>
        <w:top w:val="none" w:sz="0" w:space="0" w:color="auto"/>
        <w:left w:val="none" w:sz="0" w:space="0" w:color="auto"/>
        <w:bottom w:val="none" w:sz="0" w:space="0" w:color="auto"/>
        <w:right w:val="none" w:sz="0" w:space="0" w:color="auto"/>
      </w:divBdr>
    </w:div>
    <w:div w:id="236401319">
      <w:bodyDiv w:val="1"/>
      <w:marLeft w:val="0"/>
      <w:marRight w:val="0"/>
      <w:marTop w:val="0"/>
      <w:marBottom w:val="0"/>
      <w:divBdr>
        <w:top w:val="none" w:sz="0" w:space="0" w:color="auto"/>
        <w:left w:val="none" w:sz="0" w:space="0" w:color="auto"/>
        <w:bottom w:val="none" w:sz="0" w:space="0" w:color="auto"/>
        <w:right w:val="none" w:sz="0" w:space="0" w:color="auto"/>
      </w:divBdr>
    </w:div>
    <w:div w:id="236477910">
      <w:bodyDiv w:val="1"/>
      <w:marLeft w:val="0"/>
      <w:marRight w:val="0"/>
      <w:marTop w:val="0"/>
      <w:marBottom w:val="0"/>
      <w:divBdr>
        <w:top w:val="none" w:sz="0" w:space="0" w:color="auto"/>
        <w:left w:val="none" w:sz="0" w:space="0" w:color="auto"/>
        <w:bottom w:val="none" w:sz="0" w:space="0" w:color="auto"/>
        <w:right w:val="none" w:sz="0" w:space="0" w:color="auto"/>
      </w:divBdr>
    </w:div>
    <w:div w:id="236594251">
      <w:bodyDiv w:val="1"/>
      <w:marLeft w:val="0"/>
      <w:marRight w:val="0"/>
      <w:marTop w:val="0"/>
      <w:marBottom w:val="0"/>
      <w:divBdr>
        <w:top w:val="none" w:sz="0" w:space="0" w:color="auto"/>
        <w:left w:val="none" w:sz="0" w:space="0" w:color="auto"/>
        <w:bottom w:val="none" w:sz="0" w:space="0" w:color="auto"/>
        <w:right w:val="none" w:sz="0" w:space="0" w:color="auto"/>
      </w:divBdr>
    </w:div>
    <w:div w:id="236599935">
      <w:bodyDiv w:val="1"/>
      <w:marLeft w:val="0"/>
      <w:marRight w:val="0"/>
      <w:marTop w:val="0"/>
      <w:marBottom w:val="0"/>
      <w:divBdr>
        <w:top w:val="none" w:sz="0" w:space="0" w:color="auto"/>
        <w:left w:val="none" w:sz="0" w:space="0" w:color="auto"/>
        <w:bottom w:val="none" w:sz="0" w:space="0" w:color="auto"/>
        <w:right w:val="none" w:sz="0" w:space="0" w:color="auto"/>
      </w:divBdr>
    </w:div>
    <w:div w:id="236670349">
      <w:bodyDiv w:val="1"/>
      <w:marLeft w:val="0"/>
      <w:marRight w:val="0"/>
      <w:marTop w:val="0"/>
      <w:marBottom w:val="0"/>
      <w:divBdr>
        <w:top w:val="none" w:sz="0" w:space="0" w:color="auto"/>
        <w:left w:val="none" w:sz="0" w:space="0" w:color="auto"/>
        <w:bottom w:val="none" w:sz="0" w:space="0" w:color="auto"/>
        <w:right w:val="none" w:sz="0" w:space="0" w:color="auto"/>
      </w:divBdr>
    </w:div>
    <w:div w:id="236786811">
      <w:bodyDiv w:val="1"/>
      <w:marLeft w:val="0"/>
      <w:marRight w:val="0"/>
      <w:marTop w:val="0"/>
      <w:marBottom w:val="0"/>
      <w:divBdr>
        <w:top w:val="none" w:sz="0" w:space="0" w:color="auto"/>
        <w:left w:val="none" w:sz="0" w:space="0" w:color="auto"/>
        <w:bottom w:val="none" w:sz="0" w:space="0" w:color="auto"/>
        <w:right w:val="none" w:sz="0" w:space="0" w:color="auto"/>
      </w:divBdr>
    </w:div>
    <w:div w:id="236862751">
      <w:bodyDiv w:val="1"/>
      <w:marLeft w:val="0"/>
      <w:marRight w:val="0"/>
      <w:marTop w:val="0"/>
      <w:marBottom w:val="0"/>
      <w:divBdr>
        <w:top w:val="none" w:sz="0" w:space="0" w:color="auto"/>
        <w:left w:val="none" w:sz="0" w:space="0" w:color="auto"/>
        <w:bottom w:val="none" w:sz="0" w:space="0" w:color="auto"/>
        <w:right w:val="none" w:sz="0" w:space="0" w:color="auto"/>
      </w:divBdr>
    </w:div>
    <w:div w:id="236940753">
      <w:bodyDiv w:val="1"/>
      <w:marLeft w:val="0"/>
      <w:marRight w:val="0"/>
      <w:marTop w:val="0"/>
      <w:marBottom w:val="0"/>
      <w:divBdr>
        <w:top w:val="none" w:sz="0" w:space="0" w:color="auto"/>
        <w:left w:val="none" w:sz="0" w:space="0" w:color="auto"/>
        <w:bottom w:val="none" w:sz="0" w:space="0" w:color="auto"/>
        <w:right w:val="none" w:sz="0" w:space="0" w:color="auto"/>
      </w:divBdr>
    </w:div>
    <w:div w:id="236984190">
      <w:bodyDiv w:val="1"/>
      <w:marLeft w:val="0"/>
      <w:marRight w:val="0"/>
      <w:marTop w:val="0"/>
      <w:marBottom w:val="0"/>
      <w:divBdr>
        <w:top w:val="none" w:sz="0" w:space="0" w:color="auto"/>
        <w:left w:val="none" w:sz="0" w:space="0" w:color="auto"/>
        <w:bottom w:val="none" w:sz="0" w:space="0" w:color="auto"/>
        <w:right w:val="none" w:sz="0" w:space="0" w:color="auto"/>
      </w:divBdr>
    </w:div>
    <w:div w:id="237133649">
      <w:bodyDiv w:val="1"/>
      <w:marLeft w:val="0"/>
      <w:marRight w:val="0"/>
      <w:marTop w:val="0"/>
      <w:marBottom w:val="0"/>
      <w:divBdr>
        <w:top w:val="none" w:sz="0" w:space="0" w:color="auto"/>
        <w:left w:val="none" w:sz="0" w:space="0" w:color="auto"/>
        <w:bottom w:val="none" w:sz="0" w:space="0" w:color="auto"/>
        <w:right w:val="none" w:sz="0" w:space="0" w:color="auto"/>
      </w:divBdr>
    </w:div>
    <w:div w:id="237177279">
      <w:bodyDiv w:val="1"/>
      <w:marLeft w:val="0"/>
      <w:marRight w:val="0"/>
      <w:marTop w:val="0"/>
      <w:marBottom w:val="0"/>
      <w:divBdr>
        <w:top w:val="none" w:sz="0" w:space="0" w:color="auto"/>
        <w:left w:val="none" w:sz="0" w:space="0" w:color="auto"/>
        <w:bottom w:val="none" w:sz="0" w:space="0" w:color="auto"/>
        <w:right w:val="none" w:sz="0" w:space="0" w:color="auto"/>
      </w:divBdr>
    </w:div>
    <w:div w:id="237180368">
      <w:bodyDiv w:val="1"/>
      <w:marLeft w:val="0"/>
      <w:marRight w:val="0"/>
      <w:marTop w:val="0"/>
      <w:marBottom w:val="0"/>
      <w:divBdr>
        <w:top w:val="none" w:sz="0" w:space="0" w:color="auto"/>
        <w:left w:val="none" w:sz="0" w:space="0" w:color="auto"/>
        <w:bottom w:val="none" w:sz="0" w:space="0" w:color="auto"/>
        <w:right w:val="none" w:sz="0" w:space="0" w:color="auto"/>
      </w:divBdr>
    </w:div>
    <w:div w:id="237326032">
      <w:bodyDiv w:val="1"/>
      <w:marLeft w:val="0"/>
      <w:marRight w:val="0"/>
      <w:marTop w:val="0"/>
      <w:marBottom w:val="0"/>
      <w:divBdr>
        <w:top w:val="none" w:sz="0" w:space="0" w:color="auto"/>
        <w:left w:val="none" w:sz="0" w:space="0" w:color="auto"/>
        <w:bottom w:val="none" w:sz="0" w:space="0" w:color="auto"/>
        <w:right w:val="none" w:sz="0" w:space="0" w:color="auto"/>
      </w:divBdr>
    </w:div>
    <w:div w:id="237327008">
      <w:bodyDiv w:val="1"/>
      <w:marLeft w:val="0"/>
      <w:marRight w:val="0"/>
      <w:marTop w:val="0"/>
      <w:marBottom w:val="0"/>
      <w:divBdr>
        <w:top w:val="none" w:sz="0" w:space="0" w:color="auto"/>
        <w:left w:val="none" w:sz="0" w:space="0" w:color="auto"/>
        <w:bottom w:val="none" w:sz="0" w:space="0" w:color="auto"/>
        <w:right w:val="none" w:sz="0" w:space="0" w:color="auto"/>
      </w:divBdr>
    </w:div>
    <w:div w:id="237402637">
      <w:bodyDiv w:val="1"/>
      <w:marLeft w:val="0"/>
      <w:marRight w:val="0"/>
      <w:marTop w:val="0"/>
      <w:marBottom w:val="0"/>
      <w:divBdr>
        <w:top w:val="none" w:sz="0" w:space="0" w:color="auto"/>
        <w:left w:val="none" w:sz="0" w:space="0" w:color="auto"/>
        <w:bottom w:val="none" w:sz="0" w:space="0" w:color="auto"/>
        <w:right w:val="none" w:sz="0" w:space="0" w:color="auto"/>
      </w:divBdr>
    </w:div>
    <w:div w:id="237443376">
      <w:bodyDiv w:val="1"/>
      <w:marLeft w:val="0"/>
      <w:marRight w:val="0"/>
      <w:marTop w:val="0"/>
      <w:marBottom w:val="0"/>
      <w:divBdr>
        <w:top w:val="none" w:sz="0" w:space="0" w:color="auto"/>
        <w:left w:val="none" w:sz="0" w:space="0" w:color="auto"/>
        <w:bottom w:val="none" w:sz="0" w:space="0" w:color="auto"/>
        <w:right w:val="none" w:sz="0" w:space="0" w:color="auto"/>
      </w:divBdr>
    </w:div>
    <w:div w:id="237443866">
      <w:bodyDiv w:val="1"/>
      <w:marLeft w:val="0"/>
      <w:marRight w:val="0"/>
      <w:marTop w:val="0"/>
      <w:marBottom w:val="0"/>
      <w:divBdr>
        <w:top w:val="none" w:sz="0" w:space="0" w:color="auto"/>
        <w:left w:val="none" w:sz="0" w:space="0" w:color="auto"/>
        <w:bottom w:val="none" w:sz="0" w:space="0" w:color="auto"/>
        <w:right w:val="none" w:sz="0" w:space="0" w:color="auto"/>
      </w:divBdr>
    </w:div>
    <w:div w:id="237518976">
      <w:bodyDiv w:val="1"/>
      <w:marLeft w:val="0"/>
      <w:marRight w:val="0"/>
      <w:marTop w:val="0"/>
      <w:marBottom w:val="0"/>
      <w:divBdr>
        <w:top w:val="none" w:sz="0" w:space="0" w:color="auto"/>
        <w:left w:val="none" w:sz="0" w:space="0" w:color="auto"/>
        <w:bottom w:val="none" w:sz="0" w:space="0" w:color="auto"/>
        <w:right w:val="none" w:sz="0" w:space="0" w:color="auto"/>
      </w:divBdr>
    </w:div>
    <w:div w:id="237712275">
      <w:bodyDiv w:val="1"/>
      <w:marLeft w:val="0"/>
      <w:marRight w:val="0"/>
      <w:marTop w:val="0"/>
      <w:marBottom w:val="0"/>
      <w:divBdr>
        <w:top w:val="none" w:sz="0" w:space="0" w:color="auto"/>
        <w:left w:val="none" w:sz="0" w:space="0" w:color="auto"/>
        <w:bottom w:val="none" w:sz="0" w:space="0" w:color="auto"/>
        <w:right w:val="none" w:sz="0" w:space="0" w:color="auto"/>
      </w:divBdr>
    </w:div>
    <w:div w:id="237792844">
      <w:bodyDiv w:val="1"/>
      <w:marLeft w:val="0"/>
      <w:marRight w:val="0"/>
      <w:marTop w:val="0"/>
      <w:marBottom w:val="0"/>
      <w:divBdr>
        <w:top w:val="none" w:sz="0" w:space="0" w:color="auto"/>
        <w:left w:val="none" w:sz="0" w:space="0" w:color="auto"/>
        <w:bottom w:val="none" w:sz="0" w:space="0" w:color="auto"/>
        <w:right w:val="none" w:sz="0" w:space="0" w:color="auto"/>
      </w:divBdr>
    </w:div>
    <w:div w:id="237793788">
      <w:bodyDiv w:val="1"/>
      <w:marLeft w:val="0"/>
      <w:marRight w:val="0"/>
      <w:marTop w:val="0"/>
      <w:marBottom w:val="0"/>
      <w:divBdr>
        <w:top w:val="none" w:sz="0" w:space="0" w:color="auto"/>
        <w:left w:val="none" w:sz="0" w:space="0" w:color="auto"/>
        <w:bottom w:val="none" w:sz="0" w:space="0" w:color="auto"/>
        <w:right w:val="none" w:sz="0" w:space="0" w:color="auto"/>
      </w:divBdr>
    </w:div>
    <w:div w:id="237793878">
      <w:bodyDiv w:val="1"/>
      <w:marLeft w:val="0"/>
      <w:marRight w:val="0"/>
      <w:marTop w:val="0"/>
      <w:marBottom w:val="0"/>
      <w:divBdr>
        <w:top w:val="none" w:sz="0" w:space="0" w:color="auto"/>
        <w:left w:val="none" w:sz="0" w:space="0" w:color="auto"/>
        <w:bottom w:val="none" w:sz="0" w:space="0" w:color="auto"/>
        <w:right w:val="none" w:sz="0" w:space="0" w:color="auto"/>
      </w:divBdr>
    </w:div>
    <w:div w:id="237987281">
      <w:bodyDiv w:val="1"/>
      <w:marLeft w:val="0"/>
      <w:marRight w:val="0"/>
      <w:marTop w:val="0"/>
      <w:marBottom w:val="0"/>
      <w:divBdr>
        <w:top w:val="none" w:sz="0" w:space="0" w:color="auto"/>
        <w:left w:val="none" w:sz="0" w:space="0" w:color="auto"/>
        <w:bottom w:val="none" w:sz="0" w:space="0" w:color="auto"/>
        <w:right w:val="none" w:sz="0" w:space="0" w:color="auto"/>
      </w:divBdr>
    </w:div>
    <w:div w:id="238096260">
      <w:bodyDiv w:val="1"/>
      <w:marLeft w:val="0"/>
      <w:marRight w:val="0"/>
      <w:marTop w:val="0"/>
      <w:marBottom w:val="0"/>
      <w:divBdr>
        <w:top w:val="none" w:sz="0" w:space="0" w:color="auto"/>
        <w:left w:val="none" w:sz="0" w:space="0" w:color="auto"/>
        <w:bottom w:val="none" w:sz="0" w:space="0" w:color="auto"/>
        <w:right w:val="none" w:sz="0" w:space="0" w:color="auto"/>
      </w:divBdr>
    </w:div>
    <w:div w:id="238247948">
      <w:bodyDiv w:val="1"/>
      <w:marLeft w:val="0"/>
      <w:marRight w:val="0"/>
      <w:marTop w:val="0"/>
      <w:marBottom w:val="0"/>
      <w:divBdr>
        <w:top w:val="none" w:sz="0" w:space="0" w:color="auto"/>
        <w:left w:val="none" w:sz="0" w:space="0" w:color="auto"/>
        <w:bottom w:val="none" w:sz="0" w:space="0" w:color="auto"/>
        <w:right w:val="none" w:sz="0" w:space="0" w:color="auto"/>
      </w:divBdr>
    </w:div>
    <w:div w:id="238297838">
      <w:bodyDiv w:val="1"/>
      <w:marLeft w:val="0"/>
      <w:marRight w:val="0"/>
      <w:marTop w:val="0"/>
      <w:marBottom w:val="0"/>
      <w:divBdr>
        <w:top w:val="none" w:sz="0" w:space="0" w:color="auto"/>
        <w:left w:val="none" w:sz="0" w:space="0" w:color="auto"/>
        <w:bottom w:val="none" w:sz="0" w:space="0" w:color="auto"/>
        <w:right w:val="none" w:sz="0" w:space="0" w:color="auto"/>
      </w:divBdr>
    </w:div>
    <w:div w:id="238297933">
      <w:bodyDiv w:val="1"/>
      <w:marLeft w:val="0"/>
      <w:marRight w:val="0"/>
      <w:marTop w:val="0"/>
      <w:marBottom w:val="0"/>
      <w:divBdr>
        <w:top w:val="none" w:sz="0" w:space="0" w:color="auto"/>
        <w:left w:val="none" w:sz="0" w:space="0" w:color="auto"/>
        <w:bottom w:val="none" w:sz="0" w:space="0" w:color="auto"/>
        <w:right w:val="none" w:sz="0" w:space="0" w:color="auto"/>
      </w:divBdr>
    </w:div>
    <w:div w:id="238369355">
      <w:bodyDiv w:val="1"/>
      <w:marLeft w:val="0"/>
      <w:marRight w:val="0"/>
      <w:marTop w:val="0"/>
      <w:marBottom w:val="0"/>
      <w:divBdr>
        <w:top w:val="none" w:sz="0" w:space="0" w:color="auto"/>
        <w:left w:val="none" w:sz="0" w:space="0" w:color="auto"/>
        <w:bottom w:val="none" w:sz="0" w:space="0" w:color="auto"/>
        <w:right w:val="none" w:sz="0" w:space="0" w:color="auto"/>
      </w:divBdr>
    </w:div>
    <w:div w:id="238443688">
      <w:bodyDiv w:val="1"/>
      <w:marLeft w:val="0"/>
      <w:marRight w:val="0"/>
      <w:marTop w:val="0"/>
      <w:marBottom w:val="0"/>
      <w:divBdr>
        <w:top w:val="none" w:sz="0" w:space="0" w:color="auto"/>
        <w:left w:val="none" w:sz="0" w:space="0" w:color="auto"/>
        <w:bottom w:val="none" w:sz="0" w:space="0" w:color="auto"/>
        <w:right w:val="none" w:sz="0" w:space="0" w:color="auto"/>
      </w:divBdr>
    </w:div>
    <w:div w:id="238448624">
      <w:bodyDiv w:val="1"/>
      <w:marLeft w:val="0"/>
      <w:marRight w:val="0"/>
      <w:marTop w:val="0"/>
      <w:marBottom w:val="0"/>
      <w:divBdr>
        <w:top w:val="none" w:sz="0" w:space="0" w:color="auto"/>
        <w:left w:val="none" w:sz="0" w:space="0" w:color="auto"/>
        <w:bottom w:val="none" w:sz="0" w:space="0" w:color="auto"/>
        <w:right w:val="none" w:sz="0" w:space="0" w:color="auto"/>
      </w:divBdr>
    </w:div>
    <w:div w:id="238515117">
      <w:bodyDiv w:val="1"/>
      <w:marLeft w:val="0"/>
      <w:marRight w:val="0"/>
      <w:marTop w:val="0"/>
      <w:marBottom w:val="0"/>
      <w:divBdr>
        <w:top w:val="none" w:sz="0" w:space="0" w:color="auto"/>
        <w:left w:val="none" w:sz="0" w:space="0" w:color="auto"/>
        <w:bottom w:val="none" w:sz="0" w:space="0" w:color="auto"/>
        <w:right w:val="none" w:sz="0" w:space="0" w:color="auto"/>
      </w:divBdr>
    </w:div>
    <w:div w:id="238518044">
      <w:bodyDiv w:val="1"/>
      <w:marLeft w:val="0"/>
      <w:marRight w:val="0"/>
      <w:marTop w:val="0"/>
      <w:marBottom w:val="0"/>
      <w:divBdr>
        <w:top w:val="none" w:sz="0" w:space="0" w:color="auto"/>
        <w:left w:val="none" w:sz="0" w:space="0" w:color="auto"/>
        <w:bottom w:val="none" w:sz="0" w:space="0" w:color="auto"/>
        <w:right w:val="none" w:sz="0" w:space="0" w:color="auto"/>
      </w:divBdr>
    </w:div>
    <w:div w:id="238559844">
      <w:bodyDiv w:val="1"/>
      <w:marLeft w:val="0"/>
      <w:marRight w:val="0"/>
      <w:marTop w:val="0"/>
      <w:marBottom w:val="0"/>
      <w:divBdr>
        <w:top w:val="none" w:sz="0" w:space="0" w:color="auto"/>
        <w:left w:val="none" w:sz="0" w:space="0" w:color="auto"/>
        <w:bottom w:val="none" w:sz="0" w:space="0" w:color="auto"/>
        <w:right w:val="none" w:sz="0" w:space="0" w:color="auto"/>
      </w:divBdr>
    </w:div>
    <w:div w:id="238907344">
      <w:bodyDiv w:val="1"/>
      <w:marLeft w:val="0"/>
      <w:marRight w:val="0"/>
      <w:marTop w:val="0"/>
      <w:marBottom w:val="0"/>
      <w:divBdr>
        <w:top w:val="none" w:sz="0" w:space="0" w:color="auto"/>
        <w:left w:val="none" w:sz="0" w:space="0" w:color="auto"/>
        <w:bottom w:val="none" w:sz="0" w:space="0" w:color="auto"/>
        <w:right w:val="none" w:sz="0" w:space="0" w:color="auto"/>
      </w:divBdr>
    </w:div>
    <w:div w:id="238949721">
      <w:bodyDiv w:val="1"/>
      <w:marLeft w:val="0"/>
      <w:marRight w:val="0"/>
      <w:marTop w:val="0"/>
      <w:marBottom w:val="0"/>
      <w:divBdr>
        <w:top w:val="none" w:sz="0" w:space="0" w:color="auto"/>
        <w:left w:val="none" w:sz="0" w:space="0" w:color="auto"/>
        <w:bottom w:val="none" w:sz="0" w:space="0" w:color="auto"/>
        <w:right w:val="none" w:sz="0" w:space="0" w:color="auto"/>
      </w:divBdr>
    </w:div>
    <w:div w:id="238950876">
      <w:bodyDiv w:val="1"/>
      <w:marLeft w:val="0"/>
      <w:marRight w:val="0"/>
      <w:marTop w:val="0"/>
      <w:marBottom w:val="0"/>
      <w:divBdr>
        <w:top w:val="none" w:sz="0" w:space="0" w:color="auto"/>
        <w:left w:val="none" w:sz="0" w:space="0" w:color="auto"/>
        <w:bottom w:val="none" w:sz="0" w:space="0" w:color="auto"/>
        <w:right w:val="none" w:sz="0" w:space="0" w:color="auto"/>
      </w:divBdr>
    </w:div>
    <w:div w:id="239021769">
      <w:bodyDiv w:val="1"/>
      <w:marLeft w:val="0"/>
      <w:marRight w:val="0"/>
      <w:marTop w:val="0"/>
      <w:marBottom w:val="0"/>
      <w:divBdr>
        <w:top w:val="none" w:sz="0" w:space="0" w:color="auto"/>
        <w:left w:val="none" w:sz="0" w:space="0" w:color="auto"/>
        <w:bottom w:val="none" w:sz="0" w:space="0" w:color="auto"/>
        <w:right w:val="none" w:sz="0" w:space="0" w:color="auto"/>
      </w:divBdr>
    </w:div>
    <w:div w:id="239142343">
      <w:bodyDiv w:val="1"/>
      <w:marLeft w:val="0"/>
      <w:marRight w:val="0"/>
      <w:marTop w:val="0"/>
      <w:marBottom w:val="0"/>
      <w:divBdr>
        <w:top w:val="none" w:sz="0" w:space="0" w:color="auto"/>
        <w:left w:val="none" w:sz="0" w:space="0" w:color="auto"/>
        <w:bottom w:val="none" w:sz="0" w:space="0" w:color="auto"/>
        <w:right w:val="none" w:sz="0" w:space="0" w:color="auto"/>
      </w:divBdr>
    </w:div>
    <w:div w:id="239215862">
      <w:bodyDiv w:val="1"/>
      <w:marLeft w:val="0"/>
      <w:marRight w:val="0"/>
      <w:marTop w:val="0"/>
      <w:marBottom w:val="0"/>
      <w:divBdr>
        <w:top w:val="none" w:sz="0" w:space="0" w:color="auto"/>
        <w:left w:val="none" w:sz="0" w:space="0" w:color="auto"/>
        <w:bottom w:val="none" w:sz="0" w:space="0" w:color="auto"/>
        <w:right w:val="none" w:sz="0" w:space="0" w:color="auto"/>
      </w:divBdr>
    </w:div>
    <w:div w:id="239222337">
      <w:bodyDiv w:val="1"/>
      <w:marLeft w:val="0"/>
      <w:marRight w:val="0"/>
      <w:marTop w:val="0"/>
      <w:marBottom w:val="0"/>
      <w:divBdr>
        <w:top w:val="none" w:sz="0" w:space="0" w:color="auto"/>
        <w:left w:val="none" w:sz="0" w:space="0" w:color="auto"/>
        <w:bottom w:val="none" w:sz="0" w:space="0" w:color="auto"/>
        <w:right w:val="none" w:sz="0" w:space="0" w:color="auto"/>
      </w:divBdr>
    </w:div>
    <w:div w:id="239292022">
      <w:bodyDiv w:val="1"/>
      <w:marLeft w:val="0"/>
      <w:marRight w:val="0"/>
      <w:marTop w:val="0"/>
      <w:marBottom w:val="0"/>
      <w:divBdr>
        <w:top w:val="none" w:sz="0" w:space="0" w:color="auto"/>
        <w:left w:val="none" w:sz="0" w:space="0" w:color="auto"/>
        <w:bottom w:val="none" w:sz="0" w:space="0" w:color="auto"/>
        <w:right w:val="none" w:sz="0" w:space="0" w:color="auto"/>
      </w:divBdr>
    </w:div>
    <w:div w:id="239294439">
      <w:bodyDiv w:val="1"/>
      <w:marLeft w:val="0"/>
      <w:marRight w:val="0"/>
      <w:marTop w:val="0"/>
      <w:marBottom w:val="0"/>
      <w:divBdr>
        <w:top w:val="none" w:sz="0" w:space="0" w:color="auto"/>
        <w:left w:val="none" w:sz="0" w:space="0" w:color="auto"/>
        <w:bottom w:val="none" w:sz="0" w:space="0" w:color="auto"/>
        <w:right w:val="none" w:sz="0" w:space="0" w:color="auto"/>
      </w:divBdr>
    </w:div>
    <w:div w:id="239297061">
      <w:bodyDiv w:val="1"/>
      <w:marLeft w:val="0"/>
      <w:marRight w:val="0"/>
      <w:marTop w:val="0"/>
      <w:marBottom w:val="0"/>
      <w:divBdr>
        <w:top w:val="none" w:sz="0" w:space="0" w:color="auto"/>
        <w:left w:val="none" w:sz="0" w:space="0" w:color="auto"/>
        <w:bottom w:val="none" w:sz="0" w:space="0" w:color="auto"/>
        <w:right w:val="none" w:sz="0" w:space="0" w:color="auto"/>
      </w:divBdr>
    </w:div>
    <w:div w:id="239365151">
      <w:bodyDiv w:val="1"/>
      <w:marLeft w:val="0"/>
      <w:marRight w:val="0"/>
      <w:marTop w:val="0"/>
      <w:marBottom w:val="0"/>
      <w:divBdr>
        <w:top w:val="none" w:sz="0" w:space="0" w:color="auto"/>
        <w:left w:val="none" w:sz="0" w:space="0" w:color="auto"/>
        <w:bottom w:val="none" w:sz="0" w:space="0" w:color="auto"/>
        <w:right w:val="none" w:sz="0" w:space="0" w:color="auto"/>
      </w:divBdr>
    </w:div>
    <w:div w:id="239563296">
      <w:bodyDiv w:val="1"/>
      <w:marLeft w:val="0"/>
      <w:marRight w:val="0"/>
      <w:marTop w:val="0"/>
      <w:marBottom w:val="0"/>
      <w:divBdr>
        <w:top w:val="none" w:sz="0" w:space="0" w:color="auto"/>
        <w:left w:val="none" w:sz="0" w:space="0" w:color="auto"/>
        <w:bottom w:val="none" w:sz="0" w:space="0" w:color="auto"/>
        <w:right w:val="none" w:sz="0" w:space="0" w:color="auto"/>
      </w:divBdr>
    </w:div>
    <w:div w:id="239564025">
      <w:bodyDiv w:val="1"/>
      <w:marLeft w:val="0"/>
      <w:marRight w:val="0"/>
      <w:marTop w:val="0"/>
      <w:marBottom w:val="0"/>
      <w:divBdr>
        <w:top w:val="none" w:sz="0" w:space="0" w:color="auto"/>
        <w:left w:val="none" w:sz="0" w:space="0" w:color="auto"/>
        <w:bottom w:val="none" w:sz="0" w:space="0" w:color="auto"/>
        <w:right w:val="none" w:sz="0" w:space="0" w:color="auto"/>
      </w:divBdr>
    </w:div>
    <w:div w:id="239564606">
      <w:bodyDiv w:val="1"/>
      <w:marLeft w:val="0"/>
      <w:marRight w:val="0"/>
      <w:marTop w:val="0"/>
      <w:marBottom w:val="0"/>
      <w:divBdr>
        <w:top w:val="none" w:sz="0" w:space="0" w:color="auto"/>
        <w:left w:val="none" w:sz="0" w:space="0" w:color="auto"/>
        <w:bottom w:val="none" w:sz="0" w:space="0" w:color="auto"/>
        <w:right w:val="none" w:sz="0" w:space="0" w:color="auto"/>
      </w:divBdr>
    </w:div>
    <w:div w:id="239603433">
      <w:bodyDiv w:val="1"/>
      <w:marLeft w:val="0"/>
      <w:marRight w:val="0"/>
      <w:marTop w:val="0"/>
      <w:marBottom w:val="0"/>
      <w:divBdr>
        <w:top w:val="none" w:sz="0" w:space="0" w:color="auto"/>
        <w:left w:val="none" w:sz="0" w:space="0" w:color="auto"/>
        <w:bottom w:val="none" w:sz="0" w:space="0" w:color="auto"/>
        <w:right w:val="none" w:sz="0" w:space="0" w:color="auto"/>
      </w:divBdr>
    </w:div>
    <w:div w:id="239607194">
      <w:bodyDiv w:val="1"/>
      <w:marLeft w:val="0"/>
      <w:marRight w:val="0"/>
      <w:marTop w:val="0"/>
      <w:marBottom w:val="0"/>
      <w:divBdr>
        <w:top w:val="none" w:sz="0" w:space="0" w:color="auto"/>
        <w:left w:val="none" w:sz="0" w:space="0" w:color="auto"/>
        <w:bottom w:val="none" w:sz="0" w:space="0" w:color="auto"/>
        <w:right w:val="none" w:sz="0" w:space="0" w:color="auto"/>
      </w:divBdr>
    </w:div>
    <w:div w:id="239677184">
      <w:bodyDiv w:val="1"/>
      <w:marLeft w:val="0"/>
      <w:marRight w:val="0"/>
      <w:marTop w:val="0"/>
      <w:marBottom w:val="0"/>
      <w:divBdr>
        <w:top w:val="none" w:sz="0" w:space="0" w:color="auto"/>
        <w:left w:val="none" w:sz="0" w:space="0" w:color="auto"/>
        <w:bottom w:val="none" w:sz="0" w:space="0" w:color="auto"/>
        <w:right w:val="none" w:sz="0" w:space="0" w:color="auto"/>
      </w:divBdr>
    </w:div>
    <w:div w:id="239753767">
      <w:bodyDiv w:val="1"/>
      <w:marLeft w:val="0"/>
      <w:marRight w:val="0"/>
      <w:marTop w:val="0"/>
      <w:marBottom w:val="0"/>
      <w:divBdr>
        <w:top w:val="none" w:sz="0" w:space="0" w:color="auto"/>
        <w:left w:val="none" w:sz="0" w:space="0" w:color="auto"/>
        <w:bottom w:val="none" w:sz="0" w:space="0" w:color="auto"/>
        <w:right w:val="none" w:sz="0" w:space="0" w:color="auto"/>
      </w:divBdr>
    </w:div>
    <w:div w:id="239754725">
      <w:bodyDiv w:val="1"/>
      <w:marLeft w:val="0"/>
      <w:marRight w:val="0"/>
      <w:marTop w:val="0"/>
      <w:marBottom w:val="0"/>
      <w:divBdr>
        <w:top w:val="none" w:sz="0" w:space="0" w:color="auto"/>
        <w:left w:val="none" w:sz="0" w:space="0" w:color="auto"/>
        <w:bottom w:val="none" w:sz="0" w:space="0" w:color="auto"/>
        <w:right w:val="none" w:sz="0" w:space="0" w:color="auto"/>
      </w:divBdr>
    </w:div>
    <w:div w:id="239949320">
      <w:bodyDiv w:val="1"/>
      <w:marLeft w:val="0"/>
      <w:marRight w:val="0"/>
      <w:marTop w:val="0"/>
      <w:marBottom w:val="0"/>
      <w:divBdr>
        <w:top w:val="none" w:sz="0" w:space="0" w:color="auto"/>
        <w:left w:val="none" w:sz="0" w:space="0" w:color="auto"/>
        <w:bottom w:val="none" w:sz="0" w:space="0" w:color="auto"/>
        <w:right w:val="none" w:sz="0" w:space="0" w:color="auto"/>
      </w:divBdr>
    </w:div>
    <w:div w:id="239949396">
      <w:bodyDiv w:val="1"/>
      <w:marLeft w:val="0"/>
      <w:marRight w:val="0"/>
      <w:marTop w:val="0"/>
      <w:marBottom w:val="0"/>
      <w:divBdr>
        <w:top w:val="none" w:sz="0" w:space="0" w:color="auto"/>
        <w:left w:val="none" w:sz="0" w:space="0" w:color="auto"/>
        <w:bottom w:val="none" w:sz="0" w:space="0" w:color="auto"/>
        <w:right w:val="none" w:sz="0" w:space="0" w:color="auto"/>
      </w:divBdr>
    </w:div>
    <w:div w:id="239950261">
      <w:bodyDiv w:val="1"/>
      <w:marLeft w:val="0"/>
      <w:marRight w:val="0"/>
      <w:marTop w:val="0"/>
      <w:marBottom w:val="0"/>
      <w:divBdr>
        <w:top w:val="none" w:sz="0" w:space="0" w:color="auto"/>
        <w:left w:val="none" w:sz="0" w:space="0" w:color="auto"/>
        <w:bottom w:val="none" w:sz="0" w:space="0" w:color="auto"/>
        <w:right w:val="none" w:sz="0" w:space="0" w:color="auto"/>
      </w:divBdr>
    </w:div>
    <w:div w:id="239994470">
      <w:bodyDiv w:val="1"/>
      <w:marLeft w:val="0"/>
      <w:marRight w:val="0"/>
      <w:marTop w:val="0"/>
      <w:marBottom w:val="0"/>
      <w:divBdr>
        <w:top w:val="none" w:sz="0" w:space="0" w:color="auto"/>
        <w:left w:val="none" w:sz="0" w:space="0" w:color="auto"/>
        <w:bottom w:val="none" w:sz="0" w:space="0" w:color="auto"/>
        <w:right w:val="none" w:sz="0" w:space="0" w:color="auto"/>
      </w:divBdr>
    </w:div>
    <w:div w:id="239994970">
      <w:bodyDiv w:val="1"/>
      <w:marLeft w:val="0"/>
      <w:marRight w:val="0"/>
      <w:marTop w:val="0"/>
      <w:marBottom w:val="0"/>
      <w:divBdr>
        <w:top w:val="none" w:sz="0" w:space="0" w:color="auto"/>
        <w:left w:val="none" w:sz="0" w:space="0" w:color="auto"/>
        <w:bottom w:val="none" w:sz="0" w:space="0" w:color="auto"/>
        <w:right w:val="none" w:sz="0" w:space="0" w:color="auto"/>
      </w:divBdr>
    </w:div>
    <w:div w:id="240024554">
      <w:bodyDiv w:val="1"/>
      <w:marLeft w:val="0"/>
      <w:marRight w:val="0"/>
      <w:marTop w:val="0"/>
      <w:marBottom w:val="0"/>
      <w:divBdr>
        <w:top w:val="none" w:sz="0" w:space="0" w:color="auto"/>
        <w:left w:val="none" w:sz="0" w:space="0" w:color="auto"/>
        <w:bottom w:val="none" w:sz="0" w:space="0" w:color="auto"/>
        <w:right w:val="none" w:sz="0" w:space="0" w:color="auto"/>
      </w:divBdr>
    </w:div>
    <w:div w:id="240063786">
      <w:bodyDiv w:val="1"/>
      <w:marLeft w:val="0"/>
      <w:marRight w:val="0"/>
      <w:marTop w:val="0"/>
      <w:marBottom w:val="0"/>
      <w:divBdr>
        <w:top w:val="none" w:sz="0" w:space="0" w:color="auto"/>
        <w:left w:val="none" w:sz="0" w:space="0" w:color="auto"/>
        <w:bottom w:val="none" w:sz="0" w:space="0" w:color="auto"/>
        <w:right w:val="none" w:sz="0" w:space="0" w:color="auto"/>
      </w:divBdr>
    </w:div>
    <w:div w:id="240064751">
      <w:bodyDiv w:val="1"/>
      <w:marLeft w:val="0"/>
      <w:marRight w:val="0"/>
      <w:marTop w:val="0"/>
      <w:marBottom w:val="0"/>
      <w:divBdr>
        <w:top w:val="none" w:sz="0" w:space="0" w:color="auto"/>
        <w:left w:val="none" w:sz="0" w:space="0" w:color="auto"/>
        <w:bottom w:val="none" w:sz="0" w:space="0" w:color="auto"/>
        <w:right w:val="none" w:sz="0" w:space="0" w:color="auto"/>
      </w:divBdr>
    </w:div>
    <w:div w:id="240221031">
      <w:bodyDiv w:val="1"/>
      <w:marLeft w:val="0"/>
      <w:marRight w:val="0"/>
      <w:marTop w:val="0"/>
      <w:marBottom w:val="0"/>
      <w:divBdr>
        <w:top w:val="none" w:sz="0" w:space="0" w:color="auto"/>
        <w:left w:val="none" w:sz="0" w:space="0" w:color="auto"/>
        <w:bottom w:val="none" w:sz="0" w:space="0" w:color="auto"/>
        <w:right w:val="none" w:sz="0" w:space="0" w:color="auto"/>
      </w:divBdr>
    </w:div>
    <w:div w:id="240260475">
      <w:bodyDiv w:val="1"/>
      <w:marLeft w:val="0"/>
      <w:marRight w:val="0"/>
      <w:marTop w:val="0"/>
      <w:marBottom w:val="0"/>
      <w:divBdr>
        <w:top w:val="none" w:sz="0" w:space="0" w:color="auto"/>
        <w:left w:val="none" w:sz="0" w:space="0" w:color="auto"/>
        <w:bottom w:val="none" w:sz="0" w:space="0" w:color="auto"/>
        <w:right w:val="none" w:sz="0" w:space="0" w:color="auto"/>
      </w:divBdr>
    </w:div>
    <w:div w:id="240262147">
      <w:bodyDiv w:val="1"/>
      <w:marLeft w:val="0"/>
      <w:marRight w:val="0"/>
      <w:marTop w:val="0"/>
      <w:marBottom w:val="0"/>
      <w:divBdr>
        <w:top w:val="none" w:sz="0" w:space="0" w:color="auto"/>
        <w:left w:val="none" w:sz="0" w:space="0" w:color="auto"/>
        <w:bottom w:val="none" w:sz="0" w:space="0" w:color="auto"/>
        <w:right w:val="none" w:sz="0" w:space="0" w:color="auto"/>
      </w:divBdr>
    </w:div>
    <w:div w:id="240332231">
      <w:bodyDiv w:val="1"/>
      <w:marLeft w:val="0"/>
      <w:marRight w:val="0"/>
      <w:marTop w:val="0"/>
      <w:marBottom w:val="0"/>
      <w:divBdr>
        <w:top w:val="none" w:sz="0" w:space="0" w:color="auto"/>
        <w:left w:val="none" w:sz="0" w:space="0" w:color="auto"/>
        <w:bottom w:val="none" w:sz="0" w:space="0" w:color="auto"/>
        <w:right w:val="none" w:sz="0" w:space="0" w:color="auto"/>
      </w:divBdr>
    </w:div>
    <w:div w:id="240408819">
      <w:bodyDiv w:val="1"/>
      <w:marLeft w:val="0"/>
      <w:marRight w:val="0"/>
      <w:marTop w:val="0"/>
      <w:marBottom w:val="0"/>
      <w:divBdr>
        <w:top w:val="none" w:sz="0" w:space="0" w:color="auto"/>
        <w:left w:val="none" w:sz="0" w:space="0" w:color="auto"/>
        <w:bottom w:val="none" w:sz="0" w:space="0" w:color="auto"/>
        <w:right w:val="none" w:sz="0" w:space="0" w:color="auto"/>
      </w:divBdr>
    </w:div>
    <w:div w:id="240410351">
      <w:bodyDiv w:val="1"/>
      <w:marLeft w:val="0"/>
      <w:marRight w:val="0"/>
      <w:marTop w:val="0"/>
      <w:marBottom w:val="0"/>
      <w:divBdr>
        <w:top w:val="none" w:sz="0" w:space="0" w:color="auto"/>
        <w:left w:val="none" w:sz="0" w:space="0" w:color="auto"/>
        <w:bottom w:val="none" w:sz="0" w:space="0" w:color="auto"/>
        <w:right w:val="none" w:sz="0" w:space="0" w:color="auto"/>
      </w:divBdr>
    </w:div>
    <w:div w:id="240413903">
      <w:bodyDiv w:val="1"/>
      <w:marLeft w:val="0"/>
      <w:marRight w:val="0"/>
      <w:marTop w:val="0"/>
      <w:marBottom w:val="0"/>
      <w:divBdr>
        <w:top w:val="none" w:sz="0" w:space="0" w:color="auto"/>
        <w:left w:val="none" w:sz="0" w:space="0" w:color="auto"/>
        <w:bottom w:val="none" w:sz="0" w:space="0" w:color="auto"/>
        <w:right w:val="none" w:sz="0" w:space="0" w:color="auto"/>
      </w:divBdr>
    </w:div>
    <w:div w:id="240675236">
      <w:bodyDiv w:val="1"/>
      <w:marLeft w:val="0"/>
      <w:marRight w:val="0"/>
      <w:marTop w:val="0"/>
      <w:marBottom w:val="0"/>
      <w:divBdr>
        <w:top w:val="none" w:sz="0" w:space="0" w:color="auto"/>
        <w:left w:val="none" w:sz="0" w:space="0" w:color="auto"/>
        <w:bottom w:val="none" w:sz="0" w:space="0" w:color="auto"/>
        <w:right w:val="none" w:sz="0" w:space="0" w:color="auto"/>
      </w:divBdr>
    </w:div>
    <w:div w:id="240794994">
      <w:bodyDiv w:val="1"/>
      <w:marLeft w:val="0"/>
      <w:marRight w:val="0"/>
      <w:marTop w:val="0"/>
      <w:marBottom w:val="0"/>
      <w:divBdr>
        <w:top w:val="none" w:sz="0" w:space="0" w:color="auto"/>
        <w:left w:val="none" w:sz="0" w:space="0" w:color="auto"/>
        <w:bottom w:val="none" w:sz="0" w:space="0" w:color="auto"/>
        <w:right w:val="none" w:sz="0" w:space="0" w:color="auto"/>
      </w:divBdr>
    </w:div>
    <w:div w:id="240874690">
      <w:bodyDiv w:val="1"/>
      <w:marLeft w:val="0"/>
      <w:marRight w:val="0"/>
      <w:marTop w:val="0"/>
      <w:marBottom w:val="0"/>
      <w:divBdr>
        <w:top w:val="none" w:sz="0" w:space="0" w:color="auto"/>
        <w:left w:val="none" w:sz="0" w:space="0" w:color="auto"/>
        <w:bottom w:val="none" w:sz="0" w:space="0" w:color="auto"/>
        <w:right w:val="none" w:sz="0" w:space="0" w:color="auto"/>
      </w:divBdr>
    </w:div>
    <w:div w:id="240912536">
      <w:bodyDiv w:val="1"/>
      <w:marLeft w:val="0"/>
      <w:marRight w:val="0"/>
      <w:marTop w:val="0"/>
      <w:marBottom w:val="0"/>
      <w:divBdr>
        <w:top w:val="none" w:sz="0" w:space="0" w:color="auto"/>
        <w:left w:val="none" w:sz="0" w:space="0" w:color="auto"/>
        <w:bottom w:val="none" w:sz="0" w:space="0" w:color="auto"/>
        <w:right w:val="none" w:sz="0" w:space="0" w:color="auto"/>
      </w:divBdr>
    </w:div>
    <w:div w:id="240914998">
      <w:bodyDiv w:val="1"/>
      <w:marLeft w:val="0"/>
      <w:marRight w:val="0"/>
      <w:marTop w:val="0"/>
      <w:marBottom w:val="0"/>
      <w:divBdr>
        <w:top w:val="none" w:sz="0" w:space="0" w:color="auto"/>
        <w:left w:val="none" w:sz="0" w:space="0" w:color="auto"/>
        <w:bottom w:val="none" w:sz="0" w:space="0" w:color="auto"/>
        <w:right w:val="none" w:sz="0" w:space="0" w:color="auto"/>
      </w:divBdr>
    </w:div>
    <w:div w:id="240988407">
      <w:bodyDiv w:val="1"/>
      <w:marLeft w:val="0"/>
      <w:marRight w:val="0"/>
      <w:marTop w:val="0"/>
      <w:marBottom w:val="0"/>
      <w:divBdr>
        <w:top w:val="none" w:sz="0" w:space="0" w:color="auto"/>
        <w:left w:val="none" w:sz="0" w:space="0" w:color="auto"/>
        <w:bottom w:val="none" w:sz="0" w:space="0" w:color="auto"/>
        <w:right w:val="none" w:sz="0" w:space="0" w:color="auto"/>
      </w:divBdr>
    </w:div>
    <w:div w:id="241258901">
      <w:bodyDiv w:val="1"/>
      <w:marLeft w:val="0"/>
      <w:marRight w:val="0"/>
      <w:marTop w:val="0"/>
      <w:marBottom w:val="0"/>
      <w:divBdr>
        <w:top w:val="none" w:sz="0" w:space="0" w:color="auto"/>
        <w:left w:val="none" w:sz="0" w:space="0" w:color="auto"/>
        <w:bottom w:val="none" w:sz="0" w:space="0" w:color="auto"/>
        <w:right w:val="none" w:sz="0" w:space="0" w:color="auto"/>
      </w:divBdr>
    </w:div>
    <w:div w:id="241262332">
      <w:bodyDiv w:val="1"/>
      <w:marLeft w:val="0"/>
      <w:marRight w:val="0"/>
      <w:marTop w:val="0"/>
      <w:marBottom w:val="0"/>
      <w:divBdr>
        <w:top w:val="none" w:sz="0" w:space="0" w:color="auto"/>
        <w:left w:val="none" w:sz="0" w:space="0" w:color="auto"/>
        <w:bottom w:val="none" w:sz="0" w:space="0" w:color="auto"/>
        <w:right w:val="none" w:sz="0" w:space="0" w:color="auto"/>
      </w:divBdr>
    </w:div>
    <w:div w:id="241262770">
      <w:bodyDiv w:val="1"/>
      <w:marLeft w:val="0"/>
      <w:marRight w:val="0"/>
      <w:marTop w:val="0"/>
      <w:marBottom w:val="0"/>
      <w:divBdr>
        <w:top w:val="none" w:sz="0" w:space="0" w:color="auto"/>
        <w:left w:val="none" w:sz="0" w:space="0" w:color="auto"/>
        <w:bottom w:val="none" w:sz="0" w:space="0" w:color="auto"/>
        <w:right w:val="none" w:sz="0" w:space="0" w:color="auto"/>
      </w:divBdr>
    </w:div>
    <w:div w:id="241331934">
      <w:bodyDiv w:val="1"/>
      <w:marLeft w:val="0"/>
      <w:marRight w:val="0"/>
      <w:marTop w:val="0"/>
      <w:marBottom w:val="0"/>
      <w:divBdr>
        <w:top w:val="none" w:sz="0" w:space="0" w:color="auto"/>
        <w:left w:val="none" w:sz="0" w:space="0" w:color="auto"/>
        <w:bottom w:val="none" w:sz="0" w:space="0" w:color="auto"/>
        <w:right w:val="none" w:sz="0" w:space="0" w:color="auto"/>
      </w:divBdr>
    </w:div>
    <w:div w:id="241335952">
      <w:bodyDiv w:val="1"/>
      <w:marLeft w:val="0"/>
      <w:marRight w:val="0"/>
      <w:marTop w:val="0"/>
      <w:marBottom w:val="0"/>
      <w:divBdr>
        <w:top w:val="none" w:sz="0" w:space="0" w:color="auto"/>
        <w:left w:val="none" w:sz="0" w:space="0" w:color="auto"/>
        <w:bottom w:val="none" w:sz="0" w:space="0" w:color="auto"/>
        <w:right w:val="none" w:sz="0" w:space="0" w:color="auto"/>
      </w:divBdr>
    </w:div>
    <w:div w:id="241525825">
      <w:bodyDiv w:val="1"/>
      <w:marLeft w:val="0"/>
      <w:marRight w:val="0"/>
      <w:marTop w:val="0"/>
      <w:marBottom w:val="0"/>
      <w:divBdr>
        <w:top w:val="none" w:sz="0" w:space="0" w:color="auto"/>
        <w:left w:val="none" w:sz="0" w:space="0" w:color="auto"/>
        <w:bottom w:val="none" w:sz="0" w:space="0" w:color="auto"/>
        <w:right w:val="none" w:sz="0" w:space="0" w:color="auto"/>
      </w:divBdr>
    </w:div>
    <w:div w:id="241526677">
      <w:bodyDiv w:val="1"/>
      <w:marLeft w:val="0"/>
      <w:marRight w:val="0"/>
      <w:marTop w:val="0"/>
      <w:marBottom w:val="0"/>
      <w:divBdr>
        <w:top w:val="none" w:sz="0" w:space="0" w:color="auto"/>
        <w:left w:val="none" w:sz="0" w:space="0" w:color="auto"/>
        <w:bottom w:val="none" w:sz="0" w:space="0" w:color="auto"/>
        <w:right w:val="none" w:sz="0" w:space="0" w:color="auto"/>
      </w:divBdr>
    </w:div>
    <w:div w:id="241566421">
      <w:bodyDiv w:val="1"/>
      <w:marLeft w:val="0"/>
      <w:marRight w:val="0"/>
      <w:marTop w:val="0"/>
      <w:marBottom w:val="0"/>
      <w:divBdr>
        <w:top w:val="none" w:sz="0" w:space="0" w:color="auto"/>
        <w:left w:val="none" w:sz="0" w:space="0" w:color="auto"/>
        <w:bottom w:val="none" w:sz="0" w:space="0" w:color="auto"/>
        <w:right w:val="none" w:sz="0" w:space="0" w:color="auto"/>
      </w:divBdr>
    </w:div>
    <w:div w:id="241646160">
      <w:bodyDiv w:val="1"/>
      <w:marLeft w:val="0"/>
      <w:marRight w:val="0"/>
      <w:marTop w:val="0"/>
      <w:marBottom w:val="0"/>
      <w:divBdr>
        <w:top w:val="none" w:sz="0" w:space="0" w:color="auto"/>
        <w:left w:val="none" w:sz="0" w:space="0" w:color="auto"/>
        <w:bottom w:val="none" w:sz="0" w:space="0" w:color="auto"/>
        <w:right w:val="none" w:sz="0" w:space="0" w:color="auto"/>
      </w:divBdr>
    </w:div>
    <w:div w:id="241720009">
      <w:bodyDiv w:val="1"/>
      <w:marLeft w:val="0"/>
      <w:marRight w:val="0"/>
      <w:marTop w:val="0"/>
      <w:marBottom w:val="0"/>
      <w:divBdr>
        <w:top w:val="none" w:sz="0" w:space="0" w:color="auto"/>
        <w:left w:val="none" w:sz="0" w:space="0" w:color="auto"/>
        <w:bottom w:val="none" w:sz="0" w:space="0" w:color="auto"/>
        <w:right w:val="none" w:sz="0" w:space="0" w:color="auto"/>
      </w:divBdr>
    </w:div>
    <w:div w:id="241720521">
      <w:bodyDiv w:val="1"/>
      <w:marLeft w:val="0"/>
      <w:marRight w:val="0"/>
      <w:marTop w:val="0"/>
      <w:marBottom w:val="0"/>
      <w:divBdr>
        <w:top w:val="none" w:sz="0" w:space="0" w:color="auto"/>
        <w:left w:val="none" w:sz="0" w:space="0" w:color="auto"/>
        <w:bottom w:val="none" w:sz="0" w:space="0" w:color="auto"/>
        <w:right w:val="none" w:sz="0" w:space="0" w:color="auto"/>
      </w:divBdr>
    </w:div>
    <w:div w:id="241839729">
      <w:bodyDiv w:val="1"/>
      <w:marLeft w:val="0"/>
      <w:marRight w:val="0"/>
      <w:marTop w:val="0"/>
      <w:marBottom w:val="0"/>
      <w:divBdr>
        <w:top w:val="none" w:sz="0" w:space="0" w:color="auto"/>
        <w:left w:val="none" w:sz="0" w:space="0" w:color="auto"/>
        <w:bottom w:val="none" w:sz="0" w:space="0" w:color="auto"/>
        <w:right w:val="none" w:sz="0" w:space="0" w:color="auto"/>
      </w:divBdr>
    </w:div>
    <w:div w:id="241840296">
      <w:bodyDiv w:val="1"/>
      <w:marLeft w:val="0"/>
      <w:marRight w:val="0"/>
      <w:marTop w:val="0"/>
      <w:marBottom w:val="0"/>
      <w:divBdr>
        <w:top w:val="none" w:sz="0" w:space="0" w:color="auto"/>
        <w:left w:val="none" w:sz="0" w:space="0" w:color="auto"/>
        <w:bottom w:val="none" w:sz="0" w:space="0" w:color="auto"/>
        <w:right w:val="none" w:sz="0" w:space="0" w:color="auto"/>
      </w:divBdr>
    </w:div>
    <w:div w:id="241840626">
      <w:bodyDiv w:val="1"/>
      <w:marLeft w:val="0"/>
      <w:marRight w:val="0"/>
      <w:marTop w:val="0"/>
      <w:marBottom w:val="0"/>
      <w:divBdr>
        <w:top w:val="none" w:sz="0" w:space="0" w:color="auto"/>
        <w:left w:val="none" w:sz="0" w:space="0" w:color="auto"/>
        <w:bottom w:val="none" w:sz="0" w:space="0" w:color="auto"/>
        <w:right w:val="none" w:sz="0" w:space="0" w:color="auto"/>
      </w:divBdr>
    </w:div>
    <w:div w:id="242031452">
      <w:bodyDiv w:val="1"/>
      <w:marLeft w:val="0"/>
      <w:marRight w:val="0"/>
      <w:marTop w:val="0"/>
      <w:marBottom w:val="0"/>
      <w:divBdr>
        <w:top w:val="none" w:sz="0" w:space="0" w:color="auto"/>
        <w:left w:val="none" w:sz="0" w:space="0" w:color="auto"/>
        <w:bottom w:val="none" w:sz="0" w:space="0" w:color="auto"/>
        <w:right w:val="none" w:sz="0" w:space="0" w:color="auto"/>
      </w:divBdr>
    </w:div>
    <w:div w:id="242035759">
      <w:bodyDiv w:val="1"/>
      <w:marLeft w:val="0"/>
      <w:marRight w:val="0"/>
      <w:marTop w:val="0"/>
      <w:marBottom w:val="0"/>
      <w:divBdr>
        <w:top w:val="none" w:sz="0" w:space="0" w:color="auto"/>
        <w:left w:val="none" w:sz="0" w:space="0" w:color="auto"/>
        <w:bottom w:val="none" w:sz="0" w:space="0" w:color="auto"/>
        <w:right w:val="none" w:sz="0" w:space="0" w:color="auto"/>
      </w:divBdr>
    </w:div>
    <w:div w:id="242104331">
      <w:bodyDiv w:val="1"/>
      <w:marLeft w:val="0"/>
      <w:marRight w:val="0"/>
      <w:marTop w:val="0"/>
      <w:marBottom w:val="0"/>
      <w:divBdr>
        <w:top w:val="none" w:sz="0" w:space="0" w:color="auto"/>
        <w:left w:val="none" w:sz="0" w:space="0" w:color="auto"/>
        <w:bottom w:val="none" w:sz="0" w:space="0" w:color="auto"/>
        <w:right w:val="none" w:sz="0" w:space="0" w:color="auto"/>
      </w:divBdr>
    </w:div>
    <w:div w:id="242108337">
      <w:bodyDiv w:val="1"/>
      <w:marLeft w:val="0"/>
      <w:marRight w:val="0"/>
      <w:marTop w:val="0"/>
      <w:marBottom w:val="0"/>
      <w:divBdr>
        <w:top w:val="none" w:sz="0" w:space="0" w:color="auto"/>
        <w:left w:val="none" w:sz="0" w:space="0" w:color="auto"/>
        <w:bottom w:val="none" w:sz="0" w:space="0" w:color="auto"/>
        <w:right w:val="none" w:sz="0" w:space="0" w:color="auto"/>
      </w:divBdr>
    </w:div>
    <w:div w:id="242185490">
      <w:bodyDiv w:val="1"/>
      <w:marLeft w:val="0"/>
      <w:marRight w:val="0"/>
      <w:marTop w:val="0"/>
      <w:marBottom w:val="0"/>
      <w:divBdr>
        <w:top w:val="none" w:sz="0" w:space="0" w:color="auto"/>
        <w:left w:val="none" w:sz="0" w:space="0" w:color="auto"/>
        <w:bottom w:val="none" w:sz="0" w:space="0" w:color="auto"/>
        <w:right w:val="none" w:sz="0" w:space="0" w:color="auto"/>
      </w:divBdr>
    </w:div>
    <w:div w:id="242379277">
      <w:bodyDiv w:val="1"/>
      <w:marLeft w:val="0"/>
      <w:marRight w:val="0"/>
      <w:marTop w:val="0"/>
      <w:marBottom w:val="0"/>
      <w:divBdr>
        <w:top w:val="none" w:sz="0" w:space="0" w:color="auto"/>
        <w:left w:val="none" w:sz="0" w:space="0" w:color="auto"/>
        <w:bottom w:val="none" w:sz="0" w:space="0" w:color="auto"/>
        <w:right w:val="none" w:sz="0" w:space="0" w:color="auto"/>
      </w:divBdr>
    </w:div>
    <w:div w:id="242492925">
      <w:bodyDiv w:val="1"/>
      <w:marLeft w:val="0"/>
      <w:marRight w:val="0"/>
      <w:marTop w:val="0"/>
      <w:marBottom w:val="0"/>
      <w:divBdr>
        <w:top w:val="none" w:sz="0" w:space="0" w:color="auto"/>
        <w:left w:val="none" w:sz="0" w:space="0" w:color="auto"/>
        <w:bottom w:val="none" w:sz="0" w:space="0" w:color="auto"/>
        <w:right w:val="none" w:sz="0" w:space="0" w:color="auto"/>
      </w:divBdr>
    </w:div>
    <w:div w:id="242497484">
      <w:bodyDiv w:val="1"/>
      <w:marLeft w:val="0"/>
      <w:marRight w:val="0"/>
      <w:marTop w:val="0"/>
      <w:marBottom w:val="0"/>
      <w:divBdr>
        <w:top w:val="none" w:sz="0" w:space="0" w:color="auto"/>
        <w:left w:val="none" w:sz="0" w:space="0" w:color="auto"/>
        <w:bottom w:val="none" w:sz="0" w:space="0" w:color="auto"/>
        <w:right w:val="none" w:sz="0" w:space="0" w:color="auto"/>
      </w:divBdr>
    </w:div>
    <w:div w:id="242569571">
      <w:bodyDiv w:val="1"/>
      <w:marLeft w:val="0"/>
      <w:marRight w:val="0"/>
      <w:marTop w:val="0"/>
      <w:marBottom w:val="0"/>
      <w:divBdr>
        <w:top w:val="none" w:sz="0" w:space="0" w:color="auto"/>
        <w:left w:val="none" w:sz="0" w:space="0" w:color="auto"/>
        <w:bottom w:val="none" w:sz="0" w:space="0" w:color="auto"/>
        <w:right w:val="none" w:sz="0" w:space="0" w:color="auto"/>
      </w:divBdr>
    </w:div>
    <w:div w:id="242764474">
      <w:bodyDiv w:val="1"/>
      <w:marLeft w:val="0"/>
      <w:marRight w:val="0"/>
      <w:marTop w:val="0"/>
      <w:marBottom w:val="0"/>
      <w:divBdr>
        <w:top w:val="none" w:sz="0" w:space="0" w:color="auto"/>
        <w:left w:val="none" w:sz="0" w:space="0" w:color="auto"/>
        <w:bottom w:val="none" w:sz="0" w:space="0" w:color="auto"/>
        <w:right w:val="none" w:sz="0" w:space="0" w:color="auto"/>
      </w:divBdr>
    </w:div>
    <w:div w:id="242764699">
      <w:bodyDiv w:val="1"/>
      <w:marLeft w:val="0"/>
      <w:marRight w:val="0"/>
      <w:marTop w:val="0"/>
      <w:marBottom w:val="0"/>
      <w:divBdr>
        <w:top w:val="none" w:sz="0" w:space="0" w:color="auto"/>
        <w:left w:val="none" w:sz="0" w:space="0" w:color="auto"/>
        <w:bottom w:val="none" w:sz="0" w:space="0" w:color="auto"/>
        <w:right w:val="none" w:sz="0" w:space="0" w:color="auto"/>
      </w:divBdr>
    </w:div>
    <w:div w:id="242960013">
      <w:bodyDiv w:val="1"/>
      <w:marLeft w:val="0"/>
      <w:marRight w:val="0"/>
      <w:marTop w:val="0"/>
      <w:marBottom w:val="0"/>
      <w:divBdr>
        <w:top w:val="none" w:sz="0" w:space="0" w:color="auto"/>
        <w:left w:val="none" w:sz="0" w:space="0" w:color="auto"/>
        <w:bottom w:val="none" w:sz="0" w:space="0" w:color="auto"/>
        <w:right w:val="none" w:sz="0" w:space="0" w:color="auto"/>
      </w:divBdr>
    </w:div>
    <w:div w:id="243026573">
      <w:bodyDiv w:val="1"/>
      <w:marLeft w:val="0"/>
      <w:marRight w:val="0"/>
      <w:marTop w:val="0"/>
      <w:marBottom w:val="0"/>
      <w:divBdr>
        <w:top w:val="none" w:sz="0" w:space="0" w:color="auto"/>
        <w:left w:val="none" w:sz="0" w:space="0" w:color="auto"/>
        <w:bottom w:val="none" w:sz="0" w:space="0" w:color="auto"/>
        <w:right w:val="none" w:sz="0" w:space="0" w:color="auto"/>
      </w:divBdr>
    </w:div>
    <w:div w:id="243228381">
      <w:bodyDiv w:val="1"/>
      <w:marLeft w:val="0"/>
      <w:marRight w:val="0"/>
      <w:marTop w:val="0"/>
      <w:marBottom w:val="0"/>
      <w:divBdr>
        <w:top w:val="none" w:sz="0" w:space="0" w:color="auto"/>
        <w:left w:val="none" w:sz="0" w:space="0" w:color="auto"/>
        <w:bottom w:val="none" w:sz="0" w:space="0" w:color="auto"/>
        <w:right w:val="none" w:sz="0" w:space="0" w:color="auto"/>
      </w:divBdr>
    </w:div>
    <w:div w:id="243302358">
      <w:bodyDiv w:val="1"/>
      <w:marLeft w:val="0"/>
      <w:marRight w:val="0"/>
      <w:marTop w:val="0"/>
      <w:marBottom w:val="0"/>
      <w:divBdr>
        <w:top w:val="none" w:sz="0" w:space="0" w:color="auto"/>
        <w:left w:val="none" w:sz="0" w:space="0" w:color="auto"/>
        <w:bottom w:val="none" w:sz="0" w:space="0" w:color="auto"/>
        <w:right w:val="none" w:sz="0" w:space="0" w:color="auto"/>
      </w:divBdr>
    </w:div>
    <w:div w:id="243340029">
      <w:bodyDiv w:val="1"/>
      <w:marLeft w:val="0"/>
      <w:marRight w:val="0"/>
      <w:marTop w:val="0"/>
      <w:marBottom w:val="0"/>
      <w:divBdr>
        <w:top w:val="none" w:sz="0" w:space="0" w:color="auto"/>
        <w:left w:val="none" w:sz="0" w:space="0" w:color="auto"/>
        <w:bottom w:val="none" w:sz="0" w:space="0" w:color="auto"/>
        <w:right w:val="none" w:sz="0" w:space="0" w:color="auto"/>
      </w:divBdr>
    </w:div>
    <w:div w:id="243532915">
      <w:bodyDiv w:val="1"/>
      <w:marLeft w:val="0"/>
      <w:marRight w:val="0"/>
      <w:marTop w:val="0"/>
      <w:marBottom w:val="0"/>
      <w:divBdr>
        <w:top w:val="none" w:sz="0" w:space="0" w:color="auto"/>
        <w:left w:val="none" w:sz="0" w:space="0" w:color="auto"/>
        <w:bottom w:val="none" w:sz="0" w:space="0" w:color="auto"/>
        <w:right w:val="none" w:sz="0" w:space="0" w:color="auto"/>
      </w:divBdr>
    </w:div>
    <w:div w:id="243616050">
      <w:bodyDiv w:val="1"/>
      <w:marLeft w:val="0"/>
      <w:marRight w:val="0"/>
      <w:marTop w:val="0"/>
      <w:marBottom w:val="0"/>
      <w:divBdr>
        <w:top w:val="none" w:sz="0" w:space="0" w:color="auto"/>
        <w:left w:val="none" w:sz="0" w:space="0" w:color="auto"/>
        <w:bottom w:val="none" w:sz="0" w:space="0" w:color="auto"/>
        <w:right w:val="none" w:sz="0" w:space="0" w:color="auto"/>
      </w:divBdr>
    </w:div>
    <w:div w:id="244070599">
      <w:bodyDiv w:val="1"/>
      <w:marLeft w:val="0"/>
      <w:marRight w:val="0"/>
      <w:marTop w:val="0"/>
      <w:marBottom w:val="0"/>
      <w:divBdr>
        <w:top w:val="none" w:sz="0" w:space="0" w:color="auto"/>
        <w:left w:val="none" w:sz="0" w:space="0" w:color="auto"/>
        <w:bottom w:val="none" w:sz="0" w:space="0" w:color="auto"/>
        <w:right w:val="none" w:sz="0" w:space="0" w:color="auto"/>
      </w:divBdr>
    </w:div>
    <w:div w:id="244145351">
      <w:bodyDiv w:val="1"/>
      <w:marLeft w:val="0"/>
      <w:marRight w:val="0"/>
      <w:marTop w:val="0"/>
      <w:marBottom w:val="0"/>
      <w:divBdr>
        <w:top w:val="none" w:sz="0" w:space="0" w:color="auto"/>
        <w:left w:val="none" w:sz="0" w:space="0" w:color="auto"/>
        <w:bottom w:val="none" w:sz="0" w:space="0" w:color="auto"/>
        <w:right w:val="none" w:sz="0" w:space="0" w:color="auto"/>
      </w:divBdr>
    </w:div>
    <w:div w:id="244151909">
      <w:bodyDiv w:val="1"/>
      <w:marLeft w:val="0"/>
      <w:marRight w:val="0"/>
      <w:marTop w:val="0"/>
      <w:marBottom w:val="0"/>
      <w:divBdr>
        <w:top w:val="none" w:sz="0" w:space="0" w:color="auto"/>
        <w:left w:val="none" w:sz="0" w:space="0" w:color="auto"/>
        <w:bottom w:val="none" w:sz="0" w:space="0" w:color="auto"/>
        <w:right w:val="none" w:sz="0" w:space="0" w:color="auto"/>
      </w:divBdr>
    </w:div>
    <w:div w:id="244534142">
      <w:bodyDiv w:val="1"/>
      <w:marLeft w:val="0"/>
      <w:marRight w:val="0"/>
      <w:marTop w:val="0"/>
      <w:marBottom w:val="0"/>
      <w:divBdr>
        <w:top w:val="none" w:sz="0" w:space="0" w:color="auto"/>
        <w:left w:val="none" w:sz="0" w:space="0" w:color="auto"/>
        <w:bottom w:val="none" w:sz="0" w:space="0" w:color="auto"/>
        <w:right w:val="none" w:sz="0" w:space="0" w:color="auto"/>
      </w:divBdr>
    </w:div>
    <w:div w:id="244609496">
      <w:bodyDiv w:val="1"/>
      <w:marLeft w:val="0"/>
      <w:marRight w:val="0"/>
      <w:marTop w:val="0"/>
      <w:marBottom w:val="0"/>
      <w:divBdr>
        <w:top w:val="none" w:sz="0" w:space="0" w:color="auto"/>
        <w:left w:val="none" w:sz="0" w:space="0" w:color="auto"/>
        <w:bottom w:val="none" w:sz="0" w:space="0" w:color="auto"/>
        <w:right w:val="none" w:sz="0" w:space="0" w:color="auto"/>
      </w:divBdr>
    </w:div>
    <w:div w:id="244610848">
      <w:bodyDiv w:val="1"/>
      <w:marLeft w:val="0"/>
      <w:marRight w:val="0"/>
      <w:marTop w:val="0"/>
      <w:marBottom w:val="0"/>
      <w:divBdr>
        <w:top w:val="none" w:sz="0" w:space="0" w:color="auto"/>
        <w:left w:val="none" w:sz="0" w:space="0" w:color="auto"/>
        <w:bottom w:val="none" w:sz="0" w:space="0" w:color="auto"/>
        <w:right w:val="none" w:sz="0" w:space="0" w:color="auto"/>
      </w:divBdr>
    </w:div>
    <w:div w:id="244730235">
      <w:bodyDiv w:val="1"/>
      <w:marLeft w:val="0"/>
      <w:marRight w:val="0"/>
      <w:marTop w:val="0"/>
      <w:marBottom w:val="0"/>
      <w:divBdr>
        <w:top w:val="none" w:sz="0" w:space="0" w:color="auto"/>
        <w:left w:val="none" w:sz="0" w:space="0" w:color="auto"/>
        <w:bottom w:val="none" w:sz="0" w:space="0" w:color="auto"/>
        <w:right w:val="none" w:sz="0" w:space="0" w:color="auto"/>
      </w:divBdr>
    </w:div>
    <w:div w:id="244799832">
      <w:bodyDiv w:val="1"/>
      <w:marLeft w:val="0"/>
      <w:marRight w:val="0"/>
      <w:marTop w:val="0"/>
      <w:marBottom w:val="0"/>
      <w:divBdr>
        <w:top w:val="none" w:sz="0" w:space="0" w:color="auto"/>
        <w:left w:val="none" w:sz="0" w:space="0" w:color="auto"/>
        <w:bottom w:val="none" w:sz="0" w:space="0" w:color="auto"/>
        <w:right w:val="none" w:sz="0" w:space="0" w:color="auto"/>
      </w:divBdr>
    </w:div>
    <w:div w:id="244850977">
      <w:bodyDiv w:val="1"/>
      <w:marLeft w:val="0"/>
      <w:marRight w:val="0"/>
      <w:marTop w:val="0"/>
      <w:marBottom w:val="0"/>
      <w:divBdr>
        <w:top w:val="none" w:sz="0" w:space="0" w:color="auto"/>
        <w:left w:val="none" w:sz="0" w:space="0" w:color="auto"/>
        <w:bottom w:val="none" w:sz="0" w:space="0" w:color="auto"/>
        <w:right w:val="none" w:sz="0" w:space="0" w:color="auto"/>
      </w:divBdr>
    </w:div>
    <w:div w:id="244923753">
      <w:bodyDiv w:val="1"/>
      <w:marLeft w:val="0"/>
      <w:marRight w:val="0"/>
      <w:marTop w:val="0"/>
      <w:marBottom w:val="0"/>
      <w:divBdr>
        <w:top w:val="none" w:sz="0" w:space="0" w:color="auto"/>
        <w:left w:val="none" w:sz="0" w:space="0" w:color="auto"/>
        <w:bottom w:val="none" w:sz="0" w:space="0" w:color="auto"/>
        <w:right w:val="none" w:sz="0" w:space="0" w:color="auto"/>
      </w:divBdr>
    </w:div>
    <w:div w:id="245068234">
      <w:bodyDiv w:val="1"/>
      <w:marLeft w:val="0"/>
      <w:marRight w:val="0"/>
      <w:marTop w:val="0"/>
      <w:marBottom w:val="0"/>
      <w:divBdr>
        <w:top w:val="none" w:sz="0" w:space="0" w:color="auto"/>
        <w:left w:val="none" w:sz="0" w:space="0" w:color="auto"/>
        <w:bottom w:val="none" w:sz="0" w:space="0" w:color="auto"/>
        <w:right w:val="none" w:sz="0" w:space="0" w:color="auto"/>
      </w:divBdr>
    </w:div>
    <w:div w:id="245069110">
      <w:bodyDiv w:val="1"/>
      <w:marLeft w:val="0"/>
      <w:marRight w:val="0"/>
      <w:marTop w:val="0"/>
      <w:marBottom w:val="0"/>
      <w:divBdr>
        <w:top w:val="none" w:sz="0" w:space="0" w:color="auto"/>
        <w:left w:val="none" w:sz="0" w:space="0" w:color="auto"/>
        <w:bottom w:val="none" w:sz="0" w:space="0" w:color="auto"/>
        <w:right w:val="none" w:sz="0" w:space="0" w:color="auto"/>
      </w:divBdr>
    </w:div>
    <w:div w:id="245111650">
      <w:bodyDiv w:val="1"/>
      <w:marLeft w:val="0"/>
      <w:marRight w:val="0"/>
      <w:marTop w:val="0"/>
      <w:marBottom w:val="0"/>
      <w:divBdr>
        <w:top w:val="none" w:sz="0" w:space="0" w:color="auto"/>
        <w:left w:val="none" w:sz="0" w:space="0" w:color="auto"/>
        <w:bottom w:val="none" w:sz="0" w:space="0" w:color="auto"/>
        <w:right w:val="none" w:sz="0" w:space="0" w:color="auto"/>
      </w:divBdr>
    </w:div>
    <w:div w:id="245114035">
      <w:bodyDiv w:val="1"/>
      <w:marLeft w:val="0"/>
      <w:marRight w:val="0"/>
      <w:marTop w:val="0"/>
      <w:marBottom w:val="0"/>
      <w:divBdr>
        <w:top w:val="none" w:sz="0" w:space="0" w:color="auto"/>
        <w:left w:val="none" w:sz="0" w:space="0" w:color="auto"/>
        <w:bottom w:val="none" w:sz="0" w:space="0" w:color="auto"/>
        <w:right w:val="none" w:sz="0" w:space="0" w:color="auto"/>
      </w:divBdr>
    </w:div>
    <w:div w:id="245188542">
      <w:bodyDiv w:val="1"/>
      <w:marLeft w:val="0"/>
      <w:marRight w:val="0"/>
      <w:marTop w:val="0"/>
      <w:marBottom w:val="0"/>
      <w:divBdr>
        <w:top w:val="none" w:sz="0" w:space="0" w:color="auto"/>
        <w:left w:val="none" w:sz="0" w:space="0" w:color="auto"/>
        <w:bottom w:val="none" w:sz="0" w:space="0" w:color="auto"/>
        <w:right w:val="none" w:sz="0" w:space="0" w:color="auto"/>
      </w:divBdr>
    </w:div>
    <w:div w:id="245261805">
      <w:bodyDiv w:val="1"/>
      <w:marLeft w:val="0"/>
      <w:marRight w:val="0"/>
      <w:marTop w:val="0"/>
      <w:marBottom w:val="0"/>
      <w:divBdr>
        <w:top w:val="none" w:sz="0" w:space="0" w:color="auto"/>
        <w:left w:val="none" w:sz="0" w:space="0" w:color="auto"/>
        <w:bottom w:val="none" w:sz="0" w:space="0" w:color="auto"/>
        <w:right w:val="none" w:sz="0" w:space="0" w:color="auto"/>
      </w:divBdr>
    </w:div>
    <w:div w:id="245262092">
      <w:bodyDiv w:val="1"/>
      <w:marLeft w:val="0"/>
      <w:marRight w:val="0"/>
      <w:marTop w:val="0"/>
      <w:marBottom w:val="0"/>
      <w:divBdr>
        <w:top w:val="none" w:sz="0" w:space="0" w:color="auto"/>
        <w:left w:val="none" w:sz="0" w:space="0" w:color="auto"/>
        <w:bottom w:val="none" w:sz="0" w:space="0" w:color="auto"/>
        <w:right w:val="none" w:sz="0" w:space="0" w:color="auto"/>
      </w:divBdr>
    </w:div>
    <w:div w:id="245267893">
      <w:bodyDiv w:val="1"/>
      <w:marLeft w:val="0"/>
      <w:marRight w:val="0"/>
      <w:marTop w:val="0"/>
      <w:marBottom w:val="0"/>
      <w:divBdr>
        <w:top w:val="none" w:sz="0" w:space="0" w:color="auto"/>
        <w:left w:val="none" w:sz="0" w:space="0" w:color="auto"/>
        <w:bottom w:val="none" w:sz="0" w:space="0" w:color="auto"/>
        <w:right w:val="none" w:sz="0" w:space="0" w:color="auto"/>
      </w:divBdr>
    </w:div>
    <w:div w:id="245268370">
      <w:bodyDiv w:val="1"/>
      <w:marLeft w:val="0"/>
      <w:marRight w:val="0"/>
      <w:marTop w:val="0"/>
      <w:marBottom w:val="0"/>
      <w:divBdr>
        <w:top w:val="none" w:sz="0" w:space="0" w:color="auto"/>
        <w:left w:val="none" w:sz="0" w:space="0" w:color="auto"/>
        <w:bottom w:val="none" w:sz="0" w:space="0" w:color="auto"/>
        <w:right w:val="none" w:sz="0" w:space="0" w:color="auto"/>
      </w:divBdr>
    </w:div>
    <w:div w:id="245312994">
      <w:bodyDiv w:val="1"/>
      <w:marLeft w:val="0"/>
      <w:marRight w:val="0"/>
      <w:marTop w:val="0"/>
      <w:marBottom w:val="0"/>
      <w:divBdr>
        <w:top w:val="none" w:sz="0" w:space="0" w:color="auto"/>
        <w:left w:val="none" w:sz="0" w:space="0" w:color="auto"/>
        <w:bottom w:val="none" w:sz="0" w:space="0" w:color="auto"/>
        <w:right w:val="none" w:sz="0" w:space="0" w:color="auto"/>
      </w:divBdr>
    </w:div>
    <w:div w:id="245500456">
      <w:bodyDiv w:val="1"/>
      <w:marLeft w:val="0"/>
      <w:marRight w:val="0"/>
      <w:marTop w:val="0"/>
      <w:marBottom w:val="0"/>
      <w:divBdr>
        <w:top w:val="none" w:sz="0" w:space="0" w:color="auto"/>
        <w:left w:val="none" w:sz="0" w:space="0" w:color="auto"/>
        <w:bottom w:val="none" w:sz="0" w:space="0" w:color="auto"/>
        <w:right w:val="none" w:sz="0" w:space="0" w:color="auto"/>
      </w:divBdr>
    </w:div>
    <w:div w:id="245501385">
      <w:bodyDiv w:val="1"/>
      <w:marLeft w:val="0"/>
      <w:marRight w:val="0"/>
      <w:marTop w:val="0"/>
      <w:marBottom w:val="0"/>
      <w:divBdr>
        <w:top w:val="none" w:sz="0" w:space="0" w:color="auto"/>
        <w:left w:val="none" w:sz="0" w:space="0" w:color="auto"/>
        <w:bottom w:val="none" w:sz="0" w:space="0" w:color="auto"/>
        <w:right w:val="none" w:sz="0" w:space="0" w:color="auto"/>
      </w:divBdr>
    </w:div>
    <w:div w:id="245501407">
      <w:bodyDiv w:val="1"/>
      <w:marLeft w:val="0"/>
      <w:marRight w:val="0"/>
      <w:marTop w:val="0"/>
      <w:marBottom w:val="0"/>
      <w:divBdr>
        <w:top w:val="none" w:sz="0" w:space="0" w:color="auto"/>
        <w:left w:val="none" w:sz="0" w:space="0" w:color="auto"/>
        <w:bottom w:val="none" w:sz="0" w:space="0" w:color="auto"/>
        <w:right w:val="none" w:sz="0" w:space="0" w:color="auto"/>
      </w:divBdr>
    </w:div>
    <w:div w:id="245505756">
      <w:bodyDiv w:val="1"/>
      <w:marLeft w:val="0"/>
      <w:marRight w:val="0"/>
      <w:marTop w:val="0"/>
      <w:marBottom w:val="0"/>
      <w:divBdr>
        <w:top w:val="none" w:sz="0" w:space="0" w:color="auto"/>
        <w:left w:val="none" w:sz="0" w:space="0" w:color="auto"/>
        <w:bottom w:val="none" w:sz="0" w:space="0" w:color="auto"/>
        <w:right w:val="none" w:sz="0" w:space="0" w:color="auto"/>
      </w:divBdr>
    </w:div>
    <w:div w:id="245506167">
      <w:bodyDiv w:val="1"/>
      <w:marLeft w:val="0"/>
      <w:marRight w:val="0"/>
      <w:marTop w:val="0"/>
      <w:marBottom w:val="0"/>
      <w:divBdr>
        <w:top w:val="none" w:sz="0" w:space="0" w:color="auto"/>
        <w:left w:val="none" w:sz="0" w:space="0" w:color="auto"/>
        <w:bottom w:val="none" w:sz="0" w:space="0" w:color="auto"/>
        <w:right w:val="none" w:sz="0" w:space="0" w:color="auto"/>
      </w:divBdr>
    </w:div>
    <w:div w:id="245655003">
      <w:bodyDiv w:val="1"/>
      <w:marLeft w:val="0"/>
      <w:marRight w:val="0"/>
      <w:marTop w:val="0"/>
      <w:marBottom w:val="0"/>
      <w:divBdr>
        <w:top w:val="none" w:sz="0" w:space="0" w:color="auto"/>
        <w:left w:val="none" w:sz="0" w:space="0" w:color="auto"/>
        <w:bottom w:val="none" w:sz="0" w:space="0" w:color="auto"/>
        <w:right w:val="none" w:sz="0" w:space="0" w:color="auto"/>
      </w:divBdr>
    </w:div>
    <w:div w:id="245723941">
      <w:bodyDiv w:val="1"/>
      <w:marLeft w:val="0"/>
      <w:marRight w:val="0"/>
      <w:marTop w:val="0"/>
      <w:marBottom w:val="0"/>
      <w:divBdr>
        <w:top w:val="none" w:sz="0" w:space="0" w:color="auto"/>
        <w:left w:val="none" w:sz="0" w:space="0" w:color="auto"/>
        <w:bottom w:val="none" w:sz="0" w:space="0" w:color="auto"/>
        <w:right w:val="none" w:sz="0" w:space="0" w:color="auto"/>
      </w:divBdr>
    </w:div>
    <w:div w:id="245770832">
      <w:bodyDiv w:val="1"/>
      <w:marLeft w:val="0"/>
      <w:marRight w:val="0"/>
      <w:marTop w:val="0"/>
      <w:marBottom w:val="0"/>
      <w:divBdr>
        <w:top w:val="none" w:sz="0" w:space="0" w:color="auto"/>
        <w:left w:val="none" w:sz="0" w:space="0" w:color="auto"/>
        <w:bottom w:val="none" w:sz="0" w:space="0" w:color="auto"/>
        <w:right w:val="none" w:sz="0" w:space="0" w:color="auto"/>
      </w:divBdr>
    </w:div>
    <w:div w:id="245842919">
      <w:bodyDiv w:val="1"/>
      <w:marLeft w:val="0"/>
      <w:marRight w:val="0"/>
      <w:marTop w:val="0"/>
      <w:marBottom w:val="0"/>
      <w:divBdr>
        <w:top w:val="none" w:sz="0" w:space="0" w:color="auto"/>
        <w:left w:val="none" w:sz="0" w:space="0" w:color="auto"/>
        <w:bottom w:val="none" w:sz="0" w:space="0" w:color="auto"/>
        <w:right w:val="none" w:sz="0" w:space="0" w:color="auto"/>
      </w:divBdr>
    </w:div>
    <w:div w:id="245922203">
      <w:bodyDiv w:val="1"/>
      <w:marLeft w:val="0"/>
      <w:marRight w:val="0"/>
      <w:marTop w:val="0"/>
      <w:marBottom w:val="0"/>
      <w:divBdr>
        <w:top w:val="none" w:sz="0" w:space="0" w:color="auto"/>
        <w:left w:val="none" w:sz="0" w:space="0" w:color="auto"/>
        <w:bottom w:val="none" w:sz="0" w:space="0" w:color="auto"/>
        <w:right w:val="none" w:sz="0" w:space="0" w:color="auto"/>
      </w:divBdr>
    </w:div>
    <w:div w:id="245968303">
      <w:bodyDiv w:val="1"/>
      <w:marLeft w:val="0"/>
      <w:marRight w:val="0"/>
      <w:marTop w:val="0"/>
      <w:marBottom w:val="0"/>
      <w:divBdr>
        <w:top w:val="none" w:sz="0" w:space="0" w:color="auto"/>
        <w:left w:val="none" w:sz="0" w:space="0" w:color="auto"/>
        <w:bottom w:val="none" w:sz="0" w:space="0" w:color="auto"/>
        <w:right w:val="none" w:sz="0" w:space="0" w:color="auto"/>
      </w:divBdr>
    </w:div>
    <w:div w:id="246117807">
      <w:bodyDiv w:val="1"/>
      <w:marLeft w:val="0"/>
      <w:marRight w:val="0"/>
      <w:marTop w:val="0"/>
      <w:marBottom w:val="0"/>
      <w:divBdr>
        <w:top w:val="none" w:sz="0" w:space="0" w:color="auto"/>
        <w:left w:val="none" w:sz="0" w:space="0" w:color="auto"/>
        <w:bottom w:val="none" w:sz="0" w:space="0" w:color="auto"/>
        <w:right w:val="none" w:sz="0" w:space="0" w:color="auto"/>
      </w:divBdr>
    </w:div>
    <w:div w:id="246236090">
      <w:bodyDiv w:val="1"/>
      <w:marLeft w:val="0"/>
      <w:marRight w:val="0"/>
      <w:marTop w:val="0"/>
      <w:marBottom w:val="0"/>
      <w:divBdr>
        <w:top w:val="none" w:sz="0" w:space="0" w:color="auto"/>
        <w:left w:val="none" w:sz="0" w:space="0" w:color="auto"/>
        <w:bottom w:val="none" w:sz="0" w:space="0" w:color="auto"/>
        <w:right w:val="none" w:sz="0" w:space="0" w:color="auto"/>
      </w:divBdr>
    </w:div>
    <w:div w:id="246306776">
      <w:bodyDiv w:val="1"/>
      <w:marLeft w:val="0"/>
      <w:marRight w:val="0"/>
      <w:marTop w:val="0"/>
      <w:marBottom w:val="0"/>
      <w:divBdr>
        <w:top w:val="none" w:sz="0" w:space="0" w:color="auto"/>
        <w:left w:val="none" w:sz="0" w:space="0" w:color="auto"/>
        <w:bottom w:val="none" w:sz="0" w:space="0" w:color="auto"/>
        <w:right w:val="none" w:sz="0" w:space="0" w:color="auto"/>
      </w:divBdr>
    </w:div>
    <w:div w:id="246355080">
      <w:bodyDiv w:val="1"/>
      <w:marLeft w:val="0"/>
      <w:marRight w:val="0"/>
      <w:marTop w:val="0"/>
      <w:marBottom w:val="0"/>
      <w:divBdr>
        <w:top w:val="none" w:sz="0" w:space="0" w:color="auto"/>
        <w:left w:val="none" w:sz="0" w:space="0" w:color="auto"/>
        <w:bottom w:val="none" w:sz="0" w:space="0" w:color="auto"/>
        <w:right w:val="none" w:sz="0" w:space="0" w:color="auto"/>
      </w:divBdr>
    </w:div>
    <w:div w:id="246425640">
      <w:bodyDiv w:val="1"/>
      <w:marLeft w:val="0"/>
      <w:marRight w:val="0"/>
      <w:marTop w:val="0"/>
      <w:marBottom w:val="0"/>
      <w:divBdr>
        <w:top w:val="none" w:sz="0" w:space="0" w:color="auto"/>
        <w:left w:val="none" w:sz="0" w:space="0" w:color="auto"/>
        <w:bottom w:val="none" w:sz="0" w:space="0" w:color="auto"/>
        <w:right w:val="none" w:sz="0" w:space="0" w:color="auto"/>
      </w:divBdr>
    </w:div>
    <w:div w:id="246429083">
      <w:bodyDiv w:val="1"/>
      <w:marLeft w:val="0"/>
      <w:marRight w:val="0"/>
      <w:marTop w:val="0"/>
      <w:marBottom w:val="0"/>
      <w:divBdr>
        <w:top w:val="none" w:sz="0" w:space="0" w:color="auto"/>
        <w:left w:val="none" w:sz="0" w:space="0" w:color="auto"/>
        <w:bottom w:val="none" w:sz="0" w:space="0" w:color="auto"/>
        <w:right w:val="none" w:sz="0" w:space="0" w:color="auto"/>
      </w:divBdr>
    </w:div>
    <w:div w:id="246496479">
      <w:bodyDiv w:val="1"/>
      <w:marLeft w:val="0"/>
      <w:marRight w:val="0"/>
      <w:marTop w:val="0"/>
      <w:marBottom w:val="0"/>
      <w:divBdr>
        <w:top w:val="none" w:sz="0" w:space="0" w:color="auto"/>
        <w:left w:val="none" w:sz="0" w:space="0" w:color="auto"/>
        <w:bottom w:val="none" w:sz="0" w:space="0" w:color="auto"/>
        <w:right w:val="none" w:sz="0" w:space="0" w:color="auto"/>
      </w:divBdr>
    </w:div>
    <w:div w:id="246500605">
      <w:bodyDiv w:val="1"/>
      <w:marLeft w:val="0"/>
      <w:marRight w:val="0"/>
      <w:marTop w:val="0"/>
      <w:marBottom w:val="0"/>
      <w:divBdr>
        <w:top w:val="none" w:sz="0" w:space="0" w:color="auto"/>
        <w:left w:val="none" w:sz="0" w:space="0" w:color="auto"/>
        <w:bottom w:val="none" w:sz="0" w:space="0" w:color="auto"/>
        <w:right w:val="none" w:sz="0" w:space="0" w:color="auto"/>
      </w:divBdr>
    </w:div>
    <w:div w:id="246548047">
      <w:bodyDiv w:val="1"/>
      <w:marLeft w:val="0"/>
      <w:marRight w:val="0"/>
      <w:marTop w:val="0"/>
      <w:marBottom w:val="0"/>
      <w:divBdr>
        <w:top w:val="none" w:sz="0" w:space="0" w:color="auto"/>
        <w:left w:val="none" w:sz="0" w:space="0" w:color="auto"/>
        <w:bottom w:val="none" w:sz="0" w:space="0" w:color="auto"/>
        <w:right w:val="none" w:sz="0" w:space="0" w:color="auto"/>
      </w:divBdr>
    </w:div>
    <w:div w:id="246573374">
      <w:bodyDiv w:val="1"/>
      <w:marLeft w:val="0"/>
      <w:marRight w:val="0"/>
      <w:marTop w:val="0"/>
      <w:marBottom w:val="0"/>
      <w:divBdr>
        <w:top w:val="none" w:sz="0" w:space="0" w:color="auto"/>
        <w:left w:val="none" w:sz="0" w:space="0" w:color="auto"/>
        <w:bottom w:val="none" w:sz="0" w:space="0" w:color="auto"/>
        <w:right w:val="none" w:sz="0" w:space="0" w:color="auto"/>
      </w:divBdr>
    </w:div>
    <w:div w:id="246692720">
      <w:bodyDiv w:val="1"/>
      <w:marLeft w:val="0"/>
      <w:marRight w:val="0"/>
      <w:marTop w:val="0"/>
      <w:marBottom w:val="0"/>
      <w:divBdr>
        <w:top w:val="none" w:sz="0" w:space="0" w:color="auto"/>
        <w:left w:val="none" w:sz="0" w:space="0" w:color="auto"/>
        <w:bottom w:val="none" w:sz="0" w:space="0" w:color="auto"/>
        <w:right w:val="none" w:sz="0" w:space="0" w:color="auto"/>
      </w:divBdr>
    </w:div>
    <w:div w:id="246885374">
      <w:bodyDiv w:val="1"/>
      <w:marLeft w:val="0"/>
      <w:marRight w:val="0"/>
      <w:marTop w:val="0"/>
      <w:marBottom w:val="0"/>
      <w:divBdr>
        <w:top w:val="none" w:sz="0" w:space="0" w:color="auto"/>
        <w:left w:val="none" w:sz="0" w:space="0" w:color="auto"/>
        <w:bottom w:val="none" w:sz="0" w:space="0" w:color="auto"/>
        <w:right w:val="none" w:sz="0" w:space="0" w:color="auto"/>
      </w:divBdr>
    </w:div>
    <w:div w:id="246886796">
      <w:bodyDiv w:val="1"/>
      <w:marLeft w:val="0"/>
      <w:marRight w:val="0"/>
      <w:marTop w:val="0"/>
      <w:marBottom w:val="0"/>
      <w:divBdr>
        <w:top w:val="none" w:sz="0" w:space="0" w:color="auto"/>
        <w:left w:val="none" w:sz="0" w:space="0" w:color="auto"/>
        <w:bottom w:val="none" w:sz="0" w:space="0" w:color="auto"/>
        <w:right w:val="none" w:sz="0" w:space="0" w:color="auto"/>
      </w:divBdr>
    </w:div>
    <w:div w:id="246888576">
      <w:bodyDiv w:val="1"/>
      <w:marLeft w:val="0"/>
      <w:marRight w:val="0"/>
      <w:marTop w:val="0"/>
      <w:marBottom w:val="0"/>
      <w:divBdr>
        <w:top w:val="none" w:sz="0" w:space="0" w:color="auto"/>
        <w:left w:val="none" w:sz="0" w:space="0" w:color="auto"/>
        <w:bottom w:val="none" w:sz="0" w:space="0" w:color="auto"/>
        <w:right w:val="none" w:sz="0" w:space="0" w:color="auto"/>
      </w:divBdr>
    </w:div>
    <w:div w:id="246958663">
      <w:bodyDiv w:val="1"/>
      <w:marLeft w:val="0"/>
      <w:marRight w:val="0"/>
      <w:marTop w:val="0"/>
      <w:marBottom w:val="0"/>
      <w:divBdr>
        <w:top w:val="none" w:sz="0" w:space="0" w:color="auto"/>
        <w:left w:val="none" w:sz="0" w:space="0" w:color="auto"/>
        <w:bottom w:val="none" w:sz="0" w:space="0" w:color="auto"/>
        <w:right w:val="none" w:sz="0" w:space="0" w:color="auto"/>
      </w:divBdr>
    </w:div>
    <w:div w:id="246960241">
      <w:bodyDiv w:val="1"/>
      <w:marLeft w:val="0"/>
      <w:marRight w:val="0"/>
      <w:marTop w:val="0"/>
      <w:marBottom w:val="0"/>
      <w:divBdr>
        <w:top w:val="none" w:sz="0" w:space="0" w:color="auto"/>
        <w:left w:val="none" w:sz="0" w:space="0" w:color="auto"/>
        <w:bottom w:val="none" w:sz="0" w:space="0" w:color="auto"/>
        <w:right w:val="none" w:sz="0" w:space="0" w:color="auto"/>
      </w:divBdr>
    </w:div>
    <w:div w:id="246961154">
      <w:bodyDiv w:val="1"/>
      <w:marLeft w:val="0"/>
      <w:marRight w:val="0"/>
      <w:marTop w:val="0"/>
      <w:marBottom w:val="0"/>
      <w:divBdr>
        <w:top w:val="none" w:sz="0" w:space="0" w:color="auto"/>
        <w:left w:val="none" w:sz="0" w:space="0" w:color="auto"/>
        <w:bottom w:val="none" w:sz="0" w:space="0" w:color="auto"/>
        <w:right w:val="none" w:sz="0" w:space="0" w:color="auto"/>
      </w:divBdr>
    </w:div>
    <w:div w:id="247080210">
      <w:bodyDiv w:val="1"/>
      <w:marLeft w:val="0"/>
      <w:marRight w:val="0"/>
      <w:marTop w:val="0"/>
      <w:marBottom w:val="0"/>
      <w:divBdr>
        <w:top w:val="none" w:sz="0" w:space="0" w:color="auto"/>
        <w:left w:val="none" w:sz="0" w:space="0" w:color="auto"/>
        <w:bottom w:val="none" w:sz="0" w:space="0" w:color="auto"/>
        <w:right w:val="none" w:sz="0" w:space="0" w:color="auto"/>
      </w:divBdr>
    </w:div>
    <w:div w:id="247229507">
      <w:bodyDiv w:val="1"/>
      <w:marLeft w:val="0"/>
      <w:marRight w:val="0"/>
      <w:marTop w:val="0"/>
      <w:marBottom w:val="0"/>
      <w:divBdr>
        <w:top w:val="none" w:sz="0" w:space="0" w:color="auto"/>
        <w:left w:val="none" w:sz="0" w:space="0" w:color="auto"/>
        <w:bottom w:val="none" w:sz="0" w:space="0" w:color="auto"/>
        <w:right w:val="none" w:sz="0" w:space="0" w:color="auto"/>
      </w:divBdr>
    </w:div>
    <w:div w:id="247275617">
      <w:bodyDiv w:val="1"/>
      <w:marLeft w:val="0"/>
      <w:marRight w:val="0"/>
      <w:marTop w:val="0"/>
      <w:marBottom w:val="0"/>
      <w:divBdr>
        <w:top w:val="none" w:sz="0" w:space="0" w:color="auto"/>
        <w:left w:val="none" w:sz="0" w:space="0" w:color="auto"/>
        <w:bottom w:val="none" w:sz="0" w:space="0" w:color="auto"/>
        <w:right w:val="none" w:sz="0" w:space="0" w:color="auto"/>
      </w:divBdr>
    </w:div>
    <w:div w:id="247353337">
      <w:bodyDiv w:val="1"/>
      <w:marLeft w:val="0"/>
      <w:marRight w:val="0"/>
      <w:marTop w:val="0"/>
      <w:marBottom w:val="0"/>
      <w:divBdr>
        <w:top w:val="none" w:sz="0" w:space="0" w:color="auto"/>
        <w:left w:val="none" w:sz="0" w:space="0" w:color="auto"/>
        <w:bottom w:val="none" w:sz="0" w:space="0" w:color="auto"/>
        <w:right w:val="none" w:sz="0" w:space="0" w:color="auto"/>
      </w:divBdr>
    </w:div>
    <w:div w:id="247429234">
      <w:bodyDiv w:val="1"/>
      <w:marLeft w:val="0"/>
      <w:marRight w:val="0"/>
      <w:marTop w:val="0"/>
      <w:marBottom w:val="0"/>
      <w:divBdr>
        <w:top w:val="none" w:sz="0" w:space="0" w:color="auto"/>
        <w:left w:val="none" w:sz="0" w:space="0" w:color="auto"/>
        <w:bottom w:val="none" w:sz="0" w:space="0" w:color="auto"/>
        <w:right w:val="none" w:sz="0" w:space="0" w:color="auto"/>
      </w:divBdr>
    </w:div>
    <w:div w:id="247546722">
      <w:bodyDiv w:val="1"/>
      <w:marLeft w:val="0"/>
      <w:marRight w:val="0"/>
      <w:marTop w:val="0"/>
      <w:marBottom w:val="0"/>
      <w:divBdr>
        <w:top w:val="none" w:sz="0" w:space="0" w:color="auto"/>
        <w:left w:val="none" w:sz="0" w:space="0" w:color="auto"/>
        <w:bottom w:val="none" w:sz="0" w:space="0" w:color="auto"/>
        <w:right w:val="none" w:sz="0" w:space="0" w:color="auto"/>
      </w:divBdr>
    </w:div>
    <w:div w:id="247616656">
      <w:bodyDiv w:val="1"/>
      <w:marLeft w:val="0"/>
      <w:marRight w:val="0"/>
      <w:marTop w:val="0"/>
      <w:marBottom w:val="0"/>
      <w:divBdr>
        <w:top w:val="none" w:sz="0" w:space="0" w:color="auto"/>
        <w:left w:val="none" w:sz="0" w:space="0" w:color="auto"/>
        <w:bottom w:val="none" w:sz="0" w:space="0" w:color="auto"/>
        <w:right w:val="none" w:sz="0" w:space="0" w:color="auto"/>
      </w:divBdr>
    </w:div>
    <w:div w:id="247807711">
      <w:bodyDiv w:val="1"/>
      <w:marLeft w:val="0"/>
      <w:marRight w:val="0"/>
      <w:marTop w:val="0"/>
      <w:marBottom w:val="0"/>
      <w:divBdr>
        <w:top w:val="none" w:sz="0" w:space="0" w:color="auto"/>
        <w:left w:val="none" w:sz="0" w:space="0" w:color="auto"/>
        <w:bottom w:val="none" w:sz="0" w:space="0" w:color="auto"/>
        <w:right w:val="none" w:sz="0" w:space="0" w:color="auto"/>
      </w:divBdr>
    </w:div>
    <w:div w:id="248004634">
      <w:bodyDiv w:val="1"/>
      <w:marLeft w:val="0"/>
      <w:marRight w:val="0"/>
      <w:marTop w:val="0"/>
      <w:marBottom w:val="0"/>
      <w:divBdr>
        <w:top w:val="none" w:sz="0" w:space="0" w:color="auto"/>
        <w:left w:val="none" w:sz="0" w:space="0" w:color="auto"/>
        <w:bottom w:val="none" w:sz="0" w:space="0" w:color="auto"/>
        <w:right w:val="none" w:sz="0" w:space="0" w:color="auto"/>
      </w:divBdr>
    </w:div>
    <w:div w:id="248126961">
      <w:bodyDiv w:val="1"/>
      <w:marLeft w:val="0"/>
      <w:marRight w:val="0"/>
      <w:marTop w:val="0"/>
      <w:marBottom w:val="0"/>
      <w:divBdr>
        <w:top w:val="none" w:sz="0" w:space="0" w:color="auto"/>
        <w:left w:val="none" w:sz="0" w:space="0" w:color="auto"/>
        <w:bottom w:val="none" w:sz="0" w:space="0" w:color="auto"/>
        <w:right w:val="none" w:sz="0" w:space="0" w:color="auto"/>
      </w:divBdr>
    </w:div>
    <w:div w:id="248197916">
      <w:bodyDiv w:val="1"/>
      <w:marLeft w:val="0"/>
      <w:marRight w:val="0"/>
      <w:marTop w:val="0"/>
      <w:marBottom w:val="0"/>
      <w:divBdr>
        <w:top w:val="none" w:sz="0" w:space="0" w:color="auto"/>
        <w:left w:val="none" w:sz="0" w:space="0" w:color="auto"/>
        <w:bottom w:val="none" w:sz="0" w:space="0" w:color="auto"/>
        <w:right w:val="none" w:sz="0" w:space="0" w:color="auto"/>
      </w:divBdr>
    </w:div>
    <w:div w:id="248198386">
      <w:bodyDiv w:val="1"/>
      <w:marLeft w:val="0"/>
      <w:marRight w:val="0"/>
      <w:marTop w:val="0"/>
      <w:marBottom w:val="0"/>
      <w:divBdr>
        <w:top w:val="none" w:sz="0" w:space="0" w:color="auto"/>
        <w:left w:val="none" w:sz="0" w:space="0" w:color="auto"/>
        <w:bottom w:val="none" w:sz="0" w:space="0" w:color="auto"/>
        <w:right w:val="none" w:sz="0" w:space="0" w:color="auto"/>
      </w:divBdr>
    </w:div>
    <w:div w:id="248269053">
      <w:bodyDiv w:val="1"/>
      <w:marLeft w:val="0"/>
      <w:marRight w:val="0"/>
      <w:marTop w:val="0"/>
      <w:marBottom w:val="0"/>
      <w:divBdr>
        <w:top w:val="none" w:sz="0" w:space="0" w:color="auto"/>
        <w:left w:val="none" w:sz="0" w:space="0" w:color="auto"/>
        <w:bottom w:val="none" w:sz="0" w:space="0" w:color="auto"/>
        <w:right w:val="none" w:sz="0" w:space="0" w:color="auto"/>
      </w:divBdr>
    </w:div>
    <w:div w:id="248345986">
      <w:bodyDiv w:val="1"/>
      <w:marLeft w:val="0"/>
      <w:marRight w:val="0"/>
      <w:marTop w:val="0"/>
      <w:marBottom w:val="0"/>
      <w:divBdr>
        <w:top w:val="none" w:sz="0" w:space="0" w:color="auto"/>
        <w:left w:val="none" w:sz="0" w:space="0" w:color="auto"/>
        <w:bottom w:val="none" w:sz="0" w:space="0" w:color="auto"/>
        <w:right w:val="none" w:sz="0" w:space="0" w:color="auto"/>
      </w:divBdr>
    </w:div>
    <w:div w:id="248587175">
      <w:bodyDiv w:val="1"/>
      <w:marLeft w:val="0"/>
      <w:marRight w:val="0"/>
      <w:marTop w:val="0"/>
      <w:marBottom w:val="0"/>
      <w:divBdr>
        <w:top w:val="none" w:sz="0" w:space="0" w:color="auto"/>
        <w:left w:val="none" w:sz="0" w:space="0" w:color="auto"/>
        <w:bottom w:val="none" w:sz="0" w:space="0" w:color="auto"/>
        <w:right w:val="none" w:sz="0" w:space="0" w:color="auto"/>
      </w:divBdr>
    </w:div>
    <w:div w:id="248732587">
      <w:bodyDiv w:val="1"/>
      <w:marLeft w:val="0"/>
      <w:marRight w:val="0"/>
      <w:marTop w:val="0"/>
      <w:marBottom w:val="0"/>
      <w:divBdr>
        <w:top w:val="none" w:sz="0" w:space="0" w:color="auto"/>
        <w:left w:val="none" w:sz="0" w:space="0" w:color="auto"/>
        <w:bottom w:val="none" w:sz="0" w:space="0" w:color="auto"/>
        <w:right w:val="none" w:sz="0" w:space="0" w:color="auto"/>
      </w:divBdr>
    </w:div>
    <w:div w:id="248734345">
      <w:bodyDiv w:val="1"/>
      <w:marLeft w:val="0"/>
      <w:marRight w:val="0"/>
      <w:marTop w:val="0"/>
      <w:marBottom w:val="0"/>
      <w:divBdr>
        <w:top w:val="none" w:sz="0" w:space="0" w:color="auto"/>
        <w:left w:val="none" w:sz="0" w:space="0" w:color="auto"/>
        <w:bottom w:val="none" w:sz="0" w:space="0" w:color="auto"/>
        <w:right w:val="none" w:sz="0" w:space="0" w:color="auto"/>
      </w:divBdr>
    </w:div>
    <w:div w:id="248735456">
      <w:bodyDiv w:val="1"/>
      <w:marLeft w:val="0"/>
      <w:marRight w:val="0"/>
      <w:marTop w:val="0"/>
      <w:marBottom w:val="0"/>
      <w:divBdr>
        <w:top w:val="none" w:sz="0" w:space="0" w:color="auto"/>
        <w:left w:val="none" w:sz="0" w:space="0" w:color="auto"/>
        <w:bottom w:val="none" w:sz="0" w:space="0" w:color="auto"/>
        <w:right w:val="none" w:sz="0" w:space="0" w:color="auto"/>
      </w:divBdr>
    </w:div>
    <w:div w:id="248775531">
      <w:bodyDiv w:val="1"/>
      <w:marLeft w:val="0"/>
      <w:marRight w:val="0"/>
      <w:marTop w:val="0"/>
      <w:marBottom w:val="0"/>
      <w:divBdr>
        <w:top w:val="none" w:sz="0" w:space="0" w:color="auto"/>
        <w:left w:val="none" w:sz="0" w:space="0" w:color="auto"/>
        <w:bottom w:val="none" w:sz="0" w:space="0" w:color="auto"/>
        <w:right w:val="none" w:sz="0" w:space="0" w:color="auto"/>
      </w:divBdr>
    </w:div>
    <w:div w:id="248856710">
      <w:bodyDiv w:val="1"/>
      <w:marLeft w:val="0"/>
      <w:marRight w:val="0"/>
      <w:marTop w:val="0"/>
      <w:marBottom w:val="0"/>
      <w:divBdr>
        <w:top w:val="none" w:sz="0" w:space="0" w:color="auto"/>
        <w:left w:val="none" w:sz="0" w:space="0" w:color="auto"/>
        <w:bottom w:val="none" w:sz="0" w:space="0" w:color="auto"/>
        <w:right w:val="none" w:sz="0" w:space="0" w:color="auto"/>
      </w:divBdr>
    </w:div>
    <w:div w:id="248972052">
      <w:bodyDiv w:val="1"/>
      <w:marLeft w:val="0"/>
      <w:marRight w:val="0"/>
      <w:marTop w:val="0"/>
      <w:marBottom w:val="0"/>
      <w:divBdr>
        <w:top w:val="none" w:sz="0" w:space="0" w:color="auto"/>
        <w:left w:val="none" w:sz="0" w:space="0" w:color="auto"/>
        <w:bottom w:val="none" w:sz="0" w:space="0" w:color="auto"/>
        <w:right w:val="none" w:sz="0" w:space="0" w:color="auto"/>
      </w:divBdr>
    </w:div>
    <w:div w:id="248975421">
      <w:bodyDiv w:val="1"/>
      <w:marLeft w:val="0"/>
      <w:marRight w:val="0"/>
      <w:marTop w:val="0"/>
      <w:marBottom w:val="0"/>
      <w:divBdr>
        <w:top w:val="none" w:sz="0" w:space="0" w:color="auto"/>
        <w:left w:val="none" w:sz="0" w:space="0" w:color="auto"/>
        <w:bottom w:val="none" w:sz="0" w:space="0" w:color="auto"/>
        <w:right w:val="none" w:sz="0" w:space="0" w:color="auto"/>
      </w:divBdr>
    </w:div>
    <w:div w:id="249000716">
      <w:bodyDiv w:val="1"/>
      <w:marLeft w:val="0"/>
      <w:marRight w:val="0"/>
      <w:marTop w:val="0"/>
      <w:marBottom w:val="0"/>
      <w:divBdr>
        <w:top w:val="none" w:sz="0" w:space="0" w:color="auto"/>
        <w:left w:val="none" w:sz="0" w:space="0" w:color="auto"/>
        <w:bottom w:val="none" w:sz="0" w:space="0" w:color="auto"/>
        <w:right w:val="none" w:sz="0" w:space="0" w:color="auto"/>
      </w:divBdr>
    </w:div>
    <w:div w:id="249048987">
      <w:bodyDiv w:val="1"/>
      <w:marLeft w:val="0"/>
      <w:marRight w:val="0"/>
      <w:marTop w:val="0"/>
      <w:marBottom w:val="0"/>
      <w:divBdr>
        <w:top w:val="none" w:sz="0" w:space="0" w:color="auto"/>
        <w:left w:val="none" w:sz="0" w:space="0" w:color="auto"/>
        <w:bottom w:val="none" w:sz="0" w:space="0" w:color="auto"/>
        <w:right w:val="none" w:sz="0" w:space="0" w:color="auto"/>
      </w:divBdr>
    </w:div>
    <w:div w:id="249193319">
      <w:bodyDiv w:val="1"/>
      <w:marLeft w:val="0"/>
      <w:marRight w:val="0"/>
      <w:marTop w:val="0"/>
      <w:marBottom w:val="0"/>
      <w:divBdr>
        <w:top w:val="none" w:sz="0" w:space="0" w:color="auto"/>
        <w:left w:val="none" w:sz="0" w:space="0" w:color="auto"/>
        <w:bottom w:val="none" w:sz="0" w:space="0" w:color="auto"/>
        <w:right w:val="none" w:sz="0" w:space="0" w:color="auto"/>
      </w:divBdr>
    </w:div>
    <w:div w:id="249391694">
      <w:bodyDiv w:val="1"/>
      <w:marLeft w:val="0"/>
      <w:marRight w:val="0"/>
      <w:marTop w:val="0"/>
      <w:marBottom w:val="0"/>
      <w:divBdr>
        <w:top w:val="none" w:sz="0" w:space="0" w:color="auto"/>
        <w:left w:val="none" w:sz="0" w:space="0" w:color="auto"/>
        <w:bottom w:val="none" w:sz="0" w:space="0" w:color="auto"/>
        <w:right w:val="none" w:sz="0" w:space="0" w:color="auto"/>
      </w:divBdr>
    </w:div>
    <w:div w:id="249395108">
      <w:bodyDiv w:val="1"/>
      <w:marLeft w:val="0"/>
      <w:marRight w:val="0"/>
      <w:marTop w:val="0"/>
      <w:marBottom w:val="0"/>
      <w:divBdr>
        <w:top w:val="none" w:sz="0" w:space="0" w:color="auto"/>
        <w:left w:val="none" w:sz="0" w:space="0" w:color="auto"/>
        <w:bottom w:val="none" w:sz="0" w:space="0" w:color="auto"/>
        <w:right w:val="none" w:sz="0" w:space="0" w:color="auto"/>
      </w:divBdr>
    </w:div>
    <w:div w:id="249431191">
      <w:bodyDiv w:val="1"/>
      <w:marLeft w:val="0"/>
      <w:marRight w:val="0"/>
      <w:marTop w:val="0"/>
      <w:marBottom w:val="0"/>
      <w:divBdr>
        <w:top w:val="none" w:sz="0" w:space="0" w:color="auto"/>
        <w:left w:val="none" w:sz="0" w:space="0" w:color="auto"/>
        <w:bottom w:val="none" w:sz="0" w:space="0" w:color="auto"/>
        <w:right w:val="none" w:sz="0" w:space="0" w:color="auto"/>
      </w:divBdr>
    </w:div>
    <w:div w:id="249506373">
      <w:bodyDiv w:val="1"/>
      <w:marLeft w:val="0"/>
      <w:marRight w:val="0"/>
      <w:marTop w:val="0"/>
      <w:marBottom w:val="0"/>
      <w:divBdr>
        <w:top w:val="none" w:sz="0" w:space="0" w:color="auto"/>
        <w:left w:val="none" w:sz="0" w:space="0" w:color="auto"/>
        <w:bottom w:val="none" w:sz="0" w:space="0" w:color="auto"/>
        <w:right w:val="none" w:sz="0" w:space="0" w:color="auto"/>
      </w:divBdr>
    </w:div>
    <w:div w:id="249627359">
      <w:bodyDiv w:val="1"/>
      <w:marLeft w:val="0"/>
      <w:marRight w:val="0"/>
      <w:marTop w:val="0"/>
      <w:marBottom w:val="0"/>
      <w:divBdr>
        <w:top w:val="none" w:sz="0" w:space="0" w:color="auto"/>
        <w:left w:val="none" w:sz="0" w:space="0" w:color="auto"/>
        <w:bottom w:val="none" w:sz="0" w:space="0" w:color="auto"/>
        <w:right w:val="none" w:sz="0" w:space="0" w:color="auto"/>
      </w:divBdr>
    </w:div>
    <w:div w:id="249627492">
      <w:bodyDiv w:val="1"/>
      <w:marLeft w:val="0"/>
      <w:marRight w:val="0"/>
      <w:marTop w:val="0"/>
      <w:marBottom w:val="0"/>
      <w:divBdr>
        <w:top w:val="none" w:sz="0" w:space="0" w:color="auto"/>
        <w:left w:val="none" w:sz="0" w:space="0" w:color="auto"/>
        <w:bottom w:val="none" w:sz="0" w:space="0" w:color="auto"/>
        <w:right w:val="none" w:sz="0" w:space="0" w:color="auto"/>
      </w:divBdr>
    </w:div>
    <w:div w:id="249629319">
      <w:bodyDiv w:val="1"/>
      <w:marLeft w:val="0"/>
      <w:marRight w:val="0"/>
      <w:marTop w:val="0"/>
      <w:marBottom w:val="0"/>
      <w:divBdr>
        <w:top w:val="none" w:sz="0" w:space="0" w:color="auto"/>
        <w:left w:val="none" w:sz="0" w:space="0" w:color="auto"/>
        <w:bottom w:val="none" w:sz="0" w:space="0" w:color="auto"/>
        <w:right w:val="none" w:sz="0" w:space="0" w:color="auto"/>
      </w:divBdr>
    </w:div>
    <w:div w:id="249703621">
      <w:bodyDiv w:val="1"/>
      <w:marLeft w:val="0"/>
      <w:marRight w:val="0"/>
      <w:marTop w:val="0"/>
      <w:marBottom w:val="0"/>
      <w:divBdr>
        <w:top w:val="none" w:sz="0" w:space="0" w:color="auto"/>
        <w:left w:val="none" w:sz="0" w:space="0" w:color="auto"/>
        <w:bottom w:val="none" w:sz="0" w:space="0" w:color="auto"/>
        <w:right w:val="none" w:sz="0" w:space="0" w:color="auto"/>
      </w:divBdr>
    </w:div>
    <w:div w:id="249775725">
      <w:bodyDiv w:val="1"/>
      <w:marLeft w:val="0"/>
      <w:marRight w:val="0"/>
      <w:marTop w:val="0"/>
      <w:marBottom w:val="0"/>
      <w:divBdr>
        <w:top w:val="none" w:sz="0" w:space="0" w:color="auto"/>
        <w:left w:val="none" w:sz="0" w:space="0" w:color="auto"/>
        <w:bottom w:val="none" w:sz="0" w:space="0" w:color="auto"/>
        <w:right w:val="none" w:sz="0" w:space="0" w:color="auto"/>
      </w:divBdr>
    </w:div>
    <w:div w:id="249778596">
      <w:bodyDiv w:val="1"/>
      <w:marLeft w:val="0"/>
      <w:marRight w:val="0"/>
      <w:marTop w:val="0"/>
      <w:marBottom w:val="0"/>
      <w:divBdr>
        <w:top w:val="none" w:sz="0" w:space="0" w:color="auto"/>
        <w:left w:val="none" w:sz="0" w:space="0" w:color="auto"/>
        <w:bottom w:val="none" w:sz="0" w:space="0" w:color="auto"/>
        <w:right w:val="none" w:sz="0" w:space="0" w:color="auto"/>
      </w:divBdr>
    </w:div>
    <w:div w:id="250041811">
      <w:bodyDiv w:val="1"/>
      <w:marLeft w:val="0"/>
      <w:marRight w:val="0"/>
      <w:marTop w:val="0"/>
      <w:marBottom w:val="0"/>
      <w:divBdr>
        <w:top w:val="none" w:sz="0" w:space="0" w:color="auto"/>
        <w:left w:val="none" w:sz="0" w:space="0" w:color="auto"/>
        <w:bottom w:val="none" w:sz="0" w:space="0" w:color="auto"/>
        <w:right w:val="none" w:sz="0" w:space="0" w:color="auto"/>
      </w:divBdr>
    </w:div>
    <w:div w:id="250050410">
      <w:bodyDiv w:val="1"/>
      <w:marLeft w:val="0"/>
      <w:marRight w:val="0"/>
      <w:marTop w:val="0"/>
      <w:marBottom w:val="0"/>
      <w:divBdr>
        <w:top w:val="none" w:sz="0" w:space="0" w:color="auto"/>
        <w:left w:val="none" w:sz="0" w:space="0" w:color="auto"/>
        <w:bottom w:val="none" w:sz="0" w:space="0" w:color="auto"/>
        <w:right w:val="none" w:sz="0" w:space="0" w:color="auto"/>
      </w:divBdr>
    </w:div>
    <w:div w:id="250163010">
      <w:bodyDiv w:val="1"/>
      <w:marLeft w:val="0"/>
      <w:marRight w:val="0"/>
      <w:marTop w:val="0"/>
      <w:marBottom w:val="0"/>
      <w:divBdr>
        <w:top w:val="none" w:sz="0" w:space="0" w:color="auto"/>
        <w:left w:val="none" w:sz="0" w:space="0" w:color="auto"/>
        <w:bottom w:val="none" w:sz="0" w:space="0" w:color="auto"/>
        <w:right w:val="none" w:sz="0" w:space="0" w:color="auto"/>
      </w:divBdr>
    </w:div>
    <w:div w:id="250163307">
      <w:bodyDiv w:val="1"/>
      <w:marLeft w:val="0"/>
      <w:marRight w:val="0"/>
      <w:marTop w:val="0"/>
      <w:marBottom w:val="0"/>
      <w:divBdr>
        <w:top w:val="none" w:sz="0" w:space="0" w:color="auto"/>
        <w:left w:val="none" w:sz="0" w:space="0" w:color="auto"/>
        <w:bottom w:val="none" w:sz="0" w:space="0" w:color="auto"/>
        <w:right w:val="none" w:sz="0" w:space="0" w:color="auto"/>
      </w:divBdr>
    </w:div>
    <w:div w:id="250244187">
      <w:bodyDiv w:val="1"/>
      <w:marLeft w:val="0"/>
      <w:marRight w:val="0"/>
      <w:marTop w:val="0"/>
      <w:marBottom w:val="0"/>
      <w:divBdr>
        <w:top w:val="none" w:sz="0" w:space="0" w:color="auto"/>
        <w:left w:val="none" w:sz="0" w:space="0" w:color="auto"/>
        <w:bottom w:val="none" w:sz="0" w:space="0" w:color="auto"/>
        <w:right w:val="none" w:sz="0" w:space="0" w:color="auto"/>
      </w:divBdr>
    </w:div>
    <w:div w:id="250358953">
      <w:bodyDiv w:val="1"/>
      <w:marLeft w:val="0"/>
      <w:marRight w:val="0"/>
      <w:marTop w:val="0"/>
      <w:marBottom w:val="0"/>
      <w:divBdr>
        <w:top w:val="none" w:sz="0" w:space="0" w:color="auto"/>
        <w:left w:val="none" w:sz="0" w:space="0" w:color="auto"/>
        <w:bottom w:val="none" w:sz="0" w:space="0" w:color="auto"/>
        <w:right w:val="none" w:sz="0" w:space="0" w:color="auto"/>
      </w:divBdr>
    </w:div>
    <w:div w:id="250360605">
      <w:bodyDiv w:val="1"/>
      <w:marLeft w:val="0"/>
      <w:marRight w:val="0"/>
      <w:marTop w:val="0"/>
      <w:marBottom w:val="0"/>
      <w:divBdr>
        <w:top w:val="none" w:sz="0" w:space="0" w:color="auto"/>
        <w:left w:val="none" w:sz="0" w:space="0" w:color="auto"/>
        <w:bottom w:val="none" w:sz="0" w:space="0" w:color="auto"/>
        <w:right w:val="none" w:sz="0" w:space="0" w:color="auto"/>
      </w:divBdr>
    </w:div>
    <w:div w:id="250428321">
      <w:bodyDiv w:val="1"/>
      <w:marLeft w:val="0"/>
      <w:marRight w:val="0"/>
      <w:marTop w:val="0"/>
      <w:marBottom w:val="0"/>
      <w:divBdr>
        <w:top w:val="none" w:sz="0" w:space="0" w:color="auto"/>
        <w:left w:val="none" w:sz="0" w:space="0" w:color="auto"/>
        <w:bottom w:val="none" w:sz="0" w:space="0" w:color="auto"/>
        <w:right w:val="none" w:sz="0" w:space="0" w:color="auto"/>
      </w:divBdr>
    </w:div>
    <w:div w:id="250436615">
      <w:bodyDiv w:val="1"/>
      <w:marLeft w:val="0"/>
      <w:marRight w:val="0"/>
      <w:marTop w:val="0"/>
      <w:marBottom w:val="0"/>
      <w:divBdr>
        <w:top w:val="none" w:sz="0" w:space="0" w:color="auto"/>
        <w:left w:val="none" w:sz="0" w:space="0" w:color="auto"/>
        <w:bottom w:val="none" w:sz="0" w:space="0" w:color="auto"/>
        <w:right w:val="none" w:sz="0" w:space="0" w:color="auto"/>
      </w:divBdr>
    </w:div>
    <w:div w:id="250478968">
      <w:bodyDiv w:val="1"/>
      <w:marLeft w:val="0"/>
      <w:marRight w:val="0"/>
      <w:marTop w:val="0"/>
      <w:marBottom w:val="0"/>
      <w:divBdr>
        <w:top w:val="none" w:sz="0" w:space="0" w:color="auto"/>
        <w:left w:val="none" w:sz="0" w:space="0" w:color="auto"/>
        <w:bottom w:val="none" w:sz="0" w:space="0" w:color="auto"/>
        <w:right w:val="none" w:sz="0" w:space="0" w:color="auto"/>
      </w:divBdr>
    </w:div>
    <w:div w:id="250547846">
      <w:bodyDiv w:val="1"/>
      <w:marLeft w:val="0"/>
      <w:marRight w:val="0"/>
      <w:marTop w:val="0"/>
      <w:marBottom w:val="0"/>
      <w:divBdr>
        <w:top w:val="none" w:sz="0" w:space="0" w:color="auto"/>
        <w:left w:val="none" w:sz="0" w:space="0" w:color="auto"/>
        <w:bottom w:val="none" w:sz="0" w:space="0" w:color="auto"/>
        <w:right w:val="none" w:sz="0" w:space="0" w:color="auto"/>
      </w:divBdr>
    </w:div>
    <w:div w:id="250699736">
      <w:bodyDiv w:val="1"/>
      <w:marLeft w:val="0"/>
      <w:marRight w:val="0"/>
      <w:marTop w:val="0"/>
      <w:marBottom w:val="0"/>
      <w:divBdr>
        <w:top w:val="none" w:sz="0" w:space="0" w:color="auto"/>
        <w:left w:val="none" w:sz="0" w:space="0" w:color="auto"/>
        <w:bottom w:val="none" w:sz="0" w:space="0" w:color="auto"/>
        <w:right w:val="none" w:sz="0" w:space="0" w:color="auto"/>
      </w:divBdr>
    </w:div>
    <w:div w:id="251010028">
      <w:bodyDiv w:val="1"/>
      <w:marLeft w:val="0"/>
      <w:marRight w:val="0"/>
      <w:marTop w:val="0"/>
      <w:marBottom w:val="0"/>
      <w:divBdr>
        <w:top w:val="none" w:sz="0" w:space="0" w:color="auto"/>
        <w:left w:val="none" w:sz="0" w:space="0" w:color="auto"/>
        <w:bottom w:val="none" w:sz="0" w:space="0" w:color="auto"/>
        <w:right w:val="none" w:sz="0" w:space="0" w:color="auto"/>
      </w:divBdr>
    </w:div>
    <w:div w:id="251016159">
      <w:bodyDiv w:val="1"/>
      <w:marLeft w:val="0"/>
      <w:marRight w:val="0"/>
      <w:marTop w:val="0"/>
      <w:marBottom w:val="0"/>
      <w:divBdr>
        <w:top w:val="none" w:sz="0" w:space="0" w:color="auto"/>
        <w:left w:val="none" w:sz="0" w:space="0" w:color="auto"/>
        <w:bottom w:val="none" w:sz="0" w:space="0" w:color="auto"/>
        <w:right w:val="none" w:sz="0" w:space="0" w:color="auto"/>
      </w:divBdr>
    </w:div>
    <w:div w:id="251084616">
      <w:bodyDiv w:val="1"/>
      <w:marLeft w:val="0"/>
      <w:marRight w:val="0"/>
      <w:marTop w:val="0"/>
      <w:marBottom w:val="0"/>
      <w:divBdr>
        <w:top w:val="none" w:sz="0" w:space="0" w:color="auto"/>
        <w:left w:val="none" w:sz="0" w:space="0" w:color="auto"/>
        <w:bottom w:val="none" w:sz="0" w:space="0" w:color="auto"/>
        <w:right w:val="none" w:sz="0" w:space="0" w:color="auto"/>
      </w:divBdr>
    </w:div>
    <w:div w:id="251088193">
      <w:bodyDiv w:val="1"/>
      <w:marLeft w:val="0"/>
      <w:marRight w:val="0"/>
      <w:marTop w:val="0"/>
      <w:marBottom w:val="0"/>
      <w:divBdr>
        <w:top w:val="none" w:sz="0" w:space="0" w:color="auto"/>
        <w:left w:val="none" w:sz="0" w:space="0" w:color="auto"/>
        <w:bottom w:val="none" w:sz="0" w:space="0" w:color="auto"/>
        <w:right w:val="none" w:sz="0" w:space="0" w:color="auto"/>
      </w:divBdr>
    </w:div>
    <w:div w:id="251209748">
      <w:bodyDiv w:val="1"/>
      <w:marLeft w:val="0"/>
      <w:marRight w:val="0"/>
      <w:marTop w:val="0"/>
      <w:marBottom w:val="0"/>
      <w:divBdr>
        <w:top w:val="none" w:sz="0" w:space="0" w:color="auto"/>
        <w:left w:val="none" w:sz="0" w:space="0" w:color="auto"/>
        <w:bottom w:val="none" w:sz="0" w:space="0" w:color="auto"/>
        <w:right w:val="none" w:sz="0" w:space="0" w:color="auto"/>
      </w:divBdr>
    </w:div>
    <w:div w:id="251400532">
      <w:bodyDiv w:val="1"/>
      <w:marLeft w:val="0"/>
      <w:marRight w:val="0"/>
      <w:marTop w:val="0"/>
      <w:marBottom w:val="0"/>
      <w:divBdr>
        <w:top w:val="none" w:sz="0" w:space="0" w:color="auto"/>
        <w:left w:val="none" w:sz="0" w:space="0" w:color="auto"/>
        <w:bottom w:val="none" w:sz="0" w:space="0" w:color="auto"/>
        <w:right w:val="none" w:sz="0" w:space="0" w:color="auto"/>
      </w:divBdr>
    </w:div>
    <w:div w:id="251400986">
      <w:bodyDiv w:val="1"/>
      <w:marLeft w:val="0"/>
      <w:marRight w:val="0"/>
      <w:marTop w:val="0"/>
      <w:marBottom w:val="0"/>
      <w:divBdr>
        <w:top w:val="none" w:sz="0" w:space="0" w:color="auto"/>
        <w:left w:val="none" w:sz="0" w:space="0" w:color="auto"/>
        <w:bottom w:val="none" w:sz="0" w:space="0" w:color="auto"/>
        <w:right w:val="none" w:sz="0" w:space="0" w:color="auto"/>
      </w:divBdr>
    </w:div>
    <w:div w:id="251402265">
      <w:bodyDiv w:val="1"/>
      <w:marLeft w:val="0"/>
      <w:marRight w:val="0"/>
      <w:marTop w:val="0"/>
      <w:marBottom w:val="0"/>
      <w:divBdr>
        <w:top w:val="none" w:sz="0" w:space="0" w:color="auto"/>
        <w:left w:val="none" w:sz="0" w:space="0" w:color="auto"/>
        <w:bottom w:val="none" w:sz="0" w:space="0" w:color="auto"/>
        <w:right w:val="none" w:sz="0" w:space="0" w:color="auto"/>
      </w:divBdr>
    </w:div>
    <w:div w:id="251403791">
      <w:bodyDiv w:val="1"/>
      <w:marLeft w:val="0"/>
      <w:marRight w:val="0"/>
      <w:marTop w:val="0"/>
      <w:marBottom w:val="0"/>
      <w:divBdr>
        <w:top w:val="none" w:sz="0" w:space="0" w:color="auto"/>
        <w:left w:val="none" w:sz="0" w:space="0" w:color="auto"/>
        <w:bottom w:val="none" w:sz="0" w:space="0" w:color="auto"/>
        <w:right w:val="none" w:sz="0" w:space="0" w:color="auto"/>
      </w:divBdr>
    </w:div>
    <w:div w:id="251470422">
      <w:bodyDiv w:val="1"/>
      <w:marLeft w:val="0"/>
      <w:marRight w:val="0"/>
      <w:marTop w:val="0"/>
      <w:marBottom w:val="0"/>
      <w:divBdr>
        <w:top w:val="none" w:sz="0" w:space="0" w:color="auto"/>
        <w:left w:val="none" w:sz="0" w:space="0" w:color="auto"/>
        <w:bottom w:val="none" w:sz="0" w:space="0" w:color="auto"/>
        <w:right w:val="none" w:sz="0" w:space="0" w:color="auto"/>
      </w:divBdr>
    </w:div>
    <w:div w:id="251474524">
      <w:bodyDiv w:val="1"/>
      <w:marLeft w:val="0"/>
      <w:marRight w:val="0"/>
      <w:marTop w:val="0"/>
      <w:marBottom w:val="0"/>
      <w:divBdr>
        <w:top w:val="none" w:sz="0" w:space="0" w:color="auto"/>
        <w:left w:val="none" w:sz="0" w:space="0" w:color="auto"/>
        <w:bottom w:val="none" w:sz="0" w:space="0" w:color="auto"/>
        <w:right w:val="none" w:sz="0" w:space="0" w:color="auto"/>
      </w:divBdr>
    </w:div>
    <w:div w:id="251594869">
      <w:bodyDiv w:val="1"/>
      <w:marLeft w:val="0"/>
      <w:marRight w:val="0"/>
      <w:marTop w:val="0"/>
      <w:marBottom w:val="0"/>
      <w:divBdr>
        <w:top w:val="none" w:sz="0" w:space="0" w:color="auto"/>
        <w:left w:val="none" w:sz="0" w:space="0" w:color="auto"/>
        <w:bottom w:val="none" w:sz="0" w:space="0" w:color="auto"/>
        <w:right w:val="none" w:sz="0" w:space="0" w:color="auto"/>
      </w:divBdr>
    </w:div>
    <w:div w:id="251663443">
      <w:bodyDiv w:val="1"/>
      <w:marLeft w:val="0"/>
      <w:marRight w:val="0"/>
      <w:marTop w:val="0"/>
      <w:marBottom w:val="0"/>
      <w:divBdr>
        <w:top w:val="none" w:sz="0" w:space="0" w:color="auto"/>
        <w:left w:val="none" w:sz="0" w:space="0" w:color="auto"/>
        <w:bottom w:val="none" w:sz="0" w:space="0" w:color="auto"/>
        <w:right w:val="none" w:sz="0" w:space="0" w:color="auto"/>
      </w:divBdr>
    </w:div>
    <w:div w:id="251745221">
      <w:bodyDiv w:val="1"/>
      <w:marLeft w:val="0"/>
      <w:marRight w:val="0"/>
      <w:marTop w:val="0"/>
      <w:marBottom w:val="0"/>
      <w:divBdr>
        <w:top w:val="none" w:sz="0" w:space="0" w:color="auto"/>
        <w:left w:val="none" w:sz="0" w:space="0" w:color="auto"/>
        <w:bottom w:val="none" w:sz="0" w:space="0" w:color="auto"/>
        <w:right w:val="none" w:sz="0" w:space="0" w:color="auto"/>
      </w:divBdr>
    </w:div>
    <w:div w:id="251747591">
      <w:bodyDiv w:val="1"/>
      <w:marLeft w:val="0"/>
      <w:marRight w:val="0"/>
      <w:marTop w:val="0"/>
      <w:marBottom w:val="0"/>
      <w:divBdr>
        <w:top w:val="none" w:sz="0" w:space="0" w:color="auto"/>
        <w:left w:val="none" w:sz="0" w:space="0" w:color="auto"/>
        <w:bottom w:val="none" w:sz="0" w:space="0" w:color="auto"/>
        <w:right w:val="none" w:sz="0" w:space="0" w:color="auto"/>
      </w:divBdr>
    </w:div>
    <w:div w:id="251818944">
      <w:bodyDiv w:val="1"/>
      <w:marLeft w:val="0"/>
      <w:marRight w:val="0"/>
      <w:marTop w:val="0"/>
      <w:marBottom w:val="0"/>
      <w:divBdr>
        <w:top w:val="none" w:sz="0" w:space="0" w:color="auto"/>
        <w:left w:val="none" w:sz="0" w:space="0" w:color="auto"/>
        <w:bottom w:val="none" w:sz="0" w:space="0" w:color="auto"/>
        <w:right w:val="none" w:sz="0" w:space="0" w:color="auto"/>
      </w:divBdr>
    </w:div>
    <w:div w:id="251864775">
      <w:bodyDiv w:val="1"/>
      <w:marLeft w:val="0"/>
      <w:marRight w:val="0"/>
      <w:marTop w:val="0"/>
      <w:marBottom w:val="0"/>
      <w:divBdr>
        <w:top w:val="none" w:sz="0" w:space="0" w:color="auto"/>
        <w:left w:val="none" w:sz="0" w:space="0" w:color="auto"/>
        <w:bottom w:val="none" w:sz="0" w:space="0" w:color="auto"/>
        <w:right w:val="none" w:sz="0" w:space="0" w:color="auto"/>
      </w:divBdr>
    </w:div>
    <w:div w:id="252054873">
      <w:bodyDiv w:val="1"/>
      <w:marLeft w:val="0"/>
      <w:marRight w:val="0"/>
      <w:marTop w:val="0"/>
      <w:marBottom w:val="0"/>
      <w:divBdr>
        <w:top w:val="none" w:sz="0" w:space="0" w:color="auto"/>
        <w:left w:val="none" w:sz="0" w:space="0" w:color="auto"/>
        <w:bottom w:val="none" w:sz="0" w:space="0" w:color="auto"/>
        <w:right w:val="none" w:sz="0" w:space="0" w:color="auto"/>
      </w:divBdr>
    </w:div>
    <w:div w:id="252058165">
      <w:bodyDiv w:val="1"/>
      <w:marLeft w:val="0"/>
      <w:marRight w:val="0"/>
      <w:marTop w:val="0"/>
      <w:marBottom w:val="0"/>
      <w:divBdr>
        <w:top w:val="none" w:sz="0" w:space="0" w:color="auto"/>
        <w:left w:val="none" w:sz="0" w:space="0" w:color="auto"/>
        <w:bottom w:val="none" w:sz="0" w:space="0" w:color="auto"/>
        <w:right w:val="none" w:sz="0" w:space="0" w:color="auto"/>
      </w:divBdr>
    </w:div>
    <w:div w:id="252206099">
      <w:bodyDiv w:val="1"/>
      <w:marLeft w:val="0"/>
      <w:marRight w:val="0"/>
      <w:marTop w:val="0"/>
      <w:marBottom w:val="0"/>
      <w:divBdr>
        <w:top w:val="none" w:sz="0" w:space="0" w:color="auto"/>
        <w:left w:val="none" w:sz="0" w:space="0" w:color="auto"/>
        <w:bottom w:val="none" w:sz="0" w:space="0" w:color="auto"/>
        <w:right w:val="none" w:sz="0" w:space="0" w:color="auto"/>
      </w:divBdr>
    </w:div>
    <w:div w:id="252395258">
      <w:bodyDiv w:val="1"/>
      <w:marLeft w:val="0"/>
      <w:marRight w:val="0"/>
      <w:marTop w:val="0"/>
      <w:marBottom w:val="0"/>
      <w:divBdr>
        <w:top w:val="none" w:sz="0" w:space="0" w:color="auto"/>
        <w:left w:val="none" w:sz="0" w:space="0" w:color="auto"/>
        <w:bottom w:val="none" w:sz="0" w:space="0" w:color="auto"/>
        <w:right w:val="none" w:sz="0" w:space="0" w:color="auto"/>
      </w:divBdr>
    </w:div>
    <w:div w:id="252476165">
      <w:bodyDiv w:val="1"/>
      <w:marLeft w:val="0"/>
      <w:marRight w:val="0"/>
      <w:marTop w:val="0"/>
      <w:marBottom w:val="0"/>
      <w:divBdr>
        <w:top w:val="none" w:sz="0" w:space="0" w:color="auto"/>
        <w:left w:val="none" w:sz="0" w:space="0" w:color="auto"/>
        <w:bottom w:val="none" w:sz="0" w:space="0" w:color="auto"/>
        <w:right w:val="none" w:sz="0" w:space="0" w:color="auto"/>
      </w:divBdr>
    </w:div>
    <w:div w:id="252476718">
      <w:bodyDiv w:val="1"/>
      <w:marLeft w:val="0"/>
      <w:marRight w:val="0"/>
      <w:marTop w:val="0"/>
      <w:marBottom w:val="0"/>
      <w:divBdr>
        <w:top w:val="none" w:sz="0" w:space="0" w:color="auto"/>
        <w:left w:val="none" w:sz="0" w:space="0" w:color="auto"/>
        <w:bottom w:val="none" w:sz="0" w:space="0" w:color="auto"/>
        <w:right w:val="none" w:sz="0" w:space="0" w:color="auto"/>
      </w:divBdr>
    </w:div>
    <w:div w:id="252587820">
      <w:bodyDiv w:val="1"/>
      <w:marLeft w:val="0"/>
      <w:marRight w:val="0"/>
      <w:marTop w:val="0"/>
      <w:marBottom w:val="0"/>
      <w:divBdr>
        <w:top w:val="none" w:sz="0" w:space="0" w:color="auto"/>
        <w:left w:val="none" w:sz="0" w:space="0" w:color="auto"/>
        <w:bottom w:val="none" w:sz="0" w:space="0" w:color="auto"/>
        <w:right w:val="none" w:sz="0" w:space="0" w:color="auto"/>
      </w:divBdr>
    </w:div>
    <w:div w:id="252596109">
      <w:bodyDiv w:val="1"/>
      <w:marLeft w:val="0"/>
      <w:marRight w:val="0"/>
      <w:marTop w:val="0"/>
      <w:marBottom w:val="0"/>
      <w:divBdr>
        <w:top w:val="none" w:sz="0" w:space="0" w:color="auto"/>
        <w:left w:val="none" w:sz="0" w:space="0" w:color="auto"/>
        <w:bottom w:val="none" w:sz="0" w:space="0" w:color="auto"/>
        <w:right w:val="none" w:sz="0" w:space="0" w:color="auto"/>
      </w:divBdr>
    </w:div>
    <w:div w:id="252710199">
      <w:bodyDiv w:val="1"/>
      <w:marLeft w:val="0"/>
      <w:marRight w:val="0"/>
      <w:marTop w:val="0"/>
      <w:marBottom w:val="0"/>
      <w:divBdr>
        <w:top w:val="none" w:sz="0" w:space="0" w:color="auto"/>
        <w:left w:val="none" w:sz="0" w:space="0" w:color="auto"/>
        <w:bottom w:val="none" w:sz="0" w:space="0" w:color="auto"/>
        <w:right w:val="none" w:sz="0" w:space="0" w:color="auto"/>
      </w:divBdr>
    </w:div>
    <w:div w:id="252865318">
      <w:bodyDiv w:val="1"/>
      <w:marLeft w:val="0"/>
      <w:marRight w:val="0"/>
      <w:marTop w:val="0"/>
      <w:marBottom w:val="0"/>
      <w:divBdr>
        <w:top w:val="none" w:sz="0" w:space="0" w:color="auto"/>
        <w:left w:val="none" w:sz="0" w:space="0" w:color="auto"/>
        <w:bottom w:val="none" w:sz="0" w:space="0" w:color="auto"/>
        <w:right w:val="none" w:sz="0" w:space="0" w:color="auto"/>
      </w:divBdr>
    </w:div>
    <w:div w:id="252906898">
      <w:bodyDiv w:val="1"/>
      <w:marLeft w:val="0"/>
      <w:marRight w:val="0"/>
      <w:marTop w:val="0"/>
      <w:marBottom w:val="0"/>
      <w:divBdr>
        <w:top w:val="none" w:sz="0" w:space="0" w:color="auto"/>
        <w:left w:val="none" w:sz="0" w:space="0" w:color="auto"/>
        <w:bottom w:val="none" w:sz="0" w:space="0" w:color="auto"/>
        <w:right w:val="none" w:sz="0" w:space="0" w:color="auto"/>
      </w:divBdr>
    </w:div>
    <w:div w:id="252932796">
      <w:bodyDiv w:val="1"/>
      <w:marLeft w:val="0"/>
      <w:marRight w:val="0"/>
      <w:marTop w:val="0"/>
      <w:marBottom w:val="0"/>
      <w:divBdr>
        <w:top w:val="none" w:sz="0" w:space="0" w:color="auto"/>
        <w:left w:val="none" w:sz="0" w:space="0" w:color="auto"/>
        <w:bottom w:val="none" w:sz="0" w:space="0" w:color="auto"/>
        <w:right w:val="none" w:sz="0" w:space="0" w:color="auto"/>
      </w:divBdr>
    </w:div>
    <w:div w:id="253057252">
      <w:bodyDiv w:val="1"/>
      <w:marLeft w:val="0"/>
      <w:marRight w:val="0"/>
      <w:marTop w:val="0"/>
      <w:marBottom w:val="0"/>
      <w:divBdr>
        <w:top w:val="none" w:sz="0" w:space="0" w:color="auto"/>
        <w:left w:val="none" w:sz="0" w:space="0" w:color="auto"/>
        <w:bottom w:val="none" w:sz="0" w:space="0" w:color="auto"/>
        <w:right w:val="none" w:sz="0" w:space="0" w:color="auto"/>
      </w:divBdr>
    </w:div>
    <w:div w:id="253057424">
      <w:bodyDiv w:val="1"/>
      <w:marLeft w:val="0"/>
      <w:marRight w:val="0"/>
      <w:marTop w:val="0"/>
      <w:marBottom w:val="0"/>
      <w:divBdr>
        <w:top w:val="none" w:sz="0" w:space="0" w:color="auto"/>
        <w:left w:val="none" w:sz="0" w:space="0" w:color="auto"/>
        <w:bottom w:val="none" w:sz="0" w:space="0" w:color="auto"/>
        <w:right w:val="none" w:sz="0" w:space="0" w:color="auto"/>
      </w:divBdr>
    </w:div>
    <w:div w:id="253169418">
      <w:bodyDiv w:val="1"/>
      <w:marLeft w:val="0"/>
      <w:marRight w:val="0"/>
      <w:marTop w:val="0"/>
      <w:marBottom w:val="0"/>
      <w:divBdr>
        <w:top w:val="none" w:sz="0" w:space="0" w:color="auto"/>
        <w:left w:val="none" w:sz="0" w:space="0" w:color="auto"/>
        <w:bottom w:val="none" w:sz="0" w:space="0" w:color="auto"/>
        <w:right w:val="none" w:sz="0" w:space="0" w:color="auto"/>
      </w:divBdr>
    </w:div>
    <w:div w:id="253172781">
      <w:bodyDiv w:val="1"/>
      <w:marLeft w:val="0"/>
      <w:marRight w:val="0"/>
      <w:marTop w:val="0"/>
      <w:marBottom w:val="0"/>
      <w:divBdr>
        <w:top w:val="none" w:sz="0" w:space="0" w:color="auto"/>
        <w:left w:val="none" w:sz="0" w:space="0" w:color="auto"/>
        <w:bottom w:val="none" w:sz="0" w:space="0" w:color="auto"/>
        <w:right w:val="none" w:sz="0" w:space="0" w:color="auto"/>
      </w:divBdr>
    </w:div>
    <w:div w:id="253248101">
      <w:bodyDiv w:val="1"/>
      <w:marLeft w:val="0"/>
      <w:marRight w:val="0"/>
      <w:marTop w:val="0"/>
      <w:marBottom w:val="0"/>
      <w:divBdr>
        <w:top w:val="none" w:sz="0" w:space="0" w:color="auto"/>
        <w:left w:val="none" w:sz="0" w:space="0" w:color="auto"/>
        <w:bottom w:val="none" w:sz="0" w:space="0" w:color="auto"/>
        <w:right w:val="none" w:sz="0" w:space="0" w:color="auto"/>
      </w:divBdr>
    </w:div>
    <w:div w:id="253250566">
      <w:bodyDiv w:val="1"/>
      <w:marLeft w:val="0"/>
      <w:marRight w:val="0"/>
      <w:marTop w:val="0"/>
      <w:marBottom w:val="0"/>
      <w:divBdr>
        <w:top w:val="none" w:sz="0" w:space="0" w:color="auto"/>
        <w:left w:val="none" w:sz="0" w:space="0" w:color="auto"/>
        <w:bottom w:val="none" w:sz="0" w:space="0" w:color="auto"/>
        <w:right w:val="none" w:sz="0" w:space="0" w:color="auto"/>
      </w:divBdr>
    </w:div>
    <w:div w:id="253251448">
      <w:bodyDiv w:val="1"/>
      <w:marLeft w:val="0"/>
      <w:marRight w:val="0"/>
      <w:marTop w:val="0"/>
      <w:marBottom w:val="0"/>
      <w:divBdr>
        <w:top w:val="none" w:sz="0" w:space="0" w:color="auto"/>
        <w:left w:val="none" w:sz="0" w:space="0" w:color="auto"/>
        <w:bottom w:val="none" w:sz="0" w:space="0" w:color="auto"/>
        <w:right w:val="none" w:sz="0" w:space="0" w:color="auto"/>
      </w:divBdr>
    </w:div>
    <w:div w:id="253439839">
      <w:bodyDiv w:val="1"/>
      <w:marLeft w:val="0"/>
      <w:marRight w:val="0"/>
      <w:marTop w:val="0"/>
      <w:marBottom w:val="0"/>
      <w:divBdr>
        <w:top w:val="none" w:sz="0" w:space="0" w:color="auto"/>
        <w:left w:val="none" w:sz="0" w:space="0" w:color="auto"/>
        <w:bottom w:val="none" w:sz="0" w:space="0" w:color="auto"/>
        <w:right w:val="none" w:sz="0" w:space="0" w:color="auto"/>
      </w:divBdr>
    </w:div>
    <w:div w:id="253441466">
      <w:bodyDiv w:val="1"/>
      <w:marLeft w:val="0"/>
      <w:marRight w:val="0"/>
      <w:marTop w:val="0"/>
      <w:marBottom w:val="0"/>
      <w:divBdr>
        <w:top w:val="none" w:sz="0" w:space="0" w:color="auto"/>
        <w:left w:val="none" w:sz="0" w:space="0" w:color="auto"/>
        <w:bottom w:val="none" w:sz="0" w:space="0" w:color="auto"/>
        <w:right w:val="none" w:sz="0" w:space="0" w:color="auto"/>
      </w:divBdr>
    </w:div>
    <w:div w:id="253513280">
      <w:bodyDiv w:val="1"/>
      <w:marLeft w:val="0"/>
      <w:marRight w:val="0"/>
      <w:marTop w:val="0"/>
      <w:marBottom w:val="0"/>
      <w:divBdr>
        <w:top w:val="none" w:sz="0" w:space="0" w:color="auto"/>
        <w:left w:val="none" w:sz="0" w:space="0" w:color="auto"/>
        <w:bottom w:val="none" w:sz="0" w:space="0" w:color="auto"/>
        <w:right w:val="none" w:sz="0" w:space="0" w:color="auto"/>
      </w:divBdr>
    </w:div>
    <w:div w:id="253515786">
      <w:bodyDiv w:val="1"/>
      <w:marLeft w:val="0"/>
      <w:marRight w:val="0"/>
      <w:marTop w:val="0"/>
      <w:marBottom w:val="0"/>
      <w:divBdr>
        <w:top w:val="none" w:sz="0" w:space="0" w:color="auto"/>
        <w:left w:val="none" w:sz="0" w:space="0" w:color="auto"/>
        <w:bottom w:val="none" w:sz="0" w:space="0" w:color="auto"/>
        <w:right w:val="none" w:sz="0" w:space="0" w:color="auto"/>
      </w:divBdr>
    </w:div>
    <w:div w:id="253516129">
      <w:bodyDiv w:val="1"/>
      <w:marLeft w:val="0"/>
      <w:marRight w:val="0"/>
      <w:marTop w:val="0"/>
      <w:marBottom w:val="0"/>
      <w:divBdr>
        <w:top w:val="none" w:sz="0" w:space="0" w:color="auto"/>
        <w:left w:val="none" w:sz="0" w:space="0" w:color="auto"/>
        <w:bottom w:val="none" w:sz="0" w:space="0" w:color="auto"/>
        <w:right w:val="none" w:sz="0" w:space="0" w:color="auto"/>
      </w:divBdr>
    </w:div>
    <w:div w:id="253708146">
      <w:bodyDiv w:val="1"/>
      <w:marLeft w:val="0"/>
      <w:marRight w:val="0"/>
      <w:marTop w:val="0"/>
      <w:marBottom w:val="0"/>
      <w:divBdr>
        <w:top w:val="none" w:sz="0" w:space="0" w:color="auto"/>
        <w:left w:val="none" w:sz="0" w:space="0" w:color="auto"/>
        <w:bottom w:val="none" w:sz="0" w:space="0" w:color="auto"/>
        <w:right w:val="none" w:sz="0" w:space="0" w:color="auto"/>
      </w:divBdr>
    </w:div>
    <w:div w:id="253709764">
      <w:bodyDiv w:val="1"/>
      <w:marLeft w:val="0"/>
      <w:marRight w:val="0"/>
      <w:marTop w:val="0"/>
      <w:marBottom w:val="0"/>
      <w:divBdr>
        <w:top w:val="none" w:sz="0" w:space="0" w:color="auto"/>
        <w:left w:val="none" w:sz="0" w:space="0" w:color="auto"/>
        <w:bottom w:val="none" w:sz="0" w:space="0" w:color="auto"/>
        <w:right w:val="none" w:sz="0" w:space="0" w:color="auto"/>
      </w:divBdr>
    </w:div>
    <w:div w:id="253785512">
      <w:bodyDiv w:val="1"/>
      <w:marLeft w:val="0"/>
      <w:marRight w:val="0"/>
      <w:marTop w:val="0"/>
      <w:marBottom w:val="0"/>
      <w:divBdr>
        <w:top w:val="none" w:sz="0" w:space="0" w:color="auto"/>
        <w:left w:val="none" w:sz="0" w:space="0" w:color="auto"/>
        <w:bottom w:val="none" w:sz="0" w:space="0" w:color="auto"/>
        <w:right w:val="none" w:sz="0" w:space="0" w:color="auto"/>
      </w:divBdr>
    </w:div>
    <w:div w:id="253900963">
      <w:bodyDiv w:val="1"/>
      <w:marLeft w:val="0"/>
      <w:marRight w:val="0"/>
      <w:marTop w:val="0"/>
      <w:marBottom w:val="0"/>
      <w:divBdr>
        <w:top w:val="none" w:sz="0" w:space="0" w:color="auto"/>
        <w:left w:val="none" w:sz="0" w:space="0" w:color="auto"/>
        <w:bottom w:val="none" w:sz="0" w:space="0" w:color="auto"/>
        <w:right w:val="none" w:sz="0" w:space="0" w:color="auto"/>
      </w:divBdr>
    </w:div>
    <w:div w:id="254023645">
      <w:bodyDiv w:val="1"/>
      <w:marLeft w:val="0"/>
      <w:marRight w:val="0"/>
      <w:marTop w:val="0"/>
      <w:marBottom w:val="0"/>
      <w:divBdr>
        <w:top w:val="none" w:sz="0" w:space="0" w:color="auto"/>
        <w:left w:val="none" w:sz="0" w:space="0" w:color="auto"/>
        <w:bottom w:val="none" w:sz="0" w:space="0" w:color="auto"/>
        <w:right w:val="none" w:sz="0" w:space="0" w:color="auto"/>
      </w:divBdr>
    </w:div>
    <w:div w:id="254097702">
      <w:bodyDiv w:val="1"/>
      <w:marLeft w:val="0"/>
      <w:marRight w:val="0"/>
      <w:marTop w:val="0"/>
      <w:marBottom w:val="0"/>
      <w:divBdr>
        <w:top w:val="none" w:sz="0" w:space="0" w:color="auto"/>
        <w:left w:val="none" w:sz="0" w:space="0" w:color="auto"/>
        <w:bottom w:val="none" w:sz="0" w:space="0" w:color="auto"/>
        <w:right w:val="none" w:sz="0" w:space="0" w:color="auto"/>
      </w:divBdr>
    </w:div>
    <w:div w:id="254245484">
      <w:bodyDiv w:val="1"/>
      <w:marLeft w:val="0"/>
      <w:marRight w:val="0"/>
      <w:marTop w:val="0"/>
      <w:marBottom w:val="0"/>
      <w:divBdr>
        <w:top w:val="none" w:sz="0" w:space="0" w:color="auto"/>
        <w:left w:val="none" w:sz="0" w:space="0" w:color="auto"/>
        <w:bottom w:val="none" w:sz="0" w:space="0" w:color="auto"/>
        <w:right w:val="none" w:sz="0" w:space="0" w:color="auto"/>
      </w:divBdr>
    </w:div>
    <w:div w:id="254364906">
      <w:bodyDiv w:val="1"/>
      <w:marLeft w:val="0"/>
      <w:marRight w:val="0"/>
      <w:marTop w:val="0"/>
      <w:marBottom w:val="0"/>
      <w:divBdr>
        <w:top w:val="none" w:sz="0" w:space="0" w:color="auto"/>
        <w:left w:val="none" w:sz="0" w:space="0" w:color="auto"/>
        <w:bottom w:val="none" w:sz="0" w:space="0" w:color="auto"/>
        <w:right w:val="none" w:sz="0" w:space="0" w:color="auto"/>
      </w:divBdr>
    </w:div>
    <w:div w:id="254555436">
      <w:bodyDiv w:val="1"/>
      <w:marLeft w:val="0"/>
      <w:marRight w:val="0"/>
      <w:marTop w:val="0"/>
      <w:marBottom w:val="0"/>
      <w:divBdr>
        <w:top w:val="none" w:sz="0" w:space="0" w:color="auto"/>
        <w:left w:val="none" w:sz="0" w:space="0" w:color="auto"/>
        <w:bottom w:val="none" w:sz="0" w:space="0" w:color="auto"/>
        <w:right w:val="none" w:sz="0" w:space="0" w:color="auto"/>
      </w:divBdr>
    </w:div>
    <w:div w:id="254705335">
      <w:bodyDiv w:val="1"/>
      <w:marLeft w:val="0"/>
      <w:marRight w:val="0"/>
      <w:marTop w:val="0"/>
      <w:marBottom w:val="0"/>
      <w:divBdr>
        <w:top w:val="none" w:sz="0" w:space="0" w:color="auto"/>
        <w:left w:val="none" w:sz="0" w:space="0" w:color="auto"/>
        <w:bottom w:val="none" w:sz="0" w:space="0" w:color="auto"/>
        <w:right w:val="none" w:sz="0" w:space="0" w:color="auto"/>
      </w:divBdr>
    </w:div>
    <w:div w:id="254748539">
      <w:bodyDiv w:val="1"/>
      <w:marLeft w:val="0"/>
      <w:marRight w:val="0"/>
      <w:marTop w:val="0"/>
      <w:marBottom w:val="0"/>
      <w:divBdr>
        <w:top w:val="none" w:sz="0" w:space="0" w:color="auto"/>
        <w:left w:val="none" w:sz="0" w:space="0" w:color="auto"/>
        <w:bottom w:val="none" w:sz="0" w:space="0" w:color="auto"/>
        <w:right w:val="none" w:sz="0" w:space="0" w:color="auto"/>
      </w:divBdr>
    </w:div>
    <w:div w:id="254754861">
      <w:bodyDiv w:val="1"/>
      <w:marLeft w:val="0"/>
      <w:marRight w:val="0"/>
      <w:marTop w:val="0"/>
      <w:marBottom w:val="0"/>
      <w:divBdr>
        <w:top w:val="none" w:sz="0" w:space="0" w:color="auto"/>
        <w:left w:val="none" w:sz="0" w:space="0" w:color="auto"/>
        <w:bottom w:val="none" w:sz="0" w:space="0" w:color="auto"/>
        <w:right w:val="none" w:sz="0" w:space="0" w:color="auto"/>
      </w:divBdr>
    </w:div>
    <w:div w:id="254824355">
      <w:bodyDiv w:val="1"/>
      <w:marLeft w:val="0"/>
      <w:marRight w:val="0"/>
      <w:marTop w:val="0"/>
      <w:marBottom w:val="0"/>
      <w:divBdr>
        <w:top w:val="none" w:sz="0" w:space="0" w:color="auto"/>
        <w:left w:val="none" w:sz="0" w:space="0" w:color="auto"/>
        <w:bottom w:val="none" w:sz="0" w:space="0" w:color="auto"/>
        <w:right w:val="none" w:sz="0" w:space="0" w:color="auto"/>
      </w:divBdr>
    </w:div>
    <w:div w:id="254830978">
      <w:bodyDiv w:val="1"/>
      <w:marLeft w:val="0"/>
      <w:marRight w:val="0"/>
      <w:marTop w:val="0"/>
      <w:marBottom w:val="0"/>
      <w:divBdr>
        <w:top w:val="none" w:sz="0" w:space="0" w:color="auto"/>
        <w:left w:val="none" w:sz="0" w:space="0" w:color="auto"/>
        <w:bottom w:val="none" w:sz="0" w:space="0" w:color="auto"/>
        <w:right w:val="none" w:sz="0" w:space="0" w:color="auto"/>
      </w:divBdr>
    </w:div>
    <w:div w:id="254831173">
      <w:bodyDiv w:val="1"/>
      <w:marLeft w:val="0"/>
      <w:marRight w:val="0"/>
      <w:marTop w:val="0"/>
      <w:marBottom w:val="0"/>
      <w:divBdr>
        <w:top w:val="none" w:sz="0" w:space="0" w:color="auto"/>
        <w:left w:val="none" w:sz="0" w:space="0" w:color="auto"/>
        <w:bottom w:val="none" w:sz="0" w:space="0" w:color="auto"/>
        <w:right w:val="none" w:sz="0" w:space="0" w:color="auto"/>
      </w:divBdr>
    </w:div>
    <w:div w:id="254831185">
      <w:bodyDiv w:val="1"/>
      <w:marLeft w:val="0"/>
      <w:marRight w:val="0"/>
      <w:marTop w:val="0"/>
      <w:marBottom w:val="0"/>
      <w:divBdr>
        <w:top w:val="none" w:sz="0" w:space="0" w:color="auto"/>
        <w:left w:val="none" w:sz="0" w:space="0" w:color="auto"/>
        <w:bottom w:val="none" w:sz="0" w:space="0" w:color="auto"/>
        <w:right w:val="none" w:sz="0" w:space="0" w:color="auto"/>
      </w:divBdr>
    </w:div>
    <w:div w:id="254941104">
      <w:bodyDiv w:val="1"/>
      <w:marLeft w:val="0"/>
      <w:marRight w:val="0"/>
      <w:marTop w:val="0"/>
      <w:marBottom w:val="0"/>
      <w:divBdr>
        <w:top w:val="none" w:sz="0" w:space="0" w:color="auto"/>
        <w:left w:val="none" w:sz="0" w:space="0" w:color="auto"/>
        <w:bottom w:val="none" w:sz="0" w:space="0" w:color="auto"/>
        <w:right w:val="none" w:sz="0" w:space="0" w:color="auto"/>
      </w:divBdr>
    </w:div>
    <w:div w:id="255066360">
      <w:bodyDiv w:val="1"/>
      <w:marLeft w:val="0"/>
      <w:marRight w:val="0"/>
      <w:marTop w:val="0"/>
      <w:marBottom w:val="0"/>
      <w:divBdr>
        <w:top w:val="none" w:sz="0" w:space="0" w:color="auto"/>
        <w:left w:val="none" w:sz="0" w:space="0" w:color="auto"/>
        <w:bottom w:val="none" w:sz="0" w:space="0" w:color="auto"/>
        <w:right w:val="none" w:sz="0" w:space="0" w:color="auto"/>
      </w:divBdr>
    </w:div>
    <w:div w:id="255094285">
      <w:bodyDiv w:val="1"/>
      <w:marLeft w:val="0"/>
      <w:marRight w:val="0"/>
      <w:marTop w:val="0"/>
      <w:marBottom w:val="0"/>
      <w:divBdr>
        <w:top w:val="none" w:sz="0" w:space="0" w:color="auto"/>
        <w:left w:val="none" w:sz="0" w:space="0" w:color="auto"/>
        <w:bottom w:val="none" w:sz="0" w:space="0" w:color="auto"/>
        <w:right w:val="none" w:sz="0" w:space="0" w:color="auto"/>
      </w:divBdr>
    </w:div>
    <w:div w:id="255141947">
      <w:bodyDiv w:val="1"/>
      <w:marLeft w:val="0"/>
      <w:marRight w:val="0"/>
      <w:marTop w:val="0"/>
      <w:marBottom w:val="0"/>
      <w:divBdr>
        <w:top w:val="none" w:sz="0" w:space="0" w:color="auto"/>
        <w:left w:val="none" w:sz="0" w:space="0" w:color="auto"/>
        <w:bottom w:val="none" w:sz="0" w:space="0" w:color="auto"/>
        <w:right w:val="none" w:sz="0" w:space="0" w:color="auto"/>
      </w:divBdr>
    </w:div>
    <w:div w:id="255292537">
      <w:bodyDiv w:val="1"/>
      <w:marLeft w:val="0"/>
      <w:marRight w:val="0"/>
      <w:marTop w:val="0"/>
      <w:marBottom w:val="0"/>
      <w:divBdr>
        <w:top w:val="none" w:sz="0" w:space="0" w:color="auto"/>
        <w:left w:val="none" w:sz="0" w:space="0" w:color="auto"/>
        <w:bottom w:val="none" w:sz="0" w:space="0" w:color="auto"/>
        <w:right w:val="none" w:sz="0" w:space="0" w:color="auto"/>
      </w:divBdr>
    </w:div>
    <w:div w:id="255603966">
      <w:bodyDiv w:val="1"/>
      <w:marLeft w:val="0"/>
      <w:marRight w:val="0"/>
      <w:marTop w:val="0"/>
      <w:marBottom w:val="0"/>
      <w:divBdr>
        <w:top w:val="none" w:sz="0" w:space="0" w:color="auto"/>
        <w:left w:val="none" w:sz="0" w:space="0" w:color="auto"/>
        <w:bottom w:val="none" w:sz="0" w:space="0" w:color="auto"/>
        <w:right w:val="none" w:sz="0" w:space="0" w:color="auto"/>
      </w:divBdr>
    </w:div>
    <w:div w:id="255746230">
      <w:bodyDiv w:val="1"/>
      <w:marLeft w:val="0"/>
      <w:marRight w:val="0"/>
      <w:marTop w:val="0"/>
      <w:marBottom w:val="0"/>
      <w:divBdr>
        <w:top w:val="none" w:sz="0" w:space="0" w:color="auto"/>
        <w:left w:val="none" w:sz="0" w:space="0" w:color="auto"/>
        <w:bottom w:val="none" w:sz="0" w:space="0" w:color="auto"/>
        <w:right w:val="none" w:sz="0" w:space="0" w:color="auto"/>
      </w:divBdr>
    </w:div>
    <w:div w:id="255791285">
      <w:bodyDiv w:val="1"/>
      <w:marLeft w:val="0"/>
      <w:marRight w:val="0"/>
      <w:marTop w:val="0"/>
      <w:marBottom w:val="0"/>
      <w:divBdr>
        <w:top w:val="none" w:sz="0" w:space="0" w:color="auto"/>
        <w:left w:val="none" w:sz="0" w:space="0" w:color="auto"/>
        <w:bottom w:val="none" w:sz="0" w:space="0" w:color="auto"/>
        <w:right w:val="none" w:sz="0" w:space="0" w:color="auto"/>
      </w:divBdr>
    </w:div>
    <w:div w:id="255870749">
      <w:bodyDiv w:val="1"/>
      <w:marLeft w:val="0"/>
      <w:marRight w:val="0"/>
      <w:marTop w:val="0"/>
      <w:marBottom w:val="0"/>
      <w:divBdr>
        <w:top w:val="none" w:sz="0" w:space="0" w:color="auto"/>
        <w:left w:val="none" w:sz="0" w:space="0" w:color="auto"/>
        <w:bottom w:val="none" w:sz="0" w:space="0" w:color="auto"/>
        <w:right w:val="none" w:sz="0" w:space="0" w:color="auto"/>
      </w:divBdr>
    </w:div>
    <w:div w:id="255942454">
      <w:bodyDiv w:val="1"/>
      <w:marLeft w:val="0"/>
      <w:marRight w:val="0"/>
      <w:marTop w:val="0"/>
      <w:marBottom w:val="0"/>
      <w:divBdr>
        <w:top w:val="none" w:sz="0" w:space="0" w:color="auto"/>
        <w:left w:val="none" w:sz="0" w:space="0" w:color="auto"/>
        <w:bottom w:val="none" w:sz="0" w:space="0" w:color="auto"/>
        <w:right w:val="none" w:sz="0" w:space="0" w:color="auto"/>
      </w:divBdr>
    </w:div>
    <w:div w:id="255985759">
      <w:bodyDiv w:val="1"/>
      <w:marLeft w:val="0"/>
      <w:marRight w:val="0"/>
      <w:marTop w:val="0"/>
      <w:marBottom w:val="0"/>
      <w:divBdr>
        <w:top w:val="none" w:sz="0" w:space="0" w:color="auto"/>
        <w:left w:val="none" w:sz="0" w:space="0" w:color="auto"/>
        <w:bottom w:val="none" w:sz="0" w:space="0" w:color="auto"/>
        <w:right w:val="none" w:sz="0" w:space="0" w:color="auto"/>
      </w:divBdr>
    </w:div>
    <w:div w:id="256015369">
      <w:bodyDiv w:val="1"/>
      <w:marLeft w:val="0"/>
      <w:marRight w:val="0"/>
      <w:marTop w:val="0"/>
      <w:marBottom w:val="0"/>
      <w:divBdr>
        <w:top w:val="none" w:sz="0" w:space="0" w:color="auto"/>
        <w:left w:val="none" w:sz="0" w:space="0" w:color="auto"/>
        <w:bottom w:val="none" w:sz="0" w:space="0" w:color="auto"/>
        <w:right w:val="none" w:sz="0" w:space="0" w:color="auto"/>
      </w:divBdr>
    </w:div>
    <w:div w:id="256059894">
      <w:bodyDiv w:val="1"/>
      <w:marLeft w:val="0"/>
      <w:marRight w:val="0"/>
      <w:marTop w:val="0"/>
      <w:marBottom w:val="0"/>
      <w:divBdr>
        <w:top w:val="none" w:sz="0" w:space="0" w:color="auto"/>
        <w:left w:val="none" w:sz="0" w:space="0" w:color="auto"/>
        <w:bottom w:val="none" w:sz="0" w:space="0" w:color="auto"/>
        <w:right w:val="none" w:sz="0" w:space="0" w:color="auto"/>
      </w:divBdr>
    </w:div>
    <w:div w:id="256060749">
      <w:bodyDiv w:val="1"/>
      <w:marLeft w:val="0"/>
      <w:marRight w:val="0"/>
      <w:marTop w:val="0"/>
      <w:marBottom w:val="0"/>
      <w:divBdr>
        <w:top w:val="none" w:sz="0" w:space="0" w:color="auto"/>
        <w:left w:val="none" w:sz="0" w:space="0" w:color="auto"/>
        <w:bottom w:val="none" w:sz="0" w:space="0" w:color="auto"/>
        <w:right w:val="none" w:sz="0" w:space="0" w:color="auto"/>
      </w:divBdr>
    </w:div>
    <w:div w:id="256403844">
      <w:bodyDiv w:val="1"/>
      <w:marLeft w:val="0"/>
      <w:marRight w:val="0"/>
      <w:marTop w:val="0"/>
      <w:marBottom w:val="0"/>
      <w:divBdr>
        <w:top w:val="none" w:sz="0" w:space="0" w:color="auto"/>
        <w:left w:val="none" w:sz="0" w:space="0" w:color="auto"/>
        <w:bottom w:val="none" w:sz="0" w:space="0" w:color="auto"/>
        <w:right w:val="none" w:sz="0" w:space="0" w:color="auto"/>
      </w:divBdr>
    </w:div>
    <w:div w:id="256405114">
      <w:bodyDiv w:val="1"/>
      <w:marLeft w:val="0"/>
      <w:marRight w:val="0"/>
      <w:marTop w:val="0"/>
      <w:marBottom w:val="0"/>
      <w:divBdr>
        <w:top w:val="none" w:sz="0" w:space="0" w:color="auto"/>
        <w:left w:val="none" w:sz="0" w:space="0" w:color="auto"/>
        <w:bottom w:val="none" w:sz="0" w:space="0" w:color="auto"/>
        <w:right w:val="none" w:sz="0" w:space="0" w:color="auto"/>
      </w:divBdr>
    </w:div>
    <w:div w:id="256406785">
      <w:bodyDiv w:val="1"/>
      <w:marLeft w:val="0"/>
      <w:marRight w:val="0"/>
      <w:marTop w:val="0"/>
      <w:marBottom w:val="0"/>
      <w:divBdr>
        <w:top w:val="none" w:sz="0" w:space="0" w:color="auto"/>
        <w:left w:val="none" w:sz="0" w:space="0" w:color="auto"/>
        <w:bottom w:val="none" w:sz="0" w:space="0" w:color="auto"/>
        <w:right w:val="none" w:sz="0" w:space="0" w:color="auto"/>
      </w:divBdr>
    </w:div>
    <w:div w:id="256525987">
      <w:bodyDiv w:val="1"/>
      <w:marLeft w:val="0"/>
      <w:marRight w:val="0"/>
      <w:marTop w:val="0"/>
      <w:marBottom w:val="0"/>
      <w:divBdr>
        <w:top w:val="none" w:sz="0" w:space="0" w:color="auto"/>
        <w:left w:val="none" w:sz="0" w:space="0" w:color="auto"/>
        <w:bottom w:val="none" w:sz="0" w:space="0" w:color="auto"/>
        <w:right w:val="none" w:sz="0" w:space="0" w:color="auto"/>
      </w:divBdr>
    </w:div>
    <w:div w:id="256791314">
      <w:bodyDiv w:val="1"/>
      <w:marLeft w:val="0"/>
      <w:marRight w:val="0"/>
      <w:marTop w:val="0"/>
      <w:marBottom w:val="0"/>
      <w:divBdr>
        <w:top w:val="none" w:sz="0" w:space="0" w:color="auto"/>
        <w:left w:val="none" w:sz="0" w:space="0" w:color="auto"/>
        <w:bottom w:val="none" w:sz="0" w:space="0" w:color="auto"/>
        <w:right w:val="none" w:sz="0" w:space="0" w:color="auto"/>
      </w:divBdr>
    </w:div>
    <w:div w:id="256912438">
      <w:bodyDiv w:val="1"/>
      <w:marLeft w:val="0"/>
      <w:marRight w:val="0"/>
      <w:marTop w:val="0"/>
      <w:marBottom w:val="0"/>
      <w:divBdr>
        <w:top w:val="none" w:sz="0" w:space="0" w:color="auto"/>
        <w:left w:val="none" w:sz="0" w:space="0" w:color="auto"/>
        <w:bottom w:val="none" w:sz="0" w:space="0" w:color="auto"/>
        <w:right w:val="none" w:sz="0" w:space="0" w:color="auto"/>
      </w:divBdr>
    </w:div>
    <w:div w:id="256985049">
      <w:bodyDiv w:val="1"/>
      <w:marLeft w:val="0"/>
      <w:marRight w:val="0"/>
      <w:marTop w:val="0"/>
      <w:marBottom w:val="0"/>
      <w:divBdr>
        <w:top w:val="none" w:sz="0" w:space="0" w:color="auto"/>
        <w:left w:val="none" w:sz="0" w:space="0" w:color="auto"/>
        <w:bottom w:val="none" w:sz="0" w:space="0" w:color="auto"/>
        <w:right w:val="none" w:sz="0" w:space="0" w:color="auto"/>
      </w:divBdr>
    </w:div>
    <w:div w:id="257063290">
      <w:bodyDiv w:val="1"/>
      <w:marLeft w:val="0"/>
      <w:marRight w:val="0"/>
      <w:marTop w:val="0"/>
      <w:marBottom w:val="0"/>
      <w:divBdr>
        <w:top w:val="none" w:sz="0" w:space="0" w:color="auto"/>
        <w:left w:val="none" w:sz="0" w:space="0" w:color="auto"/>
        <w:bottom w:val="none" w:sz="0" w:space="0" w:color="auto"/>
        <w:right w:val="none" w:sz="0" w:space="0" w:color="auto"/>
      </w:divBdr>
    </w:div>
    <w:div w:id="257258594">
      <w:bodyDiv w:val="1"/>
      <w:marLeft w:val="0"/>
      <w:marRight w:val="0"/>
      <w:marTop w:val="0"/>
      <w:marBottom w:val="0"/>
      <w:divBdr>
        <w:top w:val="none" w:sz="0" w:space="0" w:color="auto"/>
        <w:left w:val="none" w:sz="0" w:space="0" w:color="auto"/>
        <w:bottom w:val="none" w:sz="0" w:space="0" w:color="auto"/>
        <w:right w:val="none" w:sz="0" w:space="0" w:color="auto"/>
      </w:divBdr>
    </w:div>
    <w:div w:id="257445670">
      <w:bodyDiv w:val="1"/>
      <w:marLeft w:val="0"/>
      <w:marRight w:val="0"/>
      <w:marTop w:val="0"/>
      <w:marBottom w:val="0"/>
      <w:divBdr>
        <w:top w:val="none" w:sz="0" w:space="0" w:color="auto"/>
        <w:left w:val="none" w:sz="0" w:space="0" w:color="auto"/>
        <w:bottom w:val="none" w:sz="0" w:space="0" w:color="auto"/>
        <w:right w:val="none" w:sz="0" w:space="0" w:color="auto"/>
      </w:divBdr>
    </w:div>
    <w:div w:id="257519690">
      <w:bodyDiv w:val="1"/>
      <w:marLeft w:val="0"/>
      <w:marRight w:val="0"/>
      <w:marTop w:val="0"/>
      <w:marBottom w:val="0"/>
      <w:divBdr>
        <w:top w:val="none" w:sz="0" w:space="0" w:color="auto"/>
        <w:left w:val="none" w:sz="0" w:space="0" w:color="auto"/>
        <w:bottom w:val="none" w:sz="0" w:space="0" w:color="auto"/>
        <w:right w:val="none" w:sz="0" w:space="0" w:color="auto"/>
      </w:divBdr>
    </w:div>
    <w:div w:id="257562904">
      <w:bodyDiv w:val="1"/>
      <w:marLeft w:val="0"/>
      <w:marRight w:val="0"/>
      <w:marTop w:val="0"/>
      <w:marBottom w:val="0"/>
      <w:divBdr>
        <w:top w:val="none" w:sz="0" w:space="0" w:color="auto"/>
        <w:left w:val="none" w:sz="0" w:space="0" w:color="auto"/>
        <w:bottom w:val="none" w:sz="0" w:space="0" w:color="auto"/>
        <w:right w:val="none" w:sz="0" w:space="0" w:color="auto"/>
      </w:divBdr>
    </w:div>
    <w:div w:id="257565663">
      <w:bodyDiv w:val="1"/>
      <w:marLeft w:val="0"/>
      <w:marRight w:val="0"/>
      <w:marTop w:val="0"/>
      <w:marBottom w:val="0"/>
      <w:divBdr>
        <w:top w:val="none" w:sz="0" w:space="0" w:color="auto"/>
        <w:left w:val="none" w:sz="0" w:space="0" w:color="auto"/>
        <w:bottom w:val="none" w:sz="0" w:space="0" w:color="auto"/>
        <w:right w:val="none" w:sz="0" w:space="0" w:color="auto"/>
      </w:divBdr>
    </w:div>
    <w:div w:id="257637304">
      <w:bodyDiv w:val="1"/>
      <w:marLeft w:val="0"/>
      <w:marRight w:val="0"/>
      <w:marTop w:val="0"/>
      <w:marBottom w:val="0"/>
      <w:divBdr>
        <w:top w:val="none" w:sz="0" w:space="0" w:color="auto"/>
        <w:left w:val="none" w:sz="0" w:space="0" w:color="auto"/>
        <w:bottom w:val="none" w:sz="0" w:space="0" w:color="auto"/>
        <w:right w:val="none" w:sz="0" w:space="0" w:color="auto"/>
      </w:divBdr>
    </w:div>
    <w:div w:id="257643197">
      <w:bodyDiv w:val="1"/>
      <w:marLeft w:val="0"/>
      <w:marRight w:val="0"/>
      <w:marTop w:val="0"/>
      <w:marBottom w:val="0"/>
      <w:divBdr>
        <w:top w:val="none" w:sz="0" w:space="0" w:color="auto"/>
        <w:left w:val="none" w:sz="0" w:space="0" w:color="auto"/>
        <w:bottom w:val="none" w:sz="0" w:space="0" w:color="auto"/>
        <w:right w:val="none" w:sz="0" w:space="0" w:color="auto"/>
      </w:divBdr>
    </w:div>
    <w:div w:id="257643510">
      <w:bodyDiv w:val="1"/>
      <w:marLeft w:val="0"/>
      <w:marRight w:val="0"/>
      <w:marTop w:val="0"/>
      <w:marBottom w:val="0"/>
      <w:divBdr>
        <w:top w:val="none" w:sz="0" w:space="0" w:color="auto"/>
        <w:left w:val="none" w:sz="0" w:space="0" w:color="auto"/>
        <w:bottom w:val="none" w:sz="0" w:space="0" w:color="auto"/>
        <w:right w:val="none" w:sz="0" w:space="0" w:color="auto"/>
      </w:divBdr>
    </w:div>
    <w:div w:id="257713067">
      <w:bodyDiv w:val="1"/>
      <w:marLeft w:val="0"/>
      <w:marRight w:val="0"/>
      <w:marTop w:val="0"/>
      <w:marBottom w:val="0"/>
      <w:divBdr>
        <w:top w:val="none" w:sz="0" w:space="0" w:color="auto"/>
        <w:left w:val="none" w:sz="0" w:space="0" w:color="auto"/>
        <w:bottom w:val="none" w:sz="0" w:space="0" w:color="auto"/>
        <w:right w:val="none" w:sz="0" w:space="0" w:color="auto"/>
      </w:divBdr>
    </w:div>
    <w:div w:id="257719555">
      <w:bodyDiv w:val="1"/>
      <w:marLeft w:val="0"/>
      <w:marRight w:val="0"/>
      <w:marTop w:val="0"/>
      <w:marBottom w:val="0"/>
      <w:divBdr>
        <w:top w:val="none" w:sz="0" w:space="0" w:color="auto"/>
        <w:left w:val="none" w:sz="0" w:space="0" w:color="auto"/>
        <w:bottom w:val="none" w:sz="0" w:space="0" w:color="auto"/>
        <w:right w:val="none" w:sz="0" w:space="0" w:color="auto"/>
      </w:divBdr>
    </w:div>
    <w:div w:id="257719857">
      <w:bodyDiv w:val="1"/>
      <w:marLeft w:val="0"/>
      <w:marRight w:val="0"/>
      <w:marTop w:val="0"/>
      <w:marBottom w:val="0"/>
      <w:divBdr>
        <w:top w:val="none" w:sz="0" w:space="0" w:color="auto"/>
        <w:left w:val="none" w:sz="0" w:space="0" w:color="auto"/>
        <w:bottom w:val="none" w:sz="0" w:space="0" w:color="auto"/>
        <w:right w:val="none" w:sz="0" w:space="0" w:color="auto"/>
      </w:divBdr>
    </w:div>
    <w:div w:id="257760937">
      <w:bodyDiv w:val="1"/>
      <w:marLeft w:val="0"/>
      <w:marRight w:val="0"/>
      <w:marTop w:val="0"/>
      <w:marBottom w:val="0"/>
      <w:divBdr>
        <w:top w:val="none" w:sz="0" w:space="0" w:color="auto"/>
        <w:left w:val="none" w:sz="0" w:space="0" w:color="auto"/>
        <w:bottom w:val="none" w:sz="0" w:space="0" w:color="auto"/>
        <w:right w:val="none" w:sz="0" w:space="0" w:color="auto"/>
      </w:divBdr>
    </w:div>
    <w:div w:id="257830815">
      <w:bodyDiv w:val="1"/>
      <w:marLeft w:val="0"/>
      <w:marRight w:val="0"/>
      <w:marTop w:val="0"/>
      <w:marBottom w:val="0"/>
      <w:divBdr>
        <w:top w:val="none" w:sz="0" w:space="0" w:color="auto"/>
        <w:left w:val="none" w:sz="0" w:space="0" w:color="auto"/>
        <w:bottom w:val="none" w:sz="0" w:space="0" w:color="auto"/>
        <w:right w:val="none" w:sz="0" w:space="0" w:color="auto"/>
      </w:divBdr>
    </w:div>
    <w:div w:id="257913198">
      <w:bodyDiv w:val="1"/>
      <w:marLeft w:val="0"/>
      <w:marRight w:val="0"/>
      <w:marTop w:val="0"/>
      <w:marBottom w:val="0"/>
      <w:divBdr>
        <w:top w:val="none" w:sz="0" w:space="0" w:color="auto"/>
        <w:left w:val="none" w:sz="0" w:space="0" w:color="auto"/>
        <w:bottom w:val="none" w:sz="0" w:space="0" w:color="auto"/>
        <w:right w:val="none" w:sz="0" w:space="0" w:color="auto"/>
      </w:divBdr>
    </w:div>
    <w:div w:id="257913999">
      <w:bodyDiv w:val="1"/>
      <w:marLeft w:val="0"/>
      <w:marRight w:val="0"/>
      <w:marTop w:val="0"/>
      <w:marBottom w:val="0"/>
      <w:divBdr>
        <w:top w:val="none" w:sz="0" w:space="0" w:color="auto"/>
        <w:left w:val="none" w:sz="0" w:space="0" w:color="auto"/>
        <w:bottom w:val="none" w:sz="0" w:space="0" w:color="auto"/>
        <w:right w:val="none" w:sz="0" w:space="0" w:color="auto"/>
      </w:divBdr>
    </w:div>
    <w:div w:id="258027683">
      <w:bodyDiv w:val="1"/>
      <w:marLeft w:val="0"/>
      <w:marRight w:val="0"/>
      <w:marTop w:val="0"/>
      <w:marBottom w:val="0"/>
      <w:divBdr>
        <w:top w:val="none" w:sz="0" w:space="0" w:color="auto"/>
        <w:left w:val="none" w:sz="0" w:space="0" w:color="auto"/>
        <w:bottom w:val="none" w:sz="0" w:space="0" w:color="auto"/>
        <w:right w:val="none" w:sz="0" w:space="0" w:color="auto"/>
      </w:divBdr>
    </w:div>
    <w:div w:id="258030275">
      <w:bodyDiv w:val="1"/>
      <w:marLeft w:val="0"/>
      <w:marRight w:val="0"/>
      <w:marTop w:val="0"/>
      <w:marBottom w:val="0"/>
      <w:divBdr>
        <w:top w:val="none" w:sz="0" w:space="0" w:color="auto"/>
        <w:left w:val="none" w:sz="0" w:space="0" w:color="auto"/>
        <w:bottom w:val="none" w:sz="0" w:space="0" w:color="auto"/>
        <w:right w:val="none" w:sz="0" w:space="0" w:color="auto"/>
      </w:divBdr>
    </w:div>
    <w:div w:id="258176537">
      <w:bodyDiv w:val="1"/>
      <w:marLeft w:val="0"/>
      <w:marRight w:val="0"/>
      <w:marTop w:val="0"/>
      <w:marBottom w:val="0"/>
      <w:divBdr>
        <w:top w:val="none" w:sz="0" w:space="0" w:color="auto"/>
        <w:left w:val="none" w:sz="0" w:space="0" w:color="auto"/>
        <w:bottom w:val="none" w:sz="0" w:space="0" w:color="auto"/>
        <w:right w:val="none" w:sz="0" w:space="0" w:color="auto"/>
      </w:divBdr>
    </w:div>
    <w:div w:id="258215982">
      <w:bodyDiv w:val="1"/>
      <w:marLeft w:val="0"/>
      <w:marRight w:val="0"/>
      <w:marTop w:val="0"/>
      <w:marBottom w:val="0"/>
      <w:divBdr>
        <w:top w:val="none" w:sz="0" w:space="0" w:color="auto"/>
        <w:left w:val="none" w:sz="0" w:space="0" w:color="auto"/>
        <w:bottom w:val="none" w:sz="0" w:space="0" w:color="auto"/>
        <w:right w:val="none" w:sz="0" w:space="0" w:color="auto"/>
      </w:divBdr>
    </w:div>
    <w:div w:id="258217901">
      <w:bodyDiv w:val="1"/>
      <w:marLeft w:val="0"/>
      <w:marRight w:val="0"/>
      <w:marTop w:val="0"/>
      <w:marBottom w:val="0"/>
      <w:divBdr>
        <w:top w:val="none" w:sz="0" w:space="0" w:color="auto"/>
        <w:left w:val="none" w:sz="0" w:space="0" w:color="auto"/>
        <w:bottom w:val="none" w:sz="0" w:space="0" w:color="auto"/>
        <w:right w:val="none" w:sz="0" w:space="0" w:color="auto"/>
      </w:divBdr>
    </w:div>
    <w:div w:id="258417580">
      <w:bodyDiv w:val="1"/>
      <w:marLeft w:val="0"/>
      <w:marRight w:val="0"/>
      <w:marTop w:val="0"/>
      <w:marBottom w:val="0"/>
      <w:divBdr>
        <w:top w:val="none" w:sz="0" w:space="0" w:color="auto"/>
        <w:left w:val="none" w:sz="0" w:space="0" w:color="auto"/>
        <w:bottom w:val="none" w:sz="0" w:space="0" w:color="auto"/>
        <w:right w:val="none" w:sz="0" w:space="0" w:color="auto"/>
      </w:divBdr>
    </w:div>
    <w:div w:id="258486970">
      <w:bodyDiv w:val="1"/>
      <w:marLeft w:val="0"/>
      <w:marRight w:val="0"/>
      <w:marTop w:val="0"/>
      <w:marBottom w:val="0"/>
      <w:divBdr>
        <w:top w:val="none" w:sz="0" w:space="0" w:color="auto"/>
        <w:left w:val="none" w:sz="0" w:space="0" w:color="auto"/>
        <w:bottom w:val="none" w:sz="0" w:space="0" w:color="auto"/>
        <w:right w:val="none" w:sz="0" w:space="0" w:color="auto"/>
      </w:divBdr>
    </w:div>
    <w:div w:id="258566160">
      <w:bodyDiv w:val="1"/>
      <w:marLeft w:val="0"/>
      <w:marRight w:val="0"/>
      <w:marTop w:val="0"/>
      <w:marBottom w:val="0"/>
      <w:divBdr>
        <w:top w:val="none" w:sz="0" w:space="0" w:color="auto"/>
        <w:left w:val="none" w:sz="0" w:space="0" w:color="auto"/>
        <w:bottom w:val="none" w:sz="0" w:space="0" w:color="auto"/>
        <w:right w:val="none" w:sz="0" w:space="0" w:color="auto"/>
      </w:divBdr>
    </w:div>
    <w:div w:id="258611386">
      <w:bodyDiv w:val="1"/>
      <w:marLeft w:val="0"/>
      <w:marRight w:val="0"/>
      <w:marTop w:val="0"/>
      <w:marBottom w:val="0"/>
      <w:divBdr>
        <w:top w:val="none" w:sz="0" w:space="0" w:color="auto"/>
        <w:left w:val="none" w:sz="0" w:space="0" w:color="auto"/>
        <w:bottom w:val="none" w:sz="0" w:space="0" w:color="auto"/>
        <w:right w:val="none" w:sz="0" w:space="0" w:color="auto"/>
      </w:divBdr>
    </w:div>
    <w:div w:id="258679143">
      <w:bodyDiv w:val="1"/>
      <w:marLeft w:val="0"/>
      <w:marRight w:val="0"/>
      <w:marTop w:val="0"/>
      <w:marBottom w:val="0"/>
      <w:divBdr>
        <w:top w:val="none" w:sz="0" w:space="0" w:color="auto"/>
        <w:left w:val="none" w:sz="0" w:space="0" w:color="auto"/>
        <w:bottom w:val="none" w:sz="0" w:space="0" w:color="auto"/>
        <w:right w:val="none" w:sz="0" w:space="0" w:color="auto"/>
      </w:divBdr>
    </w:div>
    <w:div w:id="258828477">
      <w:bodyDiv w:val="1"/>
      <w:marLeft w:val="0"/>
      <w:marRight w:val="0"/>
      <w:marTop w:val="0"/>
      <w:marBottom w:val="0"/>
      <w:divBdr>
        <w:top w:val="none" w:sz="0" w:space="0" w:color="auto"/>
        <w:left w:val="none" w:sz="0" w:space="0" w:color="auto"/>
        <w:bottom w:val="none" w:sz="0" w:space="0" w:color="auto"/>
        <w:right w:val="none" w:sz="0" w:space="0" w:color="auto"/>
      </w:divBdr>
    </w:div>
    <w:div w:id="258950836">
      <w:bodyDiv w:val="1"/>
      <w:marLeft w:val="0"/>
      <w:marRight w:val="0"/>
      <w:marTop w:val="0"/>
      <w:marBottom w:val="0"/>
      <w:divBdr>
        <w:top w:val="none" w:sz="0" w:space="0" w:color="auto"/>
        <w:left w:val="none" w:sz="0" w:space="0" w:color="auto"/>
        <w:bottom w:val="none" w:sz="0" w:space="0" w:color="auto"/>
        <w:right w:val="none" w:sz="0" w:space="0" w:color="auto"/>
      </w:divBdr>
    </w:div>
    <w:div w:id="259069868">
      <w:bodyDiv w:val="1"/>
      <w:marLeft w:val="0"/>
      <w:marRight w:val="0"/>
      <w:marTop w:val="0"/>
      <w:marBottom w:val="0"/>
      <w:divBdr>
        <w:top w:val="none" w:sz="0" w:space="0" w:color="auto"/>
        <w:left w:val="none" w:sz="0" w:space="0" w:color="auto"/>
        <w:bottom w:val="none" w:sz="0" w:space="0" w:color="auto"/>
        <w:right w:val="none" w:sz="0" w:space="0" w:color="auto"/>
      </w:divBdr>
    </w:div>
    <w:div w:id="259139867">
      <w:bodyDiv w:val="1"/>
      <w:marLeft w:val="0"/>
      <w:marRight w:val="0"/>
      <w:marTop w:val="0"/>
      <w:marBottom w:val="0"/>
      <w:divBdr>
        <w:top w:val="none" w:sz="0" w:space="0" w:color="auto"/>
        <w:left w:val="none" w:sz="0" w:space="0" w:color="auto"/>
        <w:bottom w:val="none" w:sz="0" w:space="0" w:color="auto"/>
        <w:right w:val="none" w:sz="0" w:space="0" w:color="auto"/>
      </w:divBdr>
    </w:div>
    <w:div w:id="259217246">
      <w:bodyDiv w:val="1"/>
      <w:marLeft w:val="0"/>
      <w:marRight w:val="0"/>
      <w:marTop w:val="0"/>
      <w:marBottom w:val="0"/>
      <w:divBdr>
        <w:top w:val="none" w:sz="0" w:space="0" w:color="auto"/>
        <w:left w:val="none" w:sz="0" w:space="0" w:color="auto"/>
        <w:bottom w:val="none" w:sz="0" w:space="0" w:color="auto"/>
        <w:right w:val="none" w:sz="0" w:space="0" w:color="auto"/>
      </w:divBdr>
    </w:div>
    <w:div w:id="259223660">
      <w:bodyDiv w:val="1"/>
      <w:marLeft w:val="0"/>
      <w:marRight w:val="0"/>
      <w:marTop w:val="0"/>
      <w:marBottom w:val="0"/>
      <w:divBdr>
        <w:top w:val="none" w:sz="0" w:space="0" w:color="auto"/>
        <w:left w:val="none" w:sz="0" w:space="0" w:color="auto"/>
        <w:bottom w:val="none" w:sz="0" w:space="0" w:color="auto"/>
        <w:right w:val="none" w:sz="0" w:space="0" w:color="auto"/>
      </w:divBdr>
    </w:div>
    <w:div w:id="259223854">
      <w:bodyDiv w:val="1"/>
      <w:marLeft w:val="0"/>
      <w:marRight w:val="0"/>
      <w:marTop w:val="0"/>
      <w:marBottom w:val="0"/>
      <w:divBdr>
        <w:top w:val="none" w:sz="0" w:space="0" w:color="auto"/>
        <w:left w:val="none" w:sz="0" w:space="0" w:color="auto"/>
        <w:bottom w:val="none" w:sz="0" w:space="0" w:color="auto"/>
        <w:right w:val="none" w:sz="0" w:space="0" w:color="auto"/>
      </w:divBdr>
    </w:div>
    <w:div w:id="259260750">
      <w:bodyDiv w:val="1"/>
      <w:marLeft w:val="0"/>
      <w:marRight w:val="0"/>
      <w:marTop w:val="0"/>
      <w:marBottom w:val="0"/>
      <w:divBdr>
        <w:top w:val="none" w:sz="0" w:space="0" w:color="auto"/>
        <w:left w:val="none" w:sz="0" w:space="0" w:color="auto"/>
        <w:bottom w:val="none" w:sz="0" w:space="0" w:color="auto"/>
        <w:right w:val="none" w:sz="0" w:space="0" w:color="auto"/>
      </w:divBdr>
    </w:div>
    <w:div w:id="259290476">
      <w:bodyDiv w:val="1"/>
      <w:marLeft w:val="0"/>
      <w:marRight w:val="0"/>
      <w:marTop w:val="0"/>
      <w:marBottom w:val="0"/>
      <w:divBdr>
        <w:top w:val="none" w:sz="0" w:space="0" w:color="auto"/>
        <w:left w:val="none" w:sz="0" w:space="0" w:color="auto"/>
        <w:bottom w:val="none" w:sz="0" w:space="0" w:color="auto"/>
        <w:right w:val="none" w:sz="0" w:space="0" w:color="auto"/>
      </w:divBdr>
    </w:div>
    <w:div w:id="259458857">
      <w:bodyDiv w:val="1"/>
      <w:marLeft w:val="0"/>
      <w:marRight w:val="0"/>
      <w:marTop w:val="0"/>
      <w:marBottom w:val="0"/>
      <w:divBdr>
        <w:top w:val="none" w:sz="0" w:space="0" w:color="auto"/>
        <w:left w:val="none" w:sz="0" w:space="0" w:color="auto"/>
        <w:bottom w:val="none" w:sz="0" w:space="0" w:color="auto"/>
        <w:right w:val="none" w:sz="0" w:space="0" w:color="auto"/>
      </w:divBdr>
    </w:div>
    <w:div w:id="259529375">
      <w:bodyDiv w:val="1"/>
      <w:marLeft w:val="0"/>
      <w:marRight w:val="0"/>
      <w:marTop w:val="0"/>
      <w:marBottom w:val="0"/>
      <w:divBdr>
        <w:top w:val="none" w:sz="0" w:space="0" w:color="auto"/>
        <w:left w:val="none" w:sz="0" w:space="0" w:color="auto"/>
        <w:bottom w:val="none" w:sz="0" w:space="0" w:color="auto"/>
        <w:right w:val="none" w:sz="0" w:space="0" w:color="auto"/>
      </w:divBdr>
    </w:div>
    <w:div w:id="259681646">
      <w:bodyDiv w:val="1"/>
      <w:marLeft w:val="0"/>
      <w:marRight w:val="0"/>
      <w:marTop w:val="0"/>
      <w:marBottom w:val="0"/>
      <w:divBdr>
        <w:top w:val="none" w:sz="0" w:space="0" w:color="auto"/>
        <w:left w:val="none" w:sz="0" w:space="0" w:color="auto"/>
        <w:bottom w:val="none" w:sz="0" w:space="0" w:color="auto"/>
        <w:right w:val="none" w:sz="0" w:space="0" w:color="auto"/>
      </w:divBdr>
    </w:div>
    <w:div w:id="259721321">
      <w:bodyDiv w:val="1"/>
      <w:marLeft w:val="0"/>
      <w:marRight w:val="0"/>
      <w:marTop w:val="0"/>
      <w:marBottom w:val="0"/>
      <w:divBdr>
        <w:top w:val="none" w:sz="0" w:space="0" w:color="auto"/>
        <w:left w:val="none" w:sz="0" w:space="0" w:color="auto"/>
        <w:bottom w:val="none" w:sz="0" w:space="0" w:color="auto"/>
        <w:right w:val="none" w:sz="0" w:space="0" w:color="auto"/>
      </w:divBdr>
    </w:div>
    <w:div w:id="259795208">
      <w:bodyDiv w:val="1"/>
      <w:marLeft w:val="0"/>
      <w:marRight w:val="0"/>
      <w:marTop w:val="0"/>
      <w:marBottom w:val="0"/>
      <w:divBdr>
        <w:top w:val="none" w:sz="0" w:space="0" w:color="auto"/>
        <w:left w:val="none" w:sz="0" w:space="0" w:color="auto"/>
        <w:bottom w:val="none" w:sz="0" w:space="0" w:color="auto"/>
        <w:right w:val="none" w:sz="0" w:space="0" w:color="auto"/>
      </w:divBdr>
    </w:div>
    <w:div w:id="259800768">
      <w:bodyDiv w:val="1"/>
      <w:marLeft w:val="0"/>
      <w:marRight w:val="0"/>
      <w:marTop w:val="0"/>
      <w:marBottom w:val="0"/>
      <w:divBdr>
        <w:top w:val="none" w:sz="0" w:space="0" w:color="auto"/>
        <w:left w:val="none" w:sz="0" w:space="0" w:color="auto"/>
        <w:bottom w:val="none" w:sz="0" w:space="0" w:color="auto"/>
        <w:right w:val="none" w:sz="0" w:space="0" w:color="auto"/>
      </w:divBdr>
    </w:div>
    <w:div w:id="259873254">
      <w:bodyDiv w:val="1"/>
      <w:marLeft w:val="0"/>
      <w:marRight w:val="0"/>
      <w:marTop w:val="0"/>
      <w:marBottom w:val="0"/>
      <w:divBdr>
        <w:top w:val="none" w:sz="0" w:space="0" w:color="auto"/>
        <w:left w:val="none" w:sz="0" w:space="0" w:color="auto"/>
        <w:bottom w:val="none" w:sz="0" w:space="0" w:color="auto"/>
        <w:right w:val="none" w:sz="0" w:space="0" w:color="auto"/>
      </w:divBdr>
    </w:div>
    <w:div w:id="259879362">
      <w:bodyDiv w:val="1"/>
      <w:marLeft w:val="0"/>
      <w:marRight w:val="0"/>
      <w:marTop w:val="0"/>
      <w:marBottom w:val="0"/>
      <w:divBdr>
        <w:top w:val="none" w:sz="0" w:space="0" w:color="auto"/>
        <w:left w:val="none" w:sz="0" w:space="0" w:color="auto"/>
        <w:bottom w:val="none" w:sz="0" w:space="0" w:color="auto"/>
        <w:right w:val="none" w:sz="0" w:space="0" w:color="auto"/>
      </w:divBdr>
    </w:div>
    <w:div w:id="259918064">
      <w:bodyDiv w:val="1"/>
      <w:marLeft w:val="0"/>
      <w:marRight w:val="0"/>
      <w:marTop w:val="0"/>
      <w:marBottom w:val="0"/>
      <w:divBdr>
        <w:top w:val="none" w:sz="0" w:space="0" w:color="auto"/>
        <w:left w:val="none" w:sz="0" w:space="0" w:color="auto"/>
        <w:bottom w:val="none" w:sz="0" w:space="0" w:color="auto"/>
        <w:right w:val="none" w:sz="0" w:space="0" w:color="auto"/>
      </w:divBdr>
    </w:div>
    <w:div w:id="259947507">
      <w:bodyDiv w:val="1"/>
      <w:marLeft w:val="0"/>
      <w:marRight w:val="0"/>
      <w:marTop w:val="0"/>
      <w:marBottom w:val="0"/>
      <w:divBdr>
        <w:top w:val="none" w:sz="0" w:space="0" w:color="auto"/>
        <w:left w:val="none" w:sz="0" w:space="0" w:color="auto"/>
        <w:bottom w:val="none" w:sz="0" w:space="0" w:color="auto"/>
        <w:right w:val="none" w:sz="0" w:space="0" w:color="auto"/>
      </w:divBdr>
    </w:div>
    <w:div w:id="259995392">
      <w:bodyDiv w:val="1"/>
      <w:marLeft w:val="0"/>
      <w:marRight w:val="0"/>
      <w:marTop w:val="0"/>
      <w:marBottom w:val="0"/>
      <w:divBdr>
        <w:top w:val="none" w:sz="0" w:space="0" w:color="auto"/>
        <w:left w:val="none" w:sz="0" w:space="0" w:color="auto"/>
        <w:bottom w:val="none" w:sz="0" w:space="0" w:color="auto"/>
        <w:right w:val="none" w:sz="0" w:space="0" w:color="auto"/>
      </w:divBdr>
    </w:div>
    <w:div w:id="259997121">
      <w:bodyDiv w:val="1"/>
      <w:marLeft w:val="0"/>
      <w:marRight w:val="0"/>
      <w:marTop w:val="0"/>
      <w:marBottom w:val="0"/>
      <w:divBdr>
        <w:top w:val="none" w:sz="0" w:space="0" w:color="auto"/>
        <w:left w:val="none" w:sz="0" w:space="0" w:color="auto"/>
        <w:bottom w:val="none" w:sz="0" w:space="0" w:color="auto"/>
        <w:right w:val="none" w:sz="0" w:space="0" w:color="auto"/>
      </w:divBdr>
    </w:div>
    <w:div w:id="260072839">
      <w:bodyDiv w:val="1"/>
      <w:marLeft w:val="0"/>
      <w:marRight w:val="0"/>
      <w:marTop w:val="0"/>
      <w:marBottom w:val="0"/>
      <w:divBdr>
        <w:top w:val="none" w:sz="0" w:space="0" w:color="auto"/>
        <w:left w:val="none" w:sz="0" w:space="0" w:color="auto"/>
        <w:bottom w:val="none" w:sz="0" w:space="0" w:color="auto"/>
        <w:right w:val="none" w:sz="0" w:space="0" w:color="auto"/>
      </w:divBdr>
    </w:div>
    <w:div w:id="260072987">
      <w:bodyDiv w:val="1"/>
      <w:marLeft w:val="0"/>
      <w:marRight w:val="0"/>
      <w:marTop w:val="0"/>
      <w:marBottom w:val="0"/>
      <w:divBdr>
        <w:top w:val="none" w:sz="0" w:space="0" w:color="auto"/>
        <w:left w:val="none" w:sz="0" w:space="0" w:color="auto"/>
        <w:bottom w:val="none" w:sz="0" w:space="0" w:color="auto"/>
        <w:right w:val="none" w:sz="0" w:space="0" w:color="auto"/>
      </w:divBdr>
    </w:div>
    <w:div w:id="260114926">
      <w:bodyDiv w:val="1"/>
      <w:marLeft w:val="0"/>
      <w:marRight w:val="0"/>
      <w:marTop w:val="0"/>
      <w:marBottom w:val="0"/>
      <w:divBdr>
        <w:top w:val="none" w:sz="0" w:space="0" w:color="auto"/>
        <w:left w:val="none" w:sz="0" w:space="0" w:color="auto"/>
        <w:bottom w:val="none" w:sz="0" w:space="0" w:color="auto"/>
        <w:right w:val="none" w:sz="0" w:space="0" w:color="auto"/>
      </w:divBdr>
    </w:div>
    <w:div w:id="260188561">
      <w:bodyDiv w:val="1"/>
      <w:marLeft w:val="0"/>
      <w:marRight w:val="0"/>
      <w:marTop w:val="0"/>
      <w:marBottom w:val="0"/>
      <w:divBdr>
        <w:top w:val="none" w:sz="0" w:space="0" w:color="auto"/>
        <w:left w:val="none" w:sz="0" w:space="0" w:color="auto"/>
        <w:bottom w:val="none" w:sz="0" w:space="0" w:color="auto"/>
        <w:right w:val="none" w:sz="0" w:space="0" w:color="auto"/>
      </w:divBdr>
    </w:div>
    <w:div w:id="260264379">
      <w:bodyDiv w:val="1"/>
      <w:marLeft w:val="0"/>
      <w:marRight w:val="0"/>
      <w:marTop w:val="0"/>
      <w:marBottom w:val="0"/>
      <w:divBdr>
        <w:top w:val="none" w:sz="0" w:space="0" w:color="auto"/>
        <w:left w:val="none" w:sz="0" w:space="0" w:color="auto"/>
        <w:bottom w:val="none" w:sz="0" w:space="0" w:color="auto"/>
        <w:right w:val="none" w:sz="0" w:space="0" w:color="auto"/>
      </w:divBdr>
    </w:div>
    <w:div w:id="260336200">
      <w:bodyDiv w:val="1"/>
      <w:marLeft w:val="0"/>
      <w:marRight w:val="0"/>
      <w:marTop w:val="0"/>
      <w:marBottom w:val="0"/>
      <w:divBdr>
        <w:top w:val="none" w:sz="0" w:space="0" w:color="auto"/>
        <w:left w:val="none" w:sz="0" w:space="0" w:color="auto"/>
        <w:bottom w:val="none" w:sz="0" w:space="0" w:color="auto"/>
        <w:right w:val="none" w:sz="0" w:space="0" w:color="auto"/>
      </w:divBdr>
    </w:div>
    <w:div w:id="260377572">
      <w:bodyDiv w:val="1"/>
      <w:marLeft w:val="0"/>
      <w:marRight w:val="0"/>
      <w:marTop w:val="0"/>
      <w:marBottom w:val="0"/>
      <w:divBdr>
        <w:top w:val="none" w:sz="0" w:space="0" w:color="auto"/>
        <w:left w:val="none" w:sz="0" w:space="0" w:color="auto"/>
        <w:bottom w:val="none" w:sz="0" w:space="0" w:color="auto"/>
        <w:right w:val="none" w:sz="0" w:space="0" w:color="auto"/>
      </w:divBdr>
    </w:div>
    <w:div w:id="260527751">
      <w:bodyDiv w:val="1"/>
      <w:marLeft w:val="0"/>
      <w:marRight w:val="0"/>
      <w:marTop w:val="0"/>
      <w:marBottom w:val="0"/>
      <w:divBdr>
        <w:top w:val="none" w:sz="0" w:space="0" w:color="auto"/>
        <w:left w:val="none" w:sz="0" w:space="0" w:color="auto"/>
        <w:bottom w:val="none" w:sz="0" w:space="0" w:color="auto"/>
        <w:right w:val="none" w:sz="0" w:space="0" w:color="auto"/>
      </w:divBdr>
    </w:div>
    <w:div w:id="260576820">
      <w:bodyDiv w:val="1"/>
      <w:marLeft w:val="0"/>
      <w:marRight w:val="0"/>
      <w:marTop w:val="0"/>
      <w:marBottom w:val="0"/>
      <w:divBdr>
        <w:top w:val="none" w:sz="0" w:space="0" w:color="auto"/>
        <w:left w:val="none" w:sz="0" w:space="0" w:color="auto"/>
        <w:bottom w:val="none" w:sz="0" w:space="0" w:color="auto"/>
        <w:right w:val="none" w:sz="0" w:space="0" w:color="auto"/>
      </w:divBdr>
    </w:div>
    <w:div w:id="260723301">
      <w:bodyDiv w:val="1"/>
      <w:marLeft w:val="0"/>
      <w:marRight w:val="0"/>
      <w:marTop w:val="0"/>
      <w:marBottom w:val="0"/>
      <w:divBdr>
        <w:top w:val="none" w:sz="0" w:space="0" w:color="auto"/>
        <w:left w:val="none" w:sz="0" w:space="0" w:color="auto"/>
        <w:bottom w:val="none" w:sz="0" w:space="0" w:color="auto"/>
        <w:right w:val="none" w:sz="0" w:space="0" w:color="auto"/>
      </w:divBdr>
    </w:div>
    <w:div w:id="260840196">
      <w:bodyDiv w:val="1"/>
      <w:marLeft w:val="0"/>
      <w:marRight w:val="0"/>
      <w:marTop w:val="0"/>
      <w:marBottom w:val="0"/>
      <w:divBdr>
        <w:top w:val="none" w:sz="0" w:space="0" w:color="auto"/>
        <w:left w:val="none" w:sz="0" w:space="0" w:color="auto"/>
        <w:bottom w:val="none" w:sz="0" w:space="0" w:color="auto"/>
        <w:right w:val="none" w:sz="0" w:space="0" w:color="auto"/>
      </w:divBdr>
    </w:div>
    <w:div w:id="260913066">
      <w:bodyDiv w:val="1"/>
      <w:marLeft w:val="0"/>
      <w:marRight w:val="0"/>
      <w:marTop w:val="0"/>
      <w:marBottom w:val="0"/>
      <w:divBdr>
        <w:top w:val="none" w:sz="0" w:space="0" w:color="auto"/>
        <w:left w:val="none" w:sz="0" w:space="0" w:color="auto"/>
        <w:bottom w:val="none" w:sz="0" w:space="0" w:color="auto"/>
        <w:right w:val="none" w:sz="0" w:space="0" w:color="auto"/>
      </w:divBdr>
    </w:div>
    <w:div w:id="261035149">
      <w:bodyDiv w:val="1"/>
      <w:marLeft w:val="0"/>
      <w:marRight w:val="0"/>
      <w:marTop w:val="0"/>
      <w:marBottom w:val="0"/>
      <w:divBdr>
        <w:top w:val="none" w:sz="0" w:space="0" w:color="auto"/>
        <w:left w:val="none" w:sz="0" w:space="0" w:color="auto"/>
        <w:bottom w:val="none" w:sz="0" w:space="0" w:color="auto"/>
        <w:right w:val="none" w:sz="0" w:space="0" w:color="auto"/>
      </w:divBdr>
    </w:div>
    <w:div w:id="261114192">
      <w:bodyDiv w:val="1"/>
      <w:marLeft w:val="0"/>
      <w:marRight w:val="0"/>
      <w:marTop w:val="0"/>
      <w:marBottom w:val="0"/>
      <w:divBdr>
        <w:top w:val="none" w:sz="0" w:space="0" w:color="auto"/>
        <w:left w:val="none" w:sz="0" w:space="0" w:color="auto"/>
        <w:bottom w:val="none" w:sz="0" w:space="0" w:color="auto"/>
        <w:right w:val="none" w:sz="0" w:space="0" w:color="auto"/>
      </w:divBdr>
    </w:div>
    <w:div w:id="261181757">
      <w:bodyDiv w:val="1"/>
      <w:marLeft w:val="0"/>
      <w:marRight w:val="0"/>
      <w:marTop w:val="0"/>
      <w:marBottom w:val="0"/>
      <w:divBdr>
        <w:top w:val="none" w:sz="0" w:space="0" w:color="auto"/>
        <w:left w:val="none" w:sz="0" w:space="0" w:color="auto"/>
        <w:bottom w:val="none" w:sz="0" w:space="0" w:color="auto"/>
        <w:right w:val="none" w:sz="0" w:space="0" w:color="auto"/>
      </w:divBdr>
    </w:div>
    <w:div w:id="261185007">
      <w:bodyDiv w:val="1"/>
      <w:marLeft w:val="0"/>
      <w:marRight w:val="0"/>
      <w:marTop w:val="0"/>
      <w:marBottom w:val="0"/>
      <w:divBdr>
        <w:top w:val="none" w:sz="0" w:space="0" w:color="auto"/>
        <w:left w:val="none" w:sz="0" w:space="0" w:color="auto"/>
        <w:bottom w:val="none" w:sz="0" w:space="0" w:color="auto"/>
        <w:right w:val="none" w:sz="0" w:space="0" w:color="auto"/>
      </w:divBdr>
    </w:div>
    <w:div w:id="261186810">
      <w:bodyDiv w:val="1"/>
      <w:marLeft w:val="0"/>
      <w:marRight w:val="0"/>
      <w:marTop w:val="0"/>
      <w:marBottom w:val="0"/>
      <w:divBdr>
        <w:top w:val="none" w:sz="0" w:space="0" w:color="auto"/>
        <w:left w:val="none" w:sz="0" w:space="0" w:color="auto"/>
        <w:bottom w:val="none" w:sz="0" w:space="0" w:color="auto"/>
        <w:right w:val="none" w:sz="0" w:space="0" w:color="auto"/>
      </w:divBdr>
    </w:div>
    <w:div w:id="261189752">
      <w:bodyDiv w:val="1"/>
      <w:marLeft w:val="0"/>
      <w:marRight w:val="0"/>
      <w:marTop w:val="0"/>
      <w:marBottom w:val="0"/>
      <w:divBdr>
        <w:top w:val="none" w:sz="0" w:space="0" w:color="auto"/>
        <w:left w:val="none" w:sz="0" w:space="0" w:color="auto"/>
        <w:bottom w:val="none" w:sz="0" w:space="0" w:color="auto"/>
        <w:right w:val="none" w:sz="0" w:space="0" w:color="auto"/>
      </w:divBdr>
    </w:div>
    <w:div w:id="261449954">
      <w:bodyDiv w:val="1"/>
      <w:marLeft w:val="0"/>
      <w:marRight w:val="0"/>
      <w:marTop w:val="0"/>
      <w:marBottom w:val="0"/>
      <w:divBdr>
        <w:top w:val="none" w:sz="0" w:space="0" w:color="auto"/>
        <w:left w:val="none" w:sz="0" w:space="0" w:color="auto"/>
        <w:bottom w:val="none" w:sz="0" w:space="0" w:color="auto"/>
        <w:right w:val="none" w:sz="0" w:space="0" w:color="auto"/>
      </w:divBdr>
    </w:div>
    <w:div w:id="261495397">
      <w:bodyDiv w:val="1"/>
      <w:marLeft w:val="0"/>
      <w:marRight w:val="0"/>
      <w:marTop w:val="0"/>
      <w:marBottom w:val="0"/>
      <w:divBdr>
        <w:top w:val="none" w:sz="0" w:space="0" w:color="auto"/>
        <w:left w:val="none" w:sz="0" w:space="0" w:color="auto"/>
        <w:bottom w:val="none" w:sz="0" w:space="0" w:color="auto"/>
        <w:right w:val="none" w:sz="0" w:space="0" w:color="auto"/>
      </w:divBdr>
    </w:div>
    <w:div w:id="261568833">
      <w:bodyDiv w:val="1"/>
      <w:marLeft w:val="0"/>
      <w:marRight w:val="0"/>
      <w:marTop w:val="0"/>
      <w:marBottom w:val="0"/>
      <w:divBdr>
        <w:top w:val="none" w:sz="0" w:space="0" w:color="auto"/>
        <w:left w:val="none" w:sz="0" w:space="0" w:color="auto"/>
        <w:bottom w:val="none" w:sz="0" w:space="0" w:color="auto"/>
        <w:right w:val="none" w:sz="0" w:space="0" w:color="auto"/>
      </w:divBdr>
    </w:div>
    <w:div w:id="261568872">
      <w:bodyDiv w:val="1"/>
      <w:marLeft w:val="0"/>
      <w:marRight w:val="0"/>
      <w:marTop w:val="0"/>
      <w:marBottom w:val="0"/>
      <w:divBdr>
        <w:top w:val="none" w:sz="0" w:space="0" w:color="auto"/>
        <w:left w:val="none" w:sz="0" w:space="0" w:color="auto"/>
        <w:bottom w:val="none" w:sz="0" w:space="0" w:color="auto"/>
        <w:right w:val="none" w:sz="0" w:space="0" w:color="auto"/>
      </w:divBdr>
    </w:div>
    <w:div w:id="261691074">
      <w:bodyDiv w:val="1"/>
      <w:marLeft w:val="0"/>
      <w:marRight w:val="0"/>
      <w:marTop w:val="0"/>
      <w:marBottom w:val="0"/>
      <w:divBdr>
        <w:top w:val="none" w:sz="0" w:space="0" w:color="auto"/>
        <w:left w:val="none" w:sz="0" w:space="0" w:color="auto"/>
        <w:bottom w:val="none" w:sz="0" w:space="0" w:color="auto"/>
        <w:right w:val="none" w:sz="0" w:space="0" w:color="auto"/>
      </w:divBdr>
    </w:div>
    <w:div w:id="261692509">
      <w:bodyDiv w:val="1"/>
      <w:marLeft w:val="0"/>
      <w:marRight w:val="0"/>
      <w:marTop w:val="0"/>
      <w:marBottom w:val="0"/>
      <w:divBdr>
        <w:top w:val="none" w:sz="0" w:space="0" w:color="auto"/>
        <w:left w:val="none" w:sz="0" w:space="0" w:color="auto"/>
        <w:bottom w:val="none" w:sz="0" w:space="0" w:color="auto"/>
        <w:right w:val="none" w:sz="0" w:space="0" w:color="auto"/>
      </w:divBdr>
    </w:div>
    <w:div w:id="261694098">
      <w:bodyDiv w:val="1"/>
      <w:marLeft w:val="0"/>
      <w:marRight w:val="0"/>
      <w:marTop w:val="0"/>
      <w:marBottom w:val="0"/>
      <w:divBdr>
        <w:top w:val="none" w:sz="0" w:space="0" w:color="auto"/>
        <w:left w:val="none" w:sz="0" w:space="0" w:color="auto"/>
        <w:bottom w:val="none" w:sz="0" w:space="0" w:color="auto"/>
        <w:right w:val="none" w:sz="0" w:space="0" w:color="auto"/>
      </w:divBdr>
    </w:div>
    <w:div w:id="261912469">
      <w:bodyDiv w:val="1"/>
      <w:marLeft w:val="0"/>
      <w:marRight w:val="0"/>
      <w:marTop w:val="0"/>
      <w:marBottom w:val="0"/>
      <w:divBdr>
        <w:top w:val="none" w:sz="0" w:space="0" w:color="auto"/>
        <w:left w:val="none" w:sz="0" w:space="0" w:color="auto"/>
        <w:bottom w:val="none" w:sz="0" w:space="0" w:color="auto"/>
        <w:right w:val="none" w:sz="0" w:space="0" w:color="auto"/>
      </w:divBdr>
    </w:div>
    <w:div w:id="262031429">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2224528">
      <w:bodyDiv w:val="1"/>
      <w:marLeft w:val="0"/>
      <w:marRight w:val="0"/>
      <w:marTop w:val="0"/>
      <w:marBottom w:val="0"/>
      <w:divBdr>
        <w:top w:val="none" w:sz="0" w:space="0" w:color="auto"/>
        <w:left w:val="none" w:sz="0" w:space="0" w:color="auto"/>
        <w:bottom w:val="none" w:sz="0" w:space="0" w:color="auto"/>
        <w:right w:val="none" w:sz="0" w:space="0" w:color="auto"/>
      </w:divBdr>
    </w:div>
    <w:div w:id="262230420">
      <w:bodyDiv w:val="1"/>
      <w:marLeft w:val="0"/>
      <w:marRight w:val="0"/>
      <w:marTop w:val="0"/>
      <w:marBottom w:val="0"/>
      <w:divBdr>
        <w:top w:val="none" w:sz="0" w:space="0" w:color="auto"/>
        <w:left w:val="none" w:sz="0" w:space="0" w:color="auto"/>
        <w:bottom w:val="none" w:sz="0" w:space="0" w:color="auto"/>
        <w:right w:val="none" w:sz="0" w:space="0" w:color="auto"/>
      </w:divBdr>
    </w:div>
    <w:div w:id="262230689">
      <w:bodyDiv w:val="1"/>
      <w:marLeft w:val="0"/>
      <w:marRight w:val="0"/>
      <w:marTop w:val="0"/>
      <w:marBottom w:val="0"/>
      <w:divBdr>
        <w:top w:val="none" w:sz="0" w:space="0" w:color="auto"/>
        <w:left w:val="none" w:sz="0" w:space="0" w:color="auto"/>
        <w:bottom w:val="none" w:sz="0" w:space="0" w:color="auto"/>
        <w:right w:val="none" w:sz="0" w:space="0" w:color="auto"/>
      </w:divBdr>
    </w:div>
    <w:div w:id="262230829">
      <w:bodyDiv w:val="1"/>
      <w:marLeft w:val="0"/>
      <w:marRight w:val="0"/>
      <w:marTop w:val="0"/>
      <w:marBottom w:val="0"/>
      <w:divBdr>
        <w:top w:val="none" w:sz="0" w:space="0" w:color="auto"/>
        <w:left w:val="none" w:sz="0" w:space="0" w:color="auto"/>
        <w:bottom w:val="none" w:sz="0" w:space="0" w:color="auto"/>
        <w:right w:val="none" w:sz="0" w:space="0" w:color="auto"/>
      </w:divBdr>
    </w:div>
    <w:div w:id="262306424">
      <w:bodyDiv w:val="1"/>
      <w:marLeft w:val="0"/>
      <w:marRight w:val="0"/>
      <w:marTop w:val="0"/>
      <w:marBottom w:val="0"/>
      <w:divBdr>
        <w:top w:val="none" w:sz="0" w:space="0" w:color="auto"/>
        <w:left w:val="none" w:sz="0" w:space="0" w:color="auto"/>
        <w:bottom w:val="none" w:sz="0" w:space="0" w:color="auto"/>
        <w:right w:val="none" w:sz="0" w:space="0" w:color="auto"/>
      </w:divBdr>
    </w:div>
    <w:div w:id="262343589">
      <w:bodyDiv w:val="1"/>
      <w:marLeft w:val="0"/>
      <w:marRight w:val="0"/>
      <w:marTop w:val="0"/>
      <w:marBottom w:val="0"/>
      <w:divBdr>
        <w:top w:val="none" w:sz="0" w:space="0" w:color="auto"/>
        <w:left w:val="none" w:sz="0" w:space="0" w:color="auto"/>
        <w:bottom w:val="none" w:sz="0" w:space="0" w:color="auto"/>
        <w:right w:val="none" w:sz="0" w:space="0" w:color="auto"/>
      </w:divBdr>
    </w:div>
    <w:div w:id="262420923">
      <w:bodyDiv w:val="1"/>
      <w:marLeft w:val="0"/>
      <w:marRight w:val="0"/>
      <w:marTop w:val="0"/>
      <w:marBottom w:val="0"/>
      <w:divBdr>
        <w:top w:val="none" w:sz="0" w:space="0" w:color="auto"/>
        <w:left w:val="none" w:sz="0" w:space="0" w:color="auto"/>
        <w:bottom w:val="none" w:sz="0" w:space="0" w:color="auto"/>
        <w:right w:val="none" w:sz="0" w:space="0" w:color="auto"/>
      </w:divBdr>
    </w:div>
    <w:div w:id="262422184">
      <w:bodyDiv w:val="1"/>
      <w:marLeft w:val="0"/>
      <w:marRight w:val="0"/>
      <w:marTop w:val="0"/>
      <w:marBottom w:val="0"/>
      <w:divBdr>
        <w:top w:val="none" w:sz="0" w:space="0" w:color="auto"/>
        <w:left w:val="none" w:sz="0" w:space="0" w:color="auto"/>
        <w:bottom w:val="none" w:sz="0" w:space="0" w:color="auto"/>
        <w:right w:val="none" w:sz="0" w:space="0" w:color="auto"/>
      </w:divBdr>
    </w:div>
    <w:div w:id="262497785">
      <w:bodyDiv w:val="1"/>
      <w:marLeft w:val="0"/>
      <w:marRight w:val="0"/>
      <w:marTop w:val="0"/>
      <w:marBottom w:val="0"/>
      <w:divBdr>
        <w:top w:val="none" w:sz="0" w:space="0" w:color="auto"/>
        <w:left w:val="none" w:sz="0" w:space="0" w:color="auto"/>
        <w:bottom w:val="none" w:sz="0" w:space="0" w:color="auto"/>
        <w:right w:val="none" w:sz="0" w:space="0" w:color="auto"/>
      </w:divBdr>
    </w:div>
    <w:div w:id="262689591">
      <w:bodyDiv w:val="1"/>
      <w:marLeft w:val="0"/>
      <w:marRight w:val="0"/>
      <w:marTop w:val="0"/>
      <w:marBottom w:val="0"/>
      <w:divBdr>
        <w:top w:val="none" w:sz="0" w:space="0" w:color="auto"/>
        <w:left w:val="none" w:sz="0" w:space="0" w:color="auto"/>
        <w:bottom w:val="none" w:sz="0" w:space="0" w:color="auto"/>
        <w:right w:val="none" w:sz="0" w:space="0" w:color="auto"/>
      </w:divBdr>
    </w:div>
    <w:div w:id="262691668">
      <w:bodyDiv w:val="1"/>
      <w:marLeft w:val="0"/>
      <w:marRight w:val="0"/>
      <w:marTop w:val="0"/>
      <w:marBottom w:val="0"/>
      <w:divBdr>
        <w:top w:val="none" w:sz="0" w:space="0" w:color="auto"/>
        <w:left w:val="none" w:sz="0" w:space="0" w:color="auto"/>
        <w:bottom w:val="none" w:sz="0" w:space="0" w:color="auto"/>
        <w:right w:val="none" w:sz="0" w:space="0" w:color="auto"/>
      </w:divBdr>
    </w:div>
    <w:div w:id="262735829">
      <w:bodyDiv w:val="1"/>
      <w:marLeft w:val="0"/>
      <w:marRight w:val="0"/>
      <w:marTop w:val="0"/>
      <w:marBottom w:val="0"/>
      <w:divBdr>
        <w:top w:val="none" w:sz="0" w:space="0" w:color="auto"/>
        <w:left w:val="none" w:sz="0" w:space="0" w:color="auto"/>
        <w:bottom w:val="none" w:sz="0" w:space="0" w:color="auto"/>
        <w:right w:val="none" w:sz="0" w:space="0" w:color="auto"/>
      </w:divBdr>
    </w:div>
    <w:div w:id="262803021">
      <w:bodyDiv w:val="1"/>
      <w:marLeft w:val="0"/>
      <w:marRight w:val="0"/>
      <w:marTop w:val="0"/>
      <w:marBottom w:val="0"/>
      <w:divBdr>
        <w:top w:val="none" w:sz="0" w:space="0" w:color="auto"/>
        <w:left w:val="none" w:sz="0" w:space="0" w:color="auto"/>
        <w:bottom w:val="none" w:sz="0" w:space="0" w:color="auto"/>
        <w:right w:val="none" w:sz="0" w:space="0" w:color="auto"/>
      </w:divBdr>
    </w:div>
    <w:div w:id="262953919">
      <w:bodyDiv w:val="1"/>
      <w:marLeft w:val="0"/>
      <w:marRight w:val="0"/>
      <w:marTop w:val="0"/>
      <w:marBottom w:val="0"/>
      <w:divBdr>
        <w:top w:val="none" w:sz="0" w:space="0" w:color="auto"/>
        <w:left w:val="none" w:sz="0" w:space="0" w:color="auto"/>
        <w:bottom w:val="none" w:sz="0" w:space="0" w:color="auto"/>
        <w:right w:val="none" w:sz="0" w:space="0" w:color="auto"/>
      </w:divBdr>
    </w:div>
    <w:div w:id="263152619">
      <w:bodyDiv w:val="1"/>
      <w:marLeft w:val="0"/>
      <w:marRight w:val="0"/>
      <w:marTop w:val="0"/>
      <w:marBottom w:val="0"/>
      <w:divBdr>
        <w:top w:val="none" w:sz="0" w:space="0" w:color="auto"/>
        <w:left w:val="none" w:sz="0" w:space="0" w:color="auto"/>
        <w:bottom w:val="none" w:sz="0" w:space="0" w:color="auto"/>
        <w:right w:val="none" w:sz="0" w:space="0" w:color="auto"/>
      </w:divBdr>
    </w:div>
    <w:div w:id="263264624">
      <w:bodyDiv w:val="1"/>
      <w:marLeft w:val="0"/>
      <w:marRight w:val="0"/>
      <w:marTop w:val="0"/>
      <w:marBottom w:val="0"/>
      <w:divBdr>
        <w:top w:val="none" w:sz="0" w:space="0" w:color="auto"/>
        <w:left w:val="none" w:sz="0" w:space="0" w:color="auto"/>
        <w:bottom w:val="none" w:sz="0" w:space="0" w:color="auto"/>
        <w:right w:val="none" w:sz="0" w:space="0" w:color="auto"/>
      </w:divBdr>
    </w:div>
    <w:div w:id="263347069">
      <w:bodyDiv w:val="1"/>
      <w:marLeft w:val="0"/>
      <w:marRight w:val="0"/>
      <w:marTop w:val="0"/>
      <w:marBottom w:val="0"/>
      <w:divBdr>
        <w:top w:val="none" w:sz="0" w:space="0" w:color="auto"/>
        <w:left w:val="none" w:sz="0" w:space="0" w:color="auto"/>
        <w:bottom w:val="none" w:sz="0" w:space="0" w:color="auto"/>
        <w:right w:val="none" w:sz="0" w:space="0" w:color="auto"/>
      </w:divBdr>
    </w:div>
    <w:div w:id="263458965">
      <w:bodyDiv w:val="1"/>
      <w:marLeft w:val="0"/>
      <w:marRight w:val="0"/>
      <w:marTop w:val="0"/>
      <w:marBottom w:val="0"/>
      <w:divBdr>
        <w:top w:val="none" w:sz="0" w:space="0" w:color="auto"/>
        <w:left w:val="none" w:sz="0" w:space="0" w:color="auto"/>
        <w:bottom w:val="none" w:sz="0" w:space="0" w:color="auto"/>
        <w:right w:val="none" w:sz="0" w:space="0" w:color="auto"/>
      </w:divBdr>
    </w:div>
    <w:div w:id="263535587">
      <w:bodyDiv w:val="1"/>
      <w:marLeft w:val="0"/>
      <w:marRight w:val="0"/>
      <w:marTop w:val="0"/>
      <w:marBottom w:val="0"/>
      <w:divBdr>
        <w:top w:val="none" w:sz="0" w:space="0" w:color="auto"/>
        <w:left w:val="none" w:sz="0" w:space="0" w:color="auto"/>
        <w:bottom w:val="none" w:sz="0" w:space="0" w:color="auto"/>
        <w:right w:val="none" w:sz="0" w:space="0" w:color="auto"/>
      </w:divBdr>
    </w:div>
    <w:div w:id="263535693">
      <w:bodyDiv w:val="1"/>
      <w:marLeft w:val="0"/>
      <w:marRight w:val="0"/>
      <w:marTop w:val="0"/>
      <w:marBottom w:val="0"/>
      <w:divBdr>
        <w:top w:val="none" w:sz="0" w:space="0" w:color="auto"/>
        <w:left w:val="none" w:sz="0" w:space="0" w:color="auto"/>
        <w:bottom w:val="none" w:sz="0" w:space="0" w:color="auto"/>
        <w:right w:val="none" w:sz="0" w:space="0" w:color="auto"/>
      </w:divBdr>
    </w:div>
    <w:div w:id="263536870">
      <w:bodyDiv w:val="1"/>
      <w:marLeft w:val="0"/>
      <w:marRight w:val="0"/>
      <w:marTop w:val="0"/>
      <w:marBottom w:val="0"/>
      <w:divBdr>
        <w:top w:val="none" w:sz="0" w:space="0" w:color="auto"/>
        <w:left w:val="none" w:sz="0" w:space="0" w:color="auto"/>
        <w:bottom w:val="none" w:sz="0" w:space="0" w:color="auto"/>
        <w:right w:val="none" w:sz="0" w:space="0" w:color="auto"/>
      </w:divBdr>
    </w:div>
    <w:div w:id="263538383">
      <w:bodyDiv w:val="1"/>
      <w:marLeft w:val="0"/>
      <w:marRight w:val="0"/>
      <w:marTop w:val="0"/>
      <w:marBottom w:val="0"/>
      <w:divBdr>
        <w:top w:val="none" w:sz="0" w:space="0" w:color="auto"/>
        <w:left w:val="none" w:sz="0" w:space="0" w:color="auto"/>
        <w:bottom w:val="none" w:sz="0" w:space="0" w:color="auto"/>
        <w:right w:val="none" w:sz="0" w:space="0" w:color="auto"/>
      </w:divBdr>
    </w:div>
    <w:div w:id="263735167">
      <w:bodyDiv w:val="1"/>
      <w:marLeft w:val="0"/>
      <w:marRight w:val="0"/>
      <w:marTop w:val="0"/>
      <w:marBottom w:val="0"/>
      <w:divBdr>
        <w:top w:val="none" w:sz="0" w:space="0" w:color="auto"/>
        <w:left w:val="none" w:sz="0" w:space="0" w:color="auto"/>
        <w:bottom w:val="none" w:sz="0" w:space="0" w:color="auto"/>
        <w:right w:val="none" w:sz="0" w:space="0" w:color="auto"/>
      </w:divBdr>
    </w:div>
    <w:div w:id="263879986">
      <w:bodyDiv w:val="1"/>
      <w:marLeft w:val="0"/>
      <w:marRight w:val="0"/>
      <w:marTop w:val="0"/>
      <w:marBottom w:val="0"/>
      <w:divBdr>
        <w:top w:val="none" w:sz="0" w:space="0" w:color="auto"/>
        <w:left w:val="none" w:sz="0" w:space="0" w:color="auto"/>
        <w:bottom w:val="none" w:sz="0" w:space="0" w:color="auto"/>
        <w:right w:val="none" w:sz="0" w:space="0" w:color="auto"/>
      </w:divBdr>
    </w:div>
    <w:div w:id="264113763">
      <w:bodyDiv w:val="1"/>
      <w:marLeft w:val="0"/>
      <w:marRight w:val="0"/>
      <w:marTop w:val="0"/>
      <w:marBottom w:val="0"/>
      <w:divBdr>
        <w:top w:val="none" w:sz="0" w:space="0" w:color="auto"/>
        <w:left w:val="none" w:sz="0" w:space="0" w:color="auto"/>
        <w:bottom w:val="none" w:sz="0" w:space="0" w:color="auto"/>
        <w:right w:val="none" w:sz="0" w:space="0" w:color="auto"/>
      </w:divBdr>
    </w:div>
    <w:div w:id="264264727">
      <w:bodyDiv w:val="1"/>
      <w:marLeft w:val="0"/>
      <w:marRight w:val="0"/>
      <w:marTop w:val="0"/>
      <w:marBottom w:val="0"/>
      <w:divBdr>
        <w:top w:val="none" w:sz="0" w:space="0" w:color="auto"/>
        <w:left w:val="none" w:sz="0" w:space="0" w:color="auto"/>
        <w:bottom w:val="none" w:sz="0" w:space="0" w:color="auto"/>
        <w:right w:val="none" w:sz="0" w:space="0" w:color="auto"/>
      </w:divBdr>
    </w:div>
    <w:div w:id="264269204">
      <w:bodyDiv w:val="1"/>
      <w:marLeft w:val="0"/>
      <w:marRight w:val="0"/>
      <w:marTop w:val="0"/>
      <w:marBottom w:val="0"/>
      <w:divBdr>
        <w:top w:val="none" w:sz="0" w:space="0" w:color="auto"/>
        <w:left w:val="none" w:sz="0" w:space="0" w:color="auto"/>
        <w:bottom w:val="none" w:sz="0" w:space="0" w:color="auto"/>
        <w:right w:val="none" w:sz="0" w:space="0" w:color="auto"/>
      </w:divBdr>
    </w:div>
    <w:div w:id="264503328">
      <w:bodyDiv w:val="1"/>
      <w:marLeft w:val="0"/>
      <w:marRight w:val="0"/>
      <w:marTop w:val="0"/>
      <w:marBottom w:val="0"/>
      <w:divBdr>
        <w:top w:val="none" w:sz="0" w:space="0" w:color="auto"/>
        <w:left w:val="none" w:sz="0" w:space="0" w:color="auto"/>
        <w:bottom w:val="none" w:sz="0" w:space="0" w:color="auto"/>
        <w:right w:val="none" w:sz="0" w:space="0" w:color="auto"/>
      </w:divBdr>
    </w:div>
    <w:div w:id="264505588">
      <w:bodyDiv w:val="1"/>
      <w:marLeft w:val="0"/>
      <w:marRight w:val="0"/>
      <w:marTop w:val="0"/>
      <w:marBottom w:val="0"/>
      <w:divBdr>
        <w:top w:val="none" w:sz="0" w:space="0" w:color="auto"/>
        <w:left w:val="none" w:sz="0" w:space="0" w:color="auto"/>
        <w:bottom w:val="none" w:sz="0" w:space="0" w:color="auto"/>
        <w:right w:val="none" w:sz="0" w:space="0" w:color="auto"/>
      </w:divBdr>
    </w:div>
    <w:div w:id="264508255">
      <w:bodyDiv w:val="1"/>
      <w:marLeft w:val="0"/>
      <w:marRight w:val="0"/>
      <w:marTop w:val="0"/>
      <w:marBottom w:val="0"/>
      <w:divBdr>
        <w:top w:val="none" w:sz="0" w:space="0" w:color="auto"/>
        <w:left w:val="none" w:sz="0" w:space="0" w:color="auto"/>
        <w:bottom w:val="none" w:sz="0" w:space="0" w:color="auto"/>
        <w:right w:val="none" w:sz="0" w:space="0" w:color="auto"/>
      </w:divBdr>
    </w:div>
    <w:div w:id="264576188">
      <w:bodyDiv w:val="1"/>
      <w:marLeft w:val="0"/>
      <w:marRight w:val="0"/>
      <w:marTop w:val="0"/>
      <w:marBottom w:val="0"/>
      <w:divBdr>
        <w:top w:val="none" w:sz="0" w:space="0" w:color="auto"/>
        <w:left w:val="none" w:sz="0" w:space="0" w:color="auto"/>
        <w:bottom w:val="none" w:sz="0" w:space="0" w:color="auto"/>
        <w:right w:val="none" w:sz="0" w:space="0" w:color="auto"/>
      </w:divBdr>
    </w:div>
    <w:div w:id="264700954">
      <w:bodyDiv w:val="1"/>
      <w:marLeft w:val="0"/>
      <w:marRight w:val="0"/>
      <w:marTop w:val="0"/>
      <w:marBottom w:val="0"/>
      <w:divBdr>
        <w:top w:val="none" w:sz="0" w:space="0" w:color="auto"/>
        <w:left w:val="none" w:sz="0" w:space="0" w:color="auto"/>
        <w:bottom w:val="none" w:sz="0" w:space="0" w:color="auto"/>
        <w:right w:val="none" w:sz="0" w:space="0" w:color="auto"/>
      </w:divBdr>
    </w:div>
    <w:div w:id="264730207">
      <w:bodyDiv w:val="1"/>
      <w:marLeft w:val="0"/>
      <w:marRight w:val="0"/>
      <w:marTop w:val="0"/>
      <w:marBottom w:val="0"/>
      <w:divBdr>
        <w:top w:val="none" w:sz="0" w:space="0" w:color="auto"/>
        <w:left w:val="none" w:sz="0" w:space="0" w:color="auto"/>
        <w:bottom w:val="none" w:sz="0" w:space="0" w:color="auto"/>
        <w:right w:val="none" w:sz="0" w:space="0" w:color="auto"/>
      </w:divBdr>
    </w:div>
    <w:div w:id="265431267">
      <w:bodyDiv w:val="1"/>
      <w:marLeft w:val="0"/>
      <w:marRight w:val="0"/>
      <w:marTop w:val="0"/>
      <w:marBottom w:val="0"/>
      <w:divBdr>
        <w:top w:val="none" w:sz="0" w:space="0" w:color="auto"/>
        <w:left w:val="none" w:sz="0" w:space="0" w:color="auto"/>
        <w:bottom w:val="none" w:sz="0" w:space="0" w:color="auto"/>
        <w:right w:val="none" w:sz="0" w:space="0" w:color="auto"/>
      </w:divBdr>
    </w:div>
    <w:div w:id="265502525">
      <w:bodyDiv w:val="1"/>
      <w:marLeft w:val="0"/>
      <w:marRight w:val="0"/>
      <w:marTop w:val="0"/>
      <w:marBottom w:val="0"/>
      <w:divBdr>
        <w:top w:val="none" w:sz="0" w:space="0" w:color="auto"/>
        <w:left w:val="none" w:sz="0" w:space="0" w:color="auto"/>
        <w:bottom w:val="none" w:sz="0" w:space="0" w:color="auto"/>
        <w:right w:val="none" w:sz="0" w:space="0" w:color="auto"/>
      </w:divBdr>
    </w:div>
    <w:div w:id="265507932">
      <w:bodyDiv w:val="1"/>
      <w:marLeft w:val="0"/>
      <w:marRight w:val="0"/>
      <w:marTop w:val="0"/>
      <w:marBottom w:val="0"/>
      <w:divBdr>
        <w:top w:val="none" w:sz="0" w:space="0" w:color="auto"/>
        <w:left w:val="none" w:sz="0" w:space="0" w:color="auto"/>
        <w:bottom w:val="none" w:sz="0" w:space="0" w:color="auto"/>
        <w:right w:val="none" w:sz="0" w:space="0" w:color="auto"/>
      </w:divBdr>
    </w:div>
    <w:div w:id="265576805">
      <w:bodyDiv w:val="1"/>
      <w:marLeft w:val="0"/>
      <w:marRight w:val="0"/>
      <w:marTop w:val="0"/>
      <w:marBottom w:val="0"/>
      <w:divBdr>
        <w:top w:val="none" w:sz="0" w:space="0" w:color="auto"/>
        <w:left w:val="none" w:sz="0" w:space="0" w:color="auto"/>
        <w:bottom w:val="none" w:sz="0" w:space="0" w:color="auto"/>
        <w:right w:val="none" w:sz="0" w:space="0" w:color="auto"/>
      </w:divBdr>
    </w:div>
    <w:div w:id="265581961">
      <w:bodyDiv w:val="1"/>
      <w:marLeft w:val="0"/>
      <w:marRight w:val="0"/>
      <w:marTop w:val="0"/>
      <w:marBottom w:val="0"/>
      <w:divBdr>
        <w:top w:val="none" w:sz="0" w:space="0" w:color="auto"/>
        <w:left w:val="none" w:sz="0" w:space="0" w:color="auto"/>
        <w:bottom w:val="none" w:sz="0" w:space="0" w:color="auto"/>
        <w:right w:val="none" w:sz="0" w:space="0" w:color="auto"/>
      </w:divBdr>
    </w:div>
    <w:div w:id="265622155">
      <w:bodyDiv w:val="1"/>
      <w:marLeft w:val="0"/>
      <w:marRight w:val="0"/>
      <w:marTop w:val="0"/>
      <w:marBottom w:val="0"/>
      <w:divBdr>
        <w:top w:val="none" w:sz="0" w:space="0" w:color="auto"/>
        <w:left w:val="none" w:sz="0" w:space="0" w:color="auto"/>
        <w:bottom w:val="none" w:sz="0" w:space="0" w:color="auto"/>
        <w:right w:val="none" w:sz="0" w:space="0" w:color="auto"/>
      </w:divBdr>
    </w:div>
    <w:div w:id="265623484">
      <w:bodyDiv w:val="1"/>
      <w:marLeft w:val="0"/>
      <w:marRight w:val="0"/>
      <w:marTop w:val="0"/>
      <w:marBottom w:val="0"/>
      <w:divBdr>
        <w:top w:val="none" w:sz="0" w:space="0" w:color="auto"/>
        <w:left w:val="none" w:sz="0" w:space="0" w:color="auto"/>
        <w:bottom w:val="none" w:sz="0" w:space="0" w:color="auto"/>
        <w:right w:val="none" w:sz="0" w:space="0" w:color="auto"/>
      </w:divBdr>
    </w:div>
    <w:div w:id="265692703">
      <w:bodyDiv w:val="1"/>
      <w:marLeft w:val="0"/>
      <w:marRight w:val="0"/>
      <w:marTop w:val="0"/>
      <w:marBottom w:val="0"/>
      <w:divBdr>
        <w:top w:val="none" w:sz="0" w:space="0" w:color="auto"/>
        <w:left w:val="none" w:sz="0" w:space="0" w:color="auto"/>
        <w:bottom w:val="none" w:sz="0" w:space="0" w:color="auto"/>
        <w:right w:val="none" w:sz="0" w:space="0" w:color="auto"/>
      </w:divBdr>
    </w:div>
    <w:div w:id="265698132">
      <w:bodyDiv w:val="1"/>
      <w:marLeft w:val="0"/>
      <w:marRight w:val="0"/>
      <w:marTop w:val="0"/>
      <w:marBottom w:val="0"/>
      <w:divBdr>
        <w:top w:val="none" w:sz="0" w:space="0" w:color="auto"/>
        <w:left w:val="none" w:sz="0" w:space="0" w:color="auto"/>
        <w:bottom w:val="none" w:sz="0" w:space="0" w:color="auto"/>
        <w:right w:val="none" w:sz="0" w:space="0" w:color="auto"/>
      </w:divBdr>
    </w:div>
    <w:div w:id="265774303">
      <w:bodyDiv w:val="1"/>
      <w:marLeft w:val="0"/>
      <w:marRight w:val="0"/>
      <w:marTop w:val="0"/>
      <w:marBottom w:val="0"/>
      <w:divBdr>
        <w:top w:val="none" w:sz="0" w:space="0" w:color="auto"/>
        <w:left w:val="none" w:sz="0" w:space="0" w:color="auto"/>
        <w:bottom w:val="none" w:sz="0" w:space="0" w:color="auto"/>
        <w:right w:val="none" w:sz="0" w:space="0" w:color="auto"/>
      </w:divBdr>
    </w:div>
    <w:div w:id="265891941">
      <w:bodyDiv w:val="1"/>
      <w:marLeft w:val="0"/>
      <w:marRight w:val="0"/>
      <w:marTop w:val="0"/>
      <w:marBottom w:val="0"/>
      <w:divBdr>
        <w:top w:val="none" w:sz="0" w:space="0" w:color="auto"/>
        <w:left w:val="none" w:sz="0" w:space="0" w:color="auto"/>
        <w:bottom w:val="none" w:sz="0" w:space="0" w:color="auto"/>
        <w:right w:val="none" w:sz="0" w:space="0" w:color="auto"/>
      </w:divBdr>
    </w:div>
    <w:div w:id="265962376">
      <w:bodyDiv w:val="1"/>
      <w:marLeft w:val="0"/>
      <w:marRight w:val="0"/>
      <w:marTop w:val="0"/>
      <w:marBottom w:val="0"/>
      <w:divBdr>
        <w:top w:val="none" w:sz="0" w:space="0" w:color="auto"/>
        <w:left w:val="none" w:sz="0" w:space="0" w:color="auto"/>
        <w:bottom w:val="none" w:sz="0" w:space="0" w:color="auto"/>
        <w:right w:val="none" w:sz="0" w:space="0" w:color="auto"/>
      </w:divBdr>
    </w:div>
    <w:div w:id="266039209">
      <w:bodyDiv w:val="1"/>
      <w:marLeft w:val="0"/>
      <w:marRight w:val="0"/>
      <w:marTop w:val="0"/>
      <w:marBottom w:val="0"/>
      <w:divBdr>
        <w:top w:val="none" w:sz="0" w:space="0" w:color="auto"/>
        <w:left w:val="none" w:sz="0" w:space="0" w:color="auto"/>
        <w:bottom w:val="none" w:sz="0" w:space="0" w:color="auto"/>
        <w:right w:val="none" w:sz="0" w:space="0" w:color="auto"/>
      </w:divBdr>
    </w:div>
    <w:div w:id="266083717">
      <w:bodyDiv w:val="1"/>
      <w:marLeft w:val="0"/>
      <w:marRight w:val="0"/>
      <w:marTop w:val="0"/>
      <w:marBottom w:val="0"/>
      <w:divBdr>
        <w:top w:val="none" w:sz="0" w:space="0" w:color="auto"/>
        <w:left w:val="none" w:sz="0" w:space="0" w:color="auto"/>
        <w:bottom w:val="none" w:sz="0" w:space="0" w:color="auto"/>
        <w:right w:val="none" w:sz="0" w:space="0" w:color="auto"/>
      </w:divBdr>
    </w:div>
    <w:div w:id="266280671">
      <w:bodyDiv w:val="1"/>
      <w:marLeft w:val="0"/>
      <w:marRight w:val="0"/>
      <w:marTop w:val="0"/>
      <w:marBottom w:val="0"/>
      <w:divBdr>
        <w:top w:val="none" w:sz="0" w:space="0" w:color="auto"/>
        <w:left w:val="none" w:sz="0" w:space="0" w:color="auto"/>
        <w:bottom w:val="none" w:sz="0" w:space="0" w:color="auto"/>
        <w:right w:val="none" w:sz="0" w:space="0" w:color="auto"/>
      </w:divBdr>
    </w:div>
    <w:div w:id="266743114">
      <w:bodyDiv w:val="1"/>
      <w:marLeft w:val="0"/>
      <w:marRight w:val="0"/>
      <w:marTop w:val="0"/>
      <w:marBottom w:val="0"/>
      <w:divBdr>
        <w:top w:val="none" w:sz="0" w:space="0" w:color="auto"/>
        <w:left w:val="none" w:sz="0" w:space="0" w:color="auto"/>
        <w:bottom w:val="none" w:sz="0" w:space="0" w:color="auto"/>
        <w:right w:val="none" w:sz="0" w:space="0" w:color="auto"/>
      </w:divBdr>
    </w:div>
    <w:div w:id="266813279">
      <w:bodyDiv w:val="1"/>
      <w:marLeft w:val="0"/>
      <w:marRight w:val="0"/>
      <w:marTop w:val="0"/>
      <w:marBottom w:val="0"/>
      <w:divBdr>
        <w:top w:val="none" w:sz="0" w:space="0" w:color="auto"/>
        <w:left w:val="none" w:sz="0" w:space="0" w:color="auto"/>
        <w:bottom w:val="none" w:sz="0" w:space="0" w:color="auto"/>
        <w:right w:val="none" w:sz="0" w:space="0" w:color="auto"/>
      </w:divBdr>
    </w:div>
    <w:div w:id="266813786">
      <w:bodyDiv w:val="1"/>
      <w:marLeft w:val="0"/>
      <w:marRight w:val="0"/>
      <w:marTop w:val="0"/>
      <w:marBottom w:val="0"/>
      <w:divBdr>
        <w:top w:val="none" w:sz="0" w:space="0" w:color="auto"/>
        <w:left w:val="none" w:sz="0" w:space="0" w:color="auto"/>
        <w:bottom w:val="none" w:sz="0" w:space="0" w:color="auto"/>
        <w:right w:val="none" w:sz="0" w:space="0" w:color="auto"/>
      </w:divBdr>
    </w:div>
    <w:div w:id="266888683">
      <w:bodyDiv w:val="1"/>
      <w:marLeft w:val="0"/>
      <w:marRight w:val="0"/>
      <w:marTop w:val="0"/>
      <w:marBottom w:val="0"/>
      <w:divBdr>
        <w:top w:val="none" w:sz="0" w:space="0" w:color="auto"/>
        <w:left w:val="none" w:sz="0" w:space="0" w:color="auto"/>
        <w:bottom w:val="none" w:sz="0" w:space="0" w:color="auto"/>
        <w:right w:val="none" w:sz="0" w:space="0" w:color="auto"/>
      </w:divBdr>
    </w:div>
    <w:div w:id="266888759">
      <w:bodyDiv w:val="1"/>
      <w:marLeft w:val="0"/>
      <w:marRight w:val="0"/>
      <w:marTop w:val="0"/>
      <w:marBottom w:val="0"/>
      <w:divBdr>
        <w:top w:val="none" w:sz="0" w:space="0" w:color="auto"/>
        <w:left w:val="none" w:sz="0" w:space="0" w:color="auto"/>
        <w:bottom w:val="none" w:sz="0" w:space="0" w:color="auto"/>
        <w:right w:val="none" w:sz="0" w:space="0" w:color="auto"/>
      </w:divBdr>
    </w:div>
    <w:div w:id="267003432">
      <w:bodyDiv w:val="1"/>
      <w:marLeft w:val="0"/>
      <w:marRight w:val="0"/>
      <w:marTop w:val="0"/>
      <w:marBottom w:val="0"/>
      <w:divBdr>
        <w:top w:val="none" w:sz="0" w:space="0" w:color="auto"/>
        <w:left w:val="none" w:sz="0" w:space="0" w:color="auto"/>
        <w:bottom w:val="none" w:sz="0" w:space="0" w:color="auto"/>
        <w:right w:val="none" w:sz="0" w:space="0" w:color="auto"/>
      </w:divBdr>
    </w:div>
    <w:div w:id="267011930">
      <w:bodyDiv w:val="1"/>
      <w:marLeft w:val="0"/>
      <w:marRight w:val="0"/>
      <w:marTop w:val="0"/>
      <w:marBottom w:val="0"/>
      <w:divBdr>
        <w:top w:val="none" w:sz="0" w:space="0" w:color="auto"/>
        <w:left w:val="none" w:sz="0" w:space="0" w:color="auto"/>
        <w:bottom w:val="none" w:sz="0" w:space="0" w:color="auto"/>
        <w:right w:val="none" w:sz="0" w:space="0" w:color="auto"/>
      </w:divBdr>
    </w:div>
    <w:div w:id="267127755">
      <w:bodyDiv w:val="1"/>
      <w:marLeft w:val="0"/>
      <w:marRight w:val="0"/>
      <w:marTop w:val="0"/>
      <w:marBottom w:val="0"/>
      <w:divBdr>
        <w:top w:val="none" w:sz="0" w:space="0" w:color="auto"/>
        <w:left w:val="none" w:sz="0" w:space="0" w:color="auto"/>
        <w:bottom w:val="none" w:sz="0" w:space="0" w:color="auto"/>
        <w:right w:val="none" w:sz="0" w:space="0" w:color="auto"/>
      </w:divBdr>
    </w:div>
    <w:div w:id="267200579">
      <w:bodyDiv w:val="1"/>
      <w:marLeft w:val="0"/>
      <w:marRight w:val="0"/>
      <w:marTop w:val="0"/>
      <w:marBottom w:val="0"/>
      <w:divBdr>
        <w:top w:val="none" w:sz="0" w:space="0" w:color="auto"/>
        <w:left w:val="none" w:sz="0" w:space="0" w:color="auto"/>
        <w:bottom w:val="none" w:sz="0" w:space="0" w:color="auto"/>
        <w:right w:val="none" w:sz="0" w:space="0" w:color="auto"/>
      </w:divBdr>
    </w:div>
    <w:div w:id="267275692">
      <w:bodyDiv w:val="1"/>
      <w:marLeft w:val="0"/>
      <w:marRight w:val="0"/>
      <w:marTop w:val="0"/>
      <w:marBottom w:val="0"/>
      <w:divBdr>
        <w:top w:val="none" w:sz="0" w:space="0" w:color="auto"/>
        <w:left w:val="none" w:sz="0" w:space="0" w:color="auto"/>
        <w:bottom w:val="none" w:sz="0" w:space="0" w:color="auto"/>
        <w:right w:val="none" w:sz="0" w:space="0" w:color="auto"/>
      </w:divBdr>
    </w:div>
    <w:div w:id="267280325">
      <w:bodyDiv w:val="1"/>
      <w:marLeft w:val="0"/>
      <w:marRight w:val="0"/>
      <w:marTop w:val="0"/>
      <w:marBottom w:val="0"/>
      <w:divBdr>
        <w:top w:val="none" w:sz="0" w:space="0" w:color="auto"/>
        <w:left w:val="none" w:sz="0" w:space="0" w:color="auto"/>
        <w:bottom w:val="none" w:sz="0" w:space="0" w:color="auto"/>
        <w:right w:val="none" w:sz="0" w:space="0" w:color="auto"/>
      </w:divBdr>
    </w:div>
    <w:div w:id="267280718">
      <w:bodyDiv w:val="1"/>
      <w:marLeft w:val="0"/>
      <w:marRight w:val="0"/>
      <w:marTop w:val="0"/>
      <w:marBottom w:val="0"/>
      <w:divBdr>
        <w:top w:val="none" w:sz="0" w:space="0" w:color="auto"/>
        <w:left w:val="none" w:sz="0" w:space="0" w:color="auto"/>
        <w:bottom w:val="none" w:sz="0" w:space="0" w:color="auto"/>
        <w:right w:val="none" w:sz="0" w:space="0" w:color="auto"/>
      </w:divBdr>
    </w:div>
    <w:div w:id="267473124">
      <w:bodyDiv w:val="1"/>
      <w:marLeft w:val="0"/>
      <w:marRight w:val="0"/>
      <w:marTop w:val="0"/>
      <w:marBottom w:val="0"/>
      <w:divBdr>
        <w:top w:val="none" w:sz="0" w:space="0" w:color="auto"/>
        <w:left w:val="none" w:sz="0" w:space="0" w:color="auto"/>
        <w:bottom w:val="none" w:sz="0" w:space="0" w:color="auto"/>
        <w:right w:val="none" w:sz="0" w:space="0" w:color="auto"/>
      </w:divBdr>
    </w:div>
    <w:div w:id="267666413">
      <w:bodyDiv w:val="1"/>
      <w:marLeft w:val="0"/>
      <w:marRight w:val="0"/>
      <w:marTop w:val="0"/>
      <w:marBottom w:val="0"/>
      <w:divBdr>
        <w:top w:val="none" w:sz="0" w:space="0" w:color="auto"/>
        <w:left w:val="none" w:sz="0" w:space="0" w:color="auto"/>
        <w:bottom w:val="none" w:sz="0" w:space="0" w:color="auto"/>
        <w:right w:val="none" w:sz="0" w:space="0" w:color="auto"/>
      </w:divBdr>
    </w:div>
    <w:div w:id="267738297">
      <w:bodyDiv w:val="1"/>
      <w:marLeft w:val="0"/>
      <w:marRight w:val="0"/>
      <w:marTop w:val="0"/>
      <w:marBottom w:val="0"/>
      <w:divBdr>
        <w:top w:val="none" w:sz="0" w:space="0" w:color="auto"/>
        <w:left w:val="none" w:sz="0" w:space="0" w:color="auto"/>
        <w:bottom w:val="none" w:sz="0" w:space="0" w:color="auto"/>
        <w:right w:val="none" w:sz="0" w:space="0" w:color="auto"/>
      </w:divBdr>
    </w:div>
    <w:div w:id="267741919">
      <w:bodyDiv w:val="1"/>
      <w:marLeft w:val="0"/>
      <w:marRight w:val="0"/>
      <w:marTop w:val="0"/>
      <w:marBottom w:val="0"/>
      <w:divBdr>
        <w:top w:val="none" w:sz="0" w:space="0" w:color="auto"/>
        <w:left w:val="none" w:sz="0" w:space="0" w:color="auto"/>
        <w:bottom w:val="none" w:sz="0" w:space="0" w:color="auto"/>
        <w:right w:val="none" w:sz="0" w:space="0" w:color="auto"/>
      </w:divBdr>
    </w:div>
    <w:div w:id="267743152">
      <w:bodyDiv w:val="1"/>
      <w:marLeft w:val="0"/>
      <w:marRight w:val="0"/>
      <w:marTop w:val="0"/>
      <w:marBottom w:val="0"/>
      <w:divBdr>
        <w:top w:val="none" w:sz="0" w:space="0" w:color="auto"/>
        <w:left w:val="none" w:sz="0" w:space="0" w:color="auto"/>
        <w:bottom w:val="none" w:sz="0" w:space="0" w:color="auto"/>
        <w:right w:val="none" w:sz="0" w:space="0" w:color="auto"/>
      </w:divBdr>
    </w:div>
    <w:div w:id="267852465">
      <w:bodyDiv w:val="1"/>
      <w:marLeft w:val="0"/>
      <w:marRight w:val="0"/>
      <w:marTop w:val="0"/>
      <w:marBottom w:val="0"/>
      <w:divBdr>
        <w:top w:val="none" w:sz="0" w:space="0" w:color="auto"/>
        <w:left w:val="none" w:sz="0" w:space="0" w:color="auto"/>
        <w:bottom w:val="none" w:sz="0" w:space="0" w:color="auto"/>
        <w:right w:val="none" w:sz="0" w:space="0" w:color="auto"/>
      </w:divBdr>
    </w:div>
    <w:div w:id="268002142">
      <w:bodyDiv w:val="1"/>
      <w:marLeft w:val="0"/>
      <w:marRight w:val="0"/>
      <w:marTop w:val="0"/>
      <w:marBottom w:val="0"/>
      <w:divBdr>
        <w:top w:val="none" w:sz="0" w:space="0" w:color="auto"/>
        <w:left w:val="none" w:sz="0" w:space="0" w:color="auto"/>
        <w:bottom w:val="none" w:sz="0" w:space="0" w:color="auto"/>
        <w:right w:val="none" w:sz="0" w:space="0" w:color="auto"/>
      </w:divBdr>
    </w:div>
    <w:div w:id="268004734">
      <w:bodyDiv w:val="1"/>
      <w:marLeft w:val="0"/>
      <w:marRight w:val="0"/>
      <w:marTop w:val="0"/>
      <w:marBottom w:val="0"/>
      <w:divBdr>
        <w:top w:val="none" w:sz="0" w:space="0" w:color="auto"/>
        <w:left w:val="none" w:sz="0" w:space="0" w:color="auto"/>
        <w:bottom w:val="none" w:sz="0" w:space="0" w:color="auto"/>
        <w:right w:val="none" w:sz="0" w:space="0" w:color="auto"/>
      </w:divBdr>
    </w:div>
    <w:div w:id="268046808">
      <w:bodyDiv w:val="1"/>
      <w:marLeft w:val="0"/>
      <w:marRight w:val="0"/>
      <w:marTop w:val="0"/>
      <w:marBottom w:val="0"/>
      <w:divBdr>
        <w:top w:val="none" w:sz="0" w:space="0" w:color="auto"/>
        <w:left w:val="none" w:sz="0" w:space="0" w:color="auto"/>
        <w:bottom w:val="none" w:sz="0" w:space="0" w:color="auto"/>
        <w:right w:val="none" w:sz="0" w:space="0" w:color="auto"/>
      </w:divBdr>
    </w:div>
    <w:div w:id="268050475">
      <w:bodyDiv w:val="1"/>
      <w:marLeft w:val="0"/>
      <w:marRight w:val="0"/>
      <w:marTop w:val="0"/>
      <w:marBottom w:val="0"/>
      <w:divBdr>
        <w:top w:val="none" w:sz="0" w:space="0" w:color="auto"/>
        <w:left w:val="none" w:sz="0" w:space="0" w:color="auto"/>
        <w:bottom w:val="none" w:sz="0" w:space="0" w:color="auto"/>
        <w:right w:val="none" w:sz="0" w:space="0" w:color="auto"/>
      </w:divBdr>
    </w:div>
    <w:div w:id="268123051">
      <w:bodyDiv w:val="1"/>
      <w:marLeft w:val="0"/>
      <w:marRight w:val="0"/>
      <w:marTop w:val="0"/>
      <w:marBottom w:val="0"/>
      <w:divBdr>
        <w:top w:val="none" w:sz="0" w:space="0" w:color="auto"/>
        <w:left w:val="none" w:sz="0" w:space="0" w:color="auto"/>
        <w:bottom w:val="none" w:sz="0" w:space="0" w:color="auto"/>
        <w:right w:val="none" w:sz="0" w:space="0" w:color="auto"/>
      </w:divBdr>
    </w:div>
    <w:div w:id="268202413">
      <w:bodyDiv w:val="1"/>
      <w:marLeft w:val="0"/>
      <w:marRight w:val="0"/>
      <w:marTop w:val="0"/>
      <w:marBottom w:val="0"/>
      <w:divBdr>
        <w:top w:val="none" w:sz="0" w:space="0" w:color="auto"/>
        <w:left w:val="none" w:sz="0" w:space="0" w:color="auto"/>
        <w:bottom w:val="none" w:sz="0" w:space="0" w:color="auto"/>
        <w:right w:val="none" w:sz="0" w:space="0" w:color="auto"/>
      </w:divBdr>
    </w:div>
    <w:div w:id="268242296">
      <w:bodyDiv w:val="1"/>
      <w:marLeft w:val="0"/>
      <w:marRight w:val="0"/>
      <w:marTop w:val="0"/>
      <w:marBottom w:val="0"/>
      <w:divBdr>
        <w:top w:val="none" w:sz="0" w:space="0" w:color="auto"/>
        <w:left w:val="none" w:sz="0" w:space="0" w:color="auto"/>
        <w:bottom w:val="none" w:sz="0" w:space="0" w:color="auto"/>
        <w:right w:val="none" w:sz="0" w:space="0" w:color="auto"/>
      </w:divBdr>
    </w:div>
    <w:div w:id="268247313">
      <w:bodyDiv w:val="1"/>
      <w:marLeft w:val="0"/>
      <w:marRight w:val="0"/>
      <w:marTop w:val="0"/>
      <w:marBottom w:val="0"/>
      <w:divBdr>
        <w:top w:val="none" w:sz="0" w:space="0" w:color="auto"/>
        <w:left w:val="none" w:sz="0" w:space="0" w:color="auto"/>
        <w:bottom w:val="none" w:sz="0" w:space="0" w:color="auto"/>
        <w:right w:val="none" w:sz="0" w:space="0" w:color="auto"/>
      </w:divBdr>
    </w:div>
    <w:div w:id="268389886">
      <w:bodyDiv w:val="1"/>
      <w:marLeft w:val="0"/>
      <w:marRight w:val="0"/>
      <w:marTop w:val="0"/>
      <w:marBottom w:val="0"/>
      <w:divBdr>
        <w:top w:val="none" w:sz="0" w:space="0" w:color="auto"/>
        <w:left w:val="none" w:sz="0" w:space="0" w:color="auto"/>
        <w:bottom w:val="none" w:sz="0" w:space="0" w:color="auto"/>
        <w:right w:val="none" w:sz="0" w:space="0" w:color="auto"/>
      </w:divBdr>
    </w:div>
    <w:div w:id="268390063">
      <w:bodyDiv w:val="1"/>
      <w:marLeft w:val="0"/>
      <w:marRight w:val="0"/>
      <w:marTop w:val="0"/>
      <w:marBottom w:val="0"/>
      <w:divBdr>
        <w:top w:val="none" w:sz="0" w:space="0" w:color="auto"/>
        <w:left w:val="none" w:sz="0" w:space="0" w:color="auto"/>
        <w:bottom w:val="none" w:sz="0" w:space="0" w:color="auto"/>
        <w:right w:val="none" w:sz="0" w:space="0" w:color="auto"/>
      </w:divBdr>
    </w:div>
    <w:div w:id="268512954">
      <w:bodyDiv w:val="1"/>
      <w:marLeft w:val="0"/>
      <w:marRight w:val="0"/>
      <w:marTop w:val="0"/>
      <w:marBottom w:val="0"/>
      <w:divBdr>
        <w:top w:val="none" w:sz="0" w:space="0" w:color="auto"/>
        <w:left w:val="none" w:sz="0" w:space="0" w:color="auto"/>
        <w:bottom w:val="none" w:sz="0" w:space="0" w:color="auto"/>
        <w:right w:val="none" w:sz="0" w:space="0" w:color="auto"/>
      </w:divBdr>
    </w:div>
    <w:div w:id="268582411">
      <w:bodyDiv w:val="1"/>
      <w:marLeft w:val="0"/>
      <w:marRight w:val="0"/>
      <w:marTop w:val="0"/>
      <w:marBottom w:val="0"/>
      <w:divBdr>
        <w:top w:val="none" w:sz="0" w:space="0" w:color="auto"/>
        <w:left w:val="none" w:sz="0" w:space="0" w:color="auto"/>
        <w:bottom w:val="none" w:sz="0" w:space="0" w:color="auto"/>
        <w:right w:val="none" w:sz="0" w:space="0" w:color="auto"/>
      </w:divBdr>
    </w:div>
    <w:div w:id="268634190">
      <w:bodyDiv w:val="1"/>
      <w:marLeft w:val="0"/>
      <w:marRight w:val="0"/>
      <w:marTop w:val="0"/>
      <w:marBottom w:val="0"/>
      <w:divBdr>
        <w:top w:val="none" w:sz="0" w:space="0" w:color="auto"/>
        <w:left w:val="none" w:sz="0" w:space="0" w:color="auto"/>
        <w:bottom w:val="none" w:sz="0" w:space="0" w:color="auto"/>
        <w:right w:val="none" w:sz="0" w:space="0" w:color="auto"/>
      </w:divBdr>
    </w:div>
    <w:div w:id="268854654">
      <w:bodyDiv w:val="1"/>
      <w:marLeft w:val="0"/>
      <w:marRight w:val="0"/>
      <w:marTop w:val="0"/>
      <w:marBottom w:val="0"/>
      <w:divBdr>
        <w:top w:val="none" w:sz="0" w:space="0" w:color="auto"/>
        <w:left w:val="none" w:sz="0" w:space="0" w:color="auto"/>
        <w:bottom w:val="none" w:sz="0" w:space="0" w:color="auto"/>
        <w:right w:val="none" w:sz="0" w:space="0" w:color="auto"/>
      </w:divBdr>
    </w:div>
    <w:div w:id="268855225">
      <w:bodyDiv w:val="1"/>
      <w:marLeft w:val="0"/>
      <w:marRight w:val="0"/>
      <w:marTop w:val="0"/>
      <w:marBottom w:val="0"/>
      <w:divBdr>
        <w:top w:val="none" w:sz="0" w:space="0" w:color="auto"/>
        <w:left w:val="none" w:sz="0" w:space="0" w:color="auto"/>
        <w:bottom w:val="none" w:sz="0" w:space="0" w:color="auto"/>
        <w:right w:val="none" w:sz="0" w:space="0" w:color="auto"/>
      </w:divBdr>
    </w:div>
    <w:div w:id="268857469">
      <w:bodyDiv w:val="1"/>
      <w:marLeft w:val="0"/>
      <w:marRight w:val="0"/>
      <w:marTop w:val="0"/>
      <w:marBottom w:val="0"/>
      <w:divBdr>
        <w:top w:val="none" w:sz="0" w:space="0" w:color="auto"/>
        <w:left w:val="none" w:sz="0" w:space="0" w:color="auto"/>
        <w:bottom w:val="none" w:sz="0" w:space="0" w:color="auto"/>
        <w:right w:val="none" w:sz="0" w:space="0" w:color="auto"/>
      </w:divBdr>
    </w:div>
    <w:div w:id="268859066">
      <w:bodyDiv w:val="1"/>
      <w:marLeft w:val="0"/>
      <w:marRight w:val="0"/>
      <w:marTop w:val="0"/>
      <w:marBottom w:val="0"/>
      <w:divBdr>
        <w:top w:val="none" w:sz="0" w:space="0" w:color="auto"/>
        <w:left w:val="none" w:sz="0" w:space="0" w:color="auto"/>
        <w:bottom w:val="none" w:sz="0" w:space="0" w:color="auto"/>
        <w:right w:val="none" w:sz="0" w:space="0" w:color="auto"/>
      </w:divBdr>
    </w:div>
    <w:div w:id="268894581">
      <w:bodyDiv w:val="1"/>
      <w:marLeft w:val="0"/>
      <w:marRight w:val="0"/>
      <w:marTop w:val="0"/>
      <w:marBottom w:val="0"/>
      <w:divBdr>
        <w:top w:val="none" w:sz="0" w:space="0" w:color="auto"/>
        <w:left w:val="none" w:sz="0" w:space="0" w:color="auto"/>
        <w:bottom w:val="none" w:sz="0" w:space="0" w:color="auto"/>
        <w:right w:val="none" w:sz="0" w:space="0" w:color="auto"/>
      </w:divBdr>
    </w:div>
    <w:div w:id="268899458">
      <w:bodyDiv w:val="1"/>
      <w:marLeft w:val="0"/>
      <w:marRight w:val="0"/>
      <w:marTop w:val="0"/>
      <w:marBottom w:val="0"/>
      <w:divBdr>
        <w:top w:val="none" w:sz="0" w:space="0" w:color="auto"/>
        <w:left w:val="none" w:sz="0" w:space="0" w:color="auto"/>
        <w:bottom w:val="none" w:sz="0" w:space="0" w:color="auto"/>
        <w:right w:val="none" w:sz="0" w:space="0" w:color="auto"/>
      </w:divBdr>
    </w:div>
    <w:div w:id="269050097">
      <w:bodyDiv w:val="1"/>
      <w:marLeft w:val="0"/>
      <w:marRight w:val="0"/>
      <w:marTop w:val="0"/>
      <w:marBottom w:val="0"/>
      <w:divBdr>
        <w:top w:val="none" w:sz="0" w:space="0" w:color="auto"/>
        <w:left w:val="none" w:sz="0" w:space="0" w:color="auto"/>
        <w:bottom w:val="none" w:sz="0" w:space="0" w:color="auto"/>
        <w:right w:val="none" w:sz="0" w:space="0" w:color="auto"/>
      </w:divBdr>
    </w:div>
    <w:div w:id="269096008">
      <w:bodyDiv w:val="1"/>
      <w:marLeft w:val="0"/>
      <w:marRight w:val="0"/>
      <w:marTop w:val="0"/>
      <w:marBottom w:val="0"/>
      <w:divBdr>
        <w:top w:val="none" w:sz="0" w:space="0" w:color="auto"/>
        <w:left w:val="none" w:sz="0" w:space="0" w:color="auto"/>
        <w:bottom w:val="none" w:sz="0" w:space="0" w:color="auto"/>
        <w:right w:val="none" w:sz="0" w:space="0" w:color="auto"/>
      </w:divBdr>
    </w:div>
    <w:div w:id="269169353">
      <w:bodyDiv w:val="1"/>
      <w:marLeft w:val="0"/>
      <w:marRight w:val="0"/>
      <w:marTop w:val="0"/>
      <w:marBottom w:val="0"/>
      <w:divBdr>
        <w:top w:val="none" w:sz="0" w:space="0" w:color="auto"/>
        <w:left w:val="none" w:sz="0" w:space="0" w:color="auto"/>
        <w:bottom w:val="none" w:sz="0" w:space="0" w:color="auto"/>
        <w:right w:val="none" w:sz="0" w:space="0" w:color="auto"/>
      </w:divBdr>
    </w:div>
    <w:div w:id="269315817">
      <w:bodyDiv w:val="1"/>
      <w:marLeft w:val="0"/>
      <w:marRight w:val="0"/>
      <w:marTop w:val="0"/>
      <w:marBottom w:val="0"/>
      <w:divBdr>
        <w:top w:val="none" w:sz="0" w:space="0" w:color="auto"/>
        <w:left w:val="none" w:sz="0" w:space="0" w:color="auto"/>
        <w:bottom w:val="none" w:sz="0" w:space="0" w:color="auto"/>
        <w:right w:val="none" w:sz="0" w:space="0" w:color="auto"/>
      </w:divBdr>
    </w:div>
    <w:div w:id="269317425">
      <w:bodyDiv w:val="1"/>
      <w:marLeft w:val="0"/>
      <w:marRight w:val="0"/>
      <w:marTop w:val="0"/>
      <w:marBottom w:val="0"/>
      <w:divBdr>
        <w:top w:val="none" w:sz="0" w:space="0" w:color="auto"/>
        <w:left w:val="none" w:sz="0" w:space="0" w:color="auto"/>
        <w:bottom w:val="none" w:sz="0" w:space="0" w:color="auto"/>
        <w:right w:val="none" w:sz="0" w:space="0" w:color="auto"/>
      </w:divBdr>
    </w:div>
    <w:div w:id="269360807">
      <w:bodyDiv w:val="1"/>
      <w:marLeft w:val="0"/>
      <w:marRight w:val="0"/>
      <w:marTop w:val="0"/>
      <w:marBottom w:val="0"/>
      <w:divBdr>
        <w:top w:val="none" w:sz="0" w:space="0" w:color="auto"/>
        <w:left w:val="none" w:sz="0" w:space="0" w:color="auto"/>
        <w:bottom w:val="none" w:sz="0" w:space="0" w:color="auto"/>
        <w:right w:val="none" w:sz="0" w:space="0" w:color="auto"/>
      </w:divBdr>
    </w:div>
    <w:div w:id="269362622">
      <w:bodyDiv w:val="1"/>
      <w:marLeft w:val="0"/>
      <w:marRight w:val="0"/>
      <w:marTop w:val="0"/>
      <w:marBottom w:val="0"/>
      <w:divBdr>
        <w:top w:val="none" w:sz="0" w:space="0" w:color="auto"/>
        <w:left w:val="none" w:sz="0" w:space="0" w:color="auto"/>
        <w:bottom w:val="none" w:sz="0" w:space="0" w:color="auto"/>
        <w:right w:val="none" w:sz="0" w:space="0" w:color="auto"/>
      </w:divBdr>
    </w:div>
    <w:div w:id="269436923">
      <w:bodyDiv w:val="1"/>
      <w:marLeft w:val="0"/>
      <w:marRight w:val="0"/>
      <w:marTop w:val="0"/>
      <w:marBottom w:val="0"/>
      <w:divBdr>
        <w:top w:val="none" w:sz="0" w:space="0" w:color="auto"/>
        <w:left w:val="none" w:sz="0" w:space="0" w:color="auto"/>
        <w:bottom w:val="none" w:sz="0" w:space="0" w:color="auto"/>
        <w:right w:val="none" w:sz="0" w:space="0" w:color="auto"/>
      </w:divBdr>
    </w:div>
    <w:div w:id="269515045">
      <w:bodyDiv w:val="1"/>
      <w:marLeft w:val="0"/>
      <w:marRight w:val="0"/>
      <w:marTop w:val="0"/>
      <w:marBottom w:val="0"/>
      <w:divBdr>
        <w:top w:val="none" w:sz="0" w:space="0" w:color="auto"/>
        <w:left w:val="none" w:sz="0" w:space="0" w:color="auto"/>
        <w:bottom w:val="none" w:sz="0" w:space="0" w:color="auto"/>
        <w:right w:val="none" w:sz="0" w:space="0" w:color="auto"/>
      </w:divBdr>
    </w:div>
    <w:div w:id="269632910">
      <w:bodyDiv w:val="1"/>
      <w:marLeft w:val="0"/>
      <w:marRight w:val="0"/>
      <w:marTop w:val="0"/>
      <w:marBottom w:val="0"/>
      <w:divBdr>
        <w:top w:val="none" w:sz="0" w:space="0" w:color="auto"/>
        <w:left w:val="none" w:sz="0" w:space="0" w:color="auto"/>
        <w:bottom w:val="none" w:sz="0" w:space="0" w:color="auto"/>
        <w:right w:val="none" w:sz="0" w:space="0" w:color="auto"/>
      </w:divBdr>
    </w:div>
    <w:div w:id="269705903">
      <w:bodyDiv w:val="1"/>
      <w:marLeft w:val="0"/>
      <w:marRight w:val="0"/>
      <w:marTop w:val="0"/>
      <w:marBottom w:val="0"/>
      <w:divBdr>
        <w:top w:val="none" w:sz="0" w:space="0" w:color="auto"/>
        <w:left w:val="none" w:sz="0" w:space="0" w:color="auto"/>
        <w:bottom w:val="none" w:sz="0" w:space="0" w:color="auto"/>
        <w:right w:val="none" w:sz="0" w:space="0" w:color="auto"/>
      </w:divBdr>
    </w:div>
    <w:div w:id="269823571">
      <w:bodyDiv w:val="1"/>
      <w:marLeft w:val="0"/>
      <w:marRight w:val="0"/>
      <w:marTop w:val="0"/>
      <w:marBottom w:val="0"/>
      <w:divBdr>
        <w:top w:val="none" w:sz="0" w:space="0" w:color="auto"/>
        <w:left w:val="none" w:sz="0" w:space="0" w:color="auto"/>
        <w:bottom w:val="none" w:sz="0" w:space="0" w:color="auto"/>
        <w:right w:val="none" w:sz="0" w:space="0" w:color="auto"/>
      </w:divBdr>
    </w:div>
    <w:div w:id="269825216">
      <w:bodyDiv w:val="1"/>
      <w:marLeft w:val="0"/>
      <w:marRight w:val="0"/>
      <w:marTop w:val="0"/>
      <w:marBottom w:val="0"/>
      <w:divBdr>
        <w:top w:val="none" w:sz="0" w:space="0" w:color="auto"/>
        <w:left w:val="none" w:sz="0" w:space="0" w:color="auto"/>
        <w:bottom w:val="none" w:sz="0" w:space="0" w:color="auto"/>
        <w:right w:val="none" w:sz="0" w:space="0" w:color="auto"/>
      </w:divBdr>
    </w:div>
    <w:div w:id="269973368">
      <w:bodyDiv w:val="1"/>
      <w:marLeft w:val="0"/>
      <w:marRight w:val="0"/>
      <w:marTop w:val="0"/>
      <w:marBottom w:val="0"/>
      <w:divBdr>
        <w:top w:val="none" w:sz="0" w:space="0" w:color="auto"/>
        <w:left w:val="none" w:sz="0" w:space="0" w:color="auto"/>
        <w:bottom w:val="none" w:sz="0" w:space="0" w:color="auto"/>
        <w:right w:val="none" w:sz="0" w:space="0" w:color="auto"/>
      </w:divBdr>
    </w:div>
    <w:div w:id="269974302">
      <w:bodyDiv w:val="1"/>
      <w:marLeft w:val="0"/>
      <w:marRight w:val="0"/>
      <w:marTop w:val="0"/>
      <w:marBottom w:val="0"/>
      <w:divBdr>
        <w:top w:val="none" w:sz="0" w:space="0" w:color="auto"/>
        <w:left w:val="none" w:sz="0" w:space="0" w:color="auto"/>
        <w:bottom w:val="none" w:sz="0" w:space="0" w:color="auto"/>
        <w:right w:val="none" w:sz="0" w:space="0" w:color="auto"/>
      </w:divBdr>
    </w:div>
    <w:div w:id="270013498">
      <w:bodyDiv w:val="1"/>
      <w:marLeft w:val="0"/>
      <w:marRight w:val="0"/>
      <w:marTop w:val="0"/>
      <w:marBottom w:val="0"/>
      <w:divBdr>
        <w:top w:val="none" w:sz="0" w:space="0" w:color="auto"/>
        <w:left w:val="none" w:sz="0" w:space="0" w:color="auto"/>
        <w:bottom w:val="none" w:sz="0" w:space="0" w:color="auto"/>
        <w:right w:val="none" w:sz="0" w:space="0" w:color="auto"/>
      </w:divBdr>
    </w:div>
    <w:div w:id="270018680">
      <w:bodyDiv w:val="1"/>
      <w:marLeft w:val="0"/>
      <w:marRight w:val="0"/>
      <w:marTop w:val="0"/>
      <w:marBottom w:val="0"/>
      <w:divBdr>
        <w:top w:val="none" w:sz="0" w:space="0" w:color="auto"/>
        <w:left w:val="none" w:sz="0" w:space="0" w:color="auto"/>
        <w:bottom w:val="none" w:sz="0" w:space="0" w:color="auto"/>
        <w:right w:val="none" w:sz="0" w:space="0" w:color="auto"/>
      </w:divBdr>
    </w:div>
    <w:div w:id="270092960">
      <w:bodyDiv w:val="1"/>
      <w:marLeft w:val="0"/>
      <w:marRight w:val="0"/>
      <w:marTop w:val="0"/>
      <w:marBottom w:val="0"/>
      <w:divBdr>
        <w:top w:val="none" w:sz="0" w:space="0" w:color="auto"/>
        <w:left w:val="none" w:sz="0" w:space="0" w:color="auto"/>
        <w:bottom w:val="none" w:sz="0" w:space="0" w:color="auto"/>
        <w:right w:val="none" w:sz="0" w:space="0" w:color="auto"/>
      </w:divBdr>
    </w:div>
    <w:div w:id="270095059">
      <w:bodyDiv w:val="1"/>
      <w:marLeft w:val="0"/>
      <w:marRight w:val="0"/>
      <w:marTop w:val="0"/>
      <w:marBottom w:val="0"/>
      <w:divBdr>
        <w:top w:val="none" w:sz="0" w:space="0" w:color="auto"/>
        <w:left w:val="none" w:sz="0" w:space="0" w:color="auto"/>
        <w:bottom w:val="none" w:sz="0" w:space="0" w:color="auto"/>
        <w:right w:val="none" w:sz="0" w:space="0" w:color="auto"/>
      </w:divBdr>
    </w:div>
    <w:div w:id="270357946">
      <w:bodyDiv w:val="1"/>
      <w:marLeft w:val="0"/>
      <w:marRight w:val="0"/>
      <w:marTop w:val="0"/>
      <w:marBottom w:val="0"/>
      <w:divBdr>
        <w:top w:val="none" w:sz="0" w:space="0" w:color="auto"/>
        <w:left w:val="none" w:sz="0" w:space="0" w:color="auto"/>
        <w:bottom w:val="none" w:sz="0" w:space="0" w:color="auto"/>
        <w:right w:val="none" w:sz="0" w:space="0" w:color="auto"/>
      </w:divBdr>
    </w:div>
    <w:div w:id="270359274">
      <w:bodyDiv w:val="1"/>
      <w:marLeft w:val="0"/>
      <w:marRight w:val="0"/>
      <w:marTop w:val="0"/>
      <w:marBottom w:val="0"/>
      <w:divBdr>
        <w:top w:val="none" w:sz="0" w:space="0" w:color="auto"/>
        <w:left w:val="none" w:sz="0" w:space="0" w:color="auto"/>
        <w:bottom w:val="none" w:sz="0" w:space="0" w:color="auto"/>
        <w:right w:val="none" w:sz="0" w:space="0" w:color="auto"/>
      </w:divBdr>
    </w:div>
    <w:div w:id="270362656">
      <w:bodyDiv w:val="1"/>
      <w:marLeft w:val="0"/>
      <w:marRight w:val="0"/>
      <w:marTop w:val="0"/>
      <w:marBottom w:val="0"/>
      <w:divBdr>
        <w:top w:val="none" w:sz="0" w:space="0" w:color="auto"/>
        <w:left w:val="none" w:sz="0" w:space="0" w:color="auto"/>
        <w:bottom w:val="none" w:sz="0" w:space="0" w:color="auto"/>
        <w:right w:val="none" w:sz="0" w:space="0" w:color="auto"/>
      </w:divBdr>
    </w:div>
    <w:div w:id="270474526">
      <w:bodyDiv w:val="1"/>
      <w:marLeft w:val="0"/>
      <w:marRight w:val="0"/>
      <w:marTop w:val="0"/>
      <w:marBottom w:val="0"/>
      <w:divBdr>
        <w:top w:val="none" w:sz="0" w:space="0" w:color="auto"/>
        <w:left w:val="none" w:sz="0" w:space="0" w:color="auto"/>
        <w:bottom w:val="none" w:sz="0" w:space="0" w:color="auto"/>
        <w:right w:val="none" w:sz="0" w:space="0" w:color="auto"/>
      </w:divBdr>
    </w:div>
    <w:div w:id="270475489">
      <w:bodyDiv w:val="1"/>
      <w:marLeft w:val="0"/>
      <w:marRight w:val="0"/>
      <w:marTop w:val="0"/>
      <w:marBottom w:val="0"/>
      <w:divBdr>
        <w:top w:val="none" w:sz="0" w:space="0" w:color="auto"/>
        <w:left w:val="none" w:sz="0" w:space="0" w:color="auto"/>
        <w:bottom w:val="none" w:sz="0" w:space="0" w:color="auto"/>
        <w:right w:val="none" w:sz="0" w:space="0" w:color="auto"/>
      </w:divBdr>
    </w:div>
    <w:div w:id="270556678">
      <w:bodyDiv w:val="1"/>
      <w:marLeft w:val="0"/>
      <w:marRight w:val="0"/>
      <w:marTop w:val="0"/>
      <w:marBottom w:val="0"/>
      <w:divBdr>
        <w:top w:val="none" w:sz="0" w:space="0" w:color="auto"/>
        <w:left w:val="none" w:sz="0" w:space="0" w:color="auto"/>
        <w:bottom w:val="none" w:sz="0" w:space="0" w:color="auto"/>
        <w:right w:val="none" w:sz="0" w:space="0" w:color="auto"/>
      </w:divBdr>
    </w:div>
    <w:div w:id="270667390">
      <w:bodyDiv w:val="1"/>
      <w:marLeft w:val="0"/>
      <w:marRight w:val="0"/>
      <w:marTop w:val="0"/>
      <w:marBottom w:val="0"/>
      <w:divBdr>
        <w:top w:val="none" w:sz="0" w:space="0" w:color="auto"/>
        <w:left w:val="none" w:sz="0" w:space="0" w:color="auto"/>
        <w:bottom w:val="none" w:sz="0" w:space="0" w:color="auto"/>
        <w:right w:val="none" w:sz="0" w:space="0" w:color="auto"/>
      </w:divBdr>
    </w:div>
    <w:div w:id="270671014">
      <w:bodyDiv w:val="1"/>
      <w:marLeft w:val="0"/>
      <w:marRight w:val="0"/>
      <w:marTop w:val="0"/>
      <w:marBottom w:val="0"/>
      <w:divBdr>
        <w:top w:val="none" w:sz="0" w:space="0" w:color="auto"/>
        <w:left w:val="none" w:sz="0" w:space="0" w:color="auto"/>
        <w:bottom w:val="none" w:sz="0" w:space="0" w:color="auto"/>
        <w:right w:val="none" w:sz="0" w:space="0" w:color="auto"/>
      </w:divBdr>
    </w:div>
    <w:div w:id="270749865">
      <w:bodyDiv w:val="1"/>
      <w:marLeft w:val="0"/>
      <w:marRight w:val="0"/>
      <w:marTop w:val="0"/>
      <w:marBottom w:val="0"/>
      <w:divBdr>
        <w:top w:val="none" w:sz="0" w:space="0" w:color="auto"/>
        <w:left w:val="none" w:sz="0" w:space="0" w:color="auto"/>
        <w:bottom w:val="none" w:sz="0" w:space="0" w:color="auto"/>
        <w:right w:val="none" w:sz="0" w:space="0" w:color="auto"/>
      </w:divBdr>
    </w:div>
    <w:div w:id="270866792">
      <w:bodyDiv w:val="1"/>
      <w:marLeft w:val="0"/>
      <w:marRight w:val="0"/>
      <w:marTop w:val="0"/>
      <w:marBottom w:val="0"/>
      <w:divBdr>
        <w:top w:val="none" w:sz="0" w:space="0" w:color="auto"/>
        <w:left w:val="none" w:sz="0" w:space="0" w:color="auto"/>
        <w:bottom w:val="none" w:sz="0" w:space="0" w:color="auto"/>
        <w:right w:val="none" w:sz="0" w:space="0" w:color="auto"/>
      </w:divBdr>
    </w:div>
    <w:div w:id="270943245">
      <w:bodyDiv w:val="1"/>
      <w:marLeft w:val="0"/>
      <w:marRight w:val="0"/>
      <w:marTop w:val="0"/>
      <w:marBottom w:val="0"/>
      <w:divBdr>
        <w:top w:val="none" w:sz="0" w:space="0" w:color="auto"/>
        <w:left w:val="none" w:sz="0" w:space="0" w:color="auto"/>
        <w:bottom w:val="none" w:sz="0" w:space="0" w:color="auto"/>
        <w:right w:val="none" w:sz="0" w:space="0" w:color="auto"/>
      </w:divBdr>
    </w:div>
    <w:div w:id="271060602">
      <w:bodyDiv w:val="1"/>
      <w:marLeft w:val="0"/>
      <w:marRight w:val="0"/>
      <w:marTop w:val="0"/>
      <w:marBottom w:val="0"/>
      <w:divBdr>
        <w:top w:val="none" w:sz="0" w:space="0" w:color="auto"/>
        <w:left w:val="none" w:sz="0" w:space="0" w:color="auto"/>
        <w:bottom w:val="none" w:sz="0" w:space="0" w:color="auto"/>
        <w:right w:val="none" w:sz="0" w:space="0" w:color="auto"/>
      </w:divBdr>
    </w:div>
    <w:div w:id="271400281">
      <w:bodyDiv w:val="1"/>
      <w:marLeft w:val="0"/>
      <w:marRight w:val="0"/>
      <w:marTop w:val="0"/>
      <w:marBottom w:val="0"/>
      <w:divBdr>
        <w:top w:val="none" w:sz="0" w:space="0" w:color="auto"/>
        <w:left w:val="none" w:sz="0" w:space="0" w:color="auto"/>
        <w:bottom w:val="none" w:sz="0" w:space="0" w:color="auto"/>
        <w:right w:val="none" w:sz="0" w:space="0" w:color="auto"/>
      </w:divBdr>
    </w:div>
    <w:div w:id="271402408">
      <w:bodyDiv w:val="1"/>
      <w:marLeft w:val="0"/>
      <w:marRight w:val="0"/>
      <w:marTop w:val="0"/>
      <w:marBottom w:val="0"/>
      <w:divBdr>
        <w:top w:val="none" w:sz="0" w:space="0" w:color="auto"/>
        <w:left w:val="none" w:sz="0" w:space="0" w:color="auto"/>
        <w:bottom w:val="none" w:sz="0" w:space="0" w:color="auto"/>
        <w:right w:val="none" w:sz="0" w:space="0" w:color="auto"/>
      </w:divBdr>
    </w:div>
    <w:div w:id="271402679">
      <w:bodyDiv w:val="1"/>
      <w:marLeft w:val="0"/>
      <w:marRight w:val="0"/>
      <w:marTop w:val="0"/>
      <w:marBottom w:val="0"/>
      <w:divBdr>
        <w:top w:val="none" w:sz="0" w:space="0" w:color="auto"/>
        <w:left w:val="none" w:sz="0" w:space="0" w:color="auto"/>
        <w:bottom w:val="none" w:sz="0" w:space="0" w:color="auto"/>
        <w:right w:val="none" w:sz="0" w:space="0" w:color="auto"/>
      </w:divBdr>
    </w:div>
    <w:div w:id="271476418">
      <w:bodyDiv w:val="1"/>
      <w:marLeft w:val="0"/>
      <w:marRight w:val="0"/>
      <w:marTop w:val="0"/>
      <w:marBottom w:val="0"/>
      <w:divBdr>
        <w:top w:val="none" w:sz="0" w:space="0" w:color="auto"/>
        <w:left w:val="none" w:sz="0" w:space="0" w:color="auto"/>
        <w:bottom w:val="none" w:sz="0" w:space="0" w:color="auto"/>
        <w:right w:val="none" w:sz="0" w:space="0" w:color="auto"/>
      </w:divBdr>
    </w:div>
    <w:div w:id="271593258">
      <w:bodyDiv w:val="1"/>
      <w:marLeft w:val="0"/>
      <w:marRight w:val="0"/>
      <w:marTop w:val="0"/>
      <w:marBottom w:val="0"/>
      <w:divBdr>
        <w:top w:val="none" w:sz="0" w:space="0" w:color="auto"/>
        <w:left w:val="none" w:sz="0" w:space="0" w:color="auto"/>
        <w:bottom w:val="none" w:sz="0" w:space="0" w:color="auto"/>
        <w:right w:val="none" w:sz="0" w:space="0" w:color="auto"/>
      </w:divBdr>
    </w:div>
    <w:div w:id="271741215">
      <w:bodyDiv w:val="1"/>
      <w:marLeft w:val="0"/>
      <w:marRight w:val="0"/>
      <w:marTop w:val="0"/>
      <w:marBottom w:val="0"/>
      <w:divBdr>
        <w:top w:val="none" w:sz="0" w:space="0" w:color="auto"/>
        <w:left w:val="none" w:sz="0" w:space="0" w:color="auto"/>
        <w:bottom w:val="none" w:sz="0" w:space="0" w:color="auto"/>
        <w:right w:val="none" w:sz="0" w:space="0" w:color="auto"/>
      </w:divBdr>
    </w:div>
    <w:div w:id="271783207">
      <w:bodyDiv w:val="1"/>
      <w:marLeft w:val="0"/>
      <w:marRight w:val="0"/>
      <w:marTop w:val="0"/>
      <w:marBottom w:val="0"/>
      <w:divBdr>
        <w:top w:val="none" w:sz="0" w:space="0" w:color="auto"/>
        <w:left w:val="none" w:sz="0" w:space="0" w:color="auto"/>
        <w:bottom w:val="none" w:sz="0" w:space="0" w:color="auto"/>
        <w:right w:val="none" w:sz="0" w:space="0" w:color="auto"/>
      </w:divBdr>
    </w:div>
    <w:div w:id="271789027">
      <w:bodyDiv w:val="1"/>
      <w:marLeft w:val="0"/>
      <w:marRight w:val="0"/>
      <w:marTop w:val="0"/>
      <w:marBottom w:val="0"/>
      <w:divBdr>
        <w:top w:val="none" w:sz="0" w:space="0" w:color="auto"/>
        <w:left w:val="none" w:sz="0" w:space="0" w:color="auto"/>
        <w:bottom w:val="none" w:sz="0" w:space="0" w:color="auto"/>
        <w:right w:val="none" w:sz="0" w:space="0" w:color="auto"/>
      </w:divBdr>
    </w:div>
    <w:div w:id="271935098">
      <w:bodyDiv w:val="1"/>
      <w:marLeft w:val="0"/>
      <w:marRight w:val="0"/>
      <w:marTop w:val="0"/>
      <w:marBottom w:val="0"/>
      <w:divBdr>
        <w:top w:val="none" w:sz="0" w:space="0" w:color="auto"/>
        <w:left w:val="none" w:sz="0" w:space="0" w:color="auto"/>
        <w:bottom w:val="none" w:sz="0" w:space="0" w:color="auto"/>
        <w:right w:val="none" w:sz="0" w:space="0" w:color="auto"/>
      </w:divBdr>
    </w:div>
    <w:div w:id="271941051">
      <w:bodyDiv w:val="1"/>
      <w:marLeft w:val="0"/>
      <w:marRight w:val="0"/>
      <w:marTop w:val="0"/>
      <w:marBottom w:val="0"/>
      <w:divBdr>
        <w:top w:val="none" w:sz="0" w:space="0" w:color="auto"/>
        <w:left w:val="none" w:sz="0" w:space="0" w:color="auto"/>
        <w:bottom w:val="none" w:sz="0" w:space="0" w:color="auto"/>
        <w:right w:val="none" w:sz="0" w:space="0" w:color="auto"/>
      </w:divBdr>
    </w:div>
    <w:div w:id="272056394">
      <w:bodyDiv w:val="1"/>
      <w:marLeft w:val="0"/>
      <w:marRight w:val="0"/>
      <w:marTop w:val="0"/>
      <w:marBottom w:val="0"/>
      <w:divBdr>
        <w:top w:val="none" w:sz="0" w:space="0" w:color="auto"/>
        <w:left w:val="none" w:sz="0" w:space="0" w:color="auto"/>
        <w:bottom w:val="none" w:sz="0" w:space="0" w:color="auto"/>
        <w:right w:val="none" w:sz="0" w:space="0" w:color="auto"/>
      </w:divBdr>
    </w:div>
    <w:div w:id="272060529">
      <w:bodyDiv w:val="1"/>
      <w:marLeft w:val="0"/>
      <w:marRight w:val="0"/>
      <w:marTop w:val="0"/>
      <w:marBottom w:val="0"/>
      <w:divBdr>
        <w:top w:val="none" w:sz="0" w:space="0" w:color="auto"/>
        <w:left w:val="none" w:sz="0" w:space="0" w:color="auto"/>
        <w:bottom w:val="none" w:sz="0" w:space="0" w:color="auto"/>
        <w:right w:val="none" w:sz="0" w:space="0" w:color="auto"/>
      </w:divBdr>
    </w:div>
    <w:div w:id="272446126">
      <w:bodyDiv w:val="1"/>
      <w:marLeft w:val="0"/>
      <w:marRight w:val="0"/>
      <w:marTop w:val="0"/>
      <w:marBottom w:val="0"/>
      <w:divBdr>
        <w:top w:val="none" w:sz="0" w:space="0" w:color="auto"/>
        <w:left w:val="none" w:sz="0" w:space="0" w:color="auto"/>
        <w:bottom w:val="none" w:sz="0" w:space="0" w:color="auto"/>
        <w:right w:val="none" w:sz="0" w:space="0" w:color="auto"/>
      </w:divBdr>
    </w:div>
    <w:div w:id="272520170">
      <w:bodyDiv w:val="1"/>
      <w:marLeft w:val="0"/>
      <w:marRight w:val="0"/>
      <w:marTop w:val="0"/>
      <w:marBottom w:val="0"/>
      <w:divBdr>
        <w:top w:val="none" w:sz="0" w:space="0" w:color="auto"/>
        <w:left w:val="none" w:sz="0" w:space="0" w:color="auto"/>
        <w:bottom w:val="none" w:sz="0" w:space="0" w:color="auto"/>
        <w:right w:val="none" w:sz="0" w:space="0" w:color="auto"/>
      </w:divBdr>
    </w:div>
    <w:div w:id="272564250">
      <w:bodyDiv w:val="1"/>
      <w:marLeft w:val="0"/>
      <w:marRight w:val="0"/>
      <w:marTop w:val="0"/>
      <w:marBottom w:val="0"/>
      <w:divBdr>
        <w:top w:val="none" w:sz="0" w:space="0" w:color="auto"/>
        <w:left w:val="none" w:sz="0" w:space="0" w:color="auto"/>
        <w:bottom w:val="none" w:sz="0" w:space="0" w:color="auto"/>
        <w:right w:val="none" w:sz="0" w:space="0" w:color="auto"/>
      </w:divBdr>
    </w:div>
    <w:div w:id="272596971">
      <w:bodyDiv w:val="1"/>
      <w:marLeft w:val="0"/>
      <w:marRight w:val="0"/>
      <w:marTop w:val="0"/>
      <w:marBottom w:val="0"/>
      <w:divBdr>
        <w:top w:val="none" w:sz="0" w:space="0" w:color="auto"/>
        <w:left w:val="none" w:sz="0" w:space="0" w:color="auto"/>
        <w:bottom w:val="none" w:sz="0" w:space="0" w:color="auto"/>
        <w:right w:val="none" w:sz="0" w:space="0" w:color="auto"/>
      </w:divBdr>
    </w:div>
    <w:div w:id="272831339">
      <w:bodyDiv w:val="1"/>
      <w:marLeft w:val="0"/>
      <w:marRight w:val="0"/>
      <w:marTop w:val="0"/>
      <w:marBottom w:val="0"/>
      <w:divBdr>
        <w:top w:val="none" w:sz="0" w:space="0" w:color="auto"/>
        <w:left w:val="none" w:sz="0" w:space="0" w:color="auto"/>
        <w:bottom w:val="none" w:sz="0" w:space="0" w:color="auto"/>
        <w:right w:val="none" w:sz="0" w:space="0" w:color="auto"/>
      </w:divBdr>
    </w:div>
    <w:div w:id="272832050">
      <w:bodyDiv w:val="1"/>
      <w:marLeft w:val="0"/>
      <w:marRight w:val="0"/>
      <w:marTop w:val="0"/>
      <w:marBottom w:val="0"/>
      <w:divBdr>
        <w:top w:val="none" w:sz="0" w:space="0" w:color="auto"/>
        <w:left w:val="none" w:sz="0" w:space="0" w:color="auto"/>
        <w:bottom w:val="none" w:sz="0" w:space="0" w:color="auto"/>
        <w:right w:val="none" w:sz="0" w:space="0" w:color="auto"/>
      </w:divBdr>
    </w:div>
    <w:div w:id="272834445">
      <w:bodyDiv w:val="1"/>
      <w:marLeft w:val="0"/>
      <w:marRight w:val="0"/>
      <w:marTop w:val="0"/>
      <w:marBottom w:val="0"/>
      <w:divBdr>
        <w:top w:val="none" w:sz="0" w:space="0" w:color="auto"/>
        <w:left w:val="none" w:sz="0" w:space="0" w:color="auto"/>
        <w:bottom w:val="none" w:sz="0" w:space="0" w:color="auto"/>
        <w:right w:val="none" w:sz="0" w:space="0" w:color="auto"/>
      </w:divBdr>
    </w:div>
    <w:div w:id="273023963">
      <w:bodyDiv w:val="1"/>
      <w:marLeft w:val="0"/>
      <w:marRight w:val="0"/>
      <w:marTop w:val="0"/>
      <w:marBottom w:val="0"/>
      <w:divBdr>
        <w:top w:val="none" w:sz="0" w:space="0" w:color="auto"/>
        <w:left w:val="none" w:sz="0" w:space="0" w:color="auto"/>
        <w:bottom w:val="none" w:sz="0" w:space="0" w:color="auto"/>
        <w:right w:val="none" w:sz="0" w:space="0" w:color="auto"/>
      </w:divBdr>
    </w:div>
    <w:div w:id="273096687">
      <w:bodyDiv w:val="1"/>
      <w:marLeft w:val="0"/>
      <w:marRight w:val="0"/>
      <w:marTop w:val="0"/>
      <w:marBottom w:val="0"/>
      <w:divBdr>
        <w:top w:val="none" w:sz="0" w:space="0" w:color="auto"/>
        <w:left w:val="none" w:sz="0" w:space="0" w:color="auto"/>
        <w:bottom w:val="none" w:sz="0" w:space="0" w:color="auto"/>
        <w:right w:val="none" w:sz="0" w:space="0" w:color="auto"/>
      </w:divBdr>
    </w:div>
    <w:div w:id="273289057">
      <w:bodyDiv w:val="1"/>
      <w:marLeft w:val="0"/>
      <w:marRight w:val="0"/>
      <w:marTop w:val="0"/>
      <w:marBottom w:val="0"/>
      <w:divBdr>
        <w:top w:val="none" w:sz="0" w:space="0" w:color="auto"/>
        <w:left w:val="none" w:sz="0" w:space="0" w:color="auto"/>
        <w:bottom w:val="none" w:sz="0" w:space="0" w:color="auto"/>
        <w:right w:val="none" w:sz="0" w:space="0" w:color="auto"/>
      </w:divBdr>
    </w:div>
    <w:div w:id="273482060">
      <w:bodyDiv w:val="1"/>
      <w:marLeft w:val="0"/>
      <w:marRight w:val="0"/>
      <w:marTop w:val="0"/>
      <w:marBottom w:val="0"/>
      <w:divBdr>
        <w:top w:val="none" w:sz="0" w:space="0" w:color="auto"/>
        <w:left w:val="none" w:sz="0" w:space="0" w:color="auto"/>
        <w:bottom w:val="none" w:sz="0" w:space="0" w:color="auto"/>
        <w:right w:val="none" w:sz="0" w:space="0" w:color="auto"/>
      </w:divBdr>
    </w:div>
    <w:div w:id="273561035">
      <w:bodyDiv w:val="1"/>
      <w:marLeft w:val="0"/>
      <w:marRight w:val="0"/>
      <w:marTop w:val="0"/>
      <w:marBottom w:val="0"/>
      <w:divBdr>
        <w:top w:val="none" w:sz="0" w:space="0" w:color="auto"/>
        <w:left w:val="none" w:sz="0" w:space="0" w:color="auto"/>
        <w:bottom w:val="none" w:sz="0" w:space="0" w:color="auto"/>
        <w:right w:val="none" w:sz="0" w:space="0" w:color="auto"/>
      </w:divBdr>
    </w:div>
    <w:div w:id="273634435">
      <w:bodyDiv w:val="1"/>
      <w:marLeft w:val="0"/>
      <w:marRight w:val="0"/>
      <w:marTop w:val="0"/>
      <w:marBottom w:val="0"/>
      <w:divBdr>
        <w:top w:val="none" w:sz="0" w:space="0" w:color="auto"/>
        <w:left w:val="none" w:sz="0" w:space="0" w:color="auto"/>
        <w:bottom w:val="none" w:sz="0" w:space="0" w:color="auto"/>
        <w:right w:val="none" w:sz="0" w:space="0" w:color="auto"/>
      </w:divBdr>
    </w:div>
    <w:div w:id="273638387">
      <w:bodyDiv w:val="1"/>
      <w:marLeft w:val="0"/>
      <w:marRight w:val="0"/>
      <w:marTop w:val="0"/>
      <w:marBottom w:val="0"/>
      <w:divBdr>
        <w:top w:val="none" w:sz="0" w:space="0" w:color="auto"/>
        <w:left w:val="none" w:sz="0" w:space="0" w:color="auto"/>
        <w:bottom w:val="none" w:sz="0" w:space="0" w:color="auto"/>
        <w:right w:val="none" w:sz="0" w:space="0" w:color="auto"/>
      </w:divBdr>
    </w:div>
    <w:div w:id="273876102">
      <w:bodyDiv w:val="1"/>
      <w:marLeft w:val="0"/>
      <w:marRight w:val="0"/>
      <w:marTop w:val="0"/>
      <w:marBottom w:val="0"/>
      <w:divBdr>
        <w:top w:val="none" w:sz="0" w:space="0" w:color="auto"/>
        <w:left w:val="none" w:sz="0" w:space="0" w:color="auto"/>
        <w:bottom w:val="none" w:sz="0" w:space="0" w:color="auto"/>
        <w:right w:val="none" w:sz="0" w:space="0" w:color="auto"/>
      </w:divBdr>
    </w:div>
    <w:div w:id="273905349">
      <w:bodyDiv w:val="1"/>
      <w:marLeft w:val="0"/>
      <w:marRight w:val="0"/>
      <w:marTop w:val="0"/>
      <w:marBottom w:val="0"/>
      <w:divBdr>
        <w:top w:val="none" w:sz="0" w:space="0" w:color="auto"/>
        <w:left w:val="none" w:sz="0" w:space="0" w:color="auto"/>
        <w:bottom w:val="none" w:sz="0" w:space="0" w:color="auto"/>
        <w:right w:val="none" w:sz="0" w:space="0" w:color="auto"/>
      </w:divBdr>
    </w:div>
    <w:div w:id="273942707">
      <w:bodyDiv w:val="1"/>
      <w:marLeft w:val="0"/>
      <w:marRight w:val="0"/>
      <w:marTop w:val="0"/>
      <w:marBottom w:val="0"/>
      <w:divBdr>
        <w:top w:val="none" w:sz="0" w:space="0" w:color="auto"/>
        <w:left w:val="none" w:sz="0" w:space="0" w:color="auto"/>
        <w:bottom w:val="none" w:sz="0" w:space="0" w:color="auto"/>
        <w:right w:val="none" w:sz="0" w:space="0" w:color="auto"/>
      </w:divBdr>
    </w:div>
    <w:div w:id="274024625">
      <w:bodyDiv w:val="1"/>
      <w:marLeft w:val="0"/>
      <w:marRight w:val="0"/>
      <w:marTop w:val="0"/>
      <w:marBottom w:val="0"/>
      <w:divBdr>
        <w:top w:val="none" w:sz="0" w:space="0" w:color="auto"/>
        <w:left w:val="none" w:sz="0" w:space="0" w:color="auto"/>
        <w:bottom w:val="none" w:sz="0" w:space="0" w:color="auto"/>
        <w:right w:val="none" w:sz="0" w:space="0" w:color="auto"/>
      </w:divBdr>
    </w:div>
    <w:div w:id="274027174">
      <w:bodyDiv w:val="1"/>
      <w:marLeft w:val="0"/>
      <w:marRight w:val="0"/>
      <w:marTop w:val="0"/>
      <w:marBottom w:val="0"/>
      <w:divBdr>
        <w:top w:val="none" w:sz="0" w:space="0" w:color="auto"/>
        <w:left w:val="none" w:sz="0" w:space="0" w:color="auto"/>
        <w:bottom w:val="none" w:sz="0" w:space="0" w:color="auto"/>
        <w:right w:val="none" w:sz="0" w:space="0" w:color="auto"/>
      </w:divBdr>
    </w:div>
    <w:div w:id="274093763">
      <w:bodyDiv w:val="1"/>
      <w:marLeft w:val="0"/>
      <w:marRight w:val="0"/>
      <w:marTop w:val="0"/>
      <w:marBottom w:val="0"/>
      <w:divBdr>
        <w:top w:val="none" w:sz="0" w:space="0" w:color="auto"/>
        <w:left w:val="none" w:sz="0" w:space="0" w:color="auto"/>
        <w:bottom w:val="none" w:sz="0" w:space="0" w:color="auto"/>
        <w:right w:val="none" w:sz="0" w:space="0" w:color="auto"/>
      </w:divBdr>
    </w:div>
    <w:div w:id="274094019">
      <w:bodyDiv w:val="1"/>
      <w:marLeft w:val="0"/>
      <w:marRight w:val="0"/>
      <w:marTop w:val="0"/>
      <w:marBottom w:val="0"/>
      <w:divBdr>
        <w:top w:val="none" w:sz="0" w:space="0" w:color="auto"/>
        <w:left w:val="none" w:sz="0" w:space="0" w:color="auto"/>
        <w:bottom w:val="none" w:sz="0" w:space="0" w:color="auto"/>
        <w:right w:val="none" w:sz="0" w:space="0" w:color="auto"/>
      </w:divBdr>
    </w:div>
    <w:div w:id="274145130">
      <w:bodyDiv w:val="1"/>
      <w:marLeft w:val="0"/>
      <w:marRight w:val="0"/>
      <w:marTop w:val="0"/>
      <w:marBottom w:val="0"/>
      <w:divBdr>
        <w:top w:val="none" w:sz="0" w:space="0" w:color="auto"/>
        <w:left w:val="none" w:sz="0" w:space="0" w:color="auto"/>
        <w:bottom w:val="none" w:sz="0" w:space="0" w:color="auto"/>
        <w:right w:val="none" w:sz="0" w:space="0" w:color="auto"/>
      </w:divBdr>
    </w:div>
    <w:div w:id="274169356">
      <w:bodyDiv w:val="1"/>
      <w:marLeft w:val="0"/>
      <w:marRight w:val="0"/>
      <w:marTop w:val="0"/>
      <w:marBottom w:val="0"/>
      <w:divBdr>
        <w:top w:val="none" w:sz="0" w:space="0" w:color="auto"/>
        <w:left w:val="none" w:sz="0" w:space="0" w:color="auto"/>
        <w:bottom w:val="none" w:sz="0" w:space="0" w:color="auto"/>
        <w:right w:val="none" w:sz="0" w:space="0" w:color="auto"/>
      </w:divBdr>
    </w:div>
    <w:div w:id="274335815">
      <w:bodyDiv w:val="1"/>
      <w:marLeft w:val="0"/>
      <w:marRight w:val="0"/>
      <w:marTop w:val="0"/>
      <w:marBottom w:val="0"/>
      <w:divBdr>
        <w:top w:val="none" w:sz="0" w:space="0" w:color="auto"/>
        <w:left w:val="none" w:sz="0" w:space="0" w:color="auto"/>
        <w:bottom w:val="none" w:sz="0" w:space="0" w:color="auto"/>
        <w:right w:val="none" w:sz="0" w:space="0" w:color="auto"/>
      </w:divBdr>
    </w:div>
    <w:div w:id="274407379">
      <w:bodyDiv w:val="1"/>
      <w:marLeft w:val="0"/>
      <w:marRight w:val="0"/>
      <w:marTop w:val="0"/>
      <w:marBottom w:val="0"/>
      <w:divBdr>
        <w:top w:val="none" w:sz="0" w:space="0" w:color="auto"/>
        <w:left w:val="none" w:sz="0" w:space="0" w:color="auto"/>
        <w:bottom w:val="none" w:sz="0" w:space="0" w:color="auto"/>
        <w:right w:val="none" w:sz="0" w:space="0" w:color="auto"/>
      </w:divBdr>
    </w:div>
    <w:div w:id="274673661">
      <w:bodyDiv w:val="1"/>
      <w:marLeft w:val="0"/>
      <w:marRight w:val="0"/>
      <w:marTop w:val="0"/>
      <w:marBottom w:val="0"/>
      <w:divBdr>
        <w:top w:val="none" w:sz="0" w:space="0" w:color="auto"/>
        <w:left w:val="none" w:sz="0" w:space="0" w:color="auto"/>
        <w:bottom w:val="none" w:sz="0" w:space="0" w:color="auto"/>
        <w:right w:val="none" w:sz="0" w:space="0" w:color="auto"/>
      </w:divBdr>
    </w:div>
    <w:div w:id="274752429">
      <w:bodyDiv w:val="1"/>
      <w:marLeft w:val="0"/>
      <w:marRight w:val="0"/>
      <w:marTop w:val="0"/>
      <w:marBottom w:val="0"/>
      <w:divBdr>
        <w:top w:val="none" w:sz="0" w:space="0" w:color="auto"/>
        <w:left w:val="none" w:sz="0" w:space="0" w:color="auto"/>
        <w:bottom w:val="none" w:sz="0" w:space="0" w:color="auto"/>
        <w:right w:val="none" w:sz="0" w:space="0" w:color="auto"/>
      </w:divBdr>
    </w:div>
    <w:div w:id="274754984">
      <w:bodyDiv w:val="1"/>
      <w:marLeft w:val="0"/>
      <w:marRight w:val="0"/>
      <w:marTop w:val="0"/>
      <w:marBottom w:val="0"/>
      <w:divBdr>
        <w:top w:val="none" w:sz="0" w:space="0" w:color="auto"/>
        <w:left w:val="none" w:sz="0" w:space="0" w:color="auto"/>
        <w:bottom w:val="none" w:sz="0" w:space="0" w:color="auto"/>
        <w:right w:val="none" w:sz="0" w:space="0" w:color="auto"/>
      </w:divBdr>
    </w:div>
    <w:div w:id="274868806">
      <w:bodyDiv w:val="1"/>
      <w:marLeft w:val="0"/>
      <w:marRight w:val="0"/>
      <w:marTop w:val="0"/>
      <w:marBottom w:val="0"/>
      <w:divBdr>
        <w:top w:val="none" w:sz="0" w:space="0" w:color="auto"/>
        <w:left w:val="none" w:sz="0" w:space="0" w:color="auto"/>
        <w:bottom w:val="none" w:sz="0" w:space="0" w:color="auto"/>
        <w:right w:val="none" w:sz="0" w:space="0" w:color="auto"/>
      </w:divBdr>
    </w:div>
    <w:div w:id="274951156">
      <w:bodyDiv w:val="1"/>
      <w:marLeft w:val="0"/>
      <w:marRight w:val="0"/>
      <w:marTop w:val="0"/>
      <w:marBottom w:val="0"/>
      <w:divBdr>
        <w:top w:val="none" w:sz="0" w:space="0" w:color="auto"/>
        <w:left w:val="none" w:sz="0" w:space="0" w:color="auto"/>
        <w:bottom w:val="none" w:sz="0" w:space="0" w:color="auto"/>
        <w:right w:val="none" w:sz="0" w:space="0" w:color="auto"/>
      </w:divBdr>
    </w:div>
    <w:div w:id="275020628">
      <w:bodyDiv w:val="1"/>
      <w:marLeft w:val="0"/>
      <w:marRight w:val="0"/>
      <w:marTop w:val="0"/>
      <w:marBottom w:val="0"/>
      <w:divBdr>
        <w:top w:val="none" w:sz="0" w:space="0" w:color="auto"/>
        <w:left w:val="none" w:sz="0" w:space="0" w:color="auto"/>
        <w:bottom w:val="none" w:sz="0" w:space="0" w:color="auto"/>
        <w:right w:val="none" w:sz="0" w:space="0" w:color="auto"/>
      </w:divBdr>
    </w:div>
    <w:div w:id="275211935">
      <w:bodyDiv w:val="1"/>
      <w:marLeft w:val="0"/>
      <w:marRight w:val="0"/>
      <w:marTop w:val="0"/>
      <w:marBottom w:val="0"/>
      <w:divBdr>
        <w:top w:val="none" w:sz="0" w:space="0" w:color="auto"/>
        <w:left w:val="none" w:sz="0" w:space="0" w:color="auto"/>
        <w:bottom w:val="none" w:sz="0" w:space="0" w:color="auto"/>
        <w:right w:val="none" w:sz="0" w:space="0" w:color="auto"/>
      </w:divBdr>
    </w:div>
    <w:div w:id="275259550">
      <w:bodyDiv w:val="1"/>
      <w:marLeft w:val="0"/>
      <w:marRight w:val="0"/>
      <w:marTop w:val="0"/>
      <w:marBottom w:val="0"/>
      <w:divBdr>
        <w:top w:val="none" w:sz="0" w:space="0" w:color="auto"/>
        <w:left w:val="none" w:sz="0" w:space="0" w:color="auto"/>
        <w:bottom w:val="none" w:sz="0" w:space="0" w:color="auto"/>
        <w:right w:val="none" w:sz="0" w:space="0" w:color="auto"/>
      </w:divBdr>
    </w:div>
    <w:div w:id="275260881">
      <w:bodyDiv w:val="1"/>
      <w:marLeft w:val="0"/>
      <w:marRight w:val="0"/>
      <w:marTop w:val="0"/>
      <w:marBottom w:val="0"/>
      <w:divBdr>
        <w:top w:val="none" w:sz="0" w:space="0" w:color="auto"/>
        <w:left w:val="none" w:sz="0" w:space="0" w:color="auto"/>
        <w:bottom w:val="none" w:sz="0" w:space="0" w:color="auto"/>
        <w:right w:val="none" w:sz="0" w:space="0" w:color="auto"/>
      </w:divBdr>
    </w:div>
    <w:div w:id="275261095">
      <w:bodyDiv w:val="1"/>
      <w:marLeft w:val="0"/>
      <w:marRight w:val="0"/>
      <w:marTop w:val="0"/>
      <w:marBottom w:val="0"/>
      <w:divBdr>
        <w:top w:val="none" w:sz="0" w:space="0" w:color="auto"/>
        <w:left w:val="none" w:sz="0" w:space="0" w:color="auto"/>
        <w:bottom w:val="none" w:sz="0" w:space="0" w:color="auto"/>
        <w:right w:val="none" w:sz="0" w:space="0" w:color="auto"/>
      </w:divBdr>
    </w:div>
    <w:div w:id="275410359">
      <w:bodyDiv w:val="1"/>
      <w:marLeft w:val="0"/>
      <w:marRight w:val="0"/>
      <w:marTop w:val="0"/>
      <w:marBottom w:val="0"/>
      <w:divBdr>
        <w:top w:val="none" w:sz="0" w:space="0" w:color="auto"/>
        <w:left w:val="none" w:sz="0" w:space="0" w:color="auto"/>
        <w:bottom w:val="none" w:sz="0" w:space="0" w:color="auto"/>
        <w:right w:val="none" w:sz="0" w:space="0" w:color="auto"/>
      </w:divBdr>
    </w:div>
    <w:div w:id="275453715">
      <w:bodyDiv w:val="1"/>
      <w:marLeft w:val="0"/>
      <w:marRight w:val="0"/>
      <w:marTop w:val="0"/>
      <w:marBottom w:val="0"/>
      <w:divBdr>
        <w:top w:val="none" w:sz="0" w:space="0" w:color="auto"/>
        <w:left w:val="none" w:sz="0" w:space="0" w:color="auto"/>
        <w:bottom w:val="none" w:sz="0" w:space="0" w:color="auto"/>
        <w:right w:val="none" w:sz="0" w:space="0" w:color="auto"/>
      </w:divBdr>
    </w:div>
    <w:div w:id="275597868">
      <w:bodyDiv w:val="1"/>
      <w:marLeft w:val="0"/>
      <w:marRight w:val="0"/>
      <w:marTop w:val="0"/>
      <w:marBottom w:val="0"/>
      <w:divBdr>
        <w:top w:val="none" w:sz="0" w:space="0" w:color="auto"/>
        <w:left w:val="none" w:sz="0" w:space="0" w:color="auto"/>
        <w:bottom w:val="none" w:sz="0" w:space="0" w:color="auto"/>
        <w:right w:val="none" w:sz="0" w:space="0" w:color="auto"/>
      </w:divBdr>
    </w:div>
    <w:div w:id="275600369">
      <w:bodyDiv w:val="1"/>
      <w:marLeft w:val="0"/>
      <w:marRight w:val="0"/>
      <w:marTop w:val="0"/>
      <w:marBottom w:val="0"/>
      <w:divBdr>
        <w:top w:val="none" w:sz="0" w:space="0" w:color="auto"/>
        <w:left w:val="none" w:sz="0" w:space="0" w:color="auto"/>
        <w:bottom w:val="none" w:sz="0" w:space="0" w:color="auto"/>
        <w:right w:val="none" w:sz="0" w:space="0" w:color="auto"/>
      </w:divBdr>
    </w:div>
    <w:div w:id="275602844">
      <w:bodyDiv w:val="1"/>
      <w:marLeft w:val="0"/>
      <w:marRight w:val="0"/>
      <w:marTop w:val="0"/>
      <w:marBottom w:val="0"/>
      <w:divBdr>
        <w:top w:val="none" w:sz="0" w:space="0" w:color="auto"/>
        <w:left w:val="none" w:sz="0" w:space="0" w:color="auto"/>
        <w:bottom w:val="none" w:sz="0" w:space="0" w:color="auto"/>
        <w:right w:val="none" w:sz="0" w:space="0" w:color="auto"/>
      </w:divBdr>
    </w:div>
    <w:div w:id="275798084">
      <w:bodyDiv w:val="1"/>
      <w:marLeft w:val="0"/>
      <w:marRight w:val="0"/>
      <w:marTop w:val="0"/>
      <w:marBottom w:val="0"/>
      <w:divBdr>
        <w:top w:val="none" w:sz="0" w:space="0" w:color="auto"/>
        <w:left w:val="none" w:sz="0" w:space="0" w:color="auto"/>
        <w:bottom w:val="none" w:sz="0" w:space="0" w:color="auto"/>
        <w:right w:val="none" w:sz="0" w:space="0" w:color="auto"/>
      </w:divBdr>
    </w:div>
    <w:div w:id="275865540">
      <w:bodyDiv w:val="1"/>
      <w:marLeft w:val="0"/>
      <w:marRight w:val="0"/>
      <w:marTop w:val="0"/>
      <w:marBottom w:val="0"/>
      <w:divBdr>
        <w:top w:val="none" w:sz="0" w:space="0" w:color="auto"/>
        <w:left w:val="none" w:sz="0" w:space="0" w:color="auto"/>
        <w:bottom w:val="none" w:sz="0" w:space="0" w:color="auto"/>
        <w:right w:val="none" w:sz="0" w:space="0" w:color="auto"/>
      </w:divBdr>
    </w:div>
    <w:div w:id="275866192">
      <w:bodyDiv w:val="1"/>
      <w:marLeft w:val="0"/>
      <w:marRight w:val="0"/>
      <w:marTop w:val="0"/>
      <w:marBottom w:val="0"/>
      <w:divBdr>
        <w:top w:val="none" w:sz="0" w:space="0" w:color="auto"/>
        <w:left w:val="none" w:sz="0" w:space="0" w:color="auto"/>
        <w:bottom w:val="none" w:sz="0" w:space="0" w:color="auto"/>
        <w:right w:val="none" w:sz="0" w:space="0" w:color="auto"/>
      </w:divBdr>
    </w:div>
    <w:div w:id="275983482">
      <w:bodyDiv w:val="1"/>
      <w:marLeft w:val="0"/>
      <w:marRight w:val="0"/>
      <w:marTop w:val="0"/>
      <w:marBottom w:val="0"/>
      <w:divBdr>
        <w:top w:val="none" w:sz="0" w:space="0" w:color="auto"/>
        <w:left w:val="none" w:sz="0" w:space="0" w:color="auto"/>
        <w:bottom w:val="none" w:sz="0" w:space="0" w:color="auto"/>
        <w:right w:val="none" w:sz="0" w:space="0" w:color="auto"/>
      </w:divBdr>
    </w:div>
    <w:div w:id="276181451">
      <w:bodyDiv w:val="1"/>
      <w:marLeft w:val="0"/>
      <w:marRight w:val="0"/>
      <w:marTop w:val="0"/>
      <w:marBottom w:val="0"/>
      <w:divBdr>
        <w:top w:val="none" w:sz="0" w:space="0" w:color="auto"/>
        <w:left w:val="none" w:sz="0" w:space="0" w:color="auto"/>
        <w:bottom w:val="none" w:sz="0" w:space="0" w:color="auto"/>
        <w:right w:val="none" w:sz="0" w:space="0" w:color="auto"/>
      </w:divBdr>
    </w:div>
    <w:div w:id="276329275">
      <w:bodyDiv w:val="1"/>
      <w:marLeft w:val="0"/>
      <w:marRight w:val="0"/>
      <w:marTop w:val="0"/>
      <w:marBottom w:val="0"/>
      <w:divBdr>
        <w:top w:val="none" w:sz="0" w:space="0" w:color="auto"/>
        <w:left w:val="none" w:sz="0" w:space="0" w:color="auto"/>
        <w:bottom w:val="none" w:sz="0" w:space="0" w:color="auto"/>
        <w:right w:val="none" w:sz="0" w:space="0" w:color="auto"/>
      </w:divBdr>
    </w:div>
    <w:div w:id="276372738">
      <w:bodyDiv w:val="1"/>
      <w:marLeft w:val="0"/>
      <w:marRight w:val="0"/>
      <w:marTop w:val="0"/>
      <w:marBottom w:val="0"/>
      <w:divBdr>
        <w:top w:val="none" w:sz="0" w:space="0" w:color="auto"/>
        <w:left w:val="none" w:sz="0" w:space="0" w:color="auto"/>
        <w:bottom w:val="none" w:sz="0" w:space="0" w:color="auto"/>
        <w:right w:val="none" w:sz="0" w:space="0" w:color="auto"/>
      </w:divBdr>
    </w:div>
    <w:div w:id="276564257">
      <w:bodyDiv w:val="1"/>
      <w:marLeft w:val="0"/>
      <w:marRight w:val="0"/>
      <w:marTop w:val="0"/>
      <w:marBottom w:val="0"/>
      <w:divBdr>
        <w:top w:val="none" w:sz="0" w:space="0" w:color="auto"/>
        <w:left w:val="none" w:sz="0" w:space="0" w:color="auto"/>
        <w:bottom w:val="none" w:sz="0" w:space="0" w:color="auto"/>
        <w:right w:val="none" w:sz="0" w:space="0" w:color="auto"/>
      </w:divBdr>
    </w:div>
    <w:div w:id="276566740">
      <w:bodyDiv w:val="1"/>
      <w:marLeft w:val="0"/>
      <w:marRight w:val="0"/>
      <w:marTop w:val="0"/>
      <w:marBottom w:val="0"/>
      <w:divBdr>
        <w:top w:val="none" w:sz="0" w:space="0" w:color="auto"/>
        <w:left w:val="none" w:sz="0" w:space="0" w:color="auto"/>
        <w:bottom w:val="none" w:sz="0" w:space="0" w:color="auto"/>
        <w:right w:val="none" w:sz="0" w:space="0" w:color="auto"/>
      </w:divBdr>
    </w:div>
    <w:div w:id="276566968">
      <w:bodyDiv w:val="1"/>
      <w:marLeft w:val="0"/>
      <w:marRight w:val="0"/>
      <w:marTop w:val="0"/>
      <w:marBottom w:val="0"/>
      <w:divBdr>
        <w:top w:val="none" w:sz="0" w:space="0" w:color="auto"/>
        <w:left w:val="none" w:sz="0" w:space="0" w:color="auto"/>
        <w:bottom w:val="none" w:sz="0" w:space="0" w:color="auto"/>
        <w:right w:val="none" w:sz="0" w:space="0" w:color="auto"/>
      </w:divBdr>
    </w:div>
    <w:div w:id="276643926">
      <w:bodyDiv w:val="1"/>
      <w:marLeft w:val="0"/>
      <w:marRight w:val="0"/>
      <w:marTop w:val="0"/>
      <w:marBottom w:val="0"/>
      <w:divBdr>
        <w:top w:val="none" w:sz="0" w:space="0" w:color="auto"/>
        <w:left w:val="none" w:sz="0" w:space="0" w:color="auto"/>
        <w:bottom w:val="none" w:sz="0" w:space="0" w:color="auto"/>
        <w:right w:val="none" w:sz="0" w:space="0" w:color="auto"/>
      </w:divBdr>
    </w:div>
    <w:div w:id="276762192">
      <w:bodyDiv w:val="1"/>
      <w:marLeft w:val="0"/>
      <w:marRight w:val="0"/>
      <w:marTop w:val="0"/>
      <w:marBottom w:val="0"/>
      <w:divBdr>
        <w:top w:val="none" w:sz="0" w:space="0" w:color="auto"/>
        <w:left w:val="none" w:sz="0" w:space="0" w:color="auto"/>
        <w:bottom w:val="none" w:sz="0" w:space="0" w:color="auto"/>
        <w:right w:val="none" w:sz="0" w:space="0" w:color="auto"/>
      </w:divBdr>
    </w:div>
    <w:div w:id="276834477">
      <w:bodyDiv w:val="1"/>
      <w:marLeft w:val="0"/>
      <w:marRight w:val="0"/>
      <w:marTop w:val="0"/>
      <w:marBottom w:val="0"/>
      <w:divBdr>
        <w:top w:val="none" w:sz="0" w:space="0" w:color="auto"/>
        <w:left w:val="none" w:sz="0" w:space="0" w:color="auto"/>
        <w:bottom w:val="none" w:sz="0" w:space="0" w:color="auto"/>
        <w:right w:val="none" w:sz="0" w:space="0" w:color="auto"/>
      </w:divBdr>
    </w:div>
    <w:div w:id="276912268">
      <w:bodyDiv w:val="1"/>
      <w:marLeft w:val="0"/>
      <w:marRight w:val="0"/>
      <w:marTop w:val="0"/>
      <w:marBottom w:val="0"/>
      <w:divBdr>
        <w:top w:val="none" w:sz="0" w:space="0" w:color="auto"/>
        <w:left w:val="none" w:sz="0" w:space="0" w:color="auto"/>
        <w:bottom w:val="none" w:sz="0" w:space="0" w:color="auto"/>
        <w:right w:val="none" w:sz="0" w:space="0" w:color="auto"/>
      </w:divBdr>
    </w:div>
    <w:div w:id="276984138">
      <w:bodyDiv w:val="1"/>
      <w:marLeft w:val="0"/>
      <w:marRight w:val="0"/>
      <w:marTop w:val="0"/>
      <w:marBottom w:val="0"/>
      <w:divBdr>
        <w:top w:val="none" w:sz="0" w:space="0" w:color="auto"/>
        <w:left w:val="none" w:sz="0" w:space="0" w:color="auto"/>
        <w:bottom w:val="none" w:sz="0" w:space="0" w:color="auto"/>
        <w:right w:val="none" w:sz="0" w:space="0" w:color="auto"/>
      </w:divBdr>
    </w:div>
    <w:div w:id="276985242">
      <w:bodyDiv w:val="1"/>
      <w:marLeft w:val="0"/>
      <w:marRight w:val="0"/>
      <w:marTop w:val="0"/>
      <w:marBottom w:val="0"/>
      <w:divBdr>
        <w:top w:val="none" w:sz="0" w:space="0" w:color="auto"/>
        <w:left w:val="none" w:sz="0" w:space="0" w:color="auto"/>
        <w:bottom w:val="none" w:sz="0" w:space="0" w:color="auto"/>
        <w:right w:val="none" w:sz="0" w:space="0" w:color="auto"/>
      </w:divBdr>
    </w:div>
    <w:div w:id="277177351">
      <w:bodyDiv w:val="1"/>
      <w:marLeft w:val="0"/>
      <w:marRight w:val="0"/>
      <w:marTop w:val="0"/>
      <w:marBottom w:val="0"/>
      <w:divBdr>
        <w:top w:val="none" w:sz="0" w:space="0" w:color="auto"/>
        <w:left w:val="none" w:sz="0" w:space="0" w:color="auto"/>
        <w:bottom w:val="none" w:sz="0" w:space="0" w:color="auto"/>
        <w:right w:val="none" w:sz="0" w:space="0" w:color="auto"/>
      </w:divBdr>
    </w:div>
    <w:div w:id="277221138">
      <w:bodyDiv w:val="1"/>
      <w:marLeft w:val="0"/>
      <w:marRight w:val="0"/>
      <w:marTop w:val="0"/>
      <w:marBottom w:val="0"/>
      <w:divBdr>
        <w:top w:val="none" w:sz="0" w:space="0" w:color="auto"/>
        <w:left w:val="none" w:sz="0" w:space="0" w:color="auto"/>
        <w:bottom w:val="none" w:sz="0" w:space="0" w:color="auto"/>
        <w:right w:val="none" w:sz="0" w:space="0" w:color="auto"/>
      </w:divBdr>
    </w:div>
    <w:div w:id="277297265">
      <w:bodyDiv w:val="1"/>
      <w:marLeft w:val="0"/>
      <w:marRight w:val="0"/>
      <w:marTop w:val="0"/>
      <w:marBottom w:val="0"/>
      <w:divBdr>
        <w:top w:val="none" w:sz="0" w:space="0" w:color="auto"/>
        <w:left w:val="none" w:sz="0" w:space="0" w:color="auto"/>
        <w:bottom w:val="none" w:sz="0" w:space="0" w:color="auto"/>
        <w:right w:val="none" w:sz="0" w:space="0" w:color="auto"/>
      </w:divBdr>
    </w:div>
    <w:div w:id="277297531">
      <w:bodyDiv w:val="1"/>
      <w:marLeft w:val="0"/>
      <w:marRight w:val="0"/>
      <w:marTop w:val="0"/>
      <w:marBottom w:val="0"/>
      <w:divBdr>
        <w:top w:val="none" w:sz="0" w:space="0" w:color="auto"/>
        <w:left w:val="none" w:sz="0" w:space="0" w:color="auto"/>
        <w:bottom w:val="none" w:sz="0" w:space="0" w:color="auto"/>
        <w:right w:val="none" w:sz="0" w:space="0" w:color="auto"/>
      </w:divBdr>
    </w:div>
    <w:div w:id="277377603">
      <w:bodyDiv w:val="1"/>
      <w:marLeft w:val="0"/>
      <w:marRight w:val="0"/>
      <w:marTop w:val="0"/>
      <w:marBottom w:val="0"/>
      <w:divBdr>
        <w:top w:val="none" w:sz="0" w:space="0" w:color="auto"/>
        <w:left w:val="none" w:sz="0" w:space="0" w:color="auto"/>
        <w:bottom w:val="none" w:sz="0" w:space="0" w:color="auto"/>
        <w:right w:val="none" w:sz="0" w:space="0" w:color="auto"/>
      </w:divBdr>
    </w:div>
    <w:div w:id="277415195">
      <w:bodyDiv w:val="1"/>
      <w:marLeft w:val="0"/>
      <w:marRight w:val="0"/>
      <w:marTop w:val="0"/>
      <w:marBottom w:val="0"/>
      <w:divBdr>
        <w:top w:val="none" w:sz="0" w:space="0" w:color="auto"/>
        <w:left w:val="none" w:sz="0" w:space="0" w:color="auto"/>
        <w:bottom w:val="none" w:sz="0" w:space="0" w:color="auto"/>
        <w:right w:val="none" w:sz="0" w:space="0" w:color="auto"/>
      </w:divBdr>
    </w:div>
    <w:div w:id="277421146">
      <w:bodyDiv w:val="1"/>
      <w:marLeft w:val="0"/>
      <w:marRight w:val="0"/>
      <w:marTop w:val="0"/>
      <w:marBottom w:val="0"/>
      <w:divBdr>
        <w:top w:val="none" w:sz="0" w:space="0" w:color="auto"/>
        <w:left w:val="none" w:sz="0" w:space="0" w:color="auto"/>
        <w:bottom w:val="none" w:sz="0" w:space="0" w:color="auto"/>
        <w:right w:val="none" w:sz="0" w:space="0" w:color="auto"/>
      </w:divBdr>
    </w:div>
    <w:div w:id="277487230">
      <w:bodyDiv w:val="1"/>
      <w:marLeft w:val="0"/>
      <w:marRight w:val="0"/>
      <w:marTop w:val="0"/>
      <w:marBottom w:val="0"/>
      <w:divBdr>
        <w:top w:val="none" w:sz="0" w:space="0" w:color="auto"/>
        <w:left w:val="none" w:sz="0" w:space="0" w:color="auto"/>
        <w:bottom w:val="none" w:sz="0" w:space="0" w:color="auto"/>
        <w:right w:val="none" w:sz="0" w:space="0" w:color="auto"/>
      </w:divBdr>
    </w:div>
    <w:div w:id="277493861">
      <w:bodyDiv w:val="1"/>
      <w:marLeft w:val="0"/>
      <w:marRight w:val="0"/>
      <w:marTop w:val="0"/>
      <w:marBottom w:val="0"/>
      <w:divBdr>
        <w:top w:val="none" w:sz="0" w:space="0" w:color="auto"/>
        <w:left w:val="none" w:sz="0" w:space="0" w:color="auto"/>
        <w:bottom w:val="none" w:sz="0" w:space="0" w:color="auto"/>
        <w:right w:val="none" w:sz="0" w:space="0" w:color="auto"/>
      </w:divBdr>
    </w:div>
    <w:div w:id="277614264">
      <w:bodyDiv w:val="1"/>
      <w:marLeft w:val="0"/>
      <w:marRight w:val="0"/>
      <w:marTop w:val="0"/>
      <w:marBottom w:val="0"/>
      <w:divBdr>
        <w:top w:val="none" w:sz="0" w:space="0" w:color="auto"/>
        <w:left w:val="none" w:sz="0" w:space="0" w:color="auto"/>
        <w:bottom w:val="none" w:sz="0" w:space="0" w:color="auto"/>
        <w:right w:val="none" w:sz="0" w:space="0" w:color="auto"/>
      </w:divBdr>
    </w:div>
    <w:div w:id="277757628">
      <w:bodyDiv w:val="1"/>
      <w:marLeft w:val="0"/>
      <w:marRight w:val="0"/>
      <w:marTop w:val="0"/>
      <w:marBottom w:val="0"/>
      <w:divBdr>
        <w:top w:val="none" w:sz="0" w:space="0" w:color="auto"/>
        <w:left w:val="none" w:sz="0" w:space="0" w:color="auto"/>
        <w:bottom w:val="none" w:sz="0" w:space="0" w:color="auto"/>
        <w:right w:val="none" w:sz="0" w:space="0" w:color="auto"/>
      </w:divBdr>
    </w:div>
    <w:div w:id="277760874">
      <w:bodyDiv w:val="1"/>
      <w:marLeft w:val="0"/>
      <w:marRight w:val="0"/>
      <w:marTop w:val="0"/>
      <w:marBottom w:val="0"/>
      <w:divBdr>
        <w:top w:val="none" w:sz="0" w:space="0" w:color="auto"/>
        <w:left w:val="none" w:sz="0" w:space="0" w:color="auto"/>
        <w:bottom w:val="none" w:sz="0" w:space="0" w:color="auto"/>
        <w:right w:val="none" w:sz="0" w:space="0" w:color="auto"/>
      </w:divBdr>
    </w:div>
    <w:div w:id="277832896">
      <w:bodyDiv w:val="1"/>
      <w:marLeft w:val="0"/>
      <w:marRight w:val="0"/>
      <w:marTop w:val="0"/>
      <w:marBottom w:val="0"/>
      <w:divBdr>
        <w:top w:val="none" w:sz="0" w:space="0" w:color="auto"/>
        <w:left w:val="none" w:sz="0" w:space="0" w:color="auto"/>
        <w:bottom w:val="none" w:sz="0" w:space="0" w:color="auto"/>
        <w:right w:val="none" w:sz="0" w:space="0" w:color="auto"/>
      </w:divBdr>
    </w:div>
    <w:div w:id="277839184">
      <w:bodyDiv w:val="1"/>
      <w:marLeft w:val="0"/>
      <w:marRight w:val="0"/>
      <w:marTop w:val="0"/>
      <w:marBottom w:val="0"/>
      <w:divBdr>
        <w:top w:val="none" w:sz="0" w:space="0" w:color="auto"/>
        <w:left w:val="none" w:sz="0" w:space="0" w:color="auto"/>
        <w:bottom w:val="none" w:sz="0" w:space="0" w:color="auto"/>
        <w:right w:val="none" w:sz="0" w:space="0" w:color="auto"/>
      </w:divBdr>
    </w:div>
    <w:div w:id="277878177">
      <w:bodyDiv w:val="1"/>
      <w:marLeft w:val="0"/>
      <w:marRight w:val="0"/>
      <w:marTop w:val="0"/>
      <w:marBottom w:val="0"/>
      <w:divBdr>
        <w:top w:val="none" w:sz="0" w:space="0" w:color="auto"/>
        <w:left w:val="none" w:sz="0" w:space="0" w:color="auto"/>
        <w:bottom w:val="none" w:sz="0" w:space="0" w:color="auto"/>
        <w:right w:val="none" w:sz="0" w:space="0" w:color="auto"/>
      </w:divBdr>
    </w:div>
    <w:div w:id="277878214">
      <w:bodyDiv w:val="1"/>
      <w:marLeft w:val="0"/>
      <w:marRight w:val="0"/>
      <w:marTop w:val="0"/>
      <w:marBottom w:val="0"/>
      <w:divBdr>
        <w:top w:val="none" w:sz="0" w:space="0" w:color="auto"/>
        <w:left w:val="none" w:sz="0" w:space="0" w:color="auto"/>
        <w:bottom w:val="none" w:sz="0" w:space="0" w:color="auto"/>
        <w:right w:val="none" w:sz="0" w:space="0" w:color="auto"/>
      </w:divBdr>
    </w:div>
    <w:div w:id="277954738">
      <w:bodyDiv w:val="1"/>
      <w:marLeft w:val="0"/>
      <w:marRight w:val="0"/>
      <w:marTop w:val="0"/>
      <w:marBottom w:val="0"/>
      <w:divBdr>
        <w:top w:val="none" w:sz="0" w:space="0" w:color="auto"/>
        <w:left w:val="none" w:sz="0" w:space="0" w:color="auto"/>
        <w:bottom w:val="none" w:sz="0" w:space="0" w:color="auto"/>
        <w:right w:val="none" w:sz="0" w:space="0" w:color="auto"/>
      </w:divBdr>
    </w:div>
    <w:div w:id="277958303">
      <w:bodyDiv w:val="1"/>
      <w:marLeft w:val="0"/>
      <w:marRight w:val="0"/>
      <w:marTop w:val="0"/>
      <w:marBottom w:val="0"/>
      <w:divBdr>
        <w:top w:val="none" w:sz="0" w:space="0" w:color="auto"/>
        <w:left w:val="none" w:sz="0" w:space="0" w:color="auto"/>
        <w:bottom w:val="none" w:sz="0" w:space="0" w:color="auto"/>
        <w:right w:val="none" w:sz="0" w:space="0" w:color="auto"/>
      </w:divBdr>
    </w:div>
    <w:div w:id="278072673">
      <w:bodyDiv w:val="1"/>
      <w:marLeft w:val="0"/>
      <w:marRight w:val="0"/>
      <w:marTop w:val="0"/>
      <w:marBottom w:val="0"/>
      <w:divBdr>
        <w:top w:val="none" w:sz="0" w:space="0" w:color="auto"/>
        <w:left w:val="none" w:sz="0" w:space="0" w:color="auto"/>
        <w:bottom w:val="none" w:sz="0" w:space="0" w:color="auto"/>
        <w:right w:val="none" w:sz="0" w:space="0" w:color="auto"/>
      </w:divBdr>
    </w:div>
    <w:div w:id="278225586">
      <w:bodyDiv w:val="1"/>
      <w:marLeft w:val="0"/>
      <w:marRight w:val="0"/>
      <w:marTop w:val="0"/>
      <w:marBottom w:val="0"/>
      <w:divBdr>
        <w:top w:val="none" w:sz="0" w:space="0" w:color="auto"/>
        <w:left w:val="none" w:sz="0" w:space="0" w:color="auto"/>
        <w:bottom w:val="none" w:sz="0" w:space="0" w:color="auto"/>
        <w:right w:val="none" w:sz="0" w:space="0" w:color="auto"/>
      </w:divBdr>
    </w:div>
    <w:div w:id="278266073">
      <w:bodyDiv w:val="1"/>
      <w:marLeft w:val="0"/>
      <w:marRight w:val="0"/>
      <w:marTop w:val="0"/>
      <w:marBottom w:val="0"/>
      <w:divBdr>
        <w:top w:val="none" w:sz="0" w:space="0" w:color="auto"/>
        <w:left w:val="none" w:sz="0" w:space="0" w:color="auto"/>
        <w:bottom w:val="none" w:sz="0" w:space="0" w:color="auto"/>
        <w:right w:val="none" w:sz="0" w:space="0" w:color="auto"/>
      </w:divBdr>
    </w:div>
    <w:div w:id="278339272">
      <w:bodyDiv w:val="1"/>
      <w:marLeft w:val="0"/>
      <w:marRight w:val="0"/>
      <w:marTop w:val="0"/>
      <w:marBottom w:val="0"/>
      <w:divBdr>
        <w:top w:val="none" w:sz="0" w:space="0" w:color="auto"/>
        <w:left w:val="none" w:sz="0" w:space="0" w:color="auto"/>
        <w:bottom w:val="none" w:sz="0" w:space="0" w:color="auto"/>
        <w:right w:val="none" w:sz="0" w:space="0" w:color="auto"/>
      </w:divBdr>
    </w:div>
    <w:div w:id="278533062">
      <w:bodyDiv w:val="1"/>
      <w:marLeft w:val="0"/>
      <w:marRight w:val="0"/>
      <w:marTop w:val="0"/>
      <w:marBottom w:val="0"/>
      <w:divBdr>
        <w:top w:val="none" w:sz="0" w:space="0" w:color="auto"/>
        <w:left w:val="none" w:sz="0" w:space="0" w:color="auto"/>
        <w:bottom w:val="none" w:sz="0" w:space="0" w:color="auto"/>
        <w:right w:val="none" w:sz="0" w:space="0" w:color="auto"/>
      </w:divBdr>
    </w:div>
    <w:div w:id="278536164">
      <w:bodyDiv w:val="1"/>
      <w:marLeft w:val="0"/>
      <w:marRight w:val="0"/>
      <w:marTop w:val="0"/>
      <w:marBottom w:val="0"/>
      <w:divBdr>
        <w:top w:val="none" w:sz="0" w:space="0" w:color="auto"/>
        <w:left w:val="none" w:sz="0" w:space="0" w:color="auto"/>
        <w:bottom w:val="none" w:sz="0" w:space="0" w:color="auto"/>
        <w:right w:val="none" w:sz="0" w:space="0" w:color="auto"/>
      </w:divBdr>
    </w:div>
    <w:div w:id="278605971">
      <w:bodyDiv w:val="1"/>
      <w:marLeft w:val="0"/>
      <w:marRight w:val="0"/>
      <w:marTop w:val="0"/>
      <w:marBottom w:val="0"/>
      <w:divBdr>
        <w:top w:val="none" w:sz="0" w:space="0" w:color="auto"/>
        <w:left w:val="none" w:sz="0" w:space="0" w:color="auto"/>
        <w:bottom w:val="none" w:sz="0" w:space="0" w:color="auto"/>
        <w:right w:val="none" w:sz="0" w:space="0" w:color="auto"/>
      </w:divBdr>
    </w:div>
    <w:div w:id="278606149">
      <w:bodyDiv w:val="1"/>
      <w:marLeft w:val="0"/>
      <w:marRight w:val="0"/>
      <w:marTop w:val="0"/>
      <w:marBottom w:val="0"/>
      <w:divBdr>
        <w:top w:val="none" w:sz="0" w:space="0" w:color="auto"/>
        <w:left w:val="none" w:sz="0" w:space="0" w:color="auto"/>
        <w:bottom w:val="none" w:sz="0" w:space="0" w:color="auto"/>
        <w:right w:val="none" w:sz="0" w:space="0" w:color="auto"/>
      </w:divBdr>
    </w:div>
    <w:div w:id="278611283">
      <w:bodyDiv w:val="1"/>
      <w:marLeft w:val="0"/>
      <w:marRight w:val="0"/>
      <w:marTop w:val="0"/>
      <w:marBottom w:val="0"/>
      <w:divBdr>
        <w:top w:val="none" w:sz="0" w:space="0" w:color="auto"/>
        <w:left w:val="none" w:sz="0" w:space="0" w:color="auto"/>
        <w:bottom w:val="none" w:sz="0" w:space="0" w:color="auto"/>
        <w:right w:val="none" w:sz="0" w:space="0" w:color="auto"/>
      </w:divBdr>
    </w:div>
    <w:div w:id="278798236">
      <w:bodyDiv w:val="1"/>
      <w:marLeft w:val="0"/>
      <w:marRight w:val="0"/>
      <w:marTop w:val="0"/>
      <w:marBottom w:val="0"/>
      <w:divBdr>
        <w:top w:val="none" w:sz="0" w:space="0" w:color="auto"/>
        <w:left w:val="none" w:sz="0" w:space="0" w:color="auto"/>
        <w:bottom w:val="none" w:sz="0" w:space="0" w:color="auto"/>
        <w:right w:val="none" w:sz="0" w:space="0" w:color="auto"/>
      </w:divBdr>
    </w:div>
    <w:div w:id="278951751">
      <w:bodyDiv w:val="1"/>
      <w:marLeft w:val="0"/>
      <w:marRight w:val="0"/>
      <w:marTop w:val="0"/>
      <w:marBottom w:val="0"/>
      <w:divBdr>
        <w:top w:val="none" w:sz="0" w:space="0" w:color="auto"/>
        <w:left w:val="none" w:sz="0" w:space="0" w:color="auto"/>
        <w:bottom w:val="none" w:sz="0" w:space="0" w:color="auto"/>
        <w:right w:val="none" w:sz="0" w:space="0" w:color="auto"/>
      </w:divBdr>
    </w:div>
    <w:div w:id="278993935">
      <w:bodyDiv w:val="1"/>
      <w:marLeft w:val="0"/>
      <w:marRight w:val="0"/>
      <w:marTop w:val="0"/>
      <w:marBottom w:val="0"/>
      <w:divBdr>
        <w:top w:val="none" w:sz="0" w:space="0" w:color="auto"/>
        <w:left w:val="none" w:sz="0" w:space="0" w:color="auto"/>
        <w:bottom w:val="none" w:sz="0" w:space="0" w:color="auto"/>
        <w:right w:val="none" w:sz="0" w:space="0" w:color="auto"/>
      </w:divBdr>
    </w:div>
    <w:div w:id="279068008">
      <w:bodyDiv w:val="1"/>
      <w:marLeft w:val="0"/>
      <w:marRight w:val="0"/>
      <w:marTop w:val="0"/>
      <w:marBottom w:val="0"/>
      <w:divBdr>
        <w:top w:val="none" w:sz="0" w:space="0" w:color="auto"/>
        <w:left w:val="none" w:sz="0" w:space="0" w:color="auto"/>
        <w:bottom w:val="none" w:sz="0" w:space="0" w:color="auto"/>
        <w:right w:val="none" w:sz="0" w:space="0" w:color="auto"/>
      </w:divBdr>
    </w:div>
    <w:div w:id="279146697">
      <w:bodyDiv w:val="1"/>
      <w:marLeft w:val="0"/>
      <w:marRight w:val="0"/>
      <w:marTop w:val="0"/>
      <w:marBottom w:val="0"/>
      <w:divBdr>
        <w:top w:val="none" w:sz="0" w:space="0" w:color="auto"/>
        <w:left w:val="none" w:sz="0" w:space="0" w:color="auto"/>
        <w:bottom w:val="none" w:sz="0" w:space="0" w:color="auto"/>
        <w:right w:val="none" w:sz="0" w:space="0" w:color="auto"/>
      </w:divBdr>
    </w:div>
    <w:div w:id="279336528">
      <w:bodyDiv w:val="1"/>
      <w:marLeft w:val="0"/>
      <w:marRight w:val="0"/>
      <w:marTop w:val="0"/>
      <w:marBottom w:val="0"/>
      <w:divBdr>
        <w:top w:val="none" w:sz="0" w:space="0" w:color="auto"/>
        <w:left w:val="none" w:sz="0" w:space="0" w:color="auto"/>
        <w:bottom w:val="none" w:sz="0" w:space="0" w:color="auto"/>
        <w:right w:val="none" w:sz="0" w:space="0" w:color="auto"/>
      </w:divBdr>
    </w:div>
    <w:div w:id="279340862">
      <w:bodyDiv w:val="1"/>
      <w:marLeft w:val="0"/>
      <w:marRight w:val="0"/>
      <w:marTop w:val="0"/>
      <w:marBottom w:val="0"/>
      <w:divBdr>
        <w:top w:val="none" w:sz="0" w:space="0" w:color="auto"/>
        <w:left w:val="none" w:sz="0" w:space="0" w:color="auto"/>
        <w:bottom w:val="none" w:sz="0" w:space="0" w:color="auto"/>
        <w:right w:val="none" w:sz="0" w:space="0" w:color="auto"/>
      </w:divBdr>
    </w:div>
    <w:div w:id="279456196">
      <w:bodyDiv w:val="1"/>
      <w:marLeft w:val="0"/>
      <w:marRight w:val="0"/>
      <w:marTop w:val="0"/>
      <w:marBottom w:val="0"/>
      <w:divBdr>
        <w:top w:val="none" w:sz="0" w:space="0" w:color="auto"/>
        <w:left w:val="none" w:sz="0" w:space="0" w:color="auto"/>
        <w:bottom w:val="none" w:sz="0" w:space="0" w:color="auto"/>
        <w:right w:val="none" w:sz="0" w:space="0" w:color="auto"/>
      </w:divBdr>
    </w:div>
    <w:div w:id="279529442">
      <w:bodyDiv w:val="1"/>
      <w:marLeft w:val="0"/>
      <w:marRight w:val="0"/>
      <w:marTop w:val="0"/>
      <w:marBottom w:val="0"/>
      <w:divBdr>
        <w:top w:val="none" w:sz="0" w:space="0" w:color="auto"/>
        <w:left w:val="none" w:sz="0" w:space="0" w:color="auto"/>
        <w:bottom w:val="none" w:sz="0" w:space="0" w:color="auto"/>
        <w:right w:val="none" w:sz="0" w:space="0" w:color="auto"/>
      </w:divBdr>
    </w:div>
    <w:div w:id="279580551">
      <w:bodyDiv w:val="1"/>
      <w:marLeft w:val="0"/>
      <w:marRight w:val="0"/>
      <w:marTop w:val="0"/>
      <w:marBottom w:val="0"/>
      <w:divBdr>
        <w:top w:val="none" w:sz="0" w:space="0" w:color="auto"/>
        <w:left w:val="none" w:sz="0" w:space="0" w:color="auto"/>
        <w:bottom w:val="none" w:sz="0" w:space="0" w:color="auto"/>
        <w:right w:val="none" w:sz="0" w:space="0" w:color="auto"/>
      </w:divBdr>
    </w:div>
    <w:div w:id="279608010">
      <w:bodyDiv w:val="1"/>
      <w:marLeft w:val="0"/>
      <w:marRight w:val="0"/>
      <w:marTop w:val="0"/>
      <w:marBottom w:val="0"/>
      <w:divBdr>
        <w:top w:val="none" w:sz="0" w:space="0" w:color="auto"/>
        <w:left w:val="none" w:sz="0" w:space="0" w:color="auto"/>
        <w:bottom w:val="none" w:sz="0" w:space="0" w:color="auto"/>
        <w:right w:val="none" w:sz="0" w:space="0" w:color="auto"/>
      </w:divBdr>
    </w:div>
    <w:div w:id="279655602">
      <w:bodyDiv w:val="1"/>
      <w:marLeft w:val="0"/>
      <w:marRight w:val="0"/>
      <w:marTop w:val="0"/>
      <w:marBottom w:val="0"/>
      <w:divBdr>
        <w:top w:val="none" w:sz="0" w:space="0" w:color="auto"/>
        <w:left w:val="none" w:sz="0" w:space="0" w:color="auto"/>
        <w:bottom w:val="none" w:sz="0" w:space="0" w:color="auto"/>
        <w:right w:val="none" w:sz="0" w:space="0" w:color="auto"/>
      </w:divBdr>
    </w:div>
    <w:div w:id="279805749">
      <w:bodyDiv w:val="1"/>
      <w:marLeft w:val="0"/>
      <w:marRight w:val="0"/>
      <w:marTop w:val="0"/>
      <w:marBottom w:val="0"/>
      <w:divBdr>
        <w:top w:val="none" w:sz="0" w:space="0" w:color="auto"/>
        <w:left w:val="none" w:sz="0" w:space="0" w:color="auto"/>
        <w:bottom w:val="none" w:sz="0" w:space="0" w:color="auto"/>
        <w:right w:val="none" w:sz="0" w:space="0" w:color="auto"/>
      </w:divBdr>
    </w:div>
    <w:div w:id="279842002">
      <w:bodyDiv w:val="1"/>
      <w:marLeft w:val="0"/>
      <w:marRight w:val="0"/>
      <w:marTop w:val="0"/>
      <w:marBottom w:val="0"/>
      <w:divBdr>
        <w:top w:val="none" w:sz="0" w:space="0" w:color="auto"/>
        <w:left w:val="none" w:sz="0" w:space="0" w:color="auto"/>
        <w:bottom w:val="none" w:sz="0" w:space="0" w:color="auto"/>
        <w:right w:val="none" w:sz="0" w:space="0" w:color="auto"/>
      </w:divBdr>
    </w:div>
    <w:div w:id="279844196">
      <w:bodyDiv w:val="1"/>
      <w:marLeft w:val="0"/>
      <w:marRight w:val="0"/>
      <w:marTop w:val="0"/>
      <w:marBottom w:val="0"/>
      <w:divBdr>
        <w:top w:val="none" w:sz="0" w:space="0" w:color="auto"/>
        <w:left w:val="none" w:sz="0" w:space="0" w:color="auto"/>
        <w:bottom w:val="none" w:sz="0" w:space="0" w:color="auto"/>
        <w:right w:val="none" w:sz="0" w:space="0" w:color="auto"/>
      </w:divBdr>
    </w:div>
    <w:div w:id="279848974">
      <w:bodyDiv w:val="1"/>
      <w:marLeft w:val="0"/>
      <w:marRight w:val="0"/>
      <w:marTop w:val="0"/>
      <w:marBottom w:val="0"/>
      <w:divBdr>
        <w:top w:val="none" w:sz="0" w:space="0" w:color="auto"/>
        <w:left w:val="none" w:sz="0" w:space="0" w:color="auto"/>
        <w:bottom w:val="none" w:sz="0" w:space="0" w:color="auto"/>
        <w:right w:val="none" w:sz="0" w:space="0" w:color="auto"/>
      </w:divBdr>
    </w:div>
    <w:div w:id="279916512">
      <w:bodyDiv w:val="1"/>
      <w:marLeft w:val="0"/>
      <w:marRight w:val="0"/>
      <w:marTop w:val="0"/>
      <w:marBottom w:val="0"/>
      <w:divBdr>
        <w:top w:val="none" w:sz="0" w:space="0" w:color="auto"/>
        <w:left w:val="none" w:sz="0" w:space="0" w:color="auto"/>
        <w:bottom w:val="none" w:sz="0" w:space="0" w:color="auto"/>
        <w:right w:val="none" w:sz="0" w:space="0" w:color="auto"/>
      </w:divBdr>
    </w:div>
    <w:div w:id="279992494">
      <w:bodyDiv w:val="1"/>
      <w:marLeft w:val="0"/>
      <w:marRight w:val="0"/>
      <w:marTop w:val="0"/>
      <w:marBottom w:val="0"/>
      <w:divBdr>
        <w:top w:val="none" w:sz="0" w:space="0" w:color="auto"/>
        <w:left w:val="none" w:sz="0" w:space="0" w:color="auto"/>
        <w:bottom w:val="none" w:sz="0" w:space="0" w:color="auto"/>
        <w:right w:val="none" w:sz="0" w:space="0" w:color="auto"/>
      </w:divBdr>
    </w:div>
    <w:div w:id="280110826">
      <w:bodyDiv w:val="1"/>
      <w:marLeft w:val="0"/>
      <w:marRight w:val="0"/>
      <w:marTop w:val="0"/>
      <w:marBottom w:val="0"/>
      <w:divBdr>
        <w:top w:val="none" w:sz="0" w:space="0" w:color="auto"/>
        <w:left w:val="none" w:sz="0" w:space="0" w:color="auto"/>
        <w:bottom w:val="none" w:sz="0" w:space="0" w:color="auto"/>
        <w:right w:val="none" w:sz="0" w:space="0" w:color="auto"/>
      </w:divBdr>
    </w:div>
    <w:div w:id="280115939">
      <w:bodyDiv w:val="1"/>
      <w:marLeft w:val="0"/>
      <w:marRight w:val="0"/>
      <w:marTop w:val="0"/>
      <w:marBottom w:val="0"/>
      <w:divBdr>
        <w:top w:val="none" w:sz="0" w:space="0" w:color="auto"/>
        <w:left w:val="none" w:sz="0" w:space="0" w:color="auto"/>
        <w:bottom w:val="none" w:sz="0" w:space="0" w:color="auto"/>
        <w:right w:val="none" w:sz="0" w:space="0" w:color="auto"/>
      </w:divBdr>
    </w:div>
    <w:div w:id="280117360">
      <w:bodyDiv w:val="1"/>
      <w:marLeft w:val="0"/>
      <w:marRight w:val="0"/>
      <w:marTop w:val="0"/>
      <w:marBottom w:val="0"/>
      <w:divBdr>
        <w:top w:val="none" w:sz="0" w:space="0" w:color="auto"/>
        <w:left w:val="none" w:sz="0" w:space="0" w:color="auto"/>
        <w:bottom w:val="none" w:sz="0" w:space="0" w:color="auto"/>
        <w:right w:val="none" w:sz="0" w:space="0" w:color="auto"/>
      </w:divBdr>
    </w:div>
    <w:div w:id="280186374">
      <w:bodyDiv w:val="1"/>
      <w:marLeft w:val="0"/>
      <w:marRight w:val="0"/>
      <w:marTop w:val="0"/>
      <w:marBottom w:val="0"/>
      <w:divBdr>
        <w:top w:val="none" w:sz="0" w:space="0" w:color="auto"/>
        <w:left w:val="none" w:sz="0" w:space="0" w:color="auto"/>
        <w:bottom w:val="none" w:sz="0" w:space="0" w:color="auto"/>
        <w:right w:val="none" w:sz="0" w:space="0" w:color="auto"/>
      </w:divBdr>
    </w:div>
    <w:div w:id="280378440">
      <w:bodyDiv w:val="1"/>
      <w:marLeft w:val="0"/>
      <w:marRight w:val="0"/>
      <w:marTop w:val="0"/>
      <w:marBottom w:val="0"/>
      <w:divBdr>
        <w:top w:val="none" w:sz="0" w:space="0" w:color="auto"/>
        <w:left w:val="none" w:sz="0" w:space="0" w:color="auto"/>
        <w:bottom w:val="none" w:sz="0" w:space="0" w:color="auto"/>
        <w:right w:val="none" w:sz="0" w:space="0" w:color="auto"/>
      </w:divBdr>
    </w:div>
    <w:div w:id="280385234">
      <w:bodyDiv w:val="1"/>
      <w:marLeft w:val="0"/>
      <w:marRight w:val="0"/>
      <w:marTop w:val="0"/>
      <w:marBottom w:val="0"/>
      <w:divBdr>
        <w:top w:val="none" w:sz="0" w:space="0" w:color="auto"/>
        <w:left w:val="none" w:sz="0" w:space="0" w:color="auto"/>
        <w:bottom w:val="none" w:sz="0" w:space="0" w:color="auto"/>
        <w:right w:val="none" w:sz="0" w:space="0" w:color="auto"/>
      </w:divBdr>
    </w:div>
    <w:div w:id="280572495">
      <w:bodyDiv w:val="1"/>
      <w:marLeft w:val="0"/>
      <w:marRight w:val="0"/>
      <w:marTop w:val="0"/>
      <w:marBottom w:val="0"/>
      <w:divBdr>
        <w:top w:val="none" w:sz="0" w:space="0" w:color="auto"/>
        <w:left w:val="none" w:sz="0" w:space="0" w:color="auto"/>
        <w:bottom w:val="none" w:sz="0" w:space="0" w:color="auto"/>
        <w:right w:val="none" w:sz="0" w:space="0" w:color="auto"/>
      </w:divBdr>
    </w:div>
    <w:div w:id="280579469">
      <w:bodyDiv w:val="1"/>
      <w:marLeft w:val="0"/>
      <w:marRight w:val="0"/>
      <w:marTop w:val="0"/>
      <w:marBottom w:val="0"/>
      <w:divBdr>
        <w:top w:val="none" w:sz="0" w:space="0" w:color="auto"/>
        <w:left w:val="none" w:sz="0" w:space="0" w:color="auto"/>
        <w:bottom w:val="none" w:sz="0" w:space="0" w:color="auto"/>
        <w:right w:val="none" w:sz="0" w:space="0" w:color="auto"/>
      </w:divBdr>
    </w:div>
    <w:div w:id="280645781">
      <w:bodyDiv w:val="1"/>
      <w:marLeft w:val="0"/>
      <w:marRight w:val="0"/>
      <w:marTop w:val="0"/>
      <w:marBottom w:val="0"/>
      <w:divBdr>
        <w:top w:val="none" w:sz="0" w:space="0" w:color="auto"/>
        <w:left w:val="none" w:sz="0" w:space="0" w:color="auto"/>
        <w:bottom w:val="none" w:sz="0" w:space="0" w:color="auto"/>
        <w:right w:val="none" w:sz="0" w:space="0" w:color="auto"/>
      </w:divBdr>
    </w:div>
    <w:div w:id="280722019">
      <w:bodyDiv w:val="1"/>
      <w:marLeft w:val="0"/>
      <w:marRight w:val="0"/>
      <w:marTop w:val="0"/>
      <w:marBottom w:val="0"/>
      <w:divBdr>
        <w:top w:val="none" w:sz="0" w:space="0" w:color="auto"/>
        <w:left w:val="none" w:sz="0" w:space="0" w:color="auto"/>
        <w:bottom w:val="none" w:sz="0" w:space="0" w:color="auto"/>
        <w:right w:val="none" w:sz="0" w:space="0" w:color="auto"/>
      </w:divBdr>
    </w:div>
    <w:div w:id="280763699">
      <w:bodyDiv w:val="1"/>
      <w:marLeft w:val="0"/>
      <w:marRight w:val="0"/>
      <w:marTop w:val="0"/>
      <w:marBottom w:val="0"/>
      <w:divBdr>
        <w:top w:val="none" w:sz="0" w:space="0" w:color="auto"/>
        <w:left w:val="none" w:sz="0" w:space="0" w:color="auto"/>
        <w:bottom w:val="none" w:sz="0" w:space="0" w:color="auto"/>
        <w:right w:val="none" w:sz="0" w:space="0" w:color="auto"/>
      </w:divBdr>
    </w:div>
    <w:div w:id="280773127">
      <w:bodyDiv w:val="1"/>
      <w:marLeft w:val="0"/>
      <w:marRight w:val="0"/>
      <w:marTop w:val="0"/>
      <w:marBottom w:val="0"/>
      <w:divBdr>
        <w:top w:val="none" w:sz="0" w:space="0" w:color="auto"/>
        <w:left w:val="none" w:sz="0" w:space="0" w:color="auto"/>
        <w:bottom w:val="none" w:sz="0" w:space="0" w:color="auto"/>
        <w:right w:val="none" w:sz="0" w:space="0" w:color="auto"/>
      </w:divBdr>
    </w:div>
    <w:div w:id="280848095">
      <w:bodyDiv w:val="1"/>
      <w:marLeft w:val="0"/>
      <w:marRight w:val="0"/>
      <w:marTop w:val="0"/>
      <w:marBottom w:val="0"/>
      <w:divBdr>
        <w:top w:val="none" w:sz="0" w:space="0" w:color="auto"/>
        <w:left w:val="none" w:sz="0" w:space="0" w:color="auto"/>
        <w:bottom w:val="none" w:sz="0" w:space="0" w:color="auto"/>
        <w:right w:val="none" w:sz="0" w:space="0" w:color="auto"/>
      </w:divBdr>
    </w:div>
    <w:div w:id="280918827">
      <w:bodyDiv w:val="1"/>
      <w:marLeft w:val="0"/>
      <w:marRight w:val="0"/>
      <w:marTop w:val="0"/>
      <w:marBottom w:val="0"/>
      <w:divBdr>
        <w:top w:val="none" w:sz="0" w:space="0" w:color="auto"/>
        <w:left w:val="none" w:sz="0" w:space="0" w:color="auto"/>
        <w:bottom w:val="none" w:sz="0" w:space="0" w:color="auto"/>
        <w:right w:val="none" w:sz="0" w:space="0" w:color="auto"/>
      </w:divBdr>
    </w:div>
    <w:div w:id="280964744">
      <w:bodyDiv w:val="1"/>
      <w:marLeft w:val="0"/>
      <w:marRight w:val="0"/>
      <w:marTop w:val="0"/>
      <w:marBottom w:val="0"/>
      <w:divBdr>
        <w:top w:val="none" w:sz="0" w:space="0" w:color="auto"/>
        <w:left w:val="none" w:sz="0" w:space="0" w:color="auto"/>
        <w:bottom w:val="none" w:sz="0" w:space="0" w:color="auto"/>
        <w:right w:val="none" w:sz="0" w:space="0" w:color="auto"/>
      </w:divBdr>
    </w:div>
    <w:div w:id="281035124">
      <w:bodyDiv w:val="1"/>
      <w:marLeft w:val="0"/>
      <w:marRight w:val="0"/>
      <w:marTop w:val="0"/>
      <w:marBottom w:val="0"/>
      <w:divBdr>
        <w:top w:val="none" w:sz="0" w:space="0" w:color="auto"/>
        <w:left w:val="none" w:sz="0" w:space="0" w:color="auto"/>
        <w:bottom w:val="none" w:sz="0" w:space="0" w:color="auto"/>
        <w:right w:val="none" w:sz="0" w:space="0" w:color="auto"/>
      </w:divBdr>
    </w:div>
    <w:div w:id="281112503">
      <w:bodyDiv w:val="1"/>
      <w:marLeft w:val="0"/>
      <w:marRight w:val="0"/>
      <w:marTop w:val="0"/>
      <w:marBottom w:val="0"/>
      <w:divBdr>
        <w:top w:val="none" w:sz="0" w:space="0" w:color="auto"/>
        <w:left w:val="none" w:sz="0" w:space="0" w:color="auto"/>
        <w:bottom w:val="none" w:sz="0" w:space="0" w:color="auto"/>
        <w:right w:val="none" w:sz="0" w:space="0" w:color="auto"/>
      </w:divBdr>
    </w:div>
    <w:div w:id="281155887">
      <w:bodyDiv w:val="1"/>
      <w:marLeft w:val="0"/>
      <w:marRight w:val="0"/>
      <w:marTop w:val="0"/>
      <w:marBottom w:val="0"/>
      <w:divBdr>
        <w:top w:val="none" w:sz="0" w:space="0" w:color="auto"/>
        <w:left w:val="none" w:sz="0" w:space="0" w:color="auto"/>
        <w:bottom w:val="none" w:sz="0" w:space="0" w:color="auto"/>
        <w:right w:val="none" w:sz="0" w:space="0" w:color="auto"/>
      </w:divBdr>
    </w:div>
    <w:div w:id="281156957">
      <w:bodyDiv w:val="1"/>
      <w:marLeft w:val="0"/>
      <w:marRight w:val="0"/>
      <w:marTop w:val="0"/>
      <w:marBottom w:val="0"/>
      <w:divBdr>
        <w:top w:val="none" w:sz="0" w:space="0" w:color="auto"/>
        <w:left w:val="none" w:sz="0" w:space="0" w:color="auto"/>
        <w:bottom w:val="none" w:sz="0" w:space="0" w:color="auto"/>
        <w:right w:val="none" w:sz="0" w:space="0" w:color="auto"/>
      </w:divBdr>
    </w:div>
    <w:div w:id="281228534">
      <w:bodyDiv w:val="1"/>
      <w:marLeft w:val="0"/>
      <w:marRight w:val="0"/>
      <w:marTop w:val="0"/>
      <w:marBottom w:val="0"/>
      <w:divBdr>
        <w:top w:val="none" w:sz="0" w:space="0" w:color="auto"/>
        <w:left w:val="none" w:sz="0" w:space="0" w:color="auto"/>
        <w:bottom w:val="none" w:sz="0" w:space="0" w:color="auto"/>
        <w:right w:val="none" w:sz="0" w:space="0" w:color="auto"/>
      </w:divBdr>
    </w:div>
    <w:div w:id="281303791">
      <w:bodyDiv w:val="1"/>
      <w:marLeft w:val="0"/>
      <w:marRight w:val="0"/>
      <w:marTop w:val="0"/>
      <w:marBottom w:val="0"/>
      <w:divBdr>
        <w:top w:val="none" w:sz="0" w:space="0" w:color="auto"/>
        <w:left w:val="none" w:sz="0" w:space="0" w:color="auto"/>
        <w:bottom w:val="none" w:sz="0" w:space="0" w:color="auto"/>
        <w:right w:val="none" w:sz="0" w:space="0" w:color="auto"/>
      </w:divBdr>
    </w:div>
    <w:div w:id="281422143">
      <w:bodyDiv w:val="1"/>
      <w:marLeft w:val="0"/>
      <w:marRight w:val="0"/>
      <w:marTop w:val="0"/>
      <w:marBottom w:val="0"/>
      <w:divBdr>
        <w:top w:val="none" w:sz="0" w:space="0" w:color="auto"/>
        <w:left w:val="none" w:sz="0" w:space="0" w:color="auto"/>
        <w:bottom w:val="none" w:sz="0" w:space="0" w:color="auto"/>
        <w:right w:val="none" w:sz="0" w:space="0" w:color="auto"/>
      </w:divBdr>
    </w:div>
    <w:div w:id="281618050">
      <w:bodyDiv w:val="1"/>
      <w:marLeft w:val="0"/>
      <w:marRight w:val="0"/>
      <w:marTop w:val="0"/>
      <w:marBottom w:val="0"/>
      <w:divBdr>
        <w:top w:val="none" w:sz="0" w:space="0" w:color="auto"/>
        <w:left w:val="none" w:sz="0" w:space="0" w:color="auto"/>
        <w:bottom w:val="none" w:sz="0" w:space="0" w:color="auto"/>
        <w:right w:val="none" w:sz="0" w:space="0" w:color="auto"/>
      </w:divBdr>
    </w:div>
    <w:div w:id="281687901">
      <w:bodyDiv w:val="1"/>
      <w:marLeft w:val="0"/>
      <w:marRight w:val="0"/>
      <w:marTop w:val="0"/>
      <w:marBottom w:val="0"/>
      <w:divBdr>
        <w:top w:val="none" w:sz="0" w:space="0" w:color="auto"/>
        <w:left w:val="none" w:sz="0" w:space="0" w:color="auto"/>
        <w:bottom w:val="none" w:sz="0" w:space="0" w:color="auto"/>
        <w:right w:val="none" w:sz="0" w:space="0" w:color="auto"/>
      </w:divBdr>
    </w:div>
    <w:div w:id="281691943">
      <w:bodyDiv w:val="1"/>
      <w:marLeft w:val="0"/>
      <w:marRight w:val="0"/>
      <w:marTop w:val="0"/>
      <w:marBottom w:val="0"/>
      <w:divBdr>
        <w:top w:val="none" w:sz="0" w:space="0" w:color="auto"/>
        <w:left w:val="none" w:sz="0" w:space="0" w:color="auto"/>
        <w:bottom w:val="none" w:sz="0" w:space="0" w:color="auto"/>
        <w:right w:val="none" w:sz="0" w:space="0" w:color="auto"/>
      </w:divBdr>
    </w:div>
    <w:div w:id="281810380">
      <w:bodyDiv w:val="1"/>
      <w:marLeft w:val="0"/>
      <w:marRight w:val="0"/>
      <w:marTop w:val="0"/>
      <w:marBottom w:val="0"/>
      <w:divBdr>
        <w:top w:val="none" w:sz="0" w:space="0" w:color="auto"/>
        <w:left w:val="none" w:sz="0" w:space="0" w:color="auto"/>
        <w:bottom w:val="none" w:sz="0" w:space="0" w:color="auto"/>
        <w:right w:val="none" w:sz="0" w:space="0" w:color="auto"/>
      </w:divBdr>
    </w:div>
    <w:div w:id="281881690">
      <w:bodyDiv w:val="1"/>
      <w:marLeft w:val="0"/>
      <w:marRight w:val="0"/>
      <w:marTop w:val="0"/>
      <w:marBottom w:val="0"/>
      <w:divBdr>
        <w:top w:val="none" w:sz="0" w:space="0" w:color="auto"/>
        <w:left w:val="none" w:sz="0" w:space="0" w:color="auto"/>
        <w:bottom w:val="none" w:sz="0" w:space="0" w:color="auto"/>
        <w:right w:val="none" w:sz="0" w:space="0" w:color="auto"/>
      </w:divBdr>
    </w:div>
    <w:div w:id="281881745">
      <w:bodyDiv w:val="1"/>
      <w:marLeft w:val="0"/>
      <w:marRight w:val="0"/>
      <w:marTop w:val="0"/>
      <w:marBottom w:val="0"/>
      <w:divBdr>
        <w:top w:val="none" w:sz="0" w:space="0" w:color="auto"/>
        <w:left w:val="none" w:sz="0" w:space="0" w:color="auto"/>
        <w:bottom w:val="none" w:sz="0" w:space="0" w:color="auto"/>
        <w:right w:val="none" w:sz="0" w:space="0" w:color="auto"/>
      </w:divBdr>
    </w:div>
    <w:div w:id="281887749">
      <w:bodyDiv w:val="1"/>
      <w:marLeft w:val="0"/>
      <w:marRight w:val="0"/>
      <w:marTop w:val="0"/>
      <w:marBottom w:val="0"/>
      <w:divBdr>
        <w:top w:val="none" w:sz="0" w:space="0" w:color="auto"/>
        <w:left w:val="none" w:sz="0" w:space="0" w:color="auto"/>
        <w:bottom w:val="none" w:sz="0" w:space="0" w:color="auto"/>
        <w:right w:val="none" w:sz="0" w:space="0" w:color="auto"/>
      </w:divBdr>
    </w:div>
    <w:div w:id="281889703">
      <w:bodyDiv w:val="1"/>
      <w:marLeft w:val="0"/>
      <w:marRight w:val="0"/>
      <w:marTop w:val="0"/>
      <w:marBottom w:val="0"/>
      <w:divBdr>
        <w:top w:val="none" w:sz="0" w:space="0" w:color="auto"/>
        <w:left w:val="none" w:sz="0" w:space="0" w:color="auto"/>
        <w:bottom w:val="none" w:sz="0" w:space="0" w:color="auto"/>
        <w:right w:val="none" w:sz="0" w:space="0" w:color="auto"/>
      </w:divBdr>
    </w:div>
    <w:div w:id="281958673">
      <w:bodyDiv w:val="1"/>
      <w:marLeft w:val="0"/>
      <w:marRight w:val="0"/>
      <w:marTop w:val="0"/>
      <w:marBottom w:val="0"/>
      <w:divBdr>
        <w:top w:val="none" w:sz="0" w:space="0" w:color="auto"/>
        <w:left w:val="none" w:sz="0" w:space="0" w:color="auto"/>
        <w:bottom w:val="none" w:sz="0" w:space="0" w:color="auto"/>
        <w:right w:val="none" w:sz="0" w:space="0" w:color="auto"/>
      </w:divBdr>
    </w:div>
    <w:div w:id="281958794">
      <w:bodyDiv w:val="1"/>
      <w:marLeft w:val="0"/>
      <w:marRight w:val="0"/>
      <w:marTop w:val="0"/>
      <w:marBottom w:val="0"/>
      <w:divBdr>
        <w:top w:val="none" w:sz="0" w:space="0" w:color="auto"/>
        <w:left w:val="none" w:sz="0" w:space="0" w:color="auto"/>
        <w:bottom w:val="none" w:sz="0" w:space="0" w:color="auto"/>
        <w:right w:val="none" w:sz="0" w:space="0" w:color="auto"/>
      </w:divBdr>
    </w:div>
    <w:div w:id="281962493">
      <w:bodyDiv w:val="1"/>
      <w:marLeft w:val="0"/>
      <w:marRight w:val="0"/>
      <w:marTop w:val="0"/>
      <w:marBottom w:val="0"/>
      <w:divBdr>
        <w:top w:val="none" w:sz="0" w:space="0" w:color="auto"/>
        <w:left w:val="none" w:sz="0" w:space="0" w:color="auto"/>
        <w:bottom w:val="none" w:sz="0" w:space="0" w:color="auto"/>
        <w:right w:val="none" w:sz="0" w:space="0" w:color="auto"/>
      </w:divBdr>
    </w:div>
    <w:div w:id="281963823">
      <w:bodyDiv w:val="1"/>
      <w:marLeft w:val="0"/>
      <w:marRight w:val="0"/>
      <w:marTop w:val="0"/>
      <w:marBottom w:val="0"/>
      <w:divBdr>
        <w:top w:val="none" w:sz="0" w:space="0" w:color="auto"/>
        <w:left w:val="none" w:sz="0" w:space="0" w:color="auto"/>
        <w:bottom w:val="none" w:sz="0" w:space="0" w:color="auto"/>
        <w:right w:val="none" w:sz="0" w:space="0" w:color="auto"/>
      </w:divBdr>
    </w:div>
    <w:div w:id="282032379">
      <w:bodyDiv w:val="1"/>
      <w:marLeft w:val="0"/>
      <w:marRight w:val="0"/>
      <w:marTop w:val="0"/>
      <w:marBottom w:val="0"/>
      <w:divBdr>
        <w:top w:val="none" w:sz="0" w:space="0" w:color="auto"/>
        <w:left w:val="none" w:sz="0" w:space="0" w:color="auto"/>
        <w:bottom w:val="none" w:sz="0" w:space="0" w:color="auto"/>
        <w:right w:val="none" w:sz="0" w:space="0" w:color="auto"/>
      </w:divBdr>
    </w:div>
    <w:div w:id="282344966">
      <w:bodyDiv w:val="1"/>
      <w:marLeft w:val="0"/>
      <w:marRight w:val="0"/>
      <w:marTop w:val="0"/>
      <w:marBottom w:val="0"/>
      <w:divBdr>
        <w:top w:val="none" w:sz="0" w:space="0" w:color="auto"/>
        <w:left w:val="none" w:sz="0" w:space="0" w:color="auto"/>
        <w:bottom w:val="none" w:sz="0" w:space="0" w:color="auto"/>
        <w:right w:val="none" w:sz="0" w:space="0" w:color="auto"/>
      </w:divBdr>
    </w:div>
    <w:div w:id="282349501">
      <w:bodyDiv w:val="1"/>
      <w:marLeft w:val="0"/>
      <w:marRight w:val="0"/>
      <w:marTop w:val="0"/>
      <w:marBottom w:val="0"/>
      <w:divBdr>
        <w:top w:val="none" w:sz="0" w:space="0" w:color="auto"/>
        <w:left w:val="none" w:sz="0" w:space="0" w:color="auto"/>
        <w:bottom w:val="none" w:sz="0" w:space="0" w:color="auto"/>
        <w:right w:val="none" w:sz="0" w:space="0" w:color="auto"/>
      </w:divBdr>
    </w:div>
    <w:div w:id="282423099">
      <w:bodyDiv w:val="1"/>
      <w:marLeft w:val="0"/>
      <w:marRight w:val="0"/>
      <w:marTop w:val="0"/>
      <w:marBottom w:val="0"/>
      <w:divBdr>
        <w:top w:val="none" w:sz="0" w:space="0" w:color="auto"/>
        <w:left w:val="none" w:sz="0" w:space="0" w:color="auto"/>
        <w:bottom w:val="none" w:sz="0" w:space="0" w:color="auto"/>
        <w:right w:val="none" w:sz="0" w:space="0" w:color="auto"/>
      </w:divBdr>
    </w:div>
    <w:div w:id="282736509">
      <w:bodyDiv w:val="1"/>
      <w:marLeft w:val="0"/>
      <w:marRight w:val="0"/>
      <w:marTop w:val="0"/>
      <w:marBottom w:val="0"/>
      <w:divBdr>
        <w:top w:val="none" w:sz="0" w:space="0" w:color="auto"/>
        <w:left w:val="none" w:sz="0" w:space="0" w:color="auto"/>
        <w:bottom w:val="none" w:sz="0" w:space="0" w:color="auto"/>
        <w:right w:val="none" w:sz="0" w:space="0" w:color="auto"/>
      </w:divBdr>
    </w:div>
    <w:div w:id="282931026">
      <w:bodyDiv w:val="1"/>
      <w:marLeft w:val="0"/>
      <w:marRight w:val="0"/>
      <w:marTop w:val="0"/>
      <w:marBottom w:val="0"/>
      <w:divBdr>
        <w:top w:val="none" w:sz="0" w:space="0" w:color="auto"/>
        <w:left w:val="none" w:sz="0" w:space="0" w:color="auto"/>
        <w:bottom w:val="none" w:sz="0" w:space="0" w:color="auto"/>
        <w:right w:val="none" w:sz="0" w:space="0" w:color="auto"/>
      </w:divBdr>
    </w:div>
    <w:div w:id="283007382">
      <w:bodyDiv w:val="1"/>
      <w:marLeft w:val="0"/>
      <w:marRight w:val="0"/>
      <w:marTop w:val="0"/>
      <w:marBottom w:val="0"/>
      <w:divBdr>
        <w:top w:val="none" w:sz="0" w:space="0" w:color="auto"/>
        <w:left w:val="none" w:sz="0" w:space="0" w:color="auto"/>
        <w:bottom w:val="none" w:sz="0" w:space="0" w:color="auto"/>
        <w:right w:val="none" w:sz="0" w:space="0" w:color="auto"/>
      </w:divBdr>
    </w:div>
    <w:div w:id="283076442">
      <w:bodyDiv w:val="1"/>
      <w:marLeft w:val="0"/>
      <w:marRight w:val="0"/>
      <w:marTop w:val="0"/>
      <w:marBottom w:val="0"/>
      <w:divBdr>
        <w:top w:val="none" w:sz="0" w:space="0" w:color="auto"/>
        <w:left w:val="none" w:sz="0" w:space="0" w:color="auto"/>
        <w:bottom w:val="none" w:sz="0" w:space="0" w:color="auto"/>
        <w:right w:val="none" w:sz="0" w:space="0" w:color="auto"/>
      </w:divBdr>
    </w:div>
    <w:div w:id="283081866">
      <w:bodyDiv w:val="1"/>
      <w:marLeft w:val="0"/>
      <w:marRight w:val="0"/>
      <w:marTop w:val="0"/>
      <w:marBottom w:val="0"/>
      <w:divBdr>
        <w:top w:val="none" w:sz="0" w:space="0" w:color="auto"/>
        <w:left w:val="none" w:sz="0" w:space="0" w:color="auto"/>
        <w:bottom w:val="none" w:sz="0" w:space="0" w:color="auto"/>
        <w:right w:val="none" w:sz="0" w:space="0" w:color="auto"/>
      </w:divBdr>
    </w:div>
    <w:div w:id="283468464">
      <w:bodyDiv w:val="1"/>
      <w:marLeft w:val="0"/>
      <w:marRight w:val="0"/>
      <w:marTop w:val="0"/>
      <w:marBottom w:val="0"/>
      <w:divBdr>
        <w:top w:val="none" w:sz="0" w:space="0" w:color="auto"/>
        <w:left w:val="none" w:sz="0" w:space="0" w:color="auto"/>
        <w:bottom w:val="none" w:sz="0" w:space="0" w:color="auto"/>
        <w:right w:val="none" w:sz="0" w:space="0" w:color="auto"/>
      </w:divBdr>
    </w:div>
    <w:div w:id="283734102">
      <w:bodyDiv w:val="1"/>
      <w:marLeft w:val="0"/>
      <w:marRight w:val="0"/>
      <w:marTop w:val="0"/>
      <w:marBottom w:val="0"/>
      <w:divBdr>
        <w:top w:val="none" w:sz="0" w:space="0" w:color="auto"/>
        <w:left w:val="none" w:sz="0" w:space="0" w:color="auto"/>
        <w:bottom w:val="none" w:sz="0" w:space="0" w:color="auto"/>
        <w:right w:val="none" w:sz="0" w:space="0" w:color="auto"/>
      </w:divBdr>
    </w:div>
    <w:div w:id="284049367">
      <w:bodyDiv w:val="1"/>
      <w:marLeft w:val="0"/>
      <w:marRight w:val="0"/>
      <w:marTop w:val="0"/>
      <w:marBottom w:val="0"/>
      <w:divBdr>
        <w:top w:val="none" w:sz="0" w:space="0" w:color="auto"/>
        <w:left w:val="none" w:sz="0" w:space="0" w:color="auto"/>
        <w:bottom w:val="none" w:sz="0" w:space="0" w:color="auto"/>
        <w:right w:val="none" w:sz="0" w:space="0" w:color="auto"/>
      </w:divBdr>
    </w:div>
    <w:div w:id="284117524">
      <w:bodyDiv w:val="1"/>
      <w:marLeft w:val="0"/>
      <w:marRight w:val="0"/>
      <w:marTop w:val="0"/>
      <w:marBottom w:val="0"/>
      <w:divBdr>
        <w:top w:val="none" w:sz="0" w:space="0" w:color="auto"/>
        <w:left w:val="none" w:sz="0" w:space="0" w:color="auto"/>
        <w:bottom w:val="none" w:sz="0" w:space="0" w:color="auto"/>
        <w:right w:val="none" w:sz="0" w:space="0" w:color="auto"/>
      </w:divBdr>
    </w:div>
    <w:div w:id="284194403">
      <w:bodyDiv w:val="1"/>
      <w:marLeft w:val="0"/>
      <w:marRight w:val="0"/>
      <w:marTop w:val="0"/>
      <w:marBottom w:val="0"/>
      <w:divBdr>
        <w:top w:val="none" w:sz="0" w:space="0" w:color="auto"/>
        <w:left w:val="none" w:sz="0" w:space="0" w:color="auto"/>
        <w:bottom w:val="none" w:sz="0" w:space="0" w:color="auto"/>
        <w:right w:val="none" w:sz="0" w:space="0" w:color="auto"/>
      </w:divBdr>
    </w:div>
    <w:div w:id="284316863">
      <w:bodyDiv w:val="1"/>
      <w:marLeft w:val="0"/>
      <w:marRight w:val="0"/>
      <w:marTop w:val="0"/>
      <w:marBottom w:val="0"/>
      <w:divBdr>
        <w:top w:val="none" w:sz="0" w:space="0" w:color="auto"/>
        <w:left w:val="none" w:sz="0" w:space="0" w:color="auto"/>
        <w:bottom w:val="none" w:sz="0" w:space="0" w:color="auto"/>
        <w:right w:val="none" w:sz="0" w:space="0" w:color="auto"/>
      </w:divBdr>
    </w:div>
    <w:div w:id="284507266">
      <w:bodyDiv w:val="1"/>
      <w:marLeft w:val="0"/>
      <w:marRight w:val="0"/>
      <w:marTop w:val="0"/>
      <w:marBottom w:val="0"/>
      <w:divBdr>
        <w:top w:val="none" w:sz="0" w:space="0" w:color="auto"/>
        <w:left w:val="none" w:sz="0" w:space="0" w:color="auto"/>
        <w:bottom w:val="none" w:sz="0" w:space="0" w:color="auto"/>
        <w:right w:val="none" w:sz="0" w:space="0" w:color="auto"/>
      </w:divBdr>
    </w:div>
    <w:div w:id="284584615">
      <w:bodyDiv w:val="1"/>
      <w:marLeft w:val="0"/>
      <w:marRight w:val="0"/>
      <w:marTop w:val="0"/>
      <w:marBottom w:val="0"/>
      <w:divBdr>
        <w:top w:val="none" w:sz="0" w:space="0" w:color="auto"/>
        <w:left w:val="none" w:sz="0" w:space="0" w:color="auto"/>
        <w:bottom w:val="none" w:sz="0" w:space="0" w:color="auto"/>
        <w:right w:val="none" w:sz="0" w:space="0" w:color="auto"/>
      </w:divBdr>
    </w:div>
    <w:div w:id="284654469">
      <w:bodyDiv w:val="1"/>
      <w:marLeft w:val="0"/>
      <w:marRight w:val="0"/>
      <w:marTop w:val="0"/>
      <w:marBottom w:val="0"/>
      <w:divBdr>
        <w:top w:val="none" w:sz="0" w:space="0" w:color="auto"/>
        <w:left w:val="none" w:sz="0" w:space="0" w:color="auto"/>
        <w:bottom w:val="none" w:sz="0" w:space="0" w:color="auto"/>
        <w:right w:val="none" w:sz="0" w:space="0" w:color="auto"/>
      </w:divBdr>
    </w:div>
    <w:div w:id="284698544">
      <w:bodyDiv w:val="1"/>
      <w:marLeft w:val="0"/>
      <w:marRight w:val="0"/>
      <w:marTop w:val="0"/>
      <w:marBottom w:val="0"/>
      <w:divBdr>
        <w:top w:val="none" w:sz="0" w:space="0" w:color="auto"/>
        <w:left w:val="none" w:sz="0" w:space="0" w:color="auto"/>
        <w:bottom w:val="none" w:sz="0" w:space="0" w:color="auto"/>
        <w:right w:val="none" w:sz="0" w:space="0" w:color="auto"/>
      </w:divBdr>
    </w:div>
    <w:div w:id="284703851">
      <w:bodyDiv w:val="1"/>
      <w:marLeft w:val="0"/>
      <w:marRight w:val="0"/>
      <w:marTop w:val="0"/>
      <w:marBottom w:val="0"/>
      <w:divBdr>
        <w:top w:val="none" w:sz="0" w:space="0" w:color="auto"/>
        <w:left w:val="none" w:sz="0" w:space="0" w:color="auto"/>
        <w:bottom w:val="none" w:sz="0" w:space="0" w:color="auto"/>
        <w:right w:val="none" w:sz="0" w:space="0" w:color="auto"/>
      </w:divBdr>
    </w:div>
    <w:div w:id="284772495">
      <w:bodyDiv w:val="1"/>
      <w:marLeft w:val="0"/>
      <w:marRight w:val="0"/>
      <w:marTop w:val="0"/>
      <w:marBottom w:val="0"/>
      <w:divBdr>
        <w:top w:val="none" w:sz="0" w:space="0" w:color="auto"/>
        <w:left w:val="none" w:sz="0" w:space="0" w:color="auto"/>
        <w:bottom w:val="none" w:sz="0" w:space="0" w:color="auto"/>
        <w:right w:val="none" w:sz="0" w:space="0" w:color="auto"/>
      </w:divBdr>
    </w:div>
    <w:div w:id="284774231">
      <w:bodyDiv w:val="1"/>
      <w:marLeft w:val="0"/>
      <w:marRight w:val="0"/>
      <w:marTop w:val="0"/>
      <w:marBottom w:val="0"/>
      <w:divBdr>
        <w:top w:val="none" w:sz="0" w:space="0" w:color="auto"/>
        <w:left w:val="none" w:sz="0" w:space="0" w:color="auto"/>
        <w:bottom w:val="none" w:sz="0" w:space="0" w:color="auto"/>
        <w:right w:val="none" w:sz="0" w:space="0" w:color="auto"/>
      </w:divBdr>
    </w:div>
    <w:div w:id="284775597">
      <w:bodyDiv w:val="1"/>
      <w:marLeft w:val="0"/>
      <w:marRight w:val="0"/>
      <w:marTop w:val="0"/>
      <w:marBottom w:val="0"/>
      <w:divBdr>
        <w:top w:val="none" w:sz="0" w:space="0" w:color="auto"/>
        <w:left w:val="none" w:sz="0" w:space="0" w:color="auto"/>
        <w:bottom w:val="none" w:sz="0" w:space="0" w:color="auto"/>
        <w:right w:val="none" w:sz="0" w:space="0" w:color="auto"/>
      </w:divBdr>
    </w:div>
    <w:div w:id="284852061">
      <w:bodyDiv w:val="1"/>
      <w:marLeft w:val="0"/>
      <w:marRight w:val="0"/>
      <w:marTop w:val="0"/>
      <w:marBottom w:val="0"/>
      <w:divBdr>
        <w:top w:val="none" w:sz="0" w:space="0" w:color="auto"/>
        <w:left w:val="none" w:sz="0" w:space="0" w:color="auto"/>
        <w:bottom w:val="none" w:sz="0" w:space="0" w:color="auto"/>
        <w:right w:val="none" w:sz="0" w:space="0" w:color="auto"/>
      </w:divBdr>
    </w:div>
    <w:div w:id="284970960">
      <w:bodyDiv w:val="1"/>
      <w:marLeft w:val="0"/>
      <w:marRight w:val="0"/>
      <w:marTop w:val="0"/>
      <w:marBottom w:val="0"/>
      <w:divBdr>
        <w:top w:val="none" w:sz="0" w:space="0" w:color="auto"/>
        <w:left w:val="none" w:sz="0" w:space="0" w:color="auto"/>
        <w:bottom w:val="none" w:sz="0" w:space="0" w:color="auto"/>
        <w:right w:val="none" w:sz="0" w:space="0" w:color="auto"/>
      </w:divBdr>
    </w:div>
    <w:div w:id="285081941">
      <w:bodyDiv w:val="1"/>
      <w:marLeft w:val="0"/>
      <w:marRight w:val="0"/>
      <w:marTop w:val="0"/>
      <w:marBottom w:val="0"/>
      <w:divBdr>
        <w:top w:val="none" w:sz="0" w:space="0" w:color="auto"/>
        <w:left w:val="none" w:sz="0" w:space="0" w:color="auto"/>
        <w:bottom w:val="none" w:sz="0" w:space="0" w:color="auto"/>
        <w:right w:val="none" w:sz="0" w:space="0" w:color="auto"/>
      </w:divBdr>
    </w:div>
    <w:div w:id="285084065">
      <w:bodyDiv w:val="1"/>
      <w:marLeft w:val="0"/>
      <w:marRight w:val="0"/>
      <w:marTop w:val="0"/>
      <w:marBottom w:val="0"/>
      <w:divBdr>
        <w:top w:val="none" w:sz="0" w:space="0" w:color="auto"/>
        <w:left w:val="none" w:sz="0" w:space="0" w:color="auto"/>
        <w:bottom w:val="none" w:sz="0" w:space="0" w:color="auto"/>
        <w:right w:val="none" w:sz="0" w:space="0" w:color="auto"/>
      </w:divBdr>
    </w:div>
    <w:div w:id="285162000">
      <w:bodyDiv w:val="1"/>
      <w:marLeft w:val="0"/>
      <w:marRight w:val="0"/>
      <w:marTop w:val="0"/>
      <w:marBottom w:val="0"/>
      <w:divBdr>
        <w:top w:val="none" w:sz="0" w:space="0" w:color="auto"/>
        <w:left w:val="none" w:sz="0" w:space="0" w:color="auto"/>
        <w:bottom w:val="none" w:sz="0" w:space="0" w:color="auto"/>
        <w:right w:val="none" w:sz="0" w:space="0" w:color="auto"/>
      </w:divBdr>
    </w:div>
    <w:div w:id="285310849">
      <w:bodyDiv w:val="1"/>
      <w:marLeft w:val="0"/>
      <w:marRight w:val="0"/>
      <w:marTop w:val="0"/>
      <w:marBottom w:val="0"/>
      <w:divBdr>
        <w:top w:val="none" w:sz="0" w:space="0" w:color="auto"/>
        <w:left w:val="none" w:sz="0" w:space="0" w:color="auto"/>
        <w:bottom w:val="none" w:sz="0" w:space="0" w:color="auto"/>
        <w:right w:val="none" w:sz="0" w:space="0" w:color="auto"/>
      </w:divBdr>
    </w:div>
    <w:div w:id="285358436">
      <w:bodyDiv w:val="1"/>
      <w:marLeft w:val="0"/>
      <w:marRight w:val="0"/>
      <w:marTop w:val="0"/>
      <w:marBottom w:val="0"/>
      <w:divBdr>
        <w:top w:val="none" w:sz="0" w:space="0" w:color="auto"/>
        <w:left w:val="none" w:sz="0" w:space="0" w:color="auto"/>
        <w:bottom w:val="none" w:sz="0" w:space="0" w:color="auto"/>
        <w:right w:val="none" w:sz="0" w:space="0" w:color="auto"/>
      </w:divBdr>
    </w:div>
    <w:div w:id="285431006">
      <w:bodyDiv w:val="1"/>
      <w:marLeft w:val="0"/>
      <w:marRight w:val="0"/>
      <w:marTop w:val="0"/>
      <w:marBottom w:val="0"/>
      <w:divBdr>
        <w:top w:val="none" w:sz="0" w:space="0" w:color="auto"/>
        <w:left w:val="none" w:sz="0" w:space="0" w:color="auto"/>
        <w:bottom w:val="none" w:sz="0" w:space="0" w:color="auto"/>
        <w:right w:val="none" w:sz="0" w:space="0" w:color="auto"/>
      </w:divBdr>
    </w:div>
    <w:div w:id="285698030">
      <w:bodyDiv w:val="1"/>
      <w:marLeft w:val="0"/>
      <w:marRight w:val="0"/>
      <w:marTop w:val="0"/>
      <w:marBottom w:val="0"/>
      <w:divBdr>
        <w:top w:val="none" w:sz="0" w:space="0" w:color="auto"/>
        <w:left w:val="none" w:sz="0" w:space="0" w:color="auto"/>
        <w:bottom w:val="none" w:sz="0" w:space="0" w:color="auto"/>
        <w:right w:val="none" w:sz="0" w:space="0" w:color="auto"/>
      </w:divBdr>
    </w:div>
    <w:div w:id="285812638">
      <w:bodyDiv w:val="1"/>
      <w:marLeft w:val="0"/>
      <w:marRight w:val="0"/>
      <w:marTop w:val="0"/>
      <w:marBottom w:val="0"/>
      <w:divBdr>
        <w:top w:val="none" w:sz="0" w:space="0" w:color="auto"/>
        <w:left w:val="none" w:sz="0" w:space="0" w:color="auto"/>
        <w:bottom w:val="none" w:sz="0" w:space="0" w:color="auto"/>
        <w:right w:val="none" w:sz="0" w:space="0" w:color="auto"/>
      </w:divBdr>
    </w:div>
    <w:div w:id="285889202">
      <w:bodyDiv w:val="1"/>
      <w:marLeft w:val="0"/>
      <w:marRight w:val="0"/>
      <w:marTop w:val="0"/>
      <w:marBottom w:val="0"/>
      <w:divBdr>
        <w:top w:val="none" w:sz="0" w:space="0" w:color="auto"/>
        <w:left w:val="none" w:sz="0" w:space="0" w:color="auto"/>
        <w:bottom w:val="none" w:sz="0" w:space="0" w:color="auto"/>
        <w:right w:val="none" w:sz="0" w:space="0" w:color="auto"/>
      </w:divBdr>
    </w:div>
    <w:div w:id="286008470">
      <w:bodyDiv w:val="1"/>
      <w:marLeft w:val="0"/>
      <w:marRight w:val="0"/>
      <w:marTop w:val="0"/>
      <w:marBottom w:val="0"/>
      <w:divBdr>
        <w:top w:val="none" w:sz="0" w:space="0" w:color="auto"/>
        <w:left w:val="none" w:sz="0" w:space="0" w:color="auto"/>
        <w:bottom w:val="none" w:sz="0" w:space="0" w:color="auto"/>
        <w:right w:val="none" w:sz="0" w:space="0" w:color="auto"/>
      </w:divBdr>
    </w:div>
    <w:div w:id="286011075">
      <w:bodyDiv w:val="1"/>
      <w:marLeft w:val="0"/>
      <w:marRight w:val="0"/>
      <w:marTop w:val="0"/>
      <w:marBottom w:val="0"/>
      <w:divBdr>
        <w:top w:val="none" w:sz="0" w:space="0" w:color="auto"/>
        <w:left w:val="none" w:sz="0" w:space="0" w:color="auto"/>
        <w:bottom w:val="none" w:sz="0" w:space="0" w:color="auto"/>
        <w:right w:val="none" w:sz="0" w:space="0" w:color="auto"/>
      </w:divBdr>
    </w:div>
    <w:div w:id="286014194">
      <w:bodyDiv w:val="1"/>
      <w:marLeft w:val="0"/>
      <w:marRight w:val="0"/>
      <w:marTop w:val="0"/>
      <w:marBottom w:val="0"/>
      <w:divBdr>
        <w:top w:val="none" w:sz="0" w:space="0" w:color="auto"/>
        <w:left w:val="none" w:sz="0" w:space="0" w:color="auto"/>
        <w:bottom w:val="none" w:sz="0" w:space="0" w:color="auto"/>
        <w:right w:val="none" w:sz="0" w:space="0" w:color="auto"/>
      </w:divBdr>
    </w:div>
    <w:div w:id="286199823">
      <w:bodyDiv w:val="1"/>
      <w:marLeft w:val="0"/>
      <w:marRight w:val="0"/>
      <w:marTop w:val="0"/>
      <w:marBottom w:val="0"/>
      <w:divBdr>
        <w:top w:val="none" w:sz="0" w:space="0" w:color="auto"/>
        <w:left w:val="none" w:sz="0" w:space="0" w:color="auto"/>
        <w:bottom w:val="none" w:sz="0" w:space="0" w:color="auto"/>
        <w:right w:val="none" w:sz="0" w:space="0" w:color="auto"/>
      </w:divBdr>
    </w:div>
    <w:div w:id="286199896">
      <w:bodyDiv w:val="1"/>
      <w:marLeft w:val="0"/>
      <w:marRight w:val="0"/>
      <w:marTop w:val="0"/>
      <w:marBottom w:val="0"/>
      <w:divBdr>
        <w:top w:val="none" w:sz="0" w:space="0" w:color="auto"/>
        <w:left w:val="none" w:sz="0" w:space="0" w:color="auto"/>
        <w:bottom w:val="none" w:sz="0" w:space="0" w:color="auto"/>
        <w:right w:val="none" w:sz="0" w:space="0" w:color="auto"/>
      </w:divBdr>
    </w:div>
    <w:div w:id="286205968">
      <w:bodyDiv w:val="1"/>
      <w:marLeft w:val="0"/>
      <w:marRight w:val="0"/>
      <w:marTop w:val="0"/>
      <w:marBottom w:val="0"/>
      <w:divBdr>
        <w:top w:val="none" w:sz="0" w:space="0" w:color="auto"/>
        <w:left w:val="none" w:sz="0" w:space="0" w:color="auto"/>
        <w:bottom w:val="none" w:sz="0" w:space="0" w:color="auto"/>
        <w:right w:val="none" w:sz="0" w:space="0" w:color="auto"/>
      </w:divBdr>
    </w:div>
    <w:div w:id="286276678">
      <w:bodyDiv w:val="1"/>
      <w:marLeft w:val="0"/>
      <w:marRight w:val="0"/>
      <w:marTop w:val="0"/>
      <w:marBottom w:val="0"/>
      <w:divBdr>
        <w:top w:val="none" w:sz="0" w:space="0" w:color="auto"/>
        <w:left w:val="none" w:sz="0" w:space="0" w:color="auto"/>
        <w:bottom w:val="none" w:sz="0" w:space="0" w:color="auto"/>
        <w:right w:val="none" w:sz="0" w:space="0" w:color="auto"/>
      </w:divBdr>
    </w:div>
    <w:div w:id="286276695">
      <w:bodyDiv w:val="1"/>
      <w:marLeft w:val="0"/>
      <w:marRight w:val="0"/>
      <w:marTop w:val="0"/>
      <w:marBottom w:val="0"/>
      <w:divBdr>
        <w:top w:val="none" w:sz="0" w:space="0" w:color="auto"/>
        <w:left w:val="none" w:sz="0" w:space="0" w:color="auto"/>
        <w:bottom w:val="none" w:sz="0" w:space="0" w:color="auto"/>
        <w:right w:val="none" w:sz="0" w:space="0" w:color="auto"/>
      </w:divBdr>
    </w:div>
    <w:div w:id="286283981">
      <w:bodyDiv w:val="1"/>
      <w:marLeft w:val="0"/>
      <w:marRight w:val="0"/>
      <w:marTop w:val="0"/>
      <w:marBottom w:val="0"/>
      <w:divBdr>
        <w:top w:val="none" w:sz="0" w:space="0" w:color="auto"/>
        <w:left w:val="none" w:sz="0" w:space="0" w:color="auto"/>
        <w:bottom w:val="none" w:sz="0" w:space="0" w:color="auto"/>
        <w:right w:val="none" w:sz="0" w:space="0" w:color="auto"/>
      </w:divBdr>
    </w:div>
    <w:div w:id="286665241">
      <w:bodyDiv w:val="1"/>
      <w:marLeft w:val="0"/>
      <w:marRight w:val="0"/>
      <w:marTop w:val="0"/>
      <w:marBottom w:val="0"/>
      <w:divBdr>
        <w:top w:val="none" w:sz="0" w:space="0" w:color="auto"/>
        <w:left w:val="none" w:sz="0" w:space="0" w:color="auto"/>
        <w:bottom w:val="none" w:sz="0" w:space="0" w:color="auto"/>
        <w:right w:val="none" w:sz="0" w:space="0" w:color="auto"/>
      </w:divBdr>
    </w:div>
    <w:div w:id="286739440">
      <w:bodyDiv w:val="1"/>
      <w:marLeft w:val="0"/>
      <w:marRight w:val="0"/>
      <w:marTop w:val="0"/>
      <w:marBottom w:val="0"/>
      <w:divBdr>
        <w:top w:val="none" w:sz="0" w:space="0" w:color="auto"/>
        <w:left w:val="none" w:sz="0" w:space="0" w:color="auto"/>
        <w:bottom w:val="none" w:sz="0" w:space="0" w:color="auto"/>
        <w:right w:val="none" w:sz="0" w:space="0" w:color="auto"/>
      </w:divBdr>
    </w:div>
    <w:div w:id="286858132">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287009329">
      <w:bodyDiv w:val="1"/>
      <w:marLeft w:val="0"/>
      <w:marRight w:val="0"/>
      <w:marTop w:val="0"/>
      <w:marBottom w:val="0"/>
      <w:divBdr>
        <w:top w:val="none" w:sz="0" w:space="0" w:color="auto"/>
        <w:left w:val="none" w:sz="0" w:space="0" w:color="auto"/>
        <w:bottom w:val="none" w:sz="0" w:space="0" w:color="auto"/>
        <w:right w:val="none" w:sz="0" w:space="0" w:color="auto"/>
      </w:divBdr>
    </w:div>
    <w:div w:id="287125236">
      <w:bodyDiv w:val="1"/>
      <w:marLeft w:val="0"/>
      <w:marRight w:val="0"/>
      <w:marTop w:val="0"/>
      <w:marBottom w:val="0"/>
      <w:divBdr>
        <w:top w:val="none" w:sz="0" w:space="0" w:color="auto"/>
        <w:left w:val="none" w:sz="0" w:space="0" w:color="auto"/>
        <w:bottom w:val="none" w:sz="0" w:space="0" w:color="auto"/>
        <w:right w:val="none" w:sz="0" w:space="0" w:color="auto"/>
      </w:divBdr>
    </w:div>
    <w:div w:id="287392613">
      <w:bodyDiv w:val="1"/>
      <w:marLeft w:val="0"/>
      <w:marRight w:val="0"/>
      <w:marTop w:val="0"/>
      <w:marBottom w:val="0"/>
      <w:divBdr>
        <w:top w:val="none" w:sz="0" w:space="0" w:color="auto"/>
        <w:left w:val="none" w:sz="0" w:space="0" w:color="auto"/>
        <w:bottom w:val="none" w:sz="0" w:space="0" w:color="auto"/>
        <w:right w:val="none" w:sz="0" w:space="0" w:color="auto"/>
      </w:divBdr>
    </w:div>
    <w:div w:id="287398302">
      <w:bodyDiv w:val="1"/>
      <w:marLeft w:val="0"/>
      <w:marRight w:val="0"/>
      <w:marTop w:val="0"/>
      <w:marBottom w:val="0"/>
      <w:divBdr>
        <w:top w:val="none" w:sz="0" w:space="0" w:color="auto"/>
        <w:left w:val="none" w:sz="0" w:space="0" w:color="auto"/>
        <w:bottom w:val="none" w:sz="0" w:space="0" w:color="auto"/>
        <w:right w:val="none" w:sz="0" w:space="0" w:color="auto"/>
      </w:divBdr>
    </w:div>
    <w:div w:id="287399150">
      <w:bodyDiv w:val="1"/>
      <w:marLeft w:val="0"/>
      <w:marRight w:val="0"/>
      <w:marTop w:val="0"/>
      <w:marBottom w:val="0"/>
      <w:divBdr>
        <w:top w:val="none" w:sz="0" w:space="0" w:color="auto"/>
        <w:left w:val="none" w:sz="0" w:space="0" w:color="auto"/>
        <w:bottom w:val="none" w:sz="0" w:space="0" w:color="auto"/>
        <w:right w:val="none" w:sz="0" w:space="0" w:color="auto"/>
      </w:divBdr>
    </w:div>
    <w:div w:id="287510736">
      <w:bodyDiv w:val="1"/>
      <w:marLeft w:val="0"/>
      <w:marRight w:val="0"/>
      <w:marTop w:val="0"/>
      <w:marBottom w:val="0"/>
      <w:divBdr>
        <w:top w:val="none" w:sz="0" w:space="0" w:color="auto"/>
        <w:left w:val="none" w:sz="0" w:space="0" w:color="auto"/>
        <w:bottom w:val="none" w:sz="0" w:space="0" w:color="auto"/>
        <w:right w:val="none" w:sz="0" w:space="0" w:color="auto"/>
      </w:divBdr>
    </w:div>
    <w:div w:id="287511694">
      <w:bodyDiv w:val="1"/>
      <w:marLeft w:val="0"/>
      <w:marRight w:val="0"/>
      <w:marTop w:val="0"/>
      <w:marBottom w:val="0"/>
      <w:divBdr>
        <w:top w:val="none" w:sz="0" w:space="0" w:color="auto"/>
        <w:left w:val="none" w:sz="0" w:space="0" w:color="auto"/>
        <w:bottom w:val="none" w:sz="0" w:space="0" w:color="auto"/>
        <w:right w:val="none" w:sz="0" w:space="0" w:color="auto"/>
      </w:divBdr>
    </w:div>
    <w:div w:id="287592833">
      <w:bodyDiv w:val="1"/>
      <w:marLeft w:val="0"/>
      <w:marRight w:val="0"/>
      <w:marTop w:val="0"/>
      <w:marBottom w:val="0"/>
      <w:divBdr>
        <w:top w:val="none" w:sz="0" w:space="0" w:color="auto"/>
        <w:left w:val="none" w:sz="0" w:space="0" w:color="auto"/>
        <w:bottom w:val="none" w:sz="0" w:space="0" w:color="auto"/>
        <w:right w:val="none" w:sz="0" w:space="0" w:color="auto"/>
      </w:divBdr>
    </w:div>
    <w:div w:id="287703105">
      <w:bodyDiv w:val="1"/>
      <w:marLeft w:val="0"/>
      <w:marRight w:val="0"/>
      <w:marTop w:val="0"/>
      <w:marBottom w:val="0"/>
      <w:divBdr>
        <w:top w:val="none" w:sz="0" w:space="0" w:color="auto"/>
        <w:left w:val="none" w:sz="0" w:space="0" w:color="auto"/>
        <w:bottom w:val="none" w:sz="0" w:space="0" w:color="auto"/>
        <w:right w:val="none" w:sz="0" w:space="0" w:color="auto"/>
      </w:divBdr>
    </w:div>
    <w:div w:id="287709264">
      <w:bodyDiv w:val="1"/>
      <w:marLeft w:val="0"/>
      <w:marRight w:val="0"/>
      <w:marTop w:val="0"/>
      <w:marBottom w:val="0"/>
      <w:divBdr>
        <w:top w:val="none" w:sz="0" w:space="0" w:color="auto"/>
        <w:left w:val="none" w:sz="0" w:space="0" w:color="auto"/>
        <w:bottom w:val="none" w:sz="0" w:space="0" w:color="auto"/>
        <w:right w:val="none" w:sz="0" w:space="0" w:color="auto"/>
      </w:divBdr>
    </w:div>
    <w:div w:id="287779826">
      <w:bodyDiv w:val="1"/>
      <w:marLeft w:val="0"/>
      <w:marRight w:val="0"/>
      <w:marTop w:val="0"/>
      <w:marBottom w:val="0"/>
      <w:divBdr>
        <w:top w:val="none" w:sz="0" w:space="0" w:color="auto"/>
        <w:left w:val="none" w:sz="0" w:space="0" w:color="auto"/>
        <w:bottom w:val="none" w:sz="0" w:space="0" w:color="auto"/>
        <w:right w:val="none" w:sz="0" w:space="0" w:color="auto"/>
      </w:divBdr>
    </w:div>
    <w:div w:id="287782384">
      <w:bodyDiv w:val="1"/>
      <w:marLeft w:val="0"/>
      <w:marRight w:val="0"/>
      <w:marTop w:val="0"/>
      <w:marBottom w:val="0"/>
      <w:divBdr>
        <w:top w:val="none" w:sz="0" w:space="0" w:color="auto"/>
        <w:left w:val="none" w:sz="0" w:space="0" w:color="auto"/>
        <w:bottom w:val="none" w:sz="0" w:space="0" w:color="auto"/>
        <w:right w:val="none" w:sz="0" w:space="0" w:color="auto"/>
      </w:divBdr>
    </w:div>
    <w:div w:id="287858215">
      <w:bodyDiv w:val="1"/>
      <w:marLeft w:val="0"/>
      <w:marRight w:val="0"/>
      <w:marTop w:val="0"/>
      <w:marBottom w:val="0"/>
      <w:divBdr>
        <w:top w:val="none" w:sz="0" w:space="0" w:color="auto"/>
        <w:left w:val="none" w:sz="0" w:space="0" w:color="auto"/>
        <w:bottom w:val="none" w:sz="0" w:space="0" w:color="auto"/>
        <w:right w:val="none" w:sz="0" w:space="0" w:color="auto"/>
      </w:divBdr>
    </w:div>
    <w:div w:id="287859635">
      <w:bodyDiv w:val="1"/>
      <w:marLeft w:val="0"/>
      <w:marRight w:val="0"/>
      <w:marTop w:val="0"/>
      <w:marBottom w:val="0"/>
      <w:divBdr>
        <w:top w:val="none" w:sz="0" w:space="0" w:color="auto"/>
        <w:left w:val="none" w:sz="0" w:space="0" w:color="auto"/>
        <w:bottom w:val="none" w:sz="0" w:space="0" w:color="auto"/>
        <w:right w:val="none" w:sz="0" w:space="0" w:color="auto"/>
      </w:divBdr>
    </w:div>
    <w:div w:id="287976179">
      <w:bodyDiv w:val="1"/>
      <w:marLeft w:val="0"/>
      <w:marRight w:val="0"/>
      <w:marTop w:val="0"/>
      <w:marBottom w:val="0"/>
      <w:divBdr>
        <w:top w:val="none" w:sz="0" w:space="0" w:color="auto"/>
        <w:left w:val="none" w:sz="0" w:space="0" w:color="auto"/>
        <w:bottom w:val="none" w:sz="0" w:space="0" w:color="auto"/>
        <w:right w:val="none" w:sz="0" w:space="0" w:color="auto"/>
      </w:divBdr>
    </w:div>
    <w:div w:id="287976905">
      <w:bodyDiv w:val="1"/>
      <w:marLeft w:val="0"/>
      <w:marRight w:val="0"/>
      <w:marTop w:val="0"/>
      <w:marBottom w:val="0"/>
      <w:divBdr>
        <w:top w:val="none" w:sz="0" w:space="0" w:color="auto"/>
        <w:left w:val="none" w:sz="0" w:space="0" w:color="auto"/>
        <w:bottom w:val="none" w:sz="0" w:space="0" w:color="auto"/>
        <w:right w:val="none" w:sz="0" w:space="0" w:color="auto"/>
      </w:divBdr>
    </w:div>
    <w:div w:id="287977989">
      <w:bodyDiv w:val="1"/>
      <w:marLeft w:val="0"/>
      <w:marRight w:val="0"/>
      <w:marTop w:val="0"/>
      <w:marBottom w:val="0"/>
      <w:divBdr>
        <w:top w:val="none" w:sz="0" w:space="0" w:color="auto"/>
        <w:left w:val="none" w:sz="0" w:space="0" w:color="auto"/>
        <w:bottom w:val="none" w:sz="0" w:space="0" w:color="auto"/>
        <w:right w:val="none" w:sz="0" w:space="0" w:color="auto"/>
      </w:divBdr>
    </w:div>
    <w:div w:id="287981151">
      <w:bodyDiv w:val="1"/>
      <w:marLeft w:val="0"/>
      <w:marRight w:val="0"/>
      <w:marTop w:val="0"/>
      <w:marBottom w:val="0"/>
      <w:divBdr>
        <w:top w:val="none" w:sz="0" w:space="0" w:color="auto"/>
        <w:left w:val="none" w:sz="0" w:space="0" w:color="auto"/>
        <w:bottom w:val="none" w:sz="0" w:space="0" w:color="auto"/>
        <w:right w:val="none" w:sz="0" w:space="0" w:color="auto"/>
      </w:divBdr>
    </w:div>
    <w:div w:id="288056375">
      <w:bodyDiv w:val="1"/>
      <w:marLeft w:val="0"/>
      <w:marRight w:val="0"/>
      <w:marTop w:val="0"/>
      <w:marBottom w:val="0"/>
      <w:divBdr>
        <w:top w:val="none" w:sz="0" w:space="0" w:color="auto"/>
        <w:left w:val="none" w:sz="0" w:space="0" w:color="auto"/>
        <w:bottom w:val="none" w:sz="0" w:space="0" w:color="auto"/>
        <w:right w:val="none" w:sz="0" w:space="0" w:color="auto"/>
      </w:divBdr>
    </w:div>
    <w:div w:id="288128325">
      <w:bodyDiv w:val="1"/>
      <w:marLeft w:val="0"/>
      <w:marRight w:val="0"/>
      <w:marTop w:val="0"/>
      <w:marBottom w:val="0"/>
      <w:divBdr>
        <w:top w:val="none" w:sz="0" w:space="0" w:color="auto"/>
        <w:left w:val="none" w:sz="0" w:space="0" w:color="auto"/>
        <w:bottom w:val="none" w:sz="0" w:space="0" w:color="auto"/>
        <w:right w:val="none" w:sz="0" w:space="0" w:color="auto"/>
      </w:divBdr>
    </w:div>
    <w:div w:id="288171448">
      <w:bodyDiv w:val="1"/>
      <w:marLeft w:val="0"/>
      <w:marRight w:val="0"/>
      <w:marTop w:val="0"/>
      <w:marBottom w:val="0"/>
      <w:divBdr>
        <w:top w:val="none" w:sz="0" w:space="0" w:color="auto"/>
        <w:left w:val="none" w:sz="0" w:space="0" w:color="auto"/>
        <w:bottom w:val="none" w:sz="0" w:space="0" w:color="auto"/>
        <w:right w:val="none" w:sz="0" w:space="0" w:color="auto"/>
      </w:divBdr>
    </w:div>
    <w:div w:id="288321117">
      <w:bodyDiv w:val="1"/>
      <w:marLeft w:val="0"/>
      <w:marRight w:val="0"/>
      <w:marTop w:val="0"/>
      <w:marBottom w:val="0"/>
      <w:divBdr>
        <w:top w:val="none" w:sz="0" w:space="0" w:color="auto"/>
        <w:left w:val="none" w:sz="0" w:space="0" w:color="auto"/>
        <w:bottom w:val="none" w:sz="0" w:space="0" w:color="auto"/>
        <w:right w:val="none" w:sz="0" w:space="0" w:color="auto"/>
      </w:divBdr>
    </w:div>
    <w:div w:id="288321705">
      <w:bodyDiv w:val="1"/>
      <w:marLeft w:val="0"/>
      <w:marRight w:val="0"/>
      <w:marTop w:val="0"/>
      <w:marBottom w:val="0"/>
      <w:divBdr>
        <w:top w:val="none" w:sz="0" w:space="0" w:color="auto"/>
        <w:left w:val="none" w:sz="0" w:space="0" w:color="auto"/>
        <w:bottom w:val="none" w:sz="0" w:space="0" w:color="auto"/>
        <w:right w:val="none" w:sz="0" w:space="0" w:color="auto"/>
      </w:divBdr>
    </w:div>
    <w:div w:id="288360800">
      <w:bodyDiv w:val="1"/>
      <w:marLeft w:val="0"/>
      <w:marRight w:val="0"/>
      <w:marTop w:val="0"/>
      <w:marBottom w:val="0"/>
      <w:divBdr>
        <w:top w:val="none" w:sz="0" w:space="0" w:color="auto"/>
        <w:left w:val="none" w:sz="0" w:space="0" w:color="auto"/>
        <w:bottom w:val="none" w:sz="0" w:space="0" w:color="auto"/>
        <w:right w:val="none" w:sz="0" w:space="0" w:color="auto"/>
      </w:divBdr>
    </w:div>
    <w:div w:id="288710383">
      <w:bodyDiv w:val="1"/>
      <w:marLeft w:val="0"/>
      <w:marRight w:val="0"/>
      <w:marTop w:val="0"/>
      <w:marBottom w:val="0"/>
      <w:divBdr>
        <w:top w:val="none" w:sz="0" w:space="0" w:color="auto"/>
        <w:left w:val="none" w:sz="0" w:space="0" w:color="auto"/>
        <w:bottom w:val="none" w:sz="0" w:space="0" w:color="auto"/>
        <w:right w:val="none" w:sz="0" w:space="0" w:color="auto"/>
      </w:divBdr>
    </w:div>
    <w:div w:id="288751749">
      <w:bodyDiv w:val="1"/>
      <w:marLeft w:val="0"/>
      <w:marRight w:val="0"/>
      <w:marTop w:val="0"/>
      <w:marBottom w:val="0"/>
      <w:divBdr>
        <w:top w:val="none" w:sz="0" w:space="0" w:color="auto"/>
        <w:left w:val="none" w:sz="0" w:space="0" w:color="auto"/>
        <w:bottom w:val="none" w:sz="0" w:space="0" w:color="auto"/>
        <w:right w:val="none" w:sz="0" w:space="0" w:color="auto"/>
      </w:divBdr>
    </w:div>
    <w:div w:id="288898403">
      <w:bodyDiv w:val="1"/>
      <w:marLeft w:val="0"/>
      <w:marRight w:val="0"/>
      <w:marTop w:val="0"/>
      <w:marBottom w:val="0"/>
      <w:divBdr>
        <w:top w:val="none" w:sz="0" w:space="0" w:color="auto"/>
        <w:left w:val="none" w:sz="0" w:space="0" w:color="auto"/>
        <w:bottom w:val="none" w:sz="0" w:space="0" w:color="auto"/>
        <w:right w:val="none" w:sz="0" w:space="0" w:color="auto"/>
      </w:divBdr>
    </w:div>
    <w:div w:id="288901862">
      <w:bodyDiv w:val="1"/>
      <w:marLeft w:val="0"/>
      <w:marRight w:val="0"/>
      <w:marTop w:val="0"/>
      <w:marBottom w:val="0"/>
      <w:divBdr>
        <w:top w:val="none" w:sz="0" w:space="0" w:color="auto"/>
        <w:left w:val="none" w:sz="0" w:space="0" w:color="auto"/>
        <w:bottom w:val="none" w:sz="0" w:space="0" w:color="auto"/>
        <w:right w:val="none" w:sz="0" w:space="0" w:color="auto"/>
      </w:divBdr>
    </w:div>
    <w:div w:id="288973304">
      <w:bodyDiv w:val="1"/>
      <w:marLeft w:val="0"/>
      <w:marRight w:val="0"/>
      <w:marTop w:val="0"/>
      <w:marBottom w:val="0"/>
      <w:divBdr>
        <w:top w:val="none" w:sz="0" w:space="0" w:color="auto"/>
        <w:left w:val="none" w:sz="0" w:space="0" w:color="auto"/>
        <w:bottom w:val="none" w:sz="0" w:space="0" w:color="auto"/>
        <w:right w:val="none" w:sz="0" w:space="0" w:color="auto"/>
      </w:divBdr>
    </w:div>
    <w:div w:id="289015949">
      <w:bodyDiv w:val="1"/>
      <w:marLeft w:val="0"/>
      <w:marRight w:val="0"/>
      <w:marTop w:val="0"/>
      <w:marBottom w:val="0"/>
      <w:divBdr>
        <w:top w:val="none" w:sz="0" w:space="0" w:color="auto"/>
        <w:left w:val="none" w:sz="0" w:space="0" w:color="auto"/>
        <w:bottom w:val="none" w:sz="0" w:space="0" w:color="auto"/>
        <w:right w:val="none" w:sz="0" w:space="0" w:color="auto"/>
      </w:divBdr>
    </w:div>
    <w:div w:id="289284831">
      <w:bodyDiv w:val="1"/>
      <w:marLeft w:val="0"/>
      <w:marRight w:val="0"/>
      <w:marTop w:val="0"/>
      <w:marBottom w:val="0"/>
      <w:divBdr>
        <w:top w:val="none" w:sz="0" w:space="0" w:color="auto"/>
        <w:left w:val="none" w:sz="0" w:space="0" w:color="auto"/>
        <w:bottom w:val="none" w:sz="0" w:space="0" w:color="auto"/>
        <w:right w:val="none" w:sz="0" w:space="0" w:color="auto"/>
      </w:divBdr>
    </w:div>
    <w:div w:id="289358362">
      <w:bodyDiv w:val="1"/>
      <w:marLeft w:val="0"/>
      <w:marRight w:val="0"/>
      <w:marTop w:val="0"/>
      <w:marBottom w:val="0"/>
      <w:divBdr>
        <w:top w:val="none" w:sz="0" w:space="0" w:color="auto"/>
        <w:left w:val="none" w:sz="0" w:space="0" w:color="auto"/>
        <w:bottom w:val="none" w:sz="0" w:space="0" w:color="auto"/>
        <w:right w:val="none" w:sz="0" w:space="0" w:color="auto"/>
      </w:divBdr>
    </w:div>
    <w:div w:id="289366052">
      <w:bodyDiv w:val="1"/>
      <w:marLeft w:val="0"/>
      <w:marRight w:val="0"/>
      <w:marTop w:val="0"/>
      <w:marBottom w:val="0"/>
      <w:divBdr>
        <w:top w:val="none" w:sz="0" w:space="0" w:color="auto"/>
        <w:left w:val="none" w:sz="0" w:space="0" w:color="auto"/>
        <w:bottom w:val="none" w:sz="0" w:space="0" w:color="auto"/>
        <w:right w:val="none" w:sz="0" w:space="0" w:color="auto"/>
      </w:divBdr>
    </w:div>
    <w:div w:id="289407869">
      <w:bodyDiv w:val="1"/>
      <w:marLeft w:val="0"/>
      <w:marRight w:val="0"/>
      <w:marTop w:val="0"/>
      <w:marBottom w:val="0"/>
      <w:divBdr>
        <w:top w:val="none" w:sz="0" w:space="0" w:color="auto"/>
        <w:left w:val="none" w:sz="0" w:space="0" w:color="auto"/>
        <w:bottom w:val="none" w:sz="0" w:space="0" w:color="auto"/>
        <w:right w:val="none" w:sz="0" w:space="0" w:color="auto"/>
      </w:divBdr>
    </w:div>
    <w:div w:id="289481290">
      <w:bodyDiv w:val="1"/>
      <w:marLeft w:val="0"/>
      <w:marRight w:val="0"/>
      <w:marTop w:val="0"/>
      <w:marBottom w:val="0"/>
      <w:divBdr>
        <w:top w:val="none" w:sz="0" w:space="0" w:color="auto"/>
        <w:left w:val="none" w:sz="0" w:space="0" w:color="auto"/>
        <w:bottom w:val="none" w:sz="0" w:space="0" w:color="auto"/>
        <w:right w:val="none" w:sz="0" w:space="0" w:color="auto"/>
      </w:divBdr>
    </w:div>
    <w:div w:id="289555918">
      <w:bodyDiv w:val="1"/>
      <w:marLeft w:val="0"/>
      <w:marRight w:val="0"/>
      <w:marTop w:val="0"/>
      <w:marBottom w:val="0"/>
      <w:divBdr>
        <w:top w:val="none" w:sz="0" w:space="0" w:color="auto"/>
        <w:left w:val="none" w:sz="0" w:space="0" w:color="auto"/>
        <w:bottom w:val="none" w:sz="0" w:space="0" w:color="auto"/>
        <w:right w:val="none" w:sz="0" w:space="0" w:color="auto"/>
      </w:divBdr>
    </w:div>
    <w:div w:id="289635043">
      <w:bodyDiv w:val="1"/>
      <w:marLeft w:val="0"/>
      <w:marRight w:val="0"/>
      <w:marTop w:val="0"/>
      <w:marBottom w:val="0"/>
      <w:divBdr>
        <w:top w:val="none" w:sz="0" w:space="0" w:color="auto"/>
        <w:left w:val="none" w:sz="0" w:space="0" w:color="auto"/>
        <w:bottom w:val="none" w:sz="0" w:space="0" w:color="auto"/>
        <w:right w:val="none" w:sz="0" w:space="0" w:color="auto"/>
      </w:divBdr>
    </w:div>
    <w:div w:id="289671776">
      <w:bodyDiv w:val="1"/>
      <w:marLeft w:val="0"/>
      <w:marRight w:val="0"/>
      <w:marTop w:val="0"/>
      <w:marBottom w:val="0"/>
      <w:divBdr>
        <w:top w:val="none" w:sz="0" w:space="0" w:color="auto"/>
        <w:left w:val="none" w:sz="0" w:space="0" w:color="auto"/>
        <w:bottom w:val="none" w:sz="0" w:space="0" w:color="auto"/>
        <w:right w:val="none" w:sz="0" w:space="0" w:color="auto"/>
      </w:divBdr>
    </w:div>
    <w:div w:id="289865897">
      <w:bodyDiv w:val="1"/>
      <w:marLeft w:val="0"/>
      <w:marRight w:val="0"/>
      <w:marTop w:val="0"/>
      <w:marBottom w:val="0"/>
      <w:divBdr>
        <w:top w:val="none" w:sz="0" w:space="0" w:color="auto"/>
        <w:left w:val="none" w:sz="0" w:space="0" w:color="auto"/>
        <w:bottom w:val="none" w:sz="0" w:space="0" w:color="auto"/>
        <w:right w:val="none" w:sz="0" w:space="0" w:color="auto"/>
      </w:divBdr>
    </w:div>
    <w:div w:id="290012955">
      <w:bodyDiv w:val="1"/>
      <w:marLeft w:val="0"/>
      <w:marRight w:val="0"/>
      <w:marTop w:val="0"/>
      <w:marBottom w:val="0"/>
      <w:divBdr>
        <w:top w:val="none" w:sz="0" w:space="0" w:color="auto"/>
        <w:left w:val="none" w:sz="0" w:space="0" w:color="auto"/>
        <w:bottom w:val="none" w:sz="0" w:space="0" w:color="auto"/>
        <w:right w:val="none" w:sz="0" w:space="0" w:color="auto"/>
      </w:divBdr>
    </w:div>
    <w:div w:id="290013849">
      <w:bodyDiv w:val="1"/>
      <w:marLeft w:val="0"/>
      <w:marRight w:val="0"/>
      <w:marTop w:val="0"/>
      <w:marBottom w:val="0"/>
      <w:divBdr>
        <w:top w:val="none" w:sz="0" w:space="0" w:color="auto"/>
        <w:left w:val="none" w:sz="0" w:space="0" w:color="auto"/>
        <w:bottom w:val="none" w:sz="0" w:space="0" w:color="auto"/>
        <w:right w:val="none" w:sz="0" w:space="0" w:color="auto"/>
      </w:divBdr>
    </w:div>
    <w:div w:id="290090980">
      <w:bodyDiv w:val="1"/>
      <w:marLeft w:val="0"/>
      <w:marRight w:val="0"/>
      <w:marTop w:val="0"/>
      <w:marBottom w:val="0"/>
      <w:divBdr>
        <w:top w:val="none" w:sz="0" w:space="0" w:color="auto"/>
        <w:left w:val="none" w:sz="0" w:space="0" w:color="auto"/>
        <w:bottom w:val="none" w:sz="0" w:space="0" w:color="auto"/>
        <w:right w:val="none" w:sz="0" w:space="0" w:color="auto"/>
      </w:divBdr>
    </w:div>
    <w:div w:id="290282418">
      <w:bodyDiv w:val="1"/>
      <w:marLeft w:val="0"/>
      <w:marRight w:val="0"/>
      <w:marTop w:val="0"/>
      <w:marBottom w:val="0"/>
      <w:divBdr>
        <w:top w:val="none" w:sz="0" w:space="0" w:color="auto"/>
        <w:left w:val="none" w:sz="0" w:space="0" w:color="auto"/>
        <w:bottom w:val="none" w:sz="0" w:space="0" w:color="auto"/>
        <w:right w:val="none" w:sz="0" w:space="0" w:color="auto"/>
      </w:divBdr>
    </w:div>
    <w:div w:id="290284132">
      <w:bodyDiv w:val="1"/>
      <w:marLeft w:val="0"/>
      <w:marRight w:val="0"/>
      <w:marTop w:val="0"/>
      <w:marBottom w:val="0"/>
      <w:divBdr>
        <w:top w:val="none" w:sz="0" w:space="0" w:color="auto"/>
        <w:left w:val="none" w:sz="0" w:space="0" w:color="auto"/>
        <w:bottom w:val="none" w:sz="0" w:space="0" w:color="auto"/>
        <w:right w:val="none" w:sz="0" w:space="0" w:color="auto"/>
      </w:divBdr>
    </w:div>
    <w:div w:id="290286035">
      <w:bodyDiv w:val="1"/>
      <w:marLeft w:val="0"/>
      <w:marRight w:val="0"/>
      <w:marTop w:val="0"/>
      <w:marBottom w:val="0"/>
      <w:divBdr>
        <w:top w:val="none" w:sz="0" w:space="0" w:color="auto"/>
        <w:left w:val="none" w:sz="0" w:space="0" w:color="auto"/>
        <w:bottom w:val="none" w:sz="0" w:space="0" w:color="auto"/>
        <w:right w:val="none" w:sz="0" w:space="0" w:color="auto"/>
      </w:divBdr>
    </w:div>
    <w:div w:id="290289533">
      <w:bodyDiv w:val="1"/>
      <w:marLeft w:val="0"/>
      <w:marRight w:val="0"/>
      <w:marTop w:val="0"/>
      <w:marBottom w:val="0"/>
      <w:divBdr>
        <w:top w:val="none" w:sz="0" w:space="0" w:color="auto"/>
        <w:left w:val="none" w:sz="0" w:space="0" w:color="auto"/>
        <w:bottom w:val="none" w:sz="0" w:space="0" w:color="auto"/>
        <w:right w:val="none" w:sz="0" w:space="0" w:color="auto"/>
      </w:divBdr>
    </w:div>
    <w:div w:id="290290859">
      <w:bodyDiv w:val="1"/>
      <w:marLeft w:val="0"/>
      <w:marRight w:val="0"/>
      <w:marTop w:val="0"/>
      <w:marBottom w:val="0"/>
      <w:divBdr>
        <w:top w:val="none" w:sz="0" w:space="0" w:color="auto"/>
        <w:left w:val="none" w:sz="0" w:space="0" w:color="auto"/>
        <w:bottom w:val="none" w:sz="0" w:space="0" w:color="auto"/>
        <w:right w:val="none" w:sz="0" w:space="0" w:color="auto"/>
      </w:divBdr>
    </w:div>
    <w:div w:id="290331002">
      <w:bodyDiv w:val="1"/>
      <w:marLeft w:val="0"/>
      <w:marRight w:val="0"/>
      <w:marTop w:val="0"/>
      <w:marBottom w:val="0"/>
      <w:divBdr>
        <w:top w:val="none" w:sz="0" w:space="0" w:color="auto"/>
        <w:left w:val="none" w:sz="0" w:space="0" w:color="auto"/>
        <w:bottom w:val="none" w:sz="0" w:space="0" w:color="auto"/>
        <w:right w:val="none" w:sz="0" w:space="0" w:color="auto"/>
      </w:divBdr>
    </w:div>
    <w:div w:id="290332393">
      <w:bodyDiv w:val="1"/>
      <w:marLeft w:val="0"/>
      <w:marRight w:val="0"/>
      <w:marTop w:val="0"/>
      <w:marBottom w:val="0"/>
      <w:divBdr>
        <w:top w:val="none" w:sz="0" w:space="0" w:color="auto"/>
        <w:left w:val="none" w:sz="0" w:space="0" w:color="auto"/>
        <w:bottom w:val="none" w:sz="0" w:space="0" w:color="auto"/>
        <w:right w:val="none" w:sz="0" w:space="0" w:color="auto"/>
      </w:divBdr>
    </w:div>
    <w:div w:id="290333098">
      <w:bodyDiv w:val="1"/>
      <w:marLeft w:val="0"/>
      <w:marRight w:val="0"/>
      <w:marTop w:val="0"/>
      <w:marBottom w:val="0"/>
      <w:divBdr>
        <w:top w:val="none" w:sz="0" w:space="0" w:color="auto"/>
        <w:left w:val="none" w:sz="0" w:space="0" w:color="auto"/>
        <w:bottom w:val="none" w:sz="0" w:space="0" w:color="auto"/>
        <w:right w:val="none" w:sz="0" w:space="0" w:color="auto"/>
      </w:divBdr>
    </w:div>
    <w:div w:id="290476305">
      <w:bodyDiv w:val="1"/>
      <w:marLeft w:val="0"/>
      <w:marRight w:val="0"/>
      <w:marTop w:val="0"/>
      <w:marBottom w:val="0"/>
      <w:divBdr>
        <w:top w:val="none" w:sz="0" w:space="0" w:color="auto"/>
        <w:left w:val="none" w:sz="0" w:space="0" w:color="auto"/>
        <w:bottom w:val="none" w:sz="0" w:space="0" w:color="auto"/>
        <w:right w:val="none" w:sz="0" w:space="0" w:color="auto"/>
      </w:divBdr>
    </w:div>
    <w:div w:id="290524009">
      <w:bodyDiv w:val="1"/>
      <w:marLeft w:val="0"/>
      <w:marRight w:val="0"/>
      <w:marTop w:val="0"/>
      <w:marBottom w:val="0"/>
      <w:divBdr>
        <w:top w:val="none" w:sz="0" w:space="0" w:color="auto"/>
        <w:left w:val="none" w:sz="0" w:space="0" w:color="auto"/>
        <w:bottom w:val="none" w:sz="0" w:space="0" w:color="auto"/>
        <w:right w:val="none" w:sz="0" w:space="0" w:color="auto"/>
      </w:divBdr>
    </w:div>
    <w:div w:id="290669502">
      <w:bodyDiv w:val="1"/>
      <w:marLeft w:val="0"/>
      <w:marRight w:val="0"/>
      <w:marTop w:val="0"/>
      <w:marBottom w:val="0"/>
      <w:divBdr>
        <w:top w:val="none" w:sz="0" w:space="0" w:color="auto"/>
        <w:left w:val="none" w:sz="0" w:space="0" w:color="auto"/>
        <w:bottom w:val="none" w:sz="0" w:space="0" w:color="auto"/>
        <w:right w:val="none" w:sz="0" w:space="0" w:color="auto"/>
      </w:divBdr>
    </w:div>
    <w:div w:id="290670335">
      <w:bodyDiv w:val="1"/>
      <w:marLeft w:val="0"/>
      <w:marRight w:val="0"/>
      <w:marTop w:val="0"/>
      <w:marBottom w:val="0"/>
      <w:divBdr>
        <w:top w:val="none" w:sz="0" w:space="0" w:color="auto"/>
        <w:left w:val="none" w:sz="0" w:space="0" w:color="auto"/>
        <w:bottom w:val="none" w:sz="0" w:space="0" w:color="auto"/>
        <w:right w:val="none" w:sz="0" w:space="0" w:color="auto"/>
      </w:divBdr>
    </w:div>
    <w:div w:id="290788280">
      <w:bodyDiv w:val="1"/>
      <w:marLeft w:val="0"/>
      <w:marRight w:val="0"/>
      <w:marTop w:val="0"/>
      <w:marBottom w:val="0"/>
      <w:divBdr>
        <w:top w:val="none" w:sz="0" w:space="0" w:color="auto"/>
        <w:left w:val="none" w:sz="0" w:space="0" w:color="auto"/>
        <w:bottom w:val="none" w:sz="0" w:space="0" w:color="auto"/>
        <w:right w:val="none" w:sz="0" w:space="0" w:color="auto"/>
      </w:divBdr>
    </w:div>
    <w:div w:id="290864494">
      <w:bodyDiv w:val="1"/>
      <w:marLeft w:val="0"/>
      <w:marRight w:val="0"/>
      <w:marTop w:val="0"/>
      <w:marBottom w:val="0"/>
      <w:divBdr>
        <w:top w:val="none" w:sz="0" w:space="0" w:color="auto"/>
        <w:left w:val="none" w:sz="0" w:space="0" w:color="auto"/>
        <w:bottom w:val="none" w:sz="0" w:space="0" w:color="auto"/>
        <w:right w:val="none" w:sz="0" w:space="0" w:color="auto"/>
      </w:divBdr>
    </w:div>
    <w:div w:id="290867049">
      <w:bodyDiv w:val="1"/>
      <w:marLeft w:val="0"/>
      <w:marRight w:val="0"/>
      <w:marTop w:val="0"/>
      <w:marBottom w:val="0"/>
      <w:divBdr>
        <w:top w:val="none" w:sz="0" w:space="0" w:color="auto"/>
        <w:left w:val="none" w:sz="0" w:space="0" w:color="auto"/>
        <w:bottom w:val="none" w:sz="0" w:space="0" w:color="auto"/>
        <w:right w:val="none" w:sz="0" w:space="0" w:color="auto"/>
      </w:divBdr>
    </w:div>
    <w:div w:id="290937361">
      <w:bodyDiv w:val="1"/>
      <w:marLeft w:val="0"/>
      <w:marRight w:val="0"/>
      <w:marTop w:val="0"/>
      <w:marBottom w:val="0"/>
      <w:divBdr>
        <w:top w:val="none" w:sz="0" w:space="0" w:color="auto"/>
        <w:left w:val="none" w:sz="0" w:space="0" w:color="auto"/>
        <w:bottom w:val="none" w:sz="0" w:space="0" w:color="auto"/>
        <w:right w:val="none" w:sz="0" w:space="0" w:color="auto"/>
      </w:divBdr>
    </w:div>
    <w:div w:id="290945448">
      <w:bodyDiv w:val="1"/>
      <w:marLeft w:val="0"/>
      <w:marRight w:val="0"/>
      <w:marTop w:val="0"/>
      <w:marBottom w:val="0"/>
      <w:divBdr>
        <w:top w:val="none" w:sz="0" w:space="0" w:color="auto"/>
        <w:left w:val="none" w:sz="0" w:space="0" w:color="auto"/>
        <w:bottom w:val="none" w:sz="0" w:space="0" w:color="auto"/>
        <w:right w:val="none" w:sz="0" w:space="0" w:color="auto"/>
      </w:divBdr>
    </w:div>
    <w:div w:id="290980585">
      <w:bodyDiv w:val="1"/>
      <w:marLeft w:val="0"/>
      <w:marRight w:val="0"/>
      <w:marTop w:val="0"/>
      <w:marBottom w:val="0"/>
      <w:divBdr>
        <w:top w:val="none" w:sz="0" w:space="0" w:color="auto"/>
        <w:left w:val="none" w:sz="0" w:space="0" w:color="auto"/>
        <w:bottom w:val="none" w:sz="0" w:space="0" w:color="auto"/>
        <w:right w:val="none" w:sz="0" w:space="0" w:color="auto"/>
      </w:divBdr>
    </w:div>
    <w:div w:id="290982101">
      <w:bodyDiv w:val="1"/>
      <w:marLeft w:val="0"/>
      <w:marRight w:val="0"/>
      <w:marTop w:val="0"/>
      <w:marBottom w:val="0"/>
      <w:divBdr>
        <w:top w:val="none" w:sz="0" w:space="0" w:color="auto"/>
        <w:left w:val="none" w:sz="0" w:space="0" w:color="auto"/>
        <w:bottom w:val="none" w:sz="0" w:space="0" w:color="auto"/>
        <w:right w:val="none" w:sz="0" w:space="0" w:color="auto"/>
      </w:divBdr>
    </w:div>
    <w:div w:id="291177150">
      <w:bodyDiv w:val="1"/>
      <w:marLeft w:val="0"/>
      <w:marRight w:val="0"/>
      <w:marTop w:val="0"/>
      <w:marBottom w:val="0"/>
      <w:divBdr>
        <w:top w:val="none" w:sz="0" w:space="0" w:color="auto"/>
        <w:left w:val="none" w:sz="0" w:space="0" w:color="auto"/>
        <w:bottom w:val="none" w:sz="0" w:space="0" w:color="auto"/>
        <w:right w:val="none" w:sz="0" w:space="0" w:color="auto"/>
      </w:divBdr>
    </w:div>
    <w:div w:id="291248000">
      <w:bodyDiv w:val="1"/>
      <w:marLeft w:val="0"/>
      <w:marRight w:val="0"/>
      <w:marTop w:val="0"/>
      <w:marBottom w:val="0"/>
      <w:divBdr>
        <w:top w:val="none" w:sz="0" w:space="0" w:color="auto"/>
        <w:left w:val="none" w:sz="0" w:space="0" w:color="auto"/>
        <w:bottom w:val="none" w:sz="0" w:space="0" w:color="auto"/>
        <w:right w:val="none" w:sz="0" w:space="0" w:color="auto"/>
      </w:divBdr>
    </w:div>
    <w:div w:id="291325654">
      <w:bodyDiv w:val="1"/>
      <w:marLeft w:val="0"/>
      <w:marRight w:val="0"/>
      <w:marTop w:val="0"/>
      <w:marBottom w:val="0"/>
      <w:divBdr>
        <w:top w:val="none" w:sz="0" w:space="0" w:color="auto"/>
        <w:left w:val="none" w:sz="0" w:space="0" w:color="auto"/>
        <w:bottom w:val="none" w:sz="0" w:space="0" w:color="auto"/>
        <w:right w:val="none" w:sz="0" w:space="0" w:color="auto"/>
      </w:divBdr>
    </w:div>
    <w:div w:id="291330814">
      <w:bodyDiv w:val="1"/>
      <w:marLeft w:val="0"/>
      <w:marRight w:val="0"/>
      <w:marTop w:val="0"/>
      <w:marBottom w:val="0"/>
      <w:divBdr>
        <w:top w:val="none" w:sz="0" w:space="0" w:color="auto"/>
        <w:left w:val="none" w:sz="0" w:space="0" w:color="auto"/>
        <w:bottom w:val="none" w:sz="0" w:space="0" w:color="auto"/>
        <w:right w:val="none" w:sz="0" w:space="0" w:color="auto"/>
      </w:divBdr>
    </w:div>
    <w:div w:id="291399796">
      <w:bodyDiv w:val="1"/>
      <w:marLeft w:val="0"/>
      <w:marRight w:val="0"/>
      <w:marTop w:val="0"/>
      <w:marBottom w:val="0"/>
      <w:divBdr>
        <w:top w:val="none" w:sz="0" w:space="0" w:color="auto"/>
        <w:left w:val="none" w:sz="0" w:space="0" w:color="auto"/>
        <w:bottom w:val="none" w:sz="0" w:space="0" w:color="auto"/>
        <w:right w:val="none" w:sz="0" w:space="0" w:color="auto"/>
      </w:divBdr>
    </w:div>
    <w:div w:id="291401770">
      <w:bodyDiv w:val="1"/>
      <w:marLeft w:val="0"/>
      <w:marRight w:val="0"/>
      <w:marTop w:val="0"/>
      <w:marBottom w:val="0"/>
      <w:divBdr>
        <w:top w:val="none" w:sz="0" w:space="0" w:color="auto"/>
        <w:left w:val="none" w:sz="0" w:space="0" w:color="auto"/>
        <w:bottom w:val="none" w:sz="0" w:space="0" w:color="auto"/>
        <w:right w:val="none" w:sz="0" w:space="0" w:color="auto"/>
      </w:divBdr>
    </w:div>
    <w:div w:id="291525430">
      <w:bodyDiv w:val="1"/>
      <w:marLeft w:val="0"/>
      <w:marRight w:val="0"/>
      <w:marTop w:val="0"/>
      <w:marBottom w:val="0"/>
      <w:divBdr>
        <w:top w:val="none" w:sz="0" w:space="0" w:color="auto"/>
        <w:left w:val="none" w:sz="0" w:space="0" w:color="auto"/>
        <w:bottom w:val="none" w:sz="0" w:space="0" w:color="auto"/>
        <w:right w:val="none" w:sz="0" w:space="0" w:color="auto"/>
      </w:divBdr>
    </w:div>
    <w:div w:id="291594358">
      <w:bodyDiv w:val="1"/>
      <w:marLeft w:val="0"/>
      <w:marRight w:val="0"/>
      <w:marTop w:val="0"/>
      <w:marBottom w:val="0"/>
      <w:divBdr>
        <w:top w:val="none" w:sz="0" w:space="0" w:color="auto"/>
        <w:left w:val="none" w:sz="0" w:space="0" w:color="auto"/>
        <w:bottom w:val="none" w:sz="0" w:space="0" w:color="auto"/>
        <w:right w:val="none" w:sz="0" w:space="0" w:color="auto"/>
      </w:divBdr>
    </w:div>
    <w:div w:id="291636793">
      <w:bodyDiv w:val="1"/>
      <w:marLeft w:val="0"/>
      <w:marRight w:val="0"/>
      <w:marTop w:val="0"/>
      <w:marBottom w:val="0"/>
      <w:divBdr>
        <w:top w:val="none" w:sz="0" w:space="0" w:color="auto"/>
        <w:left w:val="none" w:sz="0" w:space="0" w:color="auto"/>
        <w:bottom w:val="none" w:sz="0" w:space="0" w:color="auto"/>
        <w:right w:val="none" w:sz="0" w:space="0" w:color="auto"/>
      </w:divBdr>
    </w:div>
    <w:div w:id="291710189">
      <w:bodyDiv w:val="1"/>
      <w:marLeft w:val="0"/>
      <w:marRight w:val="0"/>
      <w:marTop w:val="0"/>
      <w:marBottom w:val="0"/>
      <w:divBdr>
        <w:top w:val="none" w:sz="0" w:space="0" w:color="auto"/>
        <w:left w:val="none" w:sz="0" w:space="0" w:color="auto"/>
        <w:bottom w:val="none" w:sz="0" w:space="0" w:color="auto"/>
        <w:right w:val="none" w:sz="0" w:space="0" w:color="auto"/>
      </w:divBdr>
    </w:div>
    <w:div w:id="291711742">
      <w:bodyDiv w:val="1"/>
      <w:marLeft w:val="0"/>
      <w:marRight w:val="0"/>
      <w:marTop w:val="0"/>
      <w:marBottom w:val="0"/>
      <w:divBdr>
        <w:top w:val="none" w:sz="0" w:space="0" w:color="auto"/>
        <w:left w:val="none" w:sz="0" w:space="0" w:color="auto"/>
        <w:bottom w:val="none" w:sz="0" w:space="0" w:color="auto"/>
        <w:right w:val="none" w:sz="0" w:space="0" w:color="auto"/>
      </w:divBdr>
    </w:div>
    <w:div w:id="291787799">
      <w:bodyDiv w:val="1"/>
      <w:marLeft w:val="0"/>
      <w:marRight w:val="0"/>
      <w:marTop w:val="0"/>
      <w:marBottom w:val="0"/>
      <w:divBdr>
        <w:top w:val="none" w:sz="0" w:space="0" w:color="auto"/>
        <w:left w:val="none" w:sz="0" w:space="0" w:color="auto"/>
        <w:bottom w:val="none" w:sz="0" w:space="0" w:color="auto"/>
        <w:right w:val="none" w:sz="0" w:space="0" w:color="auto"/>
      </w:divBdr>
    </w:div>
    <w:div w:id="291791551">
      <w:bodyDiv w:val="1"/>
      <w:marLeft w:val="0"/>
      <w:marRight w:val="0"/>
      <w:marTop w:val="0"/>
      <w:marBottom w:val="0"/>
      <w:divBdr>
        <w:top w:val="none" w:sz="0" w:space="0" w:color="auto"/>
        <w:left w:val="none" w:sz="0" w:space="0" w:color="auto"/>
        <w:bottom w:val="none" w:sz="0" w:space="0" w:color="auto"/>
        <w:right w:val="none" w:sz="0" w:space="0" w:color="auto"/>
      </w:divBdr>
    </w:div>
    <w:div w:id="291791579">
      <w:bodyDiv w:val="1"/>
      <w:marLeft w:val="0"/>
      <w:marRight w:val="0"/>
      <w:marTop w:val="0"/>
      <w:marBottom w:val="0"/>
      <w:divBdr>
        <w:top w:val="none" w:sz="0" w:space="0" w:color="auto"/>
        <w:left w:val="none" w:sz="0" w:space="0" w:color="auto"/>
        <w:bottom w:val="none" w:sz="0" w:space="0" w:color="auto"/>
        <w:right w:val="none" w:sz="0" w:space="0" w:color="auto"/>
      </w:divBdr>
    </w:div>
    <w:div w:id="291903766">
      <w:bodyDiv w:val="1"/>
      <w:marLeft w:val="0"/>
      <w:marRight w:val="0"/>
      <w:marTop w:val="0"/>
      <w:marBottom w:val="0"/>
      <w:divBdr>
        <w:top w:val="none" w:sz="0" w:space="0" w:color="auto"/>
        <w:left w:val="none" w:sz="0" w:space="0" w:color="auto"/>
        <w:bottom w:val="none" w:sz="0" w:space="0" w:color="auto"/>
        <w:right w:val="none" w:sz="0" w:space="0" w:color="auto"/>
      </w:divBdr>
    </w:div>
    <w:div w:id="291984400">
      <w:bodyDiv w:val="1"/>
      <w:marLeft w:val="0"/>
      <w:marRight w:val="0"/>
      <w:marTop w:val="0"/>
      <w:marBottom w:val="0"/>
      <w:divBdr>
        <w:top w:val="none" w:sz="0" w:space="0" w:color="auto"/>
        <w:left w:val="none" w:sz="0" w:space="0" w:color="auto"/>
        <w:bottom w:val="none" w:sz="0" w:space="0" w:color="auto"/>
        <w:right w:val="none" w:sz="0" w:space="0" w:color="auto"/>
      </w:divBdr>
    </w:div>
    <w:div w:id="292055630">
      <w:bodyDiv w:val="1"/>
      <w:marLeft w:val="0"/>
      <w:marRight w:val="0"/>
      <w:marTop w:val="0"/>
      <w:marBottom w:val="0"/>
      <w:divBdr>
        <w:top w:val="none" w:sz="0" w:space="0" w:color="auto"/>
        <w:left w:val="none" w:sz="0" w:space="0" w:color="auto"/>
        <w:bottom w:val="none" w:sz="0" w:space="0" w:color="auto"/>
        <w:right w:val="none" w:sz="0" w:space="0" w:color="auto"/>
      </w:divBdr>
    </w:div>
    <w:div w:id="292059473">
      <w:bodyDiv w:val="1"/>
      <w:marLeft w:val="0"/>
      <w:marRight w:val="0"/>
      <w:marTop w:val="0"/>
      <w:marBottom w:val="0"/>
      <w:divBdr>
        <w:top w:val="none" w:sz="0" w:space="0" w:color="auto"/>
        <w:left w:val="none" w:sz="0" w:space="0" w:color="auto"/>
        <w:bottom w:val="none" w:sz="0" w:space="0" w:color="auto"/>
        <w:right w:val="none" w:sz="0" w:space="0" w:color="auto"/>
      </w:divBdr>
    </w:div>
    <w:div w:id="292172296">
      <w:bodyDiv w:val="1"/>
      <w:marLeft w:val="0"/>
      <w:marRight w:val="0"/>
      <w:marTop w:val="0"/>
      <w:marBottom w:val="0"/>
      <w:divBdr>
        <w:top w:val="none" w:sz="0" w:space="0" w:color="auto"/>
        <w:left w:val="none" w:sz="0" w:space="0" w:color="auto"/>
        <w:bottom w:val="none" w:sz="0" w:space="0" w:color="auto"/>
        <w:right w:val="none" w:sz="0" w:space="0" w:color="auto"/>
      </w:divBdr>
    </w:div>
    <w:div w:id="292178505">
      <w:bodyDiv w:val="1"/>
      <w:marLeft w:val="0"/>
      <w:marRight w:val="0"/>
      <w:marTop w:val="0"/>
      <w:marBottom w:val="0"/>
      <w:divBdr>
        <w:top w:val="none" w:sz="0" w:space="0" w:color="auto"/>
        <w:left w:val="none" w:sz="0" w:space="0" w:color="auto"/>
        <w:bottom w:val="none" w:sz="0" w:space="0" w:color="auto"/>
        <w:right w:val="none" w:sz="0" w:space="0" w:color="auto"/>
      </w:divBdr>
    </w:div>
    <w:div w:id="292255273">
      <w:bodyDiv w:val="1"/>
      <w:marLeft w:val="0"/>
      <w:marRight w:val="0"/>
      <w:marTop w:val="0"/>
      <w:marBottom w:val="0"/>
      <w:divBdr>
        <w:top w:val="none" w:sz="0" w:space="0" w:color="auto"/>
        <w:left w:val="none" w:sz="0" w:space="0" w:color="auto"/>
        <w:bottom w:val="none" w:sz="0" w:space="0" w:color="auto"/>
        <w:right w:val="none" w:sz="0" w:space="0" w:color="auto"/>
      </w:divBdr>
    </w:div>
    <w:div w:id="292365185">
      <w:bodyDiv w:val="1"/>
      <w:marLeft w:val="0"/>
      <w:marRight w:val="0"/>
      <w:marTop w:val="0"/>
      <w:marBottom w:val="0"/>
      <w:divBdr>
        <w:top w:val="none" w:sz="0" w:space="0" w:color="auto"/>
        <w:left w:val="none" w:sz="0" w:space="0" w:color="auto"/>
        <w:bottom w:val="none" w:sz="0" w:space="0" w:color="auto"/>
        <w:right w:val="none" w:sz="0" w:space="0" w:color="auto"/>
      </w:divBdr>
    </w:div>
    <w:div w:id="292442849">
      <w:bodyDiv w:val="1"/>
      <w:marLeft w:val="0"/>
      <w:marRight w:val="0"/>
      <w:marTop w:val="0"/>
      <w:marBottom w:val="0"/>
      <w:divBdr>
        <w:top w:val="none" w:sz="0" w:space="0" w:color="auto"/>
        <w:left w:val="none" w:sz="0" w:space="0" w:color="auto"/>
        <w:bottom w:val="none" w:sz="0" w:space="0" w:color="auto"/>
        <w:right w:val="none" w:sz="0" w:space="0" w:color="auto"/>
      </w:divBdr>
    </w:div>
    <w:div w:id="292515785">
      <w:bodyDiv w:val="1"/>
      <w:marLeft w:val="0"/>
      <w:marRight w:val="0"/>
      <w:marTop w:val="0"/>
      <w:marBottom w:val="0"/>
      <w:divBdr>
        <w:top w:val="none" w:sz="0" w:space="0" w:color="auto"/>
        <w:left w:val="none" w:sz="0" w:space="0" w:color="auto"/>
        <w:bottom w:val="none" w:sz="0" w:space="0" w:color="auto"/>
        <w:right w:val="none" w:sz="0" w:space="0" w:color="auto"/>
      </w:divBdr>
    </w:div>
    <w:div w:id="292565691">
      <w:bodyDiv w:val="1"/>
      <w:marLeft w:val="0"/>
      <w:marRight w:val="0"/>
      <w:marTop w:val="0"/>
      <w:marBottom w:val="0"/>
      <w:divBdr>
        <w:top w:val="none" w:sz="0" w:space="0" w:color="auto"/>
        <w:left w:val="none" w:sz="0" w:space="0" w:color="auto"/>
        <w:bottom w:val="none" w:sz="0" w:space="0" w:color="auto"/>
        <w:right w:val="none" w:sz="0" w:space="0" w:color="auto"/>
      </w:divBdr>
    </w:div>
    <w:div w:id="292567274">
      <w:bodyDiv w:val="1"/>
      <w:marLeft w:val="0"/>
      <w:marRight w:val="0"/>
      <w:marTop w:val="0"/>
      <w:marBottom w:val="0"/>
      <w:divBdr>
        <w:top w:val="none" w:sz="0" w:space="0" w:color="auto"/>
        <w:left w:val="none" w:sz="0" w:space="0" w:color="auto"/>
        <w:bottom w:val="none" w:sz="0" w:space="0" w:color="auto"/>
        <w:right w:val="none" w:sz="0" w:space="0" w:color="auto"/>
      </w:divBdr>
    </w:div>
    <w:div w:id="292634835">
      <w:bodyDiv w:val="1"/>
      <w:marLeft w:val="0"/>
      <w:marRight w:val="0"/>
      <w:marTop w:val="0"/>
      <w:marBottom w:val="0"/>
      <w:divBdr>
        <w:top w:val="none" w:sz="0" w:space="0" w:color="auto"/>
        <w:left w:val="none" w:sz="0" w:space="0" w:color="auto"/>
        <w:bottom w:val="none" w:sz="0" w:space="0" w:color="auto"/>
        <w:right w:val="none" w:sz="0" w:space="0" w:color="auto"/>
      </w:divBdr>
    </w:div>
    <w:div w:id="292684994">
      <w:bodyDiv w:val="1"/>
      <w:marLeft w:val="0"/>
      <w:marRight w:val="0"/>
      <w:marTop w:val="0"/>
      <w:marBottom w:val="0"/>
      <w:divBdr>
        <w:top w:val="none" w:sz="0" w:space="0" w:color="auto"/>
        <w:left w:val="none" w:sz="0" w:space="0" w:color="auto"/>
        <w:bottom w:val="none" w:sz="0" w:space="0" w:color="auto"/>
        <w:right w:val="none" w:sz="0" w:space="0" w:color="auto"/>
      </w:divBdr>
    </w:div>
    <w:div w:id="292712185">
      <w:bodyDiv w:val="1"/>
      <w:marLeft w:val="0"/>
      <w:marRight w:val="0"/>
      <w:marTop w:val="0"/>
      <w:marBottom w:val="0"/>
      <w:divBdr>
        <w:top w:val="none" w:sz="0" w:space="0" w:color="auto"/>
        <w:left w:val="none" w:sz="0" w:space="0" w:color="auto"/>
        <w:bottom w:val="none" w:sz="0" w:space="0" w:color="auto"/>
        <w:right w:val="none" w:sz="0" w:space="0" w:color="auto"/>
      </w:divBdr>
    </w:div>
    <w:div w:id="292752997">
      <w:bodyDiv w:val="1"/>
      <w:marLeft w:val="0"/>
      <w:marRight w:val="0"/>
      <w:marTop w:val="0"/>
      <w:marBottom w:val="0"/>
      <w:divBdr>
        <w:top w:val="none" w:sz="0" w:space="0" w:color="auto"/>
        <w:left w:val="none" w:sz="0" w:space="0" w:color="auto"/>
        <w:bottom w:val="none" w:sz="0" w:space="0" w:color="auto"/>
        <w:right w:val="none" w:sz="0" w:space="0" w:color="auto"/>
      </w:divBdr>
    </w:div>
    <w:div w:id="292761417">
      <w:bodyDiv w:val="1"/>
      <w:marLeft w:val="0"/>
      <w:marRight w:val="0"/>
      <w:marTop w:val="0"/>
      <w:marBottom w:val="0"/>
      <w:divBdr>
        <w:top w:val="none" w:sz="0" w:space="0" w:color="auto"/>
        <w:left w:val="none" w:sz="0" w:space="0" w:color="auto"/>
        <w:bottom w:val="none" w:sz="0" w:space="0" w:color="auto"/>
        <w:right w:val="none" w:sz="0" w:space="0" w:color="auto"/>
      </w:divBdr>
    </w:div>
    <w:div w:id="292835764">
      <w:bodyDiv w:val="1"/>
      <w:marLeft w:val="0"/>
      <w:marRight w:val="0"/>
      <w:marTop w:val="0"/>
      <w:marBottom w:val="0"/>
      <w:divBdr>
        <w:top w:val="none" w:sz="0" w:space="0" w:color="auto"/>
        <w:left w:val="none" w:sz="0" w:space="0" w:color="auto"/>
        <w:bottom w:val="none" w:sz="0" w:space="0" w:color="auto"/>
        <w:right w:val="none" w:sz="0" w:space="0" w:color="auto"/>
      </w:divBdr>
    </w:div>
    <w:div w:id="292902873">
      <w:bodyDiv w:val="1"/>
      <w:marLeft w:val="0"/>
      <w:marRight w:val="0"/>
      <w:marTop w:val="0"/>
      <w:marBottom w:val="0"/>
      <w:divBdr>
        <w:top w:val="none" w:sz="0" w:space="0" w:color="auto"/>
        <w:left w:val="none" w:sz="0" w:space="0" w:color="auto"/>
        <w:bottom w:val="none" w:sz="0" w:space="0" w:color="auto"/>
        <w:right w:val="none" w:sz="0" w:space="0" w:color="auto"/>
      </w:divBdr>
    </w:div>
    <w:div w:id="292903369">
      <w:bodyDiv w:val="1"/>
      <w:marLeft w:val="0"/>
      <w:marRight w:val="0"/>
      <w:marTop w:val="0"/>
      <w:marBottom w:val="0"/>
      <w:divBdr>
        <w:top w:val="none" w:sz="0" w:space="0" w:color="auto"/>
        <w:left w:val="none" w:sz="0" w:space="0" w:color="auto"/>
        <w:bottom w:val="none" w:sz="0" w:space="0" w:color="auto"/>
        <w:right w:val="none" w:sz="0" w:space="0" w:color="auto"/>
      </w:divBdr>
    </w:div>
    <w:div w:id="292905989">
      <w:bodyDiv w:val="1"/>
      <w:marLeft w:val="0"/>
      <w:marRight w:val="0"/>
      <w:marTop w:val="0"/>
      <w:marBottom w:val="0"/>
      <w:divBdr>
        <w:top w:val="none" w:sz="0" w:space="0" w:color="auto"/>
        <w:left w:val="none" w:sz="0" w:space="0" w:color="auto"/>
        <w:bottom w:val="none" w:sz="0" w:space="0" w:color="auto"/>
        <w:right w:val="none" w:sz="0" w:space="0" w:color="auto"/>
      </w:divBdr>
    </w:div>
    <w:div w:id="292907654">
      <w:bodyDiv w:val="1"/>
      <w:marLeft w:val="0"/>
      <w:marRight w:val="0"/>
      <w:marTop w:val="0"/>
      <w:marBottom w:val="0"/>
      <w:divBdr>
        <w:top w:val="none" w:sz="0" w:space="0" w:color="auto"/>
        <w:left w:val="none" w:sz="0" w:space="0" w:color="auto"/>
        <w:bottom w:val="none" w:sz="0" w:space="0" w:color="auto"/>
        <w:right w:val="none" w:sz="0" w:space="0" w:color="auto"/>
      </w:divBdr>
    </w:div>
    <w:div w:id="293173763">
      <w:bodyDiv w:val="1"/>
      <w:marLeft w:val="0"/>
      <w:marRight w:val="0"/>
      <w:marTop w:val="0"/>
      <w:marBottom w:val="0"/>
      <w:divBdr>
        <w:top w:val="none" w:sz="0" w:space="0" w:color="auto"/>
        <w:left w:val="none" w:sz="0" w:space="0" w:color="auto"/>
        <w:bottom w:val="none" w:sz="0" w:space="0" w:color="auto"/>
        <w:right w:val="none" w:sz="0" w:space="0" w:color="auto"/>
      </w:divBdr>
    </w:div>
    <w:div w:id="293289832">
      <w:bodyDiv w:val="1"/>
      <w:marLeft w:val="0"/>
      <w:marRight w:val="0"/>
      <w:marTop w:val="0"/>
      <w:marBottom w:val="0"/>
      <w:divBdr>
        <w:top w:val="none" w:sz="0" w:space="0" w:color="auto"/>
        <w:left w:val="none" w:sz="0" w:space="0" w:color="auto"/>
        <w:bottom w:val="none" w:sz="0" w:space="0" w:color="auto"/>
        <w:right w:val="none" w:sz="0" w:space="0" w:color="auto"/>
      </w:divBdr>
    </w:div>
    <w:div w:id="293411395">
      <w:bodyDiv w:val="1"/>
      <w:marLeft w:val="0"/>
      <w:marRight w:val="0"/>
      <w:marTop w:val="0"/>
      <w:marBottom w:val="0"/>
      <w:divBdr>
        <w:top w:val="none" w:sz="0" w:space="0" w:color="auto"/>
        <w:left w:val="none" w:sz="0" w:space="0" w:color="auto"/>
        <w:bottom w:val="none" w:sz="0" w:space="0" w:color="auto"/>
        <w:right w:val="none" w:sz="0" w:space="0" w:color="auto"/>
      </w:divBdr>
    </w:div>
    <w:div w:id="293489978">
      <w:bodyDiv w:val="1"/>
      <w:marLeft w:val="0"/>
      <w:marRight w:val="0"/>
      <w:marTop w:val="0"/>
      <w:marBottom w:val="0"/>
      <w:divBdr>
        <w:top w:val="none" w:sz="0" w:space="0" w:color="auto"/>
        <w:left w:val="none" w:sz="0" w:space="0" w:color="auto"/>
        <w:bottom w:val="none" w:sz="0" w:space="0" w:color="auto"/>
        <w:right w:val="none" w:sz="0" w:space="0" w:color="auto"/>
      </w:divBdr>
    </w:div>
    <w:div w:id="293557759">
      <w:bodyDiv w:val="1"/>
      <w:marLeft w:val="0"/>
      <w:marRight w:val="0"/>
      <w:marTop w:val="0"/>
      <w:marBottom w:val="0"/>
      <w:divBdr>
        <w:top w:val="none" w:sz="0" w:space="0" w:color="auto"/>
        <w:left w:val="none" w:sz="0" w:space="0" w:color="auto"/>
        <w:bottom w:val="none" w:sz="0" w:space="0" w:color="auto"/>
        <w:right w:val="none" w:sz="0" w:space="0" w:color="auto"/>
      </w:divBdr>
    </w:div>
    <w:div w:id="293676794">
      <w:bodyDiv w:val="1"/>
      <w:marLeft w:val="0"/>
      <w:marRight w:val="0"/>
      <w:marTop w:val="0"/>
      <w:marBottom w:val="0"/>
      <w:divBdr>
        <w:top w:val="none" w:sz="0" w:space="0" w:color="auto"/>
        <w:left w:val="none" w:sz="0" w:space="0" w:color="auto"/>
        <w:bottom w:val="none" w:sz="0" w:space="0" w:color="auto"/>
        <w:right w:val="none" w:sz="0" w:space="0" w:color="auto"/>
      </w:divBdr>
    </w:div>
    <w:div w:id="293878116">
      <w:bodyDiv w:val="1"/>
      <w:marLeft w:val="0"/>
      <w:marRight w:val="0"/>
      <w:marTop w:val="0"/>
      <w:marBottom w:val="0"/>
      <w:divBdr>
        <w:top w:val="none" w:sz="0" w:space="0" w:color="auto"/>
        <w:left w:val="none" w:sz="0" w:space="0" w:color="auto"/>
        <w:bottom w:val="none" w:sz="0" w:space="0" w:color="auto"/>
        <w:right w:val="none" w:sz="0" w:space="0" w:color="auto"/>
      </w:divBdr>
    </w:div>
    <w:div w:id="294067467">
      <w:bodyDiv w:val="1"/>
      <w:marLeft w:val="0"/>
      <w:marRight w:val="0"/>
      <w:marTop w:val="0"/>
      <w:marBottom w:val="0"/>
      <w:divBdr>
        <w:top w:val="none" w:sz="0" w:space="0" w:color="auto"/>
        <w:left w:val="none" w:sz="0" w:space="0" w:color="auto"/>
        <w:bottom w:val="none" w:sz="0" w:space="0" w:color="auto"/>
        <w:right w:val="none" w:sz="0" w:space="0" w:color="auto"/>
      </w:divBdr>
    </w:div>
    <w:div w:id="294143141">
      <w:bodyDiv w:val="1"/>
      <w:marLeft w:val="0"/>
      <w:marRight w:val="0"/>
      <w:marTop w:val="0"/>
      <w:marBottom w:val="0"/>
      <w:divBdr>
        <w:top w:val="none" w:sz="0" w:space="0" w:color="auto"/>
        <w:left w:val="none" w:sz="0" w:space="0" w:color="auto"/>
        <w:bottom w:val="none" w:sz="0" w:space="0" w:color="auto"/>
        <w:right w:val="none" w:sz="0" w:space="0" w:color="auto"/>
      </w:divBdr>
    </w:div>
    <w:div w:id="294413891">
      <w:bodyDiv w:val="1"/>
      <w:marLeft w:val="0"/>
      <w:marRight w:val="0"/>
      <w:marTop w:val="0"/>
      <w:marBottom w:val="0"/>
      <w:divBdr>
        <w:top w:val="none" w:sz="0" w:space="0" w:color="auto"/>
        <w:left w:val="none" w:sz="0" w:space="0" w:color="auto"/>
        <w:bottom w:val="none" w:sz="0" w:space="0" w:color="auto"/>
        <w:right w:val="none" w:sz="0" w:space="0" w:color="auto"/>
      </w:divBdr>
    </w:div>
    <w:div w:id="294602308">
      <w:bodyDiv w:val="1"/>
      <w:marLeft w:val="0"/>
      <w:marRight w:val="0"/>
      <w:marTop w:val="0"/>
      <w:marBottom w:val="0"/>
      <w:divBdr>
        <w:top w:val="none" w:sz="0" w:space="0" w:color="auto"/>
        <w:left w:val="none" w:sz="0" w:space="0" w:color="auto"/>
        <w:bottom w:val="none" w:sz="0" w:space="0" w:color="auto"/>
        <w:right w:val="none" w:sz="0" w:space="0" w:color="auto"/>
      </w:divBdr>
    </w:div>
    <w:div w:id="294722877">
      <w:bodyDiv w:val="1"/>
      <w:marLeft w:val="0"/>
      <w:marRight w:val="0"/>
      <w:marTop w:val="0"/>
      <w:marBottom w:val="0"/>
      <w:divBdr>
        <w:top w:val="none" w:sz="0" w:space="0" w:color="auto"/>
        <w:left w:val="none" w:sz="0" w:space="0" w:color="auto"/>
        <w:bottom w:val="none" w:sz="0" w:space="0" w:color="auto"/>
        <w:right w:val="none" w:sz="0" w:space="0" w:color="auto"/>
      </w:divBdr>
    </w:div>
    <w:div w:id="294726404">
      <w:bodyDiv w:val="1"/>
      <w:marLeft w:val="0"/>
      <w:marRight w:val="0"/>
      <w:marTop w:val="0"/>
      <w:marBottom w:val="0"/>
      <w:divBdr>
        <w:top w:val="none" w:sz="0" w:space="0" w:color="auto"/>
        <w:left w:val="none" w:sz="0" w:space="0" w:color="auto"/>
        <w:bottom w:val="none" w:sz="0" w:space="0" w:color="auto"/>
        <w:right w:val="none" w:sz="0" w:space="0" w:color="auto"/>
      </w:divBdr>
    </w:div>
    <w:div w:id="294793772">
      <w:bodyDiv w:val="1"/>
      <w:marLeft w:val="0"/>
      <w:marRight w:val="0"/>
      <w:marTop w:val="0"/>
      <w:marBottom w:val="0"/>
      <w:divBdr>
        <w:top w:val="none" w:sz="0" w:space="0" w:color="auto"/>
        <w:left w:val="none" w:sz="0" w:space="0" w:color="auto"/>
        <w:bottom w:val="none" w:sz="0" w:space="0" w:color="auto"/>
        <w:right w:val="none" w:sz="0" w:space="0" w:color="auto"/>
      </w:divBdr>
    </w:div>
    <w:div w:id="294877865">
      <w:bodyDiv w:val="1"/>
      <w:marLeft w:val="0"/>
      <w:marRight w:val="0"/>
      <w:marTop w:val="0"/>
      <w:marBottom w:val="0"/>
      <w:divBdr>
        <w:top w:val="none" w:sz="0" w:space="0" w:color="auto"/>
        <w:left w:val="none" w:sz="0" w:space="0" w:color="auto"/>
        <w:bottom w:val="none" w:sz="0" w:space="0" w:color="auto"/>
        <w:right w:val="none" w:sz="0" w:space="0" w:color="auto"/>
      </w:divBdr>
    </w:div>
    <w:div w:id="294917800">
      <w:bodyDiv w:val="1"/>
      <w:marLeft w:val="0"/>
      <w:marRight w:val="0"/>
      <w:marTop w:val="0"/>
      <w:marBottom w:val="0"/>
      <w:divBdr>
        <w:top w:val="none" w:sz="0" w:space="0" w:color="auto"/>
        <w:left w:val="none" w:sz="0" w:space="0" w:color="auto"/>
        <w:bottom w:val="none" w:sz="0" w:space="0" w:color="auto"/>
        <w:right w:val="none" w:sz="0" w:space="0" w:color="auto"/>
      </w:divBdr>
    </w:div>
    <w:div w:id="294920133">
      <w:bodyDiv w:val="1"/>
      <w:marLeft w:val="0"/>
      <w:marRight w:val="0"/>
      <w:marTop w:val="0"/>
      <w:marBottom w:val="0"/>
      <w:divBdr>
        <w:top w:val="none" w:sz="0" w:space="0" w:color="auto"/>
        <w:left w:val="none" w:sz="0" w:space="0" w:color="auto"/>
        <w:bottom w:val="none" w:sz="0" w:space="0" w:color="auto"/>
        <w:right w:val="none" w:sz="0" w:space="0" w:color="auto"/>
      </w:divBdr>
    </w:div>
    <w:div w:id="294992236">
      <w:bodyDiv w:val="1"/>
      <w:marLeft w:val="0"/>
      <w:marRight w:val="0"/>
      <w:marTop w:val="0"/>
      <w:marBottom w:val="0"/>
      <w:divBdr>
        <w:top w:val="none" w:sz="0" w:space="0" w:color="auto"/>
        <w:left w:val="none" w:sz="0" w:space="0" w:color="auto"/>
        <w:bottom w:val="none" w:sz="0" w:space="0" w:color="auto"/>
        <w:right w:val="none" w:sz="0" w:space="0" w:color="auto"/>
      </w:divBdr>
    </w:div>
    <w:div w:id="295108657">
      <w:bodyDiv w:val="1"/>
      <w:marLeft w:val="0"/>
      <w:marRight w:val="0"/>
      <w:marTop w:val="0"/>
      <w:marBottom w:val="0"/>
      <w:divBdr>
        <w:top w:val="none" w:sz="0" w:space="0" w:color="auto"/>
        <w:left w:val="none" w:sz="0" w:space="0" w:color="auto"/>
        <w:bottom w:val="none" w:sz="0" w:space="0" w:color="auto"/>
        <w:right w:val="none" w:sz="0" w:space="0" w:color="auto"/>
      </w:divBdr>
    </w:div>
    <w:div w:id="295180600">
      <w:bodyDiv w:val="1"/>
      <w:marLeft w:val="0"/>
      <w:marRight w:val="0"/>
      <w:marTop w:val="0"/>
      <w:marBottom w:val="0"/>
      <w:divBdr>
        <w:top w:val="none" w:sz="0" w:space="0" w:color="auto"/>
        <w:left w:val="none" w:sz="0" w:space="0" w:color="auto"/>
        <w:bottom w:val="none" w:sz="0" w:space="0" w:color="auto"/>
        <w:right w:val="none" w:sz="0" w:space="0" w:color="auto"/>
      </w:divBdr>
    </w:div>
    <w:div w:id="295186427">
      <w:bodyDiv w:val="1"/>
      <w:marLeft w:val="0"/>
      <w:marRight w:val="0"/>
      <w:marTop w:val="0"/>
      <w:marBottom w:val="0"/>
      <w:divBdr>
        <w:top w:val="none" w:sz="0" w:space="0" w:color="auto"/>
        <w:left w:val="none" w:sz="0" w:space="0" w:color="auto"/>
        <w:bottom w:val="none" w:sz="0" w:space="0" w:color="auto"/>
        <w:right w:val="none" w:sz="0" w:space="0" w:color="auto"/>
      </w:divBdr>
    </w:div>
    <w:div w:id="295187221">
      <w:bodyDiv w:val="1"/>
      <w:marLeft w:val="0"/>
      <w:marRight w:val="0"/>
      <w:marTop w:val="0"/>
      <w:marBottom w:val="0"/>
      <w:divBdr>
        <w:top w:val="none" w:sz="0" w:space="0" w:color="auto"/>
        <w:left w:val="none" w:sz="0" w:space="0" w:color="auto"/>
        <w:bottom w:val="none" w:sz="0" w:space="0" w:color="auto"/>
        <w:right w:val="none" w:sz="0" w:space="0" w:color="auto"/>
      </w:divBdr>
    </w:div>
    <w:div w:id="295330591">
      <w:bodyDiv w:val="1"/>
      <w:marLeft w:val="0"/>
      <w:marRight w:val="0"/>
      <w:marTop w:val="0"/>
      <w:marBottom w:val="0"/>
      <w:divBdr>
        <w:top w:val="none" w:sz="0" w:space="0" w:color="auto"/>
        <w:left w:val="none" w:sz="0" w:space="0" w:color="auto"/>
        <w:bottom w:val="none" w:sz="0" w:space="0" w:color="auto"/>
        <w:right w:val="none" w:sz="0" w:space="0" w:color="auto"/>
      </w:divBdr>
    </w:div>
    <w:div w:id="295375814">
      <w:bodyDiv w:val="1"/>
      <w:marLeft w:val="0"/>
      <w:marRight w:val="0"/>
      <w:marTop w:val="0"/>
      <w:marBottom w:val="0"/>
      <w:divBdr>
        <w:top w:val="none" w:sz="0" w:space="0" w:color="auto"/>
        <w:left w:val="none" w:sz="0" w:space="0" w:color="auto"/>
        <w:bottom w:val="none" w:sz="0" w:space="0" w:color="auto"/>
        <w:right w:val="none" w:sz="0" w:space="0" w:color="auto"/>
      </w:divBdr>
    </w:div>
    <w:div w:id="295378174">
      <w:bodyDiv w:val="1"/>
      <w:marLeft w:val="0"/>
      <w:marRight w:val="0"/>
      <w:marTop w:val="0"/>
      <w:marBottom w:val="0"/>
      <w:divBdr>
        <w:top w:val="none" w:sz="0" w:space="0" w:color="auto"/>
        <w:left w:val="none" w:sz="0" w:space="0" w:color="auto"/>
        <w:bottom w:val="none" w:sz="0" w:space="0" w:color="auto"/>
        <w:right w:val="none" w:sz="0" w:space="0" w:color="auto"/>
      </w:divBdr>
    </w:div>
    <w:div w:id="295378497">
      <w:bodyDiv w:val="1"/>
      <w:marLeft w:val="0"/>
      <w:marRight w:val="0"/>
      <w:marTop w:val="0"/>
      <w:marBottom w:val="0"/>
      <w:divBdr>
        <w:top w:val="none" w:sz="0" w:space="0" w:color="auto"/>
        <w:left w:val="none" w:sz="0" w:space="0" w:color="auto"/>
        <w:bottom w:val="none" w:sz="0" w:space="0" w:color="auto"/>
        <w:right w:val="none" w:sz="0" w:space="0" w:color="auto"/>
      </w:divBdr>
    </w:div>
    <w:div w:id="295453676">
      <w:bodyDiv w:val="1"/>
      <w:marLeft w:val="0"/>
      <w:marRight w:val="0"/>
      <w:marTop w:val="0"/>
      <w:marBottom w:val="0"/>
      <w:divBdr>
        <w:top w:val="none" w:sz="0" w:space="0" w:color="auto"/>
        <w:left w:val="none" w:sz="0" w:space="0" w:color="auto"/>
        <w:bottom w:val="none" w:sz="0" w:space="0" w:color="auto"/>
        <w:right w:val="none" w:sz="0" w:space="0" w:color="auto"/>
      </w:divBdr>
    </w:div>
    <w:div w:id="295529257">
      <w:bodyDiv w:val="1"/>
      <w:marLeft w:val="0"/>
      <w:marRight w:val="0"/>
      <w:marTop w:val="0"/>
      <w:marBottom w:val="0"/>
      <w:divBdr>
        <w:top w:val="none" w:sz="0" w:space="0" w:color="auto"/>
        <w:left w:val="none" w:sz="0" w:space="0" w:color="auto"/>
        <w:bottom w:val="none" w:sz="0" w:space="0" w:color="auto"/>
        <w:right w:val="none" w:sz="0" w:space="0" w:color="auto"/>
      </w:divBdr>
    </w:div>
    <w:div w:id="295531371">
      <w:bodyDiv w:val="1"/>
      <w:marLeft w:val="0"/>
      <w:marRight w:val="0"/>
      <w:marTop w:val="0"/>
      <w:marBottom w:val="0"/>
      <w:divBdr>
        <w:top w:val="none" w:sz="0" w:space="0" w:color="auto"/>
        <w:left w:val="none" w:sz="0" w:space="0" w:color="auto"/>
        <w:bottom w:val="none" w:sz="0" w:space="0" w:color="auto"/>
        <w:right w:val="none" w:sz="0" w:space="0" w:color="auto"/>
      </w:divBdr>
    </w:div>
    <w:div w:id="295568303">
      <w:bodyDiv w:val="1"/>
      <w:marLeft w:val="0"/>
      <w:marRight w:val="0"/>
      <w:marTop w:val="0"/>
      <w:marBottom w:val="0"/>
      <w:divBdr>
        <w:top w:val="none" w:sz="0" w:space="0" w:color="auto"/>
        <w:left w:val="none" w:sz="0" w:space="0" w:color="auto"/>
        <w:bottom w:val="none" w:sz="0" w:space="0" w:color="auto"/>
        <w:right w:val="none" w:sz="0" w:space="0" w:color="auto"/>
      </w:divBdr>
    </w:div>
    <w:div w:id="295644696">
      <w:bodyDiv w:val="1"/>
      <w:marLeft w:val="0"/>
      <w:marRight w:val="0"/>
      <w:marTop w:val="0"/>
      <w:marBottom w:val="0"/>
      <w:divBdr>
        <w:top w:val="none" w:sz="0" w:space="0" w:color="auto"/>
        <w:left w:val="none" w:sz="0" w:space="0" w:color="auto"/>
        <w:bottom w:val="none" w:sz="0" w:space="0" w:color="auto"/>
        <w:right w:val="none" w:sz="0" w:space="0" w:color="auto"/>
      </w:divBdr>
    </w:div>
    <w:div w:id="295645118">
      <w:bodyDiv w:val="1"/>
      <w:marLeft w:val="0"/>
      <w:marRight w:val="0"/>
      <w:marTop w:val="0"/>
      <w:marBottom w:val="0"/>
      <w:divBdr>
        <w:top w:val="none" w:sz="0" w:space="0" w:color="auto"/>
        <w:left w:val="none" w:sz="0" w:space="0" w:color="auto"/>
        <w:bottom w:val="none" w:sz="0" w:space="0" w:color="auto"/>
        <w:right w:val="none" w:sz="0" w:space="0" w:color="auto"/>
      </w:divBdr>
    </w:div>
    <w:div w:id="295837130">
      <w:bodyDiv w:val="1"/>
      <w:marLeft w:val="0"/>
      <w:marRight w:val="0"/>
      <w:marTop w:val="0"/>
      <w:marBottom w:val="0"/>
      <w:divBdr>
        <w:top w:val="none" w:sz="0" w:space="0" w:color="auto"/>
        <w:left w:val="none" w:sz="0" w:space="0" w:color="auto"/>
        <w:bottom w:val="none" w:sz="0" w:space="0" w:color="auto"/>
        <w:right w:val="none" w:sz="0" w:space="0" w:color="auto"/>
      </w:divBdr>
    </w:div>
    <w:div w:id="295914558">
      <w:bodyDiv w:val="1"/>
      <w:marLeft w:val="0"/>
      <w:marRight w:val="0"/>
      <w:marTop w:val="0"/>
      <w:marBottom w:val="0"/>
      <w:divBdr>
        <w:top w:val="none" w:sz="0" w:space="0" w:color="auto"/>
        <w:left w:val="none" w:sz="0" w:space="0" w:color="auto"/>
        <w:bottom w:val="none" w:sz="0" w:space="0" w:color="auto"/>
        <w:right w:val="none" w:sz="0" w:space="0" w:color="auto"/>
      </w:divBdr>
    </w:div>
    <w:div w:id="295919365">
      <w:bodyDiv w:val="1"/>
      <w:marLeft w:val="0"/>
      <w:marRight w:val="0"/>
      <w:marTop w:val="0"/>
      <w:marBottom w:val="0"/>
      <w:divBdr>
        <w:top w:val="none" w:sz="0" w:space="0" w:color="auto"/>
        <w:left w:val="none" w:sz="0" w:space="0" w:color="auto"/>
        <w:bottom w:val="none" w:sz="0" w:space="0" w:color="auto"/>
        <w:right w:val="none" w:sz="0" w:space="0" w:color="auto"/>
      </w:divBdr>
    </w:div>
    <w:div w:id="295991757">
      <w:bodyDiv w:val="1"/>
      <w:marLeft w:val="0"/>
      <w:marRight w:val="0"/>
      <w:marTop w:val="0"/>
      <w:marBottom w:val="0"/>
      <w:divBdr>
        <w:top w:val="none" w:sz="0" w:space="0" w:color="auto"/>
        <w:left w:val="none" w:sz="0" w:space="0" w:color="auto"/>
        <w:bottom w:val="none" w:sz="0" w:space="0" w:color="auto"/>
        <w:right w:val="none" w:sz="0" w:space="0" w:color="auto"/>
      </w:divBdr>
    </w:div>
    <w:div w:id="295993124">
      <w:bodyDiv w:val="1"/>
      <w:marLeft w:val="0"/>
      <w:marRight w:val="0"/>
      <w:marTop w:val="0"/>
      <w:marBottom w:val="0"/>
      <w:divBdr>
        <w:top w:val="none" w:sz="0" w:space="0" w:color="auto"/>
        <w:left w:val="none" w:sz="0" w:space="0" w:color="auto"/>
        <w:bottom w:val="none" w:sz="0" w:space="0" w:color="auto"/>
        <w:right w:val="none" w:sz="0" w:space="0" w:color="auto"/>
      </w:divBdr>
    </w:div>
    <w:div w:id="296035111">
      <w:bodyDiv w:val="1"/>
      <w:marLeft w:val="0"/>
      <w:marRight w:val="0"/>
      <w:marTop w:val="0"/>
      <w:marBottom w:val="0"/>
      <w:divBdr>
        <w:top w:val="none" w:sz="0" w:space="0" w:color="auto"/>
        <w:left w:val="none" w:sz="0" w:space="0" w:color="auto"/>
        <w:bottom w:val="none" w:sz="0" w:space="0" w:color="auto"/>
        <w:right w:val="none" w:sz="0" w:space="0" w:color="auto"/>
      </w:divBdr>
    </w:div>
    <w:div w:id="296108964">
      <w:bodyDiv w:val="1"/>
      <w:marLeft w:val="0"/>
      <w:marRight w:val="0"/>
      <w:marTop w:val="0"/>
      <w:marBottom w:val="0"/>
      <w:divBdr>
        <w:top w:val="none" w:sz="0" w:space="0" w:color="auto"/>
        <w:left w:val="none" w:sz="0" w:space="0" w:color="auto"/>
        <w:bottom w:val="none" w:sz="0" w:space="0" w:color="auto"/>
        <w:right w:val="none" w:sz="0" w:space="0" w:color="auto"/>
      </w:divBdr>
    </w:div>
    <w:div w:id="296185994">
      <w:bodyDiv w:val="1"/>
      <w:marLeft w:val="0"/>
      <w:marRight w:val="0"/>
      <w:marTop w:val="0"/>
      <w:marBottom w:val="0"/>
      <w:divBdr>
        <w:top w:val="none" w:sz="0" w:space="0" w:color="auto"/>
        <w:left w:val="none" w:sz="0" w:space="0" w:color="auto"/>
        <w:bottom w:val="none" w:sz="0" w:space="0" w:color="auto"/>
        <w:right w:val="none" w:sz="0" w:space="0" w:color="auto"/>
      </w:divBdr>
    </w:div>
    <w:div w:id="296222854">
      <w:bodyDiv w:val="1"/>
      <w:marLeft w:val="0"/>
      <w:marRight w:val="0"/>
      <w:marTop w:val="0"/>
      <w:marBottom w:val="0"/>
      <w:divBdr>
        <w:top w:val="none" w:sz="0" w:space="0" w:color="auto"/>
        <w:left w:val="none" w:sz="0" w:space="0" w:color="auto"/>
        <w:bottom w:val="none" w:sz="0" w:space="0" w:color="auto"/>
        <w:right w:val="none" w:sz="0" w:space="0" w:color="auto"/>
      </w:divBdr>
    </w:div>
    <w:div w:id="296223752">
      <w:bodyDiv w:val="1"/>
      <w:marLeft w:val="0"/>
      <w:marRight w:val="0"/>
      <w:marTop w:val="0"/>
      <w:marBottom w:val="0"/>
      <w:divBdr>
        <w:top w:val="none" w:sz="0" w:space="0" w:color="auto"/>
        <w:left w:val="none" w:sz="0" w:space="0" w:color="auto"/>
        <w:bottom w:val="none" w:sz="0" w:space="0" w:color="auto"/>
        <w:right w:val="none" w:sz="0" w:space="0" w:color="auto"/>
      </w:divBdr>
    </w:div>
    <w:div w:id="296224130">
      <w:bodyDiv w:val="1"/>
      <w:marLeft w:val="0"/>
      <w:marRight w:val="0"/>
      <w:marTop w:val="0"/>
      <w:marBottom w:val="0"/>
      <w:divBdr>
        <w:top w:val="none" w:sz="0" w:space="0" w:color="auto"/>
        <w:left w:val="none" w:sz="0" w:space="0" w:color="auto"/>
        <w:bottom w:val="none" w:sz="0" w:space="0" w:color="auto"/>
        <w:right w:val="none" w:sz="0" w:space="0" w:color="auto"/>
      </w:divBdr>
    </w:div>
    <w:div w:id="296373015">
      <w:bodyDiv w:val="1"/>
      <w:marLeft w:val="0"/>
      <w:marRight w:val="0"/>
      <w:marTop w:val="0"/>
      <w:marBottom w:val="0"/>
      <w:divBdr>
        <w:top w:val="none" w:sz="0" w:space="0" w:color="auto"/>
        <w:left w:val="none" w:sz="0" w:space="0" w:color="auto"/>
        <w:bottom w:val="none" w:sz="0" w:space="0" w:color="auto"/>
        <w:right w:val="none" w:sz="0" w:space="0" w:color="auto"/>
      </w:divBdr>
    </w:div>
    <w:div w:id="296381452">
      <w:bodyDiv w:val="1"/>
      <w:marLeft w:val="0"/>
      <w:marRight w:val="0"/>
      <w:marTop w:val="0"/>
      <w:marBottom w:val="0"/>
      <w:divBdr>
        <w:top w:val="none" w:sz="0" w:space="0" w:color="auto"/>
        <w:left w:val="none" w:sz="0" w:space="0" w:color="auto"/>
        <w:bottom w:val="none" w:sz="0" w:space="0" w:color="auto"/>
        <w:right w:val="none" w:sz="0" w:space="0" w:color="auto"/>
      </w:divBdr>
    </w:div>
    <w:div w:id="296493180">
      <w:bodyDiv w:val="1"/>
      <w:marLeft w:val="0"/>
      <w:marRight w:val="0"/>
      <w:marTop w:val="0"/>
      <w:marBottom w:val="0"/>
      <w:divBdr>
        <w:top w:val="none" w:sz="0" w:space="0" w:color="auto"/>
        <w:left w:val="none" w:sz="0" w:space="0" w:color="auto"/>
        <w:bottom w:val="none" w:sz="0" w:space="0" w:color="auto"/>
        <w:right w:val="none" w:sz="0" w:space="0" w:color="auto"/>
      </w:divBdr>
    </w:div>
    <w:div w:id="296498391">
      <w:bodyDiv w:val="1"/>
      <w:marLeft w:val="0"/>
      <w:marRight w:val="0"/>
      <w:marTop w:val="0"/>
      <w:marBottom w:val="0"/>
      <w:divBdr>
        <w:top w:val="none" w:sz="0" w:space="0" w:color="auto"/>
        <w:left w:val="none" w:sz="0" w:space="0" w:color="auto"/>
        <w:bottom w:val="none" w:sz="0" w:space="0" w:color="auto"/>
        <w:right w:val="none" w:sz="0" w:space="0" w:color="auto"/>
      </w:divBdr>
    </w:div>
    <w:div w:id="296573668">
      <w:bodyDiv w:val="1"/>
      <w:marLeft w:val="0"/>
      <w:marRight w:val="0"/>
      <w:marTop w:val="0"/>
      <w:marBottom w:val="0"/>
      <w:divBdr>
        <w:top w:val="none" w:sz="0" w:space="0" w:color="auto"/>
        <w:left w:val="none" w:sz="0" w:space="0" w:color="auto"/>
        <w:bottom w:val="none" w:sz="0" w:space="0" w:color="auto"/>
        <w:right w:val="none" w:sz="0" w:space="0" w:color="auto"/>
      </w:divBdr>
    </w:div>
    <w:div w:id="296691470">
      <w:bodyDiv w:val="1"/>
      <w:marLeft w:val="0"/>
      <w:marRight w:val="0"/>
      <w:marTop w:val="0"/>
      <w:marBottom w:val="0"/>
      <w:divBdr>
        <w:top w:val="none" w:sz="0" w:space="0" w:color="auto"/>
        <w:left w:val="none" w:sz="0" w:space="0" w:color="auto"/>
        <w:bottom w:val="none" w:sz="0" w:space="0" w:color="auto"/>
        <w:right w:val="none" w:sz="0" w:space="0" w:color="auto"/>
      </w:divBdr>
    </w:div>
    <w:div w:id="296759232">
      <w:bodyDiv w:val="1"/>
      <w:marLeft w:val="0"/>
      <w:marRight w:val="0"/>
      <w:marTop w:val="0"/>
      <w:marBottom w:val="0"/>
      <w:divBdr>
        <w:top w:val="none" w:sz="0" w:space="0" w:color="auto"/>
        <w:left w:val="none" w:sz="0" w:space="0" w:color="auto"/>
        <w:bottom w:val="none" w:sz="0" w:space="0" w:color="auto"/>
        <w:right w:val="none" w:sz="0" w:space="0" w:color="auto"/>
      </w:divBdr>
    </w:div>
    <w:div w:id="296835206">
      <w:bodyDiv w:val="1"/>
      <w:marLeft w:val="0"/>
      <w:marRight w:val="0"/>
      <w:marTop w:val="0"/>
      <w:marBottom w:val="0"/>
      <w:divBdr>
        <w:top w:val="none" w:sz="0" w:space="0" w:color="auto"/>
        <w:left w:val="none" w:sz="0" w:space="0" w:color="auto"/>
        <w:bottom w:val="none" w:sz="0" w:space="0" w:color="auto"/>
        <w:right w:val="none" w:sz="0" w:space="0" w:color="auto"/>
      </w:divBdr>
    </w:div>
    <w:div w:id="296910236">
      <w:bodyDiv w:val="1"/>
      <w:marLeft w:val="0"/>
      <w:marRight w:val="0"/>
      <w:marTop w:val="0"/>
      <w:marBottom w:val="0"/>
      <w:divBdr>
        <w:top w:val="none" w:sz="0" w:space="0" w:color="auto"/>
        <w:left w:val="none" w:sz="0" w:space="0" w:color="auto"/>
        <w:bottom w:val="none" w:sz="0" w:space="0" w:color="auto"/>
        <w:right w:val="none" w:sz="0" w:space="0" w:color="auto"/>
      </w:divBdr>
    </w:div>
    <w:div w:id="296961264">
      <w:bodyDiv w:val="1"/>
      <w:marLeft w:val="0"/>
      <w:marRight w:val="0"/>
      <w:marTop w:val="0"/>
      <w:marBottom w:val="0"/>
      <w:divBdr>
        <w:top w:val="none" w:sz="0" w:space="0" w:color="auto"/>
        <w:left w:val="none" w:sz="0" w:space="0" w:color="auto"/>
        <w:bottom w:val="none" w:sz="0" w:space="0" w:color="auto"/>
        <w:right w:val="none" w:sz="0" w:space="0" w:color="auto"/>
      </w:divBdr>
    </w:div>
    <w:div w:id="297076608">
      <w:bodyDiv w:val="1"/>
      <w:marLeft w:val="0"/>
      <w:marRight w:val="0"/>
      <w:marTop w:val="0"/>
      <w:marBottom w:val="0"/>
      <w:divBdr>
        <w:top w:val="none" w:sz="0" w:space="0" w:color="auto"/>
        <w:left w:val="none" w:sz="0" w:space="0" w:color="auto"/>
        <w:bottom w:val="none" w:sz="0" w:space="0" w:color="auto"/>
        <w:right w:val="none" w:sz="0" w:space="0" w:color="auto"/>
      </w:divBdr>
    </w:div>
    <w:div w:id="297150696">
      <w:bodyDiv w:val="1"/>
      <w:marLeft w:val="0"/>
      <w:marRight w:val="0"/>
      <w:marTop w:val="0"/>
      <w:marBottom w:val="0"/>
      <w:divBdr>
        <w:top w:val="none" w:sz="0" w:space="0" w:color="auto"/>
        <w:left w:val="none" w:sz="0" w:space="0" w:color="auto"/>
        <w:bottom w:val="none" w:sz="0" w:space="0" w:color="auto"/>
        <w:right w:val="none" w:sz="0" w:space="0" w:color="auto"/>
      </w:divBdr>
    </w:div>
    <w:div w:id="297154045">
      <w:bodyDiv w:val="1"/>
      <w:marLeft w:val="0"/>
      <w:marRight w:val="0"/>
      <w:marTop w:val="0"/>
      <w:marBottom w:val="0"/>
      <w:divBdr>
        <w:top w:val="none" w:sz="0" w:space="0" w:color="auto"/>
        <w:left w:val="none" w:sz="0" w:space="0" w:color="auto"/>
        <w:bottom w:val="none" w:sz="0" w:space="0" w:color="auto"/>
        <w:right w:val="none" w:sz="0" w:space="0" w:color="auto"/>
      </w:divBdr>
    </w:div>
    <w:div w:id="297154529">
      <w:bodyDiv w:val="1"/>
      <w:marLeft w:val="0"/>
      <w:marRight w:val="0"/>
      <w:marTop w:val="0"/>
      <w:marBottom w:val="0"/>
      <w:divBdr>
        <w:top w:val="none" w:sz="0" w:space="0" w:color="auto"/>
        <w:left w:val="none" w:sz="0" w:space="0" w:color="auto"/>
        <w:bottom w:val="none" w:sz="0" w:space="0" w:color="auto"/>
        <w:right w:val="none" w:sz="0" w:space="0" w:color="auto"/>
      </w:divBdr>
    </w:div>
    <w:div w:id="297297357">
      <w:bodyDiv w:val="1"/>
      <w:marLeft w:val="0"/>
      <w:marRight w:val="0"/>
      <w:marTop w:val="0"/>
      <w:marBottom w:val="0"/>
      <w:divBdr>
        <w:top w:val="none" w:sz="0" w:space="0" w:color="auto"/>
        <w:left w:val="none" w:sz="0" w:space="0" w:color="auto"/>
        <w:bottom w:val="none" w:sz="0" w:space="0" w:color="auto"/>
        <w:right w:val="none" w:sz="0" w:space="0" w:color="auto"/>
      </w:divBdr>
    </w:div>
    <w:div w:id="297303981">
      <w:bodyDiv w:val="1"/>
      <w:marLeft w:val="0"/>
      <w:marRight w:val="0"/>
      <w:marTop w:val="0"/>
      <w:marBottom w:val="0"/>
      <w:divBdr>
        <w:top w:val="none" w:sz="0" w:space="0" w:color="auto"/>
        <w:left w:val="none" w:sz="0" w:space="0" w:color="auto"/>
        <w:bottom w:val="none" w:sz="0" w:space="0" w:color="auto"/>
        <w:right w:val="none" w:sz="0" w:space="0" w:color="auto"/>
      </w:divBdr>
    </w:div>
    <w:div w:id="297493490">
      <w:bodyDiv w:val="1"/>
      <w:marLeft w:val="0"/>
      <w:marRight w:val="0"/>
      <w:marTop w:val="0"/>
      <w:marBottom w:val="0"/>
      <w:divBdr>
        <w:top w:val="none" w:sz="0" w:space="0" w:color="auto"/>
        <w:left w:val="none" w:sz="0" w:space="0" w:color="auto"/>
        <w:bottom w:val="none" w:sz="0" w:space="0" w:color="auto"/>
        <w:right w:val="none" w:sz="0" w:space="0" w:color="auto"/>
      </w:divBdr>
    </w:div>
    <w:div w:id="297565062">
      <w:bodyDiv w:val="1"/>
      <w:marLeft w:val="0"/>
      <w:marRight w:val="0"/>
      <w:marTop w:val="0"/>
      <w:marBottom w:val="0"/>
      <w:divBdr>
        <w:top w:val="none" w:sz="0" w:space="0" w:color="auto"/>
        <w:left w:val="none" w:sz="0" w:space="0" w:color="auto"/>
        <w:bottom w:val="none" w:sz="0" w:space="0" w:color="auto"/>
        <w:right w:val="none" w:sz="0" w:space="0" w:color="auto"/>
      </w:divBdr>
    </w:div>
    <w:div w:id="297609623">
      <w:bodyDiv w:val="1"/>
      <w:marLeft w:val="0"/>
      <w:marRight w:val="0"/>
      <w:marTop w:val="0"/>
      <w:marBottom w:val="0"/>
      <w:divBdr>
        <w:top w:val="none" w:sz="0" w:space="0" w:color="auto"/>
        <w:left w:val="none" w:sz="0" w:space="0" w:color="auto"/>
        <w:bottom w:val="none" w:sz="0" w:space="0" w:color="auto"/>
        <w:right w:val="none" w:sz="0" w:space="0" w:color="auto"/>
      </w:divBdr>
    </w:div>
    <w:div w:id="297613313">
      <w:bodyDiv w:val="1"/>
      <w:marLeft w:val="0"/>
      <w:marRight w:val="0"/>
      <w:marTop w:val="0"/>
      <w:marBottom w:val="0"/>
      <w:divBdr>
        <w:top w:val="none" w:sz="0" w:space="0" w:color="auto"/>
        <w:left w:val="none" w:sz="0" w:space="0" w:color="auto"/>
        <w:bottom w:val="none" w:sz="0" w:space="0" w:color="auto"/>
        <w:right w:val="none" w:sz="0" w:space="0" w:color="auto"/>
      </w:divBdr>
    </w:div>
    <w:div w:id="297806754">
      <w:bodyDiv w:val="1"/>
      <w:marLeft w:val="0"/>
      <w:marRight w:val="0"/>
      <w:marTop w:val="0"/>
      <w:marBottom w:val="0"/>
      <w:divBdr>
        <w:top w:val="none" w:sz="0" w:space="0" w:color="auto"/>
        <w:left w:val="none" w:sz="0" w:space="0" w:color="auto"/>
        <w:bottom w:val="none" w:sz="0" w:space="0" w:color="auto"/>
        <w:right w:val="none" w:sz="0" w:space="0" w:color="auto"/>
      </w:divBdr>
    </w:div>
    <w:div w:id="297952255">
      <w:bodyDiv w:val="1"/>
      <w:marLeft w:val="0"/>
      <w:marRight w:val="0"/>
      <w:marTop w:val="0"/>
      <w:marBottom w:val="0"/>
      <w:divBdr>
        <w:top w:val="none" w:sz="0" w:space="0" w:color="auto"/>
        <w:left w:val="none" w:sz="0" w:space="0" w:color="auto"/>
        <w:bottom w:val="none" w:sz="0" w:space="0" w:color="auto"/>
        <w:right w:val="none" w:sz="0" w:space="0" w:color="auto"/>
      </w:divBdr>
    </w:div>
    <w:div w:id="298077625">
      <w:bodyDiv w:val="1"/>
      <w:marLeft w:val="0"/>
      <w:marRight w:val="0"/>
      <w:marTop w:val="0"/>
      <w:marBottom w:val="0"/>
      <w:divBdr>
        <w:top w:val="none" w:sz="0" w:space="0" w:color="auto"/>
        <w:left w:val="none" w:sz="0" w:space="0" w:color="auto"/>
        <w:bottom w:val="none" w:sz="0" w:space="0" w:color="auto"/>
        <w:right w:val="none" w:sz="0" w:space="0" w:color="auto"/>
      </w:divBdr>
    </w:div>
    <w:div w:id="298191225">
      <w:bodyDiv w:val="1"/>
      <w:marLeft w:val="0"/>
      <w:marRight w:val="0"/>
      <w:marTop w:val="0"/>
      <w:marBottom w:val="0"/>
      <w:divBdr>
        <w:top w:val="none" w:sz="0" w:space="0" w:color="auto"/>
        <w:left w:val="none" w:sz="0" w:space="0" w:color="auto"/>
        <w:bottom w:val="none" w:sz="0" w:space="0" w:color="auto"/>
        <w:right w:val="none" w:sz="0" w:space="0" w:color="auto"/>
      </w:divBdr>
    </w:div>
    <w:div w:id="298192693">
      <w:bodyDiv w:val="1"/>
      <w:marLeft w:val="0"/>
      <w:marRight w:val="0"/>
      <w:marTop w:val="0"/>
      <w:marBottom w:val="0"/>
      <w:divBdr>
        <w:top w:val="none" w:sz="0" w:space="0" w:color="auto"/>
        <w:left w:val="none" w:sz="0" w:space="0" w:color="auto"/>
        <w:bottom w:val="none" w:sz="0" w:space="0" w:color="auto"/>
        <w:right w:val="none" w:sz="0" w:space="0" w:color="auto"/>
      </w:divBdr>
    </w:div>
    <w:div w:id="298193399">
      <w:bodyDiv w:val="1"/>
      <w:marLeft w:val="0"/>
      <w:marRight w:val="0"/>
      <w:marTop w:val="0"/>
      <w:marBottom w:val="0"/>
      <w:divBdr>
        <w:top w:val="none" w:sz="0" w:space="0" w:color="auto"/>
        <w:left w:val="none" w:sz="0" w:space="0" w:color="auto"/>
        <w:bottom w:val="none" w:sz="0" w:space="0" w:color="auto"/>
        <w:right w:val="none" w:sz="0" w:space="0" w:color="auto"/>
      </w:divBdr>
    </w:div>
    <w:div w:id="298221069">
      <w:bodyDiv w:val="1"/>
      <w:marLeft w:val="0"/>
      <w:marRight w:val="0"/>
      <w:marTop w:val="0"/>
      <w:marBottom w:val="0"/>
      <w:divBdr>
        <w:top w:val="none" w:sz="0" w:space="0" w:color="auto"/>
        <w:left w:val="none" w:sz="0" w:space="0" w:color="auto"/>
        <w:bottom w:val="none" w:sz="0" w:space="0" w:color="auto"/>
        <w:right w:val="none" w:sz="0" w:space="0" w:color="auto"/>
      </w:divBdr>
    </w:div>
    <w:div w:id="298344112">
      <w:bodyDiv w:val="1"/>
      <w:marLeft w:val="0"/>
      <w:marRight w:val="0"/>
      <w:marTop w:val="0"/>
      <w:marBottom w:val="0"/>
      <w:divBdr>
        <w:top w:val="none" w:sz="0" w:space="0" w:color="auto"/>
        <w:left w:val="none" w:sz="0" w:space="0" w:color="auto"/>
        <w:bottom w:val="none" w:sz="0" w:space="0" w:color="auto"/>
        <w:right w:val="none" w:sz="0" w:space="0" w:color="auto"/>
      </w:divBdr>
    </w:div>
    <w:div w:id="298728174">
      <w:bodyDiv w:val="1"/>
      <w:marLeft w:val="0"/>
      <w:marRight w:val="0"/>
      <w:marTop w:val="0"/>
      <w:marBottom w:val="0"/>
      <w:divBdr>
        <w:top w:val="none" w:sz="0" w:space="0" w:color="auto"/>
        <w:left w:val="none" w:sz="0" w:space="0" w:color="auto"/>
        <w:bottom w:val="none" w:sz="0" w:space="0" w:color="auto"/>
        <w:right w:val="none" w:sz="0" w:space="0" w:color="auto"/>
      </w:divBdr>
    </w:div>
    <w:div w:id="298734012">
      <w:bodyDiv w:val="1"/>
      <w:marLeft w:val="0"/>
      <w:marRight w:val="0"/>
      <w:marTop w:val="0"/>
      <w:marBottom w:val="0"/>
      <w:divBdr>
        <w:top w:val="none" w:sz="0" w:space="0" w:color="auto"/>
        <w:left w:val="none" w:sz="0" w:space="0" w:color="auto"/>
        <w:bottom w:val="none" w:sz="0" w:space="0" w:color="auto"/>
        <w:right w:val="none" w:sz="0" w:space="0" w:color="auto"/>
      </w:divBdr>
    </w:div>
    <w:div w:id="298844199">
      <w:bodyDiv w:val="1"/>
      <w:marLeft w:val="0"/>
      <w:marRight w:val="0"/>
      <w:marTop w:val="0"/>
      <w:marBottom w:val="0"/>
      <w:divBdr>
        <w:top w:val="none" w:sz="0" w:space="0" w:color="auto"/>
        <w:left w:val="none" w:sz="0" w:space="0" w:color="auto"/>
        <w:bottom w:val="none" w:sz="0" w:space="0" w:color="auto"/>
        <w:right w:val="none" w:sz="0" w:space="0" w:color="auto"/>
      </w:divBdr>
    </w:div>
    <w:div w:id="298919333">
      <w:bodyDiv w:val="1"/>
      <w:marLeft w:val="0"/>
      <w:marRight w:val="0"/>
      <w:marTop w:val="0"/>
      <w:marBottom w:val="0"/>
      <w:divBdr>
        <w:top w:val="none" w:sz="0" w:space="0" w:color="auto"/>
        <w:left w:val="none" w:sz="0" w:space="0" w:color="auto"/>
        <w:bottom w:val="none" w:sz="0" w:space="0" w:color="auto"/>
        <w:right w:val="none" w:sz="0" w:space="0" w:color="auto"/>
      </w:divBdr>
    </w:div>
    <w:div w:id="298919399">
      <w:bodyDiv w:val="1"/>
      <w:marLeft w:val="0"/>
      <w:marRight w:val="0"/>
      <w:marTop w:val="0"/>
      <w:marBottom w:val="0"/>
      <w:divBdr>
        <w:top w:val="none" w:sz="0" w:space="0" w:color="auto"/>
        <w:left w:val="none" w:sz="0" w:space="0" w:color="auto"/>
        <w:bottom w:val="none" w:sz="0" w:space="0" w:color="auto"/>
        <w:right w:val="none" w:sz="0" w:space="0" w:color="auto"/>
      </w:divBdr>
    </w:div>
    <w:div w:id="298921116">
      <w:bodyDiv w:val="1"/>
      <w:marLeft w:val="0"/>
      <w:marRight w:val="0"/>
      <w:marTop w:val="0"/>
      <w:marBottom w:val="0"/>
      <w:divBdr>
        <w:top w:val="none" w:sz="0" w:space="0" w:color="auto"/>
        <w:left w:val="none" w:sz="0" w:space="0" w:color="auto"/>
        <w:bottom w:val="none" w:sz="0" w:space="0" w:color="auto"/>
        <w:right w:val="none" w:sz="0" w:space="0" w:color="auto"/>
      </w:divBdr>
    </w:div>
    <w:div w:id="298922711">
      <w:bodyDiv w:val="1"/>
      <w:marLeft w:val="0"/>
      <w:marRight w:val="0"/>
      <w:marTop w:val="0"/>
      <w:marBottom w:val="0"/>
      <w:divBdr>
        <w:top w:val="none" w:sz="0" w:space="0" w:color="auto"/>
        <w:left w:val="none" w:sz="0" w:space="0" w:color="auto"/>
        <w:bottom w:val="none" w:sz="0" w:space="0" w:color="auto"/>
        <w:right w:val="none" w:sz="0" w:space="0" w:color="auto"/>
      </w:divBdr>
    </w:div>
    <w:div w:id="298993924">
      <w:bodyDiv w:val="1"/>
      <w:marLeft w:val="0"/>
      <w:marRight w:val="0"/>
      <w:marTop w:val="0"/>
      <w:marBottom w:val="0"/>
      <w:divBdr>
        <w:top w:val="none" w:sz="0" w:space="0" w:color="auto"/>
        <w:left w:val="none" w:sz="0" w:space="0" w:color="auto"/>
        <w:bottom w:val="none" w:sz="0" w:space="0" w:color="auto"/>
        <w:right w:val="none" w:sz="0" w:space="0" w:color="auto"/>
      </w:divBdr>
    </w:div>
    <w:div w:id="299001546">
      <w:bodyDiv w:val="1"/>
      <w:marLeft w:val="0"/>
      <w:marRight w:val="0"/>
      <w:marTop w:val="0"/>
      <w:marBottom w:val="0"/>
      <w:divBdr>
        <w:top w:val="none" w:sz="0" w:space="0" w:color="auto"/>
        <w:left w:val="none" w:sz="0" w:space="0" w:color="auto"/>
        <w:bottom w:val="none" w:sz="0" w:space="0" w:color="auto"/>
        <w:right w:val="none" w:sz="0" w:space="0" w:color="auto"/>
      </w:divBdr>
    </w:div>
    <w:div w:id="299068599">
      <w:bodyDiv w:val="1"/>
      <w:marLeft w:val="0"/>
      <w:marRight w:val="0"/>
      <w:marTop w:val="0"/>
      <w:marBottom w:val="0"/>
      <w:divBdr>
        <w:top w:val="none" w:sz="0" w:space="0" w:color="auto"/>
        <w:left w:val="none" w:sz="0" w:space="0" w:color="auto"/>
        <w:bottom w:val="none" w:sz="0" w:space="0" w:color="auto"/>
        <w:right w:val="none" w:sz="0" w:space="0" w:color="auto"/>
      </w:divBdr>
    </w:div>
    <w:div w:id="299073289">
      <w:bodyDiv w:val="1"/>
      <w:marLeft w:val="0"/>
      <w:marRight w:val="0"/>
      <w:marTop w:val="0"/>
      <w:marBottom w:val="0"/>
      <w:divBdr>
        <w:top w:val="none" w:sz="0" w:space="0" w:color="auto"/>
        <w:left w:val="none" w:sz="0" w:space="0" w:color="auto"/>
        <w:bottom w:val="none" w:sz="0" w:space="0" w:color="auto"/>
        <w:right w:val="none" w:sz="0" w:space="0" w:color="auto"/>
      </w:divBdr>
    </w:div>
    <w:div w:id="299115569">
      <w:bodyDiv w:val="1"/>
      <w:marLeft w:val="0"/>
      <w:marRight w:val="0"/>
      <w:marTop w:val="0"/>
      <w:marBottom w:val="0"/>
      <w:divBdr>
        <w:top w:val="none" w:sz="0" w:space="0" w:color="auto"/>
        <w:left w:val="none" w:sz="0" w:space="0" w:color="auto"/>
        <w:bottom w:val="none" w:sz="0" w:space="0" w:color="auto"/>
        <w:right w:val="none" w:sz="0" w:space="0" w:color="auto"/>
      </w:divBdr>
    </w:div>
    <w:div w:id="299116083">
      <w:bodyDiv w:val="1"/>
      <w:marLeft w:val="0"/>
      <w:marRight w:val="0"/>
      <w:marTop w:val="0"/>
      <w:marBottom w:val="0"/>
      <w:divBdr>
        <w:top w:val="none" w:sz="0" w:space="0" w:color="auto"/>
        <w:left w:val="none" w:sz="0" w:space="0" w:color="auto"/>
        <w:bottom w:val="none" w:sz="0" w:space="0" w:color="auto"/>
        <w:right w:val="none" w:sz="0" w:space="0" w:color="auto"/>
      </w:divBdr>
    </w:div>
    <w:div w:id="299192499">
      <w:bodyDiv w:val="1"/>
      <w:marLeft w:val="0"/>
      <w:marRight w:val="0"/>
      <w:marTop w:val="0"/>
      <w:marBottom w:val="0"/>
      <w:divBdr>
        <w:top w:val="none" w:sz="0" w:space="0" w:color="auto"/>
        <w:left w:val="none" w:sz="0" w:space="0" w:color="auto"/>
        <w:bottom w:val="none" w:sz="0" w:space="0" w:color="auto"/>
        <w:right w:val="none" w:sz="0" w:space="0" w:color="auto"/>
      </w:divBdr>
    </w:div>
    <w:div w:id="299194704">
      <w:bodyDiv w:val="1"/>
      <w:marLeft w:val="0"/>
      <w:marRight w:val="0"/>
      <w:marTop w:val="0"/>
      <w:marBottom w:val="0"/>
      <w:divBdr>
        <w:top w:val="none" w:sz="0" w:space="0" w:color="auto"/>
        <w:left w:val="none" w:sz="0" w:space="0" w:color="auto"/>
        <w:bottom w:val="none" w:sz="0" w:space="0" w:color="auto"/>
        <w:right w:val="none" w:sz="0" w:space="0" w:color="auto"/>
      </w:divBdr>
    </w:div>
    <w:div w:id="299460191">
      <w:bodyDiv w:val="1"/>
      <w:marLeft w:val="0"/>
      <w:marRight w:val="0"/>
      <w:marTop w:val="0"/>
      <w:marBottom w:val="0"/>
      <w:divBdr>
        <w:top w:val="none" w:sz="0" w:space="0" w:color="auto"/>
        <w:left w:val="none" w:sz="0" w:space="0" w:color="auto"/>
        <w:bottom w:val="none" w:sz="0" w:space="0" w:color="auto"/>
        <w:right w:val="none" w:sz="0" w:space="0" w:color="auto"/>
      </w:divBdr>
    </w:div>
    <w:div w:id="299464427">
      <w:bodyDiv w:val="1"/>
      <w:marLeft w:val="0"/>
      <w:marRight w:val="0"/>
      <w:marTop w:val="0"/>
      <w:marBottom w:val="0"/>
      <w:divBdr>
        <w:top w:val="none" w:sz="0" w:space="0" w:color="auto"/>
        <w:left w:val="none" w:sz="0" w:space="0" w:color="auto"/>
        <w:bottom w:val="none" w:sz="0" w:space="0" w:color="auto"/>
        <w:right w:val="none" w:sz="0" w:space="0" w:color="auto"/>
      </w:divBdr>
    </w:div>
    <w:div w:id="299576378">
      <w:bodyDiv w:val="1"/>
      <w:marLeft w:val="0"/>
      <w:marRight w:val="0"/>
      <w:marTop w:val="0"/>
      <w:marBottom w:val="0"/>
      <w:divBdr>
        <w:top w:val="none" w:sz="0" w:space="0" w:color="auto"/>
        <w:left w:val="none" w:sz="0" w:space="0" w:color="auto"/>
        <w:bottom w:val="none" w:sz="0" w:space="0" w:color="auto"/>
        <w:right w:val="none" w:sz="0" w:space="0" w:color="auto"/>
      </w:divBdr>
    </w:div>
    <w:div w:id="299579724">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
    <w:div w:id="299727221">
      <w:bodyDiv w:val="1"/>
      <w:marLeft w:val="0"/>
      <w:marRight w:val="0"/>
      <w:marTop w:val="0"/>
      <w:marBottom w:val="0"/>
      <w:divBdr>
        <w:top w:val="none" w:sz="0" w:space="0" w:color="auto"/>
        <w:left w:val="none" w:sz="0" w:space="0" w:color="auto"/>
        <w:bottom w:val="none" w:sz="0" w:space="0" w:color="auto"/>
        <w:right w:val="none" w:sz="0" w:space="0" w:color="auto"/>
      </w:divBdr>
    </w:div>
    <w:div w:id="299921411">
      <w:bodyDiv w:val="1"/>
      <w:marLeft w:val="0"/>
      <w:marRight w:val="0"/>
      <w:marTop w:val="0"/>
      <w:marBottom w:val="0"/>
      <w:divBdr>
        <w:top w:val="none" w:sz="0" w:space="0" w:color="auto"/>
        <w:left w:val="none" w:sz="0" w:space="0" w:color="auto"/>
        <w:bottom w:val="none" w:sz="0" w:space="0" w:color="auto"/>
        <w:right w:val="none" w:sz="0" w:space="0" w:color="auto"/>
      </w:divBdr>
    </w:div>
    <w:div w:id="299925427">
      <w:bodyDiv w:val="1"/>
      <w:marLeft w:val="0"/>
      <w:marRight w:val="0"/>
      <w:marTop w:val="0"/>
      <w:marBottom w:val="0"/>
      <w:divBdr>
        <w:top w:val="none" w:sz="0" w:space="0" w:color="auto"/>
        <w:left w:val="none" w:sz="0" w:space="0" w:color="auto"/>
        <w:bottom w:val="none" w:sz="0" w:space="0" w:color="auto"/>
        <w:right w:val="none" w:sz="0" w:space="0" w:color="auto"/>
      </w:divBdr>
    </w:div>
    <w:div w:id="300113905">
      <w:bodyDiv w:val="1"/>
      <w:marLeft w:val="0"/>
      <w:marRight w:val="0"/>
      <w:marTop w:val="0"/>
      <w:marBottom w:val="0"/>
      <w:divBdr>
        <w:top w:val="none" w:sz="0" w:space="0" w:color="auto"/>
        <w:left w:val="none" w:sz="0" w:space="0" w:color="auto"/>
        <w:bottom w:val="none" w:sz="0" w:space="0" w:color="auto"/>
        <w:right w:val="none" w:sz="0" w:space="0" w:color="auto"/>
      </w:divBdr>
    </w:div>
    <w:div w:id="300156432">
      <w:bodyDiv w:val="1"/>
      <w:marLeft w:val="0"/>
      <w:marRight w:val="0"/>
      <w:marTop w:val="0"/>
      <w:marBottom w:val="0"/>
      <w:divBdr>
        <w:top w:val="none" w:sz="0" w:space="0" w:color="auto"/>
        <w:left w:val="none" w:sz="0" w:space="0" w:color="auto"/>
        <w:bottom w:val="none" w:sz="0" w:space="0" w:color="auto"/>
        <w:right w:val="none" w:sz="0" w:space="0" w:color="auto"/>
      </w:divBdr>
    </w:div>
    <w:div w:id="300236981">
      <w:bodyDiv w:val="1"/>
      <w:marLeft w:val="0"/>
      <w:marRight w:val="0"/>
      <w:marTop w:val="0"/>
      <w:marBottom w:val="0"/>
      <w:divBdr>
        <w:top w:val="none" w:sz="0" w:space="0" w:color="auto"/>
        <w:left w:val="none" w:sz="0" w:space="0" w:color="auto"/>
        <w:bottom w:val="none" w:sz="0" w:space="0" w:color="auto"/>
        <w:right w:val="none" w:sz="0" w:space="0" w:color="auto"/>
      </w:divBdr>
    </w:div>
    <w:div w:id="300499723">
      <w:bodyDiv w:val="1"/>
      <w:marLeft w:val="0"/>
      <w:marRight w:val="0"/>
      <w:marTop w:val="0"/>
      <w:marBottom w:val="0"/>
      <w:divBdr>
        <w:top w:val="none" w:sz="0" w:space="0" w:color="auto"/>
        <w:left w:val="none" w:sz="0" w:space="0" w:color="auto"/>
        <w:bottom w:val="none" w:sz="0" w:space="0" w:color="auto"/>
        <w:right w:val="none" w:sz="0" w:space="0" w:color="auto"/>
      </w:divBdr>
    </w:div>
    <w:div w:id="300773262">
      <w:bodyDiv w:val="1"/>
      <w:marLeft w:val="0"/>
      <w:marRight w:val="0"/>
      <w:marTop w:val="0"/>
      <w:marBottom w:val="0"/>
      <w:divBdr>
        <w:top w:val="none" w:sz="0" w:space="0" w:color="auto"/>
        <w:left w:val="none" w:sz="0" w:space="0" w:color="auto"/>
        <w:bottom w:val="none" w:sz="0" w:space="0" w:color="auto"/>
        <w:right w:val="none" w:sz="0" w:space="0" w:color="auto"/>
      </w:divBdr>
    </w:div>
    <w:div w:id="300811773">
      <w:bodyDiv w:val="1"/>
      <w:marLeft w:val="0"/>
      <w:marRight w:val="0"/>
      <w:marTop w:val="0"/>
      <w:marBottom w:val="0"/>
      <w:divBdr>
        <w:top w:val="none" w:sz="0" w:space="0" w:color="auto"/>
        <w:left w:val="none" w:sz="0" w:space="0" w:color="auto"/>
        <w:bottom w:val="none" w:sz="0" w:space="0" w:color="auto"/>
        <w:right w:val="none" w:sz="0" w:space="0" w:color="auto"/>
      </w:divBdr>
    </w:div>
    <w:div w:id="300814999">
      <w:bodyDiv w:val="1"/>
      <w:marLeft w:val="0"/>
      <w:marRight w:val="0"/>
      <w:marTop w:val="0"/>
      <w:marBottom w:val="0"/>
      <w:divBdr>
        <w:top w:val="none" w:sz="0" w:space="0" w:color="auto"/>
        <w:left w:val="none" w:sz="0" w:space="0" w:color="auto"/>
        <w:bottom w:val="none" w:sz="0" w:space="0" w:color="auto"/>
        <w:right w:val="none" w:sz="0" w:space="0" w:color="auto"/>
      </w:divBdr>
    </w:div>
    <w:div w:id="300889864">
      <w:bodyDiv w:val="1"/>
      <w:marLeft w:val="0"/>
      <w:marRight w:val="0"/>
      <w:marTop w:val="0"/>
      <w:marBottom w:val="0"/>
      <w:divBdr>
        <w:top w:val="none" w:sz="0" w:space="0" w:color="auto"/>
        <w:left w:val="none" w:sz="0" w:space="0" w:color="auto"/>
        <w:bottom w:val="none" w:sz="0" w:space="0" w:color="auto"/>
        <w:right w:val="none" w:sz="0" w:space="0" w:color="auto"/>
      </w:divBdr>
    </w:div>
    <w:div w:id="301009313">
      <w:bodyDiv w:val="1"/>
      <w:marLeft w:val="0"/>
      <w:marRight w:val="0"/>
      <w:marTop w:val="0"/>
      <w:marBottom w:val="0"/>
      <w:divBdr>
        <w:top w:val="none" w:sz="0" w:space="0" w:color="auto"/>
        <w:left w:val="none" w:sz="0" w:space="0" w:color="auto"/>
        <w:bottom w:val="none" w:sz="0" w:space="0" w:color="auto"/>
        <w:right w:val="none" w:sz="0" w:space="0" w:color="auto"/>
      </w:divBdr>
    </w:div>
    <w:div w:id="301276162">
      <w:bodyDiv w:val="1"/>
      <w:marLeft w:val="0"/>
      <w:marRight w:val="0"/>
      <w:marTop w:val="0"/>
      <w:marBottom w:val="0"/>
      <w:divBdr>
        <w:top w:val="none" w:sz="0" w:space="0" w:color="auto"/>
        <w:left w:val="none" w:sz="0" w:space="0" w:color="auto"/>
        <w:bottom w:val="none" w:sz="0" w:space="0" w:color="auto"/>
        <w:right w:val="none" w:sz="0" w:space="0" w:color="auto"/>
      </w:divBdr>
    </w:div>
    <w:div w:id="301347237">
      <w:bodyDiv w:val="1"/>
      <w:marLeft w:val="0"/>
      <w:marRight w:val="0"/>
      <w:marTop w:val="0"/>
      <w:marBottom w:val="0"/>
      <w:divBdr>
        <w:top w:val="none" w:sz="0" w:space="0" w:color="auto"/>
        <w:left w:val="none" w:sz="0" w:space="0" w:color="auto"/>
        <w:bottom w:val="none" w:sz="0" w:space="0" w:color="auto"/>
        <w:right w:val="none" w:sz="0" w:space="0" w:color="auto"/>
      </w:divBdr>
    </w:div>
    <w:div w:id="301422474">
      <w:bodyDiv w:val="1"/>
      <w:marLeft w:val="0"/>
      <w:marRight w:val="0"/>
      <w:marTop w:val="0"/>
      <w:marBottom w:val="0"/>
      <w:divBdr>
        <w:top w:val="none" w:sz="0" w:space="0" w:color="auto"/>
        <w:left w:val="none" w:sz="0" w:space="0" w:color="auto"/>
        <w:bottom w:val="none" w:sz="0" w:space="0" w:color="auto"/>
        <w:right w:val="none" w:sz="0" w:space="0" w:color="auto"/>
      </w:divBdr>
    </w:div>
    <w:div w:id="301426190">
      <w:bodyDiv w:val="1"/>
      <w:marLeft w:val="0"/>
      <w:marRight w:val="0"/>
      <w:marTop w:val="0"/>
      <w:marBottom w:val="0"/>
      <w:divBdr>
        <w:top w:val="none" w:sz="0" w:space="0" w:color="auto"/>
        <w:left w:val="none" w:sz="0" w:space="0" w:color="auto"/>
        <w:bottom w:val="none" w:sz="0" w:space="0" w:color="auto"/>
        <w:right w:val="none" w:sz="0" w:space="0" w:color="auto"/>
      </w:divBdr>
    </w:div>
    <w:div w:id="301468759">
      <w:bodyDiv w:val="1"/>
      <w:marLeft w:val="0"/>
      <w:marRight w:val="0"/>
      <w:marTop w:val="0"/>
      <w:marBottom w:val="0"/>
      <w:divBdr>
        <w:top w:val="none" w:sz="0" w:space="0" w:color="auto"/>
        <w:left w:val="none" w:sz="0" w:space="0" w:color="auto"/>
        <w:bottom w:val="none" w:sz="0" w:space="0" w:color="auto"/>
        <w:right w:val="none" w:sz="0" w:space="0" w:color="auto"/>
      </w:divBdr>
    </w:div>
    <w:div w:id="301543492">
      <w:bodyDiv w:val="1"/>
      <w:marLeft w:val="0"/>
      <w:marRight w:val="0"/>
      <w:marTop w:val="0"/>
      <w:marBottom w:val="0"/>
      <w:divBdr>
        <w:top w:val="none" w:sz="0" w:space="0" w:color="auto"/>
        <w:left w:val="none" w:sz="0" w:space="0" w:color="auto"/>
        <w:bottom w:val="none" w:sz="0" w:space="0" w:color="auto"/>
        <w:right w:val="none" w:sz="0" w:space="0" w:color="auto"/>
      </w:divBdr>
    </w:div>
    <w:div w:id="301543811">
      <w:bodyDiv w:val="1"/>
      <w:marLeft w:val="0"/>
      <w:marRight w:val="0"/>
      <w:marTop w:val="0"/>
      <w:marBottom w:val="0"/>
      <w:divBdr>
        <w:top w:val="none" w:sz="0" w:space="0" w:color="auto"/>
        <w:left w:val="none" w:sz="0" w:space="0" w:color="auto"/>
        <w:bottom w:val="none" w:sz="0" w:space="0" w:color="auto"/>
        <w:right w:val="none" w:sz="0" w:space="0" w:color="auto"/>
      </w:divBdr>
    </w:div>
    <w:div w:id="301738530">
      <w:bodyDiv w:val="1"/>
      <w:marLeft w:val="0"/>
      <w:marRight w:val="0"/>
      <w:marTop w:val="0"/>
      <w:marBottom w:val="0"/>
      <w:divBdr>
        <w:top w:val="none" w:sz="0" w:space="0" w:color="auto"/>
        <w:left w:val="none" w:sz="0" w:space="0" w:color="auto"/>
        <w:bottom w:val="none" w:sz="0" w:space="0" w:color="auto"/>
        <w:right w:val="none" w:sz="0" w:space="0" w:color="auto"/>
      </w:divBdr>
    </w:div>
    <w:div w:id="301808965">
      <w:bodyDiv w:val="1"/>
      <w:marLeft w:val="0"/>
      <w:marRight w:val="0"/>
      <w:marTop w:val="0"/>
      <w:marBottom w:val="0"/>
      <w:divBdr>
        <w:top w:val="none" w:sz="0" w:space="0" w:color="auto"/>
        <w:left w:val="none" w:sz="0" w:space="0" w:color="auto"/>
        <w:bottom w:val="none" w:sz="0" w:space="0" w:color="auto"/>
        <w:right w:val="none" w:sz="0" w:space="0" w:color="auto"/>
      </w:divBdr>
    </w:div>
    <w:div w:id="301810003">
      <w:bodyDiv w:val="1"/>
      <w:marLeft w:val="0"/>
      <w:marRight w:val="0"/>
      <w:marTop w:val="0"/>
      <w:marBottom w:val="0"/>
      <w:divBdr>
        <w:top w:val="none" w:sz="0" w:space="0" w:color="auto"/>
        <w:left w:val="none" w:sz="0" w:space="0" w:color="auto"/>
        <w:bottom w:val="none" w:sz="0" w:space="0" w:color="auto"/>
        <w:right w:val="none" w:sz="0" w:space="0" w:color="auto"/>
      </w:divBdr>
    </w:div>
    <w:div w:id="301810314">
      <w:bodyDiv w:val="1"/>
      <w:marLeft w:val="0"/>
      <w:marRight w:val="0"/>
      <w:marTop w:val="0"/>
      <w:marBottom w:val="0"/>
      <w:divBdr>
        <w:top w:val="none" w:sz="0" w:space="0" w:color="auto"/>
        <w:left w:val="none" w:sz="0" w:space="0" w:color="auto"/>
        <w:bottom w:val="none" w:sz="0" w:space="0" w:color="auto"/>
        <w:right w:val="none" w:sz="0" w:space="0" w:color="auto"/>
      </w:divBdr>
    </w:div>
    <w:div w:id="301817191">
      <w:bodyDiv w:val="1"/>
      <w:marLeft w:val="0"/>
      <w:marRight w:val="0"/>
      <w:marTop w:val="0"/>
      <w:marBottom w:val="0"/>
      <w:divBdr>
        <w:top w:val="none" w:sz="0" w:space="0" w:color="auto"/>
        <w:left w:val="none" w:sz="0" w:space="0" w:color="auto"/>
        <w:bottom w:val="none" w:sz="0" w:space="0" w:color="auto"/>
        <w:right w:val="none" w:sz="0" w:space="0" w:color="auto"/>
      </w:divBdr>
    </w:div>
    <w:div w:id="302005792">
      <w:bodyDiv w:val="1"/>
      <w:marLeft w:val="0"/>
      <w:marRight w:val="0"/>
      <w:marTop w:val="0"/>
      <w:marBottom w:val="0"/>
      <w:divBdr>
        <w:top w:val="none" w:sz="0" w:space="0" w:color="auto"/>
        <w:left w:val="none" w:sz="0" w:space="0" w:color="auto"/>
        <w:bottom w:val="none" w:sz="0" w:space="0" w:color="auto"/>
        <w:right w:val="none" w:sz="0" w:space="0" w:color="auto"/>
      </w:divBdr>
    </w:div>
    <w:div w:id="302128322">
      <w:bodyDiv w:val="1"/>
      <w:marLeft w:val="0"/>
      <w:marRight w:val="0"/>
      <w:marTop w:val="0"/>
      <w:marBottom w:val="0"/>
      <w:divBdr>
        <w:top w:val="none" w:sz="0" w:space="0" w:color="auto"/>
        <w:left w:val="none" w:sz="0" w:space="0" w:color="auto"/>
        <w:bottom w:val="none" w:sz="0" w:space="0" w:color="auto"/>
        <w:right w:val="none" w:sz="0" w:space="0" w:color="auto"/>
      </w:divBdr>
    </w:div>
    <w:div w:id="302199049">
      <w:bodyDiv w:val="1"/>
      <w:marLeft w:val="0"/>
      <w:marRight w:val="0"/>
      <w:marTop w:val="0"/>
      <w:marBottom w:val="0"/>
      <w:divBdr>
        <w:top w:val="none" w:sz="0" w:space="0" w:color="auto"/>
        <w:left w:val="none" w:sz="0" w:space="0" w:color="auto"/>
        <w:bottom w:val="none" w:sz="0" w:space="0" w:color="auto"/>
        <w:right w:val="none" w:sz="0" w:space="0" w:color="auto"/>
      </w:divBdr>
    </w:div>
    <w:div w:id="302272967">
      <w:bodyDiv w:val="1"/>
      <w:marLeft w:val="0"/>
      <w:marRight w:val="0"/>
      <w:marTop w:val="0"/>
      <w:marBottom w:val="0"/>
      <w:divBdr>
        <w:top w:val="none" w:sz="0" w:space="0" w:color="auto"/>
        <w:left w:val="none" w:sz="0" w:space="0" w:color="auto"/>
        <w:bottom w:val="none" w:sz="0" w:space="0" w:color="auto"/>
        <w:right w:val="none" w:sz="0" w:space="0" w:color="auto"/>
      </w:divBdr>
    </w:div>
    <w:div w:id="302277212">
      <w:bodyDiv w:val="1"/>
      <w:marLeft w:val="0"/>
      <w:marRight w:val="0"/>
      <w:marTop w:val="0"/>
      <w:marBottom w:val="0"/>
      <w:divBdr>
        <w:top w:val="none" w:sz="0" w:space="0" w:color="auto"/>
        <w:left w:val="none" w:sz="0" w:space="0" w:color="auto"/>
        <w:bottom w:val="none" w:sz="0" w:space="0" w:color="auto"/>
        <w:right w:val="none" w:sz="0" w:space="0" w:color="auto"/>
      </w:divBdr>
    </w:div>
    <w:div w:id="302347162">
      <w:bodyDiv w:val="1"/>
      <w:marLeft w:val="0"/>
      <w:marRight w:val="0"/>
      <w:marTop w:val="0"/>
      <w:marBottom w:val="0"/>
      <w:divBdr>
        <w:top w:val="none" w:sz="0" w:space="0" w:color="auto"/>
        <w:left w:val="none" w:sz="0" w:space="0" w:color="auto"/>
        <w:bottom w:val="none" w:sz="0" w:space="0" w:color="auto"/>
        <w:right w:val="none" w:sz="0" w:space="0" w:color="auto"/>
      </w:divBdr>
    </w:div>
    <w:div w:id="302390276">
      <w:bodyDiv w:val="1"/>
      <w:marLeft w:val="0"/>
      <w:marRight w:val="0"/>
      <w:marTop w:val="0"/>
      <w:marBottom w:val="0"/>
      <w:divBdr>
        <w:top w:val="none" w:sz="0" w:space="0" w:color="auto"/>
        <w:left w:val="none" w:sz="0" w:space="0" w:color="auto"/>
        <w:bottom w:val="none" w:sz="0" w:space="0" w:color="auto"/>
        <w:right w:val="none" w:sz="0" w:space="0" w:color="auto"/>
      </w:divBdr>
    </w:div>
    <w:div w:id="302539902">
      <w:bodyDiv w:val="1"/>
      <w:marLeft w:val="0"/>
      <w:marRight w:val="0"/>
      <w:marTop w:val="0"/>
      <w:marBottom w:val="0"/>
      <w:divBdr>
        <w:top w:val="none" w:sz="0" w:space="0" w:color="auto"/>
        <w:left w:val="none" w:sz="0" w:space="0" w:color="auto"/>
        <w:bottom w:val="none" w:sz="0" w:space="0" w:color="auto"/>
        <w:right w:val="none" w:sz="0" w:space="0" w:color="auto"/>
      </w:divBdr>
    </w:div>
    <w:div w:id="302589692">
      <w:bodyDiv w:val="1"/>
      <w:marLeft w:val="0"/>
      <w:marRight w:val="0"/>
      <w:marTop w:val="0"/>
      <w:marBottom w:val="0"/>
      <w:divBdr>
        <w:top w:val="none" w:sz="0" w:space="0" w:color="auto"/>
        <w:left w:val="none" w:sz="0" w:space="0" w:color="auto"/>
        <w:bottom w:val="none" w:sz="0" w:space="0" w:color="auto"/>
        <w:right w:val="none" w:sz="0" w:space="0" w:color="auto"/>
      </w:divBdr>
    </w:div>
    <w:div w:id="302660220">
      <w:bodyDiv w:val="1"/>
      <w:marLeft w:val="0"/>
      <w:marRight w:val="0"/>
      <w:marTop w:val="0"/>
      <w:marBottom w:val="0"/>
      <w:divBdr>
        <w:top w:val="none" w:sz="0" w:space="0" w:color="auto"/>
        <w:left w:val="none" w:sz="0" w:space="0" w:color="auto"/>
        <w:bottom w:val="none" w:sz="0" w:space="0" w:color="auto"/>
        <w:right w:val="none" w:sz="0" w:space="0" w:color="auto"/>
      </w:divBdr>
    </w:div>
    <w:div w:id="302778848">
      <w:bodyDiv w:val="1"/>
      <w:marLeft w:val="0"/>
      <w:marRight w:val="0"/>
      <w:marTop w:val="0"/>
      <w:marBottom w:val="0"/>
      <w:divBdr>
        <w:top w:val="none" w:sz="0" w:space="0" w:color="auto"/>
        <w:left w:val="none" w:sz="0" w:space="0" w:color="auto"/>
        <w:bottom w:val="none" w:sz="0" w:space="0" w:color="auto"/>
        <w:right w:val="none" w:sz="0" w:space="0" w:color="auto"/>
      </w:divBdr>
    </w:div>
    <w:div w:id="302858190">
      <w:bodyDiv w:val="1"/>
      <w:marLeft w:val="0"/>
      <w:marRight w:val="0"/>
      <w:marTop w:val="0"/>
      <w:marBottom w:val="0"/>
      <w:divBdr>
        <w:top w:val="none" w:sz="0" w:space="0" w:color="auto"/>
        <w:left w:val="none" w:sz="0" w:space="0" w:color="auto"/>
        <w:bottom w:val="none" w:sz="0" w:space="0" w:color="auto"/>
        <w:right w:val="none" w:sz="0" w:space="0" w:color="auto"/>
      </w:divBdr>
    </w:div>
    <w:div w:id="302924877">
      <w:bodyDiv w:val="1"/>
      <w:marLeft w:val="0"/>
      <w:marRight w:val="0"/>
      <w:marTop w:val="0"/>
      <w:marBottom w:val="0"/>
      <w:divBdr>
        <w:top w:val="none" w:sz="0" w:space="0" w:color="auto"/>
        <w:left w:val="none" w:sz="0" w:space="0" w:color="auto"/>
        <w:bottom w:val="none" w:sz="0" w:space="0" w:color="auto"/>
        <w:right w:val="none" w:sz="0" w:space="0" w:color="auto"/>
      </w:divBdr>
    </w:div>
    <w:div w:id="302930652">
      <w:bodyDiv w:val="1"/>
      <w:marLeft w:val="0"/>
      <w:marRight w:val="0"/>
      <w:marTop w:val="0"/>
      <w:marBottom w:val="0"/>
      <w:divBdr>
        <w:top w:val="none" w:sz="0" w:space="0" w:color="auto"/>
        <w:left w:val="none" w:sz="0" w:space="0" w:color="auto"/>
        <w:bottom w:val="none" w:sz="0" w:space="0" w:color="auto"/>
        <w:right w:val="none" w:sz="0" w:space="0" w:color="auto"/>
      </w:divBdr>
    </w:div>
    <w:div w:id="303000739">
      <w:bodyDiv w:val="1"/>
      <w:marLeft w:val="0"/>
      <w:marRight w:val="0"/>
      <w:marTop w:val="0"/>
      <w:marBottom w:val="0"/>
      <w:divBdr>
        <w:top w:val="none" w:sz="0" w:space="0" w:color="auto"/>
        <w:left w:val="none" w:sz="0" w:space="0" w:color="auto"/>
        <w:bottom w:val="none" w:sz="0" w:space="0" w:color="auto"/>
        <w:right w:val="none" w:sz="0" w:space="0" w:color="auto"/>
      </w:divBdr>
    </w:div>
    <w:div w:id="303047866">
      <w:bodyDiv w:val="1"/>
      <w:marLeft w:val="0"/>
      <w:marRight w:val="0"/>
      <w:marTop w:val="0"/>
      <w:marBottom w:val="0"/>
      <w:divBdr>
        <w:top w:val="none" w:sz="0" w:space="0" w:color="auto"/>
        <w:left w:val="none" w:sz="0" w:space="0" w:color="auto"/>
        <w:bottom w:val="none" w:sz="0" w:space="0" w:color="auto"/>
        <w:right w:val="none" w:sz="0" w:space="0" w:color="auto"/>
      </w:divBdr>
    </w:div>
    <w:div w:id="303194848">
      <w:bodyDiv w:val="1"/>
      <w:marLeft w:val="0"/>
      <w:marRight w:val="0"/>
      <w:marTop w:val="0"/>
      <w:marBottom w:val="0"/>
      <w:divBdr>
        <w:top w:val="none" w:sz="0" w:space="0" w:color="auto"/>
        <w:left w:val="none" w:sz="0" w:space="0" w:color="auto"/>
        <w:bottom w:val="none" w:sz="0" w:space="0" w:color="auto"/>
        <w:right w:val="none" w:sz="0" w:space="0" w:color="auto"/>
      </w:divBdr>
    </w:div>
    <w:div w:id="303201913">
      <w:bodyDiv w:val="1"/>
      <w:marLeft w:val="0"/>
      <w:marRight w:val="0"/>
      <w:marTop w:val="0"/>
      <w:marBottom w:val="0"/>
      <w:divBdr>
        <w:top w:val="none" w:sz="0" w:space="0" w:color="auto"/>
        <w:left w:val="none" w:sz="0" w:space="0" w:color="auto"/>
        <w:bottom w:val="none" w:sz="0" w:space="0" w:color="auto"/>
        <w:right w:val="none" w:sz="0" w:space="0" w:color="auto"/>
      </w:divBdr>
    </w:div>
    <w:div w:id="303311939">
      <w:bodyDiv w:val="1"/>
      <w:marLeft w:val="0"/>
      <w:marRight w:val="0"/>
      <w:marTop w:val="0"/>
      <w:marBottom w:val="0"/>
      <w:divBdr>
        <w:top w:val="none" w:sz="0" w:space="0" w:color="auto"/>
        <w:left w:val="none" w:sz="0" w:space="0" w:color="auto"/>
        <w:bottom w:val="none" w:sz="0" w:space="0" w:color="auto"/>
        <w:right w:val="none" w:sz="0" w:space="0" w:color="auto"/>
      </w:divBdr>
    </w:div>
    <w:div w:id="303318606">
      <w:bodyDiv w:val="1"/>
      <w:marLeft w:val="0"/>
      <w:marRight w:val="0"/>
      <w:marTop w:val="0"/>
      <w:marBottom w:val="0"/>
      <w:divBdr>
        <w:top w:val="none" w:sz="0" w:space="0" w:color="auto"/>
        <w:left w:val="none" w:sz="0" w:space="0" w:color="auto"/>
        <w:bottom w:val="none" w:sz="0" w:space="0" w:color="auto"/>
        <w:right w:val="none" w:sz="0" w:space="0" w:color="auto"/>
      </w:divBdr>
    </w:div>
    <w:div w:id="303388873">
      <w:bodyDiv w:val="1"/>
      <w:marLeft w:val="0"/>
      <w:marRight w:val="0"/>
      <w:marTop w:val="0"/>
      <w:marBottom w:val="0"/>
      <w:divBdr>
        <w:top w:val="none" w:sz="0" w:space="0" w:color="auto"/>
        <w:left w:val="none" w:sz="0" w:space="0" w:color="auto"/>
        <w:bottom w:val="none" w:sz="0" w:space="0" w:color="auto"/>
        <w:right w:val="none" w:sz="0" w:space="0" w:color="auto"/>
      </w:divBdr>
    </w:div>
    <w:div w:id="303389569">
      <w:bodyDiv w:val="1"/>
      <w:marLeft w:val="0"/>
      <w:marRight w:val="0"/>
      <w:marTop w:val="0"/>
      <w:marBottom w:val="0"/>
      <w:divBdr>
        <w:top w:val="none" w:sz="0" w:space="0" w:color="auto"/>
        <w:left w:val="none" w:sz="0" w:space="0" w:color="auto"/>
        <w:bottom w:val="none" w:sz="0" w:space="0" w:color="auto"/>
        <w:right w:val="none" w:sz="0" w:space="0" w:color="auto"/>
      </w:divBdr>
    </w:div>
    <w:div w:id="303436149">
      <w:bodyDiv w:val="1"/>
      <w:marLeft w:val="0"/>
      <w:marRight w:val="0"/>
      <w:marTop w:val="0"/>
      <w:marBottom w:val="0"/>
      <w:divBdr>
        <w:top w:val="none" w:sz="0" w:space="0" w:color="auto"/>
        <w:left w:val="none" w:sz="0" w:space="0" w:color="auto"/>
        <w:bottom w:val="none" w:sz="0" w:space="0" w:color="auto"/>
        <w:right w:val="none" w:sz="0" w:space="0" w:color="auto"/>
      </w:divBdr>
    </w:div>
    <w:div w:id="303584745">
      <w:bodyDiv w:val="1"/>
      <w:marLeft w:val="0"/>
      <w:marRight w:val="0"/>
      <w:marTop w:val="0"/>
      <w:marBottom w:val="0"/>
      <w:divBdr>
        <w:top w:val="none" w:sz="0" w:space="0" w:color="auto"/>
        <w:left w:val="none" w:sz="0" w:space="0" w:color="auto"/>
        <w:bottom w:val="none" w:sz="0" w:space="0" w:color="auto"/>
        <w:right w:val="none" w:sz="0" w:space="0" w:color="auto"/>
      </w:divBdr>
    </w:div>
    <w:div w:id="303589607">
      <w:bodyDiv w:val="1"/>
      <w:marLeft w:val="0"/>
      <w:marRight w:val="0"/>
      <w:marTop w:val="0"/>
      <w:marBottom w:val="0"/>
      <w:divBdr>
        <w:top w:val="none" w:sz="0" w:space="0" w:color="auto"/>
        <w:left w:val="none" w:sz="0" w:space="0" w:color="auto"/>
        <w:bottom w:val="none" w:sz="0" w:space="0" w:color="auto"/>
        <w:right w:val="none" w:sz="0" w:space="0" w:color="auto"/>
      </w:divBdr>
    </w:div>
    <w:div w:id="303660254">
      <w:bodyDiv w:val="1"/>
      <w:marLeft w:val="0"/>
      <w:marRight w:val="0"/>
      <w:marTop w:val="0"/>
      <w:marBottom w:val="0"/>
      <w:divBdr>
        <w:top w:val="none" w:sz="0" w:space="0" w:color="auto"/>
        <w:left w:val="none" w:sz="0" w:space="0" w:color="auto"/>
        <w:bottom w:val="none" w:sz="0" w:space="0" w:color="auto"/>
        <w:right w:val="none" w:sz="0" w:space="0" w:color="auto"/>
      </w:divBdr>
    </w:div>
    <w:div w:id="303972095">
      <w:bodyDiv w:val="1"/>
      <w:marLeft w:val="0"/>
      <w:marRight w:val="0"/>
      <w:marTop w:val="0"/>
      <w:marBottom w:val="0"/>
      <w:divBdr>
        <w:top w:val="none" w:sz="0" w:space="0" w:color="auto"/>
        <w:left w:val="none" w:sz="0" w:space="0" w:color="auto"/>
        <w:bottom w:val="none" w:sz="0" w:space="0" w:color="auto"/>
        <w:right w:val="none" w:sz="0" w:space="0" w:color="auto"/>
      </w:divBdr>
    </w:div>
    <w:div w:id="304160335">
      <w:bodyDiv w:val="1"/>
      <w:marLeft w:val="0"/>
      <w:marRight w:val="0"/>
      <w:marTop w:val="0"/>
      <w:marBottom w:val="0"/>
      <w:divBdr>
        <w:top w:val="none" w:sz="0" w:space="0" w:color="auto"/>
        <w:left w:val="none" w:sz="0" w:space="0" w:color="auto"/>
        <w:bottom w:val="none" w:sz="0" w:space="0" w:color="auto"/>
        <w:right w:val="none" w:sz="0" w:space="0" w:color="auto"/>
      </w:divBdr>
    </w:div>
    <w:div w:id="304238262">
      <w:bodyDiv w:val="1"/>
      <w:marLeft w:val="0"/>
      <w:marRight w:val="0"/>
      <w:marTop w:val="0"/>
      <w:marBottom w:val="0"/>
      <w:divBdr>
        <w:top w:val="none" w:sz="0" w:space="0" w:color="auto"/>
        <w:left w:val="none" w:sz="0" w:space="0" w:color="auto"/>
        <w:bottom w:val="none" w:sz="0" w:space="0" w:color="auto"/>
        <w:right w:val="none" w:sz="0" w:space="0" w:color="auto"/>
      </w:divBdr>
    </w:div>
    <w:div w:id="304312551">
      <w:bodyDiv w:val="1"/>
      <w:marLeft w:val="0"/>
      <w:marRight w:val="0"/>
      <w:marTop w:val="0"/>
      <w:marBottom w:val="0"/>
      <w:divBdr>
        <w:top w:val="none" w:sz="0" w:space="0" w:color="auto"/>
        <w:left w:val="none" w:sz="0" w:space="0" w:color="auto"/>
        <w:bottom w:val="none" w:sz="0" w:space="0" w:color="auto"/>
        <w:right w:val="none" w:sz="0" w:space="0" w:color="auto"/>
      </w:divBdr>
    </w:div>
    <w:div w:id="304357900">
      <w:bodyDiv w:val="1"/>
      <w:marLeft w:val="0"/>
      <w:marRight w:val="0"/>
      <w:marTop w:val="0"/>
      <w:marBottom w:val="0"/>
      <w:divBdr>
        <w:top w:val="none" w:sz="0" w:space="0" w:color="auto"/>
        <w:left w:val="none" w:sz="0" w:space="0" w:color="auto"/>
        <w:bottom w:val="none" w:sz="0" w:space="0" w:color="auto"/>
        <w:right w:val="none" w:sz="0" w:space="0" w:color="auto"/>
      </w:divBdr>
    </w:div>
    <w:div w:id="304429334">
      <w:bodyDiv w:val="1"/>
      <w:marLeft w:val="0"/>
      <w:marRight w:val="0"/>
      <w:marTop w:val="0"/>
      <w:marBottom w:val="0"/>
      <w:divBdr>
        <w:top w:val="none" w:sz="0" w:space="0" w:color="auto"/>
        <w:left w:val="none" w:sz="0" w:space="0" w:color="auto"/>
        <w:bottom w:val="none" w:sz="0" w:space="0" w:color="auto"/>
        <w:right w:val="none" w:sz="0" w:space="0" w:color="auto"/>
      </w:divBdr>
    </w:div>
    <w:div w:id="304433762">
      <w:bodyDiv w:val="1"/>
      <w:marLeft w:val="0"/>
      <w:marRight w:val="0"/>
      <w:marTop w:val="0"/>
      <w:marBottom w:val="0"/>
      <w:divBdr>
        <w:top w:val="none" w:sz="0" w:space="0" w:color="auto"/>
        <w:left w:val="none" w:sz="0" w:space="0" w:color="auto"/>
        <w:bottom w:val="none" w:sz="0" w:space="0" w:color="auto"/>
        <w:right w:val="none" w:sz="0" w:space="0" w:color="auto"/>
      </w:divBdr>
    </w:div>
    <w:div w:id="304434481">
      <w:bodyDiv w:val="1"/>
      <w:marLeft w:val="0"/>
      <w:marRight w:val="0"/>
      <w:marTop w:val="0"/>
      <w:marBottom w:val="0"/>
      <w:divBdr>
        <w:top w:val="none" w:sz="0" w:space="0" w:color="auto"/>
        <w:left w:val="none" w:sz="0" w:space="0" w:color="auto"/>
        <w:bottom w:val="none" w:sz="0" w:space="0" w:color="auto"/>
        <w:right w:val="none" w:sz="0" w:space="0" w:color="auto"/>
      </w:divBdr>
    </w:div>
    <w:div w:id="304895949">
      <w:bodyDiv w:val="1"/>
      <w:marLeft w:val="0"/>
      <w:marRight w:val="0"/>
      <w:marTop w:val="0"/>
      <w:marBottom w:val="0"/>
      <w:divBdr>
        <w:top w:val="none" w:sz="0" w:space="0" w:color="auto"/>
        <w:left w:val="none" w:sz="0" w:space="0" w:color="auto"/>
        <w:bottom w:val="none" w:sz="0" w:space="0" w:color="auto"/>
        <w:right w:val="none" w:sz="0" w:space="0" w:color="auto"/>
      </w:divBdr>
    </w:div>
    <w:div w:id="304896405">
      <w:bodyDiv w:val="1"/>
      <w:marLeft w:val="0"/>
      <w:marRight w:val="0"/>
      <w:marTop w:val="0"/>
      <w:marBottom w:val="0"/>
      <w:divBdr>
        <w:top w:val="none" w:sz="0" w:space="0" w:color="auto"/>
        <w:left w:val="none" w:sz="0" w:space="0" w:color="auto"/>
        <w:bottom w:val="none" w:sz="0" w:space="0" w:color="auto"/>
        <w:right w:val="none" w:sz="0" w:space="0" w:color="auto"/>
      </w:divBdr>
    </w:div>
    <w:div w:id="304967625">
      <w:bodyDiv w:val="1"/>
      <w:marLeft w:val="0"/>
      <w:marRight w:val="0"/>
      <w:marTop w:val="0"/>
      <w:marBottom w:val="0"/>
      <w:divBdr>
        <w:top w:val="none" w:sz="0" w:space="0" w:color="auto"/>
        <w:left w:val="none" w:sz="0" w:space="0" w:color="auto"/>
        <w:bottom w:val="none" w:sz="0" w:space="0" w:color="auto"/>
        <w:right w:val="none" w:sz="0" w:space="0" w:color="auto"/>
      </w:divBdr>
    </w:div>
    <w:div w:id="304970842">
      <w:bodyDiv w:val="1"/>
      <w:marLeft w:val="0"/>
      <w:marRight w:val="0"/>
      <w:marTop w:val="0"/>
      <w:marBottom w:val="0"/>
      <w:divBdr>
        <w:top w:val="none" w:sz="0" w:space="0" w:color="auto"/>
        <w:left w:val="none" w:sz="0" w:space="0" w:color="auto"/>
        <w:bottom w:val="none" w:sz="0" w:space="0" w:color="auto"/>
        <w:right w:val="none" w:sz="0" w:space="0" w:color="auto"/>
      </w:divBdr>
    </w:div>
    <w:div w:id="305089033">
      <w:bodyDiv w:val="1"/>
      <w:marLeft w:val="0"/>
      <w:marRight w:val="0"/>
      <w:marTop w:val="0"/>
      <w:marBottom w:val="0"/>
      <w:divBdr>
        <w:top w:val="none" w:sz="0" w:space="0" w:color="auto"/>
        <w:left w:val="none" w:sz="0" w:space="0" w:color="auto"/>
        <w:bottom w:val="none" w:sz="0" w:space="0" w:color="auto"/>
        <w:right w:val="none" w:sz="0" w:space="0" w:color="auto"/>
      </w:divBdr>
    </w:div>
    <w:div w:id="305092538">
      <w:bodyDiv w:val="1"/>
      <w:marLeft w:val="0"/>
      <w:marRight w:val="0"/>
      <w:marTop w:val="0"/>
      <w:marBottom w:val="0"/>
      <w:divBdr>
        <w:top w:val="none" w:sz="0" w:space="0" w:color="auto"/>
        <w:left w:val="none" w:sz="0" w:space="0" w:color="auto"/>
        <w:bottom w:val="none" w:sz="0" w:space="0" w:color="auto"/>
        <w:right w:val="none" w:sz="0" w:space="0" w:color="auto"/>
      </w:divBdr>
    </w:div>
    <w:div w:id="305167770">
      <w:bodyDiv w:val="1"/>
      <w:marLeft w:val="0"/>
      <w:marRight w:val="0"/>
      <w:marTop w:val="0"/>
      <w:marBottom w:val="0"/>
      <w:divBdr>
        <w:top w:val="none" w:sz="0" w:space="0" w:color="auto"/>
        <w:left w:val="none" w:sz="0" w:space="0" w:color="auto"/>
        <w:bottom w:val="none" w:sz="0" w:space="0" w:color="auto"/>
        <w:right w:val="none" w:sz="0" w:space="0" w:color="auto"/>
      </w:divBdr>
    </w:div>
    <w:div w:id="305167986">
      <w:bodyDiv w:val="1"/>
      <w:marLeft w:val="0"/>
      <w:marRight w:val="0"/>
      <w:marTop w:val="0"/>
      <w:marBottom w:val="0"/>
      <w:divBdr>
        <w:top w:val="none" w:sz="0" w:space="0" w:color="auto"/>
        <w:left w:val="none" w:sz="0" w:space="0" w:color="auto"/>
        <w:bottom w:val="none" w:sz="0" w:space="0" w:color="auto"/>
        <w:right w:val="none" w:sz="0" w:space="0" w:color="auto"/>
      </w:divBdr>
    </w:div>
    <w:div w:id="305208448">
      <w:bodyDiv w:val="1"/>
      <w:marLeft w:val="0"/>
      <w:marRight w:val="0"/>
      <w:marTop w:val="0"/>
      <w:marBottom w:val="0"/>
      <w:divBdr>
        <w:top w:val="none" w:sz="0" w:space="0" w:color="auto"/>
        <w:left w:val="none" w:sz="0" w:space="0" w:color="auto"/>
        <w:bottom w:val="none" w:sz="0" w:space="0" w:color="auto"/>
        <w:right w:val="none" w:sz="0" w:space="0" w:color="auto"/>
      </w:divBdr>
    </w:div>
    <w:div w:id="305277198">
      <w:bodyDiv w:val="1"/>
      <w:marLeft w:val="0"/>
      <w:marRight w:val="0"/>
      <w:marTop w:val="0"/>
      <w:marBottom w:val="0"/>
      <w:divBdr>
        <w:top w:val="none" w:sz="0" w:space="0" w:color="auto"/>
        <w:left w:val="none" w:sz="0" w:space="0" w:color="auto"/>
        <w:bottom w:val="none" w:sz="0" w:space="0" w:color="auto"/>
        <w:right w:val="none" w:sz="0" w:space="0" w:color="auto"/>
      </w:divBdr>
    </w:div>
    <w:div w:id="305285631">
      <w:bodyDiv w:val="1"/>
      <w:marLeft w:val="0"/>
      <w:marRight w:val="0"/>
      <w:marTop w:val="0"/>
      <w:marBottom w:val="0"/>
      <w:divBdr>
        <w:top w:val="none" w:sz="0" w:space="0" w:color="auto"/>
        <w:left w:val="none" w:sz="0" w:space="0" w:color="auto"/>
        <w:bottom w:val="none" w:sz="0" w:space="0" w:color="auto"/>
        <w:right w:val="none" w:sz="0" w:space="0" w:color="auto"/>
      </w:divBdr>
    </w:div>
    <w:div w:id="305356066">
      <w:bodyDiv w:val="1"/>
      <w:marLeft w:val="0"/>
      <w:marRight w:val="0"/>
      <w:marTop w:val="0"/>
      <w:marBottom w:val="0"/>
      <w:divBdr>
        <w:top w:val="none" w:sz="0" w:space="0" w:color="auto"/>
        <w:left w:val="none" w:sz="0" w:space="0" w:color="auto"/>
        <w:bottom w:val="none" w:sz="0" w:space="0" w:color="auto"/>
        <w:right w:val="none" w:sz="0" w:space="0" w:color="auto"/>
      </w:divBdr>
    </w:div>
    <w:div w:id="305430105">
      <w:bodyDiv w:val="1"/>
      <w:marLeft w:val="0"/>
      <w:marRight w:val="0"/>
      <w:marTop w:val="0"/>
      <w:marBottom w:val="0"/>
      <w:divBdr>
        <w:top w:val="none" w:sz="0" w:space="0" w:color="auto"/>
        <w:left w:val="none" w:sz="0" w:space="0" w:color="auto"/>
        <w:bottom w:val="none" w:sz="0" w:space="0" w:color="auto"/>
        <w:right w:val="none" w:sz="0" w:space="0" w:color="auto"/>
      </w:divBdr>
    </w:div>
    <w:div w:id="305546895">
      <w:bodyDiv w:val="1"/>
      <w:marLeft w:val="0"/>
      <w:marRight w:val="0"/>
      <w:marTop w:val="0"/>
      <w:marBottom w:val="0"/>
      <w:divBdr>
        <w:top w:val="none" w:sz="0" w:space="0" w:color="auto"/>
        <w:left w:val="none" w:sz="0" w:space="0" w:color="auto"/>
        <w:bottom w:val="none" w:sz="0" w:space="0" w:color="auto"/>
        <w:right w:val="none" w:sz="0" w:space="0" w:color="auto"/>
      </w:divBdr>
    </w:div>
    <w:div w:id="305622169">
      <w:bodyDiv w:val="1"/>
      <w:marLeft w:val="0"/>
      <w:marRight w:val="0"/>
      <w:marTop w:val="0"/>
      <w:marBottom w:val="0"/>
      <w:divBdr>
        <w:top w:val="none" w:sz="0" w:space="0" w:color="auto"/>
        <w:left w:val="none" w:sz="0" w:space="0" w:color="auto"/>
        <w:bottom w:val="none" w:sz="0" w:space="0" w:color="auto"/>
        <w:right w:val="none" w:sz="0" w:space="0" w:color="auto"/>
      </w:divBdr>
    </w:div>
    <w:div w:id="305747672">
      <w:bodyDiv w:val="1"/>
      <w:marLeft w:val="0"/>
      <w:marRight w:val="0"/>
      <w:marTop w:val="0"/>
      <w:marBottom w:val="0"/>
      <w:divBdr>
        <w:top w:val="none" w:sz="0" w:space="0" w:color="auto"/>
        <w:left w:val="none" w:sz="0" w:space="0" w:color="auto"/>
        <w:bottom w:val="none" w:sz="0" w:space="0" w:color="auto"/>
        <w:right w:val="none" w:sz="0" w:space="0" w:color="auto"/>
      </w:divBdr>
    </w:div>
    <w:div w:id="305748754">
      <w:bodyDiv w:val="1"/>
      <w:marLeft w:val="0"/>
      <w:marRight w:val="0"/>
      <w:marTop w:val="0"/>
      <w:marBottom w:val="0"/>
      <w:divBdr>
        <w:top w:val="none" w:sz="0" w:space="0" w:color="auto"/>
        <w:left w:val="none" w:sz="0" w:space="0" w:color="auto"/>
        <w:bottom w:val="none" w:sz="0" w:space="0" w:color="auto"/>
        <w:right w:val="none" w:sz="0" w:space="0" w:color="auto"/>
      </w:divBdr>
    </w:div>
    <w:div w:id="305858149">
      <w:bodyDiv w:val="1"/>
      <w:marLeft w:val="0"/>
      <w:marRight w:val="0"/>
      <w:marTop w:val="0"/>
      <w:marBottom w:val="0"/>
      <w:divBdr>
        <w:top w:val="none" w:sz="0" w:space="0" w:color="auto"/>
        <w:left w:val="none" w:sz="0" w:space="0" w:color="auto"/>
        <w:bottom w:val="none" w:sz="0" w:space="0" w:color="auto"/>
        <w:right w:val="none" w:sz="0" w:space="0" w:color="auto"/>
      </w:divBdr>
    </w:div>
    <w:div w:id="305860246">
      <w:bodyDiv w:val="1"/>
      <w:marLeft w:val="0"/>
      <w:marRight w:val="0"/>
      <w:marTop w:val="0"/>
      <w:marBottom w:val="0"/>
      <w:divBdr>
        <w:top w:val="none" w:sz="0" w:space="0" w:color="auto"/>
        <w:left w:val="none" w:sz="0" w:space="0" w:color="auto"/>
        <w:bottom w:val="none" w:sz="0" w:space="0" w:color="auto"/>
        <w:right w:val="none" w:sz="0" w:space="0" w:color="auto"/>
      </w:divBdr>
    </w:div>
    <w:div w:id="305863218">
      <w:bodyDiv w:val="1"/>
      <w:marLeft w:val="0"/>
      <w:marRight w:val="0"/>
      <w:marTop w:val="0"/>
      <w:marBottom w:val="0"/>
      <w:divBdr>
        <w:top w:val="none" w:sz="0" w:space="0" w:color="auto"/>
        <w:left w:val="none" w:sz="0" w:space="0" w:color="auto"/>
        <w:bottom w:val="none" w:sz="0" w:space="0" w:color="auto"/>
        <w:right w:val="none" w:sz="0" w:space="0" w:color="auto"/>
      </w:divBdr>
    </w:div>
    <w:div w:id="306057881">
      <w:bodyDiv w:val="1"/>
      <w:marLeft w:val="0"/>
      <w:marRight w:val="0"/>
      <w:marTop w:val="0"/>
      <w:marBottom w:val="0"/>
      <w:divBdr>
        <w:top w:val="none" w:sz="0" w:space="0" w:color="auto"/>
        <w:left w:val="none" w:sz="0" w:space="0" w:color="auto"/>
        <w:bottom w:val="none" w:sz="0" w:space="0" w:color="auto"/>
        <w:right w:val="none" w:sz="0" w:space="0" w:color="auto"/>
      </w:divBdr>
    </w:div>
    <w:div w:id="306085699">
      <w:bodyDiv w:val="1"/>
      <w:marLeft w:val="0"/>
      <w:marRight w:val="0"/>
      <w:marTop w:val="0"/>
      <w:marBottom w:val="0"/>
      <w:divBdr>
        <w:top w:val="none" w:sz="0" w:space="0" w:color="auto"/>
        <w:left w:val="none" w:sz="0" w:space="0" w:color="auto"/>
        <w:bottom w:val="none" w:sz="0" w:space="0" w:color="auto"/>
        <w:right w:val="none" w:sz="0" w:space="0" w:color="auto"/>
      </w:divBdr>
    </w:div>
    <w:div w:id="306085803">
      <w:bodyDiv w:val="1"/>
      <w:marLeft w:val="0"/>
      <w:marRight w:val="0"/>
      <w:marTop w:val="0"/>
      <w:marBottom w:val="0"/>
      <w:divBdr>
        <w:top w:val="none" w:sz="0" w:space="0" w:color="auto"/>
        <w:left w:val="none" w:sz="0" w:space="0" w:color="auto"/>
        <w:bottom w:val="none" w:sz="0" w:space="0" w:color="auto"/>
        <w:right w:val="none" w:sz="0" w:space="0" w:color="auto"/>
      </w:divBdr>
    </w:div>
    <w:div w:id="306204433">
      <w:bodyDiv w:val="1"/>
      <w:marLeft w:val="0"/>
      <w:marRight w:val="0"/>
      <w:marTop w:val="0"/>
      <w:marBottom w:val="0"/>
      <w:divBdr>
        <w:top w:val="none" w:sz="0" w:space="0" w:color="auto"/>
        <w:left w:val="none" w:sz="0" w:space="0" w:color="auto"/>
        <w:bottom w:val="none" w:sz="0" w:space="0" w:color="auto"/>
        <w:right w:val="none" w:sz="0" w:space="0" w:color="auto"/>
      </w:divBdr>
    </w:div>
    <w:div w:id="306208545">
      <w:bodyDiv w:val="1"/>
      <w:marLeft w:val="0"/>
      <w:marRight w:val="0"/>
      <w:marTop w:val="0"/>
      <w:marBottom w:val="0"/>
      <w:divBdr>
        <w:top w:val="none" w:sz="0" w:space="0" w:color="auto"/>
        <w:left w:val="none" w:sz="0" w:space="0" w:color="auto"/>
        <w:bottom w:val="none" w:sz="0" w:space="0" w:color="auto"/>
        <w:right w:val="none" w:sz="0" w:space="0" w:color="auto"/>
      </w:divBdr>
    </w:div>
    <w:div w:id="306395385">
      <w:bodyDiv w:val="1"/>
      <w:marLeft w:val="0"/>
      <w:marRight w:val="0"/>
      <w:marTop w:val="0"/>
      <w:marBottom w:val="0"/>
      <w:divBdr>
        <w:top w:val="none" w:sz="0" w:space="0" w:color="auto"/>
        <w:left w:val="none" w:sz="0" w:space="0" w:color="auto"/>
        <w:bottom w:val="none" w:sz="0" w:space="0" w:color="auto"/>
        <w:right w:val="none" w:sz="0" w:space="0" w:color="auto"/>
      </w:divBdr>
    </w:div>
    <w:div w:id="306786717">
      <w:bodyDiv w:val="1"/>
      <w:marLeft w:val="0"/>
      <w:marRight w:val="0"/>
      <w:marTop w:val="0"/>
      <w:marBottom w:val="0"/>
      <w:divBdr>
        <w:top w:val="none" w:sz="0" w:space="0" w:color="auto"/>
        <w:left w:val="none" w:sz="0" w:space="0" w:color="auto"/>
        <w:bottom w:val="none" w:sz="0" w:space="0" w:color="auto"/>
        <w:right w:val="none" w:sz="0" w:space="0" w:color="auto"/>
      </w:divBdr>
    </w:div>
    <w:div w:id="306863106">
      <w:bodyDiv w:val="1"/>
      <w:marLeft w:val="0"/>
      <w:marRight w:val="0"/>
      <w:marTop w:val="0"/>
      <w:marBottom w:val="0"/>
      <w:divBdr>
        <w:top w:val="none" w:sz="0" w:space="0" w:color="auto"/>
        <w:left w:val="none" w:sz="0" w:space="0" w:color="auto"/>
        <w:bottom w:val="none" w:sz="0" w:space="0" w:color="auto"/>
        <w:right w:val="none" w:sz="0" w:space="0" w:color="auto"/>
      </w:divBdr>
    </w:div>
    <w:div w:id="306864419">
      <w:bodyDiv w:val="1"/>
      <w:marLeft w:val="0"/>
      <w:marRight w:val="0"/>
      <w:marTop w:val="0"/>
      <w:marBottom w:val="0"/>
      <w:divBdr>
        <w:top w:val="none" w:sz="0" w:space="0" w:color="auto"/>
        <w:left w:val="none" w:sz="0" w:space="0" w:color="auto"/>
        <w:bottom w:val="none" w:sz="0" w:space="0" w:color="auto"/>
        <w:right w:val="none" w:sz="0" w:space="0" w:color="auto"/>
      </w:divBdr>
    </w:div>
    <w:div w:id="306937475">
      <w:bodyDiv w:val="1"/>
      <w:marLeft w:val="0"/>
      <w:marRight w:val="0"/>
      <w:marTop w:val="0"/>
      <w:marBottom w:val="0"/>
      <w:divBdr>
        <w:top w:val="none" w:sz="0" w:space="0" w:color="auto"/>
        <w:left w:val="none" w:sz="0" w:space="0" w:color="auto"/>
        <w:bottom w:val="none" w:sz="0" w:space="0" w:color="auto"/>
        <w:right w:val="none" w:sz="0" w:space="0" w:color="auto"/>
      </w:divBdr>
    </w:div>
    <w:div w:id="307058130">
      <w:bodyDiv w:val="1"/>
      <w:marLeft w:val="0"/>
      <w:marRight w:val="0"/>
      <w:marTop w:val="0"/>
      <w:marBottom w:val="0"/>
      <w:divBdr>
        <w:top w:val="none" w:sz="0" w:space="0" w:color="auto"/>
        <w:left w:val="none" w:sz="0" w:space="0" w:color="auto"/>
        <w:bottom w:val="none" w:sz="0" w:space="0" w:color="auto"/>
        <w:right w:val="none" w:sz="0" w:space="0" w:color="auto"/>
      </w:divBdr>
    </w:div>
    <w:div w:id="307321107">
      <w:bodyDiv w:val="1"/>
      <w:marLeft w:val="0"/>
      <w:marRight w:val="0"/>
      <w:marTop w:val="0"/>
      <w:marBottom w:val="0"/>
      <w:divBdr>
        <w:top w:val="none" w:sz="0" w:space="0" w:color="auto"/>
        <w:left w:val="none" w:sz="0" w:space="0" w:color="auto"/>
        <w:bottom w:val="none" w:sz="0" w:space="0" w:color="auto"/>
        <w:right w:val="none" w:sz="0" w:space="0" w:color="auto"/>
      </w:divBdr>
    </w:div>
    <w:div w:id="307511574">
      <w:bodyDiv w:val="1"/>
      <w:marLeft w:val="0"/>
      <w:marRight w:val="0"/>
      <w:marTop w:val="0"/>
      <w:marBottom w:val="0"/>
      <w:divBdr>
        <w:top w:val="none" w:sz="0" w:space="0" w:color="auto"/>
        <w:left w:val="none" w:sz="0" w:space="0" w:color="auto"/>
        <w:bottom w:val="none" w:sz="0" w:space="0" w:color="auto"/>
        <w:right w:val="none" w:sz="0" w:space="0" w:color="auto"/>
      </w:divBdr>
    </w:div>
    <w:div w:id="307514717">
      <w:bodyDiv w:val="1"/>
      <w:marLeft w:val="0"/>
      <w:marRight w:val="0"/>
      <w:marTop w:val="0"/>
      <w:marBottom w:val="0"/>
      <w:divBdr>
        <w:top w:val="none" w:sz="0" w:space="0" w:color="auto"/>
        <w:left w:val="none" w:sz="0" w:space="0" w:color="auto"/>
        <w:bottom w:val="none" w:sz="0" w:space="0" w:color="auto"/>
        <w:right w:val="none" w:sz="0" w:space="0" w:color="auto"/>
      </w:divBdr>
    </w:div>
    <w:div w:id="307592085">
      <w:bodyDiv w:val="1"/>
      <w:marLeft w:val="0"/>
      <w:marRight w:val="0"/>
      <w:marTop w:val="0"/>
      <w:marBottom w:val="0"/>
      <w:divBdr>
        <w:top w:val="none" w:sz="0" w:space="0" w:color="auto"/>
        <w:left w:val="none" w:sz="0" w:space="0" w:color="auto"/>
        <w:bottom w:val="none" w:sz="0" w:space="0" w:color="auto"/>
        <w:right w:val="none" w:sz="0" w:space="0" w:color="auto"/>
      </w:divBdr>
    </w:div>
    <w:div w:id="307638982">
      <w:bodyDiv w:val="1"/>
      <w:marLeft w:val="0"/>
      <w:marRight w:val="0"/>
      <w:marTop w:val="0"/>
      <w:marBottom w:val="0"/>
      <w:divBdr>
        <w:top w:val="none" w:sz="0" w:space="0" w:color="auto"/>
        <w:left w:val="none" w:sz="0" w:space="0" w:color="auto"/>
        <w:bottom w:val="none" w:sz="0" w:space="0" w:color="auto"/>
        <w:right w:val="none" w:sz="0" w:space="0" w:color="auto"/>
      </w:divBdr>
    </w:div>
    <w:div w:id="307903536">
      <w:bodyDiv w:val="1"/>
      <w:marLeft w:val="0"/>
      <w:marRight w:val="0"/>
      <w:marTop w:val="0"/>
      <w:marBottom w:val="0"/>
      <w:divBdr>
        <w:top w:val="none" w:sz="0" w:space="0" w:color="auto"/>
        <w:left w:val="none" w:sz="0" w:space="0" w:color="auto"/>
        <w:bottom w:val="none" w:sz="0" w:space="0" w:color="auto"/>
        <w:right w:val="none" w:sz="0" w:space="0" w:color="auto"/>
      </w:divBdr>
    </w:div>
    <w:div w:id="307974112">
      <w:bodyDiv w:val="1"/>
      <w:marLeft w:val="0"/>
      <w:marRight w:val="0"/>
      <w:marTop w:val="0"/>
      <w:marBottom w:val="0"/>
      <w:divBdr>
        <w:top w:val="none" w:sz="0" w:space="0" w:color="auto"/>
        <w:left w:val="none" w:sz="0" w:space="0" w:color="auto"/>
        <w:bottom w:val="none" w:sz="0" w:space="0" w:color="auto"/>
        <w:right w:val="none" w:sz="0" w:space="0" w:color="auto"/>
      </w:divBdr>
    </w:div>
    <w:div w:id="307983081">
      <w:bodyDiv w:val="1"/>
      <w:marLeft w:val="0"/>
      <w:marRight w:val="0"/>
      <w:marTop w:val="0"/>
      <w:marBottom w:val="0"/>
      <w:divBdr>
        <w:top w:val="none" w:sz="0" w:space="0" w:color="auto"/>
        <w:left w:val="none" w:sz="0" w:space="0" w:color="auto"/>
        <w:bottom w:val="none" w:sz="0" w:space="0" w:color="auto"/>
        <w:right w:val="none" w:sz="0" w:space="0" w:color="auto"/>
      </w:divBdr>
    </w:div>
    <w:div w:id="308023631">
      <w:bodyDiv w:val="1"/>
      <w:marLeft w:val="0"/>
      <w:marRight w:val="0"/>
      <w:marTop w:val="0"/>
      <w:marBottom w:val="0"/>
      <w:divBdr>
        <w:top w:val="none" w:sz="0" w:space="0" w:color="auto"/>
        <w:left w:val="none" w:sz="0" w:space="0" w:color="auto"/>
        <w:bottom w:val="none" w:sz="0" w:space="0" w:color="auto"/>
        <w:right w:val="none" w:sz="0" w:space="0" w:color="auto"/>
      </w:divBdr>
    </w:div>
    <w:div w:id="308174529">
      <w:bodyDiv w:val="1"/>
      <w:marLeft w:val="0"/>
      <w:marRight w:val="0"/>
      <w:marTop w:val="0"/>
      <w:marBottom w:val="0"/>
      <w:divBdr>
        <w:top w:val="none" w:sz="0" w:space="0" w:color="auto"/>
        <w:left w:val="none" w:sz="0" w:space="0" w:color="auto"/>
        <w:bottom w:val="none" w:sz="0" w:space="0" w:color="auto"/>
        <w:right w:val="none" w:sz="0" w:space="0" w:color="auto"/>
      </w:divBdr>
    </w:div>
    <w:div w:id="308246318">
      <w:bodyDiv w:val="1"/>
      <w:marLeft w:val="0"/>
      <w:marRight w:val="0"/>
      <w:marTop w:val="0"/>
      <w:marBottom w:val="0"/>
      <w:divBdr>
        <w:top w:val="none" w:sz="0" w:space="0" w:color="auto"/>
        <w:left w:val="none" w:sz="0" w:space="0" w:color="auto"/>
        <w:bottom w:val="none" w:sz="0" w:space="0" w:color="auto"/>
        <w:right w:val="none" w:sz="0" w:space="0" w:color="auto"/>
      </w:divBdr>
    </w:div>
    <w:div w:id="308286253">
      <w:bodyDiv w:val="1"/>
      <w:marLeft w:val="0"/>
      <w:marRight w:val="0"/>
      <w:marTop w:val="0"/>
      <w:marBottom w:val="0"/>
      <w:divBdr>
        <w:top w:val="none" w:sz="0" w:space="0" w:color="auto"/>
        <w:left w:val="none" w:sz="0" w:space="0" w:color="auto"/>
        <w:bottom w:val="none" w:sz="0" w:space="0" w:color="auto"/>
        <w:right w:val="none" w:sz="0" w:space="0" w:color="auto"/>
      </w:divBdr>
    </w:div>
    <w:div w:id="308290697">
      <w:bodyDiv w:val="1"/>
      <w:marLeft w:val="0"/>
      <w:marRight w:val="0"/>
      <w:marTop w:val="0"/>
      <w:marBottom w:val="0"/>
      <w:divBdr>
        <w:top w:val="none" w:sz="0" w:space="0" w:color="auto"/>
        <w:left w:val="none" w:sz="0" w:space="0" w:color="auto"/>
        <w:bottom w:val="none" w:sz="0" w:space="0" w:color="auto"/>
        <w:right w:val="none" w:sz="0" w:space="0" w:color="auto"/>
      </w:divBdr>
    </w:div>
    <w:div w:id="308291474">
      <w:bodyDiv w:val="1"/>
      <w:marLeft w:val="0"/>
      <w:marRight w:val="0"/>
      <w:marTop w:val="0"/>
      <w:marBottom w:val="0"/>
      <w:divBdr>
        <w:top w:val="none" w:sz="0" w:space="0" w:color="auto"/>
        <w:left w:val="none" w:sz="0" w:space="0" w:color="auto"/>
        <w:bottom w:val="none" w:sz="0" w:space="0" w:color="auto"/>
        <w:right w:val="none" w:sz="0" w:space="0" w:color="auto"/>
      </w:divBdr>
    </w:div>
    <w:div w:id="308436288">
      <w:bodyDiv w:val="1"/>
      <w:marLeft w:val="0"/>
      <w:marRight w:val="0"/>
      <w:marTop w:val="0"/>
      <w:marBottom w:val="0"/>
      <w:divBdr>
        <w:top w:val="none" w:sz="0" w:space="0" w:color="auto"/>
        <w:left w:val="none" w:sz="0" w:space="0" w:color="auto"/>
        <w:bottom w:val="none" w:sz="0" w:space="0" w:color="auto"/>
        <w:right w:val="none" w:sz="0" w:space="0" w:color="auto"/>
      </w:divBdr>
    </w:div>
    <w:div w:id="308442462">
      <w:bodyDiv w:val="1"/>
      <w:marLeft w:val="0"/>
      <w:marRight w:val="0"/>
      <w:marTop w:val="0"/>
      <w:marBottom w:val="0"/>
      <w:divBdr>
        <w:top w:val="none" w:sz="0" w:space="0" w:color="auto"/>
        <w:left w:val="none" w:sz="0" w:space="0" w:color="auto"/>
        <w:bottom w:val="none" w:sz="0" w:space="0" w:color="auto"/>
        <w:right w:val="none" w:sz="0" w:space="0" w:color="auto"/>
      </w:divBdr>
    </w:div>
    <w:div w:id="308482611">
      <w:bodyDiv w:val="1"/>
      <w:marLeft w:val="0"/>
      <w:marRight w:val="0"/>
      <w:marTop w:val="0"/>
      <w:marBottom w:val="0"/>
      <w:divBdr>
        <w:top w:val="none" w:sz="0" w:space="0" w:color="auto"/>
        <w:left w:val="none" w:sz="0" w:space="0" w:color="auto"/>
        <w:bottom w:val="none" w:sz="0" w:space="0" w:color="auto"/>
        <w:right w:val="none" w:sz="0" w:space="0" w:color="auto"/>
      </w:divBdr>
    </w:div>
    <w:div w:id="308486789">
      <w:bodyDiv w:val="1"/>
      <w:marLeft w:val="0"/>
      <w:marRight w:val="0"/>
      <w:marTop w:val="0"/>
      <w:marBottom w:val="0"/>
      <w:divBdr>
        <w:top w:val="none" w:sz="0" w:space="0" w:color="auto"/>
        <w:left w:val="none" w:sz="0" w:space="0" w:color="auto"/>
        <w:bottom w:val="none" w:sz="0" w:space="0" w:color="auto"/>
        <w:right w:val="none" w:sz="0" w:space="0" w:color="auto"/>
      </w:divBdr>
    </w:div>
    <w:div w:id="308487473">
      <w:bodyDiv w:val="1"/>
      <w:marLeft w:val="0"/>
      <w:marRight w:val="0"/>
      <w:marTop w:val="0"/>
      <w:marBottom w:val="0"/>
      <w:divBdr>
        <w:top w:val="none" w:sz="0" w:space="0" w:color="auto"/>
        <w:left w:val="none" w:sz="0" w:space="0" w:color="auto"/>
        <w:bottom w:val="none" w:sz="0" w:space="0" w:color="auto"/>
        <w:right w:val="none" w:sz="0" w:space="0" w:color="auto"/>
      </w:divBdr>
    </w:div>
    <w:div w:id="308629639">
      <w:bodyDiv w:val="1"/>
      <w:marLeft w:val="0"/>
      <w:marRight w:val="0"/>
      <w:marTop w:val="0"/>
      <w:marBottom w:val="0"/>
      <w:divBdr>
        <w:top w:val="none" w:sz="0" w:space="0" w:color="auto"/>
        <w:left w:val="none" w:sz="0" w:space="0" w:color="auto"/>
        <w:bottom w:val="none" w:sz="0" w:space="0" w:color="auto"/>
        <w:right w:val="none" w:sz="0" w:space="0" w:color="auto"/>
      </w:divBdr>
    </w:div>
    <w:div w:id="308635801">
      <w:bodyDiv w:val="1"/>
      <w:marLeft w:val="0"/>
      <w:marRight w:val="0"/>
      <w:marTop w:val="0"/>
      <w:marBottom w:val="0"/>
      <w:divBdr>
        <w:top w:val="none" w:sz="0" w:space="0" w:color="auto"/>
        <w:left w:val="none" w:sz="0" w:space="0" w:color="auto"/>
        <w:bottom w:val="none" w:sz="0" w:space="0" w:color="auto"/>
        <w:right w:val="none" w:sz="0" w:space="0" w:color="auto"/>
      </w:divBdr>
    </w:div>
    <w:div w:id="308637711">
      <w:bodyDiv w:val="1"/>
      <w:marLeft w:val="0"/>
      <w:marRight w:val="0"/>
      <w:marTop w:val="0"/>
      <w:marBottom w:val="0"/>
      <w:divBdr>
        <w:top w:val="none" w:sz="0" w:space="0" w:color="auto"/>
        <w:left w:val="none" w:sz="0" w:space="0" w:color="auto"/>
        <w:bottom w:val="none" w:sz="0" w:space="0" w:color="auto"/>
        <w:right w:val="none" w:sz="0" w:space="0" w:color="auto"/>
      </w:divBdr>
    </w:div>
    <w:div w:id="308755996">
      <w:bodyDiv w:val="1"/>
      <w:marLeft w:val="0"/>
      <w:marRight w:val="0"/>
      <w:marTop w:val="0"/>
      <w:marBottom w:val="0"/>
      <w:divBdr>
        <w:top w:val="none" w:sz="0" w:space="0" w:color="auto"/>
        <w:left w:val="none" w:sz="0" w:space="0" w:color="auto"/>
        <w:bottom w:val="none" w:sz="0" w:space="0" w:color="auto"/>
        <w:right w:val="none" w:sz="0" w:space="0" w:color="auto"/>
      </w:divBdr>
    </w:div>
    <w:div w:id="308899244">
      <w:bodyDiv w:val="1"/>
      <w:marLeft w:val="0"/>
      <w:marRight w:val="0"/>
      <w:marTop w:val="0"/>
      <w:marBottom w:val="0"/>
      <w:divBdr>
        <w:top w:val="none" w:sz="0" w:space="0" w:color="auto"/>
        <w:left w:val="none" w:sz="0" w:space="0" w:color="auto"/>
        <w:bottom w:val="none" w:sz="0" w:space="0" w:color="auto"/>
        <w:right w:val="none" w:sz="0" w:space="0" w:color="auto"/>
      </w:divBdr>
    </w:div>
    <w:div w:id="309330815">
      <w:bodyDiv w:val="1"/>
      <w:marLeft w:val="0"/>
      <w:marRight w:val="0"/>
      <w:marTop w:val="0"/>
      <w:marBottom w:val="0"/>
      <w:divBdr>
        <w:top w:val="none" w:sz="0" w:space="0" w:color="auto"/>
        <w:left w:val="none" w:sz="0" w:space="0" w:color="auto"/>
        <w:bottom w:val="none" w:sz="0" w:space="0" w:color="auto"/>
        <w:right w:val="none" w:sz="0" w:space="0" w:color="auto"/>
      </w:divBdr>
    </w:div>
    <w:div w:id="309332285">
      <w:bodyDiv w:val="1"/>
      <w:marLeft w:val="0"/>
      <w:marRight w:val="0"/>
      <w:marTop w:val="0"/>
      <w:marBottom w:val="0"/>
      <w:divBdr>
        <w:top w:val="none" w:sz="0" w:space="0" w:color="auto"/>
        <w:left w:val="none" w:sz="0" w:space="0" w:color="auto"/>
        <w:bottom w:val="none" w:sz="0" w:space="0" w:color="auto"/>
        <w:right w:val="none" w:sz="0" w:space="0" w:color="auto"/>
      </w:divBdr>
    </w:div>
    <w:div w:id="309362346">
      <w:bodyDiv w:val="1"/>
      <w:marLeft w:val="0"/>
      <w:marRight w:val="0"/>
      <w:marTop w:val="0"/>
      <w:marBottom w:val="0"/>
      <w:divBdr>
        <w:top w:val="none" w:sz="0" w:space="0" w:color="auto"/>
        <w:left w:val="none" w:sz="0" w:space="0" w:color="auto"/>
        <w:bottom w:val="none" w:sz="0" w:space="0" w:color="auto"/>
        <w:right w:val="none" w:sz="0" w:space="0" w:color="auto"/>
      </w:divBdr>
    </w:div>
    <w:div w:id="309672019">
      <w:bodyDiv w:val="1"/>
      <w:marLeft w:val="0"/>
      <w:marRight w:val="0"/>
      <w:marTop w:val="0"/>
      <w:marBottom w:val="0"/>
      <w:divBdr>
        <w:top w:val="none" w:sz="0" w:space="0" w:color="auto"/>
        <w:left w:val="none" w:sz="0" w:space="0" w:color="auto"/>
        <w:bottom w:val="none" w:sz="0" w:space="0" w:color="auto"/>
        <w:right w:val="none" w:sz="0" w:space="0" w:color="auto"/>
      </w:divBdr>
    </w:div>
    <w:div w:id="309677947">
      <w:bodyDiv w:val="1"/>
      <w:marLeft w:val="0"/>
      <w:marRight w:val="0"/>
      <w:marTop w:val="0"/>
      <w:marBottom w:val="0"/>
      <w:divBdr>
        <w:top w:val="none" w:sz="0" w:space="0" w:color="auto"/>
        <w:left w:val="none" w:sz="0" w:space="0" w:color="auto"/>
        <w:bottom w:val="none" w:sz="0" w:space="0" w:color="auto"/>
        <w:right w:val="none" w:sz="0" w:space="0" w:color="auto"/>
      </w:divBdr>
    </w:div>
    <w:div w:id="309678708">
      <w:bodyDiv w:val="1"/>
      <w:marLeft w:val="0"/>
      <w:marRight w:val="0"/>
      <w:marTop w:val="0"/>
      <w:marBottom w:val="0"/>
      <w:divBdr>
        <w:top w:val="none" w:sz="0" w:space="0" w:color="auto"/>
        <w:left w:val="none" w:sz="0" w:space="0" w:color="auto"/>
        <w:bottom w:val="none" w:sz="0" w:space="0" w:color="auto"/>
        <w:right w:val="none" w:sz="0" w:space="0" w:color="auto"/>
      </w:divBdr>
    </w:div>
    <w:div w:id="309789819">
      <w:bodyDiv w:val="1"/>
      <w:marLeft w:val="0"/>
      <w:marRight w:val="0"/>
      <w:marTop w:val="0"/>
      <w:marBottom w:val="0"/>
      <w:divBdr>
        <w:top w:val="none" w:sz="0" w:space="0" w:color="auto"/>
        <w:left w:val="none" w:sz="0" w:space="0" w:color="auto"/>
        <w:bottom w:val="none" w:sz="0" w:space="0" w:color="auto"/>
        <w:right w:val="none" w:sz="0" w:space="0" w:color="auto"/>
      </w:divBdr>
    </w:div>
    <w:div w:id="309796034">
      <w:bodyDiv w:val="1"/>
      <w:marLeft w:val="0"/>
      <w:marRight w:val="0"/>
      <w:marTop w:val="0"/>
      <w:marBottom w:val="0"/>
      <w:divBdr>
        <w:top w:val="none" w:sz="0" w:space="0" w:color="auto"/>
        <w:left w:val="none" w:sz="0" w:space="0" w:color="auto"/>
        <w:bottom w:val="none" w:sz="0" w:space="0" w:color="auto"/>
        <w:right w:val="none" w:sz="0" w:space="0" w:color="auto"/>
      </w:divBdr>
    </w:div>
    <w:div w:id="309864775">
      <w:bodyDiv w:val="1"/>
      <w:marLeft w:val="0"/>
      <w:marRight w:val="0"/>
      <w:marTop w:val="0"/>
      <w:marBottom w:val="0"/>
      <w:divBdr>
        <w:top w:val="none" w:sz="0" w:space="0" w:color="auto"/>
        <w:left w:val="none" w:sz="0" w:space="0" w:color="auto"/>
        <w:bottom w:val="none" w:sz="0" w:space="0" w:color="auto"/>
        <w:right w:val="none" w:sz="0" w:space="0" w:color="auto"/>
      </w:divBdr>
    </w:div>
    <w:div w:id="310060953">
      <w:bodyDiv w:val="1"/>
      <w:marLeft w:val="0"/>
      <w:marRight w:val="0"/>
      <w:marTop w:val="0"/>
      <w:marBottom w:val="0"/>
      <w:divBdr>
        <w:top w:val="none" w:sz="0" w:space="0" w:color="auto"/>
        <w:left w:val="none" w:sz="0" w:space="0" w:color="auto"/>
        <w:bottom w:val="none" w:sz="0" w:space="0" w:color="auto"/>
        <w:right w:val="none" w:sz="0" w:space="0" w:color="auto"/>
      </w:divBdr>
    </w:div>
    <w:div w:id="310256779">
      <w:bodyDiv w:val="1"/>
      <w:marLeft w:val="0"/>
      <w:marRight w:val="0"/>
      <w:marTop w:val="0"/>
      <w:marBottom w:val="0"/>
      <w:divBdr>
        <w:top w:val="none" w:sz="0" w:space="0" w:color="auto"/>
        <w:left w:val="none" w:sz="0" w:space="0" w:color="auto"/>
        <w:bottom w:val="none" w:sz="0" w:space="0" w:color="auto"/>
        <w:right w:val="none" w:sz="0" w:space="0" w:color="auto"/>
      </w:divBdr>
    </w:div>
    <w:div w:id="310333754">
      <w:bodyDiv w:val="1"/>
      <w:marLeft w:val="0"/>
      <w:marRight w:val="0"/>
      <w:marTop w:val="0"/>
      <w:marBottom w:val="0"/>
      <w:divBdr>
        <w:top w:val="none" w:sz="0" w:space="0" w:color="auto"/>
        <w:left w:val="none" w:sz="0" w:space="0" w:color="auto"/>
        <w:bottom w:val="none" w:sz="0" w:space="0" w:color="auto"/>
        <w:right w:val="none" w:sz="0" w:space="0" w:color="auto"/>
      </w:divBdr>
    </w:div>
    <w:div w:id="310402707">
      <w:bodyDiv w:val="1"/>
      <w:marLeft w:val="0"/>
      <w:marRight w:val="0"/>
      <w:marTop w:val="0"/>
      <w:marBottom w:val="0"/>
      <w:divBdr>
        <w:top w:val="none" w:sz="0" w:space="0" w:color="auto"/>
        <w:left w:val="none" w:sz="0" w:space="0" w:color="auto"/>
        <w:bottom w:val="none" w:sz="0" w:space="0" w:color="auto"/>
        <w:right w:val="none" w:sz="0" w:space="0" w:color="auto"/>
      </w:divBdr>
    </w:div>
    <w:div w:id="310408389">
      <w:bodyDiv w:val="1"/>
      <w:marLeft w:val="0"/>
      <w:marRight w:val="0"/>
      <w:marTop w:val="0"/>
      <w:marBottom w:val="0"/>
      <w:divBdr>
        <w:top w:val="none" w:sz="0" w:space="0" w:color="auto"/>
        <w:left w:val="none" w:sz="0" w:space="0" w:color="auto"/>
        <w:bottom w:val="none" w:sz="0" w:space="0" w:color="auto"/>
        <w:right w:val="none" w:sz="0" w:space="0" w:color="auto"/>
      </w:divBdr>
    </w:div>
    <w:div w:id="310410694">
      <w:bodyDiv w:val="1"/>
      <w:marLeft w:val="0"/>
      <w:marRight w:val="0"/>
      <w:marTop w:val="0"/>
      <w:marBottom w:val="0"/>
      <w:divBdr>
        <w:top w:val="none" w:sz="0" w:space="0" w:color="auto"/>
        <w:left w:val="none" w:sz="0" w:space="0" w:color="auto"/>
        <w:bottom w:val="none" w:sz="0" w:space="0" w:color="auto"/>
        <w:right w:val="none" w:sz="0" w:space="0" w:color="auto"/>
      </w:divBdr>
    </w:div>
    <w:div w:id="310522210">
      <w:bodyDiv w:val="1"/>
      <w:marLeft w:val="0"/>
      <w:marRight w:val="0"/>
      <w:marTop w:val="0"/>
      <w:marBottom w:val="0"/>
      <w:divBdr>
        <w:top w:val="none" w:sz="0" w:space="0" w:color="auto"/>
        <w:left w:val="none" w:sz="0" w:space="0" w:color="auto"/>
        <w:bottom w:val="none" w:sz="0" w:space="0" w:color="auto"/>
        <w:right w:val="none" w:sz="0" w:space="0" w:color="auto"/>
      </w:divBdr>
    </w:div>
    <w:div w:id="310645865">
      <w:bodyDiv w:val="1"/>
      <w:marLeft w:val="0"/>
      <w:marRight w:val="0"/>
      <w:marTop w:val="0"/>
      <w:marBottom w:val="0"/>
      <w:divBdr>
        <w:top w:val="none" w:sz="0" w:space="0" w:color="auto"/>
        <w:left w:val="none" w:sz="0" w:space="0" w:color="auto"/>
        <w:bottom w:val="none" w:sz="0" w:space="0" w:color="auto"/>
        <w:right w:val="none" w:sz="0" w:space="0" w:color="auto"/>
      </w:divBdr>
    </w:div>
    <w:div w:id="310714509">
      <w:bodyDiv w:val="1"/>
      <w:marLeft w:val="0"/>
      <w:marRight w:val="0"/>
      <w:marTop w:val="0"/>
      <w:marBottom w:val="0"/>
      <w:divBdr>
        <w:top w:val="none" w:sz="0" w:space="0" w:color="auto"/>
        <w:left w:val="none" w:sz="0" w:space="0" w:color="auto"/>
        <w:bottom w:val="none" w:sz="0" w:space="0" w:color="auto"/>
        <w:right w:val="none" w:sz="0" w:space="0" w:color="auto"/>
      </w:divBdr>
    </w:div>
    <w:div w:id="310717193">
      <w:bodyDiv w:val="1"/>
      <w:marLeft w:val="0"/>
      <w:marRight w:val="0"/>
      <w:marTop w:val="0"/>
      <w:marBottom w:val="0"/>
      <w:divBdr>
        <w:top w:val="none" w:sz="0" w:space="0" w:color="auto"/>
        <w:left w:val="none" w:sz="0" w:space="0" w:color="auto"/>
        <w:bottom w:val="none" w:sz="0" w:space="0" w:color="auto"/>
        <w:right w:val="none" w:sz="0" w:space="0" w:color="auto"/>
      </w:divBdr>
    </w:div>
    <w:div w:id="310721476">
      <w:bodyDiv w:val="1"/>
      <w:marLeft w:val="0"/>
      <w:marRight w:val="0"/>
      <w:marTop w:val="0"/>
      <w:marBottom w:val="0"/>
      <w:divBdr>
        <w:top w:val="none" w:sz="0" w:space="0" w:color="auto"/>
        <w:left w:val="none" w:sz="0" w:space="0" w:color="auto"/>
        <w:bottom w:val="none" w:sz="0" w:space="0" w:color="auto"/>
        <w:right w:val="none" w:sz="0" w:space="0" w:color="auto"/>
      </w:divBdr>
    </w:div>
    <w:div w:id="310838185">
      <w:bodyDiv w:val="1"/>
      <w:marLeft w:val="0"/>
      <w:marRight w:val="0"/>
      <w:marTop w:val="0"/>
      <w:marBottom w:val="0"/>
      <w:divBdr>
        <w:top w:val="none" w:sz="0" w:space="0" w:color="auto"/>
        <w:left w:val="none" w:sz="0" w:space="0" w:color="auto"/>
        <w:bottom w:val="none" w:sz="0" w:space="0" w:color="auto"/>
        <w:right w:val="none" w:sz="0" w:space="0" w:color="auto"/>
      </w:divBdr>
    </w:div>
    <w:div w:id="310864784">
      <w:bodyDiv w:val="1"/>
      <w:marLeft w:val="0"/>
      <w:marRight w:val="0"/>
      <w:marTop w:val="0"/>
      <w:marBottom w:val="0"/>
      <w:divBdr>
        <w:top w:val="none" w:sz="0" w:space="0" w:color="auto"/>
        <w:left w:val="none" w:sz="0" w:space="0" w:color="auto"/>
        <w:bottom w:val="none" w:sz="0" w:space="0" w:color="auto"/>
        <w:right w:val="none" w:sz="0" w:space="0" w:color="auto"/>
      </w:divBdr>
    </w:div>
    <w:div w:id="310866861">
      <w:bodyDiv w:val="1"/>
      <w:marLeft w:val="0"/>
      <w:marRight w:val="0"/>
      <w:marTop w:val="0"/>
      <w:marBottom w:val="0"/>
      <w:divBdr>
        <w:top w:val="none" w:sz="0" w:space="0" w:color="auto"/>
        <w:left w:val="none" w:sz="0" w:space="0" w:color="auto"/>
        <w:bottom w:val="none" w:sz="0" w:space="0" w:color="auto"/>
        <w:right w:val="none" w:sz="0" w:space="0" w:color="auto"/>
      </w:divBdr>
    </w:div>
    <w:div w:id="310913732">
      <w:bodyDiv w:val="1"/>
      <w:marLeft w:val="0"/>
      <w:marRight w:val="0"/>
      <w:marTop w:val="0"/>
      <w:marBottom w:val="0"/>
      <w:divBdr>
        <w:top w:val="none" w:sz="0" w:space="0" w:color="auto"/>
        <w:left w:val="none" w:sz="0" w:space="0" w:color="auto"/>
        <w:bottom w:val="none" w:sz="0" w:space="0" w:color="auto"/>
        <w:right w:val="none" w:sz="0" w:space="0" w:color="auto"/>
      </w:divBdr>
    </w:div>
    <w:div w:id="310983504">
      <w:bodyDiv w:val="1"/>
      <w:marLeft w:val="0"/>
      <w:marRight w:val="0"/>
      <w:marTop w:val="0"/>
      <w:marBottom w:val="0"/>
      <w:divBdr>
        <w:top w:val="none" w:sz="0" w:space="0" w:color="auto"/>
        <w:left w:val="none" w:sz="0" w:space="0" w:color="auto"/>
        <w:bottom w:val="none" w:sz="0" w:space="0" w:color="auto"/>
        <w:right w:val="none" w:sz="0" w:space="0" w:color="auto"/>
      </w:divBdr>
    </w:div>
    <w:div w:id="311178037">
      <w:bodyDiv w:val="1"/>
      <w:marLeft w:val="0"/>
      <w:marRight w:val="0"/>
      <w:marTop w:val="0"/>
      <w:marBottom w:val="0"/>
      <w:divBdr>
        <w:top w:val="none" w:sz="0" w:space="0" w:color="auto"/>
        <w:left w:val="none" w:sz="0" w:space="0" w:color="auto"/>
        <w:bottom w:val="none" w:sz="0" w:space="0" w:color="auto"/>
        <w:right w:val="none" w:sz="0" w:space="0" w:color="auto"/>
      </w:divBdr>
    </w:div>
    <w:div w:id="311180474">
      <w:bodyDiv w:val="1"/>
      <w:marLeft w:val="0"/>
      <w:marRight w:val="0"/>
      <w:marTop w:val="0"/>
      <w:marBottom w:val="0"/>
      <w:divBdr>
        <w:top w:val="none" w:sz="0" w:space="0" w:color="auto"/>
        <w:left w:val="none" w:sz="0" w:space="0" w:color="auto"/>
        <w:bottom w:val="none" w:sz="0" w:space="0" w:color="auto"/>
        <w:right w:val="none" w:sz="0" w:space="0" w:color="auto"/>
      </w:divBdr>
    </w:div>
    <w:div w:id="311258784">
      <w:bodyDiv w:val="1"/>
      <w:marLeft w:val="0"/>
      <w:marRight w:val="0"/>
      <w:marTop w:val="0"/>
      <w:marBottom w:val="0"/>
      <w:divBdr>
        <w:top w:val="none" w:sz="0" w:space="0" w:color="auto"/>
        <w:left w:val="none" w:sz="0" w:space="0" w:color="auto"/>
        <w:bottom w:val="none" w:sz="0" w:space="0" w:color="auto"/>
        <w:right w:val="none" w:sz="0" w:space="0" w:color="auto"/>
      </w:divBdr>
    </w:div>
    <w:div w:id="311299964">
      <w:bodyDiv w:val="1"/>
      <w:marLeft w:val="0"/>
      <w:marRight w:val="0"/>
      <w:marTop w:val="0"/>
      <w:marBottom w:val="0"/>
      <w:divBdr>
        <w:top w:val="none" w:sz="0" w:space="0" w:color="auto"/>
        <w:left w:val="none" w:sz="0" w:space="0" w:color="auto"/>
        <w:bottom w:val="none" w:sz="0" w:space="0" w:color="auto"/>
        <w:right w:val="none" w:sz="0" w:space="0" w:color="auto"/>
      </w:divBdr>
    </w:div>
    <w:div w:id="311375785">
      <w:bodyDiv w:val="1"/>
      <w:marLeft w:val="0"/>
      <w:marRight w:val="0"/>
      <w:marTop w:val="0"/>
      <w:marBottom w:val="0"/>
      <w:divBdr>
        <w:top w:val="none" w:sz="0" w:space="0" w:color="auto"/>
        <w:left w:val="none" w:sz="0" w:space="0" w:color="auto"/>
        <w:bottom w:val="none" w:sz="0" w:space="0" w:color="auto"/>
        <w:right w:val="none" w:sz="0" w:space="0" w:color="auto"/>
      </w:divBdr>
    </w:div>
    <w:div w:id="311495434">
      <w:bodyDiv w:val="1"/>
      <w:marLeft w:val="0"/>
      <w:marRight w:val="0"/>
      <w:marTop w:val="0"/>
      <w:marBottom w:val="0"/>
      <w:divBdr>
        <w:top w:val="none" w:sz="0" w:space="0" w:color="auto"/>
        <w:left w:val="none" w:sz="0" w:space="0" w:color="auto"/>
        <w:bottom w:val="none" w:sz="0" w:space="0" w:color="auto"/>
        <w:right w:val="none" w:sz="0" w:space="0" w:color="auto"/>
      </w:divBdr>
    </w:div>
    <w:div w:id="311524736">
      <w:bodyDiv w:val="1"/>
      <w:marLeft w:val="0"/>
      <w:marRight w:val="0"/>
      <w:marTop w:val="0"/>
      <w:marBottom w:val="0"/>
      <w:divBdr>
        <w:top w:val="none" w:sz="0" w:space="0" w:color="auto"/>
        <w:left w:val="none" w:sz="0" w:space="0" w:color="auto"/>
        <w:bottom w:val="none" w:sz="0" w:space="0" w:color="auto"/>
        <w:right w:val="none" w:sz="0" w:space="0" w:color="auto"/>
      </w:divBdr>
    </w:div>
    <w:div w:id="311763236">
      <w:bodyDiv w:val="1"/>
      <w:marLeft w:val="0"/>
      <w:marRight w:val="0"/>
      <w:marTop w:val="0"/>
      <w:marBottom w:val="0"/>
      <w:divBdr>
        <w:top w:val="none" w:sz="0" w:space="0" w:color="auto"/>
        <w:left w:val="none" w:sz="0" w:space="0" w:color="auto"/>
        <w:bottom w:val="none" w:sz="0" w:space="0" w:color="auto"/>
        <w:right w:val="none" w:sz="0" w:space="0" w:color="auto"/>
      </w:divBdr>
    </w:div>
    <w:div w:id="312026259">
      <w:bodyDiv w:val="1"/>
      <w:marLeft w:val="0"/>
      <w:marRight w:val="0"/>
      <w:marTop w:val="0"/>
      <w:marBottom w:val="0"/>
      <w:divBdr>
        <w:top w:val="none" w:sz="0" w:space="0" w:color="auto"/>
        <w:left w:val="none" w:sz="0" w:space="0" w:color="auto"/>
        <w:bottom w:val="none" w:sz="0" w:space="0" w:color="auto"/>
        <w:right w:val="none" w:sz="0" w:space="0" w:color="auto"/>
      </w:divBdr>
    </w:div>
    <w:div w:id="312148405">
      <w:bodyDiv w:val="1"/>
      <w:marLeft w:val="0"/>
      <w:marRight w:val="0"/>
      <w:marTop w:val="0"/>
      <w:marBottom w:val="0"/>
      <w:divBdr>
        <w:top w:val="none" w:sz="0" w:space="0" w:color="auto"/>
        <w:left w:val="none" w:sz="0" w:space="0" w:color="auto"/>
        <w:bottom w:val="none" w:sz="0" w:space="0" w:color="auto"/>
        <w:right w:val="none" w:sz="0" w:space="0" w:color="auto"/>
      </w:divBdr>
    </w:div>
    <w:div w:id="312225934">
      <w:bodyDiv w:val="1"/>
      <w:marLeft w:val="0"/>
      <w:marRight w:val="0"/>
      <w:marTop w:val="0"/>
      <w:marBottom w:val="0"/>
      <w:divBdr>
        <w:top w:val="none" w:sz="0" w:space="0" w:color="auto"/>
        <w:left w:val="none" w:sz="0" w:space="0" w:color="auto"/>
        <w:bottom w:val="none" w:sz="0" w:space="0" w:color="auto"/>
        <w:right w:val="none" w:sz="0" w:space="0" w:color="auto"/>
      </w:divBdr>
    </w:div>
    <w:div w:id="312300209">
      <w:bodyDiv w:val="1"/>
      <w:marLeft w:val="0"/>
      <w:marRight w:val="0"/>
      <w:marTop w:val="0"/>
      <w:marBottom w:val="0"/>
      <w:divBdr>
        <w:top w:val="none" w:sz="0" w:space="0" w:color="auto"/>
        <w:left w:val="none" w:sz="0" w:space="0" w:color="auto"/>
        <w:bottom w:val="none" w:sz="0" w:space="0" w:color="auto"/>
        <w:right w:val="none" w:sz="0" w:space="0" w:color="auto"/>
      </w:divBdr>
    </w:div>
    <w:div w:id="312370464">
      <w:bodyDiv w:val="1"/>
      <w:marLeft w:val="0"/>
      <w:marRight w:val="0"/>
      <w:marTop w:val="0"/>
      <w:marBottom w:val="0"/>
      <w:divBdr>
        <w:top w:val="none" w:sz="0" w:space="0" w:color="auto"/>
        <w:left w:val="none" w:sz="0" w:space="0" w:color="auto"/>
        <w:bottom w:val="none" w:sz="0" w:space="0" w:color="auto"/>
        <w:right w:val="none" w:sz="0" w:space="0" w:color="auto"/>
      </w:divBdr>
    </w:div>
    <w:div w:id="312487857">
      <w:bodyDiv w:val="1"/>
      <w:marLeft w:val="0"/>
      <w:marRight w:val="0"/>
      <w:marTop w:val="0"/>
      <w:marBottom w:val="0"/>
      <w:divBdr>
        <w:top w:val="none" w:sz="0" w:space="0" w:color="auto"/>
        <w:left w:val="none" w:sz="0" w:space="0" w:color="auto"/>
        <w:bottom w:val="none" w:sz="0" w:space="0" w:color="auto"/>
        <w:right w:val="none" w:sz="0" w:space="0" w:color="auto"/>
      </w:divBdr>
    </w:div>
    <w:div w:id="312490823">
      <w:bodyDiv w:val="1"/>
      <w:marLeft w:val="0"/>
      <w:marRight w:val="0"/>
      <w:marTop w:val="0"/>
      <w:marBottom w:val="0"/>
      <w:divBdr>
        <w:top w:val="none" w:sz="0" w:space="0" w:color="auto"/>
        <w:left w:val="none" w:sz="0" w:space="0" w:color="auto"/>
        <w:bottom w:val="none" w:sz="0" w:space="0" w:color="auto"/>
        <w:right w:val="none" w:sz="0" w:space="0" w:color="auto"/>
      </w:divBdr>
    </w:div>
    <w:div w:id="312678823">
      <w:bodyDiv w:val="1"/>
      <w:marLeft w:val="0"/>
      <w:marRight w:val="0"/>
      <w:marTop w:val="0"/>
      <w:marBottom w:val="0"/>
      <w:divBdr>
        <w:top w:val="none" w:sz="0" w:space="0" w:color="auto"/>
        <w:left w:val="none" w:sz="0" w:space="0" w:color="auto"/>
        <w:bottom w:val="none" w:sz="0" w:space="0" w:color="auto"/>
        <w:right w:val="none" w:sz="0" w:space="0" w:color="auto"/>
      </w:divBdr>
    </w:div>
    <w:div w:id="312686070">
      <w:bodyDiv w:val="1"/>
      <w:marLeft w:val="0"/>
      <w:marRight w:val="0"/>
      <w:marTop w:val="0"/>
      <w:marBottom w:val="0"/>
      <w:divBdr>
        <w:top w:val="none" w:sz="0" w:space="0" w:color="auto"/>
        <w:left w:val="none" w:sz="0" w:space="0" w:color="auto"/>
        <w:bottom w:val="none" w:sz="0" w:space="0" w:color="auto"/>
        <w:right w:val="none" w:sz="0" w:space="0" w:color="auto"/>
      </w:divBdr>
    </w:div>
    <w:div w:id="312805582">
      <w:bodyDiv w:val="1"/>
      <w:marLeft w:val="0"/>
      <w:marRight w:val="0"/>
      <w:marTop w:val="0"/>
      <w:marBottom w:val="0"/>
      <w:divBdr>
        <w:top w:val="none" w:sz="0" w:space="0" w:color="auto"/>
        <w:left w:val="none" w:sz="0" w:space="0" w:color="auto"/>
        <w:bottom w:val="none" w:sz="0" w:space="0" w:color="auto"/>
        <w:right w:val="none" w:sz="0" w:space="0" w:color="auto"/>
      </w:divBdr>
    </w:div>
    <w:div w:id="312835714">
      <w:bodyDiv w:val="1"/>
      <w:marLeft w:val="0"/>
      <w:marRight w:val="0"/>
      <w:marTop w:val="0"/>
      <w:marBottom w:val="0"/>
      <w:divBdr>
        <w:top w:val="none" w:sz="0" w:space="0" w:color="auto"/>
        <w:left w:val="none" w:sz="0" w:space="0" w:color="auto"/>
        <w:bottom w:val="none" w:sz="0" w:space="0" w:color="auto"/>
        <w:right w:val="none" w:sz="0" w:space="0" w:color="auto"/>
      </w:divBdr>
    </w:div>
    <w:div w:id="312874248">
      <w:bodyDiv w:val="1"/>
      <w:marLeft w:val="0"/>
      <w:marRight w:val="0"/>
      <w:marTop w:val="0"/>
      <w:marBottom w:val="0"/>
      <w:divBdr>
        <w:top w:val="none" w:sz="0" w:space="0" w:color="auto"/>
        <w:left w:val="none" w:sz="0" w:space="0" w:color="auto"/>
        <w:bottom w:val="none" w:sz="0" w:space="0" w:color="auto"/>
        <w:right w:val="none" w:sz="0" w:space="0" w:color="auto"/>
      </w:divBdr>
    </w:div>
    <w:div w:id="312947494">
      <w:bodyDiv w:val="1"/>
      <w:marLeft w:val="0"/>
      <w:marRight w:val="0"/>
      <w:marTop w:val="0"/>
      <w:marBottom w:val="0"/>
      <w:divBdr>
        <w:top w:val="none" w:sz="0" w:space="0" w:color="auto"/>
        <w:left w:val="none" w:sz="0" w:space="0" w:color="auto"/>
        <w:bottom w:val="none" w:sz="0" w:space="0" w:color="auto"/>
        <w:right w:val="none" w:sz="0" w:space="0" w:color="auto"/>
      </w:divBdr>
    </w:div>
    <w:div w:id="312947864">
      <w:bodyDiv w:val="1"/>
      <w:marLeft w:val="0"/>
      <w:marRight w:val="0"/>
      <w:marTop w:val="0"/>
      <w:marBottom w:val="0"/>
      <w:divBdr>
        <w:top w:val="none" w:sz="0" w:space="0" w:color="auto"/>
        <w:left w:val="none" w:sz="0" w:space="0" w:color="auto"/>
        <w:bottom w:val="none" w:sz="0" w:space="0" w:color="auto"/>
        <w:right w:val="none" w:sz="0" w:space="0" w:color="auto"/>
      </w:divBdr>
    </w:div>
    <w:div w:id="312948747">
      <w:bodyDiv w:val="1"/>
      <w:marLeft w:val="0"/>
      <w:marRight w:val="0"/>
      <w:marTop w:val="0"/>
      <w:marBottom w:val="0"/>
      <w:divBdr>
        <w:top w:val="none" w:sz="0" w:space="0" w:color="auto"/>
        <w:left w:val="none" w:sz="0" w:space="0" w:color="auto"/>
        <w:bottom w:val="none" w:sz="0" w:space="0" w:color="auto"/>
        <w:right w:val="none" w:sz="0" w:space="0" w:color="auto"/>
      </w:divBdr>
    </w:div>
    <w:div w:id="312955622">
      <w:bodyDiv w:val="1"/>
      <w:marLeft w:val="0"/>
      <w:marRight w:val="0"/>
      <w:marTop w:val="0"/>
      <w:marBottom w:val="0"/>
      <w:divBdr>
        <w:top w:val="none" w:sz="0" w:space="0" w:color="auto"/>
        <w:left w:val="none" w:sz="0" w:space="0" w:color="auto"/>
        <w:bottom w:val="none" w:sz="0" w:space="0" w:color="auto"/>
        <w:right w:val="none" w:sz="0" w:space="0" w:color="auto"/>
      </w:divBdr>
    </w:div>
    <w:div w:id="313145548">
      <w:bodyDiv w:val="1"/>
      <w:marLeft w:val="0"/>
      <w:marRight w:val="0"/>
      <w:marTop w:val="0"/>
      <w:marBottom w:val="0"/>
      <w:divBdr>
        <w:top w:val="none" w:sz="0" w:space="0" w:color="auto"/>
        <w:left w:val="none" w:sz="0" w:space="0" w:color="auto"/>
        <w:bottom w:val="none" w:sz="0" w:space="0" w:color="auto"/>
        <w:right w:val="none" w:sz="0" w:space="0" w:color="auto"/>
      </w:divBdr>
    </w:div>
    <w:div w:id="313264258">
      <w:bodyDiv w:val="1"/>
      <w:marLeft w:val="0"/>
      <w:marRight w:val="0"/>
      <w:marTop w:val="0"/>
      <w:marBottom w:val="0"/>
      <w:divBdr>
        <w:top w:val="none" w:sz="0" w:space="0" w:color="auto"/>
        <w:left w:val="none" w:sz="0" w:space="0" w:color="auto"/>
        <w:bottom w:val="none" w:sz="0" w:space="0" w:color="auto"/>
        <w:right w:val="none" w:sz="0" w:space="0" w:color="auto"/>
      </w:divBdr>
    </w:div>
    <w:div w:id="313606610">
      <w:bodyDiv w:val="1"/>
      <w:marLeft w:val="0"/>
      <w:marRight w:val="0"/>
      <w:marTop w:val="0"/>
      <w:marBottom w:val="0"/>
      <w:divBdr>
        <w:top w:val="none" w:sz="0" w:space="0" w:color="auto"/>
        <w:left w:val="none" w:sz="0" w:space="0" w:color="auto"/>
        <w:bottom w:val="none" w:sz="0" w:space="0" w:color="auto"/>
        <w:right w:val="none" w:sz="0" w:space="0" w:color="auto"/>
      </w:divBdr>
    </w:div>
    <w:div w:id="313725433">
      <w:bodyDiv w:val="1"/>
      <w:marLeft w:val="0"/>
      <w:marRight w:val="0"/>
      <w:marTop w:val="0"/>
      <w:marBottom w:val="0"/>
      <w:divBdr>
        <w:top w:val="none" w:sz="0" w:space="0" w:color="auto"/>
        <w:left w:val="none" w:sz="0" w:space="0" w:color="auto"/>
        <w:bottom w:val="none" w:sz="0" w:space="0" w:color="auto"/>
        <w:right w:val="none" w:sz="0" w:space="0" w:color="auto"/>
      </w:divBdr>
    </w:div>
    <w:div w:id="313879683">
      <w:bodyDiv w:val="1"/>
      <w:marLeft w:val="0"/>
      <w:marRight w:val="0"/>
      <w:marTop w:val="0"/>
      <w:marBottom w:val="0"/>
      <w:divBdr>
        <w:top w:val="none" w:sz="0" w:space="0" w:color="auto"/>
        <w:left w:val="none" w:sz="0" w:space="0" w:color="auto"/>
        <w:bottom w:val="none" w:sz="0" w:space="0" w:color="auto"/>
        <w:right w:val="none" w:sz="0" w:space="0" w:color="auto"/>
      </w:divBdr>
    </w:div>
    <w:div w:id="313879724">
      <w:bodyDiv w:val="1"/>
      <w:marLeft w:val="0"/>
      <w:marRight w:val="0"/>
      <w:marTop w:val="0"/>
      <w:marBottom w:val="0"/>
      <w:divBdr>
        <w:top w:val="none" w:sz="0" w:space="0" w:color="auto"/>
        <w:left w:val="none" w:sz="0" w:space="0" w:color="auto"/>
        <w:bottom w:val="none" w:sz="0" w:space="0" w:color="auto"/>
        <w:right w:val="none" w:sz="0" w:space="0" w:color="auto"/>
      </w:divBdr>
    </w:div>
    <w:div w:id="313949086">
      <w:bodyDiv w:val="1"/>
      <w:marLeft w:val="0"/>
      <w:marRight w:val="0"/>
      <w:marTop w:val="0"/>
      <w:marBottom w:val="0"/>
      <w:divBdr>
        <w:top w:val="none" w:sz="0" w:space="0" w:color="auto"/>
        <w:left w:val="none" w:sz="0" w:space="0" w:color="auto"/>
        <w:bottom w:val="none" w:sz="0" w:space="0" w:color="auto"/>
        <w:right w:val="none" w:sz="0" w:space="0" w:color="auto"/>
      </w:divBdr>
    </w:div>
    <w:div w:id="313991309">
      <w:bodyDiv w:val="1"/>
      <w:marLeft w:val="0"/>
      <w:marRight w:val="0"/>
      <w:marTop w:val="0"/>
      <w:marBottom w:val="0"/>
      <w:divBdr>
        <w:top w:val="none" w:sz="0" w:space="0" w:color="auto"/>
        <w:left w:val="none" w:sz="0" w:space="0" w:color="auto"/>
        <w:bottom w:val="none" w:sz="0" w:space="0" w:color="auto"/>
        <w:right w:val="none" w:sz="0" w:space="0" w:color="auto"/>
      </w:divBdr>
    </w:div>
    <w:div w:id="313997073">
      <w:bodyDiv w:val="1"/>
      <w:marLeft w:val="0"/>
      <w:marRight w:val="0"/>
      <w:marTop w:val="0"/>
      <w:marBottom w:val="0"/>
      <w:divBdr>
        <w:top w:val="none" w:sz="0" w:space="0" w:color="auto"/>
        <w:left w:val="none" w:sz="0" w:space="0" w:color="auto"/>
        <w:bottom w:val="none" w:sz="0" w:space="0" w:color="auto"/>
        <w:right w:val="none" w:sz="0" w:space="0" w:color="auto"/>
      </w:divBdr>
    </w:div>
    <w:div w:id="314073921">
      <w:bodyDiv w:val="1"/>
      <w:marLeft w:val="0"/>
      <w:marRight w:val="0"/>
      <w:marTop w:val="0"/>
      <w:marBottom w:val="0"/>
      <w:divBdr>
        <w:top w:val="none" w:sz="0" w:space="0" w:color="auto"/>
        <w:left w:val="none" w:sz="0" w:space="0" w:color="auto"/>
        <w:bottom w:val="none" w:sz="0" w:space="0" w:color="auto"/>
        <w:right w:val="none" w:sz="0" w:space="0" w:color="auto"/>
      </w:divBdr>
    </w:div>
    <w:div w:id="314115581">
      <w:bodyDiv w:val="1"/>
      <w:marLeft w:val="0"/>
      <w:marRight w:val="0"/>
      <w:marTop w:val="0"/>
      <w:marBottom w:val="0"/>
      <w:divBdr>
        <w:top w:val="none" w:sz="0" w:space="0" w:color="auto"/>
        <w:left w:val="none" w:sz="0" w:space="0" w:color="auto"/>
        <w:bottom w:val="none" w:sz="0" w:space="0" w:color="auto"/>
        <w:right w:val="none" w:sz="0" w:space="0" w:color="auto"/>
      </w:divBdr>
    </w:div>
    <w:div w:id="314333184">
      <w:bodyDiv w:val="1"/>
      <w:marLeft w:val="0"/>
      <w:marRight w:val="0"/>
      <w:marTop w:val="0"/>
      <w:marBottom w:val="0"/>
      <w:divBdr>
        <w:top w:val="none" w:sz="0" w:space="0" w:color="auto"/>
        <w:left w:val="none" w:sz="0" w:space="0" w:color="auto"/>
        <w:bottom w:val="none" w:sz="0" w:space="0" w:color="auto"/>
        <w:right w:val="none" w:sz="0" w:space="0" w:color="auto"/>
      </w:divBdr>
    </w:div>
    <w:div w:id="314722624">
      <w:bodyDiv w:val="1"/>
      <w:marLeft w:val="0"/>
      <w:marRight w:val="0"/>
      <w:marTop w:val="0"/>
      <w:marBottom w:val="0"/>
      <w:divBdr>
        <w:top w:val="none" w:sz="0" w:space="0" w:color="auto"/>
        <w:left w:val="none" w:sz="0" w:space="0" w:color="auto"/>
        <w:bottom w:val="none" w:sz="0" w:space="0" w:color="auto"/>
        <w:right w:val="none" w:sz="0" w:space="0" w:color="auto"/>
      </w:divBdr>
    </w:div>
    <w:div w:id="314841513">
      <w:bodyDiv w:val="1"/>
      <w:marLeft w:val="0"/>
      <w:marRight w:val="0"/>
      <w:marTop w:val="0"/>
      <w:marBottom w:val="0"/>
      <w:divBdr>
        <w:top w:val="none" w:sz="0" w:space="0" w:color="auto"/>
        <w:left w:val="none" w:sz="0" w:space="0" w:color="auto"/>
        <w:bottom w:val="none" w:sz="0" w:space="0" w:color="auto"/>
        <w:right w:val="none" w:sz="0" w:space="0" w:color="auto"/>
      </w:divBdr>
    </w:div>
    <w:div w:id="314913442">
      <w:bodyDiv w:val="1"/>
      <w:marLeft w:val="0"/>
      <w:marRight w:val="0"/>
      <w:marTop w:val="0"/>
      <w:marBottom w:val="0"/>
      <w:divBdr>
        <w:top w:val="none" w:sz="0" w:space="0" w:color="auto"/>
        <w:left w:val="none" w:sz="0" w:space="0" w:color="auto"/>
        <w:bottom w:val="none" w:sz="0" w:space="0" w:color="auto"/>
        <w:right w:val="none" w:sz="0" w:space="0" w:color="auto"/>
      </w:divBdr>
    </w:div>
    <w:div w:id="315038779">
      <w:bodyDiv w:val="1"/>
      <w:marLeft w:val="0"/>
      <w:marRight w:val="0"/>
      <w:marTop w:val="0"/>
      <w:marBottom w:val="0"/>
      <w:divBdr>
        <w:top w:val="none" w:sz="0" w:space="0" w:color="auto"/>
        <w:left w:val="none" w:sz="0" w:space="0" w:color="auto"/>
        <w:bottom w:val="none" w:sz="0" w:space="0" w:color="auto"/>
        <w:right w:val="none" w:sz="0" w:space="0" w:color="auto"/>
      </w:divBdr>
    </w:div>
    <w:div w:id="315110748">
      <w:bodyDiv w:val="1"/>
      <w:marLeft w:val="0"/>
      <w:marRight w:val="0"/>
      <w:marTop w:val="0"/>
      <w:marBottom w:val="0"/>
      <w:divBdr>
        <w:top w:val="none" w:sz="0" w:space="0" w:color="auto"/>
        <w:left w:val="none" w:sz="0" w:space="0" w:color="auto"/>
        <w:bottom w:val="none" w:sz="0" w:space="0" w:color="auto"/>
        <w:right w:val="none" w:sz="0" w:space="0" w:color="auto"/>
      </w:divBdr>
    </w:div>
    <w:div w:id="315114216">
      <w:bodyDiv w:val="1"/>
      <w:marLeft w:val="0"/>
      <w:marRight w:val="0"/>
      <w:marTop w:val="0"/>
      <w:marBottom w:val="0"/>
      <w:divBdr>
        <w:top w:val="none" w:sz="0" w:space="0" w:color="auto"/>
        <w:left w:val="none" w:sz="0" w:space="0" w:color="auto"/>
        <w:bottom w:val="none" w:sz="0" w:space="0" w:color="auto"/>
        <w:right w:val="none" w:sz="0" w:space="0" w:color="auto"/>
      </w:divBdr>
    </w:div>
    <w:div w:id="315228810">
      <w:bodyDiv w:val="1"/>
      <w:marLeft w:val="0"/>
      <w:marRight w:val="0"/>
      <w:marTop w:val="0"/>
      <w:marBottom w:val="0"/>
      <w:divBdr>
        <w:top w:val="none" w:sz="0" w:space="0" w:color="auto"/>
        <w:left w:val="none" w:sz="0" w:space="0" w:color="auto"/>
        <w:bottom w:val="none" w:sz="0" w:space="0" w:color="auto"/>
        <w:right w:val="none" w:sz="0" w:space="0" w:color="auto"/>
      </w:divBdr>
    </w:div>
    <w:div w:id="315303326">
      <w:bodyDiv w:val="1"/>
      <w:marLeft w:val="0"/>
      <w:marRight w:val="0"/>
      <w:marTop w:val="0"/>
      <w:marBottom w:val="0"/>
      <w:divBdr>
        <w:top w:val="none" w:sz="0" w:space="0" w:color="auto"/>
        <w:left w:val="none" w:sz="0" w:space="0" w:color="auto"/>
        <w:bottom w:val="none" w:sz="0" w:space="0" w:color="auto"/>
        <w:right w:val="none" w:sz="0" w:space="0" w:color="auto"/>
      </w:divBdr>
    </w:div>
    <w:div w:id="315375270">
      <w:bodyDiv w:val="1"/>
      <w:marLeft w:val="0"/>
      <w:marRight w:val="0"/>
      <w:marTop w:val="0"/>
      <w:marBottom w:val="0"/>
      <w:divBdr>
        <w:top w:val="none" w:sz="0" w:space="0" w:color="auto"/>
        <w:left w:val="none" w:sz="0" w:space="0" w:color="auto"/>
        <w:bottom w:val="none" w:sz="0" w:space="0" w:color="auto"/>
        <w:right w:val="none" w:sz="0" w:space="0" w:color="auto"/>
      </w:divBdr>
    </w:div>
    <w:div w:id="315375614">
      <w:bodyDiv w:val="1"/>
      <w:marLeft w:val="0"/>
      <w:marRight w:val="0"/>
      <w:marTop w:val="0"/>
      <w:marBottom w:val="0"/>
      <w:divBdr>
        <w:top w:val="none" w:sz="0" w:space="0" w:color="auto"/>
        <w:left w:val="none" w:sz="0" w:space="0" w:color="auto"/>
        <w:bottom w:val="none" w:sz="0" w:space="0" w:color="auto"/>
        <w:right w:val="none" w:sz="0" w:space="0" w:color="auto"/>
      </w:divBdr>
    </w:div>
    <w:div w:id="315376883">
      <w:bodyDiv w:val="1"/>
      <w:marLeft w:val="0"/>
      <w:marRight w:val="0"/>
      <w:marTop w:val="0"/>
      <w:marBottom w:val="0"/>
      <w:divBdr>
        <w:top w:val="none" w:sz="0" w:space="0" w:color="auto"/>
        <w:left w:val="none" w:sz="0" w:space="0" w:color="auto"/>
        <w:bottom w:val="none" w:sz="0" w:space="0" w:color="auto"/>
        <w:right w:val="none" w:sz="0" w:space="0" w:color="auto"/>
      </w:divBdr>
    </w:div>
    <w:div w:id="315455585">
      <w:bodyDiv w:val="1"/>
      <w:marLeft w:val="0"/>
      <w:marRight w:val="0"/>
      <w:marTop w:val="0"/>
      <w:marBottom w:val="0"/>
      <w:divBdr>
        <w:top w:val="none" w:sz="0" w:space="0" w:color="auto"/>
        <w:left w:val="none" w:sz="0" w:space="0" w:color="auto"/>
        <w:bottom w:val="none" w:sz="0" w:space="0" w:color="auto"/>
        <w:right w:val="none" w:sz="0" w:space="0" w:color="auto"/>
      </w:divBdr>
    </w:div>
    <w:div w:id="315495656">
      <w:bodyDiv w:val="1"/>
      <w:marLeft w:val="0"/>
      <w:marRight w:val="0"/>
      <w:marTop w:val="0"/>
      <w:marBottom w:val="0"/>
      <w:divBdr>
        <w:top w:val="none" w:sz="0" w:space="0" w:color="auto"/>
        <w:left w:val="none" w:sz="0" w:space="0" w:color="auto"/>
        <w:bottom w:val="none" w:sz="0" w:space="0" w:color="auto"/>
        <w:right w:val="none" w:sz="0" w:space="0" w:color="auto"/>
      </w:divBdr>
    </w:div>
    <w:div w:id="315693130">
      <w:bodyDiv w:val="1"/>
      <w:marLeft w:val="0"/>
      <w:marRight w:val="0"/>
      <w:marTop w:val="0"/>
      <w:marBottom w:val="0"/>
      <w:divBdr>
        <w:top w:val="none" w:sz="0" w:space="0" w:color="auto"/>
        <w:left w:val="none" w:sz="0" w:space="0" w:color="auto"/>
        <w:bottom w:val="none" w:sz="0" w:space="0" w:color="auto"/>
        <w:right w:val="none" w:sz="0" w:space="0" w:color="auto"/>
      </w:divBdr>
    </w:div>
    <w:div w:id="315764816">
      <w:bodyDiv w:val="1"/>
      <w:marLeft w:val="0"/>
      <w:marRight w:val="0"/>
      <w:marTop w:val="0"/>
      <w:marBottom w:val="0"/>
      <w:divBdr>
        <w:top w:val="none" w:sz="0" w:space="0" w:color="auto"/>
        <w:left w:val="none" w:sz="0" w:space="0" w:color="auto"/>
        <w:bottom w:val="none" w:sz="0" w:space="0" w:color="auto"/>
        <w:right w:val="none" w:sz="0" w:space="0" w:color="auto"/>
      </w:divBdr>
    </w:div>
    <w:div w:id="315765072">
      <w:bodyDiv w:val="1"/>
      <w:marLeft w:val="0"/>
      <w:marRight w:val="0"/>
      <w:marTop w:val="0"/>
      <w:marBottom w:val="0"/>
      <w:divBdr>
        <w:top w:val="none" w:sz="0" w:space="0" w:color="auto"/>
        <w:left w:val="none" w:sz="0" w:space="0" w:color="auto"/>
        <w:bottom w:val="none" w:sz="0" w:space="0" w:color="auto"/>
        <w:right w:val="none" w:sz="0" w:space="0" w:color="auto"/>
      </w:divBdr>
    </w:div>
    <w:div w:id="315766316">
      <w:bodyDiv w:val="1"/>
      <w:marLeft w:val="0"/>
      <w:marRight w:val="0"/>
      <w:marTop w:val="0"/>
      <w:marBottom w:val="0"/>
      <w:divBdr>
        <w:top w:val="none" w:sz="0" w:space="0" w:color="auto"/>
        <w:left w:val="none" w:sz="0" w:space="0" w:color="auto"/>
        <w:bottom w:val="none" w:sz="0" w:space="0" w:color="auto"/>
        <w:right w:val="none" w:sz="0" w:space="0" w:color="auto"/>
      </w:divBdr>
    </w:div>
    <w:div w:id="315839961">
      <w:bodyDiv w:val="1"/>
      <w:marLeft w:val="0"/>
      <w:marRight w:val="0"/>
      <w:marTop w:val="0"/>
      <w:marBottom w:val="0"/>
      <w:divBdr>
        <w:top w:val="none" w:sz="0" w:space="0" w:color="auto"/>
        <w:left w:val="none" w:sz="0" w:space="0" w:color="auto"/>
        <w:bottom w:val="none" w:sz="0" w:space="0" w:color="auto"/>
        <w:right w:val="none" w:sz="0" w:space="0" w:color="auto"/>
      </w:divBdr>
    </w:div>
    <w:div w:id="315956092">
      <w:bodyDiv w:val="1"/>
      <w:marLeft w:val="0"/>
      <w:marRight w:val="0"/>
      <w:marTop w:val="0"/>
      <w:marBottom w:val="0"/>
      <w:divBdr>
        <w:top w:val="none" w:sz="0" w:space="0" w:color="auto"/>
        <w:left w:val="none" w:sz="0" w:space="0" w:color="auto"/>
        <w:bottom w:val="none" w:sz="0" w:space="0" w:color="auto"/>
        <w:right w:val="none" w:sz="0" w:space="0" w:color="auto"/>
      </w:divBdr>
    </w:div>
    <w:div w:id="316039369">
      <w:bodyDiv w:val="1"/>
      <w:marLeft w:val="0"/>
      <w:marRight w:val="0"/>
      <w:marTop w:val="0"/>
      <w:marBottom w:val="0"/>
      <w:divBdr>
        <w:top w:val="none" w:sz="0" w:space="0" w:color="auto"/>
        <w:left w:val="none" w:sz="0" w:space="0" w:color="auto"/>
        <w:bottom w:val="none" w:sz="0" w:space="0" w:color="auto"/>
        <w:right w:val="none" w:sz="0" w:space="0" w:color="auto"/>
      </w:divBdr>
    </w:div>
    <w:div w:id="316153758">
      <w:bodyDiv w:val="1"/>
      <w:marLeft w:val="0"/>
      <w:marRight w:val="0"/>
      <w:marTop w:val="0"/>
      <w:marBottom w:val="0"/>
      <w:divBdr>
        <w:top w:val="none" w:sz="0" w:space="0" w:color="auto"/>
        <w:left w:val="none" w:sz="0" w:space="0" w:color="auto"/>
        <w:bottom w:val="none" w:sz="0" w:space="0" w:color="auto"/>
        <w:right w:val="none" w:sz="0" w:space="0" w:color="auto"/>
      </w:divBdr>
    </w:div>
    <w:div w:id="316225945">
      <w:bodyDiv w:val="1"/>
      <w:marLeft w:val="0"/>
      <w:marRight w:val="0"/>
      <w:marTop w:val="0"/>
      <w:marBottom w:val="0"/>
      <w:divBdr>
        <w:top w:val="none" w:sz="0" w:space="0" w:color="auto"/>
        <w:left w:val="none" w:sz="0" w:space="0" w:color="auto"/>
        <w:bottom w:val="none" w:sz="0" w:space="0" w:color="auto"/>
        <w:right w:val="none" w:sz="0" w:space="0" w:color="auto"/>
      </w:divBdr>
    </w:div>
    <w:div w:id="316226971">
      <w:bodyDiv w:val="1"/>
      <w:marLeft w:val="0"/>
      <w:marRight w:val="0"/>
      <w:marTop w:val="0"/>
      <w:marBottom w:val="0"/>
      <w:divBdr>
        <w:top w:val="none" w:sz="0" w:space="0" w:color="auto"/>
        <w:left w:val="none" w:sz="0" w:space="0" w:color="auto"/>
        <w:bottom w:val="none" w:sz="0" w:space="0" w:color="auto"/>
        <w:right w:val="none" w:sz="0" w:space="0" w:color="auto"/>
      </w:divBdr>
    </w:div>
    <w:div w:id="316299375">
      <w:bodyDiv w:val="1"/>
      <w:marLeft w:val="0"/>
      <w:marRight w:val="0"/>
      <w:marTop w:val="0"/>
      <w:marBottom w:val="0"/>
      <w:divBdr>
        <w:top w:val="none" w:sz="0" w:space="0" w:color="auto"/>
        <w:left w:val="none" w:sz="0" w:space="0" w:color="auto"/>
        <w:bottom w:val="none" w:sz="0" w:space="0" w:color="auto"/>
        <w:right w:val="none" w:sz="0" w:space="0" w:color="auto"/>
      </w:divBdr>
    </w:div>
    <w:div w:id="316303460">
      <w:bodyDiv w:val="1"/>
      <w:marLeft w:val="0"/>
      <w:marRight w:val="0"/>
      <w:marTop w:val="0"/>
      <w:marBottom w:val="0"/>
      <w:divBdr>
        <w:top w:val="none" w:sz="0" w:space="0" w:color="auto"/>
        <w:left w:val="none" w:sz="0" w:space="0" w:color="auto"/>
        <w:bottom w:val="none" w:sz="0" w:space="0" w:color="auto"/>
        <w:right w:val="none" w:sz="0" w:space="0" w:color="auto"/>
      </w:divBdr>
    </w:div>
    <w:div w:id="316349821">
      <w:bodyDiv w:val="1"/>
      <w:marLeft w:val="0"/>
      <w:marRight w:val="0"/>
      <w:marTop w:val="0"/>
      <w:marBottom w:val="0"/>
      <w:divBdr>
        <w:top w:val="none" w:sz="0" w:space="0" w:color="auto"/>
        <w:left w:val="none" w:sz="0" w:space="0" w:color="auto"/>
        <w:bottom w:val="none" w:sz="0" w:space="0" w:color="auto"/>
        <w:right w:val="none" w:sz="0" w:space="0" w:color="auto"/>
      </w:divBdr>
    </w:div>
    <w:div w:id="316417796">
      <w:bodyDiv w:val="1"/>
      <w:marLeft w:val="0"/>
      <w:marRight w:val="0"/>
      <w:marTop w:val="0"/>
      <w:marBottom w:val="0"/>
      <w:divBdr>
        <w:top w:val="none" w:sz="0" w:space="0" w:color="auto"/>
        <w:left w:val="none" w:sz="0" w:space="0" w:color="auto"/>
        <w:bottom w:val="none" w:sz="0" w:space="0" w:color="auto"/>
        <w:right w:val="none" w:sz="0" w:space="0" w:color="auto"/>
      </w:divBdr>
    </w:div>
    <w:div w:id="316420165">
      <w:bodyDiv w:val="1"/>
      <w:marLeft w:val="0"/>
      <w:marRight w:val="0"/>
      <w:marTop w:val="0"/>
      <w:marBottom w:val="0"/>
      <w:divBdr>
        <w:top w:val="none" w:sz="0" w:space="0" w:color="auto"/>
        <w:left w:val="none" w:sz="0" w:space="0" w:color="auto"/>
        <w:bottom w:val="none" w:sz="0" w:space="0" w:color="auto"/>
        <w:right w:val="none" w:sz="0" w:space="0" w:color="auto"/>
      </w:divBdr>
    </w:div>
    <w:div w:id="316420510">
      <w:bodyDiv w:val="1"/>
      <w:marLeft w:val="0"/>
      <w:marRight w:val="0"/>
      <w:marTop w:val="0"/>
      <w:marBottom w:val="0"/>
      <w:divBdr>
        <w:top w:val="none" w:sz="0" w:space="0" w:color="auto"/>
        <w:left w:val="none" w:sz="0" w:space="0" w:color="auto"/>
        <w:bottom w:val="none" w:sz="0" w:space="0" w:color="auto"/>
        <w:right w:val="none" w:sz="0" w:space="0" w:color="auto"/>
      </w:divBdr>
    </w:div>
    <w:div w:id="316568796">
      <w:bodyDiv w:val="1"/>
      <w:marLeft w:val="0"/>
      <w:marRight w:val="0"/>
      <w:marTop w:val="0"/>
      <w:marBottom w:val="0"/>
      <w:divBdr>
        <w:top w:val="none" w:sz="0" w:space="0" w:color="auto"/>
        <w:left w:val="none" w:sz="0" w:space="0" w:color="auto"/>
        <w:bottom w:val="none" w:sz="0" w:space="0" w:color="auto"/>
        <w:right w:val="none" w:sz="0" w:space="0" w:color="auto"/>
      </w:divBdr>
    </w:div>
    <w:div w:id="316736731">
      <w:bodyDiv w:val="1"/>
      <w:marLeft w:val="0"/>
      <w:marRight w:val="0"/>
      <w:marTop w:val="0"/>
      <w:marBottom w:val="0"/>
      <w:divBdr>
        <w:top w:val="none" w:sz="0" w:space="0" w:color="auto"/>
        <w:left w:val="none" w:sz="0" w:space="0" w:color="auto"/>
        <w:bottom w:val="none" w:sz="0" w:space="0" w:color="auto"/>
        <w:right w:val="none" w:sz="0" w:space="0" w:color="auto"/>
      </w:divBdr>
    </w:div>
    <w:div w:id="316812391">
      <w:bodyDiv w:val="1"/>
      <w:marLeft w:val="0"/>
      <w:marRight w:val="0"/>
      <w:marTop w:val="0"/>
      <w:marBottom w:val="0"/>
      <w:divBdr>
        <w:top w:val="none" w:sz="0" w:space="0" w:color="auto"/>
        <w:left w:val="none" w:sz="0" w:space="0" w:color="auto"/>
        <w:bottom w:val="none" w:sz="0" w:space="0" w:color="auto"/>
        <w:right w:val="none" w:sz="0" w:space="0" w:color="auto"/>
      </w:divBdr>
    </w:div>
    <w:div w:id="316882751">
      <w:bodyDiv w:val="1"/>
      <w:marLeft w:val="0"/>
      <w:marRight w:val="0"/>
      <w:marTop w:val="0"/>
      <w:marBottom w:val="0"/>
      <w:divBdr>
        <w:top w:val="none" w:sz="0" w:space="0" w:color="auto"/>
        <w:left w:val="none" w:sz="0" w:space="0" w:color="auto"/>
        <w:bottom w:val="none" w:sz="0" w:space="0" w:color="auto"/>
        <w:right w:val="none" w:sz="0" w:space="0" w:color="auto"/>
      </w:divBdr>
    </w:div>
    <w:div w:id="316883230">
      <w:bodyDiv w:val="1"/>
      <w:marLeft w:val="0"/>
      <w:marRight w:val="0"/>
      <w:marTop w:val="0"/>
      <w:marBottom w:val="0"/>
      <w:divBdr>
        <w:top w:val="none" w:sz="0" w:space="0" w:color="auto"/>
        <w:left w:val="none" w:sz="0" w:space="0" w:color="auto"/>
        <w:bottom w:val="none" w:sz="0" w:space="0" w:color="auto"/>
        <w:right w:val="none" w:sz="0" w:space="0" w:color="auto"/>
      </w:divBdr>
    </w:div>
    <w:div w:id="316997934">
      <w:bodyDiv w:val="1"/>
      <w:marLeft w:val="0"/>
      <w:marRight w:val="0"/>
      <w:marTop w:val="0"/>
      <w:marBottom w:val="0"/>
      <w:divBdr>
        <w:top w:val="none" w:sz="0" w:space="0" w:color="auto"/>
        <w:left w:val="none" w:sz="0" w:space="0" w:color="auto"/>
        <w:bottom w:val="none" w:sz="0" w:space="0" w:color="auto"/>
        <w:right w:val="none" w:sz="0" w:space="0" w:color="auto"/>
      </w:divBdr>
    </w:div>
    <w:div w:id="316999186">
      <w:bodyDiv w:val="1"/>
      <w:marLeft w:val="0"/>
      <w:marRight w:val="0"/>
      <w:marTop w:val="0"/>
      <w:marBottom w:val="0"/>
      <w:divBdr>
        <w:top w:val="none" w:sz="0" w:space="0" w:color="auto"/>
        <w:left w:val="none" w:sz="0" w:space="0" w:color="auto"/>
        <w:bottom w:val="none" w:sz="0" w:space="0" w:color="auto"/>
        <w:right w:val="none" w:sz="0" w:space="0" w:color="auto"/>
      </w:divBdr>
    </w:div>
    <w:div w:id="317149947">
      <w:bodyDiv w:val="1"/>
      <w:marLeft w:val="0"/>
      <w:marRight w:val="0"/>
      <w:marTop w:val="0"/>
      <w:marBottom w:val="0"/>
      <w:divBdr>
        <w:top w:val="none" w:sz="0" w:space="0" w:color="auto"/>
        <w:left w:val="none" w:sz="0" w:space="0" w:color="auto"/>
        <w:bottom w:val="none" w:sz="0" w:space="0" w:color="auto"/>
        <w:right w:val="none" w:sz="0" w:space="0" w:color="auto"/>
      </w:divBdr>
    </w:div>
    <w:div w:id="317342788">
      <w:bodyDiv w:val="1"/>
      <w:marLeft w:val="0"/>
      <w:marRight w:val="0"/>
      <w:marTop w:val="0"/>
      <w:marBottom w:val="0"/>
      <w:divBdr>
        <w:top w:val="none" w:sz="0" w:space="0" w:color="auto"/>
        <w:left w:val="none" w:sz="0" w:space="0" w:color="auto"/>
        <w:bottom w:val="none" w:sz="0" w:space="0" w:color="auto"/>
        <w:right w:val="none" w:sz="0" w:space="0" w:color="auto"/>
      </w:divBdr>
    </w:div>
    <w:div w:id="317461302">
      <w:bodyDiv w:val="1"/>
      <w:marLeft w:val="0"/>
      <w:marRight w:val="0"/>
      <w:marTop w:val="0"/>
      <w:marBottom w:val="0"/>
      <w:divBdr>
        <w:top w:val="none" w:sz="0" w:space="0" w:color="auto"/>
        <w:left w:val="none" w:sz="0" w:space="0" w:color="auto"/>
        <w:bottom w:val="none" w:sz="0" w:space="0" w:color="auto"/>
        <w:right w:val="none" w:sz="0" w:space="0" w:color="auto"/>
      </w:divBdr>
    </w:div>
    <w:div w:id="317539483">
      <w:bodyDiv w:val="1"/>
      <w:marLeft w:val="0"/>
      <w:marRight w:val="0"/>
      <w:marTop w:val="0"/>
      <w:marBottom w:val="0"/>
      <w:divBdr>
        <w:top w:val="none" w:sz="0" w:space="0" w:color="auto"/>
        <w:left w:val="none" w:sz="0" w:space="0" w:color="auto"/>
        <w:bottom w:val="none" w:sz="0" w:space="0" w:color="auto"/>
        <w:right w:val="none" w:sz="0" w:space="0" w:color="auto"/>
      </w:divBdr>
    </w:div>
    <w:div w:id="317539790">
      <w:bodyDiv w:val="1"/>
      <w:marLeft w:val="0"/>
      <w:marRight w:val="0"/>
      <w:marTop w:val="0"/>
      <w:marBottom w:val="0"/>
      <w:divBdr>
        <w:top w:val="none" w:sz="0" w:space="0" w:color="auto"/>
        <w:left w:val="none" w:sz="0" w:space="0" w:color="auto"/>
        <w:bottom w:val="none" w:sz="0" w:space="0" w:color="auto"/>
        <w:right w:val="none" w:sz="0" w:space="0" w:color="auto"/>
      </w:divBdr>
    </w:div>
    <w:div w:id="317612764">
      <w:bodyDiv w:val="1"/>
      <w:marLeft w:val="0"/>
      <w:marRight w:val="0"/>
      <w:marTop w:val="0"/>
      <w:marBottom w:val="0"/>
      <w:divBdr>
        <w:top w:val="none" w:sz="0" w:space="0" w:color="auto"/>
        <w:left w:val="none" w:sz="0" w:space="0" w:color="auto"/>
        <w:bottom w:val="none" w:sz="0" w:space="0" w:color="auto"/>
        <w:right w:val="none" w:sz="0" w:space="0" w:color="auto"/>
      </w:divBdr>
    </w:div>
    <w:div w:id="317653000">
      <w:bodyDiv w:val="1"/>
      <w:marLeft w:val="0"/>
      <w:marRight w:val="0"/>
      <w:marTop w:val="0"/>
      <w:marBottom w:val="0"/>
      <w:divBdr>
        <w:top w:val="none" w:sz="0" w:space="0" w:color="auto"/>
        <w:left w:val="none" w:sz="0" w:space="0" w:color="auto"/>
        <w:bottom w:val="none" w:sz="0" w:space="0" w:color="auto"/>
        <w:right w:val="none" w:sz="0" w:space="0" w:color="auto"/>
      </w:divBdr>
    </w:div>
    <w:div w:id="317731101">
      <w:bodyDiv w:val="1"/>
      <w:marLeft w:val="0"/>
      <w:marRight w:val="0"/>
      <w:marTop w:val="0"/>
      <w:marBottom w:val="0"/>
      <w:divBdr>
        <w:top w:val="none" w:sz="0" w:space="0" w:color="auto"/>
        <w:left w:val="none" w:sz="0" w:space="0" w:color="auto"/>
        <w:bottom w:val="none" w:sz="0" w:space="0" w:color="auto"/>
        <w:right w:val="none" w:sz="0" w:space="0" w:color="auto"/>
      </w:divBdr>
    </w:div>
    <w:div w:id="317809959">
      <w:bodyDiv w:val="1"/>
      <w:marLeft w:val="0"/>
      <w:marRight w:val="0"/>
      <w:marTop w:val="0"/>
      <w:marBottom w:val="0"/>
      <w:divBdr>
        <w:top w:val="none" w:sz="0" w:space="0" w:color="auto"/>
        <w:left w:val="none" w:sz="0" w:space="0" w:color="auto"/>
        <w:bottom w:val="none" w:sz="0" w:space="0" w:color="auto"/>
        <w:right w:val="none" w:sz="0" w:space="0" w:color="auto"/>
      </w:divBdr>
    </w:div>
    <w:div w:id="317925253">
      <w:bodyDiv w:val="1"/>
      <w:marLeft w:val="0"/>
      <w:marRight w:val="0"/>
      <w:marTop w:val="0"/>
      <w:marBottom w:val="0"/>
      <w:divBdr>
        <w:top w:val="none" w:sz="0" w:space="0" w:color="auto"/>
        <w:left w:val="none" w:sz="0" w:space="0" w:color="auto"/>
        <w:bottom w:val="none" w:sz="0" w:space="0" w:color="auto"/>
        <w:right w:val="none" w:sz="0" w:space="0" w:color="auto"/>
      </w:divBdr>
    </w:div>
    <w:div w:id="317999318">
      <w:bodyDiv w:val="1"/>
      <w:marLeft w:val="0"/>
      <w:marRight w:val="0"/>
      <w:marTop w:val="0"/>
      <w:marBottom w:val="0"/>
      <w:divBdr>
        <w:top w:val="none" w:sz="0" w:space="0" w:color="auto"/>
        <w:left w:val="none" w:sz="0" w:space="0" w:color="auto"/>
        <w:bottom w:val="none" w:sz="0" w:space="0" w:color="auto"/>
        <w:right w:val="none" w:sz="0" w:space="0" w:color="auto"/>
      </w:divBdr>
    </w:div>
    <w:div w:id="318071785">
      <w:bodyDiv w:val="1"/>
      <w:marLeft w:val="0"/>
      <w:marRight w:val="0"/>
      <w:marTop w:val="0"/>
      <w:marBottom w:val="0"/>
      <w:divBdr>
        <w:top w:val="none" w:sz="0" w:space="0" w:color="auto"/>
        <w:left w:val="none" w:sz="0" w:space="0" w:color="auto"/>
        <w:bottom w:val="none" w:sz="0" w:space="0" w:color="auto"/>
        <w:right w:val="none" w:sz="0" w:space="0" w:color="auto"/>
      </w:divBdr>
    </w:div>
    <w:div w:id="318118011">
      <w:bodyDiv w:val="1"/>
      <w:marLeft w:val="0"/>
      <w:marRight w:val="0"/>
      <w:marTop w:val="0"/>
      <w:marBottom w:val="0"/>
      <w:divBdr>
        <w:top w:val="none" w:sz="0" w:space="0" w:color="auto"/>
        <w:left w:val="none" w:sz="0" w:space="0" w:color="auto"/>
        <w:bottom w:val="none" w:sz="0" w:space="0" w:color="auto"/>
        <w:right w:val="none" w:sz="0" w:space="0" w:color="auto"/>
      </w:divBdr>
    </w:div>
    <w:div w:id="318120805">
      <w:bodyDiv w:val="1"/>
      <w:marLeft w:val="0"/>
      <w:marRight w:val="0"/>
      <w:marTop w:val="0"/>
      <w:marBottom w:val="0"/>
      <w:divBdr>
        <w:top w:val="none" w:sz="0" w:space="0" w:color="auto"/>
        <w:left w:val="none" w:sz="0" w:space="0" w:color="auto"/>
        <w:bottom w:val="none" w:sz="0" w:space="0" w:color="auto"/>
        <w:right w:val="none" w:sz="0" w:space="0" w:color="auto"/>
      </w:divBdr>
    </w:div>
    <w:div w:id="318192463">
      <w:bodyDiv w:val="1"/>
      <w:marLeft w:val="0"/>
      <w:marRight w:val="0"/>
      <w:marTop w:val="0"/>
      <w:marBottom w:val="0"/>
      <w:divBdr>
        <w:top w:val="none" w:sz="0" w:space="0" w:color="auto"/>
        <w:left w:val="none" w:sz="0" w:space="0" w:color="auto"/>
        <w:bottom w:val="none" w:sz="0" w:space="0" w:color="auto"/>
        <w:right w:val="none" w:sz="0" w:space="0" w:color="auto"/>
      </w:divBdr>
    </w:div>
    <w:div w:id="318266307">
      <w:bodyDiv w:val="1"/>
      <w:marLeft w:val="0"/>
      <w:marRight w:val="0"/>
      <w:marTop w:val="0"/>
      <w:marBottom w:val="0"/>
      <w:divBdr>
        <w:top w:val="none" w:sz="0" w:space="0" w:color="auto"/>
        <w:left w:val="none" w:sz="0" w:space="0" w:color="auto"/>
        <w:bottom w:val="none" w:sz="0" w:space="0" w:color="auto"/>
        <w:right w:val="none" w:sz="0" w:space="0" w:color="auto"/>
      </w:divBdr>
    </w:div>
    <w:div w:id="318390355">
      <w:bodyDiv w:val="1"/>
      <w:marLeft w:val="0"/>
      <w:marRight w:val="0"/>
      <w:marTop w:val="0"/>
      <w:marBottom w:val="0"/>
      <w:divBdr>
        <w:top w:val="none" w:sz="0" w:space="0" w:color="auto"/>
        <w:left w:val="none" w:sz="0" w:space="0" w:color="auto"/>
        <w:bottom w:val="none" w:sz="0" w:space="0" w:color="auto"/>
        <w:right w:val="none" w:sz="0" w:space="0" w:color="auto"/>
      </w:divBdr>
    </w:div>
    <w:div w:id="318391875">
      <w:bodyDiv w:val="1"/>
      <w:marLeft w:val="0"/>
      <w:marRight w:val="0"/>
      <w:marTop w:val="0"/>
      <w:marBottom w:val="0"/>
      <w:divBdr>
        <w:top w:val="none" w:sz="0" w:space="0" w:color="auto"/>
        <w:left w:val="none" w:sz="0" w:space="0" w:color="auto"/>
        <w:bottom w:val="none" w:sz="0" w:space="0" w:color="auto"/>
        <w:right w:val="none" w:sz="0" w:space="0" w:color="auto"/>
      </w:divBdr>
    </w:div>
    <w:div w:id="318459320">
      <w:bodyDiv w:val="1"/>
      <w:marLeft w:val="0"/>
      <w:marRight w:val="0"/>
      <w:marTop w:val="0"/>
      <w:marBottom w:val="0"/>
      <w:divBdr>
        <w:top w:val="none" w:sz="0" w:space="0" w:color="auto"/>
        <w:left w:val="none" w:sz="0" w:space="0" w:color="auto"/>
        <w:bottom w:val="none" w:sz="0" w:space="0" w:color="auto"/>
        <w:right w:val="none" w:sz="0" w:space="0" w:color="auto"/>
      </w:divBdr>
    </w:div>
    <w:div w:id="318461949">
      <w:bodyDiv w:val="1"/>
      <w:marLeft w:val="0"/>
      <w:marRight w:val="0"/>
      <w:marTop w:val="0"/>
      <w:marBottom w:val="0"/>
      <w:divBdr>
        <w:top w:val="none" w:sz="0" w:space="0" w:color="auto"/>
        <w:left w:val="none" w:sz="0" w:space="0" w:color="auto"/>
        <w:bottom w:val="none" w:sz="0" w:space="0" w:color="auto"/>
        <w:right w:val="none" w:sz="0" w:space="0" w:color="auto"/>
      </w:divBdr>
    </w:div>
    <w:div w:id="318537294">
      <w:bodyDiv w:val="1"/>
      <w:marLeft w:val="0"/>
      <w:marRight w:val="0"/>
      <w:marTop w:val="0"/>
      <w:marBottom w:val="0"/>
      <w:divBdr>
        <w:top w:val="none" w:sz="0" w:space="0" w:color="auto"/>
        <w:left w:val="none" w:sz="0" w:space="0" w:color="auto"/>
        <w:bottom w:val="none" w:sz="0" w:space="0" w:color="auto"/>
        <w:right w:val="none" w:sz="0" w:space="0" w:color="auto"/>
      </w:divBdr>
    </w:div>
    <w:div w:id="318537431">
      <w:bodyDiv w:val="1"/>
      <w:marLeft w:val="0"/>
      <w:marRight w:val="0"/>
      <w:marTop w:val="0"/>
      <w:marBottom w:val="0"/>
      <w:divBdr>
        <w:top w:val="none" w:sz="0" w:space="0" w:color="auto"/>
        <w:left w:val="none" w:sz="0" w:space="0" w:color="auto"/>
        <w:bottom w:val="none" w:sz="0" w:space="0" w:color="auto"/>
        <w:right w:val="none" w:sz="0" w:space="0" w:color="auto"/>
      </w:divBdr>
    </w:div>
    <w:div w:id="318656379">
      <w:bodyDiv w:val="1"/>
      <w:marLeft w:val="0"/>
      <w:marRight w:val="0"/>
      <w:marTop w:val="0"/>
      <w:marBottom w:val="0"/>
      <w:divBdr>
        <w:top w:val="none" w:sz="0" w:space="0" w:color="auto"/>
        <w:left w:val="none" w:sz="0" w:space="0" w:color="auto"/>
        <w:bottom w:val="none" w:sz="0" w:space="0" w:color="auto"/>
        <w:right w:val="none" w:sz="0" w:space="0" w:color="auto"/>
      </w:divBdr>
    </w:div>
    <w:div w:id="318776560">
      <w:bodyDiv w:val="1"/>
      <w:marLeft w:val="0"/>
      <w:marRight w:val="0"/>
      <w:marTop w:val="0"/>
      <w:marBottom w:val="0"/>
      <w:divBdr>
        <w:top w:val="none" w:sz="0" w:space="0" w:color="auto"/>
        <w:left w:val="none" w:sz="0" w:space="0" w:color="auto"/>
        <w:bottom w:val="none" w:sz="0" w:space="0" w:color="auto"/>
        <w:right w:val="none" w:sz="0" w:space="0" w:color="auto"/>
      </w:divBdr>
    </w:div>
    <w:div w:id="318846010">
      <w:bodyDiv w:val="1"/>
      <w:marLeft w:val="0"/>
      <w:marRight w:val="0"/>
      <w:marTop w:val="0"/>
      <w:marBottom w:val="0"/>
      <w:divBdr>
        <w:top w:val="none" w:sz="0" w:space="0" w:color="auto"/>
        <w:left w:val="none" w:sz="0" w:space="0" w:color="auto"/>
        <w:bottom w:val="none" w:sz="0" w:space="0" w:color="auto"/>
        <w:right w:val="none" w:sz="0" w:space="0" w:color="auto"/>
      </w:divBdr>
    </w:div>
    <w:div w:id="318853604">
      <w:bodyDiv w:val="1"/>
      <w:marLeft w:val="0"/>
      <w:marRight w:val="0"/>
      <w:marTop w:val="0"/>
      <w:marBottom w:val="0"/>
      <w:divBdr>
        <w:top w:val="none" w:sz="0" w:space="0" w:color="auto"/>
        <w:left w:val="none" w:sz="0" w:space="0" w:color="auto"/>
        <w:bottom w:val="none" w:sz="0" w:space="0" w:color="auto"/>
        <w:right w:val="none" w:sz="0" w:space="0" w:color="auto"/>
      </w:divBdr>
    </w:div>
    <w:div w:id="318921788">
      <w:bodyDiv w:val="1"/>
      <w:marLeft w:val="0"/>
      <w:marRight w:val="0"/>
      <w:marTop w:val="0"/>
      <w:marBottom w:val="0"/>
      <w:divBdr>
        <w:top w:val="none" w:sz="0" w:space="0" w:color="auto"/>
        <w:left w:val="none" w:sz="0" w:space="0" w:color="auto"/>
        <w:bottom w:val="none" w:sz="0" w:space="0" w:color="auto"/>
        <w:right w:val="none" w:sz="0" w:space="0" w:color="auto"/>
      </w:divBdr>
    </w:div>
    <w:div w:id="318965227">
      <w:bodyDiv w:val="1"/>
      <w:marLeft w:val="0"/>
      <w:marRight w:val="0"/>
      <w:marTop w:val="0"/>
      <w:marBottom w:val="0"/>
      <w:divBdr>
        <w:top w:val="none" w:sz="0" w:space="0" w:color="auto"/>
        <w:left w:val="none" w:sz="0" w:space="0" w:color="auto"/>
        <w:bottom w:val="none" w:sz="0" w:space="0" w:color="auto"/>
        <w:right w:val="none" w:sz="0" w:space="0" w:color="auto"/>
      </w:divBdr>
    </w:div>
    <w:div w:id="318967975">
      <w:bodyDiv w:val="1"/>
      <w:marLeft w:val="0"/>
      <w:marRight w:val="0"/>
      <w:marTop w:val="0"/>
      <w:marBottom w:val="0"/>
      <w:divBdr>
        <w:top w:val="none" w:sz="0" w:space="0" w:color="auto"/>
        <w:left w:val="none" w:sz="0" w:space="0" w:color="auto"/>
        <w:bottom w:val="none" w:sz="0" w:space="0" w:color="auto"/>
        <w:right w:val="none" w:sz="0" w:space="0" w:color="auto"/>
      </w:divBdr>
    </w:div>
    <w:div w:id="318968511">
      <w:bodyDiv w:val="1"/>
      <w:marLeft w:val="0"/>
      <w:marRight w:val="0"/>
      <w:marTop w:val="0"/>
      <w:marBottom w:val="0"/>
      <w:divBdr>
        <w:top w:val="none" w:sz="0" w:space="0" w:color="auto"/>
        <w:left w:val="none" w:sz="0" w:space="0" w:color="auto"/>
        <w:bottom w:val="none" w:sz="0" w:space="0" w:color="auto"/>
        <w:right w:val="none" w:sz="0" w:space="0" w:color="auto"/>
      </w:divBdr>
    </w:div>
    <w:div w:id="318970858">
      <w:bodyDiv w:val="1"/>
      <w:marLeft w:val="0"/>
      <w:marRight w:val="0"/>
      <w:marTop w:val="0"/>
      <w:marBottom w:val="0"/>
      <w:divBdr>
        <w:top w:val="none" w:sz="0" w:space="0" w:color="auto"/>
        <w:left w:val="none" w:sz="0" w:space="0" w:color="auto"/>
        <w:bottom w:val="none" w:sz="0" w:space="0" w:color="auto"/>
        <w:right w:val="none" w:sz="0" w:space="0" w:color="auto"/>
      </w:divBdr>
    </w:div>
    <w:div w:id="319116619">
      <w:bodyDiv w:val="1"/>
      <w:marLeft w:val="0"/>
      <w:marRight w:val="0"/>
      <w:marTop w:val="0"/>
      <w:marBottom w:val="0"/>
      <w:divBdr>
        <w:top w:val="none" w:sz="0" w:space="0" w:color="auto"/>
        <w:left w:val="none" w:sz="0" w:space="0" w:color="auto"/>
        <w:bottom w:val="none" w:sz="0" w:space="0" w:color="auto"/>
        <w:right w:val="none" w:sz="0" w:space="0" w:color="auto"/>
      </w:divBdr>
    </w:div>
    <w:div w:id="319116930">
      <w:bodyDiv w:val="1"/>
      <w:marLeft w:val="0"/>
      <w:marRight w:val="0"/>
      <w:marTop w:val="0"/>
      <w:marBottom w:val="0"/>
      <w:divBdr>
        <w:top w:val="none" w:sz="0" w:space="0" w:color="auto"/>
        <w:left w:val="none" w:sz="0" w:space="0" w:color="auto"/>
        <w:bottom w:val="none" w:sz="0" w:space="0" w:color="auto"/>
        <w:right w:val="none" w:sz="0" w:space="0" w:color="auto"/>
      </w:divBdr>
    </w:div>
    <w:div w:id="319122534">
      <w:bodyDiv w:val="1"/>
      <w:marLeft w:val="0"/>
      <w:marRight w:val="0"/>
      <w:marTop w:val="0"/>
      <w:marBottom w:val="0"/>
      <w:divBdr>
        <w:top w:val="none" w:sz="0" w:space="0" w:color="auto"/>
        <w:left w:val="none" w:sz="0" w:space="0" w:color="auto"/>
        <w:bottom w:val="none" w:sz="0" w:space="0" w:color="auto"/>
        <w:right w:val="none" w:sz="0" w:space="0" w:color="auto"/>
      </w:divBdr>
    </w:div>
    <w:div w:id="319164160">
      <w:bodyDiv w:val="1"/>
      <w:marLeft w:val="0"/>
      <w:marRight w:val="0"/>
      <w:marTop w:val="0"/>
      <w:marBottom w:val="0"/>
      <w:divBdr>
        <w:top w:val="none" w:sz="0" w:space="0" w:color="auto"/>
        <w:left w:val="none" w:sz="0" w:space="0" w:color="auto"/>
        <w:bottom w:val="none" w:sz="0" w:space="0" w:color="auto"/>
        <w:right w:val="none" w:sz="0" w:space="0" w:color="auto"/>
      </w:divBdr>
    </w:div>
    <w:div w:id="319309814">
      <w:bodyDiv w:val="1"/>
      <w:marLeft w:val="0"/>
      <w:marRight w:val="0"/>
      <w:marTop w:val="0"/>
      <w:marBottom w:val="0"/>
      <w:divBdr>
        <w:top w:val="none" w:sz="0" w:space="0" w:color="auto"/>
        <w:left w:val="none" w:sz="0" w:space="0" w:color="auto"/>
        <w:bottom w:val="none" w:sz="0" w:space="0" w:color="auto"/>
        <w:right w:val="none" w:sz="0" w:space="0" w:color="auto"/>
      </w:divBdr>
    </w:div>
    <w:div w:id="319315885">
      <w:bodyDiv w:val="1"/>
      <w:marLeft w:val="0"/>
      <w:marRight w:val="0"/>
      <w:marTop w:val="0"/>
      <w:marBottom w:val="0"/>
      <w:divBdr>
        <w:top w:val="none" w:sz="0" w:space="0" w:color="auto"/>
        <w:left w:val="none" w:sz="0" w:space="0" w:color="auto"/>
        <w:bottom w:val="none" w:sz="0" w:space="0" w:color="auto"/>
        <w:right w:val="none" w:sz="0" w:space="0" w:color="auto"/>
      </w:divBdr>
    </w:div>
    <w:div w:id="319382771">
      <w:bodyDiv w:val="1"/>
      <w:marLeft w:val="0"/>
      <w:marRight w:val="0"/>
      <w:marTop w:val="0"/>
      <w:marBottom w:val="0"/>
      <w:divBdr>
        <w:top w:val="none" w:sz="0" w:space="0" w:color="auto"/>
        <w:left w:val="none" w:sz="0" w:space="0" w:color="auto"/>
        <w:bottom w:val="none" w:sz="0" w:space="0" w:color="auto"/>
        <w:right w:val="none" w:sz="0" w:space="0" w:color="auto"/>
      </w:divBdr>
    </w:div>
    <w:div w:id="319384370">
      <w:bodyDiv w:val="1"/>
      <w:marLeft w:val="0"/>
      <w:marRight w:val="0"/>
      <w:marTop w:val="0"/>
      <w:marBottom w:val="0"/>
      <w:divBdr>
        <w:top w:val="none" w:sz="0" w:space="0" w:color="auto"/>
        <w:left w:val="none" w:sz="0" w:space="0" w:color="auto"/>
        <w:bottom w:val="none" w:sz="0" w:space="0" w:color="auto"/>
        <w:right w:val="none" w:sz="0" w:space="0" w:color="auto"/>
      </w:divBdr>
    </w:div>
    <w:div w:id="319583490">
      <w:bodyDiv w:val="1"/>
      <w:marLeft w:val="0"/>
      <w:marRight w:val="0"/>
      <w:marTop w:val="0"/>
      <w:marBottom w:val="0"/>
      <w:divBdr>
        <w:top w:val="none" w:sz="0" w:space="0" w:color="auto"/>
        <w:left w:val="none" w:sz="0" w:space="0" w:color="auto"/>
        <w:bottom w:val="none" w:sz="0" w:space="0" w:color="auto"/>
        <w:right w:val="none" w:sz="0" w:space="0" w:color="auto"/>
      </w:divBdr>
    </w:div>
    <w:div w:id="319584175">
      <w:bodyDiv w:val="1"/>
      <w:marLeft w:val="0"/>
      <w:marRight w:val="0"/>
      <w:marTop w:val="0"/>
      <w:marBottom w:val="0"/>
      <w:divBdr>
        <w:top w:val="none" w:sz="0" w:space="0" w:color="auto"/>
        <w:left w:val="none" w:sz="0" w:space="0" w:color="auto"/>
        <w:bottom w:val="none" w:sz="0" w:space="0" w:color="auto"/>
        <w:right w:val="none" w:sz="0" w:space="0" w:color="auto"/>
      </w:divBdr>
    </w:div>
    <w:div w:id="319969670">
      <w:bodyDiv w:val="1"/>
      <w:marLeft w:val="0"/>
      <w:marRight w:val="0"/>
      <w:marTop w:val="0"/>
      <w:marBottom w:val="0"/>
      <w:divBdr>
        <w:top w:val="none" w:sz="0" w:space="0" w:color="auto"/>
        <w:left w:val="none" w:sz="0" w:space="0" w:color="auto"/>
        <w:bottom w:val="none" w:sz="0" w:space="0" w:color="auto"/>
        <w:right w:val="none" w:sz="0" w:space="0" w:color="auto"/>
      </w:divBdr>
    </w:div>
    <w:div w:id="320159376">
      <w:bodyDiv w:val="1"/>
      <w:marLeft w:val="0"/>
      <w:marRight w:val="0"/>
      <w:marTop w:val="0"/>
      <w:marBottom w:val="0"/>
      <w:divBdr>
        <w:top w:val="none" w:sz="0" w:space="0" w:color="auto"/>
        <w:left w:val="none" w:sz="0" w:space="0" w:color="auto"/>
        <w:bottom w:val="none" w:sz="0" w:space="0" w:color="auto"/>
        <w:right w:val="none" w:sz="0" w:space="0" w:color="auto"/>
      </w:divBdr>
    </w:div>
    <w:div w:id="320164177">
      <w:bodyDiv w:val="1"/>
      <w:marLeft w:val="0"/>
      <w:marRight w:val="0"/>
      <w:marTop w:val="0"/>
      <w:marBottom w:val="0"/>
      <w:divBdr>
        <w:top w:val="none" w:sz="0" w:space="0" w:color="auto"/>
        <w:left w:val="none" w:sz="0" w:space="0" w:color="auto"/>
        <w:bottom w:val="none" w:sz="0" w:space="0" w:color="auto"/>
        <w:right w:val="none" w:sz="0" w:space="0" w:color="auto"/>
      </w:divBdr>
    </w:div>
    <w:div w:id="320235547">
      <w:bodyDiv w:val="1"/>
      <w:marLeft w:val="0"/>
      <w:marRight w:val="0"/>
      <w:marTop w:val="0"/>
      <w:marBottom w:val="0"/>
      <w:divBdr>
        <w:top w:val="none" w:sz="0" w:space="0" w:color="auto"/>
        <w:left w:val="none" w:sz="0" w:space="0" w:color="auto"/>
        <w:bottom w:val="none" w:sz="0" w:space="0" w:color="auto"/>
        <w:right w:val="none" w:sz="0" w:space="0" w:color="auto"/>
      </w:divBdr>
    </w:div>
    <w:div w:id="320276791">
      <w:bodyDiv w:val="1"/>
      <w:marLeft w:val="0"/>
      <w:marRight w:val="0"/>
      <w:marTop w:val="0"/>
      <w:marBottom w:val="0"/>
      <w:divBdr>
        <w:top w:val="none" w:sz="0" w:space="0" w:color="auto"/>
        <w:left w:val="none" w:sz="0" w:space="0" w:color="auto"/>
        <w:bottom w:val="none" w:sz="0" w:space="0" w:color="auto"/>
        <w:right w:val="none" w:sz="0" w:space="0" w:color="auto"/>
      </w:divBdr>
    </w:div>
    <w:div w:id="320278690">
      <w:bodyDiv w:val="1"/>
      <w:marLeft w:val="0"/>
      <w:marRight w:val="0"/>
      <w:marTop w:val="0"/>
      <w:marBottom w:val="0"/>
      <w:divBdr>
        <w:top w:val="none" w:sz="0" w:space="0" w:color="auto"/>
        <w:left w:val="none" w:sz="0" w:space="0" w:color="auto"/>
        <w:bottom w:val="none" w:sz="0" w:space="0" w:color="auto"/>
        <w:right w:val="none" w:sz="0" w:space="0" w:color="auto"/>
      </w:divBdr>
    </w:div>
    <w:div w:id="320428466">
      <w:bodyDiv w:val="1"/>
      <w:marLeft w:val="0"/>
      <w:marRight w:val="0"/>
      <w:marTop w:val="0"/>
      <w:marBottom w:val="0"/>
      <w:divBdr>
        <w:top w:val="none" w:sz="0" w:space="0" w:color="auto"/>
        <w:left w:val="none" w:sz="0" w:space="0" w:color="auto"/>
        <w:bottom w:val="none" w:sz="0" w:space="0" w:color="auto"/>
        <w:right w:val="none" w:sz="0" w:space="0" w:color="auto"/>
      </w:divBdr>
    </w:div>
    <w:div w:id="320500784">
      <w:bodyDiv w:val="1"/>
      <w:marLeft w:val="0"/>
      <w:marRight w:val="0"/>
      <w:marTop w:val="0"/>
      <w:marBottom w:val="0"/>
      <w:divBdr>
        <w:top w:val="none" w:sz="0" w:space="0" w:color="auto"/>
        <w:left w:val="none" w:sz="0" w:space="0" w:color="auto"/>
        <w:bottom w:val="none" w:sz="0" w:space="0" w:color="auto"/>
        <w:right w:val="none" w:sz="0" w:space="0" w:color="auto"/>
      </w:divBdr>
    </w:div>
    <w:div w:id="320624438">
      <w:bodyDiv w:val="1"/>
      <w:marLeft w:val="0"/>
      <w:marRight w:val="0"/>
      <w:marTop w:val="0"/>
      <w:marBottom w:val="0"/>
      <w:divBdr>
        <w:top w:val="none" w:sz="0" w:space="0" w:color="auto"/>
        <w:left w:val="none" w:sz="0" w:space="0" w:color="auto"/>
        <w:bottom w:val="none" w:sz="0" w:space="0" w:color="auto"/>
        <w:right w:val="none" w:sz="0" w:space="0" w:color="auto"/>
      </w:divBdr>
    </w:div>
    <w:div w:id="320816038">
      <w:bodyDiv w:val="1"/>
      <w:marLeft w:val="0"/>
      <w:marRight w:val="0"/>
      <w:marTop w:val="0"/>
      <w:marBottom w:val="0"/>
      <w:divBdr>
        <w:top w:val="none" w:sz="0" w:space="0" w:color="auto"/>
        <w:left w:val="none" w:sz="0" w:space="0" w:color="auto"/>
        <w:bottom w:val="none" w:sz="0" w:space="0" w:color="auto"/>
        <w:right w:val="none" w:sz="0" w:space="0" w:color="auto"/>
      </w:divBdr>
    </w:div>
    <w:div w:id="320934534">
      <w:bodyDiv w:val="1"/>
      <w:marLeft w:val="0"/>
      <w:marRight w:val="0"/>
      <w:marTop w:val="0"/>
      <w:marBottom w:val="0"/>
      <w:divBdr>
        <w:top w:val="none" w:sz="0" w:space="0" w:color="auto"/>
        <w:left w:val="none" w:sz="0" w:space="0" w:color="auto"/>
        <w:bottom w:val="none" w:sz="0" w:space="0" w:color="auto"/>
        <w:right w:val="none" w:sz="0" w:space="0" w:color="auto"/>
      </w:divBdr>
    </w:div>
    <w:div w:id="321004870">
      <w:bodyDiv w:val="1"/>
      <w:marLeft w:val="0"/>
      <w:marRight w:val="0"/>
      <w:marTop w:val="0"/>
      <w:marBottom w:val="0"/>
      <w:divBdr>
        <w:top w:val="none" w:sz="0" w:space="0" w:color="auto"/>
        <w:left w:val="none" w:sz="0" w:space="0" w:color="auto"/>
        <w:bottom w:val="none" w:sz="0" w:space="0" w:color="auto"/>
        <w:right w:val="none" w:sz="0" w:space="0" w:color="auto"/>
      </w:divBdr>
    </w:div>
    <w:div w:id="321126771">
      <w:bodyDiv w:val="1"/>
      <w:marLeft w:val="0"/>
      <w:marRight w:val="0"/>
      <w:marTop w:val="0"/>
      <w:marBottom w:val="0"/>
      <w:divBdr>
        <w:top w:val="none" w:sz="0" w:space="0" w:color="auto"/>
        <w:left w:val="none" w:sz="0" w:space="0" w:color="auto"/>
        <w:bottom w:val="none" w:sz="0" w:space="0" w:color="auto"/>
        <w:right w:val="none" w:sz="0" w:space="0" w:color="auto"/>
      </w:divBdr>
    </w:div>
    <w:div w:id="321157620">
      <w:bodyDiv w:val="1"/>
      <w:marLeft w:val="0"/>
      <w:marRight w:val="0"/>
      <w:marTop w:val="0"/>
      <w:marBottom w:val="0"/>
      <w:divBdr>
        <w:top w:val="none" w:sz="0" w:space="0" w:color="auto"/>
        <w:left w:val="none" w:sz="0" w:space="0" w:color="auto"/>
        <w:bottom w:val="none" w:sz="0" w:space="0" w:color="auto"/>
        <w:right w:val="none" w:sz="0" w:space="0" w:color="auto"/>
      </w:divBdr>
    </w:div>
    <w:div w:id="321206254">
      <w:bodyDiv w:val="1"/>
      <w:marLeft w:val="0"/>
      <w:marRight w:val="0"/>
      <w:marTop w:val="0"/>
      <w:marBottom w:val="0"/>
      <w:divBdr>
        <w:top w:val="none" w:sz="0" w:space="0" w:color="auto"/>
        <w:left w:val="none" w:sz="0" w:space="0" w:color="auto"/>
        <w:bottom w:val="none" w:sz="0" w:space="0" w:color="auto"/>
        <w:right w:val="none" w:sz="0" w:space="0" w:color="auto"/>
      </w:divBdr>
    </w:div>
    <w:div w:id="321275500">
      <w:bodyDiv w:val="1"/>
      <w:marLeft w:val="0"/>
      <w:marRight w:val="0"/>
      <w:marTop w:val="0"/>
      <w:marBottom w:val="0"/>
      <w:divBdr>
        <w:top w:val="none" w:sz="0" w:space="0" w:color="auto"/>
        <w:left w:val="none" w:sz="0" w:space="0" w:color="auto"/>
        <w:bottom w:val="none" w:sz="0" w:space="0" w:color="auto"/>
        <w:right w:val="none" w:sz="0" w:space="0" w:color="auto"/>
      </w:divBdr>
    </w:div>
    <w:div w:id="321281729">
      <w:bodyDiv w:val="1"/>
      <w:marLeft w:val="0"/>
      <w:marRight w:val="0"/>
      <w:marTop w:val="0"/>
      <w:marBottom w:val="0"/>
      <w:divBdr>
        <w:top w:val="none" w:sz="0" w:space="0" w:color="auto"/>
        <w:left w:val="none" w:sz="0" w:space="0" w:color="auto"/>
        <w:bottom w:val="none" w:sz="0" w:space="0" w:color="auto"/>
        <w:right w:val="none" w:sz="0" w:space="0" w:color="auto"/>
      </w:divBdr>
    </w:div>
    <w:div w:id="321324170">
      <w:bodyDiv w:val="1"/>
      <w:marLeft w:val="0"/>
      <w:marRight w:val="0"/>
      <w:marTop w:val="0"/>
      <w:marBottom w:val="0"/>
      <w:divBdr>
        <w:top w:val="none" w:sz="0" w:space="0" w:color="auto"/>
        <w:left w:val="none" w:sz="0" w:space="0" w:color="auto"/>
        <w:bottom w:val="none" w:sz="0" w:space="0" w:color="auto"/>
        <w:right w:val="none" w:sz="0" w:space="0" w:color="auto"/>
      </w:divBdr>
    </w:div>
    <w:div w:id="321348337">
      <w:bodyDiv w:val="1"/>
      <w:marLeft w:val="0"/>
      <w:marRight w:val="0"/>
      <w:marTop w:val="0"/>
      <w:marBottom w:val="0"/>
      <w:divBdr>
        <w:top w:val="none" w:sz="0" w:space="0" w:color="auto"/>
        <w:left w:val="none" w:sz="0" w:space="0" w:color="auto"/>
        <w:bottom w:val="none" w:sz="0" w:space="0" w:color="auto"/>
        <w:right w:val="none" w:sz="0" w:space="0" w:color="auto"/>
      </w:divBdr>
    </w:div>
    <w:div w:id="321399564">
      <w:bodyDiv w:val="1"/>
      <w:marLeft w:val="0"/>
      <w:marRight w:val="0"/>
      <w:marTop w:val="0"/>
      <w:marBottom w:val="0"/>
      <w:divBdr>
        <w:top w:val="none" w:sz="0" w:space="0" w:color="auto"/>
        <w:left w:val="none" w:sz="0" w:space="0" w:color="auto"/>
        <w:bottom w:val="none" w:sz="0" w:space="0" w:color="auto"/>
        <w:right w:val="none" w:sz="0" w:space="0" w:color="auto"/>
      </w:divBdr>
    </w:div>
    <w:div w:id="321471600">
      <w:bodyDiv w:val="1"/>
      <w:marLeft w:val="0"/>
      <w:marRight w:val="0"/>
      <w:marTop w:val="0"/>
      <w:marBottom w:val="0"/>
      <w:divBdr>
        <w:top w:val="none" w:sz="0" w:space="0" w:color="auto"/>
        <w:left w:val="none" w:sz="0" w:space="0" w:color="auto"/>
        <w:bottom w:val="none" w:sz="0" w:space="0" w:color="auto"/>
        <w:right w:val="none" w:sz="0" w:space="0" w:color="auto"/>
      </w:divBdr>
    </w:div>
    <w:div w:id="321592546">
      <w:bodyDiv w:val="1"/>
      <w:marLeft w:val="0"/>
      <w:marRight w:val="0"/>
      <w:marTop w:val="0"/>
      <w:marBottom w:val="0"/>
      <w:divBdr>
        <w:top w:val="none" w:sz="0" w:space="0" w:color="auto"/>
        <w:left w:val="none" w:sz="0" w:space="0" w:color="auto"/>
        <w:bottom w:val="none" w:sz="0" w:space="0" w:color="auto"/>
        <w:right w:val="none" w:sz="0" w:space="0" w:color="auto"/>
      </w:divBdr>
    </w:div>
    <w:div w:id="321593111">
      <w:bodyDiv w:val="1"/>
      <w:marLeft w:val="0"/>
      <w:marRight w:val="0"/>
      <w:marTop w:val="0"/>
      <w:marBottom w:val="0"/>
      <w:divBdr>
        <w:top w:val="none" w:sz="0" w:space="0" w:color="auto"/>
        <w:left w:val="none" w:sz="0" w:space="0" w:color="auto"/>
        <w:bottom w:val="none" w:sz="0" w:space="0" w:color="auto"/>
        <w:right w:val="none" w:sz="0" w:space="0" w:color="auto"/>
      </w:divBdr>
    </w:div>
    <w:div w:id="321666284">
      <w:bodyDiv w:val="1"/>
      <w:marLeft w:val="0"/>
      <w:marRight w:val="0"/>
      <w:marTop w:val="0"/>
      <w:marBottom w:val="0"/>
      <w:divBdr>
        <w:top w:val="none" w:sz="0" w:space="0" w:color="auto"/>
        <w:left w:val="none" w:sz="0" w:space="0" w:color="auto"/>
        <w:bottom w:val="none" w:sz="0" w:space="0" w:color="auto"/>
        <w:right w:val="none" w:sz="0" w:space="0" w:color="auto"/>
      </w:divBdr>
    </w:div>
    <w:div w:id="321784910">
      <w:bodyDiv w:val="1"/>
      <w:marLeft w:val="0"/>
      <w:marRight w:val="0"/>
      <w:marTop w:val="0"/>
      <w:marBottom w:val="0"/>
      <w:divBdr>
        <w:top w:val="none" w:sz="0" w:space="0" w:color="auto"/>
        <w:left w:val="none" w:sz="0" w:space="0" w:color="auto"/>
        <w:bottom w:val="none" w:sz="0" w:space="0" w:color="auto"/>
        <w:right w:val="none" w:sz="0" w:space="0" w:color="auto"/>
      </w:divBdr>
    </w:div>
    <w:div w:id="321856050">
      <w:bodyDiv w:val="1"/>
      <w:marLeft w:val="0"/>
      <w:marRight w:val="0"/>
      <w:marTop w:val="0"/>
      <w:marBottom w:val="0"/>
      <w:divBdr>
        <w:top w:val="none" w:sz="0" w:space="0" w:color="auto"/>
        <w:left w:val="none" w:sz="0" w:space="0" w:color="auto"/>
        <w:bottom w:val="none" w:sz="0" w:space="0" w:color="auto"/>
        <w:right w:val="none" w:sz="0" w:space="0" w:color="auto"/>
      </w:divBdr>
    </w:div>
    <w:div w:id="321860867">
      <w:bodyDiv w:val="1"/>
      <w:marLeft w:val="0"/>
      <w:marRight w:val="0"/>
      <w:marTop w:val="0"/>
      <w:marBottom w:val="0"/>
      <w:divBdr>
        <w:top w:val="none" w:sz="0" w:space="0" w:color="auto"/>
        <w:left w:val="none" w:sz="0" w:space="0" w:color="auto"/>
        <w:bottom w:val="none" w:sz="0" w:space="0" w:color="auto"/>
        <w:right w:val="none" w:sz="0" w:space="0" w:color="auto"/>
      </w:divBdr>
    </w:div>
    <w:div w:id="321928035">
      <w:bodyDiv w:val="1"/>
      <w:marLeft w:val="0"/>
      <w:marRight w:val="0"/>
      <w:marTop w:val="0"/>
      <w:marBottom w:val="0"/>
      <w:divBdr>
        <w:top w:val="none" w:sz="0" w:space="0" w:color="auto"/>
        <w:left w:val="none" w:sz="0" w:space="0" w:color="auto"/>
        <w:bottom w:val="none" w:sz="0" w:space="0" w:color="auto"/>
        <w:right w:val="none" w:sz="0" w:space="0" w:color="auto"/>
      </w:divBdr>
    </w:div>
    <w:div w:id="322055119">
      <w:bodyDiv w:val="1"/>
      <w:marLeft w:val="0"/>
      <w:marRight w:val="0"/>
      <w:marTop w:val="0"/>
      <w:marBottom w:val="0"/>
      <w:divBdr>
        <w:top w:val="none" w:sz="0" w:space="0" w:color="auto"/>
        <w:left w:val="none" w:sz="0" w:space="0" w:color="auto"/>
        <w:bottom w:val="none" w:sz="0" w:space="0" w:color="auto"/>
        <w:right w:val="none" w:sz="0" w:space="0" w:color="auto"/>
      </w:divBdr>
    </w:div>
    <w:div w:id="322120867">
      <w:bodyDiv w:val="1"/>
      <w:marLeft w:val="0"/>
      <w:marRight w:val="0"/>
      <w:marTop w:val="0"/>
      <w:marBottom w:val="0"/>
      <w:divBdr>
        <w:top w:val="none" w:sz="0" w:space="0" w:color="auto"/>
        <w:left w:val="none" w:sz="0" w:space="0" w:color="auto"/>
        <w:bottom w:val="none" w:sz="0" w:space="0" w:color="auto"/>
        <w:right w:val="none" w:sz="0" w:space="0" w:color="auto"/>
      </w:divBdr>
    </w:div>
    <w:div w:id="322242003">
      <w:bodyDiv w:val="1"/>
      <w:marLeft w:val="0"/>
      <w:marRight w:val="0"/>
      <w:marTop w:val="0"/>
      <w:marBottom w:val="0"/>
      <w:divBdr>
        <w:top w:val="none" w:sz="0" w:space="0" w:color="auto"/>
        <w:left w:val="none" w:sz="0" w:space="0" w:color="auto"/>
        <w:bottom w:val="none" w:sz="0" w:space="0" w:color="auto"/>
        <w:right w:val="none" w:sz="0" w:space="0" w:color="auto"/>
      </w:divBdr>
    </w:div>
    <w:div w:id="322469093">
      <w:bodyDiv w:val="1"/>
      <w:marLeft w:val="0"/>
      <w:marRight w:val="0"/>
      <w:marTop w:val="0"/>
      <w:marBottom w:val="0"/>
      <w:divBdr>
        <w:top w:val="none" w:sz="0" w:space="0" w:color="auto"/>
        <w:left w:val="none" w:sz="0" w:space="0" w:color="auto"/>
        <w:bottom w:val="none" w:sz="0" w:space="0" w:color="auto"/>
        <w:right w:val="none" w:sz="0" w:space="0" w:color="auto"/>
      </w:divBdr>
    </w:div>
    <w:div w:id="322507613">
      <w:bodyDiv w:val="1"/>
      <w:marLeft w:val="0"/>
      <w:marRight w:val="0"/>
      <w:marTop w:val="0"/>
      <w:marBottom w:val="0"/>
      <w:divBdr>
        <w:top w:val="none" w:sz="0" w:space="0" w:color="auto"/>
        <w:left w:val="none" w:sz="0" w:space="0" w:color="auto"/>
        <w:bottom w:val="none" w:sz="0" w:space="0" w:color="auto"/>
        <w:right w:val="none" w:sz="0" w:space="0" w:color="auto"/>
      </w:divBdr>
    </w:div>
    <w:div w:id="322587601">
      <w:bodyDiv w:val="1"/>
      <w:marLeft w:val="0"/>
      <w:marRight w:val="0"/>
      <w:marTop w:val="0"/>
      <w:marBottom w:val="0"/>
      <w:divBdr>
        <w:top w:val="none" w:sz="0" w:space="0" w:color="auto"/>
        <w:left w:val="none" w:sz="0" w:space="0" w:color="auto"/>
        <w:bottom w:val="none" w:sz="0" w:space="0" w:color="auto"/>
        <w:right w:val="none" w:sz="0" w:space="0" w:color="auto"/>
      </w:divBdr>
    </w:div>
    <w:div w:id="322587816">
      <w:bodyDiv w:val="1"/>
      <w:marLeft w:val="0"/>
      <w:marRight w:val="0"/>
      <w:marTop w:val="0"/>
      <w:marBottom w:val="0"/>
      <w:divBdr>
        <w:top w:val="none" w:sz="0" w:space="0" w:color="auto"/>
        <w:left w:val="none" w:sz="0" w:space="0" w:color="auto"/>
        <w:bottom w:val="none" w:sz="0" w:space="0" w:color="auto"/>
        <w:right w:val="none" w:sz="0" w:space="0" w:color="auto"/>
      </w:divBdr>
    </w:div>
    <w:div w:id="322781648">
      <w:bodyDiv w:val="1"/>
      <w:marLeft w:val="0"/>
      <w:marRight w:val="0"/>
      <w:marTop w:val="0"/>
      <w:marBottom w:val="0"/>
      <w:divBdr>
        <w:top w:val="none" w:sz="0" w:space="0" w:color="auto"/>
        <w:left w:val="none" w:sz="0" w:space="0" w:color="auto"/>
        <w:bottom w:val="none" w:sz="0" w:space="0" w:color="auto"/>
        <w:right w:val="none" w:sz="0" w:space="0" w:color="auto"/>
      </w:divBdr>
    </w:div>
    <w:div w:id="322853992">
      <w:bodyDiv w:val="1"/>
      <w:marLeft w:val="0"/>
      <w:marRight w:val="0"/>
      <w:marTop w:val="0"/>
      <w:marBottom w:val="0"/>
      <w:divBdr>
        <w:top w:val="none" w:sz="0" w:space="0" w:color="auto"/>
        <w:left w:val="none" w:sz="0" w:space="0" w:color="auto"/>
        <w:bottom w:val="none" w:sz="0" w:space="0" w:color="auto"/>
        <w:right w:val="none" w:sz="0" w:space="0" w:color="auto"/>
      </w:divBdr>
    </w:div>
    <w:div w:id="322903526">
      <w:bodyDiv w:val="1"/>
      <w:marLeft w:val="0"/>
      <w:marRight w:val="0"/>
      <w:marTop w:val="0"/>
      <w:marBottom w:val="0"/>
      <w:divBdr>
        <w:top w:val="none" w:sz="0" w:space="0" w:color="auto"/>
        <w:left w:val="none" w:sz="0" w:space="0" w:color="auto"/>
        <w:bottom w:val="none" w:sz="0" w:space="0" w:color="auto"/>
        <w:right w:val="none" w:sz="0" w:space="0" w:color="auto"/>
      </w:divBdr>
    </w:div>
    <w:div w:id="322975036">
      <w:bodyDiv w:val="1"/>
      <w:marLeft w:val="0"/>
      <w:marRight w:val="0"/>
      <w:marTop w:val="0"/>
      <w:marBottom w:val="0"/>
      <w:divBdr>
        <w:top w:val="none" w:sz="0" w:space="0" w:color="auto"/>
        <w:left w:val="none" w:sz="0" w:space="0" w:color="auto"/>
        <w:bottom w:val="none" w:sz="0" w:space="0" w:color="auto"/>
        <w:right w:val="none" w:sz="0" w:space="0" w:color="auto"/>
      </w:divBdr>
    </w:div>
    <w:div w:id="322975310">
      <w:bodyDiv w:val="1"/>
      <w:marLeft w:val="0"/>
      <w:marRight w:val="0"/>
      <w:marTop w:val="0"/>
      <w:marBottom w:val="0"/>
      <w:divBdr>
        <w:top w:val="none" w:sz="0" w:space="0" w:color="auto"/>
        <w:left w:val="none" w:sz="0" w:space="0" w:color="auto"/>
        <w:bottom w:val="none" w:sz="0" w:space="0" w:color="auto"/>
        <w:right w:val="none" w:sz="0" w:space="0" w:color="auto"/>
      </w:divBdr>
    </w:div>
    <w:div w:id="323047611">
      <w:bodyDiv w:val="1"/>
      <w:marLeft w:val="0"/>
      <w:marRight w:val="0"/>
      <w:marTop w:val="0"/>
      <w:marBottom w:val="0"/>
      <w:divBdr>
        <w:top w:val="none" w:sz="0" w:space="0" w:color="auto"/>
        <w:left w:val="none" w:sz="0" w:space="0" w:color="auto"/>
        <w:bottom w:val="none" w:sz="0" w:space="0" w:color="auto"/>
        <w:right w:val="none" w:sz="0" w:space="0" w:color="auto"/>
      </w:divBdr>
    </w:div>
    <w:div w:id="323048537">
      <w:bodyDiv w:val="1"/>
      <w:marLeft w:val="0"/>
      <w:marRight w:val="0"/>
      <w:marTop w:val="0"/>
      <w:marBottom w:val="0"/>
      <w:divBdr>
        <w:top w:val="none" w:sz="0" w:space="0" w:color="auto"/>
        <w:left w:val="none" w:sz="0" w:space="0" w:color="auto"/>
        <w:bottom w:val="none" w:sz="0" w:space="0" w:color="auto"/>
        <w:right w:val="none" w:sz="0" w:space="0" w:color="auto"/>
      </w:divBdr>
    </w:div>
    <w:div w:id="323096050">
      <w:bodyDiv w:val="1"/>
      <w:marLeft w:val="0"/>
      <w:marRight w:val="0"/>
      <w:marTop w:val="0"/>
      <w:marBottom w:val="0"/>
      <w:divBdr>
        <w:top w:val="none" w:sz="0" w:space="0" w:color="auto"/>
        <w:left w:val="none" w:sz="0" w:space="0" w:color="auto"/>
        <w:bottom w:val="none" w:sz="0" w:space="0" w:color="auto"/>
        <w:right w:val="none" w:sz="0" w:space="0" w:color="auto"/>
      </w:divBdr>
    </w:div>
    <w:div w:id="323163450">
      <w:bodyDiv w:val="1"/>
      <w:marLeft w:val="0"/>
      <w:marRight w:val="0"/>
      <w:marTop w:val="0"/>
      <w:marBottom w:val="0"/>
      <w:divBdr>
        <w:top w:val="none" w:sz="0" w:space="0" w:color="auto"/>
        <w:left w:val="none" w:sz="0" w:space="0" w:color="auto"/>
        <w:bottom w:val="none" w:sz="0" w:space="0" w:color="auto"/>
        <w:right w:val="none" w:sz="0" w:space="0" w:color="auto"/>
      </w:divBdr>
    </w:div>
    <w:div w:id="323169219">
      <w:bodyDiv w:val="1"/>
      <w:marLeft w:val="0"/>
      <w:marRight w:val="0"/>
      <w:marTop w:val="0"/>
      <w:marBottom w:val="0"/>
      <w:divBdr>
        <w:top w:val="none" w:sz="0" w:space="0" w:color="auto"/>
        <w:left w:val="none" w:sz="0" w:space="0" w:color="auto"/>
        <w:bottom w:val="none" w:sz="0" w:space="0" w:color="auto"/>
        <w:right w:val="none" w:sz="0" w:space="0" w:color="auto"/>
      </w:divBdr>
    </w:div>
    <w:div w:id="323242503">
      <w:bodyDiv w:val="1"/>
      <w:marLeft w:val="0"/>
      <w:marRight w:val="0"/>
      <w:marTop w:val="0"/>
      <w:marBottom w:val="0"/>
      <w:divBdr>
        <w:top w:val="none" w:sz="0" w:space="0" w:color="auto"/>
        <w:left w:val="none" w:sz="0" w:space="0" w:color="auto"/>
        <w:bottom w:val="none" w:sz="0" w:space="0" w:color="auto"/>
        <w:right w:val="none" w:sz="0" w:space="0" w:color="auto"/>
      </w:divBdr>
    </w:div>
    <w:div w:id="323512278">
      <w:bodyDiv w:val="1"/>
      <w:marLeft w:val="0"/>
      <w:marRight w:val="0"/>
      <w:marTop w:val="0"/>
      <w:marBottom w:val="0"/>
      <w:divBdr>
        <w:top w:val="none" w:sz="0" w:space="0" w:color="auto"/>
        <w:left w:val="none" w:sz="0" w:space="0" w:color="auto"/>
        <w:bottom w:val="none" w:sz="0" w:space="0" w:color="auto"/>
        <w:right w:val="none" w:sz="0" w:space="0" w:color="auto"/>
      </w:divBdr>
    </w:div>
    <w:div w:id="323551791">
      <w:bodyDiv w:val="1"/>
      <w:marLeft w:val="0"/>
      <w:marRight w:val="0"/>
      <w:marTop w:val="0"/>
      <w:marBottom w:val="0"/>
      <w:divBdr>
        <w:top w:val="none" w:sz="0" w:space="0" w:color="auto"/>
        <w:left w:val="none" w:sz="0" w:space="0" w:color="auto"/>
        <w:bottom w:val="none" w:sz="0" w:space="0" w:color="auto"/>
        <w:right w:val="none" w:sz="0" w:space="0" w:color="auto"/>
      </w:divBdr>
    </w:div>
    <w:div w:id="323820647">
      <w:bodyDiv w:val="1"/>
      <w:marLeft w:val="0"/>
      <w:marRight w:val="0"/>
      <w:marTop w:val="0"/>
      <w:marBottom w:val="0"/>
      <w:divBdr>
        <w:top w:val="none" w:sz="0" w:space="0" w:color="auto"/>
        <w:left w:val="none" w:sz="0" w:space="0" w:color="auto"/>
        <w:bottom w:val="none" w:sz="0" w:space="0" w:color="auto"/>
        <w:right w:val="none" w:sz="0" w:space="0" w:color="auto"/>
      </w:divBdr>
    </w:div>
    <w:div w:id="323969448">
      <w:bodyDiv w:val="1"/>
      <w:marLeft w:val="0"/>
      <w:marRight w:val="0"/>
      <w:marTop w:val="0"/>
      <w:marBottom w:val="0"/>
      <w:divBdr>
        <w:top w:val="none" w:sz="0" w:space="0" w:color="auto"/>
        <w:left w:val="none" w:sz="0" w:space="0" w:color="auto"/>
        <w:bottom w:val="none" w:sz="0" w:space="0" w:color="auto"/>
        <w:right w:val="none" w:sz="0" w:space="0" w:color="auto"/>
      </w:divBdr>
    </w:div>
    <w:div w:id="323970159">
      <w:bodyDiv w:val="1"/>
      <w:marLeft w:val="0"/>
      <w:marRight w:val="0"/>
      <w:marTop w:val="0"/>
      <w:marBottom w:val="0"/>
      <w:divBdr>
        <w:top w:val="none" w:sz="0" w:space="0" w:color="auto"/>
        <w:left w:val="none" w:sz="0" w:space="0" w:color="auto"/>
        <w:bottom w:val="none" w:sz="0" w:space="0" w:color="auto"/>
        <w:right w:val="none" w:sz="0" w:space="0" w:color="auto"/>
      </w:divBdr>
    </w:div>
    <w:div w:id="323971373">
      <w:bodyDiv w:val="1"/>
      <w:marLeft w:val="0"/>
      <w:marRight w:val="0"/>
      <w:marTop w:val="0"/>
      <w:marBottom w:val="0"/>
      <w:divBdr>
        <w:top w:val="none" w:sz="0" w:space="0" w:color="auto"/>
        <w:left w:val="none" w:sz="0" w:space="0" w:color="auto"/>
        <w:bottom w:val="none" w:sz="0" w:space="0" w:color="auto"/>
        <w:right w:val="none" w:sz="0" w:space="0" w:color="auto"/>
      </w:divBdr>
    </w:div>
    <w:div w:id="323974302">
      <w:bodyDiv w:val="1"/>
      <w:marLeft w:val="0"/>
      <w:marRight w:val="0"/>
      <w:marTop w:val="0"/>
      <w:marBottom w:val="0"/>
      <w:divBdr>
        <w:top w:val="none" w:sz="0" w:space="0" w:color="auto"/>
        <w:left w:val="none" w:sz="0" w:space="0" w:color="auto"/>
        <w:bottom w:val="none" w:sz="0" w:space="0" w:color="auto"/>
        <w:right w:val="none" w:sz="0" w:space="0" w:color="auto"/>
      </w:divBdr>
    </w:div>
    <w:div w:id="324163014">
      <w:bodyDiv w:val="1"/>
      <w:marLeft w:val="0"/>
      <w:marRight w:val="0"/>
      <w:marTop w:val="0"/>
      <w:marBottom w:val="0"/>
      <w:divBdr>
        <w:top w:val="none" w:sz="0" w:space="0" w:color="auto"/>
        <w:left w:val="none" w:sz="0" w:space="0" w:color="auto"/>
        <w:bottom w:val="none" w:sz="0" w:space="0" w:color="auto"/>
        <w:right w:val="none" w:sz="0" w:space="0" w:color="auto"/>
      </w:divBdr>
    </w:div>
    <w:div w:id="324209047">
      <w:bodyDiv w:val="1"/>
      <w:marLeft w:val="0"/>
      <w:marRight w:val="0"/>
      <w:marTop w:val="0"/>
      <w:marBottom w:val="0"/>
      <w:divBdr>
        <w:top w:val="none" w:sz="0" w:space="0" w:color="auto"/>
        <w:left w:val="none" w:sz="0" w:space="0" w:color="auto"/>
        <w:bottom w:val="none" w:sz="0" w:space="0" w:color="auto"/>
        <w:right w:val="none" w:sz="0" w:space="0" w:color="auto"/>
      </w:divBdr>
    </w:div>
    <w:div w:id="324356592">
      <w:bodyDiv w:val="1"/>
      <w:marLeft w:val="0"/>
      <w:marRight w:val="0"/>
      <w:marTop w:val="0"/>
      <w:marBottom w:val="0"/>
      <w:divBdr>
        <w:top w:val="none" w:sz="0" w:space="0" w:color="auto"/>
        <w:left w:val="none" w:sz="0" w:space="0" w:color="auto"/>
        <w:bottom w:val="none" w:sz="0" w:space="0" w:color="auto"/>
        <w:right w:val="none" w:sz="0" w:space="0" w:color="auto"/>
      </w:divBdr>
    </w:div>
    <w:div w:id="324744583">
      <w:bodyDiv w:val="1"/>
      <w:marLeft w:val="0"/>
      <w:marRight w:val="0"/>
      <w:marTop w:val="0"/>
      <w:marBottom w:val="0"/>
      <w:divBdr>
        <w:top w:val="none" w:sz="0" w:space="0" w:color="auto"/>
        <w:left w:val="none" w:sz="0" w:space="0" w:color="auto"/>
        <w:bottom w:val="none" w:sz="0" w:space="0" w:color="auto"/>
        <w:right w:val="none" w:sz="0" w:space="0" w:color="auto"/>
      </w:divBdr>
    </w:div>
    <w:div w:id="324936311">
      <w:bodyDiv w:val="1"/>
      <w:marLeft w:val="0"/>
      <w:marRight w:val="0"/>
      <w:marTop w:val="0"/>
      <w:marBottom w:val="0"/>
      <w:divBdr>
        <w:top w:val="none" w:sz="0" w:space="0" w:color="auto"/>
        <w:left w:val="none" w:sz="0" w:space="0" w:color="auto"/>
        <w:bottom w:val="none" w:sz="0" w:space="0" w:color="auto"/>
        <w:right w:val="none" w:sz="0" w:space="0" w:color="auto"/>
      </w:divBdr>
    </w:div>
    <w:div w:id="324944642">
      <w:bodyDiv w:val="1"/>
      <w:marLeft w:val="0"/>
      <w:marRight w:val="0"/>
      <w:marTop w:val="0"/>
      <w:marBottom w:val="0"/>
      <w:divBdr>
        <w:top w:val="none" w:sz="0" w:space="0" w:color="auto"/>
        <w:left w:val="none" w:sz="0" w:space="0" w:color="auto"/>
        <w:bottom w:val="none" w:sz="0" w:space="0" w:color="auto"/>
        <w:right w:val="none" w:sz="0" w:space="0" w:color="auto"/>
      </w:divBdr>
    </w:div>
    <w:div w:id="325062579">
      <w:bodyDiv w:val="1"/>
      <w:marLeft w:val="0"/>
      <w:marRight w:val="0"/>
      <w:marTop w:val="0"/>
      <w:marBottom w:val="0"/>
      <w:divBdr>
        <w:top w:val="none" w:sz="0" w:space="0" w:color="auto"/>
        <w:left w:val="none" w:sz="0" w:space="0" w:color="auto"/>
        <w:bottom w:val="none" w:sz="0" w:space="0" w:color="auto"/>
        <w:right w:val="none" w:sz="0" w:space="0" w:color="auto"/>
      </w:divBdr>
    </w:div>
    <w:div w:id="325090077">
      <w:bodyDiv w:val="1"/>
      <w:marLeft w:val="0"/>
      <w:marRight w:val="0"/>
      <w:marTop w:val="0"/>
      <w:marBottom w:val="0"/>
      <w:divBdr>
        <w:top w:val="none" w:sz="0" w:space="0" w:color="auto"/>
        <w:left w:val="none" w:sz="0" w:space="0" w:color="auto"/>
        <w:bottom w:val="none" w:sz="0" w:space="0" w:color="auto"/>
        <w:right w:val="none" w:sz="0" w:space="0" w:color="auto"/>
      </w:divBdr>
    </w:div>
    <w:div w:id="325131074">
      <w:bodyDiv w:val="1"/>
      <w:marLeft w:val="0"/>
      <w:marRight w:val="0"/>
      <w:marTop w:val="0"/>
      <w:marBottom w:val="0"/>
      <w:divBdr>
        <w:top w:val="none" w:sz="0" w:space="0" w:color="auto"/>
        <w:left w:val="none" w:sz="0" w:space="0" w:color="auto"/>
        <w:bottom w:val="none" w:sz="0" w:space="0" w:color="auto"/>
        <w:right w:val="none" w:sz="0" w:space="0" w:color="auto"/>
      </w:divBdr>
    </w:div>
    <w:div w:id="325135433">
      <w:bodyDiv w:val="1"/>
      <w:marLeft w:val="0"/>
      <w:marRight w:val="0"/>
      <w:marTop w:val="0"/>
      <w:marBottom w:val="0"/>
      <w:divBdr>
        <w:top w:val="none" w:sz="0" w:space="0" w:color="auto"/>
        <w:left w:val="none" w:sz="0" w:space="0" w:color="auto"/>
        <w:bottom w:val="none" w:sz="0" w:space="0" w:color="auto"/>
        <w:right w:val="none" w:sz="0" w:space="0" w:color="auto"/>
      </w:divBdr>
    </w:div>
    <w:div w:id="325136436">
      <w:bodyDiv w:val="1"/>
      <w:marLeft w:val="0"/>
      <w:marRight w:val="0"/>
      <w:marTop w:val="0"/>
      <w:marBottom w:val="0"/>
      <w:divBdr>
        <w:top w:val="none" w:sz="0" w:space="0" w:color="auto"/>
        <w:left w:val="none" w:sz="0" w:space="0" w:color="auto"/>
        <w:bottom w:val="none" w:sz="0" w:space="0" w:color="auto"/>
        <w:right w:val="none" w:sz="0" w:space="0" w:color="auto"/>
      </w:divBdr>
    </w:div>
    <w:div w:id="325284867">
      <w:bodyDiv w:val="1"/>
      <w:marLeft w:val="0"/>
      <w:marRight w:val="0"/>
      <w:marTop w:val="0"/>
      <w:marBottom w:val="0"/>
      <w:divBdr>
        <w:top w:val="none" w:sz="0" w:space="0" w:color="auto"/>
        <w:left w:val="none" w:sz="0" w:space="0" w:color="auto"/>
        <w:bottom w:val="none" w:sz="0" w:space="0" w:color="auto"/>
        <w:right w:val="none" w:sz="0" w:space="0" w:color="auto"/>
      </w:divBdr>
    </w:div>
    <w:div w:id="325397249">
      <w:bodyDiv w:val="1"/>
      <w:marLeft w:val="0"/>
      <w:marRight w:val="0"/>
      <w:marTop w:val="0"/>
      <w:marBottom w:val="0"/>
      <w:divBdr>
        <w:top w:val="none" w:sz="0" w:space="0" w:color="auto"/>
        <w:left w:val="none" w:sz="0" w:space="0" w:color="auto"/>
        <w:bottom w:val="none" w:sz="0" w:space="0" w:color="auto"/>
        <w:right w:val="none" w:sz="0" w:space="0" w:color="auto"/>
      </w:divBdr>
    </w:div>
    <w:div w:id="325401009">
      <w:bodyDiv w:val="1"/>
      <w:marLeft w:val="0"/>
      <w:marRight w:val="0"/>
      <w:marTop w:val="0"/>
      <w:marBottom w:val="0"/>
      <w:divBdr>
        <w:top w:val="none" w:sz="0" w:space="0" w:color="auto"/>
        <w:left w:val="none" w:sz="0" w:space="0" w:color="auto"/>
        <w:bottom w:val="none" w:sz="0" w:space="0" w:color="auto"/>
        <w:right w:val="none" w:sz="0" w:space="0" w:color="auto"/>
      </w:divBdr>
    </w:div>
    <w:div w:id="325478887">
      <w:bodyDiv w:val="1"/>
      <w:marLeft w:val="0"/>
      <w:marRight w:val="0"/>
      <w:marTop w:val="0"/>
      <w:marBottom w:val="0"/>
      <w:divBdr>
        <w:top w:val="none" w:sz="0" w:space="0" w:color="auto"/>
        <w:left w:val="none" w:sz="0" w:space="0" w:color="auto"/>
        <w:bottom w:val="none" w:sz="0" w:space="0" w:color="auto"/>
        <w:right w:val="none" w:sz="0" w:space="0" w:color="auto"/>
      </w:divBdr>
    </w:div>
    <w:div w:id="325481317">
      <w:bodyDiv w:val="1"/>
      <w:marLeft w:val="0"/>
      <w:marRight w:val="0"/>
      <w:marTop w:val="0"/>
      <w:marBottom w:val="0"/>
      <w:divBdr>
        <w:top w:val="none" w:sz="0" w:space="0" w:color="auto"/>
        <w:left w:val="none" w:sz="0" w:space="0" w:color="auto"/>
        <w:bottom w:val="none" w:sz="0" w:space="0" w:color="auto"/>
        <w:right w:val="none" w:sz="0" w:space="0" w:color="auto"/>
      </w:divBdr>
    </w:div>
    <w:div w:id="325590685">
      <w:bodyDiv w:val="1"/>
      <w:marLeft w:val="0"/>
      <w:marRight w:val="0"/>
      <w:marTop w:val="0"/>
      <w:marBottom w:val="0"/>
      <w:divBdr>
        <w:top w:val="none" w:sz="0" w:space="0" w:color="auto"/>
        <w:left w:val="none" w:sz="0" w:space="0" w:color="auto"/>
        <w:bottom w:val="none" w:sz="0" w:space="0" w:color="auto"/>
        <w:right w:val="none" w:sz="0" w:space="0" w:color="auto"/>
      </w:divBdr>
    </w:div>
    <w:div w:id="325596723">
      <w:bodyDiv w:val="1"/>
      <w:marLeft w:val="0"/>
      <w:marRight w:val="0"/>
      <w:marTop w:val="0"/>
      <w:marBottom w:val="0"/>
      <w:divBdr>
        <w:top w:val="none" w:sz="0" w:space="0" w:color="auto"/>
        <w:left w:val="none" w:sz="0" w:space="0" w:color="auto"/>
        <w:bottom w:val="none" w:sz="0" w:space="0" w:color="auto"/>
        <w:right w:val="none" w:sz="0" w:space="0" w:color="auto"/>
      </w:divBdr>
    </w:div>
    <w:div w:id="325599559">
      <w:bodyDiv w:val="1"/>
      <w:marLeft w:val="0"/>
      <w:marRight w:val="0"/>
      <w:marTop w:val="0"/>
      <w:marBottom w:val="0"/>
      <w:divBdr>
        <w:top w:val="none" w:sz="0" w:space="0" w:color="auto"/>
        <w:left w:val="none" w:sz="0" w:space="0" w:color="auto"/>
        <w:bottom w:val="none" w:sz="0" w:space="0" w:color="auto"/>
        <w:right w:val="none" w:sz="0" w:space="0" w:color="auto"/>
      </w:divBdr>
    </w:div>
    <w:div w:id="326060233">
      <w:bodyDiv w:val="1"/>
      <w:marLeft w:val="0"/>
      <w:marRight w:val="0"/>
      <w:marTop w:val="0"/>
      <w:marBottom w:val="0"/>
      <w:divBdr>
        <w:top w:val="none" w:sz="0" w:space="0" w:color="auto"/>
        <w:left w:val="none" w:sz="0" w:space="0" w:color="auto"/>
        <w:bottom w:val="none" w:sz="0" w:space="0" w:color="auto"/>
        <w:right w:val="none" w:sz="0" w:space="0" w:color="auto"/>
      </w:divBdr>
    </w:div>
    <w:div w:id="326128128">
      <w:bodyDiv w:val="1"/>
      <w:marLeft w:val="0"/>
      <w:marRight w:val="0"/>
      <w:marTop w:val="0"/>
      <w:marBottom w:val="0"/>
      <w:divBdr>
        <w:top w:val="none" w:sz="0" w:space="0" w:color="auto"/>
        <w:left w:val="none" w:sz="0" w:space="0" w:color="auto"/>
        <w:bottom w:val="none" w:sz="0" w:space="0" w:color="auto"/>
        <w:right w:val="none" w:sz="0" w:space="0" w:color="auto"/>
      </w:divBdr>
    </w:div>
    <w:div w:id="326179900">
      <w:bodyDiv w:val="1"/>
      <w:marLeft w:val="0"/>
      <w:marRight w:val="0"/>
      <w:marTop w:val="0"/>
      <w:marBottom w:val="0"/>
      <w:divBdr>
        <w:top w:val="none" w:sz="0" w:space="0" w:color="auto"/>
        <w:left w:val="none" w:sz="0" w:space="0" w:color="auto"/>
        <w:bottom w:val="none" w:sz="0" w:space="0" w:color="auto"/>
        <w:right w:val="none" w:sz="0" w:space="0" w:color="auto"/>
      </w:divBdr>
    </w:div>
    <w:div w:id="326249883">
      <w:bodyDiv w:val="1"/>
      <w:marLeft w:val="0"/>
      <w:marRight w:val="0"/>
      <w:marTop w:val="0"/>
      <w:marBottom w:val="0"/>
      <w:divBdr>
        <w:top w:val="none" w:sz="0" w:space="0" w:color="auto"/>
        <w:left w:val="none" w:sz="0" w:space="0" w:color="auto"/>
        <w:bottom w:val="none" w:sz="0" w:space="0" w:color="auto"/>
        <w:right w:val="none" w:sz="0" w:space="0" w:color="auto"/>
      </w:divBdr>
    </w:div>
    <w:div w:id="326325867">
      <w:bodyDiv w:val="1"/>
      <w:marLeft w:val="0"/>
      <w:marRight w:val="0"/>
      <w:marTop w:val="0"/>
      <w:marBottom w:val="0"/>
      <w:divBdr>
        <w:top w:val="none" w:sz="0" w:space="0" w:color="auto"/>
        <w:left w:val="none" w:sz="0" w:space="0" w:color="auto"/>
        <w:bottom w:val="none" w:sz="0" w:space="0" w:color="auto"/>
        <w:right w:val="none" w:sz="0" w:space="0" w:color="auto"/>
      </w:divBdr>
    </w:div>
    <w:div w:id="326399114">
      <w:bodyDiv w:val="1"/>
      <w:marLeft w:val="0"/>
      <w:marRight w:val="0"/>
      <w:marTop w:val="0"/>
      <w:marBottom w:val="0"/>
      <w:divBdr>
        <w:top w:val="none" w:sz="0" w:space="0" w:color="auto"/>
        <w:left w:val="none" w:sz="0" w:space="0" w:color="auto"/>
        <w:bottom w:val="none" w:sz="0" w:space="0" w:color="auto"/>
        <w:right w:val="none" w:sz="0" w:space="0" w:color="auto"/>
      </w:divBdr>
    </w:div>
    <w:div w:id="326517893">
      <w:bodyDiv w:val="1"/>
      <w:marLeft w:val="0"/>
      <w:marRight w:val="0"/>
      <w:marTop w:val="0"/>
      <w:marBottom w:val="0"/>
      <w:divBdr>
        <w:top w:val="none" w:sz="0" w:space="0" w:color="auto"/>
        <w:left w:val="none" w:sz="0" w:space="0" w:color="auto"/>
        <w:bottom w:val="none" w:sz="0" w:space="0" w:color="auto"/>
        <w:right w:val="none" w:sz="0" w:space="0" w:color="auto"/>
      </w:divBdr>
    </w:div>
    <w:div w:id="326592916">
      <w:bodyDiv w:val="1"/>
      <w:marLeft w:val="0"/>
      <w:marRight w:val="0"/>
      <w:marTop w:val="0"/>
      <w:marBottom w:val="0"/>
      <w:divBdr>
        <w:top w:val="none" w:sz="0" w:space="0" w:color="auto"/>
        <w:left w:val="none" w:sz="0" w:space="0" w:color="auto"/>
        <w:bottom w:val="none" w:sz="0" w:space="0" w:color="auto"/>
        <w:right w:val="none" w:sz="0" w:space="0" w:color="auto"/>
      </w:divBdr>
    </w:div>
    <w:div w:id="326641852">
      <w:bodyDiv w:val="1"/>
      <w:marLeft w:val="0"/>
      <w:marRight w:val="0"/>
      <w:marTop w:val="0"/>
      <w:marBottom w:val="0"/>
      <w:divBdr>
        <w:top w:val="none" w:sz="0" w:space="0" w:color="auto"/>
        <w:left w:val="none" w:sz="0" w:space="0" w:color="auto"/>
        <w:bottom w:val="none" w:sz="0" w:space="0" w:color="auto"/>
        <w:right w:val="none" w:sz="0" w:space="0" w:color="auto"/>
      </w:divBdr>
    </w:div>
    <w:div w:id="326717120">
      <w:bodyDiv w:val="1"/>
      <w:marLeft w:val="0"/>
      <w:marRight w:val="0"/>
      <w:marTop w:val="0"/>
      <w:marBottom w:val="0"/>
      <w:divBdr>
        <w:top w:val="none" w:sz="0" w:space="0" w:color="auto"/>
        <w:left w:val="none" w:sz="0" w:space="0" w:color="auto"/>
        <w:bottom w:val="none" w:sz="0" w:space="0" w:color="auto"/>
        <w:right w:val="none" w:sz="0" w:space="0" w:color="auto"/>
      </w:divBdr>
    </w:div>
    <w:div w:id="326980113">
      <w:bodyDiv w:val="1"/>
      <w:marLeft w:val="0"/>
      <w:marRight w:val="0"/>
      <w:marTop w:val="0"/>
      <w:marBottom w:val="0"/>
      <w:divBdr>
        <w:top w:val="none" w:sz="0" w:space="0" w:color="auto"/>
        <w:left w:val="none" w:sz="0" w:space="0" w:color="auto"/>
        <w:bottom w:val="none" w:sz="0" w:space="0" w:color="auto"/>
        <w:right w:val="none" w:sz="0" w:space="0" w:color="auto"/>
      </w:divBdr>
    </w:div>
    <w:div w:id="327053489">
      <w:bodyDiv w:val="1"/>
      <w:marLeft w:val="0"/>
      <w:marRight w:val="0"/>
      <w:marTop w:val="0"/>
      <w:marBottom w:val="0"/>
      <w:divBdr>
        <w:top w:val="none" w:sz="0" w:space="0" w:color="auto"/>
        <w:left w:val="none" w:sz="0" w:space="0" w:color="auto"/>
        <w:bottom w:val="none" w:sz="0" w:space="0" w:color="auto"/>
        <w:right w:val="none" w:sz="0" w:space="0" w:color="auto"/>
      </w:divBdr>
    </w:div>
    <w:div w:id="327056001">
      <w:bodyDiv w:val="1"/>
      <w:marLeft w:val="0"/>
      <w:marRight w:val="0"/>
      <w:marTop w:val="0"/>
      <w:marBottom w:val="0"/>
      <w:divBdr>
        <w:top w:val="none" w:sz="0" w:space="0" w:color="auto"/>
        <w:left w:val="none" w:sz="0" w:space="0" w:color="auto"/>
        <w:bottom w:val="none" w:sz="0" w:space="0" w:color="auto"/>
        <w:right w:val="none" w:sz="0" w:space="0" w:color="auto"/>
      </w:divBdr>
    </w:div>
    <w:div w:id="327056663">
      <w:bodyDiv w:val="1"/>
      <w:marLeft w:val="0"/>
      <w:marRight w:val="0"/>
      <w:marTop w:val="0"/>
      <w:marBottom w:val="0"/>
      <w:divBdr>
        <w:top w:val="none" w:sz="0" w:space="0" w:color="auto"/>
        <w:left w:val="none" w:sz="0" w:space="0" w:color="auto"/>
        <w:bottom w:val="none" w:sz="0" w:space="0" w:color="auto"/>
        <w:right w:val="none" w:sz="0" w:space="0" w:color="auto"/>
      </w:divBdr>
    </w:div>
    <w:div w:id="327171619">
      <w:bodyDiv w:val="1"/>
      <w:marLeft w:val="0"/>
      <w:marRight w:val="0"/>
      <w:marTop w:val="0"/>
      <w:marBottom w:val="0"/>
      <w:divBdr>
        <w:top w:val="none" w:sz="0" w:space="0" w:color="auto"/>
        <w:left w:val="none" w:sz="0" w:space="0" w:color="auto"/>
        <w:bottom w:val="none" w:sz="0" w:space="0" w:color="auto"/>
        <w:right w:val="none" w:sz="0" w:space="0" w:color="auto"/>
      </w:divBdr>
    </w:div>
    <w:div w:id="327174753">
      <w:bodyDiv w:val="1"/>
      <w:marLeft w:val="0"/>
      <w:marRight w:val="0"/>
      <w:marTop w:val="0"/>
      <w:marBottom w:val="0"/>
      <w:divBdr>
        <w:top w:val="none" w:sz="0" w:space="0" w:color="auto"/>
        <w:left w:val="none" w:sz="0" w:space="0" w:color="auto"/>
        <w:bottom w:val="none" w:sz="0" w:space="0" w:color="auto"/>
        <w:right w:val="none" w:sz="0" w:space="0" w:color="auto"/>
      </w:divBdr>
    </w:div>
    <w:div w:id="327175434">
      <w:bodyDiv w:val="1"/>
      <w:marLeft w:val="0"/>
      <w:marRight w:val="0"/>
      <w:marTop w:val="0"/>
      <w:marBottom w:val="0"/>
      <w:divBdr>
        <w:top w:val="none" w:sz="0" w:space="0" w:color="auto"/>
        <w:left w:val="none" w:sz="0" w:space="0" w:color="auto"/>
        <w:bottom w:val="none" w:sz="0" w:space="0" w:color="auto"/>
        <w:right w:val="none" w:sz="0" w:space="0" w:color="auto"/>
      </w:divBdr>
    </w:div>
    <w:div w:id="327253400">
      <w:bodyDiv w:val="1"/>
      <w:marLeft w:val="0"/>
      <w:marRight w:val="0"/>
      <w:marTop w:val="0"/>
      <w:marBottom w:val="0"/>
      <w:divBdr>
        <w:top w:val="none" w:sz="0" w:space="0" w:color="auto"/>
        <w:left w:val="none" w:sz="0" w:space="0" w:color="auto"/>
        <w:bottom w:val="none" w:sz="0" w:space="0" w:color="auto"/>
        <w:right w:val="none" w:sz="0" w:space="0" w:color="auto"/>
      </w:divBdr>
    </w:div>
    <w:div w:id="327291076">
      <w:bodyDiv w:val="1"/>
      <w:marLeft w:val="0"/>
      <w:marRight w:val="0"/>
      <w:marTop w:val="0"/>
      <w:marBottom w:val="0"/>
      <w:divBdr>
        <w:top w:val="none" w:sz="0" w:space="0" w:color="auto"/>
        <w:left w:val="none" w:sz="0" w:space="0" w:color="auto"/>
        <w:bottom w:val="none" w:sz="0" w:space="0" w:color="auto"/>
        <w:right w:val="none" w:sz="0" w:space="0" w:color="auto"/>
      </w:divBdr>
    </w:div>
    <w:div w:id="327635988">
      <w:bodyDiv w:val="1"/>
      <w:marLeft w:val="0"/>
      <w:marRight w:val="0"/>
      <w:marTop w:val="0"/>
      <w:marBottom w:val="0"/>
      <w:divBdr>
        <w:top w:val="none" w:sz="0" w:space="0" w:color="auto"/>
        <w:left w:val="none" w:sz="0" w:space="0" w:color="auto"/>
        <w:bottom w:val="none" w:sz="0" w:space="0" w:color="auto"/>
        <w:right w:val="none" w:sz="0" w:space="0" w:color="auto"/>
      </w:divBdr>
    </w:div>
    <w:div w:id="327636591">
      <w:bodyDiv w:val="1"/>
      <w:marLeft w:val="0"/>
      <w:marRight w:val="0"/>
      <w:marTop w:val="0"/>
      <w:marBottom w:val="0"/>
      <w:divBdr>
        <w:top w:val="none" w:sz="0" w:space="0" w:color="auto"/>
        <w:left w:val="none" w:sz="0" w:space="0" w:color="auto"/>
        <w:bottom w:val="none" w:sz="0" w:space="0" w:color="auto"/>
        <w:right w:val="none" w:sz="0" w:space="0" w:color="auto"/>
      </w:divBdr>
    </w:div>
    <w:div w:id="327638178">
      <w:bodyDiv w:val="1"/>
      <w:marLeft w:val="0"/>
      <w:marRight w:val="0"/>
      <w:marTop w:val="0"/>
      <w:marBottom w:val="0"/>
      <w:divBdr>
        <w:top w:val="none" w:sz="0" w:space="0" w:color="auto"/>
        <w:left w:val="none" w:sz="0" w:space="0" w:color="auto"/>
        <w:bottom w:val="none" w:sz="0" w:space="0" w:color="auto"/>
        <w:right w:val="none" w:sz="0" w:space="0" w:color="auto"/>
      </w:divBdr>
    </w:div>
    <w:div w:id="327757387">
      <w:bodyDiv w:val="1"/>
      <w:marLeft w:val="0"/>
      <w:marRight w:val="0"/>
      <w:marTop w:val="0"/>
      <w:marBottom w:val="0"/>
      <w:divBdr>
        <w:top w:val="none" w:sz="0" w:space="0" w:color="auto"/>
        <w:left w:val="none" w:sz="0" w:space="0" w:color="auto"/>
        <w:bottom w:val="none" w:sz="0" w:space="0" w:color="auto"/>
        <w:right w:val="none" w:sz="0" w:space="0" w:color="auto"/>
      </w:divBdr>
    </w:div>
    <w:div w:id="327825570">
      <w:bodyDiv w:val="1"/>
      <w:marLeft w:val="0"/>
      <w:marRight w:val="0"/>
      <w:marTop w:val="0"/>
      <w:marBottom w:val="0"/>
      <w:divBdr>
        <w:top w:val="none" w:sz="0" w:space="0" w:color="auto"/>
        <w:left w:val="none" w:sz="0" w:space="0" w:color="auto"/>
        <w:bottom w:val="none" w:sz="0" w:space="0" w:color="auto"/>
        <w:right w:val="none" w:sz="0" w:space="0" w:color="auto"/>
      </w:divBdr>
    </w:div>
    <w:div w:id="327828028">
      <w:bodyDiv w:val="1"/>
      <w:marLeft w:val="0"/>
      <w:marRight w:val="0"/>
      <w:marTop w:val="0"/>
      <w:marBottom w:val="0"/>
      <w:divBdr>
        <w:top w:val="none" w:sz="0" w:space="0" w:color="auto"/>
        <w:left w:val="none" w:sz="0" w:space="0" w:color="auto"/>
        <w:bottom w:val="none" w:sz="0" w:space="0" w:color="auto"/>
        <w:right w:val="none" w:sz="0" w:space="0" w:color="auto"/>
      </w:divBdr>
    </w:div>
    <w:div w:id="327901534">
      <w:bodyDiv w:val="1"/>
      <w:marLeft w:val="0"/>
      <w:marRight w:val="0"/>
      <w:marTop w:val="0"/>
      <w:marBottom w:val="0"/>
      <w:divBdr>
        <w:top w:val="none" w:sz="0" w:space="0" w:color="auto"/>
        <w:left w:val="none" w:sz="0" w:space="0" w:color="auto"/>
        <w:bottom w:val="none" w:sz="0" w:space="0" w:color="auto"/>
        <w:right w:val="none" w:sz="0" w:space="0" w:color="auto"/>
      </w:divBdr>
    </w:div>
    <w:div w:id="328098903">
      <w:bodyDiv w:val="1"/>
      <w:marLeft w:val="0"/>
      <w:marRight w:val="0"/>
      <w:marTop w:val="0"/>
      <w:marBottom w:val="0"/>
      <w:divBdr>
        <w:top w:val="none" w:sz="0" w:space="0" w:color="auto"/>
        <w:left w:val="none" w:sz="0" w:space="0" w:color="auto"/>
        <w:bottom w:val="none" w:sz="0" w:space="0" w:color="auto"/>
        <w:right w:val="none" w:sz="0" w:space="0" w:color="auto"/>
      </w:divBdr>
    </w:div>
    <w:div w:id="328099387">
      <w:bodyDiv w:val="1"/>
      <w:marLeft w:val="0"/>
      <w:marRight w:val="0"/>
      <w:marTop w:val="0"/>
      <w:marBottom w:val="0"/>
      <w:divBdr>
        <w:top w:val="none" w:sz="0" w:space="0" w:color="auto"/>
        <w:left w:val="none" w:sz="0" w:space="0" w:color="auto"/>
        <w:bottom w:val="none" w:sz="0" w:space="0" w:color="auto"/>
        <w:right w:val="none" w:sz="0" w:space="0" w:color="auto"/>
      </w:divBdr>
    </w:div>
    <w:div w:id="328101425">
      <w:bodyDiv w:val="1"/>
      <w:marLeft w:val="0"/>
      <w:marRight w:val="0"/>
      <w:marTop w:val="0"/>
      <w:marBottom w:val="0"/>
      <w:divBdr>
        <w:top w:val="none" w:sz="0" w:space="0" w:color="auto"/>
        <w:left w:val="none" w:sz="0" w:space="0" w:color="auto"/>
        <w:bottom w:val="none" w:sz="0" w:space="0" w:color="auto"/>
        <w:right w:val="none" w:sz="0" w:space="0" w:color="auto"/>
      </w:divBdr>
    </w:div>
    <w:div w:id="328211564">
      <w:bodyDiv w:val="1"/>
      <w:marLeft w:val="0"/>
      <w:marRight w:val="0"/>
      <w:marTop w:val="0"/>
      <w:marBottom w:val="0"/>
      <w:divBdr>
        <w:top w:val="none" w:sz="0" w:space="0" w:color="auto"/>
        <w:left w:val="none" w:sz="0" w:space="0" w:color="auto"/>
        <w:bottom w:val="none" w:sz="0" w:space="0" w:color="auto"/>
        <w:right w:val="none" w:sz="0" w:space="0" w:color="auto"/>
      </w:divBdr>
    </w:div>
    <w:div w:id="328337975">
      <w:bodyDiv w:val="1"/>
      <w:marLeft w:val="0"/>
      <w:marRight w:val="0"/>
      <w:marTop w:val="0"/>
      <w:marBottom w:val="0"/>
      <w:divBdr>
        <w:top w:val="none" w:sz="0" w:space="0" w:color="auto"/>
        <w:left w:val="none" w:sz="0" w:space="0" w:color="auto"/>
        <w:bottom w:val="none" w:sz="0" w:space="0" w:color="auto"/>
        <w:right w:val="none" w:sz="0" w:space="0" w:color="auto"/>
      </w:divBdr>
    </w:div>
    <w:div w:id="328405514">
      <w:bodyDiv w:val="1"/>
      <w:marLeft w:val="0"/>
      <w:marRight w:val="0"/>
      <w:marTop w:val="0"/>
      <w:marBottom w:val="0"/>
      <w:divBdr>
        <w:top w:val="none" w:sz="0" w:space="0" w:color="auto"/>
        <w:left w:val="none" w:sz="0" w:space="0" w:color="auto"/>
        <w:bottom w:val="none" w:sz="0" w:space="0" w:color="auto"/>
        <w:right w:val="none" w:sz="0" w:space="0" w:color="auto"/>
      </w:divBdr>
    </w:div>
    <w:div w:id="328405786">
      <w:bodyDiv w:val="1"/>
      <w:marLeft w:val="0"/>
      <w:marRight w:val="0"/>
      <w:marTop w:val="0"/>
      <w:marBottom w:val="0"/>
      <w:divBdr>
        <w:top w:val="none" w:sz="0" w:space="0" w:color="auto"/>
        <w:left w:val="none" w:sz="0" w:space="0" w:color="auto"/>
        <w:bottom w:val="none" w:sz="0" w:space="0" w:color="auto"/>
        <w:right w:val="none" w:sz="0" w:space="0" w:color="auto"/>
      </w:divBdr>
    </w:div>
    <w:div w:id="328557382">
      <w:bodyDiv w:val="1"/>
      <w:marLeft w:val="0"/>
      <w:marRight w:val="0"/>
      <w:marTop w:val="0"/>
      <w:marBottom w:val="0"/>
      <w:divBdr>
        <w:top w:val="none" w:sz="0" w:space="0" w:color="auto"/>
        <w:left w:val="none" w:sz="0" w:space="0" w:color="auto"/>
        <w:bottom w:val="none" w:sz="0" w:space="0" w:color="auto"/>
        <w:right w:val="none" w:sz="0" w:space="0" w:color="auto"/>
      </w:divBdr>
    </w:div>
    <w:div w:id="328562992">
      <w:bodyDiv w:val="1"/>
      <w:marLeft w:val="0"/>
      <w:marRight w:val="0"/>
      <w:marTop w:val="0"/>
      <w:marBottom w:val="0"/>
      <w:divBdr>
        <w:top w:val="none" w:sz="0" w:space="0" w:color="auto"/>
        <w:left w:val="none" w:sz="0" w:space="0" w:color="auto"/>
        <w:bottom w:val="none" w:sz="0" w:space="0" w:color="auto"/>
        <w:right w:val="none" w:sz="0" w:space="0" w:color="auto"/>
      </w:divBdr>
    </w:div>
    <w:div w:id="328564554">
      <w:bodyDiv w:val="1"/>
      <w:marLeft w:val="0"/>
      <w:marRight w:val="0"/>
      <w:marTop w:val="0"/>
      <w:marBottom w:val="0"/>
      <w:divBdr>
        <w:top w:val="none" w:sz="0" w:space="0" w:color="auto"/>
        <w:left w:val="none" w:sz="0" w:space="0" w:color="auto"/>
        <w:bottom w:val="none" w:sz="0" w:space="0" w:color="auto"/>
        <w:right w:val="none" w:sz="0" w:space="0" w:color="auto"/>
      </w:divBdr>
    </w:div>
    <w:div w:id="328677536">
      <w:bodyDiv w:val="1"/>
      <w:marLeft w:val="0"/>
      <w:marRight w:val="0"/>
      <w:marTop w:val="0"/>
      <w:marBottom w:val="0"/>
      <w:divBdr>
        <w:top w:val="none" w:sz="0" w:space="0" w:color="auto"/>
        <w:left w:val="none" w:sz="0" w:space="0" w:color="auto"/>
        <w:bottom w:val="none" w:sz="0" w:space="0" w:color="auto"/>
        <w:right w:val="none" w:sz="0" w:space="0" w:color="auto"/>
      </w:divBdr>
    </w:div>
    <w:div w:id="328683058">
      <w:bodyDiv w:val="1"/>
      <w:marLeft w:val="0"/>
      <w:marRight w:val="0"/>
      <w:marTop w:val="0"/>
      <w:marBottom w:val="0"/>
      <w:divBdr>
        <w:top w:val="none" w:sz="0" w:space="0" w:color="auto"/>
        <w:left w:val="none" w:sz="0" w:space="0" w:color="auto"/>
        <w:bottom w:val="none" w:sz="0" w:space="0" w:color="auto"/>
        <w:right w:val="none" w:sz="0" w:space="0" w:color="auto"/>
      </w:divBdr>
    </w:div>
    <w:div w:id="328750904">
      <w:bodyDiv w:val="1"/>
      <w:marLeft w:val="0"/>
      <w:marRight w:val="0"/>
      <w:marTop w:val="0"/>
      <w:marBottom w:val="0"/>
      <w:divBdr>
        <w:top w:val="none" w:sz="0" w:space="0" w:color="auto"/>
        <w:left w:val="none" w:sz="0" w:space="0" w:color="auto"/>
        <w:bottom w:val="none" w:sz="0" w:space="0" w:color="auto"/>
        <w:right w:val="none" w:sz="0" w:space="0" w:color="auto"/>
      </w:divBdr>
    </w:div>
    <w:div w:id="328794545">
      <w:bodyDiv w:val="1"/>
      <w:marLeft w:val="0"/>
      <w:marRight w:val="0"/>
      <w:marTop w:val="0"/>
      <w:marBottom w:val="0"/>
      <w:divBdr>
        <w:top w:val="none" w:sz="0" w:space="0" w:color="auto"/>
        <w:left w:val="none" w:sz="0" w:space="0" w:color="auto"/>
        <w:bottom w:val="none" w:sz="0" w:space="0" w:color="auto"/>
        <w:right w:val="none" w:sz="0" w:space="0" w:color="auto"/>
      </w:divBdr>
    </w:div>
    <w:div w:id="328795759">
      <w:bodyDiv w:val="1"/>
      <w:marLeft w:val="0"/>
      <w:marRight w:val="0"/>
      <w:marTop w:val="0"/>
      <w:marBottom w:val="0"/>
      <w:divBdr>
        <w:top w:val="none" w:sz="0" w:space="0" w:color="auto"/>
        <w:left w:val="none" w:sz="0" w:space="0" w:color="auto"/>
        <w:bottom w:val="none" w:sz="0" w:space="0" w:color="auto"/>
        <w:right w:val="none" w:sz="0" w:space="0" w:color="auto"/>
      </w:divBdr>
    </w:div>
    <w:div w:id="328825835">
      <w:bodyDiv w:val="1"/>
      <w:marLeft w:val="0"/>
      <w:marRight w:val="0"/>
      <w:marTop w:val="0"/>
      <w:marBottom w:val="0"/>
      <w:divBdr>
        <w:top w:val="none" w:sz="0" w:space="0" w:color="auto"/>
        <w:left w:val="none" w:sz="0" w:space="0" w:color="auto"/>
        <w:bottom w:val="none" w:sz="0" w:space="0" w:color="auto"/>
        <w:right w:val="none" w:sz="0" w:space="0" w:color="auto"/>
      </w:divBdr>
    </w:div>
    <w:div w:id="328870038">
      <w:bodyDiv w:val="1"/>
      <w:marLeft w:val="0"/>
      <w:marRight w:val="0"/>
      <w:marTop w:val="0"/>
      <w:marBottom w:val="0"/>
      <w:divBdr>
        <w:top w:val="none" w:sz="0" w:space="0" w:color="auto"/>
        <w:left w:val="none" w:sz="0" w:space="0" w:color="auto"/>
        <w:bottom w:val="none" w:sz="0" w:space="0" w:color="auto"/>
        <w:right w:val="none" w:sz="0" w:space="0" w:color="auto"/>
      </w:divBdr>
    </w:div>
    <w:div w:id="328947315">
      <w:bodyDiv w:val="1"/>
      <w:marLeft w:val="0"/>
      <w:marRight w:val="0"/>
      <w:marTop w:val="0"/>
      <w:marBottom w:val="0"/>
      <w:divBdr>
        <w:top w:val="none" w:sz="0" w:space="0" w:color="auto"/>
        <w:left w:val="none" w:sz="0" w:space="0" w:color="auto"/>
        <w:bottom w:val="none" w:sz="0" w:space="0" w:color="auto"/>
        <w:right w:val="none" w:sz="0" w:space="0" w:color="auto"/>
      </w:divBdr>
    </w:div>
    <w:div w:id="329062477">
      <w:bodyDiv w:val="1"/>
      <w:marLeft w:val="0"/>
      <w:marRight w:val="0"/>
      <w:marTop w:val="0"/>
      <w:marBottom w:val="0"/>
      <w:divBdr>
        <w:top w:val="none" w:sz="0" w:space="0" w:color="auto"/>
        <w:left w:val="none" w:sz="0" w:space="0" w:color="auto"/>
        <w:bottom w:val="none" w:sz="0" w:space="0" w:color="auto"/>
        <w:right w:val="none" w:sz="0" w:space="0" w:color="auto"/>
      </w:divBdr>
    </w:div>
    <w:div w:id="329135781">
      <w:bodyDiv w:val="1"/>
      <w:marLeft w:val="0"/>
      <w:marRight w:val="0"/>
      <w:marTop w:val="0"/>
      <w:marBottom w:val="0"/>
      <w:divBdr>
        <w:top w:val="none" w:sz="0" w:space="0" w:color="auto"/>
        <w:left w:val="none" w:sz="0" w:space="0" w:color="auto"/>
        <w:bottom w:val="none" w:sz="0" w:space="0" w:color="auto"/>
        <w:right w:val="none" w:sz="0" w:space="0" w:color="auto"/>
      </w:divBdr>
    </w:div>
    <w:div w:id="329143357">
      <w:bodyDiv w:val="1"/>
      <w:marLeft w:val="0"/>
      <w:marRight w:val="0"/>
      <w:marTop w:val="0"/>
      <w:marBottom w:val="0"/>
      <w:divBdr>
        <w:top w:val="none" w:sz="0" w:space="0" w:color="auto"/>
        <w:left w:val="none" w:sz="0" w:space="0" w:color="auto"/>
        <w:bottom w:val="none" w:sz="0" w:space="0" w:color="auto"/>
        <w:right w:val="none" w:sz="0" w:space="0" w:color="auto"/>
      </w:divBdr>
    </w:div>
    <w:div w:id="329212353">
      <w:bodyDiv w:val="1"/>
      <w:marLeft w:val="0"/>
      <w:marRight w:val="0"/>
      <w:marTop w:val="0"/>
      <w:marBottom w:val="0"/>
      <w:divBdr>
        <w:top w:val="none" w:sz="0" w:space="0" w:color="auto"/>
        <w:left w:val="none" w:sz="0" w:space="0" w:color="auto"/>
        <w:bottom w:val="none" w:sz="0" w:space="0" w:color="auto"/>
        <w:right w:val="none" w:sz="0" w:space="0" w:color="auto"/>
      </w:divBdr>
    </w:div>
    <w:div w:id="329329149">
      <w:bodyDiv w:val="1"/>
      <w:marLeft w:val="0"/>
      <w:marRight w:val="0"/>
      <w:marTop w:val="0"/>
      <w:marBottom w:val="0"/>
      <w:divBdr>
        <w:top w:val="none" w:sz="0" w:space="0" w:color="auto"/>
        <w:left w:val="none" w:sz="0" w:space="0" w:color="auto"/>
        <w:bottom w:val="none" w:sz="0" w:space="0" w:color="auto"/>
        <w:right w:val="none" w:sz="0" w:space="0" w:color="auto"/>
      </w:divBdr>
    </w:div>
    <w:div w:id="329598271">
      <w:bodyDiv w:val="1"/>
      <w:marLeft w:val="0"/>
      <w:marRight w:val="0"/>
      <w:marTop w:val="0"/>
      <w:marBottom w:val="0"/>
      <w:divBdr>
        <w:top w:val="none" w:sz="0" w:space="0" w:color="auto"/>
        <w:left w:val="none" w:sz="0" w:space="0" w:color="auto"/>
        <w:bottom w:val="none" w:sz="0" w:space="0" w:color="auto"/>
        <w:right w:val="none" w:sz="0" w:space="0" w:color="auto"/>
      </w:divBdr>
    </w:div>
    <w:div w:id="329647512">
      <w:bodyDiv w:val="1"/>
      <w:marLeft w:val="0"/>
      <w:marRight w:val="0"/>
      <w:marTop w:val="0"/>
      <w:marBottom w:val="0"/>
      <w:divBdr>
        <w:top w:val="none" w:sz="0" w:space="0" w:color="auto"/>
        <w:left w:val="none" w:sz="0" w:space="0" w:color="auto"/>
        <w:bottom w:val="none" w:sz="0" w:space="0" w:color="auto"/>
        <w:right w:val="none" w:sz="0" w:space="0" w:color="auto"/>
      </w:divBdr>
    </w:div>
    <w:div w:id="329677209">
      <w:bodyDiv w:val="1"/>
      <w:marLeft w:val="0"/>
      <w:marRight w:val="0"/>
      <w:marTop w:val="0"/>
      <w:marBottom w:val="0"/>
      <w:divBdr>
        <w:top w:val="none" w:sz="0" w:space="0" w:color="auto"/>
        <w:left w:val="none" w:sz="0" w:space="0" w:color="auto"/>
        <w:bottom w:val="none" w:sz="0" w:space="0" w:color="auto"/>
        <w:right w:val="none" w:sz="0" w:space="0" w:color="auto"/>
      </w:divBdr>
    </w:div>
    <w:div w:id="329720657">
      <w:bodyDiv w:val="1"/>
      <w:marLeft w:val="0"/>
      <w:marRight w:val="0"/>
      <w:marTop w:val="0"/>
      <w:marBottom w:val="0"/>
      <w:divBdr>
        <w:top w:val="none" w:sz="0" w:space="0" w:color="auto"/>
        <w:left w:val="none" w:sz="0" w:space="0" w:color="auto"/>
        <w:bottom w:val="none" w:sz="0" w:space="0" w:color="auto"/>
        <w:right w:val="none" w:sz="0" w:space="0" w:color="auto"/>
      </w:divBdr>
    </w:div>
    <w:div w:id="329795239">
      <w:bodyDiv w:val="1"/>
      <w:marLeft w:val="0"/>
      <w:marRight w:val="0"/>
      <w:marTop w:val="0"/>
      <w:marBottom w:val="0"/>
      <w:divBdr>
        <w:top w:val="none" w:sz="0" w:space="0" w:color="auto"/>
        <w:left w:val="none" w:sz="0" w:space="0" w:color="auto"/>
        <w:bottom w:val="none" w:sz="0" w:space="0" w:color="auto"/>
        <w:right w:val="none" w:sz="0" w:space="0" w:color="auto"/>
      </w:divBdr>
    </w:div>
    <w:div w:id="329796492">
      <w:bodyDiv w:val="1"/>
      <w:marLeft w:val="0"/>
      <w:marRight w:val="0"/>
      <w:marTop w:val="0"/>
      <w:marBottom w:val="0"/>
      <w:divBdr>
        <w:top w:val="none" w:sz="0" w:space="0" w:color="auto"/>
        <w:left w:val="none" w:sz="0" w:space="0" w:color="auto"/>
        <w:bottom w:val="none" w:sz="0" w:space="0" w:color="auto"/>
        <w:right w:val="none" w:sz="0" w:space="0" w:color="auto"/>
      </w:divBdr>
    </w:div>
    <w:div w:id="329800524">
      <w:bodyDiv w:val="1"/>
      <w:marLeft w:val="0"/>
      <w:marRight w:val="0"/>
      <w:marTop w:val="0"/>
      <w:marBottom w:val="0"/>
      <w:divBdr>
        <w:top w:val="none" w:sz="0" w:space="0" w:color="auto"/>
        <w:left w:val="none" w:sz="0" w:space="0" w:color="auto"/>
        <w:bottom w:val="none" w:sz="0" w:space="0" w:color="auto"/>
        <w:right w:val="none" w:sz="0" w:space="0" w:color="auto"/>
      </w:divBdr>
    </w:div>
    <w:div w:id="329874400">
      <w:bodyDiv w:val="1"/>
      <w:marLeft w:val="0"/>
      <w:marRight w:val="0"/>
      <w:marTop w:val="0"/>
      <w:marBottom w:val="0"/>
      <w:divBdr>
        <w:top w:val="none" w:sz="0" w:space="0" w:color="auto"/>
        <w:left w:val="none" w:sz="0" w:space="0" w:color="auto"/>
        <w:bottom w:val="none" w:sz="0" w:space="0" w:color="auto"/>
        <w:right w:val="none" w:sz="0" w:space="0" w:color="auto"/>
      </w:divBdr>
    </w:div>
    <w:div w:id="329875276">
      <w:bodyDiv w:val="1"/>
      <w:marLeft w:val="0"/>
      <w:marRight w:val="0"/>
      <w:marTop w:val="0"/>
      <w:marBottom w:val="0"/>
      <w:divBdr>
        <w:top w:val="none" w:sz="0" w:space="0" w:color="auto"/>
        <w:left w:val="none" w:sz="0" w:space="0" w:color="auto"/>
        <w:bottom w:val="none" w:sz="0" w:space="0" w:color="auto"/>
        <w:right w:val="none" w:sz="0" w:space="0" w:color="auto"/>
      </w:divBdr>
    </w:div>
    <w:div w:id="330108066">
      <w:bodyDiv w:val="1"/>
      <w:marLeft w:val="0"/>
      <w:marRight w:val="0"/>
      <w:marTop w:val="0"/>
      <w:marBottom w:val="0"/>
      <w:divBdr>
        <w:top w:val="none" w:sz="0" w:space="0" w:color="auto"/>
        <w:left w:val="none" w:sz="0" w:space="0" w:color="auto"/>
        <w:bottom w:val="none" w:sz="0" w:space="0" w:color="auto"/>
        <w:right w:val="none" w:sz="0" w:space="0" w:color="auto"/>
      </w:divBdr>
    </w:div>
    <w:div w:id="330567177">
      <w:bodyDiv w:val="1"/>
      <w:marLeft w:val="0"/>
      <w:marRight w:val="0"/>
      <w:marTop w:val="0"/>
      <w:marBottom w:val="0"/>
      <w:divBdr>
        <w:top w:val="none" w:sz="0" w:space="0" w:color="auto"/>
        <w:left w:val="none" w:sz="0" w:space="0" w:color="auto"/>
        <w:bottom w:val="none" w:sz="0" w:space="0" w:color="auto"/>
        <w:right w:val="none" w:sz="0" w:space="0" w:color="auto"/>
      </w:divBdr>
    </w:div>
    <w:div w:id="330723215">
      <w:bodyDiv w:val="1"/>
      <w:marLeft w:val="0"/>
      <w:marRight w:val="0"/>
      <w:marTop w:val="0"/>
      <w:marBottom w:val="0"/>
      <w:divBdr>
        <w:top w:val="none" w:sz="0" w:space="0" w:color="auto"/>
        <w:left w:val="none" w:sz="0" w:space="0" w:color="auto"/>
        <w:bottom w:val="none" w:sz="0" w:space="0" w:color="auto"/>
        <w:right w:val="none" w:sz="0" w:space="0" w:color="auto"/>
      </w:divBdr>
    </w:div>
    <w:div w:id="330835340">
      <w:bodyDiv w:val="1"/>
      <w:marLeft w:val="0"/>
      <w:marRight w:val="0"/>
      <w:marTop w:val="0"/>
      <w:marBottom w:val="0"/>
      <w:divBdr>
        <w:top w:val="none" w:sz="0" w:space="0" w:color="auto"/>
        <w:left w:val="none" w:sz="0" w:space="0" w:color="auto"/>
        <w:bottom w:val="none" w:sz="0" w:space="0" w:color="auto"/>
        <w:right w:val="none" w:sz="0" w:space="0" w:color="auto"/>
      </w:divBdr>
    </w:div>
    <w:div w:id="330837881">
      <w:bodyDiv w:val="1"/>
      <w:marLeft w:val="0"/>
      <w:marRight w:val="0"/>
      <w:marTop w:val="0"/>
      <w:marBottom w:val="0"/>
      <w:divBdr>
        <w:top w:val="none" w:sz="0" w:space="0" w:color="auto"/>
        <w:left w:val="none" w:sz="0" w:space="0" w:color="auto"/>
        <w:bottom w:val="none" w:sz="0" w:space="0" w:color="auto"/>
        <w:right w:val="none" w:sz="0" w:space="0" w:color="auto"/>
      </w:divBdr>
    </w:div>
    <w:div w:id="330839151">
      <w:bodyDiv w:val="1"/>
      <w:marLeft w:val="0"/>
      <w:marRight w:val="0"/>
      <w:marTop w:val="0"/>
      <w:marBottom w:val="0"/>
      <w:divBdr>
        <w:top w:val="none" w:sz="0" w:space="0" w:color="auto"/>
        <w:left w:val="none" w:sz="0" w:space="0" w:color="auto"/>
        <w:bottom w:val="none" w:sz="0" w:space="0" w:color="auto"/>
        <w:right w:val="none" w:sz="0" w:space="0" w:color="auto"/>
      </w:divBdr>
    </w:div>
    <w:div w:id="330984960">
      <w:bodyDiv w:val="1"/>
      <w:marLeft w:val="0"/>
      <w:marRight w:val="0"/>
      <w:marTop w:val="0"/>
      <w:marBottom w:val="0"/>
      <w:divBdr>
        <w:top w:val="none" w:sz="0" w:space="0" w:color="auto"/>
        <w:left w:val="none" w:sz="0" w:space="0" w:color="auto"/>
        <w:bottom w:val="none" w:sz="0" w:space="0" w:color="auto"/>
        <w:right w:val="none" w:sz="0" w:space="0" w:color="auto"/>
      </w:divBdr>
    </w:div>
    <w:div w:id="330986673">
      <w:bodyDiv w:val="1"/>
      <w:marLeft w:val="0"/>
      <w:marRight w:val="0"/>
      <w:marTop w:val="0"/>
      <w:marBottom w:val="0"/>
      <w:divBdr>
        <w:top w:val="none" w:sz="0" w:space="0" w:color="auto"/>
        <w:left w:val="none" w:sz="0" w:space="0" w:color="auto"/>
        <w:bottom w:val="none" w:sz="0" w:space="0" w:color="auto"/>
        <w:right w:val="none" w:sz="0" w:space="0" w:color="auto"/>
      </w:divBdr>
    </w:div>
    <w:div w:id="331153621">
      <w:bodyDiv w:val="1"/>
      <w:marLeft w:val="0"/>
      <w:marRight w:val="0"/>
      <w:marTop w:val="0"/>
      <w:marBottom w:val="0"/>
      <w:divBdr>
        <w:top w:val="none" w:sz="0" w:space="0" w:color="auto"/>
        <w:left w:val="none" w:sz="0" w:space="0" w:color="auto"/>
        <w:bottom w:val="none" w:sz="0" w:space="0" w:color="auto"/>
        <w:right w:val="none" w:sz="0" w:space="0" w:color="auto"/>
      </w:divBdr>
    </w:div>
    <w:div w:id="331177172">
      <w:bodyDiv w:val="1"/>
      <w:marLeft w:val="0"/>
      <w:marRight w:val="0"/>
      <w:marTop w:val="0"/>
      <w:marBottom w:val="0"/>
      <w:divBdr>
        <w:top w:val="none" w:sz="0" w:space="0" w:color="auto"/>
        <w:left w:val="none" w:sz="0" w:space="0" w:color="auto"/>
        <w:bottom w:val="none" w:sz="0" w:space="0" w:color="auto"/>
        <w:right w:val="none" w:sz="0" w:space="0" w:color="auto"/>
      </w:divBdr>
    </w:div>
    <w:div w:id="331222333">
      <w:bodyDiv w:val="1"/>
      <w:marLeft w:val="0"/>
      <w:marRight w:val="0"/>
      <w:marTop w:val="0"/>
      <w:marBottom w:val="0"/>
      <w:divBdr>
        <w:top w:val="none" w:sz="0" w:space="0" w:color="auto"/>
        <w:left w:val="none" w:sz="0" w:space="0" w:color="auto"/>
        <w:bottom w:val="none" w:sz="0" w:space="0" w:color="auto"/>
        <w:right w:val="none" w:sz="0" w:space="0" w:color="auto"/>
      </w:divBdr>
    </w:div>
    <w:div w:id="331222874">
      <w:bodyDiv w:val="1"/>
      <w:marLeft w:val="0"/>
      <w:marRight w:val="0"/>
      <w:marTop w:val="0"/>
      <w:marBottom w:val="0"/>
      <w:divBdr>
        <w:top w:val="none" w:sz="0" w:space="0" w:color="auto"/>
        <w:left w:val="none" w:sz="0" w:space="0" w:color="auto"/>
        <w:bottom w:val="none" w:sz="0" w:space="0" w:color="auto"/>
        <w:right w:val="none" w:sz="0" w:space="0" w:color="auto"/>
      </w:divBdr>
    </w:div>
    <w:div w:id="331300917">
      <w:bodyDiv w:val="1"/>
      <w:marLeft w:val="0"/>
      <w:marRight w:val="0"/>
      <w:marTop w:val="0"/>
      <w:marBottom w:val="0"/>
      <w:divBdr>
        <w:top w:val="none" w:sz="0" w:space="0" w:color="auto"/>
        <w:left w:val="none" w:sz="0" w:space="0" w:color="auto"/>
        <w:bottom w:val="none" w:sz="0" w:space="0" w:color="auto"/>
        <w:right w:val="none" w:sz="0" w:space="0" w:color="auto"/>
      </w:divBdr>
    </w:div>
    <w:div w:id="331373688">
      <w:bodyDiv w:val="1"/>
      <w:marLeft w:val="0"/>
      <w:marRight w:val="0"/>
      <w:marTop w:val="0"/>
      <w:marBottom w:val="0"/>
      <w:divBdr>
        <w:top w:val="none" w:sz="0" w:space="0" w:color="auto"/>
        <w:left w:val="none" w:sz="0" w:space="0" w:color="auto"/>
        <w:bottom w:val="none" w:sz="0" w:space="0" w:color="auto"/>
        <w:right w:val="none" w:sz="0" w:space="0" w:color="auto"/>
      </w:divBdr>
    </w:div>
    <w:div w:id="331448164">
      <w:bodyDiv w:val="1"/>
      <w:marLeft w:val="0"/>
      <w:marRight w:val="0"/>
      <w:marTop w:val="0"/>
      <w:marBottom w:val="0"/>
      <w:divBdr>
        <w:top w:val="none" w:sz="0" w:space="0" w:color="auto"/>
        <w:left w:val="none" w:sz="0" w:space="0" w:color="auto"/>
        <w:bottom w:val="none" w:sz="0" w:space="0" w:color="auto"/>
        <w:right w:val="none" w:sz="0" w:space="0" w:color="auto"/>
      </w:divBdr>
    </w:div>
    <w:div w:id="331492369">
      <w:bodyDiv w:val="1"/>
      <w:marLeft w:val="0"/>
      <w:marRight w:val="0"/>
      <w:marTop w:val="0"/>
      <w:marBottom w:val="0"/>
      <w:divBdr>
        <w:top w:val="none" w:sz="0" w:space="0" w:color="auto"/>
        <w:left w:val="none" w:sz="0" w:space="0" w:color="auto"/>
        <w:bottom w:val="none" w:sz="0" w:space="0" w:color="auto"/>
        <w:right w:val="none" w:sz="0" w:space="0" w:color="auto"/>
      </w:divBdr>
    </w:div>
    <w:div w:id="331643168">
      <w:bodyDiv w:val="1"/>
      <w:marLeft w:val="0"/>
      <w:marRight w:val="0"/>
      <w:marTop w:val="0"/>
      <w:marBottom w:val="0"/>
      <w:divBdr>
        <w:top w:val="none" w:sz="0" w:space="0" w:color="auto"/>
        <w:left w:val="none" w:sz="0" w:space="0" w:color="auto"/>
        <w:bottom w:val="none" w:sz="0" w:space="0" w:color="auto"/>
        <w:right w:val="none" w:sz="0" w:space="0" w:color="auto"/>
      </w:divBdr>
    </w:div>
    <w:div w:id="331644236">
      <w:bodyDiv w:val="1"/>
      <w:marLeft w:val="0"/>
      <w:marRight w:val="0"/>
      <w:marTop w:val="0"/>
      <w:marBottom w:val="0"/>
      <w:divBdr>
        <w:top w:val="none" w:sz="0" w:space="0" w:color="auto"/>
        <w:left w:val="none" w:sz="0" w:space="0" w:color="auto"/>
        <w:bottom w:val="none" w:sz="0" w:space="0" w:color="auto"/>
        <w:right w:val="none" w:sz="0" w:space="0" w:color="auto"/>
      </w:divBdr>
    </w:div>
    <w:div w:id="331687717">
      <w:bodyDiv w:val="1"/>
      <w:marLeft w:val="0"/>
      <w:marRight w:val="0"/>
      <w:marTop w:val="0"/>
      <w:marBottom w:val="0"/>
      <w:divBdr>
        <w:top w:val="none" w:sz="0" w:space="0" w:color="auto"/>
        <w:left w:val="none" w:sz="0" w:space="0" w:color="auto"/>
        <w:bottom w:val="none" w:sz="0" w:space="0" w:color="auto"/>
        <w:right w:val="none" w:sz="0" w:space="0" w:color="auto"/>
      </w:divBdr>
    </w:div>
    <w:div w:id="331763993">
      <w:bodyDiv w:val="1"/>
      <w:marLeft w:val="0"/>
      <w:marRight w:val="0"/>
      <w:marTop w:val="0"/>
      <w:marBottom w:val="0"/>
      <w:divBdr>
        <w:top w:val="none" w:sz="0" w:space="0" w:color="auto"/>
        <w:left w:val="none" w:sz="0" w:space="0" w:color="auto"/>
        <w:bottom w:val="none" w:sz="0" w:space="0" w:color="auto"/>
        <w:right w:val="none" w:sz="0" w:space="0" w:color="auto"/>
      </w:divBdr>
    </w:div>
    <w:div w:id="331837420">
      <w:bodyDiv w:val="1"/>
      <w:marLeft w:val="0"/>
      <w:marRight w:val="0"/>
      <w:marTop w:val="0"/>
      <w:marBottom w:val="0"/>
      <w:divBdr>
        <w:top w:val="none" w:sz="0" w:space="0" w:color="auto"/>
        <w:left w:val="none" w:sz="0" w:space="0" w:color="auto"/>
        <w:bottom w:val="none" w:sz="0" w:space="0" w:color="auto"/>
        <w:right w:val="none" w:sz="0" w:space="0" w:color="auto"/>
      </w:divBdr>
    </w:div>
    <w:div w:id="331876703">
      <w:bodyDiv w:val="1"/>
      <w:marLeft w:val="0"/>
      <w:marRight w:val="0"/>
      <w:marTop w:val="0"/>
      <w:marBottom w:val="0"/>
      <w:divBdr>
        <w:top w:val="none" w:sz="0" w:space="0" w:color="auto"/>
        <w:left w:val="none" w:sz="0" w:space="0" w:color="auto"/>
        <w:bottom w:val="none" w:sz="0" w:space="0" w:color="auto"/>
        <w:right w:val="none" w:sz="0" w:space="0" w:color="auto"/>
      </w:divBdr>
    </w:div>
    <w:div w:id="331953463">
      <w:bodyDiv w:val="1"/>
      <w:marLeft w:val="0"/>
      <w:marRight w:val="0"/>
      <w:marTop w:val="0"/>
      <w:marBottom w:val="0"/>
      <w:divBdr>
        <w:top w:val="none" w:sz="0" w:space="0" w:color="auto"/>
        <w:left w:val="none" w:sz="0" w:space="0" w:color="auto"/>
        <w:bottom w:val="none" w:sz="0" w:space="0" w:color="auto"/>
        <w:right w:val="none" w:sz="0" w:space="0" w:color="auto"/>
      </w:divBdr>
    </w:div>
    <w:div w:id="332072460">
      <w:bodyDiv w:val="1"/>
      <w:marLeft w:val="0"/>
      <w:marRight w:val="0"/>
      <w:marTop w:val="0"/>
      <w:marBottom w:val="0"/>
      <w:divBdr>
        <w:top w:val="none" w:sz="0" w:space="0" w:color="auto"/>
        <w:left w:val="none" w:sz="0" w:space="0" w:color="auto"/>
        <w:bottom w:val="none" w:sz="0" w:space="0" w:color="auto"/>
        <w:right w:val="none" w:sz="0" w:space="0" w:color="auto"/>
      </w:divBdr>
    </w:div>
    <w:div w:id="332075542">
      <w:bodyDiv w:val="1"/>
      <w:marLeft w:val="0"/>
      <w:marRight w:val="0"/>
      <w:marTop w:val="0"/>
      <w:marBottom w:val="0"/>
      <w:divBdr>
        <w:top w:val="none" w:sz="0" w:space="0" w:color="auto"/>
        <w:left w:val="none" w:sz="0" w:space="0" w:color="auto"/>
        <w:bottom w:val="none" w:sz="0" w:space="0" w:color="auto"/>
        <w:right w:val="none" w:sz="0" w:space="0" w:color="auto"/>
      </w:divBdr>
    </w:div>
    <w:div w:id="332223314">
      <w:bodyDiv w:val="1"/>
      <w:marLeft w:val="0"/>
      <w:marRight w:val="0"/>
      <w:marTop w:val="0"/>
      <w:marBottom w:val="0"/>
      <w:divBdr>
        <w:top w:val="none" w:sz="0" w:space="0" w:color="auto"/>
        <w:left w:val="none" w:sz="0" w:space="0" w:color="auto"/>
        <w:bottom w:val="none" w:sz="0" w:space="0" w:color="auto"/>
        <w:right w:val="none" w:sz="0" w:space="0" w:color="auto"/>
      </w:divBdr>
    </w:div>
    <w:div w:id="332414382">
      <w:bodyDiv w:val="1"/>
      <w:marLeft w:val="0"/>
      <w:marRight w:val="0"/>
      <w:marTop w:val="0"/>
      <w:marBottom w:val="0"/>
      <w:divBdr>
        <w:top w:val="none" w:sz="0" w:space="0" w:color="auto"/>
        <w:left w:val="none" w:sz="0" w:space="0" w:color="auto"/>
        <w:bottom w:val="none" w:sz="0" w:space="0" w:color="auto"/>
        <w:right w:val="none" w:sz="0" w:space="0" w:color="auto"/>
      </w:divBdr>
    </w:div>
    <w:div w:id="332421001">
      <w:bodyDiv w:val="1"/>
      <w:marLeft w:val="0"/>
      <w:marRight w:val="0"/>
      <w:marTop w:val="0"/>
      <w:marBottom w:val="0"/>
      <w:divBdr>
        <w:top w:val="none" w:sz="0" w:space="0" w:color="auto"/>
        <w:left w:val="none" w:sz="0" w:space="0" w:color="auto"/>
        <w:bottom w:val="none" w:sz="0" w:space="0" w:color="auto"/>
        <w:right w:val="none" w:sz="0" w:space="0" w:color="auto"/>
      </w:divBdr>
    </w:div>
    <w:div w:id="332538719">
      <w:bodyDiv w:val="1"/>
      <w:marLeft w:val="0"/>
      <w:marRight w:val="0"/>
      <w:marTop w:val="0"/>
      <w:marBottom w:val="0"/>
      <w:divBdr>
        <w:top w:val="none" w:sz="0" w:space="0" w:color="auto"/>
        <w:left w:val="none" w:sz="0" w:space="0" w:color="auto"/>
        <w:bottom w:val="none" w:sz="0" w:space="0" w:color="auto"/>
        <w:right w:val="none" w:sz="0" w:space="0" w:color="auto"/>
      </w:divBdr>
    </w:div>
    <w:div w:id="332606893">
      <w:bodyDiv w:val="1"/>
      <w:marLeft w:val="0"/>
      <w:marRight w:val="0"/>
      <w:marTop w:val="0"/>
      <w:marBottom w:val="0"/>
      <w:divBdr>
        <w:top w:val="none" w:sz="0" w:space="0" w:color="auto"/>
        <w:left w:val="none" w:sz="0" w:space="0" w:color="auto"/>
        <w:bottom w:val="none" w:sz="0" w:space="0" w:color="auto"/>
        <w:right w:val="none" w:sz="0" w:space="0" w:color="auto"/>
      </w:divBdr>
    </w:div>
    <w:div w:id="332680751">
      <w:bodyDiv w:val="1"/>
      <w:marLeft w:val="0"/>
      <w:marRight w:val="0"/>
      <w:marTop w:val="0"/>
      <w:marBottom w:val="0"/>
      <w:divBdr>
        <w:top w:val="none" w:sz="0" w:space="0" w:color="auto"/>
        <w:left w:val="none" w:sz="0" w:space="0" w:color="auto"/>
        <w:bottom w:val="none" w:sz="0" w:space="0" w:color="auto"/>
        <w:right w:val="none" w:sz="0" w:space="0" w:color="auto"/>
      </w:divBdr>
    </w:div>
    <w:div w:id="332683872">
      <w:bodyDiv w:val="1"/>
      <w:marLeft w:val="0"/>
      <w:marRight w:val="0"/>
      <w:marTop w:val="0"/>
      <w:marBottom w:val="0"/>
      <w:divBdr>
        <w:top w:val="none" w:sz="0" w:space="0" w:color="auto"/>
        <w:left w:val="none" w:sz="0" w:space="0" w:color="auto"/>
        <w:bottom w:val="none" w:sz="0" w:space="0" w:color="auto"/>
        <w:right w:val="none" w:sz="0" w:space="0" w:color="auto"/>
      </w:divBdr>
    </w:div>
    <w:div w:id="332684106">
      <w:bodyDiv w:val="1"/>
      <w:marLeft w:val="0"/>
      <w:marRight w:val="0"/>
      <w:marTop w:val="0"/>
      <w:marBottom w:val="0"/>
      <w:divBdr>
        <w:top w:val="none" w:sz="0" w:space="0" w:color="auto"/>
        <w:left w:val="none" w:sz="0" w:space="0" w:color="auto"/>
        <w:bottom w:val="none" w:sz="0" w:space="0" w:color="auto"/>
        <w:right w:val="none" w:sz="0" w:space="0" w:color="auto"/>
      </w:divBdr>
    </w:div>
    <w:div w:id="332685647">
      <w:bodyDiv w:val="1"/>
      <w:marLeft w:val="0"/>
      <w:marRight w:val="0"/>
      <w:marTop w:val="0"/>
      <w:marBottom w:val="0"/>
      <w:divBdr>
        <w:top w:val="none" w:sz="0" w:space="0" w:color="auto"/>
        <w:left w:val="none" w:sz="0" w:space="0" w:color="auto"/>
        <w:bottom w:val="none" w:sz="0" w:space="0" w:color="auto"/>
        <w:right w:val="none" w:sz="0" w:space="0" w:color="auto"/>
      </w:divBdr>
    </w:div>
    <w:div w:id="332685694">
      <w:bodyDiv w:val="1"/>
      <w:marLeft w:val="0"/>
      <w:marRight w:val="0"/>
      <w:marTop w:val="0"/>
      <w:marBottom w:val="0"/>
      <w:divBdr>
        <w:top w:val="none" w:sz="0" w:space="0" w:color="auto"/>
        <w:left w:val="none" w:sz="0" w:space="0" w:color="auto"/>
        <w:bottom w:val="none" w:sz="0" w:space="0" w:color="auto"/>
        <w:right w:val="none" w:sz="0" w:space="0" w:color="auto"/>
      </w:divBdr>
    </w:div>
    <w:div w:id="332878966">
      <w:bodyDiv w:val="1"/>
      <w:marLeft w:val="0"/>
      <w:marRight w:val="0"/>
      <w:marTop w:val="0"/>
      <w:marBottom w:val="0"/>
      <w:divBdr>
        <w:top w:val="none" w:sz="0" w:space="0" w:color="auto"/>
        <w:left w:val="none" w:sz="0" w:space="0" w:color="auto"/>
        <w:bottom w:val="none" w:sz="0" w:space="0" w:color="auto"/>
        <w:right w:val="none" w:sz="0" w:space="0" w:color="auto"/>
      </w:divBdr>
    </w:div>
    <w:div w:id="332950934">
      <w:bodyDiv w:val="1"/>
      <w:marLeft w:val="0"/>
      <w:marRight w:val="0"/>
      <w:marTop w:val="0"/>
      <w:marBottom w:val="0"/>
      <w:divBdr>
        <w:top w:val="none" w:sz="0" w:space="0" w:color="auto"/>
        <w:left w:val="none" w:sz="0" w:space="0" w:color="auto"/>
        <w:bottom w:val="none" w:sz="0" w:space="0" w:color="auto"/>
        <w:right w:val="none" w:sz="0" w:space="0" w:color="auto"/>
      </w:divBdr>
    </w:div>
    <w:div w:id="332994155">
      <w:bodyDiv w:val="1"/>
      <w:marLeft w:val="0"/>
      <w:marRight w:val="0"/>
      <w:marTop w:val="0"/>
      <w:marBottom w:val="0"/>
      <w:divBdr>
        <w:top w:val="none" w:sz="0" w:space="0" w:color="auto"/>
        <w:left w:val="none" w:sz="0" w:space="0" w:color="auto"/>
        <w:bottom w:val="none" w:sz="0" w:space="0" w:color="auto"/>
        <w:right w:val="none" w:sz="0" w:space="0" w:color="auto"/>
      </w:divBdr>
    </w:div>
    <w:div w:id="332996476">
      <w:bodyDiv w:val="1"/>
      <w:marLeft w:val="0"/>
      <w:marRight w:val="0"/>
      <w:marTop w:val="0"/>
      <w:marBottom w:val="0"/>
      <w:divBdr>
        <w:top w:val="none" w:sz="0" w:space="0" w:color="auto"/>
        <w:left w:val="none" w:sz="0" w:space="0" w:color="auto"/>
        <w:bottom w:val="none" w:sz="0" w:space="0" w:color="auto"/>
        <w:right w:val="none" w:sz="0" w:space="0" w:color="auto"/>
      </w:divBdr>
    </w:div>
    <w:div w:id="332997876">
      <w:bodyDiv w:val="1"/>
      <w:marLeft w:val="0"/>
      <w:marRight w:val="0"/>
      <w:marTop w:val="0"/>
      <w:marBottom w:val="0"/>
      <w:divBdr>
        <w:top w:val="none" w:sz="0" w:space="0" w:color="auto"/>
        <w:left w:val="none" w:sz="0" w:space="0" w:color="auto"/>
        <w:bottom w:val="none" w:sz="0" w:space="0" w:color="auto"/>
        <w:right w:val="none" w:sz="0" w:space="0" w:color="auto"/>
      </w:divBdr>
    </w:div>
    <w:div w:id="333264504">
      <w:bodyDiv w:val="1"/>
      <w:marLeft w:val="0"/>
      <w:marRight w:val="0"/>
      <w:marTop w:val="0"/>
      <w:marBottom w:val="0"/>
      <w:divBdr>
        <w:top w:val="none" w:sz="0" w:space="0" w:color="auto"/>
        <w:left w:val="none" w:sz="0" w:space="0" w:color="auto"/>
        <w:bottom w:val="none" w:sz="0" w:space="0" w:color="auto"/>
        <w:right w:val="none" w:sz="0" w:space="0" w:color="auto"/>
      </w:divBdr>
    </w:div>
    <w:div w:id="333530476">
      <w:bodyDiv w:val="1"/>
      <w:marLeft w:val="0"/>
      <w:marRight w:val="0"/>
      <w:marTop w:val="0"/>
      <w:marBottom w:val="0"/>
      <w:divBdr>
        <w:top w:val="none" w:sz="0" w:space="0" w:color="auto"/>
        <w:left w:val="none" w:sz="0" w:space="0" w:color="auto"/>
        <w:bottom w:val="none" w:sz="0" w:space="0" w:color="auto"/>
        <w:right w:val="none" w:sz="0" w:space="0" w:color="auto"/>
      </w:divBdr>
    </w:div>
    <w:div w:id="333579109">
      <w:bodyDiv w:val="1"/>
      <w:marLeft w:val="0"/>
      <w:marRight w:val="0"/>
      <w:marTop w:val="0"/>
      <w:marBottom w:val="0"/>
      <w:divBdr>
        <w:top w:val="none" w:sz="0" w:space="0" w:color="auto"/>
        <w:left w:val="none" w:sz="0" w:space="0" w:color="auto"/>
        <w:bottom w:val="none" w:sz="0" w:space="0" w:color="auto"/>
        <w:right w:val="none" w:sz="0" w:space="0" w:color="auto"/>
      </w:divBdr>
    </w:div>
    <w:div w:id="333604706">
      <w:bodyDiv w:val="1"/>
      <w:marLeft w:val="0"/>
      <w:marRight w:val="0"/>
      <w:marTop w:val="0"/>
      <w:marBottom w:val="0"/>
      <w:divBdr>
        <w:top w:val="none" w:sz="0" w:space="0" w:color="auto"/>
        <w:left w:val="none" w:sz="0" w:space="0" w:color="auto"/>
        <w:bottom w:val="none" w:sz="0" w:space="0" w:color="auto"/>
        <w:right w:val="none" w:sz="0" w:space="0" w:color="auto"/>
      </w:divBdr>
    </w:div>
    <w:div w:id="333647428">
      <w:bodyDiv w:val="1"/>
      <w:marLeft w:val="0"/>
      <w:marRight w:val="0"/>
      <w:marTop w:val="0"/>
      <w:marBottom w:val="0"/>
      <w:divBdr>
        <w:top w:val="none" w:sz="0" w:space="0" w:color="auto"/>
        <w:left w:val="none" w:sz="0" w:space="0" w:color="auto"/>
        <w:bottom w:val="none" w:sz="0" w:space="0" w:color="auto"/>
        <w:right w:val="none" w:sz="0" w:space="0" w:color="auto"/>
      </w:divBdr>
    </w:div>
    <w:div w:id="333727902">
      <w:bodyDiv w:val="1"/>
      <w:marLeft w:val="0"/>
      <w:marRight w:val="0"/>
      <w:marTop w:val="0"/>
      <w:marBottom w:val="0"/>
      <w:divBdr>
        <w:top w:val="none" w:sz="0" w:space="0" w:color="auto"/>
        <w:left w:val="none" w:sz="0" w:space="0" w:color="auto"/>
        <w:bottom w:val="none" w:sz="0" w:space="0" w:color="auto"/>
        <w:right w:val="none" w:sz="0" w:space="0" w:color="auto"/>
      </w:divBdr>
    </w:div>
    <w:div w:id="333841417">
      <w:bodyDiv w:val="1"/>
      <w:marLeft w:val="0"/>
      <w:marRight w:val="0"/>
      <w:marTop w:val="0"/>
      <w:marBottom w:val="0"/>
      <w:divBdr>
        <w:top w:val="none" w:sz="0" w:space="0" w:color="auto"/>
        <w:left w:val="none" w:sz="0" w:space="0" w:color="auto"/>
        <w:bottom w:val="none" w:sz="0" w:space="0" w:color="auto"/>
        <w:right w:val="none" w:sz="0" w:space="0" w:color="auto"/>
      </w:divBdr>
    </w:div>
    <w:div w:id="333843416">
      <w:bodyDiv w:val="1"/>
      <w:marLeft w:val="0"/>
      <w:marRight w:val="0"/>
      <w:marTop w:val="0"/>
      <w:marBottom w:val="0"/>
      <w:divBdr>
        <w:top w:val="none" w:sz="0" w:space="0" w:color="auto"/>
        <w:left w:val="none" w:sz="0" w:space="0" w:color="auto"/>
        <w:bottom w:val="none" w:sz="0" w:space="0" w:color="auto"/>
        <w:right w:val="none" w:sz="0" w:space="0" w:color="auto"/>
      </w:divBdr>
    </w:div>
    <w:div w:id="333844160">
      <w:bodyDiv w:val="1"/>
      <w:marLeft w:val="0"/>
      <w:marRight w:val="0"/>
      <w:marTop w:val="0"/>
      <w:marBottom w:val="0"/>
      <w:divBdr>
        <w:top w:val="none" w:sz="0" w:space="0" w:color="auto"/>
        <w:left w:val="none" w:sz="0" w:space="0" w:color="auto"/>
        <w:bottom w:val="none" w:sz="0" w:space="0" w:color="auto"/>
        <w:right w:val="none" w:sz="0" w:space="0" w:color="auto"/>
      </w:divBdr>
    </w:div>
    <w:div w:id="333994344">
      <w:bodyDiv w:val="1"/>
      <w:marLeft w:val="0"/>
      <w:marRight w:val="0"/>
      <w:marTop w:val="0"/>
      <w:marBottom w:val="0"/>
      <w:divBdr>
        <w:top w:val="none" w:sz="0" w:space="0" w:color="auto"/>
        <w:left w:val="none" w:sz="0" w:space="0" w:color="auto"/>
        <w:bottom w:val="none" w:sz="0" w:space="0" w:color="auto"/>
        <w:right w:val="none" w:sz="0" w:space="0" w:color="auto"/>
      </w:divBdr>
    </w:div>
    <w:div w:id="333999539">
      <w:bodyDiv w:val="1"/>
      <w:marLeft w:val="0"/>
      <w:marRight w:val="0"/>
      <w:marTop w:val="0"/>
      <w:marBottom w:val="0"/>
      <w:divBdr>
        <w:top w:val="none" w:sz="0" w:space="0" w:color="auto"/>
        <w:left w:val="none" w:sz="0" w:space="0" w:color="auto"/>
        <w:bottom w:val="none" w:sz="0" w:space="0" w:color="auto"/>
        <w:right w:val="none" w:sz="0" w:space="0" w:color="auto"/>
      </w:divBdr>
    </w:div>
    <w:div w:id="334041564">
      <w:bodyDiv w:val="1"/>
      <w:marLeft w:val="0"/>
      <w:marRight w:val="0"/>
      <w:marTop w:val="0"/>
      <w:marBottom w:val="0"/>
      <w:divBdr>
        <w:top w:val="none" w:sz="0" w:space="0" w:color="auto"/>
        <w:left w:val="none" w:sz="0" w:space="0" w:color="auto"/>
        <w:bottom w:val="none" w:sz="0" w:space="0" w:color="auto"/>
        <w:right w:val="none" w:sz="0" w:space="0" w:color="auto"/>
      </w:divBdr>
    </w:div>
    <w:div w:id="334234013">
      <w:bodyDiv w:val="1"/>
      <w:marLeft w:val="0"/>
      <w:marRight w:val="0"/>
      <w:marTop w:val="0"/>
      <w:marBottom w:val="0"/>
      <w:divBdr>
        <w:top w:val="none" w:sz="0" w:space="0" w:color="auto"/>
        <w:left w:val="none" w:sz="0" w:space="0" w:color="auto"/>
        <w:bottom w:val="none" w:sz="0" w:space="0" w:color="auto"/>
        <w:right w:val="none" w:sz="0" w:space="0" w:color="auto"/>
      </w:divBdr>
    </w:div>
    <w:div w:id="334234315">
      <w:bodyDiv w:val="1"/>
      <w:marLeft w:val="0"/>
      <w:marRight w:val="0"/>
      <w:marTop w:val="0"/>
      <w:marBottom w:val="0"/>
      <w:divBdr>
        <w:top w:val="none" w:sz="0" w:space="0" w:color="auto"/>
        <w:left w:val="none" w:sz="0" w:space="0" w:color="auto"/>
        <w:bottom w:val="none" w:sz="0" w:space="0" w:color="auto"/>
        <w:right w:val="none" w:sz="0" w:space="0" w:color="auto"/>
      </w:divBdr>
    </w:div>
    <w:div w:id="33423607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04612">
      <w:bodyDiv w:val="1"/>
      <w:marLeft w:val="0"/>
      <w:marRight w:val="0"/>
      <w:marTop w:val="0"/>
      <w:marBottom w:val="0"/>
      <w:divBdr>
        <w:top w:val="none" w:sz="0" w:space="0" w:color="auto"/>
        <w:left w:val="none" w:sz="0" w:space="0" w:color="auto"/>
        <w:bottom w:val="none" w:sz="0" w:space="0" w:color="auto"/>
        <w:right w:val="none" w:sz="0" w:space="0" w:color="auto"/>
      </w:divBdr>
    </w:div>
    <w:div w:id="334572870">
      <w:bodyDiv w:val="1"/>
      <w:marLeft w:val="0"/>
      <w:marRight w:val="0"/>
      <w:marTop w:val="0"/>
      <w:marBottom w:val="0"/>
      <w:divBdr>
        <w:top w:val="none" w:sz="0" w:space="0" w:color="auto"/>
        <w:left w:val="none" w:sz="0" w:space="0" w:color="auto"/>
        <w:bottom w:val="none" w:sz="0" w:space="0" w:color="auto"/>
        <w:right w:val="none" w:sz="0" w:space="0" w:color="auto"/>
      </w:divBdr>
    </w:div>
    <w:div w:id="334573339">
      <w:bodyDiv w:val="1"/>
      <w:marLeft w:val="0"/>
      <w:marRight w:val="0"/>
      <w:marTop w:val="0"/>
      <w:marBottom w:val="0"/>
      <w:divBdr>
        <w:top w:val="none" w:sz="0" w:space="0" w:color="auto"/>
        <w:left w:val="none" w:sz="0" w:space="0" w:color="auto"/>
        <w:bottom w:val="none" w:sz="0" w:space="0" w:color="auto"/>
        <w:right w:val="none" w:sz="0" w:space="0" w:color="auto"/>
      </w:divBdr>
    </w:div>
    <w:div w:id="334574400">
      <w:bodyDiv w:val="1"/>
      <w:marLeft w:val="0"/>
      <w:marRight w:val="0"/>
      <w:marTop w:val="0"/>
      <w:marBottom w:val="0"/>
      <w:divBdr>
        <w:top w:val="none" w:sz="0" w:space="0" w:color="auto"/>
        <w:left w:val="none" w:sz="0" w:space="0" w:color="auto"/>
        <w:bottom w:val="none" w:sz="0" w:space="0" w:color="auto"/>
        <w:right w:val="none" w:sz="0" w:space="0" w:color="auto"/>
      </w:divBdr>
    </w:div>
    <w:div w:id="334647536">
      <w:bodyDiv w:val="1"/>
      <w:marLeft w:val="0"/>
      <w:marRight w:val="0"/>
      <w:marTop w:val="0"/>
      <w:marBottom w:val="0"/>
      <w:divBdr>
        <w:top w:val="none" w:sz="0" w:space="0" w:color="auto"/>
        <w:left w:val="none" w:sz="0" w:space="0" w:color="auto"/>
        <w:bottom w:val="none" w:sz="0" w:space="0" w:color="auto"/>
        <w:right w:val="none" w:sz="0" w:space="0" w:color="auto"/>
      </w:divBdr>
    </w:div>
    <w:div w:id="334652552">
      <w:bodyDiv w:val="1"/>
      <w:marLeft w:val="0"/>
      <w:marRight w:val="0"/>
      <w:marTop w:val="0"/>
      <w:marBottom w:val="0"/>
      <w:divBdr>
        <w:top w:val="none" w:sz="0" w:space="0" w:color="auto"/>
        <w:left w:val="none" w:sz="0" w:space="0" w:color="auto"/>
        <w:bottom w:val="none" w:sz="0" w:space="0" w:color="auto"/>
        <w:right w:val="none" w:sz="0" w:space="0" w:color="auto"/>
      </w:divBdr>
    </w:div>
    <w:div w:id="334723178">
      <w:bodyDiv w:val="1"/>
      <w:marLeft w:val="0"/>
      <w:marRight w:val="0"/>
      <w:marTop w:val="0"/>
      <w:marBottom w:val="0"/>
      <w:divBdr>
        <w:top w:val="none" w:sz="0" w:space="0" w:color="auto"/>
        <w:left w:val="none" w:sz="0" w:space="0" w:color="auto"/>
        <w:bottom w:val="none" w:sz="0" w:space="0" w:color="auto"/>
        <w:right w:val="none" w:sz="0" w:space="0" w:color="auto"/>
      </w:divBdr>
    </w:div>
    <w:div w:id="334845837">
      <w:bodyDiv w:val="1"/>
      <w:marLeft w:val="0"/>
      <w:marRight w:val="0"/>
      <w:marTop w:val="0"/>
      <w:marBottom w:val="0"/>
      <w:divBdr>
        <w:top w:val="none" w:sz="0" w:space="0" w:color="auto"/>
        <w:left w:val="none" w:sz="0" w:space="0" w:color="auto"/>
        <w:bottom w:val="none" w:sz="0" w:space="0" w:color="auto"/>
        <w:right w:val="none" w:sz="0" w:space="0" w:color="auto"/>
      </w:divBdr>
    </w:div>
    <w:div w:id="334958364">
      <w:bodyDiv w:val="1"/>
      <w:marLeft w:val="0"/>
      <w:marRight w:val="0"/>
      <w:marTop w:val="0"/>
      <w:marBottom w:val="0"/>
      <w:divBdr>
        <w:top w:val="none" w:sz="0" w:space="0" w:color="auto"/>
        <w:left w:val="none" w:sz="0" w:space="0" w:color="auto"/>
        <w:bottom w:val="none" w:sz="0" w:space="0" w:color="auto"/>
        <w:right w:val="none" w:sz="0" w:space="0" w:color="auto"/>
      </w:divBdr>
    </w:div>
    <w:div w:id="335039197">
      <w:bodyDiv w:val="1"/>
      <w:marLeft w:val="0"/>
      <w:marRight w:val="0"/>
      <w:marTop w:val="0"/>
      <w:marBottom w:val="0"/>
      <w:divBdr>
        <w:top w:val="none" w:sz="0" w:space="0" w:color="auto"/>
        <w:left w:val="none" w:sz="0" w:space="0" w:color="auto"/>
        <w:bottom w:val="none" w:sz="0" w:space="0" w:color="auto"/>
        <w:right w:val="none" w:sz="0" w:space="0" w:color="auto"/>
      </w:divBdr>
    </w:div>
    <w:div w:id="335039801">
      <w:bodyDiv w:val="1"/>
      <w:marLeft w:val="0"/>
      <w:marRight w:val="0"/>
      <w:marTop w:val="0"/>
      <w:marBottom w:val="0"/>
      <w:divBdr>
        <w:top w:val="none" w:sz="0" w:space="0" w:color="auto"/>
        <w:left w:val="none" w:sz="0" w:space="0" w:color="auto"/>
        <w:bottom w:val="none" w:sz="0" w:space="0" w:color="auto"/>
        <w:right w:val="none" w:sz="0" w:space="0" w:color="auto"/>
      </w:divBdr>
    </w:div>
    <w:div w:id="335040895">
      <w:bodyDiv w:val="1"/>
      <w:marLeft w:val="0"/>
      <w:marRight w:val="0"/>
      <w:marTop w:val="0"/>
      <w:marBottom w:val="0"/>
      <w:divBdr>
        <w:top w:val="none" w:sz="0" w:space="0" w:color="auto"/>
        <w:left w:val="none" w:sz="0" w:space="0" w:color="auto"/>
        <w:bottom w:val="none" w:sz="0" w:space="0" w:color="auto"/>
        <w:right w:val="none" w:sz="0" w:space="0" w:color="auto"/>
      </w:divBdr>
    </w:div>
    <w:div w:id="335112349">
      <w:bodyDiv w:val="1"/>
      <w:marLeft w:val="0"/>
      <w:marRight w:val="0"/>
      <w:marTop w:val="0"/>
      <w:marBottom w:val="0"/>
      <w:divBdr>
        <w:top w:val="none" w:sz="0" w:space="0" w:color="auto"/>
        <w:left w:val="none" w:sz="0" w:space="0" w:color="auto"/>
        <w:bottom w:val="none" w:sz="0" w:space="0" w:color="auto"/>
        <w:right w:val="none" w:sz="0" w:space="0" w:color="auto"/>
      </w:divBdr>
    </w:div>
    <w:div w:id="335158120">
      <w:bodyDiv w:val="1"/>
      <w:marLeft w:val="0"/>
      <w:marRight w:val="0"/>
      <w:marTop w:val="0"/>
      <w:marBottom w:val="0"/>
      <w:divBdr>
        <w:top w:val="none" w:sz="0" w:space="0" w:color="auto"/>
        <w:left w:val="none" w:sz="0" w:space="0" w:color="auto"/>
        <w:bottom w:val="none" w:sz="0" w:space="0" w:color="auto"/>
        <w:right w:val="none" w:sz="0" w:space="0" w:color="auto"/>
      </w:divBdr>
    </w:div>
    <w:div w:id="335227033">
      <w:bodyDiv w:val="1"/>
      <w:marLeft w:val="0"/>
      <w:marRight w:val="0"/>
      <w:marTop w:val="0"/>
      <w:marBottom w:val="0"/>
      <w:divBdr>
        <w:top w:val="none" w:sz="0" w:space="0" w:color="auto"/>
        <w:left w:val="none" w:sz="0" w:space="0" w:color="auto"/>
        <w:bottom w:val="none" w:sz="0" w:space="0" w:color="auto"/>
        <w:right w:val="none" w:sz="0" w:space="0" w:color="auto"/>
      </w:divBdr>
    </w:div>
    <w:div w:id="335303187">
      <w:bodyDiv w:val="1"/>
      <w:marLeft w:val="0"/>
      <w:marRight w:val="0"/>
      <w:marTop w:val="0"/>
      <w:marBottom w:val="0"/>
      <w:divBdr>
        <w:top w:val="none" w:sz="0" w:space="0" w:color="auto"/>
        <w:left w:val="none" w:sz="0" w:space="0" w:color="auto"/>
        <w:bottom w:val="none" w:sz="0" w:space="0" w:color="auto"/>
        <w:right w:val="none" w:sz="0" w:space="0" w:color="auto"/>
      </w:divBdr>
    </w:div>
    <w:div w:id="335353133">
      <w:bodyDiv w:val="1"/>
      <w:marLeft w:val="0"/>
      <w:marRight w:val="0"/>
      <w:marTop w:val="0"/>
      <w:marBottom w:val="0"/>
      <w:divBdr>
        <w:top w:val="none" w:sz="0" w:space="0" w:color="auto"/>
        <w:left w:val="none" w:sz="0" w:space="0" w:color="auto"/>
        <w:bottom w:val="none" w:sz="0" w:space="0" w:color="auto"/>
        <w:right w:val="none" w:sz="0" w:space="0" w:color="auto"/>
      </w:divBdr>
    </w:div>
    <w:div w:id="335353711">
      <w:bodyDiv w:val="1"/>
      <w:marLeft w:val="0"/>
      <w:marRight w:val="0"/>
      <w:marTop w:val="0"/>
      <w:marBottom w:val="0"/>
      <w:divBdr>
        <w:top w:val="none" w:sz="0" w:space="0" w:color="auto"/>
        <w:left w:val="none" w:sz="0" w:space="0" w:color="auto"/>
        <w:bottom w:val="none" w:sz="0" w:space="0" w:color="auto"/>
        <w:right w:val="none" w:sz="0" w:space="0" w:color="auto"/>
      </w:divBdr>
    </w:div>
    <w:div w:id="335377582">
      <w:bodyDiv w:val="1"/>
      <w:marLeft w:val="0"/>
      <w:marRight w:val="0"/>
      <w:marTop w:val="0"/>
      <w:marBottom w:val="0"/>
      <w:divBdr>
        <w:top w:val="none" w:sz="0" w:space="0" w:color="auto"/>
        <w:left w:val="none" w:sz="0" w:space="0" w:color="auto"/>
        <w:bottom w:val="none" w:sz="0" w:space="0" w:color="auto"/>
        <w:right w:val="none" w:sz="0" w:space="0" w:color="auto"/>
      </w:divBdr>
    </w:div>
    <w:div w:id="335424350">
      <w:bodyDiv w:val="1"/>
      <w:marLeft w:val="0"/>
      <w:marRight w:val="0"/>
      <w:marTop w:val="0"/>
      <w:marBottom w:val="0"/>
      <w:divBdr>
        <w:top w:val="none" w:sz="0" w:space="0" w:color="auto"/>
        <w:left w:val="none" w:sz="0" w:space="0" w:color="auto"/>
        <w:bottom w:val="none" w:sz="0" w:space="0" w:color="auto"/>
        <w:right w:val="none" w:sz="0" w:space="0" w:color="auto"/>
      </w:divBdr>
    </w:div>
    <w:div w:id="335621932">
      <w:bodyDiv w:val="1"/>
      <w:marLeft w:val="0"/>
      <w:marRight w:val="0"/>
      <w:marTop w:val="0"/>
      <w:marBottom w:val="0"/>
      <w:divBdr>
        <w:top w:val="none" w:sz="0" w:space="0" w:color="auto"/>
        <w:left w:val="none" w:sz="0" w:space="0" w:color="auto"/>
        <w:bottom w:val="none" w:sz="0" w:space="0" w:color="auto"/>
        <w:right w:val="none" w:sz="0" w:space="0" w:color="auto"/>
      </w:divBdr>
    </w:div>
    <w:div w:id="335690695">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35887843">
      <w:bodyDiv w:val="1"/>
      <w:marLeft w:val="0"/>
      <w:marRight w:val="0"/>
      <w:marTop w:val="0"/>
      <w:marBottom w:val="0"/>
      <w:divBdr>
        <w:top w:val="none" w:sz="0" w:space="0" w:color="auto"/>
        <w:left w:val="none" w:sz="0" w:space="0" w:color="auto"/>
        <w:bottom w:val="none" w:sz="0" w:space="0" w:color="auto"/>
        <w:right w:val="none" w:sz="0" w:space="0" w:color="auto"/>
      </w:divBdr>
    </w:div>
    <w:div w:id="335957227">
      <w:bodyDiv w:val="1"/>
      <w:marLeft w:val="0"/>
      <w:marRight w:val="0"/>
      <w:marTop w:val="0"/>
      <w:marBottom w:val="0"/>
      <w:divBdr>
        <w:top w:val="none" w:sz="0" w:space="0" w:color="auto"/>
        <w:left w:val="none" w:sz="0" w:space="0" w:color="auto"/>
        <w:bottom w:val="none" w:sz="0" w:space="0" w:color="auto"/>
        <w:right w:val="none" w:sz="0" w:space="0" w:color="auto"/>
      </w:divBdr>
    </w:div>
    <w:div w:id="335961827">
      <w:bodyDiv w:val="1"/>
      <w:marLeft w:val="0"/>
      <w:marRight w:val="0"/>
      <w:marTop w:val="0"/>
      <w:marBottom w:val="0"/>
      <w:divBdr>
        <w:top w:val="none" w:sz="0" w:space="0" w:color="auto"/>
        <w:left w:val="none" w:sz="0" w:space="0" w:color="auto"/>
        <w:bottom w:val="none" w:sz="0" w:space="0" w:color="auto"/>
        <w:right w:val="none" w:sz="0" w:space="0" w:color="auto"/>
      </w:divBdr>
    </w:div>
    <w:div w:id="336004533">
      <w:bodyDiv w:val="1"/>
      <w:marLeft w:val="0"/>
      <w:marRight w:val="0"/>
      <w:marTop w:val="0"/>
      <w:marBottom w:val="0"/>
      <w:divBdr>
        <w:top w:val="none" w:sz="0" w:space="0" w:color="auto"/>
        <w:left w:val="none" w:sz="0" w:space="0" w:color="auto"/>
        <w:bottom w:val="none" w:sz="0" w:space="0" w:color="auto"/>
        <w:right w:val="none" w:sz="0" w:space="0" w:color="auto"/>
      </w:divBdr>
    </w:div>
    <w:div w:id="336034209">
      <w:bodyDiv w:val="1"/>
      <w:marLeft w:val="0"/>
      <w:marRight w:val="0"/>
      <w:marTop w:val="0"/>
      <w:marBottom w:val="0"/>
      <w:divBdr>
        <w:top w:val="none" w:sz="0" w:space="0" w:color="auto"/>
        <w:left w:val="none" w:sz="0" w:space="0" w:color="auto"/>
        <w:bottom w:val="none" w:sz="0" w:space="0" w:color="auto"/>
        <w:right w:val="none" w:sz="0" w:space="0" w:color="auto"/>
      </w:divBdr>
    </w:div>
    <w:div w:id="336156284">
      <w:bodyDiv w:val="1"/>
      <w:marLeft w:val="0"/>
      <w:marRight w:val="0"/>
      <w:marTop w:val="0"/>
      <w:marBottom w:val="0"/>
      <w:divBdr>
        <w:top w:val="none" w:sz="0" w:space="0" w:color="auto"/>
        <w:left w:val="none" w:sz="0" w:space="0" w:color="auto"/>
        <w:bottom w:val="none" w:sz="0" w:space="0" w:color="auto"/>
        <w:right w:val="none" w:sz="0" w:space="0" w:color="auto"/>
      </w:divBdr>
    </w:div>
    <w:div w:id="336157952">
      <w:bodyDiv w:val="1"/>
      <w:marLeft w:val="0"/>
      <w:marRight w:val="0"/>
      <w:marTop w:val="0"/>
      <w:marBottom w:val="0"/>
      <w:divBdr>
        <w:top w:val="none" w:sz="0" w:space="0" w:color="auto"/>
        <w:left w:val="none" w:sz="0" w:space="0" w:color="auto"/>
        <w:bottom w:val="none" w:sz="0" w:space="0" w:color="auto"/>
        <w:right w:val="none" w:sz="0" w:space="0" w:color="auto"/>
      </w:divBdr>
    </w:div>
    <w:div w:id="336159384">
      <w:bodyDiv w:val="1"/>
      <w:marLeft w:val="0"/>
      <w:marRight w:val="0"/>
      <w:marTop w:val="0"/>
      <w:marBottom w:val="0"/>
      <w:divBdr>
        <w:top w:val="none" w:sz="0" w:space="0" w:color="auto"/>
        <w:left w:val="none" w:sz="0" w:space="0" w:color="auto"/>
        <w:bottom w:val="none" w:sz="0" w:space="0" w:color="auto"/>
        <w:right w:val="none" w:sz="0" w:space="0" w:color="auto"/>
      </w:divBdr>
    </w:div>
    <w:div w:id="336268829">
      <w:bodyDiv w:val="1"/>
      <w:marLeft w:val="0"/>
      <w:marRight w:val="0"/>
      <w:marTop w:val="0"/>
      <w:marBottom w:val="0"/>
      <w:divBdr>
        <w:top w:val="none" w:sz="0" w:space="0" w:color="auto"/>
        <w:left w:val="none" w:sz="0" w:space="0" w:color="auto"/>
        <w:bottom w:val="none" w:sz="0" w:space="0" w:color="auto"/>
        <w:right w:val="none" w:sz="0" w:space="0" w:color="auto"/>
      </w:divBdr>
    </w:div>
    <w:div w:id="336270428">
      <w:bodyDiv w:val="1"/>
      <w:marLeft w:val="0"/>
      <w:marRight w:val="0"/>
      <w:marTop w:val="0"/>
      <w:marBottom w:val="0"/>
      <w:divBdr>
        <w:top w:val="none" w:sz="0" w:space="0" w:color="auto"/>
        <w:left w:val="none" w:sz="0" w:space="0" w:color="auto"/>
        <w:bottom w:val="none" w:sz="0" w:space="0" w:color="auto"/>
        <w:right w:val="none" w:sz="0" w:space="0" w:color="auto"/>
      </w:divBdr>
    </w:div>
    <w:div w:id="336420233">
      <w:bodyDiv w:val="1"/>
      <w:marLeft w:val="0"/>
      <w:marRight w:val="0"/>
      <w:marTop w:val="0"/>
      <w:marBottom w:val="0"/>
      <w:divBdr>
        <w:top w:val="none" w:sz="0" w:space="0" w:color="auto"/>
        <w:left w:val="none" w:sz="0" w:space="0" w:color="auto"/>
        <w:bottom w:val="none" w:sz="0" w:space="0" w:color="auto"/>
        <w:right w:val="none" w:sz="0" w:space="0" w:color="auto"/>
      </w:divBdr>
    </w:div>
    <w:div w:id="336428441">
      <w:bodyDiv w:val="1"/>
      <w:marLeft w:val="0"/>
      <w:marRight w:val="0"/>
      <w:marTop w:val="0"/>
      <w:marBottom w:val="0"/>
      <w:divBdr>
        <w:top w:val="none" w:sz="0" w:space="0" w:color="auto"/>
        <w:left w:val="none" w:sz="0" w:space="0" w:color="auto"/>
        <w:bottom w:val="none" w:sz="0" w:space="0" w:color="auto"/>
        <w:right w:val="none" w:sz="0" w:space="0" w:color="auto"/>
      </w:divBdr>
    </w:div>
    <w:div w:id="336462356">
      <w:bodyDiv w:val="1"/>
      <w:marLeft w:val="0"/>
      <w:marRight w:val="0"/>
      <w:marTop w:val="0"/>
      <w:marBottom w:val="0"/>
      <w:divBdr>
        <w:top w:val="none" w:sz="0" w:space="0" w:color="auto"/>
        <w:left w:val="none" w:sz="0" w:space="0" w:color="auto"/>
        <w:bottom w:val="none" w:sz="0" w:space="0" w:color="auto"/>
        <w:right w:val="none" w:sz="0" w:space="0" w:color="auto"/>
      </w:divBdr>
    </w:div>
    <w:div w:id="336538952">
      <w:bodyDiv w:val="1"/>
      <w:marLeft w:val="0"/>
      <w:marRight w:val="0"/>
      <w:marTop w:val="0"/>
      <w:marBottom w:val="0"/>
      <w:divBdr>
        <w:top w:val="none" w:sz="0" w:space="0" w:color="auto"/>
        <w:left w:val="none" w:sz="0" w:space="0" w:color="auto"/>
        <w:bottom w:val="none" w:sz="0" w:space="0" w:color="auto"/>
        <w:right w:val="none" w:sz="0" w:space="0" w:color="auto"/>
      </w:divBdr>
    </w:div>
    <w:div w:id="336543180">
      <w:bodyDiv w:val="1"/>
      <w:marLeft w:val="0"/>
      <w:marRight w:val="0"/>
      <w:marTop w:val="0"/>
      <w:marBottom w:val="0"/>
      <w:divBdr>
        <w:top w:val="none" w:sz="0" w:space="0" w:color="auto"/>
        <w:left w:val="none" w:sz="0" w:space="0" w:color="auto"/>
        <w:bottom w:val="none" w:sz="0" w:space="0" w:color="auto"/>
        <w:right w:val="none" w:sz="0" w:space="0" w:color="auto"/>
      </w:divBdr>
    </w:div>
    <w:div w:id="336546081">
      <w:bodyDiv w:val="1"/>
      <w:marLeft w:val="0"/>
      <w:marRight w:val="0"/>
      <w:marTop w:val="0"/>
      <w:marBottom w:val="0"/>
      <w:divBdr>
        <w:top w:val="none" w:sz="0" w:space="0" w:color="auto"/>
        <w:left w:val="none" w:sz="0" w:space="0" w:color="auto"/>
        <w:bottom w:val="none" w:sz="0" w:space="0" w:color="auto"/>
        <w:right w:val="none" w:sz="0" w:space="0" w:color="auto"/>
      </w:divBdr>
    </w:div>
    <w:div w:id="336688931">
      <w:bodyDiv w:val="1"/>
      <w:marLeft w:val="0"/>
      <w:marRight w:val="0"/>
      <w:marTop w:val="0"/>
      <w:marBottom w:val="0"/>
      <w:divBdr>
        <w:top w:val="none" w:sz="0" w:space="0" w:color="auto"/>
        <w:left w:val="none" w:sz="0" w:space="0" w:color="auto"/>
        <w:bottom w:val="none" w:sz="0" w:space="0" w:color="auto"/>
        <w:right w:val="none" w:sz="0" w:space="0" w:color="auto"/>
      </w:divBdr>
    </w:div>
    <w:div w:id="336689063">
      <w:bodyDiv w:val="1"/>
      <w:marLeft w:val="0"/>
      <w:marRight w:val="0"/>
      <w:marTop w:val="0"/>
      <w:marBottom w:val="0"/>
      <w:divBdr>
        <w:top w:val="none" w:sz="0" w:space="0" w:color="auto"/>
        <w:left w:val="none" w:sz="0" w:space="0" w:color="auto"/>
        <w:bottom w:val="none" w:sz="0" w:space="0" w:color="auto"/>
        <w:right w:val="none" w:sz="0" w:space="0" w:color="auto"/>
      </w:divBdr>
    </w:div>
    <w:div w:id="336735089">
      <w:bodyDiv w:val="1"/>
      <w:marLeft w:val="0"/>
      <w:marRight w:val="0"/>
      <w:marTop w:val="0"/>
      <w:marBottom w:val="0"/>
      <w:divBdr>
        <w:top w:val="none" w:sz="0" w:space="0" w:color="auto"/>
        <w:left w:val="none" w:sz="0" w:space="0" w:color="auto"/>
        <w:bottom w:val="none" w:sz="0" w:space="0" w:color="auto"/>
        <w:right w:val="none" w:sz="0" w:space="0" w:color="auto"/>
      </w:divBdr>
    </w:div>
    <w:div w:id="336806411">
      <w:bodyDiv w:val="1"/>
      <w:marLeft w:val="0"/>
      <w:marRight w:val="0"/>
      <w:marTop w:val="0"/>
      <w:marBottom w:val="0"/>
      <w:divBdr>
        <w:top w:val="none" w:sz="0" w:space="0" w:color="auto"/>
        <w:left w:val="none" w:sz="0" w:space="0" w:color="auto"/>
        <w:bottom w:val="none" w:sz="0" w:space="0" w:color="auto"/>
        <w:right w:val="none" w:sz="0" w:space="0" w:color="auto"/>
      </w:divBdr>
    </w:div>
    <w:div w:id="336811875">
      <w:bodyDiv w:val="1"/>
      <w:marLeft w:val="0"/>
      <w:marRight w:val="0"/>
      <w:marTop w:val="0"/>
      <w:marBottom w:val="0"/>
      <w:divBdr>
        <w:top w:val="none" w:sz="0" w:space="0" w:color="auto"/>
        <w:left w:val="none" w:sz="0" w:space="0" w:color="auto"/>
        <w:bottom w:val="none" w:sz="0" w:space="0" w:color="auto"/>
        <w:right w:val="none" w:sz="0" w:space="0" w:color="auto"/>
      </w:divBdr>
    </w:div>
    <w:div w:id="336812119">
      <w:bodyDiv w:val="1"/>
      <w:marLeft w:val="0"/>
      <w:marRight w:val="0"/>
      <w:marTop w:val="0"/>
      <w:marBottom w:val="0"/>
      <w:divBdr>
        <w:top w:val="none" w:sz="0" w:space="0" w:color="auto"/>
        <w:left w:val="none" w:sz="0" w:space="0" w:color="auto"/>
        <w:bottom w:val="none" w:sz="0" w:space="0" w:color="auto"/>
        <w:right w:val="none" w:sz="0" w:space="0" w:color="auto"/>
      </w:divBdr>
    </w:div>
    <w:div w:id="336815077">
      <w:bodyDiv w:val="1"/>
      <w:marLeft w:val="0"/>
      <w:marRight w:val="0"/>
      <w:marTop w:val="0"/>
      <w:marBottom w:val="0"/>
      <w:divBdr>
        <w:top w:val="none" w:sz="0" w:space="0" w:color="auto"/>
        <w:left w:val="none" w:sz="0" w:space="0" w:color="auto"/>
        <w:bottom w:val="none" w:sz="0" w:space="0" w:color="auto"/>
        <w:right w:val="none" w:sz="0" w:space="0" w:color="auto"/>
      </w:divBdr>
    </w:div>
    <w:div w:id="336885483">
      <w:bodyDiv w:val="1"/>
      <w:marLeft w:val="0"/>
      <w:marRight w:val="0"/>
      <w:marTop w:val="0"/>
      <w:marBottom w:val="0"/>
      <w:divBdr>
        <w:top w:val="none" w:sz="0" w:space="0" w:color="auto"/>
        <w:left w:val="none" w:sz="0" w:space="0" w:color="auto"/>
        <w:bottom w:val="none" w:sz="0" w:space="0" w:color="auto"/>
        <w:right w:val="none" w:sz="0" w:space="0" w:color="auto"/>
      </w:divBdr>
    </w:div>
    <w:div w:id="336926211">
      <w:bodyDiv w:val="1"/>
      <w:marLeft w:val="0"/>
      <w:marRight w:val="0"/>
      <w:marTop w:val="0"/>
      <w:marBottom w:val="0"/>
      <w:divBdr>
        <w:top w:val="none" w:sz="0" w:space="0" w:color="auto"/>
        <w:left w:val="none" w:sz="0" w:space="0" w:color="auto"/>
        <w:bottom w:val="none" w:sz="0" w:space="0" w:color="auto"/>
        <w:right w:val="none" w:sz="0" w:space="0" w:color="auto"/>
      </w:divBdr>
    </w:div>
    <w:div w:id="336930489">
      <w:bodyDiv w:val="1"/>
      <w:marLeft w:val="0"/>
      <w:marRight w:val="0"/>
      <w:marTop w:val="0"/>
      <w:marBottom w:val="0"/>
      <w:divBdr>
        <w:top w:val="none" w:sz="0" w:space="0" w:color="auto"/>
        <w:left w:val="none" w:sz="0" w:space="0" w:color="auto"/>
        <w:bottom w:val="none" w:sz="0" w:space="0" w:color="auto"/>
        <w:right w:val="none" w:sz="0" w:space="0" w:color="auto"/>
      </w:divBdr>
    </w:div>
    <w:div w:id="337074407">
      <w:bodyDiv w:val="1"/>
      <w:marLeft w:val="0"/>
      <w:marRight w:val="0"/>
      <w:marTop w:val="0"/>
      <w:marBottom w:val="0"/>
      <w:divBdr>
        <w:top w:val="none" w:sz="0" w:space="0" w:color="auto"/>
        <w:left w:val="none" w:sz="0" w:space="0" w:color="auto"/>
        <w:bottom w:val="none" w:sz="0" w:space="0" w:color="auto"/>
        <w:right w:val="none" w:sz="0" w:space="0" w:color="auto"/>
      </w:divBdr>
    </w:div>
    <w:div w:id="337268144">
      <w:bodyDiv w:val="1"/>
      <w:marLeft w:val="0"/>
      <w:marRight w:val="0"/>
      <w:marTop w:val="0"/>
      <w:marBottom w:val="0"/>
      <w:divBdr>
        <w:top w:val="none" w:sz="0" w:space="0" w:color="auto"/>
        <w:left w:val="none" w:sz="0" w:space="0" w:color="auto"/>
        <w:bottom w:val="none" w:sz="0" w:space="0" w:color="auto"/>
        <w:right w:val="none" w:sz="0" w:space="0" w:color="auto"/>
      </w:divBdr>
    </w:div>
    <w:div w:id="337268426">
      <w:bodyDiv w:val="1"/>
      <w:marLeft w:val="0"/>
      <w:marRight w:val="0"/>
      <w:marTop w:val="0"/>
      <w:marBottom w:val="0"/>
      <w:divBdr>
        <w:top w:val="none" w:sz="0" w:space="0" w:color="auto"/>
        <w:left w:val="none" w:sz="0" w:space="0" w:color="auto"/>
        <w:bottom w:val="none" w:sz="0" w:space="0" w:color="auto"/>
        <w:right w:val="none" w:sz="0" w:space="0" w:color="auto"/>
      </w:divBdr>
    </w:div>
    <w:div w:id="337272644">
      <w:bodyDiv w:val="1"/>
      <w:marLeft w:val="0"/>
      <w:marRight w:val="0"/>
      <w:marTop w:val="0"/>
      <w:marBottom w:val="0"/>
      <w:divBdr>
        <w:top w:val="none" w:sz="0" w:space="0" w:color="auto"/>
        <w:left w:val="none" w:sz="0" w:space="0" w:color="auto"/>
        <w:bottom w:val="none" w:sz="0" w:space="0" w:color="auto"/>
        <w:right w:val="none" w:sz="0" w:space="0" w:color="auto"/>
      </w:divBdr>
    </w:div>
    <w:div w:id="337274268">
      <w:bodyDiv w:val="1"/>
      <w:marLeft w:val="0"/>
      <w:marRight w:val="0"/>
      <w:marTop w:val="0"/>
      <w:marBottom w:val="0"/>
      <w:divBdr>
        <w:top w:val="none" w:sz="0" w:space="0" w:color="auto"/>
        <w:left w:val="none" w:sz="0" w:space="0" w:color="auto"/>
        <w:bottom w:val="none" w:sz="0" w:space="0" w:color="auto"/>
        <w:right w:val="none" w:sz="0" w:space="0" w:color="auto"/>
      </w:divBdr>
    </w:div>
    <w:div w:id="337319333">
      <w:bodyDiv w:val="1"/>
      <w:marLeft w:val="0"/>
      <w:marRight w:val="0"/>
      <w:marTop w:val="0"/>
      <w:marBottom w:val="0"/>
      <w:divBdr>
        <w:top w:val="none" w:sz="0" w:space="0" w:color="auto"/>
        <w:left w:val="none" w:sz="0" w:space="0" w:color="auto"/>
        <w:bottom w:val="none" w:sz="0" w:space="0" w:color="auto"/>
        <w:right w:val="none" w:sz="0" w:space="0" w:color="auto"/>
      </w:divBdr>
    </w:div>
    <w:div w:id="337469365">
      <w:bodyDiv w:val="1"/>
      <w:marLeft w:val="0"/>
      <w:marRight w:val="0"/>
      <w:marTop w:val="0"/>
      <w:marBottom w:val="0"/>
      <w:divBdr>
        <w:top w:val="none" w:sz="0" w:space="0" w:color="auto"/>
        <w:left w:val="none" w:sz="0" w:space="0" w:color="auto"/>
        <w:bottom w:val="none" w:sz="0" w:space="0" w:color="auto"/>
        <w:right w:val="none" w:sz="0" w:space="0" w:color="auto"/>
      </w:divBdr>
    </w:div>
    <w:div w:id="337582466">
      <w:bodyDiv w:val="1"/>
      <w:marLeft w:val="0"/>
      <w:marRight w:val="0"/>
      <w:marTop w:val="0"/>
      <w:marBottom w:val="0"/>
      <w:divBdr>
        <w:top w:val="none" w:sz="0" w:space="0" w:color="auto"/>
        <w:left w:val="none" w:sz="0" w:space="0" w:color="auto"/>
        <w:bottom w:val="none" w:sz="0" w:space="0" w:color="auto"/>
        <w:right w:val="none" w:sz="0" w:space="0" w:color="auto"/>
      </w:divBdr>
    </w:div>
    <w:div w:id="337851595">
      <w:bodyDiv w:val="1"/>
      <w:marLeft w:val="0"/>
      <w:marRight w:val="0"/>
      <w:marTop w:val="0"/>
      <w:marBottom w:val="0"/>
      <w:divBdr>
        <w:top w:val="none" w:sz="0" w:space="0" w:color="auto"/>
        <w:left w:val="none" w:sz="0" w:space="0" w:color="auto"/>
        <w:bottom w:val="none" w:sz="0" w:space="0" w:color="auto"/>
        <w:right w:val="none" w:sz="0" w:space="0" w:color="auto"/>
      </w:divBdr>
    </w:div>
    <w:div w:id="338043675">
      <w:bodyDiv w:val="1"/>
      <w:marLeft w:val="0"/>
      <w:marRight w:val="0"/>
      <w:marTop w:val="0"/>
      <w:marBottom w:val="0"/>
      <w:divBdr>
        <w:top w:val="none" w:sz="0" w:space="0" w:color="auto"/>
        <w:left w:val="none" w:sz="0" w:space="0" w:color="auto"/>
        <w:bottom w:val="none" w:sz="0" w:space="0" w:color="auto"/>
        <w:right w:val="none" w:sz="0" w:space="0" w:color="auto"/>
      </w:divBdr>
    </w:div>
    <w:div w:id="338047972">
      <w:bodyDiv w:val="1"/>
      <w:marLeft w:val="0"/>
      <w:marRight w:val="0"/>
      <w:marTop w:val="0"/>
      <w:marBottom w:val="0"/>
      <w:divBdr>
        <w:top w:val="none" w:sz="0" w:space="0" w:color="auto"/>
        <w:left w:val="none" w:sz="0" w:space="0" w:color="auto"/>
        <w:bottom w:val="none" w:sz="0" w:space="0" w:color="auto"/>
        <w:right w:val="none" w:sz="0" w:space="0" w:color="auto"/>
      </w:divBdr>
    </w:div>
    <w:div w:id="338120697">
      <w:bodyDiv w:val="1"/>
      <w:marLeft w:val="0"/>
      <w:marRight w:val="0"/>
      <w:marTop w:val="0"/>
      <w:marBottom w:val="0"/>
      <w:divBdr>
        <w:top w:val="none" w:sz="0" w:space="0" w:color="auto"/>
        <w:left w:val="none" w:sz="0" w:space="0" w:color="auto"/>
        <w:bottom w:val="none" w:sz="0" w:space="0" w:color="auto"/>
        <w:right w:val="none" w:sz="0" w:space="0" w:color="auto"/>
      </w:divBdr>
    </w:div>
    <w:div w:id="338194917">
      <w:bodyDiv w:val="1"/>
      <w:marLeft w:val="0"/>
      <w:marRight w:val="0"/>
      <w:marTop w:val="0"/>
      <w:marBottom w:val="0"/>
      <w:divBdr>
        <w:top w:val="none" w:sz="0" w:space="0" w:color="auto"/>
        <w:left w:val="none" w:sz="0" w:space="0" w:color="auto"/>
        <w:bottom w:val="none" w:sz="0" w:space="0" w:color="auto"/>
        <w:right w:val="none" w:sz="0" w:space="0" w:color="auto"/>
      </w:divBdr>
    </w:div>
    <w:div w:id="338313584">
      <w:bodyDiv w:val="1"/>
      <w:marLeft w:val="0"/>
      <w:marRight w:val="0"/>
      <w:marTop w:val="0"/>
      <w:marBottom w:val="0"/>
      <w:divBdr>
        <w:top w:val="none" w:sz="0" w:space="0" w:color="auto"/>
        <w:left w:val="none" w:sz="0" w:space="0" w:color="auto"/>
        <w:bottom w:val="none" w:sz="0" w:space="0" w:color="auto"/>
        <w:right w:val="none" w:sz="0" w:space="0" w:color="auto"/>
      </w:divBdr>
    </w:div>
    <w:div w:id="338430079">
      <w:bodyDiv w:val="1"/>
      <w:marLeft w:val="0"/>
      <w:marRight w:val="0"/>
      <w:marTop w:val="0"/>
      <w:marBottom w:val="0"/>
      <w:divBdr>
        <w:top w:val="none" w:sz="0" w:space="0" w:color="auto"/>
        <w:left w:val="none" w:sz="0" w:space="0" w:color="auto"/>
        <w:bottom w:val="none" w:sz="0" w:space="0" w:color="auto"/>
        <w:right w:val="none" w:sz="0" w:space="0" w:color="auto"/>
      </w:divBdr>
    </w:div>
    <w:div w:id="338579483">
      <w:bodyDiv w:val="1"/>
      <w:marLeft w:val="0"/>
      <w:marRight w:val="0"/>
      <w:marTop w:val="0"/>
      <w:marBottom w:val="0"/>
      <w:divBdr>
        <w:top w:val="none" w:sz="0" w:space="0" w:color="auto"/>
        <w:left w:val="none" w:sz="0" w:space="0" w:color="auto"/>
        <w:bottom w:val="none" w:sz="0" w:space="0" w:color="auto"/>
        <w:right w:val="none" w:sz="0" w:space="0" w:color="auto"/>
      </w:divBdr>
    </w:div>
    <w:div w:id="338584794">
      <w:bodyDiv w:val="1"/>
      <w:marLeft w:val="0"/>
      <w:marRight w:val="0"/>
      <w:marTop w:val="0"/>
      <w:marBottom w:val="0"/>
      <w:divBdr>
        <w:top w:val="none" w:sz="0" w:space="0" w:color="auto"/>
        <w:left w:val="none" w:sz="0" w:space="0" w:color="auto"/>
        <w:bottom w:val="none" w:sz="0" w:space="0" w:color="auto"/>
        <w:right w:val="none" w:sz="0" w:space="0" w:color="auto"/>
      </w:divBdr>
    </w:div>
    <w:div w:id="338701815">
      <w:bodyDiv w:val="1"/>
      <w:marLeft w:val="0"/>
      <w:marRight w:val="0"/>
      <w:marTop w:val="0"/>
      <w:marBottom w:val="0"/>
      <w:divBdr>
        <w:top w:val="none" w:sz="0" w:space="0" w:color="auto"/>
        <w:left w:val="none" w:sz="0" w:space="0" w:color="auto"/>
        <w:bottom w:val="none" w:sz="0" w:space="0" w:color="auto"/>
        <w:right w:val="none" w:sz="0" w:space="0" w:color="auto"/>
      </w:divBdr>
    </w:div>
    <w:div w:id="338779678">
      <w:bodyDiv w:val="1"/>
      <w:marLeft w:val="0"/>
      <w:marRight w:val="0"/>
      <w:marTop w:val="0"/>
      <w:marBottom w:val="0"/>
      <w:divBdr>
        <w:top w:val="none" w:sz="0" w:space="0" w:color="auto"/>
        <w:left w:val="none" w:sz="0" w:space="0" w:color="auto"/>
        <w:bottom w:val="none" w:sz="0" w:space="0" w:color="auto"/>
        <w:right w:val="none" w:sz="0" w:space="0" w:color="auto"/>
      </w:divBdr>
    </w:div>
    <w:div w:id="338849447">
      <w:bodyDiv w:val="1"/>
      <w:marLeft w:val="0"/>
      <w:marRight w:val="0"/>
      <w:marTop w:val="0"/>
      <w:marBottom w:val="0"/>
      <w:divBdr>
        <w:top w:val="none" w:sz="0" w:space="0" w:color="auto"/>
        <w:left w:val="none" w:sz="0" w:space="0" w:color="auto"/>
        <w:bottom w:val="none" w:sz="0" w:space="0" w:color="auto"/>
        <w:right w:val="none" w:sz="0" w:space="0" w:color="auto"/>
      </w:divBdr>
    </w:div>
    <w:div w:id="338849686">
      <w:bodyDiv w:val="1"/>
      <w:marLeft w:val="0"/>
      <w:marRight w:val="0"/>
      <w:marTop w:val="0"/>
      <w:marBottom w:val="0"/>
      <w:divBdr>
        <w:top w:val="none" w:sz="0" w:space="0" w:color="auto"/>
        <w:left w:val="none" w:sz="0" w:space="0" w:color="auto"/>
        <w:bottom w:val="none" w:sz="0" w:space="0" w:color="auto"/>
        <w:right w:val="none" w:sz="0" w:space="0" w:color="auto"/>
      </w:divBdr>
    </w:div>
    <w:div w:id="338968353">
      <w:bodyDiv w:val="1"/>
      <w:marLeft w:val="0"/>
      <w:marRight w:val="0"/>
      <w:marTop w:val="0"/>
      <w:marBottom w:val="0"/>
      <w:divBdr>
        <w:top w:val="none" w:sz="0" w:space="0" w:color="auto"/>
        <w:left w:val="none" w:sz="0" w:space="0" w:color="auto"/>
        <w:bottom w:val="none" w:sz="0" w:space="0" w:color="auto"/>
        <w:right w:val="none" w:sz="0" w:space="0" w:color="auto"/>
      </w:divBdr>
    </w:div>
    <w:div w:id="339241982">
      <w:bodyDiv w:val="1"/>
      <w:marLeft w:val="0"/>
      <w:marRight w:val="0"/>
      <w:marTop w:val="0"/>
      <w:marBottom w:val="0"/>
      <w:divBdr>
        <w:top w:val="none" w:sz="0" w:space="0" w:color="auto"/>
        <w:left w:val="none" w:sz="0" w:space="0" w:color="auto"/>
        <w:bottom w:val="none" w:sz="0" w:space="0" w:color="auto"/>
        <w:right w:val="none" w:sz="0" w:space="0" w:color="auto"/>
      </w:divBdr>
    </w:div>
    <w:div w:id="339351948">
      <w:bodyDiv w:val="1"/>
      <w:marLeft w:val="0"/>
      <w:marRight w:val="0"/>
      <w:marTop w:val="0"/>
      <w:marBottom w:val="0"/>
      <w:divBdr>
        <w:top w:val="none" w:sz="0" w:space="0" w:color="auto"/>
        <w:left w:val="none" w:sz="0" w:space="0" w:color="auto"/>
        <w:bottom w:val="none" w:sz="0" w:space="0" w:color="auto"/>
        <w:right w:val="none" w:sz="0" w:space="0" w:color="auto"/>
      </w:divBdr>
    </w:div>
    <w:div w:id="339429678">
      <w:bodyDiv w:val="1"/>
      <w:marLeft w:val="0"/>
      <w:marRight w:val="0"/>
      <w:marTop w:val="0"/>
      <w:marBottom w:val="0"/>
      <w:divBdr>
        <w:top w:val="none" w:sz="0" w:space="0" w:color="auto"/>
        <w:left w:val="none" w:sz="0" w:space="0" w:color="auto"/>
        <w:bottom w:val="none" w:sz="0" w:space="0" w:color="auto"/>
        <w:right w:val="none" w:sz="0" w:space="0" w:color="auto"/>
      </w:divBdr>
    </w:div>
    <w:div w:id="339503107">
      <w:bodyDiv w:val="1"/>
      <w:marLeft w:val="0"/>
      <w:marRight w:val="0"/>
      <w:marTop w:val="0"/>
      <w:marBottom w:val="0"/>
      <w:divBdr>
        <w:top w:val="none" w:sz="0" w:space="0" w:color="auto"/>
        <w:left w:val="none" w:sz="0" w:space="0" w:color="auto"/>
        <w:bottom w:val="none" w:sz="0" w:space="0" w:color="auto"/>
        <w:right w:val="none" w:sz="0" w:space="0" w:color="auto"/>
      </w:divBdr>
    </w:div>
    <w:div w:id="339506399">
      <w:bodyDiv w:val="1"/>
      <w:marLeft w:val="0"/>
      <w:marRight w:val="0"/>
      <w:marTop w:val="0"/>
      <w:marBottom w:val="0"/>
      <w:divBdr>
        <w:top w:val="none" w:sz="0" w:space="0" w:color="auto"/>
        <w:left w:val="none" w:sz="0" w:space="0" w:color="auto"/>
        <w:bottom w:val="none" w:sz="0" w:space="0" w:color="auto"/>
        <w:right w:val="none" w:sz="0" w:space="0" w:color="auto"/>
      </w:divBdr>
    </w:div>
    <w:div w:id="339507766">
      <w:bodyDiv w:val="1"/>
      <w:marLeft w:val="0"/>
      <w:marRight w:val="0"/>
      <w:marTop w:val="0"/>
      <w:marBottom w:val="0"/>
      <w:divBdr>
        <w:top w:val="none" w:sz="0" w:space="0" w:color="auto"/>
        <w:left w:val="none" w:sz="0" w:space="0" w:color="auto"/>
        <w:bottom w:val="none" w:sz="0" w:space="0" w:color="auto"/>
        <w:right w:val="none" w:sz="0" w:space="0" w:color="auto"/>
      </w:divBdr>
    </w:div>
    <w:div w:id="339550648">
      <w:bodyDiv w:val="1"/>
      <w:marLeft w:val="0"/>
      <w:marRight w:val="0"/>
      <w:marTop w:val="0"/>
      <w:marBottom w:val="0"/>
      <w:divBdr>
        <w:top w:val="none" w:sz="0" w:space="0" w:color="auto"/>
        <w:left w:val="none" w:sz="0" w:space="0" w:color="auto"/>
        <w:bottom w:val="none" w:sz="0" w:space="0" w:color="auto"/>
        <w:right w:val="none" w:sz="0" w:space="0" w:color="auto"/>
      </w:divBdr>
    </w:div>
    <w:div w:id="339628471">
      <w:bodyDiv w:val="1"/>
      <w:marLeft w:val="0"/>
      <w:marRight w:val="0"/>
      <w:marTop w:val="0"/>
      <w:marBottom w:val="0"/>
      <w:divBdr>
        <w:top w:val="none" w:sz="0" w:space="0" w:color="auto"/>
        <w:left w:val="none" w:sz="0" w:space="0" w:color="auto"/>
        <w:bottom w:val="none" w:sz="0" w:space="0" w:color="auto"/>
        <w:right w:val="none" w:sz="0" w:space="0" w:color="auto"/>
      </w:divBdr>
    </w:div>
    <w:div w:id="339699061">
      <w:bodyDiv w:val="1"/>
      <w:marLeft w:val="0"/>
      <w:marRight w:val="0"/>
      <w:marTop w:val="0"/>
      <w:marBottom w:val="0"/>
      <w:divBdr>
        <w:top w:val="none" w:sz="0" w:space="0" w:color="auto"/>
        <w:left w:val="none" w:sz="0" w:space="0" w:color="auto"/>
        <w:bottom w:val="none" w:sz="0" w:space="0" w:color="auto"/>
        <w:right w:val="none" w:sz="0" w:space="0" w:color="auto"/>
      </w:divBdr>
    </w:div>
    <w:div w:id="339699562">
      <w:bodyDiv w:val="1"/>
      <w:marLeft w:val="0"/>
      <w:marRight w:val="0"/>
      <w:marTop w:val="0"/>
      <w:marBottom w:val="0"/>
      <w:divBdr>
        <w:top w:val="none" w:sz="0" w:space="0" w:color="auto"/>
        <w:left w:val="none" w:sz="0" w:space="0" w:color="auto"/>
        <w:bottom w:val="none" w:sz="0" w:space="0" w:color="auto"/>
        <w:right w:val="none" w:sz="0" w:space="0" w:color="auto"/>
      </w:divBdr>
    </w:div>
    <w:div w:id="339703363">
      <w:bodyDiv w:val="1"/>
      <w:marLeft w:val="0"/>
      <w:marRight w:val="0"/>
      <w:marTop w:val="0"/>
      <w:marBottom w:val="0"/>
      <w:divBdr>
        <w:top w:val="none" w:sz="0" w:space="0" w:color="auto"/>
        <w:left w:val="none" w:sz="0" w:space="0" w:color="auto"/>
        <w:bottom w:val="none" w:sz="0" w:space="0" w:color="auto"/>
        <w:right w:val="none" w:sz="0" w:space="0" w:color="auto"/>
      </w:divBdr>
    </w:div>
    <w:div w:id="339770532">
      <w:bodyDiv w:val="1"/>
      <w:marLeft w:val="0"/>
      <w:marRight w:val="0"/>
      <w:marTop w:val="0"/>
      <w:marBottom w:val="0"/>
      <w:divBdr>
        <w:top w:val="none" w:sz="0" w:space="0" w:color="auto"/>
        <w:left w:val="none" w:sz="0" w:space="0" w:color="auto"/>
        <w:bottom w:val="none" w:sz="0" w:space="0" w:color="auto"/>
        <w:right w:val="none" w:sz="0" w:space="0" w:color="auto"/>
      </w:divBdr>
    </w:div>
    <w:div w:id="339893291">
      <w:bodyDiv w:val="1"/>
      <w:marLeft w:val="0"/>
      <w:marRight w:val="0"/>
      <w:marTop w:val="0"/>
      <w:marBottom w:val="0"/>
      <w:divBdr>
        <w:top w:val="none" w:sz="0" w:space="0" w:color="auto"/>
        <w:left w:val="none" w:sz="0" w:space="0" w:color="auto"/>
        <w:bottom w:val="none" w:sz="0" w:space="0" w:color="auto"/>
        <w:right w:val="none" w:sz="0" w:space="0" w:color="auto"/>
      </w:divBdr>
    </w:div>
    <w:div w:id="340132897">
      <w:bodyDiv w:val="1"/>
      <w:marLeft w:val="0"/>
      <w:marRight w:val="0"/>
      <w:marTop w:val="0"/>
      <w:marBottom w:val="0"/>
      <w:divBdr>
        <w:top w:val="none" w:sz="0" w:space="0" w:color="auto"/>
        <w:left w:val="none" w:sz="0" w:space="0" w:color="auto"/>
        <w:bottom w:val="none" w:sz="0" w:space="0" w:color="auto"/>
        <w:right w:val="none" w:sz="0" w:space="0" w:color="auto"/>
      </w:divBdr>
    </w:div>
    <w:div w:id="340157633">
      <w:bodyDiv w:val="1"/>
      <w:marLeft w:val="0"/>
      <w:marRight w:val="0"/>
      <w:marTop w:val="0"/>
      <w:marBottom w:val="0"/>
      <w:divBdr>
        <w:top w:val="none" w:sz="0" w:space="0" w:color="auto"/>
        <w:left w:val="none" w:sz="0" w:space="0" w:color="auto"/>
        <w:bottom w:val="none" w:sz="0" w:space="0" w:color="auto"/>
        <w:right w:val="none" w:sz="0" w:space="0" w:color="auto"/>
      </w:divBdr>
    </w:div>
    <w:div w:id="340161739">
      <w:bodyDiv w:val="1"/>
      <w:marLeft w:val="0"/>
      <w:marRight w:val="0"/>
      <w:marTop w:val="0"/>
      <w:marBottom w:val="0"/>
      <w:divBdr>
        <w:top w:val="none" w:sz="0" w:space="0" w:color="auto"/>
        <w:left w:val="none" w:sz="0" w:space="0" w:color="auto"/>
        <w:bottom w:val="none" w:sz="0" w:space="0" w:color="auto"/>
        <w:right w:val="none" w:sz="0" w:space="0" w:color="auto"/>
      </w:divBdr>
    </w:div>
    <w:div w:id="340358855">
      <w:bodyDiv w:val="1"/>
      <w:marLeft w:val="0"/>
      <w:marRight w:val="0"/>
      <w:marTop w:val="0"/>
      <w:marBottom w:val="0"/>
      <w:divBdr>
        <w:top w:val="none" w:sz="0" w:space="0" w:color="auto"/>
        <w:left w:val="none" w:sz="0" w:space="0" w:color="auto"/>
        <w:bottom w:val="none" w:sz="0" w:space="0" w:color="auto"/>
        <w:right w:val="none" w:sz="0" w:space="0" w:color="auto"/>
      </w:divBdr>
    </w:div>
    <w:div w:id="340359898">
      <w:bodyDiv w:val="1"/>
      <w:marLeft w:val="0"/>
      <w:marRight w:val="0"/>
      <w:marTop w:val="0"/>
      <w:marBottom w:val="0"/>
      <w:divBdr>
        <w:top w:val="none" w:sz="0" w:space="0" w:color="auto"/>
        <w:left w:val="none" w:sz="0" w:space="0" w:color="auto"/>
        <w:bottom w:val="none" w:sz="0" w:space="0" w:color="auto"/>
        <w:right w:val="none" w:sz="0" w:space="0" w:color="auto"/>
      </w:divBdr>
    </w:div>
    <w:div w:id="340395780">
      <w:bodyDiv w:val="1"/>
      <w:marLeft w:val="0"/>
      <w:marRight w:val="0"/>
      <w:marTop w:val="0"/>
      <w:marBottom w:val="0"/>
      <w:divBdr>
        <w:top w:val="none" w:sz="0" w:space="0" w:color="auto"/>
        <w:left w:val="none" w:sz="0" w:space="0" w:color="auto"/>
        <w:bottom w:val="none" w:sz="0" w:space="0" w:color="auto"/>
        <w:right w:val="none" w:sz="0" w:space="0" w:color="auto"/>
      </w:divBdr>
    </w:div>
    <w:div w:id="340591930">
      <w:bodyDiv w:val="1"/>
      <w:marLeft w:val="0"/>
      <w:marRight w:val="0"/>
      <w:marTop w:val="0"/>
      <w:marBottom w:val="0"/>
      <w:divBdr>
        <w:top w:val="none" w:sz="0" w:space="0" w:color="auto"/>
        <w:left w:val="none" w:sz="0" w:space="0" w:color="auto"/>
        <w:bottom w:val="none" w:sz="0" w:space="0" w:color="auto"/>
        <w:right w:val="none" w:sz="0" w:space="0" w:color="auto"/>
      </w:divBdr>
    </w:div>
    <w:div w:id="340594927">
      <w:bodyDiv w:val="1"/>
      <w:marLeft w:val="0"/>
      <w:marRight w:val="0"/>
      <w:marTop w:val="0"/>
      <w:marBottom w:val="0"/>
      <w:divBdr>
        <w:top w:val="none" w:sz="0" w:space="0" w:color="auto"/>
        <w:left w:val="none" w:sz="0" w:space="0" w:color="auto"/>
        <w:bottom w:val="none" w:sz="0" w:space="0" w:color="auto"/>
        <w:right w:val="none" w:sz="0" w:space="0" w:color="auto"/>
      </w:divBdr>
    </w:div>
    <w:div w:id="340670537">
      <w:bodyDiv w:val="1"/>
      <w:marLeft w:val="0"/>
      <w:marRight w:val="0"/>
      <w:marTop w:val="0"/>
      <w:marBottom w:val="0"/>
      <w:divBdr>
        <w:top w:val="none" w:sz="0" w:space="0" w:color="auto"/>
        <w:left w:val="none" w:sz="0" w:space="0" w:color="auto"/>
        <w:bottom w:val="none" w:sz="0" w:space="0" w:color="auto"/>
        <w:right w:val="none" w:sz="0" w:space="0" w:color="auto"/>
      </w:divBdr>
    </w:div>
    <w:div w:id="340812859">
      <w:bodyDiv w:val="1"/>
      <w:marLeft w:val="0"/>
      <w:marRight w:val="0"/>
      <w:marTop w:val="0"/>
      <w:marBottom w:val="0"/>
      <w:divBdr>
        <w:top w:val="none" w:sz="0" w:space="0" w:color="auto"/>
        <w:left w:val="none" w:sz="0" w:space="0" w:color="auto"/>
        <w:bottom w:val="none" w:sz="0" w:space="0" w:color="auto"/>
        <w:right w:val="none" w:sz="0" w:space="0" w:color="auto"/>
      </w:divBdr>
    </w:div>
    <w:div w:id="340818830">
      <w:bodyDiv w:val="1"/>
      <w:marLeft w:val="0"/>
      <w:marRight w:val="0"/>
      <w:marTop w:val="0"/>
      <w:marBottom w:val="0"/>
      <w:divBdr>
        <w:top w:val="none" w:sz="0" w:space="0" w:color="auto"/>
        <w:left w:val="none" w:sz="0" w:space="0" w:color="auto"/>
        <w:bottom w:val="none" w:sz="0" w:space="0" w:color="auto"/>
        <w:right w:val="none" w:sz="0" w:space="0" w:color="auto"/>
      </w:divBdr>
    </w:div>
    <w:div w:id="340858355">
      <w:bodyDiv w:val="1"/>
      <w:marLeft w:val="0"/>
      <w:marRight w:val="0"/>
      <w:marTop w:val="0"/>
      <w:marBottom w:val="0"/>
      <w:divBdr>
        <w:top w:val="none" w:sz="0" w:space="0" w:color="auto"/>
        <w:left w:val="none" w:sz="0" w:space="0" w:color="auto"/>
        <w:bottom w:val="none" w:sz="0" w:space="0" w:color="auto"/>
        <w:right w:val="none" w:sz="0" w:space="0" w:color="auto"/>
      </w:divBdr>
    </w:div>
    <w:div w:id="340863455">
      <w:bodyDiv w:val="1"/>
      <w:marLeft w:val="0"/>
      <w:marRight w:val="0"/>
      <w:marTop w:val="0"/>
      <w:marBottom w:val="0"/>
      <w:divBdr>
        <w:top w:val="none" w:sz="0" w:space="0" w:color="auto"/>
        <w:left w:val="none" w:sz="0" w:space="0" w:color="auto"/>
        <w:bottom w:val="none" w:sz="0" w:space="0" w:color="auto"/>
        <w:right w:val="none" w:sz="0" w:space="0" w:color="auto"/>
      </w:divBdr>
    </w:div>
    <w:div w:id="340864119">
      <w:bodyDiv w:val="1"/>
      <w:marLeft w:val="0"/>
      <w:marRight w:val="0"/>
      <w:marTop w:val="0"/>
      <w:marBottom w:val="0"/>
      <w:divBdr>
        <w:top w:val="none" w:sz="0" w:space="0" w:color="auto"/>
        <w:left w:val="none" w:sz="0" w:space="0" w:color="auto"/>
        <w:bottom w:val="none" w:sz="0" w:space="0" w:color="auto"/>
        <w:right w:val="none" w:sz="0" w:space="0" w:color="auto"/>
      </w:divBdr>
    </w:div>
    <w:div w:id="341011601">
      <w:bodyDiv w:val="1"/>
      <w:marLeft w:val="0"/>
      <w:marRight w:val="0"/>
      <w:marTop w:val="0"/>
      <w:marBottom w:val="0"/>
      <w:divBdr>
        <w:top w:val="none" w:sz="0" w:space="0" w:color="auto"/>
        <w:left w:val="none" w:sz="0" w:space="0" w:color="auto"/>
        <w:bottom w:val="none" w:sz="0" w:space="0" w:color="auto"/>
        <w:right w:val="none" w:sz="0" w:space="0" w:color="auto"/>
      </w:divBdr>
    </w:div>
    <w:div w:id="341250393">
      <w:bodyDiv w:val="1"/>
      <w:marLeft w:val="0"/>
      <w:marRight w:val="0"/>
      <w:marTop w:val="0"/>
      <w:marBottom w:val="0"/>
      <w:divBdr>
        <w:top w:val="none" w:sz="0" w:space="0" w:color="auto"/>
        <w:left w:val="none" w:sz="0" w:space="0" w:color="auto"/>
        <w:bottom w:val="none" w:sz="0" w:space="0" w:color="auto"/>
        <w:right w:val="none" w:sz="0" w:space="0" w:color="auto"/>
      </w:divBdr>
    </w:div>
    <w:div w:id="341392894">
      <w:bodyDiv w:val="1"/>
      <w:marLeft w:val="0"/>
      <w:marRight w:val="0"/>
      <w:marTop w:val="0"/>
      <w:marBottom w:val="0"/>
      <w:divBdr>
        <w:top w:val="none" w:sz="0" w:space="0" w:color="auto"/>
        <w:left w:val="none" w:sz="0" w:space="0" w:color="auto"/>
        <w:bottom w:val="none" w:sz="0" w:space="0" w:color="auto"/>
        <w:right w:val="none" w:sz="0" w:space="0" w:color="auto"/>
      </w:divBdr>
    </w:div>
    <w:div w:id="341396462">
      <w:bodyDiv w:val="1"/>
      <w:marLeft w:val="0"/>
      <w:marRight w:val="0"/>
      <w:marTop w:val="0"/>
      <w:marBottom w:val="0"/>
      <w:divBdr>
        <w:top w:val="none" w:sz="0" w:space="0" w:color="auto"/>
        <w:left w:val="none" w:sz="0" w:space="0" w:color="auto"/>
        <w:bottom w:val="none" w:sz="0" w:space="0" w:color="auto"/>
        <w:right w:val="none" w:sz="0" w:space="0" w:color="auto"/>
      </w:divBdr>
    </w:div>
    <w:div w:id="341400237">
      <w:bodyDiv w:val="1"/>
      <w:marLeft w:val="0"/>
      <w:marRight w:val="0"/>
      <w:marTop w:val="0"/>
      <w:marBottom w:val="0"/>
      <w:divBdr>
        <w:top w:val="none" w:sz="0" w:space="0" w:color="auto"/>
        <w:left w:val="none" w:sz="0" w:space="0" w:color="auto"/>
        <w:bottom w:val="none" w:sz="0" w:space="0" w:color="auto"/>
        <w:right w:val="none" w:sz="0" w:space="0" w:color="auto"/>
      </w:divBdr>
    </w:div>
    <w:div w:id="341468143">
      <w:bodyDiv w:val="1"/>
      <w:marLeft w:val="0"/>
      <w:marRight w:val="0"/>
      <w:marTop w:val="0"/>
      <w:marBottom w:val="0"/>
      <w:divBdr>
        <w:top w:val="none" w:sz="0" w:space="0" w:color="auto"/>
        <w:left w:val="none" w:sz="0" w:space="0" w:color="auto"/>
        <w:bottom w:val="none" w:sz="0" w:space="0" w:color="auto"/>
        <w:right w:val="none" w:sz="0" w:space="0" w:color="auto"/>
      </w:divBdr>
    </w:div>
    <w:div w:id="341518814">
      <w:bodyDiv w:val="1"/>
      <w:marLeft w:val="0"/>
      <w:marRight w:val="0"/>
      <w:marTop w:val="0"/>
      <w:marBottom w:val="0"/>
      <w:divBdr>
        <w:top w:val="none" w:sz="0" w:space="0" w:color="auto"/>
        <w:left w:val="none" w:sz="0" w:space="0" w:color="auto"/>
        <w:bottom w:val="none" w:sz="0" w:space="0" w:color="auto"/>
        <w:right w:val="none" w:sz="0" w:space="0" w:color="auto"/>
      </w:divBdr>
    </w:div>
    <w:div w:id="341706166">
      <w:bodyDiv w:val="1"/>
      <w:marLeft w:val="0"/>
      <w:marRight w:val="0"/>
      <w:marTop w:val="0"/>
      <w:marBottom w:val="0"/>
      <w:divBdr>
        <w:top w:val="none" w:sz="0" w:space="0" w:color="auto"/>
        <w:left w:val="none" w:sz="0" w:space="0" w:color="auto"/>
        <w:bottom w:val="none" w:sz="0" w:space="0" w:color="auto"/>
        <w:right w:val="none" w:sz="0" w:space="0" w:color="auto"/>
      </w:divBdr>
    </w:div>
    <w:div w:id="341736345">
      <w:bodyDiv w:val="1"/>
      <w:marLeft w:val="0"/>
      <w:marRight w:val="0"/>
      <w:marTop w:val="0"/>
      <w:marBottom w:val="0"/>
      <w:divBdr>
        <w:top w:val="none" w:sz="0" w:space="0" w:color="auto"/>
        <w:left w:val="none" w:sz="0" w:space="0" w:color="auto"/>
        <w:bottom w:val="none" w:sz="0" w:space="0" w:color="auto"/>
        <w:right w:val="none" w:sz="0" w:space="0" w:color="auto"/>
      </w:divBdr>
    </w:div>
    <w:div w:id="341779940">
      <w:bodyDiv w:val="1"/>
      <w:marLeft w:val="0"/>
      <w:marRight w:val="0"/>
      <w:marTop w:val="0"/>
      <w:marBottom w:val="0"/>
      <w:divBdr>
        <w:top w:val="none" w:sz="0" w:space="0" w:color="auto"/>
        <w:left w:val="none" w:sz="0" w:space="0" w:color="auto"/>
        <w:bottom w:val="none" w:sz="0" w:space="0" w:color="auto"/>
        <w:right w:val="none" w:sz="0" w:space="0" w:color="auto"/>
      </w:divBdr>
    </w:div>
    <w:div w:id="341786006">
      <w:bodyDiv w:val="1"/>
      <w:marLeft w:val="0"/>
      <w:marRight w:val="0"/>
      <w:marTop w:val="0"/>
      <w:marBottom w:val="0"/>
      <w:divBdr>
        <w:top w:val="none" w:sz="0" w:space="0" w:color="auto"/>
        <w:left w:val="none" w:sz="0" w:space="0" w:color="auto"/>
        <w:bottom w:val="none" w:sz="0" w:space="0" w:color="auto"/>
        <w:right w:val="none" w:sz="0" w:space="0" w:color="auto"/>
      </w:divBdr>
    </w:div>
    <w:div w:id="341787404">
      <w:bodyDiv w:val="1"/>
      <w:marLeft w:val="0"/>
      <w:marRight w:val="0"/>
      <w:marTop w:val="0"/>
      <w:marBottom w:val="0"/>
      <w:divBdr>
        <w:top w:val="none" w:sz="0" w:space="0" w:color="auto"/>
        <w:left w:val="none" w:sz="0" w:space="0" w:color="auto"/>
        <w:bottom w:val="none" w:sz="0" w:space="0" w:color="auto"/>
        <w:right w:val="none" w:sz="0" w:space="0" w:color="auto"/>
      </w:divBdr>
    </w:div>
    <w:div w:id="341858245">
      <w:bodyDiv w:val="1"/>
      <w:marLeft w:val="0"/>
      <w:marRight w:val="0"/>
      <w:marTop w:val="0"/>
      <w:marBottom w:val="0"/>
      <w:divBdr>
        <w:top w:val="none" w:sz="0" w:space="0" w:color="auto"/>
        <w:left w:val="none" w:sz="0" w:space="0" w:color="auto"/>
        <w:bottom w:val="none" w:sz="0" w:space="0" w:color="auto"/>
        <w:right w:val="none" w:sz="0" w:space="0" w:color="auto"/>
      </w:divBdr>
    </w:div>
    <w:div w:id="341977581">
      <w:bodyDiv w:val="1"/>
      <w:marLeft w:val="0"/>
      <w:marRight w:val="0"/>
      <w:marTop w:val="0"/>
      <w:marBottom w:val="0"/>
      <w:divBdr>
        <w:top w:val="none" w:sz="0" w:space="0" w:color="auto"/>
        <w:left w:val="none" w:sz="0" w:space="0" w:color="auto"/>
        <w:bottom w:val="none" w:sz="0" w:space="0" w:color="auto"/>
        <w:right w:val="none" w:sz="0" w:space="0" w:color="auto"/>
      </w:divBdr>
    </w:div>
    <w:div w:id="341977916">
      <w:bodyDiv w:val="1"/>
      <w:marLeft w:val="0"/>
      <w:marRight w:val="0"/>
      <w:marTop w:val="0"/>
      <w:marBottom w:val="0"/>
      <w:divBdr>
        <w:top w:val="none" w:sz="0" w:space="0" w:color="auto"/>
        <w:left w:val="none" w:sz="0" w:space="0" w:color="auto"/>
        <w:bottom w:val="none" w:sz="0" w:space="0" w:color="auto"/>
        <w:right w:val="none" w:sz="0" w:space="0" w:color="auto"/>
      </w:divBdr>
    </w:div>
    <w:div w:id="342048465">
      <w:bodyDiv w:val="1"/>
      <w:marLeft w:val="0"/>
      <w:marRight w:val="0"/>
      <w:marTop w:val="0"/>
      <w:marBottom w:val="0"/>
      <w:divBdr>
        <w:top w:val="none" w:sz="0" w:space="0" w:color="auto"/>
        <w:left w:val="none" w:sz="0" w:space="0" w:color="auto"/>
        <w:bottom w:val="none" w:sz="0" w:space="0" w:color="auto"/>
        <w:right w:val="none" w:sz="0" w:space="0" w:color="auto"/>
      </w:divBdr>
    </w:div>
    <w:div w:id="342051509">
      <w:bodyDiv w:val="1"/>
      <w:marLeft w:val="0"/>
      <w:marRight w:val="0"/>
      <w:marTop w:val="0"/>
      <w:marBottom w:val="0"/>
      <w:divBdr>
        <w:top w:val="none" w:sz="0" w:space="0" w:color="auto"/>
        <w:left w:val="none" w:sz="0" w:space="0" w:color="auto"/>
        <w:bottom w:val="none" w:sz="0" w:space="0" w:color="auto"/>
        <w:right w:val="none" w:sz="0" w:space="0" w:color="auto"/>
      </w:divBdr>
    </w:div>
    <w:div w:id="342123169">
      <w:bodyDiv w:val="1"/>
      <w:marLeft w:val="0"/>
      <w:marRight w:val="0"/>
      <w:marTop w:val="0"/>
      <w:marBottom w:val="0"/>
      <w:divBdr>
        <w:top w:val="none" w:sz="0" w:space="0" w:color="auto"/>
        <w:left w:val="none" w:sz="0" w:space="0" w:color="auto"/>
        <w:bottom w:val="none" w:sz="0" w:space="0" w:color="auto"/>
        <w:right w:val="none" w:sz="0" w:space="0" w:color="auto"/>
      </w:divBdr>
    </w:div>
    <w:div w:id="342124776">
      <w:bodyDiv w:val="1"/>
      <w:marLeft w:val="0"/>
      <w:marRight w:val="0"/>
      <w:marTop w:val="0"/>
      <w:marBottom w:val="0"/>
      <w:divBdr>
        <w:top w:val="none" w:sz="0" w:space="0" w:color="auto"/>
        <w:left w:val="none" w:sz="0" w:space="0" w:color="auto"/>
        <w:bottom w:val="none" w:sz="0" w:space="0" w:color="auto"/>
        <w:right w:val="none" w:sz="0" w:space="0" w:color="auto"/>
      </w:divBdr>
    </w:div>
    <w:div w:id="342249769">
      <w:bodyDiv w:val="1"/>
      <w:marLeft w:val="0"/>
      <w:marRight w:val="0"/>
      <w:marTop w:val="0"/>
      <w:marBottom w:val="0"/>
      <w:divBdr>
        <w:top w:val="none" w:sz="0" w:space="0" w:color="auto"/>
        <w:left w:val="none" w:sz="0" w:space="0" w:color="auto"/>
        <w:bottom w:val="none" w:sz="0" w:space="0" w:color="auto"/>
        <w:right w:val="none" w:sz="0" w:space="0" w:color="auto"/>
      </w:divBdr>
    </w:div>
    <w:div w:id="342437724">
      <w:bodyDiv w:val="1"/>
      <w:marLeft w:val="0"/>
      <w:marRight w:val="0"/>
      <w:marTop w:val="0"/>
      <w:marBottom w:val="0"/>
      <w:divBdr>
        <w:top w:val="none" w:sz="0" w:space="0" w:color="auto"/>
        <w:left w:val="none" w:sz="0" w:space="0" w:color="auto"/>
        <w:bottom w:val="none" w:sz="0" w:space="0" w:color="auto"/>
        <w:right w:val="none" w:sz="0" w:space="0" w:color="auto"/>
      </w:divBdr>
    </w:div>
    <w:div w:id="342510357">
      <w:bodyDiv w:val="1"/>
      <w:marLeft w:val="0"/>
      <w:marRight w:val="0"/>
      <w:marTop w:val="0"/>
      <w:marBottom w:val="0"/>
      <w:divBdr>
        <w:top w:val="none" w:sz="0" w:space="0" w:color="auto"/>
        <w:left w:val="none" w:sz="0" w:space="0" w:color="auto"/>
        <w:bottom w:val="none" w:sz="0" w:space="0" w:color="auto"/>
        <w:right w:val="none" w:sz="0" w:space="0" w:color="auto"/>
      </w:divBdr>
    </w:div>
    <w:div w:id="342512996">
      <w:bodyDiv w:val="1"/>
      <w:marLeft w:val="0"/>
      <w:marRight w:val="0"/>
      <w:marTop w:val="0"/>
      <w:marBottom w:val="0"/>
      <w:divBdr>
        <w:top w:val="none" w:sz="0" w:space="0" w:color="auto"/>
        <w:left w:val="none" w:sz="0" w:space="0" w:color="auto"/>
        <w:bottom w:val="none" w:sz="0" w:space="0" w:color="auto"/>
        <w:right w:val="none" w:sz="0" w:space="0" w:color="auto"/>
      </w:divBdr>
    </w:div>
    <w:div w:id="342560739">
      <w:bodyDiv w:val="1"/>
      <w:marLeft w:val="0"/>
      <w:marRight w:val="0"/>
      <w:marTop w:val="0"/>
      <w:marBottom w:val="0"/>
      <w:divBdr>
        <w:top w:val="none" w:sz="0" w:space="0" w:color="auto"/>
        <w:left w:val="none" w:sz="0" w:space="0" w:color="auto"/>
        <w:bottom w:val="none" w:sz="0" w:space="0" w:color="auto"/>
        <w:right w:val="none" w:sz="0" w:space="0" w:color="auto"/>
      </w:divBdr>
    </w:div>
    <w:div w:id="342585334">
      <w:bodyDiv w:val="1"/>
      <w:marLeft w:val="0"/>
      <w:marRight w:val="0"/>
      <w:marTop w:val="0"/>
      <w:marBottom w:val="0"/>
      <w:divBdr>
        <w:top w:val="none" w:sz="0" w:space="0" w:color="auto"/>
        <w:left w:val="none" w:sz="0" w:space="0" w:color="auto"/>
        <w:bottom w:val="none" w:sz="0" w:space="0" w:color="auto"/>
        <w:right w:val="none" w:sz="0" w:space="0" w:color="auto"/>
      </w:divBdr>
    </w:div>
    <w:div w:id="342706368">
      <w:bodyDiv w:val="1"/>
      <w:marLeft w:val="0"/>
      <w:marRight w:val="0"/>
      <w:marTop w:val="0"/>
      <w:marBottom w:val="0"/>
      <w:divBdr>
        <w:top w:val="none" w:sz="0" w:space="0" w:color="auto"/>
        <w:left w:val="none" w:sz="0" w:space="0" w:color="auto"/>
        <w:bottom w:val="none" w:sz="0" w:space="0" w:color="auto"/>
        <w:right w:val="none" w:sz="0" w:space="0" w:color="auto"/>
      </w:divBdr>
    </w:div>
    <w:div w:id="342780539">
      <w:bodyDiv w:val="1"/>
      <w:marLeft w:val="0"/>
      <w:marRight w:val="0"/>
      <w:marTop w:val="0"/>
      <w:marBottom w:val="0"/>
      <w:divBdr>
        <w:top w:val="none" w:sz="0" w:space="0" w:color="auto"/>
        <w:left w:val="none" w:sz="0" w:space="0" w:color="auto"/>
        <w:bottom w:val="none" w:sz="0" w:space="0" w:color="auto"/>
        <w:right w:val="none" w:sz="0" w:space="0" w:color="auto"/>
      </w:divBdr>
    </w:div>
    <w:div w:id="342823113">
      <w:bodyDiv w:val="1"/>
      <w:marLeft w:val="0"/>
      <w:marRight w:val="0"/>
      <w:marTop w:val="0"/>
      <w:marBottom w:val="0"/>
      <w:divBdr>
        <w:top w:val="none" w:sz="0" w:space="0" w:color="auto"/>
        <w:left w:val="none" w:sz="0" w:space="0" w:color="auto"/>
        <w:bottom w:val="none" w:sz="0" w:space="0" w:color="auto"/>
        <w:right w:val="none" w:sz="0" w:space="0" w:color="auto"/>
      </w:divBdr>
    </w:div>
    <w:div w:id="342975189">
      <w:bodyDiv w:val="1"/>
      <w:marLeft w:val="0"/>
      <w:marRight w:val="0"/>
      <w:marTop w:val="0"/>
      <w:marBottom w:val="0"/>
      <w:divBdr>
        <w:top w:val="none" w:sz="0" w:space="0" w:color="auto"/>
        <w:left w:val="none" w:sz="0" w:space="0" w:color="auto"/>
        <w:bottom w:val="none" w:sz="0" w:space="0" w:color="auto"/>
        <w:right w:val="none" w:sz="0" w:space="0" w:color="auto"/>
      </w:divBdr>
    </w:div>
    <w:div w:id="343047460">
      <w:bodyDiv w:val="1"/>
      <w:marLeft w:val="0"/>
      <w:marRight w:val="0"/>
      <w:marTop w:val="0"/>
      <w:marBottom w:val="0"/>
      <w:divBdr>
        <w:top w:val="none" w:sz="0" w:space="0" w:color="auto"/>
        <w:left w:val="none" w:sz="0" w:space="0" w:color="auto"/>
        <w:bottom w:val="none" w:sz="0" w:space="0" w:color="auto"/>
        <w:right w:val="none" w:sz="0" w:space="0" w:color="auto"/>
      </w:divBdr>
    </w:div>
    <w:div w:id="343165040">
      <w:bodyDiv w:val="1"/>
      <w:marLeft w:val="0"/>
      <w:marRight w:val="0"/>
      <w:marTop w:val="0"/>
      <w:marBottom w:val="0"/>
      <w:divBdr>
        <w:top w:val="none" w:sz="0" w:space="0" w:color="auto"/>
        <w:left w:val="none" w:sz="0" w:space="0" w:color="auto"/>
        <w:bottom w:val="none" w:sz="0" w:space="0" w:color="auto"/>
        <w:right w:val="none" w:sz="0" w:space="0" w:color="auto"/>
      </w:divBdr>
    </w:div>
    <w:div w:id="343172885">
      <w:bodyDiv w:val="1"/>
      <w:marLeft w:val="0"/>
      <w:marRight w:val="0"/>
      <w:marTop w:val="0"/>
      <w:marBottom w:val="0"/>
      <w:divBdr>
        <w:top w:val="none" w:sz="0" w:space="0" w:color="auto"/>
        <w:left w:val="none" w:sz="0" w:space="0" w:color="auto"/>
        <w:bottom w:val="none" w:sz="0" w:space="0" w:color="auto"/>
        <w:right w:val="none" w:sz="0" w:space="0" w:color="auto"/>
      </w:divBdr>
    </w:div>
    <w:div w:id="343289404">
      <w:bodyDiv w:val="1"/>
      <w:marLeft w:val="0"/>
      <w:marRight w:val="0"/>
      <w:marTop w:val="0"/>
      <w:marBottom w:val="0"/>
      <w:divBdr>
        <w:top w:val="none" w:sz="0" w:space="0" w:color="auto"/>
        <w:left w:val="none" w:sz="0" w:space="0" w:color="auto"/>
        <w:bottom w:val="none" w:sz="0" w:space="0" w:color="auto"/>
        <w:right w:val="none" w:sz="0" w:space="0" w:color="auto"/>
      </w:divBdr>
    </w:div>
    <w:div w:id="343289996">
      <w:bodyDiv w:val="1"/>
      <w:marLeft w:val="0"/>
      <w:marRight w:val="0"/>
      <w:marTop w:val="0"/>
      <w:marBottom w:val="0"/>
      <w:divBdr>
        <w:top w:val="none" w:sz="0" w:space="0" w:color="auto"/>
        <w:left w:val="none" w:sz="0" w:space="0" w:color="auto"/>
        <w:bottom w:val="none" w:sz="0" w:space="0" w:color="auto"/>
        <w:right w:val="none" w:sz="0" w:space="0" w:color="auto"/>
      </w:divBdr>
    </w:div>
    <w:div w:id="343476231">
      <w:bodyDiv w:val="1"/>
      <w:marLeft w:val="0"/>
      <w:marRight w:val="0"/>
      <w:marTop w:val="0"/>
      <w:marBottom w:val="0"/>
      <w:divBdr>
        <w:top w:val="none" w:sz="0" w:space="0" w:color="auto"/>
        <w:left w:val="none" w:sz="0" w:space="0" w:color="auto"/>
        <w:bottom w:val="none" w:sz="0" w:space="0" w:color="auto"/>
        <w:right w:val="none" w:sz="0" w:space="0" w:color="auto"/>
      </w:divBdr>
    </w:div>
    <w:div w:id="343482542">
      <w:bodyDiv w:val="1"/>
      <w:marLeft w:val="0"/>
      <w:marRight w:val="0"/>
      <w:marTop w:val="0"/>
      <w:marBottom w:val="0"/>
      <w:divBdr>
        <w:top w:val="none" w:sz="0" w:space="0" w:color="auto"/>
        <w:left w:val="none" w:sz="0" w:space="0" w:color="auto"/>
        <w:bottom w:val="none" w:sz="0" w:space="0" w:color="auto"/>
        <w:right w:val="none" w:sz="0" w:space="0" w:color="auto"/>
      </w:divBdr>
    </w:div>
    <w:div w:id="343555614">
      <w:bodyDiv w:val="1"/>
      <w:marLeft w:val="0"/>
      <w:marRight w:val="0"/>
      <w:marTop w:val="0"/>
      <w:marBottom w:val="0"/>
      <w:divBdr>
        <w:top w:val="none" w:sz="0" w:space="0" w:color="auto"/>
        <w:left w:val="none" w:sz="0" w:space="0" w:color="auto"/>
        <w:bottom w:val="none" w:sz="0" w:space="0" w:color="auto"/>
        <w:right w:val="none" w:sz="0" w:space="0" w:color="auto"/>
      </w:divBdr>
    </w:div>
    <w:div w:id="343556826">
      <w:bodyDiv w:val="1"/>
      <w:marLeft w:val="0"/>
      <w:marRight w:val="0"/>
      <w:marTop w:val="0"/>
      <w:marBottom w:val="0"/>
      <w:divBdr>
        <w:top w:val="none" w:sz="0" w:space="0" w:color="auto"/>
        <w:left w:val="none" w:sz="0" w:space="0" w:color="auto"/>
        <w:bottom w:val="none" w:sz="0" w:space="0" w:color="auto"/>
        <w:right w:val="none" w:sz="0" w:space="0" w:color="auto"/>
      </w:divBdr>
    </w:div>
    <w:div w:id="343556906">
      <w:bodyDiv w:val="1"/>
      <w:marLeft w:val="0"/>
      <w:marRight w:val="0"/>
      <w:marTop w:val="0"/>
      <w:marBottom w:val="0"/>
      <w:divBdr>
        <w:top w:val="none" w:sz="0" w:space="0" w:color="auto"/>
        <w:left w:val="none" w:sz="0" w:space="0" w:color="auto"/>
        <w:bottom w:val="none" w:sz="0" w:space="0" w:color="auto"/>
        <w:right w:val="none" w:sz="0" w:space="0" w:color="auto"/>
      </w:divBdr>
    </w:div>
    <w:div w:id="343558463">
      <w:bodyDiv w:val="1"/>
      <w:marLeft w:val="0"/>
      <w:marRight w:val="0"/>
      <w:marTop w:val="0"/>
      <w:marBottom w:val="0"/>
      <w:divBdr>
        <w:top w:val="none" w:sz="0" w:space="0" w:color="auto"/>
        <w:left w:val="none" w:sz="0" w:space="0" w:color="auto"/>
        <w:bottom w:val="none" w:sz="0" w:space="0" w:color="auto"/>
        <w:right w:val="none" w:sz="0" w:space="0" w:color="auto"/>
      </w:divBdr>
    </w:div>
    <w:div w:id="343632791">
      <w:bodyDiv w:val="1"/>
      <w:marLeft w:val="0"/>
      <w:marRight w:val="0"/>
      <w:marTop w:val="0"/>
      <w:marBottom w:val="0"/>
      <w:divBdr>
        <w:top w:val="none" w:sz="0" w:space="0" w:color="auto"/>
        <w:left w:val="none" w:sz="0" w:space="0" w:color="auto"/>
        <w:bottom w:val="none" w:sz="0" w:space="0" w:color="auto"/>
        <w:right w:val="none" w:sz="0" w:space="0" w:color="auto"/>
      </w:divBdr>
    </w:div>
    <w:div w:id="343749996">
      <w:bodyDiv w:val="1"/>
      <w:marLeft w:val="0"/>
      <w:marRight w:val="0"/>
      <w:marTop w:val="0"/>
      <w:marBottom w:val="0"/>
      <w:divBdr>
        <w:top w:val="none" w:sz="0" w:space="0" w:color="auto"/>
        <w:left w:val="none" w:sz="0" w:space="0" w:color="auto"/>
        <w:bottom w:val="none" w:sz="0" w:space="0" w:color="auto"/>
        <w:right w:val="none" w:sz="0" w:space="0" w:color="auto"/>
      </w:divBdr>
    </w:div>
    <w:div w:id="344017968">
      <w:bodyDiv w:val="1"/>
      <w:marLeft w:val="0"/>
      <w:marRight w:val="0"/>
      <w:marTop w:val="0"/>
      <w:marBottom w:val="0"/>
      <w:divBdr>
        <w:top w:val="none" w:sz="0" w:space="0" w:color="auto"/>
        <w:left w:val="none" w:sz="0" w:space="0" w:color="auto"/>
        <w:bottom w:val="none" w:sz="0" w:space="0" w:color="auto"/>
        <w:right w:val="none" w:sz="0" w:space="0" w:color="auto"/>
      </w:divBdr>
    </w:div>
    <w:div w:id="344064624">
      <w:bodyDiv w:val="1"/>
      <w:marLeft w:val="0"/>
      <w:marRight w:val="0"/>
      <w:marTop w:val="0"/>
      <w:marBottom w:val="0"/>
      <w:divBdr>
        <w:top w:val="none" w:sz="0" w:space="0" w:color="auto"/>
        <w:left w:val="none" w:sz="0" w:space="0" w:color="auto"/>
        <w:bottom w:val="none" w:sz="0" w:space="0" w:color="auto"/>
        <w:right w:val="none" w:sz="0" w:space="0" w:color="auto"/>
      </w:divBdr>
    </w:div>
    <w:div w:id="344134560">
      <w:bodyDiv w:val="1"/>
      <w:marLeft w:val="0"/>
      <w:marRight w:val="0"/>
      <w:marTop w:val="0"/>
      <w:marBottom w:val="0"/>
      <w:divBdr>
        <w:top w:val="none" w:sz="0" w:space="0" w:color="auto"/>
        <w:left w:val="none" w:sz="0" w:space="0" w:color="auto"/>
        <w:bottom w:val="none" w:sz="0" w:space="0" w:color="auto"/>
        <w:right w:val="none" w:sz="0" w:space="0" w:color="auto"/>
      </w:divBdr>
    </w:div>
    <w:div w:id="344212549">
      <w:bodyDiv w:val="1"/>
      <w:marLeft w:val="0"/>
      <w:marRight w:val="0"/>
      <w:marTop w:val="0"/>
      <w:marBottom w:val="0"/>
      <w:divBdr>
        <w:top w:val="none" w:sz="0" w:space="0" w:color="auto"/>
        <w:left w:val="none" w:sz="0" w:space="0" w:color="auto"/>
        <w:bottom w:val="none" w:sz="0" w:space="0" w:color="auto"/>
        <w:right w:val="none" w:sz="0" w:space="0" w:color="auto"/>
      </w:divBdr>
    </w:div>
    <w:div w:id="344289170">
      <w:bodyDiv w:val="1"/>
      <w:marLeft w:val="0"/>
      <w:marRight w:val="0"/>
      <w:marTop w:val="0"/>
      <w:marBottom w:val="0"/>
      <w:divBdr>
        <w:top w:val="none" w:sz="0" w:space="0" w:color="auto"/>
        <w:left w:val="none" w:sz="0" w:space="0" w:color="auto"/>
        <w:bottom w:val="none" w:sz="0" w:space="0" w:color="auto"/>
        <w:right w:val="none" w:sz="0" w:space="0" w:color="auto"/>
      </w:divBdr>
    </w:div>
    <w:div w:id="344331773">
      <w:bodyDiv w:val="1"/>
      <w:marLeft w:val="0"/>
      <w:marRight w:val="0"/>
      <w:marTop w:val="0"/>
      <w:marBottom w:val="0"/>
      <w:divBdr>
        <w:top w:val="none" w:sz="0" w:space="0" w:color="auto"/>
        <w:left w:val="none" w:sz="0" w:space="0" w:color="auto"/>
        <w:bottom w:val="none" w:sz="0" w:space="0" w:color="auto"/>
        <w:right w:val="none" w:sz="0" w:space="0" w:color="auto"/>
      </w:divBdr>
    </w:div>
    <w:div w:id="344402381">
      <w:bodyDiv w:val="1"/>
      <w:marLeft w:val="0"/>
      <w:marRight w:val="0"/>
      <w:marTop w:val="0"/>
      <w:marBottom w:val="0"/>
      <w:divBdr>
        <w:top w:val="none" w:sz="0" w:space="0" w:color="auto"/>
        <w:left w:val="none" w:sz="0" w:space="0" w:color="auto"/>
        <w:bottom w:val="none" w:sz="0" w:space="0" w:color="auto"/>
        <w:right w:val="none" w:sz="0" w:space="0" w:color="auto"/>
      </w:divBdr>
    </w:div>
    <w:div w:id="344481432">
      <w:bodyDiv w:val="1"/>
      <w:marLeft w:val="0"/>
      <w:marRight w:val="0"/>
      <w:marTop w:val="0"/>
      <w:marBottom w:val="0"/>
      <w:divBdr>
        <w:top w:val="none" w:sz="0" w:space="0" w:color="auto"/>
        <w:left w:val="none" w:sz="0" w:space="0" w:color="auto"/>
        <w:bottom w:val="none" w:sz="0" w:space="0" w:color="auto"/>
        <w:right w:val="none" w:sz="0" w:space="0" w:color="auto"/>
      </w:divBdr>
    </w:div>
    <w:div w:id="344599873">
      <w:bodyDiv w:val="1"/>
      <w:marLeft w:val="0"/>
      <w:marRight w:val="0"/>
      <w:marTop w:val="0"/>
      <w:marBottom w:val="0"/>
      <w:divBdr>
        <w:top w:val="none" w:sz="0" w:space="0" w:color="auto"/>
        <w:left w:val="none" w:sz="0" w:space="0" w:color="auto"/>
        <w:bottom w:val="none" w:sz="0" w:space="0" w:color="auto"/>
        <w:right w:val="none" w:sz="0" w:space="0" w:color="auto"/>
      </w:divBdr>
    </w:div>
    <w:div w:id="344744902">
      <w:bodyDiv w:val="1"/>
      <w:marLeft w:val="0"/>
      <w:marRight w:val="0"/>
      <w:marTop w:val="0"/>
      <w:marBottom w:val="0"/>
      <w:divBdr>
        <w:top w:val="none" w:sz="0" w:space="0" w:color="auto"/>
        <w:left w:val="none" w:sz="0" w:space="0" w:color="auto"/>
        <w:bottom w:val="none" w:sz="0" w:space="0" w:color="auto"/>
        <w:right w:val="none" w:sz="0" w:space="0" w:color="auto"/>
      </w:divBdr>
    </w:div>
    <w:div w:id="344862536">
      <w:bodyDiv w:val="1"/>
      <w:marLeft w:val="0"/>
      <w:marRight w:val="0"/>
      <w:marTop w:val="0"/>
      <w:marBottom w:val="0"/>
      <w:divBdr>
        <w:top w:val="none" w:sz="0" w:space="0" w:color="auto"/>
        <w:left w:val="none" w:sz="0" w:space="0" w:color="auto"/>
        <w:bottom w:val="none" w:sz="0" w:space="0" w:color="auto"/>
        <w:right w:val="none" w:sz="0" w:space="0" w:color="auto"/>
      </w:divBdr>
    </w:div>
    <w:div w:id="344869118">
      <w:bodyDiv w:val="1"/>
      <w:marLeft w:val="0"/>
      <w:marRight w:val="0"/>
      <w:marTop w:val="0"/>
      <w:marBottom w:val="0"/>
      <w:divBdr>
        <w:top w:val="none" w:sz="0" w:space="0" w:color="auto"/>
        <w:left w:val="none" w:sz="0" w:space="0" w:color="auto"/>
        <w:bottom w:val="none" w:sz="0" w:space="0" w:color="auto"/>
        <w:right w:val="none" w:sz="0" w:space="0" w:color="auto"/>
      </w:divBdr>
    </w:div>
    <w:div w:id="344981977">
      <w:bodyDiv w:val="1"/>
      <w:marLeft w:val="0"/>
      <w:marRight w:val="0"/>
      <w:marTop w:val="0"/>
      <w:marBottom w:val="0"/>
      <w:divBdr>
        <w:top w:val="none" w:sz="0" w:space="0" w:color="auto"/>
        <w:left w:val="none" w:sz="0" w:space="0" w:color="auto"/>
        <w:bottom w:val="none" w:sz="0" w:space="0" w:color="auto"/>
        <w:right w:val="none" w:sz="0" w:space="0" w:color="auto"/>
      </w:divBdr>
    </w:div>
    <w:div w:id="345056615">
      <w:bodyDiv w:val="1"/>
      <w:marLeft w:val="0"/>
      <w:marRight w:val="0"/>
      <w:marTop w:val="0"/>
      <w:marBottom w:val="0"/>
      <w:divBdr>
        <w:top w:val="none" w:sz="0" w:space="0" w:color="auto"/>
        <w:left w:val="none" w:sz="0" w:space="0" w:color="auto"/>
        <w:bottom w:val="none" w:sz="0" w:space="0" w:color="auto"/>
        <w:right w:val="none" w:sz="0" w:space="0" w:color="auto"/>
      </w:divBdr>
    </w:div>
    <w:div w:id="345208003">
      <w:bodyDiv w:val="1"/>
      <w:marLeft w:val="0"/>
      <w:marRight w:val="0"/>
      <w:marTop w:val="0"/>
      <w:marBottom w:val="0"/>
      <w:divBdr>
        <w:top w:val="none" w:sz="0" w:space="0" w:color="auto"/>
        <w:left w:val="none" w:sz="0" w:space="0" w:color="auto"/>
        <w:bottom w:val="none" w:sz="0" w:space="0" w:color="auto"/>
        <w:right w:val="none" w:sz="0" w:space="0" w:color="auto"/>
      </w:divBdr>
    </w:div>
    <w:div w:id="345253164">
      <w:bodyDiv w:val="1"/>
      <w:marLeft w:val="0"/>
      <w:marRight w:val="0"/>
      <w:marTop w:val="0"/>
      <w:marBottom w:val="0"/>
      <w:divBdr>
        <w:top w:val="none" w:sz="0" w:space="0" w:color="auto"/>
        <w:left w:val="none" w:sz="0" w:space="0" w:color="auto"/>
        <w:bottom w:val="none" w:sz="0" w:space="0" w:color="auto"/>
        <w:right w:val="none" w:sz="0" w:space="0" w:color="auto"/>
      </w:divBdr>
    </w:div>
    <w:div w:id="345444344">
      <w:bodyDiv w:val="1"/>
      <w:marLeft w:val="0"/>
      <w:marRight w:val="0"/>
      <w:marTop w:val="0"/>
      <w:marBottom w:val="0"/>
      <w:divBdr>
        <w:top w:val="none" w:sz="0" w:space="0" w:color="auto"/>
        <w:left w:val="none" w:sz="0" w:space="0" w:color="auto"/>
        <w:bottom w:val="none" w:sz="0" w:space="0" w:color="auto"/>
        <w:right w:val="none" w:sz="0" w:space="0" w:color="auto"/>
      </w:divBdr>
    </w:div>
    <w:div w:id="345525012">
      <w:bodyDiv w:val="1"/>
      <w:marLeft w:val="0"/>
      <w:marRight w:val="0"/>
      <w:marTop w:val="0"/>
      <w:marBottom w:val="0"/>
      <w:divBdr>
        <w:top w:val="none" w:sz="0" w:space="0" w:color="auto"/>
        <w:left w:val="none" w:sz="0" w:space="0" w:color="auto"/>
        <w:bottom w:val="none" w:sz="0" w:space="0" w:color="auto"/>
        <w:right w:val="none" w:sz="0" w:space="0" w:color="auto"/>
      </w:divBdr>
    </w:div>
    <w:div w:id="345644117">
      <w:bodyDiv w:val="1"/>
      <w:marLeft w:val="0"/>
      <w:marRight w:val="0"/>
      <w:marTop w:val="0"/>
      <w:marBottom w:val="0"/>
      <w:divBdr>
        <w:top w:val="none" w:sz="0" w:space="0" w:color="auto"/>
        <w:left w:val="none" w:sz="0" w:space="0" w:color="auto"/>
        <w:bottom w:val="none" w:sz="0" w:space="0" w:color="auto"/>
        <w:right w:val="none" w:sz="0" w:space="0" w:color="auto"/>
      </w:divBdr>
    </w:div>
    <w:div w:id="345982230">
      <w:bodyDiv w:val="1"/>
      <w:marLeft w:val="0"/>
      <w:marRight w:val="0"/>
      <w:marTop w:val="0"/>
      <w:marBottom w:val="0"/>
      <w:divBdr>
        <w:top w:val="none" w:sz="0" w:space="0" w:color="auto"/>
        <w:left w:val="none" w:sz="0" w:space="0" w:color="auto"/>
        <w:bottom w:val="none" w:sz="0" w:space="0" w:color="auto"/>
        <w:right w:val="none" w:sz="0" w:space="0" w:color="auto"/>
      </w:divBdr>
    </w:div>
    <w:div w:id="345983571">
      <w:bodyDiv w:val="1"/>
      <w:marLeft w:val="0"/>
      <w:marRight w:val="0"/>
      <w:marTop w:val="0"/>
      <w:marBottom w:val="0"/>
      <w:divBdr>
        <w:top w:val="none" w:sz="0" w:space="0" w:color="auto"/>
        <w:left w:val="none" w:sz="0" w:space="0" w:color="auto"/>
        <w:bottom w:val="none" w:sz="0" w:space="0" w:color="auto"/>
        <w:right w:val="none" w:sz="0" w:space="0" w:color="auto"/>
      </w:divBdr>
    </w:div>
    <w:div w:id="346255905">
      <w:bodyDiv w:val="1"/>
      <w:marLeft w:val="0"/>
      <w:marRight w:val="0"/>
      <w:marTop w:val="0"/>
      <w:marBottom w:val="0"/>
      <w:divBdr>
        <w:top w:val="none" w:sz="0" w:space="0" w:color="auto"/>
        <w:left w:val="none" w:sz="0" w:space="0" w:color="auto"/>
        <w:bottom w:val="none" w:sz="0" w:space="0" w:color="auto"/>
        <w:right w:val="none" w:sz="0" w:space="0" w:color="auto"/>
      </w:divBdr>
    </w:div>
    <w:div w:id="346368248">
      <w:bodyDiv w:val="1"/>
      <w:marLeft w:val="0"/>
      <w:marRight w:val="0"/>
      <w:marTop w:val="0"/>
      <w:marBottom w:val="0"/>
      <w:divBdr>
        <w:top w:val="none" w:sz="0" w:space="0" w:color="auto"/>
        <w:left w:val="none" w:sz="0" w:space="0" w:color="auto"/>
        <w:bottom w:val="none" w:sz="0" w:space="0" w:color="auto"/>
        <w:right w:val="none" w:sz="0" w:space="0" w:color="auto"/>
      </w:divBdr>
    </w:div>
    <w:div w:id="346444900">
      <w:bodyDiv w:val="1"/>
      <w:marLeft w:val="0"/>
      <w:marRight w:val="0"/>
      <w:marTop w:val="0"/>
      <w:marBottom w:val="0"/>
      <w:divBdr>
        <w:top w:val="none" w:sz="0" w:space="0" w:color="auto"/>
        <w:left w:val="none" w:sz="0" w:space="0" w:color="auto"/>
        <w:bottom w:val="none" w:sz="0" w:space="0" w:color="auto"/>
        <w:right w:val="none" w:sz="0" w:space="0" w:color="auto"/>
      </w:divBdr>
    </w:div>
    <w:div w:id="346559475">
      <w:bodyDiv w:val="1"/>
      <w:marLeft w:val="0"/>
      <w:marRight w:val="0"/>
      <w:marTop w:val="0"/>
      <w:marBottom w:val="0"/>
      <w:divBdr>
        <w:top w:val="none" w:sz="0" w:space="0" w:color="auto"/>
        <w:left w:val="none" w:sz="0" w:space="0" w:color="auto"/>
        <w:bottom w:val="none" w:sz="0" w:space="0" w:color="auto"/>
        <w:right w:val="none" w:sz="0" w:space="0" w:color="auto"/>
      </w:divBdr>
    </w:div>
    <w:div w:id="346566898">
      <w:bodyDiv w:val="1"/>
      <w:marLeft w:val="0"/>
      <w:marRight w:val="0"/>
      <w:marTop w:val="0"/>
      <w:marBottom w:val="0"/>
      <w:divBdr>
        <w:top w:val="none" w:sz="0" w:space="0" w:color="auto"/>
        <w:left w:val="none" w:sz="0" w:space="0" w:color="auto"/>
        <w:bottom w:val="none" w:sz="0" w:space="0" w:color="auto"/>
        <w:right w:val="none" w:sz="0" w:space="0" w:color="auto"/>
      </w:divBdr>
    </w:div>
    <w:div w:id="346717391">
      <w:bodyDiv w:val="1"/>
      <w:marLeft w:val="0"/>
      <w:marRight w:val="0"/>
      <w:marTop w:val="0"/>
      <w:marBottom w:val="0"/>
      <w:divBdr>
        <w:top w:val="none" w:sz="0" w:space="0" w:color="auto"/>
        <w:left w:val="none" w:sz="0" w:space="0" w:color="auto"/>
        <w:bottom w:val="none" w:sz="0" w:space="0" w:color="auto"/>
        <w:right w:val="none" w:sz="0" w:space="0" w:color="auto"/>
      </w:divBdr>
    </w:div>
    <w:div w:id="346717612">
      <w:bodyDiv w:val="1"/>
      <w:marLeft w:val="0"/>
      <w:marRight w:val="0"/>
      <w:marTop w:val="0"/>
      <w:marBottom w:val="0"/>
      <w:divBdr>
        <w:top w:val="none" w:sz="0" w:space="0" w:color="auto"/>
        <w:left w:val="none" w:sz="0" w:space="0" w:color="auto"/>
        <w:bottom w:val="none" w:sz="0" w:space="0" w:color="auto"/>
        <w:right w:val="none" w:sz="0" w:space="0" w:color="auto"/>
      </w:divBdr>
    </w:div>
    <w:div w:id="346760626">
      <w:bodyDiv w:val="1"/>
      <w:marLeft w:val="0"/>
      <w:marRight w:val="0"/>
      <w:marTop w:val="0"/>
      <w:marBottom w:val="0"/>
      <w:divBdr>
        <w:top w:val="none" w:sz="0" w:space="0" w:color="auto"/>
        <w:left w:val="none" w:sz="0" w:space="0" w:color="auto"/>
        <w:bottom w:val="none" w:sz="0" w:space="0" w:color="auto"/>
        <w:right w:val="none" w:sz="0" w:space="0" w:color="auto"/>
      </w:divBdr>
    </w:div>
    <w:div w:id="346760859">
      <w:bodyDiv w:val="1"/>
      <w:marLeft w:val="0"/>
      <w:marRight w:val="0"/>
      <w:marTop w:val="0"/>
      <w:marBottom w:val="0"/>
      <w:divBdr>
        <w:top w:val="none" w:sz="0" w:space="0" w:color="auto"/>
        <w:left w:val="none" w:sz="0" w:space="0" w:color="auto"/>
        <w:bottom w:val="none" w:sz="0" w:space="0" w:color="auto"/>
        <w:right w:val="none" w:sz="0" w:space="0" w:color="auto"/>
      </w:divBdr>
    </w:div>
    <w:div w:id="346831008">
      <w:bodyDiv w:val="1"/>
      <w:marLeft w:val="0"/>
      <w:marRight w:val="0"/>
      <w:marTop w:val="0"/>
      <w:marBottom w:val="0"/>
      <w:divBdr>
        <w:top w:val="none" w:sz="0" w:space="0" w:color="auto"/>
        <w:left w:val="none" w:sz="0" w:space="0" w:color="auto"/>
        <w:bottom w:val="none" w:sz="0" w:space="0" w:color="auto"/>
        <w:right w:val="none" w:sz="0" w:space="0" w:color="auto"/>
      </w:divBdr>
    </w:div>
    <w:div w:id="346947877">
      <w:bodyDiv w:val="1"/>
      <w:marLeft w:val="0"/>
      <w:marRight w:val="0"/>
      <w:marTop w:val="0"/>
      <w:marBottom w:val="0"/>
      <w:divBdr>
        <w:top w:val="none" w:sz="0" w:space="0" w:color="auto"/>
        <w:left w:val="none" w:sz="0" w:space="0" w:color="auto"/>
        <w:bottom w:val="none" w:sz="0" w:space="0" w:color="auto"/>
        <w:right w:val="none" w:sz="0" w:space="0" w:color="auto"/>
      </w:divBdr>
    </w:div>
    <w:div w:id="346948489">
      <w:bodyDiv w:val="1"/>
      <w:marLeft w:val="0"/>
      <w:marRight w:val="0"/>
      <w:marTop w:val="0"/>
      <w:marBottom w:val="0"/>
      <w:divBdr>
        <w:top w:val="none" w:sz="0" w:space="0" w:color="auto"/>
        <w:left w:val="none" w:sz="0" w:space="0" w:color="auto"/>
        <w:bottom w:val="none" w:sz="0" w:space="0" w:color="auto"/>
        <w:right w:val="none" w:sz="0" w:space="0" w:color="auto"/>
      </w:divBdr>
    </w:div>
    <w:div w:id="347027730">
      <w:bodyDiv w:val="1"/>
      <w:marLeft w:val="0"/>
      <w:marRight w:val="0"/>
      <w:marTop w:val="0"/>
      <w:marBottom w:val="0"/>
      <w:divBdr>
        <w:top w:val="none" w:sz="0" w:space="0" w:color="auto"/>
        <w:left w:val="none" w:sz="0" w:space="0" w:color="auto"/>
        <w:bottom w:val="none" w:sz="0" w:space="0" w:color="auto"/>
        <w:right w:val="none" w:sz="0" w:space="0" w:color="auto"/>
      </w:divBdr>
    </w:div>
    <w:div w:id="347415194">
      <w:bodyDiv w:val="1"/>
      <w:marLeft w:val="0"/>
      <w:marRight w:val="0"/>
      <w:marTop w:val="0"/>
      <w:marBottom w:val="0"/>
      <w:divBdr>
        <w:top w:val="none" w:sz="0" w:space="0" w:color="auto"/>
        <w:left w:val="none" w:sz="0" w:space="0" w:color="auto"/>
        <w:bottom w:val="none" w:sz="0" w:space="0" w:color="auto"/>
        <w:right w:val="none" w:sz="0" w:space="0" w:color="auto"/>
      </w:divBdr>
    </w:div>
    <w:div w:id="347608030">
      <w:bodyDiv w:val="1"/>
      <w:marLeft w:val="0"/>
      <w:marRight w:val="0"/>
      <w:marTop w:val="0"/>
      <w:marBottom w:val="0"/>
      <w:divBdr>
        <w:top w:val="none" w:sz="0" w:space="0" w:color="auto"/>
        <w:left w:val="none" w:sz="0" w:space="0" w:color="auto"/>
        <w:bottom w:val="none" w:sz="0" w:space="0" w:color="auto"/>
        <w:right w:val="none" w:sz="0" w:space="0" w:color="auto"/>
      </w:divBdr>
    </w:div>
    <w:div w:id="347677394">
      <w:bodyDiv w:val="1"/>
      <w:marLeft w:val="0"/>
      <w:marRight w:val="0"/>
      <w:marTop w:val="0"/>
      <w:marBottom w:val="0"/>
      <w:divBdr>
        <w:top w:val="none" w:sz="0" w:space="0" w:color="auto"/>
        <w:left w:val="none" w:sz="0" w:space="0" w:color="auto"/>
        <w:bottom w:val="none" w:sz="0" w:space="0" w:color="auto"/>
        <w:right w:val="none" w:sz="0" w:space="0" w:color="auto"/>
      </w:divBdr>
    </w:div>
    <w:div w:id="347680746">
      <w:bodyDiv w:val="1"/>
      <w:marLeft w:val="0"/>
      <w:marRight w:val="0"/>
      <w:marTop w:val="0"/>
      <w:marBottom w:val="0"/>
      <w:divBdr>
        <w:top w:val="none" w:sz="0" w:space="0" w:color="auto"/>
        <w:left w:val="none" w:sz="0" w:space="0" w:color="auto"/>
        <w:bottom w:val="none" w:sz="0" w:space="0" w:color="auto"/>
        <w:right w:val="none" w:sz="0" w:space="0" w:color="auto"/>
      </w:divBdr>
    </w:div>
    <w:div w:id="347681230">
      <w:bodyDiv w:val="1"/>
      <w:marLeft w:val="0"/>
      <w:marRight w:val="0"/>
      <w:marTop w:val="0"/>
      <w:marBottom w:val="0"/>
      <w:divBdr>
        <w:top w:val="none" w:sz="0" w:space="0" w:color="auto"/>
        <w:left w:val="none" w:sz="0" w:space="0" w:color="auto"/>
        <w:bottom w:val="none" w:sz="0" w:space="0" w:color="auto"/>
        <w:right w:val="none" w:sz="0" w:space="0" w:color="auto"/>
      </w:divBdr>
    </w:div>
    <w:div w:id="347685634">
      <w:bodyDiv w:val="1"/>
      <w:marLeft w:val="0"/>
      <w:marRight w:val="0"/>
      <w:marTop w:val="0"/>
      <w:marBottom w:val="0"/>
      <w:divBdr>
        <w:top w:val="none" w:sz="0" w:space="0" w:color="auto"/>
        <w:left w:val="none" w:sz="0" w:space="0" w:color="auto"/>
        <w:bottom w:val="none" w:sz="0" w:space="0" w:color="auto"/>
        <w:right w:val="none" w:sz="0" w:space="0" w:color="auto"/>
      </w:divBdr>
    </w:div>
    <w:div w:id="347949791">
      <w:bodyDiv w:val="1"/>
      <w:marLeft w:val="0"/>
      <w:marRight w:val="0"/>
      <w:marTop w:val="0"/>
      <w:marBottom w:val="0"/>
      <w:divBdr>
        <w:top w:val="none" w:sz="0" w:space="0" w:color="auto"/>
        <w:left w:val="none" w:sz="0" w:space="0" w:color="auto"/>
        <w:bottom w:val="none" w:sz="0" w:space="0" w:color="auto"/>
        <w:right w:val="none" w:sz="0" w:space="0" w:color="auto"/>
      </w:divBdr>
    </w:div>
    <w:div w:id="348020788">
      <w:bodyDiv w:val="1"/>
      <w:marLeft w:val="0"/>
      <w:marRight w:val="0"/>
      <w:marTop w:val="0"/>
      <w:marBottom w:val="0"/>
      <w:divBdr>
        <w:top w:val="none" w:sz="0" w:space="0" w:color="auto"/>
        <w:left w:val="none" w:sz="0" w:space="0" w:color="auto"/>
        <w:bottom w:val="none" w:sz="0" w:space="0" w:color="auto"/>
        <w:right w:val="none" w:sz="0" w:space="0" w:color="auto"/>
      </w:divBdr>
    </w:div>
    <w:div w:id="348071124">
      <w:bodyDiv w:val="1"/>
      <w:marLeft w:val="0"/>
      <w:marRight w:val="0"/>
      <w:marTop w:val="0"/>
      <w:marBottom w:val="0"/>
      <w:divBdr>
        <w:top w:val="none" w:sz="0" w:space="0" w:color="auto"/>
        <w:left w:val="none" w:sz="0" w:space="0" w:color="auto"/>
        <w:bottom w:val="none" w:sz="0" w:space="0" w:color="auto"/>
        <w:right w:val="none" w:sz="0" w:space="0" w:color="auto"/>
      </w:divBdr>
    </w:div>
    <w:div w:id="348142194">
      <w:bodyDiv w:val="1"/>
      <w:marLeft w:val="0"/>
      <w:marRight w:val="0"/>
      <w:marTop w:val="0"/>
      <w:marBottom w:val="0"/>
      <w:divBdr>
        <w:top w:val="none" w:sz="0" w:space="0" w:color="auto"/>
        <w:left w:val="none" w:sz="0" w:space="0" w:color="auto"/>
        <w:bottom w:val="none" w:sz="0" w:space="0" w:color="auto"/>
        <w:right w:val="none" w:sz="0" w:space="0" w:color="auto"/>
      </w:divBdr>
    </w:div>
    <w:div w:id="348144719">
      <w:bodyDiv w:val="1"/>
      <w:marLeft w:val="0"/>
      <w:marRight w:val="0"/>
      <w:marTop w:val="0"/>
      <w:marBottom w:val="0"/>
      <w:divBdr>
        <w:top w:val="none" w:sz="0" w:space="0" w:color="auto"/>
        <w:left w:val="none" w:sz="0" w:space="0" w:color="auto"/>
        <w:bottom w:val="none" w:sz="0" w:space="0" w:color="auto"/>
        <w:right w:val="none" w:sz="0" w:space="0" w:color="auto"/>
      </w:divBdr>
    </w:div>
    <w:div w:id="348290037">
      <w:bodyDiv w:val="1"/>
      <w:marLeft w:val="0"/>
      <w:marRight w:val="0"/>
      <w:marTop w:val="0"/>
      <w:marBottom w:val="0"/>
      <w:divBdr>
        <w:top w:val="none" w:sz="0" w:space="0" w:color="auto"/>
        <w:left w:val="none" w:sz="0" w:space="0" w:color="auto"/>
        <w:bottom w:val="none" w:sz="0" w:space="0" w:color="auto"/>
        <w:right w:val="none" w:sz="0" w:space="0" w:color="auto"/>
      </w:divBdr>
    </w:div>
    <w:div w:id="348333832">
      <w:bodyDiv w:val="1"/>
      <w:marLeft w:val="0"/>
      <w:marRight w:val="0"/>
      <w:marTop w:val="0"/>
      <w:marBottom w:val="0"/>
      <w:divBdr>
        <w:top w:val="none" w:sz="0" w:space="0" w:color="auto"/>
        <w:left w:val="none" w:sz="0" w:space="0" w:color="auto"/>
        <w:bottom w:val="none" w:sz="0" w:space="0" w:color="auto"/>
        <w:right w:val="none" w:sz="0" w:space="0" w:color="auto"/>
      </w:divBdr>
    </w:div>
    <w:div w:id="348412497">
      <w:bodyDiv w:val="1"/>
      <w:marLeft w:val="0"/>
      <w:marRight w:val="0"/>
      <w:marTop w:val="0"/>
      <w:marBottom w:val="0"/>
      <w:divBdr>
        <w:top w:val="none" w:sz="0" w:space="0" w:color="auto"/>
        <w:left w:val="none" w:sz="0" w:space="0" w:color="auto"/>
        <w:bottom w:val="none" w:sz="0" w:space="0" w:color="auto"/>
        <w:right w:val="none" w:sz="0" w:space="0" w:color="auto"/>
      </w:divBdr>
    </w:div>
    <w:div w:id="348455797">
      <w:bodyDiv w:val="1"/>
      <w:marLeft w:val="0"/>
      <w:marRight w:val="0"/>
      <w:marTop w:val="0"/>
      <w:marBottom w:val="0"/>
      <w:divBdr>
        <w:top w:val="none" w:sz="0" w:space="0" w:color="auto"/>
        <w:left w:val="none" w:sz="0" w:space="0" w:color="auto"/>
        <w:bottom w:val="none" w:sz="0" w:space="0" w:color="auto"/>
        <w:right w:val="none" w:sz="0" w:space="0" w:color="auto"/>
      </w:divBdr>
    </w:div>
    <w:div w:id="348525208">
      <w:bodyDiv w:val="1"/>
      <w:marLeft w:val="0"/>
      <w:marRight w:val="0"/>
      <w:marTop w:val="0"/>
      <w:marBottom w:val="0"/>
      <w:divBdr>
        <w:top w:val="none" w:sz="0" w:space="0" w:color="auto"/>
        <w:left w:val="none" w:sz="0" w:space="0" w:color="auto"/>
        <w:bottom w:val="none" w:sz="0" w:space="0" w:color="auto"/>
        <w:right w:val="none" w:sz="0" w:space="0" w:color="auto"/>
      </w:divBdr>
    </w:div>
    <w:div w:id="348526657">
      <w:bodyDiv w:val="1"/>
      <w:marLeft w:val="0"/>
      <w:marRight w:val="0"/>
      <w:marTop w:val="0"/>
      <w:marBottom w:val="0"/>
      <w:divBdr>
        <w:top w:val="none" w:sz="0" w:space="0" w:color="auto"/>
        <w:left w:val="none" w:sz="0" w:space="0" w:color="auto"/>
        <w:bottom w:val="none" w:sz="0" w:space="0" w:color="auto"/>
        <w:right w:val="none" w:sz="0" w:space="0" w:color="auto"/>
      </w:divBdr>
    </w:div>
    <w:div w:id="348606014">
      <w:bodyDiv w:val="1"/>
      <w:marLeft w:val="0"/>
      <w:marRight w:val="0"/>
      <w:marTop w:val="0"/>
      <w:marBottom w:val="0"/>
      <w:divBdr>
        <w:top w:val="none" w:sz="0" w:space="0" w:color="auto"/>
        <w:left w:val="none" w:sz="0" w:space="0" w:color="auto"/>
        <w:bottom w:val="none" w:sz="0" w:space="0" w:color="auto"/>
        <w:right w:val="none" w:sz="0" w:space="0" w:color="auto"/>
      </w:divBdr>
    </w:div>
    <w:div w:id="348796216">
      <w:bodyDiv w:val="1"/>
      <w:marLeft w:val="0"/>
      <w:marRight w:val="0"/>
      <w:marTop w:val="0"/>
      <w:marBottom w:val="0"/>
      <w:divBdr>
        <w:top w:val="none" w:sz="0" w:space="0" w:color="auto"/>
        <w:left w:val="none" w:sz="0" w:space="0" w:color="auto"/>
        <w:bottom w:val="none" w:sz="0" w:space="0" w:color="auto"/>
        <w:right w:val="none" w:sz="0" w:space="0" w:color="auto"/>
      </w:divBdr>
    </w:div>
    <w:div w:id="348920518">
      <w:bodyDiv w:val="1"/>
      <w:marLeft w:val="0"/>
      <w:marRight w:val="0"/>
      <w:marTop w:val="0"/>
      <w:marBottom w:val="0"/>
      <w:divBdr>
        <w:top w:val="none" w:sz="0" w:space="0" w:color="auto"/>
        <w:left w:val="none" w:sz="0" w:space="0" w:color="auto"/>
        <w:bottom w:val="none" w:sz="0" w:space="0" w:color="auto"/>
        <w:right w:val="none" w:sz="0" w:space="0" w:color="auto"/>
      </w:divBdr>
    </w:div>
    <w:div w:id="348993943">
      <w:bodyDiv w:val="1"/>
      <w:marLeft w:val="0"/>
      <w:marRight w:val="0"/>
      <w:marTop w:val="0"/>
      <w:marBottom w:val="0"/>
      <w:divBdr>
        <w:top w:val="none" w:sz="0" w:space="0" w:color="auto"/>
        <w:left w:val="none" w:sz="0" w:space="0" w:color="auto"/>
        <w:bottom w:val="none" w:sz="0" w:space="0" w:color="auto"/>
        <w:right w:val="none" w:sz="0" w:space="0" w:color="auto"/>
      </w:divBdr>
    </w:div>
    <w:div w:id="349064322">
      <w:bodyDiv w:val="1"/>
      <w:marLeft w:val="0"/>
      <w:marRight w:val="0"/>
      <w:marTop w:val="0"/>
      <w:marBottom w:val="0"/>
      <w:divBdr>
        <w:top w:val="none" w:sz="0" w:space="0" w:color="auto"/>
        <w:left w:val="none" w:sz="0" w:space="0" w:color="auto"/>
        <w:bottom w:val="none" w:sz="0" w:space="0" w:color="auto"/>
        <w:right w:val="none" w:sz="0" w:space="0" w:color="auto"/>
      </w:divBdr>
    </w:div>
    <w:div w:id="349070418">
      <w:bodyDiv w:val="1"/>
      <w:marLeft w:val="0"/>
      <w:marRight w:val="0"/>
      <w:marTop w:val="0"/>
      <w:marBottom w:val="0"/>
      <w:divBdr>
        <w:top w:val="none" w:sz="0" w:space="0" w:color="auto"/>
        <w:left w:val="none" w:sz="0" w:space="0" w:color="auto"/>
        <w:bottom w:val="none" w:sz="0" w:space="0" w:color="auto"/>
        <w:right w:val="none" w:sz="0" w:space="0" w:color="auto"/>
      </w:divBdr>
    </w:div>
    <w:div w:id="349256124">
      <w:bodyDiv w:val="1"/>
      <w:marLeft w:val="0"/>
      <w:marRight w:val="0"/>
      <w:marTop w:val="0"/>
      <w:marBottom w:val="0"/>
      <w:divBdr>
        <w:top w:val="none" w:sz="0" w:space="0" w:color="auto"/>
        <w:left w:val="none" w:sz="0" w:space="0" w:color="auto"/>
        <w:bottom w:val="none" w:sz="0" w:space="0" w:color="auto"/>
        <w:right w:val="none" w:sz="0" w:space="0" w:color="auto"/>
      </w:divBdr>
    </w:div>
    <w:div w:id="349600007">
      <w:bodyDiv w:val="1"/>
      <w:marLeft w:val="0"/>
      <w:marRight w:val="0"/>
      <w:marTop w:val="0"/>
      <w:marBottom w:val="0"/>
      <w:divBdr>
        <w:top w:val="none" w:sz="0" w:space="0" w:color="auto"/>
        <w:left w:val="none" w:sz="0" w:space="0" w:color="auto"/>
        <w:bottom w:val="none" w:sz="0" w:space="0" w:color="auto"/>
        <w:right w:val="none" w:sz="0" w:space="0" w:color="auto"/>
      </w:divBdr>
    </w:div>
    <w:div w:id="349722139">
      <w:bodyDiv w:val="1"/>
      <w:marLeft w:val="0"/>
      <w:marRight w:val="0"/>
      <w:marTop w:val="0"/>
      <w:marBottom w:val="0"/>
      <w:divBdr>
        <w:top w:val="none" w:sz="0" w:space="0" w:color="auto"/>
        <w:left w:val="none" w:sz="0" w:space="0" w:color="auto"/>
        <w:bottom w:val="none" w:sz="0" w:space="0" w:color="auto"/>
        <w:right w:val="none" w:sz="0" w:space="0" w:color="auto"/>
      </w:divBdr>
    </w:div>
    <w:div w:id="349796991">
      <w:bodyDiv w:val="1"/>
      <w:marLeft w:val="0"/>
      <w:marRight w:val="0"/>
      <w:marTop w:val="0"/>
      <w:marBottom w:val="0"/>
      <w:divBdr>
        <w:top w:val="none" w:sz="0" w:space="0" w:color="auto"/>
        <w:left w:val="none" w:sz="0" w:space="0" w:color="auto"/>
        <w:bottom w:val="none" w:sz="0" w:space="0" w:color="auto"/>
        <w:right w:val="none" w:sz="0" w:space="0" w:color="auto"/>
      </w:divBdr>
    </w:div>
    <w:div w:id="349836504">
      <w:bodyDiv w:val="1"/>
      <w:marLeft w:val="0"/>
      <w:marRight w:val="0"/>
      <w:marTop w:val="0"/>
      <w:marBottom w:val="0"/>
      <w:divBdr>
        <w:top w:val="none" w:sz="0" w:space="0" w:color="auto"/>
        <w:left w:val="none" w:sz="0" w:space="0" w:color="auto"/>
        <w:bottom w:val="none" w:sz="0" w:space="0" w:color="auto"/>
        <w:right w:val="none" w:sz="0" w:space="0" w:color="auto"/>
      </w:divBdr>
    </w:div>
    <w:div w:id="349915860">
      <w:bodyDiv w:val="1"/>
      <w:marLeft w:val="0"/>
      <w:marRight w:val="0"/>
      <w:marTop w:val="0"/>
      <w:marBottom w:val="0"/>
      <w:divBdr>
        <w:top w:val="none" w:sz="0" w:space="0" w:color="auto"/>
        <w:left w:val="none" w:sz="0" w:space="0" w:color="auto"/>
        <w:bottom w:val="none" w:sz="0" w:space="0" w:color="auto"/>
        <w:right w:val="none" w:sz="0" w:space="0" w:color="auto"/>
      </w:divBdr>
    </w:div>
    <w:div w:id="349989006">
      <w:bodyDiv w:val="1"/>
      <w:marLeft w:val="0"/>
      <w:marRight w:val="0"/>
      <w:marTop w:val="0"/>
      <w:marBottom w:val="0"/>
      <w:divBdr>
        <w:top w:val="none" w:sz="0" w:space="0" w:color="auto"/>
        <w:left w:val="none" w:sz="0" w:space="0" w:color="auto"/>
        <w:bottom w:val="none" w:sz="0" w:space="0" w:color="auto"/>
        <w:right w:val="none" w:sz="0" w:space="0" w:color="auto"/>
      </w:divBdr>
    </w:div>
    <w:div w:id="350030099">
      <w:bodyDiv w:val="1"/>
      <w:marLeft w:val="0"/>
      <w:marRight w:val="0"/>
      <w:marTop w:val="0"/>
      <w:marBottom w:val="0"/>
      <w:divBdr>
        <w:top w:val="none" w:sz="0" w:space="0" w:color="auto"/>
        <w:left w:val="none" w:sz="0" w:space="0" w:color="auto"/>
        <w:bottom w:val="none" w:sz="0" w:space="0" w:color="auto"/>
        <w:right w:val="none" w:sz="0" w:space="0" w:color="auto"/>
      </w:divBdr>
    </w:div>
    <w:div w:id="350183193">
      <w:bodyDiv w:val="1"/>
      <w:marLeft w:val="0"/>
      <w:marRight w:val="0"/>
      <w:marTop w:val="0"/>
      <w:marBottom w:val="0"/>
      <w:divBdr>
        <w:top w:val="none" w:sz="0" w:space="0" w:color="auto"/>
        <w:left w:val="none" w:sz="0" w:space="0" w:color="auto"/>
        <w:bottom w:val="none" w:sz="0" w:space="0" w:color="auto"/>
        <w:right w:val="none" w:sz="0" w:space="0" w:color="auto"/>
      </w:divBdr>
    </w:div>
    <w:div w:id="350183379">
      <w:bodyDiv w:val="1"/>
      <w:marLeft w:val="0"/>
      <w:marRight w:val="0"/>
      <w:marTop w:val="0"/>
      <w:marBottom w:val="0"/>
      <w:divBdr>
        <w:top w:val="none" w:sz="0" w:space="0" w:color="auto"/>
        <w:left w:val="none" w:sz="0" w:space="0" w:color="auto"/>
        <w:bottom w:val="none" w:sz="0" w:space="0" w:color="auto"/>
        <w:right w:val="none" w:sz="0" w:space="0" w:color="auto"/>
      </w:divBdr>
    </w:div>
    <w:div w:id="350297566">
      <w:bodyDiv w:val="1"/>
      <w:marLeft w:val="0"/>
      <w:marRight w:val="0"/>
      <w:marTop w:val="0"/>
      <w:marBottom w:val="0"/>
      <w:divBdr>
        <w:top w:val="none" w:sz="0" w:space="0" w:color="auto"/>
        <w:left w:val="none" w:sz="0" w:space="0" w:color="auto"/>
        <w:bottom w:val="none" w:sz="0" w:space="0" w:color="auto"/>
        <w:right w:val="none" w:sz="0" w:space="0" w:color="auto"/>
      </w:divBdr>
    </w:div>
    <w:div w:id="350298617">
      <w:bodyDiv w:val="1"/>
      <w:marLeft w:val="0"/>
      <w:marRight w:val="0"/>
      <w:marTop w:val="0"/>
      <w:marBottom w:val="0"/>
      <w:divBdr>
        <w:top w:val="none" w:sz="0" w:space="0" w:color="auto"/>
        <w:left w:val="none" w:sz="0" w:space="0" w:color="auto"/>
        <w:bottom w:val="none" w:sz="0" w:space="0" w:color="auto"/>
        <w:right w:val="none" w:sz="0" w:space="0" w:color="auto"/>
      </w:divBdr>
    </w:div>
    <w:div w:id="350378297">
      <w:bodyDiv w:val="1"/>
      <w:marLeft w:val="0"/>
      <w:marRight w:val="0"/>
      <w:marTop w:val="0"/>
      <w:marBottom w:val="0"/>
      <w:divBdr>
        <w:top w:val="none" w:sz="0" w:space="0" w:color="auto"/>
        <w:left w:val="none" w:sz="0" w:space="0" w:color="auto"/>
        <w:bottom w:val="none" w:sz="0" w:space="0" w:color="auto"/>
        <w:right w:val="none" w:sz="0" w:space="0" w:color="auto"/>
      </w:divBdr>
    </w:div>
    <w:div w:id="350648411">
      <w:bodyDiv w:val="1"/>
      <w:marLeft w:val="0"/>
      <w:marRight w:val="0"/>
      <w:marTop w:val="0"/>
      <w:marBottom w:val="0"/>
      <w:divBdr>
        <w:top w:val="none" w:sz="0" w:space="0" w:color="auto"/>
        <w:left w:val="none" w:sz="0" w:space="0" w:color="auto"/>
        <w:bottom w:val="none" w:sz="0" w:space="0" w:color="auto"/>
        <w:right w:val="none" w:sz="0" w:space="0" w:color="auto"/>
      </w:divBdr>
    </w:div>
    <w:div w:id="350688785">
      <w:bodyDiv w:val="1"/>
      <w:marLeft w:val="0"/>
      <w:marRight w:val="0"/>
      <w:marTop w:val="0"/>
      <w:marBottom w:val="0"/>
      <w:divBdr>
        <w:top w:val="none" w:sz="0" w:space="0" w:color="auto"/>
        <w:left w:val="none" w:sz="0" w:space="0" w:color="auto"/>
        <w:bottom w:val="none" w:sz="0" w:space="0" w:color="auto"/>
        <w:right w:val="none" w:sz="0" w:space="0" w:color="auto"/>
      </w:divBdr>
    </w:div>
    <w:div w:id="350767044">
      <w:bodyDiv w:val="1"/>
      <w:marLeft w:val="0"/>
      <w:marRight w:val="0"/>
      <w:marTop w:val="0"/>
      <w:marBottom w:val="0"/>
      <w:divBdr>
        <w:top w:val="none" w:sz="0" w:space="0" w:color="auto"/>
        <w:left w:val="none" w:sz="0" w:space="0" w:color="auto"/>
        <w:bottom w:val="none" w:sz="0" w:space="0" w:color="auto"/>
        <w:right w:val="none" w:sz="0" w:space="0" w:color="auto"/>
      </w:divBdr>
    </w:div>
    <w:div w:id="350836332">
      <w:bodyDiv w:val="1"/>
      <w:marLeft w:val="0"/>
      <w:marRight w:val="0"/>
      <w:marTop w:val="0"/>
      <w:marBottom w:val="0"/>
      <w:divBdr>
        <w:top w:val="none" w:sz="0" w:space="0" w:color="auto"/>
        <w:left w:val="none" w:sz="0" w:space="0" w:color="auto"/>
        <w:bottom w:val="none" w:sz="0" w:space="0" w:color="auto"/>
        <w:right w:val="none" w:sz="0" w:space="0" w:color="auto"/>
      </w:divBdr>
    </w:div>
    <w:div w:id="350837478">
      <w:bodyDiv w:val="1"/>
      <w:marLeft w:val="0"/>
      <w:marRight w:val="0"/>
      <w:marTop w:val="0"/>
      <w:marBottom w:val="0"/>
      <w:divBdr>
        <w:top w:val="none" w:sz="0" w:space="0" w:color="auto"/>
        <w:left w:val="none" w:sz="0" w:space="0" w:color="auto"/>
        <w:bottom w:val="none" w:sz="0" w:space="0" w:color="auto"/>
        <w:right w:val="none" w:sz="0" w:space="0" w:color="auto"/>
      </w:divBdr>
    </w:div>
    <w:div w:id="350882141">
      <w:bodyDiv w:val="1"/>
      <w:marLeft w:val="0"/>
      <w:marRight w:val="0"/>
      <w:marTop w:val="0"/>
      <w:marBottom w:val="0"/>
      <w:divBdr>
        <w:top w:val="none" w:sz="0" w:space="0" w:color="auto"/>
        <w:left w:val="none" w:sz="0" w:space="0" w:color="auto"/>
        <w:bottom w:val="none" w:sz="0" w:space="0" w:color="auto"/>
        <w:right w:val="none" w:sz="0" w:space="0" w:color="auto"/>
      </w:divBdr>
    </w:div>
    <w:div w:id="350959578">
      <w:bodyDiv w:val="1"/>
      <w:marLeft w:val="0"/>
      <w:marRight w:val="0"/>
      <w:marTop w:val="0"/>
      <w:marBottom w:val="0"/>
      <w:divBdr>
        <w:top w:val="none" w:sz="0" w:space="0" w:color="auto"/>
        <w:left w:val="none" w:sz="0" w:space="0" w:color="auto"/>
        <w:bottom w:val="none" w:sz="0" w:space="0" w:color="auto"/>
        <w:right w:val="none" w:sz="0" w:space="0" w:color="auto"/>
      </w:divBdr>
    </w:div>
    <w:div w:id="351028564">
      <w:bodyDiv w:val="1"/>
      <w:marLeft w:val="0"/>
      <w:marRight w:val="0"/>
      <w:marTop w:val="0"/>
      <w:marBottom w:val="0"/>
      <w:divBdr>
        <w:top w:val="none" w:sz="0" w:space="0" w:color="auto"/>
        <w:left w:val="none" w:sz="0" w:space="0" w:color="auto"/>
        <w:bottom w:val="none" w:sz="0" w:space="0" w:color="auto"/>
        <w:right w:val="none" w:sz="0" w:space="0" w:color="auto"/>
      </w:divBdr>
    </w:div>
    <w:div w:id="351077908">
      <w:bodyDiv w:val="1"/>
      <w:marLeft w:val="0"/>
      <w:marRight w:val="0"/>
      <w:marTop w:val="0"/>
      <w:marBottom w:val="0"/>
      <w:divBdr>
        <w:top w:val="none" w:sz="0" w:space="0" w:color="auto"/>
        <w:left w:val="none" w:sz="0" w:space="0" w:color="auto"/>
        <w:bottom w:val="none" w:sz="0" w:space="0" w:color="auto"/>
        <w:right w:val="none" w:sz="0" w:space="0" w:color="auto"/>
      </w:divBdr>
    </w:div>
    <w:div w:id="351346687">
      <w:bodyDiv w:val="1"/>
      <w:marLeft w:val="0"/>
      <w:marRight w:val="0"/>
      <w:marTop w:val="0"/>
      <w:marBottom w:val="0"/>
      <w:divBdr>
        <w:top w:val="none" w:sz="0" w:space="0" w:color="auto"/>
        <w:left w:val="none" w:sz="0" w:space="0" w:color="auto"/>
        <w:bottom w:val="none" w:sz="0" w:space="0" w:color="auto"/>
        <w:right w:val="none" w:sz="0" w:space="0" w:color="auto"/>
      </w:divBdr>
    </w:div>
    <w:div w:id="351348511">
      <w:bodyDiv w:val="1"/>
      <w:marLeft w:val="0"/>
      <w:marRight w:val="0"/>
      <w:marTop w:val="0"/>
      <w:marBottom w:val="0"/>
      <w:divBdr>
        <w:top w:val="none" w:sz="0" w:space="0" w:color="auto"/>
        <w:left w:val="none" w:sz="0" w:space="0" w:color="auto"/>
        <w:bottom w:val="none" w:sz="0" w:space="0" w:color="auto"/>
        <w:right w:val="none" w:sz="0" w:space="0" w:color="auto"/>
      </w:divBdr>
    </w:div>
    <w:div w:id="351538441">
      <w:bodyDiv w:val="1"/>
      <w:marLeft w:val="0"/>
      <w:marRight w:val="0"/>
      <w:marTop w:val="0"/>
      <w:marBottom w:val="0"/>
      <w:divBdr>
        <w:top w:val="none" w:sz="0" w:space="0" w:color="auto"/>
        <w:left w:val="none" w:sz="0" w:space="0" w:color="auto"/>
        <w:bottom w:val="none" w:sz="0" w:space="0" w:color="auto"/>
        <w:right w:val="none" w:sz="0" w:space="0" w:color="auto"/>
      </w:divBdr>
    </w:div>
    <w:div w:id="351802434">
      <w:bodyDiv w:val="1"/>
      <w:marLeft w:val="0"/>
      <w:marRight w:val="0"/>
      <w:marTop w:val="0"/>
      <w:marBottom w:val="0"/>
      <w:divBdr>
        <w:top w:val="none" w:sz="0" w:space="0" w:color="auto"/>
        <w:left w:val="none" w:sz="0" w:space="0" w:color="auto"/>
        <w:bottom w:val="none" w:sz="0" w:space="0" w:color="auto"/>
        <w:right w:val="none" w:sz="0" w:space="0" w:color="auto"/>
      </w:divBdr>
    </w:div>
    <w:div w:id="351808548">
      <w:bodyDiv w:val="1"/>
      <w:marLeft w:val="0"/>
      <w:marRight w:val="0"/>
      <w:marTop w:val="0"/>
      <w:marBottom w:val="0"/>
      <w:divBdr>
        <w:top w:val="none" w:sz="0" w:space="0" w:color="auto"/>
        <w:left w:val="none" w:sz="0" w:space="0" w:color="auto"/>
        <w:bottom w:val="none" w:sz="0" w:space="0" w:color="auto"/>
        <w:right w:val="none" w:sz="0" w:space="0" w:color="auto"/>
      </w:divBdr>
    </w:div>
    <w:div w:id="351995384">
      <w:bodyDiv w:val="1"/>
      <w:marLeft w:val="0"/>
      <w:marRight w:val="0"/>
      <w:marTop w:val="0"/>
      <w:marBottom w:val="0"/>
      <w:divBdr>
        <w:top w:val="none" w:sz="0" w:space="0" w:color="auto"/>
        <w:left w:val="none" w:sz="0" w:space="0" w:color="auto"/>
        <w:bottom w:val="none" w:sz="0" w:space="0" w:color="auto"/>
        <w:right w:val="none" w:sz="0" w:space="0" w:color="auto"/>
      </w:divBdr>
    </w:div>
    <w:div w:id="352145290">
      <w:bodyDiv w:val="1"/>
      <w:marLeft w:val="0"/>
      <w:marRight w:val="0"/>
      <w:marTop w:val="0"/>
      <w:marBottom w:val="0"/>
      <w:divBdr>
        <w:top w:val="none" w:sz="0" w:space="0" w:color="auto"/>
        <w:left w:val="none" w:sz="0" w:space="0" w:color="auto"/>
        <w:bottom w:val="none" w:sz="0" w:space="0" w:color="auto"/>
        <w:right w:val="none" w:sz="0" w:space="0" w:color="auto"/>
      </w:divBdr>
    </w:div>
    <w:div w:id="352263494">
      <w:bodyDiv w:val="1"/>
      <w:marLeft w:val="0"/>
      <w:marRight w:val="0"/>
      <w:marTop w:val="0"/>
      <w:marBottom w:val="0"/>
      <w:divBdr>
        <w:top w:val="none" w:sz="0" w:space="0" w:color="auto"/>
        <w:left w:val="none" w:sz="0" w:space="0" w:color="auto"/>
        <w:bottom w:val="none" w:sz="0" w:space="0" w:color="auto"/>
        <w:right w:val="none" w:sz="0" w:space="0" w:color="auto"/>
      </w:divBdr>
    </w:div>
    <w:div w:id="352416982">
      <w:bodyDiv w:val="1"/>
      <w:marLeft w:val="0"/>
      <w:marRight w:val="0"/>
      <w:marTop w:val="0"/>
      <w:marBottom w:val="0"/>
      <w:divBdr>
        <w:top w:val="none" w:sz="0" w:space="0" w:color="auto"/>
        <w:left w:val="none" w:sz="0" w:space="0" w:color="auto"/>
        <w:bottom w:val="none" w:sz="0" w:space="0" w:color="auto"/>
        <w:right w:val="none" w:sz="0" w:space="0" w:color="auto"/>
      </w:divBdr>
    </w:div>
    <w:div w:id="352417204">
      <w:bodyDiv w:val="1"/>
      <w:marLeft w:val="0"/>
      <w:marRight w:val="0"/>
      <w:marTop w:val="0"/>
      <w:marBottom w:val="0"/>
      <w:divBdr>
        <w:top w:val="none" w:sz="0" w:space="0" w:color="auto"/>
        <w:left w:val="none" w:sz="0" w:space="0" w:color="auto"/>
        <w:bottom w:val="none" w:sz="0" w:space="0" w:color="auto"/>
        <w:right w:val="none" w:sz="0" w:space="0" w:color="auto"/>
      </w:divBdr>
    </w:div>
    <w:div w:id="352532496">
      <w:bodyDiv w:val="1"/>
      <w:marLeft w:val="0"/>
      <w:marRight w:val="0"/>
      <w:marTop w:val="0"/>
      <w:marBottom w:val="0"/>
      <w:divBdr>
        <w:top w:val="none" w:sz="0" w:space="0" w:color="auto"/>
        <w:left w:val="none" w:sz="0" w:space="0" w:color="auto"/>
        <w:bottom w:val="none" w:sz="0" w:space="0" w:color="auto"/>
        <w:right w:val="none" w:sz="0" w:space="0" w:color="auto"/>
      </w:divBdr>
    </w:div>
    <w:div w:id="352538457">
      <w:bodyDiv w:val="1"/>
      <w:marLeft w:val="0"/>
      <w:marRight w:val="0"/>
      <w:marTop w:val="0"/>
      <w:marBottom w:val="0"/>
      <w:divBdr>
        <w:top w:val="none" w:sz="0" w:space="0" w:color="auto"/>
        <w:left w:val="none" w:sz="0" w:space="0" w:color="auto"/>
        <w:bottom w:val="none" w:sz="0" w:space="0" w:color="auto"/>
        <w:right w:val="none" w:sz="0" w:space="0" w:color="auto"/>
      </w:divBdr>
    </w:div>
    <w:div w:id="352609021">
      <w:bodyDiv w:val="1"/>
      <w:marLeft w:val="0"/>
      <w:marRight w:val="0"/>
      <w:marTop w:val="0"/>
      <w:marBottom w:val="0"/>
      <w:divBdr>
        <w:top w:val="none" w:sz="0" w:space="0" w:color="auto"/>
        <w:left w:val="none" w:sz="0" w:space="0" w:color="auto"/>
        <w:bottom w:val="none" w:sz="0" w:space="0" w:color="auto"/>
        <w:right w:val="none" w:sz="0" w:space="0" w:color="auto"/>
      </w:divBdr>
    </w:div>
    <w:div w:id="352612899">
      <w:bodyDiv w:val="1"/>
      <w:marLeft w:val="0"/>
      <w:marRight w:val="0"/>
      <w:marTop w:val="0"/>
      <w:marBottom w:val="0"/>
      <w:divBdr>
        <w:top w:val="none" w:sz="0" w:space="0" w:color="auto"/>
        <w:left w:val="none" w:sz="0" w:space="0" w:color="auto"/>
        <w:bottom w:val="none" w:sz="0" w:space="0" w:color="auto"/>
        <w:right w:val="none" w:sz="0" w:space="0" w:color="auto"/>
      </w:divBdr>
    </w:div>
    <w:div w:id="352802071">
      <w:bodyDiv w:val="1"/>
      <w:marLeft w:val="0"/>
      <w:marRight w:val="0"/>
      <w:marTop w:val="0"/>
      <w:marBottom w:val="0"/>
      <w:divBdr>
        <w:top w:val="none" w:sz="0" w:space="0" w:color="auto"/>
        <w:left w:val="none" w:sz="0" w:space="0" w:color="auto"/>
        <w:bottom w:val="none" w:sz="0" w:space="0" w:color="auto"/>
        <w:right w:val="none" w:sz="0" w:space="0" w:color="auto"/>
      </w:divBdr>
    </w:div>
    <w:div w:id="352808284">
      <w:bodyDiv w:val="1"/>
      <w:marLeft w:val="0"/>
      <w:marRight w:val="0"/>
      <w:marTop w:val="0"/>
      <w:marBottom w:val="0"/>
      <w:divBdr>
        <w:top w:val="none" w:sz="0" w:space="0" w:color="auto"/>
        <w:left w:val="none" w:sz="0" w:space="0" w:color="auto"/>
        <w:bottom w:val="none" w:sz="0" w:space="0" w:color="auto"/>
        <w:right w:val="none" w:sz="0" w:space="0" w:color="auto"/>
      </w:divBdr>
    </w:div>
    <w:div w:id="352996207">
      <w:bodyDiv w:val="1"/>
      <w:marLeft w:val="0"/>
      <w:marRight w:val="0"/>
      <w:marTop w:val="0"/>
      <w:marBottom w:val="0"/>
      <w:divBdr>
        <w:top w:val="none" w:sz="0" w:space="0" w:color="auto"/>
        <w:left w:val="none" w:sz="0" w:space="0" w:color="auto"/>
        <w:bottom w:val="none" w:sz="0" w:space="0" w:color="auto"/>
        <w:right w:val="none" w:sz="0" w:space="0" w:color="auto"/>
      </w:divBdr>
    </w:div>
    <w:div w:id="353070595">
      <w:bodyDiv w:val="1"/>
      <w:marLeft w:val="0"/>
      <w:marRight w:val="0"/>
      <w:marTop w:val="0"/>
      <w:marBottom w:val="0"/>
      <w:divBdr>
        <w:top w:val="none" w:sz="0" w:space="0" w:color="auto"/>
        <w:left w:val="none" w:sz="0" w:space="0" w:color="auto"/>
        <w:bottom w:val="none" w:sz="0" w:space="0" w:color="auto"/>
        <w:right w:val="none" w:sz="0" w:space="0" w:color="auto"/>
      </w:divBdr>
    </w:div>
    <w:div w:id="353070767">
      <w:bodyDiv w:val="1"/>
      <w:marLeft w:val="0"/>
      <w:marRight w:val="0"/>
      <w:marTop w:val="0"/>
      <w:marBottom w:val="0"/>
      <w:divBdr>
        <w:top w:val="none" w:sz="0" w:space="0" w:color="auto"/>
        <w:left w:val="none" w:sz="0" w:space="0" w:color="auto"/>
        <w:bottom w:val="none" w:sz="0" w:space="0" w:color="auto"/>
        <w:right w:val="none" w:sz="0" w:space="0" w:color="auto"/>
      </w:divBdr>
    </w:div>
    <w:div w:id="353118959">
      <w:bodyDiv w:val="1"/>
      <w:marLeft w:val="0"/>
      <w:marRight w:val="0"/>
      <w:marTop w:val="0"/>
      <w:marBottom w:val="0"/>
      <w:divBdr>
        <w:top w:val="none" w:sz="0" w:space="0" w:color="auto"/>
        <w:left w:val="none" w:sz="0" w:space="0" w:color="auto"/>
        <w:bottom w:val="none" w:sz="0" w:space="0" w:color="auto"/>
        <w:right w:val="none" w:sz="0" w:space="0" w:color="auto"/>
      </w:divBdr>
    </w:div>
    <w:div w:id="353193334">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53262910">
      <w:bodyDiv w:val="1"/>
      <w:marLeft w:val="0"/>
      <w:marRight w:val="0"/>
      <w:marTop w:val="0"/>
      <w:marBottom w:val="0"/>
      <w:divBdr>
        <w:top w:val="none" w:sz="0" w:space="0" w:color="auto"/>
        <w:left w:val="none" w:sz="0" w:space="0" w:color="auto"/>
        <w:bottom w:val="none" w:sz="0" w:space="0" w:color="auto"/>
        <w:right w:val="none" w:sz="0" w:space="0" w:color="auto"/>
      </w:divBdr>
    </w:div>
    <w:div w:id="353269233">
      <w:bodyDiv w:val="1"/>
      <w:marLeft w:val="0"/>
      <w:marRight w:val="0"/>
      <w:marTop w:val="0"/>
      <w:marBottom w:val="0"/>
      <w:divBdr>
        <w:top w:val="none" w:sz="0" w:space="0" w:color="auto"/>
        <w:left w:val="none" w:sz="0" w:space="0" w:color="auto"/>
        <w:bottom w:val="none" w:sz="0" w:space="0" w:color="auto"/>
        <w:right w:val="none" w:sz="0" w:space="0" w:color="auto"/>
      </w:divBdr>
    </w:div>
    <w:div w:id="353386937">
      <w:bodyDiv w:val="1"/>
      <w:marLeft w:val="0"/>
      <w:marRight w:val="0"/>
      <w:marTop w:val="0"/>
      <w:marBottom w:val="0"/>
      <w:divBdr>
        <w:top w:val="none" w:sz="0" w:space="0" w:color="auto"/>
        <w:left w:val="none" w:sz="0" w:space="0" w:color="auto"/>
        <w:bottom w:val="none" w:sz="0" w:space="0" w:color="auto"/>
        <w:right w:val="none" w:sz="0" w:space="0" w:color="auto"/>
      </w:divBdr>
    </w:div>
    <w:div w:id="353700073">
      <w:bodyDiv w:val="1"/>
      <w:marLeft w:val="0"/>
      <w:marRight w:val="0"/>
      <w:marTop w:val="0"/>
      <w:marBottom w:val="0"/>
      <w:divBdr>
        <w:top w:val="none" w:sz="0" w:space="0" w:color="auto"/>
        <w:left w:val="none" w:sz="0" w:space="0" w:color="auto"/>
        <w:bottom w:val="none" w:sz="0" w:space="0" w:color="auto"/>
        <w:right w:val="none" w:sz="0" w:space="0" w:color="auto"/>
      </w:divBdr>
    </w:div>
    <w:div w:id="353728938">
      <w:bodyDiv w:val="1"/>
      <w:marLeft w:val="0"/>
      <w:marRight w:val="0"/>
      <w:marTop w:val="0"/>
      <w:marBottom w:val="0"/>
      <w:divBdr>
        <w:top w:val="none" w:sz="0" w:space="0" w:color="auto"/>
        <w:left w:val="none" w:sz="0" w:space="0" w:color="auto"/>
        <w:bottom w:val="none" w:sz="0" w:space="0" w:color="auto"/>
        <w:right w:val="none" w:sz="0" w:space="0" w:color="auto"/>
      </w:divBdr>
    </w:div>
    <w:div w:id="353767751">
      <w:bodyDiv w:val="1"/>
      <w:marLeft w:val="0"/>
      <w:marRight w:val="0"/>
      <w:marTop w:val="0"/>
      <w:marBottom w:val="0"/>
      <w:divBdr>
        <w:top w:val="none" w:sz="0" w:space="0" w:color="auto"/>
        <w:left w:val="none" w:sz="0" w:space="0" w:color="auto"/>
        <w:bottom w:val="none" w:sz="0" w:space="0" w:color="auto"/>
        <w:right w:val="none" w:sz="0" w:space="0" w:color="auto"/>
      </w:divBdr>
    </w:div>
    <w:div w:id="353962688">
      <w:bodyDiv w:val="1"/>
      <w:marLeft w:val="0"/>
      <w:marRight w:val="0"/>
      <w:marTop w:val="0"/>
      <w:marBottom w:val="0"/>
      <w:divBdr>
        <w:top w:val="none" w:sz="0" w:space="0" w:color="auto"/>
        <w:left w:val="none" w:sz="0" w:space="0" w:color="auto"/>
        <w:bottom w:val="none" w:sz="0" w:space="0" w:color="auto"/>
        <w:right w:val="none" w:sz="0" w:space="0" w:color="auto"/>
      </w:divBdr>
    </w:div>
    <w:div w:id="354036164">
      <w:bodyDiv w:val="1"/>
      <w:marLeft w:val="0"/>
      <w:marRight w:val="0"/>
      <w:marTop w:val="0"/>
      <w:marBottom w:val="0"/>
      <w:divBdr>
        <w:top w:val="none" w:sz="0" w:space="0" w:color="auto"/>
        <w:left w:val="none" w:sz="0" w:space="0" w:color="auto"/>
        <w:bottom w:val="none" w:sz="0" w:space="0" w:color="auto"/>
        <w:right w:val="none" w:sz="0" w:space="0" w:color="auto"/>
      </w:divBdr>
    </w:div>
    <w:div w:id="354038840">
      <w:bodyDiv w:val="1"/>
      <w:marLeft w:val="0"/>
      <w:marRight w:val="0"/>
      <w:marTop w:val="0"/>
      <w:marBottom w:val="0"/>
      <w:divBdr>
        <w:top w:val="none" w:sz="0" w:space="0" w:color="auto"/>
        <w:left w:val="none" w:sz="0" w:space="0" w:color="auto"/>
        <w:bottom w:val="none" w:sz="0" w:space="0" w:color="auto"/>
        <w:right w:val="none" w:sz="0" w:space="0" w:color="auto"/>
      </w:divBdr>
    </w:div>
    <w:div w:id="354159848">
      <w:bodyDiv w:val="1"/>
      <w:marLeft w:val="0"/>
      <w:marRight w:val="0"/>
      <w:marTop w:val="0"/>
      <w:marBottom w:val="0"/>
      <w:divBdr>
        <w:top w:val="none" w:sz="0" w:space="0" w:color="auto"/>
        <w:left w:val="none" w:sz="0" w:space="0" w:color="auto"/>
        <w:bottom w:val="none" w:sz="0" w:space="0" w:color="auto"/>
        <w:right w:val="none" w:sz="0" w:space="0" w:color="auto"/>
      </w:divBdr>
    </w:div>
    <w:div w:id="354229301">
      <w:bodyDiv w:val="1"/>
      <w:marLeft w:val="0"/>
      <w:marRight w:val="0"/>
      <w:marTop w:val="0"/>
      <w:marBottom w:val="0"/>
      <w:divBdr>
        <w:top w:val="none" w:sz="0" w:space="0" w:color="auto"/>
        <w:left w:val="none" w:sz="0" w:space="0" w:color="auto"/>
        <w:bottom w:val="none" w:sz="0" w:space="0" w:color="auto"/>
        <w:right w:val="none" w:sz="0" w:space="0" w:color="auto"/>
      </w:divBdr>
    </w:div>
    <w:div w:id="354310568">
      <w:bodyDiv w:val="1"/>
      <w:marLeft w:val="0"/>
      <w:marRight w:val="0"/>
      <w:marTop w:val="0"/>
      <w:marBottom w:val="0"/>
      <w:divBdr>
        <w:top w:val="none" w:sz="0" w:space="0" w:color="auto"/>
        <w:left w:val="none" w:sz="0" w:space="0" w:color="auto"/>
        <w:bottom w:val="none" w:sz="0" w:space="0" w:color="auto"/>
        <w:right w:val="none" w:sz="0" w:space="0" w:color="auto"/>
      </w:divBdr>
    </w:div>
    <w:div w:id="354426830">
      <w:bodyDiv w:val="1"/>
      <w:marLeft w:val="0"/>
      <w:marRight w:val="0"/>
      <w:marTop w:val="0"/>
      <w:marBottom w:val="0"/>
      <w:divBdr>
        <w:top w:val="none" w:sz="0" w:space="0" w:color="auto"/>
        <w:left w:val="none" w:sz="0" w:space="0" w:color="auto"/>
        <w:bottom w:val="none" w:sz="0" w:space="0" w:color="auto"/>
        <w:right w:val="none" w:sz="0" w:space="0" w:color="auto"/>
      </w:divBdr>
    </w:div>
    <w:div w:id="354430296">
      <w:bodyDiv w:val="1"/>
      <w:marLeft w:val="0"/>
      <w:marRight w:val="0"/>
      <w:marTop w:val="0"/>
      <w:marBottom w:val="0"/>
      <w:divBdr>
        <w:top w:val="none" w:sz="0" w:space="0" w:color="auto"/>
        <w:left w:val="none" w:sz="0" w:space="0" w:color="auto"/>
        <w:bottom w:val="none" w:sz="0" w:space="0" w:color="auto"/>
        <w:right w:val="none" w:sz="0" w:space="0" w:color="auto"/>
      </w:divBdr>
    </w:div>
    <w:div w:id="354499485">
      <w:bodyDiv w:val="1"/>
      <w:marLeft w:val="0"/>
      <w:marRight w:val="0"/>
      <w:marTop w:val="0"/>
      <w:marBottom w:val="0"/>
      <w:divBdr>
        <w:top w:val="none" w:sz="0" w:space="0" w:color="auto"/>
        <w:left w:val="none" w:sz="0" w:space="0" w:color="auto"/>
        <w:bottom w:val="none" w:sz="0" w:space="0" w:color="auto"/>
        <w:right w:val="none" w:sz="0" w:space="0" w:color="auto"/>
      </w:divBdr>
    </w:div>
    <w:div w:id="354574560">
      <w:bodyDiv w:val="1"/>
      <w:marLeft w:val="0"/>
      <w:marRight w:val="0"/>
      <w:marTop w:val="0"/>
      <w:marBottom w:val="0"/>
      <w:divBdr>
        <w:top w:val="none" w:sz="0" w:space="0" w:color="auto"/>
        <w:left w:val="none" w:sz="0" w:space="0" w:color="auto"/>
        <w:bottom w:val="none" w:sz="0" w:space="0" w:color="auto"/>
        <w:right w:val="none" w:sz="0" w:space="0" w:color="auto"/>
      </w:divBdr>
    </w:div>
    <w:div w:id="354617007">
      <w:bodyDiv w:val="1"/>
      <w:marLeft w:val="0"/>
      <w:marRight w:val="0"/>
      <w:marTop w:val="0"/>
      <w:marBottom w:val="0"/>
      <w:divBdr>
        <w:top w:val="none" w:sz="0" w:space="0" w:color="auto"/>
        <w:left w:val="none" w:sz="0" w:space="0" w:color="auto"/>
        <w:bottom w:val="none" w:sz="0" w:space="0" w:color="auto"/>
        <w:right w:val="none" w:sz="0" w:space="0" w:color="auto"/>
      </w:divBdr>
    </w:div>
    <w:div w:id="354693565">
      <w:bodyDiv w:val="1"/>
      <w:marLeft w:val="0"/>
      <w:marRight w:val="0"/>
      <w:marTop w:val="0"/>
      <w:marBottom w:val="0"/>
      <w:divBdr>
        <w:top w:val="none" w:sz="0" w:space="0" w:color="auto"/>
        <w:left w:val="none" w:sz="0" w:space="0" w:color="auto"/>
        <w:bottom w:val="none" w:sz="0" w:space="0" w:color="auto"/>
        <w:right w:val="none" w:sz="0" w:space="0" w:color="auto"/>
      </w:divBdr>
    </w:div>
    <w:div w:id="354695719">
      <w:bodyDiv w:val="1"/>
      <w:marLeft w:val="0"/>
      <w:marRight w:val="0"/>
      <w:marTop w:val="0"/>
      <w:marBottom w:val="0"/>
      <w:divBdr>
        <w:top w:val="none" w:sz="0" w:space="0" w:color="auto"/>
        <w:left w:val="none" w:sz="0" w:space="0" w:color="auto"/>
        <w:bottom w:val="none" w:sz="0" w:space="0" w:color="auto"/>
        <w:right w:val="none" w:sz="0" w:space="0" w:color="auto"/>
      </w:divBdr>
    </w:div>
    <w:div w:id="354774028">
      <w:bodyDiv w:val="1"/>
      <w:marLeft w:val="0"/>
      <w:marRight w:val="0"/>
      <w:marTop w:val="0"/>
      <w:marBottom w:val="0"/>
      <w:divBdr>
        <w:top w:val="none" w:sz="0" w:space="0" w:color="auto"/>
        <w:left w:val="none" w:sz="0" w:space="0" w:color="auto"/>
        <w:bottom w:val="none" w:sz="0" w:space="0" w:color="auto"/>
        <w:right w:val="none" w:sz="0" w:space="0" w:color="auto"/>
      </w:divBdr>
    </w:div>
    <w:div w:id="354815038">
      <w:bodyDiv w:val="1"/>
      <w:marLeft w:val="0"/>
      <w:marRight w:val="0"/>
      <w:marTop w:val="0"/>
      <w:marBottom w:val="0"/>
      <w:divBdr>
        <w:top w:val="none" w:sz="0" w:space="0" w:color="auto"/>
        <w:left w:val="none" w:sz="0" w:space="0" w:color="auto"/>
        <w:bottom w:val="none" w:sz="0" w:space="0" w:color="auto"/>
        <w:right w:val="none" w:sz="0" w:space="0" w:color="auto"/>
      </w:divBdr>
    </w:div>
    <w:div w:id="354962102">
      <w:bodyDiv w:val="1"/>
      <w:marLeft w:val="0"/>
      <w:marRight w:val="0"/>
      <w:marTop w:val="0"/>
      <w:marBottom w:val="0"/>
      <w:divBdr>
        <w:top w:val="none" w:sz="0" w:space="0" w:color="auto"/>
        <w:left w:val="none" w:sz="0" w:space="0" w:color="auto"/>
        <w:bottom w:val="none" w:sz="0" w:space="0" w:color="auto"/>
        <w:right w:val="none" w:sz="0" w:space="0" w:color="auto"/>
      </w:divBdr>
    </w:div>
    <w:div w:id="354965311">
      <w:bodyDiv w:val="1"/>
      <w:marLeft w:val="0"/>
      <w:marRight w:val="0"/>
      <w:marTop w:val="0"/>
      <w:marBottom w:val="0"/>
      <w:divBdr>
        <w:top w:val="none" w:sz="0" w:space="0" w:color="auto"/>
        <w:left w:val="none" w:sz="0" w:space="0" w:color="auto"/>
        <w:bottom w:val="none" w:sz="0" w:space="0" w:color="auto"/>
        <w:right w:val="none" w:sz="0" w:space="0" w:color="auto"/>
      </w:divBdr>
    </w:div>
    <w:div w:id="354968967">
      <w:bodyDiv w:val="1"/>
      <w:marLeft w:val="0"/>
      <w:marRight w:val="0"/>
      <w:marTop w:val="0"/>
      <w:marBottom w:val="0"/>
      <w:divBdr>
        <w:top w:val="none" w:sz="0" w:space="0" w:color="auto"/>
        <w:left w:val="none" w:sz="0" w:space="0" w:color="auto"/>
        <w:bottom w:val="none" w:sz="0" w:space="0" w:color="auto"/>
        <w:right w:val="none" w:sz="0" w:space="0" w:color="auto"/>
      </w:divBdr>
    </w:div>
    <w:div w:id="355084236">
      <w:bodyDiv w:val="1"/>
      <w:marLeft w:val="0"/>
      <w:marRight w:val="0"/>
      <w:marTop w:val="0"/>
      <w:marBottom w:val="0"/>
      <w:divBdr>
        <w:top w:val="none" w:sz="0" w:space="0" w:color="auto"/>
        <w:left w:val="none" w:sz="0" w:space="0" w:color="auto"/>
        <w:bottom w:val="none" w:sz="0" w:space="0" w:color="auto"/>
        <w:right w:val="none" w:sz="0" w:space="0" w:color="auto"/>
      </w:divBdr>
    </w:div>
    <w:div w:id="355161201">
      <w:bodyDiv w:val="1"/>
      <w:marLeft w:val="0"/>
      <w:marRight w:val="0"/>
      <w:marTop w:val="0"/>
      <w:marBottom w:val="0"/>
      <w:divBdr>
        <w:top w:val="none" w:sz="0" w:space="0" w:color="auto"/>
        <w:left w:val="none" w:sz="0" w:space="0" w:color="auto"/>
        <w:bottom w:val="none" w:sz="0" w:space="0" w:color="auto"/>
        <w:right w:val="none" w:sz="0" w:space="0" w:color="auto"/>
      </w:divBdr>
    </w:div>
    <w:div w:id="355235656">
      <w:bodyDiv w:val="1"/>
      <w:marLeft w:val="0"/>
      <w:marRight w:val="0"/>
      <w:marTop w:val="0"/>
      <w:marBottom w:val="0"/>
      <w:divBdr>
        <w:top w:val="none" w:sz="0" w:space="0" w:color="auto"/>
        <w:left w:val="none" w:sz="0" w:space="0" w:color="auto"/>
        <w:bottom w:val="none" w:sz="0" w:space="0" w:color="auto"/>
        <w:right w:val="none" w:sz="0" w:space="0" w:color="auto"/>
      </w:divBdr>
    </w:div>
    <w:div w:id="355236064">
      <w:bodyDiv w:val="1"/>
      <w:marLeft w:val="0"/>
      <w:marRight w:val="0"/>
      <w:marTop w:val="0"/>
      <w:marBottom w:val="0"/>
      <w:divBdr>
        <w:top w:val="none" w:sz="0" w:space="0" w:color="auto"/>
        <w:left w:val="none" w:sz="0" w:space="0" w:color="auto"/>
        <w:bottom w:val="none" w:sz="0" w:space="0" w:color="auto"/>
        <w:right w:val="none" w:sz="0" w:space="0" w:color="auto"/>
      </w:divBdr>
    </w:div>
    <w:div w:id="355274176">
      <w:bodyDiv w:val="1"/>
      <w:marLeft w:val="0"/>
      <w:marRight w:val="0"/>
      <w:marTop w:val="0"/>
      <w:marBottom w:val="0"/>
      <w:divBdr>
        <w:top w:val="none" w:sz="0" w:space="0" w:color="auto"/>
        <w:left w:val="none" w:sz="0" w:space="0" w:color="auto"/>
        <w:bottom w:val="none" w:sz="0" w:space="0" w:color="auto"/>
        <w:right w:val="none" w:sz="0" w:space="0" w:color="auto"/>
      </w:divBdr>
    </w:div>
    <w:div w:id="355275999">
      <w:bodyDiv w:val="1"/>
      <w:marLeft w:val="0"/>
      <w:marRight w:val="0"/>
      <w:marTop w:val="0"/>
      <w:marBottom w:val="0"/>
      <w:divBdr>
        <w:top w:val="none" w:sz="0" w:space="0" w:color="auto"/>
        <w:left w:val="none" w:sz="0" w:space="0" w:color="auto"/>
        <w:bottom w:val="none" w:sz="0" w:space="0" w:color="auto"/>
        <w:right w:val="none" w:sz="0" w:space="0" w:color="auto"/>
      </w:divBdr>
    </w:div>
    <w:div w:id="355424849">
      <w:bodyDiv w:val="1"/>
      <w:marLeft w:val="0"/>
      <w:marRight w:val="0"/>
      <w:marTop w:val="0"/>
      <w:marBottom w:val="0"/>
      <w:divBdr>
        <w:top w:val="none" w:sz="0" w:space="0" w:color="auto"/>
        <w:left w:val="none" w:sz="0" w:space="0" w:color="auto"/>
        <w:bottom w:val="none" w:sz="0" w:space="0" w:color="auto"/>
        <w:right w:val="none" w:sz="0" w:space="0" w:color="auto"/>
      </w:divBdr>
    </w:div>
    <w:div w:id="355427970">
      <w:bodyDiv w:val="1"/>
      <w:marLeft w:val="0"/>
      <w:marRight w:val="0"/>
      <w:marTop w:val="0"/>
      <w:marBottom w:val="0"/>
      <w:divBdr>
        <w:top w:val="none" w:sz="0" w:space="0" w:color="auto"/>
        <w:left w:val="none" w:sz="0" w:space="0" w:color="auto"/>
        <w:bottom w:val="none" w:sz="0" w:space="0" w:color="auto"/>
        <w:right w:val="none" w:sz="0" w:space="0" w:color="auto"/>
      </w:divBdr>
    </w:div>
    <w:div w:id="355471498">
      <w:bodyDiv w:val="1"/>
      <w:marLeft w:val="0"/>
      <w:marRight w:val="0"/>
      <w:marTop w:val="0"/>
      <w:marBottom w:val="0"/>
      <w:divBdr>
        <w:top w:val="none" w:sz="0" w:space="0" w:color="auto"/>
        <w:left w:val="none" w:sz="0" w:space="0" w:color="auto"/>
        <w:bottom w:val="none" w:sz="0" w:space="0" w:color="auto"/>
        <w:right w:val="none" w:sz="0" w:space="0" w:color="auto"/>
      </w:divBdr>
    </w:div>
    <w:div w:id="355549027">
      <w:bodyDiv w:val="1"/>
      <w:marLeft w:val="0"/>
      <w:marRight w:val="0"/>
      <w:marTop w:val="0"/>
      <w:marBottom w:val="0"/>
      <w:divBdr>
        <w:top w:val="none" w:sz="0" w:space="0" w:color="auto"/>
        <w:left w:val="none" w:sz="0" w:space="0" w:color="auto"/>
        <w:bottom w:val="none" w:sz="0" w:space="0" w:color="auto"/>
        <w:right w:val="none" w:sz="0" w:space="0" w:color="auto"/>
      </w:divBdr>
    </w:div>
    <w:div w:id="355741115">
      <w:bodyDiv w:val="1"/>
      <w:marLeft w:val="0"/>
      <w:marRight w:val="0"/>
      <w:marTop w:val="0"/>
      <w:marBottom w:val="0"/>
      <w:divBdr>
        <w:top w:val="none" w:sz="0" w:space="0" w:color="auto"/>
        <w:left w:val="none" w:sz="0" w:space="0" w:color="auto"/>
        <w:bottom w:val="none" w:sz="0" w:space="0" w:color="auto"/>
        <w:right w:val="none" w:sz="0" w:space="0" w:color="auto"/>
      </w:divBdr>
    </w:div>
    <w:div w:id="355808655">
      <w:bodyDiv w:val="1"/>
      <w:marLeft w:val="0"/>
      <w:marRight w:val="0"/>
      <w:marTop w:val="0"/>
      <w:marBottom w:val="0"/>
      <w:divBdr>
        <w:top w:val="none" w:sz="0" w:space="0" w:color="auto"/>
        <w:left w:val="none" w:sz="0" w:space="0" w:color="auto"/>
        <w:bottom w:val="none" w:sz="0" w:space="0" w:color="auto"/>
        <w:right w:val="none" w:sz="0" w:space="0" w:color="auto"/>
      </w:divBdr>
    </w:div>
    <w:div w:id="355888569">
      <w:bodyDiv w:val="1"/>
      <w:marLeft w:val="0"/>
      <w:marRight w:val="0"/>
      <w:marTop w:val="0"/>
      <w:marBottom w:val="0"/>
      <w:divBdr>
        <w:top w:val="none" w:sz="0" w:space="0" w:color="auto"/>
        <w:left w:val="none" w:sz="0" w:space="0" w:color="auto"/>
        <w:bottom w:val="none" w:sz="0" w:space="0" w:color="auto"/>
        <w:right w:val="none" w:sz="0" w:space="0" w:color="auto"/>
      </w:divBdr>
    </w:div>
    <w:div w:id="355891606">
      <w:bodyDiv w:val="1"/>
      <w:marLeft w:val="0"/>
      <w:marRight w:val="0"/>
      <w:marTop w:val="0"/>
      <w:marBottom w:val="0"/>
      <w:divBdr>
        <w:top w:val="none" w:sz="0" w:space="0" w:color="auto"/>
        <w:left w:val="none" w:sz="0" w:space="0" w:color="auto"/>
        <w:bottom w:val="none" w:sz="0" w:space="0" w:color="auto"/>
        <w:right w:val="none" w:sz="0" w:space="0" w:color="auto"/>
      </w:divBdr>
    </w:div>
    <w:div w:id="355926700">
      <w:bodyDiv w:val="1"/>
      <w:marLeft w:val="0"/>
      <w:marRight w:val="0"/>
      <w:marTop w:val="0"/>
      <w:marBottom w:val="0"/>
      <w:divBdr>
        <w:top w:val="none" w:sz="0" w:space="0" w:color="auto"/>
        <w:left w:val="none" w:sz="0" w:space="0" w:color="auto"/>
        <w:bottom w:val="none" w:sz="0" w:space="0" w:color="auto"/>
        <w:right w:val="none" w:sz="0" w:space="0" w:color="auto"/>
      </w:divBdr>
    </w:div>
    <w:div w:id="355928897">
      <w:bodyDiv w:val="1"/>
      <w:marLeft w:val="0"/>
      <w:marRight w:val="0"/>
      <w:marTop w:val="0"/>
      <w:marBottom w:val="0"/>
      <w:divBdr>
        <w:top w:val="none" w:sz="0" w:space="0" w:color="auto"/>
        <w:left w:val="none" w:sz="0" w:space="0" w:color="auto"/>
        <w:bottom w:val="none" w:sz="0" w:space="0" w:color="auto"/>
        <w:right w:val="none" w:sz="0" w:space="0" w:color="auto"/>
      </w:divBdr>
    </w:div>
    <w:div w:id="355932395">
      <w:bodyDiv w:val="1"/>
      <w:marLeft w:val="0"/>
      <w:marRight w:val="0"/>
      <w:marTop w:val="0"/>
      <w:marBottom w:val="0"/>
      <w:divBdr>
        <w:top w:val="none" w:sz="0" w:space="0" w:color="auto"/>
        <w:left w:val="none" w:sz="0" w:space="0" w:color="auto"/>
        <w:bottom w:val="none" w:sz="0" w:space="0" w:color="auto"/>
        <w:right w:val="none" w:sz="0" w:space="0" w:color="auto"/>
      </w:divBdr>
    </w:div>
    <w:div w:id="355935106">
      <w:bodyDiv w:val="1"/>
      <w:marLeft w:val="0"/>
      <w:marRight w:val="0"/>
      <w:marTop w:val="0"/>
      <w:marBottom w:val="0"/>
      <w:divBdr>
        <w:top w:val="none" w:sz="0" w:space="0" w:color="auto"/>
        <w:left w:val="none" w:sz="0" w:space="0" w:color="auto"/>
        <w:bottom w:val="none" w:sz="0" w:space="0" w:color="auto"/>
        <w:right w:val="none" w:sz="0" w:space="0" w:color="auto"/>
      </w:divBdr>
    </w:div>
    <w:div w:id="356079271">
      <w:bodyDiv w:val="1"/>
      <w:marLeft w:val="0"/>
      <w:marRight w:val="0"/>
      <w:marTop w:val="0"/>
      <w:marBottom w:val="0"/>
      <w:divBdr>
        <w:top w:val="none" w:sz="0" w:space="0" w:color="auto"/>
        <w:left w:val="none" w:sz="0" w:space="0" w:color="auto"/>
        <w:bottom w:val="none" w:sz="0" w:space="0" w:color="auto"/>
        <w:right w:val="none" w:sz="0" w:space="0" w:color="auto"/>
      </w:divBdr>
    </w:div>
    <w:div w:id="356084501">
      <w:bodyDiv w:val="1"/>
      <w:marLeft w:val="0"/>
      <w:marRight w:val="0"/>
      <w:marTop w:val="0"/>
      <w:marBottom w:val="0"/>
      <w:divBdr>
        <w:top w:val="none" w:sz="0" w:space="0" w:color="auto"/>
        <w:left w:val="none" w:sz="0" w:space="0" w:color="auto"/>
        <w:bottom w:val="none" w:sz="0" w:space="0" w:color="auto"/>
        <w:right w:val="none" w:sz="0" w:space="0" w:color="auto"/>
      </w:divBdr>
    </w:div>
    <w:div w:id="356126058">
      <w:bodyDiv w:val="1"/>
      <w:marLeft w:val="0"/>
      <w:marRight w:val="0"/>
      <w:marTop w:val="0"/>
      <w:marBottom w:val="0"/>
      <w:divBdr>
        <w:top w:val="none" w:sz="0" w:space="0" w:color="auto"/>
        <w:left w:val="none" w:sz="0" w:space="0" w:color="auto"/>
        <w:bottom w:val="none" w:sz="0" w:space="0" w:color="auto"/>
        <w:right w:val="none" w:sz="0" w:space="0" w:color="auto"/>
      </w:divBdr>
    </w:div>
    <w:div w:id="356200983">
      <w:bodyDiv w:val="1"/>
      <w:marLeft w:val="0"/>
      <w:marRight w:val="0"/>
      <w:marTop w:val="0"/>
      <w:marBottom w:val="0"/>
      <w:divBdr>
        <w:top w:val="none" w:sz="0" w:space="0" w:color="auto"/>
        <w:left w:val="none" w:sz="0" w:space="0" w:color="auto"/>
        <w:bottom w:val="none" w:sz="0" w:space="0" w:color="auto"/>
        <w:right w:val="none" w:sz="0" w:space="0" w:color="auto"/>
      </w:divBdr>
    </w:div>
    <w:div w:id="356320041">
      <w:bodyDiv w:val="1"/>
      <w:marLeft w:val="0"/>
      <w:marRight w:val="0"/>
      <w:marTop w:val="0"/>
      <w:marBottom w:val="0"/>
      <w:divBdr>
        <w:top w:val="none" w:sz="0" w:space="0" w:color="auto"/>
        <w:left w:val="none" w:sz="0" w:space="0" w:color="auto"/>
        <w:bottom w:val="none" w:sz="0" w:space="0" w:color="auto"/>
        <w:right w:val="none" w:sz="0" w:space="0" w:color="auto"/>
      </w:divBdr>
    </w:div>
    <w:div w:id="356349018">
      <w:bodyDiv w:val="1"/>
      <w:marLeft w:val="0"/>
      <w:marRight w:val="0"/>
      <w:marTop w:val="0"/>
      <w:marBottom w:val="0"/>
      <w:divBdr>
        <w:top w:val="none" w:sz="0" w:space="0" w:color="auto"/>
        <w:left w:val="none" w:sz="0" w:space="0" w:color="auto"/>
        <w:bottom w:val="none" w:sz="0" w:space="0" w:color="auto"/>
        <w:right w:val="none" w:sz="0" w:space="0" w:color="auto"/>
      </w:divBdr>
    </w:div>
    <w:div w:id="356351943">
      <w:bodyDiv w:val="1"/>
      <w:marLeft w:val="0"/>
      <w:marRight w:val="0"/>
      <w:marTop w:val="0"/>
      <w:marBottom w:val="0"/>
      <w:divBdr>
        <w:top w:val="none" w:sz="0" w:space="0" w:color="auto"/>
        <w:left w:val="none" w:sz="0" w:space="0" w:color="auto"/>
        <w:bottom w:val="none" w:sz="0" w:space="0" w:color="auto"/>
        <w:right w:val="none" w:sz="0" w:space="0" w:color="auto"/>
      </w:divBdr>
    </w:div>
    <w:div w:id="356389084">
      <w:bodyDiv w:val="1"/>
      <w:marLeft w:val="0"/>
      <w:marRight w:val="0"/>
      <w:marTop w:val="0"/>
      <w:marBottom w:val="0"/>
      <w:divBdr>
        <w:top w:val="none" w:sz="0" w:space="0" w:color="auto"/>
        <w:left w:val="none" w:sz="0" w:space="0" w:color="auto"/>
        <w:bottom w:val="none" w:sz="0" w:space="0" w:color="auto"/>
        <w:right w:val="none" w:sz="0" w:space="0" w:color="auto"/>
      </w:divBdr>
    </w:div>
    <w:div w:id="356471190">
      <w:bodyDiv w:val="1"/>
      <w:marLeft w:val="0"/>
      <w:marRight w:val="0"/>
      <w:marTop w:val="0"/>
      <w:marBottom w:val="0"/>
      <w:divBdr>
        <w:top w:val="none" w:sz="0" w:space="0" w:color="auto"/>
        <w:left w:val="none" w:sz="0" w:space="0" w:color="auto"/>
        <w:bottom w:val="none" w:sz="0" w:space="0" w:color="auto"/>
        <w:right w:val="none" w:sz="0" w:space="0" w:color="auto"/>
      </w:divBdr>
    </w:div>
    <w:div w:id="356546177">
      <w:bodyDiv w:val="1"/>
      <w:marLeft w:val="0"/>
      <w:marRight w:val="0"/>
      <w:marTop w:val="0"/>
      <w:marBottom w:val="0"/>
      <w:divBdr>
        <w:top w:val="none" w:sz="0" w:space="0" w:color="auto"/>
        <w:left w:val="none" w:sz="0" w:space="0" w:color="auto"/>
        <w:bottom w:val="none" w:sz="0" w:space="0" w:color="auto"/>
        <w:right w:val="none" w:sz="0" w:space="0" w:color="auto"/>
      </w:divBdr>
    </w:div>
    <w:div w:id="356587602">
      <w:bodyDiv w:val="1"/>
      <w:marLeft w:val="0"/>
      <w:marRight w:val="0"/>
      <w:marTop w:val="0"/>
      <w:marBottom w:val="0"/>
      <w:divBdr>
        <w:top w:val="none" w:sz="0" w:space="0" w:color="auto"/>
        <w:left w:val="none" w:sz="0" w:space="0" w:color="auto"/>
        <w:bottom w:val="none" w:sz="0" w:space="0" w:color="auto"/>
        <w:right w:val="none" w:sz="0" w:space="0" w:color="auto"/>
      </w:divBdr>
    </w:div>
    <w:div w:id="356665633">
      <w:bodyDiv w:val="1"/>
      <w:marLeft w:val="0"/>
      <w:marRight w:val="0"/>
      <w:marTop w:val="0"/>
      <w:marBottom w:val="0"/>
      <w:divBdr>
        <w:top w:val="none" w:sz="0" w:space="0" w:color="auto"/>
        <w:left w:val="none" w:sz="0" w:space="0" w:color="auto"/>
        <w:bottom w:val="none" w:sz="0" w:space="0" w:color="auto"/>
        <w:right w:val="none" w:sz="0" w:space="0" w:color="auto"/>
      </w:divBdr>
    </w:div>
    <w:div w:id="356734126">
      <w:bodyDiv w:val="1"/>
      <w:marLeft w:val="0"/>
      <w:marRight w:val="0"/>
      <w:marTop w:val="0"/>
      <w:marBottom w:val="0"/>
      <w:divBdr>
        <w:top w:val="none" w:sz="0" w:space="0" w:color="auto"/>
        <w:left w:val="none" w:sz="0" w:space="0" w:color="auto"/>
        <w:bottom w:val="none" w:sz="0" w:space="0" w:color="auto"/>
        <w:right w:val="none" w:sz="0" w:space="0" w:color="auto"/>
      </w:divBdr>
    </w:div>
    <w:div w:id="356783855">
      <w:bodyDiv w:val="1"/>
      <w:marLeft w:val="0"/>
      <w:marRight w:val="0"/>
      <w:marTop w:val="0"/>
      <w:marBottom w:val="0"/>
      <w:divBdr>
        <w:top w:val="none" w:sz="0" w:space="0" w:color="auto"/>
        <w:left w:val="none" w:sz="0" w:space="0" w:color="auto"/>
        <w:bottom w:val="none" w:sz="0" w:space="0" w:color="auto"/>
        <w:right w:val="none" w:sz="0" w:space="0" w:color="auto"/>
      </w:divBdr>
    </w:div>
    <w:div w:id="357051502">
      <w:bodyDiv w:val="1"/>
      <w:marLeft w:val="0"/>
      <w:marRight w:val="0"/>
      <w:marTop w:val="0"/>
      <w:marBottom w:val="0"/>
      <w:divBdr>
        <w:top w:val="none" w:sz="0" w:space="0" w:color="auto"/>
        <w:left w:val="none" w:sz="0" w:space="0" w:color="auto"/>
        <w:bottom w:val="none" w:sz="0" w:space="0" w:color="auto"/>
        <w:right w:val="none" w:sz="0" w:space="0" w:color="auto"/>
      </w:divBdr>
    </w:div>
    <w:div w:id="357127063">
      <w:bodyDiv w:val="1"/>
      <w:marLeft w:val="0"/>
      <w:marRight w:val="0"/>
      <w:marTop w:val="0"/>
      <w:marBottom w:val="0"/>
      <w:divBdr>
        <w:top w:val="none" w:sz="0" w:space="0" w:color="auto"/>
        <w:left w:val="none" w:sz="0" w:space="0" w:color="auto"/>
        <w:bottom w:val="none" w:sz="0" w:space="0" w:color="auto"/>
        <w:right w:val="none" w:sz="0" w:space="0" w:color="auto"/>
      </w:divBdr>
    </w:div>
    <w:div w:id="357196925">
      <w:bodyDiv w:val="1"/>
      <w:marLeft w:val="0"/>
      <w:marRight w:val="0"/>
      <w:marTop w:val="0"/>
      <w:marBottom w:val="0"/>
      <w:divBdr>
        <w:top w:val="none" w:sz="0" w:space="0" w:color="auto"/>
        <w:left w:val="none" w:sz="0" w:space="0" w:color="auto"/>
        <w:bottom w:val="none" w:sz="0" w:space="0" w:color="auto"/>
        <w:right w:val="none" w:sz="0" w:space="0" w:color="auto"/>
      </w:divBdr>
    </w:div>
    <w:div w:id="357238075">
      <w:bodyDiv w:val="1"/>
      <w:marLeft w:val="0"/>
      <w:marRight w:val="0"/>
      <w:marTop w:val="0"/>
      <w:marBottom w:val="0"/>
      <w:divBdr>
        <w:top w:val="none" w:sz="0" w:space="0" w:color="auto"/>
        <w:left w:val="none" w:sz="0" w:space="0" w:color="auto"/>
        <w:bottom w:val="none" w:sz="0" w:space="0" w:color="auto"/>
        <w:right w:val="none" w:sz="0" w:space="0" w:color="auto"/>
      </w:divBdr>
    </w:div>
    <w:div w:id="357242404">
      <w:bodyDiv w:val="1"/>
      <w:marLeft w:val="0"/>
      <w:marRight w:val="0"/>
      <w:marTop w:val="0"/>
      <w:marBottom w:val="0"/>
      <w:divBdr>
        <w:top w:val="none" w:sz="0" w:space="0" w:color="auto"/>
        <w:left w:val="none" w:sz="0" w:space="0" w:color="auto"/>
        <w:bottom w:val="none" w:sz="0" w:space="0" w:color="auto"/>
        <w:right w:val="none" w:sz="0" w:space="0" w:color="auto"/>
      </w:divBdr>
    </w:div>
    <w:div w:id="357244912">
      <w:bodyDiv w:val="1"/>
      <w:marLeft w:val="0"/>
      <w:marRight w:val="0"/>
      <w:marTop w:val="0"/>
      <w:marBottom w:val="0"/>
      <w:divBdr>
        <w:top w:val="none" w:sz="0" w:space="0" w:color="auto"/>
        <w:left w:val="none" w:sz="0" w:space="0" w:color="auto"/>
        <w:bottom w:val="none" w:sz="0" w:space="0" w:color="auto"/>
        <w:right w:val="none" w:sz="0" w:space="0" w:color="auto"/>
      </w:divBdr>
    </w:div>
    <w:div w:id="357389115">
      <w:bodyDiv w:val="1"/>
      <w:marLeft w:val="0"/>
      <w:marRight w:val="0"/>
      <w:marTop w:val="0"/>
      <w:marBottom w:val="0"/>
      <w:divBdr>
        <w:top w:val="none" w:sz="0" w:space="0" w:color="auto"/>
        <w:left w:val="none" w:sz="0" w:space="0" w:color="auto"/>
        <w:bottom w:val="none" w:sz="0" w:space="0" w:color="auto"/>
        <w:right w:val="none" w:sz="0" w:space="0" w:color="auto"/>
      </w:divBdr>
    </w:div>
    <w:div w:id="357393857">
      <w:bodyDiv w:val="1"/>
      <w:marLeft w:val="0"/>
      <w:marRight w:val="0"/>
      <w:marTop w:val="0"/>
      <w:marBottom w:val="0"/>
      <w:divBdr>
        <w:top w:val="none" w:sz="0" w:space="0" w:color="auto"/>
        <w:left w:val="none" w:sz="0" w:space="0" w:color="auto"/>
        <w:bottom w:val="none" w:sz="0" w:space="0" w:color="auto"/>
        <w:right w:val="none" w:sz="0" w:space="0" w:color="auto"/>
      </w:divBdr>
    </w:div>
    <w:div w:id="357464539">
      <w:bodyDiv w:val="1"/>
      <w:marLeft w:val="0"/>
      <w:marRight w:val="0"/>
      <w:marTop w:val="0"/>
      <w:marBottom w:val="0"/>
      <w:divBdr>
        <w:top w:val="none" w:sz="0" w:space="0" w:color="auto"/>
        <w:left w:val="none" w:sz="0" w:space="0" w:color="auto"/>
        <w:bottom w:val="none" w:sz="0" w:space="0" w:color="auto"/>
        <w:right w:val="none" w:sz="0" w:space="0" w:color="auto"/>
      </w:divBdr>
    </w:div>
    <w:div w:id="357507878">
      <w:bodyDiv w:val="1"/>
      <w:marLeft w:val="0"/>
      <w:marRight w:val="0"/>
      <w:marTop w:val="0"/>
      <w:marBottom w:val="0"/>
      <w:divBdr>
        <w:top w:val="none" w:sz="0" w:space="0" w:color="auto"/>
        <w:left w:val="none" w:sz="0" w:space="0" w:color="auto"/>
        <w:bottom w:val="none" w:sz="0" w:space="0" w:color="auto"/>
        <w:right w:val="none" w:sz="0" w:space="0" w:color="auto"/>
      </w:divBdr>
    </w:div>
    <w:div w:id="357512373">
      <w:bodyDiv w:val="1"/>
      <w:marLeft w:val="0"/>
      <w:marRight w:val="0"/>
      <w:marTop w:val="0"/>
      <w:marBottom w:val="0"/>
      <w:divBdr>
        <w:top w:val="none" w:sz="0" w:space="0" w:color="auto"/>
        <w:left w:val="none" w:sz="0" w:space="0" w:color="auto"/>
        <w:bottom w:val="none" w:sz="0" w:space="0" w:color="auto"/>
        <w:right w:val="none" w:sz="0" w:space="0" w:color="auto"/>
      </w:divBdr>
    </w:div>
    <w:div w:id="357514374">
      <w:bodyDiv w:val="1"/>
      <w:marLeft w:val="0"/>
      <w:marRight w:val="0"/>
      <w:marTop w:val="0"/>
      <w:marBottom w:val="0"/>
      <w:divBdr>
        <w:top w:val="none" w:sz="0" w:space="0" w:color="auto"/>
        <w:left w:val="none" w:sz="0" w:space="0" w:color="auto"/>
        <w:bottom w:val="none" w:sz="0" w:space="0" w:color="auto"/>
        <w:right w:val="none" w:sz="0" w:space="0" w:color="auto"/>
      </w:divBdr>
    </w:div>
    <w:div w:id="357658179">
      <w:bodyDiv w:val="1"/>
      <w:marLeft w:val="0"/>
      <w:marRight w:val="0"/>
      <w:marTop w:val="0"/>
      <w:marBottom w:val="0"/>
      <w:divBdr>
        <w:top w:val="none" w:sz="0" w:space="0" w:color="auto"/>
        <w:left w:val="none" w:sz="0" w:space="0" w:color="auto"/>
        <w:bottom w:val="none" w:sz="0" w:space="0" w:color="auto"/>
        <w:right w:val="none" w:sz="0" w:space="0" w:color="auto"/>
      </w:divBdr>
    </w:div>
    <w:div w:id="357699969">
      <w:bodyDiv w:val="1"/>
      <w:marLeft w:val="0"/>
      <w:marRight w:val="0"/>
      <w:marTop w:val="0"/>
      <w:marBottom w:val="0"/>
      <w:divBdr>
        <w:top w:val="none" w:sz="0" w:space="0" w:color="auto"/>
        <w:left w:val="none" w:sz="0" w:space="0" w:color="auto"/>
        <w:bottom w:val="none" w:sz="0" w:space="0" w:color="auto"/>
        <w:right w:val="none" w:sz="0" w:space="0" w:color="auto"/>
      </w:divBdr>
    </w:div>
    <w:div w:id="357706650">
      <w:bodyDiv w:val="1"/>
      <w:marLeft w:val="0"/>
      <w:marRight w:val="0"/>
      <w:marTop w:val="0"/>
      <w:marBottom w:val="0"/>
      <w:divBdr>
        <w:top w:val="none" w:sz="0" w:space="0" w:color="auto"/>
        <w:left w:val="none" w:sz="0" w:space="0" w:color="auto"/>
        <w:bottom w:val="none" w:sz="0" w:space="0" w:color="auto"/>
        <w:right w:val="none" w:sz="0" w:space="0" w:color="auto"/>
      </w:divBdr>
    </w:div>
    <w:div w:id="357850757">
      <w:bodyDiv w:val="1"/>
      <w:marLeft w:val="0"/>
      <w:marRight w:val="0"/>
      <w:marTop w:val="0"/>
      <w:marBottom w:val="0"/>
      <w:divBdr>
        <w:top w:val="none" w:sz="0" w:space="0" w:color="auto"/>
        <w:left w:val="none" w:sz="0" w:space="0" w:color="auto"/>
        <w:bottom w:val="none" w:sz="0" w:space="0" w:color="auto"/>
        <w:right w:val="none" w:sz="0" w:space="0" w:color="auto"/>
      </w:divBdr>
    </w:div>
    <w:div w:id="357900293">
      <w:bodyDiv w:val="1"/>
      <w:marLeft w:val="0"/>
      <w:marRight w:val="0"/>
      <w:marTop w:val="0"/>
      <w:marBottom w:val="0"/>
      <w:divBdr>
        <w:top w:val="none" w:sz="0" w:space="0" w:color="auto"/>
        <w:left w:val="none" w:sz="0" w:space="0" w:color="auto"/>
        <w:bottom w:val="none" w:sz="0" w:space="0" w:color="auto"/>
        <w:right w:val="none" w:sz="0" w:space="0" w:color="auto"/>
      </w:divBdr>
    </w:div>
    <w:div w:id="357975260">
      <w:bodyDiv w:val="1"/>
      <w:marLeft w:val="0"/>
      <w:marRight w:val="0"/>
      <w:marTop w:val="0"/>
      <w:marBottom w:val="0"/>
      <w:divBdr>
        <w:top w:val="none" w:sz="0" w:space="0" w:color="auto"/>
        <w:left w:val="none" w:sz="0" w:space="0" w:color="auto"/>
        <w:bottom w:val="none" w:sz="0" w:space="0" w:color="auto"/>
        <w:right w:val="none" w:sz="0" w:space="0" w:color="auto"/>
      </w:divBdr>
    </w:div>
    <w:div w:id="358117994">
      <w:bodyDiv w:val="1"/>
      <w:marLeft w:val="0"/>
      <w:marRight w:val="0"/>
      <w:marTop w:val="0"/>
      <w:marBottom w:val="0"/>
      <w:divBdr>
        <w:top w:val="none" w:sz="0" w:space="0" w:color="auto"/>
        <w:left w:val="none" w:sz="0" w:space="0" w:color="auto"/>
        <w:bottom w:val="none" w:sz="0" w:space="0" w:color="auto"/>
        <w:right w:val="none" w:sz="0" w:space="0" w:color="auto"/>
      </w:divBdr>
    </w:div>
    <w:div w:id="358119494">
      <w:bodyDiv w:val="1"/>
      <w:marLeft w:val="0"/>
      <w:marRight w:val="0"/>
      <w:marTop w:val="0"/>
      <w:marBottom w:val="0"/>
      <w:divBdr>
        <w:top w:val="none" w:sz="0" w:space="0" w:color="auto"/>
        <w:left w:val="none" w:sz="0" w:space="0" w:color="auto"/>
        <w:bottom w:val="none" w:sz="0" w:space="0" w:color="auto"/>
        <w:right w:val="none" w:sz="0" w:space="0" w:color="auto"/>
      </w:divBdr>
    </w:div>
    <w:div w:id="358121081">
      <w:bodyDiv w:val="1"/>
      <w:marLeft w:val="0"/>
      <w:marRight w:val="0"/>
      <w:marTop w:val="0"/>
      <w:marBottom w:val="0"/>
      <w:divBdr>
        <w:top w:val="none" w:sz="0" w:space="0" w:color="auto"/>
        <w:left w:val="none" w:sz="0" w:space="0" w:color="auto"/>
        <w:bottom w:val="none" w:sz="0" w:space="0" w:color="auto"/>
        <w:right w:val="none" w:sz="0" w:space="0" w:color="auto"/>
      </w:divBdr>
    </w:div>
    <w:div w:id="358236017">
      <w:bodyDiv w:val="1"/>
      <w:marLeft w:val="0"/>
      <w:marRight w:val="0"/>
      <w:marTop w:val="0"/>
      <w:marBottom w:val="0"/>
      <w:divBdr>
        <w:top w:val="none" w:sz="0" w:space="0" w:color="auto"/>
        <w:left w:val="none" w:sz="0" w:space="0" w:color="auto"/>
        <w:bottom w:val="none" w:sz="0" w:space="0" w:color="auto"/>
        <w:right w:val="none" w:sz="0" w:space="0" w:color="auto"/>
      </w:divBdr>
    </w:div>
    <w:div w:id="358240673">
      <w:bodyDiv w:val="1"/>
      <w:marLeft w:val="0"/>
      <w:marRight w:val="0"/>
      <w:marTop w:val="0"/>
      <w:marBottom w:val="0"/>
      <w:divBdr>
        <w:top w:val="none" w:sz="0" w:space="0" w:color="auto"/>
        <w:left w:val="none" w:sz="0" w:space="0" w:color="auto"/>
        <w:bottom w:val="none" w:sz="0" w:space="0" w:color="auto"/>
        <w:right w:val="none" w:sz="0" w:space="0" w:color="auto"/>
      </w:divBdr>
    </w:div>
    <w:div w:id="358244725">
      <w:bodyDiv w:val="1"/>
      <w:marLeft w:val="0"/>
      <w:marRight w:val="0"/>
      <w:marTop w:val="0"/>
      <w:marBottom w:val="0"/>
      <w:divBdr>
        <w:top w:val="none" w:sz="0" w:space="0" w:color="auto"/>
        <w:left w:val="none" w:sz="0" w:space="0" w:color="auto"/>
        <w:bottom w:val="none" w:sz="0" w:space="0" w:color="auto"/>
        <w:right w:val="none" w:sz="0" w:space="0" w:color="auto"/>
      </w:divBdr>
    </w:div>
    <w:div w:id="358316500">
      <w:bodyDiv w:val="1"/>
      <w:marLeft w:val="0"/>
      <w:marRight w:val="0"/>
      <w:marTop w:val="0"/>
      <w:marBottom w:val="0"/>
      <w:divBdr>
        <w:top w:val="none" w:sz="0" w:space="0" w:color="auto"/>
        <w:left w:val="none" w:sz="0" w:space="0" w:color="auto"/>
        <w:bottom w:val="none" w:sz="0" w:space="0" w:color="auto"/>
        <w:right w:val="none" w:sz="0" w:space="0" w:color="auto"/>
      </w:divBdr>
    </w:div>
    <w:div w:id="358434345">
      <w:bodyDiv w:val="1"/>
      <w:marLeft w:val="0"/>
      <w:marRight w:val="0"/>
      <w:marTop w:val="0"/>
      <w:marBottom w:val="0"/>
      <w:divBdr>
        <w:top w:val="none" w:sz="0" w:space="0" w:color="auto"/>
        <w:left w:val="none" w:sz="0" w:space="0" w:color="auto"/>
        <w:bottom w:val="none" w:sz="0" w:space="0" w:color="auto"/>
        <w:right w:val="none" w:sz="0" w:space="0" w:color="auto"/>
      </w:divBdr>
    </w:div>
    <w:div w:id="358434793">
      <w:bodyDiv w:val="1"/>
      <w:marLeft w:val="0"/>
      <w:marRight w:val="0"/>
      <w:marTop w:val="0"/>
      <w:marBottom w:val="0"/>
      <w:divBdr>
        <w:top w:val="none" w:sz="0" w:space="0" w:color="auto"/>
        <w:left w:val="none" w:sz="0" w:space="0" w:color="auto"/>
        <w:bottom w:val="none" w:sz="0" w:space="0" w:color="auto"/>
        <w:right w:val="none" w:sz="0" w:space="0" w:color="auto"/>
      </w:divBdr>
    </w:div>
    <w:div w:id="358511231">
      <w:bodyDiv w:val="1"/>
      <w:marLeft w:val="0"/>
      <w:marRight w:val="0"/>
      <w:marTop w:val="0"/>
      <w:marBottom w:val="0"/>
      <w:divBdr>
        <w:top w:val="none" w:sz="0" w:space="0" w:color="auto"/>
        <w:left w:val="none" w:sz="0" w:space="0" w:color="auto"/>
        <w:bottom w:val="none" w:sz="0" w:space="0" w:color="auto"/>
        <w:right w:val="none" w:sz="0" w:space="0" w:color="auto"/>
      </w:divBdr>
    </w:div>
    <w:div w:id="358513642">
      <w:bodyDiv w:val="1"/>
      <w:marLeft w:val="0"/>
      <w:marRight w:val="0"/>
      <w:marTop w:val="0"/>
      <w:marBottom w:val="0"/>
      <w:divBdr>
        <w:top w:val="none" w:sz="0" w:space="0" w:color="auto"/>
        <w:left w:val="none" w:sz="0" w:space="0" w:color="auto"/>
        <w:bottom w:val="none" w:sz="0" w:space="0" w:color="auto"/>
        <w:right w:val="none" w:sz="0" w:space="0" w:color="auto"/>
      </w:divBdr>
    </w:div>
    <w:div w:id="358630969">
      <w:bodyDiv w:val="1"/>
      <w:marLeft w:val="0"/>
      <w:marRight w:val="0"/>
      <w:marTop w:val="0"/>
      <w:marBottom w:val="0"/>
      <w:divBdr>
        <w:top w:val="none" w:sz="0" w:space="0" w:color="auto"/>
        <w:left w:val="none" w:sz="0" w:space="0" w:color="auto"/>
        <w:bottom w:val="none" w:sz="0" w:space="0" w:color="auto"/>
        <w:right w:val="none" w:sz="0" w:space="0" w:color="auto"/>
      </w:divBdr>
    </w:div>
    <w:div w:id="358632344">
      <w:bodyDiv w:val="1"/>
      <w:marLeft w:val="0"/>
      <w:marRight w:val="0"/>
      <w:marTop w:val="0"/>
      <w:marBottom w:val="0"/>
      <w:divBdr>
        <w:top w:val="none" w:sz="0" w:space="0" w:color="auto"/>
        <w:left w:val="none" w:sz="0" w:space="0" w:color="auto"/>
        <w:bottom w:val="none" w:sz="0" w:space="0" w:color="auto"/>
        <w:right w:val="none" w:sz="0" w:space="0" w:color="auto"/>
      </w:divBdr>
    </w:div>
    <w:div w:id="358706916">
      <w:bodyDiv w:val="1"/>
      <w:marLeft w:val="0"/>
      <w:marRight w:val="0"/>
      <w:marTop w:val="0"/>
      <w:marBottom w:val="0"/>
      <w:divBdr>
        <w:top w:val="none" w:sz="0" w:space="0" w:color="auto"/>
        <w:left w:val="none" w:sz="0" w:space="0" w:color="auto"/>
        <w:bottom w:val="none" w:sz="0" w:space="0" w:color="auto"/>
        <w:right w:val="none" w:sz="0" w:space="0" w:color="auto"/>
      </w:divBdr>
    </w:div>
    <w:div w:id="358745392">
      <w:bodyDiv w:val="1"/>
      <w:marLeft w:val="0"/>
      <w:marRight w:val="0"/>
      <w:marTop w:val="0"/>
      <w:marBottom w:val="0"/>
      <w:divBdr>
        <w:top w:val="none" w:sz="0" w:space="0" w:color="auto"/>
        <w:left w:val="none" w:sz="0" w:space="0" w:color="auto"/>
        <w:bottom w:val="none" w:sz="0" w:space="0" w:color="auto"/>
        <w:right w:val="none" w:sz="0" w:space="0" w:color="auto"/>
      </w:divBdr>
    </w:div>
    <w:div w:id="358819118">
      <w:bodyDiv w:val="1"/>
      <w:marLeft w:val="0"/>
      <w:marRight w:val="0"/>
      <w:marTop w:val="0"/>
      <w:marBottom w:val="0"/>
      <w:divBdr>
        <w:top w:val="none" w:sz="0" w:space="0" w:color="auto"/>
        <w:left w:val="none" w:sz="0" w:space="0" w:color="auto"/>
        <w:bottom w:val="none" w:sz="0" w:space="0" w:color="auto"/>
        <w:right w:val="none" w:sz="0" w:space="0" w:color="auto"/>
      </w:divBdr>
    </w:div>
    <w:div w:id="358825402">
      <w:bodyDiv w:val="1"/>
      <w:marLeft w:val="0"/>
      <w:marRight w:val="0"/>
      <w:marTop w:val="0"/>
      <w:marBottom w:val="0"/>
      <w:divBdr>
        <w:top w:val="none" w:sz="0" w:space="0" w:color="auto"/>
        <w:left w:val="none" w:sz="0" w:space="0" w:color="auto"/>
        <w:bottom w:val="none" w:sz="0" w:space="0" w:color="auto"/>
        <w:right w:val="none" w:sz="0" w:space="0" w:color="auto"/>
      </w:divBdr>
    </w:div>
    <w:div w:id="358891530">
      <w:bodyDiv w:val="1"/>
      <w:marLeft w:val="0"/>
      <w:marRight w:val="0"/>
      <w:marTop w:val="0"/>
      <w:marBottom w:val="0"/>
      <w:divBdr>
        <w:top w:val="none" w:sz="0" w:space="0" w:color="auto"/>
        <w:left w:val="none" w:sz="0" w:space="0" w:color="auto"/>
        <w:bottom w:val="none" w:sz="0" w:space="0" w:color="auto"/>
        <w:right w:val="none" w:sz="0" w:space="0" w:color="auto"/>
      </w:divBdr>
    </w:div>
    <w:div w:id="358893067">
      <w:bodyDiv w:val="1"/>
      <w:marLeft w:val="0"/>
      <w:marRight w:val="0"/>
      <w:marTop w:val="0"/>
      <w:marBottom w:val="0"/>
      <w:divBdr>
        <w:top w:val="none" w:sz="0" w:space="0" w:color="auto"/>
        <w:left w:val="none" w:sz="0" w:space="0" w:color="auto"/>
        <w:bottom w:val="none" w:sz="0" w:space="0" w:color="auto"/>
        <w:right w:val="none" w:sz="0" w:space="0" w:color="auto"/>
      </w:divBdr>
    </w:div>
    <w:div w:id="359202898">
      <w:bodyDiv w:val="1"/>
      <w:marLeft w:val="0"/>
      <w:marRight w:val="0"/>
      <w:marTop w:val="0"/>
      <w:marBottom w:val="0"/>
      <w:divBdr>
        <w:top w:val="none" w:sz="0" w:space="0" w:color="auto"/>
        <w:left w:val="none" w:sz="0" w:space="0" w:color="auto"/>
        <w:bottom w:val="none" w:sz="0" w:space="0" w:color="auto"/>
        <w:right w:val="none" w:sz="0" w:space="0" w:color="auto"/>
      </w:divBdr>
    </w:div>
    <w:div w:id="359283974">
      <w:bodyDiv w:val="1"/>
      <w:marLeft w:val="0"/>
      <w:marRight w:val="0"/>
      <w:marTop w:val="0"/>
      <w:marBottom w:val="0"/>
      <w:divBdr>
        <w:top w:val="none" w:sz="0" w:space="0" w:color="auto"/>
        <w:left w:val="none" w:sz="0" w:space="0" w:color="auto"/>
        <w:bottom w:val="none" w:sz="0" w:space="0" w:color="auto"/>
        <w:right w:val="none" w:sz="0" w:space="0" w:color="auto"/>
      </w:divBdr>
    </w:div>
    <w:div w:id="359399726">
      <w:bodyDiv w:val="1"/>
      <w:marLeft w:val="0"/>
      <w:marRight w:val="0"/>
      <w:marTop w:val="0"/>
      <w:marBottom w:val="0"/>
      <w:divBdr>
        <w:top w:val="none" w:sz="0" w:space="0" w:color="auto"/>
        <w:left w:val="none" w:sz="0" w:space="0" w:color="auto"/>
        <w:bottom w:val="none" w:sz="0" w:space="0" w:color="auto"/>
        <w:right w:val="none" w:sz="0" w:space="0" w:color="auto"/>
      </w:divBdr>
    </w:div>
    <w:div w:id="359401112">
      <w:bodyDiv w:val="1"/>
      <w:marLeft w:val="0"/>
      <w:marRight w:val="0"/>
      <w:marTop w:val="0"/>
      <w:marBottom w:val="0"/>
      <w:divBdr>
        <w:top w:val="none" w:sz="0" w:space="0" w:color="auto"/>
        <w:left w:val="none" w:sz="0" w:space="0" w:color="auto"/>
        <w:bottom w:val="none" w:sz="0" w:space="0" w:color="auto"/>
        <w:right w:val="none" w:sz="0" w:space="0" w:color="auto"/>
      </w:divBdr>
    </w:div>
    <w:div w:id="359548822">
      <w:bodyDiv w:val="1"/>
      <w:marLeft w:val="0"/>
      <w:marRight w:val="0"/>
      <w:marTop w:val="0"/>
      <w:marBottom w:val="0"/>
      <w:divBdr>
        <w:top w:val="none" w:sz="0" w:space="0" w:color="auto"/>
        <w:left w:val="none" w:sz="0" w:space="0" w:color="auto"/>
        <w:bottom w:val="none" w:sz="0" w:space="0" w:color="auto"/>
        <w:right w:val="none" w:sz="0" w:space="0" w:color="auto"/>
      </w:divBdr>
    </w:div>
    <w:div w:id="359549861">
      <w:bodyDiv w:val="1"/>
      <w:marLeft w:val="0"/>
      <w:marRight w:val="0"/>
      <w:marTop w:val="0"/>
      <w:marBottom w:val="0"/>
      <w:divBdr>
        <w:top w:val="none" w:sz="0" w:space="0" w:color="auto"/>
        <w:left w:val="none" w:sz="0" w:space="0" w:color="auto"/>
        <w:bottom w:val="none" w:sz="0" w:space="0" w:color="auto"/>
        <w:right w:val="none" w:sz="0" w:space="0" w:color="auto"/>
      </w:divBdr>
    </w:div>
    <w:div w:id="359596349">
      <w:bodyDiv w:val="1"/>
      <w:marLeft w:val="0"/>
      <w:marRight w:val="0"/>
      <w:marTop w:val="0"/>
      <w:marBottom w:val="0"/>
      <w:divBdr>
        <w:top w:val="none" w:sz="0" w:space="0" w:color="auto"/>
        <w:left w:val="none" w:sz="0" w:space="0" w:color="auto"/>
        <w:bottom w:val="none" w:sz="0" w:space="0" w:color="auto"/>
        <w:right w:val="none" w:sz="0" w:space="0" w:color="auto"/>
      </w:divBdr>
    </w:div>
    <w:div w:id="359625391">
      <w:bodyDiv w:val="1"/>
      <w:marLeft w:val="0"/>
      <w:marRight w:val="0"/>
      <w:marTop w:val="0"/>
      <w:marBottom w:val="0"/>
      <w:divBdr>
        <w:top w:val="none" w:sz="0" w:space="0" w:color="auto"/>
        <w:left w:val="none" w:sz="0" w:space="0" w:color="auto"/>
        <w:bottom w:val="none" w:sz="0" w:space="0" w:color="auto"/>
        <w:right w:val="none" w:sz="0" w:space="0" w:color="auto"/>
      </w:divBdr>
    </w:div>
    <w:div w:id="359665261">
      <w:bodyDiv w:val="1"/>
      <w:marLeft w:val="0"/>
      <w:marRight w:val="0"/>
      <w:marTop w:val="0"/>
      <w:marBottom w:val="0"/>
      <w:divBdr>
        <w:top w:val="none" w:sz="0" w:space="0" w:color="auto"/>
        <w:left w:val="none" w:sz="0" w:space="0" w:color="auto"/>
        <w:bottom w:val="none" w:sz="0" w:space="0" w:color="auto"/>
        <w:right w:val="none" w:sz="0" w:space="0" w:color="auto"/>
      </w:divBdr>
    </w:div>
    <w:div w:id="359670608">
      <w:bodyDiv w:val="1"/>
      <w:marLeft w:val="0"/>
      <w:marRight w:val="0"/>
      <w:marTop w:val="0"/>
      <w:marBottom w:val="0"/>
      <w:divBdr>
        <w:top w:val="none" w:sz="0" w:space="0" w:color="auto"/>
        <w:left w:val="none" w:sz="0" w:space="0" w:color="auto"/>
        <w:bottom w:val="none" w:sz="0" w:space="0" w:color="auto"/>
        <w:right w:val="none" w:sz="0" w:space="0" w:color="auto"/>
      </w:divBdr>
    </w:div>
    <w:div w:id="359822601">
      <w:bodyDiv w:val="1"/>
      <w:marLeft w:val="0"/>
      <w:marRight w:val="0"/>
      <w:marTop w:val="0"/>
      <w:marBottom w:val="0"/>
      <w:divBdr>
        <w:top w:val="none" w:sz="0" w:space="0" w:color="auto"/>
        <w:left w:val="none" w:sz="0" w:space="0" w:color="auto"/>
        <w:bottom w:val="none" w:sz="0" w:space="0" w:color="auto"/>
        <w:right w:val="none" w:sz="0" w:space="0" w:color="auto"/>
      </w:divBdr>
    </w:div>
    <w:div w:id="360012220">
      <w:bodyDiv w:val="1"/>
      <w:marLeft w:val="0"/>
      <w:marRight w:val="0"/>
      <w:marTop w:val="0"/>
      <w:marBottom w:val="0"/>
      <w:divBdr>
        <w:top w:val="none" w:sz="0" w:space="0" w:color="auto"/>
        <w:left w:val="none" w:sz="0" w:space="0" w:color="auto"/>
        <w:bottom w:val="none" w:sz="0" w:space="0" w:color="auto"/>
        <w:right w:val="none" w:sz="0" w:space="0" w:color="auto"/>
      </w:divBdr>
    </w:div>
    <w:div w:id="360086184">
      <w:bodyDiv w:val="1"/>
      <w:marLeft w:val="0"/>
      <w:marRight w:val="0"/>
      <w:marTop w:val="0"/>
      <w:marBottom w:val="0"/>
      <w:divBdr>
        <w:top w:val="none" w:sz="0" w:space="0" w:color="auto"/>
        <w:left w:val="none" w:sz="0" w:space="0" w:color="auto"/>
        <w:bottom w:val="none" w:sz="0" w:space="0" w:color="auto"/>
        <w:right w:val="none" w:sz="0" w:space="0" w:color="auto"/>
      </w:divBdr>
    </w:div>
    <w:div w:id="360126852">
      <w:bodyDiv w:val="1"/>
      <w:marLeft w:val="0"/>
      <w:marRight w:val="0"/>
      <w:marTop w:val="0"/>
      <w:marBottom w:val="0"/>
      <w:divBdr>
        <w:top w:val="none" w:sz="0" w:space="0" w:color="auto"/>
        <w:left w:val="none" w:sz="0" w:space="0" w:color="auto"/>
        <w:bottom w:val="none" w:sz="0" w:space="0" w:color="auto"/>
        <w:right w:val="none" w:sz="0" w:space="0" w:color="auto"/>
      </w:divBdr>
    </w:div>
    <w:div w:id="360205371">
      <w:bodyDiv w:val="1"/>
      <w:marLeft w:val="0"/>
      <w:marRight w:val="0"/>
      <w:marTop w:val="0"/>
      <w:marBottom w:val="0"/>
      <w:divBdr>
        <w:top w:val="none" w:sz="0" w:space="0" w:color="auto"/>
        <w:left w:val="none" w:sz="0" w:space="0" w:color="auto"/>
        <w:bottom w:val="none" w:sz="0" w:space="0" w:color="auto"/>
        <w:right w:val="none" w:sz="0" w:space="0" w:color="auto"/>
      </w:divBdr>
    </w:div>
    <w:div w:id="360280026">
      <w:bodyDiv w:val="1"/>
      <w:marLeft w:val="0"/>
      <w:marRight w:val="0"/>
      <w:marTop w:val="0"/>
      <w:marBottom w:val="0"/>
      <w:divBdr>
        <w:top w:val="none" w:sz="0" w:space="0" w:color="auto"/>
        <w:left w:val="none" w:sz="0" w:space="0" w:color="auto"/>
        <w:bottom w:val="none" w:sz="0" w:space="0" w:color="auto"/>
        <w:right w:val="none" w:sz="0" w:space="0" w:color="auto"/>
      </w:divBdr>
    </w:div>
    <w:div w:id="360325435">
      <w:bodyDiv w:val="1"/>
      <w:marLeft w:val="0"/>
      <w:marRight w:val="0"/>
      <w:marTop w:val="0"/>
      <w:marBottom w:val="0"/>
      <w:divBdr>
        <w:top w:val="none" w:sz="0" w:space="0" w:color="auto"/>
        <w:left w:val="none" w:sz="0" w:space="0" w:color="auto"/>
        <w:bottom w:val="none" w:sz="0" w:space="0" w:color="auto"/>
        <w:right w:val="none" w:sz="0" w:space="0" w:color="auto"/>
      </w:divBdr>
    </w:div>
    <w:div w:id="360397735">
      <w:bodyDiv w:val="1"/>
      <w:marLeft w:val="0"/>
      <w:marRight w:val="0"/>
      <w:marTop w:val="0"/>
      <w:marBottom w:val="0"/>
      <w:divBdr>
        <w:top w:val="none" w:sz="0" w:space="0" w:color="auto"/>
        <w:left w:val="none" w:sz="0" w:space="0" w:color="auto"/>
        <w:bottom w:val="none" w:sz="0" w:space="0" w:color="auto"/>
        <w:right w:val="none" w:sz="0" w:space="0" w:color="auto"/>
      </w:divBdr>
    </w:div>
    <w:div w:id="360515303">
      <w:bodyDiv w:val="1"/>
      <w:marLeft w:val="0"/>
      <w:marRight w:val="0"/>
      <w:marTop w:val="0"/>
      <w:marBottom w:val="0"/>
      <w:divBdr>
        <w:top w:val="none" w:sz="0" w:space="0" w:color="auto"/>
        <w:left w:val="none" w:sz="0" w:space="0" w:color="auto"/>
        <w:bottom w:val="none" w:sz="0" w:space="0" w:color="auto"/>
        <w:right w:val="none" w:sz="0" w:space="0" w:color="auto"/>
      </w:divBdr>
    </w:div>
    <w:div w:id="360594327">
      <w:bodyDiv w:val="1"/>
      <w:marLeft w:val="0"/>
      <w:marRight w:val="0"/>
      <w:marTop w:val="0"/>
      <w:marBottom w:val="0"/>
      <w:divBdr>
        <w:top w:val="none" w:sz="0" w:space="0" w:color="auto"/>
        <w:left w:val="none" w:sz="0" w:space="0" w:color="auto"/>
        <w:bottom w:val="none" w:sz="0" w:space="0" w:color="auto"/>
        <w:right w:val="none" w:sz="0" w:space="0" w:color="auto"/>
      </w:divBdr>
    </w:div>
    <w:div w:id="360668406">
      <w:bodyDiv w:val="1"/>
      <w:marLeft w:val="0"/>
      <w:marRight w:val="0"/>
      <w:marTop w:val="0"/>
      <w:marBottom w:val="0"/>
      <w:divBdr>
        <w:top w:val="none" w:sz="0" w:space="0" w:color="auto"/>
        <w:left w:val="none" w:sz="0" w:space="0" w:color="auto"/>
        <w:bottom w:val="none" w:sz="0" w:space="0" w:color="auto"/>
        <w:right w:val="none" w:sz="0" w:space="0" w:color="auto"/>
      </w:divBdr>
    </w:div>
    <w:div w:id="360672885">
      <w:bodyDiv w:val="1"/>
      <w:marLeft w:val="0"/>
      <w:marRight w:val="0"/>
      <w:marTop w:val="0"/>
      <w:marBottom w:val="0"/>
      <w:divBdr>
        <w:top w:val="none" w:sz="0" w:space="0" w:color="auto"/>
        <w:left w:val="none" w:sz="0" w:space="0" w:color="auto"/>
        <w:bottom w:val="none" w:sz="0" w:space="0" w:color="auto"/>
        <w:right w:val="none" w:sz="0" w:space="0" w:color="auto"/>
      </w:divBdr>
    </w:div>
    <w:div w:id="360716041">
      <w:bodyDiv w:val="1"/>
      <w:marLeft w:val="0"/>
      <w:marRight w:val="0"/>
      <w:marTop w:val="0"/>
      <w:marBottom w:val="0"/>
      <w:divBdr>
        <w:top w:val="none" w:sz="0" w:space="0" w:color="auto"/>
        <w:left w:val="none" w:sz="0" w:space="0" w:color="auto"/>
        <w:bottom w:val="none" w:sz="0" w:space="0" w:color="auto"/>
        <w:right w:val="none" w:sz="0" w:space="0" w:color="auto"/>
      </w:divBdr>
    </w:div>
    <w:div w:id="360787614">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0983545">
      <w:bodyDiv w:val="1"/>
      <w:marLeft w:val="0"/>
      <w:marRight w:val="0"/>
      <w:marTop w:val="0"/>
      <w:marBottom w:val="0"/>
      <w:divBdr>
        <w:top w:val="none" w:sz="0" w:space="0" w:color="auto"/>
        <w:left w:val="none" w:sz="0" w:space="0" w:color="auto"/>
        <w:bottom w:val="none" w:sz="0" w:space="0" w:color="auto"/>
        <w:right w:val="none" w:sz="0" w:space="0" w:color="auto"/>
      </w:divBdr>
    </w:div>
    <w:div w:id="361053428">
      <w:bodyDiv w:val="1"/>
      <w:marLeft w:val="0"/>
      <w:marRight w:val="0"/>
      <w:marTop w:val="0"/>
      <w:marBottom w:val="0"/>
      <w:divBdr>
        <w:top w:val="none" w:sz="0" w:space="0" w:color="auto"/>
        <w:left w:val="none" w:sz="0" w:space="0" w:color="auto"/>
        <w:bottom w:val="none" w:sz="0" w:space="0" w:color="auto"/>
        <w:right w:val="none" w:sz="0" w:space="0" w:color="auto"/>
      </w:divBdr>
    </w:div>
    <w:div w:id="361055879">
      <w:bodyDiv w:val="1"/>
      <w:marLeft w:val="0"/>
      <w:marRight w:val="0"/>
      <w:marTop w:val="0"/>
      <w:marBottom w:val="0"/>
      <w:divBdr>
        <w:top w:val="none" w:sz="0" w:space="0" w:color="auto"/>
        <w:left w:val="none" w:sz="0" w:space="0" w:color="auto"/>
        <w:bottom w:val="none" w:sz="0" w:space="0" w:color="auto"/>
        <w:right w:val="none" w:sz="0" w:space="0" w:color="auto"/>
      </w:divBdr>
    </w:div>
    <w:div w:id="361366224">
      <w:bodyDiv w:val="1"/>
      <w:marLeft w:val="0"/>
      <w:marRight w:val="0"/>
      <w:marTop w:val="0"/>
      <w:marBottom w:val="0"/>
      <w:divBdr>
        <w:top w:val="none" w:sz="0" w:space="0" w:color="auto"/>
        <w:left w:val="none" w:sz="0" w:space="0" w:color="auto"/>
        <w:bottom w:val="none" w:sz="0" w:space="0" w:color="auto"/>
        <w:right w:val="none" w:sz="0" w:space="0" w:color="auto"/>
      </w:divBdr>
    </w:div>
    <w:div w:id="361518694">
      <w:bodyDiv w:val="1"/>
      <w:marLeft w:val="0"/>
      <w:marRight w:val="0"/>
      <w:marTop w:val="0"/>
      <w:marBottom w:val="0"/>
      <w:divBdr>
        <w:top w:val="none" w:sz="0" w:space="0" w:color="auto"/>
        <w:left w:val="none" w:sz="0" w:space="0" w:color="auto"/>
        <w:bottom w:val="none" w:sz="0" w:space="0" w:color="auto"/>
        <w:right w:val="none" w:sz="0" w:space="0" w:color="auto"/>
      </w:divBdr>
    </w:div>
    <w:div w:id="361589344">
      <w:bodyDiv w:val="1"/>
      <w:marLeft w:val="0"/>
      <w:marRight w:val="0"/>
      <w:marTop w:val="0"/>
      <w:marBottom w:val="0"/>
      <w:divBdr>
        <w:top w:val="none" w:sz="0" w:space="0" w:color="auto"/>
        <w:left w:val="none" w:sz="0" w:space="0" w:color="auto"/>
        <w:bottom w:val="none" w:sz="0" w:space="0" w:color="auto"/>
        <w:right w:val="none" w:sz="0" w:space="0" w:color="auto"/>
      </w:divBdr>
    </w:div>
    <w:div w:id="361633306">
      <w:bodyDiv w:val="1"/>
      <w:marLeft w:val="0"/>
      <w:marRight w:val="0"/>
      <w:marTop w:val="0"/>
      <w:marBottom w:val="0"/>
      <w:divBdr>
        <w:top w:val="none" w:sz="0" w:space="0" w:color="auto"/>
        <w:left w:val="none" w:sz="0" w:space="0" w:color="auto"/>
        <w:bottom w:val="none" w:sz="0" w:space="0" w:color="auto"/>
        <w:right w:val="none" w:sz="0" w:space="0" w:color="auto"/>
      </w:divBdr>
    </w:div>
    <w:div w:id="361706097">
      <w:bodyDiv w:val="1"/>
      <w:marLeft w:val="0"/>
      <w:marRight w:val="0"/>
      <w:marTop w:val="0"/>
      <w:marBottom w:val="0"/>
      <w:divBdr>
        <w:top w:val="none" w:sz="0" w:space="0" w:color="auto"/>
        <w:left w:val="none" w:sz="0" w:space="0" w:color="auto"/>
        <w:bottom w:val="none" w:sz="0" w:space="0" w:color="auto"/>
        <w:right w:val="none" w:sz="0" w:space="0" w:color="auto"/>
      </w:divBdr>
    </w:div>
    <w:div w:id="361713754">
      <w:bodyDiv w:val="1"/>
      <w:marLeft w:val="0"/>
      <w:marRight w:val="0"/>
      <w:marTop w:val="0"/>
      <w:marBottom w:val="0"/>
      <w:divBdr>
        <w:top w:val="none" w:sz="0" w:space="0" w:color="auto"/>
        <w:left w:val="none" w:sz="0" w:space="0" w:color="auto"/>
        <w:bottom w:val="none" w:sz="0" w:space="0" w:color="auto"/>
        <w:right w:val="none" w:sz="0" w:space="0" w:color="auto"/>
      </w:divBdr>
    </w:div>
    <w:div w:id="361903319">
      <w:bodyDiv w:val="1"/>
      <w:marLeft w:val="0"/>
      <w:marRight w:val="0"/>
      <w:marTop w:val="0"/>
      <w:marBottom w:val="0"/>
      <w:divBdr>
        <w:top w:val="none" w:sz="0" w:space="0" w:color="auto"/>
        <w:left w:val="none" w:sz="0" w:space="0" w:color="auto"/>
        <w:bottom w:val="none" w:sz="0" w:space="0" w:color="auto"/>
        <w:right w:val="none" w:sz="0" w:space="0" w:color="auto"/>
      </w:divBdr>
    </w:div>
    <w:div w:id="361907752">
      <w:bodyDiv w:val="1"/>
      <w:marLeft w:val="0"/>
      <w:marRight w:val="0"/>
      <w:marTop w:val="0"/>
      <w:marBottom w:val="0"/>
      <w:divBdr>
        <w:top w:val="none" w:sz="0" w:space="0" w:color="auto"/>
        <w:left w:val="none" w:sz="0" w:space="0" w:color="auto"/>
        <w:bottom w:val="none" w:sz="0" w:space="0" w:color="auto"/>
        <w:right w:val="none" w:sz="0" w:space="0" w:color="auto"/>
      </w:divBdr>
    </w:div>
    <w:div w:id="362025403">
      <w:bodyDiv w:val="1"/>
      <w:marLeft w:val="0"/>
      <w:marRight w:val="0"/>
      <w:marTop w:val="0"/>
      <w:marBottom w:val="0"/>
      <w:divBdr>
        <w:top w:val="none" w:sz="0" w:space="0" w:color="auto"/>
        <w:left w:val="none" w:sz="0" w:space="0" w:color="auto"/>
        <w:bottom w:val="none" w:sz="0" w:space="0" w:color="auto"/>
        <w:right w:val="none" w:sz="0" w:space="0" w:color="auto"/>
      </w:divBdr>
    </w:div>
    <w:div w:id="362092903">
      <w:bodyDiv w:val="1"/>
      <w:marLeft w:val="0"/>
      <w:marRight w:val="0"/>
      <w:marTop w:val="0"/>
      <w:marBottom w:val="0"/>
      <w:divBdr>
        <w:top w:val="none" w:sz="0" w:space="0" w:color="auto"/>
        <w:left w:val="none" w:sz="0" w:space="0" w:color="auto"/>
        <w:bottom w:val="none" w:sz="0" w:space="0" w:color="auto"/>
        <w:right w:val="none" w:sz="0" w:space="0" w:color="auto"/>
      </w:divBdr>
    </w:div>
    <w:div w:id="362097680">
      <w:bodyDiv w:val="1"/>
      <w:marLeft w:val="0"/>
      <w:marRight w:val="0"/>
      <w:marTop w:val="0"/>
      <w:marBottom w:val="0"/>
      <w:divBdr>
        <w:top w:val="none" w:sz="0" w:space="0" w:color="auto"/>
        <w:left w:val="none" w:sz="0" w:space="0" w:color="auto"/>
        <w:bottom w:val="none" w:sz="0" w:space="0" w:color="auto"/>
        <w:right w:val="none" w:sz="0" w:space="0" w:color="auto"/>
      </w:divBdr>
    </w:div>
    <w:div w:id="362101045">
      <w:bodyDiv w:val="1"/>
      <w:marLeft w:val="0"/>
      <w:marRight w:val="0"/>
      <w:marTop w:val="0"/>
      <w:marBottom w:val="0"/>
      <w:divBdr>
        <w:top w:val="none" w:sz="0" w:space="0" w:color="auto"/>
        <w:left w:val="none" w:sz="0" w:space="0" w:color="auto"/>
        <w:bottom w:val="none" w:sz="0" w:space="0" w:color="auto"/>
        <w:right w:val="none" w:sz="0" w:space="0" w:color="auto"/>
      </w:divBdr>
    </w:div>
    <w:div w:id="362244635">
      <w:bodyDiv w:val="1"/>
      <w:marLeft w:val="0"/>
      <w:marRight w:val="0"/>
      <w:marTop w:val="0"/>
      <w:marBottom w:val="0"/>
      <w:divBdr>
        <w:top w:val="none" w:sz="0" w:space="0" w:color="auto"/>
        <w:left w:val="none" w:sz="0" w:space="0" w:color="auto"/>
        <w:bottom w:val="none" w:sz="0" w:space="0" w:color="auto"/>
        <w:right w:val="none" w:sz="0" w:space="0" w:color="auto"/>
      </w:divBdr>
    </w:div>
    <w:div w:id="362246155">
      <w:bodyDiv w:val="1"/>
      <w:marLeft w:val="0"/>
      <w:marRight w:val="0"/>
      <w:marTop w:val="0"/>
      <w:marBottom w:val="0"/>
      <w:divBdr>
        <w:top w:val="none" w:sz="0" w:space="0" w:color="auto"/>
        <w:left w:val="none" w:sz="0" w:space="0" w:color="auto"/>
        <w:bottom w:val="none" w:sz="0" w:space="0" w:color="auto"/>
        <w:right w:val="none" w:sz="0" w:space="0" w:color="auto"/>
      </w:divBdr>
    </w:div>
    <w:div w:id="362287620">
      <w:bodyDiv w:val="1"/>
      <w:marLeft w:val="0"/>
      <w:marRight w:val="0"/>
      <w:marTop w:val="0"/>
      <w:marBottom w:val="0"/>
      <w:divBdr>
        <w:top w:val="none" w:sz="0" w:space="0" w:color="auto"/>
        <w:left w:val="none" w:sz="0" w:space="0" w:color="auto"/>
        <w:bottom w:val="none" w:sz="0" w:space="0" w:color="auto"/>
        <w:right w:val="none" w:sz="0" w:space="0" w:color="auto"/>
      </w:divBdr>
    </w:div>
    <w:div w:id="362362107">
      <w:bodyDiv w:val="1"/>
      <w:marLeft w:val="0"/>
      <w:marRight w:val="0"/>
      <w:marTop w:val="0"/>
      <w:marBottom w:val="0"/>
      <w:divBdr>
        <w:top w:val="none" w:sz="0" w:space="0" w:color="auto"/>
        <w:left w:val="none" w:sz="0" w:space="0" w:color="auto"/>
        <w:bottom w:val="none" w:sz="0" w:space="0" w:color="auto"/>
        <w:right w:val="none" w:sz="0" w:space="0" w:color="auto"/>
      </w:divBdr>
    </w:div>
    <w:div w:id="362363881">
      <w:bodyDiv w:val="1"/>
      <w:marLeft w:val="0"/>
      <w:marRight w:val="0"/>
      <w:marTop w:val="0"/>
      <w:marBottom w:val="0"/>
      <w:divBdr>
        <w:top w:val="none" w:sz="0" w:space="0" w:color="auto"/>
        <w:left w:val="none" w:sz="0" w:space="0" w:color="auto"/>
        <w:bottom w:val="none" w:sz="0" w:space="0" w:color="auto"/>
        <w:right w:val="none" w:sz="0" w:space="0" w:color="auto"/>
      </w:divBdr>
    </w:div>
    <w:div w:id="362487518">
      <w:bodyDiv w:val="1"/>
      <w:marLeft w:val="0"/>
      <w:marRight w:val="0"/>
      <w:marTop w:val="0"/>
      <w:marBottom w:val="0"/>
      <w:divBdr>
        <w:top w:val="none" w:sz="0" w:space="0" w:color="auto"/>
        <w:left w:val="none" w:sz="0" w:space="0" w:color="auto"/>
        <w:bottom w:val="none" w:sz="0" w:space="0" w:color="auto"/>
        <w:right w:val="none" w:sz="0" w:space="0" w:color="auto"/>
      </w:divBdr>
    </w:div>
    <w:div w:id="362562270">
      <w:bodyDiv w:val="1"/>
      <w:marLeft w:val="0"/>
      <w:marRight w:val="0"/>
      <w:marTop w:val="0"/>
      <w:marBottom w:val="0"/>
      <w:divBdr>
        <w:top w:val="none" w:sz="0" w:space="0" w:color="auto"/>
        <w:left w:val="none" w:sz="0" w:space="0" w:color="auto"/>
        <w:bottom w:val="none" w:sz="0" w:space="0" w:color="auto"/>
        <w:right w:val="none" w:sz="0" w:space="0" w:color="auto"/>
      </w:divBdr>
    </w:div>
    <w:div w:id="362679607">
      <w:bodyDiv w:val="1"/>
      <w:marLeft w:val="0"/>
      <w:marRight w:val="0"/>
      <w:marTop w:val="0"/>
      <w:marBottom w:val="0"/>
      <w:divBdr>
        <w:top w:val="none" w:sz="0" w:space="0" w:color="auto"/>
        <w:left w:val="none" w:sz="0" w:space="0" w:color="auto"/>
        <w:bottom w:val="none" w:sz="0" w:space="0" w:color="auto"/>
        <w:right w:val="none" w:sz="0" w:space="0" w:color="auto"/>
      </w:divBdr>
    </w:div>
    <w:div w:id="362756837">
      <w:bodyDiv w:val="1"/>
      <w:marLeft w:val="0"/>
      <w:marRight w:val="0"/>
      <w:marTop w:val="0"/>
      <w:marBottom w:val="0"/>
      <w:divBdr>
        <w:top w:val="none" w:sz="0" w:space="0" w:color="auto"/>
        <w:left w:val="none" w:sz="0" w:space="0" w:color="auto"/>
        <w:bottom w:val="none" w:sz="0" w:space="0" w:color="auto"/>
        <w:right w:val="none" w:sz="0" w:space="0" w:color="auto"/>
      </w:divBdr>
    </w:div>
    <w:div w:id="362827288">
      <w:bodyDiv w:val="1"/>
      <w:marLeft w:val="0"/>
      <w:marRight w:val="0"/>
      <w:marTop w:val="0"/>
      <w:marBottom w:val="0"/>
      <w:divBdr>
        <w:top w:val="none" w:sz="0" w:space="0" w:color="auto"/>
        <w:left w:val="none" w:sz="0" w:space="0" w:color="auto"/>
        <w:bottom w:val="none" w:sz="0" w:space="0" w:color="auto"/>
        <w:right w:val="none" w:sz="0" w:space="0" w:color="auto"/>
      </w:divBdr>
    </w:div>
    <w:div w:id="362827717">
      <w:bodyDiv w:val="1"/>
      <w:marLeft w:val="0"/>
      <w:marRight w:val="0"/>
      <w:marTop w:val="0"/>
      <w:marBottom w:val="0"/>
      <w:divBdr>
        <w:top w:val="none" w:sz="0" w:space="0" w:color="auto"/>
        <w:left w:val="none" w:sz="0" w:space="0" w:color="auto"/>
        <w:bottom w:val="none" w:sz="0" w:space="0" w:color="auto"/>
        <w:right w:val="none" w:sz="0" w:space="0" w:color="auto"/>
      </w:divBdr>
    </w:div>
    <w:div w:id="362873182">
      <w:bodyDiv w:val="1"/>
      <w:marLeft w:val="0"/>
      <w:marRight w:val="0"/>
      <w:marTop w:val="0"/>
      <w:marBottom w:val="0"/>
      <w:divBdr>
        <w:top w:val="none" w:sz="0" w:space="0" w:color="auto"/>
        <w:left w:val="none" w:sz="0" w:space="0" w:color="auto"/>
        <w:bottom w:val="none" w:sz="0" w:space="0" w:color="auto"/>
        <w:right w:val="none" w:sz="0" w:space="0" w:color="auto"/>
      </w:divBdr>
    </w:div>
    <w:div w:id="362900358">
      <w:bodyDiv w:val="1"/>
      <w:marLeft w:val="0"/>
      <w:marRight w:val="0"/>
      <w:marTop w:val="0"/>
      <w:marBottom w:val="0"/>
      <w:divBdr>
        <w:top w:val="none" w:sz="0" w:space="0" w:color="auto"/>
        <w:left w:val="none" w:sz="0" w:space="0" w:color="auto"/>
        <w:bottom w:val="none" w:sz="0" w:space="0" w:color="auto"/>
        <w:right w:val="none" w:sz="0" w:space="0" w:color="auto"/>
      </w:divBdr>
    </w:div>
    <w:div w:id="362903778">
      <w:bodyDiv w:val="1"/>
      <w:marLeft w:val="0"/>
      <w:marRight w:val="0"/>
      <w:marTop w:val="0"/>
      <w:marBottom w:val="0"/>
      <w:divBdr>
        <w:top w:val="none" w:sz="0" w:space="0" w:color="auto"/>
        <w:left w:val="none" w:sz="0" w:space="0" w:color="auto"/>
        <w:bottom w:val="none" w:sz="0" w:space="0" w:color="auto"/>
        <w:right w:val="none" w:sz="0" w:space="0" w:color="auto"/>
      </w:divBdr>
    </w:div>
    <w:div w:id="362942487">
      <w:bodyDiv w:val="1"/>
      <w:marLeft w:val="0"/>
      <w:marRight w:val="0"/>
      <w:marTop w:val="0"/>
      <w:marBottom w:val="0"/>
      <w:divBdr>
        <w:top w:val="none" w:sz="0" w:space="0" w:color="auto"/>
        <w:left w:val="none" w:sz="0" w:space="0" w:color="auto"/>
        <w:bottom w:val="none" w:sz="0" w:space="0" w:color="auto"/>
        <w:right w:val="none" w:sz="0" w:space="0" w:color="auto"/>
      </w:divBdr>
    </w:div>
    <w:div w:id="363096025">
      <w:bodyDiv w:val="1"/>
      <w:marLeft w:val="0"/>
      <w:marRight w:val="0"/>
      <w:marTop w:val="0"/>
      <w:marBottom w:val="0"/>
      <w:divBdr>
        <w:top w:val="none" w:sz="0" w:space="0" w:color="auto"/>
        <w:left w:val="none" w:sz="0" w:space="0" w:color="auto"/>
        <w:bottom w:val="none" w:sz="0" w:space="0" w:color="auto"/>
        <w:right w:val="none" w:sz="0" w:space="0" w:color="auto"/>
      </w:divBdr>
    </w:div>
    <w:div w:id="363211632">
      <w:bodyDiv w:val="1"/>
      <w:marLeft w:val="0"/>
      <w:marRight w:val="0"/>
      <w:marTop w:val="0"/>
      <w:marBottom w:val="0"/>
      <w:divBdr>
        <w:top w:val="none" w:sz="0" w:space="0" w:color="auto"/>
        <w:left w:val="none" w:sz="0" w:space="0" w:color="auto"/>
        <w:bottom w:val="none" w:sz="0" w:space="0" w:color="auto"/>
        <w:right w:val="none" w:sz="0" w:space="0" w:color="auto"/>
      </w:divBdr>
    </w:div>
    <w:div w:id="363212812">
      <w:bodyDiv w:val="1"/>
      <w:marLeft w:val="0"/>
      <w:marRight w:val="0"/>
      <w:marTop w:val="0"/>
      <w:marBottom w:val="0"/>
      <w:divBdr>
        <w:top w:val="none" w:sz="0" w:space="0" w:color="auto"/>
        <w:left w:val="none" w:sz="0" w:space="0" w:color="auto"/>
        <w:bottom w:val="none" w:sz="0" w:space="0" w:color="auto"/>
        <w:right w:val="none" w:sz="0" w:space="0" w:color="auto"/>
      </w:divBdr>
    </w:div>
    <w:div w:id="363217226">
      <w:bodyDiv w:val="1"/>
      <w:marLeft w:val="0"/>
      <w:marRight w:val="0"/>
      <w:marTop w:val="0"/>
      <w:marBottom w:val="0"/>
      <w:divBdr>
        <w:top w:val="none" w:sz="0" w:space="0" w:color="auto"/>
        <w:left w:val="none" w:sz="0" w:space="0" w:color="auto"/>
        <w:bottom w:val="none" w:sz="0" w:space="0" w:color="auto"/>
        <w:right w:val="none" w:sz="0" w:space="0" w:color="auto"/>
      </w:divBdr>
    </w:div>
    <w:div w:id="363217227">
      <w:bodyDiv w:val="1"/>
      <w:marLeft w:val="0"/>
      <w:marRight w:val="0"/>
      <w:marTop w:val="0"/>
      <w:marBottom w:val="0"/>
      <w:divBdr>
        <w:top w:val="none" w:sz="0" w:space="0" w:color="auto"/>
        <w:left w:val="none" w:sz="0" w:space="0" w:color="auto"/>
        <w:bottom w:val="none" w:sz="0" w:space="0" w:color="auto"/>
        <w:right w:val="none" w:sz="0" w:space="0" w:color="auto"/>
      </w:divBdr>
    </w:div>
    <w:div w:id="363478389">
      <w:bodyDiv w:val="1"/>
      <w:marLeft w:val="0"/>
      <w:marRight w:val="0"/>
      <w:marTop w:val="0"/>
      <w:marBottom w:val="0"/>
      <w:divBdr>
        <w:top w:val="none" w:sz="0" w:space="0" w:color="auto"/>
        <w:left w:val="none" w:sz="0" w:space="0" w:color="auto"/>
        <w:bottom w:val="none" w:sz="0" w:space="0" w:color="auto"/>
        <w:right w:val="none" w:sz="0" w:space="0" w:color="auto"/>
      </w:divBdr>
    </w:div>
    <w:div w:id="363480733">
      <w:bodyDiv w:val="1"/>
      <w:marLeft w:val="0"/>
      <w:marRight w:val="0"/>
      <w:marTop w:val="0"/>
      <w:marBottom w:val="0"/>
      <w:divBdr>
        <w:top w:val="none" w:sz="0" w:space="0" w:color="auto"/>
        <w:left w:val="none" w:sz="0" w:space="0" w:color="auto"/>
        <w:bottom w:val="none" w:sz="0" w:space="0" w:color="auto"/>
        <w:right w:val="none" w:sz="0" w:space="0" w:color="auto"/>
      </w:divBdr>
    </w:div>
    <w:div w:id="363482440">
      <w:bodyDiv w:val="1"/>
      <w:marLeft w:val="0"/>
      <w:marRight w:val="0"/>
      <w:marTop w:val="0"/>
      <w:marBottom w:val="0"/>
      <w:divBdr>
        <w:top w:val="none" w:sz="0" w:space="0" w:color="auto"/>
        <w:left w:val="none" w:sz="0" w:space="0" w:color="auto"/>
        <w:bottom w:val="none" w:sz="0" w:space="0" w:color="auto"/>
        <w:right w:val="none" w:sz="0" w:space="0" w:color="auto"/>
      </w:divBdr>
    </w:div>
    <w:div w:id="363485222">
      <w:bodyDiv w:val="1"/>
      <w:marLeft w:val="0"/>
      <w:marRight w:val="0"/>
      <w:marTop w:val="0"/>
      <w:marBottom w:val="0"/>
      <w:divBdr>
        <w:top w:val="none" w:sz="0" w:space="0" w:color="auto"/>
        <w:left w:val="none" w:sz="0" w:space="0" w:color="auto"/>
        <w:bottom w:val="none" w:sz="0" w:space="0" w:color="auto"/>
        <w:right w:val="none" w:sz="0" w:space="0" w:color="auto"/>
      </w:divBdr>
    </w:div>
    <w:div w:id="363680040">
      <w:bodyDiv w:val="1"/>
      <w:marLeft w:val="0"/>
      <w:marRight w:val="0"/>
      <w:marTop w:val="0"/>
      <w:marBottom w:val="0"/>
      <w:divBdr>
        <w:top w:val="none" w:sz="0" w:space="0" w:color="auto"/>
        <w:left w:val="none" w:sz="0" w:space="0" w:color="auto"/>
        <w:bottom w:val="none" w:sz="0" w:space="0" w:color="auto"/>
        <w:right w:val="none" w:sz="0" w:space="0" w:color="auto"/>
      </w:divBdr>
    </w:div>
    <w:div w:id="363751968">
      <w:bodyDiv w:val="1"/>
      <w:marLeft w:val="0"/>
      <w:marRight w:val="0"/>
      <w:marTop w:val="0"/>
      <w:marBottom w:val="0"/>
      <w:divBdr>
        <w:top w:val="none" w:sz="0" w:space="0" w:color="auto"/>
        <w:left w:val="none" w:sz="0" w:space="0" w:color="auto"/>
        <w:bottom w:val="none" w:sz="0" w:space="0" w:color="auto"/>
        <w:right w:val="none" w:sz="0" w:space="0" w:color="auto"/>
      </w:divBdr>
    </w:div>
    <w:div w:id="363751995">
      <w:bodyDiv w:val="1"/>
      <w:marLeft w:val="0"/>
      <w:marRight w:val="0"/>
      <w:marTop w:val="0"/>
      <w:marBottom w:val="0"/>
      <w:divBdr>
        <w:top w:val="none" w:sz="0" w:space="0" w:color="auto"/>
        <w:left w:val="none" w:sz="0" w:space="0" w:color="auto"/>
        <w:bottom w:val="none" w:sz="0" w:space="0" w:color="auto"/>
        <w:right w:val="none" w:sz="0" w:space="0" w:color="auto"/>
      </w:divBdr>
    </w:div>
    <w:div w:id="363794490">
      <w:bodyDiv w:val="1"/>
      <w:marLeft w:val="0"/>
      <w:marRight w:val="0"/>
      <w:marTop w:val="0"/>
      <w:marBottom w:val="0"/>
      <w:divBdr>
        <w:top w:val="none" w:sz="0" w:space="0" w:color="auto"/>
        <w:left w:val="none" w:sz="0" w:space="0" w:color="auto"/>
        <w:bottom w:val="none" w:sz="0" w:space="0" w:color="auto"/>
        <w:right w:val="none" w:sz="0" w:space="0" w:color="auto"/>
      </w:divBdr>
    </w:div>
    <w:div w:id="363797451">
      <w:bodyDiv w:val="1"/>
      <w:marLeft w:val="0"/>
      <w:marRight w:val="0"/>
      <w:marTop w:val="0"/>
      <w:marBottom w:val="0"/>
      <w:divBdr>
        <w:top w:val="none" w:sz="0" w:space="0" w:color="auto"/>
        <w:left w:val="none" w:sz="0" w:space="0" w:color="auto"/>
        <w:bottom w:val="none" w:sz="0" w:space="0" w:color="auto"/>
        <w:right w:val="none" w:sz="0" w:space="0" w:color="auto"/>
      </w:divBdr>
    </w:div>
    <w:div w:id="363865620">
      <w:bodyDiv w:val="1"/>
      <w:marLeft w:val="0"/>
      <w:marRight w:val="0"/>
      <w:marTop w:val="0"/>
      <w:marBottom w:val="0"/>
      <w:divBdr>
        <w:top w:val="none" w:sz="0" w:space="0" w:color="auto"/>
        <w:left w:val="none" w:sz="0" w:space="0" w:color="auto"/>
        <w:bottom w:val="none" w:sz="0" w:space="0" w:color="auto"/>
        <w:right w:val="none" w:sz="0" w:space="0" w:color="auto"/>
      </w:divBdr>
    </w:div>
    <w:div w:id="364058212">
      <w:bodyDiv w:val="1"/>
      <w:marLeft w:val="0"/>
      <w:marRight w:val="0"/>
      <w:marTop w:val="0"/>
      <w:marBottom w:val="0"/>
      <w:divBdr>
        <w:top w:val="none" w:sz="0" w:space="0" w:color="auto"/>
        <w:left w:val="none" w:sz="0" w:space="0" w:color="auto"/>
        <w:bottom w:val="none" w:sz="0" w:space="0" w:color="auto"/>
        <w:right w:val="none" w:sz="0" w:space="0" w:color="auto"/>
      </w:divBdr>
    </w:div>
    <w:div w:id="364058912">
      <w:bodyDiv w:val="1"/>
      <w:marLeft w:val="0"/>
      <w:marRight w:val="0"/>
      <w:marTop w:val="0"/>
      <w:marBottom w:val="0"/>
      <w:divBdr>
        <w:top w:val="none" w:sz="0" w:space="0" w:color="auto"/>
        <w:left w:val="none" w:sz="0" w:space="0" w:color="auto"/>
        <w:bottom w:val="none" w:sz="0" w:space="0" w:color="auto"/>
        <w:right w:val="none" w:sz="0" w:space="0" w:color="auto"/>
      </w:divBdr>
    </w:div>
    <w:div w:id="364061186">
      <w:bodyDiv w:val="1"/>
      <w:marLeft w:val="0"/>
      <w:marRight w:val="0"/>
      <w:marTop w:val="0"/>
      <w:marBottom w:val="0"/>
      <w:divBdr>
        <w:top w:val="none" w:sz="0" w:space="0" w:color="auto"/>
        <w:left w:val="none" w:sz="0" w:space="0" w:color="auto"/>
        <w:bottom w:val="none" w:sz="0" w:space="0" w:color="auto"/>
        <w:right w:val="none" w:sz="0" w:space="0" w:color="auto"/>
      </w:divBdr>
    </w:div>
    <w:div w:id="364061587">
      <w:bodyDiv w:val="1"/>
      <w:marLeft w:val="0"/>
      <w:marRight w:val="0"/>
      <w:marTop w:val="0"/>
      <w:marBottom w:val="0"/>
      <w:divBdr>
        <w:top w:val="none" w:sz="0" w:space="0" w:color="auto"/>
        <w:left w:val="none" w:sz="0" w:space="0" w:color="auto"/>
        <w:bottom w:val="none" w:sz="0" w:space="0" w:color="auto"/>
        <w:right w:val="none" w:sz="0" w:space="0" w:color="auto"/>
      </w:divBdr>
    </w:div>
    <w:div w:id="364216127">
      <w:bodyDiv w:val="1"/>
      <w:marLeft w:val="0"/>
      <w:marRight w:val="0"/>
      <w:marTop w:val="0"/>
      <w:marBottom w:val="0"/>
      <w:divBdr>
        <w:top w:val="none" w:sz="0" w:space="0" w:color="auto"/>
        <w:left w:val="none" w:sz="0" w:space="0" w:color="auto"/>
        <w:bottom w:val="none" w:sz="0" w:space="0" w:color="auto"/>
        <w:right w:val="none" w:sz="0" w:space="0" w:color="auto"/>
      </w:divBdr>
    </w:div>
    <w:div w:id="364328336">
      <w:bodyDiv w:val="1"/>
      <w:marLeft w:val="0"/>
      <w:marRight w:val="0"/>
      <w:marTop w:val="0"/>
      <w:marBottom w:val="0"/>
      <w:divBdr>
        <w:top w:val="none" w:sz="0" w:space="0" w:color="auto"/>
        <w:left w:val="none" w:sz="0" w:space="0" w:color="auto"/>
        <w:bottom w:val="none" w:sz="0" w:space="0" w:color="auto"/>
        <w:right w:val="none" w:sz="0" w:space="0" w:color="auto"/>
      </w:divBdr>
    </w:div>
    <w:div w:id="364403075">
      <w:bodyDiv w:val="1"/>
      <w:marLeft w:val="0"/>
      <w:marRight w:val="0"/>
      <w:marTop w:val="0"/>
      <w:marBottom w:val="0"/>
      <w:divBdr>
        <w:top w:val="none" w:sz="0" w:space="0" w:color="auto"/>
        <w:left w:val="none" w:sz="0" w:space="0" w:color="auto"/>
        <w:bottom w:val="none" w:sz="0" w:space="0" w:color="auto"/>
        <w:right w:val="none" w:sz="0" w:space="0" w:color="auto"/>
      </w:divBdr>
    </w:div>
    <w:div w:id="364447059">
      <w:bodyDiv w:val="1"/>
      <w:marLeft w:val="0"/>
      <w:marRight w:val="0"/>
      <w:marTop w:val="0"/>
      <w:marBottom w:val="0"/>
      <w:divBdr>
        <w:top w:val="none" w:sz="0" w:space="0" w:color="auto"/>
        <w:left w:val="none" w:sz="0" w:space="0" w:color="auto"/>
        <w:bottom w:val="none" w:sz="0" w:space="0" w:color="auto"/>
        <w:right w:val="none" w:sz="0" w:space="0" w:color="auto"/>
      </w:divBdr>
    </w:div>
    <w:div w:id="364526006">
      <w:bodyDiv w:val="1"/>
      <w:marLeft w:val="0"/>
      <w:marRight w:val="0"/>
      <w:marTop w:val="0"/>
      <w:marBottom w:val="0"/>
      <w:divBdr>
        <w:top w:val="none" w:sz="0" w:space="0" w:color="auto"/>
        <w:left w:val="none" w:sz="0" w:space="0" w:color="auto"/>
        <w:bottom w:val="none" w:sz="0" w:space="0" w:color="auto"/>
        <w:right w:val="none" w:sz="0" w:space="0" w:color="auto"/>
      </w:divBdr>
    </w:div>
    <w:div w:id="364527842">
      <w:bodyDiv w:val="1"/>
      <w:marLeft w:val="0"/>
      <w:marRight w:val="0"/>
      <w:marTop w:val="0"/>
      <w:marBottom w:val="0"/>
      <w:divBdr>
        <w:top w:val="none" w:sz="0" w:space="0" w:color="auto"/>
        <w:left w:val="none" w:sz="0" w:space="0" w:color="auto"/>
        <w:bottom w:val="none" w:sz="0" w:space="0" w:color="auto"/>
        <w:right w:val="none" w:sz="0" w:space="0" w:color="auto"/>
      </w:divBdr>
    </w:div>
    <w:div w:id="364599462">
      <w:bodyDiv w:val="1"/>
      <w:marLeft w:val="0"/>
      <w:marRight w:val="0"/>
      <w:marTop w:val="0"/>
      <w:marBottom w:val="0"/>
      <w:divBdr>
        <w:top w:val="none" w:sz="0" w:space="0" w:color="auto"/>
        <w:left w:val="none" w:sz="0" w:space="0" w:color="auto"/>
        <w:bottom w:val="none" w:sz="0" w:space="0" w:color="auto"/>
        <w:right w:val="none" w:sz="0" w:space="0" w:color="auto"/>
      </w:divBdr>
    </w:div>
    <w:div w:id="364642799">
      <w:bodyDiv w:val="1"/>
      <w:marLeft w:val="0"/>
      <w:marRight w:val="0"/>
      <w:marTop w:val="0"/>
      <w:marBottom w:val="0"/>
      <w:divBdr>
        <w:top w:val="none" w:sz="0" w:space="0" w:color="auto"/>
        <w:left w:val="none" w:sz="0" w:space="0" w:color="auto"/>
        <w:bottom w:val="none" w:sz="0" w:space="0" w:color="auto"/>
        <w:right w:val="none" w:sz="0" w:space="0" w:color="auto"/>
      </w:divBdr>
    </w:div>
    <w:div w:id="364718473">
      <w:bodyDiv w:val="1"/>
      <w:marLeft w:val="0"/>
      <w:marRight w:val="0"/>
      <w:marTop w:val="0"/>
      <w:marBottom w:val="0"/>
      <w:divBdr>
        <w:top w:val="none" w:sz="0" w:space="0" w:color="auto"/>
        <w:left w:val="none" w:sz="0" w:space="0" w:color="auto"/>
        <w:bottom w:val="none" w:sz="0" w:space="0" w:color="auto"/>
        <w:right w:val="none" w:sz="0" w:space="0" w:color="auto"/>
      </w:divBdr>
    </w:div>
    <w:div w:id="364789063">
      <w:bodyDiv w:val="1"/>
      <w:marLeft w:val="0"/>
      <w:marRight w:val="0"/>
      <w:marTop w:val="0"/>
      <w:marBottom w:val="0"/>
      <w:divBdr>
        <w:top w:val="none" w:sz="0" w:space="0" w:color="auto"/>
        <w:left w:val="none" w:sz="0" w:space="0" w:color="auto"/>
        <w:bottom w:val="none" w:sz="0" w:space="0" w:color="auto"/>
        <w:right w:val="none" w:sz="0" w:space="0" w:color="auto"/>
      </w:divBdr>
    </w:div>
    <w:div w:id="364869250">
      <w:bodyDiv w:val="1"/>
      <w:marLeft w:val="0"/>
      <w:marRight w:val="0"/>
      <w:marTop w:val="0"/>
      <w:marBottom w:val="0"/>
      <w:divBdr>
        <w:top w:val="none" w:sz="0" w:space="0" w:color="auto"/>
        <w:left w:val="none" w:sz="0" w:space="0" w:color="auto"/>
        <w:bottom w:val="none" w:sz="0" w:space="0" w:color="auto"/>
        <w:right w:val="none" w:sz="0" w:space="0" w:color="auto"/>
      </w:divBdr>
    </w:div>
    <w:div w:id="364870952">
      <w:bodyDiv w:val="1"/>
      <w:marLeft w:val="0"/>
      <w:marRight w:val="0"/>
      <w:marTop w:val="0"/>
      <w:marBottom w:val="0"/>
      <w:divBdr>
        <w:top w:val="none" w:sz="0" w:space="0" w:color="auto"/>
        <w:left w:val="none" w:sz="0" w:space="0" w:color="auto"/>
        <w:bottom w:val="none" w:sz="0" w:space="0" w:color="auto"/>
        <w:right w:val="none" w:sz="0" w:space="0" w:color="auto"/>
      </w:divBdr>
    </w:div>
    <w:div w:id="365102610">
      <w:bodyDiv w:val="1"/>
      <w:marLeft w:val="0"/>
      <w:marRight w:val="0"/>
      <w:marTop w:val="0"/>
      <w:marBottom w:val="0"/>
      <w:divBdr>
        <w:top w:val="none" w:sz="0" w:space="0" w:color="auto"/>
        <w:left w:val="none" w:sz="0" w:space="0" w:color="auto"/>
        <w:bottom w:val="none" w:sz="0" w:space="0" w:color="auto"/>
        <w:right w:val="none" w:sz="0" w:space="0" w:color="auto"/>
      </w:divBdr>
    </w:div>
    <w:div w:id="365176553">
      <w:bodyDiv w:val="1"/>
      <w:marLeft w:val="0"/>
      <w:marRight w:val="0"/>
      <w:marTop w:val="0"/>
      <w:marBottom w:val="0"/>
      <w:divBdr>
        <w:top w:val="none" w:sz="0" w:space="0" w:color="auto"/>
        <w:left w:val="none" w:sz="0" w:space="0" w:color="auto"/>
        <w:bottom w:val="none" w:sz="0" w:space="0" w:color="auto"/>
        <w:right w:val="none" w:sz="0" w:space="0" w:color="auto"/>
      </w:divBdr>
    </w:div>
    <w:div w:id="365253556">
      <w:bodyDiv w:val="1"/>
      <w:marLeft w:val="0"/>
      <w:marRight w:val="0"/>
      <w:marTop w:val="0"/>
      <w:marBottom w:val="0"/>
      <w:divBdr>
        <w:top w:val="none" w:sz="0" w:space="0" w:color="auto"/>
        <w:left w:val="none" w:sz="0" w:space="0" w:color="auto"/>
        <w:bottom w:val="none" w:sz="0" w:space="0" w:color="auto"/>
        <w:right w:val="none" w:sz="0" w:space="0" w:color="auto"/>
      </w:divBdr>
    </w:div>
    <w:div w:id="365258190">
      <w:bodyDiv w:val="1"/>
      <w:marLeft w:val="0"/>
      <w:marRight w:val="0"/>
      <w:marTop w:val="0"/>
      <w:marBottom w:val="0"/>
      <w:divBdr>
        <w:top w:val="none" w:sz="0" w:space="0" w:color="auto"/>
        <w:left w:val="none" w:sz="0" w:space="0" w:color="auto"/>
        <w:bottom w:val="none" w:sz="0" w:space="0" w:color="auto"/>
        <w:right w:val="none" w:sz="0" w:space="0" w:color="auto"/>
      </w:divBdr>
    </w:div>
    <w:div w:id="365369436">
      <w:bodyDiv w:val="1"/>
      <w:marLeft w:val="0"/>
      <w:marRight w:val="0"/>
      <w:marTop w:val="0"/>
      <w:marBottom w:val="0"/>
      <w:divBdr>
        <w:top w:val="none" w:sz="0" w:space="0" w:color="auto"/>
        <w:left w:val="none" w:sz="0" w:space="0" w:color="auto"/>
        <w:bottom w:val="none" w:sz="0" w:space="0" w:color="auto"/>
        <w:right w:val="none" w:sz="0" w:space="0" w:color="auto"/>
      </w:divBdr>
    </w:div>
    <w:div w:id="365371582">
      <w:bodyDiv w:val="1"/>
      <w:marLeft w:val="0"/>
      <w:marRight w:val="0"/>
      <w:marTop w:val="0"/>
      <w:marBottom w:val="0"/>
      <w:divBdr>
        <w:top w:val="none" w:sz="0" w:space="0" w:color="auto"/>
        <w:left w:val="none" w:sz="0" w:space="0" w:color="auto"/>
        <w:bottom w:val="none" w:sz="0" w:space="0" w:color="auto"/>
        <w:right w:val="none" w:sz="0" w:space="0" w:color="auto"/>
      </w:divBdr>
    </w:div>
    <w:div w:id="365567461">
      <w:bodyDiv w:val="1"/>
      <w:marLeft w:val="0"/>
      <w:marRight w:val="0"/>
      <w:marTop w:val="0"/>
      <w:marBottom w:val="0"/>
      <w:divBdr>
        <w:top w:val="none" w:sz="0" w:space="0" w:color="auto"/>
        <w:left w:val="none" w:sz="0" w:space="0" w:color="auto"/>
        <w:bottom w:val="none" w:sz="0" w:space="0" w:color="auto"/>
        <w:right w:val="none" w:sz="0" w:space="0" w:color="auto"/>
      </w:divBdr>
    </w:div>
    <w:div w:id="365637539">
      <w:bodyDiv w:val="1"/>
      <w:marLeft w:val="0"/>
      <w:marRight w:val="0"/>
      <w:marTop w:val="0"/>
      <w:marBottom w:val="0"/>
      <w:divBdr>
        <w:top w:val="none" w:sz="0" w:space="0" w:color="auto"/>
        <w:left w:val="none" w:sz="0" w:space="0" w:color="auto"/>
        <w:bottom w:val="none" w:sz="0" w:space="0" w:color="auto"/>
        <w:right w:val="none" w:sz="0" w:space="0" w:color="auto"/>
      </w:divBdr>
    </w:div>
    <w:div w:id="365713693">
      <w:bodyDiv w:val="1"/>
      <w:marLeft w:val="0"/>
      <w:marRight w:val="0"/>
      <w:marTop w:val="0"/>
      <w:marBottom w:val="0"/>
      <w:divBdr>
        <w:top w:val="none" w:sz="0" w:space="0" w:color="auto"/>
        <w:left w:val="none" w:sz="0" w:space="0" w:color="auto"/>
        <w:bottom w:val="none" w:sz="0" w:space="0" w:color="auto"/>
        <w:right w:val="none" w:sz="0" w:space="0" w:color="auto"/>
      </w:divBdr>
    </w:div>
    <w:div w:id="365717714">
      <w:bodyDiv w:val="1"/>
      <w:marLeft w:val="0"/>
      <w:marRight w:val="0"/>
      <w:marTop w:val="0"/>
      <w:marBottom w:val="0"/>
      <w:divBdr>
        <w:top w:val="none" w:sz="0" w:space="0" w:color="auto"/>
        <w:left w:val="none" w:sz="0" w:space="0" w:color="auto"/>
        <w:bottom w:val="none" w:sz="0" w:space="0" w:color="auto"/>
        <w:right w:val="none" w:sz="0" w:space="0" w:color="auto"/>
      </w:divBdr>
    </w:div>
    <w:div w:id="365720309">
      <w:bodyDiv w:val="1"/>
      <w:marLeft w:val="0"/>
      <w:marRight w:val="0"/>
      <w:marTop w:val="0"/>
      <w:marBottom w:val="0"/>
      <w:divBdr>
        <w:top w:val="none" w:sz="0" w:space="0" w:color="auto"/>
        <w:left w:val="none" w:sz="0" w:space="0" w:color="auto"/>
        <w:bottom w:val="none" w:sz="0" w:space="0" w:color="auto"/>
        <w:right w:val="none" w:sz="0" w:space="0" w:color="auto"/>
      </w:divBdr>
    </w:div>
    <w:div w:id="365721188">
      <w:bodyDiv w:val="1"/>
      <w:marLeft w:val="0"/>
      <w:marRight w:val="0"/>
      <w:marTop w:val="0"/>
      <w:marBottom w:val="0"/>
      <w:divBdr>
        <w:top w:val="none" w:sz="0" w:space="0" w:color="auto"/>
        <w:left w:val="none" w:sz="0" w:space="0" w:color="auto"/>
        <w:bottom w:val="none" w:sz="0" w:space="0" w:color="auto"/>
        <w:right w:val="none" w:sz="0" w:space="0" w:color="auto"/>
      </w:divBdr>
    </w:div>
    <w:div w:id="365757278">
      <w:bodyDiv w:val="1"/>
      <w:marLeft w:val="0"/>
      <w:marRight w:val="0"/>
      <w:marTop w:val="0"/>
      <w:marBottom w:val="0"/>
      <w:divBdr>
        <w:top w:val="none" w:sz="0" w:space="0" w:color="auto"/>
        <w:left w:val="none" w:sz="0" w:space="0" w:color="auto"/>
        <w:bottom w:val="none" w:sz="0" w:space="0" w:color="auto"/>
        <w:right w:val="none" w:sz="0" w:space="0" w:color="auto"/>
      </w:divBdr>
    </w:div>
    <w:div w:id="365760997">
      <w:bodyDiv w:val="1"/>
      <w:marLeft w:val="0"/>
      <w:marRight w:val="0"/>
      <w:marTop w:val="0"/>
      <w:marBottom w:val="0"/>
      <w:divBdr>
        <w:top w:val="none" w:sz="0" w:space="0" w:color="auto"/>
        <w:left w:val="none" w:sz="0" w:space="0" w:color="auto"/>
        <w:bottom w:val="none" w:sz="0" w:space="0" w:color="auto"/>
        <w:right w:val="none" w:sz="0" w:space="0" w:color="auto"/>
      </w:divBdr>
    </w:div>
    <w:div w:id="365832272">
      <w:bodyDiv w:val="1"/>
      <w:marLeft w:val="0"/>
      <w:marRight w:val="0"/>
      <w:marTop w:val="0"/>
      <w:marBottom w:val="0"/>
      <w:divBdr>
        <w:top w:val="none" w:sz="0" w:space="0" w:color="auto"/>
        <w:left w:val="none" w:sz="0" w:space="0" w:color="auto"/>
        <w:bottom w:val="none" w:sz="0" w:space="0" w:color="auto"/>
        <w:right w:val="none" w:sz="0" w:space="0" w:color="auto"/>
      </w:divBdr>
    </w:div>
    <w:div w:id="365835011">
      <w:bodyDiv w:val="1"/>
      <w:marLeft w:val="0"/>
      <w:marRight w:val="0"/>
      <w:marTop w:val="0"/>
      <w:marBottom w:val="0"/>
      <w:divBdr>
        <w:top w:val="none" w:sz="0" w:space="0" w:color="auto"/>
        <w:left w:val="none" w:sz="0" w:space="0" w:color="auto"/>
        <w:bottom w:val="none" w:sz="0" w:space="0" w:color="auto"/>
        <w:right w:val="none" w:sz="0" w:space="0" w:color="auto"/>
      </w:divBdr>
    </w:div>
    <w:div w:id="365908398">
      <w:bodyDiv w:val="1"/>
      <w:marLeft w:val="0"/>
      <w:marRight w:val="0"/>
      <w:marTop w:val="0"/>
      <w:marBottom w:val="0"/>
      <w:divBdr>
        <w:top w:val="none" w:sz="0" w:space="0" w:color="auto"/>
        <w:left w:val="none" w:sz="0" w:space="0" w:color="auto"/>
        <w:bottom w:val="none" w:sz="0" w:space="0" w:color="auto"/>
        <w:right w:val="none" w:sz="0" w:space="0" w:color="auto"/>
      </w:divBdr>
    </w:div>
    <w:div w:id="365908569">
      <w:bodyDiv w:val="1"/>
      <w:marLeft w:val="0"/>
      <w:marRight w:val="0"/>
      <w:marTop w:val="0"/>
      <w:marBottom w:val="0"/>
      <w:divBdr>
        <w:top w:val="none" w:sz="0" w:space="0" w:color="auto"/>
        <w:left w:val="none" w:sz="0" w:space="0" w:color="auto"/>
        <w:bottom w:val="none" w:sz="0" w:space="0" w:color="auto"/>
        <w:right w:val="none" w:sz="0" w:space="0" w:color="auto"/>
      </w:divBdr>
    </w:div>
    <w:div w:id="366224003">
      <w:bodyDiv w:val="1"/>
      <w:marLeft w:val="0"/>
      <w:marRight w:val="0"/>
      <w:marTop w:val="0"/>
      <w:marBottom w:val="0"/>
      <w:divBdr>
        <w:top w:val="none" w:sz="0" w:space="0" w:color="auto"/>
        <w:left w:val="none" w:sz="0" w:space="0" w:color="auto"/>
        <w:bottom w:val="none" w:sz="0" w:space="0" w:color="auto"/>
        <w:right w:val="none" w:sz="0" w:space="0" w:color="auto"/>
      </w:divBdr>
    </w:div>
    <w:div w:id="366302063">
      <w:bodyDiv w:val="1"/>
      <w:marLeft w:val="0"/>
      <w:marRight w:val="0"/>
      <w:marTop w:val="0"/>
      <w:marBottom w:val="0"/>
      <w:divBdr>
        <w:top w:val="none" w:sz="0" w:space="0" w:color="auto"/>
        <w:left w:val="none" w:sz="0" w:space="0" w:color="auto"/>
        <w:bottom w:val="none" w:sz="0" w:space="0" w:color="auto"/>
        <w:right w:val="none" w:sz="0" w:space="0" w:color="auto"/>
      </w:divBdr>
    </w:div>
    <w:div w:id="366371015">
      <w:bodyDiv w:val="1"/>
      <w:marLeft w:val="0"/>
      <w:marRight w:val="0"/>
      <w:marTop w:val="0"/>
      <w:marBottom w:val="0"/>
      <w:divBdr>
        <w:top w:val="none" w:sz="0" w:space="0" w:color="auto"/>
        <w:left w:val="none" w:sz="0" w:space="0" w:color="auto"/>
        <w:bottom w:val="none" w:sz="0" w:space="0" w:color="auto"/>
        <w:right w:val="none" w:sz="0" w:space="0" w:color="auto"/>
      </w:divBdr>
    </w:div>
    <w:div w:id="366418108">
      <w:bodyDiv w:val="1"/>
      <w:marLeft w:val="0"/>
      <w:marRight w:val="0"/>
      <w:marTop w:val="0"/>
      <w:marBottom w:val="0"/>
      <w:divBdr>
        <w:top w:val="none" w:sz="0" w:space="0" w:color="auto"/>
        <w:left w:val="none" w:sz="0" w:space="0" w:color="auto"/>
        <w:bottom w:val="none" w:sz="0" w:space="0" w:color="auto"/>
        <w:right w:val="none" w:sz="0" w:space="0" w:color="auto"/>
      </w:divBdr>
    </w:div>
    <w:div w:id="366640189">
      <w:bodyDiv w:val="1"/>
      <w:marLeft w:val="0"/>
      <w:marRight w:val="0"/>
      <w:marTop w:val="0"/>
      <w:marBottom w:val="0"/>
      <w:divBdr>
        <w:top w:val="none" w:sz="0" w:space="0" w:color="auto"/>
        <w:left w:val="none" w:sz="0" w:space="0" w:color="auto"/>
        <w:bottom w:val="none" w:sz="0" w:space="0" w:color="auto"/>
        <w:right w:val="none" w:sz="0" w:space="0" w:color="auto"/>
      </w:divBdr>
    </w:div>
    <w:div w:id="366680266">
      <w:bodyDiv w:val="1"/>
      <w:marLeft w:val="0"/>
      <w:marRight w:val="0"/>
      <w:marTop w:val="0"/>
      <w:marBottom w:val="0"/>
      <w:divBdr>
        <w:top w:val="none" w:sz="0" w:space="0" w:color="auto"/>
        <w:left w:val="none" w:sz="0" w:space="0" w:color="auto"/>
        <w:bottom w:val="none" w:sz="0" w:space="0" w:color="auto"/>
        <w:right w:val="none" w:sz="0" w:space="0" w:color="auto"/>
      </w:divBdr>
    </w:div>
    <w:div w:id="366686583">
      <w:bodyDiv w:val="1"/>
      <w:marLeft w:val="0"/>
      <w:marRight w:val="0"/>
      <w:marTop w:val="0"/>
      <w:marBottom w:val="0"/>
      <w:divBdr>
        <w:top w:val="none" w:sz="0" w:space="0" w:color="auto"/>
        <w:left w:val="none" w:sz="0" w:space="0" w:color="auto"/>
        <w:bottom w:val="none" w:sz="0" w:space="0" w:color="auto"/>
        <w:right w:val="none" w:sz="0" w:space="0" w:color="auto"/>
      </w:divBdr>
    </w:div>
    <w:div w:id="366833127">
      <w:bodyDiv w:val="1"/>
      <w:marLeft w:val="0"/>
      <w:marRight w:val="0"/>
      <w:marTop w:val="0"/>
      <w:marBottom w:val="0"/>
      <w:divBdr>
        <w:top w:val="none" w:sz="0" w:space="0" w:color="auto"/>
        <w:left w:val="none" w:sz="0" w:space="0" w:color="auto"/>
        <w:bottom w:val="none" w:sz="0" w:space="0" w:color="auto"/>
        <w:right w:val="none" w:sz="0" w:space="0" w:color="auto"/>
      </w:divBdr>
    </w:div>
    <w:div w:id="366950317">
      <w:bodyDiv w:val="1"/>
      <w:marLeft w:val="0"/>
      <w:marRight w:val="0"/>
      <w:marTop w:val="0"/>
      <w:marBottom w:val="0"/>
      <w:divBdr>
        <w:top w:val="none" w:sz="0" w:space="0" w:color="auto"/>
        <w:left w:val="none" w:sz="0" w:space="0" w:color="auto"/>
        <w:bottom w:val="none" w:sz="0" w:space="0" w:color="auto"/>
        <w:right w:val="none" w:sz="0" w:space="0" w:color="auto"/>
      </w:divBdr>
    </w:div>
    <w:div w:id="366951113">
      <w:bodyDiv w:val="1"/>
      <w:marLeft w:val="0"/>
      <w:marRight w:val="0"/>
      <w:marTop w:val="0"/>
      <w:marBottom w:val="0"/>
      <w:divBdr>
        <w:top w:val="none" w:sz="0" w:space="0" w:color="auto"/>
        <w:left w:val="none" w:sz="0" w:space="0" w:color="auto"/>
        <w:bottom w:val="none" w:sz="0" w:space="0" w:color="auto"/>
        <w:right w:val="none" w:sz="0" w:space="0" w:color="auto"/>
      </w:divBdr>
    </w:div>
    <w:div w:id="367025659">
      <w:bodyDiv w:val="1"/>
      <w:marLeft w:val="0"/>
      <w:marRight w:val="0"/>
      <w:marTop w:val="0"/>
      <w:marBottom w:val="0"/>
      <w:divBdr>
        <w:top w:val="none" w:sz="0" w:space="0" w:color="auto"/>
        <w:left w:val="none" w:sz="0" w:space="0" w:color="auto"/>
        <w:bottom w:val="none" w:sz="0" w:space="0" w:color="auto"/>
        <w:right w:val="none" w:sz="0" w:space="0" w:color="auto"/>
      </w:divBdr>
    </w:div>
    <w:div w:id="367026693">
      <w:bodyDiv w:val="1"/>
      <w:marLeft w:val="0"/>
      <w:marRight w:val="0"/>
      <w:marTop w:val="0"/>
      <w:marBottom w:val="0"/>
      <w:divBdr>
        <w:top w:val="none" w:sz="0" w:space="0" w:color="auto"/>
        <w:left w:val="none" w:sz="0" w:space="0" w:color="auto"/>
        <w:bottom w:val="none" w:sz="0" w:space="0" w:color="auto"/>
        <w:right w:val="none" w:sz="0" w:space="0" w:color="auto"/>
      </w:divBdr>
    </w:div>
    <w:div w:id="367031624">
      <w:bodyDiv w:val="1"/>
      <w:marLeft w:val="0"/>
      <w:marRight w:val="0"/>
      <w:marTop w:val="0"/>
      <w:marBottom w:val="0"/>
      <w:divBdr>
        <w:top w:val="none" w:sz="0" w:space="0" w:color="auto"/>
        <w:left w:val="none" w:sz="0" w:space="0" w:color="auto"/>
        <w:bottom w:val="none" w:sz="0" w:space="0" w:color="auto"/>
        <w:right w:val="none" w:sz="0" w:space="0" w:color="auto"/>
      </w:divBdr>
    </w:div>
    <w:div w:id="367072129">
      <w:bodyDiv w:val="1"/>
      <w:marLeft w:val="0"/>
      <w:marRight w:val="0"/>
      <w:marTop w:val="0"/>
      <w:marBottom w:val="0"/>
      <w:divBdr>
        <w:top w:val="none" w:sz="0" w:space="0" w:color="auto"/>
        <w:left w:val="none" w:sz="0" w:space="0" w:color="auto"/>
        <w:bottom w:val="none" w:sz="0" w:space="0" w:color="auto"/>
        <w:right w:val="none" w:sz="0" w:space="0" w:color="auto"/>
      </w:divBdr>
    </w:div>
    <w:div w:id="367142594">
      <w:bodyDiv w:val="1"/>
      <w:marLeft w:val="0"/>
      <w:marRight w:val="0"/>
      <w:marTop w:val="0"/>
      <w:marBottom w:val="0"/>
      <w:divBdr>
        <w:top w:val="none" w:sz="0" w:space="0" w:color="auto"/>
        <w:left w:val="none" w:sz="0" w:space="0" w:color="auto"/>
        <w:bottom w:val="none" w:sz="0" w:space="0" w:color="auto"/>
        <w:right w:val="none" w:sz="0" w:space="0" w:color="auto"/>
      </w:divBdr>
    </w:div>
    <w:div w:id="367149183">
      <w:bodyDiv w:val="1"/>
      <w:marLeft w:val="0"/>
      <w:marRight w:val="0"/>
      <w:marTop w:val="0"/>
      <w:marBottom w:val="0"/>
      <w:divBdr>
        <w:top w:val="none" w:sz="0" w:space="0" w:color="auto"/>
        <w:left w:val="none" w:sz="0" w:space="0" w:color="auto"/>
        <w:bottom w:val="none" w:sz="0" w:space="0" w:color="auto"/>
        <w:right w:val="none" w:sz="0" w:space="0" w:color="auto"/>
      </w:divBdr>
    </w:div>
    <w:div w:id="367222914">
      <w:bodyDiv w:val="1"/>
      <w:marLeft w:val="0"/>
      <w:marRight w:val="0"/>
      <w:marTop w:val="0"/>
      <w:marBottom w:val="0"/>
      <w:divBdr>
        <w:top w:val="none" w:sz="0" w:space="0" w:color="auto"/>
        <w:left w:val="none" w:sz="0" w:space="0" w:color="auto"/>
        <w:bottom w:val="none" w:sz="0" w:space="0" w:color="auto"/>
        <w:right w:val="none" w:sz="0" w:space="0" w:color="auto"/>
      </w:divBdr>
    </w:div>
    <w:div w:id="367339186">
      <w:bodyDiv w:val="1"/>
      <w:marLeft w:val="0"/>
      <w:marRight w:val="0"/>
      <w:marTop w:val="0"/>
      <w:marBottom w:val="0"/>
      <w:divBdr>
        <w:top w:val="none" w:sz="0" w:space="0" w:color="auto"/>
        <w:left w:val="none" w:sz="0" w:space="0" w:color="auto"/>
        <w:bottom w:val="none" w:sz="0" w:space="0" w:color="auto"/>
        <w:right w:val="none" w:sz="0" w:space="0" w:color="auto"/>
      </w:divBdr>
    </w:div>
    <w:div w:id="367416601">
      <w:bodyDiv w:val="1"/>
      <w:marLeft w:val="0"/>
      <w:marRight w:val="0"/>
      <w:marTop w:val="0"/>
      <w:marBottom w:val="0"/>
      <w:divBdr>
        <w:top w:val="none" w:sz="0" w:space="0" w:color="auto"/>
        <w:left w:val="none" w:sz="0" w:space="0" w:color="auto"/>
        <w:bottom w:val="none" w:sz="0" w:space="0" w:color="auto"/>
        <w:right w:val="none" w:sz="0" w:space="0" w:color="auto"/>
      </w:divBdr>
    </w:div>
    <w:div w:id="367530678">
      <w:bodyDiv w:val="1"/>
      <w:marLeft w:val="0"/>
      <w:marRight w:val="0"/>
      <w:marTop w:val="0"/>
      <w:marBottom w:val="0"/>
      <w:divBdr>
        <w:top w:val="none" w:sz="0" w:space="0" w:color="auto"/>
        <w:left w:val="none" w:sz="0" w:space="0" w:color="auto"/>
        <w:bottom w:val="none" w:sz="0" w:space="0" w:color="auto"/>
        <w:right w:val="none" w:sz="0" w:space="0" w:color="auto"/>
      </w:divBdr>
    </w:div>
    <w:div w:id="367611264">
      <w:bodyDiv w:val="1"/>
      <w:marLeft w:val="0"/>
      <w:marRight w:val="0"/>
      <w:marTop w:val="0"/>
      <w:marBottom w:val="0"/>
      <w:divBdr>
        <w:top w:val="none" w:sz="0" w:space="0" w:color="auto"/>
        <w:left w:val="none" w:sz="0" w:space="0" w:color="auto"/>
        <w:bottom w:val="none" w:sz="0" w:space="0" w:color="auto"/>
        <w:right w:val="none" w:sz="0" w:space="0" w:color="auto"/>
      </w:divBdr>
    </w:div>
    <w:div w:id="367681376">
      <w:bodyDiv w:val="1"/>
      <w:marLeft w:val="0"/>
      <w:marRight w:val="0"/>
      <w:marTop w:val="0"/>
      <w:marBottom w:val="0"/>
      <w:divBdr>
        <w:top w:val="none" w:sz="0" w:space="0" w:color="auto"/>
        <w:left w:val="none" w:sz="0" w:space="0" w:color="auto"/>
        <w:bottom w:val="none" w:sz="0" w:space="0" w:color="auto"/>
        <w:right w:val="none" w:sz="0" w:space="0" w:color="auto"/>
      </w:divBdr>
    </w:div>
    <w:div w:id="367684353">
      <w:bodyDiv w:val="1"/>
      <w:marLeft w:val="0"/>
      <w:marRight w:val="0"/>
      <w:marTop w:val="0"/>
      <w:marBottom w:val="0"/>
      <w:divBdr>
        <w:top w:val="none" w:sz="0" w:space="0" w:color="auto"/>
        <w:left w:val="none" w:sz="0" w:space="0" w:color="auto"/>
        <w:bottom w:val="none" w:sz="0" w:space="0" w:color="auto"/>
        <w:right w:val="none" w:sz="0" w:space="0" w:color="auto"/>
      </w:divBdr>
    </w:div>
    <w:div w:id="367729070">
      <w:bodyDiv w:val="1"/>
      <w:marLeft w:val="0"/>
      <w:marRight w:val="0"/>
      <w:marTop w:val="0"/>
      <w:marBottom w:val="0"/>
      <w:divBdr>
        <w:top w:val="none" w:sz="0" w:space="0" w:color="auto"/>
        <w:left w:val="none" w:sz="0" w:space="0" w:color="auto"/>
        <w:bottom w:val="none" w:sz="0" w:space="0" w:color="auto"/>
        <w:right w:val="none" w:sz="0" w:space="0" w:color="auto"/>
      </w:divBdr>
    </w:div>
    <w:div w:id="367730481">
      <w:bodyDiv w:val="1"/>
      <w:marLeft w:val="0"/>
      <w:marRight w:val="0"/>
      <w:marTop w:val="0"/>
      <w:marBottom w:val="0"/>
      <w:divBdr>
        <w:top w:val="none" w:sz="0" w:space="0" w:color="auto"/>
        <w:left w:val="none" w:sz="0" w:space="0" w:color="auto"/>
        <w:bottom w:val="none" w:sz="0" w:space="0" w:color="auto"/>
        <w:right w:val="none" w:sz="0" w:space="0" w:color="auto"/>
      </w:divBdr>
    </w:div>
    <w:div w:id="367879751">
      <w:bodyDiv w:val="1"/>
      <w:marLeft w:val="0"/>
      <w:marRight w:val="0"/>
      <w:marTop w:val="0"/>
      <w:marBottom w:val="0"/>
      <w:divBdr>
        <w:top w:val="none" w:sz="0" w:space="0" w:color="auto"/>
        <w:left w:val="none" w:sz="0" w:space="0" w:color="auto"/>
        <w:bottom w:val="none" w:sz="0" w:space="0" w:color="auto"/>
        <w:right w:val="none" w:sz="0" w:space="0" w:color="auto"/>
      </w:divBdr>
    </w:div>
    <w:div w:id="367881093">
      <w:bodyDiv w:val="1"/>
      <w:marLeft w:val="0"/>
      <w:marRight w:val="0"/>
      <w:marTop w:val="0"/>
      <w:marBottom w:val="0"/>
      <w:divBdr>
        <w:top w:val="none" w:sz="0" w:space="0" w:color="auto"/>
        <w:left w:val="none" w:sz="0" w:space="0" w:color="auto"/>
        <w:bottom w:val="none" w:sz="0" w:space="0" w:color="auto"/>
        <w:right w:val="none" w:sz="0" w:space="0" w:color="auto"/>
      </w:divBdr>
    </w:div>
    <w:div w:id="368146049">
      <w:bodyDiv w:val="1"/>
      <w:marLeft w:val="0"/>
      <w:marRight w:val="0"/>
      <w:marTop w:val="0"/>
      <w:marBottom w:val="0"/>
      <w:divBdr>
        <w:top w:val="none" w:sz="0" w:space="0" w:color="auto"/>
        <w:left w:val="none" w:sz="0" w:space="0" w:color="auto"/>
        <w:bottom w:val="none" w:sz="0" w:space="0" w:color="auto"/>
        <w:right w:val="none" w:sz="0" w:space="0" w:color="auto"/>
      </w:divBdr>
    </w:div>
    <w:div w:id="368189064">
      <w:bodyDiv w:val="1"/>
      <w:marLeft w:val="0"/>
      <w:marRight w:val="0"/>
      <w:marTop w:val="0"/>
      <w:marBottom w:val="0"/>
      <w:divBdr>
        <w:top w:val="none" w:sz="0" w:space="0" w:color="auto"/>
        <w:left w:val="none" w:sz="0" w:space="0" w:color="auto"/>
        <w:bottom w:val="none" w:sz="0" w:space="0" w:color="auto"/>
        <w:right w:val="none" w:sz="0" w:space="0" w:color="auto"/>
      </w:divBdr>
    </w:div>
    <w:div w:id="368261483">
      <w:bodyDiv w:val="1"/>
      <w:marLeft w:val="0"/>
      <w:marRight w:val="0"/>
      <w:marTop w:val="0"/>
      <w:marBottom w:val="0"/>
      <w:divBdr>
        <w:top w:val="none" w:sz="0" w:space="0" w:color="auto"/>
        <w:left w:val="none" w:sz="0" w:space="0" w:color="auto"/>
        <w:bottom w:val="none" w:sz="0" w:space="0" w:color="auto"/>
        <w:right w:val="none" w:sz="0" w:space="0" w:color="auto"/>
      </w:divBdr>
    </w:div>
    <w:div w:id="368336477">
      <w:bodyDiv w:val="1"/>
      <w:marLeft w:val="0"/>
      <w:marRight w:val="0"/>
      <w:marTop w:val="0"/>
      <w:marBottom w:val="0"/>
      <w:divBdr>
        <w:top w:val="none" w:sz="0" w:space="0" w:color="auto"/>
        <w:left w:val="none" w:sz="0" w:space="0" w:color="auto"/>
        <w:bottom w:val="none" w:sz="0" w:space="0" w:color="auto"/>
        <w:right w:val="none" w:sz="0" w:space="0" w:color="auto"/>
      </w:divBdr>
    </w:div>
    <w:div w:id="368337232">
      <w:bodyDiv w:val="1"/>
      <w:marLeft w:val="0"/>
      <w:marRight w:val="0"/>
      <w:marTop w:val="0"/>
      <w:marBottom w:val="0"/>
      <w:divBdr>
        <w:top w:val="none" w:sz="0" w:space="0" w:color="auto"/>
        <w:left w:val="none" w:sz="0" w:space="0" w:color="auto"/>
        <w:bottom w:val="none" w:sz="0" w:space="0" w:color="auto"/>
        <w:right w:val="none" w:sz="0" w:space="0" w:color="auto"/>
      </w:divBdr>
    </w:div>
    <w:div w:id="368338598">
      <w:bodyDiv w:val="1"/>
      <w:marLeft w:val="0"/>
      <w:marRight w:val="0"/>
      <w:marTop w:val="0"/>
      <w:marBottom w:val="0"/>
      <w:divBdr>
        <w:top w:val="none" w:sz="0" w:space="0" w:color="auto"/>
        <w:left w:val="none" w:sz="0" w:space="0" w:color="auto"/>
        <w:bottom w:val="none" w:sz="0" w:space="0" w:color="auto"/>
        <w:right w:val="none" w:sz="0" w:space="0" w:color="auto"/>
      </w:divBdr>
    </w:div>
    <w:div w:id="368459082">
      <w:bodyDiv w:val="1"/>
      <w:marLeft w:val="0"/>
      <w:marRight w:val="0"/>
      <w:marTop w:val="0"/>
      <w:marBottom w:val="0"/>
      <w:divBdr>
        <w:top w:val="none" w:sz="0" w:space="0" w:color="auto"/>
        <w:left w:val="none" w:sz="0" w:space="0" w:color="auto"/>
        <w:bottom w:val="none" w:sz="0" w:space="0" w:color="auto"/>
        <w:right w:val="none" w:sz="0" w:space="0" w:color="auto"/>
      </w:divBdr>
    </w:div>
    <w:div w:id="368606525">
      <w:bodyDiv w:val="1"/>
      <w:marLeft w:val="0"/>
      <w:marRight w:val="0"/>
      <w:marTop w:val="0"/>
      <w:marBottom w:val="0"/>
      <w:divBdr>
        <w:top w:val="none" w:sz="0" w:space="0" w:color="auto"/>
        <w:left w:val="none" w:sz="0" w:space="0" w:color="auto"/>
        <w:bottom w:val="none" w:sz="0" w:space="0" w:color="auto"/>
        <w:right w:val="none" w:sz="0" w:space="0" w:color="auto"/>
      </w:divBdr>
    </w:div>
    <w:div w:id="368652381">
      <w:bodyDiv w:val="1"/>
      <w:marLeft w:val="0"/>
      <w:marRight w:val="0"/>
      <w:marTop w:val="0"/>
      <w:marBottom w:val="0"/>
      <w:divBdr>
        <w:top w:val="none" w:sz="0" w:space="0" w:color="auto"/>
        <w:left w:val="none" w:sz="0" w:space="0" w:color="auto"/>
        <w:bottom w:val="none" w:sz="0" w:space="0" w:color="auto"/>
        <w:right w:val="none" w:sz="0" w:space="0" w:color="auto"/>
      </w:divBdr>
    </w:div>
    <w:div w:id="368653419">
      <w:bodyDiv w:val="1"/>
      <w:marLeft w:val="0"/>
      <w:marRight w:val="0"/>
      <w:marTop w:val="0"/>
      <w:marBottom w:val="0"/>
      <w:divBdr>
        <w:top w:val="none" w:sz="0" w:space="0" w:color="auto"/>
        <w:left w:val="none" w:sz="0" w:space="0" w:color="auto"/>
        <w:bottom w:val="none" w:sz="0" w:space="0" w:color="auto"/>
        <w:right w:val="none" w:sz="0" w:space="0" w:color="auto"/>
      </w:divBdr>
    </w:div>
    <w:div w:id="368725398">
      <w:bodyDiv w:val="1"/>
      <w:marLeft w:val="0"/>
      <w:marRight w:val="0"/>
      <w:marTop w:val="0"/>
      <w:marBottom w:val="0"/>
      <w:divBdr>
        <w:top w:val="none" w:sz="0" w:space="0" w:color="auto"/>
        <w:left w:val="none" w:sz="0" w:space="0" w:color="auto"/>
        <w:bottom w:val="none" w:sz="0" w:space="0" w:color="auto"/>
        <w:right w:val="none" w:sz="0" w:space="0" w:color="auto"/>
      </w:divBdr>
    </w:div>
    <w:div w:id="368772265">
      <w:bodyDiv w:val="1"/>
      <w:marLeft w:val="0"/>
      <w:marRight w:val="0"/>
      <w:marTop w:val="0"/>
      <w:marBottom w:val="0"/>
      <w:divBdr>
        <w:top w:val="none" w:sz="0" w:space="0" w:color="auto"/>
        <w:left w:val="none" w:sz="0" w:space="0" w:color="auto"/>
        <w:bottom w:val="none" w:sz="0" w:space="0" w:color="auto"/>
        <w:right w:val="none" w:sz="0" w:space="0" w:color="auto"/>
      </w:divBdr>
    </w:div>
    <w:div w:id="368799677">
      <w:bodyDiv w:val="1"/>
      <w:marLeft w:val="0"/>
      <w:marRight w:val="0"/>
      <w:marTop w:val="0"/>
      <w:marBottom w:val="0"/>
      <w:divBdr>
        <w:top w:val="none" w:sz="0" w:space="0" w:color="auto"/>
        <w:left w:val="none" w:sz="0" w:space="0" w:color="auto"/>
        <w:bottom w:val="none" w:sz="0" w:space="0" w:color="auto"/>
        <w:right w:val="none" w:sz="0" w:space="0" w:color="auto"/>
      </w:divBdr>
    </w:div>
    <w:div w:id="368839112">
      <w:bodyDiv w:val="1"/>
      <w:marLeft w:val="0"/>
      <w:marRight w:val="0"/>
      <w:marTop w:val="0"/>
      <w:marBottom w:val="0"/>
      <w:divBdr>
        <w:top w:val="none" w:sz="0" w:space="0" w:color="auto"/>
        <w:left w:val="none" w:sz="0" w:space="0" w:color="auto"/>
        <w:bottom w:val="none" w:sz="0" w:space="0" w:color="auto"/>
        <w:right w:val="none" w:sz="0" w:space="0" w:color="auto"/>
      </w:divBdr>
    </w:div>
    <w:div w:id="368989209">
      <w:bodyDiv w:val="1"/>
      <w:marLeft w:val="0"/>
      <w:marRight w:val="0"/>
      <w:marTop w:val="0"/>
      <w:marBottom w:val="0"/>
      <w:divBdr>
        <w:top w:val="none" w:sz="0" w:space="0" w:color="auto"/>
        <w:left w:val="none" w:sz="0" w:space="0" w:color="auto"/>
        <w:bottom w:val="none" w:sz="0" w:space="0" w:color="auto"/>
        <w:right w:val="none" w:sz="0" w:space="0" w:color="auto"/>
      </w:divBdr>
    </w:div>
    <w:div w:id="368989724">
      <w:bodyDiv w:val="1"/>
      <w:marLeft w:val="0"/>
      <w:marRight w:val="0"/>
      <w:marTop w:val="0"/>
      <w:marBottom w:val="0"/>
      <w:divBdr>
        <w:top w:val="none" w:sz="0" w:space="0" w:color="auto"/>
        <w:left w:val="none" w:sz="0" w:space="0" w:color="auto"/>
        <w:bottom w:val="none" w:sz="0" w:space="0" w:color="auto"/>
        <w:right w:val="none" w:sz="0" w:space="0" w:color="auto"/>
      </w:divBdr>
    </w:div>
    <w:div w:id="369112162">
      <w:bodyDiv w:val="1"/>
      <w:marLeft w:val="0"/>
      <w:marRight w:val="0"/>
      <w:marTop w:val="0"/>
      <w:marBottom w:val="0"/>
      <w:divBdr>
        <w:top w:val="none" w:sz="0" w:space="0" w:color="auto"/>
        <w:left w:val="none" w:sz="0" w:space="0" w:color="auto"/>
        <w:bottom w:val="none" w:sz="0" w:space="0" w:color="auto"/>
        <w:right w:val="none" w:sz="0" w:space="0" w:color="auto"/>
      </w:divBdr>
    </w:div>
    <w:div w:id="369186125">
      <w:bodyDiv w:val="1"/>
      <w:marLeft w:val="0"/>
      <w:marRight w:val="0"/>
      <w:marTop w:val="0"/>
      <w:marBottom w:val="0"/>
      <w:divBdr>
        <w:top w:val="none" w:sz="0" w:space="0" w:color="auto"/>
        <w:left w:val="none" w:sz="0" w:space="0" w:color="auto"/>
        <w:bottom w:val="none" w:sz="0" w:space="0" w:color="auto"/>
        <w:right w:val="none" w:sz="0" w:space="0" w:color="auto"/>
      </w:divBdr>
    </w:div>
    <w:div w:id="369187891">
      <w:bodyDiv w:val="1"/>
      <w:marLeft w:val="0"/>
      <w:marRight w:val="0"/>
      <w:marTop w:val="0"/>
      <w:marBottom w:val="0"/>
      <w:divBdr>
        <w:top w:val="none" w:sz="0" w:space="0" w:color="auto"/>
        <w:left w:val="none" w:sz="0" w:space="0" w:color="auto"/>
        <w:bottom w:val="none" w:sz="0" w:space="0" w:color="auto"/>
        <w:right w:val="none" w:sz="0" w:space="0" w:color="auto"/>
      </w:divBdr>
    </w:div>
    <w:div w:id="369309790">
      <w:bodyDiv w:val="1"/>
      <w:marLeft w:val="0"/>
      <w:marRight w:val="0"/>
      <w:marTop w:val="0"/>
      <w:marBottom w:val="0"/>
      <w:divBdr>
        <w:top w:val="none" w:sz="0" w:space="0" w:color="auto"/>
        <w:left w:val="none" w:sz="0" w:space="0" w:color="auto"/>
        <w:bottom w:val="none" w:sz="0" w:space="0" w:color="auto"/>
        <w:right w:val="none" w:sz="0" w:space="0" w:color="auto"/>
      </w:divBdr>
    </w:div>
    <w:div w:id="369377503">
      <w:bodyDiv w:val="1"/>
      <w:marLeft w:val="0"/>
      <w:marRight w:val="0"/>
      <w:marTop w:val="0"/>
      <w:marBottom w:val="0"/>
      <w:divBdr>
        <w:top w:val="none" w:sz="0" w:space="0" w:color="auto"/>
        <w:left w:val="none" w:sz="0" w:space="0" w:color="auto"/>
        <w:bottom w:val="none" w:sz="0" w:space="0" w:color="auto"/>
        <w:right w:val="none" w:sz="0" w:space="0" w:color="auto"/>
      </w:divBdr>
    </w:div>
    <w:div w:id="369453357">
      <w:bodyDiv w:val="1"/>
      <w:marLeft w:val="0"/>
      <w:marRight w:val="0"/>
      <w:marTop w:val="0"/>
      <w:marBottom w:val="0"/>
      <w:divBdr>
        <w:top w:val="none" w:sz="0" w:space="0" w:color="auto"/>
        <w:left w:val="none" w:sz="0" w:space="0" w:color="auto"/>
        <w:bottom w:val="none" w:sz="0" w:space="0" w:color="auto"/>
        <w:right w:val="none" w:sz="0" w:space="0" w:color="auto"/>
      </w:divBdr>
    </w:div>
    <w:div w:id="369454746">
      <w:bodyDiv w:val="1"/>
      <w:marLeft w:val="0"/>
      <w:marRight w:val="0"/>
      <w:marTop w:val="0"/>
      <w:marBottom w:val="0"/>
      <w:divBdr>
        <w:top w:val="none" w:sz="0" w:space="0" w:color="auto"/>
        <w:left w:val="none" w:sz="0" w:space="0" w:color="auto"/>
        <w:bottom w:val="none" w:sz="0" w:space="0" w:color="auto"/>
        <w:right w:val="none" w:sz="0" w:space="0" w:color="auto"/>
      </w:divBdr>
    </w:div>
    <w:div w:id="369455520">
      <w:bodyDiv w:val="1"/>
      <w:marLeft w:val="0"/>
      <w:marRight w:val="0"/>
      <w:marTop w:val="0"/>
      <w:marBottom w:val="0"/>
      <w:divBdr>
        <w:top w:val="none" w:sz="0" w:space="0" w:color="auto"/>
        <w:left w:val="none" w:sz="0" w:space="0" w:color="auto"/>
        <w:bottom w:val="none" w:sz="0" w:space="0" w:color="auto"/>
        <w:right w:val="none" w:sz="0" w:space="0" w:color="auto"/>
      </w:divBdr>
    </w:div>
    <w:div w:id="369569547">
      <w:bodyDiv w:val="1"/>
      <w:marLeft w:val="0"/>
      <w:marRight w:val="0"/>
      <w:marTop w:val="0"/>
      <w:marBottom w:val="0"/>
      <w:divBdr>
        <w:top w:val="none" w:sz="0" w:space="0" w:color="auto"/>
        <w:left w:val="none" w:sz="0" w:space="0" w:color="auto"/>
        <w:bottom w:val="none" w:sz="0" w:space="0" w:color="auto"/>
        <w:right w:val="none" w:sz="0" w:space="0" w:color="auto"/>
      </w:divBdr>
    </w:div>
    <w:div w:id="369569643">
      <w:bodyDiv w:val="1"/>
      <w:marLeft w:val="0"/>
      <w:marRight w:val="0"/>
      <w:marTop w:val="0"/>
      <w:marBottom w:val="0"/>
      <w:divBdr>
        <w:top w:val="none" w:sz="0" w:space="0" w:color="auto"/>
        <w:left w:val="none" w:sz="0" w:space="0" w:color="auto"/>
        <w:bottom w:val="none" w:sz="0" w:space="0" w:color="auto"/>
        <w:right w:val="none" w:sz="0" w:space="0" w:color="auto"/>
      </w:divBdr>
    </w:div>
    <w:div w:id="369573837">
      <w:bodyDiv w:val="1"/>
      <w:marLeft w:val="0"/>
      <w:marRight w:val="0"/>
      <w:marTop w:val="0"/>
      <w:marBottom w:val="0"/>
      <w:divBdr>
        <w:top w:val="none" w:sz="0" w:space="0" w:color="auto"/>
        <w:left w:val="none" w:sz="0" w:space="0" w:color="auto"/>
        <w:bottom w:val="none" w:sz="0" w:space="0" w:color="auto"/>
        <w:right w:val="none" w:sz="0" w:space="0" w:color="auto"/>
      </w:divBdr>
    </w:div>
    <w:div w:id="369578259">
      <w:bodyDiv w:val="1"/>
      <w:marLeft w:val="0"/>
      <w:marRight w:val="0"/>
      <w:marTop w:val="0"/>
      <w:marBottom w:val="0"/>
      <w:divBdr>
        <w:top w:val="none" w:sz="0" w:space="0" w:color="auto"/>
        <w:left w:val="none" w:sz="0" w:space="0" w:color="auto"/>
        <w:bottom w:val="none" w:sz="0" w:space="0" w:color="auto"/>
        <w:right w:val="none" w:sz="0" w:space="0" w:color="auto"/>
      </w:divBdr>
    </w:div>
    <w:div w:id="369646238">
      <w:bodyDiv w:val="1"/>
      <w:marLeft w:val="0"/>
      <w:marRight w:val="0"/>
      <w:marTop w:val="0"/>
      <w:marBottom w:val="0"/>
      <w:divBdr>
        <w:top w:val="none" w:sz="0" w:space="0" w:color="auto"/>
        <w:left w:val="none" w:sz="0" w:space="0" w:color="auto"/>
        <w:bottom w:val="none" w:sz="0" w:space="0" w:color="auto"/>
        <w:right w:val="none" w:sz="0" w:space="0" w:color="auto"/>
      </w:divBdr>
    </w:div>
    <w:div w:id="369770499">
      <w:bodyDiv w:val="1"/>
      <w:marLeft w:val="0"/>
      <w:marRight w:val="0"/>
      <w:marTop w:val="0"/>
      <w:marBottom w:val="0"/>
      <w:divBdr>
        <w:top w:val="none" w:sz="0" w:space="0" w:color="auto"/>
        <w:left w:val="none" w:sz="0" w:space="0" w:color="auto"/>
        <w:bottom w:val="none" w:sz="0" w:space="0" w:color="auto"/>
        <w:right w:val="none" w:sz="0" w:space="0" w:color="auto"/>
      </w:divBdr>
    </w:div>
    <w:div w:id="369844804">
      <w:bodyDiv w:val="1"/>
      <w:marLeft w:val="0"/>
      <w:marRight w:val="0"/>
      <w:marTop w:val="0"/>
      <w:marBottom w:val="0"/>
      <w:divBdr>
        <w:top w:val="none" w:sz="0" w:space="0" w:color="auto"/>
        <w:left w:val="none" w:sz="0" w:space="0" w:color="auto"/>
        <w:bottom w:val="none" w:sz="0" w:space="0" w:color="auto"/>
        <w:right w:val="none" w:sz="0" w:space="0" w:color="auto"/>
      </w:divBdr>
    </w:div>
    <w:div w:id="369844873">
      <w:bodyDiv w:val="1"/>
      <w:marLeft w:val="0"/>
      <w:marRight w:val="0"/>
      <w:marTop w:val="0"/>
      <w:marBottom w:val="0"/>
      <w:divBdr>
        <w:top w:val="none" w:sz="0" w:space="0" w:color="auto"/>
        <w:left w:val="none" w:sz="0" w:space="0" w:color="auto"/>
        <w:bottom w:val="none" w:sz="0" w:space="0" w:color="auto"/>
        <w:right w:val="none" w:sz="0" w:space="0" w:color="auto"/>
      </w:divBdr>
    </w:div>
    <w:div w:id="369886070">
      <w:bodyDiv w:val="1"/>
      <w:marLeft w:val="0"/>
      <w:marRight w:val="0"/>
      <w:marTop w:val="0"/>
      <w:marBottom w:val="0"/>
      <w:divBdr>
        <w:top w:val="none" w:sz="0" w:space="0" w:color="auto"/>
        <w:left w:val="none" w:sz="0" w:space="0" w:color="auto"/>
        <w:bottom w:val="none" w:sz="0" w:space="0" w:color="auto"/>
        <w:right w:val="none" w:sz="0" w:space="0" w:color="auto"/>
      </w:divBdr>
    </w:div>
    <w:div w:id="369963837">
      <w:bodyDiv w:val="1"/>
      <w:marLeft w:val="0"/>
      <w:marRight w:val="0"/>
      <w:marTop w:val="0"/>
      <w:marBottom w:val="0"/>
      <w:divBdr>
        <w:top w:val="none" w:sz="0" w:space="0" w:color="auto"/>
        <w:left w:val="none" w:sz="0" w:space="0" w:color="auto"/>
        <w:bottom w:val="none" w:sz="0" w:space="0" w:color="auto"/>
        <w:right w:val="none" w:sz="0" w:space="0" w:color="auto"/>
      </w:divBdr>
    </w:div>
    <w:div w:id="370083033">
      <w:bodyDiv w:val="1"/>
      <w:marLeft w:val="0"/>
      <w:marRight w:val="0"/>
      <w:marTop w:val="0"/>
      <w:marBottom w:val="0"/>
      <w:divBdr>
        <w:top w:val="none" w:sz="0" w:space="0" w:color="auto"/>
        <w:left w:val="none" w:sz="0" w:space="0" w:color="auto"/>
        <w:bottom w:val="none" w:sz="0" w:space="0" w:color="auto"/>
        <w:right w:val="none" w:sz="0" w:space="0" w:color="auto"/>
      </w:divBdr>
    </w:div>
    <w:div w:id="370110873">
      <w:bodyDiv w:val="1"/>
      <w:marLeft w:val="0"/>
      <w:marRight w:val="0"/>
      <w:marTop w:val="0"/>
      <w:marBottom w:val="0"/>
      <w:divBdr>
        <w:top w:val="none" w:sz="0" w:space="0" w:color="auto"/>
        <w:left w:val="none" w:sz="0" w:space="0" w:color="auto"/>
        <w:bottom w:val="none" w:sz="0" w:space="0" w:color="auto"/>
        <w:right w:val="none" w:sz="0" w:space="0" w:color="auto"/>
      </w:divBdr>
    </w:div>
    <w:div w:id="370226016">
      <w:bodyDiv w:val="1"/>
      <w:marLeft w:val="0"/>
      <w:marRight w:val="0"/>
      <w:marTop w:val="0"/>
      <w:marBottom w:val="0"/>
      <w:divBdr>
        <w:top w:val="none" w:sz="0" w:space="0" w:color="auto"/>
        <w:left w:val="none" w:sz="0" w:space="0" w:color="auto"/>
        <w:bottom w:val="none" w:sz="0" w:space="0" w:color="auto"/>
        <w:right w:val="none" w:sz="0" w:space="0" w:color="auto"/>
      </w:divBdr>
    </w:div>
    <w:div w:id="370227851">
      <w:bodyDiv w:val="1"/>
      <w:marLeft w:val="0"/>
      <w:marRight w:val="0"/>
      <w:marTop w:val="0"/>
      <w:marBottom w:val="0"/>
      <w:divBdr>
        <w:top w:val="none" w:sz="0" w:space="0" w:color="auto"/>
        <w:left w:val="none" w:sz="0" w:space="0" w:color="auto"/>
        <w:bottom w:val="none" w:sz="0" w:space="0" w:color="auto"/>
        <w:right w:val="none" w:sz="0" w:space="0" w:color="auto"/>
      </w:divBdr>
    </w:div>
    <w:div w:id="370425579">
      <w:bodyDiv w:val="1"/>
      <w:marLeft w:val="0"/>
      <w:marRight w:val="0"/>
      <w:marTop w:val="0"/>
      <w:marBottom w:val="0"/>
      <w:divBdr>
        <w:top w:val="none" w:sz="0" w:space="0" w:color="auto"/>
        <w:left w:val="none" w:sz="0" w:space="0" w:color="auto"/>
        <w:bottom w:val="none" w:sz="0" w:space="0" w:color="auto"/>
        <w:right w:val="none" w:sz="0" w:space="0" w:color="auto"/>
      </w:divBdr>
    </w:div>
    <w:div w:id="370495867">
      <w:bodyDiv w:val="1"/>
      <w:marLeft w:val="0"/>
      <w:marRight w:val="0"/>
      <w:marTop w:val="0"/>
      <w:marBottom w:val="0"/>
      <w:divBdr>
        <w:top w:val="none" w:sz="0" w:space="0" w:color="auto"/>
        <w:left w:val="none" w:sz="0" w:space="0" w:color="auto"/>
        <w:bottom w:val="none" w:sz="0" w:space="0" w:color="auto"/>
        <w:right w:val="none" w:sz="0" w:space="0" w:color="auto"/>
      </w:divBdr>
    </w:div>
    <w:div w:id="370542065">
      <w:bodyDiv w:val="1"/>
      <w:marLeft w:val="0"/>
      <w:marRight w:val="0"/>
      <w:marTop w:val="0"/>
      <w:marBottom w:val="0"/>
      <w:divBdr>
        <w:top w:val="none" w:sz="0" w:space="0" w:color="auto"/>
        <w:left w:val="none" w:sz="0" w:space="0" w:color="auto"/>
        <w:bottom w:val="none" w:sz="0" w:space="0" w:color="auto"/>
        <w:right w:val="none" w:sz="0" w:space="0" w:color="auto"/>
      </w:divBdr>
    </w:div>
    <w:div w:id="370617727">
      <w:bodyDiv w:val="1"/>
      <w:marLeft w:val="0"/>
      <w:marRight w:val="0"/>
      <w:marTop w:val="0"/>
      <w:marBottom w:val="0"/>
      <w:divBdr>
        <w:top w:val="none" w:sz="0" w:space="0" w:color="auto"/>
        <w:left w:val="none" w:sz="0" w:space="0" w:color="auto"/>
        <w:bottom w:val="none" w:sz="0" w:space="0" w:color="auto"/>
        <w:right w:val="none" w:sz="0" w:space="0" w:color="auto"/>
      </w:divBdr>
    </w:div>
    <w:div w:id="370688561">
      <w:bodyDiv w:val="1"/>
      <w:marLeft w:val="0"/>
      <w:marRight w:val="0"/>
      <w:marTop w:val="0"/>
      <w:marBottom w:val="0"/>
      <w:divBdr>
        <w:top w:val="none" w:sz="0" w:space="0" w:color="auto"/>
        <w:left w:val="none" w:sz="0" w:space="0" w:color="auto"/>
        <w:bottom w:val="none" w:sz="0" w:space="0" w:color="auto"/>
        <w:right w:val="none" w:sz="0" w:space="0" w:color="auto"/>
      </w:divBdr>
    </w:div>
    <w:div w:id="370692128">
      <w:bodyDiv w:val="1"/>
      <w:marLeft w:val="0"/>
      <w:marRight w:val="0"/>
      <w:marTop w:val="0"/>
      <w:marBottom w:val="0"/>
      <w:divBdr>
        <w:top w:val="none" w:sz="0" w:space="0" w:color="auto"/>
        <w:left w:val="none" w:sz="0" w:space="0" w:color="auto"/>
        <w:bottom w:val="none" w:sz="0" w:space="0" w:color="auto"/>
        <w:right w:val="none" w:sz="0" w:space="0" w:color="auto"/>
      </w:divBdr>
    </w:div>
    <w:div w:id="370764540">
      <w:bodyDiv w:val="1"/>
      <w:marLeft w:val="0"/>
      <w:marRight w:val="0"/>
      <w:marTop w:val="0"/>
      <w:marBottom w:val="0"/>
      <w:divBdr>
        <w:top w:val="none" w:sz="0" w:space="0" w:color="auto"/>
        <w:left w:val="none" w:sz="0" w:space="0" w:color="auto"/>
        <w:bottom w:val="none" w:sz="0" w:space="0" w:color="auto"/>
        <w:right w:val="none" w:sz="0" w:space="0" w:color="auto"/>
      </w:divBdr>
    </w:div>
    <w:div w:id="370955541">
      <w:bodyDiv w:val="1"/>
      <w:marLeft w:val="0"/>
      <w:marRight w:val="0"/>
      <w:marTop w:val="0"/>
      <w:marBottom w:val="0"/>
      <w:divBdr>
        <w:top w:val="none" w:sz="0" w:space="0" w:color="auto"/>
        <w:left w:val="none" w:sz="0" w:space="0" w:color="auto"/>
        <w:bottom w:val="none" w:sz="0" w:space="0" w:color="auto"/>
        <w:right w:val="none" w:sz="0" w:space="0" w:color="auto"/>
      </w:divBdr>
    </w:div>
    <w:div w:id="371150101">
      <w:bodyDiv w:val="1"/>
      <w:marLeft w:val="0"/>
      <w:marRight w:val="0"/>
      <w:marTop w:val="0"/>
      <w:marBottom w:val="0"/>
      <w:divBdr>
        <w:top w:val="none" w:sz="0" w:space="0" w:color="auto"/>
        <w:left w:val="none" w:sz="0" w:space="0" w:color="auto"/>
        <w:bottom w:val="none" w:sz="0" w:space="0" w:color="auto"/>
        <w:right w:val="none" w:sz="0" w:space="0" w:color="auto"/>
      </w:divBdr>
    </w:div>
    <w:div w:id="371152822">
      <w:bodyDiv w:val="1"/>
      <w:marLeft w:val="0"/>
      <w:marRight w:val="0"/>
      <w:marTop w:val="0"/>
      <w:marBottom w:val="0"/>
      <w:divBdr>
        <w:top w:val="none" w:sz="0" w:space="0" w:color="auto"/>
        <w:left w:val="none" w:sz="0" w:space="0" w:color="auto"/>
        <w:bottom w:val="none" w:sz="0" w:space="0" w:color="auto"/>
        <w:right w:val="none" w:sz="0" w:space="0" w:color="auto"/>
      </w:divBdr>
    </w:div>
    <w:div w:id="371200276">
      <w:bodyDiv w:val="1"/>
      <w:marLeft w:val="0"/>
      <w:marRight w:val="0"/>
      <w:marTop w:val="0"/>
      <w:marBottom w:val="0"/>
      <w:divBdr>
        <w:top w:val="none" w:sz="0" w:space="0" w:color="auto"/>
        <w:left w:val="none" w:sz="0" w:space="0" w:color="auto"/>
        <w:bottom w:val="none" w:sz="0" w:space="0" w:color="auto"/>
        <w:right w:val="none" w:sz="0" w:space="0" w:color="auto"/>
      </w:divBdr>
    </w:div>
    <w:div w:id="371228564">
      <w:bodyDiv w:val="1"/>
      <w:marLeft w:val="0"/>
      <w:marRight w:val="0"/>
      <w:marTop w:val="0"/>
      <w:marBottom w:val="0"/>
      <w:divBdr>
        <w:top w:val="none" w:sz="0" w:space="0" w:color="auto"/>
        <w:left w:val="none" w:sz="0" w:space="0" w:color="auto"/>
        <w:bottom w:val="none" w:sz="0" w:space="0" w:color="auto"/>
        <w:right w:val="none" w:sz="0" w:space="0" w:color="auto"/>
      </w:divBdr>
    </w:div>
    <w:div w:id="371270712">
      <w:bodyDiv w:val="1"/>
      <w:marLeft w:val="0"/>
      <w:marRight w:val="0"/>
      <w:marTop w:val="0"/>
      <w:marBottom w:val="0"/>
      <w:divBdr>
        <w:top w:val="none" w:sz="0" w:space="0" w:color="auto"/>
        <w:left w:val="none" w:sz="0" w:space="0" w:color="auto"/>
        <w:bottom w:val="none" w:sz="0" w:space="0" w:color="auto"/>
        <w:right w:val="none" w:sz="0" w:space="0" w:color="auto"/>
      </w:divBdr>
    </w:div>
    <w:div w:id="371349563">
      <w:bodyDiv w:val="1"/>
      <w:marLeft w:val="0"/>
      <w:marRight w:val="0"/>
      <w:marTop w:val="0"/>
      <w:marBottom w:val="0"/>
      <w:divBdr>
        <w:top w:val="none" w:sz="0" w:space="0" w:color="auto"/>
        <w:left w:val="none" w:sz="0" w:space="0" w:color="auto"/>
        <w:bottom w:val="none" w:sz="0" w:space="0" w:color="auto"/>
        <w:right w:val="none" w:sz="0" w:space="0" w:color="auto"/>
      </w:divBdr>
    </w:div>
    <w:div w:id="371425102">
      <w:bodyDiv w:val="1"/>
      <w:marLeft w:val="0"/>
      <w:marRight w:val="0"/>
      <w:marTop w:val="0"/>
      <w:marBottom w:val="0"/>
      <w:divBdr>
        <w:top w:val="none" w:sz="0" w:space="0" w:color="auto"/>
        <w:left w:val="none" w:sz="0" w:space="0" w:color="auto"/>
        <w:bottom w:val="none" w:sz="0" w:space="0" w:color="auto"/>
        <w:right w:val="none" w:sz="0" w:space="0" w:color="auto"/>
      </w:divBdr>
    </w:div>
    <w:div w:id="371459989">
      <w:bodyDiv w:val="1"/>
      <w:marLeft w:val="0"/>
      <w:marRight w:val="0"/>
      <w:marTop w:val="0"/>
      <w:marBottom w:val="0"/>
      <w:divBdr>
        <w:top w:val="none" w:sz="0" w:space="0" w:color="auto"/>
        <w:left w:val="none" w:sz="0" w:space="0" w:color="auto"/>
        <w:bottom w:val="none" w:sz="0" w:space="0" w:color="auto"/>
        <w:right w:val="none" w:sz="0" w:space="0" w:color="auto"/>
      </w:divBdr>
    </w:div>
    <w:div w:id="371464649">
      <w:bodyDiv w:val="1"/>
      <w:marLeft w:val="0"/>
      <w:marRight w:val="0"/>
      <w:marTop w:val="0"/>
      <w:marBottom w:val="0"/>
      <w:divBdr>
        <w:top w:val="none" w:sz="0" w:space="0" w:color="auto"/>
        <w:left w:val="none" w:sz="0" w:space="0" w:color="auto"/>
        <w:bottom w:val="none" w:sz="0" w:space="0" w:color="auto"/>
        <w:right w:val="none" w:sz="0" w:space="0" w:color="auto"/>
      </w:divBdr>
    </w:div>
    <w:div w:id="371466825">
      <w:bodyDiv w:val="1"/>
      <w:marLeft w:val="0"/>
      <w:marRight w:val="0"/>
      <w:marTop w:val="0"/>
      <w:marBottom w:val="0"/>
      <w:divBdr>
        <w:top w:val="none" w:sz="0" w:space="0" w:color="auto"/>
        <w:left w:val="none" w:sz="0" w:space="0" w:color="auto"/>
        <w:bottom w:val="none" w:sz="0" w:space="0" w:color="auto"/>
        <w:right w:val="none" w:sz="0" w:space="0" w:color="auto"/>
      </w:divBdr>
    </w:div>
    <w:div w:id="371541916">
      <w:bodyDiv w:val="1"/>
      <w:marLeft w:val="0"/>
      <w:marRight w:val="0"/>
      <w:marTop w:val="0"/>
      <w:marBottom w:val="0"/>
      <w:divBdr>
        <w:top w:val="none" w:sz="0" w:space="0" w:color="auto"/>
        <w:left w:val="none" w:sz="0" w:space="0" w:color="auto"/>
        <w:bottom w:val="none" w:sz="0" w:space="0" w:color="auto"/>
        <w:right w:val="none" w:sz="0" w:space="0" w:color="auto"/>
      </w:divBdr>
    </w:div>
    <w:div w:id="371613337">
      <w:bodyDiv w:val="1"/>
      <w:marLeft w:val="0"/>
      <w:marRight w:val="0"/>
      <w:marTop w:val="0"/>
      <w:marBottom w:val="0"/>
      <w:divBdr>
        <w:top w:val="none" w:sz="0" w:space="0" w:color="auto"/>
        <w:left w:val="none" w:sz="0" w:space="0" w:color="auto"/>
        <w:bottom w:val="none" w:sz="0" w:space="0" w:color="auto"/>
        <w:right w:val="none" w:sz="0" w:space="0" w:color="auto"/>
      </w:divBdr>
    </w:div>
    <w:div w:id="371618621">
      <w:bodyDiv w:val="1"/>
      <w:marLeft w:val="0"/>
      <w:marRight w:val="0"/>
      <w:marTop w:val="0"/>
      <w:marBottom w:val="0"/>
      <w:divBdr>
        <w:top w:val="none" w:sz="0" w:space="0" w:color="auto"/>
        <w:left w:val="none" w:sz="0" w:space="0" w:color="auto"/>
        <w:bottom w:val="none" w:sz="0" w:space="0" w:color="auto"/>
        <w:right w:val="none" w:sz="0" w:space="0" w:color="auto"/>
      </w:divBdr>
    </w:div>
    <w:div w:id="371658152">
      <w:bodyDiv w:val="1"/>
      <w:marLeft w:val="0"/>
      <w:marRight w:val="0"/>
      <w:marTop w:val="0"/>
      <w:marBottom w:val="0"/>
      <w:divBdr>
        <w:top w:val="none" w:sz="0" w:space="0" w:color="auto"/>
        <w:left w:val="none" w:sz="0" w:space="0" w:color="auto"/>
        <w:bottom w:val="none" w:sz="0" w:space="0" w:color="auto"/>
        <w:right w:val="none" w:sz="0" w:space="0" w:color="auto"/>
      </w:divBdr>
    </w:div>
    <w:div w:id="371728084">
      <w:bodyDiv w:val="1"/>
      <w:marLeft w:val="0"/>
      <w:marRight w:val="0"/>
      <w:marTop w:val="0"/>
      <w:marBottom w:val="0"/>
      <w:divBdr>
        <w:top w:val="none" w:sz="0" w:space="0" w:color="auto"/>
        <w:left w:val="none" w:sz="0" w:space="0" w:color="auto"/>
        <w:bottom w:val="none" w:sz="0" w:space="0" w:color="auto"/>
        <w:right w:val="none" w:sz="0" w:space="0" w:color="auto"/>
      </w:divBdr>
    </w:div>
    <w:div w:id="371734327">
      <w:bodyDiv w:val="1"/>
      <w:marLeft w:val="0"/>
      <w:marRight w:val="0"/>
      <w:marTop w:val="0"/>
      <w:marBottom w:val="0"/>
      <w:divBdr>
        <w:top w:val="none" w:sz="0" w:space="0" w:color="auto"/>
        <w:left w:val="none" w:sz="0" w:space="0" w:color="auto"/>
        <w:bottom w:val="none" w:sz="0" w:space="0" w:color="auto"/>
        <w:right w:val="none" w:sz="0" w:space="0" w:color="auto"/>
      </w:divBdr>
    </w:div>
    <w:div w:id="372267729">
      <w:bodyDiv w:val="1"/>
      <w:marLeft w:val="0"/>
      <w:marRight w:val="0"/>
      <w:marTop w:val="0"/>
      <w:marBottom w:val="0"/>
      <w:divBdr>
        <w:top w:val="none" w:sz="0" w:space="0" w:color="auto"/>
        <w:left w:val="none" w:sz="0" w:space="0" w:color="auto"/>
        <w:bottom w:val="none" w:sz="0" w:space="0" w:color="auto"/>
        <w:right w:val="none" w:sz="0" w:space="0" w:color="auto"/>
      </w:divBdr>
    </w:div>
    <w:div w:id="372269299">
      <w:bodyDiv w:val="1"/>
      <w:marLeft w:val="0"/>
      <w:marRight w:val="0"/>
      <w:marTop w:val="0"/>
      <w:marBottom w:val="0"/>
      <w:divBdr>
        <w:top w:val="none" w:sz="0" w:space="0" w:color="auto"/>
        <w:left w:val="none" w:sz="0" w:space="0" w:color="auto"/>
        <w:bottom w:val="none" w:sz="0" w:space="0" w:color="auto"/>
        <w:right w:val="none" w:sz="0" w:space="0" w:color="auto"/>
      </w:divBdr>
    </w:div>
    <w:div w:id="372316059">
      <w:bodyDiv w:val="1"/>
      <w:marLeft w:val="0"/>
      <w:marRight w:val="0"/>
      <w:marTop w:val="0"/>
      <w:marBottom w:val="0"/>
      <w:divBdr>
        <w:top w:val="none" w:sz="0" w:space="0" w:color="auto"/>
        <w:left w:val="none" w:sz="0" w:space="0" w:color="auto"/>
        <w:bottom w:val="none" w:sz="0" w:space="0" w:color="auto"/>
        <w:right w:val="none" w:sz="0" w:space="0" w:color="auto"/>
      </w:divBdr>
    </w:div>
    <w:div w:id="372391856">
      <w:bodyDiv w:val="1"/>
      <w:marLeft w:val="0"/>
      <w:marRight w:val="0"/>
      <w:marTop w:val="0"/>
      <w:marBottom w:val="0"/>
      <w:divBdr>
        <w:top w:val="none" w:sz="0" w:space="0" w:color="auto"/>
        <w:left w:val="none" w:sz="0" w:space="0" w:color="auto"/>
        <w:bottom w:val="none" w:sz="0" w:space="0" w:color="auto"/>
        <w:right w:val="none" w:sz="0" w:space="0" w:color="auto"/>
      </w:divBdr>
    </w:div>
    <w:div w:id="372465866">
      <w:bodyDiv w:val="1"/>
      <w:marLeft w:val="0"/>
      <w:marRight w:val="0"/>
      <w:marTop w:val="0"/>
      <w:marBottom w:val="0"/>
      <w:divBdr>
        <w:top w:val="none" w:sz="0" w:space="0" w:color="auto"/>
        <w:left w:val="none" w:sz="0" w:space="0" w:color="auto"/>
        <w:bottom w:val="none" w:sz="0" w:space="0" w:color="auto"/>
        <w:right w:val="none" w:sz="0" w:space="0" w:color="auto"/>
      </w:divBdr>
    </w:div>
    <w:div w:id="372538195">
      <w:bodyDiv w:val="1"/>
      <w:marLeft w:val="0"/>
      <w:marRight w:val="0"/>
      <w:marTop w:val="0"/>
      <w:marBottom w:val="0"/>
      <w:divBdr>
        <w:top w:val="none" w:sz="0" w:space="0" w:color="auto"/>
        <w:left w:val="none" w:sz="0" w:space="0" w:color="auto"/>
        <w:bottom w:val="none" w:sz="0" w:space="0" w:color="auto"/>
        <w:right w:val="none" w:sz="0" w:space="0" w:color="auto"/>
      </w:divBdr>
    </w:div>
    <w:div w:id="372579956">
      <w:bodyDiv w:val="1"/>
      <w:marLeft w:val="0"/>
      <w:marRight w:val="0"/>
      <w:marTop w:val="0"/>
      <w:marBottom w:val="0"/>
      <w:divBdr>
        <w:top w:val="none" w:sz="0" w:space="0" w:color="auto"/>
        <w:left w:val="none" w:sz="0" w:space="0" w:color="auto"/>
        <w:bottom w:val="none" w:sz="0" w:space="0" w:color="auto"/>
        <w:right w:val="none" w:sz="0" w:space="0" w:color="auto"/>
      </w:divBdr>
    </w:div>
    <w:div w:id="372651999">
      <w:bodyDiv w:val="1"/>
      <w:marLeft w:val="0"/>
      <w:marRight w:val="0"/>
      <w:marTop w:val="0"/>
      <w:marBottom w:val="0"/>
      <w:divBdr>
        <w:top w:val="none" w:sz="0" w:space="0" w:color="auto"/>
        <w:left w:val="none" w:sz="0" w:space="0" w:color="auto"/>
        <w:bottom w:val="none" w:sz="0" w:space="0" w:color="auto"/>
        <w:right w:val="none" w:sz="0" w:space="0" w:color="auto"/>
      </w:divBdr>
    </w:div>
    <w:div w:id="372729934">
      <w:bodyDiv w:val="1"/>
      <w:marLeft w:val="0"/>
      <w:marRight w:val="0"/>
      <w:marTop w:val="0"/>
      <w:marBottom w:val="0"/>
      <w:divBdr>
        <w:top w:val="none" w:sz="0" w:space="0" w:color="auto"/>
        <w:left w:val="none" w:sz="0" w:space="0" w:color="auto"/>
        <w:bottom w:val="none" w:sz="0" w:space="0" w:color="auto"/>
        <w:right w:val="none" w:sz="0" w:space="0" w:color="auto"/>
      </w:divBdr>
    </w:div>
    <w:div w:id="372734482">
      <w:bodyDiv w:val="1"/>
      <w:marLeft w:val="0"/>
      <w:marRight w:val="0"/>
      <w:marTop w:val="0"/>
      <w:marBottom w:val="0"/>
      <w:divBdr>
        <w:top w:val="none" w:sz="0" w:space="0" w:color="auto"/>
        <w:left w:val="none" w:sz="0" w:space="0" w:color="auto"/>
        <w:bottom w:val="none" w:sz="0" w:space="0" w:color="auto"/>
        <w:right w:val="none" w:sz="0" w:space="0" w:color="auto"/>
      </w:divBdr>
    </w:div>
    <w:div w:id="372921525">
      <w:bodyDiv w:val="1"/>
      <w:marLeft w:val="0"/>
      <w:marRight w:val="0"/>
      <w:marTop w:val="0"/>
      <w:marBottom w:val="0"/>
      <w:divBdr>
        <w:top w:val="none" w:sz="0" w:space="0" w:color="auto"/>
        <w:left w:val="none" w:sz="0" w:space="0" w:color="auto"/>
        <w:bottom w:val="none" w:sz="0" w:space="0" w:color="auto"/>
        <w:right w:val="none" w:sz="0" w:space="0" w:color="auto"/>
      </w:divBdr>
    </w:div>
    <w:div w:id="372929717">
      <w:bodyDiv w:val="1"/>
      <w:marLeft w:val="0"/>
      <w:marRight w:val="0"/>
      <w:marTop w:val="0"/>
      <w:marBottom w:val="0"/>
      <w:divBdr>
        <w:top w:val="none" w:sz="0" w:space="0" w:color="auto"/>
        <w:left w:val="none" w:sz="0" w:space="0" w:color="auto"/>
        <w:bottom w:val="none" w:sz="0" w:space="0" w:color="auto"/>
        <w:right w:val="none" w:sz="0" w:space="0" w:color="auto"/>
      </w:divBdr>
    </w:div>
    <w:div w:id="372971013">
      <w:bodyDiv w:val="1"/>
      <w:marLeft w:val="0"/>
      <w:marRight w:val="0"/>
      <w:marTop w:val="0"/>
      <w:marBottom w:val="0"/>
      <w:divBdr>
        <w:top w:val="none" w:sz="0" w:space="0" w:color="auto"/>
        <w:left w:val="none" w:sz="0" w:space="0" w:color="auto"/>
        <w:bottom w:val="none" w:sz="0" w:space="0" w:color="auto"/>
        <w:right w:val="none" w:sz="0" w:space="0" w:color="auto"/>
      </w:divBdr>
    </w:div>
    <w:div w:id="373045519">
      <w:bodyDiv w:val="1"/>
      <w:marLeft w:val="0"/>
      <w:marRight w:val="0"/>
      <w:marTop w:val="0"/>
      <w:marBottom w:val="0"/>
      <w:divBdr>
        <w:top w:val="none" w:sz="0" w:space="0" w:color="auto"/>
        <w:left w:val="none" w:sz="0" w:space="0" w:color="auto"/>
        <w:bottom w:val="none" w:sz="0" w:space="0" w:color="auto"/>
        <w:right w:val="none" w:sz="0" w:space="0" w:color="auto"/>
      </w:divBdr>
    </w:div>
    <w:div w:id="373045865">
      <w:bodyDiv w:val="1"/>
      <w:marLeft w:val="0"/>
      <w:marRight w:val="0"/>
      <w:marTop w:val="0"/>
      <w:marBottom w:val="0"/>
      <w:divBdr>
        <w:top w:val="none" w:sz="0" w:space="0" w:color="auto"/>
        <w:left w:val="none" w:sz="0" w:space="0" w:color="auto"/>
        <w:bottom w:val="none" w:sz="0" w:space="0" w:color="auto"/>
        <w:right w:val="none" w:sz="0" w:space="0" w:color="auto"/>
      </w:divBdr>
    </w:div>
    <w:div w:id="373118518">
      <w:bodyDiv w:val="1"/>
      <w:marLeft w:val="0"/>
      <w:marRight w:val="0"/>
      <w:marTop w:val="0"/>
      <w:marBottom w:val="0"/>
      <w:divBdr>
        <w:top w:val="none" w:sz="0" w:space="0" w:color="auto"/>
        <w:left w:val="none" w:sz="0" w:space="0" w:color="auto"/>
        <w:bottom w:val="none" w:sz="0" w:space="0" w:color="auto"/>
        <w:right w:val="none" w:sz="0" w:space="0" w:color="auto"/>
      </w:divBdr>
    </w:div>
    <w:div w:id="373121088">
      <w:bodyDiv w:val="1"/>
      <w:marLeft w:val="0"/>
      <w:marRight w:val="0"/>
      <w:marTop w:val="0"/>
      <w:marBottom w:val="0"/>
      <w:divBdr>
        <w:top w:val="none" w:sz="0" w:space="0" w:color="auto"/>
        <w:left w:val="none" w:sz="0" w:space="0" w:color="auto"/>
        <w:bottom w:val="none" w:sz="0" w:space="0" w:color="auto"/>
        <w:right w:val="none" w:sz="0" w:space="0" w:color="auto"/>
      </w:divBdr>
    </w:div>
    <w:div w:id="373190485">
      <w:bodyDiv w:val="1"/>
      <w:marLeft w:val="0"/>
      <w:marRight w:val="0"/>
      <w:marTop w:val="0"/>
      <w:marBottom w:val="0"/>
      <w:divBdr>
        <w:top w:val="none" w:sz="0" w:space="0" w:color="auto"/>
        <w:left w:val="none" w:sz="0" w:space="0" w:color="auto"/>
        <w:bottom w:val="none" w:sz="0" w:space="0" w:color="auto"/>
        <w:right w:val="none" w:sz="0" w:space="0" w:color="auto"/>
      </w:divBdr>
    </w:div>
    <w:div w:id="373238297">
      <w:bodyDiv w:val="1"/>
      <w:marLeft w:val="0"/>
      <w:marRight w:val="0"/>
      <w:marTop w:val="0"/>
      <w:marBottom w:val="0"/>
      <w:divBdr>
        <w:top w:val="none" w:sz="0" w:space="0" w:color="auto"/>
        <w:left w:val="none" w:sz="0" w:space="0" w:color="auto"/>
        <w:bottom w:val="none" w:sz="0" w:space="0" w:color="auto"/>
        <w:right w:val="none" w:sz="0" w:space="0" w:color="auto"/>
      </w:divBdr>
    </w:div>
    <w:div w:id="373238446">
      <w:bodyDiv w:val="1"/>
      <w:marLeft w:val="0"/>
      <w:marRight w:val="0"/>
      <w:marTop w:val="0"/>
      <w:marBottom w:val="0"/>
      <w:divBdr>
        <w:top w:val="none" w:sz="0" w:space="0" w:color="auto"/>
        <w:left w:val="none" w:sz="0" w:space="0" w:color="auto"/>
        <w:bottom w:val="none" w:sz="0" w:space="0" w:color="auto"/>
        <w:right w:val="none" w:sz="0" w:space="0" w:color="auto"/>
      </w:divBdr>
    </w:div>
    <w:div w:id="373579955">
      <w:bodyDiv w:val="1"/>
      <w:marLeft w:val="0"/>
      <w:marRight w:val="0"/>
      <w:marTop w:val="0"/>
      <w:marBottom w:val="0"/>
      <w:divBdr>
        <w:top w:val="none" w:sz="0" w:space="0" w:color="auto"/>
        <w:left w:val="none" w:sz="0" w:space="0" w:color="auto"/>
        <w:bottom w:val="none" w:sz="0" w:space="0" w:color="auto"/>
        <w:right w:val="none" w:sz="0" w:space="0" w:color="auto"/>
      </w:divBdr>
    </w:div>
    <w:div w:id="373773755">
      <w:bodyDiv w:val="1"/>
      <w:marLeft w:val="0"/>
      <w:marRight w:val="0"/>
      <w:marTop w:val="0"/>
      <w:marBottom w:val="0"/>
      <w:divBdr>
        <w:top w:val="none" w:sz="0" w:space="0" w:color="auto"/>
        <w:left w:val="none" w:sz="0" w:space="0" w:color="auto"/>
        <w:bottom w:val="none" w:sz="0" w:space="0" w:color="auto"/>
        <w:right w:val="none" w:sz="0" w:space="0" w:color="auto"/>
      </w:divBdr>
    </w:div>
    <w:div w:id="373845173">
      <w:bodyDiv w:val="1"/>
      <w:marLeft w:val="0"/>
      <w:marRight w:val="0"/>
      <w:marTop w:val="0"/>
      <w:marBottom w:val="0"/>
      <w:divBdr>
        <w:top w:val="none" w:sz="0" w:space="0" w:color="auto"/>
        <w:left w:val="none" w:sz="0" w:space="0" w:color="auto"/>
        <w:bottom w:val="none" w:sz="0" w:space="0" w:color="auto"/>
        <w:right w:val="none" w:sz="0" w:space="0" w:color="auto"/>
      </w:divBdr>
    </w:div>
    <w:div w:id="373845522">
      <w:bodyDiv w:val="1"/>
      <w:marLeft w:val="0"/>
      <w:marRight w:val="0"/>
      <w:marTop w:val="0"/>
      <w:marBottom w:val="0"/>
      <w:divBdr>
        <w:top w:val="none" w:sz="0" w:space="0" w:color="auto"/>
        <w:left w:val="none" w:sz="0" w:space="0" w:color="auto"/>
        <w:bottom w:val="none" w:sz="0" w:space="0" w:color="auto"/>
        <w:right w:val="none" w:sz="0" w:space="0" w:color="auto"/>
      </w:divBdr>
    </w:div>
    <w:div w:id="373888425">
      <w:bodyDiv w:val="1"/>
      <w:marLeft w:val="0"/>
      <w:marRight w:val="0"/>
      <w:marTop w:val="0"/>
      <w:marBottom w:val="0"/>
      <w:divBdr>
        <w:top w:val="none" w:sz="0" w:space="0" w:color="auto"/>
        <w:left w:val="none" w:sz="0" w:space="0" w:color="auto"/>
        <w:bottom w:val="none" w:sz="0" w:space="0" w:color="auto"/>
        <w:right w:val="none" w:sz="0" w:space="0" w:color="auto"/>
      </w:divBdr>
    </w:div>
    <w:div w:id="373891501">
      <w:bodyDiv w:val="1"/>
      <w:marLeft w:val="0"/>
      <w:marRight w:val="0"/>
      <w:marTop w:val="0"/>
      <w:marBottom w:val="0"/>
      <w:divBdr>
        <w:top w:val="none" w:sz="0" w:space="0" w:color="auto"/>
        <w:left w:val="none" w:sz="0" w:space="0" w:color="auto"/>
        <w:bottom w:val="none" w:sz="0" w:space="0" w:color="auto"/>
        <w:right w:val="none" w:sz="0" w:space="0" w:color="auto"/>
      </w:divBdr>
    </w:div>
    <w:div w:id="373895590">
      <w:bodyDiv w:val="1"/>
      <w:marLeft w:val="0"/>
      <w:marRight w:val="0"/>
      <w:marTop w:val="0"/>
      <w:marBottom w:val="0"/>
      <w:divBdr>
        <w:top w:val="none" w:sz="0" w:space="0" w:color="auto"/>
        <w:left w:val="none" w:sz="0" w:space="0" w:color="auto"/>
        <w:bottom w:val="none" w:sz="0" w:space="0" w:color="auto"/>
        <w:right w:val="none" w:sz="0" w:space="0" w:color="auto"/>
      </w:divBdr>
    </w:div>
    <w:div w:id="373962439">
      <w:bodyDiv w:val="1"/>
      <w:marLeft w:val="0"/>
      <w:marRight w:val="0"/>
      <w:marTop w:val="0"/>
      <w:marBottom w:val="0"/>
      <w:divBdr>
        <w:top w:val="none" w:sz="0" w:space="0" w:color="auto"/>
        <w:left w:val="none" w:sz="0" w:space="0" w:color="auto"/>
        <w:bottom w:val="none" w:sz="0" w:space="0" w:color="auto"/>
        <w:right w:val="none" w:sz="0" w:space="0" w:color="auto"/>
      </w:divBdr>
    </w:div>
    <w:div w:id="373970107">
      <w:bodyDiv w:val="1"/>
      <w:marLeft w:val="0"/>
      <w:marRight w:val="0"/>
      <w:marTop w:val="0"/>
      <w:marBottom w:val="0"/>
      <w:divBdr>
        <w:top w:val="none" w:sz="0" w:space="0" w:color="auto"/>
        <w:left w:val="none" w:sz="0" w:space="0" w:color="auto"/>
        <w:bottom w:val="none" w:sz="0" w:space="0" w:color="auto"/>
        <w:right w:val="none" w:sz="0" w:space="0" w:color="auto"/>
      </w:divBdr>
    </w:div>
    <w:div w:id="374162496">
      <w:bodyDiv w:val="1"/>
      <w:marLeft w:val="0"/>
      <w:marRight w:val="0"/>
      <w:marTop w:val="0"/>
      <w:marBottom w:val="0"/>
      <w:divBdr>
        <w:top w:val="none" w:sz="0" w:space="0" w:color="auto"/>
        <w:left w:val="none" w:sz="0" w:space="0" w:color="auto"/>
        <w:bottom w:val="none" w:sz="0" w:space="0" w:color="auto"/>
        <w:right w:val="none" w:sz="0" w:space="0" w:color="auto"/>
      </w:divBdr>
    </w:div>
    <w:div w:id="374308279">
      <w:bodyDiv w:val="1"/>
      <w:marLeft w:val="0"/>
      <w:marRight w:val="0"/>
      <w:marTop w:val="0"/>
      <w:marBottom w:val="0"/>
      <w:divBdr>
        <w:top w:val="none" w:sz="0" w:space="0" w:color="auto"/>
        <w:left w:val="none" w:sz="0" w:space="0" w:color="auto"/>
        <w:bottom w:val="none" w:sz="0" w:space="0" w:color="auto"/>
        <w:right w:val="none" w:sz="0" w:space="0" w:color="auto"/>
      </w:divBdr>
    </w:div>
    <w:div w:id="374352178">
      <w:bodyDiv w:val="1"/>
      <w:marLeft w:val="0"/>
      <w:marRight w:val="0"/>
      <w:marTop w:val="0"/>
      <w:marBottom w:val="0"/>
      <w:divBdr>
        <w:top w:val="none" w:sz="0" w:space="0" w:color="auto"/>
        <w:left w:val="none" w:sz="0" w:space="0" w:color="auto"/>
        <w:bottom w:val="none" w:sz="0" w:space="0" w:color="auto"/>
        <w:right w:val="none" w:sz="0" w:space="0" w:color="auto"/>
      </w:divBdr>
    </w:div>
    <w:div w:id="374499797">
      <w:bodyDiv w:val="1"/>
      <w:marLeft w:val="0"/>
      <w:marRight w:val="0"/>
      <w:marTop w:val="0"/>
      <w:marBottom w:val="0"/>
      <w:divBdr>
        <w:top w:val="none" w:sz="0" w:space="0" w:color="auto"/>
        <w:left w:val="none" w:sz="0" w:space="0" w:color="auto"/>
        <w:bottom w:val="none" w:sz="0" w:space="0" w:color="auto"/>
        <w:right w:val="none" w:sz="0" w:space="0" w:color="auto"/>
      </w:divBdr>
    </w:div>
    <w:div w:id="374550299">
      <w:bodyDiv w:val="1"/>
      <w:marLeft w:val="0"/>
      <w:marRight w:val="0"/>
      <w:marTop w:val="0"/>
      <w:marBottom w:val="0"/>
      <w:divBdr>
        <w:top w:val="none" w:sz="0" w:space="0" w:color="auto"/>
        <w:left w:val="none" w:sz="0" w:space="0" w:color="auto"/>
        <w:bottom w:val="none" w:sz="0" w:space="0" w:color="auto"/>
        <w:right w:val="none" w:sz="0" w:space="0" w:color="auto"/>
      </w:divBdr>
    </w:div>
    <w:div w:id="374816213">
      <w:bodyDiv w:val="1"/>
      <w:marLeft w:val="0"/>
      <w:marRight w:val="0"/>
      <w:marTop w:val="0"/>
      <w:marBottom w:val="0"/>
      <w:divBdr>
        <w:top w:val="none" w:sz="0" w:space="0" w:color="auto"/>
        <w:left w:val="none" w:sz="0" w:space="0" w:color="auto"/>
        <w:bottom w:val="none" w:sz="0" w:space="0" w:color="auto"/>
        <w:right w:val="none" w:sz="0" w:space="0" w:color="auto"/>
      </w:divBdr>
    </w:div>
    <w:div w:id="375203358">
      <w:bodyDiv w:val="1"/>
      <w:marLeft w:val="0"/>
      <w:marRight w:val="0"/>
      <w:marTop w:val="0"/>
      <w:marBottom w:val="0"/>
      <w:divBdr>
        <w:top w:val="none" w:sz="0" w:space="0" w:color="auto"/>
        <w:left w:val="none" w:sz="0" w:space="0" w:color="auto"/>
        <w:bottom w:val="none" w:sz="0" w:space="0" w:color="auto"/>
        <w:right w:val="none" w:sz="0" w:space="0" w:color="auto"/>
      </w:divBdr>
    </w:div>
    <w:div w:id="375205615">
      <w:bodyDiv w:val="1"/>
      <w:marLeft w:val="0"/>
      <w:marRight w:val="0"/>
      <w:marTop w:val="0"/>
      <w:marBottom w:val="0"/>
      <w:divBdr>
        <w:top w:val="none" w:sz="0" w:space="0" w:color="auto"/>
        <w:left w:val="none" w:sz="0" w:space="0" w:color="auto"/>
        <w:bottom w:val="none" w:sz="0" w:space="0" w:color="auto"/>
        <w:right w:val="none" w:sz="0" w:space="0" w:color="auto"/>
      </w:divBdr>
    </w:div>
    <w:div w:id="375324832">
      <w:bodyDiv w:val="1"/>
      <w:marLeft w:val="0"/>
      <w:marRight w:val="0"/>
      <w:marTop w:val="0"/>
      <w:marBottom w:val="0"/>
      <w:divBdr>
        <w:top w:val="none" w:sz="0" w:space="0" w:color="auto"/>
        <w:left w:val="none" w:sz="0" w:space="0" w:color="auto"/>
        <w:bottom w:val="none" w:sz="0" w:space="0" w:color="auto"/>
        <w:right w:val="none" w:sz="0" w:space="0" w:color="auto"/>
      </w:divBdr>
    </w:div>
    <w:div w:id="375393616">
      <w:bodyDiv w:val="1"/>
      <w:marLeft w:val="0"/>
      <w:marRight w:val="0"/>
      <w:marTop w:val="0"/>
      <w:marBottom w:val="0"/>
      <w:divBdr>
        <w:top w:val="none" w:sz="0" w:space="0" w:color="auto"/>
        <w:left w:val="none" w:sz="0" w:space="0" w:color="auto"/>
        <w:bottom w:val="none" w:sz="0" w:space="0" w:color="auto"/>
        <w:right w:val="none" w:sz="0" w:space="0" w:color="auto"/>
      </w:divBdr>
    </w:div>
    <w:div w:id="375397572">
      <w:bodyDiv w:val="1"/>
      <w:marLeft w:val="0"/>
      <w:marRight w:val="0"/>
      <w:marTop w:val="0"/>
      <w:marBottom w:val="0"/>
      <w:divBdr>
        <w:top w:val="none" w:sz="0" w:space="0" w:color="auto"/>
        <w:left w:val="none" w:sz="0" w:space="0" w:color="auto"/>
        <w:bottom w:val="none" w:sz="0" w:space="0" w:color="auto"/>
        <w:right w:val="none" w:sz="0" w:space="0" w:color="auto"/>
      </w:divBdr>
    </w:div>
    <w:div w:id="375472642">
      <w:bodyDiv w:val="1"/>
      <w:marLeft w:val="0"/>
      <w:marRight w:val="0"/>
      <w:marTop w:val="0"/>
      <w:marBottom w:val="0"/>
      <w:divBdr>
        <w:top w:val="none" w:sz="0" w:space="0" w:color="auto"/>
        <w:left w:val="none" w:sz="0" w:space="0" w:color="auto"/>
        <w:bottom w:val="none" w:sz="0" w:space="0" w:color="auto"/>
        <w:right w:val="none" w:sz="0" w:space="0" w:color="auto"/>
      </w:divBdr>
    </w:div>
    <w:div w:id="375586963">
      <w:bodyDiv w:val="1"/>
      <w:marLeft w:val="0"/>
      <w:marRight w:val="0"/>
      <w:marTop w:val="0"/>
      <w:marBottom w:val="0"/>
      <w:divBdr>
        <w:top w:val="none" w:sz="0" w:space="0" w:color="auto"/>
        <w:left w:val="none" w:sz="0" w:space="0" w:color="auto"/>
        <w:bottom w:val="none" w:sz="0" w:space="0" w:color="auto"/>
        <w:right w:val="none" w:sz="0" w:space="0" w:color="auto"/>
      </w:divBdr>
    </w:div>
    <w:div w:id="375617677">
      <w:bodyDiv w:val="1"/>
      <w:marLeft w:val="0"/>
      <w:marRight w:val="0"/>
      <w:marTop w:val="0"/>
      <w:marBottom w:val="0"/>
      <w:divBdr>
        <w:top w:val="none" w:sz="0" w:space="0" w:color="auto"/>
        <w:left w:val="none" w:sz="0" w:space="0" w:color="auto"/>
        <w:bottom w:val="none" w:sz="0" w:space="0" w:color="auto"/>
        <w:right w:val="none" w:sz="0" w:space="0" w:color="auto"/>
      </w:divBdr>
    </w:div>
    <w:div w:id="375734983">
      <w:bodyDiv w:val="1"/>
      <w:marLeft w:val="0"/>
      <w:marRight w:val="0"/>
      <w:marTop w:val="0"/>
      <w:marBottom w:val="0"/>
      <w:divBdr>
        <w:top w:val="none" w:sz="0" w:space="0" w:color="auto"/>
        <w:left w:val="none" w:sz="0" w:space="0" w:color="auto"/>
        <w:bottom w:val="none" w:sz="0" w:space="0" w:color="auto"/>
        <w:right w:val="none" w:sz="0" w:space="0" w:color="auto"/>
      </w:divBdr>
    </w:div>
    <w:div w:id="375813003">
      <w:bodyDiv w:val="1"/>
      <w:marLeft w:val="0"/>
      <w:marRight w:val="0"/>
      <w:marTop w:val="0"/>
      <w:marBottom w:val="0"/>
      <w:divBdr>
        <w:top w:val="none" w:sz="0" w:space="0" w:color="auto"/>
        <w:left w:val="none" w:sz="0" w:space="0" w:color="auto"/>
        <w:bottom w:val="none" w:sz="0" w:space="0" w:color="auto"/>
        <w:right w:val="none" w:sz="0" w:space="0" w:color="auto"/>
      </w:divBdr>
    </w:div>
    <w:div w:id="375815760">
      <w:bodyDiv w:val="1"/>
      <w:marLeft w:val="0"/>
      <w:marRight w:val="0"/>
      <w:marTop w:val="0"/>
      <w:marBottom w:val="0"/>
      <w:divBdr>
        <w:top w:val="none" w:sz="0" w:space="0" w:color="auto"/>
        <w:left w:val="none" w:sz="0" w:space="0" w:color="auto"/>
        <w:bottom w:val="none" w:sz="0" w:space="0" w:color="auto"/>
        <w:right w:val="none" w:sz="0" w:space="0" w:color="auto"/>
      </w:divBdr>
    </w:div>
    <w:div w:id="375933957">
      <w:bodyDiv w:val="1"/>
      <w:marLeft w:val="0"/>
      <w:marRight w:val="0"/>
      <w:marTop w:val="0"/>
      <w:marBottom w:val="0"/>
      <w:divBdr>
        <w:top w:val="none" w:sz="0" w:space="0" w:color="auto"/>
        <w:left w:val="none" w:sz="0" w:space="0" w:color="auto"/>
        <w:bottom w:val="none" w:sz="0" w:space="0" w:color="auto"/>
        <w:right w:val="none" w:sz="0" w:space="0" w:color="auto"/>
      </w:divBdr>
    </w:div>
    <w:div w:id="375937608">
      <w:bodyDiv w:val="1"/>
      <w:marLeft w:val="0"/>
      <w:marRight w:val="0"/>
      <w:marTop w:val="0"/>
      <w:marBottom w:val="0"/>
      <w:divBdr>
        <w:top w:val="none" w:sz="0" w:space="0" w:color="auto"/>
        <w:left w:val="none" w:sz="0" w:space="0" w:color="auto"/>
        <w:bottom w:val="none" w:sz="0" w:space="0" w:color="auto"/>
        <w:right w:val="none" w:sz="0" w:space="0" w:color="auto"/>
      </w:divBdr>
    </w:div>
    <w:div w:id="376122736">
      <w:bodyDiv w:val="1"/>
      <w:marLeft w:val="0"/>
      <w:marRight w:val="0"/>
      <w:marTop w:val="0"/>
      <w:marBottom w:val="0"/>
      <w:divBdr>
        <w:top w:val="none" w:sz="0" w:space="0" w:color="auto"/>
        <w:left w:val="none" w:sz="0" w:space="0" w:color="auto"/>
        <w:bottom w:val="none" w:sz="0" w:space="0" w:color="auto"/>
        <w:right w:val="none" w:sz="0" w:space="0" w:color="auto"/>
      </w:divBdr>
    </w:div>
    <w:div w:id="376203158">
      <w:bodyDiv w:val="1"/>
      <w:marLeft w:val="0"/>
      <w:marRight w:val="0"/>
      <w:marTop w:val="0"/>
      <w:marBottom w:val="0"/>
      <w:divBdr>
        <w:top w:val="none" w:sz="0" w:space="0" w:color="auto"/>
        <w:left w:val="none" w:sz="0" w:space="0" w:color="auto"/>
        <w:bottom w:val="none" w:sz="0" w:space="0" w:color="auto"/>
        <w:right w:val="none" w:sz="0" w:space="0" w:color="auto"/>
      </w:divBdr>
    </w:div>
    <w:div w:id="376273416">
      <w:bodyDiv w:val="1"/>
      <w:marLeft w:val="0"/>
      <w:marRight w:val="0"/>
      <w:marTop w:val="0"/>
      <w:marBottom w:val="0"/>
      <w:divBdr>
        <w:top w:val="none" w:sz="0" w:space="0" w:color="auto"/>
        <w:left w:val="none" w:sz="0" w:space="0" w:color="auto"/>
        <w:bottom w:val="none" w:sz="0" w:space="0" w:color="auto"/>
        <w:right w:val="none" w:sz="0" w:space="0" w:color="auto"/>
      </w:divBdr>
    </w:div>
    <w:div w:id="376513728">
      <w:bodyDiv w:val="1"/>
      <w:marLeft w:val="0"/>
      <w:marRight w:val="0"/>
      <w:marTop w:val="0"/>
      <w:marBottom w:val="0"/>
      <w:divBdr>
        <w:top w:val="none" w:sz="0" w:space="0" w:color="auto"/>
        <w:left w:val="none" w:sz="0" w:space="0" w:color="auto"/>
        <w:bottom w:val="none" w:sz="0" w:space="0" w:color="auto"/>
        <w:right w:val="none" w:sz="0" w:space="0" w:color="auto"/>
      </w:divBdr>
    </w:div>
    <w:div w:id="376781800">
      <w:bodyDiv w:val="1"/>
      <w:marLeft w:val="0"/>
      <w:marRight w:val="0"/>
      <w:marTop w:val="0"/>
      <w:marBottom w:val="0"/>
      <w:divBdr>
        <w:top w:val="none" w:sz="0" w:space="0" w:color="auto"/>
        <w:left w:val="none" w:sz="0" w:space="0" w:color="auto"/>
        <w:bottom w:val="none" w:sz="0" w:space="0" w:color="auto"/>
        <w:right w:val="none" w:sz="0" w:space="0" w:color="auto"/>
      </w:divBdr>
    </w:div>
    <w:div w:id="376900244">
      <w:bodyDiv w:val="1"/>
      <w:marLeft w:val="0"/>
      <w:marRight w:val="0"/>
      <w:marTop w:val="0"/>
      <w:marBottom w:val="0"/>
      <w:divBdr>
        <w:top w:val="none" w:sz="0" w:space="0" w:color="auto"/>
        <w:left w:val="none" w:sz="0" w:space="0" w:color="auto"/>
        <w:bottom w:val="none" w:sz="0" w:space="0" w:color="auto"/>
        <w:right w:val="none" w:sz="0" w:space="0" w:color="auto"/>
      </w:divBdr>
    </w:div>
    <w:div w:id="376929791">
      <w:bodyDiv w:val="1"/>
      <w:marLeft w:val="0"/>
      <w:marRight w:val="0"/>
      <w:marTop w:val="0"/>
      <w:marBottom w:val="0"/>
      <w:divBdr>
        <w:top w:val="none" w:sz="0" w:space="0" w:color="auto"/>
        <w:left w:val="none" w:sz="0" w:space="0" w:color="auto"/>
        <w:bottom w:val="none" w:sz="0" w:space="0" w:color="auto"/>
        <w:right w:val="none" w:sz="0" w:space="0" w:color="auto"/>
      </w:divBdr>
    </w:div>
    <w:div w:id="376971961">
      <w:bodyDiv w:val="1"/>
      <w:marLeft w:val="0"/>
      <w:marRight w:val="0"/>
      <w:marTop w:val="0"/>
      <w:marBottom w:val="0"/>
      <w:divBdr>
        <w:top w:val="none" w:sz="0" w:space="0" w:color="auto"/>
        <w:left w:val="none" w:sz="0" w:space="0" w:color="auto"/>
        <w:bottom w:val="none" w:sz="0" w:space="0" w:color="auto"/>
        <w:right w:val="none" w:sz="0" w:space="0" w:color="auto"/>
      </w:divBdr>
    </w:div>
    <w:div w:id="376973016">
      <w:bodyDiv w:val="1"/>
      <w:marLeft w:val="0"/>
      <w:marRight w:val="0"/>
      <w:marTop w:val="0"/>
      <w:marBottom w:val="0"/>
      <w:divBdr>
        <w:top w:val="none" w:sz="0" w:space="0" w:color="auto"/>
        <w:left w:val="none" w:sz="0" w:space="0" w:color="auto"/>
        <w:bottom w:val="none" w:sz="0" w:space="0" w:color="auto"/>
        <w:right w:val="none" w:sz="0" w:space="0" w:color="auto"/>
      </w:divBdr>
    </w:div>
    <w:div w:id="376978715">
      <w:bodyDiv w:val="1"/>
      <w:marLeft w:val="0"/>
      <w:marRight w:val="0"/>
      <w:marTop w:val="0"/>
      <w:marBottom w:val="0"/>
      <w:divBdr>
        <w:top w:val="none" w:sz="0" w:space="0" w:color="auto"/>
        <w:left w:val="none" w:sz="0" w:space="0" w:color="auto"/>
        <w:bottom w:val="none" w:sz="0" w:space="0" w:color="auto"/>
        <w:right w:val="none" w:sz="0" w:space="0" w:color="auto"/>
      </w:divBdr>
    </w:div>
    <w:div w:id="377052158">
      <w:bodyDiv w:val="1"/>
      <w:marLeft w:val="0"/>
      <w:marRight w:val="0"/>
      <w:marTop w:val="0"/>
      <w:marBottom w:val="0"/>
      <w:divBdr>
        <w:top w:val="none" w:sz="0" w:space="0" w:color="auto"/>
        <w:left w:val="none" w:sz="0" w:space="0" w:color="auto"/>
        <w:bottom w:val="none" w:sz="0" w:space="0" w:color="auto"/>
        <w:right w:val="none" w:sz="0" w:space="0" w:color="auto"/>
      </w:divBdr>
    </w:div>
    <w:div w:id="377126852">
      <w:bodyDiv w:val="1"/>
      <w:marLeft w:val="0"/>
      <w:marRight w:val="0"/>
      <w:marTop w:val="0"/>
      <w:marBottom w:val="0"/>
      <w:divBdr>
        <w:top w:val="none" w:sz="0" w:space="0" w:color="auto"/>
        <w:left w:val="none" w:sz="0" w:space="0" w:color="auto"/>
        <w:bottom w:val="none" w:sz="0" w:space="0" w:color="auto"/>
        <w:right w:val="none" w:sz="0" w:space="0" w:color="auto"/>
      </w:divBdr>
    </w:div>
    <w:div w:id="377165254">
      <w:bodyDiv w:val="1"/>
      <w:marLeft w:val="0"/>
      <w:marRight w:val="0"/>
      <w:marTop w:val="0"/>
      <w:marBottom w:val="0"/>
      <w:divBdr>
        <w:top w:val="none" w:sz="0" w:space="0" w:color="auto"/>
        <w:left w:val="none" w:sz="0" w:space="0" w:color="auto"/>
        <w:bottom w:val="none" w:sz="0" w:space="0" w:color="auto"/>
        <w:right w:val="none" w:sz="0" w:space="0" w:color="auto"/>
      </w:divBdr>
    </w:div>
    <w:div w:id="377166870">
      <w:bodyDiv w:val="1"/>
      <w:marLeft w:val="0"/>
      <w:marRight w:val="0"/>
      <w:marTop w:val="0"/>
      <w:marBottom w:val="0"/>
      <w:divBdr>
        <w:top w:val="none" w:sz="0" w:space="0" w:color="auto"/>
        <w:left w:val="none" w:sz="0" w:space="0" w:color="auto"/>
        <w:bottom w:val="none" w:sz="0" w:space="0" w:color="auto"/>
        <w:right w:val="none" w:sz="0" w:space="0" w:color="auto"/>
      </w:divBdr>
    </w:div>
    <w:div w:id="377168997">
      <w:bodyDiv w:val="1"/>
      <w:marLeft w:val="0"/>
      <w:marRight w:val="0"/>
      <w:marTop w:val="0"/>
      <w:marBottom w:val="0"/>
      <w:divBdr>
        <w:top w:val="none" w:sz="0" w:space="0" w:color="auto"/>
        <w:left w:val="none" w:sz="0" w:space="0" w:color="auto"/>
        <w:bottom w:val="none" w:sz="0" w:space="0" w:color="auto"/>
        <w:right w:val="none" w:sz="0" w:space="0" w:color="auto"/>
      </w:divBdr>
    </w:div>
    <w:div w:id="377172187">
      <w:bodyDiv w:val="1"/>
      <w:marLeft w:val="0"/>
      <w:marRight w:val="0"/>
      <w:marTop w:val="0"/>
      <w:marBottom w:val="0"/>
      <w:divBdr>
        <w:top w:val="none" w:sz="0" w:space="0" w:color="auto"/>
        <w:left w:val="none" w:sz="0" w:space="0" w:color="auto"/>
        <w:bottom w:val="none" w:sz="0" w:space="0" w:color="auto"/>
        <w:right w:val="none" w:sz="0" w:space="0" w:color="auto"/>
      </w:divBdr>
    </w:div>
    <w:div w:id="377363298">
      <w:bodyDiv w:val="1"/>
      <w:marLeft w:val="0"/>
      <w:marRight w:val="0"/>
      <w:marTop w:val="0"/>
      <w:marBottom w:val="0"/>
      <w:divBdr>
        <w:top w:val="none" w:sz="0" w:space="0" w:color="auto"/>
        <w:left w:val="none" w:sz="0" w:space="0" w:color="auto"/>
        <w:bottom w:val="none" w:sz="0" w:space="0" w:color="auto"/>
        <w:right w:val="none" w:sz="0" w:space="0" w:color="auto"/>
      </w:divBdr>
    </w:div>
    <w:div w:id="377433982">
      <w:bodyDiv w:val="1"/>
      <w:marLeft w:val="0"/>
      <w:marRight w:val="0"/>
      <w:marTop w:val="0"/>
      <w:marBottom w:val="0"/>
      <w:divBdr>
        <w:top w:val="none" w:sz="0" w:space="0" w:color="auto"/>
        <w:left w:val="none" w:sz="0" w:space="0" w:color="auto"/>
        <w:bottom w:val="none" w:sz="0" w:space="0" w:color="auto"/>
        <w:right w:val="none" w:sz="0" w:space="0" w:color="auto"/>
      </w:divBdr>
    </w:div>
    <w:div w:id="377438951">
      <w:bodyDiv w:val="1"/>
      <w:marLeft w:val="0"/>
      <w:marRight w:val="0"/>
      <w:marTop w:val="0"/>
      <w:marBottom w:val="0"/>
      <w:divBdr>
        <w:top w:val="none" w:sz="0" w:space="0" w:color="auto"/>
        <w:left w:val="none" w:sz="0" w:space="0" w:color="auto"/>
        <w:bottom w:val="none" w:sz="0" w:space="0" w:color="auto"/>
        <w:right w:val="none" w:sz="0" w:space="0" w:color="auto"/>
      </w:divBdr>
    </w:div>
    <w:div w:id="377513546">
      <w:bodyDiv w:val="1"/>
      <w:marLeft w:val="0"/>
      <w:marRight w:val="0"/>
      <w:marTop w:val="0"/>
      <w:marBottom w:val="0"/>
      <w:divBdr>
        <w:top w:val="none" w:sz="0" w:space="0" w:color="auto"/>
        <w:left w:val="none" w:sz="0" w:space="0" w:color="auto"/>
        <w:bottom w:val="none" w:sz="0" w:space="0" w:color="auto"/>
        <w:right w:val="none" w:sz="0" w:space="0" w:color="auto"/>
      </w:divBdr>
    </w:div>
    <w:div w:id="377515092">
      <w:bodyDiv w:val="1"/>
      <w:marLeft w:val="0"/>
      <w:marRight w:val="0"/>
      <w:marTop w:val="0"/>
      <w:marBottom w:val="0"/>
      <w:divBdr>
        <w:top w:val="none" w:sz="0" w:space="0" w:color="auto"/>
        <w:left w:val="none" w:sz="0" w:space="0" w:color="auto"/>
        <w:bottom w:val="none" w:sz="0" w:space="0" w:color="auto"/>
        <w:right w:val="none" w:sz="0" w:space="0" w:color="auto"/>
      </w:divBdr>
    </w:div>
    <w:div w:id="377710194">
      <w:bodyDiv w:val="1"/>
      <w:marLeft w:val="0"/>
      <w:marRight w:val="0"/>
      <w:marTop w:val="0"/>
      <w:marBottom w:val="0"/>
      <w:divBdr>
        <w:top w:val="none" w:sz="0" w:space="0" w:color="auto"/>
        <w:left w:val="none" w:sz="0" w:space="0" w:color="auto"/>
        <w:bottom w:val="none" w:sz="0" w:space="0" w:color="auto"/>
        <w:right w:val="none" w:sz="0" w:space="0" w:color="auto"/>
      </w:divBdr>
    </w:div>
    <w:div w:id="377777188">
      <w:bodyDiv w:val="1"/>
      <w:marLeft w:val="0"/>
      <w:marRight w:val="0"/>
      <w:marTop w:val="0"/>
      <w:marBottom w:val="0"/>
      <w:divBdr>
        <w:top w:val="none" w:sz="0" w:space="0" w:color="auto"/>
        <w:left w:val="none" w:sz="0" w:space="0" w:color="auto"/>
        <w:bottom w:val="none" w:sz="0" w:space="0" w:color="auto"/>
        <w:right w:val="none" w:sz="0" w:space="0" w:color="auto"/>
      </w:divBdr>
    </w:div>
    <w:div w:id="377779408">
      <w:bodyDiv w:val="1"/>
      <w:marLeft w:val="0"/>
      <w:marRight w:val="0"/>
      <w:marTop w:val="0"/>
      <w:marBottom w:val="0"/>
      <w:divBdr>
        <w:top w:val="none" w:sz="0" w:space="0" w:color="auto"/>
        <w:left w:val="none" w:sz="0" w:space="0" w:color="auto"/>
        <w:bottom w:val="none" w:sz="0" w:space="0" w:color="auto"/>
        <w:right w:val="none" w:sz="0" w:space="0" w:color="auto"/>
      </w:divBdr>
    </w:div>
    <w:div w:id="377894056">
      <w:bodyDiv w:val="1"/>
      <w:marLeft w:val="0"/>
      <w:marRight w:val="0"/>
      <w:marTop w:val="0"/>
      <w:marBottom w:val="0"/>
      <w:divBdr>
        <w:top w:val="none" w:sz="0" w:space="0" w:color="auto"/>
        <w:left w:val="none" w:sz="0" w:space="0" w:color="auto"/>
        <w:bottom w:val="none" w:sz="0" w:space="0" w:color="auto"/>
        <w:right w:val="none" w:sz="0" w:space="0" w:color="auto"/>
      </w:divBdr>
    </w:div>
    <w:div w:id="378021147">
      <w:bodyDiv w:val="1"/>
      <w:marLeft w:val="0"/>
      <w:marRight w:val="0"/>
      <w:marTop w:val="0"/>
      <w:marBottom w:val="0"/>
      <w:divBdr>
        <w:top w:val="none" w:sz="0" w:space="0" w:color="auto"/>
        <w:left w:val="none" w:sz="0" w:space="0" w:color="auto"/>
        <w:bottom w:val="none" w:sz="0" w:space="0" w:color="auto"/>
        <w:right w:val="none" w:sz="0" w:space="0" w:color="auto"/>
      </w:divBdr>
    </w:div>
    <w:div w:id="378168657">
      <w:bodyDiv w:val="1"/>
      <w:marLeft w:val="0"/>
      <w:marRight w:val="0"/>
      <w:marTop w:val="0"/>
      <w:marBottom w:val="0"/>
      <w:divBdr>
        <w:top w:val="none" w:sz="0" w:space="0" w:color="auto"/>
        <w:left w:val="none" w:sz="0" w:space="0" w:color="auto"/>
        <w:bottom w:val="none" w:sz="0" w:space="0" w:color="auto"/>
        <w:right w:val="none" w:sz="0" w:space="0" w:color="auto"/>
      </w:divBdr>
    </w:div>
    <w:div w:id="378358469">
      <w:bodyDiv w:val="1"/>
      <w:marLeft w:val="0"/>
      <w:marRight w:val="0"/>
      <w:marTop w:val="0"/>
      <w:marBottom w:val="0"/>
      <w:divBdr>
        <w:top w:val="none" w:sz="0" w:space="0" w:color="auto"/>
        <w:left w:val="none" w:sz="0" w:space="0" w:color="auto"/>
        <w:bottom w:val="none" w:sz="0" w:space="0" w:color="auto"/>
        <w:right w:val="none" w:sz="0" w:space="0" w:color="auto"/>
      </w:divBdr>
    </w:div>
    <w:div w:id="378363147">
      <w:bodyDiv w:val="1"/>
      <w:marLeft w:val="0"/>
      <w:marRight w:val="0"/>
      <w:marTop w:val="0"/>
      <w:marBottom w:val="0"/>
      <w:divBdr>
        <w:top w:val="none" w:sz="0" w:space="0" w:color="auto"/>
        <w:left w:val="none" w:sz="0" w:space="0" w:color="auto"/>
        <w:bottom w:val="none" w:sz="0" w:space="0" w:color="auto"/>
        <w:right w:val="none" w:sz="0" w:space="0" w:color="auto"/>
      </w:divBdr>
    </w:div>
    <w:div w:id="378474150">
      <w:bodyDiv w:val="1"/>
      <w:marLeft w:val="0"/>
      <w:marRight w:val="0"/>
      <w:marTop w:val="0"/>
      <w:marBottom w:val="0"/>
      <w:divBdr>
        <w:top w:val="none" w:sz="0" w:space="0" w:color="auto"/>
        <w:left w:val="none" w:sz="0" w:space="0" w:color="auto"/>
        <w:bottom w:val="none" w:sz="0" w:space="0" w:color="auto"/>
        <w:right w:val="none" w:sz="0" w:space="0" w:color="auto"/>
      </w:divBdr>
    </w:div>
    <w:div w:id="378480115">
      <w:bodyDiv w:val="1"/>
      <w:marLeft w:val="0"/>
      <w:marRight w:val="0"/>
      <w:marTop w:val="0"/>
      <w:marBottom w:val="0"/>
      <w:divBdr>
        <w:top w:val="none" w:sz="0" w:space="0" w:color="auto"/>
        <w:left w:val="none" w:sz="0" w:space="0" w:color="auto"/>
        <w:bottom w:val="none" w:sz="0" w:space="0" w:color="auto"/>
        <w:right w:val="none" w:sz="0" w:space="0" w:color="auto"/>
      </w:divBdr>
    </w:div>
    <w:div w:id="378554717">
      <w:bodyDiv w:val="1"/>
      <w:marLeft w:val="0"/>
      <w:marRight w:val="0"/>
      <w:marTop w:val="0"/>
      <w:marBottom w:val="0"/>
      <w:divBdr>
        <w:top w:val="none" w:sz="0" w:space="0" w:color="auto"/>
        <w:left w:val="none" w:sz="0" w:space="0" w:color="auto"/>
        <w:bottom w:val="none" w:sz="0" w:space="0" w:color="auto"/>
        <w:right w:val="none" w:sz="0" w:space="0" w:color="auto"/>
      </w:divBdr>
    </w:div>
    <w:div w:id="378631187">
      <w:bodyDiv w:val="1"/>
      <w:marLeft w:val="0"/>
      <w:marRight w:val="0"/>
      <w:marTop w:val="0"/>
      <w:marBottom w:val="0"/>
      <w:divBdr>
        <w:top w:val="none" w:sz="0" w:space="0" w:color="auto"/>
        <w:left w:val="none" w:sz="0" w:space="0" w:color="auto"/>
        <w:bottom w:val="none" w:sz="0" w:space="0" w:color="auto"/>
        <w:right w:val="none" w:sz="0" w:space="0" w:color="auto"/>
      </w:divBdr>
    </w:div>
    <w:div w:id="378672714">
      <w:bodyDiv w:val="1"/>
      <w:marLeft w:val="0"/>
      <w:marRight w:val="0"/>
      <w:marTop w:val="0"/>
      <w:marBottom w:val="0"/>
      <w:divBdr>
        <w:top w:val="none" w:sz="0" w:space="0" w:color="auto"/>
        <w:left w:val="none" w:sz="0" w:space="0" w:color="auto"/>
        <w:bottom w:val="none" w:sz="0" w:space="0" w:color="auto"/>
        <w:right w:val="none" w:sz="0" w:space="0" w:color="auto"/>
      </w:divBdr>
    </w:div>
    <w:div w:id="378743587">
      <w:bodyDiv w:val="1"/>
      <w:marLeft w:val="0"/>
      <w:marRight w:val="0"/>
      <w:marTop w:val="0"/>
      <w:marBottom w:val="0"/>
      <w:divBdr>
        <w:top w:val="none" w:sz="0" w:space="0" w:color="auto"/>
        <w:left w:val="none" w:sz="0" w:space="0" w:color="auto"/>
        <w:bottom w:val="none" w:sz="0" w:space="0" w:color="auto"/>
        <w:right w:val="none" w:sz="0" w:space="0" w:color="auto"/>
      </w:divBdr>
    </w:div>
    <w:div w:id="378894339">
      <w:bodyDiv w:val="1"/>
      <w:marLeft w:val="0"/>
      <w:marRight w:val="0"/>
      <w:marTop w:val="0"/>
      <w:marBottom w:val="0"/>
      <w:divBdr>
        <w:top w:val="none" w:sz="0" w:space="0" w:color="auto"/>
        <w:left w:val="none" w:sz="0" w:space="0" w:color="auto"/>
        <w:bottom w:val="none" w:sz="0" w:space="0" w:color="auto"/>
        <w:right w:val="none" w:sz="0" w:space="0" w:color="auto"/>
      </w:divBdr>
    </w:div>
    <w:div w:id="378895551">
      <w:bodyDiv w:val="1"/>
      <w:marLeft w:val="0"/>
      <w:marRight w:val="0"/>
      <w:marTop w:val="0"/>
      <w:marBottom w:val="0"/>
      <w:divBdr>
        <w:top w:val="none" w:sz="0" w:space="0" w:color="auto"/>
        <w:left w:val="none" w:sz="0" w:space="0" w:color="auto"/>
        <w:bottom w:val="none" w:sz="0" w:space="0" w:color="auto"/>
        <w:right w:val="none" w:sz="0" w:space="0" w:color="auto"/>
      </w:divBdr>
    </w:div>
    <w:div w:id="379060381">
      <w:bodyDiv w:val="1"/>
      <w:marLeft w:val="0"/>
      <w:marRight w:val="0"/>
      <w:marTop w:val="0"/>
      <w:marBottom w:val="0"/>
      <w:divBdr>
        <w:top w:val="none" w:sz="0" w:space="0" w:color="auto"/>
        <w:left w:val="none" w:sz="0" w:space="0" w:color="auto"/>
        <w:bottom w:val="none" w:sz="0" w:space="0" w:color="auto"/>
        <w:right w:val="none" w:sz="0" w:space="0" w:color="auto"/>
      </w:divBdr>
    </w:div>
    <w:div w:id="379060695">
      <w:bodyDiv w:val="1"/>
      <w:marLeft w:val="0"/>
      <w:marRight w:val="0"/>
      <w:marTop w:val="0"/>
      <w:marBottom w:val="0"/>
      <w:divBdr>
        <w:top w:val="none" w:sz="0" w:space="0" w:color="auto"/>
        <w:left w:val="none" w:sz="0" w:space="0" w:color="auto"/>
        <w:bottom w:val="none" w:sz="0" w:space="0" w:color="auto"/>
        <w:right w:val="none" w:sz="0" w:space="0" w:color="auto"/>
      </w:divBdr>
    </w:div>
    <w:div w:id="379131906">
      <w:bodyDiv w:val="1"/>
      <w:marLeft w:val="0"/>
      <w:marRight w:val="0"/>
      <w:marTop w:val="0"/>
      <w:marBottom w:val="0"/>
      <w:divBdr>
        <w:top w:val="none" w:sz="0" w:space="0" w:color="auto"/>
        <w:left w:val="none" w:sz="0" w:space="0" w:color="auto"/>
        <w:bottom w:val="none" w:sz="0" w:space="0" w:color="auto"/>
        <w:right w:val="none" w:sz="0" w:space="0" w:color="auto"/>
      </w:divBdr>
    </w:div>
    <w:div w:id="379405471">
      <w:bodyDiv w:val="1"/>
      <w:marLeft w:val="0"/>
      <w:marRight w:val="0"/>
      <w:marTop w:val="0"/>
      <w:marBottom w:val="0"/>
      <w:divBdr>
        <w:top w:val="none" w:sz="0" w:space="0" w:color="auto"/>
        <w:left w:val="none" w:sz="0" w:space="0" w:color="auto"/>
        <w:bottom w:val="none" w:sz="0" w:space="0" w:color="auto"/>
        <w:right w:val="none" w:sz="0" w:space="0" w:color="auto"/>
      </w:divBdr>
    </w:div>
    <w:div w:id="379481082">
      <w:bodyDiv w:val="1"/>
      <w:marLeft w:val="0"/>
      <w:marRight w:val="0"/>
      <w:marTop w:val="0"/>
      <w:marBottom w:val="0"/>
      <w:divBdr>
        <w:top w:val="none" w:sz="0" w:space="0" w:color="auto"/>
        <w:left w:val="none" w:sz="0" w:space="0" w:color="auto"/>
        <w:bottom w:val="none" w:sz="0" w:space="0" w:color="auto"/>
        <w:right w:val="none" w:sz="0" w:space="0" w:color="auto"/>
      </w:divBdr>
    </w:div>
    <w:div w:id="379549483">
      <w:bodyDiv w:val="1"/>
      <w:marLeft w:val="0"/>
      <w:marRight w:val="0"/>
      <w:marTop w:val="0"/>
      <w:marBottom w:val="0"/>
      <w:divBdr>
        <w:top w:val="none" w:sz="0" w:space="0" w:color="auto"/>
        <w:left w:val="none" w:sz="0" w:space="0" w:color="auto"/>
        <w:bottom w:val="none" w:sz="0" w:space="0" w:color="auto"/>
        <w:right w:val="none" w:sz="0" w:space="0" w:color="auto"/>
      </w:divBdr>
    </w:div>
    <w:div w:id="379549762">
      <w:bodyDiv w:val="1"/>
      <w:marLeft w:val="0"/>
      <w:marRight w:val="0"/>
      <w:marTop w:val="0"/>
      <w:marBottom w:val="0"/>
      <w:divBdr>
        <w:top w:val="none" w:sz="0" w:space="0" w:color="auto"/>
        <w:left w:val="none" w:sz="0" w:space="0" w:color="auto"/>
        <w:bottom w:val="none" w:sz="0" w:space="0" w:color="auto"/>
        <w:right w:val="none" w:sz="0" w:space="0" w:color="auto"/>
      </w:divBdr>
    </w:div>
    <w:div w:id="379717520">
      <w:bodyDiv w:val="1"/>
      <w:marLeft w:val="0"/>
      <w:marRight w:val="0"/>
      <w:marTop w:val="0"/>
      <w:marBottom w:val="0"/>
      <w:divBdr>
        <w:top w:val="none" w:sz="0" w:space="0" w:color="auto"/>
        <w:left w:val="none" w:sz="0" w:space="0" w:color="auto"/>
        <w:bottom w:val="none" w:sz="0" w:space="0" w:color="auto"/>
        <w:right w:val="none" w:sz="0" w:space="0" w:color="auto"/>
      </w:divBdr>
    </w:div>
    <w:div w:id="379864340">
      <w:bodyDiv w:val="1"/>
      <w:marLeft w:val="0"/>
      <w:marRight w:val="0"/>
      <w:marTop w:val="0"/>
      <w:marBottom w:val="0"/>
      <w:divBdr>
        <w:top w:val="none" w:sz="0" w:space="0" w:color="auto"/>
        <w:left w:val="none" w:sz="0" w:space="0" w:color="auto"/>
        <w:bottom w:val="none" w:sz="0" w:space="0" w:color="auto"/>
        <w:right w:val="none" w:sz="0" w:space="0" w:color="auto"/>
      </w:divBdr>
    </w:div>
    <w:div w:id="379941106">
      <w:bodyDiv w:val="1"/>
      <w:marLeft w:val="0"/>
      <w:marRight w:val="0"/>
      <w:marTop w:val="0"/>
      <w:marBottom w:val="0"/>
      <w:divBdr>
        <w:top w:val="none" w:sz="0" w:space="0" w:color="auto"/>
        <w:left w:val="none" w:sz="0" w:space="0" w:color="auto"/>
        <w:bottom w:val="none" w:sz="0" w:space="0" w:color="auto"/>
        <w:right w:val="none" w:sz="0" w:space="0" w:color="auto"/>
      </w:divBdr>
    </w:div>
    <w:div w:id="379984788">
      <w:bodyDiv w:val="1"/>
      <w:marLeft w:val="0"/>
      <w:marRight w:val="0"/>
      <w:marTop w:val="0"/>
      <w:marBottom w:val="0"/>
      <w:divBdr>
        <w:top w:val="none" w:sz="0" w:space="0" w:color="auto"/>
        <w:left w:val="none" w:sz="0" w:space="0" w:color="auto"/>
        <w:bottom w:val="none" w:sz="0" w:space="0" w:color="auto"/>
        <w:right w:val="none" w:sz="0" w:space="0" w:color="auto"/>
      </w:divBdr>
    </w:div>
    <w:div w:id="380056373">
      <w:bodyDiv w:val="1"/>
      <w:marLeft w:val="0"/>
      <w:marRight w:val="0"/>
      <w:marTop w:val="0"/>
      <w:marBottom w:val="0"/>
      <w:divBdr>
        <w:top w:val="none" w:sz="0" w:space="0" w:color="auto"/>
        <w:left w:val="none" w:sz="0" w:space="0" w:color="auto"/>
        <w:bottom w:val="none" w:sz="0" w:space="0" w:color="auto"/>
        <w:right w:val="none" w:sz="0" w:space="0" w:color="auto"/>
      </w:divBdr>
    </w:div>
    <w:div w:id="380128535">
      <w:bodyDiv w:val="1"/>
      <w:marLeft w:val="0"/>
      <w:marRight w:val="0"/>
      <w:marTop w:val="0"/>
      <w:marBottom w:val="0"/>
      <w:divBdr>
        <w:top w:val="none" w:sz="0" w:space="0" w:color="auto"/>
        <w:left w:val="none" w:sz="0" w:space="0" w:color="auto"/>
        <w:bottom w:val="none" w:sz="0" w:space="0" w:color="auto"/>
        <w:right w:val="none" w:sz="0" w:space="0" w:color="auto"/>
      </w:divBdr>
    </w:div>
    <w:div w:id="380130929">
      <w:bodyDiv w:val="1"/>
      <w:marLeft w:val="0"/>
      <w:marRight w:val="0"/>
      <w:marTop w:val="0"/>
      <w:marBottom w:val="0"/>
      <w:divBdr>
        <w:top w:val="none" w:sz="0" w:space="0" w:color="auto"/>
        <w:left w:val="none" w:sz="0" w:space="0" w:color="auto"/>
        <w:bottom w:val="none" w:sz="0" w:space="0" w:color="auto"/>
        <w:right w:val="none" w:sz="0" w:space="0" w:color="auto"/>
      </w:divBdr>
    </w:div>
    <w:div w:id="380137263">
      <w:bodyDiv w:val="1"/>
      <w:marLeft w:val="0"/>
      <w:marRight w:val="0"/>
      <w:marTop w:val="0"/>
      <w:marBottom w:val="0"/>
      <w:divBdr>
        <w:top w:val="none" w:sz="0" w:space="0" w:color="auto"/>
        <w:left w:val="none" w:sz="0" w:space="0" w:color="auto"/>
        <w:bottom w:val="none" w:sz="0" w:space="0" w:color="auto"/>
        <w:right w:val="none" w:sz="0" w:space="0" w:color="auto"/>
      </w:divBdr>
    </w:div>
    <w:div w:id="380179202">
      <w:bodyDiv w:val="1"/>
      <w:marLeft w:val="0"/>
      <w:marRight w:val="0"/>
      <w:marTop w:val="0"/>
      <w:marBottom w:val="0"/>
      <w:divBdr>
        <w:top w:val="none" w:sz="0" w:space="0" w:color="auto"/>
        <w:left w:val="none" w:sz="0" w:space="0" w:color="auto"/>
        <w:bottom w:val="none" w:sz="0" w:space="0" w:color="auto"/>
        <w:right w:val="none" w:sz="0" w:space="0" w:color="auto"/>
      </w:divBdr>
    </w:div>
    <w:div w:id="380180414">
      <w:bodyDiv w:val="1"/>
      <w:marLeft w:val="0"/>
      <w:marRight w:val="0"/>
      <w:marTop w:val="0"/>
      <w:marBottom w:val="0"/>
      <w:divBdr>
        <w:top w:val="none" w:sz="0" w:space="0" w:color="auto"/>
        <w:left w:val="none" w:sz="0" w:space="0" w:color="auto"/>
        <w:bottom w:val="none" w:sz="0" w:space="0" w:color="auto"/>
        <w:right w:val="none" w:sz="0" w:space="0" w:color="auto"/>
      </w:divBdr>
    </w:div>
    <w:div w:id="380254891">
      <w:bodyDiv w:val="1"/>
      <w:marLeft w:val="0"/>
      <w:marRight w:val="0"/>
      <w:marTop w:val="0"/>
      <w:marBottom w:val="0"/>
      <w:divBdr>
        <w:top w:val="none" w:sz="0" w:space="0" w:color="auto"/>
        <w:left w:val="none" w:sz="0" w:space="0" w:color="auto"/>
        <w:bottom w:val="none" w:sz="0" w:space="0" w:color="auto"/>
        <w:right w:val="none" w:sz="0" w:space="0" w:color="auto"/>
      </w:divBdr>
    </w:div>
    <w:div w:id="380255578">
      <w:bodyDiv w:val="1"/>
      <w:marLeft w:val="0"/>
      <w:marRight w:val="0"/>
      <w:marTop w:val="0"/>
      <w:marBottom w:val="0"/>
      <w:divBdr>
        <w:top w:val="none" w:sz="0" w:space="0" w:color="auto"/>
        <w:left w:val="none" w:sz="0" w:space="0" w:color="auto"/>
        <w:bottom w:val="none" w:sz="0" w:space="0" w:color="auto"/>
        <w:right w:val="none" w:sz="0" w:space="0" w:color="auto"/>
      </w:divBdr>
    </w:div>
    <w:div w:id="380516751">
      <w:bodyDiv w:val="1"/>
      <w:marLeft w:val="0"/>
      <w:marRight w:val="0"/>
      <w:marTop w:val="0"/>
      <w:marBottom w:val="0"/>
      <w:divBdr>
        <w:top w:val="none" w:sz="0" w:space="0" w:color="auto"/>
        <w:left w:val="none" w:sz="0" w:space="0" w:color="auto"/>
        <w:bottom w:val="none" w:sz="0" w:space="0" w:color="auto"/>
        <w:right w:val="none" w:sz="0" w:space="0" w:color="auto"/>
      </w:divBdr>
    </w:div>
    <w:div w:id="380599504">
      <w:bodyDiv w:val="1"/>
      <w:marLeft w:val="0"/>
      <w:marRight w:val="0"/>
      <w:marTop w:val="0"/>
      <w:marBottom w:val="0"/>
      <w:divBdr>
        <w:top w:val="none" w:sz="0" w:space="0" w:color="auto"/>
        <w:left w:val="none" w:sz="0" w:space="0" w:color="auto"/>
        <w:bottom w:val="none" w:sz="0" w:space="0" w:color="auto"/>
        <w:right w:val="none" w:sz="0" w:space="0" w:color="auto"/>
      </w:divBdr>
    </w:div>
    <w:div w:id="380636989">
      <w:bodyDiv w:val="1"/>
      <w:marLeft w:val="0"/>
      <w:marRight w:val="0"/>
      <w:marTop w:val="0"/>
      <w:marBottom w:val="0"/>
      <w:divBdr>
        <w:top w:val="none" w:sz="0" w:space="0" w:color="auto"/>
        <w:left w:val="none" w:sz="0" w:space="0" w:color="auto"/>
        <w:bottom w:val="none" w:sz="0" w:space="0" w:color="auto"/>
        <w:right w:val="none" w:sz="0" w:space="0" w:color="auto"/>
      </w:divBdr>
    </w:div>
    <w:div w:id="380903587">
      <w:bodyDiv w:val="1"/>
      <w:marLeft w:val="0"/>
      <w:marRight w:val="0"/>
      <w:marTop w:val="0"/>
      <w:marBottom w:val="0"/>
      <w:divBdr>
        <w:top w:val="none" w:sz="0" w:space="0" w:color="auto"/>
        <w:left w:val="none" w:sz="0" w:space="0" w:color="auto"/>
        <w:bottom w:val="none" w:sz="0" w:space="0" w:color="auto"/>
        <w:right w:val="none" w:sz="0" w:space="0" w:color="auto"/>
      </w:divBdr>
    </w:div>
    <w:div w:id="380908777">
      <w:bodyDiv w:val="1"/>
      <w:marLeft w:val="0"/>
      <w:marRight w:val="0"/>
      <w:marTop w:val="0"/>
      <w:marBottom w:val="0"/>
      <w:divBdr>
        <w:top w:val="none" w:sz="0" w:space="0" w:color="auto"/>
        <w:left w:val="none" w:sz="0" w:space="0" w:color="auto"/>
        <w:bottom w:val="none" w:sz="0" w:space="0" w:color="auto"/>
        <w:right w:val="none" w:sz="0" w:space="0" w:color="auto"/>
      </w:divBdr>
    </w:div>
    <w:div w:id="380910437">
      <w:bodyDiv w:val="1"/>
      <w:marLeft w:val="0"/>
      <w:marRight w:val="0"/>
      <w:marTop w:val="0"/>
      <w:marBottom w:val="0"/>
      <w:divBdr>
        <w:top w:val="none" w:sz="0" w:space="0" w:color="auto"/>
        <w:left w:val="none" w:sz="0" w:space="0" w:color="auto"/>
        <w:bottom w:val="none" w:sz="0" w:space="0" w:color="auto"/>
        <w:right w:val="none" w:sz="0" w:space="0" w:color="auto"/>
      </w:divBdr>
    </w:div>
    <w:div w:id="380986112">
      <w:bodyDiv w:val="1"/>
      <w:marLeft w:val="0"/>
      <w:marRight w:val="0"/>
      <w:marTop w:val="0"/>
      <w:marBottom w:val="0"/>
      <w:divBdr>
        <w:top w:val="none" w:sz="0" w:space="0" w:color="auto"/>
        <w:left w:val="none" w:sz="0" w:space="0" w:color="auto"/>
        <w:bottom w:val="none" w:sz="0" w:space="0" w:color="auto"/>
        <w:right w:val="none" w:sz="0" w:space="0" w:color="auto"/>
      </w:divBdr>
    </w:div>
    <w:div w:id="381171611">
      <w:bodyDiv w:val="1"/>
      <w:marLeft w:val="0"/>
      <w:marRight w:val="0"/>
      <w:marTop w:val="0"/>
      <w:marBottom w:val="0"/>
      <w:divBdr>
        <w:top w:val="none" w:sz="0" w:space="0" w:color="auto"/>
        <w:left w:val="none" w:sz="0" w:space="0" w:color="auto"/>
        <w:bottom w:val="none" w:sz="0" w:space="0" w:color="auto"/>
        <w:right w:val="none" w:sz="0" w:space="0" w:color="auto"/>
      </w:divBdr>
    </w:div>
    <w:div w:id="381177170">
      <w:bodyDiv w:val="1"/>
      <w:marLeft w:val="0"/>
      <w:marRight w:val="0"/>
      <w:marTop w:val="0"/>
      <w:marBottom w:val="0"/>
      <w:divBdr>
        <w:top w:val="none" w:sz="0" w:space="0" w:color="auto"/>
        <w:left w:val="none" w:sz="0" w:space="0" w:color="auto"/>
        <w:bottom w:val="none" w:sz="0" w:space="0" w:color="auto"/>
        <w:right w:val="none" w:sz="0" w:space="0" w:color="auto"/>
      </w:divBdr>
    </w:div>
    <w:div w:id="381248432">
      <w:bodyDiv w:val="1"/>
      <w:marLeft w:val="0"/>
      <w:marRight w:val="0"/>
      <w:marTop w:val="0"/>
      <w:marBottom w:val="0"/>
      <w:divBdr>
        <w:top w:val="none" w:sz="0" w:space="0" w:color="auto"/>
        <w:left w:val="none" w:sz="0" w:space="0" w:color="auto"/>
        <w:bottom w:val="none" w:sz="0" w:space="0" w:color="auto"/>
        <w:right w:val="none" w:sz="0" w:space="0" w:color="auto"/>
      </w:divBdr>
    </w:div>
    <w:div w:id="381290315">
      <w:bodyDiv w:val="1"/>
      <w:marLeft w:val="0"/>
      <w:marRight w:val="0"/>
      <w:marTop w:val="0"/>
      <w:marBottom w:val="0"/>
      <w:divBdr>
        <w:top w:val="none" w:sz="0" w:space="0" w:color="auto"/>
        <w:left w:val="none" w:sz="0" w:space="0" w:color="auto"/>
        <w:bottom w:val="none" w:sz="0" w:space="0" w:color="auto"/>
        <w:right w:val="none" w:sz="0" w:space="0" w:color="auto"/>
      </w:divBdr>
    </w:div>
    <w:div w:id="381293981">
      <w:bodyDiv w:val="1"/>
      <w:marLeft w:val="0"/>
      <w:marRight w:val="0"/>
      <w:marTop w:val="0"/>
      <w:marBottom w:val="0"/>
      <w:divBdr>
        <w:top w:val="none" w:sz="0" w:space="0" w:color="auto"/>
        <w:left w:val="none" w:sz="0" w:space="0" w:color="auto"/>
        <w:bottom w:val="none" w:sz="0" w:space="0" w:color="auto"/>
        <w:right w:val="none" w:sz="0" w:space="0" w:color="auto"/>
      </w:divBdr>
    </w:div>
    <w:div w:id="381367082">
      <w:bodyDiv w:val="1"/>
      <w:marLeft w:val="0"/>
      <w:marRight w:val="0"/>
      <w:marTop w:val="0"/>
      <w:marBottom w:val="0"/>
      <w:divBdr>
        <w:top w:val="none" w:sz="0" w:space="0" w:color="auto"/>
        <w:left w:val="none" w:sz="0" w:space="0" w:color="auto"/>
        <w:bottom w:val="none" w:sz="0" w:space="0" w:color="auto"/>
        <w:right w:val="none" w:sz="0" w:space="0" w:color="auto"/>
      </w:divBdr>
    </w:div>
    <w:div w:id="381439978">
      <w:bodyDiv w:val="1"/>
      <w:marLeft w:val="0"/>
      <w:marRight w:val="0"/>
      <w:marTop w:val="0"/>
      <w:marBottom w:val="0"/>
      <w:divBdr>
        <w:top w:val="none" w:sz="0" w:space="0" w:color="auto"/>
        <w:left w:val="none" w:sz="0" w:space="0" w:color="auto"/>
        <w:bottom w:val="none" w:sz="0" w:space="0" w:color="auto"/>
        <w:right w:val="none" w:sz="0" w:space="0" w:color="auto"/>
      </w:divBdr>
    </w:div>
    <w:div w:id="381637183">
      <w:bodyDiv w:val="1"/>
      <w:marLeft w:val="0"/>
      <w:marRight w:val="0"/>
      <w:marTop w:val="0"/>
      <w:marBottom w:val="0"/>
      <w:divBdr>
        <w:top w:val="none" w:sz="0" w:space="0" w:color="auto"/>
        <w:left w:val="none" w:sz="0" w:space="0" w:color="auto"/>
        <w:bottom w:val="none" w:sz="0" w:space="0" w:color="auto"/>
        <w:right w:val="none" w:sz="0" w:space="0" w:color="auto"/>
      </w:divBdr>
    </w:div>
    <w:div w:id="381708247">
      <w:bodyDiv w:val="1"/>
      <w:marLeft w:val="0"/>
      <w:marRight w:val="0"/>
      <w:marTop w:val="0"/>
      <w:marBottom w:val="0"/>
      <w:divBdr>
        <w:top w:val="none" w:sz="0" w:space="0" w:color="auto"/>
        <w:left w:val="none" w:sz="0" w:space="0" w:color="auto"/>
        <w:bottom w:val="none" w:sz="0" w:space="0" w:color="auto"/>
        <w:right w:val="none" w:sz="0" w:space="0" w:color="auto"/>
      </w:divBdr>
    </w:div>
    <w:div w:id="381713040">
      <w:bodyDiv w:val="1"/>
      <w:marLeft w:val="0"/>
      <w:marRight w:val="0"/>
      <w:marTop w:val="0"/>
      <w:marBottom w:val="0"/>
      <w:divBdr>
        <w:top w:val="none" w:sz="0" w:space="0" w:color="auto"/>
        <w:left w:val="none" w:sz="0" w:space="0" w:color="auto"/>
        <w:bottom w:val="none" w:sz="0" w:space="0" w:color="auto"/>
        <w:right w:val="none" w:sz="0" w:space="0" w:color="auto"/>
      </w:divBdr>
    </w:div>
    <w:div w:id="381832958">
      <w:bodyDiv w:val="1"/>
      <w:marLeft w:val="0"/>
      <w:marRight w:val="0"/>
      <w:marTop w:val="0"/>
      <w:marBottom w:val="0"/>
      <w:divBdr>
        <w:top w:val="none" w:sz="0" w:space="0" w:color="auto"/>
        <w:left w:val="none" w:sz="0" w:space="0" w:color="auto"/>
        <w:bottom w:val="none" w:sz="0" w:space="0" w:color="auto"/>
        <w:right w:val="none" w:sz="0" w:space="0" w:color="auto"/>
      </w:divBdr>
    </w:div>
    <w:div w:id="382140977">
      <w:bodyDiv w:val="1"/>
      <w:marLeft w:val="0"/>
      <w:marRight w:val="0"/>
      <w:marTop w:val="0"/>
      <w:marBottom w:val="0"/>
      <w:divBdr>
        <w:top w:val="none" w:sz="0" w:space="0" w:color="auto"/>
        <w:left w:val="none" w:sz="0" w:space="0" w:color="auto"/>
        <w:bottom w:val="none" w:sz="0" w:space="0" w:color="auto"/>
        <w:right w:val="none" w:sz="0" w:space="0" w:color="auto"/>
      </w:divBdr>
    </w:div>
    <w:div w:id="382171153">
      <w:bodyDiv w:val="1"/>
      <w:marLeft w:val="0"/>
      <w:marRight w:val="0"/>
      <w:marTop w:val="0"/>
      <w:marBottom w:val="0"/>
      <w:divBdr>
        <w:top w:val="none" w:sz="0" w:space="0" w:color="auto"/>
        <w:left w:val="none" w:sz="0" w:space="0" w:color="auto"/>
        <w:bottom w:val="none" w:sz="0" w:space="0" w:color="auto"/>
        <w:right w:val="none" w:sz="0" w:space="0" w:color="auto"/>
      </w:divBdr>
    </w:div>
    <w:div w:id="382214191">
      <w:bodyDiv w:val="1"/>
      <w:marLeft w:val="0"/>
      <w:marRight w:val="0"/>
      <w:marTop w:val="0"/>
      <w:marBottom w:val="0"/>
      <w:divBdr>
        <w:top w:val="none" w:sz="0" w:space="0" w:color="auto"/>
        <w:left w:val="none" w:sz="0" w:space="0" w:color="auto"/>
        <w:bottom w:val="none" w:sz="0" w:space="0" w:color="auto"/>
        <w:right w:val="none" w:sz="0" w:space="0" w:color="auto"/>
      </w:divBdr>
    </w:div>
    <w:div w:id="382219923">
      <w:bodyDiv w:val="1"/>
      <w:marLeft w:val="0"/>
      <w:marRight w:val="0"/>
      <w:marTop w:val="0"/>
      <w:marBottom w:val="0"/>
      <w:divBdr>
        <w:top w:val="none" w:sz="0" w:space="0" w:color="auto"/>
        <w:left w:val="none" w:sz="0" w:space="0" w:color="auto"/>
        <w:bottom w:val="none" w:sz="0" w:space="0" w:color="auto"/>
        <w:right w:val="none" w:sz="0" w:space="0" w:color="auto"/>
      </w:divBdr>
    </w:div>
    <w:div w:id="382296924">
      <w:bodyDiv w:val="1"/>
      <w:marLeft w:val="0"/>
      <w:marRight w:val="0"/>
      <w:marTop w:val="0"/>
      <w:marBottom w:val="0"/>
      <w:divBdr>
        <w:top w:val="none" w:sz="0" w:space="0" w:color="auto"/>
        <w:left w:val="none" w:sz="0" w:space="0" w:color="auto"/>
        <w:bottom w:val="none" w:sz="0" w:space="0" w:color="auto"/>
        <w:right w:val="none" w:sz="0" w:space="0" w:color="auto"/>
      </w:divBdr>
    </w:div>
    <w:div w:id="382364714">
      <w:bodyDiv w:val="1"/>
      <w:marLeft w:val="0"/>
      <w:marRight w:val="0"/>
      <w:marTop w:val="0"/>
      <w:marBottom w:val="0"/>
      <w:divBdr>
        <w:top w:val="none" w:sz="0" w:space="0" w:color="auto"/>
        <w:left w:val="none" w:sz="0" w:space="0" w:color="auto"/>
        <w:bottom w:val="none" w:sz="0" w:space="0" w:color="auto"/>
        <w:right w:val="none" w:sz="0" w:space="0" w:color="auto"/>
      </w:divBdr>
    </w:div>
    <w:div w:id="382412594">
      <w:bodyDiv w:val="1"/>
      <w:marLeft w:val="0"/>
      <w:marRight w:val="0"/>
      <w:marTop w:val="0"/>
      <w:marBottom w:val="0"/>
      <w:divBdr>
        <w:top w:val="none" w:sz="0" w:space="0" w:color="auto"/>
        <w:left w:val="none" w:sz="0" w:space="0" w:color="auto"/>
        <w:bottom w:val="none" w:sz="0" w:space="0" w:color="auto"/>
        <w:right w:val="none" w:sz="0" w:space="0" w:color="auto"/>
      </w:divBdr>
    </w:div>
    <w:div w:id="382602061">
      <w:bodyDiv w:val="1"/>
      <w:marLeft w:val="0"/>
      <w:marRight w:val="0"/>
      <w:marTop w:val="0"/>
      <w:marBottom w:val="0"/>
      <w:divBdr>
        <w:top w:val="none" w:sz="0" w:space="0" w:color="auto"/>
        <w:left w:val="none" w:sz="0" w:space="0" w:color="auto"/>
        <w:bottom w:val="none" w:sz="0" w:space="0" w:color="auto"/>
        <w:right w:val="none" w:sz="0" w:space="0" w:color="auto"/>
      </w:divBdr>
    </w:div>
    <w:div w:id="382608108">
      <w:bodyDiv w:val="1"/>
      <w:marLeft w:val="0"/>
      <w:marRight w:val="0"/>
      <w:marTop w:val="0"/>
      <w:marBottom w:val="0"/>
      <w:divBdr>
        <w:top w:val="none" w:sz="0" w:space="0" w:color="auto"/>
        <w:left w:val="none" w:sz="0" w:space="0" w:color="auto"/>
        <w:bottom w:val="none" w:sz="0" w:space="0" w:color="auto"/>
        <w:right w:val="none" w:sz="0" w:space="0" w:color="auto"/>
      </w:divBdr>
    </w:div>
    <w:div w:id="382751076">
      <w:bodyDiv w:val="1"/>
      <w:marLeft w:val="0"/>
      <w:marRight w:val="0"/>
      <w:marTop w:val="0"/>
      <w:marBottom w:val="0"/>
      <w:divBdr>
        <w:top w:val="none" w:sz="0" w:space="0" w:color="auto"/>
        <w:left w:val="none" w:sz="0" w:space="0" w:color="auto"/>
        <w:bottom w:val="none" w:sz="0" w:space="0" w:color="auto"/>
        <w:right w:val="none" w:sz="0" w:space="0" w:color="auto"/>
      </w:divBdr>
    </w:div>
    <w:div w:id="382754879">
      <w:bodyDiv w:val="1"/>
      <w:marLeft w:val="0"/>
      <w:marRight w:val="0"/>
      <w:marTop w:val="0"/>
      <w:marBottom w:val="0"/>
      <w:divBdr>
        <w:top w:val="none" w:sz="0" w:space="0" w:color="auto"/>
        <w:left w:val="none" w:sz="0" w:space="0" w:color="auto"/>
        <w:bottom w:val="none" w:sz="0" w:space="0" w:color="auto"/>
        <w:right w:val="none" w:sz="0" w:space="0" w:color="auto"/>
      </w:divBdr>
    </w:div>
    <w:div w:id="382796454">
      <w:bodyDiv w:val="1"/>
      <w:marLeft w:val="0"/>
      <w:marRight w:val="0"/>
      <w:marTop w:val="0"/>
      <w:marBottom w:val="0"/>
      <w:divBdr>
        <w:top w:val="none" w:sz="0" w:space="0" w:color="auto"/>
        <w:left w:val="none" w:sz="0" w:space="0" w:color="auto"/>
        <w:bottom w:val="none" w:sz="0" w:space="0" w:color="auto"/>
        <w:right w:val="none" w:sz="0" w:space="0" w:color="auto"/>
      </w:divBdr>
    </w:div>
    <w:div w:id="382873030">
      <w:bodyDiv w:val="1"/>
      <w:marLeft w:val="0"/>
      <w:marRight w:val="0"/>
      <w:marTop w:val="0"/>
      <w:marBottom w:val="0"/>
      <w:divBdr>
        <w:top w:val="none" w:sz="0" w:space="0" w:color="auto"/>
        <w:left w:val="none" w:sz="0" w:space="0" w:color="auto"/>
        <w:bottom w:val="none" w:sz="0" w:space="0" w:color="auto"/>
        <w:right w:val="none" w:sz="0" w:space="0" w:color="auto"/>
      </w:divBdr>
    </w:div>
    <w:div w:id="382944972">
      <w:bodyDiv w:val="1"/>
      <w:marLeft w:val="0"/>
      <w:marRight w:val="0"/>
      <w:marTop w:val="0"/>
      <w:marBottom w:val="0"/>
      <w:divBdr>
        <w:top w:val="none" w:sz="0" w:space="0" w:color="auto"/>
        <w:left w:val="none" w:sz="0" w:space="0" w:color="auto"/>
        <w:bottom w:val="none" w:sz="0" w:space="0" w:color="auto"/>
        <w:right w:val="none" w:sz="0" w:space="0" w:color="auto"/>
      </w:divBdr>
    </w:div>
    <w:div w:id="382993909">
      <w:bodyDiv w:val="1"/>
      <w:marLeft w:val="0"/>
      <w:marRight w:val="0"/>
      <w:marTop w:val="0"/>
      <w:marBottom w:val="0"/>
      <w:divBdr>
        <w:top w:val="none" w:sz="0" w:space="0" w:color="auto"/>
        <w:left w:val="none" w:sz="0" w:space="0" w:color="auto"/>
        <w:bottom w:val="none" w:sz="0" w:space="0" w:color="auto"/>
        <w:right w:val="none" w:sz="0" w:space="0" w:color="auto"/>
      </w:divBdr>
    </w:div>
    <w:div w:id="383019520">
      <w:bodyDiv w:val="1"/>
      <w:marLeft w:val="0"/>
      <w:marRight w:val="0"/>
      <w:marTop w:val="0"/>
      <w:marBottom w:val="0"/>
      <w:divBdr>
        <w:top w:val="none" w:sz="0" w:space="0" w:color="auto"/>
        <w:left w:val="none" w:sz="0" w:space="0" w:color="auto"/>
        <w:bottom w:val="none" w:sz="0" w:space="0" w:color="auto"/>
        <w:right w:val="none" w:sz="0" w:space="0" w:color="auto"/>
      </w:divBdr>
    </w:div>
    <w:div w:id="383020350">
      <w:bodyDiv w:val="1"/>
      <w:marLeft w:val="0"/>
      <w:marRight w:val="0"/>
      <w:marTop w:val="0"/>
      <w:marBottom w:val="0"/>
      <w:divBdr>
        <w:top w:val="none" w:sz="0" w:space="0" w:color="auto"/>
        <w:left w:val="none" w:sz="0" w:space="0" w:color="auto"/>
        <w:bottom w:val="none" w:sz="0" w:space="0" w:color="auto"/>
        <w:right w:val="none" w:sz="0" w:space="0" w:color="auto"/>
      </w:divBdr>
    </w:div>
    <w:div w:id="383211994">
      <w:bodyDiv w:val="1"/>
      <w:marLeft w:val="0"/>
      <w:marRight w:val="0"/>
      <w:marTop w:val="0"/>
      <w:marBottom w:val="0"/>
      <w:divBdr>
        <w:top w:val="none" w:sz="0" w:space="0" w:color="auto"/>
        <w:left w:val="none" w:sz="0" w:space="0" w:color="auto"/>
        <w:bottom w:val="none" w:sz="0" w:space="0" w:color="auto"/>
        <w:right w:val="none" w:sz="0" w:space="0" w:color="auto"/>
      </w:divBdr>
    </w:div>
    <w:div w:id="383331594">
      <w:bodyDiv w:val="1"/>
      <w:marLeft w:val="0"/>
      <w:marRight w:val="0"/>
      <w:marTop w:val="0"/>
      <w:marBottom w:val="0"/>
      <w:divBdr>
        <w:top w:val="none" w:sz="0" w:space="0" w:color="auto"/>
        <w:left w:val="none" w:sz="0" w:space="0" w:color="auto"/>
        <w:bottom w:val="none" w:sz="0" w:space="0" w:color="auto"/>
        <w:right w:val="none" w:sz="0" w:space="0" w:color="auto"/>
      </w:divBdr>
    </w:div>
    <w:div w:id="383335092">
      <w:bodyDiv w:val="1"/>
      <w:marLeft w:val="0"/>
      <w:marRight w:val="0"/>
      <w:marTop w:val="0"/>
      <w:marBottom w:val="0"/>
      <w:divBdr>
        <w:top w:val="none" w:sz="0" w:space="0" w:color="auto"/>
        <w:left w:val="none" w:sz="0" w:space="0" w:color="auto"/>
        <w:bottom w:val="none" w:sz="0" w:space="0" w:color="auto"/>
        <w:right w:val="none" w:sz="0" w:space="0" w:color="auto"/>
      </w:divBdr>
    </w:div>
    <w:div w:id="383526442">
      <w:bodyDiv w:val="1"/>
      <w:marLeft w:val="0"/>
      <w:marRight w:val="0"/>
      <w:marTop w:val="0"/>
      <w:marBottom w:val="0"/>
      <w:divBdr>
        <w:top w:val="none" w:sz="0" w:space="0" w:color="auto"/>
        <w:left w:val="none" w:sz="0" w:space="0" w:color="auto"/>
        <w:bottom w:val="none" w:sz="0" w:space="0" w:color="auto"/>
        <w:right w:val="none" w:sz="0" w:space="0" w:color="auto"/>
      </w:divBdr>
    </w:div>
    <w:div w:id="383601062">
      <w:bodyDiv w:val="1"/>
      <w:marLeft w:val="0"/>
      <w:marRight w:val="0"/>
      <w:marTop w:val="0"/>
      <w:marBottom w:val="0"/>
      <w:divBdr>
        <w:top w:val="none" w:sz="0" w:space="0" w:color="auto"/>
        <w:left w:val="none" w:sz="0" w:space="0" w:color="auto"/>
        <w:bottom w:val="none" w:sz="0" w:space="0" w:color="auto"/>
        <w:right w:val="none" w:sz="0" w:space="0" w:color="auto"/>
      </w:divBdr>
    </w:div>
    <w:div w:id="383673777">
      <w:bodyDiv w:val="1"/>
      <w:marLeft w:val="0"/>
      <w:marRight w:val="0"/>
      <w:marTop w:val="0"/>
      <w:marBottom w:val="0"/>
      <w:divBdr>
        <w:top w:val="none" w:sz="0" w:space="0" w:color="auto"/>
        <w:left w:val="none" w:sz="0" w:space="0" w:color="auto"/>
        <w:bottom w:val="none" w:sz="0" w:space="0" w:color="auto"/>
        <w:right w:val="none" w:sz="0" w:space="0" w:color="auto"/>
      </w:divBdr>
    </w:div>
    <w:div w:id="383721698">
      <w:bodyDiv w:val="1"/>
      <w:marLeft w:val="0"/>
      <w:marRight w:val="0"/>
      <w:marTop w:val="0"/>
      <w:marBottom w:val="0"/>
      <w:divBdr>
        <w:top w:val="none" w:sz="0" w:space="0" w:color="auto"/>
        <w:left w:val="none" w:sz="0" w:space="0" w:color="auto"/>
        <w:bottom w:val="none" w:sz="0" w:space="0" w:color="auto"/>
        <w:right w:val="none" w:sz="0" w:space="0" w:color="auto"/>
      </w:divBdr>
    </w:div>
    <w:div w:id="383722827">
      <w:bodyDiv w:val="1"/>
      <w:marLeft w:val="0"/>
      <w:marRight w:val="0"/>
      <w:marTop w:val="0"/>
      <w:marBottom w:val="0"/>
      <w:divBdr>
        <w:top w:val="none" w:sz="0" w:space="0" w:color="auto"/>
        <w:left w:val="none" w:sz="0" w:space="0" w:color="auto"/>
        <w:bottom w:val="none" w:sz="0" w:space="0" w:color="auto"/>
        <w:right w:val="none" w:sz="0" w:space="0" w:color="auto"/>
      </w:divBdr>
    </w:div>
    <w:div w:id="383911952">
      <w:bodyDiv w:val="1"/>
      <w:marLeft w:val="0"/>
      <w:marRight w:val="0"/>
      <w:marTop w:val="0"/>
      <w:marBottom w:val="0"/>
      <w:divBdr>
        <w:top w:val="none" w:sz="0" w:space="0" w:color="auto"/>
        <w:left w:val="none" w:sz="0" w:space="0" w:color="auto"/>
        <w:bottom w:val="none" w:sz="0" w:space="0" w:color="auto"/>
        <w:right w:val="none" w:sz="0" w:space="0" w:color="auto"/>
      </w:divBdr>
    </w:div>
    <w:div w:id="383917806">
      <w:bodyDiv w:val="1"/>
      <w:marLeft w:val="0"/>
      <w:marRight w:val="0"/>
      <w:marTop w:val="0"/>
      <w:marBottom w:val="0"/>
      <w:divBdr>
        <w:top w:val="none" w:sz="0" w:space="0" w:color="auto"/>
        <w:left w:val="none" w:sz="0" w:space="0" w:color="auto"/>
        <w:bottom w:val="none" w:sz="0" w:space="0" w:color="auto"/>
        <w:right w:val="none" w:sz="0" w:space="0" w:color="auto"/>
      </w:divBdr>
    </w:div>
    <w:div w:id="383985663">
      <w:bodyDiv w:val="1"/>
      <w:marLeft w:val="0"/>
      <w:marRight w:val="0"/>
      <w:marTop w:val="0"/>
      <w:marBottom w:val="0"/>
      <w:divBdr>
        <w:top w:val="none" w:sz="0" w:space="0" w:color="auto"/>
        <w:left w:val="none" w:sz="0" w:space="0" w:color="auto"/>
        <w:bottom w:val="none" w:sz="0" w:space="0" w:color="auto"/>
        <w:right w:val="none" w:sz="0" w:space="0" w:color="auto"/>
      </w:divBdr>
    </w:div>
    <w:div w:id="384061217">
      <w:bodyDiv w:val="1"/>
      <w:marLeft w:val="0"/>
      <w:marRight w:val="0"/>
      <w:marTop w:val="0"/>
      <w:marBottom w:val="0"/>
      <w:divBdr>
        <w:top w:val="none" w:sz="0" w:space="0" w:color="auto"/>
        <w:left w:val="none" w:sz="0" w:space="0" w:color="auto"/>
        <w:bottom w:val="none" w:sz="0" w:space="0" w:color="auto"/>
        <w:right w:val="none" w:sz="0" w:space="0" w:color="auto"/>
      </w:divBdr>
    </w:div>
    <w:div w:id="384061244">
      <w:bodyDiv w:val="1"/>
      <w:marLeft w:val="0"/>
      <w:marRight w:val="0"/>
      <w:marTop w:val="0"/>
      <w:marBottom w:val="0"/>
      <w:divBdr>
        <w:top w:val="none" w:sz="0" w:space="0" w:color="auto"/>
        <w:left w:val="none" w:sz="0" w:space="0" w:color="auto"/>
        <w:bottom w:val="none" w:sz="0" w:space="0" w:color="auto"/>
        <w:right w:val="none" w:sz="0" w:space="0" w:color="auto"/>
      </w:divBdr>
    </w:div>
    <w:div w:id="384066571">
      <w:bodyDiv w:val="1"/>
      <w:marLeft w:val="0"/>
      <w:marRight w:val="0"/>
      <w:marTop w:val="0"/>
      <w:marBottom w:val="0"/>
      <w:divBdr>
        <w:top w:val="none" w:sz="0" w:space="0" w:color="auto"/>
        <w:left w:val="none" w:sz="0" w:space="0" w:color="auto"/>
        <w:bottom w:val="none" w:sz="0" w:space="0" w:color="auto"/>
        <w:right w:val="none" w:sz="0" w:space="0" w:color="auto"/>
      </w:divBdr>
    </w:div>
    <w:div w:id="384108642">
      <w:bodyDiv w:val="1"/>
      <w:marLeft w:val="0"/>
      <w:marRight w:val="0"/>
      <w:marTop w:val="0"/>
      <w:marBottom w:val="0"/>
      <w:divBdr>
        <w:top w:val="none" w:sz="0" w:space="0" w:color="auto"/>
        <w:left w:val="none" w:sz="0" w:space="0" w:color="auto"/>
        <w:bottom w:val="none" w:sz="0" w:space="0" w:color="auto"/>
        <w:right w:val="none" w:sz="0" w:space="0" w:color="auto"/>
      </w:divBdr>
    </w:div>
    <w:div w:id="384110615">
      <w:bodyDiv w:val="1"/>
      <w:marLeft w:val="0"/>
      <w:marRight w:val="0"/>
      <w:marTop w:val="0"/>
      <w:marBottom w:val="0"/>
      <w:divBdr>
        <w:top w:val="none" w:sz="0" w:space="0" w:color="auto"/>
        <w:left w:val="none" w:sz="0" w:space="0" w:color="auto"/>
        <w:bottom w:val="none" w:sz="0" w:space="0" w:color="auto"/>
        <w:right w:val="none" w:sz="0" w:space="0" w:color="auto"/>
      </w:divBdr>
    </w:div>
    <w:div w:id="384187318">
      <w:bodyDiv w:val="1"/>
      <w:marLeft w:val="0"/>
      <w:marRight w:val="0"/>
      <w:marTop w:val="0"/>
      <w:marBottom w:val="0"/>
      <w:divBdr>
        <w:top w:val="none" w:sz="0" w:space="0" w:color="auto"/>
        <w:left w:val="none" w:sz="0" w:space="0" w:color="auto"/>
        <w:bottom w:val="none" w:sz="0" w:space="0" w:color="auto"/>
        <w:right w:val="none" w:sz="0" w:space="0" w:color="auto"/>
      </w:divBdr>
    </w:div>
    <w:div w:id="384256703">
      <w:bodyDiv w:val="1"/>
      <w:marLeft w:val="0"/>
      <w:marRight w:val="0"/>
      <w:marTop w:val="0"/>
      <w:marBottom w:val="0"/>
      <w:divBdr>
        <w:top w:val="none" w:sz="0" w:space="0" w:color="auto"/>
        <w:left w:val="none" w:sz="0" w:space="0" w:color="auto"/>
        <w:bottom w:val="none" w:sz="0" w:space="0" w:color="auto"/>
        <w:right w:val="none" w:sz="0" w:space="0" w:color="auto"/>
      </w:divBdr>
    </w:div>
    <w:div w:id="384304377">
      <w:bodyDiv w:val="1"/>
      <w:marLeft w:val="0"/>
      <w:marRight w:val="0"/>
      <w:marTop w:val="0"/>
      <w:marBottom w:val="0"/>
      <w:divBdr>
        <w:top w:val="none" w:sz="0" w:space="0" w:color="auto"/>
        <w:left w:val="none" w:sz="0" w:space="0" w:color="auto"/>
        <w:bottom w:val="none" w:sz="0" w:space="0" w:color="auto"/>
        <w:right w:val="none" w:sz="0" w:space="0" w:color="auto"/>
      </w:divBdr>
    </w:div>
    <w:div w:id="384329450">
      <w:bodyDiv w:val="1"/>
      <w:marLeft w:val="0"/>
      <w:marRight w:val="0"/>
      <w:marTop w:val="0"/>
      <w:marBottom w:val="0"/>
      <w:divBdr>
        <w:top w:val="none" w:sz="0" w:space="0" w:color="auto"/>
        <w:left w:val="none" w:sz="0" w:space="0" w:color="auto"/>
        <w:bottom w:val="none" w:sz="0" w:space="0" w:color="auto"/>
        <w:right w:val="none" w:sz="0" w:space="0" w:color="auto"/>
      </w:divBdr>
    </w:div>
    <w:div w:id="384331089">
      <w:bodyDiv w:val="1"/>
      <w:marLeft w:val="0"/>
      <w:marRight w:val="0"/>
      <w:marTop w:val="0"/>
      <w:marBottom w:val="0"/>
      <w:divBdr>
        <w:top w:val="none" w:sz="0" w:space="0" w:color="auto"/>
        <w:left w:val="none" w:sz="0" w:space="0" w:color="auto"/>
        <w:bottom w:val="none" w:sz="0" w:space="0" w:color="auto"/>
        <w:right w:val="none" w:sz="0" w:space="0" w:color="auto"/>
      </w:divBdr>
    </w:div>
    <w:div w:id="384335326">
      <w:bodyDiv w:val="1"/>
      <w:marLeft w:val="0"/>
      <w:marRight w:val="0"/>
      <w:marTop w:val="0"/>
      <w:marBottom w:val="0"/>
      <w:divBdr>
        <w:top w:val="none" w:sz="0" w:space="0" w:color="auto"/>
        <w:left w:val="none" w:sz="0" w:space="0" w:color="auto"/>
        <w:bottom w:val="none" w:sz="0" w:space="0" w:color="auto"/>
        <w:right w:val="none" w:sz="0" w:space="0" w:color="auto"/>
      </w:divBdr>
    </w:div>
    <w:div w:id="384525077">
      <w:bodyDiv w:val="1"/>
      <w:marLeft w:val="0"/>
      <w:marRight w:val="0"/>
      <w:marTop w:val="0"/>
      <w:marBottom w:val="0"/>
      <w:divBdr>
        <w:top w:val="none" w:sz="0" w:space="0" w:color="auto"/>
        <w:left w:val="none" w:sz="0" w:space="0" w:color="auto"/>
        <w:bottom w:val="none" w:sz="0" w:space="0" w:color="auto"/>
        <w:right w:val="none" w:sz="0" w:space="0" w:color="auto"/>
      </w:divBdr>
    </w:div>
    <w:div w:id="384571934">
      <w:bodyDiv w:val="1"/>
      <w:marLeft w:val="0"/>
      <w:marRight w:val="0"/>
      <w:marTop w:val="0"/>
      <w:marBottom w:val="0"/>
      <w:divBdr>
        <w:top w:val="none" w:sz="0" w:space="0" w:color="auto"/>
        <w:left w:val="none" w:sz="0" w:space="0" w:color="auto"/>
        <w:bottom w:val="none" w:sz="0" w:space="0" w:color="auto"/>
        <w:right w:val="none" w:sz="0" w:space="0" w:color="auto"/>
      </w:divBdr>
    </w:div>
    <w:div w:id="384716692">
      <w:bodyDiv w:val="1"/>
      <w:marLeft w:val="0"/>
      <w:marRight w:val="0"/>
      <w:marTop w:val="0"/>
      <w:marBottom w:val="0"/>
      <w:divBdr>
        <w:top w:val="none" w:sz="0" w:space="0" w:color="auto"/>
        <w:left w:val="none" w:sz="0" w:space="0" w:color="auto"/>
        <w:bottom w:val="none" w:sz="0" w:space="0" w:color="auto"/>
        <w:right w:val="none" w:sz="0" w:space="0" w:color="auto"/>
      </w:divBdr>
    </w:div>
    <w:div w:id="384834389">
      <w:bodyDiv w:val="1"/>
      <w:marLeft w:val="0"/>
      <w:marRight w:val="0"/>
      <w:marTop w:val="0"/>
      <w:marBottom w:val="0"/>
      <w:divBdr>
        <w:top w:val="none" w:sz="0" w:space="0" w:color="auto"/>
        <w:left w:val="none" w:sz="0" w:space="0" w:color="auto"/>
        <w:bottom w:val="none" w:sz="0" w:space="0" w:color="auto"/>
        <w:right w:val="none" w:sz="0" w:space="0" w:color="auto"/>
      </w:divBdr>
    </w:div>
    <w:div w:id="384841903">
      <w:bodyDiv w:val="1"/>
      <w:marLeft w:val="0"/>
      <w:marRight w:val="0"/>
      <w:marTop w:val="0"/>
      <w:marBottom w:val="0"/>
      <w:divBdr>
        <w:top w:val="none" w:sz="0" w:space="0" w:color="auto"/>
        <w:left w:val="none" w:sz="0" w:space="0" w:color="auto"/>
        <w:bottom w:val="none" w:sz="0" w:space="0" w:color="auto"/>
        <w:right w:val="none" w:sz="0" w:space="0" w:color="auto"/>
      </w:divBdr>
    </w:div>
    <w:div w:id="385110011">
      <w:bodyDiv w:val="1"/>
      <w:marLeft w:val="0"/>
      <w:marRight w:val="0"/>
      <w:marTop w:val="0"/>
      <w:marBottom w:val="0"/>
      <w:divBdr>
        <w:top w:val="none" w:sz="0" w:space="0" w:color="auto"/>
        <w:left w:val="none" w:sz="0" w:space="0" w:color="auto"/>
        <w:bottom w:val="none" w:sz="0" w:space="0" w:color="auto"/>
        <w:right w:val="none" w:sz="0" w:space="0" w:color="auto"/>
      </w:divBdr>
    </w:div>
    <w:div w:id="385179823">
      <w:bodyDiv w:val="1"/>
      <w:marLeft w:val="0"/>
      <w:marRight w:val="0"/>
      <w:marTop w:val="0"/>
      <w:marBottom w:val="0"/>
      <w:divBdr>
        <w:top w:val="none" w:sz="0" w:space="0" w:color="auto"/>
        <w:left w:val="none" w:sz="0" w:space="0" w:color="auto"/>
        <w:bottom w:val="none" w:sz="0" w:space="0" w:color="auto"/>
        <w:right w:val="none" w:sz="0" w:space="0" w:color="auto"/>
      </w:divBdr>
    </w:div>
    <w:div w:id="385182005">
      <w:bodyDiv w:val="1"/>
      <w:marLeft w:val="0"/>
      <w:marRight w:val="0"/>
      <w:marTop w:val="0"/>
      <w:marBottom w:val="0"/>
      <w:divBdr>
        <w:top w:val="none" w:sz="0" w:space="0" w:color="auto"/>
        <w:left w:val="none" w:sz="0" w:space="0" w:color="auto"/>
        <w:bottom w:val="none" w:sz="0" w:space="0" w:color="auto"/>
        <w:right w:val="none" w:sz="0" w:space="0" w:color="auto"/>
      </w:divBdr>
    </w:div>
    <w:div w:id="385220845">
      <w:bodyDiv w:val="1"/>
      <w:marLeft w:val="0"/>
      <w:marRight w:val="0"/>
      <w:marTop w:val="0"/>
      <w:marBottom w:val="0"/>
      <w:divBdr>
        <w:top w:val="none" w:sz="0" w:space="0" w:color="auto"/>
        <w:left w:val="none" w:sz="0" w:space="0" w:color="auto"/>
        <w:bottom w:val="none" w:sz="0" w:space="0" w:color="auto"/>
        <w:right w:val="none" w:sz="0" w:space="0" w:color="auto"/>
      </w:divBdr>
    </w:div>
    <w:div w:id="385296911">
      <w:bodyDiv w:val="1"/>
      <w:marLeft w:val="0"/>
      <w:marRight w:val="0"/>
      <w:marTop w:val="0"/>
      <w:marBottom w:val="0"/>
      <w:divBdr>
        <w:top w:val="none" w:sz="0" w:space="0" w:color="auto"/>
        <w:left w:val="none" w:sz="0" w:space="0" w:color="auto"/>
        <w:bottom w:val="none" w:sz="0" w:space="0" w:color="auto"/>
        <w:right w:val="none" w:sz="0" w:space="0" w:color="auto"/>
      </w:divBdr>
    </w:div>
    <w:div w:id="385447140">
      <w:bodyDiv w:val="1"/>
      <w:marLeft w:val="0"/>
      <w:marRight w:val="0"/>
      <w:marTop w:val="0"/>
      <w:marBottom w:val="0"/>
      <w:divBdr>
        <w:top w:val="none" w:sz="0" w:space="0" w:color="auto"/>
        <w:left w:val="none" w:sz="0" w:space="0" w:color="auto"/>
        <w:bottom w:val="none" w:sz="0" w:space="0" w:color="auto"/>
        <w:right w:val="none" w:sz="0" w:space="0" w:color="auto"/>
      </w:divBdr>
    </w:div>
    <w:div w:id="385493583">
      <w:bodyDiv w:val="1"/>
      <w:marLeft w:val="0"/>
      <w:marRight w:val="0"/>
      <w:marTop w:val="0"/>
      <w:marBottom w:val="0"/>
      <w:divBdr>
        <w:top w:val="none" w:sz="0" w:space="0" w:color="auto"/>
        <w:left w:val="none" w:sz="0" w:space="0" w:color="auto"/>
        <w:bottom w:val="none" w:sz="0" w:space="0" w:color="auto"/>
        <w:right w:val="none" w:sz="0" w:space="0" w:color="auto"/>
      </w:divBdr>
    </w:div>
    <w:div w:id="385497460">
      <w:bodyDiv w:val="1"/>
      <w:marLeft w:val="0"/>
      <w:marRight w:val="0"/>
      <w:marTop w:val="0"/>
      <w:marBottom w:val="0"/>
      <w:divBdr>
        <w:top w:val="none" w:sz="0" w:space="0" w:color="auto"/>
        <w:left w:val="none" w:sz="0" w:space="0" w:color="auto"/>
        <w:bottom w:val="none" w:sz="0" w:space="0" w:color="auto"/>
        <w:right w:val="none" w:sz="0" w:space="0" w:color="auto"/>
      </w:divBdr>
    </w:div>
    <w:div w:id="385835207">
      <w:bodyDiv w:val="1"/>
      <w:marLeft w:val="0"/>
      <w:marRight w:val="0"/>
      <w:marTop w:val="0"/>
      <w:marBottom w:val="0"/>
      <w:divBdr>
        <w:top w:val="none" w:sz="0" w:space="0" w:color="auto"/>
        <w:left w:val="none" w:sz="0" w:space="0" w:color="auto"/>
        <w:bottom w:val="none" w:sz="0" w:space="0" w:color="auto"/>
        <w:right w:val="none" w:sz="0" w:space="0" w:color="auto"/>
      </w:divBdr>
    </w:div>
    <w:div w:id="385837419">
      <w:bodyDiv w:val="1"/>
      <w:marLeft w:val="0"/>
      <w:marRight w:val="0"/>
      <w:marTop w:val="0"/>
      <w:marBottom w:val="0"/>
      <w:divBdr>
        <w:top w:val="none" w:sz="0" w:space="0" w:color="auto"/>
        <w:left w:val="none" w:sz="0" w:space="0" w:color="auto"/>
        <w:bottom w:val="none" w:sz="0" w:space="0" w:color="auto"/>
        <w:right w:val="none" w:sz="0" w:space="0" w:color="auto"/>
      </w:divBdr>
    </w:div>
    <w:div w:id="385841925">
      <w:bodyDiv w:val="1"/>
      <w:marLeft w:val="0"/>
      <w:marRight w:val="0"/>
      <w:marTop w:val="0"/>
      <w:marBottom w:val="0"/>
      <w:divBdr>
        <w:top w:val="none" w:sz="0" w:space="0" w:color="auto"/>
        <w:left w:val="none" w:sz="0" w:space="0" w:color="auto"/>
        <w:bottom w:val="none" w:sz="0" w:space="0" w:color="auto"/>
        <w:right w:val="none" w:sz="0" w:space="0" w:color="auto"/>
      </w:divBdr>
    </w:div>
    <w:div w:id="385878473">
      <w:bodyDiv w:val="1"/>
      <w:marLeft w:val="0"/>
      <w:marRight w:val="0"/>
      <w:marTop w:val="0"/>
      <w:marBottom w:val="0"/>
      <w:divBdr>
        <w:top w:val="none" w:sz="0" w:space="0" w:color="auto"/>
        <w:left w:val="none" w:sz="0" w:space="0" w:color="auto"/>
        <w:bottom w:val="none" w:sz="0" w:space="0" w:color="auto"/>
        <w:right w:val="none" w:sz="0" w:space="0" w:color="auto"/>
      </w:divBdr>
    </w:div>
    <w:div w:id="385951030">
      <w:bodyDiv w:val="1"/>
      <w:marLeft w:val="0"/>
      <w:marRight w:val="0"/>
      <w:marTop w:val="0"/>
      <w:marBottom w:val="0"/>
      <w:divBdr>
        <w:top w:val="none" w:sz="0" w:space="0" w:color="auto"/>
        <w:left w:val="none" w:sz="0" w:space="0" w:color="auto"/>
        <w:bottom w:val="none" w:sz="0" w:space="0" w:color="auto"/>
        <w:right w:val="none" w:sz="0" w:space="0" w:color="auto"/>
      </w:divBdr>
    </w:div>
    <w:div w:id="386029363">
      <w:bodyDiv w:val="1"/>
      <w:marLeft w:val="0"/>
      <w:marRight w:val="0"/>
      <w:marTop w:val="0"/>
      <w:marBottom w:val="0"/>
      <w:divBdr>
        <w:top w:val="none" w:sz="0" w:space="0" w:color="auto"/>
        <w:left w:val="none" w:sz="0" w:space="0" w:color="auto"/>
        <w:bottom w:val="none" w:sz="0" w:space="0" w:color="auto"/>
        <w:right w:val="none" w:sz="0" w:space="0" w:color="auto"/>
      </w:divBdr>
    </w:div>
    <w:div w:id="386144886">
      <w:bodyDiv w:val="1"/>
      <w:marLeft w:val="0"/>
      <w:marRight w:val="0"/>
      <w:marTop w:val="0"/>
      <w:marBottom w:val="0"/>
      <w:divBdr>
        <w:top w:val="none" w:sz="0" w:space="0" w:color="auto"/>
        <w:left w:val="none" w:sz="0" w:space="0" w:color="auto"/>
        <w:bottom w:val="none" w:sz="0" w:space="0" w:color="auto"/>
        <w:right w:val="none" w:sz="0" w:space="0" w:color="auto"/>
      </w:divBdr>
    </w:div>
    <w:div w:id="386489464">
      <w:bodyDiv w:val="1"/>
      <w:marLeft w:val="0"/>
      <w:marRight w:val="0"/>
      <w:marTop w:val="0"/>
      <w:marBottom w:val="0"/>
      <w:divBdr>
        <w:top w:val="none" w:sz="0" w:space="0" w:color="auto"/>
        <w:left w:val="none" w:sz="0" w:space="0" w:color="auto"/>
        <w:bottom w:val="none" w:sz="0" w:space="0" w:color="auto"/>
        <w:right w:val="none" w:sz="0" w:space="0" w:color="auto"/>
      </w:divBdr>
    </w:div>
    <w:div w:id="386493377">
      <w:bodyDiv w:val="1"/>
      <w:marLeft w:val="0"/>
      <w:marRight w:val="0"/>
      <w:marTop w:val="0"/>
      <w:marBottom w:val="0"/>
      <w:divBdr>
        <w:top w:val="none" w:sz="0" w:space="0" w:color="auto"/>
        <w:left w:val="none" w:sz="0" w:space="0" w:color="auto"/>
        <w:bottom w:val="none" w:sz="0" w:space="0" w:color="auto"/>
        <w:right w:val="none" w:sz="0" w:space="0" w:color="auto"/>
      </w:divBdr>
    </w:div>
    <w:div w:id="386614525">
      <w:bodyDiv w:val="1"/>
      <w:marLeft w:val="0"/>
      <w:marRight w:val="0"/>
      <w:marTop w:val="0"/>
      <w:marBottom w:val="0"/>
      <w:divBdr>
        <w:top w:val="none" w:sz="0" w:space="0" w:color="auto"/>
        <w:left w:val="none" w:sz="0" w:space="0" w:color="auto"/>
        <w:bottom w:val="none" w:sz="0" w:space="0" w:color="auto"/>
        <w:right w:val="none" w:sz="0" w:space="0" w:color="auto"/>
      </w:divBdr>
    </w:div>
    <w:div w:id="386729648">
      <w:bodyDiv w:val="1"/>
      <w:marLeft w:val="0"/>
      <w:marRight w:val="0"/>
      <w:marTop w:val="0"/>
      <w:marBottom w:val="0"/>
      <w:divBdr>
        <w:top w:val="none" w:sz="0" w:space="0" w:color="auto"/>
        <w:left w:val="none" w:sz="0" w:space="0" w:color="auto"/>
        <w:bottom w:val="none" w:sz="0" w:space="0" w:color="auto"/>
        <w:right w:val="none" w:sz="0" w:space="0" w:color="auto"/>
      </w:divBdr>
    </w:div>
    <w:div w:id="386808437">
      <w:bodyDiv w:val="1"/>
      <w:marLeft w:val="0"/>
      <w:marRight w:val="0"/>
      <w:marTop w:val="0"/>
      <w:marBottom w:val="0"/>
      <w:divBdr>
        <w:top w:val="none" w:sz="0" w:space="0" w:color="auto"/>
        <w:left w:val="none" w:sz="0" w:space="0" w:color="auto"/>
        <w:bottom w:val="none" w:sz="0" w:space="0" w:color="auto"/>
        <w:right w:val="none" w:sz="0" w:space="0" w:color="auto"/>
      </w:divBdr>
    </w:div>
    <w:div w:id="386883292">
      <w:bodyDiv w:val="1"/>
      <w:marLeft w:val="0"/>
      <w:marRight w:val="0"/>
      <w:marTop w:val="0"/>
      <w:marBottom w:val="0"/>
      <w:divBdr>
        <w:top w:val="none" w:sz="0" w:space="0" w:color="auto"/>
        <w:left w:val="none" w:sz="0" w:space="0" w:color="auto"/>
        <w:bottom w:val="none" w:sz="0" w:space="0" w:color="auto"/>
        <w:right w:val="none" w:sz="0" w:space="0" w:color="auto"/>
      </w:divBdr>
    </w:div>
    <w:div w:id="386925431">
      <w:bodyDiv w:val="1"/>
      <w:marLeft w:val="0"/>
      <w:marRight w:val="0"/>
      <w:marTop w:val="0"/>
      <w:marBottom w:val="0"/>
      <w:divBdr>
        <w:top w:val="none" w:sz="0" w:space="0" w:color="auto"/>
        <w:left w:val="none" w:sz="0" w:space="0" w:color="auto"/>
        <w:bottom w:val="none" w:sz="0" w:space="0" w:color="auto"/>
        <w:right w:val="none" w:sz="0" w:space="0" w:color="auto"/>
      </w:divBdr>
    </w:div>
    <w:div w:id="386952126">
      <w:bodyDiv w:val="1"/>
      <w:marLeft w:val="0"/>
      <w:marRight w:val="0"/>
      <w:marTop w:val="0"/>
      <w:marBottom w:val="0"/>
      <w:divBdr>
        <w:top w:val="none" w:sz="0" w:space="0" w:color="auto"/>
        <w:left w:val="none" w:sz="0" w:space="0" w:color="auto"/>
        <w:bottom w:val="none" w:sz="0" w:space="0" w:color="auto"/>
        <w:right w:val="none" w:sz="0" w:space="0" w:color="auto"/>
      </w:divBdr>
    </w:div>
    <w:div w:id="386953584">
      <w:bodyDiv w:val="1"/>
      <w:marLeft w:val="0"/>
      <w:marRight w:val="0"/>
      <w:marTop w:val="0"/>
      <w:marBottom w:val="0"/>
      <w:divBdr>
        <w:top w:val="none" w:sz="0" w:space="0" w:color="auto"/>
        <w:left w:val="none" w:sz="0" w:space="0" w:color="auto"/>
        <w:bottom w:val="none" w:sz="0" w:space="0" w:color="auto"/>
        <w:right w:val="none" w:sz="0" w:space="0" w:color="auto"/>
      </w:divBdr>
    </w:div>
    <w:div w:id="386954221">
      <w:bodyDiv w:val="1"/>
      <w:marLeft w:val="0"/>
      <w:marRight w:val="0"/>
      <w:marTop w:val="0"/>
      <w:marBottom w:val="0"/>
      <w:divBdr>
        <w:top w:val="none" w:sz="0" w:space="0" w:color="auto"/>
        <w:left w:val="none" w:sz="0" w:space="0" w:color="auto"/>
        <w:bottom w:val="none" w:sz="0" w:space="0" w:color="auto"/>
        <w:right w:val="none" w:sz="0" w:space="0" w:color="auto"/>
      </w:divBdr>
    </w:div>
    <w:div w:id="386993474">
      <w:bodyDiv w:val="1"/>
      <w:marLeft w:val="0"/>
      <w:marRight w:val="0"/>
      <w:marTop w:val="0"/>
      <w:marBottom w:val="0"/>
      <w:divBdr>
        <w:top w:val="none" w:sz="0" w:space="0" w:color="auto"/>
        <w:left w:val="none" w:sz="0" w:space="0" w:color="auto"/>
        <w:bottom w:val="none" w:sz="0" w:space="0" w:color="auto"/>
        <w:right w:val="none" w:sz="0" w:space="0" w:color="auto"/>
      </w:divBdr>
    </w:div>
    <w:div w:id="387152518">
      <w:bodyDiv w:val="1"/>
      <w:marLeft w:val="0"/>
      <w:marRight w:val="0"/>
      <w:marTop w:val="0"/>
      <w:marBottom w:val="0"/>
      <w:divBdr>
        <w:top w:val="none" w:sz="0" w:space="0" w:color="auto"/>
        <w:left w:val="none" w:sz="0" w:space="0" w:color="auto"/>
        <w:bottom w:val="none" w:sz="0" w:space="0" w:color="auto"/>
        <w:right w:val="none" w:sz="0" w:space="0" w:color="auto"/>
      </w:divBdr>
    </w:div>
    <w:div w:id="387187548">
      <w:bodyDiv w:val="1"/>
      <w:marLeft w:val="0"/>
      <w:marRight w:val="0"/>
      <w:marTop w:val="0"/>
      <w:marBottom w:val="0"/>
      <w:divBdr>
        <w:top w:val="none" w:sz="0" w:space="0" w:color="auto"/>
        <w:left w:val="none" w:sz="0" w:space="0" w:color="auto"/>
        <w:bottom w:val="none" w:sz="0" w:space="0" w:color="auto"/>
        <w:right w:val="none" w:sz="0" w:space="0" w:color="auto"/>
      </w:divBdr>
    </w:div>
    <w:div w:id="387262647">
      <w:bodyDiv w:val="1"/>
      <w:marLeft w:val="0"/>
      <w:marRight w:val="0"/>
      <w:marTop w:val="0"/>
      <w:marBottom w:val="0"/>
      <w:divBdr>
        <w:top w:val="none" w:sz="0" w:space="0" w:color="auto"/>
        <w:left w:val="none" w:sz="0" w:space="0" w:color="auto"/>
        <w:bottom w:val="none" w:sz="0" w:space="0" w:color="auto"/>
        <w:right w:val="none" w:sz="0" w:space="0" w:color="auto"/>
      </w:divBdr>
    </w:div>
    <w:div w:id="387454734">
      <w:bodyDiv w:val="1"/>
      <w:marLeft w:val="0"/>
      <w:marRight w:val="0"/>
      <w:marTop w:val="0"/>
      <w:marBottom w:val="0"/>
      <w:divBdr>
        <w:top w:val="none" w:sz="0" w:space="0" w:color="auto"/>
        <w:left w:val="none" w:sz="0" w:space="0" w:color="auto"/>
        <w:bottom w:val="none" w:sz="0" w:space="0" w:color="auto"/>
        <w:right w:val="none" w:sz="0" w:space="0" w:color="auto"/>
      </w:divBdr>
    </w:div>
    <w:div w:id="387456148">
      <w:bodyDiv w:val="1"/>
      <w:marLeft w:val="0"/>
      <w:marRight w:val="0"/>
      <w:marTop w:val="0"/>
      <w:marBottom w:val="0"/>
      <w:divBdr>
        <w:top w:val="none" w:sz="0" w:space="0" w:color="auto"/>
        <w:left w:val="none" w:sz="0" w:space="0" w:color="auto"/>
        <w:bottom w:val="none" w:sz="0" w:space="0" w:color="auto"/>
        <w:right w:val="none" w:sz="0" w:space="0" w:color="auto"/>
      </w:divBdr>
    </w:div>
    <w:div w:id="387460818">
      <w:bodyDiv w:val="1"/>
      <w:marLeft w:val="0"/>
      <w:marRight w:val="0"/>
      <w:marTop w:val="0"/>
      <w:marBottom w:val="0"/>
      <w:divBdr>
        <w:top w:val="none" w:sz="0" w:space="0" w:color="auto"/>
        <w:left w:val="none" w:sz="0" w:space="0" w:color="auto"/>
        <w:bottom w:val="none" w:sz="0" w:space="0" w:color="auto"/>
        <w:right w:val="none" w:sz="0" w:space="0" w:color="auto"/>
      </w:divBdr>
    </w:div>
    <w:div w:id="387581380">
      <w:bodyDiv w:val="1"/>
      <w:marLeft w:val="0"/>
      <w:marRight w:val="0"/>
      <w:marTop w:val="0"/>
      <w:marBottom w:val="0"/>
      <w:divBdr>
        <w:top w:val="none" w:sz="0" w:space="0" w:color="auto"/>
        <w:left w:val="none" w:sz="0" w:space="0" w:color="auto"/>
        <w:bottom w:val="none" w:sz="0" w:space="0" w:color="auto"/>
        <w:right w:val="none" w:sz="0" w:space="0" w:color="auto"/>
      </w:divBdr>
    </w:div>
    <w:div w:id="387723707">
      <w:bodyDiv w:val="1"/>
      <w:marLeft w:val="0"/>
      <w:marRight w:val="0"/>
      <w:marTop w:val="0"/>
      <w:marBottom w:val="0"/>
      <w:divBdr>
        <w:top w:val="none" w:sz="0" w:space="0" w:color="auto"/>
        <w:left w:val="none" w:sz="0" w:space="0" w:color="auto"/>
        <w:bottom w:val="none" w:sz="0" w:space="0" w:color="auto"/>
        <w:right w:val="none" w:sz="0" w:space="0" w:color="auto"/>
      </w:divBdr>
    </w:div>
    <w:div w:id="387727492">
      <w:bodyDiv w:val="1"/>
      <w:marLeft w:val="0"/>
      <w:marRight w:val="0"/>
      <w:marTop w:val="0"/>
      <w:marBottom w:val="0"/>
      <w:divBdr>
        <w:top w:val="none" w:sz="0" w:space="0" w:color="auto"/>
        <w:left w:val="none" w:sz="0" w:space="0" w:color="auto"/>
        <w:bottom w:val="none" w:sz="0" w:space="0" w:color="auto"/>
        <w:right w:val="none" w:sz="0" w:space="0" w:color="auto"/>
      </w:divBdr>
    </w:div>
    <w:div w:id="387731733">
      <w:bodyDiv w:val="1"/>
      <w:marLeft w:val="0"/>
      <w:marRight w:val="0"/>
      <w:marTop w:val="0"/>
      <w:marBottom w:val="0"/>
      <w:divBdr>
        <w:top w:val="none" w:sz="0" w:space="0" w:color="auto"/>
        <w:left w:val="none" w:sz="0" w:space="0" w:color="auto"/>
        <w:bottom w:val="none" w:sz="0" w:space="0" w:color="auto"/>
        <w:right w:val="none" w:sz="0" w:space="0" w:color="auto"/>
      </w:divBdr>
    </w:div>
    <w:div w:id="388261415">
      <w:bodyDiv w:val="1"/>
      <w:marLeft w:val="0"/>
      <w:marRight w:val="0"/>
      <w:marTop w:val="0"/>
      <w:marBottom w:val="0"/>
      <w:divBdr>
        <w:top w:val="none" w:sz="0" w:space="0" w:color="auto"/>
        <w:left w:val="none" w:sz="0" w:space="0" w:color="auto"/>
        <w:bottom w:val="none" w:sz="0" w:space="0" w:color="auto"/>
        <w:right w:val="none" w:sz="0" w:space="0" w:color="auto"/>
      </w:divBdr>
    </w:div>
    <w:div w:id="388303763">
      <w:bodyDiv w:val="1"/>
      <w:marLeft w:val="0"/>
      <w:marRight w:val="0"/>
      <w:marTop w:val="0"/>
      <w:marBottom w:val="0"/>
      <w:divBdr>
        <w:top w:val="none" w:sz="0" w:space="0" w:color="auto"/>
        <w:left w:val="none" w:sz="0" w:space="0" w:color="auto"/>
        <w:bottom w:val="none" w:sz="0" w:space="0" w:color="auto"/>
        <w:right w:val="none" w:sz="0" w:space="0" w:color="auto"/>
      </w:divBdr>
    </w:div>
    <w:div w:id="388456017">
      <w:bodyDiv w:val="1"/>
      <w:marLeft w:val="0"/>
      <w:marRight w:val="0"/>
      <w:marTop w:val="0"/>
      <w:marBottom w:val="0"/>
      <w:divBdr>
        <w:top w:val="none" w:sz="0" w:space="0" w:color="auto"/>
        <w:left w:val="none" w:sz="0" w:space="0" w:color="auto"/>
        <w:bottom w:val="none" w:sz="0" w:space="0" w:color="auto"/>
        <w:right w:val="none" w:sz="0" w:space="0" w:color="auto"/>
      </w:divBdr>
    </w:div>
    <w:div w:id="388458498">
      <w:bodyDiv w:val="1"/>
      <w:marLeft w:val="0"/>
      <w:marRight w:val="0"/>
      <w:marTop w:val="0"/>
      <w:marBottom w:val="0"/>
      <w:divBdr>
        <w:top w:val="none" w:sz="0" w:space="0" w:color="auto"/>
        <w:left w:val="none" w:sz="0" w:space="0" w:color="auto"/>
        <w:bottom w:val="none" w:sz="0" w:space="0" w:color="auto"/>
        <w:right w:val="none" w:sz="0" w:space="0" w:color="auto"/>
      </w:divBdr>
    </w:div>
    <w:div w:id="388574735">
      <w:bodyDiv w:val="1"/>
      <w:marLeft w:val="0"/>
      <w:marRight w:val="0"/>
      <w:marTop w:val="0"/>
      <w:marBottom w:val="0"/>
      <w:divBdr>
        <w:top w:val="none" w:sz="0" w:space="0" w:color="auto"/>
        <w:left w:val="none" w:sz="0" w:space="0" w:color="auto"/>
        <w:bottom w:val="none" w:sz="0" w:space="0" w:color="auto"/>
        <w:right w:val="none" w:sz="0" w:space="0" w:color="auto"/>
      </w:divBdr>
    </w:div>
    <w:div w:id="388579156">
      <w:bodyDiv w:val="1"/>
      <w:marLeft w:val="0"/>
      <w:marRight w:val="0"/>
      <w:marTop w:val="0"/>
      <w:marBottom w:val="0"/>
      <w:divBdr>
        <w:top w:val="none" w:sz="0" w:space="0" w:color="auto"/>
        <w:left w:val="none" w:sz="0" w:space="0" w:color="auto"/>
        <w:bottom w:val="none" w:sz="0" w:space="0" w:color="auto"/>
        <w:right w:val="none" w:sz="0" w:space="0" w:color="auto"/>
      </w:divBdr>
    </w:div>
    <w:div w:id="388648002">
      <w:bodyDiv w:val="1"/>
      <w:marLeft w:val="0"/>
      <w:marRight w:val="0"/>
      <w:marTop w:val="0"/>
      <w:marBottom w:val="0"/>
      <w:divBdr>
        <w:top w:val="none" w:sz="0" w:space="0" w:color="auto"/>
        <w:left w:val="none" w:sz="0" w:space="0" w:color="auto"/>
        <w:bottom w:val="none" w:sz="0" w:space="0" w:color="auto"/>
        <w:right w:val="none" w:sz="0" w:space="0" w:color="auto"/>
      </w:divBdr>
    </w:div>
    <w:div w:id="388651999">
      <w:bodyDiv w:val="1"/>
      <w:marLeft w:val="0"/>
      <w:marRight w:val="0"/>
      <w:marTop w:val="0"/>
      <w:marBottom w:val="0"/>
      <w:divBdr>
        <w:top w:val="none" w:sz="0" w:space="0" w:color="auto"/>
        <w:left w:val="none" w:sz="0" w:space="0" w:color="auto"/>
        <w:bottom w:val="none" w:sz="0" w:space="0" w:color="auto"/>
        <w:right w:val="none" w:sz="0" w:space="0" w:color="auto"/>
      </w:divBdr>
    </w:div>
    <w:div w:id="388656146">
      <w:bodyDiv w:val="1"/>
      <w:marLeft w:val="0"/>
      <w:marRight w:val="0"/>
      <w:marTop w:val="0"/>
      <w:marBottom w:val="0"/>
      <w:divBdr>
        <w:top w:val="none" w:sz="0" w:space="0" w:color="auto"/>
        <w:left w:val="none" w:sz="0" w:space="0" w:color="auto"/>
        <w:bottom w:val="none" w:sz="0" w:space="0" w:color="auto"/>
        <w:right w:val="none" w:sz="0" w:space="0" w:color="auto"/>
      </w:divBdr>
    </w:div>
    <w:div w:id="388771019">
      <w:bodyDiv w:val="1"/>
      <w:marLeft w:val="0"/>
      <w:marRight w:val="0"/>
      <w:marTop w:val="0"/>
      <w:marBottom w:val="0"/>
      <w:divBdr>
        <w:top w:val="none" w:sz="0" w:space="0" w:color="auto"/>
        <w:left w:val="none" w:sz="0" w:space="0" w:color="auto"/>
        <w:bottom w:val="none" w:sz="0" w:space="0" w:color="auto"/>
        <w:right w:val="none" w:sz="0" w:space="0" w:color="auto"/>
      </w:divBdr>
    </w:div>
    <w:div w:id="388844348">
      <w:bodyDiv w:val="1"/>
      <w:marLeft w:val="0"/>
      <w:marRight w:val="0"/>
      <w:marTop w:val="0"/>
      <w:marBottom w:val="0"/>
      <w:divBdr>
        <w:top w:val="none" w:sz="0" w:space="0" w:color="auto"/>
        <w:left w:val="none" w:sz="0" w:space="0" w:color="auto"/>
        <w:bottom w:val="none" w:sz="0" w:space="0" w:color="auto"/>
        <w:right w:val="none" w:sz="0" w:space="0" w:color="auto"/>
      </w:divBdr>
    </w:div>
    <w:div w:id="388920826">
      <w:bodyDiv w:val="1"/>
      <w:marLeft w:val="0"/>
      <w:marRight w:val="0"/>
      <w:marTop w:val="0"/>
      <w:marBottom w:val="0"/>
      <w:divBdr>
        <w:top w:val="none" w:sz="0" w:space="0" w:color="auto"/>
        <w:left w:val="none" w:sz="0" w:space="0" w:color="auto"/>
        <w:bottom w:val="none" w:sz="0" w:space="0" w:color="auto"/>
        <w:right w:val="none" w:sz="0" w:space="0" w:color="auto"/>
      </w:divBdr>
    </w:div>
    <w:div w:id="389038791">
      <w:bodyDiv w:val="1"/>
      <w:marLeft w:val="0"/>
      <w:marRight w:val="0"/>
      <w:marTop w:val="0"/>
      <w:marBottom w:val="0"/>
      <w:divBdr>
        <w:top w:val="none" w:sz="0" w:space="0" w:color="auto"/>
        <w:left w:val="none" w:sz="0" w:space="0" w:color="auto"/>
        <w:bottom w:val="none" w:sz="0" w:space="0" w:color="auto"/>
        <w:right w:val="none" w:sz="0" w:space="0" w:color="auto"/>
      </w:divBdr>
    </w:div>
    <w:div w:id="389497315">
      <w:bodyDiv w:val="1"/>
      <w:marLeft w:val="0"/>
      <w:marRight w:val="0"/>
      <w:marTop w:val="0"/>
      <w:marBottom w:val="0"/>
      <w:divBdr>
        <w:top w:val="none" w:sz="0" w:space="0" w:color="auto"/>
        <w:left w:val="none" w:sz="0" w:space="0" w:color="auto"/>
        <w:bottom w:val="none" w:sz="0" w:space="0" w:color="auto"/>
        <w:right w:val="none" w:sz="0" w:space="0" w:color="auto"/>
      </w:divBdr>
    </w:div>
    <w:div w:id="389813386">
      <w:bodyDiv w:val="1"/>
      <w:marLeft w:val="0"/>
      <w:marRight w:val="0"/>
      <w:marTop w:val="0"/>
      <w:marBottom w:val="0"/>
      <w:divBdr>
        <w:top w:val="none" w:sz="0" w:space="0" w:color="auto"/>
        <w:left w:val="none" w:sz="0" w:space="0" w:color="auto"/>
        <w:bottom w:val="none" w:sz="0" w:space="0" w:color="auto"/>
        <w:right w:val="none" w:sz="0" w:space="0" w:color="auto"/>
      </w:divBdr>
    </w:div>
    <w:div w:id="389884918">
      <w:bodyDiv w:val="1"/>
      <w:marLeft w:val="0"/>
      <w:marRight w:val="0"/>
      <w:marTop w:val="0"/>
      <w:marBottom w:val="0"/>
      <w:divBdr>
        <w:top w:val="none" w:sz="0" w:space="0" w:color="auto"/>
        <w:left w:val="none" w:sz="0" w:space="0" w:color="auto"/>
        <w:bottom w:val="none" w:sz="0" w:space="0" w:color="auto"/>
        <w:right w:val="none" w:sz="0" w:space="0" w:color="auto"/>
      </w:divBdr>
    </w:div>
    <w:div w:id="389957714">
      <w:bodyDiv w:val="1"/>
      <w:marLeft w:val="0"/>
      <w:marRight w:val="0"/>
      <w:marTop w:val="0"/>
      <w:marBottom w:val="0"/>
      <w:divBdr>
        <w:top w:val="none" w:sz="0" w:space="0" w:color="auto"/>
        <w:left w:val="none" w:sz="0" w:space="0" w:color="auto"/>
        <w:bottom w:val="none" w:sz="0" w:space="0" w:color="auto"/>
        <w:right w:val="none" w:sz="0" w:space="0" w:color="auto"/>
      </w:divBdr>
    </w:div>
    <w:div w:id="389958447">
      <w:bodyDiv w:val="1"/>
      <w:marLeft w:val="0"/>
      <w:marRight w:val="0"/>
      <w:marTop w:val="0"/>
      <w:marBottom w:val="0"/>
      <w:divBdr>
        <w:top w:val="none" w:sz="0" w:space="0" w:color="auto"/>
        <w:left w:val="none" w:sz="0" w:space="0" w:color="auto"/>
        <w:bottom w:val="none" w:sz="0" w:space="0" w:color="auto"/>
        <w:right w:val="none" w:sz="0" w:space="0" w:color="auto"/>
      </w:divBdr>
    </w:div>
    <w:div w:id="390078496">
      <w:bodyDiv w:val="1"/>
      <w:marLeft w:val="0"/>
      <w:marRight w:val="0"/>
      <w:marTop w:val="0"/>
      <w:marBottom w:val="0"/>
      <w:divBdr>
        <w:top w:val="none" w:sz="0" w:space="0" w:color="auto"/>
        <w:left w:val="none" w:sz="0" w:space="0" w:color="auto"/>
        <w:bottom w:val="none" w:sz="0" w:space="0" w:color="auto"/>
        <w:right w:val="none" w:sz="0" w:space="0" w:color="auto"/>
      </w:divBdr>
    </w:div>
    <w:div w:id="390228037">
      <w:bodyDiv w:val="1"/>
      <w:marLeft w:val="0"/>
      <w:marRight w:val="0"/>
      <w:marTop w:val="0"/>
      <w:marBottom w:val="0"/>
      <w:divBdr>
        <w:top w:val="none" w:sz="0" w:space="0" w:color="auto"/>
        <w:left w:val="none" w:sz="0" w:space="0" w:color="auto"/>
        <w:bottom w:val="none" w:sz="0" w:space="0" w:color="auto"/>
        <w:right w:val="none" w:sz="0" w:space="0" w:color="auto"/>
      </w:divBdr>
    </w:div>
    <w:div w:id="390277310">
      <w:bodyDiv w:val="1"/>
      <w:marLeft w:val="0"/>
      <w:marRight w:val="0"/>
      <w:marTop w:val="0"/>
      <w:marBottom w:val="0"/>
      <w:divBdr>
        <w:top w:val="none" w:sz="0" w:space="0" w:color="auto"/>
        <w:left w:val="none" w:sz="0" w:space="0" w:color="auto"/>
        <w:bottom w:val="none" w:sz="0" w:space="0" w:color="auto"/>
        <w:right w:val="none" w:sz="0" w:space="0" w:color="auto"/>
      </w:divBdr>
    </w:div>
    <w:div w:id="390277347">
      <w:bodyDiv w:val="1"/>
      <w:marLeft w:val="0"/>
      <w:marRight w:val="0"/>
      <w:marTop w:val="0"/>
      <w:marBottom w:val="0"/>
      <w:divBdr>
        <w:top w:val="none" w:sz="0" w:space="0" w:color="auto"/>
        <w:left w:val="none" w:sz="0" w:space="0" w:color="auto"/>
        <w:bottom w:val="none" w:sz="0" w:space="0" w:color="auto"/>
        <w:right w:val="none" w:sz="0" w:space="0" w:color="auto"/>
      </w:divBdr>
    </w:div>
    <w:div w:id="390346725">
      <w:bodyDiv w:val="1"/>
      <w:marLeft w:val="0"/>
      <w:marRight w:val="0"/>
      <w:marTop w:val="0"/>
      <w:marBottom w:val="0"/>
      <w:divBdr>
        <w:top w:val="none" w:sz="0" w:space="0" w:color="auto"/>
        <w:left w:val="none" w:sz="0" w:space="0" w:color="auto"/>
        <w:bottom w:val="none" w:sz="0" w:space="0" w:color="auto"/>
        <w:right w:val="none" w:sz="0" w:space="0" w:color="auto"/>
      </w:divBdr>
    </w:div>
    <w:div w:id="390470951">
      <w:bodyDiv w:val="1"/>
      <w:marLeft w:val="0"/>
      <w:marRight w:val="0"/>
      <w:marTop w:val="0"/>
      <w:marBottom w:val="0"/>
      <w:divBdr>
        <w:top w:val="none" w:sz="0" w:space="0" w:color="auto"/>
        <w:left w:val="none" w:sz="0" w:space="0" w:color="auto"/>
        <w:bottom w:val="none" w:sz="0" w:space="0" w:color="auto"/>
        <w:right w:val="none" w:sz="0" w:space="0" w:color="auto"/>
      </w:divBdr>
    </w:div>
    <w:div w:id="390543254">
      <w:bodyDiv w:val="1"/>
      <w:marLeft w:val="0"/>
      <w:marRight w:val="0"/>
      <w:marTop w:val="0"/>
      <w:marBottom w:val="0"/>
      <w:divBdr>
        <w:top w:val="none" w:sz="0" w:space="0" w:color="auto"/>
        <w:left w:val="none" w:sz="0" w:space="0" w:color="auto"/>
        <w:bottom w:val="none" w:sz="0" w:space="0" w:color="auto"/>
        <w:right w:val="none" w:sz="0" w:space="0" w:color="auto"/>
      </w:divBdr>
    </w:div>
    <w:div w:id="390614703">
      <w:bodyDiv w:val="1"/>
      <w:marLeft w:val="0"/>
      <w:marRight w:val="0"/>
      <w:marTop w:val="0"/>
      <w:marBottom w:val="0"/>
      <w:divBdr>
        <w:top w:val="none" w:sz="0" w:space="0" w:color="auto"/>
        <w:left w:val="none" w:sz="0" w:space="0" w:color="auto"/>
        <w:bottom w:val="none" w:sz="0" w:space="0" w:color="auto"/>
        <w:right w:val="none" w:sz="0" w:space="0" w:color="auto"/>
      </w:divBdr>
    </w:div>
    <w:div w:id="390731450">
      <w:bodyDiv w:val="1"/>
      <w:marLeft w:val="0"/>
      <w:marRight w:val="0"/>
      <w:marTop w:val="0"/>
      <w:marBottom w:val="0"/>
      <w:divBdr>
        <w:top w:val="none" w:sz="0" w:space="0" w:color="auto"/>
        <w:left w:val="none" w:sz="0" w:space="0" w:color="auto"/>
        <w:bottom w:val="none" w:sz="0" w:space="0" w:color="auto"/>
        <w:right w:val="none" w:sz="0" w:space="0" w:color="auto"/>
      </w:divBdr>
    </w:div>
    <w:div w:id="390811534">
      <w:bodyDiv w:val="1"/>
      <w:marLeft w:val="0"/>
      <w:marRight w:val="0"/>
      <w:marTop w:val="0"/>
      <w:marBottom w:val="0"/>
      <w:divBdr>
        <w:top w:val="none" w:sz="0" w:space="0" w:color="auto"/>
        <w:left w:val="none" w:sz="0" w:space="0" w:color="auto"/>
        <w:bottom w:val="none" w:sz="0" w:space="0" w:color="auto"/>
        <w:right w:val="none" w:sz="0" w:space="0" w:color="auto"/>
      </w:divBdr>
    </w:div>
    <w:div w:id="390888403">
      <w:bodyDiv w:val="1"/>
      <w:marLeft w:val="0"/>
      <w:marRight w:val="0"/>
      <w:marTop w:val="0"/>
      <w:marBottom w:val="0"/>
      <w:divBdr>
        <w:top w:val="none" w:sz="0" w:space="0" w:color="auto"/>
        <w:left w:val="none" w:sz="0" w:space="0" w:color="auto"/>
        <w:bottom w:val="none" w:sz="0" w:space="0" w:color="auto"/>
        <w:right w:val="none" w:sz="0" w:space="0" w:color="auto"/>
      </w:divBdr>
    </w:div>
    <w:div w:id="391003048">
      <w:bodyDiv w:val="1"/>
      <w:marLeft w:val="0"/>
      <w:marRight w:val="0"/>
      <w:marTop w:val="0"/>
      <w:marBottom w:val="0"/>
      <w:divBdr>
        <w:top w:val="none" w:sz="0" w:space="0" w:color="auto"/>
        <w:left w:val="none" w:sz="0" w:space="0" w:color="auto"/>
        <w:bottom w:val="none" w:sz="0" w:space="0" w:color="auto"/>
        <w:right w:val="none" w:sz="0" w:space="0" w:color="auto"/>
      </w:divBdr>
    </w:div>
    <w:div w:id="391004074">
      <w:bodyDiv w:val="1"/>
      <w:marLeft w:val="0"/>
      <w:marRight w:val="0"/>
      <w:marTop w:val="0"/>
      <w:marBottom w:val="0"/>
      <w:divBdr>
        <w:top w:val="none" w:sz="0" w:space="0" w:color="auto"/>
        <w:left w:val="none" w:sz="0" w:space="0" w:color="auto"/>
        <w:bottom w:val="none" w:sz="0" w:space="0" w:color="auto"/>
        <w:right w:val="none" w:sz="0" w:space="0" w:color="auto"/>
      </w:divBdr>
    </w:div>
    <w:div w:id="391004307">
      <w:bodyDiv w:val="1"/>
      <w:marLeft w:val="0"/>
      <w:marRight w:val="0"/>
      <w:marTop w:val="0"/>
      <w:marBottom w:val="0"/>
      <w:divBdr>
        <w:top w:val="none" w:sz="0" w:space="0" w:color="auto"/>
        <w:left w:val="none" w:sz="0" w:space="0" w:color="auto"/>
        <w:bottom w:val="none" w:sz="0" w:space="0" w:color="auto"/>
        <w:right w:val="none" w:sz="0" w:space="0" w:color="auto"/>
      </w:divBdr>
    </w:div>
    <w:div w:id="391151423">
      <w:bodyDiv w:val="1"/>
      <w:marLeft w:val="0"/>
      <w:marRight w:val="0"/>
      <w:marTop w:val="0"/>
      <w:marBottom w:val="0"/>
      <w:divBdr>
        <w:top w:val="none" w:sz="0" w:space="0" w:color="auto"/>
        <w:left w:val="none" w:sz="0" w:space="0" w:color="auto"/>
        <w:bottom w:val="none" w:sz="0" w:space="0" w:color="auto"/>
        <w:right w:val="none" w:sz="0" w:space="0" w:color="auto"/>
      </w:divBdr>
    </w:div>
    <w:div w:id="391193296">
      <w:bodyDiv w:val="1"/>
      <w:marLeft w:val="0"/>
      <w:marRight w:val="0"/>
      <w:marTop w:val="0"/>
      <w:marBottom w:val="0"/>
      <w:divBdr>
        <w:top w:val="none" w:sz="0" w:space="0" w:color="auto"/>
        <w:left w:val="none" w:sz="0" w:space="0" w:color="auto"/>
        <w:bottom w:val="none" w:sz="0" w:space="0" w:color="auto"/>
        <w:right w:val="none" w:sz="0" w:space="0" w:color="auto"/>
      </w:divBdr>
    </w:div>
    <w:div w:id="391270069">
      <w:bodyDiv w:val="1"/>
      <w:marLeft w:val="0"/>
      <w:marRight w:val="0"/>
      <w:marTop w:val="0"/>
      <w:marBottom w:val="0"/>
      <w:divBdr>
        <w:top w:val="none" w:sz="0" w:space="0" w:color="auto"/>
        <w:left w:val="none" w:sz="0" w:space="0" w:color="auto"/>
        <w:bottom w:val="none" w:sz="0" w:space="0" w:color="auto"/>
        <w:right w:val="none" w:sz="0" w:space="0" w:color="auto"/>
      </w:divBdr>
    </w:div>
    <w:div w:id="391317211">
      <w:bodyDiv w:val="1"/>
      <w:marLeft w:val="0"/>
      <w:marRight w:val="0"/>
      <w:marTop w:val="0"/>
      <w:marBottom w:val="0"/>
      <w:divBdr>
        <w:top w:val="none" w:sz="0" w:space="0" w:color="auto"/>
        <w:left w:val="none" w:sz="0" w:space="0" w:color="auto"/>
        <w:bottom w:val="none" w:sz="0" w:space="0" w:color="auto"/>
        <w:right w:val="none" w:sz="0" w:space="0" w:color="auto"/>
      </w:divBdr>
    </w:div>
    <w:div w:id="391582515">
      <w:bodyDiv w:val="1"/>
      <w:marLeft w:val="0"/>
      <w:marRight w:val="0"/>
      <w:marTop w:val="0"/>
      <w:marBottom w:val="0"/>
      <w:divBdr>
        <w:top w:val="none" w:sz="0" w:space="0" w:color="auto"/>
        <w:left w:val="none" w:sz="0" w:space="0" w:color="auto"/>
        <w:bottom w:val="none" w:sz="0" w:space="0" w:color="auto"/>
        <w:right w:val="none" w:sz="0" w:space="0" w:color="auto"/>
      </w:divBdr>
    </w:div>
    <w:div w:id="391583570">
      <w:bodyDiv w:val="1"/>
      <w:marLeft w:val="0"/>
      <w:marRight w:val="0"/>
      <w:marTop w:val="0"/>
      <w:marBottom w:val="0"/>
      <w:divBdr>
        <w:top w:val="none" w:sz="0" w:space="0" w:color="auto"/>
        <w:left w:val="none" w:sz="0" w:space="0" w:color="auto"/>
        <w:bottom w:val="none" w:sz="0" w:space="0" w:color="auto"/>
        <w:right w:val="none" w:sz="0" w:space="0" w:color="auto"/>
      </w:divBdr>
    </w:div>
    <w:div w:id="391588528">
      <w:bodyDiv w:val="1"/>
      <w:marLeft w:val="0"/>
      <w:marRight w:val="0"/>
      <w:marTop w:val="0"/>
      <w:marBottom w:val="0"/>
      <w:divBdr>
        <w:top w:val="none" w:sz="0" w:space="0" w:color="auto"/>
        <w:left w:val="none" w:sz="0" w:space="0" w:color="auto"/>
        <w:bottom w:val="none" w:sz="0" w:space="0" w:color="auto"/>
        <w:right w:val="none" w:sz="0" w:space="0" w:color="auto"/>
      </w:divBdr>
    </w:div>
    <w:div w:id="391657950">
      <w:bodyDiv w:val="1"/>
      <w:marLeft w:val="0"/>
      <w:marRight w:val="0"/>
      <w:marTop w:val="0"/>
      <w:marBottom w:val="0"/>
      <w:divBdr>
        <w:top w:val="none" w:sz="0" w:space="0" w:color="auto"/>
        <w:left w:val="none" w:sz="0" w:space="0" w:color="auto"/>
        <w:bottom w:val="none" w:sz="0" w:space="0" w:color="auto"/>
        <w:right w:val="none" w:sz="0" w:space="0" w:color="auto"/>
      </w:divBdr>
    </w:div>
    <w:div w:id="391848239">
      <w:bodyDiv w:val="1"/>
      <w:marLeft w:val="0"/>
      <w:marRight w:val="0"/>
      <w:marTop w:val="0"/>
      <w:marBottom w:val="0"/>
      <w:divBdr>
        <w:top w:val="none" w:sz="0" w:space="0" w:color="auto"/>
        <w:left w:val="none" w:sz="0" w:space="0" w:color="auto"/>
        <w:bottom w:val="none" w:sz="0" w:space="0" w:color="auto"/>
        <w:right w:val="none" w:sz="0" w:space="0" w:color="auto"/>
      </w:divBdr>
    </w:div>
    <w:div w:id="391850436">
      <w:bodyDiv w:val="1"/>
      <w:marLeft w:val="0"/>
      <w:marRight w:val="0"/>
      <w:marTop w:val="0"/>
      <w:marBottom w:val="0"/>
      <w:divBdr>
        <w:top w:val="none" w:sz="0" w:space="0" w:color="auto"/>
        <w:left w:val="none" w:sz="0" w:space="0" w:color="auto"/>
        <w:bottom w:val="none" w:sz="0" w:space="0" w:color="auto"/>
        <w:right w:val="none" w:sz="0" w:space="0" w:color="auto"/>
      </w:divBdr>
    </w:div>
    <w:div w:id="391999926">
      <w:bodyDiv w:val="1"/>
      <w:marLeft w:val="0"/>
      <w:marRight w:val="0"/>
      <w:marTop w:val="0"/>
      <w:marBottom w:val="0"/>
      <w:divBdr>
        <w:top w:val="none" w:sz="0" w:space="0" w:color="auto"/>
        <w:left w:val="none" w:sz="0" w:space="0" w:color="auto"/>
        <w:bottom w:val="none" w:sz="0" w:space="0" w:color="auto"/>
        <w:right w:val="none" w:sz="0" w:space="0" w:color="auto"/>
      </w:divBdr>
    </w:div>
    <w:div w:id="392001324">
      <w:bodyDiv w:val="1"/>
      <w:marLeft w:val="0"/>
      <w:marRight w:val="0"/>
      <w:marTop w:val="0"/>
      <w:marBottom w:val="0"/>
      <w:divBdr>
        <w:top w:val="none" w:sz="0" w:space="0" w:color="auto"/>
        <w:left w:val="none" w:sz="0" w:space="0" w:color="auto"/>
        <w:bottom w:val="none" w:sz="0" w:space="0" w:color="auto"/>
        <w:right w:val="none" w:sz="0" w:space="0" w:color="auto"/>
      </w:divBdr>
    </w:div>
    <w:div w:id="392043476">
      <w:bodyDiv w:val="1"/>
      <w:marLeft w:val="0"/>
      <w:marRight w:val="0"/>
      <w:marTop w:val="0"/>
      <w:marBottom w:val="0"/>
      <w:divBdr>
        <w:top w:val="none" w:sz="0" w:space="0" w:color="auto"/>
        <w:left w:val="none" w:sz="0" w:space="0" w:color="auto"/>
        <w:bottom w:val="none" w:sz="0" w:space="0" w:color="auto"/>
        <w:right w:val="none" w:sz="0" w:space="0" w:color="auto"/>
      </w:divBdr>
    </w:div>
    <w:div w:id="392048257">
      <w:bodyDiv w:val="1"/>
      <w:marLeft w:val="0"/>
      <w:marRight w:val="0"/>
      <w:marTop w:val="0"/>
      <w:marBottom w:val="0"/>
      <w:divBdr>
        <w:top w:val="none" w:sz="0" w:space="0" w:color="auto"/>
        <w:left w:val="none" w:sz="0" w:space="0" w:color="auto"/>
        <w:bottom w:val="none" w:sz="0" w:space="0" w:color="auto"/>
        <w:right w:val="none" w:sz="0" w:space="0" w:color="auto"/>
      </w:divBdr>
    </w:div>
    <w:div w:id="392048664">
      <w:bodyDiv w:val="1"/>
      <w:marLeft w:val="0"/>
      <w:marRight w:val="0"/>
      <w:marTop w:val="0"/>
      <w:marBottom w:val="0"/>
      <w:divBdr>
        <w:top w:val="none" w:sz="0" w:space="0" w:color="auto"/>
        <w:left w:val="none" w:sz="0" w:space="0" w:color="auto"/>
        <w:bottom w:val="none" w:sz="0" w:space="0" w:color="auto"/>
        <w:right w:val="none" w:sz="0" w:space="0" w:color="auto"/>
      </w:divBdr>
    </w:div>
    <w:div w:id="392122490">
      <w:bodyDiv w:val="1"/>
      <w:marLeft w:val="0"/>
      <w:marRight w:val="0"/>
      <w:marTop w:val="0"/>
      <w:marBottom w:val="0"/>
      <w:divBdr>
        <w:top w:val="none" w:sz="0" w:space="0" w:color="auto"/>
        <w:left w:val="none" w:sz="0" w:space="0" w:color="auto"/>
        <w:bottom w:val="none" w:sz="0" w:space="0" w:color="auto"/>
        <w:right w:val="none" w:sz="0" w:space="0" w:color="auto"/>
      </w:divBdr>
    </w:div>
    <w:div w:id="392199152">
      <w:bodyDiv w:val="1"/>
      <w:marLeft w:val="0"/>
      <w:marRight w:val="0"/>
      <w:marTop w:val="0"/>
      <w:marBottom w:val="0"/>
      <w:divBdr>
        <w:top w:val="none" w:sz="0" w:space="0" w:color="auto"/>
        <w:left w:val="none" w:sz="0" w:space="0" w:color="auto"/>
        <w:bottom w:val="none" w:sz="0" w:space="0" w:color="auto"/>
        <w:right w:val="none" w:sz="0" w:space="0" w:color="auto"/>
      </w:divBdr>
    </w:div>
    <w:div w:id="392241136">
      <w:bodyDiv w:val="1"/>
      <w:marLeft w:val="0"/>
      <w:marRight w:val="0"/>
      <w:marTop w:val="0"/>
      <w:marBottom w:val="0"/>
      <w:divBdr>
        <w:top w:val="none" w:sz="0" w:space="0" w:color="auto"/>
        <w:left w:val="none" w:sz="0" w:space="0" w:color="auto"/>
        <w:bottom w:val="none" w:sz="0" w:space="0" w:color="auto"/>
        <w:right w:val="none" w:sz="0" w:space="0" w:color="auto"/>
      </w:divBdr>
    </w:div>
    <w:div w:id="392393522">
      <w:bodyDiv w:val="1"/>
      <w:marLeft w:val="0"/>
      <w:marRight w:val="0"/>
      <w:marTop w:val="0"/>
      <w:marBottom w:val="0"/>
      <w:divBdr>
        <w:top w:val="none" w:sz="0" w:space="0" w:color="auto"/>
        <w:left w:val="none" w:sz="0" w:space="0" w:color="auto"/>
        <w:bottom w:val="none" w:sz="0" w:space="0" w:color="auto"/>
        <w:right w:val="none" w:sz="0" w:space="0" w:color="auto"/>
      </w:divBdr>
    </w:div>
    <w:div w:id="392436202">
      <w:bodyDiv w:val="1"/>
      <w:marLeft w:val="0"/>
      <w:marRight w:val="0"/>
      <w:marTop w:val="0"/>
      <w:marBottom w:val="0"/>
      <w:divBdr>
        <w:top w:val="none" w:sz="0" w:space="0" w:color="auto"/>
        <w:left w:val="none" w:sz="0" w:space="0" w:color="auto"/>
        <w:bottom w:val="none" w:sz="0" w:space="0" w:color="auto"/>
        <w:right w:val="none" w:sz="0" w:space="0" w:color="auto"/>
      </w:divBdr>
    </w:div>
    <w:div w:id="392504769">
      <w:bodyDiv w:val="1"/>
      <w:marLeft w:val="0"/>
      <w:marRight w:val="0"/>
      <w:marTop w:val="0"/>
      <w:marBottom w:val="0"/>
      <w:divBdr>
        <w:top w:val="none" w:sz="0" w:space="0" w:color="auto"/>
        <w:left w:val="none" w:sz="0" w:space="0" w:color="auto"/>
        <w:bottom w:val="none" w:sz="0" w:space="0" w:color="auto"/>
        <w:right w:val="none" w:sz="0" w:space="0" w:color="auto"/>
      </w:divBdr>
    </w:div>
    <w:div w:id="392847426">
      <w:bodyDiv w:val="1"/>
      <w:marLeft w:val="0"/>
      <w:marRight w:val="0"/>
      <w:marTop w:val="0"/>
      <w:marBottom w:val="0"/>
      <w:divBdr>
        <w:top w:val="none" w:sz="0" w:space="0" w:color="auto"/>
        <w:left w:val="none" w:sz="0" w:space="0" w:color="auto"/>
        <w:bottom w:val="none" w:sz="0" w:space="0" w:color="auto"/>
        <w:right w:val="none" w:sz="0" w:space="0" w:color="auto"/>
      </w:divBdr>
    </w:div>
    <w:div w:id="392851687">
      <w:bodyDiv w:val="1"/>
      <w:marLeft w:val="0"/>
      <w:marRight w:val="0"/>
      <w:marTop w:val="0"/>
      <w:marBottom w:val="0"/>
      <w:divBdr>
        <w:top w:val="none" w:sz="0" w:space="0" w:color="auto"/>
        <w:left w:val="none" w:sz="0" w:space="0" w:color="auto"/>
        <w:bottom w:val="none" w:sz="0" w:space="0" w:color="auto"/>
        <w:right w:val="none" w:sz="0" w:space="0" w:color="auto"/>
      </w:divBdr>
    </w:div>
    <w:div w:id="392853939">
      <w:bodyDiv w:val="1"/>
      <w:marLeft w:val="0"/>
      <w:marRight w:val="0"/>
      <w:marTop w:val="0"/>
      <w:marBottom w:val="0"/>
      <w:divBdr>
        <w:top w:val="none" w:sz="0" w:space="0" w:color="auto"/>
        <w:left w:val="none" w:sz="0" w:space="0" w:color="auto"/>
        <w:bottom w:val="none" w:sz="0" w:space="0" w:color="auto"/>
        <w:right w:val="none" w:sz="0" w:space="0" w:color="auto"/>
      </w:divBdr>
    </w:div>
    <w:div w:id="392892337">
      <w:bodyDiv w:val="1"/>
      <w:marLeft w:val="0"/>
      <w:marRight w:val="0"/>
      <w:marTop w:val="0"/>
      <w:marBottom w:val="0"/>
      <w:divBdr>
        <w:top w:val="none" w:sz="0" w:space="0" w:color="auto"/>
        <w:left w:val="none" w:sz="0" w:space="0" w:color="auto"/>
        <w:bottom w:val="none" w:sz="0" w:space="0" w:color="auto"/>
        <w:right w:val="none" w:sz="0" w:space="0" w:color="auto"/>
      </w:divBdr>
    </w:div>
    <w:div w:id="392971010">
      <w:bodyDiv w:val="1"/>
      <w:marLeft w:val="0"/>
      <w:marRight w:val="0"/>
      <w:marTop w:val="0"/>
      <w:marBottom w:val="0"/>
      <w:divBdr>
        <w:top w:val="none" w:sz="0" w:space="0" w:color="auto"/>
        <w:left w:val="none" w:sz="0" w:space="0" w:color="auto"/>
        <w:bottom w:val="none" w:sz="0" w:space="0" w:color="auto"/>
        <w:right w:val="none" w:sz="0" w:space="0" w:color="auto"/>
      </w:divBdr>
    </w:div>
    <w:div w:id="392971778">
      <w:bodyDiv w:val="1"/>
      <w:marLeft w:val="0"/>
      <w:marRight w:val="0"/>
      <w:marTop w:val="0"/>
      <w:marBottom w:val="0"/>
      <w:divBdr>
        <w:top w:val="none" w:sz="0" w:space="0" w:color="auto"/>
        <w:left w:val="none" w:sz="0" w:space="0" w:color="auto"/>
        <w:bottom w:val="none" w:sz="0" w:space="0" w:color="auto"/>
        <w:right w:val="none" w:sz="0" w:space="0" w:color="auto"/>
      </w:divBdr>
    </w:div>
    <w:div w:id="392973673">
      <w:bodyDiv w:val="1"/>
      <w:marLeft w:val="0"/>
      <w:marRight w:val="0"/>
      <w:marTop w:val="0"/>
      <w:marBottom w:val="0"/>
      <w:divBdr>
        <w:top w:val="none" w:sz="0" w:space="0" w:color="auto"/>
        <w:left w:val="none" w:sz="0" w:space="0" w:color="auto"/>
        <w:bottom w:val="none" w:sz="0" w:space="0" w:color="auto"/>
        <w:right w:val="none" w:sz="0" w:space="0" w:color="auto"/>
      </w:divBdr>
    </w:div>
    <w:div w:id="393160543">
      <w:bodyDiv w:val="1"/>
      <w:marLeft w:val="0"/>
      <w:marRight w:val="0"/>
      <w:marTop w:val="0"/>
      <w:marBottom w:val="0"/>
      <w:divBdr>
        <w:top w:val="none" w:sz="0" w:space="0" w:color="auto"/>
        <w:left w:val="none" w:sz="0" w:space="0" w:color="auto"/>
        <w:bottom w:val="none" w:sz="0" w:space="0" w:color="auto"/>
        <w:right w:val="none" w:sz="0" w:space="0" w:color="auto"/>
      </w:divBdr>
    </w:div>
    <w:div w:id="393165826">
      <w:bodyDiv w:val="1"/>
      <w:marLeft w:val="0"/>
      <w:marRight w:val="0"/>
      <w:marTop w:val="0"/>
      <w:marBottom w:val="0"/>
      <w:divBdr>
        <w:top w:val="none" w:sz="0" w:space="0" w:color="auto"/>
        <w:left w:val="none" w:sz="0" w:space="0" w:color="auto"/>
        <w:bottom w:val="none" w:sz="0" w:space="0" w:color="auto"/>
        <w:right w:val="none" w:sz="0" w:space="0" w:color="auto"/>
      </w:divBdr>
    </w:div>
    <w:div w:id="393166096">
      <w:bodyDiv w:val="1"/>
      <w:marLeft w:val="0"/>
      <w:marRight w:val="0"/>
      <w:marTop w:val="0"/>
      <w:marBottom w:val="0"/>
      <w:divBdr>
        <w:top w:val="none" w:sz="0" w:space="0" w:color="auto"/>
        <w:left w:val="none" w:sz="0" w:space="0" w:color="auto"/>
        <w:bottom w:val="none" w:sz="0" w:space="0" w:color="auto"/>
        <w:right w:val="none" w:sz="0" w:space="0" w:color="auto"/>
      </w:divBdr>
    </w:div>
    <w:div w:id="393239087">
      <w:bodyDiv w:val="1"/>
      <w:marLeft w:val="0"/>
      <w:marRight w:val="0"/>
      <w:marTop w:val="0"/>
      <w:marBottom w:val="0"/>
      <w:divBdr>
        <w:top w:val="none" w:sz="0" w:space="0" w:color="auto"/>
        <w:left w:val="none" w:sz="0" w:space="0" w:color="auto"/>
        <w:bottom w:val="none" w:sz="0" w:space="0" w:color="auto"/>
        <w:right w:val="none" w:sz="0" w:space="0" w:color="auto"/>
      </w:divBdr>
    </w:div>
    <w:div w:id="393478342">
      <w:bodyDiv w:val="1"/>
      <w:marLeft w:val="0"/>
      <w:marRight w:val="0"/>
      <w:marTop w:val="0"/>
      <w:marBottom w:val="0"/>
      <w:divBdr>
        <w:top w:val="none" w:sz="0" w:space="0" w:color="auto"/>
        <w:left w:val="none" w:sz="0" w:space="0" w:color="auto"/>
        <w:bottom w:val="none" w:sz="0" w:space="0" w:color="auto"/>
        <w:right w:val="none" w:sz="0" w:space="0" w:color="auto"/>
      </w:divBdr>
    </w:div>
    <w:div w:id="393507639">
      <w:bodyDiv w:val="1"/>
      <w:marLeft w:val="0"/>
      <w:marRight w:val="0"/>
      <w:marTop w:val="0"/>
      <w:marBottom w:val="0"/>
      <w:divBdr>
        <w:top w:val="none" w:sz="0" w:space="0" w:color="auto"/>
        <w:left w:val="none" w:sz="0" w:space="0" w:color="auto"/>
        <w:bottom w:val="none" w:sz="0" w:space="0" w:color="auto"/>
        <w:right w:val="none" w:sz="0" w:space="0" w:color="auto"/>
      </w:divBdr>
    </w:div>
    <w:div w:id="393745325">
      <w:bodyDiv w:val="1"/>
      <w:marLeft w:val="0"/>
      <w:marRight w:val="0"/>
      <w:marTop w:val="0"/>
      <w:marBottom w:val="0"/>
      <w:divBdr>
        <w:top w:val="none" w:sz="0" w:space="0" w:color="auto"/>
        <w:left w:val="none" w:sz="0" w:space="0" w:color="auto"/>
        <w:bottom w:val="none" w:sz="0" w:space="0" w:color="auto"/>
        <w:right w:val="none" w:sz="0" w:space="0" w:color="auto"/>
      </w:divBdr>
    </w:div>
    <w:div w:id="393896737">
      <w:bodyDiv w:val="1"/>
      <w:marLeft w:val="0"/>
      <w:marRight w:val="0"/>
      <w:marTop w:val="0"/>
      <w:marBottom w:val="0"/>
      <w:divBdr>
        <w:top w:val="none" w:sz="0" w:space="0" w:color="auto"/>
        <w:left w:val="none" w:sz="0" w:space="0" w:color="auto"/>
        <w:bottom w:val="none" w:sz="0" w:space="0" w:color="auto"/>
        <w:right w:val="none" w:sz="0" w:space="0" w:color="auto"/>
      </w:divBdr>
    </w:div>
    <w:div w:id="393965560">
      <w:bodyDiv w:val="1"/>
      <w:marLeft w:val="0"/>
      <w:marRight w:val="0"/>
      <w:marTop w:val="0"/>
      <w:marBottom w:val="0"/>
      <w:divBdr>
        <w:top w:val="none" w:sz="0" w:space="0" w:color="auto"/>
        <w:left w:val="none" w:sz="0" w:space="0" w:color="auto"/>
        <w:bottom w:val="none" w:sz="0" w:space="0" w:color="auto"/>
        <w:right w:val="none" w:sz="0" w:space="0" w:color="auto"/>
      </w:divBdr>
    </w:div>
    <w:div w:id="393969036">
      <w:bodyDiv w:val="1"/>
      <w:marLeft w:val="0"/>
      <w:marRight w:val="0"/>
      <w:marTop w:val="0"/>
      <w:marBottom w:val="0"/>
      <w:divBdr>
        <w:top w:val="none" w:sz="0" w:space="0" w:color="auto"/>
        <w:left w:val="none" w:sz="0" w:space="0" w:color="auto"/>
        <w:bottom w:val="none" w:sz="0" w:space="0" w:color="auto"/>
        <w:right w:val="none" w:sz="0" w:space="0" w:color="auto"/>
      </w:divBdr>
    </w:div>
    <w:div w:id="394009973">
      <w:bodyDiv w:val="1"/>
      <w:marLeft w:val="0"/>
      <w:marRight w:val="0"/>
      <w:marTop w:val="0"/>
      <w:marBottom w:val="0"/>
      <w:divBdr>
        <w:top w:val="none" w:sz="0" w:space="0" w:color="auto"/>
        <w:left w:val="none" w:sz="0" w:space="0" w:color="auto"/>
        <w:bottom w:val="none" w:sz="0" w:space="0" w:color="auto"/>
        <w:right w:val="none" w:sz="0" w:space="0" w:color="auto"/>
      </w:divBdr>
    </w:div>
    <w:div w:id="394012800">
      <w:bodyDiv w:val="1"/>
      <w:marLeft w:val="0"/>
      <w:marRight w:val="0"/>
      <w:marTop w:val="0"/>
      <w:marBottom w:val="0"/>
      <w:divBdr>
        <w:top w:val="none" w:sz="0" w:space="0" w:color="auto"/>
        <w:left w:val="none" w:sz="0" w:space="0" w:color="auto"/>
        <w:bottom w:val="none" w:sz="0" w:space="0" w:color="auto"/>
        <w:right w:val="none" w:sz="0" w:space="0" w:color="auto"/>
      </w:divBdr>
    </w:div>
    <w:div w:id="394208845">
      <w:bodyDiv w:val="1"/>
      <w:marLeft w:val="0"/>
      <w:marRight w:val="0"/>
      <w:marTop w:val="0"/>
      <w:marBottom w:val="0"/>
      <w:divBdr>
        <w:top w:val="none" w:sz="0" w:space="0" w:color="auto"/>
        <w:left w:val="none" w:sz="0" w:space="0" w:color="auto"/>
        <w:bottom w:val="none" w:sz="0" w:space="0" w:color="auto"/>
        <w:right w:val="none" w:sz="0" w:space="0" w:color="auto"/>
      </w:divBdr>
    </w:div>
    <w:div w:id="394280891">
      <w:bodyDiv w:val="1"/>
      <w:marLeft w:val="0"/>
      <w:marRight w:val="0"/>
      <w:marTop w:val="0"/>
      <w:marBottom w:val="0"/>
      <w:divBdr>
        <w:top w:val="none" w:sz="0" w:space="0" w:color="auto"/>
        <w:left w:val="none" w:sz="0" w:space="0" w:color="auto"/>
        <w:bottom w:val="none" w:sz="0" w:space="0" w:color="auto"/>
        <w:right w:val="none" w:sz="0" w:space="0" w:color="auto"/>
      </w:divBdr>
    </w:div>
    <w:div w:id="394356281">
      <w:bodyDiv w:val="1"/>
      <w:marLeft w:val="0"/>
      <w:marRight w:val="0"/>
      <w:marTop w:val="0"/>
      <w:marBottom w:val="0"/>
      <w:divBdr>
        <w:top w:val="none" w:sz="0" w:space="0" w:color="auto"/>
        <w:left w:val="none" w:sz="0" w:space="0" w:color="auto"/>
        <w:bottom w:val="none" w:sz="0" w:space="0" w:color="auto"/>
        <w:right w:val="none" w:sz="0" w:space="0" w:color="auto"/>
      </w:divBdr>
    </w:div>
    <w:div w:id="394397419">
      <w:bodyDiv w:val="1"/>
      <w:marLeft w:val="0"/>
      <w:marRight w:val="0"/>
      <w:marTop w:val="0"/>
      <w:marBottom w:val="0"/>
      <w:divBdr>
        <w:top w:val="none" w:sz="0" w:space="0" w:color="auto"/>
        <w:left w:val="none" w:sz="0" w:space="0" w:color="auto"/>
        <w:bottom w:val="none" w:sz="0" w:space="0" w:color="auto"/>
        <w:right w:val="none" w:sz="0" w:space="0" w:color="auto"/>
      </w:divBdr>
    </w:div>
    <w:div w:id="394399921">
      <w:bodyDiv w:val="1"/>
      <w:marLeft w:val="0"/>
      <w:marRight w:val="0"/>
      <w:marTop w:val="0"/>
      <w:marBottom w:val="0"/>
      <w:divBdr>
        <w:top w:val="none" w:sz="0" w:space="0" w:color="auto"/>
        <w:left w:val="none" w:sz="0" w:space="0" w:color="auto"/>
        <w:bottom w:val="none" w:sz="0" w:space="0" w:color="auto"/>
        <w:right w:val="none" w:sz="0" w:space="0" w:color="auto"/>
      </w:divBdr>
    </w:div>
    <w:div w:id="394401918">
      <w:bodyDiv w:val="1"/>
      <w:marLeft w:val="0"/>
      <w:marRight w:val="0"/>
      <w:marTop w:val="0"/>
      <w:marBottom w:val="0"/>
      <w:divBdr>
        <w:top w:val="none" w:sz="0" w:space="0" w:color="auto"/>
        <w:left w:val="none" w:sz="0" w:space="0" w:color="auto"/>
        <w:bottom w:val="none" w:sz="0" w:space="0" w:color="auto"/>
        <w:right w:val="none" w:sz="0" w:space="0" w:color="auto"/>
      </w:divBdr>
    </w:div>
    <w:div w:id="394470118">
      <w:bodyDiv w:val="1"/>
      <w:marLeft w:val="0"/>
      <w:marRight w:val="0"/>
      <w:marTop w:val="0"/>
      <w:marBottom w:val="0"/>
      <w:divBdr>
        <w:top w:val="none" w:sz="0" w:space="0" w:color="auto"/>
        <w:left w:val="none" w:sz="0" w:space="0" w:color="auto"/>
        <w:bottom w:val="none" w:sz="0" w:space="0" w:color="auto"/>
        <w:right w:val="none" w:sz="0" w:space="0" w:color="auto"/>
      </w:divBdr>
    </w:div>
    <w:div w:id="394594278">
      <w:bodyDiv w:val="1"/>
      <w:marLeft w:val="0"/>
      <w:marRight w:val="0"/>
      <w:marTop w:val="0"/>
      <w:marBottom w:val="0"/>
      <w:divBdr>
        <w:top w:val="none" w:sz="0" w:space="0" w:color="auto"/>
        <w:left w:val="none" w:sz="0" w:space="0" w:color="auto"/>
        <w:bottom w:val="none" w:sz="0" w:space="0" w:color="auto"/>
        <w:right w:val="none" w:sz="0" w:space="0" w:color="auto"/>
      </w:divBdr>
    </w:div>
    <w:div w:id="394863349">
      <w:bodyDiv w:val="1"/>
      <w:marLeft w:val="0"/>
      <w:marRight w:val="0"/>
      <w:marTop w:val="0"/>
      <w:marBottom w:val="0"/>
      <w:divBdr>
        <w:top w:val="none" w:sz="0" w:space="0" w:color="auto"/>
        <w:left w:val="none" w:sz="0" w:space="0" w:color="auto"/>
        <w:bottom w:val="none" w:sz="0" w:space="0" w:color="auto"/>
        <w:right w:val="none" w:sz="0" w:space="0" w:color="auto"/>
      </w:divBdr>
    </w:div>
    <w:div w:id="394936392">
      <w:bodyDiv w:val="1"/>
      <w:marLeft w:val="0"/>
      <w:marRight w:val="0"/>
      <w:marTop w:val="0"/>
      <w:marBottom w:val="0"/>
      <w:divBdr>
        <w:top w:val="none" w:sz="0" w:space="0" w:color="auto"/>
        <w:left w:val="none" w:sz="0" w:space="0" w:color="auto"/>
        <w:bottom w:val="none" w:sz="0" w:space="0" w:color="auto"/>
        <w:right w:val="none" w:sz="0" w:space="0" w:color="auto"/>
      </w:divBdr>
    </w:div>
    <w:div w:id="395055546">
      <w:bodyDiv w:val="1"/>
      <w:marLeft w:val="0"/>
      <w:marRight w:val="0"/>
      <w:marTop w:val="0"/>
      <w:marBottom w:val="0"/>
      <w:divBdr>
        <w:top w:val="none" w:sz="0" w:space="0" w:color="auto"/>
        <w:left w:val="none" w:sz="0" w:space="0" w:color="auto"/>
        <w:bottom w:val="none" w:sz="0" w:space="0" w:color="auto"/>
        <w:right w:val="none" w:sz="0" w:space="0" w:color="auto"/>
      </w:divBdr>
    </w:div>
    <w:div w:id="395058669">
      <w:bodyDiv w:val="1"/>
      <w:marLeft w:val="0"/>
      <w:marRight w:val="0"/>
      <w:marTop w:val="0"/>
      <w:marBottom w:val="0"/>
      <w:divBdr>
        <w:top w:val="none" w:sz="0" w:space="0" w:color="auto"/>
        <w:left w:val="none" w:sz="0" w:space="0" w:color="auto"/>
        <w:bottom w:val="none" w:sz="0" w:space="0" w:color="auto"/>
        <w:right w:val="none" w:sz="0" w:space="0" w:color="auto"/>
      </w:divBdr>
    </w:div>
    <w:div w:id="395130132">
      <w:bodyDiv w:val="1"/>
      <w:marLeft w:val="0"/>
      <w:marRight w:val="0"/>
      <w:marTop w:val="0"/>
      <w:marBottom w:val="0"/>
      <w:divBdr>
        <w:top w:val="none" w:sz="0" w:space="0" w:color="auto"/>
        <w:left w:val="none" w:sz="0" w:space="0" w:color="auto"/>
        <w:bottom w:val="none" w:sz="0" w:space="0" w:color="auto"/>
        <w:right w:val="none" w:sz="0" w:space="0" w:color="auto"/>
      </w:divBdr>
    </w:div>
    <w:div w:id="395202775">
      <w:bodyDiv w:val="1"/>
      <w:marLeft w:val="0"/>
      <w:marRight w:val="0"/>
      <w:marTop w:val="0"/>
      <w:marBottom w:val="0"/>
      <w:divBdr>
        <w:top w:val="none" w:sz="0" w:space="0" w:color="auto"/>
        <w:left w:val="none" w:sz="0" w:space="0" w:color="auto"/>
        <w:bottom w:val="none" w:sz="0" w:space="0" w:color="auto"/>
        <w:right w:val="none" w:sz="0" w:space="0" w:color="auto"/>
      </w:divBdr>
    </w:div>
    <w:div w:id="395402136">
      <w:bodyDiv w:val="1"/>
      <w:marLeft w:val="0"/>
      <w:marRight w:val="0"/>
      <w:marTop w:val="0"/>
      <w:marBottom w:val="0"/>
      <w:divBdr>
        <w:top w:val="none" w:sz="0" w:space="0" w:color="auto"/>
        <w:left w:val="none" w:sz="0" w:space="0" w:color="auto"/>
        <w:bottom w:val="none" w:sz="0" w:space="0" w:color="auto"/>
        <w:right w:val="none" w:sz="0" w:space="0" w:color="auto"/>
      </w:divBdr>
    </w:div>
    <w:div w:id="395665013">
      <w:bodyDiv w:val="1"/>
      <w:marLeft w:val="0"/>
      <w:marRight w:val="0"/>
      <w:marTop w:val="0"/>
      <w:marBottom w:val="0"/>
      <w:divBdr>
        <w:top w:val="none" w:sz="0" w:space="0" w:color="auto"/>
        <w:left w:val="none" w:sz="0" w:space="0" w:color="auto"/>
        <w:bottom w:val="none" w:sz="0" w:space="0" w:color="auto"/>
        <w:right w:val="none" w:sz="0" w:space="0" w:color="auto"/>
      </w:divBdr>
    </w:div>
    <w:div w:id="395787945">
      <w:bodyDiv w:val="1"/>
      <w:marLeft w:val="0"/>
      <w:marRight w:val="0"/>
      <w:marTop w:val="0"/>
      <w:marBottom w:val="0"/>
      <w:divBdr>
        <w:top w:val="none" w:sz="0" w:space="0" w:color="auto"/>
        <w:left w:val="none" w:sz="0" w:space="0" w:color="auto"/>
        <w:bottom w:val="none" w:sz="0" w:space="0" w:color="auto"/>
        <w:right w:val="none" w:sz="0" w:space="0" w:color="auto"/>
      </w:divBdr>
    </w:div>
    <w:div w:id="396053245">
      <w:bodyDiv w:val="1"/>
      <w:marLeft w:val="0"/>
      <w:marRight w:val="0"/>
      <w:marTop w:val="0"/>
      <w:marBottom w:val="0"/>
      <w:divBdr>
        <w:top w:val="none" w:sz="0" w:space="0" w:color="auto"/>
        <w:left w:val="none" w:sz="0" w:space="0" w:color="auto"/>
        <w:bottom w:val="none" w:sz="0" w:space="0" w:color="auto"/>
        <w:right w:val="none" w:sz="0" w:space="0" w:color="auto"/>
      </w:divBdr>
    </w:div>
    <w:div w:id="396099720">
      <w:bodyDiv w:val="1"/>
      <w:marLeft w:val="0"/>
      <w:marRight w:val="0"/>
      <w:marTop w:val="0"/>
      <w:marBottom w:val="0"/>
      <w:divBdr>
        <w:top w:val="none" w:sz="0" w:space="0" w:color="auto"/>
        <w:left w:val="none" w:sz="0" w:space="0" w:color="auto"/>
        <w:bottom w:val="none" w:sz="0" w:space="0" w:color="auto"/>
        <w:right w:val="none" w:sz="0" w:space="0" w:color="auto"/>
      </w:divBdr>
    </w:div>
    <w:div w:id="396130748">
      <w:bodyDiv w:val="1"/>
      <w:marLeft w:val="0"/>
      <w:marRight w:val="0"/>
      <w:marTop w:val="0"/>
      <w:marBottom w:val="0"/>
      <w:divBdr>
        <w:top w:val="none" w:sz="0" w:space="0" w:color="auto"/>
        <w:left w:val="none" w:sz="0" w:space="0" w:color="auto"/>
        <w:bottom w:val="none" w:sz="0" w:space="0" w:color="auto"/>
        <w:right w:val="none" w:sz="0" w:space="0" w:color="auto"/>
      </w:divBdr>
    </w:div>
    <w:div w:id="396241971">
      <w:bodyDiv w:val="1"/>
      <w:marLeft w:val="0"/>
      <w:marRight w:val="0"/>
      <w:marTop w:val="0"/>
      <w:marBottom w:val="0"/>
      <w:divBdr>
        <w:top w:val="none" w:sz="0" w:space="0" w:color="auto"/>
        <w:left w:val="none" w:sz="0" w:space="0" w:color="auto"/>
        <w:bottom w:val="none" w:sz="0" w:space="0" w:color="auto"/>
        <w:right w:val="none" w:sz="0" w:space="0" w:color="auto"/>
      </w:divBdr>
    </w:div>
    <w:div w:id="396322425">
      <w:bodyDiv w:val="1"/>
      <w:marLeft w:val="0"/>
      <w:marRight w:val="0"/>
      <w:marTop w:val="0"/>
      <w:marBottom w:val="0"/>
      <w:divBdr>
        <w:top w:val="none" w:sz="0" w:space="0" w:color="auto"/>
        <w:left w:val="none" w:sz="0" w:space="0" w:color="auto"/>
        <w:bottom w:val="none" w:sz="0" w:space="0" w:color="auto"/>
        <w:right w:val="none" w:sz="0" w:space="0" w:color="auto"/>
      </w:divBdr>
    </w:div>
    <w:div w:id="396366787">
      <w:bodyDiv w:val="1"/>
      <w:marLeft w:val="0"/>
      <w:marRight w:val="0"/>
      <w:marTop w:val="0"/>
      <w:marBottom w:val="0"/>
      <w:divBdr>
        <w:top w:val="none" w:sz="0" w:space="0" w:color="auto"/>
        <w:left w:val="none" w:sz="0" w:space="0" w:color="auto"/>
        <w:bottom w:val="none" w:sz="0" w:space="0" w:color="auto"/>
        <w:right w:val="none" w:sz="0" w:space="0" w:color="auto"/>
      </w:divBdr>
    </w:div>
    <w:div w:id="396367451">
      <w:bodyDiv w:val="1"/>
      <w:marLeft w:val="0"/>
      <w:marRight w:val="0"/>
      <w:marTop w:val="0"/>
      <w:marBottom w:val="0"/>
      <w:divBdr>
        <w:top w:val="none" w:sz="0" w:space="0" w:color="auto"/>
        <w:left w:val="none" w:sz="0" w:space="0" w:color="auto"/>
        <w:bottom w:val="none" w:sz="0" w:space="0" w:color="auto"/>
        <w:right w:val="none" w:sz="0" w:space="0" w:color="auto"/>
      </w:divBdr>
    </w:div>
    <w:div w:id="396514003">
      <w:bodyDiv w:val="1"/>
      <w:marLeft w:val="0"/>
      <w:marRight w:val="0"/>
      <w:marTop w:val="0"/>
      <w:marBottom w:val="0"/>
      <w:divBdr>
        <w:top w:val="none" w:sz="0" w:space="0" w:color="auto"/>
        <w:left w:val="none" w:sz="0" w:space="0" w:color="auto"/>
        <w:bottom w:val="none" w:sz="0" w:space="0" w:color="auto"/>
        <w:right w:val="none" w:sz="0" w:space="0" w:color="auto"/>
      </w:divBdr>
    </w:div>
    <w:div w:id="396588458">
      <w:bodyDiv w:val="1"/>
      <w:marLeft w:val="0"/>
      <w:marRight w:val="0"/>
      <w:marTop w:val="0"/>
      <w:marBottom w:val="0"/>
      <w:divBdr>
        <w:top w:val="none" w:sz="0" w:space="0" w:color="auto"/>
        <w:left w:val="none" w:sz="0" w:space="0" w:color="auto"/>
        <w:bottom w:val="none" w:sz="0" w:space="0" w:color="auto"/>
        <w:right w:val="none" w:sz="0" w:space="0" w:color="auto"/>
      </w:divBdr>
    </w:div>
    <w:div w:id="396629662">
      <w:bodyDiv w:val="1"/>
      <w:marLeft w:val="0"/>
      <w:marRight w:val="0"/>
      <w:marTop w:val="0"/>
      <w:marBottom w:val="0"/>
      <w:divBdr>
        <w:top w:val="none" w:sz="0" w:space="0" w:color="auto"/>
        <w:left w:val="none" w:sz="0" w:space="0" w:color="auto"/>
        <w:bottom w:val="none" w:sz="0" w:space="0" w:color="auto"/>
        <w:right w:val="none" w:sz="0" w:space="0" w:color="auto"/>
      </w:divBdr>
    </w:div>
    <w:div w:id="396631629">
      <w:bodyDiv w:val="1"/>
      <w:marLeft w:val="0"/>
      <w:marRight w:val="0"/>
      <w:marTop w:val="0"/>
      <w:marBottom w:val="0"/>
      <w:divBdr>
        <w:top w:val="none" w:sz="0" w:space="0" w:color="auto"/>
        <w:left w:val="none" w:sz="0" w:space="0" w:color="auto"/>
        <w:bottom w:val="none" w:sz="0" w:space="0" w:color="auto"/>
        <w:right w:val="none" w:sz="0" w:space="0" w:color="auto"/>
      </w:divBdr>
    </w:div>
    <w:div w:id="396704727">
      <w:bodyDiv w:val="1"/>
      <w:marLeft w:val="0"/>
      <w:marRight w:val="0"/>
      <w:marTop w:val="0"/>
      <w:marBottom w:val="0"/>
      <w:divBdr>
        <w:top w:val="none" w:sz="0" w:space="0" w:color="auto"/>
        <w:left w:val="none" w:sz="0" w:space="0" w:color="auto"/>
        <w:bottom w:val="none" w:sz="0" w:space="0" w:color="auto"/>
        <w:right w:val="none" w:sz="0" w:space="0" w:color="auto"/>
      </w:divBdr>
    </w:div>
    <w:div w:id="396708203">
      <w:bodyDiv w:val="1"/>
      <w:marLeft w:val="0"/>
      <w:marRight w:val="0"/>
      <w:marTop w:val="0"/>
      <w:marBottom w:val="0"/>
      <w:divBdr>
        <w:top w:val="none" w:sz="0" w:space="0" w:color="auto"/>
        <w:left w:val="none" w:sz="0" w:space="0" w:color="auto"/>
        <w:bottom w:val="none" w:sz="0" w:space="0" w:color="auto"/>
        <w:right w:val="none" w:sz="0" w:space="0" w:color="auto"/>
      </w:divBdr>
    </w:div>
    <w:div w:id="396710867">
      <w:bodyDiv w:val="1"/>
      <w:marLeft w:val="0"/>
      <w:marRight w:val="0"/>
      <w:marTop w:val="0"/>
      <w:marBottom w:val="0"/>
      <w:divBdr>
        <w:top w:val="none" w:sz="0" w:space="0" w:color="auto"/>
        <w:left w:val="none" w:sz="0" w:space="0" w:color="auto"/>
        <w:bottom w:val="none" w:sz="0" w:space="0" w:color="auto"/>
        <w:right w:val="none" w:sz="0" w:space="0" w:color="auto"/>
      </w:divBdr>
    </w:div>
    <w:div w:id="396779267">
      <w:bodyDiv w:val="1"/>
      <w:marLeft w:val="0"/>
      <w:marRight w:val="0"/>
      <w:marTop w:val="0"/>
      <w:marBottom w:val="0"/>
      <w:divBdr>
        <w:top w:val="none" w:sz="0" w:space="0" w:color="auto"/>
        <w:left w:val="none" w:sz="0" w:space="0" w:color="auto"/>
        <w:bottom w:val="none" w:sz="0" w:space="0" w:color="auto"/>
        <w:right w:val="none" w:sz="0" w:space="0" w:color="auto"/>
      </w:divBdr>
    </w:div>
    <w:div w:id="396783445">
      <w:bodyDiv w:val="1"/>
      <w:marLeft w:val="0"/>
      <w:marRight w:val="0"/>
      <w:marTop w:val="0"/>
      <w:marBottom w:val="0"/>
      <w:divBdr>
        <w:top w:val="none" w:sz="0" w:space="0" w:color="auto"/>
        <w:left w:val="none" w:sz="0" w:space="0" w:color="auto"/>
        <w:bottom w:val="none" w:sz="0" w:space="0" w:color="auto"/>
        <w:right w:val="none" w:sz="0" w:space="0" w:color="auto"/>
      </w:divBdr>
    </w:div>
    <w:div w:id="396821512">
      <w:bodyDiv w:val="1"/>
      <w:marLeft w:val="0"/>
      <w:marRight w:val="0"/>
      <w:marTop w:val="0"/>
      <w:marBottom w:val="0"/>
      <w:divBdr>
        <w:top w:val="none" w:sz="0" w:space="0" w:color="auto"/>
        <w:left w:val="none" w:sz="0" w:space="0" w:color="auto"/>
        <w:bottom w:val="none" w:sz="0" w:space="0" w:color="auto"/>
        <w:right w:val="none" w:sz="0" w:space="0" w:color="auto"/>
      </w:divBdr>
    </w:div>
    <w:div w:id="396822888">
      <w:bodyDiv w:val="1"/>
      <w:marLeft w:val="0"/>
      <w:marRight w:val="0"/>
      <w:marTop w:val="0"/>
      <w:marBottom w:val="0"/>
      <w:divBdr>
        <w:top w:val="none" w:sz="0" w:space="0" w:color="auto"/>
        <w:left w:val="none" w:sz="0" w:space="0" w:color="auto"/>
        <w:bottom w:val="none" w:sz="0" w:space="0" w:color="auto"/>
        <w:right w:val="none" w:sz="0" w:space="0" w:color="auto"/>
      </w:divBdr>
    </w:div>
    <w:div w:id="396900222">
      <w:bodyDiv w:val="1"/>
      <w:marLeft w:val="0"/>
      <w:marRight w:val="0"/>
      <w:marTop w:val="0"/>
      <w:marBottom w:val="0"/>
      <w:divBdr>
        <w:top w:val="none" w:sz="0" w:space="0" w:color="auto"/>
        <w:left w:val="none" w:sz="0" w:space="0" w:color="auto"/>
        <w:bottom w:val="none" w:sz="0" w:space="0" w:color="auto"/>
        <w:right w:val="none" w:sz="0" w:space="0" w:color="auto"/>
      </w:divBdr>
    </w:div>
    <w:div w:id="396902183">
      <w:bodyDiv w:val="1"/>
      <w:marLeft w:val="0"/>
      <w:marRight w:val="0"/>
      <w:marTop w:val="0"/>
      <w:marBottom w:val="0"/>
      <w:divBdr>
        <w:top w:val="none" w:sz="0" w:space="0" w:color="auto"/>
        <w:left w:val="none" w:sz="0" w:space="0" w:color="auto"/>
        <w:bottom w:val="none" w:sz="0" w:space="0" w:color="auto"/>
        <w:right w:val="none" w:sz="0" w:space="0" w:color="auto"/>
      </w:divBdr>
    </w:div>
    <w:div w:id="397018629">
      <w:bodyDiv w:val="1"/>
      <w:marLeft w:val="0"/>
      <w:marRight w:val="0"/>
      <w:marTop w:val="0"/>
      <w:marBottom w:val="0"/>
      <w:divBdr>
        <w:top w:val="none" w:sz="0" w:space="0" w:color="auto"/>
        <w:left w:val="none" w:sz="0" w:space="0" w:color="auto"/>
        <w:bottom w:val="none" w:sz="0" w:space="0" w:color="auto"/>
        <w:right w:val="none" w:sz="0" w:space="0" w:color="auto"/>
      </w:divBdr>
    </w:div>
    <w:div w:id="397048629">
      <w:bodyDiv w:val="1"/>
      <w:marLeft w:val="0"/>
      <w:marRight w:val="0"/>
      <w:marTop w:val="0"/>
      <w:marBottom w:val="0"/>
      <w:divBdr>
        <w:top w:val="none" w:sz="0" w:space="0" w:color="auto"/>
        <w:left w:val="none" w:sz="0" w:space="0" w:color="auto"/>
        <w:bottom w:val="none" w:sz="0" w:space="0" w:color="auto"/>
        <w:right w:val="none" w:sz="0" w:space="0" w:color="auto"/>
      </w:divBdr>
    </w:div>
    <w:div w:id="397174581">
      <w:bodyDiv w:val="1"/>
      <w:marLeft w:val="0"/>
      <w:marRight w:val="0"/>
      <w:marTop w:val="0"/>
      <w:marBottom w:val="0"/>
      <w:divBdr>
        <w:top w:val="none" w:sz="0" w:space="0" w:color="auto"/>
        <w:left w:val="none" w:sz="0" w:space="0" w:color="auto"/>
        <w:bottom w:val="none" w:sz="0" w:space="0" w:color="auto"/>
        <w:right w:val="none" w:sz="0" w:space="0" w:color="auto"/>
      </w:divBdr>
    </w:div>
    <w:div w:id="397291193">
      <w:bodyDiv w:val="1"/>
      <w:marLeft w:val="0"/>
      <w:marRight w:val="0"/>
      <w:marTop w:val="0"/>
      <w:marBottom w:val="0"/>
      <w:divBdr>
        <w:top w:val="none" w:sz="0" w:space="0" w:color="auto"/>
        <w:left w:val="none" w:sz="0" w:space="0" w:color="auto"/>
        <w:bottom w:val="none" w:sz="0" w:space="0" w:color="auto"/>
        <w:right w:val="none" w:sz="0" w:space="0" w:color="auto"/>
      </w:divBdr>
    </w:div>
    <w:div w:id="397365061">
      <w:bodyDiv w:val="1"/>
      <w:marLeft w:val="0"/>
      <w:marRight w:val="0"/>
      <w:marTop w:val="0"/>
      <w:marBottom w:val="0"/>
      <w:divBdr>
        <w:top w:val="none" w:sz="0" w:space="0" w:color="auto"/>
        <w:left w:val="none" w:sz="0" w:space="0" w:color="auto"/>
        <w:bottom w:val="none" w:sz="0" w:space="0" w:color="auto"/>
        <w:right w:val="none" w:sz="0" w:space="0" w:color="auto"/>
      </w:divBdr>
    </w:div>
    <w:div w:id="397410475">
      <w:bodyDiv w:val="1"/>
      <w:marLeft w:val="0"/>
      <w:marRight w:val="0"/>
      <w:marTop w:val="0"/>
      <w:marBottom w:val="0"/>
      <w:divBdr>
        <w:top w:val="none" w:sz="0" w:space="0" w:color="auto"/>
        <w:left w:val="none" w:sz="0" w:space="0" w:color="auto"/>
        <w:bottom w:val="none" w:sz="0" w:space="0" w:color="auto"/>
        <w:right w:val="none" w:sz="0" w:space="0" w:color="auto"/>
      </w:divBdr>
    </w:div>
    <w:div w:id="397434501">
      <w:bodyDiv w:val="1"/>
      <w:marLeft w:val="0"/>
      <w:marRight w:val="0"/>
      <w:marTop w:val="0"/>
      <w:marBottom w:val="0"/>
      <w:divBdr>
        <w:top w:val="none" w:sz="0" w:space="0" w:color="auto"/>
        <w:left w:val="none" w:sz="0" w:space="0" w:color="auto"/>
        <w:bottom w:val="none" w:sz="0" w:space="0" w:color="auto"/>
        <w:right w:val="none" w:sz="0" w:space="0" w:color="auto"/>
      </w:divBdr>
    </w:div>
    <w:div w:id="397479548">
      <w:bodyDiv w:val="1"/>
      <w:marLeft w:val="0"/>
      <w:marRight w:val="0"/>
      <w:marTop w:val="0"/>
      <w:marBottom w:val="0"/>
      <w:divBdr>
        <w:top w:val="none" w:sz="0" w:space="0" w:color="auto"/>
        <w:left w:val="none" w:sz="0" w:space="0" w:color="auto"/>
        <w:bottom w:val="none" w:sz="0" w:space="0" w:color="auto"/>
        <w:right w:val="none" w:sz="0" w:space="0" w:color="auto"/>
      </w:divBdr>
    </w:div>
    <w:div w:id="397627663">
      <w:bodyDiv w:val="1"/>
      <w:marLeft w:val="0"/>
      <w:marRight w:val="0"/>
      <w:marTop w:val="0"/>
      <w:marBottom w:val="0"/>
      <w:divBdr>
        <w:top w:val="none" w:sz="0" w:space="0" w:color="auto"/>
        <w:left w:val="none" w:sz="0" w:space="0" w:color="auto"/>
        <w:bottom w:val="none" w:sz="0" w:space="0" w:color="auto"/>
        <w:right w:val="none" w:sz="0" w:space="0" w:color="auto"/>
      </w:divBdr>
    </w:div>
    <w:div w:id="397636255">
      <w:bodyDiv w:val="1"/>
      <w:marLeft w:val="0"/>
      <w:marRight w:val="0"/>
      <w:marTop w:val="0"/>
      <w:marBottom w:val="0"/>
      <w:divBdr>
        <w:top w:val="none" w:sz="0" w:space="0" w:color="auto"/>
        <w:left w:val="none" w:sz="0" w:space="0" w:color="auto"/>
        <w:bottom w:val="none" w:sz="0" w:space="0" w:color="auto"/>
        <w:right w:val="none" w:sz="0" w:space="0" w:color="auto"/>
      </w:divBdr>
    </w:div>
    <w:div w:id="397824192">
      <w:bodyDiv w:val="1"/>
      <w:marLeft w:val="0"/>
      <w:marRight w:val="0"/>
      <w:marTop w:val="0"/>
      <w:marBottom w:val="0"/>
      <w:divBdr>
        <w:top w:val="none" w:sz="0" w:space="0" w:color="auto"/>
        <w:left w:val="none" w:sz="0" w:space="0" w:color="auto"/>
        <w:bottom w:val="none" w:sz="0" w:space="0" w:color="auto"/>
        <w:right w:val="none" w:sz="0" w:space="0" w:color="auto"/>
      </w:divBdr>
    </w:div>
    <w:div w:id="397830409">
      <w:bodyDiv w:val="1"/>
      <w:marLeft w:val="0"/>
      <w:marRight w:val="0"/>
      <w:marTop w:val="0"/>
      <w:marBottom w:val="0"/>
      <w:divBdr>
        <w:top w:val="none" w:sz="0" w:space="0" w:color="auto"/>
        <w:left w:val="none" w:sz="0" w:space="0" w:color="auto"/>
        <w:bottom w:val="none" w:sz="0" w:space="0" w:color="auto"/>
        <w:right w:val="none" w:sz="0" w:space="0" w:color="auto"/>
      </w:divBdr>
    </w:div>
    <w:div w:id="397940960">
      <w:bodyDiv w:val="1"/>
      <w:marLeft w:val="0"/>
      <w:marRight w:val="0"/>
      <w:marTop w:val="0"/>
      <w:marBottom w:val="0"/>
      <w:divBdr>
        <w:top w:val="none" w:sz="0" w:space="0" w:color="auto"/>
        <w:left w:val="none" w:sz="0" w:space="0" w:color="auto"/>
        <w:bottom w:val="none" w:sz="0" w:space="0" w:color="auto"/>
        <w:right w:val="none" w:sz="0" w:space="0" w:color="auto"/>
      </w:divBdr>
    </w:div>
    <w:div w:id="397941417">
      <w:bodyDiv w:val="1"/>
      <w:marLeft w:val="0"/>
      <w:marRight w:val="0"/>
      <w:marTop w:val="0"/>
      <w:marBottom w:val="0"/>
      <w:divBdr>
        <w:top w:val="none" w:sz="0" w:space="0" w:color="auto"/>
        <w:left w:val="none" w:sz="0" w:space="0" w:color="auto"/>
        <w:bottom w:val="none" w:sz="0" w:space="0" w:color="auto"/>
        <w:right w:val="none" w:sz="0" w:space="0" w:color="auto"/>
      </w:divBdr>
    </w:div>
    <w:div w:id="397944170">
      <w:bodyDiv w:val="1"/>
      <w:marLeft w:val="0"/>
      <w:marRight w:val="0"/>
      <w:marTop w:val="0"/>
      <w:marBottom w:val="0"/>
      <w:divBdr>
        <w:top w:val="none" w:sz="0" w:space="0" w:color="auto"/>
        <w:left w:val="none" w:sz="0" w:space="0" w:color="auto"/>
        <w:bottom w:val="none" w:sz="0" w:space="0" w:color="auto"/>
        <w:right w:val="none" w:sz="0" w:space="0" w:color="auto"/>
      </w:divBdr>
    </w:div>
    <w:div w:id="397946011">
      <w:bodyDiv w:val="1"/>
      <w:marLeft w:val="0"/>
      <w:marRight w:val="0"/>
      <w:marTop w:val="0"/>
      <w:marBottom w:val="0"/>
      <w:divBdr>
        <w:top w:val="none" w:sz="0" w:space="0" w:color="auto"/>
        <w:left w:val="none" w:sz="0" w:space="0" w:color="auto"/>
        <w:bottom w:val="none" w:sz="0" w:space="0" w:color="auto"/>
        <w:right w:val="none" w:sz="0" w:space="0" w:color="auto"/>
      </w:divBdr>
    </w:div>
    <w:div w:id="398214299">
      <w:bodyDiv w:val="1"/>
      <w:marLeft w:val="0"/>
      <w:marRight w:val="0"/>
      <w:marTop w:val="0"/>
      <w:marBottom w:val="0"/>
      <w:divBdr>
        <w:top w:val="none" w:sz="0" w:space="0" w:color="auto"/>
        <w:left w:val="none" w:sz="0" w:space="0" w:color="auto"/>
        <w:bottom w:val="none" w:sz="0" w:space="0" w:color="auto"/>
        <w:right w:val="none" w:sz="0" w:space="0" w:color="auto"/>
      </w:divBdr>
    </w:div>
    <w:div w:id="398290045">
      <w:bodyDiv w:val="1"/>
      <w:marLeft w:val="0"/>
      <w:marRight w:val="0"/>
      <w:marTop w:val="0"/>
      <w:marBottom w:val="0"/>
      <w:divBdr>
        <w:top w:val="none" w:sz="0" w:space="0" w:color="auto"/>
        <w:left w:val="none" w:sz="0" w:space="0" w:color="auto"/>
        <w:bottom w:val="none" w:sz="0" w:space="0" w:color="auto"/>
        <w:right w:val="none" w:sz="0" w:space="0" w:color="auto"/>
      </w:divBdr>
    </w:div>
    <w:div w:id="398483871">
      <w:bodyDiv w:val="1"/>
      <w:marLeft w:val="0"/>
      <w:marRight w:val="0"/>
      <w:marTop w:val="0"/>
      <w:marBottom w:val="0"/>
      <w:divBdr>
        <w:top w:val="none" w:sz="0" w:space="0" w:color="auto"/>
        <w:left w:val="none" w:sz="0" w:space="0" w:color="auto"/>
        <w:bottom w:val="none" w:sz="0" w:space="0" w:color="auto"/>
        <w:right w:val="none" w:sz="0" w:space="0" w:color="auto"/>
      </w:divBdr>
    </w:div>
    <w:div w:id="398484231">
      <w:bodyDiv w:val="1"/>
      <w:marLeft w:val="0"/>
      <w:marRight w:val="0"/>
      <w:marTop w:val="0"/>
      <w:marBottom w:val="0"/>
      <w:divBdr>
        <w:top w:val="none" w:sz="0" w:space="0" w:color="auto"/>
        <w:left w:val="none" w:sz="0" w:space="0" w:color="auto"/>
        <w:bottom w:val="none" w:sz="0" w:space="0" w:color="auto"/>
        <w:right w:val="none" w:sz="0" w:space="0" w:color="auto"/>
      </w:divBdr>
    </w:div>
    <w:div w:id="398596486">
      <w:bodyDiv w:val="1"/>
      <w:marLeft w:val="0"/>
      <w:marRight w:val="0"/>
      <w:marTop w:val="0"/>
      <w:marBottom w:val="0"/>
      <w:divBdr>
        <w:top w:val="none" w:sz="0" w:space="0" w:color="auto"/>
        <w:left w:val="none" w:sz="0" w:space="0" w:color="auto"/>
        <w:bottom w:val="none" w:sz="0" w:space="0" w:color="auto"/>
        <w:right w:val="none" w:sz="0" w:space="0" w:color="auto"/>
      </w:divBdr>
    </w:div>
    <w:div w:id="398746402">
      <w:bodyDiv w:val="1"/>
      <w:marLeft w:val="0"/>
      <w:marRight w:val="0"/>
      <w:marTop w:val="0"/>
      <w:marBottom w:val="0"/>
      <w:divBdr>
        <w:top w:val="none" w:sz="0" w:space="0" w:color="auto"/>
        <w:left w:val="none" w:sz="0" w:space="0" w:color="auto"/>
        <w:bottom w:val="none" w:sz="0" w:space="0" w:color="auto"/>
        <w:right w:val="none" w:sz="0" w:space="0" w:color="auto"/>
      </w:divBdr>
    </w:div>
    <w:div w:id="398792231">
      <w:bodyDiv w:val="1"/>
      <w:marLeft w:val="0"/>
      <w:marRight w:val="0"/>
      <w:marTop w:val="0"/>
      <w:marBottom w:val="0"/>
      <w:divBdr>
        <w:top w:val="none" w:sz="0" w:space="0" w:color="auto"/>
        <w:left w:val="none" w:sz="0" w:space="0" w:color="auto"/>
        <w:bottom w:val="none" w:sz="0" w:space="0" w:color="auto"/>
        <w:right w:val="none" w:sz="0" w:space="0" w:color="auto"/>
      </w:divBdr>
    </w:div>
    <w:div w:id="398945766">
      <w:bodyDiv w:val="1"/>
      <w:marLeft w:val="0"/>
      <w:marRight w:val="0"/>
      <w:marTop w:val="0"/>
      <w:marBottom w:val="0"/>
      <w:divBdr>
        <w:top w:val="none" w:sz="0" w:space="0" w:color="auto"/>
        <w:left w:val="none" w:sz="0" w:space="0" w:color="auto"/>
        <w:bottom w:val="none" w:sz="0" w:space="0" w:color="auto"/>
        <w:right w:val="none" w:sz="0" w:space="0" w:color="auto"/>
      </w:divBdr>
    </w:div>
    <w:div w:id="399065091">
      <w:bodyDiv w:val="1"/>
      <w:marLeft w:val="0"/>
      <w:marRight w:val="0"/>
      <w:marTop w:val="0"/>
      <w:marBottom w:val="0"/>
      <w:divBdr>
        <w:top w:val="none" w:sz="0" w:space="0" w:color="auto"/>
        <w:left w:val="none" w:sz="0" w:space="0" w:color="auto"/>
        <w:bottom w:val="none" w:sz="0" w:space="0" w:color="auto"/>
        <w:right w:val="none" w:sz="0" w:space="0" w:color="auto"/>
      </w:divBdr>
    </w:div>
    <w:div w:id="399135444">
      <w:bodyDiv w:val="1"/>
      <w:marLeft w:val="0"/>
      <w:marRight w:val="0"/>
      <w:marTop w:val="0"/>
      <w:marBottom w:val="0"/>
      <w:divBdr>
        <w:top w:val="none" w:sz="0" w:space="0" w:color="auto"/>
        <w:left w:val="none" w:sz="0" w:space="0" w:color="auto"/>
        <w:bottom w:val="none" w:sz="0" w:space="0" w:color="auto"/>
        <w:right w:val="none" w:sz="0" w:space="0" w:color="auto"/>
      </w:divBdr>
    </w:div>
    <w:div w:id="399137321">
      <w:bodyDiv w:val="1"/>
      <w:marLeft w:val="0"/>
      <w:marRight w:val="0"/>
      <w:marTop w:val="0"/>
      <w:marBottom w:val="0"/>
      <w:divBdr>
        <w:top w:val="none" w:sz="0" w:space="0" w:color="auto"/>
        <w:left w:val="none" w:sz="0" w:space="0" w:color="auto"/>
        <w:bottom w:val="none" w:sz="0" w:space="0" w:color="auto"/>
        <w:right w:val="none" w:sz="0" w:space="0" w:color="auto"/>
      </w:divBdr>
    </w:div>
    <w:div w:id="399444783">
      <w:bodyDiv w:val="1"/>
      <w:marLeft w:val="0"/>
      <w:marRight w:val="0"/>
      <w:marTop w:val="0"/>
      <w:marBottom w:val="0"/>
      <w:divBdr>
        <w:top w:val="none" w:sz="0" w:space="0" w:color="auto"/>
        <w:left w:val="none" w:sz="0" w:space="0" w:color="auto"/>
        <w:bottom w:val="none" w:sz="0" w:space="0" w:color="auto"/>
        <w:right w:val="none" w:sz="0" w:space="0" w:color="auto"/>
      </w:divBdr>
    </w:div>
    <w:div w:id="399451383">
      <w:bodyDiv w:val="1"/>
      <w:marLeft w:val="0"/>
      <w:marRight w:val="0"/>
      <w:marTop w:val="0"/>
      <w:marBottom w:val="0"/>
      <w:divBdr>
        <w:top w:val="none" w:sz="0" w:space="0" w:color="auto"/>
        <w:left w:val="none" w:sz="0" w:space="0" w:color="auto"/>
        <w:bottom w:val="none" w:sz="0" w:space="0" w:color="auto"/>
        <w:right w:val="none" w:sz="0" w:space="0" w:color="auto"/>
      </w:divBdr>
    </w:div>
    <w:div w:id="399596701">
      <w:bodyDiv w:val="1"/>
      <w:marLeft w:val="0"/>
      <w:marRight w:val="0"/>
      <w:marTop w:val="0"/>
      <w:marBottom w:val="0"/>
      <w:divBdr>
        <w:top w:val="none" w:sz="0" w:space="0" w:color="auto"/>
        <w:left w:val="none" w:sz="0" w:space="0" w:color="auto"/>
        <w:bottom w:val="none" w:sz="0" w:space="0" w:color="auto"/>
        <w:right w:val="none" w:sz="0" w:space="0" w:color="auto"/>
      </w:divBdr>
    </w:div>
    <w:div w:id="399791474">
      <w:bodyDiv w:val="1"/>
      <w:marLeft w:val="0"/>
      <w:marRight w:val="0"/>
      <w:marTop w:val="0"/>
      <w:marBottom w:val="0"/>
      <w:divBdr>
        <w:top w:val="none" w:sz="0" w:space="0" w:color="auto"/>
        <w:left w:val="none" w:sz="0" w:space="0" w:color="auto"/>
        <w:bottom w:val="none" w:sz="0" w:space="0" w:color="auto"/>
        <w:right w:val="none" w:sz="0" w:space="0" w:color="auto"/>
      </w:divBdr>
    </w:div>
    <w:div w:id="400098543">
      <w:bodyDiv w:val="1"/>
      <w:marLeft w:val="0"/>
      <w:marRight w:val="0"/>
      <w:marTop w:val="0"/>
      <w:marBottom w:val="0"/>
      <w:divBdr>
        <w:top w:val="none" w:sz="0" w:space="0" w:color="auto"/>
        <w:left w:val="none" w:sz="0" w:space="0" w:color="auto"/>
        <w:bottom w:val="none" w:sz="0" w:space="0" w:color="auto"/>
        <w:right w:val="none" w:sz="0" w:space="0" w:color="auto"/>
      </w:divBdr>
    </w:div>
    <w:div w:id="400105701">
      <w:bodyDiv w:val="1"/>
      <w:marLeft w:val="0"/>
      <w:marRight w:val="0"/>
      <w:marTop w:val="0"/>
      <w:marBottom w:val="0"/>
      <w:divBdr>
        <w:top w:val="none" w:sz="0" w:space="0" w:color="auto"/>
        <w:left w:val="none" w:sz="0" w:space="0" w:color="auto"/>
        <w:bottom w:val="none" w:sz="0" w:space="0" w:color="auto"/>
        <w:right w:val="none" w:sz="0" w:space="0" w:color="auto"/>
      </w:divBdr>
    </w:div>
    <w:div w:id="400105738">
      <w:bodyDiv w:val="1"/>
      <w:marLeft w:val="0"/>
      <w:marRight w:val="0"/>
      <w:marTop w:val="0"/>
      <w:marBottom w:val="0"/>
      <w:divBdr>
        <w:top w:val="none" w:sz="0" w:space="0" w:color="auto"/>
        <w:left w:val="none" w:sz="0" w:space="0" w:color="auto"/>
        <w:bottom w:val="none" w:sz="0" w:space="0" w:color="auto"/>
        <w:right w:val="none" w:sz="0" w:space="0" w:color="auto"/>
      </w:divBdr>
    </w:div>
    <w:div w:id="400374512">
      <w:bodyDiv w:val="1"/>
      <w:marLeft w:val="0"/>
      <w:marRight w:val="0"/>
      <w:marTop w:val="0"/>
      <w:marBottom w:val="0"/>
      <w:divBdr>
        <w:top w:val="none" w:sz="0" w:space="0" w:color="auto"/>
        <w:left w:val="none" w:sz="0" w:space="0" w:color="auto"/>
        <w:bottom w:val="none" w:sz="0" w:space="0" w:color="auto"/>
        <w:right w:val="none" w:sz="0" w:space="0" w:color="auto"/>
      </w:divBdr>
    </w:div>
    <w:div w:id="400493323">
      <w:bodyDiv w:val="1"/>
      <w:marLeft w:val="0"/>
      <w:marRight w:val="0"/>
      <w:marTop w:val="0"/>
      <w:marBottom w:val="0"/>
      <w:divBdr>
        <w:top w:val="none" w:sz="0" w:space="0" w:color="auto"/>
        <w:left w:val="none" w:sz="0" w:space="0" w:color="auto"/>
        <w:bottom w:val="none" w:sz="0" w:space="0" w:color="auto"/>
        <w:right w:val="none" w:sz="0" w:space="0" w:color="auto"/>
      </w:divBdr>
    </w:div>
    <w:div w:id="400522786">
      <w:bodyDiv w:val="1"/>
      <w:marLeft w:val="0"/>
      <w:marRight w:val="0"/>
      <w:marTop w:val="0"/>
      <w:marBottom w:val="0"/>
      <w:divBdr>
        <w:top w:val="none" w:sz="0" w:space="0" w:color="auto"/>
        <w:left w:val="none" w:sz="0" w:space="0" w:color="auto"/>
        <w:bottom w:val="none" w:sz="0" w:space="0" w:color="auto"/>
        <w:right w:val="none" w:sz="0" w:space="0" w:color="auto"/>
      </w:divBdr>
    </w:div>
    <w:div w:id="400560083">
      <w:bodyDiv w:val="1"/>
      <w:marLeft w:val="0"/>
      <w:marRight w:val="0"/>
      <w:marTop w:val="0"/>
      <w:marBottom w:val="0"/>
      <w:divBdr>
        <w:top w:val="none" w:sz="0" w:space="0" w:color="auto"/>
        <w:left w:val="none" w:sz="0" w:space="0" w:color="auto"/>
        <w:bottom w:val="none" w:sz="0" w:space="0" w:color="auto"/>
        <w:right w:val="none" w:sz="0" w:space="0" w:color="auto"/>
      </w:divBdr>
    </w:div>
    <w:div w:id="400561624">
      <w:bodyDiv w:val="1"/>
      <w:marLeft w:val="0"/>
      <w:marRight w:val="0"/>
      <w:marTop w:val="0"/>
      <w:marBottom w:val="0"/>
      <w:divBdr>
        <w:top w:val="none" w:sz="0" w:space="0" w:color="auto"/>
        <w:left w:val="none" w:sz="0" w:space="0" w:color="auto"/>
        <w:bottom w:val="none" w:sz="0" w:space="0" w:color="auto"/>
        <w:right w:val="none" w:sz="0" w:space="0" w:color="auto"/>
      </w:divBdr>
    </w:div>
    <w:div w:id="400641725">
      <w:bodyDiv w:val="1"/>
      <w:marLeft w:val="0"/>
      <w:marRight w:val="0"/>
      <w:marTop w:val="0"/>
      <w:marBottom w:val="0"/>
      <w:divBdr>
        <w:top w:val="none" w:sz="0" w:space="0" w:color="auto"/>
        <w:left w:val="none" w:sz="0" w:space="0" w:color="auto"/>
        <w:bottom w:val="none" w:sz="0" w:space="0" w:color="auto"/>
        <w:right w:val="none" w:sz="0" w:space="0" w:color="auto"/>
      </w:divBdr>
    </w:div>
    <w:div w:id="400714445">
      <w:bodyDiv w:val="1"/>
      <w:marLeft w:val="0"/>
      <w:marRight w:val="0"/>
      <w:marTop w:val="0"/>
      <w:marBottom w:val="0"/>
      <w:divBdr>
        <w:top w:val="none" w:sz="0" w:space="0" w:color="auto"/>
        <w:left w:val="none" w:sz="0" w:space="0" w:color="auto"/>
        <w:bottom w:val="none" w:sz="0" w:space="0" w:color="auto"/>
        <w:right w:val="none" w:sz="0" w:space="0" w:color="auto"/>
      </w:divBdr>
    </w:div>
    <w:div w:id="400753090">
      <w:bodyDiv w:val="1"/>
      <w:marLeft w:val="0"/>
      <w:marRight w:val="0"/>
      <w:marTop w:val="0"/>
      <w:marBottom w:val="0"/>
      <w:divBdr>
        <w:top w:val="none" w:sz="0" w:space="0" w:color="auto"/>
        <w:left w:val="none" w:sz="0" w:space="0" w:color="auto"/>
        <w:bottom w:val="none" w:sz="0" w:space="0" w:color="auto"/>
        <w:right w:val="none" w:sz="0" w:space="0" w:color="auto"/>
      </w:divBdr>
    </w:div>
    <w:div w:id="400756791">
      <w:bodyDiv w:val="1"/>
      <w:marLeft w:val="0"/>
      <w:marRight w:val="0"/>
      <w:marTop w:val="0"/>
      <w:marBottom w:val="0"/>
      <w:divBdr>
        <w:top w:val="none" w:sz="0" w:space="0" w:color="auto"/>
        <w:left w:val="none" w:sz="0" w:space="0" w:color="auto"/>
        <w:bottom w:val="none" w:sz="0" w:space="0" w:color="auto"/>
        <w:right w:val="none" w:sz="0" w:space="0" w:color="auto"/>
      </w:divBdr>
    </w:div>
    <w:div w:id="400761067">
      <w:bodyDiv w:val="1"/>
      <w:marLeft w:val="0"/>
      <w:marRight w:val="0"/>
      <w:marTop w:val="0"/>
      <w:marBottom w:val="0"/>
      <w:divBdr>
        <w:top w:val="none" w:sz="0" w:space="0" w:color="auto"/>
        <w:left w:val="none" w:sz="0" w:space="0" w:color="auto"/>
        <w:bottom w:val="none" w:sz="0" w:space="0" w:color="auto"/>
        <w:right w:val="none" w:sz="0" w:space="0" w:color="auto"/>
      </w:divBdr>
    </w:div>
    <w:div w:id="400761516">
      <w:bodyDiv w:val="1"/>
      <w:marLeft w:val="0"/>
      <w:marRight w:val="0"/>
      <w:marTop w:val="0"/>
      <w:marBottom w:val="0"/>
      <w:divBdr>
        <w:top w:val="none" w:sz="0" w:space="0" w:color="auto"/>
        <w:left w:val="none" w:sz="0" w:space="0" w:color="auto"/>
        <w:bottom w:val="none" w:sz="0" w:space="0" w:color="auto"/>
        <w:right w:val="none" w:sz="0" w:space="0" w:color="auto"/>
      </w:divBdr>
    </w:div>
    <w:div w:id="401021853">
      <w:bodyDiv w:val="1"/>
      <w:marLeft w:val="0"/>
      <w:marRight w:val="0"/>
      <w:marTop w:val="0"/>
      <w:marBottom w:val="0"/>
      <w:divBdr>
        <w:top w:val="none" w:sz="0" w:space="0" w:color="auto"/>
        <w:left w:val="none" w:sz="0" w:space="0" w:color="auto"/>
        <w:bottom w:val="none" w:sz="0" w:space="0" w:color="auto"/>
        <w:right w:val="none" w:sz="0" w:space="0" w:color="auto"/>
      </w:divBdr>
    </w:div>
    <w:div w:id="401029273">
      <w:bodyDiv w:val="1"/>
      <w:marLeft w:val="0"/>
      <w:marRight w:val="0"/>
      <w:marTop w:val="0"/>
      <w:marBottom w:val="0"/>
      <w:divBdr>
        <w:top w:val="none" w:sz="0" w:space="0" w:color="auto"/>
        <w:left w:val="none" w:sz="0" w:space="0" w:color="auto"/>
        <w:bottom w:val="none" w:sz="0" w:space="0" w:color="auto"/>
        <w:right w:val="none" w:sz="0" w:space="0" w:color="auto"/>
      </w:divBdr>
    </w:div>
    <w:div w:id="401172598">
      <w:bodyDiv w:val="1"/>
      <w:marLeft w:val="0"/>
      <w:marRight w:val="0"/>
      <w:marTop w:val="0"/>
      <w:marBottom w:val="0"/>
      <w:divBdr>
        <w:top w:val="none" w:sz="0" w:space="0" w:color="auto"/>
        <w:left w:val="none" w:sz="0" w:space="0" w:color="auto"/>
        <w:bottom w:val="none" w:sz="0" w:space="0" w:color="auto"/>
        <w:right w:val="none" w:sz="0" w:space="0" w:color="auto"/>
      </w:divBdr>
    </w:div>
    <w:div w:id="401290490">
      <w:bodyDiv w:val="1"/>
      <w:marLeft w:val="0"/>
      <w:marRight w:val="0"/>
      <w:marTop w:val="0"/>
      <w:marBottom w:val="0"/>
      <w:divBdr>
        <w:top w:val="none" w:sz="0" w:space="0" w:color="auto"/>
        <w:left w:val="none" w:sz="0" w:space="0" w:color="auto"/>
        <w:bottom w:val="none" w:sz="0" w:space="0" w:color="auto"/>
        <w:right w:val="none" w:sz="0" w:space="0" w:color="auto"/>
      </w:divBdr>
    </w:div>
    <w:div w:id="401374042">
      <w:bodyDiv w:val="1"/>
      <w:marLeft w:val="0"/>
      <w:marRight w:val="0"/>
      <w:marTop w:val="0"/>
      <w:marBottom w:val="0"/>
      <w:divBdr>
        <w:top w:val="none" w:sz="0" w:space="0" w:color="auto"/>
        <w:left w:val="none" w:sz="0" w:space="0" w:color="auto"/>
        <w:bottom w:val="none" w:sz="0" w:space="0" w:color="auto"/>
        <w:right w:val="none" w:sz="0" w:space="0" w:color="auto"/>
      </w:divBdr>
    </w:div>
    <w:div w:id="401411080">
      <w:bodyDiv w:val="1"/>
      <w:marLeft w:val="0"/>
      <w:marRight w:val="0"/>
      <w:marTop w:val="0"/>
      <w:marBottom w:val="0"/>
      <w:divBdr>
        <w:top w:val="none" w:sz="0" w:space="0" w:color="auto"/>
        <w:left w:val="none" w:sz="0" w:space="0" w:color="auto"/>
        <w:bottom w:val="none" w:sz="0" w:space="0" w:color="auto"/>
        <w:right w:val="none" w:sz="0" w:space="0" w:color="auto"/>
      </w:divBdr>
    </w:div>
    <w:div w:id="401568469">
      <w:bodyDiv w:val="1"/>
      <w:marLeft w:val="0"/>
      <w:marRight w:val="0"/>
      <w:marTop w:val="0"/>
      <w:marBottom w:val="0"/>
      <w:divBdr>
        <w:top w:val="none" w:sz="0" w:space="0" w:color="auto"/>
        <w:left w:val="none" w:sz="0" w:space="0" w:color="auto"/>
        <w:bottom w:val="none" w:sz="0" w:space="0" w:color="auto"/>
        <w:right w:val="none" w:sz="0" w:space="0" w:color="auto"/>
      </w:divBdr>
    </w:div>
    <w:div w:id="401679172">
      <w:bodyDiv w:val="1"/>
      <w:marLeft w:val="0"/>
      <w:marRight w:val="0"/>
      <w:marTop w:val="0"/>
      <w:marBottom w:val="0"/>
      <w:divBdr>
        <w:top w:val="none" w:sz="0" w:space="0" w:color="auto"/>
        <w:left w:val="none" w:sz="0" w:space="0" w:color="auto"/>
        <w:bottom w:val="none" w:sz="0" w:space="0" w:color="auto"/>
        <w:right w:val="none" w:sz="0" w:space="0" w:color="auto"/>
      </w:divBdr>
    </w:div>
    <w:div w:id="401755580">
      <w:bodyDiv w:val="1"/>
      <w:marLeft w:val="0"/>
      <w:marRight w:val="0"/>
      <w:marTop w:val="0"/>
      <w:marBottom w:val="0"/>
      <w:divBdr>
        <w:top w:val="none" w:sz="0" w:space="0" w:color="auto"/>
        <w:left w:val="none" w:sz="0" w:space="0" w:color="auto"/>
        <w:bottom w:val="none" w:sz="0" w:space="0" w:color="auto"/>
        <w:right w:val="none" w:sz="0" w:space="0" w:color="auto"/>
      </w:divBdr>
    </w:div>
    <w:div w:id="401757243">
      <w:bodyDiv w:val="1"/>
      <w:marLeft w:val="0"/>
      <w:marRight w:val="0"/>
      <w:marTop w:val="0"/>
      <w:marBottom w:val="0"/>
      <w:divBdr>
        <w:top w:val="none" w:sz="0" w:space="0" w:color="auto"/>
        <w:left w:val="none" w:sz="0" w:space="0" w:color="auto"/>
        <w:bottom w:val="none" w:sz="0" w:space="0" w:color="auto"/>
        <w:right w:val="none" w:sz="0" w:space="0" w:color="auto"/>
      </w:divBdr>
    </w:div>
    <w:div w:id="401802798">
      <w:bodyDiv w:val="1"/>
      <w:marLeft w:val="0"/>
      <w:marRight w:val="0"/>
      <w:marTop w:val="0"/>
      <w:marBottom w:val="0"/>
      <w:divBdr>
        <w:top w:val="none" w:sz="0" w:space="0" w:color="auto"/>
        <w:left w:val="none" w:sz="0" w:space="0" w:color="auto"/>
        <w:bottom w:val="none" w:sz="0" w:space="0" w:color="auto"/>
        <w:right w:val="none" w:sz="0" w:space="0" w:color="auto"/>
      </w:divBdr>
    </w:div>
    <w:div w:id="401878667">
      <w:bodyDiv w:val="1"/>
      <w:marLeft w:val="0"/>
      <w:marRight w:val="0"/>
      <w:marTop w:val="0"/>
      <w:marBottom w:val="0"/>
      <w:divBdr>
        <w:top w:val="none" w:sz="0" w:space="0" w:color="auto"/>
        <w:left w:val="none" w:sz="0" w:space="0" w:color="auto"/>
        <w:bottom w:val="none" w:sz="0" w:space="0" w:color="auto"/>
        <w:right w:val="none" w:sz="0" w:space="0" w:color="auto"/>
      </w:divBdr>
    </w:div>
    <w:div w:id="401949404">
      <w:bodyDiv w:val="1"/>
      <w:marLeft w:val="0"/>
      <w:marRight w:val="0"/>
      <w:marTop w:val="0"/>
      <w:marBottom w:val="0"/>
      <w:divBdr>
        <w:top w:val="none" w:sz="0" w:space="0" w:color="auto"/>
        <w:left w:val="none" w:sz="0" w:space="0" w:color="auto"/>
        <w:bottom w:val="none" w:sz="0" w:space="0" w:color="auto"/>
        <w:right w:val="none" w:sz="0" w:space="0" w:color="auto"/>
      </w:divBdr>
    </w:div>
    <w:div w:id="401949726">
      <w:bodyDiv w:val="1"/>
      <w:marLeft w:val="0"/>
      <w:marRight w:val="0"/>
      <w:marTop w:val="0"/>
      <w:marBottom w:val="0"/>
      <w:divBdr>
        <w:top w:val="none" w:sz="0" w:space="0" w:color="auto"/>
        <w:left w:val="none" w:sz="0" w:space="0" w:color="auto"/>
        <w:bottom w:val="none" w:sz="0" w:space="0" w:color="auto"/>
        <w:right w:val="none" w:sz="0" w:space="0" w:color="auto"/>
      </w:divBdr>
    </w:div>
    <w:div w:id="402142140">
      <w:bodyDiv w:val="1"/>
      <w:marLeft w:val="0"/>
      <w:marRight w:val="0"/>
      <w:marTop w:val="0"/>
      <w:marBottom w:val="0"/>
      <w:divBdr>
        <w:top w:val="none" w:sz="0" w:space="0" w:color="auto"/>
        <w:left w:val="none" w:sz="0" w:space="0" w:color="auto"/>
        <w:bottom w:val="none" w:sz="0" w:space="0" w:color="auto"/>
        <w:right w:val="none" w:sz="0" w:space="0" w:color="auto"/>
      </w:divBdr>
    </w:div>
    <w:div w:id="402144976">
      <w:bodyDiv w:val="1"/>
      <w:marLeft w:val="0"/>
      <w:marRight w:val="0"/>
      <w:marTop w:val="0"/>
      <w:marBottom w:val="0"/>
      <w:divBdr>
        <w:top w:val="none" w:sz="0" w:space="0" w:color="auto"/>
        <w:left w:val="none" w:sz="0" w:space="0" w:color="auto"/>
        <w:bottom w:val="none" w:sz="0" w:space="0" w:color="auto"/>
        <w:right w:val="none" w:sz="0" w:space="0" w:color="auto"/>
      </w:divBdr>
    </w:div>
    <w:div w:id="402216025">
      <w:bodyDiv w:val="1"/>
      <w:marLeft w:val="0"/>
      <w:marRight w:val="0"/>
      <w:marTop w:val="0"/>
      <w:marBottom w:val="0"/>
      <w:divBdr>
        <w:top w:val="none" w:sz="0" w:space="0" w:color="auto"/>
        <w:left w:val="none" w:sz="0" w:space="0" w:color="auto"/>
        <w:bottom w:val="none" w:sz="0" w:space="0" w:color="auto"/>
        <w:right w:val="none" w:sz="0" w:space="0" w:color="auto"/>
      </w:divBdr>
    </w:div>
    <w:div w:id="402292099">
      <w:bodyDiv w:val="1"/>
      <w:marLeft w:val="0"/>
      <w:marRight w:val="0"/>
      <w:marTop w:val="0"/>
      <w:marBottom w:val="0"/>
      <w:divBdr>
        <w:top w:val="none" w:sz="0" w:space="0" w:color="auto"/>
        <w:left w:val="none" w:sz="0" w:space="0" w:color="auto"/>
        <w:bottom w:val="none" w:sz="0" w:space="0" w:color="auto"/>
        <w:right w:val="none" w:sz="0" w:space="0" w:color="auto"/>
      </w:divBdr>
    </w:div>
    <w:div w:id="402416545">
      <w:bodyDiv w:val="1"/>
      <w:marLeft w:val="0"/>
      <w:marRight w:val="0"/>
      <w:marTop w:val="0"/>
      <w:marBottom w:val="0"/>
      <w:divBdr>
        <w:top w:val="none" w:sz="0" w:space="0" w:color="auto"/>
        <w:left w:val="none" w:sz="0" w:space="0" w:color="auto"/>
        <w:bottom w:val="none" w:sz="0" w:space="0" w:color="auto"/>
        <w:right w:val="none" w:sz="0" w:space="0" w:color="auto"/>
      </w:divBdr>
    </w:div>
    <w:div w:id="402604427">
      <w:bodyDiv w:val="1"/>
      <w:marLeft w:val="0"/>
      <w:marRight w:val="0"/>
      <w:marTop w:val="0"/>
      <w:marBottom w:val="0"/>
      <w:divBdr>
        <w:top w:val="none" w:sz="0" w:space="0" w:color="auto"/>
        <w:left w:val="none" w:sz="0" w:space="0" w:color="auto"/>
        <w:bottom w:val="none" w:sz="0" w:space="0" w:color="auto"/>
        <w:right w:val="none" w:sz="0" w:space="0" w:color="auto"/>
      </w:divBdr>
    </w:div>
    <w:div w:id="402605494">
      <w:bodyDiv w:val="1"/>
      <w:marLeft w:val="0"/>
      <w:marRight w:val="0"/>
      <w:marTop w:val="0"/>
      <w:marBottom w:val="0"/>
      <w:divBdr>
        <w:top w:val="none" w:sz="0" w:space="0" w:color="auto"/>
        <w:left w:val="none" w:sz="0" w:space="0" w:color="auto"/>
        <w:bottom w:val="none" w:sz="0" w:space="0" w:color="auto"/>
        <w:right w:val="none" w:sz="0" w:space="0" w:color="auto"/>
      </w:divBdr>
    </w:div>
    <w:div w:id="402610624">
      <w:bodyDiv w:val="1"/>
      <w:marLeft w:val="0"/>
      <w:marRight w:val="0"/>
      <w:marTop w:val="0"/>
      <w:marBottom w:val="0"/>
      <w:divBdr>
        <w:top w:val="none" w:sz="0" w:space="0" w:color="auto"/>
        <w:left w:val="none" w:sz="0" w:space="0" w:color="auto"/>
        <w:bottom w:val="none" w:sz="0" w:space="0" w:color="auto"/>
        <w:right w:val="none" w:sz="0" w:space="0" w:color="auto"/>
      </w:divBdr>
    </w:div>
    <w:div w:id="402677153">
      <w:bodyDiv w:val="1"/>
      <w:marLeft w:val="0"/>
      <w:marRight w:val="0"/>
      <w:marTop w:val="0"/>
      <w:marBottom w:val="0"/>
      <w:divBdr>
        <w:top w:val="none" w:sz="0" w:space="0" w:color="auto"/>
        <w:left w:val="none" w:sz="0" w:space="0" w:color="auto"/>
        <w:bottom w:val="none" w:sz="0" w:space="0" w:color="auto"/>
        <w:right w:val="none" w:sz="0" w:space="0" w:color="auto"/>
      </w:divBdr>
    </w:div>
    <w:div w:id="402677753">
      <w:bodyDiv w:val="1"/>
      <w:marLeft w:val="0"/>
      <w:marRight w:val="0"/>
      <w:marTop w:val="0"/>
      <w:marBottom w:val="0"/>
      <w:divBdr>
        <w:top w:val="none" w:sz="0" w:space="0" w:color="auto"/>
        <w:left w:val="none" w:sz="0" w:space="0" w:color="auto"/>
        <w:bottom w:val="none" w:sz="0" w:space="0" w:color="auto"/>
        <w:right w:val="none" w:sz="0" w:space="0" w:color="auto"/>
      </w:divBdr>
    </w:div>
    <w:div w:id="402727571">
      <w:bodyDiv w:val="1"/>
      <w:marLeft w:val="0"/>
      <w:marRight w:val="0"/>
      <w:marTop w:val="0"/>
      <w:marBottom w:val="0"/>
      <w:divBdr>
        <w:top w:val="none" w:sz="0" w:space="0" w:color="auto"/>
        <w:left w:val="none" w:sz="0" w:space="0" w:color="auto"/>
        <w:bottom w:val="none" w:sz="0" w:space="0" w:color="auto"/>
        <w:right w:val="none" w:sz="0" w:space="0" w:color="auto"/>
      </w:divBdr>
    </w:div>
    <w:div w:id="402799256">
      <w:bodyDiv w:val="1"/>
      <w:marLeft w:val="0"/>
      <w:marRight w:val="0"/>
      <w:marTop w:val="0"/>
      <w:marBottom w:val="0"/>
      <w:divBdr>
        <w:top w:val="none" w:sz="0" w:space="0" w:color="auto"/>
        <w:left w:val="none" w:sz="0" w:space="0" w:color="auto"/>
        <w:bottom w:val="none" w:sz="0" w:space="0" w:color="auto"/>
        <w:right w:val="none" w:sz="0" w:space="0" w:color="auto"/>
      </w:divBdr>
    </w:div>
    <w:div w:id="402871863">
      <w:bodyDiv w:val="1"/>
      <w:marLeft w:val="0"/>
      <w:marRight w:val="0"/>
      <w:marTop w:val="0"/>
      <w:marBottom w:val="0"/>
      <w:divBdr>
        <w:top w:val="none" w:sz="0" w:space="0" w:color="auto"/>
        <w:left w:val="none" w:sz="0" w:space="0" w:color="auto"/>
        <w:bottom w:val="none" w:sz="0" w:space="0" w:color="auto"/>
        <w:right w:val="none" w:sz="0" w:space="0" w:color="auto"/>
      </w:divBdr>
    </w:div>
    <w:div w:id="403067807">
      <w:bodyDiv w:val="1"/>
      <w:marLeft w:val="0"/>
      <w:marRight w:val="0"/>
      <w:marTop w:val="0"/>
      <w:marBottom w:val="0"/>
      <w:divBdr>
        <w:top w:val="none" w:sz="0" w:space="0" w:color="auto"/>
        <w:left w:val="none" w:sz="0" w:space="0" w:color="auto"/>
        <w:bottom w:val="none" w:sz="0" w:space="0" w:color="auto"/>
        <w:right w:val="none" w:sz="0" w:space="0" w:color="auto"/>
      </w:divBdr>
    </w:div>
    <w:div w:id="403140953">
      <w:bodyDiv w:val="1"/>
      <w:marLeft w:val="0"/>
      <w:marRight w:val="0"/>
      <w:marTop w:val="0"/>
      <w:marBottom w:val="0"/>
      <w:divBdr>
        <w:top w:val="none" w:sz="0" w:space="0" w:color="auto"/>
        <w:left w:val="none" w:sz="0" w:space="0" w:color="auto"/>
        <w:bottom w:val="none" w:sz="0" w:space="0" w:color="auto"/>
        <w:right w:val="none" w:sz="0" w:space="0" w:color="auto"/>
      </w:divBdr>
    </w:div>
    <w:div w:id="403141687">
      <w:bodyDiv w:val="1"/>
      <w:marLeft w:val="0"/>
      <w:marRight w:val="0"/>
      <w:marTop w:val="0"/>
      <w:marBottom w:val="0"/>
      <w:divBdr>
        <w:top w:val="none" w:sz="0" w:space="0" w:color="auto"/>
        <w:left w:val="none" w:sz="0" w:space="0" w:color="auto"/>
        <w:bottom w:val="none" w:sz="0" w:space="0" w:color="auto"/>
        <w:right w:val="none" w:sz="0" w:space="0" w:color="auto"/>
      </w:divBdr>
    </w:div>
    <w:div w:id="403257592">
      <w:bodyDiv w:val="1"/>
      <w:marLeft w:val="0"/>
      <w:marRight w:val="0"/>
      <w:marTop w:val="0"/>
      <w:marBottom w:val="0"/>
      <w:divBdr>
        <w:top w:val="none" w:sz="0" w:space="0" w:color="auto"/>
        <w:left w:val="none" w:sz="0" w:space="0" w:color="auto"/>
        <w:bottom w:val="none" w:sz="0" w:space="0" w:color="auto"/>
        <w:right w:val="none" w:sz="0" w:space="0" w:color="auto"/>
      </w:divBdr>
    </w:div>
    <w:div w:id="403261532">
      <w:bodyDiv w:val="1"/>
      <w:marLeft w:val="0"/>
      <w:marRight w:val="0"/>
      <w:marTop w:val="0"/>
      <w:marBottom w:val="0"/>
      <w:divBdr>
        <w:top w:val="none" w:sz="0" w:space="0" w:color="auto"/>
        <w:left w:val="none" w:sz="0" w:space="0" w:color="auto"/>
        <w:bottom w:val="none" w:sz="0" w:space="0" w:color="auto"/>
        <w:right w:val="none" w:sz="0" w:space="0" w:color="auto"/>
      </w:divBdr>
    </w:div>
    <w:div w:id="403339982">
      <w:bodyDiv w:val="1"/>
      <w:marLeft w:val="0"/>
      <w:marRight w:val="0"/>
      <w:marTop w:val="0"/>
      <w:marBottom w:val="0"/>
      <w:divBdr>
        <w:top w:val="none" w:sz="0" w:space="0" w:color="auto"/>
        <w:left w:val="none" w:sz="0" w:space="0" w:color="auto"/>
        <w:bottom w:val="none" w:sz="0" w:space="0" w:color="auto"/>
        <w:right w:val="none" w:sz="0" w:space="0" w:color="auto"/>
      </w:divBdr>
    </w:div>
    <w:div w:id="403374403">
      <w:bodyDiv w:val="1"/>
      <w:marLeft w:val="0"/>
      <w:marRight w:val="0"/>
      <w:marTop w:val="0"/>
      <w:marBottom w:val="0"/>
      <w:divBdr>
        <w:top w:val="none" w:sz="0" w:space="0" w:color="auto"/>
        <w:left w:val="none" w:sz="0" w:space="0" w:color="auto"/>
        <w:bottom w:val="none" w:sz="0" w:space="0" w:color="auto"/>
        <w:right w:val="none" w:sz="0" w:space="0" w:color="auto"/>
      </w:divBdr>
    </w:div>
    <w:div w:id="403383765">
      <w:bodyDiv w:val="1"/>
      <w:marLeft w:val="0"/>
      <w:marRight w:val="0"/>
      <w:marTop w:val="0"/>
      <w:marBottom w:val="0"/>
      <w:divBdr>
        <w:top w:val="none" w:sz="0" w:space="0" w:color="auto"/>
        <w:left w:val="none" w:sz="0" w:space="0" w:color="auto"/>
        <w:bottom w:val="none" w:sz="0" w:space="0" w:color="auto"/>
        <w:right w:val="none" w:sz="0" w:space="0" w:color="auto"/>
      </w:divBdr>
    </w:div>
    <w:div w:id="403574583">
      <w:bodyDiv w:val="1"/>
      <w:marLeft w:val="0"/>
      <w:marRight w:val="0"/>
      <w:marTop w:val="0"/>
      <w:marBottom w:val="0"/>
      <w:divBdr>
        <w:top w:val="none" w:sz="0" w:space="0" w:color="auto"/>
        <w:left w:val="none" w:sz="0" w:space="0" w:color="auto"/>
        <w:bottom w:val="none" w:sz="0" w:space="0" w:color="auto"/>
        <w:right w:val="none" w:sz="0" w:space="0" w:color="auto"/>
      </w:divBdr>
    </w:div>
    <w:div w:id="403646281">
      <w:bodyDiv w:val="1"/>
      <w:marLeft w:val="0"/>
      <w:marRight w:val="0"/>
      <w:marTop w:val="0"/>
      <w:marBottom w:val="0"/>
      <w:divBdr>
        <w:top w:val="none" w:sz="0" w:space="0" w:color="auto"/>
        <w:left w:val="none" w:sz="0" w:space="0" w:color="auto"/>
        <w:bottom w:val="none" w:sz="0" w:space="0" w:color="auto"/>
        <w:right w:val="none" w:sz="0" w:space="0" w:color="auto"/>
      </w:divBdr>
    </w:div>
    <w:div w:id="403840078">
      <w:bodyDiv w:val="1"/>
      <w:marLeft w:val="0"/>
      <w:marRight w:val="0"/>
      <w:marTop w:val="0"/>
      <w:marBottom w:val="0"/>
      <w:divBdr>
        <w:top w:val="none" w:sz="0" w:space="0" w:color="auto"/>
        <w:left w:val="none" w:sz="0" w:space="0" w:color="auto"/>
        <w:bottom w:val="none" w:sz="0" w:space="0" w:color="auto"/>
        <w:right w:val="none" w:sz="0" w:space="0" w:color="auto"/>
      </w:divBdr>
    </w:div>
    <w:div w:id="403840458">
      <w:bodyDiv w:val="1"/>
      <w:marLeft w:val="0"/>
      <w:marRight w:val="0"/>
      <w:marTop w:val="0"/>
      <w:marBottom w:val="0"/>
      <w:divBdr>
        <w:top w:val="none" w:sz="0" w:space="0" w:color="auto"/>
        <w:left w:val="none" w:sz="0" w:space="0" w:color="auto"/>
        <w:bottom w:val="none" w:sz="0" w:space="0" w:color="auto"/>
        <w:right w:val="none" w:sz="0" w:space="0" w:color="auto"/>
      </w:divBdr>
    </w:div>
    <w:div w:id="403991509">
      <w:bodyDiv w:val="1"/>
      <w:marLeft w:val="0"/>
      <w:marRight w:val="0"/>
      <w:marTop w:val="0"/>
      <w:marBottom w:val="0"/>
      <w:divBdr>
        <w:top w:val="none" w:sz="0" w:space="0" w:color="auto"/>
        <w:left w:val="none" w:sz="0" w:space="0" w:color="auto"/>
        <w:bottom w:val="none" w:sz="0" w:space="0" w:color="auto"/>
        <w:right w:val="none" w:sz="0" w:space="0" w:color="auto"/>
      </w:divBdr>
    </w:div>
    <w:div w:id="403995269">
      <w:bodyDiv w:val="1"/>
      <w:marLeft w:val="0"/>
      <w:marRight w:val="0"/>
      <w:marTop w:val="0"/>
      <w:marBottom w:val="0"/>
      <w:divBdr>
        <w:top w:val="none" w:sz="0" w:space="0" w:color="auto"/>
        <w:left w:val="none" w:sz="0" w:space="0" w:color="auto"/>
        <w:bottom w:val="none" w:sz="0" w:space="0" w:color="auto"/>
        <w:right w:val="none" w:sz="0" w:space="0" w:color="auto"/>
      </w:divBdr>
    </w:div>
    <w:div w:id="404189470">
      <w:bodyDiv w:val="1"/>
      <w:marLeft w:val="0"/>
      <w:marRight w:val="0"/>
      <w:marTop w:val="0"/>
      <w:marBottom w:val="0"/>
      <w:divBdr>
        <w:top w:val="none" w:sz="0" w:space="0" w:color="auto"/>
        <w:left w:val="none" w:sz="0" w:space="0" w:color="auto"/>
        <w:bottom w:val="none" w:sz="0" w:space="0" w:color="auto"/>
        <w:right w:val="none" w:sz="0" w:space="0" w:color="auto"/>
      </w:divBdr>
    </w:div>
    <w:div w:id="404300767">
      <w:bodyDiv w:val="1"/>
      <w:marLeft w:val="0"/>
      <w:marRight w:val="0"/>
      <w:marTop w:val="0"/>
      <w:marBottom w:val="0"/>
      <w:divBdr>
        <w:top w:val="none" w:sz="0" w:space="0" w:color="auto"/>
        <w:left w:val="none" w:sz="0" w:space="0" w:color="auto"/>
        <w:bottom w:val="none" w:sz="0" w:space="0" w:color="auto"/>
        <w:right w:val="none" w:sz="0" w:space="0" w:color="auto"/>
      </w:divBdr>
    </w:div>
    <w:div w:id="404377301">
      <w:bodyDiv w:val="1"/>
      <w:marLeft w:val="0"/>
      <w:marRight w:val="0"/>
      <w:marTop w:val="0"/>
      <w:marBottom w:val="0"/>
      <w:divBdr>
        <w:top w:val="none" w:sz="0" w:space="0" w:color="auto"/>
        <w:left w:val="none" w:sz="0" w:space="0" w:color="auto"/>
        <w:bottom w:val="none" w:sz="0" w:space="0" w:color="auto"/>
        <w:right w:val="none" w:sz="0" w:space="0" w:color="auto"/>
      </w:divBdr>
    </w:div>
    <w:div w:id="404450775">
      <w:bodyDiv w:val="1"/>
      <w:marLeft w:val="0"/>
      <w:marRight w:val="0"/>
      <w:marTop w:val="0"/>
      <w:marBottom w:val="0"/>
      <w:divBdr>
        <w:top w:val="none" w:sz="0" w:space="0" w:color="auto"/>
        <w:left w:val="none" w:sz="0" w:space="0" w:color="auto"/>
        <w:bottom w:val="none" w:sz="0" w:space="0" w:color="auto"/>
        <w:right w:val="none" w:sz="0" w:space="0" w:color="auto"/>
      </w:divBdr>
    </w:div>
    <w:div w:id="404567457">
      <w:bodyDiv w:val="1"/>
      <w:marLeft w:val="0"/>
      <w:marRight w:val="0"/>
      <w:marTop w:val="0"/>
      <w:marBottom w:val="0"/>
      <w:divBdr>
        <w:top w:val="none" w:sz="0" w:space="0" w:color="auto"/>
        <w:left w:val="none" w:sz="0" w:space="0" w:color="auto"/>
        <w:bottom w:val="none" w:sz="0" w:space="0" w:color="auto"/>
        <w:right w:val="none" w:sz="0" w:space="0" w:color="auto"/>
      </w:divBdr>
    </w:div>
    <w:div w:id="404568306">
      <w:bodyDiv w:val="1"/>
      <w:marLeft w:val="0"/>
      <w:marRight w:val="0"/>
      <w:marTop w:val="0"/>
      <w:marBottom w:val="0"/>
      <w:divBdr>
        <w:top w:val="none" w:sz="0" w:space="0" w:color="auto"/>
        <w:left w:val="none" w:sz="0" w:space="0" w:color="auto"/>
        <w:bottom w:val="none" w:sz="0" w:space="0" w:color="auto"/>
        <w:right w:val="none" w:sz="0" w:space="0" w:color="auto"/>
      </w:divBdr>
    </w:div>
    <w:div w:id="404642109">
      <w:bodyDiv w:val="1"/>
      <w:marLeft w:val="0"/>
      <w:marRight w:val="0"/>
      <w:marTop w:val="0"/>
      <w:marBottom w:val="0"/>
      <w:divBdr>
        <w:top w:val="none" w:sz="0" w:space="0" w:color="auto"/>
        <w:left w:val="none" w:sz="0" w:space="0" w:color="auto"/>
        <w:bottom w:val="none" w:sz="0" w:space="0" w:color="auto"/>
        <w:right w:val="none" w:sz="0" w:space="0" w:color="auto"/>
      </w:divBdr>
    </w:div>
    <w:div w:id="404761867">
      <w:bodyDiv w:val="1"/>
      <w:marLeft w:val="0"/>
      <w:marRight w:val="0"/>
      <w:marTop w:val="0"/>
      <w:marBottom w:val="0"/>
      <w:divBdr>
        <w:top w:val="none" w:sz="0" w:space="0" w:color="auto"/>
        <w:left w:val="none" w:sz="0" w:space="0" w:color="auto"/>
        <w:bottom w:val="none" w:sz="0" w:space="0" w:color="auto"/>
        <w:right w:val="none" w:sz="0" w:space="0" w:color="auto"/>
      </w:divBdr>
    </w:div>
    <w:div w:id="404840046">
      <w:bodyDiv w:val="1"/>
      <w:marLeft w:val="0"/>
      <w:marRight w:val="0"/>
      <w:marTop w:val="0"/>
      <w:marBottom w:val="0"/>
      <w:divBdr>
        <w:top w:val="none" w:sz="0" w:space="0" w:color="auto"/>
        <w:left w:val="none" w:sz="0" w:space="0" w:color="auto"/>
        <w:bottom w:val="none" w:sz="0" w:space="0" w:color="auto"/>
        <w:right w:val="none" w:sz="0" w:space="0" w:color="auto"/>
      </w:divBdr>
    </w:div>
    <w:div w:id="404840832">
      <w:bodyDiv w:val="1"/>
      <w:marLeft w:val="0"/>
      <w:marRight w:val="0"/>
      <w:marTop w:val="0"/>
      <w:marBottom w:val="0"/>
      <w:divBdr>
        <w:top w:val="none" w:sz="0" w:space="0" w:color="auto"/>
        <w:left w:val="none" w:sz="0" w:space="0" w:color="auto"/>
        <w:bottom w:val="none" w:sz="0" w:space="0" w:color="auto"/>
        <w:right w:val="none" w:sz="0" w:space="0" w:color="auto"/>
      </w:divBdr>
    </w:div>
    <w:div w:id="404844515">
      <w:bodyDiv w:val="1"/>
      <w:marLeft w:val="0"/>
      <w:marRight w:val="0"/>
      <w:marTop w:val="0"/>
      <w:marBottom w:val="0"/>
      <w:divBdr>
        <w:top w:val="none" w:sz="0" w:space="0" w:color="auto"/>
        <w:left w:val="none" w:sz="0" w:space="0" w:color="auto"/>
        <w:bottom w:val="none" w:sz="0" w:space="0" w:color="auto"/>
        <w:right w:val="none" w:sz="0" w:space="0" w:color="auto"/>
      </w:divBdr>
    </w:div>
    <w:div w:id="405152951">
      <w:bodyDiv w:val="1"/>
      <w:marLeft w:val="0"/>
      <w:marRight w:val="0"/>
      <w:marTop w:val="0"/>
      <w:marBottom w:val="0"/>
      <w:divBdr>
        <w:top w:val="none" w:sz="0" w:space="0" w:color="auto"/>
        <w:left w:val="none" w:sz="0" w:space="0" w:color="auto"/>
        <w:bottom w:val="none" w:sz="0" w:space="0" w:color="auto"/>
        <w:right w:val="none" w:sz="0" w:space="0" w:color="auto"/>
      </w:divBdr>
    </w:div>
    <w:div w:id="405494141">
      <w:bodyDiv w:val="1"/>
      <w:marLeft w:val="0"/>
      <w:marRight w:val="0"/>
      <w:marTop w:val="0"/>
      <w:marBottom w:val="0"/>
      <w:divBdr>
        <w:top w:val="none" w:sz="0" w:space="0" w:color="auto"/>
        <w:left w:val="none" w:sz="0" w:space="0" w:color="auto"/>
        <w:bottom w:val="none" w:sz="0" w:space="0" w:color="auto"/>
        <w:right w:val="none" w:sz="0" w:space="0" w:color="auto"/>
      </w:divBdr>
    </w:div>
    <w:div w:id="405806802">
      <w:bodyDiv w:val="1"/>
      <w:marLeft w:val="0"/>
      <w:marRight w:val="0"/>
      <w:marTop w:val="0"/>
      <w:marBottom w:val="0"/>
      <w:divBdr>
        <w:top w:val="none" w:sz="0" w:space="0" w:color="auto"/>
        <w:left w:val="none" w:sz="0" w:space="0" w:color="auto"/>
        <w:bottom w:val="none" w:sz="0" w:space="0" w:color="auto"/>
        <w:right w:val="none" w:sz="0" w:space="0" w:color="auto"/>
      </w:divBdr>
    </w:div>
    <w:div w:id="406002882">
      <w:bodyDiv w:val="1"/>
      <w:marLeft w:val="0"/>
      <w:marRight w:val="0"/>
      <w:marTop w:val="0"/>
      <w:marBottom w:val="0"/>
      <w:divBdr>
        <w:top w:val="none" w:sz="0" w:space="0" w:color="auto"/>
        <w:left w:val="none" w:sz="0" w:space="0" w:color="auto"/>
        <w:bottom w:val="none" w:sz="0" w:space="0" w:color="auto"/>
        <w:right w:val="none" w:sz="0" w:space="0" w:color="auto"/>
      </w:divBdr>
    </w:div>
    <w:div w:id="406192241">
      <w:bodyDiv w:val="1"/>
      <w:marLeft w:val="0"/>
      <w:marRight w:val="0"/>
      <w:marTop w:val="0"/>
      <w:marBottom w:val="0"/>
      <w:divBdr>
        <w:top w:val="none" w:sz="0" w:space="0" w:color="auto"/>
        <w:left w:val="none" w:sz="0" w:space="0" w:color="auto"/>
        <w:bottom w:val="none" w:sz="0" w:space="0" w:color="auto"/>
        <w:right w:val="none" w:sz="0" w:space="0" w:color="auto"/>
      </w:divBdr>
    </w:div>
    <w:div w:id="406266467">
      <w:bodyDiv w:val="1"/>
      <w:marLeft w:val="0"/>
      <w:marRight w:val="0"/>
      <w:marTop w:val="0"/>
      <w:marBottom w:val="0"/>
      <w:divBdr>
        <w:top w:val="none" w:sz="0" w:space="0" w:color="auto"/>
        <w:left w:val="none" w:sz="0" w:space="0" w:color="auto"/>
        <w:bottom w:val="none" w:sz="0" w:space="0" w:color="auto"/>
        <w:right w:val="none" w:sz="0" w:space="0" w:color="auto"/>
      </w:divBdr>
    </w:div>
    <w:div w:id="406271825">
      <w:bodyDiv w:val="1"/>
      <w:marLeft w:val="0"/>
      <w:marRight w:val="0"/>
      <w:marTop w:val="0"/>
      <w:marBottom w:val="0"/>
      <w:divBdr>
        <w:top w:val="none" w:sz="0" w:space="0" w:color="auto"/>
        <w:left w:val="none" w:sz="0" w:space="0" w:color="auto"/>
        <w:bottom w:val="none" w:sz="0" w:space="0" w:color="auto"/>
        <w:right w:val="none" w:sz="0" w:space="0" w:color="auto"/>
      </w:divBdr>
    </w:div>
    <w:div w:id="406457726">
      <w:bodyDiv w:val="1"/>
      <w:marLeft w:val="0"/>
      <w:marRight w:val="0"/>
      <w:marTop w:val="0"/>
      <w:marBottom w:val="0"/>
      <w:divBdr>
        <w:top w:val="none" w:sz="0" w:space="0" w:color="auto"/>
        <w:left w:val="none" w:sz="0" w:space="0" w:color="auto"/>
        <w:bottom w:val="none" w:sz="0" w:space="0" w:color="auto"/>
        <w:right w:val="none" w:sz="0" w:space="0" w:color="auto"/>
      </w:divBdr>
    </w:div>
    <w:div w:id="406537557">
      <w:bodyDiv w:val="1"/>
      <w:marLeft w:val="0"/>
      <w:marRight w:val="0"/>
      <w:marTop w:val="0"/>
      <w:marBottom w:val="0"/>
      <w:divBdr>
        <w:top w:val="none" w:sz="0" w:space="0" w:color="auto"/>
        <w:left w:val="none" w:sz="0" w:space="0" w:color="auto"/>
        <w:bottom w:val="none" w:sz="0" w:space="0" w:color="auto"/>
        <w:right w:val="none" w:sz="0" w:space="0" w:color="auto"/>
      </w:divBdr>
    </w:div>
    <w:div w:id="406609133">
      <w:bodyDiv w:val="1"/>
      <w:marLeft w:val="0"/>
      <w:marRight w:val="0"/>
      <w:marTop w:val="0"/>
      <w:marBottom w:val="0"/>
      <w:divBdr>
        <w:top w:val="none" w:sz="0" w:space="0" w:color="auto"/>
        <w:left w:val="none" w:sz="0" w:space="0" w:color="auto"/>
        <w:bottom w:val="none" w:sz="0" w:space="0" w:color="auto"/>
        <w:right w:val="none" w:sz="0" w:space="0" w:color="auto"/>
      </w:divBdr>
    </w:div>
    <w:div w:id="406805571">
      <w:bodyDiv w:val="1"/>
      <w:marLeft w:val="0"/>
      <w:marRight w:val="0"/>
      <w:marTop w:val="0"/>
      <w:marBottom w:val="0"/>
      <w:divBdr>
        <w:top w:val="none" w:sz="0" w:space="0" w:color="auto"/>
        <w:left w:val="none" w:sz="0" w:space="0" w:color="auto"/>
        <w:bottom w:val="none" w:sz="0" w:space="0" w:color="auto"/>
        <w:right w:val="none" w:sz="0" w:space="0" w:color="auto"/>
      </w:divBdr>
    </w:div>
    <w:div w:id="406922695">
      <w:bodyDiv w:val="1"/>
      <w:marLeft w:val="0"/>
      <w:marRight w:val="0"/>
      <w:marTop w:val="0"/>
      <w:marBottom w:val="0"/>
      <w:divBdr>
        <w:top w:val="none" w:sz="0" w:space="0" w:color="auto"/>
        <w:left w:val="none" w:sz="0" w:space="0" w:color="auto"/>
        <w:bottom w:val="none" w:sz="0" w:space="0" w:color="auto"/>
        <w:right w:val="none" w:sz="0" w:space="0" w:color="auto"/>
      </w:divBdr>
    </w:div>
    <w:div w:id="407187934">
      <w:bodyDiv w:val="1"/>
      <w:marLeft w:val="0"/>
      <w:marRight w:val="0"/>
      <w:marTop w:val="0"/>
      <w:marBottom w:val="0"/>
      <w:divBdr>
        <w:top w:val="none" w:sz="0" w:space="0" w:color="auto"/>
        <w:left w:val="none" w:sz="0" w:space="0" w:color="auto"/>
        <w:bottom w:val="none" w:sz="0" w:space="0" w:color="auto"/>
        <w:right w:val="none" w:sz="0" w:space="0" w:color="auto"/>
      </w:divBdr>
    </w:div>
    <w:div w:id="407306342">
      <w:bodyDiv w:val="1"/>
      <w:marLeft w:val="0"/>
      <w:marRight w:val="0"/>
      <w:marTop w:val="0"/>
      <w:marBottom w:val="0"/>
      <w:divBdr>
        <w:top w:val="none" w:sz="0" w:space="0" w:color="auto"/>
        <w:left w:val="none" w:sz="0" w:space="0" w:color="auto"/>
        <w:bottom w:val="none" w:sz="0" w:space="0" w:color="auto"/>
        <w:right w:val="none" w:sz="0" w:space="0" w:color="auto"/>
      </w:divBdr>
    </w:div>
    <w:div w:id="407387663">
      <w:bodyDiv w:val="1"/>
      <w:marLeft w:val="0"/>
      <w:marRight w:val="0"/>
      <w:marTop w:val="0"/>
      <w:marBottom w:val="0"/>
      <w:divBdr>
        <w:top w:val="none" w:sz="0" w:space="0" w:color="auto"/>
        <w:left w:val="none" w:sz="0" w:space="0" w:color="auto"/>
        <w:bottom w:val="none" w:sz="0" w:space="0" w:color="auto"/>
        <w:right w:val="none" w:sz="0" w:space="0" w:color="auto"/>
      </w:divBdr>
    </w:div>
    <w:div w:id="407457535">
      <w:bodyDiv w:val="1"/>
      <w:marLeft w:val="0"/>
      <w:marRight w:val="0"/>
      <w:marTop w:val="0"/>
      <w:marBottom w:val="0"/>
      <w:divBdr>
        <w:top w:val="none" w:sz="0" w:space="0" w:color="auto"/>
        <w:left w:val="none" w:sz="0" w:space="0" w:color="auto"/>
        <w:bottom w:val="none" w:sz="0" w:space="0" w:color="auto"/>
        <w:right w:val="none" w:sz="0" w:space="0" w:color="auto"/>
      </w:divBdr>
    </w:div>
    <w:div w:id="407457812">
      <w:bodyDiv w:val="1"/>
      <w:marLeft w:val="0"/>
      <w:marRight w:val="0"/>
      <w:marTop w:val="0"/>
      <w:marBottom w:val="0"/>
      <w:divBdr>
        <w:top w:val="none" w:sz="0" w:space="0" w:color="auto"/>
        <w:left w:val="none" w:sz="0" w:space="0" w:color="auto"/>
        <w:bottom w:val="none" w:sz="0" w:space="0" w:color="auto"/>
        <w:right w:val="none" w:sz="0" w:space="0" w:color="auto"/>
      </w:divBdr>
    </w:div>
    <w:div w:id="407463062">
      <w:bodyDiv w:val="1"/>
      <w:marLeft w:val="0"/>
      <w:marRight w:val="0"/>
      <w:marTop w:val="0"/>
      <w:marBottom w:val="0"/>
      <w:divBdr>
        <w:top w:val="none" w:sz="0" w:space="0" w:color="auto"/>
        <w:left w:val="none" w:sz="0" w:space="0" w:color="auto"/>
        <w:bottom w:val="none" w:sz="0" w:space="0" w:color="auto"/>
        <w:right w:val="none" w:sz="0" w:space="0" w:color="auto"/>
      </w:divBdr>
    </w:div>
    <w:div w:id="407729332">
      <w:bodyDiv w:val="1"/>
      <w:marLeft w:val="0"/>
      <w:marRight w:val="0"/>
      <w:marTop w:val="0"/>
      <w:marBottom w:val="0"/>
      <w:divBdr>
        <w:top w:val="none" w:sz="0" w:space="0" w:color="auto"/>
        <w:left w:val="none" w:sz="0" w:space="0" w:color="auto"/>
        <w:bottom w:val="none" w:sz="0" w:space="0" w:color="auto"/>
        <w:right w:val="none" w:sz="0" w:space="0" w:color="auto"/>
      </w:divBdr>
    </w:div>
    <w:div w:id="407852404">
      <w:bodyDiv w:val="1"/>
      <w:marLeft w:val="0"/>
      <w:marRight w:val="0"/>
      <w:marTop w:val="0"/>
      <w:marBottom w:val="0"/>
      <w:divBdr>
        <w:top w:val="none" w:sz="0" w:space="0" w:color="auto"/>
        <w:left w:val="none" w:sz="0" w:space="0" w:color="auto"/>
        <w:bottom w:val="none" w:sz="0" w:space="0" w:color="auto"/>
        <w:right w:val="none" w:sz="0" w:space="0" w:color="auto"/>
      </w:divBdr>
    </w:div>
    <w:div w:id="407852890">
      <w:bodyDiv w:val="1"/>
      <w:marLeft w:val="0"/>
      <w:marRight w:val="0"/>
      <w:marTop w:val="0"/>
      <w:marBottom w:val="0"/>
      <w:divBdr>
        <w:top w:val="none" w:sz="0" w:space="0" w:color="auto"/>
        <w:left w:val="none" w:sz="0" w:space="0" w:color="auto"/>
        <w:bottom w:val="none" w:sz="0" w:space="0" w:color="auto"/>
        <w:right w:val="none" w:sz="0" w:space="0" w:color="auto"/>
      </w:divBdr>
    </w:div>
    <w:div w:id="407921248">
      <w:bodyDiv w:val="1"/>
      <w:marLeft w:val="0"/>
      <w:marRight w:val="0"/>
      <w:marTop w:val="0"/>
      <w:marBottom w:val="0"/>
      <w:divBdr>
        <w:top w:val="none" w:sz="0" w:space="0" w:color="auto"/>
        <w:left w:val="none" w:sz="0" w:space="0" w:color="auto"/>
        <w:bottom w:val="none" w:sz="0" w:space="0" w:color="auto"/>
        <w:right w:val="none" w:sz="0" w:space="0" w:color="auto"/>
      </w:divBdr>
    </w:div>
    <w:div w:id="408117305">
      <w:bodyDiv w:val="1"/>
      <w:marLeft w:val="0"/>
      <w:marRight w:val="0"/>
      <w:marTop w:val="0"/>
      <w:marBottom w:val="0"/>
      <w:divBdr>
        <w:top w:val="none" w:sz="0" w:space="0" w:color="auto"/>
        <w:left w:val="none" w:sz="0" w:space="0" w:color="auto"/>
        <w:bottom w:val="none" w:sz="0" w:space="0" w:color="auto"/>
        <w:right w:val="none" w:sz="0" w:space="0" w:color="auto"/>
      </w:divBdr>
    </w:div>
    <w:div w:id="408189780">
      <w:bodyDiv w:val="1"/>
      <w:marLeft w:val="0"/>
      <w:marRight w:val="0"/>
      <w:marTop w:val="0"/>
      <w:marBottom w:val="0"/>
      <w:divBdr>
        <w:top w:val="none" w:sz="0" w:space="0" w:color="auto"/>
        <w:left w:val="none" w:sz="0" w:space="0" w:color="auto"/>
        <w:bottom w:val="none" w:sz="0" w:space="0" w:color="auto"/>
        <w:right w:val="none" w:sz="0" w:space="0" w:color="auto"/>
      </w:divBdr>
    </w:div>
    <w:div w:id="408190470">
      <w:bodyDiv w:val="1"/>
      <w:marLeft w:val="0"/>
      <w:marRight w:val="0"/>
      <w:marTop w:val="0"/>
      <w:marBottom w:val="0"/>
      <w:divBdr>
        <w:top w:val="none" w:sz="0" w:space="0" w:color="auto"/>
        <w:left w:val="none" w:sz="0" w:space="0" w:color="auto"/>
        <w:bottom w:val="none" w:sz="0" w:space="0" w:color="auto"/>
        <w:right w:val="none" w:sz="0" w:space="0" w:color="auto"/>
      </w:divBdr>
    </w:div>
    <w:div w:id="408231792">
      <w:bodyDiv w:val="1"/>
      <w:marLeft w:val="0"/>
      <w:marRight w:val="0"/>
      <w:marTop w:val="0"/>
      <w:marBottom w:val="0"/>
      <w:divBdr>
        <w:top w:val="none" w:sz="0" w:space="0" w:color="auto"/>
        <w:left w:val="none" w:sz="0" w:space="0" w:color="auto"/>
        <w:bottom w:val="none" w:sz="0" w:space="0" w:color="auto"/>
        <w:right w:val="none" w:sz="0" w:space="0" w:color="auto"/>
      </w:divBdr>
    </w:div>
    <w:div w:id="408312441">
      <w:bodyDiv w:val="1"/>
      <w:marLeft w:val="0"/>
      <w:marRight w:val="0"/>
      <w:marTop w:val="0"/>
      <w:marBottom w:val="0"/>
      <w:divBdr>
        <w:top w:val="none" w:sz="0" w:space="0" w:color="auto"/>
        <w:left w:val="none" w:sz="0" w:space="0" w:color="auto"/>
        <w:bottom w:val="none" w:sz="0" w:space="0" w:color="auto"/>
        <w:right w:val="none" w:sz="0" w:space="0" w:color="auto"/>
      </w:divBdr>
    </w:div>
    <w:div w:id="408617510">
      <w:bodyDiv w:val="1"/>
      <w:marLeft w:val="0"/>
      <w:marRight w:val="0"/>
      <w:marTop w:val="0"/>
      <w:marBottom w:val="0"/>
      <w:divBdr>
        <w:top w:val="none" w:sz="0" w:space="0" w:color="auto"/>
        <w:left w:val="none" w:sz="0" w:space="0" w:color="auto"/>
        <w:bottom w:val="none" w:sz="0" w:space="0" w:color="auto"/>
        <w:right w:val="none" w:sz="0" w:space="0" w:color="auto"/>
      </w:divBdr>
    </w:div>
    <w:div w:id="408624837">
      <w:bodyDiv w:val="1"/>
      <w:marLeft w:val="0"/>
      <w:marRight w:val="0"/>
      <w:marTop w:val="0"/>
      <w:marBottom w:val="0"/>
      <w:divBdr>
        <w:top w:val="none" w:sz="0" w:space="0" w:color="auto"/>
        <w:left w:val="none" w:sz="0" w:space="0" w:color="auto"/>
        <w:bottom w:val="none" w:sz="0" w:space="0" w:color="auto"/>
        <w:right w:val="none" w:sz="0" w:space="0" w:color="auto"/>
      </w:divBdr>
    </w:div>
    <w:div w:id="408815884">
      <w:bodyDiv w:val="1"/>
      <w:marLeft w:val="0"/>
      <w:marRight w:val="0"/>
      <w:marTop w:val="0"/>
      <w:marBottom w:val="0"/>
      <w:divBdr>
        <w:top w:val="none" w:sz="0" w:space="0" w:color="auto"/>
        <w:left w:val="none" w:sz="0" w:space="0" w:color="auto"/>
        <w:bottom w:val="none" w:sz="0" w:space="0" w:color="auto"/>
        <w:right w:val="none" w:sz="0" w:space="0" w:color="auto"/>
      </w:divBdr>
    </w:div>
    <w:div w:id="408842529">
      <w:bodyDiv w:val="1"/>
      <w:marLeft w:val="0"/>
      <w:marRight w:val="0"/>
      <w:marTop w:val="0"/>
      <w:marBottom w:val="0"/>
      <w:divBdr>
        <w:top w:val="none" w:sz="0" w:space="0" w:color="auto"/>
        <w:left w:val="none" w:sz="0" w:space="0" w:color="auto"/>
        <w:bottom w:val="none" w:sz="0" w:space="0" w:color="auto"/>
        <w:right w:val="none" w:sz="0" w:space="0" w:color="auto"/>
      </w:divBdr>
    </w:div>
    <w:div w:id="408887108">
      <w:bodyDiv w:val="1"/>
      <w:marLeft w:val="0"/>
      <w:marRight w:val="0"/>
      <w:marTop w:val="0"/>
      <w:marBottom w:val="0"/>
      <w:divBdr>
        <w:top w:val="none" w:sz="0" w:space="0" w:color="auto"/>
        <w:left w:val="none" w:sz="0" w:space="0" w:color="auto"/>
        <w:bottom w:val="none" w:sz="0" w:space="0" w:color="auto"/>
        <w:right w:val="none" w:sz="0" w:space="0" w:color="auto"/>
      </w:divBdr>
    </w:div>
    <w:div w:id="408891445">
      <w:bodyDiv w:val="1"/>
      <w:marLeft w:val="0"/>
      <w:marRight w:val="0"/>
      <w:marTop w:val="0"/>
      <w:marBottom w:val="0"/>
      <w:divBdr>
        <w:top w:val="none" w:sz="0" w:space="0" w:color="auto"/>
        <w:left w:val="none" w:sz="0" w:space="0" w:color="auto"/>
        <w:bottom w:val="none" w:sz="0" w:space="0" w:color="auto"/>
        <w:right w:val="none" w:sz="0" w:space="0" w:color="auto"/>
      </w:divBdr>
    </w:div>
    <w:div w:id="408960515">
      <w:bodyDiv w:val="1"/>
      <w:marLeft w:val="0"/>
      <w:marRight w:val="0"/>
      <w:marTop w:val="0"/>
      <w:marBottom w:val="0"/>
      <w:divBdr>
        <w:top w:val="none" w:sz="0" w:space="0" w:color="auto"/>
        <w:left w:val="none" w:sz="0" w:space="0" w:color="auto"/>
        <w:bottom w:val="none" w:sz="0" w:space="0" w:color="auto"/>
        <w:right w:val="none" w:sz="0" w:space="0" w:color="auto"/>
      </w:divBdr>
    </w:div>
    <w:div w:id="409038581">
      <w:bodyDiv w:val="1"/>
      <w:marLeft w:val="0"/>
      <w:marRight w:val="0"/>
      <w:marTop w:val="0"/>
      <w:marBottom w:val="0"/>
      <w:divBdr>
        <w:top w:val="none" w:sz="0" w:space="0" w:color="auto"/>
        <w:left w:val="none" w:sz="0" w:space="0" w:color="auto"/>
        <w:bottom w:val="none" w:sz="0" w:space="0" w:color="auto"/>
        <w:right w:val="none" w:sz="0" w:space="0" w:color="auto"/>
      </w:divBdr>
    </w:div>
    <w:div w:id="409039565">
      <w:bodyDiv w:val="1"/>
      <w:marLeft w:val="0"/>
      <w:marRight w:val="0"/>
      <w:marTop w:val="0"/>
      <w:marBottom w:val="0"/>
      <w:divBdr>
        <w:top w:val="none" w:sz="0" w:space="0" w:color="auto"/>
        <w:left w:val="none" w:sz="0" w:space="0" w:color="auto"/>
        <w:bottom w:val="none" w:sz="0" w:space="0" w:color="auto"/>
        <w:right w:val="none" w:sz="0" w:space="0" w:color="auto"/>
      </w:divBdr>
    </w:div>
    <w:div w:id="409082601">
      <w:bodyDiv w:val="1"/>
      <w:marLeft w:val="0"/>
      <w:marRight w:val="0"/>
      <w:marTop w:val="0"/>
      <w:marBottom w:val="0"/>
      <w:divBdr>
        <w:top w:val="none" w:sz="0" w:space="0" w:color="auto"/>
        <w:left w:val="none" w:sz="0" w:space="0" w:color="auto"/>
        <w:bottom w:val="none" w:sz="0" w:space="0" w:color="auto"/>
        <w:right w:val="none" w:sz="0" w:space="0" w:color="auto"/>
      </w:divBdr>
    </w:div>
    <w:div w:id="409084829">
      <w:bodyDiv w:val="1"/>
      <w:marLeft w:val="0"/>
      <w:marRight w:val="0"/>
      <w:marTop w:val="0"/>
      <w:marBottom w:val="0"/>
      <w:divBdr>
        <w:top w:val="none" w:sz="0" w:space="0" w:color="auto"/>
        <w:left w:val="none" w:sz="0" w:space="0" w:color="auto"/>
        <w:bottom w:val="none" w:sz="0" w:space="0" w:color="auto"/>
        <w:right w:val="none" w:sz="0" w:space="0" w:color="auto"/>
      </w:divBdr>
    </w:div>
    <w:div w:id="409231170">
      <w:bodyDiv w:val="1"/>
      <w:marLeft w:val="0"/>
      <w:marRight w:val="0"/>
      <w:marTop w:val="0"/>
      <w:marBottom w:val="0"/>
      <w:divBdr>
        <w:top w:val="none" w:sz="0" w:space="0" w:color="auto"/>
        <w:left w:val="none" w:sz="0" w:space="0" w:color="auto"/>
        <w:bottom w:val="none" w:sz="0" w:space="0" w:color="auto"/>
        <w:right w:val="none" w:sz="0" w:space="0" w:color="auto"/>
      </w:divBdr>
    </w:div>
    <w:div w:id="409280303">
      <w:bodyDiv w:val="1"/>
      <w:marLeft w:val="0"/>
      <w:marRight w:val="0"/>
      <w:marTop w:val="0"/>
      <w:marBottom w:val="0"/>
      <w:divBdr>
        <w:top w:val="none" w:sz="0" w:space="0" w:color="auto"/>
        <w:left w:val="none" w:sz="0" w:space="0" w:color="auto"/>
        <w:bottom w:val="none" w:sz="0" w:space="0" w:color="auto"/>
        <w:right w:val="none" w:sz="0" w:space="0" w:color="auto"/>
      </w:divBdr>
    </w:div>
    <w:div w:id="409354418">
      <w:bodyDiv w:val="1"/>
      <w:marLeft w:val="0"/>
      <w:marRight w:val="0"/>
      <w:marTop w:val="0"/>
      <w:marBottom w:val="0"/>
      <w:divBdr>
        <w:top w:val="none" w:sz="0" w:space="0" w:color="auto"/>
        <w:left w:val="none" w:sz="0" w:space="0" w:color="auto"/>
        <w:bottom w:val="none" w:sz="0" w:space="0" w:color="auto"/>
        <w:right w:val="none" w:sz="0" w:space="0" w:color="auto"/>
      </w:divBdr>
    </w:div>
    <w:div w:id="409620508">
      <w:bodyDiv w:val="1"/>
      <w:marLeft w:val="0"/>
      <w:marRight w:val="0"/>
      <w:marTop w:val="0"/>
      <w:marBottom w:val="0"/>
      <w:divBdr>
        <w:top w:val="none" w:sz="0" w:space="0" w:color="auto"/>
        <w:left w:val="none" w:sz="0" w:space="0" w:color="auto"/>
        <w:bottom w:val="none" w:sz="0" w:space="0" w:color="auto"/>
        <w:right w:val="none" w:sz="0" w:space="0" w:color="auto"/>
      </w:divBdr>
    </w:div>
    <w:div w:id="409739824">
      <w:bodyDiv w:val="1"/>
      <w:marLeft w:val="0"/>
      <w:marRight w:val="0"/>
      <w:marTop w:val="0"/>
      <w:marBottom w:val="0"/>
      <w:divBdr>
        <w:top w:val="none" w:sz="0" w:space="0" w:color="auto"/>
        <w:left w:val="none" w:sz="0" w:space="0" w:color="auto"/>
        <w:bottom w:val="none" w:sz="0" w:space="0" w:color="auto"/>
        <w:right w:val="none" w:sz="0" w:space="0" w:color="auto"/>
      </w:divBdr>
    </w:div>
    <w:div w:id="409816348">
      <w:bodyDiv w:val="1"/>
      <w:marLeft w:val="0"/>
      <w:marRight w:val="0"/>
      <w:marTop w:val="0"/>
      <w:marBottom w:val="0"/>
      <w:divBdr>
        <w:top w:val="none" w:sz="0" w:space="0" w:color="auto"/>
        <w:left w:val="none" w:sz="0" w:space="0" w:color="auto"/>
        <w:bottom w:val="none" w:sz="0" w:space="0" w:color="auto"/>
        <w:right w:val="none" w:sz="0" w:space="0" w:color="auto"/>
      </w:divBdr>
    </w:div>
    <w:div w:id="409887906">
      <w:bodyDiv w:val="1"/>
      <w:marLeft w:val="0"/>
      <w:marRight w:val="0"/>
      <w:marTop w:val="0"/>
      <w:marBottom w:val="0"/>
      <w:divBdr>
        <w:top w:val="none" w:sz="0" w:space="0" w:color="auto"/>
        <w:left w:val="none" w:sz="0" w:space="0" w:color="auto"/>
        <w:bottom w:val="none" w:sz="0" w:space="0" w:color="auto"/>
        <w:right w:val="none" w:sz="0" w:space="0" w:color="auto"/>
      </w:divBdr>
    </w:div>
    <w:div w:id="409935592">
      <w:bodyDiv w:val="1"/>
      <w:marLeft w:val="0"/>
      <w:marRight w:val="0"/>
      <w:marTop w:val="0"/>
      <w:marBottom w:val="0"/>
      <w:divBdr>
        <w:top w:val="none" w:sz="0" w:space="0" w:color="auto"/>
        <w:left w:val="none" w:sz="0" w:space="0" w:color="auto"/>
        <w:bottom w:val="none" w:sz="0" w:space="0" w:color="auto"/>
        <w:right w:val="none" w:sz="0" w:space="0" w:color="auto"/>
      </w:divBdr>
    </w:div>
    <w:div w:id="410005874">
      <w:bodyDiv w:val="1"/>
      <w:marLeft w:val="0"/>
      <w:marRight w:val="0"/>
      <w:marTop w:val="0"/>
      <w:marBottom w:val="0"/>
      <w:divBdr>
        <w:top w:val="none" w:sz="0" w:space="0" w:color="auto"/>
        <w:left w:val="none" w:sz="0" w:space="0" w:color="auto"/>
        <w:bottom w:val="none" w:sz="0" w:space="0" w:color="auto"/>
        <w:right w:val="none" w:sz="0" w:space="0" w:color="auto"/>
      </w:divBdr>
    </w:div>
    <w:div w:id="410128958">
      <w:bodyDiv w:val="1"/>
      <w:marLeft w:val="0"/>
      <w:marRight w:val="0"/>
      <w:marTop w:val="0"/>
      <w:marBottom w:val="0"/>
      <w:divBdr>
        <w:top w:val="none" w:sz="0" w:space="0" w:color="auto"/>
        <w:left w:val="none" w:sz="0" w:space="0" w:color="auto"/>
        <w:bottom w:val="none" w:sz="0" w:space="0" w:color="auto"/>
        <w:right w:val="none" w:sz="0" w:space="0" w:color="auto"/>
      </w:divBdr>
    </w:div>
    <w:div w:id="410278380">
      <w:bodyDiv w:val="1"/>
      <w:marLeft w:val="0"/>
      <w:marRight w:val="0"/>
      <w:marTop w:val="0"/>
      <w:marBottom w:val="0"/>
      <w:divBdr>
        <w:top w:val="none" w:sz="0" w:space="0" w:color="auto"/>
        <w:left w:val="none" w:sz="0" w:space="0" w:color="auto"/>
        <w:bottom w:val="none" w:sz="0" w:space="0" w:color="auto"/>
        <w:right w:val="none" w:sz="0" w:space="0" w:color="auto"/>
      </w:divBdr>
    </w:div>
    <w:div w:id="410347710">
      <w:bodyDiv w:val="1"/>
      <w:marLeft w:val="0"/>
      <w:marRight w:val="0"/>
      <w:marTop w:val="0"/>
      <w:marBottom w:val="0"/>
      <w:divBdr>
        <w:top w:val="none" w:sz="0" w:space="0" w:color="auto"/>
        <w:left w:val="none" w:sz="0" w:space="0" w:color="auto"/>
        <w:bottom w:val="none" w:sz="0" w:space="0" w:color="auto"/>
        <w:right w:val="none" w:sz="0" w:space="0" w:color="auto"/>
      </w:divBdr>
    </w:div>
    <w:div w:id="410467482">
      <w:bodyDiv w:val="1"/>
      <w:marLeft w:val="0"/>
      <w:marRight w:val="0"/>
      <w:marTop w:val="0"/>
      <w:marBottom w:val="0"/>
      <w:divBdr>
        <w:top w:val="none" w:sz="0" w:space="0" w:color="auto"/>
        <w:left w:val="none" w:sz="0" w:space="0" w:color="auto"/>
        <w:bottom w:val="none" w:sz="0" w:space="0" w:color="auto"/>
        <w:right w:val="none" w:sz="0" w:space="0" w:color="auto"/>
      </w:divBdr>
    </w:div>
    <w:div w:id="410470894">
      <w:bodyDiv w:val="1"/>
      <w:marLeft w:val="0"/>
      <w:marRight w:val="0"/>
      <w:marTop w:val="0"/>
      <w:marBottom w:val="0"/>
      <w:divBdr>
        <w:top w:val="none" w:sz="0" w:space="0" w:color="auto"/>
        <w:left w:val="none" w:sz="0" w:space="0" w:color="auto"/>
        <w:bottom w:val="none" w:sz="0" w:space="0" w:color="auto"/>
        <w:right w:val="none" w:sz="0" w:space="0" w:color="auto"/>
      </w:divBdr>
    </w:div>
    <w:div w:id="410584137">
      <w:bodyDiv w:val="1"/>
      <w:marLeft w:val="0"/>
      <w:marRight w:val="0"/>
      <w:marTop w:val="0"/>
      <w:marBottom w:val="0"/>
      <w:divBdr>
        <w:top w:val="none" w:sz="0" w:space="0" w:color="auto"/>
        <w:left w:val="none" w:sz="0" w:space="0" w:color="auto"/>
        <w:bottom w:val="none" w:sz="0" w:space="0" w:color="auto"/>
        <w:right w:val="none" w:sz="0" w:space="0" w:color="auto"/>
      </w:divBdr>
    </w:div>
    <w:div w:id="410657851">
      <w:bodyDiv w:val="1"/>
      <w:marLeft w:val="0"/>
      <w:marRight w:val="0"/>
      <w:marTop w:val="0"/>
      <w:marBottom w:val="0"/>
      <w:divBdr>
        <w:top w:val="none" w:sz="0" w:space="0" w:color="auto"/>
        <w:left w:val="none" w:sz="0" w:space="0" w:color="auto"/>
        <w:bottom w:val="none" w:sz="0" w:space="0" w:color="auto"/>
        <w:right w:val="none" w:sz="0" w:space="0" w:color="auto"/>
      </w:divBdr>
    </w:div>
    <w:div w:id="410812103">
      <w:bodyDiv w:val="1"/>
      <w:marLeft w:val="0"/>
      <w:marRight w:val="0"/>
      <w:marTop w:val="0"/>
      <w:marBottom w:val="0"/>
      <w:divBdr>
        <w:top w:val="none" w:sz="0" w:space="0" w:color="auto"/>
        <w:left w:val="none" w:sz="0" w:space="0" w:color="auto"/>
        <w:bottom w:val="none" w:sz="0" w:space="0" w:color="auto"/>
        <w:right w:val="none" w:sz="0" w:space="0" w:color="auto"/>
      </w:divBdr>
    </w:div>
    <w:div w:id="410930365">
      <w:bodyDiv w:val="1"/>
      <w:marLeft w:val="0"/>
      <w:marRight w:val="0"/>
      <w:marTop w:val="0"/>
      <w:marBottom w:val="0"/>
      <w:divBdr>
        <w:top w:val="none" w:sz="0" w:space="0" w:color="auto"/>
        <w:left w:val="none" w:sz="0" w:space="0" w:color="auto"/>
        <w:bottom w:val="none" w:sz="0" w:space="0" w:color="auto"/>
        <w:right w:val="none" w:sz="0" w:space="0" w:color="auto"/>
      </w:divBdr>
    </w:div>
    <w:div w:id="410933272">
      <w:bodyDiv w:val="1"/>
      <w:marLeft w:val="0"/>
      <w:marRight w:val="0"/>
      <w:marTop w:val="0"/>
      <w:marBottom w:val="0"/>
      <w:divBdr>
        <w:top w:val="none" w:sz="0" w:space="0" w:color="auto"/>
        <w:left w:val="none" w:sz="0" w:space="0" w:color="auto"/>
        <w:bottom w:val="none" w:sz="0" w:space="0" w:color="auto"/>
        <w:right w:val="none" w:sz="0" w:space="0" w:color="auto"/>
      </w:divBdr>
    </w:div>
    <w:div w:id="410978269">
      <w:bodyDiv w:val="1"/>
      <w:marLeft w:val="0"/>
      <w:marRight w:val="0"/>
      <w:marTop w:val="0"/>
      <w:marBottom w:val="0"/>
      <w:divBdr>
        <w:top w:val="none" w:sz="0" w:space="0" w:color="auto"/>
        <w:left w:val="none" w:sz="0" w:space="0" w:color="auto"/>
        <w:bottom w:val="none" w:sz="0" w:space="0" w:color="auto"/>
        <w:right w:val="none" w:sz="0" w:space="0" w:color="auto"/>
      </w:divBdr>
    </w:div>
    <w:div w:id="411001549">
      <w:bodyDiv w:val="1"/>
      <w:marLeft w:val="0"/>
      <w:marRight w:val="0"/>
      <w:marTop w:val="0"/>
      <w:marBottom w:val="0"/>
      <w:divBdr>
        <w:top w:val="none" w:sz="0" w:space="0" w:color="auto"/>
        <w:left w:val="none" w:sz="0" w:space="0" w:color="auto"/>
        <w:bottom w:val="none" w:sz="0" w:space="0" w:color="auto"/>
        <w:right w:val="none" w:sz="0" w:space="0" w:color="auto"/>
      </w:divBdr>
    </w:div>
    <w:div w:id="411046066">
      <w:bodyDiv w:val="1"/>
      <w:marLeft w:val="0"/>
      <w:marRight w:val="0"/>
      <w:marTop w:val="0"/>
      <w:marBottom w:val="0"/>
      <w:divBdr>
        <w:top w:val="none" w:sz="0" w:space="0" w:color="auto"/>
        <w:left w:val="none" w:sz="0" w:space="0" w:color="auto"/>
        <w:bottom w:val="none" w:sz="0" w:space="0" w:color="auto"/>
        <w:right w:val="none" w:sz="0" w:space="0" w:color="auto"/>
      </w:divBdr>
    </w:div>
    <w:div w:id="411046101">
      <w:bodyDiv w:val="1"/>
      <w:marLeft w:val="0"/>
      <w:marRight w:val="0"/>
      <w:marTop w:val="0"/>
      <w:marBottom w:val="0"/>
      <w:divBdr>
        <w:top w:val="none" w:sz="0" w:space="0" w:color="auto"/>
        <w:left w:val="none" w:sz="0" w:space="0" w:color="auto"/>
        <w:bottom w:val="none" w:sz="0" w:space="0" w:color="auto"/>
        <w:right w:val="none" w:sz="0" w:space="0" w:color="auto"/>
      </w:divBdr>
    </w:div>
    <w:div w:id="411122542">
      <w:bodyDiv w:val="1"/>
      <w:marLeft w:val="0"/>
      <w:marRight w:val="0"/>
      <w:marTop w:val="0"/>
      <w:marBottom w:val="0"/>
      <w:divBdr>
        <w:top w:val="none" w:sz="0" w:space="0" w:color="auto"/>
        <w:left w:val="none" w:sz="0" w:space="0" w:color="auto"/>
        <w:bottom w:val="none" w:sz="0" w:space="0" w:color="auto"/>
        <w:right w:val="none" w:sz="0" w:space="0" w:color="auto"/>
      </w:divBdr>
    </w:div>
    <w:div w:id="411197857">
      <w:bodyDiv w:val="1"/>
      <w:marLeft w:val="0"/>
      <w:marRight w:val="0"/>
      <w:marTop w:val="0"/>
      <w:marBottom w:val="0"/>
      <w:divBdr>
        <w:top w:val="none" w:sz="0" w:space="0" w:color="auto"/>
        <w:left w:val="none" w:sz="0" w:space="0" w:color="auto"/>
        <w:bottom w:val="none" w:sz="0" w:space="0" w:color="auto"/>
        <w:right w:val="none" w:sz="0" w:space="0" w:color="auto"/>
      </w:divBdr>
    </w:div>
    <w:div w:id="411241553">
      <w:bodyDiv w:val="1"/>
      <w:marLeft w:val="0"/>
      <w:marRight w:val="0"/>
      <w:marTop w:val="0"/>
      <w:marBottom w:val="0"/>
      <w:divBdr>
        <w:top w:val="none" w:sz="0" w:space="0" w:color="auto"/>
        <w:left w:val="none" w:sz="0" w:space="0" w:color="auto"/>
        <w:bottom w:val="none" w:sz="0" w:space="0" w:color="auto"/>
        <w:right w:val="none" w:sz="0" w:space="0" w:color="auto"/>
      </w:divBdr>
    </w:div>
    <w:div w:id="411319701">
      <w:bodyDiv w:val="1"/>
      <w:marLeft w:val="0"/>
      <w:marRight w:val="0"/>
      <w:marTop w:val="0"/>
      <w:marBottom w:val="0"/>
      <w:divBdr>
        <w:top w:val="none" w:sz="0" w:space="0" w:color="auto"/>
        <w:left w:val="none" w:sz="0" w:space="0" w:color="auto"/>
        <w:bottom w:val="none" w:sz="0" w:space="0" w:color="auto"/>
        <w:right w:val="none" w:sz="0" w:space="0" w:color="auto"/>
      </w:divBdr>
    </w:div>
    <w:div w:id="411393268">
      <w:bodyDiv w:val="1"/>
      <w:marLeft w:val="0"/>
      <w:marRight w:val="0"/>
      <w:marTop w:val="0"/>
      <w:marBottom w:val="0"/>
      <w:divBdr>
        <w:top w:val="none" w:sz="0" w:space="0" w:color="auto"/>
        <w:left w:val="none" w:sz="0" w:space="0" w:color="auto"/>
        <w:bottom w:val="none" w:sz="0" w:space="0" w:color="auto"/>
        <w:right w:val="none" w:sz="0" w:space="0" w:color="auto"/>
      </w:divBdr>
    </w:div>
    <w:div w:id="411393539">
      <w:bodyDiv w:val="1"/>
      <w:marLeft w:val="0"/>
      <w:marRight w:val="0"/>
      <w:marTop w:val="0"/>
      <w:marBottom w:val="0"/>
      <w:divBdr>
        <w:top w:val="none" w:sz="0" w:space="0" w:color="auto"/>
        <w:left w:val="none" w:sz="0" w:space="0" w:color="auto"/>
        <w:bottom w:val="none" w:sz="0" w:space="0" w:color="auto"/>
        <w:right w:val="none" w:sz="0" w:space="0" w:color="auto"/>
      </w:divBdr>
    </w:div>
    <w:div w:id="411510468">
      <w:bodyDiv w:val="1"/>
      <w:marLeft w:val="0"/>
      <w:marRight w:val="0"/>
      <w:marTop w:val="0"/>
      <w:marBottom w:val="0"/>
      <w:divBdr>
        <w:top w:val="none" w:sz="0" w:space="0" w:color="auto"/>
        <w:left w:val="none" w:sz="0" w:space="0" w:color="auto"/>
        <w:bottom w:val="none" w:sz="0" w:space="0" w:color="auto"/>
        <w:right w:val="none" w:sz="0" w:space="0" w:color="auto"/>
      </w:divBdr>
    </w:div>
    <w:div w:id="411589376">
      <w:bodyDiv w:val="1"/>
      <w:marLeft w:val="0"/>
      <w:marRight w:val="0"/>
      <w:marTop w:val="0"/>
      <w:marBottom w:val="0"/>
      <w:divBdr>
        <w:top w:val="none" w:sz="0" w:space="0" w:color="auto"/>
        <w:left w:val="none" w:sz="0" w:space="0" w:color="auto"/>
        <w:bottom w:val="none" w:sz="0" w:space="0" w:color="auto"/>
        <w:right w:val="none" w:sz="0" w:space="0" w:color="auto"/>
      </w:divBdr>
    </w:div>
    <w:div w:id="411708406">
      <w:bodyDiv w:val="1"/>
      <w:marLeft w:val="0"/>
      <w:marRight w:val="0"/>
      <w:marTop w:val="0"/>
      <w:marBottom w:val="0"/>
      <w:divBdr>
        <w:top w:val="none" w:sz="0" w:space="0" w:color="auto"/>
        <w:left w:val="none" w:sz="0" w:space="0" w:color="auto"/>
        <w:bottom w:val="none" w:sz="0" w:space="0" w:color="auto"/>
        <w:right w:val="none" w:sz="0" w:space="0" w:color="auto"/>
      </w:divBdr>
    </w:div>
    <w:div w:id="411708885">
      <w:bodyDiv w:val="1"/>
      <w:marLeft w:val="0"/>
      <w:marRight w:val="0"/>
      <w:marTop w:val="0"/>
      <w:marBottom w:val="0"/>
      <w:divBdr>
        <w:top w:val="none" w:sz="0" w:space="0" w:color="auto"/>
        <w:left w:val="none" w:sz="0" w:space="0" w:color="auto"/>
        <w:bottom w:val="none" w:sz="0" w:space="0" w:color="auto"/>
        <w:right w:val="none" w:sz="0" w:space="0" w:color="auto"/>
      </w:divBdr>
    </w:div>
    <w:div w:id="411775311">
      <w:bodyDiv w:val="1"/>
      <w:marLeft w:val="0"/>
      <w:marRight w:val="0"/>
      <w:marTop w:val="0"/>
      <w:marBottom w:val="0"/>
      <w:divBdr>
        <w:top w:val="none" w:sz="0" w:space="0" w:color="auto"/>
        <w:left w:val="none" w:sz="0" w:space="0" w:color="auto"/>
        <w:bottom w:val="none" w:sz="0" w:space="0" w:color="auto"/>
        <w:right w:val="none" w:sz="0" w:space="0" w:color="auto"/>
      </w:divBdr>
    </w:div>
    <w:div w:id="411853928">
      <w:bodyDiv w:val="1"/>
      <w:marLeft w:val="0"/>
      <w:marRight w:val="0"/>
      <w:marTop w:val="0"/>
      <w:marBottom w:val="0"/>
      <w:divBdr>
        <w:top w:val="none" w:sz="0" w:space="0" w:color="auto"/>
        <w:left w:val="none" w:sz="0" w:space="0" w:color="auto"/>
        <w:bottom w:val="none" w:sz="0" w:space="0" w:color="auto"/>
        <w:right w:val="none" w:sz="0" w:space="0" w:color="auto"/>
      </w:divBdr>
    </w:div>
    <w:div w:id="411857937">
      <w:bodyDiv w:val="1"/>
      <w:marLeft w:val="0"/>
      <w:marRight w:val="0"/>
      <w:marTop w:val="0"/>
      <w:marBottom w:val="0"/>
      <w:divBdr>
        <w:top w:val="none" w:sz="0" w:space="0" w:color="auto"/>
        <w:left w:val="none" w:sz="0" w:space="0" w:color="auto"/>
        <w:bottom w:val="none" w:sz="0" w:space="0" w:color="auto"/>
        <w:right w:val="none" w:sz="0" w:space="0" w:color="auto"/>
      </w:divBdr>
    </w:div>
    <w:div w:id="411900683">
      <w:bodyDiv w:val="1"/>
      <w:marLeft w:val="0"/>
      <w:marRight w:val="0"/>
      <w:marTop w:val="0"/>
      <w:marBottom w:val="0"/>
      <w:divBdr>
        <w:top w:val="none" w:sz="0" w:space="0" w:color="auto"/>
        <w:left w:val="none" w:sz="0" w:space="0" w:color="auto"/>
        <w:bottom w:val="none" w:sz="0" w:space="0" w:color="auto"/>
        <w:right w:val="none" w:sz="0" w:space="0" w:color="auto"/>
      </w:divBdr>
    </w:div>
    <w:div w:id="411976489">
      <w:bodyDiv w:val="1"/>
      <w:marLeft w:val="0"/>
      <w:marRight w:val="0"/>
      <w:marTop w:val="0"/>
      <w:marBottom w:val="0"/>
      <w:divBdr>
        <w:top w:val="none" w:sz="0" w:space="0" w:color="auto"/>
        <w:left w:val="none" w:sz="0" w:space="0" w:color="auto"/>
        <w:bottom w:val="none" w:sz="0" w:space="0" w:color="auto"/>
        <w:right w:val="none" w:sz="0" w:space="0" w:color="auto"/>
      </w:divBdr>
    </w:div>
    <w:div w:id="412356650">
      <w:bodyDiv w:val="1"/>
      <w:marLeft w:val="0"/>
      <w:marRight w:val="0"/>
      <w:marTop w:val="0"/>
      <w:marBottom w:val="0"/>
      <w:divBdr>
        <w:top w:val="none" w:sz="0" w:space="0" w:color="auto"/>
        <w:left w:val="none" w:sz="0" w:space="0" w:color="auto"/>
        <w:bottom w:val="none" w:sz="0" w:space="0" w:color="auto"/>
        <w:right w:val="none" w:sz="0" w:space="0" w:color="auto"/>
      </w:divBdr>
    </w:div>
    <w:div w:id="412358055">
      <w:bodyDiv w:val="1"/>
      <w:marLeft w:val="0"/>
      <w:marRight w:val="0"/>
      <w:marTop w:val="0"/>
      <w:marBottom w:val="0"/>
      <w:divBdr>
        <w:top w:val="none" w:sz="0" w:space="0" w:color="auto"/>
        <w:left w:val="none" w:sz="0" w:space="0" w:color="auto"/>
        <w:bottom w:val="none" w:sz="0" w:space="0" w:color="auto"/>
        <w:right w:val="none" w:sz="0" w:space="0" w:color="auto"/>
      </w:divBdr>
    </w:div>
    <w:div w:id="412362014">
      <w:bodyDiv w:val="1"/>
      <w:marLeft w:val="0"/>
      <w:marRight w:val="0"/>
      <w:marTop w:val="0"/>
      <w:marBottom w:val="0"/>
      <w:divBdr>
        <w:top w:val="none" w:sz="0" w:space="0" w:color="auto"/>
        <w:left w:val="none" w:sz="0" w:space="0" w:color="auto"/>
        <w:bottom w:val="none" w:sz="0" w:space="0" w:color="auto"/>
        <w:right w:val="none" w:sz="0" w:space="0" w:color="auto"/>
      </w:divBdr>
    </w:div>
    <w:div w:id="412363775">
      <w:bodyDiv w:val="1"/>
      <w:marLeft w:val="0"/>
      <w:marRight w:val="0"/>
      <w:marTop w:val="0"/>
      <w:marBottom w:val="0"/>
      <w:divBdr>
        <w:top w:val="none" w:sz="0" w:space="0" w:color="auto"/>
        <w:left w:val="none" w:sz="0" w:space="0" w:color="auto"/>
        <w:bottom w:val="none" w:sz="0" w:space="0" w:color="auto"/>
        <w:right w:val="none" w:sz="0" w:space="0" w:color="auto"/>
      </w:divBdr>
    </w:div>
    <w:div w:id="412509746">
      <w:bodyDiv w:val="1"/>
      <w:marLeft w:val="0"/>
      <w:marRight w:val="0"/>
      <w:marTop w:val="0"/>
      <w:marBottom w:val="0"/>
      <w:divBdr>
        <w:top w:val="none" w:sz="0" w:space="0" w:color="auto"/>
        <w:left w:val="none" w:sz="0" w:space="0" w:color="auto"/>
        <w:bottom w:val="none" w:sz="0" w:space="0" w:color="auto"/>
        <w:right w:val="none" w:sz="0" w:space="0" w:color="auto"/>
      </w:divBdr>
    </w:div>
    <w:div w:id="412514131">
      <w:bodyDiv w:val="1"/>
      <w:marLeft w:val="0"/>
      <w:marRight w:val="0"/>
      <w:marTop w:val="0"/>
      <w:marBottom w:val="0"/>
      <w:divBdr>
        <w:top w:val="none" w:sz="0" w:space="0" w:color="auto"/>
        <w:left w:val="none" w:sz="0" w:space="0" w:color="auto"/>
        <w:bottom w:val="none" w:sz="0" w:space="0" w:color="auto"/>
        <w:right w:val="none" w:sz="0" w:space="0" w:color="auto"/>
      </w:divBdr>
    </w:div>
    <w:div w:id="412554255">
      <w:bodyDiv w:val="1"/>
      <w:marLeft w:val="0"/>
      <w:marRight w:val="0"/>
      <w:marTop w:val="0"/>
      <w:marBottom w:val="0"/>
      <w:divBdr>
        <w:top w:val="none" w:sz="0" w:space="0" w:color="auto"/>
        <w:left w:val="none" w:sz="0" w:space="0" w:color="auto"/>
        <w:bottom w:val="none" w:sz="0" w:space="0" w:color="auto"/>
        <w:right w:val="none" w:sz="0" w:space="0" w:color="auto"/>
      </w:divBdr>
    </w:div>
    <w:div w:id="412626214">
      <w:bodyDiv w:val="1"/>
      <w:marLeft w:val="0"/>
      <w:marRight w:val="0"/>
      <w:marTop w:val="0"/>
      <w:marBottom w:val="0"/>
      <w:divBdr>
        <w:top w:val="none" w:sz="0" w:space="0" w:color="auto"/>
        <w:left w:val="none" w:sz="0" w:space="0" w:color="auto"/>
        <w:bottom w:val="none" w:sz="0" w:space="0" w:color="auto"/>
        <w:right w:val="none" w:sz="0" w:space="0" w:color="auto"/>
      </w:divBdr>
    </w:div>
    <w:div w:id="412819580">
      <w:bodyDiv w:val="1"/>
      <w:marLeft w:val="0"/>
      <w:marRight w:val="0"/>
      <w:marTop w:val="0"/>
      <w:marBottom w:val="0"/>
      <w:divBdr>
        <w:top w:val="none" w:sz="0" w:space="0" w:color="auto"/>
        <w:left w:val="none" w:sz="0" w:space="0" w:color="auto"/>
        <w:bottom w:val="none" w:sz="0" w:space="0" w:color="auto"/>
        <w:right w:val="none" w:sz="0" w:space="0" w:color="auto"/>
      </w:divBdr>
    </w:div>
    <w:div w:id="412822853">
      <w:bodyDiv w:val="1"/>
      <w:marLeft w:val="0"/>
      <w:marRight w:val="0"/>
      <w:marTop w:val="0"/>
      <w:marBottom w:val="0"/>
      <w:divBdr>
        <w:top w:val="none" w:sz="0" w:space="0" w:color="auto"/>
        <w:left w:val="none" w:sz="0" w:space="0" w:color="auto"/>
        <w:bottom w:val="none" w:sz="0" w:space="0" w:color="auto"/>
        <w:right w:val="none" w:sz="0" w:space="0" w:color="auto"/>
      </w:divBdr>
    </w:div>
    <w:div w:id="412894880">
      <w:bodyDiv w:val="1"/>
      <w:marLeft w:val="0"/>
      <w:marRight w:val="0"/>
      <w:marTop w:val="0"/>
      <w:marBottom w:val="0"/>
      <w:divBdr>
        <w:top w:val="none" w:sz="0" w:space="0" w:color="auto"/>
        <w:left w:val="none" w:sz="0" w:space="0" w:color="auto"/>
        <w:bottom w:val="none" w:sz="0" w:space="0" w:color="auto"/>
        <w:right w:val="none" w:sz="0" w:space="0" w:color="auto"/>
      </w:divBdr>
    </w:div>
    <w:div w:id="413085702">
      <w:bodyDiv w:val="1"/>
      <w:marLeft w:val="0"/>
      <w:marRight w:val="0"/>
      <w:marTop w:val="0"/>
      <w:marBottom w:val="0"/>
      <w:divBdr>
        <w:top w:val="none" w:sz="0" w:space="0" w:color="auto"/>
        <w:left w:val="none" w:sz="0" w:space="0" w:color="auto"/>
        <w:bottom w:val="none" w:sz="0" w:space="0" w:color="auto"/>
        <w:right w:val="none" w:sz="0" w:space="0" w:color="auto"/>
      </w:divBdr>
    </w:div>
    <w:div w:id="413087433">
      <w:bodyDiv w:val="1"/>
      <w:marLeft w:val="0"/>
      <w:marRight w:val="0"/>
      <w:marTop w:val="0"/>
      <w:marBottom w:val="0"/>
      <w:divBdr>
        <w:top w:val="none" w:sz="0" w:space="0" w:color="auto"/>
        <w:left w:val="none" w:sz="0" w:space="0" w:color="auto"/>
        <w:bottom w:val="none" w:sz="0" w:space="0" w:color="auto"/>
        <w:right w:val="none" w:sz="0" w:space="0" w:color="auto"/>
      </w:divBdr>
    </w:div>
    <w:div w:id="413088769">
      <w:bodyDiv w:val="1"/>
      <w:marLeft w:val="0"/>
      <w:marRight w:val="0"/>
      <w:marTop w:val="0"/>
      <w:marBottom w:val="0"/>
      <w:divBdr>
        <w:top w:val="none" w:sz="0" w:space="0" w:color="auto"/>
        <w:left w:val="none" w:sz="0" w:space="0" w:color="auto"/>
        <w:bottom w:val="none" w:sz="0" w:space="0" w:color="auto"/>
        <w:right w:val="none" w:sz="0" w:space="0" w:color="auto"/>
      </w:divBdr>
    </w:div>
    <w:div w:id="413167983">
      <w:bodyDiv w:val="1"/>
      <w:marLeft w:val="0"/>
      <w:marRight w:val="0"/>
      <w:marTop w:val="0"/>
      <w:marBottom w:val="0"/>
      <w:divBdr>
        <w:top w:val="none" w:sz="0" w:space="0" w:color="auto"/>
        <w:left w:val="none" w:sz="0" w:space="0" w:color="auto"/>
        <w:bottom w:val="none" w:sz="0" w:space="0" w:color="auto"/>
        <w:right w:val="none" w:sz="0" w:space="0" w:color="auto"/>
      </w:divBdr>
    </w:div>
    <w:div w:id="413287314">
      <w:bodyDiv w:val="1"/>
      <w:marLeft w:val="0"/>
      <w:marRight w:val="0"/>
      <w:marTop w:val="0"/>
      <w:marBottom w:val="0"/>
      <w:divBdr>
        <w:top w:val="none" w:sz="0" w:space="0" w:color="auto"/>
        <w:left w:val="none" w:sz="0" w:space="0" w:color="auto"/>
        <w:bottom w:val="none" w:sz="0" w:space="0" w:color="auto"/>
        <w:right w:val="none" w:sz="0" w:space="0" w:color="auto"/>
      </w:divBdr>
    </w:div>
    <w:div w:id="413288133">
      <w:bodyDiv w:val="1"/>
      <w:marLeft w:val="0"/>
      <w:marRight w:val="0"/>
      <w:marTop w:val="0"/>
      <w:marBottom w:val="0"/>
      <w:divBdr>
        <w:top w:val="none" w:sz="0" w:space="0" w:color="auto"/>
        <w:left w:val="none" w:sz="0" w:space="0" w:color="auto"/>
        <w:bottom w:val="none" w:sz="0" w:space="0" w:color="auto"/>
        <w:right w:val="none" w:sz="0" w:space="0" w:color="auto"/>
      </w:divBdr>
    </w:div>
    <w:div w:id="413355237">
      <w:bodyDiv w:val="1"/>
      <w:marLeft w:val="0"/>
      <w:marRight w:val="0"/>
      <w:marTop w:val="0"/>
      <w:marBottom w:val="0"/>
      <w:divBdr>
        <w:top w:val="none" w:sz="0" w:space="0" w:color="auto"/>
        <w:left w:val="none" w:sz="0" w:space="0" w:color="auto"/>
        <w:bottom w:val="none" w:sz="0" w:space="0" w:color="auto"/>
        <w:right w:val="none" w:sz="0" w:space="0" w:color="auto"/>
      </w:divBdr>
    </w:div>
    <w:div w:id="413355984">
      <w:bodyDiv w:val="1"/>
      <w:marLeft w:val="0"/>
      <w:marRight w:val="0"/>
      <w:marTop w:val="0"/>
      <w:marBottom w:val="0"/>
      <w:divBdr>
        <w:top w:val="none" w:sz="0" w:space="0" w:color="auto"/>
        <w:left w:val="none" w:sz="0" w:space="0" w:color="auto"/>
        <w:bottom w:val="none" w:sz="0" w:space="0" w:color="auto"/>
        <w:right w:val="none" w:sz="0" w:space="0" w:color="auto"/>
      </w:divBdr>
    </w:div>
    <w:div w:id="413430377">
      <w:bodyDiv w:val="1"/>
      <w:marLeft w:val="0"/>
      <w:marRight w:val="0"/>
      <w:marTop w:val="0"/>
      <w:marBottom w:val="0"/>
      <w:divBdr>
        <w:top w:val="none" w:sz="0" w:space="0" w:color="auto"/>
        <w:left w:val="none" w:sz="0" w:space="0" w:color="auto"/>
        <w:bottom w:val="none" w:sz="0" w:space="0" w:color="auto"/>
        <w:right w:val="none" w:sz="0" w:space="0" w:color="auto"/>
      </w:divBdr>
    </w:div>
    <w:div w:id="413668360">
      <w:bodyDiv w:val="1"/>
      <w:marLeft w:val="0"/>
      <w:marRight w:val="0"/>
      <w:marTop w:val="0"/>
      <w:marBottom w:val="0"/>
      <w:divBdr>
        <w:top w:val="none" w:sz="0" w:space="0" w:color="auto"/>
        <w:left w:val="none" w:sz="0" w:space="0" w:color="auto"/>
        <w:bottom w:val="none" w:sz="0" w:space="0" w:color="auto"/>
        <w:right w:val="none" w:sz="0" w:space="0" w:color="auto"/>
      </w:divBdr>
    </w:div>
    <w:div w:id="413744333">
      <w:bodyDiv w:val="1"/>
      <w:marLeft w:val="0"/>
      <w:marRight w:val="0"/>
      <w:marTop w:val="0"/>
      <w:marBottom w:val="0"/>
      <w:divBdr>
        <w:top w:val="none" w:sz="0" w:space="0" w:color="auto"/>
        <w:left w:val="none" w:sz="0" w:space="0" w:color="auto"/>
        <w:bottom w:val="none" w:sz="0" w:space="0" w:color="auto"/>
        <w:right w:val="none" w:sz="0" w:space="0" w:color="auto"/>
      </w:divBdr>
    </w:div>
    <w:div w:id="413941646">
      <w:bodyDiv w:val="1"/>
      <w:marLeft w:val="0"/>
      <w:marRight w:val="0"/>
      <w:marTop w:val="0"/>
      <w:marBottom w:val="0"/>
      <w:divBdr>
        <w:top w:val="none" w:sz="0" w:space="0" w:color="auto"/>
        <w:left w:val="none" w:sz="0" w:space="0" w:color="auto"/>
        <w:bottom w:val="none" w:sz="0" w:space="0" w:color="auto"/>
        <w:right w:val="none" w:sz="0" w:space="0" w:color="auto"/>
      </w:divBdr>
    </w:div>
    <w:div w:id="414136147">
      <w:bodyDiv w:val="1"/>
      <w:marLeft w:val="0"/>
      <w:marRight w:val="0"/>
      <w:marTop w:val="0"/>
      <w:marBottom w:val="0"/>
      <w:divBdr>
        <w:top w:val="none" w:sz="0" w:space="0" w:color="auto"/>
        <w:left w:val="none" w:sz="0" w:space="0" w:color="auto"/>
        <w:bottom w:val="none" w:sz="0" w:space="0" w:color="auto"/>
        <w:right w:val="none" w:sz="0" w:space="0" w:color="auto"/>
      </w:divBdr>
    </w:div>
    <w:div w:id="414210159">
      <w:bodyDiv w:val="1"/>
      <w:marLeft w:val="0"/>
      <w:marRight w:val="0"/>
      <w:marTop w:val="0"/>
      <w:marBottom w:val="0"/>
      <w:divBdr>
        <w:top w:val="none" w:sz="0" w:space="0" w:color="auto"/>
        <w:left w:val="none" w:sz="0" w:space="0" w:color="auto"/>
        <w:bottom w:val="none" w:sz="0" w:space="0" w:color="auto"/>
        <w:right w:val="none" w:sz="0" w:space="0" w:color="auto"/>
      </w:divBdr>
    </w:div>
    <w:div w:id="414253376">
      <w:bodyDiv w:val="1"/>
      <w:marLeft w:val="0"/>
      <w:marRight w:val="0"/>
      <w:marTop w:val="0"/>
      <w:marBottom w:val="0"/>
      <w:divBdr>
        <w:top w:val="none" w:sz="0" w:space="0" w:color="auto"/>
        <w:left w:val="none" w:sz="0" w:space="0" w:color="auto"/>
        <w:bottom w:val="none" w:sz="0" w:space="0" w:color="auto"/>
        <w:right w:val="none" w:sz="0" w:space="0" w:color="auto"/>
      </w:divBdr>
    </w:div>
    <w:div w:id="414284033">
      <w:bodyDiv w:val="1"/>
      <w:marLeft w:val="0"/>
      <w:marRight w:val="0"/>
      <w:marTop w:val="0"/>
      <w:marBottom w:val="0"/>
      <w:divBdr>
        <w:top w:val="none" w:sz="0" w:space="0" w:color="auto"/>
        <w:left w:val="none" w:sz="0" w:space="0" w:color="auto"/>
        <w:bottom w:val="none" w:sz="0" w:space="0" w:color="auto"/>
        <w:right w:val="none" w:sz="0" w:space="0" w:color="auto"/>
      </w:divBdr>
    </w:div>
    <w:div w:id="414325922">
      <w:bodyDiv w:val="1"/>
      <w:marLeft w:val="0"/>
      <w:marRight w:val="0"/>
      <w:marTop w:val="0"/>
      <w:marBottom w:val="0"/>
      <w:divBdr>
        <w:top w:val="none" w:sz="0" w:space="0" w:color="auto"/>
        <w:left w:val="none" w:sz="0" w:space="0" w:color="auto"/>
        <w:bottom w:val="none" w:sz="0" w:space="0" w:color="auto"/>
        <w:right w:val="none" w:sz="0" w:space="0" w:color="auto"/>
      </w:divBdr>
    </w:div>
    <w:div w:id="414405530">
      <w:bodyDiv w:val="1"/>
      <w:marLeft w:val="0"/>
      <w:marRight w:val="0"/>
      <w:marTop w:val="0"/>
      <w:marBottom w:val="0"/>
      <w:divBdr>
        <w:top w:val="none" w:sz="0" w:space="0" w:color="auto"/>
        <w:left w:val="none" w:sz="0" w:space="0" w:color="auto"/>
        <w:bottom w:val="none" w:sz="0" w:space="0" w:color="auto"/>
        <w:right w:val="none" w:sz="0" w:space="0" w:color="auto"/>
      </w:divBdr>
    </w:div>
    <w:div w:id="414477841">
      <w:bodyDiv w:val="1"/>
      <w:marLeft w:val="0"/>
      <w:marRight w:val="0"/>
      <w:marTop w:val="0"/>
      <w:marBottom w:val="0"/>
      <w:divBdr>
        <w:top w:val="none" w:sz="0" w:space="0" w:color="auto"/>
        <w:left w:val="none" w:sz="0" w:space="0" w:color="auto"/>
        <w:bottom w:val="none" w:sz="0" w:space="0" w:color="auto"/>
        <w:right w:val="none" w:sz="0" w:space="0" w:color="auto"/>
      </w:divBdr>
    </w:div>
    <w:div w:id="414479051">
      <w:bodyDiv w:val="1"/>
      <w:marLeft w:val="0"/>
      <w:marRight w:val="0"/>
      <w:marTop w:val="0"/>
      <w:marBottom w:val="0"/>
      <w:divBdr>
        <w:top w:val="none" w:sz="0" w:space="0" w:color="auto"/>
        <w:left w:val="none" w:sz="0" w:space="0" w:color="auto"/>
        <w:bottom w:val="none" w:sz="0" w:space="0" w:color="auto"/>
        <w:right w:val="none" w:sz="0" w:space="0" w:color="auto"/>
      </w:divBdr>
    </w:div>
    <w:div w:id="414672190">
      <w:bodyDiv w:val="1"/>
      <w:marLeft w:val="0"/>
      <w:marRight w:val="0"/>
      <w:marTop w:val="0"/>
      <w:marBottom w:val="0"/>
      <w:divBdr>
        <w:top w:val="none" w:sz="0" w:space="0" w:color="auto"/>
        <w:left w:val="none" w:sz="0" w:space="0" w:color="auto"/>
        <w:bottom w:val="none" w:sz="0" w:space="0" w:color="auto"/>
        <w:right w:val="none" w:sz="0" w:space="0" w:color="auto"/>
      </w:divBdr>
    </w:div>
    <w:div w:id="414716365">
      <w:bodyDiv w:val="1"/>
      <w:marLeft w:val="0"/>
      <w:marRight w:val="0"/>
      <w:marTop w:val="0"/>
      <w:marBottom w:val="0"/>
      <w:divBdr>
        <w:top w:val="none" w:sz="0" w:space="0" w:color="auto"/>
        <w:left w:val="none" w:sz="0" w:space="0" w:color="auto"/>
        <w:bottom w:val="none" w:sz="0" w:space="0" w:color="auto"/>
        <w:right w:val="none" w:sz="0" w:space="0" w:color="auto"/>
      </w:divBdr>
    </w:div>
    <w:div w:id="414744175">
      <w:bodyDiv w:val="1"/>
      <w:marLeft w:val="0"/>
      <w:marRight w:val="0"/>
      <w:marTop w:val="0"/>
      <w:marBottom w:val="0"/>
      <w:divBdr>
        <w:top w:val="none" w:sz="0" w:space="0" w:color="auto"/>
        <w:left w:val="none" w:sz="0" w:space="0" w:color="auto"/>
        <w:bottom w:val="none" w:sz="0" w:space="0" w:color="auto"/>
        <w:right w:val="none" w:sz="0" w:space="0" w:color="auto"/>
      </w:divBdr>
    </w:div>
    <w:div w:id="414936081">
      <w:bodyDiv w:val="1"/>
      <w:marLeft w:val="0"/>
      <w:marRight w:val="0"/>
      <w:marTop w:val="0"/>
      <w:marBottom w:val="0"/>
      <w:divBdr>
        <w:top w:val="none" w:sz="0" w:space="0" w:color="auto"/>
        <w:left w:val="none" w:sz="0" w:space="0" w:color="auto"/>
        <w:bottom w:val="none" w:sz="0" w:space="0" w:color="auto"/>
        <w:right w:val="none" w:sz="0" w:space="0" w:color="auto"/>
      </w:divBdr>
    </w:div>
    <w:div w:id="414983334">
      <w:bodyDiv w:val="1"/>
      <w:marLeft w:val="0"/>
      <w:marRight w:val="0"/>
      <w:marTop w:val="0"/>
      <w:marBottom w:val="0"/>
      <w:divBdr>
        <w:top w:val="none" w:sz="0" w:space="0" w:color="auto"/>
        <w:left w:val="none" w:sz="0" w:space="0" w:color="auto"/>
        <w:bottom w:val="none" w:sz="0" w:space="0" w:color="auto"/>
        <w:right w:val="none" w:sz="0" w:space="0" w:color="auto"/>
      </w:divBdr>
    </w:div>
    <w:div w:id="415053513">
      <w:bodyDiv w:val="1"/>
      <w:marLeft w:val="0"/>
      <w:marRight w:val="0"/>
      <w:marTop w:val="0"/>
      <w:marBottom w:val="0"/>
      <w:divBdr>
        <w:top w:val="none" w:sz="0" w:space="0" w:color="auto"/>
        <w:left w:val="none" w:sz="0" w:space="0" w:color="auto"/>
        <w:bottom w:val="none" w:sz="0" w:space="0" w:color="auto"/>
        <w:right w:val="none" w:sz="0" w:space="0" w:color="auto"/>
      </w:divBdr>
    </w:div>
    <w:div w:id="415057841">
      <w:bodyDiv w:val="1"/>
      <w:marLeft w:val="0"/>
      <w:marRight w:val="0"/>
      <w:marTop w:val="0"/>
      <w:marBottom w:val="0"/>
      <w:divBdr>
        <w:top w:val="none" w:sz="0" w:space="0" w:color="auto"/>
        <w:left w:val="none" w:sz="0" w:space="0" w:color="auto"/>
        <w:bottom w:val="none" w:sz="0" w:space="0" w:color="auto"/>
        <w:right w:val="none" w:sz="0" w:space="0" w:color="auto"/>
      </w:divBdr>
    </w:div>
    <w:div w:id="415060703">
      <w:bodyDiv w:val="1"/>
      <w:marLeft w:val="0"/>
      <w:marRight w:val="0"/>
      <w:marTop w:val="0"/>
      <w:marBottom w:val="0"/>
      <w:divBdr>
        <w:top w:val="none" w:sz="0" w:space="0" w:color="auto"/>
        <w:left w:val="none" w:sz="0" w:space="0" w:color="auto"/>
        <w:bottom w:val="none" w:sz="0" w:space="0" w:color="auto"/>
        <w:right w:val="none" w:sz="0" w:space="0" w:color="auto"/>
      </w:divBdr>
    </w:div>
    <w:div w:id="415127683">
      <w:bodyDiv w:val="1"/>
      <w:marLeft w:val="0"/>
      <w:marRight w:val="0"/>
      <w:marTop w:val="0"/>
      <w:marBottom w:val="0"/>
      <w:divBdr>
        <w:top w:val="none" w:sz="0" w:space="0" w:color="auto"/>
        <w:left w:val="none" w:sz="0" w:space="0" w:color="auto"/>
        <w:bottom w:val="none" w:sz="0" w:space="0" w:color="auto"/>
        <w:right w:val="none" w:sz="0" w:space="0" w:color="auto"/>
      </w:divBdr>
    </w:div>
    <w:div w:id="415172668">
      <w:bodyDiv w:val="1"/>
      <w:marLeft w:val="0"/>
      <w:marRight w:val="0"/>
      <w:marTop w:val="0"/>
      <w:marBottom w:val="0"/>
      <w:divBdr>
        <w:top w:val="none" w:sz="0" w:space="0" w:color="auto"/>
        <w:left w:val="none" w:sz="0" w:space="0" w:color="auto"/>
        <w:bottom w:val="none" w:sz="0" w:space="0" w:color="auto"/>
        <w:right w:val="none" w:sz="0" w:space="0" w:color="auto"/>
      </w:divBdr>
    </w:div>
    <w:div w:id="415252709">
      <w:bodyDiv w:val="1"/>
      <w:marLeft w:val="0"/>
      <w:marRight w:val="0"/>
      <w:marTop w:val="0"/>
      <w:marBottom w:val="0"/>
      <w:divBdr>
        <w:top w:val="none" w:sz="0" w:space="0" w:color="auto"/>
        <w:left w:val="none" w:sz="0" w:space="0" w:color="auto"/>
        <w:bottom w:val="none" w:sz="0" w:space="0" w:color="auto"/>
        <w:right w:val="none" w:sz="0" w:space="0" w:color="auto"/>
      </w:divBdr>
    </w:div>
    <w:div w:id="415369827">
      <w:bodyDiv w:val="1"/>
      <w:marLeft w:val="0"/>
      <w:marRight w:val="0"/>
      <w:marTop w:val="0"/>
      <w:marBottom w:val="0"/>
      <w:divBdr>
        <w:top w:val="none" w:sz="0" w:space="0" w:color="auto"/>
        <w:left w:val="none" w:sz="0" w:space="0" w:color="auto"/>
        <w:bottom w:val="none" w:sz="0" w:space="0" w:color="auto"/>
        <w:right w:val="none" w:sz="0" w:space="0" w:color="auto"/>
      </w:divBdr>
    </w:div>
    <w:div w:id="415370299">
      <w:bodyDiv w:val="1"/>
      <w:marLeft w:val="0"/>
      <w:marRight w:val="0"/>
      <w:marTop w:val="0"/>
      <w:marBottom w:val="0"/>
      <w:divBdr>
        <w:top w:val="none" w:sz="0" w:space="0" w:color="auto"/>
        <w:left w:val="none" w:sz="0" w:space="0" w:color="auto"/>
        <w:bottom w:val="none" w:sz="0" w:space="0" w:color="auto"/>
        <w:right w:val="none" w:sz="0" w:space="0" w:color="auto"/>
      </w:divBdr>
    </w:div>
    <w:div w:id="415517131">
      <w:bodyDiv w:val="1"/>
      <w:marLeft w:val="0"/>
      <w:marRight w:val="0"/>
      <w:marTop w:val="0"/>
      <w:marBottom w:val="0"/>
      <w:divBdr>
        <w:top w:val="none" w:sz="0" w:space="0" w:color="auto"/>
        <w:left w:val="none" w:sz="0" w:space="0" w:color="auto"/>
        <w:bottom w:val="none" w:sz="0" w:space="0" w:color="auto"/>
        <w:right w:val="none" w:sz="0" w:space="0" w:color="auto"/>
      </w:divBdr>
    </w:div>
    <w:div w:id="415638099">
      <w:bodyDiv w:val="1"/>
      <w:marLeft w:val="0"/>
      <w:marRight w:val="0"/>
      <w:marTop w:val="0"/>
      <w:marBottom w:val="0"/>
      <w:divBdr>
        <w:top w:val="none" w:sz="0" w:space="0" w:color="auto"/>
        <w:left w:val="none" w:sz="0" w:space="0" w:color="auto"/>
        <w:bottom w:val="none" w:sz="0" w:space="0" w:color="auto"/>
        <w:right w:val="none" w:sz="0" w:space="0" w:color="auto"/>
      </w:divBdr>
    </w:div>
    <w:div w:id="415784038">
      <w:bodyDiv w:val="1"/>
      <w:marLeft w:val="0"/>
      <w:marRight w:val="0"/>
      <w:marTop w:val="0"/>
      <w:marBottom w:val="0"/>
      <w:divBdr>
        <w:top w:val="none" w:sz="0" w:space="0" w:color="auto"/>
        <w:left w:val="none" w:sz="0" w:space="0" w:color="auto"/>
        <w:bottom w:val="none" w:sz="0" w:space="0" w:color="auto"/>
        <w:right w:val="none" w:sz="0" w:space="0" w:color="auto"/>
      </w:divBdr>
    </w:div>
    <w:div w:id="415786767">
      <w:bodyDiv w:val="1"/>
      <w:marLeft w:val="0"/>
      <w:marRight w:val="0"/>
      <w:marTop w:val="0"/>
      <w:marBottom w:val="0"/>
      <w:divBdr>
        <w:top w:val="none" w:sz="0" w:space="0" w:color="auto"/>
        <w:left w:val="none" w:sz="0" w:space="0" w:color="auto"/>
        <w:bottom w:val="none" w:sz="0" w:space="0" w:color="auto"/>
        <w:right w:val="none" w:sz="0" w:space="0" w:color="auto"/>
      </w:divBdr>
    </w:div>
    <w:div w:id="415900640">
      <w:bodyDiv w:val="1"/>
      <w:marLeft w:val="0"/>
      <w:marRight w:val="0"/>
      <w:marTop w:val="0"/>
      <w:marBottom w:val="0"/>
      <w:divBdr>
        <w:top w:val="none" w:sz="0" w:space="0" w:color="auto"/>
        <w:left w:val="none" w:sz="0" w:space="0" w:color="auto"/>
        <w:bottom w:val="none" w:sz="0" w:space="0" w:color="auto"/>
        <w:right w:val="none" w:sz="0" w:space="0" w:color="auto"/>
      </w:divBdr>
    </w:div>
    <w:div w:id="416051952">
      <w:bodyDiv w:val="1"/>
      <w:marLeft w:val="0"/>
      <w:marRight w:val="0"/>
      <w:marTop w:val="0"/>
      <w:marBottom w:val="0"/>
      <w:divBdr>
        <w:top w:val="none" w:sz="0" w:space="0" w:color="auto"/>
        <w:left w:val="none" w:sz="0" w:space="0" w:color="auto"/>
        <w:bottom w:val="none" w:sz="0" w:space="0" w:color="auto"/>
        <w:right w:val="none" w:sz="0" w:space="0" w:color="auto"/>
      </w:divBdr>
    </w:div>
    <w:div w:id="416286520">
      <w:bodyDiv w:val="1"/>
      <w:marLeft w:val="0"/>
      <w:marRight w:val="0"/>
      <w:marTop w:val="0"/>
      <w:marBottom w:val="0"/>
      <w:divBdr>
        <w:top w:val="none" w:sz="0" w:space="0" w:color="auto"/>
        <w:left w:val="none" w:sz="0" w:space="0" w:color="auto"/>
        <w:bottom w:val="none" w:sz="0" w:space="0" w:color="auto"/>
        <w:right w:val="none" w:sz="0" w:space="0" w:color="auto"/>
      </w:divBdr>
    </w:div>
    <w:div w:id="416288837">
      <w:bodyDiv w:val="1"/>
      <w:marLeft w:val="0"/>
      <w:marRight w:val="0"/>
      <w:marTop w:val="0"/>
      <w:marBottom w:val="0"/>
      <w:divBdr>
        <w:top w:val="none" w:sz="0" w:space="0" w:color="auto"/>
        <w:left w:val="none" w:sz="0" w:space="0" w:color="auto"/>
        <w:bottom w:val="none" w:sz="0" w:space="0" w:color="auto"/>
        <w:right w:val="none" w:sz="0" w:space="0" w:color="auto"/>
      </w:divBdr>
    </w:div>
    <w:div w:id="416440128">
      <w:bodyDiv w:val="1"/>
      <w:marLeft w:val="0"/>
      <w:marRight w:val="0"/>
      <w:marTop w:val="0"/>
      <w:marBottom w:val="0"/>
      <w:divBdr>
        <w:top w:val="none" w:sz="0" w:space="0" w:color="auto"/>
        <w:left w:val="none" w:sz="0" w:space="0" w:color="auto"/>
        <w:bottom w:val="none" w:sz="0" w:space="0" w:color="auto"/>
        <w:right w:val="none" w:sz="0" w:space="0" w:color="auto"/>
      </w:divBdr>
    </w:div>
    <w:div w:id="416485058">
      <w:bodyDiv w:val="1"/>
      <w:marLeft w:val="0"/>
      <w:marRight w:val="0"/>
      <w:marTop w:val="0"/>
      <w:marBottom w:val="0"/>
      <w:divBdr>
        <w:top w:val="none" w:sz="0" w:space="0" w:color="auto"/>
        <w:left w:val="none" w:sz="0" w:space="0" w:color="auto"/>
        <w:bottom w:val="none" w:sz="0" w:space="0" w:color="auto"/>
        <w:right w:val="none" w:sz="0" w:space="0" w:color="auto"/>
      </w:divBdr>
    </w:div>
    <w:div w:id="416750578">
      <w:bodyDiv w:val="1"/>
      <w:marLeft w:val="0"/>
      <w:marRight w:val="0"/>
      <w:marTop w:val="0"/>
      <w:marBottom w:val="0"/>
      <w:divBdr>
        <w:top w:val="none" w:sz="0" w:space="0" w:color="auto"/>
        <w:left w:val="none" w:sz="0" w:space="0" w:color="auto"/>
        <w:bottom w:val="none" w:sz="0" w:space="0" w:color="auto"/>
        <w:right w:val="none" w:sz="0" w:space="0" w:color="auto"/>
      </w:divBdr>
    </w:div>
    <w:div w:id="416754343">
      <w:bodyDiv w:val="1"/>
      <w:marLeft w:val="0"/>
      <w:marRight w:val="0"/>
      <w:marTop w:val="0"/>
      <w:marBottom w:val="0"/>
      <w:divBdr>
        <w:top w:val="none" w:sz="0" w:space="0" w:color="auto"/>
        <w:left w:val="none" w:sz="0" w:space="0" w:color="auto"/>
        <w:bottom w:val="none" w:sz="0" w:space="0" w:color="auto"/>
        <w:right w:val="none" w:sz="0" w:space="0" w:color="auto"/>
      </w:divBdr>
    </w:div>
    <w:div w:id="416823686">
      <w:bodyDiv w:val="1"/>
      <w:marLeft w:val="0"/>
      <w:marRight w:val="0"/>
      <w:marTop w:val="0"/>
      <w:marBottom w:val="0"/>
      <w:divBdr>
        <w:top w:val="none" w:sz="0" w:space="0" w:color="auto"/>
        <w:left w:val="none" w:sz="0" w:space="0" w:color="auto"/>
        <w:bottom w:val="none" w:sz="0" w:space="0" w:color="auto"/>
        <w:right w:val="none" w:sz="0" w:space="0" w:color="auto"/>
      </w:divBdr>
    </w:div>
    <w:div w:id="416828105">
      <w:bodyDiv w:val="1"/>
      <w:marLeft w:val="0"/>
      <w:marRight w:val="0"/>
      <w:marTop w:val="0"/>
      <w:marBottom w:val="0"/>
      <w:divBdr>
        <w:top w:val="none" w:sz="0" w:space="0" w:color="auto"/>
        <w:left w:val="none" w:sz="0" w:space="0" w:color="auto"/>
        <w:bottom w:val="none" w:sz="0" w:space="0" w:color="auto"/>
        <w:right w:val="none" w:sz="0" w:space="0" w:color="auto"/>
      </w:divBdr>
    </w:div>
    <w:div w:id="416950137">
      <w:bodyDiv w:val="1"/>
      <w:marLeft w:val="0"/>
      <w:marRight w:val="0"/>
      <w:marTop w:val="0"/>
      <w:marBottom w:val="0"/>
      <w:divBdr>
        <w:top w:val="none" w:sz="0" w:space="0" w:color="auto"/>
        <w:left w:val="none" w:sz="0" w:space="0" w:color="auto"/>
        <w:bottom w:val="none" w:sz="0" w:space="0" w:color="auto"/>
        <w:right w:val="none" w:sz="0" w:space="0" w:color="auto"/>
      </w:divBdr>
    </w:div>
    <w:div w:id="417017786">
      <w:bodyDiv w:val="1"/>
      <w:marLeft w:val="0"/>
      <w:marRight w:val="0"/>
      <w:marTop w:val="0"/>
      <w:marBottom w:val="0"/>
      <w:divBdr>
        <w:top w:val="none" w:sz="0" w:space="0" w:color="auto"/>
        <w:left w:val="none" w:sz="0" w:space="0" w:color="auto"/>
        <w:bottom w:val="none" w:sz="0" w:space="0" w:color="auto"/>
        <w:right w:val="none" w:sz="0" w:space="0" w:color="auto"/>
      </w:divBdr>
    </w:div>
    <w:div w:id="417025627">
      <w:bodyDiv w:val="1"/>
      <w:marLeft w:val="0"/>
      <w:marRight w:val="0"/>
      <w:marTop w:val="0"/>
      <w:marBottom w:val="0"/>
      <w:divBdr>
        <w:top w:val="none" w:sz="0" w:space="0" w:color="auto"/>
        <w:left w:val="none" w:sz="0" w:space="0" w:color="auto"/>
        <w:bottom w:val="none" w:sz="0" w:space="0" w:color="auto"/>
        <w:right w:val="none" w:sz="0" w:space="0" w:color="auto"/>
      </w:divBdr>
    </w:div>
    <w:div w:id="417137379">
      <w:bodyDiv w:val="1"/>
      <w:marLeft w:val="0"/>
      <w:marRight w:val="0"/>
      <w:marTop w:val="0"/>
      <w:marBottom w:val="0"/>
      <w:divBdr>
        <w:top w:val="none" w:sz="0" w:space="0" w:color="auto"/>
        <w:left w:val="none" w:sz="0" w:space="0" w:color="auto"/>
        <w:bottom w:val="none" w:sz="0" w:space="0" w:color="auto"/>
        <w:right w:val="none" w:sz="0" w:space="0" w:color="auto"/>
      </w:divBdr>
    </w:div>
    <w:div w:id="417137626">
      <w:bodyDiv w:val="1"/>
      <w:marLeft w:val="0"/>
      <w:marRight w:val="0"/>
      <w:marTop w:val="0"/>
      <w:marBottom w:val="0"/>
      <w:divBdr>
        <w:top w:val="none" w:sz="0" w:space="0" w:color="auto"/>
        <w:left w:val="none" w:sz="0" w:space="0" w:color="auto"/>
        <w:bottom w:val="none" w:sz="0" w:space="0" w:color="auto"/>
        <w:right w:val="none" w:sz="0" w:space="0" w:color="auto"/>
      </w:divBdr>
    </w:div>
    <w:div w:id="417211353">
      <w:bodyDiv w:val="1"/>
      <w:marLeft w:val="0"/>
      <w:marRight w:val="0"/>
      <w:marTop w:val="0"/>
      <w:marBottom w:val="0"/>
      <w:divBdr>
        <w:top w:val="none" w:sz="0" w:space="0" w:color="auto"/>
        <w:left w:val="none" w:sz="0" w:space="0" w:color="auto"/>
        <w:bottom w:val="none" w:sz="0" w:space="0" w:color="auto"/>
        <w:right w:val="none" w:sz="0" w:space="0" w:color="auto"/>
      </w:divBdr>
    </w:div>
    <w:div w:id="417290782">
      <w:bodyDiv w:val="1"/>
      <w:marLeft w:val="0"/>
      <w:marRight w:val="0"/>
      <w:marTop w:val="0"/>
      <w:marBottom w:val="0"/>
      <w:divBdr>
        <w:top w:val="none" w:sz="0" w:space="0" w:color="auto"/>
        <w:left w:val="none" w:sz="0" w:space="0" w:color="auto"/>
        <w:bottom w:val="none" w:sz="0" w:space="0" w:color="auto"/>
        <w:right w:val="none" w:sz="0" w:space="0" w:color="auto"/>
      </w:divBdr>
    </w:div>
    <w:div w:id="417365858">
      <w:bodyDiv w:val="1"/>
      <w:marLeft w:val="0"/>
      <w:marRight w:val="0"/>
      <w:marTop w:val="0"/>
      <w:marBottom w:val="0"/>
      <w:divBdr>
        <w:top w:val="none" w:sz="0" w:space="0" w:color="auto"/>
        <w:left w:val="none" w:sz="0" w:space="0" w:color="auto"/>
        <w:bottom w:val="none" w:sz="0" w:space="0" w:color="auto"/>
        <w:right w:val="none" w:sz="0" w:space="0" w:color="auto"/>
      </w:divBdr>
    </w:div>
    <w:div w:id="417405070">
      <w:bodyDiv w:val="1"/>
      <w:marLeft w:val="0"/>
      <w:marRight w:val="0"/>
      <w:marTop w:val="0"/>
      <w:marBottom w:val="0"/>
      <w:divBdr>
        <w:top w:val="none" w:sz="0" w:space="0" w:color="auto"/>
        <w:left w:val="none" w:sz="0" w:space="0" w:color="auto"/>
        <w:bottom w:val="none" w:sz="0" w:space="0" w:color="auto"/>
        <w:right w:val="none" w:sz="0" w:space="0" w:color="auto"/>
      </w:divBdr>
    </w:div>
    <w:div w:id="417405613">
      <w:bodyDiv w:val="1"/>
      <w:marLeft w:val="0"/>
      <w:marRight w:val="0"/>
      <w:marTop w:val="0"/>
      <w:marBottom w:val="0"/>
      <w:divBdr>
        <w:top w:val="none" w:sz="0" w:space="0" w:color="auto"/>
        <w:left w:val="none" w:sz="0" w:space="0" w:color="auto"/>
        <w:bottom w:val="none" w:sz="0" w:space="0" w:color="auto"/>
        <w:right w:val="none" w:sz="0" w:space="0" w:color="auto"/>
      </w:divBdr>
    </w:div>
    <w:div w:id="417482720">
      <w:bodyDiv w:val="1"/>
      <w:marLeft w:val="0"/>
      <w:marRight w:val="0"/>
      <w:marTop w:val="0"/>
      <w:marBottom w:val="0"/>
      <w:divBdr>
        <w:top w:val="none" w:sz="0" w:space="0" w:color="auto"/>
        <w:left w:val="none" w:sz="0" w:space="0" w:color="auto"/>
        <w:bottom w:val="none" w:sz="0" w:space="0" w:color="auto"/>
        <w:right w:val="none" w:sz="0" w:space="0" w:color="auto"/>
      </w:divBdr>
    </w:div>
    <w:div w:id="417483626">
      <w:bodyDiv w:val="1"/>
      <w:marLeft w:val="0"/>
      <w:marRight w:val="0"/>
      <w:marTop w:val="0"/>
      <w:marBottom w:val="0"/>
      <w:divBdr>
        <w:top w:val="none" w:sz="0" w:space="0" w:color="auto"/>
        <w:left w:val="none" w:sz="0" w:space="0" w:color="auto"/>
        <w:bottom w:val="none" w:sz="0" w:space="0" w:color="auto"/>
        <w:right w:val="none" w:sz="0" w:space="0" w:color="auto"/>
      </w:divBdr>
    </w:div>
    <w:div w:id="417488197">
      <w:bodyDiv w:val="1"/>
      <w:marLeft w:val="0"/>
      <w:marRight w:val="0"/>
      <w:marTop w:val="0"/>
      <w:marBottom w:val="0"/>
      <w:divBdr>
        <w:top w:val="none" w:sz="0" w:space="0" w:color="auto"/>
        <w:left w:val="none" w:sz="0" w:space="0" w:color="auto"/>
        <w:bottom w:val="none" w:sz="0" w:space="0" w:color="auto"/>
        <w:right w:val="none" w:sz="0" w:space="0" w:color="auto"/>
      </w:divBdr>
    </w:div>
    <w:div w:id="417559052">
      <w:bodyDiv w:val="1"/>
      <w:marLeft w:val="0"/>
      <w:marRight w:val="0"/>
      <w:marTop w:val="0"/>
      <w:marBottom w:val="0"/>
      <w:divBdr>
        <w:top w:val="none" w:sz="0" w:space="0" w:color="auto"/>
        <w:left w:val="none" w:sz="0" w:space="0" w:color="auto"/>
        <w:bottom w:val="none" w:sz="0" w:space="0" w:color="auto"/>
        <w:right w:val="none" w:sz="0" w:space="0" w:color="auto"/>
      </w:divBdr>
    </w:div>
    <w:div w:id="417605839">
      <w:bodyDiv w:val="1"/>
      <w:marLeft w:val="0"/>
      <w:marRight w:val="0"/>
      <w:marTop w:val="0"/>
      <w:marBottom w:val="0"/>
      <w:divBdr>
        <w:top w:val="none" w:sz="0" w:space="0" w:color="auto"/>
        <w:left w:val="none" w:sz="0" w:space="0" w:color="auto"/>
        <w:bottom w:val="none" w:sz="0" w:space="0" w:color="auto"/>
        <w:right w:val="none" w:sz="0" w:space="0" w:color="auto"/>
      </w:divBdr>
    </w:div>
    <w:div w:id="417756321">
      <w:bodyDiv w:val="1"/>
      <w:marLeft w:val="0"/>
      <w:marRight w:val="0"/>
      <w:marTop w:val="0"/>
      <w:marBottom w:val="0"/>
      <w:divBdr>
        <w:top w:val="none" w:sz="0" w:space="0" w:color="auto"/>
        <w:left w:val="none" w:sz="0" w:space="0" w:color="auto"/>
        <w:bottom w:val="none" w:sz="0" w:space="0" w:color="auto"/>
        <w:right w:val="none" w:sz="0" w:space="0" w:color="auto"/>
      </w:divBdr>
    </w:div>
    <w:div w:id="417756891">
      <w:bodyDiv w:val="1"/>
      <w:marLeft w:val="0"/>
      <w:marRight w:val="0"/>
      <w:marTop w:val="0"/>
      <w:marBottom w:val="0"/>
      <w:divBdr>
        <w:top w:val="none" w:sz="0" w:space="0" w:color="auto"/>
        <w:left w:val="none" w:sz="0" w:space="0" w:color="auto"/>
        <w:bottom w:val="none" w:sz="0" w:space="0" w:color="auto"/>
        <w:right w:val="none" w:sz="0" w:space="0" w:color="auto"/>
      </w:divBdr>
    </w:div>
    <w:div w:id="417794555">
      <w:bodyDiv w:val="1"/>
      <w:marLeft w:val="0"/>
      <w:marRight w:val="0"/>
      <w:marTop w:val="0"/>
      <w:marBottom w:val="0"/>
      <w:divBdr>
        <w:top w:val="none" w:sz="0" w:space="0" w:color="auto"/>
        <w:left w:val="none" w:sz="0" w:space="0" w:color="auto"/>
        <w:bottom w:val="none" w:sz="0" w:space="0" w:color="auto"/>
        <w:right w:val="none" w:sz="0" w:space="0" w:color="auto"/>
      </w:divBdr>
    </w:div>
    <w:div w:id="417868288">
      <w:bodyDiv w:val="1"/>
      <w:marLeft w:val="0"/>
      <w:marRight w:val="0"/>
      <w:marTop w:val="0"/>
      <w:marBottom w:val="0"/>
      <w:divBdr>
        <w:top w:val="none" w:sz="0" w:space="0" w:color="auto"/>
        <w:left w:val="none" w:sz="0" w:space="0" w:color="auto"/>
        <w:bottom w:val="none" w:sz="0" w:space="0" w:color="auto"/>
        <w:right w:val="none" w:sz="0" w:space="0" w:color="auto"/>
      </w:divBdr>
    </w:div>
    <w:div w:id="417872040">
      <w:bodyDiv w:val="1"/>
      <w:marLeft w:val="0"/>
      <w:marRight w:val="0"/>
      <w:marTop w:val="0"/>
      <w:marBottom w:val="0"/>
      <w:divBdr>
        <w:top w:val="none" w:sz="0" w:space="0" w:color="auto"/>
        <w:left w:val="none" w:sz="0" w:space="0" w:color="auto"/>
        <w:bottom w:val="none" w:sz="0" w:space="0" w:color="auto"/>
        <w:right w:val="none" w:sz="0" w:space="0" w:color="auto"/>
      </w:divBdr>
    </w:div>
    <w:div w:id="417873401">
      <w:bodyDiv w:val="1"/>
      <w:marLeft w:val="0"/>
      <w:marRight w:val="0"/>
      <w:marTop w:val="0"/>
      <w:marBottom w:val="0"/>
      <w:divBdr>
        <w:top w:val="none" w:sz="0" w:space="0" w:color="auto"/>
        <w:left w:val="none" w:sz="0" w:space="0" w:color="auto"/>
        <w:bottom w:val="none" w:sz="0" w:space="0" w:color="auto"/>
        <w:right w:val="none" w:sz="0" w:space="0" w:color="auto"/>
      </w:divBdr>
    </w:div>
    <w:div w:id="418020594">
      <w:bodyDiv w:val="1"/>
      <w:marLeft w:val="0"/>
      <w:marRight w:val="0"/>
      <w:marTop w:val="0"/>
      <w:marBottom w:val="0"/>
      <w:divBdr>
        <w:top w:val="none" w:sz="0" w:space="0" w:color="auto"/>
        <w:left w:val="none" w:sz="0" w:space="0" w:color="auto"/>
        <w:bottom w:val="none" w:sz="0" w:space="0" w:color="auto"/>
        <w:right w:val="none" w:sz="0" w:space="0" w:color="auto"/>
      </w:divBdr>
    </w:div>
    <w:div w:id="418139496">
      <w:bodyDiv w:val="1"/>
      <w:marLeft w:val="0"/>
      <w:marRight w:val="0"/>
      <w:marTop w:val="0"/>
      <w:marBottom w:val="0"/>
      <w:divBdr>
        <w:top w:val="none" w:sz="0" w:space="0" w:color="auto"/>
        <w:left w:val="none" w:sz="0" w:space="0" w:color="auto"/>
        <w:bottom w:val="none" w:sz="0" w:space="0" w:color="auto"/>
        <w:right w:val="none" w:sz="0" w:space="0" w:color="auto"/>
      </w:divBdr>
    </w:div>
    <w:div w:id="418141747">
      <w:bodyDiv w:val="1"/>
      <w:marLeft w:val="0"/>
      <w:marRight w:val="0"/>
      <w:marTop w:val="0"/>
      <w:marBottom w:val="0"/>
      <w:divBdr>
        <w:top w:val="none" w:sz="0" w:space="0" w:color="auto"/>
        <w:left w:val="none" w:sz="0" w:space="0" w:color="auto"/>
        <w:bottom w:val="none" w:sz="0" w:space="0" w:color="auto"/>
        <w:right w:val="none" w:sz="0" w:space="0" w:color="auto"/>
      </w:divBdr>
    </w:div>
    <w:div w:id="418216950">
      <w:bodyDiv w:val="1"/>
      <w:marLeft w:val="0"/>
      <w:marRight w:val="0"/>
      <w:marTop w:val="0"/>
      <w:marBottom w:val="0"/>
      <w:divBdr>
        <w:top w:val="none" w:sz="0" w:space="0" w:color="auto"/>
        <w:left w:val="none" w:sz="0" w:space="0" w:color="auto"/>
        <w:bottom w:val="none" w:sz="0" w:space="0" w:color="auto"/>
        <w:right w:val="none" w:sz="0" w:space="0" w:color="auto"/>
      </w:divBdr>
    </w:div>
    <w:div w:id="418329824">
      <w:bodyDiv w:val="1"/>
      <w:marLeft w:val="0"/>
      <w:marRight w:val="0"/>
      <w:marTop w:val="0"/>
      <w:marBottom w:val="0"/>
      <w:divBdr>
        <w:top w:val="none" w:sz="0" w:space="0" w:color="auto"/>
        <w:left w:val="none" w:sz="0" w:space="0" w:color="auto"/>
        <w:bottom w:val="none" w:sz="0" w:space="0" w:color="auto"/>
        <w:right w:val="none" w:sz="0" w:space="0" w:color="auto"/>
      </w:divBdr>
    </w:div>
    <w:div w:id="418447612">
      <w:bodyDiv w:val="1"/>
      <w:marLeft w:val="0"/>
      <w:marRight w:val="0"/>
      <w:marTop w:val="0"/>
      <w:marBottom w:val="0"/>
      <w:divBdr>
        <w:top w:val="none" w:sz="0" w:space="0" w:color="auto"/>
        <w:left w:val="none" w:sz="0" w:space="0" w:color="auto"/>
        <w:bottom w:val="none" w:sz="0" w:space="0" w:color="auto"/>
        <w:right w:val="none" w:sz="0" w:space="0" w:color="auto"/>
      </w:divBdr>
    </w:div>
    <w:div w:id="418529634">
      <w:bodyDiv w:val="1"/>
      <w:marLeft w:val="0"/>
      <w:marRight w:val="0"/>
      <w:marTop w:val="0"/>
      <w:marBottom w:val="0"/>
      <w:divBdr>
        <w:top w:val="none" w:sz="0" w:space="0" w:color="auto"/>
        <w:left w:val="none" w:sz="0" w:space="0" w:color="auto"/>
        <w:bottom w:val="none" w:sz="0" w:space="0" w:color="auto"/>
        <w:right w:val="none" w:sz="0" w:space="0" w:color="auto"/>
      </w:divBdr>
    </w:div>
    <w:div w:id="418798330">
      <w:bodyDiv w:val="1"/>
      <w:marLeft w:val="0"/>
      <w:marRight w:val="0"/>
      <w:marTop w:val="0"/>
      <w:marBottom w:val="0"/>
      <w:divBdr>
        <w:top w:val="none" w:sz="0" w:space="0" w:color="auto"/>
        <w:left w:val="none" w:sz="0" w:space="0" w:color="auto"/>
        <w:bottom w:val="none" w:sz="0" w:space="0" w:color="auto"/>
        <w:right w:val="none" w:sz="0" w:space="0" w:color="auto"/>
      </w:divBdr>
    </w:div>
    <w:div w:id="418841755">
      <w:bodyDiv w:val="1"/>
      <w:marLeft w:val="0"/>
      <w:marRight w:val="0"/>
      <w:marTop w:val="0"/>
      <w:marBottom w:val="0"/>
      <w:divBdr>
        <w:top w:val="none" w:sz="0" w:space="0" w:color="auto"/>
        <w:left w:val="none" w:sz="0" w:space="0" w:color="auto"/>
        <w:bottom w:val="none" w:sz="0" w:space="0" w:color="auto"/>
        <w:right w:val="none" w:sz="0" w:space="0" w:color="auto"/>
      </w:divBdr>
    </w:div>
    <w:div w:id="418987830">
      <w:bodyDiv w:val="1"/>
      <w:marLeft w:val="0"/>
      <w:marRight w:val="0"/>
      <w:marTop w:val="0"/>
      <w:marBottom w:val="0"/>
      <w:divBdr>
        <w:top w:val="none" w:sz="0" w:space="0" w:color="auto"/>
        <w:left w:val="none" w:sz="0" w:space="0" w:color="auto"/>
        <w:bottom w:val="none" w:sz="0" w:space="0" w:color="auto"/>
        <w:right w:val="none" w:sz="0" w:space="0" w:color="auto"/>
      </w:divBdr>
    </w:div>
    <w:div w:id="418989438">
      <w:bodyDiv w:val="1"/>
      <w:marLeft w:val="0"/>
      <w:marRight w:val="0"/>
      <w:marTop w:val="0"/>
      <w:marBottom w:val="0"/>
      <w:divBdr>
        <w:top w:val="none" w:sz="0" w:space="0" w:color="auto"/>
        <w:left w:val="none" w:sz="0" w:space="0" w:color="auto"/>
        <w:bottom w:val="none" w:sz="0" w:space="0" w:color="auto"/>
        <w:right w:val="none" w:sz="0" w:space="0" w:color="auto"/>
      </w:divBdr>
    </w:div>
    <w:div w:id="418991627">
      <w:bodyDiv w:val="1"/>
      <w:marLeft w:val="0"/>
      <w:marRight w:val="0"/>
      <w:marTop w:val="0"/>
      <w:marBottom w:val="0"/>
      <w:divBdr>
        <w:top w:val="none" w:sz="0" w:space="0" w:color="auto"/>
        <w:left w:val="none" w:sz="0" w:space="0" w:color="auto"/>
        <w:bottom w:val="none" w:sz="0" w:space="0" w:color="auto"/>
        <w:right w:val="none" w:sz="0" w:space="0" w:color="auto"/>
      </w:divBdr>
    </w:div>
    <w:div w:id="419061689">
      <w:bodyDiv w:val="1"/>
      <w:marLeft w:val="0"/>
      <w:marRight w:val="0"/>
      <w:marTop w:val="0"/>
      <w:marBottom w:val="0"/>
      <w:divBdr>
        <w:top w:val="none" w:sz="0" w:space="0" w:color="auto"/>
        <w:left w:val="none" w:sz="0" w:space="0" w:color="auto"/>
        <w:bottom w:val="none" w:sz="0" w:space="0" w:color="auto"/>
        <w:right w:val="none" w:sz="0" w:space="0" w:color="auto"/>
      </w:divBdr>
    </w:div>
    <w:div w:id="419110103">
      <w:bodyDiv w:val="1"/>
      <w:marLeft w:val="0"/>
      <w:marRight w:val="0"/>
      <w:marTop w:val="0"/>
      <w:marBottom w:val="0"/>
      <w:divBdr>
        <w:top w:val="none" w:sz="0" w:space="0" w:color="auto"/>
        <w:left w:val="none" w:sz="0" w:space="0" w:color="auto"/>
        <w:bottom w:val="none" w:sz="0" w:space="0" w:color="auto"/>
        <w:right w:val="none" w:sz="0" w:space="0" w:color="auto"/>
      </w:divBdr>
    </w:div>
    <w:div w:id="419178540">
      <w:bodyDiv w:val="1"/>
      <w:marLeft w:val="0"/>
      <w:marRight w:val="0"/>
      <w:marTop w:val="0"/>
      <w:marBottom w:val="0"/>
      <w:divBdr>
        <w:top w:val="none" w:sz="0" w:space="0" w:color="auto"/>
        <w:left w:val="none" w:sz="0" w:space="0" w:color="auto"/>
        <w:bottom w:val="none" w:sz="0" w:space="0" w:color="auto"/>
        <w:right w:val="none" w:sz="0" w:space="0" w:color="auto"/>
      </w:divBdr>
    </w:div>
    <w:div w:id="419328756">
      <w:bodyDiv w:val="1"/>
      <w:marLeft w:val="0"/>
      <w:marRight w:val="0"/>
      <w:marTop w:val="0"/>
      <w:marBottom w:val="0"/>
      <w:divBdr>
        <w:top w:val="none" w:sz="0" w:space="0" w:color="auto"/>
        <w:left w:val="none" w:sz="0" w:space="0" w:color="auto"/>
        <w:bottom w:val="none" w:sz="0" w:space="0" w:color="auto"/>
        <w:right w:val="none" w:sz="0" w:space="0" w:color="auto"/>
      </w:divBdr>
    </w:div>
    <w:div w:id="419447454">
      <w:bodyDiv w:val="1"/>
      <w:marLeft w:val="0"/>
      <w:marRight w:val="0"/>
      <w:marTop w:val="0"/>
      <w:marBottom w:val="0"/>
      <w:divBdr>
        <w:top w:val="none" w:sz="0" w:space="0" w:color="auto"/>
        <w:left w:val="none" w:sz="0" w:space="0" w:color="auto"/>
        <w:bottom w:val="none" w:sz="0" w:space="0" w:color="auto"/>
        <w:right w:val="none" w:sz="0" w:space="0" w:color="auto"/>
      </w:divBdr>
    </w:div>
    <w:div w:id="419528037">
      <w:bodyDiv w:val="1"/>
      <w:marLeft w:val="0"/>
      <w:marRight w:val="0"/>
      <w:marTop w:val="0"/>
      <w:marBottom w:val="0"/>
      <w:divBdr>
        <w:top w:val="none" w:sz="0" w:space="0" w:color="auto"/>
        <w:left w:val="none" w:sz="0" w:space="0" w:color="auto"/>
        <w:bottom w:val="none" w:sz="0" w:space="0" w:color="auto"/>
        <w:right w:val="none" w:sz="0" w:space="0" w:color="auto"/>
      </w:divBdr>
    </w:div>
    <w:div w:id="419563585">
      <w:bodyDiv w:val="1"/>
      <w:marLeft w:val="0"/>
      <w:marRight w:val="0"/>
      <w:marTop w:val="0"/>
      <w:marBottom w:val="0"/>
      <w:divBdr>
        <w:top w:val="none" w:sz="0" w:space="0" w:color="auto"/>
        <w:left w:val="none" w:sz="0" w:space="0" w:color="auto"/>
        <w:bottom w:val="none" w:sz="0" w:space="0" w:color="auto"/>
        <w:right w:val="none" w:sz="0" w:space="0" w:color="auto"/>
      </w:divBdr>
    </w:div>
    <w:div w:id="419643519">
      <w:bodyDiv w:val="1"/>
      <w:marLeft w:val="0"/>
      <w:marRight w:val="0"/>
      <w:marTop w:val="0"/>
      <w:marBottom w:val="0"/>
      <w:divBdr>
        <w:top w:val="none" w:sz="0" w:space="0" w:color="auto"/>
        <w:left w:val="none" w:sz="0" w:space="0" w:color="auto"/>
        <w:bottom w:val="none" w:sz="0" w:space="0" w:color="auto"/>
        <w:right w:val="none" w:sz="0" w:space="0" w:color="auto"/>
      </w:divBdr>
    </w:div>
    <w:div w:id="419719231">
      <w:bodyDiv w:val="1"/>
      <w:marLeft w:val="0"/>
      <w:marRight w:val="0"/>
      <w:marTop w:val="0"/>
      <w:marBottom w:val="0"/>
      <w:divBdr>
        <w:top w:val="none" w:sz="0" w:space="0" w:color="auto"/>
        <w:left w:val="none" w:sz="0" w:space="0" w:color="auto"/>
        <w:bottom w:val="none" w:sz="0" w:space="0" w:color="auto"/>
        <w:right w:val="none" w:sz="0" w:space="0" w:color="auto"/>
      </w:divBdr>
    </w:div>
    <w:div w:id="419760794">
      <w:bodyDiv w:val="1"/>
      <w:marLeft w:val="0"/>
      <w:marRight w:val="0"/>
      <w:marTop w:val="0"/>
      <w:marBottom w:val="0"/>
      <w:divBdr>
        <w:top w:val="none" w:sz="0" w:space="0" w:color="auto"/>
        <w:left w:val="none" w:sz="0" w:space="0" w:color="auto"/>
        <w:bottom w:val="none" w:sz="0" w:space="0" w:color="auto"/>
        <w:right w:val="none" w:sz="0" w:space="0" w:color="auto"/>
      </w:divBdr>
    </w:div>
    <w:div w:id="419765680">
      <w:bodyDiv w:val="1"/>
      <w:marLeft w:val="0"/>
      <w:marRight w:val="0"/>
      <w:marTop w:val="0"/>
      <w:marBottom w:val="0"/>
      <w:divBdr>
        <w:top w:val="none" w:sz="0" w:space="0" w:color="auto"/>
        <w:left w:val="none" w:sz="0" w:space="0" w:color="auto"/>
        <w:bottom w:val="none" w:sz="0" w:space="0" w:color="auto"/>
        <w:right w:val="none" w:sz="0" w:space="0" w:color="auto"/>
      </w:divBdr>
    </w:div>
    <w:div w:id="419833476">
      <w:bodyDiv w:val="1"/>
      <w:marLeft w:val="0"/>
      <w:marRight w:val="0"/>
      <w:marTop w:val="0"/>
      <w:marBottom w:val="0"/>
      <w:divBdr>
        <w:top w:val="none" w:sz="0" w:space="0" w:color="auto"/>
        <w:left w:val="none" w:sz="0" w:space="0" w:color="auto"/>
        <w:bottom w:val="none" w:sz="0" w:space="0" w:color="auto"/>
        <w:right w:val="none" w:sz="0" w:space="0" w:color="auto"/>
      </w:divBdr>
    </w:div>
    <w:div w:id="419954944">
      <w:bodyDiv w:val="1"/>
      <w:marLeft w:val="0"/>
      <w:marRight w:val="0"/>
      <w:marTop w:val="0"/>
      <w:marBottom w:val="0"/>
      <w:divBdr>
        <w:top w:val="none" w:sz="0" w:space="0" w:color="auto"/>
        <w:left w:val="none" w:sz="0" w:space="0" w:color="auto"/>
        <w:bottom w:val="none" w:sz="0" w:space="0" w:color="auto"/>
        <w:right w:val="none" w:sz="0" w:space="0" w:color="auto"/>
      </w:divBdr>
    </w:div>
    <w:div w:id="420033280">
      <w:bodyDiv w:val="1"/>
      <w:marLeft w:val="0"/>
      <w:marRight w:val="0"/>
      <w:marTop w:val="0"/>
      <w:marBottom w:val="0"/>
      <w:divBdr>
        <w:top w:val="none" w:sz="0" w:space="0" w:color="auto"/>
        <w:left w:val="none" w:sz="0" w:space="0" w:color="auto"/>
        <w:bottom w:val="none" w:sz="0" w:space="0" w:color="auto"/>
        <w:right w:val="none" w:sz="0" w:space="0" w:color="auto"/>
      </w:divBdr>
    </w:div>
    <w:div w:id="420101699">
      <w:bodyDiv w:val="1"/>
      <w:marLeft w:val="0"/>
      <w:marRight w:val="0"/>
      <w:marTop w:val="0"/>
      <w:marBottom w:val="0"/>
      <w:divBdr>
        <w:top w:val="none" w:sz="0" w:space="0" w:color="auto"/>
        <w:left w:val="none" w:sz="0" w:space="0" w:color="auto"/>
        <w:bottom w:val="none" w:sz="0" w:space="0" w:color="auto"/>
        <w:right w:val="none" w:sz="0" w:space="0" w:color="auto"/>
      </w:divBdr>
    </w:div>
    <w:div w:id="420176996">
      <w:bodyDiv w:val="1"/>
      <w:marLeft w:val="0"/>
      <w:marRight w:val="0"/>
      <w:marTop w:val="0"/>
      <w:marBottom w:val="0"/>
      <w:divBdr>
        <w:top w:val="none" w:sz="0" w:space="0" w:color="auto"/>
        <w:left w:val="none" w:sz="0" w:space="0" w:color="auto"/>
        <w:bottom w:val="none" w:sz="0" w:space="0" w:color="auto"/>
        <w:right w:val="none" w:sz="0" w:space="0" w:color="auto"/>
      </w:divBdr>
    </w:div>
    <w:div w:id="420183988">
      <w:bodyDiv w:val="1"/>
      <w:marLeft w:val="0"/>
      <w:marRight w:val="0"/>
      <w:marTop w:val="0"/>
      <w:marBottom w:val="0"/>
      <w:divBdr>
        <w:top w:val="none" w:sz="0" w:space="0" w:color="auto"/>
        <w:left w:val="none" w:sz="0" w:space="0" w:color="auto"/>
        <w:bottom w:val="none" w:sz="0" w:space="0" w:color="auto"/>
        <w:right w:val="none" w:sz="0" w:space="0" w:color="auto"/>
      </w:divBdr>
    </w:div>
    <w:div w:id="420295293">
      <w:bodyDiv w:val="1"/>
      <w:marLeft w:val="0"/>
      <w:marRight w:val="0"/>
      <w:marTop w:val="0"/>
      <w:marBottom w:val="0"/>
      <w:divBdr>
        <w:top w:val="none" w:sz="0" w:space="0" w:color="auto"/>
        <w:left w:val="none" w:sz="0" w:space="0" w:color="auto"/>
        <w:bottom w:val="none" w:sz="0" w:space="0" w:color="auto"/>
        <w:right w:val="none" w:sz="0" w:space="0" w:color="auto"/>
      </w:divBdr>
    </w:div>
    <w:div w:id="420298342">
      <w:bodyDiv w:val="1"/>
      <w:marLeft w:val="0"/>
      <w:marRight w:val="0"/>
      <w:marTop w:val="0"/>
      <w:marBottom w:val="0"/>
      <w:divBdr>
        <w:top w:val="none" w:sz="0" w:space="0" w:color="auto"/>
        <w:left w:val="none" w:sz="0" w:space="0" w:color="auto"/>
        <w:bottom w:val="none" w:sz="0" w:space="0" w:color="auto"/>
        <w:right w:val="none" w:sz="0" w:space="0" w:color="auto"/>
      </w:divBdr>
    </w:div>
    <w:div w:id="420370325">
      <w:bodyDiv w:val="1"/>
      <w:marLeft w:val="0"/>
      <w:marRight w:val="0"/>
      <w:marTop w:val="0"/>
      <w:marBottom w:val="0"/>
      <w:divBdr>
        <w:top w:val="none" w:sz="0" w:space="0" w:color="auto"/>
        <w:left w:val="none" w:sz="0" w:space="0" w:color="auto"/>
        <w:bottom w:val="none" w:sz="0" w:space="0" w:color="auto"/>
        <w:right w:val="none" w:sz="0" w:space="0" w:color="auto"/>
      </w:divBdr>
    </w:div>
    <w:div w:id="420419837">
      <w:bodyDiv w:val="1"/>
      <w:marLeft w:val="0"/>
      <w:marRight w:val="0"/>
      <w:marTop w:val="0"/>
      <w:marBottom w:val="0"/>
      <w:divBdr>
        <w:top w:val="none" w:sz="0" w:space="0" w:color="auto"/>
        <w:left w:val="none" w:sz="0" w:space="0" w:color="auto"/>
        <w:bottom w:val="none" w:sz="0" w:space="0" w:color="auto"/>
        <w:right w:val="none" w:sz="0" w:space="0" w:color="auto"/>
      </w:divBdr>
    </w:div>
    <w:div w:id="420488372">
      <w:bodyDiv w:val="1"/>
      <w:marLeft w:val="0"/>
      <w:marRight w:val="0"/>
      <w:marTop w:val="0"/>
      <w:marBottom w:val="0"/>
      <w:divBdr>
        <w:top w:val="none" w:sz="0" w:space="0" w:color="auto"/>
        <w:left w:val="none" w:sz="0" w:space="0" w:color="auto"/>
        <w:bottom w:val="none" w:sz="0" w:space="0" w:color="auto"/>
        <w:right w:val="none" w:sz="0" w:space="0" w:color="auto"/>
      </w:divBdr>
    </w:div>
    <w:div w:id="420562196">
      <w:bodyDiv w:val="1"/>
      <w:marLeft w:val="0"/>
      <w:marRight w:val="0"/>
      <w:marTop w:val="0"/>
      <w:marBottom w:val="0"/>
      <w:divBdr>
        <w:top w:val="none" w:sz="0" w:space="0" w:color="auto"/>
        <w:left w:val="none" w:sz="0" w:space="0" w:color="auto"/>
        <w:bottom w:val="none" w:sz="0" w:space="0" w:color="auto"/>
        <w:right w:val="none" w:sz="0" w:space="0" w:color="auto"/>
      </w:divBdr>
    </w:div>
    <w:div w:id="420564688">
      <w:bodyDiv w:val="1"/>
      <w:marLeft w:val="0"/>
      <w:marRight w:val="0"/>
      <w:marTop w:val="0"/>
      <w:marBottom w:val="0"/>
      <w:divBdr>
        <w:top w:val="none" w:sz="0" w:space="0" w:color="auto"/>
        <w:left w:val="none" w:sz="0" w:space="0" w:color="auto"/>
        <w:bottom w:val="none" w:sz="0" w:space="0" w:color="auto"/>
        <w:right w:val="none" w:sz="0" w:space="0" w:color="auto"/>
      </w:divBdr>
    </w:div>
    <w:div w:id="420637998">
      <w:bodyDiv w:val="1"/>
      <w:marLeft w:val="0"/>
      <w:marRight w:val="0"/>
      <w:marTop w:val="0"/>
      <w:marBottom w:val="0"/>
      <w:divBdr>
        <w:top w:val="none" w:sz="0" w:space="0" w:color="auto"/>
        <w:left w:val="none" w:sz="0" w:space="0" w:color="auto"/>
        <w:bottom w:val="none" w:sz="0" w:space="0" w:color="auto"/>
        <w:right w:val="none" w:sz="0" w:space="0" w:color="auto"/>
      </w:divBdr>
    </w:div>
    <w:div w:id="420680275">
      <w:bodyDiv w:val="1"/>
      <w:marLeft w:val="0"/>
      <w:marRight w:val="0"/>
      <w:marTop w:val="0"/>
      <w:marBottom w:val="0"/>
      <w:divBdr>
        <w:top w:val="none" w:sz="0" w:space="0" w:color="auto"/>
        <w:left w:val="none" w:sz="0" w:space="0" w:color="auto"/>
        <w:bottom w:val="none" w:sz="0" w:space="0" w:color="auto"/>
        <w:right w:val="none" w:sz="0" w:space="0" w:color="auto"/>
      </w:divBdr>
    </w:div>
    <w:div w:id="420762580">
      <w:bodyDiv w:val="1"/>
      <w:marLeft w:val="0"/>
      <w:marRight w:val="0"/>
      <w:marTop w:val="0"/>
      <w:marBottom w:val="0"/>
      <w:divBdr>
        <w:top w:val="none" w:sz="0" w:space="0" w:color="auto"/>
        <w:left w:val="none" w:sz="0" w:space="0" w:color="auto"/>
        <w:bottom w:val="none" w:sz="0" w:space="0" w:color="auto"/>
        <w:right w:val="none" w:sz="0" w:space="0" w:color="auto"/>
      </w:divBdr>
    </w:div>
    <w:div w:id="420835535">
      <w:bodyDiv w:val="1"/>
      <w:marLeft w:val="0"/>
      <w:marRight w:val="0"/>
      <w:marTop w:val="0"/>
      <w:marBottom w:val="0"/>
      <w:divBdr>
        <w:top w:val="none" w:sz="0" w:space="0" w:color="auto"/>
        <w:left w:val="none" w:sz="0" w:space="0" w:color="auto"/>
        <w:bottom w:val="none" w:sz="0" w:space="0" w:color="auto"/>
        <w:right w:val="none" w:sz="0" w:space="0" w:color="auto"/>
      </w:divBdr>
    </w:div>
    <w:div w:id="420874002">
      <w:bodyDiv w:val="1"/>
      <w:marLeft w:val="0"/>
      <w:marRight w:val="0"/>
      <w:marTop w:val="0"/>
      <w:marBottom w:val="0"/>
      <w:divBdr>
        <w:top w:val="none" w:sz="0" w:space="0" w:color="auto"/>
        <w:left w:val="none" w:sz="0" w:space="0" w:color="auto"/>
        <w:bottom w:val="none" w:sz="0" w:space="0" w:color="auto"/>
        <w:right w:val="none" w:sz="0" w:space="0" w:color="auto"/>
      </w:divBdr>
    </w:div>
    <w:div w:id="421026070">
      <w:bodyDiv w:val="1"/>
      <w:marLeft w:val="0"/>
      <w:marRight w:val="0"/>
      <w:marTop w:val="0"/>
      <w:marBottom w:val="0"/>
      <w:divBdr>
        <w:top w:val="none" w:sz="0" w:space="0" w:color="auto"/>
        <w:left w:val="none" w:sz="0" w:space="0" w:color="auto"/>
        <w:bottom w:val="none" w:sz="0" w:space="0" w:color="auto"/>
        <w:right w:val="none" w:sz="0" w:space="0" w:color="auto"/>
      </w:divBdr>
    </w:div>
    <w:div w:id="421032436">
      <w:bodyDiv w:val="1"/>
      <w:marLeft w:val="0"/>
      <w:marRight w:val="0"/>
      <w:marTop w:val="0"/>
      <w:marBottom w:val="0"/>
      <w:divBdr>
        <w:top w:val="none" w:sz="0" w:space="0" w:color="auto"/>
        <w:left w:val="none" w:sz="0" w:space="0" w:color="auto"/>
        <w:bottom w:val="none" w:sz="0" w:space="0" w:color="auto"/>
        <w:right w:val="none" w:sz="0" w:space="0" w:color="auto"/>
      </w:divBdr>
    </w:div>
    <w:div w:id="421075187">
      <w:bodyDiv w:val="1"/>
      <w:marLeft w:val="0"/>
      <w:marRight w:val="0"/>
      <w:marTop w:val="0"/>
      <w:marBottom w:val="0"/>
      <w:divBdr>
        <w:top w:val="none" w:sz="0" w:space="0" w:color="auto"/>
        <w:left w:val="none" w:sz="0" w:space="0" w:color="auto"/>
        <w:bottom w:val="none" w:sz="0" w:space="0" w:color="auto"/>
        <w:right w:val="none" w:sz="0" w:space="0" w:color="auto"/>
      </w:divBdr>
    </w:div>
    <w:div w:id="421223978">
      <w:bodyDiv w:val="1"/>
      <w:marLeft w:val="0"/>
      <w:marRight w:val="0"/>
      <w:marTop w:val="0"/>
      <w:marBottom w:val="0"/>
      <w:divBdr>
        <w:top w:val="none" w:sz="0" w:space="0" w:color="auto"/>
        <w:left w:val="none" w:sz="0" w:space="0" w:color="auto"/>
        <w:bottom w:val="none" w:sz="0" w:space="0" w:color="auto"/>
        <w:right w:val="none" w:sz="0" w:space="0" w:color="auto"/>
      </w:divBdr>
    </w:div>
    <w:div w:id="421295310">
      <w:bodyDiv w:val="1"/>
      <w:marLeft w:val="0"/>
      <w:marRight w:val="0"/>
      <w:marTop w:val="0"/>
      <w:marBottom w:val="0"/>
      <w:divBdr>
        <w:top w:val="none" w:sz="0" w:space="0" w:color="auto"/>
        <w:left w:val="none" w:sz="0" w:space="0" w:color="auto"/>
        <w:bottom w:val="none" w:sz="0" w:space="0" w:color="auto"/>
        <w:right w:val="none" w:sz="0" w:space="0" w:color="auto"/>
      </w:divBdr>
    </w:div>
    <w:div w:id="421342413">
      <w:bodyDiv w:val="1"/>
      <w:marLeft w:val="0"/>
      <w:marRight w:val="0"/>
      <w:marTop w:val="0"/>
      <w:marBottom w:val="0"/>
      <w:divBdr>
        <w:top w:val="none" w:sz="0" w:space="0" w:color="auto"/>
        <w:left w:val="none" w:sz="0" w:space="0" w:color="auto"/>
        <w:bottom w:val="none" w:sz="0" w:space="0" w:color="auto"/>
        <w:right w:val="none" w:sz="0" w:space="0" w:color="auto"/>
      </w:divBdr>
    </w:div>
    <w:div w:id="421490169">
      <w:bodyDiv w:val="1"/>
      <w:marLeft w:val="0"/>
      <w:marRight w:val="0"/>
      <w:marTop w:val="0"/>
      <w:marBottom w:val="0"/>
      <w:divBdr>
        <w:top w:val="none" w:sz="0" w:space="0" w:color="auto"/>
        <w:left w:val="none" w:sz="0" w:space="0" w:color="auto"/>
        <w:bottom w:val="none" w:sz="0" w:space="0" w:color="auto"/>
        <w:right w:val="none" w:sz="0" w:space="0" w:color="auto"/>
      </w:divBdr>
    </w:div>
    <w:div w:id="421536180">
      <w:bodyDiv w:val="1"/>
      <w:marLeft w:val="0"/>
      <w:marRight w:val="0"/>
      <w:marTop w:val="0"/>
      <w:marBottom w:val="0"/>
      <w:divBdr>
        <w:top w:val="none" w:sz="0" w:space="0" w:color="auto"/>
        <w:left w:val="none" w:sz="0" w:space="0" w:color="auto"/>
        <w:bottom w:val="none" w:sz="0" w:space="0" w:color="auto"/>
        <w:right w:val="none" w:sz="0" w:space="0" w:color="auto"/>
      </w:divBdr>
    </w:div>
    <w:div w:id="421537299">
      <w:bodyDiv w:val="1"/>
      <w:marLeft w:val="0"/>
      <w:marRight w:val="0"/>
      <w:marTop w:val="0"/>
      <w:marBottom w:val="0"/>
      <w:divBdr>
        <w:top w:val="none" w:sz="0" w:space="0" w:color="auto"/>
        <w:left w:val="none" w:sz="0" w:space="0" w:color="auto"/>
        <w:bottom w:val="none" w:sz="0" w:space="0" w:color="auto"/>
        <w:right w:val="none" w:sz="0" w:space="0" w:color="auto"/>
      </w:divBdr>
    </w:div>
    <w:div w:id="421680749">
      <w:bodyDiv w:val="1"/>
      <w:marLeft w:val="0"/>
      <w:marRight w:val="0"/>
      <w:marTop w:val="0"/>
      <w:marBottom w:val="0"/>
      <w:divBdr>
        <w:top w:val="none" w:sz="0" w:space="0" w:color="auto"/>
        <w:left w:val="none" w:sz="0" w:space="0" w:color="auto"/>
        <w:bottom w:val="none" w:sz="0" w:space="0" w:color="auto"/>
        <w:right w:val="none" w:sz="0" w:space="0" w:color="auto"/>
      </w:divBdr>
    </w:div>
    <w:div w:id="421687328">
      <w:bodyDiv w:val="1"/>
      <w:marLeft w:val="0"/>
      <w:marRight w:val="0"/>
      <w:marTop w:val="0"/>
      <w:marBottom w:val="0"/>
      <w:divBdr>
        <w:top w:val="none" w:sz="0" w:space="0" w:color="auto"/>
        <w:left w:val="none" w:sz="0" w:space="0" w:color="auto"/>
        <w:bottom w:val="none" w:sz="0" w:space="0" w:color="auto"/>
        <w:right w:val="none" w:sz="0" w:space="0" w:color="auto"/>
      </w:divBdr>
    </w:div>
    <w:div w:id="421728963">
      <w:bodyDiv w:val="1"/>
      <w:marLeft w:val="0"/>
      <w:marRight w:val="0"/>
      <w:marTop w:val="0"/>
      <w:marBottom w:val="0"/>
      <w:divBdr>
        <w:top w:val="none" w:sz="0" w:space="0" w:color="auto"/>
        <w:left w:val="none" w:sz="0" w:space="0" w:color="auto"/>
        <w:bottom w:val="none" w:sz="0" w:space="0" w:color="auto"/>
        <w:right w:val="none" w:sz="0" w:space="0" w:color="auto"/>
      </w:divBdr>
    </w:div>
    <w:div w:id="421755271">
      <w:bodyDiv w:val="1"/>
      <w:marLeft w:val="0"/>
      <w:marRight w:val="0"/>
      <w:marTop w:val="0"/>
      <w:marBottom w:val="0"/>
      <w:divBdr>
        <w:top w:val="none" w:sz="0" w:space="0" w:color="auto"/>
        <w:left w:val="none" w:sz="0" w:space="0" w:color="auto"/>
        <w:bottom w:val="none" w:sz="0" w:space="0" w:color="auto"/>
        <w:right w:val="none" w:sz="0" w:space="0" w:color="auto"/>
      </w:divBdr>
    </w:div>
    <w:div w:id="421797399">
      <w:bodyDiv w:val="1"/>
      <w:marLeft w:val="0"/>
      <w:marRight w:val="0"/>
      <w:marTop w:val="0"/>
      <w:marBottom w:val="0"/>
      <w:divBdr>
        <w:top w:val="none" w:sz="0" w:space="0" w:color="auto"/>
        <w:left w:val="none" w:sz="0" w:space="0" w:color="auto"/>
        <w:bottom w:val="none" w:sz="0" w:space="0" w:color="auto"/>
        <w:right w:val="none" w:sz="0" w:space="0" w:color="auto"/>
      </w:divBdr>
    </w:div>
    <w:div w:id="421874539">
      <w:bodyDiv w:val="1"/>
      <w:marLeft w:val="0"/>
      <w:marRight w:val="0"/>
      <w:marTop w:val="0"/>
      <w:marBottom w:val="0"/>
      <w:divBdr>
        <w:top w:val="none" w:sz="0" w:space="0" w:color="auto"/>
        <w:left w:val="none" w:sz="0" w:space="0" w:color="auto"/>
        <w:bottom w:val="none" w:sz="0" w:space="0" w:color="auto"/>
        <w:right w:val="none" w:sz="0" w:space="0" w:color="auto"/>
      </w:divBdr>
    </w:div>
    <w:div w:id="422066826">
      <w:bodyDiv w:val="1"/>
      <w:marLeft w:val="0"/>
      <w:marRight w:val="0"/>
      <w:marTop w:val="0"/>
      <w:marBottom w:val="0"/>
      <w:divBdr>
        <w:top w:val="none" w:sz="0" w:space="0" w:color="auto"/>
        <w:left w:val="none" w:sz="0" w:space="0" w:color="auto"/>
        <w:bottom w:val="none" w:sz="0" w:space="0" w:color="auto"/>
        <w:right w:val="none" w:sz="0" w:space="0" w:color="auto"/>
      </w:divBdr>
    </w:div>
    <w:div w:id="422069249">
      <w:bodyDiv w:val="1"/>
      <w:marLeft w:val="0"/>
      <w:marRight w:val="0"/>
      <w:marTop w:val="0"/>
      <w:marBottom w:val="0"/>
      <w:divBdr>
        <w:top w:val="none" w:sz="0" w:space="0" w:color="auto"/>
        <w:left w:val="none" w:sz="0" w:space="0" w:color="auto"/>
        <w:bottom w:val="none" w:sz="0" w:space="0" w:color="auto"/>
        <w:right w:val="none" w:sz="0" w:space="0" w:color="auto"/>
      </w:divBdr>
    </w:div>
    <w:div w:id="422072170">
      <w:bodyDiv w:val="1"/>
      <w:marLeft w:val="0"/>
      <w:marRight w:val="0"/>
      <w:marTop w:val="0"/>
      <w:marBottom w:val="0"/>
      <w:divBdr>
        <w:top w:val="none" w:sz="0" w:space="0" w:color="auto"/>
        <w:left w:val="none" w:sz="0" w:space="0" w:color="auto"/>
        <w:bottom w:val="none" w:sz="0" w:space="0" w:color="auto"/>
        <w:right w:val="none" w:sz="0" w:space="0" w:color="auto"/>
      </w:divBdr>
    </w:div>
    <w:div w:id="422117802">
      <w:bodyDiv w:val="1"/>
      <w:marLeft w:val="0"/>
      <w:marRight w:val="0"/>
      <w:marTop w:val="0"/>
      <w:marBottom w:val="0"/>
      <w:divBdr>
        <w:top w:val="none" w:sz="0" w:space="0" w:color="auto"/>
        <w:left w:val="none" w:sz="0" w:space="0" w:color="auto"/>
        <w:bottom w:val="none" w:sz="0" w:space="0" w:color="auto"/>
        <w:right w:val="none" w:sz="0" w:space="0" w:color="auto"/>
      </w:divBdr>
    </w:div>
    <w:div w:id="422264646">
      <w:bodyDiv w:val="1"/>
      <w:marLeft w:val="0"/>
      <w:marRight w:val="0"/>
      <w:marTop w:val="0"/>
      <w:marBottom w:val="0"/>
      <w:divBdr>
        <w:top w:val="none" w:sz="0" w:space="0" w:color="auto"/>
        <w:left w:val="none" w:sz="0" w:space="0" w:color="auto"/>
        <w:bottom w:val="none" w:sz="0" w:space="0" w:color="auto"/>
        <w:right w:val="none" w:sz="0" w:space="0" w:color="auto"/>
      </w:divBdr>
    </w:div>
    <w:div w:id="422266197">
      <w:bodyDiv w:val="1"/>
      <w:marLeft w:val="0"/>
      <w:marRight w:val="0"/>
      <w:marTop w:val="0"/>
      <w:marBottom w:val="0"/>
      <w:divBdr>
        <w:top w:val="none" w:sz="0" w:space="0" w:color="auto"/>
        <w:left w:val="none" w:sz="0" w:space="0" w:color="auto"/>
        <w:bottom w:val="none" w:sz="0" w:space="0" w:color="auto"/>
        <w:right w:val="none" w:sz="0" w:space="0" w:color="auto"/>
      </w:divBdr>
    </w:div>
    <w:div w:id="422386243">
      <w:bodyDiv w:val="1"/>
      <w:marLeft w:val="0"/>
      <w:marRight w:val="0"/>
      <w:marTop w:val="0"/>
      <w:marBottom w:val="0"/>
      <w:divBdr>
        <w:top w:val="none" w:sz="0" w:space="0" w:color="auto"/>
        <w:left w:val="none" w:sz="0" w:space="0" w:color="auto"/>
        <w:bottom w:val="none" w:sz="0" w:space="0" w:color="auto"/>
        <w:right w:val="none" w:sz="0" w:space="0" w:color="auto"/>
      </w:divBdr>
    </w:div>
    <w:div w:id="422409911">
      <w:bodyDiv w:val="1"/>
      <w:marLeft w:val="0"/>
      <w:marRight w:val="0"/>
      <w:marTop w:val="0"/>
      <w:marBottom w:val="0"/>
      <w:divBdr>
        <w:top w:val="none" w:sz="0" w:space="0" w:color="auto"/>
        <w:left w:val="none" w:sz="0" w:space="0" w:color="auto"/>
        <w:bottom w:val="none" w:sz="0" w:space="0" w:color="auto"/>
        <w:right w:val="none" w:sz="0" w:space="0" w:color="auto"/>
      </w:divBdr>
    </w:div>
    <w:div w:id="422411841">
      <w:bodyDiv w:val="1"/>
      <w:marLeft w:val="0"/>
      <w:marRight w:val="0"/>
      <w:marTop w:val="0"/>
      <w:marBottom w:val="0"/>
      <w:divBdr>
        <w:top w:val="none" w:sz="0" w:space="0" w:color="auto"/>
        <w:left w:val="none" w:sz="0" w:space="0" w:color="auto"/>
        <w:bottom w:val="none" w:sz="0" w:space="0" w:color="auto"/>
        <w:right w:val="none" w:sz="0" w:space="0" w:color="auto"/>
      </w:divBdr>
    </w:div>
    <w:div w:id="422412217">
      <w:bodyDiv w:val="1"/>
      <w:marLeft w:val="0"/>
      <w:marRight w:val="0"/>
      <w:marTop w:val="0"/>
      <w:marBottom w:val="0"/>
      <w:divBdr>
        <w:top w:val="none" w:sz="0" w:space="0" w:color="auto"/>
        <w:left w:val="none" w:sz="0" w:space="0" w:color="auto"/>
        <w:bottom w:val="none" w:sz="0" w:space="0" w:color="auto"/>
        <w:right w:val="none" w:sz="0" w:space="0" w:color="auto"/>
      </w:divBdr>
    </w:div>
    <w:div w:id="422578630">
      <w:bodyDiv w:val="1"/>
      <w:marLeft w:val="0"/>
      <w:marRight w:val="0"/>
      <w:marTop w:val="0"/>
      <w:marBottom w:val="0"/>
      <w:divBdr>
        <w:top w:val="none" w:sz="0" w:space="0" w:color="auto"/>
        <w:left w:val="none" w:sz="0" w:space="0" w:color="auto"/>
        <w:bottom w:val="none" w:sz="0" w:space="0" w:color="auto"/>
        <w:right w:val="none" w:sz="0" w:space="0" w:color="auto"/>
      </w:divBdr>
    </w:div>
    <w:div w:id="422606722">
      <w:bodyDiv w:val="1"/>
      <w:marLeft w:val="0"/>
      <w:marRight w:val="0"/>
      <w:marTop w:val="0"/>
      <w:marBottom w:val="0"/>
      <w:divBdr>
        <w:top w:val="none" w:sz="0" w:space="0" w:color="auto"/>
        <w:left w:val="none" w:sz="0" w:space="0" w:color="auto"/>
        <w:bottom w:val="none" w:sz="0" w:space="0" w:color="auto"/>
        <w:right w:val="none" w:sz="0" w:space="0" w:color="auto"/>
      </w:divBdr>
    </w:div>
    <w:div w:id="422841450">
      <w:bodyDiv w:val="1"/>
      <w:marLeft w:val="0"/>
      <w:marRight w:val="0"/>
      <w:marTop w:val="0"/>
      <w:marBottom w:val="0"/>
      <w:divBdr>
        <w:top w:val="none" w:sz="0" w:space="0" w:color="auto"/>
        <w:left w:val="none" w:sz="0" w:space="0" w:color="auto"/>
        <w:bottom w:val="none" w:sz="0" w:space="0" w:color="auto"/>
        <w:right w:val="none" w:sz="0" w:space="0" w:color="auto"/>
      </w:divBdr>
    </w:div>
    <w:div w:id="422844292">
      <w:bodyDiv w:val="1"/>
      <w:marLeft w:val="0"/>
      <w:marRight w:val="0"/>
      <w:marTop w:val="0"/>
      <w:marBottom w:val="0"/>
      <w:divBdr>
        <w:top w:val="none" w:sz="0" w:space="0" w:color="auto"/>
        <w:left w:val="none" w:sz="0" w:space="0" w:color="auto"/>
        <w:bottom w:val="none" w:sz="0" w:space="0" w:color="auto"/>
        <w:right w:val="none" w:sz="0" w:space="0" w:color="auto"/>
      </w:divBdr>
    </w:div>
    <w:div w:id="422918274">
      <w:bodyDiv w:val="1"/>
      <w:marLeft w:val="0"/>
      <w:marRight w:val="0"/>
      <w:marTop w:val="0"/>
      <w:marBottom w:val="0"/>
      <w:divBdr>
        <w:top w:val="none" w:sz="0" w:space="0" w:color="auto"/>
        <w:left w:val="none" w:sz="0" w:space="0" w:color="auto"/>
        <w:bottom w:val="none" w:sz="0" w:space="0" w:color="auto"/>
        <w:right w:val="none" w:sz="0" w:space="0" w:color="auto"/>
      </w:divBdr>
    </w:div>
    <w:div w:id="423067640">
      <w:bodyDiv w:val="1"/>
      <w:marLeft w:val="0"/>
      <w:marRight w:val="0"/>
      <w:marTop w:val="0"/>
      <w:marBottom w:val="0"/>
      <w:divBdr>
        <w:top w:val="none" w:sz="0" w:space="0" w:color="auto"/>
        <w:left w:val="none" w:sz="0" w:space="0" w:color="auto"/>
        <w:bottom w:val="none" w:sz="0" w:space="0" w:color="auto"/>
        <w:right w:val="none" w:sz="0" w:space="0" w:color="auto"/>
      </w:divBdr>
    </w:div>
    <w:div w:id="423183320">
      <w:bodyDiv w:val="1"/>
      <w:marLeft w:val="0"/>
      <w:marRight w:val="0"/>
      <w:marTop w:val="0"/>
      <w:marBottom w:val="0"/>
      <w:divBdr>
        <w:top w:val="none" w:sz="0" w:space="0" w:color="auto"/>
        <w:left w:val="none" w:sz="0" w:space="0" w:color="auto"/>
        <w:bottom w:val="none" w:sz="0" w:space="0" w:color="auto"/>
        <w:right w:val="none" w:sz="0" w:space="0" w:color="auto"/>
      </w:divBdr>
    </w:div>
    <w:div w:id="423191068">
      <w:bodyDiv w:val="1"/>
      <w:marLeft w:val="0"/>
      <w:marRight w:val="0"/>
      <w:marTop w:val="0"/>
      <w:marBottom w:val="0"/>
      <w:divBdr>
        <w:top w:val="none" w:sz="0" w:space="0" w:color="auto"/>
        <w:left w:val="none" w:sz="0" w:space="0" w:color="auto"/>
        <w:bottom w:val="none" w:sz="0" w:space="0" w:color="auto"/>
        <w:right w:val="none" w:sz="0" w:space="0" w:color="auto"/>
      </w:divBdr>
    </w:div>
    <w:div w:id="423191435">
      <w:bodyDiv w:val="1"/>
      <w:marLeft w:val="0"/>
      <w:marRight w:val="0"/>
      <w:marTop w:val="0"/>
      <w:marBottom w:val="0"/>
      <w:divBdr>
        <w:top w:val="none" w:sz="0" w:space="0" w:color="auto"/>
        <w:left w:val="none" w:sz="0" w:space="0" w:color="auto"/>
        <w:bottom w:val="none" w:sz="0" w:space="0" w:color="auto"/>
        <w:right w:val="none" w:sz="0" w:space="0" w:color="auto"/>
      </w:divBdr>
    </w:div>
    <w:div w:id="423234250">
      <w:bodyDiv w:val="1"/>
      <w:marLeft w:val="0"/>
      <w:marRight w:val="0"/>
      <w:marTop w:val="0"/>
      <w:marBottom w:val="0"/>
      <w:divBdr>
        <w:top w:val="none" w:sz="0" w:space="0" w:color="auto"/>
        <w:left w:val="none" w:sz="0" w:space="0" w:color="auto"/>
        <w:bottom w:val="none" w:sz="0" w:space="0" w:color="auto"/>
        <w:right w:val="none" w:sz="0" w:space="0" w:color="auto"/>
      </w:divBdr>
    </w:div>
    <w:div w:id="423261918">
      <w:bodyDiv w:val="1"/>
      <w:marLeft w:val="0"/>
      <w:marRight w:val="0"/>
      <w:marTop w:val="0"/>
      <w:marBottom w:val="0"/>
      <w:divBdr>
        <w:top w:val="none" w:sz="0" w:space="0" w:color="auto"/>
        <w:left w:val="none" w:sz="0" w:space="0" w:color="auto"/>
        <w:bottom w:val="none" w:sz="0" w:space="0" w:color="auto"/>
        <w:right w:val="none" w:sz="0" w:space="0" w:color="auto"/>
      </w:divBdr>
    </w:div>
    <w:div w:id="423303045">
      <w:bodyDiv w:val="1"/>
      <w:marLeft w:val="0"/>
      <w:marRight w:val="0"/>
      <w:marTop w:val="0"/>
      <w:marBottom w:val="0"/>
      <w:divBdr>
        <w:top w:val="none" w:sz="0" w:space="0" w:color="auto"/>
        <w:left w:val="none" w:sz="0" w:space="0" w:color="auto"/>
        <w:bottom w:val="none" w:sz="0" w:space="0" w:color="auto"/>
        <w:right w:val="none" w:sz="0" w:space="0" w:color="auto"/>
      </w:divBdr>
    </w:div>
    <w:div w:id="423378757">
      <w:bodyDiv w:val="1"/>
      <w:marLeft w:val="0"/>
      <w:marRight w:val="0"/>
      <w:marTop w:val="0"/>
      <w:marBottom w:val="0"/>
      <w:divBdr>
        <w:top w:val="none" w:sz="0" w:space="0" w:color="auto"/>
        <w:left w:val="none" w:sz="0" w:space="0" w:color="auto"/>
        <w:bottom w:val="none" w:sz="0" w:space="0" w:color="auto"/>
        <w:right w:val="none" w:sz="0" w:space="0" w:color="auto"/>
      </w:divBdr>
    </w:div>
    <w:div w:id="423383549">
      <w:bodyDiv w:val="1"/>
      <w:marLeft w:val="0"/>
      <w:marRight w:val="0"/>
      <w:marTop w:val="0"/>
      <w:marBottom w:val="0"/>
      <w:divBdr>
        <w:top w:val="none" w:sz="0" w:space="0" w:color="auto"/>
        <w:left w:val="none" w:sz="0" w:space="0" w:color="auto"/>
        <w:bottom w:val="none" w:sz="0" w:space="0" w:color="auto"/>
        <w:right w:val="none" w:sz="0" w:space="0" w:color="auto"/>
      </w:divBdr>
    </w:div>
    <w:div w:id="423385454">
      <w:bodyDiv w:val="1"/>
      <w:marLeft w:val="0"/>
      <w:marRight w:val="0"/>
      <w:marTop w:val="0"/>
      <w:marBottom w:val="0"/>
      <w:divBdr>
        <w:top w:val="none" w:sz="0" w:space="0" w:color="auto"/>
        <w:left w:val="none" w:sz="0" w:space="0" w:color="auto"/>
        <w:bottom w:val="none" w:sz="0" w:space="0" w:color="auto"/>
        <w:right w:val="none" w:sz="0" w:space="0" w:color="auto"/>
      </w:divBdr>
    </w:div>
    <w:div w:id="423573054">
      <w:bodyDiv w:val="1"/>
      <w:marLeft w:val="0"/>
      <w:marRight w:val="0"/>
      <w:marTop w:val="0"/>
      <w:marBottom w:val="0"/>
      <w:divBdr>
        <w:top w:val="none" w:sz="0" w:space="0" w:color="auto"/>
        <w:left w:val="none" w:sz="0" w:space="0" w:color="auto"/>
        <w:bottom w:val="none" w:sz="0" w:space="0" w:color="auto"/>
        <w:right w:val="none" w:sz="0" w:space="0" w:color="auto"/>
      </w:divBdr>
    </w:div>
    <w:div w:id="423690866">
      <w:bodyDiv w:val="1"/>
      <w:marLeft w:val="0"/>
      <w:marRight w:val="0"/>
      <w:marTop w:val="0"/>
      <w:marBottom w:val="0"/>
      <w:divBdr>
        <w:top w:val="none" w:sz="0" w:space="0" w:color="auto"/>
        <w:left w:val="none" w:sz="0" w:space="0" w:color="auto"/>
        <w:bottom w:val="none" w:sz="0" w:space="0" w:color="auto"/>
        <w:right w:val="none" w:sz="0" w:space="0" w:color="auto"/>
      </w:divBdr>
    </w:div>
    <w:div w:id="423694386">
      <w:bodyDiv w:val="1"/>
      <w:marLeft w:val="0"/>
      <w:marRight w:val="0"/>
      <w:marTop w:val="0"/>
      <w:marBottom w:val="0"/>
      <w:divBdr>
        <w:top w:val="none" w:sz="0" w:space="0" w:color="auto"/>
        <w:left w:val="none" w:sz="0" w:space="0" w:color="auto"/>
        <w:bottom w:val="none" w:sz="0" w:space="0" w:color="auto"/>
        <w:right w:val="none" w:sz="0" w:space="0" w:color="auto"/>
      </w:divBdr>
    </w:div>
    <w:div w:id="423694931">
      <w:bodyDiv w:val="1"/>
      <w:marLeft w:val="0"/>
      <w:marRight w:val="0"/>
      <w:marTop w:val="0"/>
      <w:marBottom w:val="0"/>
      <w:divBdr>
        <w:top w:val="none" w:sz="0" w:space="0" w:color="auto"/>
        <w:left w:val="none" w:sz="0" w:space="0" w:color="auto"/>
        <w:bottom w:val="none" w:sz="0" w:space="0" w:color="auto"/>
        <w:right w:val="none" w:sz="0" w:space="0" w:color="auto"/>
      </w:divBdr>
    </w:div>
    <w:div w:id="423695349">
      <w:bodyDiv w:val="1"/>
      <w:marLeft w:val="0"/>
      <w:marRight w:val="0"/>
      <w:marTop w:val="0"/>
      <w:marBottom w:val="0"/>
      <w:divBdr>
        <w:top w:val="none" w:sz="0" w:space="0" w:color="auto"/>
        <w:left w:val="none" w:sz="0" w:space="0" w:color="auto"/>
        <w:bottom w:val="none" w:sz="0" w:space="0" w:color="auto"/>
        <w:right w:val="none" w:sz="0" w:space="0" w:color="auto"/>
      </w:divBdr>
    </w:div>
    <w:div w:id="423695970">
      <w:bodyDiv w:val="1"/>
      <w:marLeft w:val="0"/>
      <w:marRight w:val="0"/>
      <w:marTop w:val="0"/>
      <w:marBottom w:val="0"/>
      <w:divBdr>
        <w:top w:val="none" w:sz="0" w:space="0" w:color="auto"/>
        <w:left w:val="none" w:sz="0" w:space="0" w:color="auto"/>
        <w:bottom w:val="none" w:sz="0" w:space="0" w:color="auto"/>
        <w:right w:val="none" w:sz="0" w:space="0" w:color="auto"/>
      </w:divBdr>
    </w:div>
    <w:div w:id="423765967">
      <w:bodyDiv w:val="1"/>
      <w:marLeft w:val="0"/>
      <w:marRight w:val="0"/>
      <w:marTop w:val="0"/>
      <w:marBottom w:val="0"/>
      <w:divBdr>
        <w:top w:val="none" w:sz="0" w:space="0" w:color="auto"/>
        <w:left w:val="none" w:sz="0" w:space="0" w:color="auto"/>
        <w:bottom w:val="none" w:sz="0" w:space="0" w:color="auto"/>
        <w:right w:val="none" w:sz="0" w:space="0" w:color="auto"/>
      </w:divBdr>
    </w:div>
    <w:div w:id="423767711">
      <w:bodyDiv w:val="1"/>
      <w:marLeft w:val="0"/>
      <w:marRight w:val="0"/>
      <w:marTop w:val="0"/>
      <w:marBottom w:val="0"/>
      <w:divBdr>
        <w:top w:val="none" w:sz="0" w:space="0" w:color="auto"/>
        <w:left w:val="none" w:sz="0" w:space="0" w:color="auto"/>
        <w:bottom w:val="none" w:sz="0" w:space="0" w:color="auto"/>
        <w:right w:val="none" w:sz="0" w:space="0" w:color="auto"/>
      </w:divBdr>
    </w:div>
    <w:div w:id="423839854">
      <w:bodyDiv w:val="1"/>
      <w:marLeft w:val="0"/>
      <w:marRight w:val="0"/>
      <w:marTop w:val="0"/>
      <w:marBottom w:val="0"/>
      <w:divBdr>
        <w:top w:val="none" w:sz="0" w:space="0" w:color="auto"/>
        <w:left w:val="none" w:sz="0" w:space="0" w:color="auto"/>
        <w:bottom w:val="none" w:sz="0" w:space="0" w:color="auto"/>
        <w:right w:val="none" w:sz="0" w:space="0" w:color="auto"/>
      </w:divBdr>
    </w:div>
    <w:div w:id="423840590">
      <w:bodyDiv w:val="1"/>
      <w:marLeft w:val="0"/>
      <w:marRight w:val="0"/>
      <w:marTop w:val="0"/>
      <w:marBottom w:val="0"/>
      <w:divBdr>
        <w:top w:val="none" w:sz="0" w:space="0" w:color="auto"/>
        <w:left w:val="none" w:sz="0" w:space="0" w:color="auto"/>
        <w:bottom w:val="none" w:sz="0" w:space="0" w:color="auto"/>
        <w:right w:val="none" w:sz="0" w:space="0" w:color="auto"/>
      </w:divBdr>
    </w:div>
    <w:div w:id="424032593">
      <w:bodyDiv w:val="1"/>
      <w:marLeft w:val="0"/>
      <w:marRight w:val="0"/>
      <w:marTop w:val="0"/>
      <w:marBottom w:val="0"/>
      <w:divBdr>
        <w:top w:val="none" w:sz="0" w:space="0" w:color="auto"/>
        <w:left w:val="none" w:sz="0" w:space="0" w:color="auto"/>
        <w:bottom w:val="none" w:sz="0" w:space="0" w:color="auto"/>
        <w:right w:val="none" w:sz="0" w:space="0" w:color="auto"/>
      </w:divBdr>
    </w:div>
    <w:div w:id="424038460">
      <w:bodyDiv w:val="1"/>
      <w:marLeft w:val="0"/>
      <w:marRight w:val="0"/>
      <w:marTop w:val="0"/>
      <w:marBottom w:val="0"/>
      <w:divBdr>
        <w:top w:val="none" w:sz="0" w:space="0" w:color="auto"/>
        <w:left w:val="none" w:sz="0" w:space="0" w:color="auto"/>
        <w:bottom w:val="none" w:sz="0" w:space="0" w:color="auto"/>
        <w:right w:val="none" w:sz="0" w:space="0" w:color="auto"/>
      </w:divBdr>
    </w:div>
    <w:div w:id="424233250">
      <w:bodyDiv w:val="1"/>
      <w:marLeft w:val="0"/>
      <w:marRight w:val="0"/>
      <w:marTop w:val="0"/>
      <w:marBottom w:val="0"/>
      <w:divBdr>
        <w:top w:val="none" w:sz="0" w:space="0" w:color="auto"/>
        <w:left w:val="none" w:sz="0" w:space="0" w:color="auto"/>
        <w:bottom w:val="none" w:sz="0" w:space="0" w:color="auto"/>
        <w:right w:val="none" w:sz="0" w:space="0" w:color="auto"/>
      </w:divBdr>
    </w:div>
    <w:div w:id="424346302">
      <w:bodyDiv w:val="1"/>
      <w:marLeft w:val="0"/>
      <w:marRight w:val="0"/>
      <w:marTop w:val="0"/>
      <w:marBottom w:val="0"/>
      <w:divBdr>
        <w:top w:val="none" w:sz="0" w:space="0" w:color="auto"/>
        <w:left w:val="none" w:sz="0" w:space="0" w:color="auto"/>
        <w:bottom w:val="none" w:sz="0" w:space="0" w:color="auto"/>
        <w:right w:val="none" w:sz="0" w:space="0" w:color="auto"/>
      </w:divBdr>
    </w:div>
    <w:div w:id="424350099">
      <w:bodyDiv w:val="1"/>
      <w:marLeft w:val="0"/>
      <w:marRight w:val="0"/>
      <w:marTop w:val="0"/>
      <w:marBottom w:val="0"/>
      <w:divBdr>
        <w:top w:val="none" w:sz="0" w:space="0" w:color="auto"/>
        <w:left w:val="none" w:sz="0" w:space="0" w:color="auto"/>
        <w:bottom w:val="none" w:sz="0" w:space="0" w:color="auto"/>
        <w:right w:val="none" w:sz="0" w:space="0" w:color="auto"/>
      </w:divBdr>
    </w:div>
    <w:div w:id="424496575">
      <w:bodyDiv w:val="1"/>
      <w:marLeft w:val="0"/>
      <w:marRight w:val="0"/>
      <w:marTop w:val="0"/>
      <w:marBottom w:val="0"/>
      <w:divBdr>
        <w:top w:val="none" w:sz="0" w:space="0" w:color="auto"/>
        <w:left w:val="none" w:sz="0" w:space="0" w:color="auto"/>
        <w:bottom w:val="none" w:sz="0" w:space="0" w:color="auto"/>
        <w:right w:val="none" w:sz="0" w:space="0" w:color="auto"/>
      </w:divBdr>
    </w:div>
    <w:div w:id="424691134">
      <w:bodyDiv w:val="1"/>
      <w:marLeft w:val="0"/>
      <w:marRight w:val="0"/>
      <w:marTop w:val="0"/>
      <w:marBottom w:val="0"/>
      <w:divBdr>
        <w:top w:val="none" w:sz="0" w:space="0" w:color="auto"/>
        <w:left w:val="none" w:sz="0" w:space="0" w:color="auto"/>
        <w:bottom w:val="none" w:sz="0" w:space="0" w:color="auto"/>
        <w:right w:val="none" w:sz="0" w:space="0" w:color="auto"/>
      </w:divBdr>
    </w:div>
    <w:div w:id="424770333">
      <w:bodyDiv w:val="1"/>
      <w:marLeft w:val="0"/>
      <w:marRight w:val="0"/>
      <w:marTop w:val="0"/>
      <w:marBottom w:val="0"/>
      <w:divBdr>
        <w:top w:val="none" w:sz="0" w:space="0" w:color="auto"/>
        <w:left w:val="none" w:sz="0" w:space="0" w:color="auto"/>
        <w:bottom w:val="none" w:sz="0" w:space="0" w:color="auto"/>
        <w:right w:val="none" w:sz="0" w:space="0" w:color="auto"/>
      </w:divBdr>
    </w:div>
    <w:div w:id="424880680">
      <w:bodyDiv w:val="1"/>
      <w:marLeft w:val="0"/>
      <w:marRight w:val="0"/>
      <w:marTop w:val="0"/>
      <w:marBottom w:val="0"/>
      <w:divBdr>
        <w:top w:val="none" w:sz="0" w:space="0" w:color="auto"/>
        <w:left w:val="none" w:sz="0" w:space="0" w:color="auto"/>
        <w:bottom w:val="none" w:sz="0" w:space="0" w:color="auto"/>
        <w:right w:val="none" w:sz="0" w:space="0" w:color="auto"/>
      </w:divBdr>
    </w:div>
    <w:div w:id="424880869">
      <w:bodyDiv w:val="1"/>
      <w:marLeft w:val="0"/>
      <w:marRight w:val="0"/>
      <w:marTop w:val="0"/>
      <w:marBottom w:val="0"/>
      <w:divBdr>
        <w:top w:val="none" w:sz="0" w:space="0" w:color="auto"/>
        <w:left w:val="none" w:sz="0" w:space="0" w:color="auto"/>
        <w:bottom w:val="none" w:sz="0" w:space="0" w:color="auto"/>
        <w:right w:val="none" w:sz="0" w:space="0" w:color="auto"/>
      </w:divBdr>
    </w:div>
    <w:div w:id="424958592">
      <w:bodyDiv w:val="1"/>
      <w:marLeft w:val="0"/>
      <w:marRight w:val="0"/>
      <w:marTop w:val="0"/>
      <w:marBottom w:val="0"/>
      <w:divBdr>
        <w:top w:val="none" w:sz="0" w:space="0" w:color="auto"/>
        <w:left w:val="none" w:sz="0" w:space="0" w:color="auto"/>
        <w:bottom w:val="none" w:sz="0" w:space="0" w:color="auto"/>
        <w:right w:val="none" w:sz="0" w:space="0" w:color="auto"/>
      </w:divBdr>
    </w:div>
    <w:div w:id="425198946">
      <w:bodyDiv w:val="1"/>
      <w:marLeft w:val="0"/>
      <w:marRight w:val="0"/>
      <w:marTop w:val="0"/>
      <w:marBottom w:val="0"/>
      <w:divBdr>
        <w:top w:val="none" w:sz="0" w:space="0" w:color="auto"/>
        <w:left w:val="none" w:sz="0" w:space="0" w:color="auto"/>
        <w:bottom w:val="none" w:sz="0" w:space="0" w:color="auto"/>
        <w:right w:val="none" w:sz="0" w:space="0" w:color="auto"/>
      </w:divBdr>
    </w:div>
    <w:div w:id="425230001">
      <w:bodyDiv w:val="1"/>
      <w:marLeft w:val="0"/>
      <w:marRight w:val="0"/>
      <w:marTop w:val="0"/>
      <w:marBottom w:val="0"/>
      <w:divBdr>
        <w:top w:val="none" w:sz="0" w:space="0" w:color="auto"/>
        <w:left w:val="none" w:sz="0" w:space="0" w:color="auto"/>
        <w:bottom w:val="none" w:sz="0" w:space="0" w:color="auto"/>
        <w:right w:val="none" w:sz="0" w:space="0" w:color="auto"/>
      </w:divBdr>
    </w:div>
    <w:div w:id="425271908">
      <w:bodyDiv w:val="1"/>
      <w:marLeft w:val="0"/>
      <w:marRight w:val="0"/>
      <w:marTop w:val="0"/>
      <w:marBottom w:val="0"/>
      <w:divBdr>
        <w:top w:val="none" w:sz="0" w:space="0" w:color="auto"/>
        <w:left w:val="none" w:sz="0" w:space="0" w:color="auto"/>
        <w:bottom w:val="none" w:sz="0" w:space="0" w:color="auto"/>
        <w:right w:val="none" w:sz="0" w:space="0" w:color="auto"/>
      </w:divBdr>
    </w:div>
    <w:div w:id="425423192">
      <w:bodyDiv w:val="1"/>
      <w:marLeft w:val="0"/>
      <w:marRight w:val="0"/>
      <w:marTop w:val="0"/>
      <w:marBottom w:val="0"/>
      <w:divBdr>
        <w:top w:val="none" w:sz="0" w:space="0" w:color="auto"/>
        <w:left w:val="none" w:sz="0" w:space="0" w:color="auto"/>
        <w:bottom w:val="none" w:sz="0" w:space="0" w:color="auto"/>
        <w:right w:val="none" w:sz="0" w:space="0" w:color="auto"/>
      </w:divBdr>
    </w:div>
    <w:div w:id="425611271">
      <w:bodyDiv w:val="1"/>
      <w:marLeft w:val="0"/>
      <w:marRight w:val="0"/>
      <w:marTop w:val="0"/>
      <w:marBottom w:val="0"/>
      <w:divBdr>
        <w:top w:val="none" w:sz="0" w:space="0" w:color="auto"/>
        <w:left w:val="none" w:sz="0" w:space="0" w:color="auto"/>
        <w:bottom w:val="none" w:sz="0" w:space="0" w:color="auto"/>
        <w:right w:val="none" w:sz="0" w:space="0" w:color="auto"/>
      </w:divBdr>
    </w:div>
    <w:div w:id="425613040">
      <w:bodyDiv w:val="1"/>
      <w:marLeft w:val="0"/>
      <w:marRight w:val="0"/>
      <w:marTop w:val="0"/>
      <w:marBottom w:val="0"/>
      <w:divBdr>
        <w:top w:val="none" w:sz="0" w:space="0" w:color="auto"/>
        <w:left w:val="none" w:sz="0" w:space="0" w:color="auto"/>
        <w:bottom w:val="none" w:sz="0" w:space="0" w:color="auto"/>
        <w:right w:val="none" w:sz="0" w:space="0" w:color="auto"/>
      </w:divBdr>
    </w:div>
    <w:div w:id="425731114">
      <w:bodyDiv w:val="1"/>
      <w:marLeft w:val="0"/>
      <w:marRight w:val="0"/>
      <w:marTop w:val="0"/>
      <w:marBottom w:val="0"/>
      <w:divBdr>
        <w:top w:val="none" w:sz="0" w:space="0" w:color="auto"/>
        <w:left w:val="none" w:sz="0" w:space="0" w:color="auto"/>
        <w:bottom w:val="none" w:sz="0" w:space="0" w:color="auto"/>
        <w:right w:val="none" w:sz="0" w:space="0" w:color="auto"/>
      </w:divBdr>
    </w:div>
    <w:div w:id="425808183">
      <w:bodyDiv w:val="1"/>
      <w:marLeft w:val="0"/>
      <w:marRight w:val="0"/>
      <w:marTop w:val="0"/>
      <w:marBottom w:val="0"/>
      <w:divBdr>
        <w:top w:val="none" w:sz="0" w:space="0" w:color="auto"/>
        <w:left w:val="none" w:sz="0" w:space="0" w:color="auto"/>
        <w:bottom w:val="none" w:sz="0" w:space="0" w:color="auto"/>
        <w:right w:val="none" w:sz="0" w:space="0" w:color="auto"/>
      </w:divBdr>
    </w:div>
    <w:div w:id="425997492">
      <w:bodyDiv w:val="1"/>
      <w:marLeft w:val="0"/>
      <w:marRight w:val="0"/>
      <w:marTop w:val="0"/>
      <w:marBottom w:val="0"/>
      <w:divBdr>
        <w:top w:val="none" w:sz="0" w:space="0" w:color="auto"/>
        <w:left w:val="none" w:sz="0" w:space="0" w:color="auto"/>
        <w:bottom w:val="none" w:sz="0" w:space="0" w:color="auto"/>
        <w:right w:val="none" w:sz="0" w:space="0" w:color="auto"/>
      </w:divBdr>
    </w:div>
    <w:div w:id="425998837">
      <w:bodyDiv w:val="1"/>
      <w:marLeft w:val="0"/>
      <w:marRight w:val="0"/>
      <w:marTop w:val="0"/>
      <w:marBottom w:val="0"/>
      <w:divBdr>
        <w:top w:val="none" w:sz="0" w:space="0" w:color="auto"/>
        <w:left w:val="none" w:sz="0" w:space="0" w:color="auto"/>
        <w:bottom w:val="none" w:sz="0" w:space="0" w:color="auto"/>
        <w:right w:val="none" w:sz="0" w:space="0" w:color="auto"/>
      </w:divBdr>
    </w:div>
    <w:div w:id="426001878">
      <w:bodyDiv w:val="1"/>
      <w:marLeft w:val="0"/>
      <w:marRight w:val="0"/>
      <w:marTop w:val="0"/>
      <w:marBottom w:val="0"/>
      <w:divBdr>
        <w:top w:val="none" w:sz="0" w:space="0" w:color="auto"/>
        <w:left w:val="none" w:sz="0" w:space="0" w:color="auto"/>
        <w:bottom w:val="none" w:sz="0" w:space="0" w:color="auto"/>
        <w:right w:val="none" w:sz="0" w:space="0" w:color="auto"/>
      </w:divBdr>
    </w:div>
    <w:div w:id="426116554">
      <w:bodyDiv w:val="1"/>
      <w:marLeft w:val="0"/>
      <w:marRight w:val="0"/>
      <w:marTop w:val="0"/>
      <w:marBottom w:val="0"/>
      <w:divBdr>
        <w:top w:val="none" w:sz="0" w:space="0" w:color="auto"/>
        <w:left w:val="none" w:sz="0" w:space="0" w:color="auto"/>
        <w:bottom w:val="none" w:sz="0" w:space="0" w:color="auto"/>
        <w:right w:val="none" w:sz="0" w:space="0" w:color="auto"/>
      </w:divBdr>
    </w:div>
    <w:div w:id="426268167">
      <w:bodyDiv w:val="1"/>
      <w:marLeft w:val="0"/>
      <w:marRight w:val="0"/>
      <w:marTop w:val="0"/>
      <w:marBottom w:val="0"/>
      <w:divBdr>
        <w:top w:val="none" w:sz="0" w:space="0" w:color="auto"/>
        <w:left w:val="none" w:sz="0" w:space="0" w:color="auto"/>
        <w:bottom w:val="none" w:sz="0" w:space="0" w:color="auto"/>
        <w:right w:val="none" w:sz="0" w:space="0" w:color="auto"/>
      </w:divBdr>
    </w:div>
    <w:div w:id="426272615">
      <w:bodyDiv w:val="1"/>
      <w:marLeft w:val="0"/>
      <w:marRight w:val="0"/>
      <w:marTop w:val="0"/>
      <w:marBottom w:val="0"/>
      <w:divBdr>
        <w:top w:val="none" w:sz="0" w:space="0" w:color="auto"/>
        <w:left w:val="none" w:sz="0" w:space="0" w:color="auto"/>
        <w:bottom w:val="none" w:sz="0" w:space="0" w:color="auto"/>
        <w:right w:val="none" w:sz="0" w:space="0" w:color="auto"/>
      </w:divBdr>
    </w:div>
    <w:div w:id="426313060">
      <w:bodyDiv w:val="1"/>
      <w:marLeft w:val="0"/>
      <w:marRight w:val="0"/>
      <w:marTop w:val="0"/>
      <w:marBottom w:val="0"/>
      <w:divBdr>
        <w:top w:val="none" w:sz="0" w:space="0" w:color="auto"/>
        <w:left w:val="none" w:sz="0" w:space="0" w:color="auto"/>
        <w:bottom w:val="none" w:sz="0" w:space="0" w:color="auto"/>
        <w:right w:val="none" w:sz="0" w:space="0" w:color="auto"/>
      </w:divBdr>
    </w:div>
    <w:div w:id="426342499">
      <w:bodyDiv w:val="1"/>
      <w:marLeft w:val="0"/>
      <w:marRight w:val="0"/>
      <w:marTop w:val="0"/>
      <w:marBottom w:val="0"/>
      <w:divBdr>
        <w:top w:val="none" w:sz="0" w:space="0" w:color="auto"/>
        <w:left w:val="none" w:sz="0" w:space="0" w:color="auto"/>
        <w:bottom w:val="none" w:sz="0" w:space="0" w:color="auto"/>
        <w:right w:val="none" w:sz="0" w:space="0" w:color="auto"/>
      </w:divBdr>
    </w:div>
    <w:div w:id="426535486">
      <w:bodyDiv w:val="1"/>
      <w:marLeft w:val="0"/>
      <w:marRight w:val="0"/>
      <w:marTop w:val="0"/>
      <w:marBottom w:val="0"/>
      <w:divBdr>
        <w:top w:val="none" w:sz="0" w:space="0" w:color="auto"/>
        <w:left w:val="none" w:sz="0" w:space="0" w:color="auto"/>
        <w:bottom w:val="none" w:sz="0" w:space="0" w:color="auto"/>
        <w:right w:val="none" w:sz="0" w:space="0" w:color="auto"/>
      </w:divBdr>
    </w:div>
    <w:div w:id="426577549">
      <w:bodyDiv w:val="1"/>
      <w:marLeft w:val="0"/>
      <w:marRight w:val="0"/>
      <w:marTop w:val="0"/>
      <w:marBottom w:val="0"/>
      <w:divBdr>
        <w:top w:val="none" w:sz="0" w:space="0" w:color="auto"/>
        <w:left w:val="none" w:sz="0" w:space="0" w:color="auto"/>
        <w:bottom w:val="none" w:sz="0" w:space="0" w:color="auto"/>
        <w:right w:val="none" w:sz="0" w:space="0" w:color="auto"/>
      </w:divBdr>
    </w:div>
    <w:div w:id="426850697">
      <w:bodyDiv w:val="1"/>
      <w:marLeft w:val="0"/>
      <w:marRight w:val="0"/>
      <w:marTop w:val="0"/>
      <w:marBottom w:val="0"/>
      <w:divBdr>
        <w:top w:val="none" w:sz="0" w:space="0" w:color="auto"/>
        <w:left w:val="none" w:sz="0" w:space="0" w:color="auto"/>
        <w:bottom w:val="none" w:sz="0" w:space="0" w:color="auto"/>
        <w:right w:val="none" w:sz="0" w:space="0" w:color="auto"/>
      </w:divBdr>
    </w:div>
    <w:div w:id="426854886">
      <w:bodyDiv w:val="1"/>
      <w:marLeft w:val="0"/>
      <w:marRight w:val="0"/>
      <w:marTop w:val="0"/>
      <w:marBottom w:val="0"/>
      <w:divBdr>
        <w:top w:val="none" w:sz="0" w:space="0" w:color="auto"/>
        <w:left w:val="none" w:sz="0" w:space="0" w:color="auto"/>
        <w:bottom w:val="none" w:sz="0" w:space="0" w:color="auto"/>
        <w:right w:val="none" w:sz="0" w:space="0" w:color="auto"/>
      </w:divBdr>
    </w:div>
    <w:div w:id="426924409">
      <w:bodyDiv w:val="1"/>
      <w:marLeft w:val="0"/>
      <w:marRight w:val="0"/>
      <w:marTop w:val="0"/>
      <w:marBottom w:val="0"/>
      <w:divBdr>
        <w:top w:val="none" w:sz="0" w:space="0" w:color="auto"/>
        <w:left w:val="none" w:sz="0" w:space="0" w:color="auto"/>
        <w:bottom w:val="none" w:sz="0" w:space="0" w:color="auto"/>
        <w:right w:val="none" w:sz="0" w:space="0" w:color="auto"/>
      </w:divBdr>
    </w:div>
    <w:div w:id="426968028">
      <w:bodyDiv w:val="1"/>
      <w:marLeft w:val="0"/>
      <w:marRight w:val="0"/>
      <w:marTop w:val="0"/>
      <w:marBottom w:val="0"/>
      <w:divBdr>
        <w:top w:val="none" w:sz="0" w:space="0" w:color="auto"/>
        <w:left w:val="none" w:sz="0" w:space="0" w:color="auto"/>
        <w:bottom w:val="none" w:sz="0" w:space="0" w:color="auto"/>
        <w:right w:val="none" w:sz="0" w:space="0" w:color="auto"/>
      </w:divBdr>
    </w:div>
    <w:div w:id="427239420">
      <w:bodyDiv w:val="1"/>
      <w:marLeft w:val="0"/>
      <w:marRight w:val="0"/>
      <w:marTop w:val="0"/>
      <w:marBottom w:val="0"/>
      <w:divBdr>
        <w:top w:val="none" w:sz="0" w:space="0" w:color="auto"/>
        <w:left w:val="none" w:sz="0" w:space="0" w:color="auto"/>
        <w:bottom w:val="none" w:sz="0" w:space="0" w:color="auto"/>
        <w:right w:val="none" w:sz="0" w:space="0" w:color="auto"/>
      </w:divBdr>
    </w:div>
    <w:div w:id="427388465">
      <w:bodyDiv w:val="1"/>
      <w:marLeft w:val="0"/>
      <w:marRight w:val="0"/>
      <w:marTop w:val="0"/>
      <w:marBottom w:val="0"/>
      <w:divBdr>
        <w:top w:val="none" w:sz="0" w:space="0" w:color="auto"/>
        <w:left w:val="none" w:sz="0" w:space="0" w:color="auto"/>
        <w:bottom w:val="none" w:sz="0" w:space="0" w:color="auto"/>
        <w:right w:val="none" w:sz="0" w:space="0" w:color="auto"/>
      </w:divBdr>
    </w:div>
    <w:div w:id="427510302">
      <w:bodyDiv w:val="1"/>
      <w:marLeft w:val="0"/>
      <w:marRight w:val="0"/>
      <w:marTop w:val="0"/>
      <w:marBottom w:val="0"/>
      <w:divBdr>
        <w:top w:val="none" w:sz="0" w:space="0" w:color="auto"/>
        <w:left w:val="none" w:sz="0" w:space="0" w:color="auto"/>
        <w:bottom w:val="none" w:sz="0" w:space="0" w:color="auto"/>
        <w:right w:val="none" w:sz="0" w:space="0" w:color="auto"/>
      </w:divBdr>
    </w:div>
    <w:div w:id="427580034">
      <w:bodyDiv w:val="1"/>
      <w:marLeft w:val="0"/>
      <w:marRight w:val="0"/>
      <w:marTop w:val="0"/>
      <w:marBottom w:val="0"/>
      <w:divBdr>
        <w:top w:val="none" w:sz="0" w:space="0" w:color="auto"/>
        <w:left w:val="none" w:sz="0" w:space="0" w:color="auto"/>
        <w:bottom w:val="none" w:sz="0" w:space="0" w:color="auto"/>
        <w:right w:val="none" w:sz="0" w:space="0" w:color="auto"/>
      </w:divBdr>
    </w:div>
    <w:div w:id="427583528">
      <w:bodyDiv w:val="1"/>
      <w:marLeft w:val="0"/>
      <w:marRight w:val="0"/>
      <w:marTop w:val="0"/>
      <w:marBottom w:val="0"/>
      <w:divBdr>
        <w:top w:val="none" w:sz="0" w:space="0" w:color="auto"/>
        <w:left w:val="none" w:sz="0" w:space="0" w:color="auto"/>
        <w:bottom w:val="none" w:sz="0" w:space="0" w:color="auto"/>
        <w:right w:val="none" w:sz="0" w:space="0" w:color="auto"/>
      </w:divBdr>
    </w:div>
    <w:div w:id="427697526">
      <w:bodyDiv w:val="1"/>
      <w:marLeft w:val="0"/>
      <w:marRight w:val="0"/>
      <w:marTop w:val="0"/>
      <w:marBottom w:val="0"/>
      <w:divBdr>
        <w:top w:val="none" w:sz="0" w:space="0" w:color="auto"/>
        <w:left w:val="none" w:sz="0" w:space="0" w:color="auto"/>
        <w:bottom w:val="none" w:sz="0" w:space="0" w:color="auto"/>
        <w:right w:val="none" w:sz="0" w:space="0" w:color="auto"/>
      </w:divBdr>
    </w:div>
    <w:div w:id="427819938">
      <w:bodyDiv w:val="1"/>
      <w:marLeft w:val="0"/>
      <w:marRight w:val="0"/>
      <w:marTop w:val="0"/>
      <w:marBottom w:val="0"/>
      <w:divBdr>
        <w:top w:val="none" w:sz="0" w:space="0" w:color="auto"/>
        <w:left w:val="none" w:sz="0" w:space="0" w:color="auto"/>
        <w:bottom w:val="none" w:sz="0" w:space="0" w:color="auto"/>
        <w:right w:val="none" w:sz="0" w:space="0" w:color="auto"/>
      </w:divBdr>
    </w:div>
    <w:div w:id="427848564">
      <w:bodyDiv w:val="1"/>
      <w:marLeft w:val="0"/>
      <w:marRight w:val="0"/>
      <w:marTop w:val="0"/>
      <w:marBottom w:val="0"/>
      <w:divBdr>
        <w:top w:val="none" w:sz="0" w:space="0" w:color="auto"/>
        <w:left w:val="none" w:sz="0" w:space="0" w:color="auto"/>
        <w:bottom w:val="none" w:sz="0" w:space="0" w:color="auto"/>
        <w:right w:val="none" w:sz="0" w:space="0" w:color="auto"/>
      </w:divBdr>
    </w:div>
    <w:div w:id="427889033">
      <w:bodyDiv w:val="1"/>
      <w:marLeft w:val="0"/>
      <w:marRight w:val="0"/>
      <w:marTop w:val="0"/>
      <w:marBottom w:val="0"/>
      <w:divBdr>
        <w:top w:val="none" w:sz="0" w:space="0" w:color="auto"/>
        <w:left w:val="none" w:sz="0" w:space="0" w:color="auto"/>
        <w:bottom w:val="none" w:sz="0" w:space="0" w:color="auto"/>
        <w:right w:val="none" w:sz="0" w:space="0" w:color="auto"/>
      </w:divBdr>
    </w:div>
    <w:div w:id="427889686">
      <w:bodyDiv w:val="1"/>
      <w:marLeft w:val="0"/>
      <w:marRight w:val="0"/>
      <w:marTop w:val="0"/>
      <w:marBottom w:val="0"/>
      <w:divBdr>
        <w:top w:val="none" w:sz="0" w:space="0" w:color="auto"/>
        <w:left w:val="none" w:sz="0" w:space="0" w:color="auto"/>
        <w:bottom w:val="none" w:sz="0" w:space="0" w:color="auto"/>
        <w:right w:val="none" w:sz="0" w:space="0" w:color="auto"/>
      </w:divBdr>
    </w:div>
    <w:div w:id="427892644">
      <w:bodyDiv w:val="1"/>
      <w:marLeft w:val="0"/>
      <w:marRight w:val="0"/>
      <w:marTop w:val="0"/>
      <w:marBottom w:val="0"/>
      <w:divBdr>
        <w:top w:val="none" w:sz="0" w:space="0" w:color="auto"/>
        <w:left w:val="none" w:sz="0" w:space="0" w:color="auto"/>
        <w:bottom w:val="none" w:sz="0" w:space="0" w:color="auto"/>
        <w:right w:val="none" w:sz="0" w:space="0" w:color="auto"/>
      </w:divBdr>
    </w:div>
    <w:div w:id="427963593">
      <w:bodyDiv w:val="1"/>
      <w:marLeft w:val="0"/>
      <w:marRight w:val="0"/>
      <w:marTop w:val="0"/>
      <w:marBottom w:val="0"/>
      <w:divBdr>
        <w:top w:val="none" w:sz="0" w:space="0" w:color="auto"/>
        <w:left w:val="none" w:sz="0" w:space="0" w:color="auto"/>
        <w:bottom w:val="none" w:sz="0" w:space="0" w:color="auto"/>
        <w:right w:val="none" w:sz="0" w:space="0" w:color="auto"/>
      </w:divBdr>
    </w:div>
    <w:div w:id="427968513">
      <w:bodyDiv w:val="1"/>
      <w:marLeft w:val="0"/>
      <w:marRight w:val="0"/>
      <w:marTop w:val="0"/>
      <w:marBottom w:val="0"/>
      <w:divBdr>
        <w:top w:val="none" w:sz="0" w:space="0" w:color="auto"/>
        <w:left w:val="none" w:sz="0" w:space="0" w:color="auto"/>
        <w:bottom w:val="none" w:sz="0" w:space="0" w:color="auto"/>
        <w:right w:val="none" w:sz="0" w:space="0" w:color="auto"/>
      </w:divBdr>
    </w:div>
    <w:div w:id="428089468">
      <w:bodyDiv w:val="1"/>
      <w:marLeft w:val="0"/>
      <w:marRight w:val="0"/>
      <w:marTop w:val="0"/>
      <w:marBottom w:val="0"/>
      <w:divBdr>
        <w:top w:val="none" w:sz="0" w:space="0" w:color="auto"/>
        <w:left w:val="none" w:sz="0" w:space="0" w:color="auto"/>
        <w:bottom w:val="none" w:sz="0" w:space="0" w:color="auto"/>
        <w:right w:val="none" w:sz="0" w:space="0" w:color="auto"/>
      </w:divBdr>
    </w:div>
    <w:div w:id="428090332">
      <w:bodyDiv w:val="1"/>
      <w:marLeft w:val="0"/>
      <w:marRight w:val="0"/>
      <w:marTop w:val="0"/>
      <w:marBottom w:val="0"/>
      <w:divBdr>
        <w:top w:val="none" w:sz="0" w:space="0" w:color="auto"/>
        <w:left w:val="none" w:sz="0" w:space="0" w:color="auto"/>
        <w:bottom w:val="none" w:sz="0" w:space="0" w:color="auto"/>
        <w:right w:val="none" w:sz="0" w:space="0" w:color="auto"/>
      </w:divBdr>
    </w:div>
    <w:div w:id="428162448">
      <w:bodyDiv w:val="1"/>
      <w:marLeft w:val="0"/>
      <w:marRight w:val="0"/>
      <w:marTop w:val="0"/>
      <w:marBottom w:val="0"/>
      <w:divBdr>
        <w:top w:val="none" w:sz="0" w:space="0" w:color="auto"/>
        <w:left w:val="none" w:sz="0" w:space="0" w:color="auto"/>
        <w:bottom w:val="none" w:sz="0" w:space="0" w:color="auto"/>
        <w:right w:val="none" w:sz="0" w:space="0" w:color="auto"/>
      </w:divBdr>
    </w:div>
    <w:div w:id="428236479">
      <w:bodyDiv w:val="1"/>
      <w:marLeft w:val="0"/>
      <w:marRight w:val="0"/>
      <w:marTop w:val="0"/>
      <w:marBottom w:val="0"/>
      <w:divBdr>
        <w:top w:val="none" w:sz="0" w:space="0" w:color="auto"/>
        <w:left w:val="none" w:sz="0" w:space="0" w:color="auto"/>
        <w:bottom w:val="none" w:sz="0" w:space="0" w:color="auto"/>
        <w:right w:val="none" w:sz="0" w:space="0" w:color="auto"/>
      </w:divBdr>
    </w:div>
    <w:div w:id="428237541">
      <w:bodyDiv w:val="1"/>
      <w:marLeft w:val="0"/>
      <w:marRight w:val="0"/>
      <w:marTop w:val="0"/>
      <w:marBottom w:val="0"/>
      <w:divBdr>
        <w:top w:val="none" w:sz="0" w:space="0" w:color="auto"/>
        <w:left w:val="none" w:sz="0" w:space="0" w:color="auto"/>
        <w:bottom w:val="none" w:sz="0" w:space="0" w:color="auto"/>
        <w:right w:val="none" w:sz="0" w:space="0" w:color="auto"/>
      </w:divBdr>
    </w:div>
    <w:div w:id="428428744">
      <w:bodyDiv w:val="1"/>
      <w:marLeft w:val="0"/>
      <w:marRight w:val="0"/>
      <w:marTop w:val="0"/>
      <w:marBottom w:val="0"/>
      <w:divBdr>
        <w:top w:val="none" w:sz="0" w:space="0" w:color="auto"/>
        <w:left w:val="none" w:sz="0" w:space="0" w:color="auto"/>
        <w:bottom w:val="none" w:sz="0" w:space="0" w:color="auto"/>
        <w:right w:val="none" w:sz="0" w:space="0" w:color="auto"/>
      </w:divBdr>
    </w:div>
    <w:div w:id="428739343">
      <w:bodyDiv w:val="1"/>
      <w:marLeft w:val="0"/>
      <w:marRight w:val="0"/>
      <w:marTop w:val="0"/>
      <w:marBottom w:val="0"/>
      <w:divBdr>
        <w:top w:val="none" w:sz="0" w:space="0" w:color="auto"/>
        <w:left w:val="none" w:sz="0" w:space="0" w:color="auto"/>
        <w:bottom w:val="none" w:sz="0" w:space="0" w:color="auto"/>
        <w:right w:val="none" w:sz="0" w:space="0" w:color="auto"/>
      </w:divBdr>
    </w:div>
    <w:div w:id="428744557">
      <w:bodyDiv w:val="1"/>
      <w:marLeft w:val="0"/>
      <w:marRight w:val="0"/>
      <w:marTop w:val="0"/>
      <w:marBottom w:val="0"/>
      <w:divBdr>
        <w:top w:val="none" w:sz="0" w:space="0" w:color="auto"/>
        <w:left w:val="none" w:sz="0" w:space="0" w:color="auto"/>
        <w:bottom w:val="none" w:sz="0" w:space="0" w:color="auto"/>
        <w:right w:val="none" w:sz="0" w:space="0" w:color="auto"/>
      </w:divBdr>
    </w:div>
    <w:div w:id="428895963">
      <w:bodyDiv w:val="1"/>
      <w:marLeft w:val="0"/>
      <w:marRight w:val="0"/>
      <w:marTop w:val="0"/>
      <w:marBottom w:val="0"/>
      <w:divBdr>
        <w:top w:val="none" w:sz="0" w:space="0" w:color="auto"/>
        <w:left w:val="none" w:sz="0" w:space="0" w:color="auto"/>
        <w:bottom w:val="none" w:sz="0" w:space="0" w:color="auto"/>
        <w:right w:val="none" w:sz="0" w:space="0" w:color="auto"/>
      </w:divBdr>
    </w:div>
    <w:div w:id="429011276">
      <w:bodyDiv w:val="1"/>
      <w:marLeft w:val="0"/>
      <w:marRight w:val="0"/>
      <w:marTop w:val="0"/>
      <w:marBottom w:val="0"/>
      <w:divBdr>
        <w:top w:val="none" w:sz="0" w:space="0" w:color="auto"/>
        <w:left w:val="none" w:sz="0" w:space="0" w:color="auto"/>
        <w:bottom w:val="none" w:sz="0" w:space="0" w:color="auto"/>
        <w:right w:val="none" w:sz="0" w:space="0" w:color="auto"/>
      </w:divBdr>
    </w:div>
    <w:div w:id="429089469">
      <w:bodyDiv w:val="1"/>
      <w:marLeft w:val="0"/>
      <w:marRight w:val="0"/>
      <w:marTop w:val="0"/>
      <w:marBottom w:val="0"/>
      <w:divBdr>
        <w:top w:val="none" w:sz="0" w:space="0" w:color="auto"/>
        <w:left w:val="none" w:sz="0" w:space="0" w:color="auto"/>
        <w:bottom w:val="none" w:sz="0" w:space="0" w:color="auto"/>
        <w:right w:val="none" w:sz="0" w:space="0" w:color="auto"/>
      </w:divBdr>
    </w:div>
    <w:div w:id="429129891">
      <w:bodyDiv w:val="1"/>
      <w:marLeft w:val="0"/>
      <w:marRight w:val="0"/>
      <w:marTop w:val="0"/>
      <w:marBottom w:val="0"/>
      <w:divBdr>
        <w:top w:val="none" w:sz="0" w:space="0" w:color="auto"/>
        <w:left w:val="none" w:sz="0" w:space="0" w:color="auto"/>
        <w:bottom w:val="none" w:sz="0" w:space="0" w:color="auto"/>
        <w:right w:val="none" w:sz="0" w:space="0" w:color="auto"/>
      </w:divBdr>
    </w:div>
    <w:div w:id="429207542">
      <w:bodyDiv w:val="1"/>
      <w:marLeft w:val="0"/>
      <w:marRight w:val="0"/>
      <w:marTop w:val="0"/>
      <w:marBottom w:val="0"/>
      <w:divBdr>
        <w:top w:val="none" w:sz="0" w:space="0" w:color="auto"/>
        <w:left w:val="none" w:sz="0" w:space="0" w:color="auto"/>
        <w:bottom w:val="none" w:sz="0" w:space="0" w:color="auto"/>
        <w:right w:val="none" w:sz="0" w:space="0" w:color="auto"/>
      </w:divBdr>
    </w:div>
    <w:div w:id="429274218">
      <w:bodyDiv w:val="1"/>
      <w:marLeft w:val="0"/>
      <w:marRight w:val="0"/>
      <w:marTop w:val="0"/>
      <w:marBottom w:val="0"/>
      <w:divBdr>
        <w:top w:val="none" w:sz="0" w:space="0" w:color="auto"/>
        <w:left w:val="none" w:sz="0" w:space="0" w:color="auto"/>
        <w:bottom w:val="none" w:sz="0" w:space="0" w:color="auto"/>
        <w:right w:val="none" w:sz="0" w:space="0" w:color="auto"/>
      </w:divBdr>
    </w:div>
    <w:div w:id="429358742">
      <w:bodyDiv w:val="1"/>
      <w:marLeft w:val="0"/>
      <w:marRight w:val="0"/>
      <w:marTop w:val="0"/>
      <w:marBottom w:val="0"/>
      <w:divBdr>
        <w:top w:val="none" w:sz="0" w:space="0" w:color="auto"/>
        <w:left w:val="none" w:sz="0" w:space="0" w:color="auto"/>
        <w:bottom w:val="none" w:sz="0" w:space="0" w:color="auto"/>
        <w:right w:val="none" w:sz="0" w:space="0" w:color="auto"/>
      </w:divBdr>
    </w:div>
    <w:div w:id="429473256">
      <w:bodyDiv w:val="1"/>
      <w:marLeft w:val="0"/>
      <w:marRight w:val="0"/>
      <w:marTop w:val="0"/>
      <w:marBottom w:val="0"/>
      <w:divBdr>
        <w:top w:val="none" w:sz="0" w:space="0" w:color="auto"/>
        <w:left w:val="none" w:sz="0" w:space="0" w:color="auto"/>
        <w:bottom w:val="none" w:sz="0" w:space="0" w:color="auto"/>
        <w:right w:val="none" w:sz="0" w:space="0" w:color="auto"/>
      </w:divBdr>
    </w:div>
    <w:div w:id="429547530">
      <w:bodyDiv w:val="1"/>
      <w:marLeft w:val="0"/>
      <w:marRight w:val="0"/>
      <w:marTop w:val="0"/>
      <w:marBottom w:val="0"/>
      <w:divBdr>
        <w:top w:val="none" w:sz="0" w:space="0" w:color="auto"/>
        <w:left w:val="none" w:sz="0" w:space="0" w:color="auto"/>
        <w:bottom w:val="none" w:sz="0" w:space="0" w:color="auto"/>
        <w:right w:val="none" w:sz="0" w:space="0" w:color="auto"/>
      </w:divBdr>
    </w:div>
    <w:div w:id="429592901">
      <w:bodyDiv w:val="1"/>
      <w:marLeft w:val="0"/>
      <w:marRight w:val="0"/>
      <w:marTop w:val="0"/>
      <w:marBottom w:val="0"/>
      <w:divBdr>
        <w:top w:val="none" w:sz="0" w:space="0" w:color="auto"/>
        <w:left w:val="none" w:sz="0" w:space="0" w:color="auto"/>
        <w:bottom w:val="none" w:sz="0" w:space="0" w:color="auto"/>
        <w:right w:val="none" w:sz="0" w:space="0" w:color="auto"/>
      </w:divBdr>
    </w:div>
    <w:div w:id="429594490">
      <w:bodyDiv w:val="1"/>
      <w:marLeft w:val="0"/>
      <w:marRight w:val="0"/>
      <w:marTop w:val="0"/>
      <w:marBottom w:val="0"/>
      <w:divBdr>
        <w:top w:val="none" w:sz="0" w:space="0" w:color="auto"/>
        <w:left w:val="none" w:sz="0" w:space="0" w:color="auto"/>
        <w:bottom w:val="none" w:sz="0" w:space="0" w:color="auto"/>
        <w:right w:val="none" w:sz="0" w:space="0" w:color="auto"/>
      </w:divBdr>
    </w:div>
    <w:div w:id="429666446">
      <w:bodyDiv w:val="1"/>
      <w:marLeft w:val="0"/>
      <w:marRight w:val="0"/>
      <w:marTop w:val="0"/>
      <w:marBottom w:val="0"/>
      <w:divBdr>
        <w:top w:val="none" w:sz="0" w:space="0" w:color="auto"/>
        <w:left w:val="none" w:sz="0" w:space="0" w:color="auto"/>
        <w:bottom w:val="none" w:sz="0" w:space="0" w:color="auto"/>
        <w:right w:val="none" w:sz="0" w:space="0" w:color="auto"/>
      </w:divBdr>
    </w:div>
    <w:div w:id="429740552">
      <w:bodyDiv w:val="1"/>
      <w:marLeft w:val="0"/>
      <w:marRight w:val="0"/>
      <w:marTop w:val="0"/>
      <w:marBottom w:val="0"/>
      <w:divBdr>
        <w:top w:val="none" w:sz="0" w:space="0" w:color="auto"/>
        <w:left w:val="none" w:sz="0" w:space="0" w:color="auto"/>
        <w:bottom w:val="none" w:sz="0" w:space="0" w:color="auto"/>
        <w:right w:val="none" w:sz="0" w:space="0" w:color="auto"/>
      </w:divBdr>
    </w:div>
    <w:div w:id="429817836">
      <w:bodyDiv w:val="1"/>
      <w:marLeft w:val="0"/>
      <w:marRight w:val="0"/>
      <w:marTop w:val="0"/>
      <w:marBottom w:val="0"/>
      <w:divBdr>
        <w:top w:val="none" w:sz="0" w:space="0" w:color="auto"/>
        <w:left w:val="none" w:sz="0" w:space="0" w:color="auto"/>
        <w:bottom w:val="none" w:sz="0" w:space="0" w:color="auto"/>
        <w:right w:val="none" w:sz="0" w:space="0" w:color="auto"/>
      </w:divBdr>
    </w:div>
    <w:div w:id="429859215">
      <w:bodyDiv w:val="1"/>
      <w:marLeft w:val="0"/>
      <w:marRight w:val="0"/>
      <w:marTop w:val="0"/>
      <w:marBottom w:val="0"/>
      <w:divBdr>
        <w:top w:val="none" w:sz="0" w:space="0" w:color="auto"/>
        <w:left w:val="none" w:sz="0" w:space="0" w:color="auto"/>
        <w:bottom w:val="none" w:sz="0" w:space="0" w:color="auto"/>
        <w:right w:val="none" w:sz="0" w:space="0" w:color="auto"/>
      </w:divBdr>
    </w:div>
    <w:div w:id="430052669">
      <w:bodyDiv w:val="1"/>
      <w:marLeft w:val="0"/>
      <w:marRight w:val="0"/>
      <w:marTop w:val="0"/>
      <w:marBottom w:val="0"/>
      <w:divBdr>
        <w:top w:val="none" w:sz="0" w:space="0" w:color="auto"/>
        <w:left w:val="none" w:sz="0" w:space="0" w:color="auto"/>
        <w:bottom w:val="none" w:sz="0" w:space="0" w:color="auto"/>
        <w:right w:val="none" w:sz="0" w:space="0" w:color="auto"/>
      </w:divBdr>
    </w:div>
    <w:div w:id="430124377">
      <w:bodyDiv w:val="1"/>
      <w:marLeft w:val="0"/>
      <w:marRight w:val="0"/>
      <w:marTop w:val="0"/>
      <w:marBottom w:val="0"/>
      <w:divBdr>
        <w:top w:val="none" w:sz="0" w:space="0" w:color="auto"/>
        <w:left w:val="none" w:sz="0" w:space="0" w:color="auto"/>
        <w:bottom w:val="none" w:sz="0" w:space="0" w:color="auto"/>
        <w:right w:val="none" w:sz="0" w:space="0" w:color="auto"/>
      </w:divBdr>
    </w:div>
    <w:div w:id="430248493">
      <w:bodyDiv w:val="1"/>
      <w:marLeft w:val="0"/>
      <w:marRight w:val="0"/>
      <w:marTop w:val="0"/>
      <w:marBottom w:val="0"/>
      <w:divBdr>
        <w:top w:val="none" w:sz="0" w:space="0" w:color="auto"/>
        <w:left w:val="none" w:sz="0" w:space="0" w:color="auto"/>
        <w:bottom w:val="none" w:sz="0" w:space="0" w:color="auto"/>
        <w:right w:val="none" w:sz="0" w:space="0" w:color="auto"/>
      </w:divBdr>
    </w:div>
    <w:div w:id="430274275">
      <w:bodyDiv w:val="1"/>
      <w:marLeft w:val="0"/>
      <w:marRight w:val="0"/>
      <w:marTop w:val="0"/>
      <w:marBottom w:val="0"/>
      <w:divBdr>
        <w:top w:val="none" w:sz="0" w:space="0" w:color="auto"/>
        <w:left w:val="none" w:sz="0" w:space="0" w:color="auto"/>
        <w:bottom w:val="none" w:sz="0" w:space="0" w:color="auto"/>
        <w:right w:val="none" w:sz="0" w:space="0" w:color="auto"/>
      </w:divBdr>
    </w:div>
    <w:div w:id="430275883">
      <w:bodyDiv w:val="1"/>
      <w:marLeft w:val="0"/>
      <w:marRight w:val="0"/>
      <w:marTop w:val="0"/>
      <w:marBottom w:val="0"/>
      <w:divBdr>
        <w:top w:val="none" w:sz="0" w:space="0" w:color="auto"/>
        <w:left w:val="none" w:sz="0" w:space="0" w:color="auto"/>
        <w:bottom w:val="none" w:sz="0" w:space="0" w:color="auto"/>
        <w:right w:val="none" w:sz="0" w:space="0" w:color="auto"/>
      </w:divBdr>
    </w:div>
    <w:div w:id="430394785">
      <w:bodyDiv w:val="1"/>
      <w:marLeft w:val="0"/>
      <w:marRight w:val="0"/>
      <w:marTop w:val="0"/>
      <w:marBottom w:val="0"/>
      <w:divBdr>
        <w:top w:val="none" w:sz="0" w:space="0" w:color="auto"/>
        <w:left w:val="none" w:sz="0" w:space="0" w:color="auto"/>
        <w:bottom w:val="none" w:sz="0" w:space="0" w:color="auto"/>
        <w:right w:val="none" w:sz="0" w:space="0" w:color="auto"/>
      </w:divBdr>
    </w:div>
    <w:div w:id="430592616">
      <w:bodyDiv w:val="1"/>
      <w:marLeft w:val="0"/>
      <w:marRight w:val="0"/>
      <w:marTop w:val="0"/>
      <w:marBottom w:val="0"/>
      <w:divBdr>
        <w:top w:val="none" w:sz="0" w:space="0" w:color="auto"/>
        <w:left w:val="none" w:sz="0" w:space="0" w:color="auto"/>
        <w:bottom w:val="none" w:sz="0" w:space="0" w:color="auto"/>
        <w:right w:val="none" w:sz="0" w:space="0" w:color="auto"/>
      </w:divBdr>
    </w:div>
    <w:div w:id="430668745">
      <w:bodyDiv w:val="1"/>
      <w:marLeft w:val="0"/>
      <w:marRight w:val="0"/>
      <w:marTop w:val="0"/>
      <w:marBottom w:val="0"/>
      <w:divBdr>
        <w:top w:val="none" w:sz="0" w:space="0" w:color="auto"/>
        <w:left w:val="none" w:sz="0" w:space="0" w:color="auto"/>
        <w:bottom w:val="none" w:sz="0" w:space="0" w:color="auto"/>
        <w:right w:val="none" w:sz="0" w:space="0" w:color="auto"/>
      </w:divBdr>
    </w:div>
    <w:div w:id="430708994">
      <w:bodyDiv w:val="1"/>
      <w:marLeft w:val="0"/>
      <w:marRight w:val="0"/>
      <w:marTop w:val="0"/>
      <w:marBottom w:val="0"/>
      <w:divBdr>
        <w:top w:val="none" w:sz="0" w:space="0" w:color="auto"/>
        <w:left w:val="none" w:sz="0" w:space="0" w:color="auto"/>
        <w:bottom w:val="none" w:sz="0" w:space="0" w:color="auto"/>
        <w:right w:val="none" w:sz="0" w:space="0" w:color="auto"/>
      </w:divBdr>
    </w:div>
    <w:div w:id="430786450">
      <w:bodyDiv w:val="1"/>
      <w:marLeft w:val="0"/>
      <w:marRight w:val="0"/>
      <w:marTop w:val="0"/>
      <w:marBottom w:val="0"/>
      <w:divBdr>
        <w:top w:val="none" w:sz="0" w:space="0" w:color="auto"/>
        <w:left w:val="none" w:sz="0" w:space="0" w:color="auto"/>
        <w:bottom w:val="none" w:sz="0" w:space="0" w:color="auto"/>
        <w:right w:val="none" w:sz="0" w:space="0" w:color="auto"/>
      </w:divBdr>
    </w:div>
    <w:div w:id="430856450">
      <w:bodyDiv w:val="1"/>
      <w:marLeft w:val="0"/>
      <w:marRight w:val="0"/>
      <w:marTop w:val="0"/>
      <w:marBottom w:val="0"/>
      <w:divBdr>
        <w:top w:val="none" w:sz="0" w:space="0" w:color="auto"/>
        <w:left w:val="none" w:sz="0" w:space="0" w:color="auto"/>
        <w:bottom w:val="none" w:sz="0" w:space="0" w:color="auto"/>
        <w:right w:val="none" w:sz="0" w:space="0" w:color="auto"/>
      </w:divBdr>
    </w:div>
    <w:div w:id="430857411">
      <w:bodyDiv w:val="1"/>
      <w:marLeft w:val="0"/>
      <w:marRight w:val="0"/>
      <w:marTop w:val="0"/>
      <w:marBottom w:val="0"/>
      <w:divBdr>
        <w:top w:val="none" w:sz="0" w:space="0" w:color="auto"/>
        <w:left w:val="none" w:sz="0" w:space="0" w:color="auto"/>
        <w:bottom w:val="none" w:sz="0" w:space="0" w:color="auto"/>
        <w:right w:val="none" w:sz="0" w:space="0" w:color="auto"/>
      </w:divBdr>
    </w:div>
    <w:div w:id="430975937">
      <w:bodyDiv w:val="1"/>
      <w:marLeft w:val="0"/>
      <w:marRight w:val="0"/>
      <w:marTop w:val="0"/>
      <w:marBottom w:val="0"/>
      <w:divBdr>
        <w:top w:val="none" w:sz="0" w:space="0" w:color="auto"/>
        <w:left w:val="none" w:sz="0" w:space="0" w:color="auto"/>
        <w:bottom w:val="none" w:sz="0" w:space="0" w:color="auto"/>
        <w:right w:val="none" w:sz="0" w:space="0" w:color="auto"/>
      </w:divBdr>
    </w:div>
    <w:div w:id="431054572">
      <w:bodyDiv w:val="1"/>
      <w:marLeft w:val="0"/>
      <w:marRight w:val="0"/>
      <w:marTop w:val="0"/>
      <w:marBottom w:val="0"/>
      <w:divBdr>
        <w:top w:val="none" w:sz="0" w:space="0" w:color="auto"/>
        <w:left w:val="none" w:sz="0" w:space="0" w:color="auto"/>
        <w:bottom w:val="none" w:sz="0" w:space="0" w:color="auto"/>
        <w:right w:val="none" w:sz="0" w:space="0" w:color="auto"/>
      </w:divBdr>
    </w:div>
    <w:div w:id="431165058">
      <w:bodyDiv w:val="1"/>
      <w:marLeft w:val="0"/>
      <w:marRight w:val="0"/>
      <w:marTop w:val="0"/>
      <w:marBottom w:val="0"/>
      <w:divBdr>
        <w:top w:val="none" w:sz="0" w:space="0" w:color="auto"/>
        <w:left w:val="none" w:sz="0" w:space="0" w:color="auto"/>
        <w:bottom w:val="none" w:sz="0" w:space="0" w:color="auto"/>
        <w:right w:val="none" w:sz="0" w:space="0" w:color="auto"/>
      </w:divBdr>
    </w:div>
    <w:div w:id="431244386">
      <w:bodyDiv w:val="1"/>
      <w:marLeft w:val="0"/>
      <w:marRight w:val="0"/>
      <w:marTop w:val="0"/>
      <w:marBottom w:val="0"/>
      <w:divBdr>
        <w:top w:val="none" w:sz="0" w:space="0" w:color="auto"/>
        <w:left w:val="none" w:sz="0" w:space="0" w:color="auto"/>
        <w:bottom w:val="none" w:sz="0" w:space="0" w:color="auto"/>
        <w:right w:val="none" w:sz="0" w:space="0" w:color="auto"/>
      </w:divBdr>
    </w:div>
    <w:div w:id="431244865">
      <w:bodyDiv w:val="1"/>
      <w:marLeft w:val="0"/>
      <w:marRight w:val="0"/>
      <w:marTop w:val="0"/>
      <w:marBottom w:val="0"/>
      <w:divBdr>
        <w:top w:val="none" w:sz="0" w:space="0" w:color="auto"/>
        <w:left w:val="none" w:sz="0" w:space="0" w:color="auto"/>
        <w:bottom w:val="none" w:sz="0" w:space="0" w:color="auto"/>
        <w:right w:val="none" w:sz="0" w:space="0" w:color="auto"/>
      </w:divBdr>
    </w:div>
    <w:div w:id="431366914">
      <w:bodyDiv w:val="1"/>
      <w:marLeft w:val="0"/>
      <w:marRight w:val="0"/>
      <w:marTop w:val="0"/>
      <w:marBottom w:val="0"/>
      <w:divBdr>
        <w:top w:val="none" w:sz="0" w:space="0" w:color="auto"/>
        <w:left w:val="none" w:sz="0" w:space="0" w:color="auto"/>
        <w:bottom w:val="none" w:sz="0" w:space="0" w:color="auto"/>
        <w:right w:val="none" w:sz="0" w:space="0" w:color="auto"/>
      </w:divBdr>
    </w:div>
    <w:div w:id="431435141">
      <w:bodyDiv w:val="1"/>
      <w:marLeft w:val="0"/>
      <w:marRight w:val="0"/>
      <w:marTop w:val="0"/>
      <w:marBottom w:val="0"/>
      <w:divBdr>
        <w:top w:val="none" w:sz="0" w:space="0" w:color="auto"/>
        <w:left w:val="none" w:sz="0" w:space="0" w:color="auto"/>
        <w:bottom w:val="none" w:sz="0" w:space="0" w:color="auto"/>
        <w:right w:val="none" w:sz="0" w:space="0" w:color="auto"/>
      </w:divBdr>
    </w:div>
    <w:div w:id="431510614">
      <w:bodyDiv w:val="1"/>
      <w:marLeft w:val="0"/>
      <w:marRight w:val="0"/>
      <w:marTop w:val="0"/>
      <w:marBottom w:val="0"/>
      <w:divBdr>
        <w:top w:val="none" w:sz="0" w:space="0" w:color="auto"/>
        <w:left w:val="none" w:sz="0" w:space="0" w:color="auto"/>
        <w:bottom w:val="none" w:sz="0" w:space="0" w:color="auto"/>
        <w:right w:val="none" w:sz="0" w:space="0" w:color="auto"/>
      </w:divBdr>
    </w:div>
    <w:div w:id="431559442">
      <w:bodyDiv w:val="1"/>
      <w:marLeft w:val="0"/>
      <w:marRight w:val="0"/>
      <w:marTop w:val="0"/>
      <w:marBottom w:val="0"/>
      <w:divBdr>
        <w:top w:val="none" w:sz="0" w:space="0" w:color="auto"/>
        <w:left w:val="none" w:sz="0" w:space="0" w:color="auto"/>
        <w:bottom w:val="none" w:sz="0" w:space="0" w:color="auto"/>
        <w:right w:val="none" w:sz="0" w:space="0" w:color="auto"/>
      </w:divBdr>
    </w:div>
    <w:div w:id="431559540">
      <w:bodyDiv w:val="1"/>
      <w:marLeft w:val="0"/>
      <w:marRight w:val="0"/>
      <w:marTop w:val="0"/>
      <w:marBottom w:val="0"/>
      <w:divBdr>
        <w:top w:val="none" w:sz="0" w:space="0" w:color="auto"/>
        <w:left w:val="none" w:sz="0" w:space="0" w:color="auto"/>
        <w:bottom w:val="none" w:sz="0" w:space="0" w:color="auto"/>
        <w:right w:val="none" w:sz="0" w:space="0" w:color="auto"/>
      </w:divBdr>
    </w:div>
    <w:div w:id="431627961">
      <w:bodyDiv w:val="1"/>
      <w:marLeft w:val="0"/>
      <w:marRight w:val="0"/>
      <w:marTop w:val="0"/>
      <w:marBottom w:val="0"/>
      <w:divBdr>
        <w:top w:val="none" w:sz="0" w:space="0" w:color="auto"/>
        <w:left w:val="none" w:sz="0" w:space="0" w:color="auto"/>
        <w:bottom w:val="none" w:sz="0" w:space="0" w:color="auto"/>
        <w:right w:val="none" w:sz="0" w:space="0" w:color="auto"/>
      </w:divBdr>
    </w:div>
    <w:div w:id="431635448">
      <w:bodyDiv w:val="1"/>
      <w:marLeft w:val="0"/>
      <w:marRight w:val="0"/>
      <w:marTop w:val="0"/>
      <w:marBottom w:val="0"/>
      <w:divBdr>
        <w:top w:val="none" w:sz="0" w:space="0" w:color="auto"/>
        <w:left w:val="none" w:sz="0" w:space="0" w:color="auto"/>
        <w:bottom w:val="none" w:sz="0" w:space="0" w:color="auto"/>
        <w:right w:val="none" w:sz="0" w:space="0" w:color="auto"/>
      </w:divBdr>
    </w:div>
    <w:div w:id="431822624">
      <w:bodyDiv w:val="1"/>
      <w:marLeft w:val="0"/>
      <w:marRight w:val="0"/>
      <w:marTop w:val="0"/>
      <w:marBottom w:val="0"/>
      <w:divBdr>
        <w:top w:val="none" w:sz="0" w:space="0" w:color="auto"/>
        <w:left w:val="none" w:sz="0" w:space="0" w:color="auto"/>
        <w:bottom w:val="none" w:sz="0" w:space="0" w:color="auto"/>
        <w:right w:val="none" w:sz="0" w:space="0" w:color="auto"/>
      </w:divBdr>
    </w:div>
    <w:div w:id="432021535">
      <w:bodyDiv w:val="1"/>
      <w:marLeft w:val="0"/>
      <w:marRight w:val="0"/>
      <w:marTop w:val="0"/>
      <w:marBottom w:val="0"/>
      <w:divBdr>
        <w:top w:val="none" w:sz="0" w:space="0" w:color="auto"/>
        <w:left w:val="none" w:sz="0" w:space="0" w:color="auto"/>
        <w:bottom w:val="none" w:sz="0" w:space="0" w:color="auto"/>
        <w:right w:val="none" w:sz="0" w:space="0" w:color="auto"/>
      </w:divBdr>
    </w:div>
    <w:div w:id="432045683">
      <w:bodyDiv w:val="1"/>
      <w:marLeft w:val="0"/>
      <w:marRight w:val="0"/>
      <w:marTop w:val="0"/>
      <w:marBottom w:val="0"/>
      <w:divBdr>
        <w:top w:val="none" w:sz="0" w:space="0" w:color="auto"/>
        <w:left w:val="none" w:sz="0" w:space="0" w:color="auto"/>
        <w:bottom w:val="none" w:sz="0" w:space="0" w:color="auto"/>
        <w:right w:val="none" w:sz="0" w:space="0" w:color="auto"/>
      </w:divBdr>
    </w:div>
    <w:div w:id="432090917">
      <w:bodyDiv w:val="1"/>
      <w:marLeft w:val="0"/>
      <w:marRight w:val="0"/>
      <w:marTop w:val="0"/>
      <w:marBottom w:val="0"/>
      <w:divBdr>
        <w:top w:val="none" w:sz="0" w:space="0" w:color="auto"/>
        <w:left w:val="none" w:sz="0" w:space="0" w:color="auto"/>
        <w:bottom w:val="none" w:sz="0" w:space="0" w:color="auto"/>
        <w:right w:val="none" w:sz="0" w:space="0" w:color="auto"/>
      </w:divBdr>
    </w:div>
    <w:div w:id="432092869">
      <w:bodyDiv w:val="1"/>
      <w:marLeft w:val="0"/>
      <w:marRight w:val="0"/>
      <w:marTop w:val="0"/>
      <w:marBottom w:val="0"/>
      <w:divBdr>
        <w:top w:val="none" w:sz="0" w:space="0" w:color="auto"/>
        <w:left w:val="none" w:sz="0" w:space="0" w:color="auto"/>
        <w:bottom w:val="none" w:sz="0" w:space="0" w:color="auto"/>
        <w:right w:val="none" w:sz="0" w:space="0" w:color="auto"/>
      </w:divBdr>
    </w:div>
    <w:div w:id="432095933">
      <w:bodyDiv w:val="1"/>
      <w:marLeft w:val="0"/>
      <w:marRight w:val="0"/>
      <w:marTop w:val="0"/>
      <w:marBottom w:val="0"/>
      <w:divBdr>
        <w:top w:val="none" w:sz="0" w:space="0" w:color="auto"/>
        <w:left w:val="none" w:sz="0" w:space="0" w:color="auto"/>
        <w:bottom w:val="none" w:sz="0" w:space="0" w:color="auto"/>
        <w:right w:val="none" w:sz="0" w:space="0" w:color="auto"/>
      </w:divBdr>
    </w:div>
    <w:div w:id="432169608">
      <w:bodyDiv w:val="1"/>
      <w:marLeft w:val="0"/>
      <w:marRight w:val="0"/>
      <w:marTop w:val="0"/>
      <w:marBottom w:val="0"/>
      <w:divBdr>
        <w:top w:val="none" w:sz="0" w:space="0" w:color="auto"/>
        <w:left w:val="none" w:sz="0" w:space="0" w:color="auto"/>
        <w:bottom w:val="none" w:sz="0" w:space="0" w:color="auto"/>
        <w:right w:val="none" w:sz="0" w:space="0" w:color="auto"/>
      </w:divBdr>
    </w:div>
    <w:div w:id="432285433">
      <w:bodyDiv w:val="1"/>
      <w:marLeft w:val="0"/>
      <w:marRight w:val="0"/>
      <w:marTop w:val="0"/>
      <w:marBottom w:val="0"/>
      <w:divBdr>
        <w:top w:val="none" w:sz="0" w:space="0" w:color="auto"/>
        <w:left w:val="none" w:sz="0" w:space="0" w:color="auto"/>
        <w:bottom w:val="none" w:sz="0" w:space="0" w:color="auto"/>
        <w:right w:val="none" w:sz="0" w:space="0" w:color="auto"/>
      </w:divBdr>
    </w:div>
    <w:div w:id="432482174">
      <w:bodyDiv w:val="1"/>
      <w:marLeft w:val="0"/>
      <w:marRight w:val="0"/>
      <w:marTop w:val="0"/>
      <w:marBottom w:val="0"/>
      <w:divBdr>
        <w:top w:val="none" w:sz="0" w:space="0" w:color="auto"/>
        <w:left w:val="none" w:sz="0" w:space="0" w:color="auto"/>
        <w:bottom w:val="none" w:sz="0" w:space="0" w:color="auto"/>
        <w:right w:val="none" w:sz="0" w:space="0" w:color="auto"/>
      </w:divBdr>
    </w:div>
    <w:div w:id="432482941">
      <w:bodyDiv w:val="1"/>
      <w:marLeft w:val="0"/>
      <w:marRight w:val="0"/>
      <w:marTop w:val="0"/>
      <w:marBottom w:val="0"/>
      <w:divBdr>
        <w:top w:val="none" w:sz="0" w:space="0" w:color="auto"/>
        <w:left w:val="none" w:sz="0" w:space="0" w:color="auto"/>
        <w:bottom w:val="none" w:sz="0" w:space="0" w:color="auto"/>
        <w:right w:val="none" w:sz="0" w:space="0" w:color="auto"/>
      </w:divBdr>
    </w:div>
    <w:div w:id="432670443">
      <w:bodyDiv w:val="1"/>
      <w:marLeft w:val="0"/>
      <w:marRight w:val="0"/>
      <w:marTop w:val="0"/>
      <w:marBottom w:val="0"/>
      <w:divBdr>
        <w:top w:val="none" w:sz="0" w:space="0" w:color="auto"/>
        <w:left w:val="none" w:sz="0" w:space="0" w:color="auto"/>
        <w:bottom w:val="none" w:sz="0" w:space="0" w:color="auto"/>
        <w:right w:val="none" w:sz="0" w:space="0" w:color="auto"/>
      </w:divBdr>
    </w:div>
    <w:div w:id="432672583">
      <w:bodyDiv w:val="1"/>
      <w:marLeft w:val="0"/>
      <w:marRight w:val="0"/>
      <w:marTop w:val="0"/>
      <w:marBottom w:val="0"/>
      <w:divBdr>
        <w:top w:val="none" w:sz="0" w:space="0" w:color="auto"/>
        <w:left w:val="none" w:sz="0" w:space="0" w:color="auto"/>
        <w:bottom w:val="none" w:sz="0" w:space="0" w:color="auto"/>
        <w:right w:val="none" w:sz="0" w:space="0" w:color="auto"/>
      </w:divBdr>
    </w:div>
    <w:div w:id="432822553">
      <w:bodyDiv w:val="1"/>
      <w:marLeft w:val="0"/>
      <w:marRight w:val="0"/>
      <w:marTop w:val="0"/>
      <w:marBottom w:val="0"/>
      <w:divBdr>
        <w:top w:val="none" w:sz="0" w:space="0" w:color="auto"/>
        <w:left w:val="none" w:sz="0" w:space="0" w:color="auto"/>
        <w:bottom w:val="none" w:sz="0" w:space="0" w:color="auto"/>
        <w:right w:val="none" w:sz="0" w:space="0" w:color="auto"/>
      </w:divBdr>
    </w:div>
    <w:div w:id="432825548">
      <w:bodyDiv w:val="1"/>
      <w:marLeft w:val="0"/>
      <w:marRight w:val="0"/>
      <w:marTop w:val="0"/>
      <w:marBottom w:val="0"/>
      <w:divBdr>
        <w:top w:val="none" w:sz="0" w:space="0" w:color="auto"/>
        <w:left w:val="none" w:sz="0" w:space="0" w:color="auto"/>
        <w:bottom w:val="none" w:sz="0" w:space="0" w:color="auto"/>
        <w:right w:val="none" w:sz="0" w:space="0" w:color="auto"/>
      </w:divBdr>
    </w:div>
    <w:div w:id="432939965">
      <w:bodyDiv w:val="1"/>
      <w:marLeft w:val="0"/>
      <w:marRight w:val="0"/>
      <w:marTop w:val="0"/>
      <w:marBottom w:val="0"/>
      <w:divBdr>
        <w:top w:val="none" w:sz="0" w:space="0" w:color="auto"/>
        <w:left w:val="none" w:sz="0" w:space="0" w:color="auto"/>
        <w:bottom w:val="none" w:sz="0" w:space="0" w:color="auto"/>
        <w:right w:val="none" w:sz="0" w:space="0" w:color="auto"/>
      </w:divBdr>
    </w:div>
    <w:div w:id="433091753">
      <w:bodyDiv w:val="1"/>
      <w:marLeft w:val="0"/>
      <w:marRight w:val="0"/>
      <w:marTop w:val="0"/>
      <w:marBottom w:val="0"/>
      <w:divBdr>
        <w:top w:val="none" w:sz="0" w:space="0" w:color="auto"/>
        <w:left w:val="none" w:sz="0" w:space="0" w:color="auto"/>
        <w:bottom w:val="none" w:sz="0" w:space="0" w:color="auto"/>
        <w:right w:val="none" w:sz="0" w:space="0" w:color="auto"/>
      </w:divBdr>
    </w:div>
    <w:div w:id="433131273">
      <w:bodyDiv w:val="1"/>
      <w:marLeft w:val="0"/>
      <w:marRight w:val="0"/>
      <w:marTop w:val="0"/>
      <w:marBottom w:val="0"/>
      <w:divBdr>
        <w:top w:val="none" w:sz="0" w:space="0" w:color="auto"/>
        <w:left w:val="none" w:sz="0" w:space="0" w:color="auto"/>
        <w:bottom w:val="none" w:sz="0" w:space="0" w:color="auto"/>
        <w:right w:val="none" w:sz="0" w:space="0" w:color="auto"/>
      </w:divBdr>
    </w:div>
    <w:div w:id="433132682">
      <w:bodyDiv w:val="1"/>
      <w:marLeft w:val="0"/>
      <w:marRight w:val="0"/>
      <w:marTop w:val="0"/>
      <w:marBottom w:val="0"/>
      <w:divBdr>
        <w:top w:val="none" w:sz="0" w:space="0" w:color="auto"/>
        <w:left w:val="none" w:sz="0" w:space="0" w:color="auto"/>
        <w:bottom w:val="none" w:sz="0" w:space="0" w:color="auto"/>
        <w:right w:val="none" w:sz="0" w:space="0" w:color="auto"/>
      </w:divBdr>
    </w:div>
    <w:div w:id="433213870">
      <w:bodyDiv w:val="1"/>
      <w:marLeft w:val="0"/>
      <w:marRight w:val="0"/>
      <w:marTop w:val="0"/>
      <w:marBottom w:val="0"/>
      <w:divBdr>
        <w:top w:val="none" w:sz="0" w:space="0" w:color="auto"/>
        <w:left w:val="none" w:sz="0" w:space="0" w:color="auto"/>
        <w:bottom w:val="none" w:sz="0" w:space="0" w:color="auto"/>
        <w:right w:val="none" w:sz="0" w:space="0" w:color="auto"/>
      </w:divBdr>
    </w:div>
    <w:div w:id="433525339">
      <w:bodyDiv w:val="1"/>
      <w:marLeft w:val="0"/>
      <w:marRight w:val="0"/>
      <w:marTop w:val="0"/>
      <w:marBottom w:val="0"/>
      <w:divBdr>
        <w:top w:val="none" w:sz="0" w:space="0" w:color="auto"/>
        <w:left w:val="none" w:sz="0" w:space="0" w:color="auto"/>
        <w:bottom w:val="none" w:sz="0" w:space="0" w:color="auto"/>
        <w:right w:val="none" w:sz="0" w:space="0" w:color="auto"/>
      </w:divBdr>
    </w:div>
    <w:div w:id="433599951">
      <w:bodyDiv w:val="1"/>
      <w:marLeft w:val="0"/>
      <w:marRight w:val="0"/>
      <w:marTop w:val="0"/>
      <w:marBottom w:val="0"/>
      <w:divBdr>
        <w:top w:val="none" w:sz="0" w:space="0" w:color="auto"/>
        <w:left w:val="none" w:sz="0" w:space="0" w:color="auto"/>
        <w:bottom w:val="none" w:sz="0" w:space="0" w:color="auto"/>
        <w:right w:val="none" w:sz="0" w:space="0" w:color="auto"/>
      </w:divBdr>
    </w:div>
    <w:div w:id="433671262">
      <w:bodyDiv w:val="1"/>
      <w:marLeft w:val="0"/>
      <w:marRight w:val="0"/>
      <w:marTop w:val="0"/>
      <w:marBottom w:val="0"/>
      <w:divBdr>
        <w:top w:val="none" w:sz="0" w:space="0" w:color="auto"/>
        <w:left w:val="none" w:sz="0" w:space="0" w:color="auto"/>
        <w:bottom w:val="none" w:sz="0" w:space="0" w:color="auto"/>
        <w:right w:val="none" w:sz="0" w:space="0" w:color="auto"/>
      </w:divBdr>
    </w:div>
    <w:div w:id="433671311">
      <w:bodyDiv w:val="1"/>
      <w:marLeft w:val="0"/>
      <w:marRight w:val="0"/>
      <w:marTop w:val="0"/>
      <w:marBottom w:val="0"/>
      <w:divBdr>
        <w:top w:val="none" w:sz="0" w:space="0" w:color="auto"/>
        <w:left w:val="none" w:sz="0" w:space="0" w:color="auto"/>
        <w:bottom w:val="none" w:sz="0" w:space="0" w:color="auto"/>
        <w:right w:val="none" w:sz="0" w:space="0" w:color="auto"/>
      </w:divBdr>
    </w:div>
    <w:div w:id="433676411">
      <w:bodyDiv w:val="1"/>
      <w:marLeft w:val="0"/>
      <w:marRight w:val="0"/>
      <w:marTop w:val="0"/>
      <w:marBottom w:val="0"/>
      <w:divBdr>
        <w:top w:val="none" w:sz="0" w:space="0" w:color="auto"/>
        <w:left w:val="none" w:sz="0" w:space="0" w:color="auto"/>
        <w:bottom w:val="none" w:sz="0" w:space="0" w:color="auto"/>
        <w:right w:val="none" w:sz="0" w:space="0" w:color="auto"/>
      </w:divBdr>
    </w:div>
    <w:div w:id="433788019">
      <w:bodyDiv w:val="1"/>
      <w:marLeft w:val="0"/>
      <w:marRight w:val="0"/>
      <w:marTop w:val="0"/>
      <w:marBottom w:val="0"/>
      <w:divBdr>
        <w:top w:val="none" w:sz="0" w:space="0" w:color="auto"/>
        <w:left w:val="none" w:sz="0" w:space="0" w:color="auto"/>
        <w:bottom w:val="none" w:sz="0" w:space="0" w:color="auto"/>
        <w:right w:val="none" w:sz="0" w:space="0" w:color="auto"/>
      </w:divBdr>
    </w:div>
    <w:div w:id="433938217">
      <w:bodyDiv w:val="1"/>
      <w:marLeft w:val="0"/>
      <w:marRight w:val="0"/>
      <w:marTop w:val="0"/>
      <w:marBottom w:val="0"/>
      <w:divBdr>
        <w:top w:val="none" w:sz="0" w:space="0" w:color="auto"/>
        <w:left w:val="none" w:sz="0" w:space="0" w:color="auto"/>
        <w:bottom w:val="none" w:sz="0" w:space="0" w:color="auto"/>
        <w:right w:val="none" w:sz="0" w:space="0" w:color="auto"/>
      </w:divBdr>
    </w:div>
    <w:div w:id="433982483">
      <w:bodyDiv w:val="1"/>
      <w:marLeft w:val="0"/>
      <w:marRight w:val="0"/>
      <w:marTop w:val="0"/>
      <w:marBottom w:val="0"/>
      <w:divBdr>
        <w:top w:val="none" w:sz="0" w:space="0" w:color="auto"/>
        <w:left w:val="none" w:sz="0" w:space="0" w:color="auto"/>
        <w:bottom w:val="none" w:sz="0" w:space="0" w:color="auto"/>
        <w:right w:val="none" w:sz="0" w:space="0" w:color="auto"/>
      </w:divBdr>
    </w:div>
    <w:div w:id="434011380">
      <w:bodyDiv w:val="1"/>
      <w:marLeft w:val="0"/>
      <w:marRight w:val="0"/>
      <w:marTop w:val="0"/>
      <w:marBottom w:val="0"/>
      <w:divBdr>
        <w:top w:val="none" w:sz="0" w:space="0" w:color="auto"/>
        <w:left w:val="none" w:sz="0" w:space="0" w:color="auto"/>
        <w:bottom w:val="none" w:sz="0" w:space="0" w:color="auto"/>
        <w:right w:val="none" w:sz="0" w:space="0" w:color="auto"/>
      </w:divBdr>
    </w:div>
    <w:div w:id="434134558">
      <w:bodyDiv w:val="1"/>
      <w:marLeft w:val="0"/>
      <w:marRight w:val="0"/>
      <w:marTop w:val="0"/>
      <w:marBottom w:val="0"/>
      <w:divBdr>
        <w:top w:val="none" w:sz="0" w:space="0" w:color="auto"/>
        <w:left w:val="none" w:sz="0" w:space="0" w:color="auto"/>
        <w:bottom w:val="none" w:sz="0" w:space="0" w:color="auto"/>
        <w:right w:val="none" w:sz="0" w:space="0" w:color="auto"/>
      </w:divBdr>
    </w:div>
    <w:div w:id="434135137">
      <w:bodyDiv w:val="1"/>
      <w:marLeft w:val="0"/>
      <w:marRight w:val="0"/>
      <w:marTop w:val="0"/>
      <w:marBottom w:val="0"/>
      <w:divBdr>
        <w:top w:val="none" w:sz="0" w:space="0" w:color="auto"/>
        <w:left w:val="none" w:sz="0" w:space="0" w:color="auto"/>
        <w:bottom w:val="none" w:sz="0" w:space="0" w:color="auto"/>
        <w:right w:val="none" w:sz="0" w:space="0" w:color="auto"/>
      </w:divBdr>
    </w:div>
    <w:div w:id="434205339">
      <w:bodyDiv w:val="1"/>
      <w:marLeft w:val="0"/>
      <w:marRight w:val="0"/>
      <w:marTop w:val="0"/>
      <w:marBottom w:val="0"/>
      <w:divBdr>
        <w:top w:val="none" w:sz="0" w:space="0" w:color="auto"/>
        <w:left w:val="none" w:sz="0" w:space="0" w:color="auto"/>
        <w:bottom w:val="none" w:sz="0" w:space="0" w:color="auto"/>
        <w:right w:val="none" w:sz="0" w:space="0" w:color="auto"/>
      </w:divBdr>
    </w:div>
    <w:div w:id="434595011">
      <w:bodyDiv w:val="1"/>
      <w:marLeft w:val="0"/>
      <w:marRight w:val="0"/>
      <w:marTop w:val="0"/>
      <w:marBottom w:val="0"/>
      <w:divBdr>
        <w:top w:val="none" w:sz="0" w:space="0" w:color="auto"/>
        <w:left w:val="none" w:sz="0" w:space="0" w:color="auto"/>
        <w:bottom w:val="none" w:sz="0" w:space="0" w:color="auto"/>
        <w:right w:val="none" w:sz="0" w:space="0" w:color="auto"/>
      </w:divBdr>
    </w:div>
    <w:div w:id="434638690">
      <w:bodyDiv w:val="1"/>
      <w:marLeft w:val="0"/>
      <w:marRight w:val="0"/>
      <w:marTop w:val="0"/>
      <w:marBottom w:val="0"/>
      <w:divBdr>
        <w:top w:val="none" w:sz="0" w:space="0" w:color="auto"/>
        <w:left w:val="none" w:sz="0" w:space="0" w:color="auto"/>
        <w:bottom w:val="none" w:sz="0" w:space="0" w:color="auto"/>
        <w:right w:val="none" w:sz="0" w:space="0" w:color="auto"/>
      </w:divBdr>
    </w:div>
    <w:div w:id="434718609">
      <w:bodyDiv w:val="1"/>
      <w:marLeft w:val="0"/>
      <w:marRight w:val="0"/>
      <w:marTop w:val="0"/>
      <w:marBottom w:val="0"/>
      <w:divBdr>
        <w:top w:val="none" w:sz="0" w:space="0" w:color="auto"/>
        <w:left w:val="none" w:sz="0" w:space="0" w:color="auto"/>
        <w:bottom w:val="none" w:sz="0" w:space="0" w:color="auto"/>
        <w:right w:val="none" w:sz="0" w:space="0" w:color="auto"/>
      </w:divBdr>
    </w:div>
    <w:div w:id="434860863">
      <w:bodyDiv w:val="1"/>
      <w:marLeft w:val="0"/>
      <w:marRight w:val="0"/>
      <w:marTop w:val="0"/>
      <w:marBottom w:val="0"/>
      <w:divBdr>
        <w:top w:val="none" w:sz="0" w:space="0" w:color="auto"/>
        <w:left w:val="none" w:sz="0" w:space="0" w:color="auto"/>
        <w:bottom w:val="none" w:sz="0" w:space="0" w:color="auto"/>
        <w:right w:val="none" w:sz="0" w:space="0" w:color="auto"/>
      </w:divBdr>
    </w:div>
    <w:div w:id="434862530">
      <w:bodyDiv w:val="1"/>
      <w:marLeft w:val="0"/>
      <w:marRight w:val="0"/>
      <w:marTop w:val="0"/>
      <w:marBottom w:val="0"/>
      <w:divBdr>
        <w:top w:val="none" w:sz="0" w:space="0" w:color="auto"/>
        <w:left w:val="none" w:sz="0" w:space="0" w:color="auto"/>
        <w:bottom w:val="none" w:sz="0" w:space="0" w:color="auto"/>
        <w:right w:val="none" w:sz="0" w:space="0" w:color="auto"/>
      </w:divBdr>
    </w:div>
    <w:div w:id="434864054">
      <w:bodyDiv w:val="1"/>
      <w:marLeft w:val="0"/>
      <w:marRight w:val="0"/>
      <w:marTop w:val="0"/>
      <w:marBottom w:val="0"/>
      <w:divBdr>
        <w:top w:val="none" w:sz="0" w:space="0" w:color="auto"/>
        <w:left w:val="none" w:sz="0" w:space="0" w:color="auto"/>
        <w:bottom w:val="none" w:sz="0" w:space="0" w:color="auto"/>
        <w:right w:val="none" w:sz="0" w:space="0" w:color="auto"/>
      </w:divBdr>
    </w:div>
    <w:div w:id="434903887">
      <w:bodyDiv w:val="1"/>
      <w:marLeft w:val="0"/>
      <w:marRight w:val="0"/>
      <w:marTop w:val="0"/>
      <w:marBottom w:val="0"/>
      <w:divBdr>
        <w:top w:val="none" w:sz="0" w:space="0" w:color="auto"/>
        <w:left w:val="none" w:sz="0" w:space="0" w:color="auto"/>
        <w:bottom w:val="none" w:sz="0" w:space="0" w:color="auto"/>
        <w:right w:val="none" w:sz="0" w:space="0" w:color="auto"/>
      </w:divBdr>
    </w:div>
    <w:div w:id="434905201">
      <w:bodyDiv w:val="1"/>
      <w:marLeft w:val="0"/>
      <w:marRight w:val="0"/>
      <w:marTop w:val="0"/>
      <w:marBottom w:val="0"/>
      <w:divBdr>
        <w:top w:val="none" w:sz="0" w:space="0" w:color="auto"/>
        <w:left w:val="none" w:sz="0" w:space="0" w:color="auto"/>
        <w:bottom w:val="none" w:sz="0" w:space="0" w:color="auto"/>
        <w:right w:val="none" w:sz="0" w:space="0" w:color="auto"/>
      </w:divBdr>
    </w:div>
    <w:div w:id="434911421">
      <w:bodyDiv w:val="1"/>
      <w:marLeft w:val="0"/>
      <w:marRight w:val="0"/>
      <w:marTop w:val="0"/>
      <w:marBottom w:val="0"/>
      <w:divBdr>
        <w:top w:val="none" w:sz="0" w:space="0" w:color="auto"/>
        <w:left w:val="none" w:sz="0" w:space="0" w:color="auto"/>
        <w:bottom w:val="none" w:sz="0" w:space="0" w:color="auto"/>
        <w:right w:val="none" w:sz="0" w:space="0" w:color="auto"/>
      </w:divBdr>
    </w:div>
    <w:div w:id="434986398">
      <w:bodyDiv w:val="1"/>
      <w:marLeft w:val="0"/>
      <w:marRight w:val="0"/>
      <w:marTop w:val="0"/>
      <w:marBottom w:val="0"/>
      <w:divBdr>
        <w:top w:val="none" w:sz="0" w:space="0" w:color="auto"/>
        <w:left w:val="none" w:sz="0" w:space="0" w:color="auto"/>
        <w:bottom w:val="none" w:sz="0" w:space="0" w:color="auto"/>
        <w:right w:val="none" w:sz="0" w:space="0" w:color="auto"/>
      </w:divBdr>
    </w:div>
    <w:div w:id="435028639">
      <w:bodyDiv w:val="1"/>
      <w:marLeft w:val="0"/>
      <w:marRight w:val="0"/>
      <w:marTop w:val="0"/>
      <w:marBottom w:val="0"/>
      <w:divBdr>
        <w:top w:val="none" w:sz="0" w:space="0" w:color="auto"/>
        <w:left w:val="none" w:sz="0" w:space="0" w:color="auto"/>
        <w:bottom w:val="none" w:sz="0" w:space="0" w:color="auto"/>
        <w:right w:val="none" w:sz="0" w:space="0" w:color="auto"/>
      </w:divBdr>
    </w:div>
    <w:div w:id="435104066">
      <w:bodyDiv w:val="1"/>
      <w:marLeft w:val="0"/>
      <w:marRight w:val="0"/>
      <w:marTop w:val="0"/>
      <w:marBottom w:val="0"/>
      <w:divBdr>
        <w:top w:val="none" w:sz="0" w:space="0" w:color="auto"/>
        <w:left w:val="none" w:sz="0" w:space="0" w:color="auto"/>
        <w:bottom w:val="none" w:sz="0" w:space="0" w:color="auto"/>
        <w:right w:val="none" w:sz="0" w:space="0" w:color="auto"/>
      </w:divBdr>
    </w:div>
    <w:div w:id="435249380">
      <w:bodyDiv w:val="1"/>
      <w:marLeft w:val="0"/>
      <w:marRight w:val="0"/>
      <w:marTop w:val="0"/>
      <w:marBottom w:val="0"/>
      <w:divBdr>
        <w:top w:val="none" w:sz="0" w:space="0" w:color="auto"/>
        <w:left w:val="none" w:sz="0" w:space="0" w:color="auto"/>
        <w:bottom w:val="none" w:sz="0" w:space="0" w:color="auto"/>
        <w:right w:val="none" w:sz="0" w:space="0" w:color="auto"/>
      </w:divBdr>
    </w:div>
    <w:div w:id="435255159">
      <w:bodyDiv w:val="1"/>
      <w:marLeft w:val="0"/>
      <w:marRight w:val="0"/>
      <w:marTop w:val="0"/>
      <w:marBottom w:val="0"/>
      <w:divBdr>
        <w:top w:val="none" w:sz="0" w:space="0" w:color="auto"/>
        <w:left w:val="none" w:sz="0" w:space="0" w:color="auto"/>
        <w:bottom w:val="none" w:sz="0" w:space="0" w:color="auto"/>
        <w:right w:val="none" w:sz="0" w:space="0" w:color="auto"/>
      </w:divBdr>
    </w:div>
    <w:div w:id="435291016">
      <w:bodyDiv w:val="1"/>
      <w:marLeft w:val="0"/>
      <w:marRight w:val="0"/>
      <w:marTop w:val="0"/>
      <w:marBottom w:val="0"/>
      <w:divBdr>
        <w:top w:val="none" w:sz="0" w:space="0" w:color="auto"/>
        <w:left w:val="none" w:sz="0" w:space="0" w:color="auto"/>
        <w:bottom w:val="none" w:sz="0" w:space="0" w:color="auto"/>
        <w:right w:val="none" w:sz="0" w:space="0" w:color="auto"/>
      </w:divBdr>
    </w:div>
    <w:div w:id="435292076">
      <w:bodyDiv w:val="1"/>
      <w:marLeft w:val="0"/>
      <w:marRight w:val="0"/>
      <w:marTop w:val="0"/>
      <w:marBottom w:val="0"/>
      <w:divBdr>
        <w:top w:val="none" w:sz="0" w:space="0" w:color="auto"/>
        <w:left w:val="none" w:sz="0" w:space="0" w:color="auto"/>
        <w:bottom w:val="none" w:sz="0" w:space="0" w:color="auto"/>
        <w:right w:val="none" w:sz="0" w:space="0" w:color="auto"/>
      </w:divBdr>
    </w:div>
    <w:div w:id="435441439">
      <w:bodyDiv w:val="1"/>
      <w:marLeft w:val="0"/>
      <w:marRight w:val="0"/>
      <w:marTop w:val="0"/>
      <w:marBottom w:val="0"/>
      <w:divBdr>
        <w:top w:val="none" w:sz="0" w:space="0" w:color="auto"/>
        <w:left w:val="none" w:sz="0" w:space="0" w:color="auto"/>
        <w:bottom w:val="none" w:sz="0" w:space="0" w:color="auto"/>
        <w:right w:val="none" w:sz="0" w:space="0" w:color="auto"/>
      </w:divBdr>
    </w:div>
    <w:div w:id="435563068">
      <w:bodyDiv w:val="1"/>
      <w:marLeft w:val="0"/>
      <w:marRight w:val="0"/>
      <w:marTop w:val="0"/>
      <w:marBottom w:val="0"/>
      <w:divBdr>
        <w:top w:val="none" w:sz="0" w:space="0" w:color="auto"/>
        <w:left w:val="none" w:sz="0" w:space="0" w:color="auto"/>
        <w:bottom w:val="none" w:sz="0" w:space="0" w:color="auto"/>
        <w:right w:val="none" w:sz="0" w:space="0" w:color="auto"/>
      </w:divBdr>
    </w:div>
    <w:div w:id="435639970">
      <w:bodyDiv w:val="1"/>
      <w:marLeft w:val="0"/>
      <w:marRight w:val="0"/>
      <w:marTop w:val="0"/>
      <w:marBottom w:val="0"/>
      <w:divBdr>
        <w:top w:val="none" w:sz="0" w:space="0" w:color="auto"/>
        <w:left w:val="none" w:sz="0" w:space="0" w:color="auto"/>
        <w:bottom w:val="none" w:sz="0" w:space="0" w:color="auto"/>
        <w:right w:val="none" w:sz="0" w:space="0" w:color="auto"/>
      </w:divBdr>
    </w:div>
    <w:div w:id="435829003">
      <w:bodyDiv w:val="1"/>
      <w:marLeft w:val="0"/>
      <w:marRight w:val="0"/>
      <w:marTop w:val="0"/>
      <w:marBottom w:val="0"/>
      <w:divBdr>
        <w:top w:val="none" w:sz="0" w:space="0" w:color="auto"/>
        <w:left w:val="none" w:sz="0" w:space="0" w:color="auto"/>
        <w:bottom w:val="none" w:sz="0" w:space="0" w:color="auto"/>
        <w:right w:val="none" w:sz="0" w:space="0" w:color="auto"/>
      </w:divBdr>
    </w:div>
    <w:div w:id="435831318">
      <w:bodyDiv w:val="1"/>
      <w:marLeft w:val="0"/>
      <w:marRight w:val="0"/>
      <w:marTop w:val="0"/>
      <w:marBottom w:val="0"/>
      <w:divBdr>
        <w:top w:val="none" w:sz="0" w:space="0" w:color="auto"/>
        <w:left w:val="none" w:sz="0" w:space="0" w:color="auto"/>
        <w:bottom w:val="none" w:sz="0" w:space="0" w:color="auto"/>
        <w:right w:val="none" w:sz="0" w:space="0" w:color="auto"/>
      </w:divBdr>
    </w:div>
    <w:div w:id="435905175">
      <w:bodyDiv w:val="1"/>
      <w:marLeft w:val="0"/>
      <w:marRight w:val="0"/>
      <w:marTop w:val="0"/>
      <w:marBottom w:val="0"/>
      <w:divBdr>
        <w:top w:val="none" w:sz="0" w:space="0" w:color="auto"/>
        <w:left w:val="none" w:sz="0" w:space="0" w:color="auto"/>
        <w:bottom w:val="none" w:sz="0" w:space="0" w:color="auto"/>
        <w:right w:val="none" w:sz="0" w:space="0" w:color="auto"/>
      </w:divBdr>
    </w:div>
    <w:div w:id="435906998">
      <w:bodyDiv w:val="1"/>
      <w:marLeft w:val="0"/>
      <w:marRight w:val="0"/>
      <w:marTop w:val="0"/>
      <w:marBottom w:val="0"/>
      <w:divBdr>
        <w:top w:val="none" w:sz="0" w:space="0" w:color="auto"/>
        <w:left w:val="none" w:sz="0" w:space="0" w:color="auto"/>
        <w:bottom w:val="none" w:sz="0" w:space="0" w:color="auto"/>
        <w:right w:val="none" w:sz="0" w:space="0" w:color="auto"/>
      </w:divBdr>
    </w:div>
    <w:div w:id="436021072">
      <w:bodyDiv w:val="1"/>
      <w:marLeft w:val="0"/>
      <w:marRight w:val="0"/>
      <w:marTop w:val="0"/>
      <w:marBottom w:val="0"/>
      <w:divBdr>
        <w:top w:val="none" w:sz="0" w:space="0" w:color="auto"/>
        <w:left w:val="none" w:sz="0" w:space="0" w:color="auto"/>
        <w:bottom w:val="none" w:sz="0" w:space="0" w:color="auto"/>
        <w:right w:val="none" w:sz="0" w:space="0" w:color="auto"/>
      </w:divBdr>
    </w:div>
    <w:div w:id="436021980">
      <w:bodyDiv w:val="1"/>
      <w:marLeft w:val="0"/>
      <w:marRight w:val="0"/>
      <w:marTop w:val="0"/>
      <w:marBottom w:val="0"/>
      <w:divBdr>
        <w:top w:val="none" w:sz="0" w:space="0" w:color="auto"/>
        <w:left w:val="none" w:sz="0" w:space="0" w:color="auto"/>
        <w:bottom w:val="none" w:sz="0" w:space="0" w:color="auto"/>
        <w:right w:val="none" w:sz="0" w:space="0" w:color="auto"/>
      </w:divBdr>
    </w:div>
    <w:div w:id="436026993">
      <w:bodyDiv w:val="1"/>
      <w:marLeft w:val="0"/>
      <w:marRight w:val="0"/>
      <w:marTop w:val="0"/>
      <w:marBottom w:val="0"/>
      <w:divBdr>
        <w:top w:val="none" w:sz="0" w:space="0" w:color="auto"/>
        <w:left w:val="none" w:sz="0" w:space="0" w:color="auto"/>
        <w:bottom w:val="none" w:sz="0" w:space="0" w:color="auto"/>
        <w:right w:val="none" w:sz="0" w:space="0" w:color="auto"/>
      </w:divBdr>
    </w:div>
    <w:div w:id="436173126">
      <w:bodyDiv w:val="1"/>
      <w:marLeft w:val="0"/>
      <w:marRight w:val="0"/>
      <w:marTop w:val="0"/>
      <w:marBottom w:val="0"/>
      <w:divBdr>
        <w:top w:val="none" w:sz="0" w:space="0" w:color="auto"/>
        <w:left w:val="none" w:sz="0" w:space="0" w:color="auto"/>
        <w:bottom w:val="none" w:sz="0" w:space="0" w:color="auto"/>
        <w:right w:val="none" w:sz="0" w:space="0" w:color="auto"/>
      </w:divBdr>
    </w:div>
    <w:div w:id="436214062">
      <w:bodyDiv w:val="1"/>
      <w:marLeft w:val="0"/>
      <w:marRight w:val="0"/>
      <w:marTop w:val="0"/>
      <w:marBottom w:val="0"/>
      <w:divBdr>
        <w:top w:val="none" w:sz="0" w:space="0" w:color="auto"/>
        <w:left w:val="none" w:sz="0" w:space="0" w:color="auto"/>
        <w:bottom w:val="none" w:sz="0" w:space="0" w:color="auto"/>
        <w:right w:val="none" w:sz="0" w:space="0" w:color="auto"/>
      </w:divBdr>
    </w:div>
    <w:div w:id="436219958">
      <w:bodyDiv w:val="1"/>
      <w:marLeft w:val="0"/>
      <w:marRight w:val="0"/>
      <w:marTop w:val="0"/>
      <w:marBottom w:val="0"/>
      <w:divBdr>
        <w:top w:val="none" w:sz="0" w:space="0" w:color="auto"/>
        <w:left w:val="none" w:sz="0" w:space="0" w:color="auto"/>
        <w:bottom w:val="none" w:sz="0" w:space="0" w:color="auto"/>
        <w:right w:val="none" w:sz="0" w:space="0" w:color="auto"/>
      </w:divBdr>
    </w:div>
    <w:div w:id="436222093">
      <w:bodyDiv w:val="1"/>
      <w:marLeft w:val="0"/>
      <w:marRight w:val="0"/>
      <w:marTop w:val="0"/>
      <w:marBottom w:val="0"/>
      <w:divBdr>
        <w:top w:val="none" w:sz="0" w:space="0" w:color="auto"/>
        <w:left w:val="none" w:sz="0" w:space="0" w:color="auto"/>
        <w:bottom w:val="none" w:sz="0" w:space="0" w:color="auto"/>
        <w:right w:val="none" w:sz="0" w:space="0" w:color="auto"/>
      </w:divBdr>
    </w:div>
    <w:div w:id="436290487">
      <w:bodyDiv w:val="1"/>
      <w:marLeft w:val="0"/>
      <w:marRight w:val="0"/>
      <w:marTop w:val="0"/>
      <w:marBottom w:val="0"/>
      <w:divBdr>
        <w:top w:val="none" w:sz="0" w:space="0" w:color="auto"/>
        <w:left w:val="none" w:sz="0" w:space="0" w:color="auto"/>
        <w:bottom w:val="none" w:sz="0" w:space="0" w:color="auto"/>
        <w:right w:val="none" w:sz="0" w:space="0" w:color="auto"/>
      </w:divBdr>
    </w:div>
    <w:div w:id="436295676">
      <w:bodyDiv w:val="1"/>
      <w:marLeft w:val="0"/>
      <w:marRight w:val="0"/>
      <w:marTop w:val="0"/>
      <w:marBottom w:val="0"/>
      <w:divBdr>
        <w:top w:val="none" w:sz="0" w:space="0" w:color="auto"/>
        <w:left w:val="none" w:sz="0" w:space="0" w:color="auto"/>
        <w:bottom w:val="none" w:sz="0" w:space="0" w:color="auto"/>
        <w:right w:val="none" w:sz="0" w:space="0" w:color="auto"/>
      </w:divBdr>
    </w:div>
    <w:div w:id="436406621">
      <w:bodyDiv w:val="1"/>
      <w:marLeft w:val="0"/>
      <w:marRight w:val="0"/>
      <w:marTop w:val="0"/>
      <w:marBottom w:val="0"/>
      <w:divBdr>
        <w:top w:val="none" w:sz="0" w:space="0" w:color="auto"/>
        <w:left w:val="none" w:sz="0" w:space="0" w:color="auto"/>
        <w:bottom w:val="none" w:sz="0" w:space="0" w:color="auto"/>
        <w:right w:val="none" w:sz="0" w:space="0" w:color="auto"/>
      </w:divBdr>
    </w:div>
    <w:div w:id="436481755">
      <w:bodyDiv w:val="1"/>
      <w:marLeft w:val="0"/>
      <w:marRight w:val="0"/>
      <w:marTop w:val="0"/>
      <w:marBottom w:val="0"/>
      <w:divBdr>
        <w:top w:val="none" w:sz="0" w:space="0" w:color="auto"/>
        <w:left w:val="none" w:sz="0" w:space="0" w:color="auto"/>
        <w:bottom w:val="none" w:sz="0" w:space="0" w:color="auto"/>
        <w:right w:val="none" w:sz="0" w:space="0" w:color="auto"/>
      </w:divBdr>
    </w:div>
    <w:div w:id="436487800">
      <w:bodyDiv w:val="1"/>
      <w:marLeft w:val="0"/>
      <w:marRight w:val="0"/>
      <w:marTop w:val="0"/>
      <w:marBottom w:val="0"/>
      <w:divBdr>
        <w:top w:val="none" w:sz="0" w:space="0" w:color="auto"/>
        <w:left w:val="none" w:sz="0" w:space="0" w:color="auto"/>
        <w:bottom w:val="none" w:sz="0" w:space="0" w:color="auto"/>
        <w:right w:val="none" w:sz="0" w:space="0" w:color="auto"/>
      </w:divBdr>
    </w:div>
    <w:div w:id="436563706">
      <w:bodyDiv w:val="1"/>
      <w:marLeft w:val="0"/>
      <w:marRight w:val="0"/>
      <w:marTop w:val="0"/>
      <w:marBottom w:val="0"/>
      <w:divBdr>
        <w:top w:val="none" w:sz="0" w:space="0" w:color="auto"/>
        <w:left w:val="none" w:sz="0" w:space="0" w:color="auto"/>
        <w:bottom w:val="none" w:sz="0" w:space="0" w:color="auto"/>
        <w:right w:val="none" w:sz="0" w:space="0" w:color="auto"/>
      </w:divBdr>
    </w:div>
    <w:div w:id="436564029">
      <w:bodyDiv w:val="1"/>
      <w:marLeft w:val="0"/>
      <w:marRight w:val="0"/>
      <w:marTop w:val="0"/>
      <w:marBottom w:val="0"/>
      <w:divBdr>
        <w:top w:val="none" w:sz="0" w:space="0" w:color="auto"/>
        <w:left w:val="none" w:sz="0" w:space="0" w:color="auto"/>
        <w:bottom w:val="none" w:sz="0" w:space="0" w:color="auto"/>
        <w:right w:val="none" w:sz="0" w:space="0" w:color="auto"/>
      </w:divBdr>
    </w:div>
    <w:div w:id="436632949">
      <w:bodyDiv w:val="1"/>
      <w:marLeft w:val="0"/>
      <w:marRight w:val="0"/>
      <w:marTop w:val="0"/>
      <w:marBottom w:val="0"/>
      <w:divBdr>
        <w:top w:val="none" w:sz="0" w:space="0" w:color="auto"/>
        <w:left w:val="none" w:sz="0" w:space="0" w:color="auto"/>
        <w:bottom w:val="none" w:sz="0" w:space="0" w:color="auto"/>
        <w:right w:val="none" w:sz="0" w:space="0" w:color="auto"/>
      </w:divBdr>
    </w:div>
    <w:div w:id="436680169">
      <w:bodyDiv w:val="1"/>
      <w:marLeft w:val="0"/>
      <w:marRight w:val="0"/>
      <w:marTop w:val="0"/>
      <w:marBottom w:val="0"/>
      <w:divBdr>
        <w:top w:val="none" w:sz="0" w:space="0" w:color="auto"/>
        <w:left w:val="none" w:sz="0" w:space="0" w:color="auto"/>
        <w:bottom w:val="none" w:sz="0" w:space="0" w:color="auto"/>
        <w:right w:val="none" w:sz="0" w:space="0" w:color="auto"/>
      </w:divBdr>
    </w:div>
    <w:div w:id="436684178">
      <w:bodyDiv w:val="1"/>
      <w:marLeft w:val="0"/>
      <w:marRight w:val="0"/>
      <w:marTop w:val="0"/>
      <w:marBottom w:val="0"/>
      <w:divBdr>
        <w:top w:val="none" w:sz="0" w:space="0" w:color="auto"/>
        <w:left w:val="none" w:sz="0" w:space="0" w:color="auto"/>
        <w:bottom w:val="none" w:sz="0" w:space="0" w:color="auto"/>
        <w:right w:val="none" w:sz="0" w:space="0" w:color="auto"/>
      </w:divBdr>
    </w:div>
    <w:div w:id="436755801">
      <w:bodyDiv w:val="1"/>
      <w:marLeft w:val="0"/>
      <w:marRight w:val="0"/>
      <w:marTop w:val="0"/>
      <w:marBottom w:val="0"/>
      <w:divBdr>
        <w:top w:val="none" w:sz="0" w:space="0" w:color="auto"/>
        <w:left w:val="none" w:sz="0" w:space="0" w:color="auto"/>
        <w:bottom w:val="none" w:sz="0" w:space="0" w:color="auto"/>
        <w:right w:val="none" w:sz="0" w:space="0" w:color="auto"/>
      </w:divBdr>
    </w:div>
    <w:div w:id="436802502">
      <w:bodyDiv w:val="1"/>
      <w:marLeft w:val="0"/>
      <w:marRight w:val="0"/>
      <w:marTop w:val="0"/>
      <w:marBottom w:val="0"/>
      <w:divBdr>
        <w:top w:val="none" w:sz="0" w:space="0" w:color="auto"/>
        <w:left w:val="none" w:sz="0" w:space="0" w:color="auto"/>
        <w:bottom w:val="none" w:sz="0" w:space="0" w:color="auto"/>
        <w:right w:val="none" w:sz="0" w:space="0" w:color="auto"/>
      </w:divBdr>
    </w:div>
    <w:div w:id="436944924">
      <w:bodyDiv w:val="1"/>
      <w:marLeft w:val="0"/>
      <w:marRight w:val="0"/>
      <w:marTop w:val="0"/>
      <w:marBottom w:val="0"/>
      <w:divBdr>
        <w:top w:val="none" w:sz="0" w:space="0" w:color="auto"/>
        <w:left w:val="none" w:sz="0" w:space="0" w:color="auto"/>
        <w:bottom w:val="none" w:sz="0" w:space="0" w:color="auto"/>
        <w:right w:val="none" w:sz="0" w:space="0" w:color="auto"/>
      </w:divBdr>
    </w:div>
    <w:div w:id="437063063">
      <w:bodyDiv w:val="1"/>
      <w:marLeft w:val="0"/>
      <w:marRight w:val="0"/>
      <w:marTop w:val="0"/>
      <w:marBottom w:val="0"/>
      <w:divBdr>
        <w:top w:val="none" w:sz="0" w:space="0" w:color="auto"/>
        <w:left w:val="none" w:sz="0" w:space="0" w:color="auto"/>
        <w:bottom w:val="none" w:sz="0" w:space="0" w:color="auto"/>
        <w:right w:val="none" w:sz="0" w:space="0" w:color="auto"/>
      </w:divBdr>
    </w:div>
    <w:div w:id="437405744">
      <w:bodyDiv w:val="1"/>
      <w:marLeft w:val="0"/>
      <w:marRight w:val="0"/>
      <w:marTop w:val="0"/>
      <w:marBottom w:val="0"/>
      <w:divBdr>
        <w:top w:val="none" w:sz="0" w:space="0" w:color="auto"/>
        <w:left w:val="none" w:sz="0" w:space="0" w:color="auto"/>
        <w:bottom w:val="none" w:sz="0" w:space="0" w:color="auto"/>
        <w:right w:val="none" w:sz="0" w:space="0" w:color="auto"/>
      </w:divBdr>
    </w:div>
    <w:div w:id="437411635">
      <w:bodyDiv w:val="1"/>
      <w:marLeft w:val="0"/>
      <w:marRight w:val="0"/>
      <w:marTop w:val="0"/>
      <w:marBottom w:val="0"/>
      <w:divBdr>
        <w:top w:val="none" w:sz="0" w:space="0" w:color="auto"/>
        <w:left w:val="none" w:sz="0" w:space="0" w:color="auto"/>
        <w:bottom w:val="none" w:sz="0" w:space="0" w:color="auto"/>
        <w:right w:val="none" w:sz="0" w:space="0" w:color="auto"/>
      </w:divBdr>
    </w:div>
    <w:div w:id="437457273">
      <w:bodyDiv w:val="1"/>
      <w:marLeft w:val="0"/>
      <w:marRight w:val="0"/>
      <w:marTop w:val="0"/>
      <w:marBottom w:val="0"/>
      <w:divBdr>
        <w:top w:val="none" w:sz="0" w:space="0" w:color="auto"/>
        <w:left w:val="none" w:sz="0" w:space="0" w:color="auto"/>
        <w:bottom w:val="none" w:sz="0" w:space="0" w:color="auto"/>
        <w:right w:val="none" w:sz="0" w:space="0" w:color="auto"/>
      </w:divBdr>
    </w:div>
    <w:div w:id="437481478">
      <w:bodyDiv w:val="1"/>
      <w:marLeft w:val="0"/>
      <w:marRight w:val="0"/>
      <w:marTop w:val="0"/>
      <w:marBottom w:val="0"/>
      <w:divBdr>
        <w:top w:val="none" w:sz="0" w:space="0" w:color="auto"/>
        <w:left w:val="none" w:sz="0" w:space="0" w:color="auto"/>
        <w:bottom w:val="none" w:sz="0" w:space="0" w:color="auto"/>
        <w:right w:val="none" w:sz="0" w:space="0" w:color="auto"/>
      </w:divBdr>
    </w:div>
    <w:div w:id="437485533">
      <w:bodyDiv w:val="1"/>
      <w:marLeft w:val="0"/>
      <w:marRight w:val="0"/>
      <w:marTop w:val="0"/>
      <w:marBottom w:val="0"/>
      <w:divBdr>
        <w:top w:val="none" w:sz="0" w:space="0" w:color="auto"/>
        <w:left w:val="none" w:sz="0" w:space="0" w:color="auto"/>
        <w:bottom w:val="none" w:sz="0" w:space="0" w:color="auto"/>
        <w:right w:val="none" w:sz="0" w:space="0" w:color="auto"/>
      </w:divBdr>
    </w:div>
    <w:div w:id="437599487">
      <w:bodyDiv w:val="1"/>
      <w:marLeft w:val="0"/>
      <w:marRight w:val="0"/>
      <w:marTop w:val="0"/>
      <w:marBottom w:val="0"/>
      <w:divBdr>
        <w:top w:val="none" w:sz="0" w:space="0" w:color="auto"/>
        <w:left w:val="none" w:sz="0" w:space="0" w:color="auto"/>
        <w:bottom w:val="none" w:sz="0" w:space="0" w:color="auto"/>
        <w:right w:val="none" w:sz="0" w:space="0" w:color="auto"/>
      </w:divBdr>
    </w:div>
    <w:div w:id="437606628">
      <w:bodyDiv w:val="1"/>
      <w:marLeft w:val="0"/>
      <w:marRight w:val="0"/>
      <w:marTop w:val="0"/>
      <w:marBottom w:val="0"/>
      <w:divBdr>
        <w:top w:val="none" w:sz="0" w:space="0" w:color="auto"/>
        <w:left w:val="none" w:sz="0" w:space="0" w:color="auto"/>
        <w:bottom w:val="none" w:sz="0" w:space="0" w:color="auto"/>
        <w:right w:val="none" w:sz="0" w:space="0" w:color="auto"/>
      </w:divBdr>
    </w:div>
    <w:div w:id="437724939">
      <w:bodyDiv w:val="1"/>
      <w:marLeft w:val="0"/>
      <w:marRight w:val="0"/>
      <w:marTop w:val="0"/>
      <w:marBottom w:val="0"/>
      <w:divBdr>
        <w:top w:val="none" w:sz="0" w:space="0" w:color="auto"/>
        <w:left w:val="none" w:sz="0" w:space="0" w:color="auto"/>
        <w:bottom w:val="none" w:sz="0" w:space="0" w:color="auto"/>
        <w:right w:val="none" w:sz="0" w:space="0" w:color="auto"/>
      </w:divBdr>
    </w:div>
    <w:div w:id="437919214">
      <w:bodyDiv w:val="1"/>
      <w:marLeft w:val="0"/>
      <w:marRight w:val="0"/>
      <w:marTop w:val="0"/>
      <w:marBottom w:val="0"/>
      <w:divBdr>
        <w:top w:val="none" w:sz="0" w:space="0" w:color="auto"/>
        <w:left w:val="none" w:sz="0" w:space="0" w:color="auto"/>
        <w:bottom w:val="none" w:sz="0" w:space="0" w:color="auto"/>
        <w:right w:val="none" w:sz="0" w:space="0" w:color="auto"/>
      </w:divBdr>
    </w:div>
    <w:div w:id="437989569">
      <w:bodyDiv w:val="1"/>
      <w:marLeft w:val="0"/>
      <w:marRight w:val="0"/>
      <w:marTop w:val="0"/>
      <w:marBottom w:val="0"/>
      <w:divBdr>
        <w:top w:val="none" w:sz="0" w:space="0" w:color="auto"/>
        <w:left w:val="none" w:sz="0" w:space="0" w:color="auto"/>
        <w:bottom w:val="none" w:sz="0" w:space="0" w:color="auto"/>
        <w:right w:val="none" w:sz="0" w:space="0" w:color="auto"/>
      </w:divBdr>
    </w:div>
    <w:div w:id="437990470">
      <w:bodyDiv w:val="1"/>
      <w:marLeft w:val="0"/>
      <w:marRight w:val="0"/>
      <w:marTop w:val="0"/>
      <w:marBottom w:val="0"/>
      <w:divBdr>
        <w:top w:val="none" w:sz="0" w:space="0" w:color="auto"/>
        <w:left w:val="none" w:sz="0" w:space="0" w:color="auto"/>
        <w:bottom w:val="none" w:sz="0" w:space="0" w:color="auto"/>
        <w:right w:val="none" w:sz="0" w:space="0" w:color="auto"/>
      </w:divBdr>
    </w:div>
    <w:div w:id="437994782">
      <w:bodyDiv w:val="1"/>
      <w:marLeft w:val="0"/>
      <w:marRight w:val="0"/>
      <w:marTop w:val="0"/>
      <w:marBottom w:val="0"/>
      <w:divBdr>
        <w:top w:val="none" w:sz="0" w:space="0" w:color="auto"/>
        <w:left w:val="none" w:sz="0" w:space="0" w:color="auto"/>
        <w:bottom w:val="none" w:sz="0" w:space="0" w:color="auto"/>
        <w:right w:val="none" w:sz="0" w:space="0" w:color="auto"/>
      </w:divBdr>
    </w:div>
    <w:div w:id="438109390">
      <w:bodyDiv w:val="1"/>
      <w:marLeft w:val="0"/>
      <w:marRight w:val="0"/>
      <w:marTop w:val="0"/>
      <w:marBottom w:val="0"/>
      <w:divBdr>
        <w:top w:val="none" w:sz="0" w:space="0" w:color="auto"/>
        <w:left w:val="none" w:sz="0" w:space="0" w:color="auto"/>
        <w:bottom w:val="none" w:sz="0" w:space="0" w:color="auto"/>
        <w:right w:val="none" w:sz="0" w:space="0" w:color="auto"/>
      </w:divBdr>
    </w:div>
    <w:div w:id="438183673">
      <w:bodyDiv w:val="1"/>
      <w:marLeft w:val="0"/>
      <w:marRight w:val="0"/>
      <w:marTop w:val="0"/>
      <w:marBottom w:val="0"/>
      <w:divBdr>
        <w:top w:val="none" w:sz="0" w:space="0" w:color="auto"/>
        <w:left w:val="none" w:sz="0" w:space="0" w:color="auto"/>
        <w:bottom w:val="none" w:sz="0" w:space="0" w:color="auto"/>
        <w:right w:val="none" w:sz="0" w:space="0" w:color="auto"/>
      </w:divBdr>
    </w:div>
    <w:div w:id="438255076">
      <w:bodyDiv w:val="1"/>
      <w:marLeft w:val="0"/>
      <w:marRight w:val="0"/>
      <w:marTop w:val="0"/>
      <w:marBottom w:val="0"/>
      <w:divBdr>
        <w:top w:val="none" w:sz="0" w:space="0" w:color="auto"/>
        <w:left w:val="none" w:sz="0" w:space="0" w:color="auto"/>
        <w:bottom w:val="none" w:sz="0" w:space="0" w:color="auto"/>
        <w:right w:val="none" w:sz="0" w:space="0" w:color="auto"/>
      </w:divBdr>
    </w:div>
    <w:div w:id="438644298">
      <w:bodyDiv w:val="1"/>
      <w:marLeft w:val="0"/>
      <w:marRight w:val="0"/>
      <w:marTop w:val="0"/>
      <w:marBottom w:val="0"/>
      <w:divBdr>
        <w:top w:val="none" w:sz="0" w:space="0" w:color="auto"/>
        <w:left w:val="none" w:sz="0" w:space="0" w:color="auto"/>
        <w:bottom w:val="none" w:sz="0" w:space="0" w:color="auto"/>
        <w:right w:val="none" w:sz="0" w:space="0" w:color="auto"/>
      </w:divBdr>
    </w:div>
    <w:div w:id="438912597">
      <w:bodyDiv w:val="1"/>
      <w:marLeft w:val="0"/>
      <w:marRight w:val="0"/>
      <w:marTop w:val="0"/>
      <w:marBottom w:val="0"/>
      <w:divBdr>
        <w:top w:val="none" w:sz="0" w:space="0" w:color="auto"/>
        <w:left w:val="none" w:sz="0" w:space="0" w:color="auto"/>
        <w:bottom w:val="none" w:sz="0" w:space="0" w:color="auto"/>
        <w:right w:val="none" w:sz="0" w:space="0" w:color="auto"/>
      </w:divBdr>
    </w:div>
    <w:div w:id="438917392">
      <w:bodyDiv w:val="1"/>
      <w:marLeft w:val="0"/>
      <w:marRight w:val="0"/>
      <w:marTop w:val="0"/>
      <w:marBottom w:val="0"/>
      <w:divBdr>
        <w:top w:val="none" w:sz="0" w:space="0" w:color="auto"/>
        <w:left w:val="none" w:sz="0" w:space="0" w:color="auto"/>
        <w:bottom w:val="none" w:sz="0" w:space="0" w:color="auto"/>
        <w:right w:val="none" w:sz="0" w:space="0" w:color="auto"/>
      </w:divBdr>
    </w:div>
    <w:div w:id="439185700">
      <w:bodyDiv w:val="1"/>
      <w:marLeft w:val="0"/>
      <w:marRight w:val="0"/>
      <w:marTop w:val="0"/>
      <w:marBottom w:val="0"/>
      <w:divBdr>
        <w:top w:val="none" w:sz="0" w:space="0" w:color="auto"/>
        <w:left w:val="none" w:sz="0" w:space="0" w:color="auto"/>
        <w:bottom w:val="none" w:sz="0" w:space="0" w:color="auto"/>
        <w:right w:val="none" w:sz="0" w:space="0" w:color="auto"/>
      </w:divBdr>
    </w:div>
    <w:div w:id="439186223">
      <w:bodyDiv w:val="1"/>
      <w:marLeft w:val="0"/>
      <w:marRight w:val="0"/>
      <w:marTop w:val="0"/>
      <w:marBottom w:val="0"/>
      <w:divBdr>
        <w:top w:val="none" w:sz="0" w:space="0" w:color="auto"/>
        <w:left w:val="none" w:sz="0" w:space="0" w:color="auto"/>
        <w:bottom w:val="none" w:sz="0" w:space="0" w:color="auto"/>
        <w:right w:val="none" w:sz="0" w:space="0" w:color="auto"/>
      </w:divBdr>
    </w:div>
    <w:div w:id="439302254">
      <w:bodyDiv w:val="1"/>
      <w:marLeft w:val="0"/>
      <w:marRight w:val="0"/>
      <w:marTop w:val="0"/>
      <w:marBottom w:val="0"/>
      <w:divBdr>
        <w:top w:val="none" w:sz="0" w:space="0" w:color="auto"/>
        <w:left w:val="none" w:sz="0" w:space="0" w:color="auto"/>
        <w:bottom w:val="none" w:sz="0" w:space="0" w:color="auto"/>
        <w:right w:val="none" w:sz="0" w:space="0" w:color="auto"/>
      </w:divBdr>
    </w:div>
    <w:div w:id="439303827">
      <w:bodyDiv w:val="1"/>
      <w:marLeft w:val="0"/>
      <w:marRight w:val="0"/>
      <w:marTop w:val="0"/>
      <w:marBottom w:val="0"/>
      <w:divBdr>
        <w:top w:val="none" w:sz="0" w:space="0" w:color="auto"/>
        <w:left w:val="none" w:sz="0" w:space="0" w:color="auto"/>
        <w:bottom w:val="none" w:sz="0" w:space="0" w:color="auto"/>
        <w:right w:val="none" w:sz="0" w:space="0" w:color="auto"/>
      </w:divBdr>
    </w:div>
    <w:div w:id="439565995">
      <w:bodyDiv w:val="1"/>
      <w:marLeft w:val="0"/>
      <w:marRight w:val="0"/>
      <w:marTop w:val="0"/>
      <w:marBottom w:val="0"/>
      <w:divBdr>
        <w:top w:val="none" w:sz="0" w:space="0" w:color="auto"/>
        <w:left w:val="none" w:sz="0" w:space="0" w:color="auto"/>
        <w:bottom w:val="none" w:sz="0" w:space="0" w:color="auto"/>
        <w:right w:val="none" w:sz="0" w:space="0" w:color="auto"/>
      </w:divBdr>
    </w:div>
    <w:div w:id="439647618">
      <w:bodyDiv w:val="1"/>
      <w:marLeft w:val="0"/>
      <w:marRight w:val="0"/>
      <w:marTop w:val="0"/>
      <w:marBottom w:val="0"/>
      <w:divBdr>
        <w:top w:val="none" w:sz="0" w:space="0" w:color="auto"/>
        <w:left w:val="none" w:sz="0" w:space="0" w:color="auto"/>
        <w:bottom w:val="none" w:sz="0" w:space="0" w:color="auto"/>
        <w:right w:val="none" w:sz="0" w:space="0" w:color="auto"/>
      </w:divBdr>
    </w:div>
    <w:div w:id="439687516">
      <w:bodyDiv w:val="1"/>
      <w:marLeft w:val="0"/>
      <w:marRight w:val="0"/>
      <w:marTop w:val="0"/>
      <w:marBottom w:val="0"/>
      <w:divBdr>
        <w:top w:val="none" w:sz="0" w:space="0" w:color="auto"/>
        <w:left w:val="none" w:sz="0" w:space="0" w:color="auto"/>
        <w:bottom w:val="none" w:sz="0" w:space="0" w:color="auto"/>
        <w:right w:val="none" w:sz="0" w:space="0" w:color="auto"/>
      </w:divBdr>
    </w:div>
    <w:div w:id="439690918">
      <w:bodyDiv w:val="1"/>
      <w:marLeft w:val="0"/>
      <w:marRight w:val="0"/>
      <w:marTop w:val="0"/>
      <w:marBottom w:val="0"/>
      <w:divBdr>
        <w:top w:val="none" w:sz="0" w:space="0" w:color="auto"/>
        <w:left w:val="none" w:sz="0" w:space="0" w:color="auto"/>
        <w:bottom w:val="none" w:sz="0" w:space="0" w:color="auto"/>
        <w:right w:val="none" w:sz="0" w:space="0" w:color="auto"/>
      </w:divBdr>
    </w:div>
    <w:div w:id="439878497">
      <w:bodyDiv w:val="1"/>
      <w:marLeft w:val="0"/>
      <w:marRight w:val="0"/>
      <w:marTop w:val="0"/>
      <w:marBottom w:val="0"/>
      <w:divBdr>
        <w:top w:val="none" w:sz="0" w:space="0" w:color="auto"/>
        <w:left w:val="none" w:sz="0" w:space="0" w:color="auto"/>
        <w:bottom w:val="none" w:sz="0" w:space="0" w:color="auto"/>
        <w:right w:val="none" w:sz="0" w:space="0" w:color="auto"/>
      </w:divBdr>
    </w:div>
    <w:div w:id="439956212">
      <w:bodyDiv w:val="1"/>
      <w:marLeft w:val="0"/>
      <w:marRight w:val="0"/>
      <w:marTop w:val="0"/>
      <w:marBottom w:val="0"/>
      <w:divBdr>
        <w:top w:val="none" w:sz="0" w:space="0" w:color="auto"/>
        <w:left w:val="none" w:sz="0" w:space="0" w:color="auto"/>
        <w:bottom w:val="none" w:sz="0" w:space="0" w:color="auto"/>
        <w:right w:val="none" w:sz="0" w:space="0" w:color="auto"/>
      </w:divBdr>
    </w:div>
    <w:div w:id="440033633">
      <w:bodyDiv w:val="1"/>
      <w:marLeft w:val="0"/>
      <w:marRight w:val="0"/>
      <w:marTop w:val="0"/>
      <w:marBottom w:val="0"/>
      <w:divBdr>
        <w:top w:val="none" w:sz="0" w:space="0" w:color="auto"/>
        <w:left w:val="none" w:sz="0" w:space="0" w:color="auto"/>
        <w:bottom w:val="none" w:sz="0" w:space="0" w:color="auto"/>
        <w:right w:val="none" w:sz="0" w:space="0" w:color="auto"/>
      </w:divBdr>
    </w:div>
    <w:div w:id="440271786">
      <w:bodyDiv w:val="1"/>
      <w:marLeft w:val="0"/>
      <w:marRight w:val="0"/>
      <w:marTop w:val="0"/>
      <w:marBottom w:val="0"/>
      <w:divBdr>
        <w:top w:val="none" w:sz="0" w:space="0" w:color="auto"/>
        <w:left w:val="none" w:sz="0" w:space="0" w:color="auto"/>
        <w:bottom w:val="none" w:sz="0" w:space="0" w:color="auto"/>
        <w:right w:val="none" w:sz="0" w:space="0" w:color="auto"/>
      </w:divBdr>
    </w:div>
    <w:div w:id="440345964">
      <w:bodyDiv w:val="1"/>
      <w:marLeft w:val="0"/>
      <w:marRight w:val="0"/>
      <w:marTop w:val="0"/>
      <w:marBottom w:val="0"/>
      <w:divBdr>
        <w:top w:val="none" w:sz="0" w:space="0" w:color="auto"/>
        <w:left w:val="none" w:sz="0" w:space="0" w:color="auto"/>
        <w:bottom w:val="none" w:sz="0" w:space="0" w:color="auto"/>
        <w:right w:val="none" w:sz="0" w:space="0" w:color="auto"/>
      </w:divBdr>
    </w:div>
    <w:div w:id="440538242">
      <w:bodyDiv w:val="1"/>
      <w:marLeft w:val="0"/>
      <w:marRight w:val="0"/>
      <w:marTop w:val="0"/>
      <w:marBottom w:val="0"/>
      <w:divBdr>
        <w:top w:val="none" w:sz="0" w:space="0" w:color="auto"/>
        <w:left w:val="none" w:sz="0" w:space="0" w:color="auto"/>
        <w:bottom w:val="none" w:sz="0" w:space="0" w:color="auto"/>
        <w:right w:val="none" w:sz="0" w:space="0" w:color="auto"/>
      </w:divBdr>
    </w:div>
    <w:div w:id="440687697">
      <w:bodyDiv w:val="1"/>
      <w:marLeft w:val="0"/>
      <w:marRight w:val="0"/>
      <w:marTop w:val="0"/>
      <w:marBottom w:val="0"/>
      <w:divBdr>
        <w:top w:val="none" w:sz="0" w:space="0" w:color="auto"/>
        <w:left w:val="none" w:sz="0" w:space="0" w:color="auto"/>
        <w:bottom w:val="none" w:sz="0" w:space="0" w:color="auto"/>
        <w:right w:val="none" w:sz="0" w:space="0" w:color="auto"/>
      </w:divBdr>
    </w:div>
    <w:div w:id="440690573">
      <w:bodyDiv w:val="1"/>
      <w:marLeft w:val="0"/>
      <w:marRight w:val="0"/>
      <w:marTop w:val="0"/>
      <w:marBottom w:val="0"/>
      <w:divBdr>
        <w:top w:val="none" w:sz="0" w:space="0" w:color="auto"/>
        <w:left w:val="none" w:sz="0" w:space="0" w:color="auto"/>
        <w:bottom w:val="none" w:sz="0" w:space="0" w:color="auto"/>
        <w:right w:val="none" w:sz="0" w:space="0" w:color="auto"/>
      </w:divBdr>
    </w:div>
    <w:div w:id="440801926">
      <w:bodyDiv w:val="1"/>
      <w:marLeft w:val="0"/>
      <w:marRight w:val="0"/>
      <w:marTop w:val="0"/>
      <w:marBottom w:val="0"/>
      <w:divBdr>
        <w:top w:val="none" w:sz="0" w:space="0" w:color="auto"/>
        <w:left w:val="none" w:sz="0" w:space="0" w:color="auto"/>
        <w:bottom w:val="none" w:sz="0" w:space="0" w:color="auto"/>
        <w:right w:val="none" w:sz="0" w:space="0" w:color="auto"/>
      </w:divBdr>
    </w:div>
    <w:div w:id="440803997">
      <w:bodyDiv w:val="1"/>
      <w:marLeft w:val="0"/>
      <w:marRight w:val="0"/>
      <w:marTop w:val="0"/>
      <w:marBottom w:val="0"/>
      <w:divBdr>
        <w:top w:val="none" w:sz="0" w:space="0" w:color="auto"/>
        <w:left w:val="none" w:sz="0" w:space="0" w:color="auto"/>
        <w:bottom w:val="none" w:sz="0" w:space="0" w:color="auto"/>
        <w:right w:val="none" w:sz="0" w:space="0" w:color="auto"/>
      </w:divBdr>
    </w:div>
    <w:div w:id="440804028">
      <w:bodyDiv w:val="1"/>
      <w:marLeft w:val="0"/>
      <w:marRight w:val="0"/>
      <w:marTop w:val="0"/>
      <w:marBottom w:val="0"/>
      <w:divBdr>
        <w:top w:val="none" w:sz="0" w:space="0" w:color="auto"/>
        <w:left w:val="none" w:sz="0" w:space="0" w:color="auto"/>
        <w:bottom w:val="none" w:sz="0" w:space="0" w:color="auto"/>
        <w:right w:val="none" w:sz="0" w:space="0" w:color="auto"/>
      </w:divBdr>
    </w:div>
    <w:div w:id="440878954">
      <w:bodyDiv w:val="1"/>
      <w:marLeft w:val="0"/>
      <w:marRight w:val="0"/>
      <w:marTop w:val="0"/>
      <w:marBottom w:val="0"/>
      <w:divBdr>
        <w:top w:val="none" w:sz="0" w:space="0" w:color="auto"/>
        <w:left w:val="none" w:sz="0" w:space="0" w:color="auto"/>
        <w:bottom w:val="none" w:sz="0" w:space="0" w:color="auto"/>
        <w:right w:val="none" w:sz="0" w:space="0" w:color="auto"/>
      </w:divBdr>
    </w:div>
    <w:div w:id="440957116">
      <w:bodyDiv w:val="1"/>
      <w:marLeft w:val="0"/>
      <w:marRight w:val="0"/>
      <w:marTop w:val="0"/>
      <w:marBottom w:val="0"/>
      <w:divBdr>
        <w:top w:val="none" w:sz="0" w:space="0" w:color="auto"/>
        <w:left w:val="none" w:sz="0" w:space="0" w:color="auto"/>
        <w:bottom w:val="none" w:sz="0" w:space="0" w:color="auto"/>
        <w:right w:val="none" w:sz="0" w:space="0" w:color="auto"/>
      </w:divBdr>
    </w:div>
    <w:div w:id="440993515">
      <w:bodyDiv w:val="1"/>
      <w:marLeft w:val="0"/>
      <w:marRight w:val="0"/>
      <w:marTop w:val="0"/>
      <w:marBottom w:val="0"/>
      <w:divBdr>
        <w:top w:val="none" w:sz="0" w:space="0" w:color="auto"/>
        <w:left w:val="none" w:sz="0" w:space="0" w:color="auto"/>
        <w:bottom w:val="none" w:sz="0" w:space="0" w:color="auto"/>
        <w:right w:val="none" w:sz="0" w:space="0" w:color="auto"/>
      </w:divBdr>
    </w:div>
    <w:div w:id="440999316">
      <w:bodyDiv w:val="1"/>
      <w:marLeft w:val="0"/>
      <w:marRight w:val="0"/>
      <w:marTop w:val="0"/>
      <w:marBottom w:val="0"/>
      <w:divBdr>
        <w:top w:val="none" w:sz="0" w:space="0" w:color="auto"/>
        <w:left w:val="none" w:sz="0" w:space="0" w:color="auto"/>
        <w:bottom w:val="none" w:sz="0" w:space="0" w:color="auto"/>
        <w:right w:val="none" w:sz="0" w:space="0" w:color="auto"/>
      </w:divBdr>
    </w:div>
    <w:div w:id="441070533">
      <w:bodyDiv w:val="1"/>
      <w:marLeft w:val="0"/>
      <w:marRight w:val="0"/>
      <w:marTop w:val="0"/>
      <w:marBottom w:val="0"/>
      <w:divBdr>
        <w:top w:val="none" w:sz="0" w:space="0" w:color="auto"/>
        <w:left w:val="none" w:sz="0" w:space="0" w:color="auto"/>
        <w:bottom w:val="none" w:sz="0" w:space="0" w:color="auto"/>
        <w:right w:val="none" w:sz="0" w:space="0" w:color="auto"/>
      </w:divBdr>
    </w:div>
    <w:div w:id="441145647">
      <w:bodyDiv w:val="1"/>
      <w:marLeft w:val="0"/>
      <w:marRight w:val="0"/>
      <w:marTop w:val="0"/>
      <w:marBottom w:val="0"/>
      <w:divBdr>
        <w:top w:val="none" w:sz="0" w:space="0" w:color="auto"/>
        <w:left w:val="none" w:sz="0" w:space="0" w:color="auto"/>
        <w:bottom w:val="none" w:sz="0" w:space="0" w:color="auto"/>
        <w:right w:val="none" w:sz="0" w:space="0" w:color="auto"/>
      </w:divBdr>
    </w:div>
    <w:div w:id="441389017">
      <w:bodyDiv w:val="1"/>
      <w:marLeft w:val="0"/>
      <w:marRight w:val="0"/>
      <w:marTop w:val="0"/>
      <w:marBottom w:val="0"/>
      <w:divBdr>
        <w:top w:val="none" w:sz="0" w:space="0" w:color="auto"/>
        <w:left w:val="none" w:sz="0" w:space="0" w:color="auto"/>
        <w:bottom w:val="none" w:sz="0" w:space="0" w:color="auto"/>
        <w:right w:val="none" w:sz="0" w:space="0" w:color="auto"/>
      </w:divBdr>
    </w:div>
    <w:div w:id="441459662">
      <w:bodyDiv w:val="1"/>
      <w:marLeft w:val="0"/>
      <w:marRight w:val="0"/>
      <w:marTop w:val="0"/>
      <w:marBottom w:val="0"/>
      <w:divBdr>
        <w:top w:val="none" w:sz="0" w:space="0" w:color="auto"/>
        <w:left w:val="none" w:sz="0" w:space="0" w:color="auto"/>
        <w:bottom w:val="none" w:sz="0" w:space="0" w:color="auto"/>
        <w:right w:val="none" w:sz="0" w:space="0" w:color="auto"/>
      </w:divBdr>
    </w:div>
    <w:div w:id="441462453">
      <w:bodyDiv w:val="1"/>
      <w:marLeft w:val="0"/>
      <w:marRight w:val="0"/>
      <w:marTop w:val="0"/>
      <w:marBottom w:val="0"/>
      <w:divBdr>
        <w:top w:val="none" w:sz="0" w:space="0" w:color="auto"/>
        <w:left w:val="none" w:sz="0" w:space="0" w:color="auto"/>
        <w:bottom w:val="none" w:sz="0" w:space="0" w:color="auto"/>
        <w:right w:val="none" w:sz="0" w:space="0" w:color="auto"/>
      </w:divBdr>
    </w:div>
    <w:div w:id="441534328">
      <w:bodyDiv w:val="1"/>
      <w:marLeft w:val="0"/>
      <w:marRight w:val="0"/>
      <w:marTop w:val="0"/>
      <w:marBottom w:val="0"/>
      <w:divBdr>
        <w:top w:val="none" w:sz="0" w:space="0" w:color="auto"/>
        <w:left w:val="none" w:sz="0" w:space="0" w:color="auto"/>
        <w:bottom w:val="none" w:sz="0" w:space="0" w:color="auto"/>
        <w:right w:val="none" w:sz="0" w:space="0" w:color="auto"/>
      </w:divBdr>
    </w:div>
    <w:div w:id="441612926">
      <w:bodyDiv w:val="1"/>
      <w:marLeft w:val="0"/>
      <w:marRight w:val="0"/>
      <w:marTop w:val="0"/>
      <w:marBottom w:val="0"/>
      <w:divBdr>
        <w:top w:val="none" w:sz="0" w:space="0" w:color="auto"/>
        <w:left w:val="none" w:sz="0" w:space="0" w:color="auto"/>
        <w:bottom w:val="none" w:sz="0" w:space="0" w:color="auto"/>
        <w:right w:val="none" w:sz="0" w:space="0" w:color="auto"/>
      </w:divBdr>
    </w:div>
    <w:div w:id="441803910">
      <w:bodyDiv w:val="1"/>
      <w:marLeft w:val="0"/>
      <w:marRight w:val="0"/>
      <w:marTop w:val="0"/>
      <w:marBottom w:val="0"/>
      <w:divBdr>
        <w:top w:val="none" w:sz="0" w:space="0" w:color="auto"/>
        <w:left w:val="none" w:sz="0" w:space="0" w:color="auto"/>
        <w:bottom w:val="none" w:sz="0" w:space="0" w:color="auto"/>
        <w:right w:val="none" w:sz="0" w:space="0" w:color="auto"/>
      </w:divBdr>
    </w:div>
    <w:div w:id="441918070">
      <w:bodyDiv w:val="1"/>
      <w:marLeft w:val="0"/>
      <w:marRight w:val="0"/>
      <w:marTop w:val="0"/>
      <w:marBottom w:val="0"/>
      <w:divBdr>
        <w:top w:val="none" w:sz="0" w:space="0" w:color="auto"/>
        <w:left w:val="none" w:sz="0" w:space="0" w:color="auto"/>
        <w:bottom w:val="none" w:sz="0" w:space="0" w:color="auto"/>
        <w:right w:val="none" w:sz="0" w:space="0" w:color="auto"/>
      </w:divBdr>
    </w:div>
    <w:div w:id="441926886">
      <w:bodyDiv w:val="1"/>
      <w:marLeft w:val="0"/>
      <w:marRight w:val="0"/>
      <w:marTop w:val="0"/>
      <w:marBottom w:val="0"/>
      <w:divBdr>
        <w:top w:val="none" w:sz="0" w:space="0" w:color="auto"/>
        <w:left w:val="none" w:sz="0" w:space="0" w:color="auto"/>
        <w:bottom w:val="none" w:sz="0" w:space="0" w:color="auto"/>
        <w:right w:val="none" w:sz="0" w:space="0" w:color="auto"/>
      </w:divBdr>
    </w:div>
    <w:div w:id="442069267">
      <w:bodyDiv w:val="1"/>
      <w:marLeft w:val="0"/>
      <w:marRight w:val="0"/>
      <w:marTop w:val="0"/>
      <w:marBottom w:val="0"/>
      <w:divBdr>
        <w:top w:val="none" w:sz="0" w:space="0" w:color="auto"/>
        <w:left w:val="none" w:sz="0" w:space="0" w:color="auto"/>
        <w:bottom w:val="none" w:sz="0" w:space="0" w:color="auto"/>
        <w:right w:val="none" w:sz="0" w:space="0" w:color="auto"/>
      </w:divBdr>
    </w:div>
    <w:div w:id="442072364">
      <w:bodyDiv w:val="1"/>
      <w:marLeft w:val="0"/>
      <w:marRight w:val="0"/>
      <w:marTop w:val="0"/>
      <w:marBottom w:val="0"/>
      <w:divBdr>
        <w:top w:val="none" w:sz="0" w:space="0" w:color="auto"/>
        <w:left w:val="none" w:sz="0" w:space="0" w:color="auto"/>
        <w:bottom w:val="none" w:sz="0" w:space="0" w:color="auto"/>
        <w:right w:val="none" w:sz="0" w:space="0" w:color="auto"/>
      </w:divBdr>
    </w:div>
    <w:div w:id="442303861">
      <w:bodyDiv w:val="1"/>
      <w:marLeft w:val="0"/>
      <w:marRight w:val="0"/>
      <w:marTop w:val="0"/>
      <w:marBottom w:val="0"/>
      <w:divBdr>
        <w:top w:val="none" w:sz="0" w:space="0" w:color="auto"/>
        <w:left w:val="none" w:sz="0" w:space="0" w:color="auto"/>
        <w:bottom w:val="none" w:sz="0" w:space="0" w:color="auto"/>
        <w:right w:val="none" w:sz="0" w:space="0" w:color="auto"/>
      </w:divBdr>
    </w:div>
    <w:div w:id="442383586">
      <w:bodyDiv w:val="1"/>
      <w:marLeft w:val="0"/>
      <w:marRight w:val="0"/>
      <w:marTop w:val="0"/>
      <w:marBottom w:val="0"/>
      <w:divBdr>
        <w:top w:val="none" w:sz="0" w:space="0" w:color="auto"/>
        <w:left w:val="none" w:sz="0" w:space="0" w:color="auto"/>
        <w:bottom w:val="none" w:sz="0" w:space="0" w:color="auto"/>
        <w:right w:val="none" w:sz="0" w:space="0" w:color="auto"/>
      </w:divBdr>
    </w:div>
    <w:div w:id="442457761">
      <w:bodyDiv w:val="1"/>
      <w:marLeft w:val="0"/>
      <w:marRight w:val="0"/>
      <w:marTop w:val="0"/>
      <w:marBottom w:val="0"/>
      <w:divBdr>
        <w:top w:val="none" w:sz="0" w:space="0" w:color="auto"/>
        <w:left w:val="none" w:sz="0" w:space="0" w:color="auto"/>
        <w:bottom w:val="none" w:sz="0" w:space="0" w:color="auto"/>
        <w:right w:val="none" w:sz="0" w:space="0" w:color="auto"/>
      </w:divBdr>
    </w:div>
    <w:div w:id="442576058">
      <w:bodyDiv w:val="1"/>
      <w:marLeft w:val="0"/>
      <w:marRight w:val="0"/>
      <w:marTop w:val="0"/>
      <w:marBottom w:val="0"/>
      <w:divBdr>
        <w:top w:val="none" w:sz="0" w:space="0" w:color="auto"/>
        <w:left w:val="none" w:sz="0" w:space="0" w:color="auto"/>
        <w:bottom w:val="none" w:sz="0" w:space="0" w:color="auto"/>
        <w:right w:val="none" w:sz="0" w:space="0" w:color="auto"/>
      </w:divBdr>
    </w:div>
    <w:div w:id="442652988">
      <w:bodyDiv w:val="1"/>
      <w:marLeft w:val="0"/>
      <w:marRight w:val="0"/>
      <w:marTop w:val="0"/>
      <w:marBottom w:val="0"/>
      <w:divBdr>
        <w:top w:val="none" w:sz="0" w:space="0" w:color="auto"/>
        <w:left w:val="none" w:sz="0" w:space="0" w:color="auto"/>
        <w:bottom w:val="none" w:sz="0" w:space="0" w:color="auto"/>
        <w:right w:val="none" w:sz="0" w:space="0" w:color="auto"/>
      </w:divBdr>
    </w:div>
    <w:div w:id="442655527">
      <w:bodyDiv w:val="1"/>
      <w:marLeft w:val="0"/>
      <w:marRight w:val="0"/>
      <w:marTop w:val="0"/>
      <w:marBottom w:val="0"/>
      <w:divBdr>
        <w:top w:val="none" w:sz="0" w:space="0" w:color="auto"/>
        <w:left w:val="none" w:sz="0" w:space="0" w:color="auto"/>
        <w:bottom w:val="none" w:sz="0" w:space="0" w:color="auto"/>
        <w:right w:val="none" w:sz="0" w:space="0" w:color="auto"/>
      </w:divBdr>
    </w:div>
    <w:div w:id="442726503">
      <w:bodyDiv w:val="1"/>
      <w:marLeft w:val="0"/>
      <w:marRight w:val="0"/>
      <w:marTop w:val="0"/>
      <w:marBottom w:val="0"/>
      <w:divBdr>
        <w:top w:val="none" w:sz="0" w:space="0" w:color="auto"/>
        <w:left w:val="none" w:sz="0" w:space="0" w:color="auto"/>
        <w:bottom w:val="none" w:sz="0" w:space="0" w:color="auto"/>
        <w:right w:val="none" w:sz="0" w:space="0" w:color="auto"/>
      </w:divBdr>
    </w:div>
    <w:div w:id="442768288">
      <w:bodyDiv w:val="1"/>
      <w:marLeft w:val="0"/>
      <w:marRight w:val="0"/>
      <w:marTop w:val="0"/>
      <w:marBottom w:val="0"/>
      <w:divBdr>
        <w:top w:val="none" w:sz="0" w:space="0" w:color="auto"/>
        <w:left w:val="none" w:sz="0" w:space="0" w:color="auto"/>
        <w:bottom w:val="none" w:sz="0" w:space="0" w:color="auto"/>
        <w:right w:val="none" w:sz="0" w:space="0" w:color="auto"/>
      </w:divBdr>
    </w:div>
    <w:div w:id="442775108">
      <w:bodyDiv w:val="1"/>
      <w:marLeft w:val="0"/>
      <w:marRight w:val="0"/>
      <w:marTop w:val="0"/>
      <w:marBottom w:val="0"/>
      <w:divBdr>
        <w:top w:val="none" w:sz="0" w:space="0" w:color="auto"/>
        <w:left w:val="none" w:sz="0" w:space="0" w:color="auto"/>
        <w:bottom w:val="none" w:sz="0" w:space="0" w:color="auto"/>
        <w:right w:val="none" w:sz="0" w:space="0" w:color="auto"/>
      </w:divBdr>
    </w:div>
    <w:div w:id="442847181">
      <w:bodyDiv w:val="1"/>
      <w:marLeft w:val="0"/>
      <w:marRight w:val="0"/>
      <w:marTop w:val="0"/>
      <w:marBottom w:val="0"/>
      <w:divBdr>
        <w:top w:val="none" w:sz="0" w:space="0" w:color="auto"/>
        <w:left w:val="none" w:sz="0" w:space="0" w:color="auto"/>
        <w:bottom w:val="none" w:sz="0" w:space="0" w:color="auto"/>
        <w:right w:val="none" w:sz="0" w:space="0" w:color="auto"/>
      </w:divBdr>
    </w:div>
    <w:div w:id="442892629">
      <w:bodyDiv w:val="1"/>
      <w:marLeft w:val="0"/>
      <w:marRight w:val="0"/>
      <w:marTop w:val="0"/>
      <w:marBottom w:val="0"/>
      <w:divBdr>
        <w:top w:val="none" w:sz="0" w:space="0" w:color="auto"/>
        <w:left w:val="none" w:sz="0" w:space="0" w:color="auto"/>
        <w:bottom w:val="none" w:sz="0" w:space="0" w:color="auto"/>
        <w:right w:val="none" w:sz="0" w:space="0" w:color="auto"/>
      </w:divBdr>
    </w:div>
    <w:div w:id="442920012">
      <w:bodyDiv w:val="1"/>
      <w:marLeft w:val="0"/>
      <w:marRight w:val="0"/>
      <w:marTop w:val="0"/>
      <w:marBottom w:val="0"/>
      <w:divBdr>
        <w:top w:val="none" w:sz="0" w:space="0" w:color="auto"/>
        <w:left w:val="none" w:sz="0" w:space="0" w:color="auto"/>
        <w:bottom w:val="none" w:sz="0" w:space="0" w:color="auto"/>
        <w:right w:val="none" w:sz="0" w:space="0" w:color="auto"/>
      </w:divBdr>
    </w:div>
    <w:div w:id="442960781">
      <w:bodyDiv w:val="1"/>
      <w:marLeft w:val="0"/>
      <w:marRight w:val="0"/>
      <w:marTop w:val="0"/>
      <w:marBottom w:val="0"/>
      <w:divBdr>
        <w:top w:val="none" w:sz="0" w:space="0" w:color="auto"/>
        <w:left w:val="none" w:sz="0" w:space="0" w:color="auto"/>
        <w:bottom w:val="none" w:sz="0" w:space="0" w:color="auto"/>
        <w:right w:val="none" w:sz="0" w:space="0" w:color="auto"/>
      </w:divBdr>
    </w:div>
    <w:div w:id="442965012">
      <w:bodyDiv w:val="1"/>
      <w:marLeft w:val="0"/>
      <w:marRight w:val="0"/>
      <w:marTop w:val="0"/>
      <w:marBottom w:val="0"/>
      <w:divBdr>
        <w:top w:val="none" w:sz="0" w:space="0" w:color="auto"/>
        <w:left w:val="none" w:sz="0" w:space="0" w:color="auto"/>
        <w:bottom w:val="none" w:sz="0" w:space="0" w:color="auto"/>
        <w:right w:val="none" w:sz="0" w:space="0" w:color="auto"/>
      </w:divBdr>
    </w:div>
    <w:div w:id="443115330">
      <w:bodyDiv w:val="1"/>
      <w:marLeft w:val="0"/>
      <w:marRight w:val="0"/>
      <w:marTop w:val="0"/>
      <w:marBottom w:val="0"/>
      <w:divBdr>
        <w:top w:val="none" w:sz="0" w:space="0" w:color="auto"/>
        <w:left w:val="none" w:sz="0" w:space="0" w:color="auto"/>
        <w:bottom w:val="none" w:sz="0" w:space="0" w:color="auto"/>
        <w:right w:val="none" w:sz="0" w:space="0" w:color="auto"/>
      </w:divBdr>
    </w:div>
    <w:div w:id="443159279">
      <w:bodyDiv w:val="1"/>
      <w:marLeft w:val="0"/>
      <w:marRight w:val="0"/>
      <w:marTop w:val="0"/>
      <w:marBottom w:val="0"/>
      <w:divBdr>
        <w:top w:val="none" w:sz="0" w:space="0" w:color="auto"/>
        <w:left w:val="none" w:sz="0" w:space="0" w:color="auto"/>
        <w:bottom w:val="none" w:sz="0" w:space="0" w:color="auto"/>
        <w:right w:val="none" w:sz="0" w:space="0" w:color="auto"/>
      </w:divBdr>
    </w:div>
    <w:div w:id="443160789">
      <w:bodyDiv w:val="1"/>
      <w:marLeft w:val="0"/>
      <w:marRight w:val="0"/>
      <w:marTop w:val="0"/>
      <w:marBottom w:val="0"/>
      <w:divBdr>
        <w:top w:val="none" w:sz="0" w:space="0" w:color="auto"/>
        <w:left w:val="none" w:sz="0" w:space="0" w:color="auto"/>
        <w:bottom w:val="none" w:sz="0" w:space="0" w:color="auto"/>
        <w:right w:val="none" w:sz="0" w:space="0" w:color="auto"/>
      </w:divBdr>
    </w:div>
    <w:div w:id="443234951">
      <w:bodyDiv w:val="1"/>
      <w:marLeft w:val="0"/>
      <w:marRight w:val="0"/>
      <w:marTop w:val="0"/>
      <w:marBottom w:val="0"/>
      <w:divBdr>
        <w:top w:val="none" w:sz="0" w:space="0" w:color="auto"/>
        <w:left w:val="none" w:sz="0" w:space="0" w:color="auto"/>
        <w:bottom w:val="none" w:sz="0" w:space="0" w:color="auto"/>
        <w:right w:val="none" w:sz="0" w:space="0" w:color="auto"/>
      </w:divBdr>
    </w:div>
    <w:div w:id="443308657">
      <w:bodyDiv w:val="1"/>
      <w:marLeft w:val="0"/>
      <w:marRight w:val="0"/>
      <w:marTop w:val="0"/>
      <w:marBottom w:val="0"/>
      <w:divBdr>
        <w:top w:val="none" w:sz="0" w:space="0" w:color="auto"/>
        <w:left w:val="none" w:sz="0" w:space="0" w:color="auto"/>
        <w:bottom w:val="none" w:sz="0" w:space="0" w:color="auto"/>
        <w:right w:val="none" w:sz="0" w:space="0" w:color="auto"/>
      </w:divBdr>
    </w:div>
    <w:div w:id="443312759">
      <w:bodyDiv w:val="1"/>
      <w:marLeft w:val="0"/>
      <w:marRight w:val="0"/>
      <w:marTop w:val="0"/>
      <w:marBottom w:val="0"/>
      <w:divBdr>
        <w:top w:val="none" w:sz="0" w:space="0" w:color="auto"/>
        <w:left w:val="none" w:sz="0" w:space="0" w:color="auto"/>
        <w:bottom w:val="none" w:sz="0" w:space="0" w:color="auto"/>
        <w:right w:val="none" w:sz="0" w:space="0" w:color="auto"/>
      </w:divBdr>
    </w:div>
    <w:div w:id="443383207">
      <w:bodyDiv w:val="1"/>
      <w:marLeft w:val="0"/>
      <w:marRight w:val="0"/>
      <w:marTop w:val="0"/>
      <w:marBottom w:val="0"/>
      <w:divBdr>
        <w:top w:val="none" w:sz="0" w:space="0" w:color="auto"/>
        <w:left w:val="none" w:sz="0" w:space="0" w:color="auto"/>
        <w:bottom w:val="none" w:sz="0" w:space="0" w:color="auto"/>
        <w:right w:val="none" w:sz="0" w:space="0" w:color="auto"/>
      </w:divBdr>
    </w:div>
    <w:div w:id="443578555">
      <w:bodyDiv w:val="1"/>
      <w:marLeft w:val="0"/>
      <w:marRight w:val="0"/>
      <w:marTop w:val="0"/>
      <w:marBottom w:val="0"/>
      <w:divBdr>
        <w:top w:val="none" w:sz="0" w:space="0" w:color="auto"/>
        <w:left w:val="none" w:sz="0" w:space="0" w:color="auto"/>
        <w:bottom w:val="none" w:sz="0" w:space="0" w:color="auto"/>
        <w:right w:val="none" w:sz="0" w:space="0" w:color="auto"/>
      </w:divBdr>
    </w:div>
    <w:div w:id="443579866">
      <w:bodyDiv w:val="1"/>
      <w:marLeft w:val="0"/>
      <w:marRight w:val="0"/>
      <w:marTop w:val="0"/>
      <w:marBottom w:val="0"/>
      <w:divBdr>
        <w:top w:val="none" w:sz="0" w:space="0" w:color="auto"/>
        <w:left w:val="none" w:sz="0" w:space="0" w:color="auto"/>
        <w:bottom w:val="none" w:sz="0" w:space="0" w:color="auto"/>
        <w:right w:val="none" w:sz="0" w:space="0" w:color="auto"/>
      </w:divBdr>
    </w:div>
    <w:div w:id="443813052">
      <w:bodyDiv w:val="1"/>
      <w:marLeft w:val="0"/>
      <w:marRight w:val="0"/>
      <w:marTop w:val="0"/>
      <w:marBottom w:val="0"/>
      <w:divBdr>
        <w:top w:val="none" w:sz="0" w:space="0" w:color="auto"/>
        <w:left w:val="none" w:sz="0" w:space="0" w:color="auto"/>
        <w:bottom w:val="none" w:sz="0" w:space="0" w:color="auto"/>
        <w:right w:val="none" w:sz="0" w:space="0" w:color="auto"/>
      </w:divBdr>
    </w:div>
    <w:div w:id="443814734">
      <w:bodyDiv w:val="1"/>
      <w:marLeft w:val="0"/>
      <w:marRight w:val="0"/>
      <w:marTop w:val="0"/>
      <w:marBottom w:val="0"/>
      <w:divBdr>
        <w:top w:val="none" w:sz="0" w:space="0" w:color="auto"/>
        <w:left w:val="none" w:sz="0" w:space="0" w:color="auto"/>
        <w:bottom w:val="none" w:sz="0" w:space="0" w:color="auto"/>
        <w:right w:val="none" w:sz="0" w:space="0" w:color="auto"/>
      </w:divBdr>
    </w:div>
    <w:div w:id="443967385">
      <w:bodyDiv w:val="1"/>
      <w:marLeft w:val="0"/>
      <w:marRight w:val="0"/>
      <w:marTop w:val="0"/>
      <w:marBottom w:val="0"/>
      <w:divBdr>
        <w:top w:val="none" w:sz="0" w:space="0" w:color="auto"/>
        <w:left w:val="none" w:sz="0" w:space="0" w:color="auto"/>
        <w:bottom w:val="none" w:sz="0" w:space="0" w:color="auto"/>
        <w:right w:val="none" w:sz="0" w:space="0" w:color="auto"/>
      </w:divBdr>
    </w:div>
    <w:div w:id="444078463">
      <w:bodyDiv w:val="1"/>
      <w:marLeft w:val="0"/>
      <w:marRight w:val="0"/>
      <w:marTop w:val="0"/>
      <w:marBottom w:val="0"/>
      <w:divBdr>
        <w:top w:val="none" w:sz="0" w:space="0" w:color="auto"/>
        <w:left w:val="none" w:sz="0" w:space="0" w:color="auto"/>
        <w:bottom w:val="none" w:sz="0" w:space="0" w:color="auto"/>
        <w:right w:val="none" w:sz="0" w:space="0" w:color="auto"/>
      </w:divBdr>
    </w:div>
    <w:div w:id="444083305">
      <w:bodyDiv w:val="1"/>
      <w:marLeft w:val="0"/>
      <w:marRight w:val="0"/>
      <w:marTop w:val="0"/>
      <w:marBottom w:val="0"/>
      <w:divBdr>
        <w:top w:val="none" w:sz="0" w:space="0" w:color="auto"/>
        <w:left w:val="none" w:sz="0" w:space="0" w:color="auto"/>
        <w:bottom w:val="none" w:sz="0" w:space="0" w:color="auto"/>
        <w:right w:val="none" w:sz="0" w:space="0" w:color="auto"/>
      </w:divBdr>
    </w:div>
    <w:div w:id="444151701">
      <w:bodyDiv w:val="1"/>
      <w:marLeft w:val="0"/>
      <w:marRight w:val="0"/>
      <w:marTop w:val="0"/>
      <w:marBottom w:val="0"/>
      <w:divBdr>
        <w:top w:val="none" w:sz="0" w:space="0" w:color="auto"/>
        <w:left w:val="none" w:sz="0" w:space="0" w:color="auto"/>
        <w:bottom w:val="none" w:sz="0" w:space="0" w:color="auto"/>
        <w:right w:val="none" w:sz="0" w:space="0" w:color="auto"/>
      </w:divBdr>
    </w:div>
    <w:div w:id="444152279">
      <w:bodyDiv w:val="1"/>
      <w:marLeft w:val="0"/>
      <w:marRight w:val="0"/>
      <w:marTop w:val="0"/>
      <w:marBottom w:val="0"/>
      <w:divBdr>
        <w:top w:val="none" w:sz="0" w:space="0" w:color="auto"/>
        <w:left w:val="none" w:sz="0" w:space="0" w:color="auto"/>
        <w:bottom w:val="none" w:sz="0" w:space="0" w:color="auto"/>
        <w:right w:val="none" w:sz="0" w:space="0" w:color="auto"/>
      </w:divBdr>
    </w:div>
    <w:div w:id="444270773">
      <w:bodyDiv w:val="1"/>
      <w:marLeft w:val="0"/>
      <w:marRight w:val="0"/>
      <w:marTop w:val="0"/>
      <w:marBottom w:val="0"/>
      <w:divBdr>
        <w:top w:val="none" w:sz="0" w:space="0" w:color="auto"/>
        <w:left w:val="none" w:sz="0" w:space="0" w:color="auto"/>
        <w:bottom w:val="none" w:sz="0" w:space="0" w:color="auto"/>
        <w:right w:val="none" w:sz="0" w:space="0" w:color="auto"/>
      </w:divBdr>
    </w:div>
    <w:div w:id="444274525">
      <w:bodyDiv w:val="1"/>
      <w:marLeft w:val="0"/>
      <w:marRight w:val="0"/>
      <w:marTop w:val="0"/>
      <w:marBottom w:val="0"/>
      <w:divBdr>
        <w:top w:val="none" w:sz="0" w:space="0" w:color="auto"/>
        <w:left w:val="none" w:sz="0" w:space="0" w:color="auto"/>
        <w:bottom w:val="none" w:sz="0" w:space="0" w:color="auto"/>
        <w:right w:val="none" w:sz="0" w:space="0" w:color="auto"/>
      </w:divBdr>
    </w:div>
    <w:div w:id="444538969">
      <w:bodyDiv w:val="1"/>
      <w:marLeft w:val="0"/>
      <w:marRight w:val="0"/>
      <w:marTop w:val="0"/>
      <w:marBottom w:val="0"/>
      <w:divBdr>
        <w:top w:val="none" w:sz="0" w:space="0" w:color="auto"/>
        <w:left w:val="none" w:sz="0" w:space="0" w:color="auto"/>
        <w:bottom w:val="none" w:sz="0" w:space="0" w:color="auto"/>
        <w:right w:val="none" w:sz="0" w:space="0" w:color="auto"/>
      </w:divBdr>
    </w:div>
    <w:div w:id="444615901">
      <w:bodyDiv w:val="1"/>
      <w:marLeft w:val="0"/>
      <w:marRight w:val="0"/>
      <w:marTop w:val="0"/>
      <w:marBottom w:val="0"/>
      <w:divBdr>
        <w:top w:val="none" w:sz="0" w:space="0" w:color="auto"/>
        <w:left w:val="none" w:sz="0" w:space="0" w:color="auto"/>
        <w:bottom w:val="none" w:sz="0" w:space="0" w:color="auto"/>
        <w:right w:val="none" w:sz="0" w:space="0" w:color="auto"/>
      </w:divBdr>
    </w:div>
    <w:div w:id="444733241">
      <w:bodyDiv w:val="1"/>
      <w:marLeft w:val="0"/>
      <w:marRight w:val="0"/>
      <w:marTop w:val="0"/>
      <w:marBottom w:val="0"/>
      <w:divBdr>
        <w:top w:val="none" w:sz="0" w:space="0" w:color="auto"/>
        <w:left w:val="none" w:sz="0" w:space="0" w:color="auto"/>
        <w:bottom w:val="none" w:sz="0" w:space="0" w:color="auto"/>
        <w:right w:val="none" w:sz="0" w:space="0" w:color="auto"/>
      </w:divBdr>
    </w:div>
    <w:div w:id="444741103">
      <w:bodyDiv w:val="1"/>
      <w:marLeft w:val="0"/>
      <w:marRight w:val="0"/>
      <w:marTop w:val="0"/>
      <w:marBottom w:val="0"/>
      <w:divBdr>
        <w:top w:val="none" w:sz="0" w:space="0" w:color="auto"/>
        <w:left w:val="none" w:sz="0" w:space="0" w:color="auto"/>
        <w:bottom w:val="none" w:sz="0" w:space="0" w:color="auto"/>
        <w:right w:val="none" w:sz="0" w:space="0" w:color="auto"/>
      </w:divBdr>
    </w:div>
    <w:div w:id="444810752">
      <w:bodyDiv w:val="1"/>
      <w:marLeft w:val="0"/>
      <w:marRight w:val="0"/>
      <w:marTop w:val="0"/>
      <w:marBottom w:val="0"/>
      <w:divBdr>
        <w:top w:val="none" w:sz="0" w:space="0" w:color="auto"/>
        <w:left w:val="none" w:sz="0" w:space="0" w:color="auto"/>
        <w:bottom w:val="none" w:sz="0" w:space="0" w:color="auto"/>
        <w:right w:val="none" w:sz="0" w:space="0" w:color="auto"/>
      </w:divBdr>
    </w:div>
    <w:div w:id="444891083">
      <w:bodyDiv w:val="1"/>
      <w:marLeft w:val="0"/>
      <w:marRight w:val="0"/>
      <w:marTop w:val="0"/>
      <w:marBottom w:val="0"/>
      <w:divBdr>
        <w:top w:val="none" w:sz="0" w:space="0" w:color="auto"/>
        <w:left w:val="none" w:sz="0" w:space="0" w:color="auto"/>
        <w:bottom w:val="none" w:sz="0" w:space="0" w:color="auto"/>
        <w:right w:val="none" w:sz="0" w:space="0" w:color="auto"/>
      </w:divBdr>
    </w:div>
    <w:div w:id="444925547">
      <w:bodyDiv w:val="1"/>
      <w:marLeft w:val="0"/>
      <w:marRight w:val="0"/>
      <w:marTop w:val="0"/>
      <w:marBottom w:val="0"/>
      <w:divBdr>
        <w:top w:val="none" w:sz="0" w:space="0" w:color="auto"/>
        <w:left w:val="none" w:sz="0" w:space="0" w:color="auto"/>
        <w:bottom w:val="none" w:sz="0" w:space="0" w:color="auto"/>
        <w:right w:val="none" w:sz="0" w:space="0" w:color="auto"/>
      </w:divBdr>
    </w:div>
    <w:div w:id="445152294">
      <w:bodyDiv w:val="1"/>
      <w:marLeft w:val="0"/>
      <w:marRight w:val="0"/>
      <w:marTop w:val="0"/>
      <w:marBottom w:val="0"/>
      <w:divBdr>
        <w:top w:val="none" w:sz="0" w:space="0" w:color="auto"/>
        <w:left w:val="none" w:sz="0" w:space="0" w:color="auto"/>
        <w:bottom w:val="none" w:sz="0" w:space="0" w:color="auto"/>
        <w:right w:val="none" w:sz="0" w:space="0" w:color="auto"/>
      </w:divBdr>
    </w:div>
    <w:div w:id="445202076">
      <w:bodyDiv w:val="1"/>
      <w:marLeft w:val="0"/>
      <w:marRight w:val="0"/>
      <w:marTop w:val="0"/>
      <w:marBottom w:val="0"/>
      <w:divBdr>
        <w:top w:val="none" w:sz="0" w:space="0" w:color="auto"/>
        <w:left w:val="none" w:sz="0" w:space="0" w:color="auto"/>
        <w:bottom w:val="none" w:sz="0" w:space="0" w:color="auto"/>
        <w:right w:val="none" w:sz="0" w:space="0" w:color="auto"/>
      </w:divBdr>
    </w:div>
    <w:div w:id="445271919">
      <w:bodyDiv w:val="1"/>
      <w:marLeft w:val="0"/>
      <w:marRight w:val="0"/>
      <w:marTop w:val="0"/>
      <w:marBottom w:val="0"/>
      <w:divBdr>
        <w:top w:val="none" w:sz="0" w:space="0" w:color="auto"/>
        <w:left w:val="none" w:sz="0" w:space="0" w:color="auto"/>
        <w:bottom w:val="none" w:sz="0" w:space="0" w:color="auto"/>
        <w:right w:val="none" w:sz="0" w:space="0" w:color="auto"/>
      </w:divBdr>
    </w:div>
    <w:div w:id="445348140">
      <w:bodyDiv w:val="1"/>
      <w:marLeft w:val="0"/>
      <w:marRight w:val="0"/>
      <w:marTop w:val="0"/>
      <w:marBottom w:val="0"/>
      <w:divBdr>
        <w:top w:val="none" w:sz="0" w:space="0" w:color="auto"/>
        <w:left w:val="none" w:sz="0" w:space="0" w:color="auto"/>
        <w:bottom w:val="none" w:sz="0" w:space="0" w:color="auto"/>
        <w:right w:val="none" w:sz="0" w:space="0" w:color="auto"/>
      </w:divBdr>
    </w:div>
    <w:div w:id="445394597">
      <w:bodyDiv w:val="1"/>
      <w:marLeft w:val="0"/>
      <w:marRight w:val="0"/>
      <w:marTop w:val="0"/>
      <w:marBottom w:val="0"/>
      <w:divBdr>
        <w:top w:val="none" w:sz="0" w:space="0" w:color="auto"/>
        <w:left w:val="none" w:sz="0" w:space="0" w:color="auto"/>
        <w:bottom w:val="none" w:sz="0" w:space="0" w:color="auto"/>
        <w:right w:val="none" w:sz="0" w:space="0" w:color="auto"/>
      </w:divBdr>
    </w:div>
    <w:div w:id="445467488">
      <w:bodyDiv w:val="1"/>
      <w:marLeft w:val="0"/>
      <w:marRight w:val="0"/>
      <w:marTop w:val="0"/>
      <w:marBottom w:val="0"/>
      <w:divBdr>
        <w:top w:val="none" w:sz="0" w:space="0" w:color="auto"/>
        <w:left w:val="none" w:sz="0" w:space="0" w:color="auto"/>
        <w:bottom w:val="none" w:sz="0" w:space="0" w:color="auto"/>
        <w:right w:val="none" w:sz="0" w:space="0" w:color="auto"/>
      </w:divBdr>
    </w:div>
    <w:div w:id="445781454">
      <w:bodyDiv w:val="1"/>
      <w:marLeft w:val="0"/>
      <w:marRight w:val="0"/>
      <w:marTop w:val="0"/>
      <w:marBottom w:val="0"/>
      <w:divBdr>
        <w:top w:val="none" w:sz="0" w:space="0" w:color="auto"/>
        <w:left w:val="none" w:sz="0" w:space="0" w:color="auto"/>
        <w:bottom w:val="none" w:sz="0" w:space="0" w:color="auto"/>
        <w:right w:val="none" w:sz="0" w:space="0" w:color="auto"/>
      </w:divBdr>
    </w:div>
    <w:div w:id="445924605">
      <w:bodyDiv w:val="1"/>
      <w:marLeft w:val="0"/>
      <w:marRight w:val="0"/>
      <w:marTop w:val="0"/>
      <w:marBottom w:val="0"/>
      <w:divBdr>
        <w:top w:val="none" w:sz="0" w:space="0" w:color="auto"/>
        <w:left w:val="none" w:sz="0" w:space="0" w:color="auto"/>
        <w:bottom w:val="none" w:sz="0" w:space="0" w:color="auto"/>
        <w:right w:val="none" w:sz="0" w:space="0" w:color="auto"/>
      </w:divBdr>
    </w:div>
    <w:div w:id="446121515">
      <w:bodyDiv w:val="1"/>
      <w:marLeft w:val="0"/>
      <w:marRight w:val="0"/>
      <w:marTop w:val="0"/>
      <w:marBottom w:val="0"/>
      <w:divBdr>
        <w:top w:val="none" w:sz="0" w:space="0" w:color="auto"/>
        <w:left w:val="none" w:sz="0" w:space="0" w:color="auto"/>
        <w:bottom w:val="none" w:sz="0" w:space="0" w:color="auto"/>
        <w:right w:val="none" w:sz="0" w:space="0" w:color="auto"/>
      </w:divBdr>
    </w:div>
    <w:div w:id="446122398">
      <w:bodyDiv w:val="1"/>
      <w:marLeft w:val="0"/>
      <w:marRight w:val="0"/>
      <w:marTop w:val="0"/>
      <w:marBottom w:val="0"/>
      <w:divBdr>
        <w:top w:val="none" w:sz="0" w:space="0" w:color="auto"/>
        <w:left w:val="none" w:sz="0" w:space="0" w:color="auto"/>
        <w:bottom w:val="none" w:sz="0" w:space="0" w:color="auto"/>
        <w:right w:val="none" w:sz="0" w:space="0" w:color="auto"/>
      </w:divBdr>
    </w:div>
    <w:div w:id="446122591">
      <w:bodyDiv w:val="1"/>
      <w:marLeft w:val="0"/>
      <w:marRight w:val="0"/>
      <w:marTop w:val="0"/>
      <w:marBottom w:val="0"/>
      <w:divBdr>
        <w:top w:val="none" w:sz="0" w:space="0" w:color="auto"/>
        <w:left w:val="none" w:sz="0" w:space="0" w:color="auto"/>
        <w:bottom w:val="none" w:sz="0" w:space="0" w:color="auto"/>
        <w:right w:val="none" w:sz="0" w:space="0" w:color="auto"/>
      </w:divBdr>
    </w:div>
    <w:div w:id="446193077">
      <w:bodyDiv w:val="1"/>
      <w:marLeft w:val="0"/>
      <w:marRight w:val="0"/>
      <w:marTop w:val="0"/>
      <w:marBottom w:val="0"/>
      <w:divBdr>
        <w:top w:val="none" w:sz="0" w:space="0" w:color="auto"/>
        <w:left w:val="none" w:sz="0" w:space="0" w:color="auto"/>
        <w:bottom w:val="none" w:sz="0" w:space="0" w:color="auto"/>
        <w:right w:val="none" w:sz="0" w:space="0" w:color="auto"/>
      </w:divBdr>
    </w:div>
    <w:div w:id="446196965">
      <w:bodyDiv w:val="1"/>
      <w:marLeft w:val="0"/>
      <w:marRight w:val="0"/>
      <w:marTop w:val="0"/>
      <w:marBottom w:val="0"/>
      <w:divBdr>
        <w:top w:val="none" w:sz="0" w:space="0" w:color="auto"/>
        <w:left w:val="none" w:sz="0" w:space="0" w:color="auto"/>
        <w:bottom w:val="none" w:sz="0" w:space="0" w:color="auto"/>
        <w:right w:val="none" w:sz="0" w:space="0" w:color="auto"/>
      </w:divBdr>
    </w:div>
    <w:div w:id="446199329">
      <w:bodyDiv w:val="1"/>
      <w:marLeft w:val="0"/>
      <w:marRight w:val="0"/>
      <w:marTop w:val="0"/>
      <w:marBottom w:val="0"/>
      <w:divBdr>
        <w:top w:val="none" w:sz="0" w:space="0" w:color="auto"/>
        <w:left w:val="none" w:sz="0" w:space="0" w:color="auto"/>
        <w:bottom w:val="none" w:sz="0" w:space="0" w:color="auto"/>
        <w:right w:val="none" w:sz="0" w:space="0" w:color="auto"/>
      </w:divBdr>
    </w:div>
    <w:div w:id="446200387">
      <w:bodyDiv w:val="1"/>
      <w:marLeft w:val="0"/>
      <w:marRight w:val="0"/>
      <w:marTop w:val="0"/>
      <w:marBottom w:val="0"/>
      <w:divBdr>
        <w:top w:val="none" w:sz="0" w:space="0" w:color="auto"/>
        <w:left w:val="none" w:sz="0" w:space="0" w:color="auto"/>
        <w:bottom w:val="none" w:sz="0" w:space="0" w:color="auto"/>
        <w:right w:val="none" w:sz="0" w:space="0" w:color="auto"/>
      </w:divBdr>
    </w:div>
    <w:div w:id="446237027">
      <w:bodyDiv w:val="1"/>
      <w:marLeft w:val="0"/>
      <w:marRight w:val="0"/>
      <w:marTop w:val="0"/>
      <w:marBottom w:val="0"/>
      <w:divBdr>
        <w:top w:val="none" w:sz="0" w:space="0" w:color="auto"/>
        <w:left w:val="none" w:sz="0" w:space="0" w:color="auto"/>
        <w:bottom w:val="none" w:sz="0" w:space="0" w:color="auto"/>
        <w:right w:val="none" w:sz="0" w:space="0" w:color="auto"/>
      </w:divBdr>
    </w:div>
    <w:div w:id="446630403">
      <w:bodyDiv w:val="1"/>
      <w:marLeft w:val="0"/>
      <w:marRight w:val="0"/>
      <w:marTop w:val="0"/>
      <w:marBottom w:val="0"/>
      <w:divBdr>
        <w:top w:val="none" w:sz="0" w:space="0" w:color="auto"/>
        <w:left w:val="none" w:sz="0" w:space="0" w:color="auto"/>
        <w:bottom w:val="none" w:sz="0" w:space="0" w:color="auto"/>
        <w:right w:val="none" w:sz="0" w:space="0" w:color="auto"/>
      </w:divBdr>
    </w:div>
    <w:div w:id="446780619">
      <w:bodyDiv w:val="1"/>
      <w:marLeft w:val="0"/>
      <w:marRight w:val="0"/>
      <w:marTop w:val="0"/>
      <w:marBottom w:val="0"/>
      <w:divBdr>
        <w:top w:val="none" w:sz="0" w:space="0" w:color="auto"/>
        <w:left w:val="none" w:sz="0" w:space="0" w:color="auto"/>
        <w:bottom w:val="none" w:sz="0" w:space="0" w:color="auto"/>
        <w:right w:val="none" w:sz="0" w:space="0" w:color="auto"/>
      </w:divBdr>
    </w:div>
    <w:div w:id="446890788">
      <w:bodyDiv w:val="1"/>
      <w:marLeft w:val="0"/>
      <w:marRight w:val="0"/>
      <w:marTop w:val="0"/>
      <w:marBottom w:val="0"/>
      <w:divBdr>
        <w:top w:val="none" w:sz="0" w:space="0" w:color="auto"/>
        <w:left w:val="none" w:sz="0" w:space="0" w:color="auto"/>
        <w:bottom w:val="none" w:sz="0" w:space="0" w:color="auto"/>
        <w:right w:val="none" w:sz="0" w:space="0" w:color="auto"/>
      </w:divBdr>
    </w:div>
    <w:div w:id="446972350">
      <w:bodyDiv w:val="1"/>
      <w:marLeft w:val="0"/>
      <w:marRight w:val="0"/>
      <w:marTop w:val="0"/>
      <w:marBottom w:val="0"/>
      <w:divBdr>
        <w:top w:val="none" w:sz="0" w:space="0" w:color="auto"/>
        <w:left w:val="none" w:sz="0" w:space="0" w:color="auto"/>
        <w:bottom w:val="none" w:sz="0" w:space="0" w:color="auto"/>
        <w:right w:val="none" w:sz="0" w:space="0" w:color="auto"/>
      </w:divBdr>
    </w:div>
    <w:div w:id="446975660">
      <w:bodyDiv w:val="1"/>
      <w:marLeft w:val="0"/>
      <w:marRight w:val="0"/>
      <w:marTop w:val="0"/>
      <w:marBottom w:val="0"/>
      <w:divBdr>
        <w:top w:val="none" w:sz="0" w:space="0" w:color="auto"/>
        <w:left w:val="none" w:sz="0" w:space="0" w:color="auto"/>
        <w:bottom w:val="none" w:sz="0" w:space="0" w:color="auto"/>
        <w:right w:val="none" w:sz="0" w:space="0" w:color="auto"/>
      </w:divBdr>
    </w:div>
    <w:div w:id="447092411">
      <w:bodyDiv w:val="1"/>
      <w:marLeft w:val="0"/>
      <w:marRight w:val="0"/>
      <w:marTop w:val="0"/>
      <w:marBottom w:val="0"/>
      <w:divBdr>
        <w:top w:val="none" w:sz="0" w:space="0" w:color="auto"/>
        <w:left w:val="none" w:sz="0" w:space="0" w:color="auto"/>
        <w:bottom w:val="none" w:sz="0" w:space="0" w:color="auto"/>
        <w:right w:val="none" w:sz="0" w:space="0" w:color="auto"/>
      </w:divBdr>
    </w:div>
    <w:div w:id="447356992">
      <w:bodyDiv w:val="1"/>
      <w:marLeft w:val="0"/>
      <w:marRight w:val="0"/>
      <w:marTop w:val="0"/>
      <w:marBottom w:val="0"/>
      <w:divBdr>
        <w:top w:val="none" w:sz="0" w:space="0" w:color="auto"/>
        <w:left w:val="none" w:sz="0" w:space="0" w:color="auto"/>
        <w:bottom w:val="none" w:sz="0" w:space="0" w:color="auto"/>
        <w:right w:val="none" w:sz="0" w:space="0" w:color="auto"/>
      </w:divBdr>
    </w:div>
    <w:div w:id="447506157">
      <w:bodyDiv w:val="1"/>
      <w:marLeft w:val="0"/>
      <w:marRight w:val="0"/>
      <w:marTop w:val="0"/>
      <w:marBottom w:val="0"/>
      <w:divBdr>
        <w:top w:val="none" w:sz="0" w:space="0" w:color="auto"/>
        <w:left w:val="none" w:sz="0" w:space="0" w:color="auto"/>
        <w:bottom w:val="none" w:sz="0" w:space="0" w:color="auto"/>
        <w:right w:val="none" w:sz="0" w:space="0" w:color="auto"/>
      </w:divBdr>
    </w:div>
    <w:div w:id="447510219">
      <w:bodyDiv w:val="1"/>
      <w:marLeft w:val="0"/>
      <w:marRight w:val="0"/>
      <w:marTop w:val="0"/>
      <w:marBottom w:val="0"/>
      <w:divBdr>
        <w:top w:val="none" w:sz="0" w:space="0" w:color="auto"/>
        <w:left w:val="none" w:sz="0" w:space="0" w:color="auto"/>
        <w:bottom w:val="none" w:sz="0" w:space="0" w:color="auto"/>
        <w:right w:val="none" w:sz="0" w:space="0" w:color="auto"/>
      </w:divBdr>
    </w:div>
    <w:div w:id="447549319">
      <w:bodyDiv w:val="1"/>
      <w:marLeft w:val="0"/>
      <w:marRight w:val="0"/>
      <w:marTop w:val="0"/>
      <w:marBottom w:val="0"/>
      <w:divBdr>
        <w:top w:val="none" w:sz="0" w:space="0" w:color="auto"/>
        <w:left w:val="none" w:sz="0" w:space="0" w:color="auto"/>
        <w:bottom w:val="none" w:sz="0" w:space="0" w:color="auto"/>
        <w:right w:val="none" w:sz="0" w:space="0" w:color="auto"/>
      </w:divBdr>
    </w:div>
    <w:div w:id="447549725">
      <w:bodyDiv w:val="1"/>
      <w:marLeft w:val="0"/>
      <w:marRight w:val="0"/>
      <w:marTop w:val="0"/>
      <w:marBottom w:val="0"/>
      <w:divBdr>
        <w:top w:val="none" w:sz="0" w:space="0" w:color="auto"/>
        <w:left w:val="none" w:sz="0" w:space="0" w:color="auto"/>
        <w:bottom w:val="none" w:sz="0" w:space="0" w:color="auto"/>
        <w:right w:val="none" w:sz="0" w:space="0" w:color="auto"/>
      </w:divBdr>
    </w:div>
    <w:div w:id="447555172">
      <w:bodyDiv w:val="1"/>
      <w:marLeft w:val="0"/>
      <w:marRight w:val="0"/>
      <w:marTop w:val="0"/>
      <w:marBottom w:val="0"/>
      <w:divBdr>
        <w:top w:val="none" w:sz="0" w:space="0" w:color="auto"/>
        <w:left w:val="none" w:sz="0" w:space="0" w:color="auto"/>
        <w:bottom w:val="none" w:sz="0" w:space="0" w:color="auto"/>
        <w:right w:val="none" w:sz="0" w:space="0" w:color="auto"/>
      </w:divBdr>
    </w:div>
    <w:div w:id="447705294">
      <w:bodyDiv w:val="1"/>
      <w:marLeft w:val="0"/>
      <w:marRight w:val="0"/>
      <w:marTop w:val="0"/>
      <w:marBottom w:val="0"/>
      <w:divBdr>
        <w:top w:val="none" w:sz="0" w:space="0" w:color="auto"/>
        <w:left w:val="none" w:sz="0" w:space="0" w:color="auto"/>
        <w:bottom w:val="none" w:sz="0" w:space="0" w:color="auto"/>
        <w:right w:val="none" w:sz="0" w:space="0" w:color="auto"/>
      </w:divBdr>
    </w:div>
    <w:div w:id="447890625">
      <w:bodyDiv w:val="1"/>
      <w:marLeft w:val="0"/>
      <w:marRight w:val="0"/>
      <w:marTop w:val="0"/>
      <w:marBottom w:val="0"/>
      <w:divBdr>
        <w:top w:val="none" w:sz="0" w:space="0" w:color="auto"/>
        <w:left w:val="none" w:sz="0" w:space="0" w:color="auto"/>
        <w:bottom w:val="none" w:sz="0" w:space="0" w:color="auto"/>
        <w:right w:val="none" w:sz="0" w:space="0" w:color="auto"/>
      </w:divBdr>
    </w:div>
    <w:div w:id="447969743">
      <w:bodyDiv w:val="1"/>
      <w:marLeft w:val="0"/>
      <w:marRight w:val="0"/>
      <w:marTop w:val="0"/>
      <w:marBottom w:val="0"/>
      <w:divBdr>
        <w:top w:val="none" w:sz="0" w:space="0" w:color="auto"/>
        <w:left w:val="none" w:sz="0" w:space="0" w:color="auto"/>
        <w:bottom w:val="none" w:sz="0" w:space="0" w:color="auto"/>
        <w:right w:val="none" w:sz="0" w:space="0" w:color="auto"/>
      </w:divBdr>
    </w:div>
    <w:div w:id="447970165">
      <w:bodyDiv w:val="1"/>
      <w:marLeft w:val="0"/>
      <w:marRight w:val="0"/>
      <w:marTop w:val="0"/>
      <w:marBottom w:val="0"/>
      <w:divBdr>
        <w:top w:val="none" w:sz="0" w:space="0" w:color="auto"/>
        <w:left w:val="none" w:sz="0" w:space="0" w:color="auto"/>
        <w:bottom w:val="none" w:sz="0" w:space="0" w:color="auto"/>
        <w:right w:val="none" w:sz="0" w:space="0" w:color="auto"/>
      </w:divBdr>
    </w:div>
    <w:div w:id="448085233">
      <w:bodyDiv w:val="1"/>
      <w:marLeft w:val="0"/>
      <w:marRight w:val="0"/>
      <w:marTop w:val="0"/>
      <w:marBottom w:val="0"/>
      <w:divBdr>
        <w:top w:val="none" w:sz="0" w:space="0" w:color="auto"/>
        <w:left w:val="none" w:sz="0" w:space="0" w:color="auto"/>
        <w:bottom w:val="none" w:sz="0" w:space="0" w:color="auto"/>
        <w:right w:val="none" w:sz="0" w:space="0" w:color="auto"/>
      </w:divBdr>
    </w:div>
    <w:div w:id="448091916">
      <w:bodyDiv w:val="1"/>
      <w:marLeft w:val="0"/>
      <w:marRight w:val="0"/>
      <w:marTop w:val="0"/>
      <w:marBottom w:val="0"/>
      <w:divBdr>
        <w:top w:val="none" w:sz="0" w:space="0" w:color="auto"/>
        <w:left w:val="none" w:sz="0" w:space="0" w:color="auto"/>
        <w:bottom w:val="none" w:sz="0" w:space="0" w:color="auto"/>
        <w:right w:val="none" w:sz="0" w:space="0" w:color="auto"/>
      </w:divBdr>
    </w:div>
    <w:div w:id="448092088">
      <w:bodyDiv w:val="1"/>
      <w:marLeft w:val="0"/>
      <w:marRight w:val="0"/>
      <w:marTop w:val="0"/>
      <w:marBottom w:val="0"/>
      <w:divBdr>
        <w:top w:val="none" w:sz="0" w:space="0" w:color="auto"/>
        <w:left w:val="none" w:sz="0" w:space="0" w:color="auto"/>
        <w:bottom w:val="none" w:sz="0" w:space="0" w:color="auto"/>
        <w:right w:val="none" w:sz="0" w:space="0" w:color="auto"/>
      </w:divBdr>
    </w:div>
    <w:div w:id="448398380">
      <w:bodyDiv w:val="1"/>
      <w:marLeft w:val="0"/>
      <w:marRight w:val="0"/>
      <w:marTop w:val="0"/>
      <w:marBottom w:val="0"/>
      <w:divBdr>
        <w:top w:val="none" w:sz="0" w:space="0" w:color="auto"/>
        <w:left w:val="none" w:sz="0" w:space="0" w:color="auto"/>
        <w:bottom w:val="none" w:sz="0" w:space="0" w:color="auto"/>
        <w:right w:val="none" w:sz="0" w:space="0" w:color="auto"/>
      </w:divBdr>
    </w:div>
    <w:div w:id="448400386">
      <w:bodyDiv w:val="1"/>
      <w:marLeft w:val="0"/>
      <w:marRight w:val="0"/>
      <w:marTop w:val="0"/>
      <w:marBottom w:val="0"/>
      <w:divBdr>
        <w:top w:val="none" w:sz="0" w:space="0" w:color="auto"/>
        <w:left w:val="none" w:sz="0" w:space="0" w:color="auto"/>
        <w:bottom w:val="none" w:sz="0" w:space="0" w:color="auto"/>
        <w:right w:val="none" w:sz="0" w:space="0" w:color="auto"/>
      </w:divBdr>
    </w:div>
    <w:div w:id="448548613">
      <w:bodyDiv w:val="1"/>
      <w:marLeft w:val="0"/>
      <w:marRight w:val="0"/>
      <w:marTop w:val="0"/>
      <w:marBottom w:val="0"/>
      <w:divBdr>
        <w:top w:val="none" w:sz="0" w:space="0" w:color="auto"/>
        <w:left w:val="none" w:sz="0" w:space="0" w:color="auto"/>
        <w:bottom w:val="none" w:sz="0" w:space="0" w:color="auto"/>
        <w:right w:val="none" w:sz="0" w:space="0" w:color="auto"/>
      </w:divBdr>
    </w:div>
    <w:div w:id="448669406">
      <w:bodyDiv w:val="1"/>
      <w:marLeft w:val="0"/>
      <w:marRight w:val="0"/>
      <w:marTop w:val="0"/>
      <w:marBottom w:val="0"/>
      <w:divBdr>
        <w:top w:val="none" w:sz="0" w:space="0" w:color="auto"/>
        <w:left w:val="none" w:sz="0" w:space="0" w:color="auto"/>
        <w:bottom w:val="none" w:sz="0" w:space="0" w:color="auto"/>
        <w:right w:val="none" w:sz="0" w:space="0" w:color="auto"/>
      </w:divBdr>
    </w:div>
    <w:div w:id="448818963">
      <w:bodyDiv w:val="1"/>
      <w:marLeft w:val="0"/>
      <w:marRight w:val="0"/>
      <w:marTop w:val="0"/>
      <w:marBottom w:val="0"/>
      <w:divBdr>
        <w:top w:val="none" w:sz="0" w:space="0" w:color="auto"/>
        <w:left w:val="none" w:sz="0" w:space="0" w:color="auto"/>
        <w:bottom w:val="none" w:sz="0" w:space="0" w:color="auto"/>
        <w:right w:val="none" w:sz="0" w:space="0" w:color="auto"/>
      </w:divBdr>
    </w:div>
    <w:div w:id="448862541">
      <w:bodyDiv w:val="1"/>
      <w:marLeft w:val="0"/>
      <w:marRight w:val="0"/>
      <w:marTop w:val="0"/>
      <w:marBottom w:val="0"/>
      <w:divBdr>
        <w:top w:val="none" w:sz="0" w:space="0" w:color="auto"/>
        <w:left w:val="none" w:sz="0" w:space="0" w:color="auto"/>
        <w:bottom w:val="none" w:sz="0" w:space="0" w:color="auto"/>
        <w:right w:val="none" w:sz="0" w:space="0" w:color="auto"/>
      </w:divBdr>
    </w:div>
    <w:div w:id="448863774">
      <w:bodyDiv w:val="1"/>
      <w:marLeft w:val="0"/>
      <w:marRight w:val="0"/>
      <w:marTop w:val="0"/>
      <w:marBottom w:val="0"/>
      <w:divBdr>
        <w:top w:val="none" w:sz="0" w:space="0" w:color="auto"/>
        <w:left w:val="none" w:sz="0" w:space="0" w:color="auto"/>
        <w:bottom w:val="none" w:sz="0" w:space="0" w:color="auto"/>
        <w:right w:val="none" w:sz="0" w:space="0" w:color="auto"/>
      </w:divBdr>
    </w:div>
    <w:div w:id="448865998">
      <w:bodyDiv w:val="1"/>
      <w:marLeft w:val="0"/>
      <w:marRight w:val="0"/>
      <w:marTop w:val="0"/>
      <w:marBottom w:val="0"/>
      <w:divBdr>
        <w:top w:val="none" w:sz="0" w:space="0" w:color="auto"/>
        <w:left w:val="none" w:sz="0" w:space="0" w:color="auto"/>
        <w:bottom w:val="none" w:sz="0" w:space="0" w:color="auto"/>
        <w:right w:val="none" w:sz="0" w:space="0" w:color="auto"/>
      </w:divBdr>
    </w:div>
    <w:div w:id="449052995">
      <w:bodyDiv w:val="1"/>
      <w:marLeft w:val="0"/>
      <w:marRight w:val="0"/>
      <w:marTop w:val="0"/>
      <w:marBottom w:val="0"/>
      <w:divBdr>
        <w:top w:val="none" w:sz="0" w:space="0" w:color="auto"/>
        <w:left w:val="none" w:sz="0" w:space="0" w:color="auto"/>
        <w:bottom w:val="none" w:sz="0" w:space="0" w:color="auto"/>
        <w:right w:val="none" w:sz="0" w:space="0" w:color="auto"/>
      </w:divBdr>
    </w:div>
    <w:div w:id="449276634">
      <w:bodyDiv w:val="1"/>
      <w:marLeft w:val="0"/>
      <w:marRight w:val="0"/>
      <w:marTop w:val="0"/>
      <w:marBottom w:val="0"/>
      <w:divBdr>
        <w:top w:val="none" w:sz="0" w:space="0" w:color="auto"/>
        <w:left w:val="none" w:sz="0" w:space="0" w:color="auto"/>
        <w:bottom w:val="none" w:sz="0" w:space="0" w:color="auto"/>
        <w:right w:val="none" w:sz="0" w:space="0" w:color="auto"/>
      </w:divBdr>
    </w:div>
    <w:div w:id="449469389">
      <w:bodyDiv w:val="1"/>
      <w:marLeft w:val="0"/>
      <w:marRight w:val="0"/>
      <w:marTop w:val="0"/>
      <w:marBottom w:val="0"/>
      <w:divBdr>
        <w:top w:val="none" w:sz="0" w:space="0" w:color="auto"/>
        <w:left w:val="none" w:sz="0" w:space="0" w:color="auto"/>
        <w:bottom w:val="none" w:sz="0" w:space="0" w:color="auto"/>
        <w:right w:val="none" w:sz="0" w:space="0" w:color="auto"/>
      </w:divBdr>
    </w:div>
    <w:div w:id="449475113">
      <w:bodyDiv w:val="1"/>
      <w:marLeft w:val="0"/>
      <w:marRight w:val="0"/>
      <w:marTop w:val="0"/>
      <w:marBottom w:val="0"/>
      <w:divBdr>
        <w:top w:val="none" w:sz="0" w:space="0" w:color="auto"/>
        <w:left w:val="none" w:sz="0" w:space="0" w:color="auto"/>
        <w:bottom w:val="none" w:sz="0" w:space="0" w:color="auto"/>
        <w:right w:val="none" w:sz="0" w:space="0" w:color="auto"/>
      </w:divBdr>
    </w:div>
    <w:div w:id="449668553">
      <w:bodyDiv w:val="1"/>
      <w:marLeft w:val="0"/>
      <w:marRight w:val="0"/>
      <w:marTop w:val="0"/>
      <w:marBottom w:val="0"/>
      <w:divBdr>
        <w:top w:val="none" w:sz="0" w:space="0" w:color="auto"/>
        <w:left w:val="none" w:sz="0" w:space="0" w:color="auto"/>
        <w:bottom w:val="none" w:sz="0" w:space="0" w:color="auto"/>
        <w:right w:val="none" w:sz="0" w:space="0" w:color="auto"/>
      </w:divBdr>
    </w:div>
    <w:div w:id="449786986">
      <w:bodyDiv w:val="1"/>
      <w:marLeft w:val="0"/>
      <w:marRight w:val="0"/>
      <w:marTop w:val="0"/>
      <w:marBottom w:val="0"/>
      <w:divBdr>
        <w:top w:val="none" w:sz="0" w:space="0" w:color="auto"/>
        <w:left w:val="none" w:sz="0" w:space="0" w:color="auto"/>
        <w:bottom w:val="none" w:sz="0" w:space="0" w:color="auto"/>
        <w:right w:val="none" w:sz="0" w:space="0" w:color="auto"/>
      </w:divBdr>
    </w:div>
    <w:div w:id="449855888">
      <w:bodyDiv w:val="1"/>
      <w:marLeft w:val="0"/>
      <w:marRight w:val="0"/>
      <w:marTop w:val="0"/>
      <w:marBottom w:val="0"/>
      <w:divBdr>
        <w:top w:val="none" w:sz="0" w:space="0" w:color="auto"/>
        <w:left w:val="none" w:sz="0" w:space="0" w:color="auto"/>
        <w:bottom w:val="none" w:sz="0" w:space="0" w:color="auto"/>
        <w:right w:val="none" w:sz="0" w:space="0" w:color="auto"/>
      </w:divBdr>
    </w:div>
    <w:div w:id="449858906">
      <w:bodyDiv w:val="1"/>
      <w:marLeft w:val="0"/>
      <w:marRight w:val="0"/>
      <w:marTop w:val="0"/>
      <w:marBottom w:val="0"/>
      <w:divBdr>
        <w:top w:val="none" w:sz="0" w:space="0" w:color="auto"/>
        <w:left w:val="none" w:sz="0" w:space="0" w:color="auto"/>
        <w:bottom w:val="none" w:sz="0" w:space="0" w:color="auto"/>
        <w:right w:val="none" w:sz="0" w:space="0" w:color="auto"/>
      </w:divBdr>
    </w:div>
    <w:div w:id="449905370">
      <w:bodyDiv w:val="1"/>
      <w:marLeft w:val="0"/>
      <w:marRight w:val="0"/>
      <w:marTop w:val="0"/>
      <w:marBottom w:val="0"/>
      <w:divBdr>
        <w:top w:val="none" w:sz="0" w:space="0" w:color="auto"/>
        <w:left w:val="none" w:sz="0" w:space="0" w:color="auto"/>
        <w:bottom w:val="none" w:sz="0" w:space="0" w:color="auto"/>
        <w:right w:val="none" w:sz="0" w:space="0" w:color="auto"/>
      </w:divBdr>
    </w:div>
    <w:div w:id="449936213">
      <w:bodyDiv w:val="1"/>
      <w:marLeft w:val="0"/>
      <w:marRight w:val="0"/>
      <w:marTop w:val="0"/>
      <w:marBottom w:val="0"/>
      <w:divBdr>
        <w:top w:val="none" w:sz="0" w:space="0" w:color="auto"/>
        <w:left w:val="none" w:sz="0" w:space="0" w:color="auto"/>
        <w:bottom w:val="none" w:sz="0" w:space="0" w:color="auto"/>
        <w:right w:val="none" w:sz="0" w:space="0" w:color="auto"/>
      </w:divBdr>
    </w:div>
    <w:div w:id="449979894">
      <w:bodyDiv w:val="1"/>
      <w:marLeft w:val="0"/>
      <w:marRight w:val="0"/>
      <w:marTop w:val="0"/>
      <w:marBottom w:val="0"/>
      <w:divBdr>
        <w:top w:val="none" w:sz="0" w:space="0" w:color="auto"/>
        <w:left w:val="none" w:sz="0" w:space="0" w:color="auto"/>
        <w:bottom w:val="none" w:sz="0" w:space="0" w:color="auto"/>
        <w:right w:val="none" w:sz="0" w:space="0" w:color="auto"/>
      </w:divBdr>
    </w:div>
    <w:div w:id="449983325">
      <w:bodyDiv w:val="1"/>
      <w:marLeft w:val="0"/>
      <w:marRight w:val="0"/>
      <w:marTop w:val="0"/>
      <w:marBottom w:val="0"/>
      <w:divBdr>
        <w:top w:val="none" w:sz="0" w:space="0" w:color="auto"/>
        <w:left w:val="none" w:sz="0" w:space="0" w:color="auto"/>
        <w:bottom w:val="none" w:sz="0" w:space="0" w:color="auto"/>
        <w:right w:val="none" w:sz="0" w:space="0" w:color="auto"/>
      </w:divBdr>
    </w:div>
    <w:div w:id="450129467">
      <w:bodyDiv w:val="1"/>
      <w:marLeft w:val="0"/>
      <w:marRight w:val="0"/>
      <w:marTop w:val="0"/>
      <w:marBottom w:val="0"/>
      <w:divBdr>
        <w:top w:val="none" w:sz="0" w:space="0" w:color="auto"/>
        <w:left w:val="none" w:sz="0" w:space="0" w:color="auto"/>
        <w:bottom w:val="none" w:sz="0" w:space="0" w:color="auto"/>
        <w:right w:val="none" w:sz="0" w:space="0" w:color="auto"/>
      </w:divBdr>
    </w:div>
    <w:div w:id="450133031">
      <w:bodyDiv w:val="1"/>
      <w:marLeft w:val="0"/>
      <w:marRight w:val="0"/>
      <w:marTop w:val="0"/>
      <w:marBottom w:val="0"/>
      <w:divBdr>
        <w:top w:val="none" w:sz="0" w:space="0" w:color="auto"/>
        <w:left w:val="none" w:sz="0" w:space="0" w:color="auto"/>
        <w:bottom w:val="none" w:sz="0" w:space="0" w:color="auto"/>
        <w:right w:val="none" w:sz="0" w:space="0" w:color="auto"/>
      </w:divBdr>
    </w:div>
    <w:div w:id="450172263">
      <w:bodyDiv w:val="1"/>
      <w:marLeft w:val="0"/>
      <w:marRight w:val="0"/>
      <w:marTop w:val="0"/>
      <w:marBottom w:val="0"/>
      <w:divBdr>
        <w:top w:val="none" w:sz="0" w:space="0" w:color="auto"/>
        <w:left w:val="none" w:sz="0" w:space="0" w:color="auto"/>
        <w:bottom w:val="none" w:sz="0" w:space="0" w:color="auto"/>
        <w:right w:val="none" w:sz="0" w:space="0" w:color="auto"/>
      </w:divBdr>
    </w:div>
    <w:div w:id="450244017">
      <w:bodyDiv w:val="1"/>
      <w:marLeft w:val="0"/>
      <w:marRight w:val="0"/>
      <w:marTop w:val="0"/>
      <w:marBottom w:val="0"/>
      <w:divBdr>
        <w:top w:val="none" w:sz="0" w:space="0" w:color="auto"/>
        <w:left w:val="none" w:sz="0" w:space="0" w:color="auto"/>
        <w:bottom w:val="none" w:sz="0" w:space="0" w:color="auto"/>
        <w:right w:val="none" w:sz="0" w:space="0" w:color="auto"/>
      </w:divBdr>
    </w:div>
    <w:div w:id="450320350">
      <w:bodyDiv w:val="1"/>
      <w:marLeft w:val="0"/>
      <w:marRight w:val="0"/>
      <w:marTop w:val="0"/>
      <w:marBottom w:val="0"/>
      <w:divBdr>
        <w:top w:val="none" w:sz="0" w:space="0" w:color="auto"/>
        <w:left w:val="none" w:sz="0" w:space="0" w:color="auto"/>
        <w:bottom w:val="none" w:sz="0" w:space="0" w:color="auto"/>
        <w:right w:val="none" w:sz="0" w:space="0" w:color="auto"/>
      </w:divBdr>
    </w:div>
    <w:div w:id="450326842">
      <w:bodyDiv w:val="1"/>
      <w:marLeft w:val="0"/>
      <w:marRight w:val="0"/>
      <w:marTop w:val="0"/>
      <w:marBottom w:val="0"/>
      <w:divBdr>
        <w:top w:val="none" w:sz="0" w:space="0" w:color="auto"/>
        <w:left w:val="none" w:sz="0" w:space="0" w:color="auto"/>
        <w:bottom w:val="none" w:sz="0" w:space="0" w:color="auto"/>
        <w:right w:val="none" w:sz="0" w:space="0" w:color="auto"/>
      </w:divBdr>
    </w:div>
    <w:div w:id="450364713">
      <w:bodyDiv w:val="1"/>
      <w:marLeft w:val="0"/>
      <w:marRight w:val="0"/>
      <w:marTop w:val="0"/>
      <w:marBottom w:val="0"/>
      <w:divBdr>
        <w:top w:val="none" w:sz="0" w:space="0" w:color="auto"/>
        <w:left w:val="none" w:sz="0" w:space="0" w:color="auto"/>
        <w:bottom w:val="none" w:sz="0" w:space="0" w:color="auto"/>
        <w:right w:val="none" w:sz="0" w:space="0" w:color="auto"/>
      </w:divBdr>
    </w:div>
    <w:div w:id="450367834">
      <w:bodyDiv w:val="1"/>
      <w:marLeft w:val="0"/>
      <w:marRight w:val="0"/>
      <w:marTop w:val="0"/>
      <w:marBottom w:val="0"/>
      <w:divBdr>
        <w:top w:val="none" w:sz="0" w:space="0" w:color="auto"/>
        <w:left w:val="none" w:sz="0" w:space="0" w:color="auto"/>
        <w:bottom w:val="none" w:sz="0" w:space="0" w:color="auto"/>
        <w:right w:val="none" w:sz="0" w:space="0" w:color="auto"/>
      </w:divBdr>
    </w:div>
    <w:div w:id="450392994">
      <w:bodyDiv w:val="1"/>
      <w:marLeft w:val="0"/>
      <w:marRight w:val="0"/>
      <w:marTop w:val="0"/>
      <w:marBottom w:val="0"/>
      <w:divBdr>
        <w:top w:val="none" w:sz="0" w:space="0" w:color="auto"/>
        <w:left w:val="none" w:sz="0" w:space="0" w:color="auto"/>
        <w:bottom w:val="none" w:sz="0" w:space="0" w:color="auto"/>
        <w:right w:val="none" w:sz="0" w:space="0" w:color="auto"/>
      </w:divBdr>
    </w:div>
    <w:div w:id="450516107">
      <w:bodyDiv w:val="1"/>
      <w:marLeft w:val="0"/>
      <w:marRight w:val="0"/>
      <w:marTop w:val="0"/>
      <w:marBottom w:val="0"/>
      <w:divBdr>
        <w:top w:val="none" w:sz="0" w:space="0" w:color="auto"/>
        <w:left w:val="none" w:sz="0" w:space="0" w:color="auto"/>
        <w:bottom w:val="none" w:sz="0" w:space="0" w:color="auto"/>
        <w:right w:val="none" w:sz="0" w:space="0" w:color="auto"/>
      </w:divBdr>
    </w:div>
    <w:div w:id="450562229">
      <w:bodyDiv w:val="1"/>
      <w:marLeft w:val="0"/>
      <w:marRight w:val="0"/>
      <w:marTop w:val="0"/>
      <w:marBottom w:val="0"/>
      <w:divBdr>
        <w:top w:val="none" w:sz="0" w:space="0" w:color="auto"/>
        <w:left w:val="none" w:sz="0" w:space="0" w:color="auto"/>
        <w:bottom w:val="none" w:sz="0" w:space="0" w:color="auto"/>
        <w:right w:val="none" w:sz="0" w:space="0" w:color="auto"/>
      </w:divBdr>
    </w:div>
    <w:div w:id="450586649">
      <w:bodyDiv w:val="1"/>
      <w:marLeft w:val="0"/>
      <w:marRight w:val="0"/>
      <w:marTop w:val="0"/>
      <w:marBottom w:val="0"/>
      <w:divBdr>
        <w:top w:val="none" w:sz="0" w:space="0" w:color="auto"/>
        <w:left w:val="none" w:sz="0" w:space="0" w:color="auto"/>
        <w:bottom w:val="none" w:sz="0" w:space="0" w:color="auto"/>
        <w:right w:val="none" w:sz="0" w:space="0" w:color="auto"/>
      </w:divBdr>
    </w:div>
    <w:div w:id="450784308">
      <w:bodyDiv w:val="1"/>
      <w:marLeft w:val="0"/>
      <w:marRight w:val="0"/>
      <w:marTop w:val="0"/>
      <w:marBottom w:val="0"/>
      <w:divBdr>
        <w:top w:val="none" w:sz="0" w:space="0" w:color="auto"/>
        <w:left w:val="none" w:sz="0" w:space="0" w:color="auto"/>
        <w:bottom w:val="none" w:sz="0" w:space="0" w:color="auto"/>
        <w:right w:val="none" w:sz="0" w:space="0" w:color="auto"/>
      </w:divBdr>
    </w:div>
    <w:div w:id="450788366">
      <w:bodyDiv w:val="1"/>
      <w:marLeft w:val="0"/>
      <w:marRight w:val="0"/>
      <w:marTop w:val="0"/>
      <w:marBottom w:val="0"/>
      <w:divBdr>
        <w:top w:val="none" w:sz="0" w:space="0" w:color="auto"/>
        <w:left w:val="none" w:sz="0" w:space="0" w:color="auto"/>
        <w:bottom w:val="none" w:sz="0" w:space="0" w:color="auto"/>
        <w:right w:val="none" w:sz="0" w:space="0" w:color="auto"/>
      </w:divBdr>
    </w:div>
    <w:div w:id="450823790">
      <w:bodyDiv w:val="1"/>
      <w:marLeft w:val="0"/>
      <w:marRight w:val="0"/>
      <w:marTop w:val="0"/>
      <w:marBottom w:val="0"/>
      <w:divBdr>
        <w:top w:val="none" w:sz="0" w:space="0" w:color="auto"/>
        <w:left w:val="none" w:sz="0" w:space="0" w:color="auto"/>
        <w:bottom w:val="none" w:sz="0" w:space="0" w:color="auto"/>
        <w:right w:val="none" w:sz="0" w:space="0" w:color="auto"/>
      </w:divBdr>
    </w:div>
    <w:div w:id="450830895">
      <w:bodyDiv w:val="1"/>
      <w:marLeft w:val="0"/>
      <w:marRight w:val="0"/>
      <w:marTop w:val="0"/>
      <w:marBottom w:val="0"/>
      <w:divBdr>
        <w:top w:val="none" w:sz="0" w:space="0" w:color="auto"/>
        <w:left w:val="none" w:sz="0" w:space="0" w:color="auto"/>
        <w:bottom w:val="none" w:sz="0" w:space="0" w:color="auto"/>
        <w:right w:val="none" w:sz="0" w:space="0" w:color="auto"/>
      </w:divBdr>
    </w:div>
    <w:div w:id="450980960">
      <w:bodyDiv w:val="1"/>
      <w:marLeft w:val="0"/>
      <w:marRight w:val="0"/>
      <w:marTop w:val="0"/>
      <w:marBottom w:val="0"/>
      <w:divBdr>
        <w:top w:val="none" w:sz="0" w:space="0" w:color="auto"/>
        <w:left w:val="none" w:sz="0" w:space="0" w:color="auto"/>
        <w:bottom w:val="none" w:sz="0" w:space="0" w:color="auto"/>
        <w:right w:val="none" w:sz="0" w:space="0" w:color="auto"/>
      </w:divBdr>
    </w:div>
    <w:div w:id="451022785">
      <w:bodyDiv w:val="1"/>
      <w:marLeft w:val="0"/>
      <w:marRight w:val="0"/>
      <w:marTop w:val="0"/>
      <w:marBottom w:val="0"/>
      <w:divBdr>
        <w:top w:val="none" w:sz="0" w:space="0" w:color="auto"/>
        <w:left w:val="none" w:sz="0" w:space="0" w:color="auto"/>
        <w:bottom w:val="none" w:sz="0" w:space="0" w:color="auto"/>
        <w:right w:val="none" w:sz="0" w:space="0" w:color="auto"/>
      </w:divBdr>
    </w:div>
    <w:div w:id="451173750">
      <w:bodyDiv w:val="1"/>
      <w:marLeft w:val="0"/>
      <w:marRight w:val="0"/>
      <w:marTop w:val="0"/>
      <w:marBottom w:val="0"/>
      <w:divBdr>
        <w:top w:val="none" w:sz="0" w:space="0" w:color="auto"/>
        <w:left w:val="none" w:sz="0" w:space="0" w:color="auto"/>
        <w:bottom w:val="none" w:sz="0" w:space="0" w:color="auto"/>
        <w:right w:val="none" w:sz="0" w:space="0" w:color="auto"/>
      </w:divBdr>
    </w:div>
    <w:div w:id="451286784">
      <w:bodyDiv w:val="1"/>
      <w:marLeft w:val="0"/>
      <w:marRight w:val="0"/>
      <w:marTop w:val="0"/>
      <w:marBottom w:val="0"/>
      <w:divBdr>
        <w:top w:val="none" w:sz="0" w:space="0" w:color="auto"/>
        <w:left w:val="none" w:sz="0" w:space="0" w:color="auto"/>
        <w:bottom w:val="none" w:sz="0" w:space="0" w:color="auto"/>
        <w:right w:val="none" w:sz="0" w:space="0" w:color="auto"/>
      </w:divBdr>
    </w:div>
    <w:div w:id="451287135">
      <w:bodyDiv w:val="1"/>
      <w:marLeft w:val="0"/>
      <w:marRight w:val="0"/>
      <w:marTop w:val="0"/>
      <w:marBottom w:val="0"/>
      <w:divBdr>
        <w:top w:val="none" w:sz="0" w:space="0" w:color="auto"/>
        <w:left w:val="none" w:sz="0" w:space="0" w:color="auto"/>
        <w:bottom w:val="none" w:sz="0" w:space="0" w:color="auto"/>
        <w:right w:val="none" w:sz="0" w:space="0" w:color="auto"/>
      </w:divBdr>
    </w:div>
    <w:div w:id="451361749">
      <w:bodyDiv w:val="1"/>
      <w:marLeft w:val="0"/>
      <w:marRight w:val="0"/>
      <w:marTop w:val="0"/>
      <w:marBottom w:val="0"/>
      <w:divBdr>
        <w:top w:val="none" w:sz="0" w:space="0" w:color="auto"/>
        <w:left w:val="none" w:sz="0" w:space="0" w:color="auto"/>
        <w:bottom w:val="none" w:sz="0" w:space="0" w:color="auto"/>
        <w:right w:val="none" w:sz="0" w:space="0" w:color="auto"/>
      </w:divBdr>
    </w:div>
    <w:div w:id="451628815">
      <w:bodyDiv w:val="1"/>
      <w:marLeft w:val="0"/>
      <w:marRight w:val="0"/>
      <w:marTop w:val="0"/>
      <w:marBottom w:val="0"/>
      <w:divBdr>
        <w:top w:val="none" w:sz="0" w:space="0" w:color="auto"/>
        <w:left w:val="none" w:sz="0" w:space="0" w:color="auto"/>
        <w:bottom w:val="none" w:sz="0" w:space="0" w:color="auto"/>
        <w:right w:val="none" w:sz="0" w:space="0" w:color="auto"/>
      </w:divBdr>
    </w:div>
    <w:div w:id="451630502">
      <w:bodyDiv w:val="1"/>
      <w:marLeft w:val="0"/>
      <w:marRight w:val="0"/>
      <w:marTop w:val="0"/>
      <w:marBottom w:val="0"/>
      <w:divBdr>
        <w:top w:val="none" w:sz="0" w:space="0" w:color="auto"/>
        <w:left w:val="none" w:sz="0" w:space="0" w:color="auto"/>
        <w:bottom w:val="none" w:sz="0" w:space="0" w:color="auto"/>
        <w:right w:val="none" w:sz="0" w:space="0" w:color="auto"/>
      </w:divBdr>
    </w:div>
    <w:div w:id="451750526">
      <w:bodyDiv w:val="1"/>
      <w:marLeft w:val="0"/>
      <w:marRight w:val="0"/>
      <w:marTop w:val="0"/>
      <w:marBottom w:val="0"/>
      <w:divBdr>
        <w:top w:val="none" w:sz="0" w:space="0" w:color="auto"/>
        <w:left w:val="none" w:sz="0" w:space="0" w:color="auto"/>
        <w:bottom w:val="none" w:sz="0" w:space="0" w:color="auto"/>
        <w:right w:val="none" w:sz="0" w:space="0" w:color="auto"/>
      </w:divBdr>
    </w:div>
    <w:div w:id="451821862">
      <w:bodyDiv w:val="1"/>
      <w:marLeft w:val="0"/>
      <w:marRight w:val="0"/>
      <w:marTop w:val="0"/>
      <w:marBottom w:val="0"/>
      <w:divBdr>
        <w:top w:val="none" w:sz="0" w:space="0" w:color="auto"/>
        <w:left w:val="none" w:sz="0" w:space="0" w:color="auto"/>
        <w:bottom w:val="none" w:sz="0" w:space="0" w:color="auto"/>
        <w:right w:val="none" w:sz="0" w:space="0" w:color="auto"/>
      </w:divBdr>
    </w:div>
    <w:div w:id="451828027">
      <w:bodyDiv w:val="1"/>
      <w:marLeft w:val="0"/>
      <w:marRight w:val="0"/>
      <w:marTop w:val="0"/>
      <w:marBottom w:val="0"/>
      <w:divBdr>
        <w:top w:val="none" w:sz="0" w:space="0" w:color="auto"/>
        <w:left w:val="none" w:sz="0" w:space="0" w:color="auto"/>
        <w:bottom w:val="none" w:sz="0" w:space="0" w:color="auto"/>
        <w:right w:val="none" w:sz="0" w:space="0" w:color="auto"/>
      </w:divBdr>
    </w:div>
    <w:div w:id="451829364">
      <w:bodyDiv w:val="1"/>
      <w:marLeft w:val="0"/>
      <w:marRight w:val="0"/>
      <w:marTop w:val="0"/>
      <w:marBottom w:val="0"/>
      <w:divBdr>
        <w:top w:val="none" w:sz="0" w:space="0" w:color="auto"/>
        <w:left w:val="none" w:sz="0" w:space="0" w:color="auto"/>
        <w:bottom w:val="none" w:sz="0" w:space="0" w:color="auto"/>
        <w:right w:val="none" w:sz="0" w:space="0" w:color="auto"/>
      </w:divBdr>
    </w:div>
    <w:div w:id="452097108">
      <w:bodyDiv w:val="1"/>
      <w:marLeft w:val="0"/>
      <w:marRight w:val="0"/>
      <w:marTop w:val="0"/>
      <w:marBottom w:val="0"/>
      <w:divBdr>
        <w:top w:val="none" w:sz="0" w:space="0" w:color="auto"/>
        <w:left w:val="none" w:sz="0" w:space="0" w:color="auto"/>
        <w:bottom w:val="none" w:sz="0" w:space="0" w:color="auto"/>
        <w:right w:val="none" w:sz="0" w:space="0" w:color="auto"/>
      </w:divBdr>
    </w:div>
    <w:div w:id="452136801">
      <w:bodyDiv w:val="1"/>
      <w:marLeft w:val="0"/>
      <w:marRight w:val="0"/>
      <w:marTop w:val="0"/>
      <w:marBottom w:val="0"/>
      <w:divBdr>
        <w:top w:val="none" w:sz="0" w:space="0" w:color="auto"/>
        <w:left w:val="none" w:sz="0" w:space="0" w:color="auto"/>
        <w:bottom w:val="none" w:sz="0" w:space="0" w:color="auto"/>
        <w:right w:val="none" w:sz="0" w:space="0" w:color="auto"/>
      </w:divBdr>
    </w:div>
    <w:div w:id="452139728">
      <w:bodyDiv w:val="1"/>
      <w:marLeft w:val="0"/>
      <w:marRight w:val="0"/>
      <w:marTop w:val="0"/>
      <w:marBottom w:val="0"/>
      <w:divBdr>
        <w:top w:val="none" w:sz="0" w:space="0" w:color="auto"/>
        <w:left w:val="none" w:sz="0" w:space="0" w:color="auto"/>
        <w:bottom w:val="none" w:sz="0" w:space="0" w:color="auto"/>
        <w:right w:val="none" w:sz="0" w:space="0" w:color="auto"/>
      </w:divBdr>
    </w:div>
    <w:div w:id="452214787">
      <w:bodyDiv w:val="1"/>
      <w:marLeft w:val="0"/>
      <w:marRight w:val="0"/>
      <w:marTop w:val="0"/>
      <w:marBottom w:val="0"/>
      <w:divBdr>
        <w:top w:val="none" w:sz="0" w:space="0" w:color="auto"/>
        <w:left w:val="none" w:sz="0" w:space="0" w:color="auto"/>
        <w:bottom w:val="none" w:sz="0" w:space="0" w:color="auto"/>
        <w:right w:val="none" w:sz="0" w:space="0" w:color="auto"/>
      </w:divBdr>
    </w:div>
    <w:div w:id="452289021">
      <w:bodyDiv w:val="1"/>
      <w:marLeft w:val="0"/>
      <w:marRight w:val="0"/>
      <w:marTop w:val="0"/>
      <w:marBottom w:val="0"/>
      <w:divBdr>
        <w:top w:val="none" w:sz="0" w:space="0" w:color="auto"/>
        <w:left w:val="none" w:sz="0" w:space="0" w:color="auto"/>
        <w:bottom w:val="none" w:sz="0" w:space="0" w:color="auto"/>
        <w:right w:val="none" w:sz="0" w:space="0" w:color="auto"/>
      </w:divBdr>
    </w:div>
    <w:div w:id="452483013">
      <w:bodyDiv w:val="1"/>
      <w:marLeft w:val="0"/>
      <w:marRight w:val="0"/>
      <w:marTop w:val="0"/>
      <w:marBottom w:val="0"/>
      <w:divBdr>
        <w:top w:val="none" w:sz="0" w:space="0" w:color="auto"/>
        <w:left w:val="none" w:sz="0" w:space="0" w:color="auto"/>
        <w:bottom w:val="none" w:sz="0" w:space="0" w:color="auto"/>
        <w:right w:val="none" w:sz="0" w:space="0" w:color="auto"/>
      </w:divBdr>
    </w:div>
    <w:div w:id="452526517">
      <w:bodyDiv w:val="1"/>
      <w:marLeft w:val="0"/>
      <w:marRight w:val="0"/>
      <w:marTop w:val="0"/>
      <w:marBottom w:val="0"/>
      <w:divBdr>
        <w:top w:val="none" w:sz="0" w:space="0" w:color="auto"/>
        <w:left w:val="none" w:sz="0" w:space="0" w:color="auto"/>
        <w:bottom w:val="none" w:sz="0" w:space="0" w:color="auto"/>
        <w:right w:val="none" w:sz="0" w:space="0" w:color="auto"/>
      </w:divBdr>
    </w:div>
    <w:div w:id="452555952">
      <w:bodyDiv w:val="1"/>
      <w:marLeft w:val="0"/>
      <w:marRight w:val="0"/>
      <w:marTop w:val="0"/>
      <w:marBottom w:val="0"/>
      <w:divBdr>
        <w:top w:val="none" w:sz="0" w:space="0" w:color="auto"/>
        <w:left w:val="none" w:sz="0" w:space="0" w:color="auto"/>
        <w:bottom w:val="none" w:sz="0" w:space="0" w:color="auto"/>
        <w:right w:val="none" w:sz="0" w:space="0" w:color="auto"/>
      </w:divBdr>
    </w:div>
    <w:div w:id="452599395">
      <w:bodyDiv w:val="1"/>
      <w:marLeft w:val="0"/>
      <w:marRight w:val="0"/>
      <w:marTop w:val="0"/>
      <w:marBottom w:val="0"/>
      <w:divBdr>
        <w:top w:val="none" w:sz="0" w:space="0" w:color="auto"/>
        <w:left w:val="none" w:sz="0" w:space="0" w:color="auto"/>
        <w:bottom w:val="none" w:sz="0" w:space="0" w:color="auto"/>
        <w:right w:val="none" w:sz="0" w:space="0" w:color="auto"/>
      </w:divBdr>
    </w:div>
    <w:div w:id="452601148">
      <w:bodyDiv w:val="1"/>
      <w:marLeft w:val="0"/>
      <w:marRight w:val="0"/>
      <w:marTop w:val="0"/>
      <w:marBottom w:val="0"/>
      <w:divBdr>
        <w:top w:val="none" w:sz="0" w:space="0" w:color="auto"/>
        <w:left w:val="none" w:sz="0" w:space="0" w:color="auto"/>
        <w:bottom w:val="none" w:sz="0" w:space="0" w:color="auto"/>
        <w:right w:val="none" w:sz="0" w:space="0" w:color="auto"/>
      </w:divBdr>
    </w:div>
    <w:div w:id="452603633">
      <w:bodyDiv w:val="1"/>
      <w:marLeft w:val="0"/>
      <w:marRight w:val="0"/>
      <w:marTop w:val="0"/>
      <w:marBottom w:val="0"/>
      <w:divBdr>
        <w:top w:val="none" w:sz="0" w:space="0" w:color="auto"/>
        <w:left w:val="none" w:sz="0" w:space="0" w:color="auto"/>
        <w:bottom w:val="none" w:sz="0" w:space="0" w:color="auto"/>
        <w:right w:val="none" w:sz="0" w:space="0" w:color="auto"/>
      </w:divBdr>
    </w:div>
    <w:div w:id="452677169">
      <w:bodyDiv w:val="1"/>
      <w:marLeft w:val="0"/>
      <w:marRight w:val="0"/>
      <w:marTop w:val="0"/>
      <w:marBottom w:val="0"/>
      <w:divBdr>
        <w:top w:val="none" w:sz="0" w:space="0" w:color="auto"/>
        <w:left w:val="none" w:sz="0" w:space="0" w:color="auto"/>
        <w:bottom w:val="none" w:sz="0" w:space="0" w:color="auto"/>
        <w:right w:val="none" w:sz="0" w:space="0" w:color="auto"/>
      </w:divBdr>
    </w:div>
    <w:div w:id="452871778">
      <w:bodyDiv w:val="1"/>
      <w:marLeft w:val="0"/>
      <w:marRight w:val="0"/>
      <w:marTop w:val="0"/>
      <w:marBottom w:val="0"/>
      <w:divBdr>
        <w:top w:val="none" w:sz="0" w:space="0" w:color="auto"/>
        <w:left w:val="none" w:sz="0" w:space="0" w:color="auto"/>
        <w:bottom w:val="none" w:sz="0" w:space="0" w:color="auto"/>
        <w:right w:val="none" w:sz="0" w:space="0" w:color="auto"/>
      </w:divBdr>
    </w:div>
    <w:div w:id="452941979">
      <w:bodyDiv w:val="1"/>
      <w:marLeft w:val="0"/>
      <w:marRight w:val="0"/>
      <w:marTop w:val="0"/>
      <w:marBottom w:val="0"/>
      <w:divBdr>
        <w:top w:val="none" w:sz="0" w:space="0" w:color="auto"/>
        <w:left w:val="none" w:sz="0" w:space="0" w:color="auto"/>
        <w:bottom w:val="none" w:sz="0" w:space="0" w:color="auto"/>
        <w:right w:val="none" w:sz="0" w:space="0" w:color="auto"/>
      </w:divBdr>
    </w:div>
    <w:div w:id="453016192">
      <w:bodyDiv w:val="1"/>
      <w:marLeft w:val="0"/>
      <w:marRight w:val="0"/>
      <w:marTop w:val="0"/>
      <w:marBottom w:val="0"/>
      <w:divBdr>
        <w:top w:val="none" w:sz="0" w:space="0" w:color="auto"/>
        <w:left w:val="none" w:sz="0" w:space="0" w:color="auto"/>
        <w:bottom w:val="none" w:sz="0" w:space="0" w:color="auto"/>
        <w:right w:val="none" w:sz="0" w:space="0" w:color="auto"/>
      </w:divBdr>
    </w:div>
    <w:div w:id="453016446">
      <w:bodyDiv w:val="1"/>
      <w:marLeft w:val="0"/>
      <w:marRight w:val="0"/>
      <w:marTop w:val="0"/>
      <w:marBottom w:val="0"/>
      <w:divBdr>
        <w:top w:val="none" w:sz="0" w:space="0" w:color="auto"/>
        <w:left w:val="none" w:sz="0" w:space="0" w:color="auto"/>
        <w:bottom w:val="none" w:sz="0" w:space="0" w:color="auto"/>
        <w:right w:val="none" w:sz="0" w:space="0" w:color="auto"/>
      </w:divBdr>
    </w:div>
    <w:div w:id="453058034">
      <w:bodyDiv w:val="1"/>
      <w:marLeft w:val="0"/>
      <w:marRight w:val="0"/>
      <w:marTop w:val="0"/>
      <w:marBottom w:val="0"/>
      <w:divBdr>
        <w:top w:val="none" w:sz="0" w:space="0" w:color="auto"/>
        <w:left w:val="none" w:sz="0" w:space="0" w:color="auto"/>
        <w:bottom w:val="none" w:sz="0" w:space="0" w:color="auto"/>
        <w:right w:val="none" w:sz="0" w:space="0" w:color="auto"/>
      </w:divBdr>
    </w:div>
    <w:div w:id="453058780">
      <w:bodyDiv w:val="1"/>
      <w:marLeft w:val="0"/>
      <w:marRight w:val="0"/>
      <w:marTop w:val="0"/>
      <w:marBottom w:val="0"/>
      <w:divBdr>
        <w:top w:val="none" w:sz="0" w:space="0" w:color="auto"/>
        <w:left w:val="none" w:sz="0" w:space="0" w:color="auto"/>
        <w:bottom w:val="none" w:sz="0" w:space="0" w:color="auto"/>
        <w:right w:val="none" w:sz="0" w:space="0" w:color="auto"/>
      </w:divBdr>
    </w:div>
    <w:div w:id="453059237">
      <w:bodyDiv w:val="1"/>
      <w:marLeft w:val="0"/>
      <w:marRight w:val="0"/>
      <w:marTop w:val="0"/>
      <w:marBottom w:val="0"/>
      <w:divBdr>
        <w:top w:val="none" w:sz="0" w:space="0" w:color="auto"/>
        <w:left w:val="none" w:sz="0" w:space="0" w:color="auto"/>
        <w:bottom w:val="none" w:sz="0" w:space="0" w:color="auto"/>
        <w:right w:val="none" w:sz="0" w:space="0" w:color="auto"/>
      </w:divBdr>
    </w:div>
    <w:div w:id="453064010">
      <w:bodyDiv w:val="1"/>
      <w:marLeft w:val="0"/>
      <w:marRight w:val="0"/>
      <w:marTop w:val="0"/>
      <w:marBottom w:val="0"/>
      <w:divBdr>
        <w:top w:val="none" w:sz="0" w:space="0" w:color="auto"/>
        <w:left w:val="none" w:sz="0" w:space="0" w:color="auto"/>
        <w:bottom w:val="none" w:sz="0" w:space="0" w:color="auto"/>
        <w:right w:val="none" w:sz="0" w:space="0" w:color="auto"/>
      </w:divBdr>
    </w:div>
    <w:div w:id="453141037">
      <w:bodyDiv w:val="1"/>
      <w:marLeft w:val="0"/>
      <w:marRight w:val="0"/>
      <w:marTop w:val="0"/>
      <w:marBottom w:val="0"/>
      <w:divBdr>
        <w:top w:val="none" w:sz="0" w:space="0" w:color="auto"/>
        <w:left w:val="none" w:sz="0" w:space="0" w:color="auto"/>
        <w:bottom w:val="none" w:sz="0" w:space="0" w:color="auto"/>
        <w:right w:val="none" w:sz="0" w:space="0" w:color="auto"/>
      </w:divBdr>
    </w:div>
    <w:div w:id="453183624">
      <w:bodyDiv w:val="1"/>
      <w:marLeft w:val="0"/>
      <w:marRight w:val="0"/>
      <w:marTop w:val="0"/>
      <w:marBottom w:val="0"/>
      <w:divBdr>
        <w:top w:val="none" w:sz="0" w:space="0" w:color="auto"/>
        <w:left w:val="none" w:sz="0" w:space="0" w:color="auto"/>
        <w:bottom w:val="none" w:sz="0" w:space="0" w:color="auto"/>
        <w:right w:val="none" w:sz="0" w:space="0" w:color="auto"/>
      </w:divBdr>
    </w:div>
    <w:div w:id="453257466">
      <w:bodyDiv w:val="1"/>
      <w:marLeft w:val="0"/>
      <w:marRight w:val="0"/>
      <w:marTop w:val="0"/>
      <w:marBottom w:val="0"/>
      <w:divBdr>
        <w:top w:val="none" w:sz="0" w:space="0" w:color="auto"/>
        <w:left w:val="none" w:sz="0" w:space="0" w:color="auto"/>
        <w:bottom w:val="none" w:sz="0" w:space="0" w:color="auto"/>
        <w:right w:val="none" w:sz="0" w:space="0" w:color="auto"/>
      </w:divBdr>
    </w:div>
    <w:div w:id="453410318">
      <w:bodyDiv w:val="1"/>
      <w:marLeft w:val="0"/>
      <w:marRight w:val="0"/>
      <w:marTop w:val="0"/>
      <w:marBottom w:val="0"/>
      <w:divBdr>
        <w:top w:val="none" w:sz="0" w:space="0" w:color="auto"/>
        <w:left w:val="none" w:sz="0" w:space="0" w:color="auto"/>
        <w:bottom w:val="none" w:sz="0" w:space="0" w:color="auto"/>
        <w:right w:val="none" w:sz="0" w:space="0" w:color="auto"/>
      </w:divBdr>
    </w:div>
    <w:div w:id="453603518">
      <w:bodyDiv w:val="1"/>
      <w:marLeft w:val="0"/>
      <w:marRight w:val="0"/>
      <w:marTop w:val="0"/>
      <w:marBottom w:val="0"/>
      <w:divBdr>
        <w:top w:val="none" w:sz="0" w:space="0" w:color="auto"/>
        <w:left w:val="none" w:sz="0" w:space="0" w:color="auto"/>
        <w:bottom w:val="none" w:sz="0" w:space="0" w:color="auto"/>
        <w:right w:val="none" w:sz="0" w:space="0" w:color="auto"/>
      </w:divBdr>
    </w:div>
    <w:div w:id="453720362">
      <w:bodyDiv w:val="1"/>
      <w:marLeft w:val="0"/>
      <w:marRight w:val="0"/>
      <w:marTop w:val="0"/>
      <w:marBottom w:val="0"/>
      <w:divBdr>
        <w:top w:val="none" w:sz="0" w:space="0" w:color="auto"/>
        <w:left w:val="none" w:sz="0" w:space="0" w:color="auto"/>
        <w:bottom w:val="none" w:sz="0" w:space="0" w:color="auto"/>
        <w:right w:val="none" w:sz="0" w:space="0" w:color="auto"/>
      </w:divBdr>
    </w:div>
    <w:div w:id="453795840">
      <w:bodyDiv w:val="1"/>
      <w:marLeft w:val="0"/>
      <w:marRight w:val="0"/>
      <w:marTop w:val="0"/>
      <w:marBottom w:val="0"/>
      <w:divBdr>
        <w:top w:val="none" w:sz="0" w:space="0" w:color="auto"/>
        <w:left w:val="none" w:sz="0" w:space="0" w:color="auto"/>
        <w:bottom w:val="none" w:sz="0" w:space="0" w:color="auto"/>
        <w:right w:val="none" w:sz="0" w:space="0" w:color="auto"/>
      </w:divBdr>
    </w:div>
    <w:div w:id="453912666">
      <w:bodyDiv w:val="1"/>
      <w:marLeft w:val="0"/>
      <w:marRight w:val="0"/>
      <w:marTop w:val="0"/>
      <w:marBottom w:val="0"/>
      <w:divBdr>
        <w:top w:val="none" w:sz="0" w:space="0" w:color="auto"/>
        <w:left w:val="none" w:sz="0" w:space="0" w:color="auto"/>
        <w:bottom w:val="none" w:sz="0" w:space="0" w:color="auto"/>
        <w:right w:val="none" w:sz="0" w:space="0" w:color="auto"/>
      </w:divBdr>
    </w:div>
    <w:div w:id="454177297">
      <w:bodyDiv w:val="1"/>
      <w:marLeft w:val="0"/>
      <w:marRight w:val="0"/>
      <w:marTop w:val="0"/>
      <w:marBottom w:val="0"/>
      <w:divBdr>
        <w:top w:val="none" w:sz="0" w:space="0" w:color="auto"/>
        <w:left w:val="none" w:sz="0" w:space="0" w:color="auto"/>
        <w:bottom w:val="none" w:sz="0" w:space="0" w:color="auto"/>
        <w:right w:val="none" w:sz="0" w:space="0" w:color="auto"/>
      </w:divBdr>
    </w:div>
    <w:div w:id="454179791">
      <w:bodyDiv w:val="1"/>
      <w:marLeft w:val="0"/>
      <w:marRight w:val="0"/>
      <w:marTop w:val="0"/>
      <w:marBottom w:val="0"/>
      <w:divBdr>
        <w:top w:val="none" w:sz="0" w:space="0" w:color="auto"/>
        <w:left w:val="none" w:sz="0" w:space="0" w:color="auto"/>
        <w:bottom w:val="none" w:sz="0" w:space="0" w:color="auto"/>
        <w:right w:val="none" w:sz="0" w:space="0" w:color="auto"/>
      </w:divBdr>
    </w:div>
    <w:div w:id="454253198">
      <w:bodyDiv w:val="1"/>
      <w:marLeft w:val="0"/>
      <w:marRight w:val="0"/>
      <w:marTop w:val="0"/>
      <w:marBottom w:val="0"/>
      <w:divBdr>
        <w:top w:val="none" w:sz="0" w:space="0" w:color="auto"/>
        <w:left w:val="none" w:sz="0" w:space="0" w:color="auto"/>
        <w:bottom w:val="none" w:sz="0" w:space="0" w:color="auto"/>
        <w:right w:val="none" w:sz="0" w:space="0" w:color="auto"/>
      </w:divBdr>
    </w:div>
    <w:div w:id="454297151">
      <w:bodyDiv w:val="1"/>
      <w:marLeft w:val="0"/>
      <w:marRight w:val="0"/>
      <w:marTop w:val="0"/>
      <w:marBottom w:val="0"/>
      <w:divBdr>
        <w:top w:val="none" w:sz="0" w:space="0" w:color="auto"/>
        <w:left w:val="none" w:sz="0" w:space="0" w:color="auto"/>
        <w:bottom w:val="none" w:sz="0" w:space="0" w:color="auto"/>
        <w:right w:val="none" w:sz="0" w:space="0" w:color="auto"/>
      </w:divBdr>
    </w:div>
    <w:div w:id="454327157">
      <w:bodyDiv w:val="1"/>
      <w:marLeft w:val="0"/>
      <w:marRight w:val="0"/>
      <w:marTop w:val="0"/>
      <w:marBottom w:val="0"/>
      <w:divBdr>
        <w:top w:val="none" w:sz="0" w:space="0" w:color="auto"/>
        <w:left w:val="none" w:sz="0" w:space="0" w:color="auto"/>
        <w:bottom w:val="none" w:sz="0" w:space="0" w:color="auto"/>
        <w:right w:val="none" w:sz="0" w:space="0" w:color="auto"/>
      </w:divBdr>
    </w:div>
    <w:div w:id="454327955">
      <w:bodyDiv w:val="1"/>
      <w:marLeft w:val="0"/>
      <w:marRight w:val="0"/>
      <w:marTop w:val="0"/>
      <w:marBottom w:val="0"/>
      <w:divBdr>
        <w:top w:val="none" w:sz="0" w:space="0" w:color="auto"/>
        <w:left w:val="none" w:sz="0" w:space="0" w:color="auto"/>
        <w:bottom w:val="none" w:sz="0" w:space="0" w:color="auto"/>
        <w:right w:val="none" w:sz="0" w:space="0" w:color="auto"/>
      </w:divBdr>
    </w:div>
    <w:div w:id="454328218">
      <w:bodyDiv w:val="1"/>
      <w:marLeft w:val="0"/>
      <w:marRight w:val="0"/>
      <w:marTop w:val="0"/>
      <w:marBottom w:val="0"/>
      <w:divBdr>
        <w:top w:val="none" w:sz="0" w:space="0" w:color="auto"/>
        <w:left w:val="none" w:sz="0" w:space="0" w:color="auto"/>
        <w:bottom w:val="none" w:sz="0" w:space="0" w:color="auto"/>
        <w:right w:val="none" w:sz="0" w:space="0" w:color="auto"/>
      </w:divBdr>
    </w:div>
    <w:div w:id="454448207">
      <w:bodyDiv w:val="1"/>
      <w:marLeft w:val="0"/>
      <w:marRight w:val="0"/>
      <w:marTop w:val="0"/>
      <w:marBottom w:val="0"/>
      <w:divBdr>
        <w:top w:val="none" w:sz="0" w:space="0" w:color="auto"/>
        <w:left w:val="none" w:sz="0" w:space="0" w:color="auto"/>
        <w:bottom w:val="none" w:sz="0" w:space="0" w:color="auto"/>
        <w:right w:val="none" w:sz="0" w:space="0" w:color="auto"/>
      </w:divBdr>
    </w:div>
    <w:div w:id="454451077">
      <w:bodyDiv w:val="1"/>
      <w:marLeft w:val="0"/>
      <w:marRight w:val="0"/>
      <w:marTop w:val="0"/>
      <w:marBottom w:val="0"/>
      <w:divBdr>
        <w:top w:val="none" w:sz="0" w:space="0" w:color="auto"/>
        <w:left w:val="none" w:sz="0" w:space="0" w:color="auto"/>
        <w:bottom w:val="none" w:sz="0" w:space="0" w:color="auto"/>
        <w:right w:val="none" w:sz="0" w:space="0" w:color="auto"/>
      </w:divBdr>
    </w:div>
    <w:div w:id="454563420">
      <w:bodyDiv w:val="1"/>
      <w:marLeft w:val="0"/>
      <w:marRight w:val="0"/>
      <w:marTop w:val="0"/>
      <w:marBottom w:val="0"/>
      <w:divBdr>
        <w:top w:val="none" w:sz="0" w:space="0" w:color="auto"/>
        <w:left w:val="none" w:sz="0" w:space="0" w:color="auto"/>
        <w:bottom w:val="none" w:sz="0" w:space="0" w:color="auto"/>
        <w:right w:val="none" w:sz="0" w:space="0" w:color="auto"/>
      </w:divBdr>
    </w:div>
    <w:div w:id="454760197">
      <w:bodyDiv w:val="1"/>
      <w:marLeft w:val="0"/>
      <w:marRight w:val="0"/>
      <w:marTop w:val="0"/>
      <w:marBottom w:val="0"/>
      <w:divBdr>
        <w:top w:val="none" w:sz="0" w:space="0" w:color="auto"/>
        <w:left w:val="none" w:sz="0" w:space="0" w:color="auto"/>
        <w:bottom w:val="none" w:sz="0" w:space="0" w:color="auto"/>
        <w:right w:val="none" w:sz="0" w:space="0" w:color="auto"/>
      </w:divBdr>
    </w:div>
    <w:div w:id="454951713">
      <w:bodyDiv w:val="1"/>
      <w:marLeft w:val="0"/>
      <w:marRight w:val="0"/>
      <w:marTop w:val="0"/>
      <w:marBottom w:val="0"/>
      <w:divBdr>
        <w:top w:val="none" w:sz="0" w:space="0" w:color="auto"/>
        <w:left w:val="none" w:sz="0" w:space="0" w:color="auto"/>
        <w:bottom w:val="none" w:sz="0" w:space="0" w:color="auto"/>
        <w:right w:val="none" w:sz="0" w:space="0" w:color="auto"/>
      </w:divBdr>
    </w:div>
    <w:div w:id="454952080">
      <w:bodyDiv w:val="1"/>
      <w:marLeft w:val="0"/>
      <w:marRight w:val="0"/>
      <w:marTop w:val="0"/>
      <w:marBottom w:val="0"/>
      <w:divBdr>
        <w:top w:val="none" w:sz="0" w:space="0" w:color="auto"/>
        <w:left w:val="none" w:sz="0" w:space="0" w:color="auto"/>
        <w:bottom w:val="none" w:sz="0" w:space="0" w:color="auto"/>
        <w:right w:val="none" w:sz="0" w:space="0" w:color="auto"/>
      </w:divBdr>
    </w:div>
    <w:div w:id="454953116">
      <w:bodyDiv w:val="1"/>
      <w:marLeft w:val="0"/>
      <w:marRight w:val="0"/>
      <w:marTop w:val="0"/>
      <w:marBottom w:val="0"/>
      <w:divBdr>
        <w:top w:val="none" w:sz="0" w:space="0" w:color="auto"/>
        <w:left w:val="none" w:sz="0" w:space="0" w:color="auto"/>
        <w:bottom w:val="none" w:sz="0" w:space="0" w:color="auto"/>
        <w:right w:val="none" w:sz="0" w:space="0" w:color="auto"/>
      </w:divBdr>
    </w:div>
    <w:div w:id="455101376">
      <w:bodyDiv w:val="1"/>
      <w:marLeft w:val="0"/>
      <w:marRight w:val="0"/>
      <w:marTop w:val="0"/>
      <w:marBottom w:val="0"/>
      <w:divBdr>
        <w:top w:val="none" w:sz="0" w:space="0" w:color="auto"/>
        <w:left w:val="none" w:sz="0" w:space="0" w:color="auto"/>
        <w:bottom w:val="none" w:sz="0" w:space="0" w:color="auto"/>
        <w:right w:val="none" w:sz="0" w:space="0" w:color="auto"/>
      </w:divBdr>
    </w:div>
    <w:div w:id="455220008">
      <w:bodyDiv w:val="1"/>
      <w:marLeft w:val="0"/>
      <w:marRight w:val="0"/>
      <w:marTop w:val="0"/>
      <w:marBottom w:val="0"/>
      <w:divBdr>
        <w:top w:val="none" w:sz="0" w:space="0" w:color="auto"/>
        <w:left w:val="none" w:sz="0" w:space="0" w:color="auto"/>
        <w:bottom w:val="none" w:sz="0" w:space="0" w:color="auto"/>
        <w:right w:val="none" w:sz="0" w:space="0" w:color="auto"/>
      </w:divBdr>
    </w:div>
    <w:div w:id="455221521">
      <w:bodyDiv w:val="1"/>
      <w:marLeft w:val="0"/>
      <w:marRight w:val="0"/>
      <w:marTop w:val="0"/>
      <w:marBottom w:val="0"/>
      <w:divBdr>
        <w:top w:val="none" w:sz="0" w:space="0" w:color="auto"/>
        <w:left w:val="none" w:sz="0" w:space="0" w:color="auto"/>
        <w:bottom w:val="none" w:sz="0" w:space="0" w:color="auto"/>
        <w:right w:val="none" w:sz="0" w:space="0" w:color="auto"/>
      </w:divBdr>
    </w:div>
    <w:div w:id="455296972">
      <w:bodyDiv w:val="1"/>
      <w:marLeft w:val="0"/>
      <w:marRight w:val="0"/>
      <w:marTop w:val="0"/>
      <w:marBottom w:val="0"/>
      <w:divBdr>
        <w:top w:val="none" w:sz="0" w:space="0" w:color="auto"/>
        <w:left w:val="none" w:sz="0" w:space="0" w:color="auto"/>
        <w:bottom w:val="none" w:sz="0" w:space="0" w:color="auto"/>
        <w:right w:val="none" w:sz="0" w:space="0" w:color="auto"/>
      </w:divBdr>
    </w:div>
    <w:div w:id="455371397">
      <w:bodyDiv w:val="1"/>
      <w:marLeft w:val="0"/>
      <w:marRight w:val="0"/>
      <w:marTop w:val="0"/>
      <w:marBottom w:val="0"/>
      <w:divBdr>
        <w:top w:val="none" w:sz="0" w:space="0" w:color="auto"/>
        <w:left w:val="none" w:sz="0" w:space="0" w:color="auto"/>
        <w:bottom w:val="none" w:sz="0" w:space="0" w:color="auto"/>
        <w:right w:val="none" w:sz="0" w:space="0" w:color="auto"/>
      </w:divBdr>
    </w:div>
    <w:div w:id="455414232">
      <w:bodyDiv w:val="1"/>
      <w:marLeft w:val="0"/>
      <w:marRight w:val="0"/>
      <w:marTop w:val="0"/>
      <w:marBottom w:val="0"/>
      <w:divBdr>
        <w:top w:val="none" w:sz="0" w:space="0" w:color="auto"/>
        <w:left w:val="none" w:sz="0" w:space="0" w:color="auto"/>
        <w:bottom w:val="none" w:sz="0" w:space="0" w:color="auto"/>
        <w:right w:val="none" w:sz="0" w:space="0" w:color="auto"/>
      </w:divBdr>
    </w:div>
    <w:div w:id="455488002">
      <w:bodyDiv w:val="1"/>
      <w:marLeft w:val="0"/>
      <w:marRight w:val="0"/>
      <w:marTop w:val="0"/>
      <w:marBottom w:val="0"/>
      <w:divBdr>
        <w:top w:val="none" w:sz="0" w:space="0" w:color="auto"/>
        <w:left w:val="none" w:sz="0" w:space="0" w:color="auto"/>
        <w:bottom w:val="none" w:sz="0" w:space="0" w:color="auto"/>
        <w:right w:val="none" w:sz="0" w:space="0" w:color="auto"/>
      </w:divBdr>
    </w:div>
    <w:div w:id="455492654">
      <w:bodyDiv w:val="1"/>
      <w:marLeft w:val="0"/>
      <w:marRight w:val="0"/>
      <w:marTop w:val="0"/>
      <w:marBottom w:val="0"/>
      <w:divBdr>
        <w:top w:val="none" w:sz="0" w:space="0" w:color="auto"/>
        <w:left w:val="none" w:sz="0" w:space="0" w:color="auto"/>
        <w:bottom w:val="none" w:sz="0" w:space="0" w:color="auto"/>
        <w:right w:val="none" w:sz="0" w:space="0" w:color="auto"/>
      </w:divBdr>
    </w:div>
    <w:div w:id="455561393">
      <w:bodyDiv w:val="1"/>
      <w:marLeft w:val="0"/>
      <w:marRight w:val="0"/>
      <w:marTop w:val="0"/>
      <w:marBottom w:val="0"/>
      <w:divBdr>
        <w:top w:val="none" w:sz="0" w:space="0" w:color="auto"/>
        <w:left w:val="none" w:sz="0" w:space="0" w:color="auto"/>
        <w:bottom w:val="none" w:sz="0" w:space="0" w:color="auto"/>
        <w:right w:val="none" w:sz="0" w:space="0" w:color="auto"/>
      </w:divBdr>
    </w:div>
    <w:div w:id="455757840">
      <w:bodyDiv w:val="1"/>
      <w:marLeft w:val="0"/>
      <w:marRight w:val="0"/>
      <w:marTop w:val="0"/>
      <w:marBottom w:val="0"/>
      <w:divBdr>
        <w:top w:val="none" w:sz="0" w:space="0" w:color="auto"/>
        <w:left w:val="none" w:sz="0" w:space="0" w:color="auto"/>
        <w:bottom w:val="none" w:sz="0" w:space="0" w:color="auto"/>
        <w:right w:val="none" w:sz="0" w:space="0" w:color="auto"/>
      </w:divBdr>
    </w:div>
    <w:div w:id="455804320">
      <w:bodyDiv w:val="1"/>
      <w:marLeft w:val="0"/>
      <w:marRight w:val="0"/>
      <w:marTop w:val="0"/>
      <w:marBottom w:val="0"/>
      <w:divBdr>
        <w:top w:val="none" w:sz="0" w:space="0" w:color="auto"/>
        <w:left w:val="none" w:sz="0" w:space="0" w:color="auto"/>
        <w:bottom w:val="none" w:sz="0" w:space="0" w:color="auto"/>
        <w:right w:val="none" w:sz="0" w:space="0" w:color="auto"/>
      </w:divBdr>
    </w:div>
    <w:div w:id="455834223">
      <w:bodyDiv w:val="1"/>
      <w:marLeft w:val="0"/>
      <w:marRight w:val="0"/>
      <w:marTop w:val="0"/>
      <w:marBottom w:val="0"/>
      <w:divBdr>
        <w:top w:val="none" w:sz="0" w:space="0" w:color="auto"/>
        <w:left w:val="none" w:sz="0" w:space="0" w:color="auto"/>
        <w:bottom w:val="none" w:sz="0" w:space="0" w:color="auto"/>
        <w:right w:val="none" w:sz="0" w:space="0" w:color="auto"/>
      </w:divBdr>
    </w:div>
    <w:div w:id="455949706">
      <w:bodyDiv w:val="1"/>
      <w:marLeft w:val="0"/>
      <w:marRight w:val="0"/>
      <w:marTop w:val="0"/>
      <w:marBottom w:val="0"/>
      <w:divBdr>
        <w:top w:val="none" w:sz="0" w:space="0" w:color="auto"/>
        <w:left w:val="none" w:sz="0" w:space="0" w:color="auto"/>
        <w:bottom w:val="none" w:sz="0" w:space="0" w:color="auto"/>
        <w:right w:val="none" w:sz="0" w:space="0" w:color="auto"/>
      </w:divBdr>
    </w:div>
    <w:div w:id="456022502">
      <w:bodyDiv w:val="1"/>
      <w:marLeft w:val="0"/>
      <w:marRight w:val="0"/>
      <w:marTop w:val="0"/>
      <w:marBottom w:val="0"/>
      <w:divBdr>
        <w:top w:val="none" w:sz="0" w:space="0" w:color="auto"/>
        <w:left w:val="none" w:sz="0" w:space="0" w:color="auto"/>
        <w:bottom w:val="none" w:sz="0" w:space="0" w:color="auto"/>
        <w:right w:val="none" w:sz="0" w:space="0" w:color="auto"/>
      </w:divBdr>
    </w:div>
    <w:div w:id="456069713">
      <w:bodyDiv w:val="1"/>
      <w:marLeft w:val="0"/>
      <w:marRight w:val="0"/>
      <w:marTop w:val="0"/>
      <w:marBottom w:val="0"/>
      <w:divBdr>
        <w:top w:val="none" w:sz="0" w:space="0" w:color="auto"/>
        <w:left w:val="none" w:sz="0" w:space="0" w:color="auto"/>
        <w:bottom w:val="none" w:sz="0" w:space="0" w:color="auto"/>
        <w:right w:val="none" w:sz="0" w:space="0" w:color="auto"/>
      </w:divBdr>
    </w:div>
    <w:div w:id="456072708">
      <w:bodyDiv w:val="1"/>
      <w:marLeft w:val="0"/>
      <w:marRight w:val="0"/>
      <w:marTop w:val="0"/>
      <w:marBottom w:val="0"/>
      <w:divBdr>
        <w:top w:val="none" w:sz="0" w:space="0" w:color="auto"/>
        <w:left w:val="none" w:sz="0" w:space="0" w:color="auto"/>
        <w:bottom w:val="none" w:sz="0" w:space="0" w:color="auto"/>
        <w:right w:val="none" w:sz="0" w:space="0" w:color="auto"/>
      </w:divBdr>
    </w:div>
    <w:div w:id="456145408">
      <w:bodyDiv w:val="1"/>
      <w:marLeft w:val="0"/>
      <w:marRight w:val="0"/>
      <w:marTop w:val="0"/>
      <w:marBottom w:val="0"/>
      <w:divBdr>
        <w:top w:val="none" w:sz="0" w:space="0" w:color="auto"/>
        <w:left w:val="none" w:sz="0" w:space="0" w:color="auto"/>
        <w:bottom w:val="none" w:sz="0" w:space="0" w:color="auto"/>
        <w:right w:val="none" w:sz="0" w:space="0" w:color="auto"/>
      </w:divBdr>
    </w:div>
    <w:div w:id="456218347">
      <w:bodyDiv w:val="1"/>
      <w:marLeft w:val="0"/>
      <w:marRight w:val="0"/>
      <w:marTop w:val="0"/>
      <w:marBottom w:val="0"/>
      <w:divBdr>
        <w:top w:val="none" w:sz="0" w:space="0" w:color="auto"/>
        <w:left w:val="none" w:sz="0" w:space="0" w:color="auto"/>
        <w:bottom w:val="none" w:sz="0" w:space="0" w:color="auto"/>
        <w:right w:val="none" w:sz="0" w:space="0" w:color="auto"/>
      </w:divBdr>
    </w:div>
    <w:div w:id="456221363">
      <w:bodyDiv w:val="1"/>
      <w:marLeft w:val="0"/>
      <w:marRight w:val="0"/>
      <w:marTop w:val="0"/>
      <w:marBottom w:val="0"/>
      <w:divBdr>
        <w:top w:val="none" w:sz="0" w:space="0" w:color="auto"/>
        <w:left w:val="none" w:sz="0" w:space="0" w:color="auto"/>
        <w:bottom w:val="none" w:sz="0" w:space="0" w:color="auto"/>
        <w:right w:val="none" w:sz="0" w:space="0" w:color="auto"/>
      </w:divBdr>
    </w:div>
    <w:div w:id="456263260">
      <w:bodyDiv w:val="1"/>
      <w:marLeft w:val="0"/>
      <w:marRight w:val="0"/>
      <w:marTop w:val="0"/>
      <w:marBottom w:val="0"/>
      <w:divBdr>
        <w:top w:val="none" w:sz="0" w:space="0" w:color="auto"/>
        <w:left w:val="none" w:sz="0" w:space="0" w:color="auto"/>
        <w:bottom w:val="none" w:sz="0" w:space="0" w:color="auto"/>
        <w:right w:val="none" w:sz="0" w:space="0" w:color="auto"/>
      </w:divBdr>
    </w:div>
    <w:div w:id="456413000">
      <w:bodyDiv w:val="1"/>
      <w:marLeft w:val="0"/>
      <w:marRight w:val="0"/>
      <w:marTop w:val="0"/>
      <w:marBottom w:val="0"/>
      <w:divBdr>
        <w:top w:val="none" w:sz="0" w:space="0" w:color="auto"/>
        <w:left w:val="none" w:sz="0" w:space="0" w:color="auto"/>
        <w:bottom w:val="none" w:sz="0" w:space="0" w:color="auto"/>
        <w:right w:val="none" w:sz="0" w:space="0" w:color="auto"/>
      </w:divBdr>
    </w:div>
    <w:div w:id="456531933">
      <w:bodyDiv w:val="1"/>
      <w:marLeft w:val="0"/>
      <w:marRight w:val="0"/>
      <w:marTop w:val="0"/>
      <w:marBottom w:val="0"/>
      <w:divBdr>
        <w:top w:val="none" w:sz="0" w:space="0" w:color="auto"/>
        <w:left w:val="none" w:sz="0" w:space="0" w:color="auto"/>
        <w:bottom w:val="none" w:sz="0" w:space="0" w:color="auto"/>
        <w:right w:val="none" w:sz="0" w:space="0" w:color="auto"/>
      </w:divBdr>
    </w:div>
    <w:div w:id="456533540">
      <w:bodyDiv w:val="1"/>
      <w:marLeft w:val="0"/>
      <w:marRight w:val="0"/>
      <w:marTop w:val="0"/>
      <w:marBottom w:val="0"/>
      <w:divBdr>
        <w:top w:val="none" w:sz="0" w:space="0" w:color="auto"/>
        <w:left w:val="none" w:sz="0" w:space="0" w:color="auto"/>
        <w:bottom w:val="none" w:sz="0" w:space="0" w:color="auto"/>
        <w:right w:val="none" w:sz="0" w:space="0" w:color="auto"/>
      </w:divBdr>
    </w:div>
    <w:div w:id="456682491">
      <w:bodyDiv w:val="1"/>
      <w:marLeft w:val="0"/>
      <w:marRight w:val="0"/>
      <w:marTop w:val="0"/>
      <w:marBottom w:val="0"/>
      <w:divBdr>
        <w:top w:val="none" w:sz="0" w:space="0" w:color="auto"/>
        <w:left w:val="none" w:sz="0" w:space="0" w:color="auto"/>
        <w:bottom w:val="none" w:sz="0" w:space="0" w:color="auto"/>
        <w:right w:val="none" w:sz="0" w:space="0" w:color="auto"/>
      </w:divBdr>
    </w:div>
    <w:div w:id="456720602">
      <w:bodyDiv w:val="1"/>
      <w:marLeft w:val="0"/>
      <w:marRight w:val="0"/>
      <w:marTop w:val="0"/>
      <w:marBottom w:val="0"/>
      <w:divBdr>
        <w:top w:val="none" w:sz="0" w:space="0" w:color="auto"/>
        <w:left w:val="none" w:sz="0" w:space="0" w:color="auto"/>
        <w:bottom w:val="none" w:sz="0" w:space="0" w:color="auto"/>
        <w:right w:val="none" w:sz="0" w:space="0" w:color="auto"/>
      </w:divBdr>
    </w:div>
    <w:div w:id="456727610">
      <w:bodyDiv w:val="1"/>
      <w:marLeft w:val="0"/>
      <w:marRight w:val="0"/>
      <w:marTop w:val="0"/>
      <w:marBottom w:val="0"/>
      <w:divBdr>
        <w:top w:val="none" w:sz="0" w:space="0" w:color="auto"/>
        <w:left w:val="none" w:sz="0" w:space="0" w:color="auto"/>
        <w:bottom w:val="none" w:sz="0" w:space="0" w:color="auto"/>
        <w:right w:val="none" w:sz="0" w:space="0" w:color="auto"/>
      </w:divBdr>
    </w:div>
    <w:div w:id="45687433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45705">
      <w:bodyDiv w:val="1"/>
      <w:marLeft w:val="0"/>
      <w:marRight w:val="0"/>
      <w:marTop w:val="0"/>
      <w:marBottom w:val="0"/>
      <w:divBdr>
        <w:top w:val="none" w:sz="0" w:space="0" w:color="auto"/>
        <w:left w:val="none" w:sz="0" w:space="0" w:color="auto"/>
        <w:bottom w:val="none" w:sz="0" w:space="0" w:color="auto"/>
        <w:right w:val="none" w:sz="0" w:space="0" w:color="auto"/>
      </w:divBdr>
    </w:div>
    <w:div w:id="456990054">
      <w:bodyDiv w:val="1"/>
      <w:marLeft w:val="0"/>
      <w:marRight w:val="0"/>
      <w:marTop w:val="0"/>
      <w:marBottom w:val="0"/>
      <w:divBdr>
        <w:top w:val="none" w:sz="0" w:space="0" w:color="auto"/>
        <w:left w:val="none" w:sz="0" w:space="0" w:color="auto"/>
        <w:bottom w:val="none" w:sz="0" w:space="0" w:color="auto"/>
        <w:right w:val="none" w:sz="0" w:space="0" w:color="auto"/>
      </w:divBdr>
    </w:div>
    <w:div w:id="457073252">
      <w:bodyDiv w:val="1"/>
      <w:marLeft w:val="0"/>
      <w:marRight w:val="0"/>
      <w:marTop w:val="0"/>
      <w:marBottom w:val="0"/>
      <w:divBdr>
        <w:top w:val="none" w:sz="0" w:space="0" w:color="auto"/>
        <w:left w:val="none" w:sz="0" w:space="0" w:color="auto"/>
        <w:bottom w:val="none" w:sz="0" w:space="0" w:color="auto"/>
        <w:right w:val="none" w:sz="0" w:space="0" w:color="auto"/>
      </w:divBdr>
    </w:div>
    <w:div w:id="457115012">
      <w:bodyDiv w:val="1"/>
      <w:marLeft w:val="0"/>
      <w:marRight w:val="0"/>
      <w:marTop w:val="0"/>
      <w:marBottom w:val="0"/>
      <w:divBdr>
        <w:top w:val="none" w:sz="0" w:space="0" w:color="auto"/>
        <w:left w:val="none" w:sz="0" w:space="0" w:color="auto"/>
        <w:bottom w:val="none" w:sz="0" w:space="0" w:color="auto"/>
        <w:right w:val="none" w:sz="0" w:space="0" w:color="auto"/>
      </w:divBdr>
    </w:div>
    <w:div w:id="457141565">
      <w:bodyDiv w:val="1"/>
      <w:marLeft w:val="0"/>
      <w:marRight w:val="0"/>
      <w:marTop w:val="0"/>
      <w:marBottom w:val="0"/>
      <w:divBdr>
        <w:top w:val="none" w:sz="0" w:space="0" w:color="auto"/>
        <w:left w:val="none" w:sz="0" w:space="0" w:color="auto"/>
        <w:bottom w:val="none" w:sz="0" w:space="0" w:color="auto"/>
        <w:right w:val="none" w:sz="0" w:space="0" w:color="auto"/>
      </w:divBdr>
    </w:div>
    <w:div w:id="457191155">
      <w:bodyDiv w:val="1"/>
      <w:marLeft w:val="0"/>
      <w:marRight w:val="0"/>
      <w:marTop w:val="0"/>
      <w:marBottom w:val="0"/>
      <w:divBdr>
        <w:top w:val="none" w:sz="0" w:space="0" w:color="auto"/>
        <w:left w:val="none" w:sz="0" w:space="0" w:color="auto"/>
        <w:bottom w:val="none" w:sz="0" w:space="0" w:color="auto"/>
        <w:right w:val="none" w:sz="0" w:space="0" w:color="auto"/>
      </w:divBdr>
    </w:div>
    <w:div w:id="457262203">
      <w:bodyDiv w:val="1"/>
      <w:marLeft w:val="0"/>
      <w:marRight w:val="0"/>
      <w:marTop w:val="0"/>
      <w:marBottom w:val="0"/>
      <w:divBdr>
        <w:top w:val="none" w:sz="0" w:space="0" w:color="auto"/>
        <w:left w:val="none" w:sz="0" w:space="0" w:color="auto"/>
        <w:bottom w:val="none" w:sz="0" w:space="0" w:color="auto"/>
        <w:right w:val="none" w:sz="0" w:space="0" w:color="auto"/>
      </w:divBdr>
    </w:div>
    <w:div w:id="457339541">
      <w:bodyDiv w:val="1"/>
      <w:marLeft w:val="0"/>
      <w:marRight w:val="0"/>
      <w:marTop w:val="0"/>
      <w:marBottom w:val="0"/>
      <w:divBdr>
        <w:top w:val="none" w:sz="0" w:space="0" w:color="auto"/>
        <w:left w:val="none" w:sz="0" w:space="0" w:color="auto"/>
        <w:bottom w:val="none" w:sz="0" w:space="0" w:color="auto"/>
        <w:right w:val="none" w:sz="0" w:space="0" w:color="auto"/>
      </w:divBdr>
    </w:div>
    <w:div w:id="457379668">
      <w:bodyDiv w:val="1"/>
      <w:marLeft w:val="0"/>
      <w:marRight w:val="0"/>
      <w:marTop w:val="0"/>
      <w:marBottom w:val="0"/>
      <w:divBdr>
        <w:top w:val="none" w:sz="0" w:space="0" w:color="auto"/>
        <w:left w:val="none" w:sz="0" w:space="0" w:color="auto"/>
        <w:bottom w:val="none" w:sz="0" w:space="0" w:color="auto"/>
        <w:right w:val="none" w:sz="0" w:space="0" w:color="auto"/>
      </w:divBdr>
    </w:div>
    <w:div w:id="457381432">
      <w:bodyDiv w:val="1"/>
      <w:marLeft w:val="0"/>
      <w:marRight w:val="0"/>
      <w:marTop w:val="0"/>
      <w:marBottom w:val="0"/>
      <w:divBdr>
        <w:top w:val="none" w:sz="0" w:space="0" w:color="auto"/>
        <w:left w:val="none" w:sz="0" w:space="0" w:color="auto"/>
        <w:bottom w:val="none" w:sz="0" w:space="0" w:color="auto"/>
        <w:right w:val="none" w:sz="0" w:space="0" w:color="auto"/>
      </w:divBdr>
    </w:div>
    <w:div w:id="457450482">
      <w:bodyDiv w:val="1"/>
      <w:marLeft w:val="0"/>
      <w:marRight w:val="0"/>
      <w:marTop w:val="0"/>
      <w:marBottom w:val="0"/>
      <w:divBdr>
        <w:top w:val="none" w:sz="0" w:space="0" w:color="auto"/>
        <w:left w:val="none" w:sz="0" w:space="0" w:color="auto"/>
        <w:bottom w:val="none" w:sz="0" w:space="0" w:color="auto"/>
        <w:right w:val="none" w:sz="0" w:space="0" w:color="auto"/>
      </w:divBdr>
    </w:div>
    <w:div w:id="457645458">
      <w:bodyDiv w:val="1"/>
      <w:marLeft w:val="0"/>
      <w:marRight w:val="0"/>
      <w:marTop w:val="0"/>
      <w:marBottom w:val="0"/>
      <w:divBdr>
        <w:top w:val="none" w:sz="0" w:space="0" w:color="auto"/>
        <w:left w:val="none" w:sz="0" w:space="0" w:color="auto"/>
        <w:bottom w:val="none" w:sz="0" w:space="0" w:color="auto"/>
        <w:right w:val="none" w:sz="0" w:space="0" w:color="auto"/>
      </w:divBdr>
    </w:div>
    <w:div w:id="457726818">
      <w:bodyDiv w:val="1"/>
      <w:marLeft w:val="0"/>
      <w:marRight w:val="0"/>
      <w:marTop w:val="0"/>
      <w:marBottom w:val="0"/>
      <w:divBdr>
        <w:top w:val="none" w:sz="0" w:space="0" w:color="auto"/>
        <w:left w:val="none" w:sz="0" w:space="0" w:color="auto"/>
        <w:bottom w:val="none" w:sz="0" w:space="0" w:color="auto"/>
        <w:right w:val="none" w:sz="0" w:space="0" w:color="auto"/>
      </w:divBdr>
    </w:div>
    <w:div w:id="457845545">
      <w:bodyDiv w:val="1"/>
      <w:marLeft w:val="0"/>
      <w:marRight w:val="0"/>
      <w:marTop w:val="0"/>
      <w:marBottom w:val="0"/>
      <w:divBdr>
        <w:top w:val="none" w:sz="0" w:space="0" w:color="auto"/>
        <w:left w:val="none" w:sz="0" w:space="0" w:color="auto"/>
        <w:bottom w:val="none" w:sz="0" w:space="0" w:color="auto"/>
        <w:right w:val="none" w:sz="0" w:space="0" w:color="auto"/>
      </w:divBdr>
    </w:div>
    <w:div w:id="457917796">
      <w:bodyDiv w:val="1"/>
      <w:marLeft w:val="0"/>
      <w:marRight w:val="0"/>
      <w:marTop w:val="0"/>
      <w:marBottom w:val="0"/>
      <w:divBdr>
        <w:top w:val="none" w:sz="0" w:space="0" w:color="auto"/>
        <w:left w:val="none" w:sz="0" w:space="0" w:color="auto"/>
        <w:bottom w:val="none" w:sz="0" w:space="0" w:color="auto"/>
        <w:right w:val="none" w:sz="0" w:space="0" w:color="auto"/>
      </w:divBdr>
    </w:div>
    <w:div w:id="458034995">
      <w:bodyDiv w:val="1"/>
      <w:marLeft w:val="0"/>
      <w:marRight w:val="0"/>
      <w:marTop w:val="0"/>
      <w:marBottom w:val="0"/>
      <w:divBdr>
        <w:top w:val="none" w:sz="0" w:space="0" w:color="auto"/>
        <w:left w:val="none" w:sz="0" w:space="0" w:color="auto"/>
        <w:bottom w:val="none" w:sz="0" w:space="0" w:color="auto"/>
        <w:right w:val="none" w:sz="0" w:space="0" w:color="auto"/>
      </w:divBdr>
    </w:div>
    <w:div w:id="458063037">
      <w:bodyDiv w:val="1"/>
      <w:marLeft w:val="0"/>
      <w:marRight w:val="0"/>
      <w:marTop w:val="0"/>
      <w:marBottom w:val="0"/>
      <w:divBdr>
        <w:top w:val="none" w:sz="0" w:space="0" w:color="auto"/>
        <w:left w:val="none" w:sz="0" w:space="0" w:color="auto"/>
        <w:bottom w:val="none" w:sz="0" w:space="0" w:color="auto"/>
        <w:right w:val="none" w:sz="0" w:space="0" w:color="auto"/>
      </w:divBdr>
    </w:div>
    <w:div w:id="458105615">
      <w:bodyDiv w:val="1"/>
      <w:marLeft w:val="0"/>
      <w:marRight w:val="0"/>
      <w:marTop w:val="0"/>
      <w:marBottom w:val="0"/>
      <w:divBdr>
        <w:top w:val="none" w:sz="0" w:space="0" w:color="auto"/>
        <w:left w:val="none" w:sz="0" w:space="0" w:color="auto"/>
        <w:bottom w:val="none" w:sz="0" w:space="0" w:color="auto"/>
        <w:right w:val="none" w:sz="0" w:space="0" w:color="auto"/>
      </w:divBdr>
    </w:div>
    <w:div w:id="458106366">
      <w:bodyDiv w:val="1"/>
      <w:marLeft w:val="0"/>
      <w:marRight w:val="0"/>
      <w:marTop w:val="0"/>
      <w:marBottom w:val="0"/>
      <w:divBdr>
        <w:top w:val="none" w:sz="0" w:space="0" w:color="auto"/>
        <w:left w:val="none" w:sz="0" w:space="0" w:color="auto"/>
        <w:bottom w:val="none" w:sz="0" w:space="0" w:color="auto"/>
        <w:right w:val="none" w:sz="0" w:space="0" w:color="auto"/>
      </w:divBdr>
    </w:div>
    <w:div w:id="458112392">
      <w:bodyDiv w:val="1"/>
      <w:marLeft w:val="0"/>
      <w:marRight w:val="0"/>
      <w:marTop w:val="0"/>
      <w:marBottom w:val="0"/>
      <w:divBdr>
        <w:top w:val="none" w:sz="0" w:space="0" w:color="auto"/>
        <w:left w:val="none" w:sz="0" w:space="0" w:color="auto"/>
        <w:bottom w:val="none" w:sz="0" w:space="0" w:color="auto"/>
        <w:right w:val="none" w:sz="0" w:space="0" w:color="auto"/>
      </w:divBdr>
    </w:div>
    <w:div w:id="458183486">
      <w:bodyDiv w:val="1"/>
      <w:marLeft w:val="0"/>
      <w:marRight w:val="0"/>
      <w:marTop w:val="0"/>
      <w:marBottom w:val="0"/>
      <w:divBdr>
        <w:top w:val="none" w:sz="0" w:space="0" w:color="auto"/>
        <w:left w:val="none" w:sz="0" w:space="0" w:color="auto"/>
        <w:bottom w:val="none" w:sz="0" w:space="0" w:color="auto"/>
        <w:right w:val="none" w:sz="0" w:space="0" w:color="auto"/>
      </w:divBdr>
    </w:div>
    <w:div w:id="458185354">
      <w:bodyDiv w:val="1"/>
      <w:marLeft w:val="0"/>
      <w:marRight w:val="0"/>
      <w:marTop w:val="0"/>
      <w:marBottom w:val="0"/>
      <w:divBdr>
        <w:top w:val="none" w:sz="0" w:space="0" w:color="auto"/>
        <w:left w:val="none" w:sz="0" w:space="0" w:color="auto"/>
        <w:bottom w:val="none" w:sz="0" w:space="0" w:color="auto"/>
        <w:right w:val="none" w:sz="0" w:space="0" w:color="auto"/>
      </w:divBdr>
    </w:div>
    <w:div w:id="458300108">
      <w:bodyDiv w:val="1"/>
      <w:marLeft w:val="0"/>
      <w:marRight w:val="0"/>
      <w:marTop w:val="0"/>
      <w:marBottom w:val="0"/>
      <w:divBdr>
        <w:top w:val="none" w:sz="0" w:space="0" w:color="auto"/>
        <w:left w:val="none" w:sz="0" w:space="0" w:color="auto"/>
        <w:bottom w:val="none" w:sz="0" w:space="0" w:color="auto"/>
        <w:right w:val="none" w:sz="0" w:space="0" w:color="auto"/>
      </w:divBdr>
    </w:div>
    <w:div w:id="458576367">
      <w:bodyDiv w:val="1"/>
      <w:marLeft w:val="0"/>
      <w:marRight w:val="0"/>
      <w:marTop w:val="0"/>
      <w:marBottom w:val="0"/>
      <w:divBdr>
        <w:top w:val="none" w:sz="0" w:space="0" w:color="auto"/>
        <w:left w:val="none" w:sz="0" w:space="0" w:color="auto"/>
        <w:bottom w:val="none" w:sz="0" w:space="0" w:color="auto"/>
        <w:right w:val="none" w:sz="0" w:space="0" w:color="auto"/>
      </w:divBdr>
    </w:div>
    <w:div w:id="458644455">
      <w:bodyDiv w:val="1"/>
      <w:marLeft w:val="0"/>
      <w:marRight w:val="0"/>
      <w:marTop w:val="0"/>
      <w:marBottom w:val="0"/>
      <w:divBdr>
        <w:top w:val="none" w:sz="0" w:space="0" w:color="auto"/>
        <w:left w:val="none" w:sz="0" w:space="0" w:color="auto"/>
        <w:bottom w:val="none" w:sz="0" w:space="0" w:color="auto"/>
        <w:right w:val="none" w:sz="0" w:space="0" w:color="auto"/>
      </w:divBdr>
    </w:div>
    <w:div w:id="458762628">
      <w:bodyDiv w:val="1"/>
      <w:marLeft w:val="0"/>
      <w:marRight w:val="0"/>
      <w:marTop w:val="0"/>
      <w:marBottom w:val="0"/>
      <w:divBdr>
        <w:top w:val="none" w:sz="0" w:space="0" w:color="auto"/>
        <w:left w:val="none" w:sz="0" w:space="0" w:color="auto"/>
        <w:bottom w:val="none" w:sz="0" w:space="0" w:color="auto"/>
        <w:right w:val="none" w:sz="0" w:space="0" w:color="auto"/>
      </w:divBdr>
    </w:div>
    <w:div w:id="458769960">
      <w:bodyDiv w:val="1"/>
      <w:marLeft w:val="0"/>
      <w:marRight w:val="0"/>
      <w:marTop w:val="0"/>
      <w:marBottom w:val="0"/>
      <w:divBdr>
        <w:top w:val="none" w:sz="0" w:space="0" w:color="auto"/>
        <w:left w:val="none" w:sz="0" w:space="0" w:color="auto"/>
        <w:bottom w:val="none" w:sz="0" w:space="0" w:color="auto"/>
        <w:right w:val="none" w:sz="0" w:space="0" w:color="auto"/>
      </w:divBdr>
    </w:div>
    <w:div w:id="458839955">
      <w:bodyDiv w:val="1"/>
      <w:marLeft w:val="0"/>
      <w:marRight w:val="0"/>
      <w:marTop w:val="0"/>
      <w:marBottom w:val="0"/>
      <w:divBdr>
        <w:top w:val="none" w:sz="0" w:space="0" w:color="auto"/>
        <w:left w:val="none" w:sz="0" w:space="0" w:color="auto"/>
        <w:bottom w:val="none" w:sz="0" w:space="0" w:color="auto"/>
        <w:right w:val="none" w:sz="0" w:space="0" w:color="auto"/>
      </w:divBdr>
    </w:div>
    <w:div w:id="458844929">
      <w:bodyDiv w:val="1"/>
      <w:marLeft w:val="0"/>
      <w:marRight w:val="0"/>
      <w:marTop w:val="0"/>
      <w:marBottom w:val="0"/>
      <w:divBdr>
        <w:top w:val="none" w:sz="0" w:space="0" w:color="auto"/>
        <w:left w:val="none" w:sz="0" w:space="0" w:color="auto"/>
        <w:bottom w:val="none" w:sz="0" w:space="0" w:color="auto"/>
        <w:right w:val="none" w:sz="0" w:space="0" w:color="auto"/>
      </w:divBdr>
    </w:div>
    <w:div w:id="458885175">
      <w:bodyDiv w:val="1"/>
      <w:marLeft w:val="0"/>
      <w:marRight w:val="0"/>
      <w:marTop w:val="0"/>
      <w:marBottom w:val="0"/>
      <w:divBdr>
        <w:top w:val="none" w:sz="0" w:space="0" w:color="auto"/>
        <w:left w:val="none" w:sz="0" w:space="0" w:color="auto"/>
        <w:bottom w:val="none" w:sz="0" w:space="0" w:color="auto"/>
        <w:right w:val="none" w:sz="0" w:space="0" w:color="auto"/>
      </w:divBdr>
    </w:div>
    <w:div w:id="458885678">
      <w:bodyDiv w:val="1"/>
      <w:marLeft w:val="0"/>
      <w:marRight w:val="0"/>
      <w:marTop w:val="0"/>
      <w:marBottom w:val="0"/>
      <w:divBdr>
        <w:top w:val="none" w:sz="0" w:space="0" w:color="auto"/>
        <w:left w:val="none" w:sz="0" w:space="0" w:color="auto"/>
        <w:bottom w:val="none" w:sz="0" w:space="0" w:color="auto"/>
        <w:right w:val="none" w:sz="0" w:space="0" w:color="auto"/>
      </w:divBdr>
    </w:div>
    <w:div w:id="458913037">
      <w:bodyDiv w:val="1"/>
      <w:marLeft w:val="0"/>
      <w:marRight w:val="0"/>
      <w:marTop w:val="0"/>
      <w:marBottom w:val="0"/>
      <w:divBdr>
        <w:top w:val="none" w:sz="0" w:space="0" w:color="auto"/>
        <w:left w:val="none" w:sz="0" w:space="0" w:color="auto"/>
        <w:bottom w:val="none" w:sz="0" w:space="0" w:color="auto"/>
        <w:right w:val="none" w:sz="0" w:space="0" w:color="auto"/>
      </w:divBdr>
    </w:div>
    <w:div w:id="458915264">
      <w:bodyDiv w:val="1"/>
      <w:marLeft w:val="0"/>
      <w:marRight w:val="0"/>
      <w:marTop w:val="0"/>
      <w:marBottom w:val="0"/>
      <w:divBdr>
        <w:top w:val="none" w:sz="0" w:space="0" w:color="auto"/>
        <w:left w:val="none" w:sz="0" w:space="0" w:color="auto"/>
        <w:bottom w:val="none" w:sz="0" w:space="0" w:color="auto"/>
        <w:right w:val="none" w:sz="0" w:space="0" w:color="auto"/>
      </w:divBdr>
    </w:div>
    <w:div w:id="459032802">
      <w:bodyDiv w:val="1"/>
      <w:marLeft w:val="0"/>
      <w:marRight w:val="0"/>
      <w:marTop w:val="0"/>
      <w:marBottom w:val="0"/>
      <w:divBdr>
        <w:top w:val="none" w:sz="0" w:space="0" w:color="auto"/>
        <w:left w:val="none" w:sz="0" w:space="0" w:color="auto"/>
        <w:bottom w:val="none" w:sz="0" w:space="0" w:color="auto"/>
        <w:right w:val="none" w:sz="0" w:space="0" w:color="auto"/>
      </w:divBdr>
    </w:div>
    <w:div w:id="459039085">
      <w:bodyDiv w:val="1"/>
      <w:marLeft w:val="0"/>
      <w:marRight w:val="0"/>
      <w:marTop w:val="0"/>
      <w:marBottom w:val="0"/>
      <w:divBdr>
        <w:top w:val="none" w:sz="0" w:space="0" w:color="auto"/>
        <w:left w:val="none" w:sz="0" w:space="0" w:color="auto"/>
        <w:bottom w:val="none" w:sz="0" w:space="0" w:color="auto"/>
        <w:right w:val="none" w:sz="0" w:space="0" w:color="auto"/>
      </w:divBdr>
    </w:div>
    <w:div w:id="459152943">
      <w:bodyDiv w:val="1"/>
      <w:marLeft w:val="0"/>
      <w:marRight w:val="0"/>
      <w:marTop w:val="0"/>
      <w:marBottom w:val="0"/>
      <w:divBdr>
        <w:top w:val="none" w:sz="0" w:space="0" w:color="auto"/>
        <w:left w:val="none" w:sz="0" w:space="0" w:color="auto"/>
        <w:bottom w:val="none" w:sz="0" w:space="0" w:color="auto"/>
        <w:right w:val="none" w:sz="0" w:space="0" w:color="auto"/>
      </w:divBdr>
    </w:div>
    <w:div w:id="459227018">
      <w:bodyDiv w:val="1"/>
      <w:marLeft w:val="0"/>
      <w:marRight w:val="0"/>
      <w:marTop w:val="0"/>
      <w:marBottom w:val="0"/>
      <w:divBdr>
        <w:top w:val="none" w:sz="0" w:space="0" w:color="auto"/>
        <w:left w:val="none" w:sz="0" w:space="0" w:color="auto"/>
        <w:bottom w:val="none" w:sz="0" w:space="0" w:color="auto"/>
        <w:right w:val="none" w:sz="0" w:space="0" w:color="auto"/>
      </w:divBdr>
    </w:div>
    <w:div w:id="459229418">
      <w:bodyDiv w:val="1"/>
      <w:marLeft w:val="0"/>
      <w:marRight w:val="0"/>
      <w:marTop w:val="0"/>
      <w:marBottom w:val="0"/>
      <w:divBdr>
        <w:top w:val="none" w:sz="0" w:space="0" w:color="auto"/>
        <w:left w:val="none" w:sz="0" w:space="0" w:color="auto"/>
        <w:bottom w:val="none" w:sz="0" w:space="0" w:color="auto"/>
        <w:right w:val="none" w:sz="0" w:space="0" w:color="auto"/>
      </w:divBdr>
    </w:div>
    <w:div w:id="459303678">
      <w:bodyDiv w:val="1"/>
      <w:marLeft w:val="0"/>
      <w:marRight w:val="0"/>
      <w:marTop w:val="0"/>
      <w:marBottom w:val="0"/>
      <w:divBdr>
        <w:top w:val="none" w:sz="0" w:space="0" w:color="auto"/>
        <w:left w:val="none" w:sz="0" w:space="0" w:color="auto"/>
        <w:bottom w:val="none" w:sz="0" w:space="0" w:color="auto"/>
        <w:right w:val="none" w:sz="0" w:space="0" w:color="auto"/>
      </w:divBdr>
    </w:div>
    <w:div w:id="459373888">
      <w:bodyDiv w:val="1"/>
      <w:marLeft w:val="0"/>
      <w:marRight w:val="0"/>
      <w:marTop w:val="0"/>
      <w:marBottom w:val="0"/>
      <w:divBdr>
        <w:top w:val="none" w:sz="0" w:space="0" w:color="auto"/>
        <w:left w:val="none" w:sz="0" w:space="0" w:color="auto"/>
        <w:bottom w:val="none" w:sz="0" w:space="0" w:color="auto"/>
        <w:right w:val="none" w:sz="0" w:space="0" w:color="auto"/>
      </w:divBdr>
    </w:div>
    <w:div w:id="459567260">
      <w:bodyDiv w:val="1"/>
      <w:marLeft w:val="0"/>
      <w:marRight w:val="0"/>
      <w:marTop w:val="0"/>
      <w:marBottom w:val="0"/>
      <w:divBdr>
        <w:top w:val="none" w:sz="0" w:space="0" w:color="auto"/>
        <w:left w:val="none" w:sz="0" w:space="0" w:color="auto"/>
        <w:bottom w:val="none" w:sz="0" w:space="0" w:color="auto"/>
        <w:right w:val="none" w:sz="0" w:space="0" w:color="auto"/>
      </w:divBdr>
    </w:div>
    <w:div w:id="459570566">
      <w:bodyDiv w:val="1"/>
      <w:marLeft w:val="0"/>
      <w:marRight w:val="0"/>
      <w:marTop w:val="0"/>
      <w:marBottom w:val="0"/>
      <w:divBdr>
        <w:top w:val="none" w:sz="0" w:space="0" w:color="auto"/>
        <w:left w:val="none" w:sz="0" w:space="0" w:color="auto"/>
        <w:bottom w:val="none" w:sz="0" w:space="0" w:color="auto"/>
        <w:right w:val="none" w:sz="0" w:space="0" w:color="auto"/>
      </w:divBdr>
    </w:div>
    <w:div w:id="459609907">
      <w:bodyDiv w:val="1"/>
      <w:marLeft w:val="0"/>
      <w:marRight w:val="0"/>
      <w:marTop w:val="0"/>
      <w:marBottom w:val="0"/>
      <w:divBdr>
        <w:top w:val="none" w:sz="0" w:space="0" w:color="auto"/>
        <w:left w:val="none" w:sz="0" w:space="0" w:color="auto"/>
        <w:bottom w:val="none" w:sz="0" w:space="0" w:color="auto"/>
        <w:right w:val="none" w:sz="0" w:space="0" w:color="auto"/>
      </w:divBdr>
    </w:div>
    <w:div w:id="459617812">
      <w:bodyDiv w:val="1"/>
      <w:marLeft w:val="0"/>
      <w:marRight w:val="0"/>
      <w:marTop w:val="0"/>
      <w:marBottom w:val="0"/>
      <w:divBdr>
        <w:top w:val="none" w:sz="0" w:space="0" w:color="auto"/>
        <w:left w:val="none" w:sz="0" w:space="0" w:color="auto"/>
        <w:bottom w:val="none" w:sz="0" w:space="0" w:color="auto"/>
        <w:right w:val="none" w:sz="0" w:space="0" w:color="auto"/>
      </w:divBdr>
    </w:div>
    <w:div w:id="459692506">
      <w:bodyDiv w:val="1"/>
      <w:marLeft w:val="0"/>
      <w:marRight w:val="0"/>
      <w:marTop w:val="0"/>
      <w:marBottom w:val="0"/>
      <w:divBdr>
        <w:top w:val="none" w:sz="0" w:space="0" w:color="auto"/>
        <w:left w:val="none" w:sz="0" w:space="0" w:color="auto"/>
        <w:bottom w:val="none" w:sz="0" w:space="0" w:color="auto"/>
        <w:right w:val="none" w:sz="0" w:space="0" w:color="auto"/>
      </w:divBdr>
    </w:div>
    <w:div w:id="459693041">
      <w:bodyDiv w:val="1"/>
      <w:marLeft w:val="0"/>
      <w:marRight w:val="0"/>
      <w:marTop w:val="0"/>
      <w:marBottom w:val="0"/>
      <w:divBdr>
        <w:top w:val="none" w:sz="0" w:space="0" w:color="auto"/>
        <w:left w:val="none" w:sz="0" w:space="0" w:color="auto"/>
        <w:bottom w:val="none" w:sz="0" w:space="0" w:color="auto"/>
        <w:right w:val="none" w:sz="0" w:space="0" w:color="auto"/>
      </w:divBdr>
    </w:div>
    <w:div w:id="459762045">
      <w:bodyDiv w:val="1"/>
      <w:marLeft w:val="0"/>
      <w:marRight w:val="0"/>
      <w:marTop w:val="0"/>
      <w:marBottom w:val="0"/>
      <w:divBdr>
        <w:top w:val="none" w:sz="0" w:space="0" w:color="auto"/>
        <w:left w:val="none" w:sz="0" w:space="0" w:color="auto"/>
        <w:bottom w:val="none" w:sz="0" w:space="0" w:color="auto"/>
        <w:right w:val="none" w:sz="0" w:space="0" w:color="auto"/>
      </w:divBdr>
    </w:div>
    <w:div w:id="459803490">
      <w:bodyDiv w:val="1"/>
      <w:marLeft w:val="0"/>
      <w:marRight w:val="0"/>
      <w:marTop w:val="0"/>
      <w:marBottom w:val="0"/>
      <w:divBdr>
        <w:top w:val="none" w:sz="0" w:space="0" w:color="auto"/>
        <w:left w:val="none" w:sz="0" w:space="0" w:color="auto"/>
        <w:bottom w:val="none" w:sz="0" w:space="0" w:color="auto"/>
        <w:right w:val="none" w:sz="0" w:space="0" w:color="auto"/>
      </w:divBdr>
    </w:div>
    <w:div w:id="459808469">
      <w:bodyDiv w:val="1"/>
      <w:marLeft w:val="0"/>
      <w:marRight w:val="0"/>
      <w:marTop w:val="0"/>
      <w:marBottom w:val="0"/>
      <w:divBdr>
        <w:top w:val="none" w:sz="0" w:space="0" w:color="auto"/>
        <w:left w:val="none" w:sz="0" w:space="0" w:color="auto"/>
        <w:bottom w:val="none" w:sz="0" w:space="0" w:color="auto"/>
        <w:right w:val="none" w:sz="0" w:space="0" w:color="auto"/>
      </w:divBdr>
    </w:div>
    <w:div w:id="459885045">
      <w:bodyDiv w:val="1"/>
      <w:marLeft w:val="0"/>
      <w:marRight w:val="0"/>
      <w:marTop w:val="0"/>
      <w:marBottom w:val="0"/>
      <w:divBdr>
        <w:top w:val="none" w:sz="0" w:space="0" w:color="auto"/>
        <w:left w:val="none" w:sz="0" w:space="0" w:color="auto"/>
        <w:bottom w:val="none" w:sz="0" w:space="0" w:color="auto"/>
        <w:right w:val="none" w:sz="0" w:space="0" w:color="auto"/>
      </w:divBdr>
    </w:div>
    <w:div w:id="459961358">
      <w:bodyDiv w:val="1"/>
      <w:marLeft w:val="0"/>
      <w:marRight w:val="0"/>
      <w:marTop w:val="0"/>
      <w:marBottom w:val="0"/>
      <w:divBdr>
        <w:top w:val="none" w:sz="0" w:space="0" w:color="auto"/>
        <w:left w:val="none" w:sz="0" w:space="0" w:color="auto"/>
        <w:bottom w:val="none" w:sz="0" w:space="0" w:color="auto"/>
        <w:right w:val="none" w:sz="0" w:space="0" w:color="auto"/>
      </w:divBdr>
    </w:div>
    <w:div w:id="460079240">
      <w:bodyDiv w:val="1"/>
      <w:marLeft w:val="0"/>
      <w:marRight w:val="0"/>
      <w:marTop w:val="0"/>
      <w:marBottom w:val="0"/>
      <w:divBdr>
        <w:top w:val="none" w:sz="0" w:space="0" w:color="auto"/>
        <w:left w:val="none" w:sz="0" w:space="0" w:color="auto"/>
        <w:bottom w:val="none" w:sz="0" w:space="0" w:color="auto"/>
        <w:right w:val="none" w:sz="0" w:space="0" w:color="auto"/>
      </w:divBdr>
    </w:div>
    <w:div w:id="460153372">
      <w:bodyDiv w:val="1"/>
      <w:marLeft w:val="0"/>
      <w:marRight w:val="0"/>
      <w:marTop w:val="0"/>
      <w:marBottom w:val="0"/>
      <w:divBdr>
        <w:top w:val="none" w:sz="0" w:space="0" w:color="auto"/>
        <w:left w:val="none" w:sz="0" w:space="0" w:color="auto"/>
        <w:bottom w:val="none" w:sz="0" w:space="0" w:color="auto"/>
        <w:right w:val="none" w:sz="0" w:space="0" w:color="auto"/>
      </w:divBdr>
    </w:div>
    <w:div w:id="460225713">
      <w:bodyDiv w:val="1"/>
      <w:marLeft w:val="0"/>
      <w:marRight w:val="0"/>
      <w:marTop w:val="0"/>
      <w:marBottom w:val="0"/>
      <w:divBdr>
        <w:top w:val="none" w:sz="0" w:space="0" w:color="auto"/>
        <w:left w:val="none" w:sz="0" w:space="0" w:color="auto"/>
        <w:bottom w:val="none" w:sz="0" w:space="0" w:color="auto"/>
        <w:right w:val="none" w:sz="0" w:space="0" w:color="auto"/>
      </w:divBdr>
    </w:div>
    <w:div w:id="460273361">
      <w:bodyDiv w:val="1"/>
      <w:marLeft w:val="0"/>
      <w:marRight w:val="0"/>
      <w:marTop w:val="0"/>
      <w:marBottom w:val="0"/>
      <w:divBdr>
        <w:top w:val="none" w:sz="0" w:space="0" w:color="auto"/>
        <w:left w:val="none" w:sz="0" w:space="0" w:color="auto"/>
        <w:bottom w:val="none" w:sz="0" w:space="0" w:color="auto"/>
        <w:right w:val="none" w:sz="0" w:space="0" w:color="auto"/>
      </w:divBdr>
    </w:div>
    <w:div w:id="460340274">
      <w:bodyDiv w:val="1"/>
      <w:marLeft w:val="0"/>
      <w:marRight w:val="0"/>
      <w:marTop w:val="0"/>
      <w:marBottom w:val="0"/>
      <w:divBdr>
        <w:top w:val="none" w:sz="0" w:space="0" w:color="auto"/>
        <w:left w:val="none" w:sz="0" w:space="0" w:color="auto"/>
        <w:bottom w:val="none" w:sz="0" w:space="0" w:color="auto"/>
        <w:right w:val="none" w:sz="0" w:space="0" w:color="auto"/>
      </w:divBdr>
    </w:div>
    <w:div w:id="460419179">
      <w:bodyDiv w:val="1"/>
      <w:marLeft w:val="0"/>
      <w:marRight w:val="0"/>
      <w:marTop w:val="0"/>
      <w:marBottom w:val="0"/>
      <w:divBdr>
        <w:top w:val="none" w:sz="0" w:space="0" w:color="auto"/>
        <w:left w:val="none" w:sz="0" w:space="0" w:color="auto"/>
        <w:bottom w:val="none" w:sz="0" w:space="0" w:color="auto"/>
        <w:right w:val="none" w:sz="0" w:space="0" w:color="auto"/>
      </w:divBdr>
    </w:div>
    <w:div w:id="460463084">
      <w:bodyDiv w:val="1"/>
      <w:marLeft w:val="0"/>
      <w:marRight w:val="0"/>
      <w:marTop w:val="0"/>
      <w:marBottom w:val="0"/>
      <w:divBdr>
        <w:top w:val="none" w:sz="0" w:space="0" w:color="auto"/>
        <w:left w:val="none" w:sz="0" w:space="0" w:color="auto"/>
        <w:bottom w:val="none" w:sz="0" w:space="0" w:color="auto"/>
        <w:right w:val="none" w:sz="0" w:space="0" w:color="auto"/>
      </w:divBdr>
    </w:div>
    <w:div w:id="460466061">
      <w:bodyDiv w:val="1"/>
      <w:marLeft w:val="0"/>
      <w:marRight w:val="0"/>
      <w:marTop w:val="0"/>
      <w:marBottom w:val="0"/>
      <w:divBdr>
        <w:top w:val="none" w:sz="0" w:space="0" w:color="auto"/>
        <w:left w:val="none" w:sz="0" w:space="0" w:color="auto"/>
        <w:bottom w:val="none" w:sz="0" w:space="0" w:color="auto"/>
        <w:right w:val="none" w:sz="0" w:space="0" w:color="auto"/>
      </w:divBdr>
    </w:div>
    <w:div w:id="460536001">
      <w:bodyDiv w:val="1"/>
      <w:marLeft w:val="0"/>
      <w:marRight w:val="0"/>
      <w:marTop w:val="0"/>
      <w:marBottom w:val="0"/>
      <w:divBdr>
        <w:top w:val="none" w:sz="0" w:space="0" w:color="auto"/>
        <w:left w:val="none" w:sz="0" w:space="0" w:color="auto"/>
        <w:bottom w:val="none" w:sz="0" w:space="0" w:color="auto"/>
        <w:right w:val="none" w:sz="0" w:space="0" w:color="auto"/>
      </w:divBdr>
    </w:div>
    <w:div w:id="460609793">
      <w:bodyDiv w:val="1"/>
      <w:marLeft w:val="0"/>
      <w:marRight w:val="0"/>
      <w:marTop w:val="0"/>
      <w:marBottom w:val="0"/>
      <w:divBdr>
        <w:top w:val="none" w:sz="0" w:space="0" w:color="auto"/>
        <w:left w:val="none" w:sz="0" w:space="0" w:color="auto"/>
        <w:bottom w:val="none" w:sz="0" w:space="0" w:color="auto"/>
        <w:right w:val="none" w:sz="0" w:space="0" w:color="auto"/>
      </w:divBdr>
    </w:div>
    <w:div w:id="460611978">
      <w:bodyDiv w:val="1"/>
      <w:marLeft w:val="0"/>
      <w:marRight w:val="0"/>
      <w:marTop w:val="0"/>
      <w:marBottom w:val="0"/>
      <w:divBdr>
        <w:top w:val="none" w:sz="0" w:space="0" w:color="auto"/>
        <w:left w:val="none" w:sz="0" w:space="0" w:color="auto"/>
        <w:bottom w:val="none" w:sz="0" w:space="0" w:color="auto"/>
        <w:right w:val="none" w:sz="0" w:space="0" w:color="auto"/>
      </w:divBdr>
    </w:div>
    <w:div w:id="460658960">
      <w:bodyDiv w:val="1"/>
      <w:marLeft w:val="0"/>
      <w:marRight w:val="0"/>
      <w:marTop w:val="0"/>
      <w:marBottom w:val="0"/>
      <w:divBdr>
        <w:top w:val="none" w:sz="0" w:space="0" w:color="auto"/>
        <w:left w:val="none" w:sz="0" w:space="0" w:color="auto"/>
        <w:bottom w:val="none" w:sz="0" w:space="0" w:color="auto"/>
        <w:right w:val="none" w:sz="0" w:space="0" w:color="auto"/>
      </w:divBdr>
    </w:div>
    <w:div w:id="460731431">
      <w:bodyDiv w:val="1"/>
      <w:marLeft w:val="0"/>
      <w:marRight w:val="0"/>
      <w:marTop w:val="0"/>
      <w:marBottom w:val="0"/>
      <w:divBdr>
        <w:top w:val="none" w:sz="0" w:space="0" w:color="auto"/>
        <w:left w:val="none" w:sz="0" w:space="0" w:color="auto"/>
        <w:bottom w:val="none" w:sz="0" w:space="0" w:color="auto"/>
        <w:right w:val="none" w:sz="0" w:space="0" w:color="auto"/>
      </w:divBdr>
    </w:div>
    <w:div w:id="460732102">
      <w:bodyDiv w:val="1"/>
      <w:marLeft w:val="0"/>
      <w:marRight w:val="0"/>
      <w:marTop w:val="0"/>
      <w:marBottom w:val="0"/>
      <w:divBdr>
        <w:top w:val="none" w:sz="0" w:space="0" w:color="auto"/>
        <w:left w:val="none" w:sz="0" w:space="0" w:color="auto"/>
        <w:bottom w:val="none" w:sz="0" w:space="0" w:color="auto"/>
        <w:right w:val="none" w:sz="0" w:space="0" w:color="auto"/>
      </w:divBdr>
    </w:div>
    <w:div w:id="460802945">
      <w:bodyDiv w:val="1"/>
      <w:marLeft w:val="0"/>
      <w:marRight w:val="0"/>
      <w:marTop w:val="0"/>
      <w:marBottom w:val="0"/>
      <w:divBdr>
        <w:top w:val="none" w:sz="0" w:space="0" w:color="auto"/>
        <w:left w:val="none" w:sz="0" w:space="0" w:color="auto"/>
        <w:bottom w:val="none" w:sz="0" w:space="0" w:color="auto"/>
        <w:right w:val="none" w:sz="0" w:space="0" w:color="auto"/>
      </w:divBdr>
    </w:div>
    <w:div w:id="460810936">
      <w:bodyDiv w:val="1"/>
      <w:marLeft w:val="0"/>
      <w:marRight w:val="0"/>
      <w:marTop w:val="0"/>
      <w:marBottom w:val="0"/>
      <w:divBdr>
        <w:top w:val="none" w:sz="0" w:space="0" w:color="auto"/>
        <w:left w:val="none" w:sz="0" w:space="0" w:color="auto"/>
        <w:bottom w:val="none" w:sz="0" w:space="0" w:color="auto"/>
        <w:right w:val="none" w:sz="0" w:space="0" w:color="auto"/>
      </w:divBdr>
    </w:div>
    <w:div w:id="460853799">
      <w:bodyDiv w:val="1"/>
      <w:marLeft w:val="0"/>
      <w:marRight w:val="0"/>
      <w:marTop w:val="0"/>
      <w:marBottom w:val="0"/>
      <w:divBdr>
        <w:top w:val="none" w:sz="0" w:space="0" w:color="auto"/>
        <w:left w:val="none" w:sz="0" w:space="0" w:color="auto"/>
        <w:bottom w:val="none" w:sz="0" w:space="0" w:color="auto"/>
        <w:right w:val="none" w:sz="0" w:space="0" w:color="auto"/>
      </w:divBdr>
    </w:div>
    <w:div w:id="460922355">
      <w:bodyDiv w:val="1"/>
      <w:marLeft w:val="0"/>
      <w:marRight w:val="0"/>
      <w:marTop w:val="0"/>
      <w:marBottom w:val="0"/>
      <w:divBdr>
        <w:top w:val="none" w:sz="0" w:space="0" w:color="auto"/>
        <w:left w:val="none" w:sz="0" w:space="0" w:color="auto"/>
        <w:bottom w:val="none" w:sz="0" w:space="0" w:color="auto"/>
        <w:right w:val="none" w:sz="0" w:space="0" w:color="auto"/>
      </w:divBdr>
    </w:div>
    <w:div w:id="461074863">
      <w:bodyDiv w:val="1"/>
      <w:marLeft w:val="0"/>
      <w:marRight w:val="0"/>
      <w:marTop w:val="0"/>
      <w:marBottom w:val="0"/>
      <w:divBdr>
        <w:top w:val="none" w:sz="0" w:space="0" w:color="auto"/>
        <w:left w:val="none" w:sz="0" w:space="0" w:color="auto"/>
        <w:bottom w:val="none" w:sz="0" w:space="0" w:color="auto"/>
        <w:right w:val="none" w:sz="0" w:space="0" w:color="auto"/>
      </w:divBdr>
    </w:div>
    <w:div w:id="461078464">
      <w:bodyDiv w:val="1"/>
      <w:marLeft w:val="0"/>
      <w:marRight w:val="0"/>
      <w:marTop w:val="0"/>
      <w:marBottom w:val="0"/>
      <w:divBdr>
        <w:top w:val="none" w:sz="0" w:space="0" w:color="auto"/>
        <w:left w:val="none" w:sz="0" w:space="0" w:color="auto"/>
        <w:bottom w:val="none" w:sz="0" w:space="0" w:color="auto"/>
        <w:right w:val="none" w:sz="0" w:space="0" w:color="auto"/>
      </w:divBdr>
    </w:div>
    <w:div w:id="461115107">
      <w:bodyDiv w:val="1"/>
      <w:marLeft w:val="0"/>
      <w:marRight w:val="0"/>
      <w:marTop w:val="0"/>
      <w:marBottom w:val="0"/>
      <w:divBdr>
        <w:top w:val="none" w:sz="0" w:space="0" w:color="auto"/>
        <w:left w:val="none" w:sz="0" w:space="0" w:color="auto"/>
        <w:bottom w:val="none" w:sz="0" w:space="0" w:color="auto"/>
        <w:right w:val="none" w:sz="0" w:space="0" w:color="auto"/>
      </w:divBdr>
    </w:div>
    <w:div w:id="461116104">
      <w:bodyDiv w:val="1"/>
      <w:marLeft w:val="0"/>
      <w:marRight w:val="0"/>
      <w:marTop w:val="0"/>
      <w:marBottom w:val="0"/>
      <w:divBdr>
        <w:top w:val="none" w:sz="0" w:space="0" w:color="auto"/>
        <w:left w:val="none" w:sz="0" w:space="0" w:color="auto"/>
        <w:bottom w:val="none" w:sz="0" w:space="0" w:color="auto"/>
        <w:right w:val="none" w:sz="0" w:space="0" w:color="auto"/>
      </w:divBdr>
    </w:div>
    <w:div w:id="461119260">
      <w:bodyDiv w:val="1"/>
      <w:marLeft w:val="0"/>
      <w:marRight w:val="0"/>
      <w:marTop w:val="0"/>
      <w:marBottom w:val="0"/>
      <w:divBdr>
        <w:top w:val="none" w:sz="0" w:space="0" w:color="auto"/>
        <w:left w:val="none" w:sz="0" w:space="0" w:color="auto"/>
        <w:bottom w:val="none" w:sz="0" w:space="0" w:color="auto"/>
        <w:right w:val="none" w:sz="0" w:space="0" w:color="auto"/>
      </w:divBdr>
    </w:div>
    <w:div w:id="461189666">
      <w:bodyDiv w:val="1"/>
      <w:marLeft w:val="0"/>
      <w:marRight w:val="0"/>
      <w:marTop w:val="0"/>
      <w:marBottom w:val="0"/>
      <w:divBdr>
        <w:top w:val="none" w:sz="0" w:space="0" w:color="auto"/>
        <w:left w:val="none" w:sz="0" w:space="0" w:color="auto"/>
        <w:bottom w:val="none" w:sz="0" w:space="0" w:color="auto"/>
        <w:right w:val="none" w:sz="0" w:space="0" w:color="auto"/>
      </w:divBdr>
    </w:div>
    <w:div w:id="461194920">
      <w:bodyDiv w:val="1"/>
      <w:marLeft w:val="0"/>
      <w:marRight w:val="0"/>
      <w:marTop w:val="0"/>
      <w:marBottom w:val="0"/>
      <w:divBdr>
        <w:top w:val="none" w:sz="0" w:space="0" w:color="auto"/>
        <w:left w:val="none" w:sz="0" w:space="0" w:color="auto"/>
        <w:bottom w:val="none" w:sz="0" w:space="0" w:color="auto"/>
        <w:right w:val="none" w:sz="0" w:space="0" w:color="auto"/>
      </w:divBdr>
    </w:div>
    <w:div w:id="461382866">
      <w:bodyDiv w:val="1"/>
      <w:marLeft w:val="0"/>
      <w:marRight w:val="0"/>
      <w:marTop w:val="0"/>
      <w:marBottom w:val="0"/>
      <w:divBdr>
        <w:top w:val="none" w:sz="0" w:space="0" w:color="auto"/>
        <w:left w:val="none" w:sz="0" w:space="0" w:color="auto"/>
        <w:bottom w:val="none" w:sz="0" w:space="0" w:color="auto"/>
        <w:right w:val="none" w:sz="0" w:space="0" w:color="auto"/>
      </w:divBdr>
    </w:div>
    <w:div w:id="461506393">
      <w:bodyDiv w:val="1"/>
      <w:marLeft w:val="0"/>
      <w:marRight w:val="0"/>
      <w:marTop w:val="0"/>
      <w:marBottom w:val="0"/>
      <w:divBdr>
        <w:top w:val="none" w:sz="0" w:space="0" w:color="auto"/>
        <w:left w:val="none" w:sz="0" w:space="0" w:color="auto"/>
        <w:bottom w:val="none" w:sz="0" w:space="0" w:color="auto"/>
        <w:right w:val="none" w:sz="0" w:space="0" w:color="auto"/>
      </w:divBdr>
    </w:div>
    <w:div w:id="461508037">
      <w:bodyDiv w:val="1"/>
      <w:marLeft w:val="0"/>
      <w:marRight w:val="0"/>
      <w:marTop w:val="0"/>
      <w:marBottom w:val="0"/>
      <w:divBdr>
        <w:top w:val="none" w:sz="0" w:space="0" w:color="auto"/>
        <w:left w:val="none" w:sz="0" w:space="0" w:color="auto"/>
        <w:bottom w:val="none" w:sz="0" w:space="0" w:color="auto"/>
        <w:right w:val="none" w:sz="0" w:space="0" w:color="auto"/>
      </w:divBdr>
    </w:div>
    <w:div w:id="461509349">
      <w:bodyDiv w:val="1"/>
      <w:marLeft w:val="0"/>
      <w:marRight w:val="0"/>
      <w:marTop w:val="0"/>
      <w:marBottom w:val="0"/>
      <w:divBdr>
        <w:top w:val="none" w:sz="0" w:space="0" w:color="auto"/>
        <w:left w:val="none" w:sz="0" w:space="0" w:color="auto"/>
        <w:bottom w:val="none" w:sz="0" w:space="0" w:color="auto"/>
        <w:right w:val="none" w:sz="0" w:space="0" w:color="auto"/>
      </w:divBdr>
    </w:div>
    <w:div w:id="461579379">
      <w:bodyDiv w:val="1"/>
      <w:marLeft w:val="0"/>
      <w:marRight w:val="0"/>
      <w:marTop w:val="0"/>
      <w:marBottom w:val="0"/>
      <w:divBdr>
        <w:top w:val="none" w:sz="0" w:space="0" w:color="auto"/>
        <w:left w:val="none" w:sz="0" w:space="0" w:color="auto"/>
        <w:bottom w:val="none" w:sz="0" w:space="0" w:color="auto"/>
        <w:right w:val="none" w:sz="0" w:space="0" w:color="auto"/>
      </w:divBdr>
    </w:div>
    <w:div w:id="461656421">
      <w:bodyDiv w:val="1"/>
      <w:marLeft w:val="0"/>
      <w:marRight w:val="0"/>
      <w:marTop w:val="0"/>
      <w:marBottom w:val="0"/>
      <w:divBdr>
        <w:top w:val="none" w:sz="0" w:space="0" w:color="auto"/>
        <w:left w:val="none" w:sz="0" w:space="0" w:color="auto"/>
        <w:bottom w:val="none" w:sz="0" w:space="0" w:color="auto"/>
        <w:right w:val="none" w:sz="0" w:space="0" w:color="auto"/>
      </w:divBdr>
    </w:div>
    <w:div w:id="461731053">
      <w:bodyDiv w:val="1"/>
      <w:marLeft w:val="0"/>
      <w:marRight w:val="0"/>
      <w:marTop w:val="0"/>
      <w:marBottom w:val="0"/>
      <w:divBdr>
        <w:top w:val="none" w:sz="0" w:space="0" w:color="auto"/>
        <w:left w:val="none" w:sz="0" w:space="0" w:color="auto"/>
        <w:bottom w:val="none" w:sz="0" w:space="0" w:color="auto"/>
        <w:right w:val="none" w:sz="0" w:space="0" w:color="auto"/>
      </w:divBdr>
    </w:div>
    <w:div w:id="461769079">
      <w:bodyDiv w:val="1"/>
      <w:marLeft w:val="0"/>
      <w:marRight w:val="0"/>
      <w:marTop w:val="0"/>
      <w:marBottom w:val="0"/>
      <w:divBdr>
        <w:top w:val="none" w:sz="0" w:space="0" w:color="auto"/>
        <w:left w:val="none" w:sz="0" w:space="0" w:color="auto"/>
        <w:bottom w:val="none" w:sz="0" w:space="0" w:color="auto"/>
        <w:right w:val="none" w:sz="0" w:space="0" w:color="auto"/>
      </w:divBdr>
    </w:div>
    <w:div w:id="461924436">
      <w:bodyDiv w:val="1"/>
      <w:marLeft w:val="0"/>
      <w:marRight w:val="0"/>
      <w:marTop w:val="0"/>
      <w:marBottom w:val="0"/>
      <w:divBdr>
        <w:top w:val="none" w:sz="0" w:space="0" w:color="auto"/>
        <w:left w:val="none" w:sz="0" w:space="0" w:color="auto"/>
        <w:bottom w:val="none" w:sz="0" w:space="0" w:color="auto"/>
        <w:right w:val="none" w:sz="0" w:space="0" w:color="auto"/>
      </w:divBdr>
    </w:div>
    <w:div w:id="462121167">
      <w:bodyDiv w:val="1"/>
      <w:marLeft w:val="0"/>
      <w:marRight w:val="0"/>
      <w:marTop w:val="0"/>
      <w:marBottom w:val="0"/>
      <w:divBdr>
        <w:top w:val="none" w:sz="0" w:space="0" w:color="auto"/>
        <w:left w:val="none" w:sz="0" w:space="0" w:color="auto"/>
        <w:bottom w:val="none" w:sz="0" w:space="0" w:color="auto"/>
        <w:right w:val="none" w:sz="0" w:space="0" w:color="auto"/>
      </w:divBdr>
    </w:div>
    <w:div w:id="462231927">
      <w:bodyDiv w:val="1"/>
      <w:marLeft w:val="0"/>
      <w:marRight w:val="0"/>
      <w:marTop w:val="0"/>
      <w:marBottom w:val="0"/>
      <w:divBdr>
        <w:top w:val="none" w:sz="0" w:space="0" w:color="auto"/>
        <w:left w:val="none" w:sz="0" w:space="0" w:color="auto"/>
        <w:bottom w:val="none" w:sz="0" w:space="0" w:color="auto"/>
        <w:right w:val="none" w:sz="0" w:space="0" w:color="auto"/>
      </w:divBdr>
    </w:div>
    <w:div w:id="462232369">
      <w:bodyDiv w:val="1"/>
      <w:marLeft w:val="0"/>
      <w:marRight w:val="0"/>
      <w:marTop w:val="0"/>
      <w:marBottom w:val="0"/>
      <w:divBdr>
        <w:top w:val="none" w:sz="0" w:space="0" w:color="auto"/>
        <w:left w:val="none" w:sz="0" w:space="0" w:color="auto"/>
        <w:bottom w:val="none" w:sz="0" w:space="0" w:color="auto"/>
        <w:right w:val="none" w:sz="0" w:space="0" w:color="auto"/>
      </w:divBdr>
    </w:div>
    <w:div w:id="462235877">
      <w:bodyDiv w:val="1"/>
      <w:marLeft w:val="0"/>
      <w:marRight w:val="0"/>
      <w:marTop w:val="0"/>
      <w:marBottom w:val="0"/>
      <w:divBdr>
        <w:top w:val="none" w:sz="0" w:space="0" w:color="auto"/>
        <w:left w:val="none" w:sz="0" w:space="0" w:color="auto"/>
        <w:bottom w:val="none" w:sz="0" w:space="0" w:color="auto"/>
        <w:right w:val="none" w:sz="0" w:space="0" w:color="auto"/>
      </w:divBdr>
    </w:div>
    <w:div w:id="462313119">
      <w:bodyDiv w:val="1"/>
      <w:marLeft w:val="0"/>
      <w:marRight w:val="0"/>
      <w:marTop w:val="0"/>
      <w:marBottom w:val="0"/>
      <w:divBdr>
        <w:top w:val="none" w:sz="0" w:space="0" w:color="auto"/>
        <w:left w:val="none" w:sz="0" w:space="0" w:color="auto"/>
        <w:bottom w:val="none" w:sz="0" w:space="0" w:color="auto"/>
        <w:right w:val="none" w:sz="0" w:space="0" w:color="auto"/>
      </w:divBdr>
    </w:div>
    <w:div w:id="462314629">
      <w:bodyDiv w:val="1"/>
      <w:marLeft w:val="0"/>
      <w:marRight w:val="0"/>
      <w:marTop w:val="0"/>
      <w:marBottom w:val="0"/>
      <w:divBdr>
        <w:top w:val="none" w:sz="0" w:space="0" w:color="auto"/>
        <w:left w:val="none" w:sz="0" w:space="0" w:color="auto"/>
        <w:bottom w:val="none" w:sz="0" w:space="0" w:color="auto"/>
        <w:right w:val="none" w:sz="0" w:space="0" w:color="auto"/>
      </w:divBdr>
    </w:div>
    <w:div w:id="462388909">
      <w:bodyDiv w:val="1"/>
      <w:marLeft w:val="0"/>
      <w:marRight w:val="0"/>
      <w:marTop w:val="0"/>
      <w:marBottom w:val="0"/>
      <w:divBdr>
        <w:top w:val="none" w:sz="0" w:space="0" w:color="auto"/>
        <w:left w:val="none" w:sz="0" w:space="0" w:color="auto"/>
        <w:bottom w:val="none" w:sz="0" w:space="0" w:color="auto"/>
        <w:right w:val="none" w:sz="0" w:space="0" w:color="auto"/>
      </w:divBdr>
    </w:div>
    <w:div w:id="462425286">
      <w:bodyDiv w:val="1"/>
      <w:marLeft w:val="0"/>
      <w:marRight w:val="0"/>
      <w:marTop w:val="0"/>
      <w:marBottom w:val="0"/>
      <w:divBdr>
        <w:top w:val="none" w:sz="0" w:space="0" w:color="auto"/>
        <w:left w:val="none" w:sz="0" w:space="0" w:color="auto"/>
        <w:bottom w:val="none" w:sz="0" w:space="0" w:color="auto"/>
        <w:right w:val="none" w:sz="0" w:space="0" w:color="auto"/>
      </w:divBdr>
    </w:div>
    <w:div w:id="462583524">
      <w:bodyDiv w:val="1"/>
      <w:marLeft w:val="0"/>
      <w:marRight w:val="0"/>
      <w:marTop w:val="0"/>
      <w:marBottom w:val="0"/>
      <w:divBdr>
        <w:top w:val="none" w:sz="0" w:space="0" w:color="auto"/>
        <w:left w:val="none" w:sz="0" w:space="0" w:color="auto"/>
        <w:bottom w:val="none" w:sz="0" w:space="0" w:color="auto"/>
        <w:right w:val="none" w:sz="0" w:space="0" w:color="auto"/>
      </w:divBdr>
    </w:div>
    <w:div w:id="462696069">
      <w:bodyDiv w:val="1"/>
      <w:marLeft w:val="0"/>
      <w:marRight w:val="0"/>
      <w:marTop w:val="0"/>
      <w:marBottom w:val="0"/>
      <w:divBdr>
        <w:top w:val="none" w:sz="0" w:space="0" w:color="auto"/>
        <w:left w:val="none" w:sz="0" w:space="0" w:color="auto"/>
        <w:bottom w:val="none" w:sz="0" w:space="0" w:color="auto"/>
        <w:right w:val="none" w:sz="0" w:space="0" w:color="auto"/>
      </w:divBdr>
    </w:div>
    <w:div w:id="462816023">
      <w:bodyDiv w:val="1"/>
      <w:marLeft w:val="0"/>
      <w:marRight w:val="0"/>
      <w:marTop w:val="0"/>
      <w:marBottom w:val="0"/>
      <w:divBdr>
        <w:top w:val="none" w:sz="0" w:space="0" w:color="auto"/>
        <w:left w:val="none" w:sz="0" w:space="0" w:color="auto"/>
        <w:bottom w:val="none" w:sz="0" w:space="0" w:color="auto"/>
        <w:right w:val="none" w:sz="0" w:space="0" w:color="auto"/>
      </w:divBdr>
    </w:div>
    <w:div w:id="462892764">
      <w:bodyDiv w:val="1"/>
      <w:marLeft w:val="0"/>
      <w:marRight w:val="0"/>
      <w:marTop w:val="0"/>
      <w:marBottom w:val="0"/>
      <w:divBdr>
        <w:top w:val="none" w:sz="0" w:space="0" w:color="auto"/>
        <w:left w:val="none" w:sz="0" w:space="0" w:color="auto"/>
        <w:bottom w:val="none" w:sz="0" w:space="0" w:color="auto"/>
        <w:right w:val="none" w:sz="0" w:space="0" w:color="auto"/>
      </w:divBdr>
    </w:div>
    <w:div w:id="462969357">
      <w:bodyDiv w:val="1"/>
      <w:marLeft w:val="0"/>
      <w:marRight w:val="0"/>
      <w:marTop w:val="0"/>
      <w:marBottom w:val="0"/>
      <w:divBdr>
        <w:top w:val="none" w:sz="0" w:space="0" w:color="auto"/>
        <w:left w:val="none" w:sz="0" w:space="0" w:color="auto"/>
        <w:bottom w:val="none" w:sz="0" w:space="0" w:color="auto"/>
        <w:right w:val="none" w:sz="0" w:space="0" w:color="auto"/>
      </w:divBdr>
    </w:div>
    <w:div w:id="462970098">
      <w:bodyDiv w:val="1"/>
      <w:marLeft w:val="0"/>
      <w:marRight w:val="0"/>
      <w:marTop w:val="0"/>
      <w:marBottom w:val="0"/>
      <w:divBdr>
        <w:top w:val="none" w:sz="0" w:space="0" w:color="auto"/>
        <w:left w:val="none" w:sz="0" w:space="0" w:color="auto"/>
        <w:bottom w:val="none" w:sz="0" w:space="0" w:color="auto"/>
        <w:right w:val="none" w:sz="0" w:space="0" w:color="auto"/>
      </w:divBdr>
    </w:div>
    <w:div w:id="463085142">
      <w:bodyDiv w:val="1"/>
      <w:marLeft w:val="0"/>
      <w:marRight w:val="0"/>
      <w:marTop w:val="0"/>
      <w:marBottom w:val="0"/>
      <w:divBdr>
        <w:top w:val="none" w:sz="0" w:space="0" w:color="auto"/>
        <w:left w:val="none" w:sz="0" w:space="0" w:color="auto"/>
        <w:bottom w:val="none" w:sz="0" w:space="0" w:color="auto"/>
        <w:right w:val="none" w:sz="0" w:space="0" w:color="auto"/>
      </w:divBdr>
    </w:div>
    <w:div w:id="463158788">
      <w:bodyDiv w:val="1"/>
      <w:marLeft w:val="0"/>
      <w:marRight w:val="0"/>
      <w:marTop w:val="0"/>
      <w:marBottom w:val="0"/>
      <w:divBdr>
        <w:top w:val="none" w:sz="0" w:space="0" w:color="auto"/>
        <w:left w:val="none" w:sz="0" w:space="0" w:color="auto"/>
        <w:bottom w:val="none" w:sz="0" w:space="0" w:color="auto"/>
        <w:right w:val="none" w:sz="0" w:space="0" w:color="auto"/>
      </w:divBdr>
    </w:div>
    <w:div w:id="463162668">
      <w:bodyDiv w:val="1"/>
      <w:marLeft w:val="0"/>
      <w:marRight w:val="0"/>
      <w:marTop w:val="0"/>
      <w:marBottom w:val="0"/>
      <w:divBdr>
        <w:top w:val="none" w:sz="0" w:space="0" w:color="auto"/>
        <w:left w:val="none" w:sz="0" w:space="0" w:color="auto"/>
        <w:bottom w:val="none" w:sz="0" w:space="0" w:color="auto"/>
        <w:right w:val="none" w:sz="0" w:space="0" w:color="auto"/>
      </w:divBdr>
    </w:div>
    <w:div w:id="463236392">
      <w:bodyDiv w:val="1"/>
      <w:marLeft w:val="0"/>
      <w:marRight w:val="0"/>
      <w:marTop w:val="0"/>
      <w:marBottom w:val="0"/>
      <w:divBdr>
        <w:top w:val="none" w:sz="0" w:space="0" w:color="auto"/>
        <w:left w:val="none" w:sz="0" w:space="0" w:color="auto"/>
        <w:bottom w:val="none" w:sz="0" w:space="0" w:color="auto"/>
        <w:right w:val="none" w:sz="0" w:space="0" w:color="auto"/>
      </w:divBdr>
    </w:div>
    <w:div w:id="463239018">
      <w:bodyDiv w:val="1"/>
      <w:marLeft w:val="0"/>
      <w:marRight w:val="0"/>
      <w:marTop w:val="0"/>
      <w:marBottom w:val="0"/>
      <w:divBdr>
        <w:top w:val="none" w:sz="0" w:space="0" w:color="auto"/>
        <w:left w:val="none" w:sz="0" w:space="0" w:color="auto"/>
        <w:bottom w:val="none" w:sz="0" w:space="0" w:color="auto"/>
        <w:right w:val="none" w:sz="0" w:space="0" w:color="auto"/>
      </w:divBdr>
    </w:div>
    <w:div w:id="463279361">
      <w:bodyDiv w:val="1"/>
      <w:marLeft w:val="0"/>
      <w:marRight w:val="0"/>
      <w:marTop w:val="0"/>
      <w:marBottom w:val="0"/>
      <w:divBdr>
        <w:top w:val="none" w:sz="0" w:space="0" w:color="auto"/>
        <w:left w:val="none" w:sz="0" w:space="0" w:color="auto"/>
        <w:bottom w:val="none" w:sz="0" w:space="0" w:color="auto"/>
        <w:right w:val="none" w:sz="0" w:space="0" w:color="auto"/>
      </w:divBdr>
    </w:div>
    <w:div w:id="463281731">
      <w:bodyDiv w:val="1"/>
      <w:marLeft w:val="0"/>
      <w:marRight w:val="0"/>
      <w:marTop w:val="0"/>
      <w:marBottom w:val="0"/>
      <w:divBdr>
        <w:top w:val="none" w:sz="0" w:space="0" w:color="auto"/>
        <w:left w:val="none" w:sz="0" w:space="0" w:color="auto"/>
        <w:bottom w:val="none" w:sz="0" w:space="0" w:color="auto"/>
        <w:right w:val="none" w:sz="0" w:space="0" w:color="auto"/>
      </w:divBdr>
    </w:div>
    <w:div w:id="463474099">
      <w:bodyDiv w:val="1"/>
      <w:marLeft w:val="0"/>
      <w:marRight w:val="0"/>
      <w:marTop w:val="0"/>
      <w:marBottom w:val="0"/>
      <w:divBdr>
        <w:top w:val="none" w:sz="0" w:space="0" w:color="auto"/>
        <w:left w:val="none" w:sz="0" w:space="0" w:color="auto"/>
        <w:bottom w:val="none" w:sz="0" w:space="0" w:color="auto"/>
        <w:right w:val="none" w:sz="0" w:space="0" w:color="auto"/>
      </w:divBdr>
    </w:div>
    <w:div w:id="463550229">
      <w:bodyDiv w:val="1"/>
      <w:marLeft w:val="0"/>
      <w:marRight w:val="0"/>
      <w:marTop w:val="0"/>
      <w:marBottom w:val="0"/>
      <w:divBdr>
        <w:top w:val="none" w:sz="0" w:space="0" w:color="auto"/>
        <w:left w:val="none" w:sz="0" w:space="0" w:color="auto"/>
        <w:bottom w:val="none" w:sz="0" w:space="0" w:color="auto"/>
        <w:right w:val="none" w:sz="0" w:space="0" w:color="auto"/>
      </w:divBdr>
    </w:div>
    <w:div w:id="463624992">
      <w:bodyDiv w:val="1"/>
      <w:marLeft w:val="0"/>
      <w:marRight w:val="0"/>
      <w:marTop w:val="0"/>
      <w:marBottom w:val="0"/>
      <w:divBdr>
        <w:top w:val="none" w:sz="0" w:space="0" w:color="auto"/>
        <w:left w:val="none" w:sz="0" w:space="0" w:color="auto"/>
        <w:bottom w:val="none" w:sz="0" w:space="0" w:color="auto"/>
        <w:right w:val="none" w:sz="0" w:space="0" w:color="auto"/>
      </w:divBdr>
    </w:div>
    <w:div w:id="463691835">
      <w:bodyDiv w:val="1"/>
      <w:marLeft w:val="0"/>
      <w:marRight w:val="0"/>
      <w:marTop w:val="0"/>
      <w:marBottom w:val="0"/>
      <w:divBdr>
        <w:top w:val="none" w:sz="0" w:space="0" w:color="auto"/>
        <w:left w:val="none" w:sz="0" w:space="0" w:color="auto"/>
        <w:bottom w:val="none" w:sz="0" w:space="0" w:color="auto"/>
        <w:right w:val="none" w:sz="0" w:space="0" w:color="auto"/>
      </w:divBdr>
    </w:div>
    <w:div w:id="463818311">
      <w:bodyDiv w:val="1"/>
      <w:marLeft w:val="0"/>
      <w:marRight w:val="0"/>
      <w:marTop w:val="0"/>
      <w:marBottom w:val="0"/>
      <w:divBdr>
        <w:top w:val="none" w:sz="0" w:space="0" w:color="auto"/>
        <w:left w:val="none" w:sz="0" w:space="0" w:color="auto"/>
        <w:bottom w:val="none" w:sz="0" w:space="0" w:color="auto"/>
        <w:right w:val="none" w:sz="0" w:space="0" w:color="auto"/>
      </w:divBdr>
    </w:div>
    <w:div w:id="463892215">
      <w:bodyDiv w:val="1"/>
      <w:marLeft w:val="0"/>
      <w:marRight w:val="0"/>
      <w:marTop w:val="0"/>
      <w:marBottom w:val="0"/>
      <w:divBdr>
        <w:top w:val="none" w:sz="0" w:space="0" w:color="auto"/>
        <w:left w:val="none" w:sz="0" w:space="0" w:color="auto"/>
        <w:bottom w:val="none" w:sz="0" w:space="0" w:color="auto"/>
        <w:right w:val="none" w:sz="0" w:space="0" w:color="auto"/>
      </w:divBdr>
    </w:div>
    <w:div w:id="463961065">
      <w:bodyDiv w:val="1"/>
      <w:marLeft w:val="0"/>
      <w:marRight w:val="0"/>
      <w:marTop w:val="0"/>
      <w:marBottom w:val="0"/>
      <w:divBdr>
        <w:top w:val="none" w:sz="0" w:space="0" w:color="auto"/>
        <w:left w:val="none" w:sz="0" w:space="0" w:color="auto"/>
        <w:bottom w:val="none" w:sz="0" w:space="0" w:color="auto"/>
        <w:right w:val="none" w:sz="0" w:space="0" w:color="auto"/>
      </w:divBdr>
    </w:div>
    <w:div w:id="464348563">
      <w:bodyDiv w:val="1"/>
      <w:marLeft w:val="0"/>
      <w:marRight w:val="0"/>
      <w:marTop w:val="0"/>
      <w:marBottom w:val="0"/>
      <w:divBdr>
        <w:top w:val="none" w:sz="0" w:space="0" w:color="auto"/>
        <w:left w:val="none" w:sz="0" w:space="0" w:color="auto"/>
        <w:bottom w:val="none" w:sz="0" w:space="0" w:color="auto"/>
        <w:right w:val="none" w:sz="0" w:space="0" w:color="auto"/>
      </w:divBdr>
    </w:div>
    <w:div w:id="464348992">
      <w:bodyDiv w:val="1"/>
      <w:marLeft w:val="0"/>
      <w:marRight w:val="0"/>
      <w:marTop w:val="0"/>
      <w:marBottom w:val="0"/>
      <w:divBdr>
        <w:top w:val="none" w:sz="0" w:space="0" w:color="auto"/>
        <w:left w:val="none" w:sz="0" w:space="0" w:color="auto"/>
        <w:bottom w:val="none" w:sz="0" w:space="0" w:color="auto"/>
        <w:right w:val="none" w:sz="0" w:space="0" w:color="auto"/>
      </w:divBdr>
    </w:div>
    <w:div w:id="464352301">
      <w:bodyDiv w:val="1"/>
      <w:marLeft w:val="0"/>
      <w:marRight w:val="0"/>
      <w:marTop w:val="0"/>
      <w:marBottom w:val="0"/>
      <w:divBdr>
        <w:top w:val="none" w:sz="0" w:space="0" w:color="auto"/>
        <w:left w:val="none" w:sz="0" w:space="0" w:color="auto"/>
        <w:bottom w:val="none" w:sz="0" w:space="0" w:color="auto"/>
        <w:right w:val="none" w:sz="0" w:space="0" w:color="auto"/>
      </w:divBdr>
    </w:div>
    <w:div w:id="464394848">
      <w:bodyDiv w:val="1"/>
      <w:marLeft w:val="0"/>
      <w:marRight w:val="0"/>
      <w:marTop w:val="0"/>
      <w:marBottom w:val="0"/>
      <w:divBdr>
        <w:top w:val="none" w:sz="0" w:space="0" w:color="auto"/>
        <w:left w:val="none" w:sz="0" w:space="0" w:color="auto"/>
        <w:bottom w:val="none" w:sz="0" w:space="0" w:color="auto"/>
        <w:right w:val="none" w:sz="0" w:space="0" w:color="auto"/>
      </w:divBdr>
    </w:div>
    <w:div w:id="464394996">
      <w:bodyDiv w:val="1"/>
      <w:marLeft w:val="0"/>
      <w:marRight w:val="0"/>
      <w:marTop w:val="0"/>
      <w:marBottom w:val="0"/>
      <w:divBdr>
        <w:top w:val="none" w:sz="0" w:space="0" w:color="auto"/>
        <w:left w:val="none" w:sz="0" w:space="0" w:color="auto"/>
        <w:bottom w:val="none" w:sz="0" w:space="0" w:color="auto"/>
        <w:right w:val="none" w:sz="0" w:space="0" w:color="auto"/>
      </w:divBdr>
    </w:div>
    <w:div w:id="464395900">
      <w:bodyDiv w:val="1"/>
      <w:marLeft w:val="0"/>
      <w:marRight w:val="0"/>
      <w:marTop w:val="0"/>
      <w:marBottom w:val="0"/>
      <w:divBdr>
        <w:top w:val="none" w:sz="0" w:space="0" w:color="auto"/>
        <w:left w:val="none" w:sz="0" w:space="0" w:color="auto"/>
        <w:bottom w:val="none" w:sz="0" w:space="0" w:color="auto"/>
        <w:right w:val="none" w:sz="0" w:space="0" w:color="auto"/>
      </w:divBdr>
    </w:div>
    <w:div w:id="464542430">
      <w:bodyDiv w:val="1"/>
      <w:marLeft w:val="0"/>
      <w:marRight w:val="0"/>
      <w:marTop w:val="0"/>
      <w:marBottom w:val="0"/>
      <w:divBdr>
        <w:top w:val="none" w:sz="0" w:space="0" w:color="auto"/>
        <w:left w:val="none" w:sz="0" w:space="0" w:color="auto"/>
        <w:bottom w:val="none" w:sz="0" w:space="0" w:color="auto"/>
        <w:right w:val="none" w:sz="0" w:space="0" w:color="auto"/>
      </w:divBdr>
    </w:div>
    <w:div w:id="464548072">
      <w:bodyDiv w:val="1"/>
      <w:marLeft w:val="0"/>
      <w:marRight w:val="0"/>
      <w:marTop w:val="0"/>
      <w:marBottom w:val="0"/>
      <w:divBdr>
        <w:top w:val="none" w:sz="0" w:space="0" w:color="auto"/>
        <w:left w:val="none" w:sz="0" w:space="0" w:color="auto"/>
        <w:bottom w:val="none" w:sz="0" w:space="0" w:color="auto"/>
        <w:right w:val="none" w:sz="0" w:space="0" w:color="auto"/>
      </w:divBdr>
    </w:div>
    <w:div w:id="464587015">
      <w:bodyDiv w:val="1"/>
      <w:marLeft w:val="0"/>
      <w:marRight w:val="0"/>
      <w:marTop w:val="0"/>
      <w:marBottom w:val="0"/>
      <w:divBdr>
        <w:top w:val="none" w:sz="0" w:space="0" w:color="auto"/>
        <w:left w:val="none" w:sz="0" w:space="0" w:color="auto"/>
        <w:bottom w:val="none" w:sz="0" w:space="0" w:color="auto"/>
        <w:right w:val="none" w:sz="0" w:space="0" w:color="auto"/>
      </w:divBdr>
    </w:div>
    <w:div w:id="464662481">
      <w:bodyDiv w:val="1"/>
      <w:marLeft w:val="0"/>
      <w:marRight w:val="0"/>
      <w:marTop w:val="0"/>
      <w:marBottom w:val="0"/>
      <w:divBdr>
        <w:top w:val="none" w:sz="0" w:space="0" w:color="auto"/>
        <w:left w:val="none" w:sz="0" w:space="0" w:color="auto"/>
        <w:bottom w:val="none" w:sz="0" w:space="0" w:color="auto"/>
        <w:right w:val="none" w:sz="0" w:space="0" w:color="auto"/>
      </w:divBdr>
    </w:div>
    <w:div w:id="464663363">
      <w:bodyDiv w:val="1"/>
      <w:marLeft w:val="0"/>
      <w:marRight w:val="0"/>
      <w:marTop w:val="0"/>
      <w:marBottom w:val="0"/>
      <w:divBdr>
        <w:top w:val="none" w:sz="0" w:space="0" w:color="auto"/>
        <w:left w:val="none" w:sz="0" w:space="0" w:color="auto"/>
        <w:bottom w:val="none" w:sz="0" w:space="0" w:color="auto"/>
        <w:right w:val="none" w:sz="0" w:space="0" w:color="auto"/>
      </w:divBdr>
    </w:div>
    <w:div w:id="464933323">
      <w:bodyDiv w:val="1"/>
      <w:marLeft w:val="0"/>
      <w:marRight w:val="0"/>
      <w:marTop w:val="0"/>
      <w:marBottom w:val="0"/>
      <w:divBdr>
        <w:top w:val="none" w:sz="0" w:space="0" w:color="auto"/>
        <w:left w:val="none" w:sz="0" w:space="0" w:color="auto"/>
        <w:bottom w:val="none" w:sz="0" w:space="0" w:color="auto"/>
        <w:right w:val="none" w:sz="0" w:space="0" w:color="auto"/>
      </w:divBdr>
    </w:div>
    <w:div w:id="464934207">
      <w:bodyDiv w:val="1"/>
      <w:marLeft w:val="0"/>
      <w:marRight w:val="0"/>
      <w:marTop w:val="0"/>
      <w:marBottom w:val="0"/>
      <w:divBdr>
        <w:top w:val="none" w:sz="0" w:space="0" w:color="auto"/>
        <w:left w:val="none" w:sz="0" w:space="0" w:color="auto"/>
        <w:bottom w:val="none" w:sz="0" w:space="0" w:color="auto"/>
        <w:right w:val="none" w:sz="0" w:space="0" w:color="auto"/>
      </w:divBdr>
    </w:div>
    <w:div w:id="465005073">
      <w:bodyDiv w:val="1"/>
      <w:marLeft w:val="0"/>
      <w:marRight w:val="0"/>
      <w:marTop w:val="0"/>
      <w:marBottom w:val="0"/>
      <w:divBdr>
        <w:top w:val="none" w:sz="0" w:space="0" w:color="auto"/>
        <w:left w:val="none" w:sz="0" w:space="0" w:color="auto"/>
        <w:bottom w:val="none" w:sz="0" w:space="0" w:color="auto"/>
        <w:right w:val="none" w:sz="0" w:space="0" w:color="auto"/>
      </w:divBdr>
    </w:div>
    <w:div w:id="465204174">
      <w:bodyDiv w:val="1"/>
      <w:marLeft w:val="0"/>
      <w:marRight w:val="0"/>
      <w:marTop w:val="0"/>
      <w:marBottom w:val="0"/>
      <w:divBdr>
        <w:top w:val="none" w:sz="0" w:space="0" w:color="auto"/>
        <w:left w:val="none" w:sz="0" w:space="0" w:color="auto"/>
        <w:bottom w:val="none" w:sz="0" w:space="0" w:color="auto"/>
        <w:right w:val="none" w:sz="0" w:space="0" w:color="auto"/>
      </w:divBdr>
    </w:div>
    <w:div w:id="465241249">
      <w:bodyDiv w:val="1"/>
      <w:marLeft w:val="0"/>
      <w:marRight w:val="0"/>
      <w:marTop w:val="0"/>
      <w:marBottom w:val="0"/>
      <w:divBdr>
        <w:top w:val="none" w:sz="0" w:space="0" w:color="auto"/>
        <w:left w:val="none" w:sz="0" w:space="0" w:color="auto"/>
        <w:bottom w:val="none" w:sz="0" w:space="0" w:color="auto"/>
        <w:right w:val="none" w:sz="0" w:space="0" w:color="auto"/>
      </w:divBdr>
    </w:div>
    <w:div w:id="465582644">
      <w:bodyDiv w:val="1"/>
      <w:marLeft w:val="0"/>
      <w:marRight w:val="0"/>
      <w:marTop w:val="0"/>
      <w:marBottom w:val="0"/>
      <w:divBdr>
        <w:top w:val="none" w:sz="0" w:space="0" w:color="auto"/>
        <w:left w:val="none" w:sz="0" w:space="0" w:color="auto"/>
        <w:bottom w:val="none" w:sz="0" w:space="0" w:color="auto"/>
        <w:right w:val="none" w:sz="0" w:space="0" w:color="auto"/>
      </w:divBdr>
    </w:div>
    <w:div w:id="465584763">
      <w:bodyDiv w:val="1"/>
      <w:marLeft w:val="0"/>
      <w:marRight w:val="0"/>
      <w:marTop w:val="0"/>
      <w:marBottom w:val="0"/>
      <w:divBdr>
        <w:top w:val="none" w:sz="0" w:space="0" w:color="auto"/>
        <w:left w:val="none" w:sz="0" w:space="0" w:color="auto"/>
        <w:bottom w:val="none" w:sz="0" w:space="0" w:color="auto"/>
        <w:right w:val="none" w:sz="0" w:space="0" w:color="auto"/>
      </w:divBdr>
    </w:div>
    <w:div w:id="465701741">
      <w:bodyDiv w:val="1"/>
      <w:marLeft w:val="0"/>
      <w:marRight w:val="0"/>
      <w:marTop w:val="0"/>
      <w:marBottom w:val="0"/>
      <w:divBdr>
        <w:top w:val="none" w:sz="0" w:space="0" w:color="auto"/>
        <w:left w:val="none" w:sz="0" w:space="0" w:color="auto"/>
        <w:bottom w:val="none" w:sz="0" w:space="0" w:color="auto"/>
        <w:right w:val="none" w:sz="0" w:space="0" w:color="auto"/>
      </w:divBdr>
    </w:div>
    <w:div w:id="465703254">
      <w:bodyDiv w:val="1"/>
      <w:marLeft w:val="0"/>
      <w:marRight w:val="0"/>
      <w:marTop w:val="0"/>
      <w:marBottom w:val="0"/>
      <w:divBdr>
        <w:top w:val="none" w:sz="0" w:space="0" w:color="auto"/>
        <w:left w:val="none" w:sz="0" w:space="0" w:color="auto"/>
        <w:bottom w:val="none" w:sz="0" w:space="0" w:color="auto"/>
        <w:right w:val="none" w:sz="0" w:space="0" w:color="auto"/>
      </w:divBdr>
    </w:div>
    <w:div w:id="465852863">
      <w:bodyDiv w:val="1"/>
      <w:marLeft w:val="0"/>
      <w:marRight w:val="0"/>
      <w:marTop w:val="0"/>
      <w:marBottom w:val="0"/>
      <w:divBdr>
        <w:top w:val="none" w:sz="0" w:space="0" w:color="auto"/>
        <w:left w:val="none" w:sz="0" w:space="0" w:color="auto"/>
        <w:bottom w:val="none" w:sz="0" w:space="0" w:color="auto"/>
        <w:right w:val="none" w:sz="0" w:space="0" w:color="auto"/>
      </w:divBdr>
    </w:div>
    <w:div w:id="465896639">
      <w:bodyDiv w:val="1"/>
      <w:marLeft w:val="0"/>
      <w:marRight w:val="0"/>
      <w:marTop w:val="0"/>
      <w:marBottom w:val="0"/>
      <w:divBdr>
        <w:top w:val="none" w:sz="0" w:space="0" w:color="auto"/>
        <w:left w:val="none" w:sz="0" w:space="0" w:color="auto"/>
        <w:bottom w:val="none" w:sz="0" w:space="0" w:color="auto"/>
        <w:right w:val="none" w:sz="0" w:space="0" w:color="auto"/>
      </w:divBdr>
    </w:div>
    <w:div w:id="466164605">
      <w:bodyDiv w:val="1"/>
      <w:marLeft w:val="0"/>
      <w:marRight w:val="0"/>
      <w:marTop w:val="0"/>
      <w:marBottom w:val="0"/>
      <w:divBdr>
        <w:top w:val="none" w:sz="0" w:space="0" w:color="auto"/>
        <w:left w:val="none" w:sz="0" w:space="0" w:color="auto"/>
        <w:bottom w:val="none" w:sz="0" w:space="0" w:color="auto"/>
        <w:right w:val="none" w:sz="0" w:space="0" w:color="auto"/>
      </w:divBdr>
    </w:div>
    <w:div w:id="466237552">
      <w:bodyDiv w:val="1"/>
      <w:marLeft w:val="0"/>
      <w:marRight w:val="0"/>
      <w:marTop w:val="0"/>
      <w:marBottom w:val="0"/>
      <w:divBdr>
        <w:top w:val="none" w:sz="0" w:space="0" w:color="auto"/>
        <w:left w:val="none" w:sz="0" w:space="0" w:color="auto"/>
        <w:bottom w:val="none" w:sz="0" w:space="0" w:color="auto"/>
        <w:right w:val="none" w:sz="0" w:space="0" w:color="auto"/>
      </w:divBdr>
    </w:div>
    <w:div w:id="466243605">
      <w:bodyDiv w:val="1"/>
      <w:marLeft w:val="0"/>
      <w:marRight w:val="0"/>
      <w:marTop w:val="0"/>
      <w:marBottom w:val="0"/>
      <w:divBdr>
        <w:top w:val="none" w:sz="0" w:space="0" w:color="auto"/>
        <w:left w:val="none" w:sz="0" w:space="0" w:color="auto"/>
        <w:bottom w:val="none" w:sz="0" w:space="0" w:color="auto"/>
        <w:right w:val="none" w:sz="0" w:space="0" w:color="auto"/>
      </w:divBdr>
    </w:div>
    <w:div w:id="466314187">
      <w:bodyDiv w:val="1"/>
      <w:marLeft w:val="0"/>
      <w:marRight w:val="0"/>
      <w:marTop w:val="0"/>
      <w:marBottom w:val="0"/>
      <w:divBdr>
        <w:top w:val="none" w:sz="0" w:space="0" w:color="auto"/>
        <w:left w:val="none" w:sz="0" w:space="0" w:color="auto"/>
        <w:bottom w:val="none" w:sz="0" w:space="0" w:color="auto"/>
        <w:right w:val="none" w:sz="0" w:space="0" w:color="auto"/>
      </w:divBdr>
    </w:div>
    <w:div w:id="466434282">
      <w:bodyDiv w:val="1"/>
      <w:marLeft w:val="0"/>
      <w:marRight w:val="0"/>
      <w:marTop w:val="0"/>
      <w:marBottom w:val="0"/>
      <w:divBdr>
        <w:top w:val="none" w:sz="0" w:space="0" w:color="auto"/>
        <w:left w:val="none" w:sz="0" w:space="0" w:color="auto"/>
        <w:bottom w:val="none" w:sz="0" w:space="0" w:color="auto"/>
        <w:right w:val="none" w:sz="0" w:space="0" w:color="auto"/>
      </w:divBdr>
    </w:div>
    <w:div w:id="466513759">
      <w:bodyDiv w:val="1"/>
      <w:marLeft w:val="0"/>
      <w:marRight w:val="0"/>
      <w:marTop w:val="0"/>
      <w:marBottom w:val="0"/>
      <w:divBdr>
        <w:top w:val="none" w:sz="0" w:space="0" w:color="auto"/>
        <w:left w:val="none" w:sz="0" w:space="0" w:color="auto"/>
        <w:bottom w:val="none" w:sz="0" w:space="0" w:color="auto"/>
        <w:right w:val="none" w:sz="0" w:space="0" w:color="auto"/>
      </w:divBdr>
    </w:div>
    <w:div w:id="466624180">
      <w:bodyDiv w:val="1"/>
      <w:marLeft w:val="0"/>
      <w:marRight w:val="0"/>
      <w:marTop w:val="0"/>
      <w:marBottom w:val="0"/>
      <w:divBdr>
        <w:top w:val="none" w:sz="0" w:space="0" w:color="auto"/>
        <w:left w:val="none" w:sz="0" w:space="0" w:color="auto"/>
        <w:bottom w:val="none" w:sz="0" w:space="0" w:color="auto"/>
        <w:right w:val="none" w:sz="0" w:space="0" w:color="auto"/>
      </w:divBdr>
    </w:div>
    <w:div w:id="466631888">
      <w:bodyDiv w:val="1"/>
      <w:marLeft w:val="0"/>
      <w:marRight w:val="0"/>
      <w:marTop w:val="0"/>
      <w:marBottom w:val="0"/>
      <w:divBdr>
        <w:top w:val="none" w:sz="0" w:space="0" w:color="auto"/>
        <w:left w:val="none" w:sz="0" w:space="0" w:color="auto"/>
        <w:bottom w:val="none" w:sz="0" w:space="0" w:color="auto"/>
        <w:right w:val="none" w:sz="0" w:space="0" w:color="auto"/>
      </w:divBdr>
    </w:div>
    <w:div w:id="466702457">
      <w:bodyDiv w:val="1"/>
      <w:marLeft w:val="0"/>
      <w:marRight w:val="0"/>
      <w:marTop w:val="0"/>
      <w:marBottom w:val="0"/>
      <w:divBdr>
        <w:top w:val="none" w:sz="0" w:space="0" w:color="auto"/>
        <w:left w:val="none" w:sz="0" w:space="0" w:color="auto"/>
        <w:bottom w:val="none" w:sz="0" w:space="0" w:color="auto"/>
        <w:right w:val="none" w:sz="0" w:space="0" w:color="auto"/>
      </w:divBdr>
    </w:div>
    <w:div w:id="467087046">
      <w:bodyDiv w:val="1"/>
      <w:marLeft w:val="0"/>
      <w:marRight w:val="0"/>
      <w:marTop w:val="0"/>
      <w:marBottom w:val="0"/>
      <w:divBdr>
        <w:top w:val="none" w:sz="0" w:space="0" w:color="auto"/>
        <w:left w:val="none" w:sz="0" w:space="0" w:color="auto"/>
        <w:bottom w:val="none" w:sz="0" w:space="0" w:color="auto"/>
        <w:right w:val="none" w:sz="0" w:space="0" w:color="auto"/>
      </w:divBdr>
    </w:div>
    <w:div w:id="467168628">
      <w:bodyDiv w:val="1"/>
      <w:marLeft w:val="0"/>
      <w:marRight w:val="0"/>
      <w:marTop w:val="0"/>
      <w:marBottom w:val="0"/>
      <w:divBdr>
        <w:top w:val="none" w:sz="0" w:space="0" w:color="auto"/>
        <w:left w:val="none" w:sz="0" w:space="0" w:color="auto"/>
        <w:bottom w:val="none" w:sz="0" w:space="0" w:color="auto"/>
        <w:right w:val="none" w:sz="0" w:space="0" w:color="auto"/>
      </w:divBdr>
    </w:div>
    <w:div w:id="467206535">
      <w:bodyDiv w:val="1"/>
      <w:marLeft w:val="0"/>
      <w:marRight w:val="0"/>
      <w:marTop w:val="0"/>
      <w:marBottom w:val="0"/>
      <w:divBdr>
        <w:top w:val="none" w:sz="0" w:space="0" w:color="auto"/>
        <w:left w:val="none" w:sz="0" w:space="0" w:color="auto"/>
        <w:bottom w:val="none" w:sz="0" w:space="0" w:color="auto"/>
        <w:right w:val="none" w:sz="0" w:space="0" w:color="auto"/>
      </w:divBdr>
    </w:div>
    <w:div w:id="467211940">
      <w:bodyDiv w:val="1"/>
      <w:marLeft w:val="0"/>
      <w:marRight w:val="0"/>
      <w:marTop w:val="0"/>
      <w:marBottom w:val="0"/>
      <w:divBdr>
        <w:top w:val="none" w:sz="0" w:space="0" w:color="auto"/>
        <w:left w:val="none" w:sz="0" w:space="0" w:color="auto"/>
        <w:bottom w:val="none" w:sz="0" w:space="0" w:color="auto"/>
        <w:right w:val="none" w:sz="0" w:space="0" w:color="auto"/>
      </w:divBdr>
    </w:div>
    <w:div w:id="467286039">
      <w:bodyDiv w:val="1"/>
      <w:marLeft w:val="0"/>
      <w:marRight w:val="0"/>
      <w:marTop w:val="0"/>
      <w:marBottom w:val="0"/>
      <w:divBdr>
        <w:top w:val="none" w:sz="0" w:space="0" w:color="auto"/>
        <w:left w:val="none" w:sz="0" w:space="0" w:color="auto"/>
        <w:bottom w:val="none" w:sz="0" w:space="0" w:color="auto"/>
        <w:right w:val="none" w:sz="0" w:space="0" w:color="auto"/>
      </w:divBdr>
    </w:div>
    <w:div w:id="467288197">
      <w:bodyDiv w:val="1"/>
      <w:marLeft w:val="0"/>
      <w:marRight w:val="0"/>
      <w:marTop w:val="0"/>
      <w:marBottom w:val="0"/>
      <w:divBdr>
        <w:top w:val="none" w:sz="0" w:space="0" w:color="auto"/>
        <w:left w:val="none" w:sz="0" w:space="0" w:color="auto"/>
        <w:bottom w:val="none" w:sz="0" w:space="0" w:color="auto"/>
        <w:right w:val="none" w:sz="0" w:space="0" w:color="auto"/>
      </w:divBdr>
    </w:div>
    <w:div w:id="467361703">
      <w:bodyDiv w:val="1"/>
      <w:marLeft w:val="0"/>
      <w:marRight w:val="0"/>
      <w:marTop w:val="0"/>
      <w:marBottom w:val="0"/>
      <w:divBdr>
        <w:top w:val="none" w:sz="0" w:space="0" w:color="auto"/>
        <w:left w:val="none" w:sz="0" w:space="0" w:color="auto"/>
        <w:bottom w:val="none" w:sz="0" w:space="0" w:color="auto"/>
        <w:right w:val="none" w:sz="0" w:space="0" w:color="auto"/>
      </w:divBdr>
    </w:div>
    <w:div w:id="467548631">
      <w:bodyDiv w:val="1"/>
      <w:marLeft w:val="0"/>
      <w:marRight w:val="0"/>
      <w:marTop w:val="0"/>
      <w:marBottom w:val="0"/>
      <w:divBdr>
        <w:top w:val="none" w:sz="0" w:space="0" w:color="auto"/>
        <w:left w:val="none" w:sz="0" w:space="0" w:color="auto"/>
        <w:bottom w:val="none" w:sz="0" w:space="0" w:color="auto"/>
        <w:right w:val="none" w:sz="0" w:space="0" w:color="auto"/>
      </w:divBdr>
    </w:div>
    <w:div w:id="467630824">
      <w:bodyDiv w:val="1"/>
      <w:marLeft w:val="0"/>
      <w:marRight w:val="0"/>
      <w:marTop w:val="0"/>
      <w:marBottom w:val="0"/>
      <w:divBdr>
        <w:top w:val="none" w:sz="0" w:space="0" w:color="auto"/>
        <w:left w:val="none" w:sz="0" w:space="0" w:color="auto"/>
        <w:bottom w:val="none" w:sz="0" w:space="0" w:color="auto"/>
        <w:right w:val="none" w:sz="0" w:space="0" w:color="auto"/>
      </w:divBdr>
    </w:div>
    <w:div w:id="467666618">
      <w:bodyDiv w:val="1"/>
      <w:marLeft w:val="0"/>
      <w:marRight w:val="0"/>
      <w:marTop w:val="0"/>
      <w:marBottom w:val="0"/>
      <w:divBdr>
        <w:top w:val="none" w:sz="0" w:space="0" w:color="auto"/>
        <w:left w:val="none" w:sz="0" w:space="0" w:color="auto"/>
        <w:bottom w:val="none" w:sz="0" w:space="0" w:color="auto"/>
        <w:right w:val="none" w:sz="0" w:space="0" w:color="auto"/>
      </w:divBdr>
    </w:div>
    <w:div w:id="467673877">
      <w:bodyDiv w:val="1"/>
      <w:marLeft w:val="0"/>
      <w:marRight w:val="0"/>
      <w:marTop w:val="0"/>
      <w:marBottom w:val="0"/>
      <w:divBdr>
        <w:top w:val="none" w:sz="0" w:space="0" w:color="auto"/>
        <w:left w:val="none" w:sz="0" w:space="0" w:color="auto"/>
        <w:bottom w:val="none" w:sz="0" w:space="0" w:color="auto"/>
        <w:right w:val="none" w:sz="0" w:space="0" w:color="auto"/>
      </w:divBdr>
    </w:div>
    <w:div w:id="467741820">
      <w:bodyDiv w:val="1"/>
      <w:marLeft w:val="0"/>
      <w:marRight w:val="0"/>
      <w:marTop w:val="0"/>
      <w:marBottom w:val="0"/>
      <w:divBdr>
        <w:top w:val="none" w:sz="0" w:space="0" w:color="auto"/>
        <w:left w:val="none" w:sz="0" w:space="0" w:color="auto"/>
        <w:bottom w:val="none" w:sz="0" w:space="0" w:color="auto"/>
        <w:right w:val="none" w:sz="0" w:space="0" w:color="auto"/>
      </w:divBdr>
    </w:div>
    <w:div w:id="467742352">
      <w:bodyDiv w:val="1"/>
      <w:marLeft w:val="0"/>
      <w:marRight w:val="0"/>
      <w:marTop w:val="0"/>
      <w:marBottom w:val="0"/>
      <w:divBdr>
        <w:top w:val="none" w:sz="0" w:space="0" w:color="auto"/>
        <w:left w:val="none" w:sz="0" w:space="0" w:color="auto"/>
        <w:bottom w:val="none" w:sz="0" w:space="0" w:color="auto"/>
        <w:right w:val="none" w:sz="0" w:space="0" w:color="auto"/>
      </w:divBdr>
    </w:div>
    <w:div w:id="467744169">
      <w:bodyDiv w:val="1"/>
      <w:marLeft w:val="0"/>
      <w:marRight w:val="0"/>
      <w:marTop w:val="0"/>
      <w:marBottom w:val="0"/>
      <w:divBdr>
        <w:top w:val="none" w:sz="0" w:space="0" w:color="auto"/>
        <w:left w:val="none" w:sz="0" w:space="0" w:color="auto"/>
        <w:bottom w:val="none" w:sz="0" w:space="0" w:color="auto"/>
        <w:right w:val="none" w:sz="0" w:space="0" w:color="auto"/>
      </w:divBdr>
    </w:div>
    <w:div w:id="467822730">
      <w:bodyDiv w:val="1"/>
      <w:marLeft w:val="0"/>
      <w:marRight w:val="0"/>
      <w:marTop w:val="0"/>
      <w:marBottom w:val="0"/>
      <w:divBdr>
        <w:top w:val="none" w:sz="0" w:space="0" w:color="auto"/>
        <w:left w:val="none" w:sz="0" w:space="0" w:color="auto"/>
        <w:bottom w:val="none" w:sz="0" w:space="0" w:color="auto"/>
        <w:right w:val="none" w:sz="0" w:space="0" w:color="auto"/>
      </w:divBdr>
    </w:div>
    <w:div w:id="467823046">
      <w:bodyDiv w:val="1"/>
      <w:marLeft w:val="0"/>
      <w:marRight w:val="0"/>
      <w:marTop w:val="0"/>
      <w:marBottom w:val="0"/>
      <w:divBdr>
        <w:top w:val="none" w:sz="0" w:space="0" w:color="auto"/>
        <w:left w:val="none" w:sz="0" w:space="0" w:color="auto"/>
        <w:bottom w:val="none" w:sz="0" w:space="0" w:color="auto"/>
        <w:right w:val="none" w:sz="0" w:space="0" w:color="auto"/>
      </w:divBdr>
    </w:div>
    <w:div w:id="467823886">
      <w:bodyDiv w:val="1"/>
      <w:marLeft w:val="0"/>
      <w:marRight w:val="0"/>
      <w:marTop w:val="0"/>
      <w:marBottom w:val="0"/>
      <w:divBdr>
        <w:top w:val="none" w:sz="0" w:space="0" w:color="auto"/>
        <w:left w:val="none" w:sz="0" w:space="0" w:color="auto"/>
        <w:bottom w:val="none" w:sz="0" w:space="0" w:color="auto"/>
        <w:right w:val="none" w:sz="0" w:space="0" w:color="auto"/>
      </w:divBdr>
    </w:div>
    <w:div w:id="467892893">
      <w:bodyDiv w:val="1"/>
      <w:marLeft w:val="0"/>
      <w:marRight w:val="0"/>
      <w:marTop w:val="0"/>
      <w:marBottom w:val="0"/>
      <w:divBdr>
        <w:top w:val="none" w:sz="0" w:space="0" w:color="auto"/>
        <w:left w:val="none" w:sz="0" w:space="0" w:color="auto"/>
        <w:bottom w:val="none" w:sz="0" w:space="0" w:color="auto"/>
        <w:right w:val="none" w:sz="0" w:space="0" w:color="auto"/>
      </w:divBdr>
    </w:div>
    <w:div w:id="467936954">
      <w:bodyDiv w:val="1"/>
      <w:marLeft w:val="0"/>
      <w:marRight w:val="0"/>
      <w:marTop w:val="0"/>
      <w:marBottom w:val="0"/>
      <w:divBdr>
        <w:top w:val="none" w:sz="0" w:space="0" w:color="auto"/>
        <w:left w:val="none" w:sz="0" w:space="0" w:color="auto"/>
        <w:bottom w:val="none" w:sz="0" w:space="0" w:color="auto"/>
        <w:right w:val="none" w:sz="0" w:space="0" w:color="auto"/>
      </w:divBdr>
    </w:div>
    <w:div w:id="467944292">
      <w:bodyDiv w:val="1"/>
      <w:marLeft w:val="0"/>
      <w:marRight w:val="0"/>
      <w:marTop w:val="0"/>
      <w:marBottom w:val="0"/>
      <w:divBdr>
        <w:top w:val="none" w:sz="0" w:space="0" w:color="auto"/>
        <w:left w:val="none" w:sz="0" w:space="0" w:color="auto"/>
        <w:bottom w:val="none" w:sz="0" w:space="0" w:color="auto"/>
        <w:right w:val="none" w:sz="0" w:space="0" w:color="auto"/>
      </w:divBdr>
    </w:div>
    <w:div w:id="468061048">
      <w:bodyDiv w:val="1"/>
      <w:marLeft w:val="0"/>
      <w:marRight w:val="0"/>
      <w:marTop w:val="0"/>
      <w:marBottom w:val="0"/>
      <w:divBdr>
        <w:top w:val="none" w:sz="0" w:space="0" w:color="auto"/>
        <w:left w:val="none" w:sz="0" w:space="0" w:color="auto"/>
        <w:bottom w:val="none" w:sz="0" w:space="0" w:color="auto"/>
        <w:right w:val="none" w:sz="0" w:space="0" w:color="auto"/>
      </w:divBdr>
    </w:div>
    <w:div w:id="468282632">
      <w:bodyDiv w:val="1"/>
      <w:marLeft w:val="0"/>
      <w:marRight w:val="0"/>
      <w:marTop w:val="0"/>
      <w:marBottom w:val="0"/>
      <w:divBdr>
        <w:top w:val="none" w:sz="0" w:space="0" w:color="auto"/>
        <w:left w:val="none" w:sz="0" w:space="0" w:color="auto"/>
        <w:bottom w:val="none" w:sz="0" w:space="0" w:color="auto"/>
        <w:right w:val="none" w:sz="0" w:space="0" w:color="auto"/>
      </w:divBdr>
    </w:div>
    <w:div w:id="468397775">
      <w:bodyDiv w:val="1"/>
      <w:marLeft w:val="0"/>
      <w:marRight w:val="0"/>
      <w:marTop w:val="0"/>
      <w:marBottom w:val="0"/>
      <w:divBdr>
        <w:top w:val="none" w:sz="0" w:space="0" w:color="auto"/>
        <w:left w:val="none" w:sz="0" w:space="0" w:color="auto"/>
        <w:bottom w:val="none" w:sz="0" w:space="0" w:color="auto"/>
        <w:right w:val="none" w:sz="0" w:space="0" w:color="auto"/>
      </w:divBdr>
    </w:div>
    <w:div w:id="468473044">
      <w:bodyDiv w:val="1"/>
      <w:marLeft w:val="0"/>
      <w:marRight w:val="0"/>
      <w:marTop w:val="0"/>
      <w:marBottom w:val="0"/>
      <w:divBdr>
        <w:top w:val="none" w:sz="0" w:space="0" w:color="auto"/>
        <w:left w:val="none" w:sz="0" w:space="0" w:color="auto"/>
        <w:bottom w:val="none" w:sz="0" w:space="0" w:color="auto"/>
        <w:right w:val="none" w:sz="0" w:space="0" w:color="auto"/>
      </w:divBdr>
    </w:div>
    <w:div w:id="468593546">
      <w:bodyDiv w:val="1"/>
      <w:marLeft w:val="0"/>
      <w:marRight w:val="0"/>
      <w:marTop w:val="0"/>
      <w:marBottom w:val="0"/>
      <w:divBdr>
        <w:top w:val="none" w:sz="0" w:space="0" w:color="auto"/>
        <w:left w:val="none" w:sz="0" w:space="0" w:color="auto"/>
        <w:bottom w:val="none" w:sz="0" w:space="0" w:color="auto"/>
        <w:right w:val="none" w:sz="0" w:space="0" w:color="auto"/>
      </w:divBdr>
    </w:div>
    <w:div w:id="468593568">
      <w:bodyDiv w:val="1"/>
      <w:marLeft w:val="0"/>
      <w:marRight w:val="0"/>
      <w:marTop w:val="0"/>
      <w:marBottom w:val="0"/>
      <w:divBdr>
        <w:top w:val="none" w:sz="0" w:space="0" w:color="auto"/>
        <w:left w:val="none" w:sz="0" w:space="0" w:color="auto"/>
        <w:bottom w:val="none" w:sz="0" w:space="0" w:color="auto"/>
        <w:right w:val="none" w:sz="0" w:space="0" w:color="auto"/>
      </w:divBdr>
    </w:div>
    <w:div w:id="468859957">
      <w:bodyDiv w:val="1"/>
      <w:marLeft w:val="0"/>
      <w:marRight w:val="0"/>
      <w:marTop w:val="0"/>
      <w:marBottom w:val="0"/>
      <w:divBdr>
        <w:top w:val="none" w:sz="0" w:space="0" w:color="auto"/>
        <w:left w:val="none" w:sz="0" w:space="0" w:color="auto"/>
        <w:bottom w:val="none" w:sz="0" w:space="0" w:color="auto"/>
        <w:right w:val="none" w:sz="0" w:space="0" w:color="auto"/>
      </w:divBdr>
    </w:div>
    <w:div w:id="468936415">
      <w:bodyDiv w:val="1"/>
      <w:marLeft w:val="0"/>
      <w:marRight w:val="0"/>
      <w:marTop w:val="0"/>
      <w:marBottom w:val="0"/>
      <w:divBdr>
        <w:top w:val="none" w:sz="0" w:space="0" w:color="auto"/>
        <w:left w:val="none" w:sz="0" w:space="0" w:color="auto"/>
        <w:bottom w:val="none" w:sz="0" w:space="0" w:color="auto"/>
        <w:right w:val="none" w:sz="0" w:space="0" w:color="auto"/>
      </w:divBdr>
    </w:div>
    <w:div w:id="468941309">
      <w:bodyDiv w:val="1"/>
      <w:marLeft w:val="0"/>
      <w:marRight w:val="0"/>
      <w:marTop w:val="0"/>
      <w:marBottom w:val="0"/>
      <w:divBdr>
        <w:top w:val="none" w:sz="0" w:space="0" w:color="auto"/>
        <w:left w:val="none" w:sz="0" w:space="0" w:color="auto"/>
        <w:bottom w:val="none" w:sz="0" w:space="0" w:color="auto"/>
        <w:right w:val="none" w:sz="0" w:space="0" w:color="auto"/>
      </w:divBdr>
    </w:div>
    <w:div w:id="469178084">
      <w:bodyDiv w:val="1"/>
      <w:marLeft w:val="0"/>
      <w:marRight w:val="0"/>
      <w:marTop w:val="0"/>
      <w:marBottom w:val="0"/>
      <w:divBdr>
        <w:top w:val="none" w:sz="0" w:space="0" w:color="auto"/>
        <w:left w:val="none" w:sz="0" w:space="0" w:color="auto"/>
        <w:bottom w:val="none" w:sz="0" w:space="0" w:color="auto"/>
        <w:right w:val="none" w:sz="0" w:space="0" w:color="auto"/>
      </w:divBdr>
    </w:div>
    <w:div w:id="469250853">
      <w:bodyDiv w:val="1"/>
      <w:marLeft w:val="0"/>
      <w:marRight w:val="0"/>
      <w:marTop w:val="0"/>
      <w:marBottom w:val="0"/>
      <w:divBdr>
        <w:top w:val="none" w:sz="0" w:space="0" w:color="auto"/>
        <w:left w:val="none" w:sz="0" w:space="0" w:color="auto"/>
        <w:bottom w:val="none" w:sz="0" w:space="0" w:color="auto"/>
        <w:right w:val="none" w:sz="0" w:space="0" w:color="auto"/>
      </w:divBdr>
    </w:div>
    <w:div w:id="469444360">
      <w:bodyDiv w:val="1"/>
      <w:marLeft w:val="0"/>
      <w:marRight w:val="0"/>
      <w:marTop w:val="0"/>
      <w:marBottom w:val="0"/>
      <w:divBdr>
        <w:top w:val="none" w:sz="0" w:space="0" w:color="auto"/>
        <w:left w:val="none" w:sz="0" w:space="0" w:color="auto"/>
        <w:bottom w:val="none" w:sz="0" w:space="0" w:color="auto"/>
        <w:right w:val="none" w:sz="0" w:space="0" w:color="auto"/>
      </w:divBdr>
    </w:div>
    <w:div w:id="469445825">
      <w:bodyDiv w:val="1"/>
      <w:marLeft w:val="0"/>
      <w:marRight w:val="0"/>
      <w:marTop w:val="0"/>
      <w:marBottom w:val="0"/>
      <w:divBdr>
        <w:top w:val="none" w:sz="0" w:space="0" w:color="auto"/>
        <w:left w:val="none" w:sz="0" w:space="0" w:color="auto"/>
        <w:bottom w:val="none" w:sz="0" w:space="0" w:color="auto"/>
        <w:right w:val="none" w:sz="0" w:space="0" w:color="auto"/>
      </w:divBdr>
    </w:div>
    <w:div w:id="469520643">
      <w:bodyDiv w:val="1"/>
      <w:marLeft w:val="0"/>
      <w:marRight w:val="0"/>
      <w:marTop w:val="0"/>
      <w:marBottom w:val="0"/>
      <w:divBdr>
        <w:top w:val="none" w:sz="0" w:space="0" w:color="auto"/>
        <w:left w:val="none" w:sz="0" w:space="0" w:color="auto"/>
        <w:bottom w:val="none" w:sz="0" w:space="0" w:color="auto"/>
        <w:right w:val="none" w:sz="0" w:space="0" w:color="auto"/>
      </w:divBdr>
    </w:div>
    <w:div w:id="469590631">
      <w:bodyDiv w:val="1"/>
      <w:marLeft w:val="0"/>
      <w:marRight w:val="0"/>
      <w:marTop w:val="0"/>
      <w:marBottom w:val="0"/>
      <w:divBdr>
        <w:top w:val="none" w:sz="0" w:space="0" w:color="auto"/>
        <w:left w:val="none" w:sz="0" w:space="0" w:color="auto"/>
        <w:bottom w:val="none" w:sz="0" w:space="0" w:color="auto"/>
        <w:right w:val="none" w:sz="0" w:space="0" w:color="auto"/>
      </w:divBdr>
    </w:div>
    <w:div w:id="469594385">
      <w:bodyDiv w:val="1"/>
      <w:marLeft w:val="0"/>
      <w:marRight w:val="0"/>
      <w:marTop w:val="0"/>
      <w:marBottom w:val="0"/>
      <w:divBdr>
        <w:top w:val="none" w:sz="0" w:space="0" w:color="auto"/>
        <w:left w:val="none" w:sz="0" w:space="0" w:color="auto"/>
        <w:bottom w:val="none" w:sz="0" w:space="0" w:color="auto"/>
        <w:right w:val="none" w:sz="0" w:space="0" w:color="auto"/>
      </w:divBdr>
    </w:div>
    <w:div w:id="469638093">
      <w:bodyDiv w:val="1"/>
      <w:marLeft w:val="0"/>
      <w:marRight w:val="0"/>
      <w:marTop w:val="0"/>
      <w:marBottom w:val="0"/>
      <w:divBdr>
        <w:top w:val="none" w:sz="0" w:space="0" w:color="auto"/>
        <w:left w:val="none" w:sz="0" w:space="0" w:color="auto"/>
        <w:bottom w:val="none" w:sz="0" w:space="0" w:color="auto"/>
        <w:right w:val="none" w:sz="0" w:space="0" w:color="auto"/>
      </w:divBdr>
    </w:div>
    <w:div w:id="469710339">
      <w:bodyDiv w:val="1"/>
      <w:marLeft w:val="0"/>
      <w:marRight w:val="0"/>
      <w:marTop w:val="0"/>
      <w:marBottom w:val="0"/>
      <w:divBdr>
        <w:top w:val="none" w:sz="0" w:space="0" w:color="auto"/>
        <w:left w:val="none" w:sz="0" w:space="0" w:color="auto"/>
        <w:bottom w:val="none" w:sz="0" w:space="0" w:color="auto"/>
        <w:right w:val="none" w:sz="0" w:space="0" w:color="auto"/>
      </w:divBdr>
    </w:div>
    <w:div w:id="470027370">
      <w:bodyDiv w:val="1"/>
      <w:marLeft w:val="0"/>
      <w:marRight w:val="0"/>
      <w:marTop w:val="0"/>
      <w:marBottom w:val="0"/>
      <w:divBdr>
        <w:top w:val="none" w:sz="0" w:space="0" w:color="auto"/>
        <w:left w:val="none" w:sz="0" w:space="0" w:color="auto"/>
        <w:bottom w:val="none" w:sz="0" w:space="0" w:color="auto"/>
        <w:right w:val="none" w:sz="0" w:space="0" w:color="auto"/>
      </w:divBdr>
    </w:div>
    <w:div w:id="470093836">
      <w:bodyDiv w:val="1"/>
      <w:marLeft w:val="0"/>
      <w:marRight w:val="0"/>
      <w:marTop w:val="0"/>
      <w:marBottom w:val="0"/>
      <w:divBdr>
        <w:top w:val="none" w:sz="0" w:space="0" w:color="auto"/>
        <w:left w:val="none" w:sz="0" w:space="0" w:color="auto"/>
        <w:bottom w:val="none" w:sz="0" w:space="0" w:color="auto"/>
        <w:right w:val="none" w:sz="0" w:space="0" w:color="auto"/>
      </w:divBdr>
    </w:div>
    <w:div w:id="470095529">
      <w:bodyDiv w:val="1"/>
      <w:marLeft w:val="0"/>
      <w:marRight w:val="0"/>
      <w:marTop w:val="0"/>
      <w:marBottom w:val="0"/>
      <w:divBdr>
        <w:top w:val="none" w:sz="0" w:space="0" w:color="auto"/>
        <w:left w:val="none" w:sz="0" w:space="0" w:color="auto"/>
        <w:bottom w:val="none" w:sz="0" w:space="0" w:color="auto"/>
        <w:right w:val="none" w:sz="0" w:space="0" w:color="auto"/>
      </w:divBdr>
    </w:div>
    <w:div w:id="470099101">
      <w:bodyDiv w:val="1"/>
      <w:marLeft w:val="0"/>
      <w:marRight w:val="0"/>
      <w:marTop w:val="0"/>
      <w:marBottom w:val="0"/>
      <w:divBdr>
        <w:top w:val="none" w:sz="0" w:space="0" w:color="auto"/>
        <w:left w:val="none" w:sz="0" w:space="0" w:color="auto"/>
        <w:bottom w:val="none" w:sz="0" w:space="0" w:color="auto"/>
        <w:right w:val="none" w:sz="0" w:space="0" w:color="auto"/>
      </w:divBdr>
    </w:div>
    <w:div w:id="470099721">
      <w:bodyDiv w:val="1"/>
      <w:marLeft w:val="0"/>
      <w:marRight w:val="0"/>
      <w:marTop w:val="0"/>
      <w:marBottom w:val="0"/>
      <w:divBdr>
        <w:top w:val="none" w:sz="0" w:space="0" w:color="auto"/>
        <w:left w:val="none" w:sz="0" w:space="0" w:color="auto"/>
        <w:bottom w:val="none" w:sz="0" w:space="0" w:color="auto"/>
        <w:right w:val="none" w:sz="0" w:space="0" w:color="auto"/>
      </w:divBdr>
    </w:div>
    <w:div w:id="470370872">
      <w:bodyDiv w:val="1"/>
      <w:marLeft w:val="0"/>
      <w:marRight w:val="0"/>
      <w:marTop w:val="0"/>
      <w:marBottom w:val="0"/>
      <w:divBdr>
        <w:top w:val="none" w:sz="0" w:space="0" w:color="auto"/>
        <w:left w:val="none" w:sz="0" w:space="0" w:color="auto"/>
        <w:bottom w:val="none" w:sz="0" w:space="0" w:color="auto"/>
        <w:right w:val="none" w:sz="0" w:space="0" w:color="auto"/>
      </w:divBdr>
    </w:div>
    <w:div w:id="470562388">
      <w:bodyDiv w:val="1"/>
      <w:marLeft w:val="0"/>
      <w:marRight w:val="0"/>
      <w:marTop w:val="0"/>
      <w:marBottom w:val="0"/>
      <w:divBdr>
        <w:top w:val="none" w:sz="0" w:space="0" w:color="auto"/>
        <w:left w:val="none" w:sz="0" w:space="0" w:color="auto"/>
        <w:bottom w:val="none" w:sz="0" w:space="0" w:color="auto"/>
        <w:right w:val="none" w:sz="0" w:space="0" w:color="auto"/>
      </w:divBdr>
    </w:div>
    <w:div w:id="470756793">
      <w:bodyDiv w:val="1"/>
      <w:marLeft w:val="0"/>
      <w:marRight w:val="0"/>
      <w:marTop w:val="0"/>
      <w:marBottom w:val="0"/>
      <w:divBdr>
        <w:top w:val="none" w:sz="0" w:space="0" w:color="auto"/>
        <w:left w:val="none" w:sz="0" w:space="0" w:color="auto"/>
        <w:bottom w:val="none" w:sz="0" w:space="0" w:color="auto"/>
        <w:right w:val="none" w:sz="0" w:space="0" w:color="auto"/>
      </w:divBdr>
    </w:div>
    <w:div w:id="470757079">
      <w:bodyDiv w:val="1"/>
      <w:marLeft w:val="0"/>
      <w:marRight w:val="0"/>
      <w:marTop w:val="0"/>
      <w:marBottom w:val="0"/>
      <w:divBdr>
        <w:top w:val="none" w:sz="0" w:space="0" w:color="auto"/>
        <w:left w:val="none" w:sz="0" w:space="0" w:color="auto"/>
        <w:bottom w:val="none" w:sz="0" w:space="0" w:color="auto"/>
        <w:right w:val="none" w:sz="0" w:space="0" w:color="auto"/>
      </w:divBdr>
    </w:div>
    <w:div w:id="470827691">
      <w:bodyDiv w:val="1"/>
      <w:marLeft w:val="0"/>
      <w:marRight w:val="0"/>
      <w:marTop w:val="0"/>
      <w:marBottom w:val="0"/>
      <w:divBdr>
        <w:top w:val="none" w:sz="0" w:space="0" w:color="auto"/>
        <w:left w:val="none" w:sz="0" w:space="0" w:color="auto"/>
        <w:bottom w:val="none" w:sz="0" w:space="0" w:color="auto"/>
        <w:right w:val="none" w:sz="0" w:space="0" w:color="auto"/>
      </w:divBdr>
    </w:div>
    <w:div w:id="470906354">
      <w:bodyDiv w:val="1"/>
      <w:marLeft w:val="0"/>
      <w:marRight w:val="0"/>
      <w:marTop w:val="0"/>
      <w:marBottom w:val="0"/>
      <w:divBdr>
        <w:top w:val="none" w:sz="0" w:space="0" w:color="auto"/>
        <w:left w:val="none" w:sz="0" w:space="0" w:color="auto"/>
        <w:bottom w:val="none" w:sz="0" w:space="0" w:color="auto"/>
        <w:right w:val="none" w:sz="0" w:space="0" w:color="auto"/>
      </w:divBdr>
    </w:div>
    <w:div w:id="470907791">
      <w:bodyDiv w:val="1"/>
      <w:marLeft w:val="0"/>
      <w:marRight w:val="0"/>
      <w:marTop w:val="0"/>
      <w:marBottom w:val="0"/>
      <w:divBdr>
        <w:top w:val="none" w:sz="0" w:space="0" w:color="auto"/>
        <w:left w:val="none" w:sz="0" w:space="0" w:color="auto"/>
        <w:bottom w:val="none" w:sz="0" w:space="0" w:color="auto"/>
        <w:right w:val="none" w:sz="0" w:space="0" w:color="auto"/>
      </w:divBdr>
    </w:div>
    <w:div w:id="470908666">
      <w:bodyDiv w:val="1"/>
      <w:marLeft w:val="0"/>
      <w:marRight w:val="0"/>
      <w:marTop w:val="0"/>
      <w:marBottom w:val="0"/>
      <w:divBdr>
        <w:top w:val="none" w:sz="0" w:space="0" w:color="auto"/>
        <w:left w:val="none" w:sz="0" w:space="0" w:color="auto"/>
        <w:bottom w:val="none" w:sz="0" w:space="0" w:color="auto"/>
        <w:right w:val="none" w:sz="0" w:space="0" w:color="auto"/>
      </w:divBdr>
    </w:div>
    <w:div w:id="471101162">
      <w:bodyDiv w:val="1"/>
      <w:marLeft w:val="0"/>
      <w:marRight w:val="0"/>
      <w:marTop w:val="0"/>
      <w:marBottom w:val="0"/>
      <w:divBdr>
        <w:top w:val="none" w:sz="0" w:space="0" w:color="auto"/>
        <w:left w:val="none" w:sz="0" w:space="0" w:color="auto"/>
        <w:bottom w:val="none" w:sz="0" w:space="0" w:color="auto"/>
        <w:right w:val="none" w:sz="0" w:space="0" w:color="auto"/>
      </w:divBdr>
    </w:div>
    <w:div w:id="471139579">
      <w:bodyDiv w:val="1"/>
      <w:marLeft w:val="0"/>
      <w:marRight w:val="0"/>
      <w:marTop w:val="0"/>
      <w:marBottom w:val="0"/>
      <w:divBdr>
        <w:top w:val="none" w:sz="0" w:space="0" w:color="auto"/>
        <w:left w:val="none" w:sz="0" w:space="0" w:color="auto"/>
        <w:bottom w:val="none" w:sz="0" w:space="0" w:color="auto"/>
        <w:right w:val="none" w:sz="0" w:space="0" w:color="auto"/>
      </w:divBdr>
    </w:div>
    <w:div w:id="471144488">
      <w:bodyDiv w:val="1"/>
      <w:marLeft w:val="0"/>
      <w:marRight w:val="0"/>
      <w:marTop w:val="0"/>
      <w:marBottom w:val="0"/>
      <w:divBdr>
        <w:top w:val="none" w:sz="0" w:space="0" w:color="auto"/>
        <w:left w:val="none" w:sz="0" w:space="0" w:color="auto"/>
        <w:bottom w:val="none" w:sz="0" w:space="0" w:color="auto"/>
        <w:right w:val="none" w:sz="0" w:space="0" w:color="auto"/>
      </w:divBdr>
    </w:div>
    <w:div w:id="471215166">
      <w:bodyDiv w:val="1"/>
      <w:marLeft w:val="0"/>
      <w:marRight w:val="0"/>
      <w:marTop w:val="0"/>
      <w:marBottom w:val="0"/>
      <w:divBdr>
        <w:top w:val="none" w:sz="0" w:space="0" w:color="auto"/>
        <w:left w:val="none" w:sz="0" w:space="0" w:color="auto"/>
        <w:bottom w:val="none" w:sz="0" w:space="0" w:color="auto"/>
        <w:right w:val="none" w:sz="0" w:space="0" w:color="auto"/>
      </w:divBdr>
    </w:div>
    <w:div w:id="471292938">
      <w:bodyDiv w:val="1"/>
      <w:marLeft w:val="0"/>
      <w:marRight w:val="0"/>
      <w:marTop w:val="0"/>
      <w:marBottom w:val="0"/>
      <w:divBdr>
        <w:top w:val="none" w:sz="0" w:space="0" w:color="auto"/>
        <w:left w:val="none" w:sz="0" w:space="0" w:color="auto"/>
        <w:bottom w:val="none" w:sz="0" w:space="0" w:color="auto"/>
        <w:right w:val="none" w:sz="0" w:space="0" w:color="auto"/>
      </w:divBdr>
    </w:div>
    <w:div w:id="471404686">
      <w:bodyDiv w:val="1"/>
      <w:marLeft w:val="0"/>
      <w:marRight w:val="0"/>
      <w:marTop w:val="0"/>
      <w:marBottom w:val="0"/>
      <w:divBdr>
        <w:top w:val="none" w:sz="0" w:space="0" w:color="auto"/>
        <w:left w:val="none" w:sz="0" w:space="0" w:color="auto"/>
        <w:bottom w:val="none" w:sz="0" w:space="0" w:color="auto"/>
        <w:right w:val="none" w:sz="0" w:space="0" w:color="auto"/>
      </w:divBdr>
    </w:div>
    <w:div w:id="471409440">
      <w:bodyDiv w:val="1"/>
      <w:marLeft w:val="0"/>
      <w:marRight w:val="0"/>
      <w:marTop w:val="0"/>
      <w:marBottom w:val="0"/>
      <w:divBdr>
        <w:top w:val="none" w:sz="0" w:space="0" w:color="auto"/>
        <w:left w:val="none" w:sz="0" w:space="0" w:color="auto"/>
        <w:bottom w:val="none" w:sz="0" w:space="0" w:color="auto"/>
        <w:right w:val="none" w:sz="0" w:space="0" w:color="auto"/>
      </w:divBdr>
    </w:div>
    <w:div w:id="471484349">
      <w:bodyDiv w:val="1"/>
      <w:marLeft w:val="0"/>
      <w:marRight w:val="0"/>
      <w:marTop w:val="0"/>
      <w:marBottom w:val="0"/>
      <w:divBdr>
        <w:top w:val="none" w:sz="0" w:space="0" w:color="auto"/>
        <w:left w:val="none" w:sz="0" w:space="0" w:color="auto"/>
        <w:bottom w:val="none" w:sz="0" w:space="0" w:color="auto"/>
        <w:right w:val="none" w:sz="0" w:space="0" w:color="auto"/>
      </w:divBdr>
    </w:div>
    <w:div w:id="471555716">
      <w:bodyDiv w:val="1"/>
      <w:marLeft w:val="0"/>
      <w:marRight w:val="0"/>
      <w:marTop w:val="0"/>
      <w:marBottom w:val="0"/>
      <w:divBdr>
        <w:top w:val="none" w:sz="0" w:space="0" w:color="auto"/>
        <w:left w:val="none" w:sz="0" w:space="0" w:color="auto"/>
        <w:bottom w:val="none" w:sz="0" w:space="0" w:color="auto"/>
        <w:right w:val="none" w:sz="0" w:space="0" w:color="auto"/>
      </w:divBdr>
    </w:div>
    <w:div w:id="471563092">
      <w:bodyDiv w:val="1"/>
      <w:marLeft w:val="0"/>
      <w:marRight w:val="0"/>
      <w:marTop w:val="0"/>
      <w:marBottom w:val="0"/>
      <w:divBdr>
        <w:top w:val="none" w:sz="0" w:space="0" w:color="auto"/>
        <w:left w:val="none" w:sz="0" w:space="0" w:color="auto"/>
        <w:bottom w:val="none" w:sz="0" w:space="0" w:color="auto"/>
        <w:right w:val="none" w:sz="0" w:space="0" w:color="auto"/>
      </w:divBdr>
    </w:div>
    <w:div w:id="471607271">
      <w:bodyDiv w:val="1"/>
      <w:marLeft w:val="0"/>
      <w:marRight w:val="0"/>
      <w:marTop w:val="0"/>
      <w:marBottom w:val="0"/>
      <w:divBdr>
        <w:top w:val="none" w:sz="0" w:space="0" w:color="auto"/>
        <w:left w:val="none" w:sz="0" w:space="0" w:color="auto"/>
        <w:bottom w:val="none" w:sz="0" w:space="0" w:color="auto"/>
        <w:right w:val="none" w:sz="0" w:space="0" w:color="auto"/>
      </w:divBdr>
    </w:div>
    <w:div w:id="471748769">
      <w:bodyDiv w:val="1"/>
      <w:marLeft w:val="0"/>
      <w:marRight w:val="0"/>
      <w:marTop w:val="0"/>
      <w:marBottom w:val="0"/>
      <w:divBdr>
        <w:top w:val="none" w:sz="0" w:space="0" w:color="auto"/>
        <w:left w:val="none" w:sz="0" w:space="0" w:color="auto"/>
        <w:bottom w:val="none" w:sz="0" w:space="0" w:color="auto"/>
        <w:right w:val="none" w:sz="0" w:space="0" w:color="auto"/>
      </w:divBdr>
    </w:div>
    <w:div w:id="471825856">
      <w:bodyDiv w:val="1"/>
      <w:marLeft w:val="0"/>
      <w:marRight w:val="0"/>
      <w:marTop w:val="0"/>
      <w:marBottom w:val="0"/>
      <w:divBdr>
        <w:top w:val="none" w:sz="0" w:space="0" w:color="auto"/>
        <w:left w:val="none" w:sz="0" w:space="0" w:color="auto"/>
        <w:bottom w:val="none" w:sz="0" w:space="0" w:color="auto"/>
        <w:right w:val="none" w:sz="0" w:space="0" w:color="auto"/>
      </w:divBdr>
    </w:div>
    <w:div w:id="471866782">
      <w:bodyDiv w:val="1"/>
      <w:marLeft w:val="0"/>
      <w:marRight w:val="0"/>
      <w:marTop w:val="0"/>
      <w:marBottom w:val="0"/>
      <w:divBdr>
        <w:top w:val="none" w:sz="0" w:space="0" w:color="auto"/>
        <w:left w:val="none" w:sz="0" w:space="0" w:color="auto"/>
        <w:bottom w:val="none" w:sz="0" w:space="0" w:color="auto"/>
        <w:right w:val="none" w:sz="0" w:space="0" w:color="auto"/>
      </w:divBdr>
    </w:div>
    <w:div w:id="471875868">
      <w:bodyDiv w:val="1"/>
      <w:marLeft w:val="0"/>
      <w:marRight w:val="0"/>
      <w:marTop w:val="0"/>
      <w:marBottom w:val="0"/>
      <w:divBdr>
        <w:top w:val="none" w:sz="0" w:space="0" w:color="auto"/>
        <w:left w:val="none" w:sz="0" w:space="0" w:color="auto"/>
        <w:bottom w:val="none" w:sz="0" w:space="0" w:color="auto"/>
        <w:right w:val="none" w:sz="0" w:space="0" w:color="auto"/>
      </w:divBdr>
    </w:div>
    <w:div w:id="472067453">
      <w:bodyDiv w:val="1"/>
      <w:marLeft w:val="0"/>
      <w:marRight w:val="0"/>
      <w:marTop w:val="0"/>
      <w:marBottom w:val="0"/>
      <w:divBdr>
        <w:top w:val="none" w:sz="0" w:space="0" w:color="auto"/>
        <w:left w:val="none" w:sz="0" w:space="0" w:color="auto"/>
        <w:bottom w:val="none" w:sz="0" w:space="0" w:color="auto"/>
        <w:right w:val="none" w:sz="0" w:space="0" w:color="auto"/>
      </w:divBdr>
    </w:div>
    <w:div w:id="472140107">
      <w:bodyDiv w:val="1"/>
      <w:marLeft w:val="0"/>
      <w:marRight w:val="0"/>
      <w:marTop w:val="0"/>
      <w:marBottom w:val="0"/>
      <w:divBdr>
        <w:top w:val="none" w:sz="0" w:space="0" w:color="auto"/>
        <w:left w:val="none" w:sz="0" w:space="0" w:color="auto"/>
        <w:bottom w:val="none" w:sz="0" w:space="0" w:color="auto"/>
        <w:right w:val="none" w:sz="0" w:space="0" w:color="auto"/>
      </w:divBdr>
    </w:div>
    <w:div w:id="472212866">
      <w:bodyDiv w:val="1"/>
      <w:marLeft w:val="0"/>
      <w:marRight w:val="0"/>
      <w:marTop w:val="0"/>
      <w:marBottom w:val="0"/>
      <w:divBdr>
        <w:top w:val="none" w:sz="0" w:space="0" w:color="auto"/>
        <w:left w:val="none" w:sz="0" w:space="0" w:color="auto"/>
        <w:bottom w:val="none" w:sz="0" w:space="0" w:color="auto"/>
        <w:right w:val="none" w:sz="0" w:space="0" w:color="auto"/>
      </w:divBdr>
    </w:div>
    <w:div w:id="472214098">
      <w:bodyDiv w:val="1"/>
      <w:marLeft w:val="0"/>
      <w:marRight w:val="0"/>
      <w:marTop w:val="0"/>
      <w:marBottom w:val="0"/>
      <w:divBdr>
        <w:top w:val="none" w:sz="0" w:space="0" w:color="auto"/>
        <w:left w:val="none" w:sz="0" w:space="0" w:color="auto"/>
        <w:bottom w:val="none" w:sz="0" w:space="0" w:color="auto"/>
        <w:right w:val="none" w:sz="0" w:space="0" w:color="auto"/>
      </w:divBdr>
    </w:div>
    <w:div w:id="472403549">
      <w:bodyDiv w:val="1"/>
      <w:marLeft w:val="0"/>
      <w:marRight w:val="0"/>
      <w:marTop w:val="0"/>
      <w:marBottom w:val="0"/>
      <w:divBdr>
        <w:top w:val="none" w:sz="0" w:space="0" w:color="auto"/>
        <w:left w:val="none" w:sz="0" w:space="0" w:color="auto"/>
        <w:bottom w:val="none" w:sz="0" w:space="0" w:color="auto"/>
        <w:right w:val="none" w:sz="0" w:space="0" w:color="auto"/>
      </w:divBdr>
    </w:div>
    <w:div w:id="472407043">
      <w:bodyDiv w:val="1"/>
      <w:marLeft w:val="0"/>
      <w:marRight w:val="0"/>
      <w:marTop w:val="0"/>
      <w:marBottom w:val="0"/>
      <w:divBdr>
        <w:top w:val="none" w:sz="0" w:space="0" w:color="auto"/>
        <w:left w:val="none" w:sz="0" w:space="0" w:color="auto"/>
        <w:bottom w:val="none" w:sz="0" w:space="0" w:color="auto"/>
        <w:right w:val="none" w:sz="0" w:space="0" w:color="auto"/>
      </w:divBdr>
    </w:div>
    <w:div w:id="472521952">
      <w:bodyDiv w:val="1"/>
      <w:marLeft w:val="0"/>
      <w:marRight w:val="0"/>
      <w:marTop w:val="0"/>
      <w:marBottom w:val="0"/>
      <w:divBdr>
        <w:top w:val="none" w:sz="0" w:space="0" w:color="auto"/>
        <w:left w:val="none" w:sz="0" w:space="0" w:color="auto"/>
        <w:bottom w:val="none" w:sz="0" w:space="0" w:color="auto"/>
        <w:right w:val="none" w:sz="0" w:space="0" w:color="auto"/>
      </w:divBdr>
    </w:div>
    <w:div w:id="472719583">
      <w:bodyDiv w:val="1"/>
      <w:marLeft w:val="0"/>
      <w:marRight w:val="0"/>
      <w:marTop w:val="0"/>
      <w:marBottom w:val="0"/>
      <w:divBdr>
        <w:top w:val="none" w:sz="0" w:space="0" w:color="auto"/>
        <w:left w:val="none" w:sz="0" w:space="0" w:color="auto"/>
        <w:bottom w:val="none" w:sz="0" w:space="0" w:color="auto"/>
        <w:right w:val="none" w:sz="0" w:space="0" w:color="auto"/>
      </w:divBdr>
    </w:div>
    <w:div w:id="472986847">
      <w:bodyDiv w:val="1"/>
      <w:marLeft w:val="0"/>
      <w:marRight w:val="0"/>
      <w:marTop w:val="0"/>
      <w:marBottom w:val="0"/>
      <w:divBdr>
        <w:top w:val="none" w:sz="0" w:space="0" w:color="auto"/>
        <w:left w:val="none" w:sz="0" w:space="0" w:color="auto"/>
        <w:bottom w:val="none" w:sz="0" w:space="0" w:color="auto"/>
        <w:right w:val="none" w:sz="0" w:space="0" w:color="auto"/>
      </w:divBdr>
    </w:div>
    <w:div w:id="473059251">
      <w:bodyDiv w:val="1"/>
      <w:marLeft w:val="0"/>
      <w:marRight w:val="0"/>
      <w:marTop w:val="0"/>
      <w:marBottom w:val="0"/>
      <w:divBdr>
        <w:top w:val="none" w:sz="0" w:space="0" w:color="auto"/>
        <w:left w:val="none" w:sz="0" w:space="0" w:color="auto"/>
        <w:bottom w:val="none" w:sz="0" w:space="0" w:color="auto"/>
        <w:right w:val="none" w:sz="0" w:space="0" w:color="auto"/>
      </w:divBdr>
    </w:div>
    <w:div w:id="473066014">
      <w:bodyDiv w:val="1"/>
      <w:marLeft w:val="0"/>
      <w:marRight w:val="0"/>
      <w:marTop w:val="0"/>
      <w:marBottom w:val="0"/>
      <w:divBdr>
        <w:top w:val="none" w:sz="0" w:space="0" w:color="auto"/>
        <w:left w:val="none" w:sz="0" w:space="0" w:color="auto"/>
        <w:bottom w:val="none" w:sz="0" w:space="0" w:color="auto"/>
        <w:right w:val="none" w:sz="0" w:space="0" w:color="auto"/>
      </w:divBdr>
    </w:div>
    <w:div w:id="473066756">
      <w:bodyDiv w:val="1"/>
      <w:marLeft w:val="0"/>
      <w:marRight w:val="0"/>
      <w:marTop w:val="0"/>
      <w:marBottom w:val="0"/>
      <w:divBdr>
        <w:top w:val="none" w:sz="0" w:space="0" w:color="auto"/>
        <w:left w:val="none" w:sz="0" w:space="0" w:color="auto"/>
        <w:bottom w:val="none" w:sz="0" w:space="0" w:color="auto"/>
        <w:right w:val="none" w:sz="0" w:space="0" w:color="auto"/>
      </w:divBdr>
    </w:div>
    <w:div w:id="473107436">
      <w:bodyDiv w:val="1"/>
      <w:marLeft w:val="0"/>
      <w:marRight w:val="0"/>
      <w:marTop w:val="0"/>
      <w:marBottom w:val="0"/>
      <w:divBdr>
        <w:top w:val="none" w:sz="0" w:space="0" w:color="auto"/>
        <w:left w:val="none" w:sz="0" w:space="0" w:color="auto"/>
        <w:bottom w:val="none" w:sz="0" w:space="0" w:color="auto"/>
        <w:right w:val="none" w:sz="0" w:space="0" w:color="auto"/>
      </w:divBdr>
    </w:div>
    <w:div w:id="473134636">
      <w:bodyDiv w:val="1"/>
      <w:marLeft w:val="0"/>
      <w:marRight w:val="0"/>
      <w:marTop w:val="0"/>
      <w:marBottom w:val="0"/>
      <w:divBdr>
        <w:top w:val="none" w:sz="0" w:space="0" w:color="auto"/>
        <w:left w:val="none" w:sz="0" w:space="0" w:color="auto"/>
        <w:bottom w:val="none" w:sz="0" w:space="0" w:color="auto"/>
        <w:right w:val="none" w:sz="0" w:space="0" w:color="auto"/>
      </w:divBdr>
    </w:div>
    <w:div w:id="473259789">
      <w:bodyDiv w:val="1"/>
      <w:marLeft w:val="0"/>
      <w:marRight w:val="0"/>
      <w:marTop w:val="0"/>
      <w:marBottom w:val="0"/>
      <w:divBdr>
        <w:top w:val="none" w:sz="0" w:space="0" w:color="auto"/>
        <w:left w:val="none" w:sz="0" w:space="0" w:color="auto"/>
        <w:bottom w:val="none" w:sz="0" w:space="0" w:color="auto"/>
        <w:right w:val="none" w:sz="0" w:space="0" w:color="auto"/>
      </w:divBdr>
    </w:div>
    <w:div w:id="473261403">
      <w:bodyDiv w:val="1"/>
      <w:marLeft w:val="0"/>
      <w:marRight w:val="0"/>
      <w:marTop w:val="0"/>
      <w:marBottom w:val="0"/>
      <w:divBdr>
        <w:top w:val="none" w:sz="0" w:space="0" w:color="auto"/>
        <w:left w:val="none" w:sz="0" w:space="0" w:color="auto"/>
        <w:bottom w:val="none" w:sz="0" w:space="0" w:color="auto"/>
        <w:right w:val="none" w:sz="0" w:space="0" w:color="auto"/>
      </w:divBdr>
    </w:div>
    <w:div w:id="473378484">
      <w:bodyDiv w:val="1"/>
      <w:marLeft w:val="0"/>
      <w:marRight w:val="0"/>
      <w:marTop w:val="0"/>
      <w:marBottom w:val="0"/>
      <w:divBdr>
        <w:top w:val="none" w:sz="0" w:space="0" w:color="auto"/>
        <w:left w:val="none" w:sz="0" w:space="0" w:color="auto"/>
        <w:bottom w:val="none" w:sz="0" w:space="0" w:color="auto"/>
        <w:right w:val="none" w:sz="0" w:space="0" w:color="auto"/>
      </w:divBdr>
    </w:div>
    <w:div w:id="473448482">
      <w:bodyDiv w:val="1"/>
      <w:marLeft w:val="0"/>
      <w:marRight w:val="0"/>
      <w:marTop w:val="0"/>
      <w:marBottom w:val="0"/>
      <w:divBdr>
        <w:top w:val="none" w:sz="0" w:space="0" w:color="auto"/>
        <w:left w:val="none" w:sz="0" w:space="0" w:color="auto"/>
        <w:bottom w:val="none" w:sz="0" w:space="0" w:color="auto"/>
        <w:right w:val="none" w:sz="0" w:space="0" w:color="auto"/>
      </w:divBdr>
    </w:div>
    <w:div w:id="473453907">
      <w:bodyDiv w:val="1"/>
      <w:marLeft w:val="0"/>
      <w:marRight w:val="0"/>
      <w:marTop w:val="0"/>
      <w:marBottom w:val="0"/>
      <w:divBdr>
        <w:top w:val="none" w:sz="0" w:space="0" w:color="auto"/>
        <w:left w:val="none" w:sz="0" w:space="0" w:color="auto"/>
        <w:bottom w:val="none" w:sz="0" w:space="0" w:color="auto"/>
        <w:right w:val="none" w:sz="0" w:space="0" w:color="auto"/>
      </w:divBdr>
    </w:div>
    <w:div w:id="473523013">
      <w:bodyDiv w:val="1"/>
      <w:marLeft w:val="0"/>
      <w:marRight w:val="0"/>
      <w:marTop w:val="0"/>
      <w:marBottom w:val="0"/>
      <w:divBdr>
        <w:top w:val="none" w:sz="0" w:space="0" w:color="auto"/>
        <w:left w:val="none" w:sz="0" w:space="0" w:color="auto"/>
        <w:bottom w:val="none" w:sz="0" w:space="0" w:color="auto"/>
        <w:right w:val="none" w:sz="0" w:space="0" w:color="auto"/>
      </w:divBdr>
    </w:div>
    <w:div w:id="473524114">
      <w:bodyDiv w:val="1"/>
      <w:marLeft w:val="0"/>
      <w:marRight w:val="0"/>
      <w:marTop w:val="0"/>
      <w:marBottom w:val="0"/>
      <w:divBdr>
        <w:top w:val="none" w:sz="0" w:space="0" w:color="auto"/>
        <w:left w:val="none" w:sz="0" w:space="0" w:color="auto"/>
        <w:bottom w:val="none" w:sz="0" w:space="0" w:color="auto"/>
        <w:right w:val="none" w:sz="0" w:space="0" w:color="auto"/>
      </w:divBdr>
    </w:div>
    <w:div w:id="473529844">
      <w:bodyDiv w:val="1"/>
      <w:marLeft w:val="0"/>
      <w:marRight w:val="0"/>
      <w:marTop w:val="0"/>
      <w:marBottom w:val="0"/>
      <w:divBdr>
        <w:top w:val="none" w:sz="0" w:space="0" w:color="auto"/>
        <w:left w:val="none" w:sz="0" w:space="0" w:color="auto"/>
        <w:bottom w:val="none" w:sz="0" w:space="0" w:color="auto"/>
        <w:right w:val="none" w:sz="0" w:space="0" w:color="auto"/>
      </w:divBdr>
    </w:div>
    <w:div w:id="473639600">
      <w:bodyDiv w:val="1"/>
      <w:marLeft w:val="0"/>
      <w:marRight w:val="0"/>
      <w:marTop w:val="0"/>
      <w:marBottom w:val="0"/>
      <w:divBdr>
        <w:top w:val="none" w:sz="0" w:space="0" w:color="auto"/>
        <w:left w:val="none" w:sz="0" w:space="0" w:color="auto"/>
        <w:bottom w:val="none" w:sz="0" w:space="0" w:color="auto"/>
        <w:right w:val="none" w:sz="0" w:space="0" w:color="auto"/>
      </w:divBdr>
    </w:div>
    <w:div w:id="473642494">
      <w:bodyDiv w:val="1"/>
      <w:marLeft w:val="0"/>
      <w:marRight w:val="0"/>
      <w:marTop w:val="0"/>
      <w:marBottom w:val="0"/>
      <w:divBdr>
        <w:top w:val="none" w:sz="0" w:space="0" w:color="auto"/>
        <w:left w:val="none" w:sz="0" w:space="0" w:color="auto"/>
        <w:bottom w:val="none" w:sz="0" w:space="0" w:color="auto"/>
        <w:right w:val="none" w:sz="0" w:space="0" w:color="auto"/>
      </w:divBdr>
    </w:div>
    <w:div w:id="473715377">
      <w:bodyDiv w:val="1"/>
      <w:marLeft w:val="0"/>
      <w:marRight w:val="0"/>
      <w:marTop w:val="0"/>
      <w:marBottom w:val="0"/>
      <w:divBdr>
        <w:top w:val="none" w:sz="0" w:space="0" w:color="auto"/>
        <w:left w:val="none" w:sz="0" w:space="0" w:color="auto"/>
        <w:bottom w:val="none" w:sz="0" w:space="0" w:color="auto"/>
        <w:right w:val="none" w:sz="0" w:space="0" w:color="auto"/>
      </w:divBdr>
    </w:div>
    <w:div w:id="473836461">
      <w:bodyDiv w:val="1"/>
      <w:marLeft w:val="0"/>
      <w:marRight w:val="0"/>
      <w:marTop w:val="0"/>
      <w:marBottom w:val="0"/>
      <w:divBdr>
        <w:top w:val="none" w:sz="0" w:space="0" w:color="auto"/>
        <w:left w:val="none" w:sz="0" w:space="0" w:color="auto"/>
        <w:bottom w:val="none" w:sz="0" w:space="0" w:color="auto"/>
        <w:right w:val="none" w:sz="0" w:space="0" w:color="auto"/>
      </w:divBdr>
    </w:div>
    <w:div w:id="473985066">
      <w:bodyDiv w:val="1"/>
      <w:marLeft w:val="0"/>
      <w:marRight w:val="0"/>
      <w:marTop w:val="0"/>
      <w:marBottom w:val="0"/>
      <w:divBdr>
        <w:top w:val="none" w:sz="0" w:space="0" w:color="auto"/>
        <w:left w:val="none" w:sz="0" w:space="0" w:color="auto"/>
        <w:bottom w:val="none" w:sz="0" w:space="0" w:color="auto"/>
        <w:right w:val="none" w:sz="0" w:space="0" w:color="auto"/>
      </w:divBdr>
    </w:div>
    <w:div w:id="474107816">
      <w:bodyDiv w:val="1"/>
      <w:marLeft w:val="0"/>
      <w:marRight w:val="0"/>
      <w:marTop w:val="0"/>
      <w:marBottom w:val="0"/>
      <w:divBdr>
        <w:top w:val="none" w:sz="0" w:space="0" w:color="auto"/>
        <w:left w:val="none" w:sz="0" w:space="0" w:color="auto"/>
        <w:bottom w:val="none" w:sz="0" w:space="0" w:color="auto"/>
        <w:right w:val="none" w:sz="0" w:space="0" w:color="auto"/>
      </w:divBdr>
    </w:div>
    <w:div w:id="474222291">
      <w:bodyDiv w:val="1"/>
      <w:marLeft w:val="0"/>
      <w:marRight w:val="0"/>
      <w:marTop w:val="0"/>
      <w:marBottom w:val="0"/>
      <w:divBdr>
        <w:top w:val="none" w:sz="0" w:space="0" w:color="auto"/>
        <w:left w:val="none" w:sz="0" w:space="0" w:color="auto"/>
        <w:bottom w:val="none" w:sz="0" w:space="0" w:color="auto"/>
        <w:right w:val="none" w:sz="0" w:space="0" w:color="auto"/>
      </w:divBdr>
    </w:div>
    <w:div w:id="474225201">
      <w:bodyDiv w:val="1"/>
      <w:marLeft w:val="0"/>
      <w:marRight w:val="0"/>
      <w:marTop w:val="0"/>
      <w:marBottom w:val="0"/>
      <w:divBdr>
        <w:top w:val="none" w:sz="0" w:space="0" w:color="auto"/>
        <w:left w:val="none" w:sz="0" w:space="0" w:color="auto"/>
        <w:bottom w:val="none" w:sz="0" w:space="0" w:color="auto"/>
        <w:right w:val="none" w:sz="0" w:space="0" w:color="auto"/>
      </w:divBdr>
    </w:div>
    <w:div w:id="474226714">
      <w:bodyDiv w:val="1"/>
      <w:marLeft w:val="0"/>
      <w:marRight w:val="0"/>
      <w:marTop w:val="0"/>
      <w:marBottom w:val="0"/>
      <w:divBdr>
        <w:top w:val="none" w:sz="0" w:space="0" w:color="auto"/>
        <w:left w:val="none" w:sz="0" w:space="0" w:color="auto"/>
        <w:bottom w:val="none" w:sz="0" w:space="0" w:color="auto"/>
        <w:right w:val="none" w:sz="0" w:space="0" w:color="auto"/>
      </w:divBdr>
    </w:div>
    <w:div w:id="474227707">
      <w:bodyDiv w:val="1"/>
      <w:marLeft w:val="0"/>
      <w:marRight w:val="0"/>
      <w:marTop w:val="0"/>
      <w:marBottom w:val="0"/>
      <w:divBdr>
        <w:top w:val="none" w:sz="0" w:space="0" w:color="auto"/>
        <w:left w:val="none" w:sz="0" w:space="0" w:color="auto"/>
        <w:bottom w:val="none" w:sz="0" w:space="0" w:color="auto"/>
        <w:right w:val="none" w:sz="0" w:space="0" w:color="auto"/>
      </w:divBdr>
    </w:div>
    <w:div w:id="474300140">
      <w:bodyDiv w:val="1"/>
      <w:marLeft w:val="0"/>
      <w:marRight w:val="0"/>
      <w:marTop w:val="0"/>
      <w:marBottom w:val="0"/>
      <w:divBdr>
        <w:top w:val="none" w:sz="0" w:space="0" w:color="auto"/>
        <w:left w:val="none" w:sz="0" w:space="0" w:color="auto"/>
        <w:bottom w:val="none" w:sz="0" w:space="0" w:color="auto"/>
        <w:right w:val="none" w:sz="0" w:space="0" w:color="auto"/>
      </w:divBdr>
    </w:div>
    <w:div w:id="474300581">
      <w:bodyDiv w:val="1"/>
      <w:marLeft w:val="0"/>
      <w:marRight w:val="0"/>
      <w:marTop w:val="0"/>
      <w:marBottom w:val="0"/>
      <w:divBdr>
        <w:top w:val="none" w:sz="0" w:space="0" w:color="auto"/>
        <w:left w:val="none" w:sz="0" w:space="0" w:color="auto"/>
        <w:bottom w:val="none" w:sz="0" w:space="0" w:color="auto"/>
        <w:right w:val="none" w:sz="0" w:space="0" w:color="auto"/>
      </w:divBdr>
    </w:div>
    <w:div w:id="474419301">
      <w:bodyDiv w:val="1"/>
      <w:marLeft w:val="0"/>
      <w:marRight w:val="0"/>
      <w:marTop w:val="0"/>
      <w:marBottom w:val="0"/>
      <w:divBdr>
        <w:top w:val="none" w:sz="0" w:space="0" w:color="auto"/>
        <w:left w:val="none" w:sz="0" w:space="0" w:color="auto"/>
        <w:bottom w:val="none" w:sz="0" w:space="0" w:color="auto"/>
        <w:right w:val="none" w:sz="0" w:space="0" w:color="auto"/>
      </w:divBdr>
    </w:div>
    <w:div w:id="474639212">
      <w:bodyDiv w:val="1"/>
      <w:marLeft w:val="0"/>
      <w:marRight w:val="0"/>
      <w:marTop w:val="0"/>
      <w:marBottom w:val="0"/>
      <w:divBdr>
        <w:top w:val="none" w:sz="0" w:space="0" w:color="auto"/>
        <w:left w:val="none" w:sz="0" w:space="0" w:color="auto"/>
        <w:bottom w:val="none" w:sz="0" w:space="0" w:color="auto"/>
        <w:right w:val="none" w:sz="0" w:space="0" w:color="auto"/>
      </w:divBdr>
    </w:div>
    <w:div w:id="474686051">
      <w:bodyDiv w:val="1"/>
      <w:marLeft w:val="0"/>
      <w:marRight w:val="0"/>
      <w:marTop w:val="0"/>
      <w:marBottom w:val="0"/>
      <w:divBdr>
        <w:top w:val="none" w:sz="0" w:space="0" w:color="auto"/>
        <w:left w:val="none" w:sz="0" w:space="0" w:color="auto"/>
        <w:bottom w:val="none" w:sz="0" w:space="0" w:color="auto"/>
        <w:right w:val="none" w:sz="0" w:space="0" w:color="auto"/>
      </w:divBdr>
    </w:div>
    <w:div w:id="474759700">
      <w:bodyDiv w:val="1"/>
      <w:marLeft w:val="0"/>
      <w:marRight w:val="0"/>
      <w:marTop w:val="0"/>
      <w:marBottom w:val="0"/>
      <w:divBdr>
        <w:top w:val="none" w:sz="0" w:space="0" w:color="auto"/>
        <w:left w:val="none" w:sz="0" w:space="0" w:color="auto"/>
        <w:bottom w:val="none" w:sz="0" w:space="0" w:color="auto"/>
        <w:right w:val="none" w:sz="0" w:space="0" w:color="auto"/>
      </w:divBdr>
    </w:div>
    <w:div w:id="474760758">
      <w:bodyDiv w:val="1"/>
      <w:marLeft w:val="0"/>
      <w:marRight w:val="0"/>
      <w:marTop w:val="0"/>
      <w:marBottom w:val="0"/>
      <w:divBdr>
        <w:top w:val="none" w:sz="0" w:space="0" w:color="auto"/>
        <w:left w:val="none" w:sz="0" w:space="0" w:color="auto"/>
        <w:bottom w:val="none" w:sz="0" w:space="0" w:color="auto"/>
        <w:right w:val="none" w:sz="0" w:space="0" w:color="auto"/>
      </w:divBdr>
    </w:div>
    <w:div w:id="474834399">
      <w:bodyDiv w:val="1"/>
      <w:marLeft w:val="0"/>
      <w:marRight w:val="0"/>
      <w:marTop w:val="0"/>
      <w:marBottom w:val="0"/>
      <w:divBdr>
        <w:top w:val="none" w:sz="0" w:space="0" w:color="auto"/>
        <w:left w:val="none" w:sz="0" w:space="0" w:color="auto"/>
        <w:bottom w:val="none" w:sz="0" w:space="0" w:color="auto"/>
        <w:right w:val="none" w:sz="0" w:space="0" w:color="auto"/>
      </w:divBdr>
    </w:div>
    <w:div w:id="474836872">
      <w:bodyDiv w:val="1"/>
      <w:marLeft w:val="0"/>
      <w:marRight w:val="0"/>
      <w:marTop w:val="0"/>
      <w:marBottom w:val="0"/>
      <w:divBdr>
        <w:top w:val="none" w:sz="0" w:space="0" w:color="auto"/>
        <w:left w:val="none" w:sz="0" w:space="0" w:color="auto"/>
        <w:bottom w:val="none" w:sz="0" w:space="0" w:color="auto"/>
        <w:right w:val="none" w:sz="0" w:space="0" w:color="auto"/>
      </w:divBdr>
    </w:div>
    <w:div w:id="474957374">
      <w:bodyDiv w:val="1"/>
      <w:marLeft w:val="0"/>
      <w:marRight w:val="0"/>
      <w:marTop w:val="0"/>
      <w:marBottom w:val="0"/>
      <w:divBdr>
        <w:top w:val="none" w:sz="0" w:space="0" w:color="auto"/>
        <w:left w:val="none" w:sz="0" w:space="0" w:color="auto"/>
        <w:bottom w:val="none" w:sz="0" w:space="0" w:color="auto"/>
        <w:right w:val="none" w:sz="0" w:space="0" w:color="auto"/>
      </w:divBdr>
    </w:div>
    <w:div w:id="475075318">
      <w:bodyDiv w:val="1"/>
      <w:marLeft w:val="0"/>
      <w:marRight w:val="0"/>
      <w:marTop w:val="0"/>
      <w:marBottom w:val="0"/>
      <w:divBdr>
        <w:top w:val="none" w:sz="0" w:space="0" w:color="auto"/>
        <w:left w:val="none" w:sz="0" w:space="0" w:color="auto"/>
        <w:bottom w:val="none" w:sz="0" w:space="0" w:color="auto"/>
        <w:right w:val="none" w:sz="0" w:space="0" w:color="auto"/>
      </w:divBdr>
    </w:div>
    <w:div w:id="475100464">
      <w:bodyDiv w:val="1"/>
      <w:marLeft w:val="0"/>
      <w:marRight w:val="0"/>
      <w:marTop w:val="0"/>
      <w:marBottom w:val="0"/>
      <w:divBdr>
        <w:top w:val="none" w:sz="0" w:space="0" w:color="auto"/>
        <w:left w:val="none" w:sz="0" w:space="0" w:color="auto"/>
        <w:bottom w:val="none" w:sz="0" w:space="0" w:color="auto"/>
        <w:right w:val="none" w:sz="0" w:space="0" w:color="auto"/>
      </w:divBdr>
    </w:div>
    <w:div w:id="475146285">
      <w:bodyDiv w:val="1"/>
      <w:marLeft w:val="0"/>
      <w:marRight w:val="0"/>
      <w:marTop w:val="0"/>
      <w:marBottom w:val="0"/>
      <w:divBdr>
        <w:top w:val="none" w:sz="0" w:space="0" w:color="auto"/>
        <w:left w:val="none" w:sz="0" w:space="0" w:color="auto"/>
        <w:bottom w:val="none" w:sz="0" w:space="0" w:color="auto"/>
        <w:right w:val="none" w:sz="0" w:space="0" w:color="auto"/>
      </w:divBdr>
    </w:div>
    <w:div w:id="475294818">
      <w:bodyDiv w:val="1"/>
      <w:marLeft w:val="0"/>
      <w:marRight w:val="0"/>
      <w:marTop w:val="0"/>
      <w:marBottom w:val="0"/>
      <w:divBdr>
        <w:top w:val="none" w:sz="0" w:space="0" w:color="auto"/>
        <w:left w:val="none" w:sz="0" w:space="0" w:color="auto"/>
        <w:bottom w:val="none" w:sz="0" w:space="0" w:color="auto"/>
        <w:right w:val="none" w:sz="0" w:space="0" w:color="auto"/>
      </w:divBdr>
    </w:div>
    <w:div w:id="475413304">
      <w:bodyDiv w:val="1"/>
      <w:marLeft w:val="0"/>
      <w:marRight w:val="0"/>
      <w:marTop w:val="0"/>
      <w:marBottom w:val="0"/>
      <w:divBdr>
        <w:top w:val="none" w:sz="0" w:space="0" w:color="auto"/>
        <w:left w:val="none" w:sz="0" w:space="0" w:color="auto"/>
        <w:bottom w:val="none" w:sz="0" w:space="0" w:color="auto"/>
        <w:right w:val="none" w:sz="0" w:space="0" w:color="auto"/>
      </w:divBdr>
    </w:div>
    <w:div w:id="475537946">
      <w:bodyDiv w:val="1"/>
      <w:marLeft w:val="0"/>
      <w:marRight w:val="0"/>
      <w:marTop w:val="0"/>
      <w:marBottom w:val="0"/>
      <w:divBdr>
        <w:top w:val="none" w:sz="0" w:space="0" w:color="auto"/>
        <w:left w:val="none" w:sz="0" w:space="0" w:color="auto"/>
        <w:bottom w:val="none" w:sz="0" w:space="0" w:color="auto"/>
        <w:right w:val="none" w:sz="0" w:space="0" w:color="auto"/>
      </w:divBdr>
    </w:div>
    <w:div w:id="475799748">
      <w:bodyDiv w:val="1"/>
      <w:marLeft w:val="0"/>
      <w:marRight w:val="0"/>
      <w:marTop w:val="0"/>
      <w:marBottom w:val="0"/>
      <w:divBdr>
        <w:top w:val="none" w:sz="0" w:space="0" w:color="auto"/>
        <w:left w:val="none" w:sz="0" w:space="0" w:color="auto"/>
        <w:bottom w:val="none" w:sz="0" w:space="0" w:color="auto"/>
        <w:right w:val="none" w:sz="0" w:space="0" w:color="auto"/>
      </w:divBdr>
    </w:div>
    <w:div w:id="475876816">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5999749">
      <w:bodyDiv w:val="1"/>
      <w:marLeft w:val="0"/>
      <w:marRight w:val="0"/>
      <w:marTop w:val="0"/>
      <w:marBottom w:val="0"/>
      <w:divBdr>
        <w:top w:val="none" w:sz="0" w:space="0" w:color="auto"/>
        <w:left w:val="none" w:sz="0" w:space="0" w:color="auto"/>
        <w:bottom w:val="none" w:sz="0" w:space="0" w:color="auto"/>
        <w:right w:val="none" w:sz="0" w:space="0" w:color="auto"/>
      </w:divBdr>
    </w:div>
    <w:div w:id="476187218">
      <w:bodyDiv w:val="1"/>
      <w:marLeft w:val="0"/>
      <w:marRight w:val="0"/>
      <w:marTop w:val="0"/>
      <w:marBottom w:val="0"/>
      <w:divBdr>
        <w:top w:val="none" w:sz="0" w:space="0" w:color="auto"/>
        <w:left w:val="none" w:sz="0" w:space="0" w:color="auto"/>
        <w:bottom w:val="none" w:sz="0" w:space="0" w:color="auto"/>
        <w:right w:val="none" w:sz="0" w:space="0" w:color="auto"/>
      </w:divBdr>
    </w:div>
    <w:div w:id="476187371">
      <w:bodyDiv w:val="1"/>
      <w:marLeft w:val="0"/>
      <w:marRight w:val="0"/>
      <w:marTop w:val="0"/>
      <w:marBottom w:val="0"/>
      <w:divBdr>
        <w:top w:val="none" w:sz="0" w:space="0" w:color="auto"/>
        <w:left w:val="none" w:sz="0" w:space="0" w:color="auto"/>
        <w:bottom w:val="none" w:sz="0" w:space="0" w:color="auto"/>
        <w:right w:val="none" w:sz="0" w:space="0" w:color="auto"/>
      </w:divBdr>
    </w:div>
    <w:div w:id="476336889">
      <w:bodyDiv w:val="1"/>
      <w:marLeft w:val="0"/>
      <w:marRight w:val="0"/>
      <w:marTop w:val="0"/>
      <w:marBottom w:val="0"/>
      <w:divBdr>
        <w:top w:val="none" w:sz="0" w:space="0" w:color="auto"/>
        <w:left w:val="none" w:sz="0" w:space="0" w:color="auto"/>
        <w:bottom w:val="none" w:sz="0" w:space="0" w:color="auto"/>
        <w:right w:val="none" w:sz="0" w:space="0" w:color="auto"/>
      </w:divBdr>
    </w:div>
    <w:div w:id="476385132">
      <w:bodyDiv w:val="1"/>
      <w:marLeft w:val="0"/>
      <w:marRight w:val="0"/>
      <w:marTop w:val="0"/>
      <w:marBottom w:val="0"/>
      <w:divBdr>
        <w:top w:val="none" w:sz="0" w:space="0" w:color="auto"/>
        <w:left w:val="none" w:sz="0" w:space="0" w:color="auto"/>
        <w:bottom w:val="none" w:sz="0" w:space="0" w:color="auto"/>
        <w:right w:val="none" w:sz="0" w:space="0" w:color="auto"/>
      </w:divBdr>
    </w:div>
    <w:div w:id="476458321">
      <w:bodyDiv w:val="1"/>
      <w:marLeft w:val="0"/>
      <w:marRight w:val="0"/>
      <w:marTop w:val="0"/>
      <w:marBottom w:val="0"/>
      <w:divBdr>
        <w:top w:val="none" w:sz="0" w:space="0" w:color="auto"/>
        <w:left w:val="none" w:sz="0" w:space="0" w:color="auto"/>
        <w:bottom w:val="none" w:sz="0" w:space="0" w:color="auto"/>
        <w:right w:val="none" w:sz="0" w:space="0" w:color="auto"/>
      </w:divBdr>
    </w:div>
    <w:div w:id="476459818">
      <w:bodyDiv w:val="1"/>
      <w:marLeft w:val="0"/>
      <w:marRight w:val="0"/>
      <w:marTop w:val="0"/>
      <w:marBottom w:val="0"/>
      <w:divBdr>
        <w:top w:val="none" w:sz="0" w:space="0" w:color="auto"/>
        <w:left w:val="none" w:sz="0" w:space="0" w:color="auto"/>
        <w:bottom w:val="none" w:sz="0" w:space="0" w:color="auto"/>
        <w:right w:val="none" w:sz="0" w:space="0" w:color="auto"/>
      </w:divBdr>
    </w:div>
    <w:div w:id="476530444">
      <w:bodyDiv w:val="1"/>
      <w:marLeft w:val="0"/>
      <w:marRight w:val="0"/>
      <w:marTop w:val="0"/>
      <w:marBottom w:val="0"/>
      <w:divBdr>
        <w:top w:val="none" w:sz="0" w:space="0" w:color="auto"/>
        <w:left w:val="none" w:sz="0" w:space="0" w:color="auto"/>
        <w:bottom w:val="none" w:sz="0" w:space="0" w:color="auto"/>
        <w:right w:val="none" w:sz="0" w:space="0" w:color="auto"/>
      </w:divBdr>
    </w:div>
    <w:div w:id="476530778">
      <w:bodyDiv w:val="1"/>
      <w:marLeft w:val="0"/>
      <w:marRight w:val="0"/>
      <w:marTop w:val="0"/>
      <w:marBottom w:val="0"/>
      <w:divBdr>
        <w:top w:val="none" w:sz="0" w:space="0" w:color="auto"/>
        <w:left w:val="none" w:sz="0" w:space="0" w:color="auto"/>
        <w:bottom w:val="none" w:sz="0" w:space="0" w:color="auto"/>
        <w:right w:val="none" w:sz="0" w:space="0" w:color="auto"/>
      </w:divBdr>
    </w:div>
    <w:div w:id="476605469">
      <w:bodyDiv w:val="1"/>
      <w:marLeft w:val="0"/>
      <w:marRight w:val="0"/>
      <w:marTop w:val="0"/>
      <w:marBottom w:val="0"/>
      <w:divBdr>
        <w:top w:val="none" w:sz="0" w:space="0" w:color="auto"/>
        <w:left w:val="none" w:sz="0" w:space="0" w:color="auto"/>
        <w:bottom w:val="none" w:sz="0" w:space="0" w:color="auto"/>
        <w:right w:val="none" w:sz="0" w:space="0" w:color="auto"/>
      </w:divBdr>
    </w:div>
    <w:div w:id="476646834">
      <w:bodyDiv w:val="1"/>
      <w:marLeft w:val="0"/>
      <w:marRight w:val="0"/>
      <w:marTop w:val="0"/>
      <w:marBottom w:val="0"/>
      <w:divBdr>
        <w:top w:val="none" w:sz="0" w:space="0" w:color="auto"/>
        <w:left w:val="none" w:sz="0" w:space="0" w:color="auto"/>
        <w:bottom w:val="none" w:sz="0" w:space="0" w:color="auto"/>
        <w:right w:val="none" w:sz="0" w:space="0" w:color="auto"/>
      </w:divBdr>
    </w:div>
    <w:div w:id="476844634">
      <w:bodyDiv w:val="1"/>
      <w:marLeft w:val="0"/>
      <w:marRight w:val="0"/>
      <w:marTop w:val="0"/>
      <w:marBottom w:val="0"/>
      <w:divBdr>
        <w:top w:val="none" w:sz="0" w:space="0" w:color="auto"/>
        <w:left w:val="none" w:sz="0" w:space="0" w:color="auto"/>
        <w:bottom w:val="none" w:sz="0" w:space="0" w:color="auto"/>
        <w:right w:val="none" w:sz="0" w:space="0" w:color="auto"/>
      </w:divBdr>
    </w:div>
    <w:div w:id="476915364">
      <w:bodyDiv w:val="1"/>
      <w:marLeft w:val="0"/>
      <w:marRight w:val="0"/>
      <w:marTop w:val="0"/>
      <w:marBottom w:val="0"/>
      <w:divBdr>
        <w:top w:val="none" w:sz="0" w:space="0" w:color="auto"/>
        <w:left w:val="none" w:sz="0" w:space="0" w:color="auto"/>
        <w:bottom w:val="none" w:sz="0" w:space="0" w:color="auto"/>
        <w:right w:val="none" w:sz="0" w:space="0" w:color="auto"/>
      </w:divBdr>
    </w:div>
    <w:div w:id="476922052">
      <w:bodyDiv w:val="1"/>
      <w:marLeft w:val="0"/>
      <w:marRight w:val="0"/>
      <w:marTop w:val="0"/>
      <w:marBottom w:val="0"/>
      <w:divBdr>
        <w:top w:val="none" w:sz="0" w:space="0" w:color="auto"/>
        <w:left w:val="none" w:sz="0" w:space="0" w:color="auto"/>
        <w:bottom w:val="none" w:sz="0" w:space="0" w:color="auto"/>
        <w:right w:val="none" w:sz="0" w:space="0" w:color="auto"/>
      </w:divBdr>
    </w:div>
    <w:div w:id="477309913">
      <w:bodyDiv w:val="1"/>
      <w:marLeft w:val="0"/>
      <w:marRight w:val="0"/>
      <w:marTop w:val="0"/>
      <w:marBottom w:val="0"/>
      <w:divBdr>
        <w:top w:val="none" w:sz="0" w:space="0" w:color="auto"/>
        <w:left w:val="none" w:sz="0" w:space="0" w:color="auto"/>
        <w:bottom w:val="none" w:sz="0" w:space="0" w:color="auto"/>
        <w:right w:val="none" w:sz="0" w:space="0" w:color="auto"/>
      </w:divBdr>
    </w:div>
    <w:div w:id="477309979">
      <w:bodyDiv w:val="1"/>
      <w:marLeft w:val="0"/>
      <w:marRight w:val="0"/>
      <w:marTop w:val="0"/>
      <w:marBottom w:val="0"/>
      <w:divBdr>
        <w:top w:val="none" w:sz="0" w:space="0" w:color="auto"/>
        <w:left w:val="none" w:sz="0" w:space="0" w:color="auto"/>
        <w:bottom w:val="none" w:sz="0" w:space="0" w:color="auto"/>
        <w:right w:val="none" w:sz="0" w:space="0" w:color="auto"/>
      </w:divBdr>
    </w:div>
    <w:div w:id="477382508">
      <w:bodyDiv w:val="1"/>
      <w:marLeft w:val="0"/>
      <w:marRight w:val="0"/>
      <w:marTop w:val="0"/>
      <w:marBottom w:val="0"/>
      <w:divBdr>
        <w:top w:val="none" w:sz="0" w:space="0" w:color="auto"/>
        <w:left w:val="none" w:sz="0" w:space="0" w:color="auto"/>
        <w:bottom w:val="none" w:sz="0" w:space="0" w:color="auto"/>
        <w:right w:val="none" w:sz="0" w:space="0" w:color="auto"/>
      </w:divBdr>
    </w:div>
    <w:div w:id="477577438">
      <w:bodyDiv w:val="1"/>
      <w:marLeft w:val="0"/>
      <w:marRight w:val="0"/>
      <w:marTop w:val="0"/>
      <w:marBottom w:val="0"/>
      <w:divBdr>
        <w:top w:val="none" w:sz="0" w:space="0" w:color="auto"/>
        <w:left w:val="none" w:sz="0" w:space="0" w:color="auto"/>
        <w:bottom w:val="none" w:sz="0" w:space="0" w:color="auto"/>
        <w:right w:val="none" w:sz="0" w:space="0" w:color="auto"/>
      </w:divBdr>
    </w:div>
    <w:div w:id="477654540">
      <w:bodyDiv w:val="1"/>
      <w:marLeft w:val="0"/>
      <w:marRight w:val="0"/>
      <w:marTop w:val="0"/>
      <w:marBottom w:val="0"/>
      <w:divBdr>
        <w:top w:val="none" w:sz="0" w:space="0" w:color="auto"/>
        <w:left w:val="none" w:sz="0" w:space="0" w:color="auto"/>
        <w:bottom w:val="none" w:sz="0" w:space="0" w:color="auto"/>
        <w:right w:val="none" w:sz="0" w:space="0" w:color="auto"/>
      </w:divBdr>
    </w:div>
    <w:div w:id="477763900">
      <w:bodyDiv w:val="1"/>
      <w:marLeft w:val="0"/>
      <w:marRight w:val="0"/>
      <w:marTop w:val="0"/>
      <w:marBottom w:val="0"/>
      <w:divBdr>
        <w:top w:val="none" w:sz="0" w:space="0" w:color="auto"/>
        <w:left w:val="none" w:sz="0" w:space="0" w:color="auto"/>
        <w:bottom w:val="none" w:sz="0" w:space="0" w:color="auto"/>
        <w:right w:val="none" w:sz="0" w:space="0" w:color="auto"/>
      </w:divBdr>
    </w:div>
    <w:div w:id="477764128">
      <w:bodyDiv w:val="1"/>
      <w:marLeft w:val="0"/>
      <w:marRight w:val="0"/>
      <w:marTop w:val="0"/>
      <w:marBottom w:val="0"/>
      <w:divBdr>
        <w:top w:val="none" w:sz="0" w:space="0" w:color="auto"/>
        <w:left w:val="none" w:sz="0" w:space="0" w:color="auto"/>
        <w:bottom w:val="none" w:sz="0" w:space="0" w:color="auto"/>
        <w:right w:val="none" w:sz="0" w:space="0" w:color="auto"/>
      </w:divBdr>
    </w:div>
    <w:div w:id="477765436">
      <w:bodyDiv w:val="1"/>
      <w:marLeft w:val="0"/>
      <w:marRight w:val="0"/>
      <w:marTop w:val="0"/>
      <w:marBottom w:val="0"/>
      <w:divBdr>
        <w:top w:val="none" w:sz="0" w:space="0" w:color="auto"/>
        <w:left w:val="none" w:sz="0" w:space="0" w:color="auto"/>
        <w:bottom w:val="none" w:sz="0" w:space="0" w:color="auto"/>
        <w:right w:val="none" w:sz="0" w:space="0" w:color="auto"/>
      </w:divBdr>
    </w:div>
    <w:div w:id="477766422">
      <w:bodyDiv w:val="1"/>
      <w:marLeft w:val="0"/>
      <w:marRight w:val="0"/>
      <w:marTop w:val="0"/>
      <w:marBottom w:val="0"/>
      <w:divBdr>
        <w:top w:val="none" w:sz="0" w:space="0" w:color="auto"/>
        <w:left w:val="none" w:sz="0" w:space="0" w:color="auto"/>
        <w:bottom w:val="none" w:sz="0" w:space="0" w:color="auto"/>
        <w:right w:val="none" w:sz="0" w:space="0" w:color="auto"/>
      </w:divBdr>
    </w:div>
    <w:div w:id="477767626">
      <w:bodyDiv w:val="1"/>
      <w:marLeft w:val="0"/>
      <w:marRight w:val="0"/>
      <w:marTop w:val="0"/>
      <w:marBottom w:val="0"/>
      <w:divBdr>
        <w:top w:val="none" w:sz="0" w:space="0" w:color="auto"/>
        <w:left w:val="none" w:sz="0" w:space="0" w:color="auto"/>
        <w:bottom w:val="none" w:sz="0" w:space="0" w:color="auto"/>
        <w:right w:val="none" w:sz="0" w:space="0" w:color="auto"/>
      </w:divBdr>
    </w:div>
    <w:div w:id="477768328">
      <w:bodyDiv w:val="1"/>
      <w:marLeft w:val="0"/>
      <w:marRight w:val="0"/>
      <w:marTop w:val="0"/>
      <w:marBottom w:val="0"/>
      <w:divBdr>
        <w:top w:val="none" w:sz="0" w:space="0" w:color="auto"/>
        <w:left w:val="none" w:sz="0" w:space="0" w:color="auto"/>
        <w:bottom w:val="none" w:sz="0" w:space="0" w:color="auto"/>
        <w:right w:val="none" w:sz="0" w:space="0" w:color="auto"/>
      </w:divBdr>
    </w:div>
    <w:div w:id="477770931">
      <w:bodyDiv w:val="1"/>
      <w:marLeft w:val="0"/>
      <w:marRight w:val="0"/>
      <w:marTop w:val="0"/>
      <w:marBottom w:val="0"/>
      <w:divBdr>
        <w:top w:val="none" w:sz="0" w:space="0" w:color="auto"/>
        <w:left w:val="none" w:sz="0" w:space="0" w:color="auto"/>
        <w:bottom w:val="none" w:sz="0" w:space="0" w:color="auto"/>
        <w:right w:val="none" w:sz="0" w:space="0" w:color="auto"/>
      </w:divBdr>
    </w:div>
    <w:div w:id="477917494">
      <w:bodyDiv w:val="1"/>
      <w:marLeft w:val="0"/>
      <w:marRight w:val="0"/>
      <w:marTop w:val="0"/>
      <w:marBottom w:val="0"/>
      <w:divBdr>
        <w:top w:val="none" w:sz="0" w:space="0" w:color="auto"/>
        <w:left w:val="none" w:sz="0" w:space="0" w:color="auto"/>
        <w:bottom w:val="none" w:sz="0" w:space="0" w:color="auto"/>
        <w:right w:val="none" w:sz="0" w:space="0" w:color="auto"/>
      </w:divBdr>
    </w:div>
    <w:div w:id="477920883">
      <w:bodyDiv w:val="1"/>
      <w:marLeft w:val="0"/>
      <w:marRight w:val="0"/>
      <w:marTop w:val="0"/>
      <w:marBottom w:val="0"/>
      <w:divBdr>
        <w:top w:val="none" w:sz="0" w:space="0" w:color="auto"/>
        <w:left w:val="none" w:sz="0" w:space="0" w:color="auto"/>
        <w:bottom w:val="none" w:sz="0" w:space="0" w:color="auto"/>
        <w:right w:val="none" w:sz="0" w:space="0" w:color="auto"/>
      </w:divBdr>
    </w:div>
    <w:div w:id="478037173">
      <w:bodyDiv w:val="1"/>
      <w:marLeft w:val="0"/>
      <w:marRight w:val="0"/>
      <w:marTop w:val="0"/>
      <w:marBottom w:val="0"/>
      <w:divBdr>
        <w:top w:val="none" w:sz="0" w:space="0" w:color="auto"/>
        <w:left w:val="none" w:sz="0" w:space="0" w:color="auto"/>
        <w:bottom w:val="none" w:sz="0" w:space="0" w:color="auto"/>
        <w:right w:val="none" w:sz="0" w:space="0" w:color="auto"/>
      </w:divBdr>
    </w:div>
    <w:div w:id="478109361">
      <w:bodyDiv w:val="1"/>
      <w:marLeft w:val="0"/>
      <w:marRight w:val="0"/>
      <w:marTop w:val="0"/>
      <w:marBottom w:val="0"/>
      <w:divBdr>
        <w:top w:val="none" w:sz="0" w:space="0" w:color="auto"/>
        <w:left w:val="none" w:sz="0" w:space="0" w:color="auto"/>
        <w:bottom w:val="none" w:sz="0" w:space="0" w:color="auto"/>
        <w:right w:val="none" w:sz="0" w:space="0" w:color="auto"/>
      </w:divBdr>
    </w:div>
    <w:div w:id="478111887">
      <w:bodyDiv w:val="1"/>
      <w:marLeft w:val="0"/>
      <w:marRight w:val="0"/>
      <w:marTop w:val="0"/>
      <w:marBottom w:val="0"/>
      <w:divBdr>
        <w:top w:val="none" w:sz="0" w:space="0" w:color="auto"/>
        <w:left w:val="none" w:sz="0" w:space="0" w:color="auto"/>
        <w:bottom w:val="none" w:sz="0" w:space="0" w:color="auto"/>
        <w:right w:val="none" w:sz="0" w:space="0" w:color="auto"/>
      </w:divBdr>
    </w:div>
    <w:div w:id="478301190">
      <w:bodyDiv w:val="1"/>
      <w:marLeft w:val="0"/>
      <w:marRight w:val="0"/>
      <w:marTop w:val="0"/>
      <w:marBottom w:val="0"/>
      <w:divBdr>
        <w:top w:val="none" w:sz="0" w:space="0" w:color="auto"/>
        <w:left w:val="none" w:sz="0" w:space="0" w:color="auto"/>
        <w:bottom w:val="none" w:sz="0" w:space="0" w:color="auto"/>
        <w:right w:val="none" w:sz="0" w:space="0" w:color="auto"/>
      </w:divBdr>
    </w:div>
    <w:div w:id="478302375">
      <w:bodyDiv w:val="1"/>
      <w:marLeft w:val="0"/>
      <w:marRight w:val="0"/>
      <w:marTop w:val="0"/>
      <w:marBottom w:val="0"/>
      <w:divBdr>
        <w:top w:val="none" w:sz="0" w:space="0" w:color="auto"/>
        <w:left w:val="none" w:sz="0" w:space="0" w:color="auto"/>
        <w:bottom w:val="none" w:sz="0" w:space="0" w:color="auto"/>
        <w:right w:val="none" w:sz="0" w:space="0" w:color="auto"/>
      </w:divBdr>
    </w:div>
    <w:div w:id="478309238">
      <w:bodyDiv w:val="1"/>
      <w:marLeft w:val="0"/>
      <w:marRight w:val="0"/>
      <w:marTop w:val="0"/>
      <w:marBottom w:val="0"/>
      <w:divBdr>
        <w:top w:val="none" w:sz="0" w:space="0" w:color="auto"/>
        <w:left w:val="none" w:sz="0" w:space="0" w:color="auto"/>
        <w:bottom w:val="none" w:sz="0" w:space="0" w:color="auto"/>
        <w:right w:val="none" w:sz="0" w:space="0" w:color="auto"/>
      </w:divBdr>
    </w:div>
    <w:div w:id="478352156">
      <w:bodyDiv w:val="1"/>
      <w:marLeft w:val="0"/>
      <w:marRight w:val="0"/>
      <w:marTop w:val="0"/>
      <w:marBottom w:val="0"/>
      <w:divBdr>
        <w:top w:val="none" w:sz="0" w:space="0" w:color="auto"/>
        <w:left w:val="none" w:sz="0" w:space="0" w:color="auto"/>
        <w:bottom w:val="none" w:sz="0" w:space="0" w:color="auto"/>
        <w:right w:val="none" w:sz="0" w:space="0" w:color="auto"/>
      </w:divBdr>
    </w:div>
    <w:div w:id="478352633">
      <w:bodyDiv w:val="1"/>
      <w:marLeft w:val="0"/>
      <w:marRight w:val="0"/>
      <w:marTop w:val="0"/>
      <w:marBottom w:val="0"/>
      <w:divBdr>
        <w:top w:val="none" w:sz="0" w:space="0" w:color="auto"/>
        <w:left w:val="none" w:sz="0" w:space="0" w:color="auto"/>
        <w:bottom w:val="none" w:sz="0" w:space="0" w:color="auto"/>
        <w:right w:val="none" w:sz="0" w:space="0" w:color="auto"/>
      </w:divBdr>
    </w:div>
    <w:div w:id="478352667">
      <w:bodyDiv w:val="1"/>
      <w:marLeft w:val="0"/>
      <w:marRight w:val="0"/>
      <w:marTop w:val="0"/>
      <w:marBottom w:val="0"/>
      <w:divBdr>
        <w:top w:val="none" w:sz="0" w:space="0" w:color="auto"/>
        <w:left w:val="none" w:sz="0" w:space="0" w:color="auto"/>
        <w:bottom w:val="none" w:sz="0" w:space="0" w:color="auto"/>
        <w:right w:val="none" w:sz="0" w:space="0" w:color="auto"/>
      </w:divBdr>
    </w:div>
    <w:div w:id="478378235">
      <w:bodyDiv w:val="1"/>
      <w:marLeft w:val="0"/>
      <w:marRight w:val="0"/>
      <w:marTop w:val="0"/>
      <w:marBottom w:val="0"/>
      <w:divBdr>
        <w:top w:val="none" w:sz="0" w:space="0" w:color="auto"/>
        <w:left w:val="none" w:sz="0" w:space="0" w:color="auto"/>
        <w:bottom w:val="none" w:sz="0" w:space="0" w:color="auto"/>
        <w:right w:val="none" w:sz="0" w:space="0" w:color="auto"/>
      </w:divBdr>
    </w:div>
    <w:div w:id="478423008">
      <w:bodyDiv w:val="1"/>
      <w:marLeft w:val="0"/>
      <w:marRight w:val="0"/>
      <w:marTop w:val="0"/>
      <w:marBottom w:val="0"/>
      <w:divBdr>
        <w:top w:val="none" w:sz="0" w:space="0" w:color="auto"/>
        <w:left w:val="none" w:sz="0" w:space="0" w:color="auto"/>
        <w:bottom w:val="none" w:sz="0" w:space="0" w:color="auto"/>
        <w:right w:val="none" w:sz="0" w:space="0" w:color="auto"/>
      </w:divBdr>
    </w:div>
    <w:div w:id="478570329">
      <w:bodyDiv w:val="1"/>
      <w:marLeft w:val="0"/>
      <w:marRight w:val="0"/>
      <w:marTop w:val="0"/>
      <w:marBottom w:val="0"/>
      <w:divBdr>
        <w:top w:val="none" w:sz="0" w:space="0" w:color="auto"/>
        <w:left w:val="none" w:sz="0" w:space="0" w:color="auto"/>
        <w:bottom w:val="none" w:sz="0" w:space="0" w:color="auto"/>
        <w:right w:val="none" w:sz="0" w:space="0" w:color="auto"/>
      </w:divBdr>
    </w:div>
    <w:div w:id="478572076">
      <w:bodyDiv w:val="1"/>
      <w:marLeft w:val="0"/>
      <w:marRight w:val="0"/>
      <w:marTop w:val="0"/>
      <w:marBottom w:val="0"/>
      <w:divBdr>
        <w:top w:val="none" w:sz="0" w:space="0" w:color="auto"/>
        <w:left w:val="none" w:sz="0" w:space="0" w:color="auto"/>
        <w:bottom w:val="none" w:sz="0" w:space="0" w:color="auto"/>
        <w:right w:val="none" w:sz="0" w:space="0" w:color="auto"/>
      </w:divBdr>
    </w:div>
    <w:div w:id="478693486">
      <w:bodyDiv w:val="1"/>
      <w:marLeft w:val="0"/>
      <w:marRight w:val="0"/>
      <w:marTop w:val="0"/>
      <w:marBottom w:val="0"/>
      <w:divBdr>
        <w:top w:val="none" w:sz="0" w:space="0" w:color="auto"/>
        <w:left w:val="none" w:sz="0" w:space="0" w:color="auto"/>
        <w:bottom w:val="none" w:sz="0" w:space="0" w:color="auto"/>
        <w:right w:val="none" w:sz="0" w:space="0" w:color="auto"/>
      </w:divBdr>
    </w:div>
    <w:div w:id="478696655">
      <w:bodyDiv w:val="1"/>
      <w:marLeft w:val="0"/>
      <w:marRight w:val="0"/>
      <w:marTop w:val="0"/>
      <w:marBottom w:val="0"/>
      <w:divBdr>
        <w:top w:val="none" w:sz="0" w:space="0" w:color="auto"/>
        <w:left w:val="none" w:sz="0" w:space="0" w:color="auto"/>
        <w:bottom w:val="none" w:sz="0" w:space="0" w:color="auto"/>
        <w:right w:val="none" w:sz="0" w:space="0" w:color="auto"/>
      </w:divBdr>
    </w:div>
    <w:div w:id="478807030">
      <w:bodyDiv w:val="1"/>
      <w:marLeft w:val="0"/>
      <w:marRight w:val="0"/>
      <w:marTop w:val="0"/>
      <w:marBottom w:val="0"/>
      <w:divBdr>
        <w:top w:val="none" w:sz="0" w:space="0" w:color="auto"/>
        <w:left w:val="none" w:sz="0" w:space="0" w:color="auto"/>
        <w:bottom w:val="none" w:sz="0" w:space="0" w:color="auto"/>
        <w:right w:val="none" w:sz="0" w:space="0" w:color="auto"/>
      </w:divBdr>
    </w:div>
    <w:div w:id="478889281">
      <w:bodyDiv w:val="1"/>
      <w:marLeft w:val="0"/>
      <w:marRight w:val="0"/>
      <w:marTop w:val="0"/>
      <w:marBottom w:val="0"/>
      <w:divBdr>
        <w:top w:val="none" w:sz="0" w:space="0" w:color="auto"/>
        <w:left w:val="none" w:sz="0" w:space="0" w:color="auto"/>
        <w:bottom w:val="none" w:sz="0" w:space="0" w:color="auto"/>
        <w:right w:val="none" w:sz="0" w:space="0" w:color="auto"/>
      </w:divBdr>
    </w:div>
    <w:div w:id="479083340">
      <w:bodyDiv w:val="1"/>
      <w:marLeft w:val="0"/>
      <w:marRight w:val="0"/>
      <w:marTop w:val="0"/>
      <w:marBottom w:val="0"/>
      <w:divBdr>
        <w:top w:val="none" w:sz="0" w:space="0" w:color="auto"/>
        <w:left w:val="none" w:sz="0" w:space="0" w:color="auto"/>
        <w:bottom w:val="none" w:sz="0" w:space="0" w:color="auto"/>
        <w:right w:val="none" w:sz="0" w:space="0" w:color="auto"/>
      </w:divBdr>
    </w:div>
    <w:div w:id="479154819">
      <w:bodyDiv w:val="1"/>
      <w:marLeft w:val="0"/>
      <w:marRight w:val="0"/>
      <w:marTop w:val="0"/>
      <w:marBottom w:val="0"/>
      <w:divBdr>
        <w:top w:val="none" w:sz="0" w:space="0" w:color="auto"/>
        <w:left w:val="none" w:sz="0" w:space="0" w:color="auto"/>
        <w:bottom w:val="none" w:sz="0" w:space="0" w:color="auto"/>
        <w:right w:val="none" w:sz="0" w:space="0" w:color="auto"/>
      </w:divBdr>
    </w:div>
    <w:div w:id="479156011">
      <w:bodyDiv w:val="1"/>
      <w:marLeft w:val="0"/>
      <w:marRight w:val="0"/>
      <w:marTop w:val="0"/>
      <w:marBottom w:val="0"/>
      <w:divBdr>
        <w:top w:val="none" w:sz="0" w:space="0" w:color="auto"/>
        <w:left w:val="none" w:sz="0" w:space="0" w:color="auto"/>
        <w:bottom w:val="none" w:sz="0" w:space="0" w:color="auto"/>
        <w:right w:val="none" w:sz="0" w:space="0" w:color="auto"/>
      </w:divBdr>
    </w:div>
    <w:div w:id="479228227">
      <w:bodyDiv w:val="1"/>
      <w:marLeft w:val="0"/>
      <w:marRight w:val="0"/>
      <w:marTop w:val="0"/>
      <w:marBottom w:val="0"/>
      <w:divBdr>
        <w:top w:val="none" w:sz="0" w:space="0" w:color="auto"/>
        <w:left w:val="none" w:sz="0" w:space="0" w:color="auto"/>
        <w:bottom w:val="none" w:sz="0" w:space="0" w:color="auto"/>
        <w:right w:val="none" w:sz="0" w:space="0" w:color="auto"/>
      </w:divBdr>
    </w:div>
    <w:div w:id="479344643">
      <w:bodyDiv w:val="1"/>
      <w:marLeft w:val="0"/>
      <w:marRight w:val="0"/>
      <w:marTop w:val="0"/>
      <w:marBottom w:val="0"/>
      <w:divBdr>
        <w:top w:val="none" w:sz="0" w:space="0" w:color="auto"/>
        <w:left w:val="none" w:sz="0" w:space="0" w:color="auto"/>
        <w:bottom w:val="none" w:sz="0" w:space="0" w:color="auto"/>
        <w:right w:val="none" w:sz="0" w:space="0" w:color="auto"/>
      </w:divBdr>
    </w:div>
    <w:div w:id="479421815">
      <w:bodyDiv w:val="1"/>
      <w:marLeft w:val="0"/>
      <w:marRight w:val="0"/>
      <w:marTop w:val="0"/>
      <w:marBottom w:val="0"/>
      <w:divBdr>
        <w:top w:val="none" w:sz="0" w:space="0" w:color="auto"/>
        <w:left w:val="none" w:sz="0" w:space="0" w:color="auto"/>
        <w:bottom w:val="none" w:sz="0" w:space="0" w:color="auto"/>
        <w:right w:val="none" w:sz="0" w:space="0" w:color="auto"/>
      </w:divBdr>
    </w:div>
    <w:div w:id="479611937">
      <w:bodyDiv w:val="1"/>
      <w:marLeft w:val="0"/>
      <w:marRight w:val="0"/>
      <w:marTop w:val="0"/>
      <w:marBottom w:val="0"/>
      <w:divBdr>
        <w:top w:val="none" w:sz="0" w:space="0" w:color="auto"/>
        <w:left w:val="none" w:sz="0" w:space="0" w:color="auto"/>
        <w:bottom w:val="none" w:sz="0" w:space="0" w:color="auto"/>
        <w:right w:val="none" w:sz="0" w:space="0" w:color="auto"/>
      </w:divBdr>
    </w:div>
    <w:div w:id="479738207">
      <w:bodyDiv w:val="1"/>
      <w:marLeft w:val="0"/>
      <w:marRight w:val="0"/>
      <w:marTop w:val="0"/>
      <w:marBottom w:val="0"/>
      <w:divBdr>
        <w:top w:val="none" w:sz="0" w:space="0" w:color="auto"/>
        <w:left w:val="none" w:sz="0" w:space="0" w:color="auto"/>
        <w:bottom w:val="none" w:sz="0" w:space="0" w:color="auto"/>
        <w:right w:val="none" w:sz="0" w:space="0" w:color="auto"/>
      </w:divBdr>
    </w:div>
    <w:div w:id="479738413">
      <w:bodyDiv w:val="1"/>
      <w:marLeft w:val="0"/>
      <w:marRight w:val="0"/>
      <w:marTop w:val="0"/>
      <w:marBottom w:val="0"/>
      <w:divBdr>
        <w:top w:val="none" w:sz="0" w:space="0" w:color="auto"/>
        <w:left w:val="none" w:sz="0" w:space="0" w:color="auto"/>
        <w:bottom w:val="none" w:sz="0" w:space="0" w:color="auto"/>
        <w:right w:val="none" w:sz="0" w:space="0" w:color="auto"/>
      </w:divBdr>
    </w:div>
    <w:div w:id="479814373">
      <w:bodyDiv w:val="1"/>
      <w:marLeft w:val="0"/>
      <w:marRight w:val="0"/>
      <w:marTop w:val="0"/>
      <w:marBottom w:val="0"/>
      <w:divBdr>
        <w:top w:val="none" w:sz="0" w:space="0" w:color="auto"/>
        <w:left w:val="none" w:sz="0" w:space="0" w:color="auto"/>
        <w:bottom w:val="none" w:sz="0" w:space="0" w:color="auto"/>
        <w:right w:val="none" w:sz="0" w:space="0" w:color="auto"/>
      </w:divBdr>
    </w:div>
    <w:div w:id="479854642">
      <w:bodyDiv w:val="1"/>
      <w:marLeft w:val="0"/>
      <w:marRight w:val="0"/>
      <w:marTop w:val="0"/>
      <w:marBottom w:val="0"/>
      <w:divBdr>
        <w:top w:val="none" w:sz="0" w:space="0" w:color="auto"/>
        <w:left w:val="none" w:sz="0" w:space="0" w:color="auto"/>
        <w:bottom w:val="none" w:sz="0" w:space="0" w:color="auto"/>
        <w:right w:val="none" w:sz="0" w:space="0" w:color="auto"/>
      </w:divBdr>
    </w:div>
    <w:div w:id="479924933">
      <w:bodyDiv w:val="1"/>
      <w:marLeft w:val="0"/>
      <w:marRight w:val="0"/>
      <w:marTop w:val="0"/>
      <w:marBottom w:val="0"/>
      <w:divBdr>
        <w:top w:val="none" w:sz="0" w:space="0" w:color="auto"/>
        <w:left w:val="none" w:sz="0" w:space="0" w:color="auto"/>
        <w:bottom w:val="none" w:sz="0" w:space="0" w:color="auto"/>
        <w:right w:val="none" w:sz="0" w:space="0" w:color="auto"/>
      </w:divBdr>
    </w:div>
    <w:div w:id="479930398">
      <w:bodyDiv w:val="1"/>
      <w:marLeft w:val="0"/>
      <w:marRight w:val="0"/>
      <w:marTop w:val="0"/>
      <w:marBottom w:val="0"/>
      <w:divBdr>
        <w:top w:val="none" w:sz="0" w:space="0" w:color="auto"/>
        <w:left w:val="none" w:sz="0" w:space="0" w:color="auto"/>
        <w:bottom w:val="none" w:sz="0" w:space="0" w:color="auto"/>
        <w:right w:val="none" w:sz="0" w:space="0" w:color="auto"/>
      </w:divBdr>
    </w:div>
    <w:div w:id="480082398">
      <w:bodyDiv w:val="1"/>
      <w:marLeft w:val="0"/>
      <w:marRight w:val="0"/>
      <w:marTop w:val="0"/>
      <w:marBottom w:val="0"/>
      <w:divBdr>
        <w:top w:val="none" w:sz="0" w:space="0" w:color="auto"/>
        <w:left w:val="none" w:sz="0" w:space="0" w:color="auto"/>
        <w:bottom w:val="none" w:sz="0" w:space="0" w:color="auto"/>
        <w:right w:val="none" w:sz="0" w:space="0" w:color="auto"/>
      </w:divBdr>
    </w:div>
    <w:div w:id="480197777">
      <w:bodyDiv w:val="1"/>
      <w:marLeft w:val="0"/>
      <w:marRight w:val="0"/>
      <w:marTop w:val="0"/>
      <w:marBottom w:val="0"/>
      <w:divBdr>
        <w:top w:val="none" w:sz="0" w:space="0" w:color="auto"/>
        <w:left w:val="none" w:sz="0" w:space="0" w:color="auto"/>
        <w:bottom w:val="none" w:sz="0" w:space="0" w:color="auto"/>
        <w:right w:val="none" w:sz="0" w:space="0" w:color="auto"/>
      </w:divBdr>
    </w:div>
    <w:div w:id="480465274">
      <w:bodyDiv w:val="1"/>
      <w:marLeft w:val="0"/>
      <w:marRight w:val="0"/>
      <w:marTop w:val="0"/>
      <w:marBottom w:val="0"/>
      <w:divBdr>
        <w:top w:val="none" w:sz="0" w:space="0" w:color="auto"/>
        <w:left w:val="none" w:sz="0" w:space="0" w:color="auto"/>
        <w:bottom w:val="none" w:sz="0" w:space="0" w:color="auto"/>
        <w:right w:val="none" w:sz="0" w:space="0" w:color="auto"/>
      </w:divBdr>
    </w:div>
    <w:div w:id="480468899">
      <w:bodyDiv w:val="1"/>
      <w:marLeft w:val="0"/>
      <w:marRight w:val="0"/>
      <w:marTop w:val="0"/>
      <w:marBottom w:val="0"/>
      <w:divBdr>
        <w:top w:val="none" w:sz="0" w:space="0" w:color="auto"/>
        <w:left w:val="none" w:sz="0" w:space="0" w:color="auto"/>
        <w:bottom w:val="none" w:sz="0" w:space="0" w:color="auto"/>
        <w:right w:val="none" w:sz="0" w:space="0" w:color="auto"/>
      </w:divBdr>
    </w:div>
    <w:div w:id="480585095">
      <w:bodyDiv w:val="1"/>
      <w:marLeft w:val="0"/>
      <w:marRight w:val="0"/>
      <w:marTop w:val="0"/>
      <w:marBottom w:val="0"/>
      <w:divBdr>
        <w:top w:val="none" w:sz="0" w:space="0" w:color="auto"/>
        <w:left w:val="none" w:sz="0" w:space="0" w:color="auto"/>
        <w:bottom w:val="none" w:sz="0" w:space="0" w:color="auto"/>
        <w:right w:val="none" w:sz="0" w:space="0" w:color="auto"/>
      </w:divBdr>
    </w:div>
    <w:div w:id="480656111">
      <w:bodyDiv w:val="1"/>
      <w:marLeft w:val="0"/>
      <w:marRight w:val="0"/>
      <w:marTop w:val="0"/>
      <w:marBottom w:val="0"/>
      <w:divBdr>
        <w:top w:val="none" w:sz="0" w:space="0" w:color="auto"/>
        <w:left w:val="none" w:sz="0" w:space="0" w:color="auto"/>
        <w:bottom w:val="none" w:sz="0" w:space="0" w:color="auto"/>
        <w:right w:val="none" w:sz="0" w:space="0" w:color="auto"/>
      </w:divBdr>
    </w:div>
    <w:div w:id="480660591">
      <w:bodyDiv w:val="1"/>
      <w:marLeft w:val="0"/>
      <w:marRight w:val="0"/>
      <w:marTop w:val="0"/>
      <w:marBottom w:val="0"/>
      <w:divBdr>
        <w:top w:val="none" w:sz="0" w:space="0" w:color="auto"/>
        <w:left w:val="none" w:sz="0" w:space="0" w:color="auto"/>
        <w:bottom w:val="none" w:sz="0" w:space="0" w:color="auto"/>
        <w:right w:val="none" w:sz="0" w:space="0" w:color="auto"/>
      </w:divBdr>
    </w:div>
    <w:div w:id="480731795">
      <w:bodyDiv w:val="1"/>
      <w:marLeft w:val="0"/>
      <w:marRight w:val="0"/>
      <w:marTop w:val="0"/>
      <w:marBottom w:val="0"/>
      <w:divBdr>
        <w:top w:val="none" w:sz="0" w:space="0" w:color="auto"/>
        <w:left w:val="none" w:sz="0" w:space="0" w:color="auto"/>
        <w:bottom w:val="none" w:sz="0" w:space="0" w:color="auto"/>
        <w:right w:val="none" w:sz="0" w:space="0" w:color="auto"/>
      </w:divBdr>
    </w:div>
    <w:div w:id="480734017">
      <w:bodyDiv w:val="1"/>
      <w:marLeft w:val="0"/>
      <w:marRight w:val="0"/>
      <w:marTop w:val="0"/>
      <w:marBottom w:val="0"/>
      <w:divBdr>
        <w:top w:val="none" w:sz="0" w:space="0" w:color="auto"/>
        <w:left w:val="none" w:sz="0" w:space="0" w:color="auto"/>
        <w:bottom w:val="none" w:sz="0" w:space="0" w:color="auto"/>
        <w:right w:val="none" w:sz="0" w:space="0" w:color="auto"/>
      </w:divBdr>
    </w:div>
    <w:div w:id="481043278">
      <w:bodyDiv w:val="1"/>
      <w:marLeft w:val="0"/>
      <w:marRight w:val="0"/>
      <w:marTop w:val="0"/>
      <w:marBottom w:val="0"/>
      <w:divBdr>
        <w:top w:val="none" w:sz="0" w:space="0" w:color="auto"/>
        <w:left w:val="none" w:sz="0" w:space="0" w:color="auto"/>
        <w:bottom w:val="none" w:sz="0" w:space="0" w:color="auto"/>
        <w:right w:val="none" w:sz="0" w:space="0" w:color="auto"/>
      </w:divBdr>
    </w:div>
    <w:div w:id="481115501">
      <w:bodyDiv w:val="1"/>
      <w:marLeft w:val="0"/>
      <w:marRight w:val="0"/>
      <w:marTop w:val="0"/>
      <w:marBottom w:val="0"/>
      <w:divBdr>
        <w:top w:val="none" w:sz="0" w:space="0" w:color="auto"/>
        <w:left w:val="none" w:sz="0" w:space="0" w:color="auto"/>
        <w:bottom w:val="none" w:sz="0" w:space="0" w:color="auto"/>
        <w:right w:val="none" w:sz="0" w:space="0" w:color="auto"/>
      </w:divBdr>
    </w:div>
    <w:div w:id="481119383">
      <w:bodyDiv w:val="1"/>
      <w:marLeft w:val="0"/>
      <w:marRight w:val="0"/>
      <w:marTop w:val="0"/>
      <w:marBottom w:val="0"/>
      <w:divBdr>
        <w:top w:val="none" w:sz="0" w:space="0" w:color="auto"/>
        <w:left w:val="none" w:sz="0" w:space="0" w:color="auto"/>
        <w:bottom w:val="none" w:sz="0" w:space="0" w:color="auto"/>
        <w:right w:val="none" w:sz="0" w:space="0" w:color="auto"/>
      </w:divBdr>
    </w:div>
    <w:div w:id="481197126">
      <w:bodyDiv w:val="1"/>
      <w:marLeft w:val="0"/>
      <w:marRight w:val="0"/>
      <w:marTop w:val="0"/>
      <w:marBottom w:val="0"/>
      <w:divBdr>
        <w:top w:val="none" w:sz="0" w:space="0" w:color="auto"/>
        <w:left w:val="none" w:sz="0" w:space="0" w:color="auto"/>
        <w:bottom w:val="none" w:sz="0" w:space="0" w:color="auto"/>
        <w:right w:val="none" w:sz="0" w:space="0" w:color="auto"/>
      </w:divBdr>
    </w:div>
    <w:div w:id="481237275">
      <w:bodyDiv w:val="1"/>
      <w:marLeft w:val="0"/>
      <w:marRight w:val="0"/>
      <w:marTop w:val="0"/>
      <w:marBottom w:val="0"/>
      <w:divBdr>
        <w:top w:val="none" w:sz="0" w:space="0" w:color="auto"/>
        <w:left w:val="none" w:sz="0" w:space="0" w:color="auto"/>
        <w:bottom w:val="none" w:sz="0" w:space="0" w:color="auto"/>
        <w:right w:val="none" w:sz="0" w:space="0" w:color="auto"/>
      </w:divBdr>
    </w:div>
    <w:div w:id="481435505">
      <w:bodyDiv w:val="1"/>
      <w:marLeft w:val="0"/>
      <w:marRight w:val="0"/>
      <w:marTop w:val="0"/>
      <w:marBottom w:val="0"/>
      <w:divBdr>
        <w:top w:val="none" w:sz="0" w:space="0" w:color="auto"/>
        <w:left w:val="none" w:sz="0" w:space="0" w:color="auto"/>
        <w:bottom w:val="none" w:sz="0" w:space="0" w:color="auto"/>
        <w:right w:val="none" w:sz="0" w:space="0" w:color="auto"/>
      </w:divBdr>
    </w:div>
    <w:div w:id="481502485">
      <w:bodyDiv w:val="1"/>
      <w:marLeft w:val="0"/>
      <w:marRight w:val="0"/>
      <w:marTop w:val="0"/>
      <w:marBottom w:val="0"/>
      <w:divBdr>
        <w:top w:val="none" w:sz="0" w:space="0" w:color="auto"/>
        <w:left w:val="none" w:sz="0" w:space="0" w:color="auto"/>
        <w:bottom w:val="none" w:sz="0" w:space="0" w:color="auto"/>
        <w:right w:val="none" w:sz="0" w:space="0" w:color="auto"/>
      </w:divBdr>
    </w:div>
    <w:div w:id="481504467">
      <w:bodyDiv w:val="1"/>
      <w:marLeft w:val="0"/>
      <w:marRight w:val="0"/>
      <w:marTop w:val="0"/>
      <w:marBottom w:val="0"/>
      <w:divBdr>
        <w:top w:val="none" w:sz="0" w:space="0" w:color="auto"/>
        <w:left w:val="none" w:sz="0" w:space="0" w:color="auto"/>
        <w:bottom w:val="none" w:sz="0" w:space="0" w:color="auto"/>
        <w:right w:val="none" w:sz="0" w:space="0" w:color="auto"/>
      </w:divBdr>
    </w:div>
    <w:div w:id="481583362">
      <w:bodyDiv w:val="1"/>
      <w:marLeft w:val="0"/>
      <w:marRight w:val="0"/>
      <w:marTop w:val="0"/>
      <w:marBottom w:val="0"/>
      <w:divBdr>
        <w:top w:val="none" w:sz="0" w:space="0" w:color="auto"/>
        <w:left w:val="none" w:sz="0" w:space="0" w:color="auto"/>
        <w:bottom w:val="none" w:sz="0" w:space="0" w:color="auto"/>
        <w:right w:val="none" w:sz="0" w:space="0" w:color="auto"/>
      </w:divBdr>
    </w:div>
    <w:div w:id="481629450">
      <w:bodyDiv w:val="1"/>
      <w:marLeft w:val="0"/>
      <w:marRight w:val="0"/>
      <w:marTop w:val="0"/>
      <w:marBottom w:val="0"/>
      <w:divBdr>
        <w:top w:val="none" w:sz="0" w:space="0" w:color="auto"/>
        <w:left w:val="none" w:sz="0" w:space="0" w:color="auto"/>
        <w:bottom w:val="none" w:sz="0" w:space="0" w:color="auto"/>
        <w:right w:val="none" w:sz="0" w:space="0" w:color="auto"/>
      </w:divBdr>
    </w:div>
    <w:div w:id="481698893">
      <w:bodyDiv w:val="1"/>
      <w:marLeft w:val="0"/>
      <w:marRight w:val="0"/>
      <w:marTop w:val="0"/>
      <w:marBottom w:val="0"/>
      <w:divBdr>
        <w:top w:val="none" w:sz="0" w:space="0" w:color="auto"/>
        <w:left w:val="none" w:sz="0" w:space="0" w:color="auto"/>
        <w:bottom w:val="none" w:sz="0" w:space="0" w:color="auto"/>
        <w:right w:val="none" w:sz="0" w:space="0" w:color="auto"/>
      </w:divBdr>
    </w:div>
    <w:div w:id="481700748">
      <w:bodyDiv w:val="1"/>
      <w:marLeft w:val="0"/>
      <w:marRight w:val="0"/>
      <w:marTop w:val="0"/>
      <w:marBottom w:val="0"/>
      <w:divBdr>
        <w:top w:val="none" w:sz="0" w:space="0" w:color="auto"/>
        <w:left w:val="none" w:sz="0" w:space="0" w:color="auto"/>
        <w:bottom w:val="none" w:sz="0" w:space="0" w:color="auto"/>
        <w:right w:val="none" w:sz="0" w:space="0" w:color="auto"/>
      </w:divBdr>
    </w:div>
    <w:div w:id="481701201">
      <w:bodyDiv w:val="1"/>
      <w:marLeft w:val="0"/>
      <w:marRight w:val="0"/>
      <w:marTop w:val="0"/>
      <w:marBottom w:val="0"/>
      <w:divBdr>
        <w:top w:val="none" w:sz="0" w:space="0" w:color="auto"/>
        <w:left w:val="none" w:sz="0" w:space="0" w:color="auto"/>
        <w:bottom w:val="none" w:sz="0" w:space="0" w:color="auto"/>
        <w:right w:val="none" w:sz="0" w:space="0" w:color="auto"/>
      </w:divBdr>
    </w:div>
    <w:div w:id="481701648">
      <w:bodyDiv w:val="1"/>
      <w:marLeft w:val="0"/>
      <w:marRight w:val="0"/>
      <w:marTop w:val="0"/>
      <w:marBottom w:val="0"/>
      <w:divBdr>
        <w:top w:val="none" w:sz="0" w:space="0" w:color="auto"/>
        <w:left w:val="none" w:sz="0" w:space="0" w:color="auto"/>
        <w:bottom w:val="none" w:sz="0" w:space="0" w:color="auto"/>
        <w:right w:val="none" w:sz="0" w:space="0" w:color="auto"/>
      </w:divBdr>
    </w:div>
    <w:div w:id="481852645">
      <w:bodyDiv w:val="1"/>
      <w:marLeft w:val="0"/>
      <w:marRight w:val="0"/>
      <w:marTop w:val="0"/>
      <w:marBottom w:val="0"/>
      <w:divBdr>
        <w:top w:val="none" w:sz="0" w:space="0" w:color="auto"/>
        <w:left w:val="none" w:sz="0" w:space="0" w:color="auto"/>
        <w:bottom w:val="none" w:sz="0" w:space="0" w:color="auto"/>
        <w:right w:val="none" w:sz="0" w:space="0" w:color="auto"/>
      </w:divBdr>
    </w:div>
    <w:div w:id="481898067">
      <w:bodyDiv w:val="1"/>
      <w:marLeft w:val="0"/>
      <w:marRight w:val="0"/>
      <w:marTop w:val="0"/>
      <w:marBottom w:val="0"/>
      <w:divBdr>
        <w:top w:val="none" w:sz="0" w:space="0" w:color="auto"/>
        <w:left w:val="none" w:sz="0" w:space="0" w:color="auto"/>
        <w:bottom w:val="none" w:sz="0" w:space="0" w:color="auto"/>
        <w:right w:val="none" w:sz="0" w:space="0" w:color="auto"/>
      </w:divBdr>
    </w:div>
    <w:div w:id="482040452">
      <w:bodyDiv w:val="1"/>
      <w:marLeft w:val="0"/>
      <w:marRight w:val="0"/>
      <w:marTop w:val="0"/>
      <w:marBottom w:val="0"/>
      <w:divBdr>
        <w:top w:val="none" w:sz="0" w:space="0" w:color="auto"/>
        <w:left w:val="none" w:sz="0" w:space="0" w:color="auto"/>
        <w:bottom w:val="none" w:sz="0" w:space="0" w:color="auto"/>
        <w:right w:val="none" w:sz="0" w:space="0" w:color="auto"/>
      </w:divBdr>
    </w:div>
    <w:div w:id="482047712">
      <w:bodyDiv w:val="1"/>
      <w:marLeft w:val="0"/>
      <w:marRight w:val="0"/>
      <w:marTop w:val="0"/>
      <w:marBottom w:val="0"/>
      <w:divBdr>
        <w:top w:val="none" w:sz="0" w:space="0" w:color="auto"/>
        <w:left w:val="none" w:sz="0" w:space="0" w:color="auto"/>
        <w:bottom w:val="none" w:sz="0" w:space="0" w:color="auto"/>
        <w:right w:val="none" w:sz="0" w:space="0" w:color="auto"/>
      </w:divBdr>
    </w:div>
    <w:div w:id="482114686">
      <w:bodyDiv w:val="1"/>
      <w:marLeft w:val="0"/>
      <w:marRight w:val="0"/>
      <w:marTop w:val="0"/>
      <w:marBottom w:val="0"/>
      <w:divBdr>
        <w:top w:val="none" w:sz="0" w:space="0" w:color="auto"/>
        <w:left w:val="none" w:sz="0" w:space="0" w:color="auto"/>
        <w:bottom w:val="none" w:sz="0" w:space="0" w:color="auto"/>
        <w:right w:val="none" w:sz="0" w:space="0" w:color="auto"/>
      </w:divBdr>
    </w:div>
    <w:div w:id="482165908">
      <w:bodyDiv w:val="1"/>
      <w:marLeft w:val="0"/>
      <w:marRight w:val="0"/>
      <w:marTop w:val="0"/>
      <w:marBottom w:val="0"/>
      <w:divBdr>
        <w:top w:val="none" w:sz="0" w:space="0" w:color="auto"/>
        <w:left w:val="none" w:sz="0" w:space="0" w:color="auto"/>
        <w:bottom w:val="none" w:sz="0" w:space="0" w:color="auto"/>
        <w:right w:val="none" w:sz="0" w:space="0" w:color="auto"/>
      </w:divBdr>
    </w:div>
    <w:div w:id="482351308">
      <w:bodyDiv w:val="1"/>
      <w:marLeft w:val="0"/>
      <w:marRight w:val="0"/>
      <w:marTop w:val="0"/>
      <w:marBottom w:val="0"/>
      <w:divBdr>
        <w:top w:val="none" w:sz="0" w:space="0" w:color="auto"/>
        <w:left w:val="none" w:sz="0" w:space="0" w:color="auto"/>
        <w:bottom w:val="none" w:sz="0" w:space="0" w:color="auto"/>
        <w:right w:val="none" w:sz="0" w:space="0" w:color="auto"/>
      </w:divBdr>
    </w:div>
    <w:div w:id="482353742">
      <w:bodyDiv w:val="1"/>
      <w:marLeft w:val="0"/>
      <w:marRight w:val="0"/>
      <w:marTop w:val="0"/>
      <w:marBottom w:val="0"/>
      <w:divBdr>
        <w:top w:val="none" w:sz="0" w:space="0" w:color="auto"/>
        <w:left w:val="none" w:sz="0" w:space="0" w:color="auto"/>
        <w:bottom w:val="none" w:sz="0" w:space="0" w:color="auto"/>
        <w:right w:val="none" w:sz="0" w:space="0" w:color="auto"/>
      </w:divBdr>
    </w:div>
    <w:div w:id="482355774">
      <w:bodyDiv w:val="1"/>
      <w:marLeft w:val="0"/>
      <w:marRight w:val="0"/>
      <w:marTop w:val="0"/>
      <w:marBottom w:val="0"/>
      <w:divBdr>
        <w:top w:val="none" w:sz="0" w:space="0" w:color="auto"/>
        <w:left w:val="none" w:sz="0" w:space="0" w:color="auto"/>
        <w:bottom w:val="none" w:sz="0" w:space="0" w:color="auto"/>
        <w:right w:val="none" w:sz="0" w:space="0" w:color="auto"/>
      </w:divBdr>
    </w:div>
    <w:div w:id="482501494">
      <w:bodyDiv w:val="1"/>
      <w:marLeft w:val="0"/>
      <w:marRight w:val="0"/>
      <w:marTop w:val="0"/>
      <w:marBottom w:val="0"/>
      <w:divBdr>
        <w:top w:val="none" w:sz="0" w:space="0" w:color="auto"/>
        <w:left w:val="none" w:sz="0" w:space="0" w:color="auto"/>
        <w:bottom w:val="none" w:sz="0" w:space="0" w:color="auto"/>
        <w:right w:val="none" w:sz="0" w:space="0" w:color="auto"/>
      </w:divBdr>
    </w:div>
    <w:div w:id="482549845">
      <w:bodyDiv w:val="1"/>
      <w:marLeft w:val="0"/>
      <w:marRight w:val="0"/>
      <w:marTop w:val="0"/>
      <w:marBottom w:val="0"/>
      <w:divBdr>
        <w:top w:val="none" w:sz="0" w:space="0" w:color="auto"/>
        <w:left w:val="none" w:sz="0" w:space="0" w:color="auto"/>
        <w:bottom w:val="none" w:sz="0" w:space="0" w:color="auto"/>
        <w:right w:val="none" w:sz="0" w:space="0" w:color="auto"/>
      </w:divBdr>
    </w:div>
    <w:div w:id="482620583">
      <w:bodyDiv w:val="1"/>
      <w:marLeft w:val="0"/>
      <w:marRight w:val="0"/>
      <w:marTop w:val="0"/>
      <w:marBottom w:val="0"/>
      <w:divBdr>
        <w:top w:val="none" w:sz="0" w:space="0" w:color="auto"/>
        <w:left w:val="none" w:sz="0" w:space="0" w:color="auto"/>
        <w:bottom w:val="none" w:sz="0" w:space="0" w:color="auto"/>
        <w:right w:val="none" w:sz="0" w:space="0" w:color="auto"/>
      </w:divBdr>
    </w:div>
    <w:div w:id="482627731">
      <w:bodyDiv w:val="1"/>
      <w:marLeft w:val="0"/>
      <w:marRight w:val="0"/>
      <w:marTop w:val="0"/>
      <w:marBottom w:val="0"/>
      <w:divBdr>
        <w:top w:val="none" w:sz="0" w:space="0" w:color="auto"/>
        <w:left w:val="none" w:sz="0" w:space="0" w:color="auto"/>
        <w:bottom w:val="none" w:sz="0" w:space="0" w:color="auto"/>
        <w:right w:val="none" w:sz="0" w:space="0" w:color="auto"/>
      </w:divBdr>
    </w:div>
    <w:div w:id="482695198">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2817399">
      <w:bodyDiv w:val="1"/>
      <w:marLeft w:val="0"/>
      <w:marRight w:val="0"/>
      <w:marTop w:val="0"/>
      <w:marBottom w:val="0"/>
      <w:divBdr>
        <w:top w:val="none" w:sz="0" w:space="0" w:color="auto"/>
        <w:left w:val="none" w:sz="0" w:space="0" w:color="auto"/>
        <w:bottom w:val="none" w:sz="0" w:space="0" w:color="auto"/>
        <w:right w:val="none" w:sz="0" w:space="0" w:color="auto"/>
      </w:divBdr>
    </w:div>
    <w:div w:id="482820535">
      <w:bodyDiv w:val="1"/>
      <w:marLeft w:val="0"/>
      <w:marRight w:val="0"/>
      <w:marTop w:val="0"/>
      <w:marBottom w:val="0"/>
      <w:divBdr>
        <w:top w:val="none" w:sz="0" w:space="0" w:color="auto"/>
        <w:left w:val="none" w:sz="0" w:space="0" w:color="auto"/>
        <w:bottom w:val="none" w:sz="0" w:space="0" w:color="auto"/>
        <w:right w:val="none" w:sz="0" w:space="0" w:color="auto"/>
      </w:divBdr>
    </w:div>
    <w:div w:id="482820617">
      <w:bodyDiv w:val="1"/>
      <w:marLeft w:val="0"/>
      <w:marRight w:val="0"/>
      <w:marTop w:val="0"/>
      <w:marBottom w:val="0"/>
      <w:divBdr>
        <w:top w:val="none" w:sz="0" w:space="0" w:color="auto"/>
        <w:left w:val="none" w:sz="0" w:space="0" w:color="auto"/>
        <w:bottom w:val="none" w:sz="0" w:space="0" w:color="auto"/>
        <w:right w:val="none" w:sz="0" w:space="0" w:color="auto"/>
      </w:divBdr>
    </w:div>
    <w:div w:id="483090129">
      <w:bodyDiv w:val="1"/>
      <w:marLeft w:val="0"/>
      <w:marRight w:val="0"/>
      <w:marTop w:val="0"/>
      <w:marBottom w:val="0"/>
      <w:divBdr>
        <w:top w:val="none" w:sz="0" w:space="0" w:color="auto"/>
        <w:left w:val="none" w:sz="0" w:space="0" w:color="auto"/>
        <w:bottom w:val="none" w:sz="0" w:space="0" w:color="auto"/>
        <w:right w:val="none" w:sz="0" w:space="0" w:color="auto"/>
      </w:divBdr>
    </w:div>
    <w:div w:id="483200930">
      <w:bodyDiv w:val="1"/>
      <w:marLeft w:val="0"/>
      <w:marRight w:val="0"/>
      <w:marTop w:val="0"/>
      <w:marBottom w:val="0"/>
      <w:divBdr>
        <w:top w:val="none" w:sz="0" w:space="0" w:color="auto"/>
        <w:left w:val="none" w:sz="0" w:space="0" w:color="auto"/>
        <w:bottom w:val="none" w:sz="0" w:space="0" w:color="auto"/>
        <w:right w:val="none" w:sz="0" w:space="0" w:color="auto"/>
      </w:divBdr>
    </w:div>
    <w:div w:id="483205175">
      <w:bodyDiv w:val="1"/>
      <w:marLeft w:val="0"/>
      <w:marRight w:val="0"/>
      <w:marTop w:val="0"/>
      <w:marBottom w:val="0"/>
      <w:divBdr>
        <w:top w:val="none" w:sz="0" w:space="0" w:color="auto"/>
        <w:left w:val="none" w:sz="0" w:space="0" w:color="auto"/>
        <w:bottom w:val="none" w:sz="0" w:space="0" w:color="auto"/>
        <w:right w:val="none" w:sz="0" w:space="0" w:color="auto"/>
      </w:divBdr>
    </w:div>
    <w:div w:id="483278111">
      <w:bodyDiv w:val="1"/>
      <w:marLeft w:val="0"/>
      <w:marRight w:val="0"/>
      <w:marTop w:val="0"/>
      <w:marBottom w:val="0"/>
      <w:divBdr>
        <w:top w:val="none" w:sz="0" w:space="0" w:color="auto"/>
        <w:left w:val="none" w:sz="0" w:space="0" w:color="auto"/>
        <w:bottom w:val="none" w:sz="0" w:space="0" w:color="auto"/>
        <w:right w:val="none" w:sz="0" w:space="0" w:color="auto"/>
      </w:divBdr>
    </w:div>
    <w:div w:id="483283860">
      <w:bodyDiv w:val="1"/>
      <w:marLeft w:val="0"/>
      <w:marRight w:val="0"/>
      <w:marTop w:val="0"/>
      <w:marBottom w:val="0"/>
      <w:divBdr>
        <w:top w:val="none" w:sz="0" w:space="0" w:color="auto"/>
        <w:left w:val="none" w:sz="0" w:space="0" w:color="auto"/>
        <w:bottom w:val="none" w:sz="0" w:space="0" w:color="auto"/>
        <w:right w:val="none" w:sz="0" w:space="0" w:color="auto"/>
      </w:divBdr>
    </w:div>
    <w:div w:id="483394825">
      <w:bodyDiv w:val="1"/>
      <w:marLeft w:val="0"/>
      <w:marRight w:val="0"/>
      <w:marTop w:val="0"/>
      <w:marBottom w:val="0"/>
      <w:divBdr>
        <w:top w:val="none" w:sz="0" w:space="0" w:color="auto"/>
        <w:left w:val="none" w:sz="0" w:space="0" w:color="auto"/>
        <w:bottom w:val="none" w:sz="0" w:space="0" w:color="auto"/>
        <w:right w:val="none" w:sz="0" w:space="0" w:color="auto"/>
      </w:divBdr>
    </w:div>
    <w:div w:id="483543038">
      <w:bodyDiv w:val="1"/>
      <w:marLeft w:val="0"/>
      <w:marRight w:val="0"/>
      <w:marTop w:val="0"/>
      <w:marBottom w:val="0"/>
      <w:divBdr>
        <w:top w:val="none" w:sz="0" w:space="0" w:color="auto"/>
        <w:left w:val="none" w:sz="0" w:space="0" w:color="auto"/>
        <w:bottom w:val="none" w:sz="0" w:space="0" w:color="auto"/>
        <w:right w:val="none" w:sz="0" w:space="0" w:color="auto"/>
      </w:divBdr>
    </w:div>
    <w:div w:id="483670376">
      <w:bodyDiv w:val="1"/>
      <w:marLeft w:val="0"/>
      <w:marRight w:val="0"/>
      <w:marTop w:val="0"/>
      <w:marBottom w:val="0"/>
      <w:divBdr>
        <w:top w:val="none" w:sz="0" w:space="0" w:color="auto"/>
        <w:left w:val="none" w:sz="0" w:space="0" w:color="auto"/>
        <w:bottom w:val="none" w:sz="0" w:space="0" w:color="auto"/>
        <w:right w:val="none" w:sz="0" w:space="0" w:color="auto"/>
      </w:divBdr>
    </w:div>
    <w:div w:id="483812391">
      <w:bodyDiv w:val="1"/>
      <w:marLeft w:val="0"/>
      <w:marRight w:val="0"/>
      <w:marTop w:val="0"/>
      <w:marBottom w:val="0"/>
      <w:divBdr>
        <w:top w:val="none" w:sz="0" w:space="0" w:color="auto"/>
        <w:left w:val="none" w:sz="0" w:space="0" w:color="auto"/>
        <w:bottom w:val="none" w:sz="0" w:space="0" w:color="auto"/>
        <w:right w:val="none" w:sz="0" w:space="0" w:color="auto"/>
      </w:divBdr>
    </w:div>
    <w:div w:id="483858394">
      <w:bodyDiv w:val="1"/>
      <w:marLeft w:val="0"/>
      <w:marRight w:val="0"/>
      <w:marTop w:val="0"/>
      <w:marBottom w:val="0"/>
      <w:divBdr>
        <w:top w:val="none" w:sz="0" w:space="0" w:color="auto"/>
        <w:left w:val="none" w:sz="0" w:space="0" w:color="auto"/>
        <w:bottom w:val="none" w:sz="0" w:space="0" w:color="auto"/>
        <w:right w:val="none" w:sz="0" w:space="0" w:color="auto"/>
      </w:divBdr>
    </w:div>
    <w:div w:id="483858502">
      <w:bodyDiv w:val="1"/>
      <w:marLeft w:val="0"/>
      <w:marRight w:val="0"/>
      <w:marTop w:val="0"/>
      <w:marBottom w:val="0"/>
      <w:divBdr>
        <w:top w:val="none" w:sz="0" w:space="0" w:color="auto"/>
        <w:left w:val="none" w:sz="0" w:space="0" w:color="auto"/>
        <w:bottom w:val="none" w:sz="0" w:space="0" w:color="auto"/>
        <w:right w:val="none" w:sz="0" w:space="0" w:color="auto"/>
      </w:divBdr>
    </w:div>
    <w:div w:id="484005386">
      <w:bodyDiv w:val="1"/>
      <w:marLeft w:val="0"/>
      <w:marRight w:val="0"/>
      <w:marTop w:val="0"/>
      <w:marBottom w:val="0"/>
      <w:divBdr>
        <w:top w:val="none" w:sz="0" w:space="0" w:color="auto"/>
        <w:left w:val="none" w:sz="0" w:space="0" w:color="auto"/>
        <w:bottom w:val="none" w:sz="0" w:space="0" w:color="auto"/>
        <w:right w:val="none" w:sz="0" w:space="0" w:color="auto"/>
      </w:divBdr>
    </w:div>
    <w:div w:id="484129607">
      <w:bodyDiv w:val="1"/>
      <w:marLeft w:val="0"/>
      <w:marRight w:val="0"/>
      <w:marTop w:val="0"/>
      <w:marBottom w:val="0"/>
      <w:divBdr>
        <w:top w:val="none" w:sz="0" w:space="0" w:color="auto"/>
        <w:left w:val="none" w:sz="0" w:space="0" w:color="auto"/>
        <w:bottom w:val="none" w:sz="0" w:space="0" w:color="auto"/>
        <w:right w:val="none" w:sz="0" w:space="0" w:color="auto"/>
      </w:divBdr>
    </w:div>
    <w:div w:id="484246343">
      <w:bodyDiv w:val="1"/>
      <w:marLeft w:val="0"/>
      <w:marRight w:val="0"/>
      <w:marTop w:val="0"/>
      <w:marBottom w:val="0"/>
      <w:divBdr>
        <w:top w:val="none" w:sz="0" w:space="0" w:color="auto"/>
        <w:left w:val="none" w:sz="0" w:space="0" w:color="auto"/>
        <w:bottom w:val="none" w:sz="0" w:space="0" w:color="auto"/>
        <w:right w:val="none" w:sz="0" w:space="0" w:color="auto"/>
      </w:divBdr>
    </w:div>
    <w:div w:id="484275652">
      <w:bodyDiv w:val="1"/>
      <w:marLeft w:val="0"/>
      <w:marRight w:val="0"/>
      <w:marTop w:val="0"/>
      <w:marBottom w:val="0"/>
      <w:divBdr>
        <w:top w:val="none" w:sz="0" w:space="0" w:color="auto"/>
        <w:left w:val="none" w:sz="0" w:space="0" w:color="auto"/>
        <w:bottom w:val="none" w:sz="0" w:space="0" w:color="auto"/>
        <w:right w:val="none" w:sz="0" w:space="0" w:color="auto"/>
      </w:divBdr>
    </w:div>
    <w:div w:id="484321234">
      <w:bodyDiv w:val="1"/>
      <w:marLeft w:val="0"/>
      <w:marRight w:val="0"/>
      <w:marTop w:val="0"/>
      <w:marBottom w:val="0"/>
      <w:divBdr>
        <w:top w:val="none" w:sz="0" w:space="0" w:color="auto"/>
        <w:left w:val="none" w:sz="0" w:space="0" w:color="auto"/>
        <w:bottom w:val="none" w:sz="0" w:space="0" w:color="auto"/>
        <w:right w:val="none" w:sz="0" w:space="0" w:color="auto"/>
      </w:divBdr>
    </w:div>
    <w:div w:id="484397257">
      <w:bodyDiv w:val="1"/>
      <w:marLeft w:val="0"/>
      <w:marRight w:val="0"/>
      <w:marTop w:val="0"/>
      <w:marBottom w:val="0"/>
      <w:divBdr>
        <w:top w:val="none" w:sz="0" w:space="0" w:color="auto"/>
        <w:left w:val="none" w:sz="0" w:space="0" w:color="auto"/>
        <w:bottom w:val="none" w:sz="0" w:space="0" w:color="auto"/>
        <w:right w:val="none" w:sz="0" w:space="0" w:color="auto"/>
      </w:divBdr>
    </w:div>
    <w:div w:id="484474804">
      <w:bodyDiv w:val="1"/>
      <w:marLeft w:val="0"/>
      <w:marRight w:val="0"/>
      <w:marTop w:val="0"/>
      <w:marBottom w:val="0"/>
      <w:divBdr>
        <w:top w:val="none" w:sz="0" w:space="0" w:color="auto"/>
        <w:left w:val="none" w:sz="0" w:space="0" w:color="auto"/>
        <w:bottom w:val="none" w:sz="0" w:space="0" w:color="auto"/>
        <w:right w:val="none" w:sz="0" w:space="0" w:color="auto"/>
      </w:divBdr>
    </w:div>
    <w:div w:id="484593596">
      <w:bodyDiv w:val="1"/>
      <w:marLeft w:val="0"/>
      <w:marRight w:val="0"/>
      <w:marTop w:val="0"/>
      <w:marBottom w:val="0"/>
      <w:divBdr>
        <w:top w:val="none" w:sz="0" w:space="0" w:color="auto"/>
        <w:left w:val="none" w:sz="0" w:space="0" w:color="auto"/>
        <w:bottom w:val="none" w:sz="0" w:space="0" w:color="auto"/>
        <w:right w:val="none" w:sz="0" w:space="0" w:color="auto"/>
      </w:divBdr>
    </w:div>
    <w:div w:id="484712118">
      <w:bodyDiv w:val="1"/>
      <w:marLeft w:val="0"/>
      <w:marRight w:val="0"/>
      <w:marTop w:val="0"/>
      <w:marBottom w:val="0"/>
      <w:divBdr>
        <w:top w:val="none" w:sz="0" w:space="0" w:color="auto"/>
        <w:left w:val="none" w:sz="0" w:space="0" w:color="auto"/>
        <w:bottom w:val="none" w:sz="0" w:space="0" w:color="auto"/>
        <w:right w:val="none" w:sz="0" w:space="0" w:color="auto"/>
      </w:divBdr>
    </w:div>
    <w:div w:id="484787131">
      <w:bodyDiv w:val="1"/>
      <w:marLeft w:val="0"/>
      <w:marRight w:val="0"/>
      <w:marTop w:val="0"/>
      <w:marBottom w:val="0"/>
      <w:divBdr>
        <w:top w:val="none" w:sz="0" w:space="0" w:color="auto"/>
        <w:left w:val="none" w:sz="0" w:space="0" w:color="auto"/>
        <w:bottom w:val="none" w:sz="0" w:space="0" w:color="auto"/>
        <w:right w:val="none" w:sz="0" w:space="0" w:color="auto"/>
      </w:divBdr>
    </w:div>
    <w:div w:id="484862199">
      <w:bodyDiv w:val="1"/>
      <w:marLeft w:val="0"/>
      <w:marRight w:val="0"/>
      <w:marTop w:val="0"/>
      <w:marBottom w:val="0"/>
      <w:divBdr>
        <w:top w:val="none" w:sz="0" w:space="0" w:color="auto"/>
        <w:left w:val="none" w:sz="0" w:space="0" w:color="auto"/>
        <w:bottom w:val="none" w:sz="0" w:space="0" w:color="auto"/>
        <w:right w:val="none" w:sz="0" w:space="0" w:color="auto"/>
      </w:divBdr>
    </w:div>
    <w:div w:id="485436027">
      <w:bodyDiv w:val="1"/>
      <w:marLeft w:val="0"/>
      <w:marRight w:val="0"/>
      <w:marTop w:val="0"/>
      <w:marBottom w:val="0"/>
      <w:divBdr>
        <w:top w:val="none" w:sz="0" w:space="0" w:color="auto"/>
        <w:left w:val="none" w:sz="0" w:space="0" w:color="auto"/>
        <w:bottom w:val="none" w:sz="0" w:space="0" w:color="auto"/>
        <w:right w:val="none" w:sz="0" w:space="0" w:color="auto"/>
      </w:divBdr>
    </w:div>
    <w:div w:id="485439346">
      <w:bodyDiv w:val="1"/>
      <w:marLeft w:val="0"/>
      <w:marRight w:val="0"/>
      <w:marTop w:val="0"/>
      <w:marBottom w:val="0"/>
      <w:divBdr>
        <w:top w:val="none" w:sz="0" w:space="0" w:color="auto"/>
        <w:left w:val="none" w:sz="0" w:space="0" w:color="auto"/>
        <w:bottom w:val="none" w:sz="0" w:space="0" w:color="auto"/>
        <w:right w:val="none" w:sz="0" w:space="0" w:color="auto"/>
      </w:divBdr>
    </w:div>
    <w:div w:id="485515770">
      <w:bodyDiv w:val="1"/>
      <w:marLeft w:val="0"/>
      <w:marRight w:val="0"/>
      <w:marTop w:val="0"/>
      <w:marBottom w:val="0"/>
      <w:divBdr>
        <w:top w:val="none" w:sz="0" w:space="0" w:color="auto"/>
        <w:left w:val="none" w:sz="0" w:space="0" w:color="auto"/>
        <w:bottom w:val="none" w:sz="0" w:space="0" w:color="auto"/>
        <w:right w:val="none" w:sz="0" w:space="0" w:color="auto"/>
      </w:divBdr>
    </w:div>
    <w:div w:id="485516303">
      <w:bodyDiv w:val="1"/>
      <w:marLeft w:val="0"/>
      <w:marRight w:val="0"/>
      <w:marTop w:val="0"/>
      <w:marBottom w:val="0"/>
      <w:divBdr>
        <w:top w:val="none" w:sz="0" w:space="0" w:color="auto"/>
        <w:left w:val="none" w:sz="0" w:space="0" w:color="auto"/>
        <w:bottom w:val="none" w:sz="0" w:space="0" w:color="auto"/>
        <w:right w:val="none" w:sz="0" w:space="0" w:color="auto"/>
      </w:divBdr>
    </w:div>
    <w:div w:id="485586146">
      <w:bodyDiv w:val="1"/>
      <w:marLeft w:val="0"/>
      <w:marRight w:val="0"/>
      <w:marTop w:val="0"/>
      <w:marBottom w:val="0"/>
      <w:divBdr>
        <w:top w:val="none" w:sz="0" w:space="0" w:color="auto"/>
        <w:left w:val="none" w:sz="0" w:space="0" w:color="auto"/>
        <w:bottom w:val="none" w:sz="0" w:space="0" w:color="auto"/>
        <w:right w:val="none" w:sz="0" w:space="0" w:color="auto"/>
      </w:divBdr>
    </w:div>
    <w:div w:id="485629699">
      <w:bodyDiv w:val="1"/>
      <w:marLeft w:val="0"/>
      <w:marRight w:val="0"/>
      <w:marTop w:val="0"/>
      <w:marBottom w:val="0"/>
      <w:divBdr>
        <w:top w:val="none" w:sz="0" w:space="0" w:color="auto"/>
        <w:left w:val="none" w:sz="0" w:space="0" w:color="auto"/>
        <w:bottom w:val="none" w:sz="0" w:space="0" w:color="auto"/>
        <w:right w:val="none" w:sz="0" w:space="0" w:color="auto"/>
      </w:divBdr>
    </w:div>
    <w:div w:id="485630021">
      <w:bodyDiv w:val="1"/>
      <w:marLeft w:val="0"/>
      <w:marRight w:val="0"/>
      <w:marTop w:val="0"/>
      <w:marBottom w:val="0"/>
      <w:divBdr>
        <w:top w:val="none" w:sz="0" w:space="0" w:color="auto"/>
        <w:left w:val="none" w:sz="0" w:space="0" w:color="auto"/>
        <w:bottom w:val="none" w:sz="0" w:space="0" w:color="auto"/>
        <w:right w:val="none" w:sz="0" w:space="0" w:color="auto"/>
      </w:divBdr>
    </w:div>
    <w:div w:id="485706001">
      <w:bodyDiv w:val="1"/>
      <w:marLeft w:val="0"/>
      <w:marRight w:val="0"/>
      <w:marTop w:val="0"/>
      <w:marBottom w:val="0"/>
      <w:divBdr>
        <w:top w:val="none" w:sz="0" w:space="0" w:color="auto"/>
        <w:left w:val="none" w:sz="0" w:space="0" w:color="auto"/>
        <w:bottom w:val="none" w:sz="0" w:space="0" w:color="auto"/>
        <w:right w:val="none" w:sz="0" w:space="0" w:color="auto"/>
      </w:divBdr>
    </w:div>
    <w:div w:id="485708204">
      <w:bodyDiv w:val="1"/>
      <w:marLeft w:val="0"/>
      <w:marRight w:val="0"/>
      <w:marTop w:val="0"/>
      <w:marBottom w:val="0"/>
      <w:divBdr>
        <w:top w:val="none" w:sz="0" w:space="0" w:color="auto"/>
        <w:left w:val="none" w:sz="0" w:space="0" w:color="auto"/>
        <w:bottom w:val="none" w:sz="0" w:space="0" w:color="auto"/>
        <w:right w:val="none" w:sz="0" w:space="0" w:color="auto"/>
      </w:divBdr>
    </w:div>
    <w:div w:id="485827781">
      <w:bodyDiv w:val="1"/>
      <w:marLeft w:val="0"/>
      <w:marRight w:val="0"/>
      <w:marTop w:val="0"/>
      <w:marBottom w:val="0"/>
      <w:divBdr>
        <w:top w:val="none" w:sz="0" w:space="0" w:color="auto"/>
        <w:left w:val="none" w:sz="0" w:space="0" w:color="auto"/>
        <w:bottom w:val="none" w:sz="0" w:space="0" w:color="auto"/>
        <w:right w:val="none" w:sz="0" w:space="0" w:color="auto"/>
      </w:divBdr>
    </w:div>
    <w:div w:id="485972695">
      <w:bodyDiv w:val="1"/>
      <w:marLeft w:val="0"/>
      <w:marRight w:val="0"/>
      <w:marTop w:val="0"/>
      <w:marBottom w:val="0"/>
      <w:divBdr>
        <w:top w:val="none" w:sz="0" w:space="0" w:color="auto"/>
        <w:left w:val="none" w:sz="0" w:space="0" w:color="auto"/>
        <w:bottom w:val="none" w:sz="0" w:space="0" w:color="auto"/>
        <w:right w:val="none" w:sz="0" w:space="0" w:color="auto"/>
      </w:divBdr>
    </w:div>
    <w:div w:id="485977620">
      <w:bodyDiv w:val="1"/>
      <w:marLeft w:val="0"/>
      <w:marRight w:val="0"/>
      <w:marTop w:val="0"/>
      <w:marBottom w:val="0"/>
      <w:divBdr>
        <w:top w:val="none" w:sz="0" w:space="0" w:color="auto"/>
        <w:left w:val="none" w:sz="0" w:space="0" w:color="auto"/>
        <w:bottom w:val="none" w:sz="0" w:space="0" w:color="auto"/>
        <w:right w:val="none" w:sz="0" w:space="0" w:color="auto"/>
      </w:divBdr>
    </w:div>
    <w:div w:id="486015306">
      <w:bodyDiv w:val="1"/>
      <w:marLeft w:val="0"/>
      <w:marRight w:val="0"/>
      <w:marTop w:val="0"/>
      <w:marBottom w:val="0"/>
      <w:divBdr>
        <w:top w:val="none" w:sz="0" w:space="0" w:color="auto"/>
        <w:left w:val="none" w:sz="0" w:space="0" w:color="auto"/>
        <w:bottom w:val="none" w:sz="0" w:space="0" w:color="auto"/>
        <w:right w:val="none" w:sz="0" w:space="0" w:color="auto"/>
      </w:divBdr>
    </w:div>
    <w:div w:id="486015710">
      <w:bodyDiv w:val="1"/>
      <w:marLeft w:val="0"/>
      <w:marRight w:val="0"/>
      <w:marTop w:val="0"/>
      <w:marBottom w:val="0"/>
      <w:divBdr>
        <w:top w:val="none" w:sz="0" w:space="0" w:color="auto"/>
        <w:left w:val="none" w:sz="0" w:space="0" w:color="auto"/>
        <w:bottom w:val="none" w:sz="0" w:space="0" w:color="auto"/>
        <w:right w:val="none" w:sz="0" w:space="0" w:color="auto"/>
      </w:divBdr>
    </w:div>
    <w:div w:id="486047175">
      <w:bodyDiv w:val="1"/>
      <w:marLeft w:val="0"/>
      <w:marRight w:val="0"/>
      <w:marTop w:val="0"/>
      <w:marBottom w:val="0"/>
      <w:divBdr>
        <w:top w:val="none" w:sz="0" w:space="0" w:color="auto"/>
        <w:left w:val="none" w:sz="0" w:space="0" w:color="auto"/>
        <w:bottom w:val="none" w:sz="0" w:space="0" w:color="auto"/>
        <w:right w:val="none" w:sz="0" w:space="0" w:color="auto"/>
      </w:divBdr>
    </w:div>
    <w:div w:id="486092853">
      <w:bodyDiv w:val="1"/>
      <w:marLeft w:val="0"/>
      <w:marRight w:val="0"/>
      <w:marTop w:val="0"/>
      <w:marBottom w:val="0"/>
      <w:divBdr>
        <w:top w:val="none" w:sz="0" w:space="0" w:color="auto"/>
        <w:left w:val="none" w:sz="0" w:space="0" w:color="auto"/>
        <w:bottom w:val="none" w:sz="0" w:space="0" w:color="auto"/>
        <w:right w:val="none" w:sz="0" w:space="0" w:color="auto"/>
      </w:divBdr>
    </w:div>
    <w:div w:id="486164785">
      <w:bodyDiv w:val="1"/>
      <w:marLeft w:val="0"/>
      <w:marRight w:val="0"/>
      <w:marTop w:val="0"/>
      <w:marBottom w:val="0"/>
      <w:divBdr>
        <w:top w:val="none" w:sz="0" w:space="0" w:color="auto"/>
        <w:left w:val="none" w:sz="0" w:space="0" w:color="auto"/>
        <w:bottom w:val="none" w:sz="0" w:space="0" w:color="auto"/>
        <w:right w:val="none" w:sz="0" w:space="0" w:color="auto"/>
      </w:divBdr>
    </w:div>
    <w:div w:id="486282298">
      <w:bodyDiv w:val="1"/>
      <w:marLeft w:val="0"/>
      <w:marRight w:val="0"/>
      <w:marTop w:val="0"/>
      <w:marBottom w:val="0"/>
      <w:divBdr>
        <w:top w:val="none" w:sz="0" w:space="0" w:color="auto"/>
        <w:left w:val="none" w:sz="0" w:space="0" w:color="auto"/>
        <w:bottom w:val="none" w:sz="0" w:space="0" w:color="auto"/>
        <w:right w:val="none" w:sz="0" w:space="0" w:color="auto"/>
      </w:divBdr>
    </w:div>
    <w:div w:id="486433688">
      <w:bodyDiv w:val="1"/>
      <w:marLeft w:val="0"/>
      <w:marRight w:val="0"/>
      <w:marTop w:val="0"/>
      <w:marBottom w:val="0"/>
      <w:divBdr>
        <w:top w:val="none" w:sz="0" w:space="0" w:color="auto"/>
        <w:left w:val="none" w:sz="0" w:space="0" w:color="auto"/>
        <w:bottom w:val="none" w:sz="0" w:space="0" w:color="auto"/>
        <w:right w:val="none" w:sz="0" w:space="0" w:color="auto"/>
      </w:divBdr>
    </w:div>
    <w:div w:id="486435452">
      <w:bodyDiv w:val="1"/>
      <w:marLeft w:val="0"/>
      <w:marRight w:val="0"/>
      <w:marTop w:val="0"/>
      <w:marBottom w:val="0"/>
      <w:divBdr>
        <w:top w:val="none" w:sz="0" w:space="0" w:color="auto"/>
        <w:left w:val="none" w:sz="0" w:space="0" w:color="auto"/>
        <w:bottom w:val="none" w:sz="0" w:space="0" w:color="auto"/>
        <w:right w:val="none" w:sz="0" w:space="0" w:color="auto"/>
      </w:divBdr>
    </w:div>
    <w:div w:id="486557691">
      <w:bodyDiv w:val="1"/>
      <w:marLeft w:val="0"/>
      <w:marRight w:val="0"/>
      <w:marTop w:val="0"/>
      <w:marBottom w:val="0"/>
      <w:divBdr>
        <w:top w:val="none" w:sz="0" w:space="0" w:color="auto"/>
        <w:left w:val="none" w:sz="0" w:space="0" w:color="auto"/>
        <w:bottom w:val="none" w:sz="0" w:space="0" w:color="auto"/>
        <w:right w:val="none" w:sz="0" w:space="0" w:color="auto"/>
      </w:divBdr>
    </w:div>
    <w:div w:id="486632123">
      <w:bodyDiv w:val="1"/>
      <w:marLeft w:val="0"/>
      <w:marRight w:val="0"/>
      <w:marTop w:val="0"/>
      <w:marBottom w:val="0"/>
      <w:divBdr>
        <w:top w:val="none" w:sz="0" w:space="0" w:color="auto"/>
        <w:left w:val="none" w:sz="0" w:space="0" w:color="auto"/>
        <w:bottom w:val="none" w:sz="0" w:space="0" w:color="auto"/>
        <w:right w:val="none" w:sz="0" w:space="0" w:color="auto"/>
      </w:divBdr>
    </w:div>
    <w:div w:id="486672965">
      <w:bodyDiv w:val="1"/>
      <w:marLeft w:val="0"/>
      <w:marRight w:val="0"/>
      <w:marTop w:val="0"/>
      <w:marBottom w:val="0"/>
      <w:divBdr>
        <w:top w:val="none" w:sz="0" w:space="0" w:color="auto"/>
        <w:left w:val="none" w:sz="0" w:space="0" w:color="auto"/>
        <w:bottom w:val="none" w:sz="0" w:space="0" w:color="auto"/>
        <w:right w:val="none" w:sz="0" w:space="0" w:color="auto"/>
      </w:divBdr>
    </w:div>
    <w:div w:id="486674115">
      <w:bodyDiv w:val="1"/>
      <w:marLeft w:val="0"/>
      <w:marRight w:val="0"/>
      <w:marTop w:val="0"/>
      <w:marBottom w:val="0"/>
      <w:divBdr>
        <w:top w:val="none" w:sz="0" w:space="0" w:color="auto"/>
        <w:left w:val="none" w:sz="0" w:space="0" w:color="auto"/>
        <w:bottom w:val="none" w:sz="0" w:space="0" w:color="auto"/>
        <w:right w:val="none" w:sz="0" w:space="0" w:color="auto"/>
      </w:divBdr>
    </w:div>
    <w:div w:id="486825444">
      <w:bodyDiv w:val="1"/>
      <w:marLeft w:val="0"/>
      <w:marRight w:val="0"/>
      <w:marTop w:val="0"/>
      <w:marBottom w:val="0"/>
      <w:divBdr>
        <w:top w:val="none" w:sz="0" w:space="0" w:color="auto"/>
        <w:left w:val="none" w:sz="0" w:space="0" w:color="auto"/>
        <w:bottom w:val="none" w:sz="0" w:space="0" w:color="auto"/>
        <w:right w:val="none" w:sz="0" w:space="0" w:color="auto"/>
      </w:divBdr>
    </w:div>
    <w:div w:id="486827500">
      <w:bodyDiv w:val="1"/>
      <w:marLeft w:val="0"/>
      <w:marRight w:val="0"/>
      <w:marTop w:val="0"/>
      <w:marBottom w:val="0"/>
      <w:divBdr>
        <w:top w:val="none" w:sz="0" w:space="0" w:color="auto"/>
        <w:left w:val="none" w:sz="0" w:space="0" w:color="auto"/>
        <w:bottom w:val="none" w:sz="0" w:space="0" w:color="auto"/>
        <w:right w:val="none" w:sz="0" w:space="0" w:color="auto"/>
      </w:divBdr>
    </w:div>
    <w:div w:id="486869570">
      <w:bodyDiv w:val="1"/>
      <w:marLeft w:val="0"/>
      <w:marRight w:val="0"/>
      <w:marTop w:val="0"/>
      <w:marBottom w:val="0"/>
      <w:divBdr>
        <w:top w:val="none" w:sz="0" w:space="0" w:color="auto"/>
        <w:left w:val="none" w:sz="0" w:space="0" w:color="auto"/>
        <w:bottom w:val="none" w:sz="0" w:space="0" w:color="auto"/>
        <w:right w:val="none" w:sz="0" w:space="0" w:color="auto"/>
      </w:divBdr>
    </w:div>
    <w:div w:id="486939839">
      <w:bodyDiv w:val="1"/>
      <w:marLeft w:val="0"/>
      <w:marRight w:val="0"/>
      <w:marTop w:val="0"/>
      <w:marBottom w:val="0"/>
      <w:divBdr>
        <w:top w:val="none" w:sz="0" w:space="0" w:color="auto"/>
        <w:left w:val="none" w:sz="0" w:space="0" w:color="auto"/>
        <w:bottom w:val="none" w:sz="0" w:space="0" w:color="auto"/>
        <w:right w:val="none" w:sz="0" w:space="0" w:color="auto"/>
      </w:divBdr>
    </w:div>
    <w:div w:id="487089396">
      <w:bodyDiv w:val="1"/>
      <w:marLeft w:val="0"/>
      <w:marRight w:val="0"/>
      <w:marTop w:val="0"/>
      <w:marBottom w:val="0"/>
      <w:divBdr>
        <w:top w:val="none" w:sz="0" w:space="0" w:color="auto"/>
        <w:left w:val="none" w:sz="0" w:space="0" w:color="auto"/>
        <w:bottom w:val="none" w:sz="0" w:space="0" w:color="auto"/>
        <w:right w:val="none" w:sz="0" w:space="0" w:color="auto"/>
      </w:divBdr>
    </w:div>
    <w:div w:id="487095477">
      <w:bodyDiv w:val="1"/>
      <w:marLeft w:val="0"/>
      <w:marRight w:val="0"/>
      <w:marTop w:val="0"/>
      <w:marBottom w:val="0"/>
      <w:divBdr>
        <w:top w:val="none" w:sz="0" w:space="0" w:color="auto"/>
        <w:left w:val="none" w:sz="0" w:space="0" w:color="auto"/>
        <w:bottom w:val="none" w:sz="0" w:space="0" w:color="auto"/>
        <w:right w:val="none" w:sz="0" w:space="0" w:color="auto"/>
      </w:divBdr>
    </w:div>
    <w:div w:id="487095522">
      <w:bodyDiv w:val="1"/>
      <w:marLeft w:val="0"/>
      <w:marRight w:val="0"/>
      <w:marTop w:val="0"/>
      <w:marBottom w:val="0"/>
      <w:divBdr>
        <w:top w:val="none" w:sz="0" w:space="0" w:color="auto"/>
        <w:left w:val="none" w:sz="0" w:space="0" w:color="auto"/>
        <w:bottom w:val="none" w:sz="0" w:space="0" w:color="auto"/>
        <w:right w:val="none" w:sz="0" w:space="0" w:color="auto"/>
      </w:divBdr>
    </w:div>
    <w:div w:id="487283553">
      <w:bodyDiv w:val="1"/>
      <w:marLeft w:val="0"/>
      <w:marRight w:val="0"/>
      <w:marTop w:val="0"/>
      <w:marBottom w:val="0"/>
      <w:divBdr>
        <w:top w:val="none" w:sz="0" w:space="0" w:color="auto"/>
        <w:left w:val="none" w:sz="0" w:space="0" w:color="auto"/>
        <w:bottom w:val="none" w:sz="0" w:space="0" w:color="auto"/>
        <w:right w:val="none" w:sz="0" w:space="0" w:color="auto"/>
      </w:divBdr>
    </w:div>
    <w:div w:id="487328832">
      <w:bodyDiv w:val="1"/>
      <w:marLeft w:val="0"/>
      <w:marRight w:val="0"/>
      <w:marTop w:val="0"/>
      <w:marBottom w:val="0"/>
      <w:divBdr>
        <w:top w:val="none" w:sz="0" w:space="0" w:color="auto"/>
        <w:left w:val="none" w:sz="0" w:space="0" w:color="auto"/>
        <w:bottom w:val="none" w:sz="0" w:space="0" w:color="auto"/>
        <w:right w:val="none" w:sz="0" w:space="0" w:color="auto"/>
      </w:divBdr>
    </w:div>
    <w:div w:id="487331888">
      <w:bodyDiv w:val="1"/>
      <w:marLeft w:val="0"/>
      <w:marRight w:val="0"/>
      <w:marTop w:val="0"/>
      <w:marBottom w:val="0"/>
      <w:divBdr>
        <w:top w:val="none" w:sz="0" w:space="0" w:color="auto"/>
        <w:left w:val="none" w:sz="0" w:space="0" w:color="auto"/>
        <w:bottom w:val="none" w:sz="0" w:space="0" w:color="auto"/>
        <w:right w:val="none" w:sz="0" w:space="0" w:color="auto"/>
      </w:divBdr>
    </w:div>
    <w:div w:id="487332234">
      <w:bodyDiv w:val="1"/>
      <w:marLeft w:val="0"/>
      <w:marRight w:val="0"/>
      <w:marTop w:val="0"/>
      <w:marBottom w:val="0"/>
      <w:divBdr>
        <w:top w:val="none" w:sz="0" w:space="0" w:color="auto"/>
        <w:left w:val="none" w:sz="0" w:space="0" w:color="auto"/>
        <w:bottom w:val="none" w:sz="0" w:space="0" w:color="auto"/>
        <w:right w:val="none" w:sz="0" w:space="0" w:color="auto"/>
      </w:divBdr>
    </w:div>
    <w:div w:id="487749963">
      <w:bodyDiv w:val="1"/>
      <w:marLeft w:val="0"/>
      <w:marRight w:val="0"/>
      <w:marTop w:val="0"/>
      <w:marBottom w:val="0"/>
      <w:divBdr>
        <w:top w:val="none" w:sz="0" w:space="0" w:color="auto"/>
        <w:left w:val="none" w:sz="0" w:space="0" w:color="auto"/>
        <w:bottom w:val="none" w:sz="0" w:space="0" w:color="auto"/>
        <w:right w:val="none" w:sz="0" w:space="0" w:color="auto"/>
      </w:divBdr>
    </w:div>
    <w:div w:id="487984834">
      <w:bodyDiv w:val="1"/>
      <w:marLeft w:val="0"/>
      <w:marRight w:val="0"/>
      <w:marTop w:val="0"/>
      <w:marBottom w:val="0"/>
      <w:divBdr>
        <w:top w:val="none" w:sz="0" w:space="0" w:color="auto"/>
        <w:left w:val="none" w:sz="0" w:space="0" w:color="auto"/>
        <w:bottom w:val="none" w:sz="0" w:space="0" w:color="auto"/>
        <w:right w:val="none" w:sz="0" w:space="0" w:color="auto"/>
      </w:divBdr>
    </w:div>
    <w:div w:id="487984877">
      <w:bodyDiv w:val="1"/>
      <w:marLeft w:val="0"/>
      <w:marRight w:val="0"/>
      <w:marTop w:val="0"/>
      <w:marBottom w:val="0"/>
      <w:divBdr>
        <w:top w:val="none" w:sz="0" w:space="0" w:color="auto"/>
        <w:left w:val="none" w:sz="0" w:space="0" w:color="auto"/>
        <w:bottom w:val="none" w:sz="0" w:space="0" w:color="auto"/>
        <w:right w:val="none" w:sz="0" w:space="0" w:color="auto"/>
      </w:divBdr>
    </w:div>
    <w:div w:id="488058214">
      <w:bodyDiv w:val="1"/>
      <w:marLeft w:val="0"/>
      <w:marRight w:val="0"/>
      <w:marTop w:val="0"/>
      <w:marBottom w:val="0"/>
      <w:divBdr>
        <w:top w:val="none" w:sz="0" w:space="0" w:color="auto"/>
        <w:left w:val="none" w:sz="0" w:space="0" w:color="auto"/>
        <w:bottom w:val="none" w:sz="0" w:space="0" w:color="auto"/>
        <w:right w:val="none" w:sz="0" w:space="0" w:color="auto"/>
      </w:divBdr>
    </w:div>
    <w:div w:id="488060005">
      <w:bodyDiv w:val="1"/>
      <w:marLeft w:val="0"/>
      <w:marRight w:val="0"/>
      <w:marTop w:val="0"/>
      <w:marBottom w:val="0"/>
      <w:divBdr>
        <w:top w:val="none" w:sz="0" w:space="0" w:color="auto"/>
        <w:left w:val="none" w:sz="0" w:space="0" w:color="auto"/>
        <w:bottom w:val="none" w:sz="0" w:space="0" w:color="auto"/>
        <w:right w:val="none" w:sz="0" w:space="0" w:color="auto"/>
      </w:divBdr>
    </w:div>
    <w:div w:id="488064288">
      <w:bodyDiv w:val="1"/>
      <w:marLeft w:val="0"/>
      <w:marRight w:val="0"/>
      <w:marTop w:val="0"/>
      <w:marBottom w:val="0"/>
      <w:divBdr>
        <w:top w:val="none" w:sz="0" w:space="0" w:color="auto"/>
        <w:left w:val="none" w:sz="0" w:space="0" w:color="auto"/>
        <w:bottom w:val="none" w:sz="0" w:space="0" w:color="auto"/>
        <w:right w:val="none" w:sz="0" w:space="0" w:color="auto"/>
      </w:divBdr>
    </w:div>
    <w:div w:id="488520637">
      <w:bodyDiv w:val="1"/>
      <w:marLeft w:val="0"/>
      <w:marRight w:val="0"/>
      <w:marTop w:val="0"/>
      <w:marBottom w:val="0"/>
      <w:divBdr>
        <w:top w:val="none" w:sz="0" w:space="0" w:color="auto"/>
        <w:left w:val="none" w:sz="0" w:space="0" w:color="auto"/>
        <w:bottom w:val="none" w:sz="0" w:space="0" w:color="auto"/>
        <w:right w:val="none" w:sz="0" w:space="0" w:color="auto"/>
      </w:divBdr>
    </w:div>
    <w:div w:id="488596906">
      <w:bodyDiv w:val="1"/>
      <w:marLeft w:val="0"/>
      <w:marRight w:val="0"/>
      <w:marTop w:val="0"/>
      <w:marBottom w:val="0"/>
      <w:divBdr>
        <w:top w:val="none" w:sz="0" w:space="0" w:color="auto"/>
        <w:left w:val="none" w:sz="0" w:space="0" w:color="auto"/>
        <w:bottom w:val="none" w:sz="0" w:space="0" w:color="auto"/>
        <w:right w:val="none" w:sz="0" w:space="0" w:color="auto"/>
      </w:divBdr>
    </w:div>
    <w:div w:id="488600305">
      <w:bodyDiv w:val="1"/>
      <w:marLeft w:val="0"/>
      <w:marRight w:val="0"/>
      <w:marTop w:val="0"/>
      <w:marBottom w:val="0"/>
      <w:divBdr>
        <w:top w:val="none" w:sz="0" w:space="0" w:color="auto"/>
        <w:left w:val="none" w:sz="0" w:space="0" w:color="auto"/>
        <w:bottom w:val="none" w:sz="0" w:space="0" w:color="auto"/>
        <w:right w:val="none" w:sz="0" w:space="0" w:color="auto"/>
      </w:divBdr>
    </w:div>
    <w:div w:id="488713892">
      <w:bodyDiv w:val="1"/>
      <w:marLeft w:val="0"/>
      <w:marRight w:val="0"/>
      <w:marTop w:val="0"/>
      <w:marBottom w:val="0"/>
      <w:divBdr>
        <w:top w:val="none" w:sz="0" w:space="0" w:color="auto"/>
        <w:left w:val="none" w:sz="0" w:space="0" w:color="auto"/>
        <w:bottom w:val="none" w:sz="0" w:space="0" w:color="auto"/>
        <w:right w:val="none" w:sz="0" w:space="0" w:color="auto"/>
      </w:divBdr>
    </w:div>
    <w:div w:id="488715368">
      <w:bodyDiv w:val="1"/>
      <w:marLeft w:val="0"/>
      <w:marRight w:val="0"/>
      <w:marTop w:val="0"/>
      <w:marBottom w:val="0"/>
      <w:divBdr>
        <w:top w:val="none" w:sz="0" w:space="0" w:color="auto"/>
        <w:left w:val="none" w:sz="0" w:space="0" w:color="auto"/>
        <w:bottom w:val="none" w:sz="0" w:space="0" w:color="auto"/>
        <w:right w:val="none" w:sz="0" w:space="0" w:color="auto"/>
      </w:divBdr>
    </w:div>
    <w:div w:id="488834455">
      <w:bodyDiv w:val="1"/>
      <w:marLeft w:val="0"/>
      <w:marRight w:val="0"/>
      <w:marTop w:val="0"/>
      <w:marBottom w:val="0"/>
      <w:divBdr>
        <w:top w:val="none" w:sz="0" w:space="0" w:color="auto"/>
        <w:left w:val="none" w:sz="0" w:space="0" w:color="auto"/>
        <w:bottom w:val="none" w:sz="0" w:space="0" w:color="auto"/>
        <w:right w:val="none" w:sz="0" w:space="0" w:color="auto"/>
      </w:divBdr>
    </w:div>
    <w:div w:id="488837594">
      <w:bodyDiv w:val="1"/>
      <w:marLeft w:val="0"/>
      <w:marRight w:val="0"/>
      <w:marTop w:val="0"/>
      <w:marBottom w:val="0"/>
      <w:divBdr>
        <w:top w:val="none" w:sz="0" w:space="0" w:color="auto"/>
        <w:left w:val="none" w:sz="0" w:space="0" w:color="auto"/>
        <w:bottom w:val="none" w:sz="0" w:space="0" w:color="auto"/>
        <w:right w:val="none" w:sz="0" w:space="0" w:color="auto"/>
      </w:divBdr>
    </w:div>
    <w:div w:id="488982323">
      <w:bodyDiv w:val="1"/>
      <w:marLeft w:val="0"/>
      <w:marRight w:val="0"/>
      <w:marTop w:val="0"/>
      <w:marBottom w:val="0"/>
      <w:divBdr>
        <w:top w:val="none" w:sz="0" w:space="0" w:color="auto"/>
        <w:left w:val="none" w:sz="0" w:space="0" w:color="auto"/>
        <w:bottom w:val="none" w:sz="0" w:space="0" w:color="auto"/>
        <w:right w:val="none" w:sz="0" w:space="0" w:color="auto"/>
      </w:divBdr>
    </w:div>
    <w:div w:id="489062367">
      <w:bodyDiv w:val="1"/>
      <w:marLeft w:val="0"/>
      <w:marRight w:val="0"/>
      <w:marTop w:val="0"/>
      <w:marBottom w:val="0"/>
      <w:divBdr>
        <w:top w:val="none" w:sz="0" w:space="0" w:color="auto"/>
        <w:left w:val="none" w:sz="0" w:space="0" w:color="auto"/>
        <w:bottom w:val="none" w:sz="0" w:space="0" w:color="auto"/>
        <w:right w:val="none" w:sz="0" w:space="0" w:color="auto"/>
      </w:divBdr>
    </w:div>
    <w:div w:id="489099393">
      <w:bodyDiv w:val="1"/>
      <w:marLeft w:val="0"/>
      <w:marRight w:val="0"/>
      <w:marTop w:val="0"/>
      <w:marBottom w:val="0"/>
      <w:divBdr>
        <w:top w:val="none" w:sz="0" w:space="0" w:color="auto"/>
        <w:left w:val="none" w:sz="0" w:space="0" w:color="auto"/>
        <w:bottom w:val="none" w:sz="0" w:space="0" w:color="auto"/>
        <w:right w:val="none" w:sz="0" w:space="0" w:color="auto"/>
      </w:divBdr>
    </w:div>
    <w:div w:id="489174860">
      <w:bodyDiv w:val="1"/>
      <w:marLeft w:val="0"/>
      <w:marRight w:val="0"/>
      <w:marTop w:val="0"/>
      <w:marBottom w:val="0"/>
      <w:divBdr>
        <w:top w:val="none" w:sz="0" w:space="0" w:color="auto"/>
        <w:left w:val="none" w:sz="0" w:space="0" w:color="auto"/>
        <w:bottom w:val="none" w:sz="0" w:space="0" w:color="auto"/>
        <w:right w:val="none" w:sz="0" w:space="0" w:color="auto"/>
      </w:divBdr>
    </w:div>
    <w:div w:id="489175380">
      <w:bodyDiv w:val="1"/>
      <w:marLeft w:val="0"/>
      <w:marRight w:val="0"/>
      <w:marTop w:val="0"/>
      <w:marBottom w:val="0"/>
      <w:divBdr>
        <w:top w:val="none" w:sz="0" w:space="0" w:color="auto"/>
        <w:left w:val="none" w:sz="0" w:space="0" w:color="auto"/>
        <w:bottom w:val="none" w:sz="0" w:space="0" w:color="auto"/>
        <w:right w:val="none" w:sz="0" w:space="0" w:color="auto"/>
      </w:divBdr>
    </w:div>
    <w:div w:id="489254399">
      <w:bodyDiv w:val="1"/>
      <w:marLeft w:val="0"/>
      <w:marRight w:val="0"/>
      <w:marTop w:val="0"/>
      <w:marBottom w:val="0"/>
      <w:divBdr>
        <w:top w:val="none" w:sz="0" w:space="0" w:color="auto"/>
        <w:left w:val="none" w:sz="0" w:space="0" w:color="auto"/>
        <w:bottom w:val="none" w:sz="0" w:space="0" w:color="auto"/>
        <w:right w:val="none" w:sz="0" w:space="0" w:color="auto"/>
      </w:divBdr>
    </w:div>
    <w:div w:id="489254839">
      <w:bodyDiv w:val="1"/>
      <w:marLeft w:val="0"/>
      <w:marRight w:val="0"/>
      <w:marTop w:val="0"/>
      <w:marBottom w:val="0"/>
      <w:divBdr>
        <w:top w:val="none" w:sz="0" w:space="0" w:color="auto"/>
        <w:left w:val="none" w:sz="0" w:space="0" w:color="auto"/>
        <w:bottom w:val="none" w:sz="0" w:space="0" w:color="auto"/>
        <w:right w:val="none" w:sz="0" w:space="0" w:color="auto"/>
      </w:divBdr>
    </w:div>
    <w:div w:id="489255231">
      <w:bodyDiv w:val="1"/>
      <w:marLeft w:val="0"/>
      <w:marRight w:val="0"/>
      <w:marTop w:val="0"/>
      <w:marBottom w:val="0"/>
      <w:divBdr>
        <w:top w:val="none" w:sz="0" w:space="0" w:color="auto"/>
        <w:left w:val="none" w:sz="0" w:space="0" w:color="auto"/>
        <w:bottom w:val="none" w:sz="0" w:space="0" w:color="auto"/>
        <w:right w:val="none" w:sz="0" w:space="0" w:color="auto"/>
      </w:divBdr>
    </w:div>
    <w:div w:id="489295208">
      <w:bodyDiv w:val="1"/>
      <w:marLeft w:val="0"/>
      <w:marRight w:val="0"/>
      <w:marTop w:val="0"/>
      <w:marBottom w:val="0"/>
      <w:divBdr>
        <w:top w:val="none" w:sz="0" w:space="0" w:color="auto"/>
        <w:left w:val="none" w:sz="0" w:space="0" w:color="auto"/>
        <w:bottom w:val="none" w:sz="0" w:space="0" w:color="auto"/>
        <w:right w:val="none" w:sz="0" w:space="0" w:color="auto"/>
      </w:divBdr>
    </w:div>
    <w:div w:id="489296463">
      <w:bodyDiv w:val="1"/>
      <w:marLeft w:val="0"/>
      <w:marRight w:val="0"/>
      <w:marTop w:val="0"/>
      <w:marBottom w:val="0"/>
      <w:divBdr>
        <w:top w:val="none" w:sz="0" w:space="0" w:color="auto"/>
        <w:left w:val="none" w:sz="0" w:space="0" w:color="auto"/>
        <w:bottom w:val="none" w:sz="0" w:space="0" w:color="auto"/>
        <w:right w:val="none" w:sz="0" w:space="0" w:color="auto"/>
      </w:divBdr>
    </w:div>
    <w:div w:id="489298994">
      <w:bodyDiv w:val="1"/>
      <w:marLeft w:val="0"/>
      <w:marRight w:val="0"/>
      <w:marTop w:val="0"/>
      <w:marBottom w:val="0"/>
      <w:divBdr>
        <w:top w:val="none" w:sz="0" w:space="0" w:color="auto"/>
        <w:left w:val="none" w:sz="0" w:space="0" w:color="auto"/>
        <w:bottom w:val="none" w:sz="0" w:space="0" w:color="auto"/>
        <w:right w:val="none" w:sz="0" w:space="0" w:color="auto"/>
      </w:divBdr>
    </w:div>
    <w:div w:id="489441487">
      <w:bodyDiv w:val="1"/>
      <w:marLeft w:val="0"/>
      <w:marRight w:val="0"/>
      <w:marTop w:val="0"/>
      <w:marBottom w:val="0"/>
      <w:divBdr>
        <w:top w:val="none" w:sz="0" w:space="0" w:color="auto"/>
        <w:left w:val="none" w:sz="0" w:space="0" w:color="auto"/>
        <w:bottom w:val="none" w:sz="0" w:space="0" w:color="auto"/>
        <w:right w:val="none" w:sz="0" w:space="0" w:color="auto"/>
      </w:divBdr>
    </w:div>
    <w:div w:id="489449010">
      <w:bodyDiv w:val="1"/>
      <w:marLeft w:val="0"/>
      <w:marRight w:val="0"/>
      <w:marTop w:val="0"/>
      <w:marBottom w:val="0"/>
      <w:divBdr>
        <w:top w:val="none" w:sz="0" w:space="0" w:color="auto"/>
        <w:left w:val="none" w:sz="0" w:space="0" w:color="auto"/>
        <w:bottom w:val="none" w:sz="0" w:space="0" w:color="auto"/>
        <w:right w:val="none" w:sz="0" w:space="0" w:color="auto"/>
      </w:divBdr>
    </w:div>
    <w:div w:id="489567560">
      <w:bodyDiv w:val="1"/>
      <w:marLeft w:val="0"/>
      <w:marRight w:val="0"/>
      <w:marTop w:val="0"/>
      <w:marBottom w:val="0"/>
      <w:divBdr>
        <w:top w:val="none" w:sz="0" w:space="0" w:color="auto"/>
        <w:left w:val="none" w:sz="0" w:space="0" w:color="auto"/>
        <w:bottom w:val="none" w:sz="0" w:space="0" w:color="auto"/>
        <w:right w:val="none" w:sz="0" w:space="0" w:color="auto"/>
      </w:divBdr>
    </w:div>
    <w:div w:id="489639049">
      <w:bodyDiv w:val="1"/>
      <w:marLeft w:val="0"/>
      <w:marRight w:val="0"/>
      <w:marTop w:val="0"/>
      <w:marBottom w:val="0"/>
      <w:divBdr>
        <w:top w:val="none" w:sz="0" w:space="0" w:color="auto"/>
        <w:left w:val="none" w:sz="0" w:space="0" w:color="auto"/>
        <w:bottom w:val="none" w:sz="0" w:space="0" w:color="auto"/>
        <w:right w:val="none" w:sz="0" w:space="0" w:color="auto"/>
      </w:divBdr>
    </w:div>
    <w:div w:id="489639856">
      <w:bodyDiv w:val="1"/>
      <w:marLeft w:val="0"/>
      <w:marRight w:val="0"/>
      <w:marTop w:val="0"/>
      <w:marBottom w:val="0"/>
      <w:divBdr>
        <w:top w:val="none" w:sz="0" w:space="0" w:color="auto"/>
        <w:left w:val="none" w:sz="0" w:space="0" w:color="auto"/>
        <w:bottom w:val="none" w:sz="0" w:space="0" w:color="auto"/>
        <w:right w:val="none" w:sz="0" w:space="0" w:color="auto"/>
      </w:divBdr>
    </w:div>
    <w:div w:id="489713876">
      <w:bodyDiv w:val="1"/>
      <w:marLeft w:val="0"/>
      <w:marRight w:val="0"/>
      <w:marTop w:val="0"/>
      <w:marBottom w:val="0"/>
      <w:divBdr>
        <w:top w:val="none" w:sz="0" w:space="0" w:color="auto"/>
        <w:left w:val="none" w:sz="0" w:space="0" w:color="auto"/>
        <w:bottom w:val="none" w:sz="0" w:space="0" w:color="auto"/>
        <w:right w:val="none" w:sz="0" w:space="0" w:color="auto"/>
      </w:divBdr>
    </w:div>
    <w:div w:id="489831044">
      <w:bodyDiv w:val="1"/>
      <w:marLeft w:val="0"/>
      <w:marRight w:val="0"/>
      <w:marTop w:val="0"/>
      <w:marBottom w:val="0"/>
      <w:divBdr>
        <w:top w:val="none" w:sz="0" w:space="0" w:color="auto"/>
        <w:left w:val="none" w:sz="0" w:space="0" w:color="auto"/>
        <w:bottom w:val="none" w:sz="0" w:space="0" w:color="auto"/>
        <w:right w:val="none" w:sz="0" w:space="0" w:color="auto"/>
      </w:divBdr>
    </w:div>
    <w:div w:id="489833820">
      <w:bodyDiv w:val="1"/>
      <w:marLeft w:val="0"/>
      <w:marRight w:val="0"/>
      <w:marTop w:val="0"/>
      <w:marBottom w:val="0"/>
      <w:divBdr>
        <w:top w:val="none" w:sz="0" w:space="0" w:color="auto"/>
        <w:left w:val="none" w:sz="0" w:space="0" w:color="auto"/>
        <w:bottom w:val="none" w:sz="0" w:space="0" w:color="auto"/>
        <w:right w:val="none" w:sz="0" w:space="0" w:color="auto"/>
      </w:divBdr>
    </w:div>
    <w:div w:id="489903304">
      <w:bodyDiv w:val="1"/>
      <w:marLeft w:val="0"/>
      <w:marRight w:val="0"/>
      <w:marTop w:val="0"/>
      <w:marBottom w:val="0"/>
      <w:divBdr>
        <w:top w:val="none" w:sz="0" w:space="0" w:color="auto"/>
        <w:left w:val="none" w:sz="0" w:space="0" w:color="auto"/>
        <w:bottom w:val="none" w:sz="0" w:space="0" w:color="auto"/>
        <w:right w:val="none" w:sz="0" w:space="0" w:color="auto"/>
      </w:divBdr>
    </w:div>
    <w:div w:id="489905678">
      <w:bodyDiv w:val="1"/>
      <w:marLeft w:val="0"/>
      <w:marRight w:val="0"/>
      <w:marTop w:val="0"/>
      <w:marBottom w:val="0"/>
      <w:divBdr>
        <w:top w:val="none" w:sz="0" w:space="0" w:color="auto"/>
        <w:left w:val="none" w:sz="0" w:space="0" w:color="auto"/>
        <w:bottom w:val="none" w:sz="0" w:space="0" w:color="auto"/>
        <w:right w:val="none" w:sz="0" w:space="0" w:color="auto"/>
      </w:divBdr>
    </w:div>
    <w:div w:id="490022521">
      <w:bodyDiv w:val="1"/>
      <w:marLeft w:val="0"/>
      <w:marRight w:val="0"/>
      <w:marTop w:val="0"/>
      <w:marBottom w:val="0"/>
      <w:divBdr>
        <w:top w:val="none" w:sz="0" w:space="0" w:color="auto"/>
        <w:left w:val="none" w:sz="0" w:space="0" w:color="auto"/>
        <w:bottom w:val="none" w:sz="0" w:space="0" w:color="auto"/>
        <w:right w:val="none" w:sz="0" w:space="0" w:color="auto"/>
      </w:divBdr>
    </w:div>
    <w:div w:id="490294485">
      <w:bodyDiv w:val="1"/>
      <w:marLeft w:val="0"/>
      <w:marRight w:val="0"/>
      <w:marTop w:val="0"/>
      <w:marBottom w:val="0"/>
      <w:divBdr>
        <w:top w:val="none" w:sz="0" w:space="0" w:color="auto"/>
        <w:left w:val="none" w:sz="0" w:space="0" w:color="auto"/>
        <w:bottom w:val="none" w:sz="0" w:space="0" w:color="auto"/>
        <w:right w:val="none" w:sz="0" w:space="0" w:color="auto"/>
      </w:divBdr>
    </w:div>
    <w:div w:id="490294565">
      <w:bodyDiv w:val="1"/>
      <w:marLeft w:val="0"/>
      <w:marRight w:val="0"/>
      <w:marTop w:val="0"/>
      <w:marBottom w:val="0"/>
      <w:divBdr>
        <w:top w:val="none" w:sz="0" w:space="0" w:color="auto"/>
        <w:left w:val="none" w:sz="0" w:space="0" w:color="auto"/>
        <w:bottom w:val="none" w:sz="0" w:space="0" w:color="auto"/>
        <w:right w:val="none" w:sz="0" w:space="0" w:color="auto"/>
      </w:divBdr>
    </w:div>
    <w:div w:id="490295158">
      <w:bodyDiv w:val="1"/>
      <w:marLeft w:val="0"/>
      <w:marRight w:val="0"/>
      <w:marTop w:val="0"/>
      <w:marBottom w:val="0"/>
      <w:divBdr>
        <w:top w:val="none" w:sz="0" w:space="0" w:color="auto"/>
        <w:left w:val="none" w:sz="0" w:space="0" w:color="auto"/>
        <w:bottom w:val="none" w:sz="0" w:space="0" w:color="auto"/>
        <w:right w:val="none" w:sz="0" w:space="0" w:color="auto"/>
      </w:divBdr>
    </w:div>
    <w:div w:id="490484102">
      <w:bodyDiv w:val="1"/>
      <w:marLeft w:val="0"/>
      <w:marRight w:val="0"/>
      <w:marTop w:val="0"/>
      <w:marBottom w:val="0"/>
      <w:divBdr>
        <w:top w:val="none" w:sz="0" w:space="0" w:color="auto"/>
        <w:left w:val="none" w:sz="0" w:space="0" w:color="auto"/>
        <w:bottom w:val="none" w:sz="0" w:space="0" w:color="auto"/>
        <w:right w:val="none" w:sz="0" w:space="0" w:color="auto"/>
      </w:divBdr>
    </w:div>
    <w:div w:id="490490088">
      <w:bodyDiv w:val="1"/>
      <w:marLeft w:val="0"/>
      <w:marRight w:val="0"/>
      <w:marTop w:val="0"/>
      <w:marBottom w:val="0"/>
      <w:divBdr>
        <w:top w:val="none" w:sz="0" w:space="0" w:color="auto"/>
        <w:left w:val="none" w:sz="0" w:space="0" w:color="auto"/>
        <w:bottom w:val="none" w:sz="0" w:space="0" w:color="auto"/>
        <w:right w:val="none" w:sz="0" w:space="0" w:color="auto"/>
      </w:divBdr>
    </w:div>
    <w:div w:id="490563970">
      <w:bodyDiv w:val="1"/>
      <w:marLeft w:val="0"/>
      <w:marRight w:val="0"/>
      <w:marTop w:val="0"/>
      <w:marBottom w:val="0"/>
      <w:divBdr>
        <w:top w:val="none" w:sz="0" w:space="0" w:color="auto"/>
        <w:left w:val="none" w:sz="0" w:space="0" w:color="auto"/>
        <w:bottom w:val="none" w:sz="0" w:space="0" w:color="auto"/>
        <w:right w:val="none" w:sz="0" w:space="0" w:color="auto"/>
      </w:divBdr>
    </w:div>
    <w:div w:id="490681523">
      <w:bodyDiv w:val="1"/>
      <w:marLeft w:val="0"/>
      <w:marRight w:val="0"/>
      <w:marTop w:val="0"/>
      <w:marBottom w:val="0"/>
      <w:divBdr>
        <w:top w:val="none" w:sz="0" w:space="0" w:color="auto"/>
        <w:left w:val="none" w:sz="0" w:space="0" w:color="auto"/>
        <w:bottom w:val="none" w:sz="0" w:space="0" w:color="auto"/>
        <w:right w:val="none" w:sz="0" w:space="0" w:color="auto"/>
      </w:divBdr>
    </w:div>
    <w:div w:id="490685134">
      <w:bodyDiv w:val="1"/>
      <w:marLeft w:val="0"/>
      <w:marRight w:val="0"/>
      <w:marTop w:val="0"/>
      <w:marBottom w:val="0"/>
      <w:divBdr>
        <w:top w:val="none" w:sz="0" w:space="0" w:color="auto"/>
        <w:left w:val="none" w:sz="0" w:space="0" w:color="auto"/>
        <w:bottom w:val="none" w:sz="0" w:space="0" w:color="auto"/>
        <w:right w:val="none" w:sz="0" w:space="0" w:color="auto"/>
      </w:divBdr>
    </w:div>
    <w:div w:id="490801808">
      <w:bodyDiv w:val="1"/>
      <w:marLeft w:val="0"/>
      <w:marRight w:val="0"/>
      <w:marTop w:val="0"/>
      <w:marBottom w:val="0"/>
      <w:divBdr>
        <w:top w:val="none" w:sz="0" w:space="0" w:color="auto"/>
        <w:left w:val="none" w:sz="0" w:space="0" w:color="auto"/>
        <w:bottom w:val="none" w:sz="0" w:space="0" w:color="auto"/>
        <w:right w:val="none" w:sz="0" w:space="0" w:color="auto"/>
      </w:divBdr>
    </w:div>
    <w:div w:id="490946557">
      <w:bodyDiv w:val="1"/>
      <w:marLeft w:val="0"/>
      <w:marRight w:val="0"/>
      <w:marTop w:val="0"/>
      <w:marBottom w:val="0"/>
      <w:divBdr>
        <w:top w:val="none" w:sz="0" w:space="0" w:color="auto"/>
        <w:left w:val="none" w:sz="0" w:space="0" w:color="auto"/>
        <w:bottom w:val="none" w:sz="0" w:space="0" w:color="auto"/>
        <w:right w:val="none" w:sz="0" w:space="0" w:color="auto"/>
      </w:divBdr>
    </w:div>
    <w:div w:id="490947648">
      <w:bodyDiv w:val="1"/>
      <w:marLeft w:val="0"/>
      <w:marRight w:val="0"/>
      <w:marTop w:val="0"/>
      <w:marBottom w:val="0"/>
      <w:divBdr>
        <w:top w:val="none" w:sz="0" w:space="0" w:color="auto"/>
        <w:left w:val="none" w:sz="0" w:space="0" w:color="auto"/>
        <w:bottom w:val="none" w:sz="0" w:space="0" w:color="auto"/>
        <w:right w:val="none" w:sz="0" w:space="0" w:color="auto"/>
      </w:divBdr>
    </w:div>
    <w:div w:id="490948043">
      <w:bodyDiv w:val="1"/>
      <w:marLeft w:val="0"/>
      <w:marRight w:val="0"/>
      <w:marTop w:val="0"/>
      <w:marBottom w:val="0"/>
      <w:divBdr>
        <w:top w:val="none" w:sz="0" w:space="0" w:color="auto"/>
        <w:left w:val="none" w:sz="0" w:space="0" w:color="auto"/>
        <w:bottom w:val="none" w:sz="0" w:space="0" w:color="auto"/>
        <w:right w:val="none" w:sz="0" w:space="0" w:color="auto"/>
      </w:divBdr>
    </w:div>
    <w:div w:id="491062749">
      <w:bodyDiv w:val="1"/>
      <w:marLeft w:val="0"/>
      <w:marRight w:val="0"/>
      <w:marTop w:val="0"/>
      <w:marBottom w:val="0"/>
      <w:divBdr>
        <w:top w:val="none" w:sz="0" w:space="0" w:color="auto"/>
        <w:left w:val="none" w:sz="0" w:space="0" w:color="auto"/>
        <w:bottom w:val="none" w:sz="0" w:space="0" w:color="auto"/>
        <w:right w:val="none" w:sz="0" w:space="0" w:color="auto"/>
      </w:divBdr>
    </w:div>
    <w:div w:id="491065470">
      <w:bodyDiv w:val="1"/>
      <w:marLeft w:val="0"/>
      <w:marRight w:val="0"/>
      <w:marTop w:val="0"/>
      <w:marBottom w:val="0"/>
      <w:divBdr>
        <w:top w:val="none" w:sz="0" w:space="0" w:color="auto"/>
        <w:left w:val="none" w:sz="0" w:space="0" w:color="auto"/>
        <w:bottom w:val="none" w:sz="0" w:space="0" w:color="auto"/>
        <w:right w:val="none" w:sz="0" w:space="0" w:color="auto"/>
      </w:divBdr>
    </w:div>
    <w:div w:id="491070622">
      <w:bodyDiv w:val="1"/>
      <w:marLeft w:val="0"/>
      <w:marRight w:val="0"/>
      <w:marTop w:val="0"/>
      <w:marBottom w:val="0"/>
      <w:divBdr>
        <w:top w:val="none" w:sz="0" w:space="0" w:color="auto"/>
        <w:left w:val="none" w:sz="0" w:space="0" w:color="auto"/>
        <w:bottom w:val="none" w:sz="0" w:space="0" w:color="auto"/>
        <w:right w:val="none" w:sz="0" w:space="0" w:color="auto"/>
      </w:divBdr>
    </w:div>
    <w:div w:id="491139837">
      <w:bodyDiv w:val="1"/>
      <w:marLeft w:val="0"/>
      <w:marRight w:val="0"/>
      <w:marTop w:val="0"/>
      <w:marBottom w:val="0"/>
      <w:divBdr>
        <w:top w:val="none" w:sz="0" w:space="0" w:color="auto"/>
        <w:left w:val="none" w:sz="0" w:space="0" w:color="auto"/>
        <w:bottom w:val="none" w:sz="0" w:space="0" w:color="auto"/>
        <w:right w:val="none" w:sz="0" w:space="0" w:color="auto"/>
      </w:divBdr>
    </w:div>
    <w:div w:id="491257952">
      <w:bodyDiv w:val="1"/>
      <w:marLeft w:val="0"/>
      <w:marRight w:val="0"/>
      <w:marTop w:val="0"/>
      <w:marBottom w:val="0"/>
      <w:divBdr>
        <w:top w:val="none" w:sz="0" w:space="0" w:color="auto"/>
        <w:left w:val="none" w:sz="0" w:space="0" w:color="auto"/>
        <w:bottom w:val="none" w:sz="0" w:space="0" w:color="auto"/>
        <w:right w:val="none" w:sz="0" w:space="0" w:color="auto"/>
      </w:divBdr>
    </w:div>
    <w:div w:id="491262447">
      <w:bodyDiv w:val="1"/>
      <w:marLeft w:val="0"/>
      <w:marRight w:val="0"/>
      <w:marTop w:val="0"/>
      <w:marBottom w:val="0"/>
      <w:divBdr>
        <w:top w:val="none" w:sz="0" w:space="0" w:color="auto"/>
        <w:left w:val="none" w:sz="0" w:space="0" w:color="auto"/>
        <w:bottom w:val="none" w:sz="0" w:space="0" w:color="auto"/>
        <w:right w:val="none" w:sz="0" w:space="0" w:color="auto"/>
      </w:divBdr>
    </w:div>
    <w:div w:id="491263083">
      <w:bodyDiv w:val="1"/>
      <w:marLeft w:val="0"/>
      <w:marRight w:val="0"/>
      <w:marTop w:val="0"/>
      <w:marBottom w:val="0"/>
      <w:divBdr>
        <w:top w:val="none" w:sz="0" w:space="0" w:color="auto"/>
        <w:left w:val="none" w:sz="0" w:space="0" w:color="auto"/>
        <w:bottom w:val="none" w:sz="0" w:space="0" w:color="auto"/>
        <w:right w:val="none" w:sz="0" w:space="0" w:color="auto"/>
      </w:divBdr>
    </w:div>
    <w:div w:id="491263609">
      <w:bodyDiv w:val="1"/>
      <w:marLeft w:val="0"/>
      <w:marRight w:val="0"/>
      <w:marTop w:val="0"/>
      <w:marBottom w:val="0"/>
      <w:divBdr>
        <w:top w:val="none" w:sz="0" w:space="0" w:color="auto"/>
        <w:left w:val="none" w:sz="0" w:space="0" w:color="auto"/>
        <w:bottom w:val="none" w:sz="0" w:space="0" w:color="auto"/>
        <w:right w:val="none" w:sz="0" w:space="0" w:color="auto"/>
      </w:divBdr>
    </w:div>
    <w:div w:id="491339830">
      <w:bodyDiv w:val="1"/>
      <w:marLeft w:val="0"/>
      <w:marRight w:val="0"/>
      <w:marTop w:val="0"/>
      <w:marBottom w:val="0"/>
      <w:divBdr>
        <w:top w:val="none" w:sz="0" w:space="0" w:color="auto"/>
        <w:left w:val="none" w:sz="0" w:space="0" w:color="auto"/>
        <w:bottom w:val="none" w:sz="0" w:space="0" w:color="auto"/>
        <w:right w:val="none" w:sz="0" w:space="0" w:color="auto"/>
      </w:divBdr>
    </w:div>
    <w:div w:id="491409970">
      <w:bodyDiv w:val="1"/>
      <w:marLeft w:val="0"/>
      <w:marRight w:val="0"/>
      <w:marTop w:val="0"/>
      <w:marBottom w:val="0"/>
      <w:divBdr>
        <w:top w:val="none" w:sz="0" w:space="0" w:color="auto"/>
        <w:left w:val="none" w:sz="0" w:space="0" w:color="auto"/>
        <w:bottom w:val="none" w:sz="0" w:space="0" w:color="auto"/>
        <w:right w:val="none" w:sz="0" w:space="0" w:color="auto"/>
      </w:divBdr>
    </w:div>
    <w:div w:id="491455305">
      <w:bodyDiv w:val="1"/>
      <w:marLeft w:val="0"/>
      <w:marRight w:val="0"/>
      <w:marTop w:val="0"/>
      <w:marBottom w:val="0"/>
      <w:divBdr>
        <w:top w:val="none" w:sz="0" w:space="0" w:color="auto"/>
        <w:left w:val="none" w:sz="0" w:space="0" w:color="auto"/>
        <w:bottom w:val="none" w:sz="0" w:space="0" w:color="auto"/>
        <w:right w:val="none" w:sz="0" w:space="0" w:color="auto"/>
      </w:divBdr>
    </w:div>
    <w:div w:id="491458630">
      <w:bodyDiv w:val="1"/>
      <w:marLeft w:val="0"/>
      <w:marRight w:val="0"/>
      <w:marTop w:val="0"/>
      <w:marBottom w:val="0"/>
      <w:divBdr>
        <w:top w:val="none" w:sz="0" w:space="0" w:color="auto"/>
        <w:left w:val="none" w:sz="0" w:space="0" w:color="auto"/>
        <w:bottom w:val="none" w:sz="0" w:space="0" w:color="auto"/>
        <w:right w:val="none" w:sz="0" w:space="0" w:color="auto"/>
      </w:divBdr>
    </w:div>
    <w:div w:id="491529388">
      <w:bodyDiv w:val="1"/>
      <w:marLeft w:val="0"/>
      <w:marRight w:val="0"/>
      <w:marTop w:val="0"/>
      <w:marBottom w:val="0"/>
      <w:divBdr>
        <w:top w:val="none" w:sz="0" w:space="0" w:color="auto"/>
        <w:left w:val="none" w:sz="0" w:space="0" w:color="auto"/>
        <w:bottom w:val="none" w:sz="0" w:space="0" w:color="auto"/>
        <w:right w:val="none" w:sz="0" w:space="0" w:color="auto"/>
      </w:divBdr>
    </w:div>
    <w:div w:id="491531115">
      <w:bodyDiv w:val="1"/>
      <w:marLeft w:val="0"/>
      <w:marRight w:val="0"/>
      <w:marTop w:val="0"/>
      <w:marBottom w:val="0"/>
      <w:divBdr>
        <w:top w:val="none" w:sz="0" w:space="0" w:color="auto"/>
        <w:left w:val="none" w:sz="0" w:space="0" w:color="auto"/>
        <w:bottom w:val="none" w:sz="0" w:space="0" w:color="auto"/>
        <w:right w:val="none" w:sz="0" w:space="0" w:color="auto"/>
      </w:divBdr>
    </w:div>
    <w:div w:id="491531895">
      <w:bodyDiv w:val="1"/>
      <w:marLeft w:val="0"/>
      <w:marRight w:val="0"/>
      <w:marTop w:val="0"/>
      <w:marBottom w:val="0"/>
      <w:divBdr>
        <w:top w:val="none" w:sz="0" w:space="0" w:color="auto"/>
        <w:left w:val="none" w:sz="0" w:space="0" w:color="auto"/>
        <w:bottom w:val="none" w:sz="0" w:space="0" w:color="auto"/>
        <w:right w:val="none" w:sz="0" w:space="0" w:color="auto"/>
      </w:divBdr>
    </w:div>
    <w:div w:id="491533100">
      <w:bodyDiv w:val="1"/>
      <w:marLeft w:val="0"/>
      <w:marRight w:val="0"/>
      <w:marTop w:val="0"/>
      <w:marBottom w:val="0"/>
      <w:divBdr>
        <w:top w:val="none" w:sz="0" w:space="0" w:color="auto"/>
        <w:left w:val="none" w:sz="0" w:space="0" w:color="auto"/>
        <w:bottom w:val="none" w:sz="0" w:space="0" w:color="auto"/>
        <w:right w:val="none" w:sz="0" w:space="0" w:color="auto"/>
      </w:divBdr>
    </w:div>
    <w:div w:id="491600868">
      <w:bodyDiv w:val="1"/>
      <w:marLeft w:val="0"/>
      <w:marRight w:val="0"/>
      <w:marTop w:val="0"/>
      <w:marBottom w:val="0"/>
      <w:divBdr>
        <w:top w:val="none" w:sz="0" w:space="0" w:color="auto"/>
        <w:left w:val="none" w:sz="0" w:space="0" w:color="auto"/>
        <w:bottom w:val="none" w:sz="0" w:space="0" w:color="auto"/>
        <w:right w:val="none" w:sz="0" w:space="0" w:color="auto"/>
      </w:divBdr>
    </w:div>
    <w:div w:id="491873426">
      <w:bodyDiv w:val="1"/>
      <w:marLeft w:val="0"/>
      <w:marRight w:val="0"/>
      <w:marTop w:val="0"/>
      <w:marBottom w:val="0"/>
      <w:divBdr>
        <w:top w:val="none" w:sz="0" w:space="0" w:color="auto"/>
        <w:left w:val="none" w:sz="0" w:space="0" w:color="auto"/>
        <w:bottom w:val="none" w:sz="0" w:space="0" w:color="auto"/>
        <w:right w:val="none" w:sz="0" w:space="0" w:color="auto"/>
      </w:divBdr>
    </w:div>
    <w:div w:id="491876818">
      <w:bodyDiv w:val="1"/>
      <w:marLeft w:val="0"/>
      <w:marRight w:val="0"/>
      <w:marTop w:val="0"/>
      <w:marBottom w:val="0"/>
      <w:divBdr>
        <w:top w:val="none" w:sz="0" w:space="0" w:color="auto"/>
        <w:left w:val="none" w:sz="0" w:space="0" w:color="auto"/>
        <w:bottom w:val="none" w:sz="0" w:space="0" w:color="auto"/>
        <w:right w:val="none" w:sz="0" w:space="0" w:color="auto"/>
      </w:divBdr>
    </w:div>
    <w:div w:id="491914192">
      <w:bodyDiv w:val="1"/>
      <w:marLeft w:val="0"/>
      <w:marRight w:val="0"/>
      <w:marTop w:val="0"/>
      <w:marBottom w:val="0"/>
      <w:divBdr>
        <w:top w:val="none" w:sz="0" w:space="0" w:color="auto"/>
        <w:left w:val="none" w:sz="0" w:space="0" w:color="auto"/>
        <w:bottom w:val="none" w:sz="0" w:space="0" w:color="auto"/>
        <w:right w:val="none" w:sz="0" w:space="0" w:color="auto"/>
      </w:divBdr>
    </w:div>
    <w:div w:id="492139491">
      <w:bodyDiv w:val="1"/>
      <w:marLeft w:val="0"/>
      <w:marRight w:val="0"/>
      <w:marTop w:val="0"/>
      <w:marBottom w:val="0"/>
      <w:divBdr>
        <w:top w:val="none" w:sz="0" w:space="0" w:color="auto"/>
        <w:left w:val="none" w:sz="0" w:space="0" w:color="auto"/>
        <w:bottom w:val="none" w:sz="0" w:space="0" w:color="auto"/>
        <w:right w:val="none" w:sz="0" w:space="0" w:color="auto"/>
      </w:divBdr>
    </w:div>
    <w:div w:id="492139726">
      <w:bodyDiv w:val="1"/>
      <w:marLeft w:val="0"/>
      <w:marRight w:val="0"/>
      <w:marTop w:val="0"/>
      <w:marBottom w:val="0"/>
      <w:divBdr>
        <w:top w:val="none" w:sz="0" w:space="0" w:color="auto"/>
        <w:left w:val="none" w:sz="0" w:space="0" w:color="auto"/>
        <w:bottom w:val="none" w:sz="0" w:space="0" w:color="auto"/>
        <w:right w:val="none" w:sz="0" w:space="0" w:color="auto"/>
      </w:divBdr>
    </w:div>
    <w:div w:id="492188346">
      <w:bodyDiv w:val="1"/>
      <w:marLeft w:val="0"/>
      <w:marRight w:val="0"/>
      <w:marTop w:val="0"/>
      <w:marBottom w:val="0"/>
      <w:divBdr>
        <w:top w:val="none" w:sz="0" w:space="0" w:color="auto"/>
        <w:left w:val="none" w:sz="0" w:space="0" w:color="auto"/>
        <w:bottom w:val="none" w:sz="0" w:space="0" w:color="auto"/>
        <w:right w:val="none" w:sz="0" w:space="0" w:color="auto"/>
      </w:divBdr>
    </w:div>
    <w:div w:id="492257020">
      <w:bodyDiv w:val="1"/>
      <w:marLeft w:val="0"/>
      <w:marRight w:val="0"/>
      <w:marTop w:val="0"/>
      <w:marBottom w:val="0"/>
      <w:divBdr>
        <w:top w:val="none" w:sz="0" w:space="0" w:color="auto"/>
        <w:left w:val="none" w:sz="0" w:space="0" w:color="auto"/>
        <w:bottom w:val="none" w:sz="0" w:space="0" w:color="auto"/>
        <w:right w:val="none" w:sz="0" w:space="0" w:color="auto"/>
      </w:divBdr>
    </w:div>
    <w:div w:id="492331632">
      <w:bodyDiv w:val="1"/>
      <w:marLeft w:val="0"/>
      <w:marRight w:val="0"/>
      <w:marTop w:val="0"/>
      <w:marBottom w:val="0"/>
      <w:divBdr>
        <w:top w:val="none" w:sz="0" w:space="0" w:color="auto"/>
        <w:left w:val="none" w:sz="0" w:space="0" w:color="auto"/>
        <w:bottom w:val="none" w:sz="0" w:space="0" w:color="auto"/>
        <w:right w:val="none" w:sz="0" w:space="0" w:color="auto"/>
      </w:divBdr>
    </w:div>
    <w:div w:id="492374727">
      <w:bodyDiv w:val="1"/>
      <w:marLeft w:val="0"/>
      <w:marRight w:val="0"/>
      <w:marTop w:val="0"/>
      <w:marBottom w:val="0"/>
      <w:divBdr>
        <w:top w:val="none" w:sz="0" w:space="0" w:color="auto"/>
        <w:left w:val="none" w:sz="0" w:space="0" w:color="auto"/>
        <w:bottom w:val="none" w:sz="0" w:space="0" w:color="auto"/>
        <w:right w:val="none" w:sz="0" w:space="0" w:color="auto"/>
      </w:divBdr>
    </w:div>
    <w:div w:id="492449011">
      <w:bodyDiv w:val="1"/>
      <w:marLeft w:val="0"/>
      <w:marRight w:val="0"/>
      <w:marTop w:val="0"/>
      <w:marBottom w:val="0"/>
      <w:divBdr>
        <w:top w:val="none" w:sz="0" w:space="0" w:color="auto"/>
        <w:left w:val="none" w:sz="0" w:space="0" w:color="auto"/>
        <w:bottom w:val="none" w:sz="0" w:space="0" w:color="auto"/>
        <w:right w:val="none" w:sz="0" w:space="0" w:color="auto"/>
      </w:divBdr>
    </w:div>
    <w:div w:id="492525345">
      <w:bodyDiv w:val="1"/>
      <w:marLeft w:val="0"/>
      <w:marRight w:val="0"/>
      <w:marTop w:val="0"/>
      <w:marBottom w:val="0"/>
      <w:divBdr>
        <w:top w:val="none" w:sz="0" w:space="0" w:color="auto"/>
        <w:left w:val="none" w:sz="0" w:space="0" w:color="auto"/>
        <w:bottom w:val="none" w:sz="0" w:space="0" w:color="auto"/>
        <w:right w:val="none" w:sz="0" w:space="0" w:color="auto"/>
      </w:divBdr>
    </w:div>
    <w:div w:id="492647040">
      <w:bodyDiv w:val="1"/>
      <w:marLeft w:val="0"/>
      <w:marRight w:val="0"/>
      <w:marTop w:val="0"/>
      <w:marBottom w:val="0"/>
      <w:divBdr>
        <w:top w:val="none" w:sz="0" w:space="0" w:color="auto"/>
        <w:left w:val="none" w:sz="0" w:space="0" w:color="auto"/>
        <w:bottom w:val="none" w:sz="0" w:space="0" w:color="auto"/>
        <w:right w:val="none" w:sz="0" w:space="0" w:color="auto"/>
      </w:divBdr>
    </w:div>
    <w:div w:id="493109156">
      <w:bodyDiv w:val="1"/>
      <w:marLeft w:val="0"/>
      <w:marRight w:val="0"/>
      <w:marTop w:val="0"/>
      <w:marBottom w:val="0"/>
      <w:divBdr>
        <w:top w:val="none" w:sz="0" w:space="0" w:color="auto"/>
        <w:left w:val="none" w:sz="0" w:space="0" w:color="auto"/>
        <w:bottom w:val="none" w:sz="0" w:space="0" w:color="auto"/>
        <w:right w:val="none" w:sz="0" w:space="0" w:color="auto"/>
      </w:divBdr>
    </w:div>
    <w:div w:id="493180202">
      <w:bodyDiv w:val="1"/>
      <w:marLeft w:val="0"/>
      <w:marRight w:val="0"/>
      <w:marTop w:val="0"/>
      <w:marBottom w:val="0"/>
      <w:divBdr>
        <w:top w:val="none" w:sz="0" w:space="0" w:color="auto"/>
        <w:left w:val="none" w:sz="0" w:space="0" w:color="auto"/>
        <w:bottom w:val="none" w:sz="0" w:space="0" w:color="auto"/>
        <w:right w:val="none" w:sz="0" w:space="0" w:color="auto"/>
      </w:divBdr>
    </w:div>
    <w:div w:id="493180228">
      <w:bodyDiv w:val="1"/>
      <w:marLeft w:val="0"/>
      <w:marRight w:val="0"/>
      <w:marTop w:val="0"/>
      <w:marBottom w:val="0"/>
      <w:divBdr>
        <w:top w:val="none" w:sz="0" w:space="0" w:color="auto"/>
        <w:left w:val="none" w:sz="0" w:space="0" w:color="auto"/>
        <w:bottom w:val="none" w:sz="0" w:space="0" w:color="auto"/>
        <w:right w:val="none" w:sz="0" w:space="0" w:color="auto"/>
      </w:divBdr>
    </w:div>
    <w:div w:id="493372475">
      <w:bodyDiv w:val="1"/>
      <w:marLeft w:val="0"/>
      <w:marRight w:val="0"/>
      <w:marTop w:val="0"/>
      <w:marBottom w:val="0"/>
      <w:divBdr>
        <w:top w:val="none" w:sz="0" w:space="0" w:color="auto"/>
        <w:left w:val="none" w:sz="0" w:space="0" w:color="auto"/>
        <w:bottom w:val="none" w:sz="0" w:space="0" w:color="auto"/>
        <w:right w:val="none" w:sz="0" w:space="0" w:color="auto"/>
      </w:divBdr>
    </w:div>
    <w:div w:id="493373124">
      <w:bodyDiv w:val="1"/>
      <w:marLeft w:val="0"/>
      <w:marRight w:val="0"/>
      <w:marTop w:val="0"/>
      <w:marBottom w:val="0"/>
      <w:divBdr>
        <w:top w:val="none" w:sz="0" w:space="0" w:color="auto"/>
        <w:left w:val="none" w:sz="0" w:space="0" w:color="auto"/>
        <w:bottom w:val="none" w:sz="0" w:space="0" w:color="auto"/>
        <w:right w:val="none" w:sz="0" w:space="0" w:color="auto"/>
      </w:divBdr>
    </w:div>
    <w:div w:id="493453037">
      <w:bodyDiv w:val="1"/>
      <w:marLeft w:val="0"/>
      <w:marRight w:val="0"/>
      <w:marTop w:val="0"/>
      <w:marBottom w:val="0"/>
      <w:divBdr>
        <w:top w:val="none" w:sz="0" w:space="0" w:color="auto"/>
        <w:left w:val="none" w:sz="0" w:space="0" w:color="auto"/>
        <w:bottom w:val="none" w:sz="0" w:space="0" w:color="auto"/>
        <w:right w:val="none" w:sz="0" w:space="0" w:color="auto"/>
      </w:divBdr>
    </w:div>
    <w:div w:id="493688285">
      <w:bodyDiv w:val="1"/>
      <w:marLeft w:val="0"/>
      <w:marRight w:val="0"/>
      <w:marTop w:val="0"/>
      <w:marBottom w:val="0"/>
      <w:divBdr>
        <w:top w:val="none" w:sz="0" w:space="0" w:color="auto"/>
        <w:left w:val="none" w:sz="0" w:space="0" w:color="auto"/>
        <w:bottom w:val="none" w:sz="0" w:space="0" w:color="auto"/>
        <w:right w:val="none" w:sz="0" w:space="0" w:color="auto"/>
      </w:divBdr>
    </w:div>
    <w:div w:id="493689899">
      <w:bodyDiv w:val="1"/>
      <w:marLeft w:val="0"/>
      <w:marRight w:val="0"/>
      <w:marTop w:val="0"/>
      <w:marBottom w:val="0"/>
      <w:divBdr>
        <w:top w:val="none" w:sz="0" w:space="0" w:color="auto"/>
        <w:left w:val="none" w:sz="0" w:space="0" w:color="auto"/>
        <w:bottom w:val="none" w:sz="0" w:space="0" w:color="auto"/>
        <w:right w:val="none" w:sz="0" w:space="0" w:color="auto"/>
      </w:divBdr>
    </w:div>
    <w:div w:id="493763627">
      <w:bodyDiv w:val="1"/>
      <w:marLeft w:val="0"/>
      <w:marRight w:val="0"/>
      <w:marTop w:val="0"/>
      <w:marBottom w:val="0"/>
      <w:divBdr>
        <w:top w:val="none" w:sz="0" w:space="0" w:color="auto"/>
        <w:left w:val="none" w:sz="0" w:space="0" w:color="auto"/>
        <w:bottom w:val="none" w:sz="0" w:space="0" w:color="auto"/>
        <w:right w:val="none" w:sz="0" w:space="0" w:color="auto"/>
      </w:divBdr>
    </w:div>
    <w:div w:id="493764403">
      <w:bodyDiv w:val="1"/>
      <w:marLeft w:val="0"/>
      <w:marRight w:val="0"/>
      <w:marTop w:val="0"/>
      <w:marBottom w:val="0"/>
      <w:divBdr>
        <w:top w:val="none" w:sz="0" w:space="0" w:color="auto"/>
        <w:left w:val="none" w:sz="0" w:space="0" w:color="auto"/>
        <w:bottom w:val="none" w:sz="0" w:space="0" w:color="auto"/>
        <w:right w:val="none" w:sz="0" w:space="0" w:color="auto"/>
      </w:divBdr>
    </w:div>
    <w:div w:id="493842113">
      <w:bodyDiv w:val="1"/>
      <w:marLeft w:val="0"/>
      <w:marRight w:val="0"/>
      <w:marTop w:val="0"/>
      <w:marBottom w:val="0"/>
      <w:divBdr>
        <w:top w:val="none" w:sz="0" w:space="0" w:color="auto"/>
        <w:left w:val="none" w:sz="0" w:space="0" w:color="auto"/>
        <w:bottom w:val="none" w:sz="0" w:space="0" w:color="auto"/>
        <w:right w:val="none" w:sz="0" w:space="0" w:color="auto"/>
      </w:divBdr>
    </w:div>
    <w:div w:id="493879770">
      <w:bodyDiv w:val="1"/>
      <w:marLeft w:val="0"/>
      <w:marRight w:val="0"/>
      <w:marTop w:val="0"/>
      <w:marBottom w:val="0"/>
      <w:divBdr>
        <w:top w:val="none" w:sz="0" w:space="0" w:color="auto"/>
        <w:left w:val="none" w:sz="0" w:space="0" w:color="auto"/>
        <w:bottom w:val="none" w:sz="0" w:space="0" w:color="auto"/>
        <w:right w:val="none" w:sz="0" w:space="0" w:color="auto"/>
      </w:divBdr>
    </w:div>
    <w:div w:id="493882292">
      <w:bodyDiv w:val="1"/>
      <w:marLeft w:val="0"/>
      <w:marRight w:val="0"/>
      <w:marTop w:val="0"/>
      <w:marBottom w:val="0"/>
      <w:divBdr>
        <w:top w:val="none" w:sz="0" w:space="0" w:color="auto"/>
        <w:left w:val="none" w:sz="0" w:space="0" w:color="auto"/>
        <w:bottom w:val="none" w:sz="0" w:space="0" w:color="auto"/>
        <w:right w:val="none" w:sz="0" w:space="0" w:color="auto"/>
      </w:divBdr>
    </w:div>
    <w:div w:id="493909893">
      <w:bodyDiv w:val="1"/>
      <w:marLeft w:val="0"/>
      <w:marRight w:val="0"/>
      <w:marTop w:val="0"/>
      <w:marBottom w:val="0"/>
      <w:divBdr>
        <w:top w:val="none" w:sz="0" w:space="0" w:color="auto"/>
        <w:left w:val="none" w:sz="0" w:space="0" w:color="auto"/>
        <w:bottom w:val="none" w:sz="0" w:space="0" w:color="auto"/>
        <w:right w:val="none" w:sz="0" w:space="0" w:color="auto"/>
      </w:divBdr>
    </w:div>
    <w:div w:id="494027429">
      <w:bodyDiv w:val="1"/>
      <w:marLeft w:val="0"/>
      <w:marRight w:val="0"/>
      <w:marTop w:val="0"/>
      <w:marBottom w:val="0"/>
      <w:divBdr>
        <w:top w:val="none" w:sz="0" w:space="0" w:color="auto"/>
        <w:left w:val="none" w:sz="0" w:space="0" w:color="auto"/>
        <w:bottom w:val="none" w:sz="0" w:space="0" w:color="auto"/>
        <w:right w:val="none" w:sz="0" w:space="0" w:color="auto"/>
      </w:divBdr>
    </w:div>
    <w:div w:id="494147718">
      <w:bodyDiv w:val="1"/>
      <w:marLeft w:val="0"/>
      <w:marRight w:val="0"/>
      <w:marTop w:val="0"/>
      <w:marBottom w:val="0"/>
      <w:divBdr>
        <w:top w:val="none" w:sz="0" w:space="0" w:color="auto"/>
        <w:left w:val="none" w:sz="0" w:space="0" w:color="auto"/>
        <w:bottom w:val="none" w:sz="0" w:space="0" w:color="auto"/>
        <w:right w:val="none" w:sz="0" w:space="0" w:color="auto"/>
      </w:divBdr>
    </w:div>
    <w:div w:id="494491917">
      <w:bodyDiv w:val="1"/>
      <w:marLeft w:val="0"/>
      <w:marRight w:val="0"/>
      <w:marTop w:val="0"/>
      <w:marBottom w:val="0"/>
      <w:divBdr>
        <w:top w:val="none" w:sz="0" w:space="0" w:color="auto"/>
        <w:left w:val="none" w:sz="0" w:space="0" w:color="auto"/>
        <w:bottom w:val="none" w:sz="0" w:space="0" w:color="auto"/>
        <w:right w:val="none" w:sz="0" w:space="0" w:color="auto"/>
      </w:divBdr>
    </w:div>
    <w:div w:id="494497393">
      <w:bodyDiv w:val="1"/>
      <w:marLeft w:val="0"/>
      <w:marRight w:val="0"/>
      <w:marTop w:val="0"/>
      <w:marBottom w:val="0"/>
      <w:divBdr>
        <w:top w:val="none" w:sz="0" w:space="0" w:color="auto"/>
        <w:left w:val="none" w:sz="0" w:space="0" w:color="auto"/>
        <w:bottom w:val="none" w:sz="0" w:space="0" w:color="auto"/>
        <w:right w:val="none" w:sz="0" w:space="0" w:color="auto"/>
      </w:divBdr>
    </w:div>
    <w:div w:id="494498793">
      <w:bodyDiv w:val="1"/>
      <w:marLeft w:val="0"/>
      <w:marRight w:val="0"/>
      <w:marTop w:val="0"/>
      <w:marBottom w:val="0"/>
      <w:divBdr>
        <w:top w:val="none" w:sz="0" w:space="0" w:color="auto"/>
        <w:left w:val="none" w:sz="0" w:space="0" w:color="auto"/>
        <w:bottom w:val="none" w:sz="0" w:space="0" w:color="auto"/>
        <w:right w:val="none" w:sz="0" w:space="0" w:color="auto"/>
      </w:divBdr>
    </w:div>
    <w:div w:id="494615528">
      <w:bodyDiv w:val="1"/>
      <w:marLeft w:val="0"/>
      <w:marRight w:val="0"/>
      <w:marTop w:val="0"/>
      <w:marBottom w:val="0"/>
      <w:divBdr>
        <w:top w:val="none" w:sz="0" w:space="0" w:color="auto"/>
        <w:left w:val="none" w:sz="0" w:space="0" w:color="auto"/>
        <w:bottom w:val="none" w:sz="0" w:space="0" w:color="auto"/>
        <w:right w:val="none" w:sz="0" w:space="0" w:color="auto"/>
      </w:divBdr>
    </w:div>
    <w:div w:id="494688836">
      <w:bodyDiv w:val="1"/>
      <w:marLeft w:val="0"/>
      <w:marRight w:val="0"/>
      <w:marTop w:val="0"/>
      <w:marBottom w:val="0"/>
      <w:divBdr>
        <w:top w:val="none" w:sz="0" w:space="0" w:color="auto"/>
        <w:left w:val="none" w:sz="0" w:space="0" w:color="auto"/>
        <w:bottom w:val="none" w:sz="0" w:space="0" w:color="auto"/>
        <w:right w:val="none" w:sz="0" w:space="0" w:color="auto"/>
      </w:divBdr>
    </w:div>
    <w:div w:id="494802872">
      <w:bodyDiv w:val="1"/>
      <w:marLeft w:val="0"/>
      <w:marRight w:val="0"/>
      <w:marTop w:val="0"/>
      <w:marBottom w:val="0"/>
      <w:divBdr>
        <w:top w:val="none" w:sz="0" w:space="0" w:color="auto"/>
        <w:left w:val="none" w:sz="0" w:space="0" w:color="auto"/>
        <w:bottom w:val="none" w:sz="0" w:space="0" w:color="auto"/>
        <w:right w:val="none" w:sz="0" w:space="0" w:color="auto"/>
      </w:divBdr>
    </w:div>
    <w:div w:id="494803416">
      <w:bodyDiv w:val="1"/>
      <w:marLeft w:val="0"/>
      <w:marRight w:val="0"/>
      <w:marTop w:val="0"/>
      <w:marBottom w:val="0"/>
      <w:divBdr>
        <w:top w:val="none" w:sz="0" w:space="0" w:color="auto"/>
        <w:left w:val="none" w:sz="0" w:space="0" w:color="auto"/>
        <w:bottom w:val="none" w:sz="0" w:space="0" w:color="auto"/>
        <w:right w:val="none" w:sz="0" w:space="0" w:color="auto"/>
      </w:divBdr>
    </w:div>
    <w:div w:id="494883592">
      <w:bodyDiv w:val="1"/>
      <w:marLeft w:val="0"/>
      <w:marRight w:val="0"/>
      <w:marTop w:val="0"/>
      <w:marBottom w:val="0"/>
      <w:divBdr>
        <w:top w:val="none" w:sz="0" w:space="0" w:color="auto"/>
        <w:left w:val="none" w:sz="0" w:space="0" w:color="auto"/>
        <w:bottom w:val="none" w:sz="0" w:space="0" w:color="auto"/>
        <w:right w:val="none" w:sz="0" w:space="0" w:color="auto"/>
      </w:divBdr>
    </w:div>
    <w:div w:id="495073940">
      <w:bodyDiv w:val="1"/>
      <w:marLeft w:val="0"/>
      <w:marRight w:val="0"/>
      <w:marTop w:val="0"/>
      <w:marBottom w:val="0"/>
      <w:divBdr>
        <w:top w:val="none" w:sz="0" w:space="0" w:color="auto"/>
        <w:left w:val="none" w:sz="0" w:space="0" w:color="auto"/>
        <w:bottom w:val="none" w:sz="0" w:space="0" w:color="auto"/>
        <w:right w:val="none" w:sz="0" w:space="0" w:color="auto"/>
      </w:divBdr>
    </w:div>
    <w:div w:id="495270808">
      <w:bodyDiv w:val="1"/>
      <w:marLeft w:val="0"/>
      <w:marRight w:val="0"/>
      <w:marTop w:val="0"/>
      <w:marBottom w:val="0"/>
      <w:divBdr>
        <w:top w:val="none" w:sz="0" w:space="0" w:color="auto"/>
        <w:left w:val="none" w:sz="0" w:space="0" w:color="auto"/>
        <w:bottom w:val="none" w:sz="0" w:space="0" w:color="auto"/>
        <w:right w:val="none" w:sz="0" w:space="0" w:color="auto"/>
      </w:divBdr>
    </w:div>
    <w:div w:id="495341373">
      <w:bodyDiv w:val="1"/>
      <w:marLeft w:val="0"/>
      <w:marRight w:val="0"/>
      <w:marTop w:val="0"/>
      <w:marBottom w:val="0"/>
      <w:divBdr>
        <w:top w:val="none" w:sz="0" w:space="0" w:color="auto"/>
        <w:left w:val="none" w:sz="0" w:space="0" w:color="auto"/>
        <w:bottom w:val="none" w:sz="0" w:space="0" w:color="auto"/>
        <w:right w:val="none" w:sz="0" w:space="0" w:color="auto"/>
      </w:divBdr>
    </w:div>
    <w:div w:id="495414678">
      <w:bodyDiv w:val="1"/>
      <w:marLeft w:val="0"/>
      <w:marRight w:val="0"/>
      <w:marTop w:val="0"/>
      <w:marBottom w:val="0"/>
      <w:divBdr>
        <w:top w:val="none" w:sz="0" w:space="0" w:color="auto"/>
        <w:left w:val="none" w:sz="0" w:space="0" w:color="auto"/>
        <w:bottom w:val="none" w:sz="0" w:space="0" w:color="auto"/>
        <w:right w:val="none" w:sz="0" w:space="0" w:color="auto"/>
      </w:divBdr>
    </w:div>
    <w:div w:id="495537162">
      <w:bodyDiv w:val="1"/>
      <w:marLeft w:val="0"/>
      <w:marRight w:val="0"/>
      <w:marTop w:val="0"/>
      <w:marBottom w:val="0"/>
      <w:divBdr>
        <w:top w:val="none" w:sz="0" w:space="0" w:color="auto"/>
        <w:left w:val="none" w:sz="0" w:space="0" w:color="auto"/>
        <w:bottom w:val="none" w:sz="0" w:space="0" w:color="auto"/>
        <w:right w:val="none" w:sz="0" w:space="0" w:color="auto"/>
      </w:divBdr>
    </w:div>
    <w:div w:id="495539046">
      <w:bodyDiv w:val="1"/>
      <w:marLeft w:val="0"/>
      <w:marRight w:val="0"/>
      <w:marTop w:val="0"/>
      <w:marBottom w:val="0"/>
      <w:divBdr>
        <w:top w:val="none" w:sz="0" w:space="0" w:color="auto"/>
        <w:left w:val="none" w:sz="0" w:space="0" w:color="auto"/>
        <w:bottom w:val="none" w:sz="0" w:space="0" w:color="auto"/>
        <w:right w:val="none" w:sz="0" w:space="0" w:color="auto"/>
      </w:divBdr>
    </w:div>
    <w:div w:id="495583461">
      <w:bodyDiv w:val="1"/>
      <w:marLeft w:val="0"/>
      <w:marRight w:val="0"/>
      <w:marTop w:val="0"/>
      <w:marBottom w:val="0"/>
      <w:divBdr>
        <w:top w:val="none" w:sz="0" w:space="0" w:color="auto"/>
        <w:left w:val="none" w:sz="0" w:space="0" w:color="auto"/>
        <w:bottom w:val="none" w:sz="0" w:space="0" w:color="auto"/>
        <w:right w:val="none" w:sz="0" w:space="0" w:color="auto"/>
      </w:divBdr>
    </w:div>
    <w:div w:id="495611055">
      <w:bodyDiv w:val="1"/>
      <w:marLeft w:val="0"/>
      <w:marRight w:val="0"/>
      <w:marTop w:val="0"/>
      <w:marBottom w:val="0"/>
      <w:divBdr>
        <w:top w:val="none" w:sz="0" w:space="0" w:color="auto"/>
        <w:left w:val="none" w:sz="0" w:space="0" w:color="auto"/>
        <w:bottom w:val="none" w:sz="0" w:space="0" w:color="auto"/>
        <w:right w:val="none" w:sz="0" w:space="0" w:color="auto"/>
      </w:divBdr>
    </w:div>
    <w:div w:id="495612483">
      <w:bodyDiv w:val="1"/>
      <w:marLeft w:val="0"/>
      <w:marRight w:val="0"/>
      <w:marTop w:val="0"/>
      <w:marBottom w:val="0"/>
      <w:divBdr>
        <w:top w:val="none" w:sz="0" w:space="0" w:color="auto"/>
        <w:left w:val="none" w:sz="0" w:space="0" w:color="auto"/>
        <w:bottom w:val="none" w:sz="0" w:space="0" w:color="auto"/>
        <w:right w:val="none" w:sz="0" w:space="0" w:color="auto"/>
      </w:divBdr>
    </w:div>
    <w:div w:id="495725569">
      <w:bodyDiv w:val="1"/>
      <w:marLeft w:val="0"/>
      <w:marRight w:val="0"/>
      <w:marTop w:val="0"/>
      <w:marBottom w:val="0"/>
      <w:divBdr>
        <w:top w:val="none" w:sz="0" w:space="0" w:color="auto"/>
        <w:left w:val="none" w:sz="0" w:space="0" w:color="auto"/>
        <w:bottom w:val="none" w:sz="0" w:space="0" w:color="auto"/>
        <w:right w:val="none" w:sz="0" w:space="0" w:color="auto"/>
      </w:divBdr>
    </w:div>
    <w:div w:id="495730040">
      <w:bodyDiv w:val="1"/>
      <w:marLeft w:val="0"/>
      <w:marRight w:val="0"/>
      <w:marTop w:val="0"/>
      <w:marBottom w:val="0"/>
      <w:divBdr>
        <w:top w:val="none" w:sz="0" w:space="0" w:color="auto"/>
        <w:left w:val="none" w:sz="0" w:space="0" w:color="auto"/>
        <w:bottom w:val="none" w:sz="0" w:space="0" w:color="auto"/>
        <w:right w:val="none" w:sz="0" w:space="0" w:color="auto"/>
      </w:divBdr>
    </w:div>
    <w:div w:id="495805886">
      <w:bodyDiv w:val="1"/>
      <w:marLeft w:val="0"/>
      <w:marRight w:val="0"/>
      <w:marTop w:val="0"/>
      <w:marBottom w:val="0"/>
      <w:divBdr>
        <w:top w:val="none" w:sz="0" w:space="0" w:color="auto"/>
        <w:left w:val="none" w:sz="0" w:space="0" w:color="auto"/>
        <w:bottom w:val="none" w:sz="0" w:space="0" w:color="auto"/>
        <w:right w:val="none" w:sz="0" w:space="0" w:color="auto"/>
      </w:divBdr>
    </w:div>
    <w:div w:id="495850378">
      <w:bodyDiv w:val="1"/>
      <w:marLeft w:val="0"/>
      <w:marRight w:val="0"/>
      <w:marTop w:val="0"/>
      <w:marBottom w:val="0"/>
      <w:divBdr>
        <w:top w:val="none" w:sz="0" w:space="0" w:color="auto"/>
        <w:left w:val="none" w:sz="0" w:space="0" w:color="auto"/>
        <w:bottom w:val="none" w:sz="0" w:space="0" w:color="auto"/>
        <w:right w:val="none" w:sz="0" w:space="0" w:color="auto"/>
      </w:divBdr>
    </w:div>
    <w:div w:id="495918522">
      <w:bodyDiv w:val="1"/>
      <w:marLeft w:val="0"/>
      <w:marRight w:val="0"/>
      <w:marTop w:val="0"/>
      <w:marBottom w:val="0"/>
      <w:divBdr>
        <w:top w:val="none" w:sz="0" w:space="0" w:color="auto"/>
        <w:left w:val="none" w:sz="0" w:space="0" w:color="auto"/>
        <w:bottom w:val="none" w:sz="0" w:space="0" w:color="auto"/>
        <w:right w:val="none" w:sz="0" w:space="0" w:color="auto"/>
      </w:divBdr>
    </w:div>
    <w:div w:id="496072337">
      <w:bodyDiv w:val="1"/>
      <w:marLeft w:val="0"/>
      <w:marRight w:val="0"/>
      <w:marTop w:val="0"/>
      <w:marBottom w:val="0"/>
      <w:divBdr>
        <w:top w:val="none" w:sz="0" w:space="0" w:color="auto"/>
        <w:left w:val="none" w:sz="0" w:space="0" w:color="auto"/>
        <w:bottom w:val="none" w:sz="0" w:space="0" w:color="auto"/>
        <w:right w:val="none" w:sz="0" w:space="0" w:color="auto"/>
      </w:divBdr>
    </w:div>
    <w:div w:id="496115942">
      <w:bodyDiv w:val="1"/>
      <w:marLeft w:val="0"/>
      <w:marRight w:val="0"/>
      <w:marTop w:val="0"/>
      <w:marBottom w:val="0"/>
      <w:divBdr>
        <w:top w:val="none" w:sz="0" w:space="0" w:color="auto"/>
        <w:left w:val="none" w:sz="0" w:space="0" w:color="auto"/>
        <w:bottom w:val="none" w:sz="0" w:space="0" w:color="auto"/>
        <w:right w:val="none" w:sz="0" w:space="0" w:color="auto"/>
      </w:divBdr>
    </w:div>
    <w:div w:id="496187190">
      <w:bodyDiv w:val="1"/>
      <w:marLeft w:val="0"/>
      <w:marRight w:val="0"/>
      <w:marTop w:val="0"/>
      <w:marBottom w:val="0"/>
      <w:divBdr>
        <w:top w:val="none" w:sz="0" w:space="0" w:color="auto"/>
        <w:left w:val="none" w:sz="0" w:space="0" w:color="auto"/>
        <w:bottom w:val="none" w:sz="0" w:space="0" w:color="auto"/>
        <w:right w:val="none" w:sz="0" w:space="0" w:color="auto"/>
      </w:divBdr>
    </w:div>
    <w:div w:id="496190658">
      <w:bodyDiv w:val="1"/>
      <w:marLeft w:val="0"/>
      <w:marRight w:val="0"/>
      <w:marTop w:val="0"/>
      <w:marBottom w:val="0"/>
      <w:divBdr>
        <w:top w:val="none" w:sz="0" w:space="0" w:color="auto"/>
        <w:left w:val="none" w:sz="0" w:space="0" w:color="auto"/>
        <w:bottom w:val="none" w:sz="0" w:space="0" w:color="auto"/>
        <w:right w:val="none" w:sz="0" w:space="0" w:color="auto"/>
      </w:divBdr>
    </w:div>
    <w:div w:id="496191242">
      <w:bodyDiv w:val="1"/>
      <w:marLeft w:val="0"/>
      <w:marRight w:val="0"/>
      <w:marTop w:val="0"/>
      <w:marBottom w:val="0"/>
      <w:divBdr>
        <w:top w:val="none" w:sz="0" w:space="0" w:color="auto"/>
        <w:left w:val="none" w:sz="0" w:space="0" w:color="auto"/>
        <w:bottom w:val="none" w:sz="0" w:space="0" w:color="auto"/>
        <w:right w:val="none" w:sz="0" w:space="0" w:color="auto"/>
      </w:divBdr>
    </w:div>
    <w:div w:id="496238742">
      <w:bodyDiv w:val="1"/>
      <w:marLeft w:val="0"/>
      <w:marRight w:val="0"/>
      <w:marTop w:val="0"/>
      <w:marBottom w:val="0"/>
      <w:divBdr>
        <w:top w:val="none" w:sz="0" w:space="0" w:color="auto"/>
        <w:left w:val="none" w:sz="0" w:space="0" w:color="auto"/>
        <w:bottom w:val="none" w:sz="0" w:space="0" w:color="auto"/>
        <w:right w:val="none" w:sz="0" w:space="0" w:color="auto"/>
      </w:divBdr>
    </w:div>
    <w:div w:id="496267258">
      <w:bodyDiv w:val="1"/>
      <w:marLeft w:val="0"/>
      <w:marRight w:val="0"/>
      <w:marTop w:val="0"/>
      <w:marBottom w:val="0"/>
      <w:divBdr>
        <w:top w:val="none" w:sz="0" w:space="0" w:color="auto"/>
        <w:left w:val="none" w:sz="0" w:space="0" w:color="auto"/>
        <w:bottom w:val="none" w:sz="0" w:space="0" w:color="auto"/>
        <w:right w:val="none" w:sz="0" w:space="0" w:color="auto"/>
      </w:divBdr>
    </w:div>
    <w:div w:id="496305319">
      <w:bodyDiv w:val="1"/>
      <w:marLeft w:val="0"/>
      <w:marRight w:val="0"/>
      <w:marTop w:val="0"/>
      <w:marBottom w:val="0"/>
      <w:divBdr>
        <w:top w:val="none" w:sz="0" w:space="0" w:color="auto"/>
        <w:left w:val="none" w:sz="0" w:space="0" w:color="auto"/>
        <w:bottom w:val="none" w:sz="0" w:space="0" w:color="auto"/>
        <w:right w:val="none" w:sz="0" w:space="0" w:color="auto"/>
      </w:divBdr>
    </w:div>
    <w:div w:id="496456186">
      <w:bodyDiv w:val="1"/>
      <w:marLeft w:val="0"/>
      <w:marRight w:val="0"/>
      <w:marTop w:val="0"/>
      <w:marBottom w:val="0"/>
      <w:divBdr>
        <w:top w:val="none" w:sz="0" w:space="0" w:color="auto"/>
        <w:left w:val="none" w:sz="0" w:space="0" w:color="auto"/>
        <w:bottom w:val="none" w:sz="0" w:space="0" w:color="auto"/>
        <w:right w:val="none" w:sz="0" w:space="0" w:color="auto"/>
      </w:divBdr>
    </w:div>
    <w:div w:id="496458149">
      <w:bodyDiv w:val="1"/>
      <w:marLeft w:val="0"/>
      <w:marRight w:val="0"/>
      <w:marTop w:val="0"/>
      <w:marBottom w:val="0"/>
      <w:divBdr>
        <w:top w:val="none" w:sz="0" w:space="0" w:color="auto"/>
        <w:left w:val="none" w:sz="0" w:space="0" w:color="auto"/>
        <w:bottom w:val="none" w:sz="0" w:space="0" w:color="auto"/>
        <w:right w:val="none" w:sz="0" w:space="0" w:color="auto"/>
      </w:divBdr>
    </w:div>
    <w:div w:id="496460820">
      <w:bodyDiv w:val="1"/>
      <w:marLeft w:val="0"/>
      <w:marRight w:val="0"/>
      <w:marTop w:val="0"/>
      <w:marBottom w:val="0"/>
      <w:divBdr>
        <w:top w:val="none" w:sz="0" w:space="0" w:color="auto"/>
        <w:left w:val="none" w:sz="0" w:space="0" w:color="auto"/>
        <w:bottom w:val="none" w:sz="0" w:space="0" w:color="auto"/>
        <w:right w:val="none" w:sz="0" w:space="0" w:color="auto"/>
      </w:divBdr>
    </w:div>
    <w:div w:id="496578151">
      <w:bodyDiv w:val="1"/>
      <w:marLeft w:val="0"/>
      <w:marRight w:val="0"/>
      <w:marTop w:val="0"/>
      <w:marBottom w:val="0"/>
      <w:divBdr>
        <w:top w:val="none" w:sz="0" w:space="0" w:color="auto"/>
        <w:left w:val="none" w:sz="0" w:space="0" w:color="auto"/>
        <w:bottom w:val="none" w:sz="0" w:space="0" w:color="auto"/>
        <w:right w:val="none" w:sz="0" w:space="0" w:color="auto"/>
      </w:divBdr>
    </w:div>
    <w:div w:id="496581744">
      <w:bodyDiv w:val="1"/>
      <w:marLeft w:val="0"/>
      <w:marRight w:val="0"/>
      <w:marTop w:val="0"/>
      <w:marBottom w:val="0"/>
      <w:divBdr>
        <w:top w:val="none" w:sz="0" w:space="0" w:color="auto"/>
        <w:left w:val="none" w:sz="0" w:space="0" w:color="auto"/>
        <w:bottom w:val="none" w:sz="0" w:space="0" w:color="auto"/>
        <w:right w:val="none" w:sz="0" w:space="0" w:color="auto"/>
      </w:divBdr>
    </w:div>
    <w:div w:id="496729447">
      <w:bodyDiv w:val="1"/>
      <w:marLeft w:val="0"/>
      <w:marRight w:val="0"/>
      <w:marTop w:val="0"/>
      <w:marBottom w:val="0"/>
      <w:divBdr>
        <w:top w:val="none" w:sz="0" w:space="0" w:color="auto"/>
        <w:left w:val="none" w:sz="0" w:space="0" w:color="auto"/>
        <w:bottom w:val="none" w:sz="0" w:space="0" w:color="auto"/>
        <w:right w:val="none" w:sz="0" w:space="0" w:color="auto"/>
      </w:divBdr>
    </w:div>
    <w:div w:id="496919753">
      <w:bodyDiv w:val="1"/>
      <w:marLeft w:val="0"/>
      <w:marRight w:val="0"/>
      <w:marTop w:val="0"/>
      <w:marBottom w:val="0"/>
      <w:divBdr>
        <w:top w:val="none" w:sz="0" w:space="0" w:color="auto"/>
        <w:left w:val="none" w:sz="0" w:space="0" w:color="auto"/>
        <w:bottom w:val="none" w:sz="0" w:space="0" w:color="auto"/>
        <w:right w:val="none" w:sz="0" w:space="0" w:color="auto"/>
      </w:divBdr>
    </w:div>
    <w:div w:id="496925004">
      <w:bodyDiv w:val="1"/>
      <w:marLeft w:val="0"/>
      <w:marRight w:val="0"/>
      <w:marTop w:val="0"/>
      <w:marBottom w:val="0"/>
      <w:divBdr>
        <w:top w:val="none" w:sz="0" w:space="0" w:color="auto"/>
        <w:left w:val="none" w:sz="0" w:space="0" w:color="auto"/>
        <w:bottom w:val="none" w:sz="0" w:space="0" w:color="auto"/>
        <w:right w:val="none" w:sz="0" w:space="0" w:color="auto"/>
      </w:divBdr>
    </w:div>
    <w:div w:id="496925813">
      <w:bodyDiv w:val="1"/>
      <w:marLeft w:val="0"/>
      <w:marRight w:val="0"/>
      <w:marTop w:val="0"/>
      <w:marBottom w:val="0"/>
      <w:divBdr>
        <w:top w:val="none" w:sz="0" w:space="0" w:color="auto"/>
        <w:left w:val="none" w:sz="0" w:space="0" w:color="auto"/>
        <w:bottom w:val="none" w:sz="0" w:space="0" w:color="auto"/>
        <w:right w:val="none" w:sz="0" w:space="0" w:color="auto"/>
      </w:divBdr>
    </w:div>
    <w:div w:id="497039520">
      <w:bodyDiv w:val="1"/>
      <w:marLeft w:val="0"/>
      <w:marRight w:val="0"/>
      <w:marTop w:val="0"/>
      <w:marBottom w:val="0"/>
      <w:divBdr>
        <w:top w:val="none" w:sz="0" w:space="0" w:color="auto"/>
        <w:left w:val="none" w:sz="0" w:space="0" w:color="auto"/>
        <w:bottom w:val="none" w:sz="0" w:space="0" w:color="auto"/>
        <w:right w:val="none" w:sz="0" w:space="0" w:color="auto"/>
      </w:divBdr>
    </w:div>
    <w:div w:id="497041440">
      <w:bodyDiv w:val="1"/>
      <w:marLeft w:val="0"/>
      <w:marRight w:val="0"/>
      <w:marTop w:val="0"/>
      <w:marBottom w:val="0"/>
      <w:divBdr>
        <w:top w:val="none" w:sz="0" w:space="0" w:color="auto"/>
        <w:left w:val="none" w:sz="0" w:space="0" w:color="auto"/>
        <w:bottom w:val="none" w:sz="0" w:space="0" w:color="auto"/>
        <w:right w:val="none" w:sz="0" w:space="0" w:color="auto"/>
      </w:divBdr>
    </w:div>
    <w:div w:id="497112020">
      <w:bodyDiv w:val="1"/>
      <w:marLeft w:val="0"/>
      <w:marRight w:val="0"/>
      <w:marTop w:val="0"/>
      <w:marBottom w:val="0"/>
      <w:divBdr>
        <w:top w:val="none" w:sz="0" w:space="0" w:color="auto"/>
        <w:left w:val="none" w:sz="0" w:space="0" w:color="auto"/>
        <w:bottom w:val="none" w:sz="0" w:space="0" w:color="auto"/>
        <w:right w:val="none" w:sz="0" w:space="0" w:color="auto"/>
      </w:divBdr>
    </w:div>
    <w:div w:id="497232763">
      <w:bodyDiv w:val="1"/>
      <w:marLeft w:val="0"/>
      <w:marRight w:val="0"/>
      <w:marTop w:val="0"/>
      <w:marBottom w:val="0"/>
      <w:divBdr>
        <w:top w:val="none" w:sz="0" w:space="0" w:color="auto"/>
        <w:left w:val="none" w:sz="0" w:space="0" w:color="auto"/>
        <w:bottom w:val="none" w:sz="0" w:space="0" w:color="auto"/>
        <w:right w:val="none" w:sz="0" w:space="0" w:color="auto"/>
      </w:divBdr>
    </w:div>
    <w:div w:id="497306461">
      <w:bodyDiv w:val="1"/>
      <w:marLeft w:val="0"/>
      <w:marRight w:val="0"/>
      <w:marTop w:val="0"/>
      <w:marBottom w:val="0"/>
      <w:divBdr>
        <w:top w:val="none" w:sz="0" w:space="0" w:color="auto"/>
        <w:left w:val="none" w:sz="0" w:space="0" w:color="auto"/>
        <w:bottom w:val="none" w:sz="0" w:space="0" w:color="auto"/>
        <w:right w:val="none" w:sz="0" w:space="0" w:color="auto"/>
      </w:divBdr>
    </w:div>
    <w:div w:id="497312273">
      <w:bodyDiv w:val="1"/>
      <w:marLeft w:val="0"/>
      <w:marRight w:val="0"/>
      <w:marTop w:val="0"/>
      <w:marBottom w:val="0"/>
      <w:divBdr>
        <w:top w:val="none" w:sz="0" w:space="0" w:color="auto"/>
        <w:left w:val="none" w:sz="0" w:space="0" w:color="auto"/>
        <w:bottom w:val="none" w:sz="0" w:space="0" w:color="auto"/>
        <w:right w:val="none" w:sz="0" w:space="0" w:color="auto"/>
      </w:divBdr>
    </w:div>
    <w:div w:id="497353488">
      <w:bodyDiv w:val="1"/>
      <w:marLeft w:val="0"/>
      <w:marRight w:val="0"/>
      <w:marTop w:val="0"/>
      <w:marBottom w:val="0"/>
      <w:divBdr>
        <w:top w:val="none" w:sz="0" w:space="0" w:color="auto"/>
        <w:left w:val="none" w:sz="0" w:space="0" w:color="auto"/>
        <w:bottom w:val="none" w:sz="0" w:space="0" w:color="auto"/>
        <w:right w:val="none" w:sz="0" w:space="0" w:color="auto"/>
      </w:divBdr>
    </w:div>
    <w:div w:id="497355749">
      <w:bodyDiv w:val="1"/>
      <w:marLeft w:val="0"/>
      <w:marRight w:val="0"/>
      <w:marTop w:val="0"/>
      <w:marBottom w:val="0"/>
      <w:divBdr>
        <w:top w:val="none" w:sz="0" w:space="0" w:color="auto"/>
        <w:left w:val="none" w:sz="0" w:space="0" w:color="auto"/>
        <w:bottom w:val="none" w:sz="0" w:space="0" w:color="auto"/>
        <w:right w:val="none" w:sz="0" w:space="0" w:color="auto"/>
      </w:divBdr>
    </w:div>
    <w:div w:id="497381480">
      <w:bodyDiv w:val="1"/>
      <w:marLeft w:val="0"/>
      <w:marRight w:val="0"/>
      <w:marTop w:val="0"/>
      <w:marBottom w:val="0"/>
      <w:divBdr>
        <w:top w:val="none" w:sz="0" w:space="0" w:color="auto"/>
        <w:left w:val="none" w:sz="0" w:space="0" w:color="auto"/>
        <w:bottom w:val="none" w:sz="0" w:space="0" w:color="auto"/>
        <w:right w:val="none" w:sz="0" w:space="0" w:color="auto"/>
      </w:divBdr>
    </w:div>
    <w:div w:id="497430068">
      <w:bodyDiv w:val="1"/>
      <w:marLeft w:val="0"/>
      <w:marRight w:val="0"/>
      <w:marTop w:val="0"/>
      <w:marBottom w:val="0"/>
      <w:divBdr>
        <w:top w:val="none" w:sz="0" w:space="0" w:color="auto"/>
        <w:left w:val="none" w:sz="0" w:space="0" w:color="auto"/>
        <w:bottom w:val="none" w:sz="0" w:space="0" w:color="auto"/>
        <w:right w:val="none" w:sz="0" w:space="0" w:color="auto"/>
      </w:divBdr>
    </w:div>
    <w:div w:id="497506364">
      <w:bodyDiv w:val="1"/>
      <w:marLeft w:val="0"/>
      <w:marRight w:val="0"/>
      <w:marTop w:val="0"/>
      <w:marBottom w:val="0"/>
      <w:divBdr>
        <w:top w:val="none" w:sz="0" w:space="0" w:color="auto"/>
        <w:left w:val="none" w:sz="0" w:space="0" w:color="auto"/>
        <w:bottom w:val="none" w:sz="0" w:space="0" w:color="auto"/>
        <w:right w:val="none" w:sz="0" w:space="0" w:color="auto"/>
      </w:divBdr>
    </w:div>
    <w:div w:id="497572944">
      <w:bodyDiv w:val="1"/>
      <w:marLeft w:val="0"/>
      <w:marRight w:val="0"/>
      <w:marTop w:val="0"/>
      <w:marBottom w:val="0"/>
      <w:divBdr>
        <w:top w:val="none" w:sz="0" w:space="0" w:color="auto"/>
        <w:left w:val="none" w:sz="0" w:space="0" w:color="auto"/>
        <w:bottom w:val="none" w:sz="0" w:space="0" w:color="auto"/>
        <w:right w:val="none" w:sz="0" w:space="0" w:color="auto"/>
      </w:divBdr>
    </w:div>
    <w:div w:id="497581571">
      <w:bodyDiv w:val="1"/>
      <w:marLeft w:val="0"/>
      <w:marRight w:val="0"/>
      <w:marTop w:val="0"/>
      <w:marBottom w:val="0"/>
      <w:divBdr>
        <w:top w:val="none" w:sz="0" w:space="0" w:color="auto"/>
        <w:left w:val="none" w:sz="0" w:space="0" w:color="auto"/>
        <w:bottom w:val="none" w:sz="0" w:space="0" w:color="auto"/>
        <w:right w:val="none" w:sz="0" w:space="0" w:color="auto"/>
      </w:divBdr>
    </w:div>
    <w:div w:id="497769208">
      <w:bodyDiv w:val="1"/>
      <w:marLeft w:val="0"/>
      <w:marRight w:val="0"/>
      <w:marTop w:val="0"/>
      <w:marBottom w:val="0"/>
      <w:divBdr>
        <w:top w:val="none" w:sz="0" w:space="0" w:color="auto"/>
        <w:left w:val="none" w:sz="0" w:space="0" w:color="auto"/>
        <w:bottom w:val="none" w:sz="0" w:space="0" w:color="auto"/>
        <w:right w:val="none" w:sz="0" w:space="0" w:color="auto"/>
      </w:divBdr>
    </w:div>
    <w:div w:id="497773350">
      <w:bodyDiv w:val="1"/>
      <w:marLeft w:val="0"/>
      <w:marRight w:val="0"/>
      <w:marTop w:val="0"/>
      <w:marBottom w:val="0"/>
      <w:divBdr>
        <w:top w:val="none" w:sz="0" w:space="0" w:color="auto"/>
        <w:left w:val="none" w:sz="0" w:space="0" w:color="auto"/>
        <w:bottom w:val="none" w:sz="0" w:space="0" w:color="auto"/>
        <w:right w:val="none" w:sz="0" w:space="0" w:color="auto"/>
      </w:divBdr>
    </w:div>
    <w:div w:id="497841945">
      <w:bodyDiv w:val="1"/>
      <w:marLeft w:val="0"/>
      <w:marRight w:val="0"/>
      <w:marTop w:val="0"/>
      <w:marBottom w:val="0"/>
      <w:divBdr>
        <w:top w:val="none" w:sz="0" w:space="0" w:color="auto"/>
        <w:left w:val="none" w:sz="0" w:space="0" w:color="auto"/>
        <w:bottom w:val="none" w:sz="0" w:space="0" w:color="auto"/>
        <w:right w:val="none" w:sz="0" w:space="0" w:color="auto"/>
      </w:divBdr>
    </w:div>
    <w:div w:id="497885040">
      <w:bodyDiv w:val="1"/>
      <w:marLeft w:val="0"/>
      <w:marRight w:val="0"/>
      <w:marTop w:val="0"/>
      <w:marBottom w:val="0"/>
      <w:divBdr>
        <w:top w:val="none" w:sz="0" w:space="0" w:color="auto"/>
        <w:left w:val="none" w:sz="0" w:space="0" w:color="auto"/>
        <w:bottom w:val="none" w:sz="0" w:space="0" w:color="auto"/>
        <w:right w:val="none" w:sz="0" w:space="0" w:color="auto"/>
      </w:divBdr>
    </w:div>
    <w:div w:id="498237181">
      <w:bodyDiv w:val="1"/>
      <w:marLeft w:val="0"/>
      <w:marRight w:val="0"/>
      <w:marTop w:val="0"/>
      <w:marBottom w:val="0"/>
      <w:divBdr>
        <w:top w:val="none" w:sz="0" w:space="0" w:color="auto"/>
        <w:left w:val="none" w:sz="0" w:space="0" w:color="auto"/>
        <w:bottom w:val="none" w:sz="0" w:space="0" w:color="auto"/>
        <w:right w:val="none" w:sz="0" w:space="0" w:color="auto"/>
      </w:divBdr>
    </w:div>
    <w:div w:id="498275613">
      <w:bodyDiv w:val="1"/>
      <w:marLeft w:val="0"/>
      <w:marRight w:val="0"/>
      <w:marTop w:val="0"/>
      <w:marBottom w:val="0"/>
      <w:divBdr>
        <w:top w:val="none" w:sz="0" w:space="0" w:color="auto"/>
        <w:left w:val="none" w:sz="0" w:space="0" w:color="auto"/>
        <w:bottom w:val="none" w:sz="0" w:space="0" w:color="auto"/>
        <w:right w:val="none" w:sz="0" w:space="0" w:color="auto"/>
      </w:divBdr>
    </w:div>
    <w:div w:id="498276519">
      <w:bodyDiv w:val="1"/>
      <w:marLeft w:val="0"/>
      <w:marRight w:val="0"/>
      <w:marTop w:val="0"/>
      <w:marBottom w:val="0"/>
      <w:divBdr>
        <w:top w:val="none" w:sz="0" w:space="0" w:color="auto"/>
        <w:left w:val="none" w:sz="0" w:space="0" w:color="auto"/>
        <w:bottom w:val="none" w:sz="0" w:space="0" w:color="auto"/>
        <w:right w:val="none" w:sz="0" w:space="0" w:color="auto"/>
      </w:divBdr>
    </w:div>
    <w:div w:id="498278261">
      <w:bodyDiv w:val="1"/>
      <w:marLeft w:val="0"/>
      <w:marRight w:val="0"/>
      <w:marTop w:val="0"/>
      <w:marBottom w:val="0"/>
      <w:divBdr>
        <w:top w:val="none" w:sz="0" w:space="0" w:color="auto"/>
        <w:left w:val="none" w:sz="0" w:space="0" w:color="auto"/>
        <w:bottom w:val="none" w:sz="0" w:space="0" w:color="auto"/>
        <w:right w:val="none" w:sz="0" w:space="0" w:color="auto"/>
      </w:divBdr>
    </w:div>
    <w:div w:id="498497272">
      <w:bodyDiv w:val="1"/>
      <w:marLeft w:val="0"/>
      <w:marRight w:val="0"/>
      <w:marTop w:val="0"/>
      <w:marBottom w:val="0"/>
      <w:divBdr>
        <w:top w:val="none" w:sz="0" w:space="0" w:color="auto"/>
        <w:left w:val="none" w:sz="0" w:space="0" w:color="auto"/>
        <w:bottom w:val="none" w:sz="0" w:space="0" w:color="auto"/>
        <w:right w:val="none" w:sz="0" w:space="0" w:color="auto"/>
      </w:divBdr>
    </w:div>
    <w:div w:id="498545934">
      <w:bodyDiv w:val="1"/>
      <w:marLeft w:val="0"/>
      <w:marRight w:val="0"/>
      <w:marTop w:val="0"/>
      <w:marBottom w:val="0"/>
      <w:divBdr>
        <w:top w:val="none" w:sz="0" w:space="0" w:color="auto"/>
        <w:left w:val="none" w:sz="0" w:space="0" w:color="auto"/>
        <w:bottom w:val="none" w:sz="0" w:space="0" w:color="auto"/>
        <w:right w:val="none" w:sz="0" w:space="0" w:color="auto"/>
      </w:divBdr>
    </w:div>
    <w:div w:id="498624041">
      <w:bodyDiv w:val="1"/>
      <w:marLeft w:val="0"/>
      <w:marRight w:val="0"/>
      <w:marTop w:val="0"/>
      <w:marBottom w:val="0"/>
      <w:divBdr>
        <w:top w:val="none" w:sz="0" w:space="0" w:color="auto"/>
        <w:left w:val="none" w:sz="0" w:space="0" w:color="auto"/>
        <w:bottom w:val="none" w:sz="0" w:space="0" w:color="auto"/>
        <w:right w:val="none" w:sz="0" w:space="0" w:color="auto"/>
      </w:divBdr>
    </w:div>
    <w:div w:id="498690231">
      <w:bodyDiv w:val="1"/>
      <w:marLeft w:val="0"/>
      <w:marRight w:val="0"/>
      <w:marTop w:val="0"/>
      <w:marBottom w:val="0"/>
      <w:divBdr>
        <w:top w:val="none" w:sz="0" w:space="0" w:color="auto"/>
        <w:left w:val="none" w:sz="0" w:space="0" w:color="auto"/>
        <w:bottom w:val="none" w:sz="0" w:space="0" w:color="auto"/>
        <w:right w:val="none" w:sz="0" w:space="0" w:color="auto"/>
      </w:divBdr>
    </w:div>
    <w:div w:id="498694192">
      <w:bodyDiv w:val="1"/>
      <w:marLeft w:val="0"/>
      <w:marRight w:val="0"/>
      <w:marTop w:val="0"/>
      <w:marBottom w:val="0"/>
      <w:divBdr>
        <w:top w:val="none" w:sz="0" w:space="0" w:color="auto"/>
        <w:left w:val="none" w:sz="0" w:space="0" w:color="auto"/>
        <w:bottom w:val="none" w:sz="0" w:space="0" w:color="auto"/>
        <w:right w:val="none" w:sz="0" w:space="0" w:color="auto"/>
      </w:divBdr>
    </w:div>
    <w:div w:id="498816872">
      <w:bodyDiv w:val="1"/>
      <w:marLeft w:val="0"/>
      <w:marRight w:val="0"/>
      <w:marTop w:val="0"/>
      <w:marBottom w:val="0"/>
      <w:divBdr>
        <w:top w:val="none" w:sz="0" w:space="0" w:color="auto"/>
        <w:left w:val="none" w:sz="0" w:space="0" w:color="auto"/>
        <w:bottom w:val="none" w:sz="0" w:space="0" w:color="auto"/>
        <w:right w:val="none" w:sz="0" w:space="0" w:color="auto"/>
      </w:divBdr>
    </w:div>
    <w:div w:id="498883100">
      <w:bodyDiv w:val="1"/>
      <w:marLeft w:val="0"/>
      <w:marRight w:val="0"/>
      <w:marTop w:val="0"/>
      <w:marBottom w:val="0"/>
      <w:divBdr>
        <w:top w:val="none" w:sz="0" w:space="0" w:color="auto"/>
        <w:left w:val="none" w:sz="0" w:space="0" w:color="auto"/>
        <w:bottom w:val="none" w:sz="0" w:space="0" w:color="auto"/>
        <w:right w:val="none" w:sz="0" w:space="0" w:color="auto"/>
      </w:divBdr>
    </w:div>
    <w:div w:id="498927260">
      <w:bodyDiv w:val="1"/>
      <w:marLeft w:val="0"/>
      <w:marRight w:val="0"/>
      <w:marTop w:val="0"/>
      <w:marBottom w:val="0"/>
      <w:divBdr>
        <w:top w:val="none" w:sz="0" w:space="0" w:color="auto"/>
        <w:left w:val="none" w:sz="0" w:space="0" w:color="auto"/>
        <w:bottom w:val="none" w:sz="0" w:space="0" w:color="auto"/>
        <w:right w:val="none" w:sz="0" w:space="0" w:color="auto"/>
      </w:divBdr>
    </w:div>
    <w:div w:id="498930693">
      <w:bodyDiv w:val="1"/>
      <w:marLeft w:val="0"/>
      <w:marRight w:val="0"/>
      <w:marTop w:val="0"/>
      <w:marBottom w:val="0"/>
      <w:divBdr>
        <w:top w:val="none" w:sz="0" w:space="0" w:color="auto"/>
        <w:left w:val="none" w:sz="0" w:space="0" w:color="auto"/>
        <w:bottom w:val="none" w:sz="0" w:space="0" w:color="auto"/>
        <w:right w:val="none" w:sz="0" w:space="0" w:color="auto"/>
      </w:divBdr>
    </w:div>
    <w:div w:id="499009301">
      <w:bodyDiv w:val="1"/>
      <w:marLeft w:val="0"/>
      <w:marRight w:val="0"/>
      <w:marTop w:val="0"/>
      <w:marBottom w:val="0"/>
      <w:divBdr>
        <w:top w:val="none" w:sz="0" w:space="0" w:color="auto"/>
        <w:left w:val="none" w:sz="0" w:space="0" w:color="auto"/>
        <w:bottom w:val="none" w:sz="0" w:space="0" w:color="auto"/>
        <w:right w:val="none" w:sz="0" w:space="0" w:color="auto"/>
      </w:divBdr>
    </w:div>
    <w:div w:id="499198167">
      <w:bodyDiv w:val="1"/>
      <w:marLeft w:val="0"/>
      <w:marRight w:val="0"/>
      <w:marTop w:val="0"/>
      <w:marBottom w:val="0"/>
      <w:divBdr>
        <w:top w:val="none" w:sz="0" w:space="0" w:color="auto"/>
        <w:left w:val="none" w:sz="0" w:space="0" w:color="auto"/>
        <w:bottom w:val="none" w:sz="0" w:space="0" w:color="auto"/>
        <w:right w:val="none" w:sz="0" w:space="0" w:color="auto"/>
      </w:divBdr>
    </w:div>
    <w:div w:id="499202480">
      <w:bodyDiv w:val="1"/>
      <w:marLeft w:val="0"/>
      <w:marRight w:val="0"/>
      <w:marTop w:val="0"/>
      <w:marBottom w:val="0"/>
      <w:divBdr>
        <w:top w:val="none" w:sz="0" w:space="0" w:color="auto"/>
        <w:left w:val="none" w:sz="0" w:space="0" w:color="auto"/>
        <w:bottom w:val="none" w:sz="0" w:space="0" w:color="auto"/>
        <w:right w:val="none" w:sz="0" w:space="0" w:color="auto"/>
      </w:divBdr>
    </w:div>
    <w:div w:id="499269643">
      <w:bodyDiv w:val="1"/>
      <w:marLeft w:val="0"/>
      <w:marRight w:val="0"/>
      <w:marTop w:val="0"/>
      <w:marBottom w:val="0"/>
      <w:divBdr>
        <w:top w:val="none" w:sz="0" w:space="0" w:color="auto"/>
        <w:left w:val="none" w:sz="0" w:space="0" w:color="auto"/>
        <w:bottom w:val="none" w:sz="0" w:space="0" w:color="auto"/>
        <w:right w:val="none" w:sz="0" w:space="0" w:color="auto"/>
      </w:divBdr>
    </w:div>
    <w:div w:id="499277324">
      <w:bodyDiv w:val="1"/>
      <w:marLeft w:val="0"/>
      <w:marRight w:val="0"/>
      <w:marTop w:val="0"/>
      <w:marBottom w:val="0"/>
      <w:divBdr>
        <w:top w:val="none" w:sz="0" w:space="0" w:color="auto"/>
        <w:left w:val="none" w:sz="0" w:space="0" w:color="auto"/>
        <w:bottom w:val="none" w:sz="0" w:space="0" w:color="auto"/>
        <w:right w:val="none" w:sz="0" w:space="0" w:color="auto"/>
      </w:divBdr>
    </w:div>
    <w:div w:id="499397211">
      <w:bodyDiv w:val="1"/>
      <w:marLeft w:val="0"/>
      <w:marRight w:val="0"/>
      <w:marTop w:val="0"/>
      <w:marBottom w:val="0"/>
      <w:divBdr>
        <w:top w:val="none" w:sz="0" w:space="0" w:color="auto"/>
        <w:left w:val="none" w:sz="0" w:space="0" w:color="auto"/>
        <w:bottom w:val="none" w:sz="0" w:space="0" w:color="auto"/>
        <w:right w:val="none" w:sz="0" w:space="0" w:color="auto"/>
      </w:divBdr>
    </w:div>
    <w:div w:id="499464923">
      <w:bodyDiv w:val="1"/>
      <w:marLeft w:val="0"/>
      <w:marRight w:val="0"/>
      <w:marTop w:val="0"/>
      <w:marBottom w:val="0"/>
      <w:divBdr>
        <w:top w:val="none" w:sz="0" w:space="0" w:color="auto"/>
        <w:left w:val="none" w:sz="0" w:space="0" w:color="auto"/>
        <w:bottom w:val="none" w:sz="0" w:space="0" w:color="auto"/>
        <w:right w:val="none" w:sz="0" w:space="0" w:color="auto"/>
      </w:divBdr>
    </w:div>
    <w:div w:id="499465174">
      <w:bodyDiv w:val="1"/>
      <w:marLeft w:val="0"/>
      <w:marRight w:val="0"/>
      <w:marTop w:val="0"/>
      <w:marBottom w:val="0"/>
      <w:divBdr>
        <w:top w:val="none" w:sz="0" w:space="0" w:color="auto"/>
        <w:left w:val="none" w:sz="0" w:space="0" w:color="auto"/>
        <w:bottom w:val="none" w:sz="0" w:space="0" w:color="auto"/>
        <w:right w:val="none" w:sz="0" w:space="0" w:color="auto"/>
      </w:divBdr>
    </w:div>
    <w:div w:id="499657129">
      <w:bodyDiv w:val="1"/>
      <w:marLeft w:val="0"/>
      <w:marRight w:val="0"/>
      <w:marTop w:val="0"/>
      <w:marBottom w:val="0"/>
      <w:divBdr>
        <w:top w:val="none" w:sz="0" w:space="0" w:color="auto"/>
        <w:left w:val="none" w:sz="0" w:space="0" w:color="auto"/>
        <w:bottom w:val="none" w:sz="0" w:space="0" w:color="auto"/>
        <w:right w:val="none" w:sz="0" w:space="0" w:color="auto"/>
      </w:divBdr>
    </w:div>
    <w:div w:id="499659064">
      <w:bodyDiv w:val="1"/>
      <w:marLeft w:val="0"/>
      <w:marRight w:val="0"/>
      <w:marTop w:val="0"/>
      <w:marBottom w:val="0"/>
      <w:divBdr>
        <w:top w:val="none" w:sz="0" w:space="0" w:color="auto"/>
        <w:left w:val="none" w:sz="0" w:space="0" w:color="auto"/>
        <w:bottom w:val="none" w:sz="0" w:space="0" w:color="auto"/>
        <w:right w:val="none" w:sz="0" w:space="0" w:color="auto"/>
      </w:divBdr>
    </w:div>
    <w:div w:id="499665735">
      <w:bodyDiv w:val="1"/>
      <w:marLeft w:val="0"/>
      <w:marRight w:val="0"/>
      <w:marTop w:val="0"/>
      <w:marBottom w:val="0"/>
      <w:divBdr>
        <w:top w:val="none" w:sz="0" w:space="0" w:color="auto"/>
        <w:left w:val="none" w:sz="0" w:space="0" w:color="auto"/>
        <w:bottom w:val="none" w:sz="0" w:space="0" w:color="auto"/>
        <w:right w:val="none" w:sz="0" w:space="0" w:color="auto"/>
      </w:divBdr>
    </w:div>
    <w:div w:id="499734094">
      <w:bodyDiv w:val="1"/>
      <w:marLeft w:val="0"/>
      <w:marRight w:val="0"/>
      <w:marTop w:val="0"/>
      <w:marBottom w:val="0"/>
      <w:divBdr>
        <w:top w:val="none" w:sz="0" w:space="0" w:color="auto"/>
        <w:left w:val="none" w:sz="0" w:space="0" w:color="auto"/>
        <w:bottom w:val="none" w:sz="0" w:space="0" w:color="auto"/>
        <w:right w:val="none" w:sz="0" w:space="0" w:color="auto"/>
      </w:divBdr>
    </w:div>
    <w:div w:id="499934086">
      <w:bodyDiv w:val="1"/>
      <w:marLeft w:val="0"/>
      <w:marRight w:val="0"/>
      <w:marTop w:val="0"/>
      <w:marBottom w:val="0"/>
      <w:divBdr>
        <w:top w:val="none" w:sz="0" w:space="0" w:color="auto"/>
        <w:left w:val="none" w:sz="0" w:space="0" w:color="auto"/>
        <w:bottom w:val="none" w:sz="0" w:space="0" w:color="auto"/>
        <w:right w:val="none" w:sz="0" w:space="0" w:color="auto"/>
      </w:divBdr>
    </w:div>
    <w:div w:id="500005493">
      <w:bodyDiv w:val="1"/>
      <w:marLeft w:val="0"/>
      <w:marRight w:val="0"/>
      <w:marTop w:val="0"/>
      <w:marBottom w:val="0"/>
      <w:divBdr>
        <w:top w:val="none" w:sz="0" w:space="0" w:color="auto"/>
        <w:left w:val="none" w:sz="0" w:space="0" w:color="auto"/>
        <w:bottom w:val="none" w:sz="0" w:space="0" w:color="auto"/>
        <w:right w:val="none" w:sz="0" w:space="0" w:color="auto"/>
      </w:divBdr>
    </w:div>
    <w:div w:id="500042888">
      <w:bodyDiv w:val="1"/>
      <w:marLeft w:val="0"/>
      <w:marRight w:val="0"/>
      <w:marTop w:val="0"/>
      <w:marBottom w:val="0"/>
      <w:divBdr>
        <w:top w:val="none" w:sz="0" w:space="0" w:color="auto"/>
        <w:left w:val="none" w:sz="0" w:space="0" w:color="auto"/>
        <w:bottom w:val="none" w:sz="0" w:space="0" w:color="auto"/>
        <w:right w:val="none" w:sz="0" w:space="0" w:color="auto"/>
      </w:divBdr>
    </w:div>
    <w:div w:id="500052424">
      <w:bodyDiv w:val="1"/>
      <w:marLeft w:val="0"/>
      <w:marRight w:val="0"/>
      <w:marTop w:val="0"/>
      <w:marBottom w:val="0"/>
      <w:divBdr>
        <w:top w:val="none" w:sz="0" w:space="0" w:color="auto"/>
        <w:left w:val="none" w:sz="0" w:space="0" w:color="auto"/>
        <w:bottom w:val="none" w:sz="0" w:space="0" w:color="auto"/>
        <w:right w:val="none" w:sz="0" w:space="0" w:color="auto"/>
      </w:divBdr>
    </w:div>
    <w:div w:id="500202997">
      <w:bodyDiv w:val="1"/>
      <w:marLeft w:val="0"/>
      <w:marRight w:val="0"/>
      <w:marTop w:val="0"/>
      <w:marBottom w:val="0"/>
      <w:divBdr>
        <w:top w:val="none" w:sz="0" w:space="0" w:color="auto"/>
        <w:left w:val="none" w:sz="0" w:space="0" w:color="auto"/>
        <w:bottom w:val="none" w:sz="0" w:space="0" w:color="auto"/>
        <w:right w:val="none" w:sz="0" w:space="0" w:color="auto"/>
      </w:divBdr>
    </w:div>
    <w:div w:id="500388281">
      <w:bodyDiv w:val="1"/>
      <w:marLeft w:val="0"/>
      <w:marRight w:val="0"/>
      <w:marTop w:val="0"/>
      <w:marBottom w:val="0"/>
      <w:divBdr>
        <w:top w:val="none" w:sz="0" w:space="0" w:color="auto"/>
        <w:left w:val="none" w:sz="0" w:space="0" w:color="auto"/>
        <w:bottom w:val="none" w:sz="0" w:space="0" w:color="auto"/>
        <w:right w:val="none" w:sz="0" w:space="0" w:color="auto"/>
      </w:divBdr>
    </w:div>
    <w:div w:id="500390726">
      <w:bodyDiv w:val="1"/>
      <w:marLeft w:val="0"/>
      <w:marRight w:val="0"/>
      <w:marTop w:val="0"/>
      <w:marBottom w:val="0"/>
      <w:divBdr>
        <w:top w:val="none" w:sz="0" w:space="0" w:color="auto"/>
        <w:left w:val="none" w:sz="0" w:space="0" w:color="auto"/>
        <w:bottom w:val="none" w:sz="0" w:space="0" w:color="auto"/>
        <w:right w:val="none" w:sz="0" w:space="0" w:color="auto"/>
      </w:divBdr>
    </w:div>
    <w:div w:id="500438382">
      <w:bodyDiv w:val="1"/>
      <w:marLeft w:val="0"/>
      <w:marRight w:val="0"/>
      <w:marTop w:val="0"/>
      <w:marBottom w:val="0"/>
      <w:divBdr>
        <w:top w:val="none" w:sz="0" w:space="0" w:color="auto"/>
        <w:left w:val="none" w:sz="0" w:space="0" w:color="auto"/>
        <w:bottom w:val="none" w:sz="0" w:space="0" w:color="auto"/>
        <w:right w:val="none" w:sz="0" w:space="0" w:color="auto"/>
      </w:divBdr>
    </w:div>
    <w:div w:id="500509537">
      <w:bodyDiv w:val="1"/>
      <w:marLeft w:val="0"/>
      <w:marRight w:val="0"/>
      <w:marTop w:val="0"/>
      <w:marBottom w:val="0"/>
      <w:divBdr>
        <w:top w:val="none" w:sz="0" w:space="0" w:color="auto"/>
        <w:left w:val="none" w:sz="0" w:space="0" w:color="auto"/>
        <w:bottom w:val="none" w:sz="0" w:space="0" w:color="auto"/>
        <w:right w:val="none" w:sz="0" w:space="0" w:color="auto"/>
      </w:divBdr>
    </w:div>
    <w:div w:id="500582495">
      <w:bodyDiv w:val="1"/>
      <w:marLeft w:val="0"/>
      <w:marRight w:val="0"/>
      <w:marTop w:val="0"/>
      <w:marBottom w:val="0"/>
      <w:divBdr>
        <w:top w:val="none" w:sz="0" w:space="0" w:color="auto"/>
        <w:left w:val="none" w:sz="0" w:space="0" w:color="auto"/>
        <w:bottom w:val="none" w:sz="0" w:space="0" w:color="auto"/>
        <w:right w:val="none" w:sz="0" w:space="0" w:color="auto"/>
      </w:divBdr>
    </w:div>
    <w:div w:id="500659945">
      <w:bodyDiv w:val="1"/>
      <w:marLeft w:val="0"/>
      <w:marRight w:val="0"/>
      <w:marTop w:val="0"/>
      <w:marBottom w:val="0"/>
      <w:divBdr>
        <w:top w:val="none" w:sz="0" w:space="0" w:color="auto"/>
        <w:left w:val="none" w:sz="0" w:space="0" w:color="auto"/>
        <w:bottom w:val="none" w:sz="0" w:space="0" w:color="auto"/>
        <w:right w:val="none" w:sz="0" w:space="0" w:color="auto"/>
      </w:divBdr>
    </w:div>
    <w:div w:id="500970910">
      <w:bodyDiv w:val="1"/>
      <w:marLeft w:val="0"/>
      <w:marRight w:val="0"/>
      <w:marTop w:val="0"/>
      <w:marBottom w:val="0"/>
      <w:divBdr>
        <w:top w:val="none" w:sz="0" w:space="0" w:color="auto"/>
        <w:left w:val="none" w:sz="0" w:space="0" w:color="auto"/>
        <w:bottom w:val="none" w:sz="0" w:space="0" w:color="auto"/>
        <w:right w:val="none" w:sz="0" w:space="0" w:color="auto"/>
      </w:divBdr>
    </w:div>
    <w:div w:id="501243980">
      <w:bodyDiv w:val="1"/>
      <w:marLeft w:val="0"/>
      <w:marRight w:val="0"/>
      <w:marTop w:val="0"/>
      <w:marBottom w:val="0"/>
      <w:divBdr>
        <w:top w:val="none" w:sz="0" w:space="0" w:color="auto"/>
        <w:left w:val="none" w:sz="0" w:space="0" w:color="auto"/>
        <w:bottom w:val="none" w:sz="0" w:space="0" w:color="auto"/>
        <w:right w:val="none" w:sz="0" w:space="0" w:color="auto"/>
      </w:divBdr>
    </w:div>
    <w:div w:id="501355445">
      <w:bodyDiv w:val="1"/>
      <w:marLeft w:val="0"/>
      <w:marRight w:val="0"/>
      <w:marTop w:val="0"/>
      <w:marBottom w:val="0"/>
      <w:divBdr>
        <w:top w:val="none" w:sz="0" w:space="0" w:color="auto"/>
        <w:left w:val="none" w:sz="0" w:space="0" w:color="auto"/>
        <w:bottom w:val="none" w:sz="0" w:space="0" w:color="auto"/>
        <w:right w:val="none" w:sz="0" w:space="0" w:color="auto"/>
      </w:divBdr>
    </w:div>
    <w:div w:id="501355792">
      <w:bodyDiv w:val="1"/>
      <w:marLeft w:val="0"/>
      <w:marRight w:val="0"/>
      <w:marTop w:val="0"/>
      <w:marBottom w:val="0"/>
      <w:divBdr>
        <w:top w:val="none" w:sz="0" w:space="0" w:color="auto"/>
        <w:left w:val="none" w:sz="0" w:space="0" w:color="auto"/>
        <w:bottom w:val="none" w:sz="0" w:space="0" w:color="auto"/>
        <w:right w:val="none" w:sz="0" w:space="0" w:color="auto"/>
      </w:divBdr>
    </w:div>
    <w:div w:id="501432163">
      <w:bodyDiv w:val="1"/>
      <w:marLeft w:val="0"/>
      <w:marRight w:val="0"/>
      <w:marTop w:val="0"/>
      <w:marBottom w:val="0"/>
      <w:divBdr>
        <w:top w:val="none" w:sz="0" w:space="0" w:color="auto"/>
        <w:left w:val="none" w:sz="0" w:space="0" w:color="auto"/>
        <w:bottom w:val="none" w:sz="0" w:space="0" w:color="auto"/>
        <w:right w:val="none" w:sz="0" w:space="0" w:color="auto"/>
      </w:divBdr>
    </w:div>
    <w:div w:id="501434490">
      <w:bodyDiv w:val="1"/>
      <w:marLeft w:val="0"/>
      <w:marRight w:val="0"/>
      <w:marTop w:val="0"/>
      <w:marBottom w:val="0"/>
      <w:divBdr>
        <w:top w:val="none" w:sz="0" w:space="0" w:color="auto"/>
        <w:left w:val="none" w:sz="0" w:space="0" w:color="auto"/>
        <w:bottom w:val="none" w:sz="0" w:space="0" w:color="auto"/>
        <w:right w:val="none" w:sz="0" w:space="0" w:color="auto"/>
      </w:divBdr>
    </w:div>
    <w:div w:id="501512485">
      <w:bodyDiv w:val="1"/>
      <w:marLeft w:val="0"/>
      <w:marRight w:val="0"/>
      <w:marTop w:val="0"/>
      <w:marBottom w:val="0"/>
      <w:divBdr>
        <w:top w:val="none" w:sz="0" w:space="0" w:color="auto"/>
        <w:left w:val="none" w:sz="0" w:space="0" w:color="auto"/>
        <w:bottom w:val="none" w:sz="0" w:space="0" w:color="auto"/>
        <w:right w:val="none" w:sz="0" w:space="0" w:color="auto"/>
      </w:divBdr>
    </w:div>
    <w:div w:id="501625188">
      <w:bodyDiv w:val="1"/>
      <w:marLeft w:val="0"/>
      <w:marRight w:val="0"/>
      <w:marTop w:val="0"/>
      <w:marBottom w:val="0"/>
      <w:divBdr>
        <w:top w:val="none" w:sz="0" w:space="0" w:color="auto"/>
        <w:left w:val="none" w:sz="0" w:space="0" w:color="auto"/>
        <w:bottom w:val="none" w:sz="0" w:space="0" w:color="auto"/>
        <w:right w:val="none" w:sz="0" w:space="0" w:color="auto"/>
      </w:divBdr>
    </w:div>
    <w:div w:id="501773877">
      <w:bodyDiv w:val="1"/>
      <w:marLeft w:val="0"/>
      <w:marRight w:val="0"/>
      <w:marTop w:val="0"/>
      <w:marBottom w:val="0"/>
      <w:divBdr>
        <w:top w:val="none" w:sz="0" w:space="0" w:color="auto"/>
        <w:left w:val="none" w:sz="0" w:space="0" w:color="auto"/>
        <w:bottom w:val="none" w:sz="0" w:space="0" w:color="auto"/>
        <w:right w:val="none" w:sz="0" w:space="0" w:color="auto"/>
      </w:divBdr>
    </w:div>
    <w:div w:id="501893994">
      <w:bodyDiv w:val="1"/>
      <w:marLeft w:val="0"/>
      <w:marRight w:val="0"/>
      <w:marTop w:val="0"/>
      <w:marBottom w:val="0"/>
      <w:divBdr>
        <w:top w:val="none" w:sz="0" w:space="0" w:color="auto"/>
        <w:left w:val="none" w:sz="0" w:space="0" w:color="auto"/>
        <w:bottom w:val="none" w:sz="0" w:space="0" w:color="auto"/>
        <w:right w:val="none" w:sz="0" w:space="0" w:color="auto"/>
      </w:divBdr>
    </w:div>
    <w:div w:id="501965942">
      <w:bodyDiv w:val="1"/>
      <w:marLeft w:val="0"/>
      <w:marRight w:val="0"/>
      <w:marTop w:val="0"/>
      <w:marBottom w:val="0"/>
      <w:divBdr>
        <w:top w:val="none" w:sz="0" w:space="0" w:color="auto"/>
        <w:left w:val="none" w:sz="0" w:space="0" w:color="auto"/>
        <w:bottom w:val="none" w:sz="0" w:space="0" w:color="auto"/>
        <w:right w:val="none" w:sz="0" w:space="0" w:color="auto"/>
      </w:divBdr>
    </w:div>
    <w:div w:id="502013034">
      <w:bodyDiv w:val="1"/>
      <w:marLeft w:val="0"/>
      <w:marRight w:val="0"/>
      <w:marTop w:val="0"/>
      <w:marBottom w:val="0"/>
      <w:divBdr>
        <w:top w:val="none" w:sz="0" w:space="0" w:color="auto"/>
        <w:left w:val="none" w:sz="0" w:space="0" w:color="auto"/>
        <w:bottom w:val="none" w:sz="0" w:space="0" w:color="auto"/>
        <w:right w:val="none" w:sz="0" w:space="0" w:color="auto"/>
      </w:divBdr>
    </w:div>
    <w:div w:id="502084688">
      <w:bodyDiv w:val="1"/>
      <w:marLeft w:val="0"/>
      <w:marRight w:val="0"/>
      <w:marTop w:val="0"/>
      <w:marBottom w:val="0"/>
      <w:divBdr>
        <w:top w:val="none" w:sz="0" w:space="0" w:color="auto"/>
        <w:left w:val="none" w:sz="0" w:space="0" w:color="auto"/>
        <w:bottom w:val="none" w:sz="0" w:space="0" w:color="auto"/>
        <w:right w:val="none" w:sz="0" w:space="0" w:color="auto"/>
      </w:divBdr>
    </w:div>
    <w:div w:id="502160947">
      <w:bodyDiv w:val="1"/>
      <w:marLeft w:val="0"/>
      <w:marRight w:val="0"/>
      <w:marTop w:val="0"/>
      <w:marBottom w:val="0"/>
      <w:divBdr>
        <w:top w:val="none" w:sz="0" w:space="0" w:color="auto"/>
        <w:left w:val="none" w:sz="0" w:space="0" w:color="auto"/>
        <w:bottom w:val="none" w:sz="0" w:space="0" w:color="auto"/>
        <w:right w:val="none" w:sz="0" w:space="0" w:color="auto"/>
      </w:divBdr>
    </w:div>
    <w:div w:id="502168833">
      <w:bodyDiv w:val="1"/>
      <w:marLeft w:val="0"/>
      <w:marRight w:val="0"/>
      <w:marTop w:val="0"/>
      <w:marBottom w:val="0"/>
      <w:divBdr>
        <w:top w:val="none" w:sz="0" w:space="0" w:color="auto"/>
        <w:left w:val="none" w:sz="0" w:space="0" w:color="auto"/>
        <w:bottom w:val="none" w:sz="0" w:space="0" w:color="auto"/>
        <w:right w:val="none" w:sz="0" w:space="0" w:color="auto"/>
      </w:divBdr>
    </w:div>
    <w:div w:id="502207106">
      <w:bodyDiv w:val="1"/>
      <w:marLeft w:val="0"/>
      <w:marRight w:val="0"/>
      <w:marTop w:val="0"/>
      <w:marBottom w:val="0"/>
      <w:divBdr>
        <w:top w:val="none" w:sz="0" w:space="0" w:color="auto"/>
        <w:left w:val="none" w:sz="0" w:space="0" w:color="auto"/>
        <w:bottom w:val="none" w:sz="0" w:space="0" w:color="auto"/>
        <w:right w:val="none" w:sz="0" w:space="0" w:color="auto"/>
      </w:divBdr>
    </w:div>
    <w:div w:id="502209007">
      <w:bodyDiv w:val="1"/>
      <w:marLeft w:val="0"/>
      <w:marRight w:val="0"/>
      <w:marTop w:val="0"/>
      <w:marBottom w:val="0"/>
      <w:divBdr>
        <w:top w:val="none" w:sz="0" w:space="0" w:color="auto"/>
        <w:left w:val="none" w:sz="0" w:space="0" w:color="auto"/>
        <w:bottom w:val="none" w:sz="0" w:space="0" w:color="auto"/>
        <w:right w:val="none" w:sz="0" w:space="0" w:color="auto"/>
      </w:divBdr>
    </w:div>
    <w:div w:id="502284206">
      <w:bodyDiv w:val="1"/>
      <w:marLeft w:val="0"/>
      <w:marRight w:val="0"/>
      <w:marTop w:val="0"/>
      <w:marBottom w:val="0"/>
      <w:divBdr>
        <w:top w:val="none" w:sz="0" w:space="0" w:color="auto"/>
        <w:left w:val="none" w:sz="0" w:space="0" w:color="auto"/>
        <w:bottom w:val="none" w:sz="0" w:space="0" w:color="auto"/>
        <w:right w:val="none" w:sz="0" w:space="0" w:color="auto"/>
      </w:divBdr>
    </w:div>
    <w:div w:id="502284418">
      <w:bodyDiv w:val="1"/>
      <w:marLeft w:val="0"/>
      <w:marRight w:val="0"/>
      <w:marTop w:val="0"/>
      <w:marBottom w:val="0"/>
      <w:divBdr>
        <w:top w:val="none" w:sz="0" w:space="0" w:color="auto"/>
        <w:left w:val="none" w:sz="0" w:space="0" w:color="auto"/>
        <w:bottom w:val="none" w:sz="0" w:space="0" w:color="auto"/>
        <w:right w:val="none" w:sz="0" w:space="0" w:color="auto"/>
      </w:divBdr>
    </w:div>
    <w:div w:id="502353787">
      <w:bodyDiv w:val="1"/>
      <w:marLeft w:val="0"/>
      <w:marRight w:val="0"/>
      <w:marTop w:val="0"/>
      <w:marBottom w:val="0"/>
      <w:divBdr>
        <w:top w:val="none" w:sz="0" w:space="0" w:color="auto"/>
        <w:left w:val="none" w:sz="0" w:space="0" w:color="auto"/>
        <w:bottom w:val="none" w:sz="0" w:space="0" w:color="auto"/>
        <w:right w:val="none" w:sz="0" w:space="0" w:color="auto"/>
      </w:divBdr>
    </w:div>
    <w:div w:id="502429729">
      <w:bodyDiv w:val="1"/>
      <w:marLeft w:val="0"/>
      <w:marRight w:val="0"/>
      <w:marTop w:val="0"/>
      <w:marBottom w:val="0"/>
      <w:divBdr>
        <w:top w:val="none" w:sz="0" w:space="0" w:color="auto"/>
        <w:left w:val="none" w:sz="0" w:space="0" w:color="auto"/>
        <w:bottom w:val="none" w:sz="0" w:space="0" w:color="auto"/>
        <w:right w:val="none" w:sz="0" w:space="0" w:color="auto"/>
      </w:divBdr>
    </w:div>
    <w:div w:id="502430626">
      <w:bodyDiv w:val="1"/>
      <w:marLeft w:val="0"/>
      <w:marRight w:val="0"/>
      <w:marTop w:val="0"/>
      <w:marBottom w:val="0"/>
      <w:divBdr>
        <w:top w:val="none" w:sz="0" w:space="0" w:color="auto"/>
        <w:left w:val="none" w:sz="0" w:space="0" w:color="auto"/>
        <w:bottom w:val="none" w:sz="0" w:space="0" w:color="auto"/>
        <w:right w:val="none" w:sz="0" w:space="0" w:color="auto"/>
      </w:divBdr>
    </w:div>
    <w:div w:id="502555591">
      <w:bodyDiv w:val="1"/>
      <w:marLeft w:val="0"/>
      <w:marRight w:val="0"/>
      <w:marTop w:val="0"/>
      <w:marBottom w:val="0"/>
      <w:divBdr>
        <w:top w:val="none" w:sz="0" w:space="0" w:color="auto"/>
        <w:left w:val="none" w:sz="0" w:space="0" w:color="auto"/>
        <w:bottom w:val="none" w:sz="0" w:space="0" w:color="auto"/>
        <w:right w:val="none" w:sz="0" w:space="0" w:color="auto"/>
      </w:divBdr>
    </w:div>
    <w:div w:id="502598147">
      <w:bodyDiv w:val="1"/>
      <w:marLeft w:val="0"/>
      <w:marRight w:val="0"/>
      <w:marTop w:val="0"/>
      <w:marBottom w:val="0"/>
      <w:divBdr>
        <w:top w:val="none" w:sz="0" w:space="0" w:color="auto"/>
        <w:left w:val="none" w:sz="0" w:space="0" w:color="auto"/>
        <w:bottom w:val="none" w:sz="0" w:space="0" w:color="auto"/>
        <w:right w:val="none" w:sz="0" w:space="0" w:color="auto"/>
      </w:divBdr>
    </w:div>
    <w:div w:id="502622430">
      <w:bodyDiv w:val="1"/>
      <w:marLeft w:val="0"/>
      <w:marRight w:val="0"/>
      <w:marTop w:val="0"/>
      <w:marBottom w:val="0"/>
      <w:divBdr>
        <w:top w:val="none" w:sz="0" w:space="0" w:color="auto"/>
        <w:left w:val="none" w:sz="0" w:space="0" w:color="auto"/>
        <w:bottom w:val="none" w:sz="0" w:space="0" w:color="auto"/>
        <w:right w:val="none" w:sz="0" w:space="0" w:color="auto"/>
      </w:divBdr>
    </w:div>
    <w:div w:id="502627999">
      <w:bodyDiv w:val="1"/>
      <w:marLeft w:val="0"/>
      <w:marRight w:val="0"/>
      <w:marTop w:val="0"/>
      <w:marBottom w:val="0"/>
      <w:divBdr>
        <w:top w:val="none" w:sz="0" w:space="0" w:color="auto"/>
        <w:left w:val="none" w:sz="0" w:space="0" w:color="auto"/>
        <w:bottom w:val="none" w:sz="0" w:space="0" w:color="auto"/>
        <w:right w:val="none" w:sz="0" w:space="0" w:color="auto"/>
      </w:divBdr>
    </w:div>
    <w:div w:id="502673517">
      <w:bodyDiv w:val="1"/>
      <w:marLeft w:val="0"/>
      <w:marRight w:val="0"/>
      <w:marTop w:val="0"/>
      <w:marBottom w:val="0"/>
      <w:divBdr>
        <w:top w:val="none" w:sz="0" w:space="0" w:color="auto"/>
        <w:left w:val="none" w:sz="0" w:space="0" w:color="auto"/>
        <w:bottom w:val="none" w:sz="0" w:space="0" w:color="auto"/>
        <w:right w:val="none" w:sz="0" w:space="0" w:color="auto"/>
      </w:divBdr>
    </w:div>
    <w:div w:id="502743462">
      <w:bodyDiv w:val="1"/>
      <w:marLeft w:val="0"/>
      <w:marRight w:val="0"/>
      <w:marTop w:val="0"/>
      <w:marBottom w:val="0"/>
      <w:divBdr>
        <w:top w:val="none" w:sz="0" w:space="0" w:color="auto"/>
        <w:left w:val="none" w:sz="0" w:space="0" w:color="auto"/>
        <w:bottom w:val="none" w:sz="0" w:space="0" w:color="auto"/>
        <w:right w:val="none" w:sz="0" w:space="0" w:color="auto"/>
      </w:divBdr>
    </w:div>
    <w:div w:id="502857973">
      <w:bodyDiv w:val="1"/>
      <w:marLeft w:val="0"/>
      <w:marRight w:val="0"/>
      <w:marTop w:val="0"/>
      <w:marBottom w:val="0"/>
      <w:divBdr>
        <w:top w:val="none" w:sz="0" w:space="0" w:color="auto"/>
        <w:left w:val="none" w:sz="0" w:space="0" w:color="auto"/>
        <w:bottom w:val="none" w:sz="0" w:space="0" w:color="auto"/>
        <w:right w:val="none" w:sz="0" w:space="0" w:color="auto"/>
      </w:divBdr>
    </w:div>
    <w:div w:id="502864768">
      <w:bodyDiv w:val="1"/>
      <w:marLeft w:val="0"/>
      <w:marRight w:val="0"/>
      <w:marTop w:val="0"/>
      <w:marBottom w:val="0"/>
      <w:divBdr>
        <w:top w:val="none" w:sz="0" w:space="0" w:color="auto"/>
        <w:left w:val="none" w:sz="0" w:space="0" w:color="auto"/>
        <w:bottom w:val="none" w:sz="0" w:space="0" w:color="auto"/>
        <w:right w:val="none" w:sz="0" w:space="0" w:color="auto"/>
      </w:divBdr>
    </w:div>
    <w:div w:id="502937106">
      <w:bodyDiv w:val="1"/>
      <w:marLeft w:val="0"/>
      <w:marRight w:val="0"/>
      <w:marTop w:val="0"/>
      <w:marBottom w:val="0"/>
      <w:divBdr>
        <w:top w:val="none" w:sz="0" w:space="0" w:color="auto"/>
        <w:left w:val="none" w:sz="0" w:space="0" w:color="auto"/>
        <w:bottom w:val="none" w:sz="0" w:space="0" w:color="auto"/>
        <w:right w:val="none" w:sz="0" w:space="0" w:color="auto"/>
      </w:divBdr>
    </w:div>
    <w:div w:id="503015749">
      <w:bodyDiv w:val="1"/>
      <w:marLeft w:val="0"/>
      <w:marRight w:val="0"/>
      <w:marTop w:val="0"/>
      <w:marBottom w:val="0"/>
      <w:divBdr>
        <w:top w:val="none" w:sz="0" w:space="0" w:color="auto"/>
        <w:left w:val="none" w:sz="0" w:space="0" w:color="auto"/>
        <w:bottom w:val="none" w:sz="0" w:space="0" w:color="auto"/>
        <w:right w:val="none" w:sz="0" w:space="0" w:color="auto"/>
      </w:divBdr>
    </w:div>
    <w:div w:id="503058466">
      <w:bodyDiv w:val="1"/>
      <w:marLeft w:val="0"/>
      <w:marRight w:val="0"/>
      <w:marTop w:val="0"/>
      <w:marBottom w:val="0"/>
      <w:divBdr>
        <w:top w:val="none" w:sz="0" w:space="0" w:color="auto"/>
        <w:left w:val="none" w:sz="0" w:space="0" w:color="auto"/>
        <w:bottom w:val="none" w:sz="0" w:space="0" w:color="auto"/>
        <w:right w:val="none" w:sz="0" w:space="0" w:color="auto"/>
      </w:divBdr>
    </w:div>
    <w:div w:id="503126259">
      <w:bodyDiv w:val="1"/>
      <w:marLeft w:val="0"/>
      <w:marRight w:val="0"/>
      <w:marTop w:val="0"/>
      <w:marBottom w:val="0"/>
      <w:divBdr>
        <w:top w:val="none" w:sz="0" w:space="0" w:color="auto"/>
        <w:left w:val="none" w:sz="0" w:space="0" w:color="auto"/>
        <w:bottom w:val="none" w:sz="0" w:space="0" w:color="auto"/>
        <w:right w:val="none" w:sz="0" w:space="0" w:color="auto"/>
      </w:divBdr>
    </w:div>
    <w:div w:id="503209928">
      <w:bodyDiv w:val="1"/>
      <w:marLeft w:val="0"/>
      <w:marRight w:val="0"/>
      <w:marTop w:val="0"/>
      <w:marBottom w:val="0"/>
      <w:divBdr>
        <w:top w:val="none" w:sz="0" w:space="0" w:color="auto"/>
        <w:left w:val="none" w:sz="0" w:space="0" w:color="auto"/>
        <w:bottom w:val="none" w:sz="0" w:space="0" w:color="auto"/>
        <w:right w:val="none" w:sz="0" w:space="0" w:color="auto"/>
      </w:divBdr>
    </w:div>
    <w:div w:id="503401246">
      <w:bodyDiv w:val="1"/>
      <w:marLeft w:val="0"/>
      <w:marRight w:val="0"/>
      <w:marTop w:val="0"/>
      <w:marBottom w:val="0"/>
      <w:divBdr>
        <w:top w:val="none" w:sz="0" w:space="0" w:color="auto"/>
        <w:left w:val="none" w:sz="0" w:space="0" w:color="auto"/>
        <w:bottom w:val="none" w:sz="0" w:space="0" w:color="auto"/>
        <w:right w:val="none" w:sz="0" w:space="0" w:color="auto"/>
      </w:divBdr>
    </w:div>
    <w:div w:id="503589757">
      <w:bodyDiv w:val="1"/>
      <w:marLeft w:val="0"/>
      <w:marRight w:val="0"/>
      <w:marTop w:val="0"/>
      <w:marBottom w:val="0"/>
      <w:divBdr>
        <w:top w:val="none" w:sz="0" w:space="0" w:color="auto"/>
        <w:left w:val="none" w:sz="0" w:space="0" w:color="auto"/>
        <w:bottom w:val="none" w:sz="0" w:space="0" w:color="auto"/>
        <w:right w:val="none" w:sz="0" w:space="0" w:color="auto"/>
      </w:divBdr>
    </w:div>
    <w:div w:id="503983050">
      <w:bodyDiv w:val="1"/>
      <w:marLeft w:val="0"/>
      <w:marRight w:val="0"/>
      <w:marTop w:val="0"/>
      <w:marBottom w:val="0"/>
      <w:divBdr>
        <w:top w:val="none" w:sz="0" w:space="0" w:color="auto"/>
        <w:left w:val="none" w:sz="0" w:space="0" w:color="auto"/>
        <w:bottom w:val="none" w:sz="0" w:space="0" w:color="auto"/>
        <w:right w:val="none" w:sz="0" w:space="0" w:color="auto"/>
      </w:divBdr>
    </w:div>
    <w:div w:id="504058718">
      <w:bodyDiv w:val="1"/>
      <w:marLeft w:val="0"/>
      <w:marRight w:val="0"/>
      <w:marTop w:val="0"/>
      <w:marBottom w:val="0"/>
      <w:divBdr>
        <w:top w:val="none" w:sz="0" w:space="0" w:color="auto"/>
        <w:left w:val="none" w:sz="0" w:space="0" w:color="auto"/>
        <w:bottom w:val="none" w:sz="0" w:space="0" w:color="auto"/>
        <w:right w:val="none" w:sz="0" w:space="0" w:color="auto"/>
      </w:divBdr>
    </w:div>
    <w:div w:id="504168767">
      <w:bodyDiv w:val="1"/>
      <w:marLeft w:val="0"/>
      <w:marRight w:val="0"/>
      <w:marTop w:val="0"/>
      <w:marBottom w:val="0"/>
      <w:divBdr>
        <w:top w:val="none" w:sz="0" w:space="0" w:color="auto"/>
        <w:left w:val="none" w:sz="0" w:space="0" w:color="auto"/>
        <w:bottom w:val="none" w:sz="0" w:space="0" w:color="auto"/>
        <w:right w:val="none" w:sz="0" w:space="0" w:color="auto"/>
      </w:divBdr>
    </w:div>
    <w:div w:id="504443690">
      <w:bodyDiv w:val="1"/>
      <w:marLeft w:val="0"/>
      <w:marRight w:val="0"/>
      <w:marTop w:val="0"/>
      <w:marBottom w:val="0"/>
      <w:divBdr>
        <w:top w:val="none" w:sz="0" w:space="0" w:color="auto"/>
        <w:left w:val="none" w:sz="0" w:space="0" w:color="auto"/>
        <w:bottom w:val="none" w:sz="0" w:space="0" w:color="auto"/>
        <w:right w:val="none" w:sz="0" w:space="0" w:color="auto"/>
      </w:divBdr>
    </w:div>
    <w:div w:id="504517759">
      <w:bodyDiv w:val="1"/>
      <w:marLeft w:val="0"/>
      <w:marRight w:val="0"/>
      <w:marTop w:val="0"/>
      <w:marBottom w:val="0"/>
      <w:divBdr>
        <w:top w:val="none" w:sz="0" w:space="0" w:color="auto"/>
        <w:left w:val="none" w:sz="0" w:space="0" w:color="auto"/>
        <w:bottom w:val="none" w:sz="0" w:space="0" w:color="auto"/>
        <w:right w:val="none" w:sz="0" w:space="0" w:color="auto"/>
      </w:divBdr>
    </w:div>
    <w:div w:id="504632821">
      <w:bodyDiv w:val="1"/>
      <w:marLeft w:val="0"/>
      <w:marRight w:val="0"/>
      <w:marTop w:val="0"/>
      <w:marBottom w:val="0"/>
      <w:divBdr>
        <w:top w:val="none" w:sz="0" w:space="0" w:color="auto"/>
        <w:left w:val="none" w:sz="0" w:space="0" w:color="auto"/>
        <w:bottom w:val="none" w:sz="0" w:space="0" w:color="auto"/>
        <w:right w:val="none" w:sz="0" w:space="0" w:color="auto"/>
      </w:divBdr>
    </w:div>
    <w:div w:id="504789613">
      <w:bodyDiv w:val="1"/>
      <w:marLeft w:val="0"/>
      <w:marRight w:val="0"/>
      <w:marTop w:val="0"/>
      <w:marBottom w:val="0"/>
      <w:divBdr>
        <w:top w:val="none" w:sz="0" w:space="0" w:color="auto"/>
        <w:left w:val="none" w:sz="0" w:space="0" w:color="auto"/>
        <w:bottom w:val="none" w:sz="0" w:space="0" w:color="auto"/>
        <w:right w:val="none" w:sz="0" w:space="0" w:color="auto"/>
      </w:divBdr>
    </w:div>
    <w:div w:id="504979566">
      <w:bodyDiv w:val="1"/>
      <w:marLeft w:val="0"/>
      <w:marRight w:val="0"/>
      <w:marTop w:val="0"/>
      <w:marBottom w:val="0"/>
      <w:divBdr>
        <w:top w:val="none" w:sz="0" w:space="0" w:color="auto"/>
        <w:left w:val="none" w:sz="0" w:space="0" w:color="auto"/>
        <w:bottom w:val="none" w:sz="0" w:space="0" w:color="auto"/>
        <w:right w:val="none" w:sz="0" w:space="0" w:color="auto"/>
      </w:divBdr>
    </w:div>
    <w:div w:id="504980411">
      <w:bodyDiv w:val="1"/>
      <w:marLeft w:val="0"/>
      <w:marRight w:val="0"/>
      <w:marTop w:val="0"/>
      <w:marBottom w:val="0"/>
      <w:divBdr>
        <w:top w:val="none" w:sz="0" w:space="0" w:color="auto"/>
        <w:left w:val="none" w:sz="0" w:space="0" w:color="auto"/>
        <w:bottom w:val="none" w:sz="0" w:space="0" w:color="auto"/>
        <w:right w:val="none" w:sz="0" w:space="0" w:color="auto"/>
      </w:divBdr>
    </w:div>
    <w:div w:id="505022989">
      <w:bodyDiv w:val="1"/>
      <w:marLeft w:val="0"/>
      <w:marRight w:val="0"/>
      <w:marTop w:val="0"/>
      <w:marBottom w:val="0"/>
      <w:divBdr>
        <w:top w:val="none" w:sz="0" w:space="0" w:color="auto"/>
        <w:left w:val="none" w:sz="0" w:space="0" w:color="auto"/>
        <w:bottom w:val="none" w:sz="0" w:space="0" w:color="auto"/>
        <w:right w:val="none" w:sz="0" w:space="0" w:color="auto"/>
      </w:divBdr>
    </w:div>
    <w:div w:id="505049369">
      <w:bodyDiv w:val="1"/>
      <w:marLeft w:val="0"/>
      <w:marRight w:val="0"/>
      <w:marTop w:val="0"/>
      <w:marBottom w:val="0"/>
      <w:divBdr>
        <w:top w:val="none" w:sz="0" w:space="0" w:color="auto"/>
        <w:left w:val="none" w:sz="0" w:space="0" w:color="auto"/>
        <w:bottom w:val="none" w:sz="0" w:space="0" w:color="auto"/>
        <w:right w:val="none" w:sz="0" w:space="0" w:color="auto"/>
      </w:divBdr>
    </w:div>
    <w:div w:id="505095385">
      <w:bodyDiv w:val="1"/>
      <w:marLeft w:val="0"/>
      <w:marRight w:val="0"/>
      <w:marTop w:val="0"/>
      <w:marBottom w:val="0"/>
      <w:divBdr>
        <w:top w:val="none" w:sz="0" w:space="0" w:color="auto"/>
        <w:left w:val="none" w:sz="0" w:space="0" w:color="auto"/>
        <w:bottom w:val="none" w:sz="0" w:space="0" w:color="auto"/>
        <w:right w:val="none" w:sz="0" w:space="0" w:color="auto"/>
      </w:divBdr>
    </w:div>
    <w:div w:id="505247614">
      <w:bodyDiv w:val="1"/>
      <w:marLeft w:val="0"/>
      <w:marRight w:val="0"/>
      <w:marTop w:val="0"/>
      <w:marBottom w:val="0"/>
      <w:divBdr>
        <w:top w:val="none" w:sz="0" w:space="0" w:color="auto"/>
        <w:left w:val="none" w:sz="0" w:space="0" w:color="auto"/>
        <w:bottom w:val="none" w:sz="0" w:space="0" w:color="auto"/>
        <w:right w:val="none" w:sz="0" w:space="0" w:color="auto"/>
      </w:divBdr>
    </w:div>
    <w:div w:id="505294374">
      <w:bodyDiv w:val="1"/>
      <w:marLeft w:val="0"/>
      <w:marRight w:val="0"/>
      <w:marTop w:val="0"/>
      <w:marBottom w:val="0"/>
      <w:divBdr>
        <w:top w:val="none" w:sz="0" w:space="0" w:color="auto"/>
        <w:left w:val="none" w:sz="0" w:space="0" w:color="auto"/>
        <w:bottom w:val="none" w:sz="0" w:space="0" w:color="auto"/>
        <w:right w:val="none" w:sz="0" w:space="0" w:color="auto"/>
      </w:divBdr>
    </w:div>
    <w:div w:id="505441352">
      <w:bodyDiv w:val="1"/>
      <w:marLeft w:val="0"/>
      <w:marRight w:val="0"/>
      <w:marTop w:val="0"/>
      <w:marBottom w:val="0"/>
      <w:divBdr>
        <w:top w:val="none" w:sz="0" w:space="0" w:color="auto"/>
        <w:left w:val="none" w:sz="0" w:space="0" w:color="auto"/>
        <w:bottom w:val="none" w:sz="0" w:space="0" w:color="auto"/>
        <w:right w:val="none" w:sz="0" w:space="0" w:color="auto"/>
      </w:divBdr>
    </w:div>
    <w:div w:id="505441979">
      <w:bodyDiv w:val="1"/>
      <w:marLeft w:val="0"/>
      <w:marRight w:val="0"/>
      <w:marTop w:val="0"/>
      <w:marBottom w:val="0"/>
      <w:divBdr>
        <w:top w:val="none" w:sz="0" w:space="0" w:color="auto"/>
        <w:left w:val="none" w:sz="0" w:space="0" w:color="auto"/>
        <w:bottom w:val="none" w:sz="0" w:space="0" w:color="auto"/>
        <w:right w:val="none" w:sz="0" w:space="0" w:color="auto"/>
      </w:divBdr>
    </w:div>
    <w:div w:id="505748651">
      <w:bodyDiv w:val="1"/>
      <w:marLeft w:val="0"/>
      <w:marRight w:val="0"/>
      <w:marTop w:val="0"/>
      <w:marBottom w:val="0"/>
      <w:divBdr>
        <w:top w:val="none" w:sz="0" w:space="0" w:color="auto"/>
        <w:left w:val="none" w:sz="0" w:space="0" w:color="auto"/>
        <w:bottom w:val="none" w:sz="0" w:space="0" w:color="auto"/>
        <w:right w:val="none" w:sz="0" w:space="0" w:color="auto"/>
      </w:divBdr>
    </w:div>
    <w:div w:id="505904814">
      <w:bodyDiv w:val="1"/>
      <w:marLeft w:val="0"/>
      <w:marRight w:val="0"/>
      <w:marTop w:val="0"/>
      <w:marBottom w:val="0"/>
      <w:divBdr>
        <w:top w:val="none" w:sz="0" w:space="0" w:color="auto"/>
        <w:left w:val="none" w:sz="0" w:space="0" w:color="auto"/>
        <w:bottom w:val="none" w:sz="0" w:space="0" w:color="auto"/>
        <w:right w:val="none" w:sz="0" w:space="0" w:color="auto"/>
      </w:divBdr>
    </w:div>
    <w:div w:id="505943501">
      <w:bodyDiv w:val="1"/>
      <w:marLeft w:val="0"/>
      <w:marRight w:val="0"/>
      <w:marTop w:val="0"/>
      <w:marBottom w:val="0"/>
      <w:divBdr>
        <w:top w:val="none" w:sz="0" w:space="0" w:color="auto"/>
        <w:left w:val="none" w:sz="0" w:space="0" w:color="auto"/>
        <w:bottom w:val="none" w:sz="0" w:space="0" w:color="auto"/>
        <w:right w:val="none" w:sz="0" w:space="0" w:color="auto"/>
      </w:divBdr>
    </w:div>
    <w:div w:id="505947411">
      <w:bodyDiv w:val="1"/>
      <w:marLeft w:val="0"/>
      <w:marRight w:val="0"/>
      <w:marTop w:val="0"/>
      <w:marBottom w:val="0"/>
      <w:divBdr>
        <w:top w:val="none" w:sz="0" w:space="0" w:color="auto"/>
        <w:left w:val="none" w:sz="0" w:space="0" w:color="auto"/>
        <w:bottom w:val="none" w:sz="0" w:space="0" w:color="auto"/>
        <w:right w:val="none" w:sz="0" w:space="0" w:color="auto"/>
      </w:divBdr>
    </w:div>
    <w:div w:id="505949280">
      <w:bodyDiv w:val="1"/>
      <w:marLeft w:val="0"/>
      <w:marRight w:val="0"/>
      <w:marTop w:val="0"/>
      <w:marBottom w:val="0"/>
      <w:divBdr>
        <w:top w:val="none" w:sz="0" w:space="0" w:color="auto"/>
        <w:left w:val="none" w:sz="0" w:space="0" w:color="auto"/>
        <w:bottom w:val="none" w:sz="0" w:space="0" w:color="auto"/>
        <w:right w:val="none" w:sz="0" w:space="0" w:color="auto"/>
      </w:divBdr>
    </w:div>
    <w:div w:id="506019796">
      <w:bodyDiv w:val="1"/>
      <w:marLeft w:val="0"/>
      <w:marRight w:val="0"/>
      <w:marTop w:val="0"/>
      <w:marBottom w:val="0"/>
      <w:divBdr>
        <w:top w:val="none" w:sz="0" w:space="0" w:color="auto"/>
        <w:left w:val="none" w:sz="0" w:space="0" w:color="auto"/>
        <w:bottom w:val="none" w:sz="0" w:space="0" w:color="auto"/>
        <w:right w:val="none" w:sz="0" w:space="0" w:color="auto"/>
      </w:divBdr>
    </w:div>
    <w:div w:id="506139205">
      <w:bodyDiv w:val="1"/>
      <w:marLeft w:val="0"/>
      <w:marRight w:val="0"/>
      <w:marTop w:val="0"/>
      <w:marBottom w:val="0"/>
      <w:divBdr>
        <w:top w:val="none" w:sz="0" w:space="0" w:color="auto"/>
        <w:left w:val="none" w:sz="0" w:space="0" w:color="auto"/>
        <w:bottom w:val="none" w:sz="0" w:space="0" w:color="auto"/>
        <w:right w:val="none" w:sz="0" w:space="0" w:color="auto"/>
      </w:divBdr>
    </w:div>
    <w:div w:id="506141354">
      <w:bodyDiv w:val="1"/>
      <w:marLeft w:val="0"/>
      <w:marRight w:val="0"/>
      <w:marTop w:val="0"/>
      <w:marBottom w:val="0"/>
      <w:divBdr>
        <w:top w:val="none" w:sz="0" w:space="0" w:color="auto"/>
        <w:left w:val="none" w:sz="0" w:space="0" w:color="auto"/>
        <w:bottom w:val="none" w:sz="0" w:space="0" w:color="auto"/>
        <w:right w:val="none" w:sz="0" w:space="0" w:color="auto"/>
      </w:divBdr>
    </w:div>
    <w:div w:id="506141614">
      <w:bodyDiv w:val="1"/>
      <w:marLeft w:val="0"/>
      <w:marRight w:val="0"/>
      <w:marTop w:val="0"/>
      <w:marBottom w:val="0"/>
      <w:divBdr>
        <w:top w:val="none" w:sz="0" w:space="0" w:color="auto"/>
        <w:left w:val="none" w:sz="0" w:space="0" w:color="auto"/>
        <w:bottom w:val="none" w:sz="0" w:space="0" w:color="auto"/>
        <w:right w:val="none" w:sz="0" w:space="0" w:color="auto"/>
      </w:divBdr>
    </w:div>
    <w:div w:id="506211662">
      <w:bodyDiv w:val="1"/>
      <w:marLeft w:val="0"/>
      <w:marRight w:val="0"/>
      <w:marTop w:val="0"/>
      <w:marBottom w:val="0"/>
      <w:divBdr>
        <w:top w:val="none" w:sz="0" w:space="0" w:color="auto"/>
        <w:left w:val="none" w:sz="0" w:space="0" w:color="auto"/>
        <w:bottom w:val="none" w:sz="0" w:space="0" w:color="auto"/>
        <w:right w:val="none" w:sz="0" w:space="0" w:color="auto"/>
      </w:divBdr>
    </w:div>
    <w:div w:id="506213933">
      <w:bodyDiv w:val="1"/>
      <w:marLeft w:val="0"/>
      <w:marRight w:val="0"/>
      <w:marTop w:val="0"/>
      <w:marBottom w:val="0"/>
      <w:divBdr>
        <w:top w:val="none" w:sz="0" w:space="0" w:color="auto"/>
        <w:left w:val="none" w:sz="0" w:space="0" w:color="auto"/>
        <w:bottom w:val="none" w:sz="0" w:space="0" w:color="auto"/>
        <w:right w:val="none" w:sz="0" w:space="0" w:color="auto"/>
      </w:divBdr>
    </w:div>
    <w:div w:id="506291039">
      <w:bodyDiv w:val="1"/>
      <w:marLeft w:val="0"/>
      <w:marRight w:val="0"/>
      <w:marTop w:val="0"/>
      <w:marBottom w:val="0"/>
      <w:divBdr>
        <w:top w:val="none" w:sz="0" w:space="0" w:color="auto"/>
        <w:left w:val="none" w:sz="0" w:space="0" w:color="auto"/>
        <w:bottom w:val="none" w:sz="0" w:space="0" w:color="auto"/>
        <w:right w:val="none" w:sz="0" w:space="0" w:color="auto"/>
      </w:divBdr>
    </w:div>
    <w:div w:id="506292006">
      <w:bodyDiv w:val="1"/>
      <w:marLeft w:val="0"/>
      <w:marRight w:val="0"/>
      <w:marTop w:val="0"/>
      <w:marBottom w:val="0"/>
      <w:divBdr>
        <w:top w:val="none" w:sz="0" w:space="0" w:color="auto"/>
        <w:left w:val="none" w:sz="0" w:space="0" w:color="auto"/>
        <w:bottom w:val="none" w:sz="0" w:space="0" w:color="auto"/>
        <w:right w:val="none" w:sz="0" w:space="0" w:color="auto"/>
      </w:divBdr>
    </w:div>
    <w:div w:id="506334384">
      <w:bodyDiv w:val="1"/>
      <w:marLeft w:val="0"/>
      <w:marRight w:val="0"/>
      <w:marTop w:val="0"/>
      <w:marBottom w:val="0"/>
      <w:divBdr>
        <w:top w:val="none" w:sz="0" w:space="0" w:color="auto"/>
        <w:left w:val="none" w:sz="0" w:space="0" w:color="auto"/>
        <w:bottom w:val="none" w:sz="0" w:space="0" w:color="auto"/>
        <w:right w:val="none" w:sz="0" w:space="0" w:color="auto"/>
      </w:divBdr>
    </w:div>
    <w:div w:id="506362821">
      <w:bodyDiv w:val="1"/>
      <w:marLeft w:val="0"/>
      <w:marRight w:val="0"/>
      <w:marTop w:val="0"/>
      <w:marBottom w:val="0"/>
      <w:divBdr>
        <w:top w:val="none" w:sz="0" w:space="0" w:color="auto"/>
        <w:left w:val="none" w:sz="0" w:space="0" w:color="auto"/>
        <w:bottom w:val="none" w:sz="0" w:space="0" w:color="auto"/>
        <w:right w:val="none" w:sz="0" w:space="0" w:color="auto"/>
      </w:divBdr>
    </w:div>
    <w:div w:id="506404824">
      <w:bodyDiv w:val="1"/>
      <w:marLeft w:val="0"/>
      <w:marRight w:val="0"/>
      <w:marTop w:val="0"/>
      <w:marBottom w:val="0"/>
      <w:divBdr>
        <w:top w:val="none" w:sz="0" w:space="0" w:color="auto"/>
        <w:left w:val="none" w:sz="0" w:space="0" w:color="auto"/>
        <w:bottom w:val="none" w:sz="0" w:space="0" w:color="auto"/>
        <w:right w:val="none" w:sz="0" w:space="0" w:color="auto"/>
      </w:divBdr>
    </w:div>
    <w:div w:id="506486334">
      <w:bodyDiv w:val="1"/>
      <w:marLeft w:val="0"/>
      <w:marRight w:val="0"/>
      <w:marTop w:val="0"/>
      <w:marBottom w:val="0"/>
      <w:divBdr>
        <w:top w:val="none" w:sz="0" w:space="0" w:color="auto"/>
        <w:left w:val="none" w:sz="0" w:space="0" w:color="auto"/>
        <w:bottom w:val="none" w:sz="0" w:space="0" w:color="auto"/>
        <w:right w:val="none" w:sz="0" w:space="0" w:color="auto"/>
      </w:divBdr>
    </w:div>
    <w:div w:id="506487168">
      <w:bodyDiv w:val="1"/>
      <w:marLeft w:val="0"/>
      <w:marRight w:val="0"/>
      <w:marTop w:val="0"/>
      <w:marBottom w:val="0"/>
      <w:divBdr>
        <w:top w:val="none" w:sz="0" w:space="0" w:color="auto"/>
        <w:left w:val="none" w:sz="0" w:space="0" w:color="auto"/>
        <w:bottom w:val="none" w:sz="0" w:space="0" w:color="auto"/>
        <w:right w:val="none" w:sz="0" w:space="0" w:color="auto"/>
      </w:divBdr>
    </w:div>
    <w:div w:id="506597704">
      <w:bodyDiv w:val="1"/>
      <w:marLeft w:val="0"/>
      <w:marRight w:val="0"/>
      <w:marTop w:val="0"/>
      <w:marBottom w:val="0"/>
      <w:divBdr>
        <w:top w:val="none" w:sz="0" w:space="0" w:color="auto"/>
        <w:left w:val="none" w:sz="0" w:space="0" w:color="auto"/>
        <w:bottom w:val="none" w:sz="0" w:space="0" w:color="auto"/>
        <w:right w:val="none" w:sz="0" w:space="0" w:color="auto"/>
      </w:divBdr>
    </w:div>
    <w:div w:id="506602409">
      <w:bodyDiv w:val="1"/>
      <w:marLeft w:val="0"/>
      <w:marRight w:val="0"/>
      <w:marTop w:val="0"/>
      <w:marBottom w:val="0"/>
      <w:divBdr>
        <w:top w:val="none" w:sz="0" w:space="0" w:color="auto"/>
        <w:left w:val="none" w:sz="0" w:space="0" w:color="auto"/>
        <w:bottom w:val="none" w:sz="0" w:space="0" w:color="auto"/>
        <w:right w:val="none" w:sz="0" w:space="0" w:color="auto"/>
      </w:divBdr>
    </w:div>
    <w:div w:id="506672640">
      <w:bodyDiv w:val="1"/>
      <w:marLeft w:val="0"/>
      <w:marRight w:val="0"/>
      <w:marTop w:val="0"/>
      <w:marBottom w:val="0"/>
      <w:divBdr>
        <w:top w:val="none" w:sz="0" w:space="0" w:color="auto"/>
        <w:left w:val="none" w:sz="0" w:space="0" w:color="auto"/>
        <w:bottom w:val="none" w:sz="0" w:space="0" w:color="auto"/>
        <w:right w:val="none" w:sz="0" w:space="0" w:color="auto"/>
      </w:divBdr>
    </w:div>
    <w:div w:id="506678426">
      <w:bodyDiv w:val="1"/>
      <w:marLeft w:val="0"/>
      <w:marRight w:val="0"/>
      <w:marTop w:val="0"/>
      <w:marBottom w:val="0"/>
      <w:divBdr>
        <w:top w:val="none" w:sz="0" w:space="0" w:color="auto"/>
        <w:left w:val="none" w:sz="0" w:space="0" w:color="auto"/>
        <w:bottom w:val="none" w:sz="0" w:space="0" w:color="auto"/>
        <w:right w:val="none" w:sz="0" w:space="0" w:color="auto"/>
      </w:divBdr>
    </w:div>
    <w:div w:id="506748528">
      <w:bodyDiv w:val="1"/>
      <w:marLeft w:val="0"/>
      <w:marRight w:val="0"/>
      <w:marTop w:val="0"/>
      <w:marBottom w:val="0"/>
      <w:divBdr>
        <w:top w:val="none" w:sz="0" w:space="0" w:color="auto"/>
        <w:left w:val="none" w:sz="0" w:space="0" w:color="auto"/>
        <w:bottom w:val="none" w:sz="0" w:space="0" w:color="auto"/>
        <w:right w:val="none" w:sz="0" w:space="0" w:color="auto"/>
      </w:divBdr>
    </w:div>
    <w:div w:id="506867877">
      <w:bodyDiv w:val="1"/>
      <w:marLeft w:val="0"/>
      <w:marRight w:val="0"/>
      <w:marTop w:val="0"/>
      <w:marBottom w:val="0"/>
      <w:divBdr>
        <w:top w:val="none" w:sz="0" w:space="0" w:color="auto"/>
        <w:left w:val="none" w:sz="0" w:space="0" w:color="auto"/>
        <w:bottom w:val="none" w:sz="0" w:space="0" w:color="auto"/>
        <w:right w:val="none" w:sz="0" w:space="0" w:color="auto"/>
      </w:divBdr>
    </w:div>
    <w:div w:id="506991240">
      <w:bodyDiv w:val="1"/>
      <w:marLeft w:val="0"/>
      <w:marRight w:val="0"/>
      <w:marTop w:val="0"/>
      <w:marBottom w:val="0"/>
      <w:divBdr>
        <w:top w:val="none" w:sz="0" w:space="0" w:color="auto"/>
        <w:left w:val="none" w:sz="0" w:space="0" w:color="auto"/>
        <w:bottom w:val="none" w:sz="0" w:space="0" w:color="auto"/>
        <w:right w:val="none" w:sz="0" w:space="0" w:color="auto"/>
      </w:divBdr>
    </w:div>
    <w:div w:id="507136211">
      <w:bodyDiv w:val="1"/>
      <w:marLeft w:val="0"/>
      <w:marRight w:val="0"/>
      <w:marTop w:val="0"/>
      <w:marBottom w:val="0"/>
      <w:divBdr>
        <w:top w:val="none" w:sz="0" w:space="0" w:color="auto"/>
        <w:left w:val="none" w:sz="0" w:space="0" w:color="auto"/>
        <w:bottom w:val="none" w:sz="0" w:space="0" w:color="auto"/>
        <w:right w:val="none" w:sz="0" w:space="0" w:color="auto"/>
      </w:divBdr>
    </w:div>
    <w:div w:id="507138358">
      <w:bodyDiv w:val="1"/>
      <w:marLeft w:val="0"/>
      <w:marRight w:val="0"/>
      <w:marTop w:val="0"/>
      <w:marBottom w:val="0"/>
      <w:divBdr>
        <w:top w:val="none" w:sz="0" w:space="0" w:color="auto"/>
        <w:left w:val="none" w:sz="0" w:space="0" w:color="auto"/>
        <w:bottom w:val="none" w:sz="0" w:space="0" w:color="auto"/>
        <w:right w:val="none" w:sz="0" w:space="0" w:color="auto"/>
      </w:divBdr>
    </w:div>
    <w:div w:id="507213995">
      <w:bodyDiv w:val="1"/>
      <w:marLeft w:val="0"/>
      <w:marRight w:val="0"/>
      <w:marTop w:val="0"/>
      <w:marBottom w:val="0"/>
      <w:divBdr>
        <w:top w:val="none" w:sz="0" w:space="0" w:color="auto"/>
        <w:left w:val="none" w:sz="0" w:space="0" w:color="auto"/>
        <w:bottom w:val="none" w:sz="0" w:space="0" w:color="auto"/>
        <w:right w:val="none" w:sz="0" w:space="0" w:color="auto"/>
      </w:divBdr>
    </w:div>
    <w:div w:id="507215825">
      <w:bodyDiv w:val="1"/>
      <w:marLeft w:val="0"/>
      <w:marRight w:val="0"/>
      <w:marTop w:val="0"/>
      <w:marBottom w:val="0"/>
      <w:divBdr>
        <w:top w:val="none" w:sz="0" w:space="0" w:color="auto"/>
        <w:left w:val="none" w:sz="0" w:space="0" w:color="auto"/>
        <w:bottom w:val="none" w:sz="0" w:space="0" w:color="auto"/>
        <w:right w:val="none" w:sz="0" w:space="0" w:color="auto"/>
      </w:divBdr>
    </w:div>
    <w:div w:id="507328522">
      <w:bodyDiv w:val="1"/>
      <w:marLeft w:val="0"/>
      <w:marRight w:val="0"/>
      <w:marTop w:val="0"/>
      <w:marBottom w:val="0"/>
      <w:divBdr>
        <w:top w:val="none" w:sz="0" w:space="0" w:color="auto"/>
        <w:left w:val="none" w:sz="0" w:space="0" w:color="auto"/>
        <w:bottom w:val="none" w:sz="0" w:space="0" w:color="auto"/>
        <w:right w:val="none" w:sz="0" w:space="0" w:color="auto"/>
      </w:divBdr>
    </w:div>
    <w:div w:id="507334839">
      <w:bodyDiv w:val="1"/>
      <w:marLeft w:val="0"/>
      <w:marRight w:val="0"/>
      <w:marTop w:val="0"/>
      <w:marBottom w:val="0"/>
      <w:divBdr>
        <w:top w:val="none" w:sz="0" w:space="0" w:color="auto"/>
        <w:left w:val="none" w:sz="0" w:space="0" w:color="auto"/>
        <w:bottom w:val="none" w:sz="0" w:space="0" w:color="auto"/>
        <w:right w:val="none" w:sz="0" w:space="0" w:color="auto"/>
      </w:divBdr>
    </w:div>
    <w:div w:id="507645815">
      <w:bodyDiv w:val="1"/>
      <w:marLeft w:val="0"/>
      <w:marRight w:val="0"/>
      <w:marTop w:val="0"/>
      <w:marBottom w:val="0"/>
      <w:divBdr>
        <w:top w:val="none" w:sz="0" w:space="0" w:color="auto"/>
        <w:left w:val="none" w:sz="0" w:space="0" w:color="auto"/>
        <w:bottom w:val="none" w:sz="0" w:space="0" w:color="auto"/>
        <w:right w:val="none" w:sz="0" w:space="0" w:color="auto"/>
      </w:divBdr>
    </w:div>
    <w:div w:id="507645983">
      <w:bodyDiv w:val="1"/>
      <w:marLeft w:val="0"/>
      <w:marRight w:val="0"/>
      <w:marTop w:val="0"/>
      <w:marBottom w:val="0"/>
      <w:divBdr>
        <w:top w:val="none" w:sz="0" w:space="0" w:color="auto"/>
        <w:left w:val="none" w:sz="0" w:space="0" w:color="auto"/>
        <w:bottom w:val="none" w:sz="0" w:space="0" w:color="auto"/>
        <w:right w:val="none" w:sz="0" w:space="0" w:color="auto"/>
      </w:divBdr>
    </w:div>
    <w:div w:id="507714042">
      <w:bodyDiv w:val="1"/>
      <w:marLeft w:val="0"/>
      <w:marRight w:val="0"/>
      <w:marTop w:val="0"/>
      <w:marBottom w:val="0"/>
      <w:divBdr>
        <w:top w:val="none" w:sz="0" w:space="0" w:color="auto"/>
        <w:left w:val="none" w:sz="0" w:space="0" w:color="auto"/>
        <w:bottom w:val="none" w:sz="0" w:space="0" w:color="auto"/>
        <w:right w:val="none" w:sz="0" w:space="0" w:color="auto"/>
      </w:divBdr>
    </w:div>
    <w:div w:id="507718100">
      <w:bodyDiv w:val="1"/>
      <w:marLeft w:val="0"/>
      <w:marRight w:val="0"/>
      <w:marTop w:val="0"/>
      <w:marBottom w:val="0"/>
      <w:divBdr>
        <w:top w:val="none" w:sz="0" w:space="0" w:color="auto"/>
        <w:left w:val="none" w:sz="0" w:space="0" w:color="auto"/>
        <w:bottom w:val="none" w:sz="0" w:space="0" w:color="auto"/>
        <w:right w:val="none" w:sz="0" w:space="0" w:color="auto"/>
      </w:divBdr>
    </w:div>
    <w:div w:id="507839779">
      <w:bodyDiv w:val="1"/>
      <w:marLeft w:val="0"/>
      <w:marRight w:val="0"/>
      <w:marTop w:val="0"/>
      <w:marBottom w:val="0"/>
      <w:divBdr>
        <w:top w:val="none" w:sz="0" w:space="0" w:color="auto"/>
        <w:left w:val="none" w:sz="0" w:space="0" w:color="auto"/>
        <w:bottom w:val="none" w:sz="0" w:space="0" w:color="auto"/>
        <w:right w:val="none" w:sz="0" w:space="0" w:color="auto"/>
      </w:divBdr>
    </w:div>
    <w:div w:id="507868635">
      <w:bodyDiv w:val="1"/>
      <w:marLeft w:val="0"/>
      <w:marRight w:val="0"/>
      <w:marTop w:val="0"/>
      <w:marBottom w:val="0"/>
      <w:divBdr>
        <w:top w:val="none" w:sz="0" w:space="0" w:color="auto"/>
        <w:left w:val="none" w:sz="0" w:space="0" w:color="auto"/>
        <w:bottom w:val="none" w:sz="0" w:space="0" w:color="auto"/>
        <w:right w:val="none" w:sz="0" w:space="0" w:color="auto"/>
      </w:divBdr>
    </w:div>
    <w:div w:id="508063804">
      <w:bodyDiv w:val="1"/>
      <w:marLeft w:val="0"/>
      <w:marRight w:val="0"/>
      <w:marTop w:val="0"/>
      <w:marBottom w:val="0"/>
      <w:divBdr>
        <w:top w:val="none" w:sz="0" w:space="0" w:color="auto"/>
        <w:left w:val="none" w:sz="0" w:space="0" w:color="auto"/>
        <w:bottom w:val="none" w:sz="0" w:space="0" w:color="auto"/>
        <w:right w:val="none" w:sz="0" w:space="0" w:color="auto"/>
      </w:divBdr>
    </w:div>
    <w:div w:id="508064179">
      <w:bodyDiv w:val="1"/>
      <w:marLeft w:val="0"/>
      <w:marRight w:val="0"/>
      <w:marTop w:val="0"/>
      <w:marBottom w:val="0"/>
      <w:divBdr>
        <w:top w:val="none" w:sz="0" w:space="0" w:color="auto"/>
        <w:left w:val="none" w:sz="0" w:space="0" w:color="auto"/>
        <w:bottom w:val="none" w:sz="0" w:space="0" w:color="auto"/>
        <w:right w:val="none" w:sz="0" w:space="0" w:color="auto"/>
      </w:divBdr>
    </w:div>
    <w:div w:id="508299960">
      <w:bodyDiv w:val="1"/>
      <w:marLeft w:val="0"/>
      <w:marRight w:val="0"/>
      <w:marTop w:val="0"/>
      <w:marBottom w:val="0"/>
      <w:divBdr>
        <w:top w:val="none" w:sz="0" w:space="0" w:color="auto"/>
        <w:left w:val="none" w:sz="0" w:space="0" w:color="auto"/>
        <w:bottom w:val="none" w:sz="0" w:space="0" w:color="auto"/>
        <w:right w:val="none" w:sz="0" w:space="0" w:color="auto"/>
      </w:divBdr>
    </w:div>
    <w:div w:id="508326529">
      <w:bodyDiv w:val="1"/>
      <w:marLeft w:val="0"/>
      <w:marRight w:val="0"/>
      <w:marTop w:val="0"/>
      <w:marBottom w:val="0"/>
      <w:divBdr>
        <w:top w:val="none" w:sz="0" w:space="0" w:color="auto"/>
        <w:left w:val="none" w:sz="0" w:space="0" w:color="auto"/>
        <w:bottom w:val="none" w:sz="0" w:space="0" w:color="auto"/>
        <w:right w:val="none" w:sz="0" w:space="0" w:color="auto"/>
      </w:divBdr>
    </w:div>
    <w:div w:id="508369530">
      <w:bodyDiv w:val="1"/>
      <w:marLeft w:val="0"/>
      <w:marRight w:val="0"/>
      <w:marTop w:val="0"/>
      <w:marBottom w:val="0"/>
      <w:divBdr>
        <w:top w:val="none" w:sz="0" w:space="0" w:color="auto"/>
        <w:left w:val="none" w:sz="0" w:space="0" w:color="auto"/>
        <w:bottom w:val="none" w:sz="0" w:space="0" w:color="auto"/>
        <w:right w:val="none" w:sz="0" w:space="0" w:color="auto"/>
      </w:divBdr>
    </w:div>
    <w:div w:id="508376409">
      <w:bodyDiv w:val="1"/>
      <w:marLeft w:val="0"/>
      <w:marRight w:val="0"/>
      <w:marTop w:val="0"/>
      <w:marBottom w:val="0"/>
      <w:divBdr>
        <w:top w:val="none" w:sz="0" w:space="0" w:color="auto"/>
        <w:left w:val="none" w:sz="0" w:space="0" w:color="auto"/>
        <w:bottom w:val="none" w:sz="0" w:space="0" w:color="auto"/>
        <w:right w:val="none" w:sz="0" w:space="0" w:color="auto"/>
      </w:divBdr>
    </w:div>
    <w:div w:id="508444311">
      <w:bodyDiv w:val="1"/>
      <w:marLeft w:val="0"/>
      <w:marRight w:val="0"/>
      <w:marTop w:val="0"/>
      <w:marBottom w:val="0"/>
      <w:divBdr>
        <w:top w:val="none" w:sz="0" w:space="0" w:color="auto"/>
        <w:left w:val="none" w:sz="0" w:space="0" w:color="auto"/>
        <w:bottom w:val="none" w:sz="0" w:space="0" w:color="auto"/>
        <w:right w:val="none" w:sz="0" w:space="0" w:color="auto"/>
      </w:divBdr>
    </w:div>
    <w:div w:id="508451452">
      <w:bodyDiv w:val="1"/>
      <w:marLeft w:val="0"/>
      <w:marRight w:val="0"/>
      <w:marTop w:val="0"/>
      <w:marBottom w:val="0"/>
      <w:divBdr>
        <w:top w:val="none" w:sz="0" w:space="0" w:color="auto"/>
        <w:left w:val="none" w:sz="0" w:space="0" w:color="auto"/>
        <w:bottom w:val="none" w:sz="0" w:space="0" w:color="auto"/>
        <w:right w:val="none" w:sz="0" w:space="0" w:color="auto"/>
      </w:divBdr>
    </w:div>
    <w:div w:id="508525732">
      <w:bodyDiv w:val="1"/>
      <w:marLeft w:val="0"/>
      <w:marRight w:val="0"/>
      <w:marTop w:val="0"/>
      <w:marBottom w:val="0"/>
      <w:divBdr>
        <w:top w:val="none" w:sz="0" w:space="0" w:color="auto"/>
        <w:left w:val="none" w:sz="0" w:space="0" w:color="auto"/>
        <w:bottom w:val="none" w:sz="0" w:space="0" w:color="auto"/>
        <w:right w:val="none" w:sz="0" w:space="0" w:color="auto"/>
      </w:divBdr>
    </w:div>
    <w:div w:id="508567118">
      <w:bodyDiv w:val="1"/>
      <w:marLeft w:val="0"/>
      <w:marRight w:val="0"/>
      <w:marTop w:val="0"/>
      <w:marBottom w:val="0"/>
      <w:divBdr>
        <w:top w:val="none" w:sz="0" w:space="0" w:color="auto"/>
        <w:left w:val="none" w:sz="0" w:space="0" w:color="auto"/>
        <w:bottom w:val="none" w:sz="0" w:space="0" w:color="auto"/>
        <w:right w:val="none" w:sz="0" w:space="0" w:color="auto"/>
      </w:divBdr>
    </w:div>
    <w:div w:id="508716227">
      <w:bodyDiv w:val="1"/>
      <w:marLeft w:val="0"/>
      <w:marRight w:val="0"/>
      <w:marTop w:val="0"/>
      <w:marBottom w:val="0"/>
      <w:divBdr>
        <w:top w:val="none" w:sz="0" w:space="0" w:color="auto"/>
        <w:left w:val="none" w:sz="0" w:space="0" w:color="auto"/>
        <w:bottom w:val="none" w:sz="0" w:space="0" w:color="auto"/>
        <w:right w:val="none" w:sz="0" w:space="0" w:color="auto"/>
      </w:divBdr>
    </w:div>
    <w:div w:id="508831650">
      <w:bodyDiv w:val="1"/>
      <w:marLeft w:val="0"/>
      <w:marRight w:val="0"/>
      <w:marTop w:val="0"/>
      <w:marBottom w:val="0"/>
      <w:divBdr>
        <w:top w:val="none" w:sz="0" w:space="0" w:color="auto"/>
        <w:left w:val="none" w:sz="0" w:space="0" w:color="auto"/>
        <w:bottom w:val="none" w:sz="0" w:space="0" w:color="auto"/>
        <w:right w:val="none" w:sz="0" w:space="0" w:color="auto"/>
      </w:divBdr>
    </w:div>
    <w:div w:id="508908677">
      <w:bodyDiv w:val="1"/>
      <w:marLeft w:val="0"/>
      <w:marRight w:val="0"/>
      <w:marTop w:val="0"/>
      <w:marBottom w:val="0"/>
      <w:divBdr>
        <w:top w:val="none" w:sz="0" w:space="0" w:color="auto"/>
        <w:left w:val="none" w:sz="0" w:space="0" w:color="auto"/>
        <w:bottom w:val="none" w:sz="0" w:space="0" w:color="auto"/>
        <w:right w:val="none" w:sz="0" w:space="0" w:color="auto"/>
      </w:divBdr>
    </w:div>
    <w:div w:id="508952806">
      <w:bodyDiv w:val="1"/>
      <w:marLeft w:val="0"/>
      <w:marRight w:val="0"/>
      <w:marTop w:val="0"/>
      <w:marBottom w:val="0"/>
      <w:divBdr>
        <w:top w:val="none" w:sz="0" w:space="0" w:color="auto"/>
        <w:left w:val="none" w:sz="0" w:space="0" w:color="auto"/>
        <w:bottom w:val="none" w:sz="0" w:space="0" w:color="auto"/>
        <w:right w:val="none" w:sz="0" w:space="0" w:color="auto"/>
      </w:divBdr>
    </w:div>
    <w:div w:id="508984394">
      <w:bodyDiv w:val="1"/>
      <w:marLeft w:val="0"/>
      <w:marRight w:val="0"/>
      <w:marTop w:val="0"/>
      <w:marBottom w:val="0"/>
      <w:divBdr>
        <w:top w:val="none" w:sz="0" w:space="0" w:color="auto"/>
        <w:left w:val="none" w:sz="0" w:space="0" w:color="auto"/>
        <w:bottom w:val="none" w:sz="0" w:space="0" w:color="auto"/>
        <w:right w:val="none" w:sz="0" w:space="0" w:color="auto"/>
      </w:divBdr>
    </w:div>
    <w:div w:id="509226226">
      <w:bodyDiv w:val="1"/>
      <w:marLeft w:val="0"/>
      <w:marRight w:val="0"/>
      <w:marTop w:val="0"/>
      <w:marBottom w:val="0"/>
      <w:divBdr>
        <w:top w:val="none" w:sz="0" w:space="0" w:color="auto"/>
        <w:left w:val="none" w:sz="0" w:space="0" w:color="auto"/>
        <w:bottom w:val="none" w:sz="0" w:space="0" w:color="auto"/>
        <w:right w:val="none" w:sz="0" w:space="0" w:color="auto"/>
      </w:divBdr>
    </w:div>
    <w:div w:id="509298453">
      <w:bodyDiv w:val="1"/>
      <w:marLeft w:val="0"/>
      <w:marRight w:val="0"/>
      <w:marTop w:val="0"/>
      <w:marBottom w:val="0"/>
      <w:divBdr>
        <w:top w:val="none" w:sz="0" w:space="0" w:color="auto"/>
        <w:left w:val="none" w:sz="0" w:space="0" w:color="auto"/>
        <w:bottom w:val="none" w:sz="0" w:space="0" w:color="auto"/>
        <w:right w:val="none" w:sz="0" w:space="0" w:color="auto"/>
      </w:divBdr>
    </w:div>
    <w:div w:id="509374613">
      <w:bodyDiv w:val="1"/>
      <w:marLeft w:val="0"/>
      <w:marRight w:val="0"/>
      <w:marTop w:val="0"/>
      <w:marBottom w:val="0"/>
      <w:divBdr>
        <w:top w:val="none" w:sz="0" w:space="0" w:color="auto"/>
        <w:left w:val="none" w:sz="0" w:space="0" w:color="auto"/>
        <w:bottom w:val="none" w:sz="0" w:space="0" w:color="auto"/>
        <w:right w:val="none" w:sz="0" w:space="0" w:color="auto"/>
      </w:divBdr>
    </w:div>
    <w:div w:id="509419409">
      <w:bodyDiv w:val="1"/>
      <w:marLeft w:val="0"/>
      <w:marRight w:val="0"/>
      <w:marTop w:val="0"/>
      <w:marBottom w:val="0"/>
      <w:divBdr>
        <w:top w:val="none" w:sz="0" w:space="0" w:color="auto"/>
        <w:left w:val="none" w:sz="0" w:space="0" w:color="auto"/>
        <w:bottom w:val="none" w:sz="0" w:space="0" w:color="auto"/>
        <w:right w:val="none" w:sz="0" w:space="0" w:color="auto"/>
      </w:divBdr>
    </w:div>
    <w:div w:id="509419560">
      <w:bodyDiv w:val="1"/>
      <w:marLeft w:val="0"/>
      <w:marRight w:val="0"/>
      <w:marTop w:val="0"/>
      <w:marBottom w:val="0"/>
      <w:divBdr>
        <w:top w:val="none" w:sz="0" w:space="0" w:color="auto"/>
        <w:left w:val="none" w:sz="0" w:space="0" w:color="auto"/>
        <w:bottom w:val="none" w:sz="0" w:space="0" w:color="auto"/>
        <w:right w:val="none" w:sz="0" w:space="0" w:color="auto"/>
      </w:divBdr>
    </w:div>
    <w:div w:id="509492172">
      <w:bodyDiv w:val="1"/>
      <w:marLeft w:val="0"/>
      <w:marRight w:val="0"/>
      <w:marTop w:val="0"/>
      <w:marBottom w:val="0"/>
      <w:divBdr>
        <w:top w:val="none" w:sz="0" w:space="0" w:color="auto"/>
        <w:left w:val="none" w:sz="0" w:space="0" w:color="auto"/>
        <w:bottom w:val="none" w:sz="0" w:space="0" w:color="auto"/>
        <w:right w:val="none" w:sz="0" w:space="0" w:color="auto"/>
      </w:divBdr>
    </w:div>
    <w:div w:id="509638894">
      <w:bodyDiv w:val="1"/>
      <w:marLeft w:val="0"/>
      <w:marRight w:val="0"/>
      <w:marTop w:val="0"/>
      <w:marBottom w:val="0"/>
      <w:divBdr>
        <w:top w:val="none" w:sz="0" w:space="0" w:color="auto"/>
        <w:left w:val="none" w:sz="0" w:space="0" w:color="auto"/>
        <w:bottom w:val="none" w:sz="0" w:space="0" w:color="auto"/>
        <w:right w:val="none" w:sz="0" w:space="0" w:color="auto"/>
      </w:divBdr>
    </w:div>
    <w:div w:id="509879988">
      <w:bodyDiv w:val="1"/>
      <w:marLeft w:val="0"/>
      <w:marRight w:val="0"/>
      <w:marTop w:val="0"/>
      <w:marBottom w:val="0"/>
      <w:divBdr>
        <w:top w:val="none" w:sz="0" w:space="0" w:color="auto"/>
        <w:left w:val="none" w:sz="0" w:space="0" w:color="auto"/>
        <w:bottom w:val="none" w:sz="0" w:space="0" w:color="auto"/>
        <w:right w:val="none" w:sz="0" w:space="0" w:color="auto"/>
      </w:divBdr>
    </w:div>
    <w:div w:id="509947753">
      <w:bodyDiv w:val="1"/>
      <w:marLeft w:val="0"/>
      <w:marRight w:val="0"/>
      <w:marTop w:val="0"/>
      <w:marBottom w:val="0"/>
      <w:divBdr>
        <w:top w:val="none" w:sz="0" w:space="0" w:color="auto"/>
        <w:left w:val="none" w:sz="0" w:space="0" w:color="auto"/>
        <w:bottom w:val="none" w:sz="0" w:space="0" w:color="auto"/>
        <w:right w:val="none" w:sz="0" w:space="0" w:color="auto"/>
      </w:divBdr>
    </w:div>
    <w:div w:id="509948234">
      <w:bodyDiv w:val="1"/>
      <w:marLeft w:val="0"/>
      <w:marRight w:val="0"/>
      <w:marTop w:val="0"/>
      <w:marBottom w:val="0"/>
      <w:divBdr>
        <w:top w:val="none" w:sz="0" w:space="0" w:color="auto"/>
        <w:left w:val="none" w:sz="0" w:space="0" w:color="auto"/>
        <w:bottom w:val="none" w:sz="0" w:space="0" w:color="auto"/>
        <w:right w:val="none" w:sz="0" w:space="0" w:color="auto"/>
      </w:divBdr>
    </w:div>
    <w:div w:id="510141517">
      <w:bodyDiv w:val="1"/>
      <w:marLeft w:val="0"/>
      <w:marRight w:val="0"/>
      <w:marTop w:val="0"/>
      <w:marBottom w:val="0"/>
      <w:divBdr>
        <w:top w:val="none" w:sz="0" w:space="0" w:color="auto"/>
        <w:left w:val="none" w:sz="0" w:space="0" w:color="auto"/>
        <w:bottom w:val="none" w:sz="0" w:space="0" w:color="auto"/>
        <w:right w:val="none" w:sz="0" w:space="0" w:color="auto"/>
      </w:divBdr>
    </w:div>
    <w:div w:id="510142703">
      <w:bodyDiv w:val="1"/>
      <w:marLeft w:val="0"/>
      <w:marRight w:val="0"/>
      <w:marTop w:val="0"/>
      <w:marBottom w:val="0"/>
      <w:divBdr>
        <w:top w:val="none" w:sz="0" w:space="0" w:color="auto"/>
        <w:left w:val="none" w:sz="0" w:space="0" w:color="auto"/>
        <w:bottom w:val="none" w:sz="0" w:space="0" w:color="auto"/>
        <w:right w:val="none" w:sz="0" w:space="0" w:color="auto"/>
      </w:divBdr>
    </w:div>
    <w:div w:id="510142856">
      <w:bodyDiv w:val="1"/>
      <w:marLeft w:val="0"/>
      <w:marRight w:val="0"/>
      <w:marTop w:val="0"/>
      <w:marBottom w:val="0"/>
      <w:divBdr>
        <w:top w:val="none" w:sz="0" w:space="0" w:color="auto"/>
        <w:left w:val="none" w:sz="0" w:space="0" w:color="auto"/>
        <w:bottom w:val="none" w:sz="0" w:space="0" w:color="auto"/>
        <w:right w:val="none" w:sz="0" w:space="0" w:color="auto"/>
      </w:divBdr>
    </w:div>
    <w:div w:id="510150214">
      <w:bodyDiv w:val="1"/>
      <w:marLeft w:val="0"/>
      <w:marRight w:val="0"/>
      <w:marTop w:val="0"/>
      <w:marBottom w:val="0"/>
      <w:divBdr>
        <w:top w:val="none" w:sz="0" w:space="0" w:color="auto"/>
        <w:left w:val="none" w:sz="0" w:space="0" w:color="auto"/>
        <w:bottom w:val="none" w:sz="0" w:space="0" w:color="auto"/>
        <w:right w:val="none" w:sz="0" w:space="0" w:color="auto"/>
      </w:divBdr>
    </w:div>
    <w:div w:id="510220353">
      <w:bodyDiv w:val="1"/>
      <w:marLeft w:val="0"/>
      <w:marRight w:val="0"/>
      <w:marTop w:val="0"/>
      <w:marBottom w:val="0"/>
      <w:divBdr>
        <w:top w:val="none" w:sz="0" w:space="0" w:color="auto"/>
        <w:left w:val="none" w:sz="0" w:space="0" w:color="auto"/>
        <w:bottom w:val="none" w:sz="0" w:space="0" w:color="auto"/>
        <w:right w:val="none" w:sz="0" w:space="0" w:color="auto"/>
      </w:divBdr>
    </w:div>
    <w:div w:id="510340137">
      <w:bodyDiv w:val="1"/>
      <w:marLeft w:val="0"/>
      <w:marRight w:val="0"/>
      <w:marTop w:val="0"/>
      <w:marBottom w:val="0"/>
      <w:divBdr>
        <w:top w:val="none" w:sz="0" w:space="0" w:color="auto"/>
        <w:left w:val="none" w:sz="0" w:space="0" w:color="auto"/>
        <w:bottom w:val="none" w:sz="0" w:space="0" w:color="auto"/>
        <w:right w:val="none" w:sz="0" w:space="0" w:color="auto"/>
      </w:divBdr>
    </w:div>
    <w:div w:id="510409729">
      <w:bodyDiv w:val="1"/>
      <w:marLeft w:val="0"/>
      <w:marRight w:val="0"/>
      <w:marTop w:val="0"/>
      <w:marBottom w:val="0"/>
      <w:divBdr>
        <w:top w:val="none" w:sz="0" w:space="0" w:color="auto"/>
        <w:left w:val="none" w:sz="0" w:space="0" w:color="auto"/>
        <w:bottom w:val="none" w:sz="0" w:space="0" w:color="auto"/>
        <w:right w:val="none" w:sz="0" w:space="0" w:color="auto"/>
      </w:divBdr>
    </w:div>
    <w:div w:id="510414443">
      <w:bodyDiv w:val="1"/>
      <w:marLeft w:val="0"/>
      <w:marRight w:val="0"/>
      <w:marTop w:val="0"/>
      <w:marBottom w:val="0"/>
      <w:divBdr>
        <w:top w:val="none" w:sz="0" w:space="0" w:color="auto"/>
        <w:left w:val="none" w:sz="0" w:space="0" w:color="auto"/>
        <w:bottom w:val="none" w:sz="0" w:space="0" w:color="auto"/>
        <w:right w:val="none" w:sz="0" w:space="0" w:color="auto"/>
      </w:divBdr>
    </w:div>
    <w:div w:id="510484851">
      <w:bodyDiv w:val="1"/>
      <w:marLeft w:val="0"/>
      <w:marRight w:val="0"/>
      <w:marTop w:val="0"/>
      <w:marBottom w:val="0"/>
      <w:divBdr>
        <w:top w:val="none" w:sz="0" w:space="0" w:color="auto"/>
        <w:left w:val="none" w:sz="0" w:space="0" w:color="auto"/>
        <w:bottom w:val="none" w:sz="0" w:space="0" w:color="auto"/>
        <w:right w:val="none" w:sz="0" w:space="0" w:color="auto"/>
      </w:divBdr>
    </w:div>
    <w:div w:id="510609417">
      <w:bodyDiv w:val="1"/>
      <w:marLeft w:val="0"/>
      <w:marRight w:val="0"/>
      <w:marTop w:val="0"/>
      <w:marBottom w:val="0"/>
      <w:divBdr>
        <w:top w:val="none" w:sz="0" w:space="0" w:color="auto"/>
        <w:left w:val="none" w:sz="0" w:space="0" w:color="auto"/>
        <w:bottom w:val="none" w:sz="0" w:space="0" w:color="auto"/>
        <w:right w:val="none" w:sz="0" w:space="0" w:color="auto"/>
      </w:divBdr>
    </w:div>
    <w:div w:id="510678863">
      <w:bodyDiv w:val="1"/>
      <w:marLeft w:val="0"/>
      <w:marRight w:val="0"/>
      <w:marTop w:val="0"/>
      <w:marBottom w:val="0"/>
      <w:divBdr>
        <w:top w:val="none" w:sz="0" w:space="0" w:color="auto"/>
        <w:left w:val="none" w:sz="0" w:space="0" w:color="auto"/>
        <w:bottom w:val="none" w:sz="0" w:space="0" w:color="auto"/>
        <w:right w:val="none" w:sz="0" w:space="0" w:color="auto"/>
      </w:divBdr>
    </w:div>
    <w:div w:id="510796482">
      <w:bodyDiv w:val="1"/>
      <w:marLeft w:val="0"/>
      <w:marRight w:val="0"/>
      <w:marTop w:val="0"/>
      <w:marBottom w:val="0"/>
      <w:divBdr>
        <w:top w:val="none" w:sz="0" w:space="0" w:color="auto"/>
        <w:left w:val="none" w:sz="0" w:space="0" w:color="auto"/>
        <w:bottom w:val="none" w:sz="0" w:space="0" w:color="auto"/>
        <w:right w:val="none" w:sz="0" w:space="0" w:color="auto"/>
      </w:divBdr>
    </w:div>
    <w:div w:id="510797098">
      <w:bodyDiv w:val="1"/>
      <w:marLeft w:val="0"/>
      <w:marRight w:val="0"/>
      <w:marTop w:val="0"/>
      <w:marBottom w:val="0"/>
      <w:divBdr>
        <w:top w:val="none" w:sz="0" w:space="0" w:color="auto"/>
        <w:left w:val="none" w:sz="0" w:space="0" w:color="auto"/>
        <w:bottom w:val="none" w:sz="0" w:space="0" w:color="auto"/>
        <w:right w:val="none" w:sz="0" w:space="0" w:color="auto"/>
      </w:divBdr>
    </w:div>
    <w:div w:id="510878237">
      <w:bodyDiv w:val="1"/>
      <w:marLeft w:val="0"/>
      <w:marRight w:val="0"/>
      <w:marTop w:val="0"/>
      <w:marBottom w:val="0"/>
      <w:divBdr>
        <w:top w:val="none" w:sz="0" w:space="0" w:color="auto"/>
        <w:left w:val="none" w:sz="0" w:space="0" w:color="auto"/>
        <w:bottom w:val="none" w:sz="0" w:space="0" w:color="auto"/>
        <w:right w:val="none" w:sz="0" w:space="0" w:color="auto"/>
      </w:divBdr>
    </w:div>
    <w:div w:id="510878704">
      <w:bodyDiv w:val="1"/>
      <w:marLeft w:val="0"/>
      <w:marRight w:val="0"/>
      <w:marTop w:val="0"/>
      <w:marBottom w:val="0"/>
      <w:divBdr>
        <w:top w:val="none" w:sz="0" w:space="0" w:color="auto"/>
        <w:left w:val="none" w:sz="0" w:space="0" w:color="auto"/>
        <w:bottom w:val="none" w:sz="0" w:space="0" w:color="auto"/>
        <w:right w:val="none" w:sz="0" w:space="0" w:color="auto"/>
      </w:divBdr>
    </w:div>
    <w:div w:id="510948598">
      <w:bodyDiv w:val="1"/>
      <w:marLeft w:val="0"/>
      <w:marRight w:val="0"/>
      <w:marTop w:val="0"/>
      <w:marBottom w:val="0"/>
      <w:divBdr>
        <w:top w:val="none" w:sz="0" w:space="0" w:color="auto"/>
        <w:left w:val="none" w:sz="0" w:space="0" w:color="auto"/>
        <w:bottom w:val="none" w:sz="0" w:space="0" w:color="auto"/>
        <w:right w:val="none" w:sz="0" w:space="0" w:color="auto"/>
      </w:divBdr>
    </w:div>
    <w:div w:id="510950075">
      <w:bodyDiv w:val="1"/>
      <w:marLeft w:val="0"/>
      <w:marRight w:val="0"/>
      <w:marTop w:val="0"/>
      <w:marBottom w:val="0"/>
      <w:divBdr>
        <w:top w:val="none" w:sz="0" w:space="0" w:color="auto"/>
        <w:left w:val="none" w:sz="0" w:space="0" w:color="auto"/>
        <w:bottom w:val="none" w:sz="0" w:space="0" w:color="auto"/>
        <w:right w:val="none" w:sz="0" w:space="0" w:color="auto"/>
      </w:divBdr>
    </w:div>
    <w:div w:id="511147370">
      <w:bodyDiv w:val="1"/>
      <w:marLeft w:val="0"/>
      <w:marRight w:val="0"/>
      <w:marTop w:val="0"/>
      <w:marBottom w:val="0"/>
      <w:divBdr>
        <w:top w:val="none" w:sz="0" w:space="0" w:color="auto"/>
        <w:left w:val="none" w:sz="0" w:space="0" w:color="auto"/>
        <w:bottom w:val="none" w:sz="0" w:space="0" w:color="auto"/>
        <w:right w:val="none" w:sz="0" w:space="0" w:color="auto"/>
      </w:divBdr>
    </w:div>
    <w:div w:id="511603839">
      <w:bodyDiv w:val="1"/>
      <w:marLeft w:val="0"/>
      <w:marRight w:val="0"/>
      <w:marTop w:val="0"/>
      <w:marBottom w:val="0"/>
      <w:divBdr>
        <w:top w:val="none" w:sz="0" w:space="0" w:color="auto"/>
        <w:left w:val="none" w:sz="0" w:space="0" w:color="auto"/>
        <w:bottom w:val="none" w:sz="0" w:space="0" w:color="auto"/>
        <w:right w:val="none" w:sz="0" w:space="0" w:color="auto"/>
      </w:divBdr>
    </w:div>
    <w:div w:id="511604313">
      <w:bodyDiv w:val="1"/>
      <w:marLeft w:val="0"/>
      <w:marRight w:val="0"/>
      <w:marTop w:val="0"/>
      <w:marBottom w:val="0"/>
      <w:divBdr>
        <w:top w:val="none" w:sz="0" w:space="0" w:color="auto"/>
        <w:left w:val="none" w:sz="0" w:space="0" w:color="auto"/>
        <w:bottom w:val="none" w:sz="0" w:space="0" w:color="auto"/>
        <w:right w:val="none" w:sz="0" w:space="0" w:color="auto"/>
      </w:divBdr>
    </w:div>
    <w:div w:id="511648907">
      <w:bodyDiv w:val="1"/>
      <w:marLeft w:val="0"/>
      <w:marRight w:val="0"/>
      <w:marTop w:val="0"/>
      <w:marBottom w:val="0"/>
      <w:divBdr>
        <w:top w:val="none" w:sz="0" w:space="0" w:color="auto"/>
        <w:left w:val="none" w:sz="0" w:space="0" w:color="auto"/>
        <w:bottom w:val="none" w:sz="0" w:space="0" w:color="auto"/>
        <w:right w:val="none" w:sz="0" w:space="0" w:color="auto"/>
      </w:divBdr>
    </w:div>
    <w:div w:id="511728298">
      <w:bodyDiv w:val="1"/>
      <w:marLeft w:val="0"/>
      <w:marRight w:val="0"/>
      <w:marTop w:val="0"/>
      <w:marBottom w:val="0"/>
      <w:divBdr>
        <w:top w:val="none" w:sz="0" w:space="0" w:color="auto"/>
        <w:left w:val="none" w:sz="0" w:space="0" w:color="auto"/>
        <w:bottom w:val="none" w:sz="0" w:space="0" w:color="auto"/>
        <w:right w:val="none" w:sz="0" w:space="0" w:color="auto"/>
      </w:divBdr>
    </w:div>
    <w:div w:id="511918972">
      <w:bodyDiv w:val="1"/>
      <w:marLeft w:val="0"/>
      <w:marRight w:val="0"/>
      <w:marTop w:val="0"/>
      <w:marBottom w:val="0"/>
      <w:divBdr>
        <w:top w:val="none" w:sz="0" w:space="0" w:color="auto"/>
        <w:left w:val="none" w:sz="0" w:space="0" w:color="auto"/>
        <w:bottom w:val="none" w:sz="0" w:space="0" w:color="auto"/>
        <w:right w:val="none" w:sz="0" w:space="0" w:color="auto"/>
      </w:divBdr>
    </w:div>
    <w:div w:id="511994498">
      <w:bodyDiv w:val="1"/>
      <w:marLeft w:val="0"/>
      <w:marRight w:val="0"/>
      <w:marTop w:val="0"/>
      <w:marBottom w:val="0"/>
      <w:divBdr>
        <w:top w:val="none" w:sz="0" w:space="0" w:color="auto"/>
        <w:left w:val="none" w:sz="0" w:space="0" w:color="auto"/>
        <w:bottom w:val="none" w:sz="0" w:space="0" w:color="auto"/>
        <w:right w:val="none" w:sz="0" w:space="0" w:color="auto"/>
      </w:divBdr>
    </w:div>
    <w:div w:id="511996488">
      <w:bodyDiv w:val="1"/>
      <w:marLeft w:val="0"/>
      <w:marRight w:val="0"/>
      <w:marTop w:val="0"/>
      <w:marBottom w:val="0"/>
      <w:divBdr>
        <w:top w:val="none" w:sz="0" w:space="0" w:color="auto"/>
        <w:left w:val="none" w:sz="0" w:space="0" w:color="auto"/>
        <w:bottom w:val="none" w:sz="0" w:space="0" w:color="auto"/>
        <w:right w:val="none" w:sz="0" w:space="0" w:color="auto"/>
      </w:divBdr>
    </w:div>
    <w:div w:id="512033641">
      <w:bodyDiv w:val="1"/>
      <w:marLeft w:val="0"/>
      <w:marRight w:val="0"/>
      <w:marTop w:val="0"/>
      <w:marBottom w:val="0"/>
      <w:divBdr>
        <w:top w:val="none" w:sz="0" w:space="0" w:color="auto"/>
        <w:left w:val="none" w:sz="0" w:space="0" w:color="auto"/>
        <w:bottom w:val="none" w:sz="0" w:space="0" w:color="auto"/>
        <w:right w:val="none" w:sz="0" w:space="0" w:color="auto"/>
      </w:divBdr>
    </w:div>
    <w:div w:id="512034589">
      <w:bodyDiv w:val="1"/>
      <w:marLeft w:val="0"/>
      <w:marRight w:val="0"/>
      <w:marTop w:val="0"/>
      <w:marBottom w:val="0"/>
      <w:divBdr>
        <w:top w:val="none" w:sz="0" w:space="0" w:color="auto"/>
        <w:left w:val="none" w:sz="0" w:space="0" w:color="auto"/>
        <w:bottom w:val="none" w:sz="0" w:space="0" w:color="auto"/>
        <w:right w:val="none" w:sz="0" w:space="0" w:color="auto"/>
      </w:divBdr>
    </w:div>
    <w:div w:id="512106741">
      <w:bodyDiv w:val="1"/>
      <w:marLeft w:val="0"/>
      <w:marRight w:val="0"/>
      <w:marTop w:val="0"/>
      <w:marBottom w:val="0"/>
      <w:divBdr>
        <w:top w:val="none" w:sz="0" w:space="0" w:color="auto"/>
        <w:left w:val="none" w:sz="0" w:space="0" w:color="auto"/>
        <w:bottom w:val="none" w:sz="0" w:space="0" w:color="auto"/>
        <w:right w:val="none" w:sz="0" w:space="0" w:color="auto"/>
      </w:divBdr>
    </w:div>
    <w:div w:id="512107686">
      <w:bodyDiv w:val="1"/>
      <w:marLeft w:val="0"/>
      <w:marRight w:val="0"/>
      <w:marTop w:val="0"/>
      <w:marBottom w:val="0"/>
      <w:divBdr>
        <w:top w:val="none" w:sz="0" w:space="0" w:color="auto"/>
        <w:left w:val="none" w:sz="0" w:space="0" w:color="auto"/>
        <w:bottom w:val="none" w:sz="0" w:space="0" w:color="auto"/>
        <w:right w:val="none" w:sz="0" w:space="0" w:color="auto"/>
      </w:divBdr>
    </w:div>
    <w:div w:id="512108958">
      <w:bodyDiv w:val="1"/>
      <w:marLeft w:val="0"/>
      <w:marRight w:val="0"/>
      <w:marTop w:val="0"/>
      <w:marBottom w:val="0"/>
      <w:divBdr>
        <w:top w:val="none" w:sz="0" w:space="0" w:color="auto"/>
        <w:left w:val="none" w:sz="0" w:space="0" w:color="auto"/>
        <w:bottom w:val="none" w:sz="0" w:space="0" w:color="auto"/>
        <w:right w:val="none" w:sz="0" w:space="0" w:color="auto"/>
      </w:divBdr>
    </w:div>
    <w:div w:id="512113727">
      <w:bodyDiv w:val="1"/>
      <w:marLeft w:val="0"/>
      <w:marRight w:val="0"/>
      <w:marTop w:val="0"/>
      <w:marBottom w:val="0"/>
      <w:divBdr>
        <w:top w:val="none" w:sz="0" w:space="0" w:color="auto"/>
        <w:left w:val="none" w:sz="0" w:space="0" w:color="auto"/>
        <w:bottom w:val="none" w:sz="0" w:space="0" w:color="auto"/>
        <w:right w:val="none" w:sz="0" w:space="0" w:color="auto"/>
      </w:divBdr>
    </w:div>
    <w:div w:id="512189694">
      <w:bodyDiv w:val="1"/>
      <w:marLeft w:val="0"/>
      <w:marRight w:val="0"/>
      <w:marTop w:val="0"/>
      <w:marBottom w:val="0"/>
      <w:divBdr>
        <w:top w:val="none" w:sz="0" w:space="0" w:color="auto"/>
        <w:left w:val="none" w:sz="0" w:space="0" w:color="auto"/>
        <w:bottom w:val="none" w:sz="0" w:space="0" w:color="auto"/>
        <w:right w:val="none" w:sz="0" w:space="0" w:color="auto"/>
      </w:divBdr>
    </w:div>
    <w:div w:id="512258456">
      <w:bodyDiv w:val="1"/>
      <w:marLeft w:val="0"/>
      <w:marRight w:val="0"/>
      <w:marTop w:val="0"/>
      <w:marBottom w:val="0"/>
      <w:divBdr>
        <w:top w:val="none" w:sz="0" w:space="0" w:color="auto"/>
        <w:left w:val="none" w:sz="0" w:space="0" w:color="auto"/>
        <w:bottom w:val="none" w:sz="0" w:space="0" w:color="auto"/>
        <w:right w:val="none" w:sz="0" w:space="0" w:color="auto"/>
      </w:divBdr>
    </w:div>
    <w:div w:id="512383345">
      <w:bodyDiv w:val="1"/>
      <w:marLeft w:val="0"/>
      <w:marRight w:val="0"/>
      <w:marTop w:val="0"/>
      <w:marBottom w:val="0"/>
      <w:divBdr>
        <w:top w:val="none" w:sz="0" w:space="0" w:color="auto"/>
        <w:left w:val="none" w:sz="0" w:space="0" w:color="auto"/>
        <w:bottom w:val="none" w:sz="0" w:space="0" w:color="auto"/>
        <w:right w:val="none" w:sz="0" w:space="0" w:color="auto"/>
      </w:divBdr>
    </w:div>
    <w:div w:id="512453097">
      <w:bodyDiv w:val="1"/>
      <w:marLeft w:val="0"/>
      <w:marRight w:val="0"/>
      <w:marTop w:val="0"/>
      <w:marBottom w:val="0"/>
      <w:divBdr>
        <w:top w:val="none" w:sz="0" w:space="0" w:color="auto"/>
        <w:left w:val="none" w:sz="0" w:space="0" w:color="auto"/>
        <w:bottom w:val="none" w:sz="0" w:space="0" w:color="auto"/>
        <w:right w:val="none" w:sz="0" w:space="0" w:color="auto"/>
      </w:divBdr>
    </w:div>
    <w:div w:id="512688883">
      <w:bodyDiv w:val="1"/>
      <w:marLeft w:val="0"/>
      <w:marRight w:val="0"/>
      <w:marTop w:val="0"/>
      <w:marBottom w:val="0"/>
      <w:divBdr>
        <w:top w:val="none" w:sz="0" w:space="0" w:color="auto"/>
        <w:left w:val="none" w:sz="0" w:space="0" w:color="auto"/>
        <w:bottom w:val="none" w:sz="0" w:space="0" w:color="auto"/>
        <w:right w:val="none" w:sz="0" w:space="0" w:color="auto"/>
      </w:divBdr>
    </w:div>
    <w:div w:id="512766039">
      <w:bodyDiv w:val="1"/>
      <w:marLeft w:val="0"/>
      <w:marRight w:val="0"/>
      <w:marTop w:val="0"/>
      <w:marBottom w:val="0"/>
      <w:divBdr>
        <w:top w:val="none" w:sz="0" w:space="0" w:color="auto"/>
        <w:left w:val="none" w:sz="0" w:space="0" w:color="auto"/>
        <w:bottom w:val="none" w:sz="0" w:space="0" w:color="auto"/>
        <w:right w:val="none" w:sz="0" w:space="0" w:color="auto"/>
      </w:divBdr>
    </w:div>
    <w:div w:id="512888886">
      <w:bodyDiv w:val="1"/>
      <w:marLeft w:val="0"/>
      <w:marRight w:val="0"/>
      <w:marTop w:val="0"/>
      <w:marBottom w:val="0"/>
      <w:divBdr>
        <w:top w:val="none" w:sz="0" w:space="0" w:color="auto"/>
        <w:left w:val="none" w:sz="0" w:space="0" w:color="auto"/>
        <w:bottom w:val="none" w:sz="0" w:space="0" w:color="auto"/>
        <w:right w:val="none" w:sz="0" w:space="0" w:color="auto"/>
      </w:divBdr>
    </w:div>
    <w:div w:id="512913013">
      <w:bodyDiv w:val="1"/>
      <w:marLeft w:val="0"/>
      <w:marRight w:val="0"/>
      <w:marTop w:val="0"/>
      <w:marBottom w:val="0"/>
      <w:divBdr>
        <w:top w:val="none" w:sz="0" w:space="0" w:color="auto"/>
        <w:left w:val="none" w:sz="0" w:space="0" w:color="auto"/>
        <w:bottom w:val="none" w:sz="0" w:space="0" w:color="auto"/>
        <w:right w:val="none" w:sz="0" w:space="0" w:color="auto"/>
      </w:divBdr>
    </w:div>
    <w:div w:id="512915914">
      <w:bodyDiv w:val="1"/>
      <w:marLeft w:val="0"/>
      <w:marRight w:val="0"/>
      <w:marTop w:val="0"/>
      <w:marBottom w:val="0"/>
      <w:divBdr>
        <w:top w:val="none" w:sz="0" w:space="0" w:color="auto"/>
        <w:left w:val="none" w:sz="0" w:space="0" w:color="auto"/>
        <w:bottom w:val="none" w:sz="0" w:space="0" w:color="auto"/>
        <w:right w:val="none" w:sz="0" w:space="0" w:color="auto"/>
      </w:divBdr>
    </w:div>
    <w:div w:id="512958158">
      <w:bodyDiv w:val="1"/>
      <w:marLeft w:val="0"/>
      <w:marRight w:val="0"/>
      <w:marTop w:val="0"/>
      <w:marBottom w:val="0"/>
      <w:divBdr>
        <w:top w:val="none" w:sz="0" w:space="0" w:color="auto"/>
        <w:left w:val="none" w:sz="0" w:space="0" w:color="auto"/>
        <w:bottom w:val="none" w:sz="0" w:space="0" w:color="auto"/>
        <w:right w:val="none" w:sz="0" w:space="0" w:color="auto"/>
      </w:divBdr>
    </w:div>
    <w:div w:id="513224133">
      <w:bodyDiv w:val="1"/>
      <w:marLeft w:val="0"/>
      <w:marRight w:val="0"/>
      <w:marTop w:val="0"/>
      <w:marBottom w:val="0"/>
      <w:divBdr>
        <w:top w:val="none" w:sz="0" w:space="0" w:color="auto"/>
        <w:left w:val="none" w:sz="0" w:space="0" w:color="auto"/>
        <w:bottom w:val="none" w:sz="0" w:space="0" w:color="auto"/>
        <w:right w:val="none" w:sz="0" w:space="0" w:color="auto"/>
      </w:divBdr>
    </w:div>
    <w:div w:id="513224321">
      <w:bodyDiv w:val="1"/>
      <w:marLeft w:val="0"/>
      <w:marRight w:val="0"/>
      <w:marTop w:val="0"/>
      <w:marBottom w:val="0"/>
      <w:divBdr>
        <w:top w:val="none" w:sz="0" w:space="0" w:color="auto"/>
        <w:left w:val="none" w:sz="0" w:space="0" w:color="auto"/>
        <w:bottom w:val="none" w:sz="0" w:space="0" w:color="auto"/>
        <w:right w:val="none" w:sz="0" w:space="0" w:color="auto"/>
      </w:divBdr>
    </w:div>
    <w:div w:id="513303067">
      <w:bodyDiv w:val="1"/>
      <w:marLeft w:val="0"/>
      <w:marRight w:val="0"/>
      <w:marTop w:val="0"/>
      <w:marBottom w:val="0"/>
      <w:divBdr>
        <w:top w:val="none" w:sz="0" w:space="0" w:color="auto"/>
        <w:left w:val="none" w:sz="0" w:space="0" w:color="auto"/>
        <w:bottom w:val="none" w:sz="0" w:space="0" w:color="auto"/>
        <w:right w:val="none" w:sz="0" w:space="0" w:color="auto"/>
      </w:divBdr>
    </w:div>
    <w:div w:id="513492698">
      <w:bodyDiv w:val="1"/>
      <w:marLeft w:val="0"/>
      <w:marRight w:val="0"/>
      <w:marTop w:val="0"/>
      <w:marBottom w:val="0"/>
      <w:divBdr>
        <w:top w:val="none" w:sz="0" w:space="0" w:color="auto"/>
        <w:left w:val="none" w:sz="0" w:space="0" w:color="auto"/>
        <w:bottom w:val="none" w:sz="0" w:space="0" w:color="auto"/>
        <w:right w:val="none" w:sz="0" w:space="0" w:color="auto"/>
      </w:divBdr>
    </w:div>
    <w:div w:id="513495096">
      <w:bodyDiv w:val="1"/>
      <w:marLeft w:val="0"/>
      <w:marRight w:val="0"/>
      <w:marTop w:val="0"/>
      <w:marBottom w:val="0"/>
      <w:divBdr>
        <w:top w:val="none" w:sz="0" w:space="0" w:color="auto"/>
        <w:left w:val="none" w:sz="0" w:space="0" w:color="auto"/>
        <w:bottom w:val="none" w:sz="0" w:space="0" w:color="auto"/>
        <w:right w:val="none" w:sz="0" w:space="0" w:color="auto"/>
      </w:divBdr>
    </w:div>
    <w:div w:id="513540997">
      <w:bodyDiv w:val="1"/>
      <w:marLeft w:val="0"/>
      <w:marRight w:val="0"/>
      <w:marTop w:val="0"/>
      <w:marBottom w:val="0"/>
      <w:divBdr>
        <w:top w:val="none" w:sz="0" w:space="0" w:color="auto"/>
        <w:left w:val="none" w:sz="0" w:space="0" w:color="auto"/>
        <w:bottom w:val="none" w:sz="0" w:space="0" w:color="auto"/>
        <w:right w:val="none" w:sz="0" w:space="0" w:color="auto"/>
      </w:divBdr>
    </w:div>
    <w:div w:id="513765938">
      <w:bodyDiv w:val="1"/>
      <w:marLeft w:val="0"/>
      <w:marRight w:val="0"/>
      <w:marTop w:val="0"/>
      <w:marBottom w:val="0"/>
      <w:divBdr>
        <w:top w:val="none" w:sz="0" w:space="0" w:color="auto"/>
        <w:left w:val="none" w:sz="0" w:space="0" w:color="auto"/>
        <w:bottom w:val="none" w:sz="0" w:space="0" w:color="auto"/>
        <w:right w:val="none" w:sz="0" w:space="0" w:color="auto"/>
      </w:divBdr>
    </w:div>
    <w:div w:id="513767247">
      <w:bodyDiv w:val="1"/>
      <w:marLeft w:val="0"/>
      <w:marRight w:val="0"/>
      <w:marTop w:val="0"/>
      <w:marBottom w:val="0"/>
      <w:divBdr>
        <w:top w:val="none" w:sz="0" w:space="0" w:color="auto"/>
        <w:left w:val="none" w:sz="0" w:space="0" w:color="auto"/>
        <w:bottom w:val="none" w:sz="0" w:space="0" w:color="auto"/>
        <w:right w:val="none" w:sz="0" w:space="0" w:color="auto"/>
      </w:divBdr>
    </w:div>
    <w:div w:id="513805876">
      <w:bodyDiv w:val="1"/>
      <w:marLeft w:val="0"/>
      <w:marRight w:val="0"/>
      <w:marTop w:val="0"/>
      <w:marBottom w:val="0"/>
      <w:divBdr>
        <w:top w:val="none" w:sz="0" w:space="0" w:color="auto"/>
        <w:left w:val="none" w:sz="0" w:space="0" w:color="auto"/>
        <w:bottom w:val="none" w:sz="0" w:space="0" w:color="auto"/>
        <w:right w:val="none" w:sz="0" w:space="0" w:color="auto"/>
      </w:divBdr>
    </w:div>
    <w:div w:id="513960662">
      <w:bodyDiv w:val="1"/>
      <w:marLeft w:val="0"/>
      <w:marRight w:val="0"/>
      <w:marTop w:val="0"/>
      <w:marBottom w:val="0"/>
      <w:divBdr>
        <w:top w:val="none" w:sz="0" w:space="0" w:color="auto"/>
        <w:left w:val="none" w:sz="0" w:space="0" w:color="auto"/>
        <w:bottom w:val="none" w:sz="0" w:space="0" w:color="auto"/>
        <w:right w:val="none" w:sz="0" w:space="0" w:color="auto"/>
      </w:divBdr>
    </w:div>
    <w:div w:id="514000676">
      <w:bodyDiv w:val="1"/>
      <w:marLeft w:val="0"/>
      <w:marRight w:val="0"/>
      <w:marTop w:val="0"/>
      <w:marBottom w:val="0"/>
      <w:divBdr>
        <w:top w:val="none" w:sz="0" w:space="0" w:color="auto"/>
        <w:left w:val="none" w:sz="0" w:space="0" w:color="auto"/>
        <w:bottom w:val="none" w:sz="0" w:space="0" w:color="auto"/>
        <w:right w:val="none" w:sz="0" w:space="0" w:color="auto"/>
      </w:divBdr>
    </w:div>
    <w:div w:id="514149129">
      <w:bodyDiv w:val="1"/>
      <w:marLeft w:val="0"/>
      <w:marRight w:val="0"/>
      <w:marTop w:val="0"/>
      <w:marBottom w:val="0"/>
      <w:divBdr>
        <w:top w:val="none" w:sz="0" w:space="0" w:color="auto"/>
        <w:left w:val="none" w:sz="0" w:space="0" w:color="auto"/>
        <w:bottom w:val="none" w:sz="0" w:space="0" w:color="auto"/>
        <w:right w:val="none" w:sz="0" w:space="0" w:color="auto"/>
      </w:divBdr>
    </w:div>
    <w:div w:id="514199035">
      <w:bodyDiv w:val="1"/>
      <w:marLeft w:val="0"/>
      <w:marRight w:val="0"/>
      <w:marTop w:val="0"/>
      <w:marBottom w:val="0"/>
      <w:divBdr>
        <w:top w:val="none" w:sz="0" w:space="0" w:color="auto"/>
        <w:left w:val="none" w:sz="0" w:space="0" w:color="auto"/>
        <w:bottom w:val="none" w:sz="0" w:space="0" w:color="auto"/>
        <w:right w:val="none" w:sz="0" w:space="0" w:color="auto"/>
      </w:divBdr>
    </w:div>
    <w:div w:id="514225008">
      <w:bodyDiv w:val="1"/>
      <w:marLeft w:val="0"/>
      <w:marRight w:val="0"/>
      <w:marTop w:val="0"/>
      <w:marBottom w:val="0"/>
      <w:divBdr>
        <w:top w:val="none" w:sz="0" w:space="0" w:color="auto"/>
        <w:left w:val="none" w:sz="0" w:space="0" w:color="auto"/>
        <w:bottom w:val="none" w:sz="0" w:space="0" w:color="auto"/>
        <w:right w:val="none" w:sz="0" w:space="0" w:color="auto"/>
      </w:divBdr>
    </w:div>
    <w:div w:id="514340915">
      <w:bodyDiv w:val="1"/>
      <w:marLeft w:val="0"/>
      <w:marRight w:val="0"/>
      <w:marTop w:val="0"/>
      <w:marBottom w:val="0"/>
      <w:divBdr>
        <w:top w:val="none" w:sz="0" w:space="0" w:color="auto"/>
        <w:left w:val="none" w:sz="0" w:space="0" w:color="auto"/>
        <w:bottom w:val="none" w:sz="0" w:space="0" w:color="auto"/>
        <w:right w:val="none" w:sz="0" w:space="0" w:color="auto"/>
      </w:divBdr>
    </w:div>
    <w:div w:id="514341090">
      <w:bodyDiv w:val="1"/>
      <w:marLeft w:val="0"/>
      <w:marRight w:val="0"/>
      <w:marTop w:val="0"/>
      <w:marBottom w:val="0"/>
      <w:divBdr>
        <w:top w:val="none" w:sz="0" w:space="0" w:color="auto"/>
        <w:left w:val="none" w:sz="0" w:space="0" w:color="auto"/>
        <w:bottom w:val="none" w:sz="0" w:space="0" w:color="auto"/>
        <w:right w:val="none" w:sz="0" w:space="0" w:color="auto"/>
      </w:divBdr>
    </w:div>
    <w:div w:id="514461717">
      <w:bodyDiv w:val="1"/>
      <w:marLeft w:val="0"/>
      <w:marRight w:val="0"/>
      <w:marTop w:val="0"/>
      <w:marBottom w:val="0"/>
      <w:divBdr>
        <w:top w:val="none" w:sz="0" w:space="0" w:color="auto"/>
        <w:left w:val="none" w:sz="0" w:space="0" w:color="auto"/>
        <w:bottom w:val="none" w:sz="0" w:space="0" w:color="auto"/>
        <w:right w:val="none" w:sz="0" w:space="0" w:color="auto"/>
      </w:divBdr>
    </w:div>
    <w:div w:id="5144632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4611275">
      <w:bodyDiv w:val="1"/>
      <w:marLeft w:val="0"/>
      <w:marRight w:val="0"/>
      <w:marTop w:val="0"/>
      <w:marBottom w:val="0"/>
      <w:divBdr>
        <w:top w:val="none" w:sz="0" w:space="0" w:color="auto"/>
        <w:left w:val="none" w:sz="0" w:space="0" w:color="auto"/>
        <w:bottom w:val="none" w:sz="0" w:space="0" w:color="auto"/>
        <w:right w:val="none" w:sz="0" w:space="0" w:color="auto"/>
      </w:divBdr>
    </w:div>
    <w:div w:id="514612046">
      <w:bodyDiv w:val="1"/>
      <w:marLeft w:val="0"/>
      <w:marRight w:val="0"/>
      <w:marTop w:val="0"/>
      <w:marBottom w:val="0"/>
      <w:divBdr>
        <w:top w:val="none" w:sz="0" w:space="0" w:color="auto"/>
        <w:left w:val="none" w:sz="0" w:space="0" w:color="auto"/>
        <w:bottom w:val="none" w:sz="0" w:space="0" w:color="auto"/>
        <w:right w:val="none" w:sz="0" w:space="0" w:color="auto"/>
      </w:divBdr>
    </w:div>
    <w:div w:id="514730230">
      <w:bodyDiv w:val="1"/>
      <w:marLeft w:val="0"/>
      <w:marRight w:val="0"/>
      <w:marTop w:val="0"/>
      <w:marBottom w:val="0"/>
      <w:divBdr>
        <w:top w:val="none" w:sz="0" w:space="0" w:color="auto"/>
        <w:left w:val="none" w:sz="0" w:space="0" w:color="auto"/>
        <w:bottom w:val="none" w:sz="0" w:space="0" w:color="auto"/>
        <w:right w:val="none" w:sz="0" w:space="0" w:color="auto"/>
      </w:divBdr>
    </w:div>
    <w:div w:id="514732183">
      <w:bodyDiv w:val="1"/>
      <w:marLeft w:val="0"/>
      <w:marRight w:val="0"/>
      <w:marTop w:val="0"/>
      <w:marBottom w:val="0"/>
      <w:divBdr>
        <w:top w:val="none" w:sz="0" w:space="0" w:color="auto"/>
        <w:left w:val="none" w:sz="0" w:space="0" w:color="auto"/>
        <w:bottom w:val="none" w:sz="0" w:space="0" w:color="auto"/>
        <w:right w:val="none" w:sz="0" w:space="0" w:color="auto"/>
      </w:divBdr>
    </w:div>
    <w:div w:id="514882891">
      <w:bodyDiv w:val="1"/>
      <w:marLeft w:val="0"/>
      <w:marRight w:val="0"/>
      <w:marTop w:val="0"/>
      <w:marBottom w:val="0"/>
      <w:divBdr>
        <w:top w:val="none" w:sz="0" w:space="0" w:color="auto"/>
        <w:left w:val="none" w:sz="0" w:space="0" w:color="auto"/>
        <w:bottom w:val="none" w:sz="0" w:space="0" w:color="auto"/>
        <w:right w:val="none" w:sz="0" w:space="0" w:color="auto"/>
      </w:divBdr>
    </w:div>
    <w:div w:id="514922916">
      <w:bodyDiv w:val="1"/>
      <w:marLeft w:val="0"/>
      <w:marRight w:val="0"/>
      <w:marTop w:val="0"/>
      <w:marBottom w:val="0"/>
      <w:divBdr>
        <w:top w:val="none" w:sz="0" w:space="0" w:color="auto"/>
        <w:left w:val="none" w:sz="0" w:space="0" w:color="auto"/>
        <w:bottom w:val="none" w:sz="0" w:space="0" w:color="auto"/>
        <w:right w:val="none" w:sz="0" w:space="0" w:color="auto"/>
      </w:divBdr>
    </w:div>
    <w:div w:id="515004877">
      <w:bodyDiv w:val="1"/>
      <w:marLeft w:val="0"/>
      <w:marRight w:val="0"/>
      <w:marTop w:val="0"/>
      <w:marBottom w:val="0"/>
      <w:divBdr>
        <w:top w:val="none" w:sz="0" w:space="0" w:color="auto"/>
        <w:left w:val="none" w:sz="0" w:space="0" w:color="auto"/>
        <w:bottom w:val="none" w:sz="0" w:space="0" w:color="auto"/>
        <w:right w:val="none" w:sz="0" w:space="0" w:color="auto"/>
      </w:divBdr>
    </w:div>
    <w:div w:id="515078436">
      <w:bodyDiv w:val="1"/>
      <w:marLeft w:val="0"/>
      <w:marRight w:val="0"/>
      <w:marTop w:val="0"/>
      <w:marBottom w:val="0"/>
      <w:divBdr>
        <w:top w:val="none" w:sz="0" w:space="0" w:color="auto"/>
        <w:left w:val="none" w:sz="0" w:space="0" w:color="auto"/>
        <w:bottom w:val="none" w:sz="0" w:space="0" w:color="auto"/>
        <w:right w:val="none" w:sz="0" w:space="0" w:color="auto"/>
      </w:divBdr>
    </w:div>
    <w:div w:id="515194154">
      <w:bodyDiv w:val="1"/>
      <w:marLeft w:val="0"/>
      <w:marRight w:val="0"/>
      <w:marTop w:val="0"/>
      <w:marBottom w:val="0"/>
      <w:divBdr>
        <w:top w:val="none" w:sz="0" w:space="0" w:color="auto"/>
        <w:left w:val="none" w:sz="0" w:space="0" w:color="auto"/>
        <w:bottom w:val="none" w:sz="0" w:space="0" w:color="auto"/>
        <w:right w:val="none" w:sz="0" w:space="0" w:color="auto"/>
      </w:divBdr>
    </w:div>
    <w:div w:id="515265644">
      <w:bodyDiv w:val="1"/>
      <w:marLeft w:val="0"/>
      <w:marRight w:val="0"/>
      <w:marTop w:val="0"/>
      <w:marBottom w:val="0"/>
      <w:divBdr>
        <w:top w:val="none" w:sz="0" w:space="0" w:color="auto"/>
        <w:left w:val="none" w:sz="0" w:space="0" w:color="auto"/>
        <w:bottom w:val="none" w:sz="0" w:space="0" w:color="auto"/>
        <w:right w:val="none" w:sz="0" w:space="0" w:color="auto"/>
      </w:divBdr>
    </w:div>
    <w:div w:id="515388285">
      <w:bodyDiv w:val="1"/>
      <w:marLeft w:val="0"/>
      <w:marRight w:val="0"/>
      <w:marTop w:val="0"/>
      <w:marBottom w:val="0"/>
      <w:divBdr>
        <w:top w:val="none" w:sz="0" w:space="0" w:color="auto"/>
        <w:left w:val="none" w:sz="0" w:space="0" w:color="auto"/>
        <w:bottom w:val="none" w:sz="0" w:space="0" w:color="auto"/>
        <w:right w:val="none" w:sz="0" w:space="0" w:color="auto"/>
      </w:divBdr>
    </w:div>
    <w:div w:id="515392360">
      <w:bodyDiv w:val="1"/>
      <w:marLeft w:val="0"/>
      <w:marRight w:val="0"/>
      <w:marTop w:val="0"/>
      <w:marBottom w:val="0"/>
      <w:divBdr>
        <w:top w:val="none" w:sz="0" w:space="0" w:color="auto"/>
        <w:left w:val="none" w:sz="0" w:space="0" w:color="auto"/>
        <w:bottom w:val="none" w:sz="0" w:space="0" w:color="auto"/>
        <w:right w:val="none" w:sz="0" w:space="0" w:color="auto"/>
      </w:divBdr>
    </w:div>
    <w:div w:id="515463173">
      <w:bodyDiv w:val="1"/>
      <w:marLeft w:val="0"/>
      <w:marRight w:val="0"/>
      <w:marTop w:val="0"/>
      <w:marBottom w:val="0"/>
      <w:divBdr>
        <w:top w:val="none" w:sz="0" w:space="0" w:color="auto"/>
        <w:left w:val="none" w:sz="0" w:space="0" w:color="auto"/>
        <w:bottom w:val="none" w:sz="0" w:space="0" w:color="auto"/>
        <w:right w:val="none" w:sz="0" w:space="0" w:color="auto"/>
      </w:divBdr>
    </w:div>
    <w:div w:id="515463944">
      <w:bodyDiv w:val="1"/>
      <w:marLeft w:val="0"/>
      <w:marRight w:val="0"/>
      <w:marTop w:val="0"/>
      <w:marBottom w:val="0"/>
      <w:divBdr>
        <w:top w:val="none" w:sz="0" w:space="0" w:color="auto"/>
        <w:left w:val="none" w:sz="0" w:space="0" w:color="auto"/>
        <w:bottom w:val="none" w:sz="0" w:space="0" w:color="auto"/>
        <w:right w:val="none" w:sz="0" w:space="0" w:color="auto"/>
      </w:divBdr>
    </w:div>
    <w:div w:id="515583166">
      <w:bodyDiv w:val="1"/>
      <w:marLeft w:val="0"/>
      <w:marRight w:val="0"/>
      <w:marTop w:val="0"/>
      <w:marBottom w:val="0"/>
      <w:divBdr>
        <w:top w:val="none" w:sz="0" w:space="0" w:color="auto"/>
        <w:left w:val="none" w:sz="0" w:space="0" w:color="auto"/>
        <w:bottom w:val="none" w:sz="0" w:space="0" w:color="auto"/>
        <w:right w:val="none" w:sz="0" w:space="0" w:color="auto"/>
      </w:divBdr>
    </w:div>
    <w:div w:id="515660387">
      <w:bodyDiv w:val="1"/>
      <w:marLeft w:val="0"/>
      <w:marRight w:val="0"/>
      <w:marTop w:val="0"/>
      <w:marBottom w:val="0"/>
      <w:divBdr>
        <w:top w:val="none" w:sz="0" w:space="0" w:color="auto"/>
        <w:left w:val="none" w:sz="0" w:space="0" w:color="auto"/>
        <w:bottom w:val="none" w:sz="0" w:space="0" w:color="auto"/>
        <w:right w:val="none" w:sz="0" w:space="0" w:color="auto"/>
      </w:divBdr>
    </w:div>
    <w:div w:id="515733099">
      <w:bodyDiv w:val="1"/>
      <w:marLeft w:val="0"/>
      <w:marRight w:val="0"/>
      <w:marTop w:val="0"/>
      <w:marBottom w:val="0"/>
      <w:divBdr>
        <w:top w:val="none" w:sz="0" w:space="0" w:color="auto"/>
        <w:left w:val="none" w:sz="0" w:space="0" w:color="auto"/>
        <w:bottom w:val="none" w:sz="0" w:space="0" w:color="auto"/>
        <w:right w:val="none" w:sz="0" w:space="0" w:color="auto"/>
      </w:divBdr>
    </w:div>
    <w:div w:id="515770107">
      <w:bodyDiv w:val="1"/>
      <w:marLeft w:val="0"/>
      <w:marRight w:val="0"/>
      <w:marTop w:val="0"/>
      <w:marBottom w:val="0"/>
      <w:divBdr>
        <w:top w:val="none" w:sz="0" w:space="0" w:color="auto"/>
        <w:left w:val="none" w:sz="0" w:space="0" w:color="auto"/>
        <w:bottom w:val="none" w:sz="0" w:space="0" w:color="auto"/>
        <w:right w:val="none" w:sz="0" w:space="0" w:color="auto"/>
      </w:divBdr>
    </w:div>
    <w:div w:id="515849580">
      <w:bodyDiv w:val="1"/>
      <w:marLeft w:val="0"/>
      <w:marRight w:val="0"/>
      <w:marTop w:val="0"/>
      <w:marBottom w:val="0"/>
      <w:divBdr>
        <w:top w:val="none" w:sz="0" w:space="0" w:color="auto"/>
        <w:left w:val="none" w:sz="0" w:space="0" w:color="auto"/>
        <w:bottom w:val="none" w:sz="0" w:space="0" w:color="auto"/>
        <w:right w:val="none" w:sz="0" w:space="0" w:color="auto"/>
      </w:divBdr>
    </w:div>
    <w:div w:id="515920886">
      <w:bodyDiv w:val="1"/>
      <w:marLeft w:val="0"/>
      <w:marRight w:val="0"/>
      <w:marTop w:val="0"/>
      <w:marBottom w:val="0"/>
      <w:divBdr>
        <w:top w:val="none" w:sz="0" w:space="0" w:color="auto"/>
        <w:left w:val="none" w:sz="0" w:space="0" w:color="auto"/>
        <w:bottom w:val="none" w:sz="0" w:space="0" w:color="auto"/>
        <w:right w:val="none" w:sz="0" w:space="0" w:color="auto"/>
      </w:divBdr>
    </w:div>
    <w:div w:id="515925145">
      <w:bodyDiv w:val="1"/>
      <w:marLeft w:val="0"/>
      <w:marRight w:val="0"/>
      <w:marTop w:val="0"/>
      <w:marBottom w:val="0"/>
      <w:divBdr>
        <w:top w:val="none" w:sz="0" w:space="0" w:color="auto"/>
        <w:left w:val="none" w:sz="0" w:space="0" w:color="auto"/>
        <w:bottom w:val="none" w:sz="0" w:space="0" w:color="auto"/>
        <w:right w:val="none" w:sz="0" w:space="0" w:color="auto"/>
      </w:divBdr>
    </w:div>
    <w:div w:id="515927518">
      <w:bodyDiv w:val="1"/>
      <w:marLeft w:val="0"/>
      <w:marRight w:val="0"/>
      <w:marTop w:val="0"/>
      <w:marBottom w:val="0"/>
      <w:divBdr>
        <w:top w:val="none" w:sz="0" w:space="0" w:color="auto"/>
        <w:left w:val="none" w:sz="0" w:space="0" w:color="auto"/>
        <w:bottom w:val="none" w:sz="0" w:space="0" w:color="auto"/>
        <w:right w:val="none" w:sz="0" w:space="0" w:color="auto"/>
      </w:divBdr>
    </w:div>
    <w:div w:id="516190364">
      <w:bodyDiv w:val="1"/>
      <w:marLeft w:val="0"/>
      <w:marRight w:val="0"/>
      <w:marTop w:val="0"/>
      <w:marBottom w:val="0"/>
      <w:divBdr>
        <w:top w:val="none" w:sz="0" w:space="0" w:color="auto"/>
        <w:left w:val="none" w:sz="0" w:space="0" w:color="auto"/>
        <w:bottom w:val="none" w:sz="0" w:space="0" w:color="auto"/>
        <w:right w:val="none" w:sz="0" w:space="0" w:color="auto"/>
      </w:divBdr>
    </w:div>
    <w:div w:id="516232941">
      <w:bodyDiv w:val="1"/>
      <w:marLeft w:val="0"/>
      <w:marRight w:val="0"/>
      <w:marTop w:val="0"/>
      <w:marBottom w:val="0"/>
      <w:divBdr>
        <w:top w:val="none" w:sz="0" w:space="0" w:color="auto"/>
        <w:left w:val="none" w:sz="0" w:space="0" w:color="auto"/>
        <w:bottom w:val="none" w:sz="0" w:space="0" w:color="auto"/>
        <w:right w:val="none" w:sz="0" w:space="0" w:color="auto"/>
      </w:divBdr>
    </w:div>
    <w:div w:id="516434224">
      <w:bodyDiv w:val="1"/>
      <w:marLeft w:val="0"/>
      <w:marRight w:val="0"/>
      <w:marTop w:val="0"/>
      <w:marBottom w:val="0"/>
      <w:divBdr>
        <w:top w:val="none" w:sz="0" w:space="0" w:color="auto"/>
        <w:left w:val="none" w:sz="0" w:space="0" w:color="auto"/>
        <w:bottom w:val="none" w:sz="0" w:space="0" w:color="auto"/>
        <w:right w:val="none" w:sz="0" w:space="0" w:color="auto"/>
      </w:divBdr>
    </w:div>
    <w:div w:id="516501143">
      <w:bodyDiv w:val="1"/>
      <w:marLeft w:val="0"/>
      <w:marRight w:val="0"/>
      <w:marTop w:val="0"/>
      <w:marBottom w:val="0"/>
      <w:divBdr>
        <w:top w:val="none" w:sz="0" w:space="0" w:color="auto"/>
        <w:left w:val="none" w:sz="0" w:space="0" w:color="auto"/>
        <w:bottom w:val="none" w:sz="0" w:space="0" w:color="auto"/>
        <w:right w:val="none" w:sz="0" w:space="0" w:color="auto"/>
      </w:divBdr>
    </w:div>
    <w:div w:id="516624221">
      <w:bodyDiv w:val="1"/>
      <w:marLeft w:val="0"/>
      <w:marRight w:val="0"/>
      <w:marTop w:val="0"/>
      <w:marBottom w:val="0"/>
      <w:divBdr>
        <w:top w:val="none" w:sz="0" w:space="0" w:color="auto"/>
        <w:left w:val="none" w:sz="0" w:space="0" w:color="auto"/>
        <w:bottom w:val="none" w:sz="0" w:space="0" w:color="auto"/>
        <w:right w:val="none" w:sz="0" w:space="0" w:color="auto"/>
      </w:divBdr>
    </w:div>
    <w:div w:id="516770624">
      <w:bodyDiv w:val="1"/>
      <w:marLeft w:val="0"/>
      <w:marRight w:val="0"/>
      <w:marTop w:val="0"/>
      <w:marBottom w:val="0"/>
      <w:divBdr>
        <w:top w:val="none" w:sz="0" w:space="0" w:color="auto"/>
        <w:left w:val="none" w:sz="0" w:space="0" w:color="auto"/>
        <w:bottom w:val="none" w:sz="0" w:space="0" w:color="auto"/>
        <w:right w:val="none" w:sz="0" w:space="0" w:color="auto"/>
      </w:divBdr>
    </w:div>
    <w:div w:id="516820656">
      <w:bodyDiv w:val="1"/>
      <w:marLeft w:val="0"/>
      <w:marRight w:val="0"/>
      <w:marTop w:val="0"/>
      <w:marBottom w:val="0"/>
      <w:divBdr>
        <w:top w:val="none" w:sz="0" w:space="0" w:color="auto"/>
        <w:left w:val="none" w:sz="0" w:space="0" w:color="auto"/>
        <w:bottom w:val="none" w:sz="0" w:space="0" w:color="auto"/>
        <w:right w:val="none" w:sz="0" w:space="0" w:color="auto"/>
      </w:divBdr>
    </w:div>
    <w:div w:id="516892561">
      <w:bodyDiv w:val="1"/>
      <w:marLeft w:val="0"/>
      <w:marRight w:val="0"/>
      <w:marTop w:val="0"/>
      <w:marBottom w:val="0"/>
      <w:divBdr>
        <w:top w:val="none" w:sz="0" w:space="0" w:color="auto"/>
        <w:left w:val="none" w:sz="0" w:space="0" w:color="auto"/>
        <w:bottom w:val="none" w:sz="0" w:space="0" w:color="auto"/>
        <w:right w:val="none" w:sz="0" w:space="0" w:color="auto"/>
      </w:divBdr>
    </w:div>
    <w:div w:id="516966919">
      <w:bodyDiv w:val="1"/>
      <w:marLeft w:val="0"/>
      <w:marRight w:val="0"/>
      <w:marTop w:val="0"/>
      <w:marBottom w:val="0"/>
      <w:divBdr>
        <w:top w:val="none" w:sz="0" w:space="0" w:color="auto"/>
        <w:left w:val="none" w:sz="0" w:space="0" w:color="auto"/>
        <w:bottom w:val="none" w:sz="0" w:space="0" w:color="auto"/>
        <w:right w:val="none" w:sz="0" w:space="0" w:color="auto"/>
      </w:divBdr>
    </w:div>
    <w:div w:id="517014141">
      <w:bodyDiv w:val="1"/>
      <w:marLeft w:val="0"/>
      <w:marRight w:val="0"/>
      <w:marTop w:val="0"/>
      <w:marBottom w:val="0"/>
      <w:divBdr>
        <w:top w:val="none" w:sz="0" w:space="0" w:color="auto"/>
        <w:left w:val="none" w:sz="0" w:space="0" w:color="auto"/>
        <w:bottom w:val="none" w:sz="0" w:space="0" w:color="auto"/>
        <w:right w:val="none" w:sz="0" w:space="0" w:color="auto"/>
      </w:divBdr>
    </w:div>
    <w:div w:id="517041293">
      <w:bodyDiv w:val="1"/>
      <w:marLeft w:val="0"/>
      <w:marRight w:val="0"/>
      <w:marTop w:val="0"/>
      <w:marBottom w:val="0"/>
      <w:divBdr>
        <w:top w:val="none" w:sz="0" w:space="0" w:color="auto"/>
        <w:left w:val="none" w:sz="0" w:space="0" w:color="auto"/>
        <w:bottom w:val="none" w:sz="0" w:space="0" w:color="auto"/>
        <w:right w:val="none" w:sz="0" w:space="0" w:color="auto"/>
      </w:divBdr>
    </w:div>
    <w:div w:id="517231567">
      <w:bodyDiv w:val="1"/>
      <w:marLeft w:val="0"/>
      <w:marRight w:val="0"/>
      <w:marTop w:val="0"/>
      <w:marBottom w:val="0"/>
      <w:divBdr>
        <w:top w:val="none" w:sz="0" w:space="0" w:color="auto"/>
        <w:left w:val="none" w:sz="0" w:space="0" w:color="auto"/>
        <w:bottom w:val="none" w:sz="0" w:space="0" w:color="auto"/>
        <w:right w:val="none" w:sz="0" w:space="0" w:color="auto"/>
      </w:divBdr>
    </w:div>
    <w:div w:id="517281152">
      <w:bodyDiv w:val="1"/>
      <w:marLeft w:val="0"/>
      <w:marRight w:val="0"/>
      <w:marTop w:val="0"/>
      <w:marBottom w:val="0"/>
      <w:divBdr>
        <w:top w:val="none" w:sz="0" w:space="0" w:color="auto"/>
        <w:left w:val="none" w:sz="0" w:space="0" w:color="auto"/>
        <w:bottom w:val="none" w:sz="0" w:space="0" w:color="auto"/>
        <w:right w:val="none" w:sz="0" w:space="0" w:color="auto"/>
      </w:divBdr>
    </w:div>
    <w:div w:id="517353264">
      <w:bodyDiv w:val="1"/>
      <w:marLeft w:val="0"/>
      <w:marRight w:val="0"/>
      <w:marTop w:val="0"/>
      <w:marBottom w:val="0"/>
      <w:divBdr>
        <w:top w:val="none" w:sz="0" w:space="0" w:color="auto"/>
        <w:left w:val="none" w:sz="0" w:space="0" w:color="auto"/>
        <w:bottom w:val="none" w:sz="0" w:space="0" w:color="auto"/>
        <w:right w:val="none" w:sz="0" w:space="0" w:color="auto"/>
      </w:divBdr>
    </w:div>
    <w:div w:id="517620850">
      <w:bodyDiv w:val="1"/>
      <w:marLeft w:val="0"/>
      <w:marRight w:val="0"/>
      <w:marTop w:val="0"/>
      <w:marBottom w:val="0"/>
      <w:divBdr>
        <w:top w:val="none" w:sz="0" w:space="0" w:color="auto"/>
        <w:left w:val="none" w:sz="0" w:space="0" w:color="auto"/>
        <w:bottom w:val="none" w:sz="0" w:space="0" w:color="auto"/>
        <w:right w:val="none" w:sz="0" w:space="0" w:color="auto"/>
      </w:divBdr>
    </w:div>
    <w:div w:id="517622442">
      <w:bodyDiv w:val="1"/>
      <w:marLeft w:val="0"/>
      <w:marRight w:val="0"/>
      <w:marTop w:val="0"/>
      <w:marBottom w:val="0"/>
      <w:divBdr>
        <w:top w:val="none" w:sz="0" w:space="0" w:color="auto"/>
        <w:left w:val="none" w:sz="0" w:space="0" w:color="auto"/>
        <w:bottom w:val="none" w:sz="0" w:space="0" w:color="auto"/>
        <w:right w:val="none" w:sz="0" w:space="0" w:color="auto"/>
      </w:divBdr>
    </w:div>
    <w:div w:id="517699836">
      <w:bodyDiv w:val="1"/>
      <w:marLeft w:val="0"/>
      <w:marRight w:val="0"/>
      <w:marTop w:val="0"/>
      <w:marBottom w:val="0"/>
      <w:divBdr>
        <w:top w:val="none" w:sz="0" w:space="0" w:color="auto"/>
        <w:left w:val="none" w:sz="0" w:space="0" w:color="auto"/>
        <w:bottom w:val="none" w:sz="0" w:space="0" w:color="auto"/>
        <w:right w:val="none" w:sz="0" w:space="0" w:color="auto"/>
      </w:divBdr>
    </w:div>
    <w:div w:id="517739680">
      <w:bodyDiv w:val="1"/>
      <w:marLeft w:val="0"/>
      <w:marRight w:val="0"/>
      <w:marTop w:val="0"/>
      <w:marBottom w:val="0"/>
      <w:divBdr>
        <w:top w:val="none" w:sz="0" w:space="0" w:color="auto"/>
        <w:left w:val="none" w:sz="0" w:space="0" w:color="auto"/>
        <w:bottom w:val="none" w:sz="0" w:space="0" w:color="auto"/>
        <w:right w:val="none" w:sz="0" w:space="0" w:color="auto"/>
      </w:divBdr>
    </w:div>
    <w:div w:id="517739723">
      <w:bodyDiv w:val="1"/>
      <w:marLeft w:val="0"/>
      <w:marRight w:val="0"/>
      <w:marTop w:val="0"/>
      <w:marBottom w:val="0"/>
      <w:divBdr>
        <w:top w:val="none" w:sz="0" w:space="0" w:color="auto"/>
        <w:left w:val="none" w:sz="0" w:space="0" w:color="auto"/>
        <w:bottom w:val="none" w:sz="0" w:space="0" w:color="auto"/>
        <w:right w:val="none" w:sz="0" w:space="0" w:color="auto"/>
      </w:divBdr>
    </w:div>
    <w:div w:id="517816856">
      <w:bodyDiv w:val="1"/>
      <w:marLeft w:val="0"/>
      <w:marRight w:val="0"/>
      <w:marTop w:val="0"/>
      <w:marBottom w:val="0"/>
      <w:divBdr>
        <w:top w:val="none" w:sz="0" w:space="0" w:color="auto"/>
        <w:left w:val="none" w:sz="0" w:space="0" w:color="auto"/>
        <w:bottom w:val="none" w:sz="0" w:space="0" w:color="auto"/>
        <w:right w:val="none" w:sz="0" w:space="0" w:color="auto"/>
      </w:divBdr>
    </w:div>
    <w:div w:id="518009762">
      <w:bodyDiv w:val="1"/>
      <w:marLeft w:val="0"/>
      <w:marRight w:val="0"/>
      <w:marTop w:val="0"/>
      <w:marBottom w:val="0"/>
      <w:divBdr>
        <w:top w:val="none" w:sz="0" w:space="0" w:color="auto"/>
        <w:left w:val="none" w:sz="0" w:space="0" w:color="auto"/>
        <w:bottom w:val="none" w:sz="0" w:space="0" w:color="auto"/>
        <w:right w:val="none" w:sz="0" w:space="0" w:color="auto"/>
      </w:divBdr>
    </w:div>
    <w:div w:id="518088425">
      <w:bodyDiv w:val="1"/>
      <w:marLeft w:val="0"/>
      <w:marRight w:val="0"/>
      <w:marTop w:val="0"/>
      <w:marBottom w:val="0"/>
      <w:divBdr>
        <w:top w:val="none" w:sz="0" w:space="0" w:color="auto"/>
        <w:left w:val="none" w:sz="0" w:space="0" w:color="auto"/>
        <w:bottom w:val="none" w:sz="0" w:space="0" w:color="auto"/>
        <w:right w:val="none" w:sz="0" w:space="0" w:color="auto"/>
      </w:divBdr>
    </w:div>
    <w:div w:id="518198802">
      <w:bodyDiv w:val="1"/>
      <w:marLeft w:val="0"/>
      <w:marRight w:val="0"/>
      <w:marTop w:val="0"/>
      <w:marBottom w:val="0"/>
      <w:divBdr>
        <w:top w:val="none" w:sz="0" w:space="0" w:color="auto"/>
        <w:left w:val="none" w:sz="0" w:space="0" w:color="auto"/>
        <w:bottom w:val="none" w:sz="0" w:space="0" w:color="auto"/>
        <w:right w:val="none" w:sz="0" w:space="0" w:color="auto"/>
      </w:divBdr>
    </w:div>
    <w:div w:id="518201049">
      <w:bodyDiv w:val="1"/>
      <w:marLeft w:val="0"/>
      <w:marRight w:val="0"/>
      <w:marTop w:val="0"/>
      <w:marBottom w:val="0"/>
      <w:divBdr>
        <w:top w:val="none" w:sz="0" w:space="0" w:color="auto"/>
        <w:left w:val="none" w:sz="0" w:space="0" w:color="auto"/>
        <w:bottom w:val="none" w:sz="0" w:space="0" w:color="auto"/>
        <w:right w:val="none" w:sz="0" w:space="0" w:color="auto"/>
      </w:divBdr>
    </w:div>
    <w:div w:id="518272418">
      <w:bodyDiv w:val="1"/>
      <w:marLeft w:val="0"/>
      <w:marRight w:val="0"/>
      <w:marTop w:val="0"/>
      <w:marBottom w:val="0"/>
      <w:divBdr>
        <w:top w:val="none" w:sz="0" w:space="0" w:color="auto"/>
        <w:left w:val="none" w:sz="0" w:space="0" w:color="auto"/>
        <w:bottom w:val="none" w:sz="0" w:space="0" w:color="auto"/>
        <w:right w:val="none" w:sz="0" w:space="0" w:color="auto"/>
      </w:divBdr>
    </w:div>
    <w:div w:id="518391277">
      <w:bodyDiv w:val="1"/>
      <w:marLeft w:val="0"/>
      <w:marRight w:val="0"/>
      <w:marTop w:val="0"/>
      <w:marBottom w:val="0"/>
      <w:divBdr>
        <w:top w:val="none" w:sz="0" w:space="0" w:color="auto"/>
        <w:left w:val="none" w:sz="0" w:space="0" w:color="auto"/>
        <w:bottom w:val="none" w:sz="0" w:space="0" w:color="auto"/>
        <w:right w:val="none" w:sz="0" w:space="0" w:color="auto"/>
      </w:divBdr>
    </w:div>
    <w:div w:id="518473359">
      <w:bodyDiv w:val="1"/>
      <w:marLeft w:val="0"/>
      <w:marRight w:val="0"/>
      <w:marTop w:val="0"/>
      <w:marBottom w:val="0"/>
      <w:divBdr>
        <w:top w:val="none" w:sz="0" w:space="0" w:color="auto"/>
        <w:left w:val="none" w:sz="0" w:space="0" w:color="auto"/>
        <w:bottom w:val="none" w:sz="0" w:space="0" w:color="auto"/>
        <w:right w:val="none" w:sz="0" w:space="0" w:color="auto"/>
      </w:divBdr>
    </w:div>
    <w:div w:id="518474011">
      <w:bodyDiv w:val="1"/>
      <w:marLeft w:val="0"/>
      <w:marRight w:val="0"/>
      <w:marTop w:val="0"/>
      <w:marBottom w:val="0"/>
      <w:divBdr>
        <w:top w:val="none" w:sz="0" w:space="0" w:color="auto"/>
        <w:left w:val="none" w:sz="0" w:space="0" w:color="auto"/>
        <w:bottom w:val="none" w:sz="0" w:space="0" w:color="auto"/>
        <w:right w:val="none" w:sz="0" w:space="0" w:color="auto"/>
      </w:divBdr>
    </w:div>
    <w:div w:id="518809979">
      <w:bodyDiv w:val="1"/>
      <w:marLeft w:val="0"/>
      <w:marRight w:val="0"/>
      <w:marTop w:val="0"/>
      <w:marBottom w:val="0"/>
      <w:divBdr>
        <w:top w:val="none" w:sz="0" w:space="0" w:color="auto"/>
        <w:left w:val="none" w:sz="0" w:space="0" w:color="auto"/>
        <w:bottom w:val="none" w:sz="0" w:space="0" w:color="auto"/>
        <w:right w:val="none" w:sz="0" w:space="0" w:color="auto"/>
      </w:divBdr>
    </w:div>
    <w:div w:id="518852536">
      <w:bodyDiv w:val="1"/>
      <w:marLeft w:val="0"/>
      <w:marRight w:val="0"/>
      <w:marTop w:val="0"/>
      <w:marBottom w:val="0"/>
      <w:divBdr>
        <w:top w:val="none" w:sz="0" w:space="0" w:color="auto"/>
        <w:left w:val="none" w:sz="0" w:space="0" w:color="auto"/>
        <w:bottom w:val="none" w:sz="0" w:space="0" w:color="auto"/>
        <w:right w:val="none" w:sz="0" w:space="0" w:color="auto"/>
      </w:divBdr>
    </w:div>
    <w:div w:id="518861522">
      <w:bodyDiv w:val="1"/>
      <w:marLeft w:val="0"/>
      <w:marRight w:val="0"/>
      <w:marTop w:val="0"/>
      <w:marBottom w:val="0"/>
      <w:divBdr>
        <w:top w:val="none" w:sz="0" w:space="0" w:color="auto"/>
        <w:left w:val="none" w:sz="0" w:space="0" w:color="auto"/>
        <w:bottom w:val="none" w:sz="0" w:space="0" w:color="auto"/>
        <w:right w:val="none" w:sz="0" w:space="0" w:color="auto"/>
      </w:divBdr>
    </w:div>
    <w:div w:id="519008740">
      <w:bodyDiv w:val="1"/>
      <w:marLeft w:val="0"/>
      <w:marRight w:val="0"/>
      <w:marTop w:val="0"/>
      <w:marBottom w:val="0"/>
      <w:divBdr>
        <w:top w:val="none" w:sz="0" w:space="0" w:color="auto"/>
        <w:left w:val="none" w:sz="0" w:space="0" w:color="auto"/>
        <w:bottom w:val="none" w:sz="0" w:space="0" w:color="auto"/>
        <w:right w:val="none" w:sz="0" w:space="0" w:color="auto"/>
      </w:divBdr>
    </w:div>
    <w:div w:id="519009280">
      <w:bodyDiv w:val="1"/>
      <w:marLeft w:val="0"/>
      <w:marRight w:val="0"/>
      <w:marTop w:val="0"/>
      <w:marBottom w:val="0"/>
      <w:divBdr>
        <w:top w:val="none" w:sz="0" w:space="0" w:color="auto"/>
        <w:left w:val="none" w:sz="0" w:space="0" w:color="auto"/>
        <w:bottom w:val="none" w:sz="0" w:space="0" w:color="auto"/>
        <w:right w:val="none" w:sz="0" w:space="0" w:color="auto"/>
      </w:divBdr>
    </w:div>
    <w:div w:id="519196552">
      <w:bodyDiv w:val="1"/>
      <w:marLeft w:val="0"/>
      <w:marRight w:val="0"/>
      <w:marTop w:val="0"/>
      <w:marBottom w:val="0"/>
      <w:divBdr>
        <w:top w:val="none" w:sz="0" w:space="0" w:color="auto"/>
        <w:left w:val="none" w:sz="0" w:space="0" w:color="auto"/>
        <w:bottom w:val="none" w:sz="0" w:space="0" w:color="auto"/>
        <w:right w:val="none" w:sz="0" w:space="0" w:color="auto"/>
      </w:divBdr>
    </w:div>
    <w:div w:id="519196768">
      <w:bodyDiv w:val="1"/>
      <w:marLeft w:val="0"/>
      <w:marRight w:val="0"/>
      <w:marTop w:val="0"/>
      <w:marBottom w:val="0"/>
      <w:divBdr>
        <w:top w:val="none" w:sz="0" w:space="0" w:color="auto"/>
        <w:left w:val="none" w:sz="0" w:space="0" w:color="auto"/>
        <w:bottom w:val="none" w:sz="0" w:space="0" w:color="auto"/>
        <w:right w:val="none" w:sz="0" w:space="0" w:color="auto"/>
      </w:divBdr>
    </w:div>
    <w:div w:id="519390058">
      <w:bodyDiv w:val="1"/>
      <w:marLeft w:val="0"/>
      <w:marRight w:val="0"/>
      <w:marTop w:val="0"/>
      <w:marBottom w:val="0"/>
      <w:divBdr>
        <w:top w:val="none" w:sz="0" w:space="0" w:color="auto"/>
        <w:left w:val="none" w:sz="0" w:space="0" w:color="auto"/>
        <w:bottom w:val="none" w:sz="0" w:space="0" w:color="auto"/>
        <w:right w:val="none" w:sz="0" w:space="0" w:color="auto"/>
      </w:divBdr>
    </w:div>
    <w:div w:id="519466122">
      <w:bodyDiv w:val="1"/>
      <w:marLeft w:val="0"/>
      <w:marRight w:val="0"/>
      <w:marTop w:val="0"/>
      <w:marBottom w:val="0"/>
      <w:divBdr>
        <w:top w:val="none" w:sz="0" w:space="0" w:color="auto"/>
        <w:left w:val="none" w:sz="0" w:space="0" w:color="auto"/>
        <w:bottom w:val="none" w:sz="0" w:space="0" w:color="auto"/>
        <w:right w:val="none" w:sz="0" w:space="0" w:color="auto"/>
      </w:divBdr>
    </w:div>
    <w:div w:id="519468695">
      <w:bodyDiv w:val="1"/>
      <w:marLeft w:val="0"/>
      <w:marRight w:val="0"/>
      <w:marTop w:val="0"/>
      <w:marBottom w:val="0"/>
      <w:divBdr>
        <w:top w:val="none" w:sz="0" w:space="0" w:color="auto"/>
        <w:left w:val="none" w:sz="0" w:space="0" w:color="auto"/>
        <w:bottom w:val="none" w:sz="0" w:space="0" w:color="auto"/>
        <w:right w:val="none" w:sz="0" w:space="0" w:color="auto"/>
      </w:divBdr>
    </w:div>
    <w:div w:id="519513033">
      <w:bodyDiv w:val="1"/>
      <w:marLeft w:val="0"/>
      <w:marRight w:val="0"/>
      <w:marTop w:val="0"/>
      <w:marBottom w:val="0"/>
      <w:divBdr>
        <w:top w:val="none" w:sz="0" w:space="0" w:color="auto"/>
        <w:left w:val="none" w:sz="0" w:space="0" w:color="auto"/>
        <w:bottom w:val="none" w:sz="0" w:space="0" w:color="auto"/>
        <w:right w:val="none" w:sz="0" w:space="0" w:color="auto"/>
      </w:divBdr>
    </w:div>
    <w:div w:id="519661006">
      <w:bodyDiv w:val="1"/>
      <w:marLeft w:val="0"/>
      <w:marRight w:val="0"/>
      <w:marTop w:val="0"/>
      <w:marBottom w:val="0"/>
      <w:divBdr>
        <w:top w:val="none" w:sz="0" w:space="0" w:color="auto"/>
        <w:left w:val="none" w:sz="0" w:space="0" w:color="auto"/>
        <w:bottom w:val="none" w:sz="0" w:space="0" w:color="auto"/>
        <w:right w:val="none" w:sz="0" w:space="0" w:color="auto"/>
      </w:divBdr>
    </w:div>
    <w:div w:id="519663590">
      <w:bodyDiv w:val="1"/>
      <w:marLeft w:val="0"/>
      <w:marRight w:val="0"/>
      <w:marTop w:val="0"/>
      <w:marBottom w:val="0"/>
      <w:divBdr>
        <w:top w:val="none" w:sz="0" w:space="0" w:color="auto"/>
        <w:left w:val="none" w:sz="0" w:space="0" w:color="auto"/>
        <w:bottom w:val="none" w:sz="0" w:space="0" w:color="auto"/>
        <w:right w:val="none" w:sz="0" w:space="0" w:color="auto"/>
      </w:divBdr>
    </w:div>
    <w:div w:id="519778409">
      <w:bodyDiv w:val="1"/>
      <w:marLeft w:val="0"/>
      <w:marRight w:val="0"/>
      <w:marTop w:val="0"/>
      <w:marBottom w:val="0"/>
      <w:divBdr>
        <w:top w:val="none" w:sz="0" w:space="0" w:color="auto"/>
        <w:left w:val="none" w:sz="0" w:space="0" w:color="auto"/>
        <w:bottom w:val="none" w:sz="0" w:space="0" w:color="auto"/>
        <w:right w:val="none" w:sz="0" w:space="0" w:color="auto"/>
      </w:divBdr>
    </w:div>
    <w:div w:id="519785566">
      <w:bodyDiv w:val="1"/>
      <w:marLeft w:val="0"/>
      <w:marRight w:val="0"/>
      <w:marTop w:val="0"/>
      <w:marBottom w:val="0"/>
      <w:divBdr>
        <w:top w:val="none" w:sz="0" w:space="0" w:color="auto"/>
        <w:left w:val="none" w:sz="0" w:space="0" w:color="auto"/>
        <w:bottom w:val="none" w:sz="0" w:space="0" w:color="auto"/>
        <w:right w:val="none" w:sz="0" w:space="0" w:color="auto"/>
      </w:divBdr>
    </w:div>
    <w:div w:id="519855214">
      <w:bodyDiv w:val="1"/>
      <w:marLeft w:val="0"/>
      <w:marRight w:val="0"/>
      <w:marTop w:val="0"/>
      <w:marBottom w:val="0"/>
      <w:divBdr>
        <w:top w:val="none" w:sz="0" w:space="0" w:color="auto"/>
        <w:left w:val="none" w:sz="0" w:space="0" w:color="auto"/>
        <w:bottom w:val="none" w:sz="0" w:space="0" w:color="auto"/>
        <w:right w:val="none" w:sz="0" w:space="0" w:color="auto"/>
      </w:divBdr>
    </w:div>
    <w:div w:id="519898547">
      <w:bodyDiv w:val="1"/>
      <w:marLeft w:val="0"/>
      <w:marRight w:val="0"/>
      <w:marTop w:val="0"/>
      <w:marBottom w:val="0"/>
      <w:divBdr>
        <w:top w:val="none" w:sz="0" w:space="0" w:color="auto"/>
        <w:left w:val="none" w:sz="0" w:space="0" w:color="auto"/>
        <w:bottom w:val="none" w:sz="0" w:space="0" w:color="auto"/>
        <w:right w:val="none" w:sz="0" w:space="0" w:color="auto"/>
      </w:divBdr>
    </w:div>
    <w:div w:id="520045397">
      <w:bodyDiv w:val="1"/>
      <w:marLeft w:val="0"/>
      <w:marRight w:val="0"/>
      <w:marTop w:val="0"/>
      <w:marBottom w:val="0"/>
      <w:divBdr>
        <w:top w:val="none" w:sz="0" w:space="0" w:color="auto"/>
        <w:left w:val="none" w:sz="0" w:space="0" w:color="auto"/>
        <w:bottom w:val="none" w:sz="0" w:space="0" w:color="auto"/>
        <w:right w:val="none" w:sz="0" w:space="0" w:color="auto"/>
      </w:divBdr>
    </w:div>
    <w:div w:id="520094333">
      <w:bodyDiv w:val="1"/>
      <w:marLeft w:val="0"/>
      <w:marRight w:val="0"/>
      <w:marTop w:val="0"/>
      <w:marBottom w:val="0"/>
      <w:divBdr>
        <w:top w:val="none" w:sz="0" w:space="0" w:color="auto"/>
        <w:left w:val="none" w:sz="0" w:space="0" w:color="auto"/>
        <w:bottom w:val="none" w:sz="0" w:space="0" w:color="auto"/>
        <w:right w:val="none" w:sz="0" w:space="0" w:color="auto"/>
      </w:divBdr>
    </w:div>
    <w:div w:id="520123280">
      <w:bodyDiv w:val="1"/>
      <w:marLeft w:val="0"/>
      <w:marRight w:val="0"/>
      <w:marTop w:val="0"/>
      <w:marBottom w:val="0"/>
      <w:divBdr>
        <w:top w:val="none" w:sz="0" w:space="0" w:color="auto"/>
        <w:left w:val="none" w:sz="0" w:space="0" w:color="auto"/>
        <w:bottom w:val="none" w:sz="0" w:space="0" w:color="auto"/>
        <w:right w:val="none" w:sz="0" w:space="0" w:color="auto"/>
      </w:divBdr>
    </w:div>
    <w:div w:id="520318474">
      <w:bodyDiv w:val="1"/>
      <w:marLeft w:val="0"/>
      <w:marRight w:val="0"/>
      <w:marTop w:val="0"/>
      <w:marBottom w:val="0"/>
      <w:divBdr>
        <w:top w:val="none" w:sz="0" w:space="0" w:color="auto"/>
        <w:left w:val="none" w:sz="0" w:space="0" w:color="auto"/>
        <w:bottom w:val="none" w:sz="0" w:space="0" w:color="auto"/>
        <w:right w:val="none" w:sz="0" w:space="0" w:color="auto"/>
      </w:divBdr>
    </w:div>
    <w:div w:id="520322189">
      <w:bodyDiv w:val="1"/>
      <w:marLeft w:val="0"/>
      <w:marRight w:val="0"/>
      <w:marTop w:val="0"/>
      <w:marBottom w:val="0"/>
      <w:divBdr>
        <w:top w:val="none" w:sz="0" w:space="0" w:color="auto"/>
        <w:left w:val="none" w:sz="0" w:space="0" w:color="auto"/>
        <w:bottom w:val="none" w:sz="0" w:space="0" w:color="auto"/>
        <w:right w:val="none" w:sz="0" w:space="0" w:color="auto"/>
      </w:divBdr>
    </w:div>
    <w:div w:id="520361407">
      <w:bodyDiv w:val="1"/>
      <w:marLeft w:val="0"/>
      <w:marRight w:val="0"/>
      <w:marTop w:val="0"/>
      <w:marBottom w:val="0"/>
      <w:divBdr>
        <w:top w:val="none" w:sz="0" w:space="0" w:color="auto"/>
        <w:left w:val="none" w:sz="0" w:space="0" w:color="auto"/>
        <w:bottom w:val="none" w:sz="0" w:space="0" w:color="auto"/>
        <w:right w:val="none" w:sz="0" w:space="0" w:color="auto"/>
      </w:divBdr>
    </w:div>
    <w:div w:id="520516055">
      <w:bodyDiv w:val="1"/>
      <w:marLeft w:val="0"/>
      <w:marRight w:val="0"/>
      <w:marTop w:val="0"/>
      <w:marBottom w:val="0"/>
      <w:divBdr>
        <w:top w:val="none" w:sz="0" w:space="0" w:color="auto"/>
        <w:left w:val="none" w:sz="0" w:space="0" w:color="auto"/>
        <w:bottom w:val="none" w:sz="0" w:space="0" w:color="auto"/>
        <w:right w:val="none" w:sz="0" w:space="0" w:color="auto"/>
      </w:divBdr>
    </w:div>
    <w:div w:id="520700617">
      <w:bodyDiv w:val="1"/>
      <w:marLeft w:val="0"/>
      <w:marRight w:val="0"/>
      <w:marTop w:val="0"/>
      <w:marBottom w:val="0"/>
      <w:divBdr>
        <w:top w:val="none" w:sz="0" w:space="0" w:color="auto"/>
        <w:left w:val="none" w:sz="0" w:space="0" w:color="auto"/>
        <w:bottom w:val="none" w:sz="0" w:space="0" w:color="auto"/>
        <w:right w:val="none" w:sz="0" w:space="0" w:color="auto"/>
      </w:divBdr>
    </w:div>
    <w:div w:id="520707624">
      <w:bodyDiv w:val="1"/>
      <w:marLeft w:val="0"/>
      <w:marRight w:val="0"/>
      <w:marTop w:val="0"/>
      <w:marBottom w:val="0"/>
      <w:divBdr>
        <w:top w:val="none" w:sz="0" w:space="0" w:color="auto"/>
        <w:left w:val="none" w:sz="0" w:space="0" w:color="auto"/>
        <w:bottom w:val="none" w:sz="0" w:space="0" w:color="auto"/>
        <w:right w:val="none" w:sz="0" w:space="0" w:color="auto"/>
      </w:divBdr>
    </w:div>
    <w:div w:id="520820950">
      <w:bodyDiv w:val="1"/>
      <w:marLeft w:val="0"/>
      <w:marRight w:val="0"/>
      <w:marTop w:val="0"/>
      <w:marBottom w:val="0"/>
      <w:divBdr>
        <w:top w:val="none" w:sz="0" w:space="0" w:color="auto"/>
        <w:left w:val="none" w:sz="0" w:space="0" w:color="auto"/>
        <w:bottom w:val="none" w:sz="0" w:space="0" w:color="auto"/>
        <w:right w:val="none" w:sz="0" w:space="0" w:color="auto"/>
      </w:divBdr>
    </w:div>
    <w:div w:id="520825870">
      <w:bodyDiv w:val="1"/>
      <w:marLeft w:val="0"/>
      <w:marRight w:val="0"/>
      <w:marTop w:val="0"/>
      <w:marBottom w:val="0"/>
      <w:divBdr>
        <w:top w:val="none" w:sz="0" w:space="0" w:color="auto"/>
        <w:left w:val="none" w:sz="0" w:space="0" w:color="auto"/>
        <w:bottom w:val="none" w:sz="0" w:space="0" w:color="auto"/>
        <w:right w:val="none" w:sz="0" w:space="0" w:color="auto"/>
      </w:divBdr>
    </w:div>
    <w:div w:id="520969305">
      <w:bodyDiv w:val="1"/>
      <w:marLeft w:val="0"/>
      <w:marRight w:val="0"/>
      <w:marTop w:val="0"/>
      <w:marBottom w:val="0"/>
      <w:divBdr>
        <w:top w:val="none" w:sz="0" w:space="0" w:color="auto"/>
        <w:left w:val="none" w:sz="0" w:space="0" w:color="auto"/>
        <w:bottom w:val="none" w:sz="0" w:space="0" w:color="auto"/>
        <w:right w:val="none" w:sz="0" w:space="0" w:color="auto"/>
      </w:divBdr>
    </w:div>
    <w:div w:id="520976400">
      <w:bodyDiv w:val="1"/>
      <w:marLeft w:val="0"/>
      <w:marRight w:val="0"/>
      <w:marTop w:val="0"/>
      <w:marBottom w:val="0"/>
      <w:divBdr>
        <w:top w:val="none" w:sz="0" w:space="0" w:color="auto"/>
        <w:left w:val="none" w:sz="0" w:space="0" w:color="auto"/>
        <w:bottom w:val="none" w:sz="0" w:space="0" w:color="auto"/>
        <w:right w:val="none" w:sz="0" w:space="0" w:color="auto"/>
      </w:divBdr>
    </w:div>
    <w:div w:id="520978345">
      <w:bodyDiv w:val="1"/>
      <w:marLeft w:val="0"/>
      <w:marRight w:val="0"/>
      <w:marTop w:val="0"/>
      <w:marBottom w:val="0"/>
      <w:divBdr>
        <w:top w:val="none" w:sz="0" w:space="0" w:color="auto"/>
        <w:left w:val="none" w:sz="0" w:space="0" w:color="auto"/>
        <w:bottom w:val="none" w:sz="0" w:space="0" w:color="auto"/>
        <w:right w:val="none" w:sz="0" w:space="0" w:color="auto"/>
      </w:divBdr>
    </w:div>
    <w:div w:id="521015939">
      <w:bodyDiv w:val="1"/>
      <w:marLeft w:val="0"/>
      <w:marRight w:val="0"/>
      <w:marTop w:val="0"/>
      <w:marBottom w:val="0"/>
      <w:divBdr>
        <w:top w:val="none" w:sz="0" w:space="0" w:color="auto"/>
        <w:left w:val="none" w:sz="0" w:space="0" w:color="auto"/>
        <w:bottom w:val="none" w:sz="0" w:space="0" w:color="auto"/>
        <w:right w:val="none" w:sz="0" w:space="0" w:color="auto"/>
      </w:divBdr>
    </w:div>
    <w:div w:id="521020317">
      <w:bodyDiv w:val="1"/>
      <w:marLeft w:val="0"/>
      <w:marRight w:val="0"/>
      <w:marTop w:val="0"/>
      <w:marBottom w:val="0"/>
      <w:divBdr>
        <w:top w:val="none" w:sz="0" w:space="0" w:color="auto"/>
        <w:left w:val="none" w:sz="0" w:space="0" w:color="auto"/>
        <w:bottom w:val="none" w:sz="0" w:space="0" w:color="auto"/>
        <w:right w:val="none" w:sz="0" w:space="0" w:color="auto"/>
      </w:divBdr>
    </w:div>
    <w:div w:id="521021131">
      <w:bodyDiv w:val="1"/>
      <w:marLeft w:val="0"/>
      <w:marRight w:val="0"/>
      <w:marTop w:val="0"/>
      <w:marBottom w:val="0"/>
      <w:divBdr>
        <w:top w:val="none" w:sz="0" w:space="0" w:color="auto"/>
        <w:left w:val="none" w:sz="0" w:space="0" w:color="auto"/>
        <w:bottom w:val="none" w:sz="0" w:space="0" w:color="auto"/>
        <w:right w:val="none" w:sz="0" w:space="0" w:color="auto"/>
      </w:divBdr>
    </w:div>
    <w:div w:id="521164534">
      <w:bodyDiv w:val="1"/>
      <w:marLeft w:val="0"/>
      <w:marRight w:val="0"/>
      <w:marTop w:val="0"/>
      <w:marBottom w:val="0"/>
      <w:divBdr>
        <w:top w:val="none" w:sz="0" w:space="0" w:color="auto"/>
        <w:left w:val="none" w:sz="0" w:space="0" w:color="auto"/>
        <w:bottom w:val="none" w:sz="0" w:space="0" w:color="auto"/>
        <w:right w:val="none" w:sz="0" w:space="0" w:color="auto"/>
      </w:divBdr>
    </w:div>
    <w:div w:id="521166148">
      <w:bodyDiv w:val="1"/>
      <w:marLeft w:val="0"/>
      <w:marRight w:val="0"/>
      <w:marTop w:val="0"/>
      <w:marBottom w:val="0"/>
      <w:divBdr>
        <w:top w:val="none" w:sz="0" w:space="0" w:color="auto"/>
        <w:left w:val="none" w:sz="0" w:space="0" w:color="auto"/>
        <w:bottom w:val="none" w:sz="0" w:space="0" w:color="auto"/>
        <w:right w:val="none" w:sz="0" w:space="0" w:color="auto"/>
      </w:divBdr>
    </w:div>
    <w:div w:id="521170881">
      <w:bodyDiv w:val="1"/>
      <w:marLeft w:val="0"/>
      <w:marRight w:val="0"/>
      <w:marTop w:val="0"/>
      <w:marBottom w:val="0"/>
      <w:divBdr>
        <w:top w:val="none" w:sz="0" w:space="0" w:color="auto"/>
        <w:left w:val="none" w:sz="0" w:space="0" w:color="auto"/>
        <w:bottom w:val="none" w:sz="0" w:space="0" w:color="auto"/>
        <w:right w:val="none" w:sz="0" w:space="0" w:color="auto"/>
      </w:divBdr>
    </w:div>
    <w:div w:id="521209254">
      <w:bodyDiv w:val="1"/>
      <w:marLeft w:val="0"/>
      <w:marRight w:val="0"/>
      <w:marTop w:val="0"/>
      <w:marBottom w:val="0"/>
      <w:divBdr>
        <w:top w:val="none" w:sz="0" w:space="0" w:color="auto"/>
        <w:left w:val="none" w:sz="0" w:space="0" w:color="auto"/>
        <w:bottom w:val="none" w:sz="0" w:space="0" w:color="auto"/>
        <w:right w:val="none" w:sz="0" w:space="0" w:color="auto"/>
      </w:divBdr>
    </w:div>
    <w:div w:id="521282779">
      <w:bodyDiv w:val="1"/>
      <w:marLeft w:val="0"/>
      <w:marRight w:val="0"/>
      <w:marTop w:val="0"/>
      <w:marBottom w:val="0"/>
      <w:divBdr>
        <w:top w:val="none" w:sz="0" w:space="0" w:color="auto"/>
        <w:left w:val="none" w:sz="0" w:space="0" w:color="auto"/>
        <w:bottom w:val="none" w:sz="0" w:space="0" w:color="auto"/>
        <w:right w:val="none" w:sz="0" w:space="0" w:color="auto"/>
      </w:divBdr>
    </w:div>
    <w:div w:id="521361678">
      <w:bodyDiv w:val="1"/>
      <w:marLeft w:val="0"/>
      <w:marRight w:val="0"/>
      <w:marTop w:val="0"/>
      <w:marBottom w:val="0"/>
      <w:divBdr>
        <w:top w:val="none" w:sz="0" w:space="0" w:color="auto"/>
        <w:left w:val="none" w:sz="0" w:space="0" w:color="auto"/>
        <w:bottom w:val="none" w:sz="0" w:space="0" w:color="auto"/>
        <w:right w:val="none" w:sz="0" w:space="0" w:color="auto"/>
      </w:divBdr>
    </w:div>
    <w:div w:id="521478082">
      <w:bodyDiv w:val="1"/>
      <w:marLeft w:val="0"/>
      <w:marRight w:val="0"/>
      <w:marTop w:val="0"/>
      <w:marBottom w:val="0"/>
      <w:divBdr>
        <w:top w:val="none" w:sz="0" w:space="0" w:color="auto"/>
        <w:left w:val="none" w:sz="0" w:space="0" w:color="auto"/>
        <w:bottom w:val="none" w:sz="0" w:space="0" w:color="auto"/>
        <w:right w:val="none" w:sz="0" w:space="0" w:color="auto"/>
      </w:divBdr>
    </w:div>
    <w:div w:id="521478844">
      <w:bodyDiv w:val="1"/>
      <w:marLeft w:val="0"/>
      <w:marRight w:val="0"/>
      <w:marTop w:val="0"/>
      <w:marBottom w:val="0"/>
      <w:divBdr>
        <w:top w:val="none" w:sz="0" w:space="0" w:color="auto"/>
        <w:left w:val="none" w:sz="0" w:space="0" w:color="auto"/>
        <w:bottom w:val="none" w:sz="0" w:space="0" w:color="auto"/>
        <w:right w:val="none" w:sz="0" w:space="0" w:color="auto"/>
      </w:divBdr>
    </w:div>
    <w:div w:id="521550864">
      <w:bodyDiv w:val="1"/>
      <w:marLeft w:val="0"/>
      <w:marRight w:val="0"/>
      <w:marTop w:val="0"/>
      <w:marBottom w:val="0"/>
      <w:divBdr>
        <w:top w:val="none" w:sz="0" w:space="0" w:color="auto"/>
        <w:left w:val="none" w:sz="0" w:space="0" w:color="auto"/>
        <w:bottom w:val="none" w:sz="0" w:space="0" w:color="auto"/>
        <w:right w:val="none" w:sz="0" w:space="0" w:color="auto"/>
      </w:divBdr>
    </w:div>
    <w:div w:id="521554063">
      <w:bodyDiv w:val="1"/>
      <w:marLeft w:val="0"/>
      <w:marRight w:val="0"/>
      <w:marTop w:val="0"/>
      <w:marBottom w:val="0"/>
      <w:divBdr>
        <w:top w:val="none" w:sz="0" w:space="0" w:color="auto"/>
        <w:left w:val="none" w:sz="0" w:space="0" w:color="auto"/>
        <w:bottom w:val="none" w:sz="0" w:space="0" w:color="auto"/>
        <w:right w:val="none" w:sz="0" w:space="0" w:color="auto"/>
      </w:divBdr>
    </w:div>
    <w:div w:id="521669487">
      <w:bodyDiv w:val="1"/>
      <w:marLeft w:val="0"/>
      <w:marRight w:val="0"/>
      <w:marTop w:val="0"/>
      <w:marBottom w:val="0"/>
      <w:divBdr>
        <w:top w:val="none" w:sz="0" w:space="0" w:color="auto"/>
        <w:left w:val="none" w:sz="0" w:space="0" w:color="auto"/>
        <w:bottom w:val="none" w:sz="0" w:space="0" w:color="auto"/>
        <w:right w:val="none" w:sz="0" w:space="0" w:color="auto"/>
      </w:divBdr>
    </w:div>
    <w:div w:id="521743943">
      <w:bodyDiv w:val="1"/>
      <w:marLeft w:val="0"/>
      <w:marRight w:val="0"/>
      <w:marTop w:val="0"/>
      <w:marBottom w:val="0"/>
      <w:divBdr>
        <w:top w:val="none" w:sz="0" w:space="0" w:color="auto"/>
        <w:left w:val="none" w:sz="0" w:space="0" w:color="auto"/>
        <w:bottom w:val="none" w:sz="0" w:space="0" w:color="auto"/>
        <w:right w:val="none" w:sz="0" w:space="0" w:color="auto"/>
      </w:divBdr>
    </w:div>
    <w:div w:id="521937328">
      <w:bodyDiv w:val="1"/>
      <w:marLeft w:val="0"/>
      <w:marRight w:val="0"/>
      <w:marTop w:val="0"/>
      <w:marBottom w:val="0"/>
      <w:divBdr>
        <w:top w:val="none" w:sz="0" w:space="0" w:color="auto"/>
        <w:left w:val="none" w:sz="0" w:space="0" w:color="auto"/>
        <w:bottom w:val="none" w:sz="0" w:space="0" w:color="auto"/>
        <w:right w:val="none" w:sz="0" w:space="0" w:color="auto"/>
      </w:divBdr>
    </w:div>
    <w:div w:id="522090126">
      <w:bodyDiv w:val="1"/>
      <w:marLeft w:val="0"/>
      <w:marRight w:val="0"/>
      <w:marTop w:val="0"/>
      <w:marBottom w:val="0"/>
      <w:divBdr>
        <w:top w:val="none" w:sz="0" w:space="0" w:color="auto"/>
        <w:left w:val="none" w:sz="0" w:space="0" w:color="auto"/>
        <w:bottom w:val="none" w:sz="0" w:space="0" w:color="auto"/>
        <w:right w:val="none" w:sz="0" w:space="0" w:color="auto"/>
      </w:divBdr>
    </w:div>
    <w:div w:id="522131964">
      <w:bodyDiv w:val="1"/>
      <w:marLeft w:val="0"/>
      <w:marRight w:val="0"/>
      <w:marTop w:val="0"/>
      <w:marBottom w:val="0"/>
      <w:divBdr>
        <w:top w:val="none" w:sz="0" w:space="0" w:color="auto"/>
        <w:left w:val="none" w:sz="0" w:space="0" w:color="auto"/>
        <w:bottom w:val="none" w:sz="0" w:space="0" w:color="auto"/>
        <w:right w:val="none" w:sz="0" w:space="0" w:color="auto"/>
      </w:divBdr>
    </w:div>
    <w:div w:id="522285785">
      <w:bodyDiv w:val="1"/>
      <w:marLeft w:val="0"/>
      <w:marRight w:val="0"/>
      <w:marTop w:val="0"/>
      <w:marBottom w:val="0"/>
      <w:divBdr>
        <w:top w:val="none" w:sz="0" w:space="0" w:color="auto"/>
        <w:left w:val="none" w:sz="0" w:space="0" w:color="auto"/>
        <w:bottom w:val="none" w:sz="0" w:space="0" w:color="auto"/>
        <w:right w:val="none" w:sz="0" w:space="0" w:color="auto"/>
      </w:divBdr>
    </w:div>
    <w:div w:id="522329369">
      <w:bodyDiv w:val="1"/>
      <w:marLeft w:val="0"/>
      <w:marRight w:val="0"/>
      <w:marTop w:val="0"/>
      <w:marBottom w:val="0"/>
      <w:divBdr>
        <w:top w:val="none" w:sz="0" w:space="0" w:color="auto"/>
        <w:left w:val="none" w:sz="0" w:space="0" w:color="auto"/>
        <w:bottom w:val="none" w:sz="0" w:space="0" w:color="auto"/>
        <w:right w:val="none" w:sz="0" w:space="0" w:color="auto"/>
      </w:divBdr>
    </w:div>
    <w:div w:id="522477580">
      <w:bodyDiv w:val="1"/>
      <w:marLeft w:val="0"/>
      <w:marRight w:val="0"/>
      <w:marTop w:val="0"/>
      <w:marBottom w:val="0"/>
      <w:divBdr>
        <w:top w:val="none" w:sz="0" w:space="0" w:color="auto"/>
        <w:left w:val="none" w:sz="0" w:space="0" w:color="auto"/>
        <w:bottom w:val="none" w:sz="0" w:space="0" w:color="auto"/>
        <w:right w:val="none" w:sz="0" w:space="0" w:color="auto"/>
      </w:divBdr>
    </w:div>
    <w:div w:id="522479329">
      <w:bodyDiv w:val="1"/>
      <w:marLeft w:val="0"/>
      <w:marRight w:val="0"/>
      <w:marTop w:val="0"/>
      <w:marBottom w:val="0"/>
      <w:divBdr>
        <w:top w:val="none" w:sz="0" w:space="0" w:color="auto"/>
        <w:left w:val="none" w:sz="0" w:space="0" w:color="auto"/>
        <w:bottom w:val="none" w:sz="0" w:space="0" w:color="auto"/>
        <w:right w:val="none" w:sz="0" w:space="0" w:color="auto"/>
      </w:divBdr>
    </w:div>
    <w:div w:id="522668343">
      <w:bodyDiv w:val="1"/>
      <w:marLeft w:val="0"/>
      <w:marRight w:val="0"/>
      <w:marTop w:val="0"/>
      <w:marBottom w:val="0"/>
      <w:divBdr>
        <w:top w:val="none" w:sz="0" w:space="0" w:color="auto"/>
        <w:left w:val="none" w:sz="0" w:space="0" w:color="auto"/>
        <w:bottom w:val="none" w:sz="0" w:space="0" w:color="auto"/>
        <w:right w:val="none" w:sz="0" w:space="0" w:color="auto"/>
      </w:divBdr>
    </w:div>
    <w:div w:id="522668907">
      <w:bodyDiv w:val="1"/>
      <w:marLeft w:val="0"/>
      <w:marRight w:val="0"/>
      <w:marTop w:val="0"/>
      <w:marBottom w:val="0"/>
      <w:divBdr>
        <w:top w:val="none" w:sz="0" w:space="0" w:color="auto"/>
        <w:left w:val="none" w:sz="0" w:space="0" w:color="auto"/>
        <w:bottom w:val="none" w:sz="0" w:space="0" w:color="auto"/>
        <w:right w:val="none" w:sz="0" w:space="0" w:color="auto"/>
      </w:divBdr>
    </w:div>
    <w:div w:id="522746318">
      <w:bodyDiv w:val="1"/>
      <w:marLeft w:val="0"/>
      <w:marRight w:val="0"/>
      <w:marTop w:val="0"/>
      <w:marBottom w:val="0"/>
      <w:divBdr>
        <w:top w:val="none" w:sz="0" w:space="0" w:color="auto"/>
        <w:left w:val="none" w:sz="0" w:space="0" w:color="auto"/>
        <w:bottom w:val="none" w:sz="0" w:space="0" w:color="auto"/>
        <w:right w:val="none" w:sz="0" w:space="0" w:color="auto"/>
      </w:divBdr>
    </w:div>
    <w:div w:id="522935886">
      <w:bodyDiv w:val="1"/>
      <w:marLeft w:val="0"/>
      <w:marRight w:val="0"/>
      <w:marTop w:val="0"/>
      <w:marBottom w:val="0"/>
      <w:divBdr>
        <w:top w:val="none" w:sz="0" w:space="0" w:color="auto"/>
        <w:left w:val="none" w:sz="0" w:space="0" w:color="auto"/>
        <w:bottom w:val="none" w:sz="0" w:space="0" w:color="auto"/>
        <w:right w:val="none" w:sz="0" w:space="0" w:color="auto"/>
      </w:divBdr>
    </w:div>
    <w:div w:id="522940035">
      <w:bodyDiv w:val="1"/>
      <w:marLeft w:val="0"/>
      <w:marRight w:val="0"/>
      <w:marTop w:val="0"/>
      <w:marBottom w:val="0"/>
      <w:divBdr>
        <w:top w:val="none" w:sz="0" w:space="0" w:color="auto"/>
        <w:left w:val="none" w:sz="0" w:space="0" w:color="auto"/>
        <w:bottom w:val="none" w:sz="0" w:space="0" w:color="auto"/>
        <w:right w:val="none" w:sz="0" w:space="0" w:color="auto"/>
      </w:divBdr>
    </w:div>
    <w:div w:id="522944111">
      <w:bodyDiv w:val="1"/>
      <w:marLeft w:val="0"/>
      <w:marRight w:val="0"/>
      <w:marTop w:val="0"/>
      <w:marBottom w:val="0"/>
      <w:divBdr>
        <w:top w:val="none" w:sz="0" w:space="0" w:color="auto"/>
        <w:left w:val="none" w:sz="0" w:space="0" w:color="auto"/>
        <w:bottom w:val="none" w:sz="0" w:space="0" w:color="auto"/>
        <w:right w:val="none" w:sz="0" w:space="0" w:color="auto"/>
      </w:divBdr>
    </w:div>
    <w:div w:id="522944155">
      <w:bodyDiv w:val="1"/>
      <w:marLeft w:val="0"/>
      <w:marRight w:val="0"/>
      <w:marTop w:val="0"/>
      <w:marBottom w:val="0"/>
      <w:divBdr>
        <w:top w:val="none" w:sz="0" w:space="0" w:color="auto"/>
        <w:left w:val="none" w:sz="0" w:space="0" w:color="auto"/>
        <w:bottom w:val="none" w:sz="0" w:space="0" w:color="auto"/>
        <w:right w:val="none" w:sz="0" w:space="0" w:color="auto"/>
      </w:divBdr>
    </w:div>
    <w:div w:id="522980509">
      <w:bodyDiv w:val="1"/>
      <w:marLeft w:val="0"/>
      <w:marRight w:val="0"/>
      <w:marTop w:val="0"/>
      <w:marBottom w:val="0"/>
      <w:divBdr>
        <w:top w:val="none" w:sz="0" w:space="0" w:color="auto"/>
        <w:left w:val="none" w:sz="0" w:space="0" w:color="auto"/>
        <w:bottom w:val="none" w:sz="0" w:space="0" w:color="auto"/>
        <w:right w:val="none" w:sz="0" w:space="0" w:color="auto"/>
      </w:divBdr>
    </w:div>
    <w:div w:id="522981508">
      <w:bodyDiv w:val="1"/>
      <w:marLeft w:val="0"/>
      <w:marRight w:val="0"/>
      <w:marTop w:val="0"/>
      <w:marBottom w:val="0"/>
      <w:divBdr>
        <w:top w:val="none" w:sz="0" w:space="0" w:color="auto"/>
        <w:left w:val="none" w:sz="0" w:space="0" w:color="auto"/>
        <w:bottom w:val="none" w:sz="0" w:space="0" w:color="auto"/>
        <w:right w:val="none" w:sz="0" w:space="0" w:color="auto"/>
      </w:divBdr>
    </w:div>
    <w:div w:id="523055271">
      <w:bodyDiv w:val="1"/>
      <w:marLeft w:val="0"/>
      <w:marRight w:val="0"/>
      <w:marTop w:val="0"/>
      <w:marBottom w:val="0"/>
      <w:divBdr>
        <w:top w:val="none" w:sz="0" w:space="0" w:color="auto"/>
        <w:left w:val="none" w:sz="0" w:space="0" w:color="auto"/>
        <w:bottom w:val="none" w:sz="0" w:space="0" w:color="auto"/>
        <w:right w:val="none" w:sz="0" w:space="0" w:color="auto"/>
      </w:divBdr>
    </w:div>
    <w:div w:id="523132495">
      <w:bodyDiv w:val="1"/>
      <w:marLeft w:val="0"/>
      <w:marRight w:val="0"/>
      <w:marTop w:val="0"/>
      <w:marBottom w:val="0"/>
      <w:divBdr>
        <w:top w:val="none" w:sz="0" w:space="0" w:color="auto"/>
        <w:left w:val="none" w:sz="0" w:space="0" w:color="auto"/>
        <w:bottom w:val="none" w:sz="0" w:space="0" w:color="auto"/>
        <w:right w:val="none" w:sz="0" w:space="0" w:color="auto"/>
      </w:divBdr>
    </w:div>
    <w:div w:id="523178032">
      <w:bodyDiv w:val="1"/>
      <w:marLeft w:val="0"/>
      <w:marRight w:val="0"/>
      <w:marTop w:val="0"/>
      <w:marBottom w:val="0"/>
      <w:divBdr>
        <w:top w:val="none" w:sz="0" w:space="0" w:color="auto"/>
        <w:left w:val="none" w:sz="0" w:space="0" w:color="auto"/>
        <w:bottom w:val="none" w:sz="0" w:space="0" w:color="auto"/>
        <w:right w:val="none" w:sz="0" w:space="0" w:color="auto"/>
      </w:divBdr>
    </w:div>
    <w:div w:id="523250008">
      <w:bodyDiv w:val="1"/>
      <w:marLeft w:val="0"/>
      <w:marRight w:val="0"/>
      <w:marTop w:val="0"/>
      <w:marBottom w:val="0"/>
      <w:divBdr>
        <w:top w:val="none" w:sz="0" w:space="0" w:color="auto"/>
        <w:left w:val="none" w:sz="0" w:space="0" w:color="auto"/>
        <w:bottom w:val="none" w:sz="0" w:space="0" w:color="auto"/>
        <w:right w:val="none" w:sz="0" w:space="0" w:color="auto"/>
      </w:divBdr>
    </w:div>
    <w:div w:id="523371655">
      <w:bodyDiv w:val="1"/>
      <w:marLeft w:val="0"/>
      <w:marRight w:val="0"/>
      <w:marTop w:val="0"/>
      <w:marBottom w:val="0"/>
      <w:divBdr>
        <w:top w:val="none" w:sz="0" w:space="0" w:color="auto"/>
        <w:left w:val="none" w:sz="0" w:space="0" w:color="auto"/>
        <w:bottom w:val="none" w:sz="0" w:space="0" w:color="auto"/>
        <w:right w:val="none" w:sz="0" w:space="0" w:color="auto"/>
      </w:divBdr>
    </w:div>
    <w:div w:id="523439670">
      <w:bodyDiv w:val="1"/>
      <w:marLeft w:val="0"/>
      <w:marRight w:val="0"/>
      <w:marTop w:val="0"/>
      <w:marBottom w:val="0"/>
      <w:divBdr>
        <w:top w:val="none" w:sz="0" w:space="0" w:color="auto"/>
        <w:left w:val="none" w:sz="0" w:space="0" w:color="auto"/>
        <w:bottom w:val="none" w:sz="0" w:space="0" w:color="auto"/>
        <w:right w:val="none" w:sz="0" w:space="0" w:color="auto"/>
      </w:divBdr>
    </w:div>
    <w:div w:id="523523284">
      <w:bodyDiv w:val="1"/>
      <w:marLeft w:val="0"/>
      <w:marRight w:val="0"/>
      <w:marTop w:val="0"/>
      <w:marBottom w:val="0"/>
      <w:divBdr>
        <w:top w:val="none" w:sz="0" w:space="0" w:color="auto"/>
        <w:left w:val="none" w:sz="0" w:space="0" w:color="auto"/>
        <w:bottom w:val="none" w:sz="0" w:space="0" w:color="auto"/>
        <w:right w:val="none" w:sz="0" w:space="0" w:color="auto"/>
      </w:divBdr>
    </w:div>
    <w:div w:id="523591422">
      <w:bodyDiv w:val="1"/>
      <w:marLeft w:val="0"/>
      <w:marRight w:val="0"/>
      <w:marTop w:val="0"/>
      <w:marBottom w:val="0"/>
      <w:divBdr>
        <w:top w:val="none" w:sz="0" w:space="0" w:color="auto"/>
        <w:left w:val="none" w:sz="0" w:space="0" w:color="auto"/>
        <w:bottom w:val="none" w:sz="0" w:space="0" w:color="auto"/>
        <w:right w:val="none" w:sz="0" w:space="0" w:color="auto"/>
      </w:divBdr>
    </w:div>
    <w:div w:id="523595947">
      <w:bodyDiv w:val="1"/>
      <w:marLeft w:val="0"/>
      <w:marRight w:val="0"/>
      <w:marTop w:val="0"/>
      <w:marBottom w:val="0"/>
      <w:divBdr>
        <w:top w:val="none" w:sz="0" w:space="0" w:color="auto"/>
        <w:left w:val="none" w:sz="0" w:space="0" w:color="auto"/>
        <w:bottom w:val="none" w:sz="0" w:space="0" w:color="auto"/>
        <w:right w:val="none" w:sz="0" w:space="0" w:color="auto"/>
      </w:divBdr>
    </w:div>
    <w:div w:id="523633146">
      <w:bodyDiv w:val="1"/>
      <w:marLeft w:val="0"/>
      <w:marRight w:val="0"/>
      <w:marTop w:val="0"/>
      <w:marBottom w:val="0"/>
      <w:divBdr>
        <w:top w:val="none" w:sz="0" w:space="0" w:color="auto"/>
        <w:left w:val="none" w:sz="0" w:space="0" w:color="auto"/>
        <w:bottom w:val="none" w:sz="0" w:space="0" w:color="auto"/>
        <w:right w:val="none" w:sz="0" w:space="0" w:color="auto"/>
      </w:divBdr>
    </w:div>
    <w:div w:id="523636446">
      <w:bodyDiv w:val="1"/>
      <w:marLeft w:val="0"/>
      <w:marRight w:val="0"/>
      <w:marTop w:val="0"/>
      <w:marBottom w:val="0"/>
      <w:divBdr>
        <w:top w:val="none" w:sz="0" w:space="0" w:color="auto"/>
        <w:left w:val="none" w:sz="0" w:space="0" w:color="auto"/>
        <w:bottom w:val="none" w:sz="0" w:space="0" w:color="auto"/>
        <w:right w:val="none" w:sz="0" w:space="0" w:color="auto"/>
      </w:divBdr>
    </w:div>
    <w:div w:id="523709102">
      <w:bodyDiv w:val="1"/>
      <w:marLeft w:val="0"/>
      <w:marRight w:val="0"/>
      <w:marTop w:val="0"/>
      <w:marBottom w:val="0"/>
      <w:divBdr>
        <w:top w:val="none" w:sz="0" w:space="0" w:color="auto"/>
        <w:left w:val="none" w:sz="0" w:space="0" w:color="auto"/>
        <w:bottom w:val="none" w:sz="0" w:space="0" w:color="auto"/>
        <w:right w:val="none" w:sz="0" w:space="0" w:color="auto"/>
      </w:divBdr>
    </w:div>
    <w:div w:id="523712160">
      <w:bodyDiv w:val="1"/>
      <w:marLeft w:val="0"/>
      <w:marRight w:val="0"/>
      <w:marTop w:val="0"/>
      <w:marBottom w:val="0"/>
      <w:divBdr>
        <w:top w:val="none" w:sz="0" w:space="0" w:color="auto"/>
        <w:left w:val="none" w:sz="0" w:space="0" w:color="auto"/>
        <w:bottom w:val="none" w:sz="0" w:space="0" w:color="auto"/>
        <w:right w:val="none" w:sz="0" w:space="0" w:color="auto"/>
      </w:divBdr>
    </w:div>
    <w:div w:id="523785748">
      <w:bodyDiv w:val="1"/>
      <w:marLeft w:val="0"/>
      <w:marRight w:val="0"/>
      <w:marTop w:val="0"/>
      <w:marBottom w:val="0"/>
      <w:divBdr>
        <w:top w:val="none" w:sz="0" w:space="0" w:color="auto"/>
        <w:left w:val="none" w:sz="0" w:space="0" w:color="auto"/>
        <w:bottom w:val="none" w:sz="0" w:space="0" w:color="auto"/>
        <w:right w:val="none" w:sz="0" w:space="0" w:color="auto"/>
      </w:divBdr>
    </w:div>
    <w:div w:id="523977066">
      <w:bodyDiv w:val="1"/>
      <w:marLeft w:val="0"/>
      <w:marRight w:val="0"/>
      <w:marTop w:val="0"/>
      <w:marBottom w:val="0"/>
      <w:divBdr>
        <w:top w:val="none" w:sz="0" w:space="0" w:color="auto"/>
        <w:left w:val="none" w:sz="0" w:space="0" w:color="auto"/>
        <w:bottom w:val="none" w:sz="0" w:space="0" w:color="auto"/>
        <w:right w:val="none" w:sz="0" w:space="0" w:color="auto"/>
      </w:divBdr>
    </w:div>
    <w:div w:id="523980858">
      <w:bodyDiv w:val="1"/>
      <w:marLeft w:val="0"/>
      <w:marRight w:val="0"/>
      <w:marTop w:val="0"/>
      <w:marBottom w:val="0"/>
      <w:divBdr>
        <w:top w:val="none" w:sz="0" w:space="0" w:color="auto"/>
        <w:left w:val="none" w:sz="0" w:space="0" w:color="auto"/>
        <w:bottom w:val="none" w:sz="0" w:space="0" w:color="auto"/>
        <w:right w:val="none" w:sz="0" w:space="0" w:color="auto"/>
      </w:divBdr>
    </w:div>
    <w:div w:id="524025937">
      <w:bodyDiv w:val="1"/>
      <w:marLeft w:val="0"/>
      <w:marRight w:val="0"/>
      <w:marTop w:val="0"/>
      <w:marBottom w:val="0"/>
      <w:divBdr>
        <w:top w:val="none" w:sz="0" w:space="0" w:color="auto"/>
        <w:left w:val="none" w:sz="0" w:space="0" w:color="auto"/>
        <w:bottom w:val="none" w:sz="0" w:space="0" w:color="auto"/>
        <w:right w:val="none" w:sz="0" w:space="0" w:color="auto"/>
      </w:divBdr>
    </w:div>
    <w:div w:id="524365958">
      <w:bodyDiv w:val="1"/>
      <w:marLeft w:val="0"/>
      <w:marRight w:val="0"/>
      <w:marTop w:val="0"/>
      <w:marBottom w:val="0"/>
      <w:divBdr>
        <w:top w:val="none" w:sz="0" w:space="0" w:color="auto"/>
        <w:left w:val="none" w:sz="0" w:space="0" w:color="auto"/>
        <w:bottom w:val="none" w:sz="0" w:space="0" w:color="auto"/>
        <w:right w:val="none" w:sz="0" w:space="0" w:color="auto"/>
      </w:divBdr>
    </w:div>
    <w:div w:id="524562799">
      <w:bodyDiv w:val="1"/>
      <w:marLeft w:val="0"/>
      <w:marRight w:val="0"/>
      <w:marTop w:val="0"/>
      <w:marBottom w:val="0"/>
      <w:divBdr>
        <w:top w:val="none" w:sz="0" w:space="0" w:color="auto"/>
        <w:left w:val="none" w:sz="0" w:space="0" w:color="auto"/>
        <w:bottom w:val="none" w:sz="0" w:space="0" w:color="auto"/>
        <w:right w:val="none" w:sz="0" w:space="0" w:color="auto"/>
      </w:divBdr>
    </w:div>
    <w:div w:id="524563132">
      <w:bodyDiv w:val="1"/>
      <w:marLeft w:val="0"/>
      <w:marRight w:val="0"/>
      <w:marTop w:val="0"/>
      <w:marBottom w:val="0"/>
      <w:divBdr>
        <w:top w:val="none" w:sz="0" w:space="0" w:color="auto"/>
        <w:left w:val="none" w:sz="0" w:space="0" w:color="auto"/>
        <w:bottom w:val="none" w:sz="0" w:space="0" w:color="auto"/>
        <w:right w:val="none" w:sz="0" w:space="0" w:color="auto"/>
      </w:divBdr>
    </w:div>
    <w:div w:id="524639611">
      <w:bodyDiv w:val="1"/>
      <w:marLeft w:val="0"/>
      <w:marRight w:val="0"/>
      <w:marTop w:val="0"/>
      <w:marBottom w:val="0"/>
      <w:divBdr>
        <w:top w:val="none" w:sz="0" w:space="0" w:color="auto"/>
        <w:left w:val="none" w:sz="0" w:space="0" w:color="auto"/>
        <w:bottom w:val="none" w:sz="0" w:space="0" w:color="auto"/>
        <w:right w:val="none" w:sz="0" w:space="0" w:color="auto"/>
      </w:divBdr>
    </w:div>
    <w:div w:id="524710768">
      <w:bodyDiv w:val="1"/>
      <w:marLeft w:val="0"/>
      <w:marRight w:val="0"/>
      <w:marTop w:val="0"/>
      <w:marBottom w:val="0"/>
      <w:divBdr>
        <w:top w:val="none" w:sz="0" w:space="0" w:color="auto"/>
        <w:left w:val="none" w:sz="0" w:space="0" w:color="auto"/>
        <w:bottom w:val="none" w:sz="0" w:space="0" w:color="auto"/>
        <w:right w:val="none" w:sz="0" w:space="0" w:color="auto"/>
      </w:divBdr>
    </w:div>
    <w:div w:id="524712711">
      <w:bodyDiv w:val="1"/>
      <w:marLeft w:val="0"/>
      <w:marRight w:val="0"/>
      <w:marTop w:val="0"/>
      <w:marBottom w:val="0"/>
      <w:divBdr>
        <w:top w:val="none" w:sz="0" w:space="0" w:color="auto"/>
        <w:left w:val="none" w:sz="0" w:space="0" w:color="auto"/>
        <w:bottom w:val="none" w:sz="0" w:space="0" w:color="auto"/>
        <w:right w:val="none" w:sz="0" w:space="0" w:color="auto"/>
      </w:divBdr>
    </w:div>
    <w:div w:id="524758217">
      <w:bodyDiv w:val="1"/>
      <w:marLeft w:val="0"/>
      <w:marRight w:val="0"/>
      <w:marTop w:val="0"/>
      <w:marBottom w:val="0"/>
      <w:divBdr>
        <w:top w:val="none" w:sz="0" w:space="0" w:color="auto"/>
        <w:left w:val="none" w:sz="0" w:space="0" w:color="auto"/>
        <w:bottom w:val="none" w:sz="0" w:space="0" w:color="auto"/>
        <w:right w:val="none" w:sz="0" w:space="0" w:color="auto"/>
      </w:divBdr>
    </w:div>
    <w:div w:id="524906178">
      <w:bodyDiv w:val="1"/>
      <w:marLeft w:val="0"/>
      <w:marRight w:val="0"/>
      <w:marTop w:val="0"/>
      <w:marBottom w:val="0"/>
      <w:divBdr>
        <w:top w:val="none" w:sz="0" w:space="0" w:color="auto"/>
        <w:left w:val="none" w:sz="0" w:space="0" w:color="auto"/>
        <w:bottom w:val="none" w:sz="0" w:space="0" w:color="auto"/>
        <w:right w:val="none" w:sz="0" w:space="0" w:color="auto"/>
      </w:divBdr>
    </w:div>
    <w:div w:id="524944610">
      <w:bodyDiv w:val="1"/>
      <w:marLeft w:val="0"/>
      <w:marRight w:val="0"/>
      <w:marTop w:val="0"/>
      <w:marBottom w:val="0"/>
      <w:divBdr>
        <w:top w:val="none" w:sz="0" w:space="0" w:color="auto"/>
        <w:left w:val="none" w:sz="0" w:space="0" w:color="auto"/>
        <w:bottom w:val="none" w:sz="0" w:space="0" w:color="auto"/>
        <w:right w:val="none" w:sz="0" w:space="0" w:color="auto"/>
      </w:divBdr>
    </w:div>
    <w:div w:id="524945028">
      <w:bodyDiv w:val="1"/>
      <w:marLeft w:val="0"/>
      <w:marRight w:val="0"/>
      <w:marTop w:val="0"/>
      <w:marBottom w:val="0"/>
      <w:divBdr>
        <w:top w:val="none" w:sz="0" w:space="0" w:color="auto"/>
        <w:left w:val="none" w:sz="0" w:space="0" w:color="auto"/>
        <w:bottom w:val="none" w:sz="0" w:space="0" w:color="auto"/>
        <w:right w:val="none" w:sz="0" w:space="0" w:color="auto"/>
      </w:divBdr>
    </w:div>
    <w:div w:id="525018358">
      <w:bodyDiv w:val="1"/>
      <w:marLeft w:val="0"/>
      <w:marRight w:val="0"/>
      <w:marTop w:val="0"/>
      <w:marBottom w:val="0"/>
      <w:divBdr>
        <w:top w:val="none" w:sz="0" w:space="0" w:color="auto"/>
        <w:left w:val="none" w:sz="0" w:space="0" w:color="auto"/>
        <w:bottom w:val="none" w:sz="0" w:space="0" w:color="auto"/>
        <w:right w:val="none" w:sz="0" w:space="0" w:color="auto"/>
      </w:divBdr>
    </w:div>
    <w:div w:id="525021713">
      <w:bodyDiv w:val="1"/>
      <w:marLeft w:val="0"/>
      <w:marRight w:val="0"/>
      <w:marTop w:val="0"/>
      <w:marBottom w:val="0"/>
      <w:divBdr>
        <w:top w:val="none" w:sz="0" w:space="0" w:color="auto"/>
        <w:left w:val="none" w:sz="0" w:space="0" w:color="auto"/>
        <w:bottom w:val="none" w:sz="0" w:space="0" w:color="auto"/>
        <w:right w:val="none" w:sz="0" w:space="0" w:color="auto"/>
      </w:divBdr>
    </w:div>
    <w:div w:id="525026240">
      <w:bodyDiv w:val="1"/>
      <w:marLeft w:val="0"/>
      <w:marRight w:val="0"/>
      <w:marTop w:val="0"/>
      <w:marBottom w:val="0"/>
      <w:divBdr>
        <w:top w:val="none" w:sz="0" w:space="0" w:color="auto"/>
        <w:left w:val="none" w:sz="0" w:space="0" w:color="auto"/>
        <w:bottom w:val="none" w:sz="0" w:space="0" w:color="auto"/>
        <w:right w:val="none" w:sz="0" w:space="0" w:color="auto"/>
      </w:divBdr>
    </w:div>
    <w:div w:id="525289038">
      <w:bodyDiv w:val="1"/>
      <w:marLeft w:val="0"/>
      <w:marRight w:val="0"/>
      <w:marTop w:val="0"/>
      <w:marBottom w:val="0"/>
      <w:divBdr>
        <w:top w:val="none" w:sz="0" w:space="0" w:color="auto"/>
        <w:left w:val="none" w:sz="0" w:space="0" w:color="auto"/>
        <w:bottom w:val="none" w:sz="0" w:space="0" w:color="auto"/>
        <w:right w:val="none" w:sz="0" w:space="0" w:color="auto"/>
      </w:divBdr>
    </w:div>
    <w:div w:id="525289708">
      <w:bodyDiv w:val="1"/>
      <w:marLeft w:val="0"/>
      <w:marRight w:val="0"/>
      <w:marTop w:val="0"/>
      <w:marBottom w:val="0"/>
      <w:divBdr>
        <w:top w:val="none" w:sz="0" w:space="0" w:color="auto"/>
        <w:left w:val="none" w:sz="0" w:space="0" w:color="auto"/>
        <w:bottom w:val="none" w:sz="0" w:space="0" w:color="auto"/>
        <w:right w:val="none" w:sz="0" w:space="0" w:color="auto"/>
      </w:divBdr>
    </w:div>
    <w:div w:id="525368598">
      <w:bodyDiv w:val="1"/>
      <w:marLeft w:val="0"/>
      <w:marRight w:val="0"/>
      <w:marTop w:val="0"/>
      <w:marBottom w:val="0"/>
      <w:divBdr>
        <w:top w:val="none" w:sz="0" w:space="0" w:color="auto"/>
        <w:left w:val="none" w:sz="0" w:space="0" w:color="auto"/>
        <w:bottom w:val="none" w:sz="0" w:space="0" w:color="auto"/>
        <w:right w:val="none" w:sz="0" w:space="0" w:color="auto"/>
      </w:divBdr>
    </w:div>
    <w:div w:id="525483680">
      <w:bodyDiv w:val="1"/>
      <w:marLeft w:val="0"/>
      <w:marRight w:val="0"/>
      <w:marTop w:val="0"/>
      <w:marBottom w:val="0"/>
      <w:divBdr>
        <w:top w:val="none" w:sz="0" w:space="0" w:color="auto"/>
        <w:left w:val="none" w:sz="0" w:space="0" w:color="auto"/>
        <w:bottom w:val="none" w:sz="0" w:space="0" w:color="auto"/>
        <w:right w:val="none" w:sz="0" w:space="0" w:color="auto"/>
      </w:divBdr>
    </w:div>
    <w:div w:id="525558681">
      <w:bodyDiv w:val="1"/>
      <w:marLeft w:val="0"/>
      <w:marRight w:val="0"/>
      <w:marTop w:val="0"/>
      <w:marBottom w:val="0"/>
      <w:divBdr>
        <w:top w:val="none" w:sz="0" w:space="0" w:color="auto"/>
        <w:left w:val="none" w:sz="0" w:space="0" w:color="auto"/>
        <w:bottom w:val="none" w:sz="0" w:space="0" w:color="auto"/>
        <w:right w:val="none" w:sz="0" w:space="0" w:color="auto"/>
      </w:divBdr>
    </w:div>
    <w:div w:id="525563695">
      <w:bodyDiv w:val="1"/>
      <w:marLeft w:val="0"/>
      <w:marRight w:val="0"/>
      <w:marTop w:val="0"/>
      <w:marBottom w:val="0"/>
      <w:divBdr>
        <w:top w:val="none" w:sz="0" w:space="0" w:color="auto"/>
        <w:left w:val="none" w:sz="0" w:space="0" w:color="auto"/>
        <w:bottom w:val="none" w:sz="0" w:space="0" w:color="auto"/>
        <w:right w:val="none" w:sz="0" w:space="0" w:color="auto"/>
      </w:divBdr>
    </w:div>
    <w:div w:id="525754055">
      <w:bodyDiv w:val="1"/>
      <w:marLeft w:val="0"/>
      <w:marRight w:val="0"/>
      <w:marTop w:val="0"/>
      <w:marBottom w:val="0"/>
      <w:divBdr>
        <w:top w:val="none" w:sz="0" w:space="0" w:color="auto"/>
        <w:left w:val="none" w:sz="0" w:space="0" w:color="auto"/>
        <w:bottom w:val="none" w:sz="0" w:space="0" w:color="auto"/>
        <w:right w:val="none" w:sz="0" w:space="0" w:color="auto"/>
      </w:divBdr>
    </w:div>
    <w:div w:id="525754524">
      <w:bodyDiv w:val="1"/>
      <w:marLeft w:val="0"/>
      <w:marRight w:val="0"/>
      <w:marTop w:val="0"/>
      <w:marBottom w:val="0"/>
      <w:divBdr>
        <w:top w:val="none" w:sz="0" w:space="0" w:color="auto"/>
        <w:left w:val="none" w:sz="0" w:space="0" w:color="auto"/>
        <w:bottom w:val="none" w:sz="0" w:space="0" w:color="auto"/>
        <w:right w:val="none" w:sz="0" w:space="0" w:color="auto"/>
      </w:divBdr>
    </w:div>
    <w:div w:id="525825943">
      <w:bodyDiv w:val="1"/>
      <w:marLeft w:val="0"/>
      <w:marRight w:val="0"/>
      <w:marTop w:val="0"/>
      <w:marBottom w:val="0"/>
      <w:divBdr>
        <w:top w:val="none" w:sz="0" w:space="0" w:color="auto"/>
        <w:left w:val="none" w:sz="0" w:space="0" w:color="auto"/>
        <w:bottom w:val="none" w:sz="0" w:space="0" w:color="auto"/>
        <w:right w:val="none" w:sz="0" w:space="0" w:color="auto"/>
      </w:divBdr>
    </w:div>
    <w:div w:id="525872854">
      <w:bodyDiv w:val="1"/>
      <w:marLeft w:val="0"/>
      <w:marRight w:val="0"/>
      <w:marTop w:val="0"/>
      <w:marBottom w:val="0"/>
      <w:divBdr>
        <w:top w:val="none" w:sz="0" w:space="0" w:color="auto"/>
        <w:left w:val="none" w:sz="0" w:space="0" w:color="auto"/>
        <w:bottom w:val="none" w:sz="0" w:space="0" w:color="auto"/>
        <w:right w:val="none" w:sz="0" w:space="0" w:color="auto"/>
      </w:divBdr>
    </w:div>
    <w:div w:id="526018148">
      <w:bodyDiv w:val="1"/>
      <w:marLeft w:val="0"/>
      <w:marRight w:val="0"/>
      <w:marTop w:val="0"/>
      <w:marBottom w:val="0"/>
      <w:divBdr>
        <w:top w:val="none" w:sz="0" w:space="0" w:color="auto"/>
        <w:left w:val="none" w:sz="0" w:space="0" w:color="auto"/>
        <w:bottom w:val="none" w:sz="0" w:space="0" w:color="auto"/>
        <w:right w:val="none" w:sz="0" w:space="0" w:color="auto"/>
      </w:divBdr>
    </w:div>
    <w:div w:id="526023478">
      <w:bodyDiv w:val="1"/>
      <w:marLeft w:val="0"/>
      <w:marRight w:val="0"/>
      <w:marTop w:val="0"/>
      <w:marBottom w:val="0"/>
      <w:divBdr>
        <w:top w:val="none" w:sz="0" w:space="0" w:color="auto"/>
        <w:left w:val="none" w:sz="0" w:space="0" w:color="auto"/>
        <w:bottom w:val="none" w:sz="0" w:space="0" w:color="auto"/>
        <w:right w:val="none" w:sz="0" w:space="0" w:color="auto"/>
      </w:divBdr>
    </w:div>
    <w:div w:id="526023533">
      <w:bodyDiv w:val="1"/>
      <w:marLeft w:val="0"/>
      <w:marRight w:val="0"/>
      <w:marTop w:val="0"/>
      <w:marBottom w:val="0"/>
      <w:divBdr>
        <w:top w:val="none" w:sz="0" w:space="0" w:color="auto"/>
        <w:left w:val="none" w:sz="0" w:space="0" w:color="auto"/>
        <w:bottom w:val="none" w:sz="0" w:space="0" w:color="auto"/>
        <w:right w:val="none" w:sz="0" w:space="0" w:color="auto"/>
      </w:divBdr>
    </w:div>
    <w:div w:id="526140567">
      <w:bodyDiv w:val="1"/>
      <w:marLeft w:val="0"/>
      <w:marRight w:val="0"/>
      <w:marTop w:val="0"/>
      <w:marBottom w:val="0"/>
      <w:divBdr>
        <w:top w:val="none" w:sz="0" w:space="0" w:color="auto"/>
        <w:left w:val="none" w:sz="0" w:space="0" w:color="auto"/>
        <w:bottom w:val="none" w:sz="0" w:space="0" w:color="auto"/>
        <w:right w:val="none" w:sz="0" w:space="0" w:color="auto"/>
      </w:divBdr>
    </w:div>
    <w:div w:id="526144110">
      <w:bodyDiv w:val="1"/>
      <w:marLeft w:val="0"/>
      <w:marRight w:val="0"/>
      <w:marTop w:val="0"/>
      <w:marBottom w:val="0"/>
      <w:divBdr>
        <w:top w:val="none" w:sz="0" w:space="0" w:color="auto"/>
        <w:left w:val="none" w:sz="0" w:space="0" w:color="auto"/>
        <w:bottom w:val="none" w:sz="0" w:space="0" w:color="auto"/>
        <w:right w:val="none" w:sz="0" w:space="0" w:color="auto"/>
      </w:divBdr>
    </w:div>
    <w:div w:id="526215331">
      <w:bodyDiv w:val="1"/>
      <w:marLeft w:val="0"/>
      <w:marRight w:val="0"/>
      <w:marTop w:val="0"/>
      <w:marBottom w:val="0"/>
      <w:divBdr>
        <w:top w:val="none" w:sz="0" w:space="0" w:color="auto"/>
        <w:left w:val="none" w:sz="0" w:space="0" w:color="auto"/>
        <w:bottom w:val="none" w:sz="0" w:space="0" w:color="auto"/>
        <w:right w:val="none" w:sz="0" w:space="0" w:color="auto"/>
      </w:divBdr>
    </w:div>
    <w:div w:id="526218271">
      <w:bodyDiv w:val="1"/>
      <w:marLeft w:val="0"/>
      <w:marRight w:val="0"/>
      <w:marTop w:val="0"/>
      <w:marBottom w:val="0"/>
      <w:divBdr>
        <w:top w:val="none" w:sz="0" w:space="0" w:color="auto"/>
        <w:left w:val="none" w:sz="0" w:space="0" w:color="auto"/>
        <w:bottom w:val="none" w:sz="0" w:space="0" w:color="auto"/>
        <w:right w:val="none" w:sz="0" w:space="0" w:color="auto"/>
      </w:divBdr>
    </w:div>
    <w:div w:id="526258725">
      <w:bodyDiv w:val="1"/>
      <w:marLeft w:val="0"/>
      <w:marRight w:val="0"/>
      <w:marTop w:val="0"/>
      <w:marBottom w:val="0"/>
      <w:divBdr>
        <w:top w:val="none" w:sz="0" w:space="0" w:color="auto"/>
        <w:left w:val="none" w:sz="0" w:space="0" w:color="auto"/>
        <w:bottom w:val="none" w:sz="0" w:space="0" w:color="auto"/>
        <w:right w:val="none" w:sz="0" w:space="0" w:color="auto"/>
      </w:divBdr>
    </w:div>
    <w:div w:id="526263174">
      <w:bodyDiv w:val="1"/>
      <w:marLeft w:val="0"/>
      <w:marRight w:val="0"/>
      <w:marTop w:val="0"/>
      <w:marBottom w:val="0"/>
      <w:divBdr>
        <w:top w:val="none" w:sz="0" w:space="0" w:color="auto"/>
        <w:left w:val="none" w:sz="0" w:space="0" w:color="auto"/>
        <w:bottom w:val="none" w:sz="0" w:space="0" w:color="auto"/>
        <w:right w:val="none" w:sz="0" w:space="0" w:color="auto"/>
      </w:divBdr>
    </w:div>
    <w:div w:id="526406284">
      <w:bodyDiv w:val="1"/>
      <w:marLeft w:val="0"/>
      <w:marRight w:val="0"/>
      <w:marTop w:val="0"/>
      <w:marBottom w:val="0"/>
      <w:divBdr>
        <w:top w:val="none" w:sz="0" w:space="0" w:color="auto"/>
        <w:left w:val="none" w:sz="0" w:space="0" w:color="auto"/>
        <w:bottom w:val="none" w:sz="0" w:space="0" w:color="auto"/>
        <w:right w:val="none" w:sz="0" w:space="0" w:color="auto"/>
      </w:divBdr>
    </w:div>
    <w:div w:id="526523998">
      <w:bodyDiv w:val="1"/>
      <w:marLeft w:val="0"/>
      <w:marRight w:val="0"/>
      <w:marTop w:val="0"/>
      <w:marBottom w:val="0"/>
      <w:divBdr>
        <w:top w:val="none" w:sz="0" w:space="0" w:color="auto"/>
        <w:left w:val="none" w:sz="0" w:space="0" w:color="auto"/>
        <w:bottom w:val="none" w:sz="0" w:space="0" w:color="auto"/>
        <w:right w:val="none" w:sz="0" w:space="0" w:color="auto"/>
      </w:divBdr>
    </w:div>
    <w:div w:id="526530005">
      <w:bodyDiv w:val="1"/>
      <w:marLeft w:val="0"/>
      <w:marRight w:val="0"/>
      <w:marTop w:val="0"/>
      <w:marBottom w:val="0"/>
      <w:divBdr>
        <w:top w:val="none" w:sz="0" w:space="0" w:color="auto"/>
        <w:left w:val="none" w:sz="0" w:space="0" w:color="auto"/>
        <w:bottom w:val="none" w:sz="0" w:space="0" w:color="auto"/>
        <w:right w:val="none" w:sz="0" w:space="0" w:color="auto"/>
      </w:divBdr>
    </w:div>
    <w:div w:id="526719602">
      <w:bodyDiv w:val="1"/>
      <w:marLeft w:val="0"/>
      <w:marRight w:val="0"/>
      <w:marTop w:val="0"/>
      <w:marBottom w:val="0"/>
      <w:divBdr>
        <w:top w:val="none" w:sz="0" w:space="0" w:color="auto"/>
        <w:left w:val="none" w:sz="0" w:space="0" w:color="auto"/>
        <w:bottom w:val="none" w:sz="0" w:space="0" w:color="auto"/>
        <w:right w:val="none" w:sz="0" w:space="0" w:color="auto"/>
      </w:divBdr>
    </w:div>
    <w:div w:id="526870990">
      <w:bodyDiv w:val="1"/>
      <w:marLeft w:val="0"/>
      <w:marRight w:val="0"/>
      <w:marTop w:val="0"/>
      <w:marBottom w:val="0"/>
      <w:divBdr>
        <w:top w:val="none" w:sz="0" w:space="0" w:color="auto"/>
        <w:left w:val="none" w:sz="0" w:space="0" w:color="auto"/>
        <w:bottom w:val="none" w:sz="0" w:space="0" w:color="auto"/>
        <w:right w:val="none" w:sz="0" w:space="0" w:color="auto"/>
      </w:divBdr>
    </w:div>
    <w:div w:id="526875745">
      <w:bodyDiv w:val="1"/>
      <w:marLeft w:val="0"/>
      <w:marRight w:val="0"/>
      <w:marTop w:val="0"/>
      <w:marBottom w:val="0"/>
      <w:divBdr>
        <w:top w:val="none" w:sz="0" w:space="0" w:color="auto"/>
        <w:left w:val="none" w:sz="0" w:space="0" w:color="auto"/>
        <w:bottom w:val="none" w:sz="0" w:space="0" w:color="auto"/>
        <w:right w:val="none" w:sz="0" w:space="0" w:color="auto"/>
      </w:divBdr>
    </w:div>
    <w:div w:id="526912840">
      <w:bodyDiv w:val="1"/>
      <w:marLeft w:val="0"/>
      <w:marRight w:val="0"/>
      <w:marTop w:val="0"/>
      <w:marBottom w:val="0"/>
      <w:divBdr>
        <w:top w:val="none" w:sz="0" w:space="0" w:color="auto"/>
        <w:left w:val="none" w:sz="0" w:space="0" w:color="auto"/>
        <w:bottom w:val="none" w:sz="0" w:space="0" w:color="auto"/>
        <w:right w:val="none" w:sz="0" w:space="0" w:color="auto"/>
      </w:divBdr>
    </w:div>
    <w:div w:id="526988177">
      <w:bodyDiv w:val="1"/>
      <w:marLeft w:val="0"/>
      <w:marRight w:val="0"/>
      <w:marTop w:val="0"/>
      <w:marBottom w:val="0"/>
      <w:divBdr>
        <w:top w:val="none" w:sz="0" w:space="0" w:color="auto"/>
        <w:left w:val="none" w:sz="0" w:space="0" w:color="auto"/>
        <w:bottom w:val="none" w:sz="0" w:space="0" w:color="auto"/>
        <w:right w:val="none" w:sz="0" w:space="0" w:color="auto"/>
      </w:divBdr>
    </w:div>
    <w:div w:id="526989748">
      <w:bodyDiv w:val="1"/>
      <w:marLeft w:val="0"/>
      <w:marRight w:val="0"/>
      <w:marTop w:val="0"/>
      <w:marBottom w:val="0"/>
      <w:divBdr>
        <w:top w:val="none" w:sz="0" w:space="0" w:color="auto"/>
        <w:left w:val="none" w:sz="0" w:space="0" w:color="auto"/>
        <w:bottom w:val="none" w:sz="0" w:space="0" w:color="auto"/>
        <w:right w:val="none" w:sz="0" w:space="0" w:color="auto"/>
      </w:divBdr>
    </w:div>
    <w:div w:id="526992456">
      <w:bodyDiv w:val="1"/>
      <w:marLeft w:val="0"/>
      <w:marRight w:val="0"/>
      <w:marTop w:val="0"/>
      <w:marBottom w:val="0"/>
      <w:divBdr>
        <w:top w:val="none" w:sz="0" w:space="0" w:color="auto"/>
        <w:left w:val="none" w:sz="0" w:space="0" w:color="auto"/>
        <w:bottom w:val="none" w:sz="0" w:space="0" w:color="auto"/>
        <w:right w:val="none" w:sz="0" w:space="0" w:color="auto"/>
      </w:divBdr>
    </w:div>
    <w:div w:id="527331140">
      <w:bodyDiv w:val="1"/>
      <w:marLeft w:val="0"/>
      <w:marRight w:val="0"/>
      <w:marTop w:val="0"/>
      <w:marBottom w:val="0"/>
      <w:divBdr>
        <w:top w:val="none" w:sz="0" w:space="0" w:color="auto"/>
        <w:left w:val="none" w:sz="0" w:space="0" w:color="auto"/>
        <w:bottom w:val="none" w:sz="0" w:space="0" w:color="auto"/>
        <w:right w:val="none" w:sz="0" w:space="0" w:color="auto"/>
      </w:divBdr>
    </w:div>
    <w:div w:id="527331526">
      <w:bodyDiv w:val="1"/>
      <w:marLeft w:val="0"/>
      <w:marRight w:val="0"/>
      <w:marTop w:val="0"/>
      <w:marBottom w:val="0"/>
      <w:divBdr>
        <w:top w:val="none" w:sz="0" w:space="0" w:color="auto"/>
        <w:left w:val="none" w:sz="0" w:space="0" w:color="auto"/>
        <w:bottom w:val="none" w:sz="0" w:space="0" w:color="auto"/>
        <w:right w:val="none" w:sz="0" w:space="0" w:color="auto"/>
      </w:divBdr>
    </w:div>
    <w:div w:id="527715995">
      <w:bodyDiv w:val="1"/>
      <w:marLeft w:val="0"/>
      <w:marRight w:val="0"/>
      <w:marTop w:val="0"/>
      <w:marBottom w:val="0"/>
      <w:divBdr>
        <w:top w:val="none" w:sz="0" w:space="0" w:color="auto"/>
        <w:left w:val="none" w:sz="0" w:space="0" w:color="auto"/>
        <w:bottom w:val="none" w:sz="0" w:space="0" w:color="auto"/>
        <w:right w:val="none" w:sz="0" w:space="0" w:color="auto"/>
      </w:divBdr>
    </w:div>
    <w:div w:id="527720951">
      <w:bodyDiv w:val="1"/>
      <w:marLeft w:val="0"/>
      <w:marRight w:val="0"/>
      <w:marTop w:val="0"/>
      <w:marBottom w:val="0"/>
      <w:divBdr>
        <w:top w:val="none" w:sz="0" w:space="0" w:color="auto"/>
        <w:left w:val="none" w:sz="0" w:space="0" w:color="auto"/>
        <w:bottom w:val="none" w:sz="0" w:space="0" w:color="auto"/>
        <w:right w:val="none" w:sz="0" w:space="0" w:color="auto"/>
      </w:divBdr>
    </w:div>
    <w:div w:id="527912006">
      <w:bodyDiv w:val="1"/>
      <w:marLeft w:val="0"/>
      <w:marRight w:val="0"/>
      <w:marTop w:val="0"/>
      <w:marBottom w:val="0"/>
      <w:divBdr>
        <w:top w:val="none" w:sz="0" w:space="0" w:color="auto"/>
        <w:left w:val="none" w:sz="0" w:space="0" w:color="auto"/>
        <w:bottom w:val="none" w:sz="0" w:space="0" w:color="auto"/>
        <w:right w:val="none" w:sz="0" w:space="0" w:color="auto"/>
      </w:divBdr>
    </w:div>
    <w:div w:id="527915590">
      <w:bodyDiv w:val="1"/>
      <w:marLeft w:val="0"/>
      <w:marRight w:val="0"/>
      <w:marTop w:val="0"/>
      <w:marBottom w:val="0"/>
      <w:divBdr>
        <w:top w:val="none" w:sz="0" w:space="0" w:color="auto"/>
        <w:left w:val="none" w:sz="0" w:space="0" w:color="auto"/>
        <w:bottom w:val="none" w:sz="0" w:space="0" w:color="auto"/>
        <w:right w:val="none" w:sz="0" w:space="0" w:color="auto"/>
      </w:divBdr>
    </w:div>
    <w:div w:id="527916561">
      <w:bodyDiv w:val="1"/>
      <w:marLeft w:val="0"/>
      <w:marRight w:val="0"/>
      <w:marTop w:val="0"/>
      <w:marBottom w:val="0"/>
      <w:divBdr>
        <w:top w:val="none" w:sz="0" w:space="0" w:color="auto"/>
        <w:left w:val="none" w:sz="0" w:space="0" w:color="auto"/>
        <w:bottom w:val="none" w:sz="0" w:space="0" w:color="auto"/>
        <w:right w:val="none" w:sz="0" w:space="0" w:color="auto"/>
      </w:divBdr>
    </w:div>
    <w:div w:id="527959492">
      <w:bodyDiv w:val="1"/>
      <w:marLeft w:val="0"/>
      <w:marRight w:val="0"/>
      <w:marTop w:val="0"/>
      <w:marBottom w:val="0"/>
      <w:divBdr>
        <w:top w:val="none" w:sz="0" w:space="0" w:color="auto"/>
        <w:left w:val="none" w:sz="0" w:space="0" w:color="auto"/>
        <w:bottom w:val="none" w:sz="0" w:space="0" w:color="auto"/>
        <w:right w:val="none" w:sz="0" w:space="0" w:color="auto"/>
      </w:divBdr>
    </w:div>
    <w:div w:id="527959822">
      <w:bodyDiv w:val="1"/>
      <w:marLeft w:val="0"/>
      <w:marRight w:val="0"/>
      <w:marTop w:val="0"/>
      <w:marBottom w:val="0"/>
      <w:divBdr>
        <w:top w:val="none" w:sz="0" w:space="0" w:color="auto"/>
        <w:left w:val="none" w:sz="0" w:space="0" w:color="auto"/>
        <w:bottom w:val="none" w:sz="0" w:space="0" w:color="auto"/>
        <w:right w:val="none" w:sz="0" w:space="0" w:color="auto"/>
      </w:divBdr>
    </w:div>
    <w:div w:id="528178703">
      <w:bodyDiv w:val="1"/>
      <w:marLeft w:val="0"/>
      <w:marRight w:val="0"/>
      <w:marTop w:val="0"/>
      <w:marBottom w:val="0"/>
      <w:divBdr>
        <w:top w:val="none" w:sz="0" w:space="0" w:color="auto"/>
        <w:left w:val="none" w:sz="0" w:space="0" w:color="auto"/>
        <w:bottom w:val="none" w:sz="0" w:space="0" w:color="auto"/>
        <w:right w:val="none" w:sz="0" w:space="0" w:color="auto"/>
      </w:divBdr>
    </w:div>
    <w:div w:id="528614391">
      <w:bodyDiv w:val="1"/>
      <w:marLeft w:val="0"/>
      <w:marRight w:val="0"/>
      <w:marTop w:val="0"/>
      <w:marBottom w:val="0"/>
      <w:divBdr>
        <w:top w:val="none" w:sz="0" w:space="0" w:color="auto"/>
        <w:left w:val="none" w:sz="0" w:space="0" w:color="auto"/>
        <w:bottom w:val="none" w:sz="0" w:space="0" w:color="auto"/>
        <w:right w:val="none" w:sz="0" w:space="0" w:color="auto"/>
      </w:divBdr>
    </w:div>
    <w:div w:id="528615552">
      <w:bodyDiv w:val="1"/>
      <w:marLeft w:val="0"/>
      <w:marRight w:val="0"/>
      <w:marTop w:val="0"/>
      <w:marBottom w:val="0"/>
      <w:divBdr>
        <w:top w:val="none" w:sz="0" w:space="0" w:color="auto"/>
        <w:left w:val="none" w:sz="0" w:space="0" w:color="auto"/>
        <w:bottom w:val="none" w:sz="0" w:space="0" w:color="auto"/>
        <w:right w:val="none" w:sz="0" w:space="0" w:color="auto"/>
      </w:divBdr>
    </w:div>
    <w:div w:id="528757085">
      <w:bodyDiv w:val="1"/>
      <w:marLeft w:val="0"/>
      <w:marRight w:val="0"/>
      <w:marTop w:val="0"/>
      <w:marBottom w:val="0"/>
      <w:divBdr>
        <w:top w:val="none" w:sz="0" w:space="0" w:color="auto"/>
        <w:left w:val="none" w:sz="0" w:space="0" w:color="auto"/>
        <w:bottom w:val="none" w:sz="0" w:space="0" w:color="auto"/>
        <w:right w:val="none" w:sz="0" w:space="0" w:color="auto"/>
      </w:divBdr>
    </w:div>
    <w:div w:id="528762500">
      <w:bodyDiv w:val="1"/>
      <w:marLeft w:val="0"/>
      <w:marRight w:val="0"/>
      <w:marTop w:val="0"/>
      <w:marBottom w:val="0"/>
      <w:divBdr>
        <w:top w:val="none" w:sz="0" w:space="0" w:color="auto"/>
        <w:left w:val="none" w:sz="0" w:space="0" w:color="auto"/>
        <w:bottom w:val="none" w:sz="0" w:space="0" w:color="auto"/>
        <w:right w:val="none" w:sz="0" w:space="0" w:color="auto"/>
      </w:divBdr>
    </w:div>
    <w:div w:id="528763292">
      <w:bodyDiv w:val="1"/>
      <w:marLeft w:val="0"/>
      <w:marRight w:val="0"/>
      <w:marTop w:val="0"/>
      <w:marBottom w:val="0"/>
      <w:divBdr>
        <w:top w:val="none" w:sz="0" w:space="0" w:color="auto"/>
        <w:left w:val="none" w:sz="0" w:space="0" w:color="auto"/>
        <w:bottom w:val="none" w:sz="0" w:space="0" w:color="auto"/>
        <w:right w:val="none" w:sz="0" w:space="0" w:color="auto"/>
      </w:divBdr>
    </w:div>
    <w:div w:id="528765258">
      <w:bodyDiv w:val="1"/>
      <w:marLeft w:val="0"/>
      <w:marRight w:val="0"/>
      <w:marTop w:val="0"/>
      <w:marBottom w:val="0"/>
      <w:divBdr>
        <w:top w:val="none" w:sz="0" w:space="0" w:color="auto"/>
        <w:left w:val="none" w:sz="0" w:space="0" w:color="auto"/>
        <w:bottom w:val="none" w:sz="0" w:space="0" w:color="auto"/>
        <w:right w:val="none" w:sz="0" w:space="0" w:color="auto"/>
      </w:divBdr>
    </w:div>
    <w:div w:id="528876125">
      <w:bodyDiv w:val="1"/>
      <w:marLeft w:val="0"/>
      <w:marRight w:val="0"/>
      <w:marTop w:val="0"/>
      <w:marBottom w:val="0"/>
      <w:divBdr>
        <w:top w:val="none" w:sz="0" w:space="0" w:color="auto"/>
        <w:left w:val="none" w:sz="0" w:space="0" w:color="auto"/>
        <w:bottom w:val="none" w:sz="0" w:space="0" w:color="auto"/>
        <w:right w:val="none" w:sz="0" w:space="0" w:color="auto"/>
      </w:divBdr>
    </w:div>
    <w:div w:id="528881278">
      <w:bodyDiv w:val="1"/>
      <w:marLeft w:val="0"/>
      <w:marRight w:val="0"/>
      <w:marTop w:val="0"/>
      <w:marBottom w:val="0"/>
      <w:divBdr>
        <w:top w:val="none" w:sz="0" w:space="0" w:color="auto"/>
        <w:left w:val="none" w:sz="0" w:space="0" w:color="auto"/>
        <w:bottom w:val="none" w:sz="0" w:space="0" w:color="auto"/>
        <w:right w:val="none" w:sz="0" w:space="0" w:color="auto"/>
      </w:divBdr>
    </w:div>
    <w:div w:id="529218825">
      <w:bodyDiv w:val="1"/>
      <w:marLeft w:val="0"/>
      <w:marRight w:val="0"/>
      <w:marTop w:val="0"/>
      <w:marBottom w:val="0"/>
      <w:divBdr>
        <w:top w:val="none" w:sz="0" w:space="0" w:color="auto"/>
        <w:left w:val="none" w:sz="0" w:space="0" w:color="auto"/>
        <w:bottom w:val="none" w:sz="0" w:space="0" w:color="auto"/>
        <w:right w:val="none" w:sz="0" w:space="0" w:color="auto"/>
      </w:divBdr>
    </w:div>
    <w:div w:id="529337783">
      <w:bodyDiv w:val="1"/>
      <w:marLeft w:val="0"/>
      <w:marRight w:val="0"/>
      <w:marTop w:val="0"/>
      <w:marBottom w:val="0"/>
      <w:divBdr>
        <w:top w:val="none" w:sz="0" w:space="0" w:color="auto"/>
        <w:left w:val="none" w:sz="0" w:space="0" w:color="auto"/>
        <w:bottom w:val="none" w:sz="0" w:space="0" w:color="auto"/>
        <w:right w:val="none" w:sz="0" w:space="0" w:color="auto"/>
      </w:divBdr>
    </w:div>
    <w:div w:id="529341877">
      <w:bodyDiv w:val="1"/>
      <w:marLeft w:val="0"/>
      <w:marRight w:val="0"/>
      <w:marTop w:val="0"/>
      <w:marBottom w:val="0"/>
      <w:divBdr>
        <w:top w:val="none" w:sz="0" w:space="0" w:color="auto"/>
        <w:left w:val="none" w:sz="0" w:space="0" w:color="auto"/>
        <w:bottom w:val="none" w:sz="0" w:space="0" w:color="auto"/>
        <w:right w:val="none" w:sz="0" w:space="0" w:color="auto"/>
      </w:divBdr>
    </w:div>
    <w:div w:id="529805796">
      <w:bodyDiv w:val="1"/>
      <w:marLeft w:val="0"/>
      <w:marRight w:val="0"/>
      <w:marTop w:val="0"/>
      <w:marBottom w:val="0"/>
      <w:divBdr>
        <w:top w:val="none" w:sz="0" w:space="0" w:color="auto"/>
        <w:left w:val="none" w:sz="0" w:space="0" w:color="auto"/>
        <w:bottom w:val="none" w:sz="0" w:space="0" w:color="auto"/>
        <w:right w:val="none" w:sz="0" w:space="0" w:color="auto"/>
      </w:divBdr>
    </w:div>
    <w:div w:id="529874411">
      <w:bodyDiv w:val="1"/>
      <w:marLeft w:val="0"/>
      <w:marRight w:val="0"/>
      <w:marTop w:val="0"/>
      <w:marBottom w:val="0"/>
      <w:divBdr>
        <w:top w:val="none" w:sz="0" w:space="0" w:color="auto"/>
        <w:left w:val="none" w:sz="0" w:space="0" w:color="auto"/>
        <w:bottom w:val="none" w:sz="0" w:space="0" w:color="auto"/>
        <w:right w:val="none" w:sz="0" w:space="0" w:color="auto"/>
      </w:divBdr>
    </w:div>
    <w:div w:id="529879960">
      <w:bodyDiv w:val="1"/>
      <w:marLeft w:val="0"/>
      <w:marRight w:val="0"/>
      <w:marTop w:val="0"/>
      <w:marBottom w:val="0"/>
      <w:divBdr>
        <w:top w:val="none" w:sz="0" w:space="0" w:color="auto"/>
        <w:left w:val="none" w:sz="0" w:space="0" w:color="auto"/>
        <w:bottom w:val="none" w:sz="0" w:space="0" w:color="auto"/>
        <w:right w:val="none" w:sz="0" w:space="0" w:color="auto"/>
      </w:divBdr>
    </w:div>
    <w:div w:id="530143430">
      <w:bodyDiv w:val="1"/>
      <w:marLeft w:val="0"/>
      <w:marRight w:val="0"/>
      <w:marTop w:val="0"/>
      <w:marBottom w:val="0"/>
      <w:divBdr>
        <w:top w:val="none" w:sz="0" w:space="0" w:color="auto"/>
        <w:left w:val="none" w:sz="0" w:space="0" w:color="auto"/>
        <w:bottom w:val="none" w:sz="0" w:space="0" w:color="auto"/>
        <w:right w:val="none" w:sz="0" w:space="0" w:color="auto"/>
      </w:divBdr>
    </w:div>
    <w:div w:id="530145215">
      <w:bodyDiv w:val="1"/>
      <w:marLeft w:val="0"/>
      <w:marRight w:val="0"/>
      <w:marTop w:val="0"/>
      <w:marBottom w:val="0"/>
      <w:divBdr>
        <w:top w:val="none" w:sz="0" w:space="0" w:color="auto"/>
        <w:left w:val="none" w:sz="0" w:space="0" w:color="auto"/>
        <w:bottom w:val="none" w:sz="0" w:space="0" w:color="auto"/>
        <w:right w:val="none" w:sz="0" w:space="0" w:color="auto"/>
      </w:divBdr>
    </w:div>
    <w:div w:id="530193093">
      <w:bodyDiv w:val="1"/>
      <w:marLeft w:val="0"/>
      <w:marRight w:val="0"/>
      <w:marTop w:val="0"/>
      <w:marBottom w:val="0"/>
      <w:divBdr>
        <w:top w:val="none" w:sz="0" w:space="0" w:color="auto"/>
        <w:left w:val="none" w:sz="0" w:space="0" w:color="auto"/>
        <w:bottom w:val="none" w:sz="0" w:space="0" w:color="auto"/>
        <w:right w:val="none" w:sz="0" w:space="0" w:color="auto"/>
      </w:divBdr>
    </w:div>
    <w:div w:id="530454397">
      <w:bodyDiv w:val="1"/>
      <w:marLeft w:val="0"/>
      <w:marRight w:val="0"/>
      <w:marTop w:val="0"/>
      <w:marBottom w:val="0"/>
      <w:divBdr>
        <w:top w:val="none" w:sz="0" w:space="0" w:color="auto"/>
        <w:left w:val="none" w:sz="0" w:space="0" w:color="auto"/>
        <w:bottom w:val="none" w:sz="0" w:space="0" w:color="auto"/>
        <w:right w:val="none" w:sz="0" w:space="0" w:color="auto"/>
      </w:divBdr>
    </w:div>
    <w:div w:id="530655202">
      <w:bodyDiv w:val="1"/>
      <w:marLeft w:val="0"/>
      <w:marRight w:val="0"/>
      <w:marTop w:val="0"/>
      <w:marBottom w:val="0"/>
      <w:divBdr>
        <w:top w:val="none" w:sz="0" w:space="0" w:color="auto"/>
        <w:left w:val="none" w:sz="0" w:space="0" w:color="auto"/>
        <w:bottom w:val="none" w:sz="0" w:space="0" w:color="auto"/>
        <w:right w:val="none" w:sz="0" w:space="0" w:color="auto"/>
      </w:divBdr>
    </w:div>
    <w:div w:id="530655889">
      <w:bodyDiv w:val="1"/>
      <w:marLeft w:val="0"/>
      <w:marRight w:val="0"/>
      <w:marTop w:val="0"/>
      <w:marBottom w:val="0"/>
      <w:divBdr>
        <w:top w:val="none" w:sz="0" w:space="0" w:color="auto"/>
        <w:left w:val="none" w:sz="0" w:space="0" w:color="auto"/>
        <w:bottom w:val="none" w:sz="0" w:space="0" w:color="auto"/>
        <w:right w:val="none" w:sz="0" w:space="0" w:color="auto"/>
      </w:divBdr>
    </w:div>
    <w:div w:id="530728719">
      <w:bodyDiv w:val="1"/>
      <w:marLeft w:val="0"/>
      <w:marRight w:val="0"/>
      <w:marTop w:val="0"/>
      <w:marBottom w:val="0"/>
      <w:divBdr>
        <w:top w:val="none" w:sz="0" w:space="0" w:color="auto"/>
        <w:left w:val="none" w:sz="0" w:space="0" w:color="auto"/>
        <w:bottom w:val="none" w:sz="0" w:space="0" w:color="auto"/>
        <w:right w:val="none" w:sz="0" w:space="0" w:color="auto"/>
      </w:divBdr>
    </w:div>
    <w:div w:id="530798716">
      <w:bodyDiv w:val="1"/>
      <w:marLeft w:val="0"/>
      <w:marRight w:val="0"/>
      <w:marTop w:val="0"/>
      <w:marBottom w:val="0"/>
      <w:divBdr>
        <w:top w:val="none" w:sz="0" w:space="0" w:color="auto"/>
        <w:left w:val="none" w:sz="0" w:space="0" w:color="auto"/>
        <w:bottom w:val="none" w:sz="0" w:space="0" w:color="auto"/>
        <w:right w:val="none" w:sz="0" w:space="0" w:color="auto"/>
      </w:divBdr>
    </w:div>
    <w:div w:id="530807127">
      <w:bodyDiv w:val="1"/>
      <w:marLeft w:val="0"/>
      <w:marRight w:val="0"/>
      <w:marTop w:val="0"/>
      <w:marBottom w:val="0"/>
      <w:divBdr>
        <w:top w:val="none" w:sz="0" w:space="0" w:color="auto"/>
        <w:left w:val="none" w:sz="0" w:space="0" w:color="auto"/>
        <w:bottom w:val="none" w:sz="0" w:space="0" w:color="auto"/>
        <w:right w:val="none" w:sz="0" w:space="0" w:color="auto"/>
      </w:divBdr>
    </w:div>
    <w:div w:id="530847127">
      <w:bodyDiv w:val="1"/>
      <w:marLeft w:val="0"/>
      <w:marRight w:val="0"/>
      <w:marTop w:val="0"/>
      <w:marBottom w:val="0"/>
      <w:divBdr>
        <w:top w:val="none" w:sz="0" w:space="0" w:color="auto"/>
        <w:left w:val="none" w:sz="0" w:space="0" w:color="auto"/>
        <w:bottom w:val="none" w:sz="0" w:space="0" w:color="auto"/>
        <w:right w:val="none" w:sz="0" w:space="0" w:color="auto"/>
      </w:divBdr>
    </w:div>
    <w:div w:id="530847557">
      <w:bodyDiv w:val="1"/>
      <w:marLeft w:val="0"/>
      <w:marRight w:val="0"/>
      <w:marTop w:val="0"/>
      <w:marBottom w:val="0"/>
      <w:divBdr>
        <w:top w:val="none" w:sz="0" w:space="0" w:color="auto"/>
        <w:left w:val="none" w:sz="0" w:space="0" w:color="auto"/>
        <w:bottom w:val="none" w:sz="0" w:space="0" w:color="auto"/>
        <w:right w:val="none" w:sz="0" w:space="0" w:color="auto"/>
      </w:divBdr>
    </w:div>
    <w:div w:id="530919779">
      <w:bodyDiv w:val="1"/>
      <w:marLeft w:val="0"/>
      <w:marRight w:val="0"/>
      <w:marTop w:val="0"/>
      <w:marBottom w:val="0"/>
      <w:divBdr>
        <w:top w:val="none" w:sz="0" w:space="0" w:color="auto"/>
        <w:left w:val="none" w:sz="0" w:space="0" w:color="auto"/>
        <w:bottom w:val="none" w:sz="0" w:space="0" w:color="auto"/>
        <w:right w:val="none" w:sz="0" w:space="0" w:color="auto"/>
      </w:divBdr>
    </w:div>
    <w:div w:id="531000293">
      <w:bodyDiv w:val="1"/>
      <w:marLeft w:val="0"/>
      <w:marRight w:val="0"/>
      <w:marTop w:val="0"/>
      <w:marBottom w:val="0"/>
      <w:divBdr>
        <w:top w:val="none" w:sz="0" w:space="0" w:color="auto"/>
        <w:left w:val="none" w:sz="0" w:space="0" w:color="auto"/>
        <w:bottom w:val="none" w:sz="0" w:space="0" w:color="auto"/>
        <w:right w:val="none" w:sz="0" w:space="0" w:color="auto"/>
      </w:divBdr>
    </w:div>
    <w:div w:id="531000360">
      <w:bodyDiv w:val="1"/>
      <w:marLeft w:val="0"/>
      <w:marRight w:val="0"/>
      <w:marTop w:val="0"/>
      <w:marBottom w:val="0"/>
      <w:divBdr>
        <w:top w:val="none" w:sz="0" w:space="0" w:color="auto"/>
        <w:left w:val="none" w:sz="0" w:space="0" w:color="auto"/>
        <w:bottom w:val="none" w:sz="0" w:space="0" w:color="auto"/>
        <w:right w:val="none" w:sz="0" w:space="0" w:color="auto"/>
      </w:divBdr>
    </w:div>
    <w:div w:id="531042228">
      <w:bodyDiv w:val="1"/>
      <w:marLeft w:val="0"/>
      <w:marRight w:val="0"/>
      <w:marTop w:val="0"/>
      <w:marBottom w:val="0"/>
      <w:divBdr>
        <w:top w:val="none" w:sz="0" w:space="0" w:color="auto"/>
        <w:left w:val="none" w:sz="0" w:space="0" w:color="auto"/>
        <w:bottom w:val="none" w:sz="0" w:space="0" w:color="auto"/>
        <w:right w:val="none" w:sz="0" w:space="0" w:color="auto"/>
      </w:divBdr>
    </w:div>
    <w:div w:id="531069769">
      <w:bodyDiv w:val="1"/>
      <w:marLeft w:val="0"/>
      <w:marRight w:val="0"/>
      <w:marTop w:val="0"/>
      <w:marBottom w:val="0"/>
      <w:divBdr>
        <w:top w:val="none" w:sz="0" w:space="0" w:color="auto"/>
        <w:left w:val="none" w:sz="0" w:space="0" w:color="auto"/>
        <w:bottom w:val="none" w:sz="0" w:space="0" w:color="auto"/>
        <w:right w:val="none" w:sz="0" w:space="0" w:color="auto"/>
      </w:divBdr>
    </w:div>
    <w:div w:id="531188456">
      <w:bodyDiv w:val="1"/>
      <w:marLeft w:val="0"/>
      <w:marRight w:val="0"/>
      <w:marTop w:val="0"/>
      <w:marBottom w:val="0"/>
      <w:divBdr>
        <w:top w:val="none" w:sz="0" w:space="0" w:color="auto"/>
        <w:left w:val="none" w:sz="0" w:space="0" w:color="auto"/>
        <w:bottom w:val="none" w:sz="0" w:space="0" w:color="auto"/>
        <w:right w:val="none" w:sz="0" w:space="0" w:color="auto"/>
      </w:divBdr>
    </w:div>
    <w:div w:id="531190714">
      <w:bodyDiv w:val="1"/>
      <w:marLeft w:val="0"/>
      <w:marRight w:val="0"/>
      <w:marTop w:val="0"/>
      <w:marBottom w:val="0"/>
      <w:divBdr>
        <w:top w:val="none" w:sz="0" w:space="0" w:color="auto"/>
        <w:left w:val="none" w:sz="0" w:space="0" w:color="auto"/>
        <w:bottom w:val="none" w:sz="0" w:space="0" w:color="auto"/>
        <w:right w:val="none" w:sz="0" w:space="0" w:color="auto"/>
      </w:divBdr>
    </w:div>
    <w:div w:id="531235372">
      <w:bodyDiv w:val="1"/>
      <w:marLeft w:val="0"/>
      <w:marRight w:val="0"/>
      <w:marTop w:val="0"/>
      <w:marBottom w:val="0"/>
      <w:divBdr>
        <w:top w:val="none" w:sz="0" w:space="0" w:color="auto"/>
        <w:left w:val="none" w:sz="0" w:space="0" w:color="auto"/>
        <w:bottom w:val="none" w:sz="0" w:space="0" w:color="auto"/>
        <w:right w:val="none" w:sz="0" w:space="0" w:color="auto"/>
      </w:divBdr>
    </w:div>
    <w:div w:id="531386585">
      <w:bodyDiv w:val="1"/>
      <w:marLeft w:val="0"/>
      <w:marRight w:val="0"/>
      <w:marTop w:val="0"/>
      <w:marBottom w:val="0"/>
      <w:divBdr>
        <w:top w:val="none" w:sz="0" w:space="0" w:color="auto"/>
        <w:left w:val="none" w:sz="0" w:space="0" w:color="auto"/>
        <w:bottom w:val="none" w:sz="0" w:space="0" w:color="auto"/>
        <w:right w:val="none" w:sz="0" w:space="0" w:color="auto"/>
      </w:divBdr>
    </w:div>
    <w:div w:id="531502673">
      <w:bodyDiv w:val="1"/>
      <w:marLeft w:val="0"/>
      <w:marRight w:val="0"/>
      <w:marTop w:val="0"/>
      <w:marBottom w:val="0"/>
      <w:divBdr>
        <w:top w:val="none" w:sz="0" w:space="0" w:color="auto"/>
        <w:left w:val="none" w:sz="0" w:space="0" w:color="auto"/>
        <w:bottom w:val="none" w:sz="0" w:space="0" w:color="auto"/>
        <w:right w:val="none" w:sz="0" w:space="0" w:color="auto"/>
      </w:divBdr>
    </w:div>
    <w:div w:id="531504655">
      <w:bodyDiv w:val="1"/>
      <w:marLeft w:val="0"/>
      <w:marRight w:val="0"/>
      <w:marTop w:val="0"/>
      <w:marBottom w:val="0"/>
      <w:divBdr>
        <w:top w:val="none" w:sz="0" w:space="0" w:color="auto"/>
        <w:left w:val="none" w:sz="0" w:space="0" w:color="auto"/>
        <w:bottom w:val="none" w:sz="0" w:space="0" w:color="auto"/>
        <w:right w:val="none" w:sz="0" w:space="0" w:color="auto"/>
      </w:divBdr>
    </w:div>
    <w:div w:id="531648403">
      <w:bodyDiv w:val="1"/>
      <w:marLeft w:val="0"/>
      <w:marRight w:val="0"/>
      <w:marTop w:val="0"/>
      <w:marBottom w:val="0"/>
      <w:divBdr>
        <w:top w:val="none" w:sz="0" w:space="0" w:color="auto"/>
        <w:left w:val="none" w:sz="0" w:space="0" w:color="auto"/>
        <w:bottom w:val="none" w:sz="0" w:space="0" w:color="auto"/>
        <w:right w:val="none" w:sz="0" w:space="0" w:color="auto"/>
      </w:divBdr>
    </w:div>
    <w:div w:id="531696747">
      <w:bodyDiv w:val="1"/>
      <w:marLeft w:val="0"/>
      <w:marRight w:val="0"/>
      <w:marTop w:val="0"/>
      <w:marBottom w:val="0"/>
      <w:divBdr>
        <w:top w:val="none" w:sz="0" w:space="0" w:color="auto"/>
        <w:left w:val="none" w:sz="0" w:space="0" w:color="auto"/>
        <w:bottom w:val="none" w:sz="0" w:space="0" w:color="auto"/>
        <w:right w:val="none" w:sz="0" w:space="0" w:color="auto"/>
      </w:divBdr>
    </w:div>
    <w:div w:id="531774056">
      <w:bodyDiv w:val="1"/>
      <w:marLeft w:val="0"/>
      <w:marRight w:val="0"/>
      <w:marTop w:val="0"/>
      <w:marBottom w:val="0"/>
      <w:divBdr>
        <w:top w:val="none" w:sz="0" w:space="0" w:color="auto"/>
        <w:left w:val="none" w:sz="0" w:space="0" w:color="auto"/>
        <w:bottom w:val="none" w:sz="0" w:space="0" w:color="auto"/>
        <w:right w:val="none" w:sz="0" w:space="0" w:color="auto"/>
      </w:divBdr>
    </w:div>
    <w:div w:id="531890537">
      <w:bodyDiv w:val="1"/>
      <w:marLeft w:val="0"/>
      <w:marRight w:val="0"/>
      <w:marTop w:val="0"/>
      <w:marBottom w:val="0"/>
      <w:divBdr>
        <w:top w:val="none" w:sz="0" w:space="0" w:color="auto"/>
        <w:left w:val="none" w:sz="0" w:space="0" w:color="auto"/>
        <w:bottom w:val="none" w:sz="0" w:space="0" w:color="auto"/>
        <w:right w:val="none" w:sz="0" w:space="0" w:color="auto"/>
      </w:divBdr>
    </w:div>
    <w:div w:id="532038126">
      <w:bodyDiv w:val="1"/>
      <w:marLeft w:val="0"/>
      <w:marRight w:val="0"/>
      <w:marTop w:val="0"/>
      <w:marBottom w:val="0"/>
      <w:divBdr>
        <w:top w:val="none" w:sz="0" w:space="0" w:color="auto"/>
        <w:left w:val="none" w:sz="0" w:space="0" w:color="auto"/>
        <w:bottom w:val="none" w:sz="0" w:space="0" w:color="auto"/>
        <w:right w:val="none" w:sz="0" w:space="0" w:color="auto"/>
      </w:divBdr>
    </w:div>
    <w:div w:id="532040369">
      <w:bodyDiv w:val="1"/>
      <w:marLeft w:val="0"/>
      <w:marRight w:val="0"/>
      <w:marTop w:val="0"/>
      <w:marBottom w:val="0"/>
      <w:divBdr>
        <w:top w:val="none" w:sz="0" w:space="0" w:color="auto"/>
        <w:left w:val="none" w:sz="0" w:space="0" w:color="auto"/>
        <w:bottom w:val="none" w:sz="0" w:space="0" w:color="auto"/>
        <w:right w:val="none" w:sz="0" w:space="0" w:color="auto"/>
      </w:divBdr>
    </w:div>
    <w:div w:id="532111659">
      <w:bodyDiv w:val="1"/>
      <w:marLeft w:val="0"/>
      <w:marRight w:val="0"/>
      <w:marTop w:val="0"/>
      <w:marBottom w:val="0"/>
      <w:divBdr>
        <w:top w:val="none" w:sz="0" w:space="0" w:color="auto"/>
        <w:left w:val="none" w:sz="0" w:space="0" w:color="auto"/>
        <w:bottom w:val="none" w:sz="0" w:space="0" w:color="auto"/>
        <w:right w:val="none" w:sz="0" w:space="0" w:color="auto"/>
      </w:divBdr>
    </w:div>
    <w:div w:id="532116723">
      <w:bodyDiv w:val="1"/>
      <w:marLeft w:val="0"/>
      <w:marRight w:val="0"/>
      <w:marTop w:val="0"/>
      <w:marBottom w:val="0"/>
      <w:divBdr>
        <w:top w:val="none" w:sz="0" w:space="0" w:color="auto"/>
        <w:left w:val="none" w:sz="0" w:space="0" w:color="auto"/>
        <w:bottom w:val="none" w:sz="0" w:space="0" w:color="auto"/>
        <w:right w:val="none" w:sz="0" w:space="0" w:color="auto"/>
      </w:divBdr>
    </w:div>
    <w:div w:id="532153956">
      <w:bodyDiv w:val="1"/>
      <w:marLeft w:val="0"/>
      <w:marRight w:val="0"/>
      <w:marTop w:val="0"/>
      <w:marBottom w:val="0"/>
      <w:divBdr>
        <w:top w:val="none" w:sz="0" w:space="0" w:color="auto"/>
        <w:left w:val="none" w:sz="0" w:space="0" w:color="auto"/>
        <w:bottom w:val="none" w:sz="0" w:space="0" w:color="auto"/>
        <w:right w:val="none" w:sz="0" w:space="0" w:color="auto"/>
      </w:divBdr>
    </w:div>
    <w:div w:id="532306645">
      <w:bodyDiv w:val="1"/>
      <w:marLeft w:val="0"/>
      <w:marRight w:val="0"/>
      <w:marTop w:val="0"/>
      <w:marBottom w:val="0"/>
      <w:divBdr>
        <w:top w:val="none" w:sz="0" w:space="0" w:color="auto"/>
        <w:left w:val="none" w:sz="0" w:space="0" w:color="auto"/>
        <w:bottom w:val="none" w:sz="0" w:space="0" w:color="auto"/>
        <w:right w:val="none" w:sz="0" w:space="0" w:color="auto"/>
      </w:divBdr>
    </w:div>
    <w:div w:id="532352477">
      <w:bodyDiv w:val="1"/>
      <w:marLeft w:val="0"/>
      <w:marRight w:val="0"/>
      <w:marTop w:val="0"/>
      <w:marBottom w:val="0"/>
      <w:divBdr>
        <w:top w:val="none" w:sz="0" w:space="0" w:color="auto"/>
        <w:left w:val="none" w:sz="0" w:space="0" w:color="auto"/>
        <w:bottom w:val="none" w:sz="0" w:space="0" w:color="auto"/>
        <w:right w:val="none" w:sz="0" w:space="0" w:color="auto"/>
      </w:divBdr>
    </w:div>
    <w:div w:id="532504025">
      <w:bodyDiv w:val="1"/>
      <w:marLeft w:val="0"/>
      <w:marRight w:val="0"/>
      <w:marTop w:val="0"/>
      <w:marBottom w:val="0"/>
      <w:divBdr>
        <w:top w:val="none" w:sz="0" w:space="0" w:color="auto"/>
        <w:left w:val="none" w:sz="0" w:space="0" w:color="auto"/>
        <w:bottom w:val="none" w:sz="0" w:space="0" w:color="auto"/>
        <w:right w:val="none" w:sz="0" w:space="0" w:color="auto"/>
      </w:divBdr>
    </w:div>
    <w:div w:id="532547032">
      <w:bodyDiv w:val="1"/>
      <w:marLeft w:val="0"/>
      <w:marRight w:val="0"/>
      <w:marTop w:val="0"/>
      <w:marBottom w:val="0"/>
      <w:divBdr>
        <w:top w:val="none" w:sz="0" w:space="0" w:color="auto"/>
        <w:left w:val="none" w:sz="0" w:space="0" w:color="auto"/>
        <w:bottom w:val="none" w:sz="0" w:space="0" w:color="auto"/>
        <w:right w:val="none" w:sz="0" w:space="0" w:color="auto"/>
      </w:divBdr>
    </w:div>
    <w:div w:id="532617660">
      <w:bodyDiv w:val="1"/>
      <w:marLeft w:val="0"/>
      <w:marRight w:val="0"/>
      <w:marTop w:val="0"/>
      <w:marBottom w:val="0"/>
      <w:divBdr>
        <w:top w:val="none" w:sz="0" w:space="0" w:color="auto"/>
        <w:left w:val="none" w:sz="0" w:space="0" w:color="auto"/>
        <w:bottom w:val="none" w:sz="0" w:space="0" w:color="auto"/>
        <w:right w:val="none" w:sz="0" w:space="0" w:color="auto"/>
      </w:divBdr>
    </w:div>
    <w:div w:id="532618368">
      <w:bodyDiv w:val="1"/>
      <w:marLeft w:val="0"/>
      <w:marRight w:val="0"/>
      <w:marTop w:val="0"/>
      <w:marBottom w:val="0"/>
      <w:divBdr>
        <w:top w:val="none" w:sz="0" w:space="0" w:color="auto"/>
        <w:left w:val="none" w:sz="0" w:space="0" w:color="auto"/>
        <w:bottom w:val="none" w:sz="0" w:space="0" w:color="auto"/>
        <w:right w:val="none" w:sz="0" w:space="0" w:color="auto"/>
      </w:divBdr>
    </w:div>
    <w:div w:id="532619107">
      <w:bodyDiv w:val="1"/>
      <w:marLeft w:val="0"/>
      <w:marRight w:val="0"/>
      <w:marTop w:val="0"/>
      <w:marBottom w:val="0"/>
      <w:divBdr>
        <w:top w:val="none" w:sz="0" w:space="0" w:color="auto"/>
        <w:left w:val="none" w:sz="0" w:space="0" w:color="auto"/>
        <w:bottom w:val="none" w:sz="0" w:space="0" w:color="auto"/>
        <w:right w:val="none" w:sz="0" w:space="0" w:color="auto"/>
      </w:divBdr>
    </w:div>
    <w:div w:id="532692912">
      <w:bodyDiv w:val="1"/>
      <w:marLeft w:val="0"/>
      <w:marRight w:val="0"/>
      <w:marTop w:val="0"/>
      <w:marBottom w:val="0"/>
      <w:divBdr>
        <w:top w:val="none" w:sz="0" w:space="0" w:color="auto"/>
        <w:left w:val="none" w:sz="0" w:space="0" w:color="auto"/>
        <w:bottom w:val="none" w:sz="0" w:space="0" w:color="auto"/>
        <w:right w:val="none" w:sz="0" w:space="0" w:color="auto"/>
      </w:divBdr>
    </w:div>
    <w:div w:id="532694116">
      <w:bodyDiv w:val="1"/>
      <w:marLeft w:val="0"/>
      <w:marRight w:val="0"/>
      <w:marTop w:val="0"/>
      <w:marBottom w:val="0"/>
      <w:divBdr>
        <w:top w:val="none" w:sz="0" w:space="0" w:color="auto"/>
        <w:left w:val="none" w:sz="0" w:space="0" w:color="auto"/>
        <w:bottom w:val="none" w:sz="0" w:space="0" w:color="auto"/>
        <w:right w:val="none" w:sz="0" w:space="0" w:color="auto"/>
      </w:divBdr>
    </w:div>
    <w:div w:id="532959893">
      <w:bodyDiv w:val="1"/>
      <w:marLeft w:val="0"/>
      <w:marRight w:val="0"/>
      <w:marTop w:val="0"/>
      <w:marBottom w:val="0"/>
      <w:divBdr>
        <w:top w:val="none" w:sz="0" w:space="0" w:color="auto"/>
        <w:left w:val="none" w:sz="0" w:space="0" w:color="auto"/>
        <w:bottom w:val="none" w:sz="0" w:space="0" w:color="auto"/>
        <w:right w:val="none" w:sz="0" w:space="0" w:color="auto"/>
      </w:divBdr>
    </w:div>
    <w:div w:id="533007218">
      <w:bodyDiv w:val="1"/>
      <w:marLeft w:val="0"/>
      <w:marRight w:val="0"/>
      <w:marTop w:val="0"/>
      <w:marBottom w:val="0"/>
      <w:divBdr>
        <w:top w:val="none" w:sz="0" w:space="0" w:color="auto"/>
        <w:left w:val="none" w:sz="0" w:space="0" w:color="auto"/>
        <w:bottom w:val="none" w:sz="0" w:space="0" w:color="auto"/>
        <w:right w:val="none" w:sz="0" w:space="0" w:color="auto"/>
      </w:divBdr>
    </w:div>
    <w:div w:id="533008658">
      <w:bodyDiv w:val="1"/>
      <w:marLeft w:val="0"/>
      <w:marRight w:val="0"/>
      <w:marTop w:val="0"/>
      <w:marBottom w:val="0"/>
      <w:divBdr>
        <w:top w:val="none" w:sz="0" w:space="0" w:color="auto"/>
        <w:left w:val="none" w:sz="0" w:space="0" w:color="auto"/>
        <w:bottom w:val="none" w:sz="0" w:space="0" w:color="auto"/>
        <w:right w:val="none" w:sz="0" w:space="0" w:color="auto"/>
      </w:divBdr>
    </w:div>
    <w:div w:id="533154316">
      <w:bodyDiv w:val="1"/>
      <w:marLeft w:val="0"/>
      <w:marRight w:val="0"/>
      <w:marTop w:val="0"/>
      <w:marBottom w:val="0"/>
      <w:divBdr>
        <w:top w:val="none" w:sz="0" w:space="0" w:color="auto"/>
        <w:left w:val="none" w:sz="0" w:space="0" w:color="auto"/>
        <w:bottom w:val="none" w:sz="0" w:space="0" w:color="auto"/>
        <w:right w:val="none" w:sz="0" w:space="0" w:color="auto"/>
      </w:divBdr>
    </w:div>
    <w:div w:id="533463627">
      <w:bodyDiv w:val="1"/>
      <w:marLeft w:val="0"/>
      <w:marRight w:val="0"/>
      <w:marTop w:val="0"/>
      <w:marBottom w:val="0"/>
      <w:divBdr>
        <w:top w:val="none" w:sz="0" w:space="0" w:color="auto"/>
        <w:left w:val="none" w:sz="0" w:space="0" w:color="auto"/>
        <w:bottom w:val="none" w:sz="0" w:space="0" w:color="auto"/>
        <w:right w:val="none" w:sz="0" w:space="0" w:color="auto"/>
      </w:divBdr>
    </w:div>
    <w:div w:id="533465043">
      <w:bodyDiv w:val="1"/>
      <w:marLeft w:val="0"/>
      <w:marRight w:val="0"/>
      <w:marTop w:val="0"/>
      <w:marBottom w:val="0"/>
      <w:divBdr>
        <w:top w:val="none" w:sz="0" w:space="0" w:color="auto"/>
        <w:left w:val="none" w:sz="0" w:space="0" w:color="auto"/>
        <w:bottom w:val="none" w:sz="0" w:space="0" w:color="auto"/>
        <w:right w:val="none" w:sz="0" w:space="0" w:color="auto"/>
      </w:divBdr>
    </w:div>
    <w:div w:id="533494294">
      <w:bodyDiv w:val="1"/>
      <w:marLeft w:val="0"/>
      <w:marRight w:val="0"/>
      <w:marTop w:val="0"/>
      <w:marBottom w:val="0"/>
      <w:divBdr>
        <w:top w:val="none" w:sz="0" w:space="0" w:color="auto"/>
        <w:left w:val="none" w:sz="0" w:space="0" w:color="auto"/>
        <w:bottom w:val="none" w:sz="0" w:space="0" w:color="auto"/>
        <w:right w:val="none" w:sz="0" w:space="0" w:color="auto"/>
      </w:divBdr>
    </w:div>
    <w:div w:id="533538873">
      <w:bodyDiv w:val="1"/>
      <w:marLeft w:val="0"/>
      <w:marRight w:val="0"/>
      <w:marTop w:val="0"/>
      <w:marBottom w:val="0"/>
      <w:divBdr>
        <w:top w:val="none" w:sz="0" w:space="0" w:color="auto"/>
        <w:left w:val="none" w:sz="0" w:space="0" w:color="auto"/>
        <w:bottom w:val="none" w:sz="0" w:space="0" w:color="auto"/>
        <w:right w:val="none" w:sz="0" w:space="0" w:color="auto"/>
      </w:divBdr>
    </w:div>
    <w:div w:id="533540089">
      <w:bodyDiv w:val="1"/>
      <w:marLeft w:val="0"/>
      <w:marRight w:val="0"/>
      <w:marTop w:val="0"/>
      <w:marBottom w:val="0"/>
      <w:divBdr>
        <w:top w:val="none" w:sz="0" w:space="0" w:color="auto"/>
        <w:left w:val="none" w:sz="0" w:space="0" w:color="auto"/>
        <w:bottom w:val="none" w:sz="0" w:space="0" w:color="auto"/>
        <w:right w:val="none" w:sz="0" w:space="0" w:color="auto"/>
      </w:divBdr>
    </w:div>
    <w:div w:id="533613543">
      <w:bodyDiv w:val="1"/>
      <w:marLeft w:val="0"/>
      <w:marRight w:val="0"/>
      <w:marTop w:val="0"/>
      <w:marBottom w:val="0"/>
      <w:divBdr>
        <w:top w:val="none" w:sz="0" w:space="0" w:color="auto"/>
        <w:left w:val="none" w:sz="0" w:space="0" w:color="auto"/>
        <w:bottom w:val="none" w:sz="0" w:space="0" w:color="auto"/>
        <w:right w:val="none" w:sz="0" w:space="0" w:color="auto"/>
      </w:divBdr>
    </w:div>
    <w:div w:id="533616877">
      <w:bodyDiv w:val="1"/>
      <w:marLeft w:val="0"/>
      <w:marRight w:val="0"/>
      <w:marTop w:val="0"/>
      <w:marBottom w:val="0"/>
      <w:divBdr>
        <w:top w:val="none" w:sz="0" w:space="0" w:color="auto"/>
        <w:left w:val="none" w:sz="0" w:space="0" w:color="auto"/>
        <w:bottom w:val="none" w:sz="0" w:space="0" w:color="auto"/>
        <w:right w:val="none" w:sz="0" w:space="0" w:color="auto"/>
      </w:divBdr>
    </w:div>
    <w:div w:id="53362148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6168">
      <w:bodyDiv w:val="1"/>
      <w:marLeft w:val="0"/>
      <w:marRight w:val="0"/>
      <w:marTop w:val="0"/>
      <w:marBottom w:val="0"/>
      <w:divBdr>
        <w:top w:val="none" w:sz="0" w:space="0" w:color="auto"/>
        <w:left w:val="none" w:sz="0" w:space="0" w:color="auto"/>
        <w:bottom w:val="none" w:sz="0" w:space="0" w:color="auto"/>
        <w:right w:val="none" w:sz="0" w:space="0" w:color="auto"/>
      </w:divBdr>
    </w:div>
    <w:div w:id="534003004">
      <w:bodyDiv w:val="1"/>
      <w:marLeft w:val="0"/>
      <w:marRight w:val="0"/>
      <w:marTop w:val="0"/>
      <w:marBottom w:val="0"/>
      <w:divBdr>
        <w:top w:val="none" w:sz="0" w:space="0" w:color="auto"/>
        <w:left w:val="none" w:sz="0" w:space="0" w:color="auto"/>
        <w:bottom w:val="none" w:sz="0" w:space="0" w:color="auto"/>
        <w:right w:val="none" w:sz="0" w:space="0" w:color="auto"/>
      </w:divBdr>
    </w:div>
    <w:div w:id="534006877">
      <w:bodyDiv w:val="1"/>
      <w:marLeft w:val="0"/>
      <w:marRight w:val="0"/>
      <w:marTop w:val="0"/>
      <w:marBottom w:val="0"/>
      <w:divBdr>
        <w:top w:val="none" w:sz="0" w:space="0" w:color="auto"/>
        <w:left w:val="none" w:sz="0" w:space="0" w:color="auto"/>
        <w:bottom w:val="none" w:sz="0" w:space="0" w:color="auto"/>
        <w:right w:val="none" w:sz="0" w:space="0" w:color="auto"/>
      </w:divBdr>
    </w:div>
    <w:div w:id="534119841">
      <w:bodyDiv w:val="1"/>
      <w:marLeft w:val="0"/>
      <w:marRight w:val="0"/>
      <w:marTop w:val="0"/>
      <w:marBottom w:val="0"/>
      <w:divBdr>
        <w:top w:val="none" w:sz="0" w:space="0" w:color="auto"/>
        <w:left w:val="none" w:sz="0" w:space="0" w:color="auto"/>
        <w:bottom w:val="none" w:sz="0" w:space="0" w:color="auto"/>
        <w:right w:val="none" w:sz="0" w:space="0" w:color="auto"/>
      </w:divBdr>
    </w:div>
    <w:div w:id="534267503">
      <w:bodyDiv w:val="1"/>
      <w:marLeft w:val="0"/>
      <w:marRight w:val="0"/>
      <w:marTop w:val="0"/>
      <w:marBottom w:val="0"/>
      <w:divBdr>
        <w:top w:val="none" w:sz="0" w:space="0" w:color="auto"/>
        <w:left w:val="none" w:sz="0" w:space="0" w:color="auto"/>
        <w:bottom w:val="none" w:sz="0" w:space="0" w:color="auto"/>
        <w:right w:val="none" w:sz="0" w:space="0" w:color="auto"/>
      </w:divBdr>
    </w:div>
    <w:div w:id="534272125">
      <w:bodyDiv w:val="1"/>
      <w:marLeft w:val="0"/>
      <w:marRight w:val="0"/>
      <w:marTop w:val="0"/>
      <w:marBottom w:val="0"/>
      <w:divBdr>
        <w:top w:val="none" w:sz="0" w:space="0" w:color="auto"/>
        <w:left w:val="none" w:sz="0" w:space="0" w:color="auto"/>
        <w:bottom w:val="none" w:sz="0" w:space="0" w:color="auto"/>
        <w:right w:val="none" w:sz="0" w:space="0" w:color="auto"/>
      </w:divBdr>
    </w:div>
    <w:div w:id="534316128">
      <w:bodyDiv w:val="1"/>
      <w:marLeft w:val="0"/>
      <w:marRight w:val="0"/>
      <w:marTop w:val="0"/>
      <w:marBottom w:val="0"/>
      <w:divBdr>
        <w:top w:val="none" w:sz="0" w:space="0" w:color="auto"/>
        <w:left w:val="none" w:sz="0" w:space="0" w:color="auto"/>
        <w:bottom w:val="none" w:sz="0" w:space="0" w:color="auto"/>
        <w:right w:val="none" w:sz="0" w:space="0" w:color="auto"/>
      </w:divBdr>
    </w:div>
    <w:div w:id="534318721">
      <w:bodyDiv w:val="1"/>
      <w:marLeft w:val="0"/>
      <w:marRight w:val="0"/>
      <w:marTop w:val="0"/>
      <w:marBottom w:val="0"/>
      <w:divBdr>
        <w:top w:val="none" w:sz="0" w:space="0" w:color="auto"/>
        <w:left w:val="none" w:sz="0" w:space="0" w:color="auto"/>
        <w:bottom w:val="none" w:sz="0" w:space="0" w:color="auto"/>
        <w:right w:val="none" w:sz="0" w:space="0" w:color="auto"/>
      </w:divBdr>
    </w:div>
    <w:div w:id="534347371">
      <w:bodyDiv w:val="1"/>
      <w:marLeft w:val="0"/>
      <w:marRight w:val="0"/>
      <w:marTop w:val="0"/>
      <w:marBottom w:val="0"/>
      <w:divBdr>
        <w:top w:val="none" w:sz="0" w:space="0" w:color="auto"/>
        <w:left w:val="none" w:sz="0" w:space="0" w:color="auto"/>
        <w:bottom w:val="none" w:sz="0" w:space="0" w:color="auto"/>
        <w:right w:val="none" w:sz="0" w:space="0" w:color="auto"/>
      </w:divBdr>
    </w:div>
    <w:div w:id="534389187">
      <w:bodyDiv w:val="1"/>
      <w:marLeft w:val="0"/>
      <w:marRight w:val="0"/>
      <w:marTop w:val="0"/>
      <w:marBottom w:val="0"/>
      <w:divBdr>
        <w:top w:val="none" w:sz="0" w:space="0" w:color="auto"/>
        <w:left w:val="none" w:sz="0" w:space="0" w:color="auto"/>
        <w:bottom w:val="none" w:sz="0" w:space="0" w:color="auto"/>
        <w:right w:val="none" w:sz="0" w:space="0" w:color="auto"/>
      </w:divBdr>
    </w:div>
    <w:div w:id="534390238">
      <w:bodyDiv w:val="1"/>
      <w:marLeft w:val="0"/>
      <w:marRight w:val="0"/>
      <w:marTop w:val="0"/>
      <w:marBottom w:val="0"/>
      <w:divBdr>
        <w:top w:val="none" w:sz="0" w:space="0" w:color="auto"/>
        <w:left w:val="none" w:sz="0" w:space="0" w:color="auto"/>
        <w:bottom w:val="none" w:sz="0" w:space="0" w:color="auto"/>
        <w:right w:val="none" w:sz="0" w:space="0" w:color="auto"/>
      </w:divBdr>
    </w:div>
    <w:div w:id="534391077">
      <w:bodyDiv w:val="1"/>
      <w:marLeft w:val="0"/>
      <w:marRight w:val="0"/>
      <w:marTop w:val="0"/>
      <w:marBottom w:val="0"/>
      <w:divBdr>
        <w:top w:val="none" w:sz="0" w:space="0" w:color="auto"/>
        <w:left w:val="none" w:sz="0" w:space="0" w:color="auto"/>
        <w:bottom w:val="none" w:sz="0" w:space="0" w:color="auto"/>
        <w:right w:val="none" w:sz="0" w:space="0" w:color="auto"/>
      </w:divBdr>
    </w:div>
    <w:div w:id="534394478">
      <w:bodyDiv w:val="1"/>
      <w:marLeft w:val="0"/>
      <w:marRight w:val="0"/>
      <w:marTop w:val="0"/>
      <w:marBottom w:val="0"/>
      <w:divBdr>
        <w:top w:val="none" w:sz="0" w:space="0" w:color="auto"/>
        <w:left w:val="none" w:sz="0" w:space="0" w:color="auto"/>
        <w:bottom w:val="none" w:sz="0" w:space="0" w:color="auto"/>
        <w:right w:val="none" w:sz="0" w:space="0" w:color="auto"/>
      </w:divBdr>
    </w:div>
    <w:div w:id="534469091">
      <w:bodyDiv w:val="1"/>
      <w:marLeft w:val="0"/>
      <w:marRight w:val="0"/>
      <w:marTop w:val="0"/>
      <w:marBottom w:val="0"/>
      <w:divBdr>
        <w:top w:val="none" w:sz="0" w:space="0" w:color="auto"/>
        <w:left w:val="none" w:sz="0" w:space="0" w:color="auto"/>
        <w:bottom w:val="none" w:sz="0" w:space="0" w:color="auto"/>
        <w:right w:val="none" w:sz="0" w:space="0" w:color="auto"/>
      </w:divBdr>
    </w:div>
    <w:div w:id="534543523">
      <w:bodyDiv w:val="1"/>
      <w:marLeft w:val="0"/>
      <w:marRight w:val="0"/>
      <w:marTop w:val="0"/>
      <w:marBottom w:val="0"/>
      <w:divBdr>
        <w:top w:val="none" w:sz="0" w:space="0" w:color="auto"/>
        <w:left w:val="none" w:sz="0" w:space="0" w:color="auto"/>
        <w:bottom w:val="none" w:sz="0" w:space="0" w:color="auto"/>
        <w:right w:val="none" w:sz="0" w:space="0" w:color="auto"/>
      </w:divBdr>
    </w:div>
    <w:div w:id="534544089">
      <w:bodyDiv w:val="1"/>
      <w:marLeft w:val="0"/>
      <w:marRight w:val="0"/>
      <w:marTop w:val="0"/>
      <w:marBottom w:val="0"/>
      <w:divBdr>
        <w:top w:val="none" w:sz="0" w:space="0" w:color="auto"/>
        <w:left w:val="none" w:sz="0" w:space="0" w:color="auto"/>
        <w:bottom w:val="none" w:sz="0" w:space="0" w:color="auto"/>
        <w:right w:val="none" w:sz="0" w:space="0" w:color="auto"/>
      </w:divBdr>
    </w:div>
    <w:div w:id="534855990">
      <w:bodyDiv w:val="1"/>
      <w:marLeft w:val="0"/>
      <w:marRight w:val="0"/>
      <w:marTop w:val="0"/>
      <w:marBottom w:val="0"/>
      <w:divBdr>
        <w:top w:val="none" w:sz="0" w:space="0" w:color="auto"/>
        <w:left w:val="none" w:sz="0" w:space="0" w:color="auto"/>
        <w:bottom w:val="none" w:sz="0" w:space="0" w:color="auto"/>
        <w:right w:val="none" w:sz="0" w:space="0" w:color="auto"/>
      </w:divBdr>
    </w:div>
    <w:div w:id="534926112">
      <w:bodyDiv w:val="1"/>
      <w:marLeft w:val="0"/>
      <w:marRight w:val="0"/>
      <w:marTop w:val="0"/>
      <w:marBottom w:val="0"/>
      <w:divBdr>
        <w:top w:val="none" w:sz="0" w:space="0" w:color="auto"/>
        <w:left w:val="none" w:sz="0" w:space="0" w:color="auto"/>
        <w:bottom w:val="none" w:sz="0" w:space="0" w:color="auto"/>
        <w:right w:val="none" w:sz="0" w:space="0" w:color="auto"/>
      </w:divBdr>
    </w:div>
    <w:div w:id="534998447">
      <w:bodyDiv w:val="1"/>
      <w:marLeft w:val="0"/>
      <w:marRight w:val="0"/>
      <w:marTop w:val="0"/>
      <w:marBottom w:val="0"/>
      <w:divBdr>
        <w:top w:val="none" w:sz="0" w:space="0" w:color="auto"/>
        <w:left w:val="none" w:sz="0" w:space="0" w:color="auto"/>
        <w:bottom w:val="none" w:sz="0" w:space="0" w:color="auto"/>
        <w:right w:val="none" w:sz="0" w:space="0" w:color="auto"/>
      </w:divBdr>
    </w:div>
    <w:div w:id="535002302">
      <w:bodyDiv w:val="1"/>
      <w:marLeft w:val="0"/>
      <w:marRight w:val="0"/>
      <w:marTop w:val="0"/>
      <w:marBottom w:val="0"/>
      <w:divBdr>
        <w:top w:val="none" w:sz="0" w:space="0" w:color="auto"/>
        <w:left w:val="none" w:sz="0" w:space="0" w:color="auto"/>
        <w:bottom w:val="none" w:sz="0" w:space="0" w:color="auto"/>
        <w:right w:val="none" w:sz="0" w:space="0" w:color="auto"/>
      </w:divBdr>
    </w:div>
    <w:div w:id="535046095">
      <w:bodyDiv w:val="1"/>
      <w:marLeft w:val="0"/>
      <w:marRight w:val="0"/>
      <w:marTop w:val="0"/>
      <w:marBottom w:val="0"/>
      <w:divBdr>
        <w:top w:val="none" w:sz="0" w:space="0" w:color="auto"/>
        <w:left w:val="none" w:sz="0" w:space="0" w:color="auto"/>
        <w:bottom w:val="none" w:sz="0" w:space="0" w:color="auto"/>
        <w:right w:val="none" w:sz="0" w:space="0" w:color="auto"/>
      </w:divBdr>
    </w:div>
    <w:div w:id="535120632">
      <w:bodyDiv w:val="1"/>
      <w:marLeft w:val="0"/>
      <w:marRight w:val="0"/>
      <w:marTop w:val="0"/>
      <w:marBottom w:val="0"/>
      <w:divBdr>
        <w:top w:val="none" w:sz="0" w:space="0" w:color="auto"/>
        <w:left w:val="none" w:sz="0" w:space="0" w:color="auto"/>
        <w:bottom w:val="none" w:sz="0" w:space="0" w:color="auto"/>
        <w:right w:val="none" w:sz="0" w:space="0" w:color="auto"/>
      </w:divBdr>
    </w:div>
    <w:div w:id="535236396">
      <w:bodyDiv w:val="1"/>
      <w:marLeft w:val="0"/>
      <w:marRight w:val="0"/>
      <w:marTop w:val="0"/>
      <w:marBottom w:val="0"/>
      <w:divBdr>
        <w:top w:val="none" w:sz="0" w:space="0" w:color="auto"/>
        <w:left w:val="none" w:sz="0" w:space="0" w:color="auto"/>
        <w:bottom w:val="none" w:sz="0" w:space="0" w:color="auto"/>
        <w:right w:val="none" w:sz="0" w:space="0" w:color="auto"/>
      </w:divBdr>
    </w:div>
    <w:div w:id="535387676">
      <w:bodyDiv w:val="1"/>
      <w:marLeft w:val="0"/>
      <w:marRight w:val="0"/>
      <w:marTop w:val="0"/>
      <w:marBottom w:val="0"/>
      <w:divBdr>
        <w:top w:val="none" w:sz="0" w:space="0" w:color="auto"/>
        <w:left w:val="none" w:sz="0" w:space="0" w:color="auto"/>
        <w:bottom w:val="none" w:sz="0" w:space="0" w:color="auto"/>
        <w:right w:val="none" w:sz="0" w:space="0" w:color="auto"/>
      </w:divBdr>
    </w:div>
    <w:div w:id="535436541">
      <w:bodyDiv w:val="1"/>
      <w:marLeft w:val="0"/>
      <w:marRight w:val="0"/>
      <w:marTop w:val="0"/>
      <w:marBottom w:val="0"/>
      <w:divBdr>
        <w:top w:val="none" w:sz="0" w:space="0" w:color="auto"/>
        <w:left w:val="none" w:sz="0" w:space="0" w:color="auto"/>
        <w:bottom w:val="none" w:sz="0" w:space="0" w:color="auto"/>
        <w:right w:val="none" w:sz="0" w:space="0" w:color="auto"/>
      </w:divBdr>
    </w:div>
    <w:div w:id="535586822">
      <w:bodyDiv w:val="1"/>
      <w:marLeft w:val="0"/>
      <w:marRight w:val="0"/>
      <w:marTop w:val="0"/>
      <w:marBottom w:val="0"/>
      <w:divBdr>
        <w:top w:val="none" w:sz="0" w:space="0" w:color="auto"/>
        <w:left w:val="none" w:sz="0" w:space="0" w:color="auto"/>
        <w:bottom w:val="none" w:sz="0" w:space="0" w:color="auto"/>
        <w:right w:val="none" w:sz="0" w:space="0" w:color="auto"/>
      </w:divBdr>
    </w:div>
    <w:div w:id="535655844">
      <w:bodyDiv w:val="1"/>
      <w:marLeft w:val="0"/>
      <w:marRight w:val="0"/>
      <w:marTop w:val="0"/>
      <w:marBottom w:val="0"/>
      <w:divBdr>
        <w:top w:val="none" w:sz="0" w:space="0" w:color="auto"/>
        <w:left w:val="none" w:sz="0" w:space="0" w:color="auto"/>
        <w:bottom w:val="none" w:sz="0" w:space="0" w:color="auto"/>
        <w:right w:val="none" w:sz="0" w:space="0" w:color="auto"/>
      </w:divBdr>
    </w:div>
    <w:div w:id="535656024">
      <w:bodyDiv w:val="1"/>
      <w:marLeft w:val="0"/>
      <w:marRight w:val="0"/>
      <w:marTop w:val="0"/>
      <w:marBottom w:val="0"/>
      <w:divBdr>
        <w:top w:val="none" w:sz="0" w:space="0" w:color="auto"/>
        <w:left w:val="none" w:sz="0" w:space="0" w:color="auto"/>
        <w:bottom w:val="none" w:sz="0" w:space="0" w:color="auto"/>
        <w:right w:val="none" w:sz="0" w:space="0" w:color="auto"/>
      </w:divBdr>
    </w:div>
    <w:div w:id="535697483">
      <w:bodyDiv w:val="1"/>
      <w:marLeft w:val="0"/>
      <w:marRight w:val="0"/>
      <w:marTop w:val="0"/>
      <w:marBottom w:val="0"/>
      <w:divBdr>
        <w:top w:val="none" w:sz="0" w:space="0" w:color="auto"/>
        <w:left w:val="none" w:sz="0" w:space="0" w:color="auto"/>
        <w:bottom w:val="none" w:sz="0" w:space="0" w:color="auto"/>
        <w:right w:val="none" w:sz="0" w:space="0" w:color="auto"/>
      </w:divBdr>
    </w:div>
    <w:div w:id="535773994">
      <w:bodyDiv w:val="1"/>
      <w:marLeft w:val="0"/>
      <w:marRight w:val="0"/>
      <w:marTop w:val="0"/>
      <w:marBottom w:val="0"/>
      <w:divBdr>
        <w:top w:val="none" w:sz="0" w:space="0" w:color="auto"/>
        <w:left w:val="none" w:sz="0" w:space="0" w:color="auto"/>
        <w:bottom w:val="none" w:sz="0" w:space="0" w:color="auto"/>
        <w:right w:val="none" w:sz="0" w:space="0" w:color="auto"/>
      </w:divBdr>
    </w:div>
    <w:div w:id="535780520">
      <w:bodyDiv w:val="1"/>
      <w:marLeft w:val="0"/>
      <w:marRight w:val="0"/>
      <w:marTop w:val="0"/>
      <w:marBottom w:val="0"/>
      <w:divBdr>
        <w:top w:val="none" w:sz="0" w:space="0" w:color="auto"/>
        <w:left w:val="none" w:sz="0" w:space="0" w:color="auto"/>
        <w:bottom w:val="none" w:sz="0" w:space="0" w:color="auto"/>
        <w:right w:val="none" w:sz="0" w:space="0" w:color="auto"/>
      </w:divBdr>
    </w:div>
    <w:div w:id="535847475">
      <w:bodyDiv w:val="1"/>
      <w:marLeft w:val="0"/>
      <w:marRight w:val="0"/>
      <w:marTop w:val="0"/>
      <w:marBottom w:val="0"/>
      <w:divBdr>
        <w:top w:val="none" w:sz="0" w:space="0" w:color="auto"/>
        <w:left w:val="none" w:sz="0" w:space="0" w:color="auto"/>
        <w:bottom w:val="none" w:sz="0" w:space="0" w:color="auto"/>
        <w:right w:val="none" w:sz="0" w:space="0" w:color="auto"/>
      </w:divBdr>
    </w:div>
    <w:div w:id="535971355">
      <w:bodyDiv w:val="1"/>
      <w:marLeft w:val="0"/>
      <w:marRight w:val="0"/>
      <w:marTop w:val="0"/>
      <w:marBottom w:val="0"/>
      <w:divBdr>
        <w:top w:val="none" w:sz="0" w:space="0" w:color="auto"/>
        <w:left w:val="none" w:sz="0" w:space="0" w:color="auto"/>
        <w:bottom w:val="none" w:sz="0" w:space="0" w:color="auto"/>
        <w:right w:val="none" w:sz="0" w:space="0" w:color="auto"/>
      </w:divBdr>
    </w:div>
    <w:div w:id="536088047">
      <w:bodyDiv w:val="1"/>
      <w:marLeft w:val="0"/>
      <w:marRight w:val="0"/>
      <w:marTop w:val="0"/>
      <w:marBottom w:val="0"/>
      <w:divBdr>
        <w:top w:val="none" w:sz="0" w:space="0" w:color="auto"/>
        <w:left w:val="none" w:sz="0" w:space="0" w:color="auto"/>
        <w:bottom w:val="none" w:sz="0" w:space="0" w:color="auto"/>
        <w:right w:val="none" w:sz="0" w:space="0" w:color="auto"/>
      </w:divBdr>
    </w:div>
    <w:div w:id="536166843">
      <w:bodyDiv w:val="1"/>
      <w:marLeft w:val="0"/>
      <w:marRight w:val="0"/>
      <w:marTop w:val="0"/>
      <w:marBottom w:val="0"/>
      <w:divBdr>
        <w:top w:val="none" w:sz="0" w:space="0" w:color="auto"/>
        <w:left w:val="none" w:sz="0" w:space="0" w:color="auto"/>
        <w:bottom w:val="none" w:sz="0" w:space="0" w:color="auto"/>
        <w:right w:val="none" w:sz="0" w:space="0" w:color="auto"/>
      </w:divBdr>
    </w:div>
    <w:div w:id="536238277">
      <w:bodyDiv w:val="1"/>
      <w:marLeft w:val="0"/>
      <w:marRight w:val="0"/>
      <w:marTop w:val="0"/>
      <w:marBottom w:val="0"/>
      <w:divBdr>
        <w:top w:val="none" w:sz="0" w:space="0" w:color="auto"/>
        <w:left w:val="none" w:sz="0" w:space="0" w:color="auto"/>
        <w:bottom w:val="none" w:sz="0" w:space="0" w:color="auto"/>
        <w:right w:val="none" w:sz="0" w:space="0" w:color="auto"/>
      </w:divBdr>
    </w:div>
    <w:div w:id="536283462">
      <w:bodyDiv w:val="1"/>
      <w:marLeft w:val="0"/>
      <w:marRight w:val="0"/>
      <w:marTop w:val="0"/>
      <w:marBottom w:val="0"/>
      <w:divBdr>
        <w:top w:val="none" w:sz="0" w:space="0" w:color="auto"/>
        <w:left w:val="none" w:sz="0" w:space="0" w:color="auto"/>
        <w:bottom w:val="none" w:sz="0" w:space="0" w:color="auto"/>
        <w:right w:val="none" w:sz="0" w:space="0" w:color="auto"/>
      </w:divBdr>
    </w:div>
    <w:div w:id="536313203">
      <w:bodyDiv w:val="1"/>
      <w:marLeft w:val="0"/>
      <w:marRight w:val="0"/>
      <w:marTop w:val="0"/>
      <w:marBottom w:val="0"/>
      <w:divBdr>
        <w:top w:val="none" w:sz="0" w:space="0" w:color="auto"/>
        <w:left w:val="none" w:sz="0" w:space="0" w:color="auto"/>
        <w:bottom w:val="none" w:sz="0" w:space="0" w:color="auto"/>
        <w:right w:val="none" w:sz="0" w:space="0" w:color="auto"/>
      </w:divBdr>
    </w:div>
    <w:div w:id="536357238">
      <w:bodyDiv w:val="1"/>
      <w:marLeft w:val="0"/>
      <w:marRight w:val="0"/>
      <w:marTop w:val="0"/>
      <w:marBottom w:val="0"/>
      <w:divBdr>
        <w:top w:val="none" w:sz="0" w:space="0" w:color="auto"/>
        <w:left w:val="none" w:sz="0" w:space="0" w:color="auto"/>
        <w:bottom w:val="none" w:sz="0" w:space="0" w:color="auto"/>
        <w:right w:val="none" w:sz="0" w:space="0" w:color="auto"/>
      </w:divBdr>
    </w:div>
    <w:div w:id="536429033">
      <w:bodyDiv w:val="1"/>
      <w:marLeft w:val="0"/>
      <w:marRight w:val="0"/>
      <w:marTop w:val="0"/>
      <w:marBottom w:val="0"/>
      <w:divBdr>
        <w:top w:val="none" w:sz="0" w:space="0" w:color="auto"/>
        <w:left w:val="none" w:sz="0" w:space="0" w:color="auto"/>
        <w:bottom w:val="none" w:sz="0" w:space="0" w:color="auto"/>
        <w:right w:val="none" w:sz="0" w:space="0" w:color="auto"/>
      </w:divBdr>
    </w:div>
    <w:div w:id="536502296">
      <w:bodyDiv w:val="1"/>
      <w:marLeft w:val="0"/>
      <w:marRight w:val="0"/>
      <w:marTop w:val="0"/>
      <w:marBottom w:val="0"/>
      <w:divBdr>
        <w:top w:val="none" w:sz="0" w:space="0" w:color="auto"/>
        <w:left w:val="none" w:sz="0" w:space="0" w:color="auto"/>
        <w:bottom w:val="none" w:sz="0" w:space="0" w:color="auto"/>
        <w:right w:val="none" w:sz="0" w:space="0" w:color="auto"/>
      </w:divBdr>
    </w:div>
    <w:div w:id="536623566">
      <w:bodyDiv w:val="1"/>
      <w:marLeft w:val="0"/>
      <w:marRight w:val="0"/>
      <w:marTop w:val="0"/>
      <w:marBottom w:val="0"/>
      <w:divBdr>
        <w:top w:val="none" w:sz="0" w:space="0" w:color="auto"/>
        <w:left w:val="none" w:sz="0" w:space="0" w:color="auto"/>
        <w:bottom w:val="none" w:sz="0" w:space="0" w:color="auto"/>
        <w:right w:val="none" w:sz="0" w:space="0" w:color="auto"/>
      </w:divBdr>
    </w:div>
    <w:div w:id="536696397">
      <w:bodyDiv w:val="1"/>
      <w:marLeft w:val="0"/>
      <w:marRight w:val="0"/>
      <w:marTop w:val="0"/>
      <w:marBottom w:val="0"/>
      <w:divBdr>
        <w:top w:val="none" w:sz="0" w:space="0" w:color="auto"/>
        <w:left w:val="none" w:sz="0" w:space="0" w:color="auto"/>
        <w:bottom w:val="none" w:sz="0" w:space="0" w:color="auto"/>
        <w:right w:val="none" w:sz="0" w:space="0" w:color="auto"/>
      </w:divBdr>
    </w:div>
    <w:div w:id="536701061">
      <w:bodyDiv w:val="1"/>
      <w:marLeft w:val="0"/>
      <w:marRight w:val="0"/>
      <w:marTop w:val="0"/>
      <w:marBottom w:val="0"/>
      <w:divBdr>
        <w:top w:val="none" w:sz="0" w:space="0" w:color="auto"/>
        <w:left w:val="none" w:sz="0" w:space="0" w:color="auto"/>
        <w:bottom w:val="none" w:sz="0" w:space="0" w:color="auto"/>
        <w:right w:val="none" w:sz="0" w:space="0" w:color="auto"/>
      </w:divBdr>
    </w:div>
    <w:div w:id="536702794">
      <w:bodyDiv w:val="1"/>
      <w:marLeft w:val="0"/>
      <w:marRight w:val="0"/>
      <w:marTop w:val="0"/>
      <w:marBottom w:val="0"/>
      <w:divBdr>
        <w:top w:val="none" w:sz="0" w:space="0" w:color="auto"/>
        <w:left w:val="none" w:sz="0" w:space="0" w:color="auto"/>
        <w:bottom w:val="none" w:sz="0" w:space="0" w:color="auto"/>
        <w:right w:val="none" w:sz="0" w:space="0" w:color="auto"/>
      </w:divBdr>
    </w:div>
    <w:div w:id="536743141">
      <w:bodyDiv w:val="1"/>
      <w:marLeft w:val="0"/>
      <w:marRight w:val="0"/>
      <w:marTop w:val="0"/>
      <w:marBottom w:val="0"/>
      <w:divBdr>
        <w:top w:val="none" w:sz="0" w:space="0" w:color="auto"/>
        <w:left w:val="none" w:sz="0" w:space="0" w:color="auto"/>
        <w:bottom w:val="none" w:sz="0" w:space="0" w:color="auto"/>
        <w:right w:val="none" w:sz="0" w:space="0" w:color="auto"/>
      </w:divBdr>
    </w:div>
    <w:div w:id="536816033">
      <w:bodyDiv w:val="1"/>
      <w:marLeft w:val="0"/>
      <w:marRight w:val="0"/>
      <w:marTop w:val="0"/>
      <w:marBottom w:val="0"/>
      <w:divBdr>
        <w:top w:val="none" w:sz="0" w:space="0" w:color="auto"/>
        <w:left w:val="none" w:sz="0" w:space="0" w:color="auto"/>
        <w:bottom w:val="none" w:sz="0" w:space="0" w:color="auto"/>
        <w:right w:val="none" w:sz="0" w:space="0" w:color="auto"/>
      </w:divBdr>
    </w:div>
    <w:div w:id="536817840">
      <w:bodyDiv w:val="1"/>
      <w:marLeft w:val="0"/>
      <w:marRight w:val="0"/>
      <w:marTop w:val="0"/>
      <w:marBottom w:val="0"/>
      <w:divBdr>
        <w:top w:val="none" w:sz="0" w:space="0" w:color="auto"/>
        <w:left w:val="none" w:sz="0" w:space="0" w:color="auto"/>
        <w:bottom w:val="none" w:sz="0" w:space="0" w:color="auto"/>
        <w:right w:val="none" w:sz="0" w:space="0" w:color="auto"/>
      </w:divBdr>
    </w:div>
    <w:div w:id="536891634">
      <w:bodyDiv w:val="1"/>
      <w:marLeft w:val="0"/>
      <w:marRight w:val="0"/>
      <w:marTop w:val="0"/>
      <w:marBottom w:val="0"/>
      <w:divBdr>
        <w:top w:val="none" w:sz="0" w:space="0" w:color="auto"/>
        <w:left w:val="none" w:sz="0" w:space="0" w:color="auto"/>
        <w:bottom w:val="none" w:sz="0" w:space="0" w:color="auto"/>
        <w:right w:val="none" w:sz="0" w:space="0" w:color="auto"/>
      </w:divBdr>
    </w:div>
    <w:div w:id="536965459">
      <w:bodyDiv w:val="1"/>
      <w:marLeft w:val="0"/>
      <w:marRight w:val="0"/>
      <w:marTop w:val="0"/>
      <w:marBottom w:val="0"/>
      <w:divBdr>
        <w:top w:val="none" w:sz="0" w:space="0" w:color="auto"/>
        <w:left w:val="none" w:sz="0" w:space="0" w:color="auto"/>
        <w:bottom w:val="none" w:sz="0" w:space="0" w:color="auto"/>
        <w:right w:val="none" w:sz="0" w:space="0" w:color="auto"/>
      </w:divBdr>
    </w:div>
    <w:div w:id="536966926">
      <w:bodyDiv w:val="1"/>
      <w:marLeft w:val="0"/>
      <w:marRight w:val="0"/>
      <w:marTop w:val="0"/>
      <w:marBottom w:val="0"/>
      <w:divBdr>
        <w:top w:val="none" w:sz="0" w:space="0" w:color="auto"/>
        <w:left w:val="none" w:sz="0" w:space="0" w:color="auto"/>
        <w:bottom w:val="none" w:sz="0" w:space="0" w:color="auto"/>
        <w:right w:val="none" w:sz="0" w:space="0" w:color="auto"/>
      </w:divBdr>
    </w:div>
    <w:div w:id="537013692">
      <w:bodyDiv w:val="1"/>
      <w:marLeft w:val="0"/>
      <w:marRight w:val="0"/>
      <w:marTop w:val="0"/>
      <w:marBottom w:val="0"/>
      <w:divBdr>
        <w:top w:val="none" w:sz="0" w:space="0" w:color="auto"/>
        <w:left w:val="none" w:sz="0" w:space="0" w:color="auto"/>
        <w:bottom w:val="none" w:sz="0" w:space="0" w:color="auto"/>
        <w:right w:val="none" w:sz="0" w:space="0" w:color="auto"/>
      </w:divBdr>
    </w:div>
    <w:div w:id="537278239">
      <w:bodyDiv w:val="1"/>
      <w:marLeft w:val="0"/>
      <w:marRight w:val="0"/>
      <w:marTop w:val="0"/>
      <w:marBottom w:val="0"/>
      <w:divBdr>
        <w:top w:val="none" w:sz="0" w:space="0" w:color="auto"/>
        <w:left w:val="none" w:sz="0" w:space="0" w:color="auto"/>
        <w:bottom w:val="none" w:sz="0" w:space="0" w:color="auto"/>
        <w:right w:val="none" w:sz="0" w:space="0" w:color="auto"/>
      </w:divBdr>
    </w:div>
    <w:div w:id="537399070">
      <w:bodyDiv w:val="1"/>
      <w:marLeft w:val="0"/>
      <w:marRight w:val="0"/>
      <w:marTop w:val="0"/>
      <w:marBottom w:val="0"/>
      <w:divBdr>
        <w:top w:val="none" w:sz="0" w:space="0" w:color="auto"/>
        <w:left w:val="none" w:sz="0" w:space="0" w:color="auto"/>
        <w:bottom w:val="none" w:sz="0" w:space="0" w:color="auto"/>
        <w:right w:val="none" w:sz="0" w:space="0" w:color="auto"/>
      </w:divBdr>
    </w:div>
    <w:div w:id="537399969">
      <w:bodyDiv w:val="1"/>
      <w:marLeft w:val="0"/>
      <w:marRight w:val="0"/>
      <w:marTop w:val="0"/>
      <w:marBottom w:val="0"/>
      <w:divBdr>
        <w:top w:val="none" w:sz="0" w:space="0" w:color="auto"/>
        <w:left w:val="none" w:sz="0" w:space="0" w:color="auto"/>
        <w:bottom w:val="none" w:sz="0" w:space="0" w:color="auto"/>
        <w:right w:val="none" w:sz="0" w:space="0" w:color="auto"/>
      </w:divBdr>
    </w:div>
    <w:div w:id="537426889">
      <w:bodyDiv w:val="1"/>
      <w:marLeft w:val="0"/>
      <w:marRight w:val="0"/>
      <w:marTop w:val="0"/>
      <w:marBottom w:val="0"/>
      <w:divBdr>
        <w:top w:val="none" w:sz="0" w:space="0" w:color="auto"/>
        <w:left w:val="none" w:sz="0" w:space="0" w:color="auto"/>
        <w:bottom w:val="none" w:sz="0" w:space="0" w:color="auto"/>
        <w:right w:val="none" w:sz="0" w:space="0" w:color="auto"/>
      </w:divBdr>
    </w:div>
    <w:div w:id="537475774">
      <w:bodyDiv w:val="1"/>
      <w:marLeft w:val="0"/>
      <w:marRight w:val="0"/>
      <w:marTop w:val="0"/>
      <w:marBottom w:val="0"/>
      <w:divBdr>
        <w:top w:val="none" w:sz="0" w:space="0" w:color="auto"/>
        <w:left w:val="none" w:sz="0" w:space="0" w:color="auto"/>
        <w:bottom w:val="none" w:sz="0" w:space="0" w:color="auto"/>
        <w:right w:val="none" w:sz="0" w:space="0" w:color="auto"/>
      </w:divBdr>
    </w:div>
    <w:div w:id="537477956">
      <w:bodyDiv w:val="1"/>
      <w:marLeft w:val="0"/>
      <w:marRight w:val="0"/>
      <w:marTop w:val="0"/>
      <w:marBottom w:val="0"/>
      <w:divBdr>
        <w:top w:val="none" w:sz="0" w:space="0" w:color="auto"/>
        <w:left w:val="none" w:sz="0" w:space="0" w:color="auto"/>
        <w:bottom w:val="none" w:sz="0" w:space="0" w:color="auto"/>
        <w:right w:val="none" w:sz="0" w:space="0" w:color="auto"/>
      </w:divBdr>
    </w:div>
    <w:div w:id="537547033">
      <w:bodyDiv w:val="1"/>
      <w:marLeft w:val="0"/>
      <w:marRight w:val="0"/>
      <w:marTop w:val="0"/>
      <w:marBottom w:val="0"/>
      <w:divBdr>
        <w:top w:val="none" w:sz="0" w:space="0" w:color="auto"/>
        <w:left w:val="none" w:sz="0" w:space="0" w:color="auto"/>
        <w:bottom w:val="none" w:sz="0" w:space="0" w:color="auto"/>
        <w:right w:val="none" w:sz="0" w:space="0" w:color="auto"/>
      </w:divBdr>
    </w:div>
    <w:div w:id="537548615">
      <w:bodyDiv w:val="1"/>
      <w:marLeft w:val="0"/>
      <w:marRight w:val="0"/>
      <w:marTop w:val="0"/>
      <w:marBottom w:val="0"/>
      <w:divBdr>
        <w:top w:val="none" w:sz="0" w:space="0" w:color="auto"/>
        <w:left w:val="none" w:sz="0" w:space="0" w:color="auto"/>
        <w:bottom w:val="none" w:sz="0" w:space="0" w:color="auto"/>
        <w:right w:val="none" w:sz="0" w:space="0" w:color="auto"/>
      </w:divBdr>
    </w:div>
    <w:div w:id="537551152">
      <w:bodyDiv w:val="1"/>
      <w:marLeft w:val="0"/>
      <w:marRight w:val="0"/>
      <w:marTop w:val="0"/>
      <w:marBottom w:val="0"/>
      <w:divBdr>
        <w:top w:val="none" w:sz="0" w:space="0" w:color="auto"/>
        <w:left w:val="none" w:sz="0" w:space="0" w:color="auto"/>
        <w:bottom w:val="none" w:sz="0" w:space="0" w:color="auto"/>
        <w:right w:val="none" w:sz="0" w:space="0" w:color="auto"/>
      </w:divBdr>
    </w:div>
    <w:div w:id="537622219">
      <w:bodyDiv w:val="1"/>
      <w:marLeft w:val="0"/>
      <w:marRight w:val="0"/>
      <w:marTop w:val="0"/>
      <w:marBottom w:val="0"/>
      <w:divBdr>
        <w:top w:val="none" w:sz="0" w:space="0" w:color="auto"/>
        <w:left w:val="none" w:sz="0" w:space="0" w:color="auto"/>
        <w:bottom w:val="none" w:sz="0" w:space="0" w:color="auto"/>
        <w:right w:val="none" w:sz="0" w:space="0" w:color="auto"/>
      </w:divBdr>
    </w:div>
    <w:div w:id="537665502">
      <w:bodyDiv w:val="1"/>
      <w:marLeft w:val="0"/>
      <w:marRight w:val="0"/>
      <w:marTop w:val="0"/>
      <w:marBottom w:val="0"/>
      <w:divBdr>
        <w:top w:val="none" w:sz="0" w:space="0" w:color="auto"/>
        <w:left w:val="none" w:sz="0" w:space="0" w:color="auto"/>
        <w:bottom w:val="none" w:sz="0" w:space="0" w:color="auto"/>
        <w:right w:val="none" w:sz="0" w:space="0" w:color="auto"/>
      </w:divBdr>
    </w:div>
    <w:div w:id="537669846">
      <w:bodyDiv w:val="1"/>
      <w:marLeft w:val="0"/>
      <w:marRight w:val="0"/>
      <w:marTop w:val="0"/>
      <w:marBottom w:val="0"/>
      <w:divBdr>
        <w:top w:val="none" w:sz="0" w:space="0" w:color="auto"/>
        <w:left w:val="none" w:sz="0" w:space="0" w:color="auto"/>
        <w:bottom w:val="none" w:sz="0" w:space="0" w:color="auto"/>
        <w:right w:val="none" w:sz="0" w:space="0" w:color="auto"/>
      </w:divBdr>
    </w:div>
    <w:div w:id="537740247">
      <w:bodyDiv w:val="1"/>
      <w:marLeft w:val="0"/>
      <w:marRight w:val="0"/>
      <w:marTop w:val="0"/>
      <w:marBottom w:val="0"/>
      <w:divBdr>
        <w:top w:val="none" w:sz="0" w:space="0" w:color="auto"/>
        <w:left w:val="none" w:sz="0" w:space="0" w:color="auto"/>
        <w:bottom w:val="none" w:sz="0" w:space="0" w:color="auto"/>
        <w:right w:val="none" w:sz="0" w:space="0" w:color="auto"/>
      </w:divBdr>
    </w:div>
    <w:div w:id="537939205">
      <w:bodyDiv w:val="1"/>
      <w:marLeft w:val="0"/>
      <w:marRight w:val="0"/>
      <w:marTop w:val="0"/>
      <w:marBottom w:val="0"/>
      <w:divBdr>
        <w:top w:val="none" w:sz="0" w:space="0" w:color="auto"/>
        <w:left w:val="none" w:sz="0" w:space="0" w:color="auto"/>
        <w:bottom w:val="none" w:sz="0" w:space="0" w:color="auto"/>
        <w:right w:val="none" w:sz="0" w:space="0" w:color="auto"/>
      </w:divBdr>
    </w:div>
    <w:div w:id="538082712">
      <w:bodyDiv w:val="1"/>
      <w:marLeft w:val="0"/>
      <w:marRight w:val="0"/>
      <w:marTop w:val="0"/>
      <w:marBottom w:val="0"/>
      <w:divBdr>
        <w:top w:val="none" w:sz="0" w:space="0" w:color="auto"/>
        <w:left w:val="none" w:sz="0" w:space="0" w:color="auto"/>
        <w:bottom w:val="none" w:sz="0" w:space="0" w:color="auto"/>
        <w:right w:val="none" w:sz="0" w:space="0" w:color="auto"/>
      </w:divBdr>
    </w:div>
    <w:div w:id="538131889">
      <w:bodyDiv w:val="1"/>
      <w:marLeft w:val="0"/>
      <w:marRight w:val="0"/>
      <w:marTop w:val="0"/>
      <w:marBottom w:val="0"/>
      <w:divBdr>
        <w:top w:val="none" w:sz="0" w:space="0" w:color="auto"/>
        <w:left w:val="none" w:sz="0" w:space="0" w:color="auto"/>
        <w:bottom w:val="none" w:sz="0" w:space="0" w:color="auto"/>
        <w:right w:val="none" w:sz="0" w:space="0" w:color="auto"/>
      </w:divBdr>
    </w:div>
    <w:div w:id="538203952">
      <w:bodyDiv w:val="1"/>
      <w:marLeft w:val="0"/>
      <w:marRight w:val="0"/>
      <w:marTop w:val="0"/>
      <w:marBottom w:val="0"/>
      <w:divBdr>
        <w:top w:val="none" w:sz="0" w:space="0" w:color="auto"/>
        <w:left w:val="none" w:sz="0" w:space="0" w:color="auto"/>
        <w:bottom w:val="none" w:sz="0" w:space="0" w:color="auto"/>
        <w:right w:val="none" w:sz="0" w:space="0" w:color="auto"/>
      </w:divBdr>
    </w:div>
    <w:div w:id="538319556">
      <w:bodyDiv w:val="1"/>
      <w:marLeft w:val="0"/>
      <w:marRight w:val="0"/>
      <w:marTop w:val="0"/>
      <w:marBottom w:val="0"/>
      <w:divBdr>
        <w:top w:val="none" w:sz="0" w:space="0" w:color="auto"/>
        <w:left w:val="none" w:sz="0" w:space="0" w:color="auto"/>
        <w:bottom w:val="none" w:sz="0" w:space="0" w:color="auto"/>
        <w:right w:val="none" w:sz="0" w:space="0" w:color="auto"/>
      </w:divBdr>
    </w:div>
    <w:div w:id="538475127">
      <w:bodyDiv w:val="1"/>
      <w:marLeft w:val="0"/>
      <w:marRight w:val="0"/>
      <w:marTop w:val="0"/>
      <w:marBottom w:val="0"/>
      <w:divBdr>
        <w:top w:val="none" w:sz="0" w:space="0" w:color="auto"/>
        <w:left w:val="none" w:sz="0" w:space="0" w:color="auto"/>
        <w:bottom w:val="none" w:sz="0" w:space="0" w:color="auto"/>
        <w:right w:val="none" w:sz="0" w:space="0" w:color="auto"/>
      </w:divBdr>
    </w:div>
    <w:div w:id="538476521">
      <w:bodyDiv w:val="1"/>
      <w:marLeft w:val="0"/>
      <w:marRight w:val="0"/>
      <w:marTop w:val="0"/>
      <w:marBottom w:val="0"/>
      <w:divBdr>
        <w:top w:val="none" w:sz="0" w:space="0" w:color="auto"/>
        <w:left w:val="none" w:sz="0" w:space="0" w:color="auto"/>
        <w:bottom w:val="none" w:sz="0" w:space="0" w:color="auto"/>
        <w:right w:val="none" w:sz="0" w:space="0" w:color="auto"/>
      </w:divBdr>
    </w:div>
    <w:div w:id="538591323">
      <w:bodyDiv w:val="1"/>
      <w:marLeft w:val="0"/>
      <w:marRight w:val="0"/>
      <w:marTop w:val="0"/>
      <w:marBottom w:val="0"/>
      <w:divBdr>
        <w:top w:val="none" w:sz="0" w:space="0" w:color="auto"/>
        <w:left w:val="none" w:sz="0" w:space="0" w:color="auto"/>
        <w:bottom w:val="none" w:sz="0" w:space="0" w:color="auto"/>
        <w:right w:val="none" w:sz="0" w:space="0" w:color="auto"/>
      </w:divBdr>
    </w:div>
    <w:div w:id="538666713">
      <w:bodyDiv w:val="1"/>
      <w:marLeft w:val="0"/>
      <w:marRight w:val="0"/>
      <w:marTop w:val="0"/>
      <w:marBottom w:val="0"/>
      <w:divBdr>
        <w:top w:val="none" w:sz="0" w:space="0" w:color="auto"/>
        <w:left w:val="none" w:sz="0" w:space="0" w:color="auto"/>
        <w:bottom w:val="none" w:sz="0" w:space="0" w:color="auto"/>
        <w:right w:val="none" w:sz="0" w:space="0" w:color="auto"/>
      </w:divBdr>
    </w:div>
    <w:div w:id="538669945">
      <w:bodyDiv w:val="1"/>
      <w:marLeft w:val="0"/>
      <w:marRight w:val="0"/>
      <w:marTop w:val="0"/>
      <w:marBottom w:val="0"/>
      <w:divBdr>
        <w:top w:val="none" w:sz="0" w:space="0" w:color="auto"/>
        <w:left w:val="none" w:sz="0" w:space="0" w:color="auto"/>
        <w:bottom w:val="none" w:sz="0" w:space="0" w:color="auto"/>
        <w:right w:val="none" w:sz="0" w:space="0" w:color="auto"/>
      </w:divBdr>
    </w:div>
    <w:div w:id="538736460">
      <w:bodyDiv w:val="1"/>
      <w:marLeft w:val="0"/>
      <w:marRight w:val="0"/>
      <w:marTop w:val="0"/>
      <w:marBottom w:val="0"/>
      <w:divBdr>
        <w:top w:val="none" w:sz="0" w:space="0" w:color="auto"/>
        <w:left w:val="none" w:sz="0" w:space="0" w:color="auto"/>
        <w:bottom w:val="none" w:sz="0" w:space="0" w:color="auto"/>
        <w:right w:val="none" w:sz="0" w:space="0" w:color="auto"/>
      </w:divBdr>
    </w:div>
    <w:div w:id="538783251">
      <w:bodyDiv w:val="1"/>
      <w:marLeft w:val="0"/>
      <w:marRight w:val="0"/>
      <w:marTop w:val="0"/>
      <w:marBottom w:val="0"/>
      <w:divBdr>
        <w:top w:val="none" w:sz="0" w:space="0" w:color="auto"/>
        <w:left w:val="none" w:sz="0" w:space="0" w:color="auto"/>
        <w:bottom w:val="none" w:sz="0" w:space="0" w:color="auto"/>
        <w:right w:val="none" w:sz="0" w:space="0" w:color="auto"/>
      </w:divBdr>
    </w:div>
    <w:div w:id="538859668">
      <w:bodyDiv w:val="1"/>
      <w:marLeft w:val="0"/>
      <w:marRight w:val="0"/>
      <w:marTop w:val="0"/>
      <w:marBottom w:val="0"/>
      <w:divBdr>
        <w:top w:val="none" w:sz="0" w:space="0" w:color="auto"/>
        <w:left w:val="none" w:sz="0" w:space="0" w:color="auto"/>
        <w:bottom w:val="none" w:sz="0" w:space="0" w:color="auto"/>
        <w:right w:val="none" w:sz="0" w:space="0" w:color="auto"/>
      </w:divBdr>
    </w:div>
    <w:div w:id="538863910">
      <w:bodyDiv w:val="1"/>
      <w:marLeft w:val="0"/>
      <w:marRight w:val="0"/>
      <w:marTop w:val="0"/>
      <w:marBottom w:val="0"/>
      <w:divBdr>
        <w:top w:val="none" w:sz="0" w:space="0" w:color="auto"/>
        <w:left w:val="none" w:sz="0" w:space="0" w:color="auto"/>
        <w:bottom w:val="none" w:sz="0" w:space="0" w:color="auto"/>
        <w:right w:val="none" w:sz="0" w:space="0" w:color="auto"/>
      </w:divBdr>
    </w:div>
    <w:div w:id="538904809">
      <w:bodyDiv w:val="1"/>
      <w:marLeft w:val="0"/>
      <w:marRight w:val="0"/>
      <w:marTop w:val="0"/>
      <w:marBottom w:val="0"/>
      <w:divBdr>
        <w:top w:val="none" w:sz="0" w:space="0" w:color="auto"/>
        <w:left w:val="none" w:sz="0" w:space="0" w:color="auto"/>
        <w:bottom w:val="none" w:sz="0" w:space="0" w:color="auto"/>
        <w:right w:val="none" w:sz="0" w:space="0" w:color="auto"/>
      </w:divBdr>
    </w:div>
    <w:div w:id="538932089">
      <w:bodyDiv w:val="1"/>
      <w:marLeft w:val="0"/>
      <w:marRight w:val="0"/>
      <w:marTop w:val="0"/>
      <w:marBottom w:val="0"/>
      <w:divBdr>
        <w:top w:val="none" w:sz="0" w:space="0" w:color="auto"/>
        <w:left w:val="none" w:sz="0" w:space="0" w:color="auto"/>
        <w:bottom w:val="none" w:sz="0" w:space="0" w:color="auto"/>
        <w:right w:val="none" w:sz="0" w:space="0" w:color="auto"/>
      </w:divBdr>
    </w:div>
    <w:div w:id="539053030">
      <w:bodyDiv w:val="1"/>
      <w:marLeft w:val="0"/>
      <w:marRight w:val="0"/>
      <w:marTop w:val="0"/>
      <w:marBottom w:val="0"/>
      <w:divBdr>
        <w:top w:val="none" w:sz="0" w:space="0" w:color="auto"/>
        <w:left w:val="none" w:sz="0" w:space="0" w:color="auto"/>
        <w:bottom w:val="none" w:sz="0" w:space="0" w:color="auto"/>
        <w:right w:val="none" w:sz="0" w:space="0" w:color="auto"/>
      </w:divBdr>
    </w:div>
    <w:div w:id="539173409">
      <w:bodyDiv w:val="1"/>
      <w:marLeft w:val="0"/>
      <w:marRight w:val="0"/>
      <w:marTop w:val="0"/>
      <w:marBottom w:val="0"/>
      <w:divBdr>
        <w:top w:val="none" w:sz="0" w:space="0" w:color="auto"/>
        <w:left w:val="none" w:sz="0" w:space="0" w:color="auto"/>
        <w:bottom w:val="none" w:sz="0" w:space="0" w:color="auto"/>
        <w:right w:val="none" w:sz="0" w:space="0" w:color="auto"/>
      </w:divBdr>
    </w:div>
    <w:div w:id="539243742">
      <w:bodyDiv w:val="1"/>
      <w:marLeft w:val="0"/>
      <w:marRight w:val="0"/>
      <w:marTop w:val="0"/>
      <w:marBottom w:val="0"/>
      <w:divBdr>
        <w:top w:val="none" w:sz="0" w:space="0" w:color="auto"/>
        <w:left w:val="none" w:sz="0" w:space="0" w:color="auto"/>
        <w:bottom w:val="none" w:sz="0" w:space="0" w:color="auto"/>
        <w:right w:val="none" w:sz="0" w:space="0" w:color="auto"/>
      </w:divBdr>
    </w:div>
    <w:div w:id="539323010">
      <w:bodyDiv w:val="1"/>
      <w:marLeft w:val="0"/>
      <w:marRight w:val="0"/>
      <w:marTop w:val="0"/>
      <w:marBottom w:val="0"/>
      <w:divBdr>
        <w:top w:val="none" w:sz="0" w:space="0" w:color="auto"/>
        <w:left w:val="none" w:sz="0" w:space="0" w:color="auto"/>
        <w:bottom w:val="none" w:sz="0" w:space="0" w:color="auto"/>
        <w:right w:val="none" w:sz="0" w:space="0" w:color="auto"/>
      </w:divBdr>
    </w:div>
    <w:div w:id="539367574">
      <w:bodyDiv w:val="1"/>
      <w:marLeft w:val="0"/>
      <w:marRight w:val="0"/>
      <w:marTop w:val="0"/>
      <w:marBottom w:val="0"/>
      <w:divBdr>
        <w:top w:val="none" w:sz="0" w:space="0" w:color="auto"/>
        <w:left w:val="none" w:sz="0" w:space="0" w:color="auto"/>
        <w:bottom w:val="none" w:sz="0" w:space="0" w:color="auto"/>
        <w:right w:val="none" w:sz="0" w:space="0" w:color="auto"/>
      </w:divBdr>
    </w:div>
    <w:div w:id="539511240">
      <w:bodyDiv w:val="1"/>
      <w:marLeft w:val="0"/>
      <w:marRight w:val="0"/>
      <w:marTop w:val="0"/>
      <w:marBottom w:val="0"/>
      <w:divBdr>
        <w:top w:val="none" w:sz="0" w:space="0" w:color="auto"/>
        <w:left w:val="none" w:sz="0" w:space="0" w:color="auto"/>
        <w:bottom w:val="none" w:sz="0" w:space="0" w:color="auto"/>
        <w:right w:val="none" w:sz="0" w:space="0" w:color="auto"/>
      </w:divBdr>
    </w:div>
    <w:div w:id="539559276">
      <w:bodyDiv w:val="1"/>
      <w:marLeft w:val="0"/>
      <w:marRight w:val="0"/>
      <w:marTop w:val="0"/>
      <w:marBottom w:val="0"/>
      <w:divBdr>
        <w:top w:val="none" w:sz="0" w:space="0" w:color="auto"/>
        <w:left w:val="none" w:sz="0" w:space="0" w:color="auto"/>
        <w:bottom w:val="none" w:sz="0" w:space="0" w:color="auto"/>
        <w:right w:val="none" w:sz="0" w:space="0" w:color="auto"/>
      </w:divBdr>
    </w:div>
    <w:div w:id="539630895">
      <w:bodyDiv w:val="1"/>
      <w:marLeft w:val="0"/>
      <w:marRight w:val="0"/>
      <w:marTop w:val="0"/>
      <w:marBottom w:val="0"/>
      <w:divBdr>
        <w:top w:val="none" w:sz="0" w:space="0" w:color="auto"/>
        <w:left w:val="none" w:sz="0" w:space="0" w:color="auto"/>
        <w:bottom w:val="none" w:sz="0" w:space="0" w:color="auto"/>
        <w:right w:val="none" w:sz="0" w:space="0" w:color="auto"/>
      </w:divBdr>
    </w:div>
    <w:div w:id="539783038">
      <w:bodyDiv w:val="1"/>
      <w:marLeft w:val="0"/>
      <w:marRight w:val="0"/>
      <w:marTop w:val="0"/>
      <w:marBottom w:val="0"/>
      <w:divBdr>
        <w:top w:val="none" w:sz="0" w:space="0" w:color="auto"/>
        <w:left w:val="none" w:sz="0" w:space="0" w:color="auto"/>
        <w:bottom w:val="none" w:sz="0" w:space="0" w:color="auto"/>
        <w:right w:val="none" w:sz="0" w:space="0" w:color="auto"/>
      </w:divBdr>
    </w:div>
    <w:div w:id="539896377">
      <w:bodyDiv w:val="1"/>
      <w:marLeft w:val="0"/>
      <w:marRight w:val="0"/>
      <w:marTop w:val="0"/>
      <w:marBottom w:val="0"/>
      <w:divBdr>
        <w:top w:val="none" w:sz="0" w:space="0" w:color="auto"/>
        <w:left w:val="none" w:sz="0" w:space="0" w:color="auto"/>
        <w:bottom w:val="none" w:sz="0" w:space="0" w:color="auto"/>
        <w:right w:val="none" w:sz="0" w:space="0" w:color="auto"/>
      </w:divBdr>
    </w:div>
    <w:div w:id="539904189">
      <w:bodyDiv w:val="1"/>
      <w:marLeft w:val="0"/>
      <w:marRight w:val="0"/>
      <w:marTop w:val="0"/>
      <w:marBottom w:val="0"/>
      <w:divBdr>
        <w:top w:val="none" w:sz="0" w:space="0" w:color="auto"/>
        <w:left w:val="none" w:sz="0" w:space="0" w:color="auto"/>
        <w:bottom w:val="none" w:sz="0" w:space="0" w:color="auto"/>
        <w:right w:val="none" w:sz="0" w:space="0" w:color="auto"/>
      </w:divBdr>
    </w:div>
    <w:div w:id="540017997">
      <w:bodyDiv w:val="1"/>
      <w:marLeft w:val="0"/>
      <w:marRight w:val="0"/>
      <w:marTop w:val="0"/>
      <w:marBottom w:val="0"/>
      <w:divBdr>
        <w:top w:val="none" w:sz="0" w:space="0" w:color="auto"/>
        <w:left w:val="none" w:sz="0" w:space="0" w:color="auto"/>
        <w:bottom w:val="none" w:sz="0" w:space="0" w:color="auto"/>
        <w:right w:val="none" w:sz="0" w:space="0" w:color="auto"/>
      </w:divBdr>
    </w:div>
    <w:div w:id="540019837">
      <w:bodyDiv w:val="1"/>
      <w:marLeft w:val="0"/>
      <w:marRight w:val="0"/>
      <w:marTop w:val="0"/>
      <w:marBottom w:val="0"/>
      <w:divBdr>
        <w:top w:val="none" w:sz="0" w:space="0" w:color="auto"/>
        <w:left w:val="none" w:sz="0" w:space="0" w:color="auto"/>
        <w:bottom w:val="none" w:sz="0" w:space="0" w:color="auto"/>
        <w:right w:val="none" w:sz="0" w:space="0" w:color="auto"/>
      </w:divBdr>
    </w:div>
    <w:div w:id="540023800">
      <w:bodyDiv w:val="1"/>
      <w:marLeft w:val="0"/>
      <w:marRight w:val="0"/>
      <w:marTop w:val="0"/>
      <w:marBottom w:val="0"/>
      <w:divBdr>
        <w:top w:val="none" w:sz="0" w:space="0" w:color="auto"/>
        <w:left w:val="none" w:sz="0" w:space="0" w:color="auto"/>
        <w:bottom w:val="none" w:sz="0" w:space="0" w:color="auto"/>
        <w:right w:val="none" w:sz="0" w:space="0" w:color="auto"/>
      </w:divBdr>
    </w:div>
    <w:div w:id="540286535">
      <w:bodyDiv w:val="1"/>
      <w:marLeft w:val="0"/>
      <w:marRight w:val="0"/>
      <w:marTop w:val="0"/>
      <w:marBottom w:val="0"/>
      <w:divBdr>
        <w:top w:val="none" w:sz="0" w:space="0" w:color="auto"/>
        <w:left w:val="none" w:sz="0" w:space="0" w:color="auto"/>
        <w:bottom w:val="none" w:sz="0" w:space="0" w:color="auto"/>
        <w:right w:val="none" w:sz="0" w:space="0" w:color="auto"/>
      </w:divBdr>
    </w:div>
    <w:div w:id="540358920">
      <w:bodyDiv w:val="1"/>
      <w:marLeft w:val="0"/>
      <w:marRight w:val="0"/>
      <w:marTop w:val="0"/>
      <w:marBottom w:val="0"/>
      <w:divBdr>
        <w:top w:val="none" w:sz="0" w:space="0" w:color="auto"/>
        <w:left w:val="none" w:sz="0" w:space="0" w:color="auto"/>
        <w:bottom w:val="none" w:sz="0" w:space="0" w:color="auto"/>
        <w:right w:val="none" w:sz="0" w:space="0" w:color="auto"/>
      </w:divBdr>
    </w:div>
    <w:div w:id="540365640">
      <w:bodyDiv w:val="1"/>
      <w:marLeft w:val="0"/>
      <w:marRight w:val="0"/>
      <w:marTop w:val="0"/>
      <w:marBottom w:val="0"/>
      <w:divBdr>
        <w:top w:val="none" w:sz="0" w:space="0" w:color="auto"/>
        <w:left w:val="none" w:sz="0" w:space="0" w:color="auto"/>
        <w:bottom w:val="none" w:sz="0" w:space="0" w:color="auto"/>
        <w:right w:val="none" w:sz="0" w:space="0" w:color="auto"/>
      </w:divBdr>
    </w:div>
    <w:div w:id="540476920">
      <w:bodyDiv w:val="1"/>
      <w:marLeft w:val="0"/>
      <w:marRight w:val="0"/>
      <w:marTop w:val="0"/>
      <w:marBottom w:val="0"/>
      <w:divBdr>
        <w:top w:val="none" w:sz="0" w:space="0" w:color="auto"/>
        <w:left w:val="none" w:sz="0" w:space="0" w:color="auto"/>
        <w:bottom w:val="none" w:sz="0" w:space="0" w:color="auto"/>
        <w:right w:val="none" w:sz="0" w:space="0" w:color="auto"/>
      </w:divBdr>
    </w:div>
    <w:div w:id="540673906">
      <w:bodyDiv w:val="1"/>
      <w:marLeft w:val="0"/>
      <w:marRight w:val="0"/>
      <w:marTop w:val="0"/>
      <w:marBottom w:val="0"/>
      <w:divBdr>
        <w:top w:val="none" w:sz="0" w:space="0" w:color="auto"/>
        <w:left w:val="none" w:sz="0" w:space="0" w:color="auto"/>
        <w:bottom w:val="none" w:sz="0" w:space="0" w:color="auto"/>
        <w:right w:val="none" w:sz="0" w:space="0" w:color="auto"/>
      </w:divBdr>
    </w:div>
    <w:div w:id="540703903">
      <w:bodyDiv w:val="1"/>
      <w:marLeft w:val="0"/>
      <w:marRight w:val="0"/>
      <w:marTop w:val="0"/>
      <w:marBottom w:val="0"/>
      <w:divBdr>
        <w:top w:val="none" w:sz="0" w:space="0" w:color="auto"/>
        <w:left w:val="none" w:sz="0" w:space="0" w:color="auto"/>
        <w:bottom w:val="none" w:sz="0" w:space="0" w:color="auto"/>
        <w:right w:val="none" w:sz="0" w:space="0" w:color="auto"/>
      </w:divBdr>
    </w:div>
    <w:div w:id="540821290">
      <w:bodyDiv w:val="1"/>
      <w:marLeft w:val="0"/>
      <w:marRight w:val="0"/>
      <w:marTop w:val="0"/>
      <w:marBottom w:val="0"/>
      <w:divBdr>
        <w:top w:val="none" w:sz="0" w:space="0" w:color="auto"/>
        <w:left w:val="none" w:sz="0" w:space="0" w:color="auto"/>
        <w:bottom w:val="none" w:sz="0" w:space="0" w:color="auto"/>
        <w:right w:val="none" w:sz="0" w:space="0" w:color="auto"/>
      </w:divBdr>
    </w:div>
    <w:div w:id="540823280">
      <w:bodyDiv w:val="1"/>
      <w:marLeft w:val="0"/>
      <w:marRight w:val="0"/>
      <w:marTop w:val="0"/>
      <w:marBottom w:val="0"/>
      <w:divBdr>
        <w:top w:val="none" w:sz="0" w:space="0" w:color="auto"/>
        <w:left w:val="none" w:sz="0" w:space="0" w:color="auto"/>
        <w:bottom w:val="none" w:sz="0" w:space="0" w:color="auto"/>
        <w:right w:val="none" w:sz="0" w:space="0" w:color="auto"/>
      </w:divBdr>
    </w:div>
    <w:div w:id="540829612">
      <w:bodyDiv w:val="1"/>
      <w:marLeft w:val="0"/>
      <w:marRight w:val="0"/>
      <w:marTop w:val="0"/>
      <w:marBottom w:val="0"/>
      <w:divBdr>
        <w:top w:val="none" w:sz="0" w:space="0" w:color="auto"/>
        <w:left w:val="none" w:sz="0" w:space="0" w:color="auto"/>
        <w:bottom w:val="none" w:sz="0" w:space="0" w:color="auto"/>
        <w:right w:val="none" w:sz="0" w:space="0" w:color="auto"/>
      </w:divBdr>
    </w:div>
    <w:div w:id="540946315">
      <w:bodyDiv w:val="1"/>
      <w:marLeft w:val="0"/>
      <w:marRight w:val="0"/>
      <w:marTop w:val="0"/>
      <w:marBottom w:val="0"/>
      <w:divBdr>
        <w:top w:val="none" w:sz="0" w:space="0" w:color="auto"/>
        <w:left w:val="none" w:sz="0" w:space="0" w:color="auto"/>
        <w:bottom w:val="none" w:sz="0" w:space="0" w:color="auto"/>
        <w:right w:val="none" w:sz="0" w:space="0" w:color="auto"/>
      </w:divBdr>
    </w:div>
    <w:div w:id="541091257">
      <w:bodyDiv w:val="1"/>
      <w:marLeft w:val="0"/>
      <w:marRight w:val="0"/>
      <w:marTop w:val="0"/>
      <w:marBottom w:val="0"/>
      <w:divBdr>
        <w:top w:val="none" w:sz="0" w:space="0" w:color="auto"/>
        <w:left w:val="none" w:sz="0" w:space="0" w:color="auto"/>
        <w:bottom w:val="none" w:sz="0" w:space="0" w:color="auto"/>
        <w:right w:val="none" w:sz="0" w:space="0" w:color="auto"/>
      </w:divBdr>
    </w:div>
    <w:div w:id="541093421">
      <w:bodyDiv w:val="1"/>
      <w:marLeft w:val="0"/>
      <w:marRight w:val="0"/>
      <w:marTop w:val="0"/>
      <w:marBottom w:val="0"/>
      <w:divBdr>
        <w:top w:val="none" w:sz="0" w:space="0" w:color="auto"/>
        <w:left w:val="none" w:sz="0" w:space="0" w:color="auto"/>
        <w:bottom w:val="none" w:sz="0" w:space="0" w:color="auto"/>
        <w:right w:val="none" w:sz="0" w:space="0" w:color="auto"/>
      </w:divBdr>
    </w:div>
    <w:div w:id="541095019">
      <w:bodyDiv w:val="1"/>
      <w:marLeft w:val="0"/>
      <w:marRight w:val="0"/>
      <w:marTop w:val="0"/>
      <w:marBottom w:val="0"/>
      <w:divBdr>
        <w:top w:val="none" w:sz="0" w:space="0" w:color="auto"/>
        <w:left w:val="none" w:sz="0" w:space="0" w:color="auto"/>
        <w:bottom w:val="none" w:sz="0" w:space="0" w:color="auto"/>
        <w:right w:val="none" w:sz="0" w:space="0" w:color="auto"/>
      </w:divBdr>
    </w:div>
    <w:div w:id="541097284">
      <w:bodyDiv w:val="1"/>
      <w:marLeft w:val="0"/>
      <w:marRight w:val="0"/>
      <w:marTop w:val="0"/>
      <w:marBottom w:val="0"/>
      <w:divBdr>
        <w:top w:val="none" w:sz="0" w:space="0" w:color="auto"/>
        <w:left w:val="none" w:sz="0" w:space="0" w:color="auto"/>
        <w:bottom w:val="none" w:sz="0" w:space="0" w:color="auto"/>
        <w:right w:val="none" w:sz="0" w:space="0" w:color="auto"/>
      </w:divBdr>
    </w:div>
    <w:div w:id="541132525">
      <w:bodyDiv w:val="1"/>
      <w:marLeft w:val="0"/>
      <w:marRight w:val="0"/>
      <w:marTop w:val="0"/>
      <w:marBottom w:val="0"/>
      <w:divBdr>
        <w:top w:val="none" w:sz="0" w:space="0" w:color="auto"/>
        <w:left w:val="none" w:sz="0" w:space="0" w:color="auto"/>
        <w:bottom w:val="none" w:sz="0" w:space="0" w:color="auto"/>
        <w:right w:val="none" w:sz="0" w:space="0" w:color="auto"/>
      </w:divBdr>
    </w:div>
    <w:div w:id="541136317">
      <w:bodyDiv w:val="1"/>
      <w:marLeft w:val="0"/>
      <w:marRight w:val="0"/>
      <w:marTop w:val="0"/>
      <w:marBottom w:val="0"/>
      <w:divBdr>
        <w:top w:val="none" w:sz="0" w:space="0" w:color="auto"/>
        <w:left w:val="none" w:sz="0" w:space="0" w:color="auto"/>
        <w:bottom w:val="none" w:sz="0" w:space="0" w:color="auto"/>
        <w:right w:val="none" w:sz="0" w:space="0" w:color="auto"/>
      </w:divBdr>
    </w:div>
    <w:div w:id="541212005">
      <w:bodyDiv w:val="1"/>
      <w:marLeft w:val="0"/>
      <w:marRight w:val="0"/>
      <w:marTop w:val="0"/>
      <w:marBottom w:val="0"/>
      <w:divBdr>
        <w:top w:val="none" w:sz="0" w:space="0" w:color="auto"/>
        <w:left w:val="none" w:sz="0" w:space="0" w:color="auto"/>
        <w:bottom w:val="none" w:sz="0" w:space="0" w:color="auto"/>
        <w:right w:val="none" w:sz="0" w:space="0" w:color="auto"/>
      </w:divBdr>
    </w:div>
    <w:div w:id="541214178">
      <w:bodyDiv w:val="1"/>
      <w:marLeft w:val="0"/>
      <w:marRight w:val="0"/>
      <w:marTop w:val="0"/>
      <w:marBottom w:val="0"/>
      <w:divBdr>
        <w:top w:val="none" w:sz="0" w:space="0" w:color="auto"/>
        <w:left w:val="none" w:sz="0" w:space="0" w:color="auto"/>
        <w:bottom w:val="none" w:sz="0" w:space="0" w:color="auto"/>
        <w:right w:val="none" w:sz="0" w:space="0" w:color="auto"/>
      </w:divBdr>
    </w:div>
    <w:div w:id="541524342">
      <w:bodyDiv w:val="1"/>
      <w:marLeft w:val="0"/>
      <w:marRight w:val="0"/>
      <w:marTop w:val="0"/>
      <w:marBottom w:val="0"/>
      <w:divBdr>
        <w:top w:val="none" w:sz="0" w:space="0" w:color="auto"/>
        <w:left w:val="none" w:sz="0" w:space="0" w:color="auto"/>
        <w:bottom w:val="none" w:sz="0" w:space="0" w:color="auto"/>
        <w:right w:val="none" w:sz="0" w:space="0" w:color="auto"/>
      </w:divBdr>
    </w:div>
    <w:div w:id="541594049">
      <w:bodyDiv w:val="1"/>
      <w:marLeft w:val="0"/>
      <w:marRight w:val="0"/>
      <w:marTop w:val="0"/>
      <w:marBottom w:val="0"/>
      <w:divBdr>
        <w:top w:val="none" w:sz="0" w:space="0" w:color="auto"/>
        <w:left w:val="none" w:sz="0" w:space="0" w:color="auto"/>
        <w:bottom w:val="none" w:sz="0" w:space="0" w:color="auto"/>
        <w:right w:val="none" w:sz="0" w:space="0" w:color="auto"/>
      </w:divBdr>
    </w:div>
    <w:div w:id="541602612">
      <w:bodyDiv w:val="1"/>
      <w:marLeft w:val="0"/>
      <w:marRight w:val="0"/>
      <w:marTop w:val="0"/>
      <w:marBottom w:val="0"/>
      <w:divBdr>
        <w:top w:val="none" w:sz="0" w:space="0" w:color="auto"/>
        <w:left w:val="none" w:sz="0" w:space="0" w:color="auto"/>
        <w:bottom w:val="none" w:sz="0" w:space="0" w:color="auto"/>
        <w:right w:val="none" w:sz="0" w:space="0" w:color="auto"/>
      </w:divBdr>
    </w:div>
    <w:div w:id="541745294">
      <w:bodyDiv w:val="1"/>
      <w:marLeft w:val="0"/>
      <w:marRight w:val="0"/>
      <w:marTop w:val="0"/>
      <w:marBottom w:val="0"/>
      <w:divBdr>
        <w:top w:val="none" w:sz="0" w:space="0" w:color="auto"/>
        <w:left w:val="none" w:sz="0" w:space="0" w:color="auto"/>
        <w:bottom w:val="none" w:sz="0" w:space="0" w:color="auto"/>
        <w:right w:val="none" w:sz="0" w:space="0" w:color="auto"/>
      </w:divBdr>
    </w:div>
    <w:div w:id="541787380">
      <w:bodyDiv w:val="1"/>
      <w:marLeft w:val="0"/>
      <w:marRight w:val="0"/>
      <w:marTop w:val="0"/>
      <w:marBottom w:val="0"/>
      <w:divBdr>
        <w:top w:val="none" w:sz="0" w:space="0" w:color="auto"/>
        <w:left w:val="none" w:sz="0" w:space="0" w:color="auto"/>
        <w:bottom w:val="none" w:sz="0" w:space="0" w:color="auto"/>
        <w:right w:val="none" w:sz="0" w:space="0" w:color="auto"/>
      </w:divBdr>
    </w:div>
    <w:div w:id="541796288">
      <w:bodyDiv w:val="1"/>
      <w:marLeft w:val="0"/>
      <w:marRight w:val="0"/>
      <w:marTop w:val="0"/>
      <w:marBottom w:val="0"/>
      <w:divBdr>
        <w:top w:val="none" w:sz="0" w:space="0" w:color="auto"/>
        <w:left w:val="none" w:sz="0" w:space="0" w:color="auto"/>
        <w:bottom w:val="none" w:sz="0" w:space="0" w:color="auto"/>
        <w:right w:val="none" w:sz="0" w:space="0" w:color="auto"/>
      </w:divBdr>
    </w:div>
    <w:div w:id="541862562">
      <w:bodyDiv w:val="1"/>
      <w:marLeft w:val="0"/>
      <w:marRight w:val="0"/>
      <w:marTop w:val="0"/>
      <w:marBottom w:val="0"/>
      <w:divBdr>
        <w:top w:val="none" w:sz="0" w:space="0" w:color="auto"/>
        <w:left w:val="none" w:sz="0" w:space="0" w:color="auto"/>
        <w:bottom w:val="none" w:sz="0" w:space="0" w:color="auto"/>
        <w:right w:val="none" w:sz="0" w:space="0" w:color="auto"/>
      </w:divBdr>
    </w:div>
    <w:div w:id="541942322">
      <w:bodyDiv w:val="1"/>
      <w:marLeft w:val="0"/>
      <w:marRight w:val="0"/>
      <w:marTop w:val="0"/>
      <w:marBottom w:val="0"/>
      <w:divBdr>
        <w:top w:val="none" w:sz="0" w:space="0" w:color="auto"/>
        <w:left w:val="none" w:sz="0" w:space="0" w:color="auto"/>
        <w:bottom w:val="none" w:sz="0" w:space="0" w:color="auto"/>
        <w:right w:val="none" w:sz="0" w:space="0" w:color="auto"/>
      </w:divBdr>
    </w:div>
    <w:div w:id="542325446">
      <w:bodyDiv w:val="1"/>
      <w:marLeft w:val="0"/>
      <w:marRight w:val="0"/>
      <w:marTop w:val="0"/>
      <w:marBottom w:val="0"/>
      <w:divBdr>
        <w:top w:val="none" w:sz="0" w:space="0" w:color="auto"/>
        <w:left w:val="none" w:sz="0" w:space="0" w:color="auto"/>
        <w:bottom w:val="none" w:sz="0" w:space="0" w:color="auto"/>
        <w:right w:val="none" w:sz="0" w:space="0" w:color="auto"/>
      </w:divBdr>
    </w:div>
    <w:div w:id="542518771">
      <w:bodyDiv w:val="1"/>
      <w:marLeft w:val="0"/>
      <w:marRight w:val="0"/>
      <w:marTop w:val="0"/>
      <w:marBottom w:val="0"/>
      <w:divBdr>
        <w:top w:val="none" w:sz="0" w:space="0" w:color="auto"/>
        <w:left w:val="none" w:sz="0" w:space="0" w:color="auto"/>
        <w:bottom w:val="none" w:sz="0" w:space="0" w:color="auto"/>
        <w:right w:val="none" w:sz="0" w:space="0" w:color="auto"/>
      </w:divBdr>
    </w:div>
    <w:div w:id="542642522">
      <w:bodyDiv w:val="1"/>
      <w:marLeft w:val="0"/>
      <w:marRight w:val="0"/>
      <w:marTop w:val="0"/>
      <w:marBottom w:val="0"/>
      <w:divBdr>
        <w:top w:val="none" w:sz="0" w:space="0" w:color="auto"/>
        <w:left w:val="none" w:sz="0" w:space="0" w:color="auto"/>
        <w:bottom w:val="none" w:sz="0" w:space="0" w:color="auto"/>
        <w:right w:val="none" w:sz="0" w:space="0" w:color="auto"/>
      </w:divBdr>
    </w:div>
    <w:div w:id="542644993">
      <w:bodyDiv w:val="1"/>
      <w:marLeft w:val="0"/>
      <w:marRight w:val="0"/>
      <w:marTop w:val="0"/>
      <w:marBottom w:val="0"/>
      <w:divBdr>
        <w:top w:val="none" w:sz="0" w:space="0" w:color="auto"/>
        <w:left w:val="none" w:sz="0" w:space="0" w:color="auto"/>
        <w:bottom w:val="none" w:sz="0" w:space="0" w:color="auto"/>
        <w:right w:val="none" w:sz="0" w:space="0" w:color="auto"/>
      </w:divBdr>
    </w:div>
    <w:div w:id="542670334">
      <w:bodyDiv w:val="1"/>
      <w:marLeft w:val="0"/>
      <w:marRight w:val="0"/>
      <w:marTop w:val="0"/>
      <w:marBottom w:val="0"/>
      <w:divBdr>
        <w:top w:val="none" w:sz="0" w:space="0" w:color="auto"/>
        <w:left w:val="none" w:sz="0" w:space="0" w:color="auto"/>
        <w:bottom w:val="none" w:sz="0" w:space="0" w:color="auto"/>
        <w:right w:val="none" w:sz="0" w:space="0" w:color="auto"/>
      </w:divBdr>
    </w:div>
    <w:div w:id="542716616">
      <w:bodyDiv w:val="1"/>
      <w:marLeft w:val="0"/>
      <w:marRight w:val="0"/>
      <w:marTop w:val="0"/>
      <w:marBottom w:val="0"/>
      <w:divBdr>
        <w:top w:val="none" w:sz="0" w:space="0" w:color="auto"/>
        <w:left w:val="none" w:sz="0" w:space="0" w:color="auto"/>
        <w:bottom w:val="none" w:sz="0" w:space="0" w:color="auto"/>
        <w:right w:val="none" w:sz="0" w:space="0" w:color="auto"/>
      </w:divBdr>
    </w:div>
    <w:div w:id="542795018">
      <w:bodyDiv w:val="1"/>
      <w:marLeft w:val="0"/>
      <w:marRight w:val="0"/>
      <w:marTop w:val="0"/>
      <w:marBottom w:val="0"/>
      <w:divBdr>
        <w:top w:val="none" w:sz="0" w:space="0" w:color="auto"/>
        <w:left w:val="none" w:sz="0" w:space="0" w:color="auto"/>
        <w:bottom w:val="none" w:sz="0" w:space="0" w:color="auto"/>
        <w:right w:val="none" w:sz="0" w:space="0" w:color="auto"/>
      </w:divBdr>
    </w:div>
    <w:div w:id="542834864">
      <w:bodyDiv w:val="1"/>
      <w:marLeft w:val="0"/>
      <w:marRight w:val="0"/>
      <w:marTop w:val="0"/>
      <w:marBottom w:val="0"/>
      <w:divBdr>
        <w:top w:val="none" w:sz="0" w:space="0" w:color="auto"/>
        <w:left w:val="none" w:sz="0" w:space="0" w:color="auto"/>
        <w:bottom w:val="none" w:sz="0" w:space="0" w:color="auto"/>
        <w:right w:val="none" w:sz="0" w:space="0" w:color="auto"/>
      </w:divBdr>
    </w:div>
    <w:div w:id="542864833">
      <w:bodyDiv w:val="1"/>
      <w:marLeft w:val="0"/>
      <w:marRight w:val="0"/>
      <w:marTop w:val="0"/>
      <w:marBottom w:val="0"/>
      <w:divBdr>
        <w:top w:val="none" w:sz="0" w:space="0" w:color="auto"/>
        <w:left w:val="none" w:sz="0" w:space="0" w:color="auto"/>
        <w:bottom w:val="none" w:sz="0" w:space="0" w:color="auto"/>
        <w:right w:val="none" w:sz="0" w:space="0" w:color="auto"/>
      </w:divBdr>
    </w:div>
    <w:div w:id="542913193">
      <w:bodyDiv w:val="1"/>
      <w:marLeft w:val="0"/>
      <w:marRight w:val="0"/>
      <w:marTop w:val="0"/>
      <w:marBottom w:val="0"/>
      <w:divBdr>
        <w:top w:val="none" w:sz="0" w:space="0" w:color="auto"/>
        <w:left w:val="none" w:sz="0" w:space="0" w:color="auto"/>
        <w:bottom w:val="none" w:sz="0" w:space="0" w:color="auto"/>
        <w:right w:val="none" w:sz="0" w:space="0" w:color="auto"/>
      </w:divBdr>
    </w:div>
    <w:div w:id="542982189">
      <w:bodyDiv w:val="1"/>
      <w:marLeft w:val="0"/>
      <w:marRight w:val="0"/>
      <w:marTop w:val="0"/>
      <w:marBottom w:val="0"/>
      <w:divBdr>
        <w:top w:val="none" w:sz="0" w:space="0" w:color="auto"/>
        <w:left w:val="none" w:sz="0" w:space="0" w:color="auto"/>
        <w:bottom w:val="none" w:sz="0" w:space="0" w:color="auto"/>
        <w:right w:val="none" w:sz="0" w:space="0" w:color="auto"/>
      </w:divBdr>
    </w:div>
    <w:div w:id="543098281">
      <w:bodyDiv w:val="1"/>
      <w:marLeft w:val="0"/>
      <w:marRight w:val="0"/>
      <w:marTop w:val="0"/>
      <w:marBottom w:val="0"/>
      <w:divBdr>
        <w:top w:val="none" w:sz="0" w:space="0" w:color="auto"/>
        <w:left w:val="none" w:sz="0" w:space="0" w:color="auto"/>
        <w:bottom w:val="none" w:sz="0" w:space="0" w:color="auto"/>
        <w:right w:val="none" w:sz="0" w:space="0" w:color="auto"/>
      </w:divBdr>
    </w:div>
    <w:div w:id="543173486">
      <w:bodyDiv w:val="1"/>
      <w:marLeft w:val="0"/>
      <w:marRight w:val="0"/>
      <w:marTop w:val="0"/>
      <w:marBottom w:val="0"/>
      <w:divBdr>
        <w:top w:val="none" w:sz="0" w:space="0" w:color="auto"/>
        <w:left w:val="none" w:sz="0" w:space="0" w:color="auto"/>
        <w:bottom w:val="none" w:sz="0" w:space="0" w:color="auto"/>
        <w:right w:val="none" w:sz="0" w:space="0" w:color="auto"/>
      </w:divBdr>
    </w:div>
    <w:div w:id="543293658">
      <w:bodyDiv w:val="1"/>
      <w:marLeft w:val="0"/>
      <w:marRight w:val="0"/>
      <w:marTop w:val="0"/>
      <w:marBottom w:val="0"/>
      <w:divBdr>
        <w:top w:val="none" w:sz="0" w:space="0" w:color="auto"/>
        <w:left w:val="none" w:sz="0" w:space="0" w:color="auto"/>
        <w:bottom w:val="none" w:sz="0" w:space="0" w:color="auto"/>
        <w:right w:val="none" w:sz="0" w:space="0" w:color="auto"/>
      </w:divBdr>
    </w:div>
    <w:div w:id="543323742">
      <w:bodyDiv w:val="1"/>
      <w:marLeft w:val="0"/>
      <w:marRight w:val="0"/>
      <w:marTop w:val="0"/>
      <w:marBottom w:val="0"/>
      <w:divBdr>
        <w:top w:val="none" w:sz="0" w:space="0" w:color="auto"/>
        <w:left w:val="none" w:sz="0" w:space="0" w:color="auto"/>
        <w:bottom w:val="none" w:sz="0" w:space="0" w:color="auto"/>
        <w:right w:val="none" w:sz="0" w:space="0" w:color="auto"/>
      </w:divBdr>
    </w:div>
    <w:div w:id="543367472">
      <w:bodyDiv w:val="1"/>
      <w:marLeft w:val="0"/>
      <w:marRight w:val="0"/>
      <w:marTop w:val="0"/>
      <w:marBottom w:val="0"/>
      <w:divBdr>
        <w:top w:val="none" w:sz="0" w:space="0" w:color="auto"/>
        <w:left w:val="none" w:sz="0" w:space="0" w:color="auto"/>
        <w:bottom w:val="none" w:sz="0" w:space="0" w:color="auto"/>
        <w:right w:val="none" w:sz="0" w:space="0" w:color="auto"/>
      </w:divBdr>
    </w:div>
    <w:div w:id="543368519">
      <w:bodyDiv w:val="1"/>
      <w:marLeft w:val="0"/>
      <w:marRight w:val="0"/>
      <w:marTop w:val="0"/>
      <w:marBottom w:val="0"/>
      <w:divBdr>
        <w:top w:val="none" w:sz="0" w:space="0" w:color="auto"/>
        <w:left w:val="none" w:sz="0" w:space="0" w:color="auto"/>
        <w:bottom w:val="none" w:sz="0" w:space="0" w:color="auto"/>
        <w:right w:val="none" w:sz="0" w:space="0" w:color="auto"/>
      </w:divBdr>
    </w:div>
    <w:div w:id="543375036">
      <w:bodyDiv w:val="1"/>
      <w:marLeft w:val="0"/>
      <w:marRight w:val="0"/>
      <w:marTop w:val="0"/>
      <w:marBottom w:val="0"/>
      <w:divBdr>
        <w:top w:val="none" w:sz="0" w:space="0" w:color="auto"/>
        <w:left w:val="none" w:sz="0" w:space="0" w:color="auto"/>
        <w:bottom w:val="none" w:sz="0" w:space="0" w:color="auto"/>
        <w:right w:val="none" w:sz="0" w:space="0" w:color="auto"/>
      </w:divBdr>
    </w:div>
    <w:div w:id="543441301">
      <w:bodyDiv w:val="1"/>
      <w:marLeft w:val="0"/>
      <w:marRight w:val="0"/>
      <w:marTop w:val="0"/>
      <w:marBottom w:val="0"/>
      <w:divBdr>
        <w:top w:val="none" w:sz="0" w:space="0" w:color="auto"/>
        <w:left w:val="none" w:sz="0" w:space="0" w:color="auto"/>
        <w:bottom w:val="none" w:sz="0" w:space="0" w:color="auto"/>
        <w:right w:val="none" w:sz="0" w:space="0" w:color="auto"/>
      </w:divBdr>
    </w:div>
    <w:div w:id="543444686">
      <w:bodyDiv w:val="1"/>
      <w:marLeft w:val="0"/>
      <w:marRight w:val="0"/>
      <w:marTop w:val="0"/>
      <w:marBottom w:val="0"/>
      <w:divBdr>
        <w:top w:val="none" w:sz="0" w:space="0" w:color="auto"/>
        <w:left w:val="none" w:sz="0" w:space="0" w:color="auto"/>
        <w:bottom w:val="none" w:sz="0" w:space="0" w:color="auto"/>
        <w:right w:val="none" w:sz="0" w:space="0" w:color="auto"/>
      </w:divBdr>
    </w:div>
    <w:div w:id="543755352">
      <w:bodyDiv w:val="1"/>
      <w:marLeft w:val="0"/>
      <w:marRight w:val="0"/>
      <w:marTop w:val="0"/>
      <w:marBottom w:val="0"/>
      <w:divBdr>
        <w:top w:val="none" w:sz="0" w:space="0" w:color="auto"/>
        <w:left w:val="none" w:sz="0" w:space="0" w:color="auto"/>
        <w:bottom w:val="none" w:sz="0" w:space="0" w:color="auto"/>
        <w:right w:val="none" w:sz="0" w:space="0" w:color="auto"/>
      </w:divBdr>
    </w:div>
    <w:div w:id="543755534">
      <w:bodyDiv w:val="1"/>
      <w:marLeft w:val="0"/>
      <w:marRight w:val="0"/>
      <w:marTop w:val="0"/>
      <w:marBottom w:val="0"/>
      <w:divBdr>
        <w:top w:val="none" w:sz="0" w:space="0" w:color="auto"/>
        <w:left w:val="none" w:sz="0" w:space="0" w:color="auto"/>
        <w:bottom w:val="none" w:sz="0" w:space="0" w:color="auto"/>
        <w:right w:val="none" w:sz="0" w:space="0" w:color="auto"/>
      </w:divBdr>
    </w:div>
    <w:div w:id="543762211">
      <w:bodyDiv w:val="1"/>
      <w:marLeft w:val="0"/>
      <w:marRight w:val="0"/>
      <w:marTop w:val="0"/>
      <w:marBottom w:val="0"/>
      <w:divBdr>
        <w:top w:val="none" w:sz="0" w:space="0" w:color="auto"/>
        <w:left w:val="none" w:sz="0" w:space="0" w:color="auto"/>
        <w:bottom w:val="none" w:sz="0" w:space="0" w:color="auto"/>
        <w:right w:val="none" w:sz="0" w:space="0" w:color="auto"/>
      </w:divBdr>
    </w:div>
    <w:div w:id="543833770">
      <w:bodyDiv w:val="1"/>
      <w:marLeft w:val="0"/>
      <w:marRight w:val="0"/>
      <w:marTop w:val="0"/>
      <w:marBottom w:val="0"/>
      <w:divBdr>
        <w:top w:val="none" w:sz="0" w:space="0" w:color="auto"/>
        <w:left w:val="none" w:sz="0" w:space="0" w:color="auto"/>
        <w:bottom w:val="none" w:sz="0" w:space="0" w:color="auto"/>
        <w:right w:val="none" w:sz="0" w:space="0" w:color="auto"/>
      </w:divBdr>
    </w:div>
    <w:div w:id="543907613">
      <w:bodyDiv w:val="1"/>
      <w:marLeft w:val="0"/>
      <w:marRight w:val="0"/>
      <w:marTop w:val="0"/>
      <w:marBottom w:val="0"/>
      <w:divBdr>
        <w:top w:val="none" w:sz="0" w:space="0" w:color="auto"/>
        <w:left w:val="none" w:sz="0" w:space="0" w:color="auto"/>
        <w:bottom w:val="none" w:sz="0" w:space="0" w:color="auto"/>
        <w:right w:val="none" w:sz="0" w:space="0" w:color="auto"/>
      </w:divBdr>
    </w:div>
    <w:div w:id="544105916">
      <w:bodyDiv w:val="1"/>
      <w:marLeft w:val="0"/>
      <w:marRight w:val="0"/>
      <w:marTop w:val="0"/>
      <w:marBottom w:val="0"/>
      <w:divBdr>
        <w:top w:val="none" w:sz="0" w:space="0" w:color="auto"/>
        <w:left w:val="none" w:sz="0" w:space="0" w:color="auto"/>
        <w:bottom w:val="none" w:sz="0" w:space="0" w:color="auto"/>
        <w:right w:val="none" w:sz="0" w:space="0" w:color="auto"/>
      </w:divBdr>
    </w:div>
    <w:div w:id="544172726">
      <w:bodyDiv w:val="1"/>
      <w:marLeft w:val="0"/>
      <w:marRight w:val="0"/>
      <w:marTop w:val="0"/>
      <w:marBottom w:val="0"/>
      <w:divBdr>
        <w:top w:val="none" w:sz="0" w:space="0" w:color="auto"/>
        <w:left w:val="none" w:sz="0" w:space="0" w:color="auto"/>
        <w:bottom w:val="none" w:sz="0" w:space="0" w:color="auto"/>
        <w:right w:val="none" w:sz="0" w:space="0" w:color="auto"/>
      </w:divBdr>
    </w:div>
    <w:div w:id="544754622">
      <w:bodyDiv w:val="1"/>
      <w:marLeft w:val="0"/>
      <w:marRight w:val="0"/>
      <w:marTop w:val="0"/>
      <w:marBottom w:val="0"/>
      <w:divBdr>
        <w:top w:val="none" w:sz="0" w:space="0" w:color="auto"/>
        <w:left w:val="none" w:sz="0" w:space="0" w:color="auto"/>
        <w:bottom w:val="none" w:sz="0" w:space="0" w:color="auto"/>
        <w:right w:val="none" w:sz="0" w:space="0" w:color="auto"/>
      </w:divBdr>
    </w:div>
    <w:div w:id="545023996">
      <w:bodyDiv w:val="1"/>
      <w:marLeft w:val="0"/>
      <w:marRight w:val="0"/>
      <w:marTop w:val="0"/>
      <w:marBottom w:val="0"/>
      <w:divBdr>
        <w:top w:val="none" w:sz="0" w:space="0" w:color="auto"/>
        <w:left w:val="none" w:sz="0" w:space="0" w:color="auto"/>
        <w:bottom w:val="none" w:sz="0" w:space="0" w:color="auto"/>
        <w:right w:val="none" w:sz="0" w:space="0" w:color="auto"/>
      </w:divBdr>
    </w:div>
    <w:div w:id="545215858">
      <w:bodyDiv w:val="1"/>
      <w:marLeft w:val="0"/>
      <w:marRight w:val="0"/>
      <w:marTop w:val="0"/>
      <w:marBottom w:val="0"/>
      <w:divBdr>
        <w:top w:val="none" w:sz="0" w:space="0" w:color="auto"/>
        <w:left w:val="none" w:sz="0" w:space="0" w:color="auto"/>
        <w:bottom w:val="none" w:sz="0" w:space="0" w:color="auto"/>
        <w:right w:val="none" w:sz="0" w:space="0" w:color="auto"/>
      </w:divBdr>
    </w:div>
    <w:div w:id="545337820">
      <w:bodyDiv w:val="1"/>
      <w:marLeft w:val="0"/>
      <w:marRight w:val="0"/>
      <w:marTop w:val="0"/>
      <w:marBottom w:val="0"/>
      <w:divBdr>
        <w:top w:val="none" w:sz="0" w:space="0" w:color="auto"/>
        <w:left w:val="none" w:sz="0" w:space="0" w:color="auto"/>
        <w:bottom w:val="none" w:sz="0" w:space="0" w:color="auto"/>
        <w:right w:val="none" w:sz="0" w:space="0" w:color="auto"/>
      </w:divBdr>
    </w:div>
    <w:div w:id="545412185">
      <w:bodyDiv w:val="1"/>
      <w:marLeft w:val="0"/>
      <w:marRight w:val="0"/>
      <w:marTop w:val="0"/>
      <w:marBottom w:val="0"/>
      <w:divBdr>
        <w:top w:val="none" w:sz="0" w:space="0" w:color="auto"/>
        <w:left w:val="none" w:sz="0" w:space="0" w:color="auto"/>
        <w:bottom w:val="none" w:sz="0" w:space="0" w:color="auto"/>
        <w:right w:val="none" w:sz="0" w:space="0" w:color="auto"/>
      </w:divBdr>
    </w:div>
    <w:div w:id="545457298">
      <w:bodyDiv w:val="1"/>
      <w:marLeft w:val="0"/>
      <w:marRight w:val="0"/>
      <w:marTop w:val="0"/>
      <w:marBottom w:val="0"/>
      <w:divBdr>
        <w:top w:val="none" w:sz="0" w:space="0" w:color="auto"/>
        <w:left w:val="none" w:sz="0" w:space="0" w:color="auto"/>
        <w:bottom w:val="none" w:sz="0" w:space="0" w:color="auto"/>
        <w:right w:val="none" w:sz="0" w:space="0" w:color="auto"/>
      </w:divBdr>
    </w:div>
    <w:div w:id="545486705">
      <w:bodyDiv w:val="1"/>
      <w:marLeft w:val="0"/>
      <w:marRight w:val="0"/>
      <w:marTop w:val="0"/>
      <w:marBottom w:val="0"/>
      <w:divBdr>
        <w:top w:val="none" w:sz="0" w:space="0" w:color="auto"/>
        <w:left w:val="none" w:sz="0" w:space="0" w:color="auto"/>
        <w:bottom w:val="none" w:sz="0" w:space="0" w:color="auto"/>
        <w:right w:val="none" w:sz="0" w:space="0" w:color="auto"/>
      </w:divBdr>
    </w:div>
    <w:div w:id="545486788">
      <w:bodyDiv w:val="1"/>
      <w:marLeft w:val="0"/>
      <w:marRight w:val="0"/>
      <w:marTop w:val="0"/>
      <w:marBottom w:val="0"/>
      <w:divBdr>
        <w:top w:val="none" w:sz="0" w:space="0" w:color="auto"/>
        <w:left w:val="none" w:sz="0" w:space="0" w:color="auto"/>
        <w:bottom w:val="none" w:sz="0" w:space="0" w:color="auto"/>
        <w:right w:val="none" w:sz="0" w:space="0" w:color="auto"/>
      </w:divBdr>
    </w:div>
    <w:div w:id="545529938">
      <w:bodyDiv w:val="1"/>
      <w:marLeft w:val="0"/>
      <w:marRight w:val="0"/>
      <w:marTop w:val="0"/>
      <w:marBottom w:val="0"/>
      <w:divBdr>
        <w:top w:val="none" w:sz="0" w:space="0" w:color="auto"/>
        <w:left w:val="none" w:sz="0" w:space="0" w:color="auto"/>
        <w:bottom w:val="none" w:sz="0" w:space="0" w:color="auto"/>
        <w:right w:val="none" w:sz="0" w:space="0" w:color="auto"/>
      </w:divBdr>
    </w:div>
    <w:div w:id="545530650">
      <w:bodyDiv w:val="1"/>
      <w:marLeft w:val="0"/>
      <w:marRight w:val="0"/>
      <w:marTop w:val="0"/>
      <w:marBottom w:val="0"/>
      <w:divBdr>
        <w:top w:val="none" w:sz="0" w:space="0" w:color="auto"/>
        <w:left w:val="none" w:sz="0" w:space="0" w:color="auto"/>
        <w:bottom w:val="none" w:sz="0" w:space="0" w:color="auto"/>
        <w:right w:val="none" w:sz="0" w:space="0" w:color="auto"/>
      </w:divBdr>
    </w:div>
    <w:div w:id="545609185">
      <w:bodyDiv w:val="1"/>
      <w:marLeft w:val="0"/>
      <w:marRight w:val="0"/>
      <w:marTop w:val="0"/>
      <w:marBottom w:val="0"/>
      <w:divBdr>
        <w:top w:val="none" w:sz="0" w:space="0" w:color="auto"/>
        <w:left w:val="none" w:sz="0" w:space="0" w:color="auto"/>
        <w:bottom w:val="none" w:sz="0" w:space="0" w:color="auto"/>
        <w:right w:val="none" w:sz="0" w:space="0" w:color="auto"/>
      </w:divBdr>
    </w:div>
    <w:div w:id="545684772">
      <w:bodyDiv w:val="1"/>
      <w:marLeft w:val="0"/>
      <w:marRight w:val="0"/>
      <w:marTop w:val="0"/>
      <w:marBottom w:val="0"/>
      <w:divBdr>
        <w:top w:val="none" w:sz="0" w:space="0" w:color="auto"/>
        <w:left w:val="none" w:sz="0" w:space="0" w:color="auto"/>
        <w:bottom w:val="none" w:sz="0" w:space="0" w:color="auto"/>
        <w:right w:val="none" w:sz="0" w:space="0" w:color="auto"/>
      </w:divBdr>
    </w:div>
    <w:div w:id="545871188">
      <w:bodyDiv w:val="1"/>
      <w:marLeft w:val="0"/>
      <w:marRight w:val="0"/>
      <w:marTop w:val="0"/>
      <w:marBottom w:val="0"/>
      <w:divBdr>
        <w:top w:val="none" w:sz="0" w:space="0" w:color="auto"/>
        <w:left w:val="none" w:sz="0" w:space="0" w:color="auto"/>
        <w:bottom w:val="none" w:sz="0" w:space="0" w:color="auto"/>
        <w:right w:val="none" w:sz="0" w:space="0" w:color="auto"/>
      </w:divBdr>
    </w:div>
    <w:div w:id="545877017">
      <w:bodyDiv w:val="1"/>
      <w:marLeft w:val="0"/>
      <w:marRight w:val="0"/>
      <w:marTop w:val="0"/>
      <w:marBottom w:val="0"/>
      <w:divBdr>
        <w:top w:val="none" w:sz="0" w:space="0" w:color="auto"/>
        <w:left w:val="none" w:sz="0" w:space="0" w:color="auto"/>
        <w:bottom w:val="none" w:sz="0" w:space="0" w:color="auto"/>
        <w:right w:val="none" w:sz="0" w:space="0" w:color="auto"/>
      </w:divBdr>
    </w:div>
    <w:div w:id="545944404">
      <w:bodyDiv w:val="1"/>
      <w:marLeft w:val="0"/>
      <w:marRight w:val="0"/>
      <w:marTop w:val="0"/>
      <w:marBottom w:val="0"/>
      <w:divBdr>
        <w:top w:val="none" w:sz="0" w:space="0" w:color="auto"/>
        <w:left w:val="none" w:sz="0" w:space="0" w:color="auto"/>
        <w:bottom w:val="none" w:sz="0" w:space="0" w:color="auto"/>
        <w:right w:val="none" w:sz="0" w:space="0" w:color="auto"/>
      </w:divBdr>
    </w:div>
    <w:div w:id="545945591">
      <w:bodyDiv w:val="1"/>
      <w:marLeft w:val="0"/>
      <w:marRight w:val="0"/>
      <w:marTop w:val="0"/>
      <w:marBottom w:val="0"/>
      <w:divBdr>
        <w:top w:val="none" w:sz="0" w:space="0" w:color="auto"/>
        <w:left w:val="none" w:sz="0" w:space="0" w:color="auto"/>
        <w:bottom w:val="none" w:sz="0" w:space="0" w:color="auto"/>
        <w:right w:val="none" w:sz="0" w:space="0" w:color="auto"/>
      </w:divBdr>
    </w:div>
    <w:div w:id="546067361">
      <w:bodyDiv w:val="1"/>
      <w:marLeft w:val="0"/>
      <w:marRight w:val="0"/>
      <w:marTop w:val="0"/>
      <w:marBottom w:val="0"/>
      <w:divBdr>
        <w:top w:val="none" w:sz="0" w:space="0" w:color="auto"/>
        <w:left w:val="none" w:sz="0" w:space="0" w:color="auto"/>
        <w:bottom w:val="none" w:sz="0" w:space="0" w:color="auto"/>
        <w:right w:val="none" w:sz="0" w:space="0" w:color="auto"/>
      </w:divBdr>
    </w:div>
    <w:div w:id="546069257">
      <w:bodyDiv w:val="1"/>
      <w:marLeft w:val="0"/>
      <w:marRight w:val="0"/>
      <w:marTop w:val="0"/>
      <w:marBottom w:val="0"/>
      <w:divBdr>
        <w:top w:val="none" w:sz="0" w:space="0" w:color="auto"/>
        <w:left w:val="none" w:sz="0" w:space="0" w:color="auto"/>
        <w:bottom w:val="none" w:sz="0" w:space="0" w:color="auto"/>
        <w:right w:val="none" w:sz="0" w:space="0" w:color="auto"/>
      </w:divBdr>
    </w:div>
    <w:div w:id="546142629">
      <w:bodyDiv w:val="1"/>
      <w:marLeft w:val="0"/>
      <w:marRight w:val="0"/>
      <w:marTop w:val="0"/>
      <w:marBottom w:val="0"/>
      <w:divBdr>
        <w:top w:val="none" w:sz="0" w:space="0" w:color="auto"/>
        <w:left w:val="none" w:sz="0" w:space="0" w:color="auto"/>
        <w:bottom w:val="none" w:sz="0" w:space="0" w:color="auto"/>
        <w:right w:val="none" w:sz="0" w:space="0" w:color="auto"/>
      </w:divBdr>
    </w:div>
    <w:div w:id="546183798">
      <w:bodyDiv w:val="1"/>
      <w:marLeft w:val="0"/>
      <w:marRight w:val="0"/>
      <w:marTop w:val="0"/>
      <w:marBottom w:val="0"/>
      <w:divBdr>
        <w:top w:val="none" w:sz="0" w:space="0" w:color="auto"/>
        <w:left w:val="none" w:sz="0" w:space="0" w:color="auto"/>
        <w:bottom w:val="none" w:sz="0" w:space="0" w:color="auto"/>
        <w:right w:val="none" w:sz="0" w:space="0" w:color="auto"/>
      </w:divBdr>
    </w:div>
    <w:div w:id="546187992">
      <w:bodyDiv w:val="1"/>
      <w:marLeft w:val="0"/>
      <w:marRight w:val="0"/>
      <w:marTop w:val="0"/>
      <w:marBottom w:val="0"/>
      <w:divBdr>
        <w:top w:val="none" w:sz="0" w:space="0" w:color="auto"/>
        <w:left w:val="none" w:sz="0" w:space="0" w:color="auto"/>
        <w:bottom w:val="none" w:sz="0" w:space="0" w:color="auto"/>
        <w:right w:val="none" w:sz="0" w:space="0" w:color="auto"/>
      </w:divBdr>
    </w:div>
    <w:div w:id="546333629">
      <w:bodyDiv w:val="1"/>
      <w:marLeft w:val="0"/>
      <w:marRight w:val="0"/>
      <w:marTop w:val="0"/>
      <w:marBottom w:val="0"/>
      <w:divBdr>
        <w:top w:val="none" w:sz="0" w:space="0" w:color="auto"/>
        <w:left w:val="none" w:sz="0" w:space="0" w:color="auto"/>
        <w:bottom w:val="none" w:sz="0" w:space="0" w:color="auto"/>
        <w:right w:val="none" w:sz="0" w:space="0" w:color="auto"/>
      </w:divBdr>
    </w:div>
    <w:div w:id="546335406">
      <w:bodyDiv w:val="1"/>
      <w:marLeft w:val="0"/>
      <w:marRight w:val="0"/>
      <w:marTop w:val="0"/>
      <w:marBottom w:val="0"/>
      <w:divBdr>
        <w:top w:val="none" w:sz="0" w:space="0" w:color="auto"/>
        <w:left w:val="none" w:sz="0" w:space="0" w:color="auto"/>
        <w:bottom w:val="none" w:sz="0" w:space="0" w:color="auto"/>
        <w:right w:val="none" w:sz="0" w:space="0" w:color="auto"/>
      </w:divBdr>
    </w:div>
    <w:div w:id="546381161">
      <w:bodyDiv w:val="1"/>
      <w:marLeft w:val="0"/>
      <w:marRight w:val="0"/>
      <w:marTop w:val="0"/>
      <w:marBottom w:val="0"/>
      <w:divBdr>
        <w:top w:val="none" w:sz="0" w:space="0" w:color="auto"/>
        <w:left w:val="none" w:sz="0" w:space="0" w:color="auto"/>
        <w:bottom w:val="none" w:sz="0" w:space="0" w:color="auto"/>
        <w:right w:val="none" w:sz="0" w:space="0" w:color="auto"/>
      </w:divBdr>
    </w:div>
    <w:div w:id="546453690">
      <w:bodyDiv w:val="1"/>
      <w:marLeft w:val="0"/>
      <w:marRight w:val="0"/>
      <w:marTop w:val="0"/>
      <w:marBottom w:val="0"/>
      <w:divBdr>
        <w:top w:val="none" w:sz="0" w:space="0" w:color="auto"/>
        <w:left w:val="none" w:sz="0" w:space="0" w:color="auto"/>
        <w:bottom w:val="none" w:sz="0" w:space="0" w:color="auto"/>
        <w:right w:val="none" w:sz="0" w:space="0" w:color="auto"/>
      </w:divBdr>
    </w:div>
    <w:div w:id="546574803">
      <w:bodyDiv w:val="1"/>
      <w:marLeft w:val="0"/>
      <w:marRight w:val="0"/>
      <w:marTop w:val="0"/>
      <w:marBottom w:val="0"/>
      <w:divBdr>
        <w:top w:val="none" w:sz="0" w:space="0" w:color="auto"/>
        <w:left w:val="none" w:sz="0" w:space="0" w:color="auto"/>
        <w:bottom w:val="none" w:sz="0" w:space="0" w:color="auto"/>
        <w:right w:val="none" w:sz="0" w:space="0" w:color="auto"/>
      </w:divBdr>
    </w:div>
    <w:div w:id="546576524">
      <w:bodyDiv w:val="1"/>
      <w:marLeft w:val="0"/>
      <w:marRight w:val="0"/>
      <w:marTop w:val="0"/>
      <w:marBottom w:val="0"/>
      <w:divBdr>
        <w:top w:val="none" w:sz="0" w:space="0" w:color="auto"/>
        <w:left w:val="none" w:sz="0" w:space="0" w:color="auto"/>
        <w:bottom w:val="none" w:sz="0" w:space="0" w:color="auto"/>
        <w:right w:val="none" w:sz="0" w:space="0" w:color="auto"/>
      </w:divBdr>
    </w:div>
    <w:div w:id="546601649">
      <w:bodyDiv w:val="1"/>
      <w:marLeft w:val="0"/>
      <w:marRight w:val="0"/>
      <w:marTop w:val="0"/>
      <w:marBottom w:val="0"/>
      <w:divBdr>
        <w:top w:val="none" w:sz="0" w:space="0" w:color="auto"/>
        <w:left w:val="none" w:sz="0" w:space="0" w:color="auto"/>
        <w:bottom w:val="none" w:sz="0" w:space="0" w:color="auto"/>
        <w:right w:val="none" w:sz="0" w:space="0" w:color="auto"/>
      </w:divBdr>
    </w:div>
    <w:div w:id="546602914">
      <w:bodyDiv w:val="1"/>
      <w:marLeft w:val="0"/>
      <w:marRight w:val="0"/>
      <w:marTop w:val="0"/>
      <w:marBottom w:val="0"/>
      <w:divBdr>
        <w:top w:val="none" w:sz="0" w:space="0" w:color="auto"/>
        <w:left w:val="none" w:sz="0" w:space="0" w:color="auto"/>
        <w:bottom w:val="none" w:sz="0" w:space="0" w:color="auto"/>
        <w:right w:val="none" w:sz="0" w:space="0" w:color="auto"/>
      </w:divBdr>
    </w:div>
    <w:div w:id="546643245">
      <w:bodyDiv w:val="1"/>
      <w:marLeft w:val="0"/>
      <w:marRight w:val="0"/>
      <w:marTop w:val="0"/>
      <w:marBottom w:val="0"/>
      <w:divBdr>
        <w:top w:val="none" w:sz="0" w:space="0" w:color="auto"/>
        <w:left w:val="none" w:sz="0" w:space="0" w:color="auto"/>
        <w:bottom w:val="none" w:sz="0" w:space="0" w:color="auto"/>
        <w:right w:val="none" w:sz="0" w:space="0" w:color="auto"/>
      </w:divBdr>
    </w:div>
    <w:div w:id="546839382">
      <w:bodyDiv w:val="1"/>
      <w:marLeft w:val="0"/>
      <w:marRight w:val="0"/>
      <w:marTop w:val="0"/>
      <w:marBottom w:val="0"/>
      <w:divBdr>
        <w:top w:val="none" w:sz="0" w:space="0" w:color="auto"/>
        <w:left w:val="none" w:sz="0" w:space="0" w:color="auto"/>
        <w:bottom w:val="none" w:sz="0" w:space="0" w:color="auto"/>
        <w:right w:val="none" w:sz="0" w:space="0" w:color="auto"/>
      </w:divBdr>
    </w:div>
    <w:div w:id="546843997">
      <w:bodyDiv w:val="1"/>
      <w:marLeft w:val="0"/>
      <w:marRight w:val="0"/>
      <w:marTop w:val="0"/>
      <w:marBottom w:val="0"/>
      <w:divBdr>
        <w:top w:val="none" w:sz="0" w:space="0" w:color="auto"/>
        <w:left w:val="none" w:sz="0" w:space="0" w:color="auto"/>
        <w:bottom w:val="none" w:sz="0" w:space="0" w:color="auto"/>
        <w:right w:val="none" w:sz="0" w:space="0" w:color="auto"/>
      </w:divBdr>
    </w:div>
    <w:div w:id="546920517">
      <w:bodyDiv w:val="1"/>
      <w:marLeft w:val="0"/>
      <w:marRight w:val="0"/>
      <w:marTop w:val="0"/>
      <w:marBottom w:val="0"/>
      <w:divBdr>
        <w:top w:val="none" w:sz="0" w:space="0" w:color="auto"/>
        <w:left w:val="none" w:sz="0" w:space="0" w:color="auto"/>
        <w:bottom w:val="none" w:sz="0" w:space="0" w:color="auto"/>
        <w:right w:val="none" w:sz="0" w:space="0" w:color="auto"/>
      </w:divBdr>
    </w:div>
    <w:div w:id="546991110">
      <w:bodyDiv w:val="1"/>
      <w:marLeft w:val="0"/>
      <w:marRight w:val="0"/>
      <w:marTop w:val="0"/>
      <w:marBottom w:val="0"/>
      <w:divBdr>
        <w:top w:val="none" w:sz="0" w:space="0" w:color="auto"/>
        <w:left w:val="none" w:sz="0" w:space="0" w:color="auto"/>
        <w:bottom w:val="none" w:sz="0" w:space="0" w:color="auto"/>
        <w:right w:val="none" w:sz="0" w:space="0" w:color="auto"/>
      </w:divBdr>
    </w:div>
    <w:div w:id="546994747">
      <w:bodyDiv w:val="1"/>
      <w:marLeft w:val="0"/>
      <w:marRight w:val="0"/>
      <w:marTop w:val="0"/>
      <w:marBottom w:val="0"/>
      <w:divBdr>
        <w:top w:val="none" w:sz="0" w:space="0" w:color="auto"/>
        <w:left w:val="none" w:sz="0" w:space="0" w:color="auto"/>
        <w:bottom w:val="none" w:sz="0" w:space="0" w:color="auto"/>
        <w:right w:val="none" w:sz="0" w:space="0" w:color="auto"/>
      </w:divBdr>
    </w:div>
    <w:div w:id="547108901">
      <w:bodyDiv w:val="1"/>
      <w:marLeft w:val="0"/>
      <w:marRight w:val="0"/>
      <w:marTop w:val="0"/>
      <w:marBottom w:val="0"/>
      <w:divBdr>
        <w:top w:val="none" w:sz="0" w:space="0" w:color="auto"/>
        <w:left w:val="none" w:sz="0" w:space="0" w:color="auto"/>
        <w:bottom w:val="none" w:sz="0" w:space="0" w:color="auto"/>
        <w:right w:val="none" w:sz="0" w:space="0" w:color="auto"/>
      </w:divBdr>
    </w:div>
    <w:div w:id="547109415">
      <w:bodyDiv w:val="1"/>
      <w:marLeft w:val="0"/>
      <w:marRight w:val="0"/>
      <w:marTop w:val="0"/>
      <w:marBottom w:val="0"/>
      <w:divBdr>
        <w:top w:val="none" w:sz="0" w:space="0" w:color="auto"/>
        <w:left w:val="none" w:sz="0" w:space="0" w:color="auto"/>
        <w:bottom w:val="none" w:sz="0" w:space="0" w:color="auto"/>
        <w:right w:val="none" w:sz="0" w:space="0" w:color="auto"/>
      </w:divBdr>
    </w:div>
    <w:div w:id="547180106">
      <w:bodyDiv w:val="1"/>
      <w:marLeft w:val="0"/>
      <w:marRight w:val="0"/>
      <w:marTop w:val="0"/>
      <w:marBottom w:val="0"/>
      <w:divBdr>
        <w:top w:val="none" w:sz="0" w:space="0" w:color="auto"/>
        <w:left w:val="none" w:sz="0" w:space="0" w:color="auto"/>
        <w:bottom w:val="none" w:sz="0" w:space="0" w:color="auto"/>
        <w:right w:val="none" w:sz="0" w:space="0" w:color="auto"/>
      </w:divBdr>
    </w:div>
    <w:div w:id="547227303">
      <w:bodyDiv w:val="1"/>
      <w:marLeft w:val="0"/>
      <w:marRight w:val="0"/>
      <w:marTop w:val="0"/>
      <w:marBottom w:val="0"/>
      <w:divBdr>
        <w:top w:val="none" w:sz="0" w:space="0" w:color="auto"/>
        <w:left w:val="none" w:sz="0" w:space="0" w:color="auto"/>
        <w:bottom w:val="none" w:sz="0" w:space="0" w:color="auto"/>
        <w:right w:val="none" w:sz="0" w:space="0" w:color="auto"/>
      </w:divBdr>
    </w:div>
    <w:div w:id="547424047">
      <w:bodyDiv w:val="1"/>
      <w:marLeft w:val="0"/>
      <w:marRight w:val="0"/>
      <w:marTop w:val="0"/>
      <w:marBottom w:val="0"/>
      <w:divBdr>
        <w:top w:val="none" w:sz="0" w:space="0" w:color="auto"/>
        <w:left w:val="none" w:sz="0" w:space="0" w:color="auto"/>
        <w:bottom w:val="none" w:sz="0" w:space="0" w:color="auto"/>
        <w:right w:val="none" w:sz="0" w:space="0" w:color="auto"/>
      </w:divBdr>
    </w:div>
    <w:div w:id="547497268">
      <w:bodyDiv w:val="1"/>
      <w:marLeft w:val="0"/>
      <w:marRight w:val="0"/>
      <w:marTop w:val="0"/>
      <w:marBottom w:val="0"/>
      <w:divBdr>
        <w:top w:val="none" w:sz="0" w:space="0" w:color="auto"/>
        <w:left w:val="none" w:sz="0" w:space="0" w:color="auto"/>
        <w:bottom w:val="none" w:sz="0" w:space="0" w:color="auto"/>
        <w:right w:val="none" w:sz="0" w:space="0" w:color="auto"/>
      </w:divBdr>
    </w:div>
    <w:div w:id="547641466">
      <w:bodyDiv w:val="1"/>
      <w:marLeft w:val="0"/>
      <w:marRight w:val="0"/>
      <w:marTop w:val="0"/>
      <w:marBottom w:val="0"/>
      <w:divBdr>
        <w:top w:val="none" w:sz="0" w:space="0" w:color="auto"/>
        <w:left w:val="none" w:sz="0" w:space="0" w:color="auto"/>
        <w:bottom w:val="none" w:sz="0" w:space="0" w:color="auto"/>
        <w:right w:val="none" w:sz="0" w:space="0" w:color="auto"/>
      </w:divBdr>
    </w:div>
    <w:div w:id="547646051">
      <w:bodyDiv w:val="1"/>
      <w:marLeft w:val="0"/>
      <w:marRight w:val="0"/>
      <w:marTop w:val="0"/>
      <w:marBottom w:val="0"/>
      <w:divBdr>
        <w:top w:val="none" w:sz="0" w:space="0" w:color="auto"/>
        <w:left w:val="none" w:sz="0" w:space="0" w:color="auto"/>
        <w:bottom w:val="none" w:sz="0" w:space="0" w:color="auto"/>
        <w:right w:val="none" w:sz="0" w:space="0" w:color="auto"/>
      </w:divBdr>
    </w:div>
    <w:div w:id="547684425">
      <w:bodyDiv w:val="1"/>
      <w:marLeft w:val="0"/>
      <w:marRight w:val="0"/>
      <w:marTop w:val="0"/>
      <w:marBottom w:val="0"/>
      <w:divBdr>
        <w:top w:val="none" w:sz="0" w:space="0" w:color="auto"/>
        <w:left w:val="none" w:sz="0" w:space="0" w:color="auto"/>
        <w:bottom w:val="none" w:sz="0" w:space="0" w:color="auto"/>
        <w:right w:val="none" w:sz="0" w:space="0" w:color="auto"/>
      </w:divBdr>
    </w:div>
    <w:div w:id="547686246">
      <w:bodyDiv w:val="1"/>
      <w:marLeft w:val="0"/>
      <w:marRight w:val="0"/>
      <w:marTop w:val="0"/>
      <w:marBottom w:val="0"/>
      <w:divBdr>
        <w:top w:val="none" w:sz="0" w:space="0" w:color="auto"/>
        <w:left w:val="none" w:sz="0" w:space="0" w:color="auto"/>
        <w:bottom w:val="none" w:sz="0" w:space="0" w:color="auto"/>
        <w:right w:val="none" w:sz="0" w:space="0" w:color="auto"/>
      </w:divBdr>
    </w:div>
    <w:div w:id="547839707">
      <w:bodyDiv w:val="1"/>
      <w:marLeft w:val="0"/>
      <w:marRight w:val="0"/>
      <w:marTop w:val="0"/>
      <w:marBottom w:val="0"/>
      <w:divBdr>
        <w:top w:val="none" w:sz="0" w:space="0" w:color="auto"/>
        <w:left w:val="none" w:sz="0" w:space="0" w:color="auto"/>
        <w:bottom w:val="none" w:sz="0" w:space="0" w:color="auto"/>
        <w:right w:val="none" w:sz="0" w:space="0" w:color="auto"/>
      </w:divBdr>
    </w:div>
    <w:div w:id="547911069">
      <w:bodyDiv w:val="1"/>
      <w:marLeft w:val="0"/>
      <w:marRight w:val="0"/>
      <w:marTop w:val="0"/>
      <w:marBottom w:val="0"/>
      <w:divBdr>
        <w:top w:val="none" w:sz="0" w:space="0" w:color="auto"/>
        <w:left w:val="none" w:sz="0" w:space="0" w:color="auto"/>
        <w:bottom w:val="none" w:sz="0" w:space="0" w:color="auto"/>
        <w:right w:val="none" w:sz="0" w:space="0" w:color="auto"/>
      </w:divBdr>
    </w:div>
    <w:div w:id="548036220">
      <w:bodyDiv w:val="1"/>
      <w:marLeft w:val="0"/>
      <w:marRight w:val="0"/>
      <w:marTop w:val="0"/>
      <w:marBottom w:val="0"/>
      <w:divBdr>
        <w:top w:val="none" w:sz="0" w:space="0" w:color="auto"/>
        <w:left w:val="none" w:sz="0" w:space="0" w:color="auto"/>
        <w:bottom w:val="none" w:sz="0" w:space="0" w:color="auto"/>
        <w:right w:val="none" w:sz="0" w:space="0" w:color="auto"/>
      </w:divBdr>
    </w:div>
    <w:div w:id="548080334">
      <w:bodyDiv w:val="1"/>
      <w:marLeft w:val="0"/>
      <w:marRight w:val="0"/>
      <w:marTop w:val="0"/>
      <w:marBottom w:val="0"/>
      <w:divBdr>
        <w:top w:val="none" w:sz="0" w:space="0" w:color="auto"/>
        <w:left w:val="none" w:sz="0" w:space="0" w:color="auto"/>
        <w:bottom w:val="none" w:sz="0" w:space="0" w:color="auto"/>
        <w:right w:val="none" w:sz="0" w:space="0" w:color="auto"/>
      </w:divBdr>
    </w:div>
    <w:div w:id="548148229">
      <w:bodyDiv w:val="1"/>
      <w:marLeft w:val="0"/>
      <w:marRight w:val="0"/>
      <w:marTop w:val="0"/>
      <w:marBottom w:val="0"/>
      <w:divBdr>
        <w:top w:val="none" w:sz="0" w:space="0" w:color="auto"/>
        <w:left w:val="none" w:sz="0" w:space="0" w:color="auto"/>
        <w:bottom w:val="none" w:sz="0" w:space="0" w:color="auto"/>
        <w:right w:val="none" w:sz="0" w:space="0" w:color="auto"/>
      </w:divBdr>
    </w:div>
    <w:div w:id="548222377">
      <w:bodyDiv w:val="1"/>
      <w:marLeft w:val="0"/>
      <w:marRight w:val="0"/>
      <w:marTop w:val="0"/>
      <w:marBottom w:val="0"/>
      <w:divBdr>
        <w:top w:val="none" w:sz="0" w:space="0" w:color="auto"/>
        <w:left w:val="none" w:sz="0" w:space="0" w:color="auto"/>
        <w:bottom w:val="none" w:sz="0" w:space="0" w:color="auto"/>
        <w:right w:val="none" w:sz="0" w:space="0" w:color="auto"/>
      </w:divBdr>
    </w:div>
    <w:div w:id="548298269">
      <w:bodyDiv w:val="1"/>
      <w:marLeft w:val="0"/>
      <w:marRight w:val="0"/>
      <w:marTop w:val="0"/>
      <w:marBottom w:val="0"/>
      <w:divBdr>
        <w:top w:val="none" w:sz="0" w:space="0" w:color="auto"/>
        <w:left w:val="none" w:sz="0" w:space="0" w:color="auto"/>
        <w:bottom w:val="none" w:sz="0" w:space="0" w:color="auto"/>
        <w:right w:val="none" w:sz="0" w:space="0" w:color="auto"/>
      </w:divBdr>
    </w:div>
    <w:div w:id="548300978">
      <w:bodyDiv w:val="1"/>
      <w:marLeft w:val="0"/>
      <w:marRight w:val="0"/>
      <w:marTop w:val="0"/>
      <w:marBottom w:val="0"/>
      <w:divBdr>
        <w:top w:val="none" w:sz="0" w:space="0" w:color="auto"/>
        <w:left w:val="none" w:sz="0" w:space="0" w:color="auto"/>
        <w:bottom w:val="none" w:sz="0" w:space="0" w:color="auto"/>
        <w:right w:val="none" w:sz="0" w:space="0" w:color="auto"/>
      </w:divBdr>
    </w:div>
    <w:div w:id="548345853">
      <w:bodyDiv w:val="1"/>
      <w:marLeft w:val="0"/>
      <w:marRight w:val="0"/>
      <w:marTop w:val="0"/>
      <w:marBottom w:val="0"/>
      <w:divBdr>
        <w:top w:val="none" w:sz="0" w:space="0" w:color="auto"/>
        <w:left w:val="none" w:sz="0" w:space="0" w:color="auto"/>
        <w:bottom w:val="none" w:sz="0" w:space="0" w:color="auto"/>
        <w:right w:val="none" w:sz="0" w:space="0" w:color="auto"/>
      </w:divBdr>
    </w:div>
    <w:div w:id="548417590">
      <w:bodyDiv w:val="1"/>
      <w:marLeft w:val="0"/>
      <w:marRight w:val="0"/>
      <w:marTop w:val="0"/>
      <w:marBottom w:val="0"/>
      <w:divBdr>
        <w:top w:val="none" w:sz="0" w:space="0" w:color="auto"/>
        <w:left w:val="none" w:sz="0" w:space="0" w:color="auto"/>
        <w:bottom w:val="none" w:sz="0" w:space="0" w:color="auto"/>
        <w:right w:val="none" w:sz="0" w:space="0" w:color="auto"/>
      </w:divBdr>
    </w:div>
    <w:div w:id="548419576">
      <w:bodyDiv w:val="1"/>
      <w:marLeft w:val="0"/>
      <w:marRight w:val="0"/>
      <w:marTop w:val="0"/>
      <w:marBottom w:val="0"/>
      <w:divBdr>
        <w:top w:val="none" w:sz="0" w:space="0" w:color="auto"/>
        <w:left w:val="none" w:sz="0" w:space="0" w:color="auto"/>
        <w:bottom w:val="none" w:sz="0" w:space="0" w:color="auto"/>
        <w:right w:val="none" w:sz="0" w:space="0" w:color="auto"/>
      </w:divBdr>
    </w:div>
    <w:div w:id="548687000">
      <w:bodyDiv w:val="1"/>
      <w:marLeft w:val="0"/>
      <w:marRight w:val="0"/>
      <w:marTop w:val="0"/>
      <w:marBottom w:val="0"/>
      <w:divBdr>
        <w:top w:val="none" w:sz="0" w:space="0" w:color="auto"/>
        <w:left w:val="none" w:sz="0" w:space="0" w:color="auto"/>
        <w:bottom w:val="none" w:sz="0" w:space="0" w:color="auto"/>
        <w:right w:val="none" w:sz="0" w:space="0" w:color="auto"/>
      </w:divBdr>
    </w:div>
    <w:div w:id="548734933">
      <w:bodyDiv w:val="1"/>
      <w:marLeft w:val="0"/>
      <w:marRight w:val="0"/>
      <w:marTop w:val="0"/>
      <w:marBottom w:val="0"/>
      <w:divBdr>
        <w:top w:val="none" w:sz="0" w:space="0" w:color="auto"/>
        <w:left w:val="none" w:sz="0" w:space="0" w:color="auto"/>
        <w:bottom w:val="none" w:sz="0" w:space="0" w:color="auto"/>
        <w:right w:val="none" w:sz="0" w:space="0" w:color="auto"/>
      </w:divBdr>
    </w:div>
    <w:div w:id="548807681">
      <w:bodyDiv w:val="1"/>
      <w:marLeft w:val="0"/>
      <w:marRight w:val="0"/>
      <w:marTop w:val="0"/>
      <w:marBottom w:val="0"/>
      <w:divBdr>
        <w:top w:val="none" w:sz="0" w:space="0" w:color="auto"/>
        <w:left w:val="none" w:sz="0" w:space="0" w:color="auto"/>
        <w:bottom w:val="none" w:sz="0" w:space="0" w:color="auto"/>
        <w:right w:val="none" w:sz="0" w:space="0" w:color="auto"/>
      </w:divBdr>
    </w:div>
    <w:div w:id="549078166">
      <w:bodyDiv w:val="1"/>
      <w:marLeft w:val="0"/>
      <w:marRight w:val="0"/>
      <w:marTop w:val="0"/>
      <w:marBottom w:val="0"/>
      <w:divBdr>
        <w:top w:val="none" w:sz="0" w:space="0" w:color="auto"/>
        <w:left w:val="none" w:sz="0" w:space="0" w:color="auto"/>
        <w:bottom w:val="none" w:sz="0" w:space="0" w:color="auto"/>
        <w:right w:val="none" w:sz="0" w:space="0" w:color="auto"/>
      </w:divBdr>
    </w:div>
    <w:div w:id="549196477">
      <w:bodyDiv w:val="1"/>
      <w:marLeft w:val="0"/>
      <w:marRight w:val="0"/>
      <w:marTop w:val="0"/>
      <w:marBottom w:val="0"/>
      <w:divBdr>
        <w:top w:val="none" w:sz="0" w:space="0" w:color="auto"/>
        <w:left w:val="none" w:sz="0" w:space="0" w:color="auto"/>
        <w:bottom w:val="none" w:sz="0" w:space="0" w:color="auto"/>
        <w:right w:val="none" w:sz="0" w:space="0" w:color="auto"/>
      </w:divBdr>
    </w:div>
    <w:div w:id="549269023">
      <w:bodyDiv w:val="1"/>
      <w:marLeft w:val="0"/>
      <w:marRight w:val="0"/>
      <w:marTop w:val="0"/>
      <w:marBottom w:val="0"/>
      <w:divBdr>
        <w:top w:val="none" w:sz="0" w:space="0" w:color="auto"/>
        <w:left w:val="none" w:sz="0" w:space="0" w:color="auto"/>
        <w:bottom w:val="none" w:sz="0" w:space="0" w:color="auto"/>
        <w:right w:val="none" w:sz="0" w:space="0" w:color="auto"/>
      </w:divBdr>
    </w:div>
    <w:div w:id="549339164">
      <w:bodyDiv w:val="1"/>
      <w:marLeft w:val="0"/>
      <w:marRight w:val="0"/>
      <w:marTop w:val="0"/>
      <w:marBottom w:val="0"/>
      <w:divBdr>
        <w:top w:val="none" w:sz="0" w:space="0" w:color="auto"/>
        <w:left w:val="none" w:sz="0" w:space="0" w:color="auto"/>
        <w:bottom w:val="none" w:sz="0" w:space="0" w:color="auto"/>
        <w:right w:val="none" w:sz="0" w:space="0" w:color="auto"/>
      </w:divBdr>
    </w:div>
    <w:div w:id="549414569">
      <w:bodyDiv w:val="1"/>
      <w:marLeft w:val="0"/>
      <w:marRight w:val="0"/>
      <w:marTop w:val="0"/>
      <w:marBottom w:val="0"/>
      <w:divBdr>
        <w:top w:val="none" w:sz="0" w:space="0" w:color="auto"/>
        <w:left w:val="none" w:sz="0" w:space="0" w:color="auto"/>
        <w:bottom w:val="none" w:sz="0" w:space="0" w:color="auto"/>
        <w:right w:val="none" w:sz="0" w:space="0" w:color="auto"/>
      </w:divBdr>
    </w:div>
    <w:div w:id="549419450">
      <w:bodyDiv w:val="1"/>
      <w:marLeft w:val="0"/>
      <w:marRight w:val="0"/>
      <w:marTop w:val="0"/>
      <w:marBottom w:val="0"/>
      <w:divBdr>
        <w:top w:val="none" w:sz="0" w:space="0" w:color="auto"/>
        <w:left w:val="none" w:sz="0" w:space="0" w:color="auto"/>
        <w:bottom w:val="none" w:sz="0" w:space="0" w:color="auto"/>
        <w:right w:val="none" w:sz="0" w:space="0" w:color="auto"/>
      </w:divBdr>
    </w:div>
    <w:div w:id="549541068">
      <w:bodyDiv w:val="1"/>
      <w:marLeft w:val="0"/>
      <w:marRight w:val="0"/>
      <w:marTop w:val="0"/>
      <w:marBottom w:val="0"/>
      <w:divBdr>
        <w:top w:val="none" w:sz="0" w:space="0" w:color="auto"/>
        <w:left w:val="none" w:sz="0" w:space="0" w:color="auto"/>
        <w:bottom w:val="none" w:sz="0" w:space="0" w:color="auto"/>
        <w:right w:val="none" w:sz="0" w:space="0" w:color="auto"/>
      </w:divBdr>
    </w:div>
    <w:div w:id="549616259">
      <w:bodyDiv w:val="1"/>
      <w:marLeft w:val="0"/>
      <w:marRight w:val="0"/>
      <w:marTop w:val="0"/>
      <w:marBottom w:val="0"/>
      <w:divBdr>
        <w:top w:val="none" w:sz="0" w:space="0" w:color="auto"/>
        <w:left w:val="none" w:sz="0" w:space="0" w:color="auto"/>
        <w:bottom w:val="none" w:sz="0" w:space="0" w:color="auto"/>
        <w:right w:val="none" w:sz="0" w:space="0" w:color="auto"/>
      </w:divBdr>
    </w:div>
    <w:div w:id="549726102">
      <w:bodyDiv w:val="1"/>
      <w:marLeft w:val="0"/>
      <w:marRight w:val="0"/>
      <w:marTop w:val="0"/>
      <w:marBottom w:val="0"/>
      <w:divBdr>
        <w:top w:val="none" w:sz="0" w:space="0" w:color="auto"/>
        <w:left w:val="none" w:sz="0" w:space="0" w:color="auto"/>
        <w:bottom w:val="none" w:sz="0" w:space="0" w:color="auto"/>
        <w:right w:val="none" w:sz="0" w:space="0" w:color="auto"/>
      </w:divBdr>
    </w:div>
    <w:div w:id="549732685">
      <w:bodyDiv w:val="1"/>
      <w:marLeft w:val="0"/>
      <w:marRight w:val="0"/>
      <w:marTop w:val="0"/>
      <w:marBottom w:val="0"/>
      <w:divBdr>
        <w:top w:val="none" w:sz="0" w:space="0" w:color="auto"/>
        <w:left w:val="none" w:sz="0" w:space="0" w:color="auto"/>
        <w:bottom w:val="none" w:sz="0" w:space="0" w:color="auto"/>
        <w:right w:val="none" w:sz="0" w:space="0" w:color="auto"/>
      </w:divBdr>
    </w:div>
    <w:div w:id="549809219">
      <w:bodyDiv w:val="1"/>
      <w:marLeft w:val="0"/>
      <w:marRight w:val="0"/>
      <w:marTop w:val="0"/>
      <w:marBottom w:val="0"/>
      <w:divBdr>
        <w:top w:val="none" w:sz="0" w:space="0" w:color="auto"/>
        <w:left w:val="none" w:sz="0" w:space="0" w:color="auto"/>
        <w:bottom w:val="none" w:sz="0" w:space="0" w:color="auto"/>
        <w:right w:val="none" w:sz="0" w:space="0" w:color="auto"/>
      </w:divBdr>
    </w:div>
    <w:div w:id="549921855">
      <w:bodyDiv w:val="1"/>
      <w:marLeft w:val="0"/>
      <w:marRight w:val="0"/>
      <w:marTop w:val="0"/>
      <w:marBottom w:val="0"/>
      <w:divBdr>
        <w:top w:val="none" w:sz="0" w:space="0" w:color="auto"/>
        <w:left w:val="none" w:sz="0" w:space="0" w:color="auto"/>
        <w:bottom w:val="none" w:sz="0" w:space="0" w:color="auto"/>
        <w:right w:val="none" w:sz="0" w:space="0" w:color="auto"/>
      </w:divBdr>
    </w:div>
    <w:div w:id="549928018">
      <w:bodyDiv w:val="1"/>
      <w:marLeft w:val="0"/>
      <w:marRight w:val="0"/>
      <w:marTop w:val="0"/>
      <w:marBottom w:val="0"/>
      <w:divBdr>
        <w:top w:val="none" w:sz="0" w:space="0" w:color="auto"/>
        <w:left w:val="none" w:sz="0" w:space="0" w:color="auto"/>
        <w:bottom w:val="none" w:sz="0" w:space="0" w:color="auto"/>
        <w:right w:val="none" w:sz="0" w:space="0" w:color="auto"/>
      </w:divBdr>
    </w:div>
    <w:div w:id="550113355">
      <w:bodyDiv w:val="1"/>
      <w:marLeft w:val="0"/>
      <w:marRight w:val="0"/>
      <w:marTop w:val="0"/>
      <w:marBottom w:val="0"/>
      <w:divBdr>
        <w:top w:val="none" w:sz="0" w:space="0" w:color="auto"/>
        <w:left w:val="none" w:sz="0" w:space="0" w:color="auto"/>
        <w:bottom w:val="none" w:sz="0" w:space="0" w:color="auto"/>
        <w:right w:val="none" w:sz="0" w:space="0" w:color="auto"/>
      </w:divBdr>
    </w:div>
    <w:div w:id="550190475">
      <w:bodyDiv w:val="1"/>
      <w:marLeft w:val="0"/>
      <w:marRight w:val="0"/>
      <w:marTop w:val="0"/>
      <w:marBottom w:val="0"/>
      <w:divBdr>
        <w:top w:val="none" w:sz="0" w:space="0" w:color="auto"/>
        <w:left w:val="none" w:sz="0" w:space="0" w:color="auto"/>
        <w:bottom w:val="none" w:sz="0" w:space="0" w:color="auto"/>
        <w:right w:val="none" w:sz="0" w:space="0" w:color="auto"/>
      </w:divBdr>
    </w:div>
    <w:div w:id="550191865">
      <w:bodyDiv w:val="1"/>
      <w:marLeft w:val="0"/>
      <w:marRight w:val="0"/>
      <w:marTop w:val="0"/>
      <w:marBottom w:val="0"/>
      <w:divBdr>
        <w:top w:val="none" w:sz="0" w:space="0" w:color="auto"/>
        <w:left w:val="none" w:sz="0" w:space="0" w:color="auto"/>
        <w:bottom w:val="none" w:sz="0" w:space="0" w:color="auto"/>
        <w:right w:val="none" w:sz="0" w:space="0" w:color="auto"/>
      </w:divBdr>
    </w:div>
    <w:div w:id="550264768">
      <w:bodyDiv w:val="1"/>
      <w:marLeft w:val="0"/>
      <w:marRight w:val="0"/>
      <w:marTop w:val="0"/>
      <w:marBottom w:val="0"/>
      <w:divBdr>
        <w:top w:val="none" w:sz="0" w:space="0" w:color="auto"/>
        <w:left w:val="none" w:sz="0" w:space="0" w:color="auto"/>
        <w:bottom w:val="none" w:sz="0" w:space="0" w:color="auto"/>
        <w:right w:val="none" w:sz="0" w:space="0" w:color="auto"/>
      </w:divBdr>
    </w:div>
    <w:div w:id="550306779">
      <w:bodyDiv w:val="1"/>
      <w:marLeft w:val="0"/>
      <w:marRight w:val="0"/>
      <w:marTop w:val="0"/>
      <w:marBottom w:val="0"/>
      <w:divBdr>
        <w:top w:val="none" w:sz="0" w:space="0" w:color="auto"/>
        <w:left w:val="none" w:sz="0" w:space="0" w:color="auto"/>
        <w:bottom w:val="none" w:sz="0" w:space="0" w:color="auto"/>
        <w:right w:val="none" w:sz="0" w:space="0" w:color="auto"/>
      </w:divBdr>
    </w:div>
    <w:div w:id="550309793">
      <w:bodyDiv w:val="1"/>
      <w:marLeft w:val="0"/>
      <w:marRight w:val="0"/>
      <w:marTop w:val="0"/>
      <w:marBottom w:val="0"/>
      <w:divBdr>
        <w:top w:val="none" w:sz="0" w:space="0" w:color="auto"/>
        <w:left w:val="none" w:sz="0" w:space="0" w:color="auto"/>
        <w:bottom w:val="none" w:sz="0" w:space="0" w:color="auto"/>
        <w:right w:val="none" w:sz="0" w:space="0" w:color="auto"/>
      </w:divBdr>
    </w:div>
    <w:div w:id="550382234">
      <w:bodyDiv w:val="1"/>
      <w:marLeft w:val="0"/>
      <w:marRight w:val="0"/>
      <w:marTop w:val="0"/>
      <w:marBottom w:val="0"/>
      <w:divBdr>
        <w:top w:val="none" w:sz="0" w:space="0" w:color="auto"/>
        <w:left w:val="none" w:sz="0" w:space="0" w:color="auto"/>
        <w:bottom w:val="none" w:sz="0" w:space="0" w:color="auto"/>
        <w:right w:val="none" w:sz="0" w:space="0" w:color="auto"/>
      </w:divBdr>
    </w:div>
    <w:div w:id="550464358">
      <w:bodyDiv w:val="1"/>
      <w:marLeft w:val="0"/>
      <w:marRight w:val="0"/>
      <w:marTop w:val="0"/>
      <w:marBottom w:val="0"/>
      <w:divBdr>
        <w:top w:val="none" w:sz="0" w:space="0" w:color="auto"/>
        <w:left w:val="none" w:sz="0" w:space="0" w:color="auto"/>
        <w:bottom w:val="none" w:sz="0" w:space="0" w:color="auto"/>
        <w:right w:val="none" w:sz="0" w:space="0" w:color="auto"/>
      </w:divBdr>
    </w:div>
    <w:div w:id="550650979">
      <w:bodyDiv w:val="1"/>
      <w:marLeft w:val="0"/>
      <w:marRight w:val="0"/>
      <w:marTop w:val="0"/>
      <w:marBottom w:val="0"/>
      <w:divBdr>
        <w:top w:val="none" w:sz="0" w:space="0" w:color="auto"/>
        <w:left w:val="none" w:sz="0" w:space="0" w:color="auto"/>
        <w:bottom w:val="none" w:sz="0" w:space="0" w:color="auto"/>
        <w:right w:val="none" w:sz="0" w:space="0" w:color="auto"/>
      </w:divBdr>
    </w:div>
    <w:div w:id="550657902">
      <w:bodyDiv w:val="1"/>
      <w:marLeft w:val="0"/>
      <w:marRight w:val="0"/>
      <w:marTop w:val="0"/>
      <w:marBottom w:val="0"/>
      <w:divBdr>
        <w:top w:val="none" w:sz="0" w:space="0" w:color="auto"/>
        <w:left w:val="none" w:sz="0" w:space="0" w:color="auto"/>
        <w:bottom w:val="none" w:sz="0" w:space="0" w:color="auto"/>
        <w:right w:val="none" w:sz="0" w:space="0" w:color="auto"/>
      </w:divBdr>
    </w:div>
    <w:div w:id="550967361">
      <w:bodyDiv w:val="1"/>
      <w:marLeft w:val="0"/>
      <w:marRight w:val="0"/>
      <w:marTop w:val="0"/>
      <w:marBottom w:val="0"/>
      <w:divBdr>
        <w:top w:val="none" w:sz="0" w:space="0" w:color="auto"/>
        <w:left w:val="none" w:sz="0" w:space="0" w:color="auto"/>
        <w:bottom w:val="none" w:sz="0" w:space="0" w:color="auto"/>
        <w:right w:val="none" w:sz="0" w:space="0" w:color="auto"/>
      </w:divBdr>
    </w:div>
    <w:div w:id="550968084">
      <w:bodyDiv w:val="1"/>
      <w:marLeft w:val="0"/>
      <w:marRight w:val="0"/>
      <w:marTop w:val="0"/>
      <w:marBottom w:val="0"/>
      <w:divBdr>
        <w:top w:val="none" w:sz="0" w:space="0" w:color="auto"/>
        <w:left w:val="none" w:sz="0" w:space="0" w:color="auto"/>
        <w:bottom w:val="none" w:sz="0" w:space="0" w:color="auto"/>
        <w:right w:val="none" w:sz="0" w:space="0" w:color="auto"/>
      </w:divBdr>
    </w:div>
    <w:div w:id="551044378">
      <w:bodyDiv w:val="1"/>
      <w:marLeft w:val="0"/>
      <w:marRight w:val="0"/>
      <w:marTop w:val="0"/>
      <w:marBottom w:val="0"/>
      <w:divBdr>
        <w:top w:val="none" w:sz="0" w:space="0" w:color="auto"/>
        <w:left w:val="none" w:sz="0" w:space="0" w:color="auto"/>
        <w:bottom w:val="none" w:sz="0" w:space="0" w:color="auto"/>
        <w:right w:val="none" w:sz="0" w:space="0" w:color="auto"/>
      </w:divBdr>
    </w:div>
    <w:div w:id="551112449">
      <w:bodyDiv w:val="1"/>
      <w:marLeft w:val="0"/>
      <w:marRight w:val="0"/>
      <w:marTop w:val="0"/>
      <w:marBottom w:val="0"/>
      <w:divBdr>
        <w:top w:val="none" w:sz="0" w:space="0" w:color="auto"/>
        <w:left w:val="none" w:sz="0" w:space="0" w:color="auto"/>
        <w:bottom w:val="none" w:sz="0" w:space="0" w:color="auto"/>
        <w:right w:val="none" w:sz="0" w:space="0" w:color="auto"/>
      </w:divBdr>
    </w:div>
    <w:div w:id="551118217">
      <w:bodyDiv w:val="1"/>
      <w:marLeft w:val="0"/>
      <w:marRight w:val="0"/>
      <w:marTop w:val="0"/>
      <w:marBottom w:val="0"/>
      <w:divBdr>
        <w:top w:val="none" w:sz="0" w:space="0" w:color="auto"/>
        <w:left w:val="none" w:sz="0" w:space="0" w:color="auto"/>
        <w:bottom w:val="none" w:sz="0" w:space="0" w:color="auto"/>
        <w:right w:val="none" w:sz="0" w:space="0" w:color="auto"/>
      </w:divBdr>
    </w:div>
    <w:div w:id="551238634">
      <w:bodyDiv w:val="1"/>
      <w:marLeft w:val="0"/>
      <w:marRight w:val="0"/>
      <w:marTop w:val="0"/>
      <w:marBottom w:val="0"/>
      <w:divBdr>
        <w:top w:val="none" w:sz="0" w:space="0" w:color="auto"/>
        <w:left w:val="none" w:sz="0" w:space="0" w:color="auto"/>
        <w:bottom w:val="none" w:sz="0" w:space="0" w:color="auto"/>
        <w:right w:val="none" w:sz="0" w:space="0" w:color="auto"/>
      </w:divBdr>
    </w:div>
    <w:div w:id="551506142">
      <w:bodyDiv w:val="1"/>
      <w:marLeft w:val="0"/>
      <w:marRight w:val="0"/>
      <w:marTop w:val="0"/>
      <w:marBottom w:val="0"/>
      <w:divBdr>
        <w:top w:val="none" w:sz="0" w:space="0" w:color="auto"/>
        <w:left w:val="none" w:sz="0" w:space="0" w:color="auto"/>
        <w:bottom w:val="none" w:sz="0" w:space="0" w:color="auto"/>
        <w:right w:val="none" w:sz="0" w:space="0" w:color="auto"/>
      </w:divBdr>
    </w:div>
    <w:div w:id="551573299">
      <w:bodyDiv w:val="1"/>
      <w:marLeft w:val="0"/>
      <w:marRight w:val="0"/>
      <w:marTop w:val="0"/>
      <w:marBottom w:val="0"/>
      <w:divBdr>
        <w:top w:val="none" w:sz="0" w:space="0" w:color="auto"/>
        <w:left w:val="none" w:sz="0" w:space="0" w:color="auto"/>
        <w:bottom w:val="none" w:sz="0" w:space="0" w:color="auto"/>
        <w:right w:val="none" w:sz="0" w:space="0" w:color="auto"/>
      </w:divBdr>
    </w:div>
    <w:div w:id="551573766">
      <w:bodyDiv w:val="1"/>
      <w:marLeft w:val="0"/>
      <w:marRight w:val="0"/>
      <w:marTop w:val="0"/>
      <w:marBottom w:val="0"/>
      <w:divBdr>
        <w:top w:val="none" w:sz="0" w:space="0" w:color="auto"/>
        <w:left w:val="none" w:sz="0" w:space="0" w:color="auto"/>
        <w:bottom w:val="none" w:sz="0" w:space="0" w:color="auto"/>
        <w:right w:val="none" w:sz="0" w:space="0" w:color="auto"/>
      </w:divBdr>
    </w:div>
    <w:div w:id="551577216">
      <w:bodyDiv w:val="1"/>
      <w:marLeft w:val="0"/>
      <w:marRight w:val="0"/>
      <w:marTop w:val="0"/>
      <w:marBottom w:val="0"/>
      <w:divBdr>
        <w:top w:val="none" w:sz="0" w:space="0" w:color="auto"/>
        <w:left w:val="none" w:sz="0" w:space="0" w:color="auto"/>
        <w:bottom w:val="none" w:sz="0" w:space="0" w:color="auto"/>
        <w:right w:val="none" w:sz="0" w:space="0" w:color="auto"/>
      </w:divBdr>
    </w:div>
    <w:div w:id="551616765">
      <w:bodyDiv w:val="1"/>
      <w:marLeft w:val="0"/>
      <w:marRight w:val="0"/>
      <w:marTop w:val="0"/>
      <w:marBottom w:val="0"/>
      <w:divBdr>
        <w:top w:val="none" w:sz="0" w:space="0" w:color="auto"/>
        <w:left w:val="none" w:sz="0" w:space="0" w:color="auto"/>
        <w:bottom w:val="none" w:sz="0" w:space="0" w:color="auto"/>
        <w:right w:val="none" w:sz="0" w:space="0" w:color="auto"/>
      </w:divBdr>
    </w:div>
    <w:div w:id="551620113">
      <w:bodyDiv w:val="1"/>
      <w:marLeft w:val="0"/>
      <w:marRight w:val="0"/>
      <w:marTop w:val="0"/>
      <w:marBottom w:val="0"/>
      <w:divBdr>
        <w:top w:val="none" w:sz="0" w:space="0" w:color="auto"/>
        <w:left w:val="none" w:sz="0" w:space="0" w:color="auto"/>
        <w:bottom w:val="none" w:sz="0" w:space="0" w:color="auto"/>
        <w:right w:val="none" w:sz="0" w:space="0" w:color="auto"/>
      </w:divBdr>
    </w:div>
    <w:div w:id="551969369">
      <w:bodyDiv w:val="1"/>
      <w:marLeft w:val="0"/>
      <w:marRight w:val="0"/>
      <w:marTop w:val="0"/>
      <w:marBottom w:val="0"/>
      <w:divBdr>
        <w:top w:val="none" w:sz="0" w:space="0" w:color="auto"/>
        <w:left w:val="none" w:sz="0" w:space="0" w:color="auto"/>
        <w:bottom w:val="none" w:sz="0" w:space="0" w:color="auto"/>
        <w:right w:val="none" w:sz="0" w:space="0" w:color="auto"/>
      </w:divBdr>
    </w:div>
    <w:div w:id="552038341">
      <w:bodyDiv w:val="1"/>
      <w:marLeft w:val="0"/>
      <w:marRight w:val="0"/>
      <w:marTop w:val="0"/>
      <w:marBottom w:val="0"/>
      <w:divBdr>
        <w:top w:val="none" w:sz="0" w:space="0" w:color="auto"/>
        <w:left w:val="none" w:sz="0" w:space="0" w:color="auto"/>
        <w:bottom w:val="none" w:sz="0" w:space="0" w:color="auto"/>
        <w:right w:val="none" w:sz="0" w:space="0" w:color="auto"/>
      </w:divBdr>
    </w:div>
    <w:div w:id="552154894">
      <w:bodyDiv w:val="1"/>
      <w:marLeft w:val="0"/>
      <w:marRight w:val="0"/>
      <w:marTop w:val="0"/>
      <w:marBottom w:val="0"/>
      <w:divBdr>
        <w:top w:val="none" w:sz="0" w:space="0" w:color="auto"/>
        <w:left w:val="none" w:sz="0" w:space="0" w:color="auto"/>
        <w:bottom w:val="none" w:sz="0" w:space="0" w:color="auto"/>
        <w:right w:val="none" w:sz="0" w:space="0" w:color="auto"/>
      </w:divBdr>
    </w:div>
    <w:div w:id="552424109">
      <w:bodyDiv w:val="1"/>
      <w:marLeft w:val="0"/>
      <w:marRight w:val="0"/>
      <w:marTop w:val="0"/>
      <w:marBottom w:val="0"/>
      <w:divBdr>
        <w:top w:val="none" w:sz="0" w:space="0" w:color="auto"/>
        <w:left w:val="none" w:sz="0" w:space="0" w:color="auto"/>
        <w:bottom w:val="none" w:sz="0" w:space="0" w:color="auto"/>
        <w:right w:val="none" w:sz="0" w:space="0" w:color="auto"/>
      </w:divBdr>
    </w:div>
    <w:div w:id="552622067">
      <w:bodyDiv w:val="1"/>
      <w:marLeft w:val="0"/>
      <w:marRight w:val="0"/>
      <w:marTop w:val="0"/>
      <w:marBottom w:val="0"/>
      <w:divBdr>
        <w:top w:val="none" w:sz="0" w:space="0" w:color="auto"/>
        <w:left w:val="none" w:sz="0" w:space="0" w:color="auto"/>
        <w:bottom w:val="none" w:sz="0" w:space="0" w:color="auto"/>
        <w:right w:val="none" w:sz="0" w:space="0" w:color="auto"/>
      </w:divBdr>
    </w:div>
    <w:div w:id="552741011">
      <w:bodyDiv w:val="1"/>
      <w:marLeft w:val="0"/>
      <w:marRight w:val="0"/>
      <w:marTop w:val="0"/>
      <w:marBottom w:val="0"/>
      <w:divBdr>
        <w:top w:val="none" w:sz="0" w:space="0" w:color="auto"/>
        <w:left w:val="none" w:sz="0" w:space="0" w:color="auto"/>
        <w:bottom w:val="none" w:sz="0" w:space="0" w:color="auto"/>
        <w:right w:val="none" w:sz="0" w:space="0" w:color="auto"/>
      </w:divBdr>
    </w:div>
    <w:div w:id="552812834">
      <w:bodyDiv w:val="1"/>
      <w:marLeft w:val="0"/>
      <w:marRight w:val="0"/>
      <w:marTop w:val="0"/>
      <w:marBottom w:val="0"/>
      <w:divBdr>
        <w:top w:val="none" w:sz="0" w:space="0" w:color="auto"/>
        <w:left w:val="none" w:sz="0" w:space="0" w:color="auto"/>
        <w:bottom w:val="none" w:sz="0" w:space="0" w:color="auto"/>
        <w:right w:val="none" w:sz="0" w:space="0" w:color="auto"/>
      </w:divBdr>
    </w:div>
    <w:div w:id="553080297">
      <w:bodyDiv w:val="1"/>
      <w:marLeft w:val="0"/>
      <w:marRight w:val="0"/>
      <w:marTop w:val="0"/>
      <w:marBottom w:val="0"/>
      <w:divBdr>
        <w:top w:val="none" w:sz="0" w:space="0" w:color="auto"/>
        <w:left w:val="none" w:sz="0" w:space="0" w:color="auto"/>
        <w:bottom w:val="none" w:sz="0" w:space="0" w:color="auto"/>
        <w:right w:val="none" w:sz="0" w:space="0" w:color="auto"/>
      </w:divBdr>
    </w:div>
    <w:div w:id="553198528">
      <w:bodyDiv w:val="1"/>
      <w:marLeft w:val="0"/>
      <w:marRight w:val="0"/>
      <w:marTop w:val="0"/>
      <w:marBottom w:val="0"/>
      <w:divBdr>
        <w:top w:val="none" w:sz="0" w:space="0" w:color="auto"/>
        <w:left w:val="none" w:sz="0" w:space="0" w:color="auto"/>
        <w:bottom w:val="none" w:sz="0" w:space="0" w:color="auto"/>
        <w:right w:val="none" w:sz="0" w:space="0" w:color="auto"/>
      </w:divBdr>
    </w:div>
    <w:div w:id="553200343">
      <w:bodyDiv w:val="1"/>
      <w:marLeft w:val="0"/>
      <w:marRight w:val="0"/>
      <w:marTop w:val="0"/>
      <w:marBottom w:val="0"/>
      <w:divBdr>
        <w:top w:val="none" w:sz="0" w:space="0" w:color="auto"/>
        <w:left w:val="none" w:sz="0" w:space="0" w:color="auto"/>
        <w:bottom w:val="none" w:sz="0" w:space="0" w:color="auto"/>
        <w:right w:val="none" w:sz="0" w:space="0" w:color="auto"/>
      </w:divBdr>
    </w:div>
    <w:div w:id="553200742">
      <w:bodyDiv w:val="1"/>
      <w:marLeft w:val="0"/>
      <w:marRight w:val="0"/>
      <w:marTop w:val="0"/>
      <w:marBottom w:val="0"/>
      <w:divBdr>
        <w:top w:val="none" w:sz="0" w:space="0" w:color="auto"/>
        <w:left w:val="none" w:sz="0" w:space="0" w:color="auto"/>
        <w:bottom w:val="none" w:sz="0" w:space="0" w:color="auto"/>
        <w:right w:val="none" w:sz="0" w:space="0" w:color="auto"/>
      </w:divBdr>
    </w:div>
    <w:div w:id="553276729">
      <w:bodyDiv w:val="1"/>
      <w:marLeft w:val="0"/>
      <w:marRight w:val="0"/>
      <w:marTop w:val="0"/>
      <w:marBottom w:val="0"/>
      <w:divBdr>
        <w:top w:val="none" w:sz="0" w:space="0" w:color="auto"/>
        <w:left w:val="none" w:sz="0" w:space="0" w:color="auto"/>
        <w:bottom w:val="none" w:sz="0" w:space="0" w:color="auto"/>
        <w:right w:val="none" w:sz="0" w:space="0" w:color="auto"/>
      </w:divBdr>
    </w:div>
    <w:div w:id="553542733">
      <w:bodyDiv w:val="1"/>
      <w:marLeft w:val="0"/>
      <w:marRight w:val="0"/>
      <w:marTop w:val="0"/>
      <w:marBottom w:val="0"/>
      <w:divBdr>
        <w:top w:val="none" w:sz="0" w:space="0" w:color="auto"/>
        <w:left w:val="none" w:sz="0" w:space="0" w:color="auto"/>
        <w:bottom w:val="none" w:sz="0" w:space="0" w:color="auto"/>
        <w:right w:val="none" w:sz="0" w:space="0" w:color="auto"/>
      </w:divBdr>
    </w:div>
    <w:div w:id="553586450">
      <w:bodyDiv w:val="1"/>
      <w:marLeft w:val="0"/>
      <w:marRight w:val="0"/>
      <w:marTop w:val="0"/>
      <w:marBottom w:val="0"/>
      <w:divBdr>
        <w:top w:val="none" w:sz="0" w:space="0" w:color="auto"/>
        <w:left w:val="none" w:sz="0" w:space="0" w:color="auto"/>
        <w:bottom w:val="none" w:sz="0" w:space="0" w:color="auto"/>
        <w:right w:val="none" w:sz="0" w:space="0" w:color="auto"/>
      </w:divBdr>
    </w:div>
    <w:div w:id="553614499">
      <w:bodyDiv w:val="1"/>
      <w:marLeft w:val="0"/>
      <w:marRight w:val="0"/>
      <w:marTop w:val="0"/>
      <w:marBottom w:val="0"/>
      <w:divBdr>
        <w:top w:val="none" w:sz="0" w:space="0" w:color="auto"/>
        <w:left w:val="none" w:sz="0" w:space="0" w:color="auto"/>
        <w:bottom w:val="none" w:sz="0" w:space="0" w:color="auto"/>
        <w:right w:val="none" w:sz="0" w:space="0" w:color="auto"/>
      </w:divBdr>
    </w:div>
    <w:div w:id="553665963">
      <w:bodyDiv w:val="1"/>
      <w:marLeft w:val="0"/>
      <w:marRight w:val="0"/>
      <w:marTop w:val="0"/>
      <w:marBottom w:val="0"/>
      <w:divBdr>
        <w:top w:val="none" w:sz="0" w:space="0" w:color="auto"/>
        <w:left w:val="none" w:sz="0" w:space="0" w:color="auto"/>
        <w:bottom w:val="none" w:sz="0" w:space="0" w:color="auto"/>
        <w:right w:val="none" w:sz="0" w:space="0" w:color="auto"/>
      </w:divBdr>
    </w:div>
    <w:div w:id="553809509">
      <w:bodyDiv w:val="1"/>
      <w:marLeft w:val="0"/>
      <w:marRight w:val="0"/>
      <w:marTop w:val="0"/>
      <w:marBottom w:val="0"/>
      <w:divBdr>
        <w:top w:val="none" w:sz="0" w:space="0" w:color="auto"/>
        <w:left w:val="none" w:sz="0" w:space="0" w:color="auto"/>
        <w:bottom w:val="none" w:sz="0" w:space="0" w:color="auto"/>
        <w:right w:val="none" w:sz="0" w:space="0" w:color="auto"/>
      </w:divBdr>
    </w:div>
    <w:div w:id="553976888">
      <w:bodyDiv w:val="1"/>
      <w:marLeft w:val="0"/>
      <w:marRight w:val="0"/>
      <w:marTop w:val="0"/>
      <w:marBottom w:val="0"/>
      <w:divBdr>
        <w:top w:val="none" w:sz="0" w:space="0" w:color="auto"/>
        <w:left w:val="none" w:sz="0" w:space="0" w:color="auto"/>
        <w:bottom w:val="none" w:sz="0" w:space="0" w:color="auto"/>
        <w:right w:val="none" w:sz="0" w:space="0" w:color="auto"/>
      </w:divBdr>
    </w:div>
    <w:div w:id="554001680">
      <w:bodyDiv w:val="1"/>
      <w:marLeft w:val="0"/>
      <w:marRight w:val="0"/>
      <w:marTop w:val="0"/>
      <w:marBottom w:val="0"/>
      <w:divBdr>
        <w:top w:val="none" w:sz="0" w:space="0" w:color="auto"/>
        <w:left w:val="none" w:sz="0" w:space="0" w:color="auto"/>
        <w:bottom w:val="none" w:sz="0" w:space="0" w:color="auto"/>
        <w:right w:val="none" w:sz="0" w:space="0" w:color="auto"/>
      </w:divBdr>
    </w:div>
    <w:div w:id="554008176">
      <w:bodyDiv w:val="1"/>
      <w:marLeft w:val="0"/>
      <w:marRight w:val="0"/>
      <w:marTop w:val="0"/>
      <w:marBottom w:val="0"/>
      <w:divBdr>
        <w:top w:val="none" w:sz="0" w:space="0" w:color="auto"/>
        <w:left w:val="none" w:sz="0" w:space="0" w:color="auto"/>
        <w:bottom w:val="none" w:sz="0" w:space="0" w:color="auto"/>
        <w:right w:val="none" w:sz="0" w:space="0" w:color="auto"/>
      </w:divBdr>
    </w:div>
    <w:div w:id="554044306">
      <w:bodyDiv w:val="1"/>
      <w:marLeft w:val="0"/>
      <w:marRight w:val="0"/>
      <w:marTop w:val="0"/>
      <w:marBottom w:val="0"/>
      <w:divBdr>
        <w:top w:val="none" w:sz="0" w:space="0" w:color="auto"/>
        <w:left w:val="none" w:sz="0" w:space="0" w:color="auto"/>
        <w:bottom w:val="none" w:sz="0" w:space="0" w:color="auto"/>
        <w:right w:val="none" w:sz="0" w:space="0" w:color="auto"/>
      </w:divBdr>
    </w:div>
    <w:div w:id="554049973">
      <w:bodyDiv w:val="1"/>
      <w:marLeft w:val="0"/>
      <w:marRight w:val="0"/>
      <w:marTop w:val="0"/>
      <w:marBottom w:val="0"/>
      <w:divBdr>
        <w:top w:val="none" w:sz="0" w:space="0" w:color="auto"/>
        <w:left w:val="none" w:sz="0" w:space="0" w:color="auto"/>
        <w:bottom w:val="none" w:sz="0" w:space="0" w:color="auto"/>
        <w:right w:val="none" w:sz="0" w:space="0" w:color="auto"/>
      </w:divBdr>
    </w:div>
    <w:div w:id="554119778">
      <w:bodyDiv w:val="1"/>
      <w:marLeft w:val="0"/>
      <w:marRight w:val="0"/>
      <w:marTop w:val="0"/>
      <w:marBottom w:val="0"/>
      <w:divBdr>
        <w:top w:val="none" w:sz="0" w:space="0" w:color="auto"/>
        <w:left w:val="none" w:sz="0" w:space="0" w:color="auto"/>
        <w:bottom w:val="none" w:sz="0" w:space="0" w:color="auto"/>
        <w:right w:val="none" w:sz="0" w:space="0" w:color="auto"/>
      </w:divBdr>
    </w:div>
    <w:div w:id="554121906">
      <w:bodyDiv w:val="1"/>
      <w:marLeft w:val="0"/>
      <w:marRight w:val="0"/>
      <w:marTop w:val="0"/>
      <w:marBottom w:val="0"/>
      <w:divBdr>
        <w:top w:val="none" w:sz="0" w:space="0" w:color="auto"/>
        <w:left w:val="none" w:sz="0" w:space="0" w:color="auto"/>
        <w:bottom w:val="none" w:sz="0" w:space="0" w:color="auto"/>
        <w:right w:val="none" w:sz="0" w:space="0" w:color="auto"/>
      </w:divBdr>
    </w:div>
    <w:div w:id="554197729">
      <w:bodyDiv w:val="1"/>
      <w:marLeft w:val="0"/>
      <w:marRight w:val="0"/>
      <w:marTop w:val="0"/>
      <w:marBottom w:val="0"/>
      <w:divBdr>
        <w:top w:val="none" w:sz="0" w:space="0" w:color="auto"/>
        <w:left w:val="none" w:sz="0" w:space="0" w:color="auto"/>
        <w:bottom w:val="none" w:sz="0" w:space="0" w:color="auto"/>
        <w:right w:val="none" w:sz="0" w:space="0" w:color="auto"/>
      </w:divBdr>
    </w:div>
    <w:div w:id="554244712">
      <w:bodyDiv w:val="1"/>
      <w:marLeft w:val="0"/>
      <w:marRight w:val="0"/>
      <w:marTop w:val="0"/>
      <w:marBottom w:val="0"/>
      <w:divBdr>
        <w:top w:val="none" w:sz="0" w:space="0" w:color="auto"/>
        <w:left w:val="none" w:sz="0" w:space="0" w:color="auto"/>
        <w:bottom w:val="none" w:sz="0" w:space="0" w:color="auto"/>
        <w:right w:val="none" w:sz="0" w:space="0" w:color="auto"/>
      </w:divBdr>
    </w:div>
    <w:div w:id="554245787">
      <w:bodyDiv w:val="1"/>
      <w:marLeft w:val="0"/>
      <w:marRight w:val="0"/>
      <w:marTop w:val="0"/>
      <w:marBottom w:val="0"/>
      <w:divBdr>
        <w:top w:val="none" w:sz="0" w:space="0" w:color="auto"/>
        <w:left w:val="none" w:sz="0" w:space="0" w:color="auto"/>
        <w:bottom w:val="none" w:sz="0" w:space="0" w:color="auto"/>
        <w:right w:val="none" w:sz="0" w:space="0" w:color="auto"/>
      </w:divBdr>
    </w:div>
    <w:div w:id="554270057">
      <w:bodyDiv w:val="1"/>
      <w:marLeft w:val="0"/>
      <w:marRight w:val="0"/>
      <w:marTop w:val="0"/>
      <w:marBottom w:val="0"/>
      <w:divBdr>
        <w:top w:val="none" w:sz="0" w:space="0" w:color="auto"/>
        <w:left w:val="none" w:sz="0" w:space="0" w:color="auto"/>
        <w:bottom w:val="none" w:sz="0" w:space="0" w:color="auto"/>
        <w:right w:val="none" w:sz="0" w:space="0" w:color="auto"/>
      </w:divBdr>
    </w:div>
    <w:div w:id="554388315">
      <w:bodyDiv w:val="1"/>
      <w:marLeft w:val="0"/>
      <w:marRight w:val="0"/>
      <w:marTop w:val="0"/>
      <w:marBottom w:val="0"/>
      <w:divBdr>
        <w:top w:val="none" w:sz="0" w:space="0" w:color="auto"/>
        <w:left w:val="none" w:sz="0" w:space="0" w:color="auto"/>
        <w:bottom w:val="none" w:sz="0" w:space="0" w:color="auto"/>
        <w:right w:val="none" w:sz="0" w:space="0" w:color="auto"/>
      </w:divBdr>
    </w:div>
    <w:div w:id="554396195">
      <w:bodyDiv w:val="1"/>
      <w:marLeft w:val="0"/>
      <w:marRight w:val="0"/>
      <w:marTop w:val="0"/>
      <w:marBottom w:val="0"/>
      <w:divBdr>
        <w:top w:val="none" w:sz="0" w:space="0" w:color="auto"/>
        <w:left w:val="none" w:sz="0" w:space="0" w:color="auto"/>
        <w:bottom w:val="none" w:sz="0" w:space="0" w:color="auto"/>
        <w:right w:val="none" w:sz="0" w:space="0" w:color="auto"/>
      </w:divBdr>
    </w:div>
    <w:div w:id="554505851">
      <w:bodyDiv w:val="1"/>
      <w:marLeft w:val="0"/>
      <w:marRight w:val="0"/>
      <w:marTop w:val="0"/>
      <w:marBottom w:val="0"/>
      <w:divBdr>
        <w:top w:val="none" w:sz="0" w:space="0" w:color="auto"/>
        <w:left w:val="none" w:sz="0" w:space="0" w:color="auto"/>
        <w:bottom w:val="none" w:sz="0" w:space="0" w:color="auto"/>
        <w:right w:val="none" w:sz="0" w:space="0" w:color="auto"/>
      </w:divBdr>
    </w:div>
    <w:div w:id="554507429">
      <w:bodyDiv w:val="1"/>
      <w:marLeft w:val="0"/>
      <w:marRight w:val="0"/>
      <w:marTop w:val="0"/>
      <w:marBottom w:val="0"/>
      <w:divBdr>
        <w:top w:val="none" w:sz="0" w:space="0" w:color="auto"/>
        <w:left w:val="none" w:sz="0" w:space="0" w:color="auto"/>
        <w:bottom w:val="none" w:sz="0" w:space="0" w:color="auto"/>
        <w:right w:val="none" w:sz="0" w:space="0" w:color="auto"/>
      </w:divBdr>
    </w:div>
    <w:div w:id="554656193">
      <w:bodyDiv w:val="1"/>
      <w:marLeft w:val="0"/>
      <w:marRight w:val="0"/>
      <w:marTop w:val="0"/>
      <w:marBottom w:val="0"/>
      <w:divBdr>
        <w:top w:val="none" w:sz="0" w:space="0" w:color="auto"/>
        <w:left w:val="none" w:sz="0" w:space="0" w:color="auto"/>
        <w:bottom w:val="none" w:sz="0" w:space="0" w:color="auto"/>
        <w:right w:val="none" w:sz="0" w:space="0" w:color="auto"/>
      </w:divBdr>
    </w:div>
    <w:div w:id="554658207">
      <w:bodyDiv w:val="1"/>
      <w:marLeft w:val="0"/>
      <w:marRight w:val="0"/>
      <w:marTop w:val="0"/>
      <w:marBottom w:val="0"/>
      <w:divBdr>
        <w:top w:val="none" w:sz="0" w:space="0" w:color="auto"/>
        <w:left w:val="none" w:sz="0" w:space="0" w:color="auto"/>
        <w:bottom w:val="none" w:sz="0" w:space="0" w:color="auto"/>
        <w:right w:val="none" w:sz="0" w:space="0" w:color="auto"/>
      </w:divBdr>
    </w:div>
    <w:div w:id="554854464">
      <w:bodyDiv w:val="1"/>
      <w:marLeft w:val="0"/>
      <w:marRight w:val="0"/>
      <w:marTop w:val="0"/>
      <w:marBottom w:val="0"/>
      <w:divBdr>
        <w:top w:val="none" w:sz="0" w:space="0" w:color="auto"/>
        <w:left w:val="none" w:sz="0" w:space="0" w:color="auto"/>
        <w:bottom w:val="none" w:sz="0" w:space="0" w:color="auto"/>
        <w:right w:val="none" w:sz="0" w:space="0" w:color="auto"/>
      </w:divBdr>
    </w:div>
    <w:div w:id="554893749">
      <w:bodyDiv w:val="1"/>
      <w:marLeft w:val="0"/>
      <w:marRight w:val="0"/>
      <w:marTop w:val="0"/>
      <w:marBottom w:val="0"/>
      <w:divBdr>
        <w:top w:val="none" w:sz="0" w:space="0" w:color="auto"/>
        <w:left w:val="none" w:sz="0" w:space="0" w:color="auto"/>
        <w:bottom w:val="none" w:sz="0" w:space="0" w:color="auto"/>
        <w:right w:val="none" w:sz="0" w:space="0" w:color="auto"/>
      </w:divBdr>
    </w:div>
    <w:div w:id="554895333">
      <w:bodyDiv w:val="1"/>
      <w:marLeft w:val="0"/>
      <w:marRight w:val="0"/>
      <w:marTop w:val="0"/>
      <w:marBottom w:val="0"/>
      <w:divBdr>
        <w:top w:val="none" w:sz="0" w:space="0" w:color="auto"/>
        <w:left w:val="none" w:sz="0" w:space="0" w:color="auto"/>
        <w:bottom w:val="none" w:sz="0" w:space="0" w:color="auto"/>
        <w:right w:val="none" w:sz="0" w:space="0" w:color="auto"/>
      </w:divBdr>
    </w:div>
    <w:div w:id="554975318">
      <w:bodyDiv w:val="1"/>
      <w:marLeft w:val="0"/>
      <w:marRight w:val="0"/>
      <w:marTop w:val="0"/>
      <w:marBottom w:val="0"/>
      <w:divBdr>
        <w:top w:val="none" w:sz="0" w:space="0" w:color="auto"/>
        <w:left w:val="none" w:sz="0" w:space="0" w:color="auto"/>
        <w:bottom w:val="none" w:sz="0" w:space="0" w:color="auto"/>
        <w:right w:val="none" w:sz="0" w:space="0" w:color="auto"/>
      </w:divBdr>
    </w:div>
    <w:div w:id="554977036">
      <w:bodyDiv w:val="1"/>
      <w:marLeft w:val="0"/>
      <w:marRight w:val="0"/>
      <w:marTop w:val="0"/>
      <w:marBottom w:val="0"/>
      <w:divBdr>
        <w:top w:val="none" w:sz="0" w:space="0" w:color="auto"/>
        <w:left w:val="none" w:sz="0" w:space="0" w:color="auto"/>
        <w:bottom w:val="none" w:sz="0" w:space="0" w:color="auto"/>
        <w:right w:val="none" w:sz="0" w:space="0" w:color="auto"/>
      </w:divBdr>
    </w:div>
    <w:div w:id="555049337">
      <w:bodyDiv w:val="1"/>
      <w:marLeft w:val="0"/>
      <w:marRight w:val="0"/>
      <w:marTop w:val="0"/>
      <w:marBottom w:val="0"/>
      <w:divBdr>
        <w:top w:val="none" w:sz="0" w:space="0" w:color="auto"/>
        <w:left w:val="none" w:sz="0" w:space="0" w:color="auto"/>
        <w:bottom w:val="none" w:sz="0" w:space="0" w:color="auto"/>
        <w:right w:val="none" w:sz="0" w:space="0" w:color="auto"/>
      </w:divBdr>
    </w:div>
    <w:div w:id="555118192">
      <w:bodyDiv w:val="1"/>
      <w:marLeft w:val="0"/>
      <w:marRight w:val="0"/>
      <w:marTop w:val="0"/>
      <w:marBottom w:val="0"/>
      <w:divBdr>
        <w:top w:val="none" w:sz="0" w:space="0" w:color="auto"/>
        <w:left w:val="none" w:sz="0" w:space="0" w:color="auto"/>
        <w:bottom w:val="none" w:sz="0" w:space="0" w:color="auto"/>
        <w:right w:val="none" w:sz="0" w:space="0" w:color="auto"/>
      </w:divBdr>
    </w:div>
    <w:div w:id="555242284">
      <w:bodyDiv w:val="1"/>
      <w:marLeft w:val="0"/>
      <w:marRight w:val="0"/>
      <w:marTop w:val="0"/>
      <w:marBottom w:val="0"/>
      <w:divBdr>
        <w:top w:val="none" w:sz="0" w:space="0" w:color="auto"/>
        <w:left w:val="none" w:sz="0" w:space="0" w:color="auto"/>
        <w:bottom w:val="none" w:sz="0" w:space="0" w:color="auto"/>
        <w:right w:val="none" w:sz="0" w:space="0" w:color="auto"/>
      </w:divBdr>
    </w:div>
    <w:div w:id="555242419">
      <w:bodyDiv w:val="1"/>
      <w:marLeft w:val="0"/>
      <w:marRight w:val="0"/>
      <w:marTop w:val="0"/>
      <w:marBottom w:val="0"/>
      <w:divBdr>
        <w:top w:val="none" w:sz="0" w:space="0" w:color="auto"/>
        <w:left w:val="none" w:sz="0" w:space="0" w:color="auto"/>
        <w:bottom w:val="none" w:sz="0" w:space="0" w:color="auto"/>
        <w:right w:val="none" w:sz="0" w:space="0" w:color="auto"/>
      </w:divBdr>
    </w:div>
    <w:div w:id="555360139">
      <w:bodyDiv w:val="1"/>
      <w:marLeft w:val="0"/>
      <w:marRight w:val="0"/>
      <w:marTop w:val="0"/>
      <w:marBottom w:val="0"/>
      <w:divBdr>
        <w:top w:val="none" w:sz="0" w:space="0" w:color="auto"/>
        <w:left w:val="none" w:sz="0" w:space="0" w:color="auto"/>
        <w:bottom w:val="none" w:sz="0" w:space="0" w:color="auto"/>
        <w:right w:val="none" w:sz="0" w:space="0" w:color="auto"/>
      </w:divBdr>
    </w:div>
    <w:div w:id="555438221">
      <w:bodyDiv w:val="1"/>
      <w:marLeft w:val="0"/>
      <w:marRight w:val="0"/>
      <w:marTop w:val="0"/>
      <w:marBottom w:val="0"/>
      <w:divBdr>
        <w:top w:val="none" w:sz="0" w:space="0" w:color="auto"/>
        <w:left w:val="none" w:sz="0" w:space="0" w:color="auto"/>
        <w:bottom w:val="none" w:sz="0" w:space="0" w:color="auto"/>
        <w:right w:val="none" w:sz="0" w:space="0" w:color="auto"/>
      </w:divBdr>
    </w:div>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555513717">
      <w:bodyDiv w:val="1"/>
      <w:marLeft w:val="0"/>
      <w:marRight w:val="0"/>
      <w:marTop w:val="0"/>
      <w:marBottom w:val="0"/>
      <w:divBdr>
        <w:top w:val="none" w:sz="0" w:space="0" w:color="auto"/>
        <w:left w:val="none" w:sz="0" w:space="0" w:color="auto"/>
        <w:bottom w:val="none" w:sz="0" w:space="0" w:color="auto"/>
        <w:right w:val="none" w:sz="0" w:space="0" w:color="auto"/>
      </w:divBdr>
    </w:div>
    <w:div w:id="555580193">
      <w:bodyDiv w:val="1"/>
      <w:marLeft w:val="0"/>
      <w:marRight w:val="0"/>
      <w:marTop w:val="0"/>
      <w:marBottom w:val="0"/>
      <w:divBdr>
        <w:top w:val="none" w:sz="0" w:space="0" w:color="auto"/>
        <w:left w:val="none" w:sz="0" w:space="0" w:color="auto"/>
        <w:bottom w:val="none" w:sz="0" w:space="0" w:color="auto"/>
        <w:right w:val="none" w:sz="0" w:space="0" w:color="auto"/>
      </w:divBdr>
    </w:div>
    <w:div w:id="555706624">
      <w:bodyDiv w:val="1"/>
      <w:marLeft w:val="0"/>
      <w:marRight w:val="0"/>
      <w:marTop w:val="0"/>
      <w:marBottom w:val="0"/>
      <w:divBdr>
        <w:top w:val="none" w:sz="0" w:space="0" w:color="auto"/>
        <w:left w:val="none" w:sz="0" w:space="0" w:color="auto"/>
        <w:bottom w:val="none" w:sz="0" w:space="0" w:color="auto"/>
        <w:right w:val="none" w:sz="0" w:space="0" w:color="auto"/>
      </w:divBdr>
    </w:div>
    <w:div w:id="555815987">
      <w:bodyDiv w:val="1"/>
      <w:marLeft w:val="0"/>
      <w:marRight w:val="0"/>
      <w:marTop w:val="0"/>
      <w:marBottom w:val="0"/>
      <w:divBdr>
        <w:top w:val="none" w:sz="0" w:space="0" w:color="auto"/>
        <w:left w:val="none" w:sz="0" w:space="0" w:color="auto"/>
        <w:bottom w:val="none" w:sz="0" w:space="0" w:color="auto"/>
        <w:right w:val="none" w:sz="0" w:space="0" w:color="auto"/>
      </w:divBdr>
    </w:div>
    <w:div w:id="555818423">
      <w:bodyDiv w:val="1"/>
      <w:marLeft w:val="0"/>
      <w:marRight w:val="0"/>
      <w:marTop w:val="0"/>
      <w:marBottom w:val="0"/>
      <w:divBdr>
        <w:top w:val="none" w:sz="0" w:space="0" w:color="auto"/>
        <w:left w:val="none" w:sz="0" w:space="0" w:color="auto"/>
        <w:bottom w:val="none" w:sz="0" w:space="0" w:color="auto"/>
        <w:right w:val="none" w:sz="0" w:space="0" w:color="auto"/>
      </w:divBdr>
    </w:div>
    <w:div w:id="555825473">
      <w:bodyDiv w:val="1"/>
      <w:marLeft w:val="0"/>
      <w:marRight w:val="0"/>
      <w:marTop w:val="0"/>
      <w:marBottom w:val="0"/>
      <w:divBdr>
        <w:top w:val="none" w:sz="0" w:space="0" w:color="auto"/>
        <w:left w:val="none" w:sz="0" w:space="0" w:color="auto"/>
        <w:bottom w:val="none" w:sz="0" w:space="0" w:color="auto"/>
        <w:right w:val="none" w:sz="0" w:space="0" w:color="auto"/>
      </w:divBdr>
    </w:div>
    <w:div w:id="555897323">
      <w:bodyDiv w:val="1"/>
      <w:marLeft w:val="0"/>
      <w:marRight w:val="0"/>
      <w:marTop w:val="0"/>
      <w:marBottom w:val="0"/>
      <w:divBdr>
        <w:top w:val="none" w:sz="0" w:space="0" w:color="auto"/>
        <w:left w:val="none" w:sz="0" w:space="0" w:color="auto"/>
        <w:bottom w:val="none" w:sz="0" w:space="0" w:color="auto"/>
        <w:right w:val="none" w:sz="0" w:space="0" w:color="auto"/>
      </w:divBdr>
    </w:div>
    <w:div w:id="556166533">
      <w:bodyDiv w:val="1"/>
      <w:marLeft w:val="0"/>
      <w:marRight w:val="0"/>
      <w:marTop w:val="0"/>
      <w:marBottom w:val="0"/>
      <w:divBdr>
        <w:top w:val="none" w:sz="0" w:space="0" w:color="auto"/>
        <w:left w:val="none" w:sz="0" w:space="0" w:color="auto"/>
        <w:bottom w:val="none" w:sz="0" w:space="0" w:color="auto"/>
        <w:right w:val="none" w:sz="0" w:space="0" w:color="auto"/>
      </w:divBdr>
    </w:div>
    <w:div w:id="556209047">
      <w:bodyDiv w:val="1"/>
      <w:marLeft w:val="0"/>
      <w:marRight w:val="0"/>
      <w:marTop w:val="0"/>
      <w:marBottom w:val="0"/>
      <w:divBdr>
        <w:top w:val="none" w:sz="0" w:space="0" w:color="auto"/>
        <w:left w:val="none" w:sz="0" w:space="0" w:color="auto"/>
        <w:bottom w:val="none" w:sz="0" w:space="0" w:color="auto"/>
        <w:right w:val="none" w:sz="0" w:space="0" w:color="auto"/>
      </w:divBdr>
    </w:div>
    <w:div w:id="556360881">
      <w:bodyDiv w:val="1"/>
      <w:marLeft w:val="0"/>
      <w:marRight w:val="0"/>
      <w:marTop w:val="0"/>
      <w:marBottom w:val="0"/>
      <w:divBdr>
        <w:top w:val="none" w:sz="0" w:space="0" w:color="auto"/>
        <w:left w:val="none" w:sz="0" w:space="0" w:color="auto"/>
        <w:bottom w:val="none" w:sz="0" w:space="0" w:color="auto"/>
        <w:right w:val="none" w:sz="0" w:space="0" w:color="auto"/>
      </w:divBdr>
    </w:div>
    <w:div w:id="556401493">
      <w:bodyDiv w:val="1"/>
      <w:marLeft w:val="0"/>
      <w:marRight w:val="0"/>
      <w:marTop w:val="0"/>
      <w:marBottom w:val="0"/>
      <w:divBdr>
        <w:top w:val="none" w:sz="0" w:space="0" w:color="auto"/>
        <w:left w:val="none" w:sz="0" w:space="0" w:color="auto"/>
        <w:bottom w:val="none" w:sz="0" w:space="0" w:color="auto"/>
        <w:right w:val="none" w:sz="0" w:space="0" w:color="auto"/>
      </w:divBdr>
    </w:div>
    <w:div w:id="556475577">
      <w:bodyDiv w:val="1"/>
      <w:marLeft w:val="0"/>
      <w:marRight w:val="0"/>
      <w:marTop w:val="0"/>
      <w:marBottom w:val="0"/>
      <w:divBdr>
        <w:top w:val="none" w:sz="0" w:space="0" w:color="auto"/>
        <w:left w:val="none" w:sz="0" w:space="0" w:color="auto"/>
        <w:bottom w:val="none" w:sz="0" w:space="0" w:color="auto"/>
        <w:right w:val="none" w:sz="0" w:space="0" w:color="auto"/>
      </w:divBdr>
    </w:div>
    <w:div w:id="556476023">
      <w:bodyDiv w:val="1"/>
      <w:marLeft w:val="0"/>
      <w:marRight w:val="0"/>
      <w:marTop w:val="0"/>
      <w:marBottom w:val="0"/>
      <w:divBdr>
        <w:top w:val="none" w:sz="0" w:space="0" w:color="auto"/>
        <w:left w:val="none" w:sz="0" w:space="0" w:color="auto"/>
        <w:bottom w:val="none" w:sz="0" w:space="0" w:color="auto"/>
        <w:right w:val="none" w:sz="0" w:space="0" w:color="auto"/>
      </w:divBdr>
    </w:div>
    <w:div w:id="556547983">
      <w:bodyDiv w:val="1"/>
      <w:marLeft w:val="0"/>
      <w:marRight w:val="0"/>
      <w:marTop w:val="0"/>
      <w:marBottom w:val="0"/>
      <w:divBdr>
        <w:top w:val="none" w:sz="0" w:space="0" w:color="auto"/>
        <w:left w:val="none" w:sz="0" w:space="0" w:color="auto"/>
        <w:bottom w:val="none" w:sz="0" w:space="0" w:color="auto"/>
        <w:right w:val="none" w:sz="0" w:space="0" w:color="auto"/>
      </w:divBdr>
    </w:div>
    <w:div w:id="556549606">
      <w:bodyDiv w:val="1"/>
      <w:marLeft w:val="0"/>
      <w:marRight w:val="0"/>
      <w:marTop w:val="0"/>
      <w:marBottom w:val="0"/>
      <w:divBdr>
        <w:top w:val="none" w:sz="0" w:space="0" w:color="auto"/>
        <w:left w:val="none" w:sz="0" w:space="0" w:color="auto"/>
        <w:bottom w:val="none" w:sz="0" w:space="0" w:color="auto"/>
        <w:right w:val="none" w:sz="0" w:space="0" w:color="auto"/>
      </w:divBdr>
    </w:div>
    <w:div w:id="556627043">
      <w:bodyDiv w:val="1"/>
      <w:marLeft w:val="0"/>
      <w:marRight w:val="0"/>
      <w:marTop w:val="0"/>
      <w:marBottom w:val="0"/>
      <w:divBdr>
        <w:top w:val="none" w:sz="0" w:space="0" w:color="auto"/>
        <w:left w:val="none" w:sz="0" w:space="0" w:color="auto"/>
        <w:bottom w:val="none" w:sz="0" w:space="0" w:color="auto"/>
        <w:right w:val="none" w:sz="0" w:space="0" w:color="auto"/>
      </w:divBdr>
    </w:div>
    <w:div w:id="556744072">
      <w:bodyDiv w:val="1"/>
      <w:marLeft w:val="0"/>
      <w:marRight w:val="0"/>
      <w:marTop w:val="0"/>
      <w:marBottom w:val="0"/>
      <w:divBdr>
        <w:top w:val="none" w:sz="0" w:space="0" w:color="auto"/>
        <w:left w:val="none" w:sz="0" w:space="0" w:color="auto"/>
        <w:bottom w:val="none" w:sz="0" w:space="0" w:color="auto"/>
        <w:right w:val="none" w:sz="0" w:space="0" w:color="auto"/>
      </w:divBdr>
    </w:div>
    <w:div w:id="556744934">
      <w:bodyDiv w:val="1"/>
      <w:marLeft w:val="0"/>
      <w:marRight w:val="0"/>
      <w:marTop w:val="0"/>
      <w:marBottom w:val="0"/>
      <w:divBdr>
        <w:top w:val="none" w:sz="0" w:space="0" w:color="auto"/>
        <w:left w:val="none" w:sz="0" w:space="0" w:color="auto"/>
        <w:bottom w:val="none" w:sz="0" w:space="0" w:color="auto"/>
        <w:right w:val="none" w:sz="0" w:space="0" w:color="auto"/>
      </w:divBdr>
    </w:div>
    <w:div w:id="556821158">
      <w:bodyDiv w:val="1"/>
      <w:marLeft w:val="0"/>
      <w:marRight w:val="0"/>
      <w:marTop w:val="0"/>
      <w:marBottom w:val="0"/>
      <w:divBdr>
        <w:top w:val="none" w:sz="0" w:space="0" w:color="auto"/>
        <w:left w:val="none" w:sz="0" w:space="0" w:color="auto"/>
        <w:bottom w:val="none" w:sz="0" w:space="0" w:color="auto"/>
        <w:right w:val="none" w:sz="0" w:space="0" w:color="auto"/>
      </w:divBdr>
    </w:div>
    <w:div w:id="556824569">
      <w:bodyDiv w:val="1"/>
      <w:marLeft w:val="0"/>
      <w:marRight w:val="0"/>
      <w:marTop w:val="0"/>
      <w:marBottom w:val="0"/>
      <w:divBdr>
        <w:top w:val="none" w:sz="0" w:space="0" w:color="auto"/>
        <w:left w:val="none" w:sz="0" w:space="0" w:color="auto"/>
        <w:bottom w:val="none" w:sz="0" w:space="0" w:color="auto"/>
        <w:right w:val="none" w:sz="0" w:space="0" w:color="auto"/>
      </w:divBdr>
    </w:div>
    <w:div w:id="557135517">
      <w:bodyDiv w:val="1"/>
      <w:marLeft w:val="0"/>
      <w:marRight w:val="0"/>
      <w:marTop w:val="0"/>
      <w:marBottom w:val="0"/>
      <w:divBdr>
        <w:top w:val="none" w:sz="0" w:space="0" w:color="auto"/>
        <w:left w:val="none" w:sz="0" w:space="0" w:color="auto"/>
        <w:bottom w:val="none" w:sz="0" w:space="0" w:color="auto"/>
        <w:right w:val="none" w:sz="0" w:space="0" w:color="auto"/>
      </w:divBdr>
    </w:div>
    <w:div w:id="557207497">
      <w:bodyDiv w:val="1"/>
      <w:marLeft w:val="0"/>
      <w:marRight w:val="0"/>
      <w:marTop w:val="0"/>
      <w:marBottom w:val="0"/>
      <w:divBdr>
        <w:top w:val="none" w:sz="0" w:space="0" w:color="auto"/>
        <w:left w:val="none" w:sz="0" w:space="0" w:color="auto"/>
        <w:bottom w:val="none" w:sz="0" w:space="0" w:color="auto"/>
        <w:right w:val="none" w:sz="0" w:space="0" w:color="auto"/>
      </w:divBdr>
    </w:div>
    <w:div w:id="557278152">
      <w:bodyDiv w:val="1"/>
      <w:marLeft w:val="0"/>
      <w:marRight w:val="0"/>
      <w:marTop w:val="0"/>
      <w:marBottom w:val="0"/>
      <w:divBdr>
        <w:top w:val="none" w:sz="0" w:space="0" w:color="auto"/>
        <w:left w:val="none" w:sz="0" w:space="0" w:color="auto"/>
        <w:bottom w:val="none" w:sz="0" w:space="0" w:color="auto"/>
        <w:right w:val="none" w:sz="0" w:space="0" w:color="auto"/>
      </w:divBdr>
    </w:div>
    <w:div w:id="557281531">
      <w:bodyDiv w:val="1"/>
      <w:marLeft w:val="0"/>
      <w:marRight w:val="0"/>
      <w:marTop w:val="0"/>
      <w:marBottom w:val="0"/>
      <w:divBdr>
        <w:top w:val="none" w:sz="0" w:space="0" w:color="auto"/>
        <w:left w:val="none" w:sz="0" w:space="0" w:color="auto"/>
        <w:bottom w:val="none" w:sz="0" w:space="0" w:color="auto"/>
        <w:right w:val="none" w:sz="0" w:space="0" w:color="auto"/>
      </w:divBdr>
    </w:div>
    <w:div w:id="557396712">
      <w:bodyDiv w:val="1"/>
      <w:marLeft w:val="0"/>
      <w:marRight w:val="0"/>
      <w:marTop w:val="0"/>
      <w:marBottom w:val="0"/>
      <w:divBdr>
        <w:top w:val="none" w:sz="0" w:space="0" w:color="auto"/>
        <w:left w:val="none" w:sz="0" w:space="0" w:color="auto"/>
        <w:bottom w:val="none" w:sz="0" w:space="0" w:color="auto"/>
        <w:right w:val="none" w:sz="0" w:space="0" w:color="auto"/>
      </w:divBdr>
    </w:div>
    <w:div w:id="557521912">
      <w:bodyDiv w:val="1"/>
      <w:marLeft w:val="0"/>
      <w:marRight w:val="0"/>
      <w:marTop w:val="0"/>
      <w:marBottom w:val="0"/>
      <w:divBdr>
        <w:top w:val="none" w:sz="0" w:space="0" w:color="auto"/>
        <w:left w:val="none" w:sz="0" w:space="0" w:color="auto"/>
        <w:bottom w:val="none" w:sz="0" w:space="0" w:color="auto"/>
        <w:right w:val="none" w:sz="0" w:space="0" w:color="auto"/>
      </w:divBdr>
    </w:div>
    <w:div w:id="557593881">
      <w:bodyDiv w:val="1"/>
      <w:marLeft w:val="0"/>
      <w:marRight w:val="0"/>
      <w:marTop w:val="0"/>
      <w:marBottom w:val="0"/>
      <w:divBdr>
        <w:top w:val="none" w:sz="0" w:space="0" w:color="auto"/>
        <w:left w:val="none" w:sz="0" w:space="0" w:color="auto"/>
        <w:bottom w:val="none" w:sz="0" w:space="0" w:color="auto"/>
        <w:right w:val="none" w:sz="0" w:space="0" w:color="auto"/>
      </w:divBdr>
    </w:div>
    <w:div w:id="557593952">
      <w:bodyDiv w:val="1"/>
      <w:marLeft w:val="0"/>
      <w:marRight w:val="0"/>
      <w:marTop w:val="0"/>
      <w:marBottom w:val="0"/>
      <w:divBdr>
        <w:top w:val="none" w:sz="0" w:space="0" w:color="auto"/>
        <w:left w:val="none" w:sz="0" w:space="0" w:color="auto"/>
        <w:bottom w:val="none" w:sz="0" w:space="0" w:color="auto"/>
        <w:right w:val="none" w:sz="0" w:space="0" w:color="auto"/>
      </w:divBdr>
    </w:div>
    <w:div w:id="557665392">
      <w:bodyDiv w:val="1"/>
      <w:marLeft w:val="0"/>
      <w:marRight w:val="0"/>
      <w:marTop w:val="0"/>
      <w:marBottom w:val="0"/>
      <w:divBdr>
        <w:top w:val="none" w:sz="0" w:space="0" w:color="auto"/>
        <w:left w:val="none" w:sz="0" w:space="0" w:color="auto"/>
        <w:bottom w:val="none" w:sz="0" w:space="0" w:color="auto"/>
        <w:right w:val="none" w:sz="0" w:space="0" w:color="auto"/>
      </w:divBdr>
    </w:div>
    <w:div w:id="557669266">
      <w:bodyDiv w:val="1"/>
      <w:marLeft w:val="0"/>
      <w:marRight w:val="0"/>
      <w:marTop w:val="0"/>
      <w:marBottom w:val="0"/>
      <w:divBdr>
        <w:top w:val="none" w:sz="0" w:space="0" w:color="auto"/>
        <w:left w:val="none" w:sz="0" w:space="0" w:color="auto"/>
        <w:bottom w:val="none" w:sz="0" w:space="0" w:color="auto"/>
        <w:right w:val="none" w:sz="0" w:space="0" w:color="auto"/>
      </w:divBdr>
    </w:div>
    <w:div w:id="557743721">
      <w:bodyDiv w:val="1"/>
      <w:marLeft w:val="0"/>
      <w:marRight w:val="0"/>
      <w:marTop w:val="0"/>
      <w:marBottom w:val="0"/>
      <w:divBdr>
        <w:top w:val="none" w:sz="0" w:space="0" w:color="auto"/>
        <w:left w:val="none" w:sz="0" w:space="0" w:color="auto"/>
        <w:bottom w:val="none" w:sz="0" w:space="0" w:color="auto"/>
        <w:right w:val="none" w:sz="0" w:space="0" w:color="auto"/>
      </w:divBdr>
    </w:div>
    <w:div w:id="557782774">
      <w:bodyDiv w:val="1"/>
      <w:marLeft w:val="0"/>
      <w:marRight w:val="0"/>
      <w:marTop w:val="0"/>
      <w:marBottom w:val="0"/>
      <w:divBdr>
        <w:top w:val="none" w:sz="0" w:space="0" w:color="auto"/>
        <w:left w:val="none" w:sz="0" w:space="0" w:color="auto"/>
        <w:bottom w:val="none" w:sz="0" w:space="0" w:color="auto"/>
        <w:right w:val="none" w:sz="0" w:space="0" w:color="auto"/>
      </w:divBdr>
    </w:div>
    <w:div w:id="557784427">
      <w:bodyDiv w:val="1"/>
      <w:marLeft w:val="0"/>
      <w:marRight w:val="0"/>
      <w:marTop w:val="0"/>
      <w:marBottom w:val="0"/>
      <w:divBdr>
        <w:top w:val="none" w:sz="0" w:space="0" w:color="auto"/>
        <w:left w:val="none" w:sz="0" w:space="0" w:color="auto"/>
        <w:bottom w:val="none" w:sz="0" w:space="0" w:color="auto"/>
        <w:right w:val="none" w:sz="0" w:space="0" w:color="auto"/>
      </w:divBdr>
    </w:div>
    <w:div w:id="557866057">
      <w:bodyDiv w:val="1"/>
      <w:marLeft w:val="0"/>
      <w:marRight w:val="0"/>
      <w:marTop w:val="0"/>
      <w:marBottom w:val="0"/>
      <w:divBdr>
        <w:top w:val="none" w:sz="0" w:space="0" w:color="auto"/>
        <w:left w:val="none" w:sz="0" w:space="0" w:color="auto"/>
        <w:bottom w:val="none" w:sz="0" w:space="0" w:color="auto"/>
        <w:right w:val="none" w:sz="0" w:space="0" w:color="auto"/>
      </w:divBdr>
    </w:div>
    <w:div w:id="557908025">
      <w:bodyDiv w:val="1"/>
      <w:marLeft w:val="0"/>
      <w:marRight w:val="0"/>
      <w:marTop w:val="0"/>
      <w:marBottom w:val="0"/>
      <w:divBdr>
        <w:top w:val="none" w:sz="0" w:space="0" w:color="auto"/>
        <w:left w:val="none" w:sz="0" w:space="0" w:color="auto"/>
        <w:bottom w:val="none" w:sz="0" w:space="0" w:color="auto"/>
        <w:right w:val="none" w:sz="0" w:space="0" w:color="auto"/>
      </w:divBdr>
    </w:div>
    <w:div w:id="557934709">
      <w:bodyDiv w:val="1"/>
      <w:marLeft w:val="0"/>
      <w:marRight w:val="0"/>
      <w:marTop w:val="0"/>
      <w:marBottom w:val="0"/>
      <w:divBdr>
        <w:top w:val="none" w:sz="0" w:space="0" w:color="auto"/>
        <w:left w:val="none" w:sz="0" w:space="0" w:color="auto"/>
        <w:bottom w:val="none" w:sz="0" w:space="0" w:color="auto"/>
        <w:right w:val="none" w:sz="0" w:space="0" w:color="auto"/>
      </w:divBdr>
    </w:div>
    <w:div w:id="557935427">
      <w:bodyDiv w:val="1"/>
      <w:marLeft w:val="0"/>
      <w:marRight w:val="0"/>
      <w:marTop w:val="0"/>
      <w:marBottom w:val="0"/>
      <w:divBdr>
        <w:top w:val="none" w:sz="0" w:space="0" w:color="auto"/>
        <w:left w:val="none" w:sz="0" w:space="0" w:color="auto"/>
        <w:bottom w:val="none" w:sz="0" w:space="0" w:color="auto"/>
        <w:right w:val="none" w:sz="0" w:space="0" w:color="auto"/>
      </w:divBdr>
    </w:div>
    <w:div w:id="557981046">
      <w:bodyDiv w:val="1"/>
      <w:marLeft w:val="0"/>
      <w:marRight w:val="0"/>
      <w:marTop w:val="0"/>
      <w:marBottom w:val="0"/>
      <w:divBdr>
        <w:top w:val="none" w:sz="0" w:space="0" w:color="auto"/>
        <w:left w:val="none" w:sz="0" w:space="0" w:color="auto"/>
        <w:bottom w:val="none" w:sz="0" w:space="0" w:color="auto"/>
        <w:right w:val="none" w:sz="0" w:space="0" w:color="auto"/>
      </w:divBdr>
    </w:div>
    <w:div w:id="557981772">
      <w:bodyDiv w:val="1"/>
      <w:marLeft w:val="0"/>
      <w:marRight w:val="0"/>
      <w:marTop w:val="0"/>
      <w:marBottom w:val="0"/>
      <w:divBdr>
        <w:top w:val="none" w:sz="0" w:space="0" w:color="auto"/>
        <w:left w:val="none" w:sz="0" w:space="0" w:color="auto"/>
        <w:bottom w:val="none" w:sz="0" w:space="0" w:color="auto"/>
        <w:right w:val="none" w:sz="0" w:space="0" w:color="auto"/>
      </w:divBdr>
    </w:div>
    <w:div w:id="557983278">
      <w:bodyDiv w:val="1"/>
      <w:marLeft w:val="0"/>
      <w:marRight w:val="0"/>
      <w:marTop w:val="0"/>
      <w:marBottom w:val="0"/>
      <w:divBdr>
        <w:top w:val="none" w:sz="0" w:space="0" w:color="auto"/>
        <w:left w:val="none" w:sz="0" w:space="0" w:color="auto"/>
        <w:bottom w:val="none" w:sz="0" w:space="0" w:color="auto"/>
        <w:right w:val="none" w:sz="0" w:space="0" w:color="auto"/>
      </w:divBdr>
    </w:div>
    <w:div w:id="558056543">
      <w:bodyDiv w:val="1"/>
      <w:marLeft w:val="0"/>
      <w:marRight w:val="0"/>
      <w:marTop w:val="0"/>
      <w:marBottom w:val="0"/>
      <w:divBdr>
        <w:top w:val="none" w:sz="0" w:space="0" w:color="auto"/>
        <w:left w:val="none" w:sz="0" w:space="0" w:color="auto"/>
        <w:bottom w:val="none" w:sz="0" w:space="0" w:color="auto"/>
        <w:right w:val="none" w:sz="0" w:space="0" w:color="auto"/>
      </w:divBdr>
    </w:div>
    <w:div w:id="558129414">
      <w:bodyDiv w:val="1"/>
      <w:marLeft w:val="0"/>
      <w:marRight w:val="0"/>
      <w:marTop w:val="0"/>
      <w:marBottom w:val="0"/>
      <w:divBdr>
        <w:top w:val="none" w:sz="0" w:space="0" w:color="auto"/>
        <w:left w:val="none" w:sz="0" w:space="0" w:color="auto"/>
        <w:bottom w:val="none" w:sz="0" w:space="0" w:color="auto"/>
        <w:right w:val="none" w:sz="0" w:space="0" w:color="auto"/>
      </w:divBdr>
    </w:div>
    <w:div w:id="558321231">
      <w:bodyDiv w:val="1"/>
      <w:marLeft w:val="0"/>
      <w:marRight w:val="0"/>
      <w:marTop w:val="0"/>
      <w:marBottom w:val="0"/>
      <w:divBdr>
        <w:top w:val="none" w:sz="0" w:space="0" w:color="auto"/>
        <w:left w:val="none" w:sz="0" w:space="0" w:color="auto"/>
        <w:bottom w:val="none" w:sz="0" w:space="0" w:color="auto"/>
        <w:right w:val="none" w:sz="0" w:space="0" w:color="auto"/>
      </w:divBdr>
    </w:div>
    <w:div w:id="558322826">
      <w:bodyDiv w:val="1"/>
      <w:marLeft w:val="0"/>
      <w:marRight w:val="0"/>
      <w:marTop w:val="0"/>
      <w:marBottom w:val="0"/>
      <w:divBdr>
        <w:top w:val="none" w:sz="0" w:space="0" w:color="auto"/>
        <w:left w:val="none" w:sz="0" w:space="0" w:color="auto"/>
        <w:bottom w:val="none" w:sz="0" w:space="0" w:color="auto"/>
        <w:right w:val="none" w:sz="0" w:space="0" w:color="auto"/>
      </w:divBdr>
    </w:div>
    <w:div w:id="558324012">
      <w:bodyDiv w:val="1"/>
      <w:marLeft w:val="0"/>
      <w:marRight w:val="0"/>
      <w:marTop w:val="0"/>
      <w:marBottom w:val="0"/>
      <w:divBdr>
        <w:top w:val="none" w:sz="0" w:space="0" w:color="auto"/>
        <w:left w:val="none" w:sz="0" w:space="0" w:color="auto"/>
        <w:bottom w:val="none" w:sz="0" w:space="0" w:color="auto"/>
        <w:right w:val="none" w:sz="0" w:space="0" w:color="auto"/>
      </w:divBdr>
    </w:div>
    <w:div w:id="558589207">
      <w:bodyDiv w:val="1"/>
      <w:marLeft w:val="0"/>
      <w:marRight w:val="0"/>
      <w:marTop w:val="0"/>
      <w:marBottom w:val="0"/>
      <w:divBdr>
        <w:top w:val="none" w:sz="0" w:space="0" w:color="auto"/>
        <w:left w:val="none" w:sz="0" w:space="0" w:color="auto"/>
        <w:bottom w:val="none" w:sz="0" w:space="0" w:color="auto"/>
        <w:right w:val="none" w:sz="0" w:space="0" w:color="auto"/>
      </w:divBdr>
    </w:div>
    <w:div w:id="558590584">
      <w:bodyDiv w:val="1"/>
      <w:marLeft w:val="0"/>
      <w:marRight w:val="0"/>
      <w:marTop w:val="0"/>
      <w:marBottom w:val="0"/>
      <w:divBdr>
        <w:top w:val="none" w:sz="0" w:space="0" w:color="auto"/>
        <w:left w:val="none" w:sz="0" w:space="0" w:color="auto"/>
        <w:bottom w:val="none" w:sz="0" w:space="0" w:color="auto"/>
        <w:right w:val="none" w:sz="0" w:space="0" w:color="auto"/>
      </w:divBdr>
    </w:div>
    <w:div w:id="558827904">
      <w:bodyDiv w:val="1"/>
      <w:marLeft w:val="0"/>
      <w:marRight w:val="0"/>
      <w:marTop w:val="0"/>
      <w:marBottom w:val="0"/>
      <w:divBdr>
        <w:top w:val="none" w:sz="0" w:space="0" w:color="auto"/>
        <w:left w:val="none" w:sz="0" w:space="0" w:color="auto"/>
        <w:bottom w:val="none" w:sz="0" w:space="0" w:color="auto"/>
        <w:right w:val="none" w:sz="0" w:space="0" w:color="auto"/>
      </w:divBdr>
    </w:div>
    <w:div w:id="558857393">
      <w:bodyDiv w:val="1"/>
      <w:marLeft w:val="0"/>
      <w:marRight w:val="0"/>
      <w:marTop w:val="0"/>
      <w:marBottom w:val="0"/>
      <w:divBdr>
        <w:top w:val="none" w:sz="0" w:space="0" w:color="auto"/>
        <w:left w:val="none" w:sz="0" w:space="0" w:color="auto"/>
        <w:bottom w:val="none" w:sz="0" w:space="0" w:color="auto"/>
        <w:right w:val="none" w:sz="0" w:space="0" w:color="auto"/>
      </w:divBdr>
    </w:div>
    <w:div w:id="558899149">
      <w:bodyDiv w:val="1"/>
      <w:marLeft w:val="0"/>
      <w:marRight w:val="0"/>
      <w:marTop w:val="0"/>
      <w:marBottom w:val="0"/>
      <w:divBdr>
        <w:top w:val="none" w:sz="0" w:space="0" w:color="auto"/>
        <w:left w:val="none" w:sz="0" w:space="0" w:color="auto"/>
        <w:bottom w:val="none" w:sz="0" w:space="0" w:color="auto"/>
        <w:right w:val="none" w:sz="0" w:space="0" w:color="auto"/>
      </w:divBdr>
    </w:div>
    <w:div w:id="558974601">
      <w:bodyDiv w:val="1"/>
      <w:marLeft w:val="0"/>
      <w:marRight w:val="0"/>
      <w:marTop w:val="0"/>
      <w:marBottom w:val="0"/>
      <w:divBdr>
        <w:top w:val="none" w:sz="0" w:space="0" w:color="auto"/>
        <w:left w:val="none" w:sz="0" w:space="0" w:color="auto"/>
        <w:bottom w:val="none" w:sz="0" w:space="0" w:color="auto"/>
        <w:right w:val="none" w:sz="0" w:space="0" w:color="auto"/>
      </w:divBdr>
    </w:div>
    <w:div w:id="558975170">
      <w:bodyDiv w:val="1"/>
      <w:marLeft w:val="0"/>
      <w:marRight w:val="0"/>
      <w:marTop w:val="0"/>
      <w:marBottom w:val="0"/>
      <w:divBdr>
        <w:top w:val="none" w:sz="0" w:space="0" w:color="auto"/>
        <w:left w:val="none" w:sz="0" w:space="0" w:color="auto"/>
        <w:bottom w:val="none" w:sz="0" w:space="0" w:color="auto"/>
        <w:right w:val="none" w:sz="0" w:space="0" w:color="auto"/>
      </w:divBdr>
    </w:div>
    <w:div w:id="559436536">
      <w:bodyDiv w:val="1"/>
      <w:marLeft w:val="0"/>
      <w:marRight w:val="0"/>
      <w:marTop w:val="0"/>
      <w:marBottom w:val="0"/>
      <w:divBdr>
        <w:top w:val="none" w:sz="0" w:space="0" w:color="auto"/>
        <w:left w:val="none" w:sz="0" w:space="0" w:color="auto"/>
        <w:bottom w:val="none" w:sz="0" w:space="0" w:color="auto"/>
        <w:right w:val="none" w:sz="0" w:space="0" w:color="auto"/>
      </w:divBdr>
    </w:div>
    <w:div w:id="559679162">
      <w:bodyDiv w:val="1"/>
      <w:marLeft w:val="0"/>
      <w:marRight w:val="0"/>
      <w:marTop w:val="0"/>
      <w:marBottom w:val="0"/>
      <w:divBdr>
        <w:top w:val="none" w:sz="0" w:space="0" w:color="auto"/>
        <w:left w:val="none" w:sz="0" w:space="0" w:color="auto"/>
        <w:bottom w:val="none" w:sz="0" w:space="0" w:color="auto"/>
        <w:right w:val="none" w:sz="0" w:space="0" w:color="auto"/>
      </w:divBdr>
    </w:div>
    <w:div w:id="559680473">
      <w:bodyDiv w:val="1"/>
      <w:marLeft w:val="0"/>
      <w:marRight w:val="0"/>
      <w:marTop w:val="0"/>
      <w:marBottom w:val="0"/>
      <w:divBdr>
        <w:top w:val="none" w:sz="0" w:space="0" w:color="auto"/>
        <w:left w:val="none" w:sz="0" w:space="0" w:color="auto"/>
        <w:bottom w:val="none" w:sz="0" w:space="0" w:color="auto"/>
        <w:right w:val="none" w:sz="0" w:space="0" w:color="auto"/>
      </w:divBdr>
    </w:div>
    <w:div w:id="559709842">
      <w:bodyDiv w:val="1"/>
      <w:marLeft w:val="0"/>
      <w:marRight w:val="0"/>
      <w:marTop w:val="0"/>
      <w:marBottom w:val="0"/>
      <w:divBdr>
        <w:top w:val="none" w:sz="0" w:space="0" w:color="auto"/>
        <w:left w:val="none" w:sz="0" w:space="0" w:color="auto"/>
        <w:bottom w:val="none" w:sz="0" w:space="0" w:color="auto"/>
        <w:right w:val="none" w:sz="0" w:space="0" w:color="auto"/>
      </w:divBdr>
    </w:div>
    <w:div w:id="559827320">
      <w:bodyDiv w:val="1"/>
      <w:marLeft w:val="0"/>
      <w:marRight w:val="0"/>
      <w:marTop w:val="0"/>
      <w:marBottom w:val="0"/>
      <w:divBdr>
        <w:top w:val="none" w:sz="0" w:space="0" w:color="auto"/>
        <w:left w:val="none" w:sz="0" w:space="0" w:color="auto"/>
        <w:bottom w:val="none" w:sz="0" w:space="0" w:color="auto"/>
        <w:right w:val="none" w:sz="0" w:space="0" w:color="auto"/>
      </w:divBdr>
    </w:div>
    <w:div w:id="559904087">
      <w:bodyDiv w:val="1"/>
      <w:marLeft w:val="0"/>
      <w:marRight w:val="0"/>
      <w:marTop w:val="0"/>
      <w:marBottom w:val="0"/>
      <w:divBdr>
        <w:top w:val="none" w:sz="0" w:space="0" w:color="auto"/>
        <w:left w:val="none" w:sz="0" w:space="0" w:color="auto"/>
        <w:bottom w:val="none" w:sz="0" w:space="0" w:color="auto"/>
        <w:right w:val="none" w:sz="0" w:space="0" w:color="auto"/>
      </w:divBdr>
    </w:div>
    <w:div w:id="559905351">
      <w:bodyDiv w:val="1"/>
      <w:marLeft w:val="0"/>
      <w:marRight w:val="0"/>
      <w:marTop w:val="0"/>
      <w:marBottom w:val="0"/>
      <w:divBdr>
        <w:top w:val="none" w:sz="0" w:space="0" w:color="auto"/>
        <w:left w:val="none" w:sz="0" w:space="0" w:color="auto"/>
        <w:bottom w:val="none" w:sz="0" w:space="0" w:color="auto"/>
        <w:right w:val="none" w:sz="0" w:space="0" w:color="auto"/>
      </w:divBdr>
    </w:div>
    <w:div w:id="560024402">
      <w:bodyDiv w:val="1"/>
      <w:marLeft w:val="0"/>
      <w:marRight w:val="0"/>
      <w:marTop w:val="0"/>
      <w:marBottom w:val="0"/>
      <w:divBdr>
        <w:top w:val="none" w:sz="0" w:space="0" w:color="auto"/>
        <w:left w:val="none" w:sz="0" w:space="0" w:color="auto"/>
        <w:bottom w:val="none" w:sz="0" w:space="0" w:color="auto"/>
        <w:right w:val="none" w:sz="0" w:space="0" w:color="auto"/>
      </w:divBdr>
    </w:div>
    <w:div w:id="560094560">
      <w:bodyDiv w:val="1"/>
      <w:marLeft w:val="0"/>
      <w:marRight w:val="0"/>
      <w:marTop w:val="0"/>
      <w:marBottom w:val="0"/>
      <w:divBdr>
        <w:top w:val="none" w:sz="0" w:space="0" w:color="auto"/>
        <w:left w:val="none" w:sz="0" w:space="0" w:color="auto"/>
        <w:bottom w:val="none" w:sz="0" w:space="0" w:color="auto"/>
        <w:right w:val="none" w:sz="0" w:space="0" w:color="auto"/>
      </w:divBdr>
    </w:div>
    <w:div w:id="560095412">
      <w:bodyDiv w:val="1"/>
      <w:marLeft w:val="0"/>
      <w:marRight w:val="0"/>
      <w:marTop w:val="0"/>
      <w:marBottom w:val="0"/>
      <w:divBdr>
        <w:top w:val="none" w:sz="0" w:space="0" w:color="auto"/>
        <w:left w:val="none" w:sz="0" w:space="0" w:color="auto"/>
        <w:bottom w:val="none" w:sz="0" w:space="0" w:color="auto"/>
        <w:right w:val="none" w:sz="0" w:space="0" w:color="auto"/>
      </w:divBdr>
    </w:div>
    <w:div w:id="560095747">
      <w:bodyDiv w:val="1"/>
      <w:marLeft w:val="0"/>
      <w:marRight w:val="0"/>
      <w:marTop w:val="0"/>
      <w:marBottom w:val="0"/>
      <w:divBdr>
        <w:top w:val="none" w:sz="0" w:space="0" w:color="auto"/>
        <w:left w:val="none" w:sz="0" w:space="0" w:color="auto"/>
        <w:bottom w:val="none" w:sz="0" w:space="0" w:color="auto"/>
        <w:right w:val="none" w:sz="0" w:space="0" w:color="auto"/>
      </w:divBdr>
    </w:div>
    <w:div w:id="560140820">
      <w:bodyDiv w:val="1"/>
      <w:marLeft w:val="0"/>
      <w:marRight w:val="0"/>
      <w:marTop w:val="0"/>
      <w:marBottom w:val="0"/>
      <w:divBdr>
        <w:top w:val="none" w:sz="0" w:space="0" w:color="auto"/>
        <w:left w:val="none" w:sz="0" w:space="0" w:color="auto"/>
        <w:bottom w:val="none" w:sz="0" w:space="0" w:color="auto"/>
        <w:right w:val="none" w:sz="0" w:space="0" w:color="auto"/>
      </w:divBdr>
    </w:div>
    <w:div w:id="560212214">
      <w:bodyDiv w:val="1"/>
      <w:marLeft w:val="0"/>
      <w:marRight w:val="0"/>
      <w:marTop w:val="0"/>
      <w:marBottom w:val="0"/>
      <w:divBdr>
        <w:top w:val="none" w:sz="0" w:space="0" w:color="auto"/>
        <w:left w:val="none" w:sz="0" w:space="0" w:color="auto"/>
        <w:bottom w:val="none" w:sz="0" w:space="0" w:color="auto"/>
        <w:right w:val="none" w:sz="0" w:space="0" w:color="auto"/>
      </w:divBdr>
    </w:div>
    <w:div w:id="560216243">
      <w:bodyDiv w:val="1"/>
      <w:marLeft w:val="0"/>
      <w:marRight w:val="0"/>
      <w:marTop w:val="0"/>
      <w:marBottom w:val="0"/>
      <w:divBdr>
        <w:top w:val="none" w:sz="0" w:space="0" w:color="auto"/>
        <w:left w:val="none" w:sz="0" w:space="0" w:color="auto"/>
        <w:bottom w:val="none" w:sz="0" w:space="0" w:color="auto"/>
        <w:right w:val="none" w:sz="0" w:space="0" w:color="auto"/>
      </w:divBdr>
    </w:div>
    <w:div w:id="560335998">
      <w:bodyDiv w:val="1"/>
      <w:marLeft w:val="0"/>
      <w:marRight w:val="0"/>
      <w:marTop w:val="0"/>
      <w:marBottom w:val="0"/>
      <w:divBdr>
        <w:top w:val="none" w:sz="0" w:space="0" w:color="auto"/>
        <w:left w:val="none" w:sz="0" w:space="0" w:color="auto"/>
        <w:bottom w:val="none" w:sz="0" w:space="0" w:color="auto"/>
        <w:right w:val="none" w:sz="0" w:space="0" w:color="auto"/>
      </w:divBdr>
    </w:div>
    <w:div w:id="560403089">
      <w:bodyDiv w:val="1"/>
      <w:marLeft w:val="0"/>
      <w:marRight w:val="0"/>
      <w:marTop w:val="0"/>
      <w:marBottom w:val="0"/>
      <w:divBdr>
        <w:top w:val="none" w:sz="0" w:space="0" w:color="auto"/>
        <w:left w:val="none" w:sz="0" w:space="0" w:color="auto"/>
        <w:bottom w:val="none" w:sz="0" w:space="0" w:color="auto"/>
        <w:right w:val="none" w:sz="0" w:space="0" w:color="auto"/>
      </w:divBdr>
    </w:div>
    <w:div w:id="560412309">
      <w:bodyDiv w:val="1"/>
      <w:marLeft w:val="0"/>
      <w:marRight w:val="0"/>
      <w:marTop w:val="0"/>
      <w:marBottom w:val="0"/>
      <w:divBdr>
        <w:top w:val="none" w:sz="0" w:space="0" w:color="auto"/>
        <w:left w:val="none" w:sz="0" w:space="0" w:color="auto"/>
        <w:bottom w:val="none" w:sz="0" w:space="0" w:color="auto"/>
        <w:right w:val="none" w:sz="0" w:space="0" w:color="auto"/>
      </w:divBdr>
    </w:div>
    <w:div w:id="560481009">
      <w:bodyDiv w:val="1"/>
      <w:marLeft w:val="0"/>
      <w:marRight w:val="0"/>
      <w:marTop w:val="0"/>
      <w:marBottom w:val="0"/>
      <w:divBdr>
        <w:top w:val="none" w:sz="0" w:space="0" w:color="auto"/>
        <w:left w:val="none" w:sz="0" w:space="0" w:color="auto"/>
        <w:bottom w:val="none" w:sz="0" w:space="0" w:color="auto"/>
        <w:right w:val="none" w:sz="0" w:space="0" w:color="auto"/>
      </w:divBdr>
    </w:div>
    <w:div w:id="560481016">
      <w:bodyDiv w:val="1"/>
      <w:marLeft w:val="0"/>
      <w:marRight w:val="0"/>
      <w:marTop w:val="0"/>
      <w:marBottom w:val="0"/>
      <w:divBdr>
        <w:top w:val="none" w:sz="0" w:space="0" w:color="auto"/>
        <w:left w:val="none" w:sz="0" w:space="0" w:color="auto"/>
        <w:bottom w:val="none" w:sz="0" w:space="0" w:color="auto"/>
        <w:right w:val="none" w:sz="0" w:space="0" w:color="auto"/>
      </w:divBdr>
    </w:div>
    <w:div w:id="560482965">
      <w:bodyDiv w:val="1"/>
      <w:marLeft w:val="0"/>
      <w:marRight w:val="0"/>
      <w:marTop w:val="0"/>
      <w:marBottom w:val="0"/>
      <w:divBdr>
        <w:top w:val="none" w:sz="0" w:space="0" w:color="auto"/>
        <w:left w:val="none" w:sz="0" w:space="0" w:color="auto"/>
        <w:bottom w:val="none" w:sz="0" w:space="0" w:color="auto"/>
        <w:right w:val="none" w:sz="0" w:space="0" w:color="auto"/>
      </w:divBdr>
    </w:div>
    <w:div w:id="560605385">
      <w:bodyDiv w:val="1"/>
      <w:marLeft w:val="0"/>
      <w:marRight w:val="0"/>
      <w:marTop w:val="0"/>
      <w:marBottom w:val="0"/>
      <w:divBdr>
        <w:top w:val="none" w:sz="0" w:space="0" w:color="auto"/>
        <w:left w:val="none" w:sz="0" w:space="0" w:color="auto"/>
        <w:bottom w:val="none" w:sz="0" w:space="0" w:color="auto"/>
        <w:right w:val="none" w:sz="0" w:space="0" w:color="auto"/>
      </w:divBdr>
    </w:div>
    <w:div w:id="560673853">
      <w:bodyDiv w:val="1"/>
      <w:marLeft w:val="0"/>
      <w:marRight w:val="0"/>
      <w:marTop w:val="0"/>
      <w:marBottom w:val="0"/>
      <w:divBdr>
        <w:top w:val="none" w:sz="0" w:space="0" w:color="auto"/>
        <w:left w:val="none" w:sz="0" w:space="0" w:color="auto"/>
        <w:bottom w:val="none" w:sz="0" w:space="0" w:color="auto"/>
        <w:right w:val="none" w:sz="0" w:space="0" w:color="auto"/>
      </w:divBdr>
    </w:div>
    <w:div w:id="560755276">
      <w:bodyDiv w:val="1"/>
      <w:marLeft w:val="0"/>
      <w:marRight w:val="0"/>
      <w:marTop w:val="0"/>
      <w:marBottom w:val="0"/>
      <w:divBdr>
        <w:top w:val="none" w:sz="0" w:space="0" w:color="auto"/>
        <w:left w:val="none" w:sz="0" w:space="0" w:color="auto"/>
        <w:bottom w:val="none" w:sz="0" w:space="0" w:color="auto"/>
        <w:right w:val="none" w:sz="0" w:space="0" w:color="auto"/>
      </w:divBdr>
    </w:div>
    <w:div w:id="560799227">
      <w:bodyDiv w:val="1"/>
      <w:marLeft w:val="0"/>
      <w:marRight w:val="0"/>
      <w:marTop w:val="0"/>
      <w:marBottom w:val="0"/>
      <w:divBdr>
        <w:top w:val="none" w:sz="0" w:space="0" w:color="auto"/>
        <w:left w:val="none" w:sz="0" w:space="0" w:color="auto"/>
        <w:bottom w:val="none" w:sz="0" w:space="0" w:color="auto"/>
        <w:right w:val="none" w:sz="0" w:space="0" w:color="auto"/>
      </w:divBdr>
    </w:div>
    <w:div w:id="560988977">
      <w:bodyDiv w:val="1"/>
      <w:marLeft w:val="0"/>
      <w:marRight w:val="0"/>
      <w:marTop w:val="0"/>
      <w:marBottom w:val="0"/>
      <w:divBdr>
        <w:top w:val="none" w:sz="0" w:space="0" w:color="auto"/>
        <w:left w:val="none" w:sz="0" w:space="0" w:color="auto"/>
        <w:bottom w:val="none" w:sz="0" w:space="0" w:color="auto"/>
        <w:right w:val="none" w:sz="0" w:space="0" w:color="auto"/>
      </w:divBdr>
    </w:div>
    <w:div w:id="561020729">
      <w:bodyDiv w:val="1"/>
      <w:marLeft w:val="0"/>
      <w:marRight w:val="0"/>
      <w:marTop w:val="0"/>
      <w:marBottom w:val="0"/>
      <w:divBdr>
        <w:top w:val="none" w:sz="0" w:space="0" w:color="auto"/>
        <w:left w:val="none" w:sz="0" w:space="0" w:color="auto"/>
        <w:bottom w:val="none" w:sz="0" w:space="0" w:color="auto"/>
        <w:right w:val="none" w:sz="0" w:space="0" w:color="auto"/>
      </w:divBdr>
    </w:div>
    <w:div w:id="561214279">
      <w:bodyDiv w:val="1"/>
      <w:marLeft w:val="0"/>
      <w:marRight w:val="0"/>
      <w:marTop w:val="0"/>
      <w:marBottom w:val="0"/>
      <w:divBdr>
        <w:top w:val="none" w:sz="0" w:space="0" w:color="auto"/>
        <w:left w:val="none" w:sz="0" w:space="0" w:color="auto"/>
        <w:bottom w:val="none" w:sz="0" w:space="0" w:color="auto"/>
        <w:right w:val="none" w:sz="0" w:space="0" w:color="auto"/>
      </w:divBdr>
    </w:div>
    <w:div w:id="561253414">
      <w:bodyDiv w:val="1"/>
      <w:marLeft w:val="0"/>
      <w:marRight w:val="0"/>
      <w:marTop w:val="0"/>
      <w:marBottom w:val="0"/>
      <w:divBdr>
        <w:top w:val="none" w:sz="0" w:space="0" w:color="auto"/>
        <w:left w:val="none" w:sz="0" w:space="0" w:color="auto"/>
        <w:bottom w:val="none" w:sz="0" w:space="0" w:color="auto"/>
        <w:right w:val="none" w:sz="0" w:space="0" w:color="auto"/>
      </w:divBdr>
    </w:div>
    <w:div w:id="561328033">
      <w:bodyDiv w:val="1"/>
      <w:marLeft w:val="0"/>
      <w:marRight w:val="0"/>
      <w:marTop w:val="0"/>
      <w:marBottom w:val="0"/>
      <w:divBdr>
        <w:top w:val="none" w:sz="0" w:space="0" w:color="auto"/>
        <w:left w:val="none" w:sz="0" w:space="0" w:color="auto"/>
        <w:bottom w:val="none" w:sz="0" w:space="0" w:color="auto"/>
        <w:right w:val="none" w:sz="0" w:space="0" w:color="auto"/>
      </w:divBdr>
    </w:div>
    <w:div w:id="561328914">
      <w:bodyDiv w:val="1"/>
      <w:marLeft w:val="0"/>
      <w:marRight w:val="0"/>
      <w:marTop w:val="0"/>
      <w:marBottom w:val="0"/>
      <w:divBdr>
        <w:top w:val="none" w:sz="0" w:space="0" w:color="auto"/>
        <w:left w:val="none" w:sz="0" w:space="0" w:color="auto"/>
        <w:bottom w:val="none" w:sz="0" w:space="0" w:color="auto"/>
        <w:right w:val="none" w:sz="0" w:space="0" w:color="auto"/>
      </w:divBdr>
    </w:div>
    <w:div w:id="561525791">
      <w:bodyDiv w:val="1"/>
      <w:marLeft w:val="0"/>
      <w:marRight w:val="0"/>
      <w:marTop w:val="0"/>
      <w:marBottom w:val="0"/>
      <w:divBdr>
        <w:top w:val="none" w:sz="0" w:space="0" w:color="auto"/>
        <w:left w:val="none" w:sz="0" w:space="0" w:color="auto"/>
        <w:bottom w:val="none" w:sz="0" w:space="0" w:color="auto"/>
        <w:right w:val="none" w:sz="0" w:space="0" w:color="auto"/>
      </w:divBdr>
    </w:div>
    <w:div w:id="561598085">
      <w:bodyDiv w:val="1"/>
      <w:marLeft w:val="0"/>
      <w:marRight w:val="0"/>
      <w:marTop w:val="0"/>
      <w:marBottom w:val="0"/>
      <w:divBdr>
        <w:top w:val="none" w:sz="0" w:space="0" w:color="auto"/>
        <w:left w:val="none" w:sz="0" w:space="0" w:color="auto"/>
        <w:bottom w:val="none" w:sz="0" w:space="0" w:color="auto"/>
        <w:right w:val="none" w:sz="0" w:space="0" w:color="auto"/>
      </w:divBdr>
    </w:div>
    <w:div w:id="561793848">
      <w:bodyDiv w:val="1"/>
      <w:marLeft w:val="0"/>
      <w:marRight w:val="0"/>
      <w:marTop w:val="0"/>
      <w:marBottom w:val="0"/>
      <w:divBdr>
        <w:top w:val="none" w:sz="0" w:space="0" w:color="auto"/>
        <w:left w:val="none" w:sz="0" w:space="0" w:color="auto"/>
        <w:bottom w:val="none" w:sz="0" w:space="0" w:color="auto"/>
        <w:right w:val="none" w:sz="0" w:space="0" w:color="auto"/>
      </w:divBdr>
    </w:div>
    <w:div w:id="561795973">
      <w:bodyDiv w:val="1"/>
      <w:marLeft w:val="0"/>
      <w:marRight w:val="0"/>
      <w:marTop w:val="0"/>
      <w:marBottom w:val="0"/>
      <w:divBdr>
        <w:top w:val="none" w:sz="0" w:space="0" w:color="auto"/>
        <w:left w:val="none" w:sz="0" w:space="0" w:color="auto"/>
        <w:bottom w:val="none" w:sz="0" w:space="0" w:color="auto"/>
        <w:right w:val="none" w:sz="0" w:space="0" w:color="auto"/>
      </w:divBdr>
    </w:div>
    <w:div w:id="561840704">
      <w:bodyDiv w:val="1"/>
      <w:marLeft w:val="0"/>
      <w:marRight w:val="0"/>
      <w:marTop w:val="0"/>
      <w:marBottom w:val="0"/>
      <w:divBdr>
        <w:top w:val="none" w:sz="0" w:space="0" w:color="auto"/>
        <w:left w:val="none" w:sz="0" w:space="0" w:color="auto"/>
        <w:bottom w:val="none" w:sz="0" w:space="0" w:color="auto"/>
        <w:right w:val="none" w:sz="0" w:space="0" w:color="auto"/>
      </w:divBdr>
    </w:div>
    <w:div w:id="561908197">
      <w:bodyDiv w:val="1"/>
      <w:marLeft w:val="0"/>
      <w:marRight w:val="0"/>
      <w:marTop w:val="0"/>
      <w:marBottom w:val="0"/>
      <w:divBdr>
        <w:top w:val="none" w:sz="0" w:space="0" w:color="auto"/>
        <w:left w:val="none" w:sz="0" w:space="0" w:color="auto"/>
        <w:bottom w:val="none" w:sz="0" w:space="0" w:color="auto"/>
        <w:right w:val="none" w:sz="0" w:space="0" w:color="auto"/>
      </w:divBdr>
    </w:div>
    <w:div w:id="561988236">
      <w:bodyDiv w:val="1"/>
      <w:marLeft w:val="0"/>
      <w:marRight w:val="0"/>
      <w:marTop w:val="0"/>
      <w:marBottom w:val="0"/>
      <w:divBdr>
        <w:top w:val="none" w:sz="0" w:space="0" w:color="auto"/>
        <w:left w:val="none" w:sz="0" w:space="0" w:color="auto"/>
        <w:bottom w:val="none" w:sz="0" w:space="0" w:color="auto"/>
        <w:right w:val="none" w:sz="0" w:space="0" w:color="auto"/>
      </w:divBdr>
    </w:div>
    <w:div w:id="561988871">
      <w:bodyDiv w:val="1"/>
      <w:marLeft w:val="0"/>
      <w:marRight w:val="0"/>
      <w:marTop w:val="0"/>
      <w:marBottom w:val="0"/>
      <w:divBdr>
        <w:top w:val="none" w:sz="0" w:space="0" w:color="auto"/>
        <w:left w:val="none" w:sz="0" w:space="0" w:color="auto"/>
        <w:bottom w:val="none" w:sz="0" w:space="0" w:color="auto"/>
        <w:right w:val="none" w:sz="0" w:space="0" w:color="auto"/>
      </w:divBdr>
    </w:div>
    <w:div w:id="562182807">
      <w:bodyDiv w:val="1"/>
      <w:marLeft w:val="0"/>
      <w:marRight w:val="0"/>
      <w:marTop w:val="0"/>
      <w:marBottom w:val="0"/>
      <w:divBdr>
        <w:top w:val="none" w:sz="0" w:space="0" w:color="auto"/>
        <w:left w:val="none" w:sz="0" w:space="0" w:color="auto"/>
        <w:bottom w:val="none" w:sz="0" w:space="0" w:color="auto"/>
        <w:right w:val="none" w:sz="0" w:space="0" w:color="auto"/>
      </w:divBdr>
    </w:div>
    <w:div w:id="562183152">
      <w:bodyDiv w:val="1"/>
      <w:marLeft w:val="0"/>
      <w:marRight w:val="0"/>
      <w:marTop w:val="0"/>
      <w:marBottom w:val="0"/>
      <w:divBdr>
        <w:top w:val="none" w:sz="0" w:space="0" w:color="auto"/>
        <w:left w:val="none" w:sz="0" w:space="0" w:color="auto"/>
        <w:bottom w:val="none" w:sz="0" w:space="0" w:color="auto"/>
        <w:right w:val="none" w:sz="0" w:space="0" w:color="auto"/>
      </w:divBdr>
    </w:div>
    <w:div w:id="562259885">
      <w:bodyDiv w:val="1"/>
      <w:marLeft w:val="0"/>
      <w:marRight w:val="0"/>
      <w:marTop w:val="0"/>
      <w:marBottom w:val="0"/>
      <w:divBdr>
        <w:top w:val="none" w:sz="0" w:space="0" w:color="auto"/>
        <w:left w:val="none" w:sz="0" w:space="0" w:color="auto"/>
        <w:bottom w:val="none" w:sz="0" w:space="0" w:color="auto"/>
        <w:right w:val="none" w:sz="0" w:space="0" w:color="auto"/>
      </w:divBdr>
    </w:div>
    <w:div w:id="562331374">
      <w:bodyDiv w:val="1"/>
      <w:marLeft w:val="0"/>
      <w:marRight w:val="0"/>
      <w:marTop w:val="0"/>
      <w:marBottom w:val="0"/>
      <w:divBdr>
        <w:top w:val="none" w:sz="0" w:space="0" w:color="auto"/>
        <w:left w:val="none" w:sz="0" w:space="0" w:color="auto"/>
        <w:bottom w:val="none" w:sz="0" w:space="0" w:color="auto"/>
        <w:right w:val="none" w:sz="0" w:space="0" w:color="auto"/>
      </w:divBdr>
    </w:div>
    <w:div w:id="562449618">
      <w:bodyDiv w:val="1"/>
      <w:marLeft w:val="0"/>
      <w:marRight w:val="0"/>
      <w:marTop w:val="0"/>
      <w:marBottom w:val="0"/>
      <w:divBdr>
        <w:top w:val="none" w:sz="0" w:space="0" w:color="auto"/>
        <w:left w:val="none" w:sz="0" w:space="0" w:color="auto"/>
        <w:bottom w:val="none" w:sz="0" w:space="0" w:color="auto"/>
        <w:right w:val="none" w:sz="0" w:space="0" w:color="auto"/>
      </w:divBdr>
    </w:div>
    <w:div w:id="562563601">
      <w:bodyDiv w:val="1"/>
      <w:marLeft w:val="0"/>
      <w:marRight w:val="0"/>
      <w:marTop w:val="0"/>
      <w:marBottom w:val="0"/>
      <w:divBdr>
        <w:top w:val="none" w:sz="0" w:space="0" w:color="auto"/>
        <w:left w:val="none" w:sz="0" w:space="0" w:color="auto"/>
        <w:bottom w:val="none" w:sz="0" w:space="0" w:color="auto"/>
        <w:right w:val="none" w:sz="0" w:space="0" w:color="auto"/>
      </w:divBdr>
    </w:div>
    <w:div w:id="562566005">
      <w:bodyDiv w:val="1"/>
      <w:marLeft w:val="0"/>
      <w:marRight w:val="0"/>
      <w:marTop w:val="0"/>
      <w:marBottom w:val="0"/>
      <w:divBdr>
        <w:top w:val="none" w:sz="0" w:space="0" w:color="auto"/>
        <w:left w:val="none" w:sz="0" w:space="0" w:color="auto"/>
        <w:bottom w:val="none" w:sz="0" w:space="0" w:color="auto"/>
        <w:right w:val="none" w:sz="0" w:space="0" w:color="auto"/>
      </w:divBdr>
    </w:div>
    <w:div w:id="562644938">
      <w:bodyDiv w:val="1"/>
      <w:marLeft w:val="0"/>
      <w:marRight w:val="0"/>
      <w:marTop w:val="0"/>
      <w:marBottom w:val="0"/>
      <w:divBdr>
        <w:top w:val="none" w:sz="0" w:space="0" w:color="auto"/>
        <w:left w:val="none" w:sz="0" w:space="0" w:color="auto"/>
        <w:bottom w:val="none" w:sz="0" w:space="0" w:color="auto"/>
        <w:right w:val="none" w:sz="0" w:space="0" w:color="auto"/>
      </w:divBdr>
    </w:div>
    <w:div w:id="562789244">
      <w:bodyDiv w:val="1"/>
      <w:marLeft w:val="0"/>
      <w:marRight w:val="0"/>
      <w:marTop w:val="0"/>
      <w:marBottom w:val="0"/>
      <w:divBdr>
        <w:top w:val="none" w:sz="0" w:space="0" w:color="auto"/>
        <w:left w:val="none" w:sz="0" w:space="0" w:color="auto"/>
        <w:bottom w:val="none" w:sz="0" w:space="0" w:color="auto"/>
        <w:right w:val="none" w:sz="0" w:space="0" w:color="auto"/>
      </w:divBdr>
    </w:div>
    <w:div w:id="562910349">
      <w:bodyDiv w:val="1"/>
      <w:marLeft w:val="0"/>
      <w:marRight w:val="0"/>
      <w:marTop w:val="0"/>
      <w:marBottom w:val="0"/>
      <w:divBdr>
        <w:top w:val="none" w:sz="0" w:space="0" w:color="auto"/>
        <w:left w:val="none" w:sz="0" w:space="0" w:color="auto"/>
        <w:bottom w:val="none" w:sz="0" w:space="0" w:color="auto"/>
        <w:right w:val="none" w:sz="0" w:space="0" w:color="auto"/>
      </w:divBdr>
    </w:div>
    <w:div w:id="562912289">
      <w:bodyDiv w:val="1"/>
      <w:marLeft w:val="0"/>
      <w:marRight w:val="0"/>
      <w:marTop w:val="0"/>
      <w:marBottom w:val="0"/>
      <w:divBdr>
        <w:top w:val="none" w:sz="0" w:space="0" w:color="auto"/>
        <w:left w:val="none" w:sz="0" w:space="0" w:color="auto"/>
        <w:bottom w:val="none" w:sz="0" w:space="0" w:color="auto"/>
        <w:right w:val="none" w:sz="0" w:space="0" w:color="auto"/>
      </w:divBdr>
    </w:div>
    <w:div w:id="562913342">
      <w:bodyDiv w:val="1"/>
      <w:marLeft w:val="0"/>
      <w:marRight w:val="0"/>
      <w:marTop w:val="0"/>
      <w:marBottom w:val="0"/>
      <w:divBdr>
        <w:top w:val="none" w:sz="0" w:space="0" w:color="auto"/>
        <w:left w:val="none" w:sz="0" w:space="0" w:color="auto"/>
        <w:bottom w:val="none" w:sz="0" w:space="0" w:color="auto"/>
        <w:right w:val="none" w:sz="0" w:space="0" w:color="auto"/>
      </w:divBdr>
    </w:div>
    <w:div w:id="563025008">
      <w:bodyDiv w:val="1"/>
      <w:marLeft w:val="0"/>
      <w:marRight w:val="0"/>
      <w:marTop w:val="0"/>
      <w:marBottom w:val="0"/>
      <w:divBdr>
        <w:top w:val="none" w:sz="0" w:space="0" w:color="auto"/>
        <w:left w:val="none" w:sz="0" w:space="0" w:color="auto"/>
        <w:bottom w:val="none" w:sz="0" w:space="0" w:color="auto"/>
        <w:right w:val="none" w:sz="0" w:space="0" w:color="auto"/>
      </w:divBdr>
    </w:div>
    <w:div w:id="563028427">
      <w:bodyDiv w:val="1"/>
      <w:marLeft w:val="0"/>
      <w:marRight w:val="0"/>
      <w:marTop w:val="0"/>
      <w:marBottom w:val="0"/>
      <w:divBdr>
        <w:top w:val="none" w:sz="0" w:space="0" w:color="auto"/>
        <w:left w:val="none" w:sz="0" w:space="0" w:color="auto"/>
        <w:bottom w:val="none" w:sz="0" w:space="0" w:color="auto"/>
        <w:right w:val="none" w:sz="0" w:space="0" w:color="auto"/>
      </w:divBdr>
    </w:div>
    <w:div w:id="563176132">
      <w:bodyDiv w:val="1"/>
      <w:marLeft w:val="0"/>
      <w:marRight w:val="0"/>
      <w:marTop w:val="0"/>
      <w:marBottom w:val="0"/>
      <w:divBdr>
        <w:top w:val="none" w:sz="0" w:space="0" w:color="auto"/>
        <w:left w:val="none" w:sz="0" w:space="0" w:color="auto"/>
        <w:bottom w:val="none" w:sz="0" w:space="0" w:color="auto"/>
        <w:right w:val="none" w:sz="0" w:space="0" w:color="auto"/>
      </w:divBdr>
    </w:div>
    <w:div w:id="563218415">
      <w:bodyDiv w:val="1"/>
      <w:marLeft w:val="0"/>
      <w:marRight w:val="0"/>
      <w:marTop w:val="0"/>
      <w:marBottom w:val="0"/>
      <w:divBdr>
        <w:top w:val="none" w:sz="0" w:space="0" w:color="auto"/>
        <w:left w:val="none" w:sz="0" w:space="0" w:color="auto"/>
        <w:bottom w:val="none" w:sz="0" w:space="0" w:color="auto"/>
        <w:right w:val="none" w:sz="0" w:space="0" w:color="auto"/>
      </w:divBdr>
    </w:div>
    <w:div w:id="563223970">
      <w:bodyDiv w:val="1"/>
      <w:marLeft w:val="0"/>
      <w:marRight w:val="0"/>
      <w:marTop w:val="0"/>
      <w:marBottom w:val="0"/>
      <w:divBdr>
        <w:top w:val="none" w:sz="0" w:space="0" w:color="auto"/>
        <w:left w:val="none" w:sz="0" w:space="0" w:color="auto"/>
        <w:bottom w:val="none" w:sz="0" w:space="0" w:color="auto"/>
        <w:right w:val="none" w:sz="0" w:space="0" w:color="auto"/>
      </w:divBdr>
    </w:div>
    <w:div w:id="563296151">
      <w:bodyDiv w:val="1"/>
      <w:marLeft w:val="0"/>
      <w:marRight w:val="0"/>
      <w:marTop w:val="0"/>
      <w:marBottom w:val="0"/>
      <w:divBdr>
        <w:top w:val="none" w:sz="0" w:space="0" w:color="auto"/>
        <w:left w:val="none" w:sz="0" w:space="0" w:color="auto"/>
        <w:bottom w:val="none" w:sz="0" w:space="0" w:color="auto"/>
        <w:right w:val="none" w:sz="0" w:space="0" w:color="auto"/>
      </w:divBdr>
    </w:div>
    <w:div w:id="563374009">
      <w:bodyDiv w:val="1"/>
      <w:marLeft w:val="0"/>
      <w:marRight w:val="0"/>
      <w:marTop w:val="0"/>
      <w:marBottom w:val="0"/>
      <w:divBdr>
        <w:top w:val="none" w:sz="0" w:space="0" w:color="auto"/>
        <w:left w:val="none" w:sz="0" w:space="0" w:color="auto"/>
        <w:bottom w:val="none" w:sz="0" w:space="0" w:color="auto"/>
        <w:right w:val="none" w:sz="0" w:space="0" w:color="auto"/>
      </w:divBdr>
    </w:div>
    <w:div w:id="563376849">
      <w:bodyDiv w:val="1"/>
      <w:marLeft w:val="0"/>
      <w:marRight w:val="0"/>
      <w:marTop w:val="0"/>
      <w:marBottom w:val="0"/>
      <w:divBdr>
        <w:top w:val="none" w:sz="0" w:space="0" w:color="auto"/>
        <w:left w:val="none" w:sz="0" w:space="0" w:color="auto"/>
        <w:bottom w:val="none" w:sz="0" w:space="0" w:color="auto"/>
        <w:right w:val="none" w:sz="0" w:space="0" w:color="auto"/>
      </w:divBdr>
    </w:div>
    <w:div w:id="563414210">
      <w:bodyDiv w:val="1"/>
      <w:marLeft w:val="0"/>
      <w:marRight w:val="0"/>
      <w:marTop w:val="0"/>
      <w:marBottom w:val="0"/>
      <w:divBdr>
        <w:top w:val="none" w:sz="0" w:space="0" w:color="auto"/>
        <w:left w:val="none" w:sz="0" w:space="0" w:color="auto"/>
        <w:bottom w:val="none" w:sz="0" w:space="0" w:color="auto"/>
        <w:right w:val="none" w:sz="0" w:space="0" w:color="auto"/>
      </w:divBdr>
    </w:div>
    <w:div w:id="563566768">
      <w:bodyDiv w:val="1"/>
      <w:marLeft w:val="0"/>
      <w:marRight w:val="0"/>
      <w:marTop w:val="0"/>
      <w:marBottom w:val="0"/>
      <w:divBdr>
        <w:top w:val="none" w:sz="0" w:space="0" w:color="auto"/>
        <w:left w:val="none" w:sz="0" w:space="0" w:color="auto"/>
        <w:bottom w:val="none" w:sz="0" w:space="0" w:color="auto"/>
        <w:right w:val="none" w:sz="0" w:space="0" w:color="auto"/>
      </w:divBdr>
    </w:div>
    <w:div w:id="563679489">
      <w:bodyDiv w:val="1"/>
      <w:marLeft w:val="0"/>
      <w:marRight w:val="0"/>
      <w:marTop w:val="0"/>
      <w:marBottom w:val="0"/>
      <w:divBdr>
        <w:top w:val="none" w:sz="0" w:space="0" w:color="auto"/>
        <w:left w:val="none" w:sz="0" w:space="0" w:color="auto"/>
        <w:bottom w:val="none" w:sz="0" w:space="0" w:color="auto"/>
        <w:right w:val="none" w:sz="0" w:space="0" w:color="auto"/>
      </w:divBdr>
    </w:div>
    <w:div w:id="563838367">
      <w:bodyDiv w:val="1"/>
      <w:marLeft w:val="0"/>
      <w:marRight w:val="0"/>
      <w:marTop w:val="0"/>
      <w:marBottom w:val="0"/>
      <w:divBdr>
        <w:top w:val="none" w:sz="0" w:space="0" w:color="auto"/>
        <w:left w:val="none" w:sz="0" w:space="0" w:color="auto"/>
        <w:bottom w:val="none" w:sz="0" w:space="0" w:color="auto"/>
        <w:right w:val="none" w:sz="0" w:space="0" w:color="auto"/>
      </w:divBdr>
    </w:div>
    <w:div w:id="563874570">
      <w:bodyDiv w:val="1"/>
      <w:marLeft w:val="0"/>
      <w:marRight w:val="0"/>
      <w:marTop w:val="0"/>
      <w:marBottom w:val="0"/>
      <w:divBdr>
        <w:top w:val="none" w:sz="0" w:space="0" w:color="auto"/>
        <w:left w:val="none" w:sz="0" w:space="0" w:color="auto"/>
        <w:bottom w:val="none" w:sz="0" w:space="0" w:color="auto"/>
        <w:right w:val="none" w:sz="0" w:space="0" w:color="auto"/>
      </w:divBdr>
    </w:div>
    <w:div w:id="563948235">
      <w:bodyDiv w:val="1"/>
      <w:marLeft w:val="0"/>
      <w:marRight w:val="0"/>
      <w:marTop w:val="0"/>
      <w:marBottom w:val="0"/>
      <w:divBdr>
        <w:top w:val="none" w:sz="0" w:space="0" w:color="auto"/>
        <w:left w:val="none" w:sz="0" w:space="0" w:color="auto"/>
        <w:bottom w:val="none" w:sz="0" w:space="0" w:color="auto"/>
        <w:right w:val="none" w:sz="0" w:space="0" w:color="auto"/>
      </w:divBdr>
    </w:div>
    <w:div w:id="563949803">
      <w:bodyDiv w:val="1"/>
      <w:marLeft w:val="0"/>
      <w:marRight w:val="0"/>
      <w:marTop w:val="0"/>
      <w:marBottom w:val="0"/>
      <w:divBdr>
        <w:top w:val="none" w:sz="0" w:space="0" w:color="auto"/>
        <w:left w:val="none" w:sz="0" w:space="0" w:color="auto"/>
        <w:bottom w:val="none" w:sz="0" w:space="0" w:color="auto"/>
        <w:right w:val="none" w:sz="0" w:space="0" w:color="auto"/>
      </w:divBdr>
    </w:div>
    <w:div w:id="563950829">
      <w:bodyDiv w:val="1"/>
      <w:marLeft w:val="0"/>
      <w:marRight w:val="0"/>
      <w:marTop w:val="0"/>
      <w:marBottom w:val="0"/>
      <w:divBdr>
        <w:top w:val="none" w:sz="0" w:space="0" w:color="auto"/>
        <w:left w:val="none" w:sz="0" w:space="0" w:color="auto"/>
        <w:bottom w:val="none" w:sz="0" w:space="0" w:color="auto"/>
        <w:right w:val="none" w:sz="0" w:space="0" w:color="auto"/>
      </w:divBdr>
    </w:div>
    <w:div w:id="563952949">
      <w:bodyDiv w:val="1"/>
      <w:marLeft w:val="0"/>
      <w:marRight w:val="0"/>
      <w:marTop w:val="0"/>
      <w:marBottom w:val="0"/>
      <w:divBdr>
        <w:top w:val="none" w:sz="0" w:space="0" w:color="auto"/>
        <w:left w:val="none" w:sz="0" w:space="0" w:color="auto"/>
        <w:bottom w:val="none" w:sz="0" w:space="0" w:color="auto"/>
        <w:right w:val="none" w:sz="0" w:space="0" w:color="auto"/>
      </w:divBdr>
    </w:div>
    <w:div w:id="563953253">
      <w:bodyDiv w:val="1"/>
      <w:marLeft w:val="0"/>
      <w:marRight w:val="0"/>
      <w:marTop w:val="0"/>
      <w:marBottom w:val="0"/>
      <w:divBdr>
        <w:top w:val="none" w:sz="0" w:space="0" w:color="auto"/>
        <w:left w:val="none" w:sz="0" w:space="0" w:color="auto"/>
        <w:bottom w:val="none" w:sz="0" w:space="0" w:color="auto"/>
        <w:right w:val="none" w:sz="0" w:space="0" w:color="auto"/>
      </w:divBdr>
    </w:div>
    <w:div w:id="564149321">
      <w:bodyDiv w:val="1"/>
      <w:marLeft w:val="0"/>
      <w:marRight w:val="0"/>
      <w:marTop w:val="0"/>
      <w:marBottom w:val="0"/>
      <w:divBdr>
        <w:top w:val="none" w:sz="0" w:space="0" w:color="auto"/>
        <w:left w:val="none" w:sz="0" w:space="0" w:color="auto"/>
        <w:bottom w:val="none" w:sz="0" w:space="0" w:color="auto"/>
        <w:right w:val="none" w:sz="0" w:space="0" w:color="auto"/>
      </w:divBdr>
    </w:div>
    <w:div w:id="564220155">
      <w:bodyDiv w:val="1"/>
      <w:marLeft w:val="0"/>
      <w:marRight w:val="0"/>
      <w:marTop w:val="0"/>
      <w:marBottom w:val="0"/>
      <w:divBdr>
        <w:top w:val="none" w:sz="0" w:space="0" w:color="auto"/>
        <w:left w:val="none" w:sz="0" w:space="0" w:color="auto"/>
        <w:bottom w:val="none" w:sz="0" w:space="0" w:color="auto"/>
        <w:right w:val="none" w:sz="0" w:space="0" w:color="auto"/>
      </w:divBdr>
    </w:div>
    <w:div w:id="564267942">
      <w:bodyDiv w:val="1"/>
      <w:marLeft w:val="0"/>
      <w:marRight w:val="0"/>
      <w:marTop w:val="0"/>
      <w:marBottom w:val="0"/>
      <w:divBdr>
        <w:top w:val="none" w:sz="0" w:space="0" w:color="auto"/>
        <w:left w:val="none" w:sz="0" w:space="0" w:color="auto"/>
        <w:bottom w:val="none" w:sz="0" w:space="0" w:color="auto"/>
        <w:right w:val="none" w:sz="0" w:space="0" w:color="auto"/>
      </w:divBdr>
    </w:div>
    <w:div w:id="564295402">
      <w:bodyDiv w:val="1"/>
      <w:marLeft w:val="0"/>
      <w:marRight w:val="0"/>
      <w:marTop w:val="0"/>
      <w:marBottom w:val="0"/>
      <w:divBdr>
        <w:top w:val="none" w:sz="0" w:space="0" w:color="auto"/>
        <w:left w:val="none" w:sz="0" w:space="0" w:color="auto"/>
        <w:bottom w:val="none" w:sz="0" w:space="0" w:color="auto"/>
        <w:right w:val="none" w:sz="0" w:space="0" w:color="auto"/>
      </w:divBdr>
    </w:div>
    <w:div w:id="564339956">
      <w:bodyDiv w:val="1"/>
      <w:marLeft w:val="0"/>
      <w:marRight w:val="0"/>
      <w:marTop w:val="0"/>
      <w:marBottom w:val="0"/>
      <w:divBdr>
        <w:top w:val="none" w:sz="0" w:space="0" w:color="auto"/>
        <w:left w:val="none" w:sz="0" w:space="0" w:color="auto"/>
        <w:bottom w:val="none" w:sz="0" w:space="0" w:color="auto"/>
        <w:right w:val="none" w:sz="0" w:space="0" w:color="auto"/>
      </w:divBdr>
    </w:div>
    <w:div w:id="564418740">
      <w:bodyDiv w:val="1"/>
      <w:marLeft w:val="0"/>
      <w:marRight w:val="0"/>
      <w:marTop w:val="0"/>
      <w:marBottom w:val="0"/>
      <w:divBdr>
        <w:top w:val="none" w:sz="0" w:space="0" w:color="auto"/>
        <w:left w:val="none" w:sz="0" w:space="0" w:color="auto"/>
        <w:bottom w:val="none" w:sz="0" w:space="0" w:color="auto"/>
        <w:right w:val="none" w:sz="0" w:space="0" w:color="auto"/>
      </w:divBdr>
    </w:div>
    <w:div w:id="564530389">
      <w:bodyDiv w:val="1"/>
      <w:marLeft w:val="0"/>
      <w:marRight w:val="0"/>
      <w:marTop w:val="0"/>
      <w:marBottom w:val="0"/>
      <w:divBdr>
        <w:top w:val="none" w:sz="0" w:space="0" w:color="auto"/>
        <w:left w:val="none" w:sz="0" w:space="0" w:color="auto"/>
        <w:bottom w:val="none" w:sz="0" w:space="0" w:color="auto"/>
        <w:right w:val="none" w:sz="0" w:space="0" w:color="auto"/>
      </w:divBdr>
    </w:div>
    <w:div w:id="564536232">
      <w:bodyDiv w:val="1"/>
      <w:marLeft w:val="0"/>
      <w:marRight w:val="0"/>
      <w:marTop w:val="0"/>
      <w:marBottom w:val="0"/>
      <w:divBdr>
        <w:top w:val="none" w:sz="0" w:space="0" w:color="auto"/>
        <w:left w:val="none" w:sz="0" w:space="0" w:color="auto"/>
        <w:bottom w:val="none" w:sz="0" w:space="0" w:color="auto"/>
        <w:right w:val="none" w:sz="0" w:space="0" w:color="auto"/>
      </w:divBdr>
    </w:div>
    <w:div w:id="564537457">
      <w:bodyDiv w:val="1"/>
      <w:marLeft w:val="0"/>
      <w:marRight w:val="0"/>
      <w:marTop w:val="0"/>
      <w:marBottom w:val="0"/>
      <w:divBdr>
        <w:top w:val="none" w:sz="0" w:space="0" w:color="auto"/>
        <w:left w:val="none" w:sz="0" w:space="0" w:color="auto"/>
        <w:bottom w:val="none" w:sz="0" w:space="0" w:color="auto"/>
        <w:right w:val="none" w:sz="0" w:space="0" w:color="auto"/>
      </w:divBdr>
    </w:div>
    <w:div w:id="564608732">
      <w:bodyDiv w:val="1"/>
      <w:marLeft w:val="0"/>
      <w:marRight w:val="0"/>
      <w:marTop w:val="0"/>
      <w:marBottom w:val="0"/>
      <w:divBdr>
        <w:top w:val="none" w:sz="0" w:space="0" w:color="auto"/>
        <w:left w:val="none" w:sz="0" w:space="0" w:color="auto"/>
        <w:bottom w:val="none" w:sz="0" w:space="0" w:color="auto"/>
        <w:right w:val="none" w:sz="0" w:space="0" w:color="auto"/>
      </w:divBdr>
    </w:div>
    <w:div w:id="564723906">
      <w:bodyDiv w:val="1"/>
      <w:marLeft w:val="0"/>
      <w:marRight w:val="0"/>
      <w:marTop w:val="0"/>
      <w:marBottom w:val="0"/>
      <w:divBdr>
        <w:top w:val="none" w:sz="0" w:space="0" w:color="auto"/>
        <w:left w:val="none" w:sz="0" w:space="0" w:color="auto"/>
        <w:bottom w:val="none" w:sz="0" w:space="0" w:color="auto"/>
        <w:right w:val="none" w:sz="0" w:space="0" w:color="auto"/>
      </w:divBdr>
    </w:div>
    <w:div w:id="564727807">
      <w:bodyDiv w:val="1"/>
      <w:marLeft w:val="0"/>
      <w:marRight w:val="0"/>
      <w:marTop w:val="0"/>
      <w:marBottom w:val="0"/>
      <w:divBdr>
        <w:top w:val="none" w:sz="0" w:space="0" w:color="auto"/>
        <w:left w:val="none" w:sz="0" w:space="0" w:color="auto"/>
        <w:bottom w:val="none" w:sz="0" w:space="0" w:color="auto"/>
        <w:right w:val="none" w:sz="0" w:space="0" w:color="auto"/>
      </w:divBdr>
    </w:div>
    <w:div w:id="564803579">
      <w:bodyDiv w:val="1"/>
      <w:marLeft w:val="0"/>
      <w:marRight w:val="0"/>
      <w:marTop w:val="0"/>
      <w:marBottom w:val="0"/>
      <w:divBdr>
        <w:top w:val="none" w:sz="0" w:space="0" w:color="auto"/>
        <w:left w:val="none" w:sz="0" w:space="0" w:color="auto"/>
        <w:bottom w:val="none" w:sz="0" w:space="0" w:color="auto"/>
        <w:right w:val="none" w:sz="0" w:space="0" w:color="auto"/>
      </w:divBdr>
    </w:div>
    <w:div w:id="564920663">
      <w:bodyDiv w:val="1"/>
      <w:marLeft w:val="0"/>
      <w:marRight w:val="0"/>
      <w:marTop w:val="0"/>
      <w:marBottom w:val="0"/>
      <w:divBdr>
        <w:top w:val="none" w:sz="0" w:space="0" w:color="auto"/>
        <w:left w:val="none" w:sz="0" w:space="0" w:color="auto"/>
        <w:bottom w:val="none" w:sz="0" w:space="0" w:color="auto"/>
        <w:right w:val="none" w:sz="0" w:space="0" w:color="auto"/>
      </w:divBdr>
    </w:div>
    <w:div w:id="564951010">
      <w:bodyDiv w:val="1"/>
      <w:marLeft w:val="0"/>
      <w:marRight w:val="0"/>
      <w:marTop w:val="0"/>
      <w:marBottom w:val="0"/>
      <w:divBdr>
        <w:top w:val="none" w:sz="0" w:space="0" w:color="auto"/>
        <w:left w:val="none" w:sz="0" w:space="0" w:color="auto"/>
        <w:bottom w:val="none" w:sz="0" w:space="0" w:color="auto"/>
        <w:right w:val="none" w:sz="0" w:space="0" w:color="auto"/>
      </w:divBdr>
    </w:div>
    <w:div w:id="565142133">
      <w:bodyDiv w:val="1"/>
      <w:marLeft w:val="0"/>
      <w:marRight w:val="0"/>
      <w:marTop w:val="0"/>
      <w:marBottom w:val="0"/>
      <w:divBdr>
        <w:top w:val="none" w:sz="0" w:space="0" w:color="auto"/>
        <w:left w:val="none" w:sz="0" w:space="0" w:color="auto"/>
        <w:bottom w:val="none" w:sz="0" w:space="0" w:color="auto"/>
        <w:right w:val="none" w:sz="0" w:space="0" w:color="auto"/>
      </w:divBdr>
    </w:div>
    <w:div w:id="565144933">
      <w:bodyDiv w:val="1"/>
      <w:marLeft w:val="0"/>
      <w:marRight w:val="0"/>
      <w:marTop w:val="0"/>
      <w:marBottom w:val="0"/>
      <w:divBdr>
        <w:top w:val="none" w:sz="0" w:space="0" w:color="auto"/>
        <w:left w:val="none" w:sz="0" w:space="0" w:color="auto"/>
        <w:bottom w:val="none" w:sz="0" w:space="0" w:color="auto"/>
        <w:right w:val="none" w:sz="0" w:space="0" w:color="auto"/>
      </w:divBdr>
    </w:div>
    <w:div w:id="565452080">
      <w:bodyDiv w:val="1"/>
      <w:marLeft w:val="0"/>
      <w:marRight w:val="0"/>
      <w:marTop w:val="0"/>
      <w:marBottom w:val="0"/>
      <w:divBdr>
        <w:top w:val="none" w:sz="0" w:space="0" w:color="auto"/>
        <w:left w:val="none" w:sz="0" w:space="0" w:color="auto"/>
        <w:bottom w:val="none" w:sz="0" w:space="0" w:color="auto"/>
        <w:right w:val="none" w:sz="0" w:space="0" w:color="auto"/>
      </w:divBdr>
    </w:div>
    <w:div w:id="565527473">
      <w:bodyDiv w:val="1"/>
      <w:marLeft w:val="0"/>
      <w:marRight w:val="0"/>
      <w:marTop w:val="0"/>
      <w:marBottom w:val="0"/>
      <w:divBdr>
        <w:top w:val="none" w:sz="0" w:space="0" w:color="auto"/>
        <w:left w:val="none" w:sz="0" w:space="0" w:color="auto"/>
        <w:bottom w:val="none" w:sz="0" w:space="0" w:color="auto"/>
        <w:right w:val="none" w:sz="0" w:space="0" w:color="auto"/>
      </w:divBdr>
    </w:div>
    <w:div w:id="565528854">
      <w:bodyDiv w:val="1"/>
      <w:marLeft w:val="0"/>
      <w:marRight w:val="0"/>
      <w:marTop w:val="0"/>
      <w:marBottom w:val="0"/>
      <w:divBdr>
        <w:top w:val="none" w:sz="0" w:space="0" w:color="auto"/>
        <w:left w:val="none" w:sz="0" w:space="0" w:color="auto"/>
        <w:bottom w:val="none" w:sz="0" w:space="0" w:color="auto"/>
        <w:right w:val="none" w:sz="0" w:space="0" w:color="auto"/>
      </w:divBdr>
    </w:div>
    <w:div w:id="565531974">
      <w:bodyDiv w:val="1"/>
      <w:marLeft w:val="0"/>
      <w:marRight w:val="0"/>
      <w:marTop w:val="0"/>
      <w:marBottom w:val="0"/>
      <w:divBdr>
        <w:top w:val="none" w:sz="0" w:space="0" w:color="auto"/>
        <w:left w:val="none" w:sz="0" w:space="0" w:color="auto"/>
        <w:bottom w:val="none" w:sz="0" w:space="0" w:color="auto"/>
        <w:right w:val="none" w:sz="0" w:space="0" w:color="auto"/>
      </w:divBdr>
    </w:div>
    <w:div w:id="565607842">
      <w:bodyDiv w:val="1"/>
      <w:marLeft w:val="0"/>
      <w:marRight w:val="0"/>
      <w:marTop w:val="0"/>
      <w:marBottom w:val="0"/>
      <w:divBdr>
        <w:top w:val="none" w:sz="0" w:space="0" w:color="auto"/>
        <w:left w:val="none" w:sz="0" w:space="0" w:color="auto"/>
        <w:bottom w:val="none" w:sz="0" w:space="0" w:color="auto"/>
        <w:right w:val="none" w:sz="0" w:space="0" w:color="auto"/>
      </w:divBdr>
    </w:div>
    <w:div w:id="565647458">
      <w:bodyDiv w:val="1"/>
      <w:marLeft w:val="0"/>
      <w:marRight w:val="0"/>
      <w:marTop w:val="0"/>
      <w:marBottom w:val="0"/>
      <w:divBdr>
        <w:top w:val="none" w:sz="0" w:space="0" w:color="auto"/>
        <w:left w:val="none" w:sz="0" w:space="0" w:color="auto"/>
        <w:bottom w:val="none" w:sz="0" w:space="0" w:color="auto"/>
        <w:right w:val="none" w:sz="0" w:space="0" w:color="auto"/>
      </w:divBdr>
    </w:div>
    <w:div w:id="565651356">
      <w:bodyDiv w:val="1"/>
      <w:marLeft w:val="0"/>
      <w:marRight w:val="0"/>
      <w:marTop w:val="0"/>
      <w:marBottom w:val="0"/>
      <w:divBdr>
        <w:top w:val="none" w:sz="0" w:space="0" w:color="auto"/>
        <w:left w:val="none" w:sz="0" w:space="0" w:color="auto"/>
        <w:bottom w:val="none" w:sz="0" w:space="0" w:color="auto"/>
        <w:right w:val="none" w:sz="0" w:space="0" w:color="auto"/>
      </w:divBdr>
    </w:div>
    <w:div w:id="565723865">
      <w:bodyDiv w:val="1"/>
      <w:marLeft w:val="0"/>
      <w:marRight w:val="0"/>
      <w:marTop w:val="0"/>
      <w:marBottom w:val="0"/>
      <w:divBdr>
        <w:top w:val="none" w:sz="0" w:space="0" w:color="auto"/>
        <w:left w:val="none" w:sz="0" w:space="0" w:color="auto"/>
        <w:bottom w:val="none" w:sz="0" w:space="0" w:color="auto"/>
        <w:right w:val="none" w:sz="0" w:space="0" w:color="auto"/>
      </w:divBdr>
    </w:div>
    <w:div w:id="565796037">
      <w:bodyDiv w:val="1"/>
      <w:marLeft w:val="0"/>
      <w:marRight w:val="0"/>
      <w:marTop w:val="0"/>
      <w:marBottom w:val="0"/>
      <w:divBdr>
        <w:top w:val="none" w:sz="0" w:space="0" w:color="auto"/>
        <w:left w:val="none" w:sz="0" w:space="0" w:color="auto"/>
        <w:bottom w:val="none" w:sz="0" w:space="0" w:color="auto"/>
        <w:right w:val="none" w:sz="0" w:space="0" w:color="auto"/>
      </w:divBdr>
    </w:div>
    <w:div w:id="565918928">
      <w:bodyDiv w:val="1"/>
      <w:marLeft w:val="0"/>
      <w:marRight w:val="0"/>
      <w:marTop w:val="0"/>
      <w:marBottom w:val="0"/>
      <w:divBdr>
        <w:top w:val="none" w:sz="0" w:space="0" w:color="auto"/>
        <w:left w:val="none" w:sz="0" w:space="0" w:color="auto"/>
        <w:bottom w:val="none" w:sz="0" w:space="0" w:color="auto"/>
        <w:right w:val="none" w:sz="0" w:space="0" w:color="auto"/>
      </w:divBdr>
    </w:div>
    <w:div w:id="565995591">
      <w:bodyDiv w:val="1"/>
      <w:marLeft w:val="0"/>
      <w:marRight w:val="0"/>
      <w:marTop w:val="0"/>
      <w:marBottom w:val="0"/>
      <w:divBdr>
        <w:top w:val="none" w:sz="0" w:space="0" w:color="auto"/>
        <w:left w:val="none" w:sz="0" w:space="0" w:color="auto"/>
        <w:bottom w:val="none" w:sz="0" w:space="0" w:color="auto"/>
        <w:right w:val="none" w:sz="0" w:space="0" w:color="auto"/>
      </w:divBdr>
    </w:div>
    <w:div w:id="565997142">
      <w:bodyDiv w:val="1"/>
      <w:marLeft w:val="0"/>
      <w:marRight w:val="0"/>
      <w:marTop w:val="0"/>
      <w:marBottom w:val="0"/>
      <w:divBdr>
        <w:top w:val="none" w:sz="0" w:space="0" w:color="auto"/>
        <w:left w:val="none" w:sz="0" w:space="0" w:color="auto"/>
        <w:bottom w:val="none" w:sz="0" w:space="0" w:color="auto"/>
        <w:right w:val="none" w:sz="0" w:space="0" w:color="auto"/>
      </w:divBdr>
    </w:div>
    <w:div w:id="566111502">
      <w:bodyDiv w:val="1"/>
      <w:marLeft w:val="0"/>
      <w:marRight w:val="0"/>
      <w:marTop w:val="0"/>
      <w:marBottom w:val="0"/>
      <w:divBdr>
        <w:top w:val="none" w:sz="0" w:space="0" w:color="auto"/>
        <w:left w:val="none" w:sz="0" w:space="0" w:color="auto"/>
        <w:bottom w:val="none" w:sz="0" w:space="0" w:color="auto"/>
        <w:right w:val="none" w:sz="0" w:space="0" w:color="auto"/>
      </w:divBdr>
    </w:div>
    <w:div w:id="566183379">
      <w:bodyDiv w:val="1"/>
      <w:marLeft w:val="0"/>
      <w:marRight w:val="0"/>
      <w:marTop w:val="0"/>
      <w:marBottom w:val="0"/>
      <w:divBdr>
        <w:top w:val="none" w:sz="0" w:space="0" w:color="auto"/>
        <w:left w:val="none" w:sz="0" w:space="0" w:color="auto"/>
        <w:bottom w:val="none" w:sz="0" w:space="0" w:color="auto"/>
        <w:right w:val="none" w:sz="0" w:space="0" w:color="auto"/>
      </w:divBdr>
    </w:div>
    <w:div w:id="566452294">
      <w:bodyDiv w:val="1"/>
      <w:marLeft w:val="0"/>
      <w:marRight w:val="0"/>
      <w:marTop w:val="0"/>
      <w:marBottom w:val="0"/>
      <w:divBdr>
        <w:top w:val="none" w:sz="0" w:space="0" w:color="auto"/>
        <w:left w:val="none" w:sz="0" w:space="0" w:color="auto"/>
        <w:bottom w:val="none" w:sz="0" w:space="0" w:color="auto"/>
        <w:right w:val="none" w:sz="0" w:space="0" w:color="auto"/>
      </w:divBdr>
    </w:div>
    <w:div w:id="566453393">
      <w:bodyDiv w:val="1"/>
      <w:marLeft w:val="0"/>
      <w:marRight w:val="0"/>
      <w:marTop w:val="0"/>
      <w:marBottom w:val="0"/>
      <w:divBdr>
        <w:top w:val="none" w:sz="0" w:space="0" w:color="auto"/>
        <w:left w:val="none" w:sz="0" w:space="0" w:color="auto"/>
        <w:bottom w:val="none" w:sz="0" w:space="0" w:color="auto"/>
        <w:right w:val="none" w:sz="0" w:space="0" w:color="auto"/>
      </w:divBdr>
    </w:div>
    <w:div w:id="566458143">
      <w:bodyDiv w:val="1"/>
      <w:marLeft w:val="0"/>
      <w:marRight w:val="0"/>
      <w:marTop w:val="0"/>
      <w:marBottom w:val="0"/>
      <w:divBdr>
        <w:top w:val="none" w:sz="0" w:space="0" w:color="auto"/>
        <w:left w:val="none" w:sz="0" w:space="0" w:color="auto"/>
        <w:bottom w:val="none" w:sz="0" w:space="0" w:color="auto"/>
        <w:right w:val="none" w:sz="0" w:space="0" w:color="auto"/>
      </w:divBdr>
    </w:div>
    <w:div w:id="566495534">
      <w:bodyDiv w:val="1"/>
      <w:marLeft w:val="0"/>
      <w:marRight w:val="0"/>
      <w:marTop w:val="0"/>
      <w:marBottom w:val="0"/>
      <w:divBdr>
        <w:top w:val="none" w:sz="0" w:space="0" w:color="auto"/>
        <w:left w:val="none" w:sz="0" w:space="0" w:color="auto"/>
        <w:bottom w:val="none" w:sz="0" w:space="0" w:color="auto"/>
        <w:right w:val="none" w:sz="0" w:space="0" w:color="auto"/>
      </w:divBdr>
    </w:div>
    <w:div w:id="566499271">
      <w:bodyDiv w:val="1"/>
      <w:marLeft w:val="0"/>
      <w:marRight w:val="0"/>
      <w:marTop w:val="0"/>
      <w:marBottom w:val="0"/>
      <w:divBdr>
        <w:top w:val="none" w:sz="0" w:space="0" w:color="auto"/>
        <w:left w:val="none" w:sz="0" w:space="0" w:color="auto"/>
        <w:bottom w:val="none" w:sz="0" w:space="0" w:color="auto"/>
        <w:right w:val="none" w:sz="0" w:space="0" w:color="auto"/>
      </w:divBdr>
    </w:div>
    <w:div w:id="566578556">
      <w:bodyDiv w:val="1"/>
      <w:marLeft w:val="0"/>
      <w:marRight w:val="0"/>
      <w:marTop w:val="0"/>
      <w:marBottom w:val="0"/>
      <w:divBdr>
        <w:top w:val="none" w:sz="0" w:space="0" w:color="auto"/>
        <w:left w:val="none" w:sz="0" w:space="0" w:color="auto"/>
        <w:bottom w:val="none" w:sz="0" w:space="0" w:color="auto"/>
        <w:right w:val="none" w:sz="0" w:space="0" w:color="auto"/>
      </w:divBdr>
    </w:div>
    <w:div w:id="566693135">
      <w:bodyDiv w:val="1"/>
      <w:marLeft w:val="0"/>
      <w:marRight w:val="0"/>
      <w:marTop w:val="0"/>
      <w:marBottom w:val="0"/>
      <w:divBdr>
        <w:top w:val="none" w:sz="0" w:space="0" w:color="auto"/>
        <w:left w:val="none" w:sz="0" w:space="0" w:color="auto"/>
        <w:bottom w:val="none" w:sz="0" w:space="0" w:color="auto"/>
        <w:right w:val="none" w:sz="0" w:space="0" w:color="auto"/>
      </w:divBdr>
    </w:div>
    <w:div w:id="566722219">
      <w:bodyDiv w:val="1"/>
      <w:marLeft w:val="0"/>
      <w:marRight w:val="0"/>
      <w:marTop w:val="0"/>
      <w:marBottom w:val="0"/>
      <w:divBdr>
        <w:top w:val="none" w:sz="0" w:space="0" w:color="auto"/>
        <w:left w:val="none" w:sz="0" w:space="0" w:color="auto"/>
        <w:bottom w:val="none" w:sz="0" w:space="0" w:color="auto"/>
        <w:right w:val="none" w:sz="0" w:space="0" w:color="auto"/>
      </w:divBdr>
    </w:div>
    <w:div w:id="566846946">
      <w:bodyDiv w:val="1"/>
      <w:marLeft w:val="0"/>
      <w:marRight w:val="0"/>
      <w:marTop w:val="0"/>
      <w:marBottom w:val="0"/>
      <w:divBdr>
        <w:top w:val="none" w:sz="0" w:space="0" w:color="auto"/>
        <w:left w:val="none" w:sz="0" w:space="0" w:color="auto"/>
        <w:bottom w:val="none" w:sz="0" w:space="0" w:color="auto"/>
        <w:right w:val="none" w:sz="0" w:space="0" w:color="auto"/>
      </w:divBdr>
    </w:div>
    <w:div w:id="566955890">
      <w:bodyDiv w:val="1"/>
      <w:marLeft w:val="0"/>
      <w:marRight w:val="0"/>
      <w:marTop w:val="0"/>
      <w:marBottom w:val="0"/>
      <w:divBdr>
        <w:top w:val="none" w:sz="0" w:space="0" w:color="auto"/>
        <w:left w:val="none" w:sz="0" w:space="0" w:color="auto"/>
        <w:bottom w:val="none" w:sz="0" w:space="0" w:color="auto"/>
        <w:right w:val="none" w:sz="0" w:space="0" w:color="auto"/>
      </w:divBdr>
    </w:div>
    <w:div w:id="567148869">
      <w:bodyDiv w:val="1"/>
      <w:marLeft w:val="0"/>
      <w:marRight w:val="0"/>
      <w:marTop w:val="0"/>
      <w:marBottom w:val="0"/>
      <w:divBdr>
        <w:top w:val="none" w:sz="0" w:space="0" w:color="auto"/>
        <w:left w:val="none" w:sz="0" w:space="0" w:color="auto"/>
        <w:bottom w:val="none" w:sz="0" w:space="0" w:color="auto"/>
        <w:right w:val="none" w:sz="0" w:space="0" w:color="auto"/>
      </w:divBdr>
    </w:div>
    <w:div w:id="567225336">
      <w:bodyDiv w:val="1"/>
      <w:marLeft w:val="0"/>
      <w:marRight w:val="0"/>
      <w:marTop w:val="0"/>
      <w:marBottom w:val="0"/>
      <w:divBdr>
        <w:top w:val="none" w:sz="0" w:space="0" w:color="auto"/>
        <w:left w:val="none" w:sz="0" w:space="0" w:color="auto"/>
        <w:bottom w:val="none" w:sz="0" w:space="0" w:color="auto"/>
        <w:right w:val="none" w:sz="0" w:space="0" w:color="auto"/>
      </w:divBdr>
    </w:div>
    <w:div w:id="567229613">
      <w:bodyDiv w:val="1"/>
      <w:marLeft w:val="0"/>
      <w:marRight w:val="0"/>
      <w:marTop w:val="0"/>
      <w:marBottom w:val="0"/>
      <w:divBdr>
        <w:top w:val="none" w:sz="0" w:space="0" w:color="auto"/>
        <w:left w:val="none" w:sz="0" w:space="0" w:color="auto"/>
        <w:bottom w:val="none" w:sz="0" w:space="0" w:color="auto"/>
        <w:right w:val="none" w:sz="0" w:space="0" w:color="auto"/>
      </w:divBdr>
    </w:div>
    <w:div w:id="567306886">
      <w:bodyDiv w:val="1"/>
      <w:marLeft w:val="0"/>
      <w:marRight w:val="0"/>
      <w:marTop w:val="0"/>
      <w:marBottom w:val="0"/>
      <w:divBdr>
        <w:top w:val="none" w:sz="0" w:space="0" w:color="auto"/>
        <w:left w:val="none" w:sz="0" w:space="0" w:color="auto"/>
        <w:bottom w:val="none" w:sz="0" w:space="0" w:color="auto"/>
        <w:right w:val="none" w:sz="0" w:space="0" w:color="auto"/>
      </w:divBdr>
    </w:div>
    <w:div w:id="567349015">
      <w:bodyDiv w:val="1"/>
      <w:marLeft w:val="0"/>
      <w:marRight w:val="0"/>
      <w:marTop w:val="0"/>
      <w:marBottom w:val="0"/>
      <w:divBdr>
        <w:top w:val="none" w:sz="0" w:space="0" w:color="auto"/>
        <w:left w:val="none" w:sz="0" w:space="0" w:color="auto"/>
        <w:bottom w:val="none" w:sz="0" w:space="0" w:color="auto"/>
        <w:right w:val="none" w:sz="0" w:space="0" w:color="auto"/>
      </w:divBdr>
    </w:div>
    <w:div w:id="567426682">
      <w:bodyDiv w:val="1"/>
      <w:marLeft w:val="0"/>
      <w:marRight w:val="0"/>
      <w:marTop w:val="0"/>
      <w:marBottom w:val="0"/>
      <w:divBdr>
        <w:top w:val="none" w:sz="0" w:space="0" w:color="auto"/>
        <w:left w:val="none" w:sz="0" w:space="0" w:color="auto"/>
        <w:bottom w:val="none" w:sz="0" w:space="0" w:color="auto"/>
        <w:right w:val="none" w:sz="0" w:space="0" w:color="auto"/>
      </w:divBdr>
    </w:div>
    <w:div w:id="567494233">
      <w:bodyDiv w:val="1"/>
      <w:marLeft w:val="0"/>
      <w:marRight w:val="0"/>
      <w:marTop w:val="0"/>
      <w:marBottom w:val="0"/>
      <w:divBdr>
        <w:top w:val="none" w:sz="0" w:space="0" w:color="auto"/>
        <w:left w:val="none" w:sz="0" w:space="0" w:color="auto"/>
        <w:bottom w:val="none" w:sz="0" w:space="0" w:color="auto"/>
        <w:right w:val="none" w:sz="0" w:space="0" w:color="auto"/>
      </w:divBdr>
    </w:div>
    <w:div w:id="567545121">
      <w:bodyDiv w:val="1"/>
      <w:marLeft w:val="0"/>
      <w:marRight w:val="0"/>
      <w:marTop w:val="0"/>
      <w:marBottom w:val="0"/>
      <w:divBdr>
        <w:top w:val="none" w:sz="0" w:space="0" w:color="auto"/>
        <w:left w:val="none" w:sz="0" w:space="0" w:color="auto"/>
        <w:bottom w:val="none" w:sz="0" w:space="0" w:color="auto"/>
        <w:right w:val="none" w:sz="0" w:space="0" w:color="auto"/>
      </w:divBdr>
    </w:div>
    <w:div w:id="567570209">
      <w:bodyDiv w:val="1"/>
      <w:marLeft w:val="0"/>
      <w:marRight w:val="0"/>
      <w:marTop w:val="0"/>
      <w:marBottom w:val="0"/>
      <w:divBdr>
        <w:top w:val="none" w:sz="0" w:space="0" w:color="auto"/>
        <w:left w:val="none" w:sz="0" w:space="0" w:color="auto"/>
        <w:bottom w:val="none" w:sz="0" w:space="0" w:color="auto"/>
        <w:right w:val="none" w:sz="0" w:space="0" w:color="auto"/>
      </w:divBdr>
    </w:div>
    <w:div w:id="567570894">
      <w:bodyDiv w:val="1"/>
      <w:marLeft w:val="0"/>
      <w:marRight w:val="0"/>
      <w:marTop w:val="0"/>
      <w:marBottom w:val="0"/>
      <w:divBdr>
        <w:top w:val="none" w:sz="0" w:space="0" w:color="auto"/>
        <w:left w:val="none" w:sz="0" w:space="0" w:color="auto"/>
        <w:bottom w:val="none" w:sz="0" w:space="0" w:color="auto"/>
        <w:right w:val="none" w:sz="0" w:space="0" w:color="auto"/>
      </w:divBdr>
    </w:div>
    <w:div w:id="567615999">
      <w:bodyDiv w:val="1"/>
      <w:marLeft w:val="0"/>
      <w:marRight w:val="0"/>
      <w:marTop w:val="0"/>
      <w:marBottom w:val="0"/>
      <w:divBdr>
        <w:top w:val="none" w:sz="0" w:space="0" w:color="auto"/>
        <w:left w:val="none" w:sz="0" w:space="0" w:color="auto"/>
        <w:bottom w:val="none" w:sz="0" w:space="0" w:color="auto"/>
        <w:right w:val="none" w:sz="0" w:space="0" w:color="auto"/>
      </w:divBdr>
    </w:div>
    <w:div w:id="567695436">
      <w:bodyDiv w:val="1"/>
      <w:marLeft w:val="0"/>
      <w:marRight w:val="0"/>
      <w:marTop w:val="0"/>
      <w:marBottom w:val="0"/>
      <w:divBdr>
        <w:top w:val="none" w:sz="0" w:space="0" w:color="auto"/>
        <w:left w:val="none" w:sz="0" w:space="0" w:color="auto"/>
        <w:bottom w:val="none" w:sz="0" w:space="0" w:color="auto"/>
        <w:right w:val="none" w:sz="0" w:space="0" w:color="auto"/>
      </w:divBdr>
    </w:div>
    <w:div w:id="567770063">
      <w:bodyDiv w:val="1"/>
      <w:marLeft w:val="0"/>
      <w:marRight w:val="0"/>
      <w:marTop w:val="0"/>
      <w:marBottom w:val="0"/>
      <w:divBdr>
        <w:top w:val="none" w:sz="0" w:space="0" w:color="auto"/>
        <w:left w:val="none" w:sz="0" w:space="0" w:color="auto"/>
        <w:bottom w:val="none" w:sz="0" w:space="0" w:color="auto"/>
        <w:right w:val="none" w:sz="0" w:space="0" w:color="auto"/>
      </w:divBdr>
    </w:div>
    <w:div w:id="567805454">
      <w:bodyDiv w:val="1"/>
      <w:marLeft w:val="0"/>
      <w:marRight w:val="0"/>
      <w:marTop w:val="0"/>
      <w:marBottom w:val="0"/>
      <w:divBdr>
        <w:top w:val="none" w:sz="0" w:space="0" w:color="auto"/>
        <w:left w:val="none" w:sz="0" w:space="0" w:color="auto"/>
        <w:bottom w:val="none" w:sz="0" w:space="0" w:color="auto"/>
        <w:right w:val="none" w:sz="0" w:space="0" w:color="auto"/>
      </w:divBdr>
    </w:div>
    <w:div w:id="568005241">
      <w:bodyDiv w:val="1"/>
      <w:marLeft w:val="0"/>
      <w:marRight w:val="0"/>
      <w:marTop w:val="0"/>
      <w:marBottom w:val="0"/>
      <w:divBdr>
        <w:top w:val="none" w:sz="0" w:space="0" w:color="auto"/>
        <w:left w:val="none" w:sz="0" w:space="0" w:color="auto"/>
        <w:bottom w:val="none" w:sz="0" w:space="0" w:color="auto"/>
        <w:right w:val="none" w:sz="0" w:space="0" w:color="auto"/>
      </w:divBdr>
    </w:div>
    <w:div w:id="568076715">
      <w:bodyDiv w:val="1"/>
      <w:marLeft w:val="0"/>
      <w:marRight w:val="0"/>
      <w:marTop w:val="0"/>
      <w:marBottom w:val="0"/>
      <w:divBdr>
        <w:top w:val="none" w:sz="0" w:space="0" w:color="auto"/>
        <w:left w:val="none" w:sz="0" w:space="0" w:color="auto"/>
        <w:bottom w:val="none" w:sz="0" w:space="0" w:color="auto"/>
        <w:right w:val="none" w:sz="0" w:space="0" w:color="auto"/>
      </w:divBdr>
    </w:div>
    <w:div w:id="568077167">
      <w:bodyDiv w:val="1"/>
      <w:marLeft w:val="0"/>
      <w:marRight w:val="0"/>
      <w:marTop w:val="0"/>
      <w:marBottom w:val="0"/>
      <w:divBdr>
        <w:top w:val="none" w:sz="0" w:space="0" w:color="auto"/>
        <w:left w:val="none" w:sz="0" w:space="0" w:color="auto"/>
        <w:bottom w:val="none" w:sz="0" w:space="0" w:color="auto"/>
        <w:right w:val="none" w:sz="0" w:space="0" w:color="auto"/>
      </w:divBdr>
    </w:div>
    <w:div w:id="568154065">
      <w:bodyDiv w:val="1"/>
      <w:marLeft w:val="0"/>
      <w:marRight w:val="0"/>
      <w:marTop w:val="0"/>
      <w:marBottom w:val="0"/>
      <w:divBdr>
        <w:top w:val="none" w:sz="0" w:space="0" w:color="auto"/>
        <w:left w:val="none" w:sz="0" w:space="0" w:color="auto"/>
        <w:bottom w:val="none" w:sz="0" w:space="0" w:color="auto"/>
        <w:right w:val="none" w:sz="0" w:space="0" w:color="auto"/>
      </w:divBdr>
    </w:div>
    <w:div w:id="568267811">
      <w:bodyDiv w:val="1"/>
      <w:marLeft w:val="0"/>
      <w:marRight w:val="0"/>
      <w:marTop w:val="0"/>
      <w:marBottom w:val="0"/>
      <w:divBdr>
        <w:top w:val="none" w:sz="0" w:space="0" w:color="auto"/>
        <w:left w:val="none" w:sz="0" w:space="0" w:color="auto"/>
        <w:bottom w:val="none" w:sz="0" w:space="0" w:color="auto"/>
        <w:right w:val="none" w:sz="0" w:space="0" w:color="auto"/>
      </w:divBdr>
    </w:div>
    <w:div w:id="568268258">
      <w:bodyDiv w:val="1"/>
      <w:marLeft w:val="0"/>
      <w:marRight w:val="0"/>
      <w:marTop w:val="0"/>
      <w:marBottom w:val="0"/>
      <w:divBdr>
        <w:top w:val="none" w:sz="0" w:space="0" w:color="auto"/>
        <w:left w:val="none" w:sz="0" w:space="0" w:color="auto"/>
        <w:bottom w:val="none" w:sz="0" w:space="0" w:color="auto"/>
        <w:right w:val="none" w:sz="0" w:space="0" w:color="auto"/>
      </w:divBdr>
    </w:div>
    <w:div w:id="568270267">
      <w:bodyDiv w:val="1"/>
      <w:marLeft w:val="0"/>
      <w:marRight w:val="0"/>
      <w:marTop w:val="0"/>
      <w:marBottom w:val="0"/>
      <w:divBdr>
        <w:top w:val="none" w:sz="0" w:space="0" w:color="auto"/>
        <w:left w:val="none" w:sz="0" w:space="0" w:color="auto"/>
        <w:bottom w:val="none" w:sz="0" w:space="0" w:color="auto"/>
        <w:right w:val="none" w:sz="0" w:space="0" w:color="auto"/>
      </w:divBdr>
    </w:div>
    <w:div w:id="568467521">
      <w:bodyDiv w:val="1"/>
      <w:marLeft w:val="0"/>
      <w:marRight w:val="0"/>
      <w:marTop w:val="0"/>
      <w:marBottom w:val="0"/>
      <w:divBdr>
        <w:top w:val="none" w:sz="0" w:space="0" w:color="auto"/>
        <w:left w:val="none" w:sz="0" w:space="0" w:color="auto"/>
        <w:bottom w:val="none" w:sz="0" w:space="0" w:color="auto"/>
        <w:right w:val="none" w:sz="0" w:space="0" w:color="auto"/>
      </w:divBdr>
    </w:div>
    <w:div w:id="568537328">
      <w:bodyDiv w:val="1"/>
      <w:marLeft w:val="0"/>
      <w:marRight w:val="0"/>
      <w:marTop w:val="0"/>
      <w:marBottom w:val="0"/>
      <w:divBdr>
        <w:top w:val="none" w:sz="0" w:space="0" w:color="auto"/>
        <w:left w:val="none" w:sz="0" w:space="0" w:color="auto"/>
        <w:bottom w:val="none" w:sz="0" w:space="0" w:color="auto"/>
        <w:right w:val="none" w:sz="0" w:space="0" w:color="auto"/>
      </w:divBdr>
    </w:div>
    <w:div w:id="568616909">
      <w:bodyDiv w:val="1"/>
      <w:marLeft w:val="0"/>
      <w:marRight w:val="0"/>
      <w:marTop w:val="0"/>
      <w:marBottom w:val="0"/>
      <w:divBdr>
        <w:top w:val="none" w:sz="0" w:space="0" w:color="auto"/>
        <w:left w:val="none" w:sz="0" w:space="0" w:color="auto"/>
        <w:bottom w:val="none" w:sz="0" w:space="0" w:color="auto"/>
        <w:right w:val="none" w:sz="0" w:space="0" w:color="auto"/>
      </w:divBdr>
    </w:div>
    <w:div w:id="568619745">
      <w:bodyDiv w:val="1"/>
      <w:marLeft w:val="0"/>
      <w:marRight w:val="0"/>
      <w:marTop w:val="0"/>
      <w:marBottom w:val="0"/>
      <w:divBdr>
        <w:top w:val="none" w:sz="0" w:space="0" w:color="auto"/>
        <w:left w:val="none" w:sz="0" w:space="0" w:color="auto"/>
        <w:bottom w:val="none" w:sz="0" w:space="0" w:color="auto"/>
        <w:right w:val="none" w:sz="0" w:space="0" w:color="auto"/>
      </w:divBdr>
    </w:div>
    <w:div w:id="568805125">
      <w:bodyDiv w:val="1"/>
      <w:marLeft w:val="0"/>
      <w:marRight w:val="0"/>
      <w:marTop w:val="0"/>
      <w:marBottom w:val="0"/>
      <w:divBdr>
        <w:top w:val="none" w:sz="0" w:space="0" w:color="auto"/>
        <w:left w:val="none" w:sz="0" w:space="0" w:color="auto"/>
        <w:bottom w:val="none" w:sz="0" w:space="0" w:color="auto"/>
        <w:right w:val="none" w:sz="0" w:space="0" w:color="auto"/>
      </w:divBdr>
    </w:div>
    <w:div w:id="568922212">
      <w:bodyDiv w:val="1"/>
      <w:marLeft w:val="0"/>
      <w:marRight w:val="0"/>
      <w:marTop w:val="0"/>
      <w:marBottom w:val="0"/>
      <w:divBdr>
        <w:top w:val="none" w:sz="0" w:space="0" w:color="auto"/>
        <w:left w:val="none" w:sz="0" w:space="0" w:color="auto"/>
        <w:bottom w:val="none" w:sz="0" w:space="0" w:color="auto"/>
        <w:right w:val="none" w:sz="0" w:space="0" w:color="auto"/>
      </w:divBdr>
    </w:div>
    <w:div w:id="569077335">
      <w:bodyDiv w:val="1"/>
      <w:marLeft w:val="0"/>
      <w:marRight w:val="0"/>
      <w:marTop w:val="0"/>
      <w:marBottom w:val="0"/>
      <w:divBdr>
        <w:top w:val="none" w:sz="0" w:space="0" w:color="auto"/>
        <w:left w:val="none" w:sz="0" w:space="0" w:color="auto"/>
        <w:bottom w:val="none" w:sz="0" w:space="0" w:color="auto"/>
        <w:right w:val="none" w:sz="0" w:space="0" w:color="auto"/>
      </w:divBdr>
    </w:div>
    <w:div w:id="569116043">
      <w:bodyDiv w:val="1"/>
      <w:marLeft w:val="0"/>
      <w:marRight w:val="0"/>
      <w:marTop w:val="0"/>
      <w:marBottom w:val="0"/>
      <w:divBdr>
        <w:top w:val="none" w:sz="0" w:space="0" w:color="auto"/>
        <w:left w:val="none" w:sz="0" w:space="0" w:color="auto"/>
        <w:bottom w:val="none" w:sz="0" w:space="0" w:color="auto"/>
        <w:right w:val="none" w:sz="0" w:space="0" w:color="auto"/>
      </w:divBdr>
    </w:div>
    <w:div w:id="569198064">
      <w:bodyDiv w:val="1"/>
      <w:marLeft w:val="0"/>
      <w:marRight w:val="0"/>
      <w:marTop w:val="0"/>
      <w:marBottom w:val="0"/>
      <w:divBdr>
        <w:top w:val="none" w:sz="0" w:space="0" w:color="auto"/>
        <w:left w:val="none" w:sz="0" w:space="0" w:color="auto"/>
        <w:bottom w:val="none" w:sz="0" w:space="0" w:color="auto"/>
        <w:right w:val="none" w:sz="0" w:space="0" w:color="auto"/>
      </w:divBdr>
    </w:div>
    <w:div w:id="569271608">
      <w:bodyDiv w:val="1"/>
      <w:marLeft w:val="0"/>
      <w:marRight w:val="0"/>
      <w:marTop w:val="0"/>
      <w:marBottom w:val="0"/>
      <w:divBdr>
        <w:top w:val="none" w:sz="0" w:space="0" w:color="auto"/>
        <w:left w:val="none" w:sz="0" w:space="0" w:color="auto"/>
        <w:bottom w:val="none" w:sz="0" w:space="0" w:color="auto"/>
        <w:right w:val="none" w:sz="0" w:space="0" w:color="auto"/>
      </w:divBdr>
    </w:div>
    <w:div w:id="569343465">
      <w:bodyDiv w:val="1"/>
      <w:marLeft w:val="0"/>
      <w:marRight w:val="0"/>
      <w:marTop w:val="0"/>
      <w:marBottom w:val="0"/>
      <w:divBdr>
        <w:top w:val="none" w:sz="0" w:space="0" w:color="auto"/>
        <w:left w:val="none" w:sz="0" w:space="0" w:color="auto"/>
        <w:bottom w:val="none" w:sz="0" w:space="0" w:color="auto"/>
        <w:right w:val="none" w:sz="0" w:space="0" w:color="auto"/>
      </w:divBdr>
    </w:div>
    <w:div w:id="569385083">
      <w:bodyDiv w:val="1"/>
      <w:marLeft w:val="0"/>
      <w:marRight w:val="0"/>
      <w:marTop w:val="0"/>
      <w:marBottom w:val="0"/>
      <w:divBdr>
        <w:top w:val="none" w:sz="0" w:space="0" w:color="auto"/>
        <w:left w:val="none" w:sz="0" w:space="0" w:color="auto"/>
        <w:bottom w:val="none" w:sz="0" w:space="0" w:color="auto"/>
        <w:right w:val="none" w:sz="0" w:space="0" w:color="auto"/>
      </w:divBdr>
    </w:div>
    <w:div w:id="569386206">
      <w:bodyDiv w:val="1"/>
      <w:marLeft w:val="0"/>
      <w:marRight w:val="0"/>
      <w:marTop w:val="0"/>
      <w:marBottom w:val="0"/>
      <w:divBdr>
        <w:top w:val="none" w:sz="0" w:space="0" w:color="auto"/>
        <w:left w:val="none" w:sz="0" w:space="0" w:color="auto"/>
        <w:bottom w:val="none" w:sz="0" w:space="0" w:color="auto"/>
        <w:right w:val="none" w:sz="0" w:space="0" w:color="auto"/>
      </w:divBdr>
    </w:div>
    <w:div w:id="569462050">
      <w:bodyDiv w:val="1"/>
      <w:marLeft w:val="0"/>
      <w:marRight w:val="0"/>
      <w:marTop w:val="0"/>
      <w:marBottom w:val="0"/>
      <w:divBdr>
        <w:top w:val="none" w:sz="0" w:space="0" w:color="auto"/>
        <w:left w:val="none" w:sz="0" w:space="0" w:color="auto"/>
        <w:bottom w:val="none" w:sz="0" w:space="0" w:color="auto"/>
        <w:right w:val="none" w:sz="0" w:space="0" w:color="auto"/>
      </w:divBdr>
    </w:div>
    <w:div w:id="569466846">
      <w:bodyDiv w:val="1"/>
      <w:marLeft w:val="0"/>
      <w:marRight w:val="0"/>
      <w:marTop w:val="0"/>
      <w:marBottom w:val="0"/>
      <w:divBdr>
        <w:top w:val="none" w:sz="0" w:space="0" w:color="auto"/>
        <w:left w:val="none" w:sz="0" w:space="0" w:color="auto"/>
        <w:bottom w:val="none" w:sz="0" w:space="0" w:color="auto"/>
        <w:right w:val="none" w:sz="0" w:space="0" w:color="auto"/>
      </w:divBdr>
    </w:div>
    <w:div w:id="569771861">
      <w:bodyDiv w:val="1"/>
      <w:marLeft w:val="0"/>
      <w:marRight w:val="0"/>
      <w:marTop w:val="0"/>
      <w:marBottom w:val="0"/>
      <w:divBdr>
        <w:top w:val="none" w:sz="0" w:space="0" w:color="auto"/>
        <w:left w:val="none" w:sz="0" w:space="0" w:color="auto"/>
        <w:bottom w:val="none" w:sz="0" w:space="0" w:color="auto"/>
        <w:right w:val="none" w:sz="0" w:space="0" w:color="auto"/>
      </w:divBdr>
    </w:div>
    <w:div w:id="569775686">
      <w:bodyDiv w:val="1"/>
      <w:marLeft w:val="0"/>
      <w:marRight w:val="0"/>
      <w:marTop w:val="0"/>
      <w:marBottom w:val="0"/>
      <w:divBdr>
        <w:top w:val="none" w:sz="0" w:space="0" w:color="auto"/>
        <w:left w:val="none" w:sz="0" w:space="0" w:color="auto"/>
        <w:bottom w:val="none" w:sz="0" w:space="0" w:color="auto"/>
        <w:right w:val="none" w:sz="0" w:space="0" w:color="auto"/>
      </w:divBdr>
    </w:div>
    <w:div w:id="569777403">
      <w:bodyDiv w:val="1"/>
      <w:marLeft w:val="0"/>
      <w:marRight w:val="0"/>
      <w:marTop w:val="0"/>
      <w:marBottom w:val="0"/>
      <w:divBdr>
        <w:top w:val="none" w:sz="0" w:space="0" w:color="auto"/>
        <w:left w:val="none" w:sz="0" w:space="0" w:color="auto"/>
        <w:bottom w:val="none" w:sz="0" w:space="0" w:color="auto"/>
        <w:right w:val="none" w:sz="0" w:space="0" w:color="auto"/>
      </w:divBdr>
    </w:div>
    <w:div w:id="569972810">
      <w:bodyDiv w:val="1"/>
      <w:marLeft w:val="0"/>
      <w:marRight w:val="0"/>
      <w:marTop w:val="0"/>
      <w:marBottom w:val="0"/>
      <w:divBdr>
        <w:top w:val="none" w:sz="0" w:space="0" w:color="auto"/>
        <w:left w:val="none" w:sz="0" w:space="0" w:color="auto"/>
        <w:bottom w:val="none" w:sz="0" w:space="0" w:color="auto"/>
        <w:right w:val="none" w:sz="0" w:space="0" w:color="auto"/>
      </w:divBdr>
    </w:div>
    <w:div w:id="570048278">
      <w:bodyDiv w:val="1"/>
      <w:marLeft w:val="0"/>
      <w:marRight w:val="0"/>
      <w:marTop w:val="0"/>
      <w:marBottom w:val="0"/>
      <w:divBdr>
        <w:top w:val="none" w:sz="0" w:space="0" w:color="auto"/>
        <w:left w:val="none" w:sz="0" w:space="0" w:color="auto"/>
        <w:bottom w:val="none" w:sz="0" w:space="0" w:color="auto"/>
        <w:right w:val="none" w:sz="0" w:space="0" w:color="auto"/>
      </w:divBdr>
    </w:div>
    <w:div w:id="570236924">
      <w:bodyDiv w:val="1"/>
      <w:marLeft w:val="0"/>
      <w:marRight w:val="0"/>
      <w:marTop w:val="0"/>
      <w:marBottom w:val="0"/>
      <w:divBdr>
        <w:top w:val="none" w:sz="0" w:space="0" w:color="auto"/>
        <w:left w:val="none" w:sz="0" w:space="0" w:color="auto"/>
        <w:bottom w:val="none" w:sz="0" w:space="0" w:color="auto"/>
        <w:right w:val="none" w:sz="0" w:space="0" w:color="auto"/>
      </w:divBdr>
    </w:div>
    <w:div w:id="570384585">
      <w:bodyDiv w:val="1"/>
      <w:marLeft w:val="0"/>
      <w:marRight w:val="0"/>
      <w:marTop w:val="0"/>
      <w:marBottom w:val="0"/>
      <w:divBdr>
        <w:top w:val="none" w:sz="0" w:space="0" w:color="auto"/>
        <w:left w:val="none" w:sz="0" w:space="0" w:color="auto"/>
        <w:bottom w:val="none" w:sz="0" w:space="0" w:color="auto"/>
        <w:right w:val="none" w:sz="0" w:space="0" w:color="auto"/>
      </w:divBdr>
    </w:div>
    <w:div w:id="570386737">
      <w:bodyDiv w:val="1"/>
      <w:marLeft w:val="0"/>
      <w:marRight w:val="0"/>
      <w:marTop w:val="0"/>
      <w:marBottom w:val="0"/>
      <w:divBdr>
        <w:top w:val="none" w:sz="0" w:space="0" w:color="auto"/>
        <w:left w:val="none" w:sz="0" w:space="0" w:color="auto"/>
        <w:bottom w:val="none" w:sz="0" w:space="0" w:color="auto"/>
        <w:right w:val="none" w:sz="0" w:space="0" w:color="auto"/>
      </w:divBdr>
    </w:div>
    <w:div w:id="570390842">
      <w:bodyDiv w:val="1"/>
      <w:marLeft w:val="0"/>
      <w:marRight w:val="0"/>
      <w:marTop w:val="0"/>
      <w:marBottom w:val="0"/>
      <w:divBdr>
        <w:top w:val="none" w:sz="0" w:space="0" w:color="auto"/>
        <w:left w:val="none" w:sz="0" w:space="0" w:color="auto"/>
        <w:bottom w:val="none" w:sz="0" w:space="0" w:color="auto"/>
        <w:right w:val="none" w:sz="0" w:space="0" w:color="auto"/>
      </w:divBdr>
    </w:div>
    <w:div w:id="570508672">
      <w:bodyDiv w:val="1"/>
      <w:marLeft w:val="0"/>
      <w:marRight w:val="0"/>
      <w:marTop w:val="0"/>
      <w:marBottom w:val="0"/>
      <w:divBdr>
        <w:top w:val="none" w:sz="0" w:space="0" w:color="auto"/>
        <w:left w:val="none" w:sz="0" w:space="0" w:color="auto"/>
        <w:bottom w:val="none" w:sz="0" w:space="0" w:color="auto"/>
        <w:right w:val="none" w:sz="0" w:space="0" w:color="auto"/>
      </w:divBdr>
    </w:div>
    <w:div w:id="570575870">
      <w:bodyDiv w:val="1"/>
      <w:marLeft w:val="0"/>
      <w:marRight w:val="0"/>
      <w:marTop w:val="0"/>
      <w:marBottom w:val="0"/>
      <w:divBdr>
        <w:top w:val="none" w:sz="0" w:space="0" w:color="auto"/>
        <w:left w:val="none" w:sz="0" w:space="0" w:color="auto"/>
        <w:bottom w:val="none" w:sz="0" w:space="0" w:color="auto"/>
        <w:right w:val="none" w:sz="0" w:space="0" w:color="auto"/>
      </w:divBdr>
    </w:div>
    <w:div w:id="570963576">
      <w:bodyDiv w:val="1"/>
      <w:marLeft w:val="0"/>
      <w:marRight w:val="0"/>
      <w:marTop w:val="0"/>
      <w:marBottom w:val="0"/>
      <w:divBdr>
        <w:top w:val="none" w:sz="0" w:space="0" w:color="auto"/>
        <w:left w:val="none" w:sz="0" w:space="0" w:color="auto"/>
        <w:bottom w:val="none" w:sz="0" w:space="0" w:color="auto"/>
        <w:right w:val="none" w:sz="0" w:space="0" w:color="auto"/>
      </w:divBdr>
    </w:div>
    <w:div w:id="571044871">
      <w:bodyDiv w:val="1"/>
      <w:marLeft w:val="0"/>
      <w:marRight w:val="0"/>
      <w:marTop w:val="0"/>
      <w:marBottom w:val="0"/>
      <w:divBdr>
        <w:top w:val="none" w:sz="0" w:space="0" w:color="auto"/>
        <w:left w:val="none" w:sz="0" w:space="0" w:color="auto"/>
        <w:bottom w:val="none" w:sz="0" w:space="0" w:color="auto"/>
        <w:right w:val="none" w:sz="0" w:space="0" w:color="auto"/>
      </w:divBdr>
    </w:div>
    <w:div w:id="571047592">
      <w:bodyDiv w:val="1"/>
      <w:marLeft w:val="0"/>
      <w:marRight w:val="0"/>
      <w:marTop w:val="0"/>
      <w:marBottom w:val="0"/>
      <w:divBdr>
        <w:top w:val="none" w:sz="0" w:space="0" w:color="auto"/>
        <w:left w:val="none" w:sz="0" w:space="0" w:color="auto"/>
        <w:bottom w:val="none" w:sz="0" w:space="0" w:color="auto"/>
        <w:right w:val="none" w:sz="0" w:space="0" w:color="auto"/>
      </w:divBdr>
    </w:div>
    <w:div w:id="571081951">
      <w:bodyDiv w:val="1"/>
      <w:marLeft w:val="0"/>
      <w:marRight w:val="0"/>
      <w:marTop w:val="0"/>
      <w:marBottom w:val="0"/>
      <w:divBdr>
        <w:top w:val="none" w:sz="0" w:space="0" w:color="auto"/>
        <w:left w:val="none" w:sz="0" w:space="0" w:color="auto"/>
        <w:bottom w:val="none" w:sz="0" w:space="0" w:color="auto"/>
        <w:right w:val="none" w:sz="0" w:space="0" w:color="auto"/>
      </w:divBdr>
    </w:div>
    <w:div w:id="571082602">
      <w:bodyDiv w:val="1"/>
      <w:marLeft w:val="0"/>
      <w:marRight w:val="0"/>
      <w:marTop w:val="0"/>
      <w:marBottom w:val="0"/>
      <w:divBdr>
        <w:top w:val="none" w:sz="0" w:space="0" w:color="auto"/>
        <w:left w:val="none" w:sz="0" w:space="0" w:color="auto"/>
        <w:bottom w:val="none" w:sz="0" w:space="0" w:color="auto"/>
        <w:right w:val="none" w:sz="0" w:space="0" w:color="auto"/>
      </w:divBdr>
    </w:div>
    <w:div w:id="571082762">
      <w:bodyDiv w:val="1"/>
      <w:marLeft w:val="0"/>
      <w:marRight w:val="0"/>
      <w:marTop w:val="0"/>
      <w:marBottom w:val="0"/>
      <w:divBdr>
        <w:top w:val="none" w:sz="0" w:space="0" w:color="auto"/>
        <w:left w:val="none" w:sz="0" w:space="0" w:color="auto"/>
        <w:bottom w:val="none" w:sz="0" w:space="0" w:color="auto"/>
        <w:right w:val="none" w:sz="0" w:space="0" w:color="auto"/>
      </w:divBdr>
    </w:div>
    <w:div w:id="571306742">
      <w:bodyDiv w:val="1"/>
      <w:marLeft w:val="0"/>
      <w:marRight w:val="0"/>
      <w:marTop w:val="0"/>
      <w:marBottom w:val="0"/>
      <w:divBdr>
        <w:top w:val="none" w:sz="0" w:space="0" w:color="auto"/>
        <w:left w:val="none" w:sz="0" w:space="0" w:color="auto"/>
        <w:bottom w:val="none" w:sz="0" w:space="0" w:color="auto"/>
        <w:right w:val="none" w:sz="0" w:space="0" w:color="auto"/>
      </w:divBdr>
    </w:div>
    <w:div w:id="571307934">
      <w:bodyDiv w:val="1"/>
      <w:marLeft w:val="0"/>
      <w:marRight w:val="0"/>
      <w:marTop w:val="0"/>
      <w:marBottom w:val="0"/>
      <w:divBdr>
        <w:top w:val="none" w:sz="0" w:space="0" w:color="auto"/>
        <w:left w:val="none" w:sz="0" w:space="0" w:color="auto"/>
        <w:bottom w:val="none" w:sz="0" w:space="0" w:color="auto"/>
        <w:right w:val="none" w:sz="0" w:space="0" w:color="auto"/>
      </w:divBdr>
    </w:div>
    <w:div w:id="571353799">
      <w:bodyDiv w:val="1"/>
      <w:marLeft w:val="0"/>
      <w:marRight w:val="0"/>
      <w:marTop w:val="0"/>
      <w:marBottom w:val="0"/>
      <w:divBdr>
        <w:top w:val="none" w:sz="0" w:space="0" w:color="auto"/>
        <w:left w:val="none" w:sz="0" w:space="0" w:color="auto"/>
        <w:bottom w:val="none" w:sz="0" w:space="0" w:color="auto"/>
        <w:right w:val="none" w:sz="0" w:space="0" w:color="auto"/>
      </w:divBdr>
    </w:div>
    <w:div w:id="571428953">
      <w:bodyDiv w:val="1"/>
      <w:marLeft w:val="0"/>
      <w:marRight w:val="0"/>
      <w:marTop w:val="0"/>
      <w:marBottom w:val="0"/>
      <w:divBdr>
        <w:top w:val="none" w:sz="0" w:space="0" w:color="auto"/>
        <w:left w:val="none" w:sz="0" w:space="0" w:color="auto"/>
        <w:bottom w:val="none" w:sz="0" w:space="0" w:color="auto"/>
        <w:right w:val="none" w:sz="0" w:space="0" w:color="auto"/>
      </w:divBdr>
    </w:div>
    <w:div w:id="571547313">
      <w:bodyDiv w:val="1"/>
      <w:marLeft w:val="0"/>
      <w:marRight w:val="0"/>
      <w:marTop w:val="0"/>
      <w:marBottom w:val="0"/>
      <w:divBdr>
        <w:top w:val="none" w:sz="0" w:space="0" w:color="auto"/>
        <w:left w:val="none" w:sz="0" w:space="0" w:color="auto"/>
        <w:bottom w:val="none" w:sz="0" w:space="0" w:color="auto"/>
        <w:right w:val="none" w:sz="0" w:space="0" w:color="auto"/>
      </w:divBdr>
    </w:div>
    <w:div w:id="571820840">
      <w:bodyDiv w:val="1"/>
      <w:marLeft w:val="0"/>
      <w:marRight w:val="0"/>
      <w:marTop w:val="0"/>
      <w:marBottom w:val="0"/>
      <w:divBdr>
        <w:top w:val="none" w:sz="0" w:space="0" w:color="auto"/>
        <w:left w:val="none" w:sz="0" w:space="0" w:color="auto"/>
        <w:bottom w:val="none" w:sz="0" w:space="0" w:color="auto"/>
        <w:right w:val="none" w:sz="0" w:space="0" w:color="auto"/>
      </w:divBdr>
    </w:div>
    <w:div w:id="572004573">
      <w:bodyDiv w:val="1"/>
      <w:marLeft w:val="0"/>
      <w:marRight w:val="0"/>
      <w:marTop w:val="0"/>
      <w:marBottom w:val="0"/>
      <w:divBdr>
        <w:top w:val="none" w:sz="0" w:space="0" w:color="auto"/>
        <w:left w:val="none" w:sz="0" w:space="0" w:color="auto"/>
        <w:bottom w:val="none" w:sz="0" w:space="0" w:color="auto"/>
        <w:right w:val="none" w:sz="0" w:space="0" w:color="auto"/>
      </w:divBdr>
    </w:div>
    <w:div w:id="572202201">
      <w:bodyDiv w:val="1"/>
      <w:marLeft w:val="0"/>
      <w:marRight w:val="0"/>
      <w:marTop w:val="0"/>
      <w:marBottom w:val="0"/>
      <w:divBdr>
        <w:top w:val="none" w:sz="0" w:space="0" w:color="auto"/>
        <w:left w:val="none" w:sz="0" w:space="0" w:color="auto"/>
        <w:bottom w:val="none" w:sz="0" w:space="0" w:color="auto"/>
        <w:right w:val="none" w:sz="0" w:space="0" w:color="auto"/>
      </w:divBdr>
    </w:div>
    <w:div w:id="572356788">
      <w:bodyDiv w:val="1"/>
      <w:marLeft w:val="0"/>
      <w:marRight w:val="0"/>
      <w:marTop w:val="0"/>
      <w:marBottom w:val="0"/>
      <w:divBdr>
        <w:top w:val="none" w:sz="0" w:space="0" w:color="auto"/>
        <w:left w:val="none" w:sz="0" w:space="0" w:color="auto"/>
        <w:bottom w:val="none" w:sz="0" w:space="0" w:color="auto"/>
        <w:right w:val="none" w:sz="0" w:space="0" w:color="auto"/>
      </w:divBdr>
    </w:div>
    <w:div w:id="572543715">
      <w:bodyDiv w:val="1"/>
      <w:marLeft w:val="0"/>
      <w:marRight w:val="0"/>
      <w:marTop w:val="0"/>
      <w:marBottom w:val="0"/>
      <w:divBdr>
        <w:top w:val="none" w:sz="0" w:space="0" w:color="auto"/>
        <w:left w:val="none" w:sz="0" w:space="0" w:color="auto"/>
        <w:bottom w:val="none" w:sz="0" w:space="0" w:color="auto"/>
        <w:right w:val="none" w:sz="0" w:space="0" w:color="auto"/>
      </w:divBdr>
    </w:div>
    <w:div w:id="572544842">
      <w:bodyDiv w:val="1"/>
      <w:marLeft w:val="0"/>
      <w:marRight w:val="0"/>
      <w:marTop w:val="0"/>
      <w:marBottom w:val="0"/>
      <w:divBdr>
        <w:top w:val="none" w:sz="0" w:space="0" w:color="auto"/>
        <w:left w:val="none" w:sz="0" w:space="0" w:color="auto"/>
        <w:bottom w:val="none" w:sz="0" w:space="0" w:color="auto"/>
        <w:right w:val="none" w:sz="0" w:space="0" w:color="auto"/>
      </w:divBdr>
    </w:div>
    <w:div w:id="572547510">
      <w:bodyDiv w:val="1"/>
      <w:marLeft w:val="0"/>
      <w:marRight w:val="0"/>
      <w:marTop w:val="0"/>
      <w:marBottom w:val="0"/>
      <w:divBdr>
        <w:top w:val="none" w:sz="0" w:space="0" w:color="auto"/>
        <w:left w:val="none" w:sz="0" w:space="0" w:color="auto"/>
        <w:bottom w:val="none" w:sz="0" w:space="0" w:color="auto"/>
        <w:right w:val="none" w:sz="0" w:space="0" w:color="auto"/>
      </w:divBdr>
    </w:div>
    <w:div w:id="572591539">
      <w:bodyDiv w:val="1"/>
      <w:marLeft w:val="0"/>
      <w:marRight w:val="0"/>
      <w:marTop w:val="0"/>
      <w:marBottom w:val="0"/>
      <w:divBdr>
        <w:top w:val="none" w:sz="0" w:space="0" w:color="auto"/>
        <w:left w:val="none" w:sz="0" w:space="0" w:color="auto"/>
        <w:bottom w:val="none" w:sz="0" w:space="0" w:color="auto"/>
        <w:right w:val="none" w:sz="0" w:space="0" w:color="auto"/>
      </w:divBdr>
    </w:div>
    <w:div w:id="572617406">
      <w:bodyDiv w:val="1"/>
      <w:marLeft w:val="0"/>
      <w:marRight w:val="0"/>
      <w:marTop w:val="0"/>
      <w:marBottom w:val="0"/>
      <w:divBdr>
        <w:top w:val="none" w:sz="0" w:space="0" w:color="auto"/>
        <w:left w:val="none" w:sz="0" w:space="0" w:color="auto"/>
        <w:bottom w:val="none" w:sz="0" w:space="0" w:color="auto"/>
        <w:right w:val="none" w:sz="0" w:space="0" w:color="auto"/>
      </w:divBdr>
    </w:div>
    <w:div w:id="572740506">
      <w:bodyDiv w:val="1"/>
      <w:marLeft w:val="0"/>
      <w:marRight w:val="0"/>
      <w:marTop w:val="0"/>
      <w:marBottom w:val="0"/>
      <w:divBdr>
        <w:top w:val="none" w:sz="0" w:space="0" w:color="auto"/>
        <w:left w:val="none" w:sz="0" w:space="0" w:color="auto"/>
        <w:bottom w:val="none" w:sz="0" w:space="0" w:color="auto"/>
        <w:right w:val="none" w:sz="0" w:space="0" w:color="auto"/>
      </w:divBdr>
    </w:div>
    <w:div w:id="572812801">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572861796">
      <w:bodyDiv w:val="1"/>
      <w:marLeft w:val="0"/>
      <w:marRight w:val="0"/>
      <w:marTop w:val="0"/>
      <w:marBottom w:val="0"/>
      <w:divBdr>
        <w:top w:val="none" w:sz="0" w:space="0" w:color="auto"/>
        <w:left w:val="none" w:sz="0" w:space="0" w:color="auto"/>
        <w:bottom w:val="none" w:sz="0" w:space="0" w:color="auto"/>
        <w:right w:val="none" w:sz="0" w:space="0" w:color="auto"/>
      </w:divBdr>
    </w:div>
    <w:div w:id="572928935">
      <w:bodyDiv w:val="1"/>
      <w:marLeft w:val="0"/>
      <w:marRight w:val="0"/>
      <w:marTop w:val="0"/>
      <w:marBottom w:val="0"/>
      <w:divBdr>
        <w:top w:val="none" w:sz="0" w:space="0" w:color="auto"/>
        <w:left w:val="none" w:sz="0" w:space="0" w:color="auto"/>
        <w:bottom w:val="none" w:sz="0" w:space="0" w:color="auto"/>
        <w:right w:val="none" w:sz="0" w:space="0" w:color="auto"/>
      </w:divBdr>
    </w:div>
    <w:div w:id="573008839">
      <w:bodyDiv w:val="1"/>
      <w:marLeft w:val="0"/>
      <w:marRight w:val="0"/>
      <w:marTop w:val="0"/>
      <w:marBottom w:val="0"/>
      <w:divBdr>
        <w:top w:val="none" w:sz="0" w:space="0" w:color="auto"/>
        <w:left w:val="none" w:sz="0" w:space="0" w:color="auto"/>
        <w:bottom w:val="none" w:sz="0" w:space="0" w:color="auto"/>
        <w:right w:val="none" w:sz="0" w:space="0" w:color="auto"/>
      </w:divBdr>
    </w:div>
    <w:div w:id="573009218">
      <w:bodyDiv w:val="1"/>
      <w:marLeft w:val="0"/>
      <w:marRight w:val="0"/>
      <w:marTop w:val="0"/>
      <w:marBottom w:val="0"/>
      <w:divBdr>
        <w:top w:val="none" w:sz="0" w:space="0" w:color="auto"/>
        <w:left w:val="none" w:sz="0" w:space="0" w:color="auto"/>
        <w:bottom w:val="none" w:sz="0" w:space="0" w:color="auto"/>
        <w:right w:val="none" w:sz="0" w:space="0" w:color="auto"/>
      </w:divBdr>
    </w:div>
    <w:div w:id="573198807">
      <w:bodyDiv w:val="1"/>
      <w:marLeft w:val="0"/>
      <w:marRight w:val="0"/>
      <w:marTop w:val="0"/>
      <w:marBottom w:val="0"/>
      <w:divBdr>
        <w:top w:val="none" w:sz="0" w:space="0" w:color="auto"/>
        <w:left w:val="none" w:sz="0" w:space="0" w:color="auto"/>
        <w:bottom w:val="none" w:sz="0" w:space="0" w:color="auto"/>
        <w:right w:val="none" w:sz="0" w:space="0" w:color="auto"/>
      </w:divBdr>
    </w:div>
    <w:div w:id="573201996">
      <w:bodyDiv w:val="1"/>
      <w:marLeft w:val="0"/>
      <w:marRight w:val="0"/>
      <w:marTop w:val="0"/>
      <w:marBottom w:val="0"/>
      <w:divBdr>
        <w:top w:val="none" w:sz="0" w:space="0" w:color="auto"/>
        <w:left w:val="none" w:sz="0" w:space="0" w:color="auto"/>
        <w:bottom w:val="none" w:sz="0" w:space="0" w:color="auto"/>
        <w:right w:val="none" w:sz="0" w:space="0" w:color="auto"/>
      </w:divBdr>
    </w:div>
    <w:div w:id="573395504">
      <w:bodyDiv w:val="1"/>
      <w:marLeft w:val="0"/>
      <w:marRight w:val="0"/>
      <w:marTop w:val="0"/>
      <w:marBottom w:val="0"/>
      <w:divBdr>
        <w:top w:val="none" w:sz="0" w:space="0" w:color="auto"/>
        <w:left w:val="none" w:sz="0" w:space="0" w:color="auto"/>
        <w:bottom w:val="none" w:sz="0" w:space="0" w:color="auto"/>
        <w:right w:val="none" w:sz="0" w:space="0" w:color="auto"/>
      </w:divBdr>
    </w:div>
    <w:div w:id="573441857">
      <w:bodyDiv w:val="1"/>
      <w:marLeft w:val="0"/>
      <w:marRight w:val="0"/>
      <w:marTop w:val="0"/>
      <w:marBottom w:val="0"/>
      <w:divBdr>
        <w:top w:val="none" w:sz="0" w:space="0" w:color="auto"/>
        <w:left w:val="none" w:sz="0" w:space="0" w:color="auto"/>
        <w:bottom w:val="none" w:sz="0" w:space="0" w:color="auto"/>
        <w:right w:val="none" w:sz="0" w:space="0" w:color="auto"/>
      </w:divBdr>
    </w:div>
    <w:div w:id="573469785">
      <w:bodyDiv w:val="1"/>
      <w:marLeft w:val="0"/>
      <w:marRight w:val="0"/>
      <w:marTop w:val="0"/>
      <w:marBottom w:val="0"/>
      <w:divBdr>
        <w:top w:val="none" w:sz="0" w:space="0" w:color="auto"/>
        <w:left w:val="none" w:sz="0" w:space="0" w:color="auto"/>
        <w:bottom w:val="none" w:sz="0" w:space="0" w:color="auto"/>
        <w:right w:val="none" w:sz="0" w:space="0" w:color="auto"/>
      </w:divBdr>
    </w:div>
    <w:div w:id="573511483">
      <w:bodyDiv w:val="1"/>
      <w:marLeft w:val="0"/>
      <w:marRight w:val="0"/>
      <w:marTop w:val="0"/>
      <w:marBottom w:val="0"/>
      <w:divBdr>
        <w:top w:val="none" w:sz="0" w:space="0" w:color="auto"/>
        <w:left w:val="none" w:sz="0" w:space="0" w:color="auto"/>
        <w:bottom w:val="none" w:sz="0" w:space="0" w:color="auto"/>
        <w:right w:val="none" w:sz="0" w:space="0" w:color="auto"/>
      </w:divBdr>
    </w:div>
    <w:div w:id="573661210">
      <w:bodyDiv w:val="1"/>
      <w:marLeft w:val="0"/>
      <w:marRight w:val="0"/>
      <w:marTop w:val="0"/>
      <w:marBottom w:val="0"/>
      <w:divBdr>
        <w:top w:val="none" w:sz="0" w:space="0" w:color="auto"/>
        <w:left w:val="none" w:sz="0" w:space="0" w:color="auto"/>
        <w:bottom w:val="none" w:sz="0" w:space="0" w:color="auto"/>
        <w:right w:val="none" w:sz="0" w:space="0" w:color="auto"/>
      </w:divBdr>
    </w:div>
    <w:div w:id="573662880">
      <w:bodyDiv w:val="1"/>
      <w:marLeft w:val="0"/>
      <w:marRight w:val="0"/>
      <w:marTop w:val="0"/>
      <w:marBottom w:val="0"/>
      <w:divBdr>
        <w:top w:val="none" w:sz="0" w:space="0" w:color="auto"/>
        <w:left w:val="none" w:sz="0" w:space="0" w:color="auto"/>
        <w:bottom w:val="none" w:sz="0" w:space="0" w:color="auto"/>
        <w:right w:val="none" w:sz="0" w:space="0" w:color="auto"/>
      </w:divBdr>
    </w:div>
    <w:div w:id="573708939">
      <w:bodyDiv w:val="1"/>
      <w:marLeft w:val="0"/>
      <w:marRight w:val="0"/>
      <w:marTop w:val="0"/>
      <w:marBottom w:val="0"/>
      <w:divBdr>
        <w:top w:val="none" w:sz="0" w:space="0" w:color="auto"/>
        <w:left w:val="none" w:sz="0" w:space="0" w:color="auto"/>
        <w:bottom w:val="none" w:sz="0" w:space="0" w:color="auto"/>
        <w:right w:val="none" w:sz="0" w:space="0" w:color="auto"/>
      </w:divBdr>
    </w:div>
    <w:div w:id="573972384">
      <w:bodyDiv w:val="1"/>
      <w:marLeft w:val="0"/>
      <w:marRight w:val="0"/>
      <w:marTop w:val="0"/>
      <w:marBottom w:val="0"/>
      <w:divBdr>
        <w:top w:val="none" w:sz="0" w:space="0" w:color="auto"/>
        <w:left w:val="none" w:sz="0" w:space="0" w:color="auto"/>
        <w:bottom w:val="none" w:sz="0" w:space="0" w:color="auto"/>
        <w:right w:val="none" w:sz="0" w:space="0" w:color="auto"/>
      </w:divBdr>
    </w:div>
    <w:div w:id="574167325">
      <w:bodyDiv w:val="1"/>
      <w:marLeft w:val="0"/>
      <w:marRight w:val="0"/>
      <w:marTop w:val="0"/>
      <w:marBottom w:val="0"/>
      <w:divBdr>
        <w:top w:val="none" w:sz="0" w:space="0" w:color="auto"/>
        <w:left w:val="none" w:sz="0" w:space="0" w:color="auto"/>
        <w:bottom w:val="none" w:sz="0" w:space="0" w:color="auto"/>
        <w:right w:val="none" w:sz="0" w:space="0" w:color="auto"/>
      </w:divBdr>
    </w:div>
    <w:div w:id="574171953">
      <w:bodyDiv w:val="1"/>
      <w:marLeft w:val="0"/>
      <w:marRight w:val="0"/>
      <w:marTop w:val="0"/>
      <w:marBottom w:val="0"/>
      <w:divBdr>
        <w:top w:val="none" w:sz="0" w:space="0" w:color="auto"/>
        <w:left w:val="none" w:sz="0" w:space="0" w:color="auto"/>
        <w:bottom w:val="none" w:sz="0" w:space="0" w:color="auto"/>
        <w:right w:val="none" w:sz="0" w:space="0" w:color="auto"/>
      </w:divBdr>
    </w:div>
    <w:div w:id="574362475">
      <w:bodyDiv w:val="1"/>
      <w:marLeft w:val="0"/>
      <w:marRight w:val="0"/>
      <w:marTop w:val="0"/>
      <w:marBottom w:val="0"/>
      <w:divBdr>
        <w:top w:val="none" w:sz="0" w:space="0" w:color="auto"/>
        <w:left w:val="none" w:sz="0" w:space="0" w:color="auto"/>
        <w:bottom w:val="none" w:sz="0" w:space="0" w:color="auto"/>
        <w:right w:val="none" w:sz="0" w:space="0" w:color="auto"/>
      </w:divBdr>
    </w:div>
    <w:div w:id="574432349">
      <w:bodyDiv w:val="1"/>
      <w:marLeft w:val="0"/>
      <w:marRight w:val="0"/>
      <w:marTop w:val="0"/>
      <w:marBottom w:val="0"/>
      <w:divBdr>
        <w:top w:val="none" w:sz="0" w:space="0" w:color="auto"/>
        <w:left w:val="none" w:sz="0" w:space="0" w:color="auto"/>
        <w:bottom w:val="none" w:sz="0" w:space="0" w:color="auto"/>
        <w:right w:val="none" w:sz="0" w:space="0" w:color="auto"/>
      </w:divBdr>
    </w:div>
    <w:div w:id="574586286">
      <w:bodyDiv w:val="1"/>
      <w:marLeft w:val="0"/>
      <w:marRight w:val="0"/>
      <w:marTop w:val="0"/>
      <w:marBottom w:val="0"/>
      <w:divBdr>
        <w:top w:val="none" w:sz="0" w:space="0" w:color="auto"/>
        <w:left w:val="none" w:sz="0" w:space="0" w:color="auto"/>
        <w:bottom w:val="none" w:sz="0" w:space="0" w:color="auto"/>
        <w:right w:val="none" w:sz="0" w:space="0" w:color="auto"/>
      </w:divBdr>
    </w:div>
    <w:div w:id="574629128">
      <w:bodyDiv w:val="1"/>
      <w:marLeft w:val="0"/>
      <w:marRight w:val="0"/>
      <w:marTop w:val="0"/>
      <w:marBottom w:val="0"/>
      <w:divBdr>
        <w:top w:val="none" w:sz="0" w:space="0" w:color="auto"/>
        <w:left w:val="none" w:sz="0" w:space="0" w:color="auto"/>
        <w:bottom w:val="none" w:sz="0" w:space="0" w:color="auto"/>
        <w:right w:val="none" w:sz="0" w:space="0" w:color="auto"/>
      </w:divBdr>
    </w:div>
    <w:div w:id="574704399">
      <w:bodyDiv w:val="1"/>
      <w:marLeft w:val="0"/>
      <w:marRight w:val="0"/>
      <w:marTop w:val="0"/>
      <w:marBottom w:val="0"/>
      <w:divBdr>
        <w:top w:val="none" w:sz="0" w:space="0" w:color="auto"/>
        <w:left w:val="none" w:sz="0" w:space="0" w:color="auto"/>
        <w:bottom w:val="none" w:sz="0" w:space="0" w:color="auto"/>
        <w:right w:val="none" w:sz="0" w:space="0" w:color="auto"/>
      </w:divBdr>
    </w:div>
    <w:div w:id="574707712">
      <w:bodyDiv w:val="1"/>
      <w:marLeft w:val="0"/>
      <w:marRight w:val="0"/>
      <w:marTop w:val="0"/>
      <w:marBottom w:val="0"/>
      <w:divBdr>
        <w:top w:val="none" w:sz="0" w:space="0" w:color="auto"/>
        <w:left w:val="none" w:sz="0" w:space="0" w:color="auto"/>
        <w:bottom w:val="none" w:sz="0" w:space="0" w:color="auto"/>
        <w:right w:val="none" w:sz="0" w:space="0" w:color="auto"/>
      </w:divBdr>
    </w:div>
    <w:div w:id="574709553">
      <w:bodyDiv w:val="1"/>
      <w:marLeft w:val="0"/>
      <w:marRight w:val="0"/>
      <w:marTop w:val="0"/>
      <w:marBottom w:val="0"/>
      <w:divBdr>
        <w:top w:val="none" w:sz="0" w:space="0" w:color="auto"/>
        <w:left w:val="none" w:sz="0" w:space="0" w:color="auto"/>
        <w:bottom w:val="none" w:sz="0" w:space="0" w:color="auto"/>
        <w:right w:val="none" w:sz="0" w:space="0" w:color="auto"/>
      </w:divBdr>
    </w:div>
    <w:div w:id="574777867">
      <w:bodyDiv w:val="1"/>
      <w:marLeft w:val="0"/>
      <w:marRight w:val="0"/>
      <w:marTop w:val="0"/>
      <w:marBottom w:val="0"/>
      <w:divBdr>
        <w:top w:val="none" w:sz="0" w:space="0" w:color="auto"/>
        <w:left w:val="none" w:sz="0" w:space="0" w:color="auto"/>
        <w:bottom w:val="none" w:sz="0" w:space="0" w:color="auto"/>
        <w:right w:val="none" w:sz="0" w:space="0" w:color="auto"/>
      </w:divBdr>
    </w:div>
    <w:div w:id="574780135">
      <w:bodyDiv w:val="1"/>
      <w:marLeft w:val="0"/>
      <w:marRight w:val="0"/>
      <w:marTop w:val="0"/>
      <w:marBottom w:val="0"/>
      <w:divBdr>
        <w:top w:val="none" w:sz="0" w:space="0" w:color="auto"/>
        <w:left w:val="none" w:sz="0" w:space="0" w:color="auto"/>
        <w:bottom w:val="none" w:sz="0" w:space="0" w:color="auto"/>
        <w:right w:val="none" w:sz="0" w:space="0" w:color="auto"/>
      </w:divBdr>
    </w:div>
    <w:div w:id="574782714">
      <w:bodyDiv w:val="1"/>
      <w:marLeft w:val="0"/>
      <w:marRight w:val="0"/>
      <w:marTop w:val="0"/>
      <w:marBottom w:val="0"/>
      <w:divBdr>
        <w:top w:val="none" w:sz="0" w:space="0" w:color="auto"/>
        <w:left w:val="none" w:sz="0" w:space="0" w:color="auto"/>
        <w:bottom w:val="none" w:sz="0" w:space="0" w:color="auto"/>
        <w:right w:val="none" w:sz="0" w:space="0" w:color="auto"/>
      </w:divBdr>
    </w:div>
    <w:div w:id="574900269">
      <w:bodyDiv w:val="1"/>
      <w:marLeft w:val="0"/>
      <w:marRight w:val="0"/>
      <w:marTop w:val="0"/>
      <w:marBottom w:val="0"/>
      <w:divBdr>
        <w:top w:val="none" w:sz="0" w:space="0" w:color="auto"/>
        <w:left w:val="none" w:sz="0" w:space="0" w:color="auto"/>
        <w:bottom w:val="none" w:sz="0" w:space="0" w:color="auto"/>
        <w:right w:val="none" w:sz="0" w:space="0" w:color="auto"/>
      </w:divBdr>
    </w:div>
    <w:div w:id="575020424">
      <w:bodyDiv w:val="1"/>
      <w:marLeft w:val="0"/>
      <w:marRight w:val="0"/>
      <w:marTop w:val="0"/>
      <w:marBottom w:val="0"/>
      <w:divBdr>
        <w:top w:val="none" w:sz="0" w:space="0" w:color="auto"/>
        <w:left w:val="none" w:sz="0" w:space="0" w:color="auto"/>
        <w:bottom w:val="none" w:sz="0" w:space="0" w:color="auto"/>
        <w:right w:val="none" w:sz="0" w:space="0" w:color="auto"/>
      </w:divBdr>
    </w:div>
    <w:div w:id="575095014">
      <w:bodyDiv w:val="1"/>
      <w:marLeft w:val="0"/>
      <w:marRight w:val="0"/>
      <w:marTop w:val="0"/>
      <w:marBottom w:val="0"/>
      <w:divBdr>
        <w:top w:val="none" w:sz="0" w:space="0" w:color="auto"/>
        <w:left w:val="none" w:sz="0" w:space="0" w:color="auto"/>
        <w:bottom w:val="none" w:sz="0" w:space="0" w:color="auto"/>
        <w:right w:val="none" w:sz="0" w:space="0" w:color="auto"/>
      </w:divBdr>
    </w:div>
    <w:div w:id="575170637">
      <w:bodyDiv w:val="1"/>
      <w:marLeft w:val="0"/>
      <w:marRight w:val="0"/>
      <w:marTop w:val="0"/>
      <w:marBottom w:val="0"/>
      <w:divBdr>
        <w:top w:val="none" w:sz="0" w:space="0" w:color="auto"/>
        <w:left w:val="none" w:sz="0" w:space="0" w:color="auto"/>
        <w:bottom w:val="none" w:sz="0" w:space="0" w:color="auto"/>
        <w:right w:val="none" w:sz="0" w:space="0" w:color="auto"/>
      </w:divBdr>
    </w:div>
    <w:div w:id="575170755">
      <w:bodyDiv w:val="1"/>
      <w:marLeft w:val="0"/>
      <w:marRight w:val="0"/>
      <w:marTop w:val="0"/>
      <w:marBottom w:val="0"/>
      <w:divBdr>
        <w:top w:val="none" w:sz="0" w:space="0" w:color="auto"/>
        <w:left w:val="none" w:sz="0" w:space="0" w:color="auto"/>
        <w:bottom w:val="none" w:sz="0" w:space="0" w:color="auto"/>
        <w:right w:val="none" w:sz="0" w:space="0" w:color="auto"/>
      </w:divBdr>
    </w:div>
    <w:div w:id="575240593">
      <w:bodyDiv w:val="1"/>
      <w:marLeft w:val="0"/>
      <w:marRight w:val="0"/>
      <w:marTop w:val="0"/>
      <w:marBottom w:val="0"/>
      <w:divBdr>
        <w:top w:val="none" w:sz="0" w:space="0" w:color="auto"/>
        <w:left w:val="none" w:sz="0" w:space="0" w:color="auto"/>
        <w:bottom w:val="none" w:sz="0" w:space="0" w:color="auto"/>
        <w:right w:val="none" w:sz="0" w:space="0" w:color="auto"/>
      </w:divBdr>
    </w:div>
    <w:div w:id="575281540">
      <w:bodyDiv w:val="1"/>
      <w:marLeft w:val="0"/>
      <w:marRight w:val="0"/>
      <w:marTop w:val="0"/>
      <w:marBottom w:val="0"/>
      <w:divBdr>
        <w:top w:val="none" w:sz="0" w:space="0" w:color="auto"/>
        <w:left w:val="none" w:sz="0" w:space="0" w:color="auto"/>
        <w:bottom w:val="none" w:sz="0" w:space="0" w:color="auto"/>
        <w:right w:val="none" w:sz="0" w:space="0" w:color="auto"/>
      </w:divBdr>
    </w:div>
    <w:div w:id="575356594">
      <w:bodyDiv w:val="1"/>
      <w:marLeft w:val="0"/>
      <w:marRight w:val="0"/>
      <w:marTop w:val="0"/>
      <w:marBottom w:val="0"/>
      <w:divBdr>
        <w:top w:val="none" w:sz="0" w:space="0" w:color="auto"/>
        <w:left w:val="none" w:sz="0" w:space="0" w:color="auto"/>
        <w:bottom w:val="none" w:sz="0" w:space="0" w:color="auto"/>
        <w:right w:val="none" w:sz="0" w:space="0" w:color="auto"/>
      </w:divBdr>
    </w:div>
    <w:div w:id="575364674">
      <w:bodyDiv w:val="1"/>
      <w:marLeft w:val="0"/>
      <w:marRight w:val="0"/>
      <w:marTop w:val="0"/>
      <w:marBottom w:val="0"/>
      <w:divBdr>
        <w:top w:val="none" w:sz="0" w:space="0" w:color="auto"/>
        <w:left w:val="none" w:sz="0" w:space="0" w:color="auto"/>
        <w:bottom w:val="none" w:sz="0" w:space="0" w:color="auto"/>
        <w:right w:val="none" w:sz="0" w:space="0" w:color="auto"/>
      </w:divBdr>
    </w:div>
    <w:div w:id="575364882">
      <w:bodyDiv w:val="1"/>
      <w:marLeft w:val="0"/>
      <w:marRight w:val="0"/>
      <w:marTop w:val="0"/>
      <w:marBottom w:val="0"/>
      <w:divBdr>
        <w:top w:val="none" w:sz="0" w:space="0" w:color="auto"/>
        <w:left w:val="none" w:sz="0" w:space="0" w:color="auto"/>
        <w:bottom w:val="none" w:sz="0" w:space="0" w:color="auto"/>
        <w:right w:val="none" w:sz="0" w:space="0" w:color="auto"/>
      </w:divBdr>
    </w:div>
    <w:div w:id="575474226">
      <w:bodyDiv w:val="1"/>
      <w:marLeft w:val="0"/>
      <w:marRight w:val="0"/>
      <w:marTop w:val="0"/>
      <w:marBottom w:val="0"/>
      <w:divBdr>
        <w:top w:val="none" w:sz="0" w:space="0" w:color="auto"/>
        <w:left w:val="none" w:sz="0" w:space="0" w:color="auto"/>
        <w:bottom w:val="none" w:sz="0" w:space="0" w:color="auto"/>
        <w:right w:val="none" w:sz="0" w:space="0" w:color="auto"/>
      </w:divBdr>
    </w:div>
    <w:div w:id="575551299">
      <w:bodyDiv w:val="1"/>
      <w:marLeft w:val="0"/>
      <w:marRight w:val="0"/>
      <w:marTop w:val="0"/>
      <w:marBottom w:val="0"/>
      <w:divBdr>
        <w:top w:val="none" w:sz="0" w:space="0" w:color="auto"/>
        <w:left w:val="none" w:sz="0" w:space="0" w:color="auto"/>
        <w:bottom w:val="none" w:sz="0" w:space="0" w:color="auto"/>
        <w:right w:val="none" w:sz="0" w:space="0" w:color="auto"/>
      </w:divBdr>
    </w:div>
    <w:div w:id="575554616">
      <w:bodyDiv w:val="1"/>
      <w:marLeft w:val="0"/>
      <w:marRight w:val="0"/>
      <w:marTop w:val="0"/>
      <w:marBottom w:val="0"/>
      <w:divBdr>
        <w:top w:val="none" w:sz="0" w:space="0" w:color="auto"/>
        <w:left w:val="none" w:sz="0" w:space="0" w:color="auto"/>
        <w:bottom w:val="none" w:sz="0" w:space="0" w:color="auto"/>
        <w:right w:val="none" w:sz="0" w:space="0" w:color="auto"/>
      </w:divBdr>
    </w:div>
    <w:div w:id="575626432">
      <w:bodyDiv w:val="1"/>
      <w:marLeft w:val="0"/>
      <w:marRight w:val="0"/>
      <w:marTop w:val="0"/>
      <w:marBottom w:val="0"/>
      <w:divBdr>
        <w:top w:val="none" w:sz="0" w:space="0" w:color="auto"/>
        <w:left w:val="none" w:sz="0" w:space="0" w:color="auto"/>
        <w:bottom w:val="none" w:sz="0" w:space="0" w:color="auto"/>
        <w:right w:val="none" w:sz="0" w:space="0" w:color="auto"/>
      </w:divBdr>
    </w:div>
    <w:div w:id="575672289">
      <w:bodyDiv w:val="1"/>
      <w:marLeft w:val="0"/>
      <w:marRight w:val="0"/>
      <w:marTop w:val="0"/>
      <w:marBottom w:val="0"/>
      <w:divBdr>
        <w:top w:val="none" w:sz="0" w:space="0" w:color="auto"/>
        <w:left w:val="none" w:sz="0" w:space="0" w:color="auto"/>
        <w:bottom w:val="none" w:sz="0" w:space="0" w:color="auto"/>
        <w:right w:val="none" w:sz="0" w:space="0" w:color="auto"/>
      </w:divBdr>
    </w:div>
    <w:div w:id="575675326">
      <w:bodyDiv w:val="1"/>
      <w:marLeft w:val="0"/>
      <w:marRight w:val="0"/>
      <w:marTop w:val="0"/>
      <w:marBottom w:val="0"/>
      <w:divBdr>
        <w:top w:val="none" w:sz="0" w:space="0" w:color="auto"/>
        <w:left w:val="none" w:sz="0" w:space="0" w:color="auto"/>
        <w:bottom w:val="none" w:sz="0" w:space="0" w:color="auto"/>
        <w:right w:val="none" w:sz="0" w:space="0" w:color="auto"/>
      </w:divBdr>
    </w:div>
    <w:div w:id="575746750">
      <w:bodyDiv w:val="1"/>
      <w:marLeft w:val="0"/>
      <w:marRight w:val="0"/>
      <w:marTop w:val="0"/>
      <w:marBottom w:val="0"/>
      <w:divBdr>
        <w:top w:val="none" w:sz="0" w:space="0" w:color="auto"/>
        <w:left w:val="none" w:sz="0" w:space="0" w:color="auto"/>
        <w:bottom w:val="none" w:sz="0" w:space="0" w:color="auto"/>
        <w:right w:val="none" w:sz="0" w:space="0" w:color="auto"/>
      </w:divBdr>
    </w:div>
    <w:div w:id="575869361">
      <w:bodyDiv w:val="1"/>
      <w:marLeft w:val="0"/>
      <w:marRight w:val="0"/>
      <w:marTop w:val="0"/>
      <w:marBottom w:val="0"/>
      <w:divBdr>
        <w:top w:val="none" w:sz="0" w:space="0" w:color="auto"/>
        <w:left w:val="none" w:sz="0" w:space="0" w:color="auto"/>
        <w:bottom w:val="none" w:sz="0" w:space="0" w:color="auto"/>
        <w:right w:val="none" w:sz="0" w:space="0" w:color="auto"/>
      </w:divBdr>
    </w:div>
    <w:div w:id="576012808">
      <w:bodyDiv w:val="1"/>
      <w:marLeft w:val="0"/>
      <w:marRight w:val="0"/>
      <w:marTop w:val="0"/>
      <w:marBottom w:val="0"/>
      <w:divBdr>
        <w:top w:val="none" w:sz="0" w:space="0" w:color="auto"/>
        <w:left w:val="none" w:sz="0" w:space="0" w:color="auto"/>
        <w:bottom w:val="none" w:sz="0" w:space="0" w:color="auto"/>
        <w:right w:val="none" w:sz="0" w:space="0" w:color="auto"/>
      </w:divBdr>
    </w:div>
    <w:div w:id="576016105">
      <w:bodyDiv w:val="1"/>
      <w:marLeft w:val="0"/>
      <w:marRight w:val="0"/>
      <w:marTop w:val="0"/>
      <w:marBottom w:val="0"/>
      <w:divBdr>
        <w:top w:val="none" w:sz="0" w:space="0" w:color="auto"/>
        <w:left w:val="none" w:sz="0" w:space="0" w:color="auto"/>
        <w:bottom w:val="none" w:sz="0" w:space="0" w:color="auto"/>
        <w:right w:val="none" w:sz="0" w:space="0" w:color="auto"/>
      </w:divBdr>
    </w:div>
    <w:div w:id="576017848">
      <w:bodyDiv w:val="1"/>
      <w:marLeft w:val="0"/>
      <w:marRight w:val="0"/>
      <w:marTop w:val="0"/>
      <w:marBottom w:val="0"/>
      <w:divBdr>
        <w:top w:val="none" w:sz="0" w:space="0" w:color="auto"/>
        <w:left w:val="none" w:sz="0" w:space="0" w:color="auto"/>
        <w:bottom w:val="none" w:sz="0" w:space="0" w:color="auto"/>
        <w:right w:val="none" w:sz="0" w:space="0" w:color="auto"/>
      </w:divBdr>
    </w:div>
    <w:div w:id="576017851">
      <w:bodyDiv w:val="1"/>
      <w:marLeft w:val="0"/>
      <w:marRight w:val="0"/>
      <w:marTop w:val="0"/>
      <w:marBottom w:val="0"/>
      <w:divBdr>
        <w:top w:val="none" w:sz="0" w:space="0" w:color="auto"/>
        <w:left w:val="none" w:sz="0" w:space="0" w:color="auto"/>
        <w:bottom w:val="none" w:sz="0" w:space="0" w:color="auto"/>
        <w:right w:val="none" w:sz="0" w:space="0" w:color="auto"/>
      </w:divBdr>
    </w:div>
    <w:div w:id="576089180">
      <w:bodyDiv w:val="1"/>
      <w:marLeft w:val="0"/>
      <w:marRight w:val="0"/>
      <w:marTop w:val="0"/>
      <w:marBottom w:val="0"/>
      <w:divBdr>
        <w:top w:val="none" w:sz="0" w:space="0" w:color="auto"/>
        <w:left w:val="none" w:sz="0" w:space="0" w:color="auto"/>
        <w:bottom w:val="none" w:sz="0" w:space="0" w:color="auto"/>
        <w:right w:val="none" w:sz="0" w:space="0" w:color="auto"/>
      </w:divBdr>
    </w:div>
    <w:div w:id="576211369">
      <w:bodyDiv w:val="1"/>
      <w:marLeft w:val="0"/>
      <w:marRight w:val="0"/>
      <w:marTop w:val="0"/>
      <w:marBottom w:val="0"/>
      <w:divBdr>
        <w:top w:val="none" w:sz="0" w:space="0" w:color="auto"/>
        <w:left w:val="none" w:sz="0" w:space="0" w:color="auto"/>
        <w:bottom w:val="none" w:sz="0" w:space="0" w:color="auto"/>
        <w:right w:val="none" w:sz="0" w:space="0" w:color="auto"/>
      </w:divBdr>
    </w:div>
    <w:div w:id="576214255">
      <w:bodyDiv w:val="1"/>
      <w:marLeft w:val="0"/>
      <w:marRight w:val="0"/>
      <w:marTop w:val="0"/>
      <w:marBottom w:val="0"/>
      <w:divBdr>
        <w:top w:val="none" w:sz="0" w:space="0" w:color="auto"/>
        <w:left w:val="none" w:sz="0" w:space="0" w:color="auto"/>
        <w:bottom w:val="none" w:sz="0" w:space="0" w:color="auto"/>
        <w:right w:val="none" w:sz="0" w:space="0" w:color="auto"/>
      </w:divBdr>
    </w:div>
    <w:div w:id="576327896">
      <w:bodyDiv w:val="1"/>
      <w:marLeft w:val="0"/>
      <w:marRight w:val="0"/>
      <w:marTop w:val="0"/>
      <w:marBottom w:val="0"/>
      <w:divBdr>
        <w:top w:val="none" w:sz="0" w:space="0" w:color="auto"/>
        <w:left w:val="none" w:sz="0" w:space="0" w:color="auto"/>
        <w:bottom w:val="none" w:sz="0" w:space="0" w:color="auto"/>
        <w:right w:val="none" w:sz="0" w:space="0" w:color="auto"/>
      </w:divBdr>
    </w:div>
    <w:div w:id="576549442">
      <w:bodyDiv w:val="1"/>
      <w:marLeft w:val="0"/>
      <w:marRight w:val="0"/>
      <w:marTop w:val="0"/>
      <w:marBottom w:val="0"/>
      <w:divBdr>
        <w:top w:val="none" w:sz="0" w:space="0" w:color="auto"/>
        <w:left w:val="none" w:sz="0" w:space="0" w:color="auto"/>
        <w:bottom w:val="none" w:sz="0" w:space="0" w:color="auto"/>
        <w:right w:val="none" w:sz="0" w:space="0" w:color="auto"/>
      </w:divBdr>
    </w:div>
    <w:div w:id="576593633">
      <w:bodyDiv w:val="1"/>
      <w:marLeft w:val="0"/>
      <w:marRight w:val="0"/>
      <w:marTop w:val="0"/>
      <w:marBottom w:val="0"/>
      <w:divBdr>
        <w:top w:val="none" w:sz="0" w:space="0" w:color="auto"/>
        <w:left w:val="none" w:sz="0" w:space="0" w:color="auto"/>
        <w:bottom w:val="none" w:sz="0" w:space="0" w:color="auto"/>
        <w:right w:val="none" w:sz="0" w:space="0" w:color="auto"/>
      </w:divBdr>
    </w:div>
    <w:div w:id="576673967">
      <w:bodyDiv w:val="1"/>
      <w:marLeft w:val="0"/>
      <w:marRight w:val="0"/>
      <w:marTop w:val="0"/>
      <w:marBottom w:val="0"/>
      <w:divBdr>
        <w:top w:val="none" w:sz="0" w:space="0" w:color="auto"/>
        <w:left w:val="none" w:sz="0" w:space="0" w:color="auto"/>
        <w:bottom w:val="none" w:sz="0" w:space="0" w:color="auto"/>
        <w:right w:val="none" w:sz="0" w:space="0" w:color="auto"/>
      </w:divBdr>
    </w:div>
    <w:div w:id="576674737">
      <w:bodyDiv w:val="1"/>
      <w:marLeft w:val="0"/>
      <w:marRight w:val="0"/>
      <w:marTop w:val="0"/>
      <w:marBottom w:val="0"/>
      <w:divBdr>
        <w:top w:val="none" w:sz="0" w:space="0" w:color="auto"/>
        <w:left w:val="none" w:sz="0" w:space="0" w:color="auto"/>
        <w:bottom w:val="none" w:sz="0" w:space="0" w:color="auto"/>
        <w:right w:val="none" w:sz="0" w:space="0" w:color="auto"/>
      </w:divBdr>
    </w:div>
    <w:div w:id="576676247">
      <w:bodyDiv w:val="1"/>
      <w:marLeft w:val="0"/>
      <w:marRight w:val="0"/>
      <w:marTop w:val="0"/>
      <w:marBottom w:val="0"/>
      <w:divBdr>
        <w:top w:val="none" w:sz="0" w:space="0" w:color="auto"/>
        <w:left w:val="none" w:sz="0" w:space="0" w:color="auto"/>
        <w:bottom w:val="none" w:sz="0" w:space="0" w:color="auto"/>
        <w:right w:val="none" w:sz="0" w:space="0" w:color="auto"/>
      </w:divBdr>
    </w:div>
    <w:div w:id="576747168">
      <w:bodyDiv w:val="1"/>
      <w:marLeft w:val="0"/>
      <w:marRight w:val="0"/>
      <w:marTop w:val="0"/>
      <w:marBottom w:val="0"/>
      <w:divBdr>
        <w:top w:val="none" w:sz="0" w:space="0" w:color="auto"/>
        <w:left w:val="none" w:sz="0" w:space="0" w:color="auto"/>
        <w:bottom w:val="none" w:sz="0" w:space="0" w:color="auto"/>
        <w:right w:val="none" w:sz="0" w:space="0" w:color="auto"/>
      </w:divBdr>
    </w:div>
    <w:div w:id="576787156">
      <w:bodyDiv w:val="1"/>
      <w:marLeft w:val="0"/>
      <w:marRight w:val="0"/>
      <w:marTop w:val="0"/>
      <w:marBottom w:val="0"/>
      <w:divBdr>
        <w:top w:val="none" w:sz="0" w:space="0" w:color="auto"/>
        <w:left w:val="none" w:sz="0" w:space="0" w:color="auto"/>
        <w:bottom w:val="none" w:sz="0" w:space="0" w:color="auto"/>
        <w:right w:val="none" w:sz="0" w:space="0" w:color="auto"/>
      </w:divBdr>
    </w:div>
    <w:div w:id="576860969">
      <w:bodyDiv w:val="1"/>
      <w:marLeft w:val="0"/>
      <w:marRight w:val="0"/>
      <w:marTop w:val="0"/>
      <w:marBottom w:val="0"/>
      <w:divBdr>
        <w:top w:val="none" w:sz="0" w:space="0" w:color="auto"/>
        <w:left w:val="none" w:sz="0" w:space="0" w:color="auto"/>
        <w:bottom w:val="none" w:sz="0" w:space="0" w:color="auto"/>
        <w:right w:val="none" w:sz="0" w:space="0" w:color="auto"/>
      </w:divBdr>
    </w:div>
    <w:div w:id="576941609">
      <w:bodyDiv w:val="1"/>
      <w:marLeft w:val="0"/>
      <w:marRight w:val="0"/>
      <w:marTop w:val="0"/>
      <w:marBottom w:val="0"/>
      <w:divBdr>
        <w:top w:val="none" w:sz="0" w:space="0" w:color="auto"/>
        <w:left w:val="none" w:sz="0" w:space="0" w:color="auto"/>
        <w:bottom w:val="none" w:sz="0" w:space="0" w:color="auto"/>
        <w:right w:val="none" w:sz="0" w:space="0" w:color="auto"/>
      </w:divBdr>
    </w:div>
    <w:div w:id="576983391">
      <w:bodyDiv w:val="1"/>
      <w:marLeft w:val="0"/>
      <w:marRight w:val="0"/>
      <w:marTop w:val="0"/>
      <w:marBottom w:val="0"/>
      <w:divBdr>
        <w:top w:val="none" w:sz="0" w:space="0" w:color="auto"/>
        <w:left w:val="none" w:sz="0" w:space="0" w:color="auto"/>
        <w:bottom w:val="none" w:sz="0" w:space="0" w:color="auto"/>
        <w:right w:val="none" w:sz="0" w:space="0" w:color="auto"/>
      </w:divBdr>
    </w:div>
    <w:div w:id="576984237">
      <w:bodyDiv w:val="1"/>
      <w:marLeft w:val="0"/>
      <w:marRight w:val="0"/>
      <w:marTop w:val="0"/>
      <w:marBottom w:val="0"/>
      <w:divBdr>
        <w:top w:val="none" w:sz="0" w:space="0" w:color="auto"/>
        <w:left w:val="none" w:sz="0" w:space="0" w:color="auto"/>
        <w:bottom w:val="none" w:sz="0" w:space="0" w:color="auto"/>
        <w:right w:val="none" w:sz="0" w:space="0" w:color="auto"/>
      </w:divBdr>
    </w:div>
    <w:div w:id="577061152">
      <w:bodyDiv w:val="1"/>
      <w:marLeft w:val="0"/>
      <w:marRight w:val="0"/>
      <w:marTop w:val="0"/>
      <w:marBottom w:val="0"/>
      <w:divBdr>
        <w:top w:val="none" w:sz="0" w:space="0" w:color="auto"/>
        <w:left w:val="none" w:sz="0" w:space="0" w:color="auto"/>
        <w:bottom w:val="none" w:sz="0" w:space="0" w:color="auto"/>
        <w:right w:val="none" w:sz="0" w:space="0" w:color="auto"/>
      </w:divBdr>
    </w:div>
    <w:div w:id="577248494">
      <w:bodyDiv w:val="1"/>
      <w:marLeft w:val="0"/>
      <w:marRight w:val="0"/>
      <w:marTop w:val="0"/>
      <w:marBottom w:val="0"/>
      <w:divBdr>
        <w:top w:val="none" w:sz="0" w:space="0" w:color="auto"/>
        <w:left w:val="none" w:sz="0" w:space="0" w:color="auto"/>
        <w:bottom w:val="none" w:sz="0" w:space="0" w:color="auto"/>
        <w:right w:val="none" w:sz="0" w:space="0" w:color="auto"/>
      </w:divBdr>
    </w:div>
    <w:div w:id="577251761">
      <w:bodyDiv w:val="1"/>
      <w:marLeft w:val="0"/>
      <w:marRight w:val="0"/>
      <w:marTop w:val="0"/>
      <w:marBottom w:val="0"/>
      <w:divBdr>
        <w:top w:val="none" w:sz="0" w:space="0" w:color="auto"/>
        <w:left w:val="none" w:sz="0" w:space="0" w:color="auto"/>
        <w:bottom w:val="none" w:sz="0" w:space="0" w:color="auto"/>
        <w:right w:val="none" w:sz="0" w:space="0" w:color="auto"/>
      </w:divBdr>
    </w:div>
    <w:div w:id="577325335">
      <w:bodyDiv w:val="1"/>
      <w:marLeft w:val="0"/>
      <w:marRight w:val="0"/>
      <w:marTop w:val="0"/>
      <w:marBottom w:val="0"/>
      <w:divBdr>
        <w:top w:val="none" w:sz="0" w:space="0" w:color="auto"/>
        <w:left w:val="none" w:sz="0" w:space="0" w:color="auto"/>
        <w:bottom w:val="none" w:sz="0" w:space="0" w:color="auto"/>
        <w:right w:val="none" w:sz="0" w:space="0" w:color="auto"/>
      </w:divBdr>
    </w:div>
    <w:div w:id="577325781">
      <w:bodyDiv w:val="1"/>
      <w:marLeft w:val="0"/>
      <w:marRight w:val="0"/>
      <w:marTop w:val="0"/>
      <w:marBottom w:val="0"/>
      <w:divBdr>
        <w:top w:val="none" w:sz="0" w:space="0" w:color="auto"/>
        <w:left w:val="none" w:sz="0" w:space="0" w:color="auto"/>
        <w:bottom w:val="none" w:sz="0" w:space="0" w:color="auto"/>
        <w:right w:val="none" w:sz="0" w:space="0" w:color="auto"/>
      </w:divBdr>
    </w:div>
    <w:div w:id="577516958">
      <w:bodyDiv w:val="1"/>
      <w:marLeft w:val="0"/>
      <w:marRight w:val="0"/>
      <w:marTop w:val="0"/>
      <w:marBottom w:val="0"/>
      <w:divBdr>
        <w:top w:val="none" w:sz="0" w:space="0" w:color="auto"/>
        <w:left w:val="none" w:sz="0" w:space="0" w:color="auto"/>
        <w:bottom w:val="none" w:sz="0" w:space="0" w:color="auto"/>
        <w:right w:val="none" w:sz="0" w:space="0" w:color="auto"/>
      </w:divBdr>
    </w:div>
    <w:div w:id="577521626">
      <w:bodyDiv w:val="1"/>
      <w:marLeft w:val="0"/>
      <w:marRight w:val="0"/>
      <w:marTop w:val="0"/>
      <w:marBottom w:val="0"/>
      <w:divBdr>
        <w:top w:val="none" w:sz="0" w:space="0" w:color="auto"/>
        <w:left w:val="none" w:sz="0" w:space="0" w:color="auto"/>
        <w:bottom w:val="none" w:sz="0" w:space="0" w:color="auto"/>
        <w:right w:val="none" w:sz="0" w:space="0" w:color="auto"/>
      </w:divBdr>
    </w:div>
    <w:div w:id="577598833">
      <w:bodyDiv w:val="1"/>
      <w:marLeft w:val="0"/>
      <w:marRight w:val="0"/>
      <w:marTop w:val="0"/>
      <w:marBottom w:val="0"/>
      <w:divBdr>
        <w:top w:val="none" w:sz="0" w:space="0" w:color="auto"/>
        <w:left w:val="none" w:sz="0" w:space="0" w:color="auto"/>
        <w:bottom w:val="none" w:sz="0" w:space="0" w:color="auto"/>
        <w:right w:val="none" w:sz="0" w:space="0" w:color="auto"/>
      </w:divBdr>
    </w:div>
    <w:div w:id="577635177">
      <w:bodyDiv w:val="1"/>
      <w:marLeft w:val="0"/>
      <w:marRight w:val="0"/>
      <w:marTop w:val="0"/>
      <w:marBottom w:val="0"/>
      <w:divBdr>
        <w:top w:val="none" w:sz="0" w:space="0" w:color="auto"/>
        <w:left w:val="none" w:sz="0" w:space="0" w:color="auto"/>
        <w:bottom w:val="none" w:sz="0" w:space="0" w:color="auto"/>
        <w:right w:val="none" w:sz="0" w:space="0" w:color="auto"/>
      </w:divBdr>
    </w:div>
    <w:div w:id="577636057">
      <w:bodyDiv w:val="1"/>
      <w:marLeft w:val="0"/>
      <w:marRight w:val="0"/>
      <w:marTop w:val="0"/>
      <w:marBottom w:val="0"/>
      <w:divBdr>
        <w:top w:val="none" w:sz="0" w:space="0" w:color="auto"/>
        <w:left w:val="none" w:sz="0" w:space="0" w:color="auto"/>
        <w:bottom w:val="none" w:sz="0" w:space="0" w:color="auto"/>
        <w:right w:val="none" w:sz="0" w:space="0" w:color="auto"/>
      </w:divBdr>
    </w:div>
    <w:div w:id="577639129">
      <w:bodyDiv w:val="1"/>
      <w:marLeft w:val="0"/>
      <w:marRight w:val="0"/>
      <w:marTop w:val="0"/>
      <w:marBottom w:val="0"/>
      <w:divBdr>
        <w:top w:val="none" w:sz="0" w:space="0" w:color="auto"/>
        <w:left w:val="none" w:sz="0" w:space="0" w:color="auto"/>
        <w:bottom w:val="none" w:sz="0" w:space="0" w:color="auto"/>
        <w:right w:val="none" w:sz="0" w:space="0" w:color="auto"/>
      </w:divBdr>
    </w:div>
    <w:div w:id="577712992">
      <w:bodyDiv w:val="1"/>
      <w:marLeft w:val="0"/>
      <w:marRight w:val="0"/>
      <w:marTop w:val="0"/>
      <w:marBottom w:val="0"/>
      <w:divBdr>
        <w:top w:val="none" w:sz="0" w:space="0" w:color="auto"/>
        <w:left w:val="none" w:sz="0" w:space="0" w:color="auto"/>
        <w:bottom w:val="none" w:sz="0" w:space="0" w:color="auto"/>
        <w:right w:val="none" w:sz="0" w:space="0" w:color="auto"/>
      </w:divBdr>
    </w:div>
    <w:div w:id="577713072">
      <w:bodyDiv w:val="1"/>
      <w:marLeft w:val="0"/>
      <w:marRight w:val="0"/>
      <w:marTop w:val="0"/>
      <w:marBottom w:val="0"/>
      <w:divBdr>
        <w:top w:val="none" w:sz="0" w:space="0" w:color="auto"/>
        <w:left w:val="none" w:sz="0" w:space="0" w:color="auto"/>
        <w:bottom w:val="none" w:sz="0" w:space="0" w:color="auto"/>
        <w:right w:val="none" w:sz="0" w:space="0" w:color="auto"/>
      </w:divBdr>
    </w:div>
    <w:div w:id="577716209">
      <w:bodyDiv w:val="1"/>
      <w:marLeft w:val="0"/>
      <w:marRight w:val="0"/>
      <w:marTop w:val="0"/>
      <w:marBottom w:val="0"/>
      <w:divBdr>
        <w:top w:val="none" w:sz="0" w:space="0" w:color="auto"/>
        <w:left w:val="none" w:sz="0" w:space="0" w:color="auto"/>
        <w:bottom w:val="none" w:sz="0" w:space="0" w:color="auto"/>
        <w:right w:val="none" w:sz="0" w:space="0" w:color="auto"/>
      </w:divBdr>
    </w:div>
    <w:div w:id="577834225">
      <w:bodyDiv w:val="1"/>
      <w:marLeft w:val="0"/>
      <w:marRight w:val="0"/>
      <w:marTop w:val="0"/>
      <w:marBottom w:val="0"/>
      <w:divBdr>
        <w:top w:val="none" w:sz="0" w:space="0" w:color="auto"/>
        <w:left w:val="none" w:sz="0" w:space="0" w:color="auto"/>
        <w:bottom w:val="none" w:sz="0" w:space="0" w:color="auto"/>
        <w:right w:val="none" w:sz="0" w:space="0" w:color="auto"/>
      </w:divBdr>
    </w:div>
    <w:div w:id="578057640">
      <w:bodyDiv w:val="1"/>
      <w:marLeft w:val="0"/>
      <w:marRight w:val="0"/>
      <w:marTop w:val="0"/>
      <w:marBottom w:val="0"/>
      <w:divBdr>
        <w:top w:val="none" w:sz="0" w:space="0" w:color="auto"/>
        <w:left w:val="none" w:sz="0" w:space="0" w:color="auto"/>
        <w:bottom w:val="none" w:sz="0" w:space="0" w:color="auto"/>
        <w:right w:val="none" w:sz="0" w:space="0" w:color="auto"/>
      </w:divBdr>
    </w:div>
    <w:div w:id="578059834">
      <w:bodyDiv w:val="1"/>
      <w:marLeft w:val="0"/>
      <w:marRight w:val="0"/>
      <w:marTop w:val="0"/>
      <w:marBottom w:val="0"/>
      <w:divBdr>
        <w:top w:val="none" w:sz="0" w:space="0" w:color="auto"/>
        <w:left w:val="none" w:sz="0" w:space="0" w:color="auto"/>
        <w:bottom w:val="none" w:sz="0" w:space="0" w:color="auto"/>
        <w:right w:val="none" w:sz="0" w:space="0" w:color="auto"/>
      </w:divBdr>
    </w:div>
    <w:div w:id="578102413">
      <w:bodyDiv w:val="1"/>
      <w:marLeft w:val="0"/>
      <w:marRight w:val="0"/>
      <w:marTop w:val="0"/>
      <w:marBottom w:val="0"/>
      <w:divBdr>
        <w:top w:val="none" w:sz="0" w:space="0" w:color="auto"/>
        <w:left w:val="none" w:sz="0" w:space="0" w:color="auto"/>
        <w:bottom w:val="none" w:sz="0" w:space="0" w:color="auto"/>
        <w:right w:val="none" w:sz="0" w:space="0" w:color="auto"/>
      </w:divBdr>
    </w:div>
    <w:div w:id="578102502">
      <w:bodyDiv w:val="1"/>
      <w:marLeft w:val="0"/>
      <w:marRight w:val="0"/>
      <w:marTop w:val="0"/>
      <w:marBottom w:val="0"/>
      <w:divBdr>
        <w:top w:val="none" w:sz="0" w:space="0" w:color="auto"/>
        <w:left w:val="none" w:sz="0" w:space="0" w:color="auto"/>
        <w:bottom w:val="none" w:sz="0" w:space="0" w:color="auto"/>
        <w:right w:val="none" w:sz="0" w:space="0" w:color="auto"/>
      </w:divBdr>
    </w:div>
    <w:div w:id="578176492">
      <w:bodyDiv w:val="1"/>
      <w:marLeft w:val="0"/>
      <w:marRight w:val="0"/>
      <w:marTop w:val="0"/>
      <w:marBottom w:val="0"/>
      <w:divBdr>
        <w:top w:val="none" w:sz="0" w:space="0" w:color="auto"/>
        <w:left w:val="none" w:sz="0" w:space="0" w:color="auto"/>
        <w:bottom w:val="none" w:sz="0" w:space="0" w:color="auto"/>
        <w:right w:val="none" w:sz="0" w:space="0" w:color="auto"/>
      </w:divBdr>
    </w:div>
    <w:div w:id="578247018">
      <w:bodyDiv w:val="1"/>
      <w:marLeft w:val="0"/>
      <w:marRight w:val="0"/>
      <w:marTop w:val="0"/>
      <w:marBottom w:val="0"/>
      <w:divBdr>
        <w:top w:val="none" w:sz="0" w:space="0" w:color="auto"/>
        <w:left w:val="none" w:sz="0" w:space="0" w:color="auto"/>
        <w:bottom w:val="none" w:sz="0" w:space="0" w:color="auto"/>
        <w:right w:val="none" w:sz="0" w:space="0" w:color="auto"/>
      </w:divBdr>
    </w:div>
    <w:div w:id="578252376">
      <w:bodyDiv w:val="1"/>
      <w:marLeft w:val="0"/>
      <w:marRight w:val="0"/>
      <w:marTop w:val="0"/>
      <w:marBottom w:val="0"/>
      <w:divBdr>
        <w:top w:val="none" w:sz="0" w:space="0" w:color="auto"/>
        <w:left w:val="none" w:sz="0" w:space="0" w:color="auto"/>
        <w:bottom w:val="none" w:sz="0" w:space="0" w:color="auto"/>
        <w:right w:val="none" w:sz="0" w:space="0" w:color="auto"/>
      </w:divBdr>
    </w:div>
    <w:div w:id="578252965">
      <w:bodyDiv w:val="1"/>
      <w:marLeft w:val="0"/>
      <w:marRight w:val="0"/>
      <w:marTop w:val="0"/>
      <w:marBottom w:val="0"/>
      <w:divBdr>
        <w:top w:val="none" w:sz="0" w:space="0" w:color="auto"/>
        <w:left w:val="none" w:sz="0" w:space="0" w:color="auto"/>
        <w:bottom w:val="none" w:sz="0" w:space="0" w:color="auto"/>
        <w:right w:val="none" w:sz="0" w:space="0" w:color="auto"/>
      </w:divBdr>
    </w:div>
    <w:div w:id="578295360">
      <w:bodyDiv w:val="1"/>
      <w:marLeft w:val="0"/>
      <w:marRight w:val="0"/>
      <w:marTop w:val="0"/>
      <w:marBottom w:val="0"/>
      <w:divBdr>
        <w:top w:val="none" w:sz="0" w:space="0" w:color="auto"/>
        <w:left w:val="none" w:sz="0" w:space="0" w:color="auto"/>
        <w:bottom w:val="none" w:sz="0" w:space="0" w:color="auto"/>
        <w:right w:val="none" w:sz="0" w:space="0" w:color="auto"/>
      </w:divBdr>
    </w:div>
    <w:div w:id="578364333">
      <w:bodyDiv w:val="1"/>
      <w:marLeft w:val="0"/>
      <w:marRight w:val="0"/>
      <w:marTop w:val="0"/>
      <w:marBottom w:val="0"/>
      <w:divBdr>
        <w:top w:val="none" w:sz="0" w:space="0" w:color="auto"/>
        <w:left w:val="none" w:sz="0" w:space="0" w:color="auto"/>
        <w:bottom w:val="none" w:sz="0" w:space="0" w:color="auto"/>
        <w:right w:val="none" w:sz="0" w:space="0" w:color="auto"/>
      </w:divBdr>
    </w:div>
    <w:div w:id="578365343">
      <w:bodyDiv w:val="1"/>
      <w:marLeft w:val="0"/>
      <w:marRight w:val="0"/>
      <w:marTop w:val="0"/>
      <w:marBottom w:val="0"/>
      <w:divBdr>
        <w:top w:val="none" w:sz="0" w:space="0" w:color="auto"/>
        <w:left w:val="none" w:sz="0" w:space="0" w:color="auto"/>
        <w:bottom w:val="none" w:sz="0" w:space="0" w:color="auto"/>
        <w:right w:val="none" w:sz="0" w:space="0" w:color="auto"/>
      </w:divBdr>
    </w:div>
    <w:div w:id="578371312">
      <w:bodyDiv w:val="1"/>
      <w:marLeft w:val="0"/>
      <w:marRight w:val="0"/>
      <w:marTop w:val="0"/>
      <w:marBottom w:val="0"/>
      <w:divBdr>
        <w:top w:val="none" w:sz="0" w:space="0" w:color="auto"/>
        <w:left w:val="none" w:sz="0" w:space="0" w:color="auto"/>
        <w:bottom w:val="none" w:sz="0" w:space="0" w:color="auto"/>
        <w:right w:val="none" w:sz="0" w:space="0" w:color="auto"/>
      </w:divBdr>
    </w:div>
    <w:div w:id="578444603">
      <w:bodyDiv w:val="1"/>
      <w:marLeft w:val="0"/>
      <w:marRight w:val="0"/>
      <w:marTop w:val="0"/>
      <w:marBottom w:val="0"/>
      <w:divBdr>
        <w:top w:val="none" w:sz="0" w:space="0" w:color="auto"/>
        <w:left w:val="none" w:sz="0" w:space="0" w:color="auto"/>
        <w:bottom w:val="none" w:sz="0" w:space="0" w:color="auto"/>
        <w:right w:val="none" w:sz="0" w:space="0" w:color="auto"/>
      </w:divBdr>
    </w:div>
    <w:div w:id="578446116">
      <w:bodyDiv w:val="1"/>
      <w:marLeft w:val="0"/>
      <w:marRight w:val="0"/>
      <w:marTop w:val="0"/>
      <w:marBottom w:val="0"/>
      <w:divBdr>
        <w:top w:val="none" w:sz="0" w:space="0" w:color="auto"/>
        <w:left w:val="none" w:sz="0" w:space="0" w:color="auto"/>
        <w:bottom w:val="none" w:sz="0" w:space="0" w:color="auto"/>
        <w:right w:val="none" w:sz="0" w:space="0" w:color="auto"/>
      </w:divBdr>
    </w:div>
    <w:div w:id="578557482">
      <w:bodyDiv w:val="1"/>
      <w:marLeft w:val="0"/>
      <w:marRight w:val="0"/>
      <w:marTop w:val="0"/>
      <w:marBottom w:val="0"/>
      <w:divBdr>
        <w:top w:val="none" w:sz="0" w:space="0" w:color="auto"/>
        <w:left w:val="none" w:sz="0" w:space="0" w:color="auto"/>
        <w:bottom w:val="none" w:sz="0" w:space="0" w:color="auto"/>
        <w:right w:val="none" w:sz="0" w:space="0" w:color="auto"/>
      </w:divBdr>
    </w:div>
    <w:div w:id="578561387">
      <w:bodyDiv w:val="1"/>
      <w:marLeft w:val="0"/>
      <w:marRight w:val="0"/>
      <w:marTop w:val="0"/>
      <w:marBottom w:val="0"/>
      <w:divBdr>
        <w:top w:val="none" w:sz="0" w:space="0" w:color="auto"/>
        <w:left w:val="none" w:sz="0" w:space="0" w:color="auto"/>
        <w:bottom w:val="none" w:sz="0" w:space="0" w:color="auto"/>
        <w:right w:val="none" w:sz="0" w:space="0" w:color="auto"/>
      </w:divBdr>
    </w:div>
    <w:div w:id="578562724">
      <w:bodyDiv w:val="1"/>
      <w:marLeft w:val="0"/>
      <w:marRight w:val="0"/>
      <w:marTop w:val="0"/>
      <w:marBottom w:val="0"/>
      <w:divBdr>
        <w:top w:val="none" w:sz="0" w:space="0" w:color="auto"/>
        <w:left w:val="none" w:sz="0" w:space="0" w:color="auto"/>
        <w:bottom w:val="none" w:sz="0" w:space="0" w:color="auto"/>
        <w:right w:val="none" w:sz="0" w:space="0" w:color="auto"/>
      </w:divBdr>
    </w:div>
    <w:div w:id="578712605">
      <w:bodyDiv w:val="1"/>
      <w:marLeft w:val="0"/>
      <w:marRight w:val="0"/>
      <w:marTop w:val="0"/>
      <w:marBottom w:val="0"/>
      <w:divBdr>
        <w:top w:val="none" w:sz="0" w:space="0" w:color="auto"/>
        <w:left w:val="none" w:sz="0" w:space="0" w:color="auto"/>
        <w:bottom w:val="none" w:sz="0" w:space="0" w:color="auto"/>
        <w:right w:val="none" w:sz="0" w:space="0" w:color="auto"/>
      </w:divBdr>
    </w:div>
    <w:div w:id="578831441">
      <w:bodyDiv w:val="1"/>
      <w:marLeft w:val="0"/>
      <w:marRight w:val="0"/>
      <w:marTop w:val="0"/>
      <w:marBottom w:val="0"/>
      <w:divBdr>
        <w:top w:val="none" w:sz="0" w:space="0" w:color="auto"/>
        <w:left w:val="none" w:sz="0" w:space="0" w:color="auto"/>
        <w:bottom w:val="none" w:sz="0" w:space="0" w:color="auto"/>
        <w:right w:val="none" w:sz="0" w:space="0" w:color="auto"/>
      </w:divBdr>
    </w:div>
    <w:div w:id="578907545">
      <w:bodyDiv w:val="1"/>
      <w:marLeft w:val="0"/>
      <w:marRight w:val="0"/>
      <w:marTop w:val="0"/>
      <w:marBottom w:val="0"/>
      <w:divBdr>
        <w:top w:val="none" w:sz="0" w:space="0" w:color="auto"/>
        <w:left w:val="none" w:sz="0" w:space="0" w:color="auto"/>
        <w:bottom w:val="none" w:sz="0" w:space="0" w:color="auto"/>
        <w:right w:val="none" w:sz="0" w:space="0" w:color="auto"/>
      </w:divBdr>
    </w:div>
    <w:div w:id="579099143">
      <w:bodyDiv w:val="1"/>
      <w:marLeft w:val="0"/>
      <w:marRight w:val="0"/>
      <w:marTop w:val="0"/>
      <w:marBottom w:val="0"/>
      <w:divBdr>
        <w:top w:val="none" w:sz="0" w:space="0" w:color="auto"/>
        <w:left w:val="none" w:sz="0" w:space="0" w:color="auto"/>
        <w:bottom w:val="none" w:sz="0" w:space="0" w:color="auto"/>
        <w:right w:val="none" w:sz="0" w:space="0" w:color="auto"/>
      </w:divBdr>
    </w:div>
    <w:div w:id="579143104">
      <w:bodyDiv w:val="1"/>
      <w:marLeft w:val="0"/>
      <w:marRight w:val="0"/>
      <w:marTop w:val="0"/>
      <w:marBottom w:val="0"/>
      <w:divBdr>
        <w:top w:val="none" w:sz="0" w:space="0" w:color="auto"/>
        <w:left w:val="none" w:sz="0" w:space="0" w:color="auto"/>
        <w:bottom w:val="none" w:sz="0" w:space="0" w:color="auto"/>
        <w:right w:val="none" w:sz="0" w:space="0" w:color="auto"/>
      </w:divBdr>
    </w:div>
    <w:div w:id="579212945">
      <w:bodyDiv w:val="1"/>
      <w:marLeft w:val="0"/>
      <w:marRight w:val="0"/>
      <w:marTop w:val="0"/>
      <w:marBottom w:val="0"/>
      <w:divBdr>
        <w:top w:val="none" w:sz="0" w:space="0" w:color="auto"/>
        <w:left w:val="none" w:sz="0" w:space="0" w:color="auto"/>
        <w:bottom w:val="none" w:sz="0" w:space="0" w:color="auto"/>
        <w:right w:val="none" w:sz="0" w:space="0" w:color="auto"/>
      </w:divBdr>
    </w:div>
    <w:div w:id="579288927">
      <w:bodyDiv w:val="1"/>
      <w:marLeft w:val="0"/>
      <w:marRight w:val="0"/>
      <w:marTop w:val="0"/>
      <w:marBottom w:val="0"/>
      <w:divBdr>
        <w:top w:val="none" w:sz="0" w:space="0" w:color="auto"/>
        <w:left w:val="none" w:sz="0" w:space="0" w:color="auto"/>
        <w:bottom w:val="none" w:sz="0" w:space="0" w:color="auto"/>
        <w:right w:val="none" w:sz="0" w:space="0" w:color="auto"/>
      </w:divBdr>
    </w:div>
    <w:div w:id="579364148">
      <w:bodyDiv w:val="1"/>
      <w:marLeft w:val="0"/>
      <w:marRight w:val="0"/>
      <w:marTop w:val="0"/>
      <w:marBottom w:val="0"/>
      <w:divBdr>
        <w:top w:val="none" w:sz="0" w:space="0" w:color="auto"/>
        <w:left w:val="none" w:sz="0" w:space="0" w:color="auto"/>
        <w:bottom w:val="none" w:sz="0" w:space="0" w:color="auto"/>
        <w:right w:val="none" w:sz="0" w:space="0" w:color="auto"/>
      </w:divBdr>
    </w:div>
    <w:div w:id="579364347">
      <w:bodyDiv w:val="1"/>
      <w:marLeft w:val="0"/>
      <w:marRight w:val="0"/>
      <w:marTop w:val="0"/>
      <w:marBottom w:val="0"/>
      <w:divBdr>
        <w:top w:val="none" w:sz="0" w:space="0" w:color="auto"/>
        <w:left w:val="none" w:sz="0" w:space="0" w:color="auto"/>
        <w:bottom w:val="none" w:sz="0" w:space="0" w:color="auto"/>
        <w:right w:val="none" w:sz="0" w:space="0" w:color="auto"/>
      </w:divBdr>
    </w:div>
    <w:div w:id="579407058">
      <w:bodyDiv w:val="1"/>
      <w:marLeft w:val="0"/>
      <w:marRight w:val="0"/>
      <w:marTop w:val="0"/>
      <w:marBottom w:val="0"/>
      <w:divBdr>
        <w:top w:val="none" w:sz="0" w:space="0" w:color="auto"/>
        <w:left w:val="none" w:sz="0" w:space="0" w:color="auto"/>
        <w:bottom w:val="none" w:sz="0" w:space="0" w:color="auto"/>
        <w:right w:val="none" w:sz="0" w:space="0" w:color="auto"/>
      </w:divBdr>
    </w:div>
    <w:div w:id="579407969">
      <w:bodyDiv w:val="1"/>
      <w:marLeft w:val="0"/>
      <w:marRight w:val="0"/>
      <w:marTop w:val="0"/>
      <w:marBottom w:val="0"/>
      <w:divBdr>
        <w:top w:val="none" w:sz="0" w:space="0" w:color="auto"/>
        <w:left w:val="none" w:sz="0" w:space="0" w:color="auto"/>
        <w:bottom w:val="none" w:sz="0" w:space="0" w:color="auto"/>
        <w:right w:val="none" w:sz="0" w:space="0" w:color="auto"/>
      </w:divBdr>
    </w:div>
    <w:div w:id="579484273">
      <w:bodyDiv w:val="1"/>
      <w:marLeft w:val="0"/>
      <w:marRight w:val="0"/>
      <w:marTop w:val="0"/>
      <w:marBottom w:val="0"/>
      <w:divBdr>
        <w:top w:val="none" w:sz="0" w:space="0" w:color="auto"/>
        <w:left w:val="none" w:sz="0" w:space="0" w:color="auto"/>
        <w:bottom w:val="none" w:sz="0" w:space="0" w:color="auto"/>
        <w:right w:val="none" w:sz="0" w:space="0" w:color="auto"/>
      </w:divBdr>
    </w:div>
    <w:div w:id="579601883">
      <w:bodyDiv w:val="1"/>
      <w:marLeft w:val="0"/>
      <w:marRight w:val="0"/>
      <w:marTop w:val="0"/>
      <w:marBottom w:val="0"/>
      <w:divBdr>
        <w:top w:val="none" w:sz="0" w:space="0" w:color="auto"/>
        <w:left w:val="none" w:sz="0" w:space="0" w:color="auto"/>
        <w:bottom w:val="none" w:sz="0" w:space="0" w:color="auto"/>
        <w:right w:val="none" w:sz="0" w:space="0" w:color="auto"/>
      </w:divBdr>
    </w:div>
    <w:div w:id="579681606">
      <w:bodyDiv w:val="1"/>
      <w:marLeft w:val="0"/>
      <w:marRight w:val="0"/>
      <w:marTop w:val="0"/>
      <w:marBottom w:val="0"/>
      <w:divBdr>
        <w:top w:val="none" w:sz="0" w:space="0" w:color="auto"/>
        <w:left w:val="none" w:sz="0" w:space="0" w:color="auto"/>
        <w:bottom w:val="none" w:sz="0" w:space="0" w:color="auto"/>
        <w:right w:val="none" w:sz="0" w:space="0" w:color="auto"/>
      </w:divBdr>
    </w:div>
    <w:div w:id="579751428">
      <w:bodyDiv w:val="1"/>
      <w:marLeft w:val="0"/>
      <w:marRight w:val="0"/>
      <w:marTop w:val="0"/>
      <w:marBottom w:val="0"/>
      <w:divBdr>
        <w:top w:val="none" w:sz="0" w:space="0" w:color="auto"/>
        <w:left w:val="none" w:sz="0" w:space="0" w:color="auto"/>
        <w:bottom w:val="none" w:sz="0" w:space="0" w:color="auto"/>
        <w:right w:val="none" w:sz="0" w:space="0" w:color="auto"/>
      </w:divBdr>
    </w:div>
    <w:div w:id="579754028">
      <w:bodyDiv w:val="1"/>
      <w:marLeft w:val="0"/>
      <w:marRight w:val="0"/>
      <w:marTop w:val="0"/>
      <w:marBottom w:val="0"/>
      <w:divBdr>
        <w:top w:val="none" w:sz="0" w:space="0" w:color="auto"/>
        <w:left w:val="none" w:sz="0" w:space="0" w:color="auto"/>
        <w:bottom w:val="none" w:sz="0" w:space="0" w:color="auto"/>
        <w:right w:val="none" w:sz="0" w:space="0" w:color="auto"/>
      </w:divBdr>
    </w:div>
    <w:div w:id="579754320">
      <w:bodyDiv w:val="1"/>
      <w:marLeft w:val="0"/>
      <w:marRight w:val="0"/>
      <w:marTop w:val="0"/>
      <w:marBottom w:val="0"/>
      <w:divBdr>
        <w:top w:val="none" w:sz="0" w:space="0" w:color="auto"/>
        <w:left w:val="none" w:sz="0" w:space="0" w:color="auto"/>
        <w:bottom w:val="none" w:sz="0" w:space="0" w:color="auto"/>
        <w:right w:val="none" w:sz="0" w:space="0" w:color="auto"/>
      </w:divBdr>
    </w:div>
    <w:div w:id="579757615">
      <w:bodyDiv w:val="1"/>
      <w:marLeft w:val="0"/>
      <w:marRight w:val="0"/>
      <w:marTop w:val="0"/>
      <w:marBottom w:val="0"/>
      <w:divBdr>
        <w:top w:val="none" w:sz="0" w:space="0" w:color="auto"/>
        <w:left w:val="none" w:sz="0" w:space="0" w:color="auto"/>
        <w:bottom w:val="none" w:sz="0" w:space="0" w:color="auto"/>
        <w:right w:val="none" w:sz="0" w:space="0" w:color="auto"/>
      </w:divBdr>
    </w:div>
    <w:div w:id="579829131">
      <w:bodyDiv w:val="1"/>
      <w:marLeft w:val="0"/>
      <w:marRight w:val="0"/>
      <w:marTop w:val="0"/>
      <w:marBottom w:val="0"/>
      <w:divBdr>
        <w:top w:val="none" w:sz="0" w:space="0" w:color="auto"/>
        <w:left w:val="none" w:sz="0" w:space="0" w:color="auto"/>
        <w:bottom w:val="none" w:sz="0" w:space="0" w:color="auto"/>
        <w:right w:val="none" w:sz="0" w:space="0" w:color="auto"/>
      </w:divBdr>
    </w:div>
    <w:div w:id="579872877">
      <w:bodyDiv w:val="1"/>
      <w:marLeft w:val="0"/>
      <w:marRight w:val="0"/>
      <w:marTop w:val="0"/>
      <w:marBottom w:val="0"/>
      <w:divBdr>
        <w:top w:val="none" w:sz="0" w:space="0" w:color="auto"/>
        <w:left w:val="none" w:sz="0" w:space="0" w:color="auto"/>
        <w:bottom w:val="none" w:sz="0" w:space="0" w:color="auto"/>
        <w:right w:val="none" w:sz="0" w:space="0" w:color="auto"/>
      </w:divBdr>
    </w:div>
    <w:div w:id="579946988">
      <w:bodyDiv w:val="1"/>
      <w:marLeft w:val="0"/>
      <w:marRight w:val="0"/>
      <w:marTop w:val="0"/>
      <w:marBottom w:val="0"/>
      <w:divBdr>
        <w:top w:val="none" w:sz="0" w:space="0" w:color="auto"/>
        <w:left w:val="none" w:sz="0" w:space="0" w:color="auto"/>
        <w:bottom w:val="none" w:sz="0" w:space="0" w:color="auto"/>
        <w:right w:val="none" w:sz="0" w:space="0" w:color="auto"/>
      </w:divBdr>
    </w:div>
    <w:div w:id="580142821">
      <w:bodyDiv w:val="1"/>
      <w:marLeft w:val="0"/>
      <w:marRight w:val="0"/>
      <w:marTop w:val="0"/>
      <w:marBottom w:val="0"/>
      <w:divBdr>
        <w:top w:val="none" w:sz="0" w:space="0" w:color="auto"/>
        <w:left w:val="none" w:sz="0" w:space="0" w:color="auto"/>
        <w:bottom w:val="none" w:sz="0" w:space="0" w:color="auto"/>
        <w:right w:val="none" w:sz="0" w:space="0" w:color="auto"/>
      </w:divBdr>
    </w:div>
    <w:div w:id="580143380">
      <w:bodyDiv w:val="1"/>
      <w:marLeft w:val="0"/>
      <w:marRight w:val="0"/>
      <w:marTop w:val="0"/>
      <w:marBottom w:val="0"/>
      <w:divBdr>
        <w:top w:val="none" w:sz="0" w:space="0" w:color="auto"/>
        <w:left w:val="none" w:sz="0" w:space="0" w:color="auto"/>
        <w:bottom w:val="none" w:sz="0" w:space="0" w:color="auto"/>
        <w:right w:val="none" w:sz="0" w:space="0" w:color="auto"/>
      </w:divBdr>
    </w:div>
    <w:div w:id="580145178">
      <w:bodyDiv w:val="1"/>
      <w:marLeft w:val="0"/>
      <w:marRight w:val="0"/>
      <w:marTop w:val="0"/>
      <w:marBottom w:val="0"/>
      <w:divBdr>
        <w:top w:val="none" w:sz="0" w:space="0" w:color="auto"/>
        <w:left w:val="none" w:sz="0" w:space="0" w:color="auto"/>
        <w:bottom w:val="none" w:sz="0" w:space="0" w:color="auto"/>
        <w:right w:val="none" w:sz="0" w:space="0" w:color="auto"/>
      </w:divBdr>
    </w:div>
    <w:div w:id="580335075">
      <w:bodyDiv w:val="1"/>
      <w:marLeft w:val="0"/>
      <w:marRight w:val="0"/>
      <w:marTop w:val="0"/>
      <w:marBottom w:val="0"/>
      <w:divBdr>
        <w:top w:val="none" w:sz="0" w:space="0" w:color="auto"/>
        <w:left w:val="none" w:sz="0" w:space="0" w:color="auto"/>
        <w:bottom w:val="none" w:sz="0" w:space="0" w:color="auto"/>
        <w:right w:val="none" w:sz="0" w:space="0" w:color="auto"/>
      </w:divBdr>
    </w:div>
    <w:div w:id="580406386">
      <w:bodyDiv w:val="1"/>
      <w:marLeft w:val="0"/>
      <w:marRight w:val="0"/>
      <w:marTop w:val="0"/>
      <w:marBottom w:val="0"/>
      <w:divBdr>
        <w:top w:val="none" w:sz="0" w:space="0" w:color="auto"/>
        <w:left w:val="none" w:sz="0" w:space="0" w:color="auto"/>
        <w:bottom w:val="none" w:sz="0" w:space="0" w:color="auto"/>
        <w:right w:val="none" w:sz="0" w:space="0" w:color="auto"/>
      </w:divBdr>
    </w:div>
    <w:div w:id="580599224">
      <w:bodyDiv w:val="1"/>
      <w:marLeft w:val="0"/>
      <w:marRight w:val="0"/>
      <w:marTop w:val="0"/>
      <w:marBottom w:val="0"/>
      <w:divBdr>
        <w:top w:val="none" w:sz="0" w:space="0" w:color="auto"/>
        <w:left w:val="none" w:sz="0" w:space="0" w:color="auto"/>
        <w:bottom w:val="none" w:sz="0" w:space="0" w:color="auto"/>
        <w:right w:val="none" w:sz="0" w:space="0" w:color="auto"/>
      </w:divBdr>
    </w:div>
    <w:div w:id="580600711">
      <w:bodyDiv w:val="1"/>
      <w:marLeft w:val="0"/>
      <w:marRight w:val="0"/>
      <w:marTop w:val="0"/>
      <w:marBottom w:val="0"/>
      <w:divBdr>
        <w:top w:val="none" w:sz="0" w:space="0" w:color="auto"/>
        <w:left w:val="none" w:sz="0" w:space="0" w:color="auto"/>
        <w:bottom w:val="none" w:sz="0" w:space="0" w:color="auto"/>
        <w:right w:val="none" w:sz="0" w:space="0" w:color="auto"/>
      </w:divBdr>
    </w:div>
    <w:div w:id="580602256">
      <w:bodyDiv w:val="1"/>
      <w:marLeft w:val="0"/>
      <w:marRight w:val="0"/>
      <w:marTop w:val="0"/>
      <w:marBottom w:val="0"/>
      <w:divBdr>
        <w:top w:val="none" w:sz="0" w:space="0" w:color="auto"/>
        <w:left w:val="none" w:sz="0" w:space="0" w:color="auto"/>
        <w:bottom w:val="none" w:sz="0" w:space="0" w:color="auto"/>
        <w:right w:val="none" w:sz="0" w:space="0" w:color="auto"/>
      </w:divBdr>
    </w:div>
    <w:div w:id="580681135">
      <w:bodyDiv w:val="1"/>
      <w:marLeft w:val="0"/>
      <w:marRight w:val="0"/>
      <w:marTop w:val="0"/>
      <w:marBottom w:val="0"/>
      <w:divBdr>
        <w:top w:val="none" w:sz="0" w:space="0" w:color="auto"/>
        <w:left w:val="none" w:sz="0" w:space="0" w:color="auto"/>
        <w:bottom w:val="none" w:sz="0" w:space="0" w:color="auto"/>
        <w:right w:val="none" w:sz="0" w:space="0" w:color="auto"/>
      </w:divBdr>
    </w:div>
    <w:div w:id="580718777">
      <w:bodyDiv w:val="1"/>
      <w:marLeft w:val="0"/>
      <w:marRight w:val="0"/>
      <w:marTop w:val="0"/>
      <w:marBottom w:val="0"/>
      <w:divBdr>
        <w:top w:val="none" w:sz="0" w:space="0" w:color="auto"/>
        <w:left w:val="none" w:sz="0" w:space="0" w:color="auto"/>
        <w:bottom w:val="none" w:sz="0" w:space="0" w:color="auto"/>
        <w:right w:val="none" w:sz="0" w:space="0" w:color="auto"/>
      </w:divBdr>
    </w:div>
    <w:div w:id="580720758">
      <w:bodyDiv w:val="1"/>
      <w:marLeft w:val="0"/>
      <w:marRight w:val="0"/>
      <w:marTop w:val="0"/>
      <w:marBottom w:val="0"/>
      <w:divBdr>
        <w:top w:val="none" w:sz="0" w:space="0" w:color="auto"/>
        <w:left w:val="none" w:sz="0" w:space="0" w:color="auto"/>
        <w:bottom w:val="none" w:sz="0" w:space="0" w:color="auto"/>
        <w:right w:val="none" w:sz="0" w:space="0" w:color="auto"/>
      </w:divBdr>
    </w:div>
    <w:div w:id="580725585">
      <w:bodyDiv w:val="1"/>
      <w:marLeft w:val="0"/>
      <w:marRight w:val="0"/>
      <w:marTop w:val="0"/>
      <w:marBottom w:val="0"/>
      <w:divBdr>
        <w:top w:val="none" w:sz="0" w:space="0" w:color="auto"/>
        <w:left w:val="none" w:sz="0" w:space="0" w:color="auto"/>
        <w:bottom w:val="none" w:sz="0" w:space="0" w:color="auto"/>
        <w:right w:val="none" w:sz="0" w:space="0" w:color="auto"/>
      </w:divBdr>
    </w:div>
    <w:div w:id="580794477">
      <w:bodyDiv w:val="1"/>
      <w:marLeft w:val="0"/>
      <w:marRight w:val="0"/>
      <w:marTop w:val="0"/>
      <w:marBottom w:val="0"/>
      <w:divBdr>
        <w:top w:val="none" w:sz="0" w:space="0" w:color="auto"/>
        <w:left w:val="none" w:sz="0" w:space="0" w:color="auto"/>
        <w:bottom w:val="none" w:sz="0" w:space="0" w:color="auto"/>
        <w:right w:val="none" w:sz="0" w:space="0" w:color="auto"/>
      </w:divBdr>
    </w:div>
    <w:div w:id="580796350">
      <w:bodyDiv w:val="1"/>
      <w:marLeft w:val="0"/>
      <w:marRight w:val="0"/>
      <w:marTop w:val="0"/>
      <w:marBottom w:val="0"/>
      <w:divBdr>
        <w:top w:val="none" w:sz="0" w:space="0" w:color="auto"/>
        <w:left w:val="none" w:sz="0" w:space="0" w:color="auto"/>
        <w:bottom w:val="none" w:sz="0" w:space="0" w:color="auto"/>
        <w:right w:val="none" w:sz="0" w:space="0" w:color="auto"/>
      </w:divBdr>
    </w:div>
    <w:div w:id="580876487">
      <w:bodyDiv w:val="1"/>
      <w:marLeft w:val="0"/>
      <w:marRight w:val="0"/>
      <w:marTop w:val="0"/>
      <w:marBottom w:val="0"/>
      <w:divBdr>
        <w:top w:val="none" w:sz="0" w:space="0" w:color="auto"/>
        <w:left w:val="none" w:sz="0" w:space="0" w:color="auto"/>
        <w:bottom w:val="none" w:sz="0" w:space="0" w:color="auto"/>
        <w:right w:val="none" w:sz="0" w:space="0" w:color="auto"/>
      </w:divBdr>
    </w:div>
    <w:div w:id="580987533">
      <w:bodyDiv w:val="1"/>
      <w:marLeft w:val="0"/>
      <w:marRight w:val="0"/>
      <w:marTop w:val="0"/>
      <w:marBottom w:val="0"/>
      <w:divBdr>
        <w:top w:val="none" w:sz="0" w:space="0" w:color="auto"/>
        <w:left w:val="none" w:sz="0" w:space="0" w:color="auto"/>
        <w:bottom w:val="none" w:sz="0" w:space="0" w:color="auto"/>
        <w:right w:val="none" w:sz="0" w:space="0" w:color="auto"/>
      </w:divBdr>
    </w:div>
    <w:div w:id="581183430">
      <w:bodyDiv w:val="1"/>
      <w:marLeft w:val="0"/>
      <w:marRight w:val="0"/>
      <w:marTop w:val="0"/>
      <w:marBottom w:val="0"/>
      <w:divBdr>
        <w:top w:val="none" w:sz="0" w:space="0" w:color="auto"/>
        <w:left w:val="none" w:sz="0" w:space="0" w:color="auto"/>
        <w:bottom w:val="none" w:sz="0" w:space="0" w:color="auto"/>
        <w:right w:val="none" w:sz="0" w:space="0" w:color="auto"/>
      </w:divBdr>
    </w:div>
    <w:div w:id="581185727">
      <w:bodyDiv w:val="1"/>
      <w:marLeft w:val="0"/>
      <w:marRight w:val="0"/>
      <w:marTop w:val="0"/>
      <w:marBottom w:val="0"/>
      <w:divBdr>
        <w:top w:val="none" w:sz="0" w:space="0" w:color="auto"/>
        <w:left w:val="none" w:sz="0" w:space="0" w:color="auto"/>
        <w:bottom w:val="none" w:sz="0" w:space="0" w:color="auto"/>
        <w:right w:val="none" w:sz="0" w:space="0" w:color="auto"/>
      </w:divBdr>
    </w:div>
    <w:div w:id="581257100">
      <w:bodyDiv w:val="1"/>
      <w:marLeft w:val="0"/>
      <w:marRight w:val="0"/>
      <w:marTop w:val="0"/>
      <w:marBottom w:val="0"/>
      <w:divBdr>
        <w:top w:val="none" w:sz="0" w:space="0" w:color="auto"/>
        <w:left w:val="none" w:sz="0" w:space="0" w:color="auto"/>
        <w:bottom w:val="none" w:sz="0" w:space="0" w:color="auto"/>
        <w:right w:val="none" w:sz="0" w:space="0" w:color="auto"/>
      </w:divBdr>
    </w:div>
    <w:div w:id="581570304">
      <w:bodyDiv w:val="1"/>
      <w:marLeft w:val="0"/>
      <w:marRight w:val="0"/>
      <w:marTop w:val="0"/>
      <w:marBottom w:val="0"/>
      <w:divBdr>
        <w:top w:val="none" w:sz="0" w:space="0" w:color="auto"/>
        <w:left w:val="none" w:sz="0" w:space="0" w:color="auto"/>
        <w:bottom w:val="none" w:sz="0" w:space="0" w:color="auto"/>
        <w:right w:val="none" w:sz="0" w:space="0" w:color="auto"/>
      </w:divBdr>
    </w:div>
    <w:div w:id="581572775">
      <w:bodyDiv w:val="1"/>
      <w:marLeft w:val="0"/>
      <w:marRight w:val="0"/>
      <w:marTop w:val="0"/>
      <w:marBottom w:val="0"/>
      <w:divBdr>
        <w:top w:val="none" w:sz="0" w:space="0" w:color="auto"/>
        <w:left w:val="none" w:sz="0" w:space="0" w:color="auto"/>
        <w:bottom w:val="none" w:sz="0" w:space="0" w:color="auto"/>
        <w:right w:val="none" w:sz="0" w:space="0" w:color="auto"/>
      </w:divBdr>
    </w:div>
    <w:div w:id="581648048">
      <w:bodyDiv w:val="1"/>
      <w:marLeft w:val="0"/>
      <w:marRight w:val="0"/>
      <w:marTop w:val="0"/>
      <w:marBottom w:val="0"/>
      <w:divBdr>
        <w:top w:val="none" w:sz="0" w:space="0" w:color="auto"/>
        <w:left w:val="none" w:sz="0" w:space="0" w:color="auto"/>
        <w:bottom w:val="none" w:sz="0" w:space="0" w:color="auto"/>
        <w:right w:val="none" w:sz="0" w:space="0" w:color="auto"/>
      </w:divBdr>
    </w:div>
    <w:div w:id="581649637">
      <w:bodyDiv w:val="1"/>
      <w:marLeft w:val="0"/>
      <w:marRight w:val="0"/>
      <w:marTop w:val="0"/>
      <w:marBottom w:val="0"/>
      <w:divBdr>
        <w:top w:val="none" w:sz="0" w:space="0" w:color="auto"/>
        <w:left w:val="none" w:sz="0" w:space="0" w:color="auto"/>
        <w:bottom w:val="none" w:sz="0" w:space="0" w:color="auto"/>
        <w:right w:val="none" w:sz="0" w:space="0" w:color="auto"/>
      </w:divBdr>
    </w:div>
    <w:div w:id="581836113">
      <w:bodyDiv w:val="1"/>
      <w:marLeft w:val="0"/>
      <w:marRight w:val="0"/>
      <w:marTop w:val="0"/>
      <w:marBottom w:val="0"/>
      <w:divBdr>
        <w:top w:val="none" w:sz="0" w:space="0" w:color="auto"/>
        <w:left w:val="none" w:sz="0" w:space="0" w:color="auto"/>
        <w:bottom w:val="none" w:sz="0" w:space="0" w:color="auto"/>
        <w:right w:val="none" w:sz="0" w:space="0" w:color="auto"/>
      </w:divBdr>
    </w:div>
    <w:div w:id="581840586">
      <w:bodyDiv w:val="1"/>
      <w:marLeft w:val="0"/>
      <w:marRight w:val="0"/>
      <w:marTop w:val="0"/>
      <w:marBottom w:val="0"/>
      <w:divBdr>
        <w:top w:val="none" w:sz="0" w:space="0" w:color="auto"/>
        <w:left w:val="none" w:sz="0" w:space="0" w:color="auto"/>
        <w:bottom w:val="none" w:sz="0" w:space="0" w:color="auto"/>
        <w:right w:val="none" w:sz="0" w:space="0" w:color="auto"/>
      </w:divBdr>
    </w:div>
    <w:div w:id="581913720">
      <w:bodyDiv w:val="1"/>
      <w:marLeft w:val="0"/>
      <w:marRight w:val="0"/>
      <w:marTop w:val="0"/>
      <w:marBottom w:val="0"/>
      <w:divBdr>
        <w:top w:val="none" w:sz="0" w:space="0" w:color="auto"/>
        <w:left w:val="none" w:sz="0" w:space="0" w:color="auto"/>
        <w:bottom w:val="none" w:sz="0" w:space="0" w:color="auto"/>
        <w:right w:val="none" w:sz="0" w:space="0" w:color="auto"/>
      </w:divBdr>
    </w:div>
    <w:div w:id="582029073">
      <w:bodyDiv w:val="1"/>
      <w:marLeft w:val="0"/>
      <w:marRight w:val="0"/>
      <w:marTop w:val="0"/>
      <w:marBottom w:val="0"/>
      <w:divBdr>
        <w:top w:val="none" w:sz="0" w:space="0" w:color="auto"/>
        <w:left w:val="none" w:sz="0" w:space="0" w:color="auto"/>
        <w:bottom w:val="none" w:sz="0" w:space="0" w:color="auto"/>
        <w:right w:val="none" w:sz="0" w:space="0" w:color="auto"/>
      </w:divBdr>
    </w:div>
    <w:div w:id="582033793">
      <w:bodyDiv w:val="1"/>
      <w:marLeft w:val="0"/>
      <w:marRight w:val="0"/>
      <w:marTop w:val="0"/>
      <w:marBottom w:val="0"/>
      <w:divBdr>
        <w:top w:val="none" w:sz="0" w:space="0" w:color="auto"/>
        <w:left w:val="none" w:sz="0" w:space="0" w:color="auto"/>
        <w:bottom w:val="none" w:sz="0" w:space="0" w:color="auto"/>
        <w:right w:val="none" w:sz="0" w:space="0" w:color="auto"/>
      </w:divBdr>
    </w:div>
    <w:div w:id="582184341">
      <w:bodyDiv w:val="1"/>
      <w:marLeft w:val="0"/>
      <w:marRight w:val="0"/>
      <w:marTop w:val="0"/>
      <w:marBottom w:val="0"/>
      <w:divBdr>
        <w:top w:val="none" w:sz="0" w:space="0" w:color="auto"/>
        <w:left w:val="none" w:sz="0" w:space="0" w:color="auto"/>
        <w:bottom w:val="none" w:sz="0" w:space="0" w:color="auto"/>
        <w:right w:val="none" w:sz="0" w:space="0" w:color="auto"/>
      </w:divBdr>
    </w:div>
    <w:div w:id="582186653">
      <w:bodyDiv w:val="1"/>
      <w:marLeft w:val="0"/>
      <w:marRight w:val="0"/>
      <w:marTop w:val="0"/>
      <w:marBottom w:val="0"/>
      <w:divBdr>
        <w:top w:val="none" w:sz="0" w:space="0" w:color="auto"/>
        <w:left w:val="none" w:sz="0" w:space="0" w:color="auto"/>
        <w:bottom w:val="none" w:sz="0" w:space="0" w:color="auto"/>
        <w:right w:val="none" w:sz="0" w:space="0" w:color="auto"/>
      </w:divBdr>
    </w:div>
    <w:div w:id="582222974">
      <w:bodyDiv w:val="1"/>
      <w:marLeft w:val="0"/>
      <w:marRight w:val="0"/>
      <w:marTop w:val="0"/>
      <w:marBottom w:val="0"/>
      <w:divBdr>
        <w:top w:val="none" w:sz="0" w:space="0" w:color="auto"/>
        <w:left w:val="none" w:sz="0" w:space="0" w:color="auto"/>
        <w:bottom w:val="none" w:sz="0" w:space="0" w:color="auto"/>
        <w:right w:val="none" w:sz="0" w:space="0" w:color="auto"/>
      </w:divBdr>
    </w:div>
    <w:div w:id="582253395">
      <w:bodyDiv w:val="1"/>
      <w:marLeft w:val="0"/>
      <w:marRight w:val="0"/>
      <w:marTop w:val="0"/>
      <w:marBottom w:val="0"/>
      <w:divBdr>
        <w:top w:val="none" w:sz="0" w:space="0" w:color="auto"/>
        <w:left w:val="none" w:sz="0" w:space="0" w:color="auto"/>
        <w:bottom w:val="none" w:sz="0" w:space="0" w:color="auto"/>
        <w:right w:val="none" w:sz="0" w:space="0" w:color="auto"/>
      </w:divBdr>
    </w:div>
    <w:div w:id="582301144">
      <w:bodyDiv w:val="1"/>
      <w:marLeft w:val="0"/>
      <w:marRight w:val="0"/>
      <w:marTop w:val="0"/>
      <w:marBottom w:val="0"/>
      <w:divBdr>
        <w:top w:val="none" w:sz="0" w:space="0" w:color="auto"/>
        <w:left w:val="none" w:sz="0" w:space="0" w:color="auto"/>
        <w:bottom w:val="none" w:sz="0" w:space="0" w:color="auto"/>
        <w:right w:val="none" w:sz="0" w:space="0" w:color="auto"/>
      </w:divBdr>
    </w:div>
    <w:div w:id="582377007">
      <w:bodyDiv w:val="1"/>
      <w:marLeft w:val="0"/>
      <w:marRight w:val="0"/>
      <w:marTop w:val="0"/>
      <w:marBottom w:val="0"/>
      <w:divBdr>
        <w:top w:val="none" w:sz="0" w:space="0" w:color="auto"/>
        <w:left w:val="none" w:sz="0" w:space="0" w:color="auto"/>
        <w:bottom w:val="none" w:sz="0" w:space="0" w:color="auto"/>
        <w:right w:val="none" w:sz="0" w:space="0" w:color="auto"/>
      </w:divBdr>
    </w:div>
    <w:div w:id="582494496">
      <w:bodyDiv w:val="1"/>
      <w:marLeft w:val="0"/>
      <w:marRight w:val="0"/>
      <w:marTop w:val="0"/>
      <w:marBottom w:val="0"/>
      <w:divBdr>
        <w:top w:val="none" w:sz="0" w:space="0" w:color="auto"/>
        <w:left w:val="none" w:sz="0" w:space="0" w:color="auto"/>
        <w:bottom w:val="none" w:sz="0" w:space="0" w:color="auto"/>
        <w:right w:val="none" w:sz="0" w:space="0" w:color="auto"/>
      </w:divBdr>
    </w:div>
    <w:div w:id="582564815">
      <w:bodyDiv w:val="1"/>
      <w:marLeft w:val="0"/>
      <w:marRight w:val="0"/>
      <w:marTop w:val="0"/>
      <w:marBottom w:val="0"/>
      <w:divBdr>
        <w:top w:val="none" w:sz="0" w:space="0" w:color="auto"/>
        <w:left w:val="none" w:sz="0" w:space="0" w:color="auto"/>
        <w:bottom w:val="none" w:sz="0" w:space="0" w:color="auto"/>
        <w:right w:val="none" w:sz="0" w:space="0" w:color="auto"/>
      </w:divBdr>
    </w:div>
    <w:div w:id="582641571">
      <w:bodyDiv w:val="1"/>
      <w:marLeft w:val="0"/>
      <w:marRight w:val="0"/>
      <w:marTop w:val="0"/>
      <w:marBottom w:val="0"/>
      <w:divBdr>
        <w:top w:val="none" w:sz="0" w:space="0" w:color="auto"/>
        <w:left w:val="none" w:sz="0" w:space="0" w:color="auto"/>
        <w:bottom w:val="none" w:sz="0" w:space="0" w:color="auto"/>
        <w:right w:val="none" w:sz="0" w:space="0" w:color="auto"/>
      </w:divBdr>
    </w:div>
    <w:div w:id="582645543">
      <w:bodyDiv w:val="1"/>
      <w:marLeft w:val="0"/>
      <w:marRight w:val="0"/>
      <w:marTop w:val="0"/>
      <w:marBottom w:val="0"/>
      <w:divBdr>
        <w:top w:val="none" w:sz="0" w:space="0" w:color="auto"/>
        <w:left w:val="none" w:sz="0" w:space="0" w:color="auto"/>
        <w:bottom w:val="none" w:sz="0" w:space="0" w:color="auto"/>
        <w:right w:val="none" w:sz="0" w:space="0" w:color="auto"/>
      </w:divBdr>
    </w:div>
    <w:div w:id="582646303">
      <w:bodyDiv w:val="1"/>
      <w:marLeft w:val="0"/>
      <w:marRight w:val="0"/>
      <w:marTop w:val="0"/>
      <w:marBottom w:val="0"/>
      <w:divBdr>
        <w:top w:val="none" w:sz="0" w:space="0" w:color="auto"/>
        <w:left w:val="none" w:sz="0" w:space="0" w:color="auto"/>
        <w:bottom w:val="none" w:sz="0" w:space="0" w:color="auto"/>
        <w:right w:val="none" w:sz="0" w:space="0" w:color="auto"/>
      </w:divBdr>
    </w:div>
    <w:div w:id="582833440">
      <w:bodyDiv w:val="1"/>
      <w:marLeft w:val="0"/>
      <w:marRight w:val="0"/>
      <w:marTop w:val="0"/>
      <w:marBottom w:val="0"/>
      <w:divBdr>
        <w:top w:val="none" w:sz="0" w:space="0" w:color="auto"/>
        <w:left w:val="none" w:sz="0" w:space="0" w:color="auto"/>
        <w:bottom w:val="none" w:sz="0" w:space="0" w:color="auto"/>
        <w:right w:val="none" w:sz="0" w:space="0" w:color="auto"/>
      </w:divBdr>
    </w:div>
    <w:div w:id="582840408">
      <w:bodyDiv w:val="1"/>
      <w:marLeft w:val="0"/>
      <w:marRight w:val="0"/>
      <w:marTop w:val="0"/>
      <w:marBottom w:val="0"/>
      <w:divBdr>
        <w:top w:val="none" w:sz="0" w:space="0" w:color="auto"/>
        <w:left w:val="none" w:sz="0" w:space="0" w:color="auto"/>
        <w:bottom w:val="none" w:sz="0" w:space="0" w:color="auto"/>
        <w:right w:val="none" w:sz="0" w:space="0" w:color="auto"/>
      </w:divBdr>
    </w:div>
    <w:div w:id="583028736">
      <w:bodyDiv w:val="1"/>
      <w:marLeft w:val="0"/>
      <w:marRight w:val="0"/>
      <w:marTop w:val="0"/>
      <w:marBottom w:val="0"/>
      <w:divBdr>
        <w:top w:val="none" w:sz="0" w:space="0" w:color="auto"/>
        <w:left w:val="none" w:sz="0" w:space="0" w:color="auto"/>
        <w:bottom w:val="none" w:sz="0" w:space="0" w:color="auto"/>
        <w:right w:val="none" w:sz="0" w:space="0" w:color="auto"/>
      </w:divBdr>
    </w:div>
    <w:div w:id="583077383">
      <w:bodyDiv w:val="1"/>
      <w:marLeft w:val="0"/>
      <w:marRight w:val="0"/>
      <w:marTop w:val="0"/>
      <w:marBottom w:val="0"/>
      <w:divBdr>
        <w:top w:val="none" w:sz="0" w:space="0" w:color="auto"/>
        <w:left w:val="none" w:sz="0" w:space="0" w:color="auto"/>
        <w:bottom w:val="none" w:sz="0" w:space="0" w:color="auto"/>
        <w:right w:val="none" w:sz="0" w:space="0" w:color="auto"/>
      </w:divBdr>
    </w:div>
    <w:div w:id="583104957">
      <w:bodyDiv w:val="1"/>
      <w:marLeft w:val="0"/>
      <w:marRight w:val="0"/>
      <w:marTop w:val="0"/>
      <w:marBottom w:val="0"/>
      <w:divBdr>
        <w:top w:val="none" w:sz="0" w:space="0" w:color="auto"/>
        <w:left w:val="none" w:sz="0" w:space="0" w:color="auto"/>
        <w:bottom w:val="none" w:sz="0" w:space="0" w:color="auto"/>
        <w:right w:val="none" w:sz="0" w:space="0" w:color="auto"/>
      </w:divBdr>
    </w:div>
    <w:div w:id="583144970">
      <w:bodyDiv w:val="1"/>
      <w:marLeft w:val="0"/>
      <w:marRight w:val="0"/>
      <w:marTop w:val="0"/>
      <w:marBottom w:val="0"/>
      <w:divBdr>
        <w:top w:val="none" w:sz="0" w:space="0" w:color="auto"/>
        <w:left w:val="none" w:sz="0" w:space="0" w:color="auto"/>
        <w:bottom w:val="none" w:sz="0" w:space="0" w:color="auto"/>
        <w:right w:val="none" w:sz="0" w:space="0" w:color="auto"/>
      </w:divBdr>
    </w:div>
    <w:div w:id="583149656">
      <w:bodyDiv w:val="1"/>
      <w:marLeft w:val="0"/>
      <w:marRight w:val="0"/>
      <w:marTop w:val="0"/>
      <w:marBottom w:val="0"/>
      <w:divBdr>
        <w:top w:val="none" w:sz="0" w:space="0" w:color="auto"/>
        <w:left w:val="none" w:sz="0" w:space="0" w:color="auto"/>
        <w:bottom w:val="none" w:sz="0" w:space="0" w:color="auto"/>
        <w:right w:val="none" w:sz="0" w:space="0" w:color="auto"/>
      </w:divBdr>
    </w:div>
    <w:div w:id="583298728">
      <w:bodyDiv w:val="1"/>
      <w:marLeft w:val="0"/>
      <w:marRight w:val="0"/>
      <w:marTop w:val="0"/>
      <w:marBottom w:val="0"/>
      <w:divBdr>
        <w:top w:val="none" w:sz="0" w:space="0" w:color="auto"/>
        <w:left w:val="none" w:sz="0" w:space="0" w:color="auto"/>
        <w:bottom w:val="none" w:sz="0" w:space="0" w:color="auto"/>
        <w:right w:val="none" w:sz="0" w:space="0" w:color="auto"/>
      </w:divBdr>
    </w:div>
    <w:div w:id="583343073">
      <w:bodyDiv w:val="1"/>
      <w:marLeft w:val="0"/>
      <w:marRight w:val="0"/>
      <w:marTop w:val="0"/>
      <w:marBottom w:val="0"/>
      <w:divBdr>
        <w:top w:val="none" w:sz="0" w:space="0" w:color="auto"/>
        <w:left w:val="none" w:sz="0" w:space="0" w:color="auto"/>
        <w:bottom w:val="none" w:sz="0" w:space="0" w:color="auto"/>
        <w:right w:val="none" w:sz="0" w:space="0" w:color="auto"/>
      </w:divBdr>
    </w:div>
    <w:div w:id="583412614">
      <w:bodyDiv w:val="1"/>
      <w:marLeft w:val="0"/>
      <w:marRight w:val="0"/>
      <w:marTop w:val="0"/>
      <w:marBottom w:val="0"/>
      <w:divBdr>
        <w:top w:val="none" w:sz="0" w:space="0" w:color="auto"/>
        <w:left w:val="none" w:sz="0" w:space="0" w:color="auto"/>
        <w:bottom w:val="none" w:sz="0" w:space="0" w:color="auto"/>
        <w:right w:val="none" w:sz="0" w:space="0" w:color="auto"/>
      </w:divBdr>
    </w:div>
    <w:div w:id="583539185">
      <w:bodyDiv w:val="1"/>
      <w:marLeft w:val="0"/>
      <w:marRight w:val="0"/>
      <w:marTop w:val="0"/>
      <w:marBottom w:val="0"/>
      <w:divBdr>
        <w:top w:val="none" w:sz="0" w:space="0" w:color="auto"/>
        <w:left w:val="none" w:sz="0" w:space="0" w:color="auto"/>
        <w:bottom w:val="none" w:sz="0" w:space="0" w:color="auto"/>
        <w:right w:val="none" w:sz="0" w:space="0" w:color="auto"/>
      </w:divBdr>
    </w:div>
    <w:div w:id="583808549">
      <w:bodyDiv w:val="1"/>
      <w:marLeft w:val="0"/>
      <w:marRight w:val="0"/>
      <w:marTop w:val="0"/>
      <w:marBottom w:val="0"/>
      <w:divBdr>
        <w:top w:val="none" w:sz="0" w:space="0" w:color="auto"/>
        <w:left w:val="none" w:sz="0" w:space="0" w:color="auto"/>
        <w:bottom w:val="none" w:sz="0" w:space="0" w:color="auto"/>
        <w:right w:val="none" w:sz="0" w:space="0" w:color="auto"/>
      </w:divBdr>
    </w:div>
    <w:div w:id="583878595">
      <w:bodyDiv w:val="1"/>
      <w:marLeft w:val="0"/>
      <w:marRight w:val="0"/>
      <w:marTop w:val="0"/>
      <w:marBottom w:val="0"/>
      <w:divBdr>
        <w:top w:val="none" w:sz="0" w:space="0" w:color="auto"/>
        <w:left w:val="none" w:sz="0" w:space="0" w:color="auto"/>
        <w:bottom w:val="none" w:sz="0" w:space="0" w:color="auto"/>
        <w:right w:val="none" w:sz="0" w:space="0" w:color="auto"/>
      </w:divBdr>
    </w:div>
    <w:div w:id="583926475">
      <w:bodyDiv w:val="1"/>
      <w:marLeft w:val="0"/>
      <w:marRight w:val="0"/>
      <w:marTop w:val="0"/>
      <w:marBottom w:val="0"/>
      <w:divBdr>
        <w:top w:val="none" w:sz="0" w:space="0" w:color="auto"/>
        <w:left w:val="none" w:sz="0" w:space="0" w:color="auto"/>
        <w:bottom w:val="none" w:sz="0" w:space="0" w:color="auto"/>
        <w:right w:val="none" w:sz="0" w:space="0" w:color="auto"/>
      </w:divBdr>
    </w:div>
    <w:div w:id="583953432">
      <w:bodyDiv w:val="1"/>
      <w:marLeft w:val="0"/>
      <w:marRight w:val="0"/>
      <w:marTop w:val="0"/>
      <w:marBottom w:val="0"/>
      <w:divBdr>
        <w:top w:val="none" w:sz="0" w:space="0" w:color="auto"/>
        <w:left w:val="none" w:sz="0" w:space="0" w:color="auto"/>
        <w:bottom w:val="none" w:sz="0" w:space="0" w:color="auto"/>
        <w:right w:val="none" w:sz="0" w:space="0" w:color="auto"/>
      </w:divBdr>
    </w:div>
    <w:div w:id="583992891">
      <w:bodyDiv w:val="1"/>
      <w:marLeft w:val="0"/>
      <w:marRight w:val="0"/>
      <w:marTop w:val="0"/>
      <w:marBottom w:val="0"/>
      <w:divBdr>
        <w:top w:val="none" w:sz="0" w:space="0" w:color="auto"/>
        <w:left w:val="none" w:sz="0" w:space="0" w:color="auto"/>
        <w:bottom w:val="none" w:sz="0" w:space="0" w:color="auto"/>
        <w:right w:val="none" w:sz="0" w:space="0" w:color="auto"/>
      </w:divBdr>
    </w:div>
    <w:div w:id="584143334">
      <w:bodyDiv w:val="1"/>
      <w:marLeft w:val="0"/>
      <w:marRight w:val="0"/>
      <w:marTop w:val="0"/>
      <w:marBottom w:val="0"/>
      <w:divBdr>
        <w:top w:val="none" w:sz="0" w:space="0" w:color="auto"/>
        <w:left w:val="none" w:sz="0" w:space="0" w:color="auto"/>
        <w:bottom w:val="none" w:sz="0" w:space="0" w:color="auto"/>
        <w:right w:val="none" w:sz="0" w:space="0" w:color="auto"/>
      </w:divBdr>
    </w:div>
    <w:div w:id="584264320">
      <w:bodyDiv w:val="1"/>
      <w:marLeft w:val="0"/>
      <w:marRight w:val="0"/>
      <w:marTop w:val="0"/>
      <w:marBottom w:val="0"/>
      <w:divBdr>
        <w:top w:val="none" w:sz="0" w:space="0" w:color="auto"/>
        <w:left w:val="none" w:sz="0" w:space="0" w:color="auto"/>
        <w:bottom w:val="none" w:sz="0" w:space="0" w:color="auto"/>
        <w:right w:val="none" w:sz="0" w:space="0" w:color="auto"/>
      </w:divBdr>
    </w:div>
    <w:div w:id="584267303">
      <w:bodyDiv w:val="1"/>
      <w:marLeft w:val="0"/>
      <w:marRight w:val="0"/>
      <w:marTop w:val="0"/>
      <w:marBottom w:val="0"/>
      <w:divBdr>
        <w:top w:val="none" w:sz="0" w:space="0" w:color="auto"/>
        <w:left w:val="none" w:sz="0" w:space="0" w:color="auto"/>
        <w:bottom w:val="none" w:sz="0" w:space="0" w:color="auto"/>
        <w:right w:val="none" w:sz="0" w:space="0" w:color="auto"/>
      </w:divBdr>
    </w:div>
    <w:div w:id="584387330">
      <w:bodyDiv w:val="1"/>
      <w:marLeft w:val="0"/>
      <w:marRight w:val="0"/>
      <w:marTop w:val="0"/>
      <w:marBottom w:val="0"/>
      <w:divBdr>
        <w:top w:val="none" w:sz="0" w:space="0" w:color="auto"/>
        <w:left w:val="none" w:sz="0" w:space="0" w:color="auto"/>
        <w:bottom w:val="none" w:sz="0" w:space="0" w:color="auto"/>
        <w:right w:val="none" w:sz="0" w:space="0" w:color="auto"/>
      </w:divBdr>
    </w:div>
    <w:div w:id="584454498">
      <w:bodyDiv w:val="1"/>
      <w:marLeft w:val="0"/>
      <w:marRight w:val="0"/>
      <w:marTop w:val="0"/>
      <w:marBottom w:val="0"/>
      <w:divBdr>
        <w:top w:val="none" w:sz="0" w:space="0" w:color="auto"/>
        <w:left w:val="none" w:sz="0" w:space="0" w:color="auto"/>
        <w:bottom w:val="none" w:sz="0" w:space="0" w:color="auto"/>
        <w:right w:val="none" w:sz="0" w:space="0" w:color="auto"/>
      </w:divBdr>
    </w:div>
    <w:div w:id="584456040">
      <w:bodyDiv w:val="1"/>
      <w:marLeft w:val="0"/>
      <w:marRight w:val="0"/>
      <w:marTop w:val="0"/>
      <w:marBottom w:val="0"/>
      <w:divBdr>
        <w:top w:val="none" w:sz="0" w:space="0" w:color="auto"/>
        <w:left w:val="none" w:sz="0" w:space="0" w:color="auto"/>
        <w:bottom w:val="none" w:sz="0" w:space="0" w:color="auto"/>
        <w:right w:val="none" w:sz="0" w:space="0" w:color="auto"/>
      </w:divBdr>
    </w:div>
    <w:div w:id="584456770">
      <w:bodyDiv w:val="1"/>
      <w:marLeft w:val="0"/>
      <w:marRight w:val="0"/>
      <w:marTop w:val="0"/>
      <w:marBottom w:val="0"/>
      <w:divBdr>
        <w:top w:val="none" w:sz="0" w:space="0" w:color="auto"/>
        <w:left w:val="none" w:sz="0" w:space="0" w:color="auto"/>
        <w:bottom w:val="none" w:sz="0" w:space="0" w:color="auto"/>
        <w:right w:val="none" w:sz="0" w:space="0" w:color="auto"/>
      </w:divBdr>
    </w:div>
    <w:div w:id="584532710">
      <w:bodyDiv w:val="1"/>
      <w:marLeft w:val="0"/>
      <w:marRight w:val="0"/>
      <w:marTop w:val="0"/>
      <w:marBottom w:val="0"/>
      <w:divBdr>
        <w:top w:val="none" w:sz="0" w:space="0" w:color="auto"/>
        <w:left w:val="none" w:sz="0" w:space="0" w:color="auto"/>
        <w:bottom w:val="none" w:sz="0" w:space="0" w:color="auto"/>
        <w:right w:val="none" w:sz="0" w:space="0" w:color="auto"/>
      </w:divBdr>
    </w:div>
    <w:div w:id="584724361">
      <w:bodyDiv w:val="1"/>
      <w:marLeft w:val="0"/>
      <w:marRight w:val="0"/>
      <w:marTop w:val="0"/>
      <w:marBottom w:val="0"/>
      <w:divBdr>
        <w:top w:val="none" w:sz="0" w:space="0" w:color="auto"/>
        <w:left w:val="none" w:sz="0" w:space="0" w:color="auto"/>
        <w:bottom w:val="none" w:sz="0" w:space="0" w:color="auto"/>
        <w:right w:val="none" w:sz="0" w:space="0" w:color="auto"/>
      </w:divBdr>
    </w:div>
    <w:div w:id="584725649">
      <w:bodyDiv w:val="1"/>
      <w:marLeft w:val="0"/>
      <w:marRight w:val="0"/>
      <w:marTop w:val="0"/>
      <w:marBottom w:val="0"/>
      <w:divBdr>
        <w:top w:val="none" w:sz="0" w:space="0" w:color="auto"/>
        <w:left w:val="none" w:sz="0" w:space="0" w:color="auto"/>
        <w:bottom w:val="none" w:sz="0" w:space="0" w:color="auto"/>
        <w:right w:val="none" w:sz="0" w:space="0" w:color="auto"/>
      </w:divBdr>
    </w:div>
    <w:div w:id="584732339">
      <w:bodyDiv w:val="1"/>
      <w:marLeft w:val="0"/>
      <w:marRight w:val="0"/>
      <w:marTop w:val="0"/>
      <w:marBottom w:val="0"/>
      <w:divBdr>
        <w:top w:val="none" w:sz="0" w:space="0" w:color="auto"/>
        <w:left w:val="none" w:sz="0" w:space="0" w:color="auto"/>
        <w:bottom w:val="none" w:sz="0" w:space="0" w:color="auto"/>
        <w:right w:val="none" w:sz="0" w:space="0" w:color="auto"/>
      </w:divBdr>
    </w:div>
    <w:div w:id="584916465">
      <w:bodyDiv w:val="1"/>
      <w:marLeft w:val="0"/>
      <w:marRight w:val="0"/>
      <w:marTop w:val="0"/>
      <w:marBottom w:val="0"/>
      <w:divBdr>
        <w:top w:val="none" w:sz="0" w:space="0" w:color="auto"/>
        <w:left w:val="none" w:sz="0" w:space="0" w:color="auto"/>
        <w:bottom w:val="none" w:sz="0" w:space="0" w:color="auto"/>
        <w:right w:val="none" w:sz="0" w:space="0" w:color="auto"/>
      </w:divBdr>
    </w:div>
    <w:div w:id="584994724">
      <w:bodyDiv w:val="1"/>
      <w:marLeft w:val="0"/>
      <w:marRight w:val="0"/>
      <w:marTop w:val="0"/>
      <w:marBottom w:val="0"/>
      <w:divBdr>
        <w:top w:val="none" w:sz="0" w:space="0" w:color="auto"/>
        <w:left w:val="none" w:sz="0" w:space="0" w:color="auto"/>
        <w:bottom w:val="none" w:sz="0" w:space="0" w:color="auto"/>
        <w:right w:val="none" w:sz="0" w:space="0" w:color="auto"/>
      </w:divBdr>
    </w:div>
    <w:div w:id="585311006">
      <w:bodyDiv w:val="1"/>
      <w:marLeft w:val="0"/>
      <w:marRight w:val="0"/>
      <w:marTop w:val="0"/>
      <w:marBottom w:val="0"/>
      <w:divBdr>
        <w:top w:val="none" w:sz="0" w:space="0" w:color="auto"/>
        <w:left w:val="none" w:sz="0" w:space="0" w:color="auto"/>
        <w:bottom w:val="none" w:sz="0" w:space="0" w:color="auto"/>
        <w:right w:val="none" w:sz="0" w:space="0" w:color="auto"/>
      </w:divBdr>
    </w:div>
    <w:div w:id="585457470">
      <w:bodyDiv w:val="1"/>
      <w:marLeft w:val="0"/>
      <w:marRight w:val="0"/>
      <w:marTop w:val="0"/>
      <w:marBottom w:val="0"/>
      <w:divBdr>
        <w:top w:val="none" w:sz="0" w:space="0" w:color="auto"/>
        <w:left w:val="none" w:sz="0" w:space="0" w:color="auto"/>
        <w:bottom w:val="none" w:sz="0" w:space="0" w:color="auto"/>
        <w:right w:val="none" w:sz="0" w:space="0" w:color="auto"/>
      </w:divBdr>
    </w:div>
    <w:div w:id="585458481">
      <w:bodyDiv w:val="1"/>
      <w:marLeft w:val="0"/>
      <w:marRight w:val="0"/>
      <w:marTop w:val="0"/>
      <w:marBottom w:val="0"/>
      <w:divBdr>
        <w:top w:val="none" w:sz="0" w:space="0" w:color="auto"/>
        <w:left w:val="none" w:sz="0" w:space="0" w:color="auto"/>
        <w:bottom w:val="none" w:sz="0" w:space="0" w:color="auto"/>
        <w:right w:val="none" w:sz="0" w:space="0" w:color="auto"/>
      </w:divBdr>
    </w:div>
    <w:div w:id="585459203">
      <w:bodyDiv w:val="1"/>
      <w:marLeft w:val="0"/>
      <w:marRight w:val="0"/>
      <w:marTop w:val="0"/>
      <w:marBottom w:val="0"/>
      <w:divBdr>
        <w:top w:val="none" w:sz="0" w:space="0" w:color="auto"/>
        <w:left w:val="none" w:sz="0" w:space="0" w:color="auto"/>
        <w:bottom w:val="none" w:sz="0" w:space="0" w:color="auto"/>
        <w:right w:val="none" w:sz="0" w:space="0" w:color="auto"/>
      </w:divBdr>
    </w:div>
    <w:div w:id="585499715">
      <w:bodyDiv w:val="1"/>
      <w:marLeft w:val="0"/>
      <w:marRight w:val="0"/>
      <w:marTop w:val="0"/>
      <w:marBottom w:val="0"/>
      <w:divBdr>
        <w:top w:val="none" w:sz="0" w:space="0" w:color="auto"/>
        <w:left w:val="none" w:sz="0" w:space="0" w:color="auto"/>
        <w:bottom w:val="none" w:sz="0" w:space="0" w:color="auto"/>
        <w:right w:val="none" w:sz="0" w:space="0" w:color="auto"/>
      </w:divBdr>
    </w:div>
    <w:div w:id="585505365">
      <w:bodyDiv w:val="1"/>
      <w:marLeft w:val="0"/>
      <w:marRight w:val="0"/>
      <w:marTop w:val="0"/>
      <w:marBottom w:val="0"/>
      <w:divBdr>
        <w:top w:val="none" w:sz="0" w:space="0" w:color="auto"/>
        <w:left w:val="none" w:sz="0" w:space="0" w:color="auto"/>
        <w:bottom w:val="none" w:sz="0" w:space="0" w:color="auto"/>
        <w:right w:val="none" w:sz="0" w:space="0" w:color="auto"/>
      </w:divBdr>
    </w:div>
    <w:div w:id="585505378">
      <w:bodyDiv w:val="1"/>
      <w:marLeft w:val="0"/>
      <w:marRight w:val="0"/>
      <w:marTop w:val="0"/>
      <w:marBottom w:val="0"/>
      <w:divBdr>
        <w:top w:val="none" w:sz="0" w:space="0" w:color="auto"/>
        <w:left w:val="none" w:sz="0" w:space="0" w:color="auto"/>
        <w:bottom w:val="none" w:sz="0" w:space="0" w:color="auto"/>
        <w:right w:val="none" w:sz="0" w:space="0" w:color="auto"/>
      </w:divBdr>
    </w:div>
    <w:div w:id="585696628">
      <w:bodyDiv w:val="1"/>
      <w:marLeft w:val="0"/>
      <w:marRight w:val="0"/>
      <w:marTop w:val="0"/>
      <w:marBottom w:val="0"/>
      <w:divBdr>
        <w:top w:val="none" w:sz="0" w:space="0" w:color="auto"/>
        <w:left w:val="none" w:sz="0" w:space="0" w:color="auto"/>
        <w:bottom w:val="none" w:sz="0" w:space="0" w:color="auto"/>
        <w:right w:val="none" w:sz="0" w:space="0" w:color="auto"/>
      </w:divBdr>
    </w:div>
    <w:div w:id="585766780">
      <w:bodyDiv w:val="1"/>
      <w:marLeft w:val="0"/>
      <w:marRight w:val="0"/>
      <w:marTop w:val="0"/>
      <w:marBottom w:val="0"/>
      <w:divBdr>
        <w:top w:val="none" w:sz="0" w:space="0" w:color="auto"/>
        <w:left w:val="none" w:sz="0" w:space="0" w:color="auto"/>
        <w:bottom w:val="none" w:sz="0" w:space="0" w:color="auto"/>
        <w:right w:val="none" w:sz="0" w:space="0" w:color="auto"/>
      </w:divBdr>
    </w:div>
    <w:div w:id="585767602">
      <w:bodyDiv w:val="1"/>
      <w:marLeft w:val="0"/>
      <w:marRight w:val="0"/>
      <w:marTop w:val="0"/>
      <w:marBottom w:val="0"/>
      <w:divBdr>
        <w:top w:val="none" w:sz="0" w:space="0" w:color="auto"/>
        <w:left w:val="none" w:sz="0" w:space="0" w:color="auto"/>
        <w:bottom w:val="none" w:sz="0" w:space="0" w:color="auto"/>
        <w:right w:val="none" w:sz="0" w:space="0" w:color="auto"/>
      </w:divBdr>
    </w:div>
    <w:div w:id="585768025">
      <w:bodyDiv w:val="1"/>
      <w:marLeft w:val="0"/>
      <w:marRight w:val="0"/>
      <w:marTop w:val="0"/>
      <w:marBottom w:val="0"/>
      <w:divBdr>
        <w:top w:val="none" w:sz="0" w:space="0" w:color="auto"/>
        <w:left w:val="none" w:sz="0" w:space="0" w:color="auto"/>
        <w:bottom w:val="none" w:sz="0" w:space="0" w:color="auto"/>
        <w:right w:val="none" w:sz="0" w:space="0" w:color="auto"/>
      </w:divBdr>
    </w:div>
    <w:div w:id="585768732">
      <w:bodyDiv w:val="1"/>
      <w:marLeft w:val="0"/>
      <w:marRight w:val="0"/>
      <w:marTop w:val="0"/>
      <w:marBottom w:val="0"/>
      <w:divBdr>
        <w:top w:val="none" w:sz="0" w:space="0" w:color="auto"/>
        <w:left w:val="none" w:sz="0" w:space="0" w:color="auto"/>
        <w:bottom w:val="none" w:sz="0" w:space="0" w:color="auto"/>
        <w:right w:val="none" w:sz="0" w:space="0" w:color="auto"/>
      </w:divBdr>
    </w:div>
    <w:div w:id="585769081">
      <w:bodyDiv w:val="1"/>
      <w:marLeft w:val="0"/>
      <w:marRight w:val="0"/>
      <w:marTop w:val="0"/>
      <w:marBottom w:val="0"/>
      <w:divBdr>
        <w:top w:val="none" w:sz="0" w:space="0" w:color="auto"/>
        <w:left w:val="none" w:sz="0" w:space="0" w:color="auto"/>
        <w:bottom w:val="none" w:sz="0" w:space="0" w:color="auto"/>
        <w:right w:val="none" w:sz="0" w:space="0" w:color="auto"/>
      </w:divBdr>
    </w:div>
    <w:div w:id="585773125">
      <w:bodyDiv w:val="1"/>
      <w:marLeft w:val="0"/>
      <w:marRight w:val="0"/>
      <w:marTop w:val="0"/>
      <w:marBottom w:val="0"/>
      <w:divBdr>
        <w:top w:val="none" w:sz="0" w:space="0" w:color="auto"/>
        <w:left w:val="none" w:sz="0" w:space="0" w:color="auto"/>
        <w:bottom w:val="none" w:sz="0" w:space="0" w:color="auto"/>
        <w:right w:val="none" w:sz="0" w:space="0" w:color="auto"/>
      </w:divBdr>
    </w:div>
    <w:div w:id="586040004">
      <w:bodyDiv w:val="1"/>
      <w:marLeft w:val="0"/>
      <w:marRight w:val="0"/>
      <w:marTop w:val="0"/>
      <w:marBottom w:val="0"/>
      <w:divBdr>
        <w:top w:val="none" w:sz="0" w:space="0" w:color="auto"/>
        <w:left w:val="none" w:sz="0" w:space="0" w:color="auto"/>
        <w:bottom w:val="none" w:sz="0" w:space="0" w:color="auto"/>
        <w:right w:val="none" w:sz="0" w:space="0" w:color="auto"/>
      </w:divBdr>
    </w:div>
    <w:div w:id="586113903">
      <w:bodyDiv w:val="1"/>
      <w:marLeft w:val="0"/>
      <w:marRight w:val="0"/>
      <w:marTop w:val="0"/>
      <w:marBottom w:val="0"/>
      <w:divBdr>
        <w:top w:val="none" w:sz="0" w:space="0" w:color="auto"/>
        <w:left w:val="none" w:sz="0" w:space="0" w:color="auto"/>
        <w:bottom w:val="none" w:sz="0" w:space="0" w:color="auto"/>
        <w:right w:val="none" w:sz="0" w:space="0" w:color="auto"/>
      </w:divBdr>
    </w:div>
    <w:div w:id="586425517">
      <w:bodyDiv w:val="1"/>
      <w:marLeft w:val="0"/>
      <w:marRight w:val="0"/>
      <w:marTop w:val="0"/>
      <w:marBottom w:val="0"/>
      <w:divBdr>
        <w:top w:val="none" w:sz="0" w:space="0" w:color="auto"/>
        <w:left w:val="none" w:sz="0" w:space="0" w:color="auto"/>
        <w:bottom w:val="none" w:sz="0" w:space="0" w:color="auto"/>
        <w:right w:val="none" w:sz="0" w:space="0" w:color="auto"/>
      </w:divBdr>
    </w:div>
    <w:div w:id="586427699">
      <w:bodyDiv w:val="1"/>
      <w:marLeft w:val="0"/>
      <w:marRight w:val="0"/>
      <w:marTop w:val="0"/>
      <w:marBottom w:val="0"/>
      <w:divBdr>
        <w:top w:val="none" w:sz="0" w:space="0" w:color="auto"/>
        <w:left w:val="none" w:sz="0" w:space="0" w:color="auto"/>
        <w:bottom w:val="none" w:sz="0" w:space="0" w:color="auto"/>
        <w:right w:val="none" w:sz="0" w:space="0" w:color="auto"/>
      </w:divBdr>
    </w:div>
    <w:div w:id="586428766">
      <w:bodyDiv w:val="1"/>
      <w:marLeft w:val="0"/>
      <w:marRight w:val="0"/>
      <w:marTop w:val="0"/>
      <w:marBottom w:val="0"/>
      <w:divBdr>
        <w:top w:val="none" w:sz="0" w:space="0" w:color="auto"/>
        <w:left w:val="none" w:sz="0" w:space="0" w:color="auto"/>
        <w:bottom w:val="none" w:sz="0" w:space="0" w:color="auto"/>
        <w:right w:val="none" w:sz="0" w:space="0" w:color="auto"/>
      </w:divBdr>
    </w:div>
    <w:div w:id="586619933">
      <w:bodyDiv w:val="1"/>
      <w:marLeft w:val="0"/>
      <w:marRight w:val="0"/>
      <w:marTop w:val="0"/>
      <w:marBottom w:val="0"/>
      <w:divBdr>
        <w:top w:val="none" w:sz="0" w:space="0" w:color="auto"/>
        <w:left w:val="none" w:sz="0" w:space="0" w:color="auto"/>
        <w:bottom w:val="none" w:sz="0" w:space="0" w:color="auto"/>
        <w:right w:val="none" w:sz="0" w:space="0" w:color="auto"/>
      </w:divBdr>
    </w:div>
    <w:div w:id="586621050">
      <w:bodyDiv w:val="1"/>
      <w:marLeft w:val="0"/>
      <w:marRight w:val="0"/>
      <w:marTop w:val="0"/>
      <w:marBottom w:val="0"/>
      <w:divBdr>
        <w:top w:val="none" w:sz="0" w:space="0" w:color="auto"/>
        <w:left w:val="none" w:sz="0" w:space="0" w:color="auto"/>
        <w:bottom w:val="none" w:sz="0" w:space="0" w:color="auto"/>
        <w:right w:val="none" w:sz="0" w:space="0" w:color="auto"/>
      </w:divBdr>
    </w:div>
    <w:div w:id="586693078">
      <w:bodyDiv w:val="1"/>
      <w:marLeft w:val="0"/>
      <w:marRight w:val="0"/>
      <w:marTop w:val="0"/>
      <w:marBottom w:val="0"/>
      <w:divBdr>
        <w:top w:val="none" w:sz="0" w:space="0" w:color="auto"/>
        <w:left w:val="none" w:sz="0" w:space="0" w:color="auto"/>
        <w:bottom w:val="none" w:sz="0" w:space="0" w:color="auto"/>
        <w:right w:val="none" w:sz="0" w:space="0" w:color="auto"/>
      </w:divBdr>
    </w:div>
    <w:div w:id="586767671">
      <w:bodyDiv w:val="1"/>
      <w:marLeft w:val="0"/>
      <w:marRight w:val="0"/>
      <w:marTop w:val="0"/>
      <w:marBottom w:val="0"/>
      <w:divBdr>
        <w:top w:val="none" w:sz="0" w:space="0" w:color="auto"/>
        <w:left w:val="none" w:sz="0" w:space="0" w:color="auto"/>
        <w:bottom w:val="none" w:sz="0" w:space="0" w:color="auto"/>
        <w:right w:val="none" w:sz="0" w:space="0" w:color="auto"/>
      </w:divBdr>
    </w:div>
    <w:div w:id="587009575">
      <w:bodyDiv w:val="1"/>
      <w:marLeft w:val="0"/>
      <w:marRight w:val="0"/>
      <w:marTop w:val="0"/>
      <w:marBottom w:val="0"/>
      <w:divBdr>
        <w:top w:val="none" w:sz="0" w:space="0" w:color="auto"/>
        <w:left w:val="none" w:sz="0" w:space="0" w:color="auto"/>
        <w:bottom w:val="none" w:sz="0" w:space="0" w:color="auto"/>
        <w:right w:val="none" w:sz="0" w:space="0" w:color="auto"/>
      </w:divBdr>
    </w:div>
    <w:div w:id="587036922">
      <w:bodyDiv w:val="1"/>
      <w:marLeft w:val="0"/>
      <w:marRight w:val="0"/>
      <w:marTop w:val="0"/>
      <w:marBottom w:val="0"/>
      <w:divBdr>
        <w:top w:val="none" w:sz="0" w:space="0" w:color="auto"/>
        <w:left w:val="none" w:sz="0" w:space="0" w:color="auto"/>
        <w:bottom w:val="none" w:sz="0" w:space="0" w:color="auto"/>
        <w:right w:val="none" w:sz="0" w:space="0" w:color="auto"/>
      </w:divBdr>
    </w:div>
    <w:div w:id="587081926">
      <w:bodyDiv w:val="1"/>
      <w:marLeft w:val="0"/>
      <w:marRight w:val="0"/>
      <w:marTop w:val="0"/>
      <w:marBottom w:val="0"/>
      <w:divBdr>
        <w:top w:val="none" w:sz="0" w:space="0" w:color="auto"/>
        <w:left w:val="none" w:sz="0" w:space="0" w:color="auto"/>
        <w:bottom w:val="none" w:sz="0" w:space="0" w:color="auto"/>
        <w:right w:val="none" w:sz="0" w:space="0" w:color="auto"/>
      </w:divBdr>
    </w:div>
    <w:div w:id="587160132">
      <w:bodyDiv w:val="1"/>
      <w:marLeft w:val="0"/>
      <w:marRight w:val="0"/>
      <w:marTop w:val="0"/>
      <w:marBottom w:val="0"/>
      <w:divBdr>
        <w:top w:val="none" w:sz="0" w:space="0" w:color="auto"/>
        <w:left w:val="none" w:sz="0" w:space="0" w:color="auto"/>
        <w:bottom w:val="none" w:sz="0" w:space="0" w:color="auto"/>
        <w:right w:val="none" w:sz="0" w:space="0" w:color="auto"/>
      </w:divBdr>
    </w:div>
    <w:div w:id="587269606">
      <w:bodyDiv w:val="1"/>
      <w:marLeft w:val="0"/>
      <w:marRight w:val="0"/>
      <w:marTop w:val="0"/>
      <w:marBottom w:val="0"/>
      <w:divBdr>
        <w:top w:val="none" w:sz="0" w:space="0" w:color="auto"/>
        <w:left w:val="none" w:sz="0" w:space="0" w:color="auto"/>
        <w:bottom w:val="none" w:sz="0" w:space="0" w:color="auto"/>
        <w:right w:val="none" w:sz="0" w:space="0" w:color="auto"/>
      </w:divBdr>
    </w:div>
    <w:div w:id="587468243">
      <w:bodyDiv w:val="1"/>
      <w:marLeft w:val="0"/>
      <w:marRight w:val="0"/>
      <w:marTop w:val="0"/>
      <w:marBottom w:val="0"/>
      <w:divBdr>
        <w:top w:val="none" w:sz="0" w:space="0" w:color="auto"/>
        <w:left w:val="none" w:sz="0" w:space="0" w:color="auto"/>
        <w:bottom w:val="none" w:sz="0" w:space="0" w:color="auto"/>
        <w:right w:val="none" w:sz="0" w:space="0" w:color="auto"/>
      </w:divBdr>
    </w:div>
    <w:div w:id="587469211">
      <w:bodyDiv w:val="1"/>
      <w:marLeft w:val="0"/>
      <w:marRight w:val="0"/>
      <w:marTop w:val="0"/>
      <w:marBottom w:val="0"/>
      <w:divBdr>
        <w:top w:val="none" w:sz="0" w:space="0" w:color="auto"/>
        <w:left w:val="none" w:sz="0" w:space="0" w:color="auto"/>
        <w:bottom w:val="none" w:sz="0" w:space="0" w:color="auto"/>
        <w:right w:val="none" w:sz="0" w:space="0" w:color="auto"/>
      </w:divBdr>
    </w:div>
    <w:div w:id="587543237">
      <w:bodyDiv w:val="1"/>
      <w:marLeft w:val="0"/>
      <w:marRight w:val="0"/>
      <w:marTop w:val="0"/>
      <w:marBottom w:val="0"/>
      <w:divBdr>
        <w:top w:val="none" w:sz="0" w:space="0" w:color="auto"/>
        <w:left w:val="none" w:sz="0" w:space="0" w:color="auto"/>
        <w:bottom w:val="none" w:sz="0" w:space="0" w:color="auto"/>
        <w:right w:val="none" w:sz="0" w:space="0" w:color="auto"/>
      </w:divBdr>
    </w:div>
    <w:div w:id="587735820">
      <w:bodyDiv w:val="1"/>
      <w:marLeft w:val="0"/>
      <w:marRight w:val="0"/>
      <w:marTop w:val="0"/>
      <w:marBottom w:val="0"/>
      <w:divBdr>
        <w:top w:val="none" w:sz="0" w:space="0" w:color="auto"/>
        <w:left w:val="none" w:sz="0" w:space="0" w:color="auto"/>
        <w:bottom w:val="none" w:sz="0" w:space="0" w:color="auto"/>
        <w:right w:val="none" w:sz="0" w:space="0" w:color="auto"/>
      </w:divBdr>
    </w:div>
    <w:div w:id="587889253">
      <w:bodyDiv w:val="1"/>
      <w:marLeft w:val="0"/>
      <w:marRight w:val="0"/>
      <w:marTop w:val="0"/>
      <w:marBottom w:val="0"/>
      <w:divBdr>
        <w:top w:val="none" w:sz="0" w:space="0" w:color="auto"/>
        <w:left w:val="none" w:sz="0" w:space="0" w:color="auto"/>
        <w:bottom w:val="none" w:sz="0" w:space="0" w:color="auto"/>
        <w:right w:val="none" w:sz="0" w:space="0" w:color="auto"/>
      </w:divBdr>
    </w:div>
    <w:div w:id="587890636">
      <w:bodyDiv w:val="1"/>
      <w:marLeft w:val="0"/>
      <w:marRight w:val="0"/>
      <w:marTop w:val="0"/>
      <w:marBottom w:val="0"/>
      <w:divBdr>
        <w:top w:val="none" w:sz="0" w:space="0" w:color="auto"/>
        <w:left w:val="none" w:sz="0" w:space="0" w:color="auto"/>
        <w:bottom w:val="none" w:sz="0" w:space="0" w:color="auto"/>
        <w:right w:val="none" w:sz="0" w:space="0" w:color="auto"/>
      </w:divBdr>
    </w:div>
    <w:div w:id="587926035">
      <w:bodyDiv w:val="1"/>
      <w:marLeft w:val="0"/>
      <w:marRight w:val="0"/>
      <w:marTop w:val="0"/>
      <w:marBottom w:val="0"/>
      <w:divBdr>
        <w:top w:val="none" w:sz="0" w:space="0" w:color="auto"/>
        <w:left w:val="none" w:sz="0" w:space="0" w:color="auto"/>
        <w:bottom w:val="none" w:sz="0" w:space="0" w:color="auto"/>
        <w:right w:val="none" w:sz="0" w:space="0" w:color="auto"/>
      </w:divBdr>
    </w:div>
    <w:div w:id="587927756">
      <w:bodyDiv w:val="1"/>
      <w:marLeft w:val="0"/>
      <w:marRight w:val="0"/>
      <w:marTop w:val="0"/>
      <w:marBottom w:val="0"/>
      <w:divBdr>
        <w:top w:val="none" w:sz="0" w:space="0" w:color="auto"/>
        <w:left w:val="none" w:sz="0" w:space="0" w:color="auto"/>
        <w:bottom w:val="none" w:sz="0" w:space="0" w:color="auto"/>
        <w:right w:val="none" w:sz="0" w:space="0" w:color="auto"/>
      </w:divBdr>
    </w:div>
    <w:div w:id="588078179">
      <w:bodyDiv w:val="1"/>
      <w:marLeft w:val="0"/>
      <w:marRight w:val="0"/>
      <w:marTop w:val="0"/>
      <w:marBottom w:val="0"/>
      <w:divBdr>
        <w:top w:val="none" w:sz="0" w:space="0" w:color="auto"/>
        <w:left w:val="none" w:sz="0" w:space="0" w:color="auto"/>
        <w:bottom w:val="none" w:sz="0" w:space="0" w:color="auto"/>
        <w:right w:val="none" w:sz="0" w:space="0" w:color="auto"/>
      </w:divBdr>
    </w:div>
    <w:div w:id="588276506">
      <w:bodyDiv w:val="1"/>
      <w:marLeft w:val="0"/>
      <w:marRight w:val="0"/>
      <w:marTop w:val="0"/>
      <w:marBottom w:val="0"/>
      <w:divBdr>
        <w:top w:val="none" w:sz="0" w:space="0" w:color="auto"/>
        <w:left w:val="none" w:sz="0" w:space="0" w:color="auto"/>
        <w:bottom w:val="none" w:sz="0" w:space="0" w:color="auto"/>
        <w:right w:val="none" w:sz="0" w:space="0" w:color="auto"/>
      </w:divBdr>
    </w:div>
    <w:div w:id="588319876">
      <w:bodyDiv w:val="1"/>
      <w:marLeft w:val="0"/>
      <w:marRight w:val="0"/>
      <w:marTop w:val="0"/>
      <w:marBottom w:val="0"/>
      <w:divBdr>
        <w:top w:val="none" w:sz="0" w:space="0" w:color="auto"/>
        <w:left w:val="none" w:sz="0" w:space="0" w:color="auto"/>
        <w:bottom w:val="none" w:sz="0" w:space="0" w:color="auto"/>
        <w:right w:val="none" w:sz="0" w:space="0" w:color="auto"/>
      </w:divBdr>
    </w:div>
    <w:div w:id="588320305">
      <w:bodyDiv w:val="1"/>
      <w:marLeft w:val="0"/>
      <w:marRight w:val="0"/>
      <w:marTop w:val="0"/>
      <w:marBottom w:val="0"/>
      <w:divBdr>
        <w:top w:val="none" w:sz="0" w:space="0" w:color="auto"/>
        <w:left w:val="none" w:sz="0" w:space="0" w:color="auto"/>
        <w:bottom w:val="none" w:sz="0" w:space="0" w:color="auto"/>
        <w:right w:val="none" w:sz="0" w:space="0" w:color="auto"/>
      </w:divBdr>
    </w:div>
    <w:div w:id="588390447">
      <w:bodyDiv w:val="1"/>
      <w:marLeft w:val="0"/>
      <w:marRight w:val="0"/>
      <w:marTop w:val="0"/>
      <w:marBottom w:val="0"/>
      <w:divBdr>
        <w:top w:val="none" w:sz="0" w:space="0" w:color="auto"/>
        <w:left w:val="none" w:sz="0" w:space="0" w:color="auto"/>
        <w:bottom w:val="none" w:sz="0" w:space="0" w:color="auto"/>
        <w:right w:val="none" w:sz="0" w:space="0" w:color="auto"/>
      </w:divBdr>
    </w:div>
    <w:div w:id="588391209">
      <w:bodyDiv w:val="1"/>
      <w:marLeft w:val="0"/>
      <w:marRight w:val="0"/>
      <w:marTop w:val="0"/>
      <w:marBottom w:val="0"/>
      <w:divBdr>
        <w:top w:val="none" w:sz="0" w:space="0" w:color="auto"/>
        <w:left w:val="none" w:sz="0" w:space="0" w:color="auto"/>
        <w:bottom w:val="none" w:sz="0" w:space="0" w:color="auto"/>
        <w:right w:val="none" w:sz="0" w:space="0" w:color="auto"/>
      </w:divBdr>
    </w:div>
    <w:div w:id="588394780">
      <w:bodyDiv w:val="1"/>
      <w:marLeft w:val="0"/>
      <w:marRight w:val="0"/>
      <w:marTop w:val="0"/>
      <w:marBottom w:val="0"/>
      <w:divBdr>
        <w:top w:val="none" w:sz="0" w:space="0" w:color="auto"/>
        <w:left w:val="none" w:sz="0" w:space="0" w:color="auto"/>
        <w:bottom w:val="none" w:sz="0" w:space="0" w:color="auto"/>
        <w:right w:val="none" w:sz="0" w:space="0" w:color="auto"/>
      </w:divBdr>
    </w:div>
    <w:div w:id="588465738">
      <w:bodyDiv w:val="1"/>
      <w:marLeft w:val="0"/>
      <w:marRight w:val="0"/>
      <w:marTop w:val="0"/>
      <w:marBottom w:val="0"/>
      <w:divBdr>
        <w:top w:val="none" w:sz="0" w:space="0" w:color="auto"/>
        <w:left w:val="none" w:sz="0" w:space="0" w:color="auto"/>
        <w:bottom w:val="none" w:sz="0" w:space="0" w:color="auto"/>
        <w:right w:val="none" w:sz="0" w:space="0" w:color="auto"/>
      </w:divBdr>
    </w:div>
    <w:div w:id="588543319">
      <w:bodyDiv w:val="1"/>
      <w:marLeft w:val="0"/>
      <w:marRight w:val="0"/>
      <w:marTop w:val="0"/>
      <w:marBottom w:val="0"/>
      <w:divBdr>
        <w:top w:val="none" w:sz="0" w:space="0" w:color="auto"/>
        <w:left w:val="none" w:sz="0" w:space="0" w:color="auto"/>
        <w:bottom w:val="none" w:sz="0" w:space="0" w:color="auto"/>
        <w:right w:val="none" w:sz="0" w:space="0" w:color="auto"/>
      </w:divBdr>
    </w:div>
    <w:div w:id="588580752">
      <w:bodyDiv w:val="1"/>
      <w:marLeft w:val="0"/>
      <w:marRight w:val="0"/>
      <w:marTop w:val="0"/>
      <w:marBottom w:val="0"/>
      <w:divBdr>
        <w:top w:val="none" w:sz="0" w:space="0" w:color="auto"/>
        <w:left w:val="none" w:sz="0" w:space="0" w:color="auto"/>
        <w:bottom w:val="none" w:sz="0" w:space="0" w:color="auto"/>
        <w:right w:val="none" w:sz="0" w:space="0" w:color="auto"/>
      </w:divBdr>
    </w:div>
    <w:div w:id="588734687">
      <w:bodyDiv w:val="1"/>
      <w:marLeft w:val="0"/>
      <w:marRight w:val="0"/>
      <w:marTop w:val="0"/>
      <w:marBottom w:val="0"/>
      <w:divBdr>
        <w:top w:val="none" w:sz="0" w:space="0" w:color="auto"/>
        <w:left w:val="none" w:sz="0" w:space="0" w:color="auto"/>
        <w:bottom w:val="none" w:sz="0" w:space="0" w:color="auto"/>
        <w:right w:val="none" w:sz="0" w:space="0" w:color="auto"/>
      </w:divBdr>
    </w:div>
    <w:div w:id="588734763">
      <w:bodyDiv w:val="1"/>
      <w:marLeft w:val="0"/>
      <w:marRight w:val="0"/>
      <w:marTop w:val="0"/>
      <w:marBottom w:val="0"/>
      <w:divBdr>
        <w:top w:val="none" w:sz="0" w:space="0" w:color="auto"/>
        <w:left w:val="none" w:sz="0" w:space="0" w:color="auto"/>
        <w:bottom w:val="none" w:sz="0" w:space="0" w:color="auto"/>
        <w:right w:val="none" w:sz="0" w:space="0" w:color="auto"/>
      </w:divBdr>
    </w:div>
    <w:div w:id="588856542">
      <w:bodyDiv w:val="1"/>
      <w:marLeft w:val="0"/>
      <w:marRight w:val="0"/>
      <w:marTop w:val="0"/>
      <w:marBottom w:val="0"/>
      <w:divBdr>
        <w:top w:val="none" w:sz="0" w:space="0" w:color="auto"/>
        <w:left w:val="none" w:sz="0" w:space="0" w:color="auto"/>
        <w:bottom w:val="none" w:sz="0" w:space="0" w:color="auto"/>
        <w:right w:val="none" w:sz="0" w:space="0" w:color="auto"/>
      </w:divBdr>
    </w:div>
    <w:div w:id="589124510">
      <w:bodyDiv w:val="1"/>
      <w:marLeft w:val="0"/>
      <w:marRight w:val="0"/>
      <w:marTop w:val="0"/>
      <w:marBottom w:val="0"/>
      <w:divBdr>
        <w:top w:val="none" w:sz="0" w:space="0" w:color="auto"/>
        <w:left w:val="none" w:sz="0" w:space="0" w:color="auto"/>
        <w:bottom w:val="none" w:sz="0" w:space="0" w:color="auto"/>
        <w:right w:val="none" w:sz="0" w:space="0" w:color="auto"/>
      </w:divBdr>
    </w:div>
    <w:div w:id="589198337">
      <w:bodyDiv w:val="1"/>
      <w:marLeft w:val="0"/>
      <w:marRight w:val="0"/>
      <w:marTop w:val="0"/>
      <w:marBottom w:val="0"/>
      <w:divBdr>
        <w:top w:val="none" w:sz="0" w:space="0" w:color="auto"/>
        <w:left w:val="none" w:sz="0" w:space="0" w:color="auto"/>
        <w:bottom w:val="none" w:sz="0" w:space="0" w:color="auto"/>
        <w:right w:val="none" w:sz="0" w:space="0" w:color="auto"/>
      </w:divBdr>
    </w:div>
    <w:div w:id="589199156">
      <w:bodyDiv w:val="1"/>
      <w:marLeft w:val="0"/>
      <w:marRight w:val="0"/>
      <w:marTop w:val="0"/>
      <w:marBottom w:val="0"/>
      <w:divBdr>
        <w:top w:val="none" w:sz="0" w:space="0" w:color="auto"/>
        <w:left w:val="none" w:sz="0" w:space="0" w:color="auto"/>
        <w:bottom w:val="none" w:sz="0" w:space="0" w:color="auto"/>
        <w:right w:val="none" w:sz="0" w:space="0" w:color="auto"/>
      </w:divBdr>
    </w:div>
    <w:div w:id="589317739">
      <w:bodyDiv w:val="1"/>
      <w:marLeft w:val="0"/>
      <w:marRight w:val="0"/>
      <w:marTop w:val="0"/>
      <w:marBottom w:val="0"/>
      <w:divBdr>
        <w:top w:val="none" w:sz="0" w:space="0" w:color="auto"/>
        <w:left w:val="none" w:sz="0" w:space="0" w:color="auto"/>
        <w:bottom w:val="none" w:sz="0" w:space="0" w:color="auto"/>
        <w:right w:val="none" w:sz="0" w:space="0" w:color="auto"/>
      </w:divBdr>
    </w:div>
    <w:div w:id="589504108">
      <w:bodyDiv w:val="1"/>
      <w:marLeft w:val="0"/>
      <w:marRight w:val="0"/>
      <w:marTop w:val="0"/>
      <w:marBottom w:val="0"/>
      <w:divBdr>
        <w:top w:val="none" w:sz="0" w:space="0" w:color="auto"/>
        <w:left w:val="none" w:sz="0" w:space="0" w:color="auto"/>
        <w:bottom w:val="none" w:sz="0" w:space="0" w:color="auto"/>
        <w:right w:val="none" w:sz="0" w:space="0" w:color="auto"/>
      </w:divBdr>
    </w:div>
    <w:div w:id="589578704">
      <w:bodyDiv w:val="1"/>
      <w:marLeft w:val="0"/>
      <w:marRight w:val="0"/>
      <w:marTop w:val="0"/>
      <w:marBottom w:val="0"/>
      <w:divBdr>
        <w:top w:val="none" w:sz="0" w:space="0" w:color="auto"/>
        <w:left w:val="none" w:sz="0" w:space="0" w:color="auto"/>
        <w:bottom w:val="none" w:sz="0" w:space="0" w:color="auto"/>
        <w:right w:val="none" w:sz="0" w:space="0" w:color="auto"/>
      </w:divBdr>
    </w:div>
    <w:div w:id="589772188">
      <w:bodyDiv w:val="1"/>
      <w:marLeft w:val="0"/>
      <w:marRight w:val="0"/>
      <w:marTop w:val="0"/>
      <w:marBottom w:val="0"/>
      <w:divBdr>
        <w:top w:val="none" w:sz="0" w:space="0" w:color="auto"/>
        <w:left w:val="none" w:sz="0" w:space="0" w:color="auto"/>
        <w:bottom w:val="none" w:sz="0" w:space="0" w:color="auto"/>
        <w:right w:val="none" w:sz="0" w:space="0" w:color="auto"/>
      </w:divBdr>
    </w:div>
    <w:div w:id="589774215">
      <w:bodyDiv w:val="1"/>
      <w:marLeft w:val="0"/>
      <w:marRight w:val="0"/>
      <w:marTop w:val="0"/>
      <w:marBottom w:val="0"/>
      <w:divBdr>
        <w:top w:val="none" w:sz="0" w:space="0" w:color="auto"/>
        <w:left w:val="none" w:sz="0" w:space="0" w:color="auto"/>
        <w:bottom w:val="none" w:sz="0" w:space="0" w:color="auto"/>
        <w:right w:val="none" w:sz="0" w:space="0" w:color="auto"/>
      </w:divBdr>
    </w:div>
    <w:div w:id="589775932">
      <w:bodyDiv w:val="1"/>
      <w:marLeft w:val="0"/>
      <w:marRight w:val="0"/>
      <w:marTop w:val="0"/>
      <w:marBottom w:val="0"/>
      <w:divBdr>
        <w:top w:val="none" w:sz="0" w:space="0" w:color="auto"/>
        <w:left w:val="none" w:sz="0" w:space="0" w:color="auto"/>
        <w:bottom w:val="none" w:sz="0" w:space="0" w:color="auto"/>
        <w:right w:val="none" w:sz="0" w:space="0" w:color="auto"/>
      </w:divBdr>
    </w:div>
    <w:div w:id="589854020">
      <w:bodyDiv w:val="1"/>
      <w:marLeft w:val="0"/>
      <w:marRight w:val="0"/>
      <w:marTop w:val="0"/>
      <w:marBottom w:val="0"/>
      <w:divBdr>
        <w:top w:val="none" w:sz="0" w:space="0" w:color="auto"/>
        <w:left w:val="none" w:sz="0" w:space="0" w:color="auto"/>
        <w:bottom w:val="none" w:sz="0" w:space="0" w:color="auto"/>
        <w:right w:val="none" w:sz="0" w:space="0" w:color="auto"/>
      </w:divBdr>
    </w:div>
    <w:div w:id="589891418">
      <w:bodyDiv w:val="1"/>
      <w:marLeft w:val="0"/>
      <w:marRight w:val="0"/>
      <w:marTop w:val="0"/>
      <w:marBottom w:val="0"/>
      <w:divBdr>
        <w:top w:val="none" w:sz="0" w:space="0" w:color="auto"/>
        <w:left w:val="none" w:sz="0" w:space="0" w:color="auto"/>
        <w:bottom w:val="none" w:sz="0" w:space="0" w:color="auto"/>
        <w:right w:val="none" w:sz="0" w:space="0" w:color="auto"/>
      </w:divBdr>
    </w:div>
    <w:div w:id="589894383">
      <w:bodyDiv w:val="1"/>
      <w:marLeft w:val="0"/>
      <w:marRight w:val="0"/>
      <w:marTop w:val="0"/>
      <w:marBottom w:val="0"/>
      <w:divBdr>
        <w:top w:val="none" w:sz="0" w:space="0" w:color="auto"/>
        <w:left w:val="none" w:sz="0" w:space="0" w:color="auto"/>
        <w:bottom w:val="none" w:sz="0" w:space="0" w:color="auto"/>
        <w:right w:val="none" w:sz="0" w:space="0" w:color="auto"/>
      </w:divBdr>
    </w:div>
    <w:div w:id="589896318">
      <w:bodyDiv w:val="1"/>
      <w:marLeft w:val="0"/>
      <w:marRight w:val="0"/>
      <w:marTop w:val="0"/>
      <w:marBottom w:val="0"/>
      <w:divBdr>
        <w:top w:val="none" w:sz="0" w:space="0" w:color="auto"/>
        <w:left w:val="none" w:sz="0" w:space="0" w:color="auto"/>
        <w:bottom w:val="none" w:sz="0" w:space="0" w:color="auto"/>
        <w:right w:val="none" w:sz="0" w:space="0" w:color="auto"/>
      </w:divBdr>
    </w:div>
    <w:div w:id="589971356">
      <w:bodyDiv w:val="1"/>
      <w:marLeft w:val="0"/>
      <w:marRight w:val="0"/>
      <w:marTop w:val="0"/>
      <w:marBottom w:val="0"/>
      <w:divBdr>
        <w:top w:val="none" w:sz="0" w:space="0" w:color="auto"/>
        <w:left w:val="none" w:sz="0" w:space="0" w:color="auto"/>
        <w:bottom w:val="none" w:sz="0" w:space="0" w:color="auto"/>
        <w:right w:val="none" w:sz="0" w:space="0" w:color="auto"/>
      </w:divBdr>
    </w:div>
    <w:div w:id="589973216">
      <w:bodyDiv w:val="1"/>
      <w:marLeft w:val="0"/>
      <w:marRight w:val="0"/>
      <w:marTop w:val="0"/>
      <w:marBottom w:val="0"/>
      <w:divBdr>
        <w:top w:val="none" w:sz="0" w:space="0" w:color="auto"/>
        <w:left w:val="none" w:sz="0" w:space="0" w:color="auto"/>
        <w:bottom w:val="none" w:sz="0" w:space="0" w:color="auto"/>
        <w:right w:val="none" w:sz="0" w:space="0" w:color="auto"/>
      </w:divBdr>
    </w:div>
    <w:div w:id="589974981">
      <w:bodyDiv w:val="1"/>
      <w:marLeft w:val="0"/>
      <w:marRight w:val="0"/>
      <w:marTop w:val="0"/>
      <w:marBottom w:val="0"/>
      <w:divBdr>
        <w:top w:val="none" w:sz="0" w:space="0" w:color="auto"/>
        <w:left w:val="none" w:sz="0" w:space="0" w:color="auto"/>
        <w:bottom w:val="none" w:sz="0" w:space="0" w:color="auto"/>
        <w:right w:val="none" w:sz="0" w:space="0" w:color="auto"/>
      </w:divBdr>
    </w:div>
    <w:div w:id="590048520">
      <w:bodyDiv w:val="1"/>
      <w:marLeft w:val="0"/>
      <w:marRight w:val="0"/>
      <w:marTop w:val="0"/>
      <w:marBottom w:val="0"/>
      <w:divBdr>
        <w:top w:val="none" w:sz="0" w:space="0" w:color="auto"/>
        <w:left w:val="none" w:sz="0" w:space="0" w:color="auto"/>
        <w:bottom w:val="none" w:sz="0" w:space="0" w:color="auto"/>
        <w:right w:val="none" w:sz="0" w:space="0" w:color="auto"/>
      </w:divBdr>
    </w:div>
    <w:div w:id="590092244">
      <w:bodyDiv w:val="1"/>
      <w:marLeft w:val="0"/>
      <w:marRight w:val="0"/>
      <w:marTop w:val="0"/>
      <w:marBottom w:val="0"/>
      <w:divBdr>
        <w:top w:val="none" w:sz="0" w:space="0" w:color="auto"/>
        <w:left w:val="none" w:sz="0" w:space="0" w:color="auto"/>
        <w:bottom w:val="none" w:sz="0" w:space="0" w:color="auto"/>
        <w:right w:val="none" w:sz="0" w:space="0" w:color="auto"/>
      </w:divBdr>
    </w:div>
    <w:div w:id="590356749">
      <w:bodyDiv w:val="1"/>
      <w:marLeft w:val="0"/>
      <w:marRight w:val="0"/>
      <w:marTop w:val="0"/>
      <w:marBottom w:val="0"/>
      <w:divBdr>
        <w:top w:val="none" w:sz="0" w:space="0" w:color="auto"/>
        <w:left w:val="none" w:sz="0" w:space="0" w:color="auto"/>
        <w:bottom w:val="none" w:sz="0" w:space="0" w:color="auto"/>
        <w:right w:val="none" w:sz="0" w:space="0" w:color="auto"/>
      </w:divBdr>
    </w:div>
    <w:div w:id="590427934">
      <w:bodyDiv w:val="1"/>
      <w:marLeft w:val="0"/>
      <w:marRight w:val="0"/>
      <w:marTop w:val="0"/>
      <w:marBottom w:val="0"/>
      <w:divBdr>
        <w:top w:val="none" w:sz="0" w:space="0" w:color="auto"/>
        <w:left w:val="none" w:sz="0" w:space="0" w:color="auto"/>
        <w:bottom w:val="none" w:sz="0" w:space="0" w:color="auto"/>
        <w:right w:val="none" w:sz="0" w:space="0" w:color="auto"/>
      </w:divBdr>
    </w:div>
    <w:div w:id="590505499">
      <w:bodyDiv w:val="1"/>
      <w:marLeft w:val="0"/>
      <w:marRight w:val="0"/>
      <w:marTop w:val="0"/>
      <w:marBottom w:val="0"/>
      <w:divBdr>
        <w:top w:val="none" w:sz="0" w:space="0" w:color="auto"/>
        <w:left w:val="none" w:sz="0" w:space="0" w:color="auto"/>
        <w:bottom w:val="none" w:sz="0" w:space="0" w:color="auto"/>
        <w:right w:val="none" w:sz="0" w:space="0" w:color="auto"/>
      </w:divBdr>
    </w:div>
    <w:div w:id="590622539">
      <w:bodyDiv w:val="1"/>
      <w:marLeft w:val="0"/>
      <w:marRight w:val="0"/>
      <w:marTop w:val="0"/>
      <w:marBottom w:val="0"/>
      <w:divBdr>
        <w:top w:val="none" w:sz="0" w:space="0" w:color="auto"/>
        <w:left w:val="none" w:sz="0" w:space="0" w:color="auto"/>
        <w:bottom w:val="none" w:sz="0" w:space="0" w:color="auto"/>
        <w:right w:val="none" w:sz="0" w:space="0" w:color="auto"/>
      </w:divBdr>
    </w:div>
    <w:div w:id="590628550">
      <w:bodyDiv w:val="1"/>
      <w:marLeft w:val="0"/>
      <w:marRight w:val="0"/>
      <w:marTop w:val="0"/>
      <w:marBottom w:val="0"/>
      <w:divBdr>
        <w:top w:val="none" w:sz="0" w:space="0" w:color="auto"/>
        <w:left w:val="none" w:sz="0" w:space="0" w:color="auto"/>
        <w:bottom w:val="none" w:sz="0" w:space="0" w:color="auto"/>
        <w:right w:val="none" w:sz="0" w:space="0" w:color="auto"/>
      </w:divBdr>
    </w:div>
    <w:div w:id="590741551">
      <w:bodyDiv w:val="1"/>
      <w:marLeft w:val="0"/>
      <w:marRight w:val="0"/>
      <w:marTop w:val="0"/>
      <w:marBottom w:val="0"/>
      <w:divBdr>
        <w:top w:val="none" w:sz="0" w:space="0" w:color="auto"/>
        <w:left w:val="none" w:sz="0" w:space="0" w:color="auto"/>
        <w:bottom w:val="none" w:sz="0" w:space="0" w:color="auto"/>
        <w:right w:val="none" w:sz="0" w:space="0" w:color="auto"/>
      </w:divBdr>
    </w:div>
    <w:div w:id="590741621">
      <w:bodyDiv w:val="1"/>
      <w:marLeft w:val="0"/>
      <w:marRight w:val="0"/>
      <w:marTop w:val="0"/>
      <w:marBottom w:val="0"/>
      <w:divBdr>
        <w:top w:val="none" w:sz="0" w:space="0" w:color="auto"/>
        <w:left w:val="none" w:sz="0" w:space="0" w:color="auto"/>
        <w:bottom w:val="none" w:sz="0" w:space="0" w:color="auto"/>
        <w:right w:val="none" w:sz="0" w:space="0" w:color="auto"/>
      </w:divBdr>
    </w:div>
    <w:div w:id="590742561">
      <w:bodyDiv w:val="1"/>
      <w:marLeft w:val="0"/>
      <w:marRight w:val="0"/>
      <w:marTop w:val="0"/>
      <w:marBottom w:val="0"/>
      <w:divBdr>
        <w:top w:val="none" w:sz="0" w:space="0" w:color="auto"/>
        <w:left w:val="none" w:sz="0" w:space="0" w:color="auto"/>
        <w:bottom w:val="none" w:sz="0" w:space="0" w:color="auto"/>
        <w:right w:val="none" w:sz="0" w:space="0" w:color="auto"/>
      </w:divBdr>
    </w:div>
    <w:div w:id="590815378">
      <w:bodyDiv w:val="1"/>
      <w:marLeft w:val="0"/>
      <w:marRight w:val="0"/>
      <w:marTop w:val="0"/>
      <w:marBottom w:val="0"/>
      <w:divBdr>
        <w:top w:val="none" w:sz="0" w:space="0" w:color="auto"/>
        <w:left w:val="none" w:sz="0" w:space="0" w:color="auto"/>
        <w:bottom w:val="none" w:sz="0" w:space="0" w:color="auto"/>
        <w:right w:val="none" w:sz="0" w:space="0" w:color="auto"/>
      </w:divBdr>
    </w:div>
    <w:div w:id="590940232">
      <w:bodyDiv w:val="1"/>
      <w:marLeft w:val="0"/>
      <w:marRight w:val="0"/>
      <w:marTop w:val="0"/>
      <w:marBottom w:val="0"/>
      <w:divBdr>
        <w:top w:val="none" w:sz="0" w:space="0" w:color="auto"/>
        <w:left w:val="none" w:sz="0" w:space="0" w:color="auto"/>
        <w:bottom w:val="none" w:sz="0" w:space="0" w:color="auto"/>
        <w:right w:val="none" w:sz="0" w:space="0" w:color="auto"/>
      </w:divBdr>
    </w:div>
    <w:div w:id="591162895">
      <w:bodyDiv w:val="1"/>
      <w:marLeft w:val="0"/>
      <w:marRight w:val="0"/>
      <w:marTop w:val="0"/>
      <w:marBottom w:val="0"/>
      <w:divBdr>
        <w:top w:val="none" w:sz="0" w:space="0" w:color="auto"/>
        <w:left w:val="none" w:sz="0" w:space="0" w:color="auto"/>
        <w:bottom w:val="none" w:sz="0" w:space="0" w:color="auto"/>
        <w:right w:val="none" w:sz="0" w:space="0" w:color="auto"/>
      </w:divBdr>
    </w:div>
    <w:div w:id="591204252">
      <w:bodyDiv w:val="1"/>
      <w:marLeft w:val="0"/>
      <w:marRight w:val="0"/>
      <w:marTop w:val="0"/>
      <w:marBottom w:val="0"/>
      <w:divBdr>
        <w:top w:val="none" w:sz="0" w:space="0" w:color="auto"/>
        <w:left w:val="none" w:sz="0" w:space="0" w:color="auto"/>
        <w:bottom w:val="none" w:sz="0" w:space="0" w:color="auto"/>
        <w:right w:val="none" w:sz="0" w:space="0" w:color="auto"/>
      </w:divBdr>
    </w:div>
    <w:div w:id="591351259">
      <w:bodyDiv w:val="1"/>
      <w:marLeft w:val="0"/>
      <w:marRight w:val="0"/>
      <w:marTop w:val="0"/>
      <w:marBottom w:val="0"/>
      <w:divBdr>
        <w:top w:val="none" w:sz="0" w:space="0" w:color="auto"/>
        <w:left w:val="none" w:sz="0" w:space="0" w:color="auto"/>
        <w:bottom w:val="none" w:sz="0" w:space="0" w:color="auto"/>
        <w:right w:val="none" w:sz="0" w:space="0" w:color="auto"/>
      </w:divBdr>
    </w:div>
    <w:div w:id="591399312">
      <w:bodyDiv w:val="1"/>
      <w:marLeft w:val="0"/>
      <w:marRight w:val="0"/>
      <w:marTop w:val="0"/>
      <w:marBottom w:val="0"/>
      <w:divBdr>
        <w:top w:val="none" w:sz="0" w:space="0" w:color="auto"/>
        <w:left w:val="none" w:sz="0" w:space="0" w:color="auto"/>
        <w:bottom w:val="none" w:sz="0" w:space="0" w:color="auto"/>
        <w:right w:val="none" w:sz="0" w:space="0" w:color="auto"/>
      </w:divBdr>
    </w:div>
    <w:div w:id="591477209">
      <w:bodyDiv w:val="1"/>
      <w:marLeft w:val="0"/>
      <w:marRight w:val="0"/>
      <w:marTop w:val="0"/>
      <w:marBottom w:val="0"/>
      <w:divBdr>
        <w:top w:val="none" w:sz="0" w:space="0" w:color="auto"/>
        <w:left w:val="none" w:sz="0" w:space="0" w:color="auto"/>
        <w:bottom w:val="none" w:sz="0" w:space="0" w:color="auto"/>
        <w:right w:val="none" w:sz="0" w:space="0" w:color="auto"/>
      </w:divBdr>
    </w:div>
    <w:div w:id="591552950">
      <w:bodyDiv w:val="1"/>
      <w:marLeft w:val="0"/>
      <w:marRight w:val="0"/>
      <w:marTop w:val="0"/>
      <w:marBottom w:val="0"/>
      <w:divBdr>
        <w:top w:val="none" w:sz="0" w:space="0" w:color="auto"/>
        <w:left w:val="none" w:sz="0" w:space="0" w:color="auto"/>
        <w:bottom w:val="none" w:sz="0" w:space="0" w:color="auto"/>
        <w:right w:val="none" w:sz="0" w:space="0" w:color="auto"/>
      </w:divBdr>
    </w:div>
    <w:div w:id="591738215">
      <w:bodyDiv w:val="1"/>
      <w:marLeft w:val="0"/>
      <w:marRight w:val="0"/>
      <w:marTop w:val="0"/>
      <w:marBottom w:val="0"/>
      <w:divBdr>
        <w:top w:val="none" w:sz="0" w:space="0" w:color="auto"/>
        <w:left w:val="none" w:sz="0" w:space="0" w:color="auto"/>
        <w:bottom w:val="none" w:sz="0" w:space="0" w:color="auto"/>
        <w:right w:val="none" w:sz="0" w:space="0" w:color="auto"/>
      </w:divBdr>
    </w:div>
    <w:div w:id="591813336">
      <w:bodyDiv w:val="1"/>
      <w:marLeft w:val="0"/>
      <w:marRight w:val="0"/>
      <w:marTop w:val="0"/>
      <w:marBottom w:val="0"/>
      <w:divBdr>
        <w:top w:val="none" w:sz="0" w:space="0" w:color="auto"/>
        <w:left w:val="none" w:sz="0" w:space="0" w:color="auto"/>
        <w:bottom w:val="none" w:sz="0" w:space="0" w:color="auto"/>
        <w:right w:val="none" w:sz="0" w:space="0" w:color="auto"/>
      </w:divBdr>
    </w:div>
    <w:div w:id="591855941">
      <w:bodyDiv w:val="1"/>
      <w:marLeft w:val="0"/>
      <w:marRight w:val="0"/>
      <w:marTop w:val="0"/>
      <w:marBottom w:val="0"/>
      <w:divBdr>
        <w:top w:val="none" w:sz="0" w:space="0" w:color="auto"/>
        <w:left w:val="none" w:sz="0" w:space="0" w:color="auto"/>
        <w:bottom w:val="none" w:sz="0" w:space="0" w:color="auto"/>
        <w:right w:val="none" w:sz="0" w:space="0" w:color="auto"/>
      </w:divBdr>
    </w:div>
    <w:div w:id="592128797">
      <w:bodyDiv w:val="1"/>
      <w:marLeft w:val="0"/>
      <w:marRight w:val="0"/>
      <w:marTop w:val="0"/>
      <w:marBottom w:val="0"/>
      <w:divBdr>
        <w:top w:val="none" w:sz="0" w:space="0" w:color="auto"/>
        <w:left w:val="none" w:sz="0" w:space="0" w:color="auto"/>
        <w:bottom w:val="none" w:sz="0" w:space="0" w:color="auto"/>
        <w:right w:val="none" w:sz="0" w:space="0" w:color="auto"/>
      </w:divBdr>
    </w:div>
    <w:div w:id="592398622">
      <w:bodyDiv w:val="1"/>
      <w:marLeft w:val="0"/>
      <w:marRight w:val="0"/>
      <w:marTop w:val="0"/>
      <w:marBottom w:val="0"/>
      <w:divBdr>
        <w:top w:val="none" w:sz="0" w:space="0" w:color="auto"/>
        <w:left w:val="none" w:sz="0" w:space="0" w:color="auto"/>
        <w:bottom w:val="none" w:sz="0" w:space="0" w:color="auto"/>
        <w:right w:val="none" w:sz="0" w:space="0" w:color="auto"/>
      </w:divBdr>
    </w:div>
    <w:div w:id="592401720">
      <w:bodyDiv w:val="1"/>
      <w:marLeft w:val="0"/>
      <w:marRight w:val="0"/>
      <w:marTop w:val="0"/>
      <w:marBottom w:val="0"/>
      <w:divBdr>
        <w:top w:val="none" w:sz="0" w:space="0" w:color="auto"/>
        <w:left w:val="none" w:sz="0" w:space="0" w:color="auto"/>
        <w:bottom w:val="none" w:sz="0" w:space="0" w:color="auto"/>
        <w:right w:val="none" w:sz="0" w:space="0" w:color="auto"/>
      </w:divBdr>
    </w:div>
    <w:div w:id="592513730">
      <w:bodyDiv w:val="1"/>
      <w:marLeft w:val="0"/>
      <w:marRight w:val="0"/>
      <w:marTop w:val="0"/>
      <w:marBottom w:val="0"/>
      <w:divBdr>
        <w:top w:val="none" w:sz="0" w:space="0" w:color="auto"/>
        <w:left w:val="none" w:sz="0" w:space="0" w:color="auto"/>
        <w:bottom w:val="none" w:sz="0" w:space="0" w:color="auto"/>
        <w:right w:val="none" w:sz="0" w:space="0" w:color="auto"/>
      </w:divBdr>
    </w:div>
    <w:div w:id="592514501">
      <w:bodyDiv w:val="1"/>
      <w:marLeft w:val="0"/>
      <w:marRight w:val="0"/>
      <w:marTop w:val="0"/>
      <w:marBottom w:val="0"/>
      <w:divBdr>
        <w:top w:val="none" w:sz="0" w:space="0" w:color="auto"/>
        <w:left w:val="none" w:sz="0" w:space="0" w:color="auto"/>
        <w:bottom w:val="none" w:sz="0" w:space="0" w:color="auto"/>
        <w:right w:val="none" w:sz="0" w:space="0" w:color="auto"/>
      </w:divBdr>
    </w:div>
    <w:div w:id="592589643">
      <w:bodyDiv w:val="1"/>
      <w:marLeft w:val="0"/>
      <w:marRight w:val="0"/>
      <w:marTop w:val="0"/>
      <w:marBottom w:val="0"/>
      <w:divBdr>
        <w:top w:val="none" w:sz="0" w:space="0" w:color="auto"/>
        <w:left w:val="none" w:sz="0" w:space="0" w:color="auto"/>
        <w:bottom w:val="none" w:sz="0" w:space="0" w:color="auto"/>
        <w:right w:val="none" w:sz="0" w:space="0" w:color="auto"/>
      </w:divBdr>
    </w:div>
    <w:div w:id="592665804">
      <w:bodyDiv w:val="1"/>
      <w:marLeft w:val="0"/>
      <w:marRight w:val="0"/>
      <w:marTop w:val="0"/>
      <w:marBottom w:val="0"/>
      <w:divBdr>
        <w:top w:val="none" w:sz="0" w:space="0" w:color="auto"/>
        <w:left w:val="none" w:sz="0" w:space="0" w:color="auto"/>
        <w:bottom w:val="none" w:sz="0" w:space="0" w:color="auto"/>
        <w:right w:val="none" w:sz="0" w:space="0" w:color="auto"/>
      </w:divBdr>
    </w:div>
    <w:div w:id="592666001">
      <w:bodyDiv w:val="1"/>
      <w:marLeft w:val="0"/>
      <w:marRight w:val="0"/>
      <w:marTop w:val="0"/>
      <w:marBottom w:val="0"/>
      <w:divBdr>
        <w:top w:val="none" w:sz="0" w:space="0" w:color="auto"/>
        <w:left w:val="none" w:sz="0" w:space="0" w:color="auto"/>
        <w:bottom w:val="none" w:sz="0" w:space="0" w:color="auto"/>
        <w:right w:val="none" w:sz="0" w:space="0" w:color="auto"/>
      </w:divBdr>
    </w:div>
    <w:div w:id="592780071">
      <w:bodyDiv w:val="1"/>
      <w:marLeft w:val="0"/>
      <w:marRight w:val="0"/>
      <w:marTop w:val="0"/>
      <w:marBottom w:val="0"/>
      <w:divBdr>
        <w:top w:val="none" w:sz="0" w:space="0" w:color="auto"/>
        <w:left w:val="none" w:sz="0" w:space="0" w:color="auto"/>
        <w:bottom w:val="none" w:sz="0" w:space="0" w:color="auto"/>
        <w:right w:val="none" w:sz="0" w:space="0" w:color="auto"/>
      </w:divBdr>
    </w:div>
    <w:div w:id="592780075">
      <w:bodyDiv w:val="1"/>
      <w:marLeft w:val="0"/>
      <w:marRight w:val="0"/>
      <w:marTop w:val="0"/>
      <w:marBottom w:val="0"/>
      <w:divBdr>
        <w:top w:val="none" w:sz="0" w:space="0" w:color="auto"/>
        <w:left w:val="none" w:sz="0" w:space="0" w:color="auto"/>
        <w:bottom w:val="none" w:sz="0" w:space="0" w:color="auto"/>
        <w:right w:val="none" w:sz="0" w:space="0" w:color="auto"/>
      </w:divBdr>
    </w:div>
    <w:div w:id="592785296">
      <w:bodyDiv w:val="1"/>
      <w:marLeft w:val="0"/>
      <w:marRight w:val="0"/>
      <w:marTop w:val="0"/>
      <w:marBottom w:val="0"/>
      <w:divBdr>
        <w:top w:val="none" w:sz="0" w:space="0" w:color="auto"/>
        <w:left w:val="none" w:sz="0" w:space="0" w:color="auto"/>
        <w:bottom w:val="none" w:sz="0" w:space="0" w:color="auto"/>
        <w:right w:val="none" w:sz="0" w:space="0" w:color="auto"/>
      </w:divBdr>
    </w:div>
    <w:div w:id="592787343">
      <w:bodyDiv w:val="1"/>
      <w:marLeft w:val="0"/>
      <w:marRight w:val="0"/>
      <w:marTop w:val="0"/>
      <w:marBottom w:val="0"/>
      <w:divBdr>
        <w:top w:val="none" w:sz="0" w:space="0" w:color="auto"/>
        <w:left w:val="none" w:sz="0" w:space="0" w:color="auto"/>
        <w:bottom w:val="none" w:sz="0" w:space="0" w:color="auto"/>
        <w:right w:val="none" w:sz="0" w:space="0" w:color="auto"/>
      </w:divBdr>
    </w:div>
    <w:div w:id="593056280">
      <w:bodyDiv w:val="1"/>
      <w:marLeft w:val="0"/>
      <w:marRight w:val="0"/>
      <w:marTop w:val="0"/>
      <w:marBottom w:val="0"/>
      <w:divBdr>
        <w:top w:val="none" w:sz="0" w:space="0" w:color="auto"/>
        <w:left w:val="none" w:sz="0" w:space="0" w:color="auto"/>
        <w:bottom w:val="none" w:sz="0" w:space="0" w:color="auto"/>
        <w:right w:val="none" w:sz="0" w:space="0" w:color="auto"/>
      </w:divBdr>
    </w:div>
    <w:div w:id="593249586">
      <w:bodyDiv w:val="1"/>
      <w:marLeft w:val="0"/>
      <w:marRight w:val="0"/>
      <w:marTop w:val="0"/>
      <w:marBottom w:val="0"/>
      <w:divBdr>
        <w:top w:val="none" w:sz="0" w:space="0" w:color="auto"/>
        <w:left w:val="none" w:sz="0" w:space="0" w:color="auto"/>
        <w:bottom w:val="none" w:sz="0" w:space="0" w:color="auto"/>
        <w:right w:val="none" w:sz="0" w:space="0" w:color="auto"/>
      </w:divBdr>
    </w:div>
    <w:div w:id="593321160">
      <w:bodyDiv w:val="1"/>
      <w:marLeft w:val="0"/>
      <w:marRight w:val="0"/>
      <w:marTop w:val="0"/>
      <w:marBottom w:val="0"/>
      <w:divBdr>
        <w:top w:val="none" w:sz="0" w:space="0" w:color="auto"/>
        <w:left w:val="none" w:sz="0" w:space="0" w:color="auto"/>
        <w:bottom w:val="none" w:sz="0" w:space="0" w:color="auto"/>
        <w:right w:val="none" w:sz="0" w:space="0" w:color="auto"/>
      </w:divBdr>
    </w:div>
    <w:div w:id="593322083">
      <w:bodyDiv w:val="1"/>
      <w:marLeft w:val="0"/>
      <w:marRight w:val="0"/>
      <w:marTop w:val="0"/>
      <w:marBottom w:val="0"/>
      <w:divBdr>
        <w:top w:val="none" w:sz="0" w:space="0" w:color="auto"/>
        <w:left w:val="none" w:sz="0" w:space="0" w:color="auto"/>
        <w:bottom w:val="none" w:sz="0" w:space="0" w:color="auto"/>
        <w:right w:val="none" w:sz="0" w:space="0" w:color="auto"/>
      </w:divBdr>
    </w:div>
    <w:div w:id="593587289">
      <w:bodyDiv w:val="1"/>
      <w:marLeft w:val="0"/>
      <w:marRight w:val="0"/>
      <w:marTop w:val="0"/>
      <w:marBottom w:val="0"/>
      <w:divBdr>
        <w:top w:val="none" w:sz="0" w:space="0" w:color="auto"/>
        <w:left w:val="none" w:sz="0" w:space="0" w:color="auto"/>
        <w:bottom w:val="none" w:sz="0" w:space="0" w:color="auto"/>
        <w:right w:val="none" w:sz="0" w:space="0" w:color="auto"/>
      </w:divBdr>
    </w:div>
    <w:div w:id="593591988">
      <w:bodyDiv w:val="1"/>
      <w:marLeft w:val="0"/>
      <w:marRight w:val="0"/>
      <w:marTop w:val="0"/>
      <w:marBottom w:val="0"/>
      <w:divBdr>
        <w:top w:val="none" w:sz="0" w:space="0" w:color="auto"/>
        <w:left w:val="none" w:sz="0" w:space="0" w:color="auto"/>
        <w:bottom w:val="none" w:sz="0" w:space="0" w:color="auto"/>
        <w:right w:val="none" w:sz="0" w:space="0" w:color="auto"/>
      </w:divBdr>
    </w:div>
    <w:div w:id="593637405">
      <w:bodyDiv w:val="1"/>
      <w:marLeft w:val="0"/>
      <w:marRight w:val="0"/>
      <w:marTop w:val="0"/>
      <w:marBottom w:val="0"/>
      <w:divBdr>
        <w:top w:val="none" w:sz="0" w:space="0" w:color="auto"/>
        <w:left w:val="none" w:sz="0" w:space="0" w:color="auto"/>
        <w:bottom w:val="none" w:sz="0" w:space="0" w:color="auto"/>
        <w:right w:val="none" w:sz="0" w:space="0" w:color="auto"/>
      </w:divBdr>
    </w:div>
    <w:div w:id="593637623">
      <w:bodyDiv w:val="1"/>
      <w:marLeft w:val="0"/>
      <w:marRight w:val="0"/>
      <w:marTop w:val="0"/>
      <w:marBottom w:val="0"/>
      <w:divBdr>
        <w:top w:val="none" w:sz="0" w:space="0" w:color="auto"/>
        <w:left w:val="none" w:sz="0" w:space="0" w:color="auto"/>
        <w:bottom w:val="none" w:sz="0" w:space="0" w:color="auto"/>
        <w:right w:val="none" w:sz="0" w:space="0" w:color="auto"/>
      </w:divBdr>
    </w:div>
    <w:div w:id="593708849">
      <w:bodyDiv w:val="1"/>
      <w:marLeft w:val="0"/>
      <w:marRight w:val="0"/>
      <w:marTop w:val="0"/>
      <w:marBottom w:val="0"/>
      <w:divBdr>
        <w:top w:val="none" w:sz="0" w:space="0" w:color="auto"/>
        <w:left w:val="none" w:sz="0" w:space="0" w:color="auto"/>
        <w:bottom w:val="none" w:sz="0" w:space="0" w:color="auto"/>
        <w:right w:val="none" w:sz="0" w:space="0" w:color="auto"/>
      </w:divBdr>
    </w:div>
    <w:div w:id="593903174">
      <w:bodyDiv w:val="1"/>
      <w:marLeft w:val="0"/>
      <w:marRight w:val="0"/>
      <w:marTop w:val="0"/>
      <w:marBottom w:val="0"/>
      <w:divBdr>
        <w:top w:val="none" w:sz="0" w:space="0" w:color="auto"/>
        <w:left w:val="none" w:sz="0" w:space="0" w:color="auto"/>
        <w:bottom w:val="none" w:sz="0" w:space="0" w:color="auto"/>
        <w:right w:val="none" w:sz="0" w:space="0" w:color="auto"/>
      </w:divBdr>
    </w:div>
    <w:div w:id="593906018">
      <w:bodyDiv w:val="1"/>
      <w:marLeft w:val="0"/>
      <w:marRight w:val="0"/>
      <w:marTop w:val="0"/>
      <w:marBottom w:val="0"/>
      <w:divBdr>
        <w:top w:val="none" w:sz="0" w:space="0" w:color="auto"/>
        <w:left w:val="none" w:sz="0" w:space="0" w:color="auto"/>
        <w:bottom w:val="none" w:sz="0" w:space="0" w:color="auto"/>
        <w:right w:val="none" w:sz="0" w:space="0" w:color="auto"/>
      </w:divBdr>
    </w:div>
    <w:div w:id="593977177">
      <w:bodyDiv w:val="1"/>
      <w:marLeft w:val="0"/>
      <w:marRight w:val="0"/>
      <w:marTop w:val="0"/>
      <w:marBottom w:val="0"/>
      <w:divBdr>
        <w:top w:val="none" w:sz="0" w:space="0" w:color="auto"/>
        <w:left w:val="none" w:sz="0" w:space="0" w:color="auto"/>
        <w:bottom w:val="none" w:sz="0" w:space="0" w:color="auto"/>
        <w:right w:val="none" w:sz="0" w:space="0" w:color="auto"/>
      </w:divBdr>
    </w:div>
    <w:div w:id="593980409">
      <w:bodyDiv w:val="1"/>
      <w:marLeft w:val="0"/>
      <w:marRight w:val="0"/>
      <w:marTop w:val="0"/>
      <w:marBottom w:val="0"/>
      <w:divBdr>
        <w:top w:val="none" w:sz="0" w:space="0" w:color="auto"/>
        <w:left w:val="none" w:sz="0" w:space="0" w:color="auto"/>
        <w:bottom w:val="none" w:sz="0" w:space="0" w:color="auto"/>
        <w:right w:val="none" w:sz="0" w:space="0" w:color="auto"/>
      </w:divBdr>
    </w:div>
    <w:div w:id="594024379">
      <w:bodyDiv w:val="1"/>
      <w:marLeft w:val="0"/>
      <w:marRight w:val="0"/>
      <w:marTop w:val="0"/>
      <w:marBottom w:val="0"/>
      <w:divBdr>
        <w:top w:val="none" w:sz="0" w:space="0" w:color="auto"/>
        <w:left w:val="none" w:sz="0" w:space="0" w:color="auto"/>
        <w:bottom w:val="none" w:sz="0" w:space="0" w:color="auto"/>
        <w:right w:val="none" w:sz="0" w:space="0" w:color="auto"/>
      </w:divBdr>
    </w:div>
    <w:div w:id="594047866">
      <w:bodyDiv w:val="1"/>
      <w:marLeft w:val="0"/>
      <w:marRight w:val="0"/>
      <w:marTop w:val="0"/>
      <w:marBottom w:val="0"/>
      <w:divBdr>
        <w:top w:val="none" w:sz="0" w:space="0" w:color="auto"/>
        <w:left w:val="none" w:sz="0" w:space="0" w:color="auto"/>
        <w:bottom w:val="none" w:sz="0" w:space="0" w:color="auto"/>
        <w:right w:val="none" w:sz="0" w:space="0" w:color="auto"/>
      </w:divBdr>
    </w:div>
    <w:div w:id="594092465">
      <w:bodyDiv w:val="1"/>
      <w:marLeft w:val="0"/>
      <w:marRight w:val="0"/>
      <w:marTop w:val="0"/>
      <w:marBottom w:val="0"/>
      <w:divBdr>
        <w:top w:val="none" w:sz="0" w:space="0" w:color="auto"/>
        <w:left w:val="none" w:sz="0" w:space="0" w:color="auto"/>
        <w:bottom w:val="none" w:sz="0" w:space="0" w:color="auto"/>
        <w:right w:val="none" w:sz="0" w:space="0" w:color="auto"/>
      </w:divBdr>
    </w:div>
    <w:div w:id="594247506">
      <w:bodyDiv w:val="1"/>
      <w:marLeft w:val="0"/>
      <w:marRight w:val="0"/>
      <w:marTop w:val="0"/>
      <w:marBottom w:val="0"/>
      <w:divBdr>
        <w:top w:val="none" w:sz="0" w:space="0" w:color="auto"/>
        <w:left w:val="none" w:sz="0" w:space="0" w:color="auto"/>
        <w:bottom w:val="none" w:sz="0" w:space="0" w:color="auto"/>
        <w:right w:val="none" w:sz="0" w:space="0" w:color="auto"/>
      </w:divBdr>
    </w:div>
    <w:div w:id="594364275">
      <w:bodyDiv w:val="1"/>
      <w:marLeft w:val="0"/>
      <w:marRight w:val="0"/>
      <w:marTop w:val="0"/>
      <w:marBottom w:val="0"/>
      <w:divBdr>
        <w:top w:val="none" w:sz="0" w:space="0" w:color="auto"/>
        <w:left w:val="none" w:sz="0" w:space="0" w:color="auto"/>
        <w:bottom w:val="none" w:sz="0" w:space="0" w:color="auto"/>
        <w:right w:val="none" w:sz="0" w:space="0" w:color="auto"/>
      </w:divBdr>
    </w:div>
    <w:div w:id="594439118">
      <w:bodyDiv w:val="1"/>
      <w:marLeft w:val="0"/>
      <w:marRight w:val="0"/>
      <w:marTop w:val="0"/>
      <w:marBottom w:val="0"/>
      <w:divBdr>
        <w:top w:val="none" w:sz="0" w:space="0" w:color="auto"/>
        <w:left w:val="none" w:sz="0" w:space="0" w:color="auto"/>
        <w:bottom w:val="none" w:sz="0" w:space="0" w:color="auto"/>
        <w:right w:val="none" w:sz="0" w:space="0" w:color="auto"/>
      </w:divBdr>
    </w:div>
    <w:div w:id="594751856">
      <w:bodyDiv w:val="1"/>
      <w:marLeft w:val="0"/>
      <w:marRight w:val="0"/>
      <w:marTop w:val="0"/>
      <w:marBottom w:val="0"/>
      <w:divBdr>
        <w:top w:val="none" w:sz="0" w:space="0" w:color="auto"/>
        <w:left w:val="none" w:sz="0" w:space="0" w:color="auto"/>
        <w:bottom w:val="none" w:sz="0" w:space="0" w:color="auto"/>
        <w:right w:val="none" w:sz="0" w:space="0" w:color="auto"/>
      </w:divBdr>
    </w:div>
    <w:div w:id="594830508">
      <w:bodyDiv w:val="1"/>
      <w:marLeft w:val="0"/>
      <w:marRight w:val="0"/>
      <w:marTop w:val="0"/>
      <w:marBottom w:val="0"/>
      <w:divBdr>
        <w:top w:val="none" w:sz="0" w:space="0" w:color="auto"/>
        <w:left w:val="none" w:sz="0" w:space="0" w:color="auto"/>
        <w:bottom w:val="none" w:sz="0" w:space="0" w:color="auto"/>
        <w:right w:val="none" w:sz="0" w:space="0" w:color="auto"/>
      </w:divBdr>
    </w:div>
    <w:div w:id="594940011">
      <w:bodyDiv w:val="1"/>
      <w:marLeft w:val="0"/>
      <w:marRight w:val="0"/>
      <w:marTop w:val="0"/>
      <w:marBottom w:val="0"/>
      <w:divBdr>
        <w:top w:val="none" w:sz="0" w:space="0" w:color="auto"/>
        <w:left w:val="none" w:sz="0" w:space="0" w:color="auto"/>
        <w:bottom w:val="none" w:sz="0" w:space="0" w:color="auto"/>
        <w:right w:val="none" w:sz="0" w:space="0" w:color="auto"/>
      </w:divBdr>
    </w:div>
    <w:div w:id="595139665">
      <w:bodyDiv w:val="1"/>
      <w:marLeft w:val="0"/>
      <w:marRight w:val="0"/>
      <w:marTop w:val="0"/>
      <w:marBottom w:val="0"/>
      <w:divBdr>
        <w:top w:val="none" w:sz="0" w:space="0" w:color="auto"/>
        <w:left w:val="none" w:sz="0" w:space="0" w:color="auto"/>
        <w:bottom w:val="none" w:sz="0" w:space="0" w:color="auto"/>
        <w:right w:val="none" w:sz="0" w:space="0" w:color="auto"/>
      </w:divBdr>
    </w:div>
    <w:div w:id="595285272">
      <w:bodyDiv w:val="1"/>
      <w:marLeft w:val="0"/>
      <w:marRight w:val="0"/>
      <w:marTop w:val="0"/>
      <w:marBottom w:val="0"/>
      <w:divBdr>
        <w:top w:val="none" w:sz="0" w:space="0" w:color="auto"/>
        <w:left w:val="none" w:sz="0" w:space="0" w:color="auto"/>
        <w:bottom w:val="none" w:sz="0" w:space="0" w:color="auto"/>
        <w:right w:val="none" w:sz="0" w:space="0" w:color="auto"/>
      </w:divBdr>
    </w:div>
    <w:div w:id="595289475">
      <w:bodyDiv w:val="1"/>
      <w:marLeft w:val="0"/>
      <w:marRight w:val="0"/>
      <w:marTop w:val="0"/>
      <w:marBottom w:val="0"/>
      <w:divBdr>
        <w:top w:val="none" w:sz="0" w:space="0" w:color="auto"/>
        <w:left w:val="none" w:sz="0" w:space="0" w:color="auto"/>
        <w:bottom w:val="none" w:sz="0" w:space="0" w:color="auto"/>
        <w:right w:val="none" w:sz="0" w:space="0" w:color="auto"/>
      </w:divBdr>
    </w:div>
    <w:div w:id="595290503">
      <w:bodyDiv w:val="1"/>
      <w:marLeft w:val="0"/>
      <w:marRight w:val="0"/>
      <w:marTop w:val="0"/>
      <w:marBottom w:val="0"/>
      <w:divBdr>
        <w:top w:val="none" w:sz="0" w:space="0" w:color="auto"/>
        <w:left w:val="none" w:sz="0" w:space="0" w:color="auto"/>
        <w:bottom w:val="none" w:sz="0" w:space="0" w:color="auto"/>
        <w:right w:val="none" w:sz="0" w:space="0" w:color="auto"/>
      </w:divBdr>
    </w:div>
    <w:div w:id="595406704">
      <w:bodyDiv w:val="1"/>
      <w:marLeft w:val="0"/>
      <w:marRight w:val="0"/>
      <w:marTop w:val="0"/>
      <w:marBottom w:val="0"/>
      <w:divBdr>
        <w:top w:val="none" w:sz="0" w:space="0" w:color="auto"/>
        <w:left w:val="none" w:sz="0" w:space="0" w:color="auto"/>
        <w:bottom w:val="none" w:sz="0" w:space="0" w:color="auto"/>
        <w:right w:val="none" w:sz="0" w:space="0" w:color="auto"/>
      </w:divBdr>
    </w:div>
    <w:div w:id="595409286">
      <w:bodyDiv w:val="1"/>
      <w:marLeft w:val="0"/>
      <w:marRight w:val="0"/>
      <w:marTop w:val="0"/>
      <w:marBottom w:val="0"/>
      <w:divBdr>
        <w:top w:val="none" w:sz="0" w:space="0" w:color="auto"/>
        <w:left w:val="none" w:sz="0" w:space="0" w:color="auto"/>
        <w:bottom w:val="none" w:sz="0" w:space="0" w:color="auto"/>
        <w:right w:val="none" w:sz="0" w:space="0" w:color="auto"/>
      </w:divBdr>
    </w:div>
    <w:div w:id="595476772">
      <w:bodyDiv w:val="1"/>
      <w:marLeft w:val="0"/>
      <w:marRight w:val="0"/>
      <w:marTop w:val="0"/>
      <w:marBottom w:val="0"/>
      <w:divBdr>
        <w:top w:val="none" w:sz="0" w:space="0" w:color="auto"/>
        <w:left w:val="none" w:sz="0" w:space="0" w:color="auto"/>
        <w:bottom w:val="none" w:sz="0" w:space="0" w:color="auto"/>
        <w:right w:val="none" w:sz="0" w:space="0" w:color="auto"/>
      </w:divBdr>
    </w:div>
    <w:div w:id="595747954">
      <w:bodyDiv w:val="1"/>
      <w:marLeft w:val="0"/>
      <w:marRight w:val="0"/>
      <w:marTop w:val="0"/>
      <w:marBottom w:val="0"/>
      <w:divBdr>
        <w:top w:val="none" w:sz="0" w:space="0" w:color="auto"/>
        <w:left w:val="none" w:sz="0" w:space="0" w:color="auto"/>
        <w:bottom w:val="none" w:sz="0" w:space="0" w:color="auto"/>
        <w:right w:val="none" w:sz="0" w:space="0" w:color="auto"/>
      </w:divBdr>
    </w:div>
    <w:div w:id="595792944">
      <w:bodyDiv w:val="1"/>
      <w:marLeft w:val="0"/>
      <w:marRight w:val="0"/>
      <w:marTop w:val="0"/>
      <w:marBottom w:val="0"/>
      <w:divBdr>
        <w:top w:val="none" w:sz="0" w:space="0" w:color="auto"/>
        <w:left w:val="none" w:sz="0" w:space="0" w:color="auto"/>
        <w:bottom w:val="none" w:sz="0" w:space="0" w:color="auto"/>
        <w:right w:val="none" w:sz="0" w:space="0" w:color="auto"/>
      </w:divBdr>
    </w:div>
    <w:div w:id="595794606">
      <w:bodyDiv w:val="1"/>
      <w:marLeft w:val="0"/>
      <w:marRight w:val="0"/>
      <w:marTop w:val="0"/>
      <w:marBottom w:val="0"/>
      <w:divBdr>
        <w:top w:val="none" w:sz="0" w:space="0" w:color="auto"/>
        <w:left w:val="none" w:sz="0" w:space="0" w:color="auto"/>
        <w:bottom w:val="none" w:sz="0" w:space="0" w:color="auto"/>
        <w:right w:val="none" w:sz="0" w:space="0" w:color="auto"/>
      </w:divBdr>
    </w:div>
    <w:div w:id="595863329">
      <w:bodyDiv w:val="1"/>
      <w:marLeft w:val="0"/>
      <w:marRight w:val="0"/>
      <w:marTop w:val="0"/>
      <w:marBottom w:val="0"/>
      <w:divBdr>
        <w:top w:val="none" w:sz="0" w:space="0" w:color="auto"/>
        <w:left w:val="none" w:sz="0" w:space="0" w:color="auto"/>
        <w:bottom w:val="none" w:sz="0" w:space="0" w:color="auto"/>
        <w:right w:val="none" w:sz="0" w:space="0" w:color="auto"/>
      </w:divBdr>
    </w:div>
    <w:div w:id="595941079">
      <w:bodyDiv w:val="1"/>
      <w:marLeft w:val="0"/>
      <w:marRight w:val="0"/>
      <w:marTop w:val="0"/>
      <w:marBottom w:val="0"/>
      <w:divBdr>
        <w:top w:val="none" w:sz="0" w:space="0" w:color="auto"/>
        <w:left w:val="none" w:sz="0" w:space="0" w:color="auto"/>
        <w:bottom w:val="none" w:sz="0" w:space="0" w:color="auto"/>
        <w:right w:val="none" w:sz="0" w:space="0" w:color="auto"/>
      </w:divBdr>
    </w:div>
    <w:div w:id="596015494">
      <w:bodyDiv w:val="1"/>
      <w:marLeft w:val="0"/>
      <w:marRight w:val="0"/>
      <w:marTop w:val="0"/>
      <w:marBottom w:val="0"/>
      <w:divBdr>
        <w:top w:val="none" w:sz="0" w:space="0" w:color="auto"/>
        <w:left w:val="none" w:sz="0" w:space="0" w:color="auto"/>
        <w:bottom w:val="none" w:sz="0" w:space="0" w:color="auto"/>
        <w:right w:val="none" w:sz="0" w:space="0" w:color="auto"/>
      </w:divBdr>
    </w:div>
    <w:div w:id="596015863">
      <w:bodyDiv w:val="1"/>
      <w:marLeft w:val="0"/>
      <w:marRight w:val="0"/>
      <w:marTop w:val="0"/>
      <w:marBottom w:val="0"/>
      <w:divBdr>
        <w:top w:val="none" w:sz="0" w:space="0" w:color="auto"/>
        <w:left w:val="none" w:sz="0" w:space="0" w:color="auto"/>
        <w:bottom w:val="none" w:sz="0" w:space="0" w:color="auto"/>
        <w:right w:val="none" w:sz="0" w:space="0" w:color="auto"/>
      </w:divBdr>
    </w:div>
    <w:div w:id="596064260">
      <w:bodyDiv w:val="1"/>
      <w:marLeft w:val="0"/>
      <w:marRight w:val="0"/>
      <w:marTop w:val="0"/>
      <w:marBottom w:val="0"/>
      <w:divBdr>
        <w:top w:val="none" w:sz="0" w:space="0" w:color="auto"/>
        <w:left w:val="none" w:sz="0" w:space="0" w:color="auto"/>
        <w:bottom w:val="none" w:sz="0" w:space="0" w:color="auto"/>
        <w:right w:val="none" w:sz="0" w:space="0" w:color="auto"/>
      </w:divBdr>
    </w:div>
    <w:div w:id="596133201">
      <w:bodyDiv w:val="1"/>
      <w:marLeft w:val="0"/>
      <w:marRight w:val="0"/>
      <w:marTop w:val="0"/>
      <w:marBottom w:val="0"/>
      <w:divBdr>
        <w:top w:val="none" w:sz="0" w:space="0" w:color="auto"/>
        <w:left w:val="none" w:sz="0" w:space="0" w:color="auto"/>
        <w:bottom w:val="none" w:sz="0" w:space="0" w:color="auto"/>
        <w:right w:val="none" w:sz="0" w:space="0" w:color="auto"/>
      </w:divBdr>
    </w:div>
    <w:div w:id="596254971">
      <w:bodyDiv w:val="1"/>
      <w:marLeft w:val="0"/>
      <w:marRight w:val="0"/>
      <w:marTop w:val="0"/>
      <w:marBottom w:val="0"/>
      <w:divBdr>
        <w:top w:val="none" w:sz="0" w:space="0" w:color="auto"/>
        <w:left w:val="none" w:sz="0" w:space="0" w:color="auto"/>
        <w:bottom w:val="none" w:sz="0" w:space="0" w:color="auto"/>
        <w:right w:val="none" w:sz="0" w:space="0" w:color="auto"/>
      </w:divBdr>
    </w:div>
    <w:div w:id="596451450">
      <w:bodyDiv w:val="1"/>
      <w:marLeft w:val="0"/>
      <w:marRight w:val="0"/>
      <w:marTop w:val="0"/>
      <w:marBottom w:val="0"/>
      <w:divBdr>
        <w:top w:val="none" w:sz="0" w:space="0" w:color="auto"/>
        <w:left w:val="none" w:sz="0" w:space="0" w:color="auto"/>
        <w:bottom w:val="none" w:sz="0" w:space="0" w:color="auto"/>
        <w:right w:val="none" w:sz="0" w:space="0" w:color="auto"/>
      </w:divBdr>
    </w:div>
    <w:div w:id="596788506">
      <w:bodyDiv w:val="1"/>
      <w:marLeft w:val="0"/>
      <w:marRight w:val="0"/>
      <w:marTop w:val="0"/>
      <w:marBottom w:val="0"/>
      <w:divBdr>
        <w:top w:val="none" w:sz="0" w:space="0" w:color="auto"/>
        <w:left w:val="none" w:sz="0" w:space="0" w:color="auto"/>
        <w:bottom w:val="none" w:sz="0" w:space="0" w:color="auto"/>
        <w:right w:val="none" w:sz="0" w:space="0" w:color="auto"/>
      </w:divBdr>
    </w:div>
    <w:div w:id="596864699">
      <w:bodyDiv w:val="1"/>
      <w:marLeft w:val="0"/>
      <w:marRight w:val="0"/>
      <w:marTop w:val="0"/>
      <w:marBottom w:val="0"/>
      <w:divBdr>
        <w:top w:val="none" w:sz="0" w:space="0" w:color="auto"/>
        <w:left w:val="none" w:sz="0" w:space="0" w:color="auto"/>
        <w:bottom w:val="none" w:sz="0" w:space="0" w:color="auto"/>
        <w:right w:val="none" w:sz="0" w:space="0" w:color="auto"/>
      </w:divBdr>
    </w:div>
    <w:div w:id="596914381">
      <w:bodyDiv w:val="1"/>
      <w:marLeft w:val="0"/>
      <w:marRight w:val="0"/>
      <w:marTop w:val="0"/>
      <w:marBottom w:val="0"/>
      <w:divBdr>
        <w:top w:val="none" w:sz="0" w:space="0" w:color="auto"/>
        <w:left w:val="none" w:sz="0" w:space="0" w:color="auto"/>
        <w:bottom w:val="none" w:sz="0" w:space="0" w:color="auto"/>
        <w:right w:val="none" w:sz="0" w:space="0" w:color="auto"/>
      </w:divBdr>
    </w:div>
    <w:div w:id="597098871">
      <w:bodyDiv w:val="1"/>
      <w:marLeft w:val="0"/>
      <w:marRight w:val="0"/>
      <w:marTop w:val="0"/>
      <w:marBottom w:val="0"/>
      <w:divBdr>
        <w:top w:val="none" w:sz="0" w:space="0" w:color="auto"/>
        <w:left w:val="none" w:sz="0" w:space="0" w:color="auto"/>
        <w:bottom w:val="none" w:sz="0" w:space="0" w:color="auto"/>
        <w:right w:val="none" w:sz="0" w:space="0" w:color="auto"/>
      </w:divBdr>
    </w:div>
    <w:div w:id="597638340">
      <w:bodyDiv w:val="1"/>
      <w:marLeft w:val="0"/>
      <w:marRight w:val="0"/>
      <w:marTop w:val="0"/>
      <w:marBottom w:val="0"/>
      <w:divBdr>
        <w:top w:val="none" w:sz="0" w:space="0" w:color="auto"/>
        <w:left w:val="none" w:sz="0" w:space="0" w:color="auto"/>
        <w:bottom w:val="none" w:sz="0" w:space="0" w:color="auto"/>
        <w:right w:val="none" w:sz="0" w:space="0" w:color="auto"/>
      </w:divBdr>
    </w:div>
    <w:div w:id="597713720">
      <w:bodyDiv w:val="1"/>
      <w:marLeft w:val="0"/>
      <w:marRight w:val="0"/>
      <w:marTop w:val="0"/>
      <w:marBottom w:val="0"/>
      <w:divBdr>
        <w:top w:val="none" w:sz="0" w:space="0" w:color="auto"/>
        <w:left w:val="none" w:sz="0" w:space="0" w:color="auto"/>
        <w:bottom w:val="none" w:sz="0" w:space="0" w:color="auto"/>
        <w:right w:val="none" w:sz="0" w:space="0" w:color="auto"/>
      </w:divBdr>
    </w:div>
    <w:div w:id="597713853">
      <w:bodyDiv w:val="1"/>
      <w:marLeft w:val="0"/>
      <w:marRight w:val="0"/>
      <w:marTop w:val="0"/>
      <w:marBottom w:val="0"/>
      <w:divBdr>
        <w:top w:val="none" w:sz="0" w:space="0" w:color="auto"/>
        <w:left w:val="none" w:sz="0" w:space="0" w:color="auto"/>
        <w:bottom w:val="none" w:sz="0" w:space="0" w:color="auto"/>
        <w:right w:val="none" w:sz="0" w:space="0" w:color="auto"/>
      </w:divBdr>
    </w:div>
    <w:div w:id="597719163">
      <w:bodyDiv w:val="1"/>
      <w:marLeft w:val="0"/>
      <w:marRight w:val="0"/>
      <w:marTop w:val="0"/>
      <w:marBottom w:val="0"/>
      <w:divBdr>
        <w:top w:val="none" w:sz="0" w:space="0" w:color="auto"/>
        <w:left w:val="none" w:sz="0" w:space="0" w:color="auto"/>
        <w:bottom w:val="none" w:sz="0" w:space="0" w:color="auto"/>
        <w:right w:val="none" w:sz="0" w:space="0" w:color="auto"/>
      </w:divBdr>
    </w:div>
    <w:div w:id="597757030">
      <w:bodyDiv w:val="1"/>
      <w:marLeft w:val="0"/>
      <w:marRight w:val="0"/>
      <w:marTop w:val="0"/>
      <w:marBottom w:val="0"/>
      <w:divBdr>
        <w:top w:val="none" w:sz="0" w:space="0" w:color="auto"/>
        <w:left w:val="none" w:sz="0" w:space="0" w:color="auto"/>
        <w:bottom w:val="none" w:sz="0" w:space="0" w:color="auto"/>
        <w:right w:val="none" w:sz="0" w:space="0" w:color="auto"/>
      </w:divBdr>
    </w:div>
    <w:div w:id="597759463">
      <w:bodyDiv w:val="1"/>
      <w:marLeft w:val="0"/>
      <w:marRight w:val="0"/>
      <w:marTop w:val="0"/>
      <w:marBottom w:val="0"/>
      <w:divBdr>
        <w:top w:val="none" w:sz="0" w:space="0" w:color="auto"/>
        <w:left w:val="none" w:sz="0" w:space="0" w:color="auto"/>
        <w:bottom w:val="none" w:sz="0" w:space="0" w:color="auto"/>
        <w:right w:val="none" w:sz="0" w:space="0" w:color="auto"/>
      </w:divBdr>
    </w:div>
    <w:div w:id="597837425">
      <w:bodyDiv w:val="1"/>
      <w:marLeft w:val="0"/>
      <w:marRight w:val="0"/>
      <w:marTop w:val="0"/>
      <w:marBottom w:val="0"/>
      <w:divBdr>
        <w:top w:val="none" w:sz="0" w:space="0" w:color="auto"/>
        <w:left w:val="none" w:sz="0" w:space="0" w:color="auto"/>
        <w:bottom w:val="none" w:sz="0" w:space="0" w:color="auto"/>
        <w:right w:val="none" w:sz="0" w:space="0" w:color="auto"/>
      </w:divBdr>
    </w:div>
    <w:div w:id="597955546">
      <w:bodyDiv w:val="1"/>
      <w:marLeft w:val="0"/>
      <w:marRight w:val="0"/>
      <w:marTop w:val="0"/>
      <w:marBottom w:val="0"/>
      <w:divBdr>
        <w:top w:val="none" w:sz="0" w:space="0" w:color="auto"/>
        <w:left w:val="none" w:sz="0" w:space="0" w:color="auto"/>
        <w:bottom w:val="none" w:sz="0" w:space="0" w:color="auto"/>
        <w:right w:val="none" w:sz="0" w:space="0" w:color="auto"/>
      </w:divBdr>
    </w:div>
    <w:div w:id="598022967">
      <w:bodyDiv w:val="1"/>
      <w:marLeft w:val="0"/>
      <w:marRight w:val="0"/>
      <w:marTop w:val="0"/>
      <w:marBottom w:val="0"/>
      <w:divBdr>
        <w:top w:val="none" w:sz="0" w:space="0" w:color="auto"/>
        <w:left w:val="none" w:sz="0" w:space="0" w:color="auto"/>
        <w:bottom w:val="none" w:sz="0" w:space="0" w:color="auto"/>
        <w:right w:val="none" w:sz="0" w:space="0" w:color="auto"/>
      </w:divBdr>
    </w:div>
    <w:div w:id="598023275">
      <w:bodyDiv w:val="1"/>
      <w:marLeft w:val="0"/>
      <w:marRight w:val="0"/>
      <w:marTop w:val="0"/>
      <w:marBottom w:val="0"/>
      <w:divBdr>
        <w:top w:val="none" w:sz="0" w:space="0" w:color="auto"/>
        <w:left w:val="none" w:sz="0" w:space="0" w:color="auto"/>
        <w:bottom w:val="none" w:sz="0" w:space="0" w:color="auto"/>
        <w:right w:val="none" w:sz="0" w:space="0" w:color="auto"/>
      </w:divBdr>
    </w:div>
    <w:div w:id="598025773">
      <w:bodyDiv w:val="1"/>
      <w:marLeft w:val="0"/>
      <w:marRight w:val="0"/>
      <w:marTop w:val="0"/>
      <w:marBottom w:val="0"/>
      <w:divBdr>
        <w:top w:val="none" w:sz="0" w:space="0" w:color="auto"/>
        <w:left w:val="none" w:sz="0" w:space="0" w:color="auto"/>
        <w:bottom w:val="none" w:sz="0" w:space="0" w:color="auto"/>
        <w:right w:val="none" w:sz="0" w:space="0" w:color="auto"/>
      </w:divBdr>
    </w:div>
    <w:div w:id="598103098">
      <w:bodyDiv w:val="1"/>
      <w:marLeft w:val="0"/>
      <w:marRight w:val="0"/>
      <w:marTop w:val="0"/>
      <w:marBottom w:val="0"/>
      <w:divBdr>
        <w:top w:val="none" w:sz="0" w:space="0" w:color="auto"/>
        <w:left w:val="none" w:sz="0" w:space="0" w:color="auto"/>
        <w:bottom w:val="none" w:sz="0" w:space="0" w:color="auto"/>
        <w:right w:val="none" w:sz="0" w:space="0" w:color="auto"/>
      </w:divBdr>
    </w:div>
    <w:div w:id="598103657">
      <w:bodyDiv w:val="1"/>
      <w:marLeft w:val="0"/>
      <w:marRight w:val="0"/>
      <w:marTop w:val="0"/>
      <w:marBottom w:val="0"/>
      <w:divBdr>
        <w:top w:val="none" w:sz="0" w:space="0" w:color="auto"/>
        <w:left w:val="none" w:sz="0" w:space="0" w:color="auto"/>
        <w:bottom w:val="none" w:sz="0" w:space="0" w:color="auto"/>
        <w:right w:val="none" w:sz="0" w:space="0" w:color="auto"/>
      </w:divBdr>
    </w:div>
    <w:div w:id="598218528">
      <w:bodyDiv w:val="1"/>
      <w:marLeft w:val="0"/>
      <w:marRight w:val="0"/>
      <w:marTop w:val="0"/>
      <w:marBottom w:val="0"/>
      <w:divBdr>
        <w:top w:val="none" w:sz="0" w:space="0" w:color="auto"/>
        <w:left w:val="none" w:sz="0" w:space="0" w:color="auto"/>
        <w:bottom w:val="none" w:sz="0" w:space="0" w:color="auto"/>
        <w:right w:val="none" w:sz="0" w:space="0" w:color="auto"/>
      </w:divBdr>
    </w:div>
    <w:div w:id="598220499">
      <w:bodyDiv w:val="1"/>
      <w:marLeft w:val="0"/>
      <w:marRight w:val="0"/>
      <w:marTop w:val="0"/>
      <w:marBottom w:val="0"/>
      <w:divBdr>
        <w:top w:val="none" w:sz="0" w:space="0" w:color="auto"/>
        <w:left w:val="none" w:sz="0" w:space="0" w:color="auto"/>
        <w:bottom w:val="none" w:sz="0" w:space="0" w:color="auto"/>
        <w:right w:val="none" w:sz="0" w:space="0" w:color="auto"/>
      </w:divBdr>
    </w:div>
    <w:div w:id="598220755">
      <w:bodyDiv w:val="1"/>
      <w:marLeft w:val="0"/>
      <w:marRight w:val="0"/>
      <w:marTop w:val="0"/>
      <w:marBottom w:val="0"/>
      <w:divBdr>
        <w:top w:val="none" w:sz="0" w:space="0" w:color="auto"/>
        <w:left w:val="none" w:sz="0" w:space="0" w:color="auto"/>
        <w:bottom w:val="none" w:sz="0" w:space="0" w:color="auto"/>
        <w:right w:val="none" w:sz="0" w:space="0" w:color="auto"/>
      </w:divBdr>
    </w:div>
    <w:div w:id="598221849">
      <w:bodyDiv w:val="1"/>
      <w:marLeft w:val="0"/>
      <w:marRight w:val="0"/>
      <w:marTop w:val="0"/>
      <w:marBottom w:val="0"/>
      <w:divBdr>
        <w:top w:val="none" w:sz="0" w:space="0" w:color="auto"/>
        <w:left w:val="none" w:sz="0" w:space="0" w:color="auto"/>
        <w:bottom w:val="none" w:sz="0" w:space="0" w:color="auto"/>
        <w:right w:val="none" w:sz="0" w:space="0" w:color="auto"/>
      </w:divBdr>
    </w:div>
    <w:div w:id="598295759">
      <w:bodyDiv w:val="1"/>
      <w:marLeft w:val="0"/>
      <w:marRight w:val="0"/>
      <w:marTop w:val="0"/>
      <w:marBottom w:val="0"/>
      <w:divBdr>
        <w:top w:val="none" w:sz="0" w:space="0" w:color="auto"/>
        <w:left w:val="none" w:sz="0" w:space="0" w:color="auto"/>
        <w:bottom w:val="none" w:sz="0" w:space="0" w:color="auto"/>
        <w:right w:val="none" w:sz="0" w:space="0" w:color="auto"/>
      </w:divBdr>
    </w:div>
    <w:div w:id="598412857">
      <w:bodyDiv w:val="1"/>
      <w:marLeft w:val="0"/>
      <w:marRight w:val="0"/>
      <w:marTop w:val="0"/>
      <w:marBottom w:val="0"/>
      <w:divBdr>
        <w:top w:val="none" w:sz="0" w:space="0" w:color="auto"/>
        <w:left w:val="none" w:sz="0" w:space="0" w:color="auto"/>
        <w:bottom w:val="none" w:sz="0" w:space="0" w:color="auto"/>
        <w:right w:val="none" w:sz="0" w:space="0" w:color="auto"/>
      </w:divBdr>
    </w:div>
    <w:div w:id="598608198">
      <w:bodyDiv w:val="1"/>
      <w:marLeft w:val="0"/>
      <w:marRight w:val="0"/>
      <w:marTop w:val="0"/>
      <w:marBottom w:val="0"/>
      <w:divBdr>
        <w:top w:val="none" w:sz="0" w:space="0" w:color="auto"/>
        <w:left w:val="none" w:sz="0" w:space="0" w:color="auto"/>
        <w:bottom w:val="none" w:sz="0" w:space="0" w:color="auto"/>
        <w:right w:val="none" w:sz="0" w:space="0" w:color="auto"/>
      </w:divBdr>
    </w:div>
    <w:div w:id="598636180">
      <w:bodyDiv w:val="1"/>
      <w:marLeft w:val="0"/>
      <w:marRight w:val="0"/>
      <w:marTop w:val="0"/>
      <w:marBottom w:val="0"/>
      <w:divBdr>
        <w:top w:val="none" w:sz="0" w:space="0" w:color="auto"/>
        <w:left w:val="none" w:sz="0" w:space="0" w:color="auto"/>
        <w:bottom w:val="none" w:sz="0" w:space="0" w:color="auto"/>
        <w:right w:val="none" w:sz="0" w:space="0" w:color="auto"/>
      </w:divBdr>
    </w:div>
    <w:div w:id="598682580">
      <w:bodyDiv w:val="1"/>
      <w:marLeft w:val="0"/>
      <w:marRight w:val="0"/>
      <w:marTop w:val="0"/>
      <w:marBottom w:val="0"/>
      <w:divBdr>
        <w:top w:val="none" w:sz="0" w:space="0" w:color="auto"/>
        <w:left w:val="none" w:sz="0" w:space="0" w:color="auto"/>
        <w:bottom w:val="none" w:sz="0" w:space="0" w:color="auto"/>
        <w:right w:val="none" w:sz="0" w:space="0" w:color="auto"/>
      </w:divBdr>
    </w:div>
    <w:div w:id="598754056">
      <w:bodyDiv w:val="1"/>
      <w:marLeft w:val="0"/>
      <w:marRight w:val="0"/>
      <w:marTop w:val="0"/>
      <w:marBottom w:val="0"/>
      <w:divBdr>
        <w:top w:val="none" w:sz="0" w:space="0" w:color="auto"/>
        <w:left w:val="none" w:sz="0" w:space="0" w:color="auto"/>
        <w:bottom w:val="none" w:sz="0" w:space="0" w:color="auto"/>
        <w:right w:val="none" w:sz="0" w:space="0" w:color="auto"/>
      </w:divBdr>
    </w:div>
    <w:div w:id="598759034">
      <w:bodyDiv w:val="1"/>
      <w:marLeft w:val="0"/>
      <w:marRight w:val="0"/>
      <w:marTop w:val="0"/>
      <w:marBottom w:val="0"/>
      <w:divBdr>
        <w:top w:val="none" w:sz="0" w:space="0" w:color="auto"/>
        <w:left w:val="none" w:sz="0" w:space="0" w:color="auto"/>
        <w:bottom w:val="none" w:sz="0" w:space="0" w:color="auto"/>
        <w:right w:val="none" w:sz="0" w:space="0" w:color="auto"/>
      </w:divBdr>
    </w:div>
    <w:div w:id="598830093">
      <w:bodyDiv w:val="1"/>
      <w:marLeft w:val="0"/>
      <w:marRight w:val="0"/>
      <w:marTop w:val="0"/>
      <w:marBottom w:val="0"/>
      <w:divBdr>
        <w:top w:val="none" w:sz="0" w:space="0" w:color="auto"/>
        <w:left w:val="none" w:sz="0" w:space="0" w:color="auto"/>
        <w:bottom w:val="none" w:sz="0" w:space="0" w:color="auto"/>
        <w:right w:val="none" w:sz="0" w:space="0" w:color="auto"/>
      </w:divBdr>
    </w:div>
    <w:div w:id="598830474">
      <w:bodyDiv w:val="1"/>
      <w:marLeft w:val="0"/>
      <w:marRight w:val="0"/>
      <w:marTop w:val="0"/>
      <w:marBottom w:val="0"/>
      <w:divBdr>
        <w:top w:val="none" w:sz="0" w:space="0" w:color="auto"/>
        <w:left w:val="none" w:sz="0" w:space="0" w:color="auto"/>
        <w:bottom w:val="none" w:sz="0" w:space="0" w:color="auto"/>
        <w:right w:val="none" w:sz="0" w:space="0" w:color="auto"/>
      </w:divBdr>
    </w:div>
    <w:div w:id="599068271">
      <w:bodyDiv w:val="1"/>
      <w:marLeft w:val="0"/>
      <w:marRight w:val="0"/>
      <w:marTop w:val="0"/>
      <w:marBottom w:val="0"/>
      <w:divBdr>
        <w:top w:val="none" w:sz="0" w:space="0" w:color="auto"/>
        <w:left w:val="none" w:sz="0" w:space="0" w:color="auto"/>
        <w:bottom w:val="none" w:sz="0" w:space="0" w:color="auto"/>
        <w:right w:val="none" w:sz="0" w:space="0" w:color="auto"/>
      </w:divBdr>
    </w:div>
    <w:div w:id="599072519">
      <w:bodyDiv w:val="1"/>
      <w:marLeft w:val="0"/>
      <w:marRight w:val="0"/>
      <w:marTop w:val="0"/>
      <w:marBottom w:val="0"/>
      <w:divBdr>
        <w:top w:val="none" w:sz="0" w:space="0" w:color="auto"/>
        <w:left w:val="none" w:sz="0" w:space="0" w:color="auto"/>
        <w:bottom w:val="none" w:sz="0" w:space="0" w:color="auto"/>
        <w:right w:val="none" w:sz="0" w:space="0" w:color="auto"/>
      </w:divBdr>
    </w:div>
    <w:div w:id="599216539">
      <w:bodyDiv w:val="1"/>
      <w:marLeft w:val="0"/>
      <w:marRight w:val="0"/>
      <w:marTop w:val="0"/>
      <w:marBottom w:val="0"/>
      <w:divBdr>
        <w:top w:val="none" w:sz="0" w:space="0" w:color="auto"/>
        <w:left w:val="none" w:sz="0" w:space="0" w:color="auto"/>
        <w:bottom w:val="none" w:sz="0" w:space="0" w:color="auto"/>
        <w:right w:val="none" w:sz="0" w:space="0" w:color="auto"/>
      </w:divBdr>
    </w:div>
    <w:div w:id="599218650">
      <w:bodyDiv w:val="1"/>
      <w:marLeft w:val="0"/>
      <w:marRight w:val="0"/>
      <w:marTop w:val="0"/>
      <w:marBottom w:val="0"/>
      <w:divBdr>
        <w:top w:val="none" w:sz="0" w:space="0" w:color="auto"/>
        <w:left w:val="none" w:sz="0" w:space="0" w:color="auto"/>
        <w:bottom w:val="none" w:sz="0" w:space="0" w:color="auto"/>
        <w:right w:val="none" w:sz="0" w:space="0" w:color="auto"/>
      </w:divBdr>
    </w:div>
    <w:div w:id="599224104">
      <w:bodyDiv w:val="1"/>
      <w:marLeft w:val="0"/>
      <w:marRight w:val="0"/>
      <w:marTop w:val="0"/>
      <w:marBottom w:val="0"/>
      <w:divBdr>
        <w:top w:val="none" w:sz="0" w:space="0" w:color="auto"/>
        <w:left w:val="none" w:sz="0" w:space="0" w:color="auto"/>
        <w:bottom w:val="none" w:sz="0" w:space="0" w:color="auto"/>
        <w:right w:val="none" w:sz="0" w:space="0" w:color="auto"/>
      </w:divBdr>
    </w:div>
    <w:div w:id="599261630">
      <w:bodyDiv w:val="1"/>
      <w:marLeft w:val="0"/>
      <w:marRight w:val="0"/>
      <w:marTop w:val="0"/>
      <w:marBottom w:val="0"/>
      <w:divBdr>
        <w:top w:val="none" w:sz="0" w:space="0" w:color="auto"/>
        <w:left w:val="none" w:sz="0" w:space="0" w:color="auto"/>
        <w:bottom w:val="none" w:sz="0" w:space="0" w:color="auto"/>
        <w:right w:val="none" w:sz="0" w:space="0" w:color="auto"/>
      </w:divBdr>
    </w:div>
    <w:div w:id="599341080">
      <w:bodyDiv w:val="1"/>
      <w:marLeft w:val="0"/>
      <w:marRight w:val="0"/>
      <w:marTop w:val="0"/>
      <w:marBottom w:val="0"/>
      <w:divBdr>
        <w:top w:val="none" w:sz="0" w:space="0" w:color="auto"/>
        <w:left w:val="none" w:sz="0" w:space="0" w:color="auto"/>
        <w:bottom w:val="none" w:sz="0" w:space="0" w:color="auto"/>
        <w:right w:val="none" w:sz="0" w:space="0" w:color="auto"/>
      </w:divBdr>
    </w:div>
    <w:div w:id="599683829">
      <w:bodyDiv w:val="1"/>
      <w:marLeft w:val="0"/>
      <w:marRight w:val="0"/>
      <w:marTop w:val="0"/>
      <w:marBottom w:val="0"/>
      <w:divBdr>
        <w:top w:val="none" w:sz="0" w:space="0" w:color="auto"/>
        <w:left w:val="none" w:sz="0" w:space="0" w:color="auto"/>
        <w:bottom w:val="none" w:sz="0" w:space="0" w:color="auto"/>
        <w:right w:val="none" w:sz="0" w:space="0" w:color="auto"/>
      </w:divBdr>
    </w:div>
    <w:div w:id="599725276">
      <w:bodyDiv w:val="1"/>
      <w:marLeft w:val="0"/>
      <w:marRight w:val="0"/>
      <w:marTop w:val="0"/>
      <w:marBottom w:val="0"/>
      <w:divBdr>
        <w:top w:val="none" w:sz="0" w:space="0" w:color="auto"/>
        <w:left w:val="none" w:sz="0" w:space="0" w:color="auto"/>
        <w:bottom w:val="none" w:sz="0" w:space="0" w:color="auto"/>
        <w:right w:val="none" w:sz="0" w:space="0" w:color="auto"/>
      </w:divBdr>
    </w:div>
    <w:div w:id="599988978">
      <w:bodyDiv w:val="1"/>
      <w:marLeft w:val="0"/>
      <w:marRight w:val="0"/>
      <w:marTop w:val="0"/>
      <w:marBottom w:val="0"/>
      <w:divBdr>
        <w:top w:val="none" w:sz="0" w:space="0" w:color="auto"/>
        <w:left w:val="none" w:sz="0" w:space="0" w:color="auto"/>
        <w:bottom w:val="none" w:sz="0" w:space="0" w:color="auto"/>
        <w:right w:val="none" w:sz="0" w:space="0" w:color="auto"/>
      </w:divBdr>
    </w:div>
    <w:div w:id="599989988">
      <w:bodyDiv w:val="1"/>
      <w:marLeft w:val="0"/>
      <w:marRight w:val="0"/>
      <w:marTop w:val="0"/>
      <w:marBottom w:val="0"/>
      <w:divBdr>
        <w:top w:val="none" w:sz="0" w:space="0" w:color="auto"/>
        <w:left w:val="none" w:sz="0" w:space="0" w:color="auto"/>
        <w:bottom w:val="none" w:sz="0" w:space="0" w:color="auto"/>
        <w:right w:val="none" w:sz="0" w:space="0" w:color="auto"/>
      </w:divBdr>
    </w:div>
    <w:div w:id="599996657">
      <w:bodyDiv w:val="1"/>
      <w:marLeft w:val="0"/>
      <w:marRight w:val="0"/>
      <w:marTop w:val="0"/>
      <w:marBottom w:val="0"/>
      <w:divBdr>
        <w:top w:val="none" w:sz="0" w:space="0" w:color="auto"/>
        <w:left w:val="none" w:sz="0" w:space="0" w:color="auto"/>
        <w:bottom w:val="none" w:sz="0" w:space="0" w:color="auto"/>
        <w:right w:val="none" w:sz="0" w:space="0" w:color="auto"/>
      </w:divBdr>
    </w:div>
    <w:div w:id="600113624">
      <w:bodyDiv w:val="1"/>
      <w:marLeft w:val="0"/>
      <w:marRight w:val="0"/>
      <w:marTop w:val="0"/>
      <w:marBottom w:val="0"/>
      <w:divBdr>
        <w:top w:val="none" w:sz="0" w:space="0" w:color="auto"/>
        <w:left w:val="none" w:sz="0" w:space="0" w:color="auto"/>
        <w:bottom w:val="none" w:sz="0" w:space="0" w:color="auto"/>
        <w:right w:val="none" w:sz="0" w:space="0" w:color="auto"/>
      </w:divBdr>
    </w:div>
    <w:div w:id="600182846">
      <w:bodyDiv w:val="1"/>
      <w:marLeft w:val="0"/>
      <w:marRight w:val="0"/>
      <w:marTop w:val="0"/>
      <w:marBottom w:val="0"/>
      <w:divBdr>
        <w:top w:val="none" w:sz="0" w:space="0" w:color="auto"/>
        <w:left w:val="none" w:sz="0" w:space="0" w:color="auto"/>
        <w:bottom w:val="none" w:sz="0" w:space="0" w:color="auto"/>
        <w:right w:val="none" w:sz="0" w:space="0" w:color="auto"/>
      </w:divBdr>
    </w:div>
    <w:div w:id="600265367">
      <w:bodyDiv w:val="1"/>
      <w:marLeft w:val="0"/>
      <w:marRight w:val="0"/>
      <w:marTop w:val="0"/>
      <w:marBottom w:val="0"/>
      <w:divBdr>
        <w:top w:val="none" w:sz="0" w:space="0" w:color="auto"/>
        <w:left w:val="none" w:sz="0" w:space="0" w:color="auto"/>
        <w:bottom w:val="none" w:sz="0" w:space="0" w:color="auto"/>
        <w:right w:val="none" w:sz="0" w:space="0" w:color="auto"/>
      </w:divBdr>
    </w:div>
    <w:div w:id="600335852">
      <w:bodyDiv w:val="1"/>
      <w:marLeft w:val="0"/>
      <w:marRight w:val="0"/>
      <w:marTop w:val="0"/>
      <w:marBottom w:val="0"/>
      <w:divBdr>
        <w:top w:val="none" w:sz="0" w:space="0" w:color="auto"/>
        <w:left w:val="none" w:sz="0" w:space="0" w:color="auto"/>
        <w:bottom w:val="none" w:sz="0" w:space="0" w:color="auto"/>
        <w:right w:val="none" w:sz="0" w:space="0" w:color="auto"/>
      </w:divBdr>
    </w:div>
    <w:div w:id="600380230">
      <w:bodyDiv w:val="1"/>
      <w:marLeft w:val="0"/>
      <w:marRight w:val="0"/>
      <w:marTop w:val="0"/>
      <w:marBottom w:val="0"/>
      <w:divBdr>
        <w:top w:val="none" w:sz="0" w:space="0" w:color="auto"/>
        <w:left w:val="none" w:sz="0" w:space="0" w:color="auto"/>
        <w:bottom w:val="none" w:sz="0" w:space="0" w:color="auto"/>
        <w:right w:val="none" w:sz="0" w:space="0" w:color="auto"/>
      </w:divBdr>
    </w:div>
    <w:div w:id="600532011">
      <w:bodyDiv w:val="1"/>
      <w:marLeft w:val="0"/>
      <w:marRight w:val="0"/>
      <w:marTop w:val="0"/>
      <w:marBottom w:val="0"/>
      <w:divBdr>
        <w:top w:val="none" w:sz="0" w:space="0" w:color="auto"/>
        <w:left w:val="none" w:sz="0" w:space="0" w:color="auto"/>
        <w:bottom w:val="none" w:sz="0" w:space="0" w:color="auto"/>
        <w:right w:val="none" w:sz="0" w:space="0" w:color="auto"/>
      </w:divBdr>
    </w:div>
    <w:div w:id="600643589">
      <w:bodyDiv w:val="1"/>
      <w:marLeft w:val="0"/>
      <w:marRight w:val="0"/>
      <w:marTop w:val="0"/>
      <w:marBottom w:val="0"/>
      <w:divBdr>
        <w:top w:val="none" w:sz="0" w:space="0" w:color="auto"/>
        <w:left w:val="none" w:sz="0" w:space="0" w:color="auto"/>
        <w:bottom w:val="none" w:sz="0" w:space="0" w:color="auto"/>
        <w:right w:val="none" w:sz="0" w:space="0" w:color="auto"/>
      </w:divBdr>
    </w:div>
    <w:div w:id="600724569">
      <w:bodyDiv w:val="1"/>
      <w:marLeft w:val="0"/>
      <w:marRight w:val="0"/>
      <w:marTop w:val="0"/>
      <w:marBottom w:val="0"/>
      <w:divBdr>
        <w:top w:val="none" w:sz="0" w:space="0" w:color="auto"/>
        <w:left w:val="none" w:sz="0" w:space="0" w:color="auto"/>
        <w:bottom w:val="none" w:sz="0" w:space="0" w:color="auto"/>
        <w:right w:val="none" w:sz="0" w:space="0" w:color="auto"/>
      </w:divBdr>
    </w:div>
    <w:div w:id="600726444">
      <w:bodyDiv w:val="1"/>
      <w:marLeft w:val="0"/>
      <w:marRight w:val="0"/>
      <w:marTop w:val="0"/>
      <w:marBottom w:val="0"/>
      <w:divBdr>
        <w:top w:val="none" w:sz="0" w:space="0" w:color="auto"/>
        <w:left w:val="none" w:sz="0" w:space="0" w:color="auto"/>
        <w:bottom w:val="none" w:sz="0" w:space="0" w:color="auto"/>
        <w:right w:val="none" w:sz="0" w:space="0" w:color="auto"/>
      </w:divBdr>
    </w:div>
    <w:div w:id="600913553">
      <w:bodyDiv w:val="1"/>
      <w:marLeft w:val="0"/>
      <w:marRight w:val="0"/>
      <w:marTop w:val="0"/>
      <w:marBottom w:val="0"/>
      <w:divBdr>
        <w:top w:val="none" w:sz="0" w:space="0" w:color="auto"/>
        <w:left w:val="none" w:sz="0" w:space="0" w:color="auto"/>
        <w:bottom w:val="none" w:sz="0" w:space="0" w:color="auto"/>
        <w:right w:val="none" w:sz="0" w:space="0" w:color="auto"/>
      </w:divBdr>
    </w:div>
    <w:div w:id="600920857">
      <w:bodyDiv w:val="1"/>
      <w:marLeft w:val="0"/>
      <w:marRight w:val="0"/>
      <w:marTop w:val="0"/>
      <w:marBottom w:val="0"/>
      <w:divBdr>
        <w:top w:val="none" w:sz="0" w:space="0" w:color="auto"/>
        <w:left w:val="none" w:sz="0" w:space="0" w:color="auto"/>
        <w:bottom w:val="none" w:sz="0" w:space="0" w:color="auto"/>
        <w:right w:val="none" w:sz="0" w:space="0" w:color="auto"/>
      </w:divBdr>
    </w:div>
    <w:div w:id="600988265">
      <w:bodyDiv w:val="1"/>
      <w:marLeft w:val="0"/>
      <w:marRight w:val="0"/>
      <w:marTop w:val="0"/>
      <w:marBottom w:val="0"/>
      <w:divBdr>
        <w:top w:val="none" w:sz="0" w:space="0" w:color="auto"/>
        <w:left w:val="none" w:sz="0" w:space="0" w:color="auto"/>
        <w:bottom w:val="none" w:sz="0" w:space="0" w:color="auto"/>
        <w:right w:val="none" w:sz="0" w:space="0" w:color="auto"/>
      </w:divBdr>
    </w:div>
    <w:div w:id="601305849">
      <w:bodyDiv w:val="1"/>
      <w:marLeft w:val="0"/>
      <w:marRight w:val="0"/>
      <w:marTop w:val="0"/>
      <w:marBottom w:val="0"/>
      <w:divBdr>
        <w:top w:val="none" w:sz="0" w:space="0" w:color="auto"/>
        <w:left w:val="none" w:sz="0" w:space="0" w:color="auto"/>
        <w:bottom w:val="none" w:sz="0" w:space="0" w:color="auto"/>
        <w:right w:val="none" w:sz="0" w:space="0" w:color="auto"/>
      </w:divBdr>
    </w:div>
    <w:div w:id="601383285">
      <w:bodyDiv w:val="1"/>
      <w:marLeft w:val="0"/>
      <w:marRight w:val="0"/>
      <w:marTop w:val="0"/>
      <w:marBottom w:val="0"/>
      <w:divBdr>
        <w:top w:val="none" w:sz="0" w:space="0" w:color="auto"/>
        <w:left w:val="none" w:sz="0" w:space="0" w:color="auto"/>
        <w:bottom w:val="none" w:sz="0" w:space="0" w:color="auto"/>
        <w:right w:val="none" w:sz="0" w:space="0" w:color="auto"/>
      </w:divBdr>
    </w:div>
    <w:div w:id="601453485">
      <w:bodyDiv w:val="1"/>
      <w:marLeft w:val="0"/>
      <w:marRight w:val="0"/>
      <w:marTop w:val="0"/>
      <w:marBottom w:val="0"/>
      <w:divBdr>
        <w:top w:val="none" w:sz="0" w:space="0" w:color="auto"/>
        <w:left w:val="none" w:sz="0" w:space="0" w:color="auto"/>
        <w:bottom w:val="none" w:sz="0" w:space="0" w:color="auto"/>
        <w:right w:val="none" w:sz="0" w:space="0" w:color="auto"/>
      </w:divBdr>
    </w:div>
    <w:div w:id="601495268">
      <w:bodyDiv w:val="1"/>
      <w:marLeft w:val="0"/>
      <w:marRight w:val="0"/>
      <w:marTop w:val="0"/>
      <w:marBottom w:val="0"/>
      <w:divBdr>
        <w:top w:val="none" w:sz="0" w:space="0" w:color="auto"/>
        <w:left w:val="none" w:sz="0" w:space="0" w:color="auto"/>
        <w:bottom w:val="none" w:sz="0" w:space="0" w:color="auto"/>
        <w:right w:val="none" w:sz="0" w:space="0" w:color="auto"/>
      </w:divBdr>
    </w:div>
    <w:div w:id="601571604">
      <w:bodyDiv w:val="1"/>
      <w:marLeft w:val="0"/>
      <w:marRight w:val="0"/>
      <w:marTop w:val="0"/>
      <w:marBottom w:val="0"/>
      <w:divBdr>
        <w:top w:val="none" w:sz="0" w:space="0" w:color="auto"/>
        <w:left w:val="none" w:sz="0" w:space="0" w:color="auto"/>
        <w:bottom w:val="none" w:sz="0" w:space="0" w:color="auto"/>
        <w:right w:val="none" w:sz="0" w:space="0" w:color="auto"/>
      </w:divBdr>
    </w:div>
    <w:div w:id="601693127">
      <w:bodyDiv w:val="1"/>
      <w:marLeft w:val="0"/>
      <w:marRight w:val="0"/>
      <w:marTop w:val="0"/>
      <w:marBottom w:val="0"/>
      <w:divBdr>
        <w:top w:val="none" w:sz="0" w:space="0" w:color="auto"/>
        <w:left w:val="none" w:sz="0" w:space="0" w:color="auto"/>
        <w:bottom w:val="none" w:sz="0" w:space="0" w:color="auto"/>
        <w:right w:val="none" w:sz="0" w:space="0" w:color="auto"/>
      </w:divBdr>
    </w:div>
    <w:div w:id="601718039">
      <w:bodyDiv w:val="1"/>
      <w:marLeft w:val="0"/>
      <w:marRight w:val="0"/>
      <w:marTop w:val="0"/>
      <w:marBottom w:val="0"/>
      <w:divBdr>
        <w:top w:val="none" w:sz="0" w:space="0" w:color="auto"/>
        <w:left w:val="none" w:sz="0" w:space="0" w:color="auto"/>
        <w:bottom w:val="none" w:sz="0" w:space="0" w:color="auto"/>
        <w:right w:val="none" w:sz="0" w:space="0" w:color="auto"/>
      </w:divBdr>
    </w:div>
    <w:div w:id="601762742">
      <w:bodyDiv w:val="1"/>
      <w:marLeft w:val="0"/>
      <w:marRight w:val="0"/>
      <w:marTop w:val="0"/>
      <w:marBottom w:val="0"/>
      <w:divBdr>
        <w:top w:val="none" w:sz="0" w:space="0" w:color="auto"/>
        <w:left w:val="none" w:sz="0" w:space="0" w:color="auto"/>
        <w:bottom w:val="none" w:sz="0" w:space="0" w:color="auto"/>
        <w:right w:val="none" w:sz="0" w:space="0" w:color="auto"/>
      </w:divBdr>
    </w:div>
    <w:div w:id="601835560">
      <w:bodyDiv w:val="1"/>
      <w:marLeft w:val="0"/>
      <w:marRight w:val="0"/>
      <w:marTop w:val="0"/>
      <w:marBottom w:val="0"/>
      <w:divBdr>
        <w:top w:val="none" w:sz="0" w:space="0" w:color="auto"/>
        <w:left w:val="none" w:sz="0" w:space="0" w:color="auto"/>
        <w:bottom w:val="none" w:sz="0" w:space="0" w:color="auto"/>
        <w:right w:val="none" w:sz="0" w:space="0" w:color="auto"/>
      </w:divBdr>
    </w:div>
    <w:div w:id="601959136">
      <w:bodyDiv w:val="1"/>
      <w:marLeft w:val="0"/>
      <w:marRight w:val="0"/>
      <w:marTop w:val="0"/>
      <w:marBottom w:val="0"/>
      <w:divBdr>
        <w:top w:val="none" w:sz="0" w:space="0" w:color="auto"/>
        <w:left w:val="none" w:sz="0" w:space="0" w:color="auto"/>
        <w:bottom w:val="none" w:sz="0" w:space="0" w:color="auto"/>
        <w:right w:val="none" w:sz="0" w:space="0" w:color="auto"/>
      </w:divBdr>
    </w:div>
    <w:div w:id="601959377">
      <w:bodyDiv w:val="1"/>
      <w:marLeft w:val="0"/>
      <w:marRight w:val="0"/>
      <w:marTop w:val="0"/>
      <w:marBottom w:val="0"/>
      <w:divBdr>
        <w:top w:val="none" w:sz="0" w:space="0" w:color="auto"/>
        <w:left w:val="none" w:sz="0" w:space="0" w:color="auto"/>
        <w:bottom w:val="none" w:sz="0" w:space="0" w:color="auto"/>
        <w:right w:val="none" w:sz="0" w:space="0" w:color="auto"/>
      </w:divBdr>
    </w:div>
    <w:div w:id="602030185">
      <w:bodyDiv w:val="1"/>
      <w:marLeft w:val="0"/>
      <w:marRight w:val="0"/>
      <w:marTop w:val="0"/>
      <w:marBottom w:val="0"/>
      <w:divBdr>
        <w:top w:val="none" w:sz="0" w:space="0" w:color="auto"/>
        <w:left w:val="none" w:sz="0" w:space="0" w:color="auto"/>
        <w:bottom w:val="none" w:sz="0" w:space="0" w:color="auto"/>
        <w:right w:val="none" w:sz="0" w:space="0" w:color="auto"/>
      </w:divBdr>
    </w:div>
    <w:div w:id="602148223">
      <w:bodyDiv w:val="1"/>
      <w:marLeft w:val="0"/>
      <w:marRight w:val="0"/>
      <w:marTop w:val="0"/>
      <w:marBottom w:val="0"/>
      <w:divBdr>
        <w:top w:val="none" w:sz="0" w:space="0" w:color="auto"/>
        <w:left w:val="none" w:sz="0" w:space="0" w:color="auto"/>
        <w:bottom w:val="none" w:sz="0" w:space="0" w:color="auto"/>
        <w:right w:val="none" w:sz="0" w:space="0" w:color="auto"/>
      </w:divBdr>
    </w:div>
    <w:div w:id="602222764">
      <w:bodyDiv w:val="1"/>
      <w:marLeft w:val="0"/>
      <w:marRight w:val="0"/>
      <w:marTop w:val="0"/>
      <w:marBottom w:val="0"/>
      <w:divBdr>
        <w:top w:val="none" w:sz="0" w:space="0" w:color="auto"/>
        <w:left w:val="none" w:sz="0" w:space="0" w:color="auto"/>
        <w:bottom w:val="none" w:sz="0" w:space="0" w:color="auto"/>
        <w:right w:val="none" w:sz="0" w:space="0" w:color="auto"/>
      </w:divBdr>
    </w:div>
    <w:div w:id="602223024">
      <w:bodyDiv w:val="1"/>
      <w:marLeft w:val="0"/>
      <w:marRight w:val="0"/>
      <w:marTop w:val="0"/>
      <w:marBottom w:val="0"/>
      <w:divBdr>
        <w:top w:val="none" w:sz="0" w:space="0" w:color="auto"/>
        <w:left w:val="none" w:sz="0" w:space="0" w:color="auto"/>
        <w:bottom w:val="none" w:sz="0" w:space="0" w:color="auto"/>
        <w:right w:val="none" w:sz="0" w:space="0" w:color="auto"/>
      </w:divBdr>
    </w:div>
    <w:div w:id="602224154">
      <w:bodyDiv w:val="1"/>
      <w:marLeft w:val="0"/>
      <w:marRight w:val="0"/>
      <w:marTop w:val="0"/>
      <w:marBottom w:val="0"/>
      <w:divBdr>
        <w:top w:val="none" w:sz="0" w:space="0" w:color="auto"/>
        <w:left w:val="none" w:sz="0" w:space="0" w:color="auto"/>
        <w:bottom w:val="none" w:sz="0" w:space="0" w:color="auto"/>
        <w:right w:val="none" w:sz="0" w:space="0" w:color="auto"/>
      </w:divBdr>
    </w:div>
    <w:div w:id="602498740">
      <w:bodyDiv w:val="1"/>
      <w:marLeft w:val="0"/>
      <w:marRight w:val="0"/>
      <w:marTop w:val="0"/>
      <w:marBottom w:val="0"/>
      <w:divBdr>
        <w:top w:val="none" w:sz="0" w:space="0" w:color="auto"/>
        <w:left w:val="none" w:sz="0" w:space="0" w:color="auto"/>
        <w:bottom w:val="none" w:sz="0" w:space="0" w:color="auto"/>
        <w:right w:val="none" w:sz="0" w:space="0" w:color="auto"/>
      </w:divBdr>
    </w:div>
    <w:div w:id="602541165">
      <w:bodyDiv w:val="1"/>
      <w:marLeft w:val="0"/>
      <w:marRight w:val="0"/>
      <w:marTop w:val="0"/>
      <w:marBottom w:val="0"/>
      <w:divBdr>
        <w:top w:val="none" w:sz="0" w:space="0" w:color="auto"/>
        <w:left w:val="none" w:sz="0" w:space="0" w:color="auto"/>
        <w:bottom w:val="none" w:sz="0" w:space="0" w:color="auto"/>
        <w:right w:val="none" w:sz="0" w:space="0" w:color="auto"/>
      </w:divBdr>
    </w:div>
    <w:div w:id="602542783">
      <w:bodyDiv w:val="1"/>
      <w:marLeft w:val="0"/>
      <w:marRight w:val="0"/>
      <w:marTop w:val="0"/>
      <w:marBottom w:val="0"/>
      <w:divBdr>
        <w:top w:val="none" w:sz="0" w:space="0" w:color="auto"/>
        <w:left w:val="none" w:sz="0" w:space="0" w:color="auto"/>
        <w:bottom w:val="none" w:sz="0" w:space="0" w:color="auto"/>
        <w:right w:val="none" w:sz="0" w:space="0" w:color="auto"/>
      </w:divBdr>
    </w:div>
    <w:div w:id="602609039">
      <w:bodyDiv w:val="1"/>
      <w:marLeft w:val="0"/>
      <w:marRight w:val="0"/>
      <w:marTop w:val="0"/>
      <w:marBottom w:val="0"/>
      <w:divBdr>
        <w:top w:val="none" w:sz="0" w:space="0" w:color="auto"/>
        <w:left w:val="none" w:sz="0" w:space="0" w:color="auto"/>
        <w:bottom w:val="none" w:sz="0" w:space="0" w:color="auto"/>
        <w:right w:val="none" w:sz="0" w:space="0" w:color="auto"/>
      </w:divBdr>
    </w:div>
    <w:div w:id="602685242">
      <w:bodyDiv w:val="1"/>
      <w:marLeft w:val="0"/>
      <w:marRight w:val="0"/>
      <w:marTop w:val="0"/>
      <w:marBottom w:val="0"/>
      <w:divBdr>
        <w:top w:val="none" w:sz="0" w:space="0" w:color="auto"/>
        <w:left w:val="none" w:sz="0" w:space="0" w:color="auto"/>
        <w:bottom w:val="none" w:sz="0" w:space="0" w:color="auto"/>
        <w:right w:val="none" w:sz="0" w:space="0" w:color="auto"/>
      </w:divBdr>
    </w:div>
    <w:div w:id="602691665">
      <w:bodyDiv w:val="1"/>
      <w:marLeft w:val="0"/>
      <w:marRight w:val="0"/>
      <w:marTop w:val="0"/>
      <w:marBottom w:val="0"/>
      <w:divBdr>
        <w:top w:val="none" w:sz="0" w:space="0" w:color="auto"/>
        <w:left w:val="none" w:sz="0" w:space="0" w:color="auto"/>
        <w:bottom w:val="none" w:sz="0" w:space="0" w:color="auto"/>
        <w:right w:val="none" w:sz="0" w:space="0" w:color="auto"/>
      </w:divBdr>
    </w:div>
    <w:div w:id="602808926">
      <w:bodyDiv w:val="1"/>
      <w:marLeft w:val="0"/>
      <w:marRight w:val="0"/>
      <w:marTop w:val="0"/>
      <w:marBottom w:val="0"/>
      <w:divBdr>
        <w:top w:val="none" w:sz="0" w:space="0" w:color="auto"/>
        <w:left w:val="none" w:sz="0" w:space="0" w:color="auto"/>
        <w:bottom w:val="none" w:sz="0" w:space="0" w:color="auto"/>
        <w:right w:val="none" w:sz="0" w:space="0" w:color="auto"/>
      </w:divBdr>
    </w:div>
    <w:div w:id="602811681">
      <w:bodyDiv w:val="1"/>
      <w:marLeft w:val="0"/>
      <w:marRight w:val="0"/>
      <w:marTop w:val="0"/>
      <w:marBottom w:val="0"/>
      <w:divBdr>
        <w:top w:val="none" w:sz="0" w:space="0" w:color="auto"/>
        <w:left w:val="none" w:sz="0" w:space="0" w:color="auto"/>
        <w:bottom w:val="none" w:sz="0" w:space="0" w:color="auto"/>
        <w:right w:val="none" w:sz="0" w:space="0" w:color="auto"/>
      </w:divBdr>
    </w:div>
    <w:div w:id="602880220">
      <w:bodyDiv w:val="1"/>
      <w:marLeft w:val="0"/>
      <w:marRight w:val="0"/>
      <w:marTop w:val="0"/>
      <w:marBottom w:val="0"/>
      <w:divBdr>
        <w:top w:val="none" w:sz="0" w:space="0" w:color="auto"/>
        <w:left w:val="none" w:sz="0" w:space="0" w:color="auto"/>
        <w:bottom w:val="none" w:sz="0" w:space="0" w:color="auto"/>
        <w:right w:val="none" w:sz="0" w:space="0" w:color="auto"/>
      </w:divBdr>
    </w:div>
    <w:div w:id="602884086">
      <w:bodyDiv w:val="1"/>
      <w:marLeft w:val="0"/>
      <w:marRight w:val="0"/>
      <w:marTop w:val="0"/>
      <w:marBottom w:val="0"/>
      <w:divBdr>
        <w:top w:val="none" w:sz="0" w:space="0" w:color="auto"/>
        <w:left w:val="none" w:sz="0" w:space="0" w:color="auto"/>
        <w:bottom w:val="none" w:sz="0" w:space="0" w:color="auto"/>
        <w:right w:val="none" w:sz="0" w:space="0" w:color="auto"/>
      </w:divBdr>
    </w:div>
    <w:div w:id="603000855">
      <w:bodyDiv w:val="1"/>
      <w:marLeft w:val="0"/>
      <w:marRight w:val="0"/>
      <w:marTop w:val="0"/>
      <w:marBottom w:val="0"/>
      <w:divBdr>
        <w:top w:val="none" w:sz="0" w:space="0" w:color="auto"/>
        <w:left w:val="none" w:sz="0" w:space="0" w:color="auto"/>
        <w:bottom w:val="none" w:sz="0" w:space="0" w:color="auto"/>
        <w:right w:val="none" w:sz="0" w:space="0" w:color="auto"/>
      </w:divBdr>
    </w:div>
    <w:div w:id="603071918">
      <w:bodyDiv w:val="1"/>
      <w:marLeft w:val="0"/>
      <w:marRight w:val="0"/>
      <w:marTop w:val="0"/>
      <w:marBottom w:val="0"/>
      <w:divBdr>
        <w:top w:val="none" w:sz="0" w:space="0" w:color="auto"/>
        <w:left w:val="none" w:sz="0" w:space="0" w:color="auto"/>
        <w:bottom w:val="none" w:sz="0" w:space="0" w:color="auto"/>
        <w:right w:val="none" w:sz="0" w:space="0" w:color="auto"/>
      </w:divBdr>
    </w:div>
    <w:div w:id="603077437">
      <w:bodyDiv w:val="1"/>
      <w:marLeft w:val="0"/>
      <w:marRight w:val="0"/>
      <w:marTop w:val="0"/>
      <w:marBottom w:val="0"/>
      <w:divBdr>
        <w:top w:val="none" w:sz="0" w:space="0" w:color="auto"/>
        <w:left w:val="none" w:sz="0" w:space="0" w:color="auto"/>
        <w:bottom w:val="none" w:sz="0" w:space="0" w:color="auto"/>
        <w:right w:val="none" w:sz="0" w:space="0" w:color="auto"/>
      </w:divBdr>
    </w:div>
    <w:div w:id="603080080">
      <w:bodyDiv w:val="1"/>
      <w:marLeft w:val="0"/>
      <w:marRight w:val="0"/>
      <w:marTop w:val="0"/>
      <w:marBottom w:val="0"/>
      <w:divBdr>
        <w:top w:val="none" w:sz="0" w:space="0" w:color="auto"/>
        <w:left w:val="none" w:sz="0" w:space="0" w:color="auto"/>
        <w:bottom w:val="none" w:sz="0" w:space="0" w:color="auto"/>
        <w:right w:val="none" w:sz="0" w:space="0" w:color="auto"/>
      </w:divBdr>
    </w:div>
    <w:div w:id="603152071">
      <w:bodyDiv w:val="1"/>
      <w:marLeft w:val="0"/>
      <w:marRight w:val="0"/>
      <w:marTop w:val="0"/>
      <w:marBottom w:val="0"/>
      <w:divBdr>
        <w:top w:val="none" w:sz="0" w:space="0" w:color="auto"/>
        <w:left w:val="none" w:sz="0" w:space="0" w:color="auto"/>
        <w:bottom w:val="none" w:sz="0" w:space="0" w:color="auto"/>
        <w:right w:val="none" w:sz="0" w:space="0" w:color="auto"/>
      </w:divBdr>
    </w:div>
    <w:div w:id="603195885">
      <w:bodyDiv w:val="1"/>
      <w:marLeft w:val="0"/>
      <w:marRight w:val="0"/>
      <w:marTop w:val="0"/>
      <w:marBottom w:val="0"/>
      <w:divBdr>
        <w:top w:val="none" w:sz="0" w:space="0" w:color="auto"/>
        <w:left w:val="none" w:sz="0" w:space="0" w:color="auto"/>
        <w:bottom w:val="none" w:sz="0" w:space="0" w:color="auto"/>
        <w:right w:val="none" w:sz="0" w:space="0" w:color="auto"/>
      </w:divBdr>
    </w:div>
    <w:div w:id="603270774">
      <w:bodyDiv w:val="1"/>
      <w:marLeft w:val="0"/>
      <w:marRight w:val="0"/>
      <w:marTop w:val="0"/>
      <w:marBottom w:val="0"/>
      <w:divBdr>
        <w:top w:val="none" w:sz="0" w:space="0" w:color="auto"/>
        <w:left w:val="none" w:sz="0" w:space="0" w:color="auto"/>
        <w:bottom w:val="none" w:sz="0" w:space="0" w:color="auto"/>
        <w:right w:val="none" w:sz="0" w:space="0" w:color="auto"/>
      </w:divBdr>
    </w:div>
    <w:div w:id="603420392">
      <w:bodyDiv w:val="1"/>
      <w:marLeft w:val="0"/>
      <w:marRight w:val="0"/>
      <w:marTop w:val="0"/>
      <w:marBottom w:val="0"/>
      <w:divBdr>
        <w:top w:val="none" w:sz="0" w:space="0" w:color="auto"/>
        <w:left w:val="none" w:sz="0" w:space="0" w:color="auto"/>
        <w:bottom w:val="none" w:sz="0" w:space="0" w:color="auto"/>
        <w:right w:val="none" w:sz="0" w:space="0" w:color="auto"/>
      </w:divBdr>
    </w:div>
    <w:div w:id="603535799">
      <w:bodyDiv w:val="1"/>
      <w:marLeft w:val="0"/>
      <w:marRight w:val="0"/>
      <w:marTop w:val="0"/>
      <w:marBottom w:val="0"/>
      <w:divBdr>
        <w:top w:val="none" w:sz="0" w:space="0" w:color="auto"/>
        <w:left w:val="none" w:sz="0" w:space="0" w:color="auto"/>
        <w:bottom w:val="none" w:sz="0" w:space="0" w:color="auto"/>
        <w:right w:val="none" w:sz="0" w:space="0" w:color="auto"/>
      </w:divBdr>
    </w:div>
    <w:div w:id="603610000">
      <w:bodyDiv w:val="1"/>
      <w:marLeft w:val="0"/>
      <w:marRight w:val="0"/>
      <w:marTop w:val="0"/>
      <w:marBottom w:val="0"/>
      <w:divBdr>
        <w:top w:val="none" w:sz="0" w:space="0" w:color="auto"/>
        <w:left w:val="none" w:sz="0" w:space="0" w:color="auto"/>
        <w:bottom w:val="none" w:sz="0" w:space="0" w:color="auto"/>
        <w:right w:val="none" w:sz="0" w:space="0" w:color="auto"/>
      </w:divBdr>
    </w:div>
    <w:div w:id="603610447">
      <w:bodyDiv w:val="1"/>
      <w:marLeft w:val="0"/>
      <w:marRight w:val="0"/>
      <w:marTop w:val="0"/>
      <w:marBottom w:val="0"/>
      <w:divBdr>
        <w:top w:val="none" w:sz="0" w:space="0" w:color="auto"/>
        <w:left w:val="none" w:sz="0" w:space="0" w:color="auto"/>
        <w:bottom w:val="none" w:sz="0" w:space="0" w:color="auto"/>
        <w:right w:val="none" w:sz="0" w:space="0" w:color="auto"/>
      </w:divBdr>
    </w:div>
    <w:div w:id="603732571">
      <w:bodyDiv w:val="1"/>
      <w:marLeft w:val="0"/>
      <w:marRight w:val="0"/>
      <w:marTop w:val="0"/>
      <w:marBottom w:val="0"/>
      <w:divBdr>
        <w:top w:val="none" w:sz="0" w:space="0" w:color="auto"/>
        <w:left w:val="none" w:sz="0" w:space="0" w:color="auto"/>
        <w:bottom w:val="none" w:sz="0" w:space="0" w:color="auto"/>
        <w:right w:val="none" w:sz="0" w:space="0" w:color="auto"/>
      </w:divBdr>
    </w:div>
    <w:div w:id="603920103">
      <w:bodyDiv w:val="1"/>
      <w:marLeft w:val="0"/>
      <w:marRight w:val="0"/>
      <w:marTop w:val="0"/>
      <w:marBottom w:val="0"/>
      <w:divBdr>
        <w:top w:val="none" w:sz="0" w:space="0" w:color="auto"/>
        <w:left w:val="none" w:sz="0" w:space="0" w:color="auto"/>
        <w:bottom w:val="none" w:sz="0" w:space="0" w:color="auto"/>
        <w:right w:val="none" w:sz="0" w:space="0" w:color="auto"/>
      </w:divBdr>
    </w:div>
    <w:div w:id="603996940">
      <w:bodyDiv w:val="1"/>
      <w:marLeft w:val="0"/>
      <w:marRight w:val="0"/>
      <w:marTop w:val="0"/>
      <w:marBottom w:val="0"/>
      <w:divBdr>
        <w:top w:val="none" w:sz="0" w:space="0" w:color="auto"/>
        <w:left w:val="none" w:sz="0" w:space="0" w:color="auto"/>
        <w:bottom w:val="none" w:sz="0" w:space="0" w:color="auto"/>
        <w:right w:val="none" w:sz="0" w:space="0" w:color="auto"/>
      </w:divBdr>
    </w:div>
    <w:div w:id="604000112">
      <w:bodyDiv w:val="1"/>
      <w:marLeft w:val="0"/>
      <w:marRight w:val="0"/>
      <w:marTop w:val="0"/>
      <w:marBottom w:val="0"/>
      <w:divBdr>
        <w:top w:val="none" w:sz="0" w:space="0" w:color="auto"/>
        <w:left w:val="none" w:sz="0" w:space="0" w:color="auto"/>
        <w:bottom w:val="none" w:sz="0" w:space="0" w:color="auto"/>
        <w:right w:val="none" w:sz="0" w:space="0" w:color="auto"/>
      </w:divBdr>
    </w:div>
    <w:div w:id="604001898">
      <w:bodyDiv w:val="1"/>
      <w:marLeft w:val="0"/>
      <w:marRight w:val="0"/>
      <w:marTop w:val="0"/>
      <w:marBottom w:val="0"/>
      <w:divBdr>
        <w:top w:val="none" w:sz="0" w:space="0" w:color="auto"/>
        <w:left w:val="none" w:sz="0" w:space="0" w:color="auto"/>
        <w:bottom w:val="none" w:sz="0" w:space="0" w:color="auto"/>
        <w:right w:val="none" w:sz="0" w:space="0" w:color="auto"/>
      </w:divBdr>
    </w:div>
    <w:div w:id="604074960">
      <w:bodyDiv w:val="1"/>
      <w:marLeft w:val="0"/>
      <w:marRight w:val="0"/>
      <w:marTop w:val="0"/>
      <w:marBottom w:val="0"/>
      <w:divBdr>
        <w:top w:val="none" w:sz="0" w:space="0" w:color="auto"/>
        <w:left w:val="none" w:sz="0" w:space="0" w:color="auto"/>
        <w:bottom w:val="none" w:sz="0" w:space="0" w:color="auto"/>
        <w:right w:val="none" w:sz="0" w:space="0" w:color="auto"/>
      </w:divBdr>
    </w:div>
    <w:div w:id="604270207">
      <w:bodyDiv w:val="1"/>
      <w:marLeft w:val="0"/>
      <w:marRight w:val="0"/>
      <w:marTop w:val="0"/>
      <w:marBottom w:val="0"/>
      <w:divBdr>
        <w:top w:val="none" w:sz="0" w:space="0" w:color="auto"/>
        <w:left w:val="none" w:sz="0" w:space="0" w:color="auto"/>
        <w:bottom w:val="none" w:sz="0" w:space="0" w:color="auto"/>
        <w:right w:val="none" w:sz="0" w:space="0" w:color="auto"/>
      </w:divBdr>
    </w:div>
    <w:div w:id="604271702">
      <w:bodyDiv w:val="1"/>
      <w:marLeft w:val="0"/>
      <w:marRight w:val="0"/>
      <w:marTop w:val="0"/>
      <w:marBottom w:val="0"/>
      <w:divBdr>
        <w:top w:val="none" w:sz="0" w:space="0" w:color="auto"/>
        <w:left w:val="none" w:sz="0" w:space="0" w:color="auto"/>
        <w:bottom w:val="none" w:sz="0" w:space="0" w:color="auto"/>
        <w:right w:val="none" w:sz="0" w:space="0" w:color="auto"/>
      </w:divBdr>
    </w:div>
    <w:div w:id="604385549">
      <w:bodyDiv w:val="1"/>
      <w:marLeft w:val="0"/>
      <w:marRight w:val="0"/>
      <w:marTop w:val="0"/>
      <w:marBottom w:val="0"/>
      <w:divBdr>
        <w:top w:val="none" w:sz="0" w:space="0" w:color="auto"/>
        <w:left w:val="none" w:sz="0" w:space="0" w:color="auto"/>
        <w:bottom w:val="none" w:sz="0" w:space="0" w:color="auto"/>
        <w:right w:val="none" w:sz="0" w:space="0" w:color="auto"/>
      </w:divBdr>
    </w:div>
    <w:div w:id="604771343">
      <w:bodyDiv w:val="1"/>
      <w:marLeft w:val="0"/>
      <w:marRight w:val="0"/>
      <w:marTop w:val="0"/>
      <w:marBottom w:val="0"/>
      <w:divBdr>
        <w:top w:val="none" w:sz="0" w:space="0" w:color="auto"/>
        <w:left w:val="none" w:sz="0" w:space="0" w:color="auto"/>
        <w:bottom w:val="none" w:sz="0" w:space="0" w:color="auto"/>
        <w:right w:val="none" w:sz="0" w:space="0" w:color="auto"/>
      </w:divBdr>
    </w:div>
    <w:div w:id="604774543">
      <w:bodyDiv w:val="1"/>
      <w:marLeft w:val="0"/>
      <w:marRight w:val="0"/>
      <w:marTop w:val="0"/>
      <w:marBottom w:val="0"/>
      <w:divBdr>
        <w:top w:val="none" w:sz="0" w:space="0" w:color="auto"/>
        <w:left w:val="none" w:sz="0" w:space="0" w:color="auto"/>
        <w:bottom w:val="none" w:sz="0" w:space="0" w:color="auto"/>
        <w:right w:val="none" w:sz="0" w:space="0" w:color="auto"/>
      </w:divBdr>
    </w:div>
    <w:div w:id="604775906">
      <w:bodyDiv w:val="1"/>
      <w:marLeft w:val="0"/>
      <w:marRight w:val="0"/>
      <w:marTop w:val="0"/>
      <w:marBottom w:val="0"/>
      <w:divBdr>
        <w:top w:val="none" w:sz="0" w:space="0" w:color="auto"/>
        <w:left w:val="none" w:sz="0" w:space="0" w:color="auto"/>
        <w:bottom w:val="none" w:sz="0" w:space="0" w:color="auto"/>
        <w:right w:val="none" w:sz="0" w:space="0" w:color="auto"/>
      </w:divBdr>
    </w:div>
    <w:div w:id="605190553">
      <w:bodyDiv w:val="1"/>
      <w:marLeft w:val="0"/>
      <w:marRight w:val="0"/>
      <w:marTop w:val="0"/>
      <w:marBottom w:val="0"/>
      <w:divBdr>
        <w:top w:val="none" w:sz="0" w:space="0" w:color="auto"/>
        <w:left w:val="none" w:sz="0" w:space="0" w:color="auto"/>
        <w:bottom w:val="none" w:sz="0" w:space="0" w:color="auto"/>
        <w:right w:val="none" w:sz="0" w:space="0" w:color="auto"/>
      </w:divBdr>
    </w:div>
    <w:div w:id="605192131">
      <w:bodyDiv w:val="1"/>
      <w:marLeft w:val="0"/>
      <w:marRight w:val="0"/>
      <w:marTop w:val="0"/>
      <w:marBottom w:val="0"/>
      <w:divBdr>
        <w:top w:val="none" w:sz="0" w:space="0" w:color="auto"/>
        <w:left w:val="none" w:sz="0" w:space="0" w:color="auto"/>
        <w:bottom w:val="none" w:sz="0" w:space="0" w:color="auto"/>
        <w:right w:val="none" w:sz="0" w:space="0" w:color="auto"/>
      </w:divBdr>
    </w:div>
    <w:div w:id="605237113">
      <w:bodyDiv w:val="1"/>
      <w:marLeft w:val="0"/>
      <w:marRight w:val="0"/>
      <w:marTop w:val="0"/>
      <w:marBottom w:val="0"/>
      <w:divBdr>
        <w:top w:val="none" w:sz="0" w:space="0" w:color="auto"/>
        <w:left w:val="none" w:sz="0" w:space="0" w:color="auto"/>
        <w:bottom w:val="none" w:sz="0" w:space="0" w:color="auto"/>
        <w:right w:val="none" w:sz="0" w:space="0" w:color="auto"/>
      </w:divBdr>
    </w:div>
    <w:div w:id="605309998">
      <w:bodyDiv w:val="1"/>
      <w:marLeft w:val="0"/>
      <w:marRight w:val="0"/>
      <w:marTop w:val="0"/>
      <w:marBottom w:val="0"/>
      <w:divBdr>
        <w:top w:val="none" w:sz="0" w:space="0" w:color="auto"/>
        <w:left w:val="none" w:sz="0" w:space="0" w:color="auto"/>
        <w:bottom w:val="none" w:sz="0" w:space="0" w:color="auto"/>
        <w:right w:val="none" w:sz="0" w:space="0" w:color="auto"/>
      </w:divBdr>
    </w:div>
    <w:div w:id="605310496">
      <w:bodyDiv w:val="1"/>
      <w:marLeft w:val="0"/>
      <w:marRight w:val="0"/>
      <w:marTop w:val="0"/>
      <w:marBottom w:val="0"/>
      <w:divBdr>
        <w:top w:val="none" w:sz="0" w:space="0" w:color="auto"/>
        <w:left w:val="none" w:sz="0" w:space="0" w:color="auto"/>
        <w:bottom w:val="none" w:sz="0" w:space="0" w:color="auto"/>
        <w:right w:val="none" w:sz="0" w:space="0" w:color="auto"/>
      </w:divBdr>
    </w:div>
    <w:div w:id="605311033">
      <w:bodyDiv w:val="1"/>
      <w:marLeft w:val="0"/>
      <w:marRight w:val="0"/>
      <w:marTop w:val="0"/>
      <w:marBottom w:val="0"/>
      <w:divBdr>
        <w:top w:val="none" w:sz="0" w:space="0" w:color="auto"/>
        <w:left w:val="none" w:sz="0" w:space="0" w:color="auto"/>
        <w:bottom w:val="none" w:sz="0" w:space="0" w:color="auto"/>
        <w:right w:val="none" w:sz="0" w:space="0" w:color="auto"/>
      </w:divBdr>
    </w:div>
    <w:div w:id="605311795">
      <w:bodyDiv w:val="1"/>
      <w:marLeft w:val="0"/>
      <w:marRight w:val="0"/>
      <w:marTop w:val="0"/>
      <w:marBottom w:val="0"/>
      <w:divBdr>
        <w:top w:val="none" w:sz="0" w:space="0" w:color="auto"/>
        <w:left w:val="none" w:sz="0" w:space="0" w:color="auto"/>
        <w:bottom w:val="none" w:sz="0" w:space="0" w:color="auto"/>
        <w:right w:val="none" w:sz="0" w:space="0" w:color="auto"/>
      </w:divBdr>
    </w:div>
    <w:div w:id="605313044">
      <w:bodyDiv w:val="1"/>
      <w:marLeft w:val="0"/>
      <w:marRight w:val="0"/>
      <w:marTop w:val="0"/>
      <w:marBottom w:val="0"/>
      <w:divBdr>
        <w:top w:val="none" w:sz="0" w:space="0" w:color="auto"/>
        <w:left w:val="none" w:sz="0" w:space="0" w:color="auto"/>
        <w:bottom w:val="none" w:sz="0" w:space="0" w:color="auto"/>
        <w:right w:val="none" w:sz="0" w:space="0" w:color="auto"/>
      </w:divBdr>
    </w:div>
    <w:div w:id="605387487">
      <w:bodyDiv w:val="1"/>
      <w:marLeft w:val="0"/>
      <w:marRight w:val="0"/>
      <w:marTop w:val="0"/>
      <w:marBottom w:val="0"/>
      <w:divBdr>
        <w:top w:val="none" w:sz="0" w:space="0" w:color="auto"/>
        <w:left w:val="none" w:sz="0" w:space="0" w:color="auto"/>
        <w:bottom w:val="none" w:sz="0" w:space="0" w:color="auto"/>
        <w:right w:val="none" w:sz="0" w:space="0" w:color="auto"/>
      </w:divBdr>
    </w:div>
    <w:div w:id="605423196">
      <w:bodyDiv w:val="1"/>
      <w:marLeft w:val="0"/>
      <w:marRight w:val="0"/>
      <w:marTop w:val="0"/>
      <w:marBottom w:val="0"/>
      <w:divBdr>
        <w:top w:val="none" w:sz="0" w:space="0" w:color="auto"/>
        <w:left w:val="none" w:sz="0" w:space="0" w:color="auto"/>
        <w:bottom w:val="none" w:sz="0" w:space="0" w:color="auto"/>
        <w:right w:val="none" w:sz="0" w:space="0" w:color="auto"/>
      </w:divBdr>
    </w:div>
    <w:div w:id="605506221">
      <w:bodyDiv w:val="1"/>
      <w:marLeft w:val="0"/>
      <w:marRight w:val="0"/>
      <w:marTop w:val="0"/>
      <w:marBottom w:val="0"/>
      <w:divBdr>
        <w:top w:val="none" w:sz="0" w:space="0" w:color="auto"/>
        <w:left w:val="none" w:sz="0" w:space="0" w:color="auto"/>
        <w:bottom w:val="none" w:sz="0" w:space="0" w:color="auto"/>
        <w:right w:val="none" w:sz="0" w:space="0" w:color="auto"/>
      </w:divBdr>
    </w:div>
    <w:div w:id="605574709">
      <w:bodyDiv w:val="1"/>
      <w:marLeft w:val="0"/>
      <w:marRight w:val="0"/>
      <w:marTop w:val="0"/>
      <w:marBottom w:val="0"/>
      <w:divBdr>
        <w:top w:val="none" w:sz="0" w:space="0" w:color="auto"/>
        <w:left w:val="none" w:sz="0" w:space="0" w:color="auto"/>
        <w:bottom w:val="none" w:sz="0" w:space="0" w:color="auto"/>
        <w:right w:val="none" w:sz="0" w:space="0" w:color="auto"/>
      </w:divBdr>
    </w:div>
    <w:div w:id="605581048">
      <w:bodyDiv w:val="1"/>
      <w:marLeft w:val="0"/>
      <w:marRight w:val="0"/>
      <w:marTop w:val="0"/>
      <w:marBottom w:val="0"/>
      <w:divBdr>
        <w:top w:val="none" w:sz="0" w:space="0" w:color="auto"/>
        <w:left w:val="none" w:sz="0" w:space="0" w:color="auto"/>
        <w:bottom w:val="none" w:sz="0" w:space="0" w:color="auto"/>
        <w:right w:val="none" w:sz="0" w:space="0" w:color="auto"/>
      </w:divBdr>
    </w:div>
    <w:div w:id="605817506">
      <w:bodyDiv w:val="1"/>
      <w:marLeft w:val="0"/>
      <w:marRight w:val="0"/>
      <w:marTop w:val="0"/>
      <w:marBottom w:val="0"/>
      <w:divBdr>
        <w:top w:val="none" w:sz="0" w:space="0" w:color="auto"/>
        <w:left w:val="none" w:sz="0" w:space="0" w:color="auto"/>
        <w:bottom w:val="none" w:sz="0" w:space="0" w:color="auto"/>
        <w:right w:val="none" w:sz="0" w:space="0" w:color="auto"/>
      </w:divBdr>
    </w:div>
    <w:div w:id="606041651">
      <w:bodyDiv w:val="1"/>
      <w:marLeft w:val="0"/>
      <w:marRight w:val="0"/>
      <w:marTop w:val="0"/>
      <w:marBottom w:val="0"/>
      <w:divBdr>
        <w:top w:val="none" w:sz="0" w:space="0" w:color="auto"/>
        <w:left w:val="none" w:sz="0" w:space="0" w:color="auto"/>
        <w:bottom w:val="none" w:sz="0" w:space="0" w:color="auto"/>
        <w:right w:val="none" w:sz="0" w:space="0" w:color="auto"/>
      </w:divBdr>
    </w:div>
    <w:div w:id="606041979">
      <w:bodyDiv w:val="1"/>
      <w:marLeft w:val="0"/>
      <w:marRight w:val="0"/>
      <w:marTop w:val="0"/>
      <w:marBottom w:val="0"/>
      <w:divBdr>
        <w:top w:val="none" w:sz="0" w:space="0" w:color="auto"/>
        <w:left w:val="none" w:sz="0" w:space="0" w:color="auto"/>
        <w:bottom w:val="none" w:sz="0" w:space="0" w:color="auto"/>
        <w:right w:val="none" w:sz="0" w:space="0" w:color="auto"/>
      </w:divBdr>
    </w:div>
    <w:div w:id="606160461">
      <w:bodyDiv w:val="1"/>
      <w:marLeft w:val="0"/>
      <w:marRight w:val="0"/>
      <w:marTop w:val="0"/>
      <w:marBottom w:val="0"/>
      <w:divBdr>
        <w:top w:val="none" w:sz="0" w:space="0" w:color="auto"/>
        <w:left w:val="none" w:sz="0" w:space="0" w:color="auto"/>
        <w:bottom w:val="none" w:sz="0" w:space="0" w:color="auto"/>
        <w:right w:val="none" w:sz="0" w:space="0" w:color="auto"/>
      </w:divBdr>
    </w:div>
    <w:div w:id="606232455">
      <w:bodyDiv w:val="1"/>
      <w:marLeft w:val="0"/>
      <w:marRight w:val="0"/>
      <w:marTop w:val="0"/>
      <w:marBottom w:val="0"/>
      <w:divBdr>
        <w:top w:val="none" w:sz="0" w:space="0" w:color="auto"/>
        <w:left w:val="none" w:sz="0" w:space="0" w:color="auto"/>
        <w:bottom w:val="none" w:sz="0" w:space="0" w:color="auto"/>
        <w:right w:val="none" w:sz="0" w:space="0" w:color="auto"/>
      </w:divBdr>
    </w:div>
    <w:div w:id="606278481">
      <w:bodyDiv w:val="1"/>
      <w:marLeft w:val="0"/>
      <w:marRight w:val="0"/>
      <w:marTop w:val="0"/>
      <w:marBottom w:val="0"/>
      <w:divBdr>
        <w:top w:val="none" w:sz="0" w:space="0" w:color="auto"/>
        <w:left w:val="none" w:sz="0" w:space="0" w:color="auto"/>
        <w:bottom w:val="none" w:sz="0" w:space="0" w:color="auto"/>
        <w:right w:val="none" w:sz="0" w:space="0" w:color="auto"/>
      </w:divBdr>
    </w:div>
    <w:div w:id="606423812">
      <w:bodyDiv w:val="1"/>
      <w:marLeft w:val="0"/>
      <w:marRight w:val="0"/>
      <w:marTop w:val="0"/>
      <w:marBottom w:val="0"/>
      <w:divBdr>
        <w:top w:val="none" w:sz="0" w:space="0" w:color="auto"/>
        <w:left w:val="none" w:sz="0" w:space="0" w:color="auto"/>
        <w:bottom w:val="none" w:sz="0" w:space="0" w:color="auto"/>
        <w:right w:val="none" w:sz="0" w:space="0" w:color="auto"/>
      </w:divBdr>
    </w:div>
    <w:div w:id="606621995">
      <w:bodyDiv w:val="1"/>
      <w:marLeft w:val="0"/>
      <w:marRight w:val="0"/>
      <w:marTop w:val="0"/>
      <w:marBottom w:val="0"/>
      <w:divBdr>
        <w:top w:val="none" w:sz="0" w:space="0" w:color="auto"/>
        <w:left w:val="none" w:sz="0" w:space="0" w:color="auto"/>
        <w:bottom w:val="none" w:sz="0" w:space="0" w:color="auto"/>
        <w:right w:val="none" w:sz="0" w:space="0" w:color="auto"/>
      </w:divBdr>
    </w:div>
    <w:div w:id="606811535">
      <w:bodyDiv w:val="1"/>
      <w:marLeft w:val="0"/>
      <w:marRight w:val="0"/>
      <w:marTop w:val="0"/>
      <w:marBottom w:val="0"/>
      <w:divBdr>
        <w:top w:val="none" w:sz="0" w:space="0" w:color="auto"/>
        <w:left w:val="none" w:sz="0" w:space="0" w:color="auto"/>
        <w:bottom w:val="none" w:sz="0" w:space="0" w:color="auto"/>
        <w:right w:val="none" w:sz="0" w:space="0" w:color="auto"/>
      </w:divBdr>
    </w:div>
    <w:div w:id="606934258">
      <w:bodyDiv w:val="1"/>
      <w:marLeft w:val="0"/>
      <w:marRight w:val="0"/>
      <w:marTop w:val="0"/>
      <w:marBottom w:val="0"/>
      <w:divBdr>
        <w:top w:val="none" w:sz="0" w:space="0" w:color="auto"/>
        <w:left w:val="none" w:sz="0" w:space="0" w:color="auto"/>
        <w:bottom w:val="none" w:sz="0" w:space="0" w:color="auto"/>
        <w:right w:val="none" w:sz="0" w:space="0" w:color="auto"/>
      </w:divBdr>
    </w:div>
    <w:div w:id="607087123">
      <w:bodyDiv w:val="1"/>
      <w:marLeft w:val="0"/>
      <w:marRight w:val="0"/>
      <w:marTop w:val="0"/>
      <w:marBottom w:val="0"/>
      <w:divBdr>
        <w:top w:val="none" w:sz="0" w:space="0" w:color="auto"/>
        <w:left w:val="none" w:sz="0" w:space="0" w:color="auto"/>
        <w:bottom w:val="none" w:sz="0" w:space="0" w:color="auto"/>
        <w:right w:val="none" w:sz="0" w:space="0" w:color="auto"/>
      </w:divBdr>
    </w:div>
    <w:div w:id="607195784">
      <w:bodyDiv w:val="1"/>
      <w:marLeft w:val="0"/>
      <w:marRight w:val="0"/>
      <w:marTop w:val="0"/>
      <w:marBottom w:val="0"/>
      <w:divBdr>
        <w:top w:val="none" w:sz="0" w:space="0" w:color="auto"/>
        <w:left w:val="none" w:sz="0" w:space="0" w:color="auto"/>
        <w:bottom w:val="none" w:sz="0" w:space="0" w:color="auto"/>
        <w:right w:val="none" w:sz="0" w:space="0" w:color="auto"/>
      </w:divBdr>
    </w:div>
    <w:div w:id="607197136">
      <w:bodyDiv w:val="1"/>
      <w:marLeft w:val="0"/>
      <w:marRight w:val="0"/>
      <w:marTop w:val="0"/>
      <w:marBottom w:val="0"/>
      <w:divBdr>
        <w:top w:val="none" w:sz="0" w:space="0" w:color="auto"/>
        <w:left w:val="none" w:sz="0" w:space="0" w:color="auto"/>
        <w:bottom w:val="none" w:sz="0" w:space="0" w:color="auto"/>
        <w:right w:val="none" w:sz="0" w:space="0" w:color="auto"/>
      </w:divBdr>
    </w:div>
    <w:div w:id="607200297">
      <w:bodyDiv w:val="1"/>
      <w:marLeft w:val="0"/>
      <w:marRight w:val="0"/>
      <w:marTop w:val="0"/>
      <w:marBottom w:val="0"/>
      <w:divBdr>
        <w:top w:val="none" w:sz="0" w:space="0" w:color="auto"/>
        <w:left w:val="none" w:sz="0" w:space="0" w:color="auto"/>
        <w:bottom w:val="none" w:sz="0" w:space="0" w:color="auto"/>
        <w:right w:val="none" w:sz="0" w:space="0" w:color="auto"/>
      </w:divBdr>
    </w:div>
    <w:div w:id="607200837">
      <w:bodyDiv w:val="1"/>
      <w:marLeft w:val="0"/>
      <w:marRight w:val="0"/>
      <w:marTop w:val="0"/>
      <w:marBottom w:val="0"/>
      <w:divBdr>
        <w:top w:val="none" w:sz="0" w:space="0" w:color="auto"/>
        <w:left w:val="none" w:sz="0" w:space="0" w:color="auto"/>
        <w:bottom w:val="none" w:sz="0" w:space="0" w:color="auto"/>
        <w:right w:val="none" w:sz="0" w:space="0" w:color="auto"/>
      </w:divBdr>
    </w:div>
    <w:div w:id="607322961">
      <w:bodyDiv w:val="1"/>
      <w:marLeft w:val="0"/>
      <w:marRight w:val="0"/>
      <w:marTop w:val="0"/>
      <w:marBottom w:val="0"/>
      <w:divBdr>
        <w:top w:val="none" w:sz="0" w:space="0" w:color="auto"/>
        <w:left w:val="none" w:sz="0" w:space="0" w:color="auto"/>
        <w:bottom w:val="none" w:sz="0" w:space="0" w:color="auto"/>
        <w:right w:val="none" w:sz="0" w:space="0" w:color="auto"/>
      </w:divBdr>
    </w:div>
    <w:div w:id="607346486">
      <w:bodyDiv w:val="1"/>
      <w:marLeft w:val="0"/>
      <w:marRight w:val="0"/>
      <w:marTop w:val="0"/>
      <w:marBottom w:val="0"/>
      <w:divBdr>
        <w:top w:val="none" w:sz="0" w:space="0" w:color="auto"/>
        <w:left w:val="none" w:sz="0" w:space="0" w:color="auto"/>
        <w:bottom w:val="none" w:sz="0" w:space="0" w:color="auto"/>
        <w:right w:val="none" w:sz="0" w:space="0" w:color="auto"/>
      </w:divBdr>
    </w:div>
    <w:div w:id="607351192">
      <w:bodyDiv w:val="1"/>
      <w:marLeft w:val="0"/>
      <w:marRight w:val="0"/>
      <w:marTop w:val="0"/>
      <w:marBottom w:val="0"/>
      <w:divBdr>
        <w:top w:val="none" w:sz="0" w:space="0" w:color="auto"/>
        <w:left w:val="none" w:sz="0" w:space="0" w:color="auto"/>
        <w:bottom w:val="none" w:sz="0" w:space="0" w:color="auto"/>
        <w:right w:val="none" w:sz="0" w:space="0" w:color="auto"/>
      </w:divBdr>
    </w:div>
    <w:div w:id="607353783">
      <w:bodyDiv w:val="1"/>
      <w:marLeft w:val="0"/>
      <w:marRight w:val="0"/>
      <w:marTop w:val="0"/>
      <w:marBottom w:val="0"/>
      <w:divBdr>
        <w:top w:val="none" w:sz="0" w:space="0" w:color="auto"/>
        <w:left w:val="none" w:sz="0" w:space="0" w:color="auto"/>
        <w:bottom w:val="none" w:sz="0" w:space="0" w:color="auto"/>
        <w:right w:val="none" w:sz="0" w:space="0" w:color="auto"/>
      </w:divBdr>
    </w:div>
    <w:div w:id="607546339">
      <w:bodyDiv w:val="1"/>
      <w:marLeft w:val="0"/>
      <w:marRight w:val="0"/>
      <w:marTop w:val="0"/>
      <w:marBottom w:val="0"/>
      <w:divBdr>
        <w:top w:val="none" w:sz="0" w:space="0" w:color="auto"/>
        <w:left w:val="none" w:sz="0" w:space="0" w:color="auto"/>
        <w:bottom w:val="none" w:sz="0" w:space="0" w:color="auto"/>
        <w:right w:val="none" w:sz="0" w:space="0" w:color="auto"/>
      </w:divBdr>
    </w:div>
    <w:div w:id="607658241">
      <w:bodyDiv w:val="1"/>
      <w:marLeft w:val="0"/>
      <w:marRight w:val="0"/>
      <w:marTop w:val="0"/>
      <w:marBottom w:val="0"/>
      <w:divBdr>
        <w:top w:val="none" w:sz="0" w:space="0" w:color="auto"/>
        <w:left w:val="none" w:sz="0" w:space="0" w:color="auto"/>
        <w:bottom w:val="none" w:sz="0" w:space="0" w:color="auto"/>
        <w:right w:val="none" w:sz="0" w:space="0" w:color="auto"/>
      </w:divBdr>
    </w:div>
    <w:div w:id="607741069">
      <w:bodyDiv w:val="1"/>
      <w:marLeft w:val="0"/>
      <w:marRight w:val="0"/>
      <w:marTop w:val="0"/>
      <w:marBottom w:val="0"/>
      <w:divBdr>
        <w:top w:val="none" w:sz="0" w:space="0" w:color="auto"/>
        <w:left w:val="none" w:sz="0" w:space="0" w:color="auto"/>
        <w:bottom w:val="none" w:sz="0" w:space="0" w:color="auto"/>
        <w:right w:val="none" w:sz="0" w:space="0" w:color="auto"/>
      </w:divBdr>
    </w:div>
    <w:div w:id="607859945">
      <w:bodyDiv w:val="1"/>
      <w:marLeft w:val="0"/>
      <w:marRight w:val="0"/>
      <w:marTop w:val="0"/>
      <w:marBottom w:val="0"/>
      <w:divBdr>
        <w:top w:val="none" w:sz="0" w:space="0" w:color="auto"/>
        <w:left w:val="none" w:sz="0" w:space="0" w:color="auto"/>
        <w:bottom w:val="none" w:sz="0" w:space="0" w:color="auto"/>
        <w:right w:val="none" w:sz="0" w:space="0" w:color="auto"/>
      </w:divBdr>
    </w:div>
    <w:div w:id="607860109">
      <w:bodyDiv w:val="1"/>
      <w:marLeft w:val="0"/>
      <w:marRight w:val="0"/>
      <w:marTop w:val="0"/>
      <w:marBottom w:val="0"/>
      <w:divBdr>
        <w:top w:val="none" w:sz="0" w:space="0" w:color="auto"/>
        <w:left w:val="none" w:sz="0" w:space="0" w:color="auto"/>
        <w:bottom w:val="none" w:sz="0" w:space="0" w:color="auto"/>
        <w:right w:val="none" w:sz="0" w:space="0" w:color="auto"/>
      </w:divBdr>
    </w:div>
    <w:div w:id="607929337">
      <w:bodyDiv w:val="1"/>
      <w:marLeft w:val="0"/>
      <w:marRight w:val="0"/>
      <w:marTop w:val="0"/>
      <w:marBottom w:val="0"/>
      <w:divBdr>
        <w:top w:val="none" w:sz="0" w:space="0" w:color="auto"/>
        <w:left w:val="none" w:sz="0" w:space="0" w:color="auto"/>
        <w:bottom w:val="none" w:sz="0" w:space="0" w:color="auto"/>
        <w:right w:val="none" w:sz="0" w:space="0" w:color="auto"/>
      </w:divBdr>
    </w:div>
    <w:div w:id="607935386">
      <w:bodyDiv w:val="1"/>
      <w:marLeft w:val="0"/>
      <w:marRight w:val="0"/>
      <w:marTop w:val="0"/>
      <w:marBottom w:val="0"/>
      <w:divBdr>
        <w:top w:val="none" w:sz="0" w:space="0" w:color="auto"/>
        <w:left w:val="none" w:sz="0" w:space="0" w:color="auto"/>
        <w:bottom w:val="none" w:sz="0" w:space="0" w:color="auto"/>
        <w:right w:val="none" w:sz="0" w:space="0" w:color="auto"/>
      </w:divBdr>
    </w:div>
    <w:div w:id="608006664">
      <w:bodyDiv w:val="1"/>
      <w:marLeft w:val="0"/>
      <w:marRight w:val="0"/>
      <w:marTop w:val="0"/>
      <w:marBottom w:val="0"/>
      <w:divBdr>
        <w:top w:val="none" w:sz="0" w:space="0" w:color="auto"/>
        <w:left w:val="none" w:sz="0" w:space="0" w:color="auto"/>
        <w:bottom w:val="none" w:sz="0" w:space="0" w:color="auto"/>
        <w:right w:val="none" w:sz="0" w:space="0" w:color="auto"/>
      </w:divBdr>
    </w:div>
    <w:div w:id="608008266">
      <w:bodyDiv w:val="1"/>
      <w:marLeft w:val="0"/>
      <w:marRight w:val="0"/>
      <w:marTop w:val="0"/>
      <w:marBottom w:val="0"/>
      <w:divBdr>
        <w:top w:val="none" w:sz="0" w:space="0" w:color="auto"/>
        <w:left w:val="none" w:sz="0" w:space="0" w:color="auto"/>
        <w:bottom w:val="none" w:sz="0" w:space="0" w:color="auto"/>
        <w:right w:val="none" w:sz="0" w:space="0" w:color="auto"/>
      </w:divBdr>
    </w:div>
    <w:div w:id="608050957">
      <w:bodyDiv w:val="1"/>
      <w:marLeft w:val="0"/>
      <w:marRight w:val="0"/>
      <w:marTop w:val="0"/>
      <w:marBottom w:val="0"/>
      <w:divBdr>
        <w:top w:val="none" w:sz="0" w:space="0" w:color="auto"/>
        <w:left w:val="none" w:sz="0" w:space="0" w:color="auto"/>
        <w:bottom w:val="none" w:sz="0" w:space="0" w:color="auto"/>
        <w:right w:val="none" w:sz="0" w:space="0" w:color="auto"/>
      </w:divBdr>
    </w:div>
    <w:div w:id="608125098">
      <w:bodyDiv w:val="1"/>
      <w:marLeft w:val="0"/>
      <w:marRight w:val="0"/>
      <w:marTop w:val="0"/>
      <w:marBottom w:val="0"/>
      <w:divBdr>
        <w:top w:val="none" w:sz="0" w:space="0" w:color="auto"/>
        <w:left w:val="none" w:sz="0" w:space="0" w:color="auto"/>
        <w:bottom w:val="none" w:sz="0" w:space="0" w:color="auto"/>
        <w:right w:val="none" w:sz="0" w:space="0" w:color="auto"/>
      </w:divBdr>
    </w:div>
    <w:div w:id="608126626">
      <w:bodyDiv w:val="1"/>
      <w:marLeft w:val="0"/>
      <w:marRight w:val="0"/>
      <w:marTop w:val="0"/>
      <w:marBottom w:val="0"/>
      <w:divBdr>
        <w:top w:val="none" w:sz="0" w:space="0" w:color="auto"/>
        <w:left w:val="none" w:sz="0" w:space="0" w:color="auto"/>
        <w:bottom w:val="none" w:sz="0" w:space="0" w:color="auto"/>
        <w:right w:val="none" w:sz="0" w:space="0" w:color="auto"/>
      </w:divBdr>
    </w:div>
    <w:div w:id="608198947">
      <w:bodyDiv w:val="1"/>
      <w:marLeft w:val="0"/>
      <w:marRight w:val="0"/>
      <w:marTop w:val="0"/>
      <w:marBottom w:val="0"/>
      <w:divBdr>
        <w:top w:val="none" w:sz="0" w:space="0" w:color="auto"/>
        <w:left w:val="none" w:sz="0" w:space="0" w:color="auto"/>
        <w:bottom w:val="none" w:sz="0" w:space="0" w:color="auto"/>
        <w:right w:val="none" w:sz="0" w:space="0" w:color="auto"/>
      </w:divBdr>
    </w:div>
    <w:div w:id="608203465">
      <w:bodyDiv w:val="1"/>
      <w:marLeft w:val="0"/>
      <w:marRight w:val="0"/>
      <w:marTop w:val="0"/>
      <w:marBottom w:val="0"/>
      <w:divBdr>
        <w:top w:val="none" w:sz="0" w:space="0" w:color="auto"/>
        <w:left w:val="none" w:sz="0" w:space="0" w:color="auto"/>
        <w:bottom w:val="none" w:sz="0" w:space="0" w:color="auto"/>
        <w:right w:val="none" w:sz="0" w:space="0" w:color="auto"/>
      </w:divBdr>
    </w:div>
    <w:div w:id="608440331">
      <w:bodyDiv w:val="1"/>
      <w:marLeft w:val="0"/>
      <w:marRight w:val="0"/>
      <w:marTop w:val="0"/>
      <w:marBottom w:val="0"/>
      <w:divBdr>
        <w:top w:val="none" w:sz="0" w:space="0" w:color="auto"/>
        <w:left w:val="none" w:sz="0" w:space="0" w:color="auto"/>
        <w:bottom w:val="none" w:sz="0" w:space="0" w:color="auto"/>
        <w:right w:val="none" w:sz="0" w:space="0" w:color="auto"/>
      </w:divBdr>
    </w:div>
    <w:div w:id="608465886">
      <w:bodyDiv w:val="1"/>
      <w:marLeft w:val="0"/>
      <w:marRight w:val="0"/>
      <w:marTop w:val="0"/>
      <w:marBottom w:val="0"/>
      <w:divBdr>
        <w:top w:val="none" w:sz="0" w:space="0" w:color="auto"/>
        <w:left w:val="none" w:sz="0" w:space="0" w:color="auto"/>
        <w:bottom w:val="none" w:sz="0" w:space="0" w:color="auto"/>
        <w:right w:val="none" w:sz="0" w:space="0" w:color="auto"/>
      </w:divBdr>
    </w:div>
    <w:div w:id="608509068">
      <w:bodyDiv w:val="1"/>
      <w:marLeft w:val="0"/>
      <w:marRight w:val="0"/>
      <w:marTop w:val="0"/>
      <w:marBottom w:val="0"/>
      <w:divBdr>
        <w:top w:val="none" w:sz="0" w:space="0" w:color="auto"/>
        <w:left w:val="none" w:sz="0" w:space="0" w:color="auto"/>
        <w:bottom w:val="none" w:sz="0" w:space="0" w:color="auto"/>
        <w:right w:val="none" w:sz="0" w:space="0" w:color="auto"/>
      </w:divBdr>
    </w:div>
    <w:div w:id="608706219">
      <w:bodyDiv w:val="1"/>
      <w:marLeft w:val="0"/>
      <w:marRight w:val="0"/>
      <w:marTop w:val="0"/>
      <w:marBottom w:val="0"/>
      <w:divBdr>
        <w:top w:val="none" w:sz="0" w:space="0" w:color="auto"/>
        <w:left w:val="none" w:sz="0" w:space="0" w:color="auto"/>
        <w:bottom w:val="none" w:sz="0" w:space="0" w:color="auto"/>
        <w:right w:val="none" w:sz="0" w:space="0" w:color="auto"/>
      </w:divBdr>
    </w:div>
    <w:div w:id="608853170">
      <w:bodyDiv w:val="1"/>
      <w:marLeft w:val="0"/>
      <w:marRight w:val="0"/>
      <w:marTop w:val="0"/>
      <w:marBottom w:val="0"/>
      <w:divBdr>
        <w:top w:val="none" w:sz="0" w:space="0" w:color="auto"/>
        <w:left w:val="none" w:sz="0" w:space="0" w:color="auto"/>
        <w:bottom w:val="none" w:sz="0" w:space="0" w:color="auto"/>
        <w:right w:val="none" w:sz="0" w:space="0" w:color="auto"/>
      </w:divBdr>
    </w:div>
    <w:div w:id="608855721">
      <w:bodyDiv w:val="1"/>
      <w:marLeft w:val="0"/>
      <w:marRight w:val="0"/>
      <w:marTop w:val="0"/>
      <w:marBottom w:val="0"/>
      <w:divBdr>
        <w:top w:val="none" w:sz="0" w:space="0" w:color="auto"/>
        <w:left w:val="none" w:sz="0" w:space="0" w:color="auto"/>
        <w:bottom w:val="none" w:sz="0" w:space="0" w:color="auto"/>
        <w:right w:val="none" w:sz="0" w:space="0" w:color="auto"/>
      </w:divBdr>
    </w:div>
    <w:div w:id="608969770">
      <w:bodyDiv w:val="1"/>
      <w:marLeft w:val="0"/>
      <w:marRight w:val="0"/>
      <w:marTop w:val="0"/>
      <w:marBottom w:val="0"/>
      <w:divBdr>
        <w:top w:val="none" w:sz="0" w:space="0" w:color="auto"/>
        <w:left w:val="none" w:sz="0" w:space="0" w:color="auto"/>
        <w:bottom w:val="none" w:sz="0" w:space="0" w:color="auto"/>
        <w:right w:val="none" w:sz="0" w:space="0" w:color="auto"/>
      </w:divBdr>
    </w:div>
    <w:div w:id="609242661">
      <w:bodyDiv w:val="1"/>
      <w:marLeft w:val="0"/>
      <w:marRight w:val="0"/>
      <w:marTop w:val="0"/>
      <w:marBottom w:val="0"/>
      <w:divBdr>
        <w:top w:val="none" w:sz="0" w:space="0" w:color="auto"/>
        <w:left w:val="none" w:sz="0" w:space="0" w:color="auto"/>
        <w:bottom w:val="none" w:sz="0" w:space="0" w:color="auto"/>
        <w:right w:val="none" w:sz="0" w:space="0" w:color="auto"/>
      </w:divBdr>
    </w:div>
    <w:div w:id="609435263">
      <w:bodyDiv w:val="1"/>
      <w:marLeft w:val="0"/>
      <w:marRight w:val="0"/>
      <w:marTop w:val="0"/>
      <w:marBottom w:val="0"/>
      <w:divBdr>
        <w:top w:val="none" w:sz="0" w:space="0" w:color="auto"/>
        <w:left w:val="none" w:sz="0" w:space="0" w:color="auto"/>
        <w:bottom w:val="none" w:sz="0" w:space="0" w:color="auto"/>
        <w:right w:val="none" w:sz="0" w:space="0" w:color="auto"/>
      </w:divBdr>
    </w:div>
    <w:div w:id="609436696">
      <w:bodyDiv w:val="1"/>
      <w:marLeft w:val="0"/>
      <w:marRight w:val="0"/>
      <w:marTop w:val="0"/>
      <w:marBottom w:val="0"/>
      <w:divBdr>
        <w:top w:val="none" w:sz="0" w:space="0" w:color="auto"/>
        <w:left w:val="none" w:sz="0" w:space="0" w:color="auto"/>
        <w:bottom w:val="none" w:sz="0" w:space="0" w:color="auto"/>
        <w:right w:val="none" w:sz="0" w:space="0" w:color="auto"/>
      </w:divBdr>
    </w:div>
    <w:div w:id="609436996">
      <w:bodyDiv w:val="1"/>
      <w:marLeft w:val="0"/>
      <w:marRight w:val="0"/>
      <w:marTop w:val="0"/>
      <w:marBottom w:val="0"/>
      <w:divBdr>
        <w:top w:val="none" w:sz="0" w:space="0" w:color="auto"/>
        <w:left w:val="none" w:sz="0" w:space="0" w:color="auto"/>
        <w:bottom w:val="none" w:sz="0" w:space="0" w:color="auto"/>
        <w:right w:val="none" w:sz="0" w:space="0" w:color="auto"/>
      </w:divBdr>
    </w:div>
    <w:div w:id="609581784">
      <w:bodyDiv w:val="1"/>
      <w:marLeft w:val="0"/>
      <w:marRight w:val="0"/>
      <w:marTop w:val="0"/>
      <w:marBottom w:val="0"/>
      <w:divBdr>
        <w:top w:val="none" w:sz="0" w:space="0" w:color="auto"/>
        <w:left w:val="none" w:sz="0" w:space="0" w:color="auto"/>
        <w:bottom w:val="none" w:sz="0" w:space="0" w:color="auto"/>
        <w:right w:val="none" w:sz="0" w:space="0" w:color="auto"/>
      </w:divBdr>
    </w:div>
    <w:div w:id="609629101">
      <w:bodyDiv w:val="1"/>
      <w:marLeft w:val="0"/>
      <w:marRight w:val="0"/>
      <w:marTop w:val="0"/>
      <w:marBottom w:val="0"/>
      <w:divBdr>
        <w:top w:val="none" w:sz="0" w:space="0" w:color="auto"/>
        <w:left w:val="none" w:sz="0" w:space="0" w:color="auto"/>
        <w:bottom w:val="none" w:sz="0" w:space="0" w:color="auto"/>
        <w:right w:val="none" w:sz="0" w:space="0" w:color="auto"/>
      </w:divBdr>
    </w:div>
    <w:div w:id="609702913">
      <w:bodyDiv w:val="1"/>
      <w:marLeft w:val="0"/>
      <w:marRight w:val="0"/>
      <w:marTop w:val="0"/>
      <w:marBottom w:val="0"/>
      <w:divBdr>
        <w:top w:val="none" w:sz="0" w:space="0" w:color="auto"/>
        <w:left w:val="none" w:sz="0" w:space="0" w:color="auto"/>
        <w:bottom w:val="none" w:sz="0" w:space="0" w:color="auto"/>
        <w:right w:val="none" w:sz="0" w:space="0" w:color="auto"/>
      </w:divBdr>
    </w:div>
    <w:div w:id="609824541">
      <w:bodyDiv w:val="1"/>
      <w:marLeft w:val="0"/>
      <w:marRight w:val="0"/>
      <w:marTop w:val="0"/>
      <w:marBottom w:val="0"/>
      <w:divBdr>
        <w:top w:val="none" w:sz="0" w:space="0" w:color="auto"/>
        <w:left w:val="none" w:sz="0" w:space="0" w:color="auto"/>
        <w:bottom w:val="none" w:sz="0" w:space="0" w:color="auto"/>
        <w:right w:val="none" w:sz="0" w:space="0" w:color="auto"/>
      </w:divBdr>
    </w:div>
    <w:div w:id="609826319">
      <w:bodyDiv w:val="1"/>
      <w:marLeft w:val="0"/>
      <w:marRight w:val="0"/>
      <w:marTop w:val="0"/>
      <w:marBottom w:val="0"/>
      <w:divBdr>
        <w:top w:val="none" w:sz="0" w:space="0" w:color="auto"/>
        <w:left w:val="none" w:sz="0" w:space="0" w:color="auto"/>
        <w:bottom w:val="none" w:sz="0" w:space="0" w:color="auto"/>
        <w:right w:val="none" w:sz="0" w:space="0" w:color="auto"/>
      </w:divBdr>
    </w:div>
    <w:div w:id="609898026">
      <w:bodyDiv w:val="1"/>
      <w:marLeft w:val="0"/>
      <w:marRight w:val="0"/>
      <w:marTop w:val="0"/>
      <w:marBottom w:val="0"/>
      <w:divBdr>
        <w:top w:val="none" w:sz="0" w:space="0" w:color="auto"/>
        <w:left w:val="none" w:sz="0" w:space="0" w:color="auto"/>
        <w:bottom w:val="none" w:sz="0" w:space="0" w:color="auto"/>
        <w:right w:val="none" w:sz="0" w:space="0" w:color="auto"/>
      </w:divBdr>
    </w:div>
    <w:div w:id="609899082">
      <w:bodyDiv w:val="1"/>
      <w:marLeft w:val="0"/>
      <w:marRight w:val="0"/>
      <w:marTop w:val="0"/>
      <w:marBottom w:val="0"/>
      <w:divBdr>
        <w:top w:val="none" w:sz="0" w:space="0" w:color="auto"/>
        <w:left w:val="none" w:sz="0" w:space="0" w:color="auto"/>
        <w:bottom w:val="none" w:sz="0" w:space="0" w:color="auto"/>
        <w:right w:val="none" w:sz="0" w:space="0" w:color="auto"/>
      </w:divBdr>
    </w:div>
    <w:div w:id="609944230">
      <w:bodyDiv w:val="1"/>
      <w:marLeft w:val="0"/>
      <w:marRight w:val="0"/>
      <w:marTop w:val="0"/>
      <w:marBottom w:val="0"/>
      <w:divBdr>
        <w:top w:val="none" w:sz="0" w:space="0" w:color="auto"/>
        <w:left w:val="none" w:sz="0" w:space="0" w:color="auto"/>
        <w:bottom w:val="none" w:sz="0" w:space="0" w:color="auto"/>
        <w:right w:val="none" w:sz="0" w:space="0" w:color="auto"/>
      </w:divBdr>
    </w:div>
    <w:div w:id="609976227">
      <w:bodyDiv w:val="1"/>
      <w:marLeft w:val="0"/>
      <w:marRight w:val="0"/>
      <w:marTop w:val="0"/>
      <w:marBottom w:val="0"/>
      <w:divBdr>
        <w:top w:val="none" w:sz="0" w:space="0" w:color="auto"/>
        <w:left w:val="none" w:sz="0" w:space="0" w:color="auto"/>
        <w:bottom w:val="none" w:sz="0" w:space="0" w:color="auto"/>
        <w:right w:val="none" w:sz="0" w:space="0" w:color="auto"/>
      </w:divBdr>
    </w:div>
    <w:div w:id="610088861">
      <w:bodyDiv w:val="1"/>
      <w:marLeft w:val="0"/>
      <w:marRight w:val="0"/>
      <w:marTop w:val="0"/>
      <w:marBottom w:val="0"/>
      <w:divBdr>
        <w:top w:val="none" w:sz="0" w:space="0" w:color="auto"/>
        <w:left w:val="none" w:sz="0" w:space="0" w:color="auto"/>
        <w:bottom w:val="none" w:sz="0" w:space="0" w:color="auto"/>
        <w:right w:val="none" w:sz="0" w:space="0" w:color="auto"/>
      </w:divBdr>
    </w:div>
    <w:div w:id="610285927">
      <w:bodyDiv w:val="1"/>
      <w:marLeft w:val="0"/>
      <w:marRight w:val="0"/>
      <w:marTop w:val="0"/>
      <w:marBottom w:val="0"/>
      <w:divBdr>
        <w:top w:val="none" w:sz="0" w:space="0" w:color="auto"/>
        <w:left w:val="none" w:sz="0" w:space="0" w:color="auto"/>
        <w:bottom w:val="none" w:sz="0" w:space="0" w:color="auto"/>
        <w:right w:val="none" w:sz="0" w:space="0" w:color="auto"/>
      </w:divBdr>
    </w:div>
    <w:div w:id="610287982">
      <w:bodyDiv w:val="1"/>
      <w:marLeft w:val="0"/>
      <w:marRight w:val="0"/>
      <w:marTop w:val="0"/>
      <w:marBottom w:val="0"/>
      <w:divBdr>
        <w:top w:val="none" w:sz="0" w:space="0" w:color="auto"/>
        <w:left w:val="none" w:sz="0" w:space="0" w:color="auto"/>
        <w:bottom w:val="none" w:sz="0" w:space="0" w:color="auto"/>
        <w:right w:val="none" w:sz="0" w:space="0" w:color="auto"/>
      </w:divBdr>
    </w:div>
    <w:div w:id="610354808">
      <w:bodyDiv w:val="1"/>
      <w:marLeft w:val="0"/>
      <w:marRight w:val="0"/>
      <w:marTop w:val="0"/>
      <w:marBottom w:val="0"/>
      <w:divBdr>
        <w:top w:val="none" w:sz="0" w:space="0" w:color="auto"/>
        <w:left w:val="none" w:sz="0" w:space="0" w:color="auto"/>
        <w:bottom w:val="none" w:sz="0" w:space="0" w:color="auto"/>
        <w:right w:val="none" w:sz="0" w:space="0" w:color="auto"/>
      </w:divBdr>
    </w:div>
    <w:div w:id="610360576">
      <w:bodyDiv w:val="1"/>
      <w:marLeft w:val="0"/>
      <w:marRight w:val="0"/>
      <w:marTop w:val="0"/>
      <w:marBottom w:val="0"/>
      <w:divBdr>
        <w:top w:val="none" w:sz="0" w:space="0" w:color="auto"/>
        <w:left w:val="none" w:sz="0" w:space="0" w:color="auto"/>
        <w:bottom w:val="none" w:sz="0" w:space="0" w:color="auto"/>
        <w:right w:val="none" w:sz="0" w:space="0" w:color="auto"/>
      </w:divBdr>
    </w:div>
    <w:div w:id="610629547">
      <w:bodyDiv w:val="1"/>
      <w:marLeft w:val="0"/>
      <w:marRight w:val="0"/>
      <w:marTop w:val="0"/>
      <w:marBottom w:val="0"/>
      <w:divBdr>
        <w:top w:val="none" w:sz="0" w:space="0" w:color="auto"/>
        <w:left w:val="none" w:sz="0" w:space="0" w:color="auto"/>
        <w:bottom w:val="none" w:sz="0" w:space="0" w:color="auto"/>
        <w:right w:val="none" w:sz="0" w:space="0" w:color="auto"/>
      </w:divBdr>
    </w:div>
    <w:div w:id="610742228">
      <w:bodyDiv w:val="1"/>
      <w:marLeft w:val="0"/>
      <w:marRight w:val="0"/>
      <w:marTop w:val="0"/>
      <w:marBottom w:val="0"/>
      <w:divBdr>
        <w:top w:val="none" w:sz="0" w:space="0" w:color="auto"/>
        <w:left w:val="none" w:sz="0" w:space="0" w:color="auto"/>
        <w:bottom w:val="none" w:sz="0" w:space="0" w:color="auto"/>
        <w:right w:val="none" w:sz="0" w:space="0" w:color="auto"/>
      </w:divBdr>
    </w:div>
    <w:div w:id="610863078">
      <w:bodyDiv w:val="1"/>
      <w:marLeft w:val="0"/>
      <w:marRight w:val="0"/>
      <w:marTop w:val="0"/>
      <w:marBottom w:val="0"/>
      <w:divBdr>
        <w:top w:val="none" w:sz="0" w:space="0" w:color="auto"/>
        <w:left w:val="none" w:sz="0" w:space="0" w:color="auto"/>
        <w:bottom w:val="none" w:sz="0" w:space="0" w:color="auto"/>
        <w:right w:val="none" w:sz="0" w:space="0" w:color="auto"/>
      </w:divBdr>
    </w:div>
    <w:div w:id="610864518">
      <w:bodyDiv w:val="1"/>
      <w:marLeft w:val="0"/>
      <w:marRight w:val="0"/>
      <w:marTop w:val="0"/>
      <w:marBottom w:val="0"/>
      <w:divBdr>
        <w:top w:val="none" w:sz="0" w:space="0" w:color="auto"/>
        <w:left w:val="none" w:sz="0" w:space="0" w:color="auto"/>
        <w:bottom w:val="none" w:sz="0" w:space="0" w:color="auto"/>
        <w:right w:val="none" w:sz="0" w:space="0" w:color="auto"/>
      </w:divBdr>
    </w:div>
    <w:div w:id="610938344">
      <w:bodyDiv w:val="1"/>
      <w:marLeft w:val="0"/>
      <w:marRight w:val="0"/>
      <w:marTop w:val="0"/>
      <w:marBottom w:val="0"/>
      <w:divBdr>
        <w:top w:val="none" w:sz="0" w:space="0" w:color="auto"/>
        <w:left w:val="none" w:sz="0" w:space="0" w:color="auto"/>
        <w:bottom w:val="none" w:sz="0" w:space="0" w:color="auto"/>
        <w:right w:val="none" w:sz="0" w:space="0" w:color="auto"/>
      </w:divBdr>
    </w:div>
    <w:div w:id="610943681">
      <w:bodyDiv w:val="1"/>
      <w:marLeft w:val="0"/>
      <w:marRight w:val="0"/>
      <w:marTop w:val="0"/>
      <w:marBottom w:val="0"/>
      <w:divBdr>
        <w:top w:val="none" w:sz="0" w:space="0" w:color="auto"/>
        <w:left w:val="none" w:sz="0" w:space="0" w:color="auto"/>
        <w:bottom w:val="none" w:sz="0" w:space="0" w:color="auto"/>
        <w:right w:val="none" w:sz="0" w:space="0" w:color="auto"/>
      </w:divBdr>
    </w:div>
    <w:div w:id="611085849">
      <w:bodyDiv w:val="1"/>
      <w:marLeft w:val="0"/>
      <w:marRight w:val="0"/>
      <w:marTop w:val="0"/>
      <w:marBottom w:val="0"/>
      <w:divBdr>
        <w:top w:val="none" w:sz="0" w:space="0" w:color="auto"/>
        <w:left w:val="none" w:sz="0" w:space="0" w:color="auto"/>
        <w:bottom w:val="none" w:sz="0" w:space="0" w:color="auto"/>
        <w:right w:val="none" w:sz="0" w:space="0" w:color="auto"/>
      </w:divBdr>
    </w:div>
    <w:div w:id="611203676">
      <w:bodyDiv w:val="1"/>
      <w:marLeft w:val="0"/>
      <w:marRight w:val="0"/>
      <w:marTop w:val="0"/>
      <w:marBottom w:val="0"/>
      <w:divBdr>
        <w:top w:val="none" w:sz="0" w:space="0" w:color="auto"/>
        <w:left w:val="none" w:sz="0" w:space="0" w:color="auto"/>
        <w:bottom w:val="none" w:sz="0" w:space="0" w:color="auto"/>
        <w:right w:val="none" w:sz="0" w:space="0" w:color="auto"/>
      </w:divBdr>
    </w:div>
    <w:div w:id="611211687">
      <w:bodyDiv w:val="1"/>
      <w:marLeft w:val="0"/>
      <w:marRight w:val="0"/>
      <w:marTop w:val="0"/>
      <w:marBottom w:val="0"/>
      <w:divBdr>
        <w:top w:val="none" w:sz="0" w:space="0" w:color="auto"/>
        <w:left w:val="none" w:sz="0" w:space="0" w:color="auto"/>
        <w:bottom w:val="none" w:sz="0" w:space="0" w:color="auto"/>
        <w:right w:val="none" w:sz="0" w:space="0" w:color="auto"/>
      </w:divBdr>
    </w:div>
    <w:div w:id="611322142">
      <w:bodyDiv w:val="1"/>
      <w:marLeft w:val="0"/>
      <w:marRight w:val="0"/>
      <w:marTop w:val="0"/>
      <w:marBottom w:val="0"/>
      <w:divBdr>
        <w:top w:val="none" w:sz="0" w:space="0" w:color="auto"/>
        <w:left w:val="none" w:sz="0" w:space="0" w:color="auto"/>
        <w:bottom w:val="none" w:sz="0" w:space="0" w:color="auto"/>
        <w:right w:val="none" w:sz="0" w:space="0" w:color="auto"/>
      </w:divBdr>
    </w:div>
    <w:div w:id="611324029">
      <w:bodyDiv w:val="1"/>
      <w:marLeft w:val="0"/>
      <w:marRight w:val="0"/>
      <w:marTop w:val="0"/>
      <w:marBottom w:val="0"/>
      <w:divBdr>
        <w:top w:val="none" w:sz="0" w:space="0" w:color="auto"/>
        <w:left w:val="none" w:sz="0" w:space="0" w:color="auto"/>
        <w:bottom w:val="none" w:sz="0" w:space="0" w:color="auto"/>
        <w:right w:val="none" w:sz="0" w:space="0" w:color="auto"/>
      </w:divBdr>
    </w:div>
    <w:div w:id="611402399">
      <w:bodyDiv w:val="1"/>
      <w:marLeft w:val="0"/>
      <w:marRight w:val="0"/>
      <w:marTop w:val="0"/>
      <w:marBottom w:val="0"/>
      <w:divBdr>
        <w:top w:val="none" w:sz="0" w:space="0" w:color="auto"/>
        <w:left w:val="none" w:sz="0" w:space="0" w:color="auto"/>
        <w:bottom w:val="none" w:sz="0" w:space="0" w:color="auto"/>
        <w:right w:val="none" w:sz="0" w:space="0" w:color="auto"/>
      </w:divBdr>
    </w:div>
    <w:div w:id="611595673">
      <w:bodyDiv w:val="1"/>
      <w:marLeft w:val="0"/>
      <w:marRight w:val="0"/>
      <w:marTop w:val="0"/>
      <w:marBottom w:val="0"/>
      <w:divBdr>
        <w:top w:val="none" w:sz="0" w:space="0" w:color="auto"/>
        <w:left w:val="none" w:sz="0" w:space="0" w:color="auto"/>
        <w:bottom w:val="none" w:sz="0" w:space="0" w:color="auto"/>
        <w:right w:val="none" w:sz="0" w:space="0" w:color="auto"/>
      </w:divBdr>
    </w:div>
    <w:div w:id="611861040">
      <w:bodyDiv w:val="1"/>
      <w:marLeft w:val="0"/>
      <w:marRight w:val="0"/>
      <w:marTop w:val="0"/>
      <w:marBottom w:val="0"/>
      <w:divBdr>
        <w:top w:val="none" w:sz="0" w:space="0" w:color="auto"/>
        <w:left w:val="none" w:sz="0" w:space="0" w:color="auto"/>
        <w:bottom w:val="none" w:sz="0" w:space="0" w:color="auto"/>
        <w:right w:val="none" w:sz="0" w:space="0" w:color="auto"/>
      </w:divBdr>
    </w:div>
    <w:div w:id="611937765">
      <w:bodyDiv w:val="1"/>
      <w:marLeft w:val="0"/>
      <w:marRight w:val="0"/>
      <w:marTop w:val="0"/>
      <w:marBottom w:val="0"/>
      <w:divBdr>
        <w:top w:val="none" w:sz="0" w:space="0" w:color="auto"/>
        <w:left w:val="none" w:sz="0" w:space="0" w:color="auto"/>
        <w:bottom w:val="none" w:sz="0" w:space="0" w:color="auto"/>
        <w:right w:val="none" w:sz="0" w:space="0" w:color="auto"/>
      </w:divBdr>
    </w:div>
    <w:div w:id="611979268">
      <w:bodyDiv w:val="1"/>
      <w:marLeft w:val="0"/>
      <w:marRight w:val="0"/>
      <w:marTop w:val="0"/>
      <w:marBottom w:val="0"/>
      <w:divBdr>
        <w:top w:val="none" w:sz="0" w:space="0" w:color="auto"/>
        <w:left w:val="none" w:sz="0" w:space="0" w:color="auto"/>
        <w:bottom w:val="none" w:sz="0" w:space="0" w:color="auto"/>
        <w:right w:val="none" w:sz="0" w:space="0" w:color="auto"/>
      </w:divBdr>
    </w:div>
    <w:div w:id="612057907">
      <w:bodyDiv w:val="1"/>
      <w:marLeft w:val="0"/>
      <w:marRight w:val="0"/>
      <w:marTop w:val="0"/>
      <w:marBottom w:val="0"/>
      <w:divBdr>
        <w:top w:val="none" w:sz="0" w:space="0" w:color="auto"/>
        <w:left w:val="none" w:sz="0" w:space="0" w:color="auto"/>
        <w:bottom w:val="none" w:sz="0" w:space="0" w:color="auto"/>
        <w:right w:val="none" w:sz="0" w:space="0" w:color="auto"/>
      </w:divBdr>
    </w:div>
    <w:div w:id="612248283">
      <w:bodyDiv w:val="1"/>
      <w:marLeft w:val="0"/>
      <w:marRight w:val="0"/>
      <w:marTop w:val="0"/>
      <w:marBottom w:val="0"/>
      <w:divBdr>
        <w:top w:val="none" w:sz="0" w:space="0" w:color="auto"/>
        <w:left w:val="none" w:sz="0" w:space="0" w:color="auto"/>
        <w:bottom w:val="none" w:sz="0" w:space="0" w:color="auto"/>
        <w:right w:val="none" w:sz="0" w:space="0" w:color="auto"/>
      </w:divBdr>
    </w:div>
    <w:div w:id="612320214">
      <w:bodyDiv w:val="1"/>
      <w:marLeft w:val="0"/>
      <w:marRight w:val="0"/>
      <w:marTop w:val="0"/>
      <w:marBottom w:val="0"/>
      <w:divBdr>
        <w:top w:val="none" w:sz="0" w:space="0" w:color="auto"/>
        <w:left w:val="none" w:sz="0" w:space="0" w:color="auto"/>
        <w:bottom w:val="none" w:sz="0" w:space="0" w:color="auto"/>
        <w:right w:val="none" w:sz="0" w:space="0" w:color="auto"/>
      </w:divBdr>
    </w:div>
    <w:div w:id="612444064">
      <w:bodyDiv w:val="1"/>
      <w:marLeft w:val="0"/>
      <w:marRight w:val="0"/>
      <w:marTop w:val="0"/>
      <w:marBottom w:val="0"/>
      <w:divBdr>
        <w:top w:val="none" w:sz="0" w:space="0" w:color="auto"/>
        <w:left w:val="none" w:sz="0" w:space="0" w:color="auto"/>
        <w:bottom w:val="none" w:sz="0" w:space="0" w:color="auto"/>
        <w:right w:val="none" w:sz="0" w:space="0" w:color="auto"/>
      </w:divBdr>
    </w:div>
    <w:div w:id="612522561">
      <w:bodyDiv w:val="1"/>
      <w:marLeft w:val="0"/>
      <w:marRight w:val="0"/>
      <w:marTop w:val="0"/>
      <w:marBottom w:val="0"/>
      <w:divBdr>
        <w:top w:val="none" w:sz="0" w:space="0" w:color="auto"/>
        <w:left w:val="none" w:sz="0" w:space="0" w:color="auto"/>
        <w:bottom w:val="none" w:sz="0" w:space="0" w:color="auto"/>
        <w:right w:val="none" w:sz="0" w:space="0" w:color="auto"/>
      </w:divBdr>
    </w:div>
    <w:div w:id="612639045">
      <w:bodyDiv w:val="1"/>
      <w:marLeft w:val="0"/>
      <w:marRight w:val="0"/>
      <w:marTop w:val="0"/>
      <w:marBottom w:val="0"/>
      <w:divBdr>
        <w:top w:val="none" w:sz="0" w:space="0" w:color="auto"/>
        <w:left w:val="none" w:sz="0" w:space="0" w:color="auto"/>
        <w:bottom w:val="none" w:sz="0" w:space="0" w:color="auto"/>
        <w:right w:val="none" w:sz="0" w:space="0" w:color="auto"/>
      </w:divBdr>
    </w:div>
    <w:div w:id="612714562">
      <w:bodyDiv w:val="1"/>
      <w:marLeft w:val="0"/>
      <w:marRight w:val="0"/>
      <w:marTop w:val="0"/>
      <w:marBottom w:val="0"/>
      <w:divBdr>
        <w:top w:val="none" w:sz="0" w:space="0" w:color="auto"/>
        <w:left w:val="none" w:sz="0" w:space="0" w:color="auto"/>
        <w:bottom w:val="none" w:sz="0" w:space="0" w:color="auto"/>
        <w:right w:val="none" w:sz="0" w:space="0" w:color="auto"/>
      </w:divBdr>
    </w:div>
    <w:div w:id="612980616">
      <w:bodyDiv w:val="1"/>
      <w:marLeft w:val="0"/>
      <w:marRight w:val="0"/>
      <w:marTop w:val="0"/>
      <w:marBottom w:val="0"/>
      <w:divBdr>
        <w:top w:val="none" w:sz="0" w:space="0" w:color="auto"/>
        <w:left w:val="none" w:sz="0" w:space="0" w:color="auto"/>
        <w:bottom w:val="none" w:sz="0" w:space="0" w:color="auto"/>
        <w:right w:val="none" w:sz="0" w:space="0" w:color="auto"/>
      </w:divBdr>
    </w:div>
    <w:div w:id="613025133">
      <w:bodyDiv w:val="1"/>
      <w:marLeft w:val="0"/>
      <w:marRight w:val="0"/>
      <w:marTop w:val="0"/>
      <w:marBottom w:val="0"/>
      <w:divBdr>
        <w:top w:val="none" w:sz="0" w:space="0" w:color="auto"/>
        <w:left w:val="none" w:sz="0" w:space="0" w:color="auto"/>
        <w:bottom w:val="none" w:sz="0" w:space="0" w:color="auto"/>
        <w:right w:val="none" w:sz="0" w:space="0" w:color="auto"/>
      </w:divBdr>
    </w:div>
    <w:div w:id="613025675">
      <w:bodyDiv w:val="1"/>
      <w:marLeft w:val="0"/>
      <w:marRight w:val="0"/>
      <w:marTop w:val="0"/>
      <w:marBottom w:val="0"/>
      <w:divBdr>
        <w:top w:val="none" w:sz="0" w:space="0" w:color="auto"/>
        <w:left w:val="none" w:sz="0" w:space="0" w:color="auto"/>
        <w:bottom w:val="none" w:sz="0" w:space="0" w:color="auto"/>
        <w:right w:val="none" w:sz="0" w:space="0" w:color="auto"/>
      </w:divBdr>
    </w:div>
    <w:div w:id="613055825">
      <w:bodyDiv w:val="1"/>
      <w:marLeft w:val="0"/>
      <w:marRight w:val="0"/>
      <w:marTop w:val="0"/>
      <w:marBottom w:val="0"/>
      <w:divBdr>
        <w:top w:val="none" w:sz="0" w:space="0" w:color="auto"/>
        <w:left w:val="none" w:sz="0" w:space="0" w:color="auto"/>
        <w:bottom w:val="none" w:sz="0" w:space="0" w:color="auto"/>
        <w:right w:val="none" w:sz="0" w:space="0" w:color="auto"/>
      </w:divBdr>
    </w:div>
    <w:div w:id="613095019">
      <w:bodyDiv w:val="1"/>
      <w:marLeft w:val="0"/>
      <w:marRight w:val="0"/>
      <w:marTop w:val="0"/>
      <w:marBottom w:val="0"/>
      <w:divBdr>
        <w:top w:val="none" w:sz="0" w:space="0" w:color="auto"/>
        <w:left w:val="none" w:sz="0" w:space="0" w:color="auto"/>
        <w:bottom w:val="none" w:sz="0" w:space="0" w:color="auto"/>
        <w:right w:val="none" w:sz="0" w:space="0" w:color="auto"/>
      </w:divBdr>
    </w:div>
    <w:div w:id="613176365">
      <w:bodyDiv w:val="1"/>
      <w:marLeft w:val="0"/>
      <w:marRight w:val="0"/>
      <w:marTop w:val="0"/>
      <w:marBottom w:val="0"/>
      <w:divBdr>
        <w:top w:val="none" w:sz="0" w:space="0" w:color="auto"/>
        <w:left w:val="none" w:sz="0" w:space="0" w:color="auto"/>
        <w:bottom w:val="none" w:sz="0" w:space="0" w:color="auto"/>
        <w:right w:val="none" w:sz="0" w:space="0" w:color="auto"/>
      </w:divBdr>
    </w:div>
    <w:div w:id="613248314">
      <w:bodyDiv w:val="1"/>
      <w:marLeft w:val="0"/>
      <w:marRight w:val="0"/>
      <w:marTop w:val="0"/>
      <w:marBottom w:val="0"/>
      <w:divBdr>
        <w:top w:val="none" w:sz="0" w:space="0" w:color="auto"/>
        <w:left w:val="none" w:sz="0" w:space="0" w:color="auto"/>
        <w:bottom w:val="none" w:sz="0" w:space="0" w:color="auto"/>
        <w:right w:val="none" w:sz="0" w:space="0" w:color="auto"/>
      </w:divBdr>
    </w:div>
    <w:div w:id="613292074">
      <w:bodyDiv w:val="1"/>
      <w:marLeft w:val="0"/>
      <w:marRight w:val="0"/>
      <w:marTop w:val="0"/>
      <w:marBottom w:val="0"/>
      <w:divBdr>
        <w:top w:val="none" w:sz="0" w:space="0" w:color="auto"/>
        <w:left w:val="none" w:sz="0" w:space="0" w:color="auto"/>
        <w:bottom w:val="none" w:sz="0" w:space="0" w:color="auto"/>
        <w:right w:val="none" w:sz="0" w:space="0" w:color="auto"/>
      </w:divBdr>
    </w:div>
    <w:div w:id="613364061">
      <w:bodyDiv w:val="1"/>
      <w:marLeft w:val="0"/>
      <w:marRight w:val="0"/>
      <w:marTop w:val="0"/>
      <w:marBottom w:val="0"/>
      <w:divBdr>
        <w:top w:val="none" w:sz="0" w:space="0" w:color="auto"/>
        <w:left w:val="none" w:sz="0" w:space="0" w:color="auto"/>
        <w:bottom w:val="none" w:sz="0" w:space="0" w:color="auto"/>
        <w:right w:val="none" w:sz="0" w:space="0" w:color="auto"/>
      </w:divBdr>
    </w:div>
    <w:div w:id="613365908">
      <w:bodyDiv w:val="1"/>
      <w:marLeft w:val="0"/>
      <w:marRight w:val="0"/>
      <w:marTop w:val="0"/>
      <w:marBottom w:val="0"/>
      <w:divBdr>
        <w:top w:val="none" w:sz="0" w:space="0" w:color="auto"/>
        <w:left w:val="none" w:sz="0" w:space="0" w:color="auto"/>
        <w:bottom w:val="none" w:sz="0" w:space="0" w:color="auto"/>
        <w:right w:val="none" w:sz="0" w:space="0" w:color="auto"/>
      </w:divBdr>
    </w:div>
    <w:div w:id="613438604">
      <w:bodyDiv w:val="1"/>
      <w:marLeft w:val="0"/>
      <w:marRight w:val="0"/>
      <w:marTop w:val="0"/>
      <w:marBottom w:val="0"/>
      <w:divBdr>
        <w:top w:val="none" w:sz="0" w:space="0" w:color="auto"/>
        <w:left w:val="none" w:sz="0" w:space="0" w:color="auto"/>
        <w:bottom w:val="none" w:sz="0" w:space="0" w:color="auto"/>
        <w:right w:val="none" w:sz="0" w:space="0" w:color="auto"/>
      </w:divBdr>
    </w:div>
    <w:div w:id="613441645">
      <w:bodyDiv w:val="1"/>
      <w:marLeft w:val="0"/>
      <w:marRight w:val="0"/>
      <w:marTop w:val="0"/>
      <w:marBottom w:val="0"/>
      <w:divBdr>
        <w:top w:val="none" w:sz="0" w:space="0" w:color="auto"/>
        <w:left w:val="none" w:sz="0" w:space="0" w:color="auto"/>
        <w:bottom w:val="none" w:sz="0" w:space="0" w:color="auto"/>
        <w:right w:val="none" w:sz="0" w:space="0" w:color="auto"/>
      </w:divBdr>
    </w:div>
    <w:div w:id="613679744">
      <w:bodyDiv w:val="1"/>
      <w:marLeft w:val="0"/>
      <w:marRight w:val="0"/>
      <w:marTop w:val="0"/>
      <w:marBottom w:val="0"/>
      <w:divBdr>
        <w:top w:val="none" w:sz="0" w:space="0" w:color="auto"/>
        <w:left w:val="none" w:sz="0" w:space="0" w:color="auto"/>
        <w:bottom w:val="none" w:sz="0" w:space="0" w:color="auto"/>
        <w:right w:val="none" w:sz="0" w:space="0" w:color="auto"/>
      </w:divBdr>
    </w:div>
    <w:div w:id="613900104">
      <w:bodyDiv w:val="1"/>
      <w:marLeft w:val="0"/>
      <w:marRight w:val="0"/>
      <w:marTop w:val="0"/>
      <w:marBottom w:val="0"/>
      <w:divBdr>
        <w:top w:val="none" w:sz="0" w:space="0" w:color="auto"/>
        <w:left w:val="none" w:sz="0" w:space="0" w:color="auto"/>
        <w:bottom w:val="none" w:sz="0" w:space="0" w:color="auto"/>
        <w:right w:val="none" w:sz="0" w:space="0" w:color="auto"/>
      </w:divBdr>
    </w:div>
    <w:div w:id="614018226">
      <w:bodyDiv w:val="1"/>
      <w:marLeft w:val="0"/>
      <w:marRight w:val="0"/>
      <w:marTop w:val="0"/>
      <w:marBottom w:val="0"/>
      <w:divBdr>
        <w:top w:val="none" w:sz="0" w:space="0" w:color="auto"/>
        <w:left w:val="none" w:sz="0" w:space="0" w:color="auto"/>
        <w:bottom w:val="none" w:sz="0" w:space="0" w:color="auto"/>
        <w:right w:val="none" w:sz="0" w:space="0" w:color="auto"/>
      </w:divBdr>
    </w:div>
    <w:div w:id="614100355">
      <w:bodyDiv w:val="1"/>
      <w:marLeft w:val="0"/>
      <w:marRight w:val="0"/>
      <w:marTop w:val="0"/>
      <w:marBottom w:val="0"/>
      <w:divBdr>
        <w:top w:val="none" w:sz="0" w:space="0" w:color="auto"/>
        <w:left w:val="none" w:sz="0" w:space="0" w:color="auto"/>
        <w:bottom w:val="none" w:sz="0" w:space="0" w:color="auto"/>
        <w:right w:val="none" w:sz="0" w:space="0" w:color="auto"/>
      </w:divBdr>
    </w:div>
    <w:div w:id="614290441">
      <w:bodyDiv w:val="1"/>
      <w:marLeft w:val="0"/>
      <w:marRight w:val="0"/>
      <w:marTop w:val="0"/>
      <w:marBottom w:val="0"/>
      <w:divBdr>
        <w:top w:val="none" w:sz="0" w:space="0" w:color="auto"/>
        <w:left w:val="none" w:sz="0" w:space="0" w:color="auto"/>
        <w:bottom w:val="none" w:sz="0" w:space="0" w:color="auto"/>
        <w:right w:val="none" w:sz="0" w:space="0" w:color="auto"/>
      </w:divBdr>
    </w:div>
    <w:div w:id="614335520">
      <w:bodyDiv w:val="1"/>
      <w:marLeft w:val="0"/>
      <w:marRight w:val="0"/>
      <w:marTop w:val="0"/>
      <w:marBottom w:val="0"/>
      <w:divBdr>
        <w:top w:val="none" w:sz="0" w:space="0" w:color="auto"/>
        <w:left w:val="none" w:sz="0" w:space="0" w:color="auto"/>
        <w:bottom w:val="none" w:sz="0" w:space="0" w:color="auto"/>
        <w:right w:val="none" w:sz="0" w:space="0" w:color="auto"/>
      </w:divBdr>
    </w:div>
    <w:div w:id="614337265">
      <w:bodyDiv w:val="1"/>
      <w:marLeft w:val="0"/>
      <w:marRight w:val="0"/>
      <w:marTop w:val="0"/>
      <w:marBottom w:val="0"/>
      <w:divBdr>
        <w:top w:val="none" w:sz="0" w:space="0" w:color="auto"/>
        <w:left w:val="none" w:sz="0" w:space="0" w:color="auto"/>
        <w:bottom w:val="none" w:sz="0" w:space="0" w:color="auto"/>
        <w:right w:val="none" w:sz="0" w:space="0" w:color="auto"/>
      </w:divBdr>
    </w:div>
    <w:div w:id="614365476">
      <w:bodyDiv w:val="1"/>
      <w:marLeft w:val="0"/>
      <w:marRight w:val="0"/>
      <w:marTop w:val="0"/>
      <w:marBottom w:val="0"/>
      <w:divBdr>
        <w:top w:val="none" w:sz="0" w:space="0" w:color="auto"/>
        <w:left w:val="none" w:sz="0" w:space="0" w:color="auto"/>
        <w:bottom w:val="none" w:sz="0" w:space="0" w:color="auto"/>
        <w:right w:val="none" w:sz="0" w:space="0" w:color="auto"/>
      </w:divBdr>
    </w:div>
    <w:div w:id="614485527">
      <w:bodyDiv w:val="1"/>
      <w:marLeft w:val="0"/>
      <w:marRight w:val="0"/>
      <w:marTop w:val="0"/>
      <w:marBottom w:val="0"/>
      <w:divBdr>
        <w:top w:val="none" w:sz="0" w:space="0" w:color="auto"/>
        <w:left w:val="none" w:sz="0" w:space="0" w:color="auto"/>
        <w:bottom w:val="none" w:sz="0" w:space="0" w:color="auto"/>
        <w:right w:val="none" w:sz="0" w:space="0" w:color="auto"/>
      </w:divBdr>
    </w:div>
    <w:div w:id="614558121">
      <w:bodyDiv w:val="1"/>
      <w:marLeft w:val="0"/>
      <w:marRight w:val="0"/>
      <w:marTop w:val="0"/>
      <w:marBottom w:val="0"/>
      <w:divBdr>
        <w:top w:val="none" w:sz="0" w:space="0" w:color="auto"/>
        <w:left w:val="none" w:sz="0" w:space="0" w:color="auto"/>
        <w:bottom w:val="none" w:sz="0" w:space="0" w:color="auto"/>
        <w:right w:val="none" w:sz="0" w:space="0" w:color="auto"/>
      </w:divBdr>
    </w:div>
    <w:div w:id="614598918">
      <w:bodyDiv w:val="1"/>
      <w:marLeft w:val="0"/>
      <w:marRight w:val="0"/>
      <w:marTop w:val="0"/>
      <w:marBottom w:val="0"/>
      <w:divBdr>
        <w:top w:val="none" w:sz="0" w:space="0" w:color="auto"/>
        <w:left w:val="none" w:sz="0" w:space="0" w:color="auto"/>
        <w:bottom w:val="none" w:sz="0" w:space="0" w:color="auto"/>
        <w:right w:val="none" w:sz="0" w:space="0" w:color="auto"/>
      </w:divBdr>
    </w:div>
    <w:div w:id="614606632">
      <w:bodyDiv w:val="1"/>
      <w:marLeft w:val="0"/>
      <w:marRight w:val="0"/>
      <w:marTop w:val="0"/>
      <w:marBottom w:val="0"/>
      <w:divBdr>
        <w:top w:val="none" w:sz="0" w:space="0" w:color="auto"/>
        <w:left w:val="none" w:sz="0" w:space="0" w:color="auto"/>
        <w:bottom w:val="none" w:sz="0" w:space="0" w:color="auto"/>
        <w:right w:val="none" w:sz="0" w:space="0" w:color="auto"/>
      </w:divBdr>
    </w:div>
    <w:div w:id="615062393">
      <w:bodyDiv w:val="1"/>
      <w:marLeft w:val="0"/>
      <w:marRight w:val="0"/>
      <w:marTop w:val="0"/>
      <w:marBottom w:val="0"/>
      <w:divBdr>
        <w:top w:val="none" w:sz="0" w:space="0" w:color="auto"/>
        <w:left w:val="none" w:sz="0" w:space="0" w:color="auto"/>
        <w:bottom w:val="none" w:sz="0" w:space="0" w:color="auto"/>
        <w:right w:val="none" w:sz="0" w:space="0" w:color="auto"/>
      </w:divBdr>
    </w:div>
    <w:div w:id="615254108">
      <w:bodyDiv w:val="1"/>
      <w:marLeft w:val="0"/>
      <w:marRight w:val="0"/>
      <w:marTop w:val="0"/>
      <w:marBottom w:val="0"/>
      <w:divBdr>
        <w:top w:val="none" w:sz="0" w:space="0" w:color="auto"/>
        <w:left w:val="none" w:sz="0" w:space="0" w:color="auto"/>
        <w:bottom w:val="none" w:sz="0" w:space="0" w:color="auto"/>
        <w:right w:val="none" w:sz="0" w:space="0" w:color="auto"/>
      </w:divBdr>
    </w:div>
    <w:div w:id="615256870">
      <w:bodyDiv w:val="1"/>
      <w:marLeft w:val="0"/>
      <w:marRight w:val="0"/>
      <w:marTop w:val="0"/>
      <w:marBottom w:val="0"/>
      <w:divBdr>
        <w:top w:val="none" w:sz="0" w:space="0" w:color="auto"/>
        <w:left w:val="none" w:sz="0" w:space="0" w:color="auto"/>
        <w:bottom w:val="none" w:sz="0" w:space="0" w:color="auto"/>
        <w:right w:val="none" w:sz="0" w:space="0" w:color="auto"/>
      </w:divBdr>
    </w:div>
    <w:div w:id="615403786">
      <w:bodyDiv w:val="1"/>
      <w:marLeft w:val="0"/>
      <w:marRight w:val="0"/>
      <w:marTop w:val="0"/>
      <w:marBottom w:val="0"/>
      <w:divBdr>
        <w:top w:val="none" w:sz="0" w:space="0" w:color="auto"/>
        <w:left w:val="none" w:sz="0" w:space="0" w:color="auto"/>
        <w:bottom w:val="none" w:sz="0" w:space="0" w:color="auto"/>
        <w:right w:val="none" w:sz="0" w:space="0" w:color="auto"/>
      </w:divBdr>
    </w:div>
    <w:div w:id="615409522">
      <w:bodyDiv w:val="1"/>
      <w:marLeft w:val="0"/>
      <w:marRight w:val="0"/>
      <w:marTop w:val="0"/>
      <w:marBottom w:val="0"/>
      <w:divBdr>
        <w:top w:val="none" w:sz="0" w:space="0" w:color="auto"/>
        <w:left w:val="none" w:sz="0" w:space="0" w:color="auto"/>
        <w:bottom w:val="none" w:sz="0" w:space="0" w:color="auto"/>
        <w:right w:val="none" w:sz="0" w:space="0" w:color="auto"/>
      </w:divBdr>
    </w:div>
    <w:div w:id="615524516">
      <w:bodyDiv w:val="1"/>
      <w:marLeft w:val="0"/>
      <w:marRight w:val="0"/>
      <w:marTop w:val="0"/>
      <w:marBottom w:val="0"/>
      <w:divBdr>
        <w:top w:val="none" w:sz="0" w:space="0" w:color="auto"/>
        <w:left w:val="none" w:sz="0" w:space="0" w:color="auto"/>
        <w:bottom w:val="none" w:sz="0" w:space="0" w:color="auto"/>
        <w:right w:val="none" w:sz="0" w:space="0" w:color="auto"/>
      </w:divBdr>
    </w:div>
    <w:div w:id="615530319">
      <w:bodyDiv w:val="1"/>
      <w:marLeft w:val="0"/>
      <w:marRight w:val="0"/>
      <w:marTop w:val="0"/>
      <w:marBottom w:val="0"/>
      <w:divBdr>
        <w:top w:val="none" w:sz="0" w:space="0" w:color="auto"/>
        <w:left w:val="none" w:sz="0" w:space="0" w:color="auto"/>
        <w:bottom w:val="none" w:sz="0" w:space="0" w:color="auto"/>
        <w:right w:val="none" w:sz="0" w:space="0" w:color="auto"/>
      </w:divBdr>
    </w:div>
    <w:div w:id="615673747">
      <w:bodyDiv w:val="1"/>
      <w:marLeft w:val="0"/>
      <w:marRight w:val="0"/>
      <w:marTop w:val="0"/>
      <w:marBottom w:val="0"/>
      <w:divBdr>
        <w:top w:val="none" w:sz="0" w:space="0" w:color="auto"/>
        <w:left w:val="none" w:sz="0" w:space="0" w:color="auto"/>
        <w:bottom w:val="none" w:sz="0" w:space="0" w:color="auto"/>
        <w:right w:val="none" w:sz="0" w:space="0" w:color="auto"/>
      </w:divBdr>
    </w:div>
    <w:div w:id="615723145">
      <w:bodyDiv w:val="1"/>
      <w:marLeft w:val="0"/>
      <w:marRight w:val="0"/>
      <w:marTop w:val="0"/>
      <w:marBottom w:val="0"/>
      <w:divBdr>
        <w:top w:val="none" w:sz="0" w:space="0" w:color="auto"/>
        <w:left w:val="none" w:sz="0" w:space="0" w:color="auto"/>
        <w:bottom w:val="none" w:sz="0" w:space="0" w:color="auto"/>
        <w:right w:val="none" w:sz="0" w:space="0" w:color="auto"/>
      </w:divBdr>
    </w:div>
    <w:div w:id="615790463">
      <w:bodyDiv w:val="1"/>
      <w:marLeft w:val="0"/>
      <w:marRight w:val="0"/>
      <w:marTop w:val="0"/>
      <w:marBottom w:val="0"/>
      <w:divBdr>
        <w:top w:val="none" w:sz="0" w:space="0" w:color="auto"/>
        <w:left w:val="none" w:sz="0" w:space="0" w:color="auto"/>
        <w:bottom w:val="none" w:sz="0" w:space="0" w:color="auto"/>
        <w:right w:val="none" w:sz="0" w:space="0" w:color="auto"/>
      </w:divBdr>
    </w:div>
    <w:div w:id="615871389">
      <w:bodyDiv w:val="1"/>
      <w:marLeft w:val="0"/>
      <w:marRight w:val="0"/>
      <w:marTop w:val="0"/>
      <w:marBottom w:val="0"/>
      <w:divBdr>
        <w:top w:val="none" w:sz="0" w:space="0" w:color="auto"/>
        <w:left w:val="none" w:sz="0" w:space="0" w:color="auto"/>
        <w:bottom w:val="none" w:sz="0" w:space="0" w:color="auto"/>
        <w:right w:val="none" w:sz="0" w:space="0" w:color="auto"/>
      </w:divBdr>
    </w:div>
    <w:div w:id="615988090">
      <w:bodyDiv w:val="1"/>
      <w:marLeft w:val="0"/>
      <w:marRight w:val="0"/>
      <w:marTop w:val="0"/>
      <w:marBottom w:val="0"/>
      <w:divBdr>
        <w:top w:val="none" w:sz="0" w:space="0" w:color="auto"/>
        <w:left w:val="none" w:sz="0" w:space="0" w:color="auto"/>
        <w:bottom w:val="none" w:sz="0" w:space="0" w:color="auto"/>
        <w:right w:val="none" w:sz="0" w:space="0" w:color="auto"/>
      </w:divBdr>
    </w:div>
    <w:div w:id="616105415">
      <w:bodyDiv w:val="1"/>
      <w:marLeft w:val="0"/>
      <w:marRight w:val="0"/>
      <w:marTop w:val="0"/>
      <w:marBottom w:val="0"/>
      <w:divBdr>
        <w:top w:val="none" w:sz="0" w:space="0" w:color="auto"/>
        <w:left w:val="none" w:sz="0" w:space="0" w:color="auto"/>
        <w:bottom w:val="none" w:sz="0" w:space="0" w:color="auto"/>
        <w:right w:val="none" w:sz="0" w:space="0" w:color="auto"/>
      </w:divBdr>
    </w:div>
    <w:div w:id="616177250">
      <w:bodyDiv w:val="1"/>
      <w:marLeft w:val="0"/>
      <w:marRight w:val="0"/>
      <w:marTop w:val="0"/>
      <w:marBottom w:val="0"/>
      <w:divBdr>
        <w:top w:val="none" w:sz="0" w:space="0" w:color="auto"/>
        <w:left w:val="none" w:sz="0" w:space="0" w:color="auto"/>
        <w:bottom w:val="none" w:sz="0" w:space="0" w:color="auto"/>
        <w:right w:val="none" w:sz="0" w:space="0" w:color="auto"/>
      </w:divBdr>
    </w:div>
    <w:div w:id="616180867">
      <w:bodyDiv w:val="1"/>
      <w:marLeft w:val="0"/>
      <w:marRight w:val="0"/>
      <w:marTop w:val="0"/>
      <w:marBottom w:val="0"/>
      <w:divBdr>
        <w:top w:val="none" w:sz="0" w:space="0" w:color="auto"/>
        <w:left w:val="none" w:sz="0" w:space="0" w:color="auto"/>
        <w:bottom w:val="none" w:sz="0" w:space="0" w:color="auto"/>
        <w:right w:val="none" w:sz="0" w:space="0" w:color="auto"/>
      </w:divBdr>
    </w:div>
    <w:div w:id="616256613">
      <w:bodyDiv w:val="1"/>
      <w:marLeft w:val="0"/>
      <w:marRight w:val="0"/>
      <w:marTop w:val="0"/>
      <w:marBottom w:val="0"/>
      <w:divBdr>
        <w:top w:val="none" w:sz="0" w:space="0" w:color="auto"/>
        <w:left w:val="none" w:sz="0" w:space="0" w:color="auto"/>
        <w:bottom w:val="none" w:sz="0" w:space="0" w:color="auto"/>
        <w:right w:val="none" w:sz="0" w:space="0" w:color="auto"/>
      </w:divBdr>
    </w:div>
    <w:div w:id="616333097">
      <w:bodyDiv w:val="1"/>
      <w:marLeft w:val="0"/>
      <w:marRight w:val="0"/>
      <w:marTop w:val="0"/>
      <w:marBottom w:val="0"/>
      <w:divBdr>
        <w:top w:val="none" w:sz="0" w:space="0" w:color="auto"/>
        <w:left w:val="none" w:sz="0" w:space="0" w:color="auto"/>
        <w:bottom w:val="none" w:sz="0" w:space="0" w:color="auto"/>
        <w:right w:val="none" w:sz="0" w:space="0" w:color="auto"/>
      </w:divBdr>
    </w:div>
    <w:div w:id="616370372">
      <w:bodyDiv w:val="1"/>
      <w:marLeft w:val="0"/>
      <w:marRight w:val="0"/>
      <w:marTop w:val="0"/>
      <w:marBottom w:val="0"/>
      <w:divBdr>
        <w:top w:val="none" w:sz="0" w:space="0" w:color="auto"/>
        <w:left w:val="none" w:sz="0" w:space="0" w:color="auto"/>
        <w:bottom w:val="none" w:sz="0" w:space="0" w:color="auto"/>
        <w:right w:val="none" w:sz="0" w:space="0" w:color="auto"/>
      </w:divBdr>
    </w:div>
    <w:div w:id="616453507">
      <w:bodyDiv w:val="1"/>
      <w:marLeft w:val="0"/>
      <w:marRight w:val="0"/>
      <w:marTop w:val="0"/>
      <w:marBottom w:val="0"/>
      <w:divBdr>
        <w:top w:val="none" w:sz="0" w:space="0" w:color="auto"/>
        <w:left w:val="none" w:sz="0" w:space="0" w:color="auto"/>
        <w:bottom w:val="none" w:sz="0" w:space="0" w:color="auto"/>
        <w:right w:val="none" w:sz="0" w:space="0" w:color="auto"/>
      </w:divBdr>
    </w:div>
    <w:div w:id="616523087">
      <w:bodyDiv w:val="1"/>
      <w:marLeft w:val="0"/>
      <w:marRight w:val="0"/>
      <w:marTop w:val="0"/>
      <w:marBottom w:val="0"/>
      <w:divBdr>
        <w:top w:val="none" w:sz="0" w:space="0" w:color="auto"/>
        <w:left w:val="none" w:sz="0" w:space="0" w:color="auto"/>
        <w:bottom w:val="none" w:sz="0" w:space="0" w:color="auto"/>
        <w:right w:val="none" w:sz="0" w:space="0" w:color="auto"/>
      </w:divBdr>
    </w:div>
    <w:div w:id="616564214">
      <w:bodyDiv w:val="1"/>
      <w:marLeft w:val="0"/>
      <w:marRight w:val="0"/>
      <w:marTop w:val="0"/>
      <w:marBottom w:val="0"/>
      <w:divBdr>
        <w:top w:val="none" w:sz="0" w:space="0" w:color="auto"/>
        <w:left w:val="none" w:sz="0" w:space="0" w:color="auto"/>
        <w:bottom w:val="none" w:sz="0" w:space="0" w:color="auto"/>
        <w:right w:val="none" w:sz="0" w:space="0" w:color="auto"/>
      </w:divBdr>
    </w:div>
    <w:div w:id="616906675">
      <w:bodyDiv w:val="1"/>
      <w:marLeft w:val="0"/>
      <w:marRight w:val="0"/>
      <w:marTop w:val="0"/>
      <w:marBottom w:val="0"/>
      <w:divBdr>
        <w:top w:val="none" w:sz="0" w:space="0" w:color="auto"/>
        <w:left w:val="none" w:sz="0" w:space="0" w:color="auto"/>
        <w:bottom w:val="none" w:sz="0" w:space="0" w:color="auto"/>
        <w:right w:val="none" w:sz="0" w:space="0" w:color="auto"/>
      </w:divBdr>
    </w:div>
    <w:div w:id="616908673">
      <w:bodyDiv w:val="1"/>
      <w:marLeft w:val="0"/>
      <w:marRight w:val="0"/>
      <w:marTop w:val="0"/>
      <w:marBottom w:val="0"/>
      <w:divBdr>
        <w:top w:val="none" w:sz="0" w:space="0" w:color="auto"/>
        <w:left w:val="none" w:sz="0" w:space="0" w:color="auto"/>
        <w:bottom w:val="none" w:sz="0" w:space="0" w:color="auto"/>
        <w:right w:val="none" w:sz="0" w:space="0" w:color="auto"/>
      </w:divBdr>
    </w:div>
    <w:div w:id="616909073">
      <w:bodyDiv w:val="1"/>
      <w:marLeft w:val="0"/>
      <w:marRight w:val="0"/>
      <w:marTop w:val="0"/>
      <w:marBottom w:val="0"/>
      <w:divBdr>
        <w:top w:val="none" w:sz="0" w:space="0" w:color="auto"/>
        <w:left w:val="none" w:sz="0" w:space="0" w:color="auto"/>
        <w:bottom w:val="none" w:sz="0" w:space="0" w:color="auto"/>
        <w:right w:val="none" w:sz="0" w:space="0" w:color="auto"/>
      </w:divBdr>
    </w:div>
    <w:div w:id="616912635">
      <w:bodyDiv w:val="1"/>
      <w:marLeft w:val="0"/>
      <w:marRight w:val="0"/>
      <w:marTop w:val="0"/>
      <w:marBottom w:val="0"/>
      <w:divBdr>
        <w:top w:val="none" w:sz="0" w:space="0" w:color="auto"/>
        <w:left w:val="none" w:sz="0" w:space="0" w:color="auto"/>
        <w:bottom w:val="none" w:sz="0" w:space="0" w:color="auto"/>
        <w:right w:val="none" w:sz="0" w:space="0" w:color="auto"/>
      </w:divBdr>
    </w:div>
    <w:div w:id="616913687">
      <w:bodyDiv w:val="1"/>
      <w:marLeft w:val="0"/>
      <w:marRight w:val="0"/>
      <w:marTop w:val="0"/>
      <w:marBottom w:val="0"/>
      <w:divBdr>
        <w:top w:val="none" w:sz="0" w:space="0" w:color="auto"/>
        <w:left w:val="none" w:sz="0" w:space="0" w:color="auto"/>
        <w:bottom w:val="none" w:sz="0" w:space="0" w:color="auto"/>
        <w:right w:val="none" w:sz="0" w:space="0" w:color="auto"/>
      </w:divBdr>
    </w:div>
    <w:div w:id="616982664">
      <w:bodyDiv w:val="1"/>
      <w:marLeft w:val="0"/>
      <w:marRight w:val="0"/>
      <w:marTop w:val="0"/>
      <w:marBottom w:val="0"/>
      <w:divBdr>
        <w:top w:val="none" w:sz="0" w:space="0" w:color="auto"/>
        <w:left w:val="none" w:sz="0" w:space="0" w:color="auto"/>
        <w:bottom w:val="none" w:sz="0" w:space="0" w:color="auto"/>
        <w:right w:val="none" w:sz="0" w:space="0" w:color="auto"/>
      </w:divBdr>
    </w:div>
    <w:div w:id="617106981">
      <w:bodyDiv w:val="1"/>
      <w:marLeft w:val="0"/>
      <w:marRight w:val="0"/>
      <w:marTop w:val="0"/>
      <w:marBottom w:val="0"/>
      <w:divBdr>
        <w:top w:val="none" w:sz="0" w:space="0" w:color="auto"/>
        <w:left w:val="none" w:sz="0" w:space="0" w:color="auto"/>
        <w:bottom w:val="none" w:sz="0" w:space="0" w:color="auto"/>
        <w:right w:val="none" w:sz="0" w:space="0" w:color="auto"/>
      </w:divBdr>
    </w:div>
    <w:div w:id="617178114">
      <w:bodyDiv w:val="1"/>
      <w:marLeft w:val="0"/>
      <w:marRight w:val="0"/>
      <w:marTop w:val="0"/>
      <w:marBottom w:val="0"/>
      <w:divBdr>
        <w:top w:val="none" w:sz="0" w:space="0" w:color="auto"/>
        <w:left w:val="none" w:sz="0" w:space="0" w:color="auto"/>
        <w:bottom w:val="none" w:sz="0" w:space="0" w:color="auto"/>
        <w:right w:val="none" w:sz="0" w:space="0" w:color="auto"/>
      </w:divBdr>
    </w:div>
    <w:div w:id="617218243">
      <w:bodyDiv w:val="1"/>
      <w:marLeft w:val="0"/>
      <w:marRight w:val="0"/>
      <w:marTop w:val="0"/>
      <w:marBottom w:val="0"/>
      <w:divBdr>
        <w:top w:val="none" w:sz="0" w:space="0" w:color="auto"/>
        <w:left w:val="none" w:sz="0" w:space="0" w:color="auto"/>
        <w:bottom w:val="none" w:sz="0" w:space="0" w:color="auto"/>
        <w:right w:val="none" w:sz="0" w:space="0" w:color="auto"/>
      </w:divBdr>
    </w:div>
    <w:div w:id="617566335">
      <w:bodyDiv w:val="1"/>
      <w:marLeft w:val="0"/>
      <w:marRight w:val="0"/>
      <w:marTop w:val="0"/>
      <w:marBottom w:val="0"/>
      <w:divBdr>
        <w:top w:val="none" w:sz="0" w:space="0" w:color="auto"/>
        <w:left w:val="none" w:sz="0" w:space="0" w:color="auto"/>
        <w:bottom w:val="none" w:sz="0" w:space="0" w:color="auto"/>
        <w:right w:val="none" w:sz="0" w:space="0" w:color="auto"/>
      </w:divBdr>
    </w:div>
    <w:div w:id="617566535">
      <w:bodyDiv w:val="1"/>
      <w:marLeft w:val="0"/>
      <w:marRight w:val="0"/>
      <w:marTop w:val="0"/>
      <w:marBottom w:val="0"/>
      <w:divBdr>
        <w:top w:val="none" w:sz="0" w:space="0" w:color="auto"/>
        <w:left w:val="none" w:sz="0" w:space="0" w:color="auto"/>
        <w:bottom w:val="none" w:sz="0" w:space="0" w:color="auto"/>
        <w:right w:val="none" w:sz="0" w:space="0" w:color="auto"/>
      </w:divBdr>
    </w:div>
    <w:div w:id="617686669">
      <w:bodyDiv w:val="1"/>
      <w:marLeft w:val="0"/>
      <w:marRight w:val="0"/>
      <w:marTop w:val="0"/>
      <w:marBottom w:val="0"/>
      <w:divBdr>
        <w:top w:val="none" w:sz="0" w:space="0" w:color="auto"/>
        <w:left w:val="none" w:sz="0" w:space="0" w:color="auto"/>
        <w:bottom w:val="none" w:sz="0" w:space="0" w:color="auto"/>
        <w:right w:val="none" w:sz="0" w:space="0" w:color="auto"/>
      </w:divBdr>
    </w:div>
    <w:div w:id="617950929">
      <w:bodyDiv w:val="1"/>
      <w:marLeft w:val="0"/>
      <w:marRight w:val="0"/>
      <w:marTop w:val="0"/>
      <w:marBottom w:val="0"/>
      <w:divBdr>
        <w:top w:val="none" w:sz="0" w:space="0" w:color="auto"/>
        <w:left w:val="none" w:sz="0" w:space="0" w:color="auto"/>
        <w:bottom w:val="none" w:sz="0" w:space="0" w:color="auto"/>
        <w:right w:val="none" w:sz="0" w:space="0" w:color="auto"/>
      </w:divBdr>
    </w:div>
    <w:div w:id="618025133">
      <w:bodyDiv w:val="1"/>
      <w:marLeft w:val="0"/>
      <w:marRight w:val="0"/>
      <w:marTop w:val="0"/>
      <w:marBottom w:val="0"/>
      <w:divBdr>
        <w:top w:val="none" w:sz="0" w:space="0" w:color="auto"/>
        <w:left w:val="none" w:sz="0" w:space="0" w:color="auto"/>
        <w:bottom w:val="none" w:sz="0" w:space="0" w:color="auto"/>
        <w:right w:val="none" w:sz="0" w:space="0" w:color="auto"/>
      </w:divBdr>
    </w:div>
    <w:div w:id="618151428">
      <w:bodyDiv w:val="1"/>
      <w:marLeft w:val="0"/>
      <w:marRight w:val="0"/>
      <w:marTop w:val="0"/>
      <w:marBottom w:val="0"/>
      <w:divBdr>
        <w:top w:val="none" w:sz="0" w:space="0" w:color="auto"/>
        <w:left w:val="none" w:sz="0" w:space="0" w:color="auto"/>
        <w:bottom w:val="none" w:sz="0" w:space="0" w:color="auto"/>
        <w:right w:val="none" w:sz="0" w:space="0" w:color="auto"/>
      </w:divBdr>
    </w:div>
    <w:div w:id="618217987">
      <w:bodyDiv w:val="1"/>
      <w:marLeft w:val="0"/>
      <w:marRight w:val="0"/>
      <w:marTop w:val="0"/>
      <w:marBottom w:val="0"/>
      <w:divBdr>
        <w:top w:val="none" w:sz="0" w:space="0" w:color="auto"/>
        <w:left w:val="none" w:sz="0" w:space="0" w:color="auto"/>
        <w:bottom w:val="none" w:sz="0" w:space="0" w:color="auto"/>
        <w:right w:val="none" w:sz="0" w:space="0" w:color="auto"/>
      </w:divBdr>
    </w:div>
    <w:div w:id="618266811">
      <w:bodyDiv w:val="1"/>
      <w:marLeft w:val="0"/>
      <w:marRight w:val="0"/>
      <w:marTop w:val="0"/>
      <w:marBottom w:val="0"/>
      <w:divBdr>
        <w:top w:val="none" w:sz="0" w:space="0" w:color="auto"/>
        <w:left w:val="none" w:sz="0" w:space="0" w:color="auto"/>
        <w:bottom w:val="none" w:sz="0" w:space="0" w:color="auto"/>
        <w:right w:val="none" w:sz="0" w:space="0" w:color="auto"/>
      </w:divBdr>
    </w:div>
    <w:div w:id="618336592">
      <w:bodyDiv w:val="1"/>
      <w:marLeft w:val="0"/>
      <w:marRight w:val="0"/>
      <w:marTop w:val="0"/>
      <w:marBottom w:val="0"/>
      <w:divBdr>
        <w:top w:val="none" w:sz="0" w:space="0" w:color="auto"/>
        <w:left w:val="none" w:sz="0" w:space="0" w:color="auto"/>
        <w:bottom w:val="none" w:sz="0" w:space="0" w:color="auto"/>
        <w:right w:val="none" w:sz="0" w:space="0" w:color="auto"/>
      </w:divBdr>
    </w:div>
    <w:div w:id="618418442">
      <w:bodyDiv w:val="1"/>
      <w:marLeft w:val="0"/>
      <w:marRight w:val="0"/>
      <w:marTop w:val="0"/>
      <w:marBottom w:val="0"/>
      <w:divBdr>
        <w:top w:val="none" w:sz="0" w:space="0" w:color="auto"/>
        <w:left w:val="none" w:sz="0" w:space="0" w:color="auto"/>
        <w:bottom w:val="none" w:sz="0" w:space="0" w:color="auto"/>
        <w:right w:val="none" w:sz="0" w:space="0" w:color="auto"/>
      </w:divBdr>
    </w:div>
    <w:div w:id="618605977">
      <w:bodyDiv w:val="1"/>
      <w:marLeft w:val="0"/>
      <w:marRight w:val="0"/>
      <w:marTop w:val="0"/>
      <w:marBottom w:val="0"/>
      <w:divBdr>
        <w:top w:val="none" w:sz="0" w:space="0" w:color="auto"/>
        <w:left w:val="none" w:sz="0" w:space="0" w:color="auto"/>
        <w:bottom w:val="none" w:sz="0" w:space="0" w:color="auto"/>
        <w:right w:val="none" w:sz="0" w:space="0" w:color="auto"/>
      </w:divBdr>
    </w:div>
    <w:div w:id="618680238">
      <w:bodyDiv w:val="1"/>
      <w:marLeft w:val="0"/>
      <w:marRight w:val="0"/>
      <w:marTop w:val="0"/>
      <w:marBottom w:val="0"/>
      <w:divBdr>
        <w:top w:val="none" w:sz="0" w:space="0" w:color="auto"/>
        <w:left w:val="none" w:sz="0" w:space="0" w:color="auto"/>
        <w:bottom w:val="none" w:sz="0" w:space="0" w:color="auto"/>
        <w:right w:val="none" w:sz="0" w:space="0" w:color="auto"/>
      </w:divBdr>
    </w:div>
    <w:div w:id="618726878">
      <w:bodyDiv w:val="1"/>
      <w:marLeft w:val="0"/>
      <w:marRight w:val="0"/>
      <w:marTop w:val="0"/>
      <w:marBottom w:val="0"/>
      <w:divBdr>
        <w:top w:val="none" w:sz="0" w:space="0" w:color="auto"/>
        <w:left w:val="none" w:sz="0" w:space="0" w:color="auto"/>
        <w:bottom w:val="none" w:sz="0" w:space="0" w:color="auto"/>
        <w:right w:val="none" w:sz="0" w:space="0" w:color="auto"/>
      </w:divBdr>
    </w:div>
    <w:div w:id="618757754">
      <w:bodyDiv w:val="1"/>
      <w:marLeft w:val="0"/>
      <w:marRight w:val="0"/>
      <w:marTop w:val="0"/>
      <w:marBottom w:val="0"/>
      <w:divBdr>
        <w:top w:val="none" w:sz="0" w:space="0" w:color="auto"/>
        <w:left w:val="none" w:sz="0" w:space="0" w:color="auto"/>
        <w:bottom w:val="none" w:sz="0" w:space="0" w:color="auto"/>
        <w:right w:val="none" w:sz="0" w:space="0" w:color="auto"/>
      </w:divBdr>
    </w:div>
    <w:div w:id="618804337">
      <w:bodyDiv w:val="1"/>
      <w:marLeft w:val="0"/>
      <w:marRight w:val="0"/>
      <w:marTop w:val="0"/>
      <w:marBottom w:val="0"/>
      <w:divBdr>
        <w:top w:val="none" w:sz="0" w:space="0" w:color="auto"/>
        <w:left w:val="none" w:sz="0" w:space="0" w:color="auto"/>
        <w:bottom w:val="none" w:sz="0" w:space="0" w:color="auto"/>
        <w:right w:val="none" w:sz="0" w:space="0" w:color="auto"/>
      </w:divBdr>
    </w:div>
    <w:div w:id="618877719">
      <w:bodyDiv w:val="1"/>
      <w:marLeft w:val="0"/>
      <w:marRight w:val="0"/>
      <w:marTop w:val="0"/>
      <w:marBottom w:val="0"/>
      <w:divBdr>
        <w:top w:val="none" w:sz="0" w:space="0" w:color="auto"/>
        <w:left w:val="none" w:sz="0" w:space="0" w:color="auto"/>
        <w:bottom w:val="none" w:sz="0" w:space="0" w:color="auto"/>
        <w:right w:val="none" w:sz="0" w:space="0" w:color="auto"/>
      </w:divBdr>
    </w:div>
    <w:div w:id="619145331">
      <w:bodyDiv w:val="1"/>
      <w:marLeft w:val="0"/>
      <w:marRight w:val="0"/>
      <w:marTop w:val="0"/>
      <w:marBottom w:val="0"/>
      <w:divBdr>
        <w:top w:val="none" w:sz="0" w:space="0" w:color="auto"/>
        <w:left w:val="none" w:sz="0" w:space="0" w:color="auto"/>
        <w:bottom w:val="none" w:sz="0" w:space="0" w:color="auto"/>
        <w:right w:val="none" w:sz="0" w:space="0" w:color="auto"/>
      </w:divBdr>
    </w:div>
    <w:div w:id="619216678">
      <w:bodyDiv w:val="1"/>
      <w:marLeft w:val="0"/>
      <w:marRight w:val="0"/>
      <w:marTop w:val="0"/>
      <w:marBottom w:val="0"/>
      <w:divBdr>
        <w:top w:val="none" w:sz="0" w:space="0" w:color="auto"/>
        <w:left w:val="none" w:sz="0" w:space="0" w:color="auto"/>
        <w:bottom w:val="none" w:sz="0" w:space="0" w:color="auto"/>
        <w:right w:val="none" w:sz="0" w:space="0" w:color="auto"/>
      </w:divBdr>
    </w:div>
    <w:div w:id="619343405">
      <w:bodyDiv w:val="1"/>
      <w:marLeft w:val="0"/>
      <w:marRight w:val="0"/>
      <w:marTop w:val="0"/>
      <w:marBottom w:val="0"/>
      <w:divBdr>
        <w:top w:val="none" w:sz="0" w:space="0" w:color="auto"/>
        <w:left w:val="none" w:sz="0" w:space="0" w:color="auto"/>
        <w:bottom w:val="none" w:sz="0" w:space="0" w:color="auto"/>
        <w:right w:val="none" w:sz="0" w:space="0" w:color="auto"/>
      </w:divBdr>
    </w:div>
    <w:div w:id="619384033">
      <w:bodyDiv w:val="1"/>
      <w:marLeft w:val="0"/>
      <w:marRight w:val="0"/>
      <w:marTop w:val="0"/>
      <w:marBottom w:val="0"/>
      <w:divBdr>
        <w:top w:val="none" w:sz="0" w:space="0" w:color="auto"/>
        <w:left w:val="none" w:sz="0" w:space="0" w:color="auto"/>
        <w:bottom w:val="none" w:sz="0" w:space="0" w:color="auto"/>
        <w:right w:val="none" w:sz="0" w:space="0" w:color="auto"/>
      </w:divBdr>
    </w:div>
    <w:div w:id="619454500">
      <w:bodyDiv w:val="1"/>
      <w:marLeft w:val="0"/>
      <w:marRight w:val="0"/>
      <w:marTop w:val="0"/>
      <w:marBottom w:val="0"/>
      <w:divBdr>
        <w:top w:val="none" w:sz="0" w:space="0" w:color="auto"/>
        <w:left w:val="none" w:sz="0" w:space="0" w:color="auto"/>
        <w:bottom w:val="none" w:sz="0" w:space="0" w:color="auto"/>
        <w:right w:val="none" w:sz="0" w:space="0" w:color="auto"/>
      </w:divBdr>
    </w:div>
    <w:div w:id="619535028">
      <w:bodyDiv w:val="1"/>
      <w:marLeft w:val="0"/>
      <w:marRight w:val="0"/>
      <w:marTop w:val="0"/>
      <w:marBottom w:val="0"/>
      <w:divBdr>
        <w:top w:val="none" w:sz="0" w:space="0" w:color="auto"/>
        <w:left w:val="none" w:sz="0" w:space="0" w:color="auto"/>
        <w:bottom w:val="none" w:sz="0" w:space="0" w:color="auto"/>
        <w:right w:val="none" w:sz="0" w:space="0" w:color="auto"/>
      </w:divBdr>
    </w:div>
    <w:div w:id="619537099">
      <w:bodyDiv w:val="1"/>
      <w:marLeft w:val="0"/>
      <w:marRight w:val="0"/>
      <w:marTop w:val="0"/>
      <w:marBottom w:val="0"/>
      <w:divBdr>
        <w:top w:val="none" w:sz="0" w:space="0" w:color="auto"/>
        <w:left w:val="none" w:sz="0" w:space="0" w:color="auto"/>
        <w:bottom w:val="none" w:sz="0" w:space="0" w:color="auto"/>
        <w:right w:val="none" w:sz="0" w:space="0" w:color="auto"/>
      </w:divBdr>
    </w:div>
    <w:div w:id="619609626">
      <w:bodyDiv w:val="1"/>
      <w:marLeft w:val="0"/>
      <w:marRight w:val="0"/>
      <w:marTop w:val="0"/>
      <w:marBottom w:val="0"/>
      <w:divBdr>
        <w:top w:val="none" w:sz="0" w:space="0" w:color="auto"/>
        <w:left w:val="none" w:sz="0" w:space="0" w:color="auto"/>
        <w:bottom w:val="none" w:sz="0" w:space="0" w:color="auto"/>
        <w:right w:val="none" w:sz="0" w:space="0" w:color="auto"/>
      </w:divBdr>
    </w:div>
    <w:div w:id="619799090">
      <w:bodyDiv w:val="1"/>
      <w:marLeft w:val="0"/>
      <w:marRight w:val="0"/>
      <w:marTop w:val="0"/>
      <w:marBottom w:val="0"/>
      <w:divBdr>
        <w:top w:val="none" w:sz="0" w:space="0" w:color="auto"/>
        <w:left w:val="none" w:sz="0" w:space="0" w:color="auto"/>
        <w:bottom w:val="none" w:sz="0" w:space="0" w:color="auto"/>
        <w:right w:val="none" w:sz="0" w:space="0" w:color="auto"/>
      </w:divBdr>
    </w:div>
    <w:div w:id="619923009">
      <w:bodyDiv w:val="1"/>
      <w:marLeft w:val="0"/>
      <w:marRight w:val="0"/>
      <w:marTop w:val="0"/>
      <w:marBottom w:val="0"/>
      <w:divBdr>
        <w:top w:val="none" w:sz="0" w:space="0" w:color="auto"/>
        <w:left w:val="none" w:sz="0" w:space="0" w:color="auto"/>
        <w:bottom w:val="none" w:sz="0" w:space="0" w:color="auto"/>
        <w:right w:val="none" w:sz="0" w:space="0" w:color="auto"/>
      </w:divBdr>
    </w:div>
    <w:div w:id="620183122">
      <w:bodyDiv w:val="1"/>
      <w:marLeft w:val="0"/>
      <w:marRight w:val="0"/>
      <w:marTop w:val="0"/>
      <w:marBottom w:val="0"/>
      <w:divBdr>
        <w:top w:val="none" w:sz="0" w:space="0" w:color="auto"/>
        <w:left w:val="none" w:sz="0" w:space="0" w:color="auto"/>
        <w:bottom w:val="none" w:sz="0" w:space="0" w:color="auto"/>
        <w:right w:val="none" w:sz="0" w:space="0" w:color="auto"/>
      </w:divBdr>
    </w:div>
    <w:div w:id="620232908">
      <w:bodyDiv w:val="1"/>
      <w:marLeft w:val="0"/>
      <w:marRight w:val="0"/>
      <w:marTop w:val="0"/>
      <w:marBottom w:val="0"/>
      <w:divBdr>
        <w:top w:val="none" w:sz="0" w:space="0" w:color="auto"/>
        <w:left w:val="none" w:sz="0" w:space="0" w:color="auto"/>
        <w:bottom w:val="none" w:sz="0" w:space="0" w:color="auto"/>
        <w:right w:val="none" w:sz="0" w:space="0" w:color="auto"/>
      </w:divBdr>
    </w:div>
    <w:div w:id="620303336">
      <w:bodyDiv w:val="1"/>
      <w:marLeft w:val="0"/>
      <w:marRight w:val="0"/>
      <w:marTop w:val="0"/>
      <w:marBottom w:val="0"/>
      <w:divBdr>
        <w:top w:val="none" w:sz="0" w:space="0" w:color="auto"/>
        <w:left w:val="none" w:sz="0" w:space="0" w:color="auto"/>
        <w:bottom w:val="none" w:sz="0" w:space="0" w:color="auto"/>
        <w:right w:val="none" w:sz="0" w:space="0" w:color="auto"/>
      </w:divBdr>
    </w:div>
    <w:div w:id="620380609">
      <w:bodyDiv w:val="1"/>
      <w:marLeft w:val="0"/>
      <w:marRight w:val="0"/>
      <w:marTop w:val="0"/>
      <w:marBottom w:val="0"/>
      <w:divBdr>
        <w:top w:val="none" w:sz="0" w:space="0" w:color="auto"/>
        <w:left w:val="none" w:sz="0" w:space="0" w:color="auto"/>
        <w:bottom w:val="none" w:sz="0" w:space="0" w:color="auto"/>
        <w:right w:val="none" w:sz="0" w:space="0" w:color="auto"/>
      </w:divBdr>
    </w:div>
    <w:div w:id="620451915">
      <w:bodyDiv w:val="1"/>
      <w:marLeft w:val="0"/>
      <w:marRight w:val="0"/>
      <w:marTop w:val="0"/>
      <w:marBottom w:val="0"/>
      <w:divBdr>
        <w:top w:val="none" w:sz="0" w:space="0" w:color="auto"/>
        <w:left w:val="none" w:sz="0" w:space="0" w:color="auto"/>
        <w:bottom w:val="none" w:sz="0" w:space="0" w:color="auto"/>
        <w:right w:val="none" w:sz="0" w:space="0" w:color="auto"/>
      </w:divBdr>
    </w:div>
    <w:div w:id="620496689">
      <w:bodyDiv w:val="1"/>
      <w:marLeft w:val="0"/>
      <w:marRight w:val="0"/>
      <w:marTop w:val="0"/>
      <w:marBottom w:val="0"/>
      <w:divBdr>
        <w:top w:val="none" w:sz="0" w:space="0" w:color="auto"/>
        <w:left w:val="none" w:sz="0" w:space="0" w:color="auto"/>
        <w:bottom w:val="none" w:sz="0" w:space="0" w:color="auto"/>
        <w:right w:val="none" w:sz="0" w:space="0" w:color="auto"/>
      </w:divBdr>
    </w:div>
    <w:div w:id="620500761">
      <w:bodyDiv w:val="1"/>
      <w:marLeft w:val="0"/>
      <w:marRight w:val="0"/>
      <w:marTop w:val="0"/>
      <w:marBottom w:val="0"/>
      <w:divBdr>
        <w:top w:val="none" w:sz="0" w:space="0" w:color="auto"/>
        <w:left w:val="none" w:sz="0" w:space="0" w:color="auto"/>
        <w:bottom w:val="none" w:sz="0" w:space="0" w:color="auto"/>
        <w:right w:val="none" w:sz="0" w:space="0" w:color="auto"/>
      </w:divBdr>
    </w:div>
    <w:div w:id="620572220">
      <w:bodyDiv w:val="1"/>
      <w:marLeft w:val="0"/>
      <w:marRight w:val="0"/>
      <w:marTop w:val="0"/>
      <w:marBottom w:val="0"/>
      <w:divBdr>
        <w:top w:val="none" w:sz="0" w:space="0" w:color="auto"/>
        <w:left w:val="none" w:sz="0" w:space="0" w:color="auto"/>
        <w:bottom w:val="none" w:sz="0" w:space="0" w:color="auto"/>
        <w:right w:val="none" w:sz="0" w:space="0" w:color="auto"/>
      </w:divBdr>
    </w:div>
    <w:div w:id="620722077">
      <w:bodyDiv w:val="1"/>
      <w:marLeft w:val="0"/>
      <w:marRight w:val="0"/>
      <w:marTop w:val="0"/>
      <w:marBottom w:val="0"/>
      <w:divBdr>
        <w:top w:val="none" w:sz="0" w:space="0" w:color="auto"/>
        <w:left w:val="none" w:sz="0" w:space="0" w:color="auto"/>
        <w:bottom w:val="none" w:sz="0" w:space="0" w:color="auto"/>
        <w:right w:val="none" w:sz="0" w:space="0" w:color="auto"/>
      </w:divBdr>
    </w:div>
    <w:div w:id="620722431">
      <w:bodyDiv w:val="1"/>
      <w:marLeft w:val="0"/>
      <w:marRight w:val="0"/>
      <w:marTop w:val="0"/>
      <w:marBottom w:val="0"/>
      <w:divBdr>
        <w:top w:val="none" w:sz="0" w:space="0" w:color="auto"/>
        <w:left w:val="none" w:sz="0" w:space="0" w:color="auto"/>
        <w:bottom w:val="none" w:sz="0" w:space="0" w:color="auto"/>
        <w:right w:val="none" w:sz="0" w:space="0" w:color="auto"/>
      </w:divBdr>
    </w:div>
    <w:div w:id="620839049">
      <w:bodyDiv w:val="1"/>
      <w:marLeft w:val="0"/>
      <w:marRight w:val="0"/>
      <w:marTop w:val="0"/>
      <w:marBottom w:val="0"/>
      <w:divBdr>
        <w:top w:val="none" w:sz="0" w:space="0" w:color="auto"/>
        <w:left w:val="none" w:sz="0" w:space="0" w:color="auto"/>
        <w:bottom w:val="none" w:sz="0" w:space="0" w:color="auto"/>
        <w:right w:val="none" w:sz="0" w:space="0" w:color="auto"/>
      </w:divBdr>
    </w:div>
    <w:div w:id="620916850">
      <w:bodyDiv w:val="1"/>
      <w:marLeft w:val="0"/>
      <w:marRight w:val="0"/>
      <w:marTop w:val="0"/>
      <w:marBottom w:val="0"/>
      <w:divBdr>
        <w:top w:val="none" w:sz="0" w:space="0" w:color="auto"/>
        <w:left w:val="none" w:sz="0" w:space="0" w:color="auto"/>
        <w:bottom w:val="none" w:sz="0" w:space="0" w:color="auto"/>
        <w:right w:val="none" w:sz="0" w:space="0" w:color="auto"/>
      </w:divBdr>
    </w:div>
    <w:div w:id="621038811">
      <w:bodyDiv w:val="1"/>
      <w:marLeft w:val="0"/>
      <w:marRight w:val="0"/>
      <w:marTop w:val="0"/>
      <w:marBottom w:val="0"/>
      <w:divBdr>
        <w:top w:val="none" w:sz="0" w:space="0" w:color="auto"/>
        <w:left w:val="none" w:sz="0" w:space="0" w:color="auto"/>
        <w:bottom w:val="none" w:sz="0" w:space="0" w:color="auto"/>
        <w:right w:val="none" w:sz="0" w:space="0" w:color="auto"/>
      </w:divBdr>
    </w:div>
    <w:div w:id="621110301">
      <w:bodyDiv w:val="1"/>
      <w:marLeft w:val="0"/>
      <w:marRight w:val="0"/>
      <w:marTop w:val="0"/>
      <w:marBottom w:val="0"/>
      <w:divBdr>
        <w:top w:val="none" w:sz="0" w:space="0" w:color="auto"/>
        <w:left w:val="none" w:sz="0" w:space="0" w:color="auto"/>
        <w:bottom w:val="none" w:sz="0" w:space="0" w:color="auto"/>
        <w:right w:val="none" w:sz="0" w:space="0" w:color="auto"/>
      </w:divBdr>
    </w:div>
    <w:div w:id="621156299">
      <w:bodyDiv w:val="1"/>
      <w:marLeft w:val="0"/>
      <w:marRight w:val="0"/>
      <w:marTop w:val="0"/>
      <w:marBottom w:val="0"/>
      <w:divBdr>
        <w:top w:val="none" w:sz="0" w:space="0" w:color="auto"/>
        <w:left w:val="none" w:sz="0" w:space="0" w:color="auto"/>
        <w:bottom w:val="none" w:sz="0" w:space="0" w:color="auto"/>
        <w:right w:val="none" w:sz="0" w:space="0" w:color="auto"/>
      </w:divBdr>
    </w:div>
    <w:div w:id="621229570">
      <w:bodyDiv w:val="1"/>
      <w:marLeft w:val="0"/>
      <w:marRight w:val="0"/>
      <w:marTop w:val="0"/>
      <w:marBottom w:val="0"/>
      <w:divBdr>
        <w:top w:val="none" w:sz="0" w:space="0" w:color="auto"/>
        <w:left w:val="none" w:sz="0" w:space="0" w:color="auto"/>
        <w:bottom w:val="none" w:sz="0" w:space="0" w:color="auto"/>
        <w:right w:val="none" w:sz="0" w:space="0" w:color="auto"/>
      </w:divBdr>
    </w:div>
    <w:div w:id="621349394">
      <w:bodyDiv w:val="1"/>
      <w:marLeft w:val="0"/>
      <w:marRight w:val="0"/>
      <w:marTop w:val="0"/>
      <w:marBottom w:val="0"/>
      <w:divBdr>
        <w:top w:val="none" w:sz="0" w:space="0" w:color="auto"/>
        <w:left w:val="none" w:sz="0" w:space="0" w:color="auto"/>
        <w:bottom w:val="none" w:sz="0" w:space="0" w:color="auto"/>
        <w:right w:val="none" w:sz="0" w:space="0" w:color="auto"/>
      </w:divBdr>
    </w:div>
    <w:div w:id="621426554">
      <w:bodyDiv w:val="1"/>
      <w:marLeft w:val="0"/>
      <w:marRight w:val="0"/>
      <w:marTop w:val="0"/>
      <w:marBottom w:val="0"/>
      <w:divBdr>
        <w:top w:val="none" w:sz="0" w:space="0" w:color="auto"/>
        <w:left w:val="none" w:sz="0" w:space="0" w:color="auto"/>
        <w:bottom w:val="none" w:sz="0" w:space="0" w:color="auto"/>
        <w:right w:val="none" w:sz="0" w:space="0" w:color="auto"/>
      </w:divBdr>
    </w:div>
    <w:div w:id="621615661">
      <w:bodyDiv w:val="1"/>
      <w:marLeft w:val="0"/>
      <w:marRight w:val="0"/>
      <w:marTop w:val="0"/>
      <w:marBottom w:val="0"/>
      <w:divBdr>
        <w:top w:val="none" w:sz="0" w:space="0" w:color="auto"/>
        <w:left w:val="none" w:sz="0" w:space="0" w:color="auto"/>
        <w:bottom w:val="none" w:sz="0" w:space="0" w:color="auto"/>
        <w:right w:val="none" w:sz="0" w:space="0" w:color="auto"/>
      </w:divBdr>
    </w:div>
    <w:div w:id="621770700">
      <w:bodyDiv w:val="1"/>
      <w:marLeft w:val="0"/>
      <w:marRight w:val="0"/>
      <w:marTop w:val="0"/>
      <w:marBottom w:val="0"/>
      <w:divBdr>
        <w:top w:val="none" w:sz="0" w:space="0" w:color="auto"/>
        <w:left w:val="none" w:sz="0" w:space="0" w:color="auto"/>
        <w:bottom w:val="none" w:sz="0" w:space="0" w:color="auto"/>
        <w:right w:val="none" w:sz="0" w:space="0" w:color="auto"/>
      </w:divBdr>
    </w:div>
    <w:div w:id="621880489">
      <w:bodyDiv w:val="1"/>
      <w:marLeft w:val="0"/>
      <w:marRight w:val="0"/>
      <w:marTop w:val="0"/>
      <w:marBottom w:val="0"/>
      <w:divBdr>
        <w:top w:val="none" w:sz="0" w:space="0" w:color="auto"/>
        <w:left w:val="none" w:sz="0" w:space="0" w:color="auto"/>
        <w:bottom w:val="none" w:sz="0" w:space="0" w:color="auto"/>
        <w:right w:val="none" w:sz="0" w:space="0" w:color="auto"/>
      </w:divBdr>
    </w:div>
    <w:div w:id="621888883">
      <w:bodyDiv w:val="1"/>
      <w:marLeft w:val="0"/>
      <w:marRight w:val="0"/>
      <w:marTop w:val="0"/>
      <w:marBottom w:val="0"/>
      <w:divBdr>
        <w:top w:val="none" w:sz="0" w:space="0" w:color="auto"/>
        <w:left w:val="none" w:sz="0" w:space="0" w:color="auto"/>
        <w:bottom w:val="none" w:sz="0" w:space="0" w:color="auto"/>
        <w:right w:val="none" w:sz="0" w:space="0" w:color="auto"/>
      </w:divBdr>
    </w:div>
    <w:div w:id="621957940">
      <w:bodyDiv w:val="1"/>
      <w:marLeft w:val="0"/>
      <w:marRight w:val="0"/>
      <w:marTop w:val="0"/>
      <w:marBottom w:val="0"/>
      <w:divBdr>
        <w:top w:val="none" w:sz="0" w:space="0" w:color="auto"/>
        <w:left w:val="none" w:sz="0" w:space="0" w:color="auto"/>
        <w:bottom w:val="none" w:sz="0" w:space="0" w:color="auto"/>
        <w:right w:val="none" w:sz="0" w:space="0" w:color="auto"/>
      </w:divBdr>
    </w:div>
    <w:div w:id="622230276">
      <w:bodyDiv w:val="1"/>
      <w:marLeft w:val="0"/>
      <w:marRight w:val="0"/>
      <w:marTop w:val="0"/>
      <w:marBottom w:val="0"/>
      <w:divBdr>
        <w:top w:val="none" w:sz="0" w:space="0" w:color="auto"/>
        <w:left w:val="none" w:sz="0" w:space="0" w:color="auto"/>
        <w:bottom w:val="none" w:sz="0" w:space="0" w:color="auto"/>
        <w:right w:val="none" w:sz="0" w:space="0" w:color="auto"/>
      </w:divBdr>
    </w:div>
    <w:div w:id="622275158">
      <w:bodyDiv w:val="1"/>
      <w:marLeft w:val="0"/>
      <w:marRight w:val="0"/>
      <w:marTop w:val="0"/>
      <w:marBottom w:val="0"/>
      <w:divBdr>
        <w:top w:val="none" w:sz="0" w:space="0" w:color="auto"/>
        <w:left w:val="none" w:sz="0" w:space="0" w:color="auto"/>
        <w:bottom w:val="none" w:sz="0" w:space="0" w:color="auto"/>
        <w:right w:val="none" w:sz="0" w:space="0" w:color="auto"/>
      </w:divBdr>
    </w:div>
    <w:div w:id="622345861">
      <w:bodyDiv w:val="1"/>
      <w:marLeft w:val="0"/>
      <w:marRight w:val="0"/>
      <w:marTop w:val="0"/>
      <w:marBottom w:val="0"/>
      <w:divBdr>
        <w:top w:val="none" w:sz="0" w:space="0" w:color="auto"/>
        <w:left w:val="none" w:sz="0" w:space="0" w:color="auto"/>
        <w:bottom w:val="none" w:sz="0" w:space="0" w:color="auto"/>
        <w:right w:val="none" w:sz="0" w:space="0" w:color="auto"/>
      </w:divBdr>
    </w:div>
    <w:div w:id="622464730">
      <w:bodyDiv w:val="1"/>
      <w:marLeft w:val="0"/>
      <w:marRight w:val="0"/>
      <w:marTop w:val="0"/>
      <w:marBottom w:val="0"/>
      <w:divBdr>
        <w:top w:val="none" w:sz="0" w:space="0" w:color="auto"/>
        <w:left w:val="none" w:sz="0" w:space="0" w:color="auto"/>
        <w:bottom w:val="none" w:sz="0" w:space="0" w:color="auto"/>
        <w:right w:val="none" w:sz="0" w:space="0" w:color="auto"/>
      </w:divBdr>
    </w:div>
    <w:div w:id="622687943">
      <w:bodyDiv w:val="1"/>
      <w:marLeft w:val="0"/>
      <w:marRight w:val="0"/>
      <w:marTop w:val="0"/>
      <w:marBottom w:val="0"/>
      <w:divBdr>
        <w:top w:val="none" w:sz="0" w:space="0" w:color="auto"/>
        <w:left w:val="none" w:sz="0" w:space="0" w:color="auto"/>
        <w:bottom w:val="none" w:sz="0" w:space="0" w:color="auto"/>
        <w:right w:val="none" w:sz="0" w:space="0" w:color="auto"/>
      </w:divBdr>
    </w:div>
    <w:div w:id="622804119">
      <w:bodyDiv w:val="1"/>
      <w:marLeft w:val="0"/>
      <w:marRight w:val="0"/>
      <w:marTop w:val="0"/>
      <w:marBottom w:val="0"/>
      <w:divBdr>
        <w:top w:val="none" w:sz="0" w:space="0" w:color="auto"/>
        <w:left w:val="none" w:sz="0" w:space="0" w:color="auto"/>
        <w:bottom w:val="none" w:sz="0" w:space="0" w:color="auto"/>
        <w:right w:val="none" w:sz="0" w:space="0" w:color="auto"/>
      </w:divBdr>
    </w:div>
    <w:div w:id="622886061">
      <w:bodyDiv w:val="1"/>
      <w:marLeft w:val="0"/>
      <w:marRight w:val="0"/>
      <w:marTop w:val="0"/>
      <w:marBottom w:val="0"/>
      <w:divBdr>
        <w:top w:val="none" w:sz="0" w:space="0" w:color="auto"/>
        <w:left w:val="none" w:sz="0" w:space="0" w:color="auto"/>
        <w:bottom w:val="none" w:sz="0" w:space="0" w:color="auto"/>
        <w:right w:val="none" w:sz="0" w:space="0" w:color="auto"/>
      </w:divBdr>
    </w:div>
    <w:div w:id="622922800">
      <w:bodyDiv w:val="1"/>
      <w:marLeft w:val="0"/>
      <w:marRight w:val="0"/>
      <w:marTop w:val="0"/>
      <w:marBottom w:val="0"/>
      <w:divBdr>
        <w:top w:val="none" w:sz="0" w:space="0" w:color="auto"/>
        <w:left w:val="none" w:sz="0" w:space="0" w:color="auto"/>
        <w:bottom w:val="none" w:sz="0" w:space="0" w:color="auto"/>
        <w:right w:val="none" w:sz="0" w:space="0" w:color="auto"/>
      </w:divBdr>
    </w:div>
    <w:div w:id="622929616">
      <w:bodyDiv w:val="1"/>
      <w:marLeft w:val="0"/>
      <w:marRight w:val="0"/>
      <w:marTop w:val="0"/>
      <w:marBottom w:val="0"/>
      <w:divBdr>
        <w:top w:val="none" w:sz="0" w:space="0" w:color="auto"/>
        <w:left w:val="none" w:sz="0" w:space="0" w:color="auto"/>
        <w:bottom w:val="none" w:sz="0" w:space="0" w:color="auto"/>
        <w:right w:val="none" w:sz="0" w:space="0" w:color="auto"/>
      </w:divBdr>
    </w:div>
    <w:div w:id="622931459">
      <w:bodyDiv w:val="1"/>
      <w:marLeft w:val="0"/>
      <w:marRight w:val="0"/>
      <w:marTop w:val="0"/>
      <w:marBottom w:val="0"/>
      <w:divBdr>
        <w:top w:val="none" w:sz="0" w:space="0" w:color="auto"/>
        <w:left w:val="none" w:sz="0" w:space="0" w:color="auto"/>
        <w:bottom w:val="none" w:sz="0" w:space="0" w:color="auto"/>
        <w:right w:val="none" w:sz="0" w:space="0" w:color="auto"/>
      </w:divBdr>
    </w:div>
    <w:div w:id="623005513">
      <w:bodyDiv w:val="1"/>
      <w:marLeft w:val="0"/>
      <w:marRight w:val="0"/>
      <w:marTop w:val="0"/>
      <w:marBottom w:val="0"/>
      <w:divBdr>
        <w:top w:val="none" w:sz="0" w:space="0" w:color="auto"/>
        <w:left w:val="none" w:sz="0" w:space="0" w:color="auto"/>
        <w:bottom w:val="none" w:sz="0" w:space="0" w:color="auto"/>
        <w:right w:val="none" w:sz="0" w:space="0" w:color="auto"/>
      </w:divBdr>
    </w:div>
    <w:div w:id="623073368">
      <w:bodyDiv w:val="1"/>
      <w:marLeft w:val="0"/>
      <w:marRight w:val="0"/>
      <w:marTop w:val="0"/>
      <w:marBottom w:val="0"/>
      <w:divBdr>
        <w:top w:val="none" w:sz="0" w:space="0" w:color="auto"/>
        <w:left w:val="none" w:sz="0" w:space="0" w:color="auto"/>
        <w:bottom w:val="none" w:sz="0" w:space="0" w:color="auto"/>
        <w:right w:val="none" w:sz="0" w:space="0" w:color="auto"/>
      </w:divBdr>
    </w:div>
    <w:div w:id="623119173">
      <w:bodyDiv w:val="1"/>
      <w:marLeft w:val="0"/>
      <w:marRight w:val="0"/>
      <w:marTop w:val="0"/>
      <w:marBottom w:val="0"/>
      <w:divBdr>
        <w:top w:val="none" w:sz="0" w:space="0" w:color="auto"/>
        <w:left w:val="none" w:sz="0" w:space="0" w:color="auto"/>
        <w:bottom w:val="none" w:sz="0" w:space="0" w:color="auto"/>
        <w:right w:val="none" w:sz="0" w:space="0" w:color="auto"/>
      </w:divBdr>
    </w:div>
    <w:div w:id="623191971">
      <w:bodyDiv w:val="1"/>
      <w:marLeft w:val="0"/>
      <w:marRight w:val="0"/>
      <w:marTop w:val="0"/>
      <w:marBottom w:val="0"/>
      <w:divBdr>
        <w:top w:val="none" w:sz="0" w:space="0" w:color="auto"/>
        <w:left w:val="none" w:sz="0" w:space="0" w:color="auto"/>
        <w:bottom w:val="none" w:sz="0" w:space="0" w:color="auto"/>
        <w:right w:val="none" w:sz="0" w:space="0" w:color="auto"/>
      </w:divBdr>
    </w:div>
    <w:div w:id="623271262">
      <w:bodyDiv w:val="1"/>
      <w:marLeft w:val="0"/>
      <w:marRight w:val="0"/>
      <w:marTop w:val="0"/>
      <w:marBottom w:val="0"/>
      <w:divBdr>
        <w:top w:val="none" w:sz="0" w:space="0" w:color="auto"/>
        <w:left w:val="none" w:sz="0" w:space="0" w:color="auto"/>
        <w:bottom w:val="none" w:sz="0" w:space="0" w:color="auto"/>
        <w:right w:val="none" w:sz="0" w:space="0" w:color="auto"/>
      </w:divBdr>
    </w:div>
    <w:div w:id="623464737">
      <w:bodyDiv w:val="1"/>
      <w:marLeft w:val="0"/>
      <w:marRight w:val="0"/>
      <w:marTop w:val="0"/>
      <w:marBottom w:val="0"/>
      <w:divBdr>
        <w:top w:val="none" w:sz="0" w:space="0" w:color="auto"/>
        <w:left w:val="none" w:sz="0" w:space="0" w:color="auto"/>
        <w:bottom w:val="none" w:sz="0" w:space="0" w:color="auto"/>
        <w:right w:val="none" w:sz="0" w:space="0" w:color="auto"/>
      </w:divBdr>
    </w:div>
    <w:div w:id="623466713">
      <w:bodyDiv w:val="1"/>
      <w:marLeft w:val="0"/>
      <w:marRight w:val="0"/>
      <w:marTop w:val="0"/>
      <w:marBottom w:val="0"/>
      <w:divBdr>
        <w:top w:val="none" w:sz="0" w:space="0" w:color="auto"/>
        <w:left w:val="none" w:sz="0" w:space="0" w:color="auto"/>
        <w:bottom w:val="none" w:sz="0" w:space="0" w:color="auto"/>
        <w:right w:val="none" w:sz="0" w:space="0" w:color="auto"/>
      </w:divBdr>
    </w:div>
    <w:div w:id="623582908">
      <w:bodyDiv w:val="1"/>
      <w:marLeft w:val="0"/>
      <w:marRight w:val="0"/>
      <w:marTop w:val="0"/>
      <w:marBottom w:val="0"/>
      <w:divBdr>
        <w:top w:val="none" w:sz="0" w:space="0" w:color="auto"/>
        <w:left w:val="none" w:sz="0" w:space="0" w:color="auto"/>
        <w:bottom w:val="none" w:sz="0" w:space="0" w:color="auto"/>
        <w:right w:val="none" w:sz="0" w:space="0" w:color="auto"/>
      </w:divBdr>
    </w:div>
    <w:div w:id="623586412">
      <w:bodyDiv w:val="1"/>
      <w:marLeft w:val="0"/>
      <w:marRight w:val="0"/>
      <w:marTop w:val="0"/>
      <w:marBottom w:val="0"/>
      <w:divBdr>
        <w:top w:val="none" w:sz="0" w:space="0" w:color="auto"/>
        <w:left w:val="none" w:sz="0" w:space="0" w:color="auto"/>
        <w:bottom w:val="none" w:sz="0" w:space="0" w:color="auto"/>
        <w:right w:val="none" w:sz="0" w:space="0" w:color="auto"/>
      </w:divBdr>
    </w:div>
    <w:div w:id="623657235">
      <w:bodyDiv w:val="1"/>
      <w:marLeft w:val="0"/>
      <w:marRight w:val="0"/>
      <w:marTop w:val="0"/>
      <w:marBottom w:val="0"/>
      <w:divBdr>
        <w:top w:val="none" w:sz="0" w:space="0" w:color="auto"/>
        <w:left w:val="none" w:sz="0" w:space="0" w:color="auto"/>
        <w:bottom w:val="none" w:sz="0" w:space="0" w:color="auto"/>
        <w:right w:val="none" w:sz="0" w:space="0" w:color="auto"/>
      </w:divBdr>
    </w:div>
    <w:div w:id="623735734">
      <w:bodyDiv w:val="1"/>
      <w:marLeft w:val="0"/>
      <w:marRight w:val="0"/>
      <w:marTop w:val="0"/>
      <w:marBottom w:val="0"/>
      <w:divBdr>
        <w:top w:val="none" w:sz="0" w:space="0" w:color="auto"/>
        <w:left w:val="none" w:sz="0" w:space="0" w:color="auto"/>
        <w:bottom w:val="none" w:sz="0" w:space="0" w:color="auto"/>
        <w:right w:val="none" w:sz="0" w:space="0" w:color="auto"/>
      </w:divBdr>
    </w:div>
    <w:div w:id="623846126">
      <w:bodyDiv w:val="1"/>
      <w:marLeft w:val="0"/>
      <w:marRight w:val="0"/>
      <w:marTop w:val="0"/>
      <w:marBottom w:val="0"/>
      <w:divBdr>
        <w:top w:val="none" w:sz="0" w:space="0" w:color="auto"/>
        <w:left w:val="none" w:sz="0" w:space="0" w:color="auto"/>
        <w:bottom w:val="none" w:sz="0" w:space="0" w:color="auto"/>
        <w:right w:val="none" w:sz="0" w:space="0" w:color="auto"/>
      </w:divBdr>
    </w:div>
    <w:div w:id="623924259">
      <w:bodyDiv w:val="1"/>
      <w:marLeft w:val="0"/>
      <w:marRight w:val="0"/>
      <w:marTop w:val="0"/>
      <w:marBottom w:val="0"/>
      <w:divBdr>
        <w:top w:val="none" w:sz="0" w:space="0" w:color="auto"/>
        <w:left w:val="none" w:sz="0" w:space="0" w:color="auto"/>
        <w:bottom w:val="none" w:sz="0" w:space="0" w:color="auto"/>
        <w:right w:val="none" w:sz="0" w:space="0" w:color="auto"/>
      </w:divBdr>
    </w:div>
    <w:div w:id="623972211">
      <w:bodyDiv w:val="1"/>
      <w:marLeft w:val="0"/>
      <w:marRight w:val="0"/>
      <w:marTop w:val="0"/>
      <w:marBottom w:val="0"/>
      <w:divBdr>
        <w:top w:val="none" w:sz="0" w:space="0" w:color="auto"/>
        <w:left w:val="none" w:sz="0" w:space="0" w:color="auto"/>
        <w:bottom w:val="none" w:sz="0" w:space="0" w:color="auto"/>
        <w:right w:val="none" w:sz="0" w:space="0" w:color="auto"/>
      </w:divBdr>
    </w:div>
    <w:div w:id="623973619">
      <w:bodyDiv w:val="1"/>
      <w:marLeft w:val="0"/>
      <w:marRight w:val="0"/>
      <w:marTop w:val="0"/>
      <w:marBottom w:val="0"/>
      <w:divBdr>
        <w:top w:val="none" w:sz="0" w:space="0" w:color="auto"/>
        <w:left w:val="none" w:sz="0" w:space="0" w:color="auto"/>
        <w:bottom w:val="none" w:sz="0" w:space="0" w:color="auto"/>
        <w:right w:val="none" w:sz="0" w:space="0" w:color="auto"/>
      </w:divBdr>
    </w:div>
    <w:div w:id="624235856">
      <w:bodyDiv w:val="1"/>
      <w:marLeft w:val="0"/>
      <w:marRight w:val="0"/>
      <w:marTop w:val="0"/>
      <w:marBottom w:val="0"/>
      <w:divBdr>
        <w:top w:val="none" w:sz="0" w:space="0" w:color="auto"/>
        <w:left w:val="none" w:sz="0" w:space="0" w:color="auto"/>
        <w:bottom w:val="none" w:sz="0" w:space="0" w:color="auto"/>
        <w:right w:val="none" w:sz="0" w:space="0" w:color="auto"/>
      </w:divBdr>
    </w:div>
    <w:div w:id="624314084">
      <w:bodyDiv w:val="1"/>
      <w:marLeft w:val="0"/>
      <w:marRight w:val="0"/>
      <w:marTop w:val="0"/>
      <w:marBottom w:val="0"/>
      <w:divBdr>
        <w:top w:val="none" w:sz="0" w:space="0" w:color="auto"/>
        <w:left w:val="none" w:sz="0" w:space="0" w:color="auto"/>
        <w:bottom w:val="none" w:sz="0" w:space="0" w:color="auto"/>
        <w:right w:val="none" w:sz="0" w:space="0" w:color="auto"/>
      </w:divBdr>
    </w:div>
    <w:div w:id="624388032">
      <w:bodyDiv w:val="1"/>
      <w:marLeft w:val="0"/>
      <w:marRight w:val="0"/>
      <w:marTop w:val="0"/>
      <w:marBottom w:val="0"/>
      <w:divBdr>
        <w:top w:val="none" w:sz="0" w:space="0" w:color="auto"/>
        <w:left w:val="none" w:sz="0" w:space="0" w:color="auto"/>
        <w:bottom w:val="none" w:sz="0" w:space="0" w:color="auto"/>
        <w:right w:val="none" w:sz="0" w:space="0" w:color="auto"/>
      </w:divBdr>
    </w:div>
    <w:div w:id="624392196">
      <w:bodyDiv w:val="1"/>
      <w:marLeft w:val="0"/>
      <w:marRight w:val="0"/>
      <w:marTop w:val="0"/>
      <w:marBottom w:val="0"/>
      <w:divBdr>
        <w:top w:val="none" w:sz="0" w:space="0" w:color="auto"/>
        <w:left w:val="none" w:sz="0" w:space="0" w:color="auto"/>
        <w:bottom w:val="none" w:sz="0" w:space="0" w:color="auto"/>
        <w:right w:val="none" w:sz="0" w:space="0" w:color="auto"/>
      </w:divBdr>
    </w:div>
    <w:div w:id="624430368">
      <w:bodyDiv w:val="1"/>
      <w:marLeft w:val="0"/>
      <w:marRight w:val="0"/>
      <w:marTop w:val="0"/>
      <w:marBottom w:val="0"/>
      <w:divBdr>
        <w:top w:val="none" w:sz="0" w:space="0" w:color="auto"/>
        <w:left w:val="none" w:sz="0" w:space="0" w:color="auto"/>
        <w:bottom w:val="none" w:sz="0" w:space="0" w:color="auto"/>
        <w:right w:val="none" w:sz="0" w:space="0" w:color="auto"/>
      </w:divBdr>
    </w:div>
    <w:div w:id="624434463">
      <w:bodyDiv w:val="1"/>
      <w:marLeft w:val="0"/>
      <w:marRight w:val="0"/>
      <w:marTop w:val="0"/>
      <w:marBottom w:val="0"/>
      <w:divBdr>
        <w:top w:val="none" w:sz="0" w:space="0" w:color="auto"/>
        <w:left w:val="none" w:sz="0" w:space="0" w:color="auto"/>
        <w:bottom w:val="none" w:sz="0" w:space="0" w:color="auto"/>
        <w:right w:val="none" w:sz="0" w:space="0" w:color="auto"/>
      </w:divBdr>
    </w:div>
    <w:div w:id="624507524">
      <w:bodyDiv w:val="1"/>
      <w:marLeft w:val="0"/>
      <w:marRight w:val="0"/>
      <w:marTop w:val="0"/>
      <w:marBottom w:val="0"/>
      <w:divBdr>
        <w:top w:val="none" w:sz="0" w:space="0" w:color="auto"/>
        <w:left w:val="none" w:sz="0" w:space="0" w:color="auto"/>
        <w:bottom w:val="none" w:sz="0" w:space="0" w:color="auto"/>
        <w:right w:val="none" w:sz="0" w:space="0" w:color="auto"/>
      </w:divBdr>
    </w:div>
    <w:div w:id="624584628">
      <w:bodyDiv w:val="1"/>
      <w:marLeft w:val="0"/>
      <w:marRight w:val="0"/>
      <w:marTop w:val="0"/>
      <w:marBottom w:val="0"/>
      <w:divBdr>
        <w:top w:val="none" w:sz="0" w:space="0" w:color="auto"/>
        <w:left w:val="none" w:sz="0" w:space="0" w:color="auto"/>
        <w:bottom w:val="none" w:sz="0" w:space="0" w:color="auto"/>
        <w:right w:val="none" w:sz="0" w:space="0" w:color="auto"/>
      </w:divBdr>
    </w:div>
    <w:div w:id="624624942">
      <w:bodyDiv w:val="1"/>
      <w:marLeft w:val="0"/>
      <w:marRight w:val="0"/>
      <w:marTop w:val="0"/>
      <w:marBottom w:val="0"/>
      <w:divBdr>
        <w:top w:val="none" w:sz="0" w:space="0" w:color="auto"/>
        <w:left w:val="none" w:sz="0" w:space="0" w:color="auto"/>
        <w:bottom w:val="none" w:sz="0" w:space="0" w:color="auto"/>
        <w:right w:val="none" w:sz="0" w:space="0" w:color="auto"/>
      </w:divBdr>
    </w:div>
    <w:div w:id="624626726">
      <w:bodyDiv w:val="1"/>
      <w:marLeft w:val="0"/>
      <w:marRight w:val="0"/>
      <w:marTop w:val="0"/>
      <w:marBottom w:val="0"/>
      <w:divBdr>
        <w:top w:val="none" w:sz="0" w:space="0" w:color="auto"/>
        <w:left w:val="none" w:sz="0" w:space="0" w:color="auto"/>
        <w:bottom w:val="none" w:sz="0" w:space="0" w:color="auto"/>
        <w:right w:val="none" w:sz="0" w:space="0" w:color="auto"/>
      </w:divBdr>
    </w:div>
    <w:div w:id="624656323">
      <w:bodyDiv w:val="1"/>
      <w:marLeft w:val="0"/>
      <w:marRight w:val="0"/>
      <w:marTop w:val="0"/>
      <w:marBottom w:val="0"/>
      <w:divBdr>
        <w:top w:val="none" w:sz="0" w:space="0" w:color="auto"/>
        <w:left w:val="none" w:sz="0" w:space="0" w:color="auto"/>
        <w:bottom w:val="none" w:sz="0" w:space="0" w:color="auto"/>
        <w:right w:val="none" w:sz="0" w:space="0" w:color="auto"/>
      </w:divBdr>
    </w:div>
    <w:div w:id="624966691">
      <w:bodyDiv w:val="1"/>
      <w:marLeft w:val="0"/>
      <w:marRight w:val="0"/>
      <w:marTop w:val="0"/>
      <w:marBottom w:val="0"/>
      <w:divBdr>
        <w:top w:val="none" w:sz="0" w:space="0" w:color="auto"/>
        <w:left w:val="none" w:sz="0" w:space="0" w:color="auto"/>
        <w:bottom w:val="none" w:sz="0" w:space="0" w:color="auto"/>
        <w:right w:val="none" w:sz="0" w:space="0" w:color="auto"/>
      </w:divBdr>
    </w:div>
    <w:div w:id="625158791">
      <w:bodyDiv w:val="1"/>
      <w:marLeft w:val="0"/>
      <w:marRight w:val="0"/>
      <w:marTop w:val="0"/>
      <w:marBottom w:val="0"/>
      <w:divBdr>
        <w:top w:val="none" w:sz="0" w:space="0" w:color="auto"/>
        <w:left w:val="none" w:sz="0" w:space="0" w:color="auto"/>
        <w:bottom w:val="none" w:sz="0" w:space="0" w:color="auto"/>
        <w:right w:val="none" w:sz="0" w:space="0" w:color="auto"/>
      </w:divBdr>
    </w:div>
    <w:div w:id="625162994">
      <w:bodyDiv w:val="1"/>
      <w:marLeft w:val="0"/>
      <w:marRight w:val="0"/>
      <w:marTop w:val="0"/>
      <w:marBottom w:val="0"/>
      <w:divBdr>
        <w:top w:val="none" w:sz="0" w:space="0" w:color="auto"/>
        <w:left w:val="none" w:sz="0" w:space="0" w:color="auto"/>
        <w:bottom w:val="none" w:sz="0" w:space="0" w:color="auto"/>
        <w:right w:val="none" w:sz="0" w:space="0" w:color="auto"/>
      </w:divBdr>
    </w:div>
    <w:div w:id="625238400">
      <w:bodyDiv w:val="1"/>
      <w:marLeft w:val="0"/>
      <w:marRight w:val="0"/>
      <w:marTop w:val="0"/>
      <w:marBottom w:val="0"/>
      <w:divBdr>
        <w:top w:val="none" w:sz="0" w:space="0" w:color="auto"/>
        <w:left w:val="none" w:sz="0" w:space="0" w:color="auto"/>
        <w:bottom w:val="none" w:sz="0" w:space="0" w:color="auto"/>
        <w:right w:val="none" w:sz="0" w:space="0" w:color="auto"/>
      </w:divBdr>
    </w:div>
    <w:div w:id="625238959">
      <w:bodyDiv w:val="1"/>
      <w:marLeft w:val="0"/>
      <w:marRight w:val="0"/>
      <w:marTop w:val="0"/>
      <w:marBottom w:val="0"/>
      <w:divBdr>
        <w:top w:val="none" w:sz="0" w:space="0" w:color="auto"/>
        <w:left w:val="none" w:sz="0" w:space="0" w:color="auto"/>
        <w:bottom w:val="none" w:sz="0" w:space="0" w:color="auto"/>
        <w:right w:val="none" w:sz="0" w:space="0" w:color="auto"/>
      </w:divBdr>
    </w:div>
    <w:div w:id="625281225">
      <w:bodyDiv w:val="1"/>
      <w:marLeft w:val="0"/>
      <w:marRight w:val="0"/>
      <w:marTop w:val="0"/>
      <w:marBottom w:val="0"/>
      <w:divBdr>
        <w:top w:val="none" w:sz="0" w:space="0" w:color="auto"/>
        <w:left w:val="none" w:sz="0" w:space="0" w:color="auto"/>
        <w:bottom w:val="none" w:sz="0" w:space="0" w:color="auto"/>
        <w:right w:val="none" w:sz="0" w:space="0" w:color="auto"/>
      </w:divBdr>
    </w:div>
    <w:div w:id="625309146">
      <w:bodyDiv w:val="1"/>
      <w:marLeft w:val="0"/>
      <w:marRight w:val="0"/>
      <w:marTop w:val="0"/>
      <w:marBottom w:val="0"/>
      <w:divBdr>
        <w:top w:val="none" w:sz="0" w:space="0" w:color="auto"/>
        <w:left w:val="none" w:sz="0" w:space="0" w:color="auto"/>
        <w:bottom w:val="none" w:sz="0" w:space="0" w:color="auto"/>
        <w:right w:val="none" w:sz="0" w:space="0" w:color="auto"/>
      </w:divBdr>
    </w:div>
    <w:div w:id="625427220">
      <w:bodyDiv w:val="1"/>
      <w:marLeft w:val="0"/>
      <w:marRight w:val="0"/>
      <w:marTop w:val="0"/>
      <w:marBottom w:val="0"/>
      <w:divBdr>
        <w:top w:val="none" w:sz="0" w:space="0" w:color="auto"/>
        <w:left w:val="none" w:sz="0" w:space="0" w:color="auto"/>
        <w:bottom w:val="none" w:sz="0" w:space="0" w:color="auto"/>
        <w:right w:val="none" w:sz="0" w:space="0" w:color="auto"/>
      </w:divBdr>
    </w:div>
    <w:div w:id="625429444">
      <w:bodyDiv w:val="1"/>
      <w:marLeft w:val="0"/>
      <w:marRight w:val="0"/>
      <w:marTop w:val="0"/>
      <w:marBottom w:val="0"/>
      <w:divBdr>
        <w:top w:val="none" w:sz="0" w:space="0" w:color="auto"/>
        <w:left w:val="none" w:sz="0" w:space="0" w:color="auto"/>
        <w:bottom w:val="none" w:sz="0" w:space="0" w:color="auto"/>
        <w:right w:val="none" w:sz="0" w:space="0" w:color="auto"/>
      </w:divBdr>
    </w:div>
    <w:div w:id="625502661">
      <w:bodyDiv w:val="1"/>
      <w:marLeft w:val="0"/>
      <w:marRight w:val="0"/>
      <w:marTop w:val="0"/>
      <w:marBottom w:val="0"/>
      <w:divBdr>
        <w:top w:val="none" w:sz="0" w:space="0" w:color="auto"/>
        <w:left w:val="none" w:sz="0" w:space="0" w:color="auto"/>
        <w:bottom w:val="none" w:sz="0" w:space="0" w:color="auto"/>
        <w:right w:val="none" w:sz="0" w:space="0" w:color="auto"/>
      </w:divBdr>
    </w:div>
    <w:div w:id="625544150">
      <w:bodyDiv w:val="1"/>
      <w:marLeft w:val="0"/>
      <w:marRight w:val="0"/>
      <w:marTop w:val="0"/>
      <w:marBottom w:val="0"/>
      <w:divBdr>
        <w:top w:val="none" w:sz="0" w:space="0" w:color="auto"/>
        <w:left w:val="none" w:sz="0" w:space="0" w:color="auto"/>
        <w:bottom w:val="none" w:sz="0" w:space="0" w:color="auto"/>
        <w:right w:val="none" w:sz="0" w:space="0" w:color="auto"/>
      </w:divBdr>
    </w:div>
    <w:div w:id="625551213">
      <w:bodyDiv w:val="1"/>
      <w:marLeft w:val="0"/>
      <w:marRight w:val="0"/>
      <w:marTop w:val="0"/>
      <w:marBottom w:val="0"/>
      <w:divBdr>
        <w:top w:val="none" w:sz="0" w:space="0" w:color="auto"/>
        <w:left w:val="none" w:sz="0" w:space="0" w:color="auto"/>
        <w:bottom w:val="none" w:sz="0" w:space="0" w:color="auto"/>
        <w:right w:val="none" w:sz="0" w:space="0" w:color="auto"/>
      </w:divBdr>
    </w:div>
    <w:div w:id="625552114">
      <w:bodyDiv w:val="1"/>
      <w:marLeft w:val="0"/>
      <w:marRight w:val="0"/>
      <w:marTop w:val="0"/>
      <w:marBottom w:val="0"/>
      <w:divBdr>
        <w:top w:val="none" w:sz="0" w:space="0" w:color="auto"/>
        <w:left w:val="none" w:sz="0" w:space="0" w:color="auto"/>
        <w:bottom w:val="none" w:sz="0" w:space="0" w:color="auto"/>
        <w:right w:val="none" w:sz="0" w:space="0" w:color="auto"/>
      </w:divBdr>
    </w:div>
    <w:div w:id="625820533">
      <w:bodyDiv w:val="1"/>
      <w:marLeft w:val="0"/>
      <w:marRight w:val="0"/>
      <w:marTop w:val="0"/>
      <w:marBottom w:val="0"/>
      <w:divBdr>
        <w:top w:val="none" w:sz="0" w:space="0" w:color="auto"/>
        <w:left w:val="none" w:sz="0" w:space="0" w:color="auto"/>
        <w:bottom w:val="none" w:sz="0" w:space="0" w:color="auto"/>
        <w:right w:val="none" w:sz="0" w:space="0" w:color="auto"/>
      </w:divBdr>
    </w:div>
    <w:div w:id="625963159">
      <w:bodyDiv w:val="1"/>
      <w:marLeft w:val="0"/>
      <w:marRight w:val="0"/>
      <w:marTop w:val="0"/>
      <w:marBottom w:val="0"/>
      <w:divBdr>
        <w:top w:val="none" w:sz="0" w:space="0" w:color="auto"/>
        <w:left w:val="none" w:sz="0" w:space="0" w:color="auto"/>
        <w:bottom w:val="none" w:sz="0" w:space="0" w:color="auto"/>
        <w:right w:val="none" w:sz="0" w:space="0" w:color="auto"/>
      </w:divBdr>
    </w:div>
    <w:div w:id="626274938">
      <w:bodyDiv w:val="1"/>
      <w:marLeft w:val="0"/>
      <w:marRight w:val="0"/>
      <w:marTop w:val="0"/>
      <w:marBottom w:val="0"/>
      <w:divBdr>
        <w:top w:val="none" w:sz="0" w:space="0" w:color="auto"/>
        <w:left w:val="none" w:sz="0" w:space="0" w:color="auto"/>
        <w:bottom w:val="none" w:sz="0" w:space="0" w:color="auto"/>
        <w:right w:val="none" w:sz="0" w:space="0" w:color="auto"/>
      </w:divBdr>
    </w:div>
    <w:div w:id="626349996">
      <w:bodyDiv w:val="1"/>
      <w:marLeft w:val="0"/>
      <w:marRight w:val="0"/>
      <w:marTop w:val="0"/>
      <w:marBottom w:val="0"/>
      <w:divBdr>
        <w:top w:val="none" w:sz="0" w:space="0" w:color="auto"/>
        <w:left w:val="none" w:sz="0" w:space="0" w:color="auto"/>
        <w:bottom w:val="none" w:sz="0" w:space="0" w:color="auto"/>
        <w:right w:val="none" w:sz="0" w:space="0" w:color="auto"/>
      </w:divBdr>
    </w:div>
    <w:div w:id="626398361">
      <w:bodyDiv w:val="1"/>
      <w:marLeft w:val="0"/>
      <w:marRight w:val="0"/>
      <w:marTop w:val="0"/>
      <w:marBottom w:val="0"/>
      <w:divBdr>
        <w:top w:val="none" w:sz="0" w:space="0" w:color="auto"/>
        <w:left w:val="none" w:sz="0" w:space="0" w:color="auto"/>
        <w:bottom w:val="none" w:sz="0" w:space="0" w:color="auto"/>
        <w:right w:val="none" w:sz="0" w:space="0" w:color="auto"/>
      </w:divBdr>
    </w:div>
    <w:div w:id="626546919">
      <w:bodyDiv w:val="1"/>
      <w:marLeft w:val="0"/>
      <w:marRight w:val="0"/>
      <w:marTop w:val="0"/>
      <w:marBottom w:val="0"/>
      <w:divBdr>
        <w:top w:val="none" w:sz="0" w:space="0" w:color="auto"/>
        <w:left w:val="none" w:sz="0" w:space="0" w:color="auto"/>
        <w:bottom w:val="none" w:sz="0" w:space="0" w:color="auto"/>
        <w:right w:val="none" w:sz="0" w:space="0" w:color="auto"/>
      </w:divBdr>
    </w:div>
    <w:div w:id="626737616">
      <w:bodyDiv w:val="1"/>
      <w:marLeft w:val="0"/>
      <w:marRight w:val="0"/>
      <w:marTop w:val="0"/>
      <w:marBottom w:val="0"/>
      <w:divBdr>
        <w:top w:val="none" w:sz="0" w:space="0" w:color="auto"/>
        <w:left w:val="none" w:sz="0" w:space="0" w:color="auto"/>
        <w:bottom w:val="none" w:sz="0" w:space="0" w:color="auto"/>
        <w:right w:val="none" w:sz="0" w:space="0" w:color="auto"/>
      </w:divBdr>
    </w:div>
    <w:div w:id="626741954">
      <w:bodyDiv w:val="1"/>
      <w:marLeft w:val="0"/>
      <w:marRight w:val="0"/>
      <w:marTop w:val="0"/>
      <w:marBottom w:val="0"/>
      <w:divBdr>
        <w:top w:val="none" w:sz="0" w:space="0" w:color="auto"/>
        <w:left w:val="none" w:sz="0" w:space="0" w:color="auto"/>
        <w:bottom w:val="none" w:sz="0" w:space="0" w:color="auto"/>
        <w:right w:val="none" w:sz="0" w:space="0" w:color="auto"/>
      </w:divBdr>
    </w:div>
    <w:div w:id="626812914">
      <w:bodyDiv w:val="1"/>
      <w:marLeft w:val="0"/>
      <w:marRight w:val="0"/>
      <w:marTop w:val="0"/>
      <w:marBottom w:val="0"/>
      <w:divBdr>
        <w:top w:val="none" w:sz="0" w:space="0" w:color="auto"/>
        <w:left w:val="none" w:sz="0" w:space="0" w:color="auto"/>
        <w:bottom w:val="none" w:sz="0" w:space="0" w:color="auto"/>
        <w:right w:val="none" w:sz="0" w:space="0" w:color="auto"/>
      </w:divBdr>
    </w:div>
    <w:div w:id="626859251">
      <w:bodyDiv w:val="1"/>
      <w:marLeft w:val="0"/>
      <w:marRight w:val="0"/>
      <w:marTop w:val="0"/>
      <w:marBottom w:val="0"/>
      <w:divBdr>
        <w:top w:val="none" w:sz="0" w:space="0" w:color="auto"/>
        <w:left w:val="none" w:sz="0" w:space="0" w:color="auto"/>
        <w:bottom w:val="none" w:sz="0" w:space="0" w:color="auto"/>
        <w:right w:val="none" w:sz="0" w:space="0" w:color="auto"/>
      </w:divBdr>
    </w:div>
    <w:div w:id="627013228">
      <w:bodyDiv w:val="1"/>
      <w:marLeft w:val="0"/>
      <w:marRight w:val="0"/>
      <w:marTop w:val="0"/>
      <w:marBottom w:val="0"/>
      <w:divBdr>
        <w:top w:val="none" w:sz="0" w:space="0" w:color="auto"/>
        <w:left w:val="none" w:sz="0" w:space="0" w:color="auto"/>
        <w:bottom w:val="none" w:sz="0" w:space="0" w:color="auto"/>
        <w:right w:val="none" w:sz="0" w:space="0" w:color="auto"/>
      </w:divBdr>
    </w:div>
    <w:div w:id="627122737">
      <w:bodyDiv w:val="1"/>
      <w:marLeft w:val="0"/>
      <w:marRight w:val="0"/>
      <w:marTop w:val="0"/>
      <w:marBottom w:val="0"/>
      <w:divBdr>
        <w:top w:val="none" w:sz="0" w:space="0" w:color="auto"/>
        <w:left w:val="none" w:sz="0" w:space="0" w:color="auto"/>
        <w:bottom w:val="none" w:sz="0" w:space="0" w:color="auto"/>
        <w:right w:val="none" w:sz="0" w:space="0" w:color="auto"/>
      </w:divBdr>
    </w:div>
    <w:div w:id="627248804">
      <w:bodyDiv w:val="1"/>
      <w:marLeft w:val="0"/>
      <w:marRight w:val="0"/>
      <w:marTop w:val="0"/>
      <w:marBottom w:val="0"/>
      <w:divBdr>
        <w:top w:val="none" w:sz="0" w:space="0" w:color="auto"/>
        <w:left w:val="none" w:sz="0" w:space="0" w:color="auto"/>
        <w:bottom w:val="none" w:sz="0" w:space="0" w:color="auto"/>
        <w:right w:val="none" w:sz="0" w:space="0" w:color="auto"/>
      </w:divBdr>
    </w:div>
    <w:div w:id="627318718">
      <w:bodyDiv w:val="1"/>
      <w:marLeft w:val="0"/>
      <w:marRight w:val="0"/>
      <w:marTop w:val="0"/>
      <w:marBottom w:val="0"/>
      <w:divBdr>
        <w:top w:val="none" w:sz="0" w:space="0" w:color="auto"/>
        <w:left w:val="none" w:sz="0" w:space="0" w:color="auto"/>
        <w:bottom w:val="none" w:sz="0" w:space="0" w:color="auto"/>
        <w:right w:val="none" w:sz="0" w:space="0" w:color="auto"/>
      </w:divBdr>
    </w:div>
    <w:div w:id="627320514">
      <w:bodyDiv w:val="1"/>
      <w:marLeft w:val="0"/>
      <w:marRight w:val="0"/>
      <w:marTop w:val="0"/>
      <w:marBottom w:val="0"/>
      <w:divBdr>
        <w:top w:val="none" w:sz="0" w:space="0" w:color="auto"/>
        <w:left w:val="none" w:sz="0" w:space="0" w:color="auto"/>
        <w:bottom w:val="none" w:sz="0" w:space="0" w:color="auto"/>
        <w:right w:val="none" w:sz="0" w:space="0" w:color="auto"/>
      </w:divBdr>
    </w:div>
    <w:div w:id="627468323">
      <w:bodyDiv w:val="1"/>
      <w:marLeft w:val="0"/>
      <w:marRight w:val="0"/>
      <w:marTop w:val="0"/>
      <w:marBottom w:val="0"/>
      <w:divBdr>
        <w:top w:val="none" w:sz="0" w:space="0" w:color="auto"/>
        <w:left w:val="none" w:sz="0" w:space="0" w:color="auto"/>
        <w:bottom w:val="none" w:sz="0" w:space="0" w:color="auto"/>
        <w:right w:val="none" w:sz="0" w:space="0" w:color="auto"/>
      </w:divBdr>
    </w:div>
    <w:div w:id="627588737">
      <w:bodyDiv w:val="1"/>
      <w:marLeft w:val="0"/>
      <w:marRight w:val="0"/>
      <w:marTop w:val="0"/>
      <w:marBottom w:val="0"/>
      <w:divBdr>
        <w:top w:val="none" w:sz="0" w:space="0" w:color="auto"/>
        <w:left w:val="none" w:sz="0" w:space="0" w:color="auto"/>
        <w:bottom w:val="none" w:sz="0" w:space="0" w:color="auto"/>
        <w:right w:val="none" w:sz="0" w:space="0" w:color="auto"/>
      </w:divBdr>
    </w:div>
    <w:div w:id="627704582">
      <w:bodyDiv w:val="1"/>
      <w:marLeft w:val="0"/>
      <w:marRight w:val="0"/>
      <w:marTop w:val="0"/>
      <w:marBottom w:val="0"/>
      <w:divBdr>
        <w:top w:val="none" w:sz="0" w:space="0" w:color="auto"/>
        <w:left w:val="none" w:sz="0" w:space="0" w:color="auto"/>
        <w:bottom w:val="none" w:sz="0" w:space="0" w:color="auto"/>
        <w:right w:val="none" w:sz="0" w:space="0" w:color="auto"/>
      </w:divBdr>
    </w:div>
    <w:div w:id="627706044">
      <w:bodyDiv w:val="1"/>
      <w:marLeft w:val="0"/>
      <w:marRight w:val="0"/>
      <w:marTop w:val="0"/>
      <w:marBottom w:val="0"/>
      <w:divBdr>
        <w:top w:val="none" w:sz="0" w:space="0" w:color="auto"/>
        <w:left w:val="none" w:sz="0" w:space="0" w:color="auto"/>
        <w:bottom w:val="none" w:sz="0" w:space="0" w:color="auto"/>
        <w:right w:val="none" w:sz="0" w:space="0" w:color="auto"/>
      </w:divBdr>
    </w:div>
    <w:div w:id="627706203">
      <w:bodyDiv w:val="1"/>
      <w:marLeft w:val="0"/>
      <w:marRight w:val="0"/>
      <w:marTop w:val="0"/>
      <w:marBottom w:val="0"/>
      <w:divBdr>
        <w:top w:val="none" w:sz="0" w:space="0" w:color="auto"/>
        <w:left w:val="none" w:sz="0" w:space="0" w:color="auto"/>
        <w:bottom w:val="none" w:sz="0" w:space="0" w:color="auto"/>
        <w:right w:val="none" w:sz="0" w:space="0" w:color="auto"/>
      </w:divBdr>
    </w:div>
    <w:div w:id="627779834">
      <w:bodyDiv w:val="1"/>
      <w:marLeft w:val="0"/>
      <w:marRight w:val="0"/>
      <w:marTop w:val="0"/>
      <w:marBottom w:val="0"/>
      <w:divBdr>
        <w:top w:val="none" w:sz="0" w:space="0" w:color="auto"/>
        <w:left w:val="none" w:sz="0" w:space="0" w:color="auto"/>
        <w:bottom w:val="none" w:sz="0" w:space="0" w:color="auto"/>
        <w:right w:val="none" w:sz="0" w:space="0" w:color="auto"/>
      </w:divBdr>
    </w:div>
    <w:div w:id="627858122">
      <w:bodyDiv w:val="1"/>
      <w:marLeft w:val="0"/>
      <w:marRight w:val="0"/>
      <w:marTop w:val="0"/>
      <w:marBottom w:val="0"/>
      <w:divBdr>
        <w:top w:val="none" w:sz="0" w:space="0" w:color="auto"/>
        <w:left w:val="none" w:sz="0" w:space="0" w:color="auto"/>
        <w:bottom w:val="none" w:sz="0" w:space="0" w:color="auto"/>
        <w:right w:val="none" w:sz="0" w:space="0" w:color="auto"/>
      </w:divBdr>
    </w:div>
    <w:div w:id="627930410">
      <w:bodyDiv w:val="1"/>
      <w:marLeft w:val="0"/>
      <w:marRight w:val="0"/>
      <w:marTop w:val="0"/>
      <w:marBottom w:val="0"/>
      <w:divBdr>
        <w:top w:val="none" w:sz="0" w:space="0" w:color="auto"/>
        <w:left w:val="none" w:sz="0" w:space="0" w:color="auto"/>
        <w:bottom w:val="none" w:sz="0" w:space="0" w:color="auto"/>
        <w:right w:val="none" w:sz="0" w:space="0" w:color="auto"/>
      </w:divBdr>
    </w:div>
    <w:div w:id="627978017">
      <w:bodyDiv w:val="1"/>
      <w:marLeft w:val="0"/>
      <w:marRight w:val="0"/>
      <w:marTop w:val="0"/>
      <w:marBottom w:val="0"/>
      <w:divBdr>
        <w:top w:val="none" w:sz="0" w:space="0" w:color="auto"/>
        <w:left w:val="none" w:sz="0" w:space="0" w:color="auto"/>
        <w:bottom w:val="none" w:sz="0" w:space="0" w:color="auto"/>
        <w:right w:val="none" w:sz="0" w:space="0" w:color="auto"/>
      </w:divBdr>
    </w:div>
    <w:div w:id="628122796">
      <w:bodyDiv w:val="1"/>
      <w:marLeft w:val="0"/>
      <w:marRight w:val="0"/>
      <w:marTop w:val="0"/>
      <w:marBottom w:val="0"/>
      <w:divBdr>
        <w:top w:val="none" w:sz="0" w:space="0" w:color="auto"/>
        <w:left w:val="none" w:sz="0" w:space="0" w:color="auto"/>
        <w:bottom w:val="none" w:sz="0" w:space="0" w:color="auto"/>
        <w:right w:val="none" w:sz="0" w:space="0" w:color="auto"/>
      </w:divBdr>
    </w:div>
    <w:div w:id="628128361">
      <w:bodyDiv w:val="1"/>
      <w:marLeft w:val="0"/>
      <w:marRight w:val="0"/>
      <w:marTop w:val="0"/>
      <w:marBottom w:val="0"/>
      <w:divBdr>
        <w:top w:val="none" w:sz="0" w:space="0" w:color="auto"/>
        <w:left w:val="none" w:sz="0" w:space="0" w:color="auto"/>
        <w:bottom w:val="none" w:sz="0" w:space="0" w:color="auto"/>
        <w:right w:val="none" w:sz="0" w:space="0" w:color="auto"/>
      </w:divBdr>
    </w:div>
    <w:div w:id="628435343">
      <w:bodyDiv w:val="1"/>
      <w:marLeft w:val="0"/>
      <w:marRight w:val="0"/>
      <w:marTop w:val="0"/>
      <w:marBottom w:val="0"/>
      <w:divBdr>
        <w:top w:val="none" w:sz="0" w:space="0" w:color="auto"/>
        <w:left w:val="none" w:sz="0" w:space="0" w:color="auto"/>
        <w:bottom w:val="none" w:sz="0" w:space="0" w:color="auto"/>
        <w:right w:val="none" w:sz="0" w:space="0" w:color="auto"/>
      </w:divBdr>
    </w:div>
    <w:div w:id="628510779">
      <w:bodyDiv w:val="1"/>
      <w:marLeft w:val="0"/>
      <w:marRight w:val="0"/>
      <w:marTop w:val="0"/>
      <w:marBottom w:val="0"/>
      <w:divBdr>
        <w:top w:val="none" w:sz="0" w:space="0" w:color="auto"/>
        <w:left w:val="none" w:sz="0" w:space="0" w:color="auto"/>
        <w:bottom w:val="none" w:sz="0" w:space="0" w:color="auto"/>
        <w:right w:val="none" w:sz="0" w:space="0" w:color="auto"/>
      </w:divBdr>
    </w:div>
    <w:div w:id="628587256">
      <w:bodyDiv w:val="1"/>
      <w:marLeft w:val="0"/>
      <w:marRight w:val="0"/>
      <w:marTop w:val="0"/>
      <w:marBottom w:val="0"/>
      <w:divBdr>
        <w:top w:val="none" w:sz="0" w:space="0" w:color="auto"/>
        <w:left w:val="none" w:sz="0" w:space="0" w:color="auto"/>
        <w:bottom w:val="none" w:sz="0" w:space="0" w:color="auto"/>
        <w:right w:val="none" w:sz="0" w:space="0" w:color="auto"/>
      </w:divBdr>
    </w:div>
    <w:div w:id="628634242">
      <w:bodyDiv w:val="1"/>
      <w:marLeft w:val="0"/>
      <w:marRight w:val="0"/>
      <w:marTop w:val="0"/>
      <w:marBottom w:val="0"/>
      <w:divBdr>
        <w:top w:val="none" w:sz="0" w:space="0" w:color="auto"/>
        <w:left w:val="none" w:sz="0" w:space="0" w:color="auto"/>
        <w:bottom w:val="none" w:sz="0" w:space="0" w:color="auto"/>
        <w:right w:val="none" w:sz="0" w:space="0" w:color="auto"/>
      </w:divBdr>
    </w:div>
    <w:div w:id="628701856">
      <w:bodyDiv w:val="1"/>
      <w:marLeft w:val="0"/>
      <w:marRight w:val="0"/>
      <w:marTop w:val="0"/>
      <w:marBottom w:val="0"/>
      <w:divBdr>
        <w:top w:val="none" w:sz="0" w:space="0" w:color="auto"/>
        <w:left w:val="none" w:sz="0" w:space="0" w:color="auto"/>
        <w:bottom w:val="none" w:sz="0" w:space="0" w:color="auto"/>
        <w:right w:val="none" w:sz="0" w:space="0" w:color="auto"/>
      </w:divBdr>
    </w:div>
    <w:div w:id="628894942">
      <w:bodyDiv w:val="1"/>
      <w:marLeft w:val="0"/>
      <w:marRight w:val="0"/>
      <w:marTop w:val="0"/>
      <w:marBottom w:val="0"/>
      <w:divBdr>
        <w:top w:val="none" w:sz="0" w:space="0" w:color="auto"/>
        <w:left w:val="none" w:sz="0" w:space="0" w:color="auto"/>
        <w:bottom w:val="none" w:sz="0" w:space="0" w:color="auto"/>
        <w:right w:val="none" w:sz="0" w:space="0" w:color="auto"/>
      </w:divBdr>
    </w:div>
    <w:div w:id="629015766">
      <w:bodyDiv w:val="1"/>
      <w:marLeft w:val="0"/>
      <w:marRight w:val="0"/>
      <w:marTop w:val="0"/>
      <w:marBottom w:val="0"/>
      <w:divBdr>
        <w:top w:val="none" w:sz="0" w:space="0" w:color="auto"/>
        <w:left w:val="none" w:sz="0" w:space="0" w:color="auto"/>
        <w:bottom w:val="none" w:sz="0" w:space="0" w:color="auto"/>
        <w:right w:val="none" w:sz="0" w:space="0" w:color="auto"/>
      </w:divBdr>
    </w:div>
    <w:div w:id="629020838">
      <w:bodyDiv w:val="1"/>
      <w:marLeft w:val="0"/>
      <w:marRight w:val="0"/>
      <w:marTop w:val="0"/>
      <w:marBottom w:val="0"/>
      <w:divBdr>
        <w:top w:val="none" w:sz="0" w:space="0" w:color="auto"/>
        <w:left w:val="none" w:sz="0" w:space="0" w:color="auto"/>
        <w:bottom w:val="none" w:sz="0" w:space="0" w:color="auto"/>
        <w:right w:val="none" w:sz="0" w:space="0" w:color="auto"/>
      </w:divBdr>
    </w:div>
    <w:div w:id="629045621">
      <w:bodyDiv w:val="1"/>
      <w:marLeft w:val="0"/>
      <w:marRight w:val="0"/>
      <w:marTop w:val="0"/>
      <w:marBottom w:val="0"/>
      <w:divBdr>
        <w:top w:val="none" w:sz="0" w:space="0" w:color="auto"/>
        <w:left w:val="none" w:sz="0" w:space="0" w:color="auto"/>
        <w:bottom w:val="none" w:sz="0" w:space="0" w:color="auto"/>
        <w:right w:val="none" w:sz="0" w:space="0" w:color="auto"/>
      </w:divBdr>
    </w:div>
    <w:div w:id="629091215">
      <w:bodyDiv w:val="1"/>
      <w:marLeft w:val="0"/>
      <w:marRight w:val="0"/>
      <w:marTop w:val="0"/>
      <w:marBottom w:val="0"/>
      <w:divBdr>
        <w:top w:val="none" w:sz="0" w:space="0" w:color="auto"/>
        <w:left w:val="none" w:sz="0" w:space="0" w:color="auto"/>
        <w:bottom w:val="none" w:sz="0" w:space="0" w:color="auto"/>
        <w:right w:val="none" w:sz="0" w:space="0" w:color="auto"/>
      </w:divBdr>
    </w:div>
    <w:div w:id="629164478">
      <w:bodyDiv w:val="1"/>
      <w:marLeft w:val="0"/>
      <w:marRight w:val="0"/>
      <w:marTop w:val="0"/>
      <w:marBottom w:val="0"/>
      <w:divBdr>
        <w:top w:val="none" w:sz="0" w:space="0" w:color="auto"/>
        <w:left w:val="none" w:sz="0" w:space="0" w:color="auto"/>
        <w:bottom w:val="none" w:sz="0" w:space="0" w:color="auto"/>
        <w:right w:val="none" w:sz="0" w:space="0" w:color="auto"/>
      </w:divBdr>
    </w:div>
    <w:div w:id="629283348">
      <w:bodyDiv w:val="1"/>
      <w:marLeft w:val="0"/>
      <w:marRight w:val="0"/>
      <w:marTop w:val="0"/>
      <w:marBottom w:val="0"/>
      <w:divBdr>
        <w:top w:val="none" w:sz="0" w:space="0" w:color="auto"/>
        <w:left w:val="none" w:sz="0" w:space="0" w:color="auto"/>
        <w:bottom w:val="none" w:sz="0" w:space="0" w:color="auto"/>
        <w:right w:val="none" w:sz="0" w:space="0" w:color="auto"/>
      </w:divBdr>
    </w:div>
    <w:div w:id="629435858">
      <w:bodyDiv w:val="1"/>
      <w:marLeft w:val="0"/>
      <w:marRight w:val="0"/>
      <w:marTop w:val="0"/>
      <w:marBottom w:val="0"/>
      <w:divBdr>
        <w:top w:val="none" w:sz="0" w:space="0" w:color="auto"/>
        <w:left w:val="none" w:sz="0" w:space="0" w:color="auto"/>
        <w:bottom w:val="none" w:sz="0" w:space="0" w:color="auto"/>
        <w:right w:val="none" w:sz="0" w:space="0" w:color="auto"/>
      </w:divBdr>
    </w:div>
    <w:div w:id="629438108">
      <w:bodyDiv w:val="1"/>
      <w:marLeft w:val="0"/>
      <w:marRight w:val="0"/>
      <w:marTop w:val="0"/>
      <w:marBottom w:val="0"/>
      <w:divBdr>
        <w:top w:val="none" w:sz="0" w:space="0" w:color="auto"/>
        <w:left w:val="none" w:sz="0" w:space="0" w:color="auto"/>
        <w:bottom w:val="none" w:sz="0" w:space="0" w:color="auto"/>
        <w:right w:val="none" w:sz="0" w:space="0" w:color="auto"/>
      </w:divBdr>
    </w:div>
    <w:div w:id="629477932">
      <w:bodyDiv w:val="1"/>
      <w:marLeft w:val="0"/>
      <w:marRight w:val="0"/>
      <w:marTop w:val="0"/>
      <w:marBottom w:val="0"/>
      <w:divBdr>
        <w:top w:val="none" w:sz="0" w:space="0" w:color="auto"/>
        <w:left w:val="none" w:sz="0" w:space="0" w:color="auto"/>
        <w:bottom w:val="none" w:sz="0" w:space="0" w:color="auto"/>
        <w:right w:val="none" w:sz="0" w:space="0" w:color="auto"/>
      </w:divBdr>
    </w:div>
    <w:div w:id="629482079">
      <w:bodyDiv w:val="1"/>
      <w:marLeft w:val="0"/>
      <w:marRight w:val="0"/>
      <w:marTop w:val="0"/>
      <w:marBottom w:val="0"/>
      <w:divBdr>
        <w:top w:val="none" w:sz="0" w:space="0" w:color="auto"/>
        <w:left w:val="none" w:sz="0" w:space="0" w:color="auto"/>
        <w:bottom w:val="none" w:sz="0" w:space="0" w:color="auto"/>
        <w:right w:val="none" w:sz="0" w:space="0" w:color="auto"/>
      </w:divBdr>
    </w:div>
    <w:div w:id="629625630">
      <w:bodyDiv w:val="1"/>
      <w:marLeft w:val="0"/>
      <w:marRight w:val="0"/>
      <w:marTop w:val="0"/>
      <w:marBottom w:val="0"/>
      <w:divBdr>
        <w:top w:val="none" w:sz="0" w:space="0" w:color="auto"/>
        <w:left w:val="none" w:sz="0" w:space="0" w:color="auto"/>
        <w:bottom w:val="none" w:sz="0" w:space="0" w:color="auto"/>
        <w:right w:val="none" w:sz="0" w:space="0" w:color="auto"/>
      </w:divBdr>
    </w:div>
    <w:div w:id="629627178">
      <w:bodyDiv w:val="1"/>
      <w:marLeft w:val="0"/>
      <w:marRight w:val="0"/>
      <w:marTop w:val="0"/>
      <w:marBottom w:val="0"/>
      <w:divBdr>
        <w:top w:val="none" w:sz="0" w:space="0" w:color="auto"/>
        <w:left w:val="none" w:sz="0" w:space="0" w:color="auto"/>
        <w:bottom w:val="none" w:sz="0" w:space="0" w:color="auto"/>
        <w:right w:val="none" w:sz="0" w:space="0" w:color="auto"/>
      </w:divBdr>
    </w:div>
    <w:div w:id="629672147">
      <w:bodyDiv w:val="1"/>
      <w:marLeft w:val="0"/>
      <w:marRight w:val="0"/>
      <w:marTop w:val="0"/>
      <w:marBottom w:val="0"/>
      <w:divBdr>
        <w:top w:val="none" w:sz="0" w:space="0" w:color="auto"/>
        <w:left w:val="none" w:sz="0" w:space="0" w:color="auto"/>
        <w:bottom w:val="none" w:sz="0" w:space="0" w:color="auto"/>
        <w:right w:val="none" w:sz="0" w:space="0" w:color="auto"/>
      </w:divBdr>
    </w:div>
    <w:div w:id="629746242">
      <w:bodyDiv w:val="1"/>
      <w:marLeft w:val="0"/>
      <w:marRight w:val="0"/>
      <w:marTop w:val="0"/>
      <w:marBottom w:val="0"/>
      <w:divBdr>
        <w:top w:val="none" w:sz="0" w:space="0" w:color="auto"/>
        <w:left w:val="none" w:sz="0" w:space="0" w:color="auto"/>
        <w:bottom w:val="none" w:sz="0" w:space="0" w:color="auto"/>
        <w:right w:val="none" w:sz="0" w:space="0" w:color="auto"/>
      </w:divBdr>
    </w:div>
    <w:div w:id="629821689">
      <w:bodyDiv w:val="1"/>
      <w:marLeft w:val="0"/>
      <w:marRight w:val="0"/>
      <w:marTop w:val="0"/>
      <w:marBottom w:val="0"/>
      <w:divBdr>
        <w:top w:val="none" w:sz="0" w:space="0" w:color="auto"/>
        <w:left w:val="none" w:sz="0" w:space="0" w:color="auto"/>
        <w:bottom w:val="none" w:sz="0" w:space="0" w:color="auto"/>
        <w:right w:val="none" w:sz="0" w:space="0" w:color="auto"/>
      </w:divBdr>
    </w:div>
    <w:div w:id="629822414">
      <w:bodyDiv w:val="1"/>
      <w:marLeft w:val="0"/>
      <w:marRight w:val="0"/>
      <w:marTop w:val="0"/>
      <w:marBottom w:val="0"/>
      <w:divBdr>
        <w:top w:val="none" w:sz="0" w:space="0" w:color="auto"/>
        <w:left w:val="none" w:sz="0" w:space="0" w:color="auto"/>
        <w:bottom w:val="none" w:sz="0" w:space="0" w:color="auto"/>
        <w:right w:val="none" w:sz="0" w:space="0" w:color="auto"/>
      </w:divBdr>
    </w:div>
    <w:div w:id="629825554">
      <w:bodyDiv w:val="1"/>
      <w:marLeft w:val="0"/>
      <w:marRight w:val="0"/>
      <w:marTop w:val="0"/>
      <w:marBottom w:val="0"/>
      <w:divBdr>
        <w:top w:val="none" w:sz="0" w:space="0" w:color="auto"/>
        <w:left w:val="none" w:sz="0" w:space="0" w:color="auto"/>
        <w:bottom w:val="none" w:sz="0" w:space="0" w:color="auto"/>
        <w:right w:val="none" w:sz="0" w:space="0" w:color="auto"/>
      </w:divBdr>
    </w:div>
    <w:div w:id="629825762">
      <w:bodyDiv w:val="1"/>
      <w:marLeft w:val="0"/>
      <w:marRight w:val="0"/>
      <w:marTop w:val="0"/>
      <w:marBottom w:val="0"/>
      <w:divBdr>
        <w:top w:val="none" w:sz="0" w:space="0" w:color="auto"/>
        <w:left w:val="none" w:sz="0" w:space="0" w:color="auto"/>
        <w:bottom w:val="none" w:sz="0" w:space="0" w:color="auto"/>
        <w:right w:val="none" w:sz="0" w:space="0" w:color="auto"/>
      </w:divBdr>
    </w:div>
    <w:div w:id="630014831">
      <w:bodyDiv w:val="1"/>
      <w:marLeft w:val="0"/>
      <w:marRight w:val="0"/>
      <w:marTop w:val="0"/>
      <w:marBottom w:val="0"/>
      <w:divBdr>
        <w:top w:val="none" w:sz="0" w:space="0" w:color="auto"/>
        <w:left w:val="none" w:sz="0" w:space="0" w:color="auto"/>
        <w:bottom w:val="none" w:sz="0" w:space="0" w:color="auto"/>
        <w:right w:val="none" w:sz="0" w:space="0" w:color="auto"/>
      </w:divBdr>
    </w:div>
    <w:div w:id="630016881">
      <w:bodyDiv w:val="1"/>
      <w:marLeft w:val="0"/>
      <w:marRight w:val="0"/>
      <w:marTop w:val="0"/>
      <w:marBottom w:val="0"/>
      <w:divBdr>
        <w:top w:val="none" w:sz="0" w:space="0" w:color="auto"/>
        <w:left w:val="none" w:sz="0" w:space="0" w:color="auto"/>
        <w:bottom w:val="none" w:sz="0" w:space="0" w:color="auto"/>
        <w:right w:val="none" w:sz="0" w:space="0" w:color="auto"/>
      </w:divBdr>
    </w:div>
    <w:div w:id="630020153">
      <w:bodyDiv w:val="1"/>
      <w:marLeft w:val="0"/>
      <w:marRight w:val="0"/>
      <w:marTop w:val="0"/>
      <w:marBottom w:val="0"/>
      <w:divBdr>
        <w:top w:val="none" w:sz="0" w:space="0" w:color="auto"/>
        <w:left w:val="none" w:sz="0" w:space="0" w:color="auto"/>
        <w:bottom w:val="none" w:sz="0" w:space="0" w:color="auto"/>
        <w:right w:val="none" w:sz="0" w:space="0" w:color="auto"/>
      </w:divBdr>
    </w:div>
    <w:div w:id="630094333">
      <w:bodyDiv w:val="1"/>
      <w:marLeft w:val="0"/>
      <w:marRight w:val="0"/>
      <w:marTop w:val="0"/>
      <w:marBottom w:val="0"/>
      <w:divBdr>
        <w:top w:val="none" w:sz="0" w:space="0" w:color="auto"/>
        <w:left w:val="none" w:sz="0" w:space="0" w:color="auto"/>
        <w:bottom w:val="none" w:sz="0" w:space="0" w:color="auto"/>
        <w:right w:val="none" w:sz="0" w:space="0" w:color="auto"/>
      </w:divBdr>
    </w:div>
    <w:div w:id="630094820">
      <w:bodyDiv w:val="1"/>
      <w:marLeft w:val="0"/>
      <w:marRight w:val="0"/>
      <w:marTop w:val="0"/>
      <w:marBottom w:val="0"/>
      <w:divBdr>
        <w:top w:val="none" w:sz="0" w:space="0" w:color="auto"/>
        <w:left w:val="none" w:sz="0" w:space="0" w:color="auto"/>
        <w:bottom w:val="none" w:sz="0" w:space="0" w:color="auto"/>
        <w:right w:val="none" w:sz="0" w:space="0" w:color="auto"/>
      </w:divBdr>
    </w:div>
    <w:div w:id="630209119">
      <w:bodyDiv w:val="1"/>
      <w:marLeft w:val="0"/>
      <w:marRight w:val="0"/>
      <w:marTop w:val="0"/>
      <w:marBottom w:val="0"/>
      <w:divBdr>
        <w:top w:val="none" w:sz="0" w:space="0" w:color="auto"/>
        <w:left w:val="none" w:sz="0" w:space="0" w:color="auto"/>
        <w:bottom w:val="none" w:sz="0" w:space="0" w:color="auto"/>
        <w:right w:val="none" w:sz="0" w:space="0" w:color="auto"/>
      </w:divBdr>
    </w:div>
    <w:div w:id="630327775">
      <w:bodyDiv w:val="1"/>
      <w:marLeft w:val="0"/>
      <w:marRight w:val="0"/>
      <w:marTop w:val="0"/>
      <w:marBottom w:val="0"/>
      <w:divBdr>
        <w:top w:val="none" w:sz="0" w:space="0" w:color="auto"/>
        <w:left w:val="none" w:sz="0" w:space="0" w:color="auto"/>
        <w:bottom w:val="none" w:sz="0" w:space="0" w:color="auto"/>
        <w:right w:val="none" w:sz="0" w:space="0" w:color="auto"/>
      </w:divBdr>
    </w:div>
    <w:div w:id="630479532">
      <w:bodyDiv w:val="1"/>
      <w:marLeft w:val="0"/>
      <w:marRight w:val="0"/>
      <w:marTop w:val="0"/>
      <w:marBottom w:val="0"/>
      <w:divBdr>
        <w:top w:val="none" w:sz="0" w:space="0" w:color="auto"/>
        <w:left w:val="none" w:sz="0" w:space="0" w:color="auto"/>
        <w:bottom w:val="none" w:sz="0" w:space="0" w:color="auto"/>
        <w:right w:val="none" w:sz="0" w:space="0" w:color="auto"/>
      </w:divBdr>
    </w:div>
    <w:div w:id="630482467">
      <w:bodyDiv w:val="1"/>
      <w:marLeft w:val="0"/>
      <w:marRight w:val="0"/>
      <w:marTop w:val="0"/>
      <w:marBottom w:val="0"/>
      <w:divBdr>
        <w:top w:val="none" w:sz="0" w:space="0" w:color="auto"/>
        <w:left w:val="none" w:sz="0" w:space="0" w:color="auto"/>
        <w:bottom w:val="none" w:sz="0" w:space="0" w:color="auto"/>
        <w:right w:val="none" w:sz="0" w:space="0" w:color="auto"/>
      </w:divBdr>
    </w:div>
    <w:div w:id="630746595">
      <w:bodyDiv w:val="1"/>
      <w:marLeft w:val="0"/>
      <w:marRight w:val="0"/>
      <w:marTop w:val="0"/>
      <w:marBottom w:val="0"/>
      <w:divBdr>
        <w:top w:val="none" w:sz="0" w:space="0" w:color="auto"/>
        <w:left w:val="none" w:sz="0" w:space="0" w:color="auto"/>
        <w:bottom w:val="none" w:sz="0" w:space="0" w:color="auto"/>
        <w:right w:val="none" w:sz="0" w:space="0" w:color="auto"/>
      </w:divBdr>
    </w:div>
    <w:div w:id="630864702">
      <w:bodyDiv w:val="1"/>
      <w:marLeft w:val="0"/>
      <w:marRight w:val="0"/>
      <w:marTop w:val="0"/>
      <w:marBottom w:val="0"/>
      <w:divBdr>
        <w:top w:val="none" w:sz="0" w:space="0" w:color="auto"/>
        <w:left w:val="none" w:sz="0" w:space="0" w:color="auto"/>
        <w:bottom w:val="none" w:sz="0" w:space="0" w:color="auto"/>
        <w:right w:val="none" w:sz="0" w:space="0" w:color="auto"/>
      </w:divBdr>
    </w:div>
    <w:div w:id="630869891">
      <w:bodyDiv w:val="1"/>
      <w:marLeft w:val="0"/>
      <w:marRight w:val="0"/>
      <w:marTop w:val="0"/>
      <w:marBottom w:val="0"/>
      <w:divBdr>
        <w:top w:val="none" w:sz="0" w:space="0" w:color="auto"/>
        <w:left w:val="none" w:sz="0" w:space="0" w:color="auto"/>
        <w:bottom w:val="none" w:sz="0" w:space="0" w:color="auto"/>
        <w:right w:val="none" w:sz="0" w:space="0" w:color="auto"/>
      </w:divBdr>
    </w:div>
    <w:div w:id="630938180">
      <w:bodyDiv w:val="1"/>
      <w:marLeft w:val="0"/>
      <w:marRight w:val="0"/>
      <w:marTop w:val="0"/>
      <w:marBottom w:val="0"/>
      <w:divBdr>
        <w:top w:val="none" w:sz="0" w:space="0" w:color="auto"/>
        <w:left w:val="none" w:sz="0" w:space="0" w:color="auto"/>
        <w:bottom w:val="none" w:sz="0" w:space="0" w:color="auto"/>
        <w:right w:val="none" w:sz="0" w:space="0" w:color="auto"/>
      </w:divBdr>
    </w:div>
    <w:div w:id="630985683">
      <w:bodyDiv w:val="1"/>
      <w:marLeft w:val="0"/>
      <w:marRight w:val="0"/>
      <w:marTop w:val="0"/>
      <w:marBottom w:val="0"/>
      <w:divBdr>
        <w:top w:val="none" w:sz="0" w:space="0" w:color="auto"/>
        <w:left w:val="none" w:sz="0" w:space="0" w:color="auto"/>
        <w:bottom w:val="none" w:sz="0" w:space="0" w:color="auto"/>
        <w:right w:val="none" w:sz="0" w:space="0" w:color="auto"/>
      </w:divBdr>
    </w:div>
    <w:div w:id="631012204">
      <w:bodyDiv w:val="1"/>
      <w:marLeft w:val="0"/>
      <w:marRight w:val="0"/>
      <w:marTop w:val="0"/>
      <w:marBottom w:val="0"/>
      <w:divBdr>
        <w:top w:val="none" w:sz="0" w:space="0" w:color="auto"/>
        <w:left w:val="none" w:sz="0" w:space="0" w:color="auto"/>
        <w:bottom w:val="none" w:sz="0" w:space="0" w:color="auto"/>
        <w:right w:val="none" w:sz="0" w:space="0" w:color="auto"/>
      </w:divBdr>
    </w:div>
    <w:div w:id="631056475">
      <w:bodyDiv w:val="1"/>
      <w:marLeft w:val="0"/>
      <w:marRight w:val="0"/>
      <w:marTop w:val="0"/>
      <w:marBottom w:val="0"/>
      <w:divBdr>
        <w:top w:val="none" w:sz="0" w:space="0" w:color="auto"/>
        <w:left w:val="none" w:sz="0" w:space="0" w:color="auto"/>
        <w:bottom w:val="none" w:sz="0" w:space="0" w:color="auto"/>
        <w:right w:val="none" w:sz="0" w:space="0" w:color="auto"/>
      </w:divBdr>
    </w:div>
    <w:div w:id="631134790">
      <w:bodyDiv w:val="1"/>
      <w:marLeft w:val="0"/>
      <w:marRight w:val="0"/>
      <w:marTop w:val="0"/>
      <w:marBottom w:val="0"/>
      <w:divBdr>
        <w:top w:val="none" w:sz="0" w:space="0" w:color="auto"/>
        <w:left w:val="none" w:sz="0" w:space="0" w:color="auto"/>
        <w:bottom w:val="none" w:sz="0" w:space="0" w:color="auto"/>
        <w:right w:val="none" w:sz="0" w:space="0" w:color="auto"/>
      </w:divBdr>
    </w:div>
    <w:div w:id="631329575">
      <w:bodyDiv w:val="1"/>
      <w:marLeft w:val="0"/>
      <w:marRight w:val="0"/>
      <w:marTop w:val="0"/>
      <w:marBottom w:val="0"/>
      <w:divBdr>
        <w:top w:val="none" w:sz="0" w:space="0" w:color="auto"/>
        <w:left w:val="none" w:sz="0" w:space="0" w:color="auto"/>
        <w:bottom w:val="none" w:sz="0" w:space="0" w:color="auto"/>
        <w:right w:val="none" w:sz="0" w:space="0" w:color="auto"/>
      </w:divBdr>
    </w:div>
    <w:div w:id="631405044">
      <w:bodyDiv w:val="1"/>
      <w:marLeft w:val="0"/>
      <w:marRight w:val="0"/>
      <w:marTop w:val="0"/>
      <w:marBottom w:val="0"/>
      <w:divBdr>
        <w:top w:val="none" w:sz="0" w:space="0" w:color="auto"/>
        <w:left w:val="none" w:sz="0" w:space="0" w:color="auto"/>
        <w:bottom w:val="none" w:sz="0" w:space="0" w:color="auto"/>
        <w:right w:val="none" w:sz="0" w:space="0" w:color="auto"/>
      </w:divBdr>
    </w:div>
    <w:div w:id="631524238">
      <w:bodyDiv w:val="1"/>
      <w:marLeft w:val="0"/>
      <w:marRight w:val="0"/>
      <w:marTop w:val="0"/>
      <w:marBottom w:val="0"/>
      <w:divBdr>
        <w:top w:val="none" w:sz="0" w:space="0" w:color="auto"/>
        <w:left w:val="none" w:sz="0" w:space="0" w:color="auto"/>
        <w:bottom w:val="none" w:sz="0" w:space="0" w:color="auto"/>
        <w:right w:val="none" w:sz="0" w:space="0" w:color="auto"/>
      </w:divBdr>
    </w:div>
    <w:div w:id="631596719">
      <w:bodyDiv w:val="1"/>
      <w:marLeft w:val="0"/>
      <w:marRight w:val="0"/>
      <w:marTop w:val="0"/>
      <w:marBottom w:val="0"/>
      <w:divBdr>
        <w:top w:val="none" w:sz="0" w:space="0" w:color="auto"/>
        <w:left w:val="none" w:sz="0" w:space="0" w:color="auto"/>
        <w:bottom w:val="none" w:sz="0" w:space="0" w:color="auto"/>
        <w:right w:val="none" w:sz="0" w:space="0" w:color="auto"/>
      </w:divBdr>
    </w:div>
    <w:div w:id="631709399">
      <w:bodyDiv w:val="1"/>
      <w:marLeft w:val="0"/>
      <w:marRight w:val="0"/>
      <w:marTop w:val="0"/>
      <w:marBottom w:val="0"/>
      <w:divBdr>
        <w:top w:val="none" w:sz="0" w:space="0" w:color="auto"/>
        <w:left w:val="none" w:sz="0" w:space="0" w:color="auto"/>
        <w:bottom w:val="none" w:sz="0" w:space="0" w:color="auto"/>
        <w:right w:val="none" w:sz="0" w:space="0" w:color="auto"/>
      </w:divBdr>
    </w:div>
    <w:div w:id="631864880">
      <w:bodyDiv w:val="1"/>
      <w:marLeft w:val="0"/>
      <w:marRight w:val="0"/>
      <w:marTop w:val="0"/>
      <w:marBottom w:val="0"/>
      <w:divBdr>
        <w:top w:val="none" w:sz="0" w:space="0" w:color="auto"/>
        <w:left w:val="none" w:sz="0" w:space="0" w:color="auto"/>
        <w:bottom w:val="none" w:sz="0" w:space="0" w:color="auto"/>
        <w:right w:val="none" w:sz="0" w:space="0" w:color="auto"/>
      </w:divBdr>
    </w:div>
    <w:div w:id="631911241">
      <w:bodyDiv w:val="1"/>
      <w:marLeft w:val="0"/>
      <w:marRight w:val="0"/>
      <w:marTop w:val="0"/>
      <w:marBottom w:val="0"/>
      <w:divBdr>
        <w:top w:val="none" w:sz="0" w:space="0" w:color="auto"/>
        <w:left w:val="none" w:sz="0" w:space="0" w:color="auto"/>
        <w:bottom w:val="none" w:sz="0" w:space="0" w:color="auto"/>
        <w:right w:val="none" w:sz="0" w:space="0" w:color="auto"/>
      </w:divBdr>
    </w:div>
    <w:div w:id="632060275">
      <w:bodyDiv w:val="1"/>
      <w:marLeft w:val="0"/>
      <w:marRight w:val="0"/>
      <w:marTop w:val="0"/>
      <w:marBottom w:val="0"/>
      <w:divBdr>
        <w:top w:val="none" w:sz="0" w:space="0" w:color="auto"/>
        <w:left w:val="none" w:sz="0" w:space="0" w:color="auto"/>
        <w:bottom w:val="none" w:sz="0" w:space="0" w:color="auto"/>
        <w:right w:val="none" w:sz="0" w:space="0" w:color="auto"/>
      </w:divBdr>
    </w:div>
    <w:div w:id="632171196">
      <w:bodyDiv w:val="1"/>
      <w:marLeft w:val="0"/>
      <w:marRight w:val="0"/>
      <w:marTop w:val="0"/>
      <w:marBottom w:val="0"/>
      <w:divBdr>
        <w:top w:val="none" w:sz="0" w:space="0" w:color="auto"/>
        <w:left w:val="none" w:sz="0" w:space="0" w:color="auto"/>
        <w:bottom w:val="none" w:sz="0" w:space="0" w:color="auto"/>
        <w:right w:val="none" w:sz="0" w:space="0" w:color="auto"/>
      </w:divBdr>
    </w:div>
    <w:div w:id="632251808">
      <w:bodyDiv w:val="1"/>
      <w:marLeft w:val="0"/>
      <w:marRight w:val="0"/>
      <w:marTop w:val="0"/>
      <w:marBottom w:val="0"/>
      <w:divBdr>
        <w:top w:val="none" w:sz="0" w:space="0" w:color="auto"/>
        <w:left w:val="none" w:sz="0" w:space="0" w:color="auto"/>
        <w:bottom w:val="none" w:sz="0" w:space="0" w:color="auto"/>
        <w:right w:val="none" w:sz="0" w:space="0" w:color="auto"/>
      </w:divBdr>
    </w:div>
    <w:div w:id="632322979">
      <w:bodyDiv w:val="1"/>
      <w:marLeft w:val="0"/>
      <w:marRight w:val="0"/>
      <w:marTop w:val="0"/>
      <w:marBottom w:val="0"/>
      <w:divBdr>
        <w:top w:val="none" w:sz="0" w:space="0" w:color="auto"/>
        <w:left w:val="none" w:sz="0" w:space="0" w:color="auto"/>
        <w:bottom w:val="none" w:sz="0" w:space="0" w:color="auto"/>
        <w:right w:val="none" w:sz="0" w:space="0" w:color="auto"/>
      </w:divBdr>
    </w:div>
    <w:div w:id="632367063">
      <w:bodyDiv w:val="1"/>
      <w:marLeft w:val="0"/>
      <w:marRight w:val="0"/>
      <w:marTop w:val="0"/>
      <w:marBottom w:val="0"/>
      <w:divBdr>
        <w:top w:val="none" w:sz="0" w:space="0" w:color="auto"/>
        <w:left w:val="none" w:sz="0" w:space="0" w:color="auto"/>
        <w:bottom w:val="none" w:sz="0" w:space="0" w:color="auto"/>
        <w:right w:val="none" w:sz="0" w:space="0" w:color="auto"/>
      </w:divBdr>
    </w:div>
    <w:div w:id="632372476">
      <w:bodyDiv w:val="1"/>
      <w:marLeft w:val="0"/>
      <w:marRight w:val="0"/>
      <w:marTop w:val="0"/>
      <w:marBottom w:val="0"/>
      <w:divBdr>
        <w:top w:val="none" w:sz="0" w:space="0" w:color="auto"/>
        <w:left w:val="none" w:sz="0" w:space="0" w:color="auto"/>
        <w:bottom w:val="none" w:sz="0" w:space="0" w:color="auto"/>
        <w:right w:val="none" w:sz="0" w:space="0" w:color="auto"/>
      </w:divBdr>
    </w:div>
    <w:div w:id="632442269">
      <w:bodyDiv w:val="1"/>
      <w:marLeft w:val="0"/>
      <w:marRight w:val="0"/>
      <w:marTop w:val="0"/>
      <w:marBottom w:val="0"/>
      <w:divBdr>
        <w:top w:val="none" w:sz="0" w:space="0" w:color="auto"/>
        <w:left w:val="none" w:sz="0" w:space="0" w:color="auto"/>
        <w:bottom w:val="none" w:sz="0" w:space="0" w:color="auto"/>
        <w:right w:val="none" w:sz="0" w:space="0" w:color="auto"/>
      </w:divBdr>
    </w:div>
    <w:div w:id="632446602">
      <w:bodyDiv w:val="1"/>
      <w:marLeft w:val="0"/>
      <w:marRight w:val="0"/>
      <w:marTop w:val="0"/>
      <w:marBottom w:val="0"/>
      <w:divBdr>
        <w:top w:val="none" w:sz="0" w:space="0" w:color="auto"/>
        <w:left w:val="none" w:sz="0" w:space="0" w:color="auto"/>
        <w:bottom w:val="none" w:sz="0" w:space="0" w:color="auto"/>
        <w:right w:val="none" w:sz="0" w:space="0" w:color="auto"/>
      </w:divBdr>
    </w:div>
    <w:div w:id="632751804">
      <w:bodyDiv w:val="1"/>
      <w:marLeft w:val="0"/>
      <w:marRight w:val="0"/>
      <w:marTop w:val="0"/>
      <w:marBottom w:val="0"/>
      <w:divBdr>
        <w:top w:val="none" w:sz="0" w:space="0" w:color="auto"/>
        <w:left w:val="none" w:sz="0" w:space="0" w:color="auto"/>
        <w:bottom w:val="none" w:sz="0" w:space="0" w:color="auto"/>
        <w:right w:val="none" w:sz="0" w:space="0" w:color="auto"/>
      </w:divBdr>
    </w:div>
    <w:div w:id="632911529">
      <w:bodyDiv w:val="1"/>
      <w:marLeft w:val="0"/>
      <w:marRight w:val="0"/>
      <w:marTop w:val="0"/>
      <w:marBottom w:val="0"/>
      <w:divBdr>
        <w:top w:val="none" w:sz="0" w:space="0" w:color="auto"/>
        <w:left w:val="none" w:sz="0" w:space="0" w:color="auto"/>
        <w:bottom w:val="none" w:sz="0" w:space="0" w:color="auto"/>
        <w:right w:val="none" w:sz="0" w:space="0" w:color="auto"/>
      </w:divBdr>
    </w:div>
    <w:div w:id="633027526">
      <w:bodyDiv w:val="1"/>
      <w:marLeft w:val="0"/>
      <w:marRight w:val="0"/>
      <w:marTop w:val="0"/>
      <w:marBottom w:val="0"/>
      <w:divBdr>
        <w:top w:val="none" w:sz="0" w:space="0" w:color="auto"/>
        <w:left w:val="none" w:sz="0" w:space="0" w:color="auto"/>
        <w:bottom w:val="none" w:sz="0" w:space="0" w:color="auto"/>
        <w:right w:val="none" w:sz="0" w:space="0" w:color="auto"/>
      </w:divBdr>
    </w:div>
    <w:div w:id="633098566">
      <w:bodyDiv w:val="1"/>
      <w:marLeft w:val="0"/>
      <w:marRight w:val="0"/>
      <w:marTop w:val="0"/>
      <w:marBottom w:val="0"/>
      <w:divBdr>
        <w:top w:val="none" w:sz="0" w:space="0" w:color="auto"/>
        <w:left w:val="none" w:sz="0" w:space="0" w:color="auto"/>
        <w:bottom w:val="none" w:sz="0" w:space="0" w:color="auto"/>
        <w:right w:val="none" w:sz="0" w:space="0" w:color="auto"/>
      </w:divBdr>
    </w:div>
    <w:div w:id="633215019">
      <w:bodyDiv w:val="1"/>
      <w:marLeft w:val="0"/>
      <w:marRight w:val="0"/>
      <w:marTop w:val="0"/>
      <w:marBottom w:val="0"/>
      <w:divBdr>
        <w:top w:val="none" w:sz="0" w:space="0" w:color="auto"/>
        <w:left w:val="none" w:sz="0" w:space="0" w:color="auto"/>
        <w:bottom w:val="none" w:sz="0" w:space="0" w:color="auto"/>
        <w:right w:val="none" w:sz="0" w:space="0" w:color="auto"/>
      </w:divBdr>
    </w:div>
    <w:div w:id="633219092">
      <w:bodyDiv w:val="1"/>
      <w:marLeft w:val="0"/>
      <w:marRight w:val="0"/>
      <w:marTop w:val="0"/>
      <w:marBottom w:val="0"/>
      <w:divBdr>
        <w:top w:val="none" w:sz="0" w:space="0" w:color="auto"/>
        <w:left w:val="none" w:sz="0" w:space="0" w:color="auto"/>
        <w:bottom w:val="none" w:sz="0" w:space="0" w:color="auto"/>
        <w:right w:val="none" w:sz="0" w:space="0" w:color="auto"/>
      </w:divBdr>
    </w:div>
    <w:div w:id="633219314">
      <w:bodyDiv w:val="1"/>
      <w:marLeft w:val="0"/>
      <w:marRight w:val="0"/>
      <w:marTop w:val="0"/>
      <w:marBottom w:val="0"/>
      <w:divBdr>
        <w:top w:val="none" w:sz="0" w:space="0" w:color="auto"/>
        <w:left w:val="none" w:sz="0" w:space="0" w:color="auto"/>
        <w:bottom w:val="none" w:sz="0" w:space="0" w:color="auto"/>
        <w:right w:val="none" w:sz="0" w:space="0" w:color="auto"/>
      </w:divBdr>
    </w:div>
    <w:div w:id="633486465">
      <w:bodyDiv w:val="1"/>
      <w:marLeft w:val="0"/>
      <w:marRight w:val="0"/>
      <w:marTop w:val="0"/>
      <w:marBottom w:val="0"/>
      <w:divBdr>
        <w:top w:val="none" w:sz="0" w:space="0" w:color="auto"/>
        <w:left w:val="none" w:sz="0" w:space="0" w:color="auto"/>
        <w:bottom w:val="none" w:sz="0" w:space="0" w:color="auto"/>
        <w:right w:val="none" w:sz="0" w:space="0" w:color="auto"/>
      </w:divBdr>
    </w:div>
    <w:div w:id="633489132">
      <w:bodyDiv w:val="1"/>
      <w:marLeft w:val="0"/>
      <w:marRight w:val="0"/>
      <w:marTop w:val="0"/>
      <w:marBottom w:val="0"/>
      <w:divBdr>
        <w:top w:val="none" w:sz="0" w:space="0" w:color="auto"/>
        <w:left w:val="none" w:sz="0" w:space="0" w:color="auto"/>
        <w:bottom w:val="none" w:sz="0" w:space="0" w:color="auto"/>
        <w:right w:val="none" w:sz="0" w:space="0" w:color="auto"/>
      </w:divBdr>
    </w:div>
    <w:div w:id="633558855">
      <w:bodyDiv w:val="1"/>
      <w:marLeft w:val="0"/>
      <w:marRight w:val="0"/>
      <w:marTop w:val="0"/>
      <w:marBottom w:val="0"/>
      <w:divBdr>
        <w:top w:val="none" w:sz="0" w:space="0" w:color="auto"/>
        <w:left w:val="none" w:sz="0" w:space="0" w:color="auto"/>
        <w:bottom w:val="none" w:sz="0" w:space="0" w:color="auto"/>
        <w:right w:val="none" w:sz="0" w:space="0" w:color="auto"/>
      </w:divBdr>
    </w:div>
    <w:div w:id="633563268">
      <w:bodyDiv w:val="1"/>
      <w:marLeft w:val="0"/>
      <w:marRight w:val="0"/>
      <w:marTop w:val="0"/>
      <w:marBottom w:val="0"/>
      <w:divBdr>
        <w:top w:val="none" w:sz="0" w:space="0" w:color="auto"/>
        <w:left w:val="none" w:sz="0" w:space="0" w:color="auto"/>
        <w:bottom w:val="none" w:sz="0" w:space="0" w:color="auto"/>
        <w:right w:val="none" w:sz="0" w:space="0" w:color="auto"/>
      </w:divBdr>
    </w:div>
    <w:div w:id="633605218">
      <w:bodyDiv w:val="1"/>
      <w:marLeft w:val="0"/>
      <w:marRight w:val="0"/>
      <w:marTop w:val="0"/>
      <w:marBottom w:val="0"/>
      <w:divBdr>
        <w:top w:val="none" w:sz="0" w:space="0" w:color="auto"/>
        <w:left w:val="none" w:sz="0" w:space="0" w:color="auto"/>
        <w:bottom w:val="none" w:sz="0" w:space="0" w:color="auto"/>
        <w:right w:val="none" w:sz="0" w:space="0" w:color="auto"/>
      </w:divBdr>
    </w:div>
    <w:div w:id="633678403">
      <w:bodyDiv w:val="1"/>
      <w:marLeft w:val="0"/>
      <w:marRight w:val="0"/>
      <w:marTop w:val="0"/>
      <w:marBottom w:val="0"/>
      <w:divBdr>
        <w:top w:val="none" w:sz="0" w:space="0" w:color="auto"/>
        <w:left w:val="none" w:sz="0" w:space="0" w:color="auto"/>
        <w:bottom w:val="none" w:sz="0" w:space="0" w:color="auto"/>
        <w:right w:val="none" w:sz="0" w:space="0" w:color="auto"/>
      </w:divBdr>
    </w:div>
    <w:div w:id="633759271">
      <w:bodyDiv w:val="1"/>
      <w:marLeft w:val="0"/>
      <w:marRight w:val="0"/>
      <w:marTop w:val="0"/>
      <w:marBottom w:val="0"/>
      <w:divBdr>
        <w:top w:val="none" w:sz="0" w:space="0" w:color="auto"/>
        <w:left w:val="none" w:sz="0" w:space="0" w:color="auto"/>
        <w:bottom w:val="none" w:sz="0" w:space="0" w:color="auto"/>
        <w:right w:val="none" w:sz="0" w:space="0" w:color="auto"/>
      </w:divBdr>
    </w:div>
    <w:div w:id="633868499">
      <w:bodyDiv w:val="1"/>
      <w:marLeft w:val="0"/>
      <w:marRight w:val="0"/>
      <w:marTop w:val="0"/>
      <w:marBottom w:val="0"/>
      <w:divBdr>
        <w:top w:val="none" w:sz="0" w:space="0" w:color="auto"/>
        <w:left w:val="none" w:sz="0" w:space="0" w:color="auto"/>
        <w:bottom w:val="none" w:sz="0" w:space="0" w:color="auto"/>
        <w:right w:val="none" w:sz="0" w:space="0" w:color="auto"/>
      </w:divBdr>
    </w:div>
    <w:div w:id="633946790">
      <w:bodyDiv w:val="1"/>
      <w:marLeft w:val="0"/>
      <w:marRight w:val="0"/>
      <w:marTop w:val="0"/>
      <w:marBottom w:val="0"/>
      <w:divBdr>
        <w:top w:val="none" w:sz="0" w:space="0" w:color="auto"/>
        <w:left w:val="none" w:sz="0" w:space="0" w:color="auto"/>
        <w:bottom w:val="none" w:sz="0" w:space="0" w:color="auto"/>
        <w:right w:val="none" w:sz="0" w:space="0" w:color="auto"/>
      </w:divBdr>
    </w:div>
    <w:div w:id="633949212">
      <w:bodyDiv w:val="1"/>
      <w:marLeft w:val="0"/>
      <w:marRight w:val="0"/>
      <w:marTop w:val="0"/>
      <w:marBottom w:val="0"/>
      <w:divBdr>
        <w:top w:val="none" w:sz="0" w:space="0" w:color="auto"/>
        <w:left w:val="none" w:sz="0" w:space="0" w:color="auto"/>
        <w:bottom w:val="none" w:sz="0" w:space="0" w:color="auto"/>
        <w:right w:val="none" w:sz="0" w:space="0" w:color="auto"/>
      </w:divBdr>
    </w:div>
    <w:div w:id="634062375">
      <w:bodyDiv w:val="1"/>
      <w:marLeft w:val="0"/>
      <w:marRight w:val="0"/>
      <w:marTop w:val="0"/>
      <w:marBottom w:val="0"/>
      <w:divBdr>
        <w:top w:val="none" w:sz="0" w:space="0" w:color="auto"/>
        <w:left w:val="none" w:sz="0" w:space="0" w:color="auto"/>
        <w:bottom w:val="none" w:sz="0" w:space="0" w:color="auto"/>
        <w:right w:val="none" w:sz="0" w:space="0" w:color="auto"/>
      </w:divBdr>
    </w:div>
    <w:div w:id="634063459">
      <w:bodyDiv w:val="1"/>
      <w:marLeft w:val="0"/>
      <w:marRight w:val="0"/>
      <w:marTop w:val="0"/>
      <w:marBottom w:val="0"/>
      <w:divBdr>
        <w:top w:val="none" w:sz="0" w:space="0" w:color="auto"/>
        <w:left w:val="none" w:sz="0" w:space="0" w:color="auto"/>
        <w:bottom w:val="none" w:sz="0" w:space="0" w:color="auto"/>
        <w:right w:val="none" w:sz="0" w:space="0" w:color="auto"/>
      </w:divBdr>
    </w:div>
    <w:div w:id="634138742">
      <w:bodyDiv w:val="1"/>
      <w:marLeft w:val="0"/>
      <w:marRight w:val="0"/>
      <w:marTop w:val="0"/>
      <w:marBottom w:val="0"/>
      <w:divBdr>
        <w:top w:val="none" w:sz="0" w:space="0" w:color="auto"/>
        <w:left w:val="none" w:sz="0" w:space="0" w:color="auto"/>
        <w:bottom w:val="none" w:sz="0" w:space="0" w:color="auto"/>
        <w:right w:val="none" w:sz="0" w:space="0" w:color="auto"/>
      </w:divBdr>
    </w:div>
    <w:div w:id="634144725">
      <w:bodyDiv w:val="1"/>
      <w:marLeft w:val="0"/>
      <w:marRight w:val="0"/>
      <w:marTop w:val="0"/>
      <w:marBottom w:val="0"/>
      <w:divBdr>
        <w:top w:val="none" w:sz="0" w:space="0" w:color="auto"/>
        <w:left w:val="none" w:sz="0" w:space="0" w:color="auto"/>
        <w:bottom w:val="none" w:sz="0" w:space="0" w:color="auto"/>
        <w:right w:val="none" w:sz="0" w:space="0" w:color="auto"/>
      </w:divBdr>
    </w:div>
    <w:div w:id="634259514">
      <w:bodyDiv w:val="1"/>
      <w:marLeft w:val="0"/>
      <w:marRight w:val="0"/>
      <w:marTop w:val="0"/>
      <w:marBottom w:val="0"/>
      <w:divBdr>
        <w:top w:val="none" w:sz="0" w:space="0" w:color="auto"/>
        <w:left w:val="none" w:sz="0" w:space="0" w:color="auto"/>
        <w:bottom w:val="none" w:sz="0" w:space="0" w:color="auto"/>
        <w:right w:val="none" w:sz="0" w:space="0" w:color="auto"/>
      </w:divBdr>
    </w:div>
    <w:div w:id="634335327">
      <w:bodyDiv w:val="1"/>
      <w:marLeft w:val="0"/>
      <w:marRight w:val="0"/>
      <w:marTop w:val="0"/>
      <w:marBottom w:val="0"/>
      <w:divBdr>
        <w:top w:val="none" w:sz="0" w:space="0" w:color="auto"/>
        <w:left w:val="none" w:sz="0" w:space="0" w:color="auto"/>
        <w:bottom w:val="none" w:sz="0" w:space="0" w:color="auto"/>
        <w:right w:val="none" w:sz="0" w:space="0" w:color="auto"/>
      </w:divBdr>
    </w:div>
    <w:div w:id="634337923">
      <w:bodyDiv w:val="1"/>
      <w:marLeft w:val="0"/>
      <w:marRight w:val="0"/>
      <w:marTop w:val="0"/>
      <w:marBottom w:val="0"/>
      <w:divBdr>
        <w:top w:val="none" w:sz="0" w:space="0" w:color="auto"/>
        <w:left w:val="none" w:sz="0" w:space="0" w:color="auto"/>
        <w:bottom w:val="none" w:sz="0" w:space="0" w:color="auto"/>
        <w:right w:val="none" w:sz="0" w:space="0" w:color="auto"/>
      </w:divBdr>
    </w:div>
    <w:div w:id="634412479">
      <w:bodyDiv w:val="1"/>
      <w:marLeft w:val="0"/>
      <w:marRight w:val="0"/>
      <w:marTop w:val="0"/>
      <w:marBottom w:val="0"/>
      <w:divBdr>
        <w:top w:val="none" w:sz="0" w:space="0" w:color="auto"/>
        <w:left w:val="none" w:sz="0" w:space="0" w:color="auto"/>
        <w:bottom w:val="none" w:sz="0" w:space="0" w:color="auto"/>
        <w:right w:val="none" w:sz="0" w:space="0" w:color="auto"/>
      </w:divBdr>
    </w:div>
    <w:div w:id="634415154">
      <w:bodyDiv w:val="1"/>
      <w:marLeft w:val="0"/>
      <w:marRight w:val="0"/>
      <w:marTop w:val="0"/>
      <w:marBottom w:val="0"/>
      <w:divBdr>
        <w:top w:val="none" w:sz="0" w:space="0" w:color="auto"/>
        <w:left w:val="none" w:sz="0" w:space="0" w:color="auto"/>
        <w:bottom w:val="none" w:sz="0" w:space="0" w:color="auto"/>
        <w:right w:val="none" w:sz="0" w:space="0" w:color="auto"/>
      </w:divBdr>
    </w:div>
    <w:div w:id="634604714">
      <w:bodyDiv w:val="1"/>
      <w:marLeft w:val="0"/>
      <w:marRight w:val="0"/>
      <w:marTop w:val="0"/>
      <w:marBottom w:val="0"/>
      <w:divBdr>
        <w:top w:val="none" w:sz="0" w:space="0" w:color="auto"/>
        <w:left w:val="none" w:sz="0" w:space="0" w:color="auto"/>
        <w:bottom w:val="none" w:sz="0" w:space="0" w:color="auto"/>
        <w:right w:val="none" w:sz="0" w:space="0" w:color="auto"/>
      </w:divBdr>
    </w:div>
    <w:div w:id="634606247">
      <w:bodyDiv w:val="1"/>
      <w:marLeft w:val="0"/>
      <w:marRight w:val="0"/>
      <w:marTop w:val="0"/>
      <w:marBottom w:val="0"/>
      <w:divBdr>
        <w:top w:val="none" w:sz="0" w:space="0" w:color="auto"/>
        <w:left w:val="none" w:sz="0" w:space="0" w:color="auto"/>
        <w:bottom w:val="none" w:sz="0" w:space="0" w:color="auto"/>
        <w:right w:val="none" w:sz="0" w:space="0" w:color="auto"/>
      </w:divBdr>
    </w:div>
    <w:div w:id="634683014">
      <w:bodyDiv w:val="1"/>
      <w:marLeft w:val="0"/>
      <w:marRight w:val="0"/>
      <w:marTop w:val="0"/>
      <w:marBottom w:val="0"/>
      <w:divBdr>
        <w:top w:val="none" w:sz="0" w:space="0" w:color="auto"/>
        <w:left w:val="none" w:sz="0" w:space="0" w:color="auto"/>
        <w:bottom w:val="none" w:sz="0" w:space="0" w:color="auto"/>
        <w:right w:val="none" w:sz="0" w:space="0" w:color="auto"/>
      </w:divBdr>
    </w:div>
    <w:div w:id="634718405">
      <w:bodyDiv w:val="1"/>
      <w:marLeft w:val="0"/>
      <w:marRight w:val="0"/>
      <w:marTop w:val="0"/>
      <w:marBottom w:val="0"/>
      <w:divBdr>
        <w:top w:val="none" w:sz="0" w:space="0" w:color="auto"/>
        <w:left w:val="none" w:sz="0" w:space="0" w:color="auto"/>
        <w:bottom w:val="none" w:sz="0" w:space="0" w:color="auto"/>
        <w:right w:val="none" w:sz="0" w:space="0" w:color="auto"/>
      </w:divBdr>
    </w:div>
    <w:div w:id="634795213">
      <w:bodyDiv w:val="1"/>
      <w:marLeft w:val="0"/>
      <w:marRight w:val="0"/>
      <w:marTop w:val="0"/>
      <w:marBottom w:val="0"/>
      <w:divBdr>
        <w:top w:val="none" w:sz="0" w:space="0" w:color="auto"/>
        <w:left w:val="none" w:sz="0" w:space="0" w:color="auto"/>
        <w:bottom w:val="none" w:sz="0" w:space="0" w:color="auto"/>
        <w:right w:val="none" w:sz="0" w:space="0" w:color="auto"/>
      </w:divBdr>
    </w:div>
    <w:div w:id="634916072">
      <w:bodyDiv w:val="1"/>
      <w:marLeft w:val="0"/>
      <w:marRight w:val="0"/>
      <w:marTop w:val="0"/>
      <w:marBottom w:val="0"/>
      <w:divBdr>
        <w:top w:val="none" w:sz="0" w:space="0" w:color="auto"/>
        <w:left w:val="none" w:sz="0" w:space="0" w:color="auto"/>
        <w:bottom w:val="none" w:sz="0" w:space="0" w:color="auto"/>
        <w:right w:val="none" w:sz="0" w:space="0" w:color="auto"/>
      </w:divBdr>
    </w:div>
    <w:div w:id="634917154">
      <w:bodyDiv w:val="1"/>
      <w:marLeft w:val="0"/>
      <w:marRight w:val="0"/>
      <w:marTop w:val="0"/>
      <w:marBottom w:val="0"/>
      <w:divBdr>
        <w:top w:val="none" w:sz="0" w:space="0" w:color="auto"/>
        <w:left w:val="none" w:sz="0" w:space="0" w:color="auto"/>
        <w:bottom w:val="none" w:sz="0" w:space="0" w:color="auto"/>
        <w:right w:val="none" w:sz="0" w:space="0" w:color="auto"/>
      </w:divBdr>
    </w:div>
    <w:div w:id="634917884">
      <w:bodyDiv w:val="1"/>
      <w:marLeft w:val="0"/>
      <w:marRight w:val="0"/>
      <w:marTop w:val="0"/>
      <w:marBottom w:val="0"/>
      <w:divBdr>
        <w:top w:val="none" w:sz="0" w:space="0" w:color="auto"/>
        <w:left w:val="none" w:sz="0" w:space="0" w:color="auto"/>
        <w:bottom w:val="none" w:sz="0" w:space="0" w:color="auto"/>
        <w:right w:val="none" w:sz="0" w:space="0" w:color="auto"/>
      </w:divBdr>
    </w:div>
    <w:div w:id="634993009">
      <w:bodyDiv w:val="1"/>
      <w:marLeft w:val="0"/>
      <w:marRight w:val="0"/>
      <w:marTop w:val="0"/>
      <w:marBottom w:val="0"/>
      <w:divBdr>
        <w:top w:val="none" w:sz="0" w:space="0" w:color="auto"/>
        <w:left w:val="none" w:sz="0" w:space="0" w:color="auto"/>
        <w:bottom w:val="none" w:sz="0" w:space="0" w:color="auto"/>
        <w:right w:val="none" w:sz="0" w:space="0" w:color="auto"/>
      </w:divBdr>
    </w:div>
    <w:div w:id="634993020">
      <w:bodyDiv w:val="1"/>
      <w:marLeft w:val="0"/>
      <w:marRight w:val="0"/>
      <w:marTop w:val="0"/>
      <w:marBottom w:val="0"/>
      <w:divBdr>
        <w:top w:val="none" w:sz="0" w:space="0" w:color="auto"/>
        <w:left w:val="none" w:sz="0" w:space="0" w:color="auto"/>
        <w:bottom w:val="none" w:sz="0" w:space="0" w:color="auto"/>
        <w:right w:val="none" w:sz="0" w:space="0" w:color="auto"/>
      </w:divBdr>
    </w:div>
    <w:div w:id="635109865">
      <w:bodyDiv w:val="1"/>
      <w:marLeft w:val="0"/>
      <w:marRight w:val="0"/>
      <w:marTop w:val="0"/>
      <w:marBottom w:val="0"/>
      <w:divBdr>
        <w:top w:val="none" w:sz="0" w:space="0" w:color="auto"/>
        <w:left w:val="none" w:sz="0" w:space="0" w:color="auto"/>
        <w:bottom w:val="none" w:sz="0" w:space="0" w:color="auto"/>
        <w:right w:val="none" w:sz="0" w:space="0" w:color="auto"/>
      </w:divBdr>
    </w:div>
    <w:div w:id="635187237">
      <w:bodyDiv w:val="1"/>
      <w:marLeft w:val="0"/>
      <w:marRight w:val="0"/>
      <w:marTop w:val="0"/>
      <w:marBottom w:val="0"/>
      <w:divBdr>
        <w:top w:val="none" w:sz="0" w:space="0" w:color="auto"/>
        <w:left w:val="none" w:sz="0" w:space="0" w:color="auto"/>
        <w:bottom w:val="none" w:sz="0" w:space="0" w:color="auto"/>
        <w:right w:val="none" w:sz="0" w:space="0" w:color="auto"/>
      </w:divBdr>
    </w:div>
    <w:div w:id="635188521">
      <w:bodyDiv w:val="1"/>
      <w:marLeft w:val="0"/>
      <w:marRight w:val="0"/>
      <w:marTop w:val="0"/>
      <w:marBottom w:val="0"/>
      <w:divBdr>
        <w:top w:val="none" w:sz="0" w:space="0" w:color="auto"/>
        <w:left w:val="none" w:sz="0" w:space="0" w:color="auto"/>
        <w:bottom w:val="none" w:sz="0" w:space="0" w:color="auto"/>
        <w:right w:val="none" w:sz="0" w:space="0" w:color="auto"/>
      </w:divBdr>
    </w:div>
    <w:div w:id="635262659">
      <w:bodyDiv w:val="1"/>
      <w:marLeft w:val="0"/>
      <w:marRight w:val="0"/>
      <w:marTop w:val="0"/>
      <w:marBottom w:val="0"/>
      <w:divBdr>
        <w:top w:val="none" w:sz="0" w:space="0" w:color="auto"/>
        <w:left w:val="none" w:sz="0" w:space="0" w:color="auto"/>
        <w:bottom w:val="none" w:sz="0" w:space="0" w:color="auto"/>
        <w:right w:val="none" w:sz="0" w:space="0" w:color="auto"/>
      </w:divBdr>
    </w:div>
    <w:div w:id="635262675">
      <w:bodyDiv w:val="1"/>
      <w:marLeft w:val="0"/>
      <w:marRight w:val="0"/>
      <w:marTop w:val="0"/>
      <w:marBottom w:val="0"/>
      <w:divBdr>
        <w:top w:val="none" w:sz="0" w:space="0" w:color="auto"/>
        <w:left w:val="none" w:sz="0" w:space="0" w:color="auto"/>
        <w:bottom w:val="none" w:sz="0" w:space="0" w:color="auto"/>
        <w:right w:val="none" w:sz="0" w:space="0" w:color="auto"/>
      </w:divBdr>
    </w:div>
    <w:div w:id="635335587">
      <w:bodyDiv w:val="1"/>
      <w:marLeft w:val="0"/>
      <w:marRight w:val="0"/>
      <w:marTop w:val="0"/>
      <w:marBottom w:val="0"/>
      <w:divBdr>
        <w:top w:val="none" w:sz="0" w:space="0" w:color="auto"/>
        <w:left w:val="none" w:sz="0" w:space="0" w:color="auto"/>
        <w:bottom w:val="none" w:sz="0" w:space="0" w:color="auto"/>
        <w:right w:val="none" w:sz="0" w:space="0" w:color="auto"/>
      </w:divBdr>
    </w:div>
    <w:div w:id="635372518">
      <w:bodyDiv w:val="1"/>
      <w:marLeft w:val="0"/>
      <w:marRight w:val="0"/>
      <w:marTop w:val="0"/>
      <w:marBottom w:val="0"/>
      <w:divBdr>
        <w:top w:val="none" w:sz="0" w:space="0" w:color="auto"/>
        <w:left w:val="none" w:sz="0" w:space="0" w:color="auto"/>
        <w:bottom w:val="none" w:sz="0" w:space="0" w:color="auto"/>
        <w:right w:val="none" w:sz="0" w:space="0" w:color="auto"/>
      </w:divBdr>
    </w:div>
    <w:div w:id="635528202">
      <w:bodyDiv w:val="1"/>
      <w:marLeft w:val="0"/>
      <w:marRight w:val="0"/>
      <w:marTop w:val="0"/>
      <w:marBottom w:val="0"/>
      <w:divBdr>
        <w:top w:val="none" w:sz="0" w:space="0" w:color="auto"/>
        <w:left w:val="none" w:sz="0" w:space="0" w:color="auto"/>
        <w:bottom w:val="none" w:sz="0" w:space="0" w:color="auto"/>
        <w:right w:val="none" w:sz="0" w:space="0" w:color="auto"/>
      </w:divBdr>
    </w:div>
    <w:div w:id="635839381">
      <w:bodyDiv w:val="1"/>
      <w:marLeft w:val="0"/>
      <w:marRight w:val="0"/>
      <w:marTop w:val="0"/>
      <w:marBottom w:val="0"/>
      <w:divBdr>
        <w:top w:val="none" w:sz="0" w:space="0" w:color="auto"/>
        <w:left w:val="none" w:sz="0" w:space="0" w:color="auto"/>
        <w:bottom w:val="none" w:sz="0" w:space="0" w:color="auto"/>
        <w:right w:val="none" w:sz="0" w:space="0" w:color="auto"/>
      </w:divBdr>
    </w:div>
    <w:div w:id="635917246">
      <w:bodyDiv w:val="1"/>
      <w:marLeft w:val="0"/>
      <w:marRight w:val="0"/>
      <w:marTop w:val="0"/>
      <w:marBottom w:val="0"/>
      <w:divBdr>
        <w:top w:val="none" w:sz="0" w:space="0" w:color="auto"/>
        <w:left w:val="none" w:sz="0" w:space="0" w:color="auto"/>
        <w:bottom w:val="none" w:sz="0" w:space="0" w:color="auto"/>
        <w:right w:val="none" w:sz="0" w:space="0" w:color="auto"/>
      </w:divBdr>
    </w:div>
    <w:div w:id="635961542">
      <w:bodyDiv w:val="1"/>
      <w:marLeft w:val="0"/>
      <w:marRight w:val="0"/>
      <w:marTop w:val="0"/>
      <w:marBottom w:val="0"/>
      <w:divBdr>
        <w:top w:val="none" w:sz="0" w:space="0" w:color="auto"/>
        <w:left w:val="none" w:sz="0" w:space="0" w:color="auto"/>
        <w:bottom w:val="none" w:sz="0" w:space="0" w:color="auto"/>
        <w:right w:val="none" w:sz="0" w:space="0" w:color="auto"/>
      </w:divBdr>
    </w:div>
    <w:div w:id="636033595">
      <w:bodyDiv w:val="1"/>
      <w:marLeft w:val="0"/>
      <w:marRight w:val="0"/>
      <w:marTop w:val="0"/>
      <w:marBottom w:val="0"/>
      <w:divBdr>
        <w:top w:val="none" w:sz="0" w:space="0" w:color="auto"/>
        <w:left w:val="none" w:sz="0" w:space="0" w:color="auto"/>
        <w:bottom w:val="none" w:sz="0" w:space="0" w:color="auto"/>
        <w:right w:val="none" w:sz="0" w:space="0" w:color="auto"/>
      </w:divBdr>
    </w:div>
    <w:div w:id="636111203">
      <w:bodyDiv w:val="1"/>
      <w:marLeft w:val="0"/>
      <w:marRight w:val="0"/>
      <w:marTop w:val="0"/>
      <w:marBottom w:val="0"/>
      <w:divBdr>
        <w:top w:val="none" w:sz="0" w:space="0" w:color="auto"/>
        <w:left w:val="none" w:sz="0" w:space="0" w:color="auto"/>
        <w:bottom w:val="none" w:sz="0" w:space="0" w:color="auto"/>
        <w:right w:val="none" w:sz="0" w:space="0" w:color="auto"/>
      </w:divBdr>
    </w:div>
    <w:div w:id="636186933">
      <w:bodyDiv w:val="1"/>
      <w:marLeft w:val="0"/>
      <w:marRight w:val="0"/>
      <w:marTop w:val="0"/>
      <w:marBottom w:val="0"/>
      <w:divBdr>
        <w:top w:val="none" w:sz="0" w:space="0" w:color="auto"/>
        <w:left w:val="none" w:sz="0" w:space="0" w:color="auto"/>
        <w:bottom w:val="none" w:sz="0" w:space="0" w:color="auto"/>
        <w:right w:val="none" w:sz="0" w:space="0" w:color="auto"/>
      </w:divBdr>
    </w:div>
    <w:div w:id="636229391">
      <w:bodyDiv w:val="1"/>
      <w:marLeft w:val="0"/>
      <w:marRight w:val="0"/>
      <w:marTop w:val="0"/>
      <w:marBottom w:val="0"/>
      <w:divBdr>
        <w:top w:val="none" w:sz="0" w:space="0" w:color="auto"/>
        <w:left w:val="none" w:sz="0" w:space="0" w:color="auto"/>
        <w:bottom w:val="none" w:sz="0" w:space="0" w:color="auto"/>
        <w:right w:val="none" w:sz="0" w:space="0" w:color="auto"/>
      </w:divBdr>
    </w:div>
    <w:div w:id="636374368">
      <w:bodyDiv w:val="1"/>
      <w:marLeft w:val="0"/>
      <w:marRight w:val="0"/>
      <w:marTop w:val="0"/>
      <w:marBottom w:val="0"/>
      <w:divBdr>
        <w:top w:val="none" w:sz="0" w:space="0" w:color="auto"/>
        <w:left w:val="none" w:sz="0" w:space="0" w:color="auto"/>
        <w:bottom w:val="none" w:sz="0" w:space="0" w:color="auto"/>
        <w:right w:val="none" w:sz="0" w:space="0" w:color="auto"/>
      </w:divBdr>
    </w:div>
    <w:div w:id="636375811">
      <w:bodyDiv w:val="1"/>
      <w:marLeft w:val="0"/>
      <w:marRight w:val="0"/>
      <w:marTop w:val="0"/>
      <w:marBottom w:val="0"/>
      <w:divBdr>
        <w:top w:val="none" w:sz="0" w:space="0" w:color="auto"/>
        <w:left w:val="none" w:sz="0" w:space="0" w:color="auto"/>
        <w:bottom w:val="none" w:sz="0" w:space="0" w:color="auto"/>
        <w:right w:val="none" w:sz="0" w:space="0" w:color="auto"/>
      </w:divBdr>
    </w:div>
    <w:div w:id="636498689">
      <w:bodyDiv w:val="1"/>
      <w:marLeft w:val="0"/>
      <w:marRight w:val="0"/>
      <w:marTop w:val="0"/>
      <w:marBottom w:val="0"/>
      <w:divBdr>
        <w:top w:val="none" w:sz="0" w:space="0" w:color="auto"/>
        <w:left w:val="none" w:sz="0" w:space="0" w:color="auto"/>
        <w:bottom w:val="none" w:sz="0" w:space="0" w:color="auto"/>
        <w:right w:val="none" w:sz="0" w:space="0" w:color="auto"/>
      </w:divBdr>
    </w:div>
    <w:div w:id="636568857">
      <w:bodyDiv w:val="1"/>
      <w:marLeft w:val="0"/>
      <w:marRight w:val="0"/>
      <w:marTop w:val="0"/>
      <w:marBottom w:val="0"/>
      <w:divBdr>
        <w:top w:val="none" w:sz="0" w:space="0" w:color="auto"/>
        <w:left w:val="none" w:sz="0" w:space="0" w:color="auto"/>
        <w:bottom w:val="none" w:sz="0" w:space="0" w:color="auto"/>
        <w:right w:val="none" w:sz="0" w:space="0" w:color="auto"/>
      </w:divBdr>
    </w:div>
    <w:div w:id="636572976">
      <w:bodyDiv w:val="1"/>
      <w:marLeft w:val="0"/>
      <w:marRight w:val="0"/>
      <w:marTop w:val="0"/>
      <w:marBottom w:val="0"/>
      <w:divBdr>
        <w:top w:val="none" w:sz="0" w:space="0" w:color="auto"/>
        <w:left w:val="none" w:sz="0" w:space="0" w:color="auto"/>
        <w:bottom w:val="none" w:sz="0" w:space="0" w:color="auto"/>
        <w:right w:val="none" w:sz="0" w:space="0" w:color="auto"/>
      </w:divBdr>
    </w:div>
    <w:div w:id="636649223">
      <w:bodyDiv w:val="1"/>
      <w:marLeft w:val="0"/>
      <w:marRight w:val="0"/>
      <w:marTop w:val="0"/>
      <w:marBottom w:val="0"/>
      <w:divBdr>
        <w:top w:val="none" w:sz="0" w:space="0" w:color="auto"/>
        <w:left w:val="none" w:sz="0" w:space="0" w:color="auto"/>
        <w:bottom w:val="none" w:sz="0" w:space="0" w:color="auto"/>
        <w:right w:val="none" w:sz="0" w:space="0" w:color="auto"/>
      </w:divBdr>
    </w:div>
    <w:div w:id="636685891">
      <w:bodyDiv w:val="1"/>
      <w:marLeft w:val="0"/>
      <w:marRight w:val="0"/>
      <w:marTop w:val="0"/>
      <w:marBottom w:val="0"/>
      <w:divBdr>
        <w:top w:val="none" w:sz="0" w:space="0" w:color="auto"/>
        <w:left w:val="none" w:sz="0" w:space="0" w:color="auto"/>
        <w:bottom w:val="none" w:sz="0" w:space="0" w:color="auto"/>
        <w:right w:val="none" w:sz="0" w:space="0" w:color="auto"/>
      </w:divBdr>
    </w:div>
    <w:div w:id="636691973">
      <w:bodyDiv w:val="1"/>
      <w:marLeft w:val="0"/>
      <w:marRight w:val="0"/>
      <w:marTop w:val="0"/>
      <w:marBottom w:val="0"/>
      <w:divBdr>
        <w:top w:val="none" w:sz="0" w:space="0" w:color="auto"/>
        <w:left w:val="none" w:sz="0" w:space="0" w:color="auto"/>
        <w:bottom w:val="none" w:sz="0" w:space="0" w:color="auto"/>
        <w:right w:val="none" w:sz="0" w:space="0" w:color="auto"/>
      </w:divBdr>
    </w:div>
    <w:div w:id="636833423">
      <w:bodyDiv w:val="1"/>
      <w:marLeft w:val="0"/>
      <w:marRight w:val="0"/>
      <w:marTop w:val="0"/>
      <w:marBottom w:val="0"/>
      <w:divBdr>
        <w:top w:val="none" w:sz="0" w:space="0" w:color="auto"/>
        <w:left w:val="none" w:sz="0" w:space="0" w:color="auto"/>
        <w:bottom w:val="none" w:sz="0" w:space="0" w:color="auto"/>
        <w:right w:val="none" w:sz="0" w:space="0" w:color="auto"/>
      </w:divBdr>
    </w:div>
    <w:div w:id="636841526">
      <w:bodyDiv w:val="1"/>
      <w:marLeft w:val="0"/>
      <w:marRight w:val="0"/>
      <w:marTop w:val="0"/>
      <w:marBottom w:val="0"/>
      <w:divBdr>
        <w:top w:val="none" w:sz="0" w:space="0" w:color="auto"/>
        <w:left w:val="none" w:sz="0" w:space="0" w:color="auto"/>
        <w:bottom w:val="none" w:sz="0" w:space="0" w:color="auto"/>
        <w:right w:val="none" w:sz="0" w:space="0" w:color="auto"/>
      </w:divBdr>
    </w:div>
    <w:div w:id="636883359">
      <w:bodyDiv w:val="1"/>
      <w:marLeft w:val="0"/>
      <w:marRight w:val="0"/>
      <w:marTop w:val="0"/>
      <w:marBottom w:val="0"/>
      <w:divBdr>
        <w:top w:val="none" w:sz="0" w:space="0" w:color="auto"/>
        <w:left w:val="none" w:sz="0" w:space="0" w:color="auto"/>
        <w:bottom w:val="none" w:sz="0" w:space="0" w:color="auto"/>
        <w:right w:val="none" w:sz="0" w:space="0" w:color="auto"/>
      </w:divBdr>
    </w:div>
    <w:div w:id="637078289">
      <w:bodyDiv w:val="1"/>
      <w:marLeft w:val="0"/>
      <w:marRight w:val="0"/>
      <w:marTop w:val="0"/>
      <w:marBottom w:val="0"/>
      <w:divBdr>
        <w:top w:val="none" w:sz="0" w:space="0" w:color="auto"/>
        <w:left w:val="none" w:sz="0" w:space="0" w:color="auto"/>
        <w:bottom w:val="none" w:sz="0" w:space="0" w:color="auto"/>
        <w:right w:val="none" w:sz="0" w:space="0" w:color="auto"/>
      </w:divBdr>
    </w:div>
    <w:div w:id="637106074">
      <w:bodyDiv w:val="1"/>
      <w:marLeft w:val="0"/>
      <w:marRight w:val="0"/>
      <w:marTop w:val="0"/>
      <w:marBottom w:val="0"/>
      <w:divBdr>
        <w:top w:val="none" w:sz="0" w:space="0" w:color="auto"/>
        <w:left w:val="none" w:sz="0" w:space="0" w:color="auto"/>
        <w:bottom w:val="none" w:sz="0" w:space="0" w:color="auto"/>
        <w:right w:val="none" w:sz="0" w:space="0" w:color="auto"/>
      </w:divBdr>
    </w:div>
    <w:div w:id="637144790">
      <w:bodyDiv w:val="1"/>
      <w:marLeft w:val="0"/>
      <w:marRight w:val="0"/>
      <w:marTop w:val="0"/>
      <w:marBottom w:val="0"/>
      <w:divBdr>
        <w:top w:val="none" w:sz="0" w:space="0" w:color="auto"/>
        <w:left w:val="none" w:sz="0" w:space="0" w:color="auto"/>
        <w:bottom w:val="none" w:sz="0" w:space="0" w:color="auto"/>
        <w:right w:val="none" w:sz="0" w:space="0" w:color="auto"/>
      </w:divBdr>
    </w:div>
    <w:div w:id="637222487">
      <w:bodyDiv w:val="1"/>
      <w:marLeft w:val="0"/>
      <w:marRight w:val="0"/>
      <w:marTop w:val="0"/>
      <w:marBottom w:val="0"/>
      <w:divBdr>
        <w:top w:val="none" w:sz="0" w:space="0" w:color="auto"/>
        <w:left w:val="none" w:sz="0" w:space="0" w:color="auto"/>
        <w:bottom w:val="none" w:sz="0" w:space="0" w:color="auto"/>
        <w:right w:val="none" w:sz="0" w:space="0" w:color="auto"/>
      </w:divBdr>
    </w:div>
    <w:div w:id="637297978">
      <w:bodyDiv w:val="1"/>
      <w:marLeft w:val="0"/>
      <w:marRight w:val="0"/>
      <w:marTop w:val="0"/>
      <w:marBottom w:val="0"/>
      <w:divBdr>
        <w:top w:val="none" w:sz="0" w:space="0" w:color="auto"/>
        <w:left w:val="none" w:sz="0" w:space="0" w:color="auto"/>
        <w:bottom w:val="none" w:sz="0" w:space="0" w:color="auto"/>
        <w:right w:val="none" w:sz="0" w:space="0" w:color="auto"/>
      </w:divBdr>
    </w:div>
    <w:div w:id="637347365">
      <w:bodyDiv w:val="1"/>
      <w:marLeft w:val="0"/>
      <w:marRight w:val="0"/>
      <w:marTop w:val="0"/>
      <w:marBottom w:val="0"/>
      <w:divBdr>
        <w:top w:val="none" w:sz="0" w:space="0" w:color="auto"/>
        <w:left w:val="none" w:sz="0" w:space="0" w:color="auto"/>
        <w:bottom w:val="none" w:sz="0" w:space="0" w:color="auto"/>
        <w:right w:val="none" w:sz="0" w:space="0" w:color="auto"/>
      </w:divBdr>
    </w:div>
    <w:div w:id="637420185">
      <w:bodyDiv w:val="1"/>
      <w:marLeft w:val="0"/>
      <w:marRight w:val="0"/>
      <w:marTop w:val="0"/>
      <w:marBottom w:val="0"/>
      <w:divBdr>
        <w:top w:val="none" w:sz="0" w:space="0" w:color="auto"/>
        <w:left w:val="none" w:sz="0" w:space="0" w:color="auto"/>
        <w:bottom w:val="none" w:sz="0" w:space="0" w:color="auto"/>
        <w:right w:val="none" w:sz="0" w:space="0" w:color="auto"/>
      </w:divBdr>
    </w:div>
    <w:div w:id="637421002">
      <w:bodyDiv w:val="1"/>
      <w:marLeft w:val="0"/>
      <w:marRight w:val="0"/>
      <w:marTop w:val="0"/>
      <w:marBottom w:val="0"/>
      <w:divBdr>
        <w:top w:val="none" w:sz="0" w:space="0" w:color="auto"/>
        <w:left w:val="none" w:sz="0" w:space="0" w:color="auto"/>
        <w:bottom w:val="none" w:sz="0" w:space="0" w:color="auto"/>
        <w:right w:val="none" w:sz="0" w:space="0" w:color="auto"/>
      </w:divBdr>
    </w:div>
    <w:div w:id="637538900">
      <w:bodyDiv w:val="1"/>
      <w:marLeft w:val="0"/>
      <w:marRight w:val="0"/>
      <w:marTop w:val="0"/>
      <w:marBottom w:val="0"/>
      <w:divBdr>
        <w:top w:val="none" w:sz="0" w:space="0" w:color="auto"/>
        <w:left w:val="none" w:sz="0" w:space="0" w:color="auto"/>
        <w:bottom w:val="none" w:sz="0" w:space="0" w:color="auto"/>
        <w:right w:val="none" w:sz="0" w:space="0" w:color="auto"/>
      </w:divBdr>
    </w:div>
    <w:div w:id="637612365">
      <w:bodyDiv w:val="1"/>
      <w:marLeft w:val="0"/>
      <w:marRight w:val="0"/>
      <w:marTop w:val="0"/>
      <w:marBottom w:val="0"/>
      <w:divBdr>
        <w:top w:val="none" w:sz="0" w:space="0" w:color="auto"/>
        <w:left w:val="none" w:sz="0" w:space="0" w:color="auto"/>
        <w:bottom w:val="none" w:sz="0" w:space="0" w:color="auto"/>
        <w:right w:val="none" w:sz="0" w:space="0" w:color="auto"/>
      </w:divBdr>
    </w:div>
    <w:div w:id="637684828">
      <w:bodyDiv w:val="1"/>
      <w:marLeft w:val="0"/>
      <w:marRight w:val="0"/>
      <w:marTop w:val="0"/>
      <w:marBottom w:val="0"/>
      <w:divBdr>
        <w:top w:val="none" w:sz="0" w:space="0" w:color="auto"/>
        <w:left w:val="none" w:sz="0" w:space="0" w:color="auto"/>
        <w:bottom w:val="none" w:sz="0" w:space="0" w:color="auto"/>
        <w:right w:val="none" w:sz="0" w:space="0" w:color="auto"/>
      </w:divBdr>
    </w:div>
    <w:div w:id="637801954">
      <w:bodyDiv w:val="1"/>
      <w:marLeft w:val="0"/>
      <w:marRight w:val="0"/>
      <w:marTop w:val="0"/>
      <w:marBottom w:val="0"/>
      <w:divBdr>
        <w:top w:val="none" w:sz="0" w:space="0" w:color="auto"/>
        <w:left w:val="none" w:sz="0" w:space="0" w:color="auto"/>
        <w:bottom w:val="none" w:sz="0" w:space="0" w:color="auto"/>
        <w:right w:val="none" w:sz="0" w:space="0" w:color="auto"/>
      </w:divBdr>
    </w:div>
    <w:div w:id="637884612">
      <w:bodyDiv w:val="1"/>
      <w:marLeft w:val="0"/>
      <w:marRight w:val="0"/>
      <w:marTop w:val="0"/>
      <w:marBottom w:val="0"/>
      <w:divBdr>
        <w:top w:val="none" w:sz="0" w:space="0" w:color="auto"/>
        <w:left w:val="none" w:sz="0" w:space="0" w:color="auto"/>
        <w:bottom w:val="none" w:sz="0" w:space="0" w:color="auto"/>
        <w:right w:val="none" w:sz="0" w:space="0" w:color="auto"/>
      </w:divBdr>
    </w:div>
    <w:div w:id="638075956">
      <w:bodyDiv w:val="1"/>
      <w:marLeft w:val="0"/>
      <w:marRight w:val="0"/>
      <w:marTop w:val="0"/>
      <w:marBottom w:val="0"/>
      <w:divBdr>
        <w:top w:val="none" w:sz="0" w:space="0" w:color="auto"/>
        <w:left w:val="none" w:sz="0" w:space="0" w:color="auto"/>
        <w:bottom w:val="none" w:sz="0" w:space="0" w:color="auto"/>
        <w:right w:val="none" w:sz="0" w:space="0" w:color="auto"/>
      </w:divBdr>
    </w:div>
    <w:div w:id="638263877">
      <w:bodyDiv w:val="1"/>
      <w:marLeft w:val="0"/>
      <w:marRight w:val="0"/>
      <w:marTop w:val="0"/>
      <w:marBottom w:val="0"/>
      <w:divBdr>
        <w:top w:val="none" w:sz="0" w:space="0" w:color="auto"/>
        <w:left w:val="none" w:sz="0" w:space="0" w:color="auto"/>
        <w:bottom w:val="none" w:sz="0" w:space="0" w:color="auto"/>
        <w:right w:val="none" w:sz="0" w:space="0" w:color="auto"/>
      </w:divBdr>
    </w:div>
    <w:div w:id="638337990">
      <w:bodyDiv w:val="1"/>
      <w:marLeft w:val="0"/>
      <w:marRight w:val="0"/>
      <w:marTop w:val="0"/>
      <w:marBottom w:val="0"/>
      <w:divBdr>
        <w:top w:val="none" w:sz="0" w:space="0" w:color="auto"/>
        <w:left w:val="none" w:sz="0" w:space="0" w:color="auto"/>
        <w:bottom w:val="none" w:sz="0" w:space="0" w:color="auto"/>
        <w:right w:val="none" w:sz="0" w:space="0" w:color="auto"/>
      </w:divBdr>
    </w:div>
    <w:div w:id="638343323">
      <w:bodyDiv w:val="1"/>
      <w:marLeft w:val="0"/>
      <w:marRight w:val="0"/>
      <w:marTop w:val="0"/>
      <w:marBottom w:val="0"/>
      <w:divBdr>
        <w:top w:val="none" w:sz="0" w:space="0" w:color="auto"/>
        <w:left w:val="none" w:sz="0" w:space="0" w:color="auto"/>
        <w:bottom w:val="none" w:sz="0" w:space="0" w:color="auto"/>
        <w:right w:val="none" w:sz="0" w:space="0" w:color="auto"/>
      </w:divBdr>
    </w:div>
    <w:div w:id="638606766">
      <w:bodyDiv w:val="1"/>
      <w:marLeft w:val="0"/>
      <w:marRight w:val="0"/>
      <w:marTop w:val="0"/>
      <w:marBottom w:val="0"/>
      <w:divBdr>
        <w:top w:val="none" w:sz="0" w:space="0" w:color="auto"/>
        <w:left w:val="none" w:sz="0" w:space="0" w:color="auto"/>
        <w:bottom w:val="none" w:sz="0" w:space="0" w:color="auto"/>
        <w:right w:val="none" w:sz="0" w:space="0" w:color="auto"/>
      </w:divBdr>
    </w:div>
    <w:div w:id="638614649">
      <w:bodyDiv w:val="1"/>
      <w:marLeft w:val="0"/>
      <w:marRight w:val="0"/>
      <w:marTop w:val="0"/>
      <w:marBottom w:val="0"/>
      <w:divBdr>
        <w:top w:val="none" w:sz="0" w:space="0" w:color="auto"/>
        <w:left w:val="none" w:sz="0" w:space="0" w:color="auto"/>
        <w:bottom w:val="none" w:sz="0" w:space="0" w:color="auto"/>
        <w:right w:val="none" w:sz="0" w:space="0" w:color="auto"/>
      </w:divBdr>
    </w:div>
    <w:div w:id="638615044">
      <w:bodyDiv w:val="1"/>
      <w:marLeft w:val="0"/>
      <w:marRight w:val="0"/>
      <w:marTop w:val="0"/>
      <w:marBottom w:val="0"/>
      <w:divBdr>
        <w:top w:val="none" w:sz="0" w:space="0" w:color="auto"/>
        <w:left w:val="none" w:sz="0" w:space="0" w:color="auto"/>
        <w:bottom w:val="none" w:sz="0" w:space="0" w:color="auto"/>
        <w:right w:val="none" w:sz="0" w:space="0" w:color="auto"/>
      </w:divBdr>
    </w:div>
    <w:div w:id="638846685">
      <w:bodyDiv w:val="1"/>
      <w:marLeft w:val="0"/>
      <w:marRight w:val="0"/>
      <w:marTop w:val="0"/>
      <w:marBottom w:val="0"/>
      <w:divBdr>
        <w:top w:val="none" w:sz="0" w:space="0" w:color="auto"/>
        <w:left w:val="none" w:sz="0" w:space="0" w:color="auto"/>
        <w:bottom w:val="none" w:sz="0" w:space="0" w:color="auto"/>
        <w:right w:val="none" w:sz="0" w:space="0" w:color="auto"/>
      </w:divBdr>
    </w:div>
    <w:div w:id="638851601">
      <w:bodyDiv w:val="1"/>
      <w:marLeft w:val="0"/>
      <w:marRight w:val="0"/>
      <w:marTop w:val="0"/>
      <w:marBottom w:val="0"/>
      <w:divBdr>
        <w:top w:val="none" w:sz="0" w:space="0" w:color="auto"/>
        <w:left w:val="none" w:sz="0" w:space="0" w:color="auto"/>
        <w:bottom w:val="none" w:sz="0" w:space="0" w:color="auto"/>
        <w:right w:val="none" w:sz="0" w:space="0" w:color="auto"/>
      </w:divBdr>
    </w:div>
    <w:div w:id="638876563">
      <w:bodyDiv w:val="1"/>
      <w:marLeft w:val="0"/>
      <w:marRight w:val="0"/>
      <w:marTop w:val="0"/>
      <w:marBottom w:val="0"/>
      <w:divBdr>
        <w:top w:val="none" w:sz="0" w:space="0" w:color="auto"/>
        <w:left w:val="none" w:sz="0" w:space="0" w:color="auto"/>
        <w:bottom w:val="none" w:sz="0" w:space="0" w:color="auto"/>
        <w:right w:val="none" w:sz="0" w:space="0" w:color="auto"/>
      </w:divBdr>
    </w:div>
    <w:div w:id="638923528">
      <w:bodyDiv w:val="1"/>
      <w:marLeft w:val="0"/>
      <w:marRight w:val="0"/>
      <w:marTop w:val="0"/>
      <w:marBottom w:val="0"/>
      <w:divBdr>
        <w:top w:val="none" w:sz="0" w:space="0" w:color="auto"/>
        <w:left w:val="none" w:sz="0" w:space="0" w:color="auto"/>
        <w:bottom w:val="none" w:sz="0" w:space="0" w:color="auto"/>
        <w:right w:val="none" w:sz="0" w:space="0" w:color="auto"/>
      </w:divBdr>
    </w:div>
    <w:div w:id="639044159">
      <w:bodyDiv w:val="1"/>
      <w:marLeft w:val="0"/>
      <w:marRight w:val="0"/>
      <w:marTop w:val="0"/>
      <w:marBottom w:val="0"/>
      <w:divBdr>
        <w:top w:val="none" w:sz="0" w:space="0" w:color="auto"/>
        <w:left w:val="none" w:sz="0" w:space="0" w:color="auto"/>
        <w:bottom w:val="none" w:sz="0" w:space="0" w:color="auto"/>
        <w:right w:val="none" w:sz="0" w:space="0" w:color="auto"/>
      </w:divBdr>
    </w:div>
    <w:div w:id="639071601">
      <w:bodyDiv w:val="1"/>
      <w:marLeft w:val="0"/>
      <w:marRight w:val="0"/>
      <w:marTop w:val="0"/>
      <w:marBottom w:val="0"/>
      <w:divBdr>
        <w:top w:val="none" w:sz="0" w:space="0" w:color="auto"/>
        <w:left w:val="none" w:sz="0" w:space="0" w:color="auto"/>
        <w:bottom w:val="none" w:sz="0" w:space="0" w:color="auto"/>
        <w:right w:val="none" w:sz="0" w:space="0" w:color="auto"/>
      </w:divBdr>
    </w:div>
    <w:div w:id="639380041">
      <w:bodyDiv w:val="1"/>
      <w:marLeft w:val="0"/>
      <w:marRight w:val="0"/>
      <w:marTop w:val="0"/>
      <w:marBottom w:val="0"/>
      <w:divBdr>
        <w:top w:val="none" w:sz="0" w:space="0" w:color="auto"/>
        <w:left w:val="none" w:sz="0" w:space="0" w:color="auto"/>
        <w:bottom w:val="none" w:sz="0" w:space="0" w:color="auto"/>
        <w:right w:val="none" w:sz="0" w:space="0" w:color="auto"/>
      </w:divBdr>
    </w:div>
    <w:div w:id="639501672">
      <w:bodyDiv w:val="1"/>
      <w:marLeft w:val="0"/>
      <w:marRight w:val="0"/>
      <w:marTop w:val="0"/>
      <w:marBottom w:val="0"/>
      <w:divBdr>
        <w:top w:val="none" w:sz="0" w:space="0" w:color="auto"/>
        <w:left w:val="none" w:sz="0" w:space="0" w:color="auto"/>
        <w:bottom w:val="none" w:sz="0" w:space="0" w:color="auto"/>
        <w:right w:val="none" w:sz="0" w:space="0" w:color="auto"/>
      </w:divBdr>
    </w:div>
    <w:div w:id="639530673">
      <w:bodyDiv w:val="1"/>
      <w:marLeft w:val="0"/>
      <w:marRight w:val="0"/>
      <w:marTop w:val="0"/>
      <w:marBottom w:val="0"/>
      <w:divBdr>
        <w:top w:val="none" w:sz="0" w:space="0" w:color="auto"/>
        <w:left w:val="none" w:sz="0" w:space="0" w:color="auto"/>
        <w:bottom w:val="none" w:sz="0" w:space="0" w:color="auto"/>
        <w:right w:val="none" w:sz="0" w:space="0" w:color="auto"/>
      </w:divBdr>
    </w:div>
    <w:div w:id="639574299">
      <w:bodyDiv w:val="1"/>
      <w:marLeft w:val="0"/>
      <w:marRight w:val="0"/>
      <w:marTop w:val="0"/>
      <w:marBottom w:val="0"/>
      <w:divBdr>
        <w:top w:val="none" w:sz="0" w:space="0" w:color="auto"/>
        <w:left w:val="none" w:sz="0" w:space="0" w:color="auto"/>
        <w:bottom w:val="none" w:sz="0" w:space="0" w:color="auto"/>
        <w:right w:val="none" w:sz="0" w:space="0" w:color="auto"/>
      </w:divBdr>
    </w:div>
    <w:div w:id="639724755">
      <w:bodyDiv w:val="1"/>
      <w:marLeft w:val="0"/>
      <w:marRight w:val="0"/>
      <w:marTop w:val="0"/>
      <w:marBottom w:val="0"/>
      <w:divBdr>
        <w:top w:val="none" w:sz="0" w:space="0" w:color="auto"/>
        <w:left w:val="none" w:sz="0" w:space="0" w:color="auto"/>
        <w:bottom w:val="none" w:sz="0" w:space="0" w:color="auto"/>
        <w:right w:val="none" w:sz="0" w:space="0" w:color="auto"/>
      </w:divBdr>
    </w:div>
    <w:div w:id="639961082">
      <w:bodyDiv w:val="1"/>
      <w:marLeft w:val="0"/>
      <w:marRight w:val="0"/>
      <w:marTop w:val="0"/>
      <w:marBottom w:val="0"/>
      <w:divBdr>
        <w:top w:val="none" w:sz="0" w:space="0" w:color="auto"/>
        <w:left w:val="none" w:sz="0" w:space="0" w:color="auto"/>
        <w:bottom w:val="none" w:sz="0" w:space="0" w:color="auto"/>
        <w:right w:val="none" w:sz="0" w:space="0" w:color="auto"/>
      </w:divBdr>
    </w:div>
    <w:div w:id="639965360">
      <w:bodyDiv w:val="1"/>
      <w:marLeft w:val="0"/>
      <w:marRight w:val="0"/>
      <w:marTop w:val="0"/>
      <w:marBottom w:val="0"/>
      <w:divBdr>
        <w:top w:val="none" w:sz="0" w:space="0" w:color="auto"/>
        <w:left w:val="none" w:sz="0" w:space="0" w:color="auto"/>
        <w:bottom w:val="none" w:sz="0" w:space="0" w:color="auto"/>
        <w:right w:val="none" w:sz="0" w:space="0" w:color="auto"/>
      </w:divBdr>
    </w:div>
    <w:div w:id="640036062">
      <w:bodyDiv w:val="1"/>
      <w:marLeft w:val="0"/>
      <w:marRight w:val="0"/>
      <w:marTop w:val="0"/>
      <w:marBottom w:val="0"/>
      <w:divBdr>
        <w:top w:val="none" w:sz="0" w:space="0" w:color="auto"/>
        <w:left w:val="none" w:sz="0" w:space="0" w:color="auto"/>
        <w:bottom w:val="none" w:sz="0" w:space="0" w:color="auto"/>
        <w:right w:val="none" w:sz="0" w:space="0" w:color="auto"/>
      </w:divBdr>
    </w:div>
    <w:div w:id="640042636">
      <w:bodyDiv w:val="1"/>
      <w:marLeft w:val="0"/>
      <w:marRight w:val="0"/>
      <w:marTop w:val="0"/>
      <w:marBottom w:val="0"/>
      <w:divBdr>
        <w:top w:val="none" w:sz="0" w:space="0" w:color="auto"/>
        <w:left w:val="none" w:sz="0" w:space="0" w:color="auto"/>
        <w:bottom w:val="none" w:sz="0" w:space="0" w:color="auto"/>
        <w:right w:val="none" w:sz="0" w:space="0" w:color="auto"/>
      </w:divBdr>
    </w:div>
    <w:div w:id="640424529">
      <w:bodyDiv w:val="1"/>
      <w:marLeft w:val="0"/>
      <w:marRight w:val="0"/>
      <w:marTop w:val="0"/>
      <w:marBottom w:val="0"/>
      <w:divBdr>
        <w:top w:val="none" w:sz="0" w:space="0" w:color="auto"/>
        <w:left w:val="none" w:sz="0" w:space="0" w:color="auto"/>
        <w:bottom w:val="none" w:sz="0" w:space="0" w:color="auto"/>
        <w:right w:val="none" w:sz="0" w:space="0" w:color="auto"/>
      </w:divBdr>
    </w:div>
    <w:div w:id="640618195">
      <w:bodyDiv w:val="1"/>
      <w:marLeft w:val="0"/>
      <w:marRight w:val="0"/>
      <w:marTop w:val="0"/>
      <w:marBottom w:val="0"/>
      <w:divBdr>
        <w:top w:val="none" w:sz="0" w:space="0" w:color="auto"/>
        <w:left w:val="none" w:sz="0" w:space="0" w:color="auto"/>
        <w:bottom w:val="none" w:sz="0" w:space="0" w:color="auto"/>
        <w:right w:val="none" w:sz="0" w:space="0" w:color="auto"/>
      </w:divBdr>
    </w:div>
    <w:div w:id="640961399">
      <w:bodyDiv w:val="1"/>
      <w:marLeft w:val="0"/>
      <w:marRight w:val="0"/>
      <w:marTop w:val="0"/>
      <w:marBottom w:val="0"/>
      <w:divBdr>
        <w:top w:val="none" w:sz="0" w:space="0" w:color="auto"/>
        <w:left w:val="none" w:sz="0" w:space="0" w:color="auto"/>
        <w:bottom w:val="none" w:sz="0" w:space="0" w:color="auto"/>
        <w:right w:val="none" w:sz="0" w:space="0" w:color="auto"/>
      </w:divBdr>
    </w:div>
    <w:div w:id="641035007">
      <w:bodyDiv w:val="1"/>
      <w:marLeft w:val="0"/>
      <w:marRight w:val="0"/>
      <w:marTop w:val="0"/>
      <w:marBottom w:val="0"/>
      <w:divBdr>
        <w:top w:val="none" w:sz="0" w:space="0" w:color="auto"/>
        <w:left w:val="none" w:sz="0" w:space="0" w:color="auto"/>
        <w:bottom w:val="none" w:sz="0" w:space="0" w:color="auto"/>
        <w:right w:val="none" w:sz="0" w:space="0" w:color="auto"/>
      </w:divBdr>
    </w:div>
    <w:div w:id="641080645">
      <w:bodyDiv w:val="1"/>
      <w:marLeft w:val="0"/>
      <w:marRight w:val="0"/>
      <w:marTop w:val="0"/>
      <w:marBottom w:val="0"/>
      <w:divBdr>
        <w:top w:val="none" w:sz="0" w:space="0" w:color="auto"/>
        <w:left w:val="none" w:sz="0" w:space="0" w:color="auto"/>
        <w:bottom w:val="none" w:sz="0" w:space="0" w:color="auto"/>
        <w:right w:val="none" w:sz="0" w:space="0" w:color="auto"/>
      </w:divBdr>
    </w:div>
    <w:div w:id="641083989">
      <w:bodyDiv w:val="1"/>
      <w:marLeft w:val="0"/>
      <w:marRight w:val="0"/>
      <w:marTop w:val="0"/>
      <w:marBottom w:val="0"/>
      <w:divBdr>
        <w:top w:val="none" w:sz="0" w:space="0" w:color="auto"/>
        <w:left w:val="none" w:sz="0" w:space="0" w:color="auto"/>
        <w:bottom w:val="none" w:sz="0" w:space="0" w:color="auto"/>
        <w:right w:val="none" w:sz="0" w:space="0" w:color="auto"/>
      </w:divBdr>
    </w:div>
    <w:div w:id="641159983">
      <w:bodyDiv w:val="1"/>
      <w:marLeft w:val="0"/>
      <w:marRight w:val="0"/>
      <w:marTop w:val="0"/>
      <w:marBottom w:val="0"/>
      <w:divBdr>
        <w:top w:val="none" w:sz="0" w:space="0" w:color="auto"/>
        <w:left w:val="none" w:sz="0" w:space="0" w:color="auto"/>
        <w:bottom w:val="none" w:sz="0" w:space="0" w:color="auto"/>
        <w:right w:val="none" w:sz="0" w:space="0" w:color="auto"/>
      </w:divBdr>
    </w:div>
    <w:div w:id="641160928">
      <w:bodyDiv w:val="1"/>
      <w:marLeft w:val="0"/>
      <w:marRight w:val="0"/>
      <w:marTop w:val="0"/>
      <w:marBottom w:val="0"/>
      <w:divBdr>
        <w:top w:val="none" w:sz="0" w:space="0" w:color="auto"/>
        <w:left w:val="none" w:sz="0" w:space="0" w:color="auto"/>
        <w:bottom w:val="none" w:sz="0" w:space="0" w:color="auto"/>
        <w:right w:val="none" w:sz="0" w:space="0" w:color="auto"/>
      </w:divBdr>
    </w:div>
    <w:div w:id="641275407">
      <w:bodyDiv w:val="1"/>
      <w:marLeft w:val="0"/>
      <w:marRight w:val="0"/>
      <w:marTop w:val="0"/>
      <w:marBottom w:val="0"/>
      <w:divBdr>
        <w:top w:val="none" w:sz="0" w:space="0" w:color="auto"/>
        <w:left w:val="none" w:sz="0" w:space="0" w:color="auto"/>
        <w:bottom w:val="none" w:sz="0" w:space="0" w:color="auto"/>
        <w:right w:val="none" w:sz="0" w:space="0" w:color="auto"/>
      </w:divBdr>
    </w:div>
    <w:div w:id="641429109">
      <w:bodyDiv w:val="1"/>
      <w:marLeft w:val="0"/>
      <w:marRight w:val="0"/>
      <w:marTop w:val="0"/>
      <w:marBottom w:val="0"/>
      <w:divBdr>
        <w:top w:val="none" w:sz="0" w:space="0" w:color="auto"/>
        <w:left w:val="none" w:sz="0" w:space="0" w:color="auto"/>
        <w:bottom w:val="none" w:sz="0" w:space="0" w:color="auto"/>
        <w:right w:val="none" w:sz="0" w:space="0" w:color="auto"/>
      </w:divBdr>
    </w:div>
    <w:div w:id="641469992">
      <w:bodyDiv w:val="1"/>
      <w:marLeft w:val="0"/>
      <w:marRight w:val="0"/>
      <w:marTop w:val="0"/>
      <w:marBottom w:val="0"/>
      <w:divBdr>
        <w:top w:val="none" w:sz="0" w:space="0" w:color="auto"/>
        <w:left w:val="none" w:sz="0" w:space="0" w:color="auto"/>
        <w:bottom w:val="none" w:sz="0" w:space="0" w:color="auto"/>
        <w:right w:val="none" w:sz="0" w:space="0" w:color="auto"/>
      </w:divBdr>
    </w:div>
    <w:div w:id="641622495">
      <w:bodyDiv w:val="1"/>
      <w:marLeft w:val="0"/>
      <w:marRight w:val="0"/>
      <w:marTop w:val="0"/>
      <w:marBottom w:val="0"/>
      <w:divBdr>
        <w:top w:val="none" w:sz="0" w:space="0" w:color="auto"/>
        <w:left w:val="none" w:sz="0" w:space="0" w:color="auto"/>
        <w:bottom w:val="none" w:sz="0" w:space="0" w:color="auto"/>
        <w:right w:val="none" w:sz="0" w:space="0" w:color="auto"/>
      </w:divBdr>
    </w:div>
    <w:div w:id="641665485">
      <w:bodyDiv w:val="1"/>
      <w:marLeft w:val="0"/>
      <w:marRight w:val="0"/>
      <w:marTop w:val="0"/>
      <w:marBottom w:val="0"/>
      <w:divBdr>
        <w:top w:val="none" w:sz="0" w:space="0" w:color="auto"/>
        <w:left w:val="none" w:sz="0" w:space="0" w:color="auto"/>
        <w:bottom w:val="none" w:sz="0" w:space="0" w:color="auto"/>
        <w:right w:val="none" w:sz="0" w:space="0" w:color="auto"/>
      </w:divBdr>
    </w:div>
    <w:div w:id="641690450">
      <w:bodyDiv w:val="1"/>
      <w:marLeft w:val="0"/>
      <w:marRight w:val="0"/>
      <w:marTop w:val="0"/>
      <w:marBottom w:val="0"/>
      <w:divBdr>
        <w:top w:val="none" w:sz="0" w:space="0" w:color="auto"/>
        <w:left w:val="none" w:sz="0" w:space="0" w:color="auto"/>
        <w:bottom w:val="none" w:sz="0" w:space="0" w:color="auto"/>
        <w:right w:val="none" w:sz="0" w:space="0" w:color="auto"/>
      </w:divBdr>
    </w:div>
    <w:div w:id="641693867">
      <w:bodyDiv w:val="1"/>
      <w:marLeft w:val="0"/>
      <w:marRight w:val="0"/>
      <w:marTop w:val="0"/>
      <w:marBottom w:val="0"/>
      <w:divBdr>
        <w:top w:val="none" w:sz="0" w:space="0" w:color="auto"/>
        <w:left w:val="none" w:sz="0" w:space="0" w:color="auto"/>
        <w:bottom w:val="none" w:sz="0" w:space="0" w:color="auto"/>
        <w:right w:val="none" w:sz="0" w:space="0" w:color="auto"/>
      </w:divBdr>
    </w:div>
    <w:div w:id="641732450">
      <w:bodyDiv w:val="1"/>
      <w:marLeft w:val="0"/>
      <w:marRight w:val="0"/>
      <w:marTop w:val="0"/>
      <w:marBottom w:val="0"/>
      <w:divBdr>
        <w:top w:val="none" w:sz="0" w:space="0" w:color="auto"/>
        <w:left w:val="none" w:sz="0" w:space="0" w:color="auto"/>
        <w:bottom w:val="none" w:sz="0" w:space="0" w:color="auto"/>
        <w:right w:val="none" w:sz="0" w:space="0" w:color="auto"/>
      </w:divBdr>
    </w:div>
    <w:div w:id="641809374">
      <w:bodyDiv w:val="1"/>
      <w:marLeft w:val="0"/>
      <w:marRight w:val="0"/>
      <w:marTop w:val="0"/>
      <w:marBottom w:val="0"/>
      <w:divBdr>
        <w:top w:val="none" w:sz="0" w:space="0" w:color="auto"/>
        <w:left w:val="none" w:sz="0" w:space="0" w:color="auto"/>
        <w:bottom w:val="none" w:sz="0" w:space="0" w:color="auto"/>
        <w:right w:val="none" w:sz="0" w:space="0" w:color="auto"/>
      </w:divBdr>
    </w:div>
    <w:div w:id="641816695">
      <w:bodyDiv w:val="1"/>
      <w:marLeft w:val="0"/>
      <w:marRight w:val="0"/>
      <w:marTop w:val="0"/>
      <w:marBottom w:val="0"/>
      <w:divBdr>
        <w:top w:val="none" w:sz="0" w:space="0" w:color="auto"/>
        <w:left w:val="none" w:sz="0" w:space="0" w:color="auto"/>
        <w:bottom w:val="none" w:sz="0" w:space="0" w:color="auto"/>
        <w:right w:val="none" w:sz="0" w:space="0" w:color="auto"/>
      </w:divBdr>
    </w:div>
    <w:div w:id="641887973">
      <w:bodyDiv w:val="1"/>
      <w:marLeft w:val="0"/>
      <w:marRight w:val="0"/>
      <w:marTop w:val="0"/>
      <w:marBottom w:val="0"/>
      <w:divBdr>
        <w:top w:val="none" w:sz="0" w:space="0" w:color="auto"/>
        <w:left w:val="none" w:sz="0" w:space="0" w:color="auto"/>
        <w:bottom w:val="none" w:sz="0" w:space="0" w:color="auto"/>
        <w:right w:val="none" w:sz="0" w:space="0" w:color="auto"/>
      </w:divBdr>
    </w:div>
    <w:div w:id="641933413">
      <w:bodyDiv w:val="1"/>
      <w:marLeft w:val="0"/>
      <w:marRight w:val="0"/>
      <w:marTop w:val="0"/>
      <w:marBottom w:val="0"/>
      <w:divBdr>
        <w:top w:val="none" w:sz="0" w:space="0" w:color="auto"/>
        <w:left w:val="none" w:sz="0" w:space="0" w:color="auto"/>
        <w:bottom w:val="none" w:sz="0" w:space="0" w:color="auto"/>
        <w:right w:val="none" w:sz="0" w:space="0" w:color="auto"/>
      </w:divBdr>
    </w:div>
    <w:div w:id="642085009">
      <w:bodyDiv w:val="1"/>
      <w:marLeft w:val="0"/>
      <w:marRight w:val="0"/>
      <w:marTop w:val="0"/>
      <w:marBottom w:val="0"/>
      <w:divBdr>
        <w:top w:val="none" w:sz="0" w:space="0" w:color="auto"/>
        <w:left w:val="none" w:sz="0" w:space="0" w:color="auto"/>
        <w:bottom w:val="none" w:sz="0" w:space="0" w:color="auto"/>
        <w:right w:val="none" w:sz="0" w:space="0" w:color="auto"/>
      </w:divBdr>
    </w:div>
    <w:div w:id="642123898">
      <w:bodyDiv w:val="1"/>
      <w:marLeft w:val="0"/>
      <w:marRight w:val="0"/>
      <w:marTop w:val="0"/>
      <w:marBottom w:val="0"/>
      <w:divBdr>
        <w:top w:val="none" w:sz="0" w:space="0" w:color="auto"/>
        <w:left w:val="none" w:sz="0" w:space="0" w:color="auto"/>
        <w:bottom w:val="none" w:sz="0" w:space="0" w:color="auto"/>
        <w:right w:val="none" w:sz="0" w:space="0" w:color="auto"/>
      </w:divBdr>
    </w:div>
    <w:div w:id="642153751">
      <w:bodyDiv w:val="1"/>
      <w:marLeft w:val="0"/>
      <w:marRight w:val="0"/>
      <w:marTop w:val="0"/>
      <w:marBottom w:val="0"/>
      <w:divBdr>
        <w:top w:val="none" w:sz="0" w:space="0" w:color="auto"/>
        <w:left w:val="none" w:sz="0" w:space="0" w:color="auto"/>
        <w:bottom w:val="none" w:sz="0" w:space="0" w:color="auto"/>
        <w:right w:val="none" w:sz="0" w:space="0" w:color="auto"/>
      </w:divBdr>
    </w:div>
    <w:div w:id="642201063">
      <w:bodyDiv w:val="1"/>
      <w:marLeft w:val="0"/>
      <w:marRight w:val="0"/>
      <w:marTop w:val="0"/>
      <w:marBottom w:val="0"/>
      <w:divBdr>
        <w:top w:val="none" w:sz="0" w:space="0" w:color="auto"/>
        <w:left w:val="none" w:sz="0" w:space="0" w:color="auto"/>
        <w:bottom w:val="none" w:sz="0" w:space="0" w:color="auto"/>
        <w:right w:val="none" w:sz="0" w:space="0" w:color="auto"/>
      </w:divBdr>
    </w:div>
    <w:div w:id="642272824">
      <w:bodyDiv w:val="1"/>
      <w:marLeft w:val="0"/>
      <w:marRight w:val="0"/>
      <w:marTop w:val="0"/>
      <w:marBottom w:val="0"/>
      <w:divBdr>
        <w:top w:val="none" w:sz="0" w:space="0" w:color="auto"/>
        <w:left w:val="none" w:sz="0" w:space="0" w:color="auto"/>
        <w:bottom w:val="none" w:sz="0" w:space="0" w:color="auto"/>
        <w:right w:val="none" w:sz="0" w:space="0" w:color="auto"/>
      </w:divBdr>
    </w:div>
    <w:div w:id="642345872">
      <w:bodyDiv w:val="1"/>
      <w:marLeft w:val="0"/>
      <w:marRight w:val="0"/>
      <w:marTop w:val="0"/>
      <w:marBottom w:val="0"/>
      <w:divBdr>
        <w:top w:val="none" w:sz="0" w:space="0" w:color="auto"/>
        <w:left w:val="none" w:sz="0" w:space="0" w:color="auto"/>
        <w:bottom w:val="none" w:sz="0" w:space="0" w:color="auto"/>
        <w:right w:val="none" w:sz="0" w:space="0" w:color="auto"/>
      </w:divBdr>
    </w:div>
    <w:div w:id="642347554">
      <w:bodyDiv w:val="1"/>
      <w:marLeft w:val="0"/>
      <w:marRight w:val="0"/>
      <w:marTop w:val="0"/>
      <w:marBottom w:val="0"/>
      <w:divBdr>
        <w:top w:val="none" w:sz="0" w:space="0" w:color="auto"/>
        <w:left w:val="none" w:sz="0" w:space="0" w:color="auto"/>
        <w:bottom w:val="none" w:sz="0" w:space="0" w:color="auto"/>
        <w:right w:val="none" w:sz="0" w:space="0" w:color="auto"/>
      </w:divBdr>
    </w:div>
    <w:div w:id="642349292">
      <w:bodyDiv w:val="1"/>
      <w:marLeft w:val="0"/>
      <w:marRight w:val="0"/>
      <w:marTop w:val="0"/>
      <w:marBottom w:val="0"/>
      <w:divBdr>
        <w:top w:val="none" w:sz="0" w:space="0" w:color="auto"/>
        <w:left w:val="none" w:sz="0" w:space="0" w:color="auto"/>
        <w:bottom w:val="none" w:sz="0" w:space="0" w:color="auto"/>
        <w:right w:val="none" w:sz="0" w:space="0" w:color="auto"/>
      </w:divBdr>
    </w:div>
    <w:div w:id="642394077">
      <w:bodyDiv w:val="1"/>
      <w:marLeft w:val="0"/>
      <w:marRight w:val="0"/>
      <w:marTop w:val="0"/>
      <w:marBottom w:val="0"/>
      <w:divBdr>
        <w:top w:val="none" w:sz="0" w:space="0" w:color="auto"/>
        <w:left w:val="none" w:sz="0" w:space="0" w:color="auto"/>
        <w:bottom w:val="none" w:sz="0" w:space="0" w:color="auto"/>
        <w:right w:val="none" w:sz="0" w:space="0" w:color="auto"/>
      </w:divBdr>
    </w:div>
    <w:div w:id="642465127">
      <w:bodyDiv w:val="1"/>
      <w:marLeft w:val="0"/>
      <w:marRight w:val="0"/>
      <w:marTop w:val="0"/>
      <w:marBottom w:val="0"/>
      <w:divBdr>
        <w:top w:val="none" w:sz="0" w:space="0" w:color="auto"/>
        <w:left w:val="none" w:sz="0" w:space="0" w:color="auto"/>
        <w:bottom w:val="none" w:sz="0" w:space="0" w:color="auto"/>
        <w:right w:val="none" w:sz="0" w:space="0" w:color="auto"/>
      </w:divBdr>
    </w:div>
    <w:div w:id="642538408">
      <w:bodyDiv w:val="1"/>
      <w:marLeft w:val="0"/>
      <w:marRight w:val="0"/>
      <w:marTop w:val="0"/>
      <w:marBottom w:val="0"/>
      <w:divBdr>
        <w:top w:val="none" w:sz="0" w:space="0" w:color="auto"/>
        <w:left w:val="none" w:sz="0" w:space="0" w:color="auto"/>
        <w:bottom w:val="none" w:sz="0" w:space="0" w:color="auto"/>
        <w:right w:val="none" w:sz="0" w:space="0" w:color="auto"/>
      </w:divBdr>
    </w:div>
    <w:div w:id="642544578">
      <w:bodyDiv w:val="1"/>
      <w:marLeft w:val="0"/>
      <w:marRight w:val="0"/>
      <w:marTop w:val="0"/>
      <w:marBottom w:val="0"/>
      <w:divBdr>
        <w:top w:val="none" w:sz="0" w:space="0" w:color="auto"/>
        <w:left w:val="none" w:sz="0" w:space="0" w:color="auto"/>
        <w:bottom w:val="none" w:sz="0" w:space="0" w:color="auto"/>
        <w:right w:val="none" w:sz="0" w:space="0" w:color="auto"/>
      </w:divBdr>
    </w:div>
    <w:div w:id="642546388">
      <w:bodyDiv w:val="1"/>
      <w:marLeft w:val="0"/>
      <w:marRight w:val="0"/>
      <w:marTop w:val="0"/>
      <w:marBottom w:val="0"/>
      <w:divBdr>
        <w:top w:val="none" w:sz="0" w:space="0" w:color="auto"/>
        <w:left w:val="none" w:sz="0" w:space="0" w:color="auto"/>
        <w:bottom w:val="none" w:sz="0" w:space="0" w:color="auto"/>
        <w:right w:val="none" w:sz="0" w:space="0" w:color="auto"/>
      </w:divBdr>
    </w:div>
    <w:div w:id="642852912">
      <w:bodyDiv w:val="1"/>
      <w:marLeft w:val="0"/>
      <w:marRight w:val="0"/>
      <w:marTop w:val="0"/>
      <w:marBottom w:val="0"/>
      <w:divBdr>
        <w:top w:val="none" w:sz="0" w:space="0" w:color="auto"/>
        <w:left w:val="none" w:sz="0" w:space="0" w:color="auto"/>
        <w:bottom w:val="none" w:sz="0" w:space="0" w:color="auto"/>
        <w:right w:val="none" w:sz="0" w:space="0" w:color="auto"/>
      </w:divBdr>
    </w:div>
    <w:div w:id="642857993">
      <w:bodyDiv w:val="1"/>
      <w:marLeft w:val="0"/>
      <w:marRight w:val="0"/>
      <w:marTop w:val="0"/>
      <w:marBottom w:val="0"/>
      <w:divBdr>
        <w:top w:val="none" w:sz="0" w:space="0" w:color="auto"/>
        <w:left w:val="none" w:sz="0" w:space="0" w:color="auto"/>
        <w:bottom w:val="none" w:sz="0" w:space="0" w:color="auto"/>
        <w:right w:val="none" w:sz="0" w:space="0" w:color="auto"/>
      </w:divBdr>
    </w:div>
    <w:div w:id="642930444">
      <w:bodyDiv w:val="1"/>
      <w:marLeft w:val="0"/>
      <w:marRight w:val="0"/>
      <w:marTop w:val="0"/>
      <w:marBottom w:val="0"/>
      <w:divBdr>
        <w:top w:val="none" w:sz="0" w:space="0" w:color="auto"/>
        <w:left w:val="none" w:sz="0" w:space="0" w:color="auto"/>
        <w:bottom w:val="none" w:sz="0" w:space="0" w:color="auto"/>
        <w:right w:val="none" w:sz="0" w:space="0" w:color="auto"/>
      </w:divBdr>
    </w:div>
    <w:div w:id="643002470">
      <w:bodyDiv w:val="1"/>
      <w:marLeft w:val="0"/>
      <w:marRight w:val="0"/>
      <w:marTop w:val="0"/>
      <w:marBottom w:val="0"/>
      <w:divBdr>
        <w:top w:val="none" w:sz="0" w:space="0" w:color="auto"/>
        <w:left w:val="none" w:sz="0" w:space="0" w:color="auto"/>
        <w:bottom w:val="none" w:sz="0" w:space="0" w:color="auto"/>
        <w:right w:val="none" w:sz="0" w:space="0" w:color="auto"/>
      </w:divBdr>
    </w:div>
    <w:div w:id="643044634">
      <w:bodyDiv w:val="1"/>
      <w:marLeft w:val="0"/>
      <w:marRight w:val="0"/>
      <w:marTop w:val="0"/>
      <w:marBottom w:val="0"/>
      <w:divBdr>
        <w:top w:val="none" w:sz="0" w:space="0" w:color="auto"/>
        <w:left w:val="none" w:sz="0" w:space="0" w:color="auto"/>
        <w:bottom w:val="none" w:sz="0" w:space="0" w:color="auto"/>
        <w:right w:val="none" w:sz="0" w:space="0" w:color="auto"/>
      </w:divBdr>
    </w:div>
    <w:div w:id="643119612">
      <w:bodyDiv w:val="1"/>
      <w:marLeft w:val="0"/>
      <w:marRight w:val="0"/>
      <w:marTop w:val="0"/>
      <w:marBottom w:val="0"/>
      <w:divBdr>
        <w:top w:val="none" w:sz="0" w:space="0" w:color="auto"/>
        <w:left w:val="none" w:sz="0" w:space="0" w:color="auto"/>
        <w:bottom w:val="none" w:sz="0" w:space="0" w:color="auto"/>
        <w:right w:val="none" w:sz="0" w:space="0" w:color="auto"/>
      </w:divBdr>
    </w:div>
    <w:div w:id="643124298">
      <w:bodyDiv w:val="1"/>
      <w:marLeft w:val="0"/>
      <w:marRight w:val="0"/>
      <w:marTop w:val="0"/>
      <w:marBottom w:val="0"/>
      <w:divBdr>
        <w:top w:val="none" w:sz="0" w:space="0" w:color="auto"/>
        <w:left w:val="none" w:sz="0" w:space="0" w:color="auto"/>
        <w:bottom w:val="none" w:sz="0" w:space="0" w:color="auto"/>
        <w:right w:val="none" w:sz="0" w:space="0" w:color="auto"/>
      </w:divBdr>
    </w:div>
    <w:div w:id="643127012">
      <w:bodyDiv w:val="1"/>
      <w:marLeft w:val="0"/>
      <w:marRight w:val="0"/>
      <w:marTop w:val="0"/>
      <w:marBottom w:val="0"/>
      <w:divBdr>
        <w:top w:val="none" w:sz="0" w:space="0" w:color="auto"/>
        <w:left w:val="none" w:sz="0" w:space="0" w:color="auto"/>
        <w:bottom w:val="none" w:sz="0" w:space="0" w:color="auto"/>
        <w:right w:val="none" w:sz="0" w:space="0" w:color="auto"/>
      </w:divBdr>
    </w:div>
    <w:div w:id="643201947">
      <w:bodyDiv w:val="1"/>
      <w:marLeft w:val="0"/>
      <w:marRight w:val="0"/>
      <w:marTop w:val="0"/>
      <w:marBottom w:val="0"/>
      <w:divBdr>
        <w:top w:val="none" w:sz="0" w:space="0" w:color="auto"/>
        <w:left w:val="none" w:sz="0" w:space="0" w:color="auto"/>
        <w:bottom w:val="none" w:sz="0" w:space="0" w:color="auto"/>
        <w:right w:val="none" w:sz="0" w:space="0" w:color="auto"/>
      </w:divBdr>
    </w:div>
    <w:div w:id="643314797">
      <w:bodyDiv w:val="1"/>
      <w:marLeft w:val="0"/>
      <w:marRight w:val="0"/>
      <w:marTop w:val="0"/>
      <w:marBottom w:val="0"/>
      <w:divBdr>
        <w:top w:val="none" w:sz="0" w:space="0" w:color="auto"/>
        <w:left w:val="none" w:sz="0" w:space="0" w:color="auto"/>
        <w:bottom w:val="none" w:sz="0" w:space="0" w:color="auto"/>
        <w:right w:val="none" w:sz="0" w:space="0" w:color="auto"/>
      </w:divBdr>
    </w:div>
    <w:div w:id="643391181">
      <w:bodyDiv w:val="1"/>
      <w:marLeft w:val="0"/>
      <w:marRight w:val="0"/>
      <w:marTop w:val="0"/>
      <w:marBottom w:val="0"/>
      <w:divBdr>
        <w:top w:val="none" w:sz="0" w:space="0" w:color="auto"/>
        <w:left w:val="none" w:sz="0" w:space="0" w:color="auto"/>
        <w:bottom w:val="none" w:sz="0" w:space="0" w:color="auto"/>
        <w:right w:val="none" w:sz="0" w:space="0" w:color="auto"/>
      </w:divBdr>
    </w:div>
    <w:div w:id="643434269">
      <w:bodyDiv w:val="1"/>
      <w:marLeft w:val="0"/>
      <w:marRight w:val="0"/>
      <w:marTop w:val="0"/>
      <w:marBottom w:val="0"/>
      <w:divBdr>
        <w:top w:val="none" w:sz="0" w:space="0" w:color="auto"/>
        <w:left w:val="none" w:sz="0" w:space="0" w:color="auto"/>
        <w:bottom w:val="none" w:sz="0" w:space="0" w:color="auto"/>
        <w:right w:val="none" w:sz="0" w:space="0" w:color="auto"/>
      </w:divBdr>
    </w:div>
    <w:div w:id="643504096">
      <w:bodyDiv w:val="1"/>
      <w:marLeft w:val="0"/>
      <w:marRight w:val="0"/>
      <w:marTop w:val="0"/>
      <w:marBottom w:val="0"/>
      <w:divBdr>
        <w:top w:val="none" w:sz="0" w:space="0" w:color="auto"/>
        <w:left w:val="none" w:sz="0" w:space="0" w:color="auto"/>
        <w:bottom w:val="none" w:sz="0" w:space="0" w:color="auto"/>
        <w:right w:val="none" w:sz="0" w:space="0" w:color="auto"/>
      </w:divBdr>
    </w:div>
    <w:div w:id="643511526">
      <w:bodyDiv w:val="1"/>
      <w:marLeft w:val="0"/>
      <w:marRight w:val="0"/>
      <w:marTop w:val="0"/>
      <w:marBottom w:val="0"/>
      <w:divBdr>
        <w:top w:val="none" w:sz="0" w:space="0" w:color="auto"/>
        <w:left w:val="none" w:sz="0" w:space="0" w:color="auto"/>
        <w:bottom w:val="none" w:sz="0" w:space="0" w:color="auto"/>
        <w:right w:val="none" w:sz="0" w:space="0" w:color="auto"/>
      </w:divBdr>
    </w:div>
    <w:div w:id="643698685">
      <w:bodyDiv w:val="1"/>
      <w:marLeft w:val="0"/>
      <w:marRight w:val="0"/>
      <w:marTop w:val="0"/>
      <w:marBottom w:val="0"/>
      <w:divBdr>
        <w:top w:val="none" w:sz="0" w:space="0" w:color="auto"/>
        <w:left w:val="none" w:sz="0" w:space="0" w:color="auto"/>
        <w:bottom w:val="none" w:sz="0" w:space="0" w:color="auto"/>
        <w:right w:val="none" w:sz="0" w:space="0" w:color="auto"/>
      </w:divBdr>
    </w:div>
    <w:div w:id="643701754">
      <w:bodyDiv w:val="1"/>
      <w:marLeft w:val="0"/>
      <w:marRight w:val="0"/>
      <w:marTop w:val="0"/>
      <w:marBottom w:val="0"/>
      <w:divBdr>
        <w:top w:val="none" w:sz="0" w:space="0" w:color="auto"/>
        <w:left w:val="none" w:sz="0" w:space="0" w:color="auto"/>
        <w:bottom w:val="none" w:sz="0" w:space="0" w:color="auto"/>
        <w:right w:val="none" w:sz="0" w:space="0" w:color="auto"/>
      </w:divBdr>
    </w:div>
    <w:div w:id="643852328">
      <w:bodyDiv w:val="1"/>
      <w:marLeft w:val="0"/>
      <w:marRight w:val="0"/>
      <w:marTop w:val="0"/>
      <w:marBottom w:val="0"/>
      <w:divBdr>
        <w:top w:val="none" w:sz="0" w:space="0" w:color="auto"/>
        <w:left w:val="none" w:sz="0" w:space="0" w:color="auto"/>
        <w:bottom w:val="none" w:sz="0" w:space="0" w:color="auto"/>
        <w:right w:val="none" w:sz="0" w:space="0" w:color="auto"/>
      </w:divBdr>
    </w:div>
    <w:div w:id="643892289">
      <w:bodyDiv w:val="1"/>
      <w:marLeft w:val="0"/>
      <w:marRight w:val="0"/>
      <w:marTop w:val="0"/>
      <w:marBottom w:val="0"/>
      <w:divBdr>
        <w:top w:val="none" w:sz="0" w:space="0" w:color="auto"/>
        <w:left w:val="none" w:sz="0" w:space="0" w:color="auto"/>
        <w:bottom w:val="none" w:sz="0" w:space="0" w:color="auto"/>
        <w:right w:val="none" w:sz="0" w:space="0" w:color="auto"/>
      </w:divBdr>
    </w:div>
    <w:div w:id="643900222">
      <w:bodyDiv w:val="1"/>
      <w:marLeft w:val="0"/>
      <w:marRight w:val="0"/>
      <w:marTop w:val="0"/>
      <w:marBottom w:val="0"/>
      <w:divBdr>
        <w:top w:val="none" w:sz="0" w:space="0" w:color="auto"/>
        <w:left w:val="none" w:sz="0" w:space="0" w:color="auto"/>
        <w:bottom w:val="none" w:sz="0" w:space="0" w:color="auto"/>
        <w:right w:val="none" w:sz="0" w:space="0" w:color="auto"/>
      </w:divBdr>
    </w:div>
    <w:div w:id="644048922">
      <w:bodyDiv w:val="1"/>
      <w:marLeft w:val="0"/>
      <w:marRight w:val="0"/>
      <w:marTop w:val="0"/>
      <w:marBottom w:val="0"/>
      <w:divBdr>
        <w:top w:val="none" w:sz="0" w:space="0" w:color="auto"/>
        <w:left w:val="none" w:sz="0" w:space="0" w:color="auto"/>
        <w:bottom w:val="none" w:sz="0" w:space="0" w:color="auto"/>
        <w:right w:val="none" w:sz="0" w:space="0" w:color="auto"/>
      </w:divBdr>
    </w:div>
    <w:div w:id="644091746">
      <w:bodyDiv w:val="1"/>
      <w:marLeft w:val="0"/>
      <w:marRight w:val="0"/>
      <w:marTop w:val="0"/>
      <w:marBottom w:val="0"/>
      <w:divBdr>
        <w:top w:val="none" w:sz="0" w:space="0" w:color="auto"/>
        <w:left w:val="none" w:sz="0" w:space="0" w:color="auto"/>
        <w:bottom w:val="none" w:sz="0" w:space="0" w:color="auto"/>
        <w:right w:val="none" w:sz="0" w:space="0" w:color="auto"/>
      </w:divBdr>
    </w:div>
    <w:div w:id="644119277">
      <w:bodyDiv w:val="1"/>
      <w:marLeft w:val="0"/>
      <w:marRight w:val="0"/>
      <w:marTop w:val="0"/>
      <w:marBottom w:val="0"/>
      <w:divBdr>
        <w:top w:val="none" w:sz="0" w:space="0" w:color="auto"/>
        <w:left w:val="none" w:sz="0" w:space="0" w:color="auto"/>
        <w:bottom w:val="none" w:sz="0" w:space="0" w:color="auto"/>
        <w:right w:val="none" w:sz="0" w:space="0" w:color="auto"/>
      </w:divBdr>
    </w:div>
    <w:div w:id="644236028">
      <w:bodyDiv w:val="1"/>
      <w:marLeft w:val="0"/>
      <w:marRight w:val="0"/>
      <w:marTop w:val="0"/>
      <w:marBottom w:val="0"/>
      <w:divBdr>
        <w:top w:val="none" w:sz="0" w:space="0" w:color="auto"/>
        <w:left w:val="none" w:sz="0" w:space="0" w:color="auto"/>
        <w:bottom w:val="none" w:sz="0" w:space="0" w:color="auto"/>
        <w:right w:val="none" w:sz="0" w:space="0" w:color="auto"/>
      </w:divBdr>
    </w:div>
    <w:div w:id="644240322">
      <w:bodyDiv w:val="1"/>
      <w:marLeft w:val="0"/>
      <w:marRight w:val="0"/>
      <w:marTop w:val="0"/>
      <w:marBottom w:val="0"/>
      <w:divBdr>
        <w:top w:val="none" w:sz="0" w:space="0" w:color="auto"/>
        <w:left w:val="none" w:sz="0" w:space="0" w:color="auto"/>
        <w:bottom w:val="none" w:sz="0" w:space="0" w:color="auto"/>
        <w:right w:val="none" w:sz="0" w:space="0" w:color="auto"/>
      </w:divBdr>
    </w:div>
    <w:div w:id="644433479">
      <w:bodyDiv w:val="1"/>
      <w:marLeft w:val="0"/>
      <w:marRight w:val="0"/>
      <w:marTop w:val="0"/>
      <w:marBottom w:val="0"/>
      <w:divBdr>
        <w:top w:val="none" w:sz="0" w:space="0" w:color="auto"/>
        <w:left w:val="none" w:sz="0" w:space="0" w:color="auto"/>
        <w:bottom w:val="none" w:sz="0" w:space="0" w:color="auto"/>
        <w:right w:val="none" w:sz="0" w:space="0" w:color="auto"/>
      </w:divBdr>
    </w:div>
    <w:div w:id="644505332">
      <w:bodyDiv w:val="1"/>
      <w:marLeft w:val="0"/>
      <w:marRight w:val="0"/>
      <w:marTop w:val="0"/>
      <w:marBottom w:val="0"/>
      <w:divBdr>
        <w:top w:val="none" w:sz="0" w:space="0" w:color="auto"/>
        <w:left w:val="none" w:sz="0" w:space="0" w:color="auto"/>
        <w:bottom w:val="none" w:sz="0" w:space="0" w:color="auto"/>
        <w:right w:val="none" w:sz="0" w:space="0" w:color="auto"/>
      </w:divBdr>
    </w:div>
    <w:div w:id="644546685">
      <w:bodyDiv w:val="1"/>
      <w:marLeft w:val="0"/>
      <w:marRight w:val="0"/>
      <w:marTop w:val="0"/>
      <w:marBottom w:val="0"/>
      <w:divBdr>
        <w:top w:val="none" w:sz="0" w:space="0" w:color="auto"/>
        <w:left w:val="none" w:sz="0" w:space="0" w:color="auto"/>
        <w:bottom w:val="none" w:sz="0" w:space="0" w:color="auto"/>
        <w:right w:val="none" w:sz="0" w:space="0" w:color="auto"/>
      </w:divBdr>
    </w:div>
    <w:div w:id="644622098">
      <w:bodyDiv w:val="1"/>
      <w:marLeft w:val="0"/>
      <w:marRight w:val="0"/>
      <w:marTop w:val="0"/>
      <w:marBottom w:val="0"/>
      <w:divBdr>
        <w:top w:val="none" w:sz="0" w:space="0" w:color="auto"/>
        <w:left w:val="none" w:sz="0" w:space="0" w:color="auto"/>
        <w:bottom w:val="none" w:sz="0" w:space="0" w:color="auto"/>
        <w:right w:val="none" w:sz="0" w:space="0" w:color="auto"/>
      </w:divBdr>
    </w:div>
    <w:div w:id="644891295">
      <w:bodyDiv w:val="1"/>
      <w:marLeft w:val="0"/>
      <w:marRight w:val="0"/>
      <w:marTop w:val="0"/>
      <w:marBottom w:val="0"/>
      <w:divBdr>
        <w:top w:val="none" w:sz="0" w:space="0" w:color="auto"/>
        <w:left w:val="none" w:sz="0" w:space="0" w:color="auto"/>
        <w:bottom w:val="none" w:sz="0" w:space="0" w:color="auto"/>
        <w:right w:val="none" w:sz="0" w:space="0" w:color="auto"/>
      </w:divBdr>
    </w:div>
    <w:div w:id="644969696">
      <w:bodyDiv w:val="1"/>
      <w:marLeft w:val="0"/>
      <w:marRight w:val="0"/>
      <w:marTop w:val="0"/>
      <w:marBottom w:val="0"/>
      <w:divBdr>
        <w:top w:val="none" w:sz="0" w:space="0" w:color="auto"/>
        <w:left w:val="none" w:sz="0" w:space="0" w:color="auto"/>
        <w:bottom w:val="none" w:sz="0" w:space="0" w:color="auto"/>
        <w:right w:val="none" w:sz="0" w:space="0" w:color="auto"/>
      </w:divBdr>
    </w:div>
    <w:div w:id="645084915">
      <w:bodyDiv w:val="1"/>
      <w:marLeft w:val="0"/>
      <w:marRight w:val="0"/>
      <w:marTop w:val="0"/>
      <w:marBottom w:val="0"/>
      <w:divBdr>
        <w:top w:val="none" w:sz="0" w:space="0" w:color="auto"/>
        <w:left w:val="none" w:sz="0" w:space="0" w:color="auto"/>
        <w:bottom w:val="none" w:sz="0" w:space="0" w:color="auto"/>
        <w:right w:val="none" w:sz="0" w:space="0" w:color="auto"/>
      </w:divBdr>
    </w:div>
    <w:div w:id="645163915">
      <w:bodyDiv w:val="1"/>
      <w:marLeft w:val="0"/>
      <w:marRight w:val="0"/>
      <w:marTop w:val="0"/>
      <w:marBottom w:val="0"/>
      <w:divBdr>
        <w:top w:val="none" w:sz="0" w:space="0" w:color="auto"/>
        <w:left w:val="none" w:sz="0" w:space="0" w:color="auto"/>
        <w:bottom w:val="none" w:sz="0" w:space="0" w:color="auto"/>
        <w:right w:val="none" w:sz="0" w:space="0" w:color="auto"/>
      </w:divBdr>
    </w:div>
    <w:div w:id="645279272">
      <w:bodyDiv w:val="1"/>
      <w:marLeft w:val="0"/>
      <w:marRight w:val="0"/>
      <w:marTop w:val="0"/>
      <w:marBottom w:val="0"/>
      <w:divBdr>
        <w:top w:val="none" w:sz="0" w:space="0" w:color="auto"/>
        <w:left w:val="none" w:sz="0" w:space="0" w:color="auto"/>
        <w:bottom w:val="none" w:sz="0" w:space="0" w:color="auto"/>
        <w:right w:val="none" w:sz="0" w:space="0" w:color="auto"/>
      </w:divBdr>
    </w:div>
    <w:div w:id="645355371">
      <w:bodyDiv w:val="1"/>
      <w:marLeft w:val="0"/>
      <w:marRight w:val="0"/>
      <w:marTop w:val="0"/>
      <w:marBottom w:val="0"/>
      <w:divBdr>
        <w:top w:val="none" w:sz="0" w:space="0" w:color="auto"/>
        <w:left w:val="none" w:sz="0" w:space="0" w:color="auto"/>
        <w:bottom w:val="none" w:sz="0" w:space="0" w:color="auto"/>
        <w:right w:val="none" w:sz="0" w:space="0" w:color="auto"/>
      </w:divBdr>
    </w:div>
    <w:div w:id="645400092">
      <w:bodyDiv w:val="1"/>
      <w:marLeft w:val="0"/>
      <w:marRight w:val="0"/>
      <w:marTop w:val="0"/>
      <w:marBottom w:val="0"/>
      <w:divBdr>
        <w:top w:val="none" w:sz="0" w:space="0" w:color="auto"/>
        <w:left w:val="none" w:sz="0" w:space="0" w:color="auto"/>
        <w:bottom w:val="none" w:sz="0" w:space="0" w:color="auto"/>
        <w:right w:val="none" w:sz="0" w:space="0" w:color="auto"/>
      </w:divBdr>
    </w:div>
    <w:div w:id="645549450">
      <w:bodyDiv w:val="1"/>
      <w:marLeft w:val="0"/>
      <w:marRight w:val="0"/>
      <w:marTop w:val="0"/>
      <w:marBottom w:val="0"/>
      <w:divBdr>
        <w:top w:val="none" w:sz="0" w:space="0" w:color="auto"/>
        <w:left w:val="none" w:sz="0" w:space="0" w:color="auto"/>
        <w:bottom w:val="none" w:sz="0" w:space="0" w:color="auto"/>
        <w:right w:val="none" w:sz="0" w:space="0" w:color="auto"/>
      </w:divBdr>
    </w:div>
    <w:div w:id="645550106">
      <w:bodyDiv w:val="1"/>
      <w:marLeft w:val="0"/>
      <w:marRight w:val="0"/>
      <w:marTop w:val="0"/>
      <w:marBottom w:val="0"/>
      <w:divBdr>
        <w:top w:val="none" w:sz="0" w:space="0" w:color="auto"/>
        <w:left w:val="none" w:sz="0" w:space="0" w:color="auto"/>
        <w:bottom w:val="none" w:sz="0" w:space="0" w:color="auto"/>
        <w:right w:val="none" w:sz="0" w:space="0" w:color="auto"/>
      </w:divBdr>
    </w:div>
    <w:div w:id="645550450">
      <w:bodyDiv w:val="1"/>
      <w:marLeft w:val="0"/>
      <w:marRight w:val="0"/>
      <w:marTop w:val="0"/>
      <w:marBottom w:val="0"/>
      <w:divBdr>
        <w:top w:val="none" w:sz="0" w:space="0" w:color="auto"/>
        <w:left w:val="none" w:sz="0" w:space="0" w:color="auto"/>
        <w:bottom w:val="none" w:sz="0" w:space="0" w:color="auto"/>
        <w:right w:val="none" w:sz="0" w:space="0" w:color="auto"/>
      </w:divBdr>
    </w:div>
    <w:div w:id="645553028">
      <w:bodyDiv w:val="1"/>
      <w:marLeft w:val="0"/>
      <w:marRight w:val="0"/>
      <w:marTop w:val="0"/>
      <w:marBottom w:val="0"/>
      <w:divBdr>
        <w:top w:val="none" w:sz="0" w:space="0" w:color="auto"/>
        <w:left w:val="none" w:sz="0" w:space="0" w:color="auto"/>
        <w:bottom w:val="none" w:sz="0" w:space="0" w:color="auto"/>
        <w:right w:val="none" w:sz="0" w:space="0" w:color="auto"/>
      </w:divBdr>
    </w:div>
    <w:div w:id="645554120">
      <w:bodyDiv w:val="1"/>
      <w:marLeft w:val="0"/>
      <w:marRight w:val="0"/>
      <w:marTop w:val="0"/>
      <w:marBottom w:val="0"/>
      <w:divBdr>
        <w:top w:val="none" w:sz="0" w:space="0" w:color="auto"/>
        <w:left w:val="none" w:sz="0" w:space="0" w:color="auto"/>
        <w:bottom w:val="none" w:sz="0" w:space="0" w:color="auto"/>
        <w:right w:val="none" w:sz="0" w:space="0" w:color="auto"/>
      </w:divBdr>
    </w:div>
    <w:div w:id="645747255">
      <w:bodyDiv w:val="1"/>
      <w:marLeft w:val="0"/>
      <w:marRight w:val="0"/>
      <w:marTop w:val="0"/>
      <w:marBottom w:val="0"/>
      <w:divBdr>
        <w:top w:val="none" w:sz="0" w:space="0" w:color="auto"/>
        <w:left w:val="none" w:sz="0" w:space="0" w:color="auto"/>
        <w:bottom w:val="none" w:sz="0" w:space="0" w:color="auto"/>
        <w:right w:val="none" w:sz="0" w:space="0" w:color="auto"/>
      </w:divBdr>
    </w:div>
    <w:div w:id="645823022">
      <w:bodyDiv w:val="1"/>
      <w:marLeft w:val="0"/>
      <w:marRight w:val="0"/>
      <w:marTop w:val="0"/>
      <w:marBottom w:val="0"/>
      <w:divBdr>
        <w:top w:val="none" w:sz="0" w:space="0" w:color="auto"/>
        <w:left w:val="none" w:sz="0" w:space="0" w:color="auto"/>
        <w:bottom w:val="none" w:sz="0" w:space="0" w:color="auto"/>
        <w:right w:val="none" w:sz="0" w:space="0" w:color="auto"/>
      </w:divBdr>
    </w:div>
    <w:div w:id="646055417">
      <w:bodyDiv w:val="1"/>
      <w:marLeft w:val="0"/>
      <w:marRight w:val="0"/>
      <w:marTop w:val="0"/>
      <w:marBottom w:val="0"/>
      <w:divBdr>
        <w:top w:val="none" w:sz="0" w:space="0" w:color="auto"/>
        <w:left w:val="none" w:sz="0" w:space="0" w:color="auto"/>
        <w:bottom w:val="none" w:sz="0" w:space="0" w:color="auto"/>
        <w:right w:val="none" w:sz="0" w:space="0" w:color="auto"/>
      </w:divBdr>
    </w:div>
    <w:div w:id="646059216">
      <w:bodyDiv w:val="1"/>
      <w:marLeft w:val="0"/>
      <w:marRight w:val="0"/>
      <w:marTop w:val="0"/>
      <w:marBottom w:val="0"/>
      <w:divBdr>
        <w:top w:val="none" w:sz="0" w:space="0" w:color="auto"/>
        <w:left w:val="none" w:sz="0" w:space="0" w:color="auto"/>
        <w:bottom w:val="none" w:sz="0" w:space="0" w:color="auto"/>
        <w:right w:val="none" w:sz="0" w:space="0" w:color="auto"/>
      </w:divBdr>
    </w:div>
    <w:div w:id="646278329">
      <w:bodyDiv w:val="1"/>
      <w:marLeft w:val="0"/>
      <w:marRight w:val="0"/>
      <w:marTop w:val="0"/>
      <w:marBottom w:val="0"/>
      <w:divBdr>
        <w:top w:val="none" w:sz="0" w:space="0" w:color="auto"/>
        <w:left w:val="none" w:sz="0" w:space="0" w:color="auto"/>
        <w:bottom w:val="none" w:sz="0" w:space="0" w:color="auto"/>
        <w:right w:val="none" w:sz="0" w:space="0" w:color="auto"/>
      </w:divBdr>
    </w:div>
    <w:div w:id="646325544">
      <w:bodyDiv w:val="1"/>
      <w:marLeft w:val="0"/>
      <w:marRight w:val="0"/>
      <w:marTop w:val="0"/>
      <w:marBottom w:val="0"/>
      <w:divBdr>
        <w:top w:val="none" w:sz="0" w:space="0" w:color="auto"/>
        <w:left w:val="none" w:sz="0" w:space="0" w:color="auto"/>
        <w:bottom w:val="none" w:sz="0" w:space="0" w:color="auto"/>
        <w:right w:val="none" w:sz="0" w:space="0" w:color="auto"/>
      </w:divBdr>
    </w:div>
    <w:div w:id="646397488">
      <w:bodyDiv w:val="1"/>
      <w:marLeft w:val="0"/>
      <w:marRight w:val="0"/>
      <w:marTop w:val="0"/>
      <w:marBottom w:val="0"/>
      <w:divBdr>
        <w:top w:val="none" w:sz="0" w:space="0" w:color="auto"/>
        <w:left w:val="none" w:sz="0" w:space="0" w:color="auto"/>
        <w:bottom w:val="none" w:sz="0" w:space="0" w:color="auto"/>
        <w:right w:val="none" w:sz="0" w:space="0" w:color="auto"/>
      </w:divBdr>
    </w:div>
    <w:div w:id="646400218">
      <w:bodyDiv w:val="1"/>
      <w:marLeft w:val="0"/>
      <w:marRight w:val="0"/>
      <w:marTop w:val="0"/>
      <w:marBottom w:val="0"/>
      <w:divBdr>
        <w:top w:val="none" w:sz="0" w:space="0" w:color="auto"/>
        <w:left w:val="none" w:sz="0" w:space="0" w:color="auto"/>
        <w:bottom w:val="none" w:sz="0" w:space="0" w:color="auto"/>
        <w:right w:val="none" w:sz="0" w:space="0" w:color="auto"/>
      </w:divBdr>
    </w:div>
    <w:div w:id="646473600">
      <w:bodyDiv w:val="1"/>
      <w:marLeft w:val="0"/>
      <w:marRight w:val="0"/>
      <w:marTop w:val="0"/>
      <w:marBottom w:val="0"/>
      <w:divBdr>
        <w:top w:val="none" w:sz="0" w:space="0" w:color="auto"/>
        <w:left w:val="none" w:sz="0" w:space="0" w:color="auto"/>
        <w:bottom w:val="none" w:sz="0" w:space="0" w:color="auto"/>
        <w:right w:val="none" w:sz="0" w:space="0" w:color="auto"/>
      </w:divBdr>
    </w:div>
    <w:div w:id="646595203">
      <w:bodyDiv w:val="1"/>
      <w:marLeft w:val="0"/>
      <w:marRight w:val="0"/>
      <w:marTop w:val="0"/>
      <w:marBottom w:val="0"/>
      <w:divBdr>
        <w:top w:val="none" w:sz="0" w:space="0" w:color="auto"/>
        <w:left w:val="none" w:sz="0" w:space="0" w:color="auto"/>
        <w:bottom w:val="none" w:sz="0" w:space="0" w:color="auto"/>
        <w:right w:val="none" w:sz="0" w:space="0" w:color="auto"/>
      </w:divBdr>
    </w:div>
    <w:div w:id="646664365">
      <w:bodyDiv w:val="1"/>
      <w:marLeft w:val="0"/>
      <w:marRight w:val="0"/>
      <w:marTop w:val="0"/>
      <w:marBottom w:val="0"/>
      <w:divBdr>
        <w:top w:val="none" w:sz="0" w:space="0" w:color="auto"/>
        <w:left w:val="none" w:sz="0" w:space="0" w:color="auto"/>
        <w:bottom w:val="none" w:sz="0" w:space="0" w:color="auto"/>
        <w:right w:val="none" w:sz="0" w:space="0" w:color="auto"/>
      </w:divBdr>
    </w:div>
    <w:div w:id="646712986">
      <w:bodyDiv w:val="1"/>
      <w:marLeft w:val="0"/>
      <w:marRight w:val="0"/>
      <w:marTop w:val="0"/>
      <w:marBottom w:val="0"/>
      <w:divBdr>
        <w:top w:val="none" w:sz="0" w:space="0" w:color="auto"/>
        <w:left w:val="none" w:sz="0" w:space="0" w:color="auto"/>
        <w:bottom w:val="none" w:sz="0" w:space="0" w:color="auto"/>
        <w:right w:val="none" w:sz="0" w:space="0" w:color="auto"/>
      </w:divBdr>
    </w:div>
    <w:div w:id="646860616">
      <w:bodyDiv w:val="1"/>
      <w:marLeft w:val="0"/>
      <w:marRight w:val="0"/>
      <w:marTop w:val="0"/>
      <w:marBottom w:val="0"/>
      <w:divBdr>
        <w:top w:val="none" w:sz="0" w:space="0" w:color="auto"/>
        <w:left w:val="none" w:sz="0" w:space="0" w:color="auto"/>
        <w:bottom w:val="none" w:sz="0" w:space="0" w:color="auto"/>
        <w:right w:val="none" w:sz="0" w:space="0" w:color="auto"/>
      </w:divBdr>
    </w:div>
    <w:div w:id="646979765">
      <w:bodyDiv w:val="1"/>
      <w:marLeft w:val="0"/>
      <w:marRight w:val="0"/>
      <w:marTop w:val="0"/>
      <w:marBottom w:val="0"/>
      <w:divBdr>
        <w:top w:val="none" w:sz="0" w:space="0" w:color="auto"/>
        <w:left w:val="none" w:sz="0" w:space="0" w:color="auto"/>
        <w:bottom w:val="none" w:sz="0" w:space="0" w:color="auto"/>
        <w:right w:val="none" w:sz="0" w:space="0" w:color="auto"/>
      </w:divBdr>
    </w:div>
    <w:div w:id="647054335">
      <w:bodyDiv w:val="1"/>
      <w:marLeft w:val="0"/>
      <w:marRight w:val="0"/>
      <w:marTop w:val="0"/>
      <w:marBottom w:val="0"/>
      <w:divBdr>
        <w:top w:val="none" w:sz="0" w:space="0" w:color="auto"/>
        <w:left w:val="none" w:sz="0" w:space="0" w:color="auto"/>
        <w:bottom w:val="none" w:sz="0" w:space="0" w:color="auto"/>
        <w:right w:val="none" w:sz="0" w:space="0" w:color="auto"/>
      </w:divBdr>
    </w:div>
    <w:div w:id="647127832">
      <w:bodyDiv w:val="1"/>
      <w:marLeft w:val="0"/>
      <w:marRight w:val="0"/>
      <w:marTop w:val="0"/>
      <w:marBottom w:val="0"/>
      <w:divBdr>
        <w:top w:val="none" w:sz="0" w:space="0" w:color="auto"/>
        <w:left w:val="none" w:sz="0" w:space="0" w:color="auto"/>
        <w:bottom w:val="none" w:sz="0" w:space="0" w:color="auto"/>
        <w:right w:val="none" w:sz="0" w:space="0" w:color="auto"/>
      </w:divBdr>
    </w:div>
    <w:div w:id="647169794">
      <w:bodyDiv w:val="1"/>
      <w:marLeft w:val="0"/>
      <w:marRight w:val="0"/>
      <w:marTop w:val="0"/>
      <w:marBottom w:val="0"/>
      <w:divBdr>
        <w:top w:val="none" w:sz="0" w:space="0" w:color="auto"/>
        <w:left w:val="none" w:sz="0" w:space="0" w:color="auto"/>
        <w:bottom w:val="none" w:sz="0" w:space="0" w:color="auto"/>
        <w:right w:val="none" w:sz="0" w:space="0" w:color="auto"/>
      </w:divBdr>
    </w:div>
    <w:div w:id="647249499">
      <w:bodyDiv w:val="1"/>
      <w:marLeft w:val="0"/>
      <w:marRight w:val="0"/>
      <w:marTop w:val="0"/>
      <w:marBottom w:val="0"/>
      <w:divBdr>
        <w:top w:val="none" w:sz="0" w:space="0" w:color="auto"/>
        <w:left w:val="none" w:sz="0" w:space="0" w:color="auto"/>
        <w:bottom w:val="none" w:sz="0" w:space="0" w:color="auto"/>
        <w:right w:val="none" w:sz="0" w:space="0" w:color="auto"/>
      </w:divBdr>
    </w:div>
    <w:div w:id="647251271">
      <w:bodyDiv w:val="1"/>
      <w:marLeft w:val="0"/>
      <w:marRight w:val="0"/>
      <w:marTop w:val="0"/>
      <w:marBottom w:val="0"/>
      <w:divBdr>
        <w:top w:val="none" w:sz="0" w:space="0" w:color="auto"/>
        <w:left w:val="none" w:sz="0" w:space="0" w:color="auto"/>
        <w:bottom w:val="none" w:sz="0" w:space="0" w:color="auto"/>
        <w:right w:val="none" w:sz="0" w:space="0" w:color="auto"/>
      </w:divBdr>
    </w:div>
    <w:div w:id="647393087">
      <w:bodyDiv w:val="1"/>
      <w:marLeft w:val="0"/>
      <w:marRight w:val="0"/>
      <w:marTop w:val="0"/>
      <w:marBottom w:val="0"/>
      <w:divBdr>
        <w:top w:val="none" w:sz="0" w:space="0" w:color="auto"/>
        <w:left w:val="none" w:sz="0" w:space="0" w:color="auto"/>
        <w:bottom w:val="none" w:sz="0" w:space="0" w:color="auto"/>
        <w:right w:val="none" w:sz="0" w:space="0" w:color="auto"/>
      </w:divBdr>
    </w:div>
    <w:div w:id="647396450">
      <w:bodyDiv w:val="1"/>
      <w:marLeft w:val="0"/>
      <w:marRight w:val="0"/>
      <w:marTop w:val="0"/>
      <w:marBottom w:val="0"/>
      <w:divBdr>
        <w:top w:val="none" w:sz="0" w:space="0" w:color="auto"/>
        <w:left w:val="none" w:sz="0" w:space="0" w:color="auto"/>
        <w:bottom w:val="none" w:sz="0" w:space="0" w:color="auto"/>
        <w:right w:val="none" w:sz="0" w:space="0" w:color="auto"/>
      </w:divBdr>
    </w:div>
    <w:div w:id="647440150">
      <w:bodyDiv w:val="1"/>
      <w:marLeft w:val="0"/>
      <w:marRight w:val="0"/>
      <w:marTop w:val="0"/>
      <w:marBottom w:val="0"/>
      <w:divBdr>
        <w:top w:val="none" w:sz="0" w:space="0" w:color="auto"/>
        <w:left w:val="none" w:sz="0" w:space="0" w:color="auto"/>
        <w:bottom w:val="none" w:sz="0" w:space="0" w:color="auto"/>
        <w:right w:val="none" w:sz="0" w:space="0" w:color="auto"/>
      </w:divBdr>
    </w:div>
    <w:div w:id="647512834">
      <w:bodyDiv w:val="1"/>
      <w:marLeft w:val="0"/>
      <w:marRight w:val="0"/>
      <w:marTop w:val="0"/>
      <w:marBottom w:val="0"/>
      <w:divBdr>
        <w:top w:val="none" w:sz="0" w:space="0" w:color="auto"/>
        <w:left w:val="none" w:sz="0" w:space="0" w:color="auto"/>
        <w:bottom w:val="none" w:sz="0" w:space="0" w:color="auto"/>
        <w:right w:val="none" w:sz="0" w:space="0" w:color="auto"/>
      </w:divBdr>
    </w:div>
    <w:div w:id="647515151">
      <w:bodyDiv w:val="1"/>
      <w:marLeft w:val="0"/>
      <w:marRight w:val="0"/>
      <w:marTop w:val="0"/>
      <w:marBottom w:val="0"/>
      <w:divBdr>
        <w:top w:val="none" w:sz="0" w:space="0" w:color="auto"/>
        <w:left w:val="none" w:sz="0" w:space="0" w:color="auto"/>
        <w:bottom w:val="none" w:sz="0" w:space="0" w:color="auto"/>
        <w:right w:val="none" w:sz="0" w:space="0" w:color="auto"/>
      </w:divBdr>
    </w:div>
    <w:div w:id="647517296">
      <w:bodyDiv w:val="1"/>
      <w:marLeft w:val="0"/>
      <w:marRight w:val="0"/>
      <w:marTop w:val="0"/>
      <w:marBottom w:val="0"/>
      <w:divBdr>
        <w:top w:val="none" w:sz="0" w:space="0" w:color="auto"/>
        <w:left w:val="none" w:sz="0" w:space="0" w:color="auto"/>
        <w:bottom w:val="none" w:sz="0" w:space="0" w:color="auto"/>
        <w:right w:val="none" w:sz="0" w:space="0" w:color="auto"/>
      </w:divBdr>
    </w:div>
    <w:div w:id="647519705">
      <w:bodyDiv w:val="1"/>
      <w:marLeft w:val="0"/>
      <w:marRight w:val="0"/>
      <w:marTop w:val="0"/>
      <w:marBottom w:val="0"/>
      <w:divBdr>
        <w:top w:val="none" w:sz="0" w:space="0" w:color="auto"/>
        <w:left w:val="none" w:sz="0" w:space="0" w:color="auto"/>
        <w:bottom w:val="none" w:sz="0" w:space="0" w:color="auto"/>
        <w:right w:val="none" w:sz="0" w:space="0" w:color="auto"/>
      </w:divBdr>
    </w:div>
    <w:div w:id="647638670">
      <w:bodyDiv w:val="1"/>
      <w:marLeft w:val="0"/>
      <w:marRight w:val="0"/>
      <w:marTop w:val="0"/>
      <w:marBottom w:val="0"/>
      <w:divBdr>
        <w:top w:val="none" w:sz="0" w:space="0" w:color="auto"/>
        <w:left w:val="none" w:sz="0" w:space="0" w:color="auto"/>
        <w:bottom w:val="none" w:sz="0" w:space="0" w:color="auto"/>
        <w:right w:val="none" w:sz="0" w:space="0" w:color="auto"/>
      </w:divBdr>
    </w:div>
    <w:div w:id="647780782">
      <w:bodyDiv w:val="1"/>
      <w:marLeft w:val="0"/>
      <w:marRight w:val="0"/>
      <w:marTop w:val="0"/>
      <w:marBottom w:val="0"/>
      <w:divBdr>
        <w:top w:val="none" w:sz="0" w:space="0" w:color="auto"/>
        <w:left w:val="none" w:sz="0" w:space="0" w:color="auto"/>
        <w:bottom w:val="none" w:sz="0" w:space="0" w:color="auto"/>
        <w:right w:val="none" w:sz="0" w:space="0" w:color="auto"/>
      </w:divBdr>
    </w:div>
    <w:div w:id="647905825">
      <w:bodyDiv w:val="1"/>
      <w:marLeft w:val="0"/>
      <w:marRight w:val="0"/>
      <w:marTop w:val="0"/>
      <w:marBottom w:val="0"/>
      <w:divBdr>
        <w:top w:val="none" w:sz="0" w:space="0" w:color="auto"/>
        <w:left w:val="none" w:sz="0" w:space="0" w:color="auto"/>
        <w:bottom w:val="none" w:sz="0" w:space="0" w:color="auto"/>
        <w:right w:val="none" w:sz="0" w:space="0" w:color="auto"/>
      </w:divBdr>
    </w:div>
    <w:div w:id="648050502">
      <w:bodyDiv w:val="1"/>
      <w:marLeft w:val="0"/>
      <w:marRight w:val="0"/>
      <w:marTop w:val="0"/>
      <w:marBottom w:val="0"/>
      <w:divBdr>
        <w:top w:val="none" w:sz="0" w:space="0" w:color="auto"/>
        <w:left w:val="none" w:sz="0" w:space="0" w:color="auto"/>
        <w:bottom w:val="none" w:sz="0" w:space="0" w:color="auto"/>
        <w:right w:val="none" w:sz="0" w:space="0" w:color="auto"/>
      </w:divBdr>
    </w:div>
    <w:div w:id="648092651">
      <w:bodyDiv w:val="1"/>
      <w:marLeft w:val="0"/>
      <w:marRight w:val="0"/>
      <w:marTop w:val="0"/>
      <w:marBottom w:val="0"/>
      <w:divBdr>
        <w:top w:val="none" w:sz="0" w:space="0" w:color="auto"/>
        <w:left w:val="none" w:sz="0" w:space="0" w:color="auto"/>
        <w:bottom w:val="none" w:sz="0" w:space="0" w:color="auto"/>
        <w:right w:val="none" w:sz="0" w:space="0" w:color="auto"/>
      </w:divBdr>
    </w:div>
    <w:div w:id="648092820">
      <w:bodyDiv w:val="1"/>
      <w:marLeft w:val="0"/>
      <w:marRight w:val="0"/>
      <w:marTop w:val="0"/>
      <w:marBottom w:val="0"/>
      <w:divBdr>
        <w:top w:val="none" w:sz="0" w:space="0" w:color="auto"/>
        <w:left w:val="none" w:sz="0" w:space="0" w:color="auto"/>
        <w:bottom w:val="none" w:sz="0" w:space="0" w:color="auto"/>
        <w:right w:val="none" w:sz="0" w:space="0" w:color="auto"/>
      </w:divBdr>
    </w:div>
    <w:div w:id="648096487">
      <w:bodyDiv w:val="1"/>
      <w:marLeft w:val="0"/>
      <w:marRight w:val="0"/>
      <w:marTop w:val="0"/>
      <w:marBottom w:val="0"/>
      <w:divBdr>
        <w:top w:val="none" w:sz="0" w:space="0" w:color="auto"/>
        <w:left w:val="none" w:sz="0" w:space="0" w:color="auto"/>
        <w:bottom w:val="none" w:sz="0" w:space="0" w:color="auto"/>
        <w:right w:val="none" w:sz="0" w:space="0" w:color="auto"/>
      </w:divBdr>
    </w:div>
    <w:div w:id="648097525">
      <w:bodyDiv w:val="1"/>
      <w:marLeft w:val="0"/>
      <w:marRight w:val="0"/>
      <w:marTop w:val="0"/>
      <w:marBottom w:val="0"/>
      <w:divBdr>
        <w:top w:val="none" w:sz="0" w:space="0" w:color="auto"/>
        <w:left w:val="none" w:sz="0" w:space="0" w:color="auto"/>
        <w:bottom w:val="none" w:sz="0" w:space="0" w:color="auto"/>
        <w:right w:val="none" w:sz="0" w:space="0" w:color="auto"/>
      </w:divBdr>
    </w:div>
    <w:div w:id="648172047">
      <w:bodyDiv w:val="1"/>
      <w:marLeft w:val="0"/>
      <w:marRight w:val="0"/>
      <w:marTop w:val="0"/>
      <w:marBottom w:val="0"/>
      <w:divBdr>
        <w:top w:val="none" w:sz="0" w:space="0" w:color="auto"/>
        <w:left w:val="none" w:sz="0" w:space="0" w:color="auto"/>
        <w:bottom w:val="none" w:sz="0" w:space="0" w:color="auto"/>
        <w:right w:val="none" w:sz="0" w:space="0" w:color="auto"/>
      </w:divBdr>
    </w:div>
    <w:div w:id="648284382">
      <w:bodyDiv w:val="1"/>
      <w:marLeft w:val="0"/>
      <w:marRight w:val="0"/>
      <w:marTop w:val="0"/>
      <w:marBottom w:val="0"/>
      <w:divBdr>
        <w:top w:val="none" w:sz="0" w:space="0" w:color="auto"/>
        <w:left w:val="none" w:sz="0" w:space="0" w:color="auto"/>
        <w:bottom w:val="none" w:sz="0" w:space="0" w:color="auto"/>
        <w:right w:val="none" w:sz="0" w:space="0" w:color="auto"/>
      </w:divBdr>
    </w:div>
    <w:div w:id="648288055">
      <w:bodyDiv w:val="1"/>
      <w:marLeft w:val="0"/>
      <w:marRight w:val="0"/>
      <w:marTop w:val="0"/>
      <w:marBottom w:val="0"/>
      <w:divBdr>
        <w:top w:val="none" w:sz="0" w:space="0" w:color="auto"/>
        <w:left w:val="none" w:sz="0" w:space="0" w:color="auto"/>
        <w:bottom w:val="none" w:sz="0" w:space="0" w:color="auto"/>
        <w:right w:val="none" w:sz="0" w:space="0" w:color="auto"/>
      </w:divBdr>
    </w:div>
    <w:div w:id="648636695">
      <w:bodyDiv w:val="1"/>
      <w:marLeft w:val="0"/>
      <w:marRight w:val="0"/>
      <w:marTop w:val="0"/>
      <w:marBottom w:val="0"/>
      <w:divBdr>
        <w:top w:val="none" w:sz="0" w:space="0" w:color="auto"/>
        <w:left w:val="none" w:sz="0" w:space="0" w:color="auto"/>
        <w:bottom w:val="none" w:sz="0" w:space="0" w:color="auto"/>
        <w:right w:val="none" w:sz="0" w:space="0" w:color="auto"/>
      </w:divBdr>
    </w:div>
    <w:div w:id="648706821">
      <w:bodyDiv w:val="1"/>
      <w:marLeft w:val="0"/>
      <w:marRight w:val="0"/>
      <w:marTop w:val="0"/>
      <w:marBottom w:val="0"/>
      <w:divBdr>
        <w:top w:val="none" w:sz="0" w:space="0" w:color="auto"/>
        <w:left w:val="none" w:sz="0" w:space="0" w:color="auto"/>
        <w:bottom w:val="none" w:sz="0" w:space="0" w:color="auto"/>
        <w:right w:val="none" w:sz="0" w:space="0" w:color="auto"/>
      </w:divBdr>
    </w:div>
    <w:div w:id="648821552">
      <w:bodyDiv w:val="1"/>
      <w:marLeft w:val="0"/>
      <w:marRight w:val="0"/>
      <w:marTop w:val="0"/>
      <w:marBottom w:val="0"/>
      <w:divBdr>
        <w:top w:val="none" w:sz="0" w:space="0" w:color="auto"/>
        <w:left w:val="none" w:sz="0" w:space="0" w:color="auto"/>
        <w:bottom w:val="none" w:sz="0" w:space="0" w:color="auto"/>
        <w:right w:val="none" w:sz="0" w:space="0" w:color="auto"/>
      </w:divBdr>
    </w:div>
    <w:div w:id="648824454">
      <w:bodyDiv w:val="1"/>
      <w:marLeft w:val="0"/>
      <w:marRight w:val="0"/>
      <w:marTop w:val="0"/>
      <w:marBottom w:val="0"/>
      <w:divBdr>
        <w:top w:val="none" w:sz="0" w:space="0" w:color="auto"/>
        <w:left w:val="none" w:sz="0" w:space="0" w:color="auto"/>
        <w:bottom w:val="none" w:sz="0" w:space="0" w:color="auto"/>
        <w:right w:val="none" w:sz="0" w:space="0" w:color="auto"/>
      </w:divBdr>
    </w:div>
    <w:div w:id="648824626">
      <w:bodyDiv w:val="1"/>
      <w:marLeft w:val="0"/>
      <w:marRight w:val="0"/>
      <w:marTop w:val="0"/>
      <w:marBottom w:val="0"/>
      <w:divBdr>
        <w:top w:val="none" w:sz="0" w:space="0" w:color="auto"/>
        <w:left w:val="none" w:sz="0" w:space="0" w:color="auto"/>
        <w:bottom w:val="none" w:sz="0" w:space="0" w:color="auto"/>
        <w:right w:val="none" w:sz="0" w:space="0" w:color="auto"/>
      </w:divBdr>
    </w:div>
    <w:div w:id="648942357">
      <w:bodyDiv w:val="1"/>
      <w:marLeft w:val="0"/>
      <w:marRight w:val="0"/>
      <w:marTop w:val="0"/>
      <w:marBottom w:val="0"/>
      <w:divBdr>
        <w:top w:val="none" w:sz="0" w:space="0" w:color="auto"/>
        <w:left w:val="none" w:sz="0" w:space="0" w:color="auto"/>
        <w:bottom w:val="none" w:sz="0" w:space="0" w:color="auto"/>
        <w:right w:val="none" w:sz="0" w:space="0" w:color="auto"/>
      </w:divBdr>
    </w:div>
    <w:div w:id="649016501">
      <w:bodyDiv w:val="1"/>
      <w:marLeft w:val="0"/>
      <w:marRight w:val="0"/>
      <w:marTop w:val="0"/>
      <w:marBottom w:val="0"/>
      <w:divBdr>
        <w:top w:val="none" w:sz="0" w:space="0" w:color="auto"/>
        <w:left w:val="none" w:sz="0" w:space="0" w:color="auto"/>
        <w:bottom w:val="none" w:sz="0" w:space="0" w:color="auto"/>
        <w:right w:val="none" w:sz="0" w:space="0" w:color="auto"/>
      </w:divBdr>
    </w:div>
    <w:div w:id="649093039">
      <w:bodyDiv w:val="1"/>
      <w:marLeft w:val="0"/>
      <w:marRight w:val="0"/>
      <w:marTop w:val="0"/>
      <w:marBottom w:val="0"/>
      <w:divBdr>
        <w:top w:val="none" w:sz="0" w:space="0" w:color="auto"/>
        <w:left w:val="none" w:sz="0" w:space="0" w:color="auto"/>
        <w:bottom w:val="none" w:sz="0" w:space="0" w:color="auto"/>
        <w:right w:val="none" w:sz="0" w:space="0" w:color="auto"/>
      </w:divBdr>
    </w:div>
    <w:div w:id="649094949">
      <w:bodyDiv w:val="1"/>
      <w:marLeft w:val="0"/>
      <w:marRight w:val="0"/>
      <w:marTop w:val="0"/>
      <w:marBottom w:val="0"/>
      <w:divBdr>
        <w:top w:val="none" w:sz="0" w:space="0" w:color="auto"/>
        <w:left w:val="none" w:sz="0" w:space="0" w:color="auto"/>
        <w:bottom w:val="none" w:sz="0" w:space="0" w:color="auto"/>
        <w:right w:val="none" w:sz="0" w:space="0" w:color="auto"/>
      </w:divBdr>
    </w:div>
    <w:div w:id="649216035">
      <w:bodyDiv w:val="1"/>
      <w:marLeft w:val="0"/>
      <w:marRight w:val="0"/>
      <w:marTop w:val="0"/>
      <w:marBottom w:val="0"/>
      <w:divBdr>
        <w:top w:val="none" w:sz="0" w:space="0" w:color="auto"/>
        <w:left w:val="none" w:sz="0" w:space="0" w:color="auto"/>
        <w:bottom w:val="none" w:sz="0" w:space="0" w:color="auto"/>
        <w:right w:val="none" w:sz="0" w:space="0" w:color="auto"/>
      </w:divBdr>
    </w:div>
    <w:div w:id="649285041">
      <w:bodyDiv w:val="1"/>
      <w:marLeft w:val="0"/>
      <w:marRight w:val="0"/>
      <w:marTop w:val="0"/>
      <w:marBottom w:val="0"/>
      <w:divBdr>
        <w:top w:val="none" w:sz="0" w:space="0" w:color="auto"/>
        <w:left w:val="none" w:sz="0" w:space="0" w:color="auto"/>
        <w:bottom w:val="none" w:sz="0" w:space="0" w:color="auto"/>
        <w:right w:val="none" w:sz="0" w:space="0" w:color="auto"/>
      </w:divBdr>
    </w:div>
    <w:div w:id="649289887">
      <w:bodyDiv w:val="1"/>
      <w:marLeft w:val="0"/>
      <w:marRight w:val="0"/>
      <w:marTop w:val="0"/>
      <w:marBottom w:val="0"/>
      <w:divBdr>
        <w:top w:val="none" w:sz="0" w:space="0" w:color="auto"/>
        <w:left w:val="none" w:sz="0" w:space="0" w:color="auto"/>
        <w:bottom w:val="none" w:sz="0" w:space="0" w:color="auto"/>
        <w:right w:val="none" w:sz="0" w:space="0" w:color="auto"/>
      </w:divBdr>
    </w:div>
    <w:div w:id="649480039">
      <w:bodyDiv w:val="1"/>
      <w:marLeft w:val="0"/>
      <w:marRight w:val="0"/>
      <w:marTop w:val="0"/>
      <w:marBottom w:val="0"/>
      <w:divBdr>
        <w:top w:val="none" w:sz="0" w:space="0" w:color="auto"/>
        <w:left w:val="none" w:sz="0" w:space="0" w:color="auto"/>
        <w:bottom w:val="none" w:sz="0" w:space="0" w:color="auto"/>
        <w:right w:val="none" w:sz="0" w:space="0" w:color="auto"/>
      </w:divBdr>
    </w:div>
    <w:div w:id="649483108">
      <w:bodyDiv w:val="1"/>
      <w:marLeft w:val="0"/>
      <w:marRight w:val="0"/>
      <w:marTop w:val="0"/>
      <w:marBottom w:val="0"/>
      <w:divBdr>
        <w:top w:val="none" w:sz="0" w:space="0" w:color="auto"/>
        <w:left w:val="none" w:sz="0" w:space="0" w:color="auto"/>
        <w:bottom w:val="none" w:sz="0" w:space="0" w:color="auto"/>
        <w:right w:val="none" w:sz="0" w:space="0" w:color="auto"/>
      </w:divBdr>
    </w:div>
    <w:div w:id="649790048">
      <w:bodyDiv w:val="1"/>
      <w:marLeft w:val="0"/>
      <w:marRight w:val="0"/>
      <w:marTop w:val="0"/>
      <w:marBottom w:val="0"/>
      <w:divBdr>
        <w:top w:val="none" w:sz="0" w:space="0" w:color="auto"/>
        <w:left w:val="none" w:sz="0" w:space="0" w:color="auto"/>
        <w:bottom w:val="none" w:sz="0" w:space="0" w:color="auto"/>
        <w:right w:val="none" w:sz="0" w:space="0" w:color="auto"/>
      </w:divBdr>
    </w:div>
    <w:div w:id="649867099">
      <w:bodyDiv w:val="1"/>
      <w:marLeft w:val="0"/>
      <w:marRight w:val="0"/>
      <w:marTop w:val="0"/>
      <w:marBottom w:val="0"/>
      <w:divBdr>
        <w:top w:val="none" w:sz="0" w:space="0" w:color="auto"/>
        <w:left w:val="none" w:sz="0" w:space="0" w:color="auto"/>
        <w:bottom w:val="none" w:sz="0" w:space="0" w:color="auto"/>
        <w:right w:val="none" w:sz="0" w:space="0" w:color="auto"/>
      </w:divBdr>
    </w:div>
    <w:div w:id="649947801">
      <w:bodyDiv w:val="1"/>
      <w:marLeft w:val="0"/>
      <w:marRight w:val="0"/>
      <w:marTop w:val="0"/>
      <w:marBottom w:val="0"/>
      <w:divBdr>
        <w:top w:val="none" w:sz="0" w:space="0" w:color="auto"/>
        <w:left w:val="none" w:sz="0" w:space="0" w:color="auto"/>
        <w:bottom w:val="none" w:sz="0" w:space="0" w:color="auto"/>
        <w:right w:val="none" w:sz="0" w:space="0" w:color="auto"/>
      </w:divBdr>
    </w:div>
    <w:div w:id="650058563">
      <w:bodyDiv w:val="1"/>
      <w:marLeft w:val="0"/>
      <w:marRight w:val="0"/>
      <w:marTop w:val="0"/>
      <w:marBottom w:val="0"/>
      <w:divBdr>
        <w:top w:val="none" w:sz="0" w:space="0" w:color="auto"/>
        <w:left w:val="none" w:sz="0" w:space="0" w:color="auto"/>
        <w:bottom w:val="none" w:sz="0" w:space="0" w:color="auto"/>
        <w:right w:val="none" w:sz="0" w:space="0" w:color="auto"/>
      </w:divBdr>
    </w:div>
    <w:div w:id="650132636">
      <w:bodyDiv w:val="1"/>
      <w:marLeft w:val="0"/>
      <w:marRight w:val="0"/>
      <w:marTop w:val="0"/>
      <w:marBottom w:val="0"/>
      <w:divBdr>
        <w:top w:val="none" w:sz="0" w:space="0" w:color="auto"/>
        <w:left w:val="none" w:sz="0" w:space="0" w:color="auto"/>
        <w:bottom w:val="none" w:sz="0" w:space="0" w:color="auto"/>
        <w:right w:val="none" w:sz="0" w:space="0" w:color="auto"/>
      </w:divBdr>
    </w:div>
    <w:div w:id="650211082">
      <w:bodyDiv w:val="1"/>
      <w:marLeft w:val="0"/>
      <w:marRight w:val="0"/>
      <w:marTop w:val="0"/>
      <w:marBottom w:val="0"/>
      <w:divBdr>
        <w:top w:val="none" w:sz="0" w:space="0" w:color="auto"/>
        <w:left w:val="none" w:sz="0" w:space="0" w:color="auto"/>
        <w:bottom w:val="none" w:sz="0" w:space="0" w:color="auto"/>
        <w:right w:val="none" w:sz="0" w:space="0" w:color="auto"/>
      </w:divBdr>
    </w:div>
    <w:div w:id="650325457">
      <w:bodyDiv w:val="1"/>
      <w:marLeft w:val="0"/>
      <w:marRight w:val="0"/>
      <w:marTop w:val="0"/>
      <w:marBottom w:val="0"/>
      <w:divBdr>
        <w:top w:val="none" w:sz="0" w:space="0" w:color="auto"/>
        <w:left w:val="none" w:sz="0" w:space="0" w:color="auto"/>
        <w:bottom w:val="none" w:sz="0" w:space="0" w:color="auto"/>
        <w:right w:val="none" w:sz="0" w:space="0" w:color="auto"/>
      </w:divBdr>
    </w:div>
    <w:div w:id="650332245">
      <w:bodyDiv w:val="1"/>
      <w:marLeft w:val="0"/>
      <w:marRight w:val="0"/>
      <w:marTop w:val="0"/>
      <w:marBottom w:val="0"/>
      <w:divBdr>
        <w:top w:val="none" w:sz="0" w:space="0" w:color="auto"/>
        <w:left w:val="none" w:sz="0" w:space="0" w:color="auto"/>
        <w:bottom w:val="none" w:sz="0" w:space="0" w:color="auto"/>
        <w:right w:val="none" w:sz="0" w:space="0" w:color="auto"/>
      </w:divBdr>
    </w:div>
    <w:div w:id="650332816">
      <w:bodyDiv w:val="1"/>
      <w:marLeft w:val="0"/>
      <w:marRight w:val="0"/>
      <w:marTop w:val="0"/>
      <w:marBottom w:val="0"/>
      <w:divBdr>
        <w:top w:val="none" w:sz="0" w:space="0" w:color="auto"/>
        <w:left w:val="none" w:sz="0" w:space="0" w:color="auto"/>
        <w:bottom w:val="none" w:sz="0" w:space="0" w:color="auto"/>
        <w:right w:val="none" w:sz="0" w:space="0" w:color="auto"/>
      </w:divBdr>
    </w:div>
    <w:div w:id="650449561">
      <w:bodyDiv w:val="1"/>
      <w:marLeft w:val="0"/>
      <w:marRight w:val="0"/>
      <w:marTop w:val="0"/>
      <w:marBottom w:val="0"/>
      <w:divBdr>
        <w:top w:val="none" w:sz="0" w:space="0" w:color="auto"/>
        <w:left w:val="none" w:sz="0" w:space="0" w:color="auto"/>
        <w:bottom w:val="none" w:sz="0" w:space="0" w:color="auto"/>
        <w:right w:val="none" w:sz="0" w:space="0" w:color="auto"/>
      </w:divBdr>
    </w:div>
    <w:div w:id="650519539">
      <w:bodyDiv w:val="1"/>
      <w:marLeft w:val="0"/>
      <w:marRight w:val="0"/>
      <w:marTop w:val="0"/>
      <w:marBottom w:val="0"/>
      <w:divBdr>
        <w:top w:val="none" w:sz="0" w:space="0" w:color="auto"/>
        <w:left w:val="none" w:sz="0" w:space="0" w:color="auto"/>
        <w:bottom w:val="none" w:sz="0" w:space="0" w:color="auto"/>
        <w:right w:val="none" w:sz="0" w:space="0" w:color="auto"/>
      </w:divBdr>
    </w:div>
    <w:div w:id="650643587">
      <w:bodyDiv w:val="1"/>
      <w:marLeft w:val="0"/>
      <w:marRight w:val="0"/>
      <w:marTop w:val="0"/>
      <w:marBottom w:val="0"/>
      <w:divBdr>
        <w:top w:val="none" w:sz="0" w:space="0" w:color="auto"/>
        <w:left w:val="none" w:sz="0" w:space="0" w:color="auto"/>
        <w:bottom w:val="none" w:sz="0" w:space="0" w:color="auto"/>
        <w:right w:val="none" w:sz="0" w:space="0" w:color="auto"/>
      </w:divBdr>
    </w:div>
    <w:div w:id="650719632">
      <w:bodyDiv w:val="1"/>
      <w:marLeft w:val="0"/>
      <w:marRight w:val="0"/>
      <w:marTop w:val="0"/>
      <w:marBottom w:val="0"/>
      <w:divBdr>
        <w:top w:val="none" w:sz="0" w:space="0" w:color="auto"/>
        <w:left w:val="none" w:sz="0" w:space="0" w:color="auto"/>
        <w:bottom w:val="none" w:sz="0" w:space="0" w:color="auto"/>
        <w:right w:val="none" w:sz="0" w:space="0" w:color="auto"/>
      </w:divBdr>
    </w:div>
    <w:div w:id="650720784">
      <w:bodyDiv w:val="1"/>
      <w:marLeft w:val="0"/>
      <w:marRight w:val="0"/>
      <w:marTop w:val="0"/>
      <w:marBottom w:val="0"/>
      <w:divBdr>
        <w:top w:val="none" w:sz="0" w:space="0" w:color="auto"/>
        <w:left w:val="none" w:sz="0" w:space="0" w:color="auto"/>
        <w:bottom w:val="none" w:sz="0" w:space="0" w:color="auto"/>
        <w:right w:val="none" w:sz="0" w:space="0" w:color="auto"/>
      </w:divBdr>
    </w:div>
    <w:div w:id="650789441">
      <w:bodyDiv w:val="1"/>
      <w:marLeft w:val="0"/>
      <w:marRight w:val="0"/>
      <w:marTop w:val="0"/>
      <w:marBottom w:val="0"/>
      <w:divBdr>
        <w:top w:val="none" w:sz="0" w:space="0" w:color="auto"/>
        <w:left w:val="none" w:sz="0" w:space="0" w:color="auto"/>
        <w:bottom w:val="none" w:sz="0" w:space="0" w:color="auto"/>
        <w:right w:val="none" w:sz="0" w:space="0" w:color="auto"/>
      </w:divBdr>
    </w:div>
    <w:div w:id="650838531">
      <w:bodyDiv w:val="1"/>
      <w:marLeft w:val="0"/>
      <w:marRight w:val="0"/>
      <w:marTop w:val="0"/>
      <w:marBottom w:val="0"/>
      <w:divBdr>
        <w:top w:val="none" w:sz="0" w:space="0" w:color="auto"/>
        <w:left w:val="none" w:sz="0" w:space="0" w:color="auto"/>
        <w:bottom w:val="none" w:sz="0" w:space="0" w:color="auto"/>
        <w:right w:val="none" w:sz="0" w:space="0" w:color="auto"/>
      </w:divBdr>
    </w:div>
    <w:div w:id="650839368">
      <w:bodyDiv w:val="1"/>
      <w:marLeft w:val="0"/>
      <w:marRight w:val="0"/>
      <w:marTop w:val="0"/>
      <w:marBottom w:val="0"/>
      <w:divBdr>
        <w:top w:val="none" w:sz="0" w:space="0" w:color="auto"/>
        <w:left w:val="none" w:sz="0" w:space="0" w:color="auto"/>
        <w:bottom w:val="none" w:sz="0" w:space="0" w:color="auto"/>
        <w:right w:val="none" w:sz="0" w:space="0" w:color="auto"/>
      </w:divBdr>
    </w:div>
    <w:div w:id="650867346">
      <w:bodyDiv w:val="1"/>
      <w:marLeft w:val="0"/>
      <w:marRight w:val="0"/>
      <w:marTop w:val="0"/>
      <w:marBottom w:val="0"/>
      <w:divBdr>
        <w:top w:val="none" w:sz="0" w:space="0" w:color="auto"/>
        <w:left w:val="none" w:sz="0" w:space="0" w:color="auto"/>
        <w:bottom w:val="none" w:sz="0" w:space="0" w:color="auto"/>
        <w:right w:val="none" w:sz="0" w:space="0" w:color="auto"/>
      </w:divBdr>
    </w:div>
    <w:div w:id="650907029">
      <w:bodyDiv w:val="1"/>
      <w:marLeft w:val="0"/>
      <w:marRight w:val="0"/>
      <w:marTop w:val="0"/>
      <w:marBottom w:val="0"/>
      <w:divBdr>
        <w:top w:val="none" w:sz="0" w:space="0" w:color="auto"/>
        <w:left w:val="none" w:sz="0" w:space="0" w:color="auto"/>
        <w:bottom w:val="none" w:sz="0" w:space="0" w:color="auto"/>
        <w:right w:val="none" w:sz="0" w:space="0" w:color="auto"/>
      </w:divBdr>
    </w:div>
    <w:div w:id="650910266">
      <w:bodyDiv w:val="1"/>
      <w:marLeft w:val="0"/>
      <w:marRight w:val="0"/>
      <w:marTop w:val="0"/>
      <w:marBottom w:val="0"/>
      <w:divBdr>
        <w:top w:val="none" w:sz="0" w:space="0" w:color="auto"/>
        <w:left w:val="none" w:sz="0" w:space="0" w:color="auto"/>
        <w:bottom w:val="none" w:sz="0" w:space="0" w:color="auto"/>
        <w:right w:val="none" w:sz="0" w:space="0" w:color="auto"/>
      </w:divBdr>
    </w:div>
    <w:div w:id="650913439">
      <w:bodyDiv w:val="1"/>
      <w:marLeft w:val="0"/>
      <w:marRight w:val="0"/>
      <w:marTop w:val="0"/>
      <w:marBottom w:val="0"/>
      <w:divBdr>
        <w:top w:val="none" w:sz="0" w:space="0" w:color="auto"/>
        <w:left w:val="none" w:sz="0" w:space="0" w:color="auto"/>
        <w:bottom w:val="none" w:sz="0" w:space="0" w:color="auto"/>
        <w:right w:val="none" w:sz="0" w:space="0" w:color="auto"/>
      </w:divBdr>
    </w:div>
    <w:div w:id="651106273">
      <w:bodyDiv w:val="1"/>
      <w:marLeft w:val="0"/>
      <w:marRight w:val="0"/>
      <w:marTop w:val="0"/>
      <w:marBottom w:val="0"/>
      <w:divBdr>
        <w:top w:val="none" w:sz="0" w:space="0" w:color="auto"/>
        <w:left w:val="none" w:sz="0" w:space="0" w:color="auto"/>
        <w:bottom w:val="none" w:sz="0" w:space="0" w:color="auto"/>
        <w:right w:val="none" w:sz="0" w:space="0" w:color="auto"/>
      </w:divBdr>
    </w:div>
    <w:div w:id="651300156">
      <w:bodyDiv w:val="1"/>
      <w:marLeft w:val="0"/>
      <w:marRight w:val="0"/>
      <w:marTop w:val="0"/>
      <w:marBottom w:val="0"/>
      <w:divBdr>
        <w:top w:val="none" w:sz="0" w:space="0" w:color="auto"/>
        <w:left w:val="none" w:sz="0" w:space="0" w:color="auto"/>
        <w:bottom w:val="none" w:sz="0" w:space="0" w:color="auto"/>
        <w:right w:val="none" w:sz="0" w:space="0" w:color="auto"/>
      </w:divBdr>
    </w:div>
    <w:div w:id="651370180">
      <w:bodyDiv w:val="1"/>
      <w:marLeft w:val="0"/>
      <w:marRight w:val="0"/>
      <w:marTop w:val="0"/>
      <w:marBottom w:val="0"/>
      <w:divBdr>
        <w:top w:val="none" w:sz="0" w:space="0" w:color="auto"/>
        <w:left w:val="none" w:sz="0" w:space="0" w:color="auto"/>
        <w:bottom w:val="none" w:sz="0" w:space="0" w:color="auto"/>
        <w:right w:val="none" w:sz="0" w:space="0" w:color="auto"/>
      </w:divBdr>
    </w:div>
    <w:div w:id="651443521">
      <w:bodyDiv w:val="1"/>
      <w:marLeft w:val="0"/>
      <w:marRight w:val="0"/>
      <w:marTop w:val="0"/>
      <w:marBottom w:val="0"/>
      <w:divBdr>
        <w:top w:val="none" w:sz="0" w:space="0" w:color="auto"/>
        <w:left w:val="none" w:sz="0" w:space="0" w:color="auto"/>
        <w:bottom w:val="none" w:sz="0" w:space="0" w:color="auto"/>
        <w:right w:val="none" w:sz="0" w:space="0" w:color="auto"/>
      </w:divBdr>
    </w:div>
    <w:div w:id="651447656">
      <w:bodyDiv w:val="1"/>
      <w:marLeft w:val="0"/>
      <w:marRight w:val="0"/>
      <w:marTop w:val="0"/>
      <w:marBottom w:val="0"/>
      <w:divBdr>
        <w:top w:val="none" w:sz="0" w:space="0" w:color="auto"/>
        <w:left w:val="none" w:sz="0" w:space="0" w:color="auto"/>
        <w:bottom w:val="none" w:sz="0" w:space="0" w:color="auto"/>
        <w:right w:val="none" w:sz="0" w:space="0" w:color="auto"/>
      </w:divBdr>
    </w:div>
    <w:div w:id="651568396">
      <w:bodyDiv w:val="1"/>
      <w:marLeft w:val="0"/>
      <w:marRight w:val="0"/>
      <w:marTop w:val="0"/>
      <w:marBottom w:val="0"/>
      <w:divBdr>
        <w:top w:val="none" w:sz="0" w:space="0" w:color="auto"/>
        <w:left w:val="none" w:sz="0" w:space="0" w:color="auto"/>
        <w:bottom w:val="none" w:sz="0" w:space="0" w:color="auto"/>
        <w:right w:val="none" w:sz="0" w:space="0" w:color="auto"/>
      </w:divBdr>
    </w:div>
    <w:div w:id="651568541">
      <w:bodyDiv w:val="1"/>
      <w:marLeft w:val="0"/>
      <w:marRight w:val="0"/>
      <w:marTop w:val="0"/>
      <w:marBottom w:val="0"/>
      <w:divBdr>
        <w:top w:val="none" w:sz="0" w:space="0" w:color="auto"/>
        <w:left w:val="none" w:sz="0" w:space="0" w:color="auto"/>
        <w:bottom w:val="none" w:sz="0" w:space="0" w:color="auto"/>
        <w:right w:val="none" w:sz="0" w:space="0" w:color="auto"/>
      </w:divBdr>
    </w:div>
    <w:div w:id="651716160">
      <w:bodyDiv w:val="1"/>
      <w:marLeft w:val="0"/>
      <w:marRight w:val="0"/>
      <w:marTop w:val="0"/>
      <w:marBottom w:val="0"/>
      <w:divBdr>
        <w:top w:val="none" w:sz="0" w:space="0" w:color="auto"/>
        <w:left w:val="none" w:sz="0" w:space="0" w:color="auto"/>
        <w:bottom w:val="none" w:sz="0" w:space="0" w:color="auto"/>
        <w:right w:val="none" w:sz="0" w:space="0" w:color="auto"/>
      </w:divBdr>
    </w:div>
    <w:div w:id="651719726">
      <w:bodyDiv w:val="1"/>
      <w:marLeft w:val="0"/>
      <w:marRight w:val="0"/>
      <w:marTop w:val="0"/>
      <w:marBottom w:val="0"/>
      <w:divBdr>
        <w:top w:val="none" w:sz="0" w:space="0" w:color="auto"/>
        <w:left w:val="none" w:sz="0" w:space="0" w:color="auto"/>
        <w:bottom w:val="none" w:sz="0" w:space="0" w:color="auto"/>
        <w:right w:val="none" w:sz="0" w:space="0" w:color="auto"/>
      </w:divBdr>
    </w:div>
    <w:div w:id="651982750">
      <w:bodyDiv w:val="1"/>
      <w:marLeft w:val="0"/>
      <w:marRight w:val="0"/>
      <w:marTop w:val="0"/>
      <w:marBottom w:val="0"/>
      <w:divBdr>
        <w:top w:val="none" w:sz="0" w:space="0" w:color="auto"/>
        <w:left w:val="none" w:sz="0" w:space="0" w:color="auto"/>
        <w:bottom w:val="none" w:sz="0" w:space="0" w:color="auto"/>
        <w:right w:val="none" w:sz="0" w:space="0" w:color="auto"/>
      </w:divBdr>
    </w:div>
    <w:div w:id="652225476">
      <w:bodyDiv w:val="1"/>
      <w:marLeft w:val="0"/>
      <w:marRight w:val="0"/>
      <w:marTop w:val="0"/>
      <w:marBottom w:val="0"/>
      <w:divBdr>
        <w:top w:val="none" w:sz="0" w:space="0" w:color="auto"/>
        <w:left w:val="none" w:sz="0" w:space="0" w:color="auto"/>
        <w:bottom w:val="none" w:sz="0" w:space="0" w:color="auto"/>
        <w:right w:val="none" w:sz="0" w:space="0" w:color="auto"/>
      </w:divBdr>
    </w:div>
    <w:div w:id="652293282">
      <w:bodyDiv w:val="1"/>
      <w:marLeft w:val="0"/>
      <w:marRight w:val="0"/>
      <w:marTop w:val="0"/>
      <w:marBottom w:val="0"/>
      <w:divBdr>
        <w:top w:val="none" w:sz="0" w:space="0" w:color="auto"/>
        <w:left w:val="none" w:sz="0" w:space="0" w:color="auto"/>
        <w:bottom w:val="none" w:sz="0" w:space="0" w:color="auto"/>
        <w:right w:val="none" w:sz="0" w:space="0" w:color="auto"/>
      </w:divBdr>
    </w:div>
    <w:div w:id="652415010">
      <w:bodyDiv w:val="1"/>
      <w:marLeft w:val="0"/>
      <w:marRight w:val="0"/>
      <w:marTop w:val="0"/>
      <w:marBottom w:val="0"/>
      <w:divBdr>
        <w:top w:val="none" w:sz="0" w:space="0" w:color="auto"/>
        <w:left w:val="none" w:sz="0" w:space="0" w:color="auto"/>
        <w:bottom w:val="none" w:sz="0" w:space="0" w:color="auto"/>
        <w:right w:val="none" w:sz="0" w:space="0" w:color="auto"/>
      </w:divBdr>
    </w:div>
    <w:div w:id="652487789">
      <w:bodyDiv w:val="1"/>
      <w:marLeft w:val="0"/>
      <w:marRight w:val="0"/>
      <w:marTop w:val="0"/>
      <w:marBottom w:val="0"/>
      <w:divBdr>
        <w:top w:val="none" w:sz="0" w:space="0" w:color="auto"/>
        <w:left w:val="none" w:sz="0" w:space="0" w:color="auto"/>
        <w:bottom w:val="none" w:sz="0" w:space="0" w:color="auto"/>
        <w:right w:val="none" w:sz="0" w:space="0" w:color="auto"/>
      </w:divBdr>
    </w:div>
    <w:div w:id="652569257">
      <w:bodyDiv w:val="1"/>
      <w:marLeft w:val="0"/>
      <w:marRight w:val="0"/>
      <w:marTop w:val="0"/>
      <w:marBottom w:val="0"/>
      <w:divBdr>
        <w:top w:val="none" w:sz="0" w:space="0" w:color="auto"/>
        <w:left w:val="none" w:sz="0" w:space="0" w:color="auto"/>
        <w:bottom w:val="none" w:sz="0" w:space="0" w:color="auto"/>
        <w:right w:val="none" w:sz="0" w:space="0" w:color="auto"/>
      </w:divBdr>
    </w:div>
    <w:div w:id="652758597">
      <w:bodyDiv w:val="1"/>
      <w:marLeft w:val="0"/>
      <w:marRight w:val="0"/>
      <w:marTop w:val="0"/>
      <w:marBottom w:val="0"/>
      <w:divBdr>
        <w:top w:val="none" w:sz="0" w:space="0" w:color="auto"/>
        <w:left w:val="none" w:sz="0" w:space="0" w:color="auto"/>
        <w:bottom w:val="none" w:sz="0" w:space="0" w:color="auto"/>
        <w:right w:val="none" w:sz="0" w:space="0" w:color="auto"/>
      </w:divBdr>
    </w:div>
    <w:div w:id="652878355">
      <w:bodyDiv w:val="1"/>
      <w:marLeft w:val="0"/>
      <w:marRight w:val="0"/>
      <w:marTop w:val="0"/>
      <w:marBottom w:val="0"/>
      <w:divBdr>
        <w:top w:val="none" w:sz="0" w:space="0" w:color="auto"/>
        <w:left w:val="none" w:sz="0" w:space="0" w:color="auto"/>
        <w:bottom w:val="none" w:sz="0" w:space="0" w:color="auto"/>
        <w:right w:val="none" w:sz="0" w:space="0" w:color="auto"/>
      </w:divBdr>
    </w:div>
    <w:div w:id="653027254">
      <w:bodyDiv w:val="1"/>
      <w:marLeft w:val="0"/>
      <w:marRight w:val="0"/>
      <w:marTop w:val="0"/>
      <w:marBottom w:val="0"/>
      <w:divBdr>
        <w:top w:val="none" w:sz="0" w:space="0" w:color="auto"/>
        <w:left w:val="none" w:sz="0" w:space="0" w:color="auto"/>
        <w:bottom w:val="none" w:sz="0" w:space="0" w:color="auto"/>
        <w:right w:val="none" w:sz="0" w:space="0" w:color="auto"/>
      </w:divBdr>
    </w:div>
    <w:div w:id="653071061">
      <w:bodyDiv w:val="1"/>
      <w:marLeft w:val="0"/>
      <w:marRight w:val="0"/>
      <w:marTop w:val="0"/>
      <w:marBottom w:val="0"/>
      <w:divBdr>
        <w:top w:val="none" w:sz="0" w:space="0" w:color="auto"/>
        <w:left w:val="none" w:sz="0" w:space="0" w:color="auto"/>
        <w:bottom w:val="none" w:sz="0" w:space="0" w:color="auto"/>
        <w:right w:val="none" w:sz="0" w:space="0" w:color="auto"/>
      </w:divBdr>
    </w:div>
    <w:div w:id="653220480">
      <w:bodyDiv w:val="1"/>
      <w:marLeft w:val="0"/>
      <w:marRight w:val="0"/>
      <w:marTop w:val="0"/>
      <w:marBottom w:val="0"/>
      <w:divBdr>
        <w:top w:val="none" w:sz="0" w:space="0" w:color="auto"/>
        <w:left w:val="none" w:sz="0" w:space="0" w:color="auto"/>
        <w:bottom w:val="none" w:sz="0" w:space="0" w:color="auto"/>
        <w:right w:val="none" w:sz="0" w:space="0" w:color="auto"/>
      </w:divBdr>
    </w:div>
    <w:div w:id="653416933">
      <w:bodyDiv w:val="1"/>
      <w:marLeft w:val="0"/>
      <w:marRight w:val="0"/>
      <w:marTop w:val="0"/>
      <w:marBottom w:val="0"/>
      <w:divBdr>
        <w:top w:val="none" w:sz="0" w:space="0" w:color="auto"/>
        <w:left w:val="none" w:sz="0" w:space="0" w:color="auto"/>
        <w:bottom w:val="none" w:sz="0" w:space="0" w:color="auto"/>
        <w:right w:val="none" w:sz="0" w:space="0" w:color="auto"/>
      </w:divBdr>
    </w:div>
    <w:div w:id="653529268">
      <w:bodyDiv w:val="1"/>
      <w:marLeft w:val="0"/>
      <w:marRight w:val="0"/>
      <w:marTop w:val="0"/>
      <w:marBottom w:val="0"/>
      <w:divBdr>
        <w:top w:val="none" w:sz="0" w:space="0" w:color="auto"/>
        <w:left w:val="none" w:sz="0" w:space="0" w:color="auto"/>
        <w:bottom w:val="none" w:sz="0" w:space="0" w:color="auto"/>
        <w:right w:val="none" w:sz="0" w:space="0" w:color="auto"/>
      </w:divBdr>
    </w:div>
    <w:div w:id="653533882">
      <w:bodyDiv w:val="1"/>
      <w:marLeft w:val="0"/>
      <w:marRight w:val="0"/>
      <w:marTop w:val="0"/>
      <w:marBottom w:val="0"/>
      <w:divBdr>
        <w:top w:val="none" w:sz="0" w:space="0" w:color="auto"/>
        <w:left w:val="none" w:sz="0" w:space="0" w:color="auto"/>
        <w:bottom w:val="none" w:sz="0" w:space="0" w:color="auto"/>
        <w:right w:val="none" w:sz="0" w:space="0" w:color="auto"/>
      </w:divBdr>
    </w:div>
    <w:div w:id="653678913">
      <w:bodyDiv w:val="1"/>
      <w:marLeft w:val="0"/>
      <w:marRight w:val="0"/>
      <w:marTop w:val="0"/>
      <w:marBottom w:val="0"/>
      <w:divBdr>
        <w:top w:val="none" w:sz="0" w:space="0" w:color="auto"/>
        <w:left w:val="none" w:sz="0" w:space="0" w:color="auto"/>
        <w:bottom w:val="none" w:sz="0" w:space="0" w:color="auto"/>
        <w:right w:val="none" w:sz="0" w:space="0" w:color="auto"/>
      </w:divBdr>
    </w:div>
    <w:div w:id="653723103">
      <w:bodyDiv w:val="1"/>
      <w:marLeft w:val="0"/>
      <w:marRight w:val="0"/>
      <w:marTop w:val="0"/>
      <w:marBottom w:val="0"/>
      <w:divBdr>
        <w:top w:val="none" w:sz="0" w:space="0" w:color="auto"/>
        <w:left w:val="none" w:sz="0" w:space="0" w:color="auto"/>
        <w:bottom w:val="none" w:sz="0" w:space="0" w:color="auto"/>
        <w:right w:val="none" w:sz="0" w:space="0" w:color="auto"/>
      </w:divBdr>
    </w:div>
    <w:div w:id="653729267">
      <w:bodyDiv w:val="1"/>
      <w:marLeft w:val="0"/>
      <w:marRight w:val="0"/>
      <w:marTop w:val="0"/>
      <w:marBottom w:val="0"/>
      <w:divBdr>
        <w:top w:val="none" w:sz="0" w:space="0" w:color="auto"/>
        <w:left w:val="none" w:sz="0" w:space="0" w:color="auto"/>
        <w:bottom w:val="none" w:sz="0" w:space="0" w:color="auto"/>
        <w:right w:val="none" w:sz="0" w:space="0" w:color="auto"/>
      </w:divBdr>
    </w:div>
    <w:div w:id="653879629">
      <w:bodyDiv w:val="1"/>
      <w:marLeft w:val="0"/>
      <w:marRight w:val="0"/>
      <w:marTop w:val="0"/>
      <w:marBottom w:val="0"/>
      <w:divBdr>
        <w:top w:val="none" w:sz="0" w:space="0" w:color="auto"/>
        <w:left w:val="none" w:sz="0" w:space="0" w:color="auto"/>
        <w:bottom w:val="none" w:sz="0" w:space="0" w:color="auto"/>
        <w:right w:val="none" w:sz="0" w:space="0" w:color="auto"/>
      </w:divBdr>
    </w:div>
    <w:div w:id="653919001">
      <w:bodyDiv w:val="1"/>
      <w:marLeft w:val="0"/>
      <w:marRight w:val="0"/>
      <w:marTop w:val="0"/>
      <w:marBottom w:val="0"/>
      <w:divBdr>
        <w:top w:val="none" w:sz="0" w:space="0" w:color="auto"/>
        <w:left w:val="none" w:sz="0" w:space="0" w:color="auto"/>
        <w:bottom w:val="none" w:sz="0" w:space="0" w:color="auto"/>
        <w:right w:val="none" w:sz="0" w:space="0" w:color="auto"/>
      </w:divBdr>
    </w:div>
    <w:div w:id="653922160">
      <w:bodyDiv w:val="1"/>
      <w:marLeft w:val="0"/>
      <w:marRight w:val="0"/>
      <w:marTop w:val="0"/>
      <w:marBottom w:val="0"/>
      <w:divBdr>
        <w:top w:val="none" w:sz="0" w:space="0" w:color="auto"/>
        <w:left w:val="none" w:sz="0" w:space="0" w:color="auto"/>
        <w:bottom w:val="none" w:sz="0" w:space="0" w:color="auto"/>
        <w:right w:val="none" w:sz="0" w:space="0" w:color="auto"/>
      </w:divBdr>
    </w:div>
    <w:div w:id="654063821">
      <w:bodyDiv w:val="1"/>
      <w:marLeft w:val="0"/>
      <w:marRight w:val="0"/>
      <w:marTop w:val="0"/>
      <w:marBottom w:val="0"/>
      <w:divBdr>
        <w:top w:val="none" w:sz="0" w:space="0" w:color="auto"/>
        <w:left w:val="none" w:sz="0" w:space="0" w:color="auto"/>
        <w:bottom w:val="none" w:sz="0" w:space="0" w:color="auto"/>
        <w:right w:val="none" w:sz="0" w:space="0" w:color="auto"/>
      </w:divBdr>
    </w:div>
    <w:div w:id="654257393">
      <w:bodyDiv w:val="1"/>
      <w:marLeft w:val="0"/>
      <w:marRight w:val="0"/>
      <w:marTop w:val="0"/>
      <w:marBottom w:val="0"/>
      <w:divBdr>
        <w:top w:val="none" w:sz="0" w:space="0" w:color="auto"/>
        <w:left w:val="none" w:sz="0" w:space="0" w:color="auto"/>
        <w:bottom w:val="none" w:sz="0" w:space="0" w:color="auto"/>
        <w:right w:val="none" w:sz="0" w:space="0" w:color="auto"/>
      </w:divBdr>
    </w:div>
    <w:div w:id="654337261">
      <w:bodyDiv w:val="1"/>
      <w:marLeft w:val="0"/>
      <w:marRight w:val="0"/>
      <w:marTop w:val="0"/>
      <w:marBottom w:val="0"/>
      <w:divBdr>
        <w:top w:val="none" w:sz="0" w:space="0" w:color="auto"/>
        <w:left w:val="none" w:sz="0" w:space="0" w:color="auto"/>
        <w:bottom w:val="none" w:sz="0" w:space="0" w:color="auto"/>
        <w:right w:val="none" w:sz="0" w:space="0" w:color="auto"/>
      </w:divBdr>
    </w:div>
    <w:div w:id="654337296">
      <w:bodyDiv w:val="1"/>
      <w:marLeft w:val="0"/>
      <w:marRight w:val="0"/>
      <w:marTop w:val="0"/>
      <w:marBottom w:val="0"/>
      <w:divBdr>
        <w:top w:val="none" w:sz="0" w:space="0" w:color="auto"/>
        <w:left w:val="none" w:sz="0" w:space="0" w:color="auto"/>
        <w:bottom w:val="none" w:sz="0" w:space="0" w:color="auto"/>
        <w:right w:val="none" w:sz="0" w:space="0" w:color="auto"/>
      </w:divBdr>
    </w:div>
    <w:div w:id="654337601">
      <w:bodyDiv w:val="1"/>
      <w:marLeft w:val="0"/>
      <w:marRight w:val="0"/>
      <w:marTop w:val="0"/>
      <w:marBottom w:val="0"/>
      <w:divBdr>
        <w:top w:val="none" w:sz="0" w:space="0" w:color="auto"/>
        <w:left w:val="none" w:sz="0" w:space="0" w:color="auto"/>
        <w:bottom w:val="none" w:sz="0" w:space="0" w:color="auto"/>
        <w:right w:val="none" w:sz="0" w:space="0" w:color="auto"/>
      </w:divBdr>
    </w:div>
    <w:div w:id="654377934">
      <w:bodyDiv w:val="1"/>
      <w:marLeft w:val="0"/>
      <w:marRight w:val="0"/>
      <w:marTop w:val="0"/>
      <w:marBottom w:val="0"/>
      <w:divBdr>
        <w:top w:val="none" w:sz="0" w:space="0" w:color="auto"/>
        <w:left w:val="none" w:sz="0" w:space="0" w:color="auto"/>
        <w:bottom w:val="none" w:sz="0" w:space="0" w:color="auto"/>
        <w:right w:val="none" w:sz="0" w:space="0" w:color="auto"/>
      </w:divBdr>
    </w:div>
    <w:div w:id="654455905">
      <w:bodyDiv w:val="1"/>
      <w:marLeft w:val="0"/>
      <w:marRight w:val="0"/>
      <w:marTop w:val="0"/>
      <w:marBottom w:val="0"/>
      <w:divBdr>
        <w:top w:val="none" w:sz="0" w:space="0" w:color="auto"/>
        <w:left w:val="none" w:sz="0" w:space="0" w:color="auto"/>
        <w:bottom w:val="none" w:sz="0" w:space="0" w:color="auto"/>
        <w:right w:val="none" w:sz="0" w:space="0" w:color="auto"/>
      </w:divBdr>
    </w:div>
    <w:div w:id="654577088">
      <w:bodyDiv w:val="1"/>
      <w:marLeft w:val="0"/>
      <w:marRight w:val="0"/>
      <w:marTop w:val="0"/>
      <w:marBottom w:val="0"/>
      <w:divBdr>
        <w:top w:val="none" w:sz="0" w:space="0" w:color="auto"/>
        <w:left w:val="none" w:sz="0" w:space="0" w:color="auto"/>
        <w:bottom w:val="none" w:sz="0" w:space="0" w:color="auto"/>
        <w:right w:val="none" w:sz="0" w:space="0" w:color="auto"/>
      </w:divBdr>
    </w:div>
    <w:div w:id="654604299">
      <w:bodyDiv w:val="1"/>
      <w:marLeft w:val="0"/>
      <w:marRight w:val="0"/>
      <w:marTop w:val="0"/>
      <w:marBottom w:val="0"/>
      <w:divBdr>
        <w:top w:val="none" w:sz="0" w:space="0" w:color="auto"/>
        <w:left w:val="none" w:sz="0" w:space="0" w:color="auto"/>
        <w:bottom w:val="none" w:sz="0" w:space="0" w:color="auto"/>
        <w:right w:val="none" w:sz="0" w:space="0" w:color="auto"/>
      </w:divBdr>
    </w:div>
    <w:div w:id="654651168">
      <w:bodyDiv w:val="1"/>
      <w:marLeft w:val="0"/>
      <w:marRight w:val="0"/>
      <w:marTop w:val="0"/>
      <w:marBottom w:val="0"/>
      <w:divBdr>
        <w:top w:val="none" w:sz="0" w:space="0" w:color="auto"/>
        <w:left w:val="none" w:sz="0" w:space="0" w:color="auto"/>
        <w:bottom w:val="none" w:sz="0" w:space="0" w:color="auto"/>
        <w:right w:val="none" w:sz="0" w:space="0" w:color="auto"/>
      </w:divBdr>
    </w:div>
    <w:div w:id="654797880">
      <w:bodyDiv w:val="1"/>
      <w:marLeft w:val="0"/>
      <w:marRight w:val="0"/>
      <w:marTop w:val="0"/>
      <w:marBottom w:val="0"/>
      <w:divBdr>
        <w:top w:val="none" w:sz="0" w:space="0" w:color="auto"/>
        <w:left w:val="none" w:sz="0" w:space="0" w:color="auto"/>
        <w:bottom w:val="none" w:sz="0" w:space="0" w:color="auto"/>
        <w:right w:val="none" w:sz="0" w:space="0" w:color="auto"/>
      </w:divBdr>
    </w:div>
    <w:div w:id="654990624">
      <w:bodyDiv w:val="1"/>
      <w:marLeft w:val="0"/>
      <w:marRight w:val="0"/>
      <w:marTop w:val="0"/>
      <w:marBottom w:val="0"/>
      <w:divBdr>
        <w:top w:val="none" w:sz="0" w:space="0" w:color="auto"/>
        <w:left w:val="none" w:sz="0" w:space="0" w:color="auto"/>
        <w:bottom w:val="none" w:sz="0" w:space="0" w:color="auto"/>
        <w:right w:val="none" w:sz="0" w:space="0" w:color="auto"/>
      </w:divBdr>
    </w:div>
    <w:div w:id="654991761">
      <w:bodyDiv w:val="1"/>
      <w:marLeft w:val="0"/>
      <w:marRight w:val="0"/>
      <w:marTop w:val="0"/>
      <w:marBottom w:val="0"/>
      <w:divBdr>
        <w:top w:val="none" w:sz="0" w:space="0" w:color="auto"/>
        <w:left w:val="none" w:sz="0" w:space="0" w:color="auto"/>
        <w:bottom w:val="none" w:sz="0" w:space="0" w:color="auto"/>
        <w:right w:val="none" w:sz="0" w:space="0" w:color="auto"/>
      </w:divBdr>
    </w:div>
    <w:div w:id="655063806">
      <w:bodyDiv w:val="1"/>
      <w:marLeft w:val="0"/>
      <w:marRight w:val="0"/>
      <w:marTop w:val="0"/>
      <w:marBottom w:val="0"/>
      <w:divBdr>
        <w:top w:val="none" w:sz="0" w:space="0" w:color="auto"/>
        <w:left w:val="none" w:sz="0" w:space="0" w:color="auto"/>
        <w:bottom w:val="none" w:sz="0" w:space="0" w:color="auto"/>
        <w:right w:val="none" w:sz="0" w:space="0" w:color="auto"/>
      </w:divBdr>
    </w:div>
    <w:div w:id="655186533">
      <w:bodyDiv w:val="1"/>
      <w:marLeft w:val="0"/>
      <w:marRight w:val="0"/>
      <w:marTop w:val="0"/>
      <w:marBottom w:val="0"/>
      <w:divBdr>
        <w:top w:val="none" w:sz="0" w:space="0" w:color="auto"/>
        <w:left w:val="none" w:sz="0" w:space="0" w:color="auto"/>
        <w:bottom w:val="none" w:sz="0" w:space="0" w:color="auto"/>
        <w:right w:val="none" w:sz="0" w:space="0" w:color="auto"/>
      </w:divBdr>
    </w:div>
    <w:div w:id="655187055">
      <w:bodyDiv w:val="1"/>
      <w:marLeft w:val="0"/>
      <w:marRight w:val="0"/>
      <w:marTop w:val="0"/>
      <w:marBottom w:val="0"/>
      <w:divBdr>
        <w:top w:val="none" w:sz="0" w:space="0" w:color="auto"/>
        <w:left w:val="none" w:sz="0" w:space="0" w:color="auto"/>
        <w:bottom w:val="none" w:sz="0" w:space="0" w:color="auto"/>
        <w:right w:val="none" w:sz="0" w:space="0" w:color="auto"/>
      </w:divBdr>
    </w:div>
    <w:div w:id="655258766">
      <w:bodyDiv w:val="1"/>
      <w:marLeft w:val="0"/>
      <w:marRight w:val="0"/>
      <w:marTop w:val="0"/>
      <w:marBottom w:val="0"/>
      <w:divBdr>
        <w:top w:val="none" w:sz="0" w:space="0" w:color="auto"/>
        <w:left w:val="none" w:sz="0" w:space="0" w:color="auto"/>
        <w:bottom w:val="none" w:sz="0" w:space="0" w:color="auto"/>
        <w:right w:val="none" w:sz="0" w:space="0" w:color="auto"/>
      </w:divBdr>
    </w:div>
    <w:div w:id="655261640">
      <w:bodyDiv w:val="1"/>
      <w:marLeft w:val="0"/>
      <w:marRight w:val="0"/>
      <w:marTop w:val="0"/>
      <w:marBottom w:val="0"/>
      <w:divBdr>
        <w:top w:val="none" w:sz="0" w:space="0" w:color="auto"/>
        <w:left w:val="none" w:sz="0" w:space="0" w:color="auto"/>
        <w:bottom w:val="none" w:sz="0" w:space="0" w:color="auto"/>
        <w:right w:val="none" w:sz="0" w:space="0" w:color="auto"/>
      </w:divBdr>
    </w:div>
    <w:div w:id="655300871">
      <w:bodyDiv w:val="1"/>
      <w:marLeft w:val="0"/>
      <w:marRight w:val="0"/>
      <w:marTop w:val="0"/>
      <w:marBottom w:val="0"/>
      <w:divBdr>
        <w:top w:val="none" w:sz="0" w:space="0" w:color="auto"/>
        <w:left w:val="none" w:sz="0" w:space="0" w:color="auto"/>
        <w:bottom w:val="none" w:sz="0" w:space="0" w:color="auto"/>
        <w:right w:val="none" w:sz="0" w:space="0" w:color="auto"/>
      </w:divBdr>
    </w:div>
    <w:div w:id="655306189">
      <w:bodyDiv w:val="1"/>
      <w:marLeft w:val="0"/>
      <w:marRight w:val="0"/>
      <w:marTop w:val="0"/>
      <w:marBottom w:val="0"/>
      <w:divBdr>
        <w:top w:val="none" w:sz="0" w:space="0" w:color="auto"/>
        <w:left w:val="none" w:sz="0" w:space="0" w:color="auto"/>
        <w:bottom w:val="none" w:sz="0" w:space="0" w:color="auto"/>
        <w:right w:val="none" w:sz="0" w:space="0" w:color="auto"/>
      </w:divBdr>
    </w:div>
    <w:div w:id="655379577">
      <w:bodyDiv w:val="1"/>
      <w:marLeft w:val="0"/>
      <w:marRight w:val="0"/>
      <w:marTop w:val="0"/>
      <w:marBottom w:val="0"/>
      <w:divBdr>
        <w:top w:val="none" w:sz="0" w:space="0" w:color="auto"/>
        <w:left w:val="none" w:sz="0" w:space="0" w:color="auto"/>
        <w:bottom w:val="none" w:sz="0" w:space="0" w:color="auto"/>
        <w:right w:val="none" w:sz="0" w:space="0" w:color="auto"/>
      </w:divBdr>
    </w:div>
    <w:div w:id="655718917">
      <w:bodyDiv w:val="1"/>
      <w:marLeft w:val="0"/>
      <w:marRight w:val="0"/>
      <w:marTop w:val="0"/>
      <w:marBottom w:val="0"/>
      <w:divBdr>
        <w:top w:val="none" w:sz="0" w:space="0" w:color="auto"/>
        <w:left w:val="none" w:sz="0" w:space="0" w:color="auto"/>
        <w:bottom w:val="none" w:sz="0" w:space="0" w:color="auto"/>
        <w:right w:val="none" w:sz="0" w:space="0" w:color="auto"/>
      </w:divBdr>
    </w:div>
    <w:div w:id="655841760">
      <w:bodyDiv w:val="1"/>
      <w:marLeft w:val="0"/>
      <w:marRight w:val="0"/>
      <w:marTop w:val="0"/>
      <w:marBottom w:val="0"/>
      <w:divBdr>
        <w:top w:val="none" w:sz="0" w:space="0" w:color="auto"/>
        <w:left w:val="none" w:sz="0" w:space="0" w:color="auto"/>
        <w:bottom w:val="none" w:sz="0" w:space="0" w:color="auto"/>
        <w:right w:val="none" w:sz="0" w:space="0" w:color="auto"/>
      </w:divBdr>
    </w:div>
    <w:div w:id="655844295">
      <w:bodyDiv w:val="1"/>
      <w:marLeft w:val="0"/>
      <w:marRight w:val="0"/>
      <w:marTop w:val="0"/>
      <w:marBottom w:val="0"/>
      <w:divBdr>
        <w:top w:val="none" w:sz="0" w:space="0" w:color="auto"/>
        <w:left w:val="none" w:sz="0" w:space="0" w:color="auto"/>
        <w:bottom w:val="none" w:sz="0" w:space="0" w:color="auto"/>
        <w:right w:val="none" w:sz="0" w:space="0" w:color="auto"/>
      </w:divBdr>
    </w:div>
    <w:div w:id="655915179">
      <w:bodyDiv w:val="1"/>
      <w:marLeft w:val="0"/>
      <w:marRight w:val="0"/>
      <w:marTop w:val="0"/>
      <w:marBottom w:val="0"/>
      <w:divBdr>
        <w:top w:val="none" w:sz="0" w:space="0" w:color="auto"/>
        <w:left w:val="none" w:sz="0" w:space="0" w:color="auto"/>
        <w:bottom w:val="none" w:sz="0" w:space="0" w:color="auto"/>
        <w:right w:val="none" w:sz="0" w:space="0" w:color="auto"/>
      </w:divBdr>
    </w:div>
    <w:div w:id="656030613">
      <w:bodyDiv w:val="1"/>
      <w:marLeft w:val="0"/>
      <w:marRight w:val="0"/>
      <w:marTop w:val="0"/>
      <w:marBottom w:val="0"/>
      <w:divBdr>
        <w:top w:val="none" w:sz="0" w:space="0" w:color="auto"/>
        <w:left w:val="none" w:sz="0" w:space="0" w:color="auto"/>
        <w:bottom w:val="none" w:sz="0" w:space="0" w:color="auto"/>
        <w:right w:val="none" w:sz="0" w:space="0" w:color="auto"/>
      </w:divBdr>
    </w:div>
    <w:div w:id="656035464">
      <w:bodyDiv w:val="1"/>
      <w:marLeft w:val="0"/>
      <w:marRight w:val="0"/>
      <w:marTop w:val="0"/>
      <w:marBottom w:val="0"/>
      <w:divBdr>
        <w:top w:val="none" w:sz="0" w:space="0" w:color="auto"/>
        <w:left w:val="none" w:sz="0" w:space="0" w:color="auto"/>
        <w:bottom w:val="none" w:sz="0" w:space="0" w:color="auto"/>
        <w:right w:val="none" w:sz="0" w:space="0" w:color="auto"/>
      </w:divBdr>
    </w:div>
    <w:div w:id="656154259">
      <w:bodyDiv w:val="1"/>
      <w:marLeft w:val="0"/>
      <w:marRight w:val="0"/>
      <w:marTop w:val="0"/>
      <w:marBottom w:val="0"/>
      <w:divBdr>
        <w:top w:val="none" w:sz="0" w:space="0" w:color="auto"/>
        <w:left w:val="none" w:sz="0" w:space="0" w:color="auto"/>
        <w:bottom w:val="none" w:sz="0" w:space="0" w:color="auto"/>
        <w:right w:val="none" w:sz="0" w:space="0" w:color="auto"/>
      </w:divBdr>
    </w:div>
    <w:div w:id="656155673">
      <w:bodyDiv w:val="1"/>
      <w:marLeft w:val="0"/>
      <w:marRight w:val="0"/>
      <w:marTop w:val="0"/>
      <w:marBottom w:val="0"/>
      <w:divBdr>
        <w:top w:val="none" w:sz="0" w:space="0" w:color="auto"/>
        <w:left w:val="none" w:sz="0" w:space="0" w:color="auto"/>
        <w:bottom w:val="none" w:sz="0" w:space="0" w:color="auto"/>
        <w:right w:val="none" w:sz="0" w:space="0" w:color="auto"/>
      </w:divBdr>
    </w:div>
    <w:div w:id="656225705">
      <w:bodyDiv w:val="1"/>
      <w:marLeft w:val="0"/>
      <w:marRight w:val="0"/>
      <w:marTop w:val="0"/>
      <w:marBottom w:val="0"/>
      <w:divBdr>
        <w:top w:val="none" w:sz="0" w:space="0" w:color="auto"/>
        <w:left w:val="none" w:sz="0" w:space="0" w:color="auto"/>
        <w:bottom w:val="none" w:sz="0" w:space="0" w:color="auto"/>
        <w:right w:val="none" w:sz="0" w:space="0" w:color="auto"/>
      </w:divBdr>
    </w:div>
    <w:div w:id="656230780">
      <w:bodyDiv w:val="1"/>
      <w:marLeft w:val="0"/>
      <w:marRight w:val="0"/>
      <w:marTop w:val="0"/>
      <w:marBottom w:val="0"/>
      <w:divBdr>
        <w:top w:val="none" w:sz="0" w:space="0" w:color="auto"/>
        <w:left w:val="none" w:sz="0" w:space="0" w:color="auto"/>
        <w:bottom w:val="none" w:sz="0" w:space="0" w:color="auto"/>
        <w:right w:val="none" w:sz="0" w:space="0" w:color="auto"/>
      </w:divBdr>
    </w:div>
    <w:div w:id="656300778">
      <w:bodyDiv w:val="1"/>
      <w:marLeft w:val="0"/>
      <w:marRight w:val="0"/>
      <w:marTop w:val="0"/>
      <w:marBottom w:val="0"/>
      <w:divBdr>
        <w:top w:val="none" w:sz="0" w:space="0" w:color="auto"/>
        <w:left w:val="none" w:sz="0" w:space="0" w:color="auto"/>
        <w:bottom w:val="none" w:sz="0" w:space="0" w:color="auto"/>
        <w:right w:val="none" w:sz="0" w:space="0" w:color="auto"/>
      </w:divBdr>
    </w:div>
    <w:div w:id="656305697">
      <w:bodyDiv w:val="1"/>
      <w:marLeft w:val="0"/>
      <w:marRight w:val="0"/>
      <w:marTop w:val="0"/>
      <w:marBottom w:val="0"/>
      <w:divBdr>
        <w:top w:val="none" w:sz="0" w:space="0" w:color="auto"/>
        <w:left w:val="none" w:sz="0" w:space="0" w:color="auto"/>
        <w:bottom w:val="none" w:sz="0" w:space="0" w:color="auto"/>
        <w:right w:val="none" w:sz="0" w:space="0" w:color="auto"/>
      </w:divBdr>
    </w:div>
    <w:div w:id="656421232">
      <w:bodyDiv w:val="1"/>
      <w:marLeft w:val="0"/>
      <w:marRight w:val="0"/>
      <w:marTop w:val="0"/>
      <w:marBottom w:val="0"/>
      <w:divBdr>
        <w:top w:val="none" w:sz="0" w:space="0" w:color="auto"/>
        <w:left w:val="none" w:sz="0" w:space="0" w:color="auto"/>
        <w:bottom w:val="none" w:sz="0" w:space="0" w:color="auto"/>
        <w:right w:val="none" w:sz="0" w:space="0" w:color="auto"/>
      </w:divBdr>
    </w:div>
    <w:div w:id="656425389">
      <w:bodyDiv w:val="1"/>
      <w:marLeft w:val="0"/>
      <w:marRight w:val="0"/>
      <w:marTop w:val="0"/>
      <w:marBottom w:val="0"/>
      <w:divBdr>
        <w:top w:val="none" w:sz="0" w:space="0" w:color="auto"/>
        <w:left w:val="none" w:sz="0" w:space="0" w:color="auto"/>
        <w:bottom w:val="none" w:sz="0" w:space="0" w:color="auto"/>
        <w:right w:val="none" w:sz="0" w:space="0" w:color="auto"/>
      </w:divBdr>
    </w:div>
    <w:div w:id="656569711">
      <w:bodyDiv w:val="1"/>
      <w:marLeft w:val="0"/>
      <w:marRight w:val="0"/>
      <w:marTop w:val="0"/>
      <w:marBottom w:val="0"/>
      <w:divBdr>
        <w:top w:val="none" w:sz="0" w:space="0" w:color="auto"/>
        <w:left w:val="none" w:sz="0" w:space="0" w:color="auto"/>
        <w:bottom w:val="none" w:sz="0" w:space="0" w:color="auto"/>
        <w:right w:val="none" w:sz="0" w:space="0" w:color="auto"/>
      </w:divBdr>
    </w:div>
    <w:div w:id="656736357">
      <w:bodyDiv w:val="1"/>
      <w:marLeft w:val="0"/>
      <w:marRight w:val="0"/>
      <w:marTop w:val="0"/>
      <w:marBottom w:val="0"/>
      <w:divBdr>
        <w:top w:val="none" w:sz="0" w:space="0" w:color="auto"/>
        <w:left w:val="none" w:sz="0" w:space="0" w:color="auto"/>
        <w:bottom w:val="none" w:sz="0" w:space="0" w:color="auto"/>
        <w:right w:val="none" w:sz="0" w:space="0" w:color="auto"/>
      </w:divBdr>
    </w:div>
    <w:div w:id="656811753">
      <w:bodyDiv w:val="1"/>
      <w:marLeft w:val="0"/>
      <w:marRight w:val="0"/>
      <w:marTop w:val="0"/>
      <w:marBottom w:val="0"/>
      <w:divBdr>
        <w:top w:val="none" w:sz="0" w:space="0" w:color="auto"/>
        <w:left w:val="none" w:sz="0" w:space="0" w:color="auto"/>
        <w:bottom w:val="none" w:sz="0" w:space="0" w:color="auto"/>
        <w:right w:val="none" w:sz="0" w:space="0" w:color="auto"/>
      </w:divBdr>
    </w:div>
    <w:div w:id="656953478">
      <w:bodyDiv w:val="1"/>
      <w:marLeft w:val="0"/>
      <w:marRight w:val="0"/>
      <w:marTop w:val="0"/>
      <w:marBottom w:val="0"/>
      <w:divBdr>
        <w:top w:val="none" w:sz="0" w:space="0" w:color="auto"/>
        <w:left w:val="none" w:sz="0" w:space="0" w:color="auto"/>
        <w:bottom w:val="none" w:sz="0" w:space="0" w:color="auto"/>
        <w:right w:val="none" w:sz="0" w:space="0" w:color="auto"/>
      </w:divBdr>
    </w:div>
    <w:div w:id="656955053">
      <w:bodyDiv w:val="1"/>
      <w:marLeft w:val="0"/>
      <w:marRight w:val="0"/>
      <w:marTop w:val="0"/>
      <w:marBottom w:val="0"/>
      <w:divBdr>
        <w:top w:val="none" w:sz="0" w:space="0" w:color="auto"/>
        <w:left w:val="none" w:sz="0" w:space="0" w:color="auto"/>
        <w:bottom w:val="none" w:sz="0" w:space="0" w:color="auto"/>
        <w:right w:val="none" w:sz="0" w:space="0" w:color="auto"/>
      </w:divBdr>
    </w:div>
    <w:div w:id="656961362">
      <w:bodyDiv w:val="1"/>
      <w:marLeft w:val="0"/>
      <w:marRight w:val="0"/>
      <w:marTop w:val="0"/>
      <w:marBottom w:val="0"/>
      <w:divBdr>
        <w:top w:val="none" w:sz="0" w:space="0" w:color="auto"/>
        <w:left w:val="none" w:sz="0" w:space="0" w:color="auto"/>
        <w:bottom w:val="none" w:sz="0" w:space="0" w:color="auto"/>
        <w:right w:val="none" w:sz="0" w:space="0" w:color="auto"/>
      </w:divBdr>
    </w:div>
    <w:div w:id="657079606">
      <w:bodyDiv w:val="1"/>
      <w:marLeft w:val="0"/>
      <w:marRight w:val="0"/>
      <w:marTop w:val="0"/>
      <w:marBottom w:val="0"/>
      <w:divBdr>
        <w:top w:val="none" w:sz="0" w:space="0" w:color="auto"/>
        <w:left w:val="none" w:sz="0" w:space="0" w:color="auto"/>
        <w:bottom w:val="none" w:sz="0" w:space="0" w:color="auto"/>
        <w:right w:val="none" w:sz="0" w:space="0" w:color="auto"/>
      </w:divBdr>
    </w:div>
    <w:div w:id="657147860">
      <w:bodyDiv w:val="1"/>
      <w:marLeft w:val="0"/>
      <w:marRight w:val="0"/>
      <w:marTop w:val="0"/>
      <w:marBottom w:val="0"/>
      <w:divBdr>
        <w:top w:val="none" w:sz="0" w:space="0" w:color="auto"/>
        <w:left w:val="none" w:sz="0" w:space="0" w:color="auto"/>
        <w:bottom w:val="none" w:sz="0" w:space="0" w:color="auto"/>
        <w:right w:val="none" w:sz="0" w:space="0" w:color="auto"/>
      </w:divBdr>
    </w:div>
    <w:div w:id="657148242">
      <w:bodyDiv w:val="1"/>
      <w:marLeft w:val="0"/>
      <w:marRight w:val="0"/>
      <w:marTop w:val="0"/>
      <w:marBottom w:val="0"/>
      <w:divBdr>
        <w:top w:val="none" w:sz="0" w:space="0" w:color="auto"/>
        <w:left w:val="none" w:sz="0" w:space="0" w:color="auto"/>
        <w:bottom w:val="none" w:sz="0" w:space="0" w:color="auto"/>
        <w:right w:val="none" w:sz="0" w:space="0" w:color="auto"/>
      </w:divBdr>
    </w:div>
    <w:div w:id="657340088">
      <w:bodyDiv w:val="1"/>
      <w:marLeft w:val="0"/>
      <w:marRight w:val="0"/>
      <w:marTop w:val="0"/>
      <w:marBottom w:val="0"/>
      <w:divBdr>
        <w:top w:val="none" w:sz="0" w:space="0" w:color="auto"/>
        <w:left w:val="none" w:sz="0" w:space="0" w:color="auto"/>
        <w:bottom w:val="none" w:sz="0" w:space="0" w:color="auto"/>
        <w:right w:val="none" w:sz="0" w:space="0" w:color="auto"/>
      </w:divBdr>
    </w:div>
    <w:div w:id="657421013">
      <w:bodyDiv w:val="1"/>
      <w:marLeft w:val="0"/>
      <w:marRight w:val="0"/>
      <w:marTop w:val="0"/>
      <w:marBottom w:val="0"/>
      <w:divBdr>
        <w:top w:val="none" w:sz="0" w:space="0" w:color="auto"/>
        <w:left w:val="none" w:sz="0" w:space="0" w:color="auto"/>
        <w:bottom w:val="none" w:sz="0" w:space="0" w:color="auto"/>
        <w:right w:val="none" w:sz="0" w:space="0" w:color="auto"/>
      </w:divBdr>
    </w:div>
    <w:div w:id="657610158">
      <w:bodyDiv w:val="1"/>
      <w:marLeft w:val="0"/>
      <w:marRight w:val="0"/>
      <w:marTop w:val="0"/>
      <w:marBottom w:val="0"/>
      <w:divBdr>
        <w:top w:val="none" w:sz="0" w:space="0" w:color="auto"/>
        <w:left w:val="none" w:sz="0" w:space="0" w:color="auto"/>
        <w:bottom w:val="none" w:sz="0" w:space="0" w:color="auto"/>
        <w:right w:val="none" w:sz="0" w:space="0" w:color="auto"/>
      </w:divBdr>
    </w:div>
    <w:div w:id="657611482">
      <w:bodyDiv w:val="1"/>
      <w:marLeft w:val="0"/>
      <w:marRight w:val="0"/>
      <w:marTop w:val="0"/>
      <w:marBottom w:val="0"/>
      <w:divBdr>
        <w:top w:val="none" w:sz="0" w:space="0" w:color="auto"/>
        <w:left w:val="none" w:sz="0" w:space="0" w:color="auto"/>
        <w:bottom w:val="none" w:sz="0" w:space="0" w:color="auto"/>
        <w:right w:val="none" w:sz="0" w:space="0" w:color="auto"/>
      </w:divBdr>
    </w:div>
    <w:div w:id="657658520">
      <w:bodyDiv w:val="1"/>
      <w:marLeft w:val="0"/>
      <w:marRight w:val="0"/>
      <w:marTop w:val="0"/>
      <w:marBottom w:val="0"/>
      <w:divBdr>
        <w:top w:val="none" w:sz="0" w:space="0" w:color="auto"/>
        <w:left w:val="none" w:sz="0" w:space="0" w:color="auto"/>
        <w:bottom w:val="none" w:sz="0" w:space="0" w:color="auto"/>
        <w:right w:val="none" w:sz="0" w:space="0" w:color="auto"/>
      </w:divBdr>
    </w:div>
    <w:div w:id="657851025">
      <w:bodyDiv w:val="1"/>
      <w:marLeft w:val="0"/>
      <w:marRight w:val="0"/>
      <w:marTop w:val="0"/>
      <w:marBottom w:val="0"/>
      <w:divBdr>
        <w:top w:val="none" w:sz="0" w:space="0" w:color="auto"/>
        <w:left w:val="none" w:sz="0" w:space="0" w:color="auto"/>
        <w:bottom w:val="none" w:sz="0" w:space="0" w:color="auto"/>
        <w:right w:val="none" w:sz="0" w:space="0" w:color="auto"/>
      </w:divBdr>
    </w:div>
    <w:div w:id="657878835">
      <w:bodyDiv w:val="1"/>
      <w:marLeft w:val="0"/>
      <w:marRight w:val="0"/>
      <w:marTop w:val="0"/>
      <w:marBottom w:val="0"/>
      <w:divBdr>
        <w:top w:val="none" w:sz="0" w:space="0" w:color="auto"/>
        <w:left w:val="none" w:sz="0" w:space="0" w:color="auto"/>
        <w:bottom w:val="none" w:sz="0" w:space="0" w:color="auto"/>
        <w:right w:val="none" w:sz="0" w:space="0" w:color="auto"/>
      </w:divBdr>
    </w:div>
    <w:div w:id="657882114">
      <w:bodyDiv w:val="1"/>
      <w:marLeft w:val="0"/>
      <w:marRight w:val="0"/>
      <w:marTop w:val="0"/>
      <w:marBottom w:val="0"/>
      <w:divBdr>
        <w:top w:val="none" w:sz="0" w:space="0" w:color="auto"/>
        <w:left w:val="none" w:sz="0" w:space="0" w:color="auto"/>
        <w:bottom w:val="none" w:sz="0" w:space="0" w:color="auto"/>
        <w:right w:val="none" w:sz="0" w:space="0" w:color="auto"/>
      </w:divBdr>
    </w:div>
    <w:div w:id="657921129">
      <w:bodyDiv w:val="1"/>
      <w:marLeft w:val="0"/>
      <w:marRight w:val="0"/>
      <w:marTop w:val="0"/>
      <w:marBottom w:val="0"/>
      <w:divBdr>
        <w:top w:val="none" w:sz="0" w:space="0" w:color="auto"/>
        <w:left w:val="none" w:sz="0" w:space="0" w:color="auto"/>
        <w:bottom w:val="none" w:sz="0" w:space="0" w:color="auto"/>
        <w:right w:val="none" w:sz="0" w:space="0" w:color="auto"/>
      </w:divBdr>
    </w:div>
    <w:div w:id="657995552">
      <w:bodyDiv w:val="1"/>
      <w:marLeft w:val="0"/>
      <w:marRight w:val="0"/>
      <w:marTop w:val="0"/>
      <w:marBottom w:val="0"/>
      <w:divBdr>
        <w:top w:val="none" w:sz="0" w:space="0" w:color="auto"/>
        <w:left w:val="none" w:sz="0" w:space="0" w:color="auto"/>
        <w:bottom w:val="none" w:sz="0" w:space="0" w:color="auto"/>
        <w:right w:val="none" w:sz="0" w:space="0" w:color="auto"/>
      </w:divBdr>
    </w:div>
    <w:div w:id="658003820">
      <w:bodyDiv w:val="1"/>
      <w:marLeft w:val="0"/>
      <w:marRight w:val="0"/>
      <w:marTop w:val="0"/>
      <w:marBottom w:val="0"/>
      <w:divBdr>
        <w:top w:val="none" w:sz="0" w:space="0" w:color="auto"/>
        <w:left w:val="none" w:sz="0" w:space="0" w:color="auto"/>
        <w:bottom w:val="none" w:sz="0" w:space="0" w:color="auto"/>
        <w:right w:val="none" w:sz="0" w:space="0" w:color="auto"/>
      </w:divBdr>
    </w:div>
    <w:div w:id="658072986">
      <w:bodyDiv w:val="1"/>
      <w:marLeft w:val="0"/>
      <w:marRight w:val="0"/>
      <w:marTop w:val="0"/>
      <w:marBottom w:val="0"/>
      <w:divBdr>
        <w:top w:val="none" w:sz="0" w:space="0" w:color="auto"/>
        <w:left w:val="none" w:sz="0" w:space="0" w:color="auto"/>
        <w:bottom w:val="none" w:sz="0" w:space="0" w:color="auto"/>
        <w:right w:val="none" w:sz="0" w:space="0" w:color="auto"/>
      </w:divBdr>
    </w:div>
    <w:div w:id="658113294">
      <w:bodyDiv w:val="1"/>
      <w:marLeft w:val="0"/>
      <w:marRight w:val="0"/>
      <w:marTop w:val="0"/>
      <w:marBottom w:val="0"/>
      <w:divBdr>
        <w:top w:val="none" w:sz="0" w:space="0" w:color="auto"/>
        <w:left w:val="none" w:sz="0" w:space="0" w:color="auto"/>
        <w:bottom w:val="none" w:sz="0" w:space="0" w:color="auto"/>
        <w:right w:val="none" w:sz="0" w:space="0" w:color="auto"/>
      </w:divBdr>
    </w:div>
    <w:div w:id="658382548">
      <w:bodyDiv w:val="1"/>
      <w:marLeft w:val="0"/>
      <w:marRight w:val="0"/>
      <w:marTop w:val="0"/>
      <w:marBottom w:val="0"/>
      <w:divBdr>
        <w:top w:val="none" w:sz="0" w:space="0" w:color="auto"/>
        <w:left w:val="none" w:sz="0" w:space="0" w:color="auto"/>
        <w:bottom w:val="none" w:sz="0" w:space="0" w:color="auto"/>
        <w:right w:val="none" w:sz="0" w:space="0" w:color="auto"/>
      </w:divBdr>
    </w:div>
    <w:div w:id="658384252">
      <w:bodyDiv w:val="1"/>
      <w:marLeft w:val="0"/>
      <w:marRight w:val="0"/>
      <w:marTop w:val="0"/>
      <w:marBottom w:val="0"/>
      <w:divBdr>
        <w:top w:val="none" w:sz="0" w:space="0" w:color="auto"/>
        <w:left w:val="none" w:sz="0" w:space="0" w:color="auto"/>
        <w:bottom w:val="none" w:sz="0" w:space="0" w:color="auto"/>
        <w:right w:val="none" w:sz="0" w:space="0" w:color="auto"/>
      </w:divBdr>
    </w:div>
    <w:div w:id="658508283">
      <w:bodyDiv w:val="1"/>
      <w:marLeft w:val="0"/>
      <w:marRight w:val="0"/>
      <w:marTop w:val="0"/>
      <w:marBottom w:val="0"/>
      <w:divBdr>
        <w:top w:val="none" w:sz="0" w:space="0" w:color="auto"/>
        <w:left w:val="none" w:sz="0" w:space="0" w:color="auto"/>
        <w:bottom w:val="none" w:sz="0" w:space="0" w:color="auto"/>
        <w:right w:val="none" w:sz="0" w:space="0" w:color="auto"/>
      </w:divBdr>
    </w:div>
    <w:div w:id="658579247">
      <w:bodyDiv w:val="1"/>
      <w:marLeft w:val="0"/>
      <w:marRight w:val="0"/>
      <w:marTop w:val="0"/>
      <w:marBottom w:val="0"/>
      <w:divBdr>
        <w:top w:val="none" w:sz="0" w:space="0" w:color="auto"/>
        <w:left w:val="none" w:sz="0" w:space="0" w:color="auto"/>
        <w:bottom w:val="none" w:sz="0" w:space="0" w:color="auto"/>
        <w:right w:val="none" w:sz="0" w:space="0" w:color="auto"/>
      </w:divBdr>
    </w:div>
    <w:div w:id="658583550">
      <w:bodyDiv w:val="1"/>
      <w:marLeft w:val="0"/>
      <w:marRight w:val="0"/>
      <w:marTop w:val="0"/>
      <w:marBottom w:val="0"/>
      <w:divBdr>
        <w:top w:val="none" w:sz="0" w:space="0" w:color="auto"/>
        <w:left w:val="none" w:sz="0" w:space="0" w:color="auto"/>
        <w:bottom w:val="none" w:sz="0" w:space="0" w:color="auto"/>
        <w:right w:val="none" w:sz="0" w:space="0" w:color="auto"/>
      </w:divBdr>
    </w:div>
    <w:div w:id="658771927">
      <w:bodyDiv w:val="1"/>
      <w:marLeft w:val="0"/>
      <w:marRight w:val="0"/>
      <w:marTop w:val="0"/>
      <w:marBottom w:val="0"/>
      <w:divBdr>
        <w:top w:val="none" w:sz="0" w:space="0" w:color="auto"/>
        <w:left w:val="none" w:sz="0" w:space="0" w:color="auto"/>
        <w:bottom w:val="none" w:sz="0" w:space="0" w:color="auto"/>
        <w:right w:val="none" w:sz="0" w:space="0" w:color="auto"/>
      </w:divBdr>
    </w:div>
    <w:div w:id="658964875">
      <w:bodyDiv w:val="1"/>
      <w:marLeft w:val="0"/>
      <w:marRight w:val="0"/>
      <w:marTop w:val="0"/>
      <w:marBottom w:val="0"/>
      <w:divBdr>
        <w:top w:val="none" w:sz="0" w:space="0" w:color="auto"/>
        <w:left w:val="none" w:sz="0" w:space="0" w:color="auto"/>
        <w:bottom w:val="none" w:sz="0" w:space="0" w:color="auto"/>
        <w:right w:val="none" w:sz="0" w:space="0" w:color="auto"/>
      </w:divBdr>
    </w:div>
    <w:div w:id="659044893">
      <w:bodyDiv w:val="1"/>
      <w:marLeft w:val="0"/>
      <w:marRight w:val="0"/>
      <w:marTop w:val="0"/>
      <w:marBottom w:val="0"/>
      <w:divBdr>
        <w:top w:val="none" w:sz="0" w:space="0" w:color="auto"/>
        <w:left w:val="none" w:sz="0" w:space="0" w:color="auto"/>
        <w:bottom w:val="none" w:sz="0" w:space="0" w:color="auto"/>
        <w:right w:val="none" w:sz="0" w:space="0" w:color="auto"/>
      </w:divBdr>
    </w:div>
    <w:div w:id="659237490">
      <w:bodyDiv w:val="1"/>
      <w:marLeft w:val="0"/>
      <w:marRight w:val="0"/>
      <w:marTop w:val="0"/>
      <w:marBottom w:val="0"/>
      <w:divBdr>
        <w:top w:val="none" w:sz="0" w:space="0" w:color="auto"/>
        <w:left w:val="none" w:sz="0" w:space="0" w:color="auto"/>
        <w:bottom w:val="none" w:sz="0" w:space="0" w:color="auto"/>
        <w:right w:val="none" w:sz="0" w:space="0" w:color="auto"/>
      </w:divBdr>
    </w:div>
    <w:div w:id="659314884">
      <w:bodyDiv w:val="1"/>
      <w:marLeft w:val="0"/>
      <w:marRight w:val="0"/>
      <w:marTop w:val="0"/>
      <w:marBottom w:val="0"/>
      <w:divBdr>
        <w:top w:val="none" w:sz="0" w:space="0" w:color="auto"/>
        <w:left w:val="none" w:sz="0" w:space="0" w:color="auto"/>
        <w:bottom w:val="none" w:sz="0" w:space="0" w:color="auto"/>
        <w:right w:val="none" w:sz="0" w:space="0" w:color="auto"/>
      </w:divBdr>
    </w:div>
    <w:div w:id="659385710">
      <w:bodyDiv w:val="1"/>
      <w:marLeft w:val="0"/>
      <w:marRight w:val="0"/>
      <w:marTop w:val="0"/>
      <w:marBottom w:val="0"/>
      <w:divBdr>
        <w:top w:val="none" w:sz="0" w:space="0" w:color="auto"/>
        <w:left w:val="none" w:sz="0" w:space="0" w:color="auto"/>
        <w:bottom w:val="none" w:sz="0" w:space="0" w:color="auto"/>
        <w:right w:val="none" w:sz="0" w:space="0" w:color="auto"/>
      </w:divBdr>
    </w:div>
    <w:div w:id="659388280">
      <w:bodyDiv w:val="1"/>
      <w:marLeft w:val="0"/>
      <w:marRight w:val="0"/>
      <w:marTop w:val="0"/>
      <w:marBottom w:val="0"/>
      <w:divBdr>
        <w:top w:val="none" w:sz="0" w:space="0" w:color="auto"/>
        <w:left w:val="none" w:sz="0" w:space="0" w:color="auto"/>
        <w:bottom w:val="none" w:sz="0" w:space="0" w:color="auto"/>
        <w:right w:val="none" w:sz="0" w:space="0" w:color="auto"/>
      </w:divBdr>
    </w:div>
    <w:div w:id="659388782">
      <w:bodyDiv w:val="1"/>
      <w:marLeft w:val="0"/>
      <w:marRight w:val="0"/>
      <w:marTop w:val="0"/>
      <w:marBottom w:val="0"/>
      <w:divBdr>
        <w:top w:val="none" w:sz="0" w:space="0" w:color="auto"/>
        <w:left w:val="none" w:sz="0" w:space="0" w:color="auto"/>
        <w:bottom w:val="none" w:sz="0" w:space="0" w:color="auto"/>
        <w:right w:val="none" w:sz="0" w:space="0" w:color="auto"/>
      </w:divBdr>
    </w:div>
    <w:div w:id="659768081">
      <w:bodyDiv w:val="1"/>
      <w:marLeft w:val="0"/>
      <w:marRight w:val="0"/>
      <w:marTop w:val="0"/>
      <w:marBottom w:val="0"/>
      <w:divBdr>
        <w:top w:val="none" w:sz="0" w:space="0" w:color="auto"/>
        <w:left w:val="none" w:sz="0" w:space="0" w:color="auto"/>
        <w:bottom w:val="none" w:sz="0" w:space="0" w:color="auto"/>
        <w:right w:val="none" w:sz="0" w:space="0" w:color="auto"/>
      </w:divBdr>
    </w:div>
    <w:div w:id="659843256">
      <w:bodyDiv w:val="1"/>
      <w:marLeft w:val="0"/>
      <w:marRight w:val="0"/>
      <w:marTop w:val="0"/>
      <w:marBottom w:val="0"/>
      <w:divBdr>
        <w:top w:val="none" w:sz="0" w:space="0" w:color="auto"/>
        <w:left w:val="none" w:sz="0" w:space="0" w:color="auto"/>
        <w:bottom w:val="none" w:sz="0" w:space="0" w:color="auto"/>
        <w:right w:val="none" w:sz="0" w:space="0" w:color="auto"/>
      </w:divBdr>
    </w:div>
    <w:div w:id="659890158">
      <w:bodyDiv w:val="1"/>
      <w:marLeft w:val="0"/>
      <w:marRight w:val="0"/>
      <w:marTop w:val="0"/>
      <w:marBottom w:val="0"/>
      <w:divBdr>
        <w:top w:val="none" w:sz="0" w:space="0" w:color="auto"/>
        <w:left w:val="none" w:sz="0" w:space="0" w:color="auto"/>
        <w:bottom w:val="none" w:sz="0" w:space="0" w:color="auto"/>
        <w:right w:val="none" w:sz="0" w:space="0" w:color="auto"/>
      </w:divBdr>
    </w:div>
    <w:div w:id="659969295">
      <w:bodyDiv w:val="1"/>
      <w:marLeft w:val="0"/>
      <w:marRight w:val="0"/>
      <w:marTop w:val="0"/>
      <w:marBottom w:val="0"/>
      <w:divBdr>
        <w:top w:val="none" w:sz="0" w:space="0" w:color="auto"/>
        <w:left w:val="none" w:sz="0" w:space="0" w:color="auto"/>
        <w:bottom w:val="none" w:sz="0" w:space="0" w:color="auto"/>
        <w:right w:val="none" w:sz="0" w:space="0" w:color="auto"/>
      </w:divBdr>
    </w:div>
    <w:div w:id="660043344">
      <w:bodyDiv w:val="1"/>
      <w:marLeft w:val="0"/>
      <w:marRight w:val="0"/>
      <w:marTop w:val="0"/>
      <w:marBottom w:val="0"/>
      <w:divBdr>
        <w:top w:val="none" w:sz="0" w:space="0" w:color="auto"/>
        <w:left w:val="none" w:sz="0" w:space="0" w:color="auto"/>
        <w:bottom w:val="none" w:sz="0" w:space="0" w:color="auto"/>
        <w:right w:val="none" w:sz="0" w:space="0" w:color="auto"/>
      </w:divBdr>
    </w:div>
    <w:div w:id="660080779">
      <w:bodyDiv w:val="1"/>
      <w:marLeft w:val="0"/>
      <w:marRight w:val="0"/>
      <w:marTop w:val="0"/>
      <w:marBottom w:val="0"/>
      <w:divBdr>
        <w:top w:val="none" w:sz="0" w:space="0" w:color="auto"/>
        <w:left w:val="none" w:sz="0" w:space="0" w:color="auto"/>
        <w:bottom w:val="none" w:sz="0" w:space="0" w:color="auto"/>
        <w:right w:val="none" w:sz="0" w:space="0" w:color="auto"/>
      </w:divBdr>
    </w:div>
    <w:div w:id="660083109">
      <w:bodyDiv w:val="1"/>
      <w:marLeft w:val="0"/>
      <w:marRight w:val="0"/>
      <w:marTop w:val="0"/>
      <w:marBottom w:val="0"/>
      <w:divBdr>
        <w:top w:val="none" w:sz="0" w:space="0" w:color="auto"/>
        <w:left w:val="none" w:sz="0" w:space="0" w:color="auto"/>
        <w:bottom w:val="none" w:sz="0" w:space="0" w:color="auto"/>
        <w:right w:val="none" w:sz="0" w:space="0" w:color="auto"/>
      </w:divBdr>
    </w:div>
    <w:div w:id="660086720">
      <w:bodyDiv w:val="1"/>
      <w:marLeft w:val="0"/>
      <w:marRight w:val="0"/>
      <w:marTop w:val="0"/>
      <w:marBottom w:val="0"/>
      <w:divBdr>
        <w:top w:val="none" w:sz="0" w:space="0" w:color="auto"/>
        <w:left w:val="none" w:sz="0" w:space="0" w:color="auto"/>
        <w:bottom w:val="none" w:sz="0" w:space="0" w:color="auto"/>
        <w:right w:val="none" w:sz="0" w:space="0" w:color="auto"/>
      </w:divBdr>
    </w:div>
    <w:div w:id="660088338">
      <w:bodyDiv w:val="1"/>
      <w:marLeft w:val="0"/>
      <w:marRight w:val="0"/>
      <w:marTop w:val="0"/>
      <w:marBottom w:val="0"/>
      <w:divBdr>
        <w:top w:val="none" w:sz="0" w:space="0" w:color="auto"/>
        <w:left w:val="none" w:sz="0" w:space="0" w:color="auto"/>
        <w:bottom w:val="none" w:sz="0" w:space="0" w:color="auto"/>
        <w:right w:val="none" w:sz="0" w:space="0" w:color="auto"/>
      </w:divBdr>
    </w:div>
    <w:div w:id="660279978">
      <w:bodyDiv w:val="1"/>
      <w:marLeft w:val="0"/>
      <w:marRight w:val="0"/>
      <w:marTop w:val="0"/>
      <w:marBottom w:val="0"/>
      <w:divBdr>
        <w:top w:val="none" w:sz="0" w:space="0" w:color="auto"/>
        <w:left w:val="none" w:sz="0" w:space="0" w:color="auto"/>
        <w:bottom w:val="none" w:sz="0" w:space="0" w:color="auto"/>
        <w:right w:val="none" w:sz="0" w:space="0" w:color="auto"/>
      </w:divBdr>
    </w:div>
    <w:div w:id="660306916">
      <w:bodyDiv w:val="1"/>
      <w:marLeft w:val="0"/>
      <w:marRight w:val="0"/>
      <w:marTop w:val="0"/>
      <w:marBottom w:val="0"/>
      <w:divBdr>
        <w:top w:val="none" w:sz="0" w:space="0" w:color="auto"/>
        <w:left w:val="none" w:sz="0" w:space="0" w:color="auto"/>
        <w:bottom w:val="none" w:sz="0" w:space="0" w:color="auto"/>
        <w:right w:val="none" w:sz="0" w:space="0" w:color="auto"/>
      </w:divBdr>
    </w:div>
    <w:div w:id="660307307">
      <w:bodyDiv w:val="1"/>
      <w:marLeft w:val="0"/>
      <w:marRight w:val="0"/>
      <w:marTop w:val="0"/>
      <w:marBottom w:val="0"/>
      <w:divBdr>
        <w:top w:val="none" w:sz="0" w:space="0" w:color="auto"/>
        <w:left w:val="none" w:sz="0" w:space="0" w:color="auto"/>
        <w:bottom w:val="none" w:sz="0" w:space="0" w:color="auto"/>
        <w:right w:val="none" w:sz="0" w:space="0" w:color="auto"/>
      </w:divBdr>
    </w:div>
    <w:div w:id="660431291">
      <w:bodyDiv w:val="1"/>
      <w:marLeft w:val="0"/>
      <w:marRight w:val="0"/>
      <w:marTop w:val="0"/>
      <w:marBottom w:val="0"/>
      <w:divBdr>
        <w:top w:val="none" w:sz="0" w:space="0" w:color="auto"/>
        <w:left w:val="none" w:sz="0" w:space="0" w:color="auto"/>
        <w:bottom w:val="none" w:sz="0" w:space="0" w:color="auto"/>
        <w:right w:val="none" w:sz="0" w:space="0" w:color="auto"/>
      </w:divBdr>
    </w:div>
    <w:div w:id="660623664">
      <w:bodyDiv w:val="1"/>
      <w:marLeft w:val="0"/>
      <w:marRight w:val="0"/>
      <w:marTop w:val="0"/>
      <w:marBottom w:val="0"/>
      <w:divBdr>
        <w:top w:val="none" w:sz="0" w:space="0" w:color="auto"/>
        <w:left w:val="none" w:sz="0" w:space="0" w:color="auto"/>
        <w:bottom w:val="none" w:sz="0" w:space="0" w:color="auto"/>
        <w:right w:val="none" w:sz="0" w:space="0" w:color="auto"/>
      </w:divBdr>
    </w:div>
    <w:div w:id="660700277">
      <w:bodyDiv w:val="1"/>
      <w:marLeft w:val="0"/>
      <w:marRight w:val="0"/>
      <w:marTop w:val="0"/>
      <w:marBottom w:val="0"/>
      <w:divBdr>
        <w:top w:val="none" w:sz="0" w:space="0" w:color="auto"/>
        <w:left w:val="none" w:sz="0" w:space="0" w:color="auto"/>
        <w:bottom w:val="none" w:sz="0" w:space="0" w:color="auto"/>
        <w:right w:val="none" w:sz="0" w:space="0" w:color="auto"/>
      </w:divBdr>
    </w:div>
    <w:div w:id="660736265">
      <w:bodyDiv w:val="1"/>
      <w:marLeft w:val="0"/>
      <w:marRight w:val="0"/>
      <w:marTop w:val="0"/>
      <w:marBottom w:val="0"/>
      <w:divBdr>
        <w:top w:val="none" w:sz="0" w:space="0" w:color="auto"/>
        <w:left w:val="none" w:sz="0" w:space="0" w:color="auto"/>
        <w:bottom w:val="none" w:sz="0" w:space="0" w:color="auto"/>
        <w:right w:val="none" w:sz="0" w:space="0" w:color="auto"/>
      </w:divBdr>
    </w:div>
    <w:div w:id="660892262">
      <w:bodyDiv w:val="1"/>
      <w:marLeft w:val="0"/>
      <w:marRight w:val="0"/>
      <w:marTop w:val="0"/>
      <w:marBottom w:val="0"/>
      <w:divBdr>
        <w:top w:val="none" w:sz="0" w:space="0" w:color="auto"/>
        <w:left w:val="none" w:sz="0" w:space="0" w:color="auto"/>
        <w:bottom w:val="none" w:sz="0" w:space="0" w:color="auto"/>
        <w:right w:val="none" w:sz="0" w:space="0" w:color="auto"/>
      </w:divBdr>
    </w:div>
    <w:div w:id="661127300">
      <w:bodyDiv w:val="1"/>
      <w:marLeft w:val="0"/>
      <w:marRight w:val="0"/>
      <w:marTop w:val="0"/>
      <w:marBottom w:val="0"/>
      <w:divBdr>
        <w:top w:val="none" w:sz="0" w:space="0" w:color="auto"/>
        <w:left w:val="none" w:sz="0" w:space="0" w:color="auto"/>
        <w:bottom w:val="none" w:sz="0" w:space="0" w:color="auto"/>
        <w:right w:val="none" w:sz="0" w:space="0" w:color="auto"/>
      </w:divBdr>
    </w:div>
    <w:div w:id="661155138">
      <w:bodyDiv w:val="1"/>
      <w:marLeft w:val="0"/>
      <w:marRight w:val="0"/>
      <w:marTop w:val="0"/>
      <w:marBottom w:val="0"/>
      <w:divBdr>
        <w:top w:val="none" w:sz="0" w:space="0" w:color="auto"/>
        <w:left w:val="none" w:sz="0" w:space="0" w:color="auto"/>
        <w:bottom w:val="none" w:sz="0" w:space="0" w:color="auto"/>
        <w:right w:val="none" w:sz="0" w:space="0" w:color="auto"/>
      </w:divBdr>
    </w:div>
    <w:div w:id="661198415">
      <w:bodyDiv w:val="1"/>
      <w:marLeft w:val="0"/>
      <w:marRight w:val="0"/>
      <w:marTop w:val="0"/>
      <w:marBottom w:val="0"/>
      <w:divBdr>
        <w:top w:val="none" w:sz="0" w:space="0" w:color="auto"/>
        <w:left w:val="none" w:sz="0" w:space="0" w:color="auto"/>
        <w:bottom w:val="none" w:sz="0" w:space="0" w:color="auto"/>
        <w:right w:val="none" w:sz="0" w:space="0" w:color="auto"/>
      </w:divBdr>
    </w:div>
    <w:div w:id="661203229">
      <w:bodyDiv w:val="1"/>
      <w:marLeft w:val="0"/>
      <w:marRight w:val="0"/>
      <w:marTop w:val="0"/>
      <w:marBottom w:val="0"/>
      <w:divBdr>
        <w:top w:val="none" w:sz="0" w:space="0" w:color="auto"/>
        <w:left w:val="none" w:sz="0" w:space="0" w:color="auto"/>
        <w:bottom w:val="none" w:sz="0" w:space="0" w:color="auto"/>
        <w:right w:val="none" w:sz="0" w:space="0" w:color="auto"/>
      </w:divBdr>
    </w:div>
    <w:div w:id="661280430">
      <w:bodyDiv w:val="1"/>
      <w:marLeft w:val="0"/>
      <w:marRight w:val="0"/>
      <w:marTop w:val="0"/>
      <w:marBottom w:val="0"/>
      <w:divBdr>
        <w:top w:val="none" w:sz="0" w:space="0" w:color="auto"/>
        <w:left w:val="none" w:sz="0" w:space="0" w:color="auto"/>
        <w:bottom w:val="none" w:sz="0" w:space="0" w:color="auto"/>
        <w:right w:val="none" w:sz="0" w:space="0" w:color="auto"/>
      </w:divBdr>
    </w:div>
    <w:div w:id="661352377">
      <w:bodyDiv w:val="1"/>
      <w:marLeft w:val="0"/>
      <w:marRight w:val="0"/>
      <w:marTop w:val="0"/>
      <w:marBottom w:val="0"/>
      <w:divBdr>
        <w:top w:val="none" w:sz="0" w:space="0" w:color="auto"/>
        <w:left w:val="none" w:sz="0" w:space="0" w:color="auto"/>
        <w:bottom w:val="none" w:sz="0" w:space="0" w:color="auto"/>
        <w:right w:val="none" w:sz="0" w:space="0" w:color="auto"/>
      </w:divBdr>
    </w:div>
    <w:div w:id="661394200">
      <w:bodyDiv w:val="1"/>
      <w:marLeft w:val="0"/>
      <w:marRight w:val="0"/>
      <w:marTop w:val="0"/>
      <w:marBottom w:val="0"/>
      <w:divBdr>
        <w:top w:val="none" w:sz="0" w:space="0" w:color="auto"/>
        <w:left w:val="none" w:sz="0" w:space="0" w:color="auto"/>
        <w:bottom w:val="none" w:sz="0" w:space="0" w:color="auto"/>
        <w:right w:val="none" w:sz="0" w:space="0" w:color="auto"/>
      </w:divBdr>
    </w:div>
    <w:div w:id="661742653">
      <w:bodyDiv w:val="1"/>
      <w:marLeft w:val="0"/>
      <w:marRight w:val="0"/>
      <w:marTop w:val="0"/>
      <w:marBottom w:val="0"/>
      <w:divBdr>
        <w:top w:val="none" w:sz="0" w:space="0" w:color="auto"/>
        <w:left w:val="none" w:sz="0" w:space="0" w:color="auto"/>
        <w:bottom w:val="none" w:sz="0" w:space="0" w:color="auto"/>
        <w:right w:val="none" w:sz="0" w:space="0" w:color="auto"/>
      </w:divBdr>
    </w:div>
    <w:div w:id="661857014">
      <w:bodyDiv w:val="1"/>
      <w:marLeft w:val="0"/>
      <w:marRight w:val="0"/>
      <w:marTop w:val="0"/>
      <w:marBottom w:val="0"/>
      <w:divBdr>
        <w:top w:val="none" w:sz="0" w:space="0" w:color="auto"/>
        <w:left w:val="none" w:sz="0" w:space="0" w:color="auto"/>
        <w:bottom w:val="none" w:sz="0" w:space="0" w:color="auto"/>
        <w:right w:val="none" w:sz="0" w:space="0" w:color="auto"/>
      </w:divBdr>
    </w:div>
    <w:div w:id="661930593">
      <w:bodyDiv w:val="1"/>
      <w:marLeft w:val="0"/>
      <w:marRight w:val="0"/>
      <w:marTop w:val="0"/>
      <w:marBottom w:val="0"/>
      <w:divBdr>
        <w:top w:val="none" w:sz="0" w:space="0" w:color="auto"/>
        <w:left w:val="none" w:sz="0" w:space="0" w:color="auto"/>
        <w:bottom w:val="none" w:sz="0" w:space="0" w:color="auto"/>
        <w:right w:val="none" w:sz="0" w:space="0" w:color="auto"/>
      </w:divBdr>
    </w:div>
    <w:div w:id="662002542">
      <w:bodyDiv w:val="1"/>
      <w:marLeft w:val="0"/>
      <w:marRight w:val="0"/>
      <w:marTop w:val="0"/>
      <w:marBottom w:val="0"/>
      <w:divBdr>
        <w:top w:val="none" w:sz="0" w:space="0" w:color="auto"/>
        <w:left w:val="none" w:sz="0" w:space="0" w:color="auto"/>
        <w:bottom w:val="none" w:sz="0" w:space="0" w:color="auto"/>
        <w:right w:val="none" w:sz="0" w:space="0" w:color="auto"/>
      </w:divBdr>
    </w:div>
    <w:div w:id="662047767">
      <w:bodyDiv w:val="1"/>
      <w:marLeft w:val="0"/>
      <w:marRight w:val="0"/>
      <w:marTop w:val="0"/>
      <w:marBottom w:val="0"/>
      <w:divBdr>
        <w:top w:val="none" w:sz="0" w:space="0" w:color="auto"/>
        <w:left w:val="none" w:sz="0" w:space="0" w:color="auto"/>
        <w:bottom w:val="none" w:sz="0" w:space="0" w:color="auto"/>
        <w:right w:val="none" w:sz="0" w:space="0" w:color="auto"/>
      </w:divBdr>
    </w:div>
    <w:div w:id="662052985">
      <w:bodyDiv w:val="1"/>
      <w:marLeft w:val="0"/>
      <w:marRight w:val="0"/>
      <w:marTop w:val="0"/>
      <w:marBottom w:val="0"/>
      <w:divBdr>
        <w:top w:val="none" w:sz="0" w:space="0" w:color="auto"/>
        <w:left w:val="none" w:sz="0" w:space="0" w:color="auto"/>
        <w:bottom w:val="none" w:sz="0" w:space="0" w:color="auto"/>
        <w:right w:val="none" w:sz="0" w:space="0" w:color="auto"/>
      </w:divBdr>
    </w:div>
    <w:div w:id="662198279">
      <w:bodyDiv w:val="1"/>
      <w:marLeft w:val="0"/>
      <w:marRight w:val="0"/>
      <w:marTop w:val="0"/>
      <w:marBottom w:val="0"/>
      <w:divBdr>
        <w:top w:val="none" w:sz="0" w:space="0" w:color="auto"/>
        <w:left w:val="none" w:sz="0" w:space="0" w:color="auto"/>
        <w:bottom w:val="none" w:sz="0" w:space="0" w:color="auto"/>
        <w:right w:val="none" w:sz="0" w:space="0" w:color="auto"/>
      </w:divBdr>
    </w:div>
    <w:div w:id="662199547">
      <w:bodyDiv w:val="1"/>
      <w:marLeft w:val="0"/>
      <w:marRight w:val="0"/>
      <w:marTop w:val="0"/>
      <w:marBottom w:val="0"/>
      <w:divBdr>
        <w:top w:val="none" w:sz="0" w:space="0" w:color="auto"/>
        <w:left w:val="none" w:sz="0" w:space="0" w:color="auto"/>
        <w:bottom w:val="none" w:sz="0" w:space="0" w:color="auto"/>
        <w:right w:val="none" w:sz="0" w:space="0" w:color="auto"/>
      </w:divBdr>
    </w:div>
    <w:div w:id="662244538">
      <w:bodyDiv w:val="1"/>
      <w:marLeft w:val="0"/>
      <w:marRight w:val="0"/>
      <w:marTop w:val="0"/>
      <w:marBottom w:val="0"/>
      <w:divBdr>
        <w:top w:val="none" w:sz="0" w:space="0" w:color="auto"/>
        <w:left w:val="none" w:sz="0" w:space="0" w:color="auto"/>
        <w:bottom w:val="none" w:sz="0" w:space="0" w:color="auto"/>
        <w:right w:val="none" w:sz="0" w:space="0" w:color="auto"/>
      </w:divBdr>
    </w:div>
    <w:div w:id="662246307">
      <w:bodyDiv w:val="1"/>
      <w:marLeft w:val="0"/>
      <w:marRight w:val="0"/>
      <w:marTop w:val="0"/>
      <w:marBottom w:val="0"/>
      <w:divBdr>
        <w:top w:val="none" w:sz="0" w:space="0" w:color="auto"/>
        <w:left w:val="none" w:sz="0" w:space="0" w:color="auto"/>
        <w:bottom w:val="none" w:sz="0" w:space="0" w:color="auto"/>
        <w:right w:val="none" w:sz="0" w:space="0" w:color="auto"/>
      </w:divBdr>
    </w:div>
    <w:div w:id="662247484">
      <w:bodyDiv w:val="1"/>
      <w:marLeft w:val="0"/>
      <w:marRight w:val="0"/>
      <w:marTop w:val="0"/>
      <w:marBottom w:val="0"/>
      <w:divBdr>
        <w:top w:val="none" w:sz="0" w:space="0" w:color="auto"/>
        <w:left w:val="none" w:sz="0" w:space="0" w:color="auto"/>
        <w:bottom w:val="none" w:sz="0" w:space="0" w:color="auto"/>
        <w:right w:val="none" w:sz="0" w:space="0" w:color="auto"/>
      </w:divBdr>
    </w:div>
    <w:div w:id="662440869">
      <w:bodyDiv w:val="1"/>
      <w:marLeft w:val="0"/>
      <w:marRight w:val="0"/>
      <w:marTop w:val="0"/>
      <w:marBottom w:val="0"/>
      <w:divBdr>
        <w:top w:val="none" w:sz="0" w:space="0" w:color="auto"/>
        <w:left w:val="none" w:sz="0" w:space="0" w:color="auto"/>
        <w:bottom w:val="none" w:sz="0" w:space="0" w:color="auto"/>
        <w:right w:val="none" w:sz="0" w:space="0" w:color="auto"/>
      </w:divBdr>
    </w:div>
    <w:div w:id="662467497">
      <w:bodyDiv w:val="1"/>
      <w:marLeft w:val="0"/>
      <w:marRight w:val="0"/>
      <w:marTop w:val="0"/>
      <w:marBottom w:val="0"/>
      <w:divBdr>
        <w:top w:val="none" w:sz="0" w:space="0" w:color="auto"/>
        <w:left w:val="none" w:sz="0" w:space="0" w:color="auto"/>
        <w:bottom w:val="none" w:sz="0" w:space="0" w:color="auto"/>
        <w:right w:val="none" w:sz="0" w:space="0" w:color="auto"/>
      </w:divBdr>
    </w:div>
    <w:div w:id="662659293">
      <w:bodyDiv w:val="1"/>
      <w:marLeft w:val="0"/>
      <w:marRight w:val="0"/>
      <w:marTop w:val="0"/>
      <w:marBottom w:val="0"/>
      <w:divBdr>
        <w:top w:val="none" w:sz="0" w:space="0" w:color="auto"/>
        <w:left w:val="none" w:sz="0" w:space="0" w:color="auto"/>
        <w:bottom w:val="none" w:sz="0" w:space="0" w:color="auto"/>
        <w:right w:val="none" w:sz="0" w:space="0" w:color="auto"/>
      </w:divBdr>
    </w:div>
    <w:div w:id="662705984">
      <w:bodyDiv w:val="1"/>
      <w:marLeft w:val="0"/>
      <w:marRight w:val="0"/>
      <w:marTop w:val="0"/>
      <w:marBottom w:val="0"/>
      <w:divBdr>
        <w:top w:val="none" w:sz="0" w:space="0" w:color="auto"/>
        <w:left w:val="none" w:sz="0" w:space="0" w:color="auto"/>
        <w:bottom w:val="none" w:sz="0" w:space="0" w:color="auto"/>
        <w:right w:val="none" w:sz="0" w:space="0" w:color="auto"/>
      </w:divBdr>
    </w:div>
    <w:div w:id="662708429">
      <w:bodyDiv w:val="1"/>
      <w:marLeft w:val="0"/>
      <w:marRight w:val="0"/>
      <w:marTop w:val="0"/>
      <w:marBottom w:val="0"/>
      <w:divBdr>
        <w:top w:val="none" w:sz="0" w:space="0" w:color="auto"/>
        <w:left w:val="none" w:sz="0" w:space="0" w:color="auto"/>
        <w:bottom w:val="none" w:sz="0" w:space="0" w:color="auto"/>
        <w:right w:val="none" w:sz="0" w:space="0" w:color="auto"/>
      </w:divBdr>
    </w:div>
    <w:div w:id="662783879">
      <w:bodyDiv w:val="1"/>
      <w:marLeft w:val="0"/>
      <w:marRight w:val="0"/>
      <w:marTop w:val="0"/>
      <w:marBottom w:val="0"/>
      <w:divBdr>
        <w:top w:val="none" w:sz="0" w:space="0" w:color="auto"/>
        <w:left w:val="none" w:sz="0" w:space="0" w:color="auto"/>
        <w:bottom w:val="none" w:sz="0" w:space="0" w:color="auto"/>
        <w:right w:val="none" w:sz="0" w:space="0" w:color="auto"/>
      </w:divBdr>
    </w:div>
    <w:div w:id="662851547">
      <w:bodyDiv w:val="1"/>
      <w:marLeft w:val="0"/>
      <w:marRight w:val="0"/>
      <w:marTop w:val="0"/>
      <w:marBottom w:val="0"/>
      <w:divBdr>
        <w:top w:val="none" w:sz="0" w:space="0" w:color="auto"/>
        <w:left w:val="none" w:sz="0" w:space="0" w:color="auto"/>
        <w:bottom w:val="none" w:sz="0" w:space="0" w:color="auto"/>
        <w:right w:val="none" w:sz="0" w:space="0" w:color="auto"/>
      </w:divBdr>
    </w:div>
    <w:div w:id="662856107">
      <w:bodyDiv w:val="1"/>
      <w:marLeft w:val="0"/>
      <w:marRight w:val="0"/>
      <w:marTop w:val="0"/>
      <w:marBottom w:val="0"/>
      <w:divBdr>
        <w:top w:val="none" w:sz="0" w:space="0" w:color="auto"/>
        <w:left w:val="none" w:sz="0" w:space="0" w:color="auto"/>
        <w:bottom w:val="none" w:sz="0" w:space="0" w:color="auto"/>
        <w:right w:val="none" w:sz="0" w:space="0" w:color="auto"/>
      </w:divBdr>
    </w:div>
    <w:div w:id="662900324">
      <w:bodyDiv w:val="1"/>
      <w:marLeft w:val="0"/>
      <w:marRight w:val="0"/>
      <w:marTop w:val="0"/>
      <w:marBottom w:val="0"/>
      <w:divBdr>
        <w:top w:val="none" w:sz="0" w:space="0" w:color="auto"/>
        <w:left w:val="none" w:sz="0" w:space="0" w:color="auto"/>
        <w:bottom w:val="none" w:sz="0" w:space="0" w:color="auto"/>
        <w:right w:val="none" w:sz="0" w:space="0" w:color="auto"/>
      </w:divBdr>
    </w:div>
    <w:div w:id="662902120">
      <w:bodyDiv w:val="1"/>
      <w:marLeft w:val="0"/>
      <w:marRight w:val="0"/>
      <w:marTop w:val="0"/>
      <w:marBottom w:val="0"/>
      <w:divBdr>
        <w:top w:val="none" w:sz="0" w:space="0" w:color="auto"/>
        <w:left w:val="none" w:sz="0" w:space="0" w:color="auto"/>
        <w:bottom w:val="none" w:sz="0" w:space="0" w:color="auto"/>
        <w:right w:val="none" w:sz="0" w:space="0" w:color="auto"/>
      </w:divBdr>
    </w:div>
    <w:div w:id="662926856">
      <w:bodyDiv w:val="1"/>
      <w:marLeft w:val="0"/>
      <w:marRight w:val="0"/>
      <w:marTop w:val="0"/>
      <w:marBottom w:val="0"/>
      <w:divBdr>
        <w:top w:val="none" w:sz="0" w:space="0" w:color="auto"/>
        <w:left w:val="none" w:sz="0" w:space="0" w:color="auto"/>
        <w:bottom w:val="none" w:sz="0" w:space="0" w:color="auto"/>
        <w:right w:val="none" w:sz="0" w:space="0" w:color="auto"/>
      </w:divBdr>
    </w:div>
    <w:div w:id="662929175">
      <w:bodyDiv w:val="1"/>
      <w:marLeft w:val="0"/>
      <w:marRight w:val="0"/>
      <w:marTop w:val="0"/>
      <w:marBottom w:val="0"/>
      <w:divBdr>
        <w:top w:val="none" w:sz="0" w:space="0" w:color="auto"/>
        <w:left w:val="none" w:sz="0" w:space="0" w:color="auto"/>
        <w:bottom w:val="none" w:sz="0" w:space="0" w:color="auto"/>
        <w:right w:val="none" w:sz="0" w:space="0" w:color="auto"/>
      </w:divBdr>
    </w:div>
    <w:div w:id="662972949">
      <w:bodyDiv w:val="1"/>
      <w:marLeft w:val="0"/>
      <w:marRight w:val="0"/>
      <w:marTop w:val="0"/>
      <w:marBottom w:val="0"/>
      <w:divBdr>
        <w:top w:val="none" w:sz="0" w:space="0" w:color="auto"/>
        <w:left w:val="none" w:sz="0" w:space="0" w:color="auto"/>
        <w:bottom w:val="none" w:sz="0" w:space="0" w:color="auto"/>
        <w:right w:val="none" w:sz="0" w:space="0" w:color="auto"/>
      </w:divBdr>
    </w:div>
    <w:div w:id="663047475">
      <w:bodyDiv w:val="1"/>
      <w:marLeft w:val="0"/>
      <w:marRight w:val="0"/>
      <w:marTop w:val="0"/>
      <w:marBottom w:val="0"/>
      <w:divBdr>
        <w:top w:val="none" w:sz="0" w:space="0" w:color="auto"/>
        <w:left w:val="none" w:sz="0" w:space="0" w:color="auto"/>
        <w:bottom w:val="none" w:sz="0" w:space="0" w:color="auto"/>
        <w:right w:val="none" w:sz="0" w:space="0" w:color="auto"/>
      </w:divBdr>
    </w:div>
    <w:div w:id="663319225">
      <w:bodyDiv w:val="1"/>
      <w:marLeft w:val="0"/>
      <w:marRight w:val="0"/>
      <w:marTop w:val="0"/>
      <w:marBottom w:val="0"/>
      <w:divBdr>
        <w:top w:val="none" w:sz="0" w:space="0" w:color="auto"/>
        <w:left w:val="none" w:sz="0" w:space="0" w:color="auto"/>
        <w:bottom w:val="none" w:sz="0" w:space="0" w:color="auto"/>
        <w:right w:val="none" w:sz="0" w:space="0" w:color="auto"/>
      </w:divBdr>
    </w:div>
    <w:div w:id="663358616">
      <w:bodyDiv w:val="1"/>
      <w:marLeft w:val="0"/>
      <w:marRight w:val="0"/>
      <w:marTop w:val="0"/>
      <w:marBottom w:val="0"/>
      <w:divBdr>
        <w:top w:val="none" w:sz="0" w:space="0" w:color="auto"/>
        <w:left w:val="none" w:sz="0" w:space="0" w:color="auto"/>
        <w:bottom w:val="none" w:sz="0" w:space="0" w:color="auto"/>
        <w:right w:val="none" w:sz="0" w:space="0" w:color="auto"/>
      </w:divBdr>
    </w:div>
    <w:div w:id="663358710">
      <w:bodyDiv w:val="1"/>
      <w:marLeft w:val="0"/>
      <w:marRight w:val="0"/>
      <w:marTop w:val="0"/>
      <w:marBottom w:val="0"/>
      <w:divBdr>
        <w:top w:val="none" w:sz="0" w:space="0" w:color="auto"/>
        <w:left w:val="none" w:sz="0" w:space="0" w:color="auto"/>
        <w:bottom w:val="none" w:sz="0" w:space="0" w:color="auto"/>
        <w:right w:val="none" w:sz="0" w:space="0" w:color="auto"/>
      </w:divBdr>
    </w:div>
    <w:div w:id="663360624">
      <w:bodyDiv w:val="1"/>
      <w:marLeft w:val="0"/>
      <w:marRight w:val="0"/>
      <w:marTop w:val="0"/>
      <w:marBottom w:val="0"/>
      <w:divBdr>
        <w:top w:val="none" w:sz="0" w:space="0" w:color="auto"/>
        <w:left w:val="none" w:sz="0" w:space="0" w:color="auto"/>
        <w:bottom w:val="none" w:sz="0" w:space="0" w:color="auto"/>
        <w:right w:val="none" w:sz="0" w:space="0" w:color="auto"/>
      </w:divBdr>
    </w:div>
    <w:div w:id="663513562">
      <w:bodyDiv w:val="1"/>
      <w:marLeft w:val="0"/>
      <w:marRight w:val="0"/>
      <w:marTop w:val="0"/>
      <w:marBottom w:val="0"/>
      <w:divBdr>
        <w:top w:val="none" w:sz="0" w:space="0" w:color="auto"/>
        <w:left w:val="none" w:sz="0" w:space="0" w:color="auto"/>
        <w:bottom w:val="none" w:sz="0" w:space="0" w:color="auto"/>
        <w:right w:val="none" w:sz="0" w:space="0" w:color="auto"/>
      </w:divBdr>
    </w:div>
    <w:div w:id="663583215">
      <w:bodyDiv w:val="1"/>
      <w:marLeft w:val="0"/>
      <w:marRight w:val="0"/>
      <w:marTop w:val="0"/>
      <w:marBottom w:val="0"/>
      <w:divBdr>
        <w:top w:val="none" w:sz="0" w:space="0" w:color="auto"/>
        <w:left w:val="none" w:sz="0" w:space="0" w:color="auto"/>
        <w:bottom w:val="none" w:sz="0" w:space="0" w:color="auto"/>
        <w:right w:val="none" w:sz="0" w:space="0" w:color="auto"/>
      </w:divBdr>
    </w:div>
    <w:div w:id="663702480">
      <w:bodyDiv w:val="1"/>
      <w:marLeft w:val="0"/>
      <w:marRight w:val="0"/>
      <w:marTop w:val="0"/>
      <w:marBottom w:val="0"/>
      <w:divBdr>
        <w:top w:val="none" w:sz="0" w:space="0" w:color="auto"/>
        <w:left w:val="none" w:sz="0" w:space="0" w:color="auto"/>
        <w:bottom w:val="none" w:sz="0" w:space="0" w:color="auto"/>
        <w:right w:val="none" w:sz="0" w:space="0" w:color="auto"/>
      </w:divBdr>
    </w:div>
    <w:div w:id="663818765">
      <w:bodyDiv w:val="1"/>
      <w:marLeft w:val="0"/>
      <w:marRight w:val="0"/>
      <w:marTop w:val="0"/>
      <w:marBottom w:val="0"/>
      <w:divBdr>
        <w:top w:val="none" w:sz="0" w:space="0" w:color="auto"/>
        <w:left w:val="none" w:sz="0" w:space="0" w:color="auto"/>
        <w:bottom w:val="none" w:sz="0" w:space="0" w:color="auto"/>
        <w:right w:val="none" w:sz="0" w:space="0" w:color="auto"/>
      </w:divBdr>
    </w:div>
    <w:div w:id="663970561">
      <w:bodyDiv w:val="1"/>
      <w:marLeft w:val="0"/>
      <w:marRight w:val="0"/>
      <w:marTop w:val="0"/>
      <w:marBottom w:val="0"/>
      <w:divBdr>
        <w:top w:val="none" w:sz="0" w:space="0" w:color="auto"/>
        <w:left w:val="none" w:sz="0" w:space="0" w:color="auto"/>
        <w:bottom w:val="none" w:sz="0" w:space="0" w:color="auto"/>
        <w:right w:val="none" w:sz="0" w:space="0" w:color="auto"/>
      </w:divBdr>
    </w:div>
    <w:div w:id="663971119">
      <w:bodyDiv w:val="1"/>
      <w:marLeft w:val="0"/>
      <w:marRight w:val="0"/>
      <w:marTop w:val="0"/>
      <w:marBottom w:val="0"/>
      <w:divBdr>
        <w:top w:val="none" w:sz="0" w:space="0" w:color="auto"/>
        <w:left w:val="none" w:sz="0" w:space="0" w:color="auto"/>
        <w:bottom w:val="none" w:sz="0" w:space="0" w:color="auto"/>
        <w:right w:val="none" w:sz="0" w:space="0" w:color="auto"/>
      </w:divBdr>
    </w:div>
    <w:div w:id="664018627">
      <w:bodyDiv w:val="1"/>
      <w:marLeft w:val="0"/>
      <w:marRight w:val="0"/>
      <w:marTop w:val="0"/>
      <w:marBottom w:val="0"/>
      <w:divBdr>
        <w:top w:val="none" w:sz="0" w:space="0" w:color="auto"/>
        <w:left w:val="none" w:sz="0" w:space="0" w:color="auto"/>
        <w:bottom w:val="none" w:sz="0" w:space="0" w:color="auto"/>
        <w:right w:val="none" w:sz="0" w:space="0" w:color="auto"/>
      </w:divBdr>
    </w:div>
    <w:div w:id="664167543">
      <w:bodyDiv w:val="1"/>
      <w:marLeft w:val="0"/>
      <w:marRight w:val="0"/>
      <w:marTop w:val="0"/>
      <w:marBottom w:val="0"/>
      <w:divBdr>
        <w:top w:val="none" w:sz="0" w:space="0" w:color="auto"/>
        <w:left w:val="none" w:sz="0" w:space="0" w:color="auto"/>
        <w:bottom w:val="none" w:sz="0" w:space="0" w:color="auto"/>
        <w:right w:val="none" w:sz="0" w:space="0" w:color="auto"/>
      </w:divBdr>
    </w:div>
    <w:div w:id="664208453">
      <w:bodyDiv w:val="1"/>
      <w:marLeft w:val="0"/>
      <w:marRight w:val="0"/>
      <w:marTop w:val="0"/>
      <w:marBottom w:val="0"/>
      <w:divBdr>
        <w:top w:val="none" w:sz="0" w:space="0" w:color="auto"/>
        <w:left w:val="none" w:sz="0" w:space="0" w:color="auto"/>
        <w:bottom w:val="none" w:sz="0" w:space="0" w:color="auto"/>
        <w:right w:val="none" w:sz="0" w:space="0" w:color="auto"/>
      </w:divBdr>
    </w:div>
    <w:div w:id="664286700">
      <w:bodyDiv w:val="1"/>
      <w:marLeft w:val="0"/>
      <w:marRight w:val="0"/>
      <w:marTop w:val="0"/>
      <w:marBottom w:val="0"/>
      <w:divBdr>
        <w:top w:val="none" w:sz="0" w:space="0" w:color="auto"/>
        <w:left w:val="none" w:sz="0" w:space="0" w:color="auto"/>
        <w:bottom w:val="none" w:sz="0" w:space="0" w:color="auto"/>
        <w:right w:val="none" w:sz="0" w:space="0" w:color="auto"/>
      </w:divBdr>
    </w:div>
    <w:div w:id="664358069">
      <w:bodyDiv w:val="1"/>
      <w:marLeft w:val="0"/>
      <w:marRight w:val="0"/>
      <w:marTop w:val="0"/>
      <w:marBottom w:val="0"/>
      <w:divBdr>
        <w:top w:val="none" w:sz="0" w:space="0" w:color="auto"/>
        <w:left w:val="none" w:sz="0" w:space="0" w:color="auto"/>
        <w:bottom w:val="none" w:sz="0" w:space="0" w:color="auto"/>
        <w:right w:val="none" w:sz="0" w:space="0" w:color="auto"/>
      </w:divBdr>
    </w:div>
    <w:div w:id="664360716">
      <w:bodyDiv w:val="1"/>
      <w:marLeft w:val="0"/>
      <w:marRight w:val="0"/>
      <w:marTop w:val="0"/>
      <w:marBottom w:val="0"/>
      <w:divBdr>
        <w:top w:val="none" w:sz="0" w:space="0" w:color="auto"/>
        <w:left w:val="none" w:sz="0" w:space="0" w:color="auto"/>
        <w:bottom w:val="none" w:sz="0" w:space="0" w:color="auto"/>
        <w:right w:val="none" w:sz="0" w:space="0" w:color="auto"/>
      </w:divBdr>
    </w:div>
    <w:div w:id="664553876">
      <w:bodyDiv w:val="1"/>
      <w:marLeft w:val="0"/>
      <w:marRight w:val="0"/>
      <w:marTop w:val="0"/>
      <w:marBottom w:val="0"/>
      <w:divBdr>
        <w:top w:val="none" w:sz="0" w:space="0" w:color="auto"/>
        <w:left w:val="none" w:sz="0" w:space="0" w:color="auto"/>
        <w:bottom w:val="none" w:sz="0" w:space="0" w:color="auto"/>
        <w:right w:val="none" w:sz="0" w:space="0" w:color="auto"/>
      </w:divBdr>
    </w:div>
    <w:div w:id="664630951">
      <w:bodyDiv w:val="1"/>
      <w:marLeft w:val="0"/>
      <w:marRight w:val="0"/>
      <w:marTop w:val="0"/>
      <w:marBottom w:val="0"/>
      <w:divBdr>
        <w:top w:val="none" w:sz="0" w:space="0" w:color="auto"/>
        <w:left w:val="none" w:sz="0" w:space="0" w:color="auto"/>
        <w:bottom w:val="none" w:sz="0" w:space="0" w:color="auto"/>
        <w:right w:val="none" w:sz="0" w:space="0" w:color="auto"/>
      </w:divBdr>
    </w:div>
    <w:div w:id="664666793">
      <w:bodyDiv w:val="1"/>
      <w:marLeft w:val="0"/>
      <w:marRight w:val="0"/>
      <w:marTop w:val="0"/>
      <w:marBottom w:val="0"/>
      <w:divBdr>
        <w:top w:val="none" w:sz="0" w:space="0" w:color="auto"/>
        <w:left w:val="none" w:sz="0" w:space="0" w:color="auto"/>
        <w:bottom w:val="none" w:sz="0" w:space="0" w:color="auto"/>
        <w:right w:val="none" w:sz="0" w:space="0" w:color="auto"/>
      </w:divBdr>
    </w:div>
    <w:div w:id="664668017">
      <w:bodyDiv w:val="1"/>
      <w:marLeft w:val="0"/>
      <w:marRight w:val="0"/>
      <w:marTop w:val="0"/>
      <w:marBottom w:val="0"/>
      <w:divBdr>
        <w:top w:val="none" w:sz="0" w:space="0" w:color="auto"/>
        <w:left w:val="none" w:sz="0" w:space="0" w:color="auto"/>
        <w:bottom w:val="none" w:sz="0" w:space="0" w:color="auto"/>
        <w:right w:val="none" w:sz="0" w:space="0" w:color="auto"/>
      </w:divBdr>
    </w:div>
    <w:div w:id="664669289">
      <w:bodyDiv w:val="1"/>
      <w:marLeft w:val="0"/>
      <w:marRight w:val="0"/>
      <w:marTop w:val="0"/>
      <w:marBottom w:val="0"/>
      <w:divBdr>
        <w:top w:val="none" w:sz="0" w:space="0" w:color="auto"/>
        <w:left w:val="none" w:sz="0" w:space="0" w:color="auto"/>
        <w:bottom w:val="none" w:sz="0" w:space="0" w:color="auto"/>
        <w:right w:val="none" w:sz="0" w:space="0" w:color="auto"/>
      </w:divBdr>
    </w:div>
    <w:div w:id="664670700">
      <w:bodyDiv w:val="1"/>
      <w:marLeft w:val="0"/>
      <w:marRight w:val="0"/>
      <w:marTop w:val="0"/>
      <w:marBottom w:val="0"/>
      <w:divBdr>
        <w:top w:val="none" w:sz="0" w:space="0" w:color="auto"/>
        <w:left w:val="none" w:sz="0" w:space="0" w:color="auto"/>
        <w:bottom w:val="none" w:sz="0" w:space="0" w:color="auto"/>
        <w:right w:val="none" w:sz="0" w:space="0" w:color="auto"/>
      </w:divBdr>
    </w:div>
    <w:div w:id="664823194">
      <w:bodyDiv w:val="1"/>
      <w:marLeft w:val="0"/>
      <w:marRight w:val="0"/>
      <w:marTop w:val="0"/>
      <w:marBottom w:val="0"/>
      <w:divBdr>
        <w:top w:val="none" w:sz="0" w:space="0" w:color="auto"/>
        <w:left w:val="none" w:sz="0" w:space="0" w:color="auto"/>
        <w:bottom w:val="none" w:sz="0" w:space="0" w:color="auto"/>
        <w:right w:val="none" w:sz="0" w:space="0" w:color="auto"/>
      </w:divBdr>
    </w:div>
    <w:div w:id="664935095">
      <w:bodyDiv w:val="1"/>
      <w:marLeft w:val="0"/>
      <w:marRight w:val="0"/>
      <w:marTop w:val="0"/>
      <w:marBottom w:val="0"/>
      <w:divBdr>
        <w:top w:val="none" w:sz="0" w:space="0" w:color="auto"/>
        <w:left w:val="none" w:sz="0" w:space="0" w:color="auto"/>
        <w:bottom w:val="none" w:sz="0" w:space="0" w:color="auto"/>
        <w:right w:val="none" w:sz="0" w:space="0" w:color="auto"/>
      </w:divBdr>
    </w:div>
    <w:div w:id="665012148">
      <w:bodyDiv w:val="1"/>
      <w:marLeft w:val="0"/>
      <w:marRight w:val="0"/>
      <w:marTop w:val="0"/>
      <w:marBottom w:val="0"/>
      <w:divBdr>
        <w:top w:val="none" w:sz="0" w:space="0" w:color="auto"/>
        <w:left w:val="none" w:sz="0" w:space="0" w:color="auto"/>
        <w:bottom w:val="none" w:sz="0" w:space="0" w:color="auto"/>
        <w:right w:val="none" w:sz="0" w:space="0" w:color="auto"/>
      </w:divBdr>
    </w:div>
    <w:div w:id="665087251">
      <w:bodyDiv w:val="1"/>
      <w:marLeft w:val="0"/>
      <w:marRight w:val="0"/>
      <w:marTop w:val="0"/>
      <w:marBottom w:val="0"/>
      <w:divBdr>
        <w:top w:val="none" w:sz="0" w:space="0" w:color="auto"/>
        <w:left w:val="none" w:sz="0" w:space="0" w:color="auto"/>
        <w:bottom w:val="none" w:sz="0" w:space="0" w:color="auto"/>
        <w:right w:val="none" w:sz="0" w:space="0" w:color="auto"/>
      </w:divBdr>
    </w:div>
    <w:div w:id="665475374">
      <w:bodyDiv w:val="1"/>
      <w:marLeft w:val="0"/>
      <w:marRight w:val="0"/>
      <w:marTop w:val="0"/>
      <w:marBottom w:val="0"/>
      <w:divBdr>
        <w:top w:val="none" w:sz="0" w:space="0" w:color="auto"/>
        <w:left w:val="none" w:sz="0" w:space="0" w:color="auto"/>
        <w:bottom w:val="none" w:sz="0" w:space="0" w:color="auto"/>
        <w:right w:val="none" w:sz="0" w:space="0" w:color="auto"/>
      </w:divBdr>
    </w:div>
    <w:div w:id="665596517">
      <w:bodyDiv w:val="1"/>
      <w:marLeft w:val="0"/>
      <w:marRight w:val="0"/>
      <w:marTop w:val="0"/>
      <w:marBottom w:val="0"/>
      <w:divBdr>
        <w:top w:val="none" w:sz="0" w:space="0" w:color="auto"/>
        <w:left w:val="none" w:sz="0" w:space="0" w:color="auto"/>
        <w:bottom w:val="none" w:sz="0" w:space="0" w:color="auto"/>
        <w:right w:val="none" w:sz="0" w:space="0" w:color="auto"/>
      </w:divBdr>
    </w:div>
    <w:div w:id="665673880">
      <w:bodyDiv w:val="1"/>
      <w:marLeft w:val="0"/>
      <w:marRight w:val="0"/>
      <w:marTop w:val="0"/>
      <w:marBottom w:val="0"/>
      <w:divBdr>
        <w:top w:val="none" w:sz="0" w:space="0" w:color="auto"/>
        <w:left w:val="none" w:sz="0" w:space="0" w:color="auto"/>
        <w:bottom w:val="none" w:sz="0" w:space="0" w:color="auto"/>
        <w:right w:val="none" w:sz="0" w:space="0" w:color="auto"/>
      </w:divBdr>
    </w:div>
    <w:div w:id="665717066">
      <w:bodyDiv w:val="1"/>
      <w:marLeft w:val="0"/>
      <w:marRight w:val="0"/>
      <w:marTop w:val="0"/>
      <w:marBottom w:val="0"/>
      <w:divBdr>
        <w:top w:val="none" w:sz="0" w:space="0" w:color="auto"/>
        <w:left w:val="none" w:sz="0" w:space="0" w:color="auto"/>
        <w:bottom w:val="none" w:sz="0" w:space="0" w:color="auto"/>
        <w:right w:val="none" w:sz="0" w:space="0" w:color="auto"/>
      </w:divBdr>
    </w:div>
    <w:div w:id="665787200">
      <w:bodyDiv w:val="1"/>
      <w:marLeft w:val="0"/>
      <w:marRight w:val="0"/>
      <w:marTop w:val="0"/>
      <w:marBottom w:val="0"/>
      <w:divBdr>
        <w:top w:val="none" w:sz="0" w:space="0" w:color="auto"/>
        <w:left w:val="none" w:sz="0" w:space="0" w:color="auto"/>
        <w:bottom w:val="none" w:sz="0" w:space="0" w:color="auto"/>
        <w:right w:val="none" w:sz="0" w:space="0" w:color="auto"/>
      </w:divBdr>
    </w:div>
    <w:div w:id="665864919">
      <w:bodyDiv w:val="1"/>
      <w:marLeft w:val="0"/>
      <w:marRight w:val="0"/>
      <w:marTop w:val="0"/>
      <w:marBottom w:val="0"/>
      <w:divBdr>
        <w:top w:val="none" w:sz="0" w:space="0" w:color="auto"/>
        <w:left w:val="none" w:sz="0" w:space="0" w:color="auto"/>
        <w:bottom w:val="none" w:sz="0" w:space="0" w:color="auto"/>
        <w:right w:val="none" w:sz="0" w:space="0" w:color="auto"/>
      </w:divBdr>
    </w:div>
    <w:div w:id="665977935">
      <w:bodyDiv w:val="1"/>
      <w:marLeft w:val="0"/>
      <w:marRight w:val="0"/>
      <w:marTop w:val="0"/>
      <w:marBottom w:val="0"/>
      <w:divBdr>
        <w:top w:val="none" w:sz="0" w:space="0" w:color="auto"/>
        <w:left w:val="none" w:sz="0" w:space="0" w:color="auto"/>
        <w:bottom w:val="none" w:sz="0" w:space="0" w:color="auto"/>
        <w:right w:val="none" w:sz="0" w:space="0" w:color="auto"/>
      </w:divBdr>
    </w:div>
    <w:div w:id="665978822">
      <w:bodyDiv w:val="1"/>
      <w:marLeft w:val="0"/>
      <w:marRight w:val="0"/>
      <w:marTop w:val="0"/>
      <w:marBottom w:val="0"/>
      <w:divBdr>
        <w:top w:val="none" w:sz="0" w:space="0" w:color="auto"/>
        <w:left w:val="none" w:sz="0" w:space="0" w:color="auto"/>
        <w:bottom w:val="none" w:sz="0" w:space="0" w:color="auto"/>
        <w:right w:val="none" w:sz="0" w:space="0" w:color="auto"/>
      </w:divBdr>
    </w:div>
    <w:div w:id="665983224">
      <w:bodyDiv w:val="1"/>
      <w:marLeft w:val="0"/>
      <w:marRight w:val="0"/>
      <w:marTop w:val="0"/>
      <w:marBottom w:val="0"/>
      <w:divBdr>
        <w:top w:val="none" w:sz="0" w:space="0" w:color="auto"/>
        <w:left w:val="none" w:sz="0" w:space="0" w:color="auto"/>
        <w:bottom w:val="none" w:sz="0" w:space="0" w:color="auto"/>
        <w:right w:val="none" w:sz="0" w:space="0" w:color="auto"/>
      </w:divBdr>
    </w:div>
    <w:div w:id="665984425">
      <w:bodyDiv w:val="1"/>
      <w:marLeft w:val="0"/>
      <w:marRight w:val="0"/>
      <w:marTop w:val="0"/>
      <w:marBottom w:val="0"/>
      <w:divBdr>
        <w:top w:val="none" w:sz="0" w:space="0" w:color="auto"/>
        <w:left w:val="none" w:sz="0" w:space="0" w:color="auto"/>
        <w:bottom w:val="none" w:sz="0" w:space="0" w:color="auto"/>
        <w:right w:val="none" w:sz="0" w:space="0" w:color="auto"/>
      </w:divBdr>
    </w:div>
    <w:div w:id="665985226">
      <w:bodyDiv w:val="1"/>
      <w:marLeft w:val="0"/>
      <w:marRight w:val="0"/>
      <w:marTop w:val="0"/>
      <w:marBottom w:val="0"/>
      <w:divBdr>
        <w:top w:val="none" w:sz="0" w:space="0" w:color="auto"/>
        <w:left w:val="none" w:sz="0" w:space="0" w:color="auto"/>
        <w:bottom w:val="none" w:sz="0" w:space="0" w:color="auto"/>
        <w:right w:val="none" w:sz="0" w:space="0" w:color="auto"/>
      </w:divBdr>
    </w:div>
    <w:div w:id="666134294">
      <w:bodyDiv w:val="1"/>
      <w:marLeft w:val="0"/>
      <w:marRight w:val="0"/>
      <w:marTop w:val="0"/>
      <w:marBottom w:val="0"/>
      <w:divBdr>
        <w:top w:val="none" w:sz="0" w:space="0" w:color="auto"/>
        <w:left w:val="none" w:sz="0" w:space="0" w:color="auto"/>
        <w:bottom w:val="none" w:sz="0" w:space="0" w:color="auto"/>
        <w:right w:val="none" w:sz="0" w:space="0" w:color="auto"/>
      </w:divBdr>
    </w:div>
    <w:div w:id="666174399">
      <w:bodyDiv w:val="1"/>
      <w:marLeft w:val="0"/>
      <w:marRight w:val="0"/>
      <w:marTop w:val="0"/>
      <w:marBottom w:val="0"/>
      <w:divBdr>
        <w:top w:val="none" w:sz="0" w:space="0" w:color="auto"/>
        <w:left w:val="none" w:sz="0" w:space="0" w:color="auto"/>
        <w:bottom w:val="none" w:sz="0" w:space="0" w:color="auto"/>
        <w:right w:val="none" w:sz="0" w:space="0" w:color="auto"/>
      </w:divBdr>
    </w:div>
    <w:div w:id="666326909">
      <w:bodyDiv w:val="1"/>
      <w:marLeft w:val="0"/>
      <w:marRight w:val="0"/>
      <w:marTop w:val="0"/>
      <w:marBottom w:val="0"/>
      <w:divBdr>
        <w:top w:val="none" w:sz="0" w:space="0" w:color="auto"/>
        <w:left w:val="none" w:sz="0" w:space="0" w:color="auto"/>
        <w:bottom w:val="none" w:sz="0" w:space="0" w:color="auto"/>
        <w:right w:val="none" w:sz="0" w:space="0" w:color="auto"/>
      </w:divBdr>
    </w:div>
    <w:div w:id="666590959">
      <w:bodyDiv w:val="1"/>
      <w:marLeft w:val="0"/>
      <w:marRight w:val="0"/>
      <w:marTop w:val="0"/>
      <w:marBottom w:val="0"/>
      <w:divBdr>
        <w:top w:val="none" w:sz="0" w:space="0" w:color="auto"/>
        <w:left w:val="none" w:sz="0" w:space="0" w:color="auto"/>
        <w:bottom w:val="none" w:sz="0" w:space="0" w:color="auto"/>
        <w:right w:val="none" w:sz="0" w:space="0" w:color="auto"/>
      </w:divBdr>
    </w:div>
    <w:div w:id="666592962">
      <w:bodyDiv w:val="1"/>
      <w:marLeft w:val="0"/>
      <w:marRight w:val="0"/>
      <w:marTop w:val="0"/>
      <w:marBottom w:val="0"/>
      <w:divBdr>
        <w:top w:val="none" w:sz="0" w:space="0" w:color="auto"/>
        <w:left w:val="none" w:sz="0" w:space="0" w:color="auto"/>
        <w:bottom w:val="none" w:sz="0" w:space="0" w:color="auto"/>
        <w:right w:val="none" w:sz="0" w:space="0" w:color="auto"/>
      </w:divBdr>
    </w:div>
    <w:div w:id="666596385">
      <w:bodyDiv w:val="1"/>
      <w:marLeft w:val="0"/>
      <w:marRight w:val="0"/>
      <w:marTop w:val="0"/>
      <w:marBottom w:val="0"/>
      <w:divBdr>
        <w:top w:val="none" w:sz="0" w:space="0" w:color="auto"/>
        <w:left w:val="none" w:sz="0" w:space="0" w:color="auto"/>
        <w:bottom w:val="none" w:sz="0" w:space="0" w:color="auto"/>
        <w:right w:val="none" w:sz="0" w:space="0" w:color="auto"/>
      </w:divBdr>
    </w:div>
    <w:div w:id="666637867">
      <w:bodyDiv w:val="1"/>
      <w:marLeft w:val="0"/>
      <w:marRight w:val="0"/>
      <w:marTop w:val="0"/>
      <w:marBottom w:val="0"/>
      <w:divBdr>
        <w:top w:val="none" w:sz="0" w:space="0" w:color="auto"/>
        <w:left w:val="none" w:sz="0" w:space="0" w:color="auto"/>
        <w:bottom w:val="none" w:sz="0" w:space="0" w:color="auto"/>
        <w:right w:val="none" w:sz="0" w:space="0" w:color="auto"/>
      </w:divBdr>
    </w:div>
    <w:div w:id="666638772">
      <w:bodyDiv w:val="1"/>
      <w:marLeft w:val="0"/>
      <w:marRight w:val="0"/>
      <w:marTop w:val="0"/>
      <w:marBottom w:val="0"/>
      <w:divBdr>
        <w:top w:val="none" w:sz="0" w:space="0" w:color="auto"/>
        <w:left w:val="none" w:sz="0" w:space="0" w:color="auto"/>
        <w:bottom w:val="none" w:sz="0" w:space="0" w:color="auto"/>
        <w:right w:val="none" w:sz="0" w:space="0" w:color="auto"/>
      </w:divBdr>
    </w:div>
    <w:div w:id="666638843">
      <w:bodyDiv w:val="1"/>
      <w:marLeft w:val="0"/>
      <w:marRight w:val="0"/>
      <w:marTop w:val="0"/>
      <w:marBottom w:val="0"/>
      <w:divBdr>
        <w:top w:val="none" w:sz="0" w:space="0" w:color="auto"/>
        <w:left w:val="none" w:sz="0" w:space="0" w:color="auto"/>
        <w:bottom w:val="none" w:sz="0" w:space="0" w:color="auto"/>
        <w:right w:val="none" w:sz="0" w:space="0" w:color="auto"/>
      </w:divBdr>
    </w:div>
    <w:div w:id="666716228">
      <w:bodyDiv w:val="1"/>
      <w:marLeft w:val="0"/>
      <w:marRight w:val="0"/>
      <w:marTop w:val="0"/>
      <w:marBottom w:val="0"/>
      <w:divBdr>
        <w:top w:val="none" w:sz="0" w:space="0" w:color="auto"/>
        <w:left w:val="none" w:sz="0" w:space="0" w:color="auto"/>
        <w:bottom w:val="none" w:sz="0" w:space="0" w:color="auto"/>
        <w:right w:val="none" w:sz="0" w:space="0" w:color="auto"/>
      </w:divBdr>
    </w:div>
    <w:div w:id="666832858">
      <w:bodyDiv w:val="1"/>
      <w:marLeft w:val="0"/>
      <w:marRight w:val="0"/>
      <w:marTop w:val="0"/>
      <w:marBottom w:val="0"/>
      <w:divBdr>
        <w:top w:val="none" w:sz="0" w:space="0" w:color="auto"/>
        <w:left w:val="none" w:sz="0" w:space="0" w:color="auto"/>
        <w:bottom w:val="none" w:sz="0" w:space="0" w:color="auto"/>
        <w:right w:val="none" w:sz="0" w:space="0" w:color="auto"/>
      </w:divBdr>
    </w:div>
    <w:div w:id="666902211">
      <w:bodyDiv w:val="1"/>
      <w:marLeft w:val="0"/>
      <w:marRight w:val="0"/>
      <w:marTop w:val="0"/>
      <w:marBottom w:val="0"/>
      <w:divBdr>
        <w:top w:val="none" w:sz="0" w:space="0" w:color="auto"/>
        <w:left w:val="none" w:sz="0" w:space="0" w:color="auto"/>
        <w:bottom w:val="none" w:sz="0" w:space="0" w:color="auto"/>
        <w:right w:val="none" w:sz="0" w:space="0" w:color="auto"/>
      </w:divBdr>
    </w:div>
    <w:div w:id="667028171">
      <w:bodyDiv w:val="1"/>
      <w:marLeft w:val="0"/>
      <w:marRight w:val="0"/>
      <w:marTop w:val="0"/>
      <w:marBottom w:val="0"/>
      <w:divBdr>
        <w:top w:val="none" w:sz="0" w:space="0" w:color="auto"/>
        <w:left w:val="none" w:sz="0" w:space="0" w:color="auto"/>
        <w:bottom w:val="none" w:sz="0" w:space="0" w:color="auto"/>
        <w:right w:val="none" w:sz="0" w:space="0" w:color="auto"/>
      </w:divBdr>
    </w:div>
    <w:div w:id="667052974">
      <w:bodyDiv w:val="1"/>
      <w:marLeft w:val="0"/>
      <w:marRight w:val="0"/>
      <w:marTop w:val="0"/>
      <w:marBottom w:val="0"/>
      <w:divBdr>
        <w:top w:val="none" w:sz="0" w:space="0" w:color="auto"/>
        <w:left w:val="none" w:sz="0" w:space="0" w:color="auto"/>
        <w:bottom w:val="none" w:sz="0" w:space="0" w:color="auto"/>
        <w:right w:val="none" w:sz="0" w:space="0" w:color="auto"/>
      </w:divBdr>
    </w:div>
    <w:div w:id="667055999">
      <w:bodyDiv w:val="1"/>
      <w:marLeft w:val="0"/>
      <w:marRight w:val="0"/>
      <w:marTop w:val="0"/>
      <w:marBottom w:val="0"/>
      <w:divBdr>
        <w:top w:val="none" w:sz="0" w:space="0" w:color="auto"/>
        <w:left w:val="none" w:sz="0" w:space="0" w:color="auto"/>
        <w:bottom w:val="none" w:sz="0" w:space="0" w:color="auto"/>
        <w:right w:val="none" w:sz="0" w:space="0" w:color="auto"/>
      </w:divBdr>
    </w:div>
    <w:div w:id="667095357">
      <w:bodyDiv w:val="1"/>
      <w:marLeft w:val="0"/>
      <w:marRight w:val="0"/>
      <w:marTop w:val="0"/>
      <w:marBottom w:val="0"/>
      <w:divBdr>
        <w:top w:val="none" w:sz="0" w:space="0" w:color="auto"/>
        <w:left w:val="none" w:sz="0" w:space="0" w:color="auto"/>
        <w:bottom w:val="none" w:sz="0" w:space="0" w:color="auto"/>
        <w:right w:val="none" w:sz="0" w:space="0" w:color="auto"/>
      </w:divBdr>
    </w:div>
    <w:div w:id="667178742">
      <w:bodyDiv w:val="1"/>
      <w:marLeft w:val="0"/>
      <w:marRight w:val="0"/>
      <w:marTop w:val="0"/>
      <w:marBottom w:val="0"/>
      <w:divBdr>
        <w:top w:val="none" w:sz="0" w:space="0" w:color="auto"/>
        <w:left w:val="none" w:sz="0" w:space="0" w:color="auto"/>
        <w:bottom w:val="none" w:sz="0" w:space="0" w:color="auto"/>
        <w:right w:val="none" w:sz="0" w:space="0" w:color="auto"/>
      </w:divBdr>
    </w:div>
    <w:div w:id="667366872">
      <w:bodyDiv w:val="1"/>
      <w:marLeft w:val="0"/>
      <w:marRight w:val="0"/>
      <w:marTop w:val="0"/>
      <w:marBottom w:val="0"/>
      <w:divBdr>
        <w:top w:val="none" w:sz="0" w:space="0" w:color="auto"/>
        <w:left w:val="none" w:sz="0" w:space="0" w:color="auto"/>
        <w:bottom w:val="none" w:sz="0" w:space="0" w:color="auto"/>
        <w:right w:val="none" w:sz="0" w:space="0" w:color="auto"/>
      </w:divBdr>
    </w:div>
    <w:div w:id="667440391">
      <w:bodyDiv w:val="1"/>
      <w:marLeft w:val="0"/>
      <w:marRight w:val="0"/>
      <w:marTop w:val="0"/>
      <w:marBottom w:val="0"/>
      <w:divBdr>
        <w:top w:val="none" w:sz="0" w:space="0" w:color="auto"/>
        <w:left w:val="none" w:sz="0" w:space="0" w:color="auto"/>
        <w:bottom w:val="none" w:sz="0" w:space="0" w:color="auto"/>
        <w:right w:val="none" w:sz="0" w:space="0" w:color="auto"/>
      </w:divBdr>
    </w:div>
    <w:div w:id="667564482">
      <w:bodyDiv w:val="1"/>
      <w:marLeft w:val="0"/>
      <w:marRight w:val="0"/>
      <w:marTop w:val="0"/>
      <w:marBottom w:val="0"/>
      <w:divBdr>
        <w:top w:val="none" w:sz="0" w:space="0" w:color="auto"/>
        <w:left w:val="none" w:sz="0" w:space="0" w:color="auto"/>
        <w:bottom w:val="none" w:sz="0" w:space="0" w:color="auto"/>
        <w:right w:val="none" w:sz="0" w:space="0" w:color="auto"/>
      </w:divBdr>
    </w:div>
    <w:div w:id="667635693">
      <w:bodyDiv w:val="1"/>
      <w:marLeft w:val="0"/>
      <w:marRight w:val="0"/>
      <w:marTop w:val="0"/>
      <w:marBottom w:val="0"/>
      <w:divBdr>
        <w:top w:val="none" w:sz="0" w:space="0" w:color="auto"/>
        <w:left w:val="none" w:sz="0" w:space="0" w:color="auto"/>
        <w:bottom w:val="none" w:sz="0" w:space="0" w:color="auto"/>
        <w:right w:val="none" w:sz="0" w:space="0" w:color="auto"/>
      </w:divBdr>
    </w:div>
    <w:div w:id="667751420">
      <w:bodyDiv w:val="1"/>
      <w:marLeft w:val="0"/>
      <w:marRight w:val="0"/>
      <w:marTop w:val="0"/>
      <w:marBottom w:val="0"/>
      <w:divBdr>
        <w:top w:val="none" w:sz="0" w:space="0" w:color="auto"/>
        <w:left w:val="none" w:sz="0" w:space="0" w:color="auto"/>
        <w:bottom w:val="none" w:sz="0" w:space="0" w:color="auto"/>
        <w:right w:val="none" w:sz="0" w:space="0" w:color="auto"/>
      </w:divBdr>
    </w:div>
    <w:div w:id="667832006">
      <w:bodyDiv w:val="1"/>
      <w:marLeft w:val="0"/>
      <w:marRight w:val="0"/>
      <w:marTop w:val="0"/>
      <w:marBottom w:val="0"/>
      <w:divBdr>
        <w:top w:val="none" w:sz="0" w:space="0" w:color="auto"/>
        <w:left w:val="none" w:sz="0" w:space="0" w:color="auto"/>
        <w:bottom w:val="none" w:sz="0" w:space="0" w:color="auto"/>
        <w:right w:val="none" w:sz="0" w:space="0" w:color="auto"/>
      </w:divBdr>
    </w:div>
    <w:div w:id="667833692">
      <w:bodyDiv w:val="1"/>
      <w:marLeft w:val="0"/>
      <w:marRight w:val="0"/>
      <w:marTop w:val="0"/>
      <w:marBottom w:val="0"/>
      <w:divBdr>
        <w:top w:val="none" w:sz="0" w:space="0" w:color="auto"/>
        <w:left w:val="none" w:sz="0" w:space="0" w:color="auto"/>
        <w:bottom w:val="none" w:sz="0" w:space="0" w:color="auto"/>
        <w:right w:val="none" w:sz="0" w:space="0" w:color="auto"/>
      </w:divBdr>
    </w:div>
    <w:div w:id="667899796">
      <w:bodyDiv w:val="1"/>
      <w:marLeft w:val="0"/>
      <w:marRight w:val="0"/>
      <w:marTop w:val="0"/>
      <w:marBottom w:val="0"/>
      <w:divBdr>
        <w:top w:val="none" w:sz="0" w:space="0" w:color="auto"/>
        <w:left w:val="none" w:sz="0" w:space="0" w:color="auto"/>
        <w:bottom w:val="none" w:sz="0" w:space="0" w:color="auto"/>
        <w:right w:val="none" w:sz="0" w:space="0" w:color="auto"/>
      </w:divBdr>
    </w:div>
    <w:div w:id="668101298">
      <w:bodyDiv w:val="1"/>
      <w:marLeft w:val="0"/>
      <w:marRight w:val="0"/>
      <w:marTop w:val="0"/>
      <w:marBottom w:val="0"/>
      <w:divBdr>
        <w:top w:val="none" w:sz="0" w:space="0" w:color="auto"/>
        <w:left w:val="none" w:sz="0" w:space="0" w:color="auto"/>
        <w:bottom w:val="none" w:sz="0" w:space="0" w:color="auto"/>
        <w:right w:val="none" w:sz="0" w:space="0" w:color="auto"/>
      </w:divBdr>
    </w:div>
    <w:div w:id="668101549">
      <w:bodyDiv w:val="1"/>
      <w:marLeft w:val="0"/>
      <w:marRight w:val="0"/>
      <w:marTop w:val="0"/>
      <w:marBottom w:val="0"/>
      <w:divBdr>
        <w:top w:val="none" w:sz="0" w:space="0" w:color="auto"/>
        <w:left w:val="none" w:sz="0" w:space="0" w:color="auto"/>
        <w:bottom w:val="none" w:sz="0" w:space="0" w:color="auto"/>
        <w:right w:val="none" w:sz="0" w:space="0" w:color="auto"/>
      </w:divBdr>
    </w:div>
    <w:div w:id="668168871">
      <w:bodyDiv w:val="1"/>
      <w:marLeft w:val="0"/>
      <w:marRight w:val="0"/>
      <w:marTop w:val="0"/>
      <w:marBottom w:val="0"/>
      <w:divBdr>
        <w:top w:val="none" w:sz="0" w:space="0" w:color="auto"/>
        <w:left w:val="none" w:sz="0" w:space="0" w:color="auto"/>
        <w:bottom w:val="none" w:sz="0" w:space="0" w:color="auto"/>
        <w:right w:val="none" w:sz="0" w:space="0" w:color="auto"/>
      </w:divBdr>
    </w:div>
    <w:div w:id="668337953">
      <w:bodyDiv w:val="1"/>
      <w:marLeft w:val="0"/>
      <w:marRight w:val="0"/>
      <w:marTop w:val="0"/>
      <w:marBottom w:val="0"/>
      <w:divBdr>
        <w:top w:val="none" w:sz="0" w:space="0" w:color="auto"/>
        <w:left w:val="none" w:sz="0" w:space="0" w:color="auto"/>
        <w:bottom w:val="none" w:sz="0" w:space="0" w:color="auto"/>
        <w:right w:val="none" w:sz="0" w:space="0" w:color="auto"/>
      </w:divBdr>
    </w:div>
    <w:div w:id="668365397">
      <w:bodyDiv w:val="1"/>
      <w:marLeft w:val="0"/>
      <w:marRight w:val="0"/>
      <w:marTop w:val="0"/>
      <w:marBottom w:val="0"/>
      <w:divBdr>
        <w:top w:val="none" w:sz="0" w:space="0" w:color="auto"/>
        <w:left w:val="none" w:sz="0" w:space="0" w:color="auto"/>
        <w:bottom w:val="none" w:sz="0" w:space="0" w:color="auto"/>
        <w:right w:val="none" w:sz="0" w:space="0" w:color="auto"/>
      </w:divBdr>
    </w:div>
    <w:div w:id="668365585">
      <w:bodyDiv w:val="1"/>
      <w:marLeft w:val="0"/>
      <w:marRight w:val="0"/>
      <w:marTop w:val="0"/>
      <w:marBottom w:val="0"/>
      <w:divBdr>
        <w:top w:val="none" w:sz="0" w:space="0" w:color="auto"/>
        <w:left w:val="none" w:sz="0" w:space="0" w:color="auto"/>
        <w:bottom w:val="none" w:sz="0" w:space="0" w:color="auto"/>
        <w:right w:val="none" w:sz="0" w:space="0" w:color="auto"/>
      </w:divBdr>
    </w:div>
    <w:div w:id="668484837">
      <w:bodyDiv w:val="1"/>
      <w:marLeft w:val="0"/>
      <w:marRight w:val="0"/>
      <w:marTop w:val="0"/>
      <w:marBottom w:val="0"/>
      <w:divBdr>
        <w:top w:val="none" w:sz="0" w:space="0" w:color="auto"/>
        <w:left w:val="none" w:sz="0" w:space="0" w:color="auto"/>
        <w:bottom w:val="none" w:sz="0" w:space="0" w:color="auto"/>
        <w:right w:val="none" w:sz="0" w:space="0" w:color="auto"/>
      </w:divBdr>
    </w:div>
    <w:div w:id="668603134">
      <w:bodyDiv w:val="1"/>
      <w:marLeft w:val="0"/>
      <w:marRight w:val="0"/>
      <w:marTop w:val="0"/>
      <w:marBottom w:val="0"/>
      <w:divBdr>
        <w:top w:val="none" w:sz="0" w:space="0" w:color="auto"/>
        <w:left w:val="none" w:sz="0" w:space="0" w:color="auto"/>
        <w:bottom w:val="none" w:sz="0" w:space="0" w:color="auto"/>
        <w:right w:val="none" w:sz="0" w:space="0" w:color="auto"/>
      </w:divBdr>
    </w:div>
    <w:div w:id="668605508">
      <w:bodyDiv w:val="1"/>
      <w:marLeft w:val="0"/>
      <w:marRight w:val="0"/>
      <w:marTop w:val="0"/>
      <w:marBottom w:val="0"/>
      <w:divBdr>
        <w:top w:val="none" w:sz="0" w:space="0" w:color="auto"/>
        <w:left w:val="none" w:sz="0" w:space="0" w:color="auto"/>
        <w:bottom w:val="none" w:sz="0" w:space="0" w:color="auto"/>
        <w:right w:val="none" w:sz="0" w:space="0" w:color="auto"/>
      </w:divBdr>
    </w:div>
    <w:div w:id="668605856">
      <w:bodyDiv w:val="1"/>
      <w:marLeft w:val="0"/>
      <w:marRight w:val="0"/>
      <w:marTop w:val="0"/>
      <w:marBottom w:val="0"/>
      <w:divBdr>
        <w:top w:val="none" w:sz="0" w:space="0" w:color="auto"/>
        <w:left w:val="none" w:sz="0" w:space="0" w:color="auto"/>
        <w:bottom w:val="none" w:sz="0" w:space="0" w:color="auto"/>
        <w:right w:val="none" w:sz="0" w:space="0" w:color="auto"/>
      </w:divBdr>
    </w:div>
    <w:div w:id="668674443">
      <w:bodyDiv w:val="1"/>
      <w:marLeft w:val="0"/>
      <w:marRight w:val="0"/>
      <w:marTop w:val="0"/>
      <w:marBottom w:val="0"/>
      <w:divBdr>
        <w:top w:val="none" w:sz="0" w:space="0" w:color="auto"/>
        <w:left w:val="none" w:sz="0" w:space="0" w:color="auto"/>
        <w:bottom w:val="none" w:sz="0" w:space="0" w:color="auto"/>
        <w:right w:val="none" w:sz="0" w:space="0" w:color="auto"/>
      </w:divBdr>
    </w:div>
    <w:div w:id="668757374">
      <w:bodyDiv w:val="1"/>
      <w:marLeft w:val="0"/>
      <w:marRight w:val="0"/>
      <w:marTop w:val="0"/>
      <w:marBottom w:val="0"/>
      <w:divBdr>
        <w:top w:val="none" w:sz="0" w:space="0" w:color="auto"/>
        <w:left w:val="none" w:sz="0" w:space="0" w:color="auto"/>
        <w:bottom w:val="none" w:sz="0" w:space="0" w:color="auto"/>
        <w:right w:val="none" w:sz="0" w:space="0" w:color="auto"/>
      </w:divBdr>
    </w:div>
    <w:div w:id="668866635">
      <w:bodyDiv w:val="1"/>
      <w:marLeft w:val="0"/>
      <w:marRight w:val="0"/>
      <w:marTop w:val="0"/>
      <w:marBottom w:val="0"/>
      <w:divBdr>
        <w:top w:val="none" w:sz="0" w:space="0" w:color="auto"/>
        <w:left w:val="none" w:sz="0" w:space="0" w:color="auto"/>
        <w:bottom w:val="none" w:sz="0" w:space="0" w:color="auto"/>
        <w:right w:val="none" w:sz="0" w:space="0" w:color="auto"/>
      </w:divBdr>
    </w:div>
    <w:div w:id="668941839">
      <w:bodyDiv w:val="1"/>
      <w:marLeft w:val="0"/>
      <w:marRight w:val="0"/>
      <w:marTop w:val="0"/>
      <w:marBottom w:val="0"/>
      <w:divBdr>
        <w:top w:val="none" w:sz="0" w:space="0" w:color="auto"/>
        <w:left w:val="none" w:sz="0" w:space="0" w:color="auto"/>
        <w:bottom w:val="none" w:sz="0" w:space="0" w:color="auto"/>
        <w:right w:val="none" w:sz="0" w:space="0" w:color="auto"/>
      </w:divBdr>
    </w:div>
    <w:div w:id="668946676">
      <w:bodyDiv w:val="1"/>
      <w:marLeft w:val="0"/>
      <w:marRight w:val="0"/>
      <w:marTop w:val="0"/>
      <w:marBottom w:val="0"/>
      <w:divBdr>
        <w:top w:val="none" w:sz="0" w:space="0" w:color="auto"/>
        <w:left w:val="none" w:sz="0" w:space="0" w:color="auto"/>
        <w:bottom w:val="none" w:sz="0" w:space="0" w:color="auto"/>
        <w:right w:val="none" w:sz="0" w:space="0" w:color="auto"/>
      </w:divBdr>
    </w:div>
    <w:div w:id="669024035">
      <w:bodyDiv w:val="1"/>
      <w:marLeft w:val="0"/>
      <w:marRight w:val="0"/>
      <w:marTop w:val="0"/>
      <w:marBottom w:val="0"/>
      <w:divBdr>
        <w:top w:val="none" w:sz="0" w:space="0" w:color="auto"/>
        <w:left w:val="none" w:sz="0" w:space="0" w:color="auto"/>
        <w:bottom w:val="none" w:sz="0" w:space="0" w:color="auto"/>
        <w:right w:val="none" w:sz="0" w:space="0" w:color="auto"/>
      </w:divBdr>
    </w:div>
    <w:div w:id="669140778">
      <w:bodyDiv w:val="1"/>
      <w:marLeft w:val="0"/>
      <w:marRight w:val="0"/>
      <w:marTop w:val="0"/>
      <w:marBottom w:val="0"/>
      <w:divBdr>
        <w:top w:val="none" w:sz="0" w:space="0" w:color="auto"/>
        <w:left w:val="none" w:sz="0" w:space="0" w:color="auto"/>
        <w:bottom w:val="none" w:sz="0" w:space="0" w:color="auto"/>
        <w:right w:val="none" w:sz="0" w:space="0" w:color="auto"/>
      </w:divBdr>
    </w:div>
    <w:div w:id="669256680">
      <w:bodyDiv w:val="1"/>
      <w:marLeft w:val="0"/>
      <w:marRight w:val="0"/>
      <w:marTop w:val="0"/>
      <w:marBottom w:val="0"/>
      <w:divBdr>
        <w:top w:val="none" w:sz="0" w:space="0" w:color="auto"/>
        <w:left w:val="none" w:sz="0" w:space="0" w:color="auto"/>
        <w:bottom w:val="none" w:sz="0" w:space="0" w:color="auto"/>
        <w:right w:val="none" w:sz="0" w:space="0" w:color="auto"/>
      </w:divBdr>
    </w:div>
    <w:div w:id="669260672">
      <w:bodyDiv w:val="1"/>
      <w:marLeft w:val="0"/>
      <w:marRight w:val="0"/>
      <w:marTop w:val="0"/>
      <w:marBottom w:val="0"/>
      <w:divBdr>
        <w:top w:val="none" w:sz="0" w:space="0" w:color="auto"/>
        <w:left w:val="none" w:sz="0" w:space="0" w:color="auto"/>
        <w:bottom w:val="none" w:sz="0" w:space="0" w:color="auto"/>
        <w:right w:val="none" w:sz="0" w:space="0" w:color="auto"/>
      </w:divBdr>
    </w:div>
    <w:div w:id="669329172">
      <w:bodyDiv w:val="1"/>
      <w:marLeft w:val="0"/>
      <w:marRight w:val="0"/>
      <w:marTop w:val="0"/>
      <w:marBottom w:val="0"/>
      <w:divBdr>
        <w:top w:val="none" w:sz="0" w:space="0" w:color="auto"/>
        <w:left w:val="none" w:sz="0" w:space="0" w:color="auto"/>
        <w:bottom w:val="none" w:sz="0" w:space="0" w:color="auto"/>
        <w:right w:val="none" w:sz="0" w:space="0" w:color="auto"/>
      </w:divBdr>
    </w:div>
    <w:div w:id="669332572">
      <w:bodyDiv w:val="1"/>
      <w:marLeft w:val="0"/>
      <w:marRight w:val="0"/>
      <w:marTop w:val="0"/>
      <w:marBottom w:val="0"/>
      <w:divBdr>
        <w:top w:val="none" w:sz="0" w:space="0" w:color="auto"/>
        <w:left w:val="none" w:sz="0" w:space="0" w:color="auto"/>
        <w:bottom w:val="none" w:sz="0" w:space="0" w:color="auto"/>
        <w:right w:val="none" w:sz="0" w:space="0" w:color="auto"/>
      </w:divBdr>
    </w:div>
    <w:div w:id="669336480">
      <w:bodyDiv w:val="1"/>
      <w:marLeft w:val="0"/>
      <w:marRight w:val="0"/>
      <w:marTop w:val="0"/>
      <w:marBottom w:val="0"/>
      <w:divBdr>
        <w:top w:val="none" w:sz="0" w:space="0" w:color="auto"/>
        <w:left w:val="none" w:sz="0" w:space="0" w:color="auto"/>
        <w:bottom w:val="none" w:sz="0" w:space="0" w:color="auto"/>
        <w:right w:val="none" w:sz="0" w:space="0" w:color="auto"/>
      </w:divBdr>
    </w:div>
    <w:div w:id="669482138">
      <w:bodyDiv w:val="1"/>
      <w:marLeft w:val="0"/>
      <w:marRight w:val="0"/>
      <w:marTop w:val="0"/>
      <w:marBottom w:val="0"/>
      <w:divBdr>
        <w:top w:val="none" w:sz="0" w:space="0" w:color="auto"/>
        <w:left w:val="none" w:sz="0" w:space="0" w:color="auto"/>
        <w:bottom w:val="none" w:sz="0" w:space="0" w:color="auto"/>
        <w:right w:val="none" w:sz="0" w:space="0" w:color="auto"/>
      </w:divBdr>
    </w:div>
    <w:div w:id="669523818">
      <w:bodyDiv w:val="1"/>
      <w:marLeft w:val="0"/>
      <w:marRight w:val="0"/>
      <w:marTop w:val="0"/>
      <w:marBottom w:val="0"/>
      <w:divBdr>
        <w:top w:val="none" w:sz="0" w:space="0" w:color="auto"/>
        <w:left w:val="none" w:sz="0" w:space="0" w:color="auto"/>
        <w:bottom w:val="none" w:sz="0" w:space="0" w:color="auto"/>
        <w:right w:val="none" w:sz="0" w:space="0" w:color="auto"/>
      </w:divBdr>
    </w:div>
    <w:div w:id="669604983">
      <w:bodyDiv w:val="1"/>
      <w:marLeft w:val="0"/>
      <w:marRight w:val="0"/>
      <w:marTop w:val="0"/>
      <w:marBottom w:val="0"/>
      <w:divBdr>
        <w:top w:val="none" w:sz="0" w:space="0" w:color="auto"/>
        <w:left w:val="none" w:sz="0" w:space="0" w:color="auto"/>
        <w:bottom w:val="none" w:sz="0" w:space="0" w:color="auto"/>
        <w:right w:val="none" w:sz="0" w:space="0" w:color="auto"/>
      </w:divBdr>
    </w:div>
    <w:div w:id="669648134">
      <w:bodyDiv w:val="1"/>
      <w:marLeft w:val="0"/>
      <w:marRight w:val="0"/>
      <w:marTop w:val="0"/>
      <w:marBottom w:val="0"/>
      <w:divBdr>
        <w:top w:val="none" w:sz="0" w:space="0" w:color="auto"/>
        <w:left w:val="none" w:sz="0" w:space="0" w:color="auto"/>
        <w:bottom w:val="none" w:sz="0" w:space="0" w:color="auto"/>
        <w:right w:val="none" w:sz="0" w:space="0" w:color="auto"/>
      </w:divBdr>
    </w:div>
    <w:div w:id="669719605">
      <w:bodyDiv w:val="1"/>
      <w:marLeft w:val="0"/>
      <w:marRight w:val="0"/>
      <w:marTop w:val="0"/>
      <w:marBottom w:val="0"/>
      <w:divBdr>
        <w:top w:val="none" w:sz="0" w:space="0" w:color="auto"/>
        <w:left w:val="none" w:sz="0" w:space="0" w:color="auto"/>
        <w:bottom w:val="none" w:sz="0" w:space="0" w:color="auto"/>
        <w:right w:val="none" w:sz="0" w:space="0" w:color="auto"/>
      </w:divBdr>
    </w:div>
    <w:div w:id="669912328">
      <w:bodyDiv w:val="1"/>
      <w:marLeft w:val="0"/>
      <w:marRight w:val="0"/>
      <w:marTop w:val="0"/>
      <w:marBottom w:val="0"/>
      <w:divBdr>
        <w:top w:val="none" w:sz="0" w:space="0" w:color="auto"/>
        <w:left w:val="none" w:sz="0" w:space="0" w:color="auto"/>
        <w:bottom w:val="none" w:sz="0" w:space="0" w:color="auto"/>
        <w:right w:val="none" w:sz="0" w:space="0" w:color="auto"/>
      </w:divBdr>
    </w:div>
    <w:div w:id="669986246">
      <w:bodyDiv w:val="1"/>
      <w:marLeft w:val="0"/>
      <w:marRight w:val="0"/>
      <w:marTop w:val="0"/>
      <w:marBottom w:val="0"/>
      <w:divBdr>
        <w:top w:val="none" w:sz="0" w:space="0" w:color="auto"/>
        <w:left w:val="none" w:sz="0" w:space="0" w:color="auto"/>
        <w:bottom w:val="none" w:sz="0" w:space="0" w:color="auto"/>
        <w:right w:val="none" w:sz="0" w:space="0" w:color="auto"/>
      </w:divBdr>
    </w:div>
    <w:div w:id="670181271">
      <w:bodyDiv w:val="1"/>
      <w:marLeft w:val="0"/>
      <w:marRight w:val="0"/>
      <w:marTop w:val="0"/>
      <w:marBottom w:val="0"/>
      <w:divBdr>
        <w:top w:val="none" w:sz="0" w:space="0" w:color="auto"/>
        <w:left w:val="none" w:sz="0" w:space="0" w:color="auto"/>
        <w:bottom w:val="none" w:sz="0" w:space="0" w:color="auto"/>
        <w:right w:val="none" w:sz="0" w:space="0" w:color="auto"/>
      </w:divBdr>
    </w:div>
    <w:div w:id="670184897">
      <w:bodyDiv w:val="1"/>
      <w:marLeft w:val="0"/>
      <w:marRight w:val="0"/>
      <w:marTop w:val="0"/>
      <w:marBottom w:val="0"/>
      <w:divBdr>
        <w:top w:val="none" w:sz="0" w:space="0" w:color="auto"/>
        <w:left w:val="none" w:sz="0" w:space="0" w:color="auto"/>
        <w:bottom w:val="none" w:sz="0" w:space="0" w:color="auto"/>
        <w:right w:val="none" w:sz="0" w:space="0" w:color="auto"/>
      </w:divBdr>
    </w:div>
    <w:div w:id="670255804">
      <w:bodyDiv w:val="1"/>
      <w:marLeft w:val="0"/>
      <w:marRight w:val="0"/>
      <w:marTop w:val="0"/>
      <w:marBottom w:val="0"/>
      <w:divBdr>
        <w:top w:val="none" w:sz="0" w:space="0" w:color="auto"/>
        <w:left w:val="none" w:sz="0" w:space="0" w:color="auto"/>
        <w:bottom w:val="none" w:sz="0" w:space="0" w:color="auto"/>
        <w:right w:val="none" w:sz="0" w:space="0" w:color="auto"/>
      </w:divBdr>
    </w:div>
    <w:div w:id="670372428">
      <w:bodyDiv w:val="1"/>
      <w:marLeft w:val="0"/>
      <w:marRight w:val="0"/>
      <w:marTop w:val="0"/>
      <w:marBottom w:val="0"/>
      <w:divBdr>
        <w:top w:val="none" w:sz="0" w:space="0" w:color="auto"/>
        <w:left w:val="none" w:sz="0" w:space="0" w:color="auto"/>
        <w:bottom w:val="none" w:sz="0" w:space="0" w:color="auto"/>
        <w:right w:val="none" w:sz="0" w:space="0" w:color="auto"/>
      </w:divBdr>
    </w:div>
    <w:div w:id="670448987">
      <w:bodyDiv w:val="1"/>
      <w:marLeft w:val="0"/>
      <w:marRight w:val="0"/>
      <w:marTop w:val="0"/>
      <w:marBottom w:val="0"/>
      <w:divBdr>
        <w:top w:val="none" w:sz="0" w:space="0" w:color="auto"/>
        <w:left w:val="none" w:sz="0" w:space="0" w:color="auto"/>
        <w:bottom w:val="none" w:sz="0" w:space="0" w:color="auto"/>
        <w:right w:val="none" w:sz="0" w:space="0" w:color="auto"/>
      </w:divBdr>
    </w:div>
    <w:div w:id="670450045">
      <w:bodyDiv w:val="1"/>
      <w:marLeft w:val="0"/>
      <w:marRight w:val="0"/>
      <w:marTop w:val="0"/>
      <w:marBottom w:val="0"/>
      <w:divBdr>
        <w:top w:val="none" w:sz="0" w:space="0" w:color="auto"/>
        <w:left w:val="none" w:sz="0" w:space="0" w:color="auto"/>
        <w:bottom w:val="none" w:sz="0" w:space="0" w:color="auto"/>
        <w:right w:val="none" w:sz="0" w:space="0" w:color="auto"/>
      </w:divBdr>
    </w:div>
    <w:div w:id="670453415">
      <w:bodyDiv w:val="1"/>
      <w:marLeft w:val="0"/>
      <w:marRight w:val="0"/>
      <w:marTop w:val="0"/>
      <w:marBottom w:val="0"/>
      <w:divBdr>
        <w:top w:val="none" w:sz="0" w:space="0" w:color="auto"/>
        <w:left w:val="none" w:sz="0" w:space="0" w:color="auto"/>
        <w:bottom w:val="none" w:sz="0" w:space="0" w:color="auto"/>
        <w:right w:val="none" w:sz="0" w:space="0" w:color="auto"/>
      </w:divBdr>
    </w:div>
    <w:div w:id="670596179">
      <w:bodyDiv w:val="1"/>
      <w:marLeft w:val="0"/>
      <w:marRight w:val="0"/>
      <w:marTop w:val="0"/>
      <w:marBottom w:val="0"/>
      <w:divBdr>
        <w:top w:val="none" w:sz="0" w:space="0" w:color="auto"/>
        <w:left w:val="none" w:sz="0" w:space="0" w:color="auto"/>
        <w:bottom w:val="none" w:sz="0" w:space="0" w:color="auto"/>
        <w:right w:val="none" w:sz="0" w:space="0" w:color="auto"/>
      </w:divBdr>
    </w:div>
    <w:div w:id="670833883">
      <w:bodyDiv w:val="1"/>
      <w:marLeft w:val="0"/>
      <w:marRight w:val="0"/>
      <w:marTop w:val="0"/>
      <w:marBottom w:val="0"/>
      <w:divBdr>
        <w:top w:val="none" w:sz="0" w:space="0" w:color="auto"/>
        <w:left w:val="none" w:sz="0" w:space="0" w:color="auto"/>
        <w:bottom w:val="none" w:sz="0" w:space="0" w:color="auto"/>
        <w:right w:val="none" w:sz="0" w:space="0" w:color="auto"/>
      </w:divBdr>
    </w:div>
    <w:div w:id="670916325">
      <w:bodyDiv w:val="1"/>
      <w:marLeft w:val="0"/>
      <w:marRight w:val="0"/>
      <w:marTop w:val="0"/>
      <w:marBottom w:val="0"/>
      <w:divBdr>
        <w:top w:val="none" w:sz="0" w:space="0" w:color="auto"/>
        <w:left w:val="none" w:sz="0" w:space="0" w:color="auto"/>
        <w:bottom w:val="none" w:sz="0" w:space="0" w:color="auto"/>
        <w:right w:val="none" w:sz="0" w:space="0" w:color="auto"/>
      </w:divBdr>
    </w:div>
    <w:div w:id="670958711">
      <w:bodyDiv w:val="1"/>
      <w:marLeft w:val="0"/>
      <w:marRight w:val="0"/>
      <w:marTop w:val="0"/>
      <w:marBottom w:val="0"/>
      <w:divBdr>
        <w:top w:val="none" w:sz="0" w:space="0" w:color="auto"/>
        <w:left w:val="none" w:sz="0" w:space="0" w:color="auto"/>
        <w:bottom w:val="none" w:sz="0" w:space="0" w:color="auto"/>
        <w:right w:val="none" w:sz="0" w:space="0" w:color="auto"/>
      </w:divBdr>
    </w:div>
    <w:div w:id="671031356">
      <w:bodyDiv w:val="1"/>
      <w:marLeft w:val="0"/>
      <w:marRight w:val="0"/>
      <w:marTop w:val="0"/>
      <w:marBottom w:val="0"/>
      <w:divBdr>
        <w:top w:val="none" w:sz="0" w:space="0" w:color="auto"/>
        <w:left w:val="none" w:sz="0" w:space="0" w:color="auto"/>
        <w:bottom w:val="none" w:sz="0" w:space="0" w:color="auto"/>
        <w:right w:val="none" w:sz="0" w:space="0" w:color="auto"/>
      </w:divBdr>
    </w:div>
    <w:div w:id="671110176">
      <w:bodyDiv w:val="1"/>
      <w:marLeft w:val="0"/>
      <w:marRight w:val="0"/>
      <w:marTop w:val="0"/>
      <w:marBottom w:val="0"/>
      <w:divBdr>
        <w:top w:val="none" w:sz="0" w:space="0" w:color="auto"/>
        <w:left w:val="none" w:sz="0" w:space="0" w:color="auto"/>
        <w:bottom w:val="none" w:sz="0" w:space="0" w:color="auto"/>
        <w:right w:val="none" w:sz="0" w:space="0" w:color="auto"/>
      </w:divBdr>
    </w:div>
    <w:div w:id="671369648">
      <w:bodyDiv w:val="1"/>
      <w:marLeft w:val="0"/>
      <w:marRight w:val="0"/>
      <w:marTop w:val="0"/>
      <w:marBottom w:val="0"/>
      <w:divBdr>
        <w:top w:val="none" w:sz="0" w:space="0" w:color="auto"/>
        <w:left w:val="none" w:sz="0" w:space="0" w:color="auto"/>
        <w:bottom w:val="none" w:sz="0" w:space="0" w:color="auto"/>
        <w:right w:val="none" w:sz="0" w:space="0" w:color="auto"/>
      </w:divBdr>
    </w:div>
    <w:div w:id="671371633">
      <w:bodyDiv w:val="1"/>
      <w:marLeft w:val="0"/>
      <w:marRight w:val="0"/>
      <w:marTop w:val="0"/>
      <w:marBottom w:val="0"/>
      <w:divBdr>
        <w:top w:val="none" w:sz="0" w:space="0" w:color="auto"/>
        <w:left w:val="none" w:sz="0" w:space="0" w:color="auto"/>
        <w:bottom w:val="none" w:sz="0" w:space="0" w:color="auto"/>
        <w:right w:val="none" w:sz="0" w:space="0" w:color="auto"/>
      </w:divBdr>
    </w:div>
    <w:div w:id="671376952">
      <w:bodyDiv w:val="1"/>
      <w:marLeft w:val="0"/>
      <w:marRight w:val="0"/>
      <w:marTop w:val="0"/>
      <w:marBottom w:val="0"/>
      <w:divBdr>
        <w:top w:val="none" w:sz="0" w:space="0" w:color="auto"/>
        <w:left w:val="none" w:sz="0" w:space="0" w:color="auto"/>
        <w:bottom w:val="none" w:sz="0" w:space="0" w:color="auto"/>
        <w:right w:val="none" w:sz="0" w:space="0" w:color="auto"/>
      </w:divBdr>
    </w:div>
    <w:div w:id="671377754">
      <w:bodyDiv w:val="1"/>
      <w:marLeft w:val="0"/>
      <w:marRight w:val="0"/>
      <w:marTop w:val="0"/>
      <w:marBottom w:val="0"/>
      <w:divBdr>
        <w:top w:val="none" w:sz="0" w:space="0" w:color="auto"/>
        <w:left w:val="none" w:sz="0" w:space="0" w:color="auto"/>
        <w:bottom w:val="none" w:sz="0" w:space="0" w:color="auto"/>
        <w:right w:val="none" w:sz="0" w:space="0" w:color="auto"/>
      </w:divBdr>
    </w:div>
    <w:div w:id="671563553">
      <w:bodyDiv w:val="1"/>
      <w:marLeft w:val="0"/>
      <w:marRight w:val="0"/>
      <w:marTop w:val="0"/>
      <w:marBottom w:val="0"/>
      <w:divBdr>
        <w:top w:val="none" w:sz="0" w:space="0" w:color="auto"/>
        <w:left w:val="none" w:sz="0" w:space="0" w:color="auto"/>
        <w:bottom w:val="none" w:sz="0" w:space="0" w:color="auto"/>
        <w:right w:val="none" w:sz="0" w:space="0" w:color="auto"/>
      </w:divBdr>
    </w:div>
    <w:div w:id="671644182">
      <w:bodyDiv w:val="1"/>
      <w:marLeft w:val="0"/>
      <w:marRight w:val="0"/>
      <w:marTop w:val="0"/>
      <w:marBottom w:val="0"/>
      <w:divBdr>
        <w:top w:val="none" w:sz="0" w:space="0" w:color="auto"/>
        <w:left w:val="none" w:sz="0" w:space="0" w:color="auto"/>
        <w:bottom w:val="none" w:sz="0" w:space="0" w:color="auto"/>
        <w:right w:val="none" w:sz="0" w:space="0" w:color="auto"/>
      </w:divBdr>
    </w:div>
    <w:div w:id="671682574">
      <w:bodyDiv w:val="1"/>
      <w:marLeft w:val="0"/>
      <w:marRight w:val="0"/>
      <w:marTop w:val="0"/>
      <w:marBottom w:val="0"/>
      <w:divBdr>
        <w:top w:val="none" w:sz="0" w:space="0" w:color="auto"/>
        <w:left w:val="none" w:sz="0" w:space="0" w:color="auto"/>
        <w:bottom w:val="none" w:sz="0" w:space="0" w:color="auto"/>
        <w:right w:val="none" w:sz="0" w:space="0" w:color="auto"/>
      </w:divBdr>
    </w:div>
    <w:div w:id="671684499">
      <w:bodyDiv w:val="1"/>
      <w:marLeft w:val="0"/>
      <w:marRight w:val="0"/>
      <w:marTop w:val="0"/>
      <w:marBottom w:val="0"/>
      <w:divBdr>
        <w:top w:val="none" w:sz="0" w:space="0" w:color="auto"/>
        <w:left w:val="none" w:sz="0" w:space="0" w:color="auto"/>
        <w:bottom w:val="none" w:sz="0" w:space="0" w:color="auto"/>
        <w:right w:val="none" w:sz="0" w:space="0" w:color="auto"/>
      </w:divBdr>
    </w:div>
    <w:div w:id="671684836">
      <w:bodyDiv w:val="1"/>
      <w:marLeft w:val="0"/>
      <w:marRight w:val="0"/>
      <w:marTop w:val="0"/>
      <w:marBottom w:val="0"/>
      <w:divBdr>
        <w:top w:val="none" w:sz="0" w:space="0" w:color="auto"/>
        <w:left w:val="none" w:sz="0" w:space="0" w:color="auto"/>
        <w:bottom w:val="none" w:sz="0" w:space="0" w:color="auto"/>
        <w:right w:val="none" w:sz="0" w:space="0" w:color="auto"/>
      </w:divBdr>
    </w:div>
    <w:div w:id="672026306">
      <w:bodyDiv w:val="1"/>
      <w:marLeft w:val="0"/>
      <w:marRight w:val="0"/>
      <w:marTop w:val="0"/>
      <w:marBottom w:val="0"/>
      <w:divBdr>
        <w:top w:val="none" w:sz="0" w:space="0" w:color="auto"/>
        <w:left w:val="none" w:sz="0" w:space="0" w:color="auto"/>
        <w:bottom w:val="none" w:sz="0" w:space="0" w:color="auto"/>
        <w:right w:val="none" w:sz="0" w:space="0" w:color="auto"/>
      </w:divBdr>
    </w:div>
    <w:div w:id="672074569">
      <w:bodyDiv w:val="1"/>
      <w:marLeft w:val="0"/>
      <w:marRight w:val="0"/>
      <w:marTop w:val="0"/>
      <w:marBottom w:val="0"/>
      <w:divBdr>
        <w:top w:val="none" w:sz="0" w:space="0" w:color="auto"/>
        <w:left w:val="none" w:sz="0" w:space="0" w:color="auto"/>
        <w:bottom w:val="none" w:sz="0" w:space="0" w:color="auto"/>
        <w:right w:val="none" w:sz="0" w:space="0" w:color="auto"/>
      </w:divBdr>
    </w:div>
    <w:div w:id="672224637">
      <w:bodyDiv w:val="1"/>
      <w:marLeft w:val="0"/>
      <w:marRight w:val="0"/>
      <w:marTop w:val="0"/>
      <w:marBottom w:val="0"/>
      <w:divBdr>
        <w:top w:val="none" w:sz="0" w:space="0" w:color="auto"/>
        <w:left w:val="none" w:sz="0" w:space="0" w:color="auto"/>
        <w:bottom w:val="none" w:sz="0" w:space="0" w:color="auto"/>
        <w:right w:val="none" w:sz="0" w:space="0" w:color="auto"/>
      </w:divBdr>
    </w:div>
    <w:div w:id="672269223">
      <w:bodyDiv w:val="1"/>
      <w:marLeft w:val="0"/>
      <w:marRight w:val="0"/>
      <w:marTop w:val="0"/>
      <w:marBottom w:val="0"/>
      <w:divBdr>
        <w:top w:val="none" w:sz="0" w:space="0" w:color="auto"/>
        <w:left w:val="none" w:sz="0" w:space="0" w:color="auto"/>
        <w:bottom w:val="none" w:sz="0" w:space="0" w:color="auto"/>
        <w:right w:val="none" w:sz="0" w:space="0" w:color="auto"/>
      </w:divBdr>
    </w:div>
    <w:div w:id="672298603">
      <w:bodyDiv w:val="1"/>
      <w:marLeft w:val="0"/>
      <w:marRight w:val="0"/>
      <w:marTop w:val="0"/>
      <w:marBottom w:val="0"/>
      <w:divBdr>
        <w:top w:val="none" w:sz="0" w:space="0" w:color="auto"/>
        <w:left w:val="none" w:sz="0" w:space="0" w:color="auto"/>
        <w:bottom w:val="none" w:sz="0" w:space="0" w:color="auto"/>
        <w:right w:val="none" w:sz="0" w:space="0" w:color="auto"/>
      </w:divBdr>
    </w:div>
    <w:div w:id="672613848">
      <w:bodyDiv w:val="1"/>
      <w:marLeft w:val="0"/>
      <w:marRight w:val="0"/>
      <w:marTop w:val="0"/>
      <w:marBottom w:val="0"/>
      <w:divBdr>
        <w:top w:val="none" w:sz="0" w:space="0" w:color="auto"/>
        <w:left w:val="none" w:sz="0" w:space="0" w:color="auto"/>
        <w:bottom w:val="none" w:sz="0" w:space="0" w:color="auto"/>
        <w:right w:val="none" w:sz="0" w:space="0" w:color="auto"/>
      </w:divBdr>
    </w:div>
    <w:div w:id="672687425">
      <w:bodyDiv w:val="1"/>
      <w:marLeft w:val="0"/>
      <w:marRight w:val="0"/>
      <w:marTop w:val="0"/>
      <w:marBottom w:val="0"/>
      <w:divBdr>
        <w:top w:val="none" w:sz="0" w:space="0" w:color="auto"/>
        <w:left w:val="none" w:sz="0" w:space="0" w:color="auto"/>
        <w:bottom w:val="none" w:sz="0" w:space="0" w:color="auto"/>
        <w:right w:val="none" w:sz="0" w:space="0" w:color="auto"/>
      </w:divBdr>
    </w:div>
    <w:div w:id="672731044">
      <w:bodyDiv w:val="1"/>
      <w:marLeft w:val="0"/>
      <w:marRight w:val="0"/>
      <w:marTop w:val="0"/>
      <w:marBottom w:val="0"/>
      <w:divBdr>
        <w:top w:val="none" w:sz="0" w:space="0" w:color="auto"/>
        <w:left w:val="none" w:sz="0" w:space="0" w:color="auto"/>
        <w:bottom w:val="none" w:sz="0" w:space="0" w:color="auto"/>
        <w:right w:val="none" w:sz="0" w:space="0" w:color="auto"/>
      </w:divBdr>
    </w:div>
    <w:div w:id="672798557">
      <w:bodyDiv w:val="1"/>
      <w:marLeft w:val="0"/>
      <w:marRight w:val="0"/>
      <w:marTop w:val="0"/>
      <w:marBottom w:val="0"/>
      <w:divBdr>
        <w:top w:val="none" w:sz="0" w:space="0" w:color="auto"/>
        <w:left w:val="none" w:sz="0" w:space="0" w:color="auto"/>
        <w:bottom w:val="none" w:sz="0" w:space="0" w:color="auto"/>
        <w:right w:val="none" w:sz="0" w:space="0" w:color="auto"/>
      </w:divBdr>
    </w:div>
    <w:div w:id="672805875">
      <w:bodyDiv w:val="1"/>
      <w:marLeft w:val="0"/>
      <w:marRight w:val="0"/>
      <w:marTop w:val="0"/>
      <w:marBottom w:val="0"/>
      <w:divBdr>
        <w:top w:val="none" w:sz="0" w:space="0" w:color="auto"/>
        <w:left w:val="none" w:sz="0" w:space="0" w:color="auto"/>
        <w:bottom w:val="none" w:sz="0" w:space="0" w:color="auto"/>
        <w:right w:val="none" w:sz="0" w:space="0" w:color="auto"/>
      </w:divBdr>
    </w:div>
    <w:div w:id="672878562">
      <w:bodyDiv w:val="1"/>
      <w:marLeft w:val="0"/>
      <w:marRight w:val="0"/>
      <w:marTop w:val="0"/>
      <w:marBottom w:val="0"/>
      <w:divBdr>
        <w:top w:val="none" w:sz="0" w:space="0" w:color="auto"/>
        <w:left w:val="none" w:sz="0" w:space="0" w:color="auto"/>
        <w:bottom w:val="none" w:sz="0" w:space="0" w:color="auto"/>
        <w:right w:val="none" w:sz="0" w:space="0" w:color="auto"/>
      </w:divBdr>
    </w:div>
    <w:div w:id="672950881">
      <w:bodyDiv w:val="1"/>
      <w:marLeft w:val="0"/>
      <w:marRight w:val="0"/>
      <w:marTop w:val="0"/>
      <w:marBottom w:val="0"/>
      <w:divBdr>
        <w:top w:val="none" w:sz="0" w:space="0" w:color="auto"/>
        <w:left w:val="none" w:sz="0" w:space="0" w:color="auto"/>
        <w:bottom w:val="none" w:sz="0" w:space="0" w:color="auto"/>
        <w:right w:val="none" w:sz="0" w:space="0" w:color="auto"/>
      </w:divBdr>
    </w:div>
    <w:div w:id="672992137">
      <w:bodyDiv w:val="1"/>
      <w:marLeft w:val="0"/>
      <w:marRight w:val="0"/>
      <w:marTop w:val="0"/>
      <w:marBottom w:val="0"/>
      <w:divBdr>
        <w:top w:val="none" w:sz="0" w:space="0" w:color="auto"/>
        <w:left w:val="none" w:sz="0" w:space="0" w:color="auto"/>
        <w:bottom w:val="none" w:sz="0" w:space="0" w:color="auto"/>
        <w:right w:val="none" w:sz="0" w:space="0" w:color="auto"/>
      </w:divBdr>
    </w:div>
    <w:div w:id="672997968">
      <w:bodyDiv w:val="1"/>
      <w:marLeft w:val="0"/>
      <w:marRight w:val="0"/>
      <w:marTop w:val="0"/>
      <w:marBottom w:val="0"/>
      <w:divBdr>
        <w:top w:val="none" w:sz="0" w:space="0" w:color="auto"/>
        <w:left w:val="none" w:sz="0" w:space="0" w:color="auto"/>
        <w:bottom w:val="none" w:sz="0" w:space="0" w:color="auto"/>
        <w:right w:val="none" w:sz="0" w:space="0" w:color="auto"/>
      </w:divBdr>
    </w:div>
    <w:div w:id="673146380">
      <w:bodyDiv w:val="1"/>
      <w:marLeft w:val="0"/>
      <w:marRight w:val="0"/>
      <w:marTop w:val="0"/>
      <w:marBottom w:val="0"/>
      <w:divBdr>
        <w:top w:val="none" w:sz="0" w:space="0" w:color="auto"/>
        <w:left w:val="none" w:sz="0" w:space="0" w:color="auto"/>
        <w:bottom w:val="none" w:sz="0" w:space="0" w:color="auto"/>
        <w:right w:val="none" w:sz="0" w:space="0" w:color="auto"/>
      </w:divBdr>
    </w:div>
    <w:div w:id="673264820">
      <w:bodyDiv w:val="1"/>
      <w:marLeft w:val="0"/>
      <w:marRight w:val="0"/>
      <w:marTop w:val="0"/>
      <w:marBottom w:val="0"/>
      <w:divBdr>
        <w:top w:val="none" w:sz="0" w:space="0" w:color="auto"/>
        <w:left w:val="none" w:sz="0" w:space="0" w:color="auto"/>
        <w:bottom w:val="none" w:sz="0" w:space="0" w:color="auto"/>
        <w:right w:val="none" w:sz="0" w:space="0" w:color="auto"/>
      </w:divBdr>
    </w:div>
    <w:div w:id="673265947">
      <w:bodyDiv w:val="1"/>
      <w:marLeft w:val="0"/>
      <w:marRight w:val="0"/>
      <w:marTop w:val="0"/>
      <w:marBottom w:val="0"/>
      <w:divBdr>
        <w:top w:val="none" w:sz="0" w:space="0" w:color="auto"/>
        <w:left w:val="none" w:sz="0" w:space="0" w:color="auto"/>
        <w:bottom w:val="none" w:sz="0" w:space="0" w:color="auto"/>
        <w:right w:val="none" w:sz="0" w:space="0" w:color="auto"/>
      </w:divBdr>
    </w:div>
    <w:div w:id="673529879">
      <w:bodyDiv w:val="1"/>
      <w:marLeft w:val="0"/>
      <w:marRight w:val="0"/>
      <w:marTop w:val="0"/>
      <w:marBottom w:val="0"/>
      <w:divBdr>
        <w:top w:val="none" w:sz="0" w:space="0" w:color="auto"/>
        <w:left w:val="none" w:sz="0" w:space="0" w:color="auto"/>
        <w:bottom w:val="none" w:sz="0" w:space="0" w:color="auto"/>
        <w:right w:val="none" w:sz="0" w:space="0" w:color="auto"/>
      </w:divBdr>
    </w:div>
    <w:div w:id="673532086">
      <w:bodyDiv w:val="1"/>
      <w:marLeft w:val="0"/>
      <w:marRight w:val="0"/>
      <w:marTop w:val="0"/>
      <w:marBottom w:val="0"/>
      <w:divBdr>
        <w:top w:val="none" w:sz="0" w:space="0" w:color="auto"/>
        <w:left w:val="none" w:sz="0" w:space="0" w:color="auto"/>
        <w:bottom w:val="none" w:sz="0" w:space="0" w:color="auto"/>
        <w:right w:val="none" w:sz="0" w:space="0" w:color="auto"/>
      </w:divBdr>
    </w:div>
    <w:div w:id="673647184">
      <w:bodyDiv w:val="1"/>
      <w:marLeft w:val="0"/>
      <w:marRight w:val="0"/>
      <w:marTop w:val="0"/>
      <w:marBottom w:val="0"/>
      <w:divBdr>
        <w:top w:val="none" w:sz="0" w:space="0" w:color="auto"/>
        <w:left w:val="none" w:sz="0" w:space="0" w:color="auto"/>
        <w:bottom w:val="none" w:sz="0" w:space="0" w:color="auto"/>
        <w:right w:val="none" w:sz="0" w:space="0" w:color="auto"/>
      </w:divBdr>
    </w:div>
    <w:div w:id="673722601">
      <w:bodyDiv w:val="1"/>
      <w:marLeft w:val="0"/>
      <w:marRight w:val="0"/>
      <w:marTop w:val="0"/>
      <w:marBottom w:val="0"/>
      <w:divBdr>
        <w:top w:val="none" w:sz="0" w:space="0" w:color="auto"/>
        <w:left w:val="none" w:sz="0" w:space="0" w:color="auto"/>
        <w:bottom w:val="none" w:sz="0" w:space="0" w:color="auto"/>
        <w:right w:val="none" w:sz="0" w:space="0" w:color="auto"/>
      </w:divBdr>
    </w:div>
    <w:div w:id="673727424">
      <w:bodyDiv w:val="1"/>
      <w:marLeft w:val="0"/>
      <w:marRight w:val="0"/>
      <w:marTop w:val="0"/>
      <w:marBottom w:val="0"/>
      <w:divBdr>
        <w:top w:val="none" w:sz="0" w:space="0" w:color="auto"/>
        <w:left w:val="none" w:sz="0" w:space="0" w:color="auto"/>
        <w:bottom w:val="none" w:sz="0" w:space="0" w:color="auto"/>
        <w:right w:val="none" w:sz="0" w:space="0" w:color="auto"/>
      </w:divBdr>
    </w:div>
    <w:div w:id="673727816">
      <w:bodyDiv w:val="1"/>
      <w:marLeft w:val="0"/>
      <w:marRight w:val="0"/>
      <w:marTop w:val="0"/>
      <w:marBottom w:val="0"/>
      <w:divBdr>
        <w:top w:val="none" w:sz="0" w:space="0" w:color="auto"/>
        <w:left w:val="none" w:sz="0" w:space="0" w:color="auto"/>
        <w:bottom w:val="none" w:sz="0" w:space="0" w:color="auto"/>
        <w:right w:val="none" w:sz="0" w:space="0" w:color="auto"/>
      </w:divBdr>
    </w:div>
    <w:div w:id="673842875">
      <w:bodyDiv w:val="1"/>
      <w:marLeft w:val="0"/>
      <w:marRight w:val="0"/>
      <w:marTop w:val="0"/>
      <w:marBottom w:val="0"/>
      <w:divBdr>
        <w:top w:val="none" w:sz="0" w:space="0" w:color="auto"/>
        <w:left w:val="none" w:sz="0" w:space="0" w:color="auto"/>
        <w:bottom w:val="none" w:sz="0" w:space="0" w:color="auto"/>
        <w:right w:val="none" w:sz="0" w:space="0" w:color="auto"/>
      </w:divBdr>
    </w:div>
    <w:div w:id="673918571">
      <w:bodyDiv w:val="1"/>
      <w:marLeft w:val="0"/>
      <w:marRight w:val="0"/>
      <w:marTop w:val="0"/>
      <w:marBottom w:val="0"/>
      <w:divBdr>
        <w:top w:val="none" w:sz="0" w:space="0" w:color="auto"/>
        <w:left w:val="none" w:sz="0" w:space="0" w:color="auto"/>
        <w:bottom w:val="none" w:sz="0" w:space="0" w:color="auto"/>
        <w:right w:val="none" w:sz="0" w:space="0" w:color="auto"/>
      </w:divBdr>
    </w:div>
    <w:div w:id="674113379">
      <w:bodyDiv w:val="1"/>
      <w:marLeft w:val="0"/>
      <w:marRight w:val="0"/>
      <w:marTop w:val="0"/>
      <w:marBottom w:val="0"/>
      <w:divBdr>
        <w:top w:val="none" w:sz="0" w:space="0" w:color="auto"/>
        <w:left w:val="none" w:sz="0" w:space="0" w:color="auto"/>
        <w:bottom w:val="none" w:sz="0" w:space="0" w:color="auto"/>
        <w:right w:val="none" w:sz="0" w:space="0" w:color="auto"/>
      </w:divBdr>
    </w:div>
    <w:div w:id="674188646">
      <w:bodyDiv w:val="1"/>
      <w:marLeft w:val="0"/>
      <w:marRight w:val="0"/>
      <w:marTop w:val="0"/>
      <w:marBottom w:val="0"/>
      <w:divBdr>
        <w:top w:val="none" w:sz="0" w:space="0" w:color="auto"/>
        <w:left w:val="none" w:sz="0" w:space="0" w:color="auto"/>
        <w:bottom w:val="none" w:sz="0" w:space="0" w:color="auto"/>
        <w:right w:val="none" w:sz="0" w:space="0" w:color="auto"/>
      </w:divBdr>
    </w:div>
    <w:div w:id="674236048">
      <w:bodyDiv w:val="1"/>
      <w:marLeft w:val="0"/>
      <w:marRight w:val="0"/>
      <w:marTop w:val="0"/>
      <w:marBottom w:val="0"/>
      <w:divBdr>
        <w:top w:val="none" w:sz="0" w:space="0" w:color="auto"/>
        <w:left w:val="none" w:sz="0" w:space="0" w:color="auto"/>
        <w:bottom w:val="none" w:sz="0" w:space="0" w:color="auto"/>
        <w:right w:val="none" w:sz="0" w:space="0" w:color="auto"/>
      </w:divBdr>
    </w:div>
    <w:div w:id="674265768">
      <w:bodyDiv w:val="1"/>
      <w:marLeft w:val="0"/>
      <w:marRight w:val="0"/>
      <w:marTop w:val="0"/>
      <w:marBottom w:val="0"/>
      <w:divBdr>
        <w:top w:val="none" w:sz="0" w:space="0" w:color="auto"/>
        <w:left w:val="none" w:sz="0" w:space="0" w:color="auto"/>
        <w:bottom w:val="none" w:sz="0" w:space="0" w:color="auto"/>
        <w:right w:val="none" w:sz="0" w:space="0" w:color="auto"/>
      </w:divBdr>
    </w:div>
    <w:div w:id="674454227">
      <w:bodyDiv w:val="1"/>
      <w:marLeft w:val="0"/>
      <w:marRight w:val="0"/>
      <w:marTop w:val="0"/>
      <w:marBottom w:val="0"/>
      <w:divBdr>
        <w:top w:val="none" w:sz="0" w:space="0" w:color="auto"/>
        <w:left w:val="none" w:sz="0" w:space="0" w:color="auto"/>
        <w:bottom w:val="none" w:sz="0" w:space="0" w:color="auto"/>
        <w:right w:val="none" w:sz="0" w:space="0" w:color="auto"/>
      </w:divBdr>
    </w:div>
    <w:div w:id="674458897">
      <w:bodyDiv w:val="1"/>
      <w:marLeft w:val="0"/>
      <w:marRight w:val="0"/>
      <w:marTop w:val="0"/>
      <w:marBottom w:val="0"/>
      <w:divBdr>
        <w:top w:val="none" w:sz="0" w:space="0" w:color="auto"/>
        <w:left w:val="none" w:sz="0" w:space="0" w:color="auto"/>
        <w:bottom w:val="none" w:sz="0" w:space="0" w:color="auto"/>
        <w:right w:val="none" w:sz="0" w:space="0" w:color="auto"/>
      </w:divBdr>
    </w:div>
    <w:div w:id="674503776">
      <w:bodyDiv w:val="1"/>
      <w:marLeft w:val="0"/>
      <w:marRight w:val="0"/>
      <w:marTop w:val="0"/>
      <w:marBottom w:val="0"/>
      <w:divBdr>
        <w:top w:val="none" w:sz="0" w:space="0" w:color="auto"/>
        <w:left w:val="none" w:sz="0" w:space="0" w:color="auto"/>
        <w:bottom w:val="none" w:sz="0" w:space="0" w:color="auto"/>
        <w:right w:val="none" w:sz="0" w:space="0" w:color="auto"/>
      </w:divBdr>
    </w:div>
    <w:div w:id="674579405">
      <w:bodyDiv w:val="1"/>
      <w:marLeft w:val="0"/>
      <w:marRight w:val="0"/>
      <w:marTop w:val="0"/>
      <w:marBottom w:val="0"/>
      <w:divBdr>
        <w:top w:val="none" w:sz="0" w:space="0" w:color="auto"/>
        <w:left w:val="none" w:sz="0" w:space="0" w:color="auto"/>
        <w:bottom w:val="none" w:sz="0" w:space="0" w:color="auto"/>
        <w:right w:val="none" w:sz="0" w:space="0" w:color="auto"/>
      </w:divBdr>
    </w:div>
    <w:div w:id="674652440">
      <w:bodyDiv w:val="1"/>
      <w:marLeft w:val="0"/>
      <w:marRight w:val="0"/>
      <w:marTop w:val="0"/>
      <w:marBottom w:val="0"/>
      <w:divBdr>
        <w:top w:val="none" w:sz="0" w:space="0" w:color="auto"/>
        <w:left w:val="none" w:sz="0" w:space="0" w:color="auto"/>
        <w:bottom w:val="none" w:sz="0" w:space="0" w:color="auto"/>
        <w:right w:val="none" w:sz="0" w:space="0" w:color="auto"/>
      </w:divBdr>
    </w:div>
    <w:div w:id="674723302">
      <w:bodyDiv w:val="1"/>
      <w:marLeft w:val="0"/>
      <w:marRight w:val="0"/>
      <w:marTop w:val="0"/>
      <w:marBottom w:val="0"/>
      <w:divBdr>
        <w:top w:val="none" w:sz="0" w:space="0" w:color="auto"/>
        <w:left w:val="none" w:sz="0" w:space="0" w:color="auto"/>
        <w:bottom w:val="none" w:sz="0" w:space="0" w:color="auto"/>
        <w:right w:val="none" w:sz="0" w:space="0" w:color="auto"/>
      </w:divBdr>
    </w:div>
    <w:div w:id="674920342">
      <w:bodyDiv w:val="1"/>
      <w:marLeft w:val="0"/>
      <w:marRight w:val="0"/>
      <w:marTop w:val="0"/>
      <w:marBottom w:val="0"/>
      <w:divBdr>
        <w:top w:val="none" w:sz="0" w:space="0" w:color="auto"/>
        <w:left w:val="none" w:sz="0" w:space="0" w:color="auto"/>
        <w:bottom w:val="none" w:sz="0" w:space="0" w:color="auto"/>
        <w:right w:val="none" w:sz="0" w:space="0" w:color="auto"/>
      </w:divBdr>
    </w:div>
    <w:div w:id="674957412">
      <w:bodyDiv w:val="1"/>
      <w:marLeft w:val="0"/>
      <w:marRight w:val="0"/>
      <w:marTop w:val="0"/>
      <w:marBottom w:val="0"/>
      <w:divBdr>
        <w:top w:val="none" w:sz="0" w:space="0" w:color="auto"/>
        <w:left w:val="none" w:sz="0" w:space="0" w:color="auto"/>
        <w:bottom w:val="none" w:sz="0" w:space="0" w:color="auto"/>
        <w:right w:val="none" w:sz="0" w:space="0" w:color="auto"/>
      </w:divBdr>
    </w:div>
    <w:div w:id="674964819">
      <w:bodyDiv w:val="1"/>
      <w:marLeft w:val="0"/>
      <w:marRight w:val="0"/>
      <w:marTop w:val="0"/>
      <w:marBottom w:val="0"/>
      <w:divBdr>
        <w:top w:val="none" w:sz="0" w:space="0" w:color="auto"/>
        <w:left w:val="none" w:sz="0" w:space="0" w:color="auto"/>
        <w:bottom w:val="none" w:sz="0" w:space="0" w:color="auto"/>
        <w:right w:val="none" w:sz="0" w:space="0" w:color="auto"/>
      </w:divBdr>
    </w:div>
    <w:div w:id="675038963">
      <w:bodyDiv w:val="1"/>
      <w:marLeft w:val="0"/>
      <w:marRight w:val="0"/>
      <w:marTop w:val="0"/>
      <w:marBottom w:val="0"/>
      <w:divBdr>
        <w:top w:val="none" w:sz="0" w:space="0" w:color="auto"/>
        <w:left w:val="none" w:sz="0" w:space="0" w:color="auto"/>
        <w:bottom w:val="none" w:sz="0" w:space="0" w:color="auto"/>
        <w:right w:val="none" w:sz="0" w:space="0" w:color="auto"/>
      </w:divBdr>
    </w:div>
    <w:div w:id="675110109">
      <w:bodyDiv w:val="1"/>
      <w:marLeft w:val="0"/>
      <w:marRight w:val="0"/>
      <w:marTop w:val="0"/>
      <w:marBottom w:val="0"/>
      <w:divBdr>
        <w:top w:val="none" w:sz="0" w:space="0" w:color="auto"/>
        <w:left w:val="none" w:sz="0" w:space="0" w:color="auto"/>
        <w:bottom w:val="none" w:sz="0" w:space="0" w:color="auto"/>
        <w:right w:val="none" w:sz="0" w:space="0" w:color="auto"/>
      </w:divBdr>
    </w:div>
    <w:div w:id="675153803">
      <w:bodyDiv w:val="1"/>
      <w:marLeft w:val="0"/>
      <w:marRight w:val="0"/>
      <w:marTop w:val="0"/>
      <w:marBottom w:val="0"/>
      <w:divBdr>
        <w:top w:val="none" w:sz="0" w:space="0" w:color="auto"/>
        <w:left w:val="none" w:sz="0" w:space="0" w:color="auto"/>
        <w:bottom w:val="none" w:sz="0" w:space="0" w:color="auto"/>
        <w:right w:val="none" w:sz="0" w:space="0" w:color="auto"/>
      </w:divBdr>
    </w:div>
    <w:div w:id="675156089">
      <w:bodyDiv w:val="1"/>
      <w:marLeft w:val="0"/>
      <w:marRight w:val="0"/>
      <w:marTop w:val="0"/>
      <w:marBottom w:val="0"/>
      <w:divBdr>
        <w:top w:val="none" w:sz="0" w:space="0" w:color="auto"/>
        <w:left w:val="none" w:sz="0" w:space="0" w:color="auto"/>
        <w:bottom w:val="none" w:sz="0" w:space="0" w:color="auto"/>
        <w:right w:val="none" w:sz="0" w:space="0" w:color="auto"/>
      </w:divBdr>
    </w:div>
    <w:div w:id="675378542">
      <w:bodyDiv w:val="1"/>
      <w:marLeft w:val="0"/>
      <w:marRight w:val="0"/>
      <w:marTop w:val="0"/>
      <w:marBottom w:val="0"/>
      <w:divBdr>
        <w:top w:val="none" w:sz="0" w:space="0" w:color="auto"/>
        <w:left w:val="none" w:sz="0" w:space="0" w:color="auto"/>
        <w:bottom w:val="none" w:sz="0" w:space="0" w:color="auto"/>
        <w:right w:val="none" w:sz="0" w:space="0" w:color="auto"/>
      </w:divBdr>
    </w:div>
    <w:div w:id="675424383">
      <w:bodyDiv w:val="1"/>
      <w:marLeft w:val="0"/>
      <w:marRight w:val="0"/>
      <w:marTop w:val="0"/>
      <w:marBottom w:val="0"/>
      <w:divBdr>
        <w:top w:val="none" w:sz="0" w:space="0" w:color="auto"/>
        <w:left w:val="none" w:sz="0" w:space="0" w:color="auto"/>
        <w:bottom w:val="none" w:sz="0" w:space="0" w:color="auto"/>
        <w:right w:val="none" w:sz="0" w:space="0" w:color="auto"/>
      </w:divBdr>
    </w:div>
    <w:div w:id="675426690">
      <w:bodyDiv w:val="1"/>
      <w:marLeft w:val="0"/>
      <w:marRight w:val="0"/>
      <w:marTop w:val="0"/>
      <w:marBottom w:val="0"/>
      <w:divBdr>
        <w:top w:val="none" w:sz="0" w:space="0" w:color="auto"/>
        <w:left w:val="none" w:sz="0" w:space="0" w:color="auto"/>
        <w:bottom w:val="none" w:sz="0" w:space="0" w:color="auto"/>
        <w:right w:val="none" w:sz="0" w:space="0" w:color="auto"/>
      </w:divBdr>
    </w:div>
    <w:div w:id="675428295">
      <w:bodyDiv w:val="1"/>
      <w:marLeft w:val="0"/>
      <w:marRight w:val="0"/>
      <w:marTop w:val="0"/>
      <w:marBottom w:val="0"/>
      <w:divBdr>
        <w:top w:val="none" w:sz="0" w:space="0" w:color="auto"/>
        <w:left w:val="none" w:sz="0" w:space="0" w:color="auto"/>
        <w:bottom w:val="none" w:sz="0" w:space="0" w:color="auto"/>
        <w:right w:val="none" w:sz="0" w:space="0" w:color="auto"/>
      </w:divBdr>
    </w:div>
    <w:div w:id="675576029">
      <w:bodyDiv w:val="1"/>
      <w:marLeft w:val="0"/>
      <w:marRight w:val="0"/>
      <w:marTop w:val="0"/>
      <w:marBottom w:val="0"/>
      <w:divBdr>
        <w:top w:val="none" w:sz="0" w:space="0" w:color="auto"/>
        <w:left w:val="none" w:sz="0" w:space="0" w:color="auto"/>
        <w:bottom w:val="none" w:sz="0" w:space="0" w:color="auto"/>
        <w:right w:val="none" w:sz="0" w:space="0" w:color="auto"/>
      </w:divBdr>
    </w:div>
    <w:div w:id="675694746">
      <w:bodyDiv w:val="1"/>
      <w:marLeft w:val="0"/>
      <w:marRight w:val="0"/>
      <w:marTop w:val="0"/>
      <w:marBottom w:val="0"/>
      <w:divBdr>
        <w:top w:val="none" w:sz="0" w:space="0" w:color="auto"/>
        <w:left w:val="none" w:sz="0" w:space="0" w:color="auto"/>
        <w:bottom w:val="none" w:sz="0" w:space="0" w:color="auto"/>
        <w:right w:val="none" w:sz="0" w:space="0" w:color="auto"/>
      </w:divBdr>
    </w:div>
    <w:div w:id="675769750">
      <w:bodyDiv w:val="1"/>
      <w:marLeft w:val="0"/>
      <w:marRight w:val="0"/>
      <w:marTop w:val="0"/>
      <w:marBottom w:val="0"/>
      <w:divBdr>
        <w:top w:val="none" w:sz="0" w:space="0" w:color="auto"/>
        <w:left w:val="none" w:sz="0" w:space="0" w:color="auto"/>
        <w:bottom w:val="none" w:sz="0" w:space="0" w:color="auto"/>
        <w:right w:val="none" w:sz="0" w:space="0" w:color="auto"/>
      </w:divBdr>
    </w:div>
    <w:div w:id="676074479">
      <w:bodyDiv w:val="1"/>
      <w:marLeft w:val="0"/>
      <w:marRight w:val="0"/>
      <w:marTop w:val="0"/>
      <w:marBottom w:val="0"/>
      <w:divBdr>
        <w:top w:val="none" w:sz="0" w:space="0" w:color="auto"/>
        <w:left w:val="none" w:sz="0" w:space="0" w:color="auto"/>
        <w:bottom w:val="none" w:sz="0" w:space="0" w:color="auto"/>
        <w:right w:val="none" w:sz="0" w:space="0" w:color="auto"/>
      </w:divBdr>
    </w:div>
    <w:div w:id="676081282">
      <w:bodyDiv w:val="1"/>
      <w:marLeft w:val="0"/>
      <w:marRight w:val="0"/>
      <w:marTop w:val="0"/>
      <w:marBottom w:val="0"/>
      <w:divBdr>
        <w:top w:val="none" w:sz="0" w:space="0" w:color="auto"/>
        <w:left w:val="none" w:sz="0" w:space="0" w:color="auto"/>
        <w:bottom w:val="none" w:sz="0" w:space="0" w:color="auto"/>
        <w:right w:val="none" w:sz="0" w:space="0" w:color="auto"/>
      </w:divBdr>
    </w:div>
    <w:div w:id="676150613">
      <w:bodyDiv w:val="1"/>
      <w:marLeft w:val="0"/>
      <w:marRight w:val="0"/>
      <w:marTop w:val="0"/>
      <w:marBottom w:val="0"/>
      <w:divBdr>
        <w:top w:val="none" w:sz="0" w:space="0" w:color="auto"/>
        <w:left w:val="none" w:sz="0" w:space="0" w:color="auto"/>
        <w:bottom w:val="none" w:sz="0" w:space="0" w:color="auto"/>
        <w:right w:val="none" w:sz="0" w:space="0" w:color="auto"/>
      </w:divBdr>
    </w:div>
    <w:div w:id="676228798">
      <w:bodyDiv w:val="1"/>
      <w:marLeft w:val="0"/>
      <w:marRight w:val="0"/>
      <w:marTop w:val="0"/>
      <w:marBottom w:val="0"/>
      <w:divBdr>
        <w:top w:val="none" w:sz="0" w:space="0" w:color="auto"/>
        <w:left w:val="none" w:sz="0" w:space="0" w:color="auto"/>
        <w:bottom w:val="none" w:sz="0" w:space="0" w:color="auto"/>
        <w:right w:val="none" w:sz="0" w:space="0" w:color="auto"/>
      </w:divBdr>
    </w:div>
    <w:div w:id="676230899">
      <w:bodyDiv w:val="1"/>
      <w:marLeft w:val="0"/>
      <w:marRight w:val="0"/>
      <w:marTop w:val="0"/>
      <w:marBottom w:val="0"/>
      <w:divBdr>
        <w:top w:val="none" w:sz="0" w:space="0" w:color="auto"/>
        <w:left w:val="none" w:sz="0" w:space="0" w:color="auto"/>
        <w:bottom w:val="none" w:sz="0" w:space="0" w:color="auto"/>
        <w:right w:val="none" w:sz="0" w:space="0" w:color="auto"/>
      </w:divBdr>
    </w:div>
    <w:div w:id="676268868">
      <w:bodyDiv w:val="1"/>
      <w:marLeft w:val="0"/>
      <w:marRight w:val="0"/>
      <w:marTop w:val="0"/>
      <w:marBottom w:val="0"/>
      <w:divBdr>
        <w:top w:val="none" w:sz="0" w:space="0" w:color="auto"/>
        <w:left w:val="none" w:sz="0" w:space="0" w:color="auto"/>
        <w:bottom w:val="none" w:sz="0" w:space="0" w:color="auto"/>
        <w:right w:val="none" w:sz="0" w:space="0" w:color="auto"/>
      </w:divBdr>
    </w:div>
    <w:div w:id="676269637">
      <w:bodyDiv w:val="1"/>
      <w:marLeft w:val="0"/>
      <w:marRight w:val="0"/>
      <w:marTop w:val="0"/>
      <w:marBottom w:val="0"/>
      <w:divBdr>
        <w:top w:val="none" w:sz="0" w:space="0" w:color="auto"/>
        <w:left w:val="none" w:sz="0" w:space="0" w:color="auto"/>
        <w:bottom w:val="none" w:sz="0" w:space="0" w:color="auto"/>
        <w:right w:val="none" w:sz="0" w:space="0" w:color="auto"/>
      </w:divBdr>
    </w:div>
    <w:div w:id="676421591">
      <w:bodyDiv w:val="1"/>
      <w:marLeft w:val="0"/>
      <w:marRight w:val="0"/>
      <w:marTop w:val="0"/>
      <w:marBottom w:val="0"/>
      <w:divBdr>
        <w:top w:val="none" w:sz="0" w:space="0" w:color="auto"/>
        <w:left w:val="none" w:sz="0" w:space="0" w:color="auto"/>
        <w:bottom w:val="none" w:sz="0" w:space="0" w:color="auto"/>
        <w:right w:val="none" w:sz="0" w:space="0" w:color="auto"/>
      </w:divBdr>
    </w:div>
    <w:div w:id="676464591">
      <w:bodyDiv w:val="1"/>
      <w:marLeft w:val="0"/>
      <w:marRight w:val="0"/>
      <w:marTop w:val="0"/>
      <w:marBottom w:val="0"/>
      <w:divBdr>
        <w:top w:val="none" w:sz="0" w:space="0" w:color="auto"/>
        <w:left w:val="none" w:sz="0" w:space="0" w:color="auto"/>
        <w:bottom w:val="none" w:sz="0" w:space="0" w:color="auto"/>
        <w:right w:val="none" w:sz="0" w:space="0" w:color="auto"/>
      </w:divBdr>
    </w:div>
    <w:div w:id="676543426">
      <w:bodyDiv w:val="1"/>
      <w:marLeft w:val="0"/>
      <w:marRight w:val="0"/>
      <w:marTop w:val="0"/>
      <w:marBottom w:val="0"/>
      <w:divBdr>
        <w:top w:val="none" w:sz="0" w:space="0" w:color="auto"/>
        <w:left w:val="none" w:sz="0" w:space="0" w:color="auto"/>
        <w:bottom w:val="none" w:sz="0" w:space="0" w:color="auto"/>
        <w:right w:val="none" w:sz="0" w:space="0" w:color="auto"/>
      </w:divBdr>
    </w:div>
    <w:div w:id="676689352">
      <w:bodyDiv w:val="1"/>
      <w:marLeft w:val="0"/>
      <w:marRight w:val="0"/>
      <w:marTop w:val="0"/>
      <w:marBottom w:val="0"/>
      <w:divBdr>
        <w:top w:val="none" w:sz="0" w:space="0" w:color="auto"/>
        <w:left w:val="none" w:sz="0" w:space="0" w:color="auto"/>
        <w:bottom w:val="none" w:sz="0" w:space="0" w:color="auto"/>
        <w:right w:val="none" w:sz="0" w:space="0" w:color="auto"/>
      </w:divBdr>
    </w:div>
    <w:div w:id="676810704">
      <w:bodyDiv w:val="1"/>
      <w:marLeft w:val="0"/>
      <w:marRight w:val="0"/>
      <w:marTop w:val="0"/>
      <w:marBottom w:val="0"/>
      <w:divBdr>
        <w:top w:val="none" w:sz="0" w:space="0" w:color="auto"/>
        <w:left w:val="none" w:sz="0" w:space="0" w:color="auto"/>
        <w:bottom w:val="none" w:sz="0" w:space="0" w:color="auto"/>
        <w:right w:val="none" w:sz="0" w:space="0" w:color="auto"/>
      </w:divBdr>
    </w:div>
    <w:div w:id="676812059">
      <w:bodyDiv w:val="1"/>
      <w:marLeft w:val="0"/>
      <w:marRight w:val="0"/>
      <w:marTop w:val="0"/>
      <w:marBottom w:val="0"/>
      <w:divBdr>
        <w:top w:val="none" w:sz="0" w:space="0" w:color="auto"/>
        <w:left w:val="none" w:sz="0" w:space="0" w:color="auto"/>
        <w:bottom w:val="none" w:sz="0" w:space="0" w:color="auto"/>
        <w:right w:val="none" w:sz="0" w:space="0" w:color="auto"/>
      </w:divBdr>
    </w:div>
    <w:div w:id="676812231">
      <w:bodyDiv w:val="1"/>
      <w:marLeft w:val="0"/>
      <w:marRight w:val="0"/>
      <w:marTop w:val="0"/>
      <w:marBottom w:val="0"/>
      <w:divBdr>
        <w:top w:val="none" w:sz="0" w:space="0" w:color="auto"/>
        <w:left w:val="none" w:sz="0" w:space="0" w:color="auto"/>
        <w:bottom w:val="none" w:sz="0" w:space="0" w:color="auto"/>
        <w:right w:val="none" w:sz="0" w:space="0" w:color="auto"/>
      </w:divBdr>
    </w:div>
    <w:div w:id="676855896">
      <w:bodyDiv w:val="1"/>
      <w:marLeft w:val="0"/>
      <w:marRight w:val="0"/>
      <w:marTop w:val="0"/>
      <w:marBottom w:val="0"/>
      <w:divBdr>
        <w:top w:val="none" w:sz="0" w:space="0" w:color="auto"/>
        <w:left w:val="none" w:sz="0" w:space="0" w:color="auto"/>
        <w:bottom w:val="none" w:sz="0" w:space="0" w:color="auto"/>
        <w:right w:val="none" w:sz="0" w:space="0" w:color="auto"/>
      </w:divBdr>
    </w:div>
    <w:div w:id="676924702">
      <w:bodyDiv w:val="1"/>
      <w:marLeft w:val="0"/>
      <w:marRight w:val="0"/>
      <w:marTop w:val="0"/>
      <w:marBottom w:val="0"/>
      <w:divBdr>
        <w:top w:val="none" w:sz="0" w:space="0" w:color="auto"/>
        <w:left w:val="none" w:sz="0" w:space="0" w:color="auto"/>
        <w:bottom w:val="none" w:sz="0" w:space="0" w:color="auto"/>
        <w:right w:val="none" w:sz="0" w:space="0" w:color="auto"/>
      </w:divBdr>
    </w:div>
    <w:div w:id="676929487">
      <w:bodyDiv w:val="1"/>
      <w:marLeft w:val="0"/>
      <w:marRight w:val="0"/>
      <w:marTop w:val="0"/>
      <w:marBottom w:val="0"/>
      <w:divBdr>
        <w:top w:val="none" w:sz="0" w:space="0" w:color="auto"/>
        <w:left w:val="none" w:sz="0" w:space="0" w:color="auto"/>
        <w:bottom w:val="none" w:sz="0" w:space="0" w:color="auto"/>
        <w:right w:val="none" w:sz="0" w:space="0" w:color="auto"/>
      </w:divBdr>
    </w:div>
    <w:div w:id="676999629">
      <w:bodyDiv w:val="1"/>
      <w:marLeft w:val="0"/>
      <w:marRight w:val="0"/>
      <w:marTop w:val="0"/>
      <w:marBottom w:val="0"/>
      <w:divBdr>
        <w:top w:val="none" w:sz="0" w:space="0" w:color="auto"/>
        <w:left w:val="none" w:sz="0" w:space="0" w:color="auto"/>
        <w:bottom w:val="none" w:sz="0" w:space="0" w:color="auto"/>
        <w:right w:val="none" w:sz="0" w:space="0" w:color="auto"/>
      </w:divBdr>
    </w:div>
    <w:div w:id="677079488">
      <w:bodyDiv w:val="1"/>
      <w:marLeft w:val="0"/>
      <w:marRight w:val="0"/>
      <w:marTop w:val="0"/>
      <w:marBottom w:val="0"/>
      <w:divBdr>
        <w:top w:val="none" w:sz="0" w:space="0" w:color="auto"/>
        <w:left w:val="none" w:sz="0" w:space="0" w:color="auto"/>
        <w:bottom w:val="none" w:sz="0" w:space="0" w:color="auto"/>
        <w:right w:val="none" w:sz="0" w:space="0" w:color="auto"/>
      </w:divBdr>
    </w:div>
    <w:div w:id="677119847">
      <w:bodyDiv w:val="1"/>
      <w:marLeft w:val="0"/>
      <w:marRight w:val="0"/>
      <w:marTop w:val="0"/>
      <w:marBottom w:val="0"/>
      <w:divBdr>
        <w:top w:val="none" w:sz="0" w:space="0" w:color="auto"/>
        <w:left w:val="none" w:sz="0" w:space="0" w:color="auto"/>
        <w:bottom w:val="none" w:sz="0" w:space="0" w:color="auto"/>
        <w:right w:val="none" w:sz="0" w:space="0" w:color="auto"/>
      </w:divBdr>
    </w:div>
    <w:div w:id="677120226">
      <w:bodyDiv w:val="1"/>
      <w:marLeft w:val="0"/>
      <w:marRight w:val="0"/>
      <w:marTop w:val="0"/>
      <w:marBottom w:val="0"/>
      <w:divBdr>
        <w:top w:val="none" w:sz="0" w:space="0" w:color="auto"/>
        <w:left w:val="none" w:sz="0" w:space="0" w:color="auto"/>
        <w:bottom w:val="none" w:sz="0" w:space="0" w:color="auto"/>
        <w:right w:val="none" w:sz="0" w:space="0" w:color="auto"/>
      </w:divBdr>
    </w:div>
    <w:div w:id="677268439">
      <w:bodyDiv w:val="1"/>
      <w:marLeft w:val="0"/>
      <w:marRight w:val="0"/>
      <w:marTop w:val="0"/>
      <w:marBottom w:val="0"/>
      <w:divBdr>
        <w:top w:val="none" w:sz="0" w:space="0" w:color="auto"/>
        <w:left w:val="none" w:sz="0" w:space="0" w:color="auto"/>
        <w:bottom w:val="none" w:sz="0" w:space="0" w:color="auto"/>
        <w:right w:val="none" w:sz="0" w:space="0" w:color="auto"/>
      </w:divBdr>
    </w:div>
    <w:div w:id="677276014">
      <w:bodyDiv w:val="1"/>
      <w:marLeft w:val="0"/>
      <w:marRight w:val="0"/>
      <w:marTop w:val="0"/>
      <w:marBottom w:val="0"/>
      <w:divBdr>
        <w:top w:val="none" w:sz="0" w:space="0" w:color="auto"/>
        <w:left w:val="none" w:sz="0" w:space="0" w:color="auto"/>
        <w:bottom w:val="none" w:sz="0" w:space="0" w:color="auto"/>
        <w:right w:val="none" w:sz="0" w:space="0" w:color="auto"/>
      </w:divBdr>
    </w:div>
    <w:div w:id="677276277">
      <w:bodyDiv w:val="1"/>
      <w:marLeft w:val="0"/>
      <w:marRight w:val="0"/>
      <w:marTop w:val="0"/>
      <w:marBottom w:val="0"/>
      <w:divBdr>
        <w:top w:val="none" w:sz="0" w:space="0" w:color="auto"/>
        <w:left w:val="none" w:sz="0" w:space="0" w:color="auto"/>
        <w:bottom w:val="none" w:sz="0" w:space="0" w:color="auto"/>
        <w:right w:val="none" w:sz="0" w:space="0" w:color="auto"/>
      </w:divBdr>
    </w:div>
    <w:div w:id="677465333">
      <w:bodyDiv w:val="1"/>
      <w:marLeft w:val="0"/>
      <w:marRight w:val="0"/>
      <w:marTop w:val="0"/>
      <w:marBottom w:val="0"/>
      <w:divBdr>
        <w:top w:val="none" w:sz="0" w:space="0" w:color="auto"/>
        <w:left w:val="none" w:sz="0" w:space="0" w:color="auto"/>
        <w:bottom w:val="none" w:sz="0" w:space="0" w:color="auto"/>
        <w:right w:val="none" w:sz="0" w:space="0" w:color="auto"/>
      </w:divBdr>
    </w:div>
    <w:div w:id="677537482">
      <w:bodyDiv w:val="1"/>
      <w:marLeft w:val="0"/>
      <w:marRight w:val="0"/>
      <w:marTop w:val="0"/>
      <w:marBottom w:val="0"/>
      <w:divBdr>
        <w:top w:val="none" w:sz="0" w:space="0" w:color="auto"/>
        <w:left w:val="none" w:sz="0" w:space="0" w:color="auto"/>
        <w:bottom w:val="none" w:sz="0" w:space="0" w:color="auto"/>
        <w:right w:val="none" w:sz="0" w:space="0" w:color="auto"/>
      </w:divBdr>
    </w:div>
    <w:div w:id="677541023">
      <w:bodyDiv w:val="1"/>
      <w:marLeft w:val="0"/>
      <w:marRight w:val="0"/>
      <w:marTop w:val="0"/>
      <w:marBottom w:val="0"/>
      <w:divBdr>
        <w:top w:val="none" w:sz="0" w:space="0" w:color="auto"/>
        <w:left w:val="none" w:sz="0" w:space="0" w:color="auto"/>
        <w:bottom w:val="none" w:sz="0" w:space="0" w:color="auto"/>
        <w:right w:val="none" w:sz="0" w:space="0" w:color="auto"/>
      </w:divBdr>
    </w:div>
    <w:div w:id="677543879">
      <w:bodyDiv w:val="1"/>
      <w:marLeft w:val="0"/>
      <w:marRight w:val="0"/>
      <w:marTop w:val="0"/>
      <w:marBottom w:val="0"/>
      <w:divBdr>
        <w:top w:val="none" w:sz="0" w:space="0" w:color="auto"/>
        <w:left w:val="none" w:sz="0" w:space="0" w:color="auto"/>
        <w:bottom w:val="none" w:sz="0" w:space="0" w:color="auto"/>
        <w:right w:val="none" w:sz="0" w:space="0" w:color="auto"/>
      </w:divBdr>
    </w:div>
    <w:div w:id="677586466">
      <w:bodyDiv w:val="1"/>
      <w:marLeft w:val="0"/>
      <w:marRight w:val="0"/>
      <w:marTop w:val="0"/>
      <w:marBottom w:val="0"/>
      <w:divBdr>
        <w:top w:val="none" w:sz="0" w:space="0" w:color="auto"/>
        <w:left w:val="none" w:sz="0" w:space="0" w:color="auto"/>
        <w:bottom w:val="none" w:sz="0" w:space="0" w:color="auto"/>
        <w:right w:val="none" w:sz="0" w:space="0" w:color="auto"/>
      </w:divBdr>
    </w:div>
    <w:div w:id="677663134">
      <w:bodyDiv w:val="1"/>
      <w:marLeft w:val="0"/>
      <w:marRight w:val="0"/>
      <w:marTop w:val="0"/>
      <w:marBottom w:val="0"/>
      <w:divBdr>
        <w:top w:val="none" w:sz="0" w:space="0" w:color="auto"/>
        <w:left w:val="none" w:sz="0" w:space="0" w:color="auto"/>
        <w:bottom w:val="none" w:sz="0" w:space="0" w:color="auto"/>
        <w:right w:val="none" w:sz="0" w:space="0" w:color="auto"/>
      </w:divBdr>
    </w:div>
    <w:div w:id="677776497">
      <w:bodyDiv w:val="1"/>
      <w:marLeft w:val="0"/>
      <w:marRight w:val="0"/>
      <w:marTop w:val="0"/>
      <w:marBottom w:val="0"/>
      <w:divBdr>
        <w:top w:val="none" w:sz="0" w:space="0" w:color="auto"/>
        <w:left w:val="none" w:sz="0" w:space="0" w:color="auto"/>
        <w:bottom w:val="none" w:sz="0" w:space="0" w:color="auto"/>
        <w:right w:val="none" w:sz="0" w:space="0" w:color="auto"/>
      </w:divBdr>
    </w:div>
    <w:div w:id="677776637">
      <w:bodyDiv w:val="1"/>
      <w:marLeft w:val="0"/>
      <w:marRight w:val="0"/>
      <w:marTop w:val="0"/>
      <w:marBottom w:val="0"/>
      <w:divBdr>
        <w:top w:val="none" w:sz="0" w:space="0" w:color="auto"/>
        <w:left w:val="none" w:sz="0" w:space="0" w:color="auto"/>
        <w:bottom w:val="none" w:sz="0" w:space="0" w:color="auto"/>
        <w:right w:val="none" w:sz="0" w:space="0" w:color="auto"/>
      </w:divBdr>
    </w:div>
    <w:div w:id="677779831">
      <w:bodyDiv w:val="1"/>
      <w:marLeft w:val="0"/>
      <w:marRight w:val="0"/>
      <w:marTop w:val="0"/>
      <w:marBottom w:val="0"/>
      <w:divBdr>
        <w:top w:val="none" w:sz="0" w:space="0" w:color="auto"/>
        <w:left w:val="none" w:sz="0" w:space="0" w:color="auto"/>
        <w:bottom w:val="none" w:sz="0" w:space="0" w:color="auto"/>
        <w:right w:val="none" w:sz="0" w:space="0" w:color="auto"/>
      </w:divBdr>
    </w:div>
    <w:div w:id="677849716">
      <w:bodyDiv w:val="1"/>
      <w:marLeft w:val="0"/>
      <w:marRight w:val="0"/>
      <w:marTop w:val="0"/>
      <w:marBottom w:val="0"/>
      <w:divBdr>
        <w:top w:val="none" w:sz="0" w:space="0" w:color="auto"/>
        <w:left w:val="none" w:sz="0" w:space="0" w:color="auto"/>
        <w:bottom w:val="none" w:sz="0" w:space="0" w:color="auto"/>
        <w:right w:val="none" w:sz="0" w:space="0" w:color="auto"/>
      </w:divBdr>
    </w:div>
    <w:div w:id="678048892">
      <w:bodyDiv w:val="1"/>
      <w:marLeft w:val="0"/>
      <w:marRight w:val="0"/>
      <w:marTop w:val="0"/>
      <w:marBottom w:val="0"/>
      <w:divBdr>
        <w:top w:val="none" w:sz="0" w:space="0" w:color="auto"/>
        <w:left w:val="none" w:sz="0" w:space="0" w:color="auto"/>
        <w:bottom w:val="none" w:sz="0" w:space="0" w:color="auto"/>
        <w:right w:val="none" w:sz="0" w:space="0" w:color="auto"/>
      </w:divBdr>
    </w:div>
    <w:div w:id="678049502">
      <w:bodyDiv w:val="1"/>
      <w:marLeft w:val="0"/>
      <w:marRight w:val="0"/>
      <w:marTop w:val="0"/>
      <w:marBottom w:val="0"/>
      <w:divBdr>
        <w:top w:val="none" w:sz="0" w:space="0" w:color="auto"/>
        <w:left w:val="none" w:sz="0" w:space="0" w:color="auto"/>
        <w:bottom w:val="none" w:sz="0" w:space="0" w:color="auto"/>
        <w:right w:val="none" w:sz="0" w:space="0" w:color="auto"/>
      </w:divBdr>
    </w:div>
    <w:div w:id="678122997">
      <w:bodyDiv w:val="1"/>
      <w:marLeft w:val="0"/>
      <w:marRight w:val="0"/>
      <w:marTop w:val="0"/>
      <w:marBottom w:val="0"/>
      <w:divBdr>
        <w:top w:val="none" w:sz="0" w:space="0" w:color="auto"/>
        <w:left w:val="none" w:sz="0" w:space="0" w:color="auto"/>
        <w:bottom w:val="none" w:sz="0" w:space="0" w:color="auto"/>
        <w:right w:val="none" w:sz="0" w:space="0" w:color="auto"/>
      </w:divBdr>
    </w:div>
    <w:div w:id="678386117">
      <w:bodyDiv w:val="1"/>
      <w:marLeft w:val="0"/>
      <w:marRight w:val="0"/>
      <w:marTop w:val="0"/>
      <w:marBottom w:val="0"/>
      <w:divBdr>
        <w:top w:val="none" w:sz="0" w:space="0" w:color="auto"/>
        <w:left w:val="none" w:sz="0" w:space="0" w:color="auto"/>
        <w:bottom w:val="none" w:sz="0" w:space="0" w:color="auto"/>
        <w:right w:val="none" w:sz="0" w:space="0" w:color="auto"/>
      </w:divBdr>
    </w:div>
    <w:div w:id="678657711">
      <w:bodyDiv w:val="1"/>
      <w:marLeft w:val="0"/>
      <w:marRight w:val="0"/>
      <w:marTop w:val="0"/>
      <w:marBottom w:val="0"/>
      <w:divBdr>
        <w:top w:val="none" w:sz="0" w:space="0" w:color="auto"/>
        <w:left w:val="none" w:sz="0" w:space="0" w:color="auto"/>
        <w:bottom w:val="none" w:sz="0" w:space="0" w:color="auto"/>
        <w:right w:val="none" w:sz="0" w:space="0" w:color="auto"/>
      </w:divBdr>
    </w:div>
    <w:div w:id="678704001">
      <w:bodyDiv w:val="1"/>
      <w:marLeft w:val="0"/>
      <w:marRight w:val="0"/>
      <w:marTop w:val="0"/>
      <w:marBottom w:val="0"/>
      <w:divBdr>
        <w:top w:val="none" w:sz="0" w:space="0" w:color="auto"/>
        <w:left w:val="none" w:sz="0" w:space="0" w:color="auto"/>
        <w:bottom w:val="none" w:sz="0" w:space="0" w:color="auto"/>
        <w:right w:val="none" w:sz="0" w:space="0" w:color="auto"/>
      </w:divBdr>
    </w:div>
    <w:div w:id="678968505">
      <w:bodyDiv w:val="1"/>
      <w:marLeft w:val="0"/>
      <w:marRight w:val="0"/>
      <w:marTop w:val="0"/>
      <w:marBottom w:val="0"/>
      <w:divBdr>
        <w:top w:val="none" w:sz="0" w:space="0" w:color="auto"/>
        <w:left w:val="none" w:sz="0" w:space="0" w:color="auto"/>
        <w:bottom w:val="none" w:sz="0" w:space="0" w:color="auto"/>
        <w:right w:val="none" w:sz="0" w:space="0" w:color="auto"/>
      </w:divBdr>
    </w:div>
    <w:div w:id="679042206">
      <w:bodyDiv w:val="1"/>
      <w:marLeft w:val="0"/>
      <w:marRight w:val="0"/>
      <w:marTop w:val="0"/>
      <w:marBottom w:val="0"/>
      <w:divBdr>
        <w:top w:val="none" w:sz="0" w:space="0" w:color="auto"/>
        <w:left w:val="none" w:sz="0" w:space="0" w:color="auto"/>
        <w:bottom w:val="none" w:sz="0" w:space="0" w:color="auto"/>
        <w:right w:val="none" w:sz="0" w:space="0" w:color="auto"/>
      </w:divBdr>
    </w:div>
    <w:div w:id="679237567">
      <w:bodyDiv w:val="1"/>
      <w:marLeft w:val="0"/>
      <w:marRight w:val="0"/>
      <w:marTop w:val="0"/>
      <w:marBottom w:val="0"/>
      <w:divBdr>
        <w:top w:val="none" w:sz="0" w:space="0" w:color="auto"/>
        <w:left w:val="none" w:sz="0" w:space="0" w:color="auto"/>
        <w:bottom w:val="none" w:sz="0" w:space="0" w:color="auto"/>
        <w:right w:val="none" w:sz="0" w:space="0" w:color="auto"/>
      </w:divBdr>
    </w:div>
    <w:div w:id="679352863">
      <w:bodyDiv w:val="1"/>
      <w:marLeft w:val="0"/>
      <w:marRight w:val="0"/>
      <w:marTop w:val="0"/>
      <w:marBottom w:val="0"/>
      <w:divBdr>
        <w:top w:val="none" w:sz="0" w:space="0" w:color="auto"/>
        <w:left w:val="none" w:sz="0" w:space="0" w:color="auto"/>
        <w:bottom w:val="none" w:sz="0" w:space="0" w:color="auto"/>
        <w:right w:val="none" w:sz="0" w:space="0" w:color="auto"/>
      </w:divBdr>
    </w:div>
    <w:div w:id="679504534">
      <w:bodyDiv w:val="1"/>
      <w:marLeft w:val="0"/>
      <w:marRight w:val="0"/>
      <w:marTop w:val="0"/>
      <w:marBottom w:val="0"/>
      <w:divBdr>
        <w:top w:val="none" w:sz="0" w:space="0" w:color="auto"/>
        <w:left w:val="none" w:sz="0" w:space="0" w:color="auto"/>
        <w:bottom w:val="none" w:sz="0" w:space="0" w:color="auto"/>
        <w:right w:val="none" w:sz="0" w:space="0" w:color="auto"/>
      </w:divBdr>
    </w:div>
    <w:div w:id="679553472">
      <w:bodyDiv w:val="1"/>
      <w:marLeft w:val="0"/>
      <w:marRight w:val="0"/>
      <w:marTop w:val="0"/>
      <w:marBottom w:val="0"/>
      <w:divBdr>
        <w:top w:val="none" w:sz="0" w:space="0" w:color="auto"/>
        <w:left w:val="none" w:sz="0" w:space="0" w:color="auto"/>
        <w:bottom w:val="none" w:sz="0" w:space="0" w:color="auto"/>
        <w:right w:val="none" w:sz="0" w:space="0" w:color="auto"/>
      </w:divBdr>
    </w:div>
    <w:div w:id="679695808">
      <w:bodyDiv w:val="1"/>
      <w:marLeft w:val="0"/>
      <w:marRight w:val="0"/>
      <w:marTop w:val="0"/>
      <w:marBottom w:val="0"/>
      <w:divBdr>
        <w:top w:val="none" w:sz="0" w:space="0" w:color="auto"/>
        <w:left w:val="none" w:sz="0" w:space="0" w:color="auto"/>
        <w:bottom w:val="none" w:sz="0" w:space="0" w:color="auto"/>
        <w:right w:val="none" w:sz="0" w:space="0" w:color="auto"/>
      </w:divBdr>
    </w:div>
    <w:div w:id="679771099">
      <w:bodyDiv w:val="1"/>
      <w:marLeft w:val="0"/>
      <w:marRight w:val="0"/>
      <w:marTop w:val="0"/>
      <w:marBottom w:val="0"/>
      <w:divBdr>
        <w:top w:val="none" w:sz="0" w:space="0" w:color="auto"/>
        <w:left w:val="none" w:sz="0" w:space="0" w:color="auto"/>
        <w:bottom w:val="none" w:sz="0" w:space="0" w:color="auto"/>
        <w:right w:val="none" w:sz="0" w:space="0" w:color="auto"/>
      </w:divBdr>
    </w:div>
    <w:div w:id="679891227">
      <w:bodyDiv w:val="1"/>
      <w:marLeft w:val="0"/>
      <w:marRight w:val="0"/>
      <w:marTop w:val="0"/>
      <w:marBottom w:val="0"/>
      <w:divBdr>
        <w:top w:val="none" w:sz="0" w:space="0" w:color="auto"/>
        <w:left w:val="none" w:sz="0" w:space="0" w:color="auto"/>
        <w:bottom w:val="none" w:sz="0" w:space="0" w:color="auto"/>
        <w:right w:val="none" w:sz="0" w:space="0" w:color="auto"/>
      </w:divBdr>
    </w:div>
    <w:div w:id="679891999">
      <w:bodyDiv w:val="1"/>
      <w:marLeft w:val="0"/>
      <w:marRight w:val="0"/>
      <w:marTop w:val="0"/>
      <w:marBottom w:val="0"/>
      <w:divBdr>
        <w:top w:val="none" w:sz="0" w:space="0" w:color="auto"/>
        <w:left w:val="none" w:sz="0" w:space="0" w:color="auto"/>
        <w:bottom w:val="none" w:sz="0" w:space="0" w:color="auto"/>
        <w:right w:val="none" w:sz="0" w:space="0" w:color="auto"/>
      </w:divBdr>
    </w:div>
    <w:div w:id="679893710">
      <w:bodyDiv w:val="1"/>
      <w:marLeft w:val="0"/>
      <w:marRight w:val="0"/>
      <w:marTop w:val="0"/>
      <w:marBottom w:val="0"/>
      <w:divBdr>
        <w:top w:val="none" w:sz="0" w:space="0" w:color="auto"/>
        <w:left w:val="none" w:sz="0" w:space="0" w:color="auto"/>
        <w:bottom w:val="none" w:sz="0" w:space="0" w:color="auto"/>
        <w:right w:val="none" w:sz="0" w:space="0" w:color="auto"/>
      </w:divBdr>
    </w:div>
    <w:div w:id="679895492">
      <w:bodyDiv w:val="1"/>
      <w:marLeft w:val="0"/>
      <w:marRight w:val="0"/>
      <w:marTop w:val="0"/>
      <w:marBottom w:val="0"/>
      <w:divBdr>
        <w:top w:val="none" w:sz="0" w:space="0" w:color="auto"/>
        <w:left w:val="none" w:sz="0" w:space="0" w:color="auto"/>
        <w:bottom w:val="none" w:sz="0" w:space="0" w:color="auto"/>
        <w:right w:val="none" w:sz="0" w:space="0" w:color="auto"/>
      </w:divBdr>
    </w:div>
    <w:div w:id="679938747">
      <w:bodyDiv w:val="1"/>
      <w:marLeft w:val="0"/>
      <w:marRight w:val="0"/>
      <w:marTop w:val="0"/>
      <w:marBottom w:val="0"/>
      <w:divBdr>
        <w:top w:val="none" w:sz="0" w:space="0" w:color="auto"/>
        <w:left w:val="none" w:sz="0" w:space="0" w:color="auto"/>
        <w:bottom w:val="none" w:sz="0" w:space="0" w:color="auto"/>
        <w:right w:val="none" w:sz="0" w:space="0" w:color="auto"/>
      </w:divBdr>
    </w:div>
    <w:div w:id="680011115">
      <w:bodyDiv w:val="1"/>
      <w:marLeft w:val="0"/>
      <w:marRight w:val="0"/>
      <w:marTop w:val="0"/>
      <w:marBottom w:val="0"/>
      <w:divBdr>
        <w:top w:val="none" w:sz="0" w:space="0" w:color="auto"/>
        <w:left w:val="none" w:sz="0" w:space="0" w:color="auto"/>
        <w:bottom w:val="none" w:sz="0" w:space="0" w:color="auto"/>
        <w:right w:val="none" w:sz="0" w:space="0" w:color="auto"/>
      </w:divBdr>
    </w:div>
    <w:div w:id="680015342">
      <w:bodyDiv w:val="1"/>
      <w:marLeft w:val="0"/>
      <w:marRight w:val="0"/>
      <w:marTop w:val="0"/>
      <w:marBottom w:val="0"/>
      <w:divBdr>
        <w:top w:val="none" w:sz="0" w:space="0" w:color="auto"/>
        <w:left w:val="none" w:sz="0" w:space="0" w:color="auto"/>
        <w:bottom w:val="none" w:sz="0" w:space="0" w:color="auto"/>
        <w:right w:val="none" w:sz="0" w:space="0" w:color="auto"/>
      </w:divBdr>
    </w:div>
    <w:div w:id="680163379">
      <w:bodyDiv w:val="1"/>
      <w:marLeft w:val="0"/>
      <w:marRight w:val="0"/>
      <w:marTop w:val="0"/>
      <w:marBottom w:val="0"/>
      <w:divBdr>
        <w:top w:val="none" w:sz="0" w:space="0" w:color="auto"/>
        <w:left w:val="none" w:sz="0" w:space="0" w:color="auto"/>
        <w:bottom w:val="none" w:sz="0" w:space="0" w:color="auto"/>
        <w:right w:val="none" w:sz="0" w:space="0" w:color="auto"/>
      </w:divBdr>
    </w:div>
    <w:div w:id="680278026">
      <w:bodyDiv w:val="1"/>
      <w:marLeft w:val="0"/>
      <w:marRight w:val="0"/>
      <w:marTop w:val="0"/>
      <w:marBottom w:val="0"/>
      <w:divBdr>
        <w:top w:val="none" w:sz="0" w:space="0" w:color="auto"/>
        <w:left w:val="none" w:sz="0" w:space="0" w:color="auto"/>
        <w:bottom w:val="none" w:sz="0" w:space="0" w:color="auto"/>
        <w:right w:val="none" w:sz="0" w:space="0" w:color="auto"/>
      </w:divBdr>
    </w:div>
    <w:div w:id="680350440">
      <w:bodyDiv w:val="1"/>
      <w:marLeft w:val="0"/>
      <w:marRight w:val="0"/>
      <w:marTop w:val="0"/>
      <w:marBottom w:val="0"/>
      <w:divBdr>
        <w:top w:val="none" w:sz="0" w:space="0" w:color="auto"/>
        <w:left w:val="none" w:sz="0" w:space="0" w:color="auto"/>
        <w:bottom w:val="none" w:sz="0" w:space="0" w:color="auto"/>
        <w:right w:val="none" w:sz="0" w:space="0" w:color="auto"/>
      </w:divBdr>
    </w:div>
    <w:div w:id="680350448">
      <w:bodyDiv w:val="1"/>
      <w:marLeft w:val="0"/>
      <w:marRight w:val="0"/>
      <w:marTop w:val="0"/>
      <w:marBottom w:val="0"/>
      <w:divBdr>
        <w:top w:val="none" w:sz="0" w:space="0" w:color="auto"/>
        <w:left w:val="none" w:sz="0" w:space="0" w:color="auto"/>
        <w:bottom w:val="none" w:sz="0" w:space="0" w:color="auto"/>
        <w:right w:val="none" w:sz="0" w:space="0" w:color="auto"/>
      </w:divBdr>
    </w:div>
    <w:div w:id="680426153">
      <w:bodyDiv w:val="1"/>
      <w:marLeft w:val="0"/>
      <w:marRight w:val="0"/>
      <w:marTop w:val="0"/>
      <w:marBottom w:val="0"/>
      <w:divBdr>
        <w:top w:val="none" w:sz="0" w:space="0" w:color="auto"/>
        <w:left w:val="none" w:sz="0" w:space="0" w:color="auto"/>
        <w:bottom w:val="none" w:sz="0" w:space="0" w:color="auto"/>
        <w:right w:val="none" w:sz="0" w:space="0" w:color="auto"/>
      </w:divBdr>
    </w:div>
    <w:div w:id="680545378">
      <w:bodyDiv w:val="1"/>
      <w:marLeft w:val="0"/>
      <w:marRight w:val="0"/>
      <w:marTop w:val="0"/>
      <w:marBottom w:val="0"/>
      <w:divBdr>
        <w:top w:val="none" w:sz="0" w:space="0" w:color="auto"/>
        <w:left w:val="none" w:sz="0" w:space="0" w:color="auto"/>
        <w:bottom w:val="none" w:sz="0" w:space="0" w:color="auto"/>
        <w:right w:val="none" w:sz="0" w:space="0" w:color="auto"/>
      </w:divBdr>
    </w:div>
    <w:div w:id="680741860">
      <w:bodyDiv w:val="1"/>
      <w:marLeft w:val="0"/>
      <w:marRight w:val="0"/>
      <w:marTop w:val="0"/>
      <w:marBottom w:val="0"/>
      <w:divBdr>
        <w:top w:val="none" w:sz="0" w:space="0" w:color="auto"/>
        <w:left w:val="none" w:sz="0" w:space="0" w:color="auto"/>
        <w:bottom w:val="none" w:sz="0" w:space="0" w:color="auto"/>
        <w:right w:val="none" w:sz="0" w:space="0" w:color="auto"/>
      </w:divBdr>
    </w:div>
    <w:div w:id="680862585">
      <w:bodyDiv w:val="1"/>
      <w:marLeft w:val="0"/>
      <w:marRight w:val="0"/>
      <w:marTop w:val="0"/>
      <w:marBottom w:val="0"/>
      <w:divBdr>
        <w:top w:val="none" w:sz="0" w:space="0" w:color="auto"/>
        <w:left w:val="none" w:sz="0" w:space="0" w:color="auto"/>
        <w:bottom w:val="none" w:sz="0" w:space="0" w:color="auto"/>
        <w:right w:val="none" w:sz="0" w:space="0" w:color="auto"/>
      </w:divBdr>
    </w:div>
    <w:div w:id="680931729">
      <w:bodyDiv w:val="1"/>
      <w:marLeft w:val="0"/>
      <w:marRight w:val="0"/>
      <w:marTop w:val="0"/>
      <w:marBottom w:val="0"/>
      <w:divBdr>
        <w:top w:val="none" w:sz="0" w:space="0" w:color="auto"/>
        <w:left w:val="none" w:sz="0" w:space="0" w:color="auto"/>
        <w:bottom w:val="none" w:sz="0" w:space="0" w:color="auto"/>
        <w:right w:val="none" w:sz="0" w:space="0" w:color="auto"/>
      </w:divBdr>
    </w:div>
    <w:div w:id="681006692">
      <w:bodyDiv w:val="1"/>
      <w:marLeft w:val="0"/>
      <w:marRight w:val="0"/>
      <w:marTop w:val="0"/>
      <w:marBottom w:val="0"/>
      <w:divBdr>
        <w:top w:val="none" w:sz="0" w:space="0" w:color="auto"/>
        <w:left w:val="none" w:sz="0" w:space="0" w:color="auto"/>
        <w:bottom w:val="none" w:sz="0" w:space="0" w:color="auto"/>
        <w:right w:val="none" w:sz="0" w:space="0" w:color="auto"/>
      </w:divBdr>
    </w:div>
    <w:div w:id="681125188">
      <w:bodyDiv w:val="1"/>
      <w:marLeft w:val="0"/>
      <w:marRight w:val="0"/>
      <w:marTop w:val="0"/>
      <w:marBottom w:val="0"/>
      <w:divBdr>
        <w:top w:val="none" w:sz="0" w:space="0" w:color="auto"/>
        <w:left w:val="none" w:sz="0" w:space="0" w:color="auto"/>
        <w:bottom w:val="none" w:sz="0" w:space="0" w:color="auto"/>
        <w:right w:val="none" w:sz="0" w:space="0" w:color="auto"/>
      </w:divBdr>
    </w:div>
    <w:div w:id="681126980">
      <w:bodyDiv w:val="1"/>
      <w:marLeft w:val="0"/>
      <w:marRight w:val="0"/>
      <w:marTop w:val="0"/>
      <w:marBottom w:val="0"/>
      <w:divBdr>
        <w:top w:val="none" w:sz="0" w:space="0" w:color="auto"/>
        <w:left w:val="none" w:sz="0" w:space="0" w:color="auto"/>
        <w:bottom w:val="none" w:sz="0" w:space="0" w:color="auto"/>
        <w:right w:val="none" w:sz="0" w:space="0" w:color="auto"/>
      </w:divBdr>
    </w:div>
    <w:div w:id="681129303">
      <w:bodyDiv w:val="1"/>
      <w:marLeft w:val="0"/>
      <w:marRight w:val="0"/>
      <w:marTop w:val="0"/>
      <w:marBottom w:val="0"/>
      <w:divBdr>
        <w:top w:val="none" w:sz="0" w:space="0" w:color="auto"/>
        <w:left w:val="none" w:sz="0" w:space="0" w:color="auto"/>
        <w:bottom w:val="none" w:sz="0" w:space="0" w:color="auto"/>
        <w:right w:val="none" w:sz="0" w:space="0" w:color="auto"/>
      </w:divBdr>
    </w:div>
    <w:div w:id="681199255">
      <w:bodyDiv w:val="1"/>
      <w:marLeft w:val="0"/>
      <w:marRight w:val="0"/>
      <w:marTop w:val="0"/>
      <w:marBottom w:val="0"/>
      <w:divBdr>
        <w:top w:val="none" w:sz="0" w:space="0" w:color="auto"/>
        <w:left w:val="none" w:sz="0" w:space="0" w:color="auto"/>
        <w:bottom w:val="none" w:sz="0" w:space="0" w:color="auto"/>
        <w:right w:val="none" w:sz="0" w:space="0" w:color="auto"/>
      </w:divBdr>
    </w:div>
    <w:div w:id="681204258">
      <w:bodyDiv w:val="1"/>
      <w:marLeft w:val="0"/>
      <w:marRight w:val="0"/>
      <w:marTop w:val="0"/>
      <w:marBottom w:val="0"/>
      <w:divBdr>
        <w:top w:val="none" w:sz="0" w:space="0" w:color="auto"/>
        <w:left w:val="none" w:sz="0" w:space="0" w:color="auto"/>
        <w:bottom w:val="none" w:sz="0" w:space="0" w:color="auto"/>
        <w:right w:val="none" w:sz="0" w:space="0" w:color="auto"/>
      </w:divBdr>
    </w:div>
    <w:div w:id="681249132">
      <w:bodyDiv w:val="1"/>
      <w:marLeft w:val="0"/>
      <w:marRight w:val="0"/>
      <w:marTop w:val="0"/>
      <w:marBottom w:val="0"/>
      <w:divBdr>
        <w:top w:val="none" w:sz="0" w:space="0" w:color="auto"/>
        <w:left w:val="none" w:sz="0" w:space="0" w:color="auto"/>
        <w:bottom w:val="none" w:sz="0" w:space="0" w:color="auto"/>
        <w:right w:val="none" w:sz="0" w:space="0" w:color="auto"/>
      </w:divBdr>
    </w:div>
    <w:div w:id="681393082">
      <w:bodyDiv w:val="1"/>
      <w:marLeft w:val="0"/>
      <w:marRight w:val="0"/>
      <w:marTop w:val="0"/>
      <w:marBottom w:val="0"/>
      <w:divBdr>
        <w:top w:val="none" w:sz="0" w:space="0" w:color="auto"/>
        <w:left w:val="none" w:sz="0" w:space="0" w:color="auto"/>
        <w:bottom w:val="none" w:sz="0" w:space="0" w:color="auto"/>
        <w:right w:val="none" w:sz="0" w:space="0" w:color="auto"/>
      </w:divBdr>
    </w:div>
    <w:div w:id="681471429">
      <w:bodyDiv w:val="1"/>
      <w:marLeft w:val="0"/>
      <w:marRight w:val="0"/>
      <w:marTop w:val="0"/>
      <w:marBottom w:val="0"/>
      <w:divBdr>
        <w:top w:val="none" w:sz="0" w:space="0" w:color="auto"/>
        <w:left w:val="none" w:sz="0" w:space="0" w:color="auto"/>
        <w:bottom w:val="none" w:sz="0" w:space="0" w:color="auto"/>
        <w:right w:val="none" w:sz="0" w:space="0" w:color="auto"/>
      </w:divBdr>
    </w:div>
    <w:div w:id="681473771">
      <w:bodyDiv w:val="1"/>
      <w:marLeft w:val="0"/>
      <w:marRight w:val="0"/>
      <w:marTop w:val="0"/>
      <w:marBottom w:val="0"/>
      <w:divBdr>
        <w:top w:val="none" w:sz="0" w:space="0" w:color="auto"/>
        <w:left w:val="none" w:sz="0" w:space="0" w:color="auto"/>
        <w:bottom w:val="none" w:sz="0" w:space="0" w:color="auto"/>
        <w:right w:val="none" w:sz="0" w:space="0" w:color="auto"/>
      </w:divBdr>
    </w:div>
    <w:div w:id="681594775">
      <w:bodyDiv w:val="1"/>
      <w:marLeft w:val="0"/>
      <w:marRight w:val="0"/>
      <w:marTop w:val="0"/>
      <w:marBottom w:val="0"/>
      <w:divBdr>
        <w:top w:val="none" w:sz="0" w:space="0" w:color="auto"/>
        <w:left w:val="none" w:sz="0" w:space="0" w:color="auto"/>
        <w:bottom w:val="none" w:sz="0" w:space="0" w:color="auto"/>
        <w:right w:val="none" w:sz="0" w:space="0" w:color="auto"/>
      </w:divBdr>
    </w:div>
    <w:div w:id="681662475">
      <w:bodyDiv w:val="1"/>
      <w:marLeft w:val="0"/>
      <w:marRight w:val="0"/>
      <w:marTop w:val="0"/>
      <w:marBottom w:val="0"/>
      <w:divBdr>
        <w:top w:val="none" w:sz="0" w:space="0" w:color="auto"/>
        <w:left w:val="none" w:sz="0" w:space="0" w:color="auto"/>
        <w:bottom w:val="none" w:sz="0" w:space="0" w:color="auto"/>
        <w:right w:val="none" w:sz="0" w:space="0" w:color="auto"/>
      </w:divBdr>
    </w:div>
    <w:div w:id="681706676">
      <w:bodyDiv w:val="1"/>
      <w:marLeft w:val="0"/>
      <w:marRight w:val="0"/>
      <w:marTop w:val="0"/>
      <w:marBottom w:val="0"/>
      <w:divBdr>
        <w:top w:val="none" w:sz="0" w:space="0" w:color="auto"/>
        <w:left w:val="none" w:sz="0" w:space="0" w:color="auto"/>
        <w:bottom w:val="none" w:sz="0" w:space="0" w:color="auto"/>
        <w:right w:val="none" w:sz="0" w:space="0" w:color="auto"/>
      </w:divBdr>
    </w:div>
    <w:div w:id="681712011">
      <w:bodyDiv w:val="1"/>
      <w:marLeft w:val="0"/>
      <w:marRight w:val="0"/>
      <w:marTop w:val="0"/>
      <w:marBottom w:val="0"/>
      <w:divBdr>
        <w:top w:val="none" w:sz="0" w:space="0" w:color="auto"/>
        <w:left w:val="none" w:sz="0" w:space="0" w:color="auto"/>
        <w:bottom w:val="none" w:sz="0" w:space="0" w:color="auto"/>
        <w:right w:val="none" w:sz="0" w:space="0" w:color="auto"/>
      </w:divBdr>
    </w:div>
    <w:div w:id="681779384">
      <w:bodyDiv w:val="1"/>
      <w:marLeft w:val="0"/>
      <w:marRight w:val="0"/>
      <w:marTop w:val="0"/>
      <w:marBottom w:val="0"/>
      <w:divBdr>
        <w:top w:val="none" w:sz="0" w:space="0" w:color="auto"/>
        <w:left w:val="none" w:sz="0" w:space="0" w:color="auto"/>
        <w:bottom w:val="none" w:sz="0" w:space="0" w:color="auto"/>
        <w:right w:val="none" w:sz="0" w:space="0" w:color="auto"/>
      </w:divBdr>
    </w:div>
    <w:div w:id="681788030">
      <w:bodyDiv w:val="1"/>
      <w:marLeft w:val="0"/>
      <w:marRight w:val="0"/>
      <w:marTop w:val="0"/>
      <w:marBottom w:val="0"/>
      <w:divBdr>
        <w:top w:val="none" w:sz="0" w:space="0" w:color="auto"/>
        <w:left w:val="none" w:sz="0" w:space="0" w:color="auto"/>
        <w:bottom w:val="none" w:sz="0" w:space="0" w:color="auto"/>
        <w:right w:val="none" w:sz="0" w:space="0" w:color="auto"/>
      </w:divBdr>
    </w:div>
    <w:div w:id="681854861">
      <w:bodyDiv w:val="1"/>
      <w:marLeft w:val="0"/>
      <w:marRight w:val="0"/>
      <w:marTop w:val="0"/>
      <w:marBottom w:val="0"/>
      <w:divBdr>
        <w:top w:val="none" w:sz="0" w:space="0" w:color="auto"/>
        <w:left w:val="none" w:sz="0" w:space="0" w:color="auto"/>
        <w:bottom w:val="none" w:sz="0" w:space="0" w:color="auto"/>
        <w:right w:val="none" w:sz="0" w:space="0" w:color="auto"/>
      </w:divBdr>
    </w:div>
    <w:div w:id="681862322">
      <w:bodyDiv w:val="1"/>
      <w:marLeft w:val="0"/>
      <w:marRight w:val="0"/>
      <w:marTop w:val="0"/>
      <w:marBottom w:val="0"/>
      <w:divBdr>
        <w:top w:val="none" w:sz="0" w:space="0" w:color="auto"/>
        <w:left w:val="none" w:sz="0" w:space="0" w:color="auto"/>
        <w:bottom w:val="none" w:sz="0" w:space="0" w:color="auto"/>
        <w:right w:val="none" w:sz="0" w:space="0" w:color="auto"/>
      </w:divBdr>
    </w:div>
    <w:div w:id="681903098">
      <w:bodyDiv w:val="1"/>
      <w:marLeft w:val="0"/>
      <w:marRight w:val="0"/>
      <w:marTop w:val="0"/>
      <w:marBottom w:val="0"/>
      <w:divBdr>
        <w:top w:val="none" w:sz="0" w:space="0" w:color="auto"/>
        <w:left w:val="none" w:sz="0" w:space="0" w:color="auto"/>
        <w:bottom w:val="none" w:sz="0" w:space="0" w:color="auto"/>
        <w:right w:val="none" w:sz="0" w:space="0" w:color="auto"/>
      </w:divBdr>
    </w:div>
    <w:div w:id="681905818">
      <w:bodyDiv w:val="1"/>
      <w:marLeft w:val="0"/>
      <w:marRight w:val="0"/>
      <w:marTop w:val="0"/>
      <w:marBottom w:val="0"/>
      <w:divBdr>
        <w:top w:val="none" w:sz="0" w:space="0" w:color="auto"/>
        <w:left w:val="none" w:sz="0" w:space="0" w:color="auto"/>
        <w:bottom w:val="none" w:sz="0" w:space="0" w:color="auto"/>
        <w:right w:val="none" w:sz="0" w:space="0" w:color="auto"/>
      </w:divBdr>
    </w:div>
    <w:div w:id="681931778">
      <w:bodyDiv w:val="1"/>
      <w:marLeft w:val="0"/>
      <w:marRight w:val="0"/>
      <w:marTop w:val="0"/>
      <w:marBottom w:val="0"/>
      <w:divBdr>
        <w:top w:val="none" w:sz="0" w:space="0" w:color="auto"/>
        <w:left w:val="none" w:sz="0" w:space="0" w:color="auto"/>
        <w:bottom w:val="none" w:sz="0" w:space="0" w:color="auto"/>
        <w:right w:val="none" w:sz="0" w:space="0" w:color="auto"/>
      </w:divBdr>
    </w:div>
    <w:div w:id="682129386">
      <w:bodyDiv w:val="1"/>
      <w:marLeft w:val="0"/>
      <w:marRight w:val="0"/>
      <w:marTop w:val="0"/>
      <w:marBottom w:val="0"/>
      <w:divBdr>
        <w:top w:val="none" w:sz="0" w:space="0" w:color="auto"/>
        <w:left w:val="none" w:sz="0" w:space="0" w:color="auto"/>
        <w:bottom w:val="none" w:sz="0" w:space="0" w:color="auto"/>
        <w:right w:val="none" w:sz="0" w:space="0" w:color="auto"/>
      </w:divBdr>
    </w:div>
    <w:div w:id="682433653">
      <w:bodyDiv w:val="1"/>
      <w:marLeft w:val="0"/>
      <w:marRight w:val="0"/>
      <w:marTop w:val="0"/>
      <w:marBottom w:val="0"/>
      <w:divBdr>
        <w:top w:val="none" w:sz="0" w:space="0" w:color="auto"/>
        <w:left w:val="none" w:sz="0" w:space="0" w:color="auto"/>
        <w:bottom w:val="none" w:sz="0" w:space="0" w:color="auto"/>
        <w:right w:val="none" w:sz="0" w:space="0" w:color="auto"/>
      </w:divBdr>
    </w:div>
    <w:div w:id="682438852">
      <w:bodyDiv w:val="1"/>
      <w:marLeft w:val="0"/>
      <w:marRight w:val="0"/>
      <w:marTop w:val="0"/>
      <w:marBottom w:val="0"/>
      <w:divBdr>
        <w:top w:val="none" w:sz="0" w:space="0" w:color="auto"/>
        <w:left w:val="none" w:sz="0" w:space="0" w:color="auto"/>
        <w:bottom w:val="none" w:sz="0" w:space="0" w:color="auto"/>
        <w:right w:val="none" w:sz="0" w:space="0" w:color="auto"/>
      </w:divBdr>
    </w:div>
    <w:div w:id="682511884">
      <w:bodyDiv w:val="1"/>
      <w:marLeft w:val="0"/>
      <w:marRight w:val="0"/>
      <w:marTop w:val="0"/>
      <w:marBottom w:val="0"/>
      <w:divBdr>
        <w:top w:val="none" w:sz="0" w:space="0" w:color="auto"/>
        <w:left w:val="none" w:sz="0" w:space="0" w:color="auto"/>
        <w:bottom w:val="none" w:sz="0" w:space="0" w:color="auto"/>
        <w:right w:val="none" w:sz="0" w:space="0" w:color="auto"/>
      </w:divBdr>
    </w:div>
    <w:div w:id="682515930">
      <w:bodyDiv w:val="1"/>
      <w:marLeft w:val="0"/>
      <w:marRight w:val="0"/>
      <w:marTop w:val="0"/>
      <w:marBottom w:val="0"/>
      <w:divBdr>
        <w:top w:val="none" w:sz="0" w:space="0" w:color="auto"/>
        <w:left w:val="none" w:sz="0" w:space="0" w:color="auto"/>
        <w:bottom w:val="none" w:sz="0" w:space="0" w:color="auto"/>
        <w:right w:val="none" w:sz="0" w:space="0" w:color="auto"/>
      </w:divBdr>
    </w:div>
    <w:div w:id="682517860">
      <w:bodyDiv w:val="1"/>
      <w:marLeft w:val="0"/>
      <w:marRight w:val="0"/>
      <w:marTop w:val="0"/>
      <w:marBottom w:val="0"/>
      <w:divBdr>
        <w:top w:val="none" w:sz="0" w:space="0" w:color="auto"/>
        <w:left w:val="none" w:sz="0" w:space="0" w:color="auto"/>
        <w:bottom w:val="none" w:sz="0" w:space="0" w:color="auto"/>
        <w:right w:val="none" w:sz="0" w:space="0" w:color="auto"/>
      </w:divBdr>
    </w:div>
    <w:div w:id="682589535">
      <w:bodyDiv w:val="1"/>
      <w:marLeft w:val="0"/>
      <w:marRight w:val="0"/>
      <w:marTop w:val="0"/>
      <w:marBottom w:val="0"/>
      <w:divBdr>
        <w:top w:val="none" w:sz="0" w:space="0" w:color="auto"/>
        <w:left w:val="none" w:sz="0" w:space="0" w:color="auto"/>
        <w:bottom w:val="none" w:sz="0" w:space="0" w:color="auto"/>
        <w:right w:val="none" w:sz="0" w:space="0" w:color="auto"/>
      </w:divBdr>
    </w:div>
    <w:div w:id="682633147">
      <w:bodyDiv w:val="1"/>
      <w:marLeft w:val="0"/>
      <w:marRight w:val="0"/>
      <w:marTop w:val="0"/>
      <w:marBottom w:val="0"/>
      <w:divBdr>
        <w:top w:val="none" w:sz="0" w:space="0" w:color="auto"/>
        <w:left w:val="none" w:sz="0" w:space="0" w:color="auto"/>
        <w:bottom w:val="none" w:sz="0" w:space="0" w:color="auto"/>
        <w:right w:val="none" w:sz="0" w:space="0" w:color="auto"/>
      </w:divBdr>
    </w:div>
    <w:div w:id="682710008">
      <w:bodyDiv w:val="1"/>
      <w:marLeft w:val="0"/>
      <w:marRight w:val="0"/>
      <w:marTop w:val="0"/>
      <w:marBottom w:val="0"/>
      <w:divBdr>
        <w:top w:val="none" w:sz="0" w:space="0" w:color="auto"/>
        <w:left w:val="none" w:sz="0" w:space="0" w:color="auto"/>
        <w:bottom w:val="none" w:sz="0" w:space="0" w:color="auto"/>
        <w:right w:val="none" w:sz="0" w:space="0" w:color="auto"/>
      </w:divBdr>
    </w:div>
    <w:div w:id="682781336">
      <w:bodyDiv w:val="1"/>
      <w:marLeft w:val="0"/>
      <w:marRight w:val="0"/>
      <w:marTop w:val="0"/>
      <w:marBottom w:val="0"/>
      <w:divBdr>
        <w:top w:val="none" w:sz="0" w:space="0" w:color="auto"/>
        <w:left w:val="none" w:sz="0" w:space="0" w:color="auto"/>
        <w:bottom w:val="none" w:sz="0" w:space="0" w:color="auto"/>
        <w:right w:val="none" w:sz="0" w:space="0" w:color="auto"/>
      </w:divBdr>
    </w:div>
    <w:div w:id="682822174">
      <w:bodyDiv w:val="1"/>
      <w:marLeft w:val="0"/>
      <w:marRight w:val="0"/>
      <w:marTop w:val="0"/>
      <w:marBottom w:val="0"/>
      <w:divBdr>
        <w:top w:val="none" w:sz="0" w:space="0" w:color="auto"/>
        <w:left w:val="none" w:sz="0" w:space="0" w:color="auto"/>
        <w:bottom w:val="none" w:sz="0" w:space="0" w:color="auto"/>
        <w:right w:val="none" w:sz="0" w:space="0" w:color="auto"/>
      </w:divBdr>
    </w:div>
    <w:div w:id="682974549">
      <w:bodyDiv w:val="1"/>
      <w:marLeft w:val="0"/>
      <w:marRight w:val="0"/>
      <w:marTop w:val="0"/>
      <w:marBottom w:val="0"/>
      <w:divBdr>
        <w:top w:val="none" w:sz="0" w:space="0" w:color="auto"/>
        <w:left w:val="none" w:sz="0" w:space="0" w:color="auto"/>
        <w:bottom w:val="none" w:sz="0" w:space="0" w:color="auto"/>
        <w:right w:val="none" w:sz="0" w:space="0" w:color="auto"/>
      </w:divBdr>
    </w:div>
    <w:div w:id="682977867">
      <w:bodyDiv w:val="1"/>
      <w:marLeft w:val="0"/>
      <w:marRight w:val="0"/>
      <w:marTop w:val="0"/>
      <w:marBottom w:val="0"/>
      <w:divBdr>
        <w:top w:val="none" w:sz="0" w:space="0" w:color="auto"/>
        <w:left w:val="none" w:sz="0" w:space="0" w:color="auto"/>
        <w:bottom w:val="none" w:sz="0" w:space="0" w:color="auto"/>
        <w:right w:val="none" w:sz="0" w:space="0" w:color="auto"/>
      </w:divBdr>
    </w:div>
    <w:div w:id="682979409">
      <w:bodyDiv w:val="1"/>
      <w:marLeft w:val="0"/>
      <w:marRight w:val="0"/>
      <w:marTop w:val="0"/>
      <w:marBottom w:val="0"/>
      <w:divBdr>
        <w:top w:val="none" w:sz="0" w:space="0" w:color="auto"/>
        <w:left w:val="none" w:sz="0" w:space="0" w:color="auto"/>
        <w:bottom w:val="none" w:sz="0" w:space="0" w:color="auto"/>
        <w:right w:val="none" w:sz="0" w:space="0" w:color="auto"/>
      </w:divBdr>
    </w:div>
    <w:div w:id="683020681">
      <w:bodyDiv w:val="1"/>
      <w:marLeft w:val="0"/>
      <w:marRight w:val="0"/>
      <w:marTop w:val="0"/>
      <w:marBottom w:val="0"/>
      <w:divBdr>
        <w:top w:val="none" w:sz="0" w:space="0" w:color="auto"/>
        <w:left w:val="none" w:sz="0" w:space="0" w:color="auto"/>
        <w:bottom w:val="none" w:sz="0" w:space="0" w:color="auto"/>
        <w:right w:val="none" w:sz="0" w:space="0" w:color="auto"/>
      </w:divBdr>
    </w:div>
    <w:div w:id="683047807">
      <w:bodyDiv w:val="1"/>
      <w:marLeft w:val="0"/>
      <w:marRight w:val="0"/>
      <w:marTop w:val="0"/>
      <w:marBottom w:val="0"/>
      <w:divBdr>
        <w:top w:val="none" w:sz="0" w:space="0" w:color="auto"/>
        <w:left w:val="none" w:sz="0" w:space="0" w:color="auto"/>
        <w:bottom w:val="none" w:sz="0" w:space="0" w:color="auto"/>
        <w:right w:val="none" w:sz="0" w:space="0" w:color="auto"/>
      </w:divBdr>
    </w:div>
    <w:div w:id="683172460">
      <w:bodyDiv w:val="1"/>
      <w:marLeft w:val="0"/>
      <w:marRight w:val="0"/>
      <w:marTop w:val="0"/>
      <w:marBottom w:val="0"/>
      <w:divBdr>
        <w:top w:val="none" w:sz="0" w:space="0" w:color="auto"/>
        <w:left w:val="none" w:sz="0" w:space="0" w:color="auto"/>
        <w:bottom w:val="none" w:sz="0" w:space="0" w:color="auto"/>
        <w:right w:val="none" w:sz="0" w:space="0" w:color="auto"/>
      </w:divBdr>
    </w:div>
    <w:div w:id="683213382">
      <w:bodyDiv w:val="1"/>
      <w:marLeft w:val="0"/>
      <w:marRight w:val="0"/>
      <w:marTop w:val="0"/>
      <w:marBottom w:val="0"/>
      <w:divBdr>
        <w:top w:val="none" w:sz="0" w:space="0" w:color="auto"/>
        <w:left w:val="none" w:sz="0" w:space="0" w:color="auto"/>
        <w:bottom w:val="none" w:sz="0" w:space="0" w:color="auto"/>
        <w:right w:val="none" w:sz="0" w:space="0" w:color="auto"/>
      </w:divBdr>
    </w:div>
    <w:div w:id="683240142">
      <w:bodyDiv w:val="1"/>
      <w:marLeft w:val="0"/>
      <w:marRight w:val="0"/>
      <w:marTop w:val="0"/>
      <w:marBottom w:val="0"/>
      <w:divBdr>
        <w:top w:val="none" w:sz="0" w:space="0" w:color="auto"/>
        <w:left w:val="none" w:sz="0" w:space="0" w:color="auto"/>
        <w:bottom w:val="none" w:sz="0" w:space="0" w:color="auto"/>
        <w:right w:val="none" w:sz="0" w:space="0" w:color="auto"/>
      </w:divBdr>
    </w:div>
    <w:div w:id="683283756">
      <w:bodyDiv w:val="1"/>
      <w:marLeft w:val="0"/>
      <w:marRight w:val="0"/>
      <w:marTop w:val="0"/>
      <w:marBottom w:val="0"/>
      <w:divBdr>
        <w:top w:val="none" w:sz="0" w:space="0" w:color="auto"/>
        <w:left w:val="none" w:sz="0" w:space="0" w:color="auto"/>
        <w:bottom w:val="none" w:sz="0" w:space="0" w:color="auto"/>
        <w:right w:val="none" w:sz="0" w:space="0" w:color="auto"/>
      </w:divBdr>
    </w:div>
    <w:div w:id="683478627">
      <w:bodyDiv w:val="1"/>
      <w:marLeft w:val="0"/>
      <w:marRight w:val="0"/>
      <w:marTop w:val="0"/>
      <w:marBottom w:val="0"/>
      <w:divBdr>
        <w:top w:val="none" w:sz="0" w:space="0" w:color="auto"/>
        <w:left w:val="none" w:sz="0" w:space="0" w:color="auto"/>
        <w:bottom w:val="none" w:sz="0" w:space="0" w:color="auto"/>
        <w:right w:val="none" w:sz="0" w:space="0" w:color="auto"/>
      </w:divBdr>
    </w:div>
    <w:div w:id="683558342">
      <w:bodyDiv w:val="1"/>
      <w:marLeft w:val="0"/>
      <w:marRight w:val="0"/>
      <w:marTop w:val="0"/>
      <w:marBottom w:val="0"/>
      <w:divBdr>
        <w:top w:val="none" w:sz="0" w:space="0" w:color="auto"/>
        <w:left w:val="none" w:sz="0" w:space="0" w:color="auto"/>
        <w:bottom w:val="none" w:sz="0" w:space="0" w:color="auto"/>
        <w:right w:val="none" w:sz="0" w:space="0" w:color="auto"/>
      </w:divBdr>
    </w:div>
    <w:div w:id="683628322">
      <w:bodyDiv w:val="1"/>
      <w:marLeft w:val="0"/>
      <w:marRight w:val="0"/>
      <w:marTop w:val="0"/>
      <w:marBottom w:val="0"/>
      <w:divBdr>
        <w:top w:val="none" w:sz="0" w:space="0" w:color="auto"/>
        <w:left w:val="none" w:sz="0" w:space="0" w:color="auto"/>
        <w:bottom w:val="none" w:sz="0" w:space="0" w:color="auto"/>
        <w:right w:val="none" w:sz="0" w:space="0" w:color="auto"/>
      </w:divBdr>
    </w:div>
    <w:div w:id="683824366">
      <w:bodyDiv w:val="1"/>
      <w:marLeft w:val="0"/>
      <w:marRight w:val="0"/>
      <w:marTop w:val="0"/>
      <w:marBottom w:val="0"/>
      <w:divBdr>
        <w:top w:val="none" w:sz="0" w:space="0" w:color="auto"/>
        <w:left w:val="none" w:sz="0" w:space="0" w:color="auto"/>
        <w:bottom w:val="none" w:sz="0" w:space="0" w:color="auto"/>
        <w:right w:val="none" w:sz="0" w:space="0" w:color="auto"/>
      </w:divBdr>
    </w:div>
    <w:div w:id="683827966">
      <w:bodyDiv w:val="1"/>
      <w:marLeft w:val="0"/>
      <w:marRight w:val="0"/>
      <w:marTop w:val="0"/>
      <w:marBottom w:val="0"/>
      <w:divBdr>
        <w:top w:val="none" w:sz="0" w:space="0" w:color="auto"/>
        <w:left w:val="none" w:sz="0" w:space="0" w:color="auto"/>
        <w:bottom w:val="none" w:sz="0" w:space="0" w:color="auto"/>
        <w:right w:val="none" w:sz="0" w:space="0" w:color="auto"/>
      </w:divBdr>
    </w:div>
    <w:div w:id="683871213">
      <w:bodyDiv w:val="1"/>
      <w:marLeft w:val="0"/>
      <w:marRight w:val="0"/>
      <w:marTop w:val="0"/>
      <w:marBottom w:val="0"/>
      <w:divBdr>
        <w:top w:val="none" w:sz="0" w:space="0" w:color="auto"/>
        <w:left w:val="none" w:sz="0" w:space="0" w:color="auto"/>
        <w:bottom w:val="none" w:sz="0" w:space="0" w:color="auto"/>
        <w:right w:val="none" w:sz="0" w:space="0" w:color="auto"/>
      </w:divBdr>
    </w:div>
    <w:div w:id="683938530">
      <w:bodyDiv w:val="1"/>
      <w:marLeft w:val="0"/>
      <w:marRight w:val="0"/>
      <w:marTop w:val="0"/>
      <w:marBottom w:val="0"/>
      <w:divBdr>
        <w:top w:val="none" w:sz="0" w:space="0" w:color="auto"/>
        <w:left w:val="none" w:sz="0" w:space="0" w:color="auto"/>
        <w:bottom w:val="none" w:sz="0" w:space="0" w:color="auto"/>
        <w:right w:val="none" w:sz="0" w:space="0" w:color="auto"/>
      </w:divBdr>
    </w:div>
    <w:div w:id="684018827">
      <w:bodyDiv w:val="1"/>
      <w:marLeft w:val="0"/>
      <w:marRight w:val="0"/>
      <w:marTop w:val="0"/>
      <w:marBottom w:val="0"/>
      <w:divBdr>
        <w:top w:val="none" w:sz="0" w:space="0" w:color="auto"/>
        <w:left w:val="none" w:sz="0" w:space="0" w:color="auto"/>
        <w:bottom w:val="none" w:sz="0" w:space="0" w:color="auto"/>
        <w:right w:val="none" w:sz="0" w:space="0" w:color="auto"/>
      </w:divBdr>
    </w:div>
    <w:div w:id="684095855">
      <w:bodyDiv w:val="1"/>
      <w:marLeft w:val="0"/>
      <w:marRight w:val="0"/>
      <w:marTop w:val="0"/>
      <w:marBottom w:val="0"/>
      <w:divBdr>
        <w:top w:val="none" w:sz="0" w:space="0" w:color="auto"/>
        <w:left w:val="none" w:sz="0" w:space="0" w:color="auto"/>
        <w:bottom w:val="none" w:sz="0" w:space="0" w:color="auto"/>
        <w:right w:val="none" w:sz="0" w:space="0" w:color="auto"/>
      </w:divBdr>
    </w:div>
    <w:div w:id="684328901">
      <w:bodyDiv w:val="1"/>
      <w:marLeft w:val="0"/>
      <w:marRight w:val="0"/>
      <w:marTop w:val="0"/>
      <w:marBottom w:val="0"/>
      <w:divBdr>
        <w:top w:val="none" w:sz="0" w:space="0" w:color="auto"/>
        <w:left w:val="none" w:sz="0" w:space="0" w:color="auto"/>
        <w:bottom w:val="none" w:sz="0" w:space="0" w:color="auto"/>
        <w:right w:val="none" w:sz="0" w:space="0" w:color="auto"/>
      </w:divBdr>
    </w:div>
    <w:div w:id="684357946">
      <w:bodyDiv w:val="1"/>
      <w:marLeft w:val="0"/>
      <w:marRight w:val="0"/>
      <w:marTop w:val="0"/>
      <w:marBottom w:val="0"/>
      <w:divBdr>
        <w:top w:val="none" w:sz="0" w:space="0" w:color="auto"/>
        <w:left w:val="none" w:sz="0" w:space="0" w:color="auto"/>
        <w:bottom w:val="none" w:sz="0" w:space="0" w:color="auto"/>
        <w:right w:val="none" w:sz="0" w:space="0" w:color="auto"/>
      </w:divBdr>
    </w:div>
    <w:div w:id="684556049">
      <w:bodyDiv w:val="1"/>
      <w:marLeft w:val="0"/>
      <w:marRight w:val="0"/>
      <w:marTop w:val="0"/>
      <w:marBottom w:val="0"/>
      <w:divBdr>
        <w:top w:val="none" w:sz="0" w:space="0" w:color="auto"/>
        <w:left w:val="none" w:sz="0" w:space="0" w:color="auto"/>
        <w:bottom w:val="none" w:sz="0" w:space="0" w:color="auto"/>
        <w:right w:val="none" w:sz="0" w:space="0" w:color="auto"/>
      </w:divBdr>
    </w:div>
    <w:div w:id="684597412">
      <w:bodyDiv w:val="1"/>
      <w:marLeft w:val="0"/>
      <w:marRight w:val="0"/>
      <w:marTop w:val="0"/>
      <w:marBottom w:val="0"/>
      <w:divBdr>
        <w:top w:val="none" w:sz="0" w:space="0" w:color="auto"/>
        <w:left w:val="none" w:sz="0" w:space="0" w:color="auto"/>
        <w:bottom w:val="none" w:sz="0" w:space="0" w:color="auto"/>
        <w:right w:val="none" w:sz="0" w:space="0" w:color="auto"/>
      </w:divBdr>
    </w:div>
    <w:div w:id="684750174">
      <w:bodyDiv w:val="1"/>
      <w:marLeft w:val="0"/>
      <w:marRight w:val="0"/>
      <w:marTop w:val="0"/>
      <w:marBottom w:val="0"/>
      <w:divBdr>
        <w:top w:val="none" w:sz="0" w:space="0" w:color="auto"/>
        <w:left w:val="none" w:sz="0" w:space="0" w:color="auto"/>
        <w:bottom w:val="none" w:sz="0" w:space="0" w:color="auto"/>
        <w:right w:val="none" w:sz="0" w:space="0" w:color="auto"/>
      </w:divBdr>
    </w:div>
    <w:div w:id="684790832">
      <w:bodyDiv w:val="1"/>
      <w:marLeft w:val="0"/>
      <w:marRight w:val="0"/>
      <w:marTop w:val="0"/>
      <w:marBottom w:val="0"/>
      <w:divBdr>
        <w:top w:val="none" w:sz="0" w:space="0" w:color="auto"/>
        <w:left w:val="none" w:sz="0" w:space="0" w:color="auto"/>
        <w:bottom w:val="none" w:sz="0" w:space="0" w:color="auto"/>
        <w:right w:val="none" w:sz="0" w:space="0" w:color="auto"/>
      </w:divBdr>
    </w:div>
    <w:div w:id="684862848">
      <w:bodyDiv w:val="1"/>
      <w:marLeft w:val="0"/>
      <w:marRight w:val="0"/>
      <w:marTop w:val="0"/>
      <w:marBottom w:val="0"/>
      <w:divBdr>
        <w:top w:val="none" w:sz="0" w:space="0" w:color="auto"/>
        <w:left w:val="none" w:sz="0" w:space="0" w:color="auto"/>
        <w:bottom w:val="none" w:sz="0" w:space="0" w:color="auto"/>
        <w:right w:val="none" w:sz="0" w:space="0" w:color="auto"/>
      </w:divBdr>
    </w:div>
    <w:div w:id="684868670">
      <w:bodyDiv w:val="1"/>
      <w:marLeft w:val="0"/>
      <w:marRight w:val="0"/>
      <w:marTop w:val="0"/>
      <w:marBottom w:val="0"/>
      <w:divBdr>
        <w:top w:val="none" w:sz="0" w:space="0" w:color="auto"/>
        <w:left w:val="none" w:sz="0" w:space="0" w:color="auto"/>
        <w:bottom w:val="none" w:sz="0" w:space="0" w:color="auto"/>
        <w:right w:val="none" w:sz="0" w:space="0" w:color="auto"/>
      </w:divBdr>
    </w:div>
    <w:div w:id="684868702">
      <w:bodyDiv w:val="1"/>
      <w:marLeft w:val="0"/>
      <w:marRight w:val="0"/>
      <w:marTop w:val="0"/>
      <w:marBottom w:val="0"/>
      <w:divBdr>
        <w:top w:val="none" w:sz="0" w:space="0" w:color="auto"/>
        <w:left w:val="none" w:sz="0" w:space="0" w:color="auto"/>
        <w:bottom w:val="none" w:sz="0" w:space="0" w:color="auto"/>
        <w:right w:val="none" w:sz="0" w:space="0" w:color="auto"/>
      </w:divBdr>
    </w:div>
    <w:div w:id="684940641">
      <w:bodyDiv w:val="1"/>
      <w:marLeft w:val="0"/>
      <w:marRight w:val="0"/>
      <w:marTop w:val="0"/>
      <w:marBottom w:val="0"/>
      <w:divBdr>
        <w:top w:val="none" w:sz="0" w:space="0" w:color="auto"/>
        <w:left w:val="none" w:sz="0" w:space="0" w:color="auto"/>
        <w:bottom w:val="none" w:sz="0" w:space="0" w:color="auto"/>
        <w:right w:val="none" w:sz="0" w:space="0" w:color="auto"/>
      </w:divBdr>
    </w:div>
    <w:div w:id="684988696">
      <w:bodyDiv w:val="1"/>
      <w:marLeft w:val="0"/>
      <w:marRight w:val="0"/>
      <w:marTop w:val="0"/>
      <w:marBottom w:val="0"/>
      <w:divBdr>
        <w:top w:val="none" w:sz="0" w:space="0" w:color="auto"/>
        <w:left w:val="none" w:sz="0" w:space="0" w:color="auto"/>
        <w:bottom w:val="none" w:sz="0" w:space="0" w:color="auto"/>
        <w:right w:val="none" w:sz="0" w:space="0" w:color="auto"/>
      </w:divBdr>
    </w:div>
    <w:div w:id="685137648">
      <w:bodyDiv w:val="1"/>
      <w:marLeft w:val="0"/>
      <w:marRight w:val="0"/>
      <w:marTop w:val="0"/>
      <w:marBottom w:val="0"/>
      <w:divBdr>
        <w:top w:val="none" w:sz="0" w:space="0" w:color="auto"/>
        <w:left w:val="none" w:sz="0" w:space="0" w:color="auto"/>
        <w:bottom w:val="none" w:sz="0" w:space="0" w:color="auto"/>
        <w:right w:val="none" w:sz="0" w:space="0" w:color="auto"/>
      </w:divBdr>
    </w:div>
    <w:div w:id="685256672">
      <w:bodyDiv w:val="1"/>
      <w:marLeft w:val="0"/>
      <w:marRight w:val="0"/>
      <w:marTop w:val="0"/>
      <w:marBottom w:val="0"/>
      <w:divBdr>
        <w:top w:val="none" w:sz="0" w:space="0" w:color="auto"/>
        <w:left w:val="none" w:sz="0" w:space="0" w:color="auto"/>
        <w:bottom w:val="none" w:sz="0" w:space="0" w:color="auto"/>
        <w:right w:val="none" w:sz="0" w:space="0" w:color="auto"/>
      </w:divBdr>
    </w:div>
    <w:div w:id="685329183">
      <w:bodyDiv w:val="1"/>
      <w:marLeft w:val="0"/>
      <w:marRight w:val="0"/>
      <w:marTop w:val="0"/>
      <w:marBottom w:val="0"/>
      <w:divBdr>
        <w:top w:val="none" w:sz="0" w:space="0" w:color="auto"/>
        <w:left w:val="none" w:sz="0" w:space="0" w:color="auto"/>
        <w:bottom w:val="none" w:sz="0" w:space="0" w:color="auto"/>
        <w:right w:val="none" w:sz="0" w:space="0" w:color="auto"/>
      </w:divBdr>
    </w:div>
    <w:div w:id="685402942">
      <w:bodyDiv w:val="1"/>
      <w:marLeft w:val="0"/>
      <w:marRight w:val="0"/>
      <w:marTop w:val="0"/>
      <w:marBottom w:val="0"/>
      <w:divBdr>
        <w:top w:val="none" w:sz="0" w:space="0" w:color="auto"/>
        <w:left w:val="none" w:sz="0" w:space="0" w:color="auto"/>
        <w:bottom w:val="none" w:sz="0" w:space="0" w:color="auto"/>
        <w:right w:val="none" w:sz="0" w:space="0" w:color="auto"/>
      </w:divBdr>
    </w:div>
    <w:div w:id="685403529">
      <w:bodyDiv w:val="1"/>
      <w:marLeft w:val="0"/>
      <w:marRight w:val="0"/>
      <w:marTop w:val="0"/>
      <w:marBottom w:val="0"/>
      <w:divBdr>
        <w:top w:val="none" w:sz="0" w:space="0" w:color="auto"/>
        <w:left w:val="none" w:sz="0" w:space="0" w:color="auto"/>
        <w:bottom w:val="none" w:sz="0" w:space="0" w:color="auto"/>
        <w:right w:val="none" w:sz="0" w:space="0" w:color="auto"/>
      </w:divBdr>
    </w:div>
    <w:div w:id="685522986">
      <w:bodyDiv w:val="1"/>
      <w:marLeft w:val="0"/>
      <w:marRight w:val="0"/>
      <w:marTop w:val="0"/>
      <w:marBottom w:val="0"/>
      <w:divBdr>
        <w:top w:val="none" w:sz="0" w:space="0" w:color="auto"/>
        <w:left w:val="none" w:sz="0" w:space="0" w:color="auto"/>
        <w:bottom w:val="none" w:sz="0" w:space="0" w:color="auto"/>
        <w:right w:val="none" w:sz="0" w:space="0" w:color="auto"/>
      </w:divBdr>
    </w:div>
    <w:div w:id="685597189">
      <w:bodyDiv w:val="1"/>
      <w:marLeft w:val="0"/>
      <w:marRight w:val="0"/>
      <w:marTop w:val="0"/>
      <w:marBottom w:val="0"/>
      <w:divBdr>
        <w:top w:val="none" w:sz="0" w:space="0" w:color="auto"/>
        <w:left w:val="none" w:sz="0" w:space="0" w:color="auto"/>
        <w:bottom w:val="none" w:sz="0" w:space="0" w:color="auto"/>
        <w:right w:val="none" w:sz="0" w:space="0" w:color="auto"/>
      </w:divBdr>
    </w:div>
    <w:div w:id="685711031">
      <w:bodyDiv w:val="1"/>
      <w:marLeft w:val="0"/>
      <w:marRight w:val="0"/>
      <w:marTop w:val="0"/>
      <w:marBottom w:val="0"/>
      <w:divBdr>
        <w:top w:val="none" w:sz="0" w:space="0" w:color="auto"/>
        <w:left w:val="none" w:sz="0" w:space="0" w:color="auto"/>
        <w:bottom w:val="none" w:sz="0" w:space="0" w:color="auto"/>
        <w:right w:val="none" w:sz="0" w:space="0" w:color="auto"/>
      </w:divBdr>
    </w:div>
    <w:div w:id="685788350">
      <w:bodyDiv w:val="1"/>
      <w:marLeft w:val="0"/>
      <w:marRight w:val="0"/>
      <w:marTop w:val="0"/>
      <w:marBottom w:val="0"/>
      <w:divBdr>
        <w:top w:val="none" w:sz="0" w:space="0" w:color="auto"/>
        <w:left w:val="none" w:sz="0" w:space="0" w:color="auto"/>
        <w:bottom w:val="none" w:sz="0" w:space="0" w:color="auto"/>
        <w:right w:val="none" w:sz="0" w:space="0" w:color="auto"/>
      </w:divBdr>
    </w:div>
    <w:div w:id="685789741">
      <w:bodyDiv w:val="1"/>
      <w:marLeft w:val="0"/>
      <w:marRight w:val="0"/>
      <w:marTop w:val="0"/>
      <w:marBottom w:val="0"/>
      <w:divBdr>
        <w:top w:val="none" w:sz="0" w:space="0" w:color="auto"/>
        <w:left w:val="none" w:sz="0" w:space="0" w:color="auto"/>
        <w:bottom w:val="none" w:sz="0" w:space="0" w:color="auto"/>
        <w:right w:val="none" w:sz="0" w:space="0" w:color="auto"/>
      </w:divBdr>
    </w:div>
    <w:div w:id="685834294">
      <w:bodyDiv w:val="1"/>
      <w:marLeft w:val="0"/>
      <w:marRight w:val="0"/>
      <w:marTop w:val="0"/>
      <w:marBottom w:val="0"/>
      <w:divBdr>
        <w:top w:val="none" w:sz="0" w:space="0" w:color="auto"/>
        <w:left w:val="none" w:sz="0" w:space="0" w:color="auto"/>
        <w:bottom w:val="none" w:sz="0" w:space="0" w:color="auto"/>
        <w:right w:val="none" w:sz="0" w:space="0" w:color="auto"/>
      </w:divBdr>
    </w:div>
    <w:div w:id="685835158">
      <w:bodyDiv w:val="1"/>
      <w:marLeft w:val="0"/>
      <w:marRight w:val="0"/>
      <w:marTop w:val="0"/>
      <w:marBottom w:val="0"/>
      <w:divBdr>
        <w:top w:val="none" w:sz="0" w:space="0" w:color="auto"/>
        <w:left w:val="none" w:sz="0" w:space="0" w:color="auto"/>
        <w:bottom w:val="none" w:sz="0" w:space="0" w:color="auto"/>
        <w:right w:val="none" w:sz="0" w:space="0" w:color="auto"/>
      </w:divBdr>
    </w:div>
    <w:div w:id="685912668">
      <w:bodyDiv w:val="1"/>
      <w:marLeft w:val="0"/>
      <w:marRight w:val="0"/>
      <w:marTop w:val="0"/>
      <w:marBottom w:val="0"/>
      <w:divBdr>
        <w:top w:val="none" w:sz="0" w:space="0" w:color="auto"/>
        <w:left w:val="none" w:sz="0" w:space="0" w:color="auto"/>
        <w:bottom w:val="none" w:sz="0" w:space="0" w:color="auto"/>
        <w:right w:val="none" w:sz="0" w:space="0" w:color="auto"/>
      </w:divBdr>
    </w:div>
    <w:div w:id="686103348">
      <w:bodyDiv w:val="1"/>
      <w:marLeft w:val="0"/>
      <w:marRight w:val="0"/>
      <w:marTop w:val="0"/>
      <w:marBottom w:val="0"/>
      <w:divBdr>
        <w:top w:val="none" w:sz="0" w:space="0" w:color="auto"/>
        <w:left w:val="none" w:sz="0" w:space="0" w:color="auto"/>
        <w:bottom w:val="none" w:sz="0" w:space="0" w:color="auto"/>
        <w:right w:val="none" w:sz="0" w:space="0" w:color="auto"/>
      </w:divBdr>
    </w:div>
    <w:div w:id="686181458">
      <w:bodyDiv w:val="1"/>
      <w:marLeft w:val="0"/>
      <w:marRight w:val="0"/>
      <w:marTop w:val="0"/>
      <w:marBottom w:val="0"/>
      <w:divBdr>
        <w:top w:val="none" w:sz="0" w:space="0" w:color="auto"/>
        <w:left w:val="none" w:sz="0" w:space="0" w:color="auto"/>
        <w:bottom w:val="none" w:sz="0" w:space="0" w:color="auto"/>
        <w:right w:val="none" w:sz="0" w:space="0" w:color="auto"/>
      </w:divBdr>
    </w:div>
    <w:div w:id="686294069">
      <w:bodyDiv w:val="1"/>
      <w:marLeft w:val="0"/>
      <w:marRight w:val="0"/>
      <w:marTop w:val="0"/>
      <w:marBottom w:val="0"/>
      <w:divBdr>
        <w:top w:val="none" w:sz="0" w:space="0" w:color="auto"/>
        <w:left w:val="none" w:sz="0" w:space="0" w:color="auto"/>
        <w:bottom w:val="none" w:sz="0" w:space="0" w:color="auto"/>
        <w:right w:val="none" w:sz="0" w:space="0" w:color="auto"/>
      </w:divBdr>
    </w:div>
    <w:div w:id="686298590">
      <w:bodyDiv w:val="1"/>
      <w:marLeft w:val="0"/>
      <w:marRight w:val="0"/>
      <w:marTop w:val="0"/>
      <w:marBottom w:val="0"/>
      <w:divBdr>
        <w:top w:val="none" w:sz="0" w:space="0" w:color="auto"/>
        <w:left w:val="none" w:sz="0" w:space="0" w:color="auto"/>
        <w:bottom w:val="none" w:sz="0" w:space="0" w:color="auto"/>
        <w:right w:val="none" w:sz="0" w:space="0" w:color="auto"/>
      </w:divBdr>
    </w:div>
    <w:div w:id="686369287">
      <w:bodyDiv w:val="1"/>
      <w:marLeft w:val="0"/>
      <w:marRight w:val="0"/>
      <w:marTop w:val="0"/>
      <w:marBottom w:val="0"/>
      <w:divBdr>
        <w:top w:val="none" w:sz="0" w:space="0" w:color="auto"/>
        <w:left w:val="none" w:sz="0" w:space="0" w:color="auto"/>
        <w:bottom w:val="none" w:sz="0" w:space="0" w:color="auto"/>
        <w:right w:val="none" w:sz="0" w:space="0" w:color="auto"/>
      </w:divBdr>
    </w:div>
    <w:div w:id="686374567">
      <w:bodyDiv w:val="1"/>
      <w:marLeft w:val="0"/>
      <w:marRight w:val="0"/>
      <w:marTop w:val="0"/>
      <w:marBottom w:val="0"/>
      <w:divBdr>
        <w:top w:val="none" w:sz="0" w:space="0" w:color="auto"/>
        <w:left w:val="none" w:sz="0" w:space="0" w:color="auto"/>
        <w:bottom w:val="none" w:sz="0" w:space="0" w:color="auto"/>
        <w:right w:val="none" w:sz="0" w:space="0" w:color="auto"/>
      </w:divBdr>
    </w:div>
    <w:div w:id="686446449">
      <w:bodyDiv w:val="1"/>
      <w:marLeft w:val="0"/>
      <w:marRight w:val="0"/>
      <w:marTop w:val="0"/>
      <w:marBottom w:val="0"/>
      <w:divBdr>
        <w:top w:val="none" w:sz="0" w:space="0" w:color="auto"/>
        <w:left w:val="none" w:sz="0" w:space="0" w:color="auto"/>
        <w:bottom w:val="none" w:sz="0" w:space="0" w:color="auto"/>
        <w:right w:val="none" w:sz="0" w:space="0" w:color="auto"/>
      </w:divBdr>
    </w:div>
    <w:div w:id="686642742">
      <w:bodyDiv w:val="1"/>
      <w:marLeft w:val="0"/>
      <w:marRight w:val="0"/>
      <w:marTop w:val="0"/>
      <w:marBottom w:val="0"/>
      <w:divBdr>
        <w:top w:val="none" w:sz="0" w:space="0" w:color="auto"/>
        <w:left w:val="none" w:sz="0" w:space="0" w:color="auto"/>
        <w:bottom w:val="none" w:sz="0" w:space="0" w:color="auto"/>
        <w:right w:val="none" w:sz="0" w:space="0" w:color="auto"/>
      </w:divBdr>
    </w:div>
    <w:div w:id="686642864">
      <w:bodyDiv w:val="1"/>
      <w:marLeft w:val="0"/>
      <w:marRight w:val="0"/>
      <w:marTop w:val="0"/>
      <w:marBottom w:val="0"/>
      <w:divBdr>
        <w:top w:val="none" w:sz="0" w:space="0" w:color="auto"/>
        <w:left w:val="none" w:sz="0" w:space="0" w:color="auto"/>
        <w:bottom w:val="none" w:sz="0" w:space="0" w:color="auto"/>
        <w:right w:val="none" w:sz="0" w:space="0" w:color="auto"/>
      </w:divBdr>
    </w:div>
    <w:div w:id="686716914">
      <w:bodyDiv w:val="1"/>
      <w:marLeft w:val="0"/>
      <w:marRight w:val="0"/>
      <w:marTop w:val="0"/>
      <w:marBottom w:val="0"/>
      <w:divBdr>
        <w:top w:val="none" w:sz="0" w:space="0" w:color="auto"/>
        <w:left w:val="none" w:sz="0" w:space="0" w:color="auto"/>
        <w:bottom w:val="none" w:sz="0" w:space="0" w:color="auto"/>
        <w:right w:val="none" w:sz="0" w:space="0" w:color="auto"/>
      </w:divBdr>
    </w:div>
    <w:div w:id="686830430">
      <w:bodyDiv w:val="1"/>
      <w:marLeft w:val="0"/>
      <w:marRight w:val="0"/>
      <w:marTop w:val="0"/>
      <w:marBottom w:val="0"/>
      <w:divBdr>
        <w:top w:val="none" w:sz="0" w:space="0" w:color="auto"/>
        <w:left w:val="none" w:sz="0" w:space="0" w:color="auto"/>
        <w:bottom w:val="none" w:sz="0" w:space="0" w:color="auto"/>
        <w:right w:val="none" w:sz="0" w:space="0" w:color="auto"/>
      </w:divBdr>
    </w:div>
    <w:div w:id="686903697">
      <w:bodyDiv w:val="1"/>
      <w:marLeft w:val="0"/>
      <w:marRight w:val="0"/>
      <w:marTop w:val="0"/>
      <w:marBottom w:val="0"/>
      <w:divBdr>
        <w:top w:val="none" w:sz="0" w:space="0" w:color="auto"/>
        <w:left w:val="none" w:sz="0" w:space="0" w:color="auto"/>
        <w:bottom w:val="none" w:sz="0" w:space="0" w:color="auto"/>
        <w:right w:val="none" w:sz="0" w:space="0" w:color="auto"/>
      </w:divBdr>
    </w:div>
    <w:div w:id="686952820">
      <w:bodyDiv w:val="1"/>
      <w:marLeft w:val="0"/>
      <w:marRight w:val="0"/>
      <w:marTop w:val="0"/>
      <w:marBottom w:val="0"/>
      <w:divBdr>
        <w:top w:val="none" w:sz="0" w:space="0" w:color="auto"/>
        <w:left w:val="none" w:sz="0" w:space="0" w:color="auto"/>
        <w:bottom w:val="none" w:sz="0" w:space="0" w:color="auto"/>
        <w:right w:val="none" w:sz="0" w:space="0" w:color="auto"/>
      </w:divBdr>
    </w:div>
    <w:div w:id="687023218">
      <w:bodyDiv w:val="1"/>
      <w:marLeft w:val="0"/>
      <w:marRight w:val="0"/>
      <w:marTop w:val="0"/>
      <w:marBottom w:val="0"/>
      <w:divBdr>
        <w:top w:val="none" w:sz="0" w:space="0" w:color="auto"/>
        <w:left w:val="none" w:sz="0" w:space="0" w:color="auto"/>
        <w:bottom w:val="none" w:sz="0" w:space="0" w:color="auto"/>
        <w:right w:val="none" w:sz="0" w:space="0" w:color="auto"/>
      </w:divBdr>
    </w:div>
    <w:div w:id="687096033">
      <w:bodyDiv w:val="1"/>
      <w:marLeft w:val="0"/>
      <w:marRight w:val="0"/>
      <w:marTop w:val="0"/>
      <w:marBottom w:val="0"/>
      <w:divBdr>
        <w:top w:val="none" w:sz="0" w:space="0" w:color="auto"/>
        <w:left w:val="none" w:sz="0" w:space="0" w:color="auto"/>
        <w:bottom w:val="none" w:sz="0" w:space="0" w:color="auto"/>
        <w:right w:val="none" w:sz="0" w:space="0" w:color="auto"/>
      </w:divBdr>
    </w:div>
    <w:div w:id="687103242">
      <w:bodyDiv w:val="1"/>
      <w:marLeft w:val="0"/>
      <w:marRight w:val="0"/>
      <w:marTop w:val="0"/>
      <w:marBottom w:val="0"/>
      <w:divBdr>
        <w:top w:val="none" w:sz="0" w:space="0" w:color="auto"/>
        <w:left w:val="none" w:sz="0" w:space="0" w:color="auto"/>
        <w:bottom w:val="none" w:sz="0" w:space="0" w:color="auto"/>
        <w:right w:val="none" w:sz="0" w:space="0" w:color="auto"/>
      </w:divBdr>
    </w:div>
    <w:div w:id="687104818">
      <w:bodyDiv w:val="1"/>
      <w:marLeft w:val="0"/>
      <w:marRight w:val="0"/>
      <w:marTop w:val="0"/>
      <w:marBottom w:val="0"/>
      <w:divBdr>
        <w:top w:val="none" w:sz="0" w:space="0" w:color="auto"/>
        <w:left w:val="none" w:sz="0" w:space="0" w:color="auto"/>
        <w:bottom w:val="none" w:sz="0" w:space="0" w:color="auto"/>
        <w:right w:val="none" w:sz="0" w:space="0" w:color="auto"/>
      </w:divBdr>
    </w:div>
    <w:div w:id="687145306">
      <w:bodyDiv w:val="1"/>
      <w:marLeft w:val="0"/>
      <w:marRight w:val="0"/>
      <w:marTop w:val="0"/>
      <w:marBottom w:val="0"/>
      <w:divBdr>
        <w:top w:val="none" w:sz="0" w:space="0" w:color="auto"/>
        <w:left w:val="none" w:sz="0" w:space="0" w:color="auto"/>
        <w:bottom w:val="none" w:sz="0" w:space="0" w:color="auto"/>
        <w:right w:val="none" w:sz="0" w:space="0" w:color="auto"/>
      </w:divBdr>
    </w:div>
    <w:div w:id="687176268">
      <w:bodyDiv w:val="1"/>
      <w:marLeft w:val="0"/>
      <w:marRight w:val="0"/>
      <w:marTop w:val="0"/>
      <w:marBottom w:val="0"/>
      <w:divBdr>
        <w:top w:val="none" w:sz="0" w:space="0" w:color="auto"/>
        <w:left w:val="none" w:sz="0" w:space="0" w:color="auto"/>
        <w:bottom w:val="none" w:sz="0" w:space="0" w:color="auto"/>
        <w:right w:val="none" w:sz="0" w:space="0" w:color="auto"/>
      </w:divBdr>
    </w:div>
    <w:div w:id="687223185">
      <w:bodyDiv w:val="1"/>
      <w:marLeft w:val="0"/>
      <w:marRight w:val="0"/>
      <w:marTop w:val="0"/>
      <w:marBottom w:val="0"/>
      <w:divBdr>
        <w:top w:val="none" w:sz="0" w:space="0" w:color="auto"/>
        <w:left w:val="none" w:sz="0" w:space="0" w:color="auto"/>
        <w:bottom w:val="none" w:sz="0" w:space="0" w:color="auto"/>
        <w:right w:val="none" w:sz="0" w:space="0" w:color="auto"/>
      </w:divBdr>
    </w:div>
    <w:div w:id="687294346">
      <w:bodyDiv w:val="1"/>
      <w:marLeft w:val="0"/>
      <w:marRight w:val="0"/>
      <w:marTop w:val="0"/>
      <w:marBottom w:val="0"/>
      <w:divBdr>
        <w:top w:val="none" w:sz="0" w:space="0" w:color="auto"/>
        <w:left w:val="none" w:sz="0" w:space="0" w:color="auto"/>
        <w:bottom w:val="none" w:sz="0" w:space="0" w:color="auto"/>
        <w:right w:val="none" w:sz="0" w:space="0" w:color="auto"/>
      </w:divBdr>
    </w:div>
    <w:div w:id="687367584">
      <w:bodyDiv w:val="1"/>
      <w:marLeft w:val="0"/>
      <w:marRight w:val="0"/>
      <w:marTop w:val="0"/>
      <w:marBottom w:val="0"/>
      <w:divBdr>
        <w:top w:val="none" w:sz="0" w:space="0" w:color="auto"/>
        <w:left w:val="none" w:sz="0" w:space="0" w:color="auto"/>
        <w:bottom w:val="none" w:sz="0" w:space="0" w:color="auto"/>
        <w:right w:val="none" w:sz="0" w:space="0" w:color="auto"/>
      </w:divBdr>
    </w:div>
    <w:div w:id="687485734">
      <w:bodyDiv w:val="1"/>
      <w:marLeft w:val="0"/>
      <w:marRight w:val="0"/>
      <w:marTop w:val="0"/>
      <w:marBottom w:val="0"/>
      <w:divBdr>
        <w:top w:val="none" w:sz="0" w:space="0" w:color="auto"/>
        <w:left w:val="none" w:sz="0" w:space="0" w:color="auto"/>
        <w:bottom w:val="none" w:sz="0" w:space="0" w:color="auto"/>
        <w:right w:val="none" w:sz="0" w:space="0" w:color="auto"/>
      </w:divBdr>
    </w:div>
    <w:div w:id="687485960">
      <w:bodyDiv w:val="1"/>
      <w:marLeft w:val="0"/>
      <w:marRight w:val="0"/>
      <w:marTop w:val="0"/>
      <w:marBottom w:val="0"/>
      <w:divBdr>
        <w:top w:val="none" w:sz="0" w:space="0" w:color="auto"/>
        <w:left w:val="none" w:sz="0" w:space="0" w:color="auto"/>
        <w:bottom w:val="none" w:sz="0" w:space="0" w:color="auto"/>
        <w:right w:val="none" w:sz="0" w:space="0" w:color="auto"/>
      </w:divBdr>
    </w:div>
    <w:div w:id="687486128">
      <w:bodyDiv w:val="1"/>
      <w:marLeft w:val="0"/>
      <w:marRight w:val="0"/>
      <w:marTop w:val="0"/>
      <w:marBottom w:val="0"/>
      <w:divBdr>
        <w:top w:val="none" w:sz="0" w:space="0" w:color="auto"/>
        <w:left w:val="none" w:sz="0" w:space="0" w:color="auto"/>
        <w:bottom w:val="none" w:sz="0" w:space="0" w:color="auto"/>
        <w:right w:val="none" w:sz="0" w:space="0" w:color="auto"/>
      </w:divBdr>
    </w:div>
    <w:div w:id="687559299">
      <w:bodyDiv w:val="1"/>
      <w:marLeft w:val="0"/>
      <w:marRight w:val="0"/>
      <w:marTop w:val="0"/>
      <w:marBottom w:val="0"/>
      <w:divBdr>
        <w:top w:val="none" w:sz="0" w:space="0" w:color="auto"/>
        <w:left w:val="none" w:sz="0" w:space="0" w:color="auto"/>
        <w:bottom w:val="none" w:sz="0" w:space="0" w:color="auto"/>
        <w:right w:val="none" w:sz="0" w:space="0" w:color="auto"/>
      </w:divBdr>
    </w:div>
    <w:div w:id="687560494">
      <w:bodyDiv w:val="1"/>
      <w:marLeft w:val="0"/>
      <w:marRight w:val="0"/>
      <w:marTop w:val="0"/>
      <w:marBottom w:val="0"/>
      <w:divBdr>
        <w:top w:val="none" w:sz="0" w:space="0" w:color="auto"/>
        <w:left w:val="none" w:sz="0" w:space="0" w:color="auto"/>
        <w:bottom w:val="none" w:sz="0" w:space="0" w:color="auto"/>
        <w:right w:val="none" w:sz="0" w:space="0" w:color="auto"/>
      </w:divBdr>
    </w:div>
    <w:div w:id="687636249">
      <w:bodyDiv w:val="1"/>
      <w:marLeft w:val="0"/>
      <w:marRight w:val="0"/>
      <w:marTop w:val="0"/>
      <w:marBottom w:val="0"/>
      <w:divBdr>
        <w:top w:val="none" w:sz="0" w:space="0" w:color="auto"/>
        <w:left w:val="none" w:sz="0" w:space="0" w:color="auto"/>
        <w:bottom w:val="none" w:sz="0" w:space="0" w:color="auto"/>
        <w:right w:val="none" w:sz="0" w:space="0" w:color="auto"/>
      </w:divBdr>
    </w:div>
    <w:div w:id="687755649">
      <w:bodyDiv w:val="1"/>
      <w:marLeft w:val="0"/>
      <w:marRight w:val="0"/>
      <w:marTop w:val="0"/>
      <w:marBottom w:val="0"/>
      <w:divBdr>
        <w:top w:val="none" w:sz="0" w:space="0" w:color="auto"/>
        <w:left w:val="none" w:sz="0" w:space="0" w:color="auto"/>
        <w:bottom w:val="none" w:sz="0" w:space="0" w:color="auto"/>
        <w:right w:val="none" w:sz="0" w:space="0" w:color="auto"/>
      </w:divBdr>
    </w:div>
    <w:div w:id="687801256">
      <w:bodyDiv w:val="1"/>
      <w:marLeft w:val="0"/>
      <w:marRight w:val="0"/>
      <w:marTop w:val="0"/>
      <w:marBottom w:val="0"/>
      <w:divBdr>
        <w:top w:val="none" w:sz="0" w:space="0" w:color="auto"/>
        <w:left w:val="none" w:sz="0" w:space="0" w:color="auto"/>
        <w:bottom w:val="none" w:sz="0" w:space="0" w:color="auto"/>
        <w:right w:val="none" w:sz="0" w:space="0" w:color="auto"/>
      </w:divBdr>
    </w:div>
    <w:div w:id="687802567">
      <w:bodyDiv w:val="1"/>
      <w:marLeft w:val="0"/>
      <w:marRight w:val="0"/>
      <w:marTop w:val="0"/>
      <w:marBottom w:val="0"/>
      <w:divBdr>
        <w:top w:val="none" w:sz="0" w:space="0" w:color="auto"/>
        <w:left w:val="none" w:sz="0" w:space="0" w:color="auto"/>
        <w:bottom w:val="none" w:sz="0" w:space="0" w:color="auto"/>
        <w:right w:val="none" w:sz="0" w:space="0" w:color="auto"/>
      </w:divBdr>
    </w:div>
    <w:div w:id="687802701">
      <w:bodyDiv w:val="1"/>
      <w:marLeft w:val="0"/>
      <w:marRight w:val="0"/>
      <w:marTop w:val="0"/>
      <w:marBottom w:val="0"/>
      <w:divBdr>
        <w:top w:val="none" w:sz="0" w:space="0" w:color="auto"/>
        <w:left w:val="none" w:sz="0" w:space="0" w:color="auto"/>
        <w:bottom w:val="none" w:sz="0" w:space="0" w:color="auto"/>
        <w:right w:val="none" w:sz="0" w:space="0" w:color="auto"/>
      </w:divBdr>
    </w:div>
    <w:div w:id="687872876">
      <w:bodyDiv w:val="1"/>
      <w:marLeft w:val="0"/>
      <w:marRight w:val="0"/>
      <w:marTop w:val="0"/>
      <w:marBottom w:val="0"/>
      <w:divBdr>
        <w:top w:val="none" w:sz="0" w:space="0" w:color="auto"/>
        <w:left w:val="none" w:sz="0" w:space="0" w:color="auto"/>
        <w:bottom w:val="none" w:sz="0" w:space="0" w:color="auto"/>
        <w:right w:val="none" w:sz="0" w:space="0" w:color="auto"/>
      </w:divBdr>
    </w:div>
    <w:div w:id="687945199">
      <w:bodyDiv w:val="1"/>
      <w:marLeft w:val="0"/>
      <w:marRight w:val="0"/>
      <w:marTop w:val="0"/>
      <w:marBottom w:val="0"/>
      <w:divBdr>
        <w:top w:val="none" w:sz="0" w:space="0" w:color="auto"/>
        <w:left w:val="none" w:sz="0" w:space="0" w:color="auto"/>
        <w:bottom w:val="none" w:sz="0" w:space="0" w:color="auto"/>
        <w:right w:val="none" w:sz="0" w:space="0" w:color="auto"/>
      </w:divBdr>
    </w:div>
    <w:div w:id="687949345">
      <w:bodyDiv w:val="1"/>
      <w:marLeft w:val="0"/>
      <w:marRight w:val="0"/>
      <w:marTop w:val="0"/>
      <w:marBottom w:val="0"/>
      <w:divBdr>
        <w:top w:val="none" w:sz="0" w:space="0" w:color="auto"/>
        <w:left w:val="none" w:sz="0" w:space="0" w:color="auto"/>
        <w:bottom w:val="none" w:sz="0" w:space="0" w:color="auto"/>
        <w:right w:val="none" w:sz="0" w:space="0" w:color="auto"/>
      </w:divBdr>
    </w:div>
    <w:div w:id="687954104">
      <w:bodyDiv w:val="1"/>
      <w:marLeft w:val="0"/>
      <w:marRight w:val="0"/>
      <w:marTop w:val="0"/>
      <w:marBottom w:val="0"/>
      <w:divBdr>
        <w:top w:val="none" w:sz="0" w:space="0" w:color="auto"/>
        <w:left w:val="none" w:sz="0" w:space="0" w:color="auto"/>
        <w:bottom w:val="none" w:sz="0" w:space="0" w:color="auto"/>
        <w:right w:val="none" w:sz="0" w:space="0" w:color="auto"/>
      </w:divBdr>
    </w:div>
    <w:div w:id="688259591">
      <w:bodyDiv w:val="1"/>
      <w:marLeft w:val="0"/>
      <w:marRight w:val="0"/>
      <w:marTop w:val="0"/>
      <w:marBottom w:val="0"/>
      <w:divBdr>
        <w:top w:val="none" w:sz="0" w:space="0" w:color="auto"/>
        <w:left w:val="none" w:sz="0" w:space="0" w:color="auto"/>
        <w:bottom w:val="none" w:sz="0" w:space="0" w:color="auto"/>
        <w:right w:val="none" w:sz="0" w:space="0" w:color="auto"/>
      </w:divBdr>
    </w:div>
    <w:div w:id="688528278">
      <w:bodyDiv w:val="1"/>
      <w:marLeft w:val="0"/>
      <w:marRight w:val="0"/>
      <w:marTop w:val="0"/>
      <w:marBottom w:val="0"/>
      <w:divBdr>
        <w:top w:val="none" w:sz="0" w:space="0" w:color="auto"/>
        <w:left w:val="none" w:sz="0" w:space="0" w:color="auto"/>
        <w:bottom w:val="none" w:sz="0" w:space="0" w:color="auto"/>
        <w:right w:val="none" w:sz="0" w:space="0" w:color="auto"/>
      </w:divBdr>
    </w:div>
    <w:div w:id="688530776">
      <w:bodyDiv w:val="1"/>
      <w:marLeft w:val="0"/>
      <w:marRight w:val="0"/>
      <w:marTop w:val="0"/>
      <w:marBottom w:val="0"/>
      <w:divBdr>
        <w:top w:val="none" w:sz="0" w:space="0" w:color="auto"/>
        <w:left w:val="none" w:sz="0" w:space="0" w:color="auto"/>
        <w:bottom w:val="none" w:sz="0" w:space="0" w:color="auto"/>
        <w:right w:val="none" w:sz="0" w:space="0" w:color="auto"/>
      </w:divBdr>
    </w:div>
    <w:div w:id="688682745">
      <w:bodyDiv w:val="1"/>
      <w:marLeft w:val="0"/>
      <w:marRight w:val="0"/>
      <w:marTop w:val="0"/>
      <w:marBottom w:val="0"/>
      <w:divBdr>
        <w:top w:val="none" w:sz="0" w:space="0" w:color="auto"/>
        <w:left w:val="none" w:sz="0" w:space="0" w:color="auto"/>
        <w:bottom w:val="none" w:sz="0" w:space="0" w:color="auto"/>
        <w:right w:val="none" w:sz="0" w:space="0" w:color="auto"/>
      </w:divBdr>
    </w:div>
    <w:div w:id="688724470">
      <w:bodyDiv w:val="1"/>
      <w:marLeft w:val="0"/>
      <w:marRight w:val="0"/>
      <w:marTop w:val="0"/>
      <w:marBottom w:val="0"/>
      <w:divBdr>
        <w:top w:val="none" w:sz="0" w:space="0" w:color="auto"/>
        <w:left w:val="none" w:sz="0" w:space="0" w:color="auto"/>
        <w:bottom w:val="none" w:sz="0" w:space="0" w:color="auto"/>
        <w:right w:val="none" w:sz="0" w:space="0" w:color="auto"/>
      </w:divBdr>
    </w:div>
    <w:div w:id="688726714">
      <w:bodyDiv w:val="1"/>
      <w:marLeft w:val="0"/>
      <w:marRight w:val="0"/>
      <w:marTop w:val="0"/>
      <w:marBottom w:val="0"/>
      <w:divBdr>
        <w:top w:val="none" w:sz="0" w:space="0" w:color="auto"/>
        <w:left w:val="none" w:sz="0" w:space="0" w:color="auto"/>
        <w:bottom w:val="none" w:sz="0" w:space="0" w:color="auto"/>
        <w:right w:val="none" w:sz="0" w:space="0" w:color="auto"/>
      </w:divBdr>
    </w:div>
    <w:div w:id="688795871">
      <w:bodyDiv w:val="1"/>
      <w:marLeft w:val="0"/>
      <w:marRight w:val="0"/>
      <w:marTop w:val="0"/>
      <w:marBottom w:val="0"/>
      <w:divBdr>
        <w:top w:val="none" w:sz="0" w:space="0" w:color="auto"/>
        <w:left w:val="none" w:sz="0" w:space="0" w:color="auto"/>
        <w:bottom w:val="none" w:sz="0" w:space="0" w:color="auto"/>
        <w:right w:val="none" w:sz="0" w:space="0" w:color="auto"/>
      </w:divBdr>
    </w:div>
    <w:div w:id="688871564">
      <w:bodyDiv w:val="1"/>
      <w:marLeft w:val="0"/>
      <w:marRight w:val="0"/>
      <w:marTop w:val="0"/>
      <w:marBottom w:val="0"/>
      <w:divBdr>
        <w:top w:val="none" w:sz="0" w:space="0" w:color="auto"/>
        <w:left w:val="none" w:sz="0" w:space="0" w:color="auto"/>
        <w:bottom w:val="none" w:sz="0" w:space="0" w:color="auto"/>
        <w:right w:val="none" w:sz="0" w:space="0" w:color="auto"/>
      </w:divBdr>
    </w:div>
    <w:div w:id="688916441">
      <w:bodyDiv w:val="1"/>
      <w:marLeft w:val="0"/>
      <w:marRight w:val="0"/>
      <w:marTop w:val="0"/>
      <w:marBottom w:val="0"/>
      <w:divBdr>
        <w:top w:val="none" w:sz="0" w:space="0" w:color="auto"/>
        <w:left w:val="none" w:sz="0" w:space="0" w:color="auto"/>
        <w:bottom w:val="none" w:sz="0" w:space="0" w:color="auto"/>
        <w:right w:val="none" w:sz="0" w:space="0" w:color="auto"/>
      </w:divBdr>
    </w:div>
    <w:div w:id="688919958">
      <w:bodyDiv w:val="1"/>
      <w:marLeft w:val="0"/>
      <w:marRight w:val="0"/>
      <w:marTop w:val="0"/>
      <w:marBottom w:val="0"/>
      <w:divBdr>
        <w:top w:val="none" w:sz="0" w:space="0" w:color="auto"/>
        <w:left w:val="none" w:sz="0" w:space="0" w:color="auto"/>
        <w:bottom w:val="none" w:sz="0" w:space="0" w:color="auto"/>
        <w:right w:val="none" w:sz="0" w:space="0" w:color="auto"/>
      </w:divBdr>
    </w:div>
    <w:div w:id="688943704">
      <w:bodyDiv w:val="1"/>
      <w:marLeft w:val="0"/>
      <w:marRight w:val="0"/>
      <w:marTop w:val="0"/>
      <w:marBottom w:val="0"/>
      <w:divBdr>
        <w:top w:val="none" w:sz="0" w:space="0" w:color="auto"/>
        <w:left w:val="none" w:sz="0" w:space="0" w:color="auto"/>
        <w:bottom w:val="none" w:sz="0" w:space="0" w:color="auto"/>
        <w:right w:val="none" w:sz="0" w:space="0" w:color="auto"/>
      </w:divBdr>
    </w:div>
    <w:div w:id="688945471">
      <w:bodyDiv w:val="1"/>
      <w:marLeft w:val="0"/>
      <w:marRight w:val="0"/>
      <w:marTop w:val="0"/>
      <w:marBottom w:val="0"/>
      <w:divBdr>
        <w:top w:val="none" w:sz="0" w:space="0" w:color="auto"/>
        <w:left w:val="none" w:sz="0" w:space="0" w:color="auto"/>
        <w:bottom w:val="none" w:sz="0" w:space="0" w:color="auto"/>
        <w:right w:val="none" w:sz="0" w:space="0" w:color="auto"/>
      </w:divBdr>
    </w:div>
    <w:div w:id="688993761">
      <w:bodyDiv w:val="1"/>
      <w:marLeft w:val="0"/>
      <w:marRight w:val="0"/>
      <w:marTop w:val="0"/>
      <w:marBottom w:val="0"/>
      <w:divBdr>
        <w:top w:val="none" w:sz="0" w:space="0" w:color="auto"/>
        <w:left w:val="none" w:sz="0" w:space="0" w:color="auto"/>
        <w:bottom w:val="none" w:sz="0" w:space="0" w:color="auto"/>
        <w:right w:val="none" w:sz="0" w:space="0" w:color="auto"/>
      </w:divBdr>
    </w:div>
    <w:div w:id="689143444">
      <w:bodyDiv w:val="1"/>
      <w:marLeft w:val="0"/>
      <w:marRight w:val="0"/>
      <w:marTop w:val="0"/>
      <w:marBottom w:val="0"/>
      <w:divBdr>
        <w:top w:val="none" w:sz="0" w:space="0" w:color="auto"/>
        <w:left w:val="none" w:sz="0" w:space="0" w:color="auto"/>
        <w:bottom w:val="none" w:sz="0" w:space="0" w:color="auto"/>
        <w:right w:val="none" w:sz="0" w:space="0" w:color="auto"/>
      </w:divBdr>
    </w:div>
    <w:div w:id="689337802">
      <w:bodyDiv w:val="1"/>
      <w:marLeft w:val="0"/>
      <w:marRight w:val="0"/>
      <w:marTop w:val="0"/>
      <w:marBottom w:val="0"/>
      <w:divBdr>
        <w:top w:val="none" w:sz="0" w:space="0" w:color="auto"/>
        <w:left w:val="none" w:sz="0" w:space="0" w:color="auto"/>
        <w:bottom w:val="none" w:sz="0" w:space="0" w:color="auto"/>
        <w:right w:val="none" w:sz="0" w:space="0" w:color="auto"/>
      </w:divBdr>
    </w:div>
    <w:div w:id="689338240">
      <w:bodyDiv w:val="1"/>
      <w:marLeft w:val="0"/>
      <w:marRight w:val="0"/>
      <w:marTop w:val="0"/>
      <w:marBottom w:val="0"/>
      <w:divBdr>
        <w:top w:val="none" w:sz="0" w:space="0" w:color="auto"/>
        <w:left w:val="none" w:sz="0" w:space="0" w:color="auto"/>
        <w:bottom w:val="none" w:sz="0" w:space="0" w:color="auto"/>
        <w:right w:val="none" w:sz="0" w:space="0" w:color="auto"/>
      </w:divBdr>
    </w:div>
    <w:div w:id="689570116">
      <w:bodyDiv w:val="1"/>
      <w:marLeft w:val="0"/>
      <w:marRight w:val="0"/>
      <w:marTop w:val="0"/>
      <w:marBottom w:val="0"/>
      <w:divBdr>
        <w:top w:val="none" w:sz="0" w:space="0" w:color="auto"/>
        <w:left w:val="none" w:sz="0" w:space="0" w:color="auto"/>
        <w:bottom w:val="none" w:sz="0" w:space="0" w:color="auto"/>
        <w:right w:val="none" w:sz="0" w:space="0" w:color="auto"/>
      </w:divBdr>
    </w:div>
    <w:div w:id="689721660">
      <w:bodyDiv w:val="1"/>
      <w:marLeft w:val="0"/>
      <w:marRight w:val="0"/>
      <w:marTop w:val="0"/>
      <w:marBottom w:val="0"/>
      <w:divBdr>
        <w:top w:val="none" w:sz="0" w:space="0" w:color="auto"/>
        <w:left w:val="none" w:sz="0" w:space="0" w:color="auto"/>
        <w:bottom w:val="none" w:sz="0" w:space="0" w:color="auto"/>
        <w:right w:val="none" w:sz="0" w:space="0" w:color="auto"/>
      </w:divBdr>
    </w:div>
    <w:div w:id="689794464">
      <w:bodyDiv w:val="1"/>
      <w:marLeft w:val="0"/>
      <w:marRight w:val="0"/>
      <w:marTop w:val="0"/>
      <w:marBottom w:val="0"/>
      <w:divBdr>
        <w:top w:val="none" w:sz="0" w:space="0" w:color="auto"/>
        <w:left w:val="none" w:sz="0" w:space="0" w:color="auto"/>
        <w:bottom w:val="none" w:sz="0" w:space="0" w:color="auto"/>
        <w:right w:val="none" w:sz="0" w:space="0" w:color="auto"/>
      </w:divBdr>
    </w:div>
    <w:div w:id="689795523">
      <w:bodyDiv w:val="1"/>
      <w:marLeft w:val="0"/>
      <w:marRight w:val="0"/>
      <w:marTop w:val="0"/>
      <w:marBottom w:val="0"/>
      <w:divBdr>
        <w:top w:val="none" w:sz="0" w:space="0" w:color="auto"/>
        <w:left w:val="none" w:sz="0" w:space="0" w:color="auto"/>
        <w:bottom w:val="none" w:sz="0" w:space="0" w:color="auto"/>
        <w:right w:val="none" w:sz="0" w:space="0" w:color="auto"/>
      </w:divBdr>
    </w:div>
    <w:div w:id="689838320">
      <w:bodyDiv w:val="1"/>
      <w:marLeft w:val="0"/>
      <w:marRight w:val="0"/>
      <w:marTop w:val="0"/>
      <w:marBottom w:val="0"/>
      <w:divBdr>
        <w:top w:val="none" w:sz="0" w:space="0" w:color="auto"/>
        <w:left w:val="none" w:sz="0" w:space="0" w:color="auto"/>
        <w:bottom w:val="none" w:sz="0" w:space="0" w:color="auto"/>
        <w:right w:val="none" w:sz="0" w:space="0" w:color="auto"/>
      </w:divBdr>
    </w:div>
    <w:div w:id="689838611">
      <w:bodyDiv w:val="1"/>
      <w:marLeft w:val="0"/>
      <w:marRight w:val="0"/>
      <w:marTop w:val="0"/>
      <w:marBottom w:val="0"/>
      <w:divBdr>
        <w:top w:val="none" w:sz="0" w:space="0" w:color="auto"/>
        <w:left w:val="none" w:sz="0" w:space="0" w:color="auto"/>
        <w:bottom w:val="none" w:sz="0" w:space="0" w:color="auto"/>
        <w:right w:val="none" w:sz="0" w:space="0" w:color="auto"/>
      </w:divBdr>
    </w:div>
    <w:div w:id="689912082">
      <w:bodyDiv w:val="1"/>
      <w:marLeft w:val="0"/>
      <w:marRight w:val="0"/>
      <w:marTop w:val="0"/>
      <w:marBottom w:val="0"/>
      <w:divBdr>
        <w:top w:val="none" w:sz="0" w:space="0" w:color="auto"/>
        <w:left w:val="none" w:sz="0" w:space="0" w:color="auto"/>
        <w:bottom w:val="none" w:sz="0" w:space="0" w:color="auto"/>
        <w:right w:val="none" w:sz="0" w:space="0" w:color="auto"/>
      </w:divBdr>
    </w:div>
    <w:div w:id="689916705">
      <w:bodyDiv w:val="1"/>
      <w:marLeft w:val="0"/>
      <w:marRight w:val="0"/>
      <w:marTop w:val="0"/>
      <w:marBottom w:val="0"/>
      <w:divBdr>
        <w:top w:val="none" w:sz="0" w:space="0" w:color="auto"/>
        <w:left w:val="none" w:sz="0" w:space="0" w:color="auto"/>
        <w:bottom w:val="none" w:sz="0" w:space="0" w:color="auto"/>
        <w:right w:val="none" w:sz="0" w:space="0" w:color="auto"/>
      </w:divBdr>
    </w:div>
    <w:div w:id="689917787">
      <w:bodyDiv w:val="1"/>
      <w:marLeft w:val="0"/>
      <w:marRight w:val="0"/>
      <w:marTop w:val="0"/>
      <w:marBottom w:val="0"/>
      <w:divBdr>
        <w:top w:val="none" w:sz="0" w:space="0" w:color="auto"/>
        <w:left w:val="none" w:sz="0" w:space="0" w:color="auto"/>
        <w:bottom w:val="none" w:sz="0" w:space="0" w:color="auto"/>
        <w:right w:val="none" w:sz="0" w:space="0" w:color="auto"/>
      </w:divBdr>
    </w:div>
    <w:div w:id="689995073">
      <w:bodyDiv w:val="1"/>
      <w:marLeft w:val="0"/>
      <w:marRight w:val="0"/>
      <w:marTop w:val="0"/>
      <w:marBottom w:val="0"/>
      <w:divBdr>
        <w:top w:val="none" w:sz="0" w:space="0" w:color="auto"/>
        <w:left w:val="none" w:sz="0" w:space="0" w:color="auto"/>
        <w:bottom w:val="none" w:sz="0" w:space="0" w:color="auto"/>
        <w:right w:val="none" w:sz="0" w:space="0" w:color="auto"/>
      </w:divBdr>
    </w:div>
    <w:div w:id="690107763">
      <w:bodyDiv w:val="1"/>
      <w:marLeft w:val="0"/>
      <w:marRight w:val="0"/>
      <w:marTop w:val="0"/>
      <w:marBottom w:val="0"/>
      <w:divBdr>
        <w:top w:val="none" w:sz="0" w:space="0" w:color="auto"/>
        <w:left w:val="none" w:sz="0" w:space="0" w:color="auto"/>
        <w:bottom w:val="none" w:sz="0" w:space="0" w:color="auto"/>
        <w:right w:val="none" w:sz="0" w:space="0" w:color="auto"/>
      </w:divBdr>
    </w:div>
    <w:div w:id="690255923">
      <w:bodyDiv w:val="1"/>
      <w:marLeft w:val="0"/>
      <w:marRight w:val="0"/>
      <w:marTop w:val="0"/>
      <w:marBottom w:val="0"/>
      <w:divBdr>
        <w:top w:val="none" w:sz="0" w:space="0" w:color="auto"/>
        <w:left w:val="none" w:sz="0" w:space="0" w:color="auto"/>
        <w:bottom w:val="none" w:sz="0" w:space="0" w:color="auto"/>
        <w:right w:val="none" w:sz="0" w:space="0" w:color="auto"/>
      </w:divBdr>
    </w:div>
    <w:div w:id="690496751">
      <w:bodyDiv w:val="1"/>
      <w:marLeft w:val="0"/>
      <w:marRight w:val="0"/>
      <w:marTop w:val="0"/>
      <w:marBottom w:val="0"/>
      <w:divBdr>
        <w:top w:val="none" w:sz="0" w:space="0" w:color="auto"/>
        <w:left w:val="none" w:sz="0" w:space="0" w:color="auto"/>
        <w:bottom w:val="none" w:sz="0" w:space="0" w:color="auto"/>
        <w:right w:val="none" w:sz="0" w:space="0" w:color="auto"/>
      </w:divBdr>
    </w:div>
    <w:div w:id="690568302">
      <w:bodyDiv w:val="1"/>
      <w:marLeft w:val="0"/>
      <w:marRight w:val="0"/>
      <w:marTop w:val="0"/>
      <w:marBottom w:val="0"/>
      <w:divBdr>
        <w:top w:val="none" w:sz="0" w:space="0" w:color="auto"/>
        <w:left w:val="none" w:sz="0" w:space="0" w:color="auto"/>
        <w:bottom w:val="none" w:sz="0" w:space="0" w:color="auto"/>
        <w:right w:val="none" w:sz="0" w:space="0" w:color="auto"/>
      </w:divBdr>
    </w:div>
    <w:div w:id="690575223">
      <w:bodyDiv w:val="1"/>
      <w:marLeft w:val="0"/>
      <w:marRight w:val="0"/>
      <w:marTop w:val="0"/>
      <w:marBottom w:val="0"/>
      <w:divBdr>
        <w:top w:val="none" w:sz="0" w:space="0" w:color="auto"/>
        <w:left w:val="none" w:sz="0" w:space="0" w:color="auto"/>
        <w:bottom w:val="none" w:sz="0" w:space="0" w:color="auto"/>
        <w:right w:val="none" w:sz="0" w:space="0" w:color="auto"/>
      </w:divBdr>
    </w:div>
    <w:div w:id="690644908">
      <w:bodyDiv w:val="1"/>
      <w:marLeft w:val="0"/>
      <w:marRight w:val="0"/>
      <w:marTop w:val="0"/>
      <w:marBottom w:val="0"/>
      <w:divBdr>
        <w:top w:val="none" w:sz="0" w:space="0" w:color="auto"/>
        <w:left w:val="none" w:sz="0" w:space="0" w:color="auto"/>
        <w:bottom w:val="none" w:sz="0" w:space="0" w:color="auto"/>
        <w:right w:val="none" w:sz="0" w:space="0" w:color="auto"/>
      </w:divBdr>
    </w:div>
    <w:div w:id="690881403">
      <w:bodyDiv w:val="1"/>
      <w:marLeft w:val="0"/>
      <w:marRight w:val="0"/>
      <w:marTop w:val="0"/>
      <w:marBottom w:val="0"/>
      <w:divBdr>
        <w:top w:val="none" w:sz="0" w:space="0" w:color="auto"/>
        <w:left w:val="none" w:sz="0" w:space="0" w:color="auto"/>
        <w:bottom w:val="none" w:sz="0" w:space="0" w:color="auto"/>
        <w:right w:val="none" w:sz="0" w:space="0" w:color="auto"/>
      </w:divBdr>
    </w:div>
    <w:div w:id="690952464">
      <w:bodyDiv w:val="1"/>
      <w:marLeft w:val="0"/>
      <w:marRight w:val="0"/>
      <w:marTop w:val="0"/>
      <w:marBottom w:val="0"/>
      <w:divBdr>
        <w:top w:val="none" w:sz="0" w:space="0" w:color="auto"/>
        <w:left w:val="none" w:sz="0" w:space="0" w:color="auto"/>
        <w:bottom w:val="none" w:sz="0" w:space="0" w:color="auto"/>
        <w:right w:val="none" w:sz="0" w:space="0" w:color="auto"/>
      </w:divBdr>
    </w:div>
    <w:div w:id="690952991">
      <w:bodyDiv w:val="1"/>
      <w:marLeft w:val="0"/>
      <w:marRight w:val="0"/>
      <w:marTop w:val="0"/>
      <w:marBottom w:val="0"/>
      <w:divBdr>
        <w:top w:val="none" w:sz="0" w:space="0" w:color="auto"/>
        <w:left w:val="none" w:sz="0" w:space="0" w:color="auto"/>
        <w:bottom w:val="none" w:sz="0" w:space="0" w:color="auto"/>
        <w:right w:val="none" w:sz="0" w:space="0" w:color="auto"/>
      </w:divBdr>
    </w:div>
    <w:div w:id="690961700">
      <w:bodyDiv w:val="1"/>
      <w:marLeft w:val="0"/>
      <w:marRight w:val="0"/>
      <w:marTop w:val="0"/>
      <w:marBottom w:val="0"/>
      <w:divBdr>
        <w:top w:val="none" w:sz="0" w:space="0" w:color="auto"/>
        <w:left w:val="none" w:sz="0" w:space="0" w:color="auto"/>
        <w:bottom w:val="none" w:sz="0" w:space="0" w:color="auto"/>
        <w:right w:val="none" w:sz="0" w:space="0" w:color="auto"/>
      </w:divBdr>
    </w:div>
    <w:div w:id="691149535">
      <w:bodyDiv w:val="1"/>
      <w:marLeft w:val="0"/>
      <w:marRight w:val="0"/>
      <w:marTop w:val="0"/>
      <w:marBottom w:val="0"/>
      <w:divBdr>
        <w:top w:val="none" w:sz="0" w:space="0" w:color="auto"/>
        <w:left w:val="none" w:sz="0" w:space="0" w:color="auto"/>
        <w:bottom w:val="none" w:sz="0" w:space="0" w:color="auto"/>
        <w:right w:val="none" w:sz="0" w:space="0" w:color="auto"/>
      </w:divBdr>
    </w:div>
    <w:div w:id="691339903">
      <w:bodyDiv w:val="1"/>
      <w:marLeft w:val="0"/>
      <w:marRight w:val="0"/>
      <w:marTop w:val="0"/>
      <w:marBottom w:val="0"/>
      <w:divBdr>
        <w:top w:val="none" w:sz="0" w:space="0" w:color="auto"/>
        <w:left w:val="none" w:sz="0" w:space="0" w:color="auto"/>
        <w:bottom w:val="none" w:sz="0" w:space="0" w:color="auto"/>
        <w:right w:val="none" w:sz="0" w:space="0" w:color="auto"/>
      </w:divBdr>
    </w:div>
    <w:div w:id="691346173">
      <w:bodyDiv w:val="1"/>
      <w:marLeft w:val="0"/>
      <w:marRight w:val="0"/>
      <w:marTop w:val="0"/>
      <w:marBottom w:val="0"/>
      <w:divBdr>
        <w:top w:val="none" w:sz="0" w:space="0" w:color="auto"/>
        <w:left w:val="none" w:sz="0" w:space="0" w:color="auto"/>
        <w:bottom w:val="none" w:sz="0" w:space="0" w:color="auto"/>
        <w:right w:val="none" w:sz="0" w:space="0" w:color="auto"/>
      </w:divBdr>
    </w:div>
    <w:div w:id="691493190">
      <w:bodyDiv w:val="1"/>
      <w:marLeft w:val="0"/>
      <w:marRight w:val="0"/>
      <w:marTop w:val="0"/>
      <w:marBottom w:val="0"/>
      <w:divBdr>
        <w:top w:val="none" w:sz="0" w:space="0" w:color="auto"/>
        <w:left w:val="none" w:sz="0" w:space="0" w:color="auto"/>
        <w:bottom w:val="none" w:sz="0" w:space="0" w:color="auto"/>
        <w:right w:val="none" w:sz="0" w:space="0" w:color="auto"/>
      </w:divBdr>
    </w:div>
    <w:div w:id="691567256">
      <w:bodyDiv w:val="1"/>
      <w:marLeft w:val="0"/>
      <w:marRight w:val="0"/>
      <w:marTop w:val="0"/>
      <w:marBottom w:val="0"/>
      <w:divBdr>
        <w:top w:val="none" w:sz="0" w:space="0" w:color="auto"/>
        <w:left w:val="none" w:sz="0" w:space="0" w:color="auto"/>
        <w:bottom w:val="none" w:sz="0" w:space="0" w:color="auto"/>
        <w:right w:val="none" w:sz="0" w:space="0" w:color="auto"/>
      </w:divBdr>
    </w:div>
    <w:div w:id="691686787">
      <w:bodyDiv w:val="1"/>
      <w:marLeft w:val="0"/>
      <w:marRight w:val="0"/>
      <w:marTop w:val="0"/>
      <w:marBottom w:val="0"/>
      <w:divBdr>
        <w:top w:val="none" w:sz="0" w:space="0" w:color="auto"/>
        <w:left w:val="none" w:sz="0" w:space="0" w:color="auto"/>
        <w:bottom w:val="none" w:sz="0" w:space="0" w:color="auto"/>
        <w:right w:val="none" w:sz="0" w:space="0" w:color="auto"/>
      </w:divBdr>
    </w:div>
    <w:div w:id="691734166">
      <w:bodyDiv w:val="1"/>
      <w:marLeft w:val="0"/>
      <w:marRight w:val="0"/>
      <w:marTop w:val="0"/>
      <w:marBottom w:val="0"/>
      <w:divBdr>
        <w:top w:val="none" w:sz="0" w:space="0" w:color="auto"/>
        <w:left w:val="none" w:sz="0" w:space="0" w:color="auto"/>
        <w:bottom w:val="none" w:sz="0" w:space="0" w:color="auto"/>
        <w:right w:val="none" w:sz="0" w:space="0" w:color="auto"/>
      </w:divBdr>
    </w:div>
    <w:div w:id="691762508">
      <w:bodyDiv w:val="1"/>
      <w:marLeft w:val="0"/>
      <w:marRight w:val="0"/>
      <w:marTop w:val="0"/>
      <w:marBottom w:val="0"/>
      <w:divBdr>
        <w:top w:val="none" w:sz="0" w:space="0" w:color="auto"/>
        <w:left w:val="none" w:sz="0" w:space="0" w:color="auto"/>
        <w:bottom w:val="none" w:sz="0" w:space="0" w:color="auto"/>
        <w:right w:val="none" w:sz="0" w:space="0" w:color="auto"/>
      </w:divBdr>
    </w:div>
    <w:div w:id="691765226">
      <w:bodyDiv w:val="1"/>
      <w:marLeft w:val="0"/>
      <w:marRight w:val="0"/>
      <w:marTop w:val="0"/>
      <w:marBottom w:val="0"/>
      <w:divBdr>
        <w:top w:val="none" w:sz="0" w:space="0" w:color="auto"/>
        <w:left w:val="none" w:sz="0" w:space="0" w:color="auto"/>
        <w:bottom w:val="none" w:sz="0" w:space="0" w:color="auto"/>
        <w:right w:val="none" w:sz="0" w:space="0" w:color="auto"/>
      </w:divBdr>
    </w:div>
    <w:div w:id="691802531">
      <w:bodyDiv w:val="1"/>
      <w:marLeft w:val="0"/>
      <w:marRight w:val="0"/>
      <w:marTop w:val="0"/>
      <w:marBottom w:val="0"/>
      <w:divBdr>
        <w:top w:val="none" w:sz="0" w:space="0" w:color="auto"/>
        <w:left w:val="none" w:sz="0" w:space="0" w:color="auto"/>
        <w:bottom w:val="none" w:sz="0" w:space="0" w:color="auto"/>
        <w:right w:val="none" w:sz="0" w:space="0" w:color="auto"/>
      </w:divBdr>
    </w:div>
    <w:div w:id="691878181">
      <w:bodyDiv w:val="1"/>
      <w:marLeft w:val="0"/>
      <w:marRight w:val="0"/>
      <w:marTop w:val="0"/>
      <w:marBottom w:val="0"/>
      <w:divBdr>
        <w:top w:val="none" w:sz="0" w:space="0" w:color="auto"/>
        <w:left w:val="none" w:sz="0" w:space="0" w:color="auto"/>
        <w:bottom w:val="none" w:sz="0" w:space="0" w:color="auto"/>
        <w:right w:val="none" w:sz="0" w:space="0" w:color="auto"/>
      </w:divBdr>
    </w:div>
    <w:div w:id="691959752">
      <w:bodyDiv w:val="1"/>
      <w:marLeft w:val="0"/>
      <w:marRight w:val="0"/>
      <w:marTop w:val="0"/>
      <w:marBottom w:val="0"/>
      <w:divBdr>
        <w:top w:val="none" w:sz="0" w:space="0" w:color="auto"/>
        <w:left w:val="none" w:sz="0" w:space="0" w:color="auto"/>
        <w:bottom w:val="none" w:sz="0" w:space="0" w:color="auto"/>
        <w:right w:val="none" w:sz="0" w:space="0" w:color="auto"/>
      </w:divBdr>
    </w:div>
    <w:div w:id="692071948">
      <w:bodyDiv w:val="1"/>
      <w:marLeft w:val="0"/>
      <w:marRight w:val="0"/>
      <w:marTop w:val="0"/>
      <w:marBottom w:val="0"/>
      <w:divBdr>
        <w:top w:val="none" w:sz="0" w:space="0" w:color="auto"/>
        <w:left w:val="none" w:sz="0" w:space="0" w:color="auto"/>
        <w:bottom w:val="none" w:sz="0" w:space="0" w:color="auto"/>
        <w:right w:val="none" w:sz="0" w:space="0" w:color="auto"/>
      </w:divBdr>
    </w:div>
    <w:div w:id="692339385">
      <w:bodyDiv w:val="1"/>
      <w:marLeft w:val="0"/>
      <w:marRight w:val="0"/>
      <w:marTop w:val="0"/>
      <w:marBottom w:val="0"/>
      <w:divBdr>
        <w:top w:val="none" w:sz="0" w:space="0" w:color="auto"/>
        <w:left w:val="none" w:sz="0" w:space="0" w:color="auto"/>
        <w:bottom w:val="none" w:sz="0" w:space="0" w:color="auto"/>
        <w:right w:val="none" w:sz="0" w:space="0" w:color="auto"/>
      </w:divBdr>
    </w:div>
    <w:div w:id="692341407">
      <w:bodyDiv w:val="1"/>
      <w:marLeft w:val="0"/>
      <w:marRight w:val="0"/>
      <w:marTop w:val="0"/>
      <w:marBottom w:val="0"/>
      <w:divBdr>
        <w:top w:val="none" w:sz="0" w:space="0" w:color="auto"/>
        <w:left w:val="none" w:sz="0" w:space="0" w:color="auto"/>
        <w:bottom w:val="none" w:sz="0" w:space="0" w:color="auto"/>
        <w:right w:val="none" w:sz="0" w:space="0" w:color="auto"/>
      </w:divBdr>
    </w:div>
    <w:div w:id="692389566">
      <w:bodyDiv w:val="1"/>
      <w:marLeft w:val="0"/>
      <w:marRight w:val="0"/>
      <w:marTop w:val="0"/>
      <w:marBottom w:val="0"/>
      <w:divBdr>
        <w:top w:val="none" w:sz="0" w:space="0" w:color="auto"/>
        <w:left w:val="none" w:sz="0" w:space="0" w:color="auto"/>
        <w:bottom w:val="none" w:sz="0" w:space="0" w:color="auto"/>
        <w:right w:val="none" w:sz="0" w:space="0" w:color="auto"/>
      </w:divBdr>
    </w:div>
    <w:div w:id="692418715">
      <w:bodyDiv w:val="1"/>
      <w:marLeft w:val="0"/>
      <w:marRight w:val="0"/>
      <w:marTop w:val="0"/>
      <w:marBottom w:val="0"/>
      <w:divBdr>
        <w:top w:val="none" w:sz="0" w:space="0" w:color="auto"/>
        <w:left w:val="none" w:sz="0" w:space="0" w:color="auto"/>
        <w:bottom w:val="none" w:sz="0" w:space="0" w:color="auto"/>
        <w:right w:val="none" w:sz="0" w:space="0" w:color="auto"/>
      </w:divBdr>
    </w:div>
    <w:div w:id="692419543">
      <w:bodyDiv w:val="1"/>
      <w:marLeft w:val="0"/>
      <w:marRight w:val="0"/>
      <w:marTop w:val="0"/>
      <w:marBottom w:val="0"/>
      <w:divBdr>
        <w:top w:val="none" w:sz="0" w:space="0" w:color="auto"/>
        <w:left w:val="none" w:sz="0" w:space="0" w:color="auto"/>
        <w:bottom w:val="none" w:sz="0" w:space="0" w:color="auto"/>
        <w:right w:val="none" w:sz="0" w:space="0" w:color="auto"/>
      </w:divBdr>
    </w:div>
    <w:div w:id="692607641">
      <w:bodyDiv w:val="1"/>
      <w:marLeft w:val="0"/>
      <w:marRight w:val="0"/>
      <w:marTop w:val="0"/>
      <w:marBottom w:val="0"/>
      <w:divBdr>
        <w:top w:val="none" w:sz="0" w:space="0" w:color="auto"/>
        <w:left w:val="none" w:sz="0" w:space="0" w:color="auto"/>
        <w:bottom w:val="none" w:sz="0" w:space="0" w:color="auto"/>
        <w:right w:val="none" w:sz="0" w:space="0" w:color="auto"/>
      </w:divBdr>
    </w:div>
    <w:div w:id="692653613">
      <w:bodyDiv w:val="1"/>
      <w:marLeft w:val="0"/>
      <w:marRight w:val="0"/>
      <w:marTop w:val="0"/>
      <w:marBottom w:val="0"/>
      <w:divBdr>
        <w:top w:val="none" w:sz="0" w:space="0" w:color="auto"/>
        <w:left w:val="none" w:sz="0" w:space="0" w:color="auto"/>
        <w:bottom w:val="none" w:sz="0" w:space="0" w:color="auto"/>
        <w:right w:val="none" w:sz="0" w:space="0" w:color="auto"/>
      </w:divBdr>
    </w:div>
    <w:div w:id="692655015">
      <w:bodyDiv w:val="1"/>
      <w:marLeft w:val="0"/>
      <w:marRight w:val="0"/>
      <w:marTop w:val="0"/>
      <w:marBottom w:val="0"/>
      <w:divBdr>
        <w:top w:val="none" w:sz="0" w:space="0" w:color="auto"/>
        <w:left w:val="none" w:sz="0" w:space="0" w:color="auto"/>
        <w:bottom w:val="none" w:sz="0" w:space="0" w:color="auto"/>
        <w:right w:val="none" w:sz="0" w:space="0" w:color="auto"/>
      </w:divBdr>
    </w:div>
    <w:div w:id="692658666">
      <w:bodyDiv w:val="1"/>
      <w:marLeft w:val="0"/>
      <w:marRight w:val="0"/>
      <w:marTop w:val="0"/>
      <w:marBottom w:val="0"/>
      <w:divBdr>
        <w:top w:val="none" w:sz="0" w:space="0" w:color="auto"/>
        <w:left w:val="none" w:sz="0" w:space="0" w:color="auto"/>
        <w:bottom w:val="none" w:sz="0" w:space="0" w:color="auto"/>
        <w:right w:val="none" w:sz="0" w:space="0" w:color="auto"/>
      </w:divBdr>
    </w:div>
    <w:div w:id="692730550">
      <w:bodyDiv w:val="1"/>
      <w:marLeft w:val="0"/>
      <w:marRight w:val="0"/>
      <w:marTop w:val="0"/>
      <w:marBottom w:val="0"/>
      <w:divBdr>
        <w:top w:val="none" w:sz="0" w:space="0" w:color="auto"/>
        <w:left w:val="none" w:sz="0" w:space="0" w:color="auto"/>
        <w:bottom w:val="none" w:sz="0" w:space="0" w:color="auto"/>
        <w:right w:val="none" w:sz="0" w:space="0" w:color="auto"/>
      </w:divBdr>
    </w:div>
    <w:div w:id="692847214">
      <w:bodyDiv w:val="1"/>
      <w:marLeft w:val="0"/>
      <w:marRight w:val="0"/>
      <w:marTop w:val="0"/>
      <w:marBottom w:val="0"/>
      <w:divBdr>
        <w:top w:val="none" w:sz="0" w:space="0" w:color="auto"/>
        <w:left w:val="none" w:sz="0" w:space="0" w:color="auto"/>
        <w:bottom w:val="none" w:sz="0" w:space="0" w:color="auto"/>
        <w:right w:val="none" w:sz="0" w:space="0" w:color="auto"/>
      </w:divBdr>
    </w:div>
    <w:div w:id="692847216">
      <w:bodyDiv w:val="1"/>
      <w:marLeft w:val="0"/>
      <w:marRight w:val="0"/>
      <w:marTop w:val="0"/>
      <w:marBottom w:val="0"/>
      <w:divBdr>
        <w:top w:val="none" w:sz="0" w:space="0" w:color="auto"/>
        <w:left w:val="none" w:sz="0" w:space="0" w:color="auto"/>
        <w:bottom w:val="none" w:sz="0" w:space="0" w:color="auto"/>
        <w:right w:val="none" w:sz="0" w:space="0" w:color="auto"/>
      </w:divBdr>
    </w:div>
    <w:div w:id="692850402">
      <w:bodyDiv w:val="1"/>
      <w:marLeft w:val="0"/>
      <w:marRight w:val="0"/>
      <w:marTop w:val="0"/>
      <w:marBottom w:val="0"/>
      <w:divBdr>
        <w:top w:val="none" w:sz="0" w:space="0" w:color="auto"/>
        <w:left w:val="none" w:sz="0" w:space="0" w:color="auto"/>
        <w:bottom w:val="none" w:sz="0" w:space="0" w:color="auto"/>
        <w:right w:val="none" w:sz="0" w:space="0" w:color="auto"/>
      </w:divBdr>
    </w:div>
    <w:div w:id="692918749">
      <w:bodyDiv w:val="1"/>
      <w:marLeft w:val="0"/>
      <w:marRight w:val="0"/>
      <w:marTop w:val="0"/>
      <w:marBottom w:val="0"/>
      <w:divBdr>
        <w:top w:val="none" w:sz="0" w:space="0" w:color="auto"/>
        <w:left w:val="none" w:sz="0" w:space="0" w:color="auto"/>
        <w:bottom w:val="none" w:sz="0" w:space="0" w:color="auto"/>
        <w:right w:val="none" w:sz="0" w:space="0" w:color="auto"/>
      </w:divBdr>
    </w:div>
    <w:div w:id="692924603">
      <w:bodyDiv w:val="1"/>
      <w:marLeft w:val="0"/>
      <w:marRight w:val="0"/>
      <w:marTop w:val="0"/>
      <w:marBottom w:val="0"/>
      <w:divBdr>
        <w:top w:val="none" w:sz="0" w:space="0" w:color="auto"/>
        <w:left w:val="none" w:sz="0" w:space="0" w:color="auto"/>
        <w:bottom w:val="none" w:sz="0" w:space="0" w:color="auto"/>
        <w:right w:val="none" w:sz="0" w:space="0" w:color="auto"/>
      </w:divBdr>
    </w:div>
    <w:div w:id="693073832">
      <w:bodyDiv w:val="1"/>
      <w:marLeft w:val="0"/>
      <w:marRight w:val="0"/>
      <w:marTop w:val="0"/>
      <w:marBottom w:val="0"/>
      <w:divBdr>
        <w:top w:val="none" w:sz="0" w:space="0" w:color="auto"/>
        <w:left w:val="none" w:sz="0" w:space="0" w:color="auto"/>
        <w:bottom w:val="none" w:sz="0" w:space="0" w:color="auto"/>
        <w:right w:val="none" w:sz="0" w:space="0" w:color="auto"/>
      </w:divBdr>
    </w:div>
    <w:div w:id="693116009">
      <w:bodyDiv w:val="1"/>
      <w:marLeft w:val="0"/>
      <w:marRight w:val="0"/>
      <w:marTop w:val="0"/>
      <w:marBottom w:val="0"/>
      <w:divBdr>
        <w:top w:val="none" w:sz="0" w:space="0" w:color="auto"/>
        <w:left w:val="none" w:sz="0" w:space="0" w:color="auto"/>
        <w:bottom w:val="none" w:sz="0" w:space="0" w:color="auto"/>
        <w:right w:val="none" w:sz="0" w:space="0" w:color="auto"/>
      </w:divBdr>
    </w:div>
    <w:div w:id="693268988">
      <w:bodyDiv w:val="1"/>
      <w:marLeft w:val="0"/>
      <w:marRight w:val="0"/>
      <w:marTop w:val="0"/>
      <w:marBottom w:val="0"/>
      <w:divBdr>
        <w:top w:val="none" w:sz="0" w:space="0" w:color="auto"/>
        <w:left w:val="none" w:sz="0" w:space="0" w:color="auto"/>
        <w:bottom w:val="none" w:sz="0" w:space="0" w:color="auto"/>
        <w:right w:val="none" w:sz="0" w:space="0" w:color="auto"/>
      </w:divBdr>
    </w:div>
    <w:div w:id="693270368">
      <w:bodyDiv w:val="1"/>
      <w:marLeft w:val="0"/>
      <w:marRight w:val="0"/>
      <w:marTop w:val="0"/>
      <w:marBottom w:val="0"/>
      <w:divBdr>
        <w:top w:val="none" w:sz="0" w:space="0" w:color="auto"/>
        <w:left w:val="none" w:sz="0" w:space="0" w:color="auto"/>
        <w:bottom w:val="none" w:sz="0" w:space="0" w:color="auto"/>
        <w:right w:val="none" w:sz="0" w:space="0" w:color="auto"/>
      </w:divBdr>
    </w:div>
    <w:div w:id="693270494">
      <w:bodyDiv w:val="1"/>
      <w:marLeft w:val="0"/>
      <w:marRight w:val="0"/>
      <w:marTop w:val="0"/>
      <w:marBottom w:val="0"/>
      <w:divBdr>
        <w:top w:val="none" w:sz="0" w:space="0" w:color="auto"/>
        <w:left w:val="none" w:sz="0" w:space="0" w:color="auto"/>
        <w:bottom w:val="none" w:sz="0" w:space="0" w:color="auto"/>
        <w:right w:val="none" w:sz="0" w:space="0" w:color="auto"/>
      </w:divBdr>
    </w:div>
    <w:div w:id="693464121">
      <w:bodyDiv w:val="1"/>
      <w:marLeft w:val="0"/>
      <w:marRight w:val="0"/>
      <w:marTop w:val="0"/>
      <w:marBottom w:val="0"/>
      <w:divBdr>
        <w:top w:val="none" w:sz="0" w:space="0" w:color="auto"/>
        <w:left w:val="none" w:sz="0" w:space="0" w:color="auto"/>
        <w:bottom w:val="none" w:sz="0" w:space="0" w:color="auto"/>
        <w:right w:val="none" w:sz="0" w:space="0" w:color="auto"/>
      </w:divBdr>
    </w:div>
    <w:div w:id="693576642">
      <w:bodyDiv w:val="1"/>
      <w:marLeft w:val="0"/>
      <w:marRight w:val="0"/>
      <w:marTop w:val="0"/>
      <w:marBottom w:val="0"/>
      <w:divBdr>
        <w:top w:val="none" w:sz="0" w:space="0" w:color="auto"/>
        <w:left w:val="none" w:sz="0" w:space="0" w:color="auto"/>
        <w:bottom w:val="none" w:sz="0" w:space="0" w:color="auto"/>
        <w:right w:val="none" w:sz="0" w:space="0" w:color="auto"/>
      </w:divBdr>
    </w:div>
    <w:div w:id="693654137">
      <w:bodyDiv w:val="1"/>
      <w:marLeft w:val="0"/>
      <w:marRight w:val="0"/>
      <w:marTop w:val="0"/>
      <w:marBottom w:val="0"/>
      <w:divBdr>
        <w:top w:val="none" w:sz="0" w:space="0" w:color="auto"/>
        <w:left w:val="none" w:sz="0" w:space="0" w:color="auto"/>
        <w:bottom w:val="none" w:sz="0" w:space="0" w:color="auto"/>
        <w:right w:val="none" w:sz="0" w:space="0" w:color="auto"/>
      </w:divBdr>
    </w:div>
    <w:div w:id="693726468">
      <w:bodyDiv w:val="1"/>
      <w:marLeft w:val="0"/>
      <w:marRight w:val="0"/>
      <w:marTop w:val="0"/>
      <w:marBottom w:val="0"/>
      <w:divBdr>
        <w:top w:val="none" w:sz="0" w:space="0" w:color="auto"/>
        <w:left w:val="none" w:sz="0" w:space="0" w:color="auto"/>
        <w:bottom w:val="none" w:sz="0" w:space="0" w:color="auto"/>
        <w:right w:val="none" w:sz="0" w:space="0" w:color="auto"/>
      </w:divBdr>
    </w:div>
    <w:div w:id="693768281">
      <w:bodyDiv w:val="1"/>
      <w:marLeft w:val="0"/>
      <w:marRight w:val="0"/>
      <w:marTop w:val="0"/>
      <w:marBottom w:val="0"/>
      <w:divBdr>
        <w:top w:val="none" w:sz="0" w:space="0" w:color="auto"/>
        <w:left w:val="none" w:sz="0" w:space="0" w:color="auto"/>
        <w:bottom w:val="none" w:sz="0" w:space="0" w:color="auto"/>
        <w:right w:val="none" w:sz="0" w:space="0" w:color="auto"/>
      </w:divBdr>
    </w:div>
    <w:div w:id="693842997">
      <w:bodyDiv w:val="1"/>
      <w:marLeft w:val="0"/>
      <w:marRight w:val="0"/>
      <w:marTop w:val="0"/>
      <w:marBottom w:val="0"/>
      <w:divBdr>
        <w:top w:val="none" w:sz="0" w:space="0" w:color="auto"/>
        <w:left w:val="none" w:sz="0" w:space="0" w:color="auto"/>
        <w:bottom w:val="none" w:sz="0" w:space="0" w:color="auto"/>
        <w:right w:val="none" w:sz="0" w:space="0" w:color="auto"/>
      </w:divBdr>
    </w:div>
    <w:div w:id="693843112">
      <w:bodyDiv w:val="1"/>
      <w:marLeft w:val="0"/>
      <w:marRight w:val="0"/>
      <w:marTop w:val="0"/>
      <w:marBottom w:val="0"/>
      <w:divBdr>
        <w:top w:val="none" w:sz="0" w:space="0" w:color="auto"/>
        <w:left w:val="none" w:sz="0" w:space="0" w:color="auto"/>
        <w:bottom w:val="none" w:sz="0" w:space="0" w:color="auto"/>
        <w:right w:val="none" w:sz="0" w:space="0" w:color="auto"/>
      </w:divBdr>
    </w:div>
    <w:div w:id="693919687">
      <w:bodyDiv w:val="1"/>
      <w:marLeft w:val="0"/>
      <w:marRight w:val="0"/>
      <w:marTop w:val="0"/>
      <w:marBottom w:val="0"/>
      <w:divBdr>
        <w:top w:val="none" w:sz="0" w:space="0" w:color="auto"/>
        <w:left w:val="none" w:sz="0" w:space="0" w:color="auto"/>
        <w:bottom w:val="none" w:sz="0" w:space="0" w:color="auto"/>
        <w:right w:val="none" w:sz="0" w:space="0" w:color="auto"/>
      </w:divBdr>
    </w:div>
    <w:div w:id="693921078">
      <w:bodyDiv w:val="1"/>
      <w:marLeft w:val="0"/>
      <w:marRight w:val="0"/>
      <w:marTop w:val="0"/>
      <w:marBottom w:val="0"/>
      <w:divBdr>
        <w:top w:val="none" w:sz="0" w:space="0" w:color="auto"/>
        <w:left w:val="none" w:sz="0" w:space="0" w:color="auto"/>
        <w:bottom w:val="none" w:sz="0" w:space="0" w:color="auto"/>
        <w:right w:val="none" w:sz="0" w:space="0" w:color="auto"/>
      </w:divBdr>
    </w:div>
    <w:div w:id="694112345">
      <w:bodyDiv w:val="1"/>
      <w:marLeft w:val="0"/>
      <w:marRight w:val="0"/>
      <w:marTop w:val="0"/>
      <w:marBottom w:val="0"/>
      <w:divBdr>
        <w:top w:val="none" w:sz="0" w:space="0" w:color="auto"/>
        <w:left w:val="none" w:sz="0" w:space="0" w:color="auto"/>
        <w:bottom w:val="none" w:sz="0" w:space="0" w:color="auto"/>
        <w:right w:val="none" w:sz="0" w:space="0" w:color="auto"/>
      </w:divBdr>
    </w:div>
    <w:div w:id="694188363">
      <w:bodyDiv w:val="1"/>
      <w:marLeft w:val="0"/>
      <w:marRight w:val="0"/>
      <w:marTop w:val="0"/>
      <w:marBottom w:val="0"/>
      <w:divBdr>
        <w:top w:val="none" w:sz="0" w:space="0" w:color="auto"/>
        <w:left w:val="none" w:sz="0" w:space="0" w:color="auto"/>
        <w:bottom w:val="none" w:sz="0" w:space="0" w:color="auto"/>
        <w:right w:val="none" w:sz="0" w:space="0" w:color="auto"/>
      </w:divBdr>
    </w:div>
    <w:div w:id="694229614">
      <w:bodyDiv w:val="1"/>
      <w:marLeft w:val="0"/>
      <w:marRight w:val="0"/>
      <w:marTop w:val="0"/>
      <w:marBottom w:val="0"/>
      <w:divBdr>
        <w:top w:val="none" w:sz="0" w:space="0" w:color="auto"/>
        <w:left w:val="none" w:sz="0" w:space="0" w:color="auto"/>
        <w:bottom w:val="none" w:sz="0" w:space="0" w:color="auto"/>
        <w:right w:val="none" w:sz="0" w:space="0" w:color="auto"/>
      </w:divBdr>
    </w:div>
    <w:div w:id="694304897">
      <w:bodyDiv w:val="1"/>
      <w:marLeft w:val="0"/>
      <w:marRight w:val="0"/>
      <w:marTop w:val="0"/>
      <w:marBottom w:val="0"/>
      <w:divBdr>
        <w:top w:val="none" w:sz="0" w:space="0" w:color="auto"/>
        <w:left w:val="none" w:sz="0" w:space="0" w:color="auto"/>
        <w:bottom w:val="none" w:sz="0" w:space="0" w:color="auto"/>
        <w:right w:val="none" w:sz="0" w:space="0" w:color="auto"/>
      </w:divBdr>
    </w:div>
    <w:div w:id="694379633">
      <w:bodyDiv w:val="1"/>
      <w:marLeft w:val="0"/>
      <w:marRight w:val="0"/>
      <w:marTop w:val="0"/>
      <w:marBottom w:val="0"/>
      <w:divBdr>
        <w:top w:val="none" w:sz="0" w:space="0" w:color="auto"/>
        <w:left w:val="none" w:sz="0" w:space="0" w:color="auto"/>
        <w:bottom w:val="none" w:sz="0" w:space="0" w:color="auto"/>
        <w:right w:val="none" w:sz="0" w:space="0" w:color="auto"/>
      </w:divBdr>
    </w:div>
    <w:div w:id="694429870">
      <w:bodyDiv w:val="1"/>
      <w:marLeft w:val="0"/>
      <w:marRight w:val="0"/>
      <w:marTop w:val="0"/>
      <w:marBottom w:val="0"/>
      <w:divBdr>
        <w:top w:val="none" w:sz="0" w:space="0" w:color="auto"/>
        <w:left w:val="none" w:sz="0" w:space="0" w:color="auto"/>
        <w:bottom w:val="none" w:sz="0" w:space="0" w:color="auto"/>
        <w:right w:val="none" w:sz="0" w:space="0" w:color="auto"/>
      </w:divBdr>
    </w:div>
    <w:div w:id="694497545">
      <w:bodyDiv w:val="1"/>
      <w:marLeft w:val="0"/>
      <w:marRight w:val="0"/>
      <w:marTop w:val="0"/>
      <w:marBottom w:val="0"/>
      <w:divBdr>
        <w:top w:val="none" w:sz="0" w:space="0" w:color="auto"/>
        <w:left w:val="none" w:sz="0" w:space="0" w:color="auto"/>
        <w:bottom w:val="none" w:sz="0" w:space="0" w:color="auto"/>
        <w:right w:val="none" w:sz="0" w:space="0" w:color="auto"/>
      </w:divBdr>
    </w:div>
    <w:div w:id="694499456">
      <w:bodyDiv w:val="1"/>
      <w:marLeft w:val="0"/>
      <w:marRight w:val="0"/>
      <w:marTop w:val="0"/>
      <w:marBottom w:val="0"/>
      <w:divBdr>
        <w:top w:val="none" w:sz="0" w:space="0" w:color="auto"/>
        <w:left w:val="none" w:sz="0" w:space="0" w:color="auto"/>
        <w:bottom w:val="none" w:sz="0" w:space="0" w:color="auto"/>
        <w:right w:val="none" w:sz="0" w:space="0" w:color="auto"/>
      </w:divBdr>
    </w:div>
    <w:div w:id="694502159">
      <w:bodyDiv w:val="1"/>
      <w:marLeft w:val="0"/>
      <w:marRight w:val="0"/>
      <w:marTop w:val="0"/>
      <w:marBottom w:val="0"/>
      <w:divBdr>
        <w:top w:val="none" w:sz="0" w:space="0" w:color="auto"/>
        <w:left w:val="none" w:sz="0" w:space="0" w:color="auto"/>
        <w:bottom w:val="none" w:sz="0" w:space="0" w:color="auto"/>
        <w:right w:val="none" w:sz="0" w:space="0" w:color="auto"/>
      </w:divBdr>
    </w:div>
    <w:div w:id="694504737">
      <w:bodyDiv w:val="1"/>
      <w:marLeft w:val="0"/>
      <w:marRight w:val="0"/>
      <w:marTop w:val="0"/>
      <w:marBottom w:val="0"/>
      <w:divBdr>
        <w:top w:val="none" w:sz="0" w:space="0" w:color="auto"/>
        <w:left w:val="none" w:sz="0" w:space="0" w:color="auto"/>
        <w:bottom w:val="none" w:sz="0" w:space="0" w:color="auto"/>
        <w:right w:val="none" w:sz="0" w:space="0" w:color="auto"/>
      </w:divBdr>
    </w:div>
    <w:div w:id="694624528">
      <w:bodyDiv w:val="1"/>
      <w:marLeft w:val="0"/>
      <w:marRight w:val="0"/>
      <w:marTop w:val="0"/>
      <w:marBottom w:val="0"/>
      <w:divBdr>
        <w:top w:val="none" w:sz="0" w:space="0" w:color="auto"/>
        <w:left w:val="none" w:sz="0" w:space="0" w:color="auto"/>
        <w:bottom w:val="none" w:sz="0" w:space="0" w:color="auto"/>
        <w:right w:val="none" w:sz="0" w:space="0" w:color="auto"/>
      </w:divBdr>
    </w:div>
    <w:div w:id="694692135">
      <w:bodyDiv w:val="1"/>
      <w:marLeft w:val="0"/>
      <w:marRight w:val="0"/>
      <w:marTop w:val="0"/>
      <w:marBottom w:val="0"/>
      <w:divBdr>
        <w:top w:val="none" w:sz="0" w:space="0" w:color="auto"/>
        <w:left w:val="none" w:sz="0" w:space="0" w:color="auto"/>
        <w:bottom w:val="none" w:sz="0" w:space="0" w:color="auto"/>
        <w:right w:val="none" w:sz="0" w:space="0" w:color="auto"/>
      </w:divBdr>
    </w:div>
    <w:div w:id="694697505">
      <w:bodyDiv w:val="1"/>
      <w:marLeft w:val="0"/>
      <w:marRight w:val="0"/>
      <w:marTop w:val="0"/>
      <w:marBottom w:val="0"/>
      <w:divBdr>
        <w:top w:val="none" w:sz="0" w:space="0" w:color="auto"/>
        <w:left w:val="none" w:sz="0" w:space="0" w:color="auto"/>
        <w:bottom w:val="none" w:sz="0" w:space="0" w:color="auto"/>
        <w:right w:val="none" w:sz="0" w:space="0" w:color="auto"/>
      </w:divBdr>
    </w:div>
    <w:div w:id="694775103">
      <w:bodyDiv w:val="1"/>
      <w:marLeft w:val="0"/>
      <w:marRight w:val="0"/>
      <w:marTop w:val="0"/>
      <w:marBottom w:val="0"/>
      <w:divBdr>
        <w:top w:val="none" w:sz="0" w:space="0" w:color="auto"/>
        <w:left w:val="none" w:sz="0" w:space="0" w:color="auto"/>
        <w:bottom w:val="none" w:sz="0" w:space="0" w:color="auto"/>
        <w:right w:val="none" w:sz="0" w:space="0" w:color="auto"/>
      </w:divBdr>
    </w:div>
    <w:div w:id="694816747">
      <w:bodyDiv w:val="1"/>
      <w:marLeft w:val="0"/>
      <w:marRight w:val="0"/>
      <w:marTop w:val="0"/>
      <w:marBottom w:val="0"/>
      <w:divBdr>
        <w:top w:val="none" w:sz="0" w:space="0" w:color="auto"/>
        <w:left w:val="none" w:sz="0" w:space="0" w:color="auto"/>
        <w:bottom w:val="none" w:sz="0" w:space="0" w:color="auto"/>
        <w:right w:val="none" w:sz="0" w:space="0" w:color="auto"/>
      </w:divBdr>
    </w:div>
    <w:div w:id="694885773">
      <w:bodyDiv w:val="1"/>
      <w:marLeft w:val="0"/>
      <w:marRight w:val="0"/>
      <w:marTop w:val="0"/>
      <w:marBottom w:val="0"/>
      <w:divBdr>
        <w:top w:val="none" w:sz="0" w:space="0" w:color="auto"/>
        <w:left w:val="none" w:sz="0" w:space="0" w:color="auto"/>
        <w:bottom w:val="none" w:sz="0" w:space="0" w:color="auto"/>
        <w:right w:val="none" w:sz="0" w:space="0" w:color="auto"/>
      </w:divBdr>
    </w:div>
    <w:div w:id="694966644">
      <w:bodyDiv w:val="1"/>
      <w:marLeft w:val="0"/>
      <w:marRight w:val="0"/>
      <w:marTop w:val="0"/>
      <w:marBottom w:val="0"/>
      <w:divBdr>
        <w:top w:val="none" w:sz="0" w:space="0" w:color="auto"/>
        <w:left w:val="none" w:sz="0" w:space="0" w:color="auto"/>
        <w:bottom w:val="none" w:sz="0" w:space="0" w:color="auto"/>
        <w:right w:val="none" w:sz="0" w:space="0" w:color="auto"/>
      </w:divBdr>
    </w:div>
    <w:div w:id="695273303">
      <w:bodyDiv w:val="1"/>
      <w:marLeft w:val="0"/>
      <w:marRight w:val="0"/>
      <w:marTop w:val="0"/>
      <w:marBottom w:val="0"/>
      <w:divBdr>
        <w:top w:val="none" w:sz="0" w:space="0" w:color="auto"/>
        <w:left w:val="none" w:sz="0" w:space="0" w:color="auto"/>
        <w:bottom w:val="none" w:sz="0" w:space="0" w:color="auto"/>
        <w:right w:val="none" w:sz="0" w:space="0" w:color="auto"/>
      </w:divBdr>
    </w:div>
    <w:div w:id="695424686">
      <w:bodyDiv w:val="1"/>
      <w:marLeft w:val="0"/>
      <w:marRight w:val="0"/>
      <w:marTop w:val="0"/>
      <w:marBottom w:val="0"/>
      <w:divBdr>
        <w:top w:val="none" w:sz="0" w:space="0" w:color="auto"/>
        <w:left w:val="none" w:sz="0" w:space="0" w:color="auto"/>
        <w:bottom w:val="none" w:sz="0" w:space="0" w:color="auto"/>
        <w:right w:val="none" w:sz="0" w:space="0" w:color="auto"/>
      </w:divBdr>
    </w:div>
    <w:div w:id="695497916">
      <w:bodyDiv w:val="1"/>
      <w:marLeft w:val="0"/>
      <w:marRight w:val="0"/>
      <w:marTop w:val="0"/>
      <w:marBottom w:val="0"/>
      <w:divBdr>
        <w:top w:val="none" w:sz="0" w:space="0" w:color="auto"/>
        <w:left w:val="none" w:sz="0" w:space="0" w:color="auto"/>
        <w:bottom w:val="none" w:sz="0" w:space="0" w:color="auto"/>
        <w:right w:val="none" w:sz="0" w:space="0" w:color="auto"/>
      </w:divBdr>
    </w:div>
    <w:div w:id="695540931">
      <w:bodyDiv w:val="1"/>
      <w:marLeft w:val="0"/>
      <w:marRight w:val="0"/>
      <w:marTop w:val="0"/>
      <w:marBottom w:val="0"/>
      <w:divBdr>
        <w:top w:val="none" w:sz="0" w:space="0" w:color="auto"/>
        <w:left w:val="none" w:sz="0" w:space="0" w:color="auto"/>
        <w:bottom w:val="none" w:sz="0" w:space="0" w:color="auto"/>
        <w:right w:val="none" w:sz="0" w:space="0" w:color="auto"/>
      </w:divBdr>
    </w:div>
    <w:div w:id="695693391">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5886774">
      <w:bodyDiv w:val="1"/>
      <w:marLeft w:val="0"/>
      <w:marRight w:val="0"/>
      <w:marTop w:val="0"/>
      <w:marBottom w:val="0"/>
      <w:divBdr>
        <w:top w:val="none" w:sz="0" w:space="0" w:color="auto"/>
        <w:left w:val="none" w:sz="0" w:space="0" w:color="auto"/>
        <w:bottom w:val="none" w:sz="0" w:space="0" w:color="auto"/>
        <w:right w:val="none" w:sz="0" w:space="0" w:color="auto"/>
      </w:divBdr>
    </w:div>
    <w:div w:id="695932378">
      <w:bodyDiv w:val="1"/>
      <w:marLeft w:val="0"/>
      <w:marRight w:val="0"/>
      <w:marTop w:val="0"/>
      <w:marBottom w:val="0"/>
      <w:divBdr>
        <w:top w:val="none" w:sz="0" w:space="0" w:color="auto"/>
        <w:left w:val="none" w:sz="0" w:space="0" w:color="auto"/>
        <w:bottom w:val="none" w:sz="0" w:space="0" w:color="auto"/>
        <w:right w:val="none" w:sz="0" w:space="0" w:color="auto"/>
      </w:divBdr>
    </w:div>
    <w:div w:id="695934449">
      <w:bodyDiv w:val="1"/>
      <w:marLeft w:val="0"/>
      <w:marRight w:val="0"/>
      <w:marTop w:val="0"/>
      <w:marBottom w:val="0"/>
      <w:divBdr>
        <w:top w:val="none" w:sz="0" w:space="0" w:color="auto"/>
        <w:left w:val="none" w:sz="0" w:space="0" w:color="auto"/>
        <w:bottom w:val="none" w:sz="0" w:space="0" w:color="auto"/>
        <w:right w:val="none" w:sz="0" w:space="0" w:color="auto"/>
      </w:divBdr>
    </w:div>
    <w:div w:id="696125883">
      <w:bodyDiv w:val="1"/>
      <w:marLeft w:val="0"/>
      <w:marRight w:val="0"/>
      <w:marTop w:val="0"/>
      <w:marBottom w:val="0"/>
      <w:divBdr>
        <w:top w:val="none" w:sz="0" w:space="0" w:color="auto"/>
        <w:left w:val="none" w:sz="0" w:space="0" w:color="auto"/>
        <w:bottom w:val="none" w:sz="0" w:space="0" w:color="auto"/>
        <w:right w:val="none" w:sz="0" w:space="0" w:color="auto"/>
      </w:divBdr>
    </w:div>
    <w:div w:id="696153008">
      <w:bodyDiv w:val="1"/>
      <w:marLeft w:val="0"/>
      <w:marRight w:val="0"/>
      <w:marTop w:val="0"/>
      <w:marBottom w:val="0"/>
      <w:divBdr>
        <w:top w:val="none" w:sz="0" w:space="0" w:color="auto"/>
        <w:left w:val="none" w:sz="0" w:space="0" w:color="auto"/>
        <w:bottom w:val="none" w:sz="0" w:space="0" w:color="auto"/>
        <w:right w:val="none" w:sz="0" w:space="0" w:color="auto"/>
      </w:divBdr>
    </w:div>
    <w:div w:id="696199607">
      <w:bodyDiv w:val="1"/>
      <w:marLeft w:val="0"/>
      <w:marRight w:val="0"/>
      <w:marTop w:val="0"/>
      <w:marBottom w:val="0"/>
      <w:divBdr>
        <w:top w:val="none" w:sz="0" w:space="0" w:color="auto"/>
        <w:left w:val="none" w:sz="0" w:space="0" w:color="auto"/>
        <w:bottom w:val="none" w:sz="0" w:space="0" w:color="auto"/>
        <w:right w:val="none" w:sz="0" w:space="0" w:color="auto"/>
      </w:divBdr>
    </w:div>
    <w:div w:id="696200788">
      <w:bodyDiv w:val="1"/>
      <w:marLeft w:val="0"/>
      <w:marRight w:val="0"/>
      <w:marTop w:val="0"/>
      <w:marBottom w:val="0"/>
      <w:divBdr>
        <w:top w:val="none" w:sz="0" w:space="0" w:color="auto"/>
        <w:left w:val="none" w:sz="0" w:space="0" w:color="auto"/>
        <w:bottom w:val="none" w:sz="0" w:space="0" w:color="auto"/>
        <w:right w:val="none" w:sz="0" w:space="0" w:color="auto"/>
      </w:divBdr>
    </w:div>
    <w:div w:id="696276521">
      <w:bodyDiv w:val="1"/>
      <w:marLeft w:val="0"/>
      <w:marRight w:val="0"/>
      <w:marTop w:val="0"/>
      <w:marBottom w:val="0"/>
      <w:divBdr>
        <w:top w:val="none" w:sz="0" w:space="0" w:color="auto"/>
        <w:left w:val="none" w:sz="0" w:space="0" w:color="auto"/>
        <w:bottom w:val="none" w:sz="0" w:space="0" w:color="auto"/>
        <w:right w:val="none" w:sz="0" w:space="0" w:color="auto"/>
      </w:divBdr>
    </w:div>
    <w:div w:id="696349611">
      <w:bodyDiv w:val="1"/>
      <w:marLeft w:val="0"/>
      <w:marRight w:val="0"/>
      <w:marTop w:val="0"/>
      <w:marBottom w:val="0"/>
      <w:divBdr>
        <w:top w:val="none" w:sz="0" w:space="0" w:color="auto"/>
        <w:left w:val="none" w:sz="0" w:space="0" w:color="auto"/>
        <w:bottom w:val="none" w:sz="0" w:space="0" w:color="auto"/>
        <w:right w:val="none" w:sz="0" w:space="0" w:color="auto"/>
      </w:divBdr>
    </w:div>
    <w:div w:id="696395786">
      <w:bodyDiv w:val="1"/>
      <w:marLeft w:val="0"/>
      <w:marRight w:val="0"/>
      <w:marTop w:val="0"/>
      <w:marBottom w:val="0"/>
      <w:divBdr>
        <w:top w:val="none" w:sz="0" w:space="0" w:color="auto"/>
        <w:left w:val="none" w:sz="0" w:space="0" w:color="auto"/>
        <w:bottom w:val="none" w:sz="0" w:space="0" w:color="auto"/>
        <w:right w:val="none" w:sz="0" w:space="0" w:color="auto"/>
      </w:divBdr>
    </w:div>
    <w:div w:id="696396335">
      <w:bodyDiv w:val="1"/>
      <w:marLeft w:val="0"/>
      <w:marRight w:val="0"/>
      <w:marTop w:val="0"/>
      <w:marBottom w:val="0"/>
      <w:divBdr>
        <w:top w:val="none" w:sz="0" w:space="0" w:color="auto"/>
        <w:left w:val="none" w:sz="0" w:space="0" w:color="auto"/>
        <w:bottom w:val="none" w:sz="0" w:space="0" w:color="auto"/>
        <w:right w:val="none" w:sz="0" w:space="0" w:color="auto"/>
      </w:divBdr>
    </w:div>
    <w:div w:id="696659069">
      <w:bodyDiv w:val="1"/>
      <w:marLeft w:val="0"/>
      <w:marRight w:val="0"/>
      <w:marTop w:val="0"/>
      <w:marBottom w:val="0"/>
      <w:divBdr>
        <w:top w:val="none" w:sz="0" w:space="0" w:color="auto"/>
        <w:left w:val="none" w:sz="0" w:space="0" w:color="auto"/>
        <w:bottom w:val="none" w:sz="0" w:space="0" w:color="auto"/>
        <w:right w:val="none" w:sz="0" w:space="0" w:color="auto"/>
      </w:divBdr>
    </w:div>
    <w:div w:id="696737605">
      <w:bodyDiv w:val="1"/>
      <w:marLeft w:val="0"/>
      <w:marRight w:val="0"/>
      <w:marTop w:val="0"/>
      <w:marBottom w:val="0"/>
      <w:divBdr>
        <w:top w:val="none" w:sz="0" w:space="0" w:color="auto"/>
        <w:left w:val="none" w:sz="0" w:space="0" w:color="auto"/>
        <w:bottom w:val="none" w:sz="0" w:space="0" w:color="auto"/>
        <w:right w:val="none" w:sz="0" w:space="0" w:color="auto"/>
      </w:divBdr>
    </w:div>
    <w:div w:id="696852791">
      <w:bodyDiv w:val="1"/>
      <w:marLeft w:val="0"/>
      <w:marRight w:val="0"/>
      <w:marTop w:val="0"/>
      <w:marBottom w:val="0"/>
      <w:divBdr>
        <w:top w:val="none" w:sz="0" w:space="0" w:color="auto"/>
        <w:left w:val="none" w:sz="0" w:space="0" w:color="auto"/>
        <w:bottom w:val="none" w:sz="0" w:space="0" w:color="auto"/>
        <w:right w:val="none" w:sz="0" w:space="0" w:color="auto"/>
      </w:divBdr>
    </w:div>
    <w:div w:id="696858470">
      <w:bodyDiv w:val="1"/>
      <w:marLeft w:val="0"/>
      <w:marRight w:val="0"/>
      <w:marTop w:val="0"/>
      <w:marBottom w:val="0"/>
      <w:divBdr>
        <w:top w:val="none" w:sz="0" w:space="0" w:color="auto"/>
        <w:left w:val="none" w:sz="0" w:space="0" w:color="auto"/>
        <w:bottom w:val="none" w:sz="0" w:space="0" w:color="auto"/>
        <w:right w:val="none" w:sz="0" w:space="0" w:color="auto"/>
      </w:divBdr>
    </w:div>
    <w:div w:id="697003640">
      <w:bodyDiv w:val="1"/>
      <w:marLeft w:val="0"/>
      <w:marRight w:val="0"/>
      <w:marTop w:val="0"/>
      <w:marBottom w:val="0"/>
      <w:divBdr>
        <w:top w:val="none" w:sz="0" w:space="0" w:color="auto"/>
        <w:left w:val="none" w:sz="0" w:space="0" w:color="auto"/>
        <w:bottom w:val="none" w:sz="0" w:space="0" w:color="auto"/>
        <w:right w:val="none" w:sz="0" w:space="0" w:color="auto"/>
      </w:divBdr>
    </w:div>
    <w:div w:id="697044057">
      <w:bodyDiv w:val="1"/>
      <w:marLeft w:val="0"/>
      <w:marRight w:val="0"/>
      <w:marTop w:val="0"/>
      <w:marBottom w:val="0"/>
      <w:divBdr>
        <w:top w:val="none" w:sz="0" w:space="0" w:color="auto"/>
        <w:left w:val="none" w:sz="0" w:space="0" w:color="auto"/>
        <w:bottom w:val="none" w:sz="0" w:space="0" w:color="auto"/>
        <w:right w:val="none" w:sz="0" w:space="0" w:color="auto"/>
      </w:divBdr>
    </w:div>
    <w:div w:id="697047674">
      <w:bodyDiv w:val="1"/>
      <w:marLeft w:val="0"/>
      <w:marRight w:val="0"/>
      <w:marTop w:val="0"/>
      <w:marBottom w:val="0"/>
      <w:divBdr>
        <w:top w:val="none" w:sz="0" w:space="0" w:color="auto"/>
        <w:left w:val="none" w:sz="0" w:space="0" w:color="auto"/>
        <w:bottom w:val="none" w:sz="0" w:space="0" w:color="auto"/>
        <w:right w:val="none" w:sz="0" w:space="0" w:color="auto"/>
      </w:divBdr>
    </w:div>
    <w:div w:id="697126812">
      <w:bodyDiv w:val="1"/>
      <w:marLeft w:val="0"/>
      <w:marRight w:val="0"/>
      <w:marTop w:val="0"/>
      <w:marBottom w:val="0"/>
      <w:divBdr>
        <w:top w:val="none" w:sz="0" w:space="0" w:color="auto"/>
        <w:left w:val="none" w:sz="0" w:space="0" w:color="auto"/>
        <w:bottom w:val="none" w:sz="0" w:space="0" w:color="auto"/>
        <w:right w:val="none" w:sz="0" w:space="0" w:color="auto"/>
      </w:divBdr>
    </w:div>
    <w:div w:id="697507163">
      <w:bodyDiv w:val="1"/>
      <w:marLeft w:val="0"/>
      <w:marRight w:val="0"/>
      <w:marTop w:val="0"/>
      <w:marBottom w:val="0"/>
      <w:divBdr>
        <w:top w:val="none" w:sz="0" w:space="0" w:color="auto"/>
        <w:left w:val="none" w:sz="0" w:space="0" w:color="auto"/>
        <w:bottom w:val="none" w:sz="0" w:space="0" w:color="auto"/>
        <w:right w:val="none" w:sz="0" w:space="0" w:color="auto"/>
      </w:divBdr>
    </w:div>
    <w:div w:id="697507428">
      <w:bodyDiv w:val="1"/>
      <w:marLeft w:val="0"/>
      <w:marRight w:val="0"/>
      <w:marTop w:val="0"/>
      <w:marBottom w:val="0"/>
      <w:divBdr>
        <w:top w:val="none" w:sz="0" w:space="0" w:color="auto"/>
        <w:left w:val="none" w:sz="0" w:space="0" w:color="auto"/>
        <w:bottom w:val="none" w:sz="0" w:space="0" w:color="auto"/>
        <w:right w:val="none" w:sz="0" w:space="0" w:color="auto"/>
      </w:divBdr>
    </w:div>
    <w:div w:id="697510154">
      <w:bodyDiv w:val="1"/>
      <w:marLeft w:val="0"/>
      <w:marRight w:val="0"/>
      <w:marTop w:val="0"/>
      <w:marBottom w:val="0"/>
      <w:divBdr>
        <w:top w:val="none" w:sz="0" w:space="0" w:color="auto"/>
        <w:left w:val="none" w:sz="0" w:space="0" w:color="auto"/>
        <w:bottom w:val="none" w:sz="0" w:space="0" w:color="auto"/>
        <w:right w:val="none" w:sz="0" w:space="0" w:color="auto"/>
      </w:divBdr>
    </w:div>
    <w:div w:id="697656675">
      <w:bodyDiv w:val="1"/>
      <w:marLeft w:val="0"/>
      <w:marRight w:val="0"/>
      <w:marTop w:val="0"/>
      <w:marBottom w:val="0"/>
      <w:divBdr>
        <w:top w:val="none" w:sz="0" w:space="0" w:color="auto"/>
        <w:left w:val="none" w:sz="0" w:space="0" w:color="auto"/>
        <w:bottom w:val="none" w:sz="0" w:space="0" w:color="auto"/>
        <w:right w:val="none" w:sz="0" w:space="0" w:color="auto"/>
      </w:divBdr>
    </w:div>
    <w:div w:id="697656792">
      <w:bodyDiv w:val="1"/>
      <w:marLeft w:val="0"/>
      <w:marRight w:val="0"/>
      <w:marTop w:val="0"/>
      <w:marBottom w:val="0"/>
      <w:divBdr>
        <w:top w:val="none" w:sz="0" w:space="0" w:color="auto"/>
        <w:left w:val="none" w:sz="0" w:space="0" w:color="auto"/>
        <w:bottom w:val="none" w:sz="0" w:space="0" w:color="auto"/>
        <w:right w:val="none" w:sz="0" w:space="0" w:color="auto"/>
      </w:divBdr>
    </w:div>
    <w:div w:id="697704721">
      <w:bodyDiv w:val="1"/>
      <w:marLeft w:val="0"/>
      <w:marRight w:val="0"/>
      <w:marTop w:val="0"/>
      <w:marBottom w:val="0"/>
      <w:divBdr>
        <w:top w:val="none" w:sz="0" w:space="0" w:color="auto"/>
        <w:left w:val="none" w:sz="0" w:space="0" w:color="auto"/>
        <w:bottom w:val="none" w:sz="0" w:space="0" w:color="auto"/>
        <w:right w:val="none" w:sz="0" w:space="0" w:color="auto"/>
      </w:divBdr>
    </w:div>
    <w:div w:id="697782404">
      <w:bodyDiv w:val="1"/>
      <w:marLeft w:val="0"/>
      <w:marRight w:val="0"/>
      <w:marTop w:val="0"/>
      <w:marBottom w:val="0"/>
      <w:divBdr>
        <w:top w:val="none" w:sz="0" w:space="0" w:color="auto"/>
        <w:left w:val="none" w:sz="0" w:space="0" w:color="auto"/>
        <w:bottom w:val="none" w:sz="0" w:space="0" w:color="auto"/>
        <w:right w:val="none" w:sz="0" w:space="0" w:color="auto"/>
      </w:divBdr>
    </w:div>
    <w:div w:id="697782554">
      <w:bodyDiv w:val="1"/>
      <w:marLeft w:val="0"/>
      <w:marRight w:val="0"/>
      <w:marTop w:val="0"/>
      <w:marBottom w:val="0"/>
      <w:divBdr>
        <w:top w:val="none" w:sz="0" w:space="0" w:color="auto"/>
        <w:left w:val="none" w:sz="0" w:space="0" w:color="auto"/>
        <w:bottom w:val="none" w:sz="0" w:space="0" w:color="auto"/>
        <w:right w:val="none" w:sz="0" w:space="0" w:color="auto"/>
      </w:divBdr>
    </w:div>
    <w:div w:id="697852750">
      <w:bodyDiv w:val="1"/>
      <w:marLeft w:val="0"/>
      <w:marRight w:val="0"/>
      <w:marTop w:val="0"/>
      <w:marBottom w:val="0"/>
      <w:divBdr>
        <w:top w:val="none" w:sz="0" w:space="0" w:color="auto"/>
        <w:left w:val="none" w:sz="0" w:space="0" w:color="auto"/>
        <w:bottom w:val="none" w:sz="0" w:space="0" w:color="auto"/>
        <w:right w:val="none" w:sz="0" w:space="0" w:color="auto"/>
      </w:divBdr>
    </w:div>
    <w:div w:id="697893288">
      <w:bodyDiv w:val="1"/>
      <w:marLeft w:val="0"/>
      <w:marRight w:val="0"/>
      <w:marTop w:val="0"/>
      <w:marBottom w:val="0"/>
      <w:divBdr>
        <w:top w:val="none" w:sz="0" w:space="0" w:color="auto"/>
        <w:left w:val="none" w:sz="0" w:space="0" w:color="auto"/>
        <w:bottom w:val="none" w:sz="0" w:space="0" w:color="auto"/>
        <w:right w:val="none" w:sz="0" w:space="0" w:color="auto"/>
      </w:divBdr>
    </w:div>
    <w:div w:id="698120346">
      <w:bodyDiv w:val="1"/>
      <w:marLeft w:val="0"/>
      <w:marRight w:val="0"/>
      <w:marTop w:val="0"/>
      <w:marBottom w:val="0"/>
      <w:divBdr>
        <w:top w:val="none" w:sz="0" w:space="0" w:color="auto"/>
        <w:left w:val="none" w:sz="0" w:space="0" w:color="auto"/>
        <w:bottom w:val="none" w:sz="0" w:space="0" w:color="auto"/>
        <w:right w:val="none" w:sz="0" w:space="0" w:color="auto"/>
      </w:divBdr>
    </w:div>
    <w:div w:id="698235984">
      <w:bodyDiv w:val="1"/>
      <w:marLeft w:val="0"/>
      <w:marRight w:val="0"/>
      <w:marTop w:val="0"/>
      <w:marBottom w:val="0"/>
      <w:divBdr>
        <w:top w:val="none" w:sz="0" w:space="0" w:color="auto"/>
        <w:left w:val="none" w:sz="0" w:space="0" w:color="auto"/>
        <w:bottom w:val="none" w:sz="0" w:space="0" w:color="auto"/>
        <w:right w:val="none" w:sz="0" w:space="0" w:color="auto"/>
      </w:divBdr>
    </w:div>
    <w:div w:id="698314288">
      <w:bodyDiv w:val="1"/>
      <w:marLeft w:val="0"/>
      <w:marRight w:val="0"/>
      <w:marTop w:val="0"/>
      <w:marBottom w:val="0"/>
      <w:divBdr>
        <w:top w:val="none" w:sz="0" w:space="0" w:color="auto"/>
        <w:left w:val="none" w:sz="0" w:space="0" w:color="auto"/>
        <w:bottom w:val="none" w:sz="0" w:space="0" w:color="auto"/>
        <w:right w:val="none" w:sz="0" w:space="0" w:color="auto"/>
      </w:divBdr>
    </w:div>
    <w:div w:id="698437456">
      <w:bodyDiv w:val="1"/>
      <w:marLeft w:val="0"/>
      <w:marRight w:val="0"/>
      <w:marTop w:val="0"/>
      <w:marBottom w:val="0"/>
      <w:divBdr>
        <w:top w:val="none" w:sz="0" w:space="0" w:color="auto"/>
        <w:left w:val="none" w:sz="0" w:space="0" w:color="auto"/>
        <w:bottom w:val="none" w:sz="0" w:space="0" w:color="auto"/>
        <w:right w:val="none" w:sz="0" w:space="0" w:color="auto"/>
      </w:divBdr>
    </w:div>
    <w:div w:id="698437619">
      <w:bodyDiv w:val="1"/>
      <w:marLeft w:val="0"/>
      <w:marRight w:val="0"/>
      <w:marTop w:val="0"/>
      <w:marBottom w:val="0"/>
      <w:divBdr>
        <w:top w:val="none" w:sz="0" w:space="0" w:color="auto"/>
        <w:left w:val="none" w:sz="0" w:space="0" w:color="auto"/>
        <w:bottom w:val="none" w:sz="0" w:space="0" w:color="auto"/>
        <w:right w:val="none" w:sz="0" w:space="0" w:color="auto"/>
      </w:divBdr>
    </w:div>
    <w:div w:id="698510717">
      <w:bodyDiv w:val="1"/>
      <w:marLeft w:val="0"/>
      <w:marRight w:val="0"/>
      <w:marTop w:val="0"/>
      <w:marBottom w:val="0"/>
      <w:divBdr>
        <w:top w:val="none" w:sz="0" w:space="0" w:color="auto"/>
        <w:left w:val="none" w:sz="0" w:space="0" w:color="auto"/>
        <w:bottom w:val="none" w:sz="0" w:space="0" w:color="auto"/>
        <w:right w:val="none" w:sz="0" w:space="0" w:color="auto"/>
      </w:divBdr>
    </w:div>
    <w:div w:id="698624197">
      <w:bodyDiv w:val="1"/>
      <w:marLeft w:val="0"/>
      <w:marRight w:val="0"/>
      <w:marTop w:val="0"/>
      <w:marBottom w:val="0"/>
      <w:divBdr>
        <w:top w:val="none" w:sz="0" w:space="0" w:color="auto"/>
        <w:left w:val="none" w:sz="0" w:space="0" w:color="auto"/>
        <w:bottom w:val="none" w:sz="0" w:space="0" w:color="auto"/>
        <w:right w:val="none" w:sz="0" w:space="0" w:color="auto"/>
      </w:divBdr>
    </w:div>
    <w:div w:id="698625209">
      <w:bodyDiv w:val="1"/>
      <w:marLeft w:val="0"/>
      <w:marRight w:val="0"/>
      <w:marTop w:val="0"/>
      <w:marBottom w:val="0"/>
      <w:divBdr>
        <w:top w:val="none" w:sz="0" w:space="0" w:color="auto"/>
        <w:left w:val="none" w:sz="0" w:space="0" w:color="auto"/>
        <w:bottom w:val="none" w:sz="0" w:space="0" w:color="auto"/>
        <w:right w:val="none" w:sz="0" w:space="0" w:color="auto"/>
      </w:divBdr>
    </w:div>
    <w:div w:id="698625408">
      <w:bodyDiv w:val="1"/>
      <w:marLeft w:val="0"/>
      <w:marRight w:val="0"/>
      <w:marTop w:val="0"/>
      <w:marBottom w:val="0"/>
      <w:divBdr>
        <w:top w:val="none" w:sz="0" w:space="0" w:color="auto"/>
        <w:left w:val="none" w:sz="0" w:space="0" w:color="auto"/>
        <w:bottom w:val="none" w:sz="0" w:space="0" w:color="auto"/>
        <w:right w:val="none" w:sz="0" w:space="0" w:color="auto"/>
      </w:divBdr>
    </w:div>
    <w:div w:id="698631156">
      <w:bodyDiv w:val="1"/>
      <w:marLeft w:val="0"/>
      <w:marRight w:val="0"/>
      <w:marTop w:val="0"/>
      <w:marBottom w:val="0"/>
      <w:divBdr>
        <w:top w:val="none" w:sz="0" w:space="0" w:color="auto"/>
        <w:left w:val="none" w:sz="0" w:space="0" w:color="auto"/>
        <w:bottom w:val="none" w:sz="0" w:space="0" w:color="auto"/>
        <w:right w:val="none" w:sz="0" w:space="0" w:color="auto"/>
      </w:divBdr>
    </w:div>
    <w:div w:id="698631563">
      <w:bodyDiv w:val="1"/>
      <w:marLeft w:val="0"/>
      <w:marRight w:val="0"/>
      <w:marTop w:val="0"/>
      <w:marBottom w:val="0"/>
      <w:divBdr>
        <w:top w:val="none" w:sz="0" w:space="0" w:color="auto"/>
        <w:left w:val="none" w:sz="0" w:space="0" w:color="auto"/>
        <w:bottom w:val="none" w:sz="0" w:space="0" w:color="auto"/>
        <w:right w:val="none" w:sz="0" w:space="0" w:color="auto"/>
      </w:divBdr>
    </w:div>
    <w:div w:id="698700127">
      <w:bodyDiv w:val="1"/>
      <w:marLeft w:val="0"/>
      <w:marRight w:val="0"/>
      <w:marTop w:val="0"/>
      <w:marBottom w:val="0"/>
      <w:divBdr>
        <w:top w:val="none" w:sz="0" w:space="0" w:color="auto"/>
        <w:left w:val="none" w:sz="0" w:space="0" w:color="auto"/>
        <w:bottom w:val="none" w:sz="0" w:space="0" w:color="auto"/>
        <w:right w:val="none" w:sz="0" w:space="0" w:color="auto"/>
      </w:divBdr>
    </w:div>
    <w:div w:id="698970579">
      <w:bodyDiv w:val="1"/>
      <w:marLeft w:val="0"/>
      <w:marRight w:val="0"/>
      <w:marTop w:val="0"/>
      <w:marBottom w:val="0"/>
      <w:divBdr>
        <w:top w:val="none" w:sz="0" w:space="0" w:color="auto"/>
        <w:left w:val="none" w:sz="0" w:space="0" w:color="auto"/>
        <w:bottom w:val="none" w:sz="0" w:space="0" w:color="auto"/>
        <w:right w:val="none" w:sz="0" w:space="0" w:color="auto"/>
      </w:divBdr>
    </w:div>
    <w:div w:id="699088008">
      <w:bodyDiv w:val="1"/>
      <w:marLeft w:val="0"/>
      <w:marRight w:val="0"/>
      <w:marTop w:val="0"/>
      <w:marBottom w:val="0"/>
      <w:divBdr>
        <w:top w:val="none" w:sz="0" w:space="0" w:color="auto"/>
        <w:left w:val="none" w:sz="0" w:space="0" w:color="auto"/>
        <w:bottom w:val="none" w:sz="0" w:space="0" w:color="auto"/>
        <w:right w:val="none" w:sz="0" w:space="0" w:color="auto"/>
      </w:divBdr>
    </w:div>
    <w:div w:id="699286952">
      <w:bodyDiv w:val="1"/>
      <w:marLeft w:val="0"/>
      <w:marRight w:val="0"/>
      <w:marTop w:val="0"/>
      <w:marBottom w:val="0"/>
      <w:divBdr>
        <w:top w:val="none" w:sz="0" w:space="0" w:color="auto"/>
        <w:left w:val="none" w:sz="0" w:space="0" w:color="auto"/>
        <w:bottom w:val="none" w:sz="0" w:space="0" w:color="auto"/>
        <w:right w:val="none" w:sz="0" w:space="0" w:color="auto"/>
      </w:divBdr>
    </w:div>
    <w:div w:id="699476024">
      <w:bodyDiv w:val="1"/>
      <w:marLeft w:val="0"/>
      <w:marRight w:val="0"/>
      <w:marTop w:val="0"/>
      <w:marBottom w:val="0"/>
      <w:divBdr>
        <w:top w:val="none" w:sz="0" w:space="0" w:color="auto"/>
        <w:left w:val="none" w:sz="0" w:space="0" w:color="auto"/>
        <w:bottom w:val="none" w:sz="0" w:space="0" w:color="auto"/>
        <w:right w:val="none" w:sz="0" w:space="0" w:color="auto"/>
      </w:divBdr>
    </w:div>
    <w:div w:id="699554491">
      <w:bodyDiv w:val="1"/>
      <w:marLeft w:val="0"/>
      <w:marRight w:val="0"/>
      <w:marTop w:val="0"/>
      <w:marBottom w:val="0"/>
      <w:divBdr>
        <w:top w:val="none" w:sz="0" w:space="0" w:color="auto"/>
        <w:left w:val="none" w:sz="0" w:space="0" w:color="auto"/>
        <w:bottom w:val="none" w:sz="0" w:space="0" w:color="auto"/>
        <w:right w:val="none" w:sz="0" w:space="0" w:color="auto"/>
      </w:divBdr>
    </w:div>
    <w:div w:id="699671309">
      <w:bodyDiv w:val="1"/>
      <w:marLeft w:val="0"/>
      <w:marRight w:val="0"/>
      <w:marTop w:val="0"/>
      <w:marBottom w:val="0"/>
      <w:divBdr>
        <w:top w:val="none" w:sz="0" w:space="0" w:color="auto"/>
        <w:left w:val="none" w:sz="0" w:space="0" w:color="auto"/>
        <w:bottom w:val="none" w:sz="0" w:space="0" w:color="auto"/>
        <w:right w:val="none" w:sz="0" w:space="0" w:color="auto"/>
      </w:divBdr>
    </w:div>
    <w:div w:id="699742509">
      <w:bodyDiv w:val="1"/>
      <w:marLeft w:val="0"/>
      <w:marRight w:val="0"/>
      <w:marTop w:val="0"/>
      <w:marBottom w:val="0"/>
      <w:divBdr>
        <w:top w:val="none" w:sz="0" w:space="0" w:color="auto"/>
        <w:left w:val="none" w:sz="0" w:space="0" w:color="auto"/>
        <w:bottom w:val="none" w:sz="0" w:space="0" w:color="auto"/>
        <w:right w:val="none" w:sz="0" w:space="0" w:color="auto"/>
      </w:divBdr>
    </w:div>
    <w:div w:id="699742648">
      <w:bodyDiv w:val="1"/>
      <w:marLeft w:val="0"/>
      <w:marRight w:val="0"/>
      <w:marTop w:val="0"/>
      <w:marBottom w:val="0"/>
      <w:divBdr>
        <w:top w:val="none" w:sz="0" w:space="0" w:color="auto"/>
        <w:left w:val="none" w:sz="0" w:space="0" w:color="auto"/>
        <w:bottom w:val="none" w:sz="0" w:space="0" w:color="auto"/>
        <w:right w:val="none" w:sz="0" w:space="0" w:color="auto"/>
      </w:divBdr>
    </w:div>
    <w:div w:id="699747762">
      <w:bodyDiv w:val="1"/>
      <w:marLeft w:val="0"/>
      <w:marRight w:val="0"/>
      <w:marTop w:val="0"/>
      <w:marBottom w:val="0"/>
      <w:divBdr>
        <w:top w:val="none" w:sz="0" w:space="0" w:color="auto"/>
        <w:left w:val="none" w:sz="0" w:space="0" w:color="auto"/>
        <w:bottom w:val="none" w:sz="0" w:space="0" w:color="auto"/>
        <w:right w:val="none" w:sz="0" w:space="0" w:color="auto"/>
      </w:divBdr>
    </w:div>
    <w:div w:id="699819036">
      <w:bodyDiv w:val="1"/>
      <w:marLeft w:val="0"/>
      <w:marRight w:val="0"/>
      <w:marTop w:val="0"/>
      <w:marBottom w:val="0"/>
      <w:divBdr>
        <w:top w:val="none" w:sz="0" w:space="0" w:color="auto"/>
        <w:left w:val="none" w:sz="0" w:space="0" w:color="auto"/>
        <w:bottom w:val="none" w:sz="0" w:space="0" w:color="auto"/>
        <w:right w:val="none" w:sz="0" w:space="0" w:color="auto"/>
      </w:divBdr>
    </w:div>
    <w:div w:id="699935627">
      <w:bodyDiv w:val="1"/>
      <w:marLeft w:val="0"/>
      <w:marRight w:val="0"/>
      <w:marTop w:val="0"/>
      <w:marBottom w:val="0"/>
      <w:divBdr>
        <w:top w:val="none" w:sz="0" w:space="0" w:color="auto"/>
        <w:left w:val="none" w:sz="0" w:space="0" w:color="auto"/>
        <w:bottom w:val="none" w:sz="0" w:space="0" w:color="auto"/>
        <w:right w:val="none" w:sz="0" w:space="0" w:color="auto"/>
      </w:divBdr>
    </w:div>
    <w:div w:id="700008962">
      <w:bodyDiv w:val="1"/>
      <w:marLeft w:val="0"/>
      <w:marRight w:val="0"/>
      <w:marTop w:val="0"/>
      <w:marBottom w:val="0"/>
      <w:divBdr>
        <w:top w:val="none" w:sz="0" w:space="0" w:color="auto"/>
        <w:left w:val="none" w:sz="0" w:space="0" w:color="auto"/>
        <w:bottom w:val="none" w:sz="0" w:space="0" w:color="auto"/>
        <w:right w:val="none" w:sz="0" w:space="0" w:color="auto"/>
      </w:divBdr>
    </w:div>
    <w:div w:id="700055769">
      <w:bodyDiv w:val="1"/>
      <w:marLeft w:val="0"/>
      <w:marRight w:val="0"/>
      <w:marTop w:val="0"/>
      <w:marBottom w:val="0"/>
      <w:divBdr>
        <w:top w:val="none" w:sz="0" w:space="0" w:color="auto"/>
        <w:left w:val="none" w:sz="0" w:space="0" w:color="auto"/>
        <w:bottom w:val="none" w:sz="0" w:space="0" w:color="auto"/>
        <w:right w:val="none" w:sz="0" w:space="0" w:color="auto"/>
      </w:divBdr>
    </w:div>
    <w:div w:id="700087318">
      <w:bodyDiv w:val="1"/>
      <w:marLeft w:val="0"/>
      <w:marRight w:val="0"/>
      <w:marTop w:val="0"/>
      <w:marBottom w:val="0"/>
      <w:divBdr>
        <w:top w:val="none" w:sz="0" w:space="0" w:color="auto"/>
        <w:left w:val="none" w:sz="0" w:space="0" w:color="auto"/>
        <w:bottom w:val="none" w:sz="0" w:space="0" w:color="auto"/>
        <w:right w:val="none" w:sz="0" w:space="0" w:color="auto"/>
      </w:divBdr>
    </w:div>
    <w:div w:id="700202522">
      <w:bodyDiv w:val="1"/>
      <w:marLeft w:val="0"/>
      <w:marRight w:val="0"/>
      <w:marTop w:val="0"/>
      <w:marBottom w:val="0"/>
      <w:divBdr>
        <w:top w:val="none" w:sz="0" w:space="0" w:color="auto"/>
        <w:left w:val="none" w:sz="0" w:space="0" w:color="auto"/>
        <w:bottom w:val="none" w:sz="0" w:space="0" w:color="auto"/>
        <w:right w:val="none" w:sz="0" w:space="0" w:color="auto"/>
      </w:divBdr>
    </w:div>
    <w:div w:id="700321617">
      <w:bodyDiv w:val="1"/>
      <w:marLeft w:val="0"/>
      <w:marRight w:val="0"/>
      <w:marTop w:val="0"/>
      <w:marBottom w:val="0"/>
      <w:divBdr>
        <w:top w:val="none" w:sz="0" w:space="0" w:color="auto"/>
        <w:left w:val="none" w:sz="0" w:space="0" w:color="auto"/>
        <w:bottom w:val="none" w:sz="0" w:space="0" w:color="auto"/>
        <w:right w:val="none" w:sz="0" w:space="0" w:color="auto"/>
      </w:divBdr>
    </w:div>
    <w:div w:id="700396108">
      <w:bodyDiv w:val="1"/>
      <w:marLeft w:val="0"/>
      <w:marRight w:val="0"/>
      <w:marTop w:val="0"/>
      <w:marBottom w:val="0"/>
      <w:divBdr>
        <w:top w:val="none" w:sz="0" w:space="0" w:color="auto"/>
        <w:left w:val="none" w:sz="0" w:space="0" w:color="auto"/>
        <w:bottom w:val="none" w:sz="0" w:space="0" w:color="auto"/>
        <w:right w:val="none" w:sz="0" w:space="0" w:color="auto"/>
      </w:divBdr>
    </w:div>
    <w:div w:id="700711417">
      <w:bodyDiv w:val="1"/>
      <w:marLeft w:val="0"/>
      <w:marRight w:val="0"/>
      <w:marTop w:val="0"/>
      <w:marBottom w:val="0"/>
      <w:divBdr>
        <w:top w:val="none" w:sz="0" w:space="0" w:color="auto"/>
        <w:left w:val="none" w:sz="0" w:space="0" w:color="auto"/>
        <w:bottom w:val="none" w:sz="0" w:space="0" w:color="auto"/>
        <w:right w:val="none" w:sz="0" w:space="0" w:color="auto"/>
      </w:divBdr>
    </w:div>
    <w:div w:id="700740203">
      <w:bodyDiv w:val="1"/>
      <w:marLeft w:val="0"/>
      <w:marRight w:val="0"/>
      <w:marTop w:val="0"/>
      <w:marBottom w:val="0"/>
      <w:divBdr>
        <w:top w:val="none" w:sz="0" w:space="0" w:color="auto"/>
        <w:left w:val="none" w:sz="0" w:space="0" w:color="auto"/>
        <w:bottom w:val="none" w:sz="0" w:space="0" w:color="auto"/>
        <w:right w:val="none" w:sz="0" w:space="0" w:color="auto"/>
      </w:divBdr>
    </w:div>
    <w:div w:id="700743338">
      <w:bodyDiv w:val="1"/>
      <w:marLeft w:val="0"/>
      <w:marRight w:val="0"/>
      <w:marTop w:val="0"/>
      <w:marBottom w:val="0"/>
      <w:divBdr>
        <w:top w:val="none" w:sz="0" w:space="0" w:color="auto"/>
        <w:left w:val="none" w:sz="0" w:space="0" w:color="auto"/>
        <w:bottom w:val="none" w:sz="0" w:space="0" w:color="auto"/>
        <w:right w:val="none" w:sz="0" w:space="0" w:color="auto"/>
      </w:divBdr>
    </w:div>
    <w:div w:id="700859480">
      <w:bodyDiv w:val="1"/>
      <w:marLeft w:val="0"/>
      <w:marRight w:val="0"/>
      <w:marTop w:val="0"/>
      <w:marBottom w:val="0"/>
      <w:divBdr>
        <w:top w:val="none" w:sz="0" w:space="0" w:color="auto"/>
        <w:left w:val="none" w:sz="0" w:space="0" w:color="auto"/>
        <w:bottom w:val="none" w:sz="0" w:space="0" w:color="auto"/>
        <w:right w:val="none" w:sz="0" w:space="0" w:color="auto"/>
      </w:divBdr>
    </w:div>
    <w:div w:id="700865460">
      <w:bodyDiv w:val="1"/>
      <w:marLeft w:val="0"/>
      <w:marRight w:val="0"/>
      <w:marTop w:val="0"/>
      <w:marBottom w:val="0"/>
      <w:divBdr>
        <w:top w:val="none" w:sz="0" w:space="0" w:color="auto"/>
        <w:left w:val="none" w:sz="0" w:space="0" w:color="auto"/>
        <w:bottom w:val="none" w:sz="0" w:space="0" w:color="auto"/>
        <w:right w:val="none" w:sz="0" w:space="0" w:color="auto"/>
      </w:divBdr>
    </w:div>
    <w:div w:id="700939444">
      <w:bodyDiv w:val="1"/>
      <w:marLeft w:val="0"/>
      <w:marRight w:val="0"/>
      <w:marTop w:val="0"/>
      <w:marBottom w:val="0"/>
      <w:divBdr>
        <w:top w:val="none" w:sz="0" w:space="0" w:color="auto"/>
        <w:left w:val="none" w:sz="0" w:space="0" w:color="auto"/>
        <w:bottom w:val="none" w:sz="0" w:space="0" w:color="auto"/>
        <w:right w:val="none" w:sz="0" w:space="0" w:color="auto"/>
      </w:divBdr>
    </w:div>
    <w:div w:id="701174802">
      <w:bodyDiv w:val="1"/>
      <w:marLeft w:val="0"/>
      <w:marRight w:val="0"/>
      <w:marTop w:val="0"/>
      <w:marBottom w:val="0"/>
      <w:divBdr>
        <w:top w:val="none" w:sz="0" w:space="0" w:color="auto"/>
        <w:left w:val="none" w:sz="0" w:space="0" w:color="auto"/>
        <w:bottom w:val="none" w:sz="0" w:space="0" w:color="auto"/>
        <w:right w:val="none" w:sz="0" w:space="0" w:color="auto"/>
      </w:divBdr>
    </w:div>
    <w:div w:id="701246521">
      <w:bodyDiv w:val="1"/>
      <w:marLeft w:val="0"/>
      <w:marRight w:val="0"/>
      <w:marTop w:val="0"/>
      <w:marBottom w:val="0"/>
      <w:divBdr>
        <w:top w:val="none" w:sz="0" w:space="0" w:color="auto"/>
        <w:left w:val="none" w:sz="0" w:space="0" w:color="auto"/>
        <w:bottom w:val="none" w:sz="0" w:space="0" w:color="auto"/>
        <w:right w:val="none" w:sz="0" w:space="0" w:color="auto"/>
      </w:divBdr>
    </w:div>
    <w:div w:id="701319686">
      <w:bodyDiv w:val="1"/>
      <w:marLeft w:val="0"/>
      <w:marRight w:val="0"/>
      <w:marTop w:val="0"/>
      <w:marBottom w:val="0"/>
      <w:divBdr>
        <w:top w:val="none" w:sz="0" w:space="0" w:color="auto"/>
        <w:left w:val="none" w:sz="0" w:space="0" w:color="auto"/>
        <w:bottom w:val="none" w:sz="0" w:space="0" w:color="auto"/>
        <w:right w:val="none" w:sz="0" w:space="0" w:color="auto"/>
      </w:divBdr>
    </w:div>
    <w:div w:id="701323012">
      <w:bodyDiv w:val="1"/>
      <w:marLeft w:val="0"/>
      <w:marRight w:val="0"/>
      <w:marTop w:val="0"/>
      <w:marBottom w:val="0"/>
      <w:divBdr>
        <w:top w:val="none" w:sz="0" w:space="0" w:color="auto"/>
        <w:left w:val="none" w:sz="0" w:space="0" w:color="auto"/>
        <w:bottom w:val="none" w:sz="0" w:space="0" w:color="auto"/>
        <w:right w:val="none" w:sz="0" w:space="0" w:color="auto"/>
      </w:divBdr>
    </w:div>
    <w:div w:id="701369597">
      <w:bodyDiv w:val="1"/>
      <w:marLeft w:val="0"/>
      <w:marRight w:val="0"/>
      <w:marTop w:val="0"/>
      <w:marBottom w:val="0"/>
      <w:divBdr>
        <w:top w:val="none" w:sz="0" w:space="0" w:color="auto"/>
        <w:left w:val="none" w:sz="0" w:space="0" w:color="auto"/>
        <w:bottom w:val="none" w:sz="0" w:space="0" w:color="auto"/>
        <w:right w:val="none" w:sz="0" w:space="0" w:color="auto"/>
      </w:divBdr>
    </w:div>
    <w:div w:id="701437163">
      <w:bodyDiv w:val="1"/>
      <w:marLeft w:val="0"/>
      <w:marRight w:val="0"/>
      <w:marTop w:val="0"/>
      <w:marBottom w:val="0"/>
      <w:divBdr>
        <w:top w:val="none" w:sz="0" w:space="0" w:color="auto"/>
        <w:left w:val="none" w:sz="0" w:space="0" w:color="auto"/>
        <w:bottom w:val="none" w:sz="0" w:space="0" w:color="auto"/>
        <w:right w:val="none" w:sz="0" w:space="0" w:color="auto"/>
      </w:divBdr>
    </w:div>
    <w:div w:id="701514842">
      <w:bodyDiv w:val="1"/>
      <w:marLeft w:val="0"/>
      <w:marRight w:val="0"/>
      <w:marTop w:val="0"/>
      <w:marBottom w:val="0"/>
      <w:divBdr>
        <w:top w:val="none" w:sz="0" w:space="0" w:color="auto"/>
        <w:left w:val="none" w:sz="0" w:space="0" w:color="auto"/>
        <w:bottom w:val="none" w:sz="0" w:space="0" w:color="auto"/>
        <w:right w:val="none" w:sz="0" w:space="0" w:color="auto"/>
      </w:divBdr>
    </w:div>
    <w:div w:id="701591096">
      <w:bodyDiv w:val="1"/>
      <w:marLeft w:val="0"/>
      <w:marRight w:val="0"/>
      <w:marTop w:val="0"/>
      <w:marBottom w:val="0"/>
      <w:divBdr>
        <w:top w:val="none" w:sz="0" w:space="0" w:color="auto"/>
        <w:left w:val="none" w:sz="0" w:space="0" w:color="auto"/>
        <w:bottom w:val="none" w:sz="0" w:space="0" w:color="auto"/>
        <w:right w:val="none" w:sz="0" w:space="0" w:color="auto"/>
      </w:divBdr>
    </w:div>
    <w:div w:id="701594413">
      <w:bodyDiv w:val="1"/>
      <w:marLeft w:val="0"/>
      <w:marRight w:val="0"/>
      <w:marTop w:val="0"/>
      <w:marBottom w:val="0"/>
      <w:divBdr>
        <w:top w:val="none" w:sz="0" w:space="0" w:color="auto"/>
        <w:left w:val="none" w:sz="0" w:space="0" w:color="auto"/>
        <w:bottom w:val="none" w:sz="0" w:space="0" w:color="auto"/>
        <w:right w:val="none" w:sz="0" w:space="0" w:color="auto"/>
      </w:divBdr>
    </w:div>
    <w:div w:id="701633492">
      <w:bodyDiv w:val="1"/>
      <w:marLeft w:val="0"/>
      <w:marRight w:val="0"/>
      <w:marTop w:val="0"/>
      <w:marBottom w:val="0"/>
      <w:divBdr>
        <w:top w:val="none" w:sz="0" w:space="0" w:color="auto"/>
        <w:left w:val="none" w:sz="0" w:space="0" w:color="auto"/>
        <w:bottom w:val="none" w:sz="0" w:space="0" w:color="auto"/>
        <w:right w:val="none" w:sz="0" w:space="0" w:color="auto"/>
      </w:divBdr>
    </w:div>
    <w:div w:id="701638738">
      <w:bodyDiv w:val="1"/>
      <w:marLeft w:val="0"/>
      <w:marRight w:val="0"/>
      <w:marTop w:val="0"/>
      <w:marBottom w:val="0"/>
      <w:divBdr>
        <w:top w:val="none" w:sz="0" w:space="0" w:color="auto"/>
        <w:left w:val="none" w:sz="0" w:space="0" w:color="auto"/>
        <w:bottom w:val="none" w:sz="0" w:space="0" w:color="auto"/>
        <w:right w:val="none" w:sz="0" w:space="0" w:color="auto"/>
      </w:divBdr>
    </w:div>
    <w:div w:id="701788435">
      <w:bodyDiv w:val="1"/>
      <w:marLeft w:val="0"/>
      <w:marRight w:val="0"/>
      <w:marTop w:val="0"/>
      <w:marBottom w:val="0"/>
      <w:divBdr>
        <w:top w:val="none" w:sz="0" w:space="0" w:color="auto"/>
        <w:left w:val="none" w:sz="0" w:space="0" w:color="auto"/>
        <w:bottom w:val="none" w:sz="0" w:space="0" w:color="auto"/>
        <w:right w:val="none" w:sz="0" w:space="0" w:color="auto"/>
      </w:divBdr>
    </w:div>
    <w:div w:id="701905141">
      <w:bodyDiv w:val="1"/>
      <w:marLeft w:val="0"/>
      <w:marRight w:val="0"/>
      <w:marTop w:val="0"/>
      <w:marBottom w:val="0"/>
      <w:divBdr>
        <w:top w:val="none" w:sz="0" w:space="0" w:color="auto"/>
        <w:left w:val="none" w:sz="0" w:space="0" w:color="auto"/>
        <w:bottom w:val="none" w:sz="0" w:space="0" w:color="auto"/>
        <w:right w:val="none" w:sz="0" w:space="0" w:color="auto"/>
      </w:divBdr>
    </w:div>
    <w:div w:id="701974645">
      <w:bodyDiv w:val="1"/>
      <w:marLeft w:val="0"/>
      <w:marRight w:val="0"/>
      <w:marTop w:val="0"/>
      <w:marBottom w:val="0"/>
      <w:divBdr>
        <w:top w:val="none" w:sz="0" w:space="0" w:color="auto"/>
        <w:left w:val="none" w:sz="0" w:space="0" w:color="auto"/>
        <w:bottom w:val="none" w:sz="0" w:space="0" w:color="auto"/>
        <w:right w:val="none" w:sz="0" w:space="0" w:color="auto"/>
      </w:divBdr>
    </w:div>
    <w:div w:id="702025731">
      <w:bodyDiv w:val="1"/>
      <w:marLeft w:val="0"/>
      <w:marRight w:val="0"/>
      <w:marTop w:val="0"/>
      <w:marBottom w:val="0"/>
      <w:divBdr>
        <w:top w:val="none" w:sz="0" w:space="0" w:color="auto"/>
        <w:left w:val="none" w:sz="0" w:space="0" w:color="auto"/>
        <w:bottom w:val="none" w:sz="0" w:space="0" w:color="auto"/>
        <w:right w:val="none" w:sz="0" w:space="0" w:color="auto"/>
      </w:divBdr>
    </w:div>
    <w:div w:id="702098215">
      <w:bodyDiv w:val="1"/>
      <w:marLeft w:val="0"/>
      <w:marRight w:val="0"/>
      <w:marTop w:val="0"/>
      <w:marBottom w:val="0"/>
      <w:divBdr>
        <w:top w:val="none" w:sz="0" w:space="0" w:color="auto"/>
        <w:left w:val="none" w:sz="0" w:space="0" w:color="auto"/>
        <w:bottom w:val="none" w:sz="0" w:space="0" w:color="auto"/>
        <w:right w:val="none" w:sz="0" w:space="0" w:color="auto"/>
      </w:divBdr>
    </w:div>
    <w:div w:id="702250520">
      <w:bodyDiv w:val="1"/>
      <w:marLeft w:val="0"/>
      <w:marRight w:val="0"/>
      <w:marTop w:val="0"/>
      <w:marBottom w:val="0"/>
      <w:divBdr>
        <w:top w:val="none" w:sz="0" w:space="0" w:color="auto"/>
        <w:left w:val="none" w:sz="0" w:space="0" w:color="auto"/>
        <w:bottom w:val="none" w:sz="0" w:space="0" w:color="auto"/>
        <w:right w:val="none" w:sz="0" w:space="0" w:color="auto"/>
      </w:divBdr>
    </w:div>
    <w:div w:id="702286403">
      <w:bodyDiv w:val="1"/>
      <w:marLeft w:val="0"/>
      <w:marRight w:val="0"/>
      <w:marTop w:val="0"/>
      <w:marBottom w:val="0"/>
      <w:divBdr>
        <w:top w:val="none" w:sz="0" w:space="0" w:color="auto"/>
        <w:left w:val="none" w:sz="0" w:space="0" w:color="auto"/>
        <w:bottom w:val="none" w:sz="0" w:space="0" w:color="auto"/>
        <w:right w:val="none" w:sz="0" w:space="0" w:color="auto"/>
      </w:divBdr>
    </w:div>
    <w:div w:id="702289749">
      <w:bodyDiv w:val="1"/>
      <w:marLeft w:val="0"/>
      <w:marRight w:val="0"/>
      <w:marTop w:val="0"/>
      <w:marBottom w:val="0"/>
      <w:divBdr>
        <w:top w:val="none" w:sz="0" w:space="0" w:color="auto"/>
        <w:left w:val="none" w:sz="0" w:space="0" w:color="auto"/>
        <w:bottom w:val="none" w:sz="0" w:space="0" w:color="auto"/>
        <w:right w:val="none" w:sz="0" w:space="0" w:color="auto"/>
      </w:divBdr>
    </w:div>
    <w:div w:id="702364582">
      <w:bodyDiv w:val="1"/>
      <w:marLeft w:val="0"/>
      <w:marRight w:val="0"/>
      <w:marTop w:val="0"/>
      <w:marBottom w:val="0"/>
      <w:divBdr>
        <w:top w:val="none" w:sz="0" w:space="0" w:color="auto"/>
        <w:left w:val="none" w:sz="0" w:space="0" w:color="auto"/>
        <w:bottom w:val="none" w:sz="0" w:space="0" w:color="auto"/>
        <w:right w:val="none" w:sz="0" w:space="0" w:color="auto"/>
      </w:divBdr>
    </w:div>
    <w:div w:id="702366412">
      <w:bodyDiv w:val="1"/>
      <w:marLeft w:val="0"/>
      <w:marRight w:val="0"/>
      <w:marTop w:val="0"/>
      <w:marBottom w:val="0"/>
      <w:divBdr>
        <w:top w:val="none" w:sz="0" w:space="0" w:color="auto"/>
        <w:left w:val="none" w:sz="0" w:space="0" w:color="auto"/>
        <w:bottom w:val="none" w:sz="0" w:space="0" w:color="auto"/>
        <w:right w:val="none" w:sz="0" w:space="0" w:color="auto"/>
      </w:divBdr>
    </w:div>
    <w:div w:id="702555978">
      <w:bodyDiv w:val="1"/>
      <w:marLeft w:val="0"/>
      <w:marRight w:val="0"/>
      <w:marTop w:val="0"/>
      <w:marBottom w:val="0"/>
      <w:divBdr>
        <w:top w:val="none" w:sz="0" w:space="0" w:color="auto"/>
        <w:left w:val="none" w:sz="0" w:space="0" w:color="auto"/>
        <w:bottom w:val="none" w:sz="0" w:space="0" w:color="auto"/>
        <w:right w:val="none" w:sz="0" w:space="0" w:color="auto"/>
      </w:divBdr>
    </w:div>
    <w:div w:id="702556498">
      <w:bodyDiv w:val="1"/>
      <w:marLeft w:val="0"/>
      <w:marRight w:val="0"/>
      <w:marTop w:val="0"/>
      <w:marBottom w:val="0"/>
      <w:divBdr>
        <w:top w:val="none" w:sz="0" w:space="0" w:color="auto"/>
        <w:left w:val="none" w:sz="0" w:space="0" w:color="auto"/>
        <w:bottom w:val="none" w:sz="0" w:space="0" w:color="auto"/>
        <w:right w:val="none" w:sz="0" w:space="0" w:color="auto"/>
      </w:divBdr>
    </w:div>
    <w:div w:id="702556665">
      <w:bodyDiv w:val="1"/>
      <w:marLeft w:val="0"/>
      <w:marRight w:val="0"/>
      <w:marTop w:val="0"/>
      <w:marBottom w:val="0"/>
      <w:divBdr>
        <w:top w:val="none" w:sz="0" w:space="0" w:color="auto"/>
        <w:left w:val="none" w:sz="0" w:space="0" w:color="auto"/>
        <w:bottom w:val="none" w:sz="0" w:space="0" w:color="auto"/>
        <w:right w:val="none" w:sz="0" w:space="0" w:color="auto"/>
      </w:divBdr>
    </w:div>
    <w:div w:id="702561332">
      <w:bodyDiv w:val="1"/>
      <w:marLeft w:val="0"/>
      <w:marRight w:val="0"/>
      <w:marTop w:val="0"/>
      <w:marBottom w:val="0"/>
      <w:divBdr>
        <w:top w:val="none" w:sz="0" w:space="0" w:color="auto"/>
        <w:left w:val="none" w:sz="0" w:space="0" w:color="auto"/>
        <w:bottom w:val="none" w:sz="0" w:space="0" w:color="auto"/>
        <w:right w:val="none" w:sz="0" w:space="0" w:color="auto"/>
      </w:divBdr>
    </w:div>
    <w:div w:id="702749412">
      <w:bodyDiv w:val="1"/>
      <w:marLeft w:val="0"/>
      <w:marRight w:val="0"/>
      <w:marTop w:val="0"/>
      <w:marBottom w:val="0"/>
      <w:divBdr>
        <w:top w:val="none" w:sz="0" w:space="0" w:color="auto"/>
        <w:left w:val="none" w:sz="0" w:space="0" w:color="auto"/>
        <w:bottom w:val="none" w:sz="0" w:space="0" w:color="auto"/>
        <w:right w:val="none" w:sz="0" w:space="0" w:color="auto"/>
      </w:divBdr>
    </w:div>
    <w:div w:id="702823294">
      <w:bodyDiv w:val="1"/>
      <w:marLeft w:val="0"/>
      <w:marRight w:val="0"/>
      <w:marTop w:val="0"/>
      <w:marBottom w:val="0"/>
      <w:divBdr>
        <w:top w:val="none" w:sz="0" w:space="0" w:color="auto"/>
        <w:left w:val="none" w:sz="0" w:space="0" w:color="auto"/>
        <w:bottom w:val="none" w:sz="0" w:space="0" w:color="auto"/>
        <w:right w:val="none" w:sz="0" w:space="0" w:color="auto"/>
      </w:divBdr>
    </w:div>
    <w:div w:id="702830206">
      <w:bodyDiv w:val="1"/>
      <w:marLeft w:val="0"/>
      <w:marRight w:val="0"/>
      <w:marTop w:val="0"/>
      <w:marBottom w:val="0"/>
      <w:divBdr>
        <w:top w:val="none" w:sz="0" w:space="0" w:color="auto"/>
        <w:left w:val="none" w:sz="0" w:space="0" w:color="auto"/>
        <w:bottom w:val="none" w:sz="0" w:space="0" w:color="auto"/>
        <w:right w:val="none" w:sz="0" w:space="0" w:color="auto"/>
      </w:divBdr>
    </w:div>
    <w:div w:id="703100553">
      <w:bodyDiv w:val="1"/>
      <w:marLeft w:val="0"/>
      <w:marRight w:val="0"/>
      <w:marTop w:val="0"/>
      <w:marBottom w:val="0"/>
      <w:divBdr>
        <w:top w:val="none" w:sz="0" w:space="0" w:color="auto"/>
        <w:left w:val="none" w:sz="0" w:space="0" w:color="auto"/>
        <w:bottom w:val="none" w:sz="0" w:space="0" w:color="auto"/>
        <w:right w:val="none" w:sz="0" w:space="0" w:color="auto"/>
      </w:divBdr>
    </w:div>
    <w:div w:id="703209764">
      <w:bodyDiv w:val="1"/>
      <w:marLeft w:val="0"/>
      <w:marRight w:val="0"/>
      <w:marTop w:val="0"/>
      <w:marBottom w:val="0"/>
      <w:divBdr>
        <w:top w:val="none" w:sz="0" w:space="0" w:color="auto"/>
        <w:left w:val="none" w:sz="0" w:space="0" w:color="auto"/>
        <w:bottom w:val="none" w:sz="0" w:space="0" w:color="auto"/>
        <w:right w:val="none" w:sz="0" w:space="0" w:color="auto"/>
      </w:divBdr>
    </w:div>
    <w:div w:id="703363157">
      <w:bodyDiv w:val="1"/>
      <w:marLeft w:val="0"/>
      <w:marRight w:val="0"/>
      <w:marTop w:val="0"/>
      <w:marBottom w:val="0"/>
      <w:divBdr>
        <w:top w:val="none" w:sz="0" w:space="0" w:color="auto"/>
        <w:left w:val="none" w:sz="0" w:space="0" w:color="auto"/>
        <w:bottom w:val="none" w:sz="0" w:space="0" w:color="auto"/>
        <w:right w:val="none" w:sz="0" w:space="0" w:color="auto"/>
      </w:divBdr>
    </w:div>
    <w:div w:id="703405456">
      <w:bodyDiv w:val="1"/>
      <w:marLeft w:val="0"/>
      <w:marRight w:val="0"/>
      <w:marTop w:val="0"/>
      <w:marBottom w:val="0"/>
      <w:divBdr>
        <w:top w:val="none" w:sz="0" w:space="0" w:color="auto"/>
        <w:left w:val="none" w:sz="0" w:space="0" w:color="auto"/>
        <w:bottom w:val="none" w:sz="0" w:space="0" w:color="auto"/>
        <w:right w:val="none" w:sz="0" w:space="0" w:color="auto"/>
      </w:divBdr>
    </w:div>
    <w:div w:id="703405993">
      <w:bodyDiv w:val="1"/>
      <w:marLeft w:val="0"/>
      <w:marRight w:val="0"/>
      <w:marTop w:val="0"/>
      <w:marBottom w:val="0"/>
      <w:divBdr>
        <w:top w:val="none" w:sz="0" w:space="0" w:color="auto"/>
        <w:left w:val="none" w:sz="0" w:space="0" w:color="auto"/>
        <w:bottom w:val="none" w:sz="0" w:space="0" w:color="auto"/>
        <w:right w:val="none" w:sz="0" w:space="0" w:color="auto"/>
      </w:divBdr>
    </w:div>
    <w:div w:id="703477735">
      <w:bodyDiv w:val="1"/>
      <w:marLeft w:val="0"/>
      <w:marRight w:val="0"/>
      <w:marTop w:val="0"/>
      <w:marBottom w:val="0"/>
      <w:divBdr>
        <w:top w:val="none" w:sz="0" w:space="0" w:color="auto"/>
        <w:left w:val="none" w:sz="0" w:space="0" w:color="auto"/>
        <w:bottom w:val="none" w:sz="0" w:space="0" w:color="auto"/>
        <w:right w:val="none" w:sz="0" w:space="0" w:color="auto"/>
      </w:divBdr>
    </w:div>
    <w:div w:id="703553043">
      <w:bodyDiv w:val="1"/>
      <w:marLeft w:val="0"/>
      <w:marRight w:val="0"/>
      <w:marTop w:val="0"/>
      <w:marBottom w:val="0"/>
      <w:divBdr>
        <w:top w:val="none" w:sz="0" w:space="0" w:color="auto"/>
        <w:left w:val="none" w:sz="0" w:space="0" w:color="auto"/>
        <w:bottom w:val="none" w:sz="0" w:space="0" w:color="auto"/>
        <w:right w:val="none" w:sz="0" w:space="0" w:color="auto"/>
      </w:divBdr>
    </w:div>
    <w:div w:id="703553967">
      <w:bodyDiv w:val="1"/>
      <w:marLeft w:val="0"/>
      <w:marRight w:val="0"/>
      <w:marTop w:val="0"/>
      <w:marBottom w:val="0"/>
      <w:divBdr>
        <w:top w:val="none" w:sz="0" w:space="0" w:color="auto"/>
        <w:left w:val="none" w:sz="0" w:space="0" w:color="auto"/>
        <w:bottom w:val="none" w:sz="0" w:space="0" w:color="auto"/>
        <w:right w:val="none" w:sz="0" w:space="0" w:color="auto"/>
      </w:divBdr>
    </w:div>
    <w:div w:id="703604873">
      <w:bodyDiv w:val="1"/>
      <w:marLeft w:val="0"/>
      <w:marRight w:val="0"/>
      <w:marTop w:val="0"/>
      <w:marBottom w:val="0"/>
      <w:divBdr>
        <w:top w:val="none" w:sz="0" w:space="0" w:color="auto"/>
        <w:left w:val="none" w:sz="0" w:space="0" w:color="auto"/>
        <w:bottom w:val="none" w:sz="0" w:space="0" w:color="auto"/>
        <w:right w:val="none" w:sz="0" w:space="0" w:color="auto"/>
      </w:divBdr>
    </w:div>
    <w:div w:id="703755228">
      <w:bodyDiv w:val="1"/>
      <w:marLeft w:val="0"/>
      <w:marRight w:val="0"/>
      <w:marTop w:val="0"/>
      <w:marBottom w:val="0"/>
      <w:divBdr>
        <w:top w:val="none" w:sz="0" w:space="0" w:color="auto"/>
        <w:left w:val="none" w:sz="0" w:space="0" w:color="auto"/>
        <w:bottom w:val="none" w:sz="0" w:space="0" w:color="auto"/>
        <w:right w:val="none" w:sz="0" w:space="0" w:color="auto"/>
      </w:divBdr>
    </w:div>
    <w:div w:id="703868748">
      <w:bodyDiv w:val="1"/>
      <w:marLeft w:val="0"/>
      <w:marRight w:val="0"/>
      <w:marTop w:val="0"/>
      <w:marBottom w:val="0"/>
      <w:divBdr>
        <w:top w:val="none" w:sz="0" w:space="0" w:color="auto"/>
        <w:left w:val="none" w:sz="0" w:space="0" w:color="auto"/>
        <w:bottom w:val="none" w:sz="0" w:space="0" w:color="auto"/>
        <w:right w:val="none" w:sz="0" w:space="0" w:color="auto"/>
      </w:divBdr>
    </w:div>
    <w:div w:id="703944956">
      <w:bodyDiv w:val="1"/>
      <w:marLeft w:val="0"/>
      <w:marRight w:val="0"/>
      <w:marTop w:val="0"/>
      <w:marBottom w:val="0"/>
      <w:divBdr>
        <w:top w:val="none" w:sz="0" w:space="0" w:color="auto"/>
        <w:left w:val="none" w:sz="0" w:space="0" w:color="auto"/>
        <w:bottom w:val="none" w:sz="0" w:space="0" w:color="auto"/>
        <w:right w:val="none" w:sz="0" w:space="0" w:color="auto"/>
      </w:divBdr>
    </w:div>
    <w:div w:id="704063031">
      <w:bodyDiv w:val="1"/>
      <w:marLeft w:val="0"/>
      <w:marRight w:val="0"/>
      <w:marTop w:val="0"/>
      <w:marBottom w:val="0"/>
      <w:divBdr>
        <w:top w:val="none" w:sz="0" w:space="0" w:color="auto"/>
        <w:left w:val="none" w:sz="0" w:space="0" w:color="auto"/>
        <w:bottom w:val="none" w:sz="0" w:space="0" w:color="auto"/>
        <w:right w:val="none" w:sz="0" w:space="0" w:color="auto"/>
      </w:divBdr>
    </w:div>
    <w:div w:id="704136184">
      <w:bodyDiv w:val="1"/>
      <w:marLeft w:val="0"/>
      <w:marRight w:val="0"/>
      <w:marTop w:val="0"/>
      <w:marBottom w:val="0"/>
      <w:divBdr>
        <w:top w:val="none" w:sz="0" w:space="0" w:color="auto"/>
        <w:left w:val="none" w:sz="0" w:space="0" w:color="auto"/>
        <w:bottom w:val="none" w:sz="0" w:space="0" w:color="auto"/>
        <w:right w:val="none" w:sz="0" w:space="0" w:color="auto"/>
      </w:divBdr>
    </w:div>
    <w:div w:id="704408547">
      <w:bodyDiv w:val="1"/>
      <w:marLeft w:val="0"/>
      <w:marRight w:val="0"/>
      <w:marTop w:val="0"/>
      <w:marBottom w:val="0"/>
      <w:divBdr>
        <w:top w:val="none" w:sz="0" w:space="0" w:color="auto"/>
        <w:left w:val="none" w:sz="0" w:space="0" w:color="auto"/>
        <w:bottom w:val="none" w:sz="0" w:space="0" w:color="auto"/>
        <w:right w:val="none" w:sz="0" w:space="0" w:color="auto"/>
      </w:divBdr>
    </w:div>
    <w:div w:id="704411263">
      <w:bodyDiv w:val="1"/>
      <w:marLeft w:val="0"/>
      <w:marRight w:val="0"/>
      <w:marTop w:val="0"/>
      <w:marBottom w:val="0"/>
      <w:divBdr>
        <w:top w:val="none" w:sz="0" w:space="0" w:color="auto"/>
        <w:left w:val="none" w:sz="0" w:space="0" w:color="auto"/>
        <w:bottom w:val="none" w:sz="0" w:space="0" w:color="auto"/>
        <w:right w:val="none" w:sz="0" w:space="0" w:color="auto"/>
      </w:divBdr>
    </w:div>
    <w:div w:id="704448549">
      <w:bodyDiv w:val="1"/>
      <w:marLeft w:val="0"/>
      <w:marRight w:val="0"/>
      <w:marTop w:val="0"/>
      <w:marBottom w:val="0"/>
      <w:divBdr>
        <w:top w:val="none" w:sz="0" w:space="0" w:color="auto"/>
        <w:left w:val="none" w:sz="0" w:space="0" w:color="auto"/>
        <w:bottom w:val="none" w:sz="0" w:space="0" w:color="auto"/>
        <w:right w:val="none" w:sz="0" w:space="0" w:color="auto"/>
      </w:divBdr>
    </w:div>
    <w:div w:id="704604474">
      <w:bodyDiv w:val="1"/>
      <w:marLeft w:val="0"/>
      <w:marRight w:val="0"/>
      <w:marTop w:val="0"/>
      <w:marBottom w:val="0"/>
      <w:divBdr>
        <w:top w:val="none" w:sz="0" w:space="0" w:color="auto"/>
        <w:left w:val="none" w:sz="0" w:space="0" w:color="auto"/>
        <w:bottom w:val="none" w:sz="0" w:space="0" w:color="auto"/>
        <w:right w:val="none" w:sz="0" w:space="0" w:color="auto"/>
      </w:divBdr>
    </w:div>
    <w:div w:id="704644864">
      <w:bodyDiv w:val="1"/>
      <w:marLeft w:val="0"/>
      <w:marRight w:val="0"/>
      <w:marTop w:val="0"/>
      <w:marBottom w:val="0"/>
      <w:divBdr>
        <w:top w:val="none" w:sz="0" w:space="0" w:color="auto"/>
        <w:left w:val="none" w:sz="0" w:space="0" w:color="auto"/>
        <w:bottom w:val="none" w:sz="0" w:space="0" w:color="auto"/>
        <w:right w:val="none" w:sz="0" w:space="0" w:color="auto"/>
      </w:divBdr>
    </w:div>
    <w:div w:id="704673626">
      <w:bodyDiv w:val="1"/>
      <w:marLeft w:val="0"/>
      <w:marRight w:val="0"/>
      <w:marTop w:val="0"/>
      <w:marBottom w:val="0"/>
      <w:divBdr>
        <w:top w:val="none" w:sz="0" w:space="0" w:color="auto"/>
        <w:left w:val="none" w:sz="0" w:space="0" w:color="auto"/>
        <w:bottom w:val="none" w:sz="0" w:space="0" w:color="auto"/>
        <w:right w:val="none" w:sz="0" w:space="0" w:color="auto"/>
      </w:divBdr>
    </w:div>
    <w:div w:id="704715469">
      <w:bodyDiv w:val="1"/>
      <w:marLeft w:val="0"/>
      <w:marRight w:val="0"/>
      <w:marTop w:val="0"/>
      <w:marBottom w:val="0"/>
      <w:divBdr>
        <w:top w:val="none" w:sz="0" w:space="0" w:color="auto"/>
        <w:left w:val="none" w:sz="0" w:space="0" w:color="auto"/>
        <w:bottom w:val="none" w:sz="0" w:space="0" w:color="auto"/>
        <w:right w:val="none" w:sz="0" w:space="0" w:color="auto"/>
      </w:divBdr>
    </w:div>
    <w:div w:id="704717342">
      <w:bodyDiv w:val="1"/>
      <w:marLeft w:val="0"/>
      <w:marRight w:val="0"/>
      <w:marTop w:val="0"/>
      <w:marBottom w:val="0"/>
      <w:divBdr>
        <w:top w:val="none" w:sz="0" w:space="0" w:color="auto"/>
        <w:left w:val="none" w:sz="0" w:space="0" w:color="auto"/>
        <w:bottom w:val="none" w:sz="0" w:space="0" w:color="auto"/>
        <w:right w:val="none" w:sz="0" w:space="0" w:color="auto"/>
      </w:divBdr>
    </w:div>
    <w:div w:id="704720551">
      <w:bodyDiv w:val="1"/>
      <w:marLeft w:val="0"/>
      <w:marRight w:val="0"/>
      <w:marTop w:val="0"/>
      <w:marBottom w:val="0"/>
      <w:divBdr>
        <w:top w:val="none" w:sz="0" w:space="0" w:color="auto"/>
        <w:left w:val="none" w:sz="0" w:space="0" w:color="auto"/>
        <w:bottom w:val="none" w:sz="0" w:space="0" w:color="auto"/>
        <w:right w:val="none" w:sz="0" w:space="0" w:color="auto"/>
      </w:divBdr>
    </w:div>
    <w:div w:id="704795415">
      <w:bodyDiv w:val="1"/>
      <w:marLeft w:val="0"/>
      <w:marRight w:val="0"/>
      <w:marTop w:val="0"/>
      <w:marBottom w:val="0"/>
      <w:divBdr>
        <w:top w:val="none" w:sz="0" w:space="0" w:color="auto"/>
        <w:left w:val="none" w:sz="0" w:space="0" w:color="auto"/>
        <w:bottom w:val="none" w:sz="0" w:space="0" w:color="auto"/>
        <w:right w:val="none" w:sz="0" w:space="0" w:color="auto"/>
      </w:divBdr>
    </w:div>
    <w:div w:id="704911859">
      <w:bodyDiv w:val="1"/>
      <w:marLeft w:val="0"/>
      <w:marRight w:val="0"/>
      <w:marTop w:val="0"/>
      <w:marBottom w:val="0"/>
      <w:divBdr>
        <w:top w:val="none" w:sz="0" w:space="0" w:color="auto"/>
        <w:left w:val="none" w:sz="0" w:space="0" w:color="auto"/>
        <w:bottom w:val="none" w:sz="0" w:space="0" w:color="auto"/>
        <w:right w:val="none" w:sz="0" w:space="0" w:color="auto"/>
      </w:divBdr>
    </w:div>
    <w:div w:id="704912615">
      <w:bodyDiv w:val="1"/>
      <w:marLeft w:val="0"/>
      <w:marRight w:val="0"/>
      <w:marTop w:val="0"/>
      <w:marBottom w:val="0"/>
      <w:divBdr>
        <w:top w:val="none" w:sz="0" w:space="0" w:color="auto"/>
        <w:left w:val="none" w:sz="0" w:space="0" w:color="auto"/>
        <w:bottom w:val="none" w:sz="0" w:space="0" w:color="auto"/>
        <w:right w:val="none" w:sz="0" w:space="0" w:color="auto"/>
      </w:divBdr>
    </w:div>
    <w:div w:id="704985054">
      <w:bodyDiv w:val="1"/>
      <w:marLeft w:val="0"/>
      <w:marRight w:val="0"/>
      <w:marTop w:val="0"/>
      <w:marBottom w:val="0"/>
      <w:divBdr>
        <w:top w:val="none" w:sz="0" w:space="0" w:color="auto"/>
        <w:left w:val="none" w:sz="0" w:space="0" w:color="auto"/>
        <w:bottom w:val="none" w:sz="0" w:space="0" w:color="auto"/>
        <w:right w:val="none" w:sz="0" w:space="0" w:color="auto"/>
      </w:divBdr>
    </w:div>
    <w:div w:id="705057337">
      <w:bodyDiv w:val="1"/>
      <w:marLeft w:val="0"/>
      <w:marRight w:val="0"/>
      <w:marTop w:val="0"/>
      <w:marBottom w:val="0"/>
      <w:divBdr>
        <w:top w:val="none" w:sz="0" w:space="0" w:color="auto"/>
        <w:left w:val="none" w:sz="0" w:space="0" w:color="auto"/>
        <w:bottom w:val="none" w:sz="0" w:space="0" w:color="auto"/>
        <w:right w:val="none" w:sz="0" w:space="0" w:color="auto"/>
      </w:divBdr>
    </w:div>
    <w:div w:id="705060942">
      <w:bodyDiv w:val="1"/>
      <w:marLeft w:val="0"/>
      <w:marRight w:val="0"/>
      <w:marTop w:val="0"/>
      <w:marBottom w:val="0"/>
      <w:divBdr>
        <w:top w:val="none" w:sz="0" w:space="0" w:color="auto"/>
        <w:left w:val="none" w:sz="0" w:space="0" w:color="auto"/>
        <w:bottom w:val="none" w:sz="0" w:space="0" w:color="auto"/>
        <w:right w:val="none" w:sz="0" w:space="0" w:color="auto"/>
      </w:divBdr>
    </w:div>
    <w:div w:id="705250216">
      <w:bodyDiv w:val="1"/>
      <w:marLeft w:val="0"/>
      <w:marRight w:val="0"/>
      <w:marTop w:val="0"/>
      <w:marBottom w:val="0"/>
      <w:divBdr>
        <w:top w:val="none" w:sz="0" w:space="0" w:color="auto"/>
        <w:left w:val="none" w:sz="0" w:space="0" w:color="auto"/>
        <w:bottom w:val="none" w:sz="0" w:space="0" w:color="auto"/>
        <w:right w:val="none" w:sz="0" w:space="0" w:color="auto"/>
      </w:divBdr>
    </w:div>
    <w:div w:id="705301663">
      <w:bodyDiv w:val="1"/>
      <w:marLeft w:val="0"/>
      <w:marRight w:val="0"/>
      <w:marTop w:val="0"/>
      <w:marBottom w:val="0"/>
      <w:divBdr>
        <w:top w:val="none" w:sz="0" w:space="0" w:color="auto"/>
        <w:left w:val="none" w:sz="0" w:space="0" w:color="auto"/>
        <w:bottom w:val="none" w:sz="0" w:space="0" w:color="auto"/>
        <w:right w:val="none" w:sz="0" w:space="0" w:color="auto"/>
      </w:divBdr>
    </w:div>
    <w:div w:id="705371808">
      <w:bodyDiv w:val="1"/>
      <w:marLeft w:val="0"/>
      <w:marRight w:val="0"/>
      <w:marTop w:val="0"/>
      <w:marBottom w:val="0"/>
      <w:divBdr>
        <w:top w:val="none" w:sz="0" w:space="0" w:color="auto"/>
        <w:left w:val="none" w:sz="0" w:space="0" w:color="auto"/>
        <w:bottom w:val="none" w:sz="0" w:space="0" w:color="auto"/>
        <w:right w:val="none" w:sz="0" w:space="0" w:color="auto"/>
      </w:divBdr>
    </w:div>
    <w:div w:id="705372374">
      <w:bodyDiv w:val="1"/>
      <w:marLeft w:val="0"/>
      <w:marRight w:val="0"/>
      <w:marTop w:val="0"/>
      <w:marBottom w:val="0"/>
      <w:divBdr>
        <w:top w:val="none" w:sz="0" w:space="0" w:color="auto"/>
        <w:left w:val="none" w:sz="0" w:space="0" w:color="auto"/>
        <w:bottom w:val="none" w:sz="0" w:space="0" w:color="auto"/>
        <w:right w:val="none" w:sz="0" w:space="0" w:color="auto"/>
      </w:divBdr>
    </w:div>
    <w:div w:id="705446335">
      <w:bodyDiv w:val="1"/>
      <w:marLeft w:val="0"/>
      <w:marRight w:val="0"/>
      <w:marTop w:val="0"/>
      <w:marBottom w:val="0"/>
      <w:divBdr>
        <w:top w:val="none" w:sz="0" w:space="0" w:color="auto"/>
        <w:left w:val="none" w:sz="0" w:space="0" w:color="auto"/>
        <w:bottom w:val="none" w:sz="0" w:space="0" w:color="auto"/>
        <w:right w:val="none" w:sz="0" w:space="0" w:color="auto"/>
      </w:divBdr>
    </w:div>
    <w:div w:id="705644465">
      <w:bodyDiv w:val="1"/>
      <w:marLeft w:val="0"/>
      <w:marRight w:val="0"/>
      <w:marTop w:val="0"/>
      <w:marBottom w:val="0"/>
      <w:divBdr>
        <w:top w:val="none" w:sz="0" w:space="0" w:color="auto"/>
        <w:left w:val="none" w:sz="0" w:space="0" w:color="auto"/>
        <w:bottom w:val="none" w:sz="0" w:space="0" w:color="auto"/>
        <w:right w:val="none" w:sz="0" w:space="0" w:color="auto"/>
      </w:divBdr>
    </w:div>
    <w:div w:id="705712118">
      <w:bodyDiv w:val="1"/>
      <w:marLeft w:val="0"/>
      <w:marRight w:val="0"/>
      <w:marTop w:val="0"/>
      <w:marBottom w:val="0"/>
      <w:divBdr>
        <w:top w:val="none" w:sz="0" w:space="0" w:color="auto"/>
        <w:left w:val="none" w:sz="0" w:space="0" w:color="auto"/>
        <w:bottom w:val="none" w:sz="0" w:space="0" w:color="auto"/>
        <w:right w:val="none" w:sz="0" w:space="0" w:color="auto"/>
      </w:divBdr>
    </w:div>
    <w:div w:id="705757929">
      <w:bodyDiv w:val="1"/>
      <w:marLeft w:val="0"/>
      <w:marRight w:val="0"/>
      <w:marTop w:val="0"/>
      <w:marBottom w:val="0"/>
      <w:divBdr>
        <w:top w:val="none" w:sz="0" w:space="0" w:color="auto"/>
        <w:left w:val="none" w:sz="0" w:space="0" w:color="auto"/>
        <w:bottom w:val="none" w:sz="0" w:space="0" w:color="auto"/>
        <w:right w:val="none" w:sz="0" w:space="0" w:color="auto"/>
      </w:divBdr>
    </w:div>
    <w:div w:id="705763923">
      <w:bodyDiv w:val="1"/>
      <w:marLeft w:val="0"/>
      <w:marRight w:val="0"/>
      <w:marTop w:val="0"/>
      <w:marBottom w:val="0"/>
      <w:divBdr>
        <w:top w:val="none" w:sz="0" w:space="0" w:color="auto"/>
        <w:left w:val="none" w:sz="0" w:space="0" w:color="auto"/>
        <w:bottom w:val="none" w:sz="0" w:space="0" w:color="auto"/>
        <w:right w:val="none" w:sz="0" w:space="0" w:color="auto"/>
      </w:divBdr>
    </w:div>
    <w:div w:id="705957138">
      <w:bodyDiv w:val="1"/>
      <w:marLeft w:val="0"/>
      <w:marRight w:val="0"/>
      <w:marTop w:val="0"/>
      <w:marBottom w:val="0"/>
      <w:divBdr>
        <w:top w:val="none" w:sz="0" w:space="0" w:color="auto"/>
        <w:left w:val="none" w:sz="0" w:space="0" w:color="auto"/>
        <w:bottom w:val="none" w:sz="0" w:space="0" w:color="auto"/>
        <w:right w:val="none" w:sz="0" w:space="0" w:color="auto"/>
      </w:divBdr>
    </w:div>
    <w:div w:id="705983677">
      <w:bodyDiv w:val="1"/>
      <w:marLeft w:val="0"/>
      <w:marRight w:val="0"/>
      <w:marTop w:val="0"/>
      <w:marBottom w:val="0"/>
      <w:divBdr>
        <w:top w:val="none" w:sz="0" w:space="0" w:color="auto"/>
        <w:left w:val="none" w:sz="0" w:space="0" w:color="auto"/>
        <w:bottom w:val="none" w:sz="0" w:space="0" w:color="auto"/>
        <w:right w:val="none" w:sz="0" w:space="0" w:color="auto"/>
      </w:divBdr>
    </w:div>
    <w:div w:id="706370705">
      <w:bodyDiv w:val="1"/>
      <w:marLeft w:val="0"/>
      <w:marRight w:val="0"/>
      <w:marTop w:val="0"/>
      <w:marBottom w:val="0"/>
      <w:divBdr>
        <w:top w:val="none" w:sz="0" w:space="0" w:color="auto"/>
        <w:left w:val="none" w:sz="0" w:space="0" w:color="auto"/>
        <w:bottom w:val="none" w:sz="0" w:space="0" w:color="auto"/>
        <w:right w:val="none" w:sz="0" w:space="0" w:color="auto"/>
      </w:divBdr>
    </w:div>
    <w:div w:id="706414506">
      <w:bodyDiv w:val="1"/>
      <w:marLeft w:val="0"/>
      <w:marRight w:val="0"/>
      <w:marTop w:val="0"/>
      <w:marBottom w:val="0"/>
      <w:divBdr>
        <w:top w:val="none" w:sz="0" w:space="0" w:color="auto"/>
        <w:left w:val="none" w:sz="0" w:space="0" w:color="auto"/>
        <w:bottom w:val="none" w:sz="0" w:space="0" w:color="auto"/>
        <w:right w:val="none" w:sz="0" w:space="0" w:color="auto"/>
      </w:divBdr>
    </w:div>
    <w:div w:id="706418798">
      <w:bodyDiv w:val="1"/>
      <w:marLeft w:val="0"/>
      <w:marRight w:val="0"/>
      <w:marTop w:val="0"/>
      <w:marBottom w:val="0"/>
      <w:divBdr>
        <w:top w:val="none" w:sz="0" w:space="0" w:color="auto"/>
        <w:left w:val="none" w:sz="0" w:space="0" w:color="auto"/>
        <w:bottom w:val="none" w:sz="0" w:space="0" w:color="auto"/>
        <w:right w:val="none" w:sz="0" w:space="0" w:color="auto"/>
      </w:divBdr>
    </w:div>
    <w:div w:id="706562307">
      <w:bodyDiv w:val="1"/>
      <w:marLeft w:val="0"/>
      <w:marRight w:val="0"/>
      <w:marTop w:val="0"/>
      <w:marBottom w:val="0"/>
      <w:divBdr>
        <w:top w:val="none" w:sz="0" w:space="0" w:color="auto"/>
        <w:left w:val="none" w:sz="0" w:space="0" w:color="auto"/>
        <w:bottom w:val="none" w:sz="0" w:space="0" w:color="auto"/>
        <w:right w:val="none" w:sz="0" w:space="0" w:color="auto"/>
      </w:divBdr>
    </w:div>
    <w:div w:id="706640995">
      <w:bodyDiv w:val="1"/>
      <w:marLeft w:val="0"/>
      <w:marRight w:val="0"/>
      <w:marTop w:val="0"/>
      <w:marBottom w:val="0"/>
      <w:divBdr>
        <w:top w:val="none" w:sz="0" w:space="0" w:color="auto"/>
        <w:left w:val="none" w:sz="0" w:space="0" w:color="auto"/>
        <w:bottom w:val="none" w:sz="0" w:space="0" w:color="auto"/>
        <w:right w:val="none" w:sz="0" w:space="0" w:color="auto"/>
      </w:divBdr>
    </w:div>
    <w:div w:id="706831019">
      <w:bodyDiv w:val="1"/>
      <w:marLeft w:val="0"/>
      <w:marRight w:val="0"/>
      <w:marTop w:val="0"/>
      <w:marBottom w:val="0"/>
      <w:divBdr>
        <w:top w:val="none" w:sz="0" w:space="0" w:color="auto"/>
        <w:left w:val="none" w:sz="0" w:space="0" w:color="auto"/>
        <w:bottom w:val="none" w:sz="0" w:space="0" w:color="auto"/>
        <w:right w:val="none" w:sz="0" w:space="0" w:color="auto"/>
      </w:divBdr>
    </w:div>
    <w:div w:id="706874231">
      <w:bodyDiv w:val="1"/>
      <w:marLeft w:val="0"/>
      <w:marRight w:val="0"/>
      <w:marTop w:val="0"/>
      <w:marBottom w:val="0"/>
      <w:divBdr>
        <w:top w:val="none" w:sz="0" w:space="0" w:color="auto"/>
        <w:left w:val="none" w:sz="0" w:space="0" w:color="auto"/>
        <w:bottom w:val="none" w:sz="0" w:space="0" w:color="auto"/>
        <w:right w:val="none" w:sz="0" w:space="0" w:color="auto"/>
      </w:divBdr>
    </w:div>
    <w:div w:id="706875737">
      <w:bodyDiv w:val="1"/>
      <w:marLeft w:val="0"/>
      <w:marRight w:val="0"/>
      <w:marTop w:val="0"/>
      <w:marBottom w:val="0"/>
      <w:divBdr>
        <w:top w:val="none" w:sz="0" w:space="0" w:color="auto"/>
        <w:left w:val="none" w:sz="0" w:space="0" w:color="auto"/>
        <w:bottom w:val="none" w:sz="0" w:space="0" w:color="auto"/>
        <w:right w:val="none" w:sz="0" w:space="0" w:color="auto"/>
      </w:divBdr>
    </w:div>
    <w:div w:id="706878370">
      <w:bodyDiv w:val="1"/>
      <w:marLeft w:val="0"/>
      <w:marRight w:val="0"/>
      <w:marTop w:val="0"/>
      <w:marBottom w:val="0"/>
      <w:divBdr>
        <w:top w:val="none" w:sz="0" w:space="0" w:color="auto"/>
        <w:left w:val="none" w:sz="0" w:space="0" w:color="auto"/>
        <w:bottom w:val="none" w:sz="0" w:space="0" w:color="auto"/>
        <w:right w:val="none" w:sz="0" w:space="0" w:color="auto"/>
      </w:divBdr>
    </w:div>
    <w:div w:id="707026075">
      <w:bodyDiv w:val="1"/>
      <w:marLeft w:val="0"/>
      <w:marRight w:val="0"/>
      <w:marTop w:val="0"/>
      <w:marBottom w:val="0"/>
      <w:divBdr>
        <w:top w:val="none" w:sz="0" w:space="0" w:color="auto"/>
        <w:left w:val="none" w:sz="0" w:space="0" w:color="auto"/>
        <w:bottom w:val="none" w:sz="0" w:space="0" w:color="auto"/>
        <w:right w:val="none" w:sz="0" w:space="0" w:color="auto"/>
      </w:divBdr>
    </w:div>
    <w:div w:id="707030674">
      <w:bodyDiv w:val="1"/>
      <w:marLeft w:val="0"/>
      <w:marRight w:val="0"/>
      <w:marTop w:val="0"/>
      <w:marBottom w:val="0"/>
      <w:divBdr>
        <w:top w:val="none" w:sz="0" w:space="0" w:color="auto"/>
        <w:left w:val="none" w:sz="0" w:space="0" w:color="auto"/>
        <w:bottom w:val="none" w:sz="0" w:space="0" w:color="auto"/>
        <w:right w:val="none" w:sz="0" w:space="0" w:color="auto"/>
      </w:divBdr>
    </w:div>
    <w:div w:id="707145721">
      <w:bodyDiv w:val="1"/>
      <w:marLeft w:val="0"/>
      <w:marRight w:val="0"/>
      <w:marTop w:val="0"/>
      <w:marBottom w:val="0"/>
      <w:divBdr>
        <w:top w:val="none" w:sz="0" w:space="0" w:color="auto"/>
        <w:left w:val="none" w:sz="0" w:space="0" w:color="auto"/>
        <w:bottom w:val="none" w:sz="0" w:space="0" w:color="auto"/>
        <w:right w:val="none" w:sz="0" w:space="0" w:color="auto"/>
      </w:divBdr>
    </w:div>
    <w:div w:id="707148791">
      <w:bodyDiv w:val="1"/>
      <w:marLeft w:val="0"/>
      <w:marRight w:val="0"/>
      <w:marTop w:val="0"/>
      <w:marBottom w:val="0"/>
      <w:divBdr>
        <w:top w:val="none" w:sz="0" w:space="0" w:color="auto"/>
        <w:left w:val="none" w:sz="0" w:space="0" w:color="auto"/>
        <w:bottom w:val="none" w:sz="0" w:space="0" w:color="auto"/>
        <w:right w:val="none" w:sz="0" w:space="0" w:color="auto"/>
      </w:divBdr>
    </w:div>
    <w:div w:id="707265939">
      <w:bodyDiv w:val="1"/>
      <w:marLeft w:val="0"/>
      <w:marRight w:val="0"/>
      <w:marTop w:val="0"/>
      <w:marBottom w:val="0"/>
      <w:divBdr>
        <w:top w:val="none" w:sz="0" w:space="0" w:color="auto"/>
        <w:left w:val="none" w:sz="0" w:space="0" w:color="auto"/>
        <w:bottom w:val="none" w:sz="0" w:space="0" w:color="auto"/>
        <w:right w:val="none" w:sz="0" w:space="0" w:color="auto"/>
      </w:divBdr>
    </w:div>
    <w:div w:id="707267787">
      <w:bodyDiv w:val="1"/>
      <w:marLeft w:val="0"/>
      <w:marRight w:val="0"/>
      <w:marTop w:val="0"/>
      <w:marBottom w:val="0"/>
      <w:divBdr>
        <w:top w:val="none" w:sz="0" w:space="0" w:color="auto"/>
        <w:left w:val="none" w:sz="0" w:space="0" w:color="auto"/>
        <w:bottom w:val="none" w:sz="0" w:space="0" w:color="auto"/>
        <w:right w:val="none" w:sz="0" w:space="0" w:color="auto"/>
      </w:divBdr>
    </w:div>
    <w:div w:id="707291208">
      <w:bodyDiv w:val="1"/>
      <w:marLeft w:val="0"/>
      <w:marRight w:val="0"/>
      <w:marTop w:val="0"/>
      <w:marBottom w:val="0"/>
      <w:divBdr>
        <w:top w:val="none" w:sz="0" w:space="0" w:color="auto"/>
        <w:left w:val="none" w:sz="0" w:space="0" w:color="auto"/>
        <w:bottom w:val="none" w:sz="0" w:space="0" w:color="auto"/>
        <w:right w:val="none" w:sz="0" w:space="0" w:color="auto"/>
      </w:divBdr>
    </w:div>
    <w:div w:id="707291366">
      <w:bodyDiv w:val="1"/>
      <w:marLeft w:val="0"/>
      <w:marRight w:val="0"/>
      <w:marTop w:val="0"/>
      <w:marBottom w:val="0"/>
      <w:divBdr>
        <w:top w:val="none" w:sz="0" w:space="0" w:color="auto"/>
        <w:left w:val="none" w:sz="0" w:space="0" w:color="auto"/>
        <w:bottom w:val="none" w:sz="0" w:space="0" w:color="auto"/>
        <w:right w:val="none" w:sz="0" w:space="0" w:color="auto"/>
      </w:divBdr>
    </w:div>
    <w:div w:id="707334209">
      <w:bodyDiv w:val="1"/>
      <w:marLeft w:val="0"/>
      <w:marRight w:val="0"/>
      <w:marTop w:val="0"/>
      <w:marBottom w:val="0"/>
      <w:divBdr>
        <w:top w:val="none" w:sz="0" w:space="0" w:color="auto"/>
        <w:left w:val="none" w:sz="0" w:space="0" w:color="auto"/>
        <w:bottom w:val="none" w:sz="0" w:space="0" w:color="auto"/>
        <w:right w:val="none" w:sz="0" w:space="0" w:color="auto"/>
      </w:divBdr>
    </w:div>
    <w:div w:id="707338082">
      <w:bodyDiv w:val="1"/>
      <w:marLeft w:val="0"/>
      <w:marRight w:val="0"/>
      <w:marTop w:val="0"/>
      <w:marBottom w:val="0"/>
      <w:divBdr>
        <w:top w:val="none" w:sz="0" w:space="0" w:color="auto"/>
        <w:left w:val="none" w:sz="0" w:space="0" w:color="auto"/>
        <w:bottom w:val="none" w:sz="0" w:space="0" w:color="auto"/>
        <w:right w:val="none" w:sz="0" w:space="0" w:color="auto"/>
      </w:divBdr>
    </w:div>
    <w:div w:id="707341525">
      <w:bodyDiv w:val="1"/>
      <w:marLeft w:val="0"/>
      <w:marRight w:val="0"/>
      <w:marTop w:val="0"/>
      <w:marBottom w:val="0"/>
      <w:divBdr>
        <w:top w:val="none" w:sz="0" w:space="0" w:color="auto"/>
        <w:left w:val="none" w:sz="0" w:space="0" w:color="auto"/>
        <w:bottom w:val="none" w:sz="0" w:space="0" w:color="auto"/>
        <w:right w:val="none" w:sz="0" w:space="0" w:color="auto"/>
      </w:divBdr>
    </w:div>
    <w:div w:id="707533746">
      <w:bodyDiv w:val="1"/>
      <w:marLeft w:val="0"/>
      <w:marRight w:val="0"/>
      <w:marTop w:val="0"/>
      <w:marBottom w:val="0"/>
      <w:divBdr>
        <w:top w:val="none" w:sz="0" w:space="0" w:color="auto"/>
        <w:left w:val="none" w:sz="0" w:space="0" w:color="auto"/>
        <w:bottom w:val="none" w:sz="0" w:space="0" w:color="auto"/>
        <w:right w:val="none" w:sz="0" w:space="0" w:color="auto"/>
      </w:divBdr>
    </w:div>
    <w:div w:id="707686668">
      <w:bodyDiv w:val="1"/>
      <w:marLeft w:val="0"/>
      <w:marRight w:val="0"/>
      <w:marTop w:val="0"/>
      <w:marBottom w:val="0"/>
      <w:divBdr>
        <w:top w:val="none" w:sz="0" w:space="0" w:color="auto"/>
        <w:left w:val="none" w:sz="0" w:space="0" w:color="auto"/>
        <w:bottom w:val="none" w:sz="0" w:space="0" w:color="auto"/>
        <w:right w:val="none" w:sz="0" w:space="0" w:color="auto"/>
      </w:divBdr>
    </w:div>
    <w:div w:id="707951532">
      <w:bodyDiv w:val="1"/>
      <w:marLeft w:val="0"/>
      <w:marRight w:val="0"/>
      <w:marTop w:val="0"/>
      <w:marBottom w:val="0"/>
      <w:divBdr>
        <w:top w:val="none" w:sz="0" w:space="0" w:color="auto"/>
        <w:left w:val="none" w:sz="0" w:space="0" w:color="auto"/>
        <w:bottom w:val="none" w:sz="0" w:space="0" w:color="auto"/>
        <w:right w:val="none" w:sz="0" w:space="0" w:color="auto"/>
      </w:divBdr>
    </w:div>
    <w:div w:id="708144060">
      <w:bodyDiv w:val="1"/>
      <w:marLeft w:val="0"/>
      <w:marRight w:val="0"/>
      <w:marTop w:val="0"/>
      <w:marBottom w:val="0"/>
      <w:divBdr>
        <w:top w:val="none" w:sz="0" w:space="0" w:color="auto"/>
        <w:left w:val="none" w:sz="0" w:space="0" w:color="auto"/>
        <w:bottom w:val="none" w:sz="0" w:space="0" w:color="auto"/>
        <w:right w:val="none" w:sz="0" w:space="0" w:color="auto"/>
      </w:divBdr>
    </w:div>
    <w:div w:id="708260787">
      <w:bodyDiv w:val="1"/>
      <w:marLeft w:val="0"/>
      <w:marRight w:val="0"/>
      <w:marTop w:val="0"/>
      <w:marBottom w:val="0"/>
      <w:divBdr>
        <w:top w:val="none" w:sz="0" w:space="0" w:color="auto"/>
        <w:left w:val="none" w:sz="0" w:space="0" w:color="auto"/>
        <w:bottom w:val="none" w:sz="0" w:space="0" w:color="auto"/>
        <w:right w:val="none" w:sz="0" w:space="0" w:color="auto"/>
      </w:divBdr>
    </w:div>
    <w:div w:id="708265577">
      <w:bodyDiv w:val="1"/>
      <w:marLeft w:val="0"/>
      <w:marRight w:val="0"/>
      <w:marTop w:val="0"/>
      <w:marBottom w:val="0"/>
      <w:divBdr>
        <w:top w:val="none" w:sz="0" w:space="0" w:color="auto"/>
        <w:left w:val="none" w:sz="0" w:space="0" w:color="auto"/>
        <w:bottom w:val="none" w:sz="0" w:space="0" w:color="auto"/>
        <w:right w:val="none" w:sz="0" w:space="0" w:color="auto"/>
      </w:divBdr>
    </w:div>
    <w:div w:id="708265684">
      <w:bodyDiv w:val="1"/>
      <w:marLeft w:val="0"/>
      <w:marRight w:val="0"/>
      <w:marTop w:val="0"/>
      <w:marBottom w:val="0"/>
      <w:divBdr>
        <w:top w:val="none" w:sz="0" w:space="0" w:color="auto"/>
        <w:left w:val="none" w:sz="0" w:space="0" w:color="auto"/>
        <w:bottom w:val="none" w:sz="0" w:space="0" w:color="auto"/>
        <w:right w:val="none" w:sz="0" w:space="0" w:color="auto"/>
      </w:divBdr>
    </w:div>
    <w:div w:id="708452417">
      <w:bodyDiv w:val="1"/>
      <w:marLeft w:val="0"/>
      <w:marRight w:val="0"/>
      <w:marTop w:val="0"/>
      <w:marBottom w:val="0"/>
      <w:divBdr>
        <w:top w:val="none" w:sz="0" w:space="0" w:color="auto"/>
        <w:left w:val="none" w:sz="0" w:space="0" w:color="auto"/>
        <w:bottom w:val="none" w:sz="0" w:space="0" w:color="auto"/>
        <w:right w:val="none" w:sz="0" w:space="0" w:color="auto"/>
      </w:divBdr>
    </w:div>
    <w:div w:id="708528388">
      <w:bodyDiv w:val="1"/>
      <w:marLeft w:val="0"/>
      <w:marRight w:val="0"/>
      <w:marTop w:val="0"/>
      <w:marBottom w:val="0"/>
      <w:divBdr>
        <w:top w:val="none" w:sz="0" w:space="0" w:color="auto"/>
        <w:left w:val="none" w:sz="0" w:space="0" w:color="auto"/>
        <w:bottom w:val="none" w:sz="0" w:space="0" w:color="auto"/>
        <w:right w:val="none" w:sz="0" w:space="0" w:color="auto"/>
      </w:divBdr>
    </w:div>
    <w:div w:id="708603883">
      <w:bodyDiv w:val="1"/>
      <w:marLeft w:val="0"/>
      <w:marRight w:val="0"/>
      <w:marTop w:val="0"/>
      <w:marBottom w:val="0"/>
      <w:divBdr>
        <w:top w:val="none" w:sz="0" w:space="0" w:color="auto"/>
        <w:left w:val="none" w:sz="0" w:space="0" w:color="auto"/>
        <w:bottom w:val="none" w:sz="0" w:space="0" w:color="auto"/>
        <w:right w:val="none" w:sz="0" w:space="0" w:color="auto"/>
      </w:divBdr>
    </w:div>
    <w:div w:id="708607531">
      <w:bodyDiv w:val="1"/>
      <w:marLeft w:val="0"/>
      <w:marRight w:val="0"/>
      <w:marTop w:val="0"/>
      <w:marBottom w:val="0"/>
      <w:divBdr>
        <w:top w:val="none" w:sz="0" w:space="0" w:color="auto"/>
        <w:left w:val="none" w:sz="0" w:space="0" w:color="auto"/>
        <w:bottom w:val="none" w:sz="0" w:space="0" w:color="auto"/>
        <w:right w:val="none" w:sz="0" w:space="0" w:color="auto"/>
      </w:divBdr>
    </w:div>
    <w:div w:id="708919211">
      <w:bodyDiv w:val="1"/>
      <w:marLeft w:val="0"/>
      <w:marRight w:val="0"/>
      <w:marTop w:val="0"/>
      <w:marBottom w:val="0"/>
      <w:divBdr>
        <w:top w:val="none" w:sz="0" w:space="0" w:color="auto"/>
        <w:left w:val="none" w:sz="0" w:space="0" w:color="auto"/>
        <w:bottom w:val="none" w:sz="0" w:space="0" w:color="auto"/>
        <w:right w:val="none" w:sz="0" w:space="0" w:color="auto"/>
      </w:divBdr>
    </w:div>
    <w:div w:id="709040682">
      <w:bodyDiv w:val="1"/>
      <w:marLeft w:val="0"/>
      <w:marRight w:val="0"/>
      <w:marTop w:val="0"/>
      <w:marBottom w:val="0"/>
      <w:divBdr>
        <w:top w:val="none" w:sz="0" w:space="0" w:color="auto"/>
        <w:left w:val="none" w:sz="0" w:space="0" w:color="auto"/>
        <w:bottom w:val="none" w:sz="0" w:space="0" w:color="auto"/>
        <w:right w:val="none" w:sz="0" w:space="0" w:color="auto"/>
      </w:divBdr>
    </w:div>
    <w:div w:id="709108963">
      <w:bodyDiv w:val="1"/>
      <w:marLeft w:val="0"/>
      <w:marRight w:val="0"/>
      <w:marTop w:val="0"/>
      <w:marBottom w:val="0"/>
      <w:divBdr>
        <w:top w:val="none" w:sz="0" w:space="0" w:color="auto"/>
        <w:left w:val="none" w:sz="0" w:space="0" w:color="auto"/>
        <w:bottom w:val="none" w:sz="0" w:space="0" w:color="auto"/>
        <w:right w:val="none" w:sz="0" w:space="0" w:color="auto"/>
      </w:divBdr>
    </w:div>
    <w:div w:id="709305624">
      <w:bodyDiv w:val="1"/>
      <w:marLeft w:val="0"/>
      <w:marRight w:val="0"/>
      <w:marTop w:val="0"/>
      <w:marBottom w:val="0"/>
      <w:divBdr>
        <w:top w:val="none" w:sz="0" w:space="0" w:color="auto"/>
        <w:left w:val="none" w:sz="0" w:space="0" w:color="auto"/>
        <w:bottom w:val="none" w:sz="0" w:space="0" w:color="auto"/>
        <w:right w:val="none" w:sz="0" w:space="0" w:color="auto"/>
      </w:divBdr>
    </w:div>
    <w:div w:id="709376901">
      <w:bodyDiv w:val="1"/>
      <w:marLeft w:val="0"/>
      <w:marRight w:val="0"/>
      <w:marTop w:val="0"/>
      <w:marBottom w:val="0"/>
      <w:divBdr>
        <w:top w:val="none" w:sz="0" w:space="0" w:color="auto"/>
        <w:left w:val="none" w:sz="0" w:space="0" w:color="auto"/>
        <w:bottom w:val="none" w:sz="0" w:space="0" w:color="auto"/>
        <w:right w:val="none" w:sz="0" w:space="0" w:color="auto"/>
      </w:divBdr>
    </w:div>
    <w:div w:id="709459401">
      <w:bodyDiv w:val="1"/>
      <w:marLeft w:val="0"/>
      <w:marRight w:val="0"/>
      <w:marTop w:val="0"/>
      <w:marBottom w:val="0"/>
      <w:divBdr>
        <w:top w:val="none" w:sz="0" w:space="0" w:color="auto"/>
        <w:left w:val="none" w:sz="0" w:space="0" w:color="auto"/>
        <w:bottom w:val="none" w:sz="0" w:space="0" w:color="auto"/>
        <w:right w:val="none" w:sz="0" w:space="0" w:color="auto"/>
      </w:divBdr>
    </w:div>
    <w:div w:id="709653235">
      <w:bodyDiv w:val="1"/>
      <w:marLeft w:val="0"/>
      <w:marRight w:val="0"/>
      <w:marTop w:val="0"/>
      <w:marBottom w:val="0"/>
      <w:divBdr>
        <w:top w:val="none" w:sz="0" w:space="0" w:color="auto"/>
        <w:left w:val="none" w:sz="0" w:space="0" w:color="auto"/>
        <w:bottom w:val="none" w:sz="0" w:space="0" w:color="auto"/>
        <w:right w:val="none" w:sz="0" w:space="0" w:color="auto"/>
      </w:divBdr>
    </w:div>
    <w:div w:id="709720788">
      <w:bodyDiv w:val="1"/>
      <w:marLeft w:val="0"/>
      <w:marRight w:val="0"/>
      <w:marTop w:val="0"/>
      <w:marBottom w:val="0"/>
      <w:divBdr>
        <w:top w:val="none" w:sz="0" w:space="0" w:color="auto"/>
        <w:left w:val="none" w:sz="0" w:space="0" w:color="auto"/>
        <w:bottom w:val="none" w:sz="0" w:space="0" w:color="auto"/>
        <w:right w:val="none" w:sz="0" w:space="0" w:color="auto"/>
      </w:divBdr>
    </w:div>
    <w:div w:id="709762588">
      <w:bodyDiv w:val="1"/>
      <w:marLeft w:val="0"/>
      <w:marRight w:val="0"/>
      <w:marTop w:val="0"/>
      <w:marBottom w:val="0"/>
      <w:divBdr>
        <w:top w:val="none" w:sz="0" w:space="0" w:color="auto"/>
        <w:left w:val="none" w:sz="0" w:space="0" w:color="auto"/>
        <w:bottom w:val="none" w:sz="0" w:space="0" w:color="auto"/>
        <w:right w:val="none" w:sz="0" w:space="0" w:color="auto"/>
      </w:divBdr>
    </w:div>
    <w:div w:id="709765474">
      <w:bodyDiv w:val="1"/>
      <w:marLeft w:val="0"/>
      <w:marRight w:val="0"/>
      <w:marTop w:val="0"/>
      <w:marBottom w:val="0"/>
      <w:divBdr>
        <w:top w:val="none" w:sz="0" w:space="0" w:color="auto"/>
        <w:left w:val="none" w:sz="0" w:space="0" w:color="auto"/>
        <w:bottom w:val="none" w:sz="0" w:space="0" w:color="auto"/>
        <w:right w:val="none" w:sz="0" w:space="0" w:color="auto"/>
      </w:divBdr>
    </w:div>
    <w:div w:id="709840440">
      <w:bodyDiv w:val="1"/>
      <w:marLeft w:val="0"/>
      <w:marRight w:val="0"/>
      <w:marTop w:val="0"/>
      <w:marBottom w:val="0"/>
      <w:divBdr>
        <w:top w:val="none" w:sz="0" w:space="0" w:color="auto"/>
        <w:left w:val="none" w:sz="0" w:space="0" w:color="auto"/>
        <w:bottom w:val="none" w:sz="0" w:space="0" w:color="auto"/>
        <w:right w:val="none" w:sz="0" w:space="0" w:color="auto"/>
      </w:divBdr>
    </w:div>
    <w:div w:id="709841261">
      <w:bodyDiv w:val="1"/>
      <w:marLeft w:val="0"/>
      <w:marRight w:val="0"/>
      <w:marTop w:val="0"/>
      <w:marBottom w:val="0"/>
      <w:divBdr>
        <w:top w:val="none" w:sz="0" w:space="0" w:color="auto"/>
        <w:left w:val="none" w:sz="0" w:space="0" w:color="auto"/>
        <w:bottom w:val="none" w:sz="0" w:space="0" w:color="auto"/>
        <w:right w:val="none" w:sz="0" w:space="0" w:color="auto"/>
      </w:divBdr>
    </w:div>
    <w:div w:id="709844747">
      <w:bodyDiv w:val="1"/>
      <w:marLeft w:val="0"/>
      <w:marRight w:val="0"/>
      <w:marTop w:val="0"/>
      <w:marBottom w:val="0"/>
      <w:divBdr>
        <w:top w:val="none" w:sz="0" w:space="0" w:color="auto"/>
        <w:left w:val="none" w:sz="0" w:space="0" w:color="auto"/>
        <w:bottom w:val="none" w:sz="0" w:space="0" w:color="auto"/>
        <w:right w:val="none" w:sz="0" w:space="0" w:color="auto"/>
      </w:divBdr>
    </w:div>
    <w:div w:id="709886520">
      <w:bodyDiv w:val="1"/>
      <w:marLeft w:val="0"/>
      <w:marRight w:val="0"/>
      <w:marTop w:val="0"/>
      <w:marBottom w:val="0"/>
      <w:divBdr>
        <w:top w:val="none" w:sz="0" w:space="0" w:color="auto"/>
        <w:left w:val="none" w:sz="0" w:space="0" w:color="auto"/>
        <w:bottom w:val="none" w:sz="0" w:space="0" w:color="auto"/>
        <w:right w:val="none" w:sz="0" w:space="0" w:color="auto"/>
      </w:divBdr>
    </w:div>
    <w:div w:id="709960992">
      <w:bodyDiv w:val="1"/>
      <w:marLeft w:val="0"/>
      <w:marRight w:val="0"/>
      <w:marTop w:val="0"/>
      <w:marBottom w:val="0"/>
      <w:divBdr>
        <w:top w:val="none" w:sz="0" w:space="0" w:color="auto"/>
        <w:left w:val="none" w:sz="0" w:space="0" w:color="auto"/>
        <w:bottom w:val="none" w:sz="0" w:space="0" w:color="auto"/>
        <w:right w:val="none" w:sz="0" w:space="0" w:color="auto"/>
      </w:divBdr>
    </w:div>
    <w:div w:id="710150994">
      <w:bodyDiv w:val="1"/>
      <w:marLeft w:val="0"/>
      <w:marRight w:val="0"/>
      <w:marTop w:val="0"/>
      <w:marBottom w:val="0"/>
      <w:divBdr>
        <w:top w:val="none" w:sz="0" w:space="0" w:color="auto"/>
        <w:left w:val="none" w:sz="0" w:space="0" w:color="auto"/>
        <w:bottom w:val="none" w:sz="0" w:space="0" w:color="auto"/>
        <w:right w:val="none" w:sz="0" w:space="0" w:color="auto"/>
      </w:divBdr>
    </w:div>
    <w:div w:id="710348691">
      <w:bodyDiv w:val="1"/>
      <w:marLeft w:val="0"/>
      <w:marRight w:val="0"/>
      <w:marTop w:val="0"/>
      <w:marBottom w:val="0"/>
      <w:divBdr>
        <w:top w:val="none" w:sz="0" w:space="0" w:color="auto"/>
        <w:left w:val="none" w:sz="0" w:space="0" w:color="auto"/>
        <w:bottom w:val="none" w:sz="0" w:space="0" w:color="auto"/>
        <w:right w:val="none" w:sz="0" w:space="0" w:color="auto"/>
      </w:divBdr>
    </w:div>
    <w:div w:id="710498343">
      <w:bodyDiv w:val="1"/>
      <w:marLeft w:val="0"/>
      <w:marRight w:val="0"/>
      <w:marTop w:val="0"/>
      <w:marBottom w:val="0"/>
      <w:divBdr>
        <w:top w:val="none" w:sz="0" w:space="0" w:color="auto"/>
        <w:left w:val="none" w:sz="0" w:space="0" w:color="auto"/>
        <w:bottom w:val="none" w:sz="0" w:space="0" w:color="auto"/>
        <w:right w:val="none" w:sz="0" w:space="0" w:color="auto"/>
      </w:divBdr>
    </w:div>
    <w:div w:id="710804430">
      <w:bodyDiv w:val="1"/>
      <w:marLeft w:val="0"/>
      <w:marRight w:val="0"/>
      <w:marTop w:val="0"/>
      <w:marBottom w:val="0"/>
      <w:divBdr>
        <w:top w:val="none" w:sz="0" w:space="0" w:color="auto"/>
        <w:left w:val="none" w:sz="0" w:space="0" w:color="auto"/>
        <w:bottom w:val="none" w:sz="0" w:space="0" w:color="auto"/>
        <w:right w:val="none" w:sz="0" w:space="0" w:color="auto"/>
      </w:divBdr>
    </w:div>
    <w:div w:id="710811802">
      <w:bodyDiv w:val="1"/>
      <w:marLeft w:val="0"/>
      <w:marRight w:val="0"/>
      <w:marTop w:val="0"/>
      <w:marBottom w:val="0"/>
      <w:divBdr>
        <w:top w:val="none" w:sz="0" w:space="0" w:color="auto"/>
        <w:left w:val="none" w:sz="0" w:space="0" w:color="auto"/>
        <w:bottom w:val="none" w:sz="0" w:space="0" w:color="auto"/>
        <w:right w:val="none" w:sz="0" w:space="0" w:color="auto"/>
      </w:divBdr>
    </w:div>
    <w:div w:id="710957189">
      <w:bodyDiv w:val="1"/>
      <w:marLeft w:val="0"/>
      <w:marRight w:val="0"/>
      <w:marTop w:val="0"/>
      <w:marBottom w:val="0"/>
      <w:divBdr>
        <w:top w:val="none" w:sz="0" w:space="0" w:color="auto"/>
        <w:left w:val="none" w:sz="0" w:space="0" w:color="auto"/>
        <w:bottom w:val="none" w:sz="0" w:space="0" w:color="auto"/>
        <w:right w:val="none" w:sz="0" w:space="0" w:color="auto"/>
      </w:divBdr>
    </w:div>
    <w:div w:id="710957718">
      <w:bodyDiv w:val="1"/>
      <w:marLeft w:val="0"/>
      <w:marRight w:val="0"/>
      <w:marTop w:val="0"/>
      <w:marBottom w:val="0"/>
      <w:divBdr>
        <w:top w:val="none" w:sz="0" w:space="0" w:color="auto"/>
        <w:left w:val="none" w:sz="0" w:space="0" w:color="auto"/>
        <w:bottom w:val="none" w:sz="0" w:space="0" w:color="auto"/>
        <w:right w:val="none" w:sz="0" w:space="0" w:color="auto"/>
      </w:divBdr>
    </w:div>
    <w:div w:id="711031524">
      <w:bodyDiv w:val="1"/>
      <w:marLeft w:val="0"/>
      <w:marRight w:val="0"/>
      <w:marTop w:val="0"/>
      <w:marBottom w:val="0"/>
      <w:divBdr>
        <w:top w:val="none" w:sz="0" w:space="0" w:color="auto"/>
        <w:left w:val="none" w:sz="0" w:space="0" w:color="auto"/>
        <w:bottom w:val="none" w:sz="0" w:space="0" w:color="auto"/>
        <w:right w:val="none" w:sz="0" w:space="0" w:color="auto"/>
      </w:divBdr>
    </w:div>
    <w:div w:id="711148889">
      <w:bodyDiv w:val="1"/>
      <w:marLeft w:val="0"/>
      <w:marRight w:val="0"/>
      <w:marTop w:val="0"/>
      <w:marBottom w:val="0"/>
      <w:divBdr>
        <w:top w:val="none" w:sz="0" w:space="0" w:color="auto"/>
        <w:left w:val="none" w:sz="0" w:space="0" w:color="auto"/>
        <w:bottom w:val="none" w:sz="0" w:space="0" w:color="auto"/>
        <w:right w:val="none" w:sz="0" w:space="0" w:color="auto"/>
      </w:divBdr>
    </w:div>
    <w:div w:id="711197281">
      <w:bodyDiv w:val="1"/>
      <w:marLeft w:val="0"/>
      <w:marRight w:val="0"/>
      <w:marTop w:val="0"/>
      <w:marBottom w:val="0"/>
      <w:divBdr>
        <w:top w:val="none" w:sz="0" w:space="0" w:color="auto"/>
        <w:left w:val="none" w:sz="0" w:space="0" w:color="auto"/>
        <w:bottom w:val="none" w:sz="0" w:space="0" w:color="auto"/>
        <w:right w:val="none" w:sz="0" w:space="0" w:color="auto"/>
      </w:divBdr>
    </w:div>
    <w:div w:id="711346904">
      <w:bodyDiv w:val="1"/>
      <w:marLeft w:val="0"/>
      <w:marRight w:val="0"/>
      <w:marTop w:val="0"/>
      <w:marBottom w:val="0"/>
      <w:divBdr>
        <w:top w:val="none" w:sz="0" w:space="0" w:color="auto"/>
        <w:left w:val="none" w:sz="0" w:space="0" w:color="auto"/>
        <w:bottom w:val="none" w:sz="0" w:space="0" w:color="auto"/>
        <w:right w:val="none" w:sz="0" w:space="0" w:color="auto"/>
      </w:divBdr>
    </w:div>
    <w:div w:id="711420862">
      <w:bodyDiv w:val="1"/>
      <w:marLeft w:val="0"/>
      <w:marRight w:val="0"/>
      <w:marTop w:val="0"/>
      <w:marBottom w:val="0"/>
      <w:divBdr>
        <w:top w:val="none" w:sz="0" w:space="0" w:color="auto"/>
        <w:left w:val="none" w:sz="0" w:space="0" w:color="auto"/>
        <w:bottom w:val="none" w:sz="0" w:space="0" w:color="auto"/>
        <w:right w:val="none" w:sz="0" w:space="0" w:color="auto"/>
      </w:divBdr>
    </w:div>
    <w:div w:id="711459294">
      <w:bodyDiv w:val="1"/>
      <w:marLeft w:val="0"/>
      <w:marRight w:val="0"/>
      <w:marTop w:val="0"/>
      <w:marBottom w:val="0"/>
      <w:divBdr>
        <w:top w:val="none" w:sz="0" w:space="0" w:color="auto"/>
        <w:left w:val="none" w:sz="0" w:space="0" w:color="auto"/>
        <w:bottom w:val="none" w:sz="0" w:space="0" w:color="auto"/>
        <w:right w:val="none" w:sz="0" w:space="0" w:color="auto"/>
      </w:divBdr>
    </w:div>
    <w:div w:id="711461103">
      <w:bodyDiv w:val="1"/>
      <w:marLeft w:val="0"/>
      <w:marRight w:val="0"/>
      <w:marTop w:val="0"/>
      <w:marBottom w:val="0"/>
      <w:divBdr>
        <w:top w:val="none" w:sz="0" w:space="0" w:color="auto"/>
        <w:left w:val="none" w:sz="0" w:space="0" w:color="auto"/>
        <w:bottom w:val="none" w:sz="0" w:space="0" w:color="auto"/>
        <w:right w:val="none" w:sz="0" w:space="0" w:color="auto"/>
      </w:divBdr>
    </w:div>
    <w:div w:id="711612265">
      <w:bodyDiv w:val="1"/>
      <w:marLeft w:val="0"/>
      <w:marRight w:val="0"/>
      <w:marTop w:val="0"/>
      <w:marBottom w:val="0"/>
      <w:divBdr>
        <w:top w:val="none" w:sz="0" w:space="0" w:color="auto"/>
        <w:left w:val="none" w:sz="0" w:space="0" w:color="auto"/>
        <w:bottom w:val="none" w:sz="0" w:space="0" w:color="auto"/>
        <w:right w:val="none" w:sz="0" w:space="0" w:color="auto"/>
      </w:divBdr>
    </w:div>
    <w:div w:id="711656678">
      <w:bodyDiv w:val="1"/>
      <w:marLeft w:val="0"/>
      <w:marRight w:val="0"/>
      <w:marTop w:val="0"/>
      <w:marBottom w:val="0"/>
      <w:divBdr>
        <w:top w:val="none" w:sz="0" w:space="0" w:color="auto"/>
        <w:left w:val="none" w:sz="0" w:space="0" w:color="auto"/>
        <w:bottom w:val="none" w:sz="0" w:space="0" w:color="auto"/>
        <w:right w:val="none" w:sz="0" w:space="0" w:color="auto"/>
      </w:divBdr>
    </w:div>
    <w:div w:id="711684784">
      <w:bodyDiv w:val="1"/>
      <w:marLeft w:val="0"/>
      <w:marRight w:val="0"/>
      <w:marTop w:val="0"/>
      <w:marBottom w:val="0"/>
      <w:divBdr>
        <w:top w:val="none" w:sz="0" w:space="0" w:color="auto"/>
        <w:left w:val="none" w:sz="0" w:space="0" w:color="auto"/>
        <w:bottom w:val="none" w:sz="0" w:space="0" w:color="auto"/>
        <w:right w:val="none" w:sz="0" w:space="0" w:color="auto"/>
      </w:divBdr>
    </w:div>
    <w:div w:id="711731694">
      <w:bodyDiv w:val="1"/>
      <w:marLeft w:val="0"/>
      <w:marRight w:val="0"/>
      <w:marTop w:val="0"/>
      <w:marBottom w:val="0"/>
      <w:divBdr>
        <w:top w:val="none" w:sz="0" w:space="0" w:color="auto"/>
        <w:left w:val="none" w:sz="0" w:space="0" w:color="auto"/>
        <w:bottom w:val="none" w:sz="0" w:space="0" w:color="auto"/>
        <w:right w:val="none" w:sz="0" w:space="0" w:color="auto"/>
      </w:divBdr>
    </w:div>
    <w:div w:id="711806596">
      <w:bodyDiv w:val="1"/>
      <w:marLeft w:val="0"/>
      <w:marRight w:val="0"/>
      <w:marTop w:val="0"/>
      <w:marBottom w:val="0"/>
      <w:divBdr>
        <w:top w:val="none" w:sz="0" w:space="0" w:color="auto"/>
        <w:left w:val="none" w:sz="0" w:space="0" w:color="auto"/>
        <w:bottom w:val="none" w:sz="0" w:space="0" w:color="auto"/>
        <w:right w:val="none" w:sz="0" w:space="0" w:color="auto"/>
      </w:divBdr>
    </w:div>
    <w:div w:id="711807569">
      <w:bodyDiv w:val="1"/>
      <w:marLeft w:val="0"/>
      <w:marRight w:val="0"/>
      <w:marTop w:val="0"/>
      <w:marBottom w:val="0"/>
      <w:divBdr>
        <w:top w:val="none" w:sz="0" w:space="0" w:color="auto"/>
        <w:left w:val="none" w:sz="0" w:space="0" w:color="auto"/>
        <w:bottom w:val="none" w:sz="0" w:space="0" w:color="auto"/>
        <w:right w:val="none" w:sz="0" w:space="0" w:color="auto"/>
      </w:divBdr>
    </w:div>
    <w:div w:id="711879667">
      <w:bodyDiv w:val="1"/>
      <w:marLeft w:val="0"/>
      <w:marRight w:val="0"/>
      <w:marTop w:val="0"/>
      <w:marBottom w:val="0"/>
      <w:divBdr>
        <w:top w:val="none" w:sz="0" w:space="0" w:color="auto"/>
        <w:left w:val="none" w:sz="0" w:space="0" w:color="auto"/>
        <w:bottom w:val="none" w:sz="0" w:space="0" w:color="auto"/>
        <w:right w:val="none" w:sz="0" w:space="0" w:color="auto"/>
      </w:divBdr>
    </w:div>
    <w:div w:id="711921605">
      <w:bodyDiv w:val="1"/>
      <w:marLeft w:val="0"/>
      <w:marRight w:val="0"/>
      <w:marTop w:val="0"/>
      <w:marBottom w:val="0"/>
      <w:divBdr>
        <w:top w:val="none" w:sz="0" w:space="0" w:color="auto"/>
        <w:left w:val="none" w:sz="0" w:space="0" w:color="auto"/>
        <w:bottom w:val="none" w:sz="0" w:space="0" w:color="auto"/>
        <w:right w:val="none" w:sz="0" w:space="0" w:color="auto"/>
      </w:divBdr>
    </w:div>
    <w:div w:id="712074822">
      <w:bodyDiv w:val="1"/>
      <w:marLeft w:val="0"/>
      <w:marRight w:val="0"/>
      <w:marTop w:val="0"/>
      <w:marBottom w:val="0"/>
      <w:divBdr>
        <w:top w:val="none" w:sz="0" w:space="0" w:color="auto"/>
        <w:left w:val="none" w:sz="0" w:space="0" w:color="auto"/>
        <w:bottom w:val="none" w:sz="0" w:space="0" w:color="auto"/>
        <w:right w:val="none" w:sz="0" w:space="0" w:color="auto"/>
      </w:divBdr>
    </w:div>
    <w:div w:id="712193710">
      <w:bodyDiv w:val="1"/>
      <w:marLeft w:val="0"/>
      <w:marRight w:val="0"/>
      <w:marTop w:val="0"/>
      <w:marBottom w:val="0"/>
      <w:divBdr>
        <w:top w:val="none" w:sz="0" w:space="0" w:color="auto"/>
        <w:left w:val="none" w:sz="0" w:space="0" w:color="auto"/>
        <w:bottom w:val="none" w:sz="0" w:space="0" w:color="auto"/>
        <w:right w:val="none" w:sz="0" w:space="0" w:color="auto"/>
      </w:divBdr>
    </w:div>
    <w:div w:id="712272037">
      <w:bodyDiv w:val="1"/>
      <w:marLeft w:val="0"/>
      <w:marRight w:val="0"/>
      <w:marTop w:val="0"/>
      <w:marBottom w:val="0"/>
      <w:divBdr>
        <w:top w:val="none" w:sz="0" w:space="0" w:color="auto"/>
        <w:left w:val="none" w:sz="0" w:space="0" w:color="auto"/>
        <w:bottom w:val="none" w:sz="0" w:space="0" w:color="auto"/>
        <w:right w:val="none" w:sz="0" w:space="0" w:color="auto"/>
      </w:divBdr>
    </w:div>
    <w:div w:id="712386732">
      <w:bodyDiv w:val="1"/>
      <w:marLeft w:val="0"/>
      <w:marRight w:val="0"/>
      <w:marTop w:val="0"/>
      <w:marBottom w:val="0"/>
      <w:divBdr>
        <w:top w:val="none" w:sz="0" w:space="0" w:color="auto"/>
        <w:left w:val="none" w:sz="0" w:space="0" w:color="auto"/>
        <w:bottom w:val="none" w:sz="0" w:space="0" w:color="auto"/>
        <w:right w:val="none" w:sz="0" w:space="0" w:color="auto"/>
      </w:divBdr>
    </w:div>
    <w:div w:id="712392364">
      <w:bodyDiv w:val="1"/>
      <w:marLeft w:val="0"/>
      <w:marRight w:val="0"/>
      <w:marTop w:val="0"/>
      <w:marBottom w:val="0"/>
      <w:divBdr>
        <w:top w:val="none" w:sz="0" w:space="0" w:color="auto"/>
        <w:left w:val="none" w:sz="0" w:space="0" w:color="auto"/>
        <w:bottom w:val="none" w:sz="0" w:space="0" w:color="auto"/>
        <w:right w:val="none" w:sz="0" w:space="0" w:color="auto"/>
      </w:divBdr>
    </w:div>
    <w:div w:id="712458119">
      <w:bodyDiv w:val="1"/>
      <w:marLeft w:val="0"/>
      <w:marRight w:val="0"/>
      <w:marTop w:val="0"/>
      <w:marBottom w:val="0"/>
      <w:divBdr>
        <w:top w:val="none" w:sz="0" w:space="0" w:color="auto"/>
        <w:left w:val="none" w:sz="0" w:space="0" w:color="auto"/>
        <w:bottom w:val="none" w:sz="0" w:space="0" w:color="auto"/>
        <w:right w:val="none" w:sz="0" w:space="0" w:color="auto"/>
      </w:divBdr>
    </w:div>
    <w:div w:id="712507977">
      <w:bodyDiv w:val="1"/>
      <w:marLeft w:val="0"/>
      <w:marRight w:val="0"/>
      <w:marTop w:val="0"/>
      <w:marBottom w:val="0"/>
      <w:divBdr>
        <w:top w:val="none" w:sz="0" w:space="0" w:color="auto"/>
        <w:left w:val="none" w:sz="0" w:space="0" w:color="auto"/>
        <w:bottom w:val="none" w:sz="0" w:space="0" w:color="auto"/>
        <w:right w:val="none" w:sz="0" w:space="0" w:color="auto"/>
      </w:divBdr>
    </w:div>
    <w:div w:id="712730154">
      <w:bodyDiv w:val="1"/>
      <w:marLeft w:val="0"/>
      <w:marRight w:val="0"/>
      <w:marTop w:val="0"/>
      <w:marBottom w:val="0"/>
      <w:divBdr>
        <w:top w:val="none" w:sz="0" w:space="0" w:color="auto"/>
        <w:left w:val="none" w:sz="0" w:space="0" w:color="auto"/>
        <w:bottom w:val="none" w:sz="0" w:space="0" w:color="auto"/>
        <w:right w:val="none" w:sz="0" w:space="0" w:color="auto"/>
      </w:divBdr>
    </w:div>
    <w:div w:id="712776302">
      <w:bodyDiv w:val="1"/>
      <w:marLeft w:val="0"/>
      <w:marRight w:val="0"/>
      <w:marTop w:val="0"/>
      <w:marBottom w:val="0"/>
      <w:divBdr>
        <w:top w:val="none" w:sz="0" w:space="0" w:color="auto"/>
        <w:left w:val="none" w:sz="0" w:space="0" w:color="auto"/>
        <w:bottom w:val="none" w:sz="0" w:space="0" w:color="auto"/>
        <w:right w:val="none" w:sz="0" w:space="0" w:color="auto"/>
      </w:divBdr>
    </w:div>
    <w:div w:id="712849857">
      <w:bodyDiv w:val="1"/>
      <w:marLeft w:val="0"/>
      <w:marRight w:val="0"/>
      <w:marTop w:val="0"/>
      <w:marBottom w:val="0"/>
      <w:divBdr>
        <w:top w:val="none" w:sz="0" w:space="0" w:color="auto"/>
        <w:left w:val="none" w:sz="0" w:space="0" w:color="auto"/>
        <w:bottom w:val="none" w:sz="0" w:space="0" w:color="auto"/>
        <w:right w:val="none" w:sz="0" w:space="0" w:color="auto"/>
      </w:divBdr>
    </w:div>
    <w:div w:id="712922344">
      <w:bodyDiv w:val="1"/>
      <w:marLeft w:val="0"/>
      <w:marRight w:val="0"/>
      <w:marTop w:val="0"/>
      <w:marBottom w:val="0"/>
      <w:divBdr>
        <w:top w:val="none" w:sz="0" w:space="0" w:color="auto"/>
        <w:left w:val="none" w:sz="0" w:space="0" w:color="auto"/>
        <w:bottom w:val="none" w:sz="0" w:space="0" w:color="auto"/>
        <w:right w:val="none" w:sz="0" w:space="0" w:color="auto"/>
      </w:divBdr>
    </w:div>
    <w:div w:id="712966283">
      <w:bodyDiv w:val="1"/>
      <w:marLeft w:val="0"/>
      <w:marRight w:val="0"/>
      <w:marTop w:val="0"/>
      <w:marBottom w:val="0"/>
      <w:divBdr>
        <w:top w:val="none" w:sz="0" w:space="0" w:color="auto"/>
        <w:left w:val="none" w:sz="0" w:space="0" w:color="auto"/>
        <w:bottom w:val="none" w:sz="0" w:space="0" w:color="auto"/>
        <w:right w:val="none" w:sz="0" w:space="0" w:color="auto"/>
      </w:divBdr>
    </w:div>
    <w:div w:id="712998796">
      <w:bodyDiv w:val="1"/>
      <w:marLeft w:val="0"/>
      <w:marRight w:val="0"/>
      <w:marTop w:val="0"/>
      <w:marBottom w:val="0"/>
      <w:divBdr>
        <w:top w:val="none" w:sz="0" w:space="0" w:color="auto"/>
        <w:left w:val="none" w:sz="0" w:space="0" w:color="auto"/>
        <w:bottom w:val="none" w:sz="0" w:space="0" w:color="auto"/>
        <w:right w:val="none" w:sz="0" w:space="0" w:color="auto"/>
      </w:divBdr>
    </w:div>
    <w:div w:id="713046007">
      <w:bodyDiv w:val="1"/>
      <w:marLeft w:val="0"/>
      <w:marRight w:val="0"/>
      <w:marTop w:val="0"/>
      <w:marBottom w:val="0"/>
      <w:divBdr>
        <w:top w:val="none" w:sz="0" w:space="0" w:color="auto"/>
        <w:left w:val="none" w:sz="0" w:space="0" w:color="auto"/>
        <w:bottom w:val="none" w:sz="0" w:space="0" w:color="auto"/>
        <w:right w:val="none" w:sz="0" w:space="0" w:color="auto"/>
      </w:divBdr>
    </w:div>
    <w:div w:id="713118659">
      <w:bodyDiv w:val="1"/>
      <w:marLeft w:val="0"/>
      <w:marRight w:val="0"/>
      <w:marTop w:val="0"/>
      <w:marBottom w:val="0"/>
      <w:divBdr>
        <w:top w:val="none" w:sz="0" w:space="0" w:color="auto"/>
        <w:left w:val="none" w:sz="0" w:space="0" w:color="auto"/>
        <w:bottom w:val="none" w:sz="0" w:space="0" w:color="auto"/>
        <w:right w:val="none" w:sz="0" w:space="0" w:color="auto"/>
      </w:divBdr>
    </w:div>
    <w:div w:id="713232937">
      <w:bodyDiv w:val="1"/>
      <w:marLeft w:val="0"/>
      <w:marRight w:val="0"/>
      <w:marTop w:val="0"/>
      <w:marBottom w:val="0"/>
      <w:divBdr>
        <w:top w:val="none" w:sz="0" w:space="0" w:color="auto"/>
        <w:left w:val="none" w:sz="0" w:space="0" w:color="auto"/>
        <w:bottom w:val="none" w:sz="0" w:space="0" w:color="auto"/>
        <w:right w:val="none" w:sz="0" w:space="0" w:color="auto"/>
      </w:divBdr>
    </w:div>
    <w:div w:id="713426389">
      <w:bodyDiv w:val="1"/>
      <w:marLeft w:val="0"/>
      <w:marRight w:val="0"/>
      <w:marTop w:val="0"/>
      <w:marBottom w:val="0"/>
      <w:divBdr>
        <w:top w:val="none" w:sz="0" w:space="0" w:color="auto"/>
        <w:left w:val="none" w:sz="0" w:space="0" w:color="auto"/>
        <w:bottom w:val="none" w:sz="0" w:space="0" w:color="auto"/>
        <w:right w:val="none" w:sz="0" w:space="0" w:color="auto"/>
      </w:divBdr>
    </w:div>
    <w:div w:id="713427606">
      <w:bodyDiv w:val="1"/>
      <w:marLeft w:val="0"/>
      <w:marRight w:val="0"/>
      <w:marTop w:val="0"/>
      <w:marBottom w:val="0"/>
      <w:divBdr>
        <w:top w:val="none" w:sz="0" w:space="0" w:color="auto"/>
        <w:left w:val="none" w:sz="0" w:space="0" w:color="auto"/>
        <w:bottom w:val="none" w:sz="0" w:space="0" w:color="auto"/>
        <w:right w:val="none" w:sz="0" w:space="0" w:color="auto"/>
      </w:divBdr>
    </w:div>
    <w:div w:id="713428602">
      <w:bodyDiv w:val="1"/>
      <w:marLeft w:val="0"/>
      <w:marRight w:val="0"/>
      <w:marTop w:val="0"/>
      <w:marBottom w:val="0"/>
      <w:divBdr>
        <w:top w:val="none" w:sz="0" w:space="0" w:color="auto"/>
        <w:left w:val="none" w:sz="0" w:space="0" w:color="auto"/>
        <w:bottom w:val="none" w:sz="0" w:space="0" w:color="auto"/>
        <w:right w:val="none" w:sz="0" w:space="0" w:color="auto"/>
      </w:divBdr>
    </w:div>
    <w:div w:id="713507684">
      <w:bodyDiv w:val="1"/>
      <w:marLeft w:val="0"/>
      <w:marRight w:val="0"/>
      <w:marTop w:val="0"/>
      <w:marBottom w:val="0"/>
      <w:divBdr>
        <w:top w:val="none" w:sz="0" w:space="0" w:color="auto"/>
        <w:left w:val="none" w:sz="0" w:space="0" w:color="auto"/>
        <w:bottom w:val="none" w:sz="0" w:space="0" w:color="auto"/>
        <w:right w:val="none" w:sz="0" w:space="0" w:color="auto"/>
      </w:divBdr>
    </w:div>
    <w:div w:id="713507991">
      <w:bodyDiv w:val="1"/>
      <w:marLeft w:val="0"/>
      <w:marRight w:val="0"/>
      <w:marTop w:val="0"/>
      <w:marBottom w:val="0"/>
      <w:divBdr>
        <w:top w:val="none" w:sz="0" w:space="0" w:color="auto"/>
        <w:left w:val="none" w:sz="0" w:space="0" w:color="auto"/>
        <w:bottom w:val="none" w:sz="0" w:space="0" w:color="auto"/>
        <w:right w:val="none" w:sz="0" w:space="0" w:color="auto"/>
      </w:divBdr>
    </w:div>
    <w:div w:id="713695097">
      <w:bodyDiv w:val="1"/>
      <w:marLeft w:val="0"/>
      <w:marRight w:val="0"/>
      <w:marTop w:val="0"/>
      <w:marBottom w:val="0"/>
      <w:divBdr>
        <w:top w:val="none" w:sz="0" w:space="0" w:color="auto"/>
        <w:left w:val="none" w:sz="0" w:space="0" w:color="auto"/>
        <w:bottom w:val="none" w:sz="0" w:space="0" w:color="auto"/>
        <w:right w:val="none" w:sz="0" w:space="0" w:color="auto"/>
      </w:divBdr>
    </w:div>
    <w:div w:id="713701092">
      <w:bodyDiv w:val="1"/>
      <w:marLeft w:val="0"/>
      <w:marRight w:val="0"/>
      <w:marTop w:val="0"/>
      <w:marBottom w:val="0"/>
      <w:divBdr>
        <w:top w:val="none" w:sz="0" w:space="0" w:color="auto"/>
        <w:left w:val="none" w:sz="0" w:space="0" w:color="auto"/>
        <w:bottom w:val="none" w:sz="0" w:space="0" w:color="auto"/>
        <w:right w:val="none" w:sz="0" w:space="0" w:color="auto"/>
      </w:divBdr>
    </w:div>
    <w:div w:id="713701312">
      <w:bodyDiv w:val="1"/>
      <w:marLeft w:val="0"/>
      <w:marRight w:val="0"/>
      <w:marTop w:val="0"/>
      <w:marBottom w:val="0"/>
      <w:divBdr>
        <w:top w:val="none" w:sz="0" w:space="0" w:color="auto"/>
        <w:left w:val="none" w:sz="0" w:space="0" w:color="auto"/>
        <w:bottom w:val="none" w:sz="0" w:space="0" w:color="auto"/>
        <w:right w:val="none" w:sz="0" w:space="0" w:color="auto"/>
      </w:divBdr>
    </w:div>
    <w:div w:id="713772815">
      <w:bodyDiv w:val="1"/>
      <w:marLeft w:val="0"/>
      <w:marRight w:val="0"/>
      <w:marTop w:val="0"/>
      <w:marBottom w:val="0"/>
      <w:divBdr>
        <w:top w:val="none" w:sz="0" w:space="0" w:color="auto"/>
        <w:left w:val="none" w:sz="0" w:space="0" w:color="auto"/>
        <w:bottom w:val="none" w:sz="0" w:space="0" w:color="auto"/>
        <w:right w:val="none" w:sz="0" w:space="0" w:color="auto"/>
      </w:divBdr>
    </w:div>
    <w:div w:id="713775319">
      <w:bodyDiv w:val="1"/>
      <w:marLeft w:val="0"/>
      <w:marRight w:val="0"/>
      <w:marTop w:val="0"/>
      <w:marBottom w:val="0"/>
      <w:divBdr>
        <w:top w:val="none" w:sz="0" w:space="0" w:color="auto"/>
        <w:left w:val="none" w:sz="0" w:space="0" w:color="auto"/>
        <w:bottom w:val="none" w:sz="0" w:space="0" w:color="auto"/>
        <w:right w:val="none" w:sz="0" w:space="0" w:color="auto"/>
      </w:divBdr>
    </w:div>
    <w:div w:id="713969197">
      <w:bodyDiv w:val="1"/>
      <w:marLeft w:val="0"/>
      <w:marRight w:val="0"/>
      <w:marTop w:val="0"/>
      <w:marBottom w:val="0"/>
      <w:divBdr>
        <w:top w:val="none" w:sz="0" w:space="0" w:color="auto"/>
        <w:left w:val="none" w:sz="0" w:space="0" w:color="auto"/>
        <w:bottom w:val="none" w:sz="0" w:space="0" w:color="auto"/>
        <w:right w:val="none" w:sz="0" w:space="0" w:color="auto"/>
      </w:divBdr>
    </w:div>
    <w:div w:id="714040558">
      <w:bodyDiv w:val="1"/>
      <w:marLeft w:val="0"/>
      <w:marRight w:val="0"/>
      <w:marTop w:val="0"/>
      <w:marBottom w:val="0"/>
      <w:divBdr>
        <w:top w:val="none" w:sz="0" w:space="0" w:color="auto"/>
        <w:left w:val="none" w:sz="0" w:space="0" w:color="auto"/>
        <w:bottom w:val="none" w:sz="0" w:space="0" w:color="auto"/>
        <w:right w:val="none" w:sz="0" w:space="0" w:color="auto"/>
      </w:divBdr>
    </w:div>
    <w:div w:id="714041536">
      <w:bodyDiv w:val="1"/>
      <w:marLeft w:val="0"/>
      <w:marRight w:val="0"/>
      <w:marTop w:val="0"/>
      <w:marBottom w:val="0"/>
      <w:divBdr>
        <w:top w:val="none" w:sz="0" w:space="0" w:color="auto"/>
        <w:left w:val="none" w:sz="0" w:space="0" w:color="auto"/>
        <w:bottom w:val="none" w:sz="0" w:space="0" w:color="auto"/>
        <w:right w:val="none" w:sz="0" w:space="0" w:color="auto"/>
      </w:divBdr>
    </w:div>
    <w:div w:id="714044638">
      <w:bodyDiv w:val="1"/>
      <w:marLeft w:val="0"/>
      <w:marRight w:val="0"/>
      <w:marTop w:val="0"/>
      <w:marBottom w:val="0"/>
      <w:divBdr>
        <w:top w:val="none" w:sz="0" w:space="0" w:color="auto"/>
        <w:left w:val="none" w:sz="0" w:space="0" w:color="auto"/>
        <w:bottom w:val="none" w:sz="0" w:space="0" w:color="auto"/>
        <w:right w:val="none" w:sz="0" w:space="0" w:color="auto"/>
      </w:divBdr>
    </w:div>
    <w:div w:id="714281986">
      <w:bodyDiv w:val="1"/>
      <w:marLeft w:val="0"/>
      <w:marRight w:val="0"/>
      <w:marTop w:val="0"/>
      <w:marBottom w:val="0"/>
      <w:divBdr>
        <w:top w:val="none" w:sz="0" w:space="0" w:color="auto"/>
        <w:left w:val="none" w:sz="0" w:space="0" w:color="auto"/>
        <w:bottom w:val="none" w:sz="0" w:space="0" w:color="auto"/>
        <w:right w:val="none" w:sz="0" w:space="0" w:color="auto"/>
      </w:divBdr>
    </w:div>
    <w:div w:id="714282825">
      <w:bodyDiv w:val="1"/>
      <w:marLeft w:val="0"/>
      <w:marRight w:val="0"/>
      <w:marTop w:val="0"/>
      <w:marBottom w:val="0"/>
      <w:divBdr>
        <w:top w:val="none" w:sz="0" w:space="0" w:color="auto"/>
        <w:left w:val="none" w:sz="0" w:space="0" w:color="auto"/>
        <w:bottom w:val="none" w:sz="0" w:space="0" w:color="auto"/>
        <w:right w:val="none" w:sz="0" w:space="0" w:color="auto"/>
      </w:divBdr>
    </w:div>
    <w:div w:id="714307594">
      <w:bodyDiv w:val="1"/>
      <w:marLeft w:val="0"/>
      <w:marRight w:val="0"/>
      <w:marTop w:val="0"/>
      <w:marBottom w:val="0"/>
      <w:divBdr>
        <w:top w:val="none" w:sz="0" w:space="0" w:color="auto"/>
        <w:left w:val="none" w:sz="0" w:space="0" w:color="auto"/>
        <w:bottom w:val="none" w:sz="0" w:space="0" w:color="auto"/>
        <w:right w:val="none" w:sz="0" w:space="0" w:color="auto"/>
      </w:divBdr>
    </w:div>
    <w:div w:id="714308807">
      <w:bodyDiv w:val="1"/>
      <w:marLeft w:val="0"/>
      <w:marRight w:val="0"/>
      <w:marTop w:val="0"/>
      <w:marBottom w:val="0"/>
      <w:divBdr>
        <w:top w:val="none" w:sz="0" w:space="0" w:color="auto"/>
        <w:left w:val="none" w:sz="0" w:space="0" w:color="auto"/>
        <w:bottom w:val="none" w:sz="0" w:space="0" w:color="auto"/>
        <w:right w:val="none" w:sz="0" w:space="0" w:color="auto"/>
      </w:divBdr>
    </w:div>
    <w:div w:id="714424387">
      <w:bodyDiv w:val="1"/>
      <w:marLeft w:val="0"/>
      <w:marRight w:val="0"/>
      <w:marTop w:val="0"/>
      <w:marBottom w:val="0"/>
      <w:divBdr>
        <w:top w:val="none" w:sz="0" w:space="0" w:color="auto"/>
        <w:left w:val="none" w:sz="0" w:space="0" w:color="auto"/>
        <w:bottom w:val="none" w:sz="0" w:space="0" w:color="auto"/>
        <w:right w:val="none" w:sz="0" w:space="0" w:color="auto"/>
      </w:divBdr>
    </w:div>
    <w:div w:id="714502586">
      <w:bodyDiv w:val="1"/>
      <w:marLeft w:val="0"/>
      <w:marRight w:val="0"/>
      <w:marTop w:val="0"/>
      <w:marBottom w:val="0"/>
      <w:divBdr>
        <w:top w:val="none" w:sz="0" w:space="0" w:color="auto"/>
        <w:left w:val="none" w:sz="0" w:space="0" w:color="auto"/>
        <w:bottom w:val="none" w:sz="0" w:space="0" w:color="auto"/>
        <w:right w:val="none" w:sz="0" w:space="0" w:color="auto"/>
      </w:divBdr>
    </w:div>
    <w:div w:id="714504324">
      <w:bodyDiv w:val="1"/>
      <w:marLeft w:val="0"/>
      <w:marRight w:val="0"/>
      <w:marTop w:val="0"/>
      <w:marBottom w:val="0"/>
      <w:divBdr>
        <w:top w:val="none" w:sz="0" w:space="0" w:color="auto"/>
        <w:left w:val="none" w:sz="0" w:space="0" w:color="auto"/>
        <w:bottom w:val="none" w:sz="0" w:space="0" w:color="auto"/>
        <w:right w:val="none" w:sz="0" w:space="0" w:color="auto"/>
      </w:divBdr>
    </w:div>
    <w:div w:id="714549061">
      <w:bodyDiv w:val="1"/>
      <w:marLeft w:val="0"/>
      <w:marRight w:val="0"/>
      <w:marTop w:val="0"/>
      <w:marBottom w:val="0"/>
      <w:divBdr>
        <w:top w:val="none" w:sz="0" w:space="0" w:color="auto"/>
        <w:left w:val="none" w:sz="0" w:space="0" w:color="auto"/>
        <w:bottom w:val="none" w:sz="0" w:space="0" w:color="auto"/>
        <w:right w:val="none" w:sz="0" w:space="0" w:color="auto"/>
      </w:divBdr>
    </w:div>
    <w:div w:id="714549839">
      <w:bodyDiv w:val="1"/>
      <w:marLeft w:val="0"/>
      <w:marRight w:val="0"/>
      <w:marTop w:val="0"/>
      <w:marBottom w:val="0"/>
      <w:divBdr>
        <w:top w:val="none" w:sz="0" w:space="0" w:color="auto"/>
        <w:left w:val="none" w:sz="0" w:space="0" w:color="auto"/>
        <w:bottom w:val="none" w:sz="0" w:space="0" w:color="auto"/>
        <w:right w:val="none" w:sz="0" w:space="0" w:color="auto"/>
      </w:divBdr>
    </w:div>
    <w:div w:id="714622196">
      <w:bodyDiv w:val="1"/>
      <w:marLeft w:val="0"/>
      <w:marRight w:val="0"/>
      <w:marTop w:val="0"/>
      <w:marBottom w:val="0"/>
      <w:divBdr>
        <w:top w:val="none" w:sz="0" w:space="0" w:color="auto"/>
        <w:left w:val="none" w:sz="0" w:space="0" w:color="auto"/>
        <w:bottom w:val="none" w:sz="0" w:space="0" w:color="auto"/>
        <w:right w:val="none" w:sz="0" w:space="0" w:color="auto"/>
      </w:divBdr>
    </w:div>
    <w:div w:id="714693480">
      <w:bodyDiv w:val="1"/>
      <w:marLeft w:val="0"/>
      <w:marRight w:val="0"/>
      <w:marTop w:val="0"/>
      <w:marBottom w:val="0"/>
      <w:divBdr>
        <w:top w:val="none" w:sz="0" w:space="0" w:color="auto"/>
        <w:left w:val="none" w:sz="0" w:space="0" w:color="auto"/>
        <w:bottom w:val="none" w:sz="0" w:space="0" w:color="auto"/>
        <w:right w:val="none" w:sz="0" w:space="0" w:color="auto"/>
      </w:divBdr>
    </w:div>
    <w:div w:id="714811302">
      <w:bodyDiv w:val="1"/>
      <w:marLeft w:val="0"/>
      <w:marRight w:val="0"/>
      <w:marTop w:val="0"/>
      <w:marBottom w:val="0"/>
      <w:divBdr>
        <w:top w:val="none" w:sz="0" w:space="0" w:color="auto"/>
        <w:left w:val="none" w:sz="0" w:space="0" w:color="auto"/>
        <w:bottom w:val="none" w:sz="0" w:space="0" w:color="auto"/>
        <w:right w:val="none" w:sz="0" w:space="0" w:color="auto"/>
      </w:divBdr>
    </w:div>
    <w:div w:id="714886178">
      <w:bodyDiv w:val="1"/>
      <w:marLeft w:val="0"/>
      <w:marRight w:val="0"/>
      <w:marTop w:val="0"/>
      <w:marBottom w:val="0"/>
      <w:divBdr>
        <w:top w:val="none" w:sz="0" w:space="0" w:color="auto"/>
        <w:left w:val="none" w:sz="0" w:space="0" w:color="auto"/>
        <w:bottom w:val="none" w:sz="0" w:space="0" w:color="auto"/>
        <w:right w:val="none" w:sz="0" w:space="0" w:color="auto"/>
      </w:divBdr>
    </w:div>
    <w:div w:id="714892595">
      <w:bodyDiv w:val="1"/>
      <w:marLeft w:val="0"/>
      <w:marRight w:val="0"/>
      <w:marTop w:val="0"/>
      <w:marBottom w:val="0"/>
      <w:divBdr>
        <w:top w:val="none" w:sz="0" w:space="0" w:color="auto"/>
        <w:left w:val="none" w:sz="0" w:space="0" w:color="auto"/>
        <w:bottom w:val="none" w:sz="0" w:space="0" w:color="auto"/>
        <w:right w:val="none" w:sz="0" w:space="0" w:color="auto"/>
      </w:divBdr>
    </w:div>
    <w:div w:id="714932472">
      <w:bodyDiv w:val="1"/>
      <w:marLeft w:val="0"/>
      <w:marRight w:val="0"/>
      <w:marTop w:val="0"/>
      <w:marBottom w:val="0"/>
      <w:divBdr>
        <w:top w:val="none" w:sz="0" w:space="0" w:color="auto"/>
        <w:left w:val="none" w:sz="0" w:space="0" w:color="auto"/>
        <w:bottom w:val="none" w:sz="0" w:space="0" w:color="auto"/>
        <w:right w:val="none" w:sz="0" w:space="0" w:color="auto"/>
      </w:divBdr>
    </w:div>
    <w:div w:id="715008564">
      <w:bodyDiv w:val="1"/>
      <w:marLeft w:val="0"/>
      <w:marRight w:val="0"/>
      <w:marTop w:val="0"/>
      <w:marBottom w:val="0"/>
      <w:divBdr>
        <w:top w:val="none" w:sz="0" w:space="0" w:color="auto"/>
        <w:left w:val="none" w:sz="0" w:space="0" w:color="auto"/>
        <w:bottom w:val="none" w:sz="0" w:space="0" w:color="auto"/>
        <w:right w:val="none" w:sz="0" w:space="0" w:color="auto"/>
      </w:divBdr>
    </w:div>
    <w:div w:id="715011540">
      <w:bodyDiv w:val="1"/>
      <w:marLeft w:val="0"/>
      <w:marRight w:val="0"/>
      <w:marTop w:val="0"/>
      <w:marBottom w:val="0"/>
      <w:divBdr>
        <w:top w:val="none" w:sz="0" w:space="0" w:color="auto"/>
        <w:left w:val="none" w:sz="0" w:space="0" w:color="auto"/>
        <w:bottom w:val="none" w:sz="0" w:space="0" w:color="auto"/>
        <w:right w:val="none" w:sz="0" w:space="0" w:color="auto"/>
      </w:divBdr>
    </w:div>
    <w:div w:id="715088563">
      <w:bodyDiv w:val="1"/>
      <w:marLeft w:val="0"/>
      <w:marRight w:val="0"/>
      <w:marTop w:val="0"/>
      <w:marBottom w:val="0"/>
      <w:divBdr>
        <w:top w:val="none" w:sz="0" w:space="0" w:color="auto"/>
        <w:left w:val="none" w:sz="0" w:space="0" w:color="auto"/>
        <w:bottom w:val="none" w:sz="0" w:space="0" w:color="auto"/>
        <w:right w:val="none" w:sz="0" w:space="0" w:color="auto"/>
      </w:divBdr>
    </w:div>
    <w:div w:id="715130513">
      <w:bodyDiv w:val="1"/>
      <w:marLeft w:val="0"/>
      <w:marRight w:val="0"/>
      <w:marTop w:val="0"/>
      <w:marBottom w:val="0"/>
      <w:divBdr>
        <w:top w:val="none" w:sz="0" w:space="0" w:color="auto"/>
        <w:left w:val="none" w:sz="0" w:space="0" w:color="auto"/>
        <w:bottom w:val="none" w:sz="0" w:space="0" w:color="auto"/>
        <w:right w:val="none" w:sz="0" w:space="0" w:color="auto"/>
      </w:divBdr>
    </w:div>
    <w:div w:id="715203625">
      <w:bodyDiv w:val="1"/>
      <w:marLeft w:val="0"/>
      <w:marRight w:val="0"/>
      <w:marTop w:val="0"/>
      <w:marBottom w:val="0"/>
      <w:divBdr>
        <w:top w:val="none" w:sz="0" w:space="0" w:color="auto"/>
        <w:left w:val="none" w:sz="0" w:space="0" w:color="auto"/>
        <w:bottom w:val="none" w:sz="0" w:space="0" w:color="auto"/>
        <w:right w:val="none" w:sz="0" w:space="0" w:color="auto"/>
      </w:divBdr>
    </w:div>
    <w:div w:id="715205826">
      <w:bodyDiv w:val="1"/>
      <w:marLeft w:val="0"/>
      <w:marRight w:val="0"/>
      <w:marTop w:val="0"/>
      <w:marBottom w:val="0"/>
      <w:divBdr>
        <w:top w:val="none" w:sz="0" w:space="0" w:color="auto"/>
        <w:left w:val="none" w:sz="0" w:space="0" w:color="auto"/>
        <w:bottom w:val="none" w:sz="0" w:space="0" w:color="auto"/>
        <w:right w:val="none" w:sz="0" w:space="0" w:color="auto"/>
      </w:divBdr>
    </w:div>
    <w:div w:id="715276618">
      <w:bodyDiv w:val="1"/>
      <w:marLeft w:val="0"/>
      <w:marRight w:val="0"/>
      <w:marTop w:val="0"/>
      <w:marBottom w:val="0"/>
      <w:divBdr>
        <w:top w:val="none" w:sz="0" w:space="0" w:color="auto"/>
        <w:left w:val="none" w:sz="0" w:space="0" w:color="auto"/>
        <w:bottom w:val="none" w:sz="0" w:space="0" w:color="auto"/>
        <w:right w:val="none" w:sz="0" w:space="0" w:color="auto"/>
      </w:divBdr>
    </w:div>
    <w:div w:id="715353834">
      <w:bodyDiv w:val="1"/>
      <w:marLeft w:val="0"/>
      <w:marRight w:val="0"/>
      <w:marTop w:val="0"/>
      <w:marBottom w:val="0"/>
      <w:divBdr>
        <w:top w:val="none" w:sz="0" w:space="0" w:color="auto"/>
        <w:left w:val="none" w:sz="0" w:space="0" w:color="auto"/>
        <w:bottom w:val="none" w:sz="0" w:space="0" w:color="auto"/>
        <w:right w:val="none" w:sz="0" w:space="0" w:color="auto"/>
      </w:divBdr>
    </w:div>
    <w:div w:id="715356801">
      <w:bodyDiv w:val="1"/>
      <w:marLeft w:val="0"/>
      <w:marRight w:val="0"/>
      <w:marTop w:val="0"/>
      <w:marBottom w:val="0"/>
      <w:divBdr>
        <w:top w:val="none" w:sz="0" w:space="0" w:color="auto"/>
        <w:left w:val="none" w:sz="0" w:space="0" w:color="auto"/>
        <w:bottom w:val="none" w:sz="0" w:space="0" w:color="auto"/>
        <w:right w:val="none" w:sz="0" w:space="0" w:color="auto"/>
      </w:divBdr>
    </w:div>
    <w:div w:id="715471624">
      <w:bodyDiv w:val="1"/>
      <w:marLeft w:val="0"/>
      <w:marRight w:val="0"/>
      <w:marTop w:val="0"/>
      <w:marBottom w:val="0"/>
      <w:divBdr>
        <w:top w:val="none" w:sz="0" w:space="0" w:color="auto"/>
        <w:left w:val="none" w:sz="0" w:space="0" w:color="auto"/>
        <w:bottom w:val="none" w:sz="0" w:space="0" w:color="auto"/>
        <w:right w:val="none" w:sz="0" w:space="0" w:color="auto"/>
      </w:divBdr>
    </w:div>
    <w:div w:id="715474321">
      <w:bodyDiv w:val="1"/>
      <w:marLeft w:val="0"/>
      <w:marRight w:val="0"/>
      <w:marTop w:val="0"/>
      <w:marBottom w:val="0"/>
      <w:divBdr>
        <w:top w:val="none" w:sz="0" w:space="0" w:color="auto"/>
        <w:left w:val="none" w:sz="0" w:space="0" w:color="auto"/>
        <w:bottom w:val="none" w:sz="0" w:space="0" w:color="auto"/>
        <w:right w:val="none" w:sz="0" w:space="0" w:color="auto"/>
      </w:divBdr>
    </w:div>
    <w:div w:id="715588551">
      <w:bodyDiv w:val="1"/>
      <w:marLeft w:val="0"/>
      <w:marRight w:val="0"/>
      <w:marTop w:val="0"/>
      <w:marBottom w:val="0"/>
      <w:divBdr>
        <w:top w:val="none" w:sz="0" w:space="0" w:color="auto"/>
        <w:left w:val="none" w:sz="0" w:space="0" w:color="auto"/>
        <w:bottom w:val="none" w:sz="0" w:space="0" w:color="auto"/>
        <w:right w:val="none" w:sz="0" w:space="0" w:color="auto"/>
      </w:divBdr>
    </w:div>
    <w:div w:id="715665173">
      <w:bodyDiv w:val="1"/>
      <w:marLeft w:val="0"/>
      <w:marRight w:val="0"/>
      <w:marTop w:val="0"/>
      <w:marBottom w:val="0"/>
      <w:divBdr>
        <w:top w:val="none" w:sz="0" w:space="0" w:color="auto"/>
        <w:left w:val="none" w:sz="0" w:space="0" w:color="auto"/>
        <w:bottom w:val="none" w:sz="0" w:space="0" w:color="auto"/>
        <w:right w:val="none" w:sz="0" w:space="0" w:color="auto"/>
      </w:divBdr>
    </w:div>
    <w:div w:id="715784220">
      <w:bodyDiv w:val="1"/>
      <w:marLeft w:val="0"/>
      <w:marRight w:val="0"/>
      <w:marTop w:val="0"/>
      <w:marBottom w:val="0"/>
      <w:divBdr>
        <w:top w:val="none" w:sz="0" w:space="0" w:color="auto"/>
        <w:left w:val="none" w:sz="0" w:space="0" w:color="auto"/>
        <w:bottom w:val="none" w:sz="0" w:space="0" w:color="auto"/>
        <w:right w:val="none" w:sz="0" w:space="0" w:color="auto"/>
      </w:divBdr>
    </w:div>
    <w:div w:id="715785092">
      <w:bodyDiv w:val="1"/>
      <w:marLeft w:val="0"/>
      <w:marRight w:val="0"/>
      <w:marTop w:val="0"/>
      <w:marBottom w:val="0"/>
      <w:divBdr>
        <w:top w:val="none" w:sz="0" w:space="0" w:color="auto"/>
        <w:left w:val="none" w:sz="0" w:space="0" w:color="auto"/>
        <w:bottom w:val="none" w:sz="0" w:space="0" w:color="auto"/>
        <w:right w:val="none" w:sz="0" w:space="0" w:color="auto"/>
      </w:divBdr>
    </w:div>
    <w:div w:id="715857020">
      <w:bodyDiv w:val="1"/>
      <w:marLeft w:val="0"/>
      <w:marRight w:val="0"/>
      <w:marTop w:val="0"/>
      <w:marBottom w:val="0"/>
      <w:divBdr>
        <w:top w:val="none" w:sz="0" w:space="0" w:color="auto"/>
        <w:left w:val="none" w:sz="0" w:space="0" w:color="auto"/>
        <w:bottom w:val="none" w:sz="0" w:space="0" w:color="auto"/>
        <w:right w:val="none" w:sz="0" w:space="0" w:color="auto"/>
      </w:divBdr>
    </w:div>
    <w:div w:id="715861812">
      <w:bodyDiv w:val="1"/>
      <w:marLeft w:val="0"/>
      <w:marRight w:val="0"/>
      <w:marTop w:val="0"/>
      <w:marBottom w:val="0"/>
      <w:divBdr>
        <w:top w:val="none" w:sz="0" w:space="0" w:color="auto"/>
        <w:left w:val="none" w:sz="0" w:space="0" w:color="auto"/>
        <w:bottom w:val="none" w:sz="0" w:space="0" w:color="auto"/>
        <w:right w:val="none" w:sz="0" w:space="0" w:color="auto"/>
      </w:divBdr>
    </w:div>
    <w:div w:id="716051583">
      <w:bodyDiv w:val="1"/>
      <w:marLeft w:val="0"/>
      <w:marRight w:val="0"/>
      <w:marTop w:val="0"/>
      <w:marBottom w:val="0"/>
      <w:divBdr>
        <w:top w:val="none" w:sz="0" w:space="0" w:color="auto"/>
        <w:left w:val="none" w:sz="0" w:space="0" w:color="auto"/>
        <w:bottom w:val="none" w:sz="0" w:space="0" w:color="auto"/>
        <w:right w:val="none" w:sz="0" w:space="0" w:color="auto"/>
      </w:divBdr>
    </w:div>
    <w:div w:id="716051944">
      <w:bodyDiv w:val="1"/>
      <w:marLeft w:val="0"/>
      <w:marRight w:val="0"/>
      <w:marTop w:val="0"/>
      <w:marBottom w:val="0"/>
      <w:divBdr>
        <w:top w:val="none" w:sz="0" w:space="0" w:color="auto"/>
        <w:left w:val="none" w:sz="0" w:space="0" w:color="auto"/>
        <w:bottom w:val="none" w:sz="0" w:space="0" w:color="auto"/>
        <w:right w:val="none" w:sz="0" w:space="0" w:color="auto"/>
      </w:divBdr>
    </w:div>
    <w:div w:id="716271954">
      <w:bodyDiv w:val="1"/>
      <w:marLeft w:val="0"/>
      <w:marRight w:val="0"/>
      <w:marTop w:val="0"/>
      <w:marBottom w:val="0"/>
      <w:divBdr>
        <w:top w:val="none" w:sz="0" w:space="0" w:color="auto"/>
        <w:left w:val="none" w:sz="0" w:space="0" w:color="auto"/>
        <w:bottom w:val="none" w:sz="0" w:space="0" w:color="auto"/>
        <w:right w:val="none" w:sz="0" w:space="0" w:color="auto"/>
      </w:divBdr>
    </w:div>
    <w:div w:id="716467931">
      <w:bodyDiv w:val="1"/>
      <w:marLeft w:val="0"/>
      <w:marRight w:val="0"/>
      <w:marTop w:val="0"/>
      <w:marBottom w:val="0"/>
      <w:divBdr>
        <w:top w:val="none" w:sz="0" w:space="0" w:color="auto"/>
        <w:left w:val="none" w:sz="0" w:space="0" w:color="auto"/>
        <w:bottom w:val="none" w:sz="0" w:space="0" w:color="auto"/>
        <w:right w:val="none" w:sz="0" w:space="0" w:color="auto"/>
      </w:divBdr>
    </w:div>
    <w:div w:id="716468783">
      <w:bodyDiv w:val="1"/>
      <w:marLeft w:val="0"/>
      <w:marRight w:val="0"/>
      <w:marTop w:val="0"/>
      <w:marBottom w:val="0"/>
      <w:divBdr>
        <w:top w:val="none" w:sz="0" w:space="0" w:color="auto"/>
        <w:left w:val="none" w:sz="0" w:space="0" w:color="auto"/>
        <w:bottom w:val="none" w:sz="0" w:space="0" w:color="auto"/>
        <w:right w:val="none" w:sz="0" w:space="0" w:color="auto"/>
      </w:divBdr>
    </w:div>
    <w:div w:id="716583687">
      <w:bodyDiv w:val="1"/>
      <w:marLeft w:val="0"/>
      <w:marRight w:val="0"/>
      <w:marTop w:val="0"/>
      <w:marBottom w:val="0"/>
      <w:divBdr>
        <w:top w:val="none" w:sz="0" w:space="0" w:color="auto"/>
        <w:left w:val="none" w:sz="0" w:space="0" w:color="auto"/>
        <w:bottom w:val="none" w:sz="0" w:space="0" w:color="auto"/>
        <w:right w:val="none" w:sz="0" w:space="0" w:color="auto"/>
      </w:divBdr>
    </w:div>
    <w:div w:id="716584613">
      <w:bodyDiv w:val="1"/>
      <w:marLeft w:val="0"/>
      <w:marRight w:val="0"/>
      <w:marTop w:val="0"/>
      <w:marBottom w:val="0"/>
      <w:divBdr>
        <w:top w:val="none" w:sz="0" w:space="0" w:color="auto"/>
        <w:left w:val="none" w:sz="0" w:space="0" w:color="auto"/>
        <w:bottom w:val="none" w:sz="0" w:space="0" w:color="auto"/>
        <w:right w:val="none" w:sz="0" w:space="0" w:color="auto"/>
      </w:divBdr>
    </w:div>
    <w:div w:id="716785682">
      <w:bodyDiv w:val="1"/>
      <w:marLeft w:val="0"/>
      <w:marRight w:val="0"/>
      <w:marTop w:val="0"/>
      <w:marBottom w:val="0"/>
      <w:divBdr>
        <w:top w:val="none" w:sz="0" w:space="0" w:color="auto"/>
        <w:left w:val="none" w:sz="0" w:space="0" w:color="auto"/>
        <w:bottom w:val="none" w:sz="0" w:space="0" w:color="auto"/>
        <w:right w:val="none" w:sz="0" w:space="0" w:color="auto"/>
      </w:divBdr>
    </w:div>
    <w:div w:id="716860214">
      <w:bodyDiv w:val="1"/>
      <w:marLeft w:val="0"/>
      <w:marRight w:val="0"/>
      <w:marTop w:val="0"/>
      <w:marBottom w:val="0"/>
      <w:divBdr>
        <w:top w:val="none" w:sz="0" w:space="0" w:color="auto"/>
        <w:left w:val="none" w:sz="0" w:space="0" w:color="auto"/>
        <w:bottom w:val="none" w:sz="0" w:space="0" w:color="auto"/>
        <w:right w:val="none" w:sz="0" w:space="0" w:color="auto"/>
      </w:divBdr>
    </w:div>
    <w:div w:id="716969742">
      <w:bodyDiv w:val="1"/>
      <w:marLeft w:val="0"/>
      <w:marRight w:val="0"/>
      <w:marTop w:val="0"/>
      <w:marBottom w:val="0"/>
      <w:divBdr>
        <w:top w:val="none" w:sz="0" w:space="0" w:color="auto"/>
        <w:left w:val="none" w:sz="0" w:space="0" w:color="auto"/>
        <w:bottom w:val="none" w:sz="0" w:space="0" w:color="auto"/>
        <w:right w:val="none" w:sz="0" w:space="0" w:color="auto"/>
      </w:divBdr>
    </w:div>
    <w:div w:id="717166154">
      <w:bodyDiv w:val="1"/>
      <w:marLeft w:val="0"/>
      <w:marRight w:val="0"/>
      <w:marTop w:val="0"/>
      <w:marBottom w:val="0"/>
      <w:divBdr>
        <w:top w:val="none" w:sz="0" w:space="0" w:color="auto"/>
        <w:left w:val="none" w:sz="0" w:space="0" w:color="auto"/>
        <w:bottom w:val="none" w:sz="0" w:space="0" w:color="auto"/>
        <w:right w:val="none" w:sz="0" w:space="0" w:color="auto"/>
      </w:divBdr>
    </w:div>
    <w:div w:id="717168998">
      <w:bodyDiv w:val="1"/>
      <w:marLeft w:val="0"/>
      <w:marRight w:val="0"/>
      <w:marTop w:val="0"/>
      <w:marBottom w:val="0"/>
      <w:divBdr>
        <w:top w:val="none" w:sz="0" w:space="0" w:color="auto"/>
        <w:left w:val="none" w:sz="0" w:space="0" w:color="auto"/>
        <w:bottom w:val="none" w:sz="0" w:space="0" w:color="auto"/>
        <w:right w:val="none" w:sz="0" w:space="0" w:color="auto"/>
      </w:divBdr>
    </w:div>
    <w:div w:id="717322201">
      <w:bodyDiv w:val="1"/>
      <w:marLeft w:val="0"/>
      <w:marRight w:val="0"/>
      <w:marTop w:val="0"/>
      <w:marBottom w:val="0"/>
      <w:divBdr>
        <w:top w:val="none" w:sz="0" w:space="0" w:color="auto"/>
        <w:left w:val="none" w:sz="0" w:space="0" w:color="auto"/>
        <w:bottom w:val="none" w:sz="0" w:space="0" w:color="auto"/>
        <w:right w:val="none" w:sz="0" w:space="0" w:color="auto"/>
      </w:divBdr>
    </w:div>
    <w:div w:id="717362555">
      <w:bodyDiv w:val="1"/>
      <w:marLeft w:val="0"/>
      <w:marRight w:val="0"/>
      <w:marTop w:val="0"/>
      <w:marBottom w:val="0"/>
      <w:divBdr>
        <w:top w:val="none" w:sz="0" w:space="0" w:color="auto"/>
        <w:left w:val="none" w:sz="0" w:space="0" w:color="auto"/>
        <w:bottom w:val="none" w:sz="0" w:space="0" w:color="auto"/>
        <w:right w:val="none" w:sz="0" w:space="0" w:color="auto"/>
      </w:divBdr>
    </w:div>
    <w:div w:id="717585523">
      <w:bodyDiv w:val="1"/>
      <w:marLeft w:val="0"/>
      <w:marRight w:val="0"/>
      <w:marTop w:val="0"/>
      <w:marBottom w:val="0"/>
      <w:divBdr>
        <w:top w:val="none" w:sz="0" w:space="0" w:color="auto"/>
        <w:left w:val="none" w:sz="0" w:space="0" w:color="auto"/>
        <w:bottom w:val="none" w:sz="0" w:space="0" w:color="auto"/>
        <w:right w:val="none" w:sz="0" w:space="0" w:color="auto"/>
      </w:divBdr>
    </w:div>
    <w:div w:id="717779070">
      <w:bodyDiv w:val="1"/>
      <w:marLeft w:val="0"/>
      <w:marRight w:val="0"/>
      <w:marTop w:val="0"/>
      <w:marBottom w:val="0"/>
      <w:divBdr>
        <w:top w:val="none" w:sz="0" w:space="0" w:color="auto"/>
        <w:left w:val="none" w:sz="0" w:space="0" w:color="auto"/>
        <w:bottom w:val="none" w:sz="0" w:space="0" w:color="auto"/>
        <w:right w:val="none" w:sz="0" w:space="0" w:color="auto"/>
      </w:divBdr>
    </w:div>
    <w:div w:id="717825971">
      <w:bodyDiv w:val="1"/>
      <w:marLeft w:val="0"/>
      <w:marRight w:val="0"/>
      <w:marTop w:val="0"/>
      <w:marBottom w:val="0"/>
      <w:divBdr>
        <w:top w:val="none" w:sz="0" w:space="0" w:color="auto"/>
        <w:left w:val="none" w:sz="0" w:space="0" w:color="auto"/>
        <w:bottom w:val="none" w:sz="0" w:space="0" w:color="auto"/>
        <w:right w:val="none" w:sz="0" w:space="0" w:color="auto"/>
      </w:divBdr>
    </w:div>
    <w:div w:id="717897908">
      <w:bodyDiv w:val="1"/>
      <w:marLeft w:val="0"/>
      <w:marRight w:val="0"/>
      <w:marTop w:val="0"/>
      <w:marBottom w:val="0"/>
      <w:divBdr>
        <w:top w:val="none" w:sz="0" w:space="0" w:color="auto"/>
        <w:left w:val="none" w:sz="0" w:space="0" w:color="auto"/>
        <w:bottom w:val="none" w:sz="0" w:space="0" w:color="auto"/>
        <w:right w:val="none" w:sz="0" w:space="0" w:color="auto"/>
      </w:divBdr>
    </w:div>
    <w:div w:id="717901209">
      <w:bodyDiv w:val="1"/>
      <w:marLeft w:val="0"/>
      <w:marRight w:val="0"/>
      <w:marTop w:val="0"/>
      <w:marBottom w:val="0"/>
      <w:divBdr>
        <w:top w:val="none" w:sz="0" w:space="0" w:color="auto"/>
        <w:left w:val="none" w:sz="0" w:space="0" w:color="auto"/>
        <w:bottom w:val="none" w:sz="0" w:space="0" w:color="auto"/>
        <w:right w:val="none" w:sz="0" w:space="0" w:color="auto"/>
      </w:divBdr>
    </w:div>
    <w:div w:id="717973246">
      <w:bodyDiv w:val="1"/>
      <w:marLeft w:val="0"/>
      <w:marRight w:val="0"/>
      <w:marTop w:val="0"/>
      <w:marBottom w:val="0"/>
      <w:divBdr>
        <w:top w:val="none" w:sz="0" w:space="0" w:color="auto"/>
        <w:left w:val="none" w:sz="0" w:space="0" w:color="auto"/>
        <w:bottom w:val="none" w:sz="0" w:space="0" w:color="auto"/>
        <w:right w:val="none" w:sz="0" w:space="0" w:color="auto"/>
      </w:divBdr>
    </w:div>
    <w:div w:id="718013544">
      <w:bodyDiv w:val="1"/>
      <w:marLeft w:val="0"/>
      <w:marRight w:val="0"/>
      <w:marTop w:val="0"/>
      <w:marBottom w:val="0"/>
      <w:divBdr>
        <w:top w:val="none" w:sz="0" w:space="0" w:color="auto"/>
        <w:left w:val="none" w:sz="0" w:space="0" w:color="auto"/>
        <w:bottom w:val="none" w:sz="0" w:space="0" w:color="auto"/>
        <w:right w:val="none" w:sz="0" w:space="0" w:color="auto"/>
      </w:divBdr>
    </w:div>
    <w:div w:id="718013646">
      <w:bodyDiv w:val="1"/>
      <w:marLeft w:val="0"/>
      <w:marRight w:val="0"/>
      <w:marTop w:val="0"/>
      <w:marBottom w:val="0"/>
      <w:divBdr>
        <w:top w:val="none" w:sz="0" w:space="0" w:color="auto"/>
        <w:left w:val="none" w:sz="0" w:space="0" w:color="auto"/>
        <w:bottom w:val="none" w:sz="0" w:space="0" w:color="auto"/>
        <w:right w:val="none" w:sz="0" w:space="0" w:color="auto"/>
      </w:divBdr>
    </w:div>
    <w:div w:id="718407290">
      <w:bodyDiv w:val="1"/>
      <w:marLeft w:val="0"/>
      <w:marRight w:val="0"/>
      <w:marTop w:val="0"/>
      <w:marBottom w:val="0"/>
      <w:divBdr>
        <w:top w:val="none" w:sz="0" w:space="0" w:color="auto"/>
        <w:left w:val="none" w:sz="0" w:space="0" w:color="auto"/>
        <w:bottom w:val="none" w:sz="0" w:space="0" w:color="auto"/>
        <w:right w:val="none" w:sz="0" w:space="0" w:color="auto"/>
      </w:divBdr>
    </w:div>
    <w:div w:id="718629909">
      <w:bodyDiv w:val="1"/>
      <w:marLeft w:val="0"/>
      <w:marRight w:val="0"/>
      <w:marTop w:val="0"/>
      <w:marBottom w:val="0"/>
      <w:divBdr>
        <w:top w:val="none" w:sz="0" w:space="0" w:color="auto"/>
        <w:left w:val="none" w:sz="0" w:space="0" w:color="auto"/>
        <w:bottom w:val="none" w:sz="0" w:space="0" w:color="auto"/>
        <w:right w:val="none" w:sz="0" w:space="0" w:color="auto"/>
      </w:divBdr>
    </w:div>
    <w:div w:id="718632969">
      <w:bodyDiv w:val="1"/>
      <w:marLeft w:val="0"/>
      <w:marRight w:val="0"/>
      <w:marTop w:val="0"/>
      <w:marBottom w:val="0"/>
      <w:divBdr>
        <w:top w:val="none" w:sz="0" w:space="0" w:color="auto"/>
        <w:left w:val="none" w:sz="0" w:space="0" w:color="auto"/>
        <w:bottom w:val="none" w:sz="0" w:space="0" w:color="auto"/>
        <w:right w:val="none" w:sz="0" w:space="0" w:color="auto"/>
      </w:divBdr>
    </w:div>
    <w:div w:id="718672037">
      <w:bodyDiv w:val="1"/>
      <w:marLeft w:val="0"/>
      <w:marRight w:val="0"/>
      <w:marTop w:val="0"/>
      <w:marBottom w:val="0"/>
      <w:divBdr>
        <w:top w:val="none" w:sz="0" w:space="0" w:color="auto"/>
        <w:left w:val="none" w:sz="0" w:space="0" w:color="auto"/>
        <w:bottom w:val="none" w:sz="0" w:space="0" w:color="auto"/>
        <w:right w:val="none" w:sz="0" w:space="0" w:color="auto"/>
      </w:divBdr>
    </w:div>
    <w:div w:id="718745824">
      <w:bodyDiv w:val="1"/>
      <w:marLeft w:val="0"/>
      <w:marRight w:val="0"/>
      <w:marTop w:val="0"/>
      <w:marBottom w:val="0"/>
      <w:divBdr>
        <w:top w:val="none" w:sz="0" w:space="0" w:color="auto"/>
        <w:left w:val="none" w:sz="0" w:space="0" w:color="auto"/>
        <w:bottom w:val="none" w:sz="0" w:space="0" w:color="auto"/>
        <w:right w:val="none" w:sz="0" w:space="0" w:color="auto"/>
      </w:divBdr>
    </w:div>
    <w:div w:id="718819853">
      <w:bodyDiv w:val="1"/>
      <w:marLeft w:val="0"/>
      <w:marRight w:val="0"/>
      <w:marTop w:val="0"/>
      <w:marBottom w:val="0"/>
      <w:divBdr>
        <w:top w:val="none" w:sz="0" w:space="0" w:color="auto"/>
        <w:left w:val="none" w:sz="0" w:space="0" w:color="auto"/>
        <w:bottom w:val="none" w:sz="0" w:space="0" w:color="auto"/>
        <w:right w:val="none" w:sz="0" w:space="0" w:color="auto"/>
      </w:divBdr>
    </w:div>
    <w:div w:id="718820197">
      <w:bodyDiv w:val="1"/>
      <w:marLeft w:val="0"/>
      <w:marRight w:val="0"/>
      <w:marTop w:val="0"/>
      <w:marBottom w:val="0"/>
      <w:divBdr>
        <w:top w:val="none" w:sz="0" w:space="0" w:color="auto"/>
        <w:left w:val="none" w:sz="0" w:space="0" w:color="auto"/>
        <w:bottom w:val="none" w:sz="0" w:space="0" w:color="auto"/>
        <w:right w:val="none" w:sz="0" w:space="0" w:color="auto"/>
      </w:divBdr>
    </w:div>
    <w:div w:id="718865282">
      <w:bodyDiv w:val="1"/>
      <w:marLeft w:val="0"/>
      <w:marRight w:val="0"/>
      <w:marTop w:val="0"/>
      <w:marBottom w:val="0"/>
      <w:divBdr>
        <w:top w:val="none" w:sz="0" w:space="0" w:color="auto"/>
        <w:left w:val="none" w:sz="0" w:space="0" w:color="auto"/>
        <w:bottom w:val="none" w:sz="0" w:space="0" w:color="auto"/>
        <w:right w:val="none" w:sz="0" w:space="0" w:color="auto"/>
      </w:divBdr>
    </w:div>
    <w:div w:id="719061980">
      <w:bodyDiv w:val="1"/>
      <w:marLeft w:val="0"/>
      <w:marRight w:val="0"/>
      <w:marTop w:val="0"/>
      <w:marBottom w:val="0"/>
      <w:divBdr>
        <w:top w:val="none" w:sz="0" w:space="0" w:color="auto"/>
        <w:left w:val="none" w:sz="0" w:space="0" w:color="auto"/>
        <w:bottom w:val="none" w:sz="0" w:space="0" w:color="auto"/>
        <w:right w:val="none" w:sz="0" w:space="0" w:color="auto"/>
      </w:divBdr>
    </w:div>
    <w:div w:id="719089166">
      <w:bodyDiv w:val="1"/>
      <w:marLeft w:val="0"/>
      <w:marRight w:val="0"/>
      <w:marTop w:val="0"/>
      <w:marBottom w:val="0"/>
      <w:divBdr>
        <w:top w:val="none" w:sz="0" w:space="0" w:color="auto"/>
        <w:left w:val="none" w:sz="0" w:space="0" w:color="auto"/>
        <w:bottom w:val="none" w:sz="0" w:space="0" w:color="auto"/>
        <w:right w:val="none" w:sz="0" w:space="0" w:color="auto"/>
      </w:divBdr>
    </w:div>
    <w:div w:id="719132640">
      <w:bodyDiv w:val="1"/>
      <w:marLeft w:val="0"/>
      <w:marRight w:val="0"/>
      <w:marTop w:val="0"/>
      <w:marBottom w:val="0"/>
      <w:divBdr>
        <w:top w:val="none" w:sz="0" w:space="0" w:color="auto"/>
        <w:left w:val="none" w:sz="0" w:space="0" w:color="auto"/>
        <w:bottom w:val="none" w:sz="0" w:space="0" w:color="auto"/>
        <w:right w:val="none" w:sz="0" w:space="0" w:color="auto"/>
      </w:divBdr>
    </w:div>
    <w:div w:id="719283873">
      <w:bodyDiv w:val="1"/>
      <w:marLeft w:val="0"/>
      <w:marRight w:val="0"/>
      <w:marTop w:val="0"/>
      <w:marBottom w:val="0"/>
      <w:divBdr>
        <w:top w:val="none" w:sz="0" w:space="0" w:color="auto"/>
        <w:left w:val="none" w:sz="0" w:space="0" w:color="auto"/>
        <w:bottom w:val="none" w:sz="0" w:space="0" w:color="auto"/>
        <w:right w:val="none" w:sz="0" w:space="0" w:color="auto"/>
      </w:divBdr>
    </w:div>
    <w:div w:id="719285047">
      <w:bodyDiv w:val="1"/>
      <w:marLeft w:val="0"/>
      <w:marRight w:val="0"/>
      <w:marTop w:val="0"/>
      <w:marBottom w:val="0"/>
      <w:divBdr>
        <w:top w:val="none" w:sz="0" w:space="0" w:color="auto"/>
        <w:left w:val="none" w:sz="0" w:space="0" w:color="auto"/>
        <w:bottom w:val="none" w:sz="0" w:space="0" w:color="auto"/>
        <w:right w:val="none" w:sz="0" w:space="0" w:color="auto"/>
      </w:divBdr>
    </w:div>
    <w:div w:id="719287340">
      <w:bodyDiv w:val="1"/>
      <w:marLeft w:val="0"/>
      <w:marRight w:val="0"/>
      <w:marTop w:val="0"/>
      <w:marBottom w:val="0"/>
      <w:divBdr>
        <w:top w:val="none" w:sz="0" w:space="0" w:color="auto"/>
        <w:left w:val="none" w:sz="0" w:space="0" w:color="auto"/>
        <w:bottom w:val="none" w:sz="0" w:space="0" w:color="auto"/>
        <w:right w:val="none" w:sz="0" w:space="0" w:color="auto"/>
      </w:divBdr>
    </w:div>
    <w:div w:id="719287475">
      <w:bodyDiv w:val="1"/>
      <w:marLeft w:val="0"/>
      <w:marRight w:val="0"/>
      <w:marTop w:val="0"/>
      <w:marBottom w:val="0"/>
      <w:divBdr>
        <w:top w:val="none" w:sz="0" w:space="0" w:color="auto"/>
        <w:left w:val="none" w:sz="0" w:space="0" w:color="auto"/>
        <w:bottom w:val="none" w:sz="0" w:space="0" w:color="auto"/>
        <w:right w:val="none" w:sz="0" w:space="0" w:color="auto"/>
      </w:divBdr>
    </w:div>
    <w:div w:id="719325268">
      <w:bodyDiv w:val="1"/>
      <w:marLeft w:val="0"/>
      <w:marRight w:val="0"/>
      <w:marTop w:val="0"/>
      <w:marBottom w:val="0"/>
      <w:divBdr>
        <w:top w:val="none" w:sz="0" w:space="0" w:color="auto"/>
        <w:left w:val="none" w:sz="0" w:space="0" w:color="auto"/>
        <w:bottom w:val="none" w:sz="0" w:space="0" w:color="auto"/>
        <w:right w:val="none" w:sz="0" w:space="0" w:color="auto"/>
      </w:divBdr>
    </w:div>
    <w:div w:id="719330284">
      <w:bodyDiv w:val="1"/>
      <w:marLeft w:val="0"/>
      <w:marRight w:val="0"/>
      <w:marTop w:val="0"/>
      <w:marBottom w:val="0"/>
      <w:divBdr>
        <w:top w:val="none" w:sz="0" w:space="0" w:color="auto"/>
        <w:left w:val="none" w:sz="0" w:space="0" w:color="auto"/>
        <w:bottom w:val="none" w:sz="0" w:space="0" w:color="auto"/>
        <w:right w:val="none" w:sz="0" w:space="0" w:color="auto"/>
      </w:divBdr>
    </w:div>
    <w:div w:id="719398920">
      <w:bodyDiv w:val="1"/>
      <w:marLeft w:val="0"/>
      <w:marRight w:val="0"/>
      <w:marTop w:val="0"/>
      <w:marBottom w:val="0"/>
      <w:divBdr>
        <w:top w:val="none" w:sz="0" w:space="0" w:color="auto"/>
        <w:left w:val="none" w:sz="0" w:space="0" w:color="auto"/>
        <w:bottom w:val="none" w:sz="0" w:space="0" w:color="auto"/>
        <w:right w:val="none" w:sz="0" w:space="0" w:color="auto"/>
      </w:divBdr>
    </w:div>
    <w:div w:id="719402009">
      <w:bodyDiv w:val="1"/>
      <w:marLeft w:val="0"/>
      <w:marRight w:val="0"/>
      <w:marTop w:val="0"/>
      <w:marBottom w:val="0"/>
      <w:divBdr>
        <w:top w:val="none" w:sz="0" w:space="0" w:color="auto"/>
        <w:left w:val="none" w:sz="0" w:space="0" w:color="auto"/>
        <w:bottom w:val="none" w:sz="0" w:space="0" w:color="auto"/>
        <w:right w:val="none" w:sz="0" w:space="0" w:color="auto"/>
      </w:divBdr>
    </w:div>
    <w:div w:id="719548511">
      <w:bodyDiv w:val="1"/>
      <w:marLeft w:val="0"/>
      <w:marRight w:val="0"/>
      <w:marTop w:val="0"/>
      <w:marBottom w:val="0"/>
      <w:divBdr>
        <w:top w:val="none" w:sz="0" w:space="0" w:color="auto"/>
        <w:left w:val="none" w:sz="0" w:space="0" w:color="auto"/>
        <w:bottom w:val="none" w:sz="0" w:space="0" w:color="auto"/>
        <w:right w:val="none" w:sz="0" w:space="0" w:color="auto"/>
      </w:divBdr>
    </w:div>
    <w:div w:id="719552220">
      <w:bodyDiv w:val="1"/>
      <w:marLeft w:val="0"/>
      <w:marRight w:val="0"/>
      <w:marTop w:val="0"/>
      <w:marBottom w:val="0"/>
      <w:divBdr>
        <w:top w:val="none" w:sz="0" w:space="0" w:color="auto"/>
        <w:left w:val="none" w:sz="0" w:space="0" w:color="auto"/>
        <w:bottom w:val="none" w:sz="0" w:space="0" w:color="auto"/>
        <w:right w:val="none" w:sz="0" w:space="0" w:color="auto"/>
      </w:divBdr>
    </w:div>
    <w:div w:id="719599155">
      <w:bodyDiv w:val="1"/>
      <w:marLeft w:val="0"/>
      <w:marRight w:val="0"/>
      <w:marTop w:val="0"/>
      <w:marBottom w:val="0"/>
      <w:divBdr>
        <w:top w:val="none" w:sz="0" w:space="0" w:color="auto"/>
        <w:left w:val="none" w:sz="0" w:space="0" w:color="auto"/>
        <w:bottom w:val="none" w:sz="0" w:space="0" w:color="auto"/>
        <w:right w:val="none" w:sz="0" w:space="0" w:color="auto"/>
      </w:divBdr>
    </w:div>
    <w:div w:id="719666230">
      <w:bodyDiv w:val="1"/>
      <w:marLeft w:val="0"/>
      <w:marRight w:val="0"/>
      <w:marTop w:val="0"/>
      <w:marBottom w:val="0"/>
      <w:divBdr>
        <w:top w:val="none" w:sz="0" w:space="0" w:color="auto"/>
        <w:left w:val="none" w:sz="0" w:space="0" w:color="auto"/>
        <w:bottom w:val="none" w:sz="0" w:space="0" w:color="auto"/>
        <w:right w:val="none" w:sz="0" w:space="0" w:color="auto"/>
      </w:divBdr>
    </w:div>
    <w:div w:id="719669491">
      <w:bodyDiv w:val="1"/>
      <w:marLeft w:val="0"/>
      <w:marRight w:val="0"/>
      <w:marTop w:val="0"/>
      <w:marBottom w:val="0"/>
      <w:divBdr>
        <w:top w:val="none" w:sz="0" w:space="0" w:color="auto"/>
        <w:left w:val="none" w:sz="0" w:space="0" w:color="auto"/>
        <w:bottom w:val="none" w:sz="0" w:space="0" w:color="auto"/>
        <w:right w:val="none" w:sz="0" w:space="0" w:color="auto"/>
      </w:divBdr>
    </w:div>
    <w:div w:id="719861460">
      <w:bodyDiv w:val="1"/>
      <w:marLeft w:val="0"/>
      <w:marRight w:val="0"/>
      <w:marTop w:val="0"/>
      <w:marBottom w:val="0"/>
      <w:divBdr>
        <w:top w:val="none" w:sz="0" w:space="0" w:color="auto"/>
        <w:left w:val="none" w:sz="0" w:space="0" w:color="auto"/>
        <w:bottom w:val="none" w:sz="0" w:space="0" w:color="auto"/>
        <w:right w:val="none" w:sz="0" w:space="0" w:color="auto"/>
      </w:divBdr>
    </w:div>
    <w:div w:id="720178374">
      <w:bodyDiv w:val="1"/>
      <w:marLeft w:val="0"/>
      <w:marRight w:val="0"/>
      <w:marTop w:val="0"/>
      <w:marBottom w:val="0"/>
      <w:divBdr>
        <w:top w:val="none" w:sz="0" w:space="0" w:color="auto"/>
        <w:left w:val="none" w:sz="0" w:space="0" w:color="auto"/>
        <w:bottom w:val="none" w:sz="0" w:space="0" w:color="auto"/>
        <w:right w:val="none" w:sz="0" w:space="0" w:color="auto"/>
      </w:divBdr>
    </w:div>
    <w:div w:id="720253745">
      <w:bodyDiv w:val="1"/>
      <w:marLeft w:val="0"/>
      <w:marRight w:val="0"/>
      <w:marTop w:val="0"/>
      <w:marBottom w:val="0"/>
      <w:divBdr>
        <w:top w:val="none" w:sz="0" w:space="0" w:color="auto"/>
        <w:left w:val="none" w:sz="0" w:space="0" w:color="auto"/>
        <w:bottom w:val="none" w:sz="0" w:space="0" w:color="auto"/>
        <w:right w:val="none" w:sz="0" w:space="0" w:color="auto"/>
      </w:divBdr>
    </w:div>
    <w:div w:id="720324219">
      <w:bodyDiv w:val="1"/>
      <w:marLeft w:val="0"/>
      <w:marRight w:val="0"/>
      <w:marTop w:val="0"/>
      <w:marBottom w:val="0"/>
      <w:divBdr>
        <w:top w:val="none" w:sz="0" w:space="0" w:color="auto"/>
        <w:left w:val="none" w:sz="0" w:space="0" w:color="auto"/>
        <w:bottom w:val="none" w:sz="0" w:space="0" w:color="auto"/>
        <w:right w:val="none" w:sz="0" w:space="0" w:color="auto"/>
      </w:divBdr>
    </w:div>
    <w:div w:id="720440215">
      <w:bodyDiv w:val="1"/>
      <w:marLeft w:val="0"/>
      <w:marRight w:val="0"/>
      <w:marTop w:val="0"/>
      <w:marBottom w:val="0"/>
      <w:divBdr>
        <w:top w:val="none" w:sz="0" w:space="0" w:color="auto"/>
        <w:left w:val="none" w:sz="0" w:space="0" w:color="auto"/>
        <w:bottom w:val="none" w:sz="0" w:space="0" w:color="auto"/>
        <w:right w:val="none" w:sz="0" w:space="0" w:color="auto"/>
      </w:divBdr>
    </w:div>
    <w:div w:id="720514536">
      <w:bodyDiv w:val="1"/>
      <w:marLeft w:val="0"/>
      <w:marRight w:val="0"/>
      <w:marTop w:val="0"/>
      <w:marBottom w:val="0"/>
      <w:divBdr>
        <w:top w:val="none" w:sz="0" w:space="0" w:color="auto"/>
        <w:left w:val="none" w:sz="0" w:space="0" w:color="auto"/>
        <w:bottom w:val="none" w:sz="0" w:space="0" w:color="auto"/>
        <w:right w:val="none" w:sz="0" w:space="0" w:color="auto"/>
      </w:divBdr>
    </w:div>
    <w:div w:id="720634194">
      <w:bodyDiv w:val="1"/>
      <w:marLeft w:val="0"/>
      <w:marRight w:val="0"/>
      <w:marTop w:val="0"/>
      <w:marBottom w:val="0"/>
      <w:divBdr>
        <w:top w:val="none" w:sz="0" w:space="0" w:color="auto"/>
        <w:left w:val="none" w:sz="0" w:space="0" w:color="auto"/>
        <w:bottom w:val="none" w:sz="0" w:space="0" w:color="auto"/>
        <w:right w:val="none" w:sz="0" w:space="0" w:color="auto"/>
      </w:divBdr>
    </w:div>
    <w:div w:id="720666173">
      <w:bodyDiv w:val="1"/>
      <w:marLeft w:val="0"/>
      <w:marRight w:val="0"/>
      <w:marTop w:val="0"/>
      <w:marBottom w:val="0"/>
      <w:divBdr>
        <w:top w:val="none" w:sz="0" w:space="0" w:color="auto"/>
        <w:left w:val="none" w:sz="0" w:space="0" w:color="auto"/>
        <w:bottom w:val="none" w:sz="0" w:space="0" w:color="auto"/>
        <w:right w:val="none" w:sz="0" w:space="0" w:color="auto"/>
      </w:divBdr>
    </w:div>
    <w:div w:id="720713515">
      <w:bodyDiv w:val="1"/>
      <w:marLeft w:val="0"/>
      <w:marRight w:val="0"/>
      <w:marTop w:val="0"/>
      <w:marBottom w:val="0"/>
      <w:divBdr>
        <w:top w:val="none" w:sz="0" w:space="0" w:color="auto"/>
        <w:left w:val="none" w:sz="0" w:space="0" w:color="auto"/>
        <w:bottom w:val="none" w:sz="0" w:space="0" w:color="auto"/>
        <w:right w:val="none" w:sz="0" w:space="0" w:color="auto"/>
      </w:divBdr>
    </w:div>
    <w:div w:id="720790595">
      <w:bodyDiv w:val="1"/>
      <w:marLeft w:val="0"/>
      <w:marRight w:val="0"/>
      <w:marTop w:val="0"/>
      <w:marBottom w:val="0"/>
      <w:divBdr>
        <w:top w:val="none" w:sz="0" w:space="0" w:color="auto"/>
        <w:left w:val="none" w:sz="0" w:space="0" w:color="auto"/>
        <w:bottom w:val="none" w:sz="0" w:space="0" w:color="auto"/>
        <w:right w:val="none" w:sz="0" w:space="0" w:color="auto"/>
      </w:divBdr>
    </w:div>
    <w:div w:id="720832596">
      <w:bodyDiv w:val="1"/>
      <w:marLeft w:val="0"/>
      <w:marRight w:val="0"/>
      <w:marTop w:val="0"/>
      <w:marBottom w:val="0"/>
      <w:divBdr>
        <w:top w:val="none" w:sz="0" w:space="0" w:color="auto"/>
        <w:left w:val="none" w:sz="0" w:space="0" w:color="auto"/>
        <w:bottom w:val="none" w:sz="0" w:space="0" w:color="auto"/>
        <w:right w:val="none" w:sz="0" w:space="0" w:color="auto"/>
      </w:divBdr>
    </w:div>
    <w:div w:id="720903282">
      <w:bodyDiv w:val="1"/>
      <w:marLeft w:val="0"/>
      <w:marRight w:val="0"/>
      <w:marTop w:val="0"/>
      <w:marBottom w:val="0"/>
      <w:divBdr>
        <w:top w:val="none" w:sz="0" w:space="0" w:color="auto"/>
        <w:left w:val="none" w:sz="0" w:space="0" w:color="auto"/>
        <w:bottom w:val="none" w:sz="0" w:space="0" w:color="auto"/>
        <w:right w:val="none" w:sz="0" w:space="0" w:color="auto"/>
      </w:divBdr>
    </w:div>
    <w:div w:id="720903795">
      <w:bodyDiv w:val="1"/>
      <w:marLeft w:val="0"/>
      <w:marRight w:val="0"/>
      <w:marTop w:val="0"/>
      <w:marBottom w:val="0"/>
      <w:divBdr>
        <w:top w:val="none" w:sz="0" w:space="0" w:color="auto"/>
        <w:left w:val="none" w:sz="0" w:space="0" w:color="auto"/>
        <w:bottom w:val="none" w:sz="0" w:space="0" w:color="auto"/>
        <w:right w:val="none" w:sz="0" w:space="0" w:color="auto"/>
      </w:divBdr>
    </w:div>
    <w:div w:id="720908786">
      <w:bodyDiv w:val="1"/>
      <w:marLeft w:val="0"/>
      <w:marRight w:val="0"/>
      <w:marTop w:val="0"/>
      <w:marBottom w:val="0"/>
      <w:divBdr>
        <w:top w:val="none" w:sz="0" w:space="0" w:color="auto"/>
        <w:left w:val="none" w:sz="0" w:space="0" w:color="auto"/>
        <w:bottom w:val="none" w:sz="0" w:space="0" w:color="auto"/>
        <w:right w:val="none" w:sz="0" w:space="0" w:color="auto"/>
      </w:divBdr>
    </w:div>
    <w:div w:id="721027161">
      <w:bodyDiv w:val="1"/>
      <w:marLeft w:val="0"/>
      <w:marRight w:val="0"/>
      <w:marTop w:val="0"/>
      <w:marBottom w:val="0"/>
      <w:divBdr>
        <w:top w:val="none" w:sz="0" w:space="0" w:color="auto"/>
        <w:left w:val="none" w:sz="0" w:space="0" w:color="auto"/>
        <w:bottom w:val="none" w:sz="0" w:space="0" w:color="auto"/>
        <w:right w:val="none" w:sz="0" w:space="0" w:color="auto"/>
      </w:divBdr>
    </w:div>
    <w:div w:id="721095538">
      <w:bodyDiv w:val="1"/>
      <w:marLeft w:val="0"/>
      <w:marRight w:val="0"/>
      <w:marTop w:val="0"/>
      <w:marBottom w:val="0"/>
      <w:divBdr>
        <w:top w:val="none" w:sz="0" w:space="0" w:color="auto"/>
        <w:left w:val="none" w:sz="0" w:space="0" w:color="auto"/>
        <w:bottom w:val="none" w:sz="0" w:space="0" w:color="auto"/>
        <w:right w:val="none" w:sz="0" w:space="0" w:color="auto"/>
      </w:divBdr>
    </w:div>
    <w:div w:id="721095963">
      <w:bodyDiv w:val="1"/>
      <w:marLeft w:val="0"/>
      <w:marRight w:val="0"/>
      <w:marTop w:val="0"/>
      <w:marBottom w:val="0"/>
      <w:divBdr>
        <w:top w:val="none" w:sz="0" w:space="0" w:color="auto"/>
        <w:left w:val="none" w:sz="0" w:space="0" w:color="auto"/>
        <w:bottom w:val="none" w:sz="0" w:space="0" w:color="auto"/>
        <w:right w:val="none" w:sz="0" w:space="0" w:color="auto"/>
      </w:divBdr>
    </w:div>
    <w:div w:id="721173588">
      <w:bodyDiv w:val="1"/>
      <w:marLeft w:val="0"/>
      <w:marRight w:val="0"/>
      <w:marTop w:val="0"/>
      <w:marBottom w:val="0"/>
      <w:divBdr>
        <w:top w:val="none" w:sz="0" w:space="0" w:color="auto"/>
        <w:left w:val="none" w:sz="0" w:space="0" w:color="auto"/>
        <w:bottom w:val="none" w:sz="0" w:space="0" w:color="auto"/>
        <w:right w:val="none" w:sz="0" w:space="0" w:color="auto"/>
      </w:divBdr>
    </w:div>
    <w:div w:id="721246069">
      <w:bodyDiv w:val="1"/>
      <w:marLeft w:val="0"/>
      <w:marRight w:val="0"/>
      <w:marTop w:val="0"/>
      <w:marBottom w:val="0"/>
      <w:divBdr>
        <w:top w:val="none" w:sz="0" w:space="0" w:color="auto"/>
        <w:left w:val="none" w:sz="0" w:space="0" w:color="auto"/>
        <w:bottom w:val="none" w:sz="0" w:space="0" w:color="auto"/>
        <w:right w:val="none" w:sz="0" w:space="0" w:color="auto"/>
      </w:divBdr>
    </w:div>
    <w:div w:id="721253450">
      <w:bodyDiv w:val="1"/>
      <w:marLeft w:val="0"/>
      <w:marRight w:val="0"/>
      <w:marTop w:val="0"/>
      <w:marBottom w:val="0"/>
      <w:divBdr>
        <w:top w:val="none" w:sz="0" w:space="0" w:color="auto"/>
        <w:left w:val="none" w:sz="0" w:space="0" w:color="auto"/>
        <w:bottom w:val="none" w:sz="0" w:space="0" w:color="auto"/>
        <w:right w:val="none" w:sz="0" w:space="0" w:color="auto"/>
      </w:divBdr>
    </w:div>
    <w:div w:id="721369338">
      <w:bodyDiv w:val="1"/>
      <w:marLeft w:val="0"/>
      <w:marRight w:val="0"/>
      <w:marTop w:val="0"/>
      <w:marBottom w:val="0"/>
      <w:divBdr>
        <w:top w:val="none" w:sz="0" w:space="0" w:color="auto"/>
        <w:left w:val="none" w:sz="0" w:space="0" w:color="auto"/>
        <w:bottom w:val="none" w:sz="0" w:space="0" w:color="auto"/>
        <w:right w:val="none" w:sz="0" w:space="0" w:color="auto"/>
      </w:divBdr>
    </w:div>
    <w:div w:id="721562188">
      <w:bodyDiv w:val="1"/>
      <w:marLeft w:val="0"/>
      <w:marRight w:val="0"/>
      <w:marTop w:val="0"/>
      <w:marBottom w:val="0"/>
      <w:divBdr>
        <w:top w:val="none" w:sz="0" w:space="0" w:color="auto"/>
        <w:left w:val="none" w:sz="0" w:space="0" w:color="auto"/>
        <w:bottom w:val="none" w:sz="0" w:space="0" w:color="auto"/>
        <w:right w:val="none" w:sz="0" w:space="0" w:color="auto"/>
      </w:divBdr>
    </w:div>
    <w:div w:id="721564510">
      <w:bodyDiv w:val="1"/>
      <w:marLeft w:val="0"/>
      <w:marRight w:val="0"/>
      <w:marTop w:val="0"/>
      <w:marBottom w:val="0"/>
      <w:divBdr>
        <w:top w:val="none" w:sz="0" w:space="0" w:color="auto"/>
        <w:left w:val="none" w:sz="0" w:space="0" w:color="auto"/>
        <w:bottom w:val="none" w:sz="0" w:space="0" w:color="auto"/>
        <w:right w:val="none" w:sz="0" w:space="0" w:color="auto"/>
      </w:divBdr>
    </w:div>
    <w:div w:id="721749779">
      <w:bodyDiv w:val="1"/>
      <w:marLeft w:val="0"/>
      <w:marRight w:val="0"/>
      <w:marTop w:val="0"/>
      <w:marBottom w:val="0"/>
      <w:divBdr>
        <w:top w:val="none" w:sz="0" w:space="0" w:color="auto"/>
        <w:left w:val="none" w:sz="0" w:space="0" w:color="auto"/>
        <w:bottom w:val="none" w:sz="0" w:space="0" w:color="auto"/>
        <w:right w:val="none" w:sz="0" w:space="0" w:color="auto"/>
      </w:divBdr>
    </w:div>
    <w:div w:id="721749814">
      <w:bodyDiv w:val="1"/>
      <w:marLeft w:val="0"/>
      <w:marRight w:val="0"/>
      <w:marTop w:val="0"/>
      <w:marBottom w:val="0"/>
      <w:divBdr>
        <w:top w:val="none" w:sz="0" w:space="0" w:color="auto"/>
        <w:left w:val="none" w:sz="0" w:space="0" w:color="auto"/>
        <w:bottom w:val="none" w:sz="0" w:space="0" w:color="auto"/>
        <w:right w:val="none" w:sz="0" w:space="0" w:color="auto"/>
      </w:divBdr>
    </w:div>
    <w:div w:id="721752410">
      <w:bodyDiv w:val="1"/>
      <w:marLeft w:val="0"/>
      <w:marRight w:val="0"/>
      <w:marTop w:val="0"/>
      <w:marBottom w:val="0"/>
      <w:divBdr>
        <w:top w:val="none" w:sz="0" w:space="0" w:color="auto"/>
        <w:left w:val="none" w:sz="0" w:space="0" w:color="auto"/>
        <w:bottom w:val="none" w:sz="0" w:space="0" w:color="auto"/>
        <w:right w:val="none" w:sz="0" w:space="0" w:color="auto"/>
      </w:divBdr>
    </w:div>
    <w:div w:id="721945519">
      <w:bodyDiv w:val="1"/>
      <w:marLeft w:val="0"/>
      <w:marRight w:val="0"/>
      <w:marTop w:val="0"/>
      <w:marBottom w:val="0"/>
      <w:divBdr>
        <w:top w:val="none" w:sz="0" w:space="0" w:color="auto"/>
        <w:left w:val="none" w:sz="0" w:space="0" w:color="auto"/>
        <w:bottom w:val="none" w:sz="0" w:space="0" w:color="auto"/>
        <w:right w:val="none" w:sz="0" w:space="0" w:color="auto"/>
      </w:divBdr>
    </w:div>
    <w:div w:id="721977279">
      <w:bodyDiv w:val="1"/>
      <w:marLeft w:val="0"/>
      <w:marRight w:val="0"/>
      <w:marTop w:val="0"/>
      <w:marBottom w:val="0"/>
      <w:divBdr>
        <w:top w:val="none" w:sz="0" w:space="0" w:color="auto"/>
        <w:left w:val="none" w:sz="0" w:space="0" w:color="auto"/>
        <w:bottom w:val="none" w:sz="0" w:space="0" w:color="auto"/>
        <w:right w:val="none" w:sz="0" w:space="0" w:color="auto"/>
      </w:divBdr>
    </w:div>
    <w:div w:id="722094983">
      <w:bodyDiv w:val="1"/>
      <w:marLeft w:val="0"/>
      <w:marRight w:val="0"/>
      <w:marTop w:val="0"/>
      <w:marBottom w:val="0"/>
      <w:divBdr>
        <w:top w:val="none" w:sz="0" w:space="0" w:color="auto"/>
        <w:left w:val="none" w:sz="0" w:space="0" w:color="auto"/>
        <w:bottom w:val="none" w:sz="0" w:space="0" w:color="auto"/>
        <w:right w:val="none" w:sz="0" w:space="0" w:color="auto"/>
      </w:divBdr>
    </w:div>
    <w:div w:id="722142651">
      <w:bodyDiv w:val="1"/>
      <w:marLeft w:val="0"/>
      <w:marRight w:val="0"/>
      <w:marTop w:val="0"/>
      <w:marBottom w:val="0"/>
      <w:divBdr>
        <w:top w:val="none" w:sz="0" w:space="0" w:color="auto"/>
        <w:left w:val="none" w:sz="0" w:space="0" w:color="auto"/>
        <w:bottom w:val="none" w:sz="0" w:space="0" w:color="auto"/>
        <w:right w:val="none" w:sz="0" w:space="0" w:color="auto"/>
      </w:divBdr>
    </w:div>
    <w:div w:id="722169920">
      <w:bodyDiv w:val="1"/>
      <w:marLeft w:val="0"/>
      <w:marRight w:val="0"/>
      <w:marTop w:val="0"/>
      <w:marBottom w:val="0"/>
      <w:divBdr>
        <w:top w:val="none" w:sz="0" w:space="0" w:color="auto"/>
        <w:left w:val="none" w:sz="0" w:space="0" w:color="auto"/>
        <w:bottom w:val="none" w:sz="0" w:space="0" w:color="auto"/>
        <w:right w:val="none" w:sz="0" w:space="0" w:color="auto"/>
      </w:divBdr>
    </w:div>
    <w:div w:id="722173652">
      <w:bodyDiv w:val="1"/>
      <w:marLeft w:val="0"/>
      <w:marRight w:val="0"/>
      <w:marTop w:val="0"/>
      <w:marBottom w:val="0"/>
      <w:divBdr>
        <w:top w:val="none" w:sz="0" w:space="0" w:color="auto"/>
        <w:left w:val="none" w:sz="0" w:space="0" w:color="auto"/>
        <w:bottom w:val="none" w:sz="0" w:space="0" w:color="auto"/>
        <w:right w:val="none" w:sz="0" w:space="0" w:color="auto"/>
      </w:divBdr>
    </w:div>
    <w:div w:id="722212441">
      <w:bodyDiv w:val="1"/>
      <w:marLeft w:val="0"/>
      <w:marRight w:val="0"/>
      <w:marTop w:val="0"/>
      <w:marBottom w:val="0"/>
      <w:divBdr>
        <w:top w:val="none" w:sz="0" w:space="0" w:color="auto"/>
        <w:left w:val="none" w:sz="0" w:space="0" w:color="auto"/>
        <w:bottom w:val="none" w:sz="0" w:space="0" w:color="auto"/>
        <w:right w:val="none" w:sz="0" w:space="0" w:color="auto"/>
      </w:divBdr>
    </w:div>
    <w:div w:id="722221196">
      <w:bodyDiv w:val="1"/>
      <w:marLeft w:val="0"/>
      <w:marRight w:val="0"/>
      <w:marTop w:val="0"/>
      <w:marBottom w:val="0"/>
      <w:divBdr>
        <w:top w:val="none" w:sz="0" w:space="0" w:color="auto"/>
        <w:left w:val="none" w:sz="0" w:space="0" w:color="auto"/>
        <w:bottom w:val="none" w:sz="0" w:space="0" w:color="auto"/>
        <w:right w:val="none" w:sz="0" w:space="0" w:color="auto"/>
      </w:divBdr>
    </w:div>
    <w:div w:id="722291443">
      <w:bodyDiv w:val="1"/>
      <w:marLeft w:val="0"/>
      <w:marRight w:val="0"/>
      <w:marTop w:val="0"/>
      <w:marBottom w:val="0"/>
      <w:divBdr>
        <w:top w:val="none" w:sz="0" w:space="0" w:color="auto"/>
        <w:left w:val="none" w:sz="0" w:space="0" w:color="auto"/>
        <w:bottom w:val="none" w:sz="0" w:space="0" w:color="auto"/>
        <w:right w:val="none" w:sz="0" w:space="0" w:color="auto"/>
      </w:divBdr>
    </w:div>
    <w:div w:id="722405606">
      <w:bodyDiv w:val="1"/>
      <w:marLeft w:val="0"/>
      <w:marRight w:val="0"/>
      <w:marTop w:val="0"/>
      <w:marBottom w:val="0"/>
      <w:divBdr>
        <w:top w:val="none" w:sz="0" w:space="0" w:color="auto"/>
        <w:left w:val="none" w:sz="0" w:space="0" w:color="auto"/>
        <w:bottom w:val="none" w:sz="0" w:space="0" w:color="auto"/>
        <w:right w:val="none" w:sz="0" w:space="0" w:color="auto"/>
      </w:divBdr>
    </w:div>
    <w:div w:id="722485845">
      <w:bodyDiv w:val="1"/>
      <w:marLeft w:val="0"/>
      <w:marRight w:val="0"/>
      <w:marTop w:val="0"/>
      <w:marBottom w:val="0"/>
      <w:divBdr>
        <w:top w:val="none" w:sz="0" w:space="0" w:color="auto"/>
        <w:left w:val="none" w:sz="0" w:space="0" w:color="auto"/>
        <w:bottom w:val="none" w:sz="0" w:space="0" w:color="auto"/>
        <w:right w:val="none" w:sz="0" w:space="0" w:color="auto"/>
      </w:divBdr>
    </w:div>
    <w:div w:id="722604867">
      <w:bodyDiv w:val="1"/>
      <w:marLeft w:val="0"/>
      <w:marRight w:val="0"/>
      <w:marTop w:val="0"/>
      <w:marBottom w:val="0"/>
      <w:divBdr>
        <w:top w:val="none" w:sz="0" w:space="0" w:color="auto"/>
        <w:left w:val="none" w:sz="0" w:space="0" w:color="auto"/>
        <w:bottom w:val="none" w:sz="0" w:space="0" w:color="auto"/>
        <w:right w:val="none" w:sz="0" w:space="0" w:color="auto"/>
      </w:divBdr>
    </w:div>
    <w:div w:id="722605275">
      <w:bodyDiv w:val="1"/>
      <w:marLeft w:val="0"/>
      <w:marRight w:val="0"/>
      <w:marTop w:val="0"/>
      <w:marBottom w:val="0"/>
      <w:divBdr>
        <w:top w:val="none" w:sz="0" w:space="0" w:color="auto"/>
        <w:left w:val="none" w:sz="0" w:space="0" w:color="auto"/>
        <w:bottom w:val="none" w:sz="0" w:space="0" w:color="auto"/>
        <w:right w:val="none" w:sz="0" w:space="0" w:color="auto"/>
      </w:divBdr>
    </w:div>
    <w:div w:id="722682845">
      <w:bodyDiv w:val="1"/>
      <w:marLeft w:val="0"/>
      <w:marRight w:val="0"/>
      <w:marTop w:val="0"/>
      <w:marBottom w:val="0"/>
      <w:divBdr>
        <w:top w:val="none" w:sz="0" w:space="0" w:color="auto"/>
        <w:left w:val="none" w:sz="0" w:space="0" w:color="auto"/>
        <w:bottom w:val="none" w:sz="0" w:space="0" w:color="auto"/>
        <w:right w:val="none" w:sz="0" w:space="0" w:color="auto"/>
      </w:divBdr>
    </w:div>
    <w:div w:id="722756063">
      <w:bodyDiv w:val="1"/>
      <w:marLeft w:val="0"/>
      <w:marRight w:val="0"/>
      <w:marTop w:val="0"/>
      <w:marBottom w:val="0"/>
      <w:divBdr>
        <w:top w:val="none" w:sz="0" w:space="0" w:color="auto"/>
        <w:left w:val="none" w:sz="0" w:space="0" w:color="auto"/>
        <w:bottom w:val="none" w:sz="0" w:space="0" w:color="auto"/>
        <w:right w:val="none" w:sz="0" w:space="0" w:color="auto"/>
      </w:divBdr>
    </w:div>
    <w:div w:id="722942445">
      <w:bodyDiv w:val="1"/>
      <w:marLeft w:val="0"/>
      <w:marRight w:val="0"/>
      <w:marTop w:val="0"/>
      <w:marBottom w:val="0"/>
      <w:divBdr>
        <w:top w:val="none" w:sz="0" w:space="0" w:color="auto"/>
        <w:left w:val="none" w:sz="0" w:space="0" w:color="auto"/>
        <w:bottom w:val="none" w:sz="0" w:space="0" w:color="auto"/>
        <w:right w:val="none" w:sz="0" w:space="0" w:color="auto"/>
      </w:divBdr>
    </w:div>
    <w:div w:id="722942729">
      <w:bodyDiv w:val="1"/>
      <w:marLeft w:val="0"/>
      <w:marRight w:val="0"/>
      <w:marTop w:val="0"/>
      <w:marBottom w:val="0"/>
      <w:divBdr>
        <w:top w:val="none" w:sz="0" w:space="0" w:color="auto"/>
        <w:left w:val="none" w:sz="0" w:space="0" w:color="auto"/>
        <w:bottom w:val="none" w:sz="0" w:space="0" w:color="auto"/>
        <w:right w:val="none" w:sz="0" w:space="0" w:color="auto"/>
      </w:divBdr>
    </w:div>
    <w:div w:id="723064839">
      <w:bodyDiv w:val="1"/>
      <w:marLeft w:val="0"/>
      <w:marRight w:val="0"/>
      <w:marTop w:val="0"/>
      <w:marBottom w:val="0"/>
      <w:divBdr>
        <w:top w:val="none" w:sz="0" w:space="0" w:color="auto"/>
        <w:left w:val="none" w:sz="0" w:space="0" w:color="auto"/>
        <w:bottom w:val="none" w:sz="0" w:space="0" w:color="auto"/>
        <w:right w:val="none" w:sz="0" w:space="0" w:color="auto"/>
      </w:divBdr>
    </w:div>
    <w:div w:id="723069616">
      <w:bodyDiv w:val="1"/>
      <w:marLeft w:val="0"/>
      <w:marRight w:val="0"/>
      <w:marTop w:val="0"/>
      <w:marBottom w:val="0"/>
      <w:divBdr>
        <w:top w:val="none" w:sz="0" w:space="0" w:color="auto"/>
        <w:left w:val="none" w:sz="0" w:space="0" w:color="auto"/>
        <w:bottom w:val="none" w:sz="0" w:space="0" w:color="auto"/>
        <w:right w:val="none" w:sz="0" w:space="0" w:color="auto"/>
      </w:divBdr>
    </w:div>
    <w:div w:id="723212950">
      <w:bodyDiv w:val="1"/>
      <w:marLeft w:val="0"/>
      <w:marRight w:val="0"/>
      <w:marTop w:val="0"/>
      <w:marBottom w:val="0"/>
      <w:divBdr>
        <w:top w:val="none" w:sz="0" w:space="0" w:color="auto"/>
        <w:left w:val="none" w:sz="0" w:space="0" w:color="auto"/>
        <w:bottom w:val="none" w:sz="0" w:space="0" w:color="auto"/>
        <w:right w:val="none" w:sz="0" w:space="0" w:color="auto"/>
      </w:divBdr>
    </w:div>
    <w:div w:id="723257672">
      <w:bodyDiv w:val="1"/>
      <w:marLeft w:val="0"/>
      <w:marRight w:val="0"/>
      <w:marTop w:val="0"/>
      <w:marBottom w:val="0"/>
      <w:divBdr>
        <w:top w:val="none" w:sz="0" w:space="0" w:color="auto"/>
        <w:left w:val="none" w:sz="0" w:space="0" w:color="auto"/>
        <w:bottom w:val="none" w:sz="0" w:space="0" w:color="auto"/>
        <w:right w:val="none" w:sz="0" w:space="0" w:color="auto"/>
      </w:divBdr>
    </w:div>
    <w:div w:id="723479824">
      <w:bodyDiv w:val="1"/>
      <w:marLeft w:val="0"/>
      <w:marRight w:val="0"/>
      <w:marTop w:val="0"/>
      <w:marBottom w:val="0"/>
      <w:divBdr>
        <w:top w:val="none" w:sz="0" w:space="0" w:color="auto"/>
        <w:left w:val="none" w:sz="0" w:space="0" w:color="auto"/>
        <w:bottom w:val="none" w:sz="0" w:space="0" w:color="auto"/>
        <w:right w:val="none" w:sz="0" w:space="0" w:color="auto"/>
      </w:divBdr>
    </w:div>
    <w:div w:id="723604225">
      <w:bodyDiv w:val="1"/>
      <w:marLeft w:val="0"/>
      <w:marRight w:val="0"/>
      <w:marTop w:val="0"/>
      <w:marBottom w:val="0"/>
      <w:divBdr>
        <w:top w:val="none" w:sz="0" w:space="0" w:color="auto"/>
        <w:left w:val="none" w:sz="0" w:space="0" w:color="auto"/>
        <w:bottom w:val="none" w:sz="0" w:space="0" w:color="auto"/>
        <w:right w:val="none" w:sz="0" w:space="0" w:color="auto"/>
      </w:divBdr>
    </w:div>
    <w:div w:id="723715724">
      <w:bodyDiv w:val="1"/>
      <w:marLeft w:val="0"/>
      <w:marRight w:val="0"/>
      <w:marTop w:val="0"/>
      <w:marBottom w:val="0"/>
      <w:divBdr>
        <w:top w:val="none" w:sz="0" w:space="0" w:color="auto"/>
        <w:left w:val="none" w:sz="0" w:space="0" w:color="auto"/>
        <w:bottom w:val="none" w:sz="0" w:space="0" w:color="auto"/>
        <w:right w:val="none" w:sz="0" w:space="0" w:color="auto"/>
      </w:divBdr>
    </w:div>
    <w:div w:id="723793357">
      <w:bodyDiv w:val="1"/>
      <w:marLeft w:val="0"/>
      <w:marRight w:val="0"/>
      <w:marTop w:val="0"/>
      <w:marBottom w:val="0"/>
      <w:divBdr>
        <w:top w:val="none" w:sz="0" w:space="0" w:color="auto"/>
        <w:left w:val="none" w:sz="0" w:space="0" w:color="auto"/>
        <w:bottom w:val="none" w:sz="0" w:space="0" w:color="auto"/>
        <w:right w:val="none" w:sz="0" w:space="0" w:color="auto"/>
      </w:divBdr>
    </w:div>
    <w:div w:id="723869802">
      <w:bodyDiv w:val="1"/>
      <w:marLeft w:val="0"/>
      <w:marRight w:val="0"/>
      <w:marTop w:val="0"/>
      <w:marBottom w:val="0"/>
      <w:divBdr>
        <w:top w:val="none" w:sz="0" w:space="0" w:color="auto"/>
        <w:left w:val="none" w:sz="0" w:space="0" w:color="auto"/>
        <w:bottom w:val="none" w:sz="0" w:space="0" w:color="auto"/>
        <w:right w:val="none" w:sz="0" w:space="0" w:color="auto"/>
      </w:divBdr>
    </w:div>
    <w:div w:id="723872829">
      <w:bodyDiv w:val="1"/>
      <w:marLeft w:val="0"/>
      <w:marRight w:val="0"/>
      <w:marTop w:val="0"/>
      <w:marBottom w:val="0"/>
      <w:divBdr>
        <w:top w:val="none" w:sz="0" w:space="0" w:color="auto"/>
        <w:left w:val="none" w:sz="0" w:space="0" w:color="auto"/>
        <w:bottom w:val="none" w:sz="0" w:space="0" w:color="auto"/>
        <w:right w:val="none" w:sz="0" w:space="0" w:color="auto"/>
      </w:divBdr>
    </w:div>
    <w:div w:id="723911982">
      <w:bodyDiv w:val="1"/>
      <w:marLeft w:val="0"/>
      <w:marRight w:val="0"/>
      <w:marTop w:val="0"/>
      <w:marBottom w:val="0"/>
      <w:divBdr>
        <w:top w:val="none" w:sz="0" w:space="0" w:color="auto"/>
        <w:left w:val="none" w:sz="0" w:space="0" w:color="auto"/>
        <w:bottom w:val="none" w:sz="0" w:space="0" w:color="auto"/>
        <w:right w:val="none" w:sz="0" w:space="0" w:color="auto"/>
      </w:divBdr>
    </w:div>
    <w:div w:id="724187060">
      <w:bodyDiv w:val="1"/>
      <w:marLeft w:val="0"/>
      <w:marRight w:val="0"/>
      <w:marTop w:val="0"/>
      <w:marBottom w:val="0"/>
      <w:divBdr>
        <w:top w:val="none" w:sz="0" w:space="0" w:color="auto"/>
        <w:left w:val="none" w:sz="0" w:space="0" w:color="auto"/>
        <w:bottom w:val="none" w:sz="0" w:space="0" w:color="auto"/>
        <w:right w:val="none" w:sz="0" w:space="0" w:color="auto"/>
      </w:divBdr>
    </w:div>
    <w:div w:id="724255578">
      <w:bodyDiv w:val="1"/>
      <w:marLeft w:val="0"/>
      <w:marRight w:val="0"/>
      <w:marTop w:val="0"/>
      <w:marBottom w:val="0"/>
      <w:divBdr>
        <w:top w:val="none" w:sz="0" w:space="0" w:color="auto"/>
        <w:left w:val="none" w:sz="0" w:space="0" w:color="auto"/>
        <w:bottom w:val="none" w:sz="0" w:space="0" w:color="auto"/>
        <w:right w:val="none" w:sz="0" w:space="0" w:color="auto"/>
      </w:divBdr>
    </w:div>
    <w:div w:id="724329363">
      <w:bodyDiv w:val="1"/>
      <w:marLeft w:val="0"/>
      <w:marRight w:val="0"/>
      <w:marTop w:val="0"/>
      <w:marBottom w:val="0"/>
      <w:divBdr>
        <w:top w:val="none" w:sz="0" w:space="0" w:color="auto"/>
        <w:left w:val="none" w:sz="0" w:space="0" w:color="auto"/>
        <w:bottom w:val="none" w:sz="0" w:space="0" w:color="auto"/>
        <w:right w:val="none" w:sz="0" w:space="0" w:color="auto"/>
      </w:divBdr>
    </w:div>
    <w:div w:id="724329513">
      <w:bodyDiv w:val="1"/>
      <w:marLeft w:val="0"/>
      <w:marRight w:val="0"/>
      <w:marTop w:val="0"/>
      <w:marBottom w:val="0"/>
      <w:divBdr>
        <w:top w:val="none" w:sz="0" w:space="0" w:color="auto"/>
        <w:left w:val="none" w:sz="0" w:space="0" w:color="auto"/>
        <w:bottom w:val="none" w:sz="0" w:space="0" w:color="auto"/>
        <w:right w:val="none" w:sz="0" w:space="0" w:color="auto"/>
      </w:divBdr>
    </w:div>
    <w:div w:id="724334163">
      <w:bodyDiv w:val="1"/>
      <w:marLeft w:val="0"/>
      <w:marRight w:val="0"/>
      <w:marTop w:val="0"/>
      <w:marBottom w:val="0"/>
      <w:divBdr>
        <w:top w:val="none" w:sz="0" w:space="0" w:color="auto"/>
        <w:left w:val="none" w:sz="0" w:space="0" w:color="auto"/>
        <w:bottom w:val="none" w:sz="0" w:space="0" w:color="auto"/>
        <w:right w:val="none" w:sz="0" w:space="0" w:color="auto"/>
      </w:divBdr>
    </w:div>
    <w:div w:id="724373320">
      <w:bodyDiv w:val="1"/>
      <w:marLeft w:val="0"/>
      <w:marRight w:val="0"/>
      <w:marTop w:val="0"/>
      <w:marBottom w:val="0"/>
      <w:divBdr>
        <w:top w:val="none" w:sz="0" w:space="0" w:color="auto"/>
        <w:left w:val="none" w:sz="0" w:space="0" w:color="auto"/>
        <w:bottom w:val="none" w:sz="0" w:space="0" w:color="auto"/>
        <w:right w:val="none" w:sz="0" w:space="0" w:color="auto"/>
      </w:divBdr>
    </w:div>
    <w:div w:id="724376270">
      <w:bodyDiv w:val="1"/>
      <w:marLeft w:val="0"/>
      <w:marRight w:val="0"/>
      <w:marTop w:val="0"/>
      <w:marBottom w:val="0"/>
      <w:divBdr>
        <w:top w:val="none" w:sz="0" w:space="0" w:color="auto"/>
        <w:left w:val="none" w:sz="0" w:space="0" w:color="auto"/>
        <w:bottom w:val="none" w:sz="0" w:space="0" w:color="auto"/>
        <w:right w:val="none" w:sz="0" w:space="0" w:color="auto"/>
      </w:divBdr>
    </w:div>
    <w:div w:id="724525644">
      <w:bodyDiv w:val="1"/>
      <w:marLeft w:val="0"/>
      <w:marRight w:val="0"/>
      <w:marTop w:val="0"/>
      <w:marBottom w:val="0"/>
      <w:divBdr>
        <w:top w:val="none" w:sz="0" w:space="0" w:color="auto"/>
        <w:left w:val="none" w:sz="0" w:space="0" w:color="auto"/>
        <w:bottom w:val="none" w:sz="0" w:space="0" w:color="auto"/>
        <w:right w:val="none" w:sz="0" w:space="0" w:color="auto"/>
      </w:divBdr>
    </w:div>
    <w:div w:id="724642805">
      <w:bodyDiv w:val="1"/>
      <w:marLeft w:val="0"/>
      <w:marRight w:val="0"/>
      <w:marTop w:val="0"/>
      <w:marBottom w:val="0"/>
      <w:divBdr>
        <w:top w:val="none" w:sz="0" w:space="0" w:color="auto"/>
        <w:left w:val="none" w:sz="0" w:space="0" w:color="auto"/>
        <w:bottom w:val="none" w:sz="0" w:space="0" w:color="auto"/>
        <w:right w:val="none" w:sz="0" w:space="0" w:color="auto"/>
      </w:divBdr>
    </w:div>
    <w:div w:id="724642859">
      <w:bodyDiv w:val="1"/>
      <w:marLeft w:val="0"/>
      <w:marRight w:val="0"/>
      <w:marTop w:val="0"/>
      <w:marBottom w:val="0"/>
      <w:divBdr>
        <w:top w:val="none" w:sz="0" w:space="0" w:color="auto"/>
        <w:left w:val="none" w:sz="0" w:space="0" w:color="auto"/>
        <w:bottom w:val="none" w:sz="0" w:space="0" w:color="auto"/>
        <w:right w:val="none" w:sz="0" w:space="0" w:color="auto"/>
      </w:divBdr>
    </w:div>
    <w:div w:id="724647104">
      <w:bodyDiv w:val="1"/>
      <w:marLeft w:val="0"/>
      <w:marRight w:val="0"/>
      <w:marTop w:val="0"/>
      <w:marBottom w:val="0"/>
      <w:divBdr>
        <w:top w:val="none" w:sz="0" w:space="0" w:color="auto"/>
        <w:left w:val="none" w:sz="0" w:space="0" w:color="auto"/>
        <w:bottom w:val="none" w:sz="0" w:space="0" w:color="auto"/>
        <w:right w:val="none" w:sz="0" w:space="0" w:color="auto"/>
      </w:divBdr>
    </w:div>
    <w:div w:id="724763231">
      <w:bodyDiv w:val="1"/>
      <w:marLeft w:val="0"/>
      <w:marRight w:val="0"/>
      <w:marTop w:val="0"/>
      <w:marBottom w:val="0"/>
      <w:divBdr>
        <w:top w:val="none" w:sz="0" w:space="0" w:color="auto"/>
        <w:left w:val="none" w:sz="0" w:space="0" w:color="auto"/>
        <w:bottom w:val="none" w:sz="0" w:space="0" w:color="auto"/>
        <w:right w:val="none" w:sz="0" w:space="0" w:color="auto"/>
      </w:divBdr>
    </w:div>
    <w:div w:id="724763274">
      <w:bodyDiv w:val="1"/>
      <w:marLeft w:val="0"/>
      <w:marRight w:val="0"/>
      <w:marTop w:val="0"/>
      <w:marBottom w:val="0"/>
      <w:divBdr>
        <w:top w:val="none" w:sz="0" w:space="0" w:color="auto"/>
        <w:left w:val="none" w:sz="0" w:space="0" w:color="auto"/>
        <w:bottom w:val="none" w:sz="0" w:space="0" w:color="auto"/>
        <w:right w:val="none" w:sz="0" w:space="0" w:color="auto"/>
      </w:divBdr>
    </w:div>
    <w:div w:id="724836666">
      <w:bodyDiv w:val="1"/>
      <w:marLeft w:val="0"/>
      <w:marRight w:val="0"/>
      <w:marTop w:val="0"/>
      <w:marBottom w:val="0"/>
      <w:divBdr>
        <w:top w:val="none" w:sz="0" w:space="0" w:color="auto"/>
        <w:left w:val="none" w:sz="0" w:space="0" w:color="auto"/>
        <w:bottom w:val="none" w:sz="0" w:space="0" w:color="auto"/>
        <w:right w:val="none" w:sz="0" w:space="0" w:color="auto"/>
      </w:divBdr>
    </w:div>
    <w:div w:id="724839255">
      <w:bodyDiv w:val="1"/>
      <w:marLeft w:val="0"/>
      <w:marRight w:val="0"/>
      <w:marTop w:val="0"/>
      <w:marBottom w:val="0"/>
      <w:divBdr>
        <w:top w:val="none" w:sz="0" w:space="0" w:color="auto"/>
        <w:left w:val="none" w:sz="0" w:space="0" w:color="auto"/>
        <w:bottom w:val="none" w:sz="0" w:space="0" w:color="auto"/>
        <w:right w:val="none" w:sz="0" w:space="0" w:color="auto"/>
      </w:divBdr>
    </w:div>
    <w:div w:id="725028192">
      <w:bodyDiv w:val="1"/>
      <w:marLeft w:val="0"/>
      <w:marRight w:val="0"/>
      <w:marTop w:val="0"/>
      <w:marBottom w:val="0"/>
      <w:divBdr>
        <w:top w:val="none" w:sz="0" w:space="0" w:color="auto"/>
        <w:left w:val="none" w:sz="0" w:space="0" w:color="auto"/>
        <w:bottom w:val="none" w:sz="0" w:space="0" w:color="auto"/>
        <w:right w:val="none" w:sz="0" w:space="0" w:color="auto"/>
      </w:divBdr>
    </w:div>
    <w:div w:id="725028786">
      <w:bodyDiv w:val="1"/>
      <w:marLeft w:val="0"/>
      <w:marRight w:val="0"/>
      <w:marTop w:val="0"/>
      <w:marBottom w:val="0"/>
      <w:divBdr>
        <w:top w:val="none" w:sz="0" w:space="0" w:color="auto"/>
        <w:left w:val="none" w:sz="0" w:space="0" w:color="auto"/>
        <w:bottom w:val="none" w:sz="0" w:space="0" w:color="auto"/>
        <w:right w:val="none" w:sz="0" w:space="0" w:color="auto"/>
      </w:divBdr>
    </w:div>
    <w:div w:id="725029675">
      <w:bodyDiv w:val="1"/>
      <w:marLeft w:val="0"/>
      <w:marRight w:val="0"/>
      <w:marTop w:val="0"/>
      <w:marBottom w:val="0"/>
      <w:divBdr>
        <w:top w:val="none" w:sz="0" w:space="0" w:color="auto"/>
        <w:left w:val="none" w:sz="0" w:space="0" w:color="auto"/>
        <w:bottom w:val="none" w:sz="0" w:space="0" w:color="auto"/>
        <w:right w:val="none" w:sz="0" w:space="0" w:color="auto"/>
      </w:divBdr>
    </w:div>
    <w:div w:id="725103650">
      <w:bodyDiv w:val="1"/>
      <w:marLeft w:val="0"/>
      <w:marRight w:val="0"/>
      <w:marTop w:val="0"/>
      <w:marBottom w:val="0"/>
      <w:divBdr>
        <w:top w:val="none" w:sz="0" w:space="0" w:color="auto"/>
        <w:left w:val="none" w:sz="0" w:space="0" w:color="auto"/>
        <w:bottom w:val="none" w:sz="0" w:space="0" w:color="auto"/>
        <w:right w:val="none" w:sz="0" w:space="0" w:color="auto"/>
      </w:divBdr>
    </w:div>
    <w:div w:id="725179535">
      <w:bodyDiv w:val="1"/>
      <w:marLeft w:val="0"/>
      <w:marRight w:val="0"/>
      <w:marTop w:val="0"/>
      <w:marBottom w:val="0"/>
      <w:divBdr>
        <w:top w:val="none" w:sz="0" w:space="0" w:color="auto"/>
        <w:left w:val="none" w:sz="0" w:space="0" w:color="auto"/>
        <w:bottom w:val="none" w:sz="0" w:space="0" w:color="auto"/>
        <w:right w:val="none" w:sz="0" w:space="0" w:color="auto"/>
      </w:divBdr>
    </w:div>
    <w:div w:id="725180115">
      <w:bodyDiv w:val="1"/>
      <w:marLeft w:val="0"/>
      <w:marRight w:val="0"/>
      <w:marTop w:val="0"/>
      <w:marBottom w:val="0"/>
      <w:divBdr>
        <w:top w:val="none" w:sz="0" w:space="0" w:color="auto"/>
        <w:left w:val="none" w:sz="0" w:space="0" w:color="auto"/>
        <w:bottom w:val="none" w:sz="0" w:space="0" w:color="auto"/>
        <w:right w:val="none" w:sz="0" w:space="0" w:color="auto"/>
      </w:divBdr>
    </w:div>
    <w:div w:id="725226065">
      <w:bodyDiv w:val="1"/>
      <w:marLeft w:val="0"/>
      <w:marRight w:val="0"/>
      <w:marTop w:val="0"/>
      <w:marBottom w:val="0"/>
      <w:divBdr>
        <w:top w:val="none" w:sz="0" w:space="0" w:color="auto"/>
        <w:left w:val="none" w:sz="0" w:space="0" w:color="auto"/>
        <w:bottom w:val="none" w:sz="0" w:space="0" w:color="auto"/>
        <w:right w:val="none" w:sz="0" w:space="0" w:color="auto"/>
      </w:divBdr>
    </w:div>
    <w:div w:id="725420341">
      <w:bodyDiv w:val="1"/>
      <w:marLeft w:val="0"/>
      <w:marRight w:val="0"/>
      <w:marTop w:val="0"/>
      <w:marBottom w:val="0"/>
      <w:divBdr>
        <w:top w:val="none" w:sz="0" w:space="0" w:color="auto"/>
        <w:left w:val="none" w:sz="0" w:space="0" w:color="auto"/>
        <w:bottom w:val="none" w:sz="0" w:space="0" w:color="auto"/>
        <w:right w:val="none" w:sz="0" w:space="0" w:color="auto"/>
      </w:divBdr>
    </w:div>
    <w:div w:id="725448599">
      <w:bodyDiv w:val="1"/>
      <w:marLeft w:val="0"/>
      <w:marRight w:val="0"/>
      <w:marTop w:val="0"/>
      <w:marBottom w:val="0"/>
      <w:divBdr>
        <w:top w:val="none" w:sz="0" w:space="0" w:color="auto"/>
        <w:left w:val="none" w:sz="0" w:space="0" w:color="auto"/>
        <w:bottom w:val="none" w:sz="0" w:space="0" w:color="auto"/>
        <w:right w:val="none" w:sz="0" w:space="0" w:color="auto"/>
      </w:divBdr>
    </w:div>
    <w:div w:id="725491741">
      <w:bodyDiv w:val="1"/>
      <w:marLeft w:val="0"/>
      <w:marRight w:val="0"/>
      <w:marTop w:val="0"/>
      <w:marBottom w:val="0"/>
      <w:divBdr>
        <w:top w:val="none" w:sz="0" w:space="0" w:color="auto"/>
        <w:left w:val="none" w:sz="0" w:space="0" w:color="auto"/>
        <w:bottom w:val="none" w:sz="0" w:space="0" w:color="auto"/>
        <w:right w:val="none" w:sz="0" w:space="0" w:color="auto"/>
      </w:divBdr>
    </w:div>
    <w:div w:id="725564981">
      <w:bodyDiv w:val="1"/>
      <w:marLeft w:val="0"/>
      <w:marRight w:val="0"/>
      <w:marTop w:val="0"/>
      <w:marBottom w:val="0"/>
      <w:divBdr>
        <w:top w:val="none" w:sz="0" w:space="0" w:color="auto"/>
        <w:left w:val="none" w:sz="0" w:space="0" w:color="auto"/>
        <w:bottom w:val="none" w:sz="0" w:space="0" w:color="auto"/>
        <w:right w:val="none" w:sz="0" w:space="0" w:color="auto"/>
      </w:divBdr>
    </w:div>
    <w:div w:id="725565948">
      <w:bodyDiv w:val="1"/>
      <w:marLeft w:val="0"/>
      <w:marRight w:val="0"/>
      <w:marTop w:val="0"/>
      <w:marBottom w:val="0"/>
      <w:divBdr>
        <w:top w:val="none" w:sz="0" w:space="0" w:color="auto"/>
        <w:left w:val="none" w:sz="0" w:space="0" w:color="auto"/>
        <w:bottom w:val="none" w:sz="0" w:space="0" w:color="auto"/>
        <w:right w:val="none" w:sz="0" w:space="0" w:color="auto"/>
      </w:divBdr>
    </w:div>
    <w:div w:id="725565989">
      <w:bodyDiv w:val="1"/>
      <w:marLeft w:val="0"/>
      <w:marRight w:val="0"/>
      <w:marTop w:val="0"/>
      <w:marBottom w:val="0"/>
      <w:divBdr>
        <w:top w:val="none" w:sz="0" w:space="0" w:color="auto"/>
        <w:left w:val="none" w:sz="0" w:space="0" w:color="auto"/>
        <w:bottom w:val="none" w:sz="0" w:space="0" w:color="auto"/>
        <w:right w:val="none" w:sz="0" w:space="0" w:color="auto"/>
      </w:divBdr>
    </w:div>
    <w:div w:id="725566060">
      <w:bodyDiv w:val="1"/>
      <w:marLeft w:val="0"/>
      <w:marRight w:val="0"/>
      <w:marTop w:val="0"/>
      <w:marBottom w:val="0"/>
      <w:divBdr>
        <w:top w:val="none" w:sz="0" w:space="0" w:color="auto"/>
        <w:left w:val="none" w:sz="0" w:space="0" w:color="auto"/>
        <w:bottom w:val="none" w:sz="0" w:space="0" w:color="auto"/>
        <w:right w:val="none" w:sz="0" w:space="0" w:color="auto"/>
      </w:divBdr>
    </w:div>
    <w:div w:id="725639141">
      <w:bodyDiv w:val="1"/>
      <w:marLeft w:val="0"/>
      <w:marRight w:val="0"/>
      <w:marTop w:val="0"/>
      <w:marBottom w:val="0"/>
      <w:divBdr>
        <w:top w:val="none" w:sz="0" w:space="0" w:color="auto"/>
        <w:left w:val="none" w:sz="0" w:space="0" w:color="auto"/>
        <w:bottom w:val="none" w:sz="0" w:space="0" w:color="auto"/>
        <w:right w:val="none" w:sz="0" w:space="0" w:color="auto"/>
      </w:divBdr>
    </w:div>
    <w:div w:id="725644347">
      <w:bodyDiv w:val="1"/>
      <w:marLeft w:val="0"/>
      <w:marRight w:val="0"/>
      <w:marTop w:val="0"/>
      <w:marBottom w:val="0"/>
      <w:divBdr>
        <w:top w:val="none" w:sz="0" w:space="0" w:color="auto"/>
        <w:left w:val="none" w:sz="0" w:space="0" w:color="auto"/>
        <w:bottom w:val="none" w:sz="0" w:space="0" w:color="auto"/>
        <w:right w:val="none" w:sz="0" w:space="0" w:color="auto"/>
      </w:divBdr>
    </w:div>
    <w:div w:id="725756756">
      <w:bodyDiv w:val="1"/>
      <w:marLeft w:val="0"/>
      <w:marRight w:val="0"/>
      <w:marTop w:val="0"/>
      <w:marBottom w:val="0"/>
      <w:divBdr>
        <w:top w:val="none" w:sz="0" w:space="0" w:color="auto"/>
        <w:left w:val="none" w:sz="0" w:space="0" w:color="auto"/>
        <w:bottom w:val="none" w:sz="0" w:space="0" w:color="auto"/>
        <w:right w:val="none" w:sz="0" w:space="0" w:color="auto"/>
      </w:divBdr>
    </w:div>
    <w:div w:id="725764076">
      <w:bodyDiv w:val="1"/>
      <w:marLeft w:val="0"/>
      <w:marRight w:val="0"/>
      <w:marTop w:val="0"/>
      <w:marBottom w:val="0"/>
      <w:divBdr>
        <w:top w:val="none" w:sz="0" w:space="0" w:color="auto"/>
        <w:left w:val="none" w:sz="0" w:space="0" w:color="auto"/>
        <w:bottom w:val="none" w:sz="0" w:space="0" w:color="auto"/>
        <w:right w:val="none" w:sz="0" w:space="0" w:color="auto"/>
      </w:divBdr>
    </w:div>
    <w:div w:id="725951794">
      <w:bodyDiv w:val="1"/>
      <w:marLeft w:val="0"/>
      <w:marRight w:val="0"/>
      <w:marTop w:val="0"/>
      <w:marBottom w:val="0"/>
      <w:divBdr>
        <w:top w:val="none" w:sz="0" w:space="0" w:color="auto"/>
        <w:left w:val="none" w:sz="0" w:space="0" w:color="auto"/>
        <w:bottom w:val="none" w:sz="0" w:space="0" w:color="auto"/>
        <w:right w:val="none" w:sz="0" w:space="0" w:color="auto"/>
      </w:divBdr>
    </w:div>
    <w:div w:id="726027893">
      <w:bodyDiv w:val="1"/>
      <w:marLeft w:val="0"/>
      <w:marRight w:val="0"/>
      <w:marTop w:val="0"/>
      <w:marBottom w:val="0"/>
      <w:divBdr>
        <w:top w:val="none" w:sz="0" w:space="0" w:color="auto"/>
        <w:left w:val="none" w:sz="0" w:space="0" w:color="auto"/>
        <w:bottom w:val="none" w:sz="0" w:space="0" w:color="auto"/>
        <w:right w:val="none" w:sz="0" w:space="0" w:color="auto"/>
      </w:divBdr>
    </w:div>
    <w:div w:id="726073823">
      <w:bodyDiv w:val="1"/>
      <w:marLeft w:val="0"/>
      <w:marRight w:val="0"/>
      <w:marTop w:val="0"/>
      <w:marBottom w:val="0"/>
      <w:divBdr>
        <w:top w:val="none" w:sz="0" w:space="0" w:color="auto"/>
        <w:left w:val="none" w:sz="0" w:space="0" w:color="auto"/>
        <w:bottom w:val="none" w:sz="0" w:space="0" w:color="auto"/>
        <w:right w:val="none" w:sz="0" w:space="0" w:color="auto"/>
      </w:divBdr>
    </w:div>
    <w:div w:id="726607950">
      <w:bodyDiv w:val="1"/>
      <w:marLeft w:val="0"/>
      <w:marRight w:val="0"/>
      <w:marTop w:val="0"/>
      <w:marBottom w:val="0"/>
      <w:divBdr>
        <w:top w:val="none" w:sz="0" w:space="0" w:color="auto"/>
        <w:left w:val="none" w:sz="0" w:space="0" w:color="auto"/>
        <w:bottom w:val="none" w:sz="0" w:space="0" w:color="auto"/>
        <w:right w:val="none" w:sz="0" w:space="0" w:color="auto"/>
      </w:divBdr>
    </w:div>
    <w:div w:id="726759727">
      <w:bodyDiv w:val="1"/>
      <w:marLeft w:val="0"/>
      <w:marRight w:val="0"/>
      <w:marTop w:val="0"/>
      <w:marBottom w:val="0"/>
      <w:divBdr>
        <w:top w:val="none" w:sz="0" w:space="0" w:color="auto"/>
        <w:left w:val="none" w:sz="0" w:space="0" w:color="auto"/>
        <w:bottom w:val="none" w:sz="0" w:space="0" w:color="auto"/>
        <w:right w:val="none" w:sz="0" w:space="0" w:color="auto"/>
      </w:divBdr>
    </w:div>
    <w:div w:id="726760902">
      <w:bodyDiv w:val="1"/>
      <w:marLeft w:val="0"/>
      <w:marRight w:val="0"/>
      <w:marTop w:val="0"/>
      <w:marBottom w:val="0"/>
      <w:divBdr>
        <w:top w:val="none" w:sz="0" w:space="0" w:color="auto"/>
        <w:left w:val="none" w:sz="0" w:space="0" w:color="auto"/>
        <w:bottom w:val="none" w:sz="0" w:space="0" w:color="auto"/>
        <w:right w:val="none" w:sz="0" w:space="0" w:color="auto"/>
      </w:divBdr>
    </w:div>
    <w:div w:id="726804393">
      <w:bodyDiv w:val="1"/>
      <w:marLeft w:val="0"/>
      <w:marRight w:val="0"/>
      <w:marTop w:val="0"/>
      <w:marBottom w:val="0"/>
      <w:divBdr>
        <w:top w:val="none" w:sz="0" w:space="0" w:color="auto"/>
        <w:left w:val="none" w:sz="0" w:space="0" w:color="auto"/>
        <w:bottom w:val="none" w:sz="0" w:space="0" w:color="auto"/>
        <w:right w:val="none" w:sz="0" w:space="0" w:color="auto"/>
      </w:divBdr>
    </w:div>
    <w:div w:id="726956149">
      <w:bodyDiv w:val="1"/>
      <w:marLeft w:val="0"/>
      <w:marRight w:val="0"/>
      <w:marTop w:val="0"/>
      <w:marBottom w:val="0"/>
      <w:divBdr>
        <w:top w:val="none" w:sz="0" w:space="0" w:color="auto"/>
        <w:left w:val="none" w:sz="0" w:space="0" w:color="auto"/>
        <w:bottom w:val="none" w:sz="0" w:space="0" w:color="auto"/>
        <w:right w:val="none" w:sz="0" w:space="0" w:color="auto"/>
      </w:divBdr>
    </w:div>
    <w:div w:id="726992462">
      <w:bodyDiv w:val="1"/>
      <w:marLeft w:val="0"/>
      <w:marRight w:val="0"/>
      <w:marTop w:val="0"/>
      <w:marBottom w:val="0"/>
      <w:divBdr>
        <w:top w:val="none" w:sz="0" w:space="0" w:color="auto"/>
        <w:left w:val="none" w:sz="0" w:space="0" w:color="auto"/>
        <w:bottom w:val="none" w:sz="0" w:space="0" w:color="auto"/>
        <w:right w:val="none" w:sz="0" w:space="0" w:color="auto"/>
      </w:divBdr>
    </w:div>
    <w:div w:id="727187739">
      <w:bodyDiv w:val="1"/>
      <w:marLeft w:val="0"/>
      <w:marRight w:val="0"/>
      <w:marTop w:val="0"/>
      <w:marBottom w:val="0"/>
      <w:divBdr>
        <w:top w:val="none" w:sz="0" w:space="0" w:color="auto"/>
        <w:left w:val="none" w:sz="0" w:space="0" w:color="auto"/>
        <w:bottom w:val="none" w:sz="0" w:space="0" w:color="auto"/>
        <w:right w:val="none" w:sz="0" w:space="0" w:color="auto"/>
      </w:divBdr>
    </w:div>
    <w:div w:id="727260742">
      <w:bodyDiv w:val="1"/>
      <w:marLeft w:val="0"/>
      <w:marRight w:val="0"/>
      <w:marTop w:val="0"/>
      <w:marBottom w:val="0"/>
      <w:divBdr>
        <w:top w:val="none" w:sz="0" w:space="0" w:color="auto"/>
        <w:left w:val="none" w:sz="0" w:space="0" w:color="auto"/>
        <w:bottom w:val="none" w:sz="0" w:space="0" w:color="auto"/>
        <w:right w:val="none" w:sz="0" w:space="0" w:color="auto"/>
      </w:divBdr>
    </w:div>
    <w:div w:id="727384242">
      <w:bodyDiv w:val="1"/>
      <w:marLeft w:val="0"/>
      <w:marRight w:val="0"/>
      <w:marTop w:val="0"/>
      <w:marBottom w:val="0"/>
      <w:divBdr>
        <w:top w:val="none" w:sz="0" w:space="0" w:color="auto"/>
        <w:left w:val="none" w:sz="0" w:space="0" w:color="auto"/>
        <w:bottom w:val="none" w:sz="0" w:space="0" w:color="auto"/>
        <w:right w:val="none" w:sz="0" w:space="0" w:color="auto"/>
      </w:divBdr>
    </w:div>
    <w:div w:id="727653704">
      <w:bodyDiv w:val="1"/>
      <w:marLeft w:val="0"/>
      <w:marRight w:val="0"/>
      <w:marTop w:val="0"/>
      <w:marBottom w:val="0"/>
      <w:divBdr>
        <w:top w:val="none" w:sz="0" w:space="0" w:color="auto"/>
        <w:left w:val="none" w:sz="0" w:space="0" w:color="auto"/>
        <w:bottom w:val="none" w:sz="0" w:space="0" w:color="auto"/>
        <w:right w:val="none" w:sz="0" w:space="0" w:color="auto"/>
      </w:divBdr>
    </w:div>
    <w:div w:id="727999170">
      <w:bodyDiv w:val="1"/>
      <w:marLeft w:val="0"/>
      <w:marRight w:val="0"/>
      <w:marTop w:val="0"/>
      <w:marBottom w:val="0"/>
      <w:divBdr>
        <w:top w:val="none" w:sz="0" w:space="0" w:color="auto"/>
        <w:left w:val="none" w:sz="0" w:space="0" w:color="auto"/>
        <w:bottom w:val="none" w:sz="0" w:space="0" w:color="auto"/>
        <w:right w:val="none" w:sz="0" w:space="0" w:color="auto"/>
      </w:divBdr>
    </w:div>
    <w:div w:id="728069844">
      <w:bodyDiv w:val="1"/>
      <w:marLeft w:val="0"/>
      <w:marRight w:val="0"/>
      <w:marTop w:val="0"/>
      <w:marBottom w:val="0"/>
      <w:divBdr>
        <w:top w:val="none" w:sz="0" w:space="0" w:color="auto"/>
        <w:left w:val="none" w:sz="0" w:space="0" w:color="auto"/>
        <w:bottom w:val="none" w:sz="0" w:space="0" w:color="auto"/>
        <w:right w:val="none" w:sz="0" w:space="0" w:color="auto"/>
      </w:divBdr>
    </w:div>
    <w:div w:id="728118246">
      <w:bodyDiv w:val="1"/>
      <w:marLeft w:val="0"/>
      <w:marRight w:val="0"/>
      <w:marTop w:val="0"/>
      <w:marBottom w:val="0"/>
      <w:divBdr>
        <w:top w:val="none" w:sz="0" w:space="0" w:color="auto"/>
        <w:left w:val="none" w:sz="0" w:space="0" w:color="auto"/>
        <w:bottom w:val="none" w:sz="0" w:space="0" w:color="auto"/>
        <w:right w:val="none" w:sz="0" w:space="0" w:color="auto"/>
      </w:divBdr>
    </w:div>
    <w:div w:id="728267236">
      <w:bodyDiv w:val="1"/>
      <w:marLeft w:val="0"/>
      <w:marRight w:val="0"/>
      <w:marTop w:val="0"/>
      <w:marBottom w:val="0"/>
      <w:divBdr>
        <w:top w:val="none" w:sz="0" w:space="0" w:color="auto"/>
        <w:left w:val="none" w:sz="0" w:space="0" w:color="auto"/>
        <w:bottom w:val="none" w:sz="0" w:space="0" w:color="auto"/>
        <w:right w:val="none" w:sz="0" w:space="0" w:color="auto"/>
      </w:divBdr>
    </w:div>
    <w:div w:id="728305639">
      <w:bodyDiv w:val="1"/>
      <w:marLeft w:val="0"/>
      <w:marRight w:val="0"/>
      <w:marTop w:val="0"/>
      <w:marBottom w:val="0"/>
      <w:divBdr>
        <w:top w:val="none" w:sz="0" w:space="0" w:color="auto"/>
        <w:left w:val="none" w:sz="0" w:space="0" w:color="auto"/>
        <w:bottom w:val="none" w:sz="0" w:space="0" w:color="auto"/>
        <w:right w:val="none" w:sz="0" w:space="0" w:color="auto"/>
      </w:divBdr>
    </w:div>
    <w:div w:id="728312083">
      <w:bodyDiv w:val="1"/>
      <w:marLeft w:val="0"/>
      <w:marRight w:val="0"/>
      <w:marTop w:val="0"/>
      <w:marBottom w:val="0"/>
      <w:divBdr>
        <w:top w:val="none" w:sz="0" w:space="0" w:color="auto"/>
        <w:left w:val="none" w:sz="0" w:space="0" w:color="auto"/>
        <w:bottom w:val="none" w:sz="0" w:space="0" w:color="auto"/>
        <w:right w:val="none" w:sz="0" w:space="0" w:color="auto"/>
      </w:divBdr>
    </w:div>
    <w:div w:id="728500619">
      <w:bodyDiv w:val="1"/>
      <w:marLeft w:val="0"/>
      <w:marRight w:val="0"/>
      <w:marTop w:val="0"/>
      <w:marBottom w:val="0"/>
      <w:divBdr>
        <w:top w:val="none" w:sz="0" w:space="0" w:color="auto"/>
        <w:left w:val="none" w:sz="0" w:space="0" w:color="auto"/>
        <w:bottom w:val="none" w:sz="0" w:space="0" w:color="auto"/>
        <w:right w:val="none" w:sz="0" w:space="0" w:color="auto"/>
      </w:divBdr>
    </w:div>
    <w:div w:id="728573164">
      <w:bodyDiv w:val="1"/>
      <w:marLeft w:val="0"/>
      <w:marRight w:val="0"/>
      <w:marTop w:val="0"/>
      <w:marBottom w:val="0"/>
      <w:divBdr>
        <w:top w:val="none" w:sz="0" w:space="0" w:color="auto"/>
        <w:left w:val="none" w:sz="0" w:space="0" w:color="auto"/>
        <w:bottom w:val="none" w:sz="0" w:space="0" w:color="auto"/>
        <w:right w:val="none" w:sz="0" w:space="0" w:color="auto"/>
      </w:divBdr>
    </w:div>
    <w:div w:id="728652400">
      <w:bodyDiv w:val="1"/>
      <w:marLeft w:val="0"/>
      <w:marRight w:val="0"/>
      <w:marTop w:val="0"/>
      <w:marBottom w:val="0"/>
      <w:divBdr>
        <w:top w:val="none" w:sz="0" w:space="0" w:color="auto"/>
        <w:left w:val="none" w:sz="0" w:space="0" w:color="auto"/>
        <w:bottom w:val="none" w:sz="0" w:space="0" w:color="auto"/>
        <w:right w:val="none" w:sz="0" w:space="0" w:color="auto"/>
      </w:divBdr>
    </w:div>
    <w:div w:id="728695091">
      <w:bodyDiv w:val="1"/>
      <w:marLeft w:val="0"/>
      <w:marRight w:val="0"/>
      <w:marTop w:val="0"/>
      <w:marBottom w:val="0"/>
      <w:divBdr>
        <w:top w:val="none" w:sz="0" w:space="0" w:color="auto"/>
        <w:left w:val="none" w:sz="0" w:space="0" w:color="auto"/>
        <w:bottom w:val="none" w:sz="0" w:space="0" w:color="auto"/>
        <w:right w:val="none" w:sz="0" w:space="0" w:color="auto"/>
      </w:divBdr>
    </w:div>
    <w:div w:id="728840769">
      <w:bodyDiv w:val="1"/>
      <w:marLeft w:val="0"/>
      <w:marRight w:val="0"/>
      <w:marTop w:val="0"/>
      <w:marBottom w:val="0"/>
      <w:divBdr>
        <w:top w:val="none" w:sz="0" w:space="0" w:color="auto"/>
        <w:left w:val="none" w:sz="0" w:space="0" w:color="auto"/>
        <w:bottom w:val="none" w:sz="0" w:space="0" w:color="auto"/>
        <w:right w:val="none" w:sz="0" w:space="0" w:color="auto"/>
      </w:divBdr>
    </w:div>
    <w:div w:id="728923648">
      <w:bodyDiv w:val="1"/>
      <w:marLeft w:val="0"/>
      <w:marRight w:val="0"/>
      <w:marTop w:val="0"/>
      <w:marBottom w:val="0"/>
      <w:divBdr>
        <w:top w:val="none" w:sz="0" w:space="0" w:color="auto"/>
        <w:left w:val="none" w:sz="0" w:space="0" w:color="auto"/>
        <w:bottom w:val="none" w:sz="0" w:space="0" w:color="auto"/>
        <w:right w:val="none" w:sz="0" w:space="0" w:color="auto"/>
      </w:divBdr>
    </w:div>
    <w:div w:id="728962141">
      <w:bodyDiv w:val="1"/>
      <w:marLeft w:val="0"/>
      <w:marRight w:val="0"/>
      <w:marTop w:val="0"/>
      <w:marBottom w:val="0"/>
      <w:divBdr>
        <w:top w:val="none" w:sz="0" w:space="0" w:color="auto"/>
        <w:left w:val="none" w:sz="0" w:space="0" w:color="auto"/>
        <w:bottom w:val="none" w:sz="0" w:space="0" w:color="auto"/>
        <w:right w:val="none" w:sz="0" w:space="0" w:color="auto"/>
      </w:divBdr>
    </w:div>
    <w:div w:id="729156922">
      <w:bodyDiv w:val="1"/>
      <w:marLeft w:val="0"/>
      <w:marRight w:val="0"/>
      <w:marTop w:val="0"/>
      <w:marBottom w:val="0"/>
      <w:divBdr>
        <w:top w:val="none" w:sz="0" w:space="0" w:color="auto"/>
        <w:left w:val="none" w:sz="0" w:space="0" w:color="auto"/>
        <w:bottom w:val="none" w:sz="0" w:space="0" w:color="auto"/>
        <w:right w:val="none" w:sz="0" w:space="0" w:color="auto"/>
      </w:divBdr>
    </w:div>
    <w:div w:id="729185180">
      <w:bodyDiv w:val="1"/>
      <w:marLeft w:val="0"/>
      <w:marRight w:val="0"/>
      <w:marTop w:val="0"/>
      <w:marBottom w:val="0"/>
      <w:divBdr>
        <w:top w:val="none" w:sz="0" w:space="0" w:color="auto"/>
        <w:left w:val="none" w:sz="0" w:space="0" w:color="auto"/>
        <w:bottom w:val="none" w:sz="0" w:space="0" w:color="auto"/>
        <w:right w:val="none" w:sz="0" w:space="0" w:color="auto"/>
      </w:divBdr>
    </w:div>
    <w:div w:id="729229531">
      <w:bodyDiv w:val="1"/>
      <w:marLeft w:val="0"/>
      <w:marRight w:val="0"/>
      <w:marTop w:val="0"/>
      <w:marBottom w:val="0"/>
      <w:divBdr>
        <w:top w:val="none" w:sz="0" w:space="0" w:color="auto"/>
        <w:left w:val="none" w:sz="0" w:space="0" w:color="auto"/>
        <w:bottom w:val="none" w:sz="0" w:space="0" w:color="auto"/>
        <w:right w:val="none" w:sz="0" w:space="0" w:color="auto"/>
      </w:divBdr>
    </w:div>
    <w:div w:id="729235659">
      <w:bodyDiv w:val="1"/>
      <w:marLeft w:val="0"/>
      <w:marRight w:val="0"/>
      <w:marTop w:val="0"/>
      <w:marBottom w:val="0"/>
      <w:divBdr>
        <w:top w:val="none" w:sz="0" w:space="0" w:color="auto"/>
        <w:left w:val="none" w:sz="0" w:space="0" w:color="auto"/>
        <w:bottom w:val="none" w:sz="0" w:space="0" w:color="auto"/>
        <w:right w:val="none" w:sz="0" w:space="0" w:color="auto"/>
      </w:divBdr>
    </w:div>
    <w:div w:id="729302749">
      <w:bodyDiv w:val="1"/>
      <w:marLeft w:val="0"/>
      <w:marRight w:val="0"/>
      <w:marTop w:val="0"/>
      <w:marBottom w:val="0"/>
      <w:divBdr>
        <w:top w:val="none" w:sz="0" w:space="0" w:color="auto"/>
        <w:left w:val="none" w:sz="0" w:space="0" w:color="auto"/>
        <w:bottom w:val="none" w:sz="0" w:space="0" w:color="auto"/>
        <w:right w:val="none" w:sz="0" w:space="0" w:color="auto"/>
      </w:divBdr>
    </w:div>
    <w:div w:id="729615398">
      <w:bodyDiv w:val="1"/>
      <w:marLeft w:val="0"/>
      <w:marRight w:val="0"/>
      <w:marTop w:val="0"/>
      <w:marBottom w:val="0"/>
      <w:divBdr>
        <w:top w:val="none" w:sz="0" w:space="0" w:color="auto"/>
        <w:left w:val="none" w:sz="0" w:space="0" w:color="auto"/>
        <w:bottom w:val="none" w:sz="0" w:space="0" w:color="auto"/>
        <w:right w:val="none" w:sz="0" w:space="0" w:color="auto"/>
      </w:divBdr>
    </w:div>
    <w:div w:id="729881929">
      <w:bodyDiv w:val="1"/>
      <w:marLeft w:val="0"/>
      <w:marRight w:val="0"/>
      <w:marTop w:val="0"/>
      <w:marBottom w:val="0"/>
      <w:divBdr>
        <w:top w:val="none" w:sz="0" w:space="0" w:color="auto"/>
        <w:left w:val="none" w:sz="0" w:space="0" w:color="auto"/>
        <w:bottom w:val="none" w:sz="0" w:space="0" w:color="auto"/>
        <w:right w:val="none" w:sz="0" w:space="0" w:color="auto"/>
      </w:divBdr>
    </w:div>
    <w:div w:id="729886095">
      <w:bodyDiv w:val="1"/>
      <w:marLeft w:val="0"/>
      <w:marRight w:val="0"/>
      <w:marTop w:val="0"/>
      <w:marBottom w:val="0"/>
      <w:divBdr>
        <w:top w:val="none" w:sz="0" w:space="0" w:color="auto"/>
        <w:left w:val="none" w:sz="0" w:space="0" w:color="auto"/>
        <w:bottom w:val="none" w:sz="0" w:space="0" w:color="auto"/>
        <w:right w:val="none" w:sz="0" w:space="0" w:color="auto"/>
      </w:divBdr>
    </w:div>
    <w:div w:id="729958653">
      <w:bodyDiv w:val="1"/>
      <w:marLeft w:val="0"/>
      <w:marRight w:val="0"/>
      <w:marTop w:val="0"/>
      <w:marBottom w:val="0"/>
      <w:divBdr>
        <w:top w:val="none" w:sz="0" w:space="0" w:color="auto"/>
        <w:left w:val="none" w:sz="0" w:space="0" w:color="auto"/>
        <w:bottom w:val="none" w:sz="0" w:space="0" w:color="auto"/>
        <w:right w:val="none" w:sz="0" w:space="0" w:color="auto"/>
      </w:divBdr>
    </w:div>
    <w:div w:id="730075171">
      <w:bodyDiv w:val="1"/>
      <w:marLeft w:val="0"/>
      <w:marRight w:val="0"/>
      <w:marTop w:val="0"/>
      <w:marBottom w:val="0"/>
      <w:divBdr>
        <w:top w:val="none" w:sz="0" w:space="0" w:color="auto"/>
        <w:left w:val="none" w:sz="0" w:space="0" w:color="auto"/>
        <w:bottom w:val="none" w:sz="0" w:space="0" w:color="auto"/>
        <w:right w:val="none" w:sz="0" w:space="0" w:color="auto"/>
      </w:divBdr>
    </w:div>
    <w:div w:id="730081393">
      <w:bodyDiv w:val="1"/>
      <w:marLeft w:val="0"/>
      <w:marRight w:val="0"/>
      <w:marTop w:val="0"/>
      <w:marBottom w:val="0"/>
      <w:divBdr>
        <w:top w:val="none" w:sz="0" w:space="0" w:color="auto"/>
        <w:left w:val="none" w:sz="0" w:space="0" w:color="auto"/>
        <w:bottom w:val="none" w:sz="0" w:space="0" w:color="auto"/>
        <w:right w:val="none" w:sz="0" w:space="0" w:color="auto"/>
      </w:divBdr>
    </w:div>
    <w:div w:id="730226418">
      <w:bodyDiv w:val="1"/>
      <w:marLeft w:val="0"/>
      <w:marRight w:val="0"/>
      <w:marTop w:val="0"/>
      <w:marBottom w:val="0"/>
      <w:divBdr>
        <w:top w:val="none" w:sz="0" w:space="0" w:color="auto"/>
        <w:left w:val="none" w:sz="0" w:space="0" w:color="auto"/>
        <w:bottom w:val="none" w:sz="0" w:space="0" w:color="auto"/>
        <w:right w:val="none" w:sz="0" w:space="0" w:color="auto"/>
      </w:divBdr>
    </w:div>
    <w:div w:id="730270970">
      <w:bodyDiv w:val="1"/>
      <w:marLeft w:val="0"/>
      <w:marRight w:val="0"/>
      <w:marTop w:val="0"/>
      <w:marBottom w:val="0"/>
      <w:divBdr>
        <w:top w:val="none" w:sz="0" w:space="0" w:color="auto"/>
        <w:left w:val="none" w:sz="0" w:space="0" w:color="auto"/>
        <w:bottom w:val="none" w:sz="0" w:space="0" w:color="auto"/>
        <w:right w:val="none" w:sz="0" w:space="0" w:color="auto"/>
      </w:divBdr>
    </w:div>
    <w:div w:id="730345061">
      <w:bodyDiv w:val="1"/>
      <w:marLeft w:val="0"/>
      <w:marRight w:val="0"/>
      <w:marTop w:val="0"/>
      <w:marBottom w:val="0"/>
      <w:divBdr>
        <w:top w:val="none" w:sz="0" w:space="0" w:color="auto"/>
        <w:left w:val="none" w:sz="0" w:space="0" w:color="auto"/>
        <w:bottom w:val="none" w:sz="0" w:space="0" w:color="auto"/>
        <w:right w:val="none" w:sz="0" w:space="0" w:color="auto"/>
      </w:divBdr>
    </w:div>
    <w:div w:id="730347101">
      <w:bodyDiv w:val="1"/>
      <w:marLeft w:val="0"/>
      <w:marRight w:val="0"/>
      <w:marTop w:val="0"/>
      <w:marBottom w:val="0"/>
      <w:divBdr>
        <w:top w:val="none" w:sz="0" w:space="0" w:color="auto"/>
        <w:left w:val="none" w:sz="0" w:space="0" w:color="auto"/>
        <w:bottom w:val="none" w:sz="0" w:space="0" w:color="auto"/>
        <w:right w:val="none" w:sz="0" w:space="0" w:color="auto"/>
      </w:divBdr>
    </w:div>
    <w:div w:id="730618455">
      <w:bodyDiv w:val="1"/>
      <w:marLeft w:val="0"/>
      <w:marRight w:val="0"/>
      <w:marTop w:val="0"/>
      <w:marBottom w:val="0"/>
      <w:divBdr>
        <w:top w:val="none" w:sz="0" w:space="0" w:color="auto"/>
        <w:left w:val="none" w:sz="0" w:space="0" w:color="auto"/>
        <w:bottom w:val="none" w:sz="0" w:space="0" w:color="auto"/>
        <w:right w:val="none" w:sz="0" w:space="0" w:color="auto"/>
      </w:divBdr>
    </w:div>
    <w:div w:id="730618912">
      <w:bodyDiv w:val="1"/>
      <w:marLeft w:val="0"/>
      <w:marRight w:val="0"/>
      <w:marTop w:val="0"/>
      <w:marBottom w:val="0"/>
      <w:divBdr>
        <w:top w:val="none" w:sz="0" w:space="0" w:color="auto"/>
        <w:left w:val="none" w:sz="0" w:space="0" w:color="auto"/>
        <w:bottom w:val="none" w:sz="0" w:space="0" w:color="auto"/>
        <w:right w:val="none" w:sz="0" w:space="0" w:color="auto"/>
      </w:divBdr>
    </w:div>
    <w:div w:id="730810573">
      <w:bodyDiv w:val="1"/>
      <w:marLeft w:val="0"/>
      <w:marRight w:val="0"/>
      <w:marTop w:val="0"/>
      <w:marBottom w:val="0"/>
      <w:divBdr>
        <w:top w:val="none" w:sz="0" w:space="0" w:color="auto"/>
        <w:left w:val="none" w:sz="0" w:space="0" w:color="auto"/>
        <w:bottom w:val="none" w:sz="0" w:space="0" w:color="auto"/>
        <w:right w:val="none" w:sz="0" w:space="0" w:color="auto"/>
      </w:divBdr>
    </w:div>
    <w:div w:id="730857910">
      <w:bodyDiv w:val="1"/>
      <w:marLeft w:val="0"/>
      <w:marRight w:val="0"/>
      <w:marTop w:val="0"/>
      <w:marBottom w:val="0"/>
      <w:divBdr>
        <w:top w:val="none" w:sz="0" w:space="0" w:color="auto"/>
        <w:left w:val="none" w:sz="0" w:space="0" w:color="auto"/>
        <w:bottom w:val="none" w:sz="0" w:space="0" w:color="auto"/>
        <w:right w:val="none" w:sz="0" w:space="0" w:color="auto"/>
      </w:divBdr>
    </w:div>
    <w:div w:id="730882452">
      <w:bodyDiv w:val="1"/>
      <w:marLeft w:val="0"/>
      <w:marRight w:val="0"/>
      <w:marTop w:val="0"/>
      <w:marBottom w:val="0"/>
      <w:divBdr>
        <w:top w:val="none" w:sz="0" w:space="0" w:color="auto"/>
        <w:left w:val="none" w:sz="0" w:space="0" w:color="auto"/>
        <w:bottom w:val="none" w:sz="0" w:space="0" w:color="auto"/>
        <w:right w:val="none" w:sz="0" w:space="0" w:color="auto"/>
      </w:divBdr>
    </w:div>
    <w:div w:id="730887447">
      <w:bodyDiv w:val="1"/>
      <w:marLeft w:val="0"/>
      <w:marRight w:val="0"/>
      <w:marTop w:val="0"/>
      <w:marBottom w:val="0"/>
      <w:divBdr>
        <w:top w:val="none" w:sz="0" w:space="0" w:color="auto"/>
        <w:left w:val="none" w:sz="0" w:space="0" w:color="auto"/>
        <w:bottom w:val="none" w:sz="0" w:space="0" w:color="auto"/>
        <w:right w:val="none" w:sz="0" w:space="0" w:color="auto"/>
      </w:divBdr>
    </w:div>
    <w:div w:id="731386024">
      <w:bodyDiv w:val="1"/>
      <w:marLeft w:val="0"/>
      <w:marRight w:val="0"/>
      <w:marTop w:val="0"/>
      <w:marBottom w:val="0"/>
      <w:divBdr>
        <w:top w:val="none" w:sz="0" w:space="0" w:color="auto"/>
        <w:left w:val="none" w:sz="0" w:space="0" w:color="auto"/>
        <w:bottom w:val="none" w:sz="0" w:space="0" w:color="auto"/>
        <w:right w:val="none" w:sz="0" w:space="0" w:color="auto"/>
      </w:divBdr>
    </w:div>
    <w:div w:id="731388710">
      <w:bodyDiv w:val="1"/>
      <w:marLeft w:val="0"/>
      <w:marRight w:val="0"/>
      <w:marTop w:val="0"/>
      <w:marBottom w:val="0"/>
      <w:divBdr>
        <w:top w:val="none" w:sz="0" w:space="0" w:color="auto"/>
        <w:left w:val="none" w:sz="0" w:space="0" w:color="auto"/>
        <w:bottom w:val="none" w:sz="0" w:space="0" w:color="auto"/>
        <w:right w:val="none" w:sz="0" w:space="0" w:color="auto"/>
      </w:divBdr>
    </w:div>
    <w:div w:id="731389053">
      <w:bodyDiv w:val="1"/>
      <w:marLeft w:val="0"/>
      <w:marRight w:val="0"/>
      <w:marTop w:val="0"/>
      <w:marBottom w:val="0"/>
      <w:divBdr>
        <w:top w:val="none" w:sz="0" w:space="0" w:color="auto"/>
        <w:left w:val="none" w:sz="0" w:space="0" w:color="auto"/>
        <w:bottom w:val="none" w:sz="0" w:space="0" w:color="auto"/>
        <w:right w:val="none" w:sz="0" w:space="0" w:color="auto"/>
      </w:divBdr>
    </w:div>
    <w:div w:id="731395225">
      <w:bodyDiv w:val="1"/>
      <w:marLeft w:val="0"/>
      <w:marRight w:val="0"/>
      <w:marTop w:val="0"/>
      <w:marBottom w:val="0"/>
      <w:divBdr>
        <w:top w:val="none" w:sz="0" w:space="0" w:color="auto"/>
        <w:left w:val="none" w:sz="0" w:space="0" w:color="auto"/>
        <w:bottom w:val="none" w:sz="0" w:space="0" w:color="auto"/>
        <w:right w:val="none" w:sz="0" w:space="0" w:color="auto"/>
      </w:divBdr>
    </w:div>
    <w:div w:id="731460941">
      <w:bodyDiv w:val="1"/>
      <w:marLeft w:val="0"/>
      <w:marRight w:val="0"/>
      <w:marTop w:val="0"/>
      <w:marBottom w:val="0"/>
      <w:divBdr>
        <w:top w:val="none" w:sz="0" w:space="0" w:color="auto"/>
        <w:left w:val="none" w:sz="0" w:space="0" w:color="auto"/>
        <w:bottom w:val="none" w:sz="0" w:space="0" w:color="auto"/>
        <w:right w:val="none" w:sz="0" w:space="0" w:color="auto"/>
      </w:divBdr>
    </w:div>
    <w:div w:id="731469624">
      <w:bodyDiv w:val="1"/>
      <w:marLeft w:val="0"/>
      <w:marRight w:val="0"/>
      <w:marTop w:val="0"/>
      <w:marBottom w:val="0"/>
      <w:divBdr>
        <w:top w:val="none" w:sz="0" w:space="0" w:color="auto"/>
        <w:left w:val="none" w:sz="0" w:space="0" w:color="auto"/>
        <w:bottom w:val="none" w:sz="0" w:space="0" w:color="auto"/>
        <w:right w:val="none" w:sz="0" w:space="0" w:color="auto"/>
      </w:divBdr>
    </w:div>
    <w:div w:id="731538360">
      <w:bodyDiv w:val="1"/>
      <w:marLeft w:val="0"/>
      <w:marRight w:val="0"/>
      <w:marTop w:val="0"/>
      <w:marBottom w:val="0"/>
      <w:divBdr>
        <w:top w:val="none" w:sz="0" w:space="0" w:color="auto"/>
        <w:left w:val="none" w:sz="0" w:space="0" w:color="auto"/>
        <w:bottom w:val="none" w:sz="0" w:space="0" w:color="auto"/>
        <w:right w:val="none" w:sz="0" w:space="0" w:color="auto"/>
      </w:divBdr>
    </w:div>
    <w:div w:id="731540522">
      <w:bodyDiv w:val="1"/>
      <w:marLeft w:val="0"/>
      <w:marRight w:val="0"/>
      <w:marTop w:val="0"/>
      <w:marBottom w:val="0"/>
      <w:divBdr>
        <w:top w:val="none" w:sz="0" w:space="0" w:color="auto"/>
        <w:left w:val="none" w:sz="0" w:space="0" w:color="auto"/>
        <w:bottom w:val="none" w:sz="0" w:space="0" w:color="auto"/>
        <w:right w:val="none" w:sz="0" w:space="0" w:color="auto"/>
      </w:divBdr>
    </w:div>
    <w:div w:id="731738054">
      <w:bodyDiv w:val="1"/>
      <w:marLeft w:val="0"/>
      <w:marRight w:val="0"/>
      <w:marTop w:val="0"/>
      <w:marBottom w:val="0"/>
      <w:divBdr>
        <w:top w:val="none" w:sz="0" w:space="0" w:color="auto"/>
        <w:left w:val="none" w:sz="0" w:space="0" w:color="auto"/>
        <w:bottom w:val="none" w:sz="0" w:space="0" w:color="auto"/>
        <w:right w:val="none" w:sz="0" w:space="0" w:color="auto"/>
      </w:divBdr>
    </w:div>
    <w:div w:id="731775588">
      <w:bodyDiv w:val="1"/>
      <w:marLeft w:val="0"/>
      <w:marRight w:val="0"/>
      <w:marTop w:val="0"/>
      <w:marBottom w:val="0"/>
      <w:divBdr>
        <w:top w:val="none" w:sz="0" w:space="0" w:color="auto"/>
        <w:left w:val="none" w:sz="0" w:space="0" w:color="auto"/>
        <w:bottom w:val="none" w:sz="0" w:space="0" w:color="auto"/>
        <w:right w:val="none" w:sz="0" w:space="0" w:color="auto"/>
      </w:divBdr>
    </w:div>
    <w:div w:id="731778742">
      <w:bodyDiv w:val="1"/>
      <w:marLeft w:val="0"/>
      <w:marRight w:val="0"/>
      <w:marTop w:val="0"/>
      <w:marBottom w:val="0"/>
      <w:divBdr>
        <w:top w:val="none" w:sz="0" w:space="0" w:color="auto"/>
        <w:left w:val="none" w:sz="0" w:space="0" w:color="auto"/>
        <w:bottom w:val="none" w:sz="0" w:space="0" w:color="auto"/>
        <w:right w:val="none" w:sz="0" w:space="0" w:color="auto"/>
      </w:divBdr>
    </w:div>
    <w:div w:id="731923850">
      <w:bodyDiv w:val="1"/>
      <w:marLeft w:val="0"/>
      <w:marRight w:val="0"/>
      <w:marTop w:val="0"/>
      <w:marBottom w:val="0"/>
      <w:divBdr>
        <w:top w:val="none" w:sz="0" w:space="0" w:color="auto"/>
        <w:left w:val="none" w:sz="0" w:space="0" w:color="auto"/>
        <w:bottom w:val="none" w:sz="0" w:space="0" w:color="auto"/>
        <w:right w:val="none" w:sz="0" w:space="0" w:color="auto"/>
      </w:divBdr>
    </w:div>
    <w:div w:id="732002782">
      <w:bodyDiv w:val="1"/>
      <w:marLeft w:val="0"/>
      <w:marRight w:val="0"/>
      <w:marTop w:val="0"/>
      <w:marBottom w:val="0"/>
      <w:divBdr>
        <w:top w:val="none" w:sz="0" w:space="0" w:color="auto"/>
        <w:left w:val="none" w:sz="0" w:space="0" w:color="auto"/>
        <w:bottom w:val="none" w:sz="0" w:space="0" w:color="auto"/>
        <w:right w:val="none" w:sz="0" w:space="0" w:color="auto"/>
      </w:divBdr>
    </w:div>
    <w:div w:id="732047847">
      <w:bodyDiv w:val="1"/>
      <w:marLeft w:val="0"/>
      <w:marRight w:val="0"/>
      <w:marTop w:val="0"/>
      <w:marBottom w:val="0"/>
      <w:divBdr>
        <w:top w:val="none" w:sz="0" w:space="0" w:color="auto"/>
        <w:left w:val="none" w:sz="0" w:space="0" w:color="auto"/>
        <w:bottom w:val="none" w:sz="0" w:space="0" w:color="auto"/>
        <w:right w:val="none" w:sz="0" w:space="0" w:color="auto"/>
      </w:divBdr>
    </w:div>
    <w:div w:id="732050235">
      <w:bodyDiv w:val="1"/>
      <w:marLeft w:val="0"/>
      <w:marRight w:val="0"/>
      <w:marTop w:val="0"/>
      <w:marBottom w:val="0"/>
      <w:divBdr>
        <w:top w:val="none" w:sz="0" w:space="0" w:color="auto"/>
        <w:left w:val="none" w:sz="0" w:space="0" w:color="auto"/>
        <w:bottom w:val="none" w:sz="0" w:space="0" w:color="auto"/>
        <w:right w:val="none" w:sz="0" w:space="0" w:color="auto"/>
      </w:divBdr>
    </w:div>
    <w:div w:id="732234179">
      <w:bodyDiv w:val="1"/>
      <w:marLeft w:val="0"/>
      <w:marRight w:val="0"/>
      <w:marTop w:val="0"/>
      <w:marBottom w:val="0"/>
      <w:divBdr>
        <w:top w:val="none" w:sz="0" w:space="0" w:color="auto"/>
        <w:left w:val="none" w:sz="0" w:space="0" w:color="auto"/>
        <w:bottom w:val="none" w:sz="0" w:space="0" w:color="auto"/>
        <w:right w:val="none" w:sz="0" w:space="0" w:color="auto"/>
      </w:divBdr>
    </w:div>
    <w:div w:id="732310205">
      <w:bodyDiv w:val="1"/>
      <w:marLeft w:val="0"/>
      <w:marRight w:val="0"/>
      <w:marTop w:val="0"/>
      <w:marBottom w:val="0"/>
      <w:divBdr>
        <w:top w:val="none" w:sz="0" w:space="0" w:color="auto"/>
        <w:left w:val="none" w:sz="0" w:space="0" w:color="auto"/>
        <w:bottom w:val="none" w:sz="0" w:space="0" w:color="auto"/>
        <w:right w:val="none" w:sz="0" w:space="0" w:color="auto"/>
      </w:divBdr>
    </w:div>
    <w:div w:id="732310468">
      <w:bodyDiv w:val="1"/>
      <w:marLeft w:val="0"/>
      <w:marRight w:val="0"/>
      <w:marTop w:val="0"/>
      <w:marBottom w:val="0"/>
      <w:divBdr>
        <w:top w:val="none" w:sz="0" w:space="0" w:color="auto"/>
        <w:left w:val="none" w:sz="0" w:space="0" w:color="auto"/>
        <w:bottom w:val="none" w:sz="0" w:space="0" w:color="auto"/>
        <w:right w:val="none" w:sz="0" w:space="0" w:color="auto"/>
      </w:divBdr>
    </w:div>
    <w:div w:id="732432198">
      <w:bodyDiv w:val="1"/>
      <w:marLeft w:val="0"/>
      <w:marRight w:val="0"/>
      <w:marTop w:val="0"/>
      <w:marBottom w:val="0"/>
      <w:divBdr>
        <w:top w:val="none" w:sz="0" w:space="0" w:color="auto"/>
        <w:left w:val="none" w:sz="0" w:space="0" w:color="auto"/>
        <w:bottom w:val="none" w:sz="0" w:space="0" w:color="auto"/>
        <w:right w:val="none" w:sz="0" w:space="0" w:color="auto"/>
      </w:divBdr>
    </w:div>
    <w:div w:id="732434667">
      <w:bodyDiv w:val="1"/>
      <w:marLeft w:val="0"/>
      <w:marRight w:val="0"/>
      <w:marTop w:val="0"/>
      <w:marBottom w:val="0"/>
      <w:divBdr>
        <w:top w:val="none" w:sz="0" w:space="0" w:color="auto"/>
        <w:left w:val="none" w:sz="0" w:space="0" w:color="auto"/>
        <w:bottom w:val="none" w:sz="0" w:space="0" w:color="auto"/>
        <w:right w:val="none" w:sz="0" w:space="0" w:color="auto"/>
      </w:divBdr>
    </w:div>
    <w:div w:id="732511623">
      <w:bodyDiv w:val="1"/>
      <w:marLeft w:val="0"/>
      <w:marRight w:val="0"/>
      <w:marTop w:val="0"/>
      <w:marBottom w:val="0"/>
      <w:divBdr>
        <w:top w:val="none" w:sz="0" w:space="0" w:color="auto"/>
        <w:left w:val="none" w:sz="0" w:space="0" w:color="auto"/>
        <w:bottom w:val="none" w:sz="0" w:space="0" w:color="auto"/>
        <w:right w:val="none" w:sz="0" w:space="0" w:color="auto"/>
      </w:divBdr>
    </w:div>
    <w:div w:id="732627370">
      <w:bodyDiv w:val="1"/>
      <w:marLeft w:val="0"/>
      <w:marRight w:val="0"/>
      <w:marTop w:val="0"/>
      <w:marBottom w:val="0"/>
      <w:divBdr>
        <w:top w:val="none" w:sz="0" w:space="0" w:color="auto"/>
        <w:left w:val="none" w:sz="0" w:space="0" w:color="auto"/>
        <w:bottom w:val="none" w:sz="0" w:space="0" w:color="auto"/>
        <w:right w:val="none" w:sz="0" w:space="0" w:color="auto"/>
      </w:divBdr>
    </w:div>
    <w:div w:id="732628199">
      <w:bodyDiv w:val="1"/>
      <w:marLeft w:val="0"/>
      <w:marRight w:val="0"/>
      <w:marTop w:val="0"/>
      <w:marBottom w:val="0"/>
      <w:divBdr>
        <w:top w:val="none" w:sz="0" w:space="0" w:color="auto"/>
        <w:left w:val="none" w:sz="0" w:space="0" w:color="auto"/>
        <w:bottom w:val="none" w:sz="0" w:space="0" w:color="auto"/>
        <w:right w:val="none" w:sz="0" w:space="0" w:color="auto"/>
      </w:divBdr>
    </w:div>
    <w:div w:id="732702496">
      <w:bodyDiv w:val="1"/>
      <w:marLeft w:val="0"/>
      <w:marRight w:val="0"/>
      <w:marTop w:val="0"/>
      <w:marBottom w:val="0"/>
      <w:divBdr>
        <w:top w:val="none" w:sz="0" w:space="0" w:color="auto"/>
        <w:left w:val="none" w:sz="0" w:space="0" w:color="auto"/>
        <w:bottom w:val="none" w:sz="0" w:space="0" w:color="auto"/>
        <w:right w:val="none" w:sz="0" w:space="0" w:color="auto"/>
      </w:divBdr>
    </w:div>
    <w:div w:id="732968786">
      <w:bodyDiv w:val="1"/>
      <w:marLeft w:val="0"/>
      <w:marRight w:val="0"/>
      <w:marTop w:val="0"/>
      <w:marBottom w:val="0"/>
      <w:divBdr>
        <w:top w:val="none" w:sz="0" w:space="0" w:color="auto"/>
        <w:left w:val="none" w:sz="0" w:space="0" w:color="auto"/>
        <w:bottom w:val="none" w:sz="0" w:space="0" w:color="auto"/>
        <w:right w:val="none" w:sz="0" w:space="0" w:color="auto"/>
      </w:divBdr>
    </w:div>
    <w:div w:id="733085913">
      <w:bodyDiv w:val="1"/>
      <w:marLeft w:val="0"/>
      <w:marRight w:val="0"/>
      <w:marTop w:val="0"/>
      <w:marBottom w:val="0"/>
      <w:divBdr>
        <w:top w:val="none" w:sz="0" w:space="0" w:color="auto"/>
        <w:left w:val="none" w:sz="0" w:space="0" w:color="auto"/>
        <w:bottom w:val="none" w:sz="0" w:space="0" w:color="auto"/>
        <w:right w:val="none" w:sz="0" w:space="0" w:color="auto"/>
      </w:divBdr>
    </w:div>
    <w:div w:id="733164883">
      <w:bodyDiv w:val="1"/>
      <w:marLeft w:val="0"/>
      <w:marRight w:val="0"/>
      <w:marTop w:val="0"/>
      <w:marBottom w:val="0"/>
      <w:divBdr>
        <w:top w:val="none" w:sz="0" w:space="0" w:color="auto"/>
        <w:left w:val="none" w:sz="0" w:space="0" w:color="auto"/>
        <w:bottom w:val="none" w:sz="0" w:space="0" w:color="auto"/>
        <w:right w:val="none" w:sz="0" w:space="0" w:color="auto"/>
      </w:divBdr>
    </w:div>
    <w:div w:id="733237199">
      <w:bodyDiv w:val="1"/>
      <w:marLeft w:val="0"/>
      <w:marRight w:val="0"/>
      <w:marTop w:val="0"/>
      <w:marBottom w:val="0"/>
      <w:divBdr>
        <w:top w:val="none" w:sz="0" w:space="0" w:color="auto"/>
        <w:left w:val="none" w:sz="0" w:space="0" w:color="auto"/>
        <w:bottom w:val="none" w:sz="0" w:space="0" w:color="auto"/>
        <w:right w:val="none" w:sz="0" w:space="0" w:color="auto"/>
      </w:divBdr>
    </w:div>
    <w:div w:id="733426748">
      <w:bodyDiv w:val="1"/>
      <w:marLeft w:val="0"/>
      <w:marRight w:val="0"/>
      <w:marTop w:val="0"/>
      <w:marBottom w:val="0"/>
      <w:divBdr>
        <w:top w:val="none" w:sz="0" w:space="0" w:color="auto"/>
        <w:left w:val="none" w:sz="0" w:space="0" w:color="auto"/>
        <w:bottom w:val="none" w:sz="0" w:space="0" w:color="auto"/>
        <w:right w:val="none" w:sz="0" w:space="0" w:color="auto"/>
      </w:divBdr>
    </w:div>
    <w:div w:id="733549865">
      <w:bodyDiv w:val="1"/>
      <w:marLeft w:val="0"/>
      <w:marRight w:val="0"/>
      <w:marTop w:val="0"/>
      <w:marBottom w:val="0"/>
      <w:divBdr>
        <w:top w:val="none" w:sz="0" w:space="0" w:color="auto"/>
        <w:left w:val="none" w:sz="0" w:space="0" w:color="auto"/>
        <w:bottom w:val="none" w:sz="0" w:space="0" w:color="auto"/>
        <w:right w:val="none" w:sz="0" w:space="0" w:color="auto"/>
      </w:divBdr>
    </w:div>
    <w:div w:id="733695742">
      <w:bodyDiv w:val="1"/>
      <w:marLeft w:val="0"/>
      <w:marRight w:val="0"/>
      <w:marTop w:val="0"/>
      <w:marBottom w:val="0"/>
      <w:divBdr>
        <w:top w:val="none" w:sz="0" w:space="0" w:color="auto"/>
        <w:left w:val="none" w:sz="0" w:space="0" w:color="auto"/>
        <w:bottom w:val="none" w:sz="0" w:space="0" w:color="auto"/>
        <w:right w:val="none" w:sz="0" w:space="0" w:color="auto"/>
      </w:divBdr>
    </w:div>
    <w:div w:id="733697018">
      <w:bodyDiv w:val="1"/>
      <w:marLeft w:val="0"/>
      <w:marRight w:val="0"/>
      <w:marTop w:val="0"/>
      <w:marBottom w:val="0"/>
      <w:divBdr>
        <w:top w:val="none" w:sz="0" w:space="0" w:color="auto"/>
        <w:left w:val="none" w:sz="0" w:space="0" w:color="auto"/>
        <w:bottom w:val="none" w:sz="0" w:space="0" w:color="auto"/>
        <w:right w:val="none" w:sz="0" w:space="0" w:color="auto"/>
      </w:divBdr>
    </w:div>
    <w:div w:id="733699284">
      <w:bodyDiv w:val="1"/>
      <w:marLeft w:val="0"/>
      <w:marRight w:val="0"/>
      <w:marTop w:val="0"/>
      <w:marBottom w:val="0"/>
      <w:divBdr>
        <w:top w:val="none" w:sz="0" w:space="0" w:color="auto"/>
        <w:left w:val="none" w:sz="0" w:space="0" w:color="auto"/>
        <w:bottom w:val="none" w:sz="0" w:space="0" w:color="auto"/>
        <w:right w:val="none" w:sz="0" w:space="0" w:color="auto"/>
      </w:divBdr>
    </w:div>
    <w:div w:id="733702749">
      <w:bodyDiv w:val="1"/>
      <w:marLeft w:val="0"/>
      <w:marRight w:val="0"/>
      <w:marTop w:val="0"/>
      <w:marBottom w:val="0"/>
      <w:divBdr>
        <w:top w:val="none" w:sz="0" w:space="0" w:color="auto"/>
        <w:left w:val="none" w:sz="0" w:space="0" w:color="auto"/>
        <w:bottom w:val="none" w:sz="0" w:space="0" w:color="auto"/>
        <w:right w:val="none" w:sz="0" w:space="0" w:color="auto"/>
      </w:divBdr>
    </w:div>
    <w:div w:id="733818170">
      <w:bodyDiv w:val="1"/>
      <w:marLeft w:val="0"/>
      <w:marRight w:val="0"/>
      <w:marTop w:val="0"/>
      <w:marBottom w:val="0"/>
      <w:divBdr>
        <w:top w:val="none" w:sz="0" w:space="0" w:color="auto"/>
        <w:left w:val="none" w:sz="0" w:space="0" w:color="auto"/>
        <w:bottom w:val="none" w:sz="0" w:space="0" w:color="auto"/>
        <w:right w:val="none" w:sz="0" w:space="0" w:color="auto"/>
      </w:divBdr>
    </w:div>
    <w:div w:id="733820339">
      <w:bodyDiv w:val="1"/>
      <w:marLeft w:val="0"/>
      <w:marRight w:val="0"/>
      <w:marTop w:val="0"/>
      <w:marBottom w:val="0"/>
      <w:divBdr>
        <w:top w:val="none" w:sz="0" w:space="0" w:color="auto"/>
        <w:left w:val="none" w:sz="0" w:space="0" w:color="auto"/>
        <w:bottom w:val="none" w:sz="0" w:space="0" w:color="auto"/>
        <w:right w:val="none" w:sz="0" w:space="0" w:color="auto"/>
      </w:divBdr>
    </w:div>
    <w:div w:id="734083593">
      <w:bodyDiv w:val="1"/>
      <w:marLeft w:val="0"/>
      <w:marRight w:val="0"/>
      <w:marTop w:val="0"/>
      <w:marBottom w:val="0"/>
      <w:divBdr>
        <w:top w:val="none" w:sz="0" w:space="0" w:color="auto"/>
        <w:left w:val="none" w:sz="0" w:space="0" w:color="auto"/>
        <w:bottom w:val="none" w:sz="0" w:space="0" w:color="auto"/>
        <w:right w:val="none" w:sz="0" w:space="0" w:color="auto"/>
      </w:divBdr>
    </w:div>
    <w:div w:id="734358162">
      <w:bodyDiv w:val="1"/>
      <w:marLeft w:val="0"/>
      <w:marRight w:val="0"/>
      <w:marTop w:val="0"/>
      <w:marBottom w:val="0"/>
      <w:divBdr>
        <w:top w:val="none" w:sz="0" w:space="0" w:color="auto"/>
        <w:left w:val="none" w:sz="0" w:space="0" w:color="auto"/>
        <w:bottom w:val="none" w:sz="0" w:space="0" w:color="auto"/>
        <w:right w:val="none" w:sz="0" w:space="0" w:color="auto"/>
      </w:divBdr>
    </w:div>
    <w:div w:id="734471353">
      <w:bodyDiv w:val="1"/>
      <w:marLeft w:val="0"/>
      <w:marRight w:val="0"/>
      <w:marTop w:val="0"/>
      <w:marBottom w:val="0"/>
      <w:divBdr>
        <w:top w:val="none" w:sz="0" w:space="0" w:color="auto"/>
        <w:left w:val="none" w:sz="0" w:space="0" w:color="auto"/>
        <w:bottom w:val="none" w:sz="0" w:space="0" w:color="auto"/>
        <w:right w:val="none" w:sz="0" w:space="0" w:color="auto"/>
      </w:divBdr>
    </w:div>
    <w:div w:id="734475248">
      <w:bodyDiv w:val="1"/>
      <w:marLeft w:val="0"/>
      <w:marRight w:val="0"/>
      <w:marTop w:val="0"/>
      <w:marBottom w:val="0"/>
      <w:divBdr>
        <w:top w:val="none" w:sz="0" w:space="0" w:color="auto"/>
        <w:left w:val="none" w:sz="0" w:space="0" w:color="auto"/>
        <w:bottom w:val="none" w:sz="0" w:space="0" w:color="auto"/>
        <w:right w:val="none" w:sz="0" w:space="0" w:color="auto"/>
      </w:divBdr>
    </w:div>
    <w:div w:id="734745464">
      <w:bodyDiv w:val="1"/>
      <w:marLeft w:val="0"/>
      <w:marRight w:val="0"/>
      <w:marTop w:val="0"/>
      <w:marBottom w:val="0"/>
      <w:divBdr>
        <w:top w:val="none" w:sz="0" w:space="0" w:color="auto"/>
        <w:left w:val="none" w:sz="0" w:space="0" w:color="auto"/>
        <w:bottom w:val="none" w:sz="0" w:space="0" w:color="auto"/>
        <w:right w:val="none" w:sz="0" w:space="0" w:color="auto"/>
      </w:divBdr>
    </w:div>
    <w:div w:id="734857351">
      <w:bodyDiv w:val="1"/>
      <w:marLeft w:val="0"/>
      <w:marRight w:val="0"/>
      <w:marTop w:val="0"/>
      <w:marBottom w:val="0"/>
      <w:divBdr>
        <w:top w:val="none" w:sz="0" w:space="0" w:color="auto"/>
        <w:left w:val="none" w:sz="0" w:space="0" w:color="auto"/>
        <w:bottom w:val="none" w:sz="0" w:space="0" w:color="auto"/>
        <w:right w:val="none" w:sz="0" w:space="0" w:color="auto"/>
      </w:divBdr>
    </w:div>
    <w:div w:id="734858245">
      <w:bodyDiv w:val="1"/>
      <w:marLeft w:val="0"/>
      <w:marRight w:val="0"/>
      <w:marTop w:val="0"/>
      <w:marBottom w:val="0"/>
      <w:divBdr>
        <w:top w:val="none" w:sz="0" w:space="0" w:color="auto"/>
        <w:left w:val="none" w:sz="0" w:space="0" w:color="auto"/>
        <w:bottom w:val="none" w:sz="0" w:space="0" w:color="auto"/>
        <w:right w:val="none" w:sz="0" w:space="0" w:color="auto"/>
      </w:divBdr>
    </w:div>
    <w:div w:id="734932270">
      <w:bodyDiv w:val="1"/>
      <w:marLeft w:val="0"/>
      <w:marRight w:val="0"/>
      <w:marTop w:val="0"/>
      <w:marBottom w:val="0"/>
      <w:divBdr>
        <w:top w:val="none" w:sz="0" w:space="0" w:color="auto"/>
        <w:left w:val="none" w:sz="0" w:space="0" w:color="auto"/>
        <w:bottom w:val="none" w:sz="0" w:space="0" w:color="auto"/>
        <w:right w:val="none" w:sz="0" w:space="0" w:color="auto"/>
      </w:divBdr>
    </w:div>
    <w:div w:id="734934601">
      <w:bodyDiv w:val="1"/>
      <w:marLeft w:val="0"/>
      <w:marRight w:val="0"/>
      <w:marTop w:val="0"/>
      <w:marBottom w:val="0"/>
      <w:divBdr>
        <w:top w:val="none" w:sz="0" w:space="0" w:color="auto"/>
        <w:left w:val="none" w:sz="0" w:space="0" w:color="auto"/>
        <w:bottom w:val="none" w:sz="0" w:space="0" w:color="auto"/>
        <w:right w:val="none" w:sz="0" w:space="0" w:color="auto"/>
      </w:divBdr>
    </w:div>
    <w:div w:id="735008151">
      <w:bodyDiv w:val="1"/>
      <w:marLeft w:val="0"/>
      <w:marRight w:val="0"/>
      <w:marTop w:val="0"/>
      <w:marBottom w:val="0"/>
      <w:divBdr>
        <w:top w:val="none" w:sz="0" w:space="0" w:color="auto"/>
        <w:left w:val="none" w:sz="0" w:space="0" w:color="auto"/>
        <w:bottom w:val="none" w:sz="0" w:space="0" w:color="auto"/>
        <w:right w:val="none" w:sz="0" w:space="0" w:color="auto"/>
      </w:divBdr>
    </w:div>
    <w:div w:id="735208309">
      <w:bodyDiv w:val="1"/>
      <w:marLeft w:val="0"/>
      <w:marRight w:val="0"/>
      <w:marTop w:val="0"/>
      <w:marBottom w:val="0"/>
      <w:divBdr>
        <w:top w:val="none" w:sz="0" w:space="0" w:color="auto"/>
        <w:left w:val="none" w:sz="0" w:space="0" w:color="auto"/>
        <w:bottom w:val="none" w:sz="0" w:space="0" w:color="auto"/>
        <w:right w:val="none" w:sz="0" w:space="0" w:color="auto"/>
      </w:divBdr>
    </w:div>
    <w:div w:id="735275840">
      <w:bodyDiv w:val="1"/>
      <w:marLeft w:val="0"/>
      <w:marRight w:val="0"/>
      <w:marTop w:val="0"/>
      <w:marBottom w:val="0"/>
      <w:divBdr>
        <w:top w:val="none" w:sz="0" w:space="0" w:color="auto"/>
        <w:left w:val="none" w:sz="0" w:space="0" w:color="auto"/>
        <w:bottom w:val="none" w:sz="0" w:space="0" w:color="auto"/>
        <w:right w:val="none" w:sz="0" w:space="0" w:color="auto"/>
      </w:divBdr>
    </w:div>
    <w:div w:id="735321581">
      <w:bodyDiv w:val="1"/>
      <w:marLeft w:val="0"/>
      <w:marRight w:val="0"/>
      <w:marTop w:val="0"/>
      <w:marBottom w:val="0"/>
      <w:divBdr>
        <w:top w:val="none" w:sz="0" w:space="0" w:color="auto"/>
        <w:left w:val="none" w:sz="0" w:space="0" w:color="auto"/>
        <w:bottom w:val="none" w:sz="0" w:space="0" w:color="auto"/>
        <w:right w:val="none" w:sz="0" w:space="0" w:color="auto"/>
      </w:divBdr>
    </w:div>
    <w:div w:id="735322001">
      <w:bodyDiv w:val="1"/>
      <w:marLeft w:val="0"/>
      <w:marRight w:val="0"/>
      <w:marTop w:val="0"/>
      <w:marBottom w:val="0"/>
      <w:divBdr>
        <w:top w:val="none" w:sz="0" w:space="0" w:color="auto"/>
        <w:left w:val="none" w:sz="0" w:space="0" w:color="auto"/>
        <w:bottom w:val="none" w:sz="0" w:space="0" w:color="auto"/>
        <w:right w:val="none" w:sz="0" w:space="0" w:color="auto"/>
      </w:divBdr>
    </w:div>
    <w:div w:id="735395163">
      <w:bodyDiv w:val="1"/>
      <w:marLeft w:val="0"/>
      <w:marRight w:val="0"/>
      <w:marTop w:val="0"/>
      <w:marBottom w:val="0"/>
      <w:divBdr>
        <w:top w:val="none" w:sz="0" w:space="0" w:color="auto"/>
        <w:left w:val="none" w:sz="0" w:space="0" w:color="auto"/>
        <w:bottom w:val="none" w:sz="0" w:space="0" w:color="auto"/>
        <w:right w:val="none" w:sz="0" w:space="0" w:color="auto"/>
      </w:divBdr>
    </w:div>
    <w:div w:id="735476405">
      <w:bodyDiv w:val="1"/>
      <w:marLeft w:val="0"/>
      <w:marRight w:val="0"/>
      <w:marTop w:val="0"/>
      <w:marBottom w:val="0"/>
      <w:divBdr>
        <w:top w:val="none" w:sz="0" w:space="0" w:color="auto"/>
        <w:left w:val="none" w:sz="0" w:space="0" w:color="auto"/>
        <w:bottom w:val="none" w:sz="0" w:space="0" w:color="auto"/>
        <w:right w:val="none" w:sz="0" w:space="0" w:color="auto"/>
      </w:divBdr>
    </w:div>
    <w:div w:id="735586519">
      <w:bodyDiv w:val="1"/>
      <w:marLeft w:val="0"/>
      <w:marRight w:val="0"/>
      <w:marTop w:val="0"/>
      <w:marBottom w:val="0"/>
      <w:divBdr>
        <w:top w:val="none" w:sz="0" w:space="0" w:color="auto"/>
        <w:left w:val="none" w:sz="0" w:space="0" w:color="auto"/>
        <w:bottom w:val="none" w:sz="0" w:space="0" w:color="auto"/>
        <w:right w:val="none" w:sz="0" w:space="0" w:color="auto"/>
      </w:divBdr>
    </w:div>
    <w:div w:id="735707621">
      <w:bodyDiv w:val="1"/>
      <w:marLeft w:val="0"/>
      <w:marRight w:val="0"/>
      <w:marTop w:val="0"/>
      <w:marBottom w:val="0"/>
      <w:divBdr>
        <w:top w:val="none" w:sz="0" w:space="0" w:color="auto"/>
        <w:left w:val="none" w:sz="0" w:space="0" w:color="auto"/>
        <w:bottom w:val="none" w:sz="0" w:space="0" w:color="auto"/>
        <w:right w:val="none" w:sz="0" w:space="0" w:color="auto"/>
      </w:divBdr>
    </w:div>
    <w:div w:id="735739170">
      <w:bodyDiv w:val="1"/>
      <w:marLeft w:val="0"/>
      <w:marRight w:val="0"/>
      <w:marTop w:val="0"/>
      <w:marBottom w:val="0"/>
      <w:divBdr>
        <w:top w:val="none" w:sz="0" w:space="0" w:color="auto"/>
        <w:left w:val="none" w:sz="0" w:space="0" w:color="auto"/>
        <w:bottom w:val="none" w:sz="0" w:space="0" w:color="auto"/>
        <w:right w:val="none" w:sz="0" w:space="0" w:color="auto"/>
      </w:divBdr>
    </w:div>
    <w:div w:id="735780468">
      <w:bodyDiv w:val="1"/>
      <w:marLeft w:val="0"/>
      <w:marRight w:val="0"/>
      <w:marTop w:val="0"/>
      <w:marBottom w:val="0"/>
      <w:divBdr>
        <w:top w:val="none" w:sz="0" w:space="0" w:color="auto"/>
        <w:left w:val="none" w:sz="0" w:space="0" w:color="auto"/>
        <w:bottom w:val="none" w:sz="0" w:space="0" w:color="auto"/>
        <w:right w:val="none" w:sz="0" w:space="0" w:color="auto"/>
      </w:divBdr>
    </w:div>
    <w:div w:id="735858300">
      <w:bodyDiv w:val="1"/>
      <w:marLeft w:val="0"/>
      <w:marRight w:val="0"/>
      <w:marTop w:val="0"/>
      <w:marBottom w:val="0"/>
      <w:divBdr>
        <w:top w:val="none" w:sz="0" w:space="0" w:color="auto"/>
        <w:left w:val="none" w:sz="0" w:space="0" w:color="auto"/>
        <w:bottom w:val="none" w:sz="0" w:space="0" w:color="auto"/>
        <w:right w:val="none" w:sz="0" w:space="0" w:color="auto"/>
      </w:divBdr>
    </w:div>
    <w:div w:id="735932085">
      <w:bodyDiv w:val="1"/>
      <w:marLeft w:val="0"/>
      <w:marRight w:val="0"/>
      <w:marTop w:val="0"/>
      <w:marBottom w:val="0"/>
      <w:divBdr>
        <w:top w:val="none" w:sz="0" w:space="0" w:color="auto"/>
        <w:left w:val="none" w:sz="0" w:space="0" w:color="auto"/>
        <w:bottom w:val="none" w:sz="0" w:space="0" w:color="auto"/>
        <w:right w:val="none" w:sz="0" w:space="0" w:color="auto"/>
      </w:divBdr>
    </w:div>
    <w:div w:id="735932703">
      <w:bodyDiv w:val="1"/>
      <w:marLeft w:val="0"/>
      <w:marRight w:val="0"/>
      <w:marTop w:val="0"/>
      <w:marBottom w:val="0"/>
      <w:divBdr>
        <w:top w:val="none" w:sz="0" w:space="0" w:color="auto"/>
        <w:left w:val="none" w:sz="0" w:space="0" w:color="auto"/>
        <w:bottom w:val="none" w:sz="0" w:space="0" w:color="auto"/>
        <w:right w:val="none" w:sz="0" w:space="0" w:color="auto"/>
      </w:divBdr>
    </w:div>
    <w:div w:id="735932890">
      <w:bodyDiv w:val="1"/>
      <w:marLeft w:val="0"/>
      <w:marRight w:val="0"/>
      <w:marTop w:val="0"/>
      <w:marBottom w:val="0"/>
      <w:divBdr>
        <w:top w:val="none" w:sz="0" w:space="0" w:color="auto"/>
        <w:left w:val="none" w:sz="0" w:space="0" w:color="auto"/>
        <w:bottom w:val="none" w:sz="0" w:space="0" w:color="auto"/>
        <w:right w:val="none" w:sz="0" w:space="0" w:color="auto"/>
      </w:divBdr>
    </w:div>
    <w:div w:id="736052695">
      <w:bodyDiv w:val="1"/>
      <w:marLeft w:val="0"/>
      <w:marRight w:val="0"/>
      <w:marTop w:val="0"/>
      <w:marBottom w:val="0"/>
      <w:divBdr>
        <w:top w:val="none" w:sz="0" w:space="0" w:color="auto"/>
        <w:left w:val="none" w:sz="0" w:space="0" w:color="auto"/>
        <w:bottom w:val="none" w:sz="0" w:space="0" w:color="auto"/>
        <w:right w:val="none" w:sz="0" w:space="0" w:color="auto"/>
      </w:divBdr>
    </w:div>
    <w:div w:id="736172921">
      <w:bodyDiv w:val="1"/>
      <w:marLeft w:val="0"/>
      <w:marRight w:val="0"/>
      <w:marTop w:val="0"/>
      <w:marBottom w:val="0"/>
      <w:divBdr>
        <w:top w:val="none" w:sz="0" w:space="0" w:color="auto"/>
        <w:left w:val="none" w:sz="0" w:space="0" w:color="auto"/>
        <w:bottom w:val="none" w:sz="0" w:space="0" w:color="auto"/>
        <w:right w:val="none" w:sz="0" w:space="0" w:color="auto"/>
      </w:divBdr>
    </w:div>
    <w:div w:id="736321434">
      <w:bodyDiv w:val="1"/>
      <w:marLeft w:val="0"/>
      <w:marRight w:val="0"/>
      <w:marTop w:val="0"/>
      <w:marBottom w:val="0"/>
      <w:divBdr>
        <w:top w:val="none" w:sz="0" w:space="0" w:color="auto"/>
        <w:left w:val="none" w:sz="0" w:space="0" w:color="auto"/>
        <w:bottom w:val="none" w:sz="0" w:space="0" w:color="auto"/>
        <w:right w:val="none" w:sz="0" w:space="0" w:color="auto"/>
      </w:divBdr>
    </w:div>
    <w:div w:id="736366394">
      <w:bodyDiv w:val="1"/>
      <w:marLeft w:val="0"/>
      <w:marRight w:val="0"/>
      <w:marTop w:val="0"/>
      <w:marBottom w:val="0"/>
      <w:divBdr>
        <w:top w:val="none" w:sz="0" w:space="0" w:color="auto"/>
        <w:left w:val="none" w:sz="0" w:space="0" w:color="auto"/>
        <w:bottom w:val="none" w:sz="0" w:space="0" w:color="auto"/>
        <w:right w:val="none" w:sz="0" w:space="0" w:color="auto"/>
      </w:divBdr>
    </w:div>
    <w:div w:id="736513871">
      <w:bodyDiv w:val="1"/>
      <w:marLeft w:val="0"/>
      <w:marRight w:val="0"/>
      <w:marTop w:val="0"/>
      <w:marBottom w:val="0"/>
      <w:divBdr>
        <w:top w:val="none" w:sz="0" w:space="0" w:color="auto"/>
        <w:left w:val="none" w:sz="0" w:space="0" w:color="auto"/>
        <w:bottom w:val="none" w:sz="0" w:space="0" w:color="auto"/>
        <w:right w:val="none" w:sz="0" w:space="0" w:color="auto"/>
      </w:divBdr>
    </w:div>
    <w:div w:id="736822271">
      <w:bodyDiv w:val="1"/>
      <w:marLeft w:val="0"/>
      <w:marRight w:val="0"/>
      <w:marTop w:val="0"/>
      <w:marBottom w:val="0"/>
      <w:divBdr>
        <w:top w:val="none" w:sz="0" w:space="0" w:color="auto"/>
        <w:left w:val="none" w:sz="0" w:space="0" w:color="auto"/>
        <w:bottom w:val="none" w:sz="0" w:space="0" w:color="auto"/>
        <w:right w:val="none" w:sz="0" w:space="0" w:color="auto"/>
      </w:divBdr>
    </w:div>
    <w:div w:id="736826647">
      <w:bodyDiv w:val="1"/>
      <w:marLeft w:val="0"/>
      <w:marRight w:val="0"/>
      <w:marTop w:val="0"/>
      <w:marBottom w:val="0"/>
      <w:divBdr>
        <w:top w:val="none" w:sz="0" w:space="0" w:color="auto"/>
        <w:left w:val="none" w:sz="0" w:space="0" w:color="auto"/>
        <w:bottom w:val="none" w:sz="0" w:space="0" w:color="auto"/>
        <w:right w:val="none" w:sz="0" w:space="0" w:color="auto"/>
      </w:divBdr>
    </w:div>
    <w:div w:id="736973130">
      <w:bodyDiv w:val="1"/>
      <w:marLeft w:val="0"/>
      <w:marRight w:val="0"/>
      <w:marTop w:val="0"/>
      <w:marBottom w:val="0"/>
      <w:divBdr>
        <w:top w:val="none" w:sz="0" w:space="0" w:color="auto"/>
        <w:left w:val="none" w:sz="0" w:space="0" w:color="auto"/>
        <w:bottom w:val="none" w:sz="0" w:space="0" w:color="auto"/>
        <w:right w:val="none" w:sz="0" w:space="0" w:color="auto"/>
      </w:divBdr>
    </w:div>
    <w:div w:id="736974530">
      <w:bodyDiv w:val="1"/>
      <w:marLeft w:val="0"/>
      <w:marRight w:val="0"/>
      <w:marTop w:val="0"/>
      <w:marBottom w:val="0"/>
      <w:divBdr>
        <w:top w:val="none" w:sz="0" w:space="0" w:color="auto"/>
        <w:left w:val="none" w:sz="0" w:space="0" w:color="auto"/>
        <w:bottom w:val="none" w:sz="0" w:space="0" w:color="auto"/>
        <w:right w:val="none" w:sz="0" w:space="0" w:color="auto"/>
      </w:divBdr>
    </w:div>
    <w:div w:id="736981058">
      <w:bodyDiv w:val="1"/>
      <w:marLeft w:val="0"/>
      <w:marRight w:val="0"/>
      <w:marTop w:val="0"/>
      <w:marBottom w:val="0"/>
      <w:divBdr>
        <w:top w:val="none" w:sz="0" w:space="0" w:color="auto"/>
        <w:left w:val="none" w:sz="0" w:space="0" w:color="auto"/>
        <w:bottom w:val="none" w:sz="0" w:space="0" w:color="auto"/>
        <w:right w:val="none" w:sz="0" w:space="0" w:color="auto"/>
      </w:divBdr>
    </w:div>
    <w:div w:id="737021964">
      <w:bodyDiv w:val="1"/>
      <w:marLeft w:val="0"/>
      <w:marRight w:val="0"/>
      <w:marTop w:val="0"/>
      <w:marBottom w:val="0"/>
      <w:divBdr>
        <w:top w:val="none" w:sz="0" w:space="0" w:color="auto"/>
        <w:left w:val="none" w:sz="0" w:space="0" w:color="auto"/>
        <w:bottom w:val="none" w:sz="0" w:space="0" w:color="auto"/>
        <w:right w:val="none" w:sz="0" w:space="0" w:color="auto"/>
      </w:divBdr>
    </w:div>
    <w:div w:id="737093052">
      <w:bodyDiv w:val="1"/>
      <w:marLeft w:val="0"/>
      <w:marRight w:val="0"/>
      <w:marTop w:val="0"/>
      <w:marBottom w:val="0"/>
      <w:divBdr>
        <w:top w:val="none" w:sz="0" w:space="0" w:color="auto"/>
        <w:left w:val="none" w:sz="0" w:space="0" w:color="auto"/>
        <w:bottom w:val="none" w:sz="0" w:space="0" w:color="auto"/>
        <w:right w:val="none" w:sz="0" w:space="0" w:color="auto"/>
      </w:divBdr>
    </w:div>
    <w:div w:id="737097621">
      <w:bodyDiv w:val="1"/>
      <w:marLeft w:val="0"/>
      <w:marRight w:val="0"/>
      <w:marTop w:val="0"/>
      <w:marBottom w:val="0"/>
      <w:divBdr>
        <w:top w:val="none" w:sz="0" w:space="0" w:color="auto"/>
        <w:left w:val="none" w:sz="0" w:space="0" w:color="auto"/>
        <w:bottom w:val="none" w:sz="0" w:space="0" w:color="auto"/>
        <w:right w:val="none" w:sz="0" w:space="0" w:color="auto"/>
      </w:divBdr>
    </w:div>
    <w:div w:id="737167634">
      <w:bodyDiv w:val="1"/>
      <w:marLeft w:val="0"/>
      <w:marRight w:val="0"/>
      <w:marTop w:val="0"/>
      <w:marBottom w:val="0"/>
      <w:divBdr>
        <w:top w:val="none" w:sz="0" w:space="0" w:color="auto"/>
        <w:left w:val="none" w:sz="0" w:space="0" w:color="auto"/>
        <w:bottom w:val="none" w:sz="0" w:space="0" w:color="auto"/>
        <w:right w:val="none" w:sz="0" w:space="0" w:color="auto"/>
      </w:divBdr>
    </w:div>
    <w:div w:id="737214702">
      <w:bodyDiv w:val="1"/>
      <w:marLeft w:val="0"/>
      <w:marRight w:val="0"/>
      <w:marTop w:val="0"/>
      <w:marBottom w:val="0"/>
      <w:divBdr>
        <w:top w:val="none" w:sz="0" w:space="0" w:color="auto"/>
        <w:left w:val="none" w:sz="0" w:space="0" w:color="auto"/>
        <w:bottom w:val="none" w:sz="0" w:space="0" w:color="auto"/>
        <w:right w:val="none" w:sz="0" w:space="0" w:color="auto"/>
      </w:divBdr>
    </w:div>
    <w:div w:id="737283747">
      <w:bodyDiv w:val="1"/>
      <w:marLeft w:val="0"/>
      <w:marRight w:val="0"/>
      <w:marTop w:val="0"/>
      <w:marBottom w:val="0"/>
      <w:divBdr>
        <w:top w:val="none" w:sz="0" w:space="0" w:color="auto"/>
        <w:left w:val="none" w:sz="0" w:space="0" w:color="auto"/>
        <w:bottom w:val="none" w:sz="0" w:space="0" w:color="auto"/>
        <w:right w:val="none" w:sz="0" w:space="0" w:color="auto"/>
      </w:divBdr>
    </w:div>
    <w:div w:id="737287961">
      <w:bodyDiv w:val="1"/>
      <w:marLeft w:val="0"/>
      <w:marRight w:val="0"/>
      <w:marTop w:val="0"/>
      <w:marBottom w:val="0"/>
      <w:divBdr>
        <w:top w:val="none" w:sz="0" w:space="0" w:color="auto"/>
        <w:left w:val="none" w:sz="0" w:space="0" w:color="auto"/>
        <w:bottom w:val="none" w:sz="0" w:space="0" w:color="auto"/>
        <w:right w:val="none" w:sz="0" w:space="0" w:color="auto"/>
      </w:divBdr>
    </w:div>
    <w:div w:id="737288042">
      <w:bodyDiv w:val="1"/>
      <w:marLeft w:val="0"/>
      <w:marRight w:val="0"/>
      <w:marTop w:val="0"/>
      <w:marBottom w:val="0"/>
      <w:divBdr>
        <w:top w:val="none" w:sz="0" w:space="0" w:color="auto"/>
        <w:left w:val="none" w:sz="0" w:space="0" w:color="auto"/>
        <w:bottom w:val="none" w:sz="0" w:space="0" w:color="auto"/>
        <w:right w:val="none" w:sz="0" w:space="0" w:color="auto"/>
      </w:divBdr>
    </w:div>
    <w:div w:id="737359692">
      <w:bodyDiv w:val="1"/>
      <w:marLeft w:val="0"/>
      <w:marRight w:val="0"/>
      <w:marTop w:val="0"/>
      <w:marBottom w:val="0"/>
      <w:divBdr>
        <w:top w:val="none" w:sz="0" w:space="0" w:color="auto"/>
        <w:left w:val="none" w:sz="0" w:space="0" w:color="auto"/>
        <w:bottom w:val="none" w:sz="0" w:space="0" w:color="auto"/>
        <w:right w:val="none" w:sz="0" w:space="0" w:color="auto"/>
      </w:divBdr>
    </w:div>
    <w:div w:id="737555041">
      <w:bodyDiv w:val="1"/>
      <w:marLeft w:val="0"/>
      <w:marRight w:val="0"/>
      <w:marTop w:val="0"/>
      <w:marBottom w:val="0"/>
      <w:divBdr>
        <w:top w:val="none" w:sz="0" w:space="0" w:color="auto"/>
        <w:left w:val="none" w:sz="0" w:space="0" w:color="auto"/>
        <w:bottom w:val="none" w:sz="0" w:space="0" w:color="auto"/>
        <w:right w:val="none" w:sz="0" w:space="0" w:color="auto"/>
      </w:divBdr>
    </w:div>
    <w:div w:id="737561271">
      <w:bodyDiv w:val="1"/>
      <w:marLeft w:val="0"/>
      <w:marRight w:val="0"/>
      <w:marTop w:val="0"/>
      <w:marBottom w:val="0"/>
      <w:divBdr>
        <w:top w:val="none" w:sz="0" w:space="0" w:color="auto"/>
        <w:left w:val="none" w:sz="0" w:space="0" w:color="auto"/>
        <w:bottom w:val="none" w:sz="0" w:space="0" w:color="auto"/>
        <w:right w:val="none" w:sz="0" w:space="0" w:color="auto"/>
      </w:divBdr>
    </w:div>
    <w:div w:id="737629518">
      <w:bodyDiv w:val="1"/>
      <w:marLeft w:val="0"/>
      <w:marRight w:val="0"/>
      <w:marTop w:val="0"/>
      <w:marBottom w:val="0"/>
      <w:divBdr>
        <w:top w:val="none" w:sz="0" w:space="0" w:color="auto"/>
        <w:left w:val="none" w:sz="0" w:space="0" w:color="auto"/>
        <w:bottom w:val="none" w:sz="0" w:space="0" w:color="auto"/>
        <w:right w:val="none" w:sz="0" w:space="0" w:color="auto"/>
      </w:divBdr>
    </w:div>
    <w:div w:id="737630696">
      <w:bodyDiv w:val="1"/>
      <w:marLeft w:val="0"/>
      <w:marRight w:val="0"/>
      <w:marTop w:val="0"/>
      <w:marBottom w:val="0"/>
      <w:divBdr>
        <w:top w:val="none" w:sz="0" w:space="0" w:color="auto"/>
        <w:left w:val="none" w:sz="0" w:space="0" w:color="auto"/>
        <w:bottom w:val="none" w:sz="0" w:space="0" w:color="auto"/>
        <w:right w:val="none" w:sz="0" w:space="0" w:color="auto"/>
      </w:divBdr>
    </w:div>
    <w:div w:id="737631450">
      <w:bodyDiv w:val="1"/>
      <w:marLeft w:val="0"/>
      <w:marRight w:val="0"/>
      <w:marTop w:val="0"/>
      <w:marBottom w:val="0"/>
      <w:divBdr>
        <w:top w:val="none" w:sz="0" w:space="0" w:color="auto"/>
        <w:left w:val="none" w:sz="0" w:space="0" w:color="auto"/>
        <w:bottom w:val="none" w:sz="0" w:space="0" w:color="auto"/>
        <w:right w:val="none" w:sz="0" w:space="0" w:color="auto"/>
      </w:divBdr>
    </w:div>
    <w:div w:id="737633881">
      <w:bodyDiv w:val="1"/>
      <w:marLeft w:val="0"/>
      <w:marRight w:val="0"/>
      <w:marTop w:val="0"/>
      <w:marBottom w:val="0"/>
      <w:divBdr>
        <w:top w:val="none" w:sz="0" w:space="0" w:color="auto"/>
        <w:left w:val="none" w:sz="0" w:space="0" w:color="auto"/>
        <w:bottom w:val="none" w:sz="0" w:space="0" w:color="auto"/>
        <w:right w:val="none" w:sz="0" w:space="0" w:color="auto"/>
      </w:divBdr>
    </w:div>
    <w:div w:id="737753304">
      <w:bodyDiv w:val="1"/>
      <w:marLeft w:val="0"/>
      <w:marRight w:val="0"/>
      <w:marTop w:val="0"/>
      <w:marBottom w:val="0"/>
      <w:divBdr>
        <w:top w:val="none" w:sz="0" w:space="0" w:color="auto"/>
        <w:left w:val="none" w:sz="0" w:space="0" w:color="auto"/>
        <w:bottom w:val="none" w:sz="0" w:space="0" w:color="auto"/>
        <w:right w:val="none" w:sz="0" w:space="0" w:color="auto"/>
      </w:divBdr>
    </w:div>
    <w:div w:id="737869858">
      <w:bodyDiv w:val="1"/>
      <w:marLeft w:val="0"/>
      <w:marRight w:val="0"/>
      <w:marTop w:val="0"/>
      <w:marBottom w:val="0"/>
      <w:divBdr>
        <w:top w:val="none" w:sz="0" w:space="0" w:color="auto"/>
        <w:left w:val="none" w:sz="0" w:space="0" w:color="auto"/>
        <w:bottom w:val="none" w:sz="0" w:space="0" w:color="auto"/>
        <w:right w:val="none" w:sz="0" w:space="0" w:color="auto"/>
      </w:divBdr>
    </w:div>
    <w:div w:id="737943330">
      <w:bodyDiv w:val="1"/>
      <w:marLeft w:val="0"/>
      <w:marRight w:val="0"/>
      <w:marTop w:val="0"/>
      <w:marBottom w:val="0"/>
      <w:divBdr>
        <w:top w:val="none" w:sz="0" w:space="0" w:color="auto"/>
        <w:left w:val="none" w:sz="0" w:space="0" w:color="auto"/>
        <w:bottom w:val="none" w:sz="0" w:space="0" w:color="auto"/>
        <w:right w:val="none" w:sz="0" w:space="0" w:color="auto"/>
      </w:divBdr>
    </w:div>
    <w:div w:id="737943982">
      <w:bodyDiv w:val="1"/>
      <w:marLeft w:val="0"/>
      <w:marRight w:val="0"/>
      <w:marTop w:val="0"/>
      <w:marBottom w:val="0"/>
      <w:divBdr>
        <w:top w:val="none" w:sz="0" w:space="0" w:color="auto"/>
        <w:left w:val="none" w:sz="0" w:space="0" w:color="auto"/>
        <w:bottom w:val="none" w:sz="0" w:space="0" w:color="auto"/>
        <w:right w:val="none" w:sz="0" w:space="0" w:color="auto"/>
      </w:divBdr>
    </w:div>
    <w:div w:id="738021774">
      <w:bodyDiv w:val="1"/>
      <w:marLeft w:val="0"/>
      <w:marRight w:val="0"/>
      <w:marTop w:val="0"/>
      <w:marBottom w:val="0"/>
      <w:divBdr>
        <w:top w:val="none" w:sz="0" w:space="0" w:color="auto"/>
        <w:left w:val="none" w:sz="0" w:space="0" w:color="auto"/>
        <w:bottom w:val="none" w:sz="0" w:space="0" w:color="auto"/>
        <w:right w:val="none" w:sz="0" w:space="0" w:color="auto"/>
      </w:divBdr>
    </w:div>
    <w:div w:id="738133440">
      <w:bodyDiv w:val="1"/>
      <w:marLeft w:val="0"/>
      <w:marRight w:val="0"/>
      <w:marTop w:val="0"/>
      <w:marBottom w:val="0"/>
      <w:divBdr>
        <w:top w:val="none" w:sz="0" w:space="0" w:color="auto"/>
        <w:left w:val="none" w:sz="0" w:space="0" w:color="auto"/>
        <w:bottom w:val="none" w:sz="0" w:space="0" w:color="auto"/>
        <w:right w:val="none" w:sz="0" w:space="0" w:color="auto"/>
      </w:divBdr>
    </w:div>
    <w:div w:id="738208102">
      <w:bodyDiv w:val="1"/>
      <w:marLeft w:val="0"/>
      <w:marRight w:val="0"/>
      <w:marTop w:val="0"/>
      <w:marBottom w:val="0"/>
      <w:divBdr>
        <w:top w:val="none" w:sz="0" w:space="0" w:color="auto"/>
        <w:left w:val="none" w:sz="0" w:space="0" w:color="auto"/>
        <w:bottom w:val="none" w:sz="0" w:space="0" w:color="auto"/>
        <w:right w:val="none" w:sz="0" w:space="0" w:color="auto"/>
      </w:divBdr>
    </w:div>
    <w:div w:id="738289727">
      <w:bodyDiv w:val="1"/>
      <w:marLeft w:val="0"/>
      <w:marRight w:val="0"/>
      <w:marTop w:val="0"/>
      <w:marBottom w:val="0"/>
      <w:divBdr>
        <w:top w:val="none" w:sz="0" w:space="0" w:color="auto"/>
        <w:left w:val="none" w:sz="0" w:space="0" w:color="auto"/>
        <w:bottom w:val="none" w:sz="0" w:space="0" w:color="auto"/>
        <w:right w:val="none" w:sz="0" w:space="0" w:color="auto"/>
      </w:divBdr>
    </w:div>
    <w:div w:id="738358230">
      <w:bodyDiv w:val="1"/>
      <w:marLeft w:val="0"/>
      <w:marRight w:val="0"/>
      <w:marTop w:val="0"/>
      <w:marBottom w:val="0"/>
      <w:divBdr>
        <w:top w:val="none" w:sz="0" w:space="0" w:color="auto"/>
        <w:left w:val="none" w:sz="0" w:space="0" w:color="auto"/>
        <w:bottom w:val="none" w:sz="0" w:space="0" w:color="auto"/>
        <w:right w:val="none" w:sz="0" w:space="0" w:color="auto"/>
      </w:divBdr>
    </w:div>
    <w:div w:id="738400728">
      <w:bodyDiv w:val="1"/>
      <w:marLeft w:val="0"/>
      <w:marRight w:val="0"/>
      <w:marTop w:val="0"/>
      <w:marBottom w:val="0"/>
      <w:divBdr>
        <w:top w:val="none" w:sz="0" w:space="0" w:color="auto"/>
        <w:left w:val="none" w:sz="0" w:space="0" w:color="auto"/>
        <w:bottom w:val="none" w:sz="0" w:space="0" w:color="auto"/>
        <w:right w:val="none" w:sz="0" w:space="0" w:color="auto"/>
      </w:divBdr>
    </w:div>
    <w:div w:id="738408420">
      <w:bodyDiv w:val="1"/>
      <w:marLeft w:val="0"/>
      <w:marRight w:val="0"/>
      <w:marTop w:val="0"/>
      <w:marBottom w:val="0"/>
      <w:divBdr>
        <w:top w:val="none" w:sz="0" w:space="0" w:color="auto"/>
        <w:left w:val="none" w:sz="0" w:space="0" w:color="auto"/>
        <w:bottom w:val="none" w:sz="0" w:space="0" w:color="auto"/>
        <w:right w:val="none" w:sz="0" w:space="0" w:color="auto"/>
      </w:divBdr>
    </w:div>
    <w:div w:id="738476215">
      <w:bodyDiv w:val="1"/>
      <w:marLeft w:val="0"/>
      <w:marRight w:val="0"/>
      <w:marTop w:val="0"/>
      <w:marBottom w:val="0"/>
      <w:divBdr>
        <w:top w:val="none" w:sz="0" w:space="0" w:color="auto"/>
        <w:left w:val="none" w:sz="0" w:space="0" w:color="auto"/>
        <w:bottom w:val="none" w:sz="0" w:space="0" w:color="auto"/>
        <w:right w:val="none" w:sz="0" w:space="0" w:color="auto"/>
      </w:divBdr>
    </w:div>
    <w:div w:id="738477389">
      <w:bodyDiv w:val="1"/>
      <w:marLeft w:val="0"/>
      <w:marRight w:val="0"/>
      <w:marTop w:val="0"/>
      <w:marBottom w:val="0"/>
      <w:divBdr>
        <w:top w:val="none" w:sz="0" w:space="0" w:color="auto"/>
        <w:left w:val="none" w:sz="0" w:space="0" w:color="auto"/>
        <w:bottom w:val="none" w:sz="0" w:space="0" w:color="auto"/>
        <w:right w:val="none" w:sz="0" w:space="0" w:color="auto"/>
      </w:divBdr>
    </w:div>
    <w:div w:id="738478838">
      <w:bodyDiv w:val="1"/>
      <w:marLeft w:val="0"/>
      <w:marRight w:val="0"/>
      <w:marTop w:val="0"/>
      <w:marBottom w:val="0"/>
      <w:divBdr>
        <w:top w:val="none" w:sz="0" w:space="0" w:color="auto"/>
        <w:left w:val="none" w:sz="0" w:space="0" w:color="auto"/>
        <w:bottom w:val="none" w:sz="0" w:space="0" w:color="auto"/>
        <w:right w:val="none" w:sz="0" w:space="0" w:color="auto"/>
      </w:divBdr>
    </w:div>
    <w:div w:id="738525600">
      <w:bodyDiv w:val="1"/>
      <w:marLeft w:val="0"/>
      <w:marRight w:val="0"/>
      <w:marTop w:val="0"/>
      <w:marBottom w:val="0"/>
      <w:divBdr>
        <w:top w:val="none" w:sz="0" w:space="0" w:color="auto"/>
        <w:left w:val="none" w:sz="0" w:space="0" w:color="auto"/>
        <w:bottom w:val="none" w:sz="0" w:space="0" w:color="auto"/>
        <w:right w:val="none" w:sz="0" w:space="0" w:color="auto"/>
      </w:divBdr>
    </w:div>
    <w:div w:id="738552635">
      <w:bodyDiv w:val="1"/>
      <w:marLeft w:val="0"/>
      <w:marRight w:val="0"/>
      <w:marTop w:val="0"/>
      <w:marBottom w:val="0"/>
      <w:divBdr>
        <w:top w:val="none" w:sz="0" w:space="0" w:color="auto"/>
        <w:left w:val="none" w:sz="0" w:space="0" w:color="auto"/>
        <w:bottom w:val="none" w:sz="0" w:space="0" w:color="auto"/>
        <w:right w:val="none" w:sz="0" w:space="0" w:color="auto"/>
      </w:divBdr>
    </w:div>
    <w:div w:id="738600093">
      <w:bodyDiv w:val="1"/>
      <w:marLeft w:val="0"/>
      <w:marRight w:val="0"/>
      <w:marTop w:val="0"/>
      <w:marBottom w:val="0"/>
      <w:divBdr>
        <w:top w:val="none" w:sz="0" w:space="0" w:color="auto"/>
        <w:left w:val="none" w:sz="0" w:space="0" w:color="auto"/>
        <w:bottom w:val="none" w:sz="0" w:space="0" w:color="auto"/>
        <w:right w:val="none" w:sz="0" w:space="0" w:color="auto"/>
      </w:divBdr>
    </w:div>
    <w:div w:id="738602586">
      <w:bodyDiv w:val="1"/>
      <w:marLeft w:val="0"/>
      <w:marRight w:val="0"/>
      <w:marTop w:val="0"/>
      <w:marBottom w:val="0"/>
      <w:divBdr>
        <w:top w:val="none" w:sz="0" w:space="0" w:color="auto"/>
        <w:left w:val="none" w:sz="0" w:space="0" w:color="auto"/>
        <w:bottom w:val="none" w:sz="0" w:space="0" w:color="auto"/>
        <w:right w:val="none" w:sz="0" w:space="0" w:color="auto"/>
      </w:divBdr>
    </w:div>
    <w:div w:id="738678433">
      <w:bodyDiv w:val="1"/>
      <w:marLeft w:val="0"/>
      <w:marRight w:val="0"/>
      <w:marTop w:val="0"/>
      <w:marBottom w:val="0"/>
      <w:divBdr>
        <w:top w:val="none" w:sz="0" w:space="0" w:color="auto"/>
        <w:left w:val="none" w:sz="0" w:space="0" w:color="auto"/>
        <w:bottom w:val="none" w:sz="0" w:space="0" w:color="auto"/>
        <w:right w:val="none" w:sz="0" w:space="0" w:color="auto"/>
      </w:divBdr>
    </w:div>
    <w:div w:id="738746474">
      <w:bodyDiv w:val="1"/>
      <w:marLeft w:val="0"/>
      <w:marRight w:val="0"/>
      <w:marTop w:val="0"/>
      <w:marBottom w:val="0"/>
      <w:divBdr>
        <w:top w:val="none" w:sz="0" w:space="0" w:color="auto"/>
        <w:left w:val="none" w:sz="0" w:space="0" w:color="auto"/>
        <w:bottom w:val="none" w:sz="0" w:space="0" w:color="auto"/>
        <w:right w:val="none" w:sz="0" w:space="0" w:color="auto"/>
      </w:divBdr>
    </w:div>
    <w:div w:id="738750845">
      <w:bodyDiv w:val="1"/>
      <w:marLeft w:val="0"/>
      <w:marRight w:val="0"/>
      <w:marTop w:val="0"/>
      <w:marBottom w:val="0"/>
      <w:divBdr>
        <w:top w:val="none" w:sz="0" w:space="0" w:color="auto"/>
        <w:left w:val="none" w:sz="0" w:space="0" w:color="auto"/>
        <w:bottom w:val="none" w:sz="0" w:space="0" w:color="auto"/>
        <w:right w:val="none" w:sz="0" w:space="0" w:color="auto"/>
      </w:divBdr>
    </w:div>
    <w:div w:id="738789271">
      <w:bodyDiv w:val="1"/>
      <w:marLeft w:val="0"/>
      <w:marRight w:val="0"/>
      <w:marTop w:val="0"/>
      <w:marBottom w:val="0"/>
      <w:divBdr>
        <w:top w:val="none" w:sz="0" w:space="0" w:color="auto"/>
        <w:left w:val="none" w:sz="0" w:space="0" w:color="auto"/>
        <w:bottom w:val="none" w:sz="0" w:space="0" w:color="auto"/>
        <w:right w:val="none" w:sz="0" w:space="0" w:color="auto"/>
      </w:divBdr>
    </w:div>
    <w:div w:id="738862470">
      <w:bodyDiv w:val="1"/>
      <w:marLeft w:val="0"/>
      <w:marRight w:val="0"/>
      <w:marTop w:val="0"/>
      <w:marBottom w:val="0"/>
      <w:divBdr>
        <w:top w:val="none" w:sz="0" w:space="0" w:color="auto"/>
        <w:left w:val="none" w:sz="0" w:space="0" w:color="auto"/>
        <w:bottom w:val="none" w:sz="0" w:space="0" w:color="auto"/>
        <w:right w:val="none" w:sz="0" w:space="0" w:color="auto"/>
      </w:divBdr>
    </w:div>
    <w:div w:id="738984972">
      <w:bodyDiv w:val="1"/>
      <w:marLeft w:val="0"/>
      <w:marRight w:val="0"/>
      <w:marTop w:val="0"/>
      <w:marBottom w:val="0"/>
      <w:divBdr>
        <w:top w:val="none" w:sz="0" w:space="0" w:color="auto"/>
        <w:left w:val="none" w:sz="0" w:space="0" w:color="auto"/>
        <w:bottom w:val="none" w:sz="0" w:space="0" w:color="auto"/>
        <w:right w:val="none" w:sz="0" w:space="0" w:color="auto"/>
      </w:divBdr>
    </w:div>
    <w:div w:id="738987552">
      <w:bodyDiv w:val="1"/>
      <w:marLeft w:val="0"/>
      <w:marRight w:val="0"/>
      <w:marTop w:val="0"/>
      <w:marBottom w:val="0"/>
      <w:divBdr>
        <w:top w:val="none" w:sz="0" w:space="0" w:color="auto"/>
        <w:left w:val="none" w:sz="0" w:space="0" w:color="auto"/>
        <w:bottom w:val="none" w:sz="0" w:space="0" w:color="auto"/>
        <w:right w:val="none" w:sz="0" w:space="0" w:color="auto"/>
      </w:divBdr>
    </w:div>
    <w:div w:id="739137956">
      <w:bodyDiv w:val="1"/>
      <w:marLeft w:val="0"/>
      <w:marRight w:val="0"/>
      <w:marTop w:val="0"/>
      <w:marBottom w:val="0"/>
      <w:divBdr>
        <w:top w:val="none" w:sz="0" w:space="0" w:color="auto"/>
        <w:left w:val="none" w:sz="0" w:space="0" w:color="auto"/>
        <w:bottom w:val="none" w:sz="0" w:space="0" w:color="auto"/>
        <w:right w:val="none" w:sz="0" w:space="0" w:color="auto"/>
      </w:divBdr>
    </w:div>
    <w:div w:id="739212946">
      <w:bodyDiv w:val="1"/>
      <w:marLeft w:val="0"/>
      <w:marRight w:val="0"/>
      <w:marTop w:val="0"/>
      <w:marBottom w:val="0"/>
      <w:divBdr>
        <w:top w:val="none" w:sz="0" w:space="0" w:color="auto"/>
        <w:left w:val="none" w:sz="0" w:space="0" w:color="auto"/>
        <w:bottom w:val="none" w:sz="0" w:space="0" w:color="auto"/>
        <w:right w:val="none" w:sz="0" w:space="0" w:color="auto"/>
      </w:divBdr>
    </w:div>
    <w:div w:id="739327372">
      <w:bodyDiv w:val="1"/>
      <w:marLeft w:val="0"/>
      <w:marRight w:val="0"/>
      <w:marTop w:val="0"/>
      <w:marBottom w:val="0"/>
      <w:divBdr>
        <w:top w:val="none" w:sz="0" w:space="0" w:color="auto"/>
        <w:left w:val="none" w:sz="0" w:space="0" w:color="auto"/>
        <w:bottom w:val="none" w:sz="0" w:space="0" w:color="auto"/>
        <w:right w:val="none" w:sz="0" w:space="0" w:color="auto"/>
      </w:divBdr>
    </w:div>
    <w:div w:id="739330979">
      <w:bodyDiv w:val="1"/>
      <w:marLeft w:val="0"/>
      <w:marRight w:val="0"/>
      <w:marTop w:val="0"/>
      <w:marBottom w:val="0"/>
      <w:divBdr>
        <w:top w:val="none" w:sz="0" w:space="0" w:color="auto"/>
        <w:left w:val="none" w:sz="0" w:space="0" w:color="auto"/>
        <w:bottom w:val="none" w:sz="0" w:space="0" w:color="auto"/>
        <w:right w:val="none" w:sz="0" w:space="0" w:color="auto"/>
      </w:divBdr>
    </w:div>
    <w:div w:id="739405470">
      <w:bodyDiv w:val="1"/>
      <w:marLeft w:val="0"/>
      <w:marRight w:val="0"/>
      <w:marTop w:val="0"/>
      <w:marBottom w:val="0"/>
      <w:divBdr>
        <w:top w:val="none" w:sz="0" w:space="0" w:color="auto"/>
        <w:left w:val="none" w:sz="0" w:space="0" w:color="auto"/>
        <w:bottom w:val="none" w:sz="0" w:space="0" w:color="auto"/>
        <w:right w:val="none" w:sz="0" w:space="0" w:color="auto"/>
      </w:divBdr>
    </w:div>
    <w:div w:id="739408739">
      <w:bodyDiv w:val="1"/>
      <w:marLeft w:val="0"/>
      <w:marRight w:val="0"/>
      <w:marTop w:val="0"/>
      <w:marBottom w:val="0"/>
      <w:divBdr>
        <w:top w:val="none" w:sz="0" w:space="0" w:color="auto"/>
        <w:left w:val="none" w:sz="0" w:space="0" w:color="auto"/>
        <w:bottom w:val="none" w:sz="0" w:space="0" w:color="auto"/>
        <w:right w:val="none" w:sz="0" w:space="0" w:color="auto"/>
      </w:divBdr>
    </w:div>
    <w:div w:id="739447197">
      <w:bodyDiv w:val="1"/>
      <w:marLeft w:val="0"/>
      <w:marRight w:val="0"/>
      <w:marTop w:val="0"/>
      <w:marBottom w:val="0"/>
      <w:divBdr>
        <w:top w:val="none" w:sz="0" w:space="0" w:color="auto"/>
        <w:left w:val="none" w:sz="0" w:space="0" w:color="auto"/>
        <w:bottom w:val="none" w:sz="0" w:space="0" w:color="auto"/>
        <w:right w:val="none" w:sz="0" w:space="0" w:color="auto"/>
      </w:divBdr>
    </w:div>
    <w:div w:id="739526167">
      <w:bodyDiv w:val="1"/>
      <w:marLeft w:val="0"/>
      <w:marRight w:val="0"/>
      <w:marTop w:val="0"/>
      <w:marBottom w:val="0"/>
      <w:divBdr>
        <w:top w:val="none" w:sz="0" w:space="0" w:color="auto"/>
        <w:left w:val="none" w:sz="0" w:space="0" w:color="auto"/>
        <w:bottom w:val="none" w:sz="0" w:space="0" w:color="auto"/>
        <w:right w:val="none" w:sz="0" w:space="0" w:color="auto"/>
      </w:divBdr>
    </w:div>
    <w:div w:id="739644549">
      <w:bodyDiv w:val="1"/>
      <w:marLeft w:val="0"/>
      <w:marRight w:val="0"/>
      <w:marTop w:val="0"/>
      <w:marBottom w:val="0"/>
      <w:divBdr>
        <w:top w:val="none" w:sz="0" w:space="0" w:color="auto"/>
        <w:left w:val="none" w:sz="0" w:space="0" w:color="auto"/>
        <w:bottom w:val="none" w:sz="0" w:space="0" w:color="auto"/>
        <w:right w:val="none" w:sz="0" w:space="0" w:color="auto"/>
      </w:divBdr>
    </w:div>
    <w:div w:id="739714094">
      <w:bodyDiv w:val="1"/>
      <w:marLeft w:val="0"/>
      <w:marRight w:val="0"/>
      <w:marTop w:val="0"/>
      <w:marBottom w:val="0"/>
      <w:divBdr>
        <w:top w:val="none" w:sz="0" w:space="0" w:color="auto"/>
        <w:left w:val="none" w:sz="0" w:space="0" w:color="auto"/>
        <w:bottom w:val="none" w:sz="0" w:space="0" w:color="auto"/>
        <w:right w:val="none" w:sz="0" w:space="0" w:color="auto"/>
      </w:divBdr>
    </w:div>
    <w:div w:id="739836180">
      <w:bodyDiv w:val="1"/>
      <w:marLeft w:val="0"/>
      <w:marRight w:val="0"/>
      <w:marTop w:val="0"/>
      <w:marBottom w:val="0"/>
      <w:divBdr>
        <w:top w:val="none" w:sz="0" w:space="0" w:color="auto"/>
        <w:left w:val="none" w:sz="0" w:space="0" w:color="auto"/>
        <w:bottom w:val="none" w:sz="0" w:space="0" w:color="auto"/>
        <w:right w:val="none" w:sz="0" w:space="0" w:color="auto"/>
      </w:divBdr>
    </w:div>
    <w:div w:id="739910589">
      <w:bodyDiv w:val="1"/>
      <w:marLeft w:val="0"/>
      <w:marRight w:val="0"/>
      <w:marTop w:val="0"/>
      <w:marBottom w:val="0"/>
      <w:divBdr>
        <w:top w:val="none" w:sz="0" w:space="0" w:color="auto"/>
        <w:left w:val="none" w:sz="0" w:space="0" w:color="auto"/>
        <w:bottom w:val="none" w:sz="0" w:space="0" w:color="auto"/>
        <w:right w:val="none" w:sz="0" w:space="0" w:color="auto"/>
      </w:divBdr>
    </w:div>
    <w:div w:id="739988126">
      <w:bodyDiv w:val="1"/>
      <w:marLeft w:val="0"/>
      <w:marRight w:val="0"/>
      <w:marTop w:val="0"/>
      <w:marBottom w:val="0"/>
      <w:divBdr>
        <w:top w:val="none" w:sz="0" w:space="0" w:color="auto"/>
        <w:left w:val="none" w:sz="0" w:space="0" w:color="auto"/>
        <w:bottom w:val="none" w:sz="0" w:space="0" w:color="auto"/>
        <w:right w:val="none" w:sz="0" w:space="0" w:color="auto"/>
      </w:divBdr>
    </w:div>
    <w:div w:id="740060938">
      <w:bodyDiv w:val="1"/>
      <w:marLeft w:val="0"/>
      <w:marRight w:val="0"/>
      <w:marTop w:val="0"/>
      <w:marBottom w:val="0"/>
      <w:divBdr>
        <w:top w:val="none" w:sz="0" w:space="0" w:color="auto"/>
        <w:left w:val="none" w:sz="0" w:space="0" w:color="auto"/>
        <w:bottom w:val="none" w:sz="0" w:space="0" w:color="auto"/>
        <w:right w:val="none" w:sz="0" w:space="0" w:color="auto"/>
      </w:divBdr>
    </w:div>
    <w:div w:id="740061488">
      <w:bodyDiv w:val="1"/>
      <w:marLeft w:val="0"/>
      <w:marRight w:val="0"/>
      <w:marTop w:val="0"/>
      <w:marBottom w:val="0"/>
      <w:divBdr>
        <w:top w:val="none" w:sz="0" w:space="0" w:color="auto"/>
        <w:left w:val="none" w:sz="0" w:space="0" w:color="auto"/>
        <w:bottom w:val="none" w:sz="0" w:space="0" w:color="auto"/>
        <w:right w:val="none" w:sz="0" w:space="0" w:color="auto"/>
      </w:divBdr>
    </w:div>
    <w:div w:id="740101067">
      <w:bodyDiv w:val="1"/>
      <w:marLeft w:val="0"/>
      <w:marRight w:val="0"/>
      <w:marTop w:val="0"/>
      <w:marBottom w:val="0"/>
      <w:divBdr>
        <w:top w:val="none" w:sz="0" w:space="0" w:color="auto"/>
        <w:left w:val="none" w:sz="0" w:space="0" w:color="auto"/>
        <w:bottom w:val="none" w:sz="0" w:space="0" w:color="auto"/>
        <w:right w:val="none" w:sz="0" w:space="0" w:color="auto"/>
      </w:divBdr>
    </w:div>
    <w:div w:id="740177377">
      <w:bodyDiv w:val="1"/>
      <w:marLeft w:val="0"/>
      <w:marRight w:val="0"/>
      <w:marTop w:val="0"/>
      <w:marBottom w:val="0"/>
      <w:divBdr>
        <w:top w:val="none" w:sz="0" w:space="0" w:color="auto"/>
        <w:left w:val="none" w:sz="0" w:space="0" w:color="auto"/>
        <w:bottom w:val="none" w:sz="0" w:space="0" w:color="auto"/>
        <w:right w:val="none" w:sz="0" w:space="0" w:color="auto"/>
      </w:divBdr>
    </w:div>
    <w:div w:id="740181063">
      <w:bodyDiv w:val="1"/>
      <w:marLeft w:val="0"/>
      <w:marRight w:val="0"/>
      <w:marTop w:val="0"/>
      <w:marBottom w:val="0"/>
      <w:divBdr>
        <w:top w:val="none" w:sz="0" w:space="0" w:color="auto"/>
        <w:left w:val="none" w:sz="0" w:space="0" w:color="auto"/>
        <w:bottom w:val="none" w:sz="0" w:space="0" w:color="auto"/>
        <w:right w:val="none" w:sz="0" w:space="0" w:color="auto"/>
      </w:divBdr>
    </w:div>
    <w:div w:id="740295226">
      <w:bodyDiv w:val="1"/>
      <w:marLeft w:val="0"/>
      <w:marRight w:val="0"/>
      <w:marTop w:val="0"/>
      <w:marBottom w:val="0"/>
      <w:divBdr>
        <w:top w:val="none" w:sz="0" w:space="0" w:color="auto"/>
        <w:left w:val="none" w:sz="0" w:space="0" w:color="auto"/>
        <w:bottom w:val="none" w:sz="0" w:space="0" w:color="auto"/>
        <w:right w:val="none" w:sz="0" w:space="0" w:color="auto"/>
      </w:divBdr>
    </w:div>
    <w:div w:id="740442348">
      <w:bodyDiv w:val="1"/>
      <w:marLeft w:val="0"/>
      <w:marRight w:val="0"/>
      <w:marTop w:val="0"/>
      <w:marBottom w:val="0"/>
      <w:divBdr>
        <w:top w:val="none" w:sz="0" w:space="0" w:color="auto"/>
        <w:left w:val="none" w:sz="0" w:space="0" w:color="auto"/>
        <w:bottom w:val="none" w:sz="0" w:space="0" w:color="auto"/>
        <w:right w:val="none" w:sz="0" w:space="0" w:color="auto"/>
      </w:divBdr>
    </w:div>
    <w:div w:id="740519056">
      <w:bodyDiv w:val="1"/>
      <w:marLeft w:val="0"/>
      <w:marRight w:val="0"/>
      <w:marTop w:val="0"/>
      <w:marBottom w:val="0"/>
      <w:divBdr>
        <w:top w:val="none" w:sz="0" w:space="0" w:color="auto"/>
        <w:left w:val="none" w:sz="0" w:space="0" w:color="auto"/>
        <w:bottom w:val="none" w:sz="0" w:space="0" w:color="auto"/>
        <w:right w:val="none" w:sz="0" w:space="0" w:color="auto"/>
      </w:divBdr>
    </w:div>
    <w:div w:id="740520012">
      <w:bodyDiv w:val="1"/>
      <w:marLeft w:val="0"/>
      <w:marRight w:val="0"/>
      <w:marTop w:val="0"/>
      <w:marBottom w:val="0"/>
      <w:divBdr>
        <w:top w:val="none" w:sz="0" w:space="0" w:color="auto"/>
        <w:left w:val="none" w:sz="0" w:space="0" w:color="auto"/>
        <w:bottom w:val="none" w:sz="0" w:space="0" w:color="auto"/>
        <w:right w:val="none" w:sz="0" w:space="0" w:color="auto"/>
      </w:divBdr>
    </w:div>
    <w:div w:id="740523751">
      <w:bodyDiv w:val="1"/>
      <w:marLeft w:val="0"/>
      <w:marRight w:val="0"/>
      <w:marTop w:val="0"/>
      <w:marBottom w:val="0"/>
      <w:divBdr>
        <w:top w:val="none" w:sz="0" w:space="0" w:color="auto"/>
        <w:left w:val="none" w:sz="0" w:space="0" w:color="auto"/>
        <w:bottom w:val="none" w:sz="0" w:space="0" w:color="auto"/>
        <w:right w:val="none" w:sz="0" w:space="0" w:color="auto"/>
      </w:divBdr>
    </w:div>
    <w:div w:id="740559747">
      <w:bodyDiv w:val="1"/>
      <w:marLeft w:val="0"/>
      <w:marRight w:val="0"/>
      <w:marTop w:val="0"/>
      <w:marBottom w:val="0"/>
      <w:divBdr>
        <w:top w:val="none" w:sz="0" w:space="0" w:color="auto"/>
        <w:left w:val="none" w:sz="0" w:space="0" w:color="auto"/>
        <w:bottom w:val="none" w:sz="0" w:space="0" w:color="auto"/>
        <w:right w:val="none" w:sz="0" w:space="0" w:color="auto"/>
      </w:divBdr>
    </w:div>
    <w:div w:id="740568042">
      <w:bodyDiv w:val="1"/>
      <w:marLeft w:val="0"/>
      <w:marRight w:val="0"/>
      <w:marTop w:val="0"/>
      <w:marBottom w:val="0"/>
      <w:divBdr>
        <w:top w:val="none" w:sz="0" w:space="0" w:color="auto"/>
        <w:left w:val="none" w:sz="0" w:space="0" w:color="auto"/>
        <w:bottom w:val="none" w:sz="0" w:space="0" w:color="auto"/>
        <w:right w:val="none" w:sz="0" w:space="0" w:color="auto"/>
      </w:divBdr>
    </w:div>
    <w:div w:id="740640923">
      <w:bodyDiv w:val="1"/>
      <w:marLeft w:val="0"/>
      <w:marRight w:val="0"/>
      <w:marTop w:val="0"/>
      <w:marBottom w:val="0"/>
      <w:divBdr>
        <w:top w:val="none" w:sz="0" w:space="0" w:color="auto"/>
        <w:left w:val="none" w:sz="0" w:space="0" w:color="auto"/>
        <w:bottom w:val="none" w:sz="0" w:space="0" w:color="auto"/>
        <w:right w:val="none" w:sz="0" w:space="0" w:color="auto"/>
      </w:divBdr>
    </w:div>
    <w:div w:id="740830976">
      <w:bodyDiv w:val="1"/>
      <w:marLeft w:val="0"/>
      <w:marRight w:val="0"/>
      <w:marTop w:val="0"/>
      <w:marBottom w:val="0"/>
      <w:divBdr>
        <w:top w:val="none" w:sz="0" w:space="0" w:color="auto"/>
        <w:left w:val="none" w:sz="0" w:space="0" w:color="auto"/>
        <w:bottom w:val="none" w:sz="0" w:space="0" w:color="auto"/>
        <w:right w:val="none" w:sz="0" w:space="0" w:color="auto"/>
      </w:divBdr>
    </w:div>
    <w:div w:id="740836097">
      <w:bodyDiv w:val="1"/>
      <w:marLeft w:val="0"/>
      <w:marRight w:val="0"/>
      <w:marTop w:val="0"/>
      <w:marBottom w:val="0"/>
      <w:divBdr>
        <w:top w:val="none" w:sz="0" w:space="0" w:color="auto"/>
        <w:left w:val="none" w:sz="0" w:space="0" w:color="auto"/>
        <w:bottom w:val="none" w:sz="0" w:space="0" w:color="auto"/>
        <w:right w:val="none" w:sz="0" w:space="0" w:color="auto"/>
      </w:divBdr>
    </w:div>
    <w:div w:id="740980976">
      <w:bodyDiv w:val="1"/>
      <w:marLeft w:val="0"/>
      <w:marRight w:val="0"/>
      <w:marTop w:val="0"/>
      <w:marBottom w:val="0"/>
      <w:divBdr>
        <w:top w:val="none" w:sz="0" w:space="0" w:color="auto"/>
        <w:left w:val="none" w:sz="0" w:space="0" w:color="auto"/>
        <w:bottom w:val="none" w:sz="0" w:space="0" w:color="auto"/>
        <w:right w:val="none" w:sz="0" w:space="0" w:color="auto"/>
      </w:divBdr>
    </w:div>
    <w:div w:id="741223716">
      <w:bodyDiv w:val="1"/>
      <w:marLeft w:val="0"/>
      <w:marRight w:val="0"/>
      <w:marTop w:val="0"/>
      <w:marBottom w:val="0"/>
      <w:divBdr>
        <w:top w:val="none" w:sz="0" w:space="0" w:color="auto"/>
        <w:left w:val="none" w:sz="0" w:space="0" w:color="auto"/>
        <w:bottom w:val="none" w:sz="0" w:space="0" w:color="auto"/>
        <w:right w:val="none" w:sz="0" w:space="0" w:color="auto"/>
      </w:divBdr>
    </w:div>
    <w:div w:id="741295264">
      <w:bodyDiv w:val="1"/>
      <w:marLeft w:val="0"/>
      <w:marRight w:val="0"/>
      <w:marTop w:val="0"/>
      <w:marBottom w:val="0"/>
      <w:divBdr>
        <w:top w:val="none" w:sz="0" w:space="0" w:color="auto"/>
        <w:left w:val="none" w:sz="0" w:space="0" w:color="auto"/>
        <w:bottom w:val="none" w:sz="0" w:space="0" w:color="auto"/>
        <w:right w:val="none" w:sz="0" w:space="0" w:color="auto"/>
      </w:divBdr>
    </w:div>
    <w:div w:id="741373123">
      <w:bodyDiv w:val="1"/>
      <w:marLeft w:val="0"/>
      <w:marRight w:val="0"/>
      <w:marTop w:val="0"/>
      <w:marBottom w:val="0"/>
      <w:divBdr>
        <w:top w:val="none" w:sz="0" w:space="0" w:color="auto"/>
        <w:left w:val="none" w:sz="0" w:space="0" w:color="auto"/>
        <w:bottom w:val="none" w:sz="0" w:space="0" w:color="auto"/>
        <w:right w:val="none" w:sz="0" w:space="0" w:color="auto"/>
      </w:divBdr>
    </w:div>
    <w:div w:id="741491101">
      <w:bodyDiv w:val="1"/>
      <w:marLeft w:val="0"/>
      <w:marRight w:val="0"/>
      <w:marTop w:val="0"/>
      <w:marBottom w:val="0"/>
      <w:divBdr>
        <w:top w:val="none" w:sz="0" w:space="0" w:color="auto"/>
        <w:left w:val="none" w:sz="0" w:space="0" w:color="auto"/>
        <w:bottom w:val="none" w:sz="0" w:space="0" w:color="auto"/>
        <w:right w:val="none" w:sz="0" w:space="0" w:color="auto"/>
      </w:divBdr>
    </w:div>
    <w:div w:id="741566543">
      <w:bodyDiv w:val="1"/>
      <w:marLeft w:val="0"/>
      <w:marRight w:val="0"/>
      <w:marTop w:val="0"/>
      <w:marBottom w:val="0"/>
      <w:divBdr>
        <w:top w:val="none" w:sz="0" w:space="0" w:color="auto"/>
        <w:left w:val="none" w:sz="0" w:space="0" w:color="auto"/>
        <w:bottom w:val="none" w:sz="0" w:space="0" w:color="auto"/>
        <w:right w:val="none" w:sz="0" w:space="0" w:color="auto"/>
      </w:divBdr>
    </w:div>
    <w:div w:id="741605753">
      <w:bodyDiv w:val="1"/>
      <w:marLeft w:val="0"/>
      <w:marRight w:val="0"/>
      <w:marTop w:val="0"/>
      <w:marBottom w:val="0"/>
      <w:divBdr>
        <w:top w:val="none" w:sz="0" w:space="0" w:color="auto"/>
        <w:left w:val="none" w:sz="0" w:space="0" w:color="auto"/>
        <w:bottom w:val="none" w:sz="0" w:space="0" w:color="auto"/>
        <w:right w:val="none" w:sz="0" w:space="0" w:color="auto"/>
      </w:divBdr>
    </w:div>
    <w:div w:id="741607696">
      <w:bodyDiv w:val="1"/>
      <w:marLeft w:val="0"/>
      <w:marRight w:val="0"/>
      <w:marTop w:val="0"/>
      <w:marBottom w:val="0"/>
      <w:divBdr>
        <w:top w:val="none" w:sz="0" w:space="0" w:color="auto"/>
        <w:left w:val="none" w:sz="0" w:space="0" w:color="auto"/>
        <w:bottom w:val="none" w:sz="0" w:space="0" w:color="auto"/>
        <w:right w:val="none" w:sz="0" w:space="0" w:color="auto"/>
      </w:divBdr>
    </w:div>
    <w:div w:id="741758263">
      <w:bodyDiv w:val="1"/>
      <w:marLeft w:val="0"/>
      <w:marRight w:val="0"/>
      <w:marTop w:val="0"/>
      <w:marBottom w:val="0"/>
      <w:divBdr>
        <w:top w:val="none" w:sz="0" w:space="0" w:color="auto"/>
        <w:left w:val="none" w:sz="0" w:space="0" w:color="auto"/>
        <w:bottom w:val="none" w:sz="0" w:space="0" w:color="auto"/>
        <w:right w:val="none" w:sz="0" w:space="0" w:color="auto"/>
      </w:divBdr>
    </w:div>
    <w:div w:id="741947965">
      <w:bodyDiv w:val="1"/>
      <w:marLeft w:val="0"/>
      <w:marRight w:val="0"/>
      <w:marTop w:val="0"/>
      <w:marBottom w:val="0"/>
      <w:divBdr>
        <w:top w:val="none" w:sz="0" w:space="0" w:color="auto"/>
        <w:left w:val="none" w:sz="0" w:space="0" w:color="auto"/>
        <w:bottom w:val="none" w:sz="0" w:space="0" w:color="auto"/>
        <w:right w:val="none" w:sz="0" w:space="0" w:color="auto"/>
      </w:divBdr>
    </w:div>
    <w:div w:id="742020991">
      <w:bodyDiv w:val="1"/>
      <w:marLeft w:val="0"/>
      <w:marRight w:val="0"/>
      <w:marTop w:val="0"/>
      <w:marBottom w:val="0"/>
      <w:divBdr>
        <w:top w:val="none" w:sz="0" w:space="0" w:color="auto"/>
        <w:left w:val="none" w:sz="0" w:space="0" w:color="auto"/>
        <w:bottom w:val="none" w:sz="0" w:space="0" w:color="auto"/>
        <w:right w:val="none" w:sz="0" w:space="0" w:color="auto"/>
      </w:divBdr>
    </w:div>
    <w:div w:id="742024521">
      <w:bodyDiv w:val="1"/>
      <w:marLeft w:val="0"/>
      <w:marRight w:val="0"/>
      <w:marTop w:val="0"/>
      <w:marBottom w:val="0"/>
      <w:divBdr>
        <w:top w:val="none" w:sz="0" w:space="0" w:color="auto"/>
        <w:left w:val="none" w:sz="0" w:space="0" w:color="auto"/>
        <w:bottom w:val="none" w:sz="0" w:space="0" w:color="auto"/>
        <w:right w:val="none" w:sz="0" w:space="0" w:color="auto"/>
      </w:divBdr>
    </w:div>
    <w:div w:id="742027478">
      <w:bodyDiv w:val="1"/>
      <w:marLeft w:val="0"/>
      <w:marRight w:val="0"/>
      <w:marTop w:val="0"/>
      <w:marBottom w:val="0"/>
      <w:divBdr>
        <w:top w:val="none" w:sz="0" w:space="0" w:color="auto"/>
        <w:left w:val="none" w:sz="0" w:space="0" w:color="auto"/>
        <w:bottom w:val="none" w:sz="0" w:space="0" w:color="auto"/>
        <w:right w:val="none" w:sz="0" w:space="0" w:color="auto"/>
      </w:divBdr>
    </w:div>
    <w:div w:id="742028442">
      <w:bodyDiv w:val="1"/>
      <w:marLeft w:val="0"/>
      <w:marRight w:val="0"/>
      <w:marTop w:val="0"/>
      <w:marBottom w:val="0"/>
      <w:divBdr>
        <w:top w:val="none" w:sz="0" w:space="0" w:color="auto"/>
        <w:left w:val="none" w:sz="0" w:space="0" w:color="auto"/>
        <w:bottom w:val="none" w:sz="0" w:space="0" w:color="auto"/>
        <w:right w:val="none" w:sz="0" w:space="0" w:color="auto"/>
      </w:divBdr>
    </w:div>
    <w:div w:id="742069011">
      <w:bodyDiv w:val="1"/>
      <w:marLeft w:val="0"/>
      <w:marRight w:val="0"/>
      <w:marTop w:val="0"/>
      <w:marBottom w:val="0"/>
      <w:divBdr>
        <w:top w:val="none" w:sz="0" w:space="0" w:color="auto"/>
        <w:left w:val="none" w:sz="0" w:space="0" w:color="auto"/>
        <w:bottom w:val="none" w:sz="0" w:space="0" w:color="auto"/>
        <w:right w:val="none" w:sz="0" w:space="0" w:color="auto"/>
      </w:divBdr>
    </w:div>
    <w:div w:id="742215533">
      <w:bodyDiv w:val="1"/>
      <w:marLeft w:val="0"/>
      <w:marRight w:val="0"/>
      <w:marTop w:val="0"/>
      <w:marBottom w:val="0"/>
      <w:divBdr>
        <w:top w:val="none" w:sz="0" w:space="0" w:color="auto"/>
        <w:left w:val="none" w:sz="0" w:space="0" w:color="auto"/>
        <w:bottom w:val="none" w:sz="0" w:space="0" w:color="auto"/>
        <w:right w:val="none" w:sz="0" w:space="0" w:color="auto"/>
      </w:divBdr>
    </w:div>
    <w:div w:id="742333345">
      <w:bodyDiv w:val="1"/>
      <w:marLeft w:val="0"/>
      <w:marRight w:val="0"/>
      <w:marTop w:val="0"/>
      <w:marBottom w:val="0"/>
      <w:divBdr>
        <w:top w:val="none" w:sz="0" w:space="0" w:color="auto"/>
        <w:left w:val="none" w:sz="0" w:space="0" w:color="auto"/>
        <w:bottom w:val="none" w:sz="0" w:space="0" w:color="auto"/>
        <w:right w:val="none" w:sz="0" w:space="0" w:color="auto"/>
      </w:divBdr>
    </w:div>
    <w:div w:id="742338131">
      <w:bodyDiv w:val="1"/>
      <w:marLeft w:val="0"/>
      <w:marRight w:val="0"/>
      <w:marTop w:val="0"/>
      <w:marBottom w:val="0"/>
      <w:divBdr>
        <w:top w:val="none" w:sz="0" w:space="0" w:color="auto"/>
        <w:left w:val="none" w:sz="0" w:space="0" w:color="auto"/>
        <w:bottom w:val="none" w:sz="0" w:space="0" w:color="auto"/>
        <w:right w:val="none" w:sz="0" w:space="0" w:color="auto"/>
      </w:divBdr>
    </w:div>
    <w:div w:id="742340729">
      <w:bodyDiv w:val="1"/>
      <w:marLeft w:val="0"/>
      <w:marRight w:val="0"/>
      <w:marTop w:val="0"/>
      <w:marBottom w:val="0"/>
      <w:divBdr>
        <w:top w:val="none" w:sz="0" w:space="0" w:color="auto"/>
        <w:left w:val="none" w:sz="0" w:space="0" w:color="auto"/>
        <w:bottom w:val="none" w:sz="0" w:space="0" w:color="auto"/>
        <w:right w:val="none" w:sz="0" w:space="0" w:color="auto"/>
      </w:divBdr>
    </w:div>
    <w:div w:id="742529831">
      <w:bodyDiv w:val="1"/>
      <w:marLeft w:val="0"/>
      <w:marRight w:val="0"/>
      <w:marTop w:val="0"/>
      <w:marBottom w:val="0"/>
      <w:divBdr>
        <w:top w:val="none" w:sz="0" w:space="0" w:color="auto"/>
        <w:left w:val="none" w:sz="0" w:space="0" w:color="auto"/>
        <w:bottom w:val="none" w:sz="0" w:space="0" w:color="auto"/>
        <w:right w:val="none" w:sz="0" w:space="0" w:color="auto"/>
      </w:divBdr>
    </w:div>
    <w:div w:id="742530079">
      <w:bodyDiv w:val="1"/>
      <w:marLeft w:val="0"/>
      <w:marRight w:val="0"/>
      <w:marTop w:val="0"/>
      <w:marBottom w:val="0"/>
      <w:divBdr>
        <w:top w:val="none" w:sz="0" w:space="0" w:color="auto"/>
        <w:left w:val="none" w:sz="0" w:space="0" w:color="auto"/>
        <w:bottom w:val="none" w:sz="0" w:space="0" w:color="auto"/>
        <w:right w:val="none" w:sz="0" w:space="0" w:color="auto"/>
      </w:divBdr>
    </w:div>
    <w:div w:id="742684378">
      <w:bodyDiv w:val="1"/>
      <w:marLeft w:val="0"/>
      <w:marRight w:val="0"/>
      <w:marTop w:val="0"/>
      <w:marBottom w:val="0"/>
      <w:divBdr>
        <w:top w:val="none" w:sz="0" w:space="0" w:color="auto"/>
        <w:left w:val="none" w:sz="0" w:space="0" w:color="auto"/>
        <w:bottom w:val="none" w:sz="0" w:space="0" w:color="auto"/>
        <w:right w:val="none" w:sz="0" w:space="0" w:color="auto"/>
      </w:divBdr>
    </w:div>
    <w:div w:id="742723565">
      <w:bodyDiv w:val="1"/>
      <w:marLeft w:val="0"/>
      <w:marRight w:val="0"/>
      <w:marTop w:val="0"/>
      <w:marBottom w:val="0"/>
      <w:divBdr>
        <w:top w:val="none" w:sz="0" w:space="0" w:color="auto"/>
        <w:left w:val="none" w:sz="0" w:space="0" w:color="auto"/>
        <w:bottom w:val="none" w:sz="0" w:space="0" w:color="auto"/>
        <w:right w:val="none" w:sz="0" w:space="0" w:color="auto"/>
      </w:divBdr>
    </w:div>
    <w:div w:id="742917711">
      <w:bodyDiv w:val="1"/>
      <w:marLeft w:val="0"/>
      <w:marRight w:val="0"/>
      <w:marTop w:val="0"/>
      <w:marBottom w:val="0"/>
      <w:divBdr>
        <w:top w:val="none" w:sz="0" w:space="0" w:color="auto"/>
        <w:left w:val="none" w:sz="0" w:space="0" w:color="auto"/>
        <w:bottom w:val="none" w:sz="0" w:space="0" w:color="auto"/>
        <w:right w:val="none" w:sz="0" w:space="0" w:color="auto"/>
      </w:divBdr>
    </w:div>
    <w:div w:id="742920209">
      <w:bodyDiv w:val="1"/>
      <w:marLeft w:val="0"/>
      <w:marRight w:val="0"/>
      <w:marTop w:val="0"/>
      <w:marBottom w:val="0"/>
      <w:divBdr>
        <w:top w:val="none" w:sz="0" w:space="0" w:color="auto"/>
        <w:left w:val="none" w:sz="0" w:space="0" w:color="auto"/>
        <w:bottom w:val="none" w:sz="0" w:space="0" w:color="auto"/>
        <w:right w:val="none" w:sz="0" w:space="0" w:color="auto"/>
      </w:divBdr>
    </w:div>
    <w:div w:id="742945186">
      <w:bodyDiv w:val="1"/>
      <w:marLeft w:val="0"/>
      <w:marRight w:val="0"/>
      <w:marTop w:val="0"/>
      <w:marBottom w:val="0"/>
      <w:divBdr>
        <w:top w:val="none" w:sz="0" w:space="0" w:color="auto"/>
        <w:left w:val="none" w:sz="0" w:space="0" w:color="auto"/>
        <w:bottom w:val="none" w:sz="0" w:space="0" w:color="auto"/>
        <w:right w:val="none" w:sz="0" w:space="0" w:color="auto"/>
      </w:divBdr>
    </w:div>
    <w:div w:id="742947924">
      <w:bodyDiv w:val="1"/>
      <w:marLeft w:val="0"/>
      <w:marRight w:val="0"/>
      <w:marTop w:val="0"/>
      <w:marBottom w:val="0"/>
      <w:divBdr>
        <w:top w:val="none" w:sz="0" w:space="0" w:color="auto"/>
        <w:left w:val="none" w:sz="0" w:space="0" w:color="auto"/>
        <w:bottom w:val="none" w:sz="0" w:space="0" w:color="auto"/>
        <w:right w:val="none" w:sz="0" w:space="0" w:color="auto"/>
      </w:divBdr>
    </w:div>
    <w:div w:id="742995883">
      <w:bodyDiv w:val="1"/>
      <w:marLeft w:val="0"/>
      <w:marRight w:val="0"/>
      <w:marTop w:val="0"/>
      <w:marBottom w:val="0"/>
      <w:divBdr>
        <w:top w:val="none" w:sz="0" w:space="0" w:color="auto"/>
        <w:left w:val="none" w:sz="0" w:space="0" w:color="auto"/>
        <w:bottom w:val="none" w:sz="0" w:space="0" w:color="auto"/>
        <w:right w:val="none" w:sz="0" w:space="0" w:color="auto"/>
      </w:divBdr>
    </w:div>
    <w:div w:id="743141604">
      <w:bodyDiv w:val="1"/>
      <w:marLeft w:val="0"/>
      <w:marRight w:val="0"/>
      <w:marTop w:val="0"/>
      <w:marBottom w:val="0"/>
      <w:divBdr>
        <w:top w:val="none" w:sz="0" w:space="0" w:color="auto"/>
        <w:left w:val="none" w:sz="0" w:space="0" w:color="auto"/>
        <w:bottom w:val="none" w:sz="0" w:space="0" w:color="auto"/>
        <w:right w:val="none" w:sz="0" w:space="0" w:color="auto"/>
      </w:divBdr>
    </w:div>
    <w:div w:id="743182286">
      <w:bodyDiv w:val="1"/>
      <w:marLeft w:val="0"/>
      <w:marRight w:val="0"/>
      <w:marTop w:val="0"/>
      <w:marBottom w:val="0"/>
      <w:divBdr>
        <w:top w:val="none" w:sz="0" w:space="0" w:color="auto"/>
        <w:left w:val="none" w:sz="0" w:space="0" w:color="auto"/>
        <w:bottom w:val="none" w:sz="0" w:space="0" w:color="auto"/>
        <w:right w:val="none" w:sz="0" w:space="0" w:color="auto"/>
      </w:divBdr>
    </w:div>
    <w:div w:id="743257701">
      <w:bodyDiv w:val="1"/>
      <w:marLeft w:val="0"/>
      <w:marRight w:val="0"/>
      <w:marTop w:val="0"/>
      <w:marBottom w:val="0"/>
      <w:divBdr>
        <w:top w:val="none" w:sz="0" w:space="0" w:color="auto"/>
        <w:left w:val="none" w:sz="0" w:space="0" w:color="auto"/>
        <w:bottom w:val="none" w:sz="0" w:space="0" w:color="auto"/>
        <w:right w:val="none" w:sz="0" w:space="0" w:color="auto"/>
      </w:divBdr>
    </w:div>
    <w:div w:id="743456908">
      <w:bodyDiv w:val="1"/>
      <w:marLeft w:val="0"/>
      <w:marRight w:val="0"/>
      <w:marTop w:val="0"/>
      <w:marBottom w:val="0"/>
      <w:divBdr>
        <w:top w:val="none" w:sz="0" w:space="0" w:color="auto"/>
        <w:left w:val="none" w:sz="0" w:space="0" w:color="auto"/>
        <w:bottom w:val="none" w:sz="0" w:space="0" w:color="auto"/>
        <w:right w:val="none" w:sz="0" w:space="0" w:color="auto"/>
      </w:divBdr>
    </w:div>
    <w:div w:id="743528284">
      <w:bodyDiv w:val="1"/>
      <w:marLeft w:val="0"/>
      <w:marRight w:val="0"/>
      <w:marTop w:val="0"/>
      <w:marBottom w:val="0"/>
      <w:divBdr>
        <w:top w:val="none" w:sz="0" w:space="0" w:color="auto"/>
        <w:left w:val="none" w:sz="0" w:space="0" w:color="auto"/>
        <w:bottom w:val="none" w:sz="0" w:space="0" w:color="auto"/>
        <w:right w:val="none" w:sz="0" w:space="0" w:color="auto"/>
      </w:divBdr>
    </w:div>
    <w:div w:id="743529451">
      <w:bodyDiv w:val="1"/>
      <w:marLeft w:val="0"/>
      <w:marRight w:val="0"/>
      <w:marTop w:val="0"/>
      <w:marBottom w:val="0"/>
      <w:divBdr>
        <w:top w:val="none" w:sz="0" w:space="0" w:color="auto"/>
        <w:left w:val="none" w:sz="0" w:space="0" w:color="auto"/>
        <w:bottom w:val="none" w:sz="0" w:space="0" w:color="auto"/>
        <w:right w:val="none" w:sz="0" w:space="0" w:color="auto"/>
      </w:divBdr>
    </w:div>
    <w:div w:id="743839976">
      <w:bodyDiv w:val="1"/>
      <w:marLeft w:val="0"/>
      <w:marRight w:val="0"/>
      <w:marTop w:val="0"/>
      <w:marBottom w:val="0"/>
      <w:divBdr>
        <w:top w:val="none" w:sz="0" w:space="0" w:color="auto"/>
        <w:left w:val="none" w:sz="0" w:space="0" w:color="auto"/>
        <w:bottom w:val="none" w:sz="0" w:space="0" w:color="auto"/>
        <w:right w:val="none" w:sz="0" w:space="0" w:color="auto"/>
      </w:divBdr>
    </w:div>
    <w:div w:id="743841863">
      <w:bodyDiv w:val="1"/>
      <w:marLeft w:val="0"/>
      <w:marRight w:val="0"/>
      <w:marTop w:val="0"/>
      <w:marBottom w:val="0"/>
      <w:divBdr>
        <w:top w:val="none" w:sz="0" w:space="0" w:color="auto"/>
        <w:left w:val="none" w:sz="0" w:space="0" w:color="auto"/>
        <w:bottom w:val="none" w:sz="0" w:space="0" w:color="auto"/>
        <w:right w:val="none" w:sz="0" w:space="0" w:color="auto"/>
      </w:divBdr>
    </w:div>
    <w:div w:id="743987002">
      <w:bodyDiv w:val="1"/>
      <w:marLeft w:val="0"/>
      <w:marRight w:val="0"/>
      <w:marTop w:val="0"/>
      <w:marBottom w:val="0"/>
      <w:divBdr>
        <w:top w:val="none" w:sz="0" w:space="0" w:color="auto"/>
        <w:left w:val="none" w:sz="0" w:space="0" w:color="auto"/>
        <w:bottom w:val="none" w:sz="0" w:space="0" w:color="auto"/>
        <w:right w:val="none" w:sz="0" w:space="0" w:color="auto"/>
      </w:divBdr>
    </w:div>
    <w:div w:id="743990456">
      <w:bodyDiv w:val="1"/>
      <w:marLeft w:val="0"/>
      <w:marRight w:val="0"/>
      <w:marTop w:val="0"/>
      <w:marBottom w:val="0"/>
      <w:divBdr>
        <w:top w:val="none" w:sz="0" w:space="0" w:color="auto"/>
        <w:left w:val="none" w:sz="0" w:space="0" w:color="auto"/>
        <w:bottom w:val="none" w:sz="0" w:space="0" w:color="auto"/>
        <w:right w:val="none" w:sz="0" w:space="0" w:color="auto"/>
      </w:divBdr>
    </w:div>
    <w:div w:id="744179789">
      <w:bodyDiv w:val="1"/>
      <w:marLeft w:val="0"/>
      <w:marRight w:val="0"/>
      <w:marTop w:val="0"/>
      <w:marBottom w:val="0"/>
      <w:divBdr>
        <w:top w:val="none" w:sz="0" w:space="0" w:color="auto"/>
        <w:left w:val="none" w:sz="0" w:space="0" w:color="auto"/>
        <w:bottom w:val="none" w:sz="0" w:space="0" w:color="auto"/>
        <w:right w:val="none" w:sz="0" w:space="0" w:color="auto"/>
      </w:divBdr>
    </w:div>
    <w:div w:id="744183559">
      <w:bodyDiv w:val="1"/>
      <w:marLeft w:val="0"/>
      <w:marRight w:val="0"/>
      <w:marTop w:val="0"/>
      <w:marBottom w:val="0"/>
      <w:divBdr>
        <w:top w:val="none" w:sz="0" w:space="0" w:color="auto"/>
        <w:left w:val="none" w:sz="0" w:space="0" w:color="auto"/>
        <w:bottom w:val="none" w:sz="0" w:space="0" w:color="auto"/>
        <w:right w:val="none" w:sz="0" w:space="0" w:color="auto"/>
      </w:divBdr>
    </w:div>
    <w:div w:id="744228660">
      <w:bodyDiv w:val="1"/>
      <w:marLeft w:val="0"/>
      <w:marRight w:val="0"/>
      <w:marTop w:val="0"/>
      <w:marBottom w:val="0"/>
      <w:divBdr>
        <w:top w:val="none" w:sz="0" w:space="0" w:color="auto"/>
        <w:left w:val="none" w:sz="0" w:space="0" w:color="auto"/>
        <w:bottom w:val="none" w:sz="0" w:space="0" w:color="auto"/>
        <w:right w:val="none" w:sz="0" w:space="0" w:color="auto"/>
      </w:divBdr>
    </w:div>
    <w:div w:id="744229158">
      <w:bodyDiv w:val="1"/>
      <w:marLeft w:val="0"/>
      <w:marRight w:val="0"/>
      <w:marTop w:val="0"/>
      <w:marBottom w:val="0"/>
      <w:divBdr>
        <w:top w:val="none" w:sz="0" w:space="0" w:color="auto"/>
        <w:left w:val="none" w:sz="0" w:space="0" w:color="auto"/>
        <w:bottom w:val="none" w:sz="0" w:space="0" w:color="auto"/>
        <w:right w:val="none" w:sz="0" w:space="0" w:color="auto"/>
      </w:divBdr>
    </w:div>
    <w:div w:id="744255704">
      <w:bodyDiv w:val="1"/>
      <w:marLeft w:val="0"/>
      <w:marRight w:val="0"/>
      <w:marTop w:val="0"/>
      <w:marBottom w:val="0"/>
      <w:divBdr>
        <w:top w:val="none" w:sz="0" w:space="0" w:color="auto"/>
        <w:left w:val="none" w:sz="0" w:space="0" w:color="auto"/>
        <w:bottom w:val="none" w:sz="0" w:space="0" w:color="auto"/>
        <w:right w:val="none" w:sz="0" w:space="0" w:color="auto"/>
      </w:divBdr>
    </w:div>
    <w:div w:id="744303691">
      <w:bodyDiv w:val="1"/>
      <w:marLeft w:val="0"/>
      <w:marRight w:val="0"/>
      <w:marTop w:val="0"/>
      <w:marBottom w:val="0"/>
      <w:divBdr>
        <w:top w:val="none" w:sz="0" w:space="0" w:color="auto"/>
        <w:left w:val="none" w:sz="0" w:space="0" w:color="auto"/>
        <w:bottom w:val="none" w:sz="0" w:space="0" w:color="auto"/>
        <w:right w:val="none" w:sz="0" w:space="0" w:color="auto"/>
      </w:divBdr>
    </w:div>
    <w:div w:id="744305897">
      <w:bodyDiv w:val="1"/>
      <w:marLeft w:val="0"/>
      <w:marRight w:val="0"/>
      <w:marTop w:val="0"/>
      <w:marBottom w:val="0"/>
      <w:divBdr>
        <w:top w:val="none" w:sz="0" w:space="0" w:color="auto"/>
        <w:left w:val="none" w:sz="0" w:space="0" w:color="auto"/>
        <w:bottom w:val="none" w:sz="0" w:space="0" w:color="auto"/>
        <w:right w:val="none" w:sz="0" w:space="0" w:color="auto"/>
      </w:divBdr>
    </w:div>
    <w:div w:id="744375085">
      <w:bodyDiv w:val="1"/>
      <w:marLeft w:val="0"/>
      <w:marRight w:val="0"/>
      <w:marTop w:val="0"/>
      <w:marBottom w:val="0"/>
      <w:divBdr>
        <w:top w:val="none" w:sz="0" w:space="0" w:color="auto"/>
        <w:left w:val="none" w:sz="0" w:space="0" w:color="auto"/>
        <w:bottom w:val="none" w:sz="0" w:space="0" w:color="auto"/>
        <w:right w:val="none" w:sz="0" w:space="0" w:color="auto"/>
      </w:divBdr>
    </w:div>
    <w:div w:id="744491517">
      <w:bodyDiv w:val="1"/>
      <w:marLeft w:val="0"/>
      <w:marRight w:val="0"/>
      <w:marTop w:val="0"/>
      <w:marBottom w:val="0"/>
      <w:divBdr>
        <w:top w:val="none" w:sz="0" w:space="0" w:color="auto"/>
        <w:left w:val="none" w:sz="0" w:space="0" w:color="auto"/>
        <w:bottom w:val="none" w:sz="0" w:space="0" w:color="auto"/>
        <w:right w:val="none" w:sz="0" w:space="0" w:color="auto"/>
      </w:divBdr>
    </w:div>
    <w:div w:id="744687207">
      <w:bodyDiv w:val="1"/>
      <w:marLeft w:val="0"/>
      <w:marRight w:val="0"/>
      <w:marTop w:val="0"/>
      <w:marBottom w:val="0"/>
      <w:divBdr>
        <w:top w:val="none" w:sz="0" w:space="0" w:color="auto"/>
        <w:left w:val="none" w:sz="0" w:space="0" w:color="auto"/>
        <w:bottom w:val="none" w:sz="0" w:space="0" w:color="auto"/>
        <w:right w:val="none" w:sz="0" w:space="0" w:color="auto"/>
      </w:divBdr>
    </w:div>
    <w:div w:id="744768034">
      <w:bodyDiv w:val="1"/>
      <w:marLeft w:val="0"/>
      <w:marRight w:val="0"/>
      <w:marTop w:val="0"/>
      <w:marBottom w:val="0"/>
      <w:divBdr>
        <w:top w:val="none" w:sz="0" w:space="0" w:color="auto"/>
        <w:left w:val="none" w:sz="0" w:space="0" w:color="auto"/>
        <w:bottom w:val="none" w:sz="0" w:space="0" w:color="auto"/>
        <w:right w:val="none" w:sz="0" w:space="0" w:color="auto"/>
      </w:divBdr>
    </w:div>
    <w:div w:id="744834899">
      <w:bodyDiv w:val="1"/>
      <w:marLeft w:val="0"/>
      <w:marRight w:val="0"/>
      <w:marTop w:val="0"/>
      <w:marBottom w:val="0"/>
      <w:divBdr>
        <w:top w:val="none" w:sz="0" w:space="0" w:color="auto"/>
        <w:left w:val="none" w:sz="0" w:space="0" w:color="auto"/>
        <w:bottom w:val="none" w:sz="0" w:space="0" w:color="auto"/>
        <w:right w:val="none" w:sz="0" w:space="0" w:color="auto"/>
      </w:divBdr>
    </w:div>
    <w:div w:id="744835832">
      <w:bodyDiv w:val="1"/>
      <w:marLeft w:val="0"/>
      <w:marRight w:val="0"/>
      <w:marTop w:val="0"/>
      <w:marBottom w:val="0"/>
      <w:divBdr>
        <w:top w:val="none" w:sz="0" w:space="0" w:color="auto"/>
        <w:left w:val="none" w:sz="0" w:space="0" w:color="auto"/>
        <w:bottom w:val="none" w:sz="0" w:space="0" w:color="auto"/>
        <w:right w:val="none" w:sz="0" w:space="0" w:color="auto"/>
      </w:divBdr>
    </w:div>
    <w:div w:id="744836121">
      <w:bodyDiv w:val="1"/>
      <w:marLeft w:val="0"/>
      <w:marRight w:val="0"/>
      <w:marTop w:val="0"/>
      <w:marBottom w:val="0"/>
      <w:divBdr>
        <w:top w:val="none" w:sz="0" w:space="0" w:color="auto"/>
        <w:left w:val="none" w:sz="0" w:space="0" w:color="auto"/>
        <w:bottom w:val="none" w:sz="0" w:space="0" w:color="auto"/>
        <w:right w:val="none" w:sz="0" w:space="0" w:color="auto"/>
      </w:divBdr>
    </w:div>
    <w:div w:id="744883099">
      <w:bodyDiv w:val="1"/>
      <w:marLeft w:val="0"/>
      <w:marRight w:val="0"/>
      <w:marTop w:val="0"/>
      <w:marBottom w:val="0"/>
      <w:divBdr>
        <w:top w:val="none" w:sz="0" w:space="0" w:color="auto"/>
        <w:left w:val="none" w:sz="0" w:space="0" w:color="auto"/>
        <w:bottom w:val="none" w:sz="0" w:space="0" w:color="auto"/>
        <w:right w:val="none" w:sz="0" w:space="0" w:color="auto"/>
      </w:divBdr>
    </w:div>
    <w:div w:id="744885787">
      <w:bodyDiv w:val="1"/>
      <w:marLeft w:val="0"/>
      <w:marRight w:val="0"/>
      <w:marTop w:val="0"/>
      <w:marBottom w:val="0"/>
      <w:divBdr>
        <w:top w:val="none" w:sz="0" w:space="0" w:color="auto"/>
        <w:left w:val="none" w:sz="0" w:space="0" w:color="auto"/>
        <w:bottom w:val="none" w:sz="0" w:space="0" w:color="auto"/>
        <w:right w:val="none" w:sz="0" w:space="0" w:color="auto"/>
      </w:divBdr>
    </w:div>
    <w:div w:id="744957532">
      <w:bodyDiv w:val="1"/>
      <w:marLeft w:val="0"/>
      <w:marRight w:val="0"/>
      <w:marTop w:val="0"/>
      <w:marBottom w:val="0"/>
      <w:divBdr>
        <w:top w:val="none" w:sz="0" w:space="0" w:color="auto"/>
        <w:left w:val="none" w:sz="0" w:space="0" w:color="auto"/>
        <w:bottom w:val="none" w:sz="0" w:space="0" w:color="auto"/>
        <w:right w:val="none" w:sz="0" w:space="0" w:color="auto"/>
      </w:divBdr>
    </w:div>
    <w:div w:id="745036539">
      <w:bodyDiv w:val="1"/>
      <w:marLeft w:val="0"/>
      <w:marRight w:val="0"/>
      <w:marTop w:val="0"/>
      <w:marBottom w:val="0"/>
      <w:divBdr>
        <w:top w:val="none" w:sz="0" w:space="0" w:color="auto"/>
        <w:left w:val="none" w:sz="0" w:space="0" w:color="auto"/>
        <w:bottom w:val="none" w:sz="0" w:space="0" w:color="auto"/>
        <w:right w:val="none" w:sz="0" w:space="0" w:color="auto"/>
      </w:divBdr>
    </w:div>
    <w:div w:id="745109188">
      <w:bodyDiv w:val="1"/>
      <w:marLeft w:val="0"/>
      <w:marRight w:val="0"/>
      <w:marTop w:val="0"/>
      <w:marBottom w:val="0"/>
      <w:divBdr>
        <w:top w:val="none" w:sz="0" w:space="0" w:color="auto"/>
        <w:left w:val="none" w:sz="0" w:space="0" w:color="auto"/>
        <w:bottom w:val="none" w:sz="0" w:space="0" w:color="auto"/>
        <w:right w:val="none" w:sz="0" w:space="0" w:color="auto"/>
      </w:divBdr>
    </w:div>
    <w:div w:id="745227539">
      <w:bodyDiv w:val="1"/>
      <w:marLeft w:val="0"/>
      <w:marRight w:val="0"/>
      <w:marTop w:val="0"/>
      <w:marBottom w:val="0"/>
      <w:divBdr>
        <w:top w:val="none" w:sz="0" w:space="0" w:color="auto"/>
        <w:left w:val="none" w:sz="0" w:space="0" w:color="auto"/>
        <w:bottom w:val="none" w:sz="0" w:space="0" w:color="auto"/>
        <w:right w:val="none" w:sz="0" w:space="0" w:color="auto"/>
      </w:divBdr>
    </w:div>
    <w:div w:id="745346092">
      <w:bodyDiv w:val="1"/>
      <w:marLeft w:val="0"/>
      <w:marRight w:val="0"/>
      <w:marTop w:val="0"/>
      <w:marBottom w:val="0"/>
      <w:divBdr>
        <w:top w:val="none" w:sz="0" w:space="0" w:color="auto"/>
        <w:left w:val="none" w:sz="0" w:space="0" w:color="auto"/>
        <w:bottom w:val="none" w:sz="0" w:space="0" w:color="auto"/>
        <w:right w:val="none" w:sz="0" w:space="0" w:color="auto"/>
      </w:divBdr>
    </w:div>
    <w:div w:id="745418045">
      <w:bodyDiv w:val="1"/>
      <w:marLeft w:val="0"/>
      <w:marRight w:val="0"/>
      <w:marTop w:val="0"/>
      <w:marBottom w:val="0"/>
      <w:divBdr>
        <w:top w:val="none" w:sz="0" w:space="0" w:color="auto"/>
        <w:left w:val="none" w:sz="0" w:space="0" w:color="auto"/>
        <w:bottom w:val="none" w:sz="0" w:space="0" w:color="auto"/>
        <w:right w:val="none" w:sz="0" w:space="0" w:color="auto"/>
      </w:divBdr>
    </w:div>
    <w:div w:id="745490414">
      <w:bodyDiv w:val="1"/>
      <w:marLeft w:val="0"/>
      <w:marRight w:val="0"/>
      <w:marTop w:val="0"/>
      <w:marBottom w:val="0"/>
      <w:divBdr>
        <w:top w:val="none" w:sz="0" w:space="0" w:color="auto"/>
        <w:left w:val="none" w:sz="0" w:space="0" w:color="auto"/>
        <w:bottom w:val="none" w:sz="0" w:space="0" w:color="auto"/>
        <w:right w:val="none" w:sz="0" w:space="0" w:color="auto"/>
      </w:divBdr>
    </w:div>
    <w:div w:id="745496479">
      <w:bodyDiv w:val="1"/>
      <w:marLeft w:val="0"/>
      <w:marRight w:val="0"/>
      <w:marTop w:val="0"/>
      <w:marBottom w:val="0"/>
      <w:divBdr>
        <w:top w:val="none" w:sz="0" w:space="0" w:color="auto"/>
        <w:left w:val="none" w:sz="0" w:space="0" w:color="auto"/>
        <w:bottom w:val="none" w:sz="0" w:space="0" w:color="auto"/>
        <w:right w:val="none" w:sz="0" w:space="0" w:color="auto"/>
      </w:divBdr>
    </w:div>
    <w:div w:id="745612825">
      <w:bodyDiv w:val="1"/>
      <w:marLeft w:val="0"/>
      <w:marRight w:val="0"/>
      <w:marTop w:val="0"/>
      <w:marBottom w:val="0"/>
      <w:divBdr>
        <w:top w:val="none" w:sz="0" w:space="0" w:color="auto"/>
        <w:left w:val="none" w:sz="0" w:space="0" w:color="auto"/>
        <w:bottom w:val="none" w:sz="0" w:space="0" w:color="auto"/>
        <w:right w:val="none" w:sz="0" w:space="0" w:color="auto"/>
      </w:divBdr>
    </w:div>
    <w:div w:id="745613072">
      <w:bodyDiv w:val="1"/>
      <w:marLeft w:val="0"/>
      <w:marRight w:val="0"/>
      <w:marTop w:val="0"/>
      <w:marBottom w:val="0"/>
      <w:divBdr>
        <w:top w:val="none" w:sz="0" w:space="0" w:color="auto"/>
        <w:left w:val="none" w:sz="0" w:space="0" w:color="auto"/>
        <w:bottom w:val="none" w:sz="0" w:space="0" w:color="auto"/>
        <w:right w:val="none" w:sz="0" w:space="0" w:color="auto"/>
      </w:divBdr>
    </w:div>
    <w:div w:id="745691089">
      <w:bodyDiv w:val="1"/>
      <w:marLeft w:val="0"/>
      <w:marRight w:val="0"/>
      <w:marTop w:val="0"/>
      <w:marBottom w:val="0"/>
      <w:divBdr>
        <w:top w:val="none" w:sz="0" w:space="0" w:color="auto"/>
        <w:left w:val="none" w:sz="0" w:space="0" w:color="auto"/>
        <w:bottom w:val="none" w:sz="0" w:space="0" w:color="auto"/>
        <w:right w:val="none" w:sz="0" w:space="0" w:color="auto"/>
      </w:divBdr>
    </w:div>
    <w:div w:id="745764033">
      <w:bodyDiv w:val="1"/>
      <w:marLeft w:val="0"/>
      <w:marRight w:val="0"/>
      <w:marTop w:val="0"/>
      <w:marBottom w:val="0"/>
      <w:divBdr>
        <w:top w:val="none" w:sz="0" w:space="0" w:color="auto"/>
        <w:left w:val="none" w:sz="0" w:space="0" w:color="auto"/>
        <w:bottom w:val="none" w:sz="0" w:space="0" w:color="auto"/>
        <w:right w:val="none" w:sz="0" w:space="0" w:color="auto"/>
      </w:divBdr>
    </w:div>
    <w:div w:id="745879277">
      <w:bodyDiv w:val="1"/>
      <w:marLeft w:val="0"/>
      <w:marRight w:val="0"/>
      <w:marTop w:val="0"/>
      <w:marBottom w:val="0"/>
      <w:divBdr>
        <w:top w:val="none" w:sz="0" w:space="0" w:color="auto"/>
        <w:left w:val="none" w:sz="0" w:space="0" w:color="auto"/>
        <w:bottom w:val="none" w:sz="0" w:space="0" w:color="auto"/>
        <w:right w:val="none" w:sz="0" w:space="0" w:color="auto"/>
      </w:divBdr>
    </w:div>
    <w:div w:id="746074140">
      <w:bodyDiv w:val="1"/>
      <w:marLeft w:val="0"/>
      <w:marRight w:val="0"/>
      <w:marTop w:val="0"/>
      <w:marBottom w:val="0"/>
      <w:divBdr>
        <w:top w:val="none" w:sz="0" w:space="0" w:color="auto"/>
        <w:left w:val="none" w:sz="0" w:space="0" w:color="auto"/>
        <w:bottom w:val="none" w:sz="0" w:space="0" w:color="auto"/>
        <w:right w:val="none" w:sz="0" w:space="0" w:color="auto"/>
      </w:divBdr>
    </w:div>
    <w:div w:id="746195850">
      <w:bodyDiv w:val="1"/>
      <w:marLeft w:val="0"/>
      <w:marRight w:val="0"/>
      <w:marTop w:val="0"/>
      <w:marBottom w:val="0"/>
      <w:divBdr>
        <w:top w:val="none" w:sz="0" w:space="0" w:color="auto"/>
        <w:left w:val="none" w:sz="0" w:space="0" w:color="auto"/>
        <w:bottom w:val="none" w:sz="0" w:space="0" w:color="auto"/>
        <w:right w:val="none" w:sz="0" w:space="0" w:color="auto"/>
      </w:divBdr>
    </w:div>
    <w:div w:id="746459208">
      <w:bodyDiv w:val="1"/>
      <w:marLeft w:val="0"/>
      <w:marRight w:val="0"/>
      <w:marTop w:val="0"/>
      <w:marBottom w:val="0"/>
      <w:divBdr>
        <w:top w:val="none" w:sz="0" w:space="0" w:color="auto"/>
        <w:left w:val="none" w:sz="0" w:space="0" w:color="auto"/>
        <w:bottom w:val="none" w:sz="0" w:space="0" w:color="auto"/>
        <w:right w:val="none" w:sz="0" w:space="0" w:color="auto"/>
      </w:divBdr>
    </w:div>
    <w:div w:id="746460327">
      <w:bodyDiv w:val="1"/>
      <w:marLeft w:val="0"/>
      <w:marRight w:val="0"/>
      <w:marTop w:val="0"/>
      <w:marBottom w:val="0"/>
      <w:divBdr>
        <w:top w:val="none" w:sz="0" w:space="0" w:color="auto"/>
        <w:left w:val="none" w:sz="0" w:space="0" w:color="auto"/>
        <w:bottom w:val="none" w:sz="0" w:space="0" w:color="auto"/>
        <w:right w:val="none" w:sz="0" w:space="0" w:color="auto"/>
      </w:divBdr>
    </w:div>
    <w:div w:id="746533507">
      <w:bodyDiv w:val="1"/>
      <w:marLeft w:val="0"/>
      <w:marRight w:val="0"/>
      <w:marTop w:val="0"/>
      <w:marBottom w:val="0"/>
      <w:divBdr>
        <w:top w:val="none" w:sz="0" w:space="0" w:color="auto"/>
        <w:left w:val="none" w:sz="0" w:space="0" w:color="auto"/>
        <w:bottom w:val="none" w:sz="0" w:space="0" w:color="auto"/>
        <w:right w:val="none" w:sz="0" w:space="0" w:color="auto"/>
      </w:divBdr>
    </w:div>
    <w:div w:id="746922950">
      <w:bodyDiv w:val="1"/>
      <w:marLeft w:val="0"/>
      <w:marRight w:val="0"/>
      <w:marTop w:val="0"/>
      <w:marBottom w:val="0"/>
      <w:divBdr>
        <w:top w:val="none" w:sz="0" w:space="0" w:color="auto"/>
        <w:left w:val="none" w:sz="0" w:space="0" w:color="auto"/>
        <w:bottom w:val="none" w:sz="0" w:space="0" w:color="auto"/>
        <w:right w:val="none" w:sz="0" w:space="0" w:color="auto"/>
      </w:divBdr>
    </w:div>
    <w:div w:id="746995761">
      <w:bodyDiv w:val="1"/>
      <w:marLeft w:val="0"/>
      <w:marRight w:val="0"/>
      <w:marTop w:val="0"/>
      <w:marBottom w:val="0"/>
      <w:divBdr>
        <w:top w:val="none" w:sz="0" w:space="0" w:color="auto"/>
        <w:left w:val="none" w:sz="0" w:space="0" w:color="auto"/>
        <w:bottom w:val="none" w:sz="0" w:space="0" w:color="auto"/>
        <w:right w:val="none" w:sz="0" w:space="0" w:color="auto"/>
      </w:divBdr>
    </w:div>
    <w:div w:id="747000017">
      <w:bodyDiv w:val="1"/>
      <w:marLeft w:val="0"/>
      <w:marRight w:val="0"/>
      <w:marTop w:val="0"/>
      <w:marBottom w:val="0"/>
      <w:divBdr>
        <w:top w:val="none" w:sz="0" w:space="0" w:color="auto"/>
        <w:left w:val="none" w:sz="0" w:space="0" w:color="auto"/>
        <w:bottom w:val="none" w:sz="0" w:space="0" w:color="auto"/>
        <w:right w:val="none" w:sz="0" w:space="0" w:color="auto"/>
      </w:divBdr>
    </w:div>
    <w:div w:id="747045130">
      <w:bodyDiv w:val="1"/>
      <w:marLeft w:val="0"/>
      <w:marRight w:val="0"/>
      <w:marTop w:val="0"/>
      <w:marBottom w:val="0"/>
      <w:divBdr>
        <w:top w:val="none" w:sz="0" w:space="0" w:color="auto"/>
        <w:left w:val="none" w:sz="0" w:space="0" w:color="auto"/>
        <w:bottom w:val="none" w:sz="0" w:space="0" w:color="auto"/>
        <w:right w:val="none" w:sz="0" w:space="0" w:color="auto"/>
      </w:divBdr>
    </w:div>
    <w:div w:id="747121474">
      <w:bodyDiv w:val="1"/>
      <w:marLeft w:val="0"/>
      <w:marRight w:val="0"/>
      <w:marTop w:val="0"/>
      <w:marBottom w:val="0"/>
      <w:divBdr>
        <w:top w:val="none" w:sz="0" w:space="0" w:color="auto"/>
        <w:left w:val="none" w:sz="0" w:space="0" w:color="auto"/>
        <w:bottom w:val="none" w:sz="0" w:space="0" w:color="auto"/>
        <w:right w:val="none" w:sz="0" w:space="0" w:color="auto"/>
      </w:divBdr>
    </w:div>
    <w:div w:id="747195643">
      <w:bodyDiv w:val="1"/>
      <w:marLeft w:val="0"/>
      <w:marRight w:val="0"/>
      <w:marTop w:val="0"/>
      <w:marBottom w:val="0"/>
      <w:divBdr>
        <w:top w:val="none" w:sz="0" w:space="0" w:color="auto"/>
        <w:left w:val="none" w:sz="0" w:space="0" w:color="auto"/>
        <w:bottom w:val="none" w:sz="0" w:space="0" w:color="auto"/>
        <w:right w:val="none" w:sz="0" w:space="0" w:color="auto"/>
      </w:divBdr>
    </w:div>
    <w:div w:id="747265325">
      <w:bodyDiv w:val="1"/>
      <w:marLeft w:val="0"/>
      <w:marRight w:val="0"/>
      <w:marTop w:val="0"/>
      <w:marBottom w:val="0"/>
      <w:divBdr>
        <w:top w:val="none" w:sz="0" w:space="0" w:color="auto"/>
        <w:left w:val="none" w:sz="0" w:space="0" w:color="auto"/>
        <w:bottom w:val="none" w:sz="0" w:space="0" w:color="auto"/>
        <w:right w:val="none" w:sz="0" w:space="0" w:color="auto"/>
      </w:divBdr>
    </w:div>
    <w:div w:id="747307090">
      <w:bodyDiv w:val="1"/>
      <w:marLeft w:val="0"/>
      <w:marRight w:val="0"/>
      <w:marTop w:val="0"/>
      <w:marBottom w:val="0"/>
      <w:divBdr>
        <w:top w:val="none" w:sz="0" w:space="0" w:color="auto"/>
        <w:left w:val="none" w:sz="0" w:space="0" w:color="auto"/>
        <w:bottom w:val="none" w:sz="0" w:space="0" w:color="auto"/>
        <w:right w:val="none" w:sz="0" w:space="0" w:color="auto"/>
      </w:divBdr>
    </w:div>
    <w:div w:id="747310396">
      <w:bodyDiv w:val="1"/>
      <w:marLeft w:val="0"/>
      <w:marRight w:val="0"/>
      <w:marTop w:val="0"/>
      <w:marBottom w:val="0"/>
      <w:divBdr>
        <w:top w:val="none" w:sz="0" w:space="0" w:color="auto"/>
        <w:left w:val="none" w:sz="0" w:space="0" w:color="auto"/>
        <w:bottom w:val="none" w:sz="0" w:space="0" w:color="auto"/>
        <w:right w:val="none" w:sz="0" w:space="0" w:color="auto"/>
      </w:divBdr>
    </w:div>
    <w:div w:id="747311564">
      <w:bodyDiv w:val="1"/>
      <w:marLeft w:val="0"/>
      <w:marRight w:val="0"/>
      <w:marTop w:val="0"/>
      <w:marBottom w:val="0"/>
      <w:divBdr>
        <w:top w:val="none" w:sz="0" w:space="0" w:color="auto"/>
        <w:left w:val="none" w:sz="0" w:space="0" w:color="auto"/>
        <w:bottom w:val="none" w:sz="0" w:space="0" w:color="auto"/>
        <w:right w:val="none" w:sz="0" w:space="0" w:color="auto"/>
      </w:divBdr>
    </w:div>
    <w:div w:id="747338247">
      <w:bodyDiv w:val="1"/>
      <w:marLeft w:val="0"/>
      <w:marRight w:val="0"/>
      <w:marTop w:val="0"/>
      <w:marBottom w:val="0"/>
      <w:divBdr>
        <w:top w:val="none" w:sz="0" w:space="0" w:color="auto"/>
        <w:left w:val="none" w:sz="0" w:space="0" w:color="auto"/>
        <w:bottom w:val="none" w:sz="0" w:space="0" w:color="auto"/>
        <w:right w:val="none" w:sz="0" w:space="0" w:color="auto"/>
      </w:divBdr>
    </w:div>
    <w:div w:id="747458284">
      <w:bodyDiv w:val="1"/>
      <w:marLeft w:val="0"/>
      <w:marRight w:val="0"/>
      <w:marTop w:val="0"/>
      <w:marBottom w:val="0"/>
      <w:divBdr>
        <w:top w:val="none" w:sz="0" w:space="0" w:color="auto"/>
        <w:left w:val="none" w:sz="0" w:space="0" w:color="auto"/>
        <w:bottom w:val="none" w:sz="0" w:space="0" w:color="auto"/>
        <w:right w:val="none" w:sz="0" w:space="0" w:color="auto"/>
      </w:divBdr>
    </w:div>
    <w:div w:id="747574303">
      <w:bodyDiv w:val="1"/>
      <w:marLeft w:val="0"/>
      <w:marRight w:val="0"/>
      <w:marTop w:val="0"/>
      <w:marBottom w:val="0"/>
      <w:divBdr>
        <w:top w:val="none" w:sz="0" w:space="0" w:color="auto"/>
        <w:left w:val="none" w:sz="0" w:space="0" w:color="auto"/>
        <w:bottom w:val="none" w:sz="0" w:space="0" w:color="auto"/>
        <w:right w:val="none" w:sz="0" w:space="0" w:color="auto"/>
      </w:divBdr>
    </w:div>
    <w:div w:id="747730655">
      <w:bodyDiv w:val="1"/>
      <w:marLeft w:val="0"/>
      <w:marRight w:val="0"/>
      <w:marTop w:val="0"/>
      <w:marBottom w:val="0"/>
      <w:divBdr>
        <w:top w:val="none" w:sz="0" w:space="0" w:color="auto"/>
        <w:left w:val="none" w:sz="0" w:space="0" w:color="auto"/>
        <w:bottom w:val="none" w:sz="0" w:space="0" w:color="auto"/>
        <w:right w:val="none" w:sz="0" w:space="0" w:color="auto"/>
      </w:divBdr>
    </w:div>
    <w:div w:id="747769832">
      <w:bodyDiv w:val="1"/>
      <w:marLeft w:val="0"/>
      <w:marRight w:val="0"/>
      <w:marTop w:val="0"/>
      <w:marBottom w:val="0"/>
      <w:divBdr>
        <w:top w:val="none" w:sz="0" w:space="0" w:color="auto"/>
        <w:left w:val="none" w:sz="0" w:space="0" w:color="auto"/>
        <w:bottom w:val="none" w:sz="0" w:space="0" w:color="auto"/>
        <w:right w:val="none" w:sz="0" w:space="0" w:color="auto"/>
      </w:divBdr>
    </w:div>
    <w:div w:id="747775727">
      <w:bodyDiv w:val="1"/>
      <w:marLeft w:val="0"/>
      <w:marRight w:val="0"/>
      <w:marTop w:val="0"/>
      <w:marBottom w:val="0"/>
      <w:divBdr>
        <w:top w:val="none" w:sz="0" w:space="0" w:color="auto"/>
        <w:left w:val="none" w:sz="0" w:space="0" w:color="auto"/>
        <w:bottom w:val="none" w:sz="0" w:space="0" w:color="auto"/>
        <w:right w:val="none" w:sz="0" w:space="0" w:color="auto"/>
      </w:divBdr>
    </w:div>
    <w:div w:id="747848035">
      <w:bodyDiv w:val="1"/>
      <w:marLeft w:val="0"/>
      <w:marRight w:val="0"/>
      <w:marTop w:val="0"/>
      <w:marBottom w:val="0"/>
      <w:divBdr>
        <w:top w:val="none" w:sz="0" w:space="0" w:color="auto"/>
        <w:left w:val="none" w:sz="0" w:space="0" w:color="auto"/>
        <w:bottom w:val="none" w:sz="0" w:space="0" w:color="auto"/>
        <w:right w:val="none" w:sz="0" w:space="0" w:color="auto"/>
      </w:divBdr>
    </w:div>
    <w:div w:id="747926618">
      <w:bodyDiv w:val="1"/>
      <w:marLeft w:val="0"/>
      <w:marRight w:val="0"/>
      <w:marTop w:val="0"/>
      <w:marBottom w:val="0"/>
      <w:divBdr>
        <w:top w:val="none" w:sz="0" w:space="0" w:color="auto"/>
        <w:left w:val="none" w:sz="0" w:space="0" w:color="auto"/>
        <w:bottom w:val="none" w:sz="0" w:space="0" w:color="auto"/>
        <w:right w:val="none" w:sz="0" w:space="0" w:color="auto"/>
      </w:divBdr>
    </w:div>
    <w:div w:id="747969273">
      <w:bodyDiv w:val="1"/>
      <w:marLeft w:val="0"/>
      <w:marRight w:val="0"/>
      <w:marTop w:val="0"/>
      <w:marBottom w:val="0"/>
      <w:divBdr>
        <w:top w:val="none" w:sz="0" w:space="0" w:color="auto"/>
        <w:left w:val="none" w:sz="0" w:space="0" w:color="auto"/>
        <w:bottom w:val="none" w:sz="0" w:space="0" w:color="auto"/>
        <w:right w:val="none" w:sz="0" w:space="0" w:color="auto"/>
      </w:divBdr>
    </w:div>
    <w:div w:id="748042159">
      <w:bodyDiv w:val="1"/>
      <w:marLeft w:val="0"/>
      <w:marRight w:val="0"/>
      <w:marTop w:val="0"/>
      <w:marBottom w:val="0"/>
      <w:divBdr>
        <w:top w:val="none" w:sz="0" w:space="0" w:color="auto"/>
        <w:left w:val="none" w:sz="0" w:space="0" w:color="auto"/>
        <w:bottom w:val="none" w:sz="0" w:space="0" w:color="auto"/>
        <w:right w:val="none" w:sz="0" w:space="0" w:color="auto"/>
      </w:divBdr>
    </w:div>
    <w:div w:id="748379880">
      <w:bodyDiv w:val="1"/>
      <w:marLeft w:val="0"/>
      <w:marRight w:val="0"/>
      <w:marTop w:val="0"/>
      <w:marBottom w:val="0"/>
      <w:divBdr>
        <w:top w:val="none" w:sz="0" w:space="0" w:color="auto"/>
        <w:left w:val="none" w:sz="0" w:space="0" w:color="auto"/>
        <w:bottom w:val="none" w:sz="0" w:space="0" w:color="auto"/>
        <w:right w:val="none" w:sz="0" w:space="0" w:color="auto"/>
      </w:divBdr>
    </w:div>
    <w:div w:id="748620793">
      <w:bodyDiv w:val="1"/>
      <w:marLeft w:val="0"/>
      <w:marRight w:val="0"/>
      <w:marTop w:val="0"/>
      <w:marBottom w:val="0"/>
      <w:divBdr>
        <w:top w:val="none" w:sz="0" w:space="0" w:color="auto"/>
        <w:left w:val="none" w:sz="0" w:space="0" w:color="auto"/>
        <w:bottom w:val="none" w:sz="0" w:space="0" w:color="auto"/>
        <w:right w:val="none" w:sz="0" w:space="0" w:color="auto"/>
      </w:divBdr>
    </w:div>
    <w:div w:id="748623552">
      <w:bodyDiv w:val="1"/>
      <w:marLeft w:val="0"/>
      <w:marRight w:val="0"/>
      <w:marTop w:val="0"/>
      <w:marBottom w:val="0"/>
      <w:divBdr>
        <w:top w:val="none" w:sz="0" w:space="0" w:color="auto"/>
        <w:left w:val="none" w:sz="0" w:space="0" w:color="auto"/>
        <w:bottom w:val="none" w:sz="0" w:space="0" w:color="auto"/>
        <w:right w:val="none" w:sz="0" w:space="0" w:color="auto"/>
      </w:divBdr>
    </w:div>
    <w:div w:id="748767271">
      <w:bodyDiv w:val="1"/>
      <w:marLeft w:val="0"/>
      <w:marRight w:val="0"/>
      <w:marTop w:val="0"/>
      <w:marBottom w:val="0"/>
      <w:divBdr>
        <w:top w:val="none" w:sz="0" w:space="0" w:color="auto"/>
        <w:left w:val="none" w:sz="0" w:space="0" w:color="auto"/>
        <w:bottom w:val="none" w:sz="0" w:space="0" w:color="auto"/>
        <w:right w:val="none" w:sz="0" w:space="0" w:color="auto"/>
      </w:divBdr>
    </w:div>
    <w:div w:id="748815962">
      <w:bodyDiv w:val="1"/>
      <w:marLeft w:val="0"/>
      <w:marRight w:val="0"/>
      <w:marTop w:val="0"/>
      <w:marBottom w:val="0"/>
      <w:divBdr>
        <w:top w:val="none" w:sz="0" w:space="0" w:color="auto"/>
        <w:left w:val="none" w:sz="0" w:space="0" w:color="auto"/>
        <w:bottom w:val="none" w:sz="0" w:space="0" w:color="auto"/>
        <w:right w:val="none" w:sz="0" w:space="0" w:color="auto"/>
      </w:divBdr>
    </w:div>
    <w:div w:id="748885349">
      <w:bodyDiv w:val="1"/>
      <w:marLeft w:val="0"/>
      <w:marRight w:val="0"/>
      <w:marTop w:val="0"/>
      <w:marBottom w:val="0"/>
      <w:divBdr>
        <w:top w:val="none" w:sz="0" w:space="0" w:color="auto"/>
        <w:left w:val="none" w:sz="0" w:space="0" w:color="auto"/>
        <w:bottom w:val="none" w:sz="0" w:space="0" w:color="auto"/>
        <w:right w:val="none" w:sz="0" w:space="0" w:color="auto"/>
      </w:divBdr>
    </w:div>
    <w:div w:id="748886423">
      <w:bodyDiv w:val="1"/>
      <w:marLeft w:val="0"/>
      <w:marRight w:val="0"/>
      <w:marTop w:val="0"/>
      <w:marBottom w:val="0"/>
      <w:divBdr>
        <w:top w:val="none" w:sz="0" w:space="0" w:color="auto"/>
        <w:left w:val="none" w:sz="0" w:space="0" w:color="auto"/>
        <w:bottom w:val="none" w:sz="0" w:space="0" w:color="auto"/>
        <w:right w:val="none" w:sz="0" w:space="0" w:color="auto"/>
      </w:divBdr>
    </w:div>
    <w:div w:id="748887963">
      <w:bodyDiv w:val="1"/>
      <w:marLeft w:val="0"/>
      <w:marRight w:val="0"/>
      <w:marTop w:val="0"/>
      <w:marBottom w:val="0"/>
      <w:divBdr>
        <w:top w:val="none" w:sz="0" w:space="0" w:color="auto"/>
        <w:left w:val="none" w:sz="0" w:space="0" w:color="auto"/>
        <w:bottom w:val="none" w:sz="0" w:space="0" w:color="auto"/>
        <w:right w:val="none" w:sz="0" w:space="0" w:color="auto"/>
      </w:divBdr>
    </w:div>
    <w:div w:id="748968431">
      <w:bodyDiv w:val="1"/>
      <w:marLeft w:val="0"/>
      <w:marRight w:val="0"/>
      <w:marTop w:val="0"/>
      <w:marBottom w:val="0"/>
      <w:divBdr>
        <w:top w:val="none" w:sz="0" w:space="0" w:color="auto"/>
        <w:left w:val="none" w:sz="0" w:space="0" w:color="auto"/>
        <w:bottom w:val="none" w:sz="0" w:space="0" w:color="auto"/>
        <w:right w:val="none" w:sz="0" w:space="0" w:color="auto"/>
      </w:divBdr>
    </w:div>
    <w:div w:id="749035114">
      <w:bodyDiv w:val="1"/>
      <w:marLeft w:val="0"/>
      <w:marRight w:val="0"/>
      <w:marTop w:val="0"/>
      <w:marBottom w:val="0"/>
      <w:divBdr>
        <w:top w:val="none" w:sz="0" w:space="0" w:color="auto"/>
        <w:left w:val="none" w:sz="0" w:space="0" w:color="auto"/>
        <w:bottom w:val="none" w:sz="0" w:space="0" w:color="auto"/>
        <w:right w:val="none" w:sz="0" w:space="0" w:color="auto"/>
      </w:divBdr>
    </w:div>
    <w:div w:id="749042575">
      <w:bodyDiv w:val="1"/>
      <w:marLeft w:val="0"/>
      <w:marRight w:val="0"/>
      <w:marTop w:val="0"/>
      <w:marBottom w:val="0"/>
      <w:divBdr>
        <w:top w:val="none" w:sz="0" w:space="0" w:color="auto"/>
        <w:left w:val="none" w:sz="0" w:space="0" w:color="auto"/>
        <w:bottom w:val="none" w:sz="0" w:space="0" w:color="auto"/>
        <w:right w:val="none" w:sz="0" w:space="0" w:color="auto"/>
      </w:divBdr>
    </w:div>
    <w:div w:id="749234752">
      <w:bodyDiv w:val="1"/>
      <w:marLeft w:val="0"/>
      <w:marRight w:val="0"/>
      <w:marTop w:val="0"/>
      <w:marBottom w:val="0"/>
      <w:divBdr>
        <w:top w:val="none" w:sz="0" w:space="0" w:color="auto"/>
        <w:left w:val="none" w:sz="0" w:space="0" w:color="auto"/>
        <w:bottom w:val="none" w:sz="0" w:space="0" w:color="auto"/>
        <w:right w:val="none" w:sz="0" w:space="0" w:color="auto"/>
      </w:divBdr>
    </w:div>
    <w:div w:id="749274634">
      <w:bodyDiv w:val="1"/>
      <w:marLeft w:val="0"/>
      <w:marRight w:val="0"/>
      <w:marTop w:val="0"/>
      <w:marBottom w:val="0"/>
      <w:divBdr>
        <w:top w:val="none" w:sz="0" w:space="0" w:color="auto"/>
        <w:left w:val="none" w:sz="0" w:space="0" w:color="auto"/>
        <w:bottom w:val="none" w:sz="0" w:space="0" w:color="auto"/>
        <w:right w:val="none" w:sz="0" w:space="0" w:color="auto"/>
      </w:divBdr>
    </w:div>
    <w:div w:id="749304034">
      <w:bodyDiv w:val="1"/>
      <w:marLeft w:val="0"/>
      <w:marRight w:val="0"/>
      <w:marTop w:val="0"/>
      <w:marBottom w:val="0"/>
      <w:divBdr>
        <w:top w:val="none" w:sz="0" w:space="0" w:color="auto"/>
        <w:left w:val="none" w:sz="0" w:space="0" w:color="auto"/>
        <w:bottom w:val="none" w:sz="0" w:space="0" w:color="auto"/>
        <w:right w:val="none" w:sz="0" w:space="0" w:color="auto"/>
      </w:divBdr>
    </w:div>
    <w:div w:id="749346619">
      <w:bodyDiv w:val="1"/>
      <w:marLeft w:val="0"/>
      <w:marRight w:val="0"/>
      <w:marTop w:val="0"/>
      <w:marBottom w:val="0"/>
      <w:divBdr>
        <w:top w:val="none" w:sz="0" w:space="0" w:color="auto"/>
        <w:left w:val="none" w:sz="0" w:space="0" w:color="auto"/>
        <w:bottom w:val="none" w:sz="0" w:space="0" w:color="auto"/>
        <w:right w:val="none" w:sz="0" w:space="0" w:color="auto"/>
      </w:divBdr>
    </w:div>
    <w:div w:id="749427880">
      <w:bodyDiv w:val="1"/>
      <w:marLeft w:val="0"/>
      <w:marRight w:val="0"/>
      <w:marTop w:val="0"/>
      <w:marBottom w:val="0"/>
      <w:divBdr>
        <w:top w:val="none" w:sz="0" w:space="0" w:color="auto"/>
        <w:left w:val="none" w:sz="0" w:space="0" w:color="auto"/>
        <w:bottom w:val="none" w:sz="0" w:space="0" w:color="auto"/>
        <w:right w:val="none" w:sz="0" w:space="0" w:color="auto"/>
      </w:divBdr>
    </w:div>
    <w:div w:id="749618360">
      <w:bodyDiv w:val="1"/>
      <w:marLeft w:val="0"/>
      <w:marRight w:val="0"/>
      <w:marTop w:val="0"/>
      <w:marBottom w:val="0"/>
      <w:divBdr>
        <w:top w:val="none" w:sz="0" w:space="0" w:color="auto"/>
        <w:left w:val="none" w:sz="0" w:space="0" w:color="auto"/>
        <w:bottom w:val="none" w:sz="0" w:space="0" w:color="auto"/>
        <w:right w:val="none" w:sz="0" w:space="0" w:color="auto"/>
      </w:divBdr>
    </w:div>
    <w:div w:id="749697788">
      <w:bodyDiv w:val="1"/>
      <w:marLeft w:val="0"/>
      <w:marRight w:val="0"/>
      <w:marTop w:val="0"/>
      <w:marBottom w:val="0"/>
      <w:divBdr>
        <w:top w:val="none" w:sz="0" w:space="0" w:color="auto"/>
        <w:left w:val="none" w:sz="0" w:space="0" w:color="auto"/>
        <w:bottom w:val="none" w:sz="0" w:space="0" w:color="auto"/>
        <w:right w:val="none" w:sz="0" w:space="0" w:color="auto"/>
      </w:divBdr>
    </w:div>
    <w:div w:id="749738181">
      <w:bodyDiv w:val="1"/>
      <w:marLeft w:val="0"/>
      <w:marRight w:val="0"/>
      <w:marTop w:val="0"/>
      <w:marBottom w:val="0"/>
      <w:divBdr>
        <w:top w:val="none" w:sz="0" w:space="0" w:color="auto"/>
        <w:left w:val="none" w:sz="0" w:space="0" w:color="auto"/>
        <w:bottom w:val="none" w:sz="0" w:space="0" w:color="auto"/>
        <w:right w:val="none" w:sz="0" w:space="0" w:color="auto"/>
      </w:divBdr>
    </w:div>
    <w:div w:id="749812296">
      <w:bodyDiv w:val="1"/>
      <w:marLeft w:val="0"/>
      <w:marRight w:val="0"/>
      <w:marTop w:val="0"/>
      <w:marBottom w:val="0"/>
      <w:divBdr>
        <w:top w:val="none" w:sz="0" w:space="0" w:color="auto"/>
        <w:left w:val="none" w:sz="0" w:space="0" w:color="auto"/>
        <w:bottom w:val="none" w:sz="0" w:space="0" w:color="auto"/>
        <w:right w:val="none" w:sz="0" w:space="0" w:color="auto"/>
      </w:divBdr>
    </w:div>
    <w:div w:id="750004874">
      <w:bodyDiv w:val="1"/>
      <w:marLeft w:val="0"/>
      <w:marRight w:val="0"/>
      <w:marTop w:val="0"/>
      <w:marBottom w:val="0"/>
      <w:divBdr>
        <w:top w:val="none" w:sz="0" w:space="0" w:color="auto"/>
        <w:left w:val="none" w:sz="0" w:space="0" w:color="auto"/>
        <w:bottom w:val="none" w:sz="0" w:space="0" w:color="auto"/>
        <w:right w:val="none" w:sz="0" w:space="0" w:color="auto"/>
      </w:divBdr>
    </w:div>
    <w:div w:id="750007225">
      <w:bodyDiv w:val="1"/>
      <w:marLeft w:val="0"/>
      <w:marRight w:val="0"/>
      <w:marTop w:val="0"/>
      <w:marBottom w:val="0"/>
      <w:divBdr>
        <w:top w:val="none" w:sz="0" w:space="0" w:color="auto"/>
        <w:left w:val="none" w:sz="0" w:space="0" w:color="auto"/>
        <w:bottom w:val="none" w:sz="0" w:space="0" w:color="auto"/>
        <w:right w:val="none" w:sz="0" w:space="0" w:color="auto"/>
      </w:divBdr>
    </w:div>
    <w:div w:id="750007294">
      <w:bodyDiv w:val="1"/>
      <w:marLeft w:val="0"/>
      <w:marRight w:val="0"/>
      <w:marTop w:val="0"/>
      <w:marBottom w:val="0"/>
      <w:divBdr>
        <w:top w:val="none" w:sz="0" w:space="0" w:color="auto"/>
        <w:left w:val="none" w:sz="0" w:space="0" w:color="auto"/>
        <w:bottom w:val="none" w:sz="0" w:space="0" w:color="auto"/>
        <w:right w:val="none" w:sz="0" w:space="0" w:color="auto"/>
      </w:divBdr>
    </w:div>
    <w:div w:id="750156601">
      <w:bodyDiv w:val="1"/>
      <w:marLeft w:val="0"/>
      <w:marRight w:val="0"/>
      <w:marTop w:val="0"/>
      <w:marBottom w:val="0"/>
      <w:divBdr>
        <w:top w:val="none" w:sz="0" w:space="0" w:color="auto"/>
        <w:left w:val="none" w:sz="0" w:space="0" w:color="auto"/>
        <w:bottom w:val="none" w:sz="0" w:space="0" w:color="auto"/>
        <w:right w:val="none" w:sz="0" w:space="0" w:color="auto"/>
      </w:divBdr>
    </w:div>
    <w:div w:id="750197643">
      <w:bodyDiv w:val="1"/>
      <w:marLeft w:val="0"/>
      <w:marRight w:val="0"/>
      <w:marTop w:val="0"/>
      <w:marBottom w:val="0"/>
      <w:divBdr>
        <w:top w:val="none" w:sz="0" w:space="0" w:color="auto"/>
        <w:left w:val="none" w:sz="0" w:space="0" w:color="auto"/>
        <w:bottom w:val="none" w:sz="0" w:space="0" w:color="auto"/>
        <w:right w:val="none" w:sz="0" w:space="0" w:color="auto"/>
      </w:divBdr>
    </w:div>
    <w:div w:id="750199662">
      <w:bodyDiv w:val="1"/>
      <w:marLeft w:val="0"/>
      <w:marRight w:val="0"/>
      <w:marTop w:val="0"/>
      <w:marBottom w:val="0"/>
      <w:divBdr>
        <w:top w:val="none" w:sz="0" w:space="0" w:color="auto"/>
        <w:left w:val="none" w:sz="0" w:space="0" w:color="auto"/>
        <w:bottom w:val="none" w:sz="0" w:space="0" w:color="auto"/>
        <w:right w:val="none" w:sz="0" w:space="0" w:color="auto"/>
      </w:divBdr>
    </w:div>
    <w:div w:id="750200556">
      <w:bodyDiv w:val="1"/>
      <w:marLeft w:val="0"/>
      <w:marRight w:val="0"/>
      <w:marTop w:val="0"/>
      <w:marBottom w:val="0"/>
      <w:divBdr>
        <w:top w:val="none" w:sz="0" w:space="0" w:color="auto"/>
        <w:left w:val="none" w:sz="0" w:space="0" w:color="auto"/>
        <w:bottom w:val="none" w:sz="0" w:space="0" w:color="auto"/>
        <w:right w:val="none" w:sz="0" w:space="0" w:color="auto"/>
      </w:divBdr>
    </w:div>
    <w:div w:id="750276499">
      <w:bodyDiv w:val="1"/>
      <w:marLeft w:val="0"/>
      <w:marRight w:val="0"/>
      <w:marTop w:val="0"/>
      <w:marBottom w:val="0"/>
      <w:divBdr>
        <w:top w:val="none" w:sz="0" w:space="0" w:color="auto"/>
        <w:left w:val="none" w:sz="0" w:space="0" w:color="auto"/>
        <w:bottom w:val="none" w:sz="0" w:space="0" w:color="auto"/>
        <w:right w:val="none" w:sz="0" w:space="0" w:color="auto"/>
      </w:divBdr>
    </w:div>
    <w:div w:id="750352891">
      <w:bodyDiv w:val="1"/>
      <w:marLeft w:val="0"/>
      <w:marRight w:val="0"/>
      <w:marTop w:val="0"/>
      <w:marBottom w:val="0"/>
      <w:divBdr>
        <w:top w:val="none" w:sz="0" w:space="0" w:color="auto"/>
        <w:left w:val="none" w:sz="0" w:space="0" w:color="auto"/>
        <w:bottom w:val="none" w:sz="0" w:space="0" w:color="auto"/>
        <w:right w:val="none" w:sz="0" w:space="0" w:color="auto"/>
      </w:divBdr>
    </w:div>
    <w:div w:id="750659130">
      <w:bodyDiv w:val="1"/>
      <w:marLeft w:val="0"/>
      <w:marRight w:val="0"/>
      <w:marTop w:val="0"/>
      <w:marBottom w:val="0"/>
      <w:divBdr>
        <w:top w:val="none" w:sz="0" w:space="0" w:color="auto"/>
        <w:left w:val="none" w:sz="0" w:space="0" w:color="auto"/>
        <w:bottom w:val="none" w:sz="0" w:space="0" w:color="auto"/>
        <w:right w:val="none" w:sz="0" w:space="0" w:color="auto"/>
      </w:divBdr>
    </w:div>
    <w:div w:id="750659473">
      <w:bodyDiv w:val="1"/>
      <w:marLeft w:val="0"/>
      <w:marRight w:val="0"/>
      <w:marTop w:val="0"/>
      <w:marBottom w:val="0"/>
      <w:divBdr>
        <w:top w:val="none" w:sz="0" w:space="0" w:color="auto"/>
        <w:left w:val="none" w:sz="0" w:space="0" w:color="auto"/>
        <w:bottom w:val="none" w:sz="0" w:space="0" w:color="auto"/>
        <w:right w:val="none" w:sz="0" w:space="0" w:color="auto"/>
      </w:divBdr>
    </w:div>
    <w:div w:id="750741081">
      <w:bodyDiv w:val="1"/>
      <w:marLeft w:val="0"/>
      <w:marRight w:val="0"/>
      <w:marTop w:val="0"/>
      <w:marBottom w:val="0"/>
      <w:divBdr>
        <w:top w:val="none" w:sz="0" w:space="0" w:color="auto"/>
        <w:left w:val="none" w:sz="0" w:space="0" w:color="auto"/>
        <w:bottom w:val="none" w:sz="0" w:space="0" w:color="auto"/>
        <w:right w:val="none" w:sz="0" w:space="0" w:color="auto"/>
      </w:divBdr>
    </w:div>
    <w:div w:id="750811331">
      <w:bodyDiv w:val="1"/>
      <w:marLeft w:val="0"/>
      <w:marRight w:val="0"/>
      <w:marTop w:val="0"/>
      <w:marBottom w:val="0"/>
      <w:divBdr>
        <w:top w:val="none" w:sz="0" w:space="0" w:color="auto"/>
        <w:left w:val="none" w:sz="0" w:space="0" w:color="auto"/>
        <w:bottom w:val="none" w:sz="0" w:space="0" w:color="auto"/>
        <w:right w:val="none" w:sz="0" w:space="0" w:color="auto"/>
      </w:divBdr>
    </w:div>
    <w:div w:id="751052124">
      <w:bodyDiv w:val="1"/>
      <w:marLeft w:val="0"/>
      <w:marRight w:val="0"/>
      <w:marTop w:val="0"/>
      <w:marBottom w:val="0"/>
      <w:divBdr>
        <w:top w:val="none" w:sz="0" w:space="0" w:color="auto"/>
        <w:left w:val="none" w:sz="0" w:space="0" w:color="auto"/>
        <w:bottom w:val="none" w:sz="0" w:space="0" w:color="auto"/>
        <w:right w:val="none" w:sz="0" w:space="0" w:color="auto"/>
      </w:divBdr>
    </w:div>
    <w:div w:id="751124753">
      <w:bodyDiv w:val="1"/>
      <w:marLeft w:val="0"/>
      <w:marRight w:val="0"/>
      <w:marTop w:val="0"/>
      <w:marBottom w:val="0"/>
      <w:divBdr>
        <w:top w:val="none" w:sz="0" w:space="0" w:color="auto"/>
        <w:left w:val="none" w:sz="0" w:space="0" w:color="auto"/>
        <w:bottom w:val="none" w:sz="0" w:space="0" w:color="auto"/>
        <w:right w:val="none" w:sz="0" w:space="0" w:color="auto"/>
      </w:divBdr>
    </w:div>
    <w:div w:id="751128006">
      <w:bodyDiv w:val="1"/>
      <w:marLeft w:val="0"/>
      <w:marRight w:val="0"/>
      <w:marTop w:val="0"/>
      <w:marBottom w:val="0"/>
      <w:divBdr>
        <w:top w:val="none" w:sz="0" w:space="0" w:color="auto"/>
        <w:left w:val="none" w:sz="0" w:space="0" w:color="auto"/>
        <w:bottom w:val="none" w:sz="0" w:space="0" w:color="auto"/>
        <w:right w:val="none" w:sz="0" w:space="0" w:color="auto"/>
      </w:divBdr>
    </w:div>
    <w:div w:id="751196838">
      <w:bodyDiv w:val="1"/>
      <w:marLeft w:val="0"/>
      <w:marRight w:val="0"/>
      <w:marTop w:val="0"/>
      <w:marBottom w:val="0"/>
      <w:divBdr>
        <w:top w:val="none" w:sz="0" w:space="0" w:color="auto"/>
        <w:left w:val="none" w:sz="0" w:space="0" w:color="auto"/>
        <w:bottom w:val="none" w:sz="0" w:space="0" w:color="auto"/>
        <w:right w:val="none" w:sz="0" w:space="0" w:color="auto"/>
      </w:divBdr>
    </w:div>
    <w:div w:id="751197343">
      <w:bodyDiv w:val="1"/>
      <w:marLeft w:val="0"/>
      <w:marRight w:val="0"/>
      <w:marTop w:val="0"/>
      <w:marBottom w:val="0"/>
      <w:divBdr>
        <w:top w:val="none" w:sz="0" w:space="0" w:color="auto"/>
        <w:left w:val="none" w:sz="0" w:space="0" w:color="auto"/>
        <w:bottom w:val="none" w:sz="0" w:space="0" w:color="auto"/>
        <w:right w:val="none" w:sz="0" w:space="0" w:color="auto"/>
      </w:divBdr>
    </w:div>
    <w:div w:id="751389015">
      <w:bodyDiv w:val="1"/>
      <w:marLeft w:val="0"/>
      <w:marRight w:val="0"/>
      <w:marTop w:val="0"/>
      <w:marBottom w:val="0"/>
      <w:divBdr>
        <w:top w:val="none" w:sz="0" w:space="0" w:color="auto"/>
        <w:left w:val="none" w:sz="0" w:space="0" w:color="auto"/>
        <w:bottom w:val="none" w:sz="0" w:space="0" w:color="auto"/>
        <w:right w:val="none" w:sz="0" w:space="0" w:color="auto"/>
      </w:divBdr>
    </w:div>
    <w:div w:id="751581737">
      <w:bodyDiv w:val="1"/>
      <w:marLeft w:val="0"/>
      <w:marRight w:val="0"/>
      <w:marTop w:val="0"/>
      <w:marBottom w:val="0"/>
      <w:divBdr>
        <w:top w:val="none" w:sz="0" w:space="0" w:color="auto"/>
        <w:left w:val="none" w:sz="0" w:space="0" w:color="auto"/>
        <w:bottom w:val="none" w:sz="0" w:space="0" w:color="auto"/>
        <w:right w:val="none" w:sz="0" w:space="0" w:color="auto"/>
      </w:divBdr>
    </w:div>
    <w:div w:id="751659394">
      <w:bodyDiv w:val="1"/>
      <w:marLeft w:val="0"/>
      <w:marRight w:val="0"/>
      <w:marTop w:val="0"/>
      <w:marBottom w:val="0"/>
      <w:divBdr>
        <w:top w:val="none" w:sz="0" w:space="0" w:color="auto"/>
        <w:left w:val="none" w:sz="0" w:space="0" w:color="auto"/>
        <w:bottom w:val="none" w:sz="0" w:space="0" w:color="auto"/>
        <w:right w:val="none" w:sz="0" w:space="0" w:color="auto"/>
      </w:divBdr>
    </w:div>
    <w:div w:id="751780829">
      <w:bodyDiv w:val="1"/>
      <w:marLeft w:val="0"/>
      <w:marRight w:val="0"/>
      <w:marTop w:val="0"/>
      <w:marBottom w:val="0"/>
      <w:divBdr>
        <w:top w:val="none" w:sz="0" w:space="0" w:color="auto"/>
        <w:left w:val="none" w:sz="0" w:space="0" w:color="auto"/>
        <w:bottom w:val="none" w:sz="0" w:space="0" w:color="auto"/>
        <w:right w:val="none" w:sz="0" w:space="0" w:color="auto"/>
      </w:divBdr>
    </w:div>
    <w:div w:id="751854505">
      <w:bodyDiv w:val="1"/>
      <w:marLeft w:val="0"/>
      <w:marRight w:val="0"/>
      <w:marTop w:val="0"/>
      <w:marBottom w:val="0"/>
      <w:divBdr>
        <w:top w:val="none" w:sz="0" w:space="0" w:color="auto"/>
        <w:left w:val="none" w:sz="0" w:space="0" w:color="auto"/>
        <w:bottom w:val="none" w:sz="0" w:space="0" w:color="auto"/>
        <w:right w:val="none" w:sz="0" w:space="0" w:color="auto"/>
      </w:divBdr>
    </w:div>
    <w:div w:id="752164982">
      <w:bodyDiv w:val="1"/>
      <w:marLeft w:val="0"/>
      <w:marRight w:val="0"/>
      <w:marTop w:val="0"/>
      <w:marBottom w:val="0"/>
      <w:divBdr>
        <w:top w:val="none" w:sz="0" w:space="0" w:color="auto"/>
        <w:left w:val="none" w:sz="0" w:space="0" w:color="auto"/>
        <w:bottom w:val="none" w:sz="0" w:space="0" w:color="auto"/>
        <w:right w:val="none" w:sz="0" w:space="0" w:color="auto"/>
      </w:divBdr>
    </w:div>
    <w:div w:id="752166710">
      <w:bodyDiv w:val="1"/>
      <w:marLeft w:val="0"/>
      <w:marRight w:val="0"/>
      <w:marTop w:val="0"/>
      <w:marBottom w:val="0"/>
      <w:divBdr>
        <w:top w:val="none" w:sz="0" w:space="0" w:color="auto"/>
        <w:left w:val="none" w:sz="0" w:space="0" w:color="auto"/>
        <w:bottom w:val="none" w:sz="0" w:space="0" w:color="auto"/>
        <w:right w:val="none" w:sz="0" w:space="0" w:color="auto"/>
      </w:divBdr>
    </w:div>
    <w:div w:id="752240928">
      <w:bodyDiv w:val="1"/>
      <w:marLeft w:val="0"/>
      <w:marRight w:val="0"/>
      <w:marTop w:val="0"/>
      <w:marBottom w:val="0"/>
      <w:divBdr>
        <w:top w:val="none" w:sz="0" w:space="0" w:color="auto"/>
        <w:left w:val="none" w:sz="0" w:space="0" w:color="auto"/>
        <w:bottom w:val="none" w:sz="0" w:space="0" w:color="auto"/>
        <w:right w:val="none" w:sz="0" w:space="0" w:color="auto"/>
      </w:divBdr>
    </w:div>
    <w:div w:id="752554748">
      <w:bodyDiv w:val="1"/>
      <w:marLeft w:val="0"/>
      <w:marRight w:val="0"/>
      <w:marTop w:val="0"/>
      <w:marBottom w:val="0"/>
      <w:divBdr>
        <w:top w:val="none" w:sz="0" w:space="0" w:color="auto"/>
        <w:left w:val="none" w:sz="0" w:space="0" w:color="auto"/>
        <w:bottom w:val="none" w:sz="0" w:space="0" w:color="auto"/>
        <w:right w:val="none" w:sz="0" w:space="0" w:color="auto"/>
      </w:divBdr>
    </w:div>
    <w:div w:id="752581891">
      <w:bodyDiv w:val="1"/>
      <w:marLeft w:val="0"/>
      <w:marRight w:val="0"/>
      <w:marTop w:val="0"/>
      <w:marBottom w:val="0"/>
      <w:divBdr>
        <w:top w:val="none" w:sz="0" w:space="0" w:color="auto"/>
        <w:left w:val="none" w:sz="0" w:space="0" w:color="auto"/>
        <w:bottom w:val="none" w:sz="0" w:space="0" w:color="auto"/>
        <w:right w:val="none" w:sz="0" w:space="0" w:color="auto"/>
      </w:divBdr>
    </w:div>
    <w:div w:id="752623138">
      <w:bodyDiv w:val="1"/>
      <w:marLeft w:val="0"/>
      <w:marRight w:val="0"/>
      <w:marTop w:val="0"/>
      <w:marBottom w:val="0"/>
      <w:divBdr>
        <w:top w:val="none" w:sz="0" w:space="0" w:color="auto"/>
        <w:left w:val="none" w:sz="0" w:space="0" w:color="auto"/>
        <w:bottom w:val="none" w:sz="0" w:space="0" w:color="auto"/>
        <w:right w:val="none" w:sz="0" w:space="0" w:color="auto"/>
      </w:divBdr>
    </w:div>
    <w:div w:id="752704520">
      <w:bodyDiv w:val="1"/>
      <w:marLeft w:val="0"/>
      <w:marRight w:val="0"/>
      <w:marTop w:val="0"/>
      <w:marBottom w:val="0"/>
      <w:divBdr>
        <w:top w:val="none" w:sz="0" w:space="0" w:color="auto"/>
        <w:left w:val="none" w:sz="0" w:space="0" w:color="auto"/>
        <w:bottom w:val="none" w:sz="0" w:space="0" w:color="auto"/>
        <w:right w:val="none" w:sz="0" w:space="0" w:color="auto"/>
      </w:divBdr>
    </w:div>
    <w:div w:id="752819226">
      <w:bodyDiv w:val="1"/>
      <w:marLeft w:val="0"/>
      <w:marRight w:val="0"/>
      <w:marTop w:val="0"/>
      <w:marBottom w:val="0"/>
      <w:divBdr>
        <w:top w:val="none" w:sz="0" w:space="0" w:color="auto"/>
        <w:left w:val="none" w:sz="0" w:space="0" w:color="auto"/>
        <w:bottom w:val="none" w:sz="0" w:space="0" w:color="auto"/>
        <w:right w:val="none" w:sz="0" w:space="0" w:color="auto"/>
      </w:divBdr>
    </w:div>
    <w:div w:id="752819479">
      <w:bodyDiv w:val="1"/>
      <w:marLeft w:val="0"/>
      <w:marRight w:val="0"/>
      <w:marTop w:val="0"/>
      <w:marBottom w:val="0"/>
      <w:divBdr>
        <w:top w:val="none" w:sz="0" w:space="0" w:color="auto"/>
        <w:left w:val="none" w:sz="0" w:space="0" w:color="auto"/>
        <w:bottom w:val="none" w:sz="0" w:space="0" w:color="auto"/>
        <w:right w:val="none" w:sz="0" w:space="0" w:color="auto"/>
      </w:divBdr>
    </w:div>
    <w:div w:id="752968197">
      <w:bodyDiv w:val="1"/>
      <w:marLeft w:val="0"/>
      <w:marRight w:val="0"/>
      <w:marTop w:val="0"/>
      <w:marBottom w:val="0"/>
      <w:divBdr>
        <w:top w:val="none" w:sz="0" w:space="0" w:color="auto"/>
        <w:left w:val="none" w:sz="0" w:space="0" w:color="auto"/>
        <w:bottom w:val="none" w:sz="0" w:space="0" w:color="auto"/>
        <w:right w:val="none" w:sz="0" w:space="0" w:color="auto"/>
      </w:divBdr>
    </w:div>
    <w:div w:id="752970392">
      <w:bodyDiv w:val="1"/>
      <w:marLeft w:val="0"/>
      <w:marRight w:val="0"/>
      <w:marTop w:val="0"/>
      <w:marBottom w:val="0"/>
      <w:divBdr>
        <w:top w:val="none" w:sz="0" w:space="0" w:color="auto"/>
        <w:left w:val="none" w:sz="0" w:space="0" w:color="auto"/>
        <w:bottom w:val="none" w:sz="0" w:space="0" w:color="auto"/>
        <w:right w:val="none" w:sz="0" w:space="0" w:color="auto"/>
      </w:divBdr>
    </w:div>
    <w:div w:id="752971773">
      <w:bodyDiv w:val="1"/>
      <w:marLeft w:val="0"/>
      <w:marRight w:val="0"/>
      <w:marTop w:val="0"/>
      <w:marBottom w:val="0"/>
      <w:divBdr>
        <w:top w:val="none" w:sz="0" w:space="0" w:color="auto"/>
        <w:left w:val="none" w:sz="0" w:space="0" w:color="auto"/>
        <w:bottom w:val="none" w:sz="0" w:space="0" w:color="auto"/>
        <w:right w:val="none" w:sz="0" w:space="0" w:color="auto"/>
      </w:divBdr>
    </w:div>
    <w:div w:id="753361943">
      <w:bodyDiv w:val="1"/>
      <w:marLeft w:val="0"/>
      <w:marRight w:val="0"/>
      <w:marTop w:val="0"/>
      <w:marBottom w:val="0"/>
      <w:divBdr>
        <w:top w:val="none" w:sz="0" w:space="0" w:color="auto"/>
        <w:left w:val="none" w:sz="0" w:space="0" w:color="auto"/>
        <w:bottom w:val="none" w:sz="0" w:space="0" w:color="auto"/>
        <w:right w:val="none" w:sz="0" w:space="0" w:color="auto"/>
      </w:divBdr>
    </w:div>
    <w:div w:id="753434455">
      <w:bodyDiv w:val="1"/>
      <w:marLeft w:val="0"/>
      <w:marRight w:val="0"/>
      <w:marTop w:val="0"/>
      <w:marBottom w:val="0"/>
      <w:divBdr>
        <w:top w:val="none" w:sz="0" w:space="0" w:color="auto"/>
        <w:left w:val="none" w:sz="0" w:space="0" w:color="auto"/>
        <w:bottom w:val="none" w:sz="0" w:space="0" w:color="auto"/>
        <w:right w:val="none" w:sz="0" w:space="0" w:color="auto"/>
      </w:divBdr>
    </w:div>
    <w:div w:id="753551766">
      <w:bodyDiv w:val="1"/>
      <w:marLeft w:val="0"/>
      <w:marRight w:val="0"/>
      <w:marTop w:val="0"/>
      <w:marBottom w:val="0"/>
      <w:divBdr>
        <w:top w:val="none" w:sz="0" w:space="0" w:color="auto"/>
        <w:left w:val="none" w:sz="0" w:space="0" w:color="auto"/>
        <w:bottom w:val="none" w:sz="0" w:space="0" w:color="auto"/>
        <w:right w:val="none" w:sz="0" w:space="0" w:color="auto"/>
      </w:divBdr>
    </w:div>
    <w:div w:id="753556174">
      <w:bodyDiv w:val="1"/>
      <w:marLeft w:val="0"/>
      <w:marRight w:val="0"/>
      <w:marTop w:val="0"/>
      <w:marBottom w:val="0"/>
      <w:divBdr>
        <w:top w:val="none" w:sz="0" w:space="0" w:color="auto"/>
        <w:left w:val="none" w:sz="0" w:space="0" w:color="auto"/>
        <w:bottom w:val="none" w:sz="0" w:space="0" w:color="auto"/>
        <w:right w:val="none" w:sz="0" w:space="0" w:color="auto"/>
      </w:divBdr>
    </w:div>
    <w:div w:id="753670129">
      <w:bodyDiv w:val="1"/>
      <w:marLeft w:val="0"/>
      <w:marRight w:val="0"/>
      <w:marTop w:val="0"/>
      <w:marBottom w:val="0"/>
      <w:divBdr>
        <w:top w:val="none" w:sz="0" w:space="0" w:color="auto"/>
        <w:left w:val="none" w:sz="0" w:space="0" w:color="auto"/>
        <w:bottom w:val="none" w:sz="0" w:space="0" w:color="auto"/>
        <w:right w:val="none" w:sz="0" w:space="0" w:color="auto"/>
      </w:divBdr>
    </w:div>
    <w:div w:id="753822724">
      <w:bodyDiv w:val="1"/>
      <w:marLeft w:val="0"/>
      <w:marRight w:val="0"/>
      <w:marTop w:val="0"/>
      <w:marBottom w:val="0"/>
      <w:divBdr>
        <w:top w:val="none" w:sz="0" w:space="0" w:color="auto"/>
        <w:left w:val="none" w:sz="0" w:space="0" w:color="auto"/>
        <w:bottom w:val="none" w:sz="0" w:space="0" w:color="auto"/>
        <w:right w:val="none" w:sz="0" w:space="0" w:color="auto"/>
      </w:divBdr>
    </w:div>
    <w:div w:id="753936633">
      <w:bodyDiv w:val="1"/>
      <w:marLeft w:val="0"/>
      <w:marRight w:val="0"/>
      <w:marTop w:val="0"/>
      <w:marBottom w:val="0"/>
      <w:divBdr>
        <w:top w:val="none" w:sz="0" w:space="0" w:color="auto"/>
        <w:left w:val="none" w:sz="0" w:space="0" w:color="auto"/>
        <w:bottom w:val="none" w:sz="0" w:space="0" w:color="auto"/>
        <w:right w:val="none" w:sz="0" w:space="0" w:color="auto"/>
      </w:divBdr>
    </w:div>
    <w:div w:id="754059970">
      <w:bodyDiv w:val="1"/>
      <w:marLeft w:val="0"/>
      <w:marRight w:val="0"/>
      <w:marTop w:val="0"/>
      <w:marBottom w:val="0"/>
      <w:divBdr>
        <w:top w:val="none" w:sz="0" w:space="0" w:color="auto"/>
        <w:left w:val="none" w:sz="0" w:space="0" w:color="auto"/>
        <w:bottom w:val="none" w:sz="0" w:space="0" w:color="auto"/>
        <w:right w:val="none" w:sz="0" w:space="0" w:color="auto"/>
      </w:divBdr>
    </w:div>
    <w:div w:id="754133108">
      <w:bodyDiv w:val="1"/>
      <w:marLeft w:val="0"/>
      <w:marRight w:val="0"/>
      <w:marTop w:val="0"/>
      <w:marBottom w:val="0"/>
      <w:divBdr>
        <w:top w:val="none" w:sz="0" w:space="0" w:color="auto"/>
        <w:left w:val="none" w:sz="0" w:space="0" w:color="auto"/>
        <w:bottom w:val="none" w:sz="0" w:space="0" w:color="auto"/>
        <w:right w:val="none" w:sz="0" w:space="0" w:color="auto"/>
      </w:divBdr>
    </w:div>
    <w:div w:id="754282930">
      <w:bodyDiv w:val="1"/>
      <w:marLeft w:val="0"/>
      <w:marRight w:val="0"/>
      <w:marTop w:val="0"/>
      <w:marBottom w:val="0"/>
      <w:divBdr>
        <w:top w:val="none" w:sz="0" w:space="0" w:color="auto"/>
        <w:left w:val="none" w:sz="0" w:space="0" w:color="auto"/>
        <w:bottom w:val="none" w:sz="0" w:space="0" w:color="auto"/>
        <w:right w:val="none" w:sz="0" w:space="0" w:color="auto"/>
      </w:divBdr>
    </w:div>
    <w:div w:id="754522274">
      <w:bodyDiv w:val="1"/>
      <w:marLeft w:val="0"/>
      <w:marRight w:val="0"/>
      <w:marTop w:val="0"/>
      <w:marBottom w:val="0"/>
      <w:divBdr>
        <w:top w:val="none" w:sz="0" w:space="0" w:color="auto"/>
        <w:left w:val="none" w:sz="0" w:space="0" w:color="auto"/>
        <w:bottom w:val="none" w:sz="0" w:space="0" w:color="auto"/>
        <w:right w:val="none" w:sz="0" w:space="0" w:color="auto"/>
      </w:divBdr>
    </w:div>
    <w:div w:id="754712662">
      <w:bodyDiv w:val="1"/>
      <w:marLeft w:val="0"/>
      <w:marRight w:val="0"/>
      <w:marTop w:val="0"/>
      <w:marBottom w:val="0"/>
      <w:divBdr>
        <w:top w:val="none" w:sz="0" w:space="0" w:color="auto"/>
        <w:left w:val="none" w:sz="0" w:space="0" w:color="auto"/>
        <w:bottom w:val="none" w:sz="0" w:space="0" w:color="auto"/>
        <w:right w:val="none" w:sz="0" w:space="0" w:color="auto"/>
      </w:divBdr>
    </w:div>
    <w:div w:id="754740516">
      <w:bodyDiv w:val="1"/>
      <w:marLeft w:val="0"/>
      <w:marRight w:val="0"/>
      <w:marTop w:val="0"/>
      <w:marBottom w:val="0"/>
      <w:divBdr>
        <w:top w:val="none" w:sz="0" w:space="0" w:color="auto"/>
        <w:left w:val="none" w:sz="0" w:space="0" w:color="auto"/>
        <w:bottom w:val="none" w:sz="0" w:space="0" w:color="auto"/>
        <w:right w:val="none" w:sz="0" w:space="0" w:color="auto"/>
      </w:divBdr>
    </w:div>
    <w:div w:id="754744179">
      <w:bodyDiv w:val="1"/>
      <w:marLeft w:val="0"/>
      <w:marRight w:val="0"/>
      <w:marTop w:val="0"/>
      <w:marBottom w:val="0"/>
      <w:divBdr>
        <w:top w:val="none" w:sz="0" w:space="0" w:color="auto"/>
        <w:left w:val="none" w:sz="0" w:space="0" w:color="auto"/>
        <w:bottom w:val="none" w:sz="0" w:space="0" w:color="auto"/>
        <w:right w:val="none" w:sz="0" w:space="0" w:color="auto"/>
      </w:divBdr>
    </w:div>
    <w:div w:id="754781968">
      <w:bodyDiv w:val="1"/>
      <w:marLeft w:val="0"/>
      <w:marRight w:val="0"/>
      <w:marTop w:val="0"/>
      <w:marBottom w:val="0"/>
      <w:divBdr>
        <w:top w:val="none" w:sz="0" w:space="0" w:color="auto"/>
        <w:left w:val="none" w:sz="0" w:space="0" w:color="auto"/>
        <w:bottom w:val="none" w:sz="0" w:space="0" w:color="auto"/>
        <w:right w:val="none" w:sz="0" w:space="0" w:color="auto"/>
      </w:divBdr>
    </w:div>
    <w:div w:id="754785549">
      <w:bodyDiv w:val="1"/>
      <w:marLeft w:val="0"/>
      <w:marRight w:val="0"/>
      <w:marTop w:val="0"/>
      <w:marBottom w:val="0"/>
      <w:divBdr>
        <w:top w:val="none" w:sz="0" w:space="0" w:color="auto"/>
        <w:left w:val="none" w:sz="0" w:space="0" w:color="auto"/>
        <w:bottom w:val="none" w:sz="0" w:space="0" w:color="auto"/>
        <w:right w:val="none" w:sz="0" w:space="0" w:color="auto"/>
      </w:divBdr>
    </w:div>
    <w:div w:id="754861249">
      <w:bodyDiv w:val="1"/>
      <w:marLeft w:val="0"/>
      <w:marRight w:val="0"/>
      <w:marTop w:val="0"/>
      <w:marBottom w:val="0"/>
      <w:divBdr>
        <w:top w:val="none" w:sz="0" w:space="0" w:color="auto"/>
        <w:left w:val="none" w:sz="0" w:space="0" w:color="auto"/>
        <w:bottom w:val="none" w:sz="0" w:space="0" w:color="auto"/>
        <w:right w:val="none" w:sz="0" w:space="0" w:color="auto"/>
      </w:divBdr>
    </w:div>
    <w:div w:id="755056510">
      <w:bodyDiv w:val="1"/>
      <w:marLeft w:val="0"/>
      <w:marRight w:val="0"/>
      <w:marTop w:val="0"/>
      <w:marBottom w:val="0"/>
      <w:divBdr>
        <w:top w:val="none" w:sz="0" w:space="0" w:color="auto"/>
        <w:left w:val="none" w:sz="0" w:space="0" w:color="auto"/>
        <w:bottom w:val="none" w:sz="0" w:space="0" w:color="auto"/>
        <w:right w:val="none" w:sz="0" w:space="0" w:color="auto"/>
      </w:divBdr>
    </w:div>
    <w:div w:id="755171730">
      <w:bodyDiv w:val="1"/>
      <w:marLeft w:val="0"/>
      <w:marRight w:val="0"/>
      <w:marTop w:val="0"/>
      <w:marBottom w:val="0"/>
      <w:divBdr>
        <w:top w:val="none" w:sz="0" w:space="0" w:color="auto"/>
        <w:left w:val="none" w:sz="0" w:space="0" w:color="auto"/>
        <w:bottom w:val="none" w:sz="0" w:space="0" w:color="auto"/>
        <w:right w:val="none" w:sz="0" w:space="0" w:color="auto"/>
      </w:divBdr>
    </w:div>
    <w:div w:id="755177475">
      <w:bodyDiv w:val="1"/>
      <w:marLeft w:val="0"/>
      <w:marRight w:val="0"/>
      <w:marTop w:val="0"/>
      <w:marBottom w:val="0"/>
      <w:divBdr>
        <w:top w:val="none" w:sz="0" w:space="0" w:color="auto"/>
        <w:left w:val="none" w:sz="0" w:space="0" w:color="auto"/>
        <w:bottom w:val="none" w:sz="0" w:space="0" w:color="auto"/>
        <w:right w:val="none" w:sz="0" w:space="0" w:color="auto"/>
      </w:divBdr>
    </w:div>
    <w:div w:id="755202164">
      <w:bodyDiv w:val="1"/>
      <w:marLeft w:val="0"/>
      <w:marRight w:val="0"/>
      <w:marTop w:val="0"/>
      <w:marBottom w:val="0"/>
      <w:divBdr>
        <w:top w:val="none" w:sz="0" w:space="0" w:color="auto"/>
        <w:left w:val="none" w:sz="0" w:space="0" w:color="auto"/>
        <w:bottom w:val="none" w:sz="0" w:space="0" w:color="auto"/>
        <w:right w:val="none" w:sz="0" w:space="0" w:color="auto"/>
      </w:divBdr>
    </w:div>
    <w:div w:id="755203428">
      <w:bodyDiv w:val="1"/>
      <w:marLeft w:val="0"/>
      <w:marRight w:val="0"/>
      <w:marTop w:val="0"/>
      <w:marBottom w:val="0"/>
      <w:divBdr>
        <w:top w:val="none" w:sz="0" w:space="0" w:color="auto"/>
        <w:left w:val="none" w:sz="0" w:space="0" w:color="auto"/>
        <w:bottom w:val="none" w:sz="0" w:space="0" w:color="auto"/>
        <w:right w:val="none" w:sz="0" w:space="0" w:color="auto"/>
      </w:divBdr>
    </w:div>
    <w:div w:id="755246253">
      <w:bodyDiv w:val="1"/>
      <w:marLeft w:val="0"/>
      <w:marRight w:val="0"/>
      <w:marTop w:val="0"/>
      <w:marBottom w:val="0"/>
      <w:divBdr>
        <w:top w:val="none" w:sz="0" w:space="0" w:color="auto"/>
        <w:left w:val="none" w:sz="0" w:space="0" w:color="auto"/>
        <w:bottom w:val="none" w:sz="0" w:space="0" w:color="auto"/>
        <w:right w:val="none" w:sz="0" w:space="0" w:color="auto"/>
      </w:divBdr>
    </w:div>
    <w:div w:id="755249427">
      <w:bodyDiv w:val="1"/>
      <w:marLeft w:val="0"/>
      <w:marRight w:val="0"/>
      <w:marTop w:val="0"/>
      <w:marBottom w:val="0"/>
      <w:divBdr>
        <w:top w:val="none" w:sz="0" w:space="0" w:color="auto"/>
        <w:left w:val="none" w:sz="0" w:space="0" w:color="auto"/>
        <w:bottom w:val="none" w:sz="0" w:space="0" w:color="auto"/>
        <w:right w:val="none" w:sz="0" w:space="0" w:color="auto"/>
      </w:divBdr>
    </w:div>
    <w:div w:id="755250472">
      <w:bodyDiv w:val="1"/>
      <w:marLeft w:val="0"/>
      <w:marRight w:val="0"/>
      <w:marTop w:val="0"/>
      <w:marBottom w:val="0"/>
      <w:divBdr>
        <w:top w:val="none" w:sz="0" w:space="0" w:color="auto"/>
        <w:left w:val="none" w:sz="0" w:space="0" w:color="auto"/>
        <w:bottom w:val="none" w:sz="0" w:space="0" w:color="auto"/>
        <w:right w:val="none" w:sz="0" w:space="0" w:color="auto"/>
      </w:divBdr>
    </w:div>
    <w:div w:id="755639010">
      <w:bodyDiv w:val="1"/>
      <w:marLeft w:val="0"/>
      <w:marRight w:val="0"/>
      <w:marTop w:val="0"/>
      <w:marBottom w:val="0"/>
      <w:divBdr>
        <w:top w:val="none" w:sz="0" w:space="0" w:color="auto"/>
        <w:left w:val="none" w:sz="0" w:space="0" w:color="auto"/>
        <w:bottom w:val="none" w:sz="0" w:space="0" w:color="auto"/>
        <w:right w:val="none" w:sz="0" w:space="0" w:color="auto"/>
      </w:divBdr>
    </w:div>
    <w:div w:id="755783018">
      <w:bodyDiv w:val="1"/>
      <w:marLeft w:val="0"/>
      <w:marRight w:val="0"/>
      <w:marTop w:val="0"/>
      <w:marBottom w:val="0"/>
      <w:divBdr>
        <w:top w:val="none" w:sz="0" w:space="0" w:color="auto"/>
        <w:left w:val="none" w:sz="0" w:space="0" w:color="auto"/>
        <w:bottom w:val="none" w:sz="0" w:space="0" w:color="auto"/>
        <w:right w:val="none" w:sz="0" w:space="0" w:color="auto"/>
      </w:divBdr>
    </w:div>
    <w:div w:id="755859281">
      <w:bodyDiv w:val="1"/>
      <w:marLeft w:val="0"/>
      <w:marRight w:val="0"/>
      <w:marTop w:val="0"/>
      <w:marBottom w:val="0"/>
      <w:divBdr>
        <w:top w:val="none" w:sz="0" w:space="0" w:color="auto"/>
        <w:left w:val="none" w:sz="0" w:space="0" w:color="auto"/>
        <w:bottom w:val="none" w:sz="0" w:space="0" w:color="auto"/>
        <w:right w:val="none" w:sz="0" w:space="0" w:color="auto"/>
      </w:divBdr>
    </w:div>
    <w:div w:id="756169464">
      <w:bodyDiv w:val="1"/>
      <w:marLeft w:val="0"/>
      <w:marRight w:val="0"/>
      <w:marTop w:val="0"/>
      <w:marBottom w:val="0"/>
      <w:divBdr>
        <w:top w:val="none" w:sz="0" w:space="0" w:color="auto"/>
        <w:left w:val="none" w:sz="0" w:space="0" w:color="auto"/>
        <w:bottom w:val="none" w:sz="0" w:space="0" w:color="auto"/>
        <w:right w:val="none" w:sz="0" w:space="0" w:color="auto"/>
      </w:divBdr>
    </w:div>
    <w:div w:id="756286640">
      <w:bodyDiv w:val="1"/>
      <w:marLeft w:val="0"/>
      <w:marRight w:val="0"/>
      <w:marTop w:val="0"/>
      <w:marBottom w:val="0"/>
      <w:divBdr>
        <w:top w:val="none" w:sz="0" w:space="0" w:color="auto"/>
        <w:left w:val="none" w:sz="0" w:space="0" w:color="auto"/>
        <w:bottom w:val="none" w:sz="0" w:space="0" w:color="auto"/>
        <w:right w:val="none" w:sz="0" w:space="0" w:color="auto"/>
      </w:divBdr>
    </w:div>
    <w:div w:id="756370280">
      <w:bodyDiv w:val="1"/>
      <w:marLeft w:val="0"/>
      <w:marRight w:val="0"/>
      <w:marTop w:val="0"/>
      <w:marBottom w:val="0"/>
      <w:divBdr>
        <w:top w:val="none" w:sz="0" w:space="0" w:color="auto"/>
        <w:left w:val="none" w:sz="0" w:space="0" w:color="auto"/>
        <w:bottom w:val="none" w:sz="0" w:space="0" w:color="auto"/>
        <w:right w:val="none" w:sz="0" w:space="0" w:color="auto"/>
      </w:divBdr>
    </w:div>
    <w:div w:id="756436513">
      <w:bodyDiv w:val="1"/>
      <w:marLeft w:val="0"/>
      <w:marRight w:val="0"/>
      <w:marTop w:val="0"/>
      <w:marBottom w:val="0"/>
      <w:divBdr>
        <w:top w:val="none" w:sz="0" w:space="0" w:color="auto"/>
        <w:left w:val="none" w:sz="0" w:space="0" w:color="auto"/>
        <w:bottom w:val="none" w:sz="0" w:space="0" w:color="auto"/>
        <w:right w:val="none" w:sz="0" w:space="0" w:color="auto"/>
      </w:divBdr>
    </w:div>
    <w:div w:id="756632317">
      <w:bodyDiv w:val="1"/>
      <w:marLeft w:val="0"/>
      <w:marRight w:val="0"/>
      <w:marTop w:val="0"/>
      <w:marBottom w:val="0"/>
      <w:divBdr>
        <w:top w:val="none" w:sz="0" w:space="0" w:color="auto"/>
        <w:left w:val="none" w:sz="0" w:space="0" w:color="auto"/>
        <w:bottom w:val="none" w:sz="0" w:space="0" w:color="auto"/>
        <w:right w:val="none" w:sz="0" w:space="0" w:color="auto"/>
      </w:divBdr>
    </w:div>
    <w:div w:id="756680749">
      <w:bodyDiv w:val="1"/>
      <w:marLeft w:val="0"/>
      <w:marRight w:val="0"/>
      <w:marTop w:val="0"/>
      <w:marBottom w:val="0"/>
      <w:divBdr>
        <w:top w:val="none" w:sz="0" w:space="0" w:color="auto"/>
        <w:left w:val="none" w:sz="0" w:space="0" w:color="auto"/>
        <w:bottom w:val="none" w:sz="0" w:space="0" w:color="auto"/>
        <w:right w:val="none" w:sz="0" w:space="0" w:color="auto"/>
      </w:divBdr>
    </w:div>
    <w:div w:id="756899632">
      <w:bodyDiv w:val="1"/>
      <w:marLeft w:val="0"/>
      <w:marRight w:val="0"/>
      <w:marTop w:val="0"/>
      <w:marBottom w:val="0"/>
      <w:divBdr>
        <w:top w:val="none" w:sz="0" w:space="0" w:color="auto"/>
        <w:left w:val="none" w:sz="0" w:space="0" w:color="auto"/>
        <w:bottom w:val="none" w:sz="0" w:space="0" w:color="auto"/>
        <w:right w:val="none" w:sz="0" w:space="0" w:color="auto"/>
      </w:divBdr>
    </w:div>
    <w:div w:id="757021990">
      <w:bodyDiv w:val="1"/>
      <w:marLeft w:val="0"/>
      <w:marRight w:val="0"/>
      <w:marTop w:val="0"/>
      <w:marBottom w:val="0"/>
      <w:divBdr>
        <w:top w:val="none" w:sz="0" w:space="0" w:color="auto"/>
        <w:left w:val="none" w:sz="0" w:space="0" w:color="auto"/>
        <w:bottom w:val="none" w:sz="0" w:space="0" w:color="auto"/>
        <w:right w:val="none" w:sz="0" w:space="0" w:color="auto"/>
      </w:divBdr>
    </w:div>
    <w:div w:id="757093001">
      <w:bodyDiv w:val="1"/>
      <w:marLeft w:val="0"/>
      <w:marRight w:val="0"/>
      <w:marTop w:val="0"/>
      <w:marBottom w:val="0"/>
      <w:divBdr>
        <w:top w:val="none" w:sz="0" w:space="0" w:color="auto"/>
        <w:left w:val="none" w:sz="0" w:space="0" w:color="auto"/>
        <w:bottom w:val="none" w:sz="0" w:space="0" w:color="auto"/>
        <w:right w:val="none" w:sz="0" w:space="0" w:color="auto"/>
      </w:divBdr>
    </w:div>
    <w:div w:id="757097049">
      <w:bodyDiv w:val="1"/>
      <w:marLeft w:val="0"/>
      <w:marRight w:val="0"/>
      <w:marTop w:val="0"/>
      <w:marBottom w:val="0"/>
      <w:divBdr>
        <w:top w:val="none" w:sz="0" w:space="0" w:color="auto"/>
        <w:left w:val="none" w:sz="0" w:space="0" w:color="auto"/>
        <w:bottom w:val="none" w:sz="0" w:space="0" w:color="auto"/>
        <w:right w:val="none" w:sz="0" w:space="0" w:color="auto"/>
      </w:divBdr>
    </w:div>
    <w:div w:id="757209820">
      <w:bodyDiv w:val="1"/>
      <w:marLeft w:val="0"/>
      <w:marRight w:val="0"/>
      <w:marTop w:val="0"/>
      <w:marBottom w:val="0"/>
      <w:divBdr>
        <w:top w:val="none" w:sz="0" w:space="0" w:color="auto"/>
        <w:left w:val="none" w:sz="0" w:space="0" w:color="auto"/>
        <w:bottom w:val="none" w:sz="0" w:space="0" w:color="auto"/>
        <w:right w:val="none" w:sz="0" w:space="0" w:color="auto"/>
      </w:divBdr>
    </w:div>
    <w:div w:id="757210738">
      <w:bodyDiv w:val="1"/>
      <w:marLeft w:val="0"/>
      <w:marRight w:val="0"/>
      <w:marTop w:val="0"/>
      <w:marBottom w:val="0"/>
      <w:divBdr>
        <w:top w:val="none" w:sz="0" w:space="0" w:color="auto"/>
        <w:left w:val="none" w:sz="0" w:space="0" w:color="auto"/>
        <w:bottom w:val="none" w:sz="0" w:space="0" w:color="auto"/>
        <w:right w:val="none" w:sz="0" w:space="0" w:color="auto"/>
      </w:divBdr>
    </w:div>
    <w:div w:id="757403070">
      <w:bodyDiv w:val="1"/>
      <w:marLeft w:val="0"/>
      <w:marRight w:val="0"/>
      <w:marTop w:val="0"/>
      <w:marBottom w:val="0"/>
      <w:divBdr>
        <w:top w:val="none" w:sz="0" w:space="0" w:color="auto"/>
        <w:left w:val="none" w:sz="0" w:space="0" w:color="auto"/>
        <w:bottom w:val="none" w:sz="0" w:space="0" w:color="auto"/>
        <w:right w:val="none" w:sz="0" w:space="0" w:color="auto"/>
      </w:divBdr>
    </w:div>
    <w:div w:id="757407485">
      <w:bodyDiv w:val="1"/>
      <w:marLeft w:val="0"/>
      <w:marRight w:val="0"/>
      <w:marTop w:val="0"/>
      <w:marBottom w:val="0"/>
      <w:divBdr>
        <w:top w:val="none" w:sz="0" w:space="0" w:color="auto"/>
        <w:left w:val="none" w:sz="0" w:space="0" w:color="auto"/>
        <w:bottom w:val="none" w:sz="0" w:space="0" w:color="auto"/>
        <w:right w:val="none" w:sz="0" w:space="0" w:color="auto"/>
      </w:divBdr>
    </w:div>
    <w:div w:id="757486912">
      <w:bodyDiv w:val="1"/>
      <w:marLeft w:val="0"/>
      <w:marRight w:val="0"/>
      <w:marTop w:val="0"/>
      <w:marBottom w:val="0"/>
      <w:divBdr>
        <w:top w:val="none" w:sz="0" w:space="0" w:color="auto"/>
        <w:left w:val="none" w:sz="0" w:space="0" w:color="auto"/>
        <w:bottom w:val="none" w:sz="0" w:space="0" w:color="auto"/>
        <w:right w:val="none" w:sz="0" w:space="0" w:color="auto"/>
      </w:divBdr>
    </w:div>
    <w:div w:id="757601100">
      <w:bodyDiv w:val="1"/>
      <w:marLeft w:val="0"/>
      <w:marRight w:val="0"/>
      <w:marTop w:val="0"/>
      <w:marBottom w:val="0"/>
      <w:divBdr>
        <w:top w:val="none" w:sz="0" w:space="0" w:color="auto"/>
        <w:left w:val="none" w:sz="0" w:space="0" w:color="auto"/>
        <w:bottom w:val="none" w:sz="0" w:space="0" w:color="auto"/>
        <w:right w:val="none" w:sz="0" w:space="0" w:color="auto"/>
      </w:divBdr>
    </w:div>
    <w:div w:id="757673519">
      <w:bodyDiv w:val="1"/>
      <w:marLeft w:val="0"/>
      <w:marRight w:val="0"/>
      <w:marTop w:val="0"/>
      <w:marBottom w:val="0"/>
      <w:divBdr>
        <w:top w:val="none" w:sz="0" w:space="0" w:color="auto"/>
        <w:left w:val="none" w:sz="0" w:space="0" w:color="auto"/>
        <w:bottom w:val="none" w:sz="0" w:space="0" w:color="auto"/>
        <w:right w:val="none" w:sz="0" w:space="0" w:color="auto"/>
      </w:divBdr>
    </w:div>
    <w:div w:id="757751022">
      <w:bodyDiv w:val="1"/>
      <w:marLeft w:val="0"/>
      <w:marRight w:val="0"/>
      <w:marTop w:val="0"/>
      <w:marBottom w:val="0"/>
      <w:divBdr>
        <w:top w:val="none" w:sz="0" w:space="0" w:color="auto"/>
        <w:left w:val="none" w:sz="0" w:space="0" w:color="auto"/>
        <w:bottom w:val="none" w:sz="0" w:space="0" w:color="auto"/>
        <w:right w:val="none" w:sz="0" w:space="0" w:color="auto"/>
      </w:divBdr>
    </w:div>
    <w:div w:id="757796710">
      <w:bodyDiv w:val="1"/>
      <w:marLeft w:val="0"/>
      <w:marRight w:val="0"/>
      <w:marTop w:val="0"/>
      <w:marBottom w:val="0"/>
      <w:divBdr>
        <w:top w:val="none" w:sz="0" w:space="0" w:color="auto"/>
        <w:left w:val="none" w:sz="0" w:space="0" w:color="auto"/>
        <w:bottom w:val="none" w:sz="0" w:space="0" w:color="auto"/>
        <w:right w:val="none" w:sz="0" w:space="0" w:color="auto"/>
      </w:divBdr>
    </w:div>
    <w:div w:id="757822729">
      <w:bodyDiv w:val="1"/>
      <w:marLeft w:val="0"/>
      <w:marRight w:val="0"/>
      <w:marTop w:val="0"/>
      <w:marBottom w:val="0"/>
      <w:divBdr>
        <w:top w:val="none" w:sz="0" w:space="0" w:color="auto"/>
        <w:left w:val="none" w:sz="0" w:space="0" w:color="auto"/>
        <w:bottom w:val="none" w:sz="0" w:space="0" w:color="auto"/>
        <w:right w:val="none" w:sz="0" w:space="0" w:color="auto"/>
      </w:divBdr>
    </w:div>
    <w:div w:id="757865702">
      <w:bodyDiv w:val="1"/>
      <w:marLeft w:val="0"/>
      <w:marRight w:val="0"/>
      <w:marTop w:val="0"/>
      <w:marBottom w:val="0"/>
      <w:divBdr>
        <w:top w:val="none" w:sz="0" w:space="0" w:color="auto"/>
        <w:left w:val="none" w:sz="0" w:space="0" w:color="auto"/>
        <w:bottom w:val="none" w:sz="0" w:space="0" w:color="auto"/>
        <w:right w:val="none" w:sz="0" w:space="0" w:color="auto"/>
      </w:divBdr>
    </w:div>
    <w:div w:id="757867817">
      <w:bodyDiv w:val="1"/>
      <w:marLeft w:val="0"/>
      <w:marRight w:val="0"/>
      <w:marTop w:val="0"/>
      <w:marBottom w:val="0"/>
      <w:divBdr>
        <w:top w:val="none" w:sz="0" w:space="0" w:color="auto"/>
        <w:left w:val="none" w:sz="0" w:space="0" w:color="auto"/>
        <w:bottom w:val="none" w:sz="0" w:space="0" w:color="auto"/>
        <w:right w:val="none" w:sz="0" w:space="0" w:color="auto"/>
      </w:divBdr>
    </w:div>
    <w:div w:id="757872145">
      <w:bodyDiv w:val="1"/>
      <w:marLeft w:val="0"/>
      <w:marRight w:val="0"/>
      <w:marTop w:val="0"/>
      <w:marBottom w:val="0"/>
      <w:divBdr>
        <w:top w:val="none" w:sz="0" w:space="0" w:color="auto"/>
        <w:left w:val="none" w:sz="0" w:space="0" w:color="auto"/>
        <w:bottom w:val="none" w:sz="0" w:space="0" w:color="auto"/>
        <w:right w:val="none" w:sz="0" w:space="0" w:color="auto"/>
      </w:divBdr>
    </w:div>
    <w:div w:id="758062549">
      <w:bodyDiv w:val="1"/>
      <w:marLeft w:val="0"/>
      <w:marRight w:val="0"/>
      <w:marTop w:val="0"/>
      <w:marBottom w:val="0"/>
      <w:divBdr>
        <w:top w:val="none" w:sz="0" w:space="0" w:color="auto"/>
        <w:left w:val="none" w:sz="0" w:space="0" w:color="auto"/>
        <w:bottom w:val="none" w:sz="0" w:space="0" w:color="auto"/>
        <w:right w:val="none" w:sz="0" w:space="0" w:color="auto"/>
      </w:divBdr>
    </w:div>
    <w:div w:id="758137163">
      <w:bodyDiv w:val="1"/>
      <w:marLeft w:val="0"/>
      <w:marRight w:val="0"/>
      <w:marTop w:val="0"/>
      <w:marBottom w:val="0"/>
      <w:divBdr>
        <w:top w:val="none" w:sz="0" w:space="0" w:color="auto"/>
        <w:left w:val="none" w:sz="0" w:space="0" w:color="auto"/>
        <w:bottom w:val="none" w:sz="0" w:space="0" w:color="auto"/>
        <w:right w:val="none" w:sz="0" w:space="0" w:color="auto"/>
      </w:divBdr>
    </w:div>
    <w:div w:id="758216428">
      <w:bodyDiv w:val="1"/>
      <w:marLeft w:val="0"/>
      <w:marRight w:val="0"/>
      <w:marTop w:val="0"/>
      <w:marBottom w:val="0"/>
      <w:divBdr>
        <w:top w:val="none" w:sz="0" w:space="0" w:color="auto"/>
        <w:left w:val="none" w:sz="0" w:space="0" w:color="auto"/>
        <w:bottom w:val="none" w:sz="0" w:space="0" w:color="auto"/>
        <w:right w:val="none" w:sz="0" w:space="0" w:color="auto"/>
      </w:divBdr>
    </w:div>
    <w:div w:id="758254679">
      <w:bodyDiv w:val="1"/>
      <w:marLeft w:val="0"/>
      <w:marRight w:val="0"/>
      <w:marTop w:val="0"/>
      <w:marBottom w:val="0"/>
      <w:divBdr>
        <w:top w:val="none" w:sz="0" w:space="0" w:color="auto"/>
        <w:left w:val="none" w:sz="0" w:space="0" w:color="auto"/>
        <w:bottom w:val="none" w:sz="0" w:space="0" w:color="auto"/>
        <w:right w:val="none" w:sz="0" w:space="0" w:color="auto"/>
      </w:divBdr>
    </w:div>
    <w:div w:id="758450193">
      <w:bodyDiv w:val="1"/>
      <w:marLeft w:val="0"/>
      <w:marRight w:val="0"/>
      <w:marTop w:val="0"/>
      <w:marBottom w:val="0"/>
      <w:divBdr>
        <w:top w:val="none" w:sz="0" w:space="0" w:color="auto"/>
        <w:left w:val="none" w:sz="0" w:space="0" w:color="auto"/>
        <w:bottom w:val="none" w:sz="0" w:space="0" w:color="auto"/>
        <w:right w:val="none" w:sz="0" w:space="0" w:color="auto"/>
      </w:divBdr>
    </w:div>
    <w:div w:id="758524330">
      <w:bodyDiv w:val="1"/>
      <w:marLeft w:val="0"/>
      <w:marRight w:val="0"/>
      <w:marTop w:val="0"/>
      <w:marBottom w:val="0"/>
      <w:divBdr>
        <w:top w:val="none" w:sz="0" w:space="0" w:color="auto"/>
        <w:left w:val="none" w:sz="0" w:space="0" w:color="auto"/>
        <w:bottom w:val="none" w:sz="0" w:space="0" w:color="auto"/>
        <w:right w:val="none" w:sz="0" w:space="0" w:color="auto"/>
      </w:divBdr>
    </w:div>
    <w:div w:id="758528917">
      <w:bodyDiv w:val="1"/>
      <w:marLeft w:val="0"/>
      <w:marRight w:val="0"/>
      <w:marTop w:val="0"/>
      <w:marBottom w:val="0"/>
      <w:divBdr>
        <w:top w:val="none" w:sz="0" w:space="0" w:color="auto"/>
        <w:left w:val="none" w:sz="0" w:space="0" w:color="auto"/>
        <w:bottom w:val="none" w:sz="0" w:space="0" w:color="auto"/>
        <w:right w:val="none" w:sz="0" w:space="0" w:color="auto"/>
      </w:divBdr>
    </w:div>
    <w:div w:id="758597601">
      <w:bodyDiv w:val="1"/>
      <w:marLeft w:val="0"/>
      <w:marRight w:val="0"/>
      <w:marTop w:val="0"/>
      <w:marBottom w:val="0"/>
      <w:divBdr>
        <w:top w:val="none" w:sz="0" w:space="0" w:color="auto"/>
        <w:left w:val="none" w:sz="0" w:space="0" w:color="auto"/>
        <w:bottom w:val="none" w:sz="0" w:space="0" w:color="auto"/>
        <w:right w:val="none" w:sz="0" w:space="0" w:color="auto"/>
      </w:divBdr>
    </w:div>
    <w:div w:id="758720507">
      <w:bodyDiv w:val="1"/>
      <w:marLeft w:val="0"/>
      <w:marRight w:val="0"/>
      <w:marTop w:val="0"/>
      <w:marBottom w:val="0"/>
      <w:divBdr>
        <w:top w:val="none" w:sz="0" w:space="0" w:color="auto"/>
        <w:left w:val="none" w:sz="0" w:space="0" w:color="auto"/>
        <w:bottom w:val="none" w:sz="0" w:space="0" w:color="auto"/>
        <w:right w:val="none" w:sz="0" w:space="0" w:color="auto"/>
      </w:divBdr>
    </w:div>
    <w:div w:id="758907443">
      <w:bodyDiv w:val="1"/>
      <w:marLeft w:val="0"/>
      <w:marRight w:val="0"/>
      <w:marTop w:val="0"/>
      <w:marBottom w:val="0"/>
      <w:divBdr>
        <w:top w:val="none" w:sz="0" w:space="0" w:color="auto"/>
        <w:left w:val="none" w:sz="0" w:space="0" w:color="auto"/>
        <w:bottom w:val="none" w:sz="0" w:space="0" w:color="auto"/>
        <w:right w:val="none" w:sz="0" w:space="0" w:color="auto"/>
      </w:divBdr>
    </w:div>
    <w:div w:id="758985653">
      <w:bodyDiv w:val="1"/>
      <w:marLeft w:val="0"/>
      <w:marRight w:val="0"/>
      <w:marTop w:val="0"/>
      <w:marBottom w:val="0"/>
      <w:divBdr>
        <w:top w:val="none" w:sz="0" w:space="0" w:color="auto"/>
        <w:left w:val="none" w:sz="0" w:space="0" w:color="auto"/>
        <w:bottom w:val="none" w:sz="0" w:space="0" w:color="auto"/>
        <w:right w:val="none" w:sz="0" w:space="0" w:color="auto"/>
      </w:divBdr>
    </w:div>
    <w:div w:id="759176577">
      <w:bodyDiv w:val="1"/>
      <w:marLeft w:val="0"/>
      <w:marRight w:val="0"/>
      <w:marTop w:val="0"/>
      <w:marBottom w:val="0"/>
      <w:divBdr>
        <w:top w:val="none" w:sz="0" w:space="0" w:color="auto"/>
        <w:left w:val="none" w:sz="0" w:space="0" w:color="auto"/>
        <w:bottom w:val="none" w:sz="0" w:space="0" w:color="auto"/>
        <w:right w:val="none" w:sz="0" w:space="0" w:color="auto"/>
      </w:divBdr>
    </w:div>
    <w:div w:id="759182343">
      <w:bodyDiv w:val="1"/>
      <w:marLeft w:val="0"/>
      <w:marRight w:val="0"/>
      <w:marTop w:val="0"/>
      <w:marBottom w:val="0"/>
      <w:divBdr>
        <w:top w:val="none" w:sz="0" w:space="0" w:color="auto"/>
        <w:left w:val="none" w:sz="0" w:space="0" w:color="auto"/>
        <w:bottom w:val="none" w:sz="0" w:space="0" w:color="auto"/>
        <w:right w:val="none" w:sz="0" w:space="0" w:color="auto"/>
      </w:divBdr>
    </w:div>
    <w:div w:id="759326419">
      <w:bodyDiv w:val="1"/>
      <w:marLeft w:val="0"/>
      <w:marRight w:val="0"/>
      <w:marTop w:val="0"/>
      <w:marBottom w:val="0"/>
      <w:divBdr>
        <w:top w:val="none" w:sz="0" w:space="0" w:color="auto"/>
        <w:left w:val="none" w:sz="0" w:space="0" w:color="auto"/>
        <w:bottom w:val="none" w:sz="0" w:space="0" w:color="auto"/>
        <w:right w:val="none" w:sz="0" w:space="0" w:color="auto"/>
      </w:divBdr>
    </w:div>
    <w:div w:id="759332039">
      <w:bodyDiv w:val="1"/>
      <w:marLeft w:val="0"/>
      <w:marRight w:val="0"/>
      <w:marTop w:val="0"/>
      <w:marBottom w:val="0"/>
      <w:divBdr>
        <w:top w:val="none" w:sz="0" w:space="0" w:color="auto"/>
        <w:left w:val="none" w:sz="0" w:space="0" w:color="auto"/>
        <w:bottom w:val="none" w:sz="0" w:space="0" w:color="auto"/>
        <w:right w:val="none" w:sz="0" w:space="0" w:color="auto"/>
      </w:divBdr>
    </w:div>
    <w:div w:id="759371414">
      <w:bodyDiv w:val="1"/>
      <w:marLeft w:val="0"/>
      <w:marRight w:val="0"/>
      <w:marTop w:val="0"/>
      <w:marBottom w:val="0"/>
      <w:divBdr>
        <w:top w:val="none" w:sz="0" w:space="0" w:color="auto"/>
        <w:left w:val="none" w:sz="0" w:space="0" w:color="auto"/>
        <w:bottom w:val="none" w:sz="0" w:space="0" w:color="auto"/>
        <w:right w:val="none" w:sz="0" w:space="0" w:color="auto"/>
      </w:divBdr>
    </w:div>
    <w:div w:id="759373249">
      <w:bodyDiv w:val="1"/>
      <w:marLeft w:val="0"/>
      <w:marRight w:val="0"/>
      <w:marTop w:val="0"/>
      <w:marBottom w:val="0"/>
      <w:divBdr>
        <w:top w:val="none" w:sz="0" w:space="0" w:color="auto"/>
        <w:left w:val="none" w:sz="0" w:space="0" w:color="auto"/>
        <w:bottom w:val="none" w:sz="0" w:space="0" w:color="auto"/>
        <w:right w:val="none" w:sz="0" w:space="0" w:color="auto"/>
      </w:divBdr>
    </w:div>
    <w:div w:id="759375718">
      <w:bodyDiv w:val="1"/>
      <w:marLeft w:val="0"/>
      <w:marRight w:val="0"/>
      <w:marTop w:val="0"/>
      <w:marBottom w:val="0"/>
      <w:divBdr>
        <w:top w:val="none" w:sz="0" w:space="0" w:color="auto"/>
        <w:left w:val="none" w:sz="0" w:space="0" w:color="auto"/>
        <w:bottom w:val="none" w:sz="0" w:space="0" w:color="auto"/>
        <w:right w:val="none" w:sz="0" w:space="0" w:color="auto"/>
      </w:divBdr>
    </w:div>
    <w:div w:id="759376136">
      <w:bodyDiv w:val="1"/>
      <w:marLeft w:val="0"/>
      <w:marRight w:val="0"/>
      <w:marTop w:val="0"/>
      <w:marBottom w:val="0"/>
      <w:divBdr>
        <w:top w:val="none" w:sz="0" w:space="0" w:color="auto"/>
        <w:left w:val="none" w:sz="0" w:space="0" w:color="auto"/>
        <w:bottom w:val="none" w:sz="0" w:space="0" w:color="auto"/>
        <w:right w:val="none" w:sz="0" w:space="0" w:color="auto"/>
      </w:divBdr>
    </w:div>
    <w:div w:id="759376628">
      <w:bodyDiv w:val="1"/>
      <w:marLeft w:val="0"/>
      <w:marRight w:val="0"/>
      <w:marTop w:val="0"/>
      <w:marBottom w:val="0"/>
      <w:divBdr>
        <w:top w:val="none" w:sz="0" w:space="0" w:color="auto"/>
        <w:left w:val="none" w:sz="0" w:space="0" w:color="auto"/>
        <w:bottom w:val="none" w:sz="0" w:space="0" w:color="auto"/>
        <w:right w:val="none" w:sz="0" w:space="0" w:color="auto"/>
      </w:divBdr>
    </w:div>
    <w:div w:id="759376873">
      <w:bodyDiv w:val="1"/>
      <w:marLeft w:val="0"/>
      <w:marRight w:val="0"/>
      <w:marTop w:val="0"/>
      <w:marBottom w:val="0"/>
      <w:divBdr>
        <w:top w:val="none" w:sz="0" w:space="0" w:color="auto"/>
        <w:left w:val="none" w:sz="0" w:space="0" w:color="auto"/>
        <w:bottom w:val="none" w:sz="0" w:space="0" w:color="auto"/>
        <w:right w:val="none" w:sz="0" w:space="0" w:color="auto"/>
      </w:divBdr>
    </w:div>
    <w:div w:id="759528781">
      <w:bodyDiv w:val="1"/>
      <w:marLeft w:val="0"/>
      <w:marRight w:val="0"/>
      <w:marTop w:val="0"/>
      <w:marBottom w:val="0"/>
      <w:divBdr>
        <w:top w:val="none" w:sz="0" w:space="0" w:color="auto"/>
        <w:left w:val="none" w:sz="0" w:space="0" w:color="auto"/>
        <w:bottom w:val="none" w:sz="0" w:space="0" w:color="auto"/>
        <w:right w:val="none" w:sz="0" w:space="0" w:color="auto"/>
      </w:divBdr>
    </w:div>
    <w:div w:id="759718643">
      <w:bodyDiv w:val="1"/>
      <w:marLeft w:val="0"/>
      <w:marRight w:val="0"/>
      <w:marTop w:val="0"/>
      <w:marBottom w:val="0"/>
      <w:divBdr>
        <w:top w:val="none" w:sz="0" w:space="0" w:color="auto"/>
        <w:left w:val="none" w:sz="0" w:space="0" w:color="auto"/>
        <w:bottom w:val="none" w:sz="0" w:space="0" w:color="auto"/>
        <w:right w:val="none" w:sz="0" w:space="0" w:color="auto"/>
      </w:divBdr>
    </w:div>
    <w:div w:id="759760877">
      <w:bodyDiv w:val="1"/>
      <w:marLeft w:val="0"/>
      <w:marRight w:val="0"/>
      <w:marTop w:val="0"/>
      <w:marBottom w:val="0"/>
      <w:divBdr>
        <w:top w:val="none" w:sz="0" w:space="0" w:color="auto"/>
        <w:left w:val="none" w:sz="0" w:space="0" w:color="auto"/>
        <w:bottom w:val="none" w:sz="0" w:space="0" w:color="auto"/>
        <w:right w:val="none" w:sz="0" w:space="0" w:color="auto"/>
      </w:divBdr>
    </w:div>
    <w:div w:id="759834745">
      <w:bodyDiv w:val="1"/>
      <w:marLeft w:val="0"/>
      <w:marRight w:val="0"/>
      <w:marTop w:val="0"/>
      <w:marBottom w:val="0"/>
      <w:divBdr>
        <w:top w:val="none" w:sz="0" w:space="0" w:color="auto"/>
        <w:left w:val="none" w:sz="0" w:space="0" w:color="auto"/>
        <w:bottom w:val="none" w:sz="0" w:space="0" w:color="auto"/>
        <w:right w:val="none" w:sz="0" w:space="0" w:color="auto"/>
      </w:divBdr>
    </w:div>
    <w:div w:id="759834777">
      <w:bodyDiv w:val="1"/>
      <w:marLeft w:val="0"/>
      <w:marRight w:val="0"/>
      <w:marTop w:val="0"/>
      <w:marBottom w:val="0"/>
      <w:divBdr>
        <w:top w:val="none" w:sz="0" w:space="0" w:color="auto"/>
        <w:left w:val="none" w:sz="0" w:space="0" w:color="auto"/>
        <w:bottom w:val="none" w:sz="0" w:space="0" w:color="auto"/>
        <w:right w:val="none" w:sz="0" w:space="0" w:color="auto"/>
      </w:divBdr>
    </w:div>
    <w:div w:id="759908396">
      <w:bodyDiv w:val="1"/>
      <w:marLeft w:val="0"/>
      <w:marRight w:val="0"/>
      <w:marTop w:val="0"/>
      <w:marBottom w:val="0"/>
      <w:divBdr>
        <w:top w:val="none" w:sz="0" w:space="0" w:color="auto"/>
        <w:left w:val="none" w:sz="0" w:space="0" w:color="auto"/>
        <w:bottom w:val="none" w:sz="0" w:space="0" w:color="auto"/>
        <w:right w:val="none" w:sz="0" w:space="0" w:color="auto"/>
      </w:divBdr>
    </w:div>
    <w:div w:id="759986008">
      <w:bodyDiv w:val="1"/>
      <w:marLeft w:val="0"/>
      <w:marRight w:val="0"/>
      <w:marTop w:val="0"/>
      <w:marBottom w:val="0"/>
      <w:divBdr>
        <w:top w:val="none" w:sz="0" w:space="0" w:color="auto"/>
        <w:left w:val="none" w:sz="0" w:space="0" w:color="auto"/>
        <w:bottom w:val="none" w:sz="0" w:space="0" w:color="auto"/>
        <w:right w:val="none" w:sz="0" w:space="0" w:color="auto"/>
      </w:divBdr>
    </w:div>
    <w:div w:id="760182966">
      <w:bodyDiv w:val="1"/>
      <w:marLeft w:val="0"/>
      <w:marRight w:val="0"/>
      <w:marTop w:val="0"/>
      <w:marBottom w:val="0"/>
      <w:divBdr>
        <w:top w:val="none" w:sz="0" w:space="0" w:color="auto"/>
        <w:left w:val="none" w:sz="0" w:space="0" w:color="auto"/>
        <w:bottom w:val="none" w:sz="0" w:space="0" w:color="auto"/>
        <w:right w:val="none" w:sz="0" w:space="0" w:color="auto"/>
      </w:divBdr>
    </w:div>
    <w:div w:id="760220522">
      <w:bodyDiv w:val="1"/>
      <w:marLeft w:val="0"/>
      <w:marRight w:val="0"/>
      <w:marTop w:val="0"/>
      <w:marBottom w:val="0"/>
      <w:divBdr>
        <w:top w:val="none" w:sz="0" w:space="0" w:color="auto"/>
        <w:left w:val="none" w:sz="0" w:space="0" w:color="auto"/>
        <w:bottom w:val="none" w:sz="0" w:space="0" w:color="auto"/>
        <w:right w:val="none" w:sz="0" w:space="0" w:color="auto"/>
      </w:divBdr>
    </w:div>
    <w:div w:id="760293066">
      <w:bodyDiv w:val="1"/>
      <w:marLeft w:val="0"/>
      <w:marRight w:val="0"/>
      <w:marTop w:val="0"/>
      <w:marBottom w:val="0"/>
      <w:divBdr>
        <w:top w:val="none" w:sz="0" w:space="0" w:color="auto"/>
        <w:left w:val="none" w:sz="0" w:space="0" w:color="auto"/>
        <w:bottom w:val="none" w:sz="0" w:space="0" w:color="auto"/>
        <w:right w:val="none" w:sz="0" w:space="0" w:color="auto"/>
      </w:divBdr>
    </w:div>
    <w:div w:id="760298339">
      <w:bodyDiv w:val="1"/>
      <w:marLeft w:val="0"/>
      <w:marRight w:val="0"/>
      <w:marTop w:val="0"/>
      <w:marBottom w:val="0"/>
      <w:divBdr>
        <w:top w:val="none" w:sz="0" w:space="0" w:color="auto"/>
        <w:left w:val="none" w:sz="0" w:space="0" w:color="auto"/>
        <w:bottom w:val="none" w:sz="0" w:space="0" w:color="auto"/>
        <w:right w:val="none" w:sz="0" w:space="0" w:color="auto"/>
      </w:divBdr>
    </w:div>
    <w:div w:id="760375280">
      <w:bodyDiv w:val="1"/>
      <w:marLeft w:val="0"/>
      <w:marRight w:val="0"/>
      <w:marTop w:val="0"/>
      <w:marBottom w:val="0"/>
      <w:divBdr>
        <w:top w:val="none" w:sz="0" w:space="0" w:color="auto"/>
        <w:left w:val="none" w:sz="0" w:space="0" w:color="auto"/>
        <w:bottom w:val="none" w:sz="0" w:space="0" w:color="auto"/>
        <w:right w:val="none" w:sz="0" w:space="0" w:color="auto"/>
      </w:divBdr>
    </w:div>
    <w:div w:id="760639674">
      <w:bodyDiv w:val="1"/>
      <w:marLeft w:val="0"/>
      <w:marRight w:val="0"/>
      <w:marTop w:val="0"/>
      <w:marBottom w:val="0"/>
      <w:divBdr>
        <w:top w:val="none" w:sz="0" w:space="0" w:color="auto"/>
        <w:left w:val="none" w:sz="0" w:space="0" w:color="auto"/>
        <w:bottom w:val="none" w:sz="0" w:space="0" w:color="auto"/>
        <w:right w:val="none" w:sz="0" w:space="0" w:color="auto"/>
      </w:divBdr>
    </w:div>
    <w:div w:id="760755913">
      <w:bodyDiv w:val="1"/>
      <w:marLeft w:val="0"/>
      <w:marRight w:val="0"/>
      <w:marTop w:val="0"/>
      <w:marBottom w:val="0"/>
      <w:divBdr>
        <w:top w:val="none" w:sz="0" w:space="0" w:color="auto"/>
        <w:left w:val="none" w:sz="0" w:space="0" w:color="auto"/>
        <w:bottom w:val="none" w:sz="0" w:space="0" w:color="auto"/>
        <w:right w:val="none" w:sz="0" w:space="0" w:color="auto"/>
      </w:divBdr>
    </w:div>
    <w:div w:id="760876044">
      <w:bodyDiv w:val="1"/>
      <w:marLeft w:val="0"/>
      <w:marRight w:val="0"/>
      <w:marTop w:val="0"/>
      <w:marBottom w:val="0"/>
      <w:divBdr>
        <w:top w:val="none" w:sz="0" w:space="0" w:color="auto"/>
        <w:left w:val="none" w:sz="0" w:space="0" w:color="auto"/>
        <w:bottom w:val="none" w:sz="0" w:space="0" w:color="auto"/>
        <w:right w:val="none" w:sz="0" w:space="0" w:color="auto"/>
      </w:divBdr>
    </w:div>
    <w:div w:id="760880148">
      <w:bodyDiv w:val="1"/>
      <w:marLeft w:val="0"/>
      <w:marRight w:val="0"/>
      <w:marTop w:val="0"/>
      <w:marBottom w:val="0"/>
      <w:divBdr>
        <w:top w:val="none" w:sz="0" w:space="0" w:color="auto"/>
        <w:left w:val="none" w:sz="0" w:space="0" w:color="auto"/>
        <w:bottom w:val="none" w:sz="0" w:space="0" w:color="auto"/>
        <w:right w:val="none" w:sz="0" w:space="0" w:color="auto"/>
      </w:divBdr>
    </w:div>
    <w:div w:id="760950690">
      <w:bodyDiv w:val="1"/>
      <w:marLeft w:val="0"/>
      <w:marRight w:val="0"/>
      <w:marTop w:val="0"/>
      <w:marBottom w:val="0"/>
      <w:divBdr>
        <w:top w:val="none" w:sz="0" w:space="0" w:color="auto"/>
        <w:left w:val="none" w:sz="0" w:space="0" w:color="auto"/>
        <w:bottom w:val="none" w:sz="0" w:space="0" w:color="auto"/>
        <w:right w:val="none" w:sz="0" w:space="0" w:color="auto"/>
      </w:divBdr>
    </w:div>
    <w:div w:id="761025908">
      <w:bodyDiv w:val="1"/>
      <w:marLeft w:val="0"/>
      <w:marRight w:val="0"/>
      <w:marTop w:val="0"/>
      <w:marBottom w:val="0"/>
      <w:divBdr>
        <w:top w:val="none" w:sz="0" w:space="0" w:color="auto"/>
        <w:left w:val="none" w:sz="0" w:space="0" w:color="auto"/>
        <w:bottom w:val="none" w:sz="0" w:space="0" w:color="auto"/>
        <w:right w:val="none" w:sz="0" w:space="0" w:color="auto"/>
      </w:divBdr>
    </w:div>
    <w:div w:id="761072467">
      <w:bodyDiv w:val="1"/>
      <w:marLeft w:val="0"/>
      <w:marRight w:val="0"/>
      <w:marTop w:val="0"/>
      <w:marBottom w:val="0"/>
      <w:divBdr>
        <w:top w:val="none" w:sz="0" w:space="0" w:color="auto"/>
        <w:left w:val="none" w:sz="0" w:space="0" w:color="auto"/>
        <w:bottom w:val="none" w:sz="0" w:space="0" w:color="auto"/>
        <w:right w:val="none" w:sz="0" w:space="0" w:color="auto"/>
      </w:divBdr>
    </w:div>
    <w:div w:id="761145497">
      <w:bodyDiv w:val="1"/>
      <w:marLeft w:val="0"/>
      <w:marRight w:val="0"/>
      <w:marTop w:val="0"/>
      <w:marBottom w:val="0"/>
      <w:divBdr>
        <w:top w:val="none" w:sz="0" w:space="0" w:color="auto"/>
        <w:left w:val="none" w:sz="0" w:space="0" w:color="auto"/>
        <w:bottom w:val="none" w:sz="0" w:space="0" w:color="auto"/>
        <w:right w:val="none" w:sz="0" w:space="0" w:color="auto"/>
      </w:divBdr>
    </w:div>
    <w:div w:id="761216607">
      <w:bodyDiv w:val="1"/>
      <w:marLeft w:val="0"/>
      <w:marRight w:val="0"/>
      <w:marTop w:val="0"/>
      <w:marBottom w:val="0"/>
      <w:divBdr>
        <w:top w:val="none" w:sz="0" w:space="0" w:color="auto"/>
        <w:left w:val="none" w:sz="0" w:space="0" w:color="auto"/>
        <w:bottom w:val="none" w:sz="0" w:space="0" w:color="auto"/>
        <w:right w:val="none" w:sz="0" w:space="0" w:color="auto"/>
      </w:divBdr>
    </w:div>
    <w:div w:id="761219892">
      <w:bodyDiv w:val="1"/>
      <w:marLeft w:val="0"/>
      <w:marRight w:val="0"/>
      <w:marTop w:val="0"/>
      <w:marBottom w:val="0"/>
      <w:divBdr>
        <w:top w:val="none" w:sz="0" w:space="0" w:color="auto"/>
        <w:left w:val="none" w:sz="0" w:space="0" w:color="auto"/>
        <w:bottom w:val="none" w:sz="0" w:space="0" w:color="auto"/>
        <w:right w:val="none" w:sz="0" w:space="0" w:color="auto"/>
      </w:divBdr>
    </w:div>
    <w:div w:id="761223046">
      <w:bodyDiv w:val="1"/>
      <w:marLeft w:val="0"/>
      <w:marRight w:val="0"/>
      <w:marTop w:val="0"/>
      <w:marBottom w:val="0"/>
      <w:divBdr>
        <w:top w:val="none" w:sz="0" w:space="0" w:color="auto"/>
        <w:left w:val="none" w:sz="0" w:space="0" w:color="auto"/>
        <w:bottom w:val="none" w:sz="0" w:space="0" w:color="auto"/>
        <w:right w:val="none" w:sz="0" w:space="0" w:color="auto"/>
      </w:divBdr>
    </w:div>
    <w:div w:id="761485285">
      <w:bodyDiv w:val="1"/>
      <w:marLeft w:val="0"/>
      <w:marRight w:val="0"/>
      <w:marTop w:val="0"/>
      <w:marBottom w:val="0"/>
      <w:divBdr>
        <w:top w:val="none" w:sz="0" w:space="0" w:color="auto"/>
        <w:left w:val="none" w:sz="0" w:space="0" w:color="auto"/>
        <w:bottom w:val="none" w:sz="0" w:space="0" w:color="auto"/>
        <w:right w:val="none" w:sz="0" w:space="0" w:color="auto"/>
      </w:divBdr>
    </w:div>
    <w:div w:id="761531265">
      <w:bodyDiv w:val="1"/>
      <w:marLeft w:val="0"/>
      <w:marRight w:val="0"/>
      <w:marTop w:val="0"/>
      <w:marBottom w:val="0"/>
      <w:divBdr>
        <w:top w:val="none" w:sz="0" w:space="0" w:color="auto"/>
        <w:left w:val="none" w:sz="0" w:space="0" w:color="auto"/>
        <w:bottom w:val="none" w:sz="0" w:space="0" w:color="auto"/>
        <w:right w:val="none" w:sz="0" w:space="0" w:color="auto"/>
      </w:divBdr>
    </w:div>
    <w:div w:id="761612961">
      <w:bodyDiv w:val="1"/>
      <w:marLeft w:val="0"/>
      <w:marRight w:val="0"/>
      <w:marTop w:val="0"/>
      <w:marBottom w:val="0"/>
      <w:divBdr>
        <w:top w:val="none" w:sz="0" w:space="0" w:color="auto"/>
        <w:left w:val="none" w:sz="0" w:space="0" w:color="auto"/>
        <w:bottom w:val="none" w:sz="0" w:space="0" w:color="auto"/>
        <w:right w:val="none" w:sz="0" w:space="0" w:color="auto"/>
      </w:divBdr>
    </w:div>
    <w:div w:id="761682212">
      <w:bodyDiv w:val="1"/>
      <w:marLeft w:val="0"/>
      <w:marRight w:val="0"/>
      <w:marTop w:val="0"/>
      <w:marBottom w:val="0"/>
      <w:divBdr>
        <w:top w:val="none" w:sz="0" w:space="0" w:color="auto"/>
        <w:left w:val="none" w:sz="0" w:space="0" w:color="auto"/>
        <w:bottom w:val="none" w:sz="0" w:space="0" w:color="auto"/>
        <w:right w:val="none" w:sz="0" w:space="0" w:color="auto"/>
      </w:divBdr>
    </w:div>
    <w:div w:id="761802668">
      <w:bodyDiv w:val="1"/>
      <w:marLeft w:val="0"/>
      <w:marRight w:val="0"/>
      <w:marTop w:val="0"/>
      <w:marBottom w:val="0"/>
      <w:divBdr>
        <w:top w:val="none" w:sz="0" w:space="0" w:color="auto"/>
        <w:left w:val="none" w:sz="0" w:space="0" w:color="auto"/>
        <w:bottom w:val="none" w:sz="0" w:space="0" w:color="auto"/>
        <w:right w:val="none" w:sz="0" w:space="0" w:color="auto"/>
      </w:divBdr>
    </w:div>
    <w:div w:id="761880418">
      <w:bodyDiv w:val="1"/>
      <w:marLeft w:val="0"/>
      <w:marRight w:val="0"/>
      <w:marTop w:val="0"/>
      <w:marBottom w:val="0"/>
      <w:divBdr>
        <w:top w:val="none" w:sz="0" w:space="0" w:color="auto"/>
        <w:left w:val="none" w:sz="0" w:space="0" w:color="auto"/>
        <w:bottom w:val="none" w:sz="0" w:space="0" w:color="auto"/>
        <w:right w:val="none" w:sz="0" w:space="0" w:color="auto"/>
      </w:divBdr>
    </w:div>
    <w:div w:id="761951453">
      <w:bodyDiv w:val="1"/>
      <w:marLeft w:val="0"/>
      <w:marRight w:val="0"/>
      <w:marTop w:val="0"/>
      <w:marBottom w:val="0"/>
      <w:divBdr>
        <w:top w:val="none" w:sz="0" w:space="0" w:color="auto"/>
        <w:left w:val="none" w:sz="0" w:space="0" w:color="auto"/>
        <w:bottom w:val="none" w:sz="0" w:space="0" w:color="auto"/>
        <w:right w:val="none" w:sz="0" w:space="0" w:color="auto"/>
      </w:divBdr>
    </w:div>
    <w:div w:id="762065789">
      <w:bodyDiv w:val="1"/>
      <w:marLeft w:val="0"/>
      <w:marRight w:val="0"/>
      <w:marTop w:val="0"/>
      <w:marBottom w:val="0"/>
      <w:divBdr>
        <w:top w:val="none" w:sz="0" w:space="0" w:color="auto"/>
        <w:left w:val="none" w:sz="0" w:space="0" w:color="auto"/>
        <w:bottom w:val="none" w:sz="0" w:space="0" w:color="auto"/>
        <w:right w:val="none" w:sz="0" w:space="0" w:color="auto"/>
      </w:divBdr>
    </w:div>
    <w:div w:id="762073391">
      <w:bodyDiv w:val="1"/>
      <w:marLeft w:val="0"/>
      <w:marRight w:val="0"/>
      <w:marTop w:val="0"/>
      <w:marBottom w:val="0"/>
      <w:divBdr>
        <w:top w:val="none" w:sz="0" w:space="0" w:color="auto"/>
        <w:left w:val="none" w:sz="0" w:space="0" w:color="auto"/>
        <w:bottom w:val="none" w:sz="0" w:space="0" w:color="auto"/>
        <w:right w:val="none" w:sz="0" w:space="0" w:color="auto"/>
      </w:divBdr>
    </w:div>
    <w:div w:id="762144611">
      <w:bodyDiv w:val="1"/>
      <w:marLeft w:val="0"/>
      <w:marRight w:val="0"/>
      <w:marTop w:val="0"/>
      <w:marBottom w:val="0"/>
      <w:divBdr>
        <w:top w:val="none" w:sz="0" w:space="0" w:color="auto"/>
        <w:left w:val="none" w:sz="0" w:space="0" w:color="auto"/>
        <w:bottom w:val="none" w:sz="0" w:space="0" w:color="auto"/>
        <w:right w:val="none" w:sz="0" w:space="0" w:color="auto"/>
      </w:divBdr>
    </w:div>
    <w:div w:id="762148823">
      <w:bodyDiv w:val="1"/>
      <w:marLeft w:val="0"/>
      <w:marRight w:val="0"/>
      <w:marTop w:val="0"/>
      <w:marBottom w:val="0"/>
      <w:divBdr>
        <w:top w:val="none" w:sz="0" w:space="0" w:color="auto"/>
        <w:left w:val="none" w:sz="0" w:space="0" w:color="auto"/>
        <w:bottom w:val="none" w:sz="0" w:space="0" w:color="auto"/>
        <w:right w:val="none" w:sz="0" w:space="0" w:color="auto"/>
      </w:divBdr>
    </w:div>
    <w:div w:id="762185045">
      <w:bodyDiv w:val="1"/>
      <w:marLeft w:val="0"/>
      <w:marRight w:val="0"/>
      <w:marTop w:val="0"/>
      <w:marBottom w:val="0"/>
      <w:divBdr>
        <w:top w:val="none" w:sz="0" w:space="0" w:color="auto"/>
        <w:left w:val="none" w:sz="0" w:space="0" w:color="auto"/>
        <w:bottom w:val="none" w:sz="0" w:space="0" w:color="auto"/>
        <w:right w:val="none" w:sz="0" w:space="0" w:color="auto"/>
      </w:divBdr>
    </w:div>
    <w:div w:id="762261421">
      <w:bodyDiv w:val="1"/>
      <w:marLeft w:val="0"/>
      <w:marRight w:val="0"/>
      <w:marTop w:val="0"/>
      <w:marBottom w:val="0"/>
      <w:divBdr>
        <w:top w:val="none" w:sz="0" w:space="0" w:color="auto"/>
        <w:left w:val="none" w:sz="0" w:space="0" w:color="auto"/>
        <w:bottom w:val="none" w:sz="0" w:space="0" w:color="auto"/>
        <w:right w:val="none" w:sz="0" w:space="0" w:color="auto"/>
      </w:divBdr>
    </w:div>
    <w:div w:id="762341170">
      <w:bodyDiv w:val="1"/>
      <w:marLeft w:val="0"/>
      <w:marRight w:val="0"/>
      <w:marTop w:val="0"/>
      <w:marBottom w:val="0"/>
      <w:divBdr>
        <w:top w:val="none" w:sz="0" w:space="0" w:color="auto"/>
        <w:left w:val="none" w:sz="0" w:space="0" w:color="auto"/>
        <w:bottom w:val="none" w:sz="0" w:space="0" w:color="auto"/>
        <w:right w:val="none" w:sz="0" w:space="0" w:color="auto"/>
      </w:divBdr>
    </w:div>
    <w:div w:id="762453721">
      <w:bodyDiv w:val="1"/>
      <w:marLeft w:val="0"/>
      <w:marRight w:val="0"/>
      <w:marTop w:val="0"/>
      <w:marBottom w:val="0"/>
      <w:divBdr>
        <w:top w:val="none" w:sz="0" w:space="0" w:color="auto"/>
        <w:left w:val="none" w:sz="0" w:space="0" w:color="auto"/>
        <w:bottom w:val="none" w:sz="0" w:space="0" w:color="auto"/>
        <w:right w:val="none" w:sz="0" w:space="0" w:color="auto"/>
      </w:divBdr>
    </w:div>
    <w:div w:id="762604717">
      <w:bodyDiv w:val="1"/>
      <w:marLeft w:val="0"/>
      <w:marRight w:val="0"/>
      <w:marTop w:val="0"/>
      <w:marBottom w:val="0"/>
      <w:divBdr>
        <w:top w:val="none" w:sz="0" w:space="0" w:color="auto"/>
        <w:left w:val="none" w:sz="0" w:space="0" w:color="auto"/>
        <w:bottom w:val="none" w:sz="0" w:space="0" w:color="auto"/>
        <w:right w:val="none" w:sz="0" w:space="0" w:color="auto"/>
      </w:divBdr>
    </w:div>
    <w:div w:id="762723620">
      <w:bodyDiv w:val="1"/>
      <w:marLeft w:val="0"/>
      <w:marRight w:val="0"/>
      <w:marTop w:val="0"/>
      <w:marBottom w:val="0"/>
      <w:divBdr>
        <w:top w:val="none" w:sz="0" w:space="0" w:color="auto"/>
        <w:left w:val="none" w:sz="0" w:space="0" w:color="auto"/>
        <w:bottom w:val="none" w:sz="0" w:space="0" w:color="auto"/>
        <w:right w:val="none" w:sz="0" w:space="0" w:color="auto"/>
      </w:divBdr>
    </w:div>
    <w:div w:id="762728671">
      <w:bodyDiv w:val="1"/>
      <w:marLeft w:val="0"/>
      <w:marRight w:val="0"/>
      <w:marTop w:val="0"/>
      <w:marBottom w:val="0"/>
      <w:divBdr>
        <w:top w:val="none" w:sz="0" w:space="0" w:color="auto"/>
        <w:left w:val="none" w:sz="0" w:space="0" w:color="auto"/>
        <w:bottom w:val="none" w:sz="0" w:space="0" w:color="auto"/>
        <w:right w:val="none" w:sz="0" w:space="0" w:color="auto"/>
      </w:divBdr>
    </w:div>
    <w:div w:id="762844600">
      <w:bodyDiv w:val="1"/>
      <w:marLeft w:val="0"/>
      <w:marRight w:val="0"/>
      <w:marTop w:val="0"/>
      <w:marBottom w:val="0"/>
      <w:divBdr>
        <w:top w:val="none" w:sz="0" w:space="0" w:color="auto"/>
        <w:left w:val="none" w:sz="0" w:space="0" w:color="auto"/>
        <w:bottom w:val="none" w:sz="0" w:space="0" w:color="auto"/>
        <w:right w:val="none" w:sz="0" w:space="0" w:color="auto"/>
      </w:divBdr>
    </w:div>
    <w:div w:id="762918303">
      <w:bodyDiv w:val="1"/>
      <w:marLeft w:val="0"/>
      <w:marRight w:val="0"/>
      <w:marTop w:val="0"/>
      <w:marBottom w:val="0"/>
      <w:divBdr>
        <w:top w:val="none" w:sz="0" w:space="0" w:color="auto"/>
        <w:left w:val="none" w:sz="0" w:space="0" w:color="auto"/>
        <w:bottom w:val="none" w:sz="0" w:space="0" w:color="auto"/>
        <w:right w:val="none" w:sz="0" w:space="0" w:color="auto"/>
      </w:divBdr>
    </w:div>
    <w:div w:id="762920834">
      <w:bodyDiv w:val="1"/>
      <w:marLeft w:val="0"/>
      <w:marRight w:val="0"/>
      <w:marTop w:val="0"/>
      <w:marBottom w:val="0"/>
      <w:divBdr>
        <w:top w:val="none" w:sz="0" w:space="0" w:color="auto"/>
        <w:left w:val="none" w:sz="0" w:space="0" w:color="auto"/>
        <w:bottom w:val="none" w:sz="0" w:space="0" w:color="auto"/>
        <w:right w:val="none" w:sz="0" w:space="0" w:color="auto"/>
      </w:divBdr>
    </w:div>
    <w:div w:id="763066946">
      <w:bodyDiv w:val="1"/>
      <w:marLeft w:val="0"/>
      <w:marRight w:val="0"/>
      <w:marTop w:val="0"/>
      <w:marBottom w:val="0"/>
      <w:divBdr>
        <w:top w:val="none" w:sz="0" w:space="0" w:color="auto"/>
        <w:left w:val="none" w:sz="0" w:space="0" w:color="auto"/>
        <w:bottom w:val="none" w:sz="0" w:space="0" w:color="auto"/>
        <w:right w:val="none" w:sz="0" w:space="0" w:color="auto"/>
      </w:divBdr>
    </w:div>
    <w:div w:id="763305233">
      <w:bodyDiv w:val="1"/>
      <w:marLeft w:val="0"/>
      <w:marRight w:val="0"/>
      <w:marTop w:val="0"/>
      <w:marBottom w:val="0"/>
      <w:divBdr>
        <w:top w:val="none" w:sz="0" w:space="0" w:color="auto"/>
        <w:left w:val="none" w:sz="0" w:space="0" w:color="auto"/>
        <w:bottom w:val="none" w:sz="0" w:space="0" w:color="auto"/>
        <w:right w:val="none" w:sz="0" w:space="0" w:color="auto"/>
      </w:divBdr>
    </w:div>
    <w:div w:id="763382301">
      <w:bodyDiv w:val="1"/>
      <w:marLeft w:val="0"/>
      <w:marRight w:val="0"/>
      <w:marTop w:val="0"/>
      <w:marBottom w:val="0"/>
      <w:divBdr>
        <w:top w:val="none" w:sz="0" w:space="0" w:color="auto"/>
        <w:left w:val="none" w:sz="0" w:space="0" w:color="auto"/>
        <w:bottom w:val="none" w:sz="0" w:space="0" w:color="auto"/>
        <w:right w:val="none" w:sz="0" w:space="0" w:color="auto"/>
      </w:divBdr>
    </w:div>
    <w:div w:id="763382346">
      <w:bodyDiv w:val="1"/>
      <w:marLeft w:val="0"/>
      <w:marRight w:val="0"/>
      <w:marTop w:val="0"/>
      <w:marBottom w:val="0"/>
      <w:divBdr>
        <w:top w:val="none" w:sz="0" w:space="0" w:color="auto"/>
        <w:left w:val="none" w:sz="0" w:space="0" w:color="auto"/>
        <w:bottom w:val="none" w:sz="0" w:space="0" w:color="auto"/>
        <w:right w:val="none" w:sz="0" w:space="0" w:color="auto"/>
      </w:divBdr>
    </w:div>
    <w:div w:id="763569718">
      <w:bodyDiv w:val="1"/>
      <w:marLeft w:val="0"/>
      <w:marRight w:val="0"/>
      <w:marTop w:val="0"/>
      <w:marBottom w:val="0"/>
      <w:divBdr>
        <w:top w:val="none" w:sz="0" w:space="0" w:color="auto"/>
        <w:left w:val="none" w:sz="0" w:space="0" w:color="auto"/>
        <w:bottom w:val="none" w:sz="0" w:space="0" w:color="auto"/>
        <w:right w:val="none" w:sz="0" w:space="0" w:color="auto"/>
      </w:divBdr>
    </w:div>
    <w:div w:id="763644923">
      <w:bodyDiv w:val="1"/>
      <w:marLeft w:val="0"/>
      <w:marRight w:val="0"/>
      <w:marTop w:val="0"/>
      <w:marBottom w:val="0"/>
      <w:divBdr>
        <w:top w:val="none" w:sz="0" w:space="0" w:color="auto"/>
        <w:left w:val="none" w:sz="0" w:space="0" w:color="auto"/>
        <w:bottom w:val="none" w:sz="0" w:space="0" w:color="auto"/>
        <w:right w:val="none" w:sz="0" w:space="0" w:color="auto"/>
      </w:divBdr>
    </w:div>
    <w:div w:id="763648138">
      <w:bodyDiv w:val="1"/>
      <w:marLeft w:val="0"/>
      <w:marRight w:val="0"/>
      <w:marTop w:val="0"/>
      <w:marBottom w:val="0"/>
      <w:divBdr>
        <w:top w:val="none" w:sz="0" w:space="0" w:color="auto"/>
        <w:left w:val="none" w:sz="0" w:space="0" w:color="auto"/>
        <w:bottom w:val="none" w:sz="0" w:space="0" w:color="auto"/>
        <w:right w:val="none" w:sz="0" w:space="0" w:color="auto"/>
      </w:divBdr>
    </w:div>
    <w:div w:id="763694812">
      <w:bodyDiv w:val="1"/>
      <w:marLeft w:val="0"/>
      <w:marRight w:val="0"/>
      <w:marTop w:val="0"/>
      <w:marBottom w:val="0"/>
      <w:divBdr>
        <w:top w:val="none" w:sz="0" w:space="0" w:color="auto"/>
        <w:left w:val="none" w:sz="0" w:space="0" w:color="auto"/>
        <w:bottom w:val="none" w:sz="0" w:space="0" w:color="auto"/>
        <w:right w:val="none" w:sz="0" w:space="0" w:color="auto"/>
      </w:divBdr>
    </w:div>
    <w:div w:id="763766924">
      <w:bodyDiv w:val="1"/>
      <w:marLeft w:val="0"/>
      <w:marRight w:val="0"/>
      <w:marTop w:val="0"/>
      <w:marBottom w:val="0"/>
      <w:divBdr>
        <w:top w:val="none" w:sz="0" w:space="0" w:color="auto"/>
        <w:left w:val="none" w:sz="0" w:space="0" w:color="auto"/>
        <w:bottom w:val="none" w:sz="0" w:space="0" w:color="auto"/>
        <w:right w:val="none" w:sz="0" w:space="0" w:color="auto"/>
      </w:divBdr>
    </w:div>
    <w:div w:id="763767932">
      <w:bodyDiv w:val="1"/>
      <w:marLeft w:val="0"/>
      <w:marRight w:val="0"/>
      <w:marTop w:val="0"/>
      <w:marBottom w:val="0"/>
      <w:divBdr>
        <w:top w:val="none" w:sz="0" w:space="0" w:color="auto"/>
        <w:left w:val="none" w:sz="0" w:space="0" w:color="auto"/>
        <w:bottom w:val="none" w:sz="0" w:space="0" w:color="auto"/>
        <w:right w:val="none" w:sz="0" w:space="0" w:color="auto"/>
      </w:divBdr>
    </w:div>
    <w:div w:id="763913457">
      <w:bodyDiv w:val="1"/>
      <w:marLeft w:val="0"/>
      <w:marRight w:val="0"/>
      <w:marTop w:val="0"/>
      <w:marBottom w:val="0"/>
      <w:divBdr>
        <w:top w:val="none" w:sz="0" w:space="0" w:color="auto"/>
        <w:left w:val="none" w:sz="0" w:space="0" w:color="auto"/>
        <w:bottom w:val="none" w:sz="0" w:space="0" w:color="auto"/>
        <w:right w:val="none" w:sz="0" w:space="0" w:color="auto"/>
      </w:divBdr>
    </w:div>
    <w:div w:id="763918500">
      <w:bodyDiv w:val="1"/>
      <w:marLeft w:val="0"/>
      <w:marRight w:val="0"/>
      <w:marTop w:val="0"/>
      <w:marBottom w:val="0"/>
      <w:divBdr>
        <w:top w:val="none" w:sz="0" w:space="0" w:color="auto"/>
        <w:left w:val="none" w:sz="0" w:space="0" w:color="auto"/>
        <w:bottom w:val="none" w:sz="0" w:space="0" w:color="auto"/>
        <w:right w:val="none" w:sz="0" w:space="0" w:color="auto"/>
      </w:divBdr>
    </w:div>
    <w:div w:id="764107793">
      <w:bodyDiv w:val="1"/>
      <w:marLeft w:val="0"/>
      <w:marRight w:val="0"/>
      <w:marTop w:val="0"/>
      <w:marBottom w:val="0"/>
      <w:divBdr>
        <w:top w:val="none" w:sz="0" w:space="0" w:color="auto"/>
        <w:left w:val="none" w:sz="0" w:space="0" w:color="auto"/>
        <w:bottom w:val="none" w:sz="0" w:space="0" w:color="auto"/>
        <w:right w:val="none" w:sz="0" w:space="0" w:color="auto"/>
      </w:divBdr>
    </w:div>
    <w:div w:id="764152903">
      <w:bodyDiv w:val="1"/>
      <w:marLeft w:val="0"/>
      <w:marRight w:val="0"/>
      <w:marTop w:val="0"/>
      <w:marBottom w:val="0"/>
      <w:divBdr>
        <w:top w:val="none" w:sz="0" w:space="0" w:color="auto"/>
        <w:left w:val="none" w:sz="0" w:space="0" w:color="auto"/>
        <w:bottom w:val="none" w:sz="0" w:space="0" w:color="auto"/>
        <w:right w:val="none" w:sz="0" w:space="0" w:color="auto"/>
      </w:divBdr>
    </w:div>
    <w:div w:id="764232599">
      <w:bodyDiv w:val="1"/>
      <w:marLeft w:val="0"/>
      <w:marRight w:val="0"/>
      <w:marTop w:val="0"/>
      <w:marBottom w:val="0"/>
      <w:divBdr>
        <w:top w:val="none" w:sz="0" w:space="0" w:color="auto"/>
        <w:left w:val="none" w:sz="0" w:space="0" w:color="auto"/>
        <w:bottom w:val="none" w:sz="0" w:space="0" w:color="auto"/>
        <w:right w:val="none" w:sz="0" w:space="0" w:color="auto"/>
      </w:divBdr>
    </w:div>
    <w:div w:id="764572314">
      <w:bodyDiv w:val="1"/>
      <w:marLeft w:val="0"/>
      <w:marRight w:val="0"/>
      <w:marTop w:val="0"/>
      <w:marBottom w:val="0"/>
      <w:divBdr>
        <w:top w:val="none" w:sz="0" w:space="0" w:color="auto"/>
        <w:left w:val="none" w:sz="0" w:space="0" w:color="auto"/>
        <w:bottom w:val="none" w:sz="0" w:space="0" w:color="auto"/>
        <w:right w:val="none" w:sz="0" w:space="0" w:color="auto"/>
      </w:divBdr>
    </w:div>
    <w:div w:id="764882082">
      <w:bodyDiv w:val="1"/>
      <w:marLeft w:val="0"/>
      <w:marRight w:val="0"/>
      <w:marTop w:val="0"/>
      <w:marBottom w:val="0"/>
      <w:divBdr>
        <w:top w:val="none" w:sz="0" w:space="0" w:color="auto"/>
        <w:left w:val="none" w:sz="0" w:space="0" w:color="auto"/>
        <w:bottom w:val="none" w:sz="0" w:space="0" w:color="auto"/>
        <w:right w:val="none" w:sz="0" w:space="0" w:color="auto"/>
      </w:divBdr>
    </w:div>
    <w:div w:id="764887805">
      <w:bodyDiv w:val="1"/>
      <w:marLeft w:val="0"/>
      <w:marRight w:val="0"/>
      <w:marTop w:val="0"/>
      <w:marBottom w:val="0"/>
      <w:divBdr>
        <w:top w:val="none" w:sz="0" w:space="0" w:color="auto"/>
        <w:left w:val="none" w:sz="0" w:space="0" w:color="auto"/>
        <w:bottom w:val="none" w:sz="0" w:space="0" w:color="auto"/>
        <w:right w:val="none" w:sz="0" w:space="0" w:color="auto"/>
      </w:divBdr>
    </w:div>
    <w:div w:id="764960174">
      <w:bodyDiv w:val="1"/>
      <w:marLeft w:val="0"/>
      <w:marRight w:val="0"/>
      <w:marTop w:val="0"/>
      <w:marBottom w:val="0"/>
      <w:divBdr>
        <w:top w:val="none" w:sz="0" w:space="0" w:color="auto"/>
        <w:left w:val="none" w:sz="0" w:space="0" w:color="auto"/>
        <w:bottom w:val="none" w:sz="0" w:space="0" w:color="auto"/>
        <w:right w:val="none" w:sz="0" w:space="0" w:color="auto"/>
      </w:divBdr>
    </w:div>
    <w:div w:id="765073862">
      <w:bodyDiv w:val="1"/>
      <w:marLeft w:val="0"/>
      <w:marRight w:val="0"/>
      <w:marTop w:val="0"/>
      <w:marBottom w:val="0"/>
      <w:divBdr>
        <w:top w:val="none" w:sz="0" w:space="0" w:color="auto"/>
        <w:left w:val="none" w:sz="0" w:space="0" w:color="auto"/>
        <w:bottom w:val="none" w:sz="0" w:space="0" w:color="auto"/>
        <w:right w:val="none" w:sz="0" w:space="0" w:color="auto"/>
      </w:divBdr>
    </w:div>
    <w:div w:id="765074817">
      <w:bodyDiv w:val="1"/>
      <w:marLeft w:val="0"/>
      <w:marRight w:val="0"/>
      <w:marTop w:val="0"/>
      <w:marBottom w:val="0"/>
      <w:divBdr>
        <w:top w:val="none" w:sz="0" w:space="0" w:color="auto"/>
        <w:left w:val="none" w:sz="0" w:space="0" w:color="auto"/>
        <w:bottom w:val="none" w:sz="0" w:space="0" w:color="auto"/>
        <w:right w:val="none" w:sz="0" w:space="0" w:color="auto"/>
      </w:divBdr>
    </w:div>
    <w:div w:id="765149831">
      <w:bodyDiv w:val="1"/>
      <w:marLeft w:val="0"/>
      <w:marRight w:val="0"/>
      <w:marTop w:val="0"/>
      <w:marBottom w:val="0"/>
      <w:divBdr>
        <w:top w:val="none" w:sz="0" w:space="0" w:color="auto"/>
        <w:left w:val="none" w:sz="0" w:space="0" w:color="auto"/>
        <w:bottom w:val="none" w:sz="0" w:space="0" w:color="auto"/>
        <w:right w:val="none" w:sz="0" w:space="0" w:color="auto"/>
      </w:divBdr>
    </w:div>
    <w:div w:id="765153707">
      <w:bodyDiv w:val="1"/>
      <w:marLeft w:val="0"/>
      <w:marRight w:val="0"/>
      <w:marTop w:val="0"/>
      <w:marBottom w:val="0"/>
      <w:divBdr>
        <w:top w:val="none" w:sz="0" w:space="0" w:color="auto"/>
        <w:left w:val="none" w:sz="0" w:space="0" w:color="auto"/>
        <w:bottom w:val="none" w:sz="0" w:space="0" w:color="auto"/>
        <w:right w:val="none" w:sz="0" w:space="0" w:color="auto"/>
      </w:divBdr>
    </w:div>
    <w:div w:id="765270552">
      <w:bodyDiv w:val="1"/>
      <w:marLeft w:val="0"/>
      <w:marRight w:val="0"/>
      <w:marTop w:val="0"/>
      <w:marBottom w:val="0"/>
      <w:divBdr>
        <w:top w:val="none" w:sz="0" w:space="0" w:color="auto"/>
        <w:left w:val="none" w:sz="0" w:space="0" w:color="auto"/>
        <w:bottom w:val="none" w:sz="0" w:space="0" w:color="auto"/>
        <w:right w:val="none" w:sz="0" w:space="0" w:color="auto"/>
      </w:divBdr>
    </w:div>
    <w:div w:id="765272645">
      <w:bodyDiv w:val="1"/>
      <w:marLeft w:val="0"/>
      <w:marRight w:val="0"/>
      <w:marTop w:val="0"/>
      <w:marBottom w:val="0"/>
      <w:divBdr>
        <w:top w:val="none" w:sz="0" w:space="0" w:color="auto"/>
        <w:left w:val="none" w:sz="0" w:space="0" w:color="auto"/>
        <w:bottom w:val="none" w:sz="0" w:space="0" w:color="auto"/>
        <w:right w:val="none" w:sz="0" w:space="0" w:color="auto"/>
      </w:divBdr>
    </w:div>
    <w:div w:id="765274919">
      <w:bodyDiv w:val="1"/>
      <w:marLeft w:val="0"/>
      <w:marRight w:val="0"/>
      <w:marTop w:val="0"/>
      <w:marBottom w:val="0"/>
      <w:divBdr>
        <w:top w:val="none" w:sz="0" w:space="0" w:color="auto"/>
        <w:left w:val="none" w:sz="0" w:space="0" w:color="auto"/>
        <w:bottom w:val="none" w:sz="0" w:space="0" w:color="auto"/>
        <w:right w:val="none" w:sz="0" w:space="0" w:color="auto"/>
      </w:divBdr>
    </w:div>
    <w:div w:id="765543150">
      <w:bodyDiv w:val="1"/>
      <w:marLeft w:val="0"/>
      <w:marRight w:val="0"/>
      <w:marTop w:val="0"/>
      <w:marBottom w:val="0"/>
      <w:divBdr>
        <w:top w:val="none" w:sz="0" w:space="0" w:color="auto"/>
        <w:left w:val="none" w:sz="0" w:space="0" w:color="auto"/>
        <w:bottom w:val="none" w:sz="0" w:space="0" w:color="auto"/>
        <w:right w:val="none" w:sz="0" w:space="0" w:color="auto"/>
      </w:divBdr>
    </w:div>
    <w:div w:id="765543551">
      <w:bodyDiv w:val="1"/>
      <w:marLeft w:val="0"/>
      <w:marRight w:val="0"/>
      <w:marTop w:val="0"/>
      <w:marBottom w:val="0"/>
      <w:divBdr>
        <w:top w:val="none" w:sz="0" w:space="0" w:color="auto"/>
        <w:left w:val="none" w:sz="0" w:space="0" w:color="auto"/>
        <w:bottom w:val="none" w:sz="0" w:space="0" w:color="auto"/>
        <w:right w:val="none" w:sz="0" w:space="0" w:color="auto"/>
      </w:divBdr>
    </w:div>
    <w:div w:id="765687271">
      <w:bodyDiv w:val="1"/>
      <w:marLeft w:val="0"/>
      <w:marRight w:val="0"/>
      <w:marTop w:val="0"/>
      <w:marBottom w:val="0"/>
      <w:divBdr>
        <w:top w:val="none" w:sz="0" w:space="0" w:color="auto"/>
        <w:left w:val="none" w:sz="0" w:space="0" w:color="auto"/>
        <w:bottom w:val="none" w:sz="0" w:space="0" w:color="auto"/>
        <w:right w:val="none" w:sz="0" w:space="0" w:color="auto"/>
      </w:divBdr>
    </w:div>
    <w:div w:id="765731106">
      <w:bodyDiv w:val="1"/>
      <w:marLeft w:val="0"/>
      <w:marRight w:val="0"/>
      <w:marTop w:val="0"/>
      <w:marBottom w:val="0"/>
      <w:divBdr>
        <w:top w:val="none" w:sz="0" w:space="0" w:color="auto"/>
        <w:left w:val="none" w:sz="0" w:space="0" w:color="auto"/>
        <w:bottom w:val="none" w:sz="0" w:space="0" w:color="auto"/>
        <w:right w:val="none" w:sz="0" w:space="0" w:color="auto"/>
      </w:divBdr>
    </w:div>
    <w:div w:id="765732776">
      <w:bodyDiv w:val="1"/>
      <w:marLeft w:val="0"/>
      <w:marRight w:val="0"/>
      <w:marTop w:val="0"/>
      <w:marBottom w:val="0"/>
      <w:divBdr>
        <w:top w:val="none" w:sz="0" w:space="0" w:color="auto"/>
        <w:left w:val="none" w:sz="0" w:space="0" w:color="auto"/>
        <w:bottom w:val="none" w:sz="0" w:space="0" w:color="auto"/>
        <w:right w:val="none" w:sz="0" w:space="0" w:color="auto"/>
      </w:divBdr>
    </w:div>
    <w:div w:id="765811627">
      <w:bodyDiv w:val="1"/>
      <w:marLeft w:val="0"/>
      <w:marRight w:val="0"/>
      <w:marTop w:val="0"/>
      <w:marBottom w:val="0"/>
      <w:divBdr>
        <w:top w:val="none" w:sz="0" w:space="0" w:color="auto"/>
        <w:left w:val="none" w:sz="0" w:space="0" w:color="auto"/>
        <w:bottom w:val="none" w:sz="0" w:space="0" w:color="auto"/>
        <w:right w:val="none" w:sz="0" w:space="0" w:color="auto"/>
      </w:divBdr>
    </w:div>
    <w:div w:id="765928357">
      <w:bodyDiv w:val="1"/>
      <w:marLeft w:val="0"/>
      <w:marRight w:val="0"/>
      <w:marTop w:val="0"/>
      <w:marBottom w:val="0"/>
      <w:divBdr>
        <w:top w:val="none" w:sz="0" w:space="0" w:color="auto"/>
        <w:left w:val="none" w:sz="0" w:space="0" w:color="auto"/>
        <w:bottom w:val="none" w:sz="0" w:space="0" w:color="auto"/>
        <w:right w:val="none" w:sz="0" w:space="0" w:color="auto"/>
      </w:divBdr>
    </w:div>
    <w:div w:id="765998991">
      <w:bodyDiv w:val="1"/>
      <w:marLeft w:val="0"/>
      <w:marRight w:val="0"/>
      <w:marTop w:val="0"/>
      <w:marBottom w:val="0"/>
      <w:divBdr>
        <w:top w:val="none" w:sz="0" w:space="0" w:color="auto"/>
        <w:left w:val="none" w:sz="0" w:space="0" w:color="auto"/>
        <w:bottom w:val="none" w:sz="0" w:space="0" w:color="auto"/>
        <w:right w:val="none" w:sz="0" w:space="0" w:color="auto"/>
      </w:divBdr>
    </w:div>
    <w:div w:id="766075666">
      <w:bodyDiv w:val="1"/>
      <w:marLeft w:val="0"/>
      <w:marRight w:val="0"/>
      <w:marTop w:val="0"/>
      <w:marBottom w:val="0"/>
      <w:divBdr>
        <w:top w:val="none" w:sz="0" w:space="0" w:color="auto"/>
        <w:left w:val="none" w:sz="0" w:space="0" w:color="auto"/>
        <w:bottom w:val="none" w:sz="0" w:space="0" w:color="auto"/>
        <w:right w:val="none" w:sz="0" w:space="0" w:color="auto"/>
      </w:divBdr>
    </w:div>
    <w:div w:id="766116614">
      <w:bodyDiv w:val="1"/>
      <w:marLeft w:val="0"/>
      <w:marRight w:val="0"/>
      <w:marTop w:val="0"/>
      <w:marBottom w:val="0"/>
      <w:divBdr>
        <w:top w:val="none" w:sz="0" w:space="0" w:color="auto"/>
        <w:left w:val="none" w:sz="0" w:space="0" w:color="auto"/>
        <w:bottom w:val="none" w:sz="0" w:space="0" w:color="auto"/>
        <w:right w:val="none" w:sz="0" w:space="0" w:color="auto"/>
      </w:divBdr>
    </w:div>
    <w:div w:id="766192199">
      <w:bodyDiv w:val="1"/>
      <w:marLeft w:val="0"/>
      <w:marRight w:val="0"/>
      <w:marTop w:val="0"/>
      <w:marBottom w:val="0"/>
      <w:divBdr>
        <w:top w:val="none" w:sz="0" w:space="0" w:color="auto"/>
        <w:left w:val="none" w:sz="0" w:space="0" w:color="auto"/>
        <w:bottom w:val="none" w:sz="0" w:space="0" w:color="auto"/>
        <w:right w:val="none" w:sz="0" w:space="0" w:color="auto"/>
      </w:divBdr>
    </w:div>
    <w:div w:id="766193895">
      <w:bodyDiv w:val="1"/>
      <w:marLeft w:val="0"/>
      <w:marRight w:val="0"/>
      <w:marTop w:val="0"/>
      <w:marBottom w:val="0"/>
      <w:divBdr>
        <w:top w:val="none" w:sz="0" w:space="0" w:color="auto"/>
        <w:left w:val="none" w:sz="0" w:space="0" w:color="auto"/>
        <w:bottom w:val="none" w:sz="0" w:space="0" w:color="auto"/>
        <w:right w:val="none" w:sz="0" w:space="0" w:color="auto"/>
      </w:divBdr>
    </w:div>
    <w:div w:id="766268260">
      <w:bodyDiv w:val="1"/>
      <w:marLeft w:val="0"/>
      <w:marRight w:val="0"/>
      <w:marTop w:val="0"/>
      <w:marBottom w:val="0"/>
      <w:divBdr>
        <w:top w:val="none" w:sz="0" w:space="0" w:color="auto"/>
        <w:left w:val="none" w:sz="0" w:space="0" w:color="auto"/>
        <w:bottom w:val="none" w:sz="0" w:space="0" w:color="auto"/>
        <w:right w:val="none" w:sz="0" w:space="0" w:color="auto"/>
      </w:divBdr>
    </w:div>
    <w:div w:id="766270689">
      <w:bodyDiv w:val="1"/>
      <w:marLeft w:val="0"/>
      <w:marRight w:val="0"/>
      <w:marTop w:val="0"/>
      <w:marBottom w:val="0"/>
      <w:divBdr>
        <w:top w:val="none" w:sz="0" w:space="0" w:color="auto"/>
        <w:left w:val="none" w:sz="0" w:space="0" w:color="auto"/>
        <w:bottom w:val="none" w:sz="0" w:space="0" w:color="auto"/>
        <w:right w:val="none" w:sz="0" w:space="0" w:color="auto"/>
      </w:divBdr>
    </w:div>
    <w:div w:id="766386913">
      <w:bodyDiv w:val="1"/>
      <w:marLeft w:val="0"/>
      <w:marRight w:val="0"/>
      <w:marTop w:val="0"/>
      <w:marBottom w:val="0"/>
      <w:divBdr>
        <w:top w:val="none" w:sz="0" w:space="0" w:color="auto"/>
        <w:left w:val="none" w:sz="0" w:space="0" w:color="auto"/>
        <w:bottom w:val="none" w:sz="0" w:space="0" w:color="auto"/>
        <w:right w:val="none" w:sz="0" w:space="0" w:color="auto"/>
      </w:divBdr>
    </w:div>
    <w:div w:id="766510083">
      <w:bodyDiv w:val="1"/>
      <w:marLeft w:val="0"/>
      <w:marRight w:val="0"/>
      <w:marTop w:val="0"/>
      <w:marBottom w:val="0"/>
      <w:divBdr>
        <w:top w:val="none" w:sz="0" w:space="0" w:color="auto"/>
        <w:left w:val="none" w:sz="0" w:space="0" w:color="auto"/>
        <w:bottom w:val="none" w:sz="0" w:space="0" w:color="auto"/>
        <w:right w:val="none" w:sz="0" w:space="0" w:color="auto"/>
      </w:divBdr>
    </w:div>
    <w:div w:id="766541779">
      <w:bodyDiv w:val="1"/>
      <w:marLeft w:val="0"/>
      <w:marRight w:val="0"/>
      <w:marTop w:val="0"/>
      <w:marBottom w:val="0"/>
      <w:divBdr>
        <w:top w:val="none" w:sz="0" w:space="0" w:color="auto"/>
        <w:left w:val="none" w:sz="0" w:space="0" w:color="auto"/>
        <w:bottom w:val="none" w:sz="0" w:space="0" w:color="auto"/>
        <w:right w:val="none" w:sz="0" w:space="0" w:color="auto"/>
      </w:divBdr>
    </w:div>
    <w:div w:id="766579248">
      <w:bodyDiv w:val="1"/>
      <w:marLeft w:val="0"/>
      <w:marRight w:val="0"/>
      <w:marTop w:val="0"/>
      <w:marBottom w:val="0"/>
      <w:divBdr>
        <w:top w:val="none" w:sz="0" w:space="0" w:color="auto"/>
        <w:left w:val="none" w:sz="0" w:space="0" w:color="auto"/>
        <w:bottom w:val="none" w:sz="0" w:space="0" w:color="auto"/>
        <w:right w:val="none" w:sz="0" w:space="0" w:color="auto"/>
      </w:divBdr>
    </w:div>
    <w:div w:id="766653345">
      <w:bodyDiv w:val="1"/>
      <w:marLeft w:val="0"/>
      <w:marRight w:val="0"/>
      <w:marTop w:val="0"/>
      <w:marBottom w:val="0"/>
      <w:divBdr>
        <w:top w:val="none" w:sz="0" w:space="0" w:color="auto"/>
        <w:left w:val="none" w:sz="0" w:space="0" w:color="auto"/>
        <w:bottom w:val="none" w:sz="0" w:space="0" w:color="auto"/>
        <w:right w:val="none" w:sz="0" w:space="0" w:color="auto"/>
      </w:divBdr>
    </w:div>
    <w:div w:id="766656167">
      <w:bodyDiv w:val="1"/>
      <w:marLeft w:val="0"/>
      <w:marRight w:val="0"/>
      <w:marTop w:val="0"/>
      <w:marBottom w:val="0"/>
      <w:divBdr>
        <w:top w:val="none" w:sz="0" w:space="0" w:color="auto"/>
        <w:left w:val="none" w:sz="0" w:space="0" w:color="auto"/>
        <w:bottom w:val="none" w:sz="0" w:space="0" w:color="auto"/>
        <w:right w:val="none" w:sz="0" w:space="0" w:color="auto"/>
      </w:divBdr>
    </w:div>
    <w:div w:id="766659338">
      <w:bodyDiv w:val="1"/>
      <w:marLeft w:val="0"/>
      <w:marRight w:val="0"/>
      <w:marTop w:val="0"/>
      <w:marBottom w:val="0"/>
      <w:divBdr>
        <w:top w:val="none" w:sz="0" w:space="0" w:color="auto"/>
        <w:left w:val="none" w:sz="0" w:space="0" w:color="auto"/>
        <w:bottom w:val="none" w:sz="0" w:space="0" w:color="auto"/>
        <w:right w:val="none" w:sz="0" w:space="0" w:color="auto"/>
      </w:divBdr>
    </w:div>
    <w:div w:id="766775878">
      <w:bodyDiv w:val="1"/>
      <w:marLeft w:val="0"/>
      <w:marRight w:val="0"/>
      <w:marTop w:val="0"/>
      <w:marBottom w:val="0"/>
      <w:divBdr>
        <w:top w:val="none" w:sz="0" w:space="0" w:color="auto"/>
        <w:left w:val="none" w:sz="0" w:space="0" w:color="auto"/>
        <w:bottom w:val="none" w:sz="0" w:space="0" w:color="auto"/>
        <w:right w:val="none" w:sz="0" w:space="0" w:color="auto"/>
      </w:divBdr>
    </w:div>
    <w:div w:id="766850166">
      <w:bodyDiv w:val="1"/>
      <w:marLeft w:val="0"/>
      <w:marRight w:val="0"/>
      <w:marTop w:val="0"/>
      <w:marBottom w:val="0"/>
      <w:divBdr>
        <w:top w:val="none" w:sz="0" w:space="0" w:color="auto"/>
        <w:left w:val="none" w:sz="0" w:space="0" w:color="auto"/>
        <w:bottom w:val="none" w:sz="0" w:space="0" w:color="auto"/>
        <w:right w:val="none" w:sz="0" w:space="0" w:color="auto"/>
      </w:divBdr>
    </w:div>
    <w:div w:id="766851775">
      <w:bodyDiv w:val="1"/>
      <w:marLeft w:val="0"/>
      <w:marRight w:val="0"/>
      <w:marTop w:val="0"/>
      <w:marBottom w:val="0"/>
      <w:divBdr>
        <w:top w:val="none" w:sz="0" w:space="0" w:color="auto"/>
        <w:left w:val="none" w:sz="0" w:space="0" w:color="auto"/>
        <w:bottom w:val="none" w:sz="0" w:space="0" w:color="auto"/>
        <w:right w:val="none" w:sz="0" w:space="0" w:color="auto"/>
      </w:divBdr>
    </w:div>
    <w:div w:id="766921946">
      <w:bodyDiv w:val="1"/>
      <w:marLeft w:val="0"/>
      <w:marRight w:val="0"/>
      <w:marTop w:val="0"/>
      <w:marBottom w:val="0"/>
      <w:divBdr>
        <w:top w:val="none" w:sz="0" w:space="0" w:color="auto"/>
        <w:left w:val="none" w:sz="0" w:space="0" w:color="auto"/>
        <w:bottom w:val="none" w:sz="0" w:space="0" w:color="auto"/>
        <w:right w:val="none" w:sz="0" w:space="0" w:color="auto"/>
      </w:divBdr>
    </w:div>
    <w:div w:id="766923101">
      <w:bodyDiv w:val="1"/>
      <w:marLeft w:val="0"/>
      <w:marRight w:val="0"/>
      <w:marTop w:val="0"/>
      <w:marBottom w:val="0"/>
      <w:divBdr>
        <w:top w:val="none" w:sz="0" w:space="0" w:color="auto"/>
        <w:left w:val="none" w:sz="0" w:space="0" w:color="auto"/>
        <w:bottom w:val="none" w:sz="0" w:space="0" w:color="auto"/>
        <w:right w:val="none" w:sz="0" w:space="0" w:color="auto"/>
      </w:divBdr>
    </w:div>
    <w:div w:id="766924200">
      <w:bodyDiv w:val="1"/>
      <w:marLeft w:val="0"/>
      <w:marRight w:val="0"/>
      <w:marTop w:val="0"/>
      <w:marBottom w:val="0"/>
      <w:divBdr>
        <w:top w:val="none" w:sz="0" w:space="0" w:color="auto"/>
        <w:left w:val="none" w:sz="0" w:space="0" w:color="auto"/>
        <w:bottom w:val="none" w:sz="0" w:space="0" w:color="auto"/>
        <w:right w:val="none" w:sz="0" w:space="0" w:color="auto"/>
      </w:divBdr>
    </w:div>
    <w:div w:id="767000529">
      <w:bodyDiv w:val="1"/>
      <w:marLeft w:val="0"/>
      <w:marRight w:val="0"/>
      <w:marTop w:val="0"/>
      <w:marBottom w:val="0"/>
      <w:divBdr>
        <w:top w:val="none" w:sz="0" w:space="0" w:color="auto"/>
        <w:left w:val="none" w:sz="0" w:space="0" w:color="auto"/>
        <w:bottom w:val="none" w:sz="0" w:space="0" w:color="auto"/>
        <w:right w:val="none" w:sz="0" w:space="0" w:color="auto"/>
      </w:divBdr>
    </w:div>
    <w:div w:id="767313051">
      <w:bodyDiv w:val="1"/>
      <w:marLeft w:val="0"/>
      <w:marRight w:val="0"/>
      <w:marTop w:val="0"/>
      <w:marBottom w:val="0"/>
      <w:divBdr>
        <w:top w:val="none" w:sz="0" w:space="0" w:color="auto"/>
        <w:left w:val="none" w:sz="0" w:space="0" w:color="auto"/>
        <w:bottom w:val="none" w:sz="0" w:space="0" w:color="auto"/>
        <w:right w:val="none" w:sz="0" w:space="0" w:color="auto"/>
      </w:divBdr>
    </w:div>
    <w:div w:id="767501481">
      <w:bodyDiv w:val="1"/>
      <w:marLeft w:val="0"/>
      <w:marRight w:val="0"/>
      <w:marTop w:val="0"/>
      <w:marBottom w:val="0"/>
      <w:divBdr>
        <w:top w:val="none" w:sz="0" w:space="0" w:color="auto"/>
        <w:left w:val="none" w:sz="0" w:space="0" w:color="auto"/>
        <w:bottom w:val="none" w:sz="0" w:space="0" w:color="auto"/>
        <w:right w:val="none" w:sz="0" w:space="0" w:color="auto"/>
      </w:divBdr>
    </w:div>
    <w:div w:id="767584900">
      <w:bodyDiv w:val="1"/>
      <w:marLeft w:val="0"/>
      <w:marRight w:val="0"/>
      <w:marTop w:val="0"/>
      <w:marBottom w:val="0"/>
      <w:divBdr>
        <w:top w:val="none" w:sz="0" w:space="0" w:color="auto"/>
        <w:left w:val="none" w:sz="0" w:space="0" w:color="auto"/>
        <w:bottom w:val="none" w:sz="0" w:space="0" w:color="auto"/>
        <w:right w:val="none" w:sz="0" w:space="0" w:color="auto"/>
      </w:divBdr>
    </w:div>
    <w:div w:id="767702846">
      <w:bodyDiv w:val="1"/>
      <w:marLeft w:val="0"/>
      <w:marRight w:val="0"/>
      <w:marTop w:val="0"/>
      <w:marBottom w:val="0"/>
      <w:divBdr>
        <w:top w:val="none" w:sz="0" w:space="0" w:color="auto"/>
        <w:left w:val="none" w:sz="0" w:space="0" w:color="auto"/>
        <w:bottom w:val="none" w:sz="0" w:space="0" w:color="auto"/>
        <w:right w:val="none" w:sz="0" w:space="0" w:color="auto"/>
      </w:divBdr>
    </w:div>
    <w:div w:id="767772438">
      <w:bodyDiv w:val="1"/>
      <w:marLeft w:val="0"/>
      <w:marRight w:val="0"/>
      <w:marTop w:val="0"/>
      <w:marBottom w:val="0"/>
      <w:divBdr>
        <w:top w:val="none" w:sz="0" w:space="0" w:color="auto"/>
        <w:left w:val="none" w:sz="0" w:space="0" w:color="auto"/>
        <w:bottom w:val="none" w:sz="0" w:space="0" w:color="auto"/>
        <w:right w:val="none" w:sz="0" w:space="0" w:color="auto"/>
      </w:divBdr>
    </w:div>
    <w:div w:id="767773913">
      <w:bodyDiv w:val="1"/>
      <w:marLeft w:val="0"/>
      <w:marRight w:val="0"/>
      <w:marTop w:val="0"/>
      <w:marBottom w:val="0"/>
      <w:divBdr>
        <w:top w:val="none" w:sz="0" w:space="0" w:color="auto"/>
        <w:left w:val="none" w:sz="0" w:space="0" w:color="auto"/>
        <w:bottom w:val="none" w:sz="0" w:space="0" w:color="auto"/>
        <w:right w:val="none" w:sz="0" w:space="0" w:color="auto"/>
      </w:divBdr>
    </w:div>
    <w:div w:id="767896240">
      <w:bodyDiv w:val="1"/>
      <w:marLeft w:val="0"/>
      <w:marRight w:val="0"/>
      <w:marTop w:val="0"/>
      <w:marBottom w:val="0"/>
      <w:divBdr>
        <w:top w:val="none" w:sz="0" w:space="0" w:color="auto"/>
        <w:left w:val="none" w:sz="0" w:space="0" w:color="auto"/>
        <w:bottom w:val="none" w:sz="0" w:space="0" w:color="auto"/>
        <w:right w:val="none" w:sz="0" w:space="0" w:color="auto"/>
      </w:divBdr>
    </w:div>
    <w:div w:id="768114185">
      <w:bodyDiv w:val="1"/>
      <w:marLeft w:val="0"/>
      <w:marRight w:val="0"/>
      <w:marTop w:val="0"/>
      <w:marBottom w:val="0"/>
      <w:divBdr>
        <w:top w:val="none" w:sz="0" w:space="0" w:color="auto"/>
        <w:left w:val="none" w:sz="0" w:space="0" w:color="auto"/>
        <w:bottom w:val="none" w:sz="0" w:space="0" w:color="auto"/>
        <w:right w:val="none" w:sz="0" w:space="0" w:color="auto"/>
      </w:divBdr>
    </w:div>
    <w:div w:id="768155947">
      <w:bodyDiv w:val="1"/>
      <w:marLeft w:val="0"/>
      <w:marRight w:val="0"/>
      <w:marTop w:val="0"/>
      <w:marBottom w:val="0"/>
      <w:divBdr>
        <w:top w:val="none" w:sz="0" w:space="0" w:color="auto"/>
        <w:left w:val="none" w:sz="0" w:space="0" w:color="auto"/>
        <w:bottom w:val="none" w:sz="0" w:space="0" w:color="auto"/>
        <w:right w:val="none" w:sz="0" w:space="0" w:color="auto"/>
      </w:divBdr>
    </w:div>
    <w:div w:id="768159720">
      <w:bodyDiv w:val="1"/>
      <w:marLeft w:val="0"/>
      <w:marRight w:val="0"/>
      <w:marTop w:val="0"/>
      <w:marBottom w:val="0"/>
      <w:divBdr>
        <w:top w:val="none" w:sz="0" w:space="0" w:color="auto"/>
        <w:left w:val="none" w:sz="0" w:space="0" w:color="auto"/>
        <w:bottom w:val="none" w:sz="0" w:space="0" w:color="auto"/>
        <w:right w:val="none" w:sz="0" w:space="0" w:color="auto"/>
      </w:divBdr>
    </w:div>
    <w:div w:id="768231236">
      <w:bodyDiv w:val="1"/>
      <w:marLeft w:val="0"/>
      <w:marRight w:val="0"/>
      <w:marTop w:val="0"/>
      <w:marBottom w:val="0"/>
      <w:divBdr>
        <w:top w:val="none" w:sz="0" w:space="0" w:color="auto"/>
        <w:left w:val="none" w:sz="0" w:space="0" w:color="auto"/>
        <w:bottom w:val="none" w:sz="0" w:space="0" w:color="auto"/>
        <w:right w:val="none" w:sz="0" w:space="0" w:color="auto"/>
      </w:divBdr>
    </w:div>
    <w:div w:id="768355877">
      <w:bodyDiv w:val="1"/>
      <w:marLeft w:val="0"/>
      <w:marRight w:val="0"/>
      <w:marTop w:val="0"/>
      <w:marBottom w:val="0"/>
      <w:divBdr>
        <w:top w:val="none" w:sz="0" w:space="0" w:color="auto"/>
        <w:left w:val="none" w:sz="0" w:space="0" w:color="auto"/>
        <w:bottom w:val="none" w:sz="0" w:space="0" w:color="auto"/>
        <w:right w:val="none" w:sz="0" w:space="0" w:color="auto"/>
      </w:divBdr>
    </w:div>
    <w:div w:id="768429685">
      <w:bodyDiv w:val="1"/>
      <w:marLeft w:val="0"/>
      <w:marRight w:val="0"/>
      <w:marTop w:val="0"/>
      <w:marBottom w:val="0"/>
      <w:divBdr>
        <w:top w:val="none" w:sz="0" w:space="0" w:color="auto"/>
        <w:left w:val="none" w:sz="0" w:space="0" w:color="auto"/>
        <w:bottom w:val="none" w:sz="0" w:space="0" w:color="auto"/>
        <w:right w:val="none" w:sz="0" w:space="0" w:color="auto"/>
      </w:divBdr>
    </w:div>
    <w:div w:id="768619182">
      <w:bodyDiv w:val="1"/>
      <w:marLeft w:val="0"/>
      <w:marRight w:val="0"/>
      <w:marTop w:val="0"/>
      <w:marBottom w:val="0"/>
      <w:divBdr>
        <w:top w:val="none" w:sz="0" w:space="0" w:color="auto"/>
        <w:left w:val="none" w:sz="0" w:space="0" w:color="auto"/>
        <w:bottom w:val="none" w:sz="0" w:space="0" w:color="auto"/>
        <w:right w:val="none" w:sz="0" w:space="0" w:color="auto"/>
      </w:divBdr>
    </w:div>
    <w:div w:id="768738103">
      <w:bodyDiv w:val="1"/>
      <w:marLeft w:val="0"/>
      <w:marRight w:val="0"/>
      <w:marTop w:val="0"/>
      <w:marBottom w:val="0"/>
      <w:divBdr>
        <w:top w:val="none" w:sz="0" w:space="0" w:color="auto"/>
        <w:left w:val="none" w:sz="0" w:space="0" w:color="auto"/>
        <w:bottom w:val="none" w:sz="0" w:space="0" w:color="auto"/>
        <w:right w:val="none" w:sz="0" w:space="0" w:color="auto"/>
      </w:divBdr>
    </w:div>
    <w:div w:id="768744338">
      <w:bodyDiv w:val="1"/>
      <w:marLeft w:val="0"/>
      <w:marRight w:val="0"/>
      <w:marTop w:val="0"/>
      <w:marBottom w:val="0"/>
      <w:divBdr>
        <w:top w:val="none" w:sz="0" w:space="0" w:color="auto"/>
        <w:left w:val="none" w:sz="0" w:space="0" w:color="auto"/>
        <w:bottom w:val="none" w:sz="0" w:space="0" w:color="auto"/>
        <w:right w:val="none" w:sz="0" w:space="0" w:color="auto"/>
      </w:divBdr>
    </w:div>
    <w:div w:id="768813194">
      <w:bodyDiv w:val="1"/>
      <w:marLeft w:val="0"/>
      <w:marRight w:val="0"/>
      <w:marTop w:val="0"/>
      <w:marBottom w:val="0"/>
      <w:divBdr>
        <w:top w:val="none" w:sz="0" w:space="0" w:color="auto"/>
        <w:left w:val="none" w:sz="0" w:space="0" w:color="auto"/>
        <w:bottom w:val="none" w:sz="0" w:space="0" w:color="auto"/>
        <w:right w:val="none" w:sz="0" w:space="0" w:color="auto"/>
      </w:divBdr>
    </w:div>
    <w:div w:id="768893929">
      <w:bodyDiv w:val="1"/>
      <w:marLeft w:val="0"/>
      <w:marRight w:val="0"/>
      <w:marTop w:val="0"/>
      <w:marBottom w:val="0"/>
      <w:divBdr>
        <w:top w:val="none" w:sz="0" w:space="0" w:color="auto"/>
        <w:left w:val="none" w:sz="0" w:space="0" w:color="auto"/>
        <w:bottom w:val="none" w:sz="0" w:space="0" w:color="auto"/>
        <w:right w:val="none" w:sz="0" w:space="0" w:color="auto"/>
      </w:divBdr>
    </w:div>
    <w:div w:id="768936682">
      <w:bodyDiv w:val="1"/>
      <w:marLeft w:val="0"/>
      <w:marRight w:val="0"/>
      <w:marTop w:val="0"/>
      <w:marBottom w:val="0"/>
      <w:divBdr>
        <w:top w:val="none" w:sz="0" w:space="0" w:color="auto"/>
        <w:left w:val="none" w:sz="0" w:space="0" w:color="auto"/>
        <w:bottom w:val="none" w:sz="0" w:space="0" w:color="auto"/>
        <w:right w:val="none" w:sz="0" w:space="0" w:color="auto"/>
      </w:divBdr>
    </w:div>
    <w:div w:id="768964038">
      <w:bodyDiv w:val="1"/>
      <w:marLeft w:val="0"/>
      <w:marRight w:val="0"/>
      <w:marTop w:val="0"/>
      <w:marBottom w:val="0"/>
      <w:divBdr>
        <w:top w:val="none" w:sz="0" w:space="0" w:color="auto"/>
        <w:left w:val="none" w:sz="0" w:space="0" w:color="auto"/>
        <w:bottom w:val="none" w:sz="0" w:space="0" w:color="auto"/>
        <w:right w:val="none" w:sz="0" w:space="0" w:color="auto"/>
      </w:divBdr>
    </w:div>
    <w:div w:id="768966208">
      <w:bodyDiv w:val="1"/>
      <w:marLeft w:val="0"/>
      <w:marRight w:val="0"/>
      <w:marTop w:val="0"/>
      <w:marBottom w:val="0"/>
      <w:divBdr>
        <w:top w:val="none" w:sz="0" w:space="0" w:color="auto"/>
        <w:left w:val="none" w:sz="0" w:space="0" w:color="auto"/>
        <w:bottom w:val="none" w:sz="0" w:space="0" w:color="auto"/>
        <w:right w:val="none" w:sz="0" w:space="0" w:color="auto"/>
      </w:divBdr>
    </w:div>
    <w:div w:id="769011070">
      <w:bodyDiv w:val="1"/>
      <w:marLeft w:val="0"/>
      <w:marRight w:val="0"/>
      <w:marTop w:val="0"/>
      <w:marBottom w:val="0"/>
      <w:divBdr>
        <w:top w:val="none" w:sz="0" w:space="0" w:color="auto"/>
        <w:left w:val="none" w:sz="0" w:space="0" w:color="auto"/>
        <w:bottom w:val="none" w:sz="0" w:space="0" w:color="auto"/>
        <w:right w:val="none" w:sz="0" w:space="0" w:color="auto"/>
      </w:divBdr>
    </w:div>
    <w:div w:id="769080205">
      <w:bodyDiv w:val="1"/>
      <w:marLeft w:val="0"/>
      <w:marRight w:val="0"/>
      <w:marTop w:val="0"/>
      <w:marBottom w:val="0"/>
      <w:divBdr>
        <w:top w:val="none" w:sz="0" w:space="0" w:color="auto"/>
        <w:left w:val="none" w:sz="0" w:space="0" w:color="auto"/>
        <w:bottom w:val="none" w:sz="0" w:space="0" w:color="auto"/>
        <w:right w:val="none" w:sz="0" w:space="0" w:color="auto"/>
      </w:divBdr>
    </w:div>
    <w:div w:id="769083922">
      <w:bodyDiv w:val="1"/>
      <w:marLeft w:val="0"/>
      <w:marRight w:val="0"/>
      <w:marTop w:val="0"/>
      <w:marBottom w:val="0"/>
      <w:divBdr>
        <w:top w:val="none" w:sz="0" w:space="0" w:color="auto"/>
        <w:left w:val="none" w:sz="0" w:space="0" w:color="auto"/>
        <w:bottom w:val="none" w:sz="0" w:space="0" w:color="auto"/>
        <w:right w:val="none" w:sz="0" w:space="0" w:color="auto"/>
      </w:divBdr>
    </w:div>
    <w:div w:id="769161599">
      <w:bodyDiv w:val="1"/>
      <w:marLeft w:val="0"/>
      <w:marRight w:val="0"/>
      <w:marTop w:val="0"/>
      <w:marBottom w:val="0"/>
      <w:divBdr>
        <w:top w:val="none" w:sz="0" w:space="0" w:color="auto"/>
        <w:left w:val="none" w:sz="0" w:space="0" w:color="auto"/>
        <w:bottom w:val="none" w:sz="0" w:space="0" w:color="auto"/>
        <w:right w:val="none" w:sz="0" w:space="0" w:color="auto"/>
      </w:divBdr>
    </w:div>
    <w:div w:id="769162676">
      <w:bodyDiv w:val="1"/>
      <w:marLeft w:val="0"/>
      <w:marRight w:val="0"/>
      <w:marTop w:val="0"/>
      <w:marBottom w:val="0"/>
      <w:divBdr>
        <w:top w:val="none" w:sz="0" w:space="0" w:color="auto"/>
        <w:left w:val="none" w:sz="0" w:space="0" w:color="auto"/>
        <w:bottom w:val="none" w:sz="0" w:space="0" w:color="auto"/>
        <w:right w:val="none" w:sz="0" w:space="0" w:color="auto"/>
      </w:divBdr>
    </w:div>
    <w:div w:id="769206794">
      <w:bodyDiv w:val="1"/>
      <w:marLeft w:val="0"/>
      <w:marRight w:val="0"/>
      <w:marTop w:val="0"/>
      <w:marBottom w:val="0"/>
      <w:divBdr>
        <w:top w:val="none" w:sz="0" w:space="0" w:color="auto"/>
        <w:left w:val="none" w:sz="0" w:space="0" w:color="auto"/>
        <w:bottom w:val="none" w:sz="0" w:space="0" w:color="auto"/>
        <w:right w:val="none" w:sz="0" w:space="0" w:color="auto"/>
      </w:divBdr>
    </w:div>
    <w:div w:id="769352559">
      <w:bodyDiv w:val="1"/>
      <w:marLeft w:val="0"/>
      <w:marRight w:val="0"/>
      <w:marTop w:val="0"/>
      <w:marBottom w:val="0"/>
      <w:divBdr>
        <w:top w:val="none" w:sz="0" w:space="0" w:color="auto"/>
        <w:left w:val="none" w:sz="0" w:space="0" w:color="auto"/>
        <w:bottom w:val="none" w:sz="0" w:space="0" w:color="auto"/>
        <w:right w:val="none" w:sz="0" w:space="0" w:color="auto"/>
      </w:divBdr>
    </w:div>
    <w:div w:id="769397978">
      <w:bodyDiv w:val="1"/>
      <w:marLeft w:val="0"/>
      <w:marRight w:val="0"/>
      <w:marTop w:val="0"/>
      <w:marBottom w:val="0"/>
      <w:divBdr>
        <w:top w:val="none" w:sz="0" w:space="0" w:color="auto"/>
        <w:left w:val="none" w:sz="0" w:space="0" w:color="auto"/>
        <w:bottom w:val="none" w:sz="0" w:space="0" w:color="auto"/>
        <w:right w:val="none" w:sz="0" w:space="0" w:color="auto"/>
      </w:divBdr>
    </w:div>
    <w:div w:id="769471725">
      <w:bodyDiv w:val="1"/>
      <w:marLeft w:val="0"/>
      <w:marRight w:val="0"/>
      <w:marTop w:val="0"/>
      <w:marBottom w:val="0"/>
      <w:divBdr>
        <w:top w:val="none" w:sz="0" w:space="0" w:color="auto"/>
        <w:left w:val="none" w:sz="0" w:space="0" w:color="auto"/>
        <w:bottom w:val="none" w:sz="0" w:space="0" w:color="auto"/>
        <w:right w:val="none" w:sz="0" w:space="0" w:color="auto"/>
      </w:divBdr>
    </w:div>
    <w:div w:id="769617705">
      <w:bodyDiv w:val="1"/>
      <w:marLeft w:val="0"/>
      <w:marRight w:val="0"/>
      <w:marTop w:val="0"/>
      <w:marBottom w:val="0"/>
      <w:divBdr>
        <w:top w:val="none" w:sz="0" w:space="0" w:color="auto"/>
        <w:left w:val="none" w:sz="0" w:space="0" w:color="auto"/>
        <w:bottom w:val="none" w:sz="0" w:space="0" w:color="auto"/>
        <w:right w:val="none" w:sz="0" w:space="0" w:color="auto"/>
      </w:divBdr>
    </w:div>
    <w:div w:id="769668115">
      <w:bodyDiv w:val="1"/>
      <w:marLeft w:val="0"/>
      <w:marRight w:val="0"/>
      <w:marTop w:val="0"/>
      <w:marBottom w:val="0"/>
      <w:divBdr>
        <w:top w:val="none" w:sz="0" w:space="0" w:color="auto"/>
        <w:left w:val="none" w:sz="0" w:space="0" w:color="auto"/>
        <w:bottom w:val="none" w:sz="0" w:space="0" w:color="auto"/>
        <w:right w:val="none" w:sz="0" w:space="0" w:color="auto"/>
      </w:divBdr>
    </w:div>
    <w:div w:id="769786326">
      <w:bodyDiv w:val="1"/>
      <w:marLeft w:val="0"/>
      <w:marRight w:val="0"/>
      <w:marTop w:val="0"/>
      <w:marBottom w:val="0"/>
      <w:divBdr>
        <w:top w:val="none" w:sz="0" w:space="0" w:color="auto"/>
        <w:left w:val="none" w:sz="0" w:space="0" w:color="auto"/>
        <w:bottom w:val="none" w:sz="0" w:space="0" w:color="auto"/>
        <w:right w:val="none" w:sz="0" w:space="0" w:color="auto"/>
      </w:divBdr>
    </w:div>
    <w:div w:id="769811552">
      <w:bodyDiv w:val="1"/>
      <w:marLeft w:val="0"/>
      <w:marRight w:val="0"/>
      <w:marTop w:val="0"/>
      <w:marBottom w:val="0"/>
      <w:divBdr>
        <w:top w:val="none" w:sz="0" w:space="0" w:color="auto"/>
        <w:left w:val="none" w:sz="0" w:space="0" w:color="auto"/>
        <w:bottom w:val="none" w:sz="0" w:space="0" w:color="auto"/>
        <w:right w:val="none" w:sz="0" w:space="0" w:color="auto"/>
      </w:divBdr>
    </w:div>
    <w:div w:id="769812892">
      <w:bodyDiv w:val="1"/>
      <w:marLeft w:val="0"/>
      <w:marRight w:val="0"/>
      <w:marTop w:val="0"/>
      <w:marBottom w:val="0"/>
      <w:divBdr>
        <w:top w:val="none" w:sz="0" w:space="0" w:color="auto"/>
        <w:left w:val="none" w:sz="0" w:space="0" w:color="auto"/>
        <w:bottom w:val="none" w:sz="0" w:space="0" w:color="auto"/>
        <w:right w:val="none" w:sz="0" w:space="0" w:color="auto"/>
      </w:divBdr>
    </w:div>
    <w:div w:id="769857215">
      <w:bodyDiv w:val="1"/>
      <w:marLeft w:val="0"/>
      <w:marRight w:val="0"/>
      <w:marTop w:val="0"/>
      <w:marBottom w:val="0"/>
      <w:divBdr>
        <w:top w:val="none" w:sz="0" w:space="0" w:color="auto"/>
        <w:left w:val="none" w:sz="0" w:space="0" w:color="auto"/>
        <w:bottom w:val="none" w:sz="0" w:space="0" w:color="auto"/>
        <w:right w:val="none" w:sz="0" w:space="0" w:color="auto"/>
      </w:divBdr>
    </w:div>
    <w:div w:id="769857830">
      <w:bodyDiv w:val="1"/>
      <w:marLeft w:val="0"/>
      <w:marRight w:val="0"/>
      <w:marTop w:val="0"/>
      <w:marBottom w:val="0"/>
      <w:divBdr>
        <w:top w:val="none" w:sz="0" w:space="0" w:color="auto"/>
        <w:left w:val="none" w:sz="0" w:space="0" w:color="auto"/>
        <w:bottom w:val="none" w:sz="0" w:space="0" w:color="auto"/>
        <w:right w:val="none" w:sz="0" w:space="0" w:color="auto"/>
      </w:divBdr>
    </w:div>
    <w:div w:id="769859654">
      <w:bodyDiv w:val="1"/>
      <w:marLeft w:val="0"/>
      <w:marRight w:val="0"/>
      <w:marTop w:val="0"/>
      <w:marBottom w:val="0"/>
      <w:divBdr>
        <w:top w:val="none" w:sz="0" w:space="0" w:color="auto"/>
        <w:left w:val="none" w:sz="0" w:space="0" w:color="auto"/>
        <w:bottom w:val="none" w:sz="0" w:space="0" w:color="auto"/>
        <w:right w:val="none" w:sz="0" w:space="0" w:color="auto"/>
      </w:divBdr>
    </w:div>
    <w:div w:id="770011416">
      <w:bodyDiv w:val="1"/>
      <w:marLeft w:val="0"/>
      <w:marRight w:val="0"/>
      <w:marTop w:val="0"/>
      <w:marBottom w:val="0"/>
      <w:divBdr>
        <w:top w:val="none" w:sz="0" w:space="0" w:color="auto"/>
        <w:left w:val="none" w:sz="0" w:space="0" w:color="auto"/>
        <w:bottom w:val="none" w:sz="0" w:space="0" w:color="auto"/>
        <w:right w:val="none" w:sz="0" w:space="0" w:color="auto"/>
      </w:divBdr>
    </w:div>
    <w:div w:id="770122177">
      <w:bodyDiv w:val="1"/>
      <w:marLeft w:val="0"/>
      <w:marRight w:val="0"/>
      <w:marTop w:val="0"/>
      <w:marBottom w:val="0"/>
      <w:divBdr>
        <w:top w:val="none" w:sz="0" w:space="0" w:color="auto"/>
        <w:left w:val="none" w:sz="0" w:space="0" w:color="auto"/>
        <w:bottom w:val="none" w:sz="0" w:space="0" w:color="auto"/>
        <w:right w:val="none" w:sz="0" w:space="0" w:color="auto"/>
      </w:divBdr>
    </w:div>
    <w:div w:id="770244933">
      <w:bodyDiv w:val="1"/>
      <w:marLeft w:val="0"/>
      <w:marRight w:val="0"/>
      <w:marTop w:val="0"/>
      <w:marBottom w:val="0"/>
      <w:divBdr>
        <w:top w:val="none" w:sz="0" w:space="0" w:color="auto"/>
        <w:left w:val="none" w:sz="0" w:space="0" w:color="auto"/>
        <w:bottom w:val="none" w:sz="0" w:space="0" w:color="auto"/>
        <w:right w:val="none" w:sz="0" w:space="0" w:color="auto"/>
      </w:divBdr>
    </w:div>
    <w:div w:id="770512319">
      <w:bodyDiv w:val="1"/>
      <w:marLeft w:val="0"/>
      <w:marRight w:val="0"/>
      <w:marTop w:val="0"/>
      <w:marBottom w:val="0"/>
      <w:divBdr>
        <w:top w:val="none" w:sz="0" w:space="0" w:color="auto"/>
        <w:left w:val="none" w:sz="0" w:space="0" w:color="auto"/>
        <w:bottom w:val="none" w:sz="0" w:space="0" w:color="auto"/>
        <w:right w:val="none" w:sz="0" w:space="0" w:color="auto"/>
      </w:divBdr>
    </w:div>
    <w:div w:id="770592990">
      <w:bodyDiv w:val="1"/>
      <w:marLeft w:val="0"/>
      <w:marRight w:val="0"/>
      <w:marTop w:val="0"/>
      <w:marBottom w:val="0"/>
      <w:divBdr>
        <w:top w:val="none" w:sz="0" w:space="0" w:color="auto"/>
        <w:left w:val="none" w:sz="0" w:space="0" w:color="auto"/>
        <w:bottom w:val="none" w:sz="0" w:space="0" w:color="auto"/>
        <w:right w:val="none" w:sz="0" w:space="0" w:color="auto"/>
      </w:divBdr>
    </w:div>
    <w:div w:id="770659324">
      <w:bodyDiv w:val="1"/>
      <w:marLeft w:val="0"/>
      <w:marRight w:val="0"/>
      <w:marTop w:val="0"/>
      <w:marBottom w:val="0"/>
      <w:divBdr>
        <w:top w:val="none" w:sz="0" w:space="0" w:color="auto"/>
        <w:left w:val="none" w:sz="0" w:space="0" w:color="auto"/>
        <w:bottom w:val="none" w:sz="0" w:space="0" w:color="auto"/>
        <w:right w:val="none" w:sz="0" w:space="0" w:color="auto"/>
      </w:divBdr>
    </w:div>
    <w:div w:id="770661111">
      <w:bodyDiv w:val="1"/>
      <w:marLeft w:val="0"/>
      <w:marRight w:val="0"/>
      <w:marTop w:val="0"/>
      <w:marBottom w:val="0"/>
      <w:divBdr>
        <w:top w:val="none" w:sz="0" w:space="0" w:color="auto"/>
        <w:left w:val="none" w:sz="0" w:space="0" w:color="auto"/>
        <w:bottom w:val="none" w:sz="0" w:space="0" w:color="auto"/>
        <w:right w:val="none" w:sz="0" w:space="0" w:color="auto"/>
      </w:divBdr>
    </w:div>
    <w:div w:id="770704782">
      <w:bodyDiv w:val="1"/>
      <w:marLeft w:val="0"/>
      <w:marRight w:val="0"/>
      <w:marTop w:val="0"/>
      <w:marBottom w:val="0"/>
      <w:divBdr>
        <w:top w:val="none" w:sz="0" w:space="0" w:color="auto"/>
        <w:left w:val="none" w:sz="0" w:space="0" w:color="auto"/>
        <w:bottom w:val="none" w:sz="0" w:space="0" w:color="auto"/>
        <w:right w:val="none" w:sz="0" w:space="0" w:color="auto"/>
      </w:divBdr>
    </w:div>
    <w:div w:id="770704891">
      <w:bodyDiv w:val="1"/>
      <w:marLeft w:val="0"/>
      <w:marRight w:val="0"/>
      <w:marTop w:val="0"/>
      <w:marBottom w:val="0"/>
      <w:divBdr>
        <w:top w:val="none" w:sz="0" w:space="0" w:color="auto"/>
        <w:left w:val="none" w:sz="0" w:space="0" w:color="auto"/>
        <w:bottom w:val="none" w:sz="0" w:space="0" w:color="auto"/>
        <w:right w:val="none" w:sz="0" w:space="0" w:color="auto"/>
      </w:divBdr>
    </w:div>
    <w:div w:id="770783525">
      <w:bodyDiv w:val="1"/>
      <w:marLeft w:val="0"/>
      <w:marRight w:val="0"/>
      <w:marTop w:val="0"/>
      <w:marBottom w:val="0"/>
      <w:divBdr>
        <w:top w:val="none" w:sz="0" w:space="0" w:color="auto"/>
        <w:left w:val="none" w:sz="0" w:space="0" w:color="auto"/>
        <w:bottom w:val="none" w:sz="0" w:space="0" w:color="auto"/>
        <w:right w:val="none" w:sz="0" w:space="0" w:color="auto"/>
      </w:divBdr>
    </w:div>
    <w:div w:id="770857734">
      <w:bodyDiv w:val="1"/>
      <w:marLeft w:val="0"/>
      <w:marRight w:val="0"/>
      <w:marTop w:val="0"/>
      <w:marBottom w:val="0"/>
      <w:divBdr>
        <w:top w:val="none" w:sz="0" w:space="0" w:color="auto"/>
        <w:left w:val="none" w:sz="0" w:space="0" w:color="auto"/>
        <w:bottom w:val="none" w:sz="0" w:space="0" w:color="auto"/>
        <w:right w:val="none" w:sz="0" w:space="0" w:color="auto"/>
      </w:divBdr>
    </w:div>
    <w:div w:id="770901284">
      <w:bodyDiv w:val="1"/>
      <w:marLeft w:val="0"/>
      <w:marRight w:val="0"/>
      <w:marTop w:val="0"/>
      <w:marBottom w:val="0"/>
      <w:divBdr>
        <w:top w:val="none" w:sz="0" w:space="0" w:color="auto"/>
        <w:left w:val="none" w:sz="0" w:space="0" w:color="auto"/>
        <w:bottom w:val="none" w:sz="0" w:space="0" w:color="auto"/>
        <w:right w:val="none" w:sz="0" w:space="0" w:color="auto"/>
      </w:divBdr>
    </w:div>
    <w:div w:id="770902378">
      <w:bodyDiv w:val="1"/>
      <w:marLeft w:val="0"/>
      <w:marRight w:val="0"/>
      <w:marTop w:val="0"/>
      <w:marBottom w:val="0"/>
      <w:divBdr>
        <w:top w:val="none" w:sz="0" w:space="0" w:color="auto"/>
        <w:left w:val="none" w:sz="0" w:space="0" w:color="auto"/>
        <w:bottom w:val="none" w:sz="0" w:space="0" w:color="auto"/>
        <w:right w:val="none" w:sz="0" w:space="0" w:color="auto"/>
      </w:divBdr>
    </w:div>
    <w:div w:id="771122579">
      <w:bodyDiv w:val="1"/>
      <w:marLeft w:val="0"/>
      <w:marRight w:val="0"/>
      <w:marTop w:val="0"/>
      <w:marBottom w:val="0"/>
      <w:divBdr>
        <w:top w:val="none" w:sz="0" w:space="0" w:color="auto"/>
        <w:left w:val="none" w:sz="0" w:space="0" w:color="auto"/>
        <w:bottom w:val="none" w:sz="0" w:space="0" w:color="auto"/>
        <w:right w:val="none" w:sz="0" w:space="0" w:color="auto"/>
      </w:divBdr>
    </w:div>
    <w:div w:id="771167340">
      <w:bodyDiv w:val="1"/>
      <w:marLeft w:val="0"/>
      <w:marRight w:val="0"/>
      <w:marTop w:val="0"/>
      <w:marBottom w:val="0"/>
      <w:divBdr>
        <w:top w:val="none" w:sz="0" w:space="0" w:color="auto"/>
        <w:left w:val="none" w:sz="0" w:space="0" w:color="auto"/>
        <w:bottom w:val="none" w:sz="0" w:space="0" w:color="auto"/>
        <w:right w:val="none" w:sz="0" w:space="0" w:color="auto"/>
      </w:divBdr>
    </w:div>
    <w:div w:id="771360264">
      <w:bodyDiv w:val="1"/>
      <w:marLeft w:val="0"/>
      <w:marRight w:val="0"/>
      <w:marTop w:val="0"/>
      <w:marBottom w:val="0"/>
      <w:divBdr>
        <w:top w:val="none" w:sz="0" w:space="0" w:color="auto"/>
        <w:left w:val="none" w:sz="0" w:space="0" w:color="auto"/>
        <w:bottom w:val="none" w:sz="0" w:space="0" w:color="auto"/>
        <w:right w:val="none" w:sz="0" w:space="0" w:color="auto"/>
      </w:divBdr>
    </w:div>
    <w:div w:id="771508403">
      <w:bodyDiv w:val="1"/>
      <w:marLeft w:val="0"/>
      <w:marRight w:val="0"/>
      <w:marTop w:val="0"/>
      <w:marBottom w:val="0"/>
      <w:divBdr>
        <w:top w:val="none" w:sz="0" w:space="0" w:color="auto"/>
        <w:left w:val="none" w:sz="0" w:space="0" w:color="auto"/>
        <w:bottom w:val="none" w:sz="0" w:space="0" w:color="auto"/>
        <w:right w:val="none" w:sz="0" w:space="0" w:color="auto"/>
      </w:divBdr>
    </w:div>
    <w:div w:id="771627062">
      <w:bodyDiv w:val="1"/>
      <w:marLeft w:val="0"/>
      <w:marRight w:val="0"/>
      <w:marTop w:val="0"/>
      <w:marBottom w:val="0"/>
      <w:divBdr>
        <w:top w:val="none" w:sz="0" w:space="0" w:color="auto"/>
        <w:left w:val="none" w:sz="0" w:space="0" w:color="auto"/>
        <w:bottom w:val="none" w:sz="0" w:space="0" w:color="auto"/>
        <w:right w:val="none" w:sz="0" w:space="0" w:color="auto"/>
      </w:divBdr>
    </w:div>
    <w:div w:id="771629012">
      <w:bodyDiv w:val="1"/>
      <w:marLeft w:val="0"/>
      <w:marRight w:val="0"/>
      <w:marTop w:val="0"/>
      <w:marBottom w:val="0"/>
      <w:divBdr>
        <w:top w:val="none" w:sz="0" w:space="0" w:color="auto"/>
        <w:left w:val="none" w:sz="0" w:space="0" w:color="auto"/>
        <w:bottom w:val="none" w:sz="0" w:space="0" w:color="auto"/>
        <w:right w:val="none" w:sz="0" w:space="0" w:color="auto"/>
      </w:divBdr>
    </w:div>
    <w:div w:id="771706274">
      <w:bodyDiv w:val="1"/>
      <w:marLeft w:val="0"/>
      <w:marRight w:val="0"/>
      <w:marTop w:val="0"/>
      <w:marBottom w:val="0"/>
      <w:divBdr>
        <w:top w:val="none" w:sz="0" w:space="0" w:color="auto"/>
        <w:left w:val="none" w:sz="0" w:space="0" w:color="auto"/>
        <w:bottom w:val="none" w:sz="0" w:space="0" w:color="auto"/>
        <w:right w:val="none" w:sz="0" w:space="0" w:color="auto"/>
      </w:divBdr>
    </w:div>
    <w:div w:id="771779571">
      <w:bodyDiv w:val="1"/>
      <w:marLeft w:val="0"/>
      <w:marRight w:val="0"/>
      <w:marTop w:val="0"/>
      <w:marBottom w:val="0"/>
      <w:divBdr>
        <w:top w:val="none" w:sz="0" w:space="0" w:color="auto"/>
        <w:left w:val="none" w:sz="0" w:space="0" w:color="auto"/>
        <w:bottom w:val="none" w:sz="0" w:space="0" w:color="auto"/>
        <w:right w:val="none" w:sz="0" w:space="0" w:color="auto"/>
      </w:divBdr>
    </w:div>
    <w:div w:id="771974706">
      <w:bodyDiv w:val="1"/>
      <w:marLeft w:val="0"/>
      <w:marRight w:val="0"/>
      <w:marTop w:val="0"/>
      <w:marBottom w:val="0"/>
      <w:divBdr>
        <w:top w:val="none" w:sz="0" w:space="0" w:color="auto"/>
        <w:left w:val="none" w:sz="0" w:space="0" w:color="auto"/>
        <w:bottom w:val="none" w:sz="0" w:space="0" w:color="auto"/>
        <w:right w:val="none" w:sz="0" w:space="0" w:color="auto"/>
      </w:divBdr>
    </w:div>
    <w:div w:id="772165725">
      <w:bodyDiv w:val="1"/>
      <w:marLeft w:val="0"/>
      <w:marRight w:val="0"/>
      <w:marTop w:val="0"/>
      <w:marBottom w:val="0"/>
      <w:divBdr>
        <w:top w:val="none" w:sz="0" w:space="0" w:color="auto"/>
        <w:left w:val="none" w:sz="0" w:space="0" w:color="auto"/>
        <w:bottom w:val="none" w:sz="0" w:space="0" w:color="auto"/>
        <w:right w:val="none" w:sz="0" w:space="0" w:color="auto"/>
      </w:divBdr>
    </w:div>
    <w:div w:id="772170666">
      <w:bodyDiv w:val="1"/>
      <w:marLeft w:val="0"/>
      <w:marRight w:val="0"/>
      <w:marTop w:val="0"/>
      <w:marBottom w:val="0"/>
      <w:divBdr>
        <w:top w:val="none" w:sz="0" w:space="0" w:color="auto"/>
        <w:left w:val="none" w:sz="0" w:space="0" w:color="auto"/>
        <w:bottom w:val="none" w:sz="0" w:space="0" w:color="auto"/>
        <w:right w:val="none" w:sz="0" w:space="0" w:color="auto"/>
      </w:divBdr>
    </w:div>
    <w:div w:id="772242287">
      <w:bodyDiv w:val="1"/>
      <w:marLeft w:val="0"/>
      <w:marRight w:val="0"/>
      <w:marTop w:val="0"/>
      <w:marBottom w:val="0"/>
      <w:divBdr>
        <w:top w:val="none" w:sz="0" w:space="0" w:color="auto"/>
        <w:left w:val="none" w:sz="0" w:space="0" w:color="auto"/>
        <w:bottom w:val="none" w:sz="0" w:space="0" w:color="auto"/>
        <w:right w:val="none" w:sz="0" w:space="0" w:color="auto"/>
      </w:divBdr>
    </w:div>
    <w:div w:id="772281000">
      <w:bodyDiv w:val="1"/>
      <w:marLeft w:val="0"/>
      <w:marRight w:val="0"/>
      <w:marTop w:val="0"/>
      <w:marBottom w:val="0"/>
      <w:divBdr>
        <w:top w:val="none" w:sz="0" w:space="0" w:color="auto"/>
        <w:left w:val="none" w:sz="0" w:space="0" w:color="auto"/>
        <w:bottom w:val="none" w:sz="0" w:space="0" w:color="auto"/>
        <w:right w:val="none" w:sz="0" w:space="0" w:color="auto"/>
      </w:divBdr>
    </w:div>
    <w:div w:id="772281747">
      <w:bodyDiv w:val="1"/>
      <w:marLeft w:val="0"/>
      <w:marRight w:val="0"/>
      <w:marTop w:val="0"/>
      <w:marBottom w:val="0"/>
      <w:divBdr>
        <w:top w:val="none" w:sz="0" w:space="0" w:color="auto"/>
        <w:left w:val="none" w:sz="0" w:space="0" w:color="auto"/>
        <w:bottom w:val="none" w:sz="0" w:space="0" w:color="auto"/>
        <w:right w:val="none" w:sz="0" w:space="0" w:color="auto"/>
      </w:divBdr>
    </w:div>
    <w:div w:id="772357615">
      <w:bodyDiv w:val="1"/>
      <w:marLeft w:val="0"/>
      <w:marRight w:val="0"/>
      <w:marTop w:val="0"/>
      <w:marBottom w:val="0"/>
      <w:divBdr>
        <w:top w:val="none" w:sz="0" w:space="0" w:color="auto"/>
        <w:left w:val="none" w:sz="0" w:space="0" w:color="auto"/>
        <w:bottom w:val="none" w:sz="0" w:space="0" w:color="auto"/>
        <w:right w:val="none" w:sz="0" w:space="0" w:color="auto"/>
      </w:divBdr>
    </w:div>
    <w:div w:id="772359966">
      <w:bodyDiv w:val="1"/>
      <w:marLeft w:val="0"/>
      <w:marRight w:val="0"/>
      <w:marTop w:val="0"/>
      <w:marBottom w:val="0"/>
      <w:divBdr>
        <w:top w:val="none" w:sz="0" w:space="0" w:color="auto"/>
        <w:left w:val="none" w:sz="0" w:space="0" w:color="auto"/>
        <w:bottom w:val="none" w:sz="0" w:space="0" w:color="auto"/>
        <w:right w:val="none" w:sz="0" w:space="0" w:color="auto"/>
      </w:divBdr>
    </w:div>
    <w:div w:id="772362168">
      <w:bodyDiv w:val="1"/>
      <w:marLeft w:val="0"/>
      <w:marRight w:val="0"/>
      <w:marTop w:val="0"/>
      <w:marBottom w:val="0"/>
      <w:divBdr>
        <w:top w:val="none" w:sz="0" w:space="0" w:color="auto"/>
        <w:left w:val="none" w:sz="0" w:space="0" w:color="auto"/>
        <w:bottom w:val="none" w:sz="0" w:space="0" w:color="auto"/>
        <w:right w:val="none" w:sz="0" w:space="0" w:color="auto"/>
      </w:divBdr>
    </w:div>
    <w:div w:id="772438421">
      <w:bodyDiv w:val="1"/>
      <w:marLeft w:val="0"/>
      <w:marRight w:val="0"/>
      <w:marTop w:val="0"/>
      <w:marBottom w:val="0"/>
      <w:divBdr>
        <w:top w:val="none" w:sz="0" w:space="0" w:color="auto"/>
        <w:left w:val="none" w:sz="0" w:space="0" w:color="auto"/>
        <w:bottom w:val="none" w:sz="0" w:space="0" w:color="auto"/>
        <w:right w:val="none" w:sz="0" w:space="0" w:color="auto"/>
      </w:divBdr>
    </w:div>
    <w:div w:id="772625881">
      <w:bodyDiv w:val="1"/>
      <w:marLeft w:val="0"/>
      <w:marRight w:val="0"/>
      <w:marTop w:val="0"/>
      <w:marBottom w:val="0"/>
      <w:divBdr>
        <w:top w:val="none" w:sz="0" w:space="0" w:color="auto"/>
        <w:left w:val="none" w:sz="0" w:space="0" w:color="auto"/>
        <w:bottom w:val="none" w:sz="0" w:space="0" w:color="auto"/>
        <w:right w:val="none" w:sz="0" w:space="0" w:color="auto"/>
      </w:divBdr>
    </w:div>
    <w:div w:id="772630747">
      <w:bodyDiv w:val="1"/>
      <w:marLeft w:val="0"/>
      <w:marRight w:val="0"/>
      <w:marTop w:val="0"/>
      <w:marBottom w:val="0"/>
      <w:divBdr>
        <w:top w:val="none" w:sz="0" w:space="0" w:color="auto"/>
        <w:left w:val="none" w:sz="0" w:space="0" w:color="auto"/>
        <w:bottom w:val="none" w:sz="0" w:space="0" w:color="auto"/>
        <w:right w:val="none" w:sz="0" w:space="0" w:color="auto"/>
      </w:divBdr>
    </w:div>
    <w:div w:id="772823249">
      <w:bodyDiv w:val="1"/>
      <w:marLeft w:val="0"/>
      <w:marRight w:val="0"/>
      <w:marTop w:val="0"/>
      <w:marBottom w:val="0"/>
      <w:divBdr>
        <w:top w:val="none" w:sz="0" w:space="0" w:color="auto"/>
        <w:left w:val="none" w:sz="0" w:space="0" w:color="auto"/>
        <w:bottom w:val="none" w:sz="0" w:space="0" w:color="auto"/>
        <w:right w:val="none" w:sz="0" w:space="0" w:color="auto"/>
      </w:divBdr>
    </w:div>
    <w:div w:id="772942274">
      <w:bodyDiv w:val="1"/>
      <w:marLeft w:val="0"/>
      <w:marRight w:val="0"/>
      <w:marTop w:val="0"/>
      <w:marBottom w:val="0"/>
      <w:divBdr>
        <w:top w:val="none" w:sz="0" w:space="0" w:color="auto"/>
        <w:left w:val="none" w:sz="0" w:space="0" w:color="auto"/>
        <w:bottom w:val="none" w:sz="0" w:space="0" w:color="auto"/>
        <w:right w:val="none" w:sz="0" w:space="0" w:color="auto"/>
      </w:divBdr>
    </w:div>
    <w:div w:id="772944522">
      <w:bodyDiv w:val="1"/>
      <w:marLeft w:val="0"/>
      <w:marRight w:val="0"/>
      <w:marTop w:val="0"/>
      <w:marBottom w:val="0"/>
      <w:divBdr>
        <w:top w:val="none" w:sz="0" w:space="0" w:color="auto"/>
        <w:left w:val="none" w:sz="0" w:space="0" w:color="auto"/>
        <w:bottom w:val="none" w:sz="0" w:space="0" w:color="auto"/>
        <w:right w:val="none" w:sz="0" w:space="0" w:color="auto"/>
      </w:divBdr>
    </w:div>
    <w:div w:id="773133047">
      <w:bodyDiv w:val="1"/>
      <w:marLeft w:val="0"/>
      <w:marRight w:val="0"/>
      <w:marTop w:val="0"/>
      <w:marBottom w:val="0"/>
      <w:divBdr>
        <w:top w:val="none" w:sz="0" w:space="0" w:color="auto"/>
        <w:left w:val="none" w:sz="0" w:space="0" w:color="auto"/>
        <w:bottom w:val="none" w:sz="0" w:space="0" w:color="auto"/>
        <w:right w:val="none" w:sz="0" w:space="0" w:color="auto"/>
      </w:divBdr>
    </w:div>
    <w:div w:id="773205381">
      <w:bodyDiv w:val="1"/>
      <w:marLeft w:val="0"/>
      <w:marRight w:val="0"/>
      <w:marTop w:val="0"/>
      <w:marBottom w:val="0"/>
      <w:divBdr>
        <w:top w:val="none" w:sz="0" w:space="0" w:color="auto"/>
        <w:left w:val="none" w:sz="0" w:space="0" w:color="auto"/>
        <w:bottom w:val="none" w:sz="0" w:space="0" w:color="auto"/>
        <w:right w:val="none" w:sz="0" w:space="0" w:color="auto"/>
      </w:divBdr>
    </w:div>
    <w:div w:id="773210138">
      <w:bodyDiv w:val="1"/>
      <w:marLeft w:val="0"/>
      <w:marRight w:val="0"/>
      <w:marTop w:val="0"/>
      <w:marBottom w:val="0"/>
      <w:divBdr>
        <w:top w:val="none" w:sz="0" w:space="0" w:color="auto"/>
        <w:left w:val="none" w:sz="0" w:space="0" w:color="auto"/>
        <w:bottom w:val="none" w:sz="0" w:space="0" w:color="auto"/>
        <w:right w:val="none" w:sz="0" w:space="0" w:color="auto"/>
      </w:divBdr>
    </w:div>
    <w:div w:id="773399814">
      <w:bodyDiv w:val="1"/>
      <w:marLeft w:val="0"/>
      <w:marRight w:val="0"/>
      <w:marTop w:val="0"/>
      <w:marBottom w:val="0"/>
      <w:divBdr>
        <w:top w:val="none" w:sz="0" w:space="0" w:color="auto"/>
        <w:left w:val="none" w:sz="0" w:space="0" w:color="auto"/>
        <w:bottom w:val="none" w:sz="0" w:space="0" w:color="auto"/>
        <w:right w:val="none" w:sz="0" w:space="0" w:color="auto"/>
      </w:divBdr>
    </w:div>
    <w:div w:id="773476868">
      <w:bodyDiv w:val="1"/>
      <w:marLeft w:val="0"/>
      <w:marRight w:val="0"/>
      <w:marTop w:val="0"/>
      <w:marBottom w:val="0"/>
      <w:divBdr>
        <w:top w:val="none" w:sz="0" w:space="0" w:color="auto"/>
        <w:left w:val="none" w:sz="0" w:space="0" w:color="auto"/>
        <w:bottom w:val="none" w:sz="0" w:space="0" w:color="auto"/>
        <w:right w:val="none" w:sz="0" w:space="0" w:color="auto"/>
      </w:divBdr>
    </w:div>
    <w:div w:id="773478013">
      <w:bodyDiv w:val="1"/>
      <w:marLeft w:val="0"/>
      <w:marRight w:val="0"/>
      <w:marTop w:val="0"/>
      <w:marBottom w:val="0"/>
      <w:divBdr>
        <w:top w:val="none" w:sz="0" w:space="0" w:color="auto"/>
        <w:left w:val="none" w:sz="0" w:space="0" w:color="auto"/>
        <w:bottom w:val="none" w:sz="0" w:space="0" w:color="auto"/>
        <w:right w:val="none" w:sz="0" w:space="0" w:color="auto"/>
      </w:divBdr>
    </w:div>
    <w:div w:id="773550406">
      <w:bodyDiv w:val="1"/>
      <w:marLeft w:val="0"/>
      <w:marRight w:val="0"/>
      <w:marTop w:val="0"/>
      <w:marBottom w:val="0"/>
      <w:divBdr>
        <w:top w:val="none" w:sz="0" w:space="0" w:color="auto"/>
        <w:left w:val="none" w:sz="0" w:space="0" w:color="auto"/>
        <w:bottom w:val="none" w:sz="0" w:space="0" w:color="auto"/>
        <w:right w:val="none" w:sz="0" w:space="0" w:color="auto"/>
      </w:divBdr>
    </w:div>
    <w:div w:id="773743592">
      <w:bodyDiv w:val="1"/>
      <w:marLeft w:val="0"/>
      <w:marRight w:val="0"/>
      <w:marTop w:val="0"/>
      <w:marBottom w:val="0"/>
      <w:divBdr>
        <w:top w:val="none" w:sz="0" w:space="0" w:color="auto"/>
        <w:left w:val="none" w:sz="0" w:space="0" w:color="auto"/>
        <w:bottom w:val="none" w:sz="0" w:space="0" w:color="auto"/>
        <w:right w:val="none" w:sz="0" w:space="0" w:color="auto"/>
      </w:divBdr>
    </w:div>
    <w:div w:id="773747058">
      <w:bodyDiv w:val="1"/>
      <w:marLeft w:val="0"/>
      <w:marRight w:val="0"/>
      <w:marTop w:val="0"/>
      <w:marBottom w:val="0"/>
      <w:divBdr>
        <w:top w:val="none" w:sz="0" w:space="0" w:color="auto"/>
        <w:left w:val="none" w:sz="0" w:space="0" w:color="auto"/>
        <w:bottom w:val="none" w:sz="0" w:space="0" w:color="auto"/>
        <w:right w:val="none" w:sz="0" w:space="0" w:color="auto"/>
      </w:divBdr>
    </w:div>
    <w:div w:id="773748418">
      <w:bodyDiv w:val="1"/>
      <w:marLeft w:val="0"/>
      <w:marRight w:val="0"/>
      <w:marTop w:val="0"/>
      <w:marBottom w:val="0"/>
      <w:divBdr>
        <w:top w:val="none" w:sz="0" w:space="0" w:color="auto"/>
        <w:left w:val="none" w:sz="0" w:space="0" w:color="auto"/>
        <w:bottom w:val="none" w:sz="0" w:space="0" w:color="auto"/>
        <w:right w:val="none" w:sz="0" w:space="0" w:color="auto"/>
      </w:divBdr>
    </w:div>
    <w:div w:id="773786159">
      <w:bodyDiv w:val="1"/>
      <w:marLeft w:val="0"/>
      <w:marRight w:val="0"/>
      <w:marTop w:val="0"/>
      <w:marBottom w:val="0"/>
      <w:divBdr>
        <w:top w:val="none" w:sz="0" w:space="0" w:color="auto"/>
        <w:left w:val="none" w:sz="0" w:space="0" w:color="auto"/>
        <w:bottom w:val="none" w:sz="0" w:space="0" w:color="auto"/>
        <w:right w:val="none" w:sz="0" w:space="0" w:color="auto"/>
      </w:divBdr>
    </w:div>
    <w:div w:id="773791215">
      <w:bodyDiv w:val="1"/>
      <w:marLeft w:val="0"/>
      <w:marRight w:val="0"/>
      <w:marTop w:val="0"/>
      <w:marBottom w:val="0"/>
      <w:divBdr>
        <w:top w:val="none" w:sz="0" w:space="0" w:color="auto"/>
        <w:left w:val="none" w:sz="0" w:space="0" w:color="auto"/>
        <w:bottom w:val="none" w:sz="0" w:space="0" w:color="auto"/>
        <w:right w:val="none" w:sz="0" w:space="0" w:color="auto"/>
      </w:divBdr>
    </w:div>
    <w:div w:id="773937786">
      <w:bodyDiv w:val="1"/>
      <w:marLeft w:val="0"/>
      <w:marRight w:val="0"/>
      <w:marTop w:val="0"/>
      <w:marBottom w:val="0"/>
      <w:divBdr>
        <w:top w:val="none" w:sz="0" w:space="0" w:color="auto"/>
        <w:left w:val="none" w:sz="0" w:space="0" w:color="auto"/>
        <w:bottom w:val="none" w:sz="0" w:space="0" w:color="auto"/>
        <w:right w:val="none" w:sz="0" w:space="0" w:color="auto"/>
      </w:divBdr>
    </w:div>
    <w:div w:id="773943191">
      <w:bodyDiv w:val="1"/>
      <w:marLeft w:val="0"/>
      <w:marRight w:val="0"/>
      <w:marTop w:val="0"/>
      <w:marBottom w:val="0"/>
      <w:divBdr>
        <w:top w:val="none" w:sz="0" w:space="0" w:color="auto"/>
        <w:left w:val="none" w:sz="0" w:space="0" w:color="auto"/>
        <w:bottom w:val="none" w:sz="0" w:space="0" w:color="auto"/>
        <w:right w:val="none" w:sz="0" w:space="0" w:color="auto"/>
      </w:divBdr>
    </w:div>
    <w:div w:id="774054290">
      <w:bodyDiv w:val="1"/>
      <w:marLeft w:val="0"/>
      <w:marRight w:val="0"/>
      <w:marTop w:val="0"/>
      <w:marBottom w:val="0"/>
      <w:divBdr>
        <w:top w:val="none" w:sz="0" w:space="0" w:color="auto"/>
        <w:left w:val="none" w:sz="0" w:space="0" w:color="auto"/>
        <w:bottom w:val="none" w:sz="0" w:space="0" w:color="auto"/>
        <w:right w:val="none" w:sz="0" w:space="0" w:color="auto"/>
      </w:divBdr>
    </w:div>
    <w:div w:id="774327986">
      <w:bodyDiv w:val="1"/>
      <w:marLeft w:val="0"/>
      <w:marRight w:val="0"/>
      <w:marTop w:val="0"/>
      <w:marBottom w:val="0"/>
      <w:divBdr>
        <w:top w:val="none" w:sz="0" w:space="0" w:color="auto"/>
        <w:left w:val="none" w:sz="0" w:space="0" w:color="auto"/>
        <w:bottom w:val="none" w:sz="0" w:space="0" w:color="auto"/>
        <w:right w:val="none" w:sz="0" w:space="0" w:color="auto"/>
      </w:divBdr>
    </w:div>
    <w:div w:id="774640550">
      <w:bodyDiv w:val="1"/>
      <w:marLeft w:val="0"/>
      <w:marRight w:val="0"/>
      <w:marTop w:val="0"/>
      <w:marBottom w:val="0"/>
      <w:divBdr>
        <w:top w:val="none" w:sz="0" w:space="0" w:color="auto"/>
        <w:left w:val="none" w:sz="0" w:space="0" w:color="auto"/>
        <w:bottom w:val="none" w:sz="0" w:space="0" w:color="auto"/>
        <w:right w:val="none" w:sz="0" w:space="0" w:color="auto"/>
      </w:divBdr>
    </w:div>
    <w:div w:id="774785720">
      <w:bodyDiv w:val="1"/>
      <w:marLeft w:val="0"/>
      <w:marRight w:val="0"/>
      <w:marTop w:val="0"/>
      <w:marBottom w:val="0"/>
      <w:divBdr>
        <w:top w:val="none" w:sz="0" w:space="0" w:color="auto"/>
        <w:left w:val="none" w:sz="0" w:space="0" w:color="auto"/>
        <w:bottom w:val="none" w:sz="0" w:space="0" w:color="auto"/>
        <w:right w:val="none" w:sz="0" w:space="0" w:color="auto"/>
      </w:divBdr>
    </w:div>
    <w:div w:id="774859467">
      <w:bodyDiv w:val="1"/>
      <w:marLeft w:val="0"/>
      <w:marRight w:val="0"/>
      <w:marTop w:val="0"/>
      <w:marBottom w:val="0"/>
      <w:divBdr>
        <w:top w:val="none" w:sz="0" w:space="0" w:color="auto"/>
        <w:left w:val="none" w:sz="0" w:space="0" w:color="auto"/>
        <w:bottom w:val="none" w:sz="0" w:space="0" w:color="auto"/>
        <w:right w:val="none" w:sz="0" w:space="0" w:color="auto"/>
      </w:divBdr>
    </w:div>
    <w:div w:id="774864062">
      <w:bodyDiv w:val="1"/>
      <w:marLeft w:val="0"/>
      <w:marRight w:val="0"/>
      <w:marTop w:val="0"/>
      <w:marBottom w:val="0"/>
      <w:divBdr>
        <w:top w:val="none" w:sz="0" w:space="0" w:color="auto"/>
        <w:left w:val="none" w:sz="0" w:space="0" w:color="auto"/>
        <w:bottom w:val="none" w:sz="0" w:space="0" w:color="auto"/>
        <w:right w:val="none" w:sz="0" w:space="0" w:color="auto"/>
      </w:divBdr>
    </w:div>
    <w:div w:id="774986497">
      <w:bodyDiv w:val="1"/>
      <w:marLeft w:val="0"/>
      <w:marRight w:val="0"/>
      <w:marTop w:val="0"/>
      <w:marBottom w:val="0"/>
      <w:divBdr>
        <w:top w:val="none" w:sz="0" w:space="0" w:color="auto"/>
        <w:left w:val="none" w:sz="0" w:space="0" w:color="auto"/>
        <w:bottom w:val="none" w:sz="0" w:space="0" w:color="auto"/>
        <w:right w:val="none" w:sz="0" w:space="0" w:color="auto"/>
      </w:divBdr>
    </w:div>
    <w:div w:id="775056684">
      <w:bodyDiv w:val="1"/>
      <w:marLeft w:val="0"/>
      <w:marRight w:val="0"/>
      <w:marTop w:val="0"/>
      <w:marBottom w:val="0"/>
      <w:divBdr>
        <w:top w:val="none" w:sz="0" w:space="0" w:color="auto"/>
        <w:left w:val="none" w:sz="0" w:space="0" w:color="auto"/>
        <w:bottom w:val="none" w:sz="0" w:space="0" w:color="auto"/>
        <w:right w:val="none" w:sz="0" w:space="0" w:color="auto"/>
      </w:divBdr>
    </w:div>
    <w:div w:id="775250637">
      <w:bodyDiv w:val="1"/>
      <w:marLeft w:val="0"/>
      <w:marRight w:val="0"/>
      <w:marTop w:val="0"/>
      <w:marBottom w:val="0"/>
      <w:divBdr>
        <w:top w:val="none" w:sz="0" w:space="0" w:color="auto"/>
        <w:left w:val="none" w:sz="0" w:space="0" w:color="auto"/>
        <w:bottom w:val="none" w:sz="0" w:space="0" w:color="auto"/>
        <w:right w:val="none" w:sz="0" w:space="0" w:color="auto"/>
      </w:divBdr>
    </w:div>
    <w:div w:id="775560494">
      <w:bodyDiv w:val="1"/>
      <w:marLeft w:val="0"/>
      <w:marRight w:val="0"/>
      <w:marTop w:val="0"/>
      <w:marBottom w:val="0"/>
      <w:divBdr>
        <w:top w:val="none" w:sz="0" w:space="0" w:color="auto"/>
        <w:left w:val="none" w:sz="0" w:space="0" w:color="auto"/>
        <w:bottom w:val="none" w:sz="0" w:space="0" w:color="auto"/>
        <w:right w:val="none" w:sz="0" w:space="0" w:color="auto"/>
      </w:divBdr>
    </w:div>
    <w:div w:id="775561400">
      <w:bodyDiv w:val="1"/>
      <w:marLeft w:val="0"/>
      <w:marRight w:val="0"/>
      <w:marTop w:val="0"/>
      <w:marBottom w:val="0"/>
      <w:divBdr>
        <w:top w:val="none" w:sz="0" w:space="0" w:color="auto"/>
        <w:left w:val="none" w:sz="0" w:space="0" w:color="auto"/>
        <w:bottom w:val="none" w:sz="0" w:space="0" w:color="auto"/>
        <w:right w:val="none" w:sz="0" w:space="0" w:color="auto"/>
      </w:divBdr>
    </w:div>
    <w:div w:id="775563362">
      <w:bodyDiv w:val="1"/>
      <w:marLeft w:val="0"/>
      <w:marRight w:val="0"/>
      <w:marTop w:val="0"/>
      <w:marBottom w:val="0"/>
      <w:divBdr>
        <w:top w:val="none" w:sz="0" w:space="0" w:color="auto"/>
        <w:left w:val="none" w:sz="0" w:space="0" w:color="auto"/>
        <w:bottom w:val="none" w:sz="0" w:space="0" w:color="auto"/>
        <w:right w:val="none" w:sz="0" w:space="0" w:color="auto"/>
      </w:divBdr>
    </w:div>
    <w:div w:id="775633033">
      <w:bodyDiv w:val="1"/>
      <w:marLeft w:val="0"/>
      <w:marRight w:val="0"/>
      <w:marTop w:val="0"/>
      <w:marBottom w:val="0"/>
      <w:divBdr>
        <w:top w:val="none" w:sz="0" w:space="0" w:color="auto"/>
        <w:left w:val="none" w:sz="0" w:space="0" w:color="auto"/>
        <w:bottom w:val="none" w:sz="0" w:space="0" w:color="auto"/>
        <w:right w:val="none" w:sz="0" w:space="0" w:color="auto"/>
      </w:divBdr>
    </w:div>
    <w:div w:id="775634937">
      <w:bodyDiv w:val="1"/>
      <w:marLeft w:val="0"/>
      <w:marRight w:val="0"/>
      <w:marTop w:val="0"/>
      <w:marBottom w:val="0"/>
      <w:divBdr>
        <w:top w:val="none" w:sz="0" w:space="0" w:color="auto"/>
        <w:left w:val="none" w:sz="0" w:space="0" w:color="auto"/>
        <w:bottom w:val="none" w:sz="0" w:space="0" w:color="auto"/>
        <w:right w:val="none" w:sz="0" w:space="0" w:color="auto"/>
      </w:divBdr>
    </w:div>
    <w:div w:id="775636308">
      <w:bodyDiv w:val="1"/>
      <w:marLeft w:val="0"/>
      <w:marRight w:val="0"/>
      <w:marTop w:val="0"/>
      <w:marBottom w:val="0"/>
      <w:divBdr>
        <w:top w:val="none" w:sz="0" w:space="0" w:color="auto"/>
        <w:left w:val="none" w:sz="0" w:space="0" w:color="auto"/>
        <w:bottom w:val="none" w:sz="0" w:space="0" w:color="auto"/>
        <w:right w:val="none" w:sz="0" w:space="0" w:color="auto"/>
      </w:divBdr>
    </w:div>
    <w:div w:id="775710267">
      <w:bodyDiv w:val="1"/>
      <w:marLeft w:val="0"/>
      <w:marRight w:val="0"/>
      <w:marTop w:val="0"/>
      <w:marBottom w:val="0"/>
      <w:divBdr>
        <w:top w:val="none" w:sz="0" w:space="0" w:color="auto"/>
        <w:left w:val="none" w:sz="0" w:space="0" w:color="auto"/>
        <w:bottom w:val="none" w:sz="0" w:space="0" w:color="auto"/>
        <w:right w:val="none" w:sz="0" w:space="0" w:color="auto"/>
      </w:divBdr>
    </w:div>
    <w:div w:id="775710378">
      <w:bodyDiv w:val="1"/>
      <w:marLeft w:val="0"/>
      <w:marRight w:val="0"/>
      <w:marTop w:val="0"/>
      <w:marBottom w:val="0"/>
      <w:divBdr>
        <w:top w:val="none" w:sz="0" w:space="0" w:color="auto"/>
        <w:left w:val="none" w:sz="0" w:space="0" w:color="auto"/>
        <w:bottom w:val="none" w:sz="0" w:space="0" w:color="auto"/>
        <w:right w:val="none" w:sz="0" w:space="0" w:color="auto"/>
      </w:divBdr>
    </w:div>
    <w:div w:id="775907008">
      <w:bodyDiv w:val="1"/>
      <w:marLeft w:val="0"/>
      <w:marRight w:val="0"/>
      <w:marTop w:val="0"/>
      <w:marBottom w:val="0"/>
      <w:divBdr>
        <w:top w:val="none" w:sz="0" w:space="0" w:color="auto"/>
        <w:left w:val="none" w:sz="0" w:space="0" w:color="auto"/>
        <w:bottom w:val="none" w:sz="0" w:space="0" w:color="auto"/>
        <w:right w:val="none" w:sz="0" w:space="0" w:color="auto"/>
      </w:divBdr>
    </w:div>
    <w:div w:id="776028112">
      <w:bodyDiv w:val="1"/>
      <w:marLeft w:val="0"/>
      <w:marRight w:val="0"/>
      <w:marTop w:val="0"/>
      <w:marBottom w:val="0"/>
      <w:divBdr>
        <w:top w:val="none" w:sz="0" w:space="0" w:color="auto"/>
        <w:left w:val="none" w:sz="0" w:space="0" w:color="auto"/>
        <w:bottom w:val="none" w:sz="0" w:space="0" w:color="auto"/>
        <w:right w:val="none" w:sz="0" w:space="0" w:color="auto"/>
      </w:divBdr>
    </w:div>
    <w:div w:id="776102127">
      <w:bodyDiv w:val="1"/>
      <w:marLeft w:val="0"/>
      <w:marRight w:val="0"/>
      <w:marTop w:val="0"/>
      <w:marBottom w:val="0"/>
      <w:divBdr>
        <w:top w:val="none" w:sz="0" w:space="0" w:color="auto"/>
        <w:left w:val="none" w:sz="0" w:space="0" w:color="auto"/>
        <w:bottom w:val="none" w:sz="0" w:space="0" w:color="auto"/>
        <w:right w:val="none" w:sz="0" w:space="0" w:color="auto"/>
      </w:divBdr>
    </w:div>
    <w:div w:id="776144638">
      <w:bodyDiv w:val="1"/>
      <w:marLeft w:val="0"/>
      <w:marRight w:val="0"/>
      <w:marTop w:val="0"/>
      <w:marBottom w:val="0"/>
      <w:divBdr>
        <w:top w:val="none" w:sz="0" w:space="0" w:color="auto"/>
        <w:left w:val="none" w:sz="0" w:space="0" w:color="auto"/>
        <w:bottom w:val="none" w:sz="0" w:space="0" w:color="auto"/>
        <w:right w:val="none" w:sz="0" w:space="0" w:color="auto"/>
      </w:divBdr>
    </w:div>
    <w:div w:id="776214076">
      <w:bodyDiv w:val="1"/>
      <w:marLeft w:val="0"/>
      <w:marRight w:val="0"/>
      <w:marTop w:val="0"/>
      <w:marBottom w:val="0"/>
      <w:divBdr>
        <w:top w:val="none" w:sz="0" w:space="0" w:color="auto"/>
        <w:left w:val="none" w:sz="0" w:space="0" w:color="auto"/>
        <w:bottom w:val="none" w:sz="0" w:space="0" w:color="auto"/>
        <w:right w:val="none" w:sz="0" w:space="0" w:color="auto"/>
      </w:divBdr>
    </w:div>
    <w:div w:id="776293856">
      <w:bodyDiv w:val="1"/>
      <w:marLeft w:val="0"/>
      <w:marRight w:val="0"/>
      <w:marTop w:val="0"/>
      <w:marBottom w:val="0"/>
      <w:divBdr>
        <w:top w:val="none" w:sz="0" w:space="0" w:color="auto"/>
        <w:left w:val="none" w:sz="0" w:space="0" w:color="auto"/>
        <w:bottom w:val="none" w:sz="0" w:space="0" w:color="auto"/>
        <w:right w:val="none" w:sz="0" w:space="0" w:color="auto"/>
      </w:divBdr>
    </w:div>
    <w:div w:id="776363964">
      <w:bodyDiv w:val="1"/>
      <w:marLeft w:val="0"/>
      <w:marRight w:val="0"/>
      <w:marTop w:val="0"/>
      <w:marBottom w:val="0"/>
      <w:divBdr>
        <w:top w:val="none" w:sz="0" w:space="0" w:color="auto"/>
        <w:left w:val="none" w:sz="0" w:space="0" w:color="auto"/>
        <w:bottom w:val="none" w:sz="0" w:space="0" w:color="auto"/>
        <w:right w:val="none" w:sz="0" w:space="0" w:color="auto"/>
      </w:divBdr>
    </w:div>
    <w:div w:id="776366832">
      <w:bodyDiv w:val="1"/>
      <w:marLeft w:val="0"/>
      <w:marRight w:val="0"/>
      <w:marTop w:val="0"/>
      <w:marBottom w:val="0"/>
      <w:divBdr>
        <w:top w:val="none" w:sz="0" w:space="0" w:color="auto"/>
        <w:left w:val="none" w:sz="0" w:space="0" w:color="auto"/>
        <w:bottom w:val="none" w:sz="0" w:space="0" w:color="auto"/>
        <w:right w:val="none" w:sz="0" w:space="0" w:color="auto"/>
      </w:divBdr>
    </w:div>
    <w:div w:id="776371753">
      <w:bodyDiv w:val="1"/>
      <w:marLeft w:val="0"/>
      <w:marRight w:val="0"/>
      <w:marTop w:val="0"/>
      <w:marBottom w:val="0"/>
      <w:divBdr>
        <w:top w:val="none" w:sz="0" w:space="0" w:color="auto"/>
        <w:left w:val="none" w:sz="0" w:space="0" w:color="auto"/>
        <w:bottom w:val="none" w:sz="0" w:space="0" w:color="auto"/>
        <w:right w:val="none" w:sz="0" w:space="0" w:color="auto"/>
      </w:divBdr>
    </w:div>
    <w:div w:id="776412244">
      <w:bodyDiv w:val="1"/>
      <w:marLeft w:val="0"/>
      <w:marRight w:val="0"/>
      <w:marTop w:val="0"/>
      <w:marBottom w:val="0"/>
      <w:divBdr>
        <w:top w:val="none" w:sz="0" w:space="0" w:color="auto"/>
        <w:left w:val="none" w:sz="0" w:space="0" w:color="auto"/>
        <w:bottom w:val="none" w:sz="0" w:space="0" w:color="auto"/>
        <w:right w:val="none" w:sz="0" w:space="0" w:color="auto"/>
      </w:divBdr>
    </w:div>
    <w:div w:id="776412541">
      <w:bodyDiv w:val="1"/>
      <w:marLeft w:val="0"/>
      <w:marRight w:val="0"/>
      <w:marTop w:val="0"/>
      <w:marBottom w:val="0"/>
      <w:divBdr>
        <w:top w:val="none" w:sz="0" w:space="0" w:color="auto"/>
        <w:left w:val="none" w:sz="0" w:space="0" w:color="auto"/>
        <w:bottom w:val="none" w:sz="0" w:space="0" w:color="auto"/>
        <w:right w:val="none" w:sz="0" w:space="0" w:color="auto"/>
      </w:divBdr>
    </w:div>
    <w:div w:id="776414058">
      <w:bodyDiv w:val="1"/>
      <w:marLeft w:val="0"/>
      <w:marRight w:val="0"/>
      <w:marTop w:val="0"/>
      <w:marBottom w:val="0"/>
      <w:divBdr>
        <w:top w:val="none" w:sz="0" w:space="0" w:color="auto"/>
        <w:left w:val="none" w:sz="0" w:space="0" w:color="auto"/>
        <w:bottom w:val="none" w:sz="0" w:space="0" w:color="auto"/>
        <w:right w:val="none" w:sz="0" w:space="0" w:color="auto"/>
      </w:divBdr>
    </w:div>
    <w:div w:id="776414678">
      <w:bodyDiv w:val="1"/>
      <w:marLeft w:val="0"/>
      <w:marRight w:val="0"/>
      <w:marTop w:val="0"/>
      <w:marBottom w:val="0"/>
      <w:divBdr>
        <w:top w:val="none" w:sz="0" w:space="0" w:color="auto"/>
        <w:left w:val="none" w:sz="0" w:space="0" w:color="auto"/>
        <w:bottom w:val="none" w:sz="0" w:space="0" w:color="auto"/>
        <w:right w:val="none" w:sz="0" w:space="0" w:color="auto"/>
      </w:divBdr>
    </w:div>
    <w:div w:id="776482056">
      <w:bodyDiv w:val="1"/>
      <w:marLeft w:val="0"/>
      <w:marRight w:val="0"/>
      <w:marTop w:val="0"/>
      <w:marBottom w:val="0"/>
      <w:divBdr>
        <w:top w:val="none" w:sz="0" w:space="0" w:color="auto"/>
        <w:left w:val="none" w:sz="0" w:space="0" w:color="auto"/>
        <w:bottom w:val="none" w:sz="0" w:space="0" w:color="auto"/>
        <w:right w:val="none" w:sz="0" w:space="0" w:color="auto"/>
      </w:divBdr>
    </w:div>
    <w:div w:id="776484232">
      <w:bodyDiv w:val="1"/>
      <w:marLeft w:val="0"/>
      <w:marRight w:val="0"/>
      <w:marTop w:val="0"/>
      <w:marBottom w:val="0"/>
      <w:divBdr>
        <w:top w:val="none" w:sz="0" w:space="0" w:color="auto"/>
        <w:left w:val="none" w:sz="0" w:space="0" w:color="auto"/>
        <w:bottom w:val="none" w:sz="0" w:space="0" w:color="auto"/>
        <w:right w:val="none" w:sz="0" w:space="0" w:color="auto"/>
      </w:divBdr>
    </w:div>
    <w:div w:id="776485933">
      <w:bodyDiv w:val="1"/>
      <w:marLeft w:val="0"/>
      <w:marRight w:val="0"/>
      <w:marTop w:val="0"/>
      <w:marBottom w:val="0"/>
      <w:divBdr>
        <w:top w:val="none" w:sz="0" w:space="0" w:color="auto"/>
        <w:left w:val="none" w:sz="0" w:space="0" w:color="auto"/>
        <w:bottom w:val="none" w:sz="0" w:space="0" w:color="auto"/>
        <w:right w:val="none" w:sz="0" w:space="0" w:color="auto"/>
      </w:divBdr>
    </w:div>
    <w:div w:id="776602383">
      <w:bodyDiv w:val="1"/>
      <w:marLeft w:val="0"/>
      <w:marRight w:val="0"/>
      <w:marTop w:val="0"/>
      <w:marBottom w:val="0"/>
      <w:divBdr>
        <w:top w:val="none" w:sz="0" w:space="0" w:color="auto"/>
        <w:left w:val="none" w:sz="0" w:space="0" w:color="auto"/>
        <w:bottom w:val="none" w:sz="0" w:space="0" w:color="auto"/>
        <w:right w:val="none" w:sz="0" w:space="0" w:color="auto"/>
      </w:divBdr>
    </w:div>
    <w:div w:id="776604031">
      <w:bodyDiv w:val="1"/>
      <w:marLeft w:val="0"/>
      <w:marRight w:val="0"/>
      <w:marTop w:val="0"/>
      <w:marBottom w:val="0"/>
      <w:divBdr>
        <w:top w:val="none" w:sz="0" w:space="0" w:color="auto"/>
        <w:left w:val="none" w:sz="0" w:space="0" w:color="auto"/>
        <w:bottom w:val="none" w:sz="0" w:space="0" w:color="auto"/>
        <w:right w:val="none" w:sz="0" w:space="0" w:color="auto"/>
      </w:divBdr>
    </w:div>
    <w:div w:id="776754794">
      <w:bodyDiv w:val="1"/>
      <w:marLeft w:val="0"/>
      <w:marRight w:val="0"/>
      <w:marTop w:val="0"/>
      <w:marBottom w:val="0"/>
      <w:divBdr>
        <w:top w:val="none" w:sz="0" w:space="0" w:color="auto"/>
        <w:left w:val="none" w:sz="0" w:space="0" w:color="auto"/>
        <w:bottom w:val="none" w:sz="0" w:space="0" w:color="auto"/>
        <w:right w:val="none" w:sz="0" w:space="0" w:color="auto"/>
      </w:divBdr>
    </w:div>
    <w:div w:id="776759012">
      <w:bodyDiv w:val="1"/>
      <w:marLeft w:val="0"/>
      <w:marRight w:val="0"/>
      <w:marTop w:val="0"/>
      <w:marBottom w:val="0"/>
      <w:divBdr>
        <w:top w:val="none" w:sz="0" w:space="0" w:color="auto"/>
        <w:left w:val="none" w:sz="0" w:space="0" w:color="auto"/>
        <w:bottom w:val="none" w:sz="0" w:space="0" w:color="auto"/>
        <w:right w:val="none" w:sz="0" w:space="0" w:color="auto"/>
      </w:divBdr>
    </w:div>
    <w:div w:id="776873089">
      <w:bodyDiv w:val="1"/>
      <w:marLeft w:val="0"/>
      <w:marRight w:val="0"/>
      <w:marTop w:val="0"/>
      <w:marBottom w:val="0"/>
      <w:divBdr>
        <w:top w:val="none" w:sz="0" w:space="0" w:color="auto"/>
        <w:left w:val="none" w:sz="0" w:space="0" w:color="auto"/>
        <w:bottom w:val="none" w:sz="0" w:space="0" w:color="auto"/>
        <w:right w:val="none" w:sz="0" w:space="0" w:color="auto"/>
      </w:divBdr>
    </w:div>
    <w:div w:id="776949441">
      <w:bodyDiv w:val="1"/>
      <w:marLeft w:val="0"/>
      <w:marRight w:val="0"/>
      <w:marTop w:val="0"/>
      <w:marBottom w:val="0"/>
      <w:divBdr>
        <w:top w:val="none" w:sz="0" w:space="0" w:color="auto"/>
        <w:left w:val="none" w:sz="0" w:space="0" w:color="auto"/>
        <w:bottom w:val="none" w:sz="0" w:space="0" w:color="auto"/>
        <w:right w:val="none" w:sz="0" w:space="0" w:color="auto"/>
      </w:divBdr>
    </w:div>
    <w:div w:id="776949581">
      <w:bodyDiv w:val="1"/>
      <w:marLeft w:val="0"/>
      <w:marRight w:val="0"/>
      <w:marTop w:val="0"/>
      <w:marBottom w:val="0"/>
      <w:divBdr>
        <w:top w:val="none" w:sz="0" w:space="0" w:color="auto"/>
        <w:left w:val="none" w:sz="0" w:space="0" w:color="auto"/>
        <w:bottom w:val="none" w:sz="0" w:space="0" w:color="auto"/>
        <w:right w:val="none" w:sz="0" w:space="0" w:color="auto"/>
      </w:divBdr>
    </w:div>
    <w:div w:id="776949635">
      <w:bodyDiv w:val="1"/>
      <w:marLeft w:val="0"/>
      <w:marRight w:val="0"/>
      <w:marTop w:val="0"/>
      <w:marBottom w:val="0"/>
      <w:divBdr>
        <w:top w:val="none" w:sz="0" w:space="0" w:color="auto"/>
        <w:left w:val="none" w:sz="0" w:space="0" w:color="auto"/>
        <w:bottom w:val="none" w:sz="0" w:space="0" w:color="auto"/>
        <w:right w:val="none" w:sz="0" w:space="0" w:color="auto"/>
      </w:divBdr>
    </w:div>
    <w:div w:id="777021482">
      <w:bodyDiv w:val="1"/>
      <w:marLeft w:val="0"/>
      <w:marRight w:val="0"/>
      <w:marTop w:val="0"/>
      <w:marBottom w:val="0"/>
      <w:divBdr>
        <w:top w:val="none" w:sz="0" w:space="0" w:color="auto"/>
        <w:left w:val="none" w:sz="0" w:space="0" w:color="auto"/>
        <w:bottom w:val="none" w:sz="0" w:space="0" w:color="auto"/>
        <w:right w:val="none" w:sz="0" w:space="0" w:color="auto"/>
      </w:divBdr>
    </w:div>
    <w:div w:id="777258214">
      <w:bodyDiv w:val="1"/>
      <w:marLeft w:val="0"/>
      <w:marRight w:val="0"/>
      <w:marTop w:val="0"/>
      <w:marBottom w:val="0"/>
      <w:divBdr>
        <w:top w:val="none" w:sz="0" w:space="0" w:color="auto"/>
        <w:left w:val="none" w:sz="0" w:space="0" w:color="auto"/>
        <w:bottom w:val="none" w:sz="0" w:space="0" w:color="auto"/>
        <w:right w:val="none" w:sz="0" w:space="0" w:color="auto"/>
      </w:divBdr>
    </w:div>
    <w:div w:id="777413477">
      <w:bodyDiv w:val="1"/>
      <w:marLeft w:val="0"/>
      <w:marRight w:val="0"/>
      <w:marTop w:val="0"/>
      <w:marBottom w:val="0"/>
      <w:divBdr>
        <w:top w:val="none" w:sz="0" w:space="0" w:color="auto"/>
        <w:left w:val="none" w:sz="0" w:space="0" w:color="auto"/>
        <w:bottom w:val="none" w:sz="0" w:space="0" w:color="auto"/>
        <w:right w:val="none" w:sz="0" w:space="0" w:color="auto"/>
      </w:divBdr>
    </w:div>
    <w:div w:id="777527399">
      <w:bodyDiv w:val="1"/>
      <w:marLeft w:val="0"/>
      <w:marRight w:val="0"/>
      <w:marTop w:val="0"/>
      <w:marBottom w:val="0"/>
      <w:divBdr>
        <w:top w:val="none" w:sz="0" w:space="0" w:color="auto"/>
        <w:left w:val="none" w:sz="0" w:space="0" w:color="auto"/>
        <w:bottom w:val="none" w:sz="0" w:space="0" w:color="auto"/>
        <w:right w:val="none" w:sz="0" w:space="0" w:color="auto"/>
      </w:divBdr>
    </w:div>
    <w:div w:id="777531964">
      <w:bodyDiv w:val="1"/>
      <w:marLeft w:val="0"/>
      <w:marRight w:val="0"/>
      <w:marTop w:val="0"/>
      <w:marBottom w:val="0"/>
      <w:divBdr>
        <w:top w:val="none" w:sz="0" w:space="0" w:color="auto"/>
        <w:left w:val="none" w:sz="0" w:space="0" w:color="auto"/>
        <w:bottom w:val="none" w:sz="0" w:space="0" w:color="auto"/>
        <w:right w:val="none" w:sz="0" w:space="0" w:color="auto"/>
      </w:divBdr>
    </w:div>
    <w:div w:id="777602325">
      <w:bodyDiv w:val="1"/>
      <w:marLeft w:val="0"/>
      <w:marRight w:val="0"/>
      <w:marTop w:val="0"/>
      <w:marBottom w:val="0"/>
      <w:divBdr>
        <w:top w:val="none" w:sz="0" w:space="0" w:color="auto"/>
        <w:left w:val="none" w:sz="0" w:space="0" w:color="auto"/>
        <w:bottom w:val="none" w:sz="0" w:space="0" w:color="auto"/>
        <w:right w:val="none" w:sz="0" w:space="0" w:color="auto"/>
      </w:divBdr>
    </w:div>
    <w:div w:id="777675453">
      <w:bodyDiv w:val="1"/>
      <w:marLeft w:val="0"/>
      <w:marRight w:val="0"/>
      <w:marTop w:val="0"/>
      <w:marBottom w:val="0"/>
      <w:divBdr>
        <w:top w:val="none" w:sz="0" w:space="0" w:color="auto"/>
        <w:left w:val="none" w:sz="0" w:space="0" w:color="auto"/>
        <w:bottom w:val="none" w:sz="0" w:space="0" w:color="auto"/>
        <w:right w:val="none" w:sz="0" w:space="0" w:color="auto"/>
      </w:divBdr>
    </w:div>
    <w:div w:id="777717124">
      <w:bodyDiv w:val="1"/>
      <w:marLeft w:val="0"/>
      <w:marRight w:val="0"/>
      <w:marTop w:val="0"/>
      <w:marBottom w:val="0"/>
      <w:divBdr>
        <w:top w:val="none" w:sz="0" w:space="0" w:color="auto"/>
        <w:left w:val="none" w:sz="0" w:space="0" w:color="auto"/>
        <w:bottom w:val="none" w:sz="0" w:space="0" w:color="auto"/>
        <w:right w:val="none" w:sz="0" w:space="0" w:color="auto"/>
      </w:divBdr>
    </w:div>
    <w:div w:id="777718189">
      <w:bodyDiv w:val="1"/>
      <w:marLeft w:val="0"/>
      <w:marRight w:val="0"/>
      <w:marTop w:val="0"/>
      <w:marBottom w:val="0"/>
      <w:divBdr>
        <w:top w:val="none" w:sz="0" w:space="0" w:color="auto"/>
        <w:left w:val="none" w:sz="0" w:space="0" w:color="auto"/>
        <w:bottom w:val="none" w:sz="0" w:space="0" w:color="auto"/>
        <w:right w:val="none" w:sz="0" w:space="0" w:color="auto"/>
      </w:divBdr>
    </w:div>
    <w:div w:id="777720624">
      <w:bodyDiv w:val="1"/>
      <w:marLeft w:val="0"/>
      <w:marRight w:val="0"/>
      <w:marTop w:val="0"/>
      <w:marBottom w:val="0"/>
      <w:divBdr>
        <w:top w:val="none" w:sz="0" w:space="0" w:color="auto"/>
        <w:left w:val="none" w:sz="0" w:space="0" w:color="auto"/>
        <w:bottom w:val="none" w:sz="0" w:space="0" w:color="auto"/>
        <w:right w:val="none" w:sz="0" w:space="0" w:color="auto"/>
      </w:divBdr>
    </w:div>
    <w:div w:id="777869362">
      <w:bodyDiv w:val="1"/>
      <w:marLeft w:val="0"/>
      <w:marRight w:val="0"/>
      <w:marTop w:val="0"/>
      <w:marBottom w:val="0"/>
      <w:divBdr>
        <w:top w:val="none" w:sz="0" w:space="0" w:color="auto"/>
        <w:left w:val="none" w:sz="0" w:space="0" w:color="auto"/>
        <w:bottom w:val="none" w:sz="0" w:space="0" w:color="auto"/>
        <w:right w:val="none" w:sz="0" w:space="0" w:color="auto"/>
      </w:divBdr>
    </w:div>
    <w:div w:id="777876176">
      <w:bodyDiv w:val="1"/>
      <w:marLeft w:val="0"/>
      <w:marRight w:val="0"/>
      <w:marTop w:val="0"/>
      <w:marBottom w:val="0"/>
      <w:divBdr>
        <w:top w:val="none" w:sz="0" w:space="0" w:color="auto"/>
        <w:left w:val="none" w:sz="0" w:space="0" w:color="auto"/>
        <w:bottom w:val="none" w:sz="0" w:space="0" w:color="auto"/>
        <w:right w:val="none" w:sz="0" w:space="0" w:color="auto"/>
      </w:divBdr>
    </w:div>
    <w:div w:id="777915426">
      <w:bodyDiv w:val="1"/>
      <w:marLeft w:val="0"/>
      <w:marRight w:val="0"/>
      <w:marTop w:val="0"/>
      <w:marBottom w:val="0"/>
      <w:divBdr>
        <w:top w:val="none" w:sz="0" w:space="0" w:color="auto"/>
        <w:left w:val="none" w:sz="0" w:space="0" w:color="auto"/>
        <w:bottom w:val="none" w:sz="0" w:space="0" w:color="auto"/>
        <w:right w:val="none" w:sz="0" w:space="0" w:color="auto"/>
      </w:divBdr>
    </w:div>
    <w:div w:id="777943902">
      <w:bodyDiv w:val="1"/>
      <w:marLeft w:val="0"/>
      <w:marRight w:val="0"/>
      <w:marTop w:val="0"/>
      <w:marBottom w:val="0"/>
      <w:divBdr>
        <w:top w:val="none" w:sz="0" w:space="0" w:color="auto"/>
        <w:left w:val="none" w:sz="0" w:space="0" w:color="auto"/>
        <w:bottom w:val="none" w:sz="0" w:space="0" w:color="auto"/>
        <w:right w:val="none" w:sz="0" w:space="0" w:color="auto"/>
      </w:divBdr>
    </w:div>
    <w:div w:id="777991809">
      <w:bodyDiv w:val="1"/>
      <w:marLeft w:val="0"/>
      <w:marRight w:val="0"/>
      <w:marTop w:val="0"/>
      <w:marBottom w:val="0"/>
      <w:divBdr>
        <w:top w:val="none" w:sz="0" w:space="0" w:color="auto"/>
        <w:left w:val="none" w:sz="0" w:space="0" w:color="auto"/>
        <w:bottom w:val="none" w:sz="0" w:space="0" w:color="auto"/>
        <w:right w:val="none" w:sz="0" w:space="0" w:color="auto"/>
      </w:divBdr>
    </w:div>
    <w:div w:id="778186245">
      <w:bodyDiv w:val="1"/>
      <w:marLeft w:val="0"/>
      <w:marRight w:val="0"/>
      <w:marTop w:val="0"/>
      <w:marBottom w:val="0"/>
      <w:divBdr>
        <w:top w:val="none" w:sz="0" w:space="0" w:color="auto"/>
        <w:left w:val="none" w:sz="0" w:space="0" w:color="auto"/>
        <w:bottom w:val="none" w:sz="0" w:space="0" w:color="auto"/>
        <w:right w:val="none" w:sz="0" w:space="0" w:color="auto"/>
      </w:divBdr>
    </w:div>
    <w:div w:id="778333849">
      <w:bodyDiv w:val="1"/>
      <w:marLeft w:val="0"/>
      <w:marRight w:val="0"/>
      <w:marTop w:val="0"/>
      <w:marBottom w:val="0"/>
      <w:divBdr>
        <w:top w:val="none" w:sz="0" w:space="0" w:color="auto"/>
        <w:left w:val="none" w:sz="0" w:space="0" w:color="auto"/>
        <w:bottom w:val="none" w:sz="0" w:space="0" w:color="auto"/>
        <w:right w:val="none" w:sz="0" w:space="0" w:color="auto"/>
      </w:divBdr>
    </w:div>
    <w:div w:id="778333958">
      <w:bodyDiv w:val="1"/>
      <w:marLeft w:val="0"/>
      <w:marRight w:val="0"/>
      <w:marTop w:val="0"/>
      <w:marBottom w:val="0"/>
      <w:divBdr>
        <w:top w:val="none" w:sz="0" w:space="0" w:color="auto"/>
        <w:left w:val="none" w:sz="0" w:space="0" w:color="auto"/>
        <w:bottom w:val="none" w:sz="0" w:space="0" w:color="auto"/>
        <w:right w:val="none" w:sz="0" w:space="0" w:color="auto"/>
      </w:divBdr>
    </w:div>
    <w:div w:id="778372371">
      <w:bodyDiv w:val="1"/>
      <w:marLeft w:val="0"/>
      <w:marRight w:val="0"/>
      <w:marTop w:val="0"/>
      <w:marBottom w:val="0"/>
      <w:divBdr>
        <w:top w:val="none" w:sz="0" w:space="0" w:color="auto"/>
        <w:left w:val="none" w:sz="0" w:space="0" w:color="auto"/>
        <w:bottom w:val="none" w:sz="0" w:space="0" w:color="auto"/>
        <w:right w:val="none" w:sz="0" w:space="0" w:color="auto"/>
      </w:divBdr>
    </w:div>
    <w:div w:id="778373510">
      <w:bodyDiv w:val="1"/>
      <w:marLeft w:val="0"/>
      <w:marRight w:val="0"/>
      <w:marTop w:val="0"/>
      <w:marBottom w:val="0"/>
      <w:divBdr>
        <w:top w:val="none" w:sz="0" w:space="0" w:color="auto"/>
        <w:left w:val="none" w:sz="0" w:space="0" w:color="auto"/>
        <w:bottom w:val="none" w:sz="0" w:space="0" w:color="auto"/>
        <w:right w:val="none" w:sz="0" w:space="0" w:color="auto"/>
      </w:divBdr>
    </w:div>
    <w:div w:id="778375330">
      <w:bodyDiv w:val="1"/>
      <w:marLeft w:val="0"/>
      <w:marRight w:val="0"/>
      <w:marTop w:val="0"/>
      <w:marBottom w:val="0"/>
      <w:divBdr>
        <w:top w:val="none" w:sz="0" w:space="0" w:color="auto"/>
        <w:left w:val="none" w:sz="0" w:space="0" w:color="auto"/>
        <w:bottom w:val="none" w:sz="0" w:space="0" w:color="auto"/>
        <w:right w:val="none" w:sz="0" w:space="0" w:color="auto"/>
      </w:divBdr>
    </w:div>
    <w:div w:id="778454471">
      <w:bodyDiv w:val="1"/>
      <w:marLeft w:val="0"/>
      <w:marRight w:val="0"/>
      <w:marTop w:val="0"/>
      <w:marBottom w:val="0"/>
      <w:divBdr>
        <w:top w:val="none" w:sz="0" w:space="0" w:color="auto"/>
        <w:left w:val="none" w:sz="0" w:space="0" w:color="auto"/>
        <w:bottom w:val="none" w:sz="0" w:space="0" w:color="auto"/>
        <w:right w:val="none" w:sz="0" w:space="0" w:color="auto"/>
      </w:divBdr>
    </w:div>
    <w:div w:id="778524602">
      <w:bodyDiv w:val="1"/>
      <w:marLeft w:val="0"/>
      <w:marRight w:val="0"/>
      <w:marTop w:val="0"/>
      <w:marBottom w:val="0"/>
      <w:divBdr>
        <w:top w:val="none" w:sz="0" w:space="0" w:color="auto"/>
        <w:left w:val="none" w:sz="0" w:space="0" w:color="auto"/>
        <w:bottom w:val="none" w:sz="0" w:space="0" w:color="auto"/>
        <w:right w:val="none" w:sz="0" w:space="0" w:color="auto"/>
      </w:divBdr>
    </w:div>
    <w:div w:id="778766053">
      <w:bodyDiv w:val="1"/>
      <w:marLeft w:val="0"/>
      <w:marRight w:val="0"/>
      <w:marTop w:val="0"/>
      <w:marBottom w:val="0"/>
      <w:divBdr>
        <w:top w:val="none" w:sz="0" w:space="0" w:color="auto"/>
        <w:left w:val="none" w:sz="0" w:space="0" w:color="auto"/>
        <w:bottom w:val="none" w:sz="0" w:space="0" w:color="auto"/>
        <w:right w:val="none" w:sz="0" w:space="0" w:color="auto"/>
      </w:divBdr>
    </w:div>
    <w:div w:id="778990955">
      <w:bodyDiv w:val="1"/>
      <w:marLeft w:val="0"/>
      <w:marRight w:val="0"/>
      <w:marTop w:val="0"/>
      <w:marBottom w:val="0"/>
      <w:divBdr>
        <w:top w:val="none" w:sz="0" w:space="0" w:color="auto"/>
        <w:left w:val="none" w:sz="0" w:space="0" w:color="auto"/>
        <w:bottom w:val="none" w:sz="0" w:space="0" w:color="auto"/>
        <w:right w:val="none" w:sz="0" w:space="0" w:color="auto"/>
      </w:divBdr>
    </w:div>
    <w:div w:id="778992558">
      <w:bodyDiv w:val="1"/>
      <w:marLeft w:val="0"/>
      <w:marRight w:val="0"/>
      <w:marTop w:val="0"/>
      <w:marBottom w:val="0"/>
      <w:divBdr>
        <w:top w:val="none" w:sz="0" w:space="0" w:color="auto"/>
        <w:left w:val="none" w:sz="0" w:space="0" w:color="auto"/>
        <w:bottom w:val="none" w:sz="0" w:space="0" w:color="auto"/>
        <w:right w:val="none" w:sz="0" w:space="0" w:color="auto"/>
      </w:divBdr>
    </w:div>
    <w:div w:id="778993265">
      <w:bodyDiv w:val="1"/>
      <w:marLeft w:val="0"/>
      <w:marRight w:val="0"/>
      <w:marTop w:val="0"/>
      <w:marBottom w:val="0"/>
      <w:divBdr>
        <w:top w:val="none" w:sz="0" w:space="0" w:color="auto"/>
        <w:left w:val="none" w:sz="0" w:space="0" w:color="auto"/>
        <w:bottom w:val="none" w:sz="0" w:space="0" w:color="auto"/>
        <w:right w:val="none" w:sz="0" w:space="0" w:color="auto"/>
      </w:divBdr>
    </w:div>
    <w:div w:id="779034658">
      <w:bodyDiv w:val="1"/>
      <w:marLeft w:val="0"/>
      <w:marRight w:val="0"/>
      <w:marTop w:val="0"/>
      <w:marBottom w:val="0"/>
      <w:divBdr>
        <w:top w:val="none" w:sz="0" w:space="0" w:color="auto"/>
        <w:left w:val="none" w:sz="0" w:space="0" w:color="auto"/>
        <w:bottom w:val="none" w:sz="0" w:space="0" w:color="auto"/>
        <w:right w:val="none" w:sz="0" w:space="0" w:color="auto"/>
      </w:divBdr>
    </w:div>
    <w:div w:id="779253305">
      <w:bodyDiv w:val="1"/>
      <w:marLeft w:val="0"/>
      <w:marRight w:val="0"/>
      <w:marTop w:val="0"/>
      <w:marBottom w:val="0"/>
      <w:divBdr>
        <w:top w:val="none" w:sz="0" w:space="0" w:color="auto"/>
        <w:left w:val="none" w:sz="0" w:space="0" w:color="auto"/>
        <w:bottom w:val="none" w:sz="0" w:space="0" w:color="auto"/>
        <w:right w:val="none" w:sz="0" w:space="0" w:color="auto"/>
      </w:divBdr>
    </w:div>
    <w:div w:id="779295683">
      <w:bodyDiv w:val="1"/>
      <w:marLeft w:val="0"/>
      <w:marRight w:val="0"/>
      <w:marTop w:val="0"/>
      <w:marBottom w:val="0"/>
      <w:divBdr>
        <w:top w:val="none" w:sz="0" w:space="0" w:color="auto"/>
        <w:left w:val="none" w:sz="0" w:space="0" w:color="auto"/>
        <w:bottom w:val="none" w:sz="0" w:space="0" w:color="auto"/>
        <w:right w:val="none" w:sz="0" w:space="0" w:color="auto"/>
      </w:divBdr>
    </w:div>
    <w:div w:id="779299157">
      <w:bodyDiv w:val="1"/>
      <w:marLeft w:val="0"/>
      <w:marRight w:val="0"/>
      <w:marTop w:val="0"/>
      <w:marBottom w:val="0"/>
      <w:divBdr>
        <w:top w:val="none" w:sz="0" w:space="0" w:color="auto"/>
        <w:left w:val="none" w:sz="0" w:space="0" w:color="auto"/>
        <w:bottom w:val="none" w:sz="0" w:space="0" w:color="auto"/>
        <w:right w:val="none" w:sz="0" w:space="0" w:color="auto"/>
      </w:divBdr>
    </w:div>
    <w:div w:id="779300734">
      <w:bodyDiv w:val="1"/>
      <w:marLeft w:val="0"/>
      <w:marRight w:val="0"/>
      <w:marTop w:val="0"/>
      <w:marBottom w:val="0"/>
      <w:divBdr>
        <w:top w:val="none" w:sz="0" w:space="0" w:color="auto"/>
        <w:left w:val="none" w:sz="0" w:space="0" w:color="auto"/>
        <w:bottom w:val="none" w:sz="0" w:space="0" w:color="auto"/>
        <w:right w:val="none" w:sz="0" w:space="0" w:color="auto"/>
      </w:divBdr>
    </w:div>
    <w:div w:id="779420042">
      <w:bodyDiv w:val="1"/>
      <w:marLeft w:val="0"/>
      <w:marRight w:val="0"/>
      <w:marTop w:val="0"/>
      <w:marBottom w:val="0"/>
      <w:divBdr>
        <w:top w:val="none" w:sz="0" w:space="0" w:color="auto"/>
        <w:left w:val="none" w:sz="0" w:space="0" w:color="auto"/>
        <w:bottom w:val="none" w:sz="0" w:space="0" w:color="auto"/>
        <w:right w:val="none" w:sz="0" w:space="0" w:color="auto"/>
      </w:divBdr>
    </w:div>
    <w:div w:id="779491252">
      <w:bodyDiv w:val="1"/>
      <w:marLeft w:val="0"/>
      <w:marRight w:val="0"/>
      <w:marTop w:val="0"/>
      <w:marBottom w:val="0"/>
      <w:divBdr>
        <w:top w:val="none" w:sz="0" w:space="0" w:color="auto"/>
        <w:left w:val="none" w:sz="0" w:space="0" w:color="auto"/>
        <w:bottom w:val="none" w:sz="0" w:space="0" w:color="auto"/>
        <w:right w:val="none" w:sz="0" w:space="0" w:color="auto"/>
      </w:divBdr>
    </w:div>
    <w:div w:id="779492884">
      <w:bodyDiv w:val="1"/>
      <w:marLeft w:val="0"/>
      <w:marRight w:val="0"/>
      <w:marTop w:val="0"/>
      <w:marBottom w:val="0"/>
      <w:divBdr>
        <w:top w:val="none" w:sz="0" w:space="0" w:color="auto"/>
        <w:left w:val="none" w:sz="0" w:space="0" w:color="auto"/>
        <w:bottom w:val="none" w:sz="0" w:space="0" w:color="auto"/>
        <w:right w:val="none" w:sz="0" w:space="0" w:color="auto"/>
      </w:divBdr>
    </w:div>
    <w:div w:id="779683757">
      <w:bodyDiv w:val="1"/>
      <w:marLeft w:val="0"/>
      <w:marRight w:val="0"/>
      <w:marTop w:val="0"/>
      <w:marBottom w:val="0"/>
      <w:divBdr>
        <w:top w:val="none" w:sz="0" w:space="0" w:color="auto"/>
        <w:left w:val="none" w:sz="0" w:space="0" w:color="auto"/>
        <w:bottom w:val="none" w:sz="0" w:space="0" w:color="auto"/>
        <w:right w:val="none" w:sz="0" w:space="0" w:color="auto"/>
      </w:divBdr>
    </w:div>
    <w:div w:id="779685151">
      <w:bodyDiv w:val="1"/>
      <w:marLeft w:val="0"/>
      <w:marRight w:val="0"/>
      <w:marTop w:val="0"/>
      <w:marBottom w:val="0"/>
      <w:divBdr>
        <w:top w:val="none" w:sz="0" w:space="0" w:color="auto"/>
        <w:left w:val="none" w:sz="0" w:space="0" w:color="auto"/>
        <w:bottom w:val="none" w:sz="0" w:space="0" w:color="auto"/>
        <w:right w:val="none" w:sz="0" w:space="0" w:color="auto"/>
      </w:divBdr>
    </w:div>
    <w:div w:id="779763411">
      <w:bodyDiv w:val="1"/>
      <w:marLeft w:val="0"/>
      <w:marRight w:val="0"/>
      <w:marTop w:val="0"/>
      <w:marBottom w:val="0"/>
      <w:divBdr>
        <w:top w:val="none" w:sz="0" w:space="0" w:color="auto"/>
        <w:left w:val="none" w:sz="0" w:space="0" w:color="auto"/>
        <w:bottom w:val="none" w:sz="0" w:space="0" w:color="auto"/>
        <w:right w:val="none" w:sz="0" w:space="0" w:color="auto"/>
      </w:divBdr>
    </w:div>
    <w:div w:id="780075786">
      <w:bodyDiv w:val="1"/>
      <w:marLeft w:val="0"/>
      <w:marRight w:val="0"/>
      <w:marTop w:val="0"/>
      <w:marBottom w:val="0"/>
      <w:divBdr>
        <w:top w:val="none" w:sz="0" w:space="0" w:color="auto"/>
        <w:left w:val="none" w:sz="0" w:space="0" w:color="auto"/>
        <w:bottom w:val="none" w:sz="0" w:space="0" w:color="auto"/>
        <w:right w:val="none" w:sz="0" w:space="0" w:color="auto"/>
      </w:divBdr>
    </w:div>
    <w:div w:id="780077161">
      <w:bodyDiv w:val="1"/>
      <w:marLeft w:val="0"/>
      <w:marRight w:val="0"/>
      <w:marTop w:val="0"/>
      <w:marBottom w:val="0"/>
      <w:divBdr>
        <w:top w:val="none" w:sz="0" w:space="0" w:color="auto"/>
        <w:left w:val="none" w:sz="0" w:space="0" w:color="auto"/>
        <w:bottom w:val="none" w:sz="0" w:space="0" w:color="auto"/>
        <w:right w:val="none" w:sz="0" w:space="0" w:color="auto"/>
      </w:divBdr>
    </w:div>
    <w:div w:id="780145218">
      <w:bodyDiv w:val="1"/>
      <w:marLeft w:val="0"/>
      <w:marRight w:val="0"/>
      <w:marTop w:val="0"/>
      <w:marBottom w:val="0"/>
      <w:divBdr>
        <w:top w:val="none" w:sz="0" w:space="0" w:color="auto"/>
        <w:left w:val="none" w:sz="0" w:space="0" w:color="auto"/>
        <w:bottom w:val="none" w:sz="0" w:space="0" w:color="auto"/>
        <w:right w:val="none" w:sz="0" w:space="0" w:color="auto"/>
      </w:divBdr>
    </w:div>
    <w:div w:id="780150805">
      <w:bodyDiv w:val="1"/>
      <w:marLeft w:val="0"/>
      <w:marRight w:val="0"/>
      <w:marTop w:val="0"/>
      <w:marBottom w:val="0"/>
      <w:divBdr>
        <w:top w:val="none" w:sz="0" w:space="0" w:color="auto"/>
        <w:left w:val="none" w:sz="0" w:space="0" w:color="auto"/>
        <w:bottom w:val="none" w:sz="0" w:space="0" w:color="auto"/>
        <w:right w:val="none" w:sz="0" w:space="0" w:color="auto"/>
      </w:divBdr>
    </w:div>
    <w:div w:id="780683011">
      <w:bodyDiv w:val="1"/>
      <w:marLeft w:val="0"/>
      <w:marRight w:val="0"/>
      <w:marTop w:val="0"/>
      <w:marBottom w:val="0"/>
      <w:divBdr>
        <w:top w:val="none" w:sz="0" w:space="0" w:color="auto"/>
        <w:left w:val="none" w:sz="0" w:space="0" w:color="auto"/>
        <w:bottom w:val="none" w:sz="0" w:space="0" w:color="auto"/>
        <w:right w:val="none" w:sz="0" w:space="0" w:color="auto"/>
      </w:divBdr>
    </w:div>
    <w:div w:id="780684642">
      <w:bodyDiv w:val="1"/>
      <w:marLeft w:val="0"/>
      <w:marRight w:val="0"/>
      <w:marTop w:val="0"/>
      <w:marBottom w:val="0"/>
      <w:divBdr>
        <w:top w:val="none" w:sz="0" w:space="0" w:color="auto"/>
        <w:left w:val="none" w:sz="0" w:space="0" w:color="auto"/>
        <w:bottom w:val="none" w:sz="0" w:space="0" w:color="auto"/>
        <w:right w:val="none" w:sz="0" w:space="0" w:color="auto"/>
      </w:divBdr>
    </w:div>
    <w:div w:id="780732016">
      <w:bodyDiv w:val="1"/>
      <w:marLeft w:val="0"/>
      <w:marRight w:val="0"/>
      <w:marTop w:val="0"/>
      <w:marBottom w:val="0"/>
      <w:divBdr>
        <w:top w:val="none" w:sz="0" w:space="0" w:color="auto"/>
        <w:left w:val="none" w:sz="0" w:space="0" w:color="auto"/>
        <w:bottom w:val="none" w:sz="0" w:space="0" w:color="auto"/>
        <w:right w:val="none" w:sz="0" w:space="0" w:color="auto"/>
      </w:divBdr>
    </w:div>
    <w:div w:id="780803204">
      <w:bodyDiv w:val="1"/>
      <w:marLeft w:val="0"/>
      <w:marRight w:val="0"/>
      <w:marTop w:val="0"/>
      <w:marBottom w:val="0"/>
      <w:divBdr>
        <w:top w:val="none" w:sz="0" w:space="0" w:color="auto"/>
        <w:left w:val="none" w:sz="0" w:space="0" w:color="auto"/>
        <w:bottom w:val="none" w:sz="0" w:space="0" w:color="auto"/>
        <w:right w:val="none" w:sz="0" w:space="0" w:color="auto"/>
      </w:divBdr>
    </w:div>
    <w:div w:id="780876428">
      <w:bodyDiv w:val="1"/>
      <w:marLeft w:val="0"/>
      <w:marRight w:val="0"/>
      <w:marTop w:val="0"/>
      <w:marBottom w:val="0"/>
      <w:divBdr>
        <w:top w:val="none" w:sz="0" w:space="0" w:color="auto"/>
        <w:left w:val="none" w:sz="0" w:space="0" w:color="auto"/>
        <w:bottom w:val="none" w:sz="0" w:space="0" w:color="auto"/>
        <w:right w:val="none" w:sz="0" w:space="0" w:color="auto"/>
      </w:divBdr>
    </w:div>
    <w:div w:id="780876775">
      <w:bodyDiv w:val="1"/>
      <w:marLeft w:val="0"/>
      <w:marRight w:val="0"/>
      <w:marTop w:val="0"/>
      <w:marBottom w:val="0"/>
      <w:divBdr>
        <w:top w:val="none" w:sz="0" w:space="0" w:color="auto"/>
        <w:left w:val="none" w:sz="0" w:space="0" w:color="auto"/>
        <w:bottom w:val="none" w:sz="0" w:space="0" w:color="auto"/>
        <w:right w:val="none" w:sz="0" w:space="0" w:color="auto"/>
      </w:divBdr>
    </w:div>
    <w:div w:id="780882811">
      <w:bodyDiv w:val="1"/>
      <w:marLeft w:val="0"/>
      <w:marRight w:val="0"/>
      <w:marTop w:val="0"/>
      <w:marBottom w:val="0"/>
      <w:divBdr>
        <w:top w:val="none" w:sz="0" w:space="0" w:color="auto"/>
        <w:left w:val="none" w:sz="0" w:space="0" w:color="auto"/>
        <w:bottom w:val="none" w:sz="0" w:space="0" w:color="auto"/>
        <w:right w:val="none" w:sz="0" w:space="0" w:color="auto"/>
      </w:divBdr>
    </w:div>
    <w:div w:id="780957116">
      <w:bodyDiv w:val="1"/>
      <w:marLeft w:val="0"/>
      <w:marRight w:val="0"/>
      <w:marTop w:val="0"/>
      <w:marBottom w:val="0"/>
      <w:divBdr>
        <w:top w:val="none" w:sz="0" w:space="0" w:color="auto"/>
        <w:left w:val="none" w:sz="0" w:space="0" w:color="auto"/>
        <w:bottom w:val="none" w:sz="0" w:space="0" w:color="auto"/>
        <w:right w:val="none" w:sz="0" w:space="0" w:color="auto"/>
      </w:divBdr>
    </w:div>
    <w:div w:id="780995166">
      <w:bodyDiv w:val="1"/>
      <w:marLeft w:val="0"/>
      <w:marRight w:val="0"/>
      <w:marTop w:val="0"/>
      <w:marBottom w:val="0"/>
      <w:divBdr>
        <w:top w:val="none" w:sz="0" w:space="0" w:color="auto"/>
        <w:left w:val="none" w:sz="0" w:space="0" w:color="auto"/>
        <w:bottom w:val="none" w:sz="0" w:space="0" w:color="auto"/>
        <w:right w:val="none" w:sz="0" w:space="0" w:color="auto"/>
      </w:divBdr>
    </w:div>
    <w:div w:id="781076128">
      <w:bodyDiv w:val="1"/>
      <w:marLeft w:val="0"/>
      <w:marRight w:val="0"/>
      <w:marTop w:val="0"/>
      <w:marBottom w:val="0"/>
      <w:divBdr>
        <w:top w:val="none" w:sz="0" w:space="0" w:color="auto"/>
        <w:left w:val="none" w:sz="0" w:space="0" w:color="auto"/>
        <w:bottom w:val="none" w:sz="0" w:space="0" w:color="auto"/>
        <w:right w:val="none" w:sz="0" w:space="0" w:color="auto"/>
      </w:divBdr>
    </w:div>
    <w:div w:id="781143495">
      <w:bodyDiv w:val="1"/>
      <w:marLeft w:val="0"/>
      <w:marRight w:val="0"/>
      <w:marTop w:val="0"/>
      <w:marBottom w:val="0"/>
      <w:divBdr>
        <w:top w:val="none" w:sz="0" w:space="0" w:color="auto"/>
        <w:left w:val="none" w:sz="0" w:space="0" w:color="auto"/>
        <w:bottom w:val="none" w:sz="0" w:space="0" w:color="auto"/>
        <w:right w:val="none" w:sz="0" w:space="0" w:color="auto"/>
      </w:divBdr>
    </w:div>
    <w:div w:id="781189958">
      <w:bodyDiv w:val="1"/>
      <w:marLeft w:val="0"/>
      <w:marRight w:val="0"/>
      <w:marTop w:val="0"/>
      <w:marBottom w:val="0"/>
      <w:divBdr>
        <w:top w:val="none" w:sz="0" w:space="0" w:color="auto"/>
        <w:left w:val="none" w:sz="0" w:space="0" w:color="auto"/>
        <w:bottom w:val="none" w:sz="0" w:space="0" w:color="auto"/>
        <w:right w:val="none" w:sz="0" w:space="0" w:color="auto"/>
      </w:divBdr>
    </w:div>
    <w:div w:id="781265004">
      <w:bodyDiv w:val="1"/>
      <w:marLeft w:val="0"/>
      <w:marRight w:val="0"/>
      <w:marTop w:val="0"/>
      <w:marBottom w:val="0"/>
      <w:divBdr>
        <w:top w:val="none" w:sz="0" w:space="0" w:color="auto"/>
        <w:left w:val="none" w:sz="0" w:space="0" w:color="auto"/>
        <w:bottom w:val="none" w:sz="0" w:space="0" w:color="auto"/>
        <w:right w:val="none" w:sz="0" w:space="0" w:color="auto"/>
      </w:divBdr>
    </w:div>
    <w:div w:id="781265790">
      <w:bodyDiv w:val="1"/>
      <w:marLeft w:val="0"/>
      <w:marRight w:val="0"/>
      <w:marTop w:val="0"/>
      <w:marBottom w:val="0"/>
      <w:divBdr>
        <w:top w:val="none" w:sz="0" w:space="0" w:color="auto"/>
        <w:left w:val="none" w:sz="0" w:space="0" w:color="auto"/>
        <w:bottom w:val="none" w:sz="0" w:space="0" w:color="auto"/>
        <w:right w:val="none" w:sz="0" w:space="0" w:color="auto"/>
      </w:divBdr>
    </w:div>
    <w:div w:id="781345483">
      <w:bodyDiv w:val="1"/>
      <w:marLeft w:val="0"/>
      <w:marRight w:val="0"/>
      <w:marTop w:val="0"/>
      <w:marBottom w:val="0"/>
      <w:divBdr>
        <w:top w:val="none" w:sz="0" w:space="0" w:color="auto"/>
        <w:left w:val="none" w:sz="0" w:space="0" w:color="auto"/>
        <w:bottom w:val="none" w:sz="0" w:space="0" w:color="auto"/>
        <w:right w:val="none" w:sz="0" w:space="0" w:color="auto"/>
      </w:divBdr>
    </w:div>
    <w:div w:id="781605811">
      <w:bodyDiv w:val="1"/>
      <w:marLeft w:val="0"/>
      <w:marRight w:val="0"/>
      <w:marTop w:val="0"/>
      <w:marBottom w:val="0"/>
      <w:divBdr>
        <w:top w:val="none" w:sz="0" w:space="0" w:color="auto"/>
        <w:left w:val="none" w:sz="0" w:space="0" w:color="auto"/>
        <w:bottom w:val="none" w:sz="0" w:space="0" w:color="auto"/>
        <w:right w:val="none" w:sz="0" w:space="0" w:color="auto"/>
      </w:divBdr>
    </w:div>
    <w:div w:id="781845887">
      <w:bodyDiv w:val="1"/>
      <w:marLeft w:val="0"/>
      <w:marRight w:val="0"/>
      <w:marTop w:val="0"/>
      <w:marBottom w:val="0"/>
      <w:divBdr>
        <w:top w:val="none" w:sz="0" w:space="0" w:color="auto"/>
        <w:left w:val="none" w:sz="0" w:space="0" w:color="auto"/>
        <w:bottom w:val="none" w:sz="0" w:space="0" w:color="auto"/>
        <w:right w:val="none" w:sz="0" w:space="0" w:color="auto"/>
      </w:divBdr>
    </w:div>
    <w:div w:id="781846553">
      <w:bodyDiv w:val="1"/>
      <w:marLeft w:val="0"/>
      <w:marRight w:val="0"/>
      <w:marTop w:val="0"/>
      <w:marBottom w:val="0"/>
      <w:divBdr>
        <w:top w:val="none" w:sz="0" w:space="0" w:color="auto"/>
        <w:left w:val="none" w:sz="0" w:space="0" w:color="auto"/>
        <w:bottom w:val="none" w:sz="0" w:space="0" w:color="auto"/>
        <w:right w:val="none" w:sz="0" w:space="0" w:color="auto"/>
      </w:divBdr>
    </w:div>
    <w:div w:id="781997778">
      <w:bodyDiv w:val="1"/>
      <w:marLeft w:val="0"/>
      <w:marRight w:val="0"/>
      <w:marTop w:val="0"/>
      <w:marBottom w:val="0"/>
      <w:divBdr>
        <w:top w:val="none" w:sz="0" w:space="0" w:color="auto"/>
        <w:left w:val="none" w:sz="0" w:space="0" w:color="auto"/>
        <w:bottom w:val="none" w:sz="0" w:space="0" w:color="auto"/>
        <w:right w:val="none" w:sz="0" w:space="0" w:color="auto"/>
      </w:divBdr>
    </w:div>
    <w:div w:id="782112562">
      <w:bodyDiv w:val="1"/>
      <w:marLeft w:val="0"/>
      <w:marRight w:val="0"/>
      <w:marTop w:val="0"/>
      <w:marBottom w:val="0"/>
      <w:divBdr>
        <w:top w:val="none" w:sz="0" w:space="0" w:color="auto"/>
        <w:left w:val="none" w:sz="0" w:space="0" w:color="auto"/>
        <w:bottom w:val="none" w:sz="0" w:space="0" w:color="auto"/>
        <w:right w:val="none" w:sz="0" w:space="0" w:color="auto"/>
      </w:divBdr>
    </w:div>
    <w:div w:id="782191739">
      <w:bodyDiv w:val="1"/>
      <w:marLeft w:val="0"/>
      <w:marRight w:val="0"/>
      <w:marTop w:val="0"/>
      <w:marBottom w:val="0"/>
      <w:divBdr>
        <w:top w:val="none" w:sz="0" w:space="0" w:color="auto"/>
        <w:left w:val="none" w:sz="0" w:space="0" w:color="auto"/>
        <w:bottom w:val="none" w:sz="0" w:space="0" w:color="auto"/>
        <w:right w:val="none" w:sz="0" w:space="0" w:color="auto"/>
      </w:divBdr>
    </w:div>
    <w:div w:id="782193007">
      <w:bodyDiv w:val="1"/>
      <w:marLeft w:val="0"/>
      <w:marRight w:val="0"/>
      <w:marTop w:val="0"/>
      <w:marBottom w:val="0"/>
      <w:divBdr>
        <w:top w:val="none" w:sz="0" w:space="0" w:color="auto"/>
        <w:left w:val="none" w:sz="0" w:space="0" w:color="auto"/>
        <w:bottom w:val="none" w:sz="0" w:space="0" w:color="auto"/>
        <w:right w:val="none" w:sz="0" w:space="0" w:color="auto"/>
      </w:divBdr>
    </w:div>
    <w:div w:id="782265280">
      <w:bodyDiv w:val="1"/>
      <w:marLeft w:val="0"/>
      <w:marRight w:val="0"/>
      <w:marTop w:val="0"/>
      <w:marBottom w:val="0"/>
      <w:divBdr>
        <w:top w:val="none" w:sz="0" w:space="0" w:color="auto"/>
        <w:left w:val="none" w:sz="0" w:space="0" w:color="auto"/>
        <w:bottom w:val="none" w:sz="0" w:space="0" w:color="auto"/>
        <w:right w:val="none" w:sz="0" w:space="0" w:color="auto"/>
      </w:divBdr>
    </w:div>
    <w:div w:id="782308175">
      <w:bodyDiv w:val="1"/>
      <w:marLeft w:val="0"/>
      <w:marRight w:val="0"/>
      <w:marTop w:val="0"/>
      <w:marBottom w:val="0"/>
      <w:divBdr>
        <w:top w:val="none" w:sz="0" w:space="0" w:color="auto"/>
        <w:left w:val="none" w:sz="0" w:space="0" w:color="auto"/>
        <w:bottom w:val="none" w:sz="0" w:space="0" w:color="auto"/>
        <w:right w:val="none" w:sz="0" w:space="0" w:color="auto"/>
      </w:divBdr>
    </w:div>
    <w:div w:id="782384365">
      <w:bodyDiv w:val="1"/>
      <w:marLeft w:val="0"/>
      <w:marRight w:val="0"/>
      <w:marTop w:val="0"/>
      <w:marBottom w:val="0"/>
      <w:divBdr>
        <w:top w:val="none" w:sz="0" w:space="0" w:color="auto"/>
        <w:left w:val="none" w:sz="0" w:space="0" w:color="auto"/>
        <w:bottom w:val="none" w:sz="0" w:space="0" w:color="auto"/>
        <w:right w:val="none" w:sz="0" w:space="0" w:color="auto"/>
      </w:divBdr>
    </w:div>
    <w:div w:id="782459889">
      <w:bodyDiv w:val="1"/>
      <w:marLeft w:val="0"/>
      <w:marRight w:val="0"/>
      <w:marTop w:val="0"/>
      <w:marBottom w:val="0"/>
      <w:divBdr>
        <w:top w:val="none" w:sz="0" w:space="0" w:color="auto"/>
        <w:left w:val="none" w:sz="0" w:space="0" w:color="auto"/>
        <w:bottom w:val="none" w:sz="0" w:space="0" w:color="auto"/>
        <w:right w:val="none" w:sz="0" w:space="0" w:color="auto"/>
      </w:divBdr>
    </w:div>
    <w:div w:id="782648281">
      <w:bodyDiv w:val="1"/>
      <w:marLeft w:val="0"/>
      <w:marRight w:val="0"/>
      <w:marTop w:val="0"/>
      <w:marBottom w:val="0"/>
      <w:divBdr>
        <w:top w:val="none" w:sz="0" w:space="0" w:color="auto"/>
        <w:left w:val="none" w:sz="0" w:space="0" w:color="auto"/>
        <w:bottom w:val="none" w:sz="0" w:space="0" w:color="auto"/>
        <w:right w:val="none" w:sz="0" w:space="0" w:color="auto"/>
      </w:divBdr>
    </w:div>
    <w:div w:id="782655104">
      <w:bodyDiv w:val="1"/>
      <w:marLeft w:val="0"/>
      <w:marRight w:val="0"/>
      <w:marTop w:val="0"/>
      <w:marBottom w:val="0"/>
      <w:divBdr>
        <w:top w:val="none" w:sz="0" w:space="0" w:color="auto"/>
        <w:left w:val="none" w:sz="0" w:space="0" w:color="auto"/>
        <w:bottom w:val="none" w:sz="0" w:space="0" w:color="auto"/>
        <w:right w:val="none" w:sz="0" w:space="0" w:color="auto"/>
      </w:divBdr>
    </w:div>
    <w:div w:id="782697016">
      <w:bodyDiv w:val="1"/>
      <w:marLeft w:val="0"/>
      <w:marRight w:val="0"/>
      <w:marTop w:val="0"/>
      <w:marBottom w:val="0"/>
      <w:divBdr>
        <w:top w:val="none" w:sz="0" w:space="0" w:color="auto"/>
        <w:left w:val="none" w:sz="0" w:space="0" w:color="auto"/>
        <w:bottom w:val="none" w:sz="0" w:space="0" w:color="auto"/>
        <w:right w:val="none" w:sz="0" w:space="0" w:color="auto"/>
      </w:divBdr>
    </w:div>
    <w:div w:id="782727186">
      <w:bodyDiv w:val="1"/>
      <w:marLeft w:val="0"/>
      <w:marRight w:val="0"/>
      <w:marTop w:val="0"/>
      <w:marBottom w:val="0"/>
      <w:divBdr>
        <w:top w:val="none" w:sz="0" w:space="0" w:color="auto"/>
        <w:left w:val="none" w:sz="0" w:space="0" w:color="auto"/>
        <w:bottom w:val="none" w:sz="0" w:space="0" w:color="auto"/>
        <w:right w:val="none" w:sz="0" w:space="0" w:color="auto"/>
      </w:divBdr>
    </w:div>
    <w:div w:id="782921711">
      <w:bodyDiv w:val="1"/>
      <w:marLeft w:val="0"/>
      <w:marRight w:val="0"/>
      <w:marTop w:val="0"/>
      <w:marBottom w:val="0"/>
      <w:divBdr>
        <w:top w:val="none" w:sz="0" w:space="0" w:color="auto"/>
        <w:left w:val="none" w:sz="0" w:space="0" w:color="auto"/>
        <w:bottom w:val="none" w:sz="0" w:space="0" w:color="auto"/>
        <w:right w:val="none" w:sz="0" w:space="0" w:color="auto"/>
      </w:divBdr>
    </w:div>
    <w:div w:id="782964740">
      <w:bodyDiv w:val="1"/>
      <w:marLeft w:val="0"/>
      <w:marRight w:val="0"/>
      <w:marTop w:val="0"/>
      <w:marBottom w:val="0"/>
      <w:divBdr>
        <w:top w:val="none" w:sz="0" w:space="0" w:color="auto"/>
        <w:left w:val="none" w:sz="0" w:space="0" w:color="auto"/>
        <w:bottom w:val="none" w:sz="0" w:space="0" w:color="auto"/>
        <w:right w:val="none" w:sz="0" w:space="0" w:color="auto"/>
      </w:divBdr>
    </w:div>
    <w:div w:id="783230053">
      <w:bodyDiv w:val="1"/>
      <w:marLeft w:val="0"/>
      <w:marRight w:val="0"/>
      <w:marTop w:val="0"/>
      <w:marBottom w:val="0"/>
      <w:divBdr>
        <w:top w:val="none" w:sz="0" w:space="0" w:color="auto"/>
        <w:left w:val="none" w:sz="0" w:space="0" w:color="auto"/>
        <w:bottom w:val="none" w:sz="0" w:space="0" w:color="auto"/>
        <w:right w:val="none" w:sz="0" w:space="0" w:color="auto"/>
      </w:divBdr>
    </w:div>
    <w:div w:id="783234933">
      <w:bodyDiv w:val="1"/>
      <w:marLeft w:val="0"/>
      <w:marRight w:val="0"/>
      <w:marTop w:val="0"/>
      <w:marBottom w:val="0"/>
      <w:divBdr>
        <w:top w:val="none" w:sz="0" w:space="0" w:color="auto"/>
        <w:left w:val="none" w:sz="0" w:space="0" w:color="auto"/>
        <w:bottom w:val="none" w:sz="0" w:space="0" w:color="auto"/>
        <w:right w:val="none" w:sz="0" w:space="0" w:color="auto"/>
      </w:divBdr>
    </w:div>
    <w:div w:id="783236752">
      <w:bodyDiv w:val="1"/>
      <w:marLeft w:val="0"/>
      <w:marRight w:val="0"/>
      <w:marTop w:val="0"/>
      <w:marBottom w:val="0"/>
      <w:divBdr>
        <w:top w:val="none" w:sz="0" w:space="0" w:color="auto"/>
        <w:left w:val="none" w:sz="0" w:space="0" w:color="auto"/>
        <w:bottom w:val="none" w:sz="0" w:space="0" w:color="auto"/>
        <w:right w:val="none" w:sz="0" w:space="0" w:color="auto"/>
      </w:divBdr>
    </w:div>
    <w:div w:id="783312206">
      <w:bodyDiv w:val="1"/>
      <w:marLeft w:val="0"/>
      <w:marRight w:val="0"/>
      <w:marTop w:val="0"/>
      <w:marBottom w:val="0"/>
      <w:divBdr>
        <w:top w:val="none" w:sz="0" w:space="0" w:color="auto"/>
        <w:left w:val="none" w:sz="0" w:space="0" w:color="auto"/>
        <w:bottom w:val="none" w:sz="0" w:space="0" w:color="auto"/>
        <w:right w:val="none" w:sz="0" w:space="0" w:color="auto"/>
      </w:divBdr>
    </w:div>
    <w:div w:id="783354515">
      <w:bodyDiv w:val="1"/>
      <w:marLeft w:val="0"/>
      <w:marRight w:val="0"/>
      <w:marTop w:val="0"/>
      <w:marBottom w:val="0"/>
      <w:divBdr>
        <w:top w:val="none" w:sz="0" w:space="0" w:color="auto"/>
        <w:left w:val="none" w:sz="0" w:space="0" w:color="auto"/>
        <w:bottom w:val="none" w:sz="0" w:space="0" w:color="auto"/>
        <w:right w:val="none" w:sz="0" w:space="0" w:color="auto"/>
      </w:divBdr>
    </w:div>
    <w:div w:id="783380736">
      <w:bodyDiv w:val="1"/>
      <w:marLeft w:val="0"/>
      <w:marRight w:val="0"/>
      <w:marTop w:val="0"/>
      <w:marBottom w:val="0"/>
      <w:divBdr>
        <w:top w:val="none" w:sz="0" w:space="0" w:color="auto"/>
        <w:left w:val="none" w:sz="0" w:space="0" w:color="auto"/>
        <w:bottom w:val="none" w:sz="0" w:space="0" w:color="auto"/>
        <w:right w:val="none" w:sz="0" w:space="0" w:color="auto"/>
      </w:divBdr>
    </w:div>
    <w:div w:id="783423122">
      <w:bodyDiv w:val="1"/>
      <w:marLeft w:val="0"/>
      <w:marRight w:val="0"/>
      <w:marTop w:val="0"/>
      <w:marBottom w:val="0"/>
      <w:divBdr>
        <w:top w:val="none" w:sz="0" w:space="0" w:color="auto"/>
        <w:left w:val="none" w:sz="0" w:space="0" w:color="auto"/>
        <w:bottom w:val="none" w:sz="0" w:space="0" w:color="auto"/>
        <w:right w:val="none" w:sz="0" w:space="0" w:color="auto"/>
      </w:divBdr>
    </w:div>
    <w:div w:id="783423585">
      <w:bodyDiv w:val="1"/>
      <w:marLeft w:val="0"/>
      <w:marRight w:val="0"/>
      <w:marTop w:val="0"/>
      <w:marBottom w:val="0"/>
      <w:divBdr>
        <w:top w:val="none" w:sz="0" w:space="0" w:color="auto"/>
        <w:left w:val="none" w:sz="0" w:space="0" w:color="auto"/>
        <w:bottom w:val="none" w:sz="0" w:space="0" w:color="auto"/>
        <w:right w:val="none" w:sz="0" w:space="0" w:color="auto"/>
      </w:divBdr>
    </w:div>
    <w:div w:id="783503527">
      <w:bodyDiv w:val="1"/>
      <w:marLeft w:val="0"/>
      <w:marRight w:val="0"/>
      <w:marTop w:val="0"/>
      <w:marBottom w:val="0"/>
      <w:divBdr>
        <w:top w:val="none" w:sz="0" w:space="0" w:color="auto"/>
        <w:left w:val="none" w:sz="0" w:space="0" w:color="auto"/>
        <w:bottom w:val="none" w:sz="0" w:space="0" w:color="auto"/>
        <w:right w:val="none" w:sz="0" w:space="0" w:color="auto"/>
      </w:divBdr>
    </w:div>
    <w:div w:id="783571979">
      <w:bodyDiv w:val="1"/>
      <w:marLeft w:val="0"/>
      <w:marRight w:val="0"/>
      <w:marTop w:val="0"/>
      <w:marBottom w:val="0"/>
      <w:divBdr>
        <w:top w:val="none" w:sz="0" w:space="0" w:color="auto"/>
        <w:left w:val="none" w:sz="0" w:space="0" w:color="auto"/>
        <w:bottom w:val="none" w:sz="0" w:space="0" w:color="auto"/>
        <w:right w:val="none" w:sz="0" w:space="0" w:color="auto"/>
      </w:divBdr>
    </w:div>
    <w:div w:id="783574767">
      <w:bodyDiv w:val="1"/>
      <w:marLeft w:val="0"/>
      <w:marRight w:val="0"/>
      <w:marTop w:val="0"/>
      <w:marBottom w:val="0"/>
      <w:divBdr>
        <w:top w:val="none" w:sz="0" w:space="0" w:color="auto"/>
        <w:left w:val="none" w:sz="0" w:space="0" w:color="auto"/>
        <w:bottom w:val="none" w:sz="0" w:space="0" w:color="auto"/>
        <w:right w:val="none" w:sz="0" w:space="0" w:color="auto"/>
      </w:divBdr>
    </w:div>
    <w:div w:id="783619522">
      <w:bodyDiv w:val="1"/>
      <w:marLeft w:val="0"/>
      <w:marRight w:val="0"/>
      <w:marTop w:val="0"/>
      <w:marBottom w:val="0"/>
      <w:divBdr>
        <w:top w:val="none" w:sz="0" w:space="0" w:color="auto"/>
        <w:left w:val="none" w:sz="0" w:space="0" w:color="auto"/>
        <w:bottom w:val="none" w:sz="0" w:space="0" w:color="auto"/>
        <w:right w:val="none" w:sz="0" w:space="0" w:color="auto"/>
      </w:divBdr>
    </w:div>
    <w:div w:id="783693594">
      <w:bodyDiv w:val="1"/>
      <w:marLeft w:val="0"/>
      <w:marRight w:val="0"/>
      <w:marTop w:val="0"/>
      <w:marBottom w:val="0"/>
      <w:divBdr>
        <w:top w:val="none" w:sz="0" w:space="0" w:color="auto"/>
        <w:left w:val="none" w:sz="0" w:space="0" w:color="auto"/>
        <w:bottom w:val="none" w:sz="0" w:space="0" w:color="auto"/>
        <w:right w:val="none" w:sz="0" w:space="0" w:color="auto"/>
      </w:divBdr>
    </w:div>
    <w:div w:id="783694330">
      <w:bodyDiv w:val="1"/>
      <w:marLeft w:val="0"/>
      <w:marRight w:val="0"/>
      <w:marTop w:val="0"/>
      <w:marBottom w:val="0"/>
      <w:divBdr>
        <w:top w:val="none" w:sz="0" w:space="0" w:color="auto"/>
        <w:left w:val="none" w:sz="0" w:space="0" w:color="auto"/>
        <w:bottom w:val="none" w:sz="0" w:space="0" w:color="auto"/>
        <w:right w:val="none" w:sz="0" w:space="0" w:color="auto"/>
      </w:divBdr>
    </w:div>
    <w:div w:id="783889168">
      <w:bodyDiv w:val="1"/>
      <w:marLeft w:val="0"/>
      <w:marRight w:val="0"/>
      <w:marTop w:val="0"/>
      <w:marBottom w:val="0"/>
      <w:divBdr>
        <w:top w:val="none" w:sz="0" w:space="0" w:color="auto"/>
        <w:left w:val="none" w:sz="0" w:space="0" w:color="auto"/>
        <w:bottom w:val="none" w:sz="0" w:space="0" w:color="auto"/>
        <w:right w:val="none" w:sz="0" w:space="0" w:color="auto"/>
      </w:divBdr>
    </w:div>
    <w:div w:id="783958435">
      <w:bodyDiv w:val="1"/>
      <w:marLeft w:val="0"/>
      <w:marRight w:val="0"/>
      <w:marTop w:val="0"/>
      <w:marBottom w:val="0"/>
      <w:divBdr>
        <w:top w:val="none" w:sz="0" w:space="0" w:color="auto"/>
        <w:left w:val="none" w:sz="0" w:space="0" w:color="auto"/>
        <w:bottom w:val="none" w:sz="0" w:space="0" w:color="auto"/>
        <w:right w:val="none" w:sz="0" w:space="0" w:color="auto"/>
      </w:divBdr>
    </w:div>
    <w:div w:id="784035388">
      <w:bodyDiv w:val="1"/>
      <w:marLeft w:val="0"/>
      <w:marRight w:val="0"/>
      <w:marTop w:val="0"/>
      <w:marBottom w:val="0"/>
      <w:divBdr>
        <w:top w:val="none" w:sz="0" w:space="0" w:color="auto"/>
        <w:left w:val="none" w:sz="0" w:space="0" w:color="auto"/>
        <w:bottom w:val="none" w:sz="0" w:space="0" w:color="auto"/>
        <w:right w:val="none" w:sz="0" w:space="0" w:color="auto"/>
      </w:divBdr>
    </w:div>
    <w:div w:id="784077261">
      <w:bodyDiv w:val="1"/>
      <w:marLeft w:val="0"/>
      <w:marRight w:val="0"/>
      <w:marTop w:val="0"/>
      <w:marBottom w:val="0"/>
      <w:divBdr>
        <w:top w:val="none" w:sz="0" w:space="0" w:color="auto"/>
        <w:left w:val="none" w:sz="0" w:space="0" w:color="auto"/>
        <w:bottom w:val="none" w:sz="0" w:space="0" w:color="auto"/>
        <w:right w:val="none" w:sz="0" w:space="0" w:color="auto"/>
      </w:divBdr>
    </w:div>
    <w:div w:id="784077551">
      <w:bodyDiv w:val="1"/>
      <w:marLeft w:val="0"/>
      <w:marRight w:val="0"/>
      <w:marTop w:val="0"/>
      <w:marBottom w:val="0"/>
      <w:divBdr>
        <w:top w:val="none" w:sz="0" w:space="0" w:color="auto"/>
        <w:left w:val="none" w:sz="0" w:space="0" w:color="auto"/>
        <w:bottom w:val="none" w:sz="0" w:space="0" w:color="auto"/>
        <w:right w:val="none" w:sz="0" w:space="0" w:color="auto"/>
      </w:divBdr>
    </w:div>
    <w:div w:id="784229349">
      <w:bodyDiv w:val="1"/>
      <w:marLeft w:val="0"/>
      <w:marRight w:val="0"/>
      <w:marTop w:val="0"/>
      <w:marBottom w:val="0"/>
      <w:divBdr>
        <w:top w:val="none" w:sz="0" w:space="0" w:color="auto"/>
        <w:left w:val="none" w:sz="0" w:space="0" w:color="auto"/>
        <w:bottom w:val="none" w:sz="0" w:space="0" w:color="auto"/>
        <w:right w:val="none" w:sz="0" w:space="0" w:color="auto"/>
      </w:divBdr>
    </w:div>
    <w:div w:id="784231556">
      <w:bodyDiv w:val="1"/>
      <w:marLeft w:val="0"/>
      <w:marRight w:val="0"/>
      <w:marTop w:val="0"/>
      <w:marBottom w:val="0"/>
      <w:divBdr>
        <w:top w:val="none" w:sz="0" w:space="0" w:color="auto"/>
        <w:left w:val="none" w:sz="0" w:space="0" w:color="auto"/>
        <w:bottom w:val="none" w:sz="0" w:space="0" w:color="auto"/>
        <w:right w:val="none" w:sz="0" w:space="0" w:color="auto"/>
      </w:divBdr>
    </w:div>
    <w:div w:id="784426387">
      <w:bodyDiv w:val="1"/>
      <w:marLeft w:val="0"/>
      <w:marRight w:val="0"/>
      <w:marTop w:val="0"/>
      <w:marBottom w:val="0"/>
      <w:divBdr>
        <w:top w:val="none" w:sz="0" w:space="0" w:color="auto"/>
        <w:left w:val="none" w:sz="0" w:space="0" w:color="auto"/>
        <w:bottom w:val="none" w:sz="0" w:space="0" w:color="auto"/>
        <w:right w:val="none" w:sz="0" w:space="0" w:color="auto"/>
      </w:divBdr>
    </w:div>
    <w:div w:id="784471574">
      <w:bodyDiv w:val="1"/>
      <w:marLeft w:val="0"/>
      <w:marRight w:val="0"/>
      <w:marTop w:val="0"/>
      <w:marBottom w:val="0"/>
      <w:divBdr>
        <w:top w:val="none" w:sz="0" w:space="0" w:color="auto"/>
        <w:left w:val="none" w:sz="0" w:space="0" w:color="auto"/>
        <w:bottom w:val="none" w:sz="0" w:space="0" w:color="auto"/>
        <w:right w:val="none" w:sz="0" w:space="0" w:color="auto"/>
      </w:divBdr>
    </w:div>
    <w:div w:id="784543510">
      <w:bodyDiv w:val="1"/>
      <w:marLeft w:val="0"/>
      <w:marRight w:val="0"/>
      <w:marTop w:val="0"/>
      <w:marBottom w:val="0"/>
      <w:divBdr>
        <w:top w:val="none" w:sz="0" w:space="0" w:color="auto"/>
        <w:left w:val="none" w:sz="0" w:space="0" w:color="auto"/>
        <w:bottom w:val="none" w:sz="0" w:space="0" w:color="auto"/>
        <w:right w:val="none" w:sz="0" w:space="0" w:color="auto"/>
      </w:divBdr>
    </w:div>
    <w:div w:id="784693914">
      <w:bodyDiv w:val="1"/>
      <w:marLeft w:val="0"/>
      <w:marRight w:val="0"/>
      <w:marTop w:val="0"/>
      <w:marBottom w:val="0"/>
      <w:divBdr>
        <w:top w:val="none" w:sz="0" w:space="0" w:color="auto"/>
        <w:left w:val="none" w:sz="0" w:space="0" w:color="auto"/>
        <w:bottom w:val="none" w:sz="0" w:space="0" w:color="auto"/>
        <w:right w:val="none" w:sz="0" w:space="0" w:color="auto"/>
      </w:divBdr>
    </w:div>
    <w:div w:id="784694531">
      <w:bodyDiv w:val="1"/>
      <w:marLeft w:val="0"/>
      <w:marRight w:val="0"/>
      <w:marTop w:val="0"/>
      <w:marBottom w:val="0"/>
      <w:divBdr>
        <w:top w:val="none" w:sz="0" w:space="0" w:color="auto"/>
        <w:left w:val="none" w:sz="0" w:space="0" w:color="auto"/>
        <w:bottom w:val="none" w:sz="0" w:space="0" w:color="auto"/>
        <w:right w:val="none" w:sz="0" w:space="0" w:color="auto"/>
      </w:divBdr>
    </w:div>
    <w:div w:id="784882199">
      <w:bodyDiv w:val="1"/>
      <w:marLeft w:val="0"/>
      <w:marRight w:val="0"/>
      <w:marTop w:val="0"/>
      <w:marBottom w:val="0"/>
      <w:divBdr>
        <w:top w:val="none" w:sz="0" w:space="0" w:color="auto"/>
        <w:left w:val="none" w:sz="0" w:space="0" w:color="auto"/>
        <w:bottom w:val="none" w:sz="0" w:space="0" w:color="auto"/>
        <w:right w:val="none" w:sz="0" w:space="0" w:color="auto"/>
      </w:divBdr>
    </w:div>
    <w:div w:id="785076538">
      <w:bodyDiv w:val="1"/>
      <w:marLeft w:val="0"/>
      <w:marRight w:val="0"/>
      <w:marTop w:val="0"/>
      <w:marBottom w:val="0"/>
      <w:divBdr>
        <w:top w:val="none" w:sz="0" w:space="0" w:color="auto"/>
        <w:left w:val="none" w:sz="0" w:space="0" w:color="auto"/>
        <w:bottom w:val="none" w:sz="0" w:space="0" w:color="auto"/>
        <w:right w:val="none" w:sz="0" w:space="0" w:color="auto"/>
      </w:divBdr>
    </w:div>
    <w:div w:id="785083619">
      <w:bodyDiv w:val="1"/>
      <w:marLeft w:val="0"/>
      <w:marRight w:val="0"/>
      <w:marTop w:val="0"/>
      <w:marBottom w:val="0"/>
      <w:divBdr>
        <w:top w:val="none" w:sz="0" w:space="0" w:color="auto"/>
        <w:left w:val="none" w:sz="0" w:space="0" w:color="auto"/>
        <w:bottom w:val="none" w:sz="0" w:space="0" w:color="auto"/>
        <w:right w:val="none" w:sz="0" w:space="0" w:color="auto"/>
      </w:divBdr>
    </w:div>
    <w:div w:id="785121742">
      <w:bodyDiv w:val="1"/>
      <w:marLeft w:val="0"/>
      <w:marRight w:val="0"/>
      <w:marTop w:val="0"/>
      <w:marBottom w:val="0"/>
      <w:divBdr>
        <w:top w:val="none" w:sz="0" w:space="0" w:color="auto"/>
        <w:left w:val="none" w:sz="0" w:space="0" w:color="auto"/>
        <w:bottom w:val="none" w:sz="0" w:space="0" w:color="auto"/>
        <w:right w:val="none" w:sz="0" w:space="0" w:color="auto"/>
      </w:divBdr>
    </w:div>
    <w:div w:id="785126919">
      <w:bodyDiv w:val="1"/>
      <w:marLeft w:val="0"/>
      <w:marRight w:val="0"/>
      <w:marTop w:val="0"/>
      <w:marBottom w:val="0"/>
      <w:divBdr>
        <w:top w:val="none" w:sz="0" w:space="0" w:color="auto"/>
        <w:left w:val="none" w:sz="0" w:space="0" w:color="auto"/>
        <w:bottom w:val="none" w:sz="0" w:space="0" w:color="auto"/>
        <w:right w:val="none" w:sz="0" w:space="0" w:color="auto"/>
      </w:divBdr>
    </w:div>
    <w:div w:id="785152443">
      <w:bodyDiv w:val="1"/>
      <w:marLeft w:val="0"/>
      <w:marRight w:val="0"/>
      <w:marTop w:val="0"/>
      <w:marBottom w:val="0"/>
      <w:divBdr>
        <w:top w:val="none" w:sz="0" w:space="0" w:color="auto"/>
        <w:left w:val="none" w:sz="0" w:space="0" w:color="auto"/>
        <w:bottom w:val="none" w:sz="0" w:space="0" w:color="auto"/>
        <w:right w:val="none" w:sz="0" w:space="0" w:color="auto"/>
      </w:divBdr>
    </w:div>
    <w:div w:id="785273829">
      <w:bodyDiv w:val="1"/>
      <w:marLeft w:val="0"/>
      <w:marRight w:val="0"/>
      <w:marTop w:val="0"/>
      <w:marBottom w:val="0"/>
      <w:divBdr>
        <w:top w:val="none" w:sz="0" w:space="0" w:color="auto"/>
        <w:left w:val="none" w:sz="0" w:space="0" w:color="auto"/>
        <w:bottom w:val="none" w:sz="0" w:space="0" w:color="auto"/>
        <w:right w:val="none" w:sz="0" w:space="0" w:color="auto"/>
      </w:divBdr>
    </w:div>
    <w:div w:id="785390080">
      <w:bodyDiv w:val="1"/>
      <w:marLeft w:val="0"/>
      <w:marRight w:val="0"/>
      <w:marTop w:val="0"/>
      <w:marBottom w:val="0"/>
      <w:divBdr>
        <w:top w:val="none" w:sz="0" w:space="0" w:color="auto"/>
        <w:left w:val="none" w:sz="0" w:space="0" w:color="auto"/>
        <w:bottom w:val="none" w:sz="0" w:space="0" w:color="auto"/>
        <w:right w:val="none" w:sz="0" w:space="0" w:color="auto"/>
      </w:divBdr>
    </w:div>
    <w:div w:id="785393227">
      <w:bodyDiv w:val="1"/>
      <w:marLeft w:val="0"/>
      <w:marRight w:val="0"/>
      <w:marTop w:val="0"/>
      <w:marBottom w:val="0"/>
      <w:divBdr>
        <w:top w:val="none" w:sz="0" w:space="0" w:color="auto"/>
        <w:left w:val="none" w:sz="0" w:space="0" w:color="auto"/>
        <w:bottom w:val="none" w:sz="0" w:space="0" w:color="auto"/>
        <w:right w:val="none" w:sz="0" w:space="0" w:color="auto"/>
      </w:divBdr>
    </w:div>
    <w:div w:id="785656383">
      <w:bodyDiv w:val="1"/>
      <w:marLeft w:val="0"/>
      <w:marRight w:val="0"/>
      <w:marTop w:val="0"/>
      <w:marBottom w:val="0"/>
      <w:divBdr>
        <w:top w:val="none" w:sz="0" w:space="0" w:color="auto"/>
        <w:left w:val="none" w:sz="0" w:space="0" w:color="auto"/>
        <w:bottom w:val="none" w:sz="0" w:space="0" w:color="auto"/>
        <w:right w:val="none" w:sz="0" w:space="0" w:color="auto"/>
      </w:divBdr>
    </w:div>
    <w:div w:id="785658412">
      <w:bodyDiv w:val="1"/>
      <w:marLeft w:val="0"/>
      <w:marRight w:val="0"/>
      <w:marTop w:val="0"/>
      <w:marBottom w:val="0"/>
      <w:divBdr>
        <w:top w:val="none" w:sz="0" w:space="0" w:color="auto"/>
        <w:left w:val="none" w:sz="0" w:space="0" w:color="auto"/>
        <w:bottom w:val="none" w:sz="0" w:space="0" w:color="auto"/>
        <w:right w:val="none" w:sz="0" w:space="0" w:color="auto"/>
      </w:divBdr>
    </w:div>
    <w:div w:id="785734625">
      <w:bodyDiv w:val="1"/>
      <w:marLeft w:val="0"/>
      <w:marRight w:val="0"/>
      <w:marTop w:val="0"/>
      <w:marBottom w:val="0"/>
      <w:divBdr>
        <w:top w:val="none" w:sz="0" w:space="0" w:color="auto"/>
        <w:left w:val="none" w:sz="0" w:space="0" w:color="auto"/>
        <w:bottom w:val="none" w:sz="0" w:space="0" w:color="auto"/>
        <w:right w:val="none" w:sz="0" w:space="0" w:color="auto"/>
      </w:divBdr>
    </w:div>
    <w:div w:id="785738908">
      <w:bodyDiv w:val="1"/>
      <w:marLeft w:val="0"/>
      <w:marRight w:val="0"/>
      <w:marTop w:val="0"/>
      <w:marBottom w:val="0"/>
      <w:divBdr>
        <w:top w:val="none" w:sz="0" w:space="0" w:color="auto"/>
        <w:left w:val="none" w:sz="0" w:space="0" w:color="auto"/>
        <w:bottom w:val="none" w:sz="0" w:space="0" w:color="auto"/>
        <w:right w:val="none" w:sz="0" w:space="0" w:color="auto"/>
      </w:divBdr>
    </w:div>
    <w:div w:id="785777140">
      <w:bodyDiv w:val="1"/>
      <w:marLeft w:val="0"/>
      <w:marRight w:val="0"/>
      <w:marTop w:val="0"/>
      <w:marBottom w:val="0"/>
      <w:divBdr>
        <w:top w:val="none" w:sz="0" w:space="0" w:color="auto"/>
        <w:left w:val="none" w:sz="0" w:space="0" w:color="auto"/>
        <w:bottom w:val="none" w:sz="0" w:space="0" w:color="auto"/>
        <w:right w:val="none" w:sz="0" w:space="0" w:color="auto"/>
      </w:divBdr>
    </w:div>
    <w:div w:id="785853719">
      <w:bodyDiv w:val="1"/>
      <w:marLeft w:val="0"/>
      <w:marRight w:val="0"/>
      <w:marTop w:val="0"/>
      <w:marBottom w:val="0"/>
      <w:divBdr>
        <w:top w:val="none" w:sz="0" w:space="0" w:color="auto"/>
        <w:left w:val="none" w:sz="0" w:space="0" w:color="auto"/>
        <w:bottom w:val="none" w:sz="0" w:space="0" w:color="auto"/>
        <w:right w:val="none" w:sz="0" w:space="0" w:color="auto"/>
      </w:divBdr>
    </w:div>
    <w:div w:id="786319727">
      <w:bodyDiv w:val="1"/>
      <w:marLeft w:val="0"/>
      <w:marRight w:val="0"/>
      <w:marTop w:val="0"/>
      <w:marBottom w:val="0"/>
      <w:divBdr>
        <w:top w:val="none" w:sz="0" w:space="0" w:color="auto"/>
        <w:left w:val="none" w:sz="0" w:space="0" w:color="auto"/>
        <w:bottom w:val="none" w:sz="0" w:space="0" w:color="auto"/>
        <w:right w:val="none" w:sz="0" w:space="0" w:color="auto"/>
      </w:divBdr>
    </w:div>
    <w:div w:id="786433933">
      <w:bodyDiv w:val="1"/>
      <w:marLeft w:val="0"/>
      <w:marRight w:val="0"/>
      <w:marTop w:val="0"/>
      <w:marBottom w:val="0"/>
      <w:divBdr>
        <w:top w:val="none" w:sz="0" w:space="0" w:color="auto"/>
        <w:left w:val="none" w:sz="0" w:space="0" w:color="auto"/>
        <w:bottom w:val="none" w:sz="0" w:space="0" w:color="auto"/>
        <w:right w:val="none" w:sz="0" w:space="0" w:color="auto"/>
      </w:divBdr>
    </w:div>
    <w:div w:id="786434364">
      <w:bodyDiv w:val="1"/>
      <w:marLeft w:val="0"/>
      <w:marRight w:val="0"/>
      <w:marTop w:val="0"/>
      <w:marBottom w:val="0"/>
      <w:divBdr>
        <w:top w:val="none" w:sz="0" w:space="0" w:color="auto"/>
        <w:left w:val="none" w:sz="0" w:space="0" w:color="auto"/>
        <w:bottom w:val="none" w:sz="0" w:space="0" w:color="auto"/>
        <w:right w:val="none" w:sz="0" w:space="0" w:color="auto"/>
      </w:divBdr>
    </w:div>
    <w:div w:id="786511548">
      <w:bodyDiv w:val="1"/>
      <w:marLeft w:val="0"/>
      <w:marRight w:val="0"/>
      <w:marTop w:val="0"/>
      <w:marBottom w:val="0"/>
      <w:divBdr>
        <w:top w:val="none" w:sz="0" w:space="0" w:color="auto"/>
        <w:left w:val="none" w:sz="0" w:space="0" w:color="auto"/>
        <w:bottom w:val="none" w:sz="0" w:space="0" w:color="auto"/>
        <w:right w:val="none" w:sz="0" w:space="0" w:color="auto"/>
      </w:divBdr>
    </w:div>
    <w:div w:id="786584205">
      <w:bodyDiv w:val="1"/>
      <w:marLeft w:val="0"/>
      <w:marRight w:val="0"/>
      <w:marTop w:val="0"/>
      <w:marBottom w:val="0"/>
      <w:divBdr>
        <w:top w:val="none" w:sz="0" w:space="0" w:color="auto"/>
        <w:left w:val="none" w:sz="0" w:space="0" w:color="auto"/>
        <w:bottom w:val="none" w:sz="0" w:space="0" w:color="auto"/>
        <w:right w:val="none" w:sz="0" w:space="0" w:color="auto"/>
      </w:divBdr>
    </w:div>
    <w:div w:id="786773767">
      <w:bodyDiv w:val="1"/>
      <w:marLeft w:val="0"/>
      <w:marRight w:val="0"/>
      <w:marTop w:val="0"/>
      <w:marBottom w:val="0"/>
      <w:divBdr>
        <w:top w:val="none" w:sz="0" w:space="0" w:color="auto"/>
        <w:left w:val="none" w:sz="0" w:space="0" w:color="auto"/>
        <w:bottom w:val="none" w:sz="0" w:space="0" w:color="auto"/>
        <w:right w:val="none" w:sz="0" w:space="0" w:color="auto"/>
      </w:divBdr>
    </w:div>
    <w:div w:id="786778131">
      <w:bodyDiv w:val="1"/>
      <w:marLeft w:val="0"/>
      <w:marRight w:val="0"/>
      <w:marTop w:val="0"/>
      <w:marBottom w:val="0"/>
      <w:divBdr>
        <w:top w:val="none" w:sz="0" w:space="0" w:color="auto"/>
        <w:left w:val="none" w:sz="0" w:space="0" w:color="auto"/>
        <w:bottom w:val="none" w:sz="0" w:space="0" w:color="auto"/>
        <w:right w:val="none" w:sz="0" w:space="0" w:color="auto"/>
      </w:divBdr>
    </w:div>
    <w:div w:id="786853000">
      <w:bodyDiv w:val="1"/>
      <w:marLeft w:val="0"/>
      <w:marRight w:val="0"/>
      <w:marTop w:val="0"/>
      <w:marBottom w:val="0"/>
      <w:divBdr>
        <w:top w:val="none" w:sz="0" w:space="0" w:color="auto"/>
        <w:left w:val="none" w:sz="0" w:space="0" w:color="auto"/>
        <w:bottom w:val="none" w:sz="0" w:space="0" w:color="auto"/>
        <w:right w:val="none" w:sz="0" w:space="0" w:color="auto"/>
      </w:divBdr>
    </w:div>
    <w:div w:id="786892887">
      <w:bodyDiv w:val="1"/>
      <w:marLeft w:val="0"/>
      <w:marRight w:val="0"/>
      <w:marTop w:val="0"/>
      <w:marBottom w:val="0"/>
      <w:divBdr>
        <w:top w:val="none" w:sz="0" w:space="0" w:color="auto"/>
        <w:left w:val="none" w:sz="0" w:space="0" w:color="auto"/>
        <w:bottom w:val="none" w:sz="0" w:space="0" w:color="auto"/>
        <w:right w:val="none" w:sz="0" w:space="0" w:color="auto"/>
      </w:divBdr>
    </w:div>
    <w:div w:id="787041885">
      <w:bodyDiv w:val="1"/>
      <w:marLeft w:val="0"/>
      <w:marRight w:val="0"/>
      <w:marTop w:val="0"/>
      <w:marBottom w:val="0"/>
      <w:divBdr>
        <w:top w:val="none" w:sz="0" w:space="0" w:color="auto"/>
        <w:left w:val="none" w:sz="0" w:space="0" w:color="auto"/>
        <w:bottom w:val="none" w:sz="0" w:space="0" w:color="auto"/>
        <w:right w:val="none" w:sz="0" w:space="0" w:color="auto"/>
      </w:divBdr>
    </w:div>
    <w:div w:id="787234214">
      <w:bodyDiv w:val="1"/>
      <w:marLeft w:val="0"/>
      <w:marRight w:val="0"/>
      <w:marTop w:val="0"/>
      <w:marBottom w:val="0"/>
      <w:divBdr>
        <w:top w:val="none" w:sz="0" w:space="0" w:color="auto"/>
        <w:left w:val="none" w:sz="0" w:space="0" w:color="auto"/>
        <w:bottom w:val="none" w:sz="0" w:space="0" w:color="auto"/>
        <w:right w:val="none" w:sz="0" w:space="0" w:color="auto"/>
      </w:divBdr>
    </w:div>
    <w:div w:id="787236827">
      <w:bodyDiv w:val="1"/>
      <w:marLeft w:val="0"/>
      <w:marRight w:val="0"/>
      <w:marTop w:val="0"/>
      <w:marBottom w:val="0"/>
      <w:divBdr>
        <w:top w:val="none" w:sz="0" w:space="0" w:color="auto"/>
        <w:left w:val="none" w:sz="0" w:space="0" w:color="auto"/>
        <w:bottom w:val="none" w:sz="0" w:space="0" w:color="auto"/>
        <w:right w:val="none" w:sz="0" w:space="0" w:color="auto"/>
      </w:divBdr>
    </w:div>
    <w:div w:id="787239897">
      <w:bodyDiv w:val="1"/>
      <w:marLeft w:val="0"/>
      <w:marRight w:val="0"/>
      <w:marTop w:val="0"/>
      <w:marBottom w:val="0"/>
      <w:divBdr>
        <w:top w:val="none" w:sz="0" w:space="0" w:color="auto"/>
        <w:left w:val="none" w:sz="0" w:space="0" w:color="auto"/>
        <w:bottom w:val="none" w:sz="0" w:space="0" w:color="auto"/>
        <w:right w:val="none" w:sz="0" w:space="0" w:color="auto"/>
      </w:divBdr>
    </w:div>
    <w:div w:id="787240041">
      <w:bodyDiv w:val="1"/>
      <w:marLeft w:val="0"/>
      <w:marRight w:val="0"/>
      <w:marTop w:val="0"/>
      <w:marBottom w:val="0"/>
      <w:divBdr>
        <w:top w:val="none" w:sz="0" w:space="0" w:color="auto"/>
        <w:left w:val="none" w:sz="0" w:space="0" w:color="auto"/>
        <w:bottom w:val="none" w:sz="0" w:space="0" w:color="auto"/>
        <w:right w:val="none" w:sz="0" w:space="0" w:color="auto"/>
      </w:divBdr>
    </w:div>
    <w:div w:id="787311185">
      <w:bodyDiv w:val="1"/>
      <w:marLeft w:val="0"/>
      <w:marRight w:val="0"/>
      <w:marTop w:val="0"/>
      <w:marBottom w:val="0"/>
      <w:divBdr>
        <w:top w:val="none" w:sz="0" w:space="0" w:color="auto"/>
        <w:left w:val="none" w:sz="0" w:space="0" w:color="auto"/>
        <w:bottom w:val="none" w:sz="0" w:space="0" w:color="auto"/>
        <w:right w:val="none" w:sz="0" w:space="0" w:color="auto"/>
      </w:divBdr>
    </w:div>
    <w:div w:id="787316059">
      <w:bodyDiv w:val="1"/>
      <w:marLeft w:val="0"/>
      <w:marRight w:val="0"/>
      <w:marTop w:val="0"/>
      <w:marBottom w:val="0"/>
      <w:divBdr>
        <w:top w:val="none" w:sz="0" w:space="0" w:color="auto"/>
        <w:left w:val="none" w:sz="0" w:space="0" w:color="auto"/>
        <w:bottom w:val="none" w:sz="0" w:space="0" w:color="auto"/>
        <w:right w:val="none" w:sz="0" w:space="0" w:color="auto"/>
      </w:divBdr>
    </w:div>
    <w:div w:id="787361244">
      <w:bodyDiv w:val="1"/>
      <w:marLeft w:val="0"/>
      <w:marRight w:val="0"/>
      <w:marTop w:val="0"/>
      <w:marBottom w:val="0"/>
      <w:divBdr>
        <w:top w:val="none" w:sz="0" w:space="0" w:color="auto"/>
        <w:left w:val="none" w:sz="0" w:space="0" w:color="auto"/>
        <w:bottom w:val="none" w:sz="0" w:space="0" w:color="auto"/>
        <w:right w:val="none" w:sz="0" w:space="0" w:color="auto"/>
      </w:divBdr>
    </w:div>
    <w:div w:id="787552319">
      <w:bodyDiv w:val="1"/>
      <w:marLeft w:val="0"/>
      <w:marRight w:val="0"/>
      <w:marTop w:val="0"/>
      <w:marBottom w:val="0"/>
      <w:divBdr>
        <w:top w:val="none" w:sz="0" w:space="0" w:color="auto"/>
        <w:left w:val="none" w:sz="0" w:space="0" w:color="auto"/>
        <w:bottom w:val="none" w:sz="0" w:space="0" w:color="auto"/>
        <w:right w:val="none" w:sz="0" w:space="0" w:color="auto"/>
      </w:divBdr>
    </w:div>
    <w:div w:id="787554665">
      <w:bodyDiv w:val="1"/>
      <w:marLeft w:val="0"/>
      <w:marRight w:val="0"/>
      <w:marTop w:val="0"/>
      <w:marBottom w:val="0"/>
      <w:divBdr>
        <w:top w:val="none" w:sz="0" w:space="0" w:color="auto"/>
        <w:left w:val="none" w:sz="0" w:space="0" w:color="auto"/>
        <w:bottom w:val="none" w:sz="0" w:space="0" w:color="auto"/>
        <w:right w:val="none" w:sz="0" w:space="0" w:color="auto"/>
      </w:divBdr>
    </w:div>
    <w:div w:id="787623087">
      <w:bodyDiv w:val="1"/>
      <w:marLeft w:val="0"/>
      <w:marRight w:val="0"/>
      <w:marTop w:val="0"/>
      <w:marBottom w:val="0"/>
      <w:divBdr>
        <w:top w:val="none" w:sz="0" w:space="0" w:color="auto"/>
        <w:left w:val="none" w:sz="0" w:space="0" w:color="auto"/>
        <w:bottom w:val="none" w:sz="0" w:space="0" w:color="auto"/>
        <w:right w:val="none" w:sz="0" w:space="0" w:color="auto"/>
      </w:divBdr>
    </w:div>
    <w:div w:id="787746886">
      <w:bodyDiv w:val="1"/>
      <w:marLeft w:val="0"/>
      <w:marRight w:val="0"/>
      <w:marTop w:val="0"/>
      <w:marBottom w:val="0"/>
      <w:divBdr>
        <w:top w:val="none" w:sz="0" w:space="0" w:color="auto"/>
        <w:left w:val="none" w:sz="0" w:space="0" w:color="auto"/>
        <w:bottom w:val="none" w:sz="0" w:space="0" w:color="auto"/>
        <w:right w:val="none" w:sz="0" w:space="0" w:color="auto"/>
      </w:divBdr>
    </w:div>
    <w:div w:id="787746934">
      <w:bodyDiv w:val="1"/>
      <w:marLeft w:val="0"/>
      <w:marRight w:val="0"/>
      <w:marTop w:val="0"/>
      <w:marBottom w:val="0"/>
      <w:divBdr>
        <w:top w:val="none" w:sz="0" w:space="0" w:color="auto"/>
        <w:left w:val="none" w:sz="0" w:space="0" w:color="auto"/>
        <w:bottom w:val="none" w:sz="0" w:space="0" w:color="auto"/>
        <w:right w:val="none" w:sz="0" w:space="0" w:color="auto"/>
      </w:divBdr>
    </w:div>
    <w:div w:id="787748134">
      <w:bodyDiv w:val="1"/>
      <w:marLeft w:val="0"/>
      <w:marRight w:val="0"/>
      <w:marTop w:val="0"/>
      <w:marBottom w:val="0"/>
      <w:divBdr>
        <w:top w:val="none" w:sz="0" w:space="0" w:color="auto"/>
        <w:left w:val="none" w:sz="0" w:space="0" w:color="auto"/>
        <w:bottom w:val="none" w:sz="0" w:space="0" w:color="auto"/>
        <w:right w:val="none" w:sz="0" w:space="0" w:color="auto"/>
      </w:divBdr>
    </w:div>
    <w:div w:id="787820290">
      <w:bodyDiv w:val="1"/>
      <w:marLeft w:val="0"/>
      <w:marRight w:val="0"/>
      <w:marTop w:val="0"/>
      <w:marBottom w:val="0"/>
      <w:divBdr>
        <w:top w:val="none" w:sz="0" w:space="0" w:color="auto"/>
        <w:left w:val="none" w:sz="0" w:space="0" w:color="auto"/>
        <w:bottom w:val="none" w:sz="0" w:space="0" w:color="auto"/>
        <w:right w:val="none" w:sz="0" w:space="0" w:color="auto"/>
      </w:divBdr>
    </w:div>
    <w:div w:id="787823205">
      <w:bodyDiv w:val="1"/>
      <w:marLeft w:val="0"/>
      <w:marRight w:val="0"/>
      <w:marTop w:val="0"/>
      <w:marBottom w:val="0"/>
      <w:divBdr>
        <w:top w:val="none" w:sz="0" w:space="0" w:color="auto"/>
        <w:left w:val="none" w:sz="0" w:space="0" w:color="auto"/>
        <w:bottom w:val="none" w:sz="0" w:space="0" w:color="auto"/>
        <w:right w:val="none" w:sz="0" w:space="0" w:color="auto"/>
      </w:divBdr>
    </w:div>
    <w:div w:id="787823418">
      <w:bodyDiv w:val="1"/>
      <w:marLeft w:val="0"/>
      <w:marRight w:val="0"/>
      <w:marTop w:val="0"/>
      <w:marBottom w:val="0"/>
      <w:divBdr>
        <w:top w:val="none" w:sz="0" w:space="0" w:color="auto"/>
        <w:left w:val="none" w:sz="0" w:space="0" w:color="auto"/>
        <w:bottom w:val="none" w:sz="0" w:space="0" w:color="auto"/>
        <w:right w:val="none" w:sz="0" w:space="0" w:color="auto"/>
      </w:divBdr>
    </w:div>
    <w:div w:id="788084626">
      <w:bodyDiv w:val="1"/>
      <w:marLeft w:val="0"/>
      <w:marRight w:val="0"/>
      <w:marTop w:val="0"/>
      <w:marBottom w:val="0"/>
      <w:divBdr>
        <w:top w:val="none" w:sz="0" w:space="0" w:color="auto"/>
        <w:left w:val="none" w:sz="0" w:space="0" w:color="auto"/>
        <w:bottom w:val="none" w:sz="0" w:space="0" w:color="auto"/>
        <w:right w:val="none" w:sz="0" w:space="0" w:color="auto"/>
      </w:divBdr>
    </w:div>
    <w:div w:id="788164060">
      <w:bodyDiv w:val="1"/>
      <w:marLeft w:val="0"/>
      <w:marRight w:val="0"/>
      <w:marTop w:val="0"/>
      <w:marBottom w:val="0"/>
      <w:divBdr>
        <w:top w:val="none" w:sz="0" w:space="0" w:color="auto"/>
        <w:left w:val="none" w:sz="0" w:space="0" w:color="auto"/>
        <w:bottom w:val="none" w:sz="0" w:space="0" w:color="auto"/>
        <w:right w:val="none" w:sz="0" w:space="0" w:color="auto"/>
      </w:divBdr>
    </w:div>
    <w:div w:id="788203801">
      <w:bodyDiv w:val="1"/>
      <w:marLeft w:val="0"/>
      <w:marRight w:val="0"/>
      <w:marTop w:val="0"/>
      <w:marBottom w:val="0"/>
      <w:divBdr>
        <w:top w:val="none" w:sz="0" w:space="0" w:color="auto"/>
        <w:left w:val="none" w:sz="0" w:space="0" w:color="auto"/>
        <w:bottom w:val="none" w:sz="0" w:space="0" w:color="auto"/>
        <w:right w:val="none" w:sz="0" w:space="0" w:color="auto"/>
      </w:divBdr>
    </w:div>
    <w:div w:id="788399146">
      <w:bodyDiv w:val="1"/>
      <w:marLeft w:val="0"/>
      <w:marRight w:val="0"/>
      <w:marTop w:val="0"/>
      <w:marBottom w:val="0"/>
      <w:divBdr>
        <w:top w:val="none" w:sz="0" w:space="0" w:color="auto"/>
        <w:left w:val="none" w:sz="0" w:space="0" w:color="auto"/>
        <w:bottom w:val="none" w:sz="0" w:space="0" w:color="auto"/>
        <w:right w:val="none" w:sz="0" w:space="0" w:color="auto"/>
      </w:divBdr>
    </w:div>
    <w:div w:id="788403181">
      <w:bodyDiv w:val="1"/>
      <w:marLeft w:val="0"/>
      <w:marRight w:val="0"/>
      <w:marTop w:val="0"/>
      <w:marBottom w:val="0"/>
      <w:divBdr>
        <w:top w:val="none" w:sz="0" w:space="0" w:color="auto"/>
        <w:left w:val="none" w:sz="0" w:space="0" w:color="auto"/>
        <w:bottom w:val="none" w:sz="0" w:space="0" w:color="auto"/>
        <w:right w:val="none" w:sz="0" w:space="0" w:color="auto"/>
      </w:divBdr>
    </w:div>
    <w:div w:id="788544889">
      <w:bodyDiv w:val="1"/>
      <w:marLeft w:val="0"/>
      <w:marRight w:val="0"/>
      <w:marTop w:val="0"/>
      <w:marBottom w:val="0"/>
      <w:divBdr>
        <w:top w:val="none" w:sz="0" w:space="0" w:color="auto"/>
        <w:left w:val="none" w:sz="0" w:space="0" w:color="auto"/>
        <w:bottom w:val="none" w:sz="0" w:space="0" w:color="auto"/>
        <w:right w:val="none" w:sz="0" w:space="0" w:color="auto"/>
      </w:divBdr>
    </w:div>
    <w:div w:id="788627143">
      <w:bodyDiv w:val="1"/>
      <w:marLeft w:val="0"/>
      <w:marRight w:val="0"/>
      <w:marTop w:val="0"/>
      <w:marBottom w:val="0"/>
      <w:divBdr>
        <w:top w:val="none" w:sz="0" w:space="0" w:color="auto"/>
        <w:left w:val="none" w:sz="0" w:space="0" w:color="auto"/>
        <w:bottom w:val="none" w:sz="0" w:space="0" w:color="auto"/>
        <w:right w:val="none" w:sz="0" w:space="0" w:color="auto"/>
      </w:divBdr>
    </w:div>
    <w:div w:id="788741140">
      <w:bodyDiv w:val="1"/>
      <w:marLeft w:val="0"/>
      <w:marRight w:val="0"/>
      <w:marTop w:val="0"/>
      <w:marBottom w:val="0"/>
      <w:divBdr>
        <w:top w:val="none" w:sz="0" w:space="0" w:color="auto"/>
        <w:left w:val="none" w:sz="0" w:space="0" w:color="auto"/>
        <w:bottom w:val="none" w:sz="0" w:space="0" w:color="auto"/>
        <w:right w:val="none" w:sz="0" w:space="0" w:color="auto"/>
      </w:divBdr>
    </w:div>
    <w:div w:id="788821318">
      <w:bodyDiv w:val="1"/>
      <w:marLeft w:val="0"/>
      <w:marRight w:val="0"/>
      <w:marTop w:val="0"/>
      <w:marBottom w:val="0"/>
      <w:divBdr>
        <w:top w:val="none" w:sz="0" w:space="0" w:color="auto"/>
        <w:left w:val="none" w:sz="0" w:space="0" w:color="auto"/>
        <w:bottom w:val="none" w:sz="0" w:space="0" w:color="auto"/>
        <w:right w:val="none" w:sz="0" w:space="0" w:color="auto"/>
      </w:divBdr>
    </w:div>
    <w:div w:id="789008588">
      <w:bodyDiv w:val="1"/>
      <w:marLeft w:val="0"/>
      <w:marRight w:val="0"/>
      <w:marTop w:val="0"/>
      <w:marBottom w:val="0"/>
      <w:divBdr>
        <w:top w:val="none" w:sz="0" w:space="0" w:color="auto"/>
        <w:left w:val="none" w:sz="0" w:space="0" w:color="auto"/>
        <w:bottom w:val="none" w:sz="0" w:space="0" w:color="auto"/>
        <w:right w:val="none" w:sz="0" w:space="0" w:color="auto"/>
      </w:divBdr>
    </w:div>
    <w:div w:id="789126664">
      <w:bodyDiv w:val="1"/>
      <w:marLeft w:val="0"/>
      <w:marRight w:val="0"/>
      <w:marTop w:val="0"/>
      <w:marBottom w:val="0"/>
      <w:divBdr>
        <w:top w:val="none" w:sz="0" w:space="0" w:color="auto"/>
        <w:left w:val="none" w:sz="0" w:space="0" w:color="auto"/>
        <w:bottom w:val="none" w:sz="0" w:space="0" w:color="auto"/>
        <w:right w:val="none" w:sz="0" w:space="0" w:color="auto"/>
      </w:divBdr>
    </w:div>
    <w:div w:id="789397283">
      <w:bodyDiv w:val="1"/>
      <w:marLeft w:val="0"/>
      <w:marRight w:val="0"/>
      <w:marTop w:val="0"/>
      <w:marBottom w:val="0"/>
      <w:divBdr>
        <w:top w:val="none" w:sz="0" w:space="0" w:color="auto"/>
        <w:left w:val="none" w:sz="0" w:space="0" w:color="auto"/>
        <w:bottom w:val="none" w:sz="0" w:space="0" w:color="auto"/>
        <w:right w:val="none" w:sz="0" w:space="0" w:color="auto"/>
      </w:divBdr>
    </w:div>
    <w:div w:id="789476736">
      <w:bodyDiv w:val="1"/>
      <w:marLeft w:val="0"/>
      <w:marRight w:val="0"/>
      <w:marTop w:val="0"/>
      <w:marBottom w:val="0"/>
      <w:divBdr>
        <w:top w:val="none" w:sz="0" w:space="0" w:color="auto"/>
        <w:left w:val="none" w:sz="0" w:space="0" w:color="auto"/>
        <w:bottom w:val="none" w:sz="0" w:space="0" w:color="auto"/>
        <w:right w:val="none" w:sz="0" w:space="0" w:color="auto"/>
      </w:divBdr>
    </w:div>
    <w:div w:id="789514267">
      <w:bodyDiv w:val="1"/>
      <w:marLeft w:val="0"/>
      <w:marRight w:val="0"/>
      <w:marTop w:val="0"/>
      <w:marBottom w:val="0"/>
      <w:divBdr>
        <w:top w:val="none" w:sz="0" w:space="0" w:color="auto"/>
        <w:left w:val="none" w:sz="0" w:space="0" w:color="auto"/>
        <w:bottom w:val="none" w:sz="0" w:space="0" w:color="auto"/>
        <w:right w:val="none" w:sz="0" w:space="0" w:color="auto"/>
      </w:divBdr>
    </w:div>
    <w:div w:id="789741456">
      <w:bodyDiv w:val="1"/>
      <w:marLeft w:val="0"/>
      <w:marRight w:val="0"/>
      <w:marTop w:val="0"/>
      <w:marBottom w:val="0"/>
      <w:divBdr>
        <w:top w:val="none" w:sz="0" w:space="0" w:color="auto"/>
        <w:left w:val="none" w:sz="0" w:space="0" w:color="auto"/>
        <w:bottom w:val="none" w:sz="0" w:space="0" w:color="auto"/>
        <w:right w:val="none" w:sz="0" w:space="0" w:color="auto"/>
      </w:divBdr>
    </w:div>
    <w:div w:id="789781910">
      <w:bodyDiv w:val="1"/>
      <w:marLeft w:val="0"/>
      <w:marRight w:val="0"/>
      <w:marTop w:val="0"/>
      <w:marBottom w:val="0"/>
      <w:divBdr>
        <w:top w:val="none" w:sz="0" w:space="0" w:color="auto"/>
        <w:left w:val="none" w:sz="0" w:space="0" w:color="auto"/>
        <w:bottom w:val="none" w:sz="0" w:space="0" w:color="auto"/>
        <w:right w:val="none" w:sz="0" w:space="0" w:color="auto"/>
      </w:divBdr>
    </w:div>
    <w:div w:id="789789323">
      <w:bodyDiv w:val="1"/>
      <w:marLeft w:val="0"/>
      <w:marRight w:val="0"/>
      <w:marTop w:val="0"/>
      <w:marBottom w:val="0"/>
      <w:divBdr>
        <w:top w:val="none" w:sz="0" w:space="0" w:color="auto"/>
        <w:left w:val="none" w:sz="0" w:space="0" w:color="auto"/>
        <w:bottom w:val="none" w:sz="0" w:space="0" w:color="auto"/>
        <w:right w:val="none" w:sz="0" w:space="0" w:color="auto"/>
      </w:divBdr>
    </w:div>
    <w:div w:id="789861973">
      <w:bodyDiv w:val="1"/>
      <w:marLeft w:val="0"/>
      <w:marRight w:val="0"/>
      <w:marTop w:val="0"/>
      <w:marBottom w:val="0"/>
      <w:divBdr>
        <w:top w:val="none" w:sz="0" w:space="0" w:color="auto"/>
        <w:left w:val="none" w:sz="0" w:space="0" w:color="auto"/>
        <w:bottom w:val="none" w:sz="0" w:space="0" w:color="auto"/>
        <w:right w:val="none" w:sz="0" w:space="0" w:color="auto"/>
      </w:divBdr>
    </w:div>
    <w:div w:id="789974794">
      <w:bodyDiv w:val="1"/>
      <w:marLeft w:val="0"/>
      <w:marRight w:val="0"/>
      <w:marTop w:val="0"/>
      <w:marBottom w:val="0"/>
      <w:divBdr>
        <w:top w:val="none" w:sz="0" w:space="0" w:color="auto"/>
        <w:left w:val="none" w:sz="0" w:space="0" w:color="auto"/>
        <w:bottom w:val="none" w:sz="0" w:space="0" w:color="auto"/>
        <w:right w:val="none" w:sz="0" w:space="0" w:color="auto"/>
      </w:divBdr>
    </w:div>
    <w:div w:id="790054571">
      <w:bodyDiv w:val="1"/>
      <w:marLeft w:val="0"/>
      <w:marRight w:val="0"/>
      <w:marTop w:val="0"/>
      <w:marBottom w:val="0"/>
      <w:divBdr>
        <w:top w:val="none" w:sz="0" w:space="0" w:color="auto"/>
        <w:left w:val="none" w:sz="0" w:space="0" w:color="auto"/>
        <w:bottom w:val="none" w:sz="0" w:space="0" w:color="auto"/>
        <w:right w:val="none" w:sz="0" w:space="0" w:color="auto"/>
      </w:divBdr>
    </w:div>
    <w:div w:id="790126852">
      <w:bodyDiv w:val="1"/>
      <w:marLeft w:val="0"/>
      <w:marRight w:val="0"/>
      <w:marTop w:val="0"/>
      <w:marBottom w:val="0"/>
      <w:divBdr>
        <w:top w:val="none" w:sz="0" w:space="0" w:color="auto"/>
        <w:left w:val="none" w:sz="0" w:space="0" w:color="auto"/>
        <w:bottom w:val="none" w:sz="0" w:space="0" w:color="auto"/>
        <w:right w:val="none" w:sz="0" w:space="0" w:color="auto"/>
      </w:divBdr>
    </w:div>
    <w:div w:id="790127735">
      <w:bodyDiv w:val="1"/>
      <w:marLeft w:val="0"/>
      <w:marRight w:val="0"/>
      <w:marTop w:val="0"/>
      <w:marBottom w:val="0"/>
      <w:divBdr>
        <w:top w:val="none" w:sz="0" w:space="0" w:color="auto"/>
        <w:left w:val="none" w:sz="0" w:space="0" w:color="auto"/>
        <w:bottom w:val="none" w:sz="0" w:space="0" w:color="auto"/>
        <w:right w:val="none" w:sz="0" w:space="0" w:color="auto"/>
      </w:divBdr>
    </w:div>
    <w:div w:id="790317384">
      <w:bodyDiv w:val="1"/>
      <w:marLeft w:val="0"/>
      <w:marRight w:val="0"/>
      <w:marTop w:val="0"/>
      <w:marBottom w:val="0"/>
      <w:divBdr>
        <w:top w:val="none" w:sz="0" w:space="0" w:color="auto"/>
        <w:left w:val="none" w:sz="0" w:space="0" w:color="auto"/>
        <w:bottom w:val="none" w:sz="0" w:space="0" w:color="auto"/>
        <w:right w:val="none" w:sz="0" w:space="0" w:color="auto"/>
      </w:divBdr>
    </w:div>
    <w:div w:id="790317769">
      <w:bodyDiv w:val="1"/>
      <w:marLeft w:val="0"/>
      <w:marRight w:val="0"/>
      <w:marTop w:val="0"/>
      <w:marBottom w:val="0"/>
      <w:divBdr>
        <w:top w:val="none" w:sz="0" w:space="0" w:color="auto"/>
        <w:left w:val="none" w:sz="0" w:space="0" w:color="auto"/>
        <w:bottom w:val="none" w:sz="0" w:space="0" w:color="auto"/>
        <w:right w:val="none" w:sz="0" w:space="0" w:color="auto"/>
      </w:divBdr>
    </w:div>
    <w:div w:id="790319718">
      <w:bodyDiv w:val="1"/>
      <w:marLeft w:val="0"/>
      <w:marRight w:val="0"/>
      <w:marTop w:val="0"/>
      <w:marBottom w:val="0"/>
      <w:divBdr>
        <w:top w:val="none" w:sz="0" w:space="0" w:color="auto"/>
        <w:left w:val="none" w:sz="0" w:space="0" w:color="auto"/>
        <w:bottom w:val="none" w:sz="0" w:space="0" w:color="auto"/>
        <w:right w:val="none" w:sz="0" w:space="0" w:color="auto"/>
      </w:divBdr>
    </w:div>
    <w:div w:id="790321553">
      <w:bodyDiv w:val="1"/>
      <w:marLeft w:val="0"/>
      <w:marRight w:val="0"/>
      <w:marTop w:val="0"/>
      <w:marBottom w:val="0"/>
      <w:divBdr>
        <w:top w:val="none" w:sz="0" w:space="0" w:color="auto"/>
        <w:left w:val="none" w:sz="0" w:space="0" w:color="auto"/>
        <w:bottom w:val="none" w:sz="0" w:space="0" w:color="auto"/>
        <w:right w:val="none" w:sz="0" w:space="0" w:color="auto"/>
      </w:divBdr>
    </w:div>
    <w:div w:id="790394121">
      <w:bodyDiv w:val="1"/>
      <w:marLeft w:val="0"/>
      <w:marRight w:val="0"/>
      <w:marTop w:val="0"/>
      <w:marBottom w:val="0"/>
      <w:divBdr>
        <w:top w:val="none" w:sz="0" w:space="0" w:color="auto"/>
        <w:left w:val="none" w:sz="0" w:space="0" w:color="auto"/>
        <w:bottom w:val="none" w:sz="0" w:space="0" w:color="auto"/>
        <w:right w:val="none" w:sz="0" w:space="0" w:color="auto"/>
      </w:divBdr>
    </w:div>
    <w:div w:id="790443687">
      <w:bodyDiv w:val="1"/>
      <w:marLeft w:val="0"/>
      <w:marRight w:val="0"/>
      <w:marTop w:val="0"/>
      <w:marBottom w:val="0"/>
      <w:divBdr>
        <w:top w:val="none" w:sz="0" w:space="0" w:color="auto"/>
        <w:left w:val="none" w:sz="0" w:space="0" w:color="auto"/>
        <w:bottom w:val="none" w:sz="0" w:space="0" w:color="auto"/>
        <w:right w:val="none" w:sz="0" w:space="0" w:color="auto"/>
      </w:divBdr>
    </w:div>
    <w:div w:id="790514264">
      <w:bodyDiv w:val="1"/>
      <w:marLeft w:val="0"/>
      <w:marRight w:val="0"/>
      <w:marTop w:val="0"/>
      <w:marBottom w:val="0"/>
      <w:divBdr>
        <w:top w:val="none" w:sz="0" w:space="0" w:color="auto"/>
        <w:left w:val="none" w:sz="0" w:space="0" w:color="auto"/>
        <w:bottom w:val="none" w:sz="0" w:space="0" w:color="auto"/>
        <w:right w:val="none" w:sz="0" w:space="0" w:color="auto"/>
      </w:divBdr>
    </w:div>
    <w:div w:id="790517632">
      <w:bodyDiv w:val="1"/>
      <w:marLeft w:val="0"/>
      <w:marRight w:val="0"/>
      <w:marTop w:val="0"/>
      <w:marBottom w:val="0"/>
      <w:divBdr>
        <w:top w:val="none" w:sz="0" w:space="0" w:color="auto"/>
        <w:left w:val="none" w:sz="0" w:space="0" w:color="auto"/>
        <w:bottom w:val="none" w:sz="0" w:space="0" w:color="auto"/>
        <w:right w:val="none" w:sz="0" w:space="0" w:color="auto"/>
      </w:divBdr>
    </w:div>
    <w:div w:id="790519447">
      <w:bodyDiv w:val="1"/>
      <w:marLeft w:val="0"/>
      <w:marRight w:val="0"/>
      <w:marTop w:val="0"/>
      <w:marBottom w:val="0"/>
      <w:divBdr>
        <w:top w:val="none" w:sz="0" w:space="0" w:color="auto"/>
        <w:left w:val="none" w:sz="0" w:space="0" w:color="auto"/>
        <w:bottom w:val="none" w:sz="0" w:space="0" w:color="auto"/>
        <w:right w:val="none" w:sz="0" w:space="0" w:color="auto"/>
      </w:divBdr>
    </w:div>
    <w:div w:id="790782297">
      <w:bodyDiv w:val="1"/>
      <w:marLeft w:val="0"/>
      <w:marRight w:val="0"/>
      <w:marTop w:val="0"/>
      <w:marBottom w:val="0"/>
      <w:divBdr>
        <w:top w:val="none" w:sz="0" w:space="0" w:color="auto"/>
        <w:left w:val="none" w:sz="0" w:space="0" w:color="auto"/>
        <w:bottom w:val="none" w:sz="0" w:space="0" w:color="auto"/>
        <w:right w:val="none" w:sz="0" w:space="0" w:color="auto"/>
      </w:divBdr>
    </w:div>
    <w:div w:id="790829876">
      <w:bodyDiv w:val="1"/>
      <w:marLeft w:val="0"/>
      <w:marRight w:val="0"/>
      <w:marTop w:val="0"/>
      <w:marBottom w:val="0"/>
      <w:divBdr>
        <w:top w:val="none" w:sz="0" w:space="0" w:color="auto"/>
        <w:left w:val="none" w:sz="0" w:space="0" w:color="auto"/>
        <w:bottom w:val="none" w:sz="0" w:space="0" w:color="auto"/>
        <w:right w:val="none" w:sz="0" w:space="0" w:color="auto"/>
      </w:divBdr>
    </w:div>
    <w:div w:id="790897922">
      <w:bodyDiv w:val="1"/>
      <w:marLeft w:val="0"/>
      <w:marRight w:val="0"/>
      <w:marTop w:val="0"/>
      <w:marBottom w:val="0"/>
      <w:divBdr>
        <w:top w:val="none" w:sz="0" w:space="0" w:color="auto"/>
        <w:left w:val="none" w:sz="0" w:space="0" w:color="auto"/>
        <w:bottom w:val="none" w:sz="0" w:space="0" w:color="auto"/>
        <w:right w:val="none" w:sz="0" w:space="0" w:color="auto"/>
      </w:divBdr>
    </w:div>
    <w:div w:id="790979649">
      <w:bodyDiv w:val="1"/>
      <w:marLeft w:val="0"/>
      <w:marRight w:val="0"/>
      <w:marTop w:val="0"/>
      <w:marBottom w:val="0"/>
      <w:divBdr>
        <w:top w:val="none" w:sz="0" w:space="0" w:color="auto"/>
        <w:left w:val="none" w:sz="0" w:space="0" w:color="auto"/>
        <w:bottom w:val="none" w:sz="0" w:space="0" w:color="auto"/>
        <w:right w:val="none" w:sz="0" w:space="0" w:color="auto"/>
      </w:divBdr>
    </w:div>
    <w:div w:id="791022562">
      <w:bodyDiv w:val="1"/>
      <w:marLeft w:val="0"/>
      <w:marRight w:val="0"/>
      <w:marTop w:val="0"/>
      <w:marBottom w:val="0"/>
      <w:divBdr>
        <w:top w:val="none" w:sz="0" w:space="0" w:color="auto"/>
        <w:left w:val="none" w:sz="0" w:space="0" w:color="auto"/>
        <w:bottom w:val="none" w:sz="0" w:space="0" w:color="auto"/>
        <w:right w:val="none" w:sz="0" w:space="0" w:color="auto"/>
      </w:divBdr>
    </w:div>
    <w:div w:id="791091726">
      <w:bodyDiv w:val="1"/>
      <w:marLeft w:val="0"/>
      <w:marRight w:val="0"/>
      <w:marTop w:val="0"/>
      <w:marBottom w:val="0"/>
      <w:divBdr>
        <w:top w:val="none" w:sz="0" w:space="0" w:color="auto"/>
        <w:left w:val="none" w:sz="0" w:space="0" w:color="auto"/>
        <w:bottom w:val="none" w:sz="0" w:space="0" w:color="auto"/>
        <w:right w:val="none" w:sz="0" w:space="0" w:color="auto"/>
      </w:divBdr>
    </w:div>
    <w:div w:id="791097641">
      <w:bodyDiv w:val="1"/>
      <w:marLeft w:val="0"/>
      <w:marRight w:val="0"/>
      <w:marTop w:val="0"/>
      <w:marBottom w:val="0"/>
      <w:divBdr>
        <w:top w:val="none" w:sz="0" w:space="0" w:color="auto"/>
        <w:left w:val="none" w:sz="0" w:space="0" w:color="auto"/>
        <w:bottom w:val="none" w:sz="0" w:space="0" w:color="auto"/>
        <w:right w:val="none" w:sz="0" w:space="0" w:color="auto"/>
      </w:divBdr>
    </w:div>
    <w:div w:id="791166099">
      <w:bodyDiv w:val="1"/>
      <w:marLeft w:val="0"/>
      <w:marRight w:val="0"/>
      <w:marTop w:val="0"/>
      <w:marBottom w:val="0"/>
      <w:divBdr>
        <w:top w:val="none" w:sz="0" w:space="0" w:color="auto"/>
        <w:left w:val="none" w:sz="0" w:space="0" w:color="auto"/>
        <w:bottom w:val="none" w:sz="0" w:space="0" w:color="auto"/>
        <w:right w:val="none" w:sz="0" w:space="0" w:color="auto"/>
      </w:divBdr>
    </w:div>
    <w:div w:id="791359864">
      <w:bodyDiv w:val="1"/>
      <w:marLeft w:val="0"/>
      <w:marRight w:val="0"/>
      <w:marTop w:val="0"/>
      <w:marBottom w:val="0"/>
      <w:divBdr>
        <w:top w:val="none" w:sz="0" w:space="0" w:color="auto"/>
        <w:left w:val="none" w:sz="0" w:space="0" w:color="auto"/>
        <w:bottom w:val="none" w:sz="0" w:space="0" w:color="auto"/>
        <w:right w:val="none" w:sz="0" w:space="0" w:color="auto"/>
      </w:divBdr>
    </w:div>
    <w:div w:id="791480324">
      <w:bodyDiv w:val="1"/>
      <w:marLeft w:val="0"/>
      <w:marRight w:val="0"/>
      <w:marTop w:val="0"/>
      <w:marBottom w:val="0"/>
      <w:divBdr>
        <w:top w:val="none" w:sz="0" w:space="0" w:color="auto"/>
        <w:left w:val="none" w:sz="0" w:space="0" w:color="auto"/>
        <w:bottom w:val="none" w:sz="0" w:space="0" w:color="auto"/>
        <w:right w:val="none" w:sz="0" w:space="0" w:color="auto"/>
      </w:divBdr>
    </w:div>
    <w:div w:id="791554872">
      <w:bodyDiv w:val="1"/>
      <w:marLeft w:val="0"/>
      <w:marRight w:val="0"/>
      <w:marTop w:val="0"/>
      <w:marBottom w:val="0"/>
      <w:divBdr>
        <w:top w:val="none" w:sz="0" w:space="0" w:color="auto"/>
        <w:left w:val="none" w:sz="0" w:space="0" w:color="auto"/>
        <w:bottom w:val="none" w:sz="0" w:space="0" w:color="auto"/>
        <w:right w:val="none" w:sz="0" w:space="0" w:color="auto"/>
      </w:divBdr>
    </w:div>
    <w:div w:id="791632232">
      <w:bodyDiv w:val="1"/>
      <w:marLeft w:val="0"/>
      <w:marRight w:val="0"/>
      <w:marTop w:val="0"/>
      <w:marBottom w:val="0"/>
      <w:divBdr>
        <w:top w:val="none" w:sz="0" w:space="0" w:color="auto"/>
        <w:left w:val="none" w:sz="0" w:space="0" w:color="auto"/>
        <w:bottom w:val="none" w:sz="0" w:space="0" w:color="auto"/>
        <w:right w:val="none" w:sz="0" w:space="0" w:color="auto"/>
      </w:divBdr>
    </w:div>
    <w:div w:id="791636713">
      <w:bodyDiv w:val="1"/>
      <w:marLeft w:val="0"/>
      <w:marRight w:val="0"/>
      <w:marTop w:val="0"/>
      <w:marBottom w:val="0"/>
      <w:divBdr>
        <w:top w:val="none" w:sz="0" w:space="0" w:color="auto"/>
        <w:left w:val="none" w:sz="0" w:space="0" w:color="auto"/>
        <w:bottom w:val="none" w:sz="0" w:space="0" w:color="auto"/>
        <w:right w:val="none" w:sz="0" w:space="0" w:color="auto"/>
      </w:divBdr>
    </w:div>
    <w:div w:id="791745690">
      <w:bodyDiv w:val="1"/>
      <w:marLeft w:val="0"/>
      <w:marRight w:val="0"/>
      <w:marTop w:val="0"/>
      <w:marBottom w:val="0"/>
      <w:divBdr>
        <w:top w:val="none" w:sz="0" w:space="0" w:color="auto"/>
        <w:left w:val="none" w:sz="0" w:space="0" w:color="auto"/>
        <w:bottom w:val="none" w:sz="0" w:space="0" w:color="auto"/>
        <w:right w:val="none" w:sz="0" w:space="0" w:color="auto"/>
      </w:divBdr>
    </w:div>
    <w:div w:id="791820985">
      <w:bodyDiv w:val="1"/>
      <w:marLeft w:val="0"/>
      <w:marRight w:val="0"/>
      <w:marTop w:val="0"/>
      <w:marBottom w:val="0"/>
      <w:divBdr>
        <w:top w:val="none" w:sz="0" w:space="0" w:color="auto"/>
        <w:left w:val="none" w:sz="0" w:space="0" w:color="auto"/>
        <w:bottom w:val="none" w:sz="0" w:space="0" w:color="auto"/>
        <w:right w:val="none" w:sz="0" w:space="0" w:color="auto"/>
      </w:divBdr>
    </w:div>
    <w:div w:id="791825543">
      <w:bodyDiv w:val="1"/>
      <w:marLeft w:val="0"/>
      <w:marRight w:val="0"/>
      <w:marTop w:val="0"/>
      <w:marBottom w:val="0"/>
      <w:divBdr>
        <w:top w:val="none" w:sz="0" w:space="0" w:color="auto"/>
        <w:left w:val="none" w:sz="0" w:space="0" w:color="auto"/>
        <w:bottom w:val="none" w:sz="0" w:space="0" w:color="auto"/>
        <w:right w:val="none" w:sz="0" w:space="0" w:color="auto"/>
      </w:divBdr>
    </w:div>
    <w:div w:id="791827852">
      <w:bodyDiv w:val="1"/>
      <w:marLeft w:val="0"/>
      <w:marRight w:val="0"/>
      <w:marTop w:val="0"/>
      <w:marBottom w:val="0"/>
      <w:divBdr>
        <w:top w:val="none" w:sz="0" w:space="0" w:color="auto"/>
        <w:left w:val="none" w:sz="0" w:space="0" w:color="auto"/>
        <w:bottom w:val="none" w:sz="0" w:space="0" w:color="auto"/>
        <w:right w:val="none" w:sz="0" w:space="0" w:color="auto"/>
      </w:divBdr>
    </w:div>
    <w:div w:id="792017689">
      <w:bodyDiv w:val="1"/>
      <w:marLeft w:val="0"/>
      <w:marRight w:val="0"/>
      <w:marTop w:val="0"/>
      <w:marBottom w:val="0"/>
      <w:divBdr>
        <w:top w:val="none" w:sz="0" w:space="0" w:color="auto"/>
        <w:left w:val="none" w:sz="0" w:space="0" w:color="auto"/>
        <w:bottom w:val="none" w:sz="0" w:space="0" w:color="auto"/>
        <w:right w:val="none" w:sz="0" w:space="0" w:color="auto"/>
      </w:divBdr>
    </w:div>
    <w:div w:id="792096231">
      <w:bodyDiv w:val="1"/>
      <w:marLeft w:val="0"/>
      <w:marRight w:val="0"/>
      <w:marTop w:val="0"/>
      <w:marBottom w:val="0"/>
      <w:divBdr>
        <w:top w:val="none" w:sz="0" w:space="0" w:color="auto"/>
        <w:left w:val="none" w:sz="0" w:space="0" w:color="auto"/>
        <w:bottom w:val="none" w:sz="0" w:space="0" w:color="auto"/>
        <w:right w:val="none" w:sz="0" w:space="0" w:color="auto"/>
      </w:divBdr>
    </w:div>
    <w:div w:id="792133729">
      <w:bodyDiv w:val="1"/>
      <w:marLeft w:val="0"/>
      <w:marRight w:val="0"/>
      <w:marTop w:val="0"/>
      <w:marBottom w:val="0"/>
      <w:divBdr>
        <w:top w:val="none" w:sz="0" w:space="0" w:color="auto"/>
        <w:left w:val="none" w:sz="0" w:space="0" w:color="auto"/>
        <w:bottom w:val="none" w:sz="0" w:space="0" w:color="auto"/>
        <w:right w:val="none" w:sz="0" w:space="0" w:color="auto"/>
      </w:divBdr>
    </w:div>
    <w:div w:id="792207888">
      <w:bodyDiv w:val="1"/>
      <w:marLeft w:val="0"/>
      <w:marRight w:val="0"/>
      <w:marTop w:val="0"/>
      <w:marBottom w:val="0"/>
      <w:divBdr>
        <w:top w:val="none" w:sz="0" w:space="0" w:color="auto"/>
        <w:left w:val="none" w:sz="0" w:space="0" w:color="auto"/>
        <w:bottom w:val="none" w:sz="0" w:space="0" w:color="auto"/>
        <w:right w:val="none" w:sz="0" w:space="0" w:color="auto"/>
      </w:divBdr>
    </w:div>
    <w:div w:id="792208956">
      <w:bodyDiv w:val="1"/>
      <w:marLeft w:val="0"/>
      <w:marRight w:val="0"/>
      <w:marTop w:val="0"/>
      <w:marBottom w:val="0"/>
      <w:divBdr>
        <w:top w:val="none" w:sz="0" w:space="0" w:color="auto"/>
        <w:left w:val="none" w:sz="0" w:space="0" w:color="auto"/>
        <w:bottom w:val="none" w:sz="0" w:space="0" w:color="auto"/>
        <w:right w:val="none" w:sz="0" w:space="0" w:color="auto"/>
      </w:divBdr>
    </w:div>
    <w:div w:id="792291931">
      <w:bodyDiv w:val="1"/>
      <w:marLeft w:val="0"/>
      <w:marRight w:val="0"/>
      <w:marTop w:val="0"/>
      <w:marBottom w:val="0"/>
      <w:divBdr>
        <w:top w:val="none" w:sz="0" w:space="0" w:color="auto"/>
        <w:left w:val="none" w:sz="0" w:space="0" w:color="auto"/>
        <w:bottom w:val="none" w:sz="0" w:space="0" w:color="auto"/>
        <w:right w:val="none" w:sz="0" w:space="0" w:color="auto"/>
      </w:divBdr>
    </w:div>
    <w:div w:id="792478967">
      <w:bodyDiv w:val="1"/>
      <w:marLeft w:val="0"/>
      <w:marRight w:val="0"/>
      <w:marTop w:val="0"/>
      <w:marBottom w:val="0"/>
      <w:divBdr>
        <w:top w:val="none" w:sz="0" w:space="0" w:color="auto"/>
        <w:left w:val="none" w:sz="0" w:space="0" w:color="auto"/>
        <w:bottom w:val="none" w:sz="0" w:space="0" w:color="auto"/>
        <w:right w:val="none" w:sz="0" w:space="0" w:color="auto"/>
      </w:divBdr>
    </w:div>
    <w:div w:id="792481911">
      <w:bodyDiv w:val="1"/>
      <w:marLeft w:val="0"/>
      <w:marRight w:val="0"/>
      <w:marTop w:val="0"/>
      <w:marBottom w:val="0"/>
      <w:divBdr>
        <w:top w:val="none" w:sz="0" w:space="0" w:color="auto"/>
        <w:left w:val="none" w:sz="0" w:space="0" w:color="auto"/>
        <w:bottom w:val="none" w:sz="0" w:space="0" w:color="auto"/>
        <w:right w:val="none" w:sz="0" w:space="0" w:color="auto"/>
      </w:divBdr>
    </w:div>
    <w:div w:id="792791888">
      <w:bodyDiv w:val="1"/>
      <w:marLeft w:val="0"/>
      <w:marRight w:val="0"/>
      <w:marTop w:val="0"/>
      <w:marBottom w:val="0"/>
      <w:divBdr>
        <w:top w:val="none" w:sz="0" w:space="0" w:color="auto"/>
        <w:left w:val="none" w:sz="0" w:space="0" w:color="auto"/>
        <w:bottom w:val="none" w:sz="0" w:space="0" w:color="auto"/>
        <w:right w:val="none" w:sz="0" w:space="0" w:color="auto"/>
      </w:divBdr>
    </w:div>
    <w:div w:id="792796990">
      <w:bodyDiv w:val="1"/>
      <w:marLeft w:val="0"/>
      <w:marRight w:val="0"/>
      <w:marTop w:val="0"/>
      <w:marBottom w:val="0"/>
      <w:divBdr>
        <w:top w:val="none" w:sz="0" w:space="0" w:color="auto"/>
        <w:left w:val="none" w:sz="0" w:space="0" w:color="auto"/>
        <w:bottom w:val="none" w:sz="0" w:space="0" w:color="auto"/>
        <w:right w:val="none" w:sz="0" w:space="0" w:color="auto"/>
      </w:divBdr>
    </w:div>
    <w:div w:id="793254044">
      <w:bodyDiv w:val="1"/>
      <w:marLeft w:val="0"/>
      <w:marRight w:val="0"/>
      <w:marTop w:val="0"/>
      <w:marBottom w:val="0"/>
      <w:divBdr>
        <w:top w:val="none" w:sz="0" w:space="0" w:color="auto"/>
        <w:left w:val="none" w:sz="0" w:space="0" w:color="auto"/>
        <w:bottom w:val="none" w:sz="0" w:space="0" w:color="auto"/>
        <w:right w:val="none" w:sz="0" w:space="0" w:color="auto"/>
      </w:divBdr>
    </w:div>
    <w:div w:id="793326256">
      <w:bodyDiv w:val="1"/>
      <w:marLeft w:val="0"/>
      <w:marRight w:val="0"/>
      <w:marTop w:val="0"/>
      <w:marBottom w:val="0"/>
      <w:divBdr>
        <w:top w:val="none" w:sz="0" w:space="0" w:color="auto"/>
        <w:left w:val="none" w:sz="0" w:space="0" w:color="auto"/>
        <w:bottom w:val="none" w:sz="0" w:space="0" w:color="auto"/>
        <w:right w:val="none" w:sz="0" w:space="0" w:color="auto"/>
      </w:divBdr>
    </w:div>
    <w:div w:id="793864711">
      <w:bodyDiv w:val="1"/>
      <w:marLeft w:val="0"/>
      <w:marRight w:val="0"/>
      <w:marTop w:val="0"/>
      <w:marBottom w:val="0"/>
      <w:divBdr>
        <w:top w:val="none" w:sz="0" w:space="0" w:color="auto"/>
        <w:left w:val="none" w:sz="0" w:space="0" w:color="auto"/>
        <w:bottom w:val="none" w:sz="0" w:space="0" w:color="auto"/>
        <w:right w:val="none" w:sz="0" w:space="0" w:color="auto"/>
      </w:divBdr>
    </w:div>
    <w:div w:id="793866772">
      <w:bodyDiv w:val="1"/>
      <w:marLeft w:val="0"/>
      <w:marRight w:val="0"/>
      <w:marTop w:val="0"/>
      <w:marBottom w:val="0"/>
      <w:divBdr>
        <w:top w:val="none" w:sz="0" w:space="0" w:color="auto"/>
        <w:left w:val="none" w:sz="0" w:space="0" w:color="auto"/>
        <w:bottom w:val="none" w:sz="0" w:space="0" w:color="auto"/>
        <w:right w:val="none" w:sz="0" w:space="0" w:color="auto"/>
      </w:divBdr>
    </w:div>
    <w:div w:id="793904774">
      <w:bodyDiv w:val="1"/>
      <w:marLeft w:val="0"/>
      <w:marRight w:val="0"/>
      <w:marTop w:val="0"/>
      <w:marBottom w:val="0"/>
      <w:divBdr>
        <w:top w:val="none" w:sz="0" w:space="0" w:color="auto"/>
        <w:left w:val="none" w:sz="0" w:space="0" w:color="auto"/>
        <w:bottom w:val="none" w:sz="0" w:space="0" w:color="auto"/>
        <w:right w:val="none" w:sz="0" w:space="0" w:color="auto"/>
      </w:divBdr>
    </w:div>
    <w:div w:id="793906569">
      <w:bodyDiv w:val="1"/>
      <w:marLeft w:val="0"/>
      <w:marRight w:val="0"/>
      <w:marTop w:val="0"/>
      <w:marBottom w:val="0"/>
      <w:divBdr>
        <w:top w:val="none" w:sz="0" w:space="0" w:color="auto"/>
        <w:left w:val="none" w:sz="0" w:space="0" w:color="auto"/>
        <w:bottom w:val="none" w:sz="0" w:space="0" w:color="auto"/>
        <w:right w:val="none" w:sz="0" w:space="0" w:color="auto"/>
      </w:divBdr>
    </w:div>
    <w:div w:id="793980773">
      <w:bodyDiv w:val="1"/>
      <w:marLeft w:val="0"/>
      <w:marRight w:val="0"/>
      <w:marTop w:val="0"/>
      <w:marBottom w:val="0"/>
      <w:divBdr>
        <w:top w:val="none" w:sz="0" w:space="0" w:color="auto"/>
        <w:left w:val="none" w:sz="0" w:space="0" w:color="auto"/>
        <w:bottom w:val="none" w:sz="0" w:space="0" w:color="auto"/>
        <w:right w:val="none" w:sz="0" w:space="0" w:color="auto"/>
      </w:divBdr>
    </w:div>
    <w:div w:id="793989550">
      <w:bodyDiv w:val="1"/>
      <w:marLeft w:val="0"/>
      <w:marRight w:val="0"/>
      <w:marTop w:val="0"/>
      <w:marBottom w:val="0"/>
      <w:divBdr>
        <w:top w:val="none" w:sz="0" w:space="0" w:color="auto"/>
        <w:left w:val="none" w:sz="0" w:space="0" w:color="auto"/>
        <w:bottom w:val="none" w:sz="0" w:space="0" w:color="auto"/>
        <w:right w:val="none" w:sz="0" w:space="0" w:color="auto"/>
      </w:divBdr>
    </w:div>
    <w:div w:id="794063841">
      <w:bodyDiv w:val="1"/>
      <w:marLeft w:val="0"/>
      <w:marRight w:val="0"/>
      <w:marTop w:val="0"/>
      <w:marBottom w:val="0"/>
      <w:divBdr>
        <w:top w:val="none" w:sz="0" w:space="0" w:color="auto"/>
        <w:left w:val="none" w:sz="0" w:space="0" w:color="auto"/>
        <w:bottom w:val="none" w:sz="0" w:space="0" w:color="auto"/>
        <w:right w:val="none" w:sz="0" w:space="0" w:color="auto"/>
      </w:divBdr>
    </w:div>
    <w:div w:id="794178917">
      <w:bodyDiv w:val="1"/>
      <w:marLeft w:val="0"/>
      <w:marRight w:val="0"/>
      <w:marTop w:val="0"/>
      <w:marBottom w:val="0"/>
      <w:divBdr>
        <w:top w:val="none" w:sz="0" w:space="0" w:color="auto"/>
        <w:left w:val="none" w:sz="0" w:space="0" w:color="auto"/>
        <w:bottom w:val="none" w:sz="0" w:space="0" w:color="auto"/>
        <w:right w:val="none" w:sz="0" w:space="0" w:color="auto"/>
      </w:divBdr>
    </w:div>
    <w:div w:id="794298160">
      <w:bodyDiv w:val="1"/>
      <w:marLeft w:val="0"/>
      <w:marRight w:val="0"/>
      <w:marTop w:val="0"/>
      <w:marBottom w:val="0"/>
      <w:divBdr>
        <w:top w:val="none" w:sz="0" w:space="0" w:color="auto"/>
        <w:left w:val="none" w:sz="0" w:space="0" w:color="auto"/>
        <w:bottom w:val="none" w:sz="0" w:space="0" w:color="auto"/>
        <w:right w:val="none" w:sz="0" w:space="0" w:color="auto"/>
      </w:divBdr>
    </w:div>
    <w:div w:id="794568466">
      <w:bodyDiv w:val="1"/>
      <w:marLeft w:val="0"/>
      <w:marRight w:val="0"/>
      <w:marTop w:val="0"/>
      <w:marBottom w:val="0"/>
      <w:divBdr>
        <w:top w:val="none" w:sz="0" w:space="0" w:color="auto"/>
        <w:left w:val="none" w:sz="0" w:space="0" w:color="auto"/>
        <w:bottom w:val="none" w:sz="0" w:space="0" w:color="auto"/>
        <w:right w:val="none" w:sz="0" w:space="0" w:color="auto"/>
      </w:divBdr>
    </w:div>
    <w:div w:id="794758041">
      <w:bodyDiv w:val="1"/>
      <w:marLeft w:val="0"/>
      <w:marRight w:val="0"/>
      <w:marTop w:val="0"/>
      <w:marBottom w:val="0"/>
      <w:divBdr>
        <w:top w:val="none" w:sz="0" w:space="0" w:color="auto"/>
        <w:left w:val="none" w:sz="0" w:space="0" w:color="auto"/>
        <w:bottom w:val="none" w:sz="0" w:space="0" w:color="auto"/>
        <w:right w:val="none" w:sz="0" w:space="0" w:color="auto"/>
      </w:divBdr>
    </w:div>
    <w:div w:id="794761098">
      <w:bodyDiv w:val="1"/>
      <w:marLeft w:val="0"/>
      <w:marRight w:val="0"/>
      <w:marTop w:val="0"/>
      <w:marBottom w:val="0"/>
      <w:divBdr>
        <w:top w:val="none" w:sz="0" w:space="0" w:color="auto"/>
        <w:left w:val="none" w:sz="0" w:space="0" w:color="auto"/>
        <w:bottom w:val="none" w:sz="0" w:space="0" w:color="auto"/>
        <w:right w:val="none" w:sz="0" w:space="0" w:color="auto"/>
      </w:divBdr>
    </w:div>
    <w:div w:id="794903951">
      <w:bodyDiv w:val="1"/>
      <w:marLeft w:val="0"/>
      <w:marRight w:val="0"/>
      <w:marTop w:val="0"/>
      <w:marBottom w:val="0"/>
      <w:divBdr>
        <w:top w:val="none" w:sz="0" w:space="0" w:color="auto"/>
        <w:left w:val="none" w:sz="0" w:space="0" w:color="auto"/>
        <w:bottom w:val="none" w:sz="0" w:space="0" w:color="auto"/>
        <w:right w:val="none" w:sz="0" w:space="0" w:color="auto"/>
      </w:divBdr>
    </w:div>
    <w:div w:id="795022103">
      <w:bodyDiv w:val="1"/>
      <w:marLeft w:val="0"/>
      <w:marRight w:val="0"/>
      <w:marTop w:val="0"/>
      <w:marBottom w:val="0"/>
      <w:divBdr>
        <w:top w:val="none" w:sz="0" w:space="0" w:color="auto"/>
        <w:left w:val="none" w:sz="0" w:space="0" w:color="auto"/>
        <w:bottom w:val="none" w:sz="0" w:space="0" w:color="auto"/>
        <w:right w:val="none" w:sz="0" w:space="0" w:color="auto"/>
      </w:divBdr>
    </w:div>
    <w:div w:id="795024862">
      <w:bodyDiv w:val="1"/>
      <w:marLeft w:val="0"/>
      <w:marRight w:val="0"/>
      <w:marTop w:val="0"/>
      <w:marBottom w:val="0"/>
      <w:divBdr>
        <w:top w:val="none" w:sz="0" w:space="0" w:color="auto"/>
        <w:left w:val="none" w:sz="0" w:space="0" w:color="auto"/>
        <w:bottom w:val="none" w:sz="0" w:space="0" w:color="auto"/>
        <w:right w:val="none" w:sz="0" w:space="0" w:color="auto"/>
      </w:divBdr>
    </w:div>
    <w:div w:id="795030499">
      <w:bodyDiv w:val="1"/>
      <w:marLeft w:val="0"/>
      <w:marRight w:val="0"/>
      <w:marTop w:val="0"/>
      <w:marBottom w:val="0"/>
      <w:divBdr>
        <w:top w:val="none" w:sz="0" w:space="0" w:color="auto"/>
        <w:left w:val="none" w:sz="0" w:space="0" w:color="auto"/>
        <w:bottom w:val="none" w:sz="0" w:space="0" w:color="auto"/>
        <w:right w:val="none" w:sz="0" w:space="0" w:color="auto"/>
      </w:divBdr>
    </w:div>
    <w:div w:id="795104374">
      <w:bodyDiv w:val="1"/>
      <w:marLeft w:val="0"/>
      <w:marRight w:val="0"/>
      <w:marTop w:val="0"/>
      <w:marBottom w:val="0"/>
      <w:divBdr>
        <w:top w:val="none" w:sz="0" w:space="0" w:color="auto"/>
        <w:left w:val="none" w:sz="0" w:space="0" w:color="auto"/>
        <w:bottom w:val="none" w:sz="0" w:space="0" w:color="auto"/>
        <w:right w:val="none" w:sz="0" w:space="0" w:color="auto"/>
      </w:divBdr>
    </w:div>
    <w:div w:id="795223898">
      <w:bodyDiv w:val="1"/>
      <w:marLeft w:val="0"/>
      <w:marRight w:val="0"/>
      <w:marTop w:val="0"/>
      <w:marBottom w:val="0"/>
      <w:divBdr>
        <w:top w:val="none" w:sz="0" w:space="0" w:color="auto"/>
        <w:left w:val="none" w:sz="0" w:space="0" w:color="auto"/>
        <w:bottom w:val="none" w:sz="0" w:space="0" w:color="auto"/>
        <w:right w:val="none" w:sz="0" w:space="0" w:color="auto"/>
      </w:divBdr>
    </w:div>
    <w:div w:id="795294693">
      <w:bodyDiv w:val="1"/>
      <w:marLeft w:val="0"/>
      <w:marRight w:val="0"/>
      <w:marTop w:val="0"/>
      <w:marBottom w:val="0"/>
      <w:divBdr>
        <w:top w:val="none" w:sz="0" w:space="0" w:color="auto"/>
        <w:left w:val="none" w:sz="0" w:space="0" w:color="auto"/>
        <w:bottom w:val="none" w:sz="0" w:space="0" w:color="auto"/>
        <w:right w:val="none" w:sz="0" w:space="0" w:color="auto"/>
      </w:divBdr>
    </w:div>
    <w:div w:id="795296558">
      <w:bodyDiv w:val="1"/>
      <w:marLeft w:val="0"/>
      <w:marRight w:val="0"/>
      <w:marTop w:val="0"/>
      <w:marBottom w:val="0"/>
      <w:divBdr>
        <w:top w:val="none" w:sz="0" w:space="0" w:color="auto"/>
        <w:left w:val="none" w:sz="0" w:space="0" w:color="auto"/>
        <w:bottom w:val="none" w:sz="0" w:space="0" w:color="auto"/>
        <w:right w:val="none" w:sz="0" w:space="0" w:color="auto"/>
      </w:divBdr>
    </w:div>
    <w:div w:id="795373801">
      <w:bodyDiv w:val="1"/>
      <w:marLeft w:val="0"/>
      <w:marRight w:val="0"/>
      <w:marTop w:val="0"/>
      <w:marBottom w:val="0"/>
      <w:divBdr>
        <w:top w:val="none" w:sz="0" w:space="0" w:color="auto"/>
        <w:left w:val="none" w:sz="0" w:space="0" w:color="auto"/>
        <w:bottom w:val="none" w:sz="0" w:space="0" w:color="auto"/>
        <w:right w:val="none" w:sz="0" w:space="0" w:color="auto"/>
      </w:divBdr>
    </w:div>
    <w:div w:id="795414917">
      <w:bodyDiv w:val="1"/>
      <w:marLeft w:val="0"/>
      <w:marRight w:val="0"/>
      <w:marTop w:val="0"/>
      <w:marBottom w:val="0"/>
      <w:divBdr>
        <w:top w:val="none" w:sz="0" w:space="0" w:color="auto"/>
        <w:left w:val="none" w:sz="0" w:space="0" w:color="auto"/>
        <w:bottom w:val="none" w:sz="0" w:space="0" w:color="auto"/>
        <w:right w:val="none" w:sz="0" w:space="0" w:color="auto"/>
      </w:divBdr>
    </w:div>
    <w:div w:id="795484893">
      <w:bodyDiv w:val="1"/>
      <w:marLeft w:val="0"/>
      <w:marRight w:val="0"/>
      <w:marTop w:val="0"/>
      <w:marBottom w:val="0"/>
      <w:divBdr>
        <w:top w:val="none" w:sz="0" w:space="0" w:color="auto"/>
        <w:left w:val="none" w:sz="0" w:space="0" w:color="auto"/>
        <w:bottom w:val="none" w:sz="0" w:space="0" w:color="auto"/>
        <w:right w:val="none" w:sz="0" w:space="0" w:color="auto"/>
      </w:divBdr>
    </w:div>
    <w:div w:id="795608841">
      <w:bodyDiv w:val="1"/>
      <w:marLeft w:val="0"/>
      <w:marRight w:val="0"/>
      <w:marTop w:val="0"/>
      <w:marBottom w:val="0"/>
      <w:divBdr>
        <w:top w:val="none" w:sz="0" w:space="0" w:color="auto"/>
        <w:left w:val="none" w:sz="0" w:space="0" w:color="auto"/>
        <w:bottom w:val="none" w:sz="0" w:space="0" w:color="auto"/>
        <w:right w:val="none" w:sz="0" w:space="0" w:color="auto"/>
      </w:divBdr>
    </w:div>
    <w:div w:id="795636839">
      <w:bodyDiv w:val="1"/>
      <w:marLeft w:val="0"/>
      <w:marRight w:val="0"/>
      <w:marTop w:val="0"/>
      <w:marBottom w:val="0"/>
      <w:divBdr>
        <w:top w:val="none" w:sz="0" w:space="0" w:color="auto"/>
        <w:left w:val="none" w:sz="0" w:space="0" w:color="auto"/>
        <w:bottom w:val="none" w:sz="0" w:space="0" w:color="auto"/>
        <w:right w:val="none" w:sz="0" w:space="0" w:color="auto"/>
      </w:divBdr>
    </w:div>
    <w:div w:id="795638853">
      <w:bodyDiv w:val="1"/>
      <w:marLeft w:val="0"/>
      <w:marRight w:val="0"/>
      <w:marTop w:val="0"/>
      <w:marBottom w:val="0"/>
      <w:divBdr>
        <w:top w:val="none" w:sz="0" w:space="0" w:color="auto"/>
        <w:left w:val="none" w:sz="0" w:space="0" w:color="auto"/>
        <w:bottom w:val="none" w:sz="0" w:space="0" w:color="auto"/>
        <w:right w:val="none" w:sz="0" w:space="0" w:color="auto"/>
      </w:divBdr>
    </w:div>
    <w:div w:id="795683554">
      <w:bodyDiv w:val="1"/>
      <w:marLeft w:val="0"/>
      <w:marRight w:val="0"/>
      <w:marTop w:val="0"/>
      <w:marBottom w:val="0"/>
      <w:divBdr>
        <w:top w:val="none" w:sz="0" w:space="0" w:color="auto"/>
        <w:left w:val="none" w:sz="0" w:space="0" w:color="auto"/>
        <w:bottom w:val="none" w:sz="0" w:space="0" w:color="auto"/>
        <w:right w:val="none" w:sz="0" w:space="0" w:color="auto"/>
      </w:divBdr>
    </w:div>
    <w:div w:id="795761100">
      <w:bodyDiv w:val="1"/>
      <w:marLeft w:val="0"/>
      <w:marRight w:val="0"/>
      <w:marTop w:val="0"/>
      <w:marBottom w:val="0"/>
      <w:divBdr>
        <w:top w:val="none" w:sz="0" w:space="0" w:color="auto"/>
        <w:left w:val="none" w:sz="0" w:space="0" w:color="auto"/>
        <w:bottom w:val="none" w:sz="0" w:space="0" w:color="auto"/>
        <w:right w:val="none" w:sz="0" w:space="0" w:color="auto"/>
      </w:divBdr>
    </w:div>
    <w:div w:id="795835412">
      <w:bodyDiv w:val="1"/>
      <w:marLeft w:val="0"/>
      <w:marRight w:val="0"/>
      <w:marTop w:val="0"/>
      <w:marBottom w:val="0"/>
      <w:divBdr>
        <w:top w:val="none" w:sz="0" w:space="0" w:color="auto"/>
        <w:left w:val="none" w:sz="0" w:space="0" w:color="auto"/>
        <w:bottom w:val="none" w:sz="0" w:space="0" w:color="auto"/>
        <w:right w:val="none" w:sz="0" w:space="0" w:color="auto"/>
      </w:divBdr>
    </w:div>
    <w:div w:id="795872515">
      <w:bodyDiv w:val="1"/>
      <w:marLeft w:val="0"/>
      <w:marRight w:val="0"/>
      <w:marTop w:val="0"/>
      <w:marBottom w:val="0"/>
      <w:divBdr>
        <w:top w:val="none" w:sz="0" w:space="0" w:color="auto"/>
        <w:left w:val="none" w:sz="0" w:space="0" w:color="auto"/>
        <w:bottom w:val="none" w:sz="0" w:space="0" w:color="auto"/>
        <w:right w:val="none" w:sz="0" w:space="0" w:color="auto"/>
      </w:divBdr>
    </w:div>
    <w:div w:id="795877987">
      <w:bodyDiv w:val="1"/>
      <w:marLeft w:val="0"/>
      <w:marRight w:val="0"/>
      <w:marTop w:val="0"/>
      <w:marBottom w:val="0"/>
      <w:divBdr>
        <w:top w:val="none" w:sz="0" w:space="0" w:color="auto"/>
        <w:left w:val="none" w:sz="0" w:space="0" w:color="auto"/>
        <w:bottom w:val="none" w:sz="0" w:space="0" w:color="auto"/>
        <w:right w:val="none" w:sz="0" w:space="0" w:color="auto"/>
      </w:divBdr>
    </w:div>
    <w:div w:id="796022146">
      <w:bodyDiv w:val="1"/>
      <w:marLeft w:val="0"/>
      <w:marRight w:val="0"/>
      <w:marTop w:val="0"/>
      <w:marBottom w:val="0"/>
      <w:divBdr>
        <w:top w:val="none" w:sz="0" w:space="0" w:color="auto"/>
        <w:left w:val="none" w:sz="0" w:space="0" w:color="auto"/>
        <w:bottom w:val="none" w:sz="0" w:space="0" w:color="auto"/>
        <w:right w:val="none" w:sz="0" w:space="0" w:color="auto"/>
      </w:divBdr>
    </w:div>
    <w:div w:id="796030112">
      <w:bodyDiv w:val="1"/>
      <w:marLeft w:val="0"/>
      <w:marRight w:val="0"/>
      <w:marTop w:val="0"/>
      <w:marBottom w:val="0"/>
      <w:divBdr>
        <w:top w:val="none" w:sz="0" w:space="0" w:color="auto"/>
        <w:left w:val="none" w:sz="0" w:space="0" w:color="auto"/>
        <w:bottom w:val="none" w:sz="0" w:space="0" w:color="auto"/>
        <w:right w:val="none" w:sz="0" w:space="0" w:color="auto"/>
      </w:divBdr>
    </w:div>
    <w:div w:id="796070540">
      <w:bodyDiv w:val="1"/>
      <w:marLeft w:val="0"/>
      <w:marRight w:val="0"/>
      <w:marTop w:val="0"/>
      <w:marBottom w:val="0"/>
      <w:divBdr>
        <w:top w:val="none" w:sz="0" w:space="0" w:color="auto"/>
        <w:left w:val="none" w:sz="0" w:space="0" w:color="auto"/>
        <w:bottom w:val="none" w:sz="0" w:space="0" w:color="auto"/>
        <w:right w:val="none" w:sz="0" w:space="0" w:color="auto"/>
      </w:divBdr>
    </w:div>
    <w:div w:id="796145131">
      <w:bodyDiv w:val="1"/>
      <w:marLeft w:val="0"/>
      <w:marRight w:val="0"/>
      <w:marTop w:val="0"/>
      <w:marBottom w:val="0"/>
      <w:divBdr>
        <w:top w:val="none" w:sz="0" w:space="0" w:color="auto"/>
        <w:left w:val="none" w:sz="0" w:space="0" w:color="auto"/>
        <w:bottom w:val="none" w:sz="0" w:space="0" w:color="auto"/>
        <w:right w:val="none" w:sz="0" w:space="0" w:color="auto"/>
      </w:divBdr>
    </w:div>
    <w:div w:id="796145272">
      <w:bodyDiv w:val="1"/>
      <w:marLeft w:val="0"/>
      <w:marRight w:val="0"/>
      <w:marTop w:val="0"/>
      <w:marBottom w:val="0"/>
      <w:divBdr>
        <w:top w:val="none" w:sz="0" w:space="0" w:color="auto"/>
        <w:left w:val="none" w:sz="0" w:space="0" w:color="auto"/>
        <w:bottom w:val="none" w:sz="0" w:space="0" w:color="auto"/>
        <w:right w:val="none" w:sz="0" w:space="0" w:color="auto"/>
      </w:divBdr>
    </w:div>
    <w:div w:id="796148368">
      <w:bodyDiv w:val="1"/>
      <w:marLeft w:val="0"/>
      <w:marRight w:val="0"/>
      <w:marTop w:val="0"/>
      <w:marBottom w:val="0"/>
      <w:divBdr>
        <w:top w:val="none" w:sz="0" w:space="0" w:color="auto"/>
        <w:left w:val="none" w:sz="0" w:space="0" w:color="auto"/>
        <w:bottom w:val="none" w:sz="0" w:space="0" w:color="auto"/>
        <w:right w:val="none" w:sz="0" w:space="0" w:color="auto"/>
      </w:divBdr>
    </w:div>
    <w:div w:id="796217480">
      <w:bodyDiv w:val="1"/>
      <w:marLeft w:val="0"/>
      <w:marRight w:val="0"/>
      <w:marTop w:val="0"/>
      <w:marBottom w:val="0"/>
      <w:divBdr>
        <w:top w:val="none" w:sz="0" w:space="0" w:color="auto"/>
        <w:left w:val="none" w:sz="0" w:space="0" w:color="auto"/>
        <w:bottom w:val="none" w:sz="0" w:space="0" w:color="auto"/>
        <w:right w:val="none" w:sz="0" w:space="0" w:color="auto"/>
      </w:divBdr>
    </w:div>
    <w:div w:id="796218968">
      <w:bodyDiv w:val="1"/>
      <w:marLeft w:val="0"/>
      <w:marRight w:val="0"/>
      <w:marTop w:val="0"/>
      <w:marBottom w:val="0"/>
      <w:divBdr>
        <w:top w:val="none" w:sz="0" w:space="0" w:color="auto"/>
        <w:left w:val="none" w:sz="0" w:space="0" w:color="auto"/>
        <w:bottom w:val="none" w:sz="0" w:space="0" w:color="auto"/>
        <w:right w:val="none" w:sz="0" w:space="0" w:color="auto"/>
      </w:divBdr>
    </w:div>
    <w:div w:id="796292964">
      <w:bodyDiv w:val="1"/>
      <w:marLeft w:val="0"/>
      <w:marRight w:val="0"/>
      <w:marTop w:val="0"/>
      <w:marBottom w:val="0"/>
      <w:divBdr>
        <w:top w:val="none" w:sz="0" w:space="0" w:color="auto"/>
        <w:left w:val="none" w:sz="0" w:space="0" w:color="auto"/>
        <w:bottom w:val="none" w:sz="0" w:space="0" w:color="auto"/>
        <w:right w:val="none" w:sz="0" w:space="0" w:color="auto"/>
      </w:divBdr>
    </w:div>
    <w:div w:id="796334450">
      <w:bodyDiv w:val="1"/>
      <w:marLeft w:val="0"/>
      <w:marRight w:val="0"/>
      <w:marTop w:val="0"/>
      <w:marBottom w:val="0"/>
      <w:divBdr>
        <w:top w:val="none" w:sz="0" w:space="0" w:color="auto"/>
        <w:left w:val="none" w:sz="0" w:space="0" w:color="auto"/>
        <w:bottom w:val="none" w:sz="0" w:space="0" w:color="auto"/>
        <w:right w:val="none" w:sz="0" w:space="0" w:color="auto"/>
      </w:divBdr>
    </w:div>
    <w:div w:id="796336892">
      <w:bodyDiv w:val="1"/>
      <w:marLeft w:val="0"/>
      <w:marRight w:val="0"/>
      <w:marTop w:val="0"/>
      <w:marBottom w:val="0"/>
      <w:divBdr>
        <w:top w:val="none" w:sz="0" w:space="0" w:color="auto"/>
        <w:left w:val="none" w:sz="0" w:space="0" w:color="auto"/>
        <w:bottom w:val="none" w:sz="0" w:space="0" w:color="auto"/>
        <w:right w:val="none" w:sz="0" w:space="0" w:color="auto"/>
      </w:divBdr>
    </w:div>
    <w:div w:id="796340704">
      <w:bodyDiv w:val="1"/>
      <w:marLeft w:val="0"/>
      <w:marRight w:val="0"/>
      <w:marTop w:val="0"/>
      <w:marBottom w:val="0"/>
      <w:divBdr>
        <w:top w:val="none" w:sz="0" w:space="0" w:color="auto"/>
        <w:left w:val="none" w:sz="0" w:space="0" w:color="auto"/>
        <w:bottom w:val="none" w:sz="0" w:space="0" w:color="auto"/>
        <w:right w:val="none" w:sz="0" w:space="0" w:color="auto"/>
      </w:divBdr>
    </w:div>
    <w:div w:id="796340902">
      <w:bodyDiv w:val="1"/>
      <w:marLeft w:val="0"/>
      <w:marRight w:val="0"/>
      <w:marTop w:val="0"/>
      <w:marBottom w:val="0"/>
      <w:divBdr>
        <w:top w:val="none" w:sz="0" w:space="0" w:color="auto"/>
        <w:left w:val="none" w:sz="0" w:space="0" w:color="auto"/>
        <w:bottom w:val="none" w:sz="0" w:space="0" w:color="auto"/>
        <w:right w:val="none" w:sz="0" w:space="0" w:color="auto"/>
      </w:divBdr>
    </w:div>
    <w:div w:id="796409717">
      <w:bodyDiv w:val="1"/>
      <w:marLeft w:val="0"/>
      <w:marRight w:val="0"/>
      <w:marTop w:val="0"/>
      <w:marBottom w:val="0"/>
      <w:divBdr>
        <w:top w:val="none" w:sz="0" w:space="0" w:color="auto"/>
        <w:left w:val="none" w:sz="0" w:space="0" w:color="auto"/>
        <w:bottom w:val="none" w:sz="0" w:space="0" w:color="auto"/>
        <w:right w:val="none" w:sz="0" w:space="0" w:color="auto"/>
      </w:divBdr>
    </w:div>
    <w:div w:id="796532761">
      <w:bodyDiv w:val="1"/>
      <w:marLeft w:val="0"/>
      <w:marRight w:val="0"/>
      <w:marTop w:val="0"/>
      <w:marBottom w:val="0"/>
      <w:divBdr>
        <w:top w:val="none" w:sz="0" w:space="0" w:color="auto"/>
        <w:left w:val="none" w:sz="0" w:space="0" w:color="auto"/>
        <w:bottom w:val="none" w:sz="0" w:space="0" w:color="auto"/>
        <w:right w:val="none" w:sz="0" w:space="0" w:color="auto"/>
      </w:divBdr>
    </w:div>
    <w:div w:id="796678132">
      <w:bodyDiv w:val="1"/>
      <w:marLeft w:val="0"/>
      <w:marRight w:val="0"/>
      <w:marTop w:val="0"/>
      <w:marBottom w:val="0"/>
      <w:divBdr>
        <w:top w:val="none" w:sz="0" w:space="0" w:color="auto"/>
        <w:left w:val="none" w:sz="0" w:space="0" w:color="auto"/>
        <w:bottom w:val="none" w:sz="0" w:space="0" w:color="auto"/>
        <w:right w:val="none" w:sz="0" w:space="0" w:color="auto"/>
      </w:divBdr>
    </w:div>
    <w:div w:id="796753557">
      <w:bodyDiv w:val="1"/>
      <w:marLeft w:val="0"/>
      <w:marRight w:val="0"/>
      <w:marTop w:val="0"/>
      <w:marBottom w:val="0"/>
      <w:divBdr>
        <w:top w:val="none" w:sz="0" w:space="0" w:color="auto"/>
        <w:left w:val="none" w:sz="0" w:space="0" w:color="auto"/>
        <w:bottom w:val="none" w:sz="0" w:space="0" w:color="auto"/>
        <w:right w:val="none" w:sz="0" w:space="0" w:color="auto"/>
      </w:divBdr>
    </w:div>
    <w:div w:id="796798513">
      <w:bodyDiv w:val="1"/>
      <w:marLeft w:val="0"/>
      <w:marRight w:val="0"/>
      <w:marTop w:val="0"/>
      <w:marBottom w:val="0"/>
      <w:divBdr>
        <w:top w:val="none" w:sz="0" w:space="0" w:color="auto"/>
        <w:left w:val="none" w:sz="0" w:space="0" w:color="auto"/>
        <w:bottom w:val="none" w:sz="0" w:space="0" w:color="auto"/>
        <w:right w:val="none" w:sz="0" w:space="0" w:color="auto"/>
      </w:divBdr>
    </w:div>
    <w:div w:id="796799240">
      <w:bodyDiv w:val="1"/>
      <w:marLeft w:val="0"/>
      <w:marRight w:val="0"/>
      <w:marTop w:val="0"/>
      <w:marBottom w:val="0"/>
      <w:divBdr>
        <w:top w:val="none" w:sz="0" w:space="0" w:color="auto"/>
        <w:left w:val="none" w:sz="0" w:space="0" w:color="auto"/>
        <w:bottom w:val="none" w:sz="0" w:space="0" w:color="auto"/>
        <w:right w:val="none" w:sz="0" w:space="0" w:color="auto"/>
      </w:divBdr>
    </w:div>
    <w:div w:id="796799653">
      <w:bodyDiv w:val="1"/>
      <w:marLeft w:val="0"/>
      <w:marRight w:val="0"/>
      <w:marTop w:val="0"/>
      <w:marBottom w:val="0"/>
      <w:divBdr>
        <w:top w:val="none" w:sz="0" w:space="0" w:color="auto"/>
        <w:left w:val="none" w:sz="0" w:space="0" w:color="auto"/>
        <w:bottom w:val="none" w:sz="0" w:space="0" w:color="auto"/>
        <w:right w:val="none" w:sz="0" w:space="0" w:color="auto"/>
      </w:divBdr>
    </w:div>
    <w:div w:id="796869891">
      <w:bodyDiv w:val="1"/>
      <w:marLeft w:val="0"/>
      <w:marRight w:val="0"/>
      <w:marTop w:val="0"/>
      <w:marBottom w:val="0"/>
      <w:divBdr>
        <w:top w:val="none" w:sz="0" w:space="0" w:color="auto"/>
        <w:left w:val="none" w:sz="0" w:space="0" w:color="auto"/>
        <w:bottom w:val="none" w:sz="0" w:space="0" w:color="auto"/>
        <w:right w:val="none" w:sz="0" w:space="0" w:color="auto"/>
      </w:divBdr>
    </w:div>
    <w:div w:id="796877869">
      <w:bodyDiv w:val="1"/>
      <w:marLeft w:val="0"/>
      <w:marRight w:val="0"/>
      <w:marTop w:val="0"/>
      <w:marBottom w:val="0"/>
      <w:divBdr>
        <w:top w:val="none" w:sz="0" w:space="0" w:color="auto"/>
        <w:left w:val="none" w:sz="0" w:space="0" w:color="auto"/>
        <w:bottom w:val="none" w:sz="0" w:space="0" w:color="auto"/>
        <w:right w:val="none" w:sz="0" w:space="0" w:color="auto"/>
      </w:divBdr>
    </w:div>
    <w:div w:id="796947822">
      <w:bodyDiv w:val="1"/>
      <w:marLeft w:val="0"/>
      <w:marRight w:val="0"/>
      <w:marTop w:val="0"/>
      <w:marBottom w:val="0"/>
      <w:divBdr>
        <w:top w:val="none" w:sz="0" w:space="0" w:color="auto"/>
        <w:left w:val="none" w:sz="0" w:space="0" w:color="auto"/>
        <w:bottom w:val="none" w:sz="0" w:space="0" w:color="auto"/>
        <w:right w:val="none" w:sz="0" w:space="0" w:color="auto"/>
      </w:divBdr>
    </w:div>
    <w:div w:id="796990372">
      <w:bodyDiv w:val="1"/>
      <w:marLeft w:val="0"/>
      <w:marRight w:val="0"/>
      <w:marTop w:val="0"/>
      <w:marBottom w:val="0"/>
      <w:divBdr>
        <w:top w:val="none" w:sz="0" w:space="0" w:color="auto"/>
        <w:left w:val="none" w:sz="0" w:space="0" w:color="auto"/>
        <w:bottom w:val="none" w:sz="0" w:space="0" w:color="auto"/>
        <w:right w:val="none" w:sz="0" w:space="0" w:color="auto"/>
      </w:divBdr>
    </w:div>
    <w:div w:id="797063162">
      <w:bodyDiv w:val="1"/>
      <w:marLeft w:val="0"/>
      <w:marRight w:val="0"/>
      <w:marTop w:val="0"/>
      <w:marBottom w:val="0"/>
      <w:divBdr>
        <w:top w:val="none" w:sz="0" w:space="0" w:color="auto"/>
        <w:left w:val="none" w:sz="0" w:space="0" w:color="auto"/>
        <w:bottom w:val="none" w:sz="0" w:space="0" w:color="auto"/>
        <w:right w:val="none" w:sz="0" w:space="0" w:color="auto"/>
      </w:divBdr>
    </w:div>
    <w:div w:id="797063325">
      <w:bodyDiv w:val="1"/>
      <w:marLeft w:val="0"/>
      <w:marRight w:val="0"/>
      <w:marTop w:val="0"/>
      <w:marBottom w:val="0"/>
      <w:divBdr>
        <w:top w:val="none" w:sz="0" w:space="0" w:color="auto"/>
        <w:left w:val="none" w:sz="0" w:space="0" w:color="auto"/>
        <w:bottom w:val="none" w:sz="0" w:space="0" w:color="auto"/>
        <w:right w:val="none" w:sz="0" w:space="0" w:color="auto"/>
      </w:divBdr>
    </w:div>
    <w:div w:id="797333365">
      <w:bodyDiv w:val="1"/>
      <w:marLeft w:val="0"/>
      <w:marRight w:val="0"/>
      <w:marTop w:val="0"/>
      <w:marBottom w:val="0"/>
      <w:divBdr>
        <w:top w:val="none" w:sz="0" w:space="0" w:color="auto"/>
        <w:left w:val="none" w:sz="0" w:space="0" w:color="auto"/>
        <w:bottom w:val="none" w:sz="0" w:space="0" w:color="auto"/>
        <w:right w:val="none" w:sz="0" w:space="0" w:color="auto"/>
      </w:divBdr>
    </w:div>
    <w:div w:id="797336583">
      <w:bodyDiv w:val="1"/>
      <w:marLeft w:val="0"/>
      <w:marRight w:val="0"/>
      <w:marTop w:val="0"/>
      <w:marBottom w:val="0"/>
      <w:divBdr>
        <w:top w:val="none" w:sz="0" w:space="0" w:color="auto"/>
        <w:left w:val="none" w:sz="0" w:space="0" w:color="auto"/>
        <w:bottom w:val="none" w:sz="0" w:space="0" w:color="auto"/>
        <w:right w:val="none" w:sz="0" w:space="0" w:color="auto"/>
      </w:divBdr>
    </w:div>
    <w:div w:id="797379864">
      <w:bodyDiv w:val="1"/>
      <w:marLeft w:val="0"/>
      <w:marRight w:val="0"/>
      <w:marTop w:val="0"/>
      <w:marBottom w:val="0"/>
      <w:divBdr>
        <w:top w:val="none" w:sz="0" w:space="0" w:color="auto"/>
        <w:left w:val="none" w:sz="0" w:space="0" w:color="auto"/>
        <w:bottom w:val="none" w:sz="0" w:space="0" w:color="auto"/>
        <w:right w:val="none" w:sz="0" w:space="0" w:color="auto"/>
      </w:divBdr>
    </w:div>
    <w:div w:id="797383135">
      <w:bodyDiv w:val="1"/>
      <w:marLeft w:val="0"/>
      <w:marRight w:val="0"/>
      <w:marTop w:val="0"/>
      <w:marBottom w:val="0"/>
      <w:divBdr>
        <w:top w:val="none" w:sz="0" w:space="0" w:color="auto"/>
        <w:left w:val="none" w:sz="0" w:space="0" w:color="auto"/>
        <w:bottom w:val="none" w:sz="0" w:space="0" w:color="auto"/>
        <w:right w:val="none" w:sz="0" w:space="0" w:color="auto"/>
      </w:divBdr>
    </w:div>
    <w:div w:id="797652264">
      <w:bodyDiv w:val="1"/>
      <w:marLeft w:val="0"/>
      <w:marRight w:val="0"/>
      <w:marTop w:val="0"/>
      <w:marBottom w:val="0"/>
      <w:divBdr>
        <w:top w:val="none" w:sz="0" w:space="0" w:color="auto"/>
        <w:left w:val="none" w:sz="0" w:space="0" w:color="auto"/>
        <w:bottom w:val="none" w:sz="0" w:space="0" w:color="auto"/>
        <w:right w:val="none" w:sz="0" w:space="0" w:color="auto"/>
      </w:divBdr>
    </w:div>
    <w:div w:id="797799563">
      <w:bodyDiv w:val="1"/>
      <w:marLeft w:val="0"/>
      <w:marRight w:val="0"/>
      <w:marTop w:val="0"/>
      <w:marBottom w:val="0"/>
      <w:divBdr>
        <w:top w:val="none" w:sz="0" w:space="0" w:color="auto"/>
        <w:left w:val="none" w:sz="0" w:space="0" w:color="auto"/>
        <w:bottom w:val="none" w:sz="0" w:space="0" w:color="auto"/>
        <w:right w:val="none" w:sz="0" w:space="0" w:color="auto"/>
      </w:divBdr>
    </w:div>
    <w:div w:id="797915166">
      <w:bodyDiv w:val="1"/>
      <w:marLeft w:val="0"/>
      <w:marRight w:val="0"/>
      <w:marTop w:val="0"/>
      <w:marBottom w:val="0"/>
      <w:divBdr>
        <w:top w:val="none" w:sz="0" w:space="0" w:color="auto"/>
        <w:left w:val="none" w:sz="0" w:space="0" w:color="auto"/>
        <w:bottom w:val="none" w:sz="0" w:space="0" w:color="auto"/>
        <w:right w:val="none" w:sz="0" w:space="0" w:color="auto"/>
      </w:divBdr>
    </w:div>
    <w:div w:id="797917003">
      <w:bodyDiv w:val="1"/>
      <w:marLeft w:val="0"/>
      <w:marRight w:val="0"/>
      <w:marTop w:val="0"/>
      <w:marBottom w:val="0"/>
      <w:divBdr>
        <w:top w:val="none" w:sz="0" w:space="0" w:color="auto"/>
        <w:left w:val="none" w:sz="0" w:space="0" w:color="auto"/>
        <w:bottom w:val="none" w:sz="0" w:space="0" w:color="auto"/>
        <w:right w:val="none" w:sz="0" w:space="0" w:color="auto"/>
      </w:divBdr>
    </w:div>
    <w:div w:id="798189045">
      <w:bodyDiv w:val="1"/>
      <w:marLeft w:val="0"/>
      <w:marRight w:val="0"/>
      <w:marTop w:val="0"/>
      <w:marBottom w:val="0"/>
      <w:divBdr>
        <w:top w:val="none" w:sz="0" w:space="0" w:color="auto"/>
        <w:left w:val="none" w:sz="0" w:space="0" w:color="auto"/>
        <w:bottom w:val="none" w:sz="0" w:space="0" w:color="auto"/>
        <w:right w:val="none" w:sz="0" w:space="0" w:color="auto"/>
      </w:divBdr>
    </w:div>
    <w:div w:id="798301068">
      <w:bodyDiv w:val="1"/>
      <w:marLeft w:val="0"/>
      <w:marRight w:val="0"/>
      <w:marTop w:val="0"/>
      <w:marBottom w:val="0"/>
      <w:divBdr>
        <w:top w:val="none" w:sz="0" w:space="0" w:color="auto"/>
        <w:left w:val="none" w:sz="0" w:space="0" w:color="auto"/>
        <w:bottom w:val="none" w:sz="0" w:space="0" w:color="auto"/>
        <w:right w:val="none" w:sz="0" w:space="0" w:color="auto"/>
      </w:divBdr>
    </w:div>
    <w:div w:id="798301726">
      <w:bodyDiv w:val="1"/>
      <w:marLeft w:val="0"/>
      <w:marRight w:val="0"/>
      <w:marTop w:val="0"/>
      <w:marBottom w:val="0"/>
      <w:divBdr>
        <w:top w:val="none" w:sz="0" w:space="0" w:color="auto"/>
        <w:left w:val="none" w:sz="0" w:space="0" w:color="auto"/>
        <w:bottom w:val="none" w:sz="0" w:space="0" w:color="auto"/>
        <w:right w:val="none" w:sz="0" w:space="0" w:color="auto"/>
      </w:divBdr>
    </w:div>
    <w:div w:id="798303848">
      <w:bodyDiv w:val="1"/>
      <w:marLeft w:val="0"/>
      <w:marRight w:val="0"/>
      <w:marTop w:val="0"/>
      <w:marBottom w:val="0"/>
      <w:divBdr>
        <w:top w:val="none" w:sz="0" w:space="0" w:color="auto"/>
        <w:left w:val="none" w:sz="0" w:space="0" w:color="auto"/>
        <w:bottom w:val="none" w:sz="0" w:space="0" w:color="auto"/>
        <w:right w:val="none" w:sz="0" w:space="0" w:color="auto"/>
      </w:divBdr>
    </w:div>
    <w:div w:id="798381104">
      <w:bodyDiv w:val="1"/>
      <w:marLeft w:val="0"/>
      <w:marRight w:val="0"/>
      <w:marTop w:val="0"/>
      <w:marBottom w:val="0"/>
      <w:divBdr>
        <w:top w:val="none" w:sz="0" w:space="0" w:color="auto"/>
        <w:left w:val="none" w:sz="0" w:space="0" w:color="auto"/>
        <w:bottom w:val="none" w:sz="0" w:space="0" w:color="auto"/>
        <w:right w:val="none" w:sz="0" w:space="0" w:color="auto"/>
      </w:divBdr>
    </w:div>
    <w:div w:id="798454809">
      <w:bodyDiv w:val="1"/>
      <w:marLeft w:val="0"/>
      <w:marRight w:val="0"/>
      <w:marTop w:val="0"/>
      <w:marBottom w:val="0"/>
      <w:divBdr>
        <w:top w:val="none" w:sz="0" w:space="0" w:color="auto"/>
        <w:left w:val="none" w:sz="0" w:space="0" w:color="auto"/>
        <w:bottom w:val="none" w:sz="0" w:space="0" w:color="auto"/>
        <w:right w:val="none" w:sz="0" w:space="0" w:color="auto"/>
      </w:divBdr>
    </w:div>
    <w:div w:id="798493371">
      <w:bodyDiv w:val="1"/>
      <w:marLeft w:val="0"/>
      <w:marRight w:val="0"/>
      <w:marTop w:val="0"/>
      <w:marBottom w:val="0"/>
      <w:divBdr>
        <w:top w:val="none" w:sz="0" w:space="0" w:color="auto"/>
        <w:left w:val="none" w:sz="0" w:space="0" w:color="auto"/>
        <w:bottom w:val="none" w:sz="0" w:space="0" w:color="auto"/>
        <w:right w:val="none" w:sz="0" w:space="0" w:color="auto"/>
      </w:divBdr>
    </w:div>
    <w:div w:id="798687864">
      <w:bodyDiv w:val="1"/>
      <w:marLeft w:val="0"/>
      <w:marRight w:val="0"/>
      <w:marTop w:val="0"/>
      <w:marBottom w:val="0"/>
      <w:divBdr>
        <w:top w:val="none" w:sz="0" w:space="0" w:color="auto"/>
        <w:left w:val="none" w:sz="0" w:space="0" w:color="auto"/>
        <w:bottom w:val="none" w:sz="0" w:space="0" w:color="auto"/>
        <w:right w:val="none" w:sz="0" w:space="0" w:color="auto"/>
      </w:divBdr>
    </w:div>
    <w:div w:id="798766591">
      <w:bodyDiv w:val="1"/>
      <w:marLeft w:val="0"/>
      <w:marRight w:val="0"/>
      <w:marTop w:val="0"/>
      <w:marBottom w:val="0"/>
      <w:divBdr>
        <w:top w:val="none" w:sz="0" w:space="0" w:color="auto"/>
        <w:left w:val="none" w:sz="0" w:space="0" w:color="auto"/>
        <w:bottom w:val="none" w:sz="0" w:space="0" w:color="auto"/>
        <w:right w:val="none" w:sz="0" w:space="0" w:color="auto"/>
      </w:divBdr>
    </w:div>
    <w:div w:id="798837575">
      <w:bodyDiv w:val="1"/>
      <w:marLeft w:val="0"/>
      <w:marRight w:val="0"/>
      <w:marTop w:val="0"/>
      <w:marBottom w:val="0"/>
      <w:divBdr>
        <w:top w:val="none" w:sz="0" w:space="0" w:color="auto"/>
        <w:left w:val="none" w:sz="0" w:space="0" w:color="auto"/>
        <w:bottom w:val="none" w:sz="0" w:space="0" w:color="auto"/>
        <w:right w:val="none" w:sz="0" w:space="0" w:color="auto"/>
      </w:divBdr>
    </w:div>
    <w:div w:id="798838649">
      <w:bodyDiv w:val="1"/>
      <w:marLeft w:val="0"/>
      <w:marRight w:val="0"/>
      <w:marTop w:val="0"/>
      <w:marBottom w:val="0"/>
      <w:divBdr>
        <w:top w:val="none" w:sz="0" w:space="0" w:color="auto"/>
        <w:left w:val="none" w:sz="0" w:space="0" w:color="auto"/>
        <w:bottom w:val="none" w:sz="0" w:space="0" w:color="auto"/>
        <w:right w:val="none" w:sz="0" w:space="0" w:color="auto"/>
      </w:divBdr>
    </w:div>
    <w:div w:id="798841222">
      <w:bodyDiv w:val="1"/>
      <w:marLeft w:val="0"/>
      <w:marRight w:val="0"/>
      <w:marTop w:val="0"/>
      <w:marBottom w:val="0"/>
      <w:divBdr>
        <w:top w:val="none" w:sz="0" w:space="0" w:color="auto"/>
        <w:left w:val="none" w:sz="0" w:space="0" w:color="auto"/>
        <w:bottom w:val="none" w:sz="0" w:space="0" w:color="auto"/>
        <w:right w:val="none" w:sz="0" w:space="0" w:color="auto"/>
      </w:divBdr>
    </w:div>
    <w:div w:id="798913763">
      <w:bodyDiv w:val="1"/>
      <w:marLeft w:val="0"/>
      <w:marRight w:val="0"/>
      <w:marTop w:val="0"/>
      <w:marBottom w:val="0"/>
      <w:divBdr>
        <w:top w:val="none" w:sz="0" w:space="0" w:color="auto"/>
        <w:left w:val="none" w:sz="0" w:space="0" w:color="auto"/>
        <w:bottom w:val="none" w:sz="0" w:space="0" w:color="auto"/>
        <w:right w:val="none" w:sz="0" w:space="0" w:color="auto"/>
      </w:divBdr>
    </w:div>
    <w:div w:id="798953857">
      <w:bodyDiv w:val="1"/>
      <w:marLeft w:val="0"/>
      <w:marRight w:val="0"/>
      <w:marTop w:val="0"/>
      <w:marBottom w:val="0"/>
      <w:divBdr>
        <w:top w:val="none" w:sz="0" w:space="0" w:color="auto"/>
        <w:left w:val="none" w:sz="0" w:space="0" w:color="auto"/>
        <w:bottom w:val="none" w:sz="0" w:space="0" w:color="auto"/>
        <w:right w:val="none" w:sz="0" w:space="0" w:color="auto"/>
      </w:divBdr>
    </w:div>
    <w:div w:id="798960535">
      <w:bodyDiv w:val="1"/>
      <w:marLeft w:val="0"/>
      <w:marRight w:val="0"/>
      <w:marTop w:val="0"/>
      <w:marBottom w:val="0"/>
      <w:divBdr>
        <w:top w:val="none" w:sz="0" w:space="0" w:color="auto"/>
        <w:left w:val="none" w:sz="0" w:space="0" w:color="auto"/>
        <w:bottom w:val="none" w:sz="0" w:space="0" w:color="auto"/>
        <w:right w:val="none" w:sz="0" w:space="0" w:color="auto"/>
      </w:divBdr>
    </w:div>
    <w:div w:id="799108773">
      <w:bodyDiv w:val="1"/>
      <w:marLeft w:val="0"/>
      <w:marRight w:val="0"/>
      <w:marTop w:val="0"/>
      <w:marBottom w:val="0"/>
      <w:divBdr>
        <w:top w:val="none" w:sz="0" w:space="0" w:color="auto"/>
        <w:left w:val="none" w:sz="0" w:space="0" w:color="auto"/>
        <w:bottom w:val="none" w:sz="0" w:space="0" w:color="auto"/>
        <w:right w:val="none" w:sz="0" w:space="0" w:color="auto"/>
      </w:divBdr>
    </w:div>
    <w:div w:id="799229979">
      <w:bodyDiv w:val="1"/>
      <w:marLeft w:val="0"/>
      <w:marRight w:val="0"/>
      <w:marTop w:val="0"/>
      <w:marBottom w:val="0"/>
      <w:divBdr>
        <w:top w:val="none" w:sz="0" w:space="0" w:color="auto"/>
        <w:left w:val="none" w:sz="0" w:space="0" w:color="auto"/>
        <w:bottom w:val="none" w:sz="0" w:space="0" w:color="auto"/>
        <w:right w:val="none" w:sz="0" w:space="0" w:color="auto"/>
      </w:divBdr>
    </w:div>
    <w:div w:id="799303279">
      <w:bodyDiv w:val="1"/>
      <w:marLeft w:val="0"/>
      <w:marRight w:val="0"/>
      <w:marTop w:val="0"/>
      <w:marBottom w:val="0"/>
      <w:divBdr>
        <w:top w:val="none" w:sz="0" w:space="0" w:color="auto"/>
        <w:left w:val="none" w:sz="0" w:space="0" w:color="auto"/>
        <w:bottom w:val="none" w:sz="0" w:space="0" w:color="auto"/>
        <w:right w:val="none" w:sz="0" w:space="0" w:color="auto"/>
      </w:divBdr>
    </w:div>
    <w:div w:id="799374479">
      <w:bodyDiv w:val="1"/>
      <w:marLeft w:val="0"/>
      <w:marRight w:val="0"/>
      <w:marTop w:val="0"/>
      <w:marBottom w:val="0"/>
      <w:divBdr>
        <w:top w:val="none" w:sz="0" w:space="0" w:color="auto"/>
        <w:left w:val="none" w:sz="0" w:space="0" w:color="auto"/>
        <w:bottom w:val="none" w:sz="0" w:space="0" w:color="auto"/>
        <w:right w:val="none" w:sz="0" w:space="0" w:color="auto"/>
      </w:divBdr>
    </w:div>
    <w:div w:id="799420936">
      <w:bodyDiv w:val="1"/>
      <w:marLeft w:val="0"/>
      <w:marRight w:val="0"/>
      <w:marTop w:val="0"/>
      <w:marBottom w:val="0"/>
      <w:divBdr>
        <w:top w:val="none" w:sz="0" w:space="0" w:color="auto"/>
        <w:left w:val="none" w:sz="0" w:space="0" w:color="auto"/>
        <w:bottom w:val="none" w:sz="0" w:space="0" w:color="auto"/>
        <w:right w:val="none" w:sz="0" w:space="0" w:color="auto"/>
      </w:divBdr>
    </w:div>
    <w:div w:id="799494526">
      <w:bodyDiv w:val="1"/>
      <w:marLeft w:val="0"/>
      <w:marRight w:val="0"/>
      <w:marTop w:val="0"/>
      <w:marBottom w:val="0"/>
      <w:divBdr>
        <w:top w:val="none" w:sz="0" w:space="0" w:color="auto"/>
        <w:left w:val="none" w:sz="0" w:space="0" w:color="auto"/>
        <w:bottom w:val="none" w:sz="0" w:space="0" w:color="auto"/>
        <w:right w:val="none" w:sz="0" w:space="0" w:color="auto"/>
      </w:divBdr>
    </w:div>
    <w:div w:id="799497075">
      <w:bodyDiv w:val="1"/>
      <w:marLeft w:val="0"/>
      <w:marRight w:val="0"/>
      <w:marTop w:val="0"/>
      <w:marBottom w:val="0"/>
      <w:divBdr>
        <w:top w:val="none" w:sz="0" w:space="0" w:color="auto"/>
        <w:left w:val="none" w:sz="0" w:space="0" w:color="auto"/>
        <w:bottom w:val="none" w:sz="0" w:space="0" w:color="auto"/>
        <w:right w:val="none" w:sz="0" w:space="0" w:color="auto"/>
      </w:divBdr>
    </w:div>
    <w:div w:id="799570713">
      <w:bodyDiv w:val="1"/>
      <w:marLeft w:val="0"/>
      <w:marRight w:val="0"/>
      <w:marTop w:val="0"/>
      <w:marBottom w:val="0"/>
      <w:divBdr>
        <w:top w:val="none" w:sz="0" w:space="0" w:color="auto"/>
        <w:left w:val="none" w:sz="0" w:space="0" w:color="auto"/>
        <w:bottom w:val="none" w:sz="0" w:space="0" w:color="auto"/>
        <w:right w:val="none" w:sz="0" w:space="0" w:color="auto"/>
      </w:divBdr>
    </w:div>
    <w:div w:id="799684877">
      <w:bodyDiv w:val="1"/>
      <w:marLeft w:val="0"/>
      <w:marRight w:val="0"/>
      <w:marTop w:val="0"/>
      <w:marBottom w:val="0"/>
      <w:divBdr>
        <w:top w:val="none" w:sz="0" w:space="0" w:color="auto"/>
        <w:left w:val="none" w:sz="0" w:space="0" w:color="auto"/>
        <w:bottom w:val="none" w:sz="0" w:space="0" w:color="auto"/>
        <w:right w:val="none" w:sz="0" w:space="0" w:color="auto"/>
      </w:divBdr>
    </w:div>
    <w:div w:id="799764077">
      <w:bodyDiv w:val="1"/>
      <w:marLeft w:val="0"/>
      <w:marRight w:val="0"/>
      <w:marTop w:val="0"/>
      <w:marBottom w:val="0"/>
      <w:divBdr>
        <w:top w:val="none" w:sz="0" w:space="0" w:color="auto"/>
        <w:left w:val="none" w:sz="0" w:space="0" w:color="auto"/>
        <w:bottom w:val="none" w:sz="0" w:space="0" w:color="auto"/>
        <w:right w:val="none" w:sz="0" w:space="0" w:color="auto"/>
      </w:divBdr>
    </w:div>
    <w:div w:id="799878378">
      <w:bodyDiv w:val="1"/>
      <w:marLeft w:val="0"/>
      <w:marRight w:val="0"/>
      <w:marTop w:val="0"/>
      <w:marBottom w:val="0"/>
      <w:divBdr>
        <w:top w:val="none" w:sz="0" w:space="0" w:color="auto"/>
        <w:left w:val="none" w:sz="0" w:space="0" w:color="auto"/>
        <w:bottom w:val="none" w:sz="0" w:space="0" w:color="auto"/>
        <w:right w:val="none" w:sz="0" w:space="0" w:color="auto"/>
      </w:divBdr>
    </w:div>
    <w:div w:id="799880667">
      <w:bodyDiv w:val="1"/>
      <w:marLeft w:val="0"/>
      <w:marRight w:val="0"/>
      <w:marTop w:val="0"/>
      <w:marBottom w:val="0"/>
      <w:divBdr>
        <w:top w:val="none" w:sz="0" w:space="0" w:color="auto"/>
        <w:left w:val="none" w:sz="0" w:space="0" w:color="auto"/>
        <w:bottom w:val="none" w:sz="0" w:space="0" w:color="auto"/>
        <w:right w:val="none" w:sz="0" w:space="0" w:color="auto"/>
      </w:divBdr>
    </w:div>
    <w:div w:id="799884516">
      <w:bodyDiv w:val="1"/>
      <w:marLeft w:val="0"/>
      <w:marRight w:val="0"/>
      <w:marTop w:val="0"/>
      <w:marBottom w:val="0"/>
      <w:divBdr>
        <w:top w:val="none" w:sz="0" w:space="0" w:color="auto"/>
        <w:left w:val="none" w:sz="0" w:space="0" w:color="auto"/>
        <w:bottom w:val="none" w:sz="0" w:space="0" w:color="auto"/>
        <w:right w:val="none" w:sz="0" w:space="0" w:color="auto"/>
      </w:divBdr>
    </w:div>
    <w:div w:id="799958879">
      <w:bodyDiv w:val="1"/>
      <w:marLeft w:val="0"/>
      <w:marRight w:val="0"/>
      <w:marTop w:val="0"/>
      <w:marBottom w:val="0"/>
      <w:divBdr>
        <w:top w:val="none" w:sz="0" w:space="0" w:color="auto"/>
        <w:left w:val="none" w:sz="0" w:space="0" w:color="auto"/>
        <w:bottom w:val="none" w:sz="0" w:space="0" w:color="auto"/>
        <w:right w:val="none" w:sz="0" w:space="0" w:color="auto"/>
      </w:divBdr>
    </w:div>
    <w:div w:id="799962378">
      <w:bodyDiv w:val="1"/>
      <w:marLeft w:val="0"/>
      <w:marRight w:val="0"/>
      <w:marTop w:val="0"/>
      <w:marBottom w:val="0"/>
      <w:divBdr>
        <w:top w:val="none" w:sz="0" w:space="0" w:color="auto"/>
        <w:left w:val="none" w:sz="0" w:space="0" w:color="auto"/>
        <w:bottom w:val="none" w:sz="0" w:space="0" w:color="auto"/>
        <w:right w:val="none" w:sz="0" w:space="0" w:color="auto"/>
      </w:divBdr>
    </w:div>
    <w:div w:id="799999249">
      <w:bodyDiv w:val="1"/>
      <w:marLeft w:val="0"/>
      <w:marRight w:val="0"/>
      <w:marTop w:val="0"/>
      <w:marBottom w:val="0"/>
      <w:divBdr>
        <w:top w:val="none" w:sz="0" w:space="0" w:color="auto"/>
        <w:left w:val="none" w:sz="0" w:space="0" w:color="auto"/>
        <w:bottom w:val="none" w:sz="0" w:space="0" w:color="auto"/>
        <w:right w:val="none" w:sz="0" w:space="0" w:color="auto"/>
      </w:divBdr>
    </w:div>
    <w:div w:id="800001981">
      <w:bodyDiv w:val="1"/>
      <w:marLeft w:val="0"/>
      <w:marRight w:val="0"/>
      <w:marTop w:val="0"/>
      <w:marBottom w:val="0"/>
      <w:divBdr>
        <w:top w:val="none" w:sz="0" w:space="0" w:color="auto"/>
        <w:left w:val="none" w:sz="0" w:space="0" w:color="auto"/>
        <w:bottom w:val="none" w:sz="0" w:space="0" w:color="auto"/>
        <w:right w:val="none" w:sz="0" w:space="0" w:color="auto"/>
      </w:divBdr>
    </w:div>
    <w:div w:id="800080514">
      <w:bodyDiv w:val="1"/>
      <w:marLeft w:val="0"/>
      <w:marRight w:val="0"/>
      <w:marTop w:val="0"/>
      <w:marBottom w:val="0"/>
      <w:divBdr>
        <w:top w:val="none" w:sz="0" w:space="0" w:color="auto"/>
        <w:left w:val="none" w:sz="0" w:space="0" w:color="auto"/>
        <w:bottom w:val="none" w:sz="0" w:space="0" w:color="auto"/>
        <w:right w:val="none" w:sz="0" w:space="0" w:color="auto"/>
      </w:divBdr>
    </w:div>
    <w:div w:id="800149206">
      <w:bodyDiv w:val="1"/>
      <w:marLeft w:val="0"/>
      <w:marRight w:val="0"/>
      <w:marTop w:val="0"/>
      <w:marBottom w:val="0"/>
      <w:divBdr>
        <w:top w:val="none" w:sz="0" w:space="0" w:color="auto"/>
        <w:left w:val="none" w:sz="0" w:space="0" w:color="auto"/>
        <w:bottom w:val="none" w:sz="0" w:space="0" w:color="auto"/>
        <w:right w:val="none" w:sz="0" w:space="0" w:color="auto"/>
      </w:divBdr>
    </w:div>
    <w:div w:id="800154476">
      <w:bodyDiv w:val="1"/>
      <w:marLeft w:val="0"/>
      <w:marRight w:val="0"/>
      <w:marTop w:val="0"/>
      <w:marBottom w:val="0"/>
      <w:divBdr>
        <w:top w:val="none" w:sz="0" w:space="0" w:color="auto"/>
        <w:left w:val="none" w:sz="0" w:space="0" w:color="auto"/>
        <w:bottom w:val="none" w:sz="0" w:space="0" w:color="auto"/>
        <w:right w:val="none" w:sz="0" w:space="0" w:color="auto"/>
      </w:divBdr>
    </w:div>
    <w:div w:id="800198163">
      <w:bodyDiv w:val="1"/>
      <w:marLeft w:val="0"/>
      <w:marRight w:val="0"/>
      <w:marTop w:val="0"/>
      <w:marBottom w:val="0"/>
      <w:divBdr>
        <w:top w:val="none" w:sz="0" w:space="0" w:color="auto"/>
        <w:left w:val="none" w:sz="0" w:space="0" w:color="auto"/>
        <w:bottom w:val="none" w:sz="0" w:space="0" w:color="auto"/>
        <w:right w:val="none" w:sz="0" w:space="0" w:color="auto"/>
      </w:divBdr>
    </w:div>
    <w:div w:id="800224286">
      <w:bodyDiv w:val="1"/>
      <w:marLeft w:val="0"/>
      <w:marRight w:val="0"/>
      <w:marTop w:val="0"/>
      <w:marBottom w:val="0"/>
      <w:divBdr>
        <w:top w:val="none" w:sz="0" w:space="0" w:color="auto"/>
        <w:left w:val="none" w:sz="0" w:space="0" w:color="auto"/>
        <w:bottom w:val="none" w:sz="0" w:space="0" w:color="auto"/>
        <w:right w:val="none" w:sz="0" w:space="0" w:color="auto"/>
      </w:divBdr>
    </w:div>
    <w:div w:id="800224548">
      <w:bodyDiv w:val="1"/>
      <w:marLeft w:val="0"/>
      <w:marRight w:val="0"/>
      <w:marTop w:val="0"/>
      <w:marBottom w:val="0"/>
      <w:divBdr>
        <w:top w:val="none" w:sz="0" w:space="0" w:color="auto"/>
        <w:left w:val="none" w:sz="0" w:space="0" w:color="auto"/>
        <w:bottom w:val="none" w:sz="0" w:space="0" w:color="auto"/>
        <w:right w:val="none" w:sz="0" w:space="0" w:color="auto"/>
      </w:divBdr>
    </w:div>
    <w:div w:id="800271680">
      <w:bodyDiv w:val="1"/>
      <w:marLeft w:val="0"/>
      <w:marRight w:val="0"/>
      <w:marTop w:val="0"/>
      <w:marBottom w:val="0"/>
      <w:divBdr>
        <w:top w:val="none" w:sz="0" w:space="0" w:color="auto"/>
        <w:left w:val="none" w:sz="0" w:space="0" w:color="auto"/>
        <w:bottom w:val="none" w:sz="0" w:space="0" w:color="auto"/>
        <w:right w:val="none" w:sz="0" w:space="0" w:color="auto"/>
      </w:divBdr>
    </w:div>
    <w:div w:id="800345823">
      <w:bodyDiv w:val="1"/>
      <w:marLeft w:val="0"/>
      <w:marRight w:val="0"/>
      <w:marTop w:val="0"/>
      <w:marBottom w:val="0"/>
      <w:divBdr>
        <w:top w:val="none" w:sz="0" w:space="0" w:color="auto"/>
        <w:left w:val="none" w:sz="0" w:space="0" w:color="auto"/>
        <w:bottom w:val="none" w:sz="0" w:space="0" w:color="auto"/>
        <w:right w:val="none" w:sz="0" w:space="0" w:color="auto"/>
      </w:divBdr>
    </w:div>
    <w:div w:id="800613883">
      <w:bodyDiv w:val="1"/>
      <w:marLeft w:val="0"/>
      <w:marRight w:val="0"/>
      <w:marTop w:val="0"/>
      <w:marBottom w:val="0"/>
      <w:divBdr>
        <w:top w:val="none" w:sz="0" w:space="0" w:color="auto"/>
        <w:left w:val="none" w:sz="0" w:space="0" w:color="auto"/>
        <w:bottom w:val="none" w:sz="0" w:space="0" w:color="auto"/>
        <w:right w:val="none" w:sz="0" w:space="0" w:color="auto"/>
      </w:divBdr>
    </w:div>
    <w:div w:id="800685187">
      <w:bodyDiv w:val="1"/>
      <w:marLeft w:val="0"/>
      <w:marRight w:val="0"/>
      <w:marTop w:val="0"/>
      <w:marBottom w:val="0"/>
      <w:divBdr>
        <w:top w:val="none" w:sz="0" w:space="0" w:color="auto"/>
        <w:left w:val="none" w:sz="0" w:space="0" w:color="auto"/>
        <w:bottom w:val="none" w:sz="0" w:space="0" w:color="auto"/>
        <w:right w:val="none" w:sz="0" w:space="0" w:color="auto"/>
      </w:divBdr>
    </w:div>
    <w:div w:id="800803231">
      <w:bodyDiv w:val="1"/>
      <w:marLeft w:val="0"/>
      <w:marRight w:val="0"/>
      <w:marTop w:val="0"/>
      <w:marBottom w:val="0"/>
      <w:divBdr>
        <w:top w:val="none" w:sz="0" w:space="0" w:color="auto"/>
        <w:left w:val="none" w:sz="0" w:space="0" w:color="auto"/>
        <w:bottom w:val="none" w:sz="0" w:space="0" w:color="auto"/>
        <w:right w:val="none" w:sz="0" w:space="0" w:color="auto"/>
      </w:divBdr>
    </w:div>
    <w:div w:id="800850069">
      <w:bodyDiv w:val="1"/>
      <w:marLeft w:val="0"/>
      <w:marRight w:val="0"/>
      <w:marTop w:val="0"/>
      <w:marBottom w:val="0"/>
      <w:divBdr>
        <w:top w:val="none" w:sz="0" w:space="0" w:color="auto"/>
        <w:left w:val="none" w:sz="0" w:space="0" w:color="auto"/>
        <w:bottom w:val="none" w:sz="0" w:space="0" w:color="auto"/>
        <w:right w:val="none" w:sz="0" w:space="0" w:color="auto"/>
      </w:divBdr>
    </w:div>
    <w:div w:id="800994910">
      <w:bodyDiv w:val="1"/>
      <w:marLeft w:val="0"/>
      <w:marRight w:val="0"/>
      <w:marTop w:val="0"/>
      <w:marBottom w:val="0"/>
      <w:divBdr>
        <w:top w:val="none" w:sz="0" w:space="0" w:color="auto"/>
        <w:left w:val="none" w:sz="0" w:space="0" w:color="auto"/>
        <w:bottom w:val="none" w:sz="0" w:space="0" w:color="auto"/>
        <w:right w:val="none" w:sz="0" w:space="0" w:color="auto"/>
      </w:divBdr>
    </w:div>
    <w:div w:id="800996169">
      <w:bodyDiv w:val="1"/>
      <w:marLeft w:val="0"/>
      <w:marRight w:val="0"/>
      <w:marTop w:val="0"/>
      <w:marBottom w:val="0"/>
      <w:divBdr>
        <w:top w:val="none" w:sz="0" w:space="0" w:color="auto"/>
        <w:left w:val="none" w:sz="0" w:space="0" w:color="auto"/>
        <w:bottom w:val="none" w:sz="0" w:space="0" w:color="auto"/>
        <w:right w:val="none" w:sz="0" w:space="0" w:color="auto"/>
      </w:divBdr>
    </w:div>
    <w:div w:id="801046609">
      <w:bodyDiv w:val="1"/>
      <w:marLeft w:val="0"/>
      <w:marRight w:val="0"/>
      <w:marTop w:val="0"/>
      <w:marBottom w:val="0"/>
      <w:divBdr>
        <w:top w:val="none" w:sz="0" w:space="0" w:color="auto"/>
        <w:left w:val="none" w:sz="0" w:space="0" w:color="auto"/>
        <w:bottom w:val="none" w:sz="0" w:space="0" w:color="auto"/>
        <w:right w:val="none" w:sz="0" w:space="0" w:color="auto"/>
      </w:divBdr>
    </w:div>
    <w:div w:id="801070778">
      <w:bodyDiv w:val="1"/>
      <w:marLeft w:val="0"/>
      <w:marRight w:val="0"/>
      <w:marTop w:val="0"/>
      <w:marBottom w:val="0"/>
      <w:divBdr>
        <w:top w:val="none" w:sz="0" w:space="0" w:color="auto"/>
        <w:left w:val="none" w:sz="0" w:space="0" w:color="auto"/>
        <w:bottom w:val="none" w:sz="0" w:space="0" w:color="auto"/>
        <w:right w:val="none" w:sz="0" w:space="0" w:color="auto"/>
      </w:divBdr>
    </w:div>
    <w:div w:id="801078297">
      <w:bodyDiv w:val="1"/>
      <w:marLeft w:val="0"/>
      <w:marRight w:val="0"/>
      <w:marTop w:val="0"/>
      <w:marBottom w:val="0"/>
      <w:divBdr>
        <w:top w:val="none" w:sz="0" w:space="0" w:color="auto"/>
        <w:left w:val="none" w:sz="0" w:space="0" w:color="auto"/>
        <w:bottom w:val="none" w:sz="0" w:space="0" w:color="auto"/>
        <w:right w:val="none" w:sz="0" w:space="0" w:color="auto"/>
      </w:divBdr>
    </w:div>
    <w:div w:id="801116386">
      <w:bodyDiv w:val="1"/>
      <w:marLeft w:val="0"/>
      <w:marRight w:val="0"/>
      <w:marTop w:val="0"/>
      <w:marBottom w:val="0"/>
      <w:divBdr>
        <w:top w:val="none" w:sz="0" w:space="0" w:color="auto"/>
        <w:left w:val="none" w:sz="0" w:space="0" w:color="auto"/>
        <w:bottom w:val="none" w:sz="0" w:space="0" w:color="auto"/>
        <w:right w:val="none" w:sz="0" w:space="0" w:color="auto"/>
      </w:divBdr>
    </w:div>
    <w:div w:id="801189192">
      <w:bodyDiv w:val="1"/>
      <w:marLeft w:val="0"/>
      <w:marRight w:val="0"/>
      <w:marTop w:val="0"/>
      <w:marBottom w:val="0"/>
      <w:divBdr>
        <w:top w:val="none" w:sz="0" w:space="0" w:color="auto"/>
        <w:left w:val="none" w:sz="0" w:space="0" w:color="auto"/>
        <w:bottom w:val="none" w:sz="0" w:space="0" w:color="auto"/>
        <w:right w:val="none" w:sz="0" w:space="0" w:color="auto"/>
      </w:divBdr>
    </w:div>
    <w:div w:id="801191187">
      <w:bodyDiv w:val="1"/>
      <w:marLeft w:val="0"/>
      <w:marRight w:val="0"/>
      <w:marTop w:val="0"/>
      <w:marBottom w:val="0"/>
      <w:divBdr>
        <w:top w:val="none" w:sz="0" w:space="0" w:color="auto"/>
        <w:left w:val="none" w:sz="0" w:space="0" w:color="auto"/>
        <w:bottom w:val="none" w:sz="0" w:space="0" w:color="auto"/>
        <w:right w:val="none" w:sz="0" w:space="0" w:color="auto"/>
      </w:divBdr>
    </w:div>
    <w:div w:id="801191305">
      <w:bodyDiv w:val="1"/>
      <w:marLeft w:val="0"/>
      <w:marRight w:val="0"/>
      <w:marTop w:val="0"/>
      <w:marBottom w:val="0"/>
      <w:divBdr>
        <w:top w:val="none" w:sz="0" w:space="0" w:color="auto"/>
        <w:left w:val="none" w:sz="0" w:space="0" w:color="auto"/>
        <w:bottom w:val="none" w:sz="0" w:space="0" w:color="auto"/>
        <w:right w:val="none" w:sz="0" w:space="0" w:color="auto"/>
      </w:divBdr>
    </w:div>
    <w:div w:id="801265788">
      <w:bodyDiv w:val="1"/>
      <w:marLeft w:val="0"/>
      <w:marRight w:val="0"/>
      <w:marTop w:val="0"/>
      <w:marBottom w:val="0"/>
      <w:divBdr>
        <w:top w:val="none" w:sz="0" w:space="0" w:color="auto"/>
        <w:left w:val="none" w:sz="0" w:space="0" w:color="auto"/>
        <w:bottom w:val="none" w:sz="0" w:space="0" w:color="auto"/>
        <w:right w:val="none" w:sz="0" w:space="0" w:color="auto"/>
      </w:divBdr>
    </w:div>
    <w:div w:id="801265914">
      <w:bodyDiv w:val="1"/>
      <w:marLeft w:val="0"/>
      <w:marRight w:val="0"/>
      <w:marTop w:val="0"/>
      <w:marBottom w:val="0"/>
      <w:divBdr>
        <w:top w:val="none" w:sz="0" w:space="0" w:color="auto"/>
        <w:left w:val="none" w:sz="0" w:space="0" w:color="auto"/>
        <w:bottom w:val="none" w:sz="0" w:space="0" w:color="auto"/>
        <w:right w:val="none" w:sz="0" w:space="0" w:color="auto"/>
      </w:divBdr>
    </w:div>
    <w:div w:id="801267454">
      <w:bodyDiv w:val="1"/>
      <w:marLeft w:val="0"/>
      <w:marRight w:val="0"/>
      <w:marTop w:val="0"/>
      <w:marBottom w:val="0"/>
      <w:divBdr>
        <w:top w:val="none" w:sz="0" w:space="0" w:color="auto"/>
        <w:left w:val="none" w:sz="0" w:space="0" w:color="auto"/>
        <w:bottom w:val="none" w:sz="0" w:space="0" w:color="auto"/>
        <w:right w:val="none" w:sz="0" w:space="0" w:color="auto"/>
      </w:divBdr>
    </w:div>
    <w:div w:id="801460121">
      <w:bodyDiv w:val="1"/>
      <w:marLeft w:val="0"/>
      <w:marRight w:val="0"/>
      <w:marTop w:val="0"/>
      <w:marBottom w:val="0"/>
      <w:divBdr>
        <w:top w:val="none" w:sz="0" w:space="0" w:color="auto"/>
        <w:left w:val="none" w:sz="0" w:space="0" w:color="auto"/>
        <w:bottom w:val="none" w:sz="0" w:space="0" w:color="auto"/>
        <w:right w:val="none" w:sz="0" w:space="0" w:color="auto"/>
      </w:divBdr>
    </w:div>
    <w:div w:id="801462293">
      <w:bodyDiv w:val="1"/>
      <w:marLeft w:val="0"/>
      <w:marRight w:val="0"/>
      <w:marTop w:val="0"/>
      <w:marBottom w:val="0"/>
      <w:divBdr>
        <w:top w:val="none" w:sz="0" w:space="0" w:color="auto"/>
        <w:left w:val="none" w:sz="0" w:space="0" w:color="auto"/>
        <w:bottom w:val="none" w:sz="0" w:space="0" w:color="auto"/>
        <w:right w:val="none" w:sz="0" w:space="0" w:color="auto"/>
      </w:divBdr>
    </w:div>
    <w:div w:id="801534448">
      <w:bodyDiv w:val="1"/>
      <w:marLeft w:val="0"/>
      <w:marRight w:val="0"/>
      <w:marTop w:val="0"/>
      <w:marBottom w:val="0"/>
      <w:divBdr>
        <w:top w:val="none" w:sz="0" w:space="0" w:color="auto"/>
        <w:left w:val="none" w:sz="0" w:space="0" w:color="auto"/>
        <w:bottom w:val="none" w:sz="0" w:space="0" w:color="auto"/>
        <w:right w:val="none" w:sz="0" w:space="0" w:color="auto"/>
      </w:divBdr>
    </w:div>
    <w:div w:id="801920174">
      <w:bodyDiv w:val="1"/>
      <w:marLeft w:val="0"/>
      <w:marRight w:val="0"/>
      <w:marTop w:val="0"/>
      <w:marBottom w:val="0"/>
      <w:divBdr>
        <w:top w:val="none" w:sz="0" w:space="0" w:color="auto"/>
        <w:left w:val="none" w:sz="0" w:space="0" w:color="auto"/>
        <w:bottom w:val="none" w:sz="0" w:space="0" w:color="auto"/>
        <w:right w:val="none" w:sz="0" w:space="0" w:color="auto"/>
      </w:divBdr>
    </w:div>
    <w:div w:id="801920192">
      <w:bodyDiv w:val="1"/>
      <w:marLeft w:val="0"/>
      <w:marRight w:val="0"/>
      <w:marTop w:val="0"/>
      <w:marBottom w:val="0"/>
      <w:divBdr>
        <w:top w:val="none" w:sz="0" w:space="0" w:color="auto"/>
        <w:left w:val="none" w:sz="0" w:space="0" w:color="auto"/>
        <w:bottom w:val="none" w:sz="0" w:space="0" w:color="auto"/>
        <w:right w:val="none" w:sz="0" w:space="0" w:color="auto"/>
      </w:divBdr>
    </w:div>
    <w:div w:id="801969275">
      <w:bodyDiv w:val="1"/>
      <w:marLeft w:val="0"/>
      <w:marRight w:val="0"/>
      <w:marTop w:val="0"/>
      <w:marBottom w:val="0"/>
      <w:divBdr>
        <w:top w:val="none" w:sz="0" w:space="0" w:color="auto"/>
        <w:left w:val="none" w:sz="0" w:space="0" w:color="auto"/>
        <w:bottom w:val="none" w:sz="0" w:space="0" w:color="auto"/>
        <w:right w:val="none" w:sz="0" w:space="0" w:color="auto"/>
      </w:divBdr>
    </w:div>
    <w:div w:id="802043630">
      <w:bodyDiv w:val="1"/>
      <w:marLeft w:val="0"/>
      <w:marRight w:val="0"/>
      <w:marTop w:val="0"/>
      <w:marBottom w:val="0"/>
      <w:divBdr>
        <w:top w:val="none" w:sz="0" w:space="0" w:color="auto"/>
        <w:left w:val="none" w:sz="0" w:space="0" w:color="auto"/>
        <w:bottom w:val="none" w:sz="0" w:space="0" w:color="auto"/>
        <w:right w:val="none" w:sz="0" w:space="0" w:color="auto"/>
      </w:divBdr>
    </w:div>
    <w:div w:id="802193322">
      <w:bodyDiv w:val="1"/>
      <w:marLeft w:val="0"/>
      <w:marRight w:val="0"/>
      <w:marTop w:val="0"/>
      <w:marBottom w:val="0"/>
      <w:divBdr>
        <w:top w:val="none" w:sz="0" w:space="0" w:color="auto"/>
        <w:left w:val="none" w:sz="0" w:space="0" w:color="auto"/>
        <w:bottom w:val="none" w:sz="0" w:space="0" w:color="auto"/>
        <w:right w:val="none" w:sz="0" w:space="0" w:color="auto"/>
      </w:divBdr>
    </w:div>
    <w:div w:id="802310542">
      <w:bodyDiv w:val="1"/>
      <w:marLeft w:val="0"/>
      <w:marRight w:val="0"/>
      <w:marTop w:val="0"/>
      <w:marBottom w:val="0"/>
      <w:divBdr>
        <w:top w:val="none" w:sz="0" w:space="0" w:color="auto"/>
        <w:left w:val="none" w:sz="0" w:space="0" w:color="auto"/>
        <w:bottom w:val="none" w:sz="0" w:space="0" w:color="auto"/>
        <w:right w:val="none" w:sz="0" w:space="0" w:color="auto"/>
      </w:divBdr>
    </w:div>
    <w:div w:id="802312377">
      <w:bodyDiv w:val="1"/>
      <w:marLeft w:val="0"/>
      <w:marRight w:val="0"/>
      <w:marTop w:val="0"/>
      <w:marBottom w:val="0"/>
      <w:divBdr>
        <w:top w:val="none" w:sz="0" w:space="0" w:color="auto"/>
        <w:left w:val="none" w:sz="0" w:space="0" w:color="auto"/>
        <w:bottom w:val="none" w:sz="0" w:space="0" w:color="auto"/>
        <w:right w:val="none" w:sz="0" w:space="0" w:color="auto"/>
      </w:divBdr>
    </w:div>
    <w:div w:id="802382008">
      <w:bodyDiv w:val="1"/>
      <w:marLeft w:val="0"/>
      <w:marRight w:val="0"/>
      <w:marTop w:val="0"/>
      <w:marBottom w:val="0"/>
      <w:divBdr>
        <w:top w:val="none" w:sz="0" w:space="0" w:color="auto"/>
        <w:left w:val="none" w:sz="0" w:space="0" w:color="auto"/>
        <w:bottom w:val="none" w:sz="0" w:space="0" w:color="auto"/>
        <w:right w:val="none" w:sz="0" w:space="0" w:color="auto"/>
      </w:divBdr>
    </w:div>
    <w:div w:id="802383136">
      <w:bodyDiv w:val="1"/>
      <w:marLeft w:val="0"/>
      <w:marRight w:val="0"/>
      <w:marTop w:val="0"/>
      <w:marBottom w:val="0"/>
      <w:divBdr>
        <w:top w:val="none" w:sz="0" w:space="0" w:color="auto"/>
        <w:left w:val="none" w:sz="0" w:space="0" w:color="auto"/>
        <w:bottom w:val="none" w:sz="0" w:space="0" w:color="auto"/>
        <w:right w:val="none" w:sz="0" w:space="0" w:color="auto"/>
      </w:divBdr>
    </w:div>
    <w:div w:id="802506661">
      <w:bodyDiv w:val="1"/>
      <w:marLeft w:val="0"/>
      <w:marRight w:val="0"/>
      <w:marTop w:val="0"/>
      <w:marBottom w:val="0"/>
      <w:divBdr>
        <w:top w:val="none" w:sz="0" w:space="0" w:color="auto"/>
        <w:left w:val="none" w:sz="0" w:space="0" w:color="auto"/>
        <w:bottom w:val="none" w:sz="0" w:space="0" w:color="auto"/>
        <w:right w:val="none" w:sz="0" w:space="0" w:color="auto"/>
      </w:divBdr>
    </w:div>
    <w:div w:id="802693597">
      <w:bodyDiv w:val="1"/>
      <w:marLeft w:val="0"/>
      <w:marRight w:val="0"/>
      <w:marTop w:val="0"/>
      <w:marBottom w:val="0"/>
      <w:divBdr>
        <w:top w:val="none" w:sz="0" w:space="0" w:color="auto"/>
        <w:left w:val="none" w:sz="0" w:space="0" w:color="auto"/>
        <w:bottom w:val="none" w:sz="0" w:space="0" w:color="auto"/>
        <w:right w:val="none" w:sz="0" w:space="0" w:color="auto"/>
      </w:divBdr>
    </w:div>
    <w:div w:id="802845520">
      <w:bodyDiv w:val="1"/>
      <w:marLeft w:val="0"/>
      <w:marRight w:val="0"/>
      <w:marTop w:val="0"/>
      <w:marBottom w:val="0"/>
      <w:divBdr>
        <w:top w:val="none" w:sz="0" w:space="0" w:color="auto"/>
        <w:left w:val="none" w:sz="0" w:space="0" w:color="auto"/>
        <w:bottom w:val="none" w:sz="0" w:space="0" w:color="auto"/>
        <w:right w:val="none" w:sz="0" w:space="0" w:color="auto"/>
      </w:divBdr>
    </w:div>
    <w:div w:id="802893147">
      <w:bodyDiv w:val="1"/>
      <w:marLeft w:val="0"/>
      <w:marRight w:val="0"/>
      <w:marTop w:val="0"/>
      <w:marBottom w:val="0"/>
      <w:divBdr>
        <w:top w:val="none" w:sz="0" w:space="0" w:color="auto"/>
        <w:left w:val="none" w:sz="0" w:space="0" w:color="auto"/>
        <w:bottom w:val="none" w:sz="0" w:space="0" w:color="auto"/>
        <w:right w:val="none" w:sz="0" w:space="0" w:color="auto"/>
      </w:divBdr>
    </w:div>
    <w:div w:id="803080095">
      <w:bodyDiv w:val="1"/>
      <w:marLeft w:val="0"/>
      <w:marRight w:val="0"/>
      <w:marTop w:val="0"/>
      <w:marBottom w:val="0"/>
      <w:divBdr>
        <w:top w:val="none" w:sz="0" w:space="0" w:color="auto"/>
        <w:left w:val="none" w:sz="0" w:space="0" w:color="auto"/>
        <w:bottom w:val="none" w:sz="0" w:space="0" w:color="auto"/>
        <w:right w:val="none" w:sz="0" w:space="0" w:color="auto"/>
      </w:divBdr>
    </w:div>
    <w:div w:id="803082685">
      <w:bodyDiv w:val="1"/>
      <w:marLeft w:val="0"/>
      <w:marRight w:val="0"/>
      <w:marTop w:val="0"/>
      <w:marBottom w:val="0"/>
      <w:divBdr>
        <w:top w:val="none" w:sz="0" w:space="0" w:color="auto"/>
        <w:left w:val="none" w:sz="0" w:space="0" w:color="auto"/>
        <w:bottom w:val="none" w:sz="0" w:space="0" w:color="auto"/>
        <w:right w:val="none" w:sz="0" w:space="0" w:color="auto"/>
      </w:divBdr>
    </w:div>
    <w:div w:id="803082998">
      <w:bodyDiv w:val="1"/>
      <w:marLeft w:val="0"/>
      <w:marRight w:val="0"/>
      <w:marTop w:val="0"/>
      <w:marBottom w:val="0"/>
      <w:divBdr>
        <w:top w:val="none" w:sz="0" w:space="0" w:color="auto"/>
        <w:left w:val="none" w:sz="0" w:space="0" w:color="auto"/>
        <w:bottom w:val="none" w:sz="0" w:space="0" w:color="auto"/>
        <w:right w:val="none" w:sz="0" w:space="0" w:color="auto"/>
      </w:divBdr>
    </w:div>
    <w:div w:id="803085207">
      <w:bodyDiv w:val="1"/>
      <w:marLeft w:val="0"/>
      <w:marRight w:val="0"/>
      <w:marTop w:val="0"/>
      <w:marBottom w:val="0"/>
      <w:divBdr>
        <w:top w:val="none" w:sz="0" w:space="0" w:color="auto"/>
        <w:left w:val="none" w:sz="0" w:space="0" w:color="auto"/>
        <w:bottom w:val="none" w:sz="0" w:space="0" w:color="auto"/>
        <w:right w:val="none" w:sz="0" w:space="0" w:color="auto"/>
      </w:divBdr>
    </w:div>
    <w:div w:id="803085587">
      <w:bodyDiv w:val="1"/>
      <w:marLeft w:val="0"/>
      <w:marRight w:val="0"/>
      <w:marTop w:val="0"/>
      <w:marBottom w:val="0"/>
      <w:divBdr>
        <w:top w:val="none" w:sz="0" w:space="0" w:color="auto"/>
        <w:left w:val="none" w:sz="0" w:space="0" w:color="auto"/>
        <w:bottom w:val="none" w:sz="0" w:space="0" w:color="auto"/>
        <w:right w:val="none" w:sz="0" w:space="0" w:color="auto"/>
      </w:divBdr>
    </w:div>
    <w:div w:id="803159559">
      <w:bodyDiv w:val="1"/>
      <w:marLeft w:val="0"/>
      <w:marRight w:val="0"/>
      <w:marTop w:val="0"/>
      <w:marBottom w:val="0"/>
      <w:divBdr>
        <w:top w:val="none" w:sz="0" w:space="0" w:color="auto"/>
        <w:left w:val="none" w:sz="0" w:space="0" w:color="auto"/>
        <w:bottom w:val="none" w:sz="0" w:space="0" w:color="auto"/>
        <w:right w:val="none" w:sz="0" w:space="0" w:color="auto"/>
      </w:divBdr>
    </w:div>
    <w:div w:id="803230206">
      <w:bodyDiv w:val="1"/>
      <w:marLeft w:val="0"/>
      <w:marRight w:val="0"/>
      <w:marTop w:val="0"/>
      <w:marBottom w:val="0"/>
      <w:divBdr>
        <w:top w:val="none" w:sz="0" w:space="0" w:color="auto"/>
        <w:left w:val="none" w:sz="0" w:space="0" w:color="auto"/>
        <w:bottom w:val="none" w:sz="0" w:space="0" w:color="auto"/>
        <w:right w:val="none" w:sz="0" w:space="0" w:color="auto"/>
      </w:divBdr>
    </w:div>
    <w:div w:id="803235919">
      <w:bodyDiv w:val="1"/>
      <w:marLeft w:val="0"/>
      <w:marRight w:val="0"/>
      <w:marTop w:val="0"/>
      <w:marBottom w:val="0"/>
      <w:divBdr>
        <w:top w:val="none" w:sz="0" w:space="0" w:color="auto"/>
        <w:left w:val="none" w:sz="0" w:space="0" w:color="auto"/>
        <w:bottom w:val="none" w:sz="0" w:space="0" w:color="auto"/>
        <w:right w:val="none" w:sz="0" w:space="0" w:color="auto"/>
      </w:divBdr>
    </w:div>
    <w:div w:id="803349608">
      <w:bodyDiv w:val="1"/>
      <w:marLeft w:val="0"/>
      <w:marRight w:val="0"/>
      <w:marTop w:val="0"/>
      <w:marBottom w:val="0"/>
      <w:divBdr>
        <w:top w:val="none" w:sz="0" w:space="0" w:color="auto"/>
        <w:left w:val="none" w:sz="0" w:space="0" w:color="auto"/>
        <w:bottom w:val="none" w:sz="0" w:space="0" w:color="auto"/>
        <w:right w:val="none" w:sz="0" w:space="0" w:color="auto"/>
      </w:divBdr>
    </w:div>
    <w:div w:id="803423345">
      <w:bodyDiv w:val="1"/>
      <w:marLeft w:val="0"/>
      <w:marRight w:val="0"/>
      <w:marTop w:val="0"/>
      <w:marBottom w:val="0"/>
      <w:divBdr>
        <w:top w:val="none" w:sz="0" w:space="0" w:color="auto"/>
        <w:left w:val="none" w:sz="0" w:space="0" w:color="auto"/>
        <w:bottom w:val="none" w:sz="0" w:space="0" w:color="auto"/>
        <w:right w:val="none" w:sz="0" w:space="0" w:color="auto"/>
      </w:divBdr>
    </w:div>
    <w:div w:id="803425772">
      <w:bodyDiv w:val="1"/>
      <w:marLeft w:val="0"/>
      <w:marRight w:val="0"/>
      <w:marTop w:val="0"/>
      <w:marBottom w:val="0"/>
      <w:divBdr>
        <w:top w:val="none" w:sz="0" w:space="0" w:color="auto"/>
        <w:left w:val="none" w:sz="0" w:space="0" w:color="auto"/>
        <w:bottom w:val="none" w:sz="0" w:space="0" w:color="auto"/>
        <w:right w:val="none" w:sz="0" w:space="0" w:color="auto"/>
      </w:divBdr>
    </w:div>
    <w:div w:id="803431076">
      <w:bodyDiv w:val="1"/>
      <w:marLeft w:val="0"/>
      <w:marRight w:val="0"/>
      <w:marTop w:val="0"/>
      <w:marBottom w:val="0"/>
      <w:divBdr>
        <w:top w:val="none" w:sz="0" w:space="0" w:color="auto"/>
        <w:left w:val="none" w:sz="0" w:space="0" w:color="auto"/>
        <w:bottom w:val="none" w:sz="0" w:space="0" w:color="auto"/>
        <w:right w:val="none" w:sz="0" w:space="0" w:color="auto"/>
      </w:divBdr>
    </w:div>
    <w:div w:id="803623424">
      <w:bodyDiv w:val="1"/>
      <w:marLeft w:val="0"/>
      <w:marRight w:val="0"/>
      <w:marTop w:val="0"/>
      <w:marBottom w:val="0"/>
      <w:divBdr>
        <w:top w:val="none" w:sz="0" w:space="0" w:color="auto"/>
        <w:left w:val="none" w:sz="0" w:space="0" w:color="auto"/>
        <w:bottom w:val="none" w:sz="0" w:space="0" w:color="auto"/>
        <w:right w:val="none" w:sz="0" w:space="0" w:color="auto"/>
      </w:divBdr>
    </w:div>
    <w:div w:id="803624665">
      <w:bodyDiv w:val="1"/>
      <w:marLeft w:val="0"/>
      <w:marRight w:val="0"/>
      <w:marTop w:val="0"/>
      <w:marBottom w:val="0"/>
      <w:divBdr>
        <w:top w:val="none" w:sz="0" w:space="0" w:color="auto"/>
        <w:left w:val="none" w:sz="0" w:space="0" w:color="auto"/>
        <w:bottom w:val="none" w:sz="0" w:space="0" w:color="auto"/>
        <w:right w:val="none" w:sz="0" w:space="0" w:color="auto"/>
      </w:divBdr>
    </w:div>
    <w:div w:id="803692082">
      <w:bodyDiv w:val="1"/>
      <w:marLeft w:val="0"/>
      <w:marRight w:val="0"/>
      <w:marTop w:val="0"/>
      <w:marBottom w:val="0"/>
      <w:divBdr>
        <w:top w:val="none" w:sz="0" w:space="0" w:color="auto"/>
        <w:left w:val="none" w:sz="0" w:space="0" w:color="auto"/>
        <w:bottom w:val="none" w:sz="0" w:space="0" w:color="auto"/>
        <w:right w:val="none" w:sz="0" w:space="0" w:color="auto"/>
      </w:divBdr>
    </w:div>
    <w:div w:id="803694106">
      <w:bodyDiv w:val="1"/>
      <w:marLeft w:val="0"/>
      <w:marRight w:val="0"/>
      <w:marTop w:val="0"/>
      <w:marBottom w:val="0"/>
      <w:divBdr>
        <w:top w:val="none" w:sz="0" w:space="0" w:color="auto"/>
        <w:left w:val="none" w:sz="0" w:space="0" w:color="auto"/>
        <w:bottom w:val="none" w:sz="0" w:space="0" w:color="auto"/>
        <w:right w:val="none" w:sz="0" w:space="0" w:color="auto"/>
      </w:divBdr>
    </w:div>
    <w:div w:id="803700375">
      <w:bodyDiv w:val="1"/>
      <w:marLeft w:val="0"/>
      <w:marRight w:val="0"/>
      <w:marTop w:val="0"/>
      <w:marBottom w:val="0"/>
      <w:divBdr>
        <w:top w:val="none" w:sz="0" w:space="0" w:color="auto"/>
        <w:left w:val="none" w:sz="0" w:space="0" w:color="auto"/>
        <w:bottom w:val="none" w:sz="0" w:space="0" w:color="auto"/>
        <w:right w:val="none" w:sz="0" w:space="0" w:color="auto"/>
      </w:divBdr>
    </w:div>
    <w:div w:id="803739324">
      <w:bodyDiv w:val="1"/>
      <w:marLeft w:val="0"/>
      <w:marRight w:val="0"/>
      <w:marTop w:val="0"/>
      <w:marBottom w:val="0"/>
      <w:divBdr>
        <w:top w:val="none" w:sz="0" w:space="0" w:color="auto"/>
        <w:left w:val="none" w:sz="0" w:space="0" w:color="auto"/>
        <w:bottom w:val="none" w:sz="0" w:space="0" w:color="auto"/>
        <w:right w:val="none" w:sz="0" w:space="0" w:color="auto"/>
      </w:divBdr>
    </w:div>
    <w:div w:id="803815888">
      <w:bodyDiv w:val="1"/>
      <w:marLeft w:val="0"/>
      <w:marRight w:val="0"/>
      <w:marTop w:val="0"/>
      <w:marBottom w:val="0"/>
      <w:divBdr>
        <w:top w:val="none" w:sz="0" w:space="0" w:color="auto"/>
        <w:left w:val="none" w:sz="0" w:space="0" w:color="auto"/>
        <w:bottom w:val="none" w:sz="0" w:space="0" w:color="auto"/>
        <w:right w:val="none" w:sz="0" w:space="0" w:color="auto"/>
      </w:divBdr>
    </w:div>
    <w:div w:id="803889633">
      <w:bodyDiv w:val="1"/>
      <w:marLeft w:val="0"/>
      <w:marRight w:val="0"/>
      <w:marTop w:val="0"/>
      <w:marBottom w:val="0"/>
      <w:divBdr>
        <w:top w:val="none" w:sz="0" w:space="0" w:color="auto"/>
        <w:left w:val="none" w:sz="0" w:space="0" w:color="auto"/>
        <w:bottom w:val="none" w:sz="0" w:space="0" w:color="auto"/>
        <w:right w:val="none" w:sz="0" w:space="0" w:color="auto"/>
      </w:divBdr>
    </w:div>
    <w:div w:id="803893260">
      <w:bodyDiv w:val="1"/>
      <w:marLeft w:val="0"/>
      <w:marRight w:val="0"/>
      <w:marTop w:val="0"/>
      <w:marBottom w:val="0"/>
      <w:divBdr>
        <w:top w:val="none" w:sz="0" w:space="0" w:color="auto"/>
        <w:left w:val="none" w:sz="0" w:space="0" w:color="auto"/>
        <w:bottom w:val="none" w:sz="0" w:space="0" w:color="auto"/>
        <w:right w:val="none" w:sz="0" w:space="0" w:color="auto"/>
      </w:divBdr>
    </w:div>
    <w:div w:id="803934904">
      <w:bodyDiv w:val="1"/>
      <w:marLeft w:val="0"/>
      <w:marRight w:val="0"/>
      <w:marTop w:val="0"/>
      <w:marBottom w:val="0"/>
      <w:divBdr>
        <w:top w:val="none" w:sz="0" w:space="0" w:color="auto"/>
        <w:left w:val="none" w:sz="0" w:space="0" w:color="auto"/>
        <w:bottom w:val="none" w:sz="0" w:space="0" w:color="auto"/>
        <w:right w:val="none" w:sz="0" w:space="0" w:color="auto"/>
      </w:divBdr>
    </w:div>
    <w:div w:id="803962726">
      <w:bodyDiv w:val="1"/>
      <w:marLeft w:val="0"/>
      <w:marRight w:val="0"/>
      <w:marTop w:val="0"/>
      <w:marBottom w:val="0"/>
      <w:divBdr>
        <w:top w:val="none" w:sz="0" w:space="0" w:color="auto"/>
        <w:left w:val="none" w:sz="0" w:space="0" w:color="auto"/>
        <w:bottom w:val="none" w:sz="0" w:space="0" w:color="auto"/>
        <w:right w:val="none" w:sz="0" w:space="0" w:color="auto"/>
      </w:divBdr>
    </w:div>
    <w:div w:id="804197338">
      <w:bodyDiv w:val="1"/>
      <w:marLeft w:val="0"/>
      <w:marRight w:val="0"/>
      <w:marTop w:val="0"/>
      <w:marBottom w:val="0"/>
      <w:divBdr>
        <w:top w:val="none" w:sz="0" w:space="0" w:color="auto"/>
        <w:left w:val="none" w:sz="0" w:space="0" w:color="auto"/>
        <w:bottom w:val="none" w:sz="0" w:space="0" w:color="auto"/>
        <w:right w:val="none" w:sz="0" w:space="0" w:color="auto"/>
      </w:divBdr>
    </w:div>
    <w:div w:id="804347769">
      <w:bodyDiv w:val="1"/>
      <w:marLeft w:val="0"/>
      <w:marRight w:val="0"/>
      <w:marTop w:val="0"/>
      <w:marBottom w:val="0"/>
      <w:divBdr>
        <w:top w:val="none" w:sz="0" w:space="0" w:color="auto"/>
        <w:left w:val="none" w:sz="0" w:space="0" w:color="auto"/>
        <w:bottom w:val="none" w:sz="0" w:space="0" w:color="auto"/>
        <w:right w:val="none" w:sz="0" w:space="0" w:color="auto"/>
      </w:divBdr>
    </w:div>
    <w:div w:id="804355487">
      <w:bodyDiv w:val="1"/>
      <w:marLeft w:val="0"/>
      <w:marRight w:val="0"/>
      <w:marTop w:val="0"/>
      <w:marBottom w:val="0"/>
      <w:divBdr>
        <w:top w:val="none" w:sz="0" w:space="0" w:color="auto"/>
        <w:left w:val="none" w:sz="0" w:space="0" w:color="auto"/>
        <w:bottom w:val="none" w:sz="0" w:space="0" w:color="auto"/>
        <w:right w:val="none" w:sz="0" w:space="0" w:color="auto"/>
      </w:divBdr>
    </w:div>
    <w:div w:id="804396060">
      <w:bodyDiv w:val="1"/>
      <w:marLeft w:val="0"/>
      <w:marRight w:val="0"/>
      <w:marTop w:val="0"/>
      <w:marBottom w:val="0"/>
      <w:divBdr>
        <w:top w:val="none" w:sz="0" w:space="0" w:color="auto"/>
        <w:left w:val="none" w:sz="0" w:space="0" w:color="auto"/>
        <w:bottom w:val="none" w:sz="0" w:space="0" w:color="auto"/>
        <w:right w:val="none" w:sz="0" w:space="0" w:color="auto"/>
      </w:divBdr>
    </w:div>
    <w:div w:id="804464828">
      <w:bodyDiv w:val="1"/>
      <w:marLeft w:val="0"/>
      <w:marRight w:val="0"/>
      <w:marTop w:val="0"/>
      <w:marBottom w:val="0"/>
      <w:divBdr>
        <w:top w:val="none" w:sz="0" w:space="0" w:color="auto"/>
        <w:left w:val="none" w:sz="0" w:space="0" w:color="auto"/>
        <w:bottom w:val="none" w:sz="0" w:space="0" w:color="auto"/>
        <w:right w:val="none" w:sz="0" w:space="0" w:color="auto"/>
      </w:divBdr>
    </w:div>
    <w:div w:id="804544048">
      <w:bodyDiv w:val="1"/>
      <w:marLeft w:val="0"/>
      <w:marRight w:val="0"/>
      <w:marTop w:val="0"/>
      <w:marBottom w:val="0"/>
      <w:divBdr>
        <w:top w:val="none" w:sz="0" w:space="0" w:color="auto"/>
        <w:left w:val="none" w:sz="0" w:space="0" w:color="auto"/>
        <w:bottom w:val="none" w:sz="0" w:space="0" w:color="auto"/>
        <w:right w:val="none" w:sz="0" w:space="0" w:color="auto"/>
      </w:divBdr>
    </w:div>
    <w:div w:id="804586247">
      <w:bodyDiv w:val="1"/>
      <w:marLeft w:val="0"/>
      <w:marRight w:val="0"/>
      <w:marTop w:val="0"/>
      <w:marBottom w:val="0"/>
      <w:divBdr>
        <w:top w:val="none" w:sz="0" w:space="0" w:color="auto"/>
        <w:left w:val="none" w:sz="0" w:space="0" w:color="auto"/>
        <w:bottom w:val="none" w:sz="0" w:space="0" w:color="auto"/>
        <w:right w:val="none" w:sz="0" w:space="0" w:color="auto"/>
      </w:divBdr>
    </w:div>
    <w:div w:id="804665335">
      <w:bodyDiv w:val="1"/>
      <w:marLeft w:val="0"/>
      <w:marRight w:val="0"/>
      <w:marTop w:val="0"/>
      <w:marBottom w:val="0"/>
      <w:divBdr>
        <w:top w:val="none" w:sz="0" w:space="0" w:color="auto"/>
        <w:left w:val="none" w:sz="0" w:space="0" w:color="auto"/>
        <w:bottom w:val="none" w:sz="0" w:space="0" w:color="auto"/>
        <w:right w:val="none" w:sz="0" w:space="0" w:color="auto"/>
      </w:divBdr>
    </w:div>
    <w:div w:id="804927505">
      <w:bodyDiv w:val="1"/>
      <w:marLeft w:val="0"/>
      <w:marRight w:val="0"/>
      <w:marTop w:val="0"/>
      <w:marBottom w:val="0"/>
      <w:divBdr>
        <w:top w:val="none" w:sz="0" w:space="0" w:color="auto"/>
        <w:left w:val="none" w:sz="0" w:space="0" w:color="auto"/>
        <w:bottom w:val="none" w:sz="0" w:space="0" w:color="auto"/>
        <w:right w:val="none" w:sz="0" w:space="0" w:color="auto"/>
      </w:divBdr>
    </w:div>
    <w:div w:id="805002232">
      <w:bodyDiv w:val="1"/>
      <w:marLeft w:val="0"/>
      <w:marRight w:val="0"/>
      <w:marTop w:val="0"/>
      <w:marBottom w:val="0"/>
      <w:divBdr>
        <w:top w:val="none" w:sz="0" w:space="0" w:color="auto"/>
        <w:left w:val="none" w:sz="0" w:space="0" w:color="auto"/>
        <w:bottom w:val="none" w:sz="0" w:space="0" w:color="auto"/>
        <w:right w:val="none" w:sz="0" w:space="0" w:color="auto"/>
      </w:divBdr>
    </w:div>
    <w:div w:id="805003368">
      <w:bodyDiv w:val="1"/>
      <w:marLeft w:val="0"/>
      <w:marRight w:val="0"/>
      <w:marTop w:val="0"/>
      <w:marBottom w:val="0"/>
      <w:divBdr>
        <w:top w:val="none" w:sz="0" w:space="0" w:color="auto"/>
        <w:left w:val="none" w:sz="0" w:space="0" w:color="auto"/>
        <w:bottom w:val="none" w:sz="0" w:space="0" w:color="auto"/>
        <w:right w:val="none" w:sz="0" w:space="0" w:color="auto"/>
      </w:divBdr>
    </w:div>
    <w:div w:id="805129273">
      <w:bodyDiv w:val="1"/>
      <w:marLeft w:val="0"/>
      <w:marRight w:val="0"/>
      <w:marTop w:val="0"/>
      <w:marBottom w:val="0"/>
      <w:divBdr>
        <w:top w:val="none" w:sz="0" w:space="0" w:color="auto"/>
        <w:left w:val="none" w:sz="0" w:space="0" w:color="auto"/>
        <w:bottom w:val="none" w:sz="0" w:space="0" w:color="auto"/>
        <w:right w:val="none" w:sz="0" w:space="0" w:color="auto"/>
      </w:divBdr>
    </w:div>
    <w:div w:id="805241770">
      <w:bodyDiv w:val="1"/>
      <w:marLeft w:val="0"/>
      <w:marRight w:val="0"/>
      <w:marTop w:val="0"/>
      <w:marBottom w:val="0"/>
      <w:divBdr>
        <w:top w:val="none" w:sz="0" w:space="0" w:color="auto"/>
        <w:left w:val="none" w:sz="0" w:space="0" w:color="auto"/>
        <w:bottom w:val="none" w:sz="0" w:space="0" w:color="auto"/>
        <w:right w:val="none" w:sz="0" w:space="0" w:color="auto"/>
      </w:divBdr>
    </w:div>
    <w:div w:id="805245151">
      <w:bodyDiv w:val="1"/>
      <w:marLeft w:val="0"/>
      <w:marRight w:val="0"/>
      <w:marTop w:val="0"/>
      <w:marBottom w:val="0"/>
      <w:divBdr>
        <w:top w:val="none" w:sz="0" w:space="0" w:color="auto"/>
        <w:left w:val="none" w:sz="0" w:space="0" w:color="auto"/>
        <w:bottom w:val="none" w:sz="0" w:space="0" w:color="auto"/>
        <w:right w:val="none" w:sz="0" w:space="0" w:color="auto"/>
      </w:divBdr>
    </w:div>
    <w:div w:id="805273336">
      <w:bodyDiv w:val="1"/>
      <w:marLeft w:val="0"/>
      <w:marRight w:val="0"/>
      <w:marTop w:val="0"/>
      <w:marBottom w:val="0"/>
      <w:divBdr>
        <w:top w:val="none" w:sz="0" w:space="0" w:color="auto"/>
        <w:left w:val="none" w:sz="0" w:space="0" w:color="auto"/>
        <w:bottom w:val="none" w:sz="0" w:space="0" w:color="auto"/>
        <w:right w:val="none" w:sz="0" w:space="0" w:color="auto"/>
      </w:divBdr>
    </w:div>
    <w:div w:id="805589464">
      <w:bodyDiv w:val="1"/>
      <w:marLeft w:val="0"/>
      <w:marRight w:val="0"/>
      <w:marTop w:val="0"/>
      <w:marBottom w:val="0"/>
      <w:divBdr>
        <w:top w:val="none" w:sz="0" w:space="0" w:color="auto"/>
        <w:left w:val="none" w:sz="0" w:space="0" w:color="auto"/>
        <w:bottom w:val="none" w:sz="0" w:space="0" w:color="auto"/>
        <w:right w:val="none" w:sz="0" w:space="0" w:color="auto"/>
      </w:divBdr>
    </w:div>
    <w:div w:id="805703811">
      <w:bodyDiv w:val="1"/>
      <w:marLeft w:val="0"/>
      <w:marRight w:val="0"/>
      <w:marTop w:val="0"/>
      <w:marBottom w:val="0"/>
      <w:divBdr>
        <w:top w:val="none" w:sz="0" w:space="0" w:color="auto"/>
        <w:left w:val="none" w:sz="0" w:space="0" w:color="auto"/>
        <w:bottom w:val="none" w:sz="0" w:space="0" w:color="auto"/>
        <w:right w:val="none" w:sz="0" w:space="0" w:color="auto"/>
      </w:divBdr>
    </w:div>
    <w:div w:id="805776919">
      <w:bodyDiv w:val="1"/>
      <w:marLeft w:val="0"/>
      <w:marRight w:val="0"/>
      <w:marTop w:val="0"/>
      <w:marBottom w:val="0"/>
      <w:divBdr>
        <w:top w:val="none" w:sz="0" w:space="0" w:color="auto"/>
        <w:left w:val="none" w:sz="0" w:space="0" w:color="auto"/>
        <w:bottom w:val="none" w:sz="0" w:space="0" w:color="auto"/>
        <w:right w:val="none" w:sz="0" w:space="0" w:color="auto"/>
      </w:divBdr>
    </w:div>
    <w:div w:id="805778356">
      <w:bodyDiv w:val="1"/>
      <w:marLeft w:val="0"/>
      <w:marRight w:val="0"/>
      <w:marTop w:val="0"/>
      <w:marBottom w:val="0"/>
      <w:divBdr>
        <w:top w:val="none" w:sz="0" w:space="0" w:color="auto"/>
        <w:left w:val="none" w:sz="0" w:space="0" w:color="auto"/>
        <w:bottom w:val="none" w:sz="0" w:space="0" w:color="auto"/>
        <w:right w:val="none" w:sz="0" w:space="0" w:color="auto"/>
      </w:divBdr>
    </w:div>
    <w:div w:id="805854439">
      <w:bodyDiv w:val="1"/>
      <w:marLeft w:val="0"/>
      <w:marRight w:val="0"/>
      <w:marTop w:val="0"/>
      <w:marBottom w:val="0"/>
      <w:divBdr>
        <w:top w:val="none" w:sz="0" w:space="0" w:color="auto"/>
        <w:left w:val="none" w:sz="0" w:space="0" w:color="auto"/>
        <w:bottom w:val="none" w:sz="0" w:space="0" w:color="auto"/>
        <w:right w:val="none" w:sz="0" w:space="0" w:color="auto"/>
      </w:divBdr>
    </w:div>
    <w:div w:id="805899861">
      <w:bodyDiv w:val="1"/>
      <w:marLeft w:val="0"/>
      <w:marRight w:val="0"/>
      <w:marTop w:val="0"/>
      <w:marBottom w:val="0"/>
      <w:divBdr>
        <w:top w:val="none" w:sz="0" w:space="0" w:color="auto"/>
        <w:left w:val="none" w:sz="0" w:space="0" w:color="auto"/>
        <w:bottom w:val="none" w:sz="0" w:space="0" w:color="auto"/>
        <w:right w:val="none" w:sz="0" w:space="0" w:color="auto"/>
      </w:divBdr>
    </w:div>
    <w:div w:id="806170238">
      <w:bodyDiv w:val="1"/>
      <w:marLeft w:val="0"/>
      <w:marRight w:val="0"/>
      <w:marTop w:val="0"/>
      <w:marBottom w:val="0"/>
      <w:divBdr>
        <w:top w:val="none" w:sz="0" w:space="0" w:color="auto"/>
        <w:left w:val="none" w:sz="0" w:space="0" w:color="auto"/>
        <w:bottom w:val="none" w:sz="0" w:space="0" w:color="auto"/>
        <w:right w:val="none" w:sz="0" w:space="0" w:color="auto"/>
      </w:divBdr>
    </w:div>
    <w:div w:id="806238011">
      <w:bodyDiv w:val="1"/>
      <w:marLeft w:val="0"/>
      <w:marRight w:val="0"/>
      <w:marTop w:val="0"/>
      <w:marBottom w:val="0"/>
      <w:divBdr>
        <w:top w:val="none" w:sz="0" w:space="0" w:color="auto"/>
        <w:left w:val="none" w:sz="0" w:space="0" w:color="auto"/>
        <w:bottom w:val="none" w:sz="0" w:space="0" w:color="auto"/>
        <w:right w:val="none" w:sz="0" w:space="0" w:color="auto"/>
      </w:divBdr>
    </w:div>
    <w:div w:id="806238182">
      <w:bodyDiv w:val="1"/>
      <w:marLeft w:val="0"/>
      <w:marRight w:val="0"/>
      <w:marTop w:val="0"/>
      <w:marBottom w:val="0"/>
      <w:divBdr>
        <w:top w:val="none" w:sz="0" w:space="0" w:color="auto"/>
        <w:left w:val="none" w:sz="0" w:space="0" w:color="auto"/>
        <w:bottom w:val="none" w:sz="0" w:space="0" w:color="auto"/>
        <w:right w:val="none" w:sz="0" w:space="0" w:color="auto"/>
      </w:divBdr>
    </w:div>
    <w:div w:id="806313923">
      <w:bodyDiv w:val="1"/>
      <w:marLeft w:val="0"/>
      <w:marRight w:val="0"/>
      <w:marTop w:val="0"/>
      <w:marBottom w:val="0"/>
      <w:divBdr>
        <w:top w:val="none" w:sz="0" w:space="0" w:color="auto"/>
        <w:left w:val="none" w:sz="0" w:space="0" w:color="auto"/>
        <w:bottom w:val="none" w:sz="0" w:space="0" w:color="auto"/>
        <w:right w:val="none" w:sz="0" w:space="0" w:color="auto"/>
      </w:divBdr>
    </w:div>
    <w:div w:id="806554290">
      <w:bodyDiv w:val="1"/>
      <w:marLeft w:val="0"/>
      <w:marRight w:val="0"/>
      <w:marTop w:val="0"/>
      <w:marBottom w:val="0"/>
      <w:divBdr>
        <w:top w:val="none" w:sz="0" w:space="0" w:color="auto"/>
        <w:left w:val="none" w:sz="0" w:space="0" w:color="auto"/>
        <w:bottom w:val="none" w:sz="0" w:space="0" w:color="auto"/>
        <w:right w:val="none" w:sz="0" w:space="0" w:color="auto"/>
      </w:divBdr>
    </w:div>
    <w:div w:id="806554436">
      <w:bodyDiv w:val="1"/>
      <w:marLeft w:val="0"/>
      <w:marRight w:val="0"/>
      <w:marTop w:val="0"/>
      <w:marBottom w:val="0"/>
      <w:divBdr>
        <w:top w:val="none" w:sz="0" w:space="0" w:color="auto"/>
        <w:left w:val="none" w:sz="0" w:space="0" w:color="auto"/>
        <w:bottom w:val="none" w:sz="0" w:space="0" w:color="auto"/>
        <w:right w:val="none" w:sz="0" w:space="0" w:color="auto"/>
      </w:divBdr>
    </w:div>
    <w:div w:id="806556564">
      <w:bodyDiv w:val="1"/>
      <w:marLeft w:val="0"/>
      <w:marRight w:val="0"/>
      <w:marTop w:val="0"/>
      <w:marBottom w:val="0"/>
      <w:divBdr>
        <w:top w:val="none" w:sz="0" w:space="0" w:color="auto"/>
        <w:left w:val="none" w:sz="0" w:space="0" w:color="auto"/>
        <w:bottom w:val="none" w:sz="0" w:space="0" w:color="auto"/>
        <w:right w:val="none" w:sz="0" w:space="0" w:color="auto"/>
      </w:divBdr>
    </w:div>
    <w:div w:id="806630452">
      <w:bodyDiv w:val="1"/>
      <w:marLeft w:val="0"/>
      <w:marRight w:val="0"/>
      <w:marTop w:val="0"/>
      <w:marBottom w:val="0"/>
      <w:divBdr>
        <w:top w:val="none" w:sz="0" w:space="0" w:color="auto"/>
        <w:left w:val="none" w:sz="0" w:space="0" w:color="auto"/>
        <w:bottom w:val="none" w:sz="0" w:space="0" w:color="auto"/>
        <w:right w:val="none" w:sz="0" w:space="0" w:color="auto"/>
      </w:divBdr>
    </w:div>
    <w:div w:id="806699095">
      <w:bodyDiv w:val="1"/>
      <w:marLeft w:val="0"/>
      <w:marRight w:val="0"/>
      <w:marTop w:val="0"/>
      <w:marBottom w:val="0"/>
      <w:divBdr>
        <w:top w:val="none" w:sz="0" w:space="0" w:color="auto"/>
        <w:left w:val="none" w:sz="0" w:space="0" w:color="auto"/>
        <w:bottom w:val="none" w:sz="0" w:space="0" w:color="auto"/>
        <w:right w:val="none" w:sz="0" w:space="0" w:color="auto"/>
      </w:divBdr>
    </w:div>
    <w:div w:id="806701634">
      <w:bodyDiv w:val="1"/>
      <w:marLeft w:val="0"/>
      <w:marRight w:val="0"/>
      <w:marTop w:val="0"/>
      <w:marBottom w:val="0"/>
      <w:divBdr>
        <w:top w:val="none" w:sz="0" w:space="0" w:color="auto"/>
        <w:left w:val="none" w:sz="0" w:space="0" w:color="auto"/>
        <w:bottom w:val="none" w:sz="0" w:space="0" w:color="auto"/>
        <w:right w:val="none" w:sz="0" w:space="0" w:color="auto"/>
      </w:divBdr>
    </w:div>
    <w:div w:id="806817337">
      <w:bodyDiv w:val="1"/>
      <w:marLeft w:val="0"/>
      <w:marRight w:val="0"/>
      <w:marTop w:val="0"/>
      <w:marBottom w:val="0"/>
      <w:divBdr>
        <w:top w:val="none" w:sz="0" w:space="0" w:color="auto"/>
        <w:left w:val="none" w:sz="0" w:space="0" w:color="auto"/>
        <w:bottom w:val="none" w:sz="0" w:space="0" w:color="auto"/>
        <w:right w:val="none" w:sz="0" w:space="0" w:color="auto"/>
      </w:divBdr>
    </w:div>
    <w:div w:id="806821200">
      <w:bodyDiv w:val="1"/>
      <w:marLeft w:val="0"/>
      <w:marRight w:val="0"/>
      <w:marTop w:val="0"/>
      <w:marBottom w:val="0"/>
      <w:divBdr>
        <w:top w:val="none" w:sz="0" w:space="0" w:color="auto"/>
        <w:left w:val="none" w:sz="0" w:space="0" w:color="auto"/>
        <w:bottom w:val="none" w:sz="0" w:space="0" w:color="auto"/>
        <w:right w:val="none" w:sz="0" w:space="0" w:color="auto"/>
      </w:divBdr>
    </w:div>
    <w:div w:id="806822517">
      <w:bodyDiv w:val="1"/>
      <w:marLeft w:val="0"/>
      <w:marRight w:val="0"/>
      <w:marTop w:val="0"/>
      <w:marBottom w:val="0"/>
      <w:divBdr>
        <w:top w:val="none" w:sz="0" w:space="0" w:color="auto"/>
        <w:left w:val="none" w:sz="0" w:space="0" w:color="auto"/>
        <w:bottom w:val="none" w:sz="0" w:space="0" w:color="auto"/>
        <w:right w:val="none" w:sz="0" w:space="0" w:color="auto"/>
      </w:divBdr>
    </w:div>
    <w:div w:id="806892497">
      <w:bodyDiv w:val="1"/>
      <w:marLeft w:val="0"/>
      <w:marRight w:val="0"/>
      <w:marTop w:val="0"/>
      <w:marBottom w:val="0"/>
      <w:divBdr>
        <w:top w:val="none" w:sz="0" w:space="0" w:color="auto"/>
        <w:left w:val="none" w:sz="0" w:space="0" w:color="auto"/>
        <w:bottom w:val="none" w:sz="0" w:space="0" w:color="auto"/>
        <w:right w:val="none" w:sz="0" w:space="0" w:color="auto"/>
      </w:divBdr>
    </w:div>
    <w:div w:id="806893077">
      <w:bodyDiv w:val="1"/>
      <w:marLeft w:val="0"/>
      <w:marRight w:val="0"/>
      <w:marTop w:val="0"/>
      <w:marBottom w:val="0"/>
      <w:divBdr>
        <w:top w:val="none" w:sz="0" w:space="0" w:color="auto"/>
        <w:left w:val="none" w:sz="0" w:space="0" w:color="auto"/>
        <w:bottom w:val="none" w:sz="0" w:space="0" w:color="auto"/>
        <w:right w:val="none" w:sz="0" w:space="0" w:color="auto"/>
      </w:divBdr>
    </w:div>
    <w:div w:id="806970445">
      <w:bodyDiv w:val="1"/>
      <w:marLeft w:val="0"/>
      <w:marRight w:val="0"/>
      <w:marTop w:val="0"/>
      <w:marBottom w:val="0"/>
      <w:divBdr>
        <w:top w:val="none" w:sz="0" w:space="0" w:color="auto"/>
        <w:left w:val="none" w:sz="0" w:space="0" w:color="auto"/>
        <w:bottom w:val="none" w:sz="0" w:space="0" w:color="auto"/>
        <w:right w:val="none" w:sz="0" w:space="0" w:color="auto"/>
      </w:divBdr>
    </w:div>
    <w:div w:id="806974265">
      <w:bodyDiv w:val="1"/>
      <w:marLeft w:val="0"/>
      <w:marRight w:val="0"/>
      <w:marTop w:val="0"/>
      <w:marBottom w:val="0"/>
      <w:divBdr>
        <w:top w:val="none" w:sz="0" w:space="0" w:color="auto"/>
        <w:left w:val="none" w:sz="0" w:space="0" w:color="auto"/>
        <w:bottom w:val="none" w:sz="0" w:space="0" w:color="auto"/>
        <w:right w:val="none" w:sz="0" w:space="0" w:color="auto"/>
      </w:divBdr>
    </w:div>
    <w:div w:id="807016769">
      <w:bodyDiv w:val="1"/>
      <w:marLeft w:val="0"/>
      <w:marRight w:val="0"/>
      <w:marTop w:val="0"/>
      <w:marBottom w:val="0"/>
      <w:divBdr>
        <w:top w:val="none" w:sz="0" w:space="0" w:color="auto"/>
        <w:left w:val="none" w:sz="0" w:space="0" w:color="auto"/>
        <w:bottom w:val="none" w:sz="0" w:space="0" w:color="auto"/>
        <w:right w:val="none" w:sz="0" w:space="0" w:color="auto"/>
      </w:divBdr>
    </w:div>
    <w:div w:id="807211841">
      <w:bodyDiv w:val="1"/>
      <w:marLeft w:val="0"/>
      <w:marRight w:val="0"/>
      <w:marTop w:val="0"/>
      <w:marBottom w:val="0"/>
      <w:divBdr>
        <w:top w:val="none" w:sz="0" w:space="0" w:color="auto"/>
        <w:left w:val="none" w:sz="0" w:space="0" w:color="auto"/>
        <w:bottom w:val="none" w:sz="0" w:space="0" w:color="auto"/>
        <w:right w:val="none" w:sz="0" w:space="0" w:color="auto"/>
      </w:divBdr>
    </w:div>
    <w:div w:id="807237523">
      <w:bodyDiv w:val="1"/>
      <w:marLeft w:val="0"/>
      <w:marRight w:val="0"/>
      <w:marTop w:val="0"/>
      <w:marBottom w:val="0"/>
      <w:divBdr>
        <w:top w:val="none" w:sz="0" w:space="0" w:color="auto"/>
        <w:left w:val="none" w:sz="0" w:space="0" w:color="auto"/>
        <w:bottom w:val="none" w:sz="0" w:space="0" w:color="auto"/>
        <w:right w:val="none" w:sz="0" w:space="0" w:color="auto"/>
      </w:divBdr>
    </w:div>
    <w:div w:id="807287964">
      <w:bodyDiv w:val="1"/>
      <w:marLeft w:val="0"/>
      <w:marRight w:val="0"/>
      <w:marTop w:val="0"/>
      <w:marBottom w:val="0"/>
      <w:divBdr>
        <w:top w:val="none" w:sz="0" w:space="0" w:color="auto"/>
        <w:left w:val="none" w:sz="0" w:space="0" w:color="auto"/>
        <w:bottom w:val="none" w:sz="0" w:space="0" w:color="auto"/>
        <w:right w:val="none" w:sz="0" w:space="0" w:color="auto"/>
      </w:divBdr>
    </w:div>
    <w:div w:id="807354420">
      <w:bodyDiv w:val="1"/>
      <w:marLeft w:val="0"/>
      <w:marRight w:val="0"/>
      <w:marTop w:val="0"/>
      <w:marBottom w:val="0"/>
      <w:divBdr>
        <w:top w:val="none" w:sz="0" w:space="0" w:color="auto"/>
        <w:left w:val="none" w:sz="0" w:space="0" w:color="auto"/>
        <w:bottom w:val="none" w:sz="0" w:space="0" w:color="auto"/>
        <w:right w:val="none" w:sz="0" w:space="0" w:color="auto"/>
      </w:divBdr>
    </w:div>
    <w:div w:id="807404422">
      <w:bodyDiv w:val="1"/>
      <w:marLeft w:val="0"/>
      <w:marRight w:val="0"/>
      <w:marTop w:val="0"/>
      <w:marBottom w:val="0"/>
      <w:divBdr>
        <w:top w:val="none" w:sz="0" w:space="0" w:color="auto"/>
        <w:left w:val="none" w:sz="0" w:space="0" w:color="auto"/>
        <w:bottom w:val="none" w:sz="0" w:space="0" w:color="auto"/>
        <w:right w:val="none" w:sz="0" w:space="0" w:color="auto"/>
      </w:divBdr>
    </w:div>
    <w:div w:id="807548891">
      <w:bodyDiv w:val="1"/>
      <w:marLeft w:val="0"/>
      <w:marRight w:val="0"/>
      <w:marTop w:val="0"/>
      <w:marBottom w:val="0"/>
      <w:divBdr>
        <w:top w:val="none" w:sz="0" w:space="0" w:color="auto"/>
        <w:left w:val="none" w:sz="0" w:space="0" w:color="auto"/>
        <w:bottom w:val="none" w:sz="0" w:space="0" w:color="auto"/>
        <w:right w:val="none" w:sz="0" w:space="0" w:color="auto"/>
      </w:divBdr>
    </w:div>
    <w:div w:id="807632517">
      <w:bodyDiv w:val="1"/>
      <w:marLeft w:val="0"/>
      <w:marRight w:val="0"/>
      <w:marTop w:val="0"/>
      <w:marBottom w:val="0"/>
      <w:divBdr>
        <w:top w:val="none" w:sz="0" w:space="0" w:color="auto"/>
        <w:left w:val="none" w:sz="0" w:space="0" w:color="auto"/>
        <w:bottom w:val="none" w:sz="0" w:space="0" w:color="auto"/>
        <w:right w:val="none" w:sz="0" w:space="0" w:color="auto"/>
      </w:divBdr>
    </w:div>
    <w:div w:id="807668174">
      <w:bodyDiv w:val="1"/>
      <w:marLeft w:val="0"/>
      <w:marRight w:val="0"/>
      <w:marTop w:val="0"/>
      <w:marBottom w:val="0"/>
      <w:divBdr>
        <w:top w:val="none" w:sz="0" w:space="0" w:color="auto"/>
        <w:left w:val="none" w:sz="0" w:space="0" w:color="auto"/>
        <w:bottom w:val="none" w:sz="0" w:space="0" w:color="auto"/>
        <w:right w:val="none" w:sz="0" w:space="0" w:color="auto"/>
      </w:divBdr>
    </w:div>
    <w:div w:id="807894390">
      <w:bodyDiv w:val="1"/>
      <w:marLeft w:val="0"/>
      <w:marRight w:val="0"/>
      <w:marTop w:val="0"/>
      <w:marBottom w:val="0"/>
      <w:divBdr>
        <w:top w:val="none" w:sz="0" w:space="0" w:color="auto"/>
        <w:left w:val="none" w:sz="0" w:space="0" w:color="auto"/>
        <w:bottom w:val="none" w:sz="0" w:space="0" w:color="auto"/>
        <w:right w:val="none" w:sz="0" w:space="0" w:color="auto"/>
      </w:divBdr>
    </w:div>
    <w:div w:id="807934090">
      <w:bodyDiv w:val="1"/>
      <w:marLeft w:val="0"/>
      <w:marRight w:val="0"/>
      <w:marTop w:val="0"/>
      <w:marBottom w:val="0"/>
      <w:divBdr>
        <w:top w:val="none" w:sz="0" w:space="0" w:color="auto"/>
        <w:left w:val="none" w:sz="0" w:space="0" w:color="auto"/>
        <w:bottom w:val="none" w:sz="0" w:space="0" w:color="auto"/>
        <w:right w:val="none" w:sz="0" w:space="0" w:color="auto"/>
      </w:divBdr>
    </w:div>
    <w:div w:id="807935213">
      <w:bodyDiv w:val="1"/>
      <w:marLeft w:val="0"/>
      <w:marRight w:val="0"/>
      <w:marTop w:val="0"/>
      <w:marBottom w:val="0"/>
      <w:divBdr>
        <w:top w:val="none" w:sz="0" w:space="0" w:color="auto"/>
        <w:left w:val="none" w:sz="0" w:space="0" w:color="auto"/>
        <w:bottom w:val="none" w:sz="0" w:space="0" w:color="auto"/>
        <w:right w:val="none" w:sz="0" w:space="0" w:color="auto"/>
      </w:divBdr>
    </w:div>
    <w:div w:id="807935357">
      <w:bodyDiv w:val="1"/>
      <w:marLeft w:val="0"/>
      <w:marRight w:val="0"/>
      <w:marTop w:val="0"/>
      <w:marBottom w:val="0"/>
      <w:divBdr>
        <w:top w:val="none" w:sz="0" w:space="0" w:color="auto"/>
        <w:left w:val="none" w:sz="0" w:space="0" w:color="auto"/>
        <w:bottom w:val="none" w:sz="0" w:space="0" w:color="auto"/>
        <w:right w:val="none" w:sz="0" w:space="0" w:color="auto"/>
      </w:divBdr>
    </w:div>
    <w:div w:id="808085241">
      <w:bodyDiv w:val="1"/>
      <w:marLeft w:val="0"/>
      <w:marRight w:val="0"/>
      <w:marTop w:val="0"/>
      <w:marBottom w:val="0"/>
      <w:divBdr>
        <w:top w:val="none" w:sz="0" w:space="0" w:color="auto"/>
        <w:left w:val="none" w:sz="0" w:space="0" w:color="auto"/>
        <w:bottom w:val="none" w:sz="0" w:space="0" w:color="auto"/>
        <w:right w:val="none" w:sz="0" w:space="0" w:color="auto"/>
      </w:divBdr>
    </w:div>
    <w:div w:id="808134903">
      <w:bodyDiv w:val="1"/>
      <w:marLeft w:val="0"/>
      <w:marRight w:val="0"/>
      <w:marTop w:val="0"/>
      <w:marBottom w:val="0"/>
      <w:divBdr>
        <w:top w:val="none" w:sz="0" w:space="0" w:color="auto"/>
        <w:left w:val="none" w:sz="0" w:space="0" w:color="auto"/>
        <w:bottom w:val="none" w:sz="0" w:space="0" w:color="auto"/>
        <w:right w:val="none" w:sz="0" w:space="0" w:color="auto"/>
      </w:divBdr>
    </w:div>
    <w:div w:id="808287304">
      <w:bodyDiv w:val="1"/>
      <w:marLeft w:val="0"/>
      <w:marRight w:val="0"/>
      <w:marTop w:val="0"/>
      <w:marBottom w:val="0"/>
      <w:divBdr>
        <w:top w:val="none" w:sz="0" w:space="0" w:color="auto"/>
        <w:left w:val="none" w:sz="0" w:space="0" w:color="auto"/>
        <w:bottom w:val="none" w:sz="0" w:space="0" w:color="auto"/>
        <w:right w:val="none" w:sz="0" w:space="0" w:color="auto"/>
      </w:divBdr>
    </w:div>
    <w:div w:id="808396898">
      <w:bodyDiv w:val="1"/>
      <w:marLeft w:val="0"/>
      <w:marRight w:val="0"/>
      <w:marTop w:val="0"/>
      <w:marBottom w:val="0"/>
      <w:divBdr>
        <w:top w:val="none" w:sz="0" w:space="0" w:color="auto"/>
        <w:left w:val="none" w:sz="0" w:space="0" w:color="auto"/>
        <w:bottom w:val="none" w:sz="0" w:space="0" w:color="auto"/>
        <w:right w:val="none" w:sz="0" w:space="0" w:color="auto"/>
      </w:divBdr>
    </w:div>
    <w:div w:id="808477515">
      <w:bodyDiv w:val="1"/>
      <w:marLeft w:val="0"/>
      <w:marRight w:val="0"/>
      <w:marTop w:val="0"/>
      <w:marBottom w:val="0"/>
      <w:divBdr>
        <w:top w:val="none" w:sz="0" w:space="0" w:color="auto"/>
        <w:left w:val="none" w:sz="0" w:space="0" w:color="auto"/>
        <w:bottom w:val="none" w:sz="0" w:space="0" w:color="auto"/>
        <w:right w:val="none" w:sz="0" w:space="0" w:color="auto"/>
      </w:divBdr>
    </w:div>
    <w:div w:id="808674235">
      <w:bodyDiv w:val="1"/>
      <w:marLeft w:val="0"/>
      <w:marRight w:val="0"/>
      <w:marTop w:val="0"/>
      <w:marBottom w:val="0"/>
      <w:divBdr>
        <w:top w:val="none" w:sz="0" w:space="0" w:color="auto"/>
        <w:left w:val="none" w:sz="0" w:space="0" w:color="auto"/>
        <w:bottom w:val="none" w:sz="0" w:space="0" w:color="auto"/>
        <w:right w:val="none" w:sz="0" w:space="0" w:color="auto"/>
      </w:divBdr>
    </w:div>
    <w:div w:id="808745112">
      <w:bodyDiv w:val="1"/>
      <w:marLeft w:val="0"/>
      <w:marRight w:val="0"/>
      <w:marTop w:val="0"/>
      <w:marBottom w:val="0"/>
      <w:divBdr>
        <w:top w:val="none" w:sz="0" w:space="0" w:color="auto"/>
        <w:left w:val="none" w:sz="0" w:space="0" w:color="auto"/>
        <w:bottom w:val="none" w:sz="0" w:space="0" w:color="auto"/>
        <w:right w:val="none" w:sz="0" w:space="0" w:color="auto"/>
      </w:divBdr>
    </w:div>
    <w:div w:id="808746649">
      <w:bodyDiv w:val="1"/>
      <w:marLeft w:val="0"/>
      <w:marRight w:val="0"/>
      <w:marTop w:val="0"/>
      <w:marBottom w:val="0"/>
      <w:divBdr>
        <w:top w:val="none" w:sz="0" w:space="0" w:color="auto"/>
        <w:left w:val="none" w:sz="0" w:space="0" w:color="auto"/>
        <w:bottom w:val="none" w:sz="0" w:space="0" w:color="auto"/>
        <w:right w:val="none" w:sz="0" w:space="0" w:color="auto"/>
      </w:divBdr>
    </w:div>
    <w:div w:id="808862529">
      <w:bodyDiv w:val="1"/>
      <w:marLeft w:val="0"/>
      <w:marRight w:val="0"/>
      <w:marTop w:val="0"/>
      <w:marBottom w:val="0"/>
      <w:divBdr>
        <w:top w:val="none" w:sz="0" w:space="0" w:color="auto"/>
        <w:left w:val="none" w:sz="0" w:space="0" w:color="auto"/>
        <w:bottom w:val="none" w:sz="0" w:space="0" w:color="auto"/>
        <w:right w:val="none" w:sz="0" w:space="0" w:color="auto"/>
      </w:divBdr>
    </w:div>
    <w:div w:id="809130595">
      <w:bodyDiv w:val="1"/>
      <w:marLeft w:val="0"/>
      <w:marRight w:val="0"/>
      <w:marTop w:val="0"/>
      <w:marBottom w:val="0"/>
      <w:divBdr>
        <w:top w:val="none" w:sz="0" w:space="0" w:color="auto"/>
        <w:left w:val="none" w:sz="0" w:space="0" w:color="auto"/>
        <w:bottom w:val="none" w:sz="0" w:space="0" w:color="auto"/>
        <w:right w:val="none" w:sz="0" w:space="0" w:color="auto"/>
      </w:divBdr>
    </w:div>
    <w:div w:id="809130604">
      <w:bodyDiv w:val="1"/>
      <w:marLeft w:val="0"/>
      <w:marRight w:val="0"/>
      <w:marTop w:val="0"/>
      <w:marBottom w:val="0"/>
      <w:divBdr>
        <w:top w:val="none" w:sz="0" w:space="0" w:color="auto"/>
        <w:left w:val="none" w:sz="0" w:space="0" w:color="auto"/>
        <w:bottom w:val="none" w:sz="0" w:space="0" w:color="auto"/>
        <w:right w:val="none" w:sz="0" w:space="0" w:color="auto"/>
      </w:divBdr>
    </w:div>
    <w:div w:id="809254187">
      <w:bodyDiv w:val="1"/>
      <w:marLeft w:val="0"/>
      <w:marRight w:val="0"/>
      <w:marTop w:val="0"/>
      <w:marBottom w:val="0"/>
      <w:divBdr>
        <w:top w:val="none" w:sz="0" w:space="0" w:color="auto"/>
        <w:left w:val="none" w:sz="0" w:space="0" w:color="auto"/>
        <w:bottom w:val="none" w:sz="0" w:space="0" w:color="auto"/>
        <w:right w:val="none" w:sz="0" w:space="0" w:color="auto"/>
      </w:divBdr>
    </w:div>
    <w:div w:id="809320632">
      <w:bodyDiv w:val="1"/>
      <w:marLeft w:val="0"/>
      <w:marRight w:val="0"/>
      <w:marTop w:val="0"/>
      <w:marBottom w:val="0"/>
      <w:divBdr>
        <w:top w:val="none" w:sz="0" w:space="0" w:color="auto"/>
        <w:left w:val="none" w:sz="0" w:space="0" w:color="auto"/>
        <w:bottom w:val="none" w:sz="0" w:space="0" w:color="auto"/>
        <w:right w:val="none" w:sz="0" w:space="0" w:color="auto"/>
      </w:divBdr>
    </w:div>
    <w:div w:id="809444087">
      <w:bodyDiv w:val="1"/>
      <w:marLeft w:val="0"/>
      <w:marRight w:val="0"/>
      <w:marTop w:val="0"/>
      <w:marBottom w:val="0"/>
      <w:divBdr>
        <w:top w:val="none" w:sz="0" w:space="0" w:color="auto"/>
        <w:left w:val="none" w:sz="0" w:space="0" w:color="auto"/>
        <w:bottom w:val="none" w:sz="0" w:space="0" w:color="auto"/>
        <w:right w:val="none" w:sz="0" w:space="0" w:color="auto"/>
      </w:divBdr>
    </w:div>
    <w:div w:id="809515329">
      <w:bodyDiv w:val="1"/>
      <w:marLeft w:val="0"/>
      <w:marRight w:val="0"/>
      <w:marTop w:val="0"/>
      <w:marBottom w:val="0"/>
      <w:divBdr>
        <w:top w:val="none" w:sz="0" w:space="0" w:color="auto"/>
        <w:left w:val="none" w:sz="0" w:space="0" w:color="auto"/>
        <w:bottom w:val="none" w:sz="0" w:space="0" w:color="auto"/>
        <w:right w:val="none" w:sz="0" w:space="0" w:color="auto"/>
      </w:divBdr>
    </w:div>
    <w:div w:id="809591738">
      <w:bodyDiv w:val="1"/>
      <w:marLeft w:val="0"/>
      <w:marRight w:val="0"/>
      <w:marTop w:val="0"/>
      <w:marBottom w:val="0"/>
      <w:divBdr>
        <w:top w:val="none" w:sz="0" w:space="0" w:color="auto"/>
        <w:left w:val="none" w:sz="0" w:space="0" w:color="auto"/>
        <w:bottom w:val="none" w:sz="0" w:space="0" w:color="auto"/>
        <w:right w:val="none" w:sz="0" w:space="0" w:color="auto"/>
      </w:divBdr>
    </w:div>
    <w:div w:id="809592804">
      <w:bodyDiv w:val="1"/>
      <w:marLeft w:val="0"/>
      <w:marRight w:val="0"/>
      <w:marTop w:val="0"/>
      <w:marBottom w:val="0"/>
      <w:divBdr>
        <w:top w:val="none" w:sz="0" w:space="0" w:color="auto"/>
        <w:left w:val="none" w:sz="0" w:space="0" w:color="auto"/>
        <w:bottom w:val="none" w:sz="0" w:space="0" w:color="auto"/>
        <w:right w:val="none" w:sz="0" w:space="0" w:color="auto"/>
      </w:divBdr>
    </w:div>
    <w:div w:id="809635075">
      <w:bodyDiv w:val="1"/>
      <w:marLeft w:val="0"/>
      <w:marRight w:val="0"/>
      <w:marTop w:val="0"/>
      <w:marBottom w:val="0"/>
      <w:divBdr>
        <w:top w:val="none" w:sz="0" w:space="0" w:color="auto"/>
        <w:left w:val="none" w:sz="0" w:space="0" w:color="auto"/>
        <w:bottom w:val="none" w:sz="0" w:space="0" w:color="auto"/>
        <w:right w:val="none" w:sz="0" w:space="0" w:color="auto"/>
      </w:divBdr>
    </w:div>
    <w:div w:id="809786578">
      <w:bodyDiv w:val="1"/>
      <w:marLeft w:val="0"/>
      <w:marRight w:val="0"/>
      <w:marTop w:val="0"/>
      <w:marBottom w:val="0"/>
      <w:divBdr>
        <w:top w:val="none" w:sz="0" w:space="0" w:color="auto"/>
        <w:left w:val="none" w:sz="0" w:space="0" w:color="auto"/>
        <w:bottom w:val="none" w:sz="0" w:space="0" w:color="auto"/>
        <w:right w:val="none" w:sz="0" w:space="0" w:color="auto"/>
      </w:divBdr>
    </w:div>
    <w:div w:id="809909422">
      <w:bodyDiv w:val="1"/>
      <w:marLeft w:val="0"/>
      <w:marRight w:val="0"/>
      <w:marTop w:val="0"/>
      <w:marBottom w:val="0"/>
      <w:divBdr>
        <w:top w:val="none" w:sz="0" w:space="0" w:color="auto"/>
        <w:left w:val="none" w:sz="0" w:space="0" w:color="auto"/>
        <w:bottom w:val="none" w:sz="0" w:space="0" w:color="auto"/>
        <w:right w:val="none" w:sz="0" w:space="0" w:color="auto"/>
      </w:divBdr>
    </w:div>
    <w:div w:id="810025758">
      <w:bodyDiv w:val="1"/>
      <w:marLeft w:val="0"/>
      <w:marRight w:val="0"/>
      <w:marTop w:val="0"/>
      <w:marBottom w:val="0"/>
      <w:divBdr>
        <w:top w:val="none" w:sz="0" w:space="0" w:color="auto"/>
        <w:left w:val="none" w:sz="0" w:space="0" w:color="auto"/>
        <w:bottom w:val="none" w:sz="0" w:space="0" w:color="auto"/>
        <w:right w:val="none" w:sz="0" w:space="0" w:color="auto"/>
      </w:divBdr>
    </w:div>
    <w:div w:id="810101217">
      <w:bodyDiv w:val="1"/>
      <w:marLeft w:val="0"/>
      <w:marRight w:val="0"/>
      <w:marTop w:val="0"/>
      <w:marBottom w:val="0"/>
      <w:divBdr>
        <w:top w:val="none" w:sz="0" w:space="0" w:color="auto"/>
        <w:left w:val="none" w:sz="0" w:space="0" w:color="auto"/>
        <w:bottom w:val="none" w:sz="0" w:space="0" w:color="auto"/>
        <w:right w:val="none" w:sz="0" w:space="0" w:color="auto"/>
      </w:divBdr>
    </w:div>
    <w:div w:id="810168653">
      <w:bodyDiv w:val="1"/>
      <w:marLeft w:val="0"/>
      <w:marRight w:val="0"/>
      <w:marTop w:val="0"/>
      <w:marBottom w:val="0"/>
      <w:divBdr>
        <w:top w:val="none" w:sz="0" w:space="0" w:color="auto"/>
        <w:left w:val="none" w:sz="0" w:space="0" w:color="auto"/>
        <w:bottom w:val="none" w:sz="0" w:space="0" w:color="auto"/>
        <w:right w:val="none" w:sz="0" w:space="0" w:color="auto"/>
      </w:divBdr>
    </w:div>
    <w:div w:id="810172771">
      <w:bodyDiv w:val="1"/>
      <w:marLeft w:val="0"/>
      <w:marRight w:val="0"/>
      <w:marTop w:val="0"/>
      <w:marBottom w:val="0"/>
      <w:divBdr>
        <w:top w:val="none" w:sz="0" w:space="0" w:color="auto"/>
        <w:left w:val="none" w:sz="0" w:space="0" w:color="auto"/>
        <w:bottom w:val="none" w:sz="0" w:space="0" w:color="auto"/>
        <w:right w:val="none" w:sz="0" w:space="0" w:color="auto"/>
      </w:divBdr>
    </w:div>
    <w:div w:id="810287190">
      <w:bodyDiv w:val="1"/>
      <w:marLeft w:val="0"/>
      <w:marRight w:val="0"/>
      <w:marTop w:val="0"/>
      <w:marBottom w:val="0"/>
      <w:divBdr>
        <w:top w:val="none" w:sz="0" w:space="0" w:color="auto"/>
        <w:left w:val="none" w:sz="0" w:space="0" w:color="auto"/>
        <w:bottom w:val="none" w:sz="0" w:space="0" w:color="auto"/>
        <w:right w:val="none" w:sz="0" w:space="0" w:color="auto"/>
      </w:divBdr>
    </w:div>
    <w:div w:id="810515679">
      <w:bodyDiv w:val="1"/>
      <w:marLeft w:val="0"/>
      <w:marRight w:val="0"/>
      <w:marTop w:val="0"/>
      <w:marBottom w:val="0"/>
      <w:divBdr>
        <w:top w:val="none" w:sz="0" w:space="0" w:color="auto"/>
        <w:left w:val="none" w:sz="0" w:space="0" w:color="auto"/>
        <w:bottom w:val="none" w:sz="0" w:space="0" w:color="auto"/>
        <w:right w:val="none" w:sz="0" w:space="0" w:color="auto"/>
      </w:divBdr>
    </w:div>
    <w:div w:id="810829062">
      <w:bodyDiv w:val="1"/>
      <w:marLeft w:val="0"/>
      <w:marRight w:val="0"/>
      <w:marTop w:val="0"/>
      <w:marBottom w:val="0"/>
      <w:divBdr>
        <w:top w:val="none" w:sz="0" w:space="0" w:color="auto"/>
        <w:left w:val="none" w:sz="0" w:space="0" w:color="auto"/>
        <w:bottom w:val="none" w:sz="0" w:space="0" w:color="auto"/>
        <w:right w:val="none" w:sz="0" w:space="0" w:color="auto"/>
      </w:divBdr>
    </w:div>
    <w:div w:id="810901633">
      <w:bodyDiv w:val="1"/>
      <w:marLeft w:val="0"/>
      <w:marRight w:val="0"/>
      <w:marTop w:val="0"/>
      <w:marBottom w:val="0"/>
      <w:divBdr>
        <w:top w:val="none" w:sz="0" w:space="0" w:color="auto"/>
        <w:left w:val="none" w:sz="0" w:space="0" w:color="auto"/>
        <w:bottom w:val="none" w:sz="0" w:space="0" w:color="auto"/>
        <w:right w:val="none" w:sz="0" w:space="0" w:color="auto"/>
      </w:divBdr>
    </w:div>
    <w:div w:id="810949817">
      <w:bodyDiv w:val="1"/>
      <w:marLeft w:val="0"/>
      <w:marRight w:val="0"/>
      <w:marTop w:val="0"/>
      <w:marBottom w:val="0"/>
      <w:divBdr>
        <w:top w:val="none" w:sz="0" w:space="0" w:color="auto"/>
        <w:left w:val="none" w:sz="0" w:space="0" w:color="auto"/>
        <w:bottom w:val="none" w:sz="0" w:space="0" w:color="auto"/>
        <w:right w:val="none" w:sz="0" w:space="0" w:color="auto"/>
      </w:divBdr>
    </w:div>
    <w:div w:id="811019307">
      <w:bodyDiv w:val="1"/>
      <w:marLeft w:val="0"/>
      <w:marRight w:val="0"/>
      <w:marTop w:val="0"/>
      <w:marBottom w:val="0"/>
      <w:divBdr>
        <w:top w:val="none" w:sz="0" w:space="0" w:color="auto"/>
        <w:left w:val="none" w:sz="0" w:space="0" w:color="auto"/>
        <w:bottom w:val="none" w:sz="0" w:space="0" w:color="auto"/>
        <w:right w:val="none" w:sz="0" w:space="0" w:color="auto"/>
      </w:divBdr>
    </w:div>
    <w:div w:id="811140712">
      <w:bodyDiv w:val="1"/>
      <w:marLeft w:val="0"/>
      <w:marRight w:val="0"/>
      <w:marTop w:val="0"/>
      <w:marBottom w:val="0"/>
      <w:divBdr>
        <w:top w:val="none" w:sz="0" w:space="0" w:color="auto"/>
        <w:left w:val="none" w:sz="0" w:space="0" w:color="auto"/>
        <w:bottom w:val="none" w:sz="0" w:space="0" w:color="auto"/>
        <w:right w:val="none" w:sz="0" w:space="0" w:color="auto"/>
      </w:divBdr>
    </w:div>
    <w:div w:id="811211827">
      <w:bodyDiv w:val="1"/>
      <w:marLeft w:val="0"/>
      <w:marRight w:val="0"/>
      <w:marTop w:val="0"/>
      <w:marBottom w:val="0"/>
      <w:divBdr>
        <w:top w:val="none" w:sz="0" w:space="0" w:color="auto"/>
        <w:left w:val="none" w:sz="0" w:space="0" w:color="auto"/>
        <w:bottom w:val="none" w:sz="0" w:space="0" w:color="auto"/>
        <w:right w:val="none" w:sz="0" w:space="0" w:color="auto"/>
      </w:divBdr>
    </w:div>
    <w:div w:id="811409485">
      <w:bodyDiv w:val="1"/>
      <w:marLeft w:val="0"/>
      <w:marRight w:val="0"/>
      <w:marTop w:val="0"/>
      <w:marBottom w:val="0"/>
      <w:divBdr>
        <w:top w:val="none" w:sz="0" w:space="0" w:color="auto"/>
        <w:left w:val="none" w:sz="0" w:space="0" w:color="auto"/>
        <w:bottom w:val="none" w:sz="0" w:space="0" w:color="auto"/>
        <w:right w:val="none" w:sz="0" w:space="0" w:color="auto"/>
      </w:divBdr>
    </w:div>
    <w:div w:id="811411213">
      <w:bodyDiv w:val="1"/>
      <w:marLeft w:val="0"/>
      <w:marRight w:val="0"/>
      <w:marTop w:val="0"/>
      <w:marBottom w:val="0"/>
      <w:divBdr>
        <w:top w:val="none" w:sz="0" w:space="0" w:color="auto"/>
        <w:left w:val="none" w:sz="0" w:space="0" w:color="auto"/>
        <w:bottom w:val="none" w:sz="0" w:space="0" w:color="auto"/>
        <w:right w:val="none" w:sz="0" w:space="0" w:color="auto"/>
      </w:divBdr>
    </w:div>
    <w:div w:id="811555731">
      <w:bodyDiv w:val="1"/>
      <w:marLeft w:val="0"/>
      <w:marRight w:val="0"/>
      <w:marTop w:val="0"/>
      <w:marBottom w:val="0"/>
      <w:divBdr>
        <w:top w:val="none" w:sz="0" w:space="0" w:color="auto"/>
        <w:left w:val="none" w:sz="0" w:space="0" w:color="auto"/>
        <w:bottom w:val="none" w:sz="0" w:space="0" w:color="auto"/>
        <w:right w:val="none" w:sz="0" w:space="0" w:color="auto"/>
      </w:divBdr>
    </w:div>
    <w:div w:id="811558562">
      <w:bodyDiv w:val="1"/>
      <w:marLeft w:val="0"/>
      <w:marRight w:val="0"/>
      <w:marTop w:val="0"/>
      <w:marBottom w:val="0"/>
      <w:divBdr>
        <w:top w:val="none" w:sz="0" w:space="0" w:color="auto"/>
        <w:left w:val="none" w:sz="0" w:space="0" w:color="auto"/>
        <w:bottom w:val="none" w:sz="0" w:space="0" w:color="auto"/>
        <w:right w:val="none" w:sz="0" w:space="0" w:color="auto"/>
      </w:divBdr>
    </w:div>
    <w:div w:id="811826583">
      <w:bodyDiv w:val="1"/>
      <w:marLeft w:val="0"/>
      <w:marRight w:val="0"/>
      <w:marTop w:val="0"/>
      <w:marBottom w:val="0"/>
      <w:divBdr>
        <w:top w:val="none" w:sz="0" w:space="0" w:color="auto"/>
        <w:left w:val="none" w:sz="0" w:space="0" w:color="auto"/>
        <w:bottom w:val="none" w:sz="0" w:space="0" w:color="auto"/>
        <w:right w:val="none" w:sz="0" w:space="0" w:color="auto"/>
      </w:divBdr>
    </w:div>
    <w:div w:id="811993006">
      <w:bodyDiv w:val="1"/>
      <w:marLeft w:val="0"/>
      <w:marRight w:val="0"/>
      <w:marTop w:val="0"/>
      <w:marBottom w:val="0"/>
      <w:divBdr>
        <w:top w:val="none" w:sz="0" w:space="0" w:color="auto"/>
        <w:left w:val="none" w:sz="0" w:space="0" w:color="auto"/>
        <w:bottom w:val="none" w:sz="0" w:space="0" w:color="auto"/>
        <w:right w:val="none" w:sz="0" w:space="0" w:color="auto"/>
      </w:divBdr>
    </w:div>
    <w:div w:id="812065187">
      <w:bodyDiv w:val="1"/>
      <w:marLeft w:val="0"/>
      <w:marRight w:val="0"/>
      <w:marTop w:val="0"/>
      <w:marBottom w:val="0"/>
      <w:divBdr>
        <w:top w:val="none" w:sz="0" w:space="0" w:color="auto"/>
        <w:left w:val="none" w:sz="0" w:space="0" w:color="auto"/>
        <w:bottom w:val="none" w:sz="0" w:space="0" w:color="auto"/>
        <w:right w:val="none" w:sz="0" w:space="0" w:color="auto"/>
      </w:divBdr>
    </w:div>
    <w:div w:id="812597227">
      <w:bodyDiv w:val="1"/>
      <w:marLeft w:val="0"/>
      <w:marRight w:val="0"/>
      <w:marTop w:val="0"/>
      <w:marBottom w:val="0"/>
      <w:divBdr>
        <w:top w:val="none" w:sz="0" w:space="0" w:color="auto"/>
        <w:left w:val="none" w:sz="0" w:space="0" w:color="auto"/>
        <w:bottom w:val="none" w:sz="0" w:space="0" w:color="auto"/>
        <w:right w:val="none" w:sz="0" w:space="0" w:color="auto"/>
      </w:divBdr>
    </w:div>
    <w:div w:id="812597389">
      <w:bodyDiv w:val="1"/>
      <w:marLeft w:val="0"/>
      <w:marRight w:val="0"/>
      <w:marTop w:val="0"/>
      <w:marBottom w:val="0"/>
      <w:divBdr>
        <w:top w:val="none" w:sz="0" w:space="0" w:color="auto"/>
        <w:left w:val="none" w:sz="0" w:space="0" w:color="auto"/>
        <w:bottom w:val="none" w:sz="0" w:space="0" w:color="auto"/>
        <w:right w:val="none" w:sz="0" w:space="0" w:color="auto"/>
      </w:divBdr>
    </w:div>
    <w:div w:id="812677980">
      <w:bodyDiv w:val="1"/>
      <w:marLeft w:val="0"/>
      <w:marRight w:val="0"/>
      <w:marTop w:val="0"/>
      <w:marBottom w:val="0"/>
      <w:divBdr>
        <w:top w:val="none" w:sz="0" w:space="0" w:color="auto"/>
        <w:left w:val="none" w:sz="0" w:space="0" w:color="auto"/>
        <w:bottom w:val="none" w:sz="0" w:space="0" w:color="auto"/>
        <w:right w:val="none" w:sz="0" w:space="0" w:color="auto"/>
      </w:divBdr>
    </w:div>
    <w:div w:id="812719507">
      <w:bodyDiv w:val="1"/>
      <w:marLeft w:val="0"/>
      <w:marRight w:val="0"/>
      <w:marTop w:val="0"/>
      <w:marBottom w:val="0"/>
      <w:divBdr>
        <w:top w:val="none" w:sz="0" w:space="0" w:color="auto"/>
        <w:left w:val="none" w:sz="0" w:space="0" w:color="auto"/>
        <w:bottom w:val="none" w:sz="0" w:space="0" w:color="auto"/>
        <w:right w:val="none" w:sz="0" w:space="0" w:color="auto"/>
      </w:divBdr>
    </w:div>
    <w:div w:id="812793074">
      <w:bodyDiv w:val="1"/>
      <w:marLeft w:val="0"/>
      <w:marRight w:val="0"/>
      <w:marTop w:val="0"/>
      <w:marBottom w:val="0"/>
      <w:divBdr>
        <w:top w:val="none" w:sz="0" w:space="0" w:color="auto"/>
        <w:left w:val="none" w:sz="0" w:space="0" w:color="auto"/>
        <w:bottom w:val="none" w:sz="0" w:space="0" w:color="auto"/>
        <w:right w:val="none" w:sz="0" w:space="0" w:color="auto"/>
      </w:divBdr>
    </w:div>
    <w:div w:id="812866277">
      <w:bodyDiv w:val="1"/>
      <w:marLeft w:val="0"/>
      <w:marRight w:val="0"/>
      <w:marTop w:val="0"/>
      <w:marBottom w:val="0"/>
      <w:divBdr>
        <w:top w:val="none" w:sz="0" w:space="0" w:color="auto"/>
        <w:left w:val="none" w:sz="0" w:space="0" w:color="auto"/>
        <w:bottom w:val="none" w:sz="0" w:space="0" w:color="auto"/>
        <w:right w:val="none" w:sz="0" w:space="0" w:color="auto"/>
      </w:divBdr>
    </w:div>
    <w:div w:id="812986247">
      <w:bodyDiv w:val="1"/>
      <w:marLeft w:val="0"/>
      <w:marRight w:val="0"/>
      <w:marTop w:val="0"/>
      <w:marBottom w:val="0"/>
      <w:divBdr>
        <w:top w:val="none" w:sz="0" w:space="0" w:color="auto"/>
        <w:left w:val="none" w:sz="0" w:space="0" w:color="auto"/>
        <w:bottom w:val="none" w:sz="0" w:space="0" w:color="auto"/>
        <w:right w:val="none" w:sz="0" w:space="0" w:color="auto"/>
      </w:divBdr>
    </w:div>
    <w:div w:id="813058325">
      <w:bodyDiv w:val="1"/>
      <w:marLeft w:val="0"/>
      <w:marRight w:val="0"/>
      <w:marTop w:val="0"/>
      <w:marBottom w:val="0"/>
      <w:divBdr>
        <w:top w:val="none" w:sz="0" w:space="0" w:color="auto"/>
        <w:left w:val="none" w:sz="0" w:space="0" w:color="auto"/>
        <w:bottom w:val="none" w:sz="0" w:space="0" w:color="auto"/>
        <w:right w:val="none" w:sz="0" w:space="0" w:color="auto"/>
      </w:divBdr>
    </w:div>
    <w:div w:id="813064772">
      <w:bodyDiv w:val="1"/>
      <w:marLeft w:val="0"/>
      <w:marRight w:val="0"/>
      <w:marTop w:val="0"/>
      <w:marBottom w:val="0"/>
      <w:divBdr>
        <w:top w:val="none" w:sz="0" w:space="0" w:color="auto"/>
        <w:left w:val="none" w:sz="0" w:space="0" w:color="auto"/>
        <w:bottom w:val="none" w:sz="0" w:space="0" w:color="auto"/>
        <w:right w:val="none" w:sz="0" w:space="0" w:color="auto"/>
      </w:divBdr>
    </w:div>
    <w:div w:id="813108896">
      <w:bodyDiv w:val="1"/>
      <w:marLeft w:val="0"/>
      <w:marRight w:val="0"/>
      <w:marTop w:val="0"/>
      <w:marBottom w:val="0"/>
      <w:divBdr>
        <w:top w:val="none" w:sz="0" w:space="0" w:color="auto"/>
        <w:left w:val="none" w:sz="0" w:space="0" w:color="auto"/>
        <w:bottom w:val="none" w:sz="0" w:space="0" w:color="auto"/>
        <w:right w:val="none" w:sz="0" w:space="0" w:color="auto"/>
      </w:divBdr>
    </w:div>
    <w:div w:id="813253229">
      <w:bodyDiv w:val="1"/>
      <w:marLeft w:val="0"/>
      <w:marRight w:val="0"/>
      <w:marTop w:val="0"/>
      <w:marBottom w:val="0"/>
      <w:divBdr>
        <w:top w:val="none" w:sz="0" w:space="0" w:color="auto"/>
        <w:left w:val="none" w:sz="0" w:space="0" w:color="auto"/>
        <w:bottom w:val="none" w:sz="0" w:space="0" w:color="auto"/>
        <w:right w:val="none" w:sz="0" w:space="0" w:color="auto"/>
      </w:divBdr>
    </w:div>
    <w:div w:id="813259562">
      <w:bodyDiv w:val="1"/>
      <w:marLeft w:val="0"/>
      <w:marRight w:val="0"/>
      <w:marTop w:val="0"/>
      <w:marBottom w:val="0"/>
      <w:divBdr>
        <w:top w:val="none" w:sz="0" w:space="0" w:color="auto"/>
        <w:left w:val="none" w:sz="0" w:space="0" w:color="auto"/>
        <w:bottom w:val="none" w:sz="0" w:space="0" w:color="auto"/>
        <w:right w:val="none" w:sz="0" w:space="0" w:color="auto"/>
      </w:divBdr>
    </w:div>
    <w:div w:id="813260185">
      <w:bodyDiv w:val="1"/>
      <w:marLeft w:val="0"/>
      <w:marRight w:val="0"/>
      <w:marTop w:val="0"/>
      <w:marBottom w:val="0"/>
      <w:divBdr>
        <w:top w:val="none" w:sz="0" w:space="0" w:color="auto"/>
        <w:left w:val="none" w:sz="0" w:space="0" w:color="auto"/>
        <w:bottom w:val="none" w:sz="0" w:space="0" w:color="auto"/>
        <w:right w:val="none" w:sz="0" w:space="0" w:color="auto"/>
      </w:divBdr>
    </w:div>
    <w:div w:id="813526894">
      <w:bodyDiv w:val="1"/>
      <w:marLeft w:val="0"/>
      <w:marRight w:val="0"/>
      <w:marTop w:val="0"/>
      <w:marBottom w:val="0"/>
      <w:divBdr>
        <w:top w:val="none" w:sz="0" w:space="0" w:color="auto"/>
        <w:left w:val="none" w:sz="0" w:space="0" w:color="auto"/>
        <w:bottom w:val="none" w:sz="0" w:space="0" w:color="auto"/>
        <w:right w:val="none" w:sz="0" w:space="0" w:color="auto"/>
      </w:divBdr>
    </w:div>
    <w:div w:id="813647226">
      <w:bodyDiv w:val="1"/>
      <w:marLeft w:val="0"/>
      <w:marRight w:val="0"/>
      <w:marTop w:val="0"/>
      <w:marBottom w:val="0"/>
      <w:divBdr>
        <w:top w:val="none" w:sz="0" w:space="0" w:color="auto"/>
        <w:left w:val="none" w:sz="0" w:space="0" w:color="auto"/>
        <w:bottom w:val="none" w:sz="0" w:space="0" w:color="auto"/>
        <w:right w:val="none" w:sz="0" w:space="0" w:color="auto"/>
      </w:divBdr>
    </w:div>
    <w:div w:id="813760608">
      <w:bodyDiv w:val="1"/>
      <w:marLeft w:val="0"/>
      <w:marRight w:val="0"/>
      <w:marTop w:val="0"/>
      <w:marBottom w:val="0"/>
      <w:divBdr>
        <w:top w:val="none" w:sz="0" w:space="0" w:color="auto"/>
        <w:left w:val="none" w:sz="0" w:space="0" w:color="auto"/>
        <w:bottom w:val="none" w:sz="0" w:space="0" w:color="auto"/>
        <w:right w:val="none" w:sz="0" w:space="0" w:color="auto"/>
      </w:divBdr>
    </w:div>
    <w:div w:id="813833164">
      <w:bodyDiv w:val="1"/>
      <w:marLeft w:val="0"/>
      <w:marRight w:val="0"/>
      <w:marTop w:val="0"/>
      <w:marBottom w:val="0"/>
      <w:divBdr>
        <w:top w:val="none" w:sz="0" w:space="0" w:color="auto"/>
        <w:left w:val="none" w:sz="0" w:space="0" w:color="auto"/>
        <w:bottom w:val="none" w:sz="0" w:space="0" w:color="auto"/>
        <w:right w:val="none" w:sz="0" w:space="0" w:color="auto"/>
      </w:divBdr>
    </w:div>
    <w:div w:id="813834034">
      <w:bodyDiv w:val="1"/>
      <w:marLeft w:val="0"/>
      <w:marRight w:val="0"/>
      <w:marTop w:val="0"/>
      <w:marBottom w:val="0"/>
      <w:divBdr>
        <w:top w:val="none" w:sz="0" w:space="0" w:color="auto"/>
        <w:left w:val="none" w:sz="0" w:space="0" w:color="auto"/>
        <w:bottom w:val="none" w:sz="0" w:space="0" w:color="auto"/>
        <w:right w:val="none" w:sz="0" w:space="0" w:color="auto"/>
      </w:divBdr>
    </w:div>
    <w:div w:id="813908098">
      <w:bodyDiv w:val="1"/>
      <w:marLeft w:val="0"/>
      <w:marRight w:val="0"/>
      <w:marTop w:val="0"/>
      <w:marBottom w:val="0"/>
      <w:divBdr>
        <w:top w:val="none" w:sz="0" w:space="0" w:color="auto"/>
        <w:left w:val="none" w:sz="0" w:space="0" w:color="auto"/>
        <w:bottom w:val="none" w:sz="0" w:space="0" w:color="auto"/>
        <w:right w:val="none" w:sz="0" w:space="0" w:color="auto"/>
      </w:divBdr>
    </w:div>
    <w:div w:id="814032384">
      <w:bodyDiv w:val="1"/>
      <w:marLeft w:val="0"/>
      <w:marRight w:val="0"/>
      <w:marTop w:val="0"/>
      <w:marBottom w:val="0"/>
      <w:divBdr>
        <w:top w:val="none" w:sz="0" w:space="0" w:color="auto"/>
        <w:left w:val="none" w:sz="0" w:space="0" w:color="auto"/>
        <w:bottom w:val="none" w:sz="0" w:space="0" w:color="auto"/>
        <w:right w:val="none" w:sz="0" w:space="0" w:color="auto"/>
      </w:divBdr>
    </w:div>
    <w:div w:id="814101108">
      <w:bodyDiv w:val="1"/>
      <w:marLeft w:val="0"/>
      <w:marRight w:val="0"/>
      <w:marTop w:val="0"/>
      <w:marBottom w:val="0"/>
      <w:divBdr>
        <w:top w:val="none" w:sz="0" w:space="0" w:color="auto"/>
        <w:left w:val="none" w:sz="0" w:space="0" w:color="auto"/>
        <w:bottom w:val="none" w:sz="0" w:space="0" w:color="auto"/>
        <w:right w:val="none" w:sz="0" w:space="0" w:color="auto"/>
      </w:divBdr>
    </w:div>
    <w:div w:id="814223272">
      <w:bodyDiv w:val="1"/>
      <w:marLeft w:val="0"/>
      <w:marRight w:val="0"/>
      <w:marTop w:val="0"/>
      <w:marBottom w:val="0"/>
      <w:divBdr>
        <w:top w:val="none" w:sz="0" w:space="0" w:color="auto"/>
        <w:left w:val="none" w:sz="0" w:space="0" w:color="auto"/>
        <w:bottom w:val="none" w:sz="0" w:space="0" w:color="auto"/>
        <w:right w:val="none" w:sz="0" w:space="0" w:color="auto"/>
      </w:divBdr>
    </w:div>
    <w:div w:id="814224633">
      <w:bodyDiv w:val="1"/>
      <w:marLeft w:val="0"/>
      <w:marRight w:val="0"/>
      <w:marTop w:val="0"/>
      <w:marBottom w:val="0"/>
      <w:divBdr>
        <w:top w:val="none" w:sz="0" w:space="0" w:color="auto"/>
        <w:left w:val="none" w:sz="0" w:space="0" w:color="auto"/>
        <w:bottom w:val="none" w:sz="0" w:space="0" w:color="auto"/>
        <w:right w:val="none" w:sz="0" w:space="0" w:color="auto"/>
      </w:divBdr>
    </w:div>
    <w:div w:id="814227409">
      <w:bodyDiv w:val="1"/>
      <w:marLeft w:val="0"/>
      <w:marRight w:val="0"/>
      <w:marTop w:val="0"/>
      <w:marBottom w:val="0"/>
      <w:divBdr>
        <w:top w:val="none" w:sz="0" w:space="0" w:color="auto"/>
        <w:left w:val="none" w:sz="0" w:space="0" w:color="auto"/>
        <w:bottom w:val="none" w:sz="0" w:space="0" w:color="auto"/>
        <w:right w:val="none" w:sz="0" w:space="0" w:color="auto"/>
      </w:divBdr>
    </w:div>
    <w:div w:id="814296248">
      <w:bodyDiv w:val="1"/>
      <w:marLeft w:val="0"/>
      <w:marRight w:val="0"/>
      <w:marTop w:val="0"/>
      <w:marBottom w:val="0"/>
      <w:divBdr>
        <w:top w:val="none" w:sz="0" w:space="0" w:color="auto"/>
        <w:left w:val="none" w:sz="0" w:space="0" w:color="auto"/>
        <w:bottom w:val="none" w:sz="0" w:space="0" w:color="auto"/>
        <w:right w:val="none" w:sz="0" w:space="0" w:color="auto"/>
      </w:divBdr>
    </w:div>
    <w:div w:id="814302805">
      <w:bodyDiv w:val="1"/>
      <w:marLeft w:val="0"/>
      <w:marRight w:val="0"/>
      <w:marTop w:val="0"/>
      <w:marBottom w:val="0"/>
      <w:divBdr>
        <w:top w:val="none" w:sz="0" w:space="0" w:color="auto"/>
        <w:left w:val="none" w:sz="0" w:space="0" w:color="auto"/>
        <w:bottom w:val="none" w:sz="0" w:space="0" w:color="auto"/>
        <w:right w:val="none" w:sz="0" w:space="0" w:color="auto"/>
      </w:divBdr>
    </w:div>
    <w:div w:id="814369303">
      <w:bodyDiv w:val="1"/>
      <w:marLeft w:val="0"/>
      <w:marRight w:val="0"/>
      <w:marTop w:val="0"/>
      <w:marBottom w:val="0"/>
      <w:divBdr>
        <w:top w:val="none" w:sz="0" w:space="0" w:color="auto"/>
        <w:left w:val="none" w:sz="0" w:space="0" w:color="auto"/>
        <w:bottom w:val="none" w:sz="0" w:space="0" w:color="auto"/>
        <w:right w:val="none" w:sz="0" w:space="0" w:color="auto"/>
      </w:divBdr>
    </w:div>
    <w:div w:id="814492018">
      <w:bodyDiv w:val="1"/>
      <w:marLeft w:val="0"/>
      <w:marRight w:val="0"/>
      <w:marTop w:val="0"/>
      <w:marBottom w:val="0"/>
      <w:divBdr>
        <w:top w:val="none" w:sz="0" w:space="0" w:color="auto"/>
        <w:left w:val="none" w:sz="0" w:space="0" w:color="auto"/>
        <w:bottom w:val="none" w:sz="0" w:space="0" w:color="auto"/>
        <w:right w:val="none" w:sz="0" w:space="0" w:color="auto"/>
      </w:divBdr>
    </w:div>
    <w:div w:id="814492789">
      <w:bodyDiv w:val="1"/>
      <w:marLeft w:val="0"/>
      <w:marRight w:val="0"/>
      <w:marTop w:val="0"/>
      <w:marBottom w:val="0"/>
      <w:divBdr>
        <w:top w:val="none" w:sz="0" w:space="0" w:color="auto"/>
        <w:left w:val="none" w:sz="0" w:space="0" w:color="auto"/>
        <w:bottom w:val="none" w:sz="0" w:space="0" w:color="auto"/>
        <w:right w:val="none" w:sz="0" w:space="0" w:color="auto"/>
      </w:divBdr>
    </w:div>
    <w:div w:id="814568840">
      <w:bodyDiv w:val="1"/>
      <w:marLeft w:val="0"/>
      <w:marRight w:val="0"/>
      <w:marTop w:val="0"/>
      <w:marBottom w:val="0"/>
      <w:divBdr>
        <w:top w:val="none" w:sz="0" w:space="0" w:color="auto"/>
        <w:left w:val="none" w:sz="0" w:space="0" w:color="auto"/>
        <w:bottom w:val="none" w:sz="0" w:space="0" w:color="auto"/>
        <w:right w:val="none" w:sz="0" w:space="0" w:color="auto"/>
      </w:divBdr>
    </w:div>
    <w:div w:id="814638511">
      <w:bodyDiv w:val="1"/>
      <w:marLeft w:val="0"/>
      <w:marRight w:val="0"/>
      <w:marTop w:val="0"/>
      <w:marBottom w:val="0"/>
      <w:divBdr>
        <w:top w:val="none" w:sz="0" w:space="0" w:color="auto"/>
        <w:left w:val="none" w:sz="0" w:space="0" w:color="auto"/>
        <w:bottom w:val="none" w:sz="0" w:space="0" w:color="auto"/>
        <w:right w:val="none" w:sz="0" w:space="0" w:color="auto"/>
      </w:divBdr>
    </w:div>
    <w:div w:id="814640090">
      <w:bodyDiv w:val="1"/>
      <w:marLeft w:val="0"/>
      <w:marRight w:val="0"/>
      <w:marTop w:val="0"/>
      <w:marBottom w:val="0"/>
      <w:divBdr>
        <w:top w:val="none" w:sz="0" w:space="0" w:color="auto"/>
        <w:left w:val="none" w:sz="0" w:space="0" w:color="auto"/>
        <w:bottom w:val="none" w:sz="0" w:space="0" w:color="auto"/>
        <w:right w:val="none" w:sz="0" w:space="0" w:color="auto"/>
      </w:divBdr>
    </w:div>
    <w:div w:id="814684072">
      <w:bodyDiv w:val="1"/>
      <w:marLeft w:val="0"/>
      <w:marRight w:val="0"/>
      <w:marTop w:val="0"/>
      <w:marBottom w:val="0"/>
      <w:divBdr>
        <w:top w:val="none" w:sz="0" w:space="0" w:color="auto"/>
        <w:left w:val="none" w:sz="0" w:space="0" w:color="auto"/>
        <w:bottom w:val="none" w:sz="0" w:space="0" w:color="auto"/>
        <w:right w:val="none" w:sz="0" w:space="0" w:color="auto"/>
      </w:divBdr>
    </w:div>
    <w:div w:id="815026760">
      <w:bodyDiv w:val="1"/>
      <w:marLeft w:val="0"/>
      <w:marRight w:val="0"/>
      <w:marTop w:val="0"/>
      <w:marBottom w:val="0"/>
      <w:divBdr>
        <w:top w:val="none" w:sz="0" w:space="0" w:color="auto"/>
        <w:left w:val="none" w:sz="0" w:space="0" w:color="auto"/>
        <w:bottom w:val="none" w:sz="0" w:space="0" w:color="auto"/>
        <w:right w:val="none" w:sz="0" w:space="0" w:color="auto"/>
      </w:divBdr>
    </w:div>
    <w:div w:id="815142029">
      <w:bodyDiv w:val="1"/>
      <w:marLeft w:val="0"/>
      <w:marRight w:val="0"/>
      <w:marTop w:val="0"/>
      <w:marBottom w:val="0"/>
      <w:divBdr>
        <w:top w:val="none" w:sz="0" w:space="0" w:color="auto"/>
        <w:left w:val="none" w:sz="0" w:space="0" w:color="auto"/>
        <w:bottom w:val="none" w:sz="0" w:space="0" w:color="auto"/>
        <w:right w:val="none" w:sz="0" w:space="0" w:color="auto"/>
      </w:divBdr>
    </w:div>
    <w:div w:id="815147053">
      <w:bodyDiv w:val="1"/>
      <w:marLeft w:val="0"/>
      <w:marRight w:val="0"/>
      <w:marTop w:val="0"/>
      <w:marBottom w:val="0"/>
      <w:divBdr>
        <w:top w:val="none" w:sz="0" w:space="0" w:color="auto"/>
        <w:left w:val="none" w:sz="0" w:space="0" w:color="auto"/>
        <w:bottom w:val="none" w:sz="0" w:space="0" w:color="auto"/>
        <w:right w:val="none" w:sz="0" w:space="0" w:color="auto"/>
      </w:divBdr>
    </w:div>
    <w:div w:id="815147355">
      <w:bodyDiv w:val="1"/>
      <w:marLeft w:val="0"/>
      <w:marRight w:val="0"/>
      <w:marTop w:val="0"/>
      <w:marBottom w:val="0"/>
      <w:divBdr>
        <w:top w:val="none" w:sz="0" w:space="0" w:color="auto"/>
        <w:left w:val="none" w:sz="0" w:space="0" w:color="auto"/>
        <w:bottom w:val="none" w:sz="0" w:space="0" w:color="auto"/>
        <w:right w:val="none" w:sz="0" w:space="0" w:color="auto"/>
      </w:divBdr>
    </w:div>
    <w:div w:id="815297020">
      <w:bodyDiv w:val="1"/>
      <w:marLeft w:val="0"/>
      <w:marRight w:val="0"/>
      <w:marTop w:val="0"/>
      <w:marBottom w:val="0"/>
      <w:divBdr>
        <w:top w:val="none" w:sz="0" w:space="0" w:color="auto"/>
        <w:left w:val="none" w:sz="0" w:space="0" w:color="auto"/>
        <w:bottom w:val="none" w:sz="0" w:space="0" w:color="auto"/>
        <w:right w:val="none" w:sz="0" w:space="0" w:color="auto"/>
      </w:divBdr>
    </w:div>
    <w:div w:id="815299840">
      <w:bodyDiv w:val="1"/>
      <w:marLeft w:val="0"/>
      <w:marRight w:val="0"/>
      <w:marTop w:val="0"/>
      <w:marBottom w:val="0"/>
      <w:divBdr>
        <w:top w:val="none" w:sz="0" w:space="0" w:color="auto"/>
        <w:left w:val="none" w:sz="0" w:space="0" w:color="auto"/>
        <w:bottom w:val="none" w:sz="0" w:space="0" w:color="auto"/>
        <w:right w:val="none" w:sz="0" w:space="0" w:color="auto"/>
      </w:divBdr>
    </w:div>
    <w:div w:id="815413791">
      <w:bodyDiv w:val="1"/>
      <w:marLeft w:val="0"/>
      <w:marRight w:val="0"/>
      <w:marTop w:val="0"/>
      <w:marBottom w:val="0"/>
      <w:divBdr>
        <w:top w:val="none" w:sz="0" w:space="0" w:color="auto"/>
        <w:left w:val="none" w:sz="0" w:space="0" w:color="auto"/>
        <w:bottom w:val="none" w:sz="0" w:space="0" w:color="auto"/>
        <w:right w:val="none" w:sz="0" w:space="0" w:color="auto"/>
      </w:divBdr>
    </w:div>
    <w:div w:id="815416272">
      <w:bodyDiv w:val="1"/>
      <w:marLeft w:val="0"/>
      <w:marRight w:val="0"/>
      <w:marTop w:val="0"/>
      <w:marBottom w:val="0"/>
      <w:divBdr>
        <w:top w:val="none" w:sz="0" w:space="0" w:color="auto"/>
        <w:left w:val="none" w:sz="0" w:space="0" w:color="auto"/>
        <w:bottom w:val="none" w:sz="0" w:space="0" w:color="auto"/>
        <w:right w:val="none" w:sz="0" w:space="0" w:color="auto"/>
      </w:divBdr>
    </w:div>
    <w:div w:id="815490756">
      <w:bodyDiv w:val="1"/>
      <w:marLeft w:val="0"/>
      <w:marRight w:val="0"/>
      <w:marTop w:val="0"/>
      <w:marBottom w:val="0"/>
      <w:divBdr>
        <w:top w:val="none" w:sz="0" w:space="0" w:color="auto"/>
        <w:left w:val="none" w:sz="0" w:space="0" w:color="auto"/>
        <w:bottom w:val="none" w:sz="0" w:space="0" w:color="auto"/>
        <w:right w:val="none" w:sz="0" w:space="0" w:color="auto"/>
      </w:divBdr>
    </w:div>
    <w:div w:id="815561901">
      <w:bodyDiv w:val="1"/>
      <w:marLeft w:val="0"/>
      <w:marRight w:val="0"/>
      <w:marTop w:val="0"/>
      <w:marBottom w:val="0"/>
      <w:divBdr>
        <w:top w:val="none" w:sz="0" w:space="0" w:color="auto"/>
        <w:left w:val="none" w:sz="0" w:space="0" w:color="auto"/>
        <w:bottom w:val="none" w:sz="0" w:space="0" w:color="auto"/>
        <w:right w:val="none" w:sz="0" w:space="0" w:color="auto"/>
      </w:divBdr>
    </w:div>
    <w:div w:id="815612359">
      <w:bodyDiv w:val="1"/>
      <w:marLeft w:val="0"/>
      <w:marRight w:val="0"/>
      <w:marTop w:val="0"/>
      <w:marBottom w:val="0"/>
      <w:divBdr>
        <w:top w:val="none" w:sz="0" w:space="0" w:color="auto"/>
        <w:left w:val="none" w:sz="0" w:space="0" w:color="auto"/>
        <w:bottom w:val="none" w:sz="0" w:space="0" w:color="auto"/>
        <w:right w:val="none" w:sz="0" w:space="0" w:color="auto"/>
      </w:divBdr>
    </w:div>
    <w:div w:id="815730085">
      <w:bodyDiv w:val="1"/>
      <w:marLeft w:val="0"/>
      <w:marRight w:val="0"/>
      <w:marTop w:val="0"/>
      <w:marBottom w:val="0"/>
      <w:divBdr>
        <w:top w:val="none" w:sz="0" w:space="0" w:color="auto"/>
        <w:left w:val="none" w:sz="0" w:space="0" w:color="auto"/>
        <w:bottom w:val="none" w:sz="0" w:space="0" w:color="auto"/>
        <w:right w:val="none" w:sz="0" w:space="0" w:color="auto"/>
      </w:divBdr>
    </w:div>
    <w:div w:id="815757369">
      <w:bodyDiv w:val="1"/>
      <w:marLeft w:val="0"/>
      <w:marRight w:val="0"/>
      <w:marTop w:val="0"/>
      <w:marBottom w:val="0"/>
      <w:divBdr>
        <w:top w:val="none" w:sz="0" w:space="0" w:color="auto"/>
        <w:left w:val="none" w:sz="0" w:space="0" w:color="auto"/>
        <w:bottom w:val="none" w:sz="0" w:space="0" w:color="auto"/>
        <w:right w:val="none" w:sz="0" w:space="0" w:color="auto"/>
      </w:divBdr>
    </w:div>
    <w:div w:id="815758420">
      <w:bodyDiv w:val="1"/>
      <w:marLeft w:val="0"/>
      <w:marRight w:val="0"/>
      <w:marTop w:val="0"/>
      <w:marBottom w:val="0"/>
      <w:divBdr>
        <w:top w:val="none" w:sz="0" w:space="0" w:color="auto"/>
        <w:left w:val="none" w:sz="0" w:space="0" w:color="auto"/>
        <w:bottom w:val="none" w:sz="0" w:space="0" w:color="auto"/>
        <w:right w:val="none" w:sz="0" w:space="0" w:color="auto"/>
      </w:divBdr>
    </w:div>
    <w:div w:id="816069138">
      <w:bodyDiv w:val="1"/>
      <w:marLeft w:val="0"/>
      <w:marRight w:val="0"/>
      <w:marTop w:val="0"/>
      <w:marBottom w:val="0"/>
      <w:divBdr>
        <w:top w:val="none" w:sz="0" w:space="0" w:color="auto"/>
        <w:left w:val="none" w:sz="0" w:space="0" w:color="auto"/>
        <w:bottom w:val="none" w:sz="0" w:space="0" w:color="auto"/>
        <w:right w:val="none" w:sz="0" w:space="0" w:color="auto"/>
      </w:divBdr>
    </w:div>
    <w:div w:id="816150897">
      <w:bodyDiv w:val="1"/>
      <w:marLeft w:val="0"/>
      <w:marRight w:val="0"/>
      <w:marTop w:val="0"/>
      <w:marBottom w:val="0"/>
      <w:divBdr>
        <w:top w:val="none" w:sz="0" w:space="0" w:color="auto"/>
        <w:left w:val="none" w:sz="0" w:space="0" w:color="auto"/>
        <w:bottom w:val="none" w:sz="0" w:space="0" w:color="auto"/>
        <w:right w:val="none" w:sz="0" w:space="0" w:color="auto"/>
      </w:divBdr>
    </w:div>
    <w:div w:id="816343200">
      <w:bodyDiv w:val="1"/>
      <w:marLeft w:val="0"/>
      <w:marRight w:val="0"/>
      <w:marTop w:val="0"/>
      <w:marBottom w:val="0"/>
      <w:divBdr>
        <w:top w:val="none" w:sz="0" w:space="0" w:color="auto"/>
        <w:left w:val="none" w:sz="0" w:space="0" w:color="auto"/>
        <w:bottom w:val="none" w:sz="0" w:space="0" w:color="auto"/>
        <w:right w:val="none" w:sz="0" w:space="0" w:color="auto"/>
      </w:divBdr>
    </w:div>
    <w:div w:id="816384721">
      <w:bodyDiv w:val="1"/>
      <w:marLeft w:val="0"/>
      <w:marRight w:val="0"/>
      <w:marTop w:val="0"/>
      <w:marBottom w:val="0"/>
      <w:divBdr>
        <w:top w:val="none" w:sz="0" w:space="0" w:color="auto"/>
        <w:left w:val="none" w:sz="0" w:space="0" w:color="auto"/>
        <w:bottom w:val="none" w:sz="0" w:space="0" w:color="auto"/>
        <w:right w:val="none" w:sz="0" w:space="0" w:color="auto"/>
      </w:divBdr>
    </w:div>
    <w:div w:id="816411793">
      <w:bodyDiv w:val="1"/>
      <w:marLeft w:val="0"/>
      <w:marRight w:val="0"/>
      <w:marTop w:val="0"/>
      <w:marBottom w:val="0"/>
      <w:divBdr>
        <w:top w:val="none" w:sz="0" w:space="0" w:color="auto"/>
        <w:left w:val="none" w:sz="0" w:space="0" w:color="auto"/>
        <w:bottom w:val="none" w:sz="0" w:space="0" w:color="auto"/>
        <w:right w:val="none" w:sz="0" w:space="0" w:color="auto"/>
      </w:divBdr>
    </w:div>
    <w:div w:id="816453013">
      <w:bodyDiv w:val="1"/>
      <w:marLeft w:val="0"/>
      <w:marRight w:val="0"/>
      <w:marTop w:val="0"/>
      <w:marBottom w:val="0"/>
      <w:divBdr>
        <w:top w:val="none" w:sz="0" w:space="0" w:color="auto"/>
        <w:left w:val="none" w:sz="0" w:space="0" w:color="auto"/>
        <w:bottom w:val="none" w:sz="0" w:space="0" w:color="auto"/>
        <w:right w:val="none" w:sz="0" w:space="0" w:color="auto"/>
      </w:divBdr>
    </w:div>
    <w:div w:id="816529127">
      <w:bodyDiv w:val="1"/>
      <w:marLeft w:val="0"/>
      <w:marRight w:val="0"/>
      <w:marTop w:val="0"/>
      <w:marBottom w:val="0"/>
      <w:divBdr>
        <w:top w:val="none" w:sz="0" w:space="0" w:color="auto"/>
        <w:left w:val="none" w:sz="0" w:space="0" w:color="auto"/>
        <w:bottom w:val="none" w:sz="0" w:space="0" w:color="auto"/>
        <w:right w:val="none" w:sz="0" w:space="0" w:color="auto"/>
      </w:divBdr>
    </w:div>
    <w:div w:id="816529148">
      <w:bodyDiv w:val="1"/>
      <w:marLeft w:val="0"/>
      <w:marRight w:val="0"/>
      <w:marTop w:val="0"/>
      <w:marBottom w:val="0"/>
      <w:divBdr>
        <w:top w:val="none" w:sz="0" w:space="0" w:color="auto"/>
        <w:left w:val="none" w:sz="0" w:space="0" w:color="auto"/>
        <w:bottom w:val="none" w:sz="0" w:space="0" w:color="auto"/>
        <w:right w:val="none" w:sz="0" w:space="0" w:color="auto"/>
      </w:divBdr>
    </w:div>
    <w:div w:id="816607204">
      <w:bodyDiv w:val="1"/>
      <w:marLeft w:val="0"/>
      <w:marRight w:val="0"/>
      <w:marTop w:val="0"/>
      <w:marBottom w:val="0"/>
      <w:divBdr>
        <w:top w:val="none" w:sz="0" w:space="0" w:color="auto"/>
        <w:left w:val="none" w:sz="0" w:space="0" w:color="auto"/>
        <w:bottom w:val="none" w:sz="0" w:space="0" w:color="auto"/>
        <w:right w:val="none" w:sz="0" w:space="0" w:color="auto"/>
      </w:divBdr>
    </w:div>
    <w:div w:id="816610551">
      <w:bodyDiv w:val="1"/>
      <w:marLeft w:val="0"/>
      <w:marRight w:val="0"/>
      <w:marTop w:val="0"/>
      <w:marBottom w:val="0"/>
      <w:divBdr>
        <w:top w:val="none" w:sz="0" w:space="0" w:color="auto"/>
        <w:left w:val="none" w:sz="0" w:space="0" w:color="auto"/>
        <w:bottom w:val="none" w:sz="0" w:space="0" w:color="auto"/>
        <w:right w:val="none" w:sz="0" w:space="0" w:color="auto"/>
      </w:divBdr>
    </w:div>
    <w:div w:id="816647109">
      <w:bodyDiv w:val="1"/>
      <w:marLeft w:val="0"/>
      <w:marRight w:val="0"/>
      <w:marTop w:val="0"/>
      <w:marBottom w:val="0"/>
      <w:divBdr>
        <w:top w:val="none" w:sz="0" w:space="0" w:color="auto"/>
        <w:left w:val="none" w:sz="0" w:space="0" w:color="auto"/>
        <w:bottom w:val="none" w:sz="0" w:space="0" w:color="auto"/>
        <w:right w:val="none" w:sz="0" w:space="0" w:color="auto"/>
      </w:divBdr>
    </w:div>
    <w:div w:id="816648182">
      <w:bodyDiv w:val="1"/>
      <w:marLeft w:val="0"/>
      <w:marRight w:val="0"/>
      <w:marTop w:val="0"/>
      <w:marBottom w:val="0"/>
      <w:divBdr>
        <w:top w:val="none" w:sz="0" w:space="0" w:color="auto"/>
        <w:left w:val="none" w:sz="0" w:space="0" w:color="auto"/>
        <w:bottom w:val="none" w:sz="0" w:space="0" w:color="auto"/>
        <w:right w:val="none" w:sz="0" w:space="0" w:color="auto"/>
      </w:divBdr>
    </w:div>
    <w:div w:id="816724878">
      <w:bodyDiv w:val="1"/>
      <w:marLeft w:val="0"/>
      <w:marRight w:val="0"/>
      <w:marTop w:val="0"/>
      <w:marBottom w:val="0"/>
      <w:divBdr>
        <w:top w:val="none" w:sz="0" w:space="0" w:color="auto"/>
        <w:left w:val="none" w:sz="0" w:space="0" w:color="auto"/>
        <w:bottom w:val="none" w:sz="0" w:space="0" w:color="auto"/>
        <w:right w:val="none" w:sz="0" w:space="0" w:color="auto"/>
      </w:divBdr>
    </w:div>
    <w:div w:id="816802064">
      <w:bodyDiv w:val="1"/>
      <w:marLeft w:val="0"/>
      <w:marRight w:val="0"/>
      <w:marTop w:val="0"/>
      <w:marBottom w:val="0"/>
      <w:divBdr>
        <w:top w:val="none" w:sz="0" w:space="0" w:color="auto"/>
        <w:left w:val="none" w:sz="0" w:space="0" w:color="auto"/>
        <w:bottom w:val="none" w:sz="0" w:space="0" w:color="auto"/>
        <w:right w:val="none" w:sz="0" w:space="0" w:color="auto"/>
      </w:divBdr>
    </w:div>
    <w:div w:id="816802299">
      <w:bodyDiv w:val="1"/>
      <w:marLeft w:val="0"/>
      <w:marRight w:val="0"/>
      <w:marTop w:val="0"/>
      <w:marBottom w:val="0"/>
      <w:divBdr>
        <w:top w:val="none" w:sz="0" w:space="0" w:color="auto"/>
        <w:left w:val="none" w:sz="0" w:space="0" w:color="auto"/>
        <w:bottom w:val="none" w:sz="0" w:space="0" w:color="auto"/>
        <w:right w:val="none" w:sz="0" w:space="0" w:color="auto"/>
      </w:divBdr>
    </w:div>
    <w:div w:id="816804483">
      <w:bodyDiv w:val="1"/>
      <w:marLeft w:val="0"/>
      <w:marRight w:val="0"/>
      <w:marTop w:val="0"/>
      <w:marBottom w:val="0"/>
      <w:divBdr>
        <w:top w:val="none" w:sz="0" w:space="0" w:color="auto"/>
        <w:left w:val="none" w:sz="0" w:space="0" w:color="auto"/>
        <w:bottom w:val="none" w:sz="0" w:space="0" w:color="auto"/>
        <w:right w:val="none" w:sz="0" w:space="0" w:color="auto"/>
      </w:divBdr>
    </w:div>
    <w:div w:id="816842763">
      <w:bodyDiv w:val="1"/>
      <w:marLeft w:val="0"/>
      <w:marRight w:val="0"/>
      <w:marTop w:val="0"/>
      <w:marBottom w:val="0"/>
      <w:divBdr>
        <w:top w:val="none" w:sz="0" w:space="0" w:color="auto"/>
        <w:left w:val="none" w:sz="0" w:space="0" w:color="auto"/>
        <w:bottom w:val="none" w:sz="0" w:space="0" w:color="auto"/>
        <w:right w:val="none" w:sz="0" w:space="0" w:color="auto"/>
      </w:divBdr>
    </w:div>
    <w:div w:id="816847025">
      <w:bodyDiv w:val="1"/>
      <w:marLeft w:val="0"/>
      <w:marRight w:val="0"/>
      <w:marTop w:val="0"/>
      <w:marBottom w:val="0"/>
      <w:divBdr>
        <w:top w:val="none" w:sz="0" w:space="0" w:color="auto"/>
        <w:left w:val="none" w:sz="0" w:space="0" w:color="auto"/>
        <w:bottom w:val="none" w:sz="0" w:space="0" w:color="auto"/>
        <w:right w:val="none" w:sz="0" w:space="0" w:color="auto"/>
      </w:divBdr>
    </w:div>
    <w:div w:id="816872320">
      <w:bodyDiv w:val="1"/>
      <w:marLeft w:val="0"/>
      <w:marRight w:val="0"/>
      <w:marTop w:val="0"/>
      <w:marBottom w:val="0"/>
      <w:divBdr>
        <w:top w:val="none" w:sz="0" w:space="0" w:color="auto"/>
        <w:left w:val="none" w:sz="0" w:space="0" w:color="auto"/>
        <w:bottom w:val="none" w:sz="0" w:space="0" w:color="auto"/>
        <w:right w:val="none" w:sz="0" w:space="0" w:color="auto"/>
      </w:divBdr>
    </w:div>
    <w:div w:id="816917307">
      <w:bodyDiv w:val="1"/>
      <w:marLeft w:val="0"/>
      <w:marRight w:val="0"/>
      <w:marTop w:val="0"/>
      <w:marBottom w:val="0"/>
      <w:divBdr>
        <w:top w:val="none" w:sz="0" w:space="0" w:color="auto"/>
        <w:left w:val="none" w:sz="0" w:space="0" w:color="auto"/>
        <w:bottom w:val="none" w:sz="0" w:space="0" w:color="auto"/>
        <w:right w:val="none" w:sz="0" w:space="0" w:color="auto"/>
      </w:divBdr>
    </w:div>
    <w:div w:id="816920650">
      <w:bodyDiv w:val="1"/>
      <w:marLeft w:val="0"/>
      <w:marRight w:val="0"/>
      <w:marTop w:val="0"/>
      <w:marBottom w:val="0"/>
      <w:divBdr>
        <w:top w:val="none" w:sz="0" w:space="0" w:color="auto"/>
        <w:left w:val="none" w:sz="0" w:space="0" w:color="auto"/>
        <w:bottom w:val="none" w:sz="0" w:space="0" w:color="auto"/>
        <w:right w:val="none" w:sz="0" w:space="0" w:color="auto"/>
      </w:divBdr>
    </w:div>
    <w:div w:id="816994205">
      <w:bodyDiv w:val="1"/>
      <w:marLeft w:val="0"/>
      <w:marRight w:val="0"/>
      <w:marTop w:val="0"/>
      <w:marBottom w:val="0"/>
      <w:divBdr>
        <w:top w:val="none" w:sz="0" w:space="0" w:color="auto"/>
        <w:left w:val="none" w:sz="0" w:space="0" w:color="auto"/>
        <w:bottom w:val="none" w:sz="0" w:space="0" w:color="auto"/>
        <w:right w:val="none" w:sz="0" w:space="0" w:color="auto"/>
      </w:divBdr>
    </w:div>
    <w:div w:id="816995468">
      <w:bodyDiv w:val="1"/>
      <w:marLeft w:val="0"/>
      <w:marRight w:val="0"/>
      <w:marTop w:val="0"/>
      <w:marBottom w:val="0"/>
      <w:divBdr>
        <w:top w:val="none" w:sz="0" w:space="0" w:color="auto"/>
        <w:left w:val="none" w:sz="0" w:space="0" w:color="auto"/>
        <w:bottom w:val="none" w:sz="0" w:space="0" w:color="auto"/>
        <w:right w:val="none" w:sz="0" w:space="0" w:color="auto"/>
      </w:divBdr>
    </w:div>
    <w:div w:id="817066815">
      <w:bodyDiv w:val="1"/>
      <w:marLeft w:val="0"/>
      <w:marRight w:val="0"/>
      <w:marTop w:val="0"/>
      <w:marBottom w:val="0"/>
      <w:divBdr>
        <w:top w:val="none" w:sz="0" w:space="0" w:color="auto"/>
        <w:left w:val="none" w:sz="0" w:space="0" w:color="auto"/>
        <w:bottom w:val="none" w:sz="0" w:space="0" w:color="auto"/>
        <w:right w:val="none" w:sz="0" w:space="0" w:color="auto"/>
      </w:divBdr>
    </w:div>
    <w:div w:id="817068024">
      <w:bodyDiv w:val="1"/>
      <w:marLeft w:val="0"/>
      <w:marRight w:val="0"/>
      <w:marTop w:val="0"/>
      <w:marBottom w:val="0"/>
      <w:divBdr>
        <w:top w:val="none" w:sz="0" w:space="0" w:color="auto"/>
        <w:left w:val="none" w:sz="0" w:space="0" w:color="auto"/>
        <w:bottom w:val="none" w:sz="0" w:space="0" w:color="auto"/>
        <w:right w:val="none" w:sz="0" w:space="0" w:color="auto"/>
      </w:divBdr>
    </w:div>
    <w:div w:id="817263153">
      <w:bodyDiv w:val="1"/>
      <w:marLeft w:val="0"/>
      <w:marRight w:val="0"/>
      <w:marTop w:val="0"/>
      <w:marBottom w:val="0"/>
      <w:divBdr>
        <w:top w:val="none" w:sz="0" w:space="0" w:color="auto"/>
        <w:left w:val="none" w:sz="0" w:space="0" w:color="auto"/>
        <w:bottom w:val="none" w:sz="0" w:space="0" w:color="auto"/>
        <w:right w:val="none" w:sz="0" w:space="0" w:color="auto"/>
      </w:divBdr>
    </w:div>
    <w:div w:id="817265283">
      <w:bodyDiv w:val="1"/>
      <w:marLeft w:val="0"/>
      <w:marRight w:val="0"/>
      <w:marTop w:val="0"/>
      <w:marBottom w:val="0"/>
      <w:divBdr>
        <w:top w:val="none" w:sz="0" w:space="0" w:color="auto"/>
        <w:left w:val="none" w:sz="0" w:space="0" w:color="auto"/>
        <w:bottom w:val="none" w:sz="0" w:space="0" w:color="auto"/>
        <w:right w:val="none" w:sz="0" w:space="0" w:color="auto"/>
      </w:divBdr>
    </w:div>
    <w:div w:id="817301308">
      <w:bodyDiv w:val="1"/>
      <w:marLeft w:val="0"/>
      <w:marRight w:val="0"/>
      <w:marTop w:val="0"/>
      <w:marBottom w:val="0"/>
      <w:divBdr>
        <w:top w:val="none" w:sz="0" w:space="0" w:color="auto"/>
        <w:left w:val="none" w:sz="0" w:space="0" w:color="auto"/>
        <w:bottom w:val="none" w:sz="0" w:space="0" w:color="auto"/>
        <w:right w:val="none" w:sz="0" w:space="0" w:color="auto"/>
      </w:divBdr>
    </w:div>
    <w:div w:id="817307455">
      <w:bodyDiv w:val="1"/>
      <w:marLeft w:val="0"/>
      <w:marRight w:val="0"/>
      <w:marTop w:val="0"/>
      <w:marBottom w:val="0"/>
      <w:divBdr>
        <w:top w:val="none" w:sz="0" w:space="0" w:color="auto"/>
        <w:left w:val="none" w:sz="0" w:space="0" w:color="auto"/>
        <w:bottom w:val="none" w:sz="0" w:space="0" w:color="auto"/>
        <w:right w:val="none" w:sz="0" w:space="0" w:color="auto"/>
      </w:divBdr>
    </w:div>
    <w:div w:id="817307586">
      <w:bodyDiv w:val="1"/>
      <w:marLeft w:val="0"/>
      <w:marRight w:val="0"/>
      <w:marTop w:val="0"/>
      <w:marBottom w:val="0"/>
      <w:divBdr>
        <w:top w:val="none" w:sz="0" w:space="0" w:color="auto"/>
        <w:left w:val="none" w:sz="0" w:space="0" w:color="auto"/>
        <w:bottom w:val="none" w:sz="0" w:space="0" w:color="auto"/>
        <w:right w:val="none" w:sz="0" w:space="0" w:color="auto"/>
      </w:divBdr>
    </w:div>
    <w:div w:id="817452261">
      <w:bodyDiv w:val="1"/>
      <w:marLeft w:val="0"/>
      <w:marRight w:val="0"/>
      <w:marTop w:val="0"/>
      <w:marBottom w:val="0"/>
      <w:divBdr>
        <w:top w:val="none" w:sz="0" w:space="0" w:color="auto"/>
        <w:left w:val="none" w:sz="0" w:space="0" w:color="auto"/>
        <w:bottom w:val="none" w:sz="0" w:space="0" w:color="auto"/>
        <w:right w:val="none" w:sz="0" w:space="0" w:color="auto"/>
      </w:divBdr>
    </w:div>
    <w:div w:id="817453635">
      <w:bodyDiv w:val="1"/>
      <w:marLeft w:val="0"/>
      <w:marRight w:val="0"/>
      <w:marTop w:val="0"/>
      <w:marBottom w:val="0"/>
      <w:divBdr>
        <w:top w:val="none" w:sz="0" w:space="0" w:color="auto"/>
        <w:left w:val="none" w:sz="0" w:space="0" w:color="auto"/>
        <w:bottom w:val="none" w:sz="0" w:space="0" w:color="auto"/>
        <w:right w:val="none" w:sz="0" w:space="0" w:color="auto"/>
      </w:divBdr>
    </w:div>
    <w:div w:id="817458004">
      <w:bodyDiv w:val="1"/>
      <w:marLeft w:val="0"/>
      <w:marRight w:val="0"/>
      <w:marTop w:val="0"/>
      <w:marBottom w:val="0"/>
      <w:divBdr>
        <w:top w:val="none" w:sz="0" w:space="0" w:color="auto"/>
        <w:left w:val="none" w:sz="0" w:space="0" w:color="auto"/>
        <w:bottom w:val="none" w:sz="0" w:space="0" w:color="auto"/>
        <w:right w:val="none" w:sz="0" w:space="0" w:color="auto"/>
      </w:divBdr>
    </w:div>
    <w:div w:id="817496144">
      <w:bodyDiv w:val="1"/>
      <w:marLeft w:val="0"/>
      <w:marRight w:val="0"/>
      <w:marTop w:val="0"/>
      <w:marBottom w:val="0"/>
      <w:divBdr>
        <w:top w:val="none" w:sz="0" w:space="0" w:color="auto"/>
        <w:left w:val="none" w:sz="0" w:space="0" w:color="auto"/>
        <w:bottom w:val="none" w:sz="0" w:space="0" w:color="auto"/>
        <w:right w:val="none" w:sz="0" w:space="0" w:color="auto"/>
      </w:divBdr>
    </w:div>
    <w:div w:id="817502045">
      <w:bodyDiv w:val="1"/>
      <w:marLeft w:val="0"/>
      <w:marRight w:val="0"/>
      <w:marTop w:val="0"/>
      <w:marBottom w:val="0"/>
      <w:divBdr>
        <w:top w:val="none" w:sz="0" w:space="0" w:color="auto"/>
        <w:left w:val="none" w:sz="0" w:space="0" w:color="auto"/>
        <w:bottom w:val="none" w:sz="0" w:space="0" w:color="auto"/>
        <w:right w:val="none" w:sz="0" w:space="0" w:color="auto"/>
      </w:divBdr>
    </w:div>
    <w:div w:id="817651165">
      <w:bodyDiv w:val="1"/>
      <w:marLeft w:val="0"/>
      <w:marRight w:val="0"/>
      <w:marTop w:val="0"/>
      <w:marBottom w:val="0"/>
      <w:divBdr>
        <w:top w:val="none" w:sz="0" w:space="0" w:color="auto"/>
        <w:left w:val="none" w:sz="0" w:space="0" w:color="auto"/>
        <w:bottom w:val="none" w:sz="0" w:space="0" w:color="auto"/>
        <w:right w:val="none" w:sz="0" w:space="0" w:color="auto"/>
      </w:divBdr>
    </w:div>
    <w:div w:id="817693022">
      <w:bodyDiv w:val="1"/>
      <w:marLeft w:val="0"/>
      <w:marRight w:val="0"/>
      <w:marTop w:val="0"/>
      <w:marBottom w:val="0"/>
      <w:divBdr>
        <w:top w:val="none" w:sz="0" w:space="0" w:color="auto"/>
        <w:left w:val="none" w:sz="0" w:space="0" w:color="auto"/>
        <w:bottom w:val="none" w:sz="0" w:space="0" w:color="auto"/>
        <w:right w:val="none" w:sz="0" w:space="0" w:color="auto"/>
      </w:divBdr>
    </w:div>
    <w:div w:id="817720900">
      <w:bodyDiv w:val="1"/>
      <w:marLeft w:val="0"/>
      <w:marRight w:val="0"/>
      <w:marTop w:val="0"/>
      <w:marBottom w:val="0"/>
      <w:divBdr>
        <w:top w:val="none" w:sz="0" w:space="0" w:color="auto"/>
        <w:left w:val="none" w:sz="0" w:space="0" w:color="auto"/>
        <w:bottom w:val="none" w:sz="0" w:space="0" w:color="auto"/>
        <w:right w:val="none" w:sz="0" w:space="0" w:color="auto"/>
      </w:divBdr>
    </w:div>
    <w:div w:id="817764939">
      <w:bodyDiv w:val="1"/>
      <w:marLeft w:val="0"/>
      <w:marRight w:val="0"/>
      <w:marTop w:val="0"/>
      <w:marBottom w:val="0"/>
      <w:divBdr>
        <w:top w:val="none" w:sz="0" w:space="0" w:color="auto"/>
        <w:left w:val="none" w:sz="0" w:space="0" w:color="auto"/>
        <w:bottom w:val="none" w:sz="0" w:space="0" w:color="auto"/>
        <w:right w:val="none" w:sz="0" w:space="0" w:color="auto"/>
      </w:divBdr>
    </w:div>
    <w:div w:id="817768049">
      <w:bodyDiv w:val="1"/>
      <w:marLeft w:val="0"/>
      <w:marRight w:val="0"/>
      <w:marTop w:val="0"/>
      <w:marBottom w:val="0"/>
      <w:divBdr>
        <w:top w:val="none" w:sz="0" w:space="0" w:color="auto"/>
        <w:left w:val="none" w:sz="0" w:space="0" w:color="auto"/>
        <w:bottom w:val="none" w:sz="0" w:space="0" w:color="auto"/>
        <w:right w:val="none" w:sz="0" w:space="0" w:color="auto"/>
      </w:divBdr>
    </w:div>
    <w:div w:id="817839719">
      <w:bodyDiv w:val="1"/>
      <w:marLeft w:val="0"/>
      <w:marRight w:val="0"/>
      <w:marTop w:val="0"/>
      <w:marBottom w:val="0"/>
      <w:divBdr>
        <w:top w:val="none" w:sz="0" w:space="0" w:color="auto"/>
        <w:left w:val="none" w:sz="0" w:space="0" w:color="auto"/>
        <w:bottom w:val="none" w:sz="0" w:space="0" w:color="auto"/>
        <w:right w:val="none" w:sz="0" w:space="0" w:color="auto"/>
      </w:divBdr>
    </w:div>
    <w:div w:id="817913997">
      <w:bodyDiv w:val="1"/>
      <w:marLeft w:val="0"/>
      <w:marRight w:val="0"/>
      <w:marTop w:val="0"/>
      <w:marBottom w:val="0"/>
      <w:divBdr>
        <w:top w:val="none" w:sz="0" w:space="0" w:color="auto"/>
        <w:left w:val="none" w:sz="0" w:space="0" w:color="auto"/>
        <w:bottom w:val="none" w:sz="0" w:space="0" w:color="auto"/>
        <w:right w:val="none" w:sz="0" w:space="0" w:color="auto"/>
      </w:divBdr>
    </w:div>
    <w:div w:id="817921594">
      <w:bodyDiv w:val="1"/>
      <w:marLeft w:val="0"/>
      <w:marRight w:val="0"/>
      <w:marTop w:val="0"/>
      <w:marBottom w:val="0"/>
      <w:divBdr>
        <w:top w:val="none" w:sz="0" w:space="0" w:color="auto"/>
        <w:left w:val="none" w:sz="0" w:space="0" w:color="auto"/>
        <w:bottom w:val="none" w:sz="0" w:space="0" w:color="auto"/>
        <w:right w:val="none" w:sz="0" w:space="0" w:color="auto"/>
      </w:divBdr>
    </w:div>
    <w:div w:id="818108427">
      <w:bodyDiv w:val="1"/>
      <w:marLeft w:val="0"/>
      <w:marRight w:val="0"/>
      <w:marTop w:val="0"/>
      <w:marBottom w:val="0"/>
      <w:divBdr>
        <w:top w:val="none" w:sz="0" w:space="0" w:color="auto"/>
        <w:left w:val="none" w:sz="0" w:space="0" w:color="auto"/>
        <w:bottom w:val="none" w:sz="0" w:space="0" w:color="auto"/>
        <w:right w:val="none" w:sz="0" w:space="0" w:color="auto"/>
      </w:divBdr>
    </w:div>
    <w:div w:id="818114403">
      <w:bodyDiv w:val="1"/>
      <w:marLeft w:val="0"/>
      <w:marRight w:val="0"/>
      <w:marTop w:val="0"/>
      <w:marBottom w:val="0"/>
      <w:divBdr>
        <w:top w:val="none" w:sz="0" w:space="0" w:color="auto"/>
        <w:left w:val="none" w:sz="0" w:space="0" w:color="auto"/>
        <w:bottom w:val="none" w:sz="0" w:space="0" w:color="auto"/>
        <w:right w:val="none" w:sz="0" w:space="0" w:color="auto"/>
      </w:divBdr>
    </w:div>
    <w:div w:id="818155929">
      <w:bodyDiv w:val="1"/>
      <w:marLeft w:val="0"/>
      <w:marRight w:val="0"/>
      <w:marTop w:val="0"/>
      <w:marBottom w:val="0"/>
      <w:divBdr>
        <w:top w:val="none" w:sz="0" w:space="0" w:color="auto"/>
        <w:left w:val="none" w:sz="0" w:space="0" w:color="auto"/>
        <w:bottom w:val="none" w:sz="0" w:space="0" w:color="auto"/>
        <w:right w:val="none" w:sz="0" w:space="0" w:color="auto"/>
      </w:divBdr>
    </w:div>
    <w:div w:id="818182888">
      <w:bodyDiv w:val="1"/>
      <w:marLeft w:val="0"/>
      <w:marRight w:val="0"/>
      <w:marTop w:val="0"/>
      <w:marBottom w:val="0"/>
      <w:divBdr>
        <w:top w:val="none" w:sz="0" w:space="0" w:color="auto"/>
        <w:left w:val="none" w:sz="0" w:space="0" w:color="auto"/>
        <w:bottom w:val="none" w:sz="0" w:space="0" w:color="auto"/>
        <w:right w:val="none" w:sz="0" w:space="0" w:color="auto"/>
      </w:divBdr>
    </w:div>
    <w:div w:id="818494374">
      <w:bodyDiv w:val="1"/>
      <w:marLeft w:val="0"/>
      <w:marRight w:val="0"/>
      <w:marTop w:val="0"/>
      <w:marBottom w:val="0"/>
      <w:divBdr>
        <w:top w:val="none" w:sz="0" w:space="0" w:color="auto"/>
        <w:left w:val="none" w:sz="0" w:space="0" w:color="auto"/>
        <w:bottom w:val="none" w:sz="0" w:space="0" w:color="auto"/>
        <w:right w:val="none" w:sz="0" w:space="0" w:color="auto"/>
      </w:divBdr>
    </w:div>
    <w:div w:id="818545458">
      <w:bodyDiv w:val="1"/>
      <w:marLeft w:val="0"/>
      <w:marRight w:val="0"/>
      <w:marTop w:val="0"/>
      <w:marBottom w:val="0"/>
      <w:divBdr>
        <w:top w:val="none" w:sz="0" w:space="0" w:color="auto"/>
        <w:left w:val="none" w:sz="0" w:space="0" w:color="auto"/>
        <w:bottom w:val="none" w:sz="0" w:space="0" w:color="auto"/>
        <w:right w:val="none" w:sz="0" w:space="0" w:color="auto"/>
      </w:divBdr>
    </w:div>
    <w:div w:id="818570663">
      <w:bodyDiv w:val="1"/>
      <w:marLeft w:val="0"/>
      <w:marRight w:val="0"/>
      <w:marTop w:val="0"/>
      <w:marBottom w:val="0"/>
      <w:divBdr>
        <w:top w:val="none" w:sz="0" w:space="0" w:color="auto"/>
        <w:left w:val="none" w:sz="0" w:space="0" w:color="auto"/>
        <w:bottom w:val="none" w:sz="0" w:space="0" w:color="auto"/>
        <w:right w:val="none" w:sz="0" w:space="0" w:color="auto"/>
      </w:divBdr>
    </w:div>
    <w:div w:id="818576289">
      <w:bodyDiv w:val="1"/>
      <w:marLeft w:val="0"/>
      <w:marRight w:val="0"/>
      <w:marTop w:val="0"/>
      <w:marBottom w:val="0"/>
      <w:divBdr>
        <w:top w:val="none" w:sz="0" w:space="0" w:color="auto"/>
        <w:left w:val="none" w:sz="0" w:space="0" w:color="auto"/>
        <w:bottom w:val="none" w:sz="0" w:space="0" w:color="auto"/>
        <w:right w:val="none" w:sz="0" w:space="0" w:color="auto"/>
      </w:divBdr>
    </w:div>
    <w:div w:id="818612025">
      <w:bodyDiv w:val="1"/>
      <w:marLeft w:val="0"/>
      <w:marRight w:val="0"/>
      <w:marTop w:val="0"/>
      <w:marBottom w:val="0"/>
      <w:divBdr>
        <w:top w:val="none" w:sz="0" w:space="0" w:color="auto"/>
        <w:left w:val="none" w:sz="0" w:space="0" w:color="auto"/>
        <w:bottom w:val="none" w:sz="0" w:space="0" w:color="auto"/>
        <w:right w:val="none" w:sz="0" w:space="0" w:color="auto"/>
      </w:divBdr>
    </w:div>
    <w:div w:id="818811946">
      <w:bodyDiv w:val="1"/>
      <w:marLeft w:val="0"/>
      <w:marRight w:val="0"/>
      <w:marTop w:val="0"/>
      <w:marBottom w:val="0"/>
      <w:divBdr>
        <w:top w:val="none" w:sz="0" w:space="0" w:color="auto"/>
        <w:left w:val="none" w:sz="0" w:space="0" w:color="auto"/>
        <w:bottom w:val="none" w:sz="0" w:space="0" w:color="auto"/>
        <w:right w:val="none" w:sz="0" w:space="0" w:color="auto"/>
      </w:divBdr>
    </w:div>
    <w:div w:id="819076669">
      <w:bodyDiv w:val="1"/>
      <w:marLeft w:val="0"/>
      <w:marRight w:val="0"/>
      <w:marTop w:val="0"/>
      <w:marBottom w:val="0"/>
      <w:divBdr>
        <w:top w:val="none" w:sz="0" w:space="0" w:color="auto"/>
        <w:left w:val="none" w:sz="0" w:space="0" w:color="auto"/>
        <w:bottom w:val="none" w:sz="0" w:space="0" w:color="auto"/>
        <w:right w:val="none" w:sz="0" w:space="0" w:color="auto"/>
      </w:divBdr>
    </w:div>
    <w:div w:id="819079580">
      <w:bodyDiv w:val="1"/>
      <w:marLeft w:val="0"/>
      <w:marRight w:val="0"/>
      <w:marTop w:val="0"/>
      <w:marBottom w:val="0"/>
      <w:divBdr>
        <w:top w:val="none" w:sz="0" w:space="0" w:color="auto"/>
        <w:left w:val="none" w:sz="0" w:space="0" w:color="auto"/>
        <w:bottom w:val="none" w:sz="0" w:space="0" w:color="auto"/>
        <w:right w:val="none" w:sz="0" w:space="0" w:color="auto"/>
      </w:divBdr>
    </w:div>
    <w:div w:id="819149251">
      <w:bodyDiv w:val="1"/>
      <w:marLeft w:val="0"/>
      <w:marRight w:val="0"/>
      <w:marTop w:val="0"/>
      <w:marBottom w:val="0"/>
      <w:divBdr>
        <w:top w:val="none" w:sz="0" w:space="0" w:color="auto"/>
        <w:left w:val="none" w:sz="0" w:space="0" w:color="auto"/>
        <w:bottom w:val="none" w:sz="0" w:space="0" w:color="auto"/>
        <w:right w:val="none" w:sz="0" w:space="0" w:color="auto"/>
      </w:divBdr>
    </w:div>
    <w:div w:id="819227502">
      <w:bodyDiv w:val="1"/>
      <w:marLeft w:val="0"/>
      <w:marRight w:val="0"/>
      <w:marTop w:val="0"/>
      <w:marBottom w:val="0"/>
      <w:divBdr>
        <w:top w:val="none" w:sz="0" w:space="0" w:color="auto"/>
        <w:left w:val="none" w:sz="0" w:space="0" w:color="auto"/>
        <w:bottom w:val="none" w:sz="0" w:space="0" w:color="auto"/>
        <w:right w:val="none" w:sz="0" w:space="0" w:color="auto"/>
      </w:divBdr>
    </w:div>
    <w:div w:id="819271269">
      <w:bodyDiv w:val="1"/>
      <w:marLeft w:val="0"/>
      <w:marRight w:val="0"/>
      <w:marTop w:val="0"/>
      <w:marBottom w:val="0"/>
      <w:divBdr>
        <w:top w:val="none" w:sz="0" w:space="0" w:color="auto"/>
        <w:left w:val="none" w:sz="0" w:space="0" w:color="auto"/>
        <w:bottom w:val="none" w:sz="0" w:space="0" w:color="auto"/>
        <w:right w:val="none" w:sz="0" w:space="0" w:color="auto"/>
      </w:divBdr>
    </w:div>
    <w:div w:id="819272848">
      <w:bodyDiv w:val="1"/>
      <w:marLeft w:val="0"/>
      <w:marRight w:val="0"/>
      <w:marTop w:val="0"/>
      <w:marBottom w:val="0"/>
      <w:divBdr>
        <w:top w:val="none" w:sz="0" w:space="0" w:color="auto"/>
        <w:left w:val="none" w:sz="0" w:space="0" w:color="auto"/>
        <w:bottom w:val="none" w:sz="0" w:space="0" w:color="auto"/>
        <w:right w:val="none" w:sz="0" w:space="0" w:color="auto"/>
      </w:divBdr>
    </w:div>
    <w:div w:id="819343274">
      <w:bodyDiv w:val="1"/>
      <w:marLeft w:val="0"/>
      <w:marRight w:val="0"/>
      <w:marTop w:val="0"/>
      <w:marBottom w:val="0"/>
      <w:divBdr>
        <w:top w:val="none" w:sz="0" w:space="0" w:color="auto"/>
        <w:left w:val="none" w:sz="0" w:space="0" w:color="auto"/>
        <w:bottom w:val="none" w:sz="0" w:space="0" w:color="auto"/>
        <w:right w:val="none" w:sz="0" w:space="0" w:color="auto"/>
      </w:divBdr>
    </w:div>
    <w:div w:id="819418034">
      <w:bodyDiv w:val="1"/>
      <w:marLeft w:val="0"/>
      <w:marRight w:val="0"/>
      <w:marTop w:val="0"/>
      <w:marBottom w:val="0"/>
      <w:divBdr>
        <w:top w:val="none" w:sz="0" w:space="0" w:color="auto"/>
        <w:left w:val="none" w:sz="0" w:space="0" w:color="auto"/>
        <w:bottom w:val="none" w:sz="0" w:space="0" w:color="auto"/>
        <w:right w:val="none" w:sz="0" w:space="0" w:color="auto"/>
      </w:divBdr>
    </w:div>
    <w:div w:id="819544619">
      <w:bodyDiv w:val="1"/>
      <w:marLeft w:val="0"/>
      <w:marRight w:val="0"/>
      <w:marTop w:val="0"/>
      <w:marBottom w:val="0"/>
      <w:divBdr>
        <w:top w:val="none" w:sz="0" w:space="0" w:color="auto"/>
        <w:left w:val="none" w:sz="0" w:space="0" w:color="auto"/>
        <w:bottom w:val="none" w:sz="0" w:space="0" w:color="auto"/>
        <w:right w:val="none" w:sz="0" w:space="0" w:color="auto"/>
      </w:divBdr>
    </w:div>
    <w:div w:id="819734495">
      <w:bodyDiv w:val="1"/>
      <w:marLeft w:val="0"/>
      <w:marRight w:val="0"/>
      <w:marTop w:val="0"/>
      <w:marBottom w:val="0"/>
      <w:divBdr>
        <w:top w:val="none" w:sz="0" w:space="0" w:color="auto"/>
        <w:left w:val="none" w:sz="0" w:space="0" w:color="auto"/>
        <w:bottom w:val="none" w:sz="0" w:space="0" w:color="auto"/>
        <w:right w:val="none" w:sz="0" w:space="0" w:color="auto"/>
      </w:divBdr>
    </w:div>
    <w:div w:id="819736382">
      <w:bodyDiv w:val="1"/>
      <w:marLeft w:val="0"/>
      <w:marRight w:val="0"/>
      <w:marTop w:val="0"/>
      <w:marBottom w:val="0"/>
      <w:divBdr>
        <w:top w:val="none" w:sz="0" w:space="0" w:color="auto"/>
        <w:left w:val="none" w:sz="0" w:space="0" w:color="auto"/>
        <w:bottom w:val="none" w:sz="0" w:space="0" w:color="auto"/>
        <w:right w:val="none" w:sz="0" w:space="0" w:color="auto"/>
      </w:divBdr>
    </w:div>
    <w:div w:id="819810607">
      <w:bodyDiv w:val="1"/>
      <w:marLeft w:val="0"/>
      <w:marRight w:val="0"/>
      <w:marTop w:val="0"/>
      <w:marBottom w:val="0"/>
      <w:divBdr>
        <w:top w:val="none" w:sz="0" w:space="0" w:color="auto"/>
        <w:left w:val="none" w:sz="0" w:space="0" w:color="auto"/>
        <w:bottom w:val="none" w:sz="0" w:space="0" w:color="auto"/>
        <w:right w:val="none" w:sz="0" w:space="0" w:color="auto"/>
      </w:divBdr>
    </w:div>
    <w:div w:id="819882177">
      <w:bodyDiv w:val="1"/>
      <w:marLeft w:val="0"/>
      <w:marRight w:val="0"/>
      <w:marTop w:val="0"/>
      <w:marBottom w:val="0"/>
      <w:divBdr>
        <w:top w:val="none" w:sz="0" w:space="0" w:color="auto"/>
        <w:left w:val="none" w:sz="0" w:space="0" w:color="auto"/>
        <w:bottom w:val="none" w:sz="0" w:space="0" w:color="auto"/>
        <w:right w:val="none" w:sz="0" w:space="0" w:color="auto"/>
      </w:divBdr>
    </w:div>
    <w:div w:id="820003076">
      <w:bodyDiv w:val="1"/>
      <w:marLeft w:val="0"/>
      <w:marRight w:val="0"/>
      <w:marTop w:val="0"/>
      <w:marBottom w:val="0"/>
      <w:divBdr>
        <w:top w:val="none" w:sz="0" w:space="0" w:color="auto"/>
        <w:left w:val="none" w:sz="0" w:space="0" w:color="auto"/>
        <w:bottom w:val="none" w:sz="0" w:space="0" w:color="auto"/>
        <w:right w:val="none" w:sz="0" w:space="0" w:color="auto"/>
      </w:divBdr>
    </w:div>
    <w:div w:id="820073015">
      <w:bodyDiv w:val="1"/>
      <w:marLeft w:val="0"/>
      <w:marRight w:val="0"/>
      <w:marTop w:val="0"/>
      <w:marBottom w:val="0"/>
      <w:divBdr>
        <w:top w:val="none" w:sz="0" w:space="0" w:color="auto"/>
        <w:left w:val="none" w:sz="0" w:space="0" w:color="auto"/>
        <w:bottom w:val="none" w:sz="0" w:space="0" w:color="auto"/>
        <w:right w:val="none" w:sz="0" w:space="0" w:color="auto"/>
      </w:divBdr>
    </w:div>
    <w:div w:id="820077326">
      <w:bodyDiv w:val="1"/>
      <w:marLeft w:val="0"/>
      <w:marRight w:val="0"/>
      <w:marTop w:val="0"/>
      <w:marBottom w:val="0"/>
      <w:divBdr>
        <w:top w:val="none" w:sz="0" w:space="0" w:color="auto"/>
        <w:left w:val="none" w:sz="0" w:space="0" w:color="auto"/>
        <w:bottom w:val="none" w:sz="0" w:space="0" w:color="auto"/>
        <w:right w:val="none" w:sz="0" w:space="0" w:color="auto"/>
      </w:divBdr>
    </w:div>
    <w:div w:id="820082247">
      <w:bodyDiv w:val="1"/>
      <w:marLeft w:val="0"/>
      <w:marRight w:val="0"/>
      <w:marTop w:val="0"/>
      <w:marBottom w:val="0"/>
      <w:divBdr>
        <w:top w:val="none" w:sz="0" w:space="0" w:color="auto"/>
        <w:left w:val="none" w:sz="0" w:space="0" w:color="auto"/>
        <w:bottom w:val="none" w:sz="0" w:space="0" w:color="auto"/>
        <w:right w:val="none" w:sz="0" w:space="0" w:color="auto"/>
      </w:divBdr>
    </w:div>
    <w:div w:id="820121879">
      <w:bodyDiv w:val="1"/>
      <w:marLeft w:val="0"/>
      <w:marRight w:val="0"/>
      <w:marTop w:val="0"/>
      <w:marBottom w:val="0"/>
      <w:divBdr>
        <w:top w:val="none" w:sz="0" w:space="0" w:color="auto"/>
        <w:left w:val="none" w:sz="0" w:space="0" w:color="auto"/>
        <w:bottom w:val="none" w:sz="0" w:space="0" w:color="auto"/>
        <w:right w:val="none" w:sz="0" w:space="0" w:color="auto"/>
      </w:divBdr>
    </w:div>
    <w:div w:id="820270834">
      <w:bodyDiv w:val="1"/>
      <w:marLeft w:val="0"/>
      <w:marRight w:val="0"/>
      <w:marTop w:val="0"/>
      <w:marBottom w:val="0"/>
      <w:divBdr>
        <w:top w:val="none" w:sz="0" w:space="0" w:color="auto"/>
        <w:left w:val="none" w:sz="0" w:space="0" w:color="auto"/>
        <w:bottom w:val="none" w:sz="0" w:space="0" w:color="auto"/>
        <w:right w:val="none" w:sz="0" w:space="0" w:color="auto"/>
      </w:divBdr>
    </w:div>
    <w:div w:id="820384950">
      <w:bodyDiv w:val="1"/>
      <w:marLeft w:val="0"/>
      <w:marRight w:val="0"/>
      <w:marTop w:val="0"/>
      <w:marBottom w:val="0"/>
      <w:divBdr>
        <w:top w:val="none" w:sz="0" w:space="0" w:color="auto"/>
        <w:left w:val="none" w:sz="0" w:space="0" w:color="auto"/>
        <w:bottom w:val="none" w:sz="0" w:space="0" w:color="auto"/>
        <w:right w:val="none" w:sz="0" w:space="0" w:color="auto"/>
      </w:divBdr>
    </w:div>
    <w:div w:id="820511231">
      <w:bodyDiv w:val="1"/>
      <w:marLeft w:val="0"/>
      <w:marRight w:val="0"/>
      <w:marTop w:val="0"/>
      <w:marBottom w:val="0"/>
      <w:divBdr>
        <w:top w:val="none" w:sz="0" w:space="0" w:color="auto"/>
        <w:left w:val="none" w:sz="0" w:space="0" w:color="auto"/>
        <w:bottom w:val="none" w:sz="0" w:space="0" w:color="auto"/>
        <w:right w:val="none" w:sz="0" w:space="0" w:color="auto"/>
      </w:divBdr>
    </w:div>
    <w:div w:id="820535690">
      <w:bodyDiv w:val="1"/>
      <w:marLeft w:val="0"/>
      <w:marRight w:val="0"/>
      <w:marTop w:val="0"/>
      <w:marBottom w:val="0"/>
      <w:divBdr>
        <w:top w:val="none" w:sz="0" w:space="0" w:color="auto"/>
        <w:left w:val="none" w:sz="0" w:space="0" w:color="auto"/>
        <w:bottom w:val="none" w:sz="0" w:space="0" w:color="auto"/>
        <w:right w:val="none" w:sz="0" w:space="0" w:color="auto"/>
      </w:divBdr>
    </w:div>
    <w:div w:id="820661966">
      <w:bodyDiv w:val="1"/>
      <w:marLeft w:val="0"/>
      <w:marRight w:val="0"/>
      <w:marTop w:val="0"/>
      <w:marBottom w:val="0"/>
      <w:divBdr>
        <w:top w:val="none" w:sz="0" w:space="0" w:color="auto"/>
        <w:left w:val="none" w:sz="0" w:space="0" w:color="auto"/>
        <w:bottom w:val="none" w:sz="0" w:space="0" w:color="auto"/>
        <w:right w:val="none" w:sz="0" w:space="0" w:color="auto"/>
      </w:divBdr>
    </w:div>
    <w:div w:id="820735843">
      <w:bodyDiv w:val="1"/>
      <w:marLeft w:val="0"/>
      <w:marRight w:val="0"/>
      <w:marTop w:val="0"/>
      <w:marBottom w:val="0"/>
      <w:divBdr>
        <w:top w:val="none" w:sz="0" w:space="0" w:color="auto"/>
        <w:left w:val="none" w:sz="0" w:space="0" w:color="auto"/>
        <w:bottom w:val="none" w:sz="0" w:space="0" w:color="auto"/>
        <w:right w:val="none" w:sz="0" w:space="0" w:color="auto"/>
      </w:divBdr>
    </w:div>
    <w:div w:id="820773946">
      <w:bodyDiv w:val="1"/>
      <w:marLeft w:val="0"/>
      <w:marRight w:val="0"/>
      <w:marTop w:val="0"/>
      <w:marBottom w:val="0"/>
      <w:divBdr>
        <w:top w:val="none" w:sz="0" w:space="0" w:color="auto"/>
        <w:left w:val="none" w:sz="0" w:space="0" w:color="auto"/>
        <w:bottom w:val="none" w:sz="0" w:space="0" w:color="auto"/>
        <w:right w:val="none" w:sz="0" w:space="0" w:color="auto"/>
      </w:divBdr>
    </w:div>
    <w:div w:id="820850521">
      <w:bodyDiv w:val="1"/>
      <w:marLeft w:val="0"/>
      <w:marRight w:val="0"/>
      <w:marTop w:val="0"/>
      <w:marBottom w:val="0"/>
      <w:divBdr>
        <w:top w:val="none" w:sz="0" w:space="0" w:color="auto"/>
        <w:left w:val="none" w:sz="0" w:space="0" w:color="auto"/>
        <w:bottom w:val="none" w:sz="0" w:space="0" w:color="auto"/>
        <w:right w:val="none" w:sz="0" w:space="0" w:color="auto"/>
      </w:divBdr>
    </w:div>
    <w:div w:id="820922737">
      <w:bodyDiv w:val="1"/>
      <w:marLeft w:val="0"/>
      <w:marRight w:val="0"/>
      <w:marTop w:val="0"/>
      <w:marBottom w:val="0"/>
      <w:divBdr>
        <w:top w:val="none" w:sz="0" w:space="0" w:color="auto"/>
        <w:left w:val="none" w:sz="0" w:space="0" w:color="auto"/>
        <w:bottom w:val="none" w:sz="0" w:space="0" w:color="auto"/>
        <w:right w:val="none" w:sz="0" w:space="0" w:color="auto"/>
      </w:divBdr>
    </w:div>
    <w:div w:id="821042518">
      <w:bodyDiv w:val="1"/>
      <w:marLeft w:val="0"/>
      <w:marRight w:val="0"/>
      <w:marTop w:val="0"/>
      <w:marBottom w:val="0"/>
      <w:divBdr>
        <w:top w:val="none" w:sz="0" w:space="0" w:color="auto"/>
        <w:left w:val="none" w:sz="0" w:space="0" w:color="auto"/>
        <w:bottom w:val="none" w:sz="0" w:space="0" w:color="auto"/>
        <w:right w:val="none" w:sz="0" w:space="0" w:color="auto"/>
      </w:divBdr>
    </w:div>
    <w:div w:id="821198482">
      <w:bodyDiv w:val="1"/>
      <w:marLeft w:val="0"/>
      <w:marRight w:val="0"/>
      <w:marTop w:val="0"/>
      <w:marBottom w:val="0"/>
      <w:divBdr>
        <w:top w:val="none" w:sz="0" w:space="0" w:color="auto"/>
        <w:left w:val="none" w:sz="0" w:space="0" w:color="auto"/>
        <w:bottom w:val="none" w:sz="0" w:space="0" w:color="auto"/>
        <w:right w:val="none" w:sz="0" w:space="0" w:color="auto"/>
      </w:divBdr>
    </w:div>
    <w:div w:id="821198646">
      <w:bodyDiv w:val="1"/>
      <w:marLeft w:val="0"/>
      <w:marRight w:val="0"/>
      <w:marTop w:val="0"/>
      <w:marBottom w:val="0"/>
      <w:divBdr>
        <w:top w:val="none" w:sz="0" w:space="0" w:color="auto"/>
        <w:left w:val="none" w:sz="0" w:space="0" w:color="auto"/>
        <w:bottom w:val="none" w:sz="0" w:space="0" w:color="auto"/>
        <w:right w:val="none" w:sz="0" w:space="0" w:color="auto"/>
      </w:divBdr>
    </w:div>
    <w:div w:id="821232994">
      <w:bodyDiv w:val="1"/>
      <w:marLeft w:val="0"/>
      <w:marRight w:val="0"/>
      <w:marTop w:val="0"/>
      <w:marBottom w:val="0"/>
      <w:divBdr>
        <w:top w:val="none" w:sz="0" w:space="0" w:color="auto"/>
        <w:left w:val="none" w:sz="0" w:space="0" w:color="auto"/>
        <w:bottom w:val="none" w:sz="0" w:space="0" w:color="auto"/>
        <w:right w:val="none" w:sz="0" w:space="0" w:color="auto"/>
      </w:divBdr>
    </w:div>
    <w:div w:id="821240423">
      <w:bodyDiv w:val="1"/>
      <w:marLeft w:val="0"/>
      <w:marRight w:val="0"/>
      <w:marTop w:val="0"/>
      <w:marBottom w:val="0"/>
      <w:divBdr>
        <w:top w:val="none" w:sz="0" w:space="0" w:color="auto"/>
        <w:left w:val="none" w:sz="0" w:space="0" w:color="auto"/>
        <w:bottom w:val="none" w:sz="0" w:space="0" w:color="auto"/>
        <w:right w:val="none" w:sz="0" w:space="0" w:color="auto"/>
      </w:divBdr>
    </w:div>
    <w:div w:id="821240870">
      <w:bodyDiv w:val="1"/>
      <w:marLeft w:val="0"/>
      <w:marRight w:val="0"/>
      <w:marTop w:val="0"/>
      <w:marBottom w:val="0"/>
      <w:divBdr>
        <w:top w:val="none" w:sz="0" w:space="0" w:color="auto"/>
        <w:left w:val="none" w:sz="0" w:space="0" w:color="auto"/>
        <w:bottom w:val="none" w:sz="0" w:space="0" w:color="auto"/>
        <w:right w:val="none" w:sz="0" w:space="0" w:color="auto"/>
      </w:divBdr>
    </w:div>
    <w:div w:id="821241652">
      <w:bodyDiv w:val="1"/>
      <w:marLeft w:val="0"/>
      <w:marRight w:val="0"/>
      <w:marTop w:val="0"/>
      <w:marBottom w:val="0"/>
      <w:divBdr>
        <w:top w:val="none" w:sz="0" w:space="0" w:color="auto"/>
        <w:left w:val="none" w:sz="0" w:space="0" w:color="auto"/>
        <w:bottom w:val="none" w:sz="0" w:space="0" w:color="auto"/>
        <w:right w:val="none" w:sz="0" w:space="0" w:color="auto"/>
      </w:divBdr>
    </w:div>
    <w:div w:id="821391798">
      <w:bodyDiv w:val="1"/>
      <w:marLeft w:val="0"/>
      <w:marRight w:val="0"/>
      <w:marTop w:val="0"/>
      <w:marBottom w:val="0"/>
      <w:divBdr>
        <w:top w:val="none" w:sz="0" w:space="0" w:color="auto"/>
        <w:left w:val="none" w:sz="0" w:space="0" w:color="auto"/>
        <w:bottom w:val="none" w:sz="0" w:space="0" w:color="auto"/>
        <w:right w:val="none" w:sz="0" w:space="0" w:color="auto"/>
      </w:divBdr>
    </w:div>
    <w:div w:id="821505926">
      <w:bodyDiv w:val="1"/>
      <w:marLeft w:val="0"/>
      <w:marRight w:val="0"/>
      <w:marTop w:val="0"/>
      <w:marBottom w:val="0"/>
      <w:divBdr>
        <w:top w:val="none" w:sz="0" w:space="0" w:color="auto"/>
        <w:left w:val="none" w:sz="0" w:space="0" w:color="auto"/>
        <w:bottom w:val="none" w:sz="0" w:space="0" w:color="auto"/>
        <w:right w:val="none" w:sz="0" w:space="0" w:color="auto"/>
      </w:divBdr>
    </w:div>
    <w:div w:id="821507707">
      <w:bodyDiv w:val="1"/>
      <w:marLeft w:val="0"/>
      <w:marRight w:val="0"/>
      <w:marTop w:val="0"/>
      <w:marBottom w:val="0"/>
      <w:divBdr>
        <w:top w:val="none" w:sz="0" w:space="0" w:color="auto"/>
        <w:left w:val="none" w:sz="0" w:space="0" w:color="auto"/>
        <w:bottom w:val="none" w:sz="0" w:space="0" w:color="auto"/>
        <w:right w:val="none" w:sz="0" w:space="0" w:color="auto"/>
      </w:divBdr>
    </w:div>
    <w:div w:id="821584302">
      <w:bodyDiv w:val="1"/>
      <w:marLeft w:val="0"/>
      <w:marRight w:val="0"/>
      <w:marTop w:val="0"/>
      <w:marBottom w:val="0"/>
      <w:divBdr>
        <w:top w:val="none" w:sz="0" w:space="0" w:color="auto"/>
        <w:left w:val="none" w:sz="0" w:space="0" w:color="auto"/>
        <w:bottom w:val="none" w:sz="0" w:space="0" w:color="auto"/>
        <w:right w:val="none" w:sz="0" w:space="0" w:color="auto"/>
      </w:divBdr>
    </w:div>
    <w:div w:id="821627510">
      <w:bodyDiv w:val="1"/>
      <w:marLeft w:val="0"/>
      <w:marRight w:val="0"/>
      <w:marTop w:val="0"/>
      <w:marBottom w:val="0"/>
      <w:divBdr>
        <w:top w:val="none" w:sz="0" w:space="0" w:color="auto"/>
        <w:left w:val="none" w:sz="0" w:space="0" w:color="auto"/>
        <w:bottom w:val="none" w:sz="0" w:space="0" w:color="auto"/>
        <w:right w:val="none" w:sz="0" w:space="0" w:color="auto"/>
      </w:divBdr>
    </w:div>
    <w:div w:id="821655093">
      <w:bodyDiv w:val="1"/>
      <w:marLeft w:val="0"/>
      <w:marRight w:val="0"/>
      <w:marTop w:val="0"/>
      <w:marBottom w:val="0"/>
      <w:divBdr>
        <w:top w:val="none" w:sz="0" w:space="0" w:color="auto"/>
        <w:left w:val="none" w:sz="0" w:space="0" w:color="auto"/>
        <w:bottom w:val="none" w:sz="0" w:space="0" w:color="auto"/>
        <w:right w:val="none" w:sz="0" w:space="0" w:color="auto"/>
      </w:divBdr>
    </w:div>
    <w:div w:id="821696351">
      <w:bodyDiv w:val="1"/>
      <w:marLeft w:val="0"/>
      <w:marRight w:val="0"/>
      <w:marTop w:val="0"/>
      <w:marBottom w:val="0"/>
      <w:divBdr>
        <w:top w:val="none" w:sz="0" w:space="0" w:color="auto"/>
        <w:left w:val="none" w:sz="0" w:space="0" w:color="auto"/>
        <w:bottom w:val="none" w:sz="0" w:space="0" w:color="auto"/>
        <w:right w:val="none" w:sz="0" w:space="0" w:color="auto"/>
      </w:divBdr>
    </w:div>
    <w:div w:id="821702611">
      <w:bodyDiv w:val="1"/>
      <w:marLeft w:val="0"/>
      <w:marRight w:val="0"/>
      <w:marTop w:val="0"/>
      <w:marBottom w:val="0"/>
      <w:divBdr>
        <w:top w:val="none" w:sz="0" w:space="0" w:color="auto"/>
        <w:left w:val="none" w:sz="0" w:space="0" w:color="auto"/>
        <w:bottom w:val="none" w:sz="0" w:space="0" w:color="auto"/>
        <w:right w:val="none" w:sz="0" w:space="0" w:color="auto"/>
      </w:divBdr>
    </w:div>
    <w:div w:id="821845582">
      <w:bodyDiv w:val="1"/>
      <w:marLeft w:val="0"/>
      <w:marRight w:val="0"/>
      <w:marTop w:val="0"/>
      <w:marBottom w:val="0"/>
      <w:divBdr>
        <w:top w:val="none" w:sz="0" w:space="0" w:color="auto"/>
        <w:left w:val="none" w:sz="0" w:space="0" w:color="auto"/>
        <w:bottom w:val="none" w:sz="0" w:space="0" w:color="auto"/>
        <w:right w:val="none" w:sz="0" w:space="0" w:color="auto"/>
      </w:divBdr>
    </w:div>
    <w:div w:id="821846333">
      <w:bodyDiv w:val="1"/>
      <w:marLeft w:val="0"/>
      <w:marRight w:val="0"/>
      <w:marTop w:val="0"/>
      <w:marBottom w:val="0"/>
      <w:divBdr>
        <w:top w:val="none" w:sz="0" w:space="0" w:color="auto"/>
        <w:left w:val="none" w:sz="0" w:space="0" w:color="auto"/>
        <w:bottom w:val="none" w:sz="0" w:space="0" w:color="auto"/>
        <w:right w:val="none" w:sz="0" w:space="0" w:color="auto"/>
      </w:divBdr>
    </w:div>
    <w:div w:id="821846965">
      <w:bodyDiv w:val="1"/>
      <w:marLeft w:val="0"/>
      <w:marRight w:val="0"/>
      <w:marTop w:val="0"/>
      <w:marBottom w:val="0"/>
      <w:divBdr>
        <w:top w:val="none" w:sz="0" w:space="0" w:color="auto"/>
        <w:left w:val="none" w:sz="0" w:space="0" w:color="auto"/>
        <w:bottom w:val="none" w:sz="0" w:space="0" w:color="auto"/>
        <w:right w:val="none" w:sz="0" w:space="0" w:color="auto"/>
      </w:divBdr>
    </w:div>
    <w:div w:id="821890745">
      <w:bodyDiv w:val="1"/>
      <w:marLeft w:val="0"/>
      <w:marRight w:val="0"/>
      <w:marTop w:val="0"/>
      <w:marBottom w:val="0"/>
      <w:divBdr>
        <w:top w:val="none" w:sz="0" w:space="0" w:color="auto"/>
        <w:left w:val="none" w:sz="0" w:space="0" w:color="auto"/>
        <w:bottom w:val="none" w:sz="0" w:space="0" w:color="auto"/>
        <w:right w:val="none" w:sz="0" w:space="0" w:color="auto"/>
      </w:divBdr>
    </w:div>
    <w:div w:id="821892220">
      <w:bodyDiv w:val="1"/>
      <w:marLeft w:val="0"/>
      <w:marRight w:val="0"/>
      <w:marTop w:val="0"/>
      <w:marBottom w:val="0"/>
      <w:divBdr>
        <w:top w:val="none" w:sz="0" w:space="0" w:color="auto"/>
        <w:left w:val="none" w:sz="0" w:space="0" w:color="auto"/>
        <w:bottom w:val="none" w:sz="0" w:space="0" w:color="auto"/>
        <w:right w:val="none" w:sz="0" w:space="0" w:color="auto"/>
      </w:divBdr>
    </w:div>
    <w:div w:id="821894180">
      <w:bodyDiv w:val="1"/>
      <w:marLeft w:val="0"/>
      <w:marRight w:val="0"/>
      <w:marTop w:val="0"/>
      <w:marBottom w:val="0"/>
      <w:divBdr>
        <w:top w:val="none" w:sz="0" w:space="0" w:color="auto"/>
        <w:left w:val="none" w:sz="0" w:space="0" w:color="auto"/>
        <w:bottom w:val="none" w:sz="0" w:space="0" w:color="auto"/>
        <w:right w:val="none" w:sz="0" w:space="0" w:color="auto"/>
      </w:divBdr>
    </w:div>
    <w:div w:id="821966661">
      <w:bodyDiv w:val="1"/>
      <w:marLeft w:val="0"/>
      <w:marRight w:val="0"/>
      <w:marTop w:val="0"/>
      <w:marBottom w:val="0"/>
      <w:divBdr>
        <w:top w:val="none" w:sz="0" w:space="0" w:color="auto"/>
        <w:left w:val="none" w:sz="0" w:space="0" w:color="auto"/>
        <w:bottom w:val="none" w:sz="0" w:space="0" w:color="auto"/>
        <w:right w:val="none" w:sz="0" w:space="0" w:color="auto"/>
      </w:divBdr>
    </w:div>
    <w:div w:id="822041136">
      <w:bodyDiv w:val="1"/>
      <w:marLeft w:val="0"/>
      <w:marRight w:val="0"/>
      <w:marTop w:val="0"/>
      <w:marBottom w:val="0"/>
      <w:divBdr>
        <w:top w:val="none" w:sz="0" w:space="0" w:color="auto"/>
        <w:left w:val="none" w:sz="0" w:space="0" w:color="auto"/>
        <w:bottom w:val="none" w:sz="0" w:space="0" w:color="auto"/>
        <w:right w:val="none" w:sz="0" w:space="0" w:color="auto"/>
      </w:divBdr>
    </w:div>
    <w:div w:id="822048244">
      <w:bodyDiv w:val="1"/>
      <w:marLeft w:val="0"/>
      <w:marRight w:val="0"/>
      <w:marTop w:val="0"/>
      <w:marBottom w:val="0"/>
      <w:divBdr>
        <w:top w:val="none" w:sz="0" w:space="0" w:color="auto"/>
        <w:left w:val="none" w:sz="0" w:space="0" w:color="auto"/>
        <w:bottom w:val="none" w:sz="0" w:space="0" w:color="auto"/>
        <w:right w:val="none" w:sz="0" w:space="0" w:color="auto"/>
      </w:divBdr>
    </w:div>
    <w:div w:id="822089424">
      <w:bodyDiv w:val="1"/>
      <w:marLeft w:val="0"/>
      <w:marRight w:val="0"/>
      <w:marTop w:val="0"/>
      <w:marBottom w:val="0"/>
      <w:divBdr>
        <w:top w:val="none" w:sz="0" w:space="0" w:color="auto"/>
        <w:left w:val="none" w:sz="0" w:space="0" w:color="auto"/>
        <w:bottom w:val="none" w:sz="0" w:space="0" w:color="auto"/>
        <w:right w:val="none" w:sz="0" w:space="0" w:color="auto"/>
      </w:divBdr>
    </w:div>
    <w:div w:id="822114347">
      <w:bodyDiv w:val="1"/>
      <w:marLeft w:val="0"/>
      <w:marRight w:val="0"/>
      <w:marTop w:val="0"/>
      <w:marBottom w:val="0"/>
      <w:divBdr>
        <w:top w:val="none" w:sz="0" w:space="0" w:color="auto"/>
        <w:left w:val="none" w:sz="0" w:space="0" w:color="auto"/>
        <w:bottom w:val="none" w:sz="0" w:space="0" w:color="auto"/>
        <w:right w:val="none" w:sz="0" w:space="0" w:color="auto"/>
      </w:divBdr>
    </w:div>
    <w:div w:id="822114578">
      <w:bodyDiv w:val="1"/>
      <w:marLeft w:val="0"/>
      <w:marRight w:val="0"/>
      <w:marTop w:val="0"/>
      <w:marBottom w:val="0"/>
      <w:divBdr>
        <w:top w:val="none" w:sz="0" w:space="0" w:color="auto"/>
        <w:left w:val="none" w:sz="0" w:space="0" w:color="auto"/>
        <w:bottom w:val="none" w:sz="0" w:space="0" w:color="auto"/>
        <w:right w:val="none" w:sz="0" w:space="0" w:color="auto"/>
      </w:divBdr>
    </w:div>
    <w:div w:id="822157865">
      <w:bodyDiv w:val="1"/>
      <w:marLeft w:val="0"/>
      <w:marRight w:val="0"/>
      <w:marTop w:val="0"/>
      <w:marBottom w:val="0"/>
      <w:divBdr>
        <w:top w:val="none" w:sz="0" w:space="0" w:color="auto"/>
        <w:left w:val="none" w:sz="0" w:space="0" w:color="auto"/>
        <w:bottom w:val="none" w:sz="0" w:space="0" w:color="auto"/>
        <w:right w:val="none" w:sz="0" w:space="0" w:color="auto"/>
      </w:divBdr>
    </w:div>
    <w:div w:id="822239466">
      <w:bodyDiv w:val="1"/>
      <w:marLeft w:val="0"/>
      <w:marRight w:val="0"/>
      <w:marTop w:val="0"/>
      <w:marBottom w:val="0"/>
      <w:divBdr>
        <w:top w:val="none" w:sz="0" w:space="0" w:color="auto"/>
        <w:left w:val="none" w:sz="0" w:space="0" w:color="auto"/>
        <w:bottom w:val="none" w:sz="0" w:space="0" w:color="auto"/>
        <w:right w:val="none" w:sz="0" w:space="0" w:color="auto"/>
      </w:divBdr>
    </w:div>
    <w:div w:id="822310091">
      <w:bodyDiv w:val="1"/>
      <w:marLeft w:val="0"/>
      <w:marRight w:val="0"/>
      <w:marTop w:val="0"/>
      <w:marBottom w:val="0"/>
      <w:divBdr>
        <w:top w:val="none" w:sz="0" w:space="0" w:color="auto"/>
        <w:left w:val="none" w:sz="0" w:space="0" w:color="auto"/>
        <w:bottom w:val="none" w:sz="0" w:space="0" w:color="auto"/>
        <w:right w:val="none" w:sz="0" w:space="0" w:color="auto"/>
      </w:divBdr>
    </w:div>
    <w:div w:id="822310119">
      <w:bodyDiv w:val="1"/>
      <w:marLeft w:val="0"/>
      <w:marRight w:val="0"/>
      <w:marTop w:val="0"/>
      <w:marBottom w:val="0"/>
      <w:divBdr>
        <w:top w:val="none" w:sz="0" w:space="0" w:color="auto"/>
        <w:left w:val="none" w:sz="0" w:space="0" w:color="auto"/>
        <w:bottom w:val="none" w:sz="0" w:space="0" w:color="auto"/>
        <w:right w:val="none" w:sz="0" w:space="0" w:color="auto"/>
      </w:divBdr>
    </w:div>
    <w:div w:id="822353546">
      <w:bodyDiv w:val="1"/>
      <w:marLeft w:val="0"/>
      <w:marRight w:val="0"/>
      <w:marTop w:val="0"/>
      <w:marBottom w:val="0"/>
      <w:divBdr>
        <w:top w:val="none" w:sz="0" w:space="0" w:color="auto"/>
        <w:left w:val="none" w:sz="0" w:space="0" w:color="auto"/>
        <w:bottom w:val="none" w:sz="0" w:space="0" w:color="auto"/>
        <w:right w:val="none" w:sz="0" w:space="0" w:color="auto"/>
      </w:divBdr>
    </w:div>
    <w:div w:id="822358949">
      <w:bodyDiv w:val="1"/>
      <w:marLeft w:val="0"/>
      <w:marRight w:val="0"/>
      <w:marTop w:val="0"/>
      <w:marBottom w:val="0"/>
      <w:divBdr>
        <w:top w:val="none" w:sz="0" w:space="0" w:color="auto"/>
        <w:left w:val="none" w:sz="0" w:space="0" w:color="auto"/>
        <w:bottom w:val="none" w:sz="0" w:space="0" w:color="auto"/>
        <w:right w:val="none" w:sz="0" w:space="0" w:color="auto"/>
      </w:divBdr>
    </w:div>
    <w:div w:id="822503335">
      <w:bodyDiv w:val="1"/>
      <w:marLeft w:val="0"/>
      <w:marRight w:val="0"/>
      <w:marTop w:val="0"/>
      <w:marBottom w:val="0"/>
      <w:divBdr>
        <w:top w:val="none" w:sz="0" w:space="0" w:color="auto"/>
        <w:left w:val="none" w:sz="0" w:space="0" w:color="auto"/>
        <w:bottom w:val="none" w:sz="0" w:space="0" w:color="auto"/>
        <w:right w:val="none" w:sz="0" w:space="0" w:color="auto"/>
      </w:divBdr>
    </w:div>
    <w:div w:id="822504069">
      <w:bodyDiv w:val="1"/>
      <w:marLeft w:val="0"/>
      <w:marRight w:val="0"/>
      <w:marTop w:val="0"/>
      <w:marBottom w:val="0"/>
      <w:divBdr>
        <w:top w:val="none" w:sz="0" w:space="0" w:color="auto"/>
        <w:left w:val="none" w:sz="0" w:space="0" w:color="auto"/>
        <w:bottom w:val="none" w:sz="0" w:space="0" w:color="auto"/>
        <w:right w:val="none" w:sz="0" w:space="0" w:color="auto"/>
      </w:divBdr>
    </w:div>
    <w:div w:id="822545371">
      <w:bodyDiv w:val="1"/>
      <w:marLeft w:val="0"/>
      <w:marRight w:val="0"/>
      <w:marTop w:val="0"/>
      <w:marBottom w:val="0"/>
      <w:divBdr>
        <w:top w:val="none" w:sz="0" w:space="0" w:color="auto"/>
        <w:left w:val="none" w:sz="0" w:space="0" w:color="auto"/>
        <w:bottom w:val="none" w:sz="0" w:space="0" w:color="auto"/>
        <w:right w:val="none" w:sz="0" w:space="0" w:color="auto"/>
      </w:divBdr>
    </w:div>
    <w:div w:id="822549567">
      <w:bodyDiv w:val="1"/>
      <w:marLeft w:val="0"/>
      <w:marRight w:val="0"/>
      <w:marTop w:val="0"/>
      <w:marBottom w:val="0"/>
      <w:divBdr>
        <w:top w:val="none" w:sz="0" w:space="0" w:color="auto"/>
        <w:left w:val="none" w:sz="0" w:space="0" w:color="auto"/>
        <w:bottom w:val="none" w:sz="0" w:space="0" w:color="auto"/>
        <w:right w:val="none" w:sz="0" w:space="0" w:color="auto"/>
      </w:divBdr>
    </w:div>
    <w:div w:id="822618820">
      <w:bodyDiv w:val="1"/>
      <w:marLeft w:val="0"/>
      <w:marRight w:val="0"/>
      <w:marTop w:val="0"/>
      <w:marBottom w:val="0"/>
      <w:divBdr>
        <w:top w:val="none" w:sz="0" w:space="0" w:color="auto"/>
        <w:left w:val="none" w:sz="0" w:space="0" w:color="auto"/>
        <w:bottom w:val="none" w:sz="0" w:space="0" w:color="auto"/>
        <w:right w:val="none" w:sz="0" w:space="0" w:color="auto"/>
      </w:divBdr>
    </w:div>
    <w:div w:id="822624662">
      <w:bodyDiv w:val="1"/>
      <w:marLeft w:val="0"/>
      <w:marRight w:val="0"/>
      <w:marTop w:val="0"/>
      <w:marBottom w:val="0"/>
      <w:divBdr>
        <w:top w:val="none" w:sz="0" w:space="0" w:color="auto"/>
        <w:left w:val="none" w:sz="0" w:space="0" w:color="auto"/>
        <w:bottom w:val="none" w:sz="0" w:space="0" w:color="auto"/>
        <w:right w:val="none" w:sz="0" w:space="0" w:color="auto"/>
      </w:divBdr>
    </w:div>
    <w:div w:id="822741082">
      <w:bodyDiv w:val="1"/>
      <w:marLeft w:val="0"/>
      <w:marRight w:val="0"/>
      <w:marTop w:val="0"/>
      <w:marBottom w:val="0"/>
      <w:divBdr>
        <w:top w:val="none" w:sz="0" w:space="0" w:color="auto"/>
        <w:left w:val="none" w:sz="0" w:space="0" w:color="auto"/>
        <w:bottom w:val="none" w:sz="0" w:space="0" w:color="auto"/>
        <w:right w:val="none" w:sz="0" w:space="0" w:color="auto"/>
      </w:divBdr>
    </w:div>
    <w:div w:id="822744984">
      <w:bodyDiv w:val="1"/>
      <w:marLeft w:val="0"/>
      <w:marRight w:val="0"/>
      <w:marTop w:val="0"/>
      <w:marBottom w:val="0"/>
      <w:divBdr>
        <w:top w:val="none" w:sz="0" w:space="0" w:color="auto"/>
        <w:left w:val="none" w:sz="0" w:space="0" w:color="auto"/>
        <w:bottom w:val="none" w:sz="0" w:space="0" w:color="auto"/>
        <w:right w:val="none" w:sz="0" w:space="0" w:color="auto"/>
      </w:divBdr>
    </w:div>
    <w:div w:id="822813833">
      <w:bodyDiv w:val="1"/>
      <w:marLeft w:val="0"/>
      <w:marRight w:val="0"/>
      <w:marTop w:val="0"/>
      <w:marBottom w:val="0"/>
      <w:divBdr>
        <w:top w:val="none" w:sz="0" w:space="0" w:color="auto"/>
        <w:left w:val="none" w:sz="0" w:space="0" w:color="auto"/>
        <w:bottom w:val="none" w:sz="0" w:space="0" w:color="auto"/>
        <w:right w:val="none" w:sz="0" w:space="0" w:color="auto"/>
      </w:divBdr>
    </w:div>
    <w:div w:id="822817383">
      <w:bodyDiv w:val="1"/>
      <w:marLeft w:val="0"/>
      <w:marRight w:val="0"/>
      <w:marTop w:val="0"/>
      <w:marBottom w:val="0"/>
      <w:divBdr>
        <w:top w:val="none" w:sz="0" w:space="0" w:color="auto"/>
        <w:left w:val="none" w:sz="0" w:space="0" w:color="auto"/>
        <w:bottom w:val="none" w:sz="0" w:space="0" w:color="auto"/>
        <w:right w:val="none" w:sz="0" w:space="0" w:color="auto"/>
      </w:divBdr>
    </w:div>
    <w:div w:id="822888100">
      <w:bodyDiv w:val="1"/>
      <w:marLeft w:val="0"/>
      <w:marRight w:val="0"/>
      <w:marTop w:val="0"/>
      <w:marBottom w:val="0"/>
      <w:divBdr>
        <w:top w:val="none" w:sz="0" w:space="0" w:color="auto"/>
        <w:left w:val="none" w:sz="0" w:space="0" w:color="auto"/>
        <w:bottom w:val="none" w:sz="0" w:space="0" w:color="auto"/>
        <w:right w:val="none" w:sz="0" w:space="0" w:color="auto"/>
      </w:divBdr>
    </w:div>
    <w:div w:id="822936043">
      <w:bodyDiv w:val="1"/>
      <w:marLeft w:val="0"/>
      <w:marRight w:val="0"/>
      <w:marTop w:val="0"/>
      <w:marBottom w:val="0"/>
      <w:divBdr>
        <w:top w:val="none" w:sz="0" w:space="0" w:color="auto"/>
        <w:left w:val="none" w:sz="0" w:space="0" w:color="auto"/>
        <w:bottom w:val="none" w:sz="0" w:space="0" w:color="auto"/>
        <w:right w:val="none" w:sz="0" w:space="0" w:color="auto"/>
      </w:divBdr>
    </w:div>
    <w:div w:id="823011062">
      <w:bodyDiv w:val="1"/>
      <w:marLeft w:val="0"/>
      <w:marRight w:val="0"/>
      <w:marTop w:val="0"/>
      <w:marBottom w:val="0"/>
      <w:divBdr>
        <w:top w:val="none" w:sz="0" w:space="0" w:color="auto"/>
        <w:left w:val="none" w:sz="0" w:space="0" w:color="auto"/>
        <w:bottom w:val="none" w:sz="0" w:space="0" w:color="auto"/>
        <w:right w:val="none" w:sz="0" w:space="0" w:color="auto"/>
      </w:divBdr>
    </w:div>
    <w:div w:id="823080541">
      <w:bodyDiv w:val="1"/>
      <w:marLeft w:val="0"/>
      <w:marRight w:val="0"/>
      <w:marTop w:val="0"/>
      <w:marBottom w:val="0"/>
      <w:divBdr>
        <w:top w:val="none" w:sz="0" w:space="0" w:color="auto"/>
        <w:left w:val="none" w:sz="0" w:space="0" w:color="auto"/>
        <w:bottom w:val="none" w:sz="0" w:space="0" w:color="auto"/>
        <w:right w:val="none" w:sz="0" w:space="0" w:color="auto"/>
      </w:divBdr>
    </w:div>
    <w:div w:id="823086726">
      <w:bodyDiv w:val="1"/>
      <w:marLeft w:val="0"/>
      <w:marRight w:val="0"/>
      <w:marTop w:val="0"/>
      <w:marBottom w:val="0"/>
      <w:divBdr>
        <w:top w:val="none" w:sz="0" w:space="0" w:color="auto"/>
        <w:left w:val="none" w:sz="0" w:space="0" w:color="auto"/>
        <w:bottom w:val="none" w:sz="0" w:space="0" w:color="auto"/>
        <w:right w:val="none" w:sz="0" w:space="0" w:color="auto"/>
      </w:divBdr>
    </w:div>
    <w:div w:id="823200751">
      <w:bodyDiv w:val="1"/>
      <w:marLeft w:val="0"/>
      <w:marRight w:val="0"/>
      <w:marTop w:val="0"/>
      <w:marBottom w:val="0"/>
      <w:divBdr>
        <w:top w:val="none" w:sz="0" w:space="0" w:color="auto"/>
        <w:left w:val="none" w:sz="0" w:space="0" w:color="auto"/>
        <w:bottom w:val="none" w:sz="0" w:space="0" w:color="auto"/>
        <w:right w:val="none" w:sz="0" w:space="0" w:color="auto"/>
      </w:divBdr>
    </w:div>
    <w:div w:id="823276019">
      <w:bodyDiv w:val="1"/>
      <w:marLeft w:val="0"/>
      <w:marRight w:val="0"/>
      <w:marTop w:val="0"/>
      <w:marBottom w:val="0"/>
      <w:divBdr>
        <w:top w:val="none" w:sz="0" w:space="0" w:color="auto"/>
        <w:left w:val="none" w:sz="0" w:space="0" w:color="auto"/>
        <w:bottom w:val="none" w:sz="0" w:space="0" w:color="auto"/>
        <w:right w:val="none" w:sz="0" w:space="0" w:color="auto"/>
      </w:divBdr>
    </w:div>
    <w:div w:id="823353066">
      <w:bodyDiv w:val="1"/>
      <w:marLeft w:val="0"/>
      <w:marRight w:val="0"/>
      <w:marTop w:val="0"/>
      <w:marBottom w:val="0"/>
      <w:divBdr>
        <w:top w:val="none" w:sz="0" w:space="0" w:color="auto"/>
        <w:left w:val="none" w:sz="0" w:space="0" w:color="auto"/>
        <w:bottom w:val="none" w:sz="0" w:space="0" w:color="auto"/>
        <w:right w:val="none" w:sz="0" w:space="0" w:color="auto"/>
      </w:divBdr>
    </w:div>
    <w:div w:id="823665796">
      <w:bodyDiv w:val="1"/>
      <w:marLeft w:val="0"/>
      <w:marRight w:val="0"/>
      <w:marTop w:val="0"/>
      <w:marBottom w:val="0"/>
      <w:divBdr>
        <w:top w:val="none" w:sz="0" w:space="0" w:color="auto"/>
        <w:left w:val="none" w:sz="0" w:space="0" w:color="auto"/>
        <w:bottom w:val="none" w:sz="0" w:space="0" w:color="auto"/>
        <w:right w:val="none" w:sz="0" w:space="0" w:color="auto"/>
      </w:divBdr>
    </w:div>
    <w:div w:id="823666533">
      <w:bodyDiv w:val="1"/>
      <w:marLeft w:val="0"/>
      <w:marRight w:val="0"/>
      <w:marTop w:val="0"/>
      <w:marBottom w:val="0"/>
      <w:divBdr>
        <w:top w:val="none" w:sz="0" w:space="0" w:color="auto"/>
        <w:left w:val="none" w:sz="0" w:space="0" w:color="auto"/>
        <w:bottom w:val="none" w:sz="0" w:space="0" w:color="auto"/>
        <w:right w:val="none" w:sz="0" w:space="0" w:color="auto"/>
      </w:divBdr>
    </w:div>
    <w:div w:id="823813128">
      <w:bodyDiv w:val="1"/>
      <w:marLeft w:val="0"/>
      <w:marRight w:val="0"/>
      <w:marTop w:val="0"/>
      <w:marBottom w:val="0"/>
      <w:divBdr>
        <w:top w:val="none" w:sz="0" w:space="0" w:color="auto"/>
        <w:left w:val="none" w:sz="0" w:space="0" w:color="auto"/>
        <w:bottom w:val="none" w:sz="0" w:space="0" w:color="auto"/>
        <w:right w:val="none" w:sz="0" w:space="0" w:color="auto"/>
      </w:divBdr>
    </w:div>
    <w:div w:id="823863072">
      <w:bodyDiv w:val="1"/>
      <w:marLeft w:val="0"/>
      <w:marRight w:val="0"/>
      <w:marTop w:val="0"/>
      <w:marBottom w:val="0"/>
      <w:divBdr>
        <w:top w:val="none" w:sz="0" w:space="0" w:color="auto"/>
        <w:left w:val="none" w:sz="0" w:space="0" w:color="auto"/>
        <w:bottom w:val="none" w:sz="0" w:space="0" w:color="auto"/>
        <w:right w:val="none" w:sz="0" w:space="0" w:color="auto"/>
      </w:divBdr>
    </w:div>
    <w:div w:id="823937428">
      <w:bodyDiv w:val="1"/>
      <w:marLeft w:val="0"/>
      <w:marRight w:val="0"/>
      <w:marTop w:val="0"/>
      <w:marBottom w:val="0"/>
      <w:divBdr>
        <w:top w:val="none" w:sz="0" w:space="0" w:color="auto"/>
        <w:left w:val="none" w:sz="0" w:space="0" w:color="auto"/>
        <w:bottom w:val="none" w:sz="0" w:space="0" w:color="auto"/>
        <w:right w:val="none" w:sz="0" w:space="0" w:color="auto"/>
      </w:divBdr>
    </w:div>
    <w:div w:id="824009111">
      <w:bodyDiv w:val="1"/>
      <w:marLeft w:val="0"/>
      <w:marRight w:val="0"/>
      <w:marTop w:val="0"/>
      <w:marBottom w:val="0"/>
      <w:divBdr>
        <w:top w:val="none" w:sz="0" w:space="0" w:color="auto"/>
        <w:left w:val="none" w:sz="0" w:space="0" w:color="auto"/>
        <w:bottom w:val="none" w:sz="0" w:space="0" w:color="auto"/>
        <w:right w:val="none" w:sz="0" w:space="0" w:color="auto"/>
      </w:divBdr>
    </w:div>
    <w:div w:id="824125327">
      <w:bodyDiv w:val="1"/>
      <w:marLeft w:val="0"/>
      <w:marRight w:val="0"/>
      <w:marTop w:val="0"/>
      <w:marBottom w:val="0"/>
      <w:divBdr>
        <w:top w:val="none" w:sz="0" w:space="0" w:color="auto"/>
        <w:left w:val="none" w:sz="0" w:space="0" w:color="auto"/>
        <w:bottom w:val="none" w:sz="0" w:space="0" w:color="auto"/>
        <w:right w:val="none" w:sz="0" w:space="0" w:color="auto"/>
      </w:divBdr>
    </w:div>
    <w:div w:id="824126153">
      <w:bodyDiv w:val="1"/>
      <w:marLeft w:val="0"/>
      <w:marRight w:val="0"/>
      <w:marTop w:val="0"/>
      <w:marBottom w:val="0"/>
      <w:divBdr>
        <w:top w:val="none" w:sz="0" w:space="0" w:color="auto"/>
        <w:left w:val="none" w:sz="0" w:space="0" w:color="auto"/>
        <w:bottom w:val="none" w:sz="0" w:space="0" w:color="auto"/>
        <w:right w:val="none" w:sz="0" w:space="0" w:color="auto"/>
      </w:divBdr>
    </w:div>
    <w:div w:id="824391119">
      <w:bodyDiv w:val="1"/>
      <w:marLeft w:val="0"/>
      <w:marRight w:val="0"/>
      <w:marTop w:val="0"/>
      <w:marBottom w:val="0"/>
      <w:divBdr>
        <w:top w:val="none" w:sz="0" w:space="0" w:color="auto"/>
        <w:left w:val="none" w:sz="0" w:space="0" w:color="auto"/>
        <w:bottom w:val="none" w:sz="0" w:space="0" w:color="auto"/>
        <w:right w:val="none" w:sz="0" w:space="0" w:color="auto"/>
      </w:divBdr>
    </w:div>
    <w:div w:id="824394725">
      <w:bodyDiv w:val="1"/>
      <w:marLeft w:val="0"/>
      <w:marRight w:val="0"/>
      <w:marTop w:val="0"/>
      <w:marBottom w:val="0"/>
      <w:divBdr>
        <w:top w:val="none" w:sz="0" w:space="0" w:color="auto"/>
        <w:left w:val="none" w:sz="0" w:space="0" w:color="auto"/>
        <w:bottom w:val="none" w:sz="0" w:space="0" w:color="auto"/>
        <w:right w:val="none" w:sz="0" w:space="0" w:color="auto"/>
      </w:divBdr>
    </w:div>
    <w:div w:id="824466412">
      <w:bodyDiv w:val="1"/>
      <w:marLeft w:val="0"/>
      <w:marRight w:val="0"/>
      <w:marTop w:val="0"/>
      <w:marBottom w:val="0"/>
      <w:divBdr>
        <w:top w:val="none" w:sz="0" w:space="0" w:color="auto"/>
        <w:left w:val="none" w:sz="0" w:space="0" w:color="auto"/>
        <w:bottom w:val="none" w:sz="0" w:space="0" w:color="auto"/>
        <w:right w:val="none" w:sz="0" w:space="0" w:color="auto"/>
      </w:divBdr>
    </w:div>
    <w:div w:id="824509630">
      <w:bodyDiv w:val="1"/>
      <w:marLeft w:val="0"/>
      <w:marRight w:val="0"/>
      <w:marTop w:val="0"/>
      <w:marBottom w:val="0"/>
      <w:divBdr>
        <w:top w:val="none" w:sz="0" w:space="0" w:color="auto"/>
        <w:left w:val="none" w:sz="0" w:space="0" w:color="auto"/>
        <w:bottom w:val="none" w:sz="0" w:space="0" w:color="auto"/>
        <w:right w:val="none" w:sz="0" w:space="0" w:color="auto"/>
      </w:divBdr>
    </w:div>
    <w:div w:id="824668876">
      <w:bodyDiv w:val="1"/>
      <w:marLeft w:val="0"/>
      <w:marRight w:val="0"/>
      <w:marTop w:val="0"/>
      <w:marBottom w:val="0"/>
      <w:divBdr>
        <w:top w:val="none" w:sz="0" w:space="0" w:color="auto"/>
        <w:left w:val="none" w:sz="0" w:space="0" w:color="auto"/>
        <w:bottom w:val="none" w:sz="0" w:space="0" w:color="auto"/>
        <w:right w:val="none" w:sz="0" w:space="0" w:color="auto"/>
      </w:divBdr>
    </w:div>
    <w:div w:id="824778620">
      <w:bodyDiv w:val="1"/>
      <w:marLeft w:val="0"/>
      <w:marRight w:val="0"/>
      <w:marTop w:val="0"/>
      <w:marBottom w:val="0"/>
      <w:divBdr>
        <w:top w:val="none" w:sz="0" w:space="0" w:color="auto"/>
        <w:left w:val="none" w:sz="0" w:space="0" w:color="auto"/>
        <w:bottom w:val="none" w:sz="0" w:space="0" w:color="auto"/>
        <w:right w:val="none" w:sz="0" w:space="0" w:color="auto"/>
      </w:divBdr>
    </w:div>
    <w:div w:id="824780171">
      <w:bodyDiv w:val="1"/>
      <w:marLeft w:val="0"/>
      <w:marRight w:val="0"/>
      <w:marTop w:val="0"/>
      <w:marBottom w:val="0"/>
      <w:divBdr>
        <w:top w:val="none" w:sz="0" w:space="0" w:color="auto"/>
        <w:left w:val="none" w:sz="0" w:space="0" w:color="auto"/>
        <w:bottom w:val="none" w:sz="0" w:space="0" w:color="auto"/>
        <w:right w:val="none" w:sz="0" w:space="0" w:color="auto"/>
      </w:divBdr>
    </w:div>
    <w:div w:id="824785601">
      <w:bodyDiv w:val="1"/>
      <w:marLeft w:val="0"/>
      <w:marRight w:val="0"/>
      <w:marTop w:val="0"/>
      <w:marBottom w:val="0"/>
      <w:divBdr>
        <w:top w:val="none" w:sz="0" w:space="0" w:color="auto"/>
        <w:left w:val="none" w:sz="0" w:space="0" w:color="auto"/>
        <w:bottom w:val="none" w:sz="0" w:space="0" w:color="auto"/>
        <w:right w:val="none" w:sz="0" w:space="0" w:color="auto"/>
      </w:divBdr>
    </w:div>
    <w:div w:id="824785720">
      <w:bodyDiv w:val="1"/>
      <w:marLeft w:val="0"/>
      <w:marRight w:val="0"/>
      <w:marTop w:val="0"/>
      <w:marBottom w:val="0"/>
      <w:divBdr>
        <w:top w:val="none" w:sz="0" w:space="0" w:color="auto"/>
        <w:left w:val="none" w:sz="0" w:space="0" w:color="auto"/>
        <w:bottom w:val="none" w:sz="0" w:space="0" w:color="auto"/>
        <w:right w:val="none" w:sz="0" w:space="0" w:color="auto"/>
      </w:divBdr>
    </w:div>
    <w:div w:id="825129173">
      <w:bodyDiv w:val="1"/>
      <w:marLeft w:val="0"/>
      <w:marRight w:val="0"/>
      <w:marTop w:val="0"/>
      <w:marBottom w:val="0"/>
      <w:divBdr>
        <w:top w:val="none" w:sz="0" w:space="0" w:color="auto"/>
        <w:left w:val="none" w:sz="0" w:space="0" w:color="auto"/>
        <w:bottom w:val="none" w:sz="0" w:space="0" w:color="auto"/>
        <w:right w:val="none" w:sz="0" w:space="0" w:color="auto"/>
      </w:divBdr>
    </w:div>
    <w:div w:id="825245499">
      <w:bodyDiv w:val="1"/>
      <w:marLeft w:val="0"/>
      <w:marRight w:val="0"/>
      <w:marTop w:val="0"/>
      <w:marBottom w:val="0"/>
      <w:divBdr>
        <w:top w:val="none" w:sz="0" w:space="0" w:color="auto"/>
        <w:left w:val="none" w:sz="0" w:space="0" w:color="auto"/>
        <w:bottom w:val="none" w:sz="0" w:space="0" w:color="auto"/>
        <w:right w:val="none" w:sz="0" w:space="0" w:color="auto"/>
      </w:divBdr>
    </w:div>
    <w:div w:id="825322172">
      <w:bodyDiv w:val="1"/>
      <w:marLeft w:val="0"/>
      <w:marRight w:val="0"/>
      <w:marTop w:val="0"/>
      <w:marBottom w:val="0"/>
      <w:divBdr>
        <w:top w:val="none" w:sz="0" w:space="0" w:color="auto"/>
        <w:left w:val="none" w:sz="0" w:space="0" w:color="auto"/>
        <w:bottom w:val="none" w:sz="0" w:space="0" w:color="auto"/>
        <w:right w:val="none" w:sz="0" w:space="0" w:color="auto"/>
      </w:divBdr>
    </w:div>
    <w:div w:id="825435275">
      <w:bodyDiv w:val="1"/>
      <w:marLeft w:val="0"/>
      <w:marRight w:val="0"/>
      <w:marTop w:val="0"/>
      <w:marBottom w:val="0"/>
      <w:divBdr>
        <w:top w:val="none" w:sz="0" w:space="0" w:color="auto"/>
        <w:left w:val="none" w:sz="0" w:space="0" w:color="auto"/>
        <w:bottom w:val="none" w:sz="0" w:space="0" w:color="auto"/>
        <w:right w:val="none" w:sz="0" w:space="0" w:color="auto"/>
      </w:divBdr>
    </w:div>
    <w:div w:id="825439221">
      <w:bodyDiv w:val="1"/>
      <w:marLeft w:val="0"/>
      <w:marRight w:val="0"/>
      <w:marTop w:val="0"/>
      <w:marBottom w:val="0"/>
      <w:divBdr>
        <w:top w:val="none" w:sz="0" w:space="0" w:color="auto"/>
        <w:left w:val="none" w:sz="0" w:space="0" w:color="auto"/>
        <w:bottom w:val="none" w:sz="0" w:space="0" w:color="auto"/>
        <w:right w:val="none" w:sz="0" w:space="0" w:color="auto"/>
      </w:divBdr>
    </w:div>
    <w:div w:id="825512544">
      <w:bodyDiv w:val="1"/>
      <w:marLeft w:val="0"/>
      <w:marRight w:val="0"/>
      <w:marTop w:val="0"/>
      <w:marBottom w:val="0"/>
      <w:divBdr>
        <w:top w:val="none" w:sz="0" w:space="0" w:color="auto"/>
        <w:left w:val="none" w:sz="0" w:space="0" w:color="auto"/>
        <w:bottom w:val="none" w:sz="0" w:space="0" w:color="auto"/>
        <w:right w:val="none" w:sz="0" w:space="0" w:color="auto"/>
      </w:divBdr>
    </w:div>
    <w:div w:id="825558004">
      <w:bodyDiv w:val="1"/>
      <w:marLeft w:val="0"/>
      <w:marRight w:val="0"/>
      <w:marTop w:val="0"/>
      <w:marBottom w:val="0"/>
      <w:divBdr>
        <w:top w:val="none" w:sz="0" w:space="0" w:color="auto"/>
        <w:left w:val="none" w:sz="0" w:space="0" w:color="auto"/>
        <w:bottom w:val="none" w:sz="0" w:space="0" w:color="auto"/>
        <w:right w:val="none" w:sz="0" w:space="0" w:color="auto"/>
      </w:divBdr>
    </w:div>
    <w:div w:id="825896229">
      <w:bodyDiv w:val="1"/>
      <w:marLeft w:val="0"/>
      <w:marRight w:val="0"/>
      <w:marTop w:val="0"/>
      <w:marBottom w:val="0"/>
      <w:divBdr>
        <w:top w:val="none" w:sz="0" w:space="0" w:color="auto"/>
        <w:left w:val="none" w:sz="0" w:space="0" w:color="auto"/>
        <w:bottom w:val="none" w:sz="0" w:space="0" w:color="auto"/>
        <w:right w:val="none" w:sz="0" w:space="0" w:color="auto"/>
      </w:divBdr>
    </w:div>
    <w:div w:id="825899181">
      <w:bodyDiv w:val="1"/>
      <w:marLeft w:val="0"/>
      <w:marRight w:val="0"/>
      <w:marTop w:val="0"/>
      <w:marBottom w:val="0"/>
      <w:divBdr>
        <w:top w:val="none" w:sz="0" w:space="0" w:color="auto"/>
        <w:left w:val="none" w:sz="0" w:space="0" w:color="auto"/>
        <w:bottom w:val="none" w:sz="0" w:space="0" w:color="auto"/>
        <w:right w:val="none" w:sz="0" w:space="0" w:color="auto"/>
      </w:divBdr>
    </w:div>
    <w:div w:id="826091422">
      <w:bodyDiv w:val="1"/>
      <w:marLeft w:val="0"/>
      <w:marRight w:val="0"/>
      <w:marTop w:val="0"/>
      <w:marBottom w:val="0"/>
      <w:divBdr>
        <w:top w:val="none" w:sz="0" w:space="0" w:color="auto"/>
        <w:left w:val="none" w:sz="0" w:space="0" w:color="auto"/>
        <w:bottom w:val="none" w:sz="0" w:space="0" w:color="auto"/>
        <w:right w:val="none" w:sz="0" w:space="0" w:color="auto"/>
      </w:divBdr>
    </w:div>
    <w:div w:id="826168603">
      <w:bodyDiv w:val="1"/>
      <w:marLeft w:val="0"/>
      <w:marRight w:val="0"/>
      <w:marTop w:val="0"/>
      <w:marBottom w:val="0"/>
      <w:divBdr>
        <w:top w:val="none" w:sz="0" w:space="0" w:color="auto"/>
        <w:left w:val="none" w:sz="0" w:space="0" w:color="auto"/>
        <w:bottom w:val="none" w:sz="0" w:space="0" w:color="auto"/>
        <w:right w:val="none" w:sz="0" w:space="0" w:color="auto"/>
      </w:divBdr>
    </w:div>
    <w:div w:id="826170826">
      <w:bodyDiv w:val="1"/>
      <w:marLeft w:val="0"/>
      <w:marRight w:val="0"/>
      <w:marTop w:val="0"/>
      <w:marBottom w:val="0"/>
      <w:divBdr>
        <w:top w:val="none" w:sz="0" w:space="0" w:color="auto"/>
        <w:left w:val="none" w:sz="0" w:space="0" w:color="auto"/>
        <w:bottom w:val="none" w:sz="0" w:space="0" w:color="auto"/>
        <w:right w:val="none" w:sz="0" w:space="0" w:color="auto"/>
      </w:divBdr>
    </w:div>
    <w:div w:id="826212624">
      <w:bodyDiv w:val="1"/>
      <w:marLeft w:val="0"/>
      <w:marRight w:val="0"/>
      <w:marTop w:val="0"/>
      <w:marBottom w:val="0"/>
      <w:divBdr>
        <w:top w:val="none" w:sz="0" w:space="0" w:color="auto"/>
        <w:left w:val="none" w:sz="0" w:space="0" w:color="auto"/>
        <w:bottom w:val="none" w:sz="0" w:space="0" w:color="auto"/>
        <w:right w:val="none" w:sz="0" w:space="0" w:color="auto"/>
      </w:divBdr>
    </w:div>
    <w:div w:id="826360227">
      <w:bodyDiv w:val="1"/>
      <w:marLeft w:val="0"/>
      <w:marRight w:val="0"/>
      <w:marTop w:val="0"/>
      <w:marBottom w:val="0"/>
      <w:divBdr>
        <w:top w:val="none" w:sz="0" w:space="0" w:color="auto"/>
        <w:left w:val="none" w:sz="0" w:space="0" w:color="auto"/>
        <w:bottom w:val="none" w:sz="0" w:space="0" w:color="auto"/>
        <w:right w:val="none" w:sz="0" w:space="0" w:color="auto"/>
      </w:divBdr>
    </w:div>
    <w:div w:id="826364457">
      <w:bodyDiv w:val="1"/>
      <w:marLeft w:val="0"/>
      <w:marRight w:val="0"/>
      <w:marTop w:val="0"/>
      <w:marBottom w:val="0"/>
      <w:divBdr>
        <w:top w:val="none" w:sz="0" w:space="0" w:color="auto"/>
        <w:left w:val="none" w:sz="0" w:space="0" w:color="auto"/>
        <w:bottom w:val="none" w:sz="0" w:space="0" w:color="auto"/>
        <w:right w:val="none" w:sz="0" w:space="0" w:color="auto"/>
      </w:divBdr>
    </w:div>
    <w:div w:id="826551755">
      <w:bodyDiv w:val="1"/>
      <w:marLeft w:val="0"/>
      <w:marRight w:val="0"/>
      <w:marTop w:val="0"/>
      <w:marBottom w:val="0"/>
      <w:divBdr>
        <w:top w:val="none" w:sz="0" w:space="0" w:color="auto"/>
        <w:left w:val="none" w:sz="0" w:space="0" w:color="auto"/>
        <w:bottom w:val="none" w:sz="0" w:space="0" w:color="auto"/>
        <w:right w:val="none" w:sz="0" w:space="0" w:color="auto"/>
      </w:divBdr>
    </w:div>
    <w:div w:id="826821919">
      <w:bodyDiv w:val="1"/>
      <w:marLeft w:val="0"/>
      <w:marRight w:val="0"/>
      <w:marTop w:val="0"/>
      <w:marBottom w:val="0"/>
      <w:divBdr>
        <w:top w:val="none" w:sz="0" w:space="0" w:color="auto"/>
        <w:left w:val="none" w:sz="0" w:space="0" w:color="auto"/>
        <w:bottom w:val="none" w:sz="0" w:space="0" w:color="auto"/>
        <w:right w:val="none" w:sz="0" w:space="0" w:color="auto"/>
      </w:divBdr>
    </w:div>
    <w:div w:id="826825483">
      <w:bodyDiv w:val="1"/>
      <w:marLeft w:val="0"/>
      <w:marRight w:val="0"/>
      <w:marTop w:val="0"/>
      <w:marBottom w:val="0"/>
      <w:divBdr>
        <w:top w:val="none" w:sz="0" w:space="0" w:color="auto"/>
        <w:left w:val="none" w:sz="0" w:space="0" w:color="auto"/>
        <w:bottom w:val="none" w:sz="0" w:space="0" w:color="auto"/>
        <w:right w:val="none" w:sz="0" w:space="0" w:color="auto"/>
      </w:divBdr>
    </w:div>
    <w:div w:id="827012971">
      <w:bodyDiv w:val="1"/>
      <w:marLeft w:val="0"/>
      <w:marRight w:val="0"/>
      <w:marTop w:val="0"/>
      <w:marBottom w:val="0"/>
      <w:divBdr>
        <w:top w:val="none" w:sz="0" w:space="0" w:color="auto"/>
        <w:left w:val="none" w:sz="0" w:space="0" w:color="auto"/>
        <w:bottom w:val="none" w:sz="0" w:space="0" w:color="auto"/>
        <w:right w:val="none" w:sz="0" w:space="0" w:color="auto"/>
      </w:divBdr>
    </w:div>
    <w:div w:id="827206995">
      <w:bodyDiv w:val="1"/>
      <w:marLeft w:val="0"/>
      <w:marRight w:val="0"/>
      <w:marTop w:val="0"/>
      <w:marBottom w:val="0"/>
      <w:divBdr>
        <w:top w:val="none" w:sz="0" w:space="0" w:color="auto"/>
        <w:left w:val="none" w:sz="0" w:space="0" w:color="auto"/>
        <w:bottom w:val="none" w:sz="0" w:space="0" w:color="auto"/>
        <w:right w:val="none" w:sz="0" w:space="0" w:color="auto"/>
      </w:divBdr>
    </w:div>
    <w:div w:id="827208589">
      <w:bodyDiv w:val="1"/>
      <w:marLeft w:val="0"/>
      <w:marRight w:val="0"/>
      <w:marTop w:val="0"/>
      <w:marBottom w:val="0"/>
      <w:divBdr>
        <w:top w:val="none" w:sz="0" w:space="0" w:color="auto"/>
        <w:left w:val="none" w:sz="0" w:space="0" w:color="auto"/>
        <w:bottom w:val="none" w:sz="0" w:space="0" w:color="auto"/>
        <w:right w:val="none" w:sz="0" w:space="0" w:color="auto"/>
      </w:divBdr>
    </w:div>
    <w:div w:id="827399670">
      <w:bodyDiv w:val="1"/>
      <w:marLeft w:val="0"/>
      <w:marRight w:val="0"/>
      <w:marTop w:val="0"/>
      <w:marBottom w:val="0"/>
      <w:divBdr>
        <w:top w:val="none" w:sz="0" w:space="0" w:color="auto"/>
        <w:left w:val="none" w:sz="0" w:space="0" w:color="auto"/>
        <w:bottom w:val="none" w:sz="0" w:space="0" w:color="auto"/>
        <w:right w:val="none" w:sz="0" w:space="0" w:color="auto"/>
      </w:divBdr>
    </w:div>
    <w:div w:id="827600841">
      <w:bodyDiv w:val="1"/>
      <w:marLeft w:val="0"/>
      <w:marRight w:val="0"/>
      <w:marTop w:val="0"/>
      <w:marBottom w:val="0"/>
      <w:divBdr>
        <w:top w:val="none" w:sz="0" w:space="0" w:color="auto"/>
        <w:left w:val="none" w:sz="0" w:space="0" w:color="auto"/>
        <w:bottom w:val="none" w:sz="0" w:space="0" w:color="auto"/>
        <w:right w:val="none" w:sz="0" w:space="0" w:color="auto"/>
      </w:divBdr>
    </w:div>
    <w:div w:id="827669217">
      <w:bodyDiv w:val="1"/>
      <w:marLeft w:val="0"/>
      <w:marRight w:val="0"/>
      <w:marTop w:val="0"/>
      <w:marBottom w:val="0"/>
      <w:divBdr>
        <w:top w:val="none" w:sz="0" w:space="0" w:color="auto"/>
        <w:left w:val="none" w:sz="0" w:space="0" w:color="auto"/>
        <w:bottom w:val="none" w:sz="0" w:space="0" w:color="auto"/>
        <w:right w:val="none" w:sz="0" w:space="0" w:color="auto"/>
      </w:divBdr>
    </w:div>
    <w:div w:id="827670732">
      <w:bodyDiv w:val="1"/>
      <w:marLeft w:val="0"/>
      <w:marRight w:val="0"/>
      <w:marTop w:val="0"/>
      <w:marBottom w:val="0"/>
      <w:divBdr>
        <w:top w:val="none" w:sz="0" w:space="0" w:color="auto"/>
        <w:left w:val="none" w:sz="0" w:space="0" w:color="auto"/>
        <w:bottom w:val="none" w:sz="0" w:space="0" w:color="auto"/>
        <w:right w:val="none" w:sz="0" w:space="0" w:color="auto"/>
      </w:divBdr>
    </w:div>
    <w:div w:id="827676748">
      <w:bodyDiv w:val="1"/>
      <w:marLeft w:val="0"/>
      <w:marRight w:val="0"/>
      <w:marTop w:val="0"/>
      <w:marBottom w:val="0"/>
      <w:divBdr>
        <w:top w:val="none" w:sz="0" w:space="0" w:color="auto"/>
        <w:left w:val="none" w:sz="0" w:space="0" w:color="auto"/>
        <w:bottom w:val="none" w:sz="0" w:space="0" w:color="auto"/>
        <w:right w:val="none" w:sz="0" w:space="0" w:color="auto"/>
      </w:divBdr>
    </w:div>
    <w:div w:id="827747609">
      <w:bodyDiv w:val="1"/>
      <w:marLeft w:val="0"/>
      <w:marRight w:val="0"/>
      <w:marTop w:val="0"/>
      <w:marBottom w:val="0"/>
      <w:divBdr>
        <w:top w:val="none" w:sz="0" w:space="0" w:color="auto"/>
        <w:left w:val="none" w:sz="0" w:space="0" w:color="auto"/>
        <w:bottom w:val="none" w:sz="0" w:space="0" w:color="auto"/>
        <w:right w:val="none" w:sz="0" w:space="0" w:color="auto"/>
      </w:divBdr>
    </w:div>
    <w:div w:id="827748812">
      <w:bodyDiv w:val="1"/>
      <w:marLeft w:val="0"/>
      <w:marRight w:val="0"/>
      <w:marTop w:val="0"/>
      <w:marBottom w:val="0"/>
      <w:divBdr>
        <w:top w:val="none" w:sz="0" w:space="0" w:color="auto"/>
        <w:left w:val="none" w:sz="0" w:space="0" w:color="auto"/>
        <w:bottom w:val="none" w:sz="0" w:space="0" w:color="auto"/>
        <w:right w:val="none" w:sz="0" w:space="0" w:color="auto"/>
      </w:divBdr>
    </w:div>
    <w:div w:id="827792318">
      <w:bodyDiv w:val="1"/>
      <w:marLeft w:val="0"/>
      <w:marRight w:val="0"/>
      <w:marTop w:val="0"/>
      <w:marBottom w:val="0"/>
      <w:divBdr>
        <w:top w:val="none" w:sz="0" w:space="0" w:color="auto"/>
        <w:left w:val="none" w:sz="0" w:space="0" w:color="auto"/>
        <w:bottom w:val="none" w:sz="0" w:space="0" w:color="auto"/>
        <w:right w:val="none" w:sz="0" w:space="0" w:color="auto"/>
      </w:divBdr>
    </w:div>
    <w:div w:id="827863245">
      <w:bodyDiv w:val="1"/>
      <w:marLeft w:val="0"/>
      <w:marRight w:val="0"/>
      <w:marTop w:val="0"/>
      <w:marBottom w:val="0"/>
      <w:divBdr>
        <w:top w:val="none" w:sz="0" w:space="0" w:color="auto"/>
        <w:left w:val="none" w:sz="0" w:space="0" w:color="auto"/>
        <w:bottom w:val="none" w:sz="0" w:space="0" w:color="auto"/>
        <w:right w:val="none" w:sz="0" w:space="0" w:color="auto"/>
      </w:divBdr>
    </w:div>
    <w:div w:id="827865127">
      <w:bodyDiv w:val="1"/>
      <w:marLeft w:val="0"/>
      <w:marRight w:val="0"/>
      <w:marTop w:val="0"/>
      <w:marBottom w:val="0"/>
      <w:divBdr>
        <w:top w:val="none" w:sz="0" w:space="0" w:color="auto"/>
        <w:left w:val="none" w:sz="0" w:space="0" w:color="auto"/>
        <w:bottom w:val="none" w:sz="0" w:space="0" w:color="auto"/>
        <w:right w:val="none" w:sz="0" w:space="0" w:color="auto"/>
      </w:divBdr>
    </w:div>
    <w:div w:id="827936065">
      <w:bodyDiv w:val="1"/>
      <w:marLeft w:val="0"/>
      <w:marRight w:val="0"/>
      <w:marTop w:val="0"/>
      <w:marBottom w:val="0"/>
      <w:divBdr>
        <w:top w:val="none" w:sz="0" w:space="0" w:color="auto"/>
        <w:left w:val="none" w:sz="0" w:space="0" w:color="auto"/>
        <w:bottom w:val="none" w:sz="0" w:space="0" w:color="auto"/>
        <w:right w:val="none" w:sz="0" w:space="0" w:color="auto"/>
      </w:divBdr>
    </w:div>
    <w:div w:id="827939009">
      <w:bodyDiv w:val="1"/>
      <w:marLeft w:val="0"/>
      <w:marRight w:val="0"/>
      <w:marTop w:val="0"/>
      <w:marBottom w:val="0"/>
      <w:divBdr>
        <w:top w:val="none" w:sz="0" w:space="0" w:color="auto"/>
        <w:left w:val="none" w:sz="0" w:space="0" w:color="auto"/>
        <w:bottom w:val="none" w:sz="0" w:space="0" w:color="auto"/>
        <w:right w:val="none" w:sz="0" w:space="0" w:color="auto"/>
      </w:divBdr>
    </w:div>
    <w:div w:id="827942010">
      <w:bodyDiv w:val="1"/>
      <w:marLeft w:val="0"/>
      <w:marRight w:val="0"/>
      <w:marTop w:val="0"/>
      <w:marBottom w:val="0"/>
      <w:divBdr>
        <w:top w:val="none" w:sz="0" w:space="0" w:color="auto"/>
        <w:left w:val="none" w:sz="0" w:space="0" w:color="auto"/>
        <w:bottom w:val="none" w:sz="0" w:space="0" w:color="auto"/>
        <w:right w:val="none" w:sz="0" w:space="0" w:color="auto"/>
      </w:divBdr>
    </w:div>
    <w:div w:id="827944356">
      <w:bodyDiv w:val="1"/>
      <w:marLeft w:val="0"/>
      <w:marRight w:val="0"/>
      <w:marTop w:val="0"/>
      <w:marBottom w:val="0"/>
      <w:divBdr>
        <w:top w:val="none" w:sz="0" w:space="0" w:color="auto"/>
        <w:left w:val="none" w:sz="0" w:space="0" w:color="auto"/>
        <w:bottom w:val="none" w:sz="0" w:space="0" w:color="auto"/>
        <w:right w:val="none" w:sz="0" w:space="0" w:color="auto"/>
      </w:divBdr>
    </w:div>
    <w:div w:id="827945072">
      <w:bodyDiv w:val="1"/>
      <w:marLeft w:val="0"/>
      <w:marRight w:val="0"/>
      <w:marTop w:val="0"/>
      <w:marBottom w:val="0"/>
      <w:divBdr>
        <w:top w:val="none" w:sz="0" w:space="0" w:color="auto"/>
        <w:left w:val="none" w:sz="0" w:space="0" w:color="auto"/>
        <w:bottom w:val="none" w:sz="0" w:space="0" w:color="auto"/>
        <w:right w:val="none" w:sz="0" w:space="0" w:color="auto"/>
      </w:divBdr>
    </w:div>
    <w:div w:id="827986701">
      <w:bodyDiv w:val="1"/>
      <w:marLeft w:val="0"/>
      <w:marRight w:val="0"/>
      <w:marTop w:val="0"/>
      <w:marBottom w:val="0"/>
      <w:divBdr>
        <w:top w:val="none" w:sz="0" w:space="0" w:color="auto"/>
        <w:left w:val="none" w:sz="0" w:space="0" w:color="auto"/>
        <w:bottom w:val="none" w:sz="0" w:space="0" w:color="auto"/>
        <w:right w:val="none" w:sz="0" w:space="0" w:color="auto"/>
      </w:divBdr>
    </w:div>
    <w:div w:id="828011684">
      <w:bodyDiv w:val="1"/>
      <w:marLeft w:val="0"/>
      <w:marRight w:val="0"/>
      <w:marTop w:val="0"/>
      <w:marBottom w:val="0"/>
      <w:divBdr>
        <w:top w:val="none" w:sz="0" w:space="0" w:color="auto"/>
        <w:left w:val="none" w:sz="0" w:space="0" w:color="auto"/>
        <w:bottom w:val="none" w:sz="0" w:space="0" w:color="auto"/>
        <w:right w:val="none" w:sz="0" w:space="0" w:color="auto"/>
      </w:divBdr>
    </w:div>
    <w:div w:id="828056734">
      <w:bodyDiv w:val="1"/>
      <w:marLeft w:val="0"/>
      <w:marRight w:val="0"/>
      <w:marTop w:val="0"/>
      <w:marBottom w:val="0"/>
      <w:divBdr>
        <w:top w:val="none" w:sz="0" w:space="0" w:color="auto"/>
        <w:left w:val="none" w:sz="0" w:space="0" w:color="auto"/>
        <w:bottom w:val="none" w:sz="0" w:space="0" w:color="auto"/>
        <w:right w:val="none" w:sz="0" w:space="0" w:color="auto"/>
      </w:divBdr>
    </w:div>
    <w:div w:id="828062061">
      <w:bodyDiv w:val="1"/>
      <w:marLeft w:val="0"/>
      <w:marRight w:val="0"/>
      <w:marTop w:val="0"/>
      <w:marBottom w:val="0"/>
      <w:divBdr>
        <w:top w:val="none" w:sz="0" w:space="0" w:color="auto"/>
        <w:left w:val="none" w:sz="0" w:space="0" w:color="auto"/>
        <w:bottom w:val="none" w:sz="0" w:space="0" w:color="auto"/>
        <w:right w:val="none" w:sz="0" w:space="0" w:color="auto"/>
      </w:divBdr>
    </w:div>
    <w:div w:id="828135654">
      <w:bodyDiv w:val="1"/>
      <w:marLeft w:val="0"/>
      <w:marRight w:val="0"/>
      <w:marTop w:val="0"/>
      <w:marBottom w:val="0"/>
      <w:divBdr>
        <w:top w:val="none" w:sz="0" w:space="0" w:color="auto"/>
        <w:left w:val="none" w:sz="0" w:space="0" w:color="auto"/>
        <w:bottom w:val="none" w:sz="0" w:space="0" w:color="auto"/>
        <w:right w:val="none" w:sz="0" w:space="0" w:color="auto"/>
      </w:divBdr>
    </w:div>
    <w:div w:id="828179039">
      <w:bodyDiv w:val="1"/>
      <w:marLeft w:val="0"/>
      <w:marRight w:val="0"/>
      <w:marTop w:val="0"/>
      <w:marBottom w:val="0"/>
      <w:divBdr>
        <w:top w:val="none" w:sz="0" w:space="0" w:color="auto"/>
        <w:left w:val="none" w:sz="0" w:space="0" w:color="auto"/>
        <w:bottom w:val="none" w:sz="0" w:space="0" w:color="auto"/>
        <w:right w:val="none" w:sz="0" w:space="0" w:color="auto"/>
      </w:divBdr>
    </w:div>
    <w:div w:id="828207244">
      <w:bodyDiv w:val="1"/>
      <w:marLeft w:val="0"/>
      <w:marRight w:val="0"/>
      <w:marTop w:val="0"/>
      <w:marBottom w:val="0"/>
      <w:divBdr>
        <w:top w:val="none" w:sz="0" w:space="0" w:color="auto"/>
        <w:left w:val="none" w:sz="0" w:space="0" w:color="auto"/>
        <w:bottom w:val="none" w:sz="0" w:space="0" w:color="auto"/>
        <w:right w:val="none" w:sz="0" w:space="0" w:color="auto"/>
      </w:divBdr>
    </w:div>
    <w:div w:id="828327665">
      <w:bodyDiv w:val="1"/>
      <w:marLeft w:val="0"/>
      <w:marRight w:val="0"/>
      <w:marTop w:val="0"/>
      <w:marBottom w:val="0"/>
      <w:divBdr>
        <w:top w:val="none" w:sz="0" w:space="0" w:color="auto"/>
        <w:left w:val="none" w:sz="0" w:space="0" w:color="auto"/>
        <w:bottom w:val="none" w:sz="0" w:space="0" w:color="auto"/>
        <w:right w:val="none" w:sz="0" w:space="0" w:color="auto"/>
      </w:divBdr>
    </w:div>
    <w:div w:id="828400631">
      <w:bodyDiv w:val="1"/>
      <w:marLeft w:val="0"/>
      <w:marRight w:val="0"/>
      <w:marTop w:val="0"/>
      <w:marBottom w:val="0"/>
      <w:divBdr>
        <w:top w:val="none" w:sz="0" w:space="0" w:color="auto"/>
        <w:left w:val="none" w:sz="0" w:space="0" w:color="auto"/>
        <w:bottom w:val="none" w:sz="0" w:space="0" w:color="auto"/>
        <w:right w:val="none" w:sz="0" w:space="0" w:color="auto"/>
      </w:divBdr>
    </w:div>
    <w:div w:id="828447013">
      <w:bodyDiv w:val="1"/>
      <w:marLeft w:val="0"/>
      <w:marRight w:val="0"/>
      <w:marTop w:val="0"/>
      <w:marBottom w:val="0"/>
      <w:divBdr>
        <w:top w:val="none" w:sz="0" w:space="0" w:color="auto"/>
        <w:left w:val="none" w:sz="0" w:space="0" w:color="auto"/>
        <w:bottom w:val="none" w:sz="0" w:space="0" w:color="auto"/>
        <w:right w:val="none" w:sz="0" w:space="0" w:color="auto"/>
      </w:divBdr>
    </w:div>
    <w:div w:id="828449490">
      <w:bodyDiv w:val="1"/>
      <w:marLeft w:val="0"/>
      <w:marRight w:val="0"/>
      <w:marTop w:val="0"/>
      <w:marBottom w:val="0"/>
      <w:divBdr>
        <w:top w:val="none" w:sz="0" w:space="0" w:color="auto"/>
        <w:left w:val="none" w:sz="0" w:space="0" w:color="auto"/>
        <w:bottom w:val="none" w:sz="0" w:space="0" w:color="auto"/>
        <w:right w:val="none" w:sz="0" w:space="0" w:color="auto"/>
      </w:divBdr>
    </w:div>
    <w:div w:id="828710244">
      <w:bodyDiv w:val="1"/>
      <w:marLeft w:val="0"/>
      <w:marRight w:val="0"/>
      <w:marTop w:val="0"/>
      <w:marBottom w:val="0"/>
      <w:divBdr>
        <w:top w:val="none" w:sz="0" w:space="0" w:color="auto"/>
        <w:left w:val="none" w:sz="0" w:space="0" w:color="auto"/>
        <w:bottom w:val="none" w:sz="0" w:space="0" w:color="auto"/>
        <w:right w:val="none" w:sz="0" w:space="0" w:color="auto"/>
      </w:divBdr>
    </w:div>
    <w:div w:id="828978002">
      <w:bodyDiv w:val="1"/>
      <w:marLeft w:val="0"/>
      <w:marRight w:val="0"/>
      <w:marTop w:val="0"/>
      <w:marBottom w:val="0"/>
      <w:divBdr>
        <w:top w:val="none" w:sz="0" w:space="0" w:color="auto"/>
        <w:left w:val="none" w:sz="0" w:space="0" w:color="auto"/>
        <w:bottom w:val="none" w:sz="0" w:space="0" w:color="auto"/>
        <w:right w:val="none" w:sz="0" w:space="0" w:color="auto"/>
      </w:divBdr>
    </w:div>
    <w:div w:id="829057551">
      <w:bodyDiv w:val="1"/>
      <w:marLeft w:val="0"/>
      <w:marRight w:val="0"/>
      <w:marTop w:val="0"/>
      <w:marBottom w:val="0"/>
      <w:divBdr>
        <w:top w:val="none" w:sz="0" w:space="0" w:color="auto"/>
        <w:left w:val="none" w:sz="0" w:space="0" w:color="auto"/>
        <w:bottom w:val="none" w:sz="0" w:space="0" w:color="auto"/>
        <w:right w:val="none" w:sz="0" w:space="0" w:color="auto"/>
      </w:divBdr>
    </w:div>
    <w:div w:id="829097896">
      <w:bodyDiv w:val="1"/>
      <w:marLeft w:val="0"/>
      <w:marRight w:val="0"/>
      <w:marTop w:val="0"/>
      <w:marBottom w:val="0"/>
      <w:divBdr>
        <w:top w:val="none" w:sz="0" w:space="0" w:color="auto"/>
        <w:left w:val="none" w:sz="0" w:space="0" w:color="auto"/>
        <w:bottom w:val="none" w:sz="0" w:space="0" w:color="auto"/>
        <w:right w:val="none" w:sz="0" w:space="0" w:color="auto"/>
      </w:divBdr>
    </w:div>
    <w:div w:id="829172395">
      <w:bodyDiv w:val="1"/>
      <w:marLeft w:val="0"/>
      <w:marRight w:val="0"/>
      <w:marTop w:val="0"/>
      <w:marBottom w:val="0"/>
      <w:divBdr>
        <w:top w:val="none" w:sz="0" w:space="0" w:color="auto"/>
        <w:left w:val="none" w:sz="0" w:space="0" w:color="auto"/>
        <w:bottom w:val="none" w:sz="0" w:space="0" w:color="auto"/>
        <w:right w:val="none" w:sz="0" w:space="0" w:color="auto"/>
      </w:divBdr>
    </w:div>
    <w:div w:id="829175319">
      <w:bodyDiv w:val="1"/>
      <w:marLeft w:val="0"/>
      <w:marRight w:val="0"/>
      <w:marTop w:val="0"/>
      <w:marBottom w:val="0"/>
      <w:divBdr>
        <w:top w:val="none" w:sz="0" w:space="0" w:color="auto"/>
        <w:left w:val="none" w:sz="0" w:space="0" w:color="auto"/>
        <w:bottom w:val="none" w:sz="0" w:space="0" w:color="auto"/>
        <w:right w:val="none" w:sz="0" w:space="0" w:color="auto"/>
      </w:divBdr>
    </w:div>
    <w:div w:id="829180968">
      <w:bodyDiv w:val="1"/>
      <w:marLeft w:val="0"/>
      <w:marRight w:val="0"/>
      <w:marTop w:val="0"/>
      <w:marBottom w:val="0"/>
      <w:divBdr>
        <w:top w:val="none" w:sz="0" w:space="0" w:color="auto"/>
        <w:left w:val="none" w:sz="0" w:space="0" w:color="auto"/>
        <w:bottom w:val="none" w:sz="0" w:space="0" w:color="auto"/>
        <w:right w:val="none" w:sz="0" w:space="0" w:color="auto"/>
      </w:divBdr>
    </w:div>
    <w:div w:id="829249634">
      <w:bodyDiv w:val="1"/>
      <w:marLeft w:val="0"/>
      <w:marRight w:val="0"/>
      <w:marTop w:val="0"/>
      <w:marBottom w:val="0"/>
      <w:divBdr>
        <w:top w:val="none" w:sz="0" w:space="0" w:color="auto"/>
        <w:left w:val="none" w:sz="0" w:space="0" w:color="auto"/>
        <w:bottom w:val="none" w:sz="0" w:space="0" w:color="auto"/>
        <w:right w:val="none" w:sz="0" w:space="0" w:color="auto"/>
      </w:divBdr>
    </w:div>
    <w:div w:id="829249838">
      <w:bodyDiv w:val="1"/>
      <w:marLeft w:val="0"/>
      <w:marRight w:val="0"/>
      <w:marTop w:val="0"/>
      <w:marBottom w:val="0"/>
      <w:divBdr>
        <w:top w:val="none" w:sz="0" w:space="0" w:color="auto"/>
        <w:left w:val="none" w:sz="0" w:space="0" w:color="auto"/>
        <w:bottom w:val="none" w:sz="0" w:space="0" w:color="auto"/>
        <w:right w:val="none" w:sz="0" w:space="0" w:color="auto"/>
      </w:divBdr>
    </w:div>
    <w:div w:id="829373427">
      <w:bodyDiv w:val="1"/>
      <w:marLeft w:val="0"/>
      <w:marRight w:val="0"/>
      <w:marTop w:val="0"/>
      <w:marBottom w:val="0"/>
      <w:divBdr>
        <w:top w:val="none" w:sz="0" w:space="0" w:color="auto"/>
        <w:left w:val="none" w:sz="0" w:space="0" w:color="auto"/>
        <w:bottom w:val="none" w:sz="0" w:space="0" w:color="auto"/>
        <w:right w:val="none" w:sz="0" w:space="0" w:color="auto"/>
      </w:divBdr>
    </w:div>
    <w:div w:id="829448576">
      <w:bodyDiv w:val="1"/>
      <w:marLeft w:val="0"/>
      <w:marRight w:val="0"/>
      <w:marTop w:val="0"/>
      <w:marBottom w:val="0"/>
      <w:divBdr>
        <w:top w:val="none" w:sz="0" w:space="0" w:color="auto"/>
        <w:left w:val="none" w:sz="0" w:space="0" w:color="auto"/>
        <w:bottom w:val="none" w:sz="0" w:space="0" w:color="auto"/>
        <w:right w:val="none" w:sz="0" w:space="0" w:color="auto"/>
      </w:divBdr>
    </w:div>
    <w:div w:id="829515652">
      <w:bodyDiv w:val="1"/>
      <w:marLeft w:val="0"/>
      <w:marRight w:val="0"/>
      <w:marTop w:val="0"/>
      <w:marBottom w:val="0"/>
      <w:divBdr>
        <w:top w:val="none" w:sz="0" w:space="0" w:color="auto"/>
        <w:left w:val="none" w:sz="0" w:space="0" w:color="auto"/>
        <w:bottom w:val="none" w:sz="0" w:space="0" w:color="auto"/>
        <w:right w:val="none" w:sz="0" w:space="0" w:color="auto"/>
      </w:divBdr>
    </w:div>
    <w:div w:id="829636397">
      <w:bodyDiv w:val="1"/>
      <w:marLeft w:val="0"/>
      <w:marRight w:val="0"/>
      <w:marTop w:val="0"/>
      <w:marBottom w:val="0"/>
      <w:divBdr>
        <w:top w:val="none" w:sz="0" w:space="0" w:color="auto"/>
        <w:left w:val="none" w:sz="0" w:space="0" w:color="auto"/>
        <w:bottom w:val="none" w:sz="0" w:space="0" w:color="auto"/>
        <w:right w:val="none" w:sz="0" w:space="0" w:color="auto"/>
      </w:divBdr>
    </w:div>
    <w:div w:id="829759461">
      <w:bodyDiv w:val="1"/>
      <w:marLeft w:val="0"/>
      <w:marRight w:val="0"/>
      <w:marTop w:val="0"/>
      <w:marBottom w:val="0"/>
      <w:divBdr>
        <w:top w:val="none" w:sz="0" w:space="0" w:color="auto"/>
        <w:left w:val="none" w:sz="0" w:space="0" w:color="auto"/>
        <w:bottom w:val="none" w:sz="0" w:space="0" w:color="auto"/>
        <w:right w:val="none" w:sz="0" w:space="0" w:color="auto"/>
      </w:divBdr>
    </w:div>
    <w:div w:id="829905306">
      <w:bodyDiv w:val="1"/>
      <w:marLeft w:val="0"/>
      <w:marRight w:val="0"/>
      <w:marTop w:val="0"/>
      <w:marBottom w:val="0"/>
      <w:divBdr>
        <w:top w:val="none" w:sz="0" w:space="0" w:color="auto"/>
        <w:left w:val="none" w:sz="0" w:space="0" w:color="auto"/>
        <w:bottom w:val="none" w:sz="0" w:space="0" w:color="auto"/>
        <w:right w:val="none" w:sz="0" w:space="0" w:color="auto"/>
      </w:divBdr>
    </w:div>
    <w:div w:id="829907906">
      <w:bodyDiv w:val="1"/>
      <w:marLeft w:val="0"/>
      <w:marRight w:val="0"/>
      <w:marTop w:val="0"/>
      <w:marBottom w:val="0"/>
      <w:divBdr>
        <w:top w:val="none" w:sz="0" w:space="0" w:color="auto"/>
        <w:left w:val="none" w:sz="0" w:space="0" w:color="auto"/>
        <w:bottom w:val="none" w:sz="0" w:space="0" w:color="auto"/>
        <w:right w:val="none" w:sz="0" w:space="0" w:color="auto"/>
      </w:divBdr>
    </w:div>
    <w:div w:id="829948814">
      <w:bodyDiv w:val="1"/>
      <w:marLeft w:val="0"/>
      <w:marRight w:val="0"/>
      <w:marTop w:val="0"/>
      <w:marBottom w:val="0"/>
      <w:divBdr>
        <w:top w:val="none" w:sz="0" w:space="0" w:color="auto"/>
        <w:left w:val="none" w:sz="0" w:space="0" w:color="auto"/>
        <w:bottom w:val="none" w:sz="0" w:space="0" w:color="auto"/>
        <w:right w:val="none" w:sz="0" w:space="0" w:color="auto"/>
      </w:divBdr>
    </w:div>
    <w:div w:id="829980261">
      <w:bodyDiv w:val="1"/>
      <w:marLeft w:val="0"/>
      <w:marRight w:val="0"/>
      <w:marTop w:val="0"/>
      <w:marBottom w:val="0"/>
      <w:divBdr>
        <w:top w:val="none" w:sz="0" w:space="0" w:color="auto"/>
        <w:left w:val="none" w:sz="0" w:space="0" w:color="auto"/>
        <w:bottom w:val="none" w:sz="0" w:space="0" w:color="auto"/>
        <w:right w:val="none" w:sz="0" w:space="0" w:color="auto"/>
      </w:divBdr>
    </w:div>
    <w:div w:id="830020704">
      <w:bodyDiv w:val="1"/>
      <w:marLeft w:val="0"/>
      <w:marRight w:val="0"/>
      <w:marTop w:val="0"/>
      <w:marBottom w:val="0"/>
      <w:divBdr>
        <w:top w:val="none" w:sz="0" w:space="0" w:color="auto"/>
        <w:left w:val="none" w:sz="0" w:space="0" w:color="auto"/>
        <w:bottom w:val="none" w:sz="0" w:space="0" w:color="auto"/>
        <w:right w:val="none" w:sz="0" w:space="0" w:color="auto"/>
      </w:divBdr>
    </w:div>
    <w:div w:id="830027041">
      <w:bodyDiv w:val="1"/>
      <w:marLeft w:val="0"/>
      <w:marRight w:val="0"/>
      <w:marTop w:val="0"/>
      <w:marBottom w:val="0"/>
      <w:divBdr>
        <w:top w:val="none" w:sz="0" w:space="0" w:color="auto"/>
        <w:left w:val="none" w:sz="0" w:space="0" w:color="auto"/>
        <w:bottom w:val="none" w:sz="0" w:space="0" w:color="auto"/>
        <w:right w:val="none" w:sz="0" w:space="0" w:color="auto"/>
      </w:divBdr>
    </w:div>
    <w:div w:id="830096034">
      <w:bodyDiv w:val="1"/>
      <w:marLeft w:val="0"/>
      <w:marRight w:val="0"/>
      <w:marTop w:val="0"/>
      <w:marBottom w:val="0"/>
      <w:divBdr>
        <w:top w:val="none" w:sz="0" w:space="0" w:color="auto"/>
        <w:left w:val="none" w:sz="0" w:space="0" w:color="auto"/>
        <w:bottom w:val="none" w:sz="0" w:space="0" w:color="auto"/>
        <w:right w:val="none" w:sz="0" w:space="0" w:color="auto"/>
      </w:divBdr>
    </w:div>
    <w:div w:id="830146722">
      <w:bodyDiv w:val="1"/>
      <w:marLeft w:val="0"/>
      <w:marRight w:val="0"/>
      <w:marTop w:val="0"/>
      <w:marBottom w:val="0"/>
      <w:divBdr>
        <w:top w:val="none" w:sz="0" w:space="0" w:color="auto"/>
        <w:left w:val="none" w:sz="0" w:space="0" w:color="auto"/>
        <w:bottom w:val="none" w:sz="0" w:space="0" w:color="auto"/>
        <w:right w:val="none" w:sz="0" w:space="0" w:color="auto"/>
      </w:divBdr>
    </w:div>
    <w:div w:id="830146816">
      <w:bodyDiv w:val="1"/>
      <w:marLeft w:val="0"/>
      <w:marRight w:val="0"/>
      <w:marTop w:val="0"/>
      <w:marBottom w:val="0"/>
      <w:divBdr>
        <w:top w:val="none" w:sz="0" w:space="0" w:color="auto"/>
        <w:left w:val="none" w:sz="0" w:space="0" w:color="auto"/>
        <w:bottom w:val="none" w:sz="0" w:space="0" w:color="auto"/>
        <w:right w:val="none" w:sz="0" w:space="0" w:color="auto"/>
      </w:divBdr>
    </w:div>
    <w:div w:id="830214545">
      <w:bodyDiv w:val="1"/>
      <w:marLeft w:val="0"/>
      <w:marRight w:val="0"/>
      <w:marTop w:val="0"/>
      <w:marBottom w:val="0"/>
      <w:divBdr>
        <w:top w:val="none" w:sz="0" w:space="0" w:color="auto"/>
        <w:left w:val="none" w:sz="0" w:space="0" w:color="auto"/>
        <w:bottom w:val="none" w:sz="0" w:space="0" w:color="auto"/>
        <w:right w:val="none" w:sz="0" w:space="0" w:color="auto"/>
      </w:divBdr>
    </w:div>
    <w:div w:id="830222807">
      <w:bodyDiv w:val="1"/>
      <w:marLeft w:val="0"/>
      <w:marRight w:val="0"/>
      <w:marTop w:val="0"/>
      <w:marBottom w:val="0"/>
      <w:divBdr>
        <w:top w:val="none" w:sz="0" w:space="0" w:color="auto"/>
        <w:left w:val="none" w:sz="0" w:space="0" w:color="auto"/>
        <w:bottom w:val="none" w:sz="0" w:space="0" w:color="auto"/>
        <w:right w:val="none" w:sz="0" w:space="0" w:color="auto"/>
      </w:divBdr>
    </w:div>
    <w:div w:id="830370065">
      <w:bodyDiv w:val="1"/>
      <w:marLeft w:val="0"/>
      <w:marRight w:val="0"/>
      <w:marTop w:val="0"/>
      <w:marBottom w:val="0"/>
      <w:divBdr>
        <w:top w:val="none" w:sz="0" w:space="0" w:color="auto"/>
        <w:left w:val="none" w:sz="0" w:space="0" w:color="auto"/>
        <w:bottom w:val="none" w:sz="0" w:space="0" w:color="auto"/>
        <w:right w:val="none" w:sz="0" w:space="0" w:color="auto"/>
      </w:divBdr>
    </w:div>
    <w:div w:id="830370345">
      <w:bodyDiv w:val="1"/>
      <w:marLeft w:val="0"/>
      <w:marRight w:val="0"/>
      <w:marTop w:val="0"/>
      <w:marBottom w:val="0"/>
      <w:divBdr>
        <w:top w:val="none" w:sz="0" w:space="0" w:color="auto"/>
        <w:left w:val="none" w:sz="0" w:space="0" w:color="auto"/>
        <w:bottom w:val="none" w:sz="0" w:space="0" w:color="auto"/>
        <w:right w:val="none" w:sz="0" w:space="0" w:color="auto"/>
      </w:divBdr>
    </w:div>
    <w:div w:id="830411783">
      <w:bodyDiv w:val="1"/>
      <w:marLeft w:val="0"/>
      <w:marRight w:val="0"/>
      <w:marTop w:val="0"/>
      <w:marBottom w:val="0"/>
      <w:divBdr>
        <w:top w:val="none" w:sz="0" w:space="0" w:color="auto"/>
        <w:left w:val="none" w:sz="0" w:space="0" w:color="auto"/>
        <w:bottom w:val="none" w:sz="0" w:space="0" w:color="auto"/>
        <w:right w:val="none" w:sz="0" w:space="0" w:color="auto"/>
      </w:divBdr>
    </w:div>
    <w:div w:id="830413923">
      <w:bodyDiv w:val="1"/>
      <w:marLeft w:val="0"/>
      <w:marRight w:val="0"/>
      <w:marTop w:val="0"/>
      <w:marBottom w:val="0"/>
      <w:divBdr>
        <w:top w:val="none" w:sz="0" w:space="0" w:color="auto"/>
        <w:left w:val="none" w:sz="0" w:space="0" w:color="auto"/>
        <w:bottom w:val="none" w:sz="0" w:space="0" w:color="auto"/>
        <w:right w:val="none" w:sz="0" w:space="0" w:color="auto"/>
      </w:divBdr>
    </w:div>
    <w:div w:id="830566051">
      <w:bodyDiv w:val="1"/>
      <w:marLeft w:val="0"/>
      <w:marRight w:val="0"/>
      <w:marTop w:val="0"/>
      <w:marBottom w:val="0"/>
      <w:divBdr>
        <w:top w:val="none" w:sz="0" w:space="0" w:color="auto"/>
        <w:left w:val="none" w:sz="0" w:space="0" w:color="auto"/>
        <w:bottom w:val="none" w:sz="0" w:space="0" w:color="auto"/>
        <w:right w:val="none" w:sz="0" w:space="0" w:color="auto"/>
      </w:divBdr>
    </w:div>
    <w:div w:id="830635670">
      <w:bodyDiv w:val="1"/>
      <w:marLeft w:val="0"/>
      <w:marRight w:val="0"/>
      <w:marTop w:val="0"/>
      <w:marBottom w:val="0"/>
      <w:divBdr>
        <w:top w:val="none" w:sz="0" w:space="0" w:color="auto"/>
        <w:left w:val="none" w:sz="0" w:space="0" w:color="auto"/>
        <w:bottom w:val="none" w:sz="0" w:space="0" w:color="auto"/>
        <w:right w:val="none" w:sz="0" w:space="0" w:color="auto"/>
      </w:divBdr>
    </w:div>
    <w:div w:id="830682277">
      <w:bodyDiv w:val="1"/>
      <w:marLeft w:val="0"/>
      <w:marRight w:val="0"/>
      <w:marTop w:val="0"/>
      <w:marBottom w:val="0"/>
      <w:divBdr>
        <w:top w:val="none" w:sz="0" w:space="0" w:color="auto"/>
        <w:left w:val="none" w:sz="0" w:space="0" w:color="auto"/>
        <w:bottom w:val="none" w:sz="0" w:space="0" w:color="auto"/>
        <w:right w:val="none" w:sz="0" w:space="0" w:color="auto"/>
      </w:divBdr>
    </w:div>
    <w:div w:id="830752430">
      <w:bodyDiv w:val="1"/>
      <w:marLeft w:val="0"/>
      <w:marRight w:val="0"/>
      <w:marTop w:val="0"/>
      <w:marBottom w:val="0"/>
      <w:divBdr>
        <w:top w:val="none" w:sz="0" w:space="0" w:color="auto"/>
        <w:left w:val="none" w:sz="0" w:space="0" w:color="auto"/>
        <w:bottom w:val="none" w:sz="0" w:space="0" w:color="auto"/>
        <w:right w:val="none" w:sz="0" w:space="0" w:color="auto"/>
      </w:divBdr>
    </w:div>
    <w:div w:id="830757193">
      <w:bodyDiv w:val="1"/>
      <w:marLeft w:val="0"/>
      <w:marRight w:val="0"/>
      <w:marTop w:val="0"/>
      <w:marBottom w:val="0"/>
      <w:divBdr>
        <w:top w:val="none" w:sz="0" w:space="0" w:color="auto"/>
        <w:left w:val="none" w:sz="0" w:space="0" w:color="auto"/>
        <w:bottom w:val="none" w:sz="0" w:space="0" w:color="auto"/>
        <w:right w:val="none" w:sz="0" w:space="0" w:color="auto"/>
      </w:divBdr>
    </w:div>
    <w:div w:id="830831138">
      <w:bodyDiv w:val="1"/>
      <w:marLeft w:val="0"/>
      <w:marRight w:val="0"/>
      <w:marTop w:val="0"/>
      <w:marBottom w:val="0"/>
      <w:divBdr>
        <w:top w:val="none" w:sz="0" w:space="0" w:color="auto"/>
        <w:left w:val="none" w:sz="0" w:space="0" w:color="auto"/>
        <w:bottom w:val="none" w:sz="0" w:space="0" w:color="auto"/>
        <w:right w:val="none" w:sz="0" w:space="0" w:color="auto"/>
      </w:divBdr>
    </w:div>
    <w:div w:id="830831893">
      <w:bodyDiv w:val="1"/>
      <w:marLeft w:val="0"/>
      <w:marRight w:val="0"/>
      <w:marTop w:val="0"/>
      <w:marBottom w:val="0"/>
      <w:divBdr>
        <w:top w:val="none" w:sz="0" w:space="0" w:color="auto"/>
        <w:left w:val="none" w:sz="0" w:space="0" w:color="auto"/>
        <w:bottom w:val="none" w:sz="0" w:space="0" w:color="auto"/>
        <w:right w:val="none" w:sz="0" w:space="0" w:color="auto"/>
      </w:divBdr>
    </w:div>
    <w:div w:id="830870164">
      <w:bodyDiv w:val="1"/>
      <w:marLeft w:val="0"/>
      <w:marRight w:val="0"/>
      <w:marTop w:val="0"/>
      <w:marBottom w:val="0"/>
      <w:divBdr>
        <w:top w:val="none" w:sz="0" w:space="0" w:color="auto"/>
        <w:left w:val="none" w:sz="0" w:space="0" w:color="auto"/>
        <w:bottom w:val="none" w:sz="0" w:space="0" w:color="auto"/>
        <w:right w:val="none" w:sz="0" w:space="0" w:color="auto"/>
      </w:divBdr>
    </w:div>
    <w:div w:id="831022597">
      <w:bodyDiv w:val="1"/>
      <w:marLeft w:val="0"/>
      <w:marRight w:val="0"/>
      <w:marTop w:val="0"/>
      <w:marBottom w:val="0"/>
      <w:divBdr>
        <w:top w:val="none" w:sz="0" w:space="0" w:color="auto"/>
        <w:left w:val="none" w:sz="0" w:space="0" w:color="auto"/>
        <w:bottom w:val="none" w:sz="0" w:space="0" w:color="auto"/>
        <w:right w:val="none" w:sz="0" w:space="0" w:color="auto"/>
      </w:divBdr>
    </w:div>
    <w:div w:id="831145556">
      <w:bodyDiv w:val="1"/>
      <w:marLeft w:val="0"/>
      <w:marRight w:val="0"/>
      <w:marTop w:val="0"/>
      <w:marBottom w:val="0"/>
      <w:divBdr>
        <w:top w:val="none" w:sz="0" w:space="0" w:color="auto"/>
        <w:left w:val="none" w:sz="0" w:space="0" w:color="auto"/>
        <w:bottom w:val="none" w:sz="0" w:space="0" w:color="auto"/>
        <w:right w:val="none" w:sz="0" w:space="0" w:color="auto"/>
      </w:divBdr>
    </w:div>
    <w:div w:id="831215638">
      <w:bodyDiv w:val="1"/>
      <w:marLeft w:val="0"/>
      <w:marRight w:val="0"/>
      <w:marTop w:val="0"/>
      <w:marBottom w:val="0"/>
      <w:divBdr>
        <w:top w:val="none" w:sz="0" w:space="0" w:color="auto"/>
        <w:left w:val="none" w:sz="0" w:space="0" w:color="auto"/>
        <w:bottom w:val="none" w:sz="0" w:space="0" w:color="auto"/>
        <w:right w:val="none" w:sz="0" w:space="0" w:color="auto"/>
      </w:divBdr>
    </w:div>
    <w:div w:id="831336030">
      <w:bodyDiv w:val="1"/>
      <w:marLeft w:val="0"/>
      <w:marRight w:val="0"/>
      <w:marTop w:val="0"/>
      <w:marBottom w:val="0"/>
      <w:divBdr>
        <w:top w:val="none" w:sz="0" w:space="0" w:color="auto"/>
        <w:left w:val="none" w:sz="0" w:space="0" w:color="auto"/>
        <w:bottom w:val="none" w:sz="0" w:space="0" w:color="auto"/>
        <w:right w:val="none" w:sz="0" w:space="0" w:color="auto"/>
      </w:divBdr>
    </w:div>
    <w:div w:id="831413441">
      <w:bodyDiv w:val="1"/>
      <w:marLeft w:val="0"/>
      <w:marRight w:val="0"/>
      <w:marTop w:val="0"/>
      <w:marBottom w:val="0"/>
      <w:divBdr>
        <w:top w:val="none" w:sz="0" w:space="0" w:color="auto"/>
        <w:left w:val="none" w:sz="0" w:space="0" w:color="auto"/>
        <w:bottom w:val="none" w:sz="0" w:space="0" w:color="auto"/>
        <w:right w:val="none" w:sz="0" w:space="0" w:color="auto"/>
      </w:divBdr>
    </w:div>
    <w:div w:id="831456116">
      <w:bodyDiv w:val="1"/>
      <w:marLeft w:val="0"/>
      <w:marRight w:val="0"/>
      <w:marTop w:val="0"/>
      <w:marBottom w:val="0"/>
      <w:divBdr>
        <w:top w:val="none" w:sz="0" w:space="0" w:color="auto"/>
        <w:left w:val="none" w:sz="0" w:space="0" w:color="auto"/>
        <w:bottom w:val="none" w:sz="0" w:space="0" w:color="auto"/>
        <w:right w:val="none" w:sz="0" w:space="0" w:color="auto"/>
      </w:divBdr>
    </w:div>
    <w:div w:id="831528092">
      <w:bodyDiv w:val="1"/>
      <w:marLeft w:val="0"/>
      <w:marRight w:val="0"/>
      <w:marTop w:val="0"/>
      <w:marBottom w:val="0"/>
      <w:divBdr>
        <w:top w:val="none" w:sz="0" w:space="0" w:color="auto"/>
        <w:left w:val="none" w:sz="0" w:space="0" w:color="auto"/>
        <w:bottom w:val="none" w:sz="0" w:space="0" w:color="auto"/>
        <w:right w:val="none" w:sz="0" w:space="0" w:color="auto"/>
      </w:divBdr>
    </w:div>
    <w:div w:id="831683748">
      <w:bodyDiv w:val="1"/>
      <w:marLeft w:val="0"/>
      <w:marRight w:val="0"/>
      <w:marTop w:val="0"/>
      <w:marBottom w:val="0"/>
      <w:divBdr>
        <w:top w:val="none" w:sz="0" w:space="0" w:color="auto"/>
        <w:left w:val="none" w:sz="0" w:space="0" w:color="auto"/>
        <w:bottom w:val="none" w:sz="0" w:space="0" w:color="auto"/>
        <w:right w:val="none" w:sz="0" w:space="0" w:color="auto"/>
      </w:divBdr>
    </w:div>
    <w:div w:id="831717800">
      <w:bodyDiv w:val="1"/>
      <w:marLeft w:val="0"/>
      <w:marRight w:val="0"/>
      <w:marTop w:val="0"/>
      <w:marBottom w:val="0"/>
      <w:divBdr>
        <w:top w:val="none" w:sz="0" w:space="0" w:color="auto"/>
        <w:left w:val="none" w:sz="0" w:space="0" w:color="auto"/>
        <w:bottom w:val="none" w:sz="0" w:space="0" w:color="auto"/>
        <w:right w:val="none" w:sz="0" w:space="0" w:color="auto"/>
      </w:divBdr>
    </w:div>
    <w:div w:id="831718829">
      <w:bodyDiv w:val="1"/>
      <w:marLeft w:val="0"/>
      <w:marRight w:val="0"/>
      <w:marTop w:val="0"/>
      <w:marBottom w:val="0"/>
      <w:divBdr>
        <w:top w:val="none" w:sz="0" w:space="0" w:color="auto"/>
        <w:left w:val="none" w:sz="0" w:space="0" w:color="auto"/>
        <w:bottom w:val="none" w:sz="0" w:space="0" w:color="auto"/>
        <w:right w:val="none" w:sz="0" w:space="0" w:color="auto"/>
      </w:divBdr>
    </w:div>
    <w:div w:id="831792746">
      <w:bodyDiv w:val="1"/>
      <w:marLeft w:val="0"/>
      <w:marRight w:val="0"/>
      <w:marTop w:val="0"/>
      <w:marBottom w:val="0"/>
      <w:divBdr>
        <w:top w:val="none" w:sz="0" w:space="0" w:color="auto"/>
        <w:left w:val="none" w:sz="0" w:space="0" w:color="auto"/>
        <w:bottom w:val="none" w:sz="0" w:space="0" w:color="auto"/>
        <w:right w:val="none" w:sz="0" w:space="0" w:color="auto"/>
      </w:divBdr>
    </w:div>
    <w:div w:id="831794201">
      <w:bodyDiv w:val="1"/>
      <w:marLeft w:val="0"/>
      <w:marRight w:val="0"/>
      <w:marTop w:val="0"/>
      <w:marBottom w:val="0"/>
      <w:divBdr>
        <w:top w:val="none" w:sz="0" w:space="0" w:color="auto"/>
        <w:left w:val="none" w:sz="0" w:space="0" w:color="auto"/>
        <w:bottom w:val="none" w:sz="0" w:space="0" w:color="auto"/>
        <w:right w:val="none" w:sz="0" w:space="0" w:color="auto"/>
      </w:divBdr>
    </w:div>
    <w:div w:id="831797670">
      <w:bodyDiv w:val="1"/>
      <w:marLeft w:val="0"/>
      <w:marRight w:val="0"/>
      <w:marTop w:val="0"/>
      <w:marBottom w:val="0"/>
      <w:divBdr>
        <w:top w:val="none" w:sz="0" w:space="0" w:color="auto"/>
        <w:left w:val="none" w:sz="0" w:space="0" w:color="auto"/>
        <w:bottom w:val="none" w:sz="0" w:space="0" w:color="auto"/>
        <w:right w:val="none" w:sz="0" w:space="0" w:color="auto"/>
      </w:divBdr>
    </w:div>
    <w:div w:id="831870238">
      <w:bodyDiv w:val="1"/>
      <w:marLeft w:val="0"/>
      <w:marRight w:val="0"/>
      <w:marTop w:val="0"/>
      <w:marBottom w:val="0"/>
      <w:divBdr>
        <w:top w:val="none" w:sz="0" w:space="0" w:color="auto"/>
        <w:left w:val="none" w:sz="0" w:space="0" w:color="auto"/>
        <w:bottom w:val="none" w:sz="0" w:space="0" w:color="auto"/>
        <w:right w:val="none" w:sz="0" w:space="0" w:color="auto"/>
      </w:divBdr>
    </w:div>
    <w:div w:id="831916803">
      <w:bodyDiv w:val="1"/>
      <w:marLeft w:val="0"/>
      <w:marRight w:val="0"/>
      <w:marTop w:val="0"/>
      <w:marBottom w:val="0"/>
      <w:divBdr>
        <w:top w:val="none" w:sz="0" w:space="0" w:color="auto"/>
        <w:left w:val="none" w:sz="0" w:space="0" w:color="auto"/>
        <w:bottom w:val="none" w:sz="0" w:space="0" w:color="auto"/>
        <w:right w:val="none" w:sz="0" w:space="0" w:color="auto"/>
      </w:divBdr>
    </w:div>
    <w:div w:id="831917359">
      <w:bodyDiv w:val="1"/>
      <w:marLeft w:val="0"/>
      <w:marRight w:val="0"/>
      <w:marTop w:val="0"/>
      <w:marBottom w:val="0"/>
      <w:divBdr>
        <w:top w:val="none" w:sz="0" w:space="0" w:color="auto"/>
        <w:left w:val="none" w:sz="0" w:space="0" w:color="auto"/>
        <w:bottom w:val="none" w:sz="0" w:space="0" w:color="auto"/>
        <w:right w:val="none" w:sz="0" w:space="0" w:color="auto"/>
      </w:divBdr>
    </w:div>
    <w:div w:id="831985985">
      <w:bodyDiv w:val="1"/>
      <w:marLeft w:val="0"/>
      <w:marRight w:val="0"/>
      <w:marTop w:val="0"/>
      <w:marBottom w:val="0"/>
      <w:divBdr>
        <w:top w:val="none" w:sz="0" w:space="0" w:color="auto"/>
        <w:left w:val="none" w:sz="0" w:space="0" w:color="auto"/>
        <w:bottom w:val="none" w:sz="0" w:space="0" w:color="auto"/>
        <w:right w:val="none" w:sz="0" w:space="0" w:color="auto"/>
      </w:divBdr>
    </w:div>
    <w:div w:id="831993774">
      <w:bodyDiv w:val="1"/>
      <w:marLeft w:val="0"/>
      <w:marRight w:val="0"/>
      <w:marTop w:val="0"/>
      <w:marBottom w:val="0"/>
      <w:divBdr>
        <w:top w:val="none" w:sz="0" w:space="0" w:color="auto"/>
        <w:left w:val="none" w:sz="0" w:space="0" w:color="auto"/>
        <w:bottom w:val="none" w:sz="0" w:space="0" w:color="auto"/>
        <w:right w:val="none" w:sz="0" w:space="0" w:color="auto"/>
      </w:divBdr>
    </w:div>
    <w:div w:id="832063505">
      <w:bodyDiv w:val="1"/>
      <w:marLeft w:val="0"/>
      <w:marRight w:val="0"/>
      <w:marTop w:val="0"/>
      <w:marBottom w:val="0"/>
      <w:divBdr>
        <w:top w:val="none" w:sz="0" w:space="0" w:color="auto"/>
        <w:left w:val="none" w:sz="0" w:space="0" w:color="auto"/>
        <w:bottom w:val="none" w:sz="0" w:space="0" w:color="auto"/>
        <w:right w:val="none" w:sz="0" w:space="0" w:color="auto"/>
      </w:divBdr>
    </w:div>
    <w:div w:id="832137095">
      <w:bodyDiv w:val="1"/>
      <w:marLeft w:val="0"/>
      <w:marRight w:val="0"/>
      <w:marTop w:val="0"/>
      <w:marBottom w:val="0"/>
      <w:divBdr>
        <w:top w:val="none" w:sz="0" w:space="0" w:color="auto"/>
        <w:left w:val="none" w:sz="0" w:space="0" w:color="auto"/>
        <w:bottom w:val="none" w:sz="0" w:space="0" w:color="auto"/>
        <w:right w:val="none" w:sz="0" w:space="0" w:color="auto"/>
      </w:divBdr>
    </w:div>
    <w:div w:id="832180473">
      <w:bodyDiv w:val="1"/>
      <w:marLeft w:val="0"/>
      <w:marRight w:val="0"/>
      <w:marTop w:val="0"/>
      <w:marBottom w:val="0"/>
      <w:divBdr>
        <w:top w:val="none" w:sz="0" w:space="0" w:color="auto"/>
        <w:left w:val="none" w:sz="0" w:space="0" w:color="auto"/>
        <w:bottom w:val="none" w:sz="0" w:space="0" w:color="auto"/>
        <w:right w:val="none" w:sz="0" w:space="0" w:color="auto"/>
      </w:divBdr>
    </w:div>
    <w:div w:id="832257682">
      <w:bodyDiv w:val="1"/>
      <w:marLeft w:val="0"/>
      <w:marRight w:val="0"/>
      <w:marTop w:val="0"/>
      <w:marBottom w:val="0"/>
      <w:divBdr>
        <w:top w:val="none" w:sz="0" w:space="0" w:color="auto"/>
        <w:left w:val="none" w:sz="0" w:space="0" w:color="auto"/>
        <w:bottom w:val="none" w:sz="0" w:space="0" w:color="auto"/>
        <w:right w:val="none" w:sz="0" w:space="0" w:color="auto"/>
      </w:divBdr>
    </w:div>
    <w:div w:id="832524974">
      <w:bodyDiv w:val="1"/>
      <w:marLeft w:val="0"/>
      <w:marRight w:val="0"/>
      <w:marTop w:val="0"/>
      <w:marBottom w:val="0"/>
      <w:divBdr>
        <w:top w:val="none" w:sz="0" w:space="0" w:color="auto"/>
        <w:left w:val="none" w:sz="0" w:space="0" w:color="auto"/>
        <w:bottom w:val="none" w:sz="0" w:space="0" w:color="auto"/>
        <w:right w:val="none" w:sz="0" w:space="0" w:color="auto"/>
      </w:divBdr>
    </w:div>
    <w:div w:id="832570306">
      <w:bodyDiv w:val="1"/>
      <w:marLeft w:val="0"/>
      <w:marRight w:val="0"/>
      <w:marTop w:val="0"/>
      <w:marBottom w:val="0"/>
      <w:divBdr>
        <w:top w:val="none" w:sz="0" w:space="0" w:color="auto"/>
        <w:left w:val="none" w:sz="0" w:space="0" w:color="auto"/>
        <w:bottom w:val="none" w:sz="0" w:space="0" w:color="auto"/>
        <w:right w:val="none" w:sz="0" w:space="0" w:color="auto"/>
      </w:divBdr>
    </w:div>
    <w:div w:id="832719376">
      <w:bodyDiv w:val="1"/>
      <w:marLeft w:val="0"/>
      <w:marRight w:val="0"/>
      <w:marTop w:val="0"/>
      <w:marBottom w:val="0"/>
      <w:divBdr>
        <w:top w:val="none" w:sz="0" w:space="0" w:color="auto"/>
        <w:left w:val="none" w:sz="0" w:space="0" w:color="auto"/>
        <w:bottom w:val="none" w:sz="0" w:space="0" w:color="auto"/>
        <w:right w:val="none" w:sz="0" w:space="0" w:color="auto"/>
      </w:divBdr>
    </w:div>
    <w:div w:id="832722856">
      <w:bodyDiv w:val="1"/>
      <w:marLeft w:val="0"/>
      <w:marRight w:val="0"/>
      <w:marTop w:val="0"/>
      <w:marBottom w:val="0"/>
      <w:divBdr>
        <w:top w:val="none" w:sz="0" w:space="0" w:color="auto"/>
        <w:left w:val="none" w:sz="0" w:space="0" w:color="auto"/>
        <w:bottom w:val="none" w:sz="0" w:space="0" w:color="auto"/>
        <w:right w:val="none" w:sz="0" w:space="0" w:color="auto"/>
      </w:divBdr>
    </w:div>
    <w:div w:id="832834445">
      <w:bodyDiv w:val="1"/>
      <w:marLeft w:val="0"/>
      <w:marRight w:val="0"/>
      <w:marTop w:val="0"/>
      <w:marBottom w:val="0"/>
      <w:divBdr>
        <w:top w:val="none" w:sz="0" w:space="0" w:color="auto"/>
        <w:left w:val="none" w:sz="0" w:space="0" w:color="auto"/>
        <w:bottom w:val="none" w:sz="0" w:space="0" w:color="auto"/>
        <w:right w:val="none" w:sz="0" w:space="0" w:color="auto"/>
      </w:divBdr>
    </w:div>
    <w:div w:id="832843500">
      <w:bodyDiv w:val="1"/>
      <w:marLeft w:val="0"/>
      <w:marRight w:val="0"/>
      <w:marTop w:val="0"/>
      <w:marBottom w:val="0"/>
      <w:divBdr>
        <w:top w:val="none" w:sz="0" w:space="0" w:color="auto"/>
        <w:left w:val="none" w:sz="0" w:space="0" w:color="auto"/>
        <w:bottom w:val="none" w:sz="0" w:space="0" w:color="auto"/>
        <w:right w:val="none" w:sz="0" w:space="0" w:color="auto"/>
      </w:divBdr>
    </w:div>
    <w:div w:id="833032037">
      <w:bodyDiv w:val="1"/>
      <w:marLeft w:val="0"/>
      <w:marRight w:val="0"/>
      <w:marTop w:val="0"/>
      <w:marBottom w:val="0"/>
      <w:divBdr>
        <w:top w:val="none" w:sz="0" w:space="0" w:color="auto"/>
        <w:left w:val="none" w:sz="0" w:space="0" w:color="auto"/>
        <w:bottom w:val="none" w:sz="0" w:space="0" w:color="auto"/>
        <w:right w:val="none" w:sz="0" w:space="0" w:color="auto"/>
      </w:divBdr>
    </w:div>
    <w:div w:id="833060521">
      <w:bodyDiv w:val="1"/>
      <w:marLeft w:val="0"/>
      <w:marRight w:val="0"/>
      <w:marTop w:val="0"/>
      <w:marBottom w:val="0"/>
      <w:divBdr>
        <w:top w:val="none" w:sz="0" w:space="0" w:color="auto"/>
        <w:left w:val="none" w:sz="0" w:space="0" w:color="auto"/>
        <w:bottom w:val="none" w:sz="0" w:space="0" w:color="auto"/>
        <w:right w:val="none" w:sz="0" w:space="0" w:color="auto"/>
      </w:divBdr>
    </w:div>
    <w:div w:id="833104162">
      <w:bodyDiv w:val="1"/>
      <w:marLeft w:val="0"/>
      <w:marRight w:val="0"/>
      <w:marTop w:val="0"/>
      <w:marBottom w:val="0"/>
      <w:divBdr>
        <w:top w:val="none" w:sz="0" w:space="0" w:color="auto"/>
        <w:left w:val="none" w:sz="0" w:space="0" w:color="auto"/>
        <w:bottom w:val="none" w:sz="0" w:space="0" w:color="auto"/>
        <w:right w:val="none" w:sz="0" w:space="0" w:color="auto"/>
      </w:divBdr>
    </w:div>
    <w:div w:id="833108814">
      <w:bodyDiv w:val="1"/>
      <w:marLeft w:val="0"/>
      <w:marRight w:val="0"/>
      <w:marTop w:val="0"/>
      <w:marBottom w:val="0"/>
      <w:divBdr>
        <w:top w:val="none" w:sz="0" w:space="0" w:color="auto"/>
        <w:left w:val="none" w:sz="0" w:space="0" w:color="auto"/>
        <w:bottom w:val="none" w:sz="0" w:space="0" w:color="auto"/>
        <w:right w:val="none" w:sz="0" w:space="0" w:color="auto"/>
      </w:divBdr>
    </w:div>
    <w:div w:id="833178830">
      <w:bodyDiv w:val="1"/>
      <w:marLeft w:val="0"/>
      <w:marRight w:val="0"/>
      <w:marTop w:val="0"/>
      <w:marBottom w:val="0"/>
      <w:divBdr>
        <w:top w:val="none" w:sz="0" w:space="0" w:color="auto"/>
        <w:left w:val="none" w:sz="0" w:space="0" w:color="auto"/>
        <w:bottom w:val="none" w:sz="0" w:space="0" w:color="auto"/>
        <w:right w:val="none" w:sz="0" w:space="0" w:color="auto"/>
      </w:divBdr>
    </w:div>
    <w:div w:id="833298282">
      <w:bodyDiv w:val="1"/>
      <w:marLeft w:val="0"/>
      <w:marRight w:val="0"/>
      <w:marTop w:val="0"/>
      <w:marBottom w:val="0"/>
      <w:divBdr>
        <w:top w:val="none" w:sz="0" w:space="0" w:color="auto"/>
        <w:left w:val="none" w:sz="0" w:space="0" w:color="auto"/>
        <w:bottom w:val="none" w:sz="0" w:space="0" w:color="auto"/>
        <w:right w:val="none" w:sz="0" w:space="0" w:color="auto"/>
      </w:divBdr>
    </w:div>
    <w:div w:id="833377926">
      <w:bodyDiv w:val="1"/>
      <w:marLeft w:val="0"/>
      <w:marRight w:val="0"/>
      <w:marTop w:val="0"/>
      <w:marBottom w:val="0"/>
      <w:divBdr>
        <w:top w:val="none" w:sz="0" w:space="0" w:color="auto"/>
        <w:left w:val="none" w:sz="0" w:space="0" w:color="auto"/>
        <w:bottom w:val="none" w:sz="0" w:space="0" w:color="auto"/>
        <w:right w:val="none" w:sz="0" w:space="0" w:color="auto"/>
      </w:divBdr>
    </w:div>
    <w:div w:id="833422974">
      <w:bodyDiv w:val="1"/>
      <w:marLeft w:val="0"/>
      <w:marRight w:val="0"/>
      <w:marTop w:val="0"/>
      <w:marBottom w:val="0"/>
      <w:divBdr>
        <w:top w:val="none" w:sz="0" w:space="0" w:color="auto"/>
        <w:left w:val="none" w:sz="0" w:space="0" w:color="auto"/>
        <w:bottom w:val="none" w:sz="0" w:space="0" w:color="auto"/>
        <w:right w:val="none" w:sz="0" w:space="0" w:color="auto"/>
      </w:divBdr>
    </w:div>
    <w:div w:id="833493053">
      <w:bodyDiv w:val="1"/>
      <w:marLeft w:val="0"/>
      <w:marRight w:val="0"/>
      <w:marTop w:val="0"/>
      <w:marBottom w:val="0"/>
      <w:divBdr>
        <w:top w:val="none" w:sz="0" w:space="0" w:color="auto"/>
        <w:left w:val="none" w:sz="0" w:space="0" w:color="auto"/>
        <w:bottom w:val="none" w:sz="0" w:space="0" w:color="auto"/>
        <w:right w:val="none" w:sz="0" w:space="0" w:color="auto"/>
      </w:divBdr>
    </w:div>
    <w:div w:id="833494393">
      <w:bodyDiv w:val="1"/>
      <w:marLeft w:val="0"/>
      <w:marRight w:val="0"/>
      <w:marTop w:val="0"/>
      <w:marBottom w:val="0"/>
      <w:divBdr>
        <w:top w:val="none" w:sz="0" w:space="0" w:color="auto"/>
        <w:left w:val="none" w:sz="0" w:space="0" w:color="auto"/>
        <w:bottom w:val="none" w:sz="0" w:space="0" w:color="auto"/>
        <w:right w:val="none" w:sz="0" w:space="0" w:color="auto"/>
      </w:divBdr>
    </w:div>
    <w:div w:id="833499173">
      <w:bodyDiv w:val="1"/>
      <w:marLeft w:val="0"/>
      <w:marRight w:val="0"/>
      <w:marTop w:val="0"/>
      <w:marBottom w:val="0"/>
      <w:divBdr>
        <w:top w:val="none" w:sz="0" w:space="0" w:color="auto"/>
        <w:left w:val="none" w:sz="0" w:space="0" w:color="auto"/>
        <w:bottom w:val="none" w:sz="0" w:space="0" w:color="auto"/>
        <w:right w:val="none" w:sz="0" w:space="0" w:color="auto"/>
      </w:divBdr>
    </w:div>
    <w:div w:id="833570598">
      <w:bodyDiv w:val="1"/>
      <w:marLeft w:val="0"/>
      <w:marRight w:val="0"/>
      <w:marTop w:val="0"/>
      <w:marBottom w:val="0"/>
      <w:divBdr>
        <w:top w:val="none" w:sz="0" w:space="0" w:color="auto"/>
        <w:left w:val="none" w:sz="0" w:space="0" w:color="auto"/>
        <w:bottom w:val="none" w:sz="0" w:space="0" w:color="auto"/>
        <w:right w:val="none" w:sz="0" w:space="0" w:color="auto"/>
      </w:divBdr>
    </w:div>
    <w:div w:id="833570814">
      <w:bodyDiv w:val="1"/>
      <w:marLeft w:val="0"/>
      <w:marRight w:val="0"/>
      <w:marTop w:val="0"/>
      <w:marBottom w:val="0"/>
      <w:divBdr>
        <w:top w:val="none" w:sz="0" w:space="0" w:color="auto"/>
        <w:left w:val="none" w:sz="0" w:space="0" w:color="auto"/>
        <w:bottom w:val="none" w:sz="0" w:space="0" w:color="auto"/>
        <w:right w:val="none" w:sz="0" w:space="0" w:color="auto"/>
      </w:divBdr>
    </w:div>
    <w:div w:id="833685690">
      <w:bodyDiv w:val="1"/>
      <w:marLeft w:val="0"/>
      <w:marRight w:val="0"/>
      <w:marTop w:val="0"/>
      <w:marBottom w:val="0"/>
      <w:divBdr>
        <w:top w:val="none" w:sz="0" w:space="0" w:color="auto"/>
        <w:left w:val="none" w:sz="0" w:space="0" w:color="auto"/>
        <w:bottom w:val="none" w:sz="0" w:space="0" w:color="auto"/>
        <w:right w:val="none" w:sz="0" w:space="0" w:color="auto"/>
      </w:divBdr>
    </w:div>
    <w:div w:id="833951928">
      <w:bodyDiv w:val="1"/>
      <w:marLeft w:val="0"/>
      <w:marRight w:val="0"/>
      <w:marTop w:val="0"/>
      <w:marBottom w:val="0"/>
      <w:divBdr>
        <w:top w:val="none" w:sz="0" w:space="0" w:color="auto"/>
        <w:left w:val="none" w:sz="0" w:space="0" w:color="auto"/>
        <w:bottom w:val="none" w:sz="0" w:space="0" w:color="auto"/>
        <w:right w:val="none" w:sz="0" w:space="0" w:color="auto"/>
      </w:divBdr>
    </w:div>
    <w:div w:id="834027183">
      <w:bodyDiv w:val="1"/>
      <w:marLeft w:val="0"/>
      <w:marRight w:val="0"/>
      <w:marTop w:val="0"/>
      <w:marBottom w:val="0"/>
      <w:divBdr>
        <w:top w:val="none" w:sz="0" w:space="0" w:color="auto"/>
        <w:left w:val="none" w:sz="0" w:space="0" w:color="auto"/>
        <w:bottom w:val="none" w:sz="0" w:space="0" w:color="auto"/>
        <w:right w:val="none" w:sz="0" w:space="0" w:color="auto"/>
      </w:divBdr>
    </w:div>
    <w:div w:id="834028865">
      <w:bodyDiv w:val="1"/>
      <w:marLeft w:val="0"/>
      <w:marRight w:val="0"/>
      <w:marTop w:val="0"/>
      <w:marBottom w:val="0"/>
      <w:divBdr>
        <w:top w:val="none" w:sz="0" w:space="0" w:color="auto"/>
        <w:left w:val="none" w:sz="0" w:space="0" w:color="auto"/>
        <w:bottom w:val="none" w:sz="0" w:space="0" w:color="auto"/>
        <w:right w:val="none" w:sz="0" w:space="0" w:color="auto"/>
      </w:divBdr>
    </w:div>
    <w:div w:id="834104671">
      <w:bodyDiv w:val="1"/>
      <w:marLeft w:val="0"/>
      <w:marRight w:val="0"/>
      <w:marTop w:val="0"/>
      <w:marBottom w:val="0"/>
      <w:divBdr>
        <w:top w:val="none" w:sz="0" w:space="0" w:color="auto"/>
        <w:left w:val="none" w:sz="0" w:space="0" w:color="auto"/>
        <w:bottom w:val="none" w:sz="0" w:space="0" w:color="auto"/>
        <w:right w:val="none" w:sz="0" w:space="0" w:color="auto"/>
      </w:divBdr>
    </w:div>
    <w:div w:id="834145389">
      <w:bodyDiv w:val="1"/>
      <w:marLeft w:val="0"/>
      <w:marRight w:val="0"/>
      <w:marTop w:val="0"/>
      <w:marBottom w:val="0"/>
      <w:divBdr>
        <w:top w:val="none" w:sz="0" w:space="0" w:color="auto"/>
        <w:left w:val="none" w:sz="0" w:space="0" w:color="auto"/>
        <w:bottom w:val="none" w:sz="0" w:space="0" w:color="auto"/>
        <w:right w:val="none" w:sz="0" w:space="0" w:color="auto"/>
      </w:divBdr>
    </w:div>
    <w:div w:id="834146069">
      <w:bodyDiv w:val="1"/>
      <w:marLeft w:val="0"/>
      <w:marRight w:val="0"/>
      <w:marTop w:val="0"/>
      <w:marBottom w:val="0"/>
      <w:divBdr>
        <w:top w:val="none" w:sz="0" w:space="0" w:color="auto"/>
        <w:left w:val="none" w:sz="0" w:space="0" w:color="auto"/>
        <w:bottom w:val="none" w:sz="0" w:space="0" w:color="auto"/>
        <w:right w:val="none" w:sz="0" w:space="0" w:color="auto"/>
      </w:divBdr>
    </w:div>
    <w:div w:id="834343880">
      <w:bodyDiv w:val="1"/>
      <w:marLeft w:val="0"/>
      <w:marRight w:val="0"/>
      <w:marTop w:val="0"/>
      <w:marBottom w:val="0"/>
      <w:divBdr>
        <w:top w:val="none" w:sz="0" w:space="0" w:color="auto"/>
        <w:left w:val="none" w:sz="0" w:space="0" w:color="auto"/>
        <w:bottom w:val="none" w:sz="0" w:space="0" w:color="auto"/>
        <w:right w:val="none" w:sz="0" w:space="0" w:color="auto"/>
      </w:divBdr>
    </w:div>
    <w:div w:id="834344433">
      <w:bodyDiv w:val="1"/>
      <w:marLeft w:val="0"/>
      <w:marRight w:val="0"/>
      <w:marTop w:val="0"/>
      <w:marBottom w:val="0"/>
      <w:divBdr>
        <w:top w:val="none" w:sz="0" w:space="0" w:color="auto"/>
        <w:left w:val="none" w:sz="0" w:space="0" w:color="auto"/>
        <w:bottom w:val="none" w:sz="0" w:space="0" w:color="auto"/>
        <w:right w:val="none" w:sz="0" w:space="0" w:color="auto"/>
      </w:divBdr>
    </w:div>
    <w:div w:id="834423019">
      <w:bodyDiv w:val="1"/>
      <w:marLeft w:val="0"/>
      <w:marRight w:val="0"/>
      <w:marTop w:val="0"/>
      <w:marBottom w:val="0"/>
      <w:divBdr>
        <w:top w:val="none" w:sz="0" w:space="0" w:color="auto"/>
        <w:left w:val="none" w:sz="0" w:space="0" w:color="auto"/>
        <w:bottom w:val="none" w:sz="0" w:space="0" w:color="auto"/>
        <w:right w:val="none" w:sz="0" w:space="0" w:color="auto"/>
      </w:divBdr>
    </w:div>
    <w:div w:id="834537756">
      <w:bodyDiv w:val="1"/>
      <w:marLeft w:val="0"/>
      <w:marRight w:val="0"/>
      <w:marTop w:val="0"/>
      <w:marBottom w:val="0"/>
      <w:divBdr>
        <w:top w:val="none" w:sz="0" w:space="0" w:color="auto"/>
        <w:left w:val="none" w:sz="0" w:space="0" w:color="auto"/>
        <w:bottom w:val="none" w:sz="0" w:space="0" w:color="auto"/>
        <w:right w:val="none" w:sz="0" w:space="0" w:color="auto"/>
      </w:divBdr>
    </w:div>
    <w:div w:id="834564598">
      <w:bodyDiv w:val="1"/>
      <w:marLeft w:val="0"/>
      <w:marRight w:val="0"/>
      <w:marTop w:val="0"/>
      <w:marBottom w:val="0"/>
      <w:divBdr>
        <w:top w:val="none" w:sz="0" w:space="0" w:color="auto"/>
        <w:left w:val="none" w:sz="0" w:space="0" w:color="auto"/>
        <w:bottom w:val="none" w:sz="0" w:space="0" w:color="auto"/>
        <w:right w:val="none" w:sz="0" w:space="0" w:color="auto"/>
      </w:divBdr>
    </w:div>
    <w:div w:id="834609629">
      <w:bodyDiv w:val="1"/>
      <w:marLeft w:val="0"/>
      <w:marRight w:val="0"/>
      <w:marTop w:val="0"/>
      <w:marBottom w:val="0"/>
      <w:divBdr>
        <w:top w:val="none" w:sz="0" w:space="0" w:color="auto"/>
        <w:left w:val="none" w:sz="0" w:space="0" w:color="auto"/>
        <w:bottom w:val="none" w:sz="0" w:space="0" w:color="auto"/>
        <w:right w:val="none" w:sz="0" w:space="0" w:color="auto"/>
      </w:divBdr>
    </w:div>
    <w:div w:id="834612405">
      <w:bodyDiv w:val="1"/>
      <w:marLeft w:val="0"/>
      <w:marRight w:val="0"/>
      <w:marTop w:val="0"/>
      <w:marBottom w:val="0"/>
      <w:divBdr>
        <w:top w:val="none" w:sz="0" w:space="0" w:color="auto"/>
        <w:left w:val="none" w:sz="0" w:space="0" w:color="auto"/>
        <w:bottom w:val="none" w:sz="0" w:space="0" w:color="auto"/>
        <w:right w:val="none" w:sz="0" w:space="0" w:color="auto"/>
      </w:divBdr>
    </w:div>
    <w:div w:id="834883721">
      <w:bodyDiv w:val="1"/>
      <w:marLeft w:val="0"/>
      <w:marRight w:val="0"/>
      <w:marTop w:val="0"/>
      <w:marBottom w:val="0"/>
      <w:divBdr>
        <w:top w:val="none" w:sz="0" w:space="0" w:color="auto"/>
        <w:left w:val="none" w:sz="0" w:space="0" w:color="auto"/>
        <w:bottom w:val="none" w:sz="0" w:space="0" w:color="auto"/>
        <w:right w:val="none" w:sz="0" w:space="0" w:color="auto"/>
      </w:divBdr>
    </w:div>
    <w:div w:id="834950972">
      <w:bodyDiv w:val="1"/>
      <w:marLeft w:val="0"/>
      <w:marRight w:val="0"/>
      <w:marTop w:val="0"/>
      <w:marBottom w:val="0"/>
      <w:divBdr>
        <w:top w:val="none" w:sz="0" w:space="0" w:color="auto"/>
        <w:left w:val="none" w:sz="0" w:space="0" w:color="auto"/>
        <w:bottom w:val="none" w:sz="0" w:space="0" w:color="auto"/>
        <w:right w:val="none" w:sz="0" w:space="0" w:color="auto"/>
      </w:divBdr>
    </w:div>
    <w:div w:id="834956493">
      <w:bodyDiv w:val="1"/>
      <w:marLeft w:val="0"/>
      <w:marRight w:val="0"/>
      <w:marTop w:val="0"/>
      <w:marBottom w:val="0"/>
      <w:divBdr>
        <w:top w:val="none" w:sz="0" w:space="0" w:color="auto"/>
        <w:left w:val="none" w:sz="0" w:space="0" w:color="auto"/>
        <w:bottom w:val="none" w:sz="0" w:space="0" w:color="auto"/>
        <w:right w:val="none" w:sz="0" w:space="0" w:color="auto"/>
      </w:divBdr>
    </w:div>
    <w:div w:id="834999642">
      <w:bodyDiv w:val="1"/>
      <w:marLeft w:val="0"/>
      <w:marRight w:val="0"/>
      <w:marTop w:val="0"/>
      <w:marBottom w:val="0"/>
      <w:divBdr>
        <w:top w:val="none" w:sz="0" w:space="0" w:color="auto"/>
        <w:left w:val="none" w:sz="0" w:space="0" w:color="auto"/>
        <w:bottom w:val="none" w:sz="0" w:space="0" w:color="auto"/>
        <w:right w:val="none" w:sz="0" w:space="0" w:color="auto"/>
      </w:divBdr>
    </w:div>
    <w:div w:id="835389338">
      <w:bodyDiv w:val="1"/>
      <w:marLeft w:val="0"/>
      <w:marRight w:val="0"/>
      <w:marTop w:val="0"/>
      <w:marBottom w:val="0"/>
      <w:divBdr>
        <w:top w:val="none" w:sz="0" w:space="0" w:color="auto"/>
        <w:left w:val="none" w:sz="0" w:space="0" w:color="auto"/>
        <w:bottom w:val="none" w:sz="0" w:space="0" w:color="auto"/>
        <w:right w:val="none" w:sz="0" w:space="0" w:color="auto"/>
      </w:divBdr>
    </w:div>
    <w:div w:id="835417325">
      <w:bodyDiv w:val="1"/>
      <w:marLeft w:val="0"/>
      <w:marRight w:val="0"/>
      <w:marTop w:val="0"/>
      <w:marBottom w:val="0"/>
      <w:divBdr>
        <w:top w:val="none" w:sz="0" w:space="0" w:color="auto"/>
        <w:left w:val="none" w:sz="0" w:space="0" w:color="auto"/>
        <w:bottom w:val="none" w:sz="0" w:space="0" w:color="auto"/>
        <w:right w:val="none" w:sz="0" w:space="0" w:color="auto"/>
      </w:divBdr>
    </w:div>
    <w:div w:id="835456146">
      <w:bodyDiv w:val="1"/>
      <w:marLeft w:val="0"/>
      <w:marRight w:val="0"/>
      <w:marTop w:val="0"/>
      <w:marBottom w:val="0"/>
      <w:divBdr>
        <w:top w:val="none" w:sz="0" w:space="0" w:color="auto"/>
        <w:left w:val="none" w:sz="0" w:space="0" w:color="auto"/>
        <w:bottom w:val="none" w:sz="0" w:space="0" w:color="auto"/>
        <w:right w:val="none" w:sz="0" w:space="0" w:color="auto"/>
      </w:divBdr>
    </w:div>
    <w:div w:id="835614958">
      <w:bodyDiv w:val="1"/>
      <w:marLeft w:val="0"/>
      <w:marRight w:val="0"/>
      <w:marTop w:val="0"/>
      <w:marBottom w:val="0"/>
      <w:divBdr>
        <w:top w:val="none" w:sz="0" w:space="0" w:color="auto"/>
        <w:left w:val="none" w:sz="0" w:space="0" w:color="auto"/>
        <w:bottom w:val="none" w:sz="0" w:space="0" w:color="auto"/>
        <w:right w:val="none" w:sz="0" w:space="0" w:color="auto"/>
      </w:divBdr>
    </w:div>
    <w:div w:id="835847713">
      <w:bodyDiv w:val="1"/>
      <w:marLeft w:val="0"/>
      <w:marRight w:val="0"/>
      <w:marTop w:val="0"/>
      <w:marBottom w:val="0"/>
      <w:divBdr>
        <w:top w:val="none" w:sz="0" w:space="0" w:color="auto"/>
        <w:left w:val="none" w:sz="0" w:space="0" w:color="auto"/>
        <w:bottom w:val="none" w:sz="0" w:space="0" w:color="auto"/>
        <w:right w:val="none" w:sz="0" w:space="0" w:color="auto"/>
      </w:divBdr>
    </w:div>
    <w:div w:id="835919608">
      <w:bodyDiv w:val="1"/>
      <w:marLeft w:val="0"/>
      <w:marRight w:val="0"/>
      <w:marTop w:val="0"/>
      <w:marBottom w:val="0"/>
      <w:divBdr>
        <w:top w:val="none" w:sz="0" w:space="0" w:color="auto"/>
        <w:left w:val="none" w:sz="0" w:space="0" w:color="auto"/>
        <w:bottom w:val="none" w:sz="0" w:space="0" w:color="auto"/>
        <w:right w:val="none" w:sz="0" w:space="0" w:color="auto"/>
      </w:divBdr>
    </w:div>
    <w:div w:id="835993992">
      <w:bodyDiv w:val="1"/>
      <w:marLeft w:val="0"/>
      <w:marRight w:val="0"/>
      <w:marTop w:val="0"/>
      <w:marBottom w:val="0"/>
      <w:divBdr>
        <w:top w:val="none" w:sz="0" w:space="0" w:color="auto"/>
        <w:left w:val="none" w:sz="0" w:space="0" w:color="auto"/>
        <w:bottom w:val="none" w:sz="0" w:space="0" w:color="auto"/>
        <w:right w:val="none" w:sz="0" w:space="0" w:color="auto"/>
      </w:divBdr>
    </w:div>
    <w:div w:id="835994740">
      <w:bodyDiv w:val="1"/>
      <w:marLeft w:val="0"/>
      <w:marRight w:val="0"/>
      <w:marTop w:val="0"/>
      <w:marBottom w:val="0"/>
      <w:divBdr>
        <w:top w:val="none" w:sz="0" w:space="0" w:color="auto"/>
        <w:left w:val="none" w:sz="0" w:space="0" w:color="auto"/>
        <w:bottom w:val="none" w:sz="0" w:space="0" w:color="auto"/>
        <w:right w:val="none" w:sz="0" w:space="0" w:color="auto"/>
      </w:divBdr>
    </w:div>
    <w:div w:id="836116508">
      <w:bodyDiv w:val="1"/>
      <w:marLeft w:val="0"/>
      <w:marRight w:val="0"/>
      <w:marTop w:val="0"/>
      <w:marBottom w:val="0"/>
      <w:divBdr>
        <w:top w:val="none" w:sz="0" w:space="0" w:color="auto"/>
        <w:left w:val="none" w:sz="0" w:space="0" w:color="auto"/>
        <w:bottom w:val="none" w:sz="0" w:space="0" w:color="auto"/>
        <w:right w:val="none" w:sz="0" w:space="0" w:color="auto"/>
      </w:divBdr>
    </w:div>
    <w:div w:id="836118072">
      <w:bodyDiv w:val="1"/>
      <w:marLeft w:val="0"/>
      <w:marRight w:val="0"/>
      <w:marTop w:val="0"/>
      <w:marBottom w:val="0"/>
      <w:divBdr>
        <w:top w:val="none" w:sz="0" w:space="0" w:color="auto"/>
        <w:left w:val="none" w:sz="0" w:space="0" w:color="auto"/>
        <w:bottom w:val="none" w:sz="0" w:space="0" w:color="auto"/>
        <w:right w:val="none" w:sz="0" w:space="0" w:color="auto"/>
      </w:divBdr>
    </w:div>
    <w:div w:id="836186037">
      <w:bodyDiv w:val="1"/>
      <w:marLeft w:val="0"/>
      <w:marRight w:val="0"/>
      <w:marTop w:val="0"/>
      <w:marBottom w:val="0"/>
      <w:divBdr>
        <w:top w:val="none" w:sz="0" w:space="0" w:color="auto"/>
        <w:left w:val="none" w:sz="0" w:space="0" w:color="auto"/>
        <w:bottom w:val="none" w:sz="0" w:space="0" w:color="auto"/>
        <w:right w:val="none" w:sz="0" w:space="0" w:color="auto"/>
      </w:divBdr>
    </w:div>
    <w:div w:id="836191286">
      <w:bodyDiv w:val="1"/>
      <w:marLeft w:val="0"/>
      <w:marRight w:val="0"/>
      <w:marTop w:val="0"/>
      <w:marBottom w:val="0"/>
      <w:divBdr>
        <w:top w:val="none" w:sz="0" w:space="0" w:color="auto"/>
        <w:left w:val="none" w:sz="0" w:space="0" w:color="auto"/>
        <w:bottom w:val="none" w:sz="0" w:space="0" w:color="auto"/>
        <w:right w:val="none" w:sz="0" w:space="0" w:color="auto"/>
      </w:divBdr>
    </w:div>
    <w:div w:id="836192042">
      <w:bodyDiv w:val="1"/>
      <w:marLeft w:val="0"/>
      <w:marRight w:val="0"/>
      <w:marTop w:val="0"/>
      <w:marBottom w:val="0"/>
      <w:divBdr>
        <w:top w:val="none" w:sz="0" w:space="0" w:color="auto"/>
        <w:left w:val="none" w:sz="0" w:space="0" w:color="auto"/>
        <w:bottom w:val="none" w:sz="0" w:space="0" w:color="auto"/>
        <w:right w:val="none" w:sz="0" w:space="0" w:color="auto"/>
      </w:divBdr>
    </w:div>
    <w:div w:id="836270496">
      <w:bodyDiv w:val="1"/>
      <w:marLeft w:val="0"/>
      <w:marRight w:val="0"/>
      <w:marTop w:val="0"/>
      <w:marBottom w:val="0"/>
      <w:divBdr>
        <w:top w:val="none" w:sz="0" w:space="0" w:color="auto"/>
        <w:left w:val="none" w:sz="0" w:space="0" w:color="auto"/>
        <w:bottom w:val="none" w:sz="0" w:space="0" w:color="auto"/>
        <w:right w:val="none" w:sz="0" w:space="0" w:color="auto"/>
      </w:divBdr>
    </w:div>
    <w:div w:id="836337459">
      <w:bodyDiv w:val="1"/>
      <w:marLeft w:val="0"/>
      <w:marRight w:val="0"/>
      <w:marTop w:val="0"/>
      <w:marBottom w:val="0"/>
      <w:divBdr>
        <w:top w:val="none" w:sz="0" w:space="0" w:color="auto"/>
        <w:left w:val="none" w:sz="0" w:space="0" w:color="auto"/>
        <w:bottom w:val="none" w:sz="0" w:space="0" w:color="auto"/>
        <w:right w:val="none" w:sz="0" w:space="0" w:color="auto"/>
      </w:divBdr>
    </w:div>
    <w:div w:id="836455606">
      <w:bodyDiv w:val="1"/>
      <w:marLeft w:val="0"/>
      <w:marRight w:val="0"/>
      <w:marTop w:val="0"/>
      <w:marBottom w:val="0"/>
      <w:divBdr>
        <w:top w:val="none" w:sz="0" w:space="0" w:color="auto"/>
        <w:left w:val="none" w:sz="0" w:space="0" w:color="auto"/>
        <w:bottom w:val="none" w:sz="0" w:space="0" w:color="auto"/>
        <w:right w:val="none" w:sz="0" w:space="0" w:color="auto"/>
      </w:divBdr>
    </w:div>
    <w:div w:id="836502680">
      <w:bodyDiv w:val="1"/>
      <w:marLeft w:val="0"/>
      <w:marRight w:val="0"/>
      <w:marTop w:val="0"/>
      <w:marBottom w:val="0"/>
      <w:divBdr>
        <w:top w:val="none" w:sz="0" w:space="0" w:color="auto"/>
        <w:left w:val="none" w:sz="0" w:space="0" w:color="auto"/>
        <w:bottom w:val="none" w:sz="0" w:space="0" w:color="auto"/>
        <w:right w:val="none" w:sz="0" w:space="0" w:color="auto"/>
      </w:divBdr>
    </w:div>
    <w:div w:id="836574934">
      <w:bodyDiv w:val="1"/>
      <w:marLeft w:val="0"/>
      <w:marRight w:val="0"/>
      <w:marTop w:val="0"/>
      <w:marBottom w:val="0"/>
      <w:divBdr>
        <w:top w:val="none" w:sz="0" w:space="0" w:color="auto"/>
        <w:left w:val="none" w:sz="0" w:space="0" w:color="auto"/>
        <w:bottom w:val="none" w:sz="0" w:space="0" w:color="auto"/>
        <w:right w:val="none" w:sz="0" w:space="0" w:color="auto"/>
      </w:divBdr>
    </w:div>
    <w:div w:id="836699358">
      <w:bodyDiv w:val="1"/>
      <w:marLeft w:val="0"/>
      <w:marRight w:val="0"/>
      <w:marTop w:val="0"/>
      <w:marBottom w:val="0"/>
      <w:divBdr>
        <w:top w:val="none" w:sz="0" w:space="0" w:color="auto"/>
        <w:left w:val="none" w:sz="0" w:space="0" w:color="auto"/>
        <w:bottom w:val="none" w:sz="0" w:space="0" w:color="auto"/>
        <w:right w:val="none" w:sz="0" w:space="0" w:color="auto"/>
      </w:divBdr>
    </w:div>
    <w:div w:id="836775040">
      <w:bodyDiv w:val="1"/>
      <w:marLeft w:val="0"/>
      <w:marRight w:val="0"/>
      <w:marTop w:val="0"/>
      <w:marBottom w:val="0"/>
      <w:divBdr>
        <w:top w:val="none" w:sz="0" w:space="0" w:color="auto"/>
        <w:left w:val="none" w:sz="0" w:space="0" w:color="auto"/>
        <w:bottom w:val="none" w:sz="0" w:space="0" w:color="auto"/>
        <w:right w:val="none" w:sz="0" w:space="0" w:color="auto"/>
      </w:divBdr>
    </w:div>
    <w:div w:id="836921153">
      <w:bodyDiv w:val="1"/>
      <w:marLeft w:val="0"/>
      <w:marRight w:val="0"/>
      <w:marTop w:val="0"/>
      <w:marBottom w:val="0"/>
      <w:divBdr>
        <w:top w:val="none" w:sz="0" w:space="0" w:color="auto"/>
        <w:left w:val="none" w:sz="0" w:space="0" w:color="auto"/>
        <w:bottom w:val="none" w:sz="0" w:space="0" w:color="auto"/>
        <w:right w:val="none" w:sz="0" w:space="0" w:color="auto"/>
      </w:divBdr>
    </w:div>
    <w:div w:id="836964380">
      <w:bodyDiv w:val="1"/>
      <w:marLeft w:val="0"/>
      <w:marRight w:val="0"/>
      <w:marTop w:val="0"/>
      <w:marBottom w:val="0"/>
      <w:divBdr>
        <w:top w:val="none" w:sz="0" w:space="0" w:color="auto"/>
        <w:left w:val="none" w:sz="0" w:space="0" w:color="auto"/>
        <w:bottom w:val="none" w:sz="0" w:space="0" w:color="auto"/>
        <w:right w:val="none" w:sz="0" w:space="0" w:color="auto"/>
      </w:divBdr>
    </w:div>
    <w:div w:id="836968200">
      <w:bodyDiv w:val="1"/>
      <w:marLeft w:val="0"/>
      <w:marRight w:val="0"/>
      <w:marTop w:val="0"/>
      <w:marBottom w:val="0"/>
      <w:divBdr>
        <w:top w:val="none" w:sz="0" w:space="0" w:color="auto"/>
        <w:left w:val="none" w:sz="0" w:space="0" w:color="auto"/>
        <w:bottom w:val="none" w:sz="0" w:space="0" w:color="auto"/>
        <w:right w:val="none" w:sz="0" w:space="0" w:color="auto"/>
      </w:divBdr>
    </w:div>
    <w:div w:id="836968792">
      <w:bodyDiv w:val="1"/>
      <w:marLeft w:val="0"/>
      <w:marRight w:val="0"/>
      <w:marTop w:val="0"/>
      <w:marBottom w:val="0"/>
      <w:divBdr>
        <w:top w:val="none" w:sz="0" w:space="0" w:color="auto"/>
        <w:left w:val="none" w:sz="0" w:space="0" w:color="auto"/>
        <w:bottom w:val="none" w:sz="0" w:space="0" w:color="auto"/>
        <w:right w:val="none" w:sz="0" w:space="0" w:color="auto"/>
      </w:divBdr>
    </w:div>
    <w:div w:id="837158564">
      <w:bodyDiv w:val="1"/>
      <w:marLeft w:val="0"/>
      <w:marRight w:val="0"/>
      <w:marTop w:val="0"/>
      <w:marBottom w:val="0"/>
      <w:divBdr>
        <w:top w:val="none" w:sz="0" w:space="0" w:color="auto"/>
        <w:left w:val="none" w:sz="0" w:space="0" w:color="auto"/>
        <w:bottom w:val="none" w:sz="0" w:space="0" w:color="auto"/>
        <w:right w:val="none" w:sz="0" w:space="0" w:color="auto"/>
      </w:divBdr>
    </w:div>
    <w:div w:id="837188087">
      <w:bodyDiv w:val="1"/>
      <w:marLeft w:val="0"/>
      <w:marRight w:val="0"/>
      <w:marTop w:val="0"/>
      <w:marBottom w:val="0"/>
      <w:divBdr>
        <w:top w:val="none" w:sz="0" w:space="0" w:color="auto"/>
        <w:left w:val="none" w:sz="0" w:space="0" w:color="auto"/>
        <w:bottom w:val="none" w:sz="0" w:space="0" w:color="auto"/>
        <w:right w:val="none" w:sz="0" w:space="0" w:color="auto"/>
      </w:divBdr>
    </w:div>
    <w:div w:id="837428637">
      <w:bodyDiv w:val="1"/>
      <w:marLeft w:val="0"/>
      <w:marRight w:val="0"/>
      <w:marTop w:val="0"/>
      <w:marBottom w:val="0"/>
      <w:divBdr>
        <w:top w:val="none" w:sz="0" w:space="0" w:color="auto"/>
        <w:left w:val="none" w:sz="0" w:space="0" w:color="auto"/>
        <w:bottom w:val="none" w:sz="0" w:space="0" w:color="auto"/>
        <w:right w:val="none" w:sz="0" w:space="0" w:color="auto"/>
      </w:divBdr>
    </w:div>
    <w:div w:id="837430193">
      <w:bodyDiv w:val="1"/>
      <w:marLeft w:val="0"/>
      <w:marRight w:val="0"/>
      <w:marTop w:val="0"/>
      <w:marBottom w:val="0"/>
      <w:divBdr>
        <w:top w:val="none" w:sz="0" w:space="0" w:color="auto"/>
        <w:left w:val="none" w:sz="0" w:space="0" w:color="auto"/>
        <w:bottom w:val="none" w:sz="0" w:space="0" w:color="auto"/>
        <w:right w:val="none" w:sz="0" w:space="0" w:color="auto"/>
      </w:divBdr>
    </w:div>
    <w:div w:id="837500062">
      <w:bodyDiv w:val="1"/>
      <w:marLeft w:val="0"/>
      <w:marRight w:val="0"/>
      <w:marTop w:val="0"/>
      <w:marBottom w:val="0"/>
      <w:divBdr>
        <w:top w:val="none" w:sz="0" w:space="0" w:color="auto"/>
        <w:left w:val="none" w:sz="0" w:space="0" w:color="auto"/>
        <w:bottom w:val="none" w:sz="0" w:space="0" w:color="auto"/>
        <w:right w:val="none" w:sz="0" w:space="0" w:color="auto"/>
      </w:divBdr>
    </w:div>
    <w:div w:id="837580157">
      <w:bodyDiv w:val="1"/>
      <w:marLeft w:val="0"/>
      <w:marRight w:val="0"/>
      <w:marTop w:val="0"/>
      <w:marBottom w:val="0"/>
      <w:divBdr>
        <w:top w:val="none" w:sz="0" w:space="0" w:color="auto"/>
        <w:left w:val="none" w:sz="0" w:space="0" w:color="auto"/>
        <w:bottom w:val="none" w:sz="0" w:space="0" w:color="auto"/>
        <w:right w:val="none" w:sz="0" w:space="0" w:color="auto"/>
      </w:divBdr>
    </w:div>
    <w:div w:id="837619463">
      <w:bodyDiv w:val="1"/>
      <w:marLeft w:val="0"/>
      <w:marRight w:val="0"/>
      <w:marTop w:val="0"/>
      <w:marBottom w:val="0"/>
      <w:divBdr>
        <w:top w:val="none" w:sz="0" w:space="0" w:color="auto"/>
        <w:left w:val="none" w:sz="0" w:space="0" w:color="auto"/>
        <w:bottom w:val="none" w:sz="0" w:space="0" w:color="auto"/>
        <w:right w:val="none" w:sz="0" w:space="0" w:color="auto"/>
      </w:divBdr>
    </w:div>
    <w:div w:id="837620805">
      <w:bodyDiv w:val="1"/>
      <w:marLeft w:val="0"/>
      <w:marRight w:val="0"/>
      <w:marTop w:val="0"/>
      <w:marBottom w:val="0"/>
      <w:divBdr>
        <w:top w:val="none" w:sz="0" w:space="0" w:color="auto"/>
        <w:left w:val="none" w:sz="0" w:space="0" w:color="auto"/>
        <w:bottom w:val="none" w:sz="0" w:space="0" w:color="auto"/>
        <w:right w:val="none" w:sz="0" w:space="0" w:color="auto"/>
      </w:divBdr>
    </w:div>
    <w:div w:id="837622436">
      <w:bodyDiv w:val="1"/>
      <w:marLeft w:val="0"/>
      <w:marRight w:val="0"/>
      <w:marTop w:val="0"/>
      <w:marBottom w:val="0"/>
      <w:divBdr>
        <w:top w:val="none" w:sz="0" w:space="0" w:color="auto"/>
        <w:left w:val="none" w:sz="0" w:space="0" w:color="auto"/>
        <w:bottom w:val="none" w:sz="0" w:space="0" w:color="auto"/>
        <w:right w:val="none" w:sz="0" w:space="0" w:color="auto"/>
      </w:divBdr>
    </w:div>
    <w:div w:id="837690800">
      <w:bodyDiv w:val="1"/>
      <w:marLeft w:val="0"/>
      <w:marRight w:val="0"/>
      <w:marTop w:val="0"/>
      <w:marBottom w:val="0"/>
      <w:divBdr>
        <w:top w:val="none" w:sz="0" w:space="0" w:color="auto"/>
        <w:left w:val="none" w:sz="0" w:space="0" w:color="auto"/>
        <w:bottom w:val="none" w:sz="0" w:space="0" w:color="auto"/>
        <w:right w:val="none" w:sz="0" w:space="0" w:color="auto"/>
      </w:divBdr>
    </w:div>
    <w:div w:id="837765133">
      <w:bodyDiv w:val="1"/>
      <w:marLeft w:val="0"/>
      <w:marRight w:val="0"/>
      <w:marTop w:val="0"/>
      <w:marBottom w:val="0"/>
      <w:divBdr>
        <w:top w:val="none" w:sz="0" w:space="0" w:color="auto"/>
        <w:left w:val="none" w:sz="0" w:space="0" w:color="auto"/>
        <w:bottom w:val="none" w:sz="0" w:space="0" w:color="auto"/>
        <w:right w:val="none" w:sz="0" w:space="0" w:color="auto"/>
      </w:divBdr>
    </w:div>
    <w:div w:id="837967417">
      <w:bodyDiv w:val="1"/>
      <w:marLeft w:val="0"/>
      <w:marRight w:val="0"/>
      <w:marTop w:val="0"/>
      <w:marBottom w:val="0"/>
      <w:divBdr>
        <w:top w:val="none" w:sz="0" w:space="0" w:color="auto"/>
        <w:left w:val="none" w:sz="0" w:space="0" w:color="auto"/>
        <w:bottom w:val="none" w:sz="0" w:space="0" w:color="auto"/>
        <w:right w:val="none" w:sz="0" w:space="0" w:color="auto"/>
      </w:divBdr>
    </w:div>
    <w:div w:id="838082665">
      <w:bodyDiv w:val="1"/>
      <w:marLeft w:val="0"/>
      <w:marRight w:val="0"/>
      <w:marTop w:val="0"/>
      <w:marBottom w:val="0"/>
      <w:divBdr>
        <w:top w:val="none" w:sz="0" w:space="0" w:color="auto"/>
        <w:left w:val="none" w:sz="0" w:space="0" w:color="auto"/>
        <w:bottom w:val="none" w:sz="0" w:space="0" w:color="auto"/>
        <w:right w:val="none" w:sz="0" w:space="0" w:color="auto"/>
      </w:divBdr>
    </w:div>
    <w:div w:id="838273748">
      <w:bodyDiv w:val="1"/>
      <w:marLeft w:val="0"/>
      <w:marRight w:val="0"/>
      <w:marTop w:val="0"/>
      <w:marBottom w:val="0"/>
      <w:divBdr>
        <w:top w:val="none" w:sz="0" w:space="0" w:color="auto"/>
        <w:left w:val="none" w:sz="0" w:space="0" w:color="auto"/>
        <w:bottom w:val="none" w:sz="0" w:space="0" w:color="auto"/>
        <w:right w:val="none" w:sz="0" w:space="0" w:color="auto"/>
      </w:divBdr>
    </w:div>
    <w:div w:id="838345135">
      <w:bodyDiv w:val="1"/>
      <w:marLeft w:val="0"/>
      <w:marRight w:val="0"/>
      <w:marTop w:val="0"/>
      <w:marBottom w:val="0"/>
      <w:divBdr>
        <w:top w:val="none" w:sz="0" w:space="0" w:color="auto"/>
        <w:left w:val="none" w:sz="0" w:space="0" w:color="auto"/>
        <w:bottom w:val="none" w:sz="0" w:space="0" w:color="auto"/>
        <w:right w:val="none" w:sz="0" w:space="0" w:color="auto"/>
      </w:divBdr>
    </w:div>
    <w:div w:id="838467836">
      <w:bodyDiv w:val="1"/>
      <w:marLeft w:val="0"/>
      <w:marRight w:val="0"/>
      <w:marTop w:val="0"/>
      <w:marBottom w:val="0"/>
      <w:divBdr>
        <w:top w:val="none" w:sz="0" w:space="0" w:color="auto"/>
        <w:left w:val="none" w:sz="0" w:space="0" w:color="auto"/>
        <w:bottom w:val="none" w:sz="0" w:space="0" w:color="auto"/>
        <w:right w:val="none" w:sz="0" w:space="0" w:color="auto"/>
      </w:divBdr>
    </w:div>
    <w:div w:id="838496540">
      <w:bodyDiv w:val="1"/>
      <w:marLeft w:val="0"/>
      <w:marRight w:val="0"/>
      <w:marTop w:val="0"/>
      <w:marBottom w:val="0"/>
      <w:divBdr>
        <w:top w:val="none" w:sz="0" w:space="0" w:color="auto"/>
        <w:left w:val="none" w:sz="0" w:space="0" w:color="auto"/>
        <w:bottom w:val="none" w:sz="0" w:space="0" w:color="auto"/>
        <w:right w:val="none" w:sz="0" w:space="0" w:color="auto"/>
      </w:divBdr>
    </w:div>
    <w:div w:id="838497463">
      <w:bodyDiv w:val="1"/>
      <w:marLeft w:val="0"/>
      <w:marRight w:val="0"/>
      <w:marTop w:val="0"/>
      <w:marBottom w:val="0"/>
      <w:divBdr>
        <w:top w:val="none" w:sz="0" w:space="0" w:color="auto"/>
        <w:left w:val="none" w:sz="0" w:space="0" w:color="auto"/>
        <w:bottom w:val="none" w:sz="0" w:space="0" w:color="auto"/>
        <w:right w:val="none" w:sz="0" w:space="0" w:color="auto"/>
      </w:divBdr>
    </w:div>
    <w:div w:id="838613782">
      <w:bodyDiv w:val="1"/>
      <w:marLeft w:val="0"/>
      <w:marRight w:val="0"/>
      <w:marTop w:val="0"/>
      <w:marBottom w:val="0"/>
      <w:divBdr>
        <w:top w:val="none" w:sz="0" w:space="0" w:color="auto"/>
        <w:left w:val="none" w:sz="0" w:space="0" w:color="auto"/>
        <w:bottom w:val="none" w:sz="0" w:space="0" w:color="auto"/>
        <w:right w:val="none" w:sz="0" w:space="0" w:color="auto"/>
      </w:divBdr>
    </w:div>
    <w:div w:id="838620513">
      <w:bodyDiv w:val="1"/>
      <w:marLeft w:val="0"/>
      <w:marRight w:val="0"/>
      <w:marTop w:val="0"/>
      <w:marBottom w:val="0"/>
      <w:divBdr>
        <w:top w:val="none" w:sz="0" w:space="0" w:color="auto"/>
        <w:left w:val="none" w:sz="0" w:space="0" w:color="auto"/>
        <w:bottom w:val="none" w:sz="0" w:space="0" w:color="auto"/>
        <w:right w:val="none" w:sz="0" w:space="0" w:color="auto"/>
      </w:divBdr>
    </w:div>
    <w:div w:id="838689886">
      <w:bodyDiv w:val="1"/>
      <w:marLeft w:val="0"/>
      <w:marRight w:val="0"/>
      <w:marTop w:val="0"/>
      <w:marBottom w:val="0"/>
      <w:divBdr>
        <w:top w:val="none" w:sz="0" w:space="0" w:color="auto"/>
        <w:left w:val="none" w:sz="0" w:space="0" w:color="auto"/>
        <w:bottom w:val="none" w:sz="0" w:space="0" w:color="auto"/>
        <w:right w:val="none" w:sz="0" w:space="0" w:color="auto"/>
      </w:divBdr>
    </w:div>
    <w:div w:id="838809643">
      <w:bodyDiv w:val="1"/>
      <w:marLeft w:val="0"/>
      <w:marRight w:val="0"/>
      <w:marTop w:val="0"/>
      <w:marBottom w:val="0"/>
      <w:divBdr>
        <w:top w:val="none" w:sz="0" w:space="0" w:color="auto"/>
        <w:left w:val="none" w:sz="0" w:space="0" w:color="auto"/>
        <w:bottom w:val="none" w:sz="0" w:space="0" w:color="auto"/>
        <w:right w:val="none" w:sz="0" w:space="0" w:color="auto"/>
      </w:divBdr>
    </w:div>
    <w:div w:id="838884961">
      <w:bodyDiv w:val="1"/>
      <w:marLeft w:val="0"/>
      <w:marRight w:val="0"/>
      <w:marTop w:val="0"/>
      <w:marBottom w:val="0"/>
      <w:divBdr>
        <w:top w:val="none" w:sz="0" w:space="0" w:color="auto"/>
        <w:left w:val="none" w:sz="0" w:space="0" w:color="auto"/>
        <w:bottom w:val="none" w:sz="0" w:space="0" w:color="auto"/>
        <w:right w:val="none" w:sz="0" w:space="0" w:color="auto"/>
      </w:divBdr>
    </w:div>
    <w:div w:id="838886719">
      <w:bodyDiv w:val="1"/>
      <w:marLeft w:val="0"/>
      <w:marRight w:val="0"/>
      <w:marTop w:val="0"/>
      <w:marBottom w:val="0"/>
      <w:divBdr>
        <w:top w:val="none" w:sz="0" w:space="0" w:color="auto"/>
        <w:left w:val="none" w:sz="0" w:space="0" w:color="auto"/>
        <w:bottom w:val="none" w:sz="0" w:space="0" w:color="auto"/>
        <w:right w:val="none" w:sz="0" w:space="0" w:color="auto"/>
      </w:divBdr>
    </w:div>
    <w:div w:id="838891789">
      <w:bodyDiv w:val="1"/>
      <w:marLeft w:val="0"/>
      <w:marRight w:val="0"/>
      <w:marTop w:val="0"/>
      <w:marBottom w:val="0"/>
      <w:divBdr>
        <w:top w:val="none" w:sz="0" w:space="0" w:color="auto"/>
        <w:left w:val="none" w:sz="0" w:space="0" w:color="auto"/>
        <w:bottom w:val="none" w:sz="0" w:space="0" w:color="auto"/>
        <w:right w:val="none" w:sz="0" w:space="0" w:color="auto"/>
      </w:divBdr>
    </w:div>
    <w:div w:id="839001806">
      <w:bodyDiv w:val="1"/>
      <w:marLeft w:val="0"/>
      <w:marRight w:val="0"/>
      <w:marTop w:val="0"/>
      <w:marBottom w:val="0"/>
      <w:divBdr>
        <w:top w:val="none" w:sz="0" w:space="0" w:color="auto"/>
        <w:left w:val="none" w:sz="0" w:space="0" w:color="auto"/>
        <w:bottom w:val="none" w:sz="0" w:space="0" w:color="auto"/>
        <w:right w:val="none" w:sz="0" w:space="0" w:color="auto"/>
      </w:divBdr>
    </w:div>
    <w:div w:id="839008452">
      <w:bodyDiv w:val="1"/>
      <w:marLeft w:val="0"/>
      <w:marRight w:val="0"/>
      <w:marTop w:val="0"/>
      <w:marBottom w:val="0"/>
      <w:divBdr>
        <w:top w:val="none" w:sz="0" w:space="0" w:color="auto"/>
        <w:left w:val="none" w:sz="0" w:space="0" w:color="auto"/>
        <w:bottom w:val="none" w:sz="0" w:space="0" w:color="auto"/>
        <w:right w:val="none" w:sz="0" w:space="0" w:color="auto"/>
      </w:divBdr>
    </w:div>
    <w:div w:id="839009121">
      <w:bodyDiv w:val="1"/>
      <w:marLeft w:val="0"/>
      <w:marRight w:val="0"/>
      <w:marTop w:val="0"/>
      <w:marBottom w:val="0"/>
      <w:divBdr>
        <w:top w:val="none" w:sz="0" w:space="0" w:color="auto"/>
        <w:left w:val="none" w:sz="0" w:space="0" w:color="auto"/>
        <w:bottom w:val="none" w:sz="0" w:space="0" w:color="auto"/>
        <w:right w:val="none" w:sz="0" w:space="0" w:color="auto"/>
      </w:divBdr>
    </w:div>
    <w:div w:id="839080766">
      <w:bodyDiv w:val="1"/>
      <w:marLeft w:val="0"/>
      <w:marRight w:val="0"/>
      <w:marTop w:val="0"/>
      <w:marBottom w:val="0"/>
      <w:divBdr>
        <w:top w:val="none" w:sz="0" w:space="0" w:color="auto"/>
        <w:left w:val="none" w:sz="0" w:space="0" w:color="auto"/>
        <w:bottom w:val="none" w:sz="0" w:space="0" w:color="auto"/>
        <w:right w:val="none" w:sz="0" w:space="0" w:color="auto"/>
      </w:divBdr>
    </w:div>
    <w:div w:id="839124658">
      <w:bodyDiv w:val="1"/>
      <w:marLeft w:val="0"/>
      <w:marRight w:val="0"/>
      <w:marTop w:val="0"/>
      <w:marBottom w:val="0"/>
      <w:divBdr>
        <w:top w:val="none" w:sz="0" w:space="0" w:color="auto"/>
        <w:left w:val="none" w:sz="0" w:space="0" w:color="auto"/>
        <w:bottom w:val="none" w:sz="0" w:space="0" w:color="auto"/>
        <w:right w:val="none" w:sz="0" w:space="0" w:color="auto"/>
      </w:divBdr>
    </w:div>
    <w:div w:id="839154273">
      <w:bodyDiv w:val="1"/>
      <w:marLeft w:val="0"/>
      <w:marRight w:val="0"/>
      <w:marTop w:val="0"/>
      <w:marBottom w:val="0"/>
      <w:divBdr>
        <w:top w:val="none" w:sz="0" w:space="0" w:color="auto"/>
        <w:left w:val="none" w:sz="0" w:space="0" w:color="auto"/>
        <w:bottom w:val="none" w:sz="0" w:space="0" w:color="auto"/>
        <w:right w:val="none" w:sz="0" w:space="0" w:color="auto"/>
      </w:divBdr>
    </w:div>
    <w:div w:id="839195023">
      <w:bodyDiv w:val="1"/>
      <w:marLeft w:val="0"/>
      <w:marRight w:val="0"/>
      <w:marTop w:val="0"/>
      <w:marBottom w:val="0"/>
      <w:divBdr>
        <w:top w:val="none" w:sz="0" w:space="0" w:color="auto"/>
        <w:left w:val="none" w:sz="0" w:space="0" w:color="auto"/>
        <w:bottom w:val="none" w:sz="0" w:space="0" w:color="auto"/>
        <w:right w:val="none" w:sz="0" w:space="0" w:color="auto"/>
      </w:divBdr>
    </w:div>
    <w:div w:id="839273810">
      <w:bodyDiv w:val="1"/>
      <w:marLeft w:val="0"/>
      <w:marRight w:val="0"/>
      <w:marTop w:val="0"/>
      <w:marBottom w:val="0"/>
      <w:divBdr>
        <w:top w:val="none" w:sz="0" w:space="0" w:color="auto"/>
        <w:left w:val="none" w:sz="0" w:space="0" w:color="auto"/>
        <w:bottom w:val="none" w:sz="0" w:space="0" w:color="auto"/>
        <w:right w:val="none" w:sz="0" w:space="0" w:color="auto"/>
      </w:divBdr>
    </w:div>
    <w:div w:id="839320358">
      <w:bodyDiv w:val="1"/>
      <w:marLeft w:val="0"/>
      <w:marRight w:val="0"/>
      <w:marTop w:val="0"/>
      <w:marBottom w:val="0"/>
      <w:divBdr>
        <w:top w:val="none" w:sz="0" w:space="0" w:color="auto"/>
        <w:left w:val="none" w:sz="0" w:space="0" w:color="auto"/>
        <w:bottom w:val="none" w:sz="0" w:space="0" w:color="auto"/>
        <w:right w:val="none" w:sz="0" w:space="0" w:color="auto"/>
      </w:divBdr>
    </w:div>
    <w:div w:id="839469932">
      <w:bodyDiv w:val="1"/>
      <w:marLeft w:val="0"/>
      <w:marRight w:val="0"/>
      <w:marTop w:val="0"/>
      <w:marBottom w:val="0"/>
      <w:divBdr>
        <w:top w:val="none" w:sz="0" w:space="0" w:color="auto"/>
        <w:left w:val="none" w:sz="0" w:space="0" w:color="auto"/>
        <w:bottom w:val="none" w:sz="0" w:space="0" w:color="auto"/>
        <w:right w:val="none" w:sz="0" w:space="0" w:color="auto"/>
      </w:divBdr>
    </w:div>
    <w:div w:id="839583197">
      <w:bodyDiv w:val="1"/>
      <w:marLeft w:val="0"/>
      <w:marRight w:val="0"/>
      <w:marTop w:val="0"/>
      <w:marBottom w:val="0"/>
      <w:divBdr>
        <w:top w:val="none" w:sz="0" w:space="0" w:color="auto"/>
        <w:left w:val="none" w:sz="0" w:space="0" w:color="auto"/>
        <w:bottom w:val="none" w:sz="0" w:space="0" w:color="auto"/>
        <w:right w:val="none" w:sz="0" w:space="0" w:color="auto"/>
      </w:divBdr>
    </w:div>
    <w:div w:id="839585387">
      <w:bodyDiv w:val="1"/>
      <w:marLeft w:val="0"/>
      <w:marRight w:val="0"/>
      <w:marTop w:val="0"/>
      <w:marBottom w:val="0"/>
      <w:divBdr>
        <w:top w:val="none" w:sz="0" w:space="0" w:color="auto"/>
        <w:left w:val="none" w:sz="0" w:space="0" w:color="auto"/>
        <w:bottom w:val="none" w:sz="0" w:space="0" w:color="auto"/>
        <w:right w:val="none" w:sz="0" w:space="0" w:color="auto"/>
      </w:divBdr>
    </w:div>
    <w:div w:id="839656087">
      <w:bodyDiv w:val="1"/>
      <w:marLeft w:val="0"/>
      <w:marRight w:val="0"/>
      <w:marTop w:val="0"/>
      <w:marBottom w:val="0"/>
      <w:divBdr>
        <w:top w:val="none" w:sz="0" w:space="0" w:color="auto"/>
        <w:left w:val="none" w:sz="0" w:space="0" w:color="auto"/>
        <w:bottom w:val="none" w:sz="0" w:space="0" w:color="auto"/>
        <w:right w:val="none" w:sz="0" w:space="0" w:color="auto"/>
      </w:divBdr>
    </w:div>
    <w:div w:id="839734458">
      <w:bodyDiv w:val="1"/>
      <w:marLeft w:val="0"/>
      <w:marRight w:val="0"/>
      <w:marTop w:val="0"/>
      <w:marBottom w:val="0"/>
      <w:divBdr>
        <w:top w:val="none" w:sz="0" w:space="0" w:color="auto"/>
        <w:left w:val="none" w:sz="0" w:space="0" w:color="auto"/>
        <w:bottom w:val="none" w:sz="0" w:space="0" w:color="auto"/>
        <w:right w:val="none" w:sz="0" w:space="0" w:color="auto"/>
      </w:divBdr>
    </w:div>
    <w:div w:id="839737037">
      <w:bodyDiv w:val="1"/>
      <w:marLeft w:val="0"/>
      <w:marRight w:val="0"/>
      <w:marTop w:val="0"/>
      <w:marBottom w:val="0"/>
      <w:divBdr>
        <w:top w:val="none" w:sz="0" w:space="0" w:color="auto"/>
        <w:left w:val="none" w:sz="0" w:space="0" w:color="auto"/>
        <w:bottom w:val="none" w:sz="0" w:space="0" w:color="auto"/>
        <w:right w:val="none" w:sz="0" w:space="0" w:color="auto"/>
      </w:divBdr>
    </w:div>
    <w:div w:id="839856777">
      <w:bodyDiv w:val="1"/>
      <w:marLeft w:val="0"/>
      <w:marRight w:val="0"/>
      <w:marTop w:val="0"/>
      <w:marBottom w:val="0"/>
      <w:divBdr>
        <w:top w:val="none" w:sz="0" w:space="0" w:color="auto"/>
        <w:left w:val="none" w:sz="0" w:space="0" w:color="auto"/>
        <w:bottom w:val="none" w:sz="0" w:space="0" w:color="auto"/>
        <w:right w:val="none" w:sz="0" w:space="0" w:color="auto"/>
      </w:divBdr>
    </w:div>
    <w:div w:id="839975411">
      <w:bodyDiv w:val="1"/>
      <w:marLeft w:val="0"/>
      <w:marRight w:val="0"/>
      <w:marTop w:val="0"/>
      <w:marBottom w:val="0"/>
      <w:divBdr>
        <w:top w:val="none" w:sz="0" w:space="0" w:color="auto"/>
        <w:left w:val="none" w:sz="0" w:space="0" w:color="auto"/>
        <w:bottom w:val="none" w:sz="0" w:space="0" w:color="auto"/>
        <w:right w:val="none" w:sz="0" w:space="0" w:color="auto"/>
      </w:divBdr>
    </w:div>
    <w:div w:id="840000942">
      <w:bodyDiv w:val="1"/>
      <w:marLeft w:val="0"/>
      <w:marRight w:val="0"/>
      <w:marTop w:val="0"/>
      <w:marBottom w:val="0"/>
      <w:divBdr>
        <w:top w:val="none" w:sz="0" w:space="0" w:color="auto"/>
        <w:left w:val="none" w:sz="0" w:space="0" w:color="auto"/>
        <w:bottom w:val="none" w:sz="0" w:space="0" w:color="auto"/>
        <w:right w:val="none" w:sz="0" w:space="0" w:color="auto"/>
      </w:divBdr>
    </w:div>
    <w:div w:id="840045639">
      <w:bodyDiv w:val="1"/>
      <w:marLeft w:val="0"/>
      <w:marRight w:val="0"/>
      <w:marTop w:val="0"/>
      <w:marBottom w:val="0"/>
      <w:divBdr>
        <w:top w:val="none" w:sz="0" w:space="0" w:color="auto"/>
        <w:left w:val="none" w:sz="0" w:space="0" w:color="auto"/>
        <w:bottom w:val="none" w:sz="0" w:space="0" w:color="auto"/>
        <w:right w:val="none" w:sz="0" w:space="0" w:color="auto"/>
      </w:divBdr>
    </w:div>
    <w:div w:id="840194985">
      <w:bodyDiv w:val="1"/>
      <w:marLeft w:val="0"/>
      <w:marRight w:val="0"/>
      <w:marTop w:val="0"/>
      <w:marBottom w:val="0"/>
      <w:divBdr>
        <w:top w:val="none" w:sz="0" w:space="0" w:color="auto"/>
        <w:left w:val="none" w:sz="0" w:space="0" w:color="auto"/>
        <w:bottom w:val="none" w:sz="0" w:space="0" w:color="auto"/>
        <w:right w:val="none" w:sz="0" w:space="0" w:color="auto"/>
      </w:divBdr>
    </w:div>
    <w:div w:id="840197884">
      <w:bodyDiv w:val="1"/>
      <w:marLeft w:val="0"/>
      <w:marRight w:val="0"/>
      <w:marTop w:val="0"/>
      <w:marBottom w:val="0"/>
      <w:divBdr>
        <w:top w:val="none" w:sz="0" w:space="0" w:color="auto"/>
        <w:left w:val="none" w:sz="0" w:space="0" w:color="auto"/>
        <w:bottom w:val="none" w:sz="0" w:space="0" w:color="auto"/>
        <w:right w:val="none" w:sz="0" w:space="0" w:color="auto"/>
      </w:divBdr>
    </w:div>
    <w:div w:id="840268638">
      <w:bodyDiv w:val="1"/>
      <w:marLeft w:val="0"/>
      <w:marRight w:val="0"/>
      <w:marTop w:val="0"/>
      <w:marBottom w:val="0"/>
      <w:divBdr>
        <w:top w:val="none" w:sz="0" w:space="0" w:color="auto"/>
        <w:left w:val="none" w:sz="0" w:space="0" w:color="auto"/>
        <w:bottom w:val="none" w:sz="0" w:space="0" w:color="auto"/>
        <w:right w:val="none" w:sz="0" w:space="0" w:color="auto"/>
      </w:divBdr>
    </w:div>
    <w:div w:id="840316496">
      <w:bodyDiv w:val="1"/>
      <w:marLeft w:val="0"/>
      <w:marRight w:val="0"/>
      <w:marTop w:val="0"/>
      <w:marBottom w:val="0"/>
      <w:divBdr>
        <w:top w:val="none" w:sz="0" w:space="0" w:color="auto"/>
        <w:left w:val="none" w:sz="0" w:space="0" w:color="auto"/>
        <w:bottom w:val="none" w:sz="0" w:space="0" w:color="auto"/>
        <w:right w:val="none" w:sz="0" w:space="0" w:color="auto"/>
      </w:divBdr>
    </w:div>
    <w:div w:id="840319538">
      <w:bodyDiv w:val="1"/>
      <w:marLeft w:val="0"/>
      <w:marRight w:val="0"/>
      <w:marTop w:val="0"/>
      <w:marBottom w:val="0"/>
      <w:divBdr>
        <w:top w:val="none" w:sz="0" w:space="0" w:color="auto"/>
        <w:left w:val="none" w:sz="0" w:space="0" w:color="auto"/>
        <w:bottom w:val="none" w:sz="0" w:space="0" w:color="auto"/>
        <w:right w:val="none" w:sz="0" w:space="0" w:color="auto"/>
      </w:divBdr>
    </w:div>
    <w:div w:id="840434988">
      <w:bodyDiv w:val="1"/>
      <w:marLeft w:val="0"/>
      <w:marRight w:val="0"/>
      <w:marTop w:val="0"/>
      <w:marBottom w:val="0"/>
      <w:divBdr>
        <w:top w:val="none" w:sz="0" w:space="0" w:color="auto"/>
        <w:left w:val="none" w:sz="0" w:space="0" w:color="auto"/>
        <w:bottom w:val="none" w:sz="0" w:space="0" w:color="auto"/>
        <w:right w:val="none" w:sz="0" w:space="0" w:color="auto"/>
      </w:divBdr>
    </w:div>
    <w:div w:id="840506753">
      <w:bodyDiv w:val="1"/>
      <w:marLeft w:val="0"/>
      <w:marRight w:val="0"/>
      <w:marTop w:val="0"/>
      <w:marBottom w:val="0"/>
      <w:divBdr>
        <w:top w:val="none" w:sz="0" w:space="0" w:color="auto"/>
        <w:left w:val="none" w:sz="0" w:space="0" w:color="auto"/>
        <w:bottom w:val="none" w:sz="0" w:space="0" w:color="auto"/>
        <w:right w:val="none" w:sz="0" w:space="0" w:color="auto"/>
      </w:divBdr>
    </w:div>
    <w:div w:id="840581592">
      <w:bodyDiv w:val="1"/>
      <w:marLeft w:val="0"/>
      <w:marRight w:val="0"/>
      <w:marTop w:val="0"/>
      <w:marBottom w:val="0"/>
      <w:divBdr>
        <w:top w:val="none" w:sz="0" w:space="0" w:color="auto"/>
        <w:left w:val="none" w:sz="0" w:space="0" w:color="auto"/>
        <w:bottom w:val="none" w:sz="0" w:space="0" w:color="auto"/>
        <w:right w:val="none" w:sz="0" w:space="0" w:color="auto"/>
      </w:divBdr>
    </w:div>
    <w:div w:id="840701692">
      <w:bodyDiv w:val="1"/>
      <w:marLeft w:val="0"/>
      <w:marRight w:val="0"/>
      <w:marTop w:val="0"/>
      <w:marBottom w:val="0"/>
      <w:divBdr>
        <w:top w:val="none" w:sz="0" w:space="0" w:color="auto"/>
        <w:left w:val="none" w:sz="0" w:space="0" w:color="auto"/>
        <w:bottom w:val="none" w:sz="0" w:space="0" w:color="auto"/>
        <w:right w:val="none" w:sz="0" w:space="0" w:color="auto"/>
      </w:divBdr>
    </w:div>
    <w:div w:id="840701999">
      <w:bodyDiv w:val="1"/>
      <w:marLeft w:val="0"/>
      <w:marRight w:val="0"/>
      <w:marTop w:val="0"/>
      <w:marBottom w:val="0"/>
      <w:divBdr>
        <w:top w:val="none" w:sz="0" w:space="0" w:color="auto"/>
        <w:left w:val="none" w:sz="0" w:space="0" w:color="auto"/>
        <w:bottom w:val="none" w:sz="0" w:space="0" w:color="auto"/>
        <w:right w:val="none" w:sz="0" w:space="0" w:color="auto"/>
      </w:divBdr>
    </w:div>
    <w:div w:id="840705413">
      <w:bodyDiv w:val="1"/>
      <w:marLeft w:val="0"/>
      <w:marRight w:val="0"/>
      <w:marTop w:val="0"/>
      <w:marBottom w:val="0"/>
      <w:divBdr>
        <w:top w:val="none" w:sz="0" w:space="0" w:color="auto"/>
        <w:left w:val="none" w:sz="0" w:space="0" w:color="auto"/>
        <w:bottom w:val="none" w:sz="0" w:space="0" w:color="auto"/>
        <w:right w:val="none" w:sz="0" w:space="0" w:color="auto"/>
      </w:divBdr>
    </w:div>
    <w:div w:id="840848857">
      <w:bodyDiv w:val="1"/>
      <w:marLeft w:val="0"/>
      <w:marRight w:val="0"/>
      <w:marTop w:val="0"/>
      <w:marBottom w:val="0"/>
      <w:divBdr>
        <w:top w:val="none" w:sz="0" w:space="0" w:color="auto"/>
        <w:left w:val="none" w:sz="0" w:space="0" w:color="auto"/>
        <w:bottom w:val="none" w:sz="0" w:space="0" w:color="auto"/>
        <w:right w:val="none" w:sz="0" w:space="0" w:color="auto"/>
      </w:divBdr>
    </w:div>
    <w:div w:id="840849684">
      <w:bodyDiv w:val="1"/>
      <w:marLeft w:val="0"/>
      <w:marRight w:val="0"/>
      <w:marTop w:val="0"/>
      <w:marBottom w:val="0"/>
      <w:divBdr>
        <w:top w:val="none" w:sz="0" w:space="0" w:color="auto"/>
        <w:left w:val="none" w:sz="0" w:space="0" w:color="auto"/>
        <w:bottom w:val="none" w:sz="0" w:space="0" w:color="auto"/>
        <w:right w:val="none" w:sz="0" w:space="0" w:color="auto"/>
      </w:divBdr>
    </w:div>
    <w:div w:id="840924898">
      <w:bodyDiv w:val="1"/>
      <w:marLeft w:val="0"/>
      <w:marRight w:val="0"/>
      <w:marTop w:val="0"/>
      <w:marBottom w:val="0"/>
      <w:divBdr>
        <w:top w:val="none" w:sz="0" w:space="0" w:color="auto"/>
        <w:left w:val="none" w:sz="0" w:space="0" w:color="auto"/>
        <w:bottom w:val="none" w:sz="0" w:space="0" w:color="auto"/>
        <w:right w:val="none" w:sz="0" w:space="0" w:color="auto"/>
      </w:divBdr>
    </w:div>
    <w:div w:id="840974698">
      <w:bodyDiv w:val="1"/>
      <w:marLeft w:val="0"/>
      <w:marRight w:val="0"/>
      <w:marTop w:val="0"/>
      <w:marBottom w:val="0"/>
      <w:divBdr>
        <w:top w:val="none" w:sz="0" w:space="0" w:color="auto"/>
        <w:left w:val="none" w:sz="0" w:space="0" w:color="auto"/>
        <w:bottom w:val="none" w:sz="0" w:space="0" w:color="auto"/>
        <w:right w:val="none" w:sz="0" w:space="0" w:color="auto"/>
      </w:divBdr>
    </w:div>
    <w:div w:id="840975041">
      <w:bodyDiv w:val="1"/>
      <w:marLeft w:val="0"/>
      <w:marRight w:val="0"/>
      <w:marTop w:val="0"/>
      <w:marBottom w:val="0"/>
      <w:divBdr>
        <w:top w:val="none" w:sz="0" w:space="0" w:color="auto"/>
        <w:left w:val="none" w:sz="0" w:space="0" w:color="auto"/>
        <w:bottom w:val="none" w:sz="0" w:space="0" w:color="auto"/>
        <w:right w:val="none" w:sz="0" w:space="0" w:color="auto"/>
      </w:divBdr>
    </w:div>
    <w:div w:id="841042613">
      <w:bodyDiv w:val="1"/>
      <w:marLeft w:val="0"/>
      <w:marRight w:val="0"/>
      <w:marTop w:val="0"/>
      <w:marBottom w:val="0"/>
      <w:divBdr>
        <w:top w:val="none" w:sz="0" w:space="0" w:color="auto"/>
        <w:left w:val="none" w:sz="0" w:space="0" w:color="auto"/>
        <w:bottom w:val="none" w:sz="0" w:space="0" w:color="auto"/>
        <w:right w:val="none" w:sz="0" w:space="0" w:color="auto"/>
      </w:divBdr>
    </w:div>
    <w:div w:id="841163753">
      <w:bodyDiv w:val="1"/>
      <w:marLeft w:val="0"/>
      <w:marRight w:val="0"/>
      <w:marTop w:val="0"/>
      <w:marBottom w:val="0"/>
      <w:divBdr>
        <w:top w:val="none" w:sz="0" w:space="0" w:color="auto"/>
        <w:left w:val="none" w:sz="0" w:space="0" w:color="auto"/>
        <w:bottom w:val="none" w:sz="0" w:space="0" w:color="auto"/>
        <w:right w:val="none" w:sz="0" w:space="0" w:color="auto"/>
      </w:divBdr>
    </w:div>
    <w:div w:id="841165496">
      <w:bodyDiv w:val="1"/>
      <w:marLeft w:val="0"/>
      <w:marRight w:val="0"/>
      <w:marTop w:val="0"/>
      <w:marBottom w:val="0"/>
      <w:divBdr>
        <w:top w:val="none" w:sz="0" w:space="0" w:color="auto"/>
        <w:left w:val="none" w:sz="0" w:space="0" w:color="auto"/>
        <w:bottom w:val="none" w:sz="0" w:space="0" w:color="auto"/>
        <w:right w:val="none" w:sz="0" w:space="0" w:color="auto"/>
      </w:divBdr>
    </w:div>
    <w:div w:id="841236025">
      <w:bodyDiv w:val="1"/>
      <w:marLeft w:val="0"/>
      <w:marRight w:val="0"/>
      <w:marTop w:val="0"/>
      <w:marBottom w:val="0"/>
      <w:divBdr>
        <w:top w:val="none" w:sz="0" w:space="0" w:color="auto"/>
        <w:left w:val="none" w:sz="0" w:space="0" w:color="auto"/>
        <w:bottom w:val="none" w:sz="0" w:space="0" w:color="auto"/>
        <w:right w:val="none" w:sz="0" w:space="0" w:color="auto"/>
      </w:divBdr>
    </w:div>
    <w:div w:id="841237507">
      <w:bodyDiv w:val="1"/>
      <w:marLeft w:val="0"/>
      <w:marRight w:val="0"/>
      <w:marTop w:val="0"/>
      <w:marBottom w:val="0"/>
      <w:divBdr>
        <w:top w:val="none" w:sz="0" w:space="0" w:color="auto"/>
        <w:left w:val="none" w:sz="0" w:space="0" w:color="auto"/>
        <w:bottom w:val="none" w:sz="0" w:space="0" w:color="auto"/>
        <w:right w:val="none" w:sz="0" w:space="0" w:color="auto"/>
      </w:divBdr>
    </w:div>
    <w:div w:id="841555026">
      <w:bodyDiv w:val="1"/>
      <w:marLeft w:val="0"/>
      <w:marRight w:val="0"/>
      <w:marTop w:val="0"/>
      <w:marBottom w:val="0"/>
      <w:divBdr>
        <w:top w:val="none" w:sz="0" w:space="0" w:color="auto"/>
        <w:left w:val="none" w:sz="0" w:space="0" w:color="auto"/>
        <w:bottom w:val="none" w:sz="0" w:space="0" w:color="auto"/>
        <w:right w:val="none" w:sz="0" w:space="0" w:color="auto"/>
      </w:divBdr>
    </w:div>
    <w:div w:id="841744432">
      <w:bodyDiv w:val="1"/>
      <w:marLeft w:val="0"/>
      <w:marRight w:val="0"/>
      <w:marTop w:val="0"/>
      <w:marBottom w:val="0"/>
      <w:divBdr>
        <w:top w:val="none" w:sz="0" w:space="0" w:color="auto"/>
        <w:left w:val="none" w:sz="0" w:space="0" w:color="auto"/>
        <w:bottom w:val="none" w:sz="0" w:space="0" w:color="auto"/>
        <w:right w:val="none" w:sz="0" w:space="0" w:color="auto"/>
      </w:divBdr>
    </w:div>
    <w:div w:id="841824027">
      <w:bodyDiv w:val="1"/>
      <w:marLeft w:val="0"/>
      <w:marRight w:val="0"/>
      <w:marTop w:val="0"/>
      <w:marBottom w:val="0"/>
      <w:divBdr>
        <w:top w:val="none" w:sz="0" w:space="0" w:color="auto"/>
        <w:left w:val="none" w:sz="0" w:space="0" w:color="auto"/>
        <w:bottom w:val="none" w:sz="0" w:space="0" w:color="auto"/>
        <w:right w:val="none" w:sz="0" w:space="0" w:color="auto"/>
      </w:divBdr>
    </w:div>
    <w:div w:id="841970744">
      <w:bodyDiv w:val="1"/>
      <w:marLeft w:val="0"/>
      <w:marRight w:val="0"/>
      <w:marTop w:val="0"/>
      <w:marBottom w:val="0"/>
      <w:divBdr>
        <w:top w:val="none" w:sz="0" w:space="0" w:color="auto"/>
        <w:left w:val="none" w:sz="0" w:space="0" w:color="auto"/>
        <w:bottom w:val="none" w:sz="0" w:space="0" w:color="auto"/>
        <w:right w:val="none" w:sz="0" w:space="0" w:color="auto"/>
      </w:divBdr>
    </w:div>
    <w:div w:id="842010491">
      <w:bodyDiv w:val="1"/>
      <w:marLeft w:val="0"/>
      <w:marRight w:val="0"/>
      <w:marTop w:val="0"/>
      <w:marBottom w:val="0"/>
      <w:divBdr>
        <w:top w:val="none" w:sz="0" w:space="0" w:color="auto"/>
        <w:left w:val="none" w:sz="0" w:space="0" w:color="auto"/>
        <w:bottom w:val="none" w:sz="0" w:space="0" w:color="auto"/>
        <w:right w:val="none" w:sz="0" w:space="0" w:color="auto"/>
      </w:divBdr>
    </w:div>
    <w:div w:id="842014246">
      <w:bodyDiv w:val="1"/>
      <w:marLeft w:val="0"/>
      <w:marRight w:val="0"/>
      <w:marTop w:val="0"/>
      <w:marBottom w:val="0"/>
      <w:divBdr>
        <w:top w:val="none" w:sz="0" w:space="0" w:color="auto"/>
        <w:left w:val="none" w:sz="0" w:space="0" w:color="auto"/>
        <w:bottom w:val="none" w:sz="0" w:space="0" w:color="auto"/>
        <w:right w:val="none" w:sz="0" w:space="0" w:color="auto"/>
      </w:divBdr>
    </w:div>
    <w:div w:id="842160865">
      <w:bodyDiv w:val="1"/>
      <w:marLeft w:val="0"/>
      <w:marRight w:val="0"/>
      <w:marTop w:val="0"/>
      <w:marBottom w:val="0"/>
      <w:divBdr>
        <w:top w:val="none" w:sz="0" w:space="0" w:color="auto"/>
        <w:left w:val="none" w:sz="0" w:space="0" w:color="auto"/>
        <w:bottom w:val="none" w:sz="0" w:space="0" w:color="auto"/>
        <w:right w:val="none" w:sz="0" w:space="0" w:color="auto"/>
      </w:divBdr>
    </w:div>
    <w:div w:id="842162330">
      <w:bodyDiv w:val="1"/>
      <w:marLeft w:val="0"/>
      <w:marRight w:val="0"/>
      <w:marTop w:val="0"/>
      <w:marBottom w:val="0"/>
      <w:divBdr>
        <w:top w:val="none" w:sz="0" w:space="0" w:color="auto"/>
        <w:left w:val="none" w:sz="0" w:space="0" w:color="auto"/>
        <w:bottom w:val="none" w:sz="0" w:space="0" w:color="auto"/>
        <w:right w:val="none" w:sz="0" w:space="0" w:color="auto"/>
      </w:divBdr>
    </w:div>
    <w:div w:id="842167340">
      <w:bodyDiv w:val="1"/>
      <w:marLeft w:val="0"/>
      <w:marRight w:val="0"/>
      <w:marTop w:val="0"/>
      <w:marBottom w:val="0"/>
      <w:divBdr>
        <w:top w:val="none" w:sz="0" w:space="0" w:color="auto"/>
        <w:left w:val="none" w:sz="0" w:space="0" w:color="auto"/>
        <w:bottom w:val="none" w:sz="0" w:space="0" w:color="auto"/>
        <w:right w:val="none" w:sz="0" w:space="0" w:color="auto"/>
      </w:divBdr>
    </w:div>
    <w:div w:id="842203915">
      <w:bodyDiv w:val="1"/>
      <w:marLeft w:val="0"/>
      <w:marRight w:val="0"/>
      <w:marTop w:val="0"/>
      <w:marBottom w:val="0"/>
      <w:divBdr>
        <w:top w:val="none" w:sz="0" w:space="0" w:color="auto"/>
        <w:left w:val="none" w:sz="0" w:space="0" w:color="auto"/>
        <w:bottom w:val="none" w:sz="0" w:space="0" w:color="auto"/>
        <w:right w:val="none" w:sz="0" w:space="0" w:color="auto"/>
      </w:divBdr>
    </w:div>
    <w:div w:id="842203997">
      <w:bodyDiv w:val="1"/>
      <w:marLeft w:val="0"/>
      <w:marRight w:val="0"/>
      <w:marTop w:val="0"/>
      <w:marBottom w:val="0"/>
      <w:divBdr>
        <w:top w:val="none" w:sz="0" w:space="0" w:color="auto"/>
        <w:left w:val="none" w:sz="0" w:space="0" w:color="auto"/>
        <w:bottom w:val="none" w:sz="0" w:space="0" w:color="auto"/>
        <w:right w:val="none" w:sz="0" w:space="0" w:color="auto"/>
      </w:divBdr>
    </w:div>
    <w:div w:id="842428407">
      <w:bodyDiv w:val="1"/>
      <w:marLeft w:val="0"/>
      <w:marRight w:val="0"/>
      <w:marTop w:val="0"/>
      <w:marBottom w:val="0"/>
      <w:divBdr>
        <w:top w:val="none" w:sz="0" w:space="0" w:color="auto"/>
        <w:left w:val="none" w:sz="0" w:space="0" w:color="auto"/>
        <w:bottom w:val="none" w:sz="0" w:space="0" w:color="auto"/>
        <w:right w:val="none" w:sz="0" w:space="0" w:color="auto"/>
      </w:divBdr>
    </w:div>
    <w:div w:id="842471521">
      <w:bodyDiv w:val="1"/>
      <w:marLeft w:val="0"/>
      <w:marRight w:val="0"/>
      <w:marTop w:val="0"/>
      <w:marBottom w:val="0"/>
      <w:divBdr>
        <w:top w:val="none" w:sz="0" w:space="0" w:color="auto"/>
        <w:left w:val="none" w:sz="0" w:space="0" w:color="auto"/>
        <w:bottom w:val="none" w:sz="0" w:space="0" w:color="auto"/>
        <w:right w:val="none" w:sz="0" w:space="0" w:color="auto"/>
      </w:divBdr>
    </w:div>
    <w:div w:id="842476143">
      <w:bodyDiv w:val="1"/>
      <w:marLeft w:val="0"/>
      <w:marRight w:val="0"/>
      <w:marTop w:val="0"/>
      <w:marBottom w:val="0"/>
      <w:divBdr>
        <w:top w:val="none" w:sz="0" w:space="0" w:color="auto"/>
        <w:left w:val="none" w:sz="0" w:space="0" w:color="auto"/>
        <w:bottom w:val="none" w:sz="0" w:space="0" w:color="auto"/>
        <w:right w:val="none" w:sz="0" w:space="0" w:color="auto"/>
      </w:divBdr>
    </w:div>
    <w:div w:id="842546425">
      <w:bodyDiv w:val="1"/>
      <w:marLeft w:val="0"/>
      <w:marRight w:val="0"/>
      <w:marTop w:val="0"/>
      <w:marBottom w:val="0"/>
      <w:divBdr>
        <w:top w:val="none" w:sz="0" w:space="0" w:color="auto"/>
        <w:left w:val="none" w:sz="0" w:space="0" w:color="auto"/>
        <w:bottom w:val="none" w:sz="0" w:space="0" w:color="auto"/>
        <w:right w:val="none" w:sz="0" w:space="0" w:color="auto"/>
      </w:divBdr>
    </w:div>
    <w:div w:id="842621303">
      <w:bodyDiv w:val="1"/>
      <w:marLeft w:val="0"/>
      <w:marRight w:val="0"/>
      <w:marTop w:val="0"/>
      <w:marBottom w:val="0"/>
      <w:divBdr>
        <w:top w:val="none" w:sz="0" w:space="0" w:color="auto"/>
        <w:left w:val="none" w:sz="0" w:space="0" w:color="auto"/>
        <w:bottom w:val="none" w:sz="0" w:space="0" w:color="auto"/>
        <w:right w:val="none" w:sz="0" w:space="0" w:color="auto"/>
      </w:divBdr>
    </w:div>
    <w:div w:id="842625814">
      <w:bodyDiv w:val="1"/>
      <w:marLeft w:val="0"/>
      <w:marRight w:val="0"/>
      <w:marTop w:val="0"/>
      <w:marBottom w:val="0"/>
      <w:divBdr>
        <w:top w:val="none" w:sz="0" w:space="0" w:color="auto"/>
        <w:left w:val="none" w:sz="0" w:space="0" w:color="auto"/>
        <w:bottom w:val="none" w:sz="0" w:space="0" w:color="auto"/>
        <w:right w:val="none" w:sz="0" w:space="0" w:color="auto"/>
      </w:divBdr>
    </w:div>
    <w:div w:id="842743749">
      <w:bodyDiv w:val="1"/>
      <w:marLeft w:val="0"/>
      <w:marRight w:val="0"/>
      <w:marTop w:val="0"/>
      <w:marBottom w:val="0"/>
      <w:divBdr>
        <w:top w:val="none" w:sz="0" w:space="0" w:color="auto"/>
        <w:left w:val="none" w:sz="0" w:space="0" w:color="auto"/>
        <w:bottom w:val="none" w:sz="0" w:space="0" w:color="auto"/>
        <w:right w:val="none" w:sz="0" w:space="0" w:color="auto"/>
      </w:divBdr>
    </w:div>
    <w:div w:id="842862731">
      <w:bodyDiv w:val="1"/>
      <w:marLeft w:val="0"/>
      <w:marRight w:val="0"/>
      <w:marTop w:val="0"/>
      <w:marBottom w:val="0"/>
      <w:divBdr>
        <w:top w:val="none" w:sz="0" w:space="0" w:color="auto"/>
        <w:left w:val="none" w:sz="0" w:space="0" w:color="auto"/>
        <w:bottom w:val="none" w:sz="0" w:space="0" w:color="auto"/>
        <w:right w:val="none" w:sz="0" w:space="0" w:color="auto"/>
      </w:divBdr>
    </w:div>
    <w:div w:id="843012631">
      <w:bodyDiv w:val="1"/>
      <w:marLeft w:val="0"/>
      <w:marRight w:val="0"/>
      <w:marTop w:val="0"/>
      <w:marBottom w:val="0"/>
      <w:divBdr>
        <w:top w:val="none" w:sz="0" w:space="0" w:color="auto"/>
        <w:left w:val="none" w:sz="0" w:space="0" w:color="auto"/>
        <w:bottom w:val="none" w:sz="0" w:space="0" w:color="auto"/>
        <w:right w:val="none" w:sz="0" w:space="0" w:color="auto"/>
      </w:divBdr>
    </w:div>
    <w:div w:id="843125773">
      <w:bodyDiv w:val="1"/>
      <w:marLeft w:val="0"/>
      <w:marRight w:val="0"/>
      <w:marTop w:val="0"/>
      <w:marBottom w:val="0"/>
      <w:divBdr>
        <w:top w:val="none" w:sz="0" w:space="0" w:color="auto"/>
        <w:left w:val="none" w:sz="0" w:space="0" w:color="auto"/>
        <w:bottom w:val="none" w:sz="0" w:space="0" w:color="auto"/>
        <w:right w:val="none" w:sz="0" w:space="0" w:color="auto"/>
      </w:divBdr>
    </w:div>
    <w:div w:id="843206827">
      <w:bodyDiv w:val="1"/>
      <w:marLeft w:val="0"/>
      <w:marRight w:val="0"/>
      <w:marTop w:val="0"/>
      <w:marBottom w:val="0"/>
      <w:divBdr>
        <w:top w:val="none" w:sz="0" w:space="0" w:color="auto"/>
        <w:left w:val="none" w:sz="0" w:space="0" w:color="auto"/>
        <w:bottom w:val="none" w:sz="0" w:space="0" w:color="auto"/>
        <w:right w:val="none" w:sz="0" w:space="0" w:color="auto"/>
      </w:divBdr>
    </w:div>
    <w:div w:id="843208340">
      <w:bodyDiv w:val="1"/>
      <w:marLeft w:val="0"/>
      <w:marRight w:val="0"/>
      <w:marTop w:val="0"/>
      <w:marBottom w:val="0"/>
      <w:divBdr>
        <w:top w:val="none" w:sz="0" w:space="0" w:color="auto"/>
        <w:left w:val="none" w:sz="0" w:space="0" w:color="auto"/>
        <w:bottom w:val="none" w:sz="0" w:space="0" w:color="auto"/>
        <w:right w:val="none" w:sz="0" w:space="0" w:color="auto"/>
      </w:divBdr>
    </w:div>
    <w:div w:id="843276957">
      <w:bodyDiv w:val="1"/>
      <w:marLeft w:val="0"/>
      <w:marRight w:val="0"/>
      <w:marTop w:val="0"/>
      <w:marBottom w:val="0"/>
      <w:divBdr>
        <w:top w:val="none" w:sz="0" w:space="0" w:color="auto"/>
        <w:left w:val="none" w:sz="0" w:space="0" w:color="auto"/>
        <w:bottom w:val="none" w:sz="0" w:space="0" w:color="auto"/>
        <w:right w:val="none" w:sz="0" w:space="0" w:color="auto"/>
      </w:divBdr>
    </w:div>
    <w:div w:id="843399614">
      <w:bodyDiv w:val="1"/>
      <w:marLeft w:val="0"/>
      <w:marRight w:val="0"/>
      <w:marTop w:val="0"/>
      <w:marBottom w:val="0"/>
      <w:divBdr>
        <w:top w:val="none" w:sz="0" w:space="0" w:color="auto"/>
        <w:left w:val="none" w:sz="0" w:space="0" w:color="auto"/>
        <w:bottom w:val="none" w:sz="0" w:space="0" w:color="auto"/>
        <w:right w:val="none" w:sz="0" w:space="0" w:color="auto"/>
      </w:divBdr>
    </w:div>
    <w:div w:id="843470351">
      <w:bodyDiv w:val="1"/>
      <w:marLeft w:val="0"/>
      <w:marRight w:val="0"/>
      <w:marTop w:val="0"/>
      <w:marBottom w:val="0"/>
      <w:divBdr>
        <w:top w:val="none" w:sz="0" w:space="0" w:color="auto"/>
        <w:left w:val="none" w:sz="0" w:space="0" w:color="auto"/>
        <w:bottom w:val="none" w:sz="0" w:space="0" w:color="auto"/>
        <w:right w:val="none" w:sz="0" w:space="0" w:color="auto"/>
      </w:divBdr>
    </w:div>
    <w:div w:id="843471195">
      <w:bodyDiv w:val="1"/>
      <w:marLeft w:val="0"/>
      <w:marRight w:val="0"/>
      <w:marTop w:val="0"/>
      <w:marBottom w:val="0"/>
      <w:divBdr>
        <w:top w:val="none" w:sz="0" w:space="0" w:color="auto"/>
        <w:left w:val="none" w:sz="0" w:space="0" w:color="auto"/>
        <w:bottom w:val="none" w:sz="0" w:space="0" w:color="auto"/>
        <w:right w:val="none" w:sz="0" w:space="0" w:color="auto"/>
      </w:divBdr>
    </w:div>
    <w:div w:id="843544790">
      <w:bodyDiv w:val="1"/>
      <w:marLeft w:val="0"/>
      <w:marRight w:val="0"/>
      <w:marTop w:val="0"/>
      <w:marBottom w:val="0"/>
      <w:divBdr>
        <w:top w:val="none" w:sz="0" w:space="0" w:color="auto"/>
        <w:left w:val="none" w:sz="0" w:space="0" w:color="auto"/>
        <w:bottom w:val="none" w:sz="0" w:space="0" w:color="auto"/>
        <w:right w:val="none" w:sz="0" w:space="0" w:color="auto"/>
      </w:divBdr>
    </w:div>
    <w:div w:id="843667991">
      <w:bodyDiv w:val="1"/>
      <w:marLeft w:val="0"/>
      <w:marRight w:val="0"/>
      <w:marTop w:val="0"/>
      <w:marBottom w:val="0"/>
      <w:divBdr>
        <w:top w:val="none" w:sz="0" w:space="0" w:color="auto"/>
        <w:left w:val="none" w:sz="0" w:space="0" w:color="auto"/>
        <w:bottom w:val="none" w:sz="0" w:space="0" w:color="auto"/>
        <w:right w:val="none" w:sz="0" w:space="0" w:color="auto"/>
      </w:divBdr>
    </w:div>
    <w:div w:id="843668510">
      <w:bodyDiv w:val="1"/>
      <w:marLeft w:val="0"/>
      <w:marRight w:val="0"/>
      <w:marTop w:val="0"/>
      <w:marBottom w:val="0"/>
      <w:divBdr>
        <w:top w:val="none" w:sz="0" w:space="0" w:color="auto"/>
        <w:left w:val="none" w:sz="0" w:space="0" w:color="auto"/>
        <w:bottom w:val="none" w:sz="0" w:space="0" w:color="auto"/>
        <w:right w:val="none" w:sz="0" w:space="0" w:color="auto"/>
      </w:divBdr>
    </w:div>
    <w:div w:id="843710588">
      <w:bodyDiv w:val="1"/>
      <w:marLeft w:val="0"/>
      <w:marRight w:val="0"/>
      <w:marTop w:val="0"/>
      <w:marBottom w:val="0"/>
      <w:divBdr>
        <w:top w:val="none" w:sz="0" w:space="0" w:color="auto"/>
        <w:left w:val="none" w:sz="0" w:space="0" w:color="auto"/>
        <w:bottom w:val="none" w:sz="0" w:space="0" w:color="auto"/>
        <w:right w:val="none" w:sz="0" w:space="0" w:color="auto"/>
      </w:divBdr>
    </w:div>
    <w:div w:id="843932000">
      <w:bodyDiv w:val="1"/>
      <w:marLeft w:val="0"/>
      <w:marRight w:val="0"/>
      <w:marTop w:val="0"/>
      <w:marBottom w:val="0"/>
      <w:divBdr>
        <w:top w:val="none" w:sz="0" w:space="0" w:color="auto"/>
        <w:left w:val="none" w:sz="0" w:space="0" w:color="auto"/>
        <w:bottom w:val="none" w:sz="0" w:space="0" w:color="auto"/>
        <w:right w:val="none" w:sz="0" w:space="0" w:color="auto"/>
      </w:divBdr>
    </w:div>
    <w:div w:id="843977100">
      <w:bodyDiv w:val="1"/>
      <w:marLeft w:val="0"/>
      <w:marRight w:val="0"/>
      <w:marTop w:val="0"/>
      <w:marBottom w:val="0"/>
      <w:divBdr>
        <w:top w:val="none" w:sz="0" w:space="0" w:color="auto"/>
        <w:left w:val="none" w:sz="0" w:space="0" w:color="auto"/>
        <w:bottom w:val="none" w:sz="0" w:space="0" w:color="auto"/>
        <w:right w:val="none" w:sz="0" w:space="0" w:color="auto"/>
      </w:divBdr>
    </w:div>
    <w:div w:id="843981112">
      <w:bodyDiv w:val="1"/>
      <w:marLeft w:val="0"/>
      <w:marRight w:val="0"/>
      <w:marTop w:val="0"/>
      <w:marBottom w:val="0"/>
      <w:divBdr>
        <w:top w:val="none" w:sz="0" w:space="0" w:color="auto"/>
        <w:left w:val="none" w:sz="0" w:space="0" w:color="auto"/>
        <w:bottom w:val="none" w:sz="0" w:space="0" w:color="auto"/>
        <w:right w:val="none" w:sz="0" w:space="0" w:color="auto"/>
      </w:divBdr>
    </w:div>
    <w:div w:id="844126932">
      <w:bodyDiv w:val="1"/>
      <w:marLeft w:val="0"/>
      <w:marRight w:val="0"/>
      <w:marTop w:val="0"/>
      <w:marBottom w:val="0"/>
      <w:divBdr>
        <w:top w:val="none" w:sz="0" w:space="0" w:color="auto"/>
        <w:left w:val="none" w:sz="0" w:space="0" w:color="auto"/>
        <w:bottom w:val="none" w:sz="0" w:space="0" w:color="auto"/>
        <w:right w:val="none" w:sz="0" w:space="0" w:color="auto"/>
      </w:divBdr>
    </w:div>
    <w:div w:id="844170579">
      <w:bodyDiv w:val="1"/>
      <w:marLeft w:val="0"/>
      <w:marRight w:val="0"/>
      <w:marTop w:val="0"/>
      <w:marBottom w:val="0"/>
      <w:divBdr>
        <w:top w:val="none" w:sz="0" w:space="0" w:color="auto"/>
        <w:left w:val="none" w:sz="0" w:space="0" w:color="auto"/>
        <w:bottom w:val="none" w:sz="0" w:space="0" w:color="auto"/>
        <w:right w:val="none" w:sz="0" w:space="0" w:color="auto"/>
      </w:divBdr>
    </w:div>
    <w:div w:id="844171648">
      <w:bodyDiv w:val="1"/>
      <w:marLeft w:val="0"/>
      <w:marRight w:val="0"/>
      <w:marTop w:val="0"/>
      <w:marBottom w:val="0"/>
      <w:divBdr>
        <w:top w:val="none" w:sz="0" w:space="0" w:color="auto"/>
        <w:left w:val="none" w:sz="0" w:space="0" w:color="auto"/>
        <w:bottom w:val="none" w:sz="0" w:space="0" w:color="auto"/>
        <w:right w:val="none" w:sz="0" w:space="0" w:color="auto"/>
      </w:divBdr>
    </w:div>
    <w:div w:id="844248338">
      <w:bodyDiv w:val="1"/>
      <w:marLeft w:val="0"/>
      <w:marRight w:val="0"/>
      <w:marTop w:val="0"/>
      <w:marBottom w:val="0"/>
      <w:divBdr>
        <w:top w:val="none" w:sz="0" w:space="0" w:color="auto"/>
        <w:left w:val="none" w:sz="0" w:space="0" w:color="auto"/>
        <w:bottom w:val="none" w:sz="0" w:space="0" w:color="auto"/>
        <w:right w:val="none" w:sz="0" w:space="0" w:color="auto"/>
      </w:divBdr>
    </w:div>
    <w:div w:id="844395053">
      <w:bodyDiv w:val="1"/>
      <w:marLeft w:val="0"/>
      <w:marRight w:val="0"/>
      <w:marTop w:val="0"/>
      <w:marBottom w:val="0"/>
      <w:divBdr>
        <w:top w:val="none" w:sz="0" w:space="0" w:color="auto"/>
        <w:left w:val="none" w:sz="0" w:space="0" w:color="auto"/>
        <w:bottom w:val="none" w:sz="0" w:space="0" w:color="auto"/>
        <w:right w:val="none" w:sz="0" w:space="0" w:color="auto"/>
      </w:divBdr>
    </w:div>
    <w:div w:id="844439524">
      <w:bodyDiv w:val="1"/>
      <w:marLeft w:val="0"/>
      <w:marRight w:val="0"/>
      <w:marTop w:val="0"/>
      <w:marBottom w:val="0"/>
      <w:divBdr>
        <w:top w:val="none" w:sz="0" w:space="0" w:color="auto"/>
        <w:left w:val="none" w:sz="0" w:space="0" w:color="auto"/>
        <w:bottom w:val="none" w:sz="0" w:space="0" w:color="auto"/>
        <w:right w:val="none" w:sz="0" w:space="0" w:color="auto"/>
      </w:divBdr>
    </w:div>
    <w:div w:id="844630320">
      <w:bodyDiv w:val="1"/>
      <w:marLeft w:val="0"/>
      <w:marRight w:val="0"/>
      <w:marTop w:val="0"/>
      <w:marBottom w:val="0"/>
      <w:divBdr>
        <w:top w:val="none" w:sz="0" w:space="0" w:color="auto"/>
        <w:left w:val="none" w:sz="0" w:space="0" w:color="auto"/>
        <w:bottom w:val="none" w:sz="0" w:space="0" w:color="auto"/>
        <w:right w:val="none" w:sz="0" w:space="0" w:color="auto"/>
      </w:divBdr>
    </w:div>
    <w:div w:id="844634856">
      <w:bodyDiv w:val="1"/>
      <w:marLeft w:val="0"/>
      <w:marRight w:val="0"/>
      <w:marTop w:val="0"/>
      <w:marBottom w:val="0"/>
      <w:divBdr>
        <w:top w:val="none" w:sz="0" w:space="0" w:color="auto"/>
        <w:left w:val="none" w:sz="0" w:space="0" w:color="auto"/>
        <w:bottom w:val="none" w:sz="0" w:space="0" w:color="auto"/>
        <w:right w:val="none" w:sz="0" w:space="0" w:color="auto"/>
      </w:divBdr>
    </w:div>
    <w:div w:id="844635820">
      <w:bodyDiv w:val="1"/>
      <w:marLeft w:val="0"/>
      <w:marRight w:val="0"/>
      <w:marTop w:val="0"/>
      <w:marBottom w:val="0"/>
      <w:divBdr>
        <w:top w:val="none" w:sz="0" w:space="0" w:color="auto"/>
        <w:left w:val="none" w:sz="0" w:space="0" w:color="auto"/>
        <w:bottom w:val="none" w:sz="0" w:space="0" w:color="auto"/>
        <w:right w:val="none" w:sz="0" w:space="0" w:color="auto"/>
      </w:divBdr>
    </w:div>
    <w:div w:id="844788771">
      <w:bodyDiv w:val="1"/>
      <w:marLeft w:val="0"/>
      <w:marRight w:val="0"/>
      <w:marTop w:val="0"/>
      <w:marBottom w:val="0"/>
      <w:divBdr>
        <w:top w:val="none" w:sz="0" w:space="0" w:color="auto"/>
        <w:left w:val="none" w:sz="0" w:space="0" w:color="auto"/>
        <w:bottom w:val="none" w:sz="0" w:space="0" w:color="auto"/>
        <w:right w:val="none" w:sz="0" w:space="0" w:color="auto"/>
      </w:divBdr>
    </w:div>
    <w:div w:id="844825407">
      <w:bodyDiv w:val="1"/>
      <w:marLeft w:val="0"/>
      <w:marRight w:val="0"/>
      <w:marTop w:val="0"/>
      <w:marBottom w:val="0"/>
      <w:divBdr>
        <w:top w:val="none" w:sz="0" w:space="0" w:color="auto"/>
        <w:left w:val="none" w:sz="0" w:space="0" w:color="auto"/>
        <w:bottom w:val="none" w:sz="0" w:space="0" w:color="auto"/>
        <w:right w:val="none" w:sz="0" w:space="0" w:color="auto"/>
      </w:divBdr>
    </w:div>
    <w:div w:id="844906302">
      <w:bodyDiv w:val="1"/>
      <w:marLeft w:val="0"/>
      <w:marRight w:val="0"/>
      <w:marTop w:val="0"/>
      <w:marBottom w:val="0"/>
      <w:divBdr>
        <w:top w:val="none" w:sz="0" w:space="0" w:color="auto"/>
        <w:left w:val="none" w:sz="0" w:space="0" w:color="auto"/>
        <w:bottom w:val="none" w:sz="0" w:space="0" w:color="auto"/>
        <w:right w:val="none" w:sz="0" w:space="0" w:color="auto"/>
      </w:divBdr>
    </w:div>
    <w:div w:id="845291974">
      <w:bodyDiv w:val="1"/>
      <w:marLeft w:val="0"/>
      <w:marRight w:val="0"/>
      <w:marTop w:val="0"/>
      <w:marBottom w:val="0"/>
      <w:divBdr>
        <w:top w:val="none" w:sz="0" w:space="0" w:color="auto"/>
        <w:left w:val="none" w:sz="0" w:space="0" w:color="auto"/>
        <w:bottom w:val="none" w:sz="0" w:space="0" w:color="auto"/>
        <w:right w:val="none" w:sz="0" w:space="0" w:color="auto"/>
      </w:divBdr>
    </w:div>
    <w:div w:id="845365684">
      <w:bodyDiv w:val="1"/>
      <w:marLeft w:val="0"/>
      <w:marRight w:val="0"/>
      <w:marTop w:val="0"/>
      <w:marBottom w:val="0"/>
      <w:divBdr>
        <w:top w:val="none" w:sz="0" w:space="0" w:color="auto"/>
        <w:left w:val="none" w:sz="0" w:space="0" w:color="auto"/>
        <w:bottom w:val="none" w:sz="0" w:space="0" w:color="auto"/>
        <w:right w:val="none" w:sz="0" w:space="0" w:color="auto"/>
      </w:divBdr>
    </w:div>
    <w:div w:id="845366458">
      <w:bodyDiv w:val="1"/>
      <w:marLeft w:val="0"/>
      <w:marRight w:val="0"/>
      <w:marTop w:val="0"/>
      <w:marBottom w:val="0"/>
      <w:divBdr>
        <w:top w:val="none" w:sz="0" w:space="0" w:color="auto"/>
        <w:left w:val="none" w:sz="0" w:space="0" w:color="auto"/>
        <w:bottom w:val="none" w:sz="0" w:space="0" w:color="auto"/>
        <w:right w:val="none" w:sz="0" w:space="0" w:color="auto"/>
      </w:divBdr>
    </w:div>
    <w:div w:id="845438814">
      <w:bodyDiv w:val="1"/>
      <w:marLeft w:val="0"/>
      <w:marRight w:val="0"/>
      <w:marTop w:val="0"/>
      <w:marBottom w:val="0"/>
      <w:divBdr>
        <w:top w:val="none" w:sz="0" w:space="0" w:color="auto"/>
        <w:left w:val="none" w:sz="0" w:space="0" w:color="auto"/>
        <w:bottom w:val="none" w:sz="0" w:space="0" w:color="auto"/>
        <w:right w:val="none" w:sz="0" w:space="0" w:color="auto"/>
      </w:divBdr>
    </w:div>
    <w:div w:id="845629679">
      <w:bodyDiv w:val="1"/>
      <w:marLeft w:val="0"/>
      <w:marRight w:val="0"/>
      <w:marTop w:val="0"/>
      <w:marBottom w:val="0"/>
      <w:divBdr>
        <w:top w:val="none" w:sz="0" w:space="0" w:color="auto"/>
        <w:left w:val="none" w:sz="0" w:space="0" w:color="auto"/>
        <w:bottom w:val="none" w:sz="0" w:space="0" w:color="auto"/>
        <w:right w:val="none" w:sz="0" w:space="0" w:color="auto"/>
      </w:divBdr>
    </w:div>
    <w:div w:id="845631447">
      <w:bodyDiv w:val="1"/>
      <w:marLeft w:val="0"/>
      <w:marRight w:val="0"/>
      <w:marTop w:val="0"/>
      <w:marBottom w:val="0"/>
      <w:divBdr>
        <w:top w:val="none" w:sz="0" w:space="0" w:color="auto"/>
        <w:left w:val="none" w:sz="0" w:space="0" w:color="auto"/>
        <w:bottom w:val="none" w:sz="0" w:space="0" w:color="auto"/>
        <w:right w:val="none" w:sz="0" w:space="0" w:color="auto"/>
      </w:divBdr>
    </w:div>
    <w:div w:id="845706115">
      <w:bodyDiv w:val="1"/>
      <w:marLeft w:val="0"/>
      <w:marRight w:val="0"/>
      <w:marTop w:val="0"/>
      <w:marBottom w:val="0"/>
      <w:divBdr>
        <w:top w:val="none" w:sz="0" w:space="0" w:color="auto"/>
        <w:left w:val="none" w:sz="0" w:space="0" w:color="auto"/>
        <w:bottom w:val="none" w:sz="0" w:space="0" w:color="auto"/>
        <w:right w:val="none" w:sz="0" w:space="0" w:color="auto"/>
      </w:divBdr>
    </w:div>
    <w:div w:id="845707710">
      <w:bodyDiv w:val="1"/>
      <w:marLeft w:val="0"/>
      <w:marRight w:val="0"/>
      <w:marTop w:val="0"/>
      <w:marBottom w:val="0"/>
      <w:divBdr>
        <w:top w:val="none" w:sz="0" w:space="0" w:color="auto"/>
        <w:left w:val="none" w:sz="0" w:space="0" w:color="auto"/>
        <w:bottom w:val="none" w:sz="0" w:space="0" w:color="auto"/>
        <w:right w:val="none" w:sz="0" w:space="0" w:color="auto"/>
      </w:divBdr>
    </w:div>
    <w:div w:id="845905371">
      <w:bodyDiv w:val="1"/>
      <w:marLeft w:val="0"/>
      <w:marRight w:val="0"/>
      <w:marTop w:val="0"/>
      <w:marBottom w:val="0"/>
      <w:divBdr>
        <w:top w:val="none" w:sz="0" w:space="0" w:color="auto"/>
        <w:left w:val="none" w:sz="0" w:space="0" w:color="auto"/>
        <w:bottom w:val="none" w:sz="0" w:space="0" w:color="auto"/>
        <w:right w:val="none" w:sz="0" w:space="0" w:color="auto"/>
      </w:divBdr>
    </w:div>
    <w:div w:id="845940886">
      <w:bodyDiv w:val="1"/>
      <w:marLeft w:val="0"/>
      <w:marRight w:val="0"/>
      <w:marTop w:val="0"/>
      <w:marBottom w:val="0"/>
      <w:divBdr>
        <w:top w:val="none" w:sz="0" w:space="0" w:color="auto"/>
        <w:left w:val="none" w:sz="0" w:space="0" w:color="auto"/>
        <w:bottom w:val="none" w:sz="0" w:space="0" w:color="auto"/>
        <w:right w:val="none" w:sz="0" w:space="0" w:color="auto"/>
      </w:divBdr>
    </w:div>
    <w:div w:id="845948505">
      <w:bodyDiv w:val="1"/>
      <w:marLeft w:val="0"/>
      <w:marRight w:val="0"/>
      <w:marTop w:val="0"/>
      <w:marBottom w:val="0"/>
      <w:divBdr>
        <w:top w:val="none" w:sz="0" w:space="0" w:color="auto"/>
        <w:left w:val="none" w:sz="0" w:space="0" w:color="auto"/>
        <w:bottom w:val="none" w:sz="0" w:space="0" w:color="auto"/>
        <w:right w:val="none" w:sz="0" w:space="0" w:color="auto"/>
      </w:divBdr>
    </w:div>
    <w:div w:id="846168003">
      <w:bodyDiv w:val="1"/>
      <w:marLeft w:val="0"/>
      <w:marRight w:val="0"/>
      <w:marTop w:val="0"/>
      <w:marBottom w:val="0"/>
      <w:divBdr>
        <w:top w:val="none" w:sz="0" w:space="0" w:color="auto"/>
        <w:left w:val="none" w:sz="0" w:space="0" w:color="auto"/>
        <w:bottom w:val="none" w:sz="0" w:space="0" w:color="auto"/>
        <w:right w:val="none" w:sz="0" w:space="0" w:color="auto"/>
      </w:divBdr>
    </w:div>
    <w:div w:id="846216809">
      <w:bodyDiv w:val="1"/>
      <w:marLeft w:val="0"/>
      <w:marRight w:val="0"/>
      <w:marTop w:val="0"/>
      <w:marBottom w:val="0"/>
      <w:divBdr>
        <w:top w:val="none" w:sz="0" w:space="0" w:color="auto"/>
        <w:left w:val="none" w:sz="0" w:space="0" w:color="auto"/>
        <w:bottom w:val="none" w:sz="0" w:space="0" w:color="auto"/>
        <w:right w:val="none" w:sz="0" w:space="0" w:color="auto"/>
      </w:divBdr>
    </w:div>
    <w:div w:id="846287538">
      <w:bodyDiv w:val="1"/>
      <w:marLeft w:val="0"/>
      <w:marRight w:val="0"/>
      <w:marTop w:val="0"/>
      <w:marBottom w:val="0"/>
      <w:divBdr>
        <w:top w:val="none" w:sz="0" w:space="0" w:color="auto"/>
        <w:left w:val="none" w:sz="0" w:space="0" w:color="auto"/>
        <w:bottom w:val="none" w:sz="0" w:space="0" w:color="auto"/>
        <w:right w:val="none" w:sz="0" w:space="0" w:color="auto"/>
      </w:divBdr>
    </w:div>
    <w:div w:id="846402537">
      <w:bodyDiv w:val="1"/>
      <w:marLeft w:val="0"/>
      <w:marRight w:val="0"/>
      <w:marTop w:val="0"/>
      <w:marBottom w:val="0"/>
      <w:divBdr>
        <w:top w:val="none" w:sz="0" w:space="0" w:color="auto"/>
        <w:left w:val="none" w:sz="0" w:space="0" w:color="auto"/>
        <w:bottom w:val="none" w:sz="0" w:space="0" w:color="auto"/>
        <w:right w:val="none" w:sz="0" w:space="0" w:color="auto"/>
      </w:divBdr>
    </w:div>
    <w:div w:id="846479323">
      <w:bodyDiv w:val="1"/>
      <w:marLeft w:val="0"/>
      <w:marRight w:val="0"/>
      <w:marTop w:val="0"/>
      <w:marBottom w:val="0"/>
      <w:divBdr>
        <w:top w:val="none" w:sz="0" w:space="0" w:color="auto"/>
        <w:left w:val="none" w:sz="0" w:space="0" w:color="auto"/>
        <w:bottom w:val="none" w:sz="0" w:space="0" w:color="auto"/>
        <w:right w:val="none" w:sz="0" w:space="0" w:color="auto"/>
      </w:divBdr>
    </w:div>
    <w:div w:id="846554521">
      <w:bodyDiv w:val="1"/>
      <w:marLeft w:val="0"/>
      <w:marRight w:val="0"/>
      <w:marTop w:val="0"/>
      <w:marBottom w:val="0"/>
      <w:divBdr>
        <w:top w:val="none" w:sz="0" w:space="0" w:color="auto"/>
        <w:left w:val="none" w:sz="0" w:space="0" w:color="auto"/>
        <w:bottom w:val="none" w:sz="0" w:space="0" w:color="auto"/>
        <w:right w:val="none" w:sz="0" w:space="0" w:color="auto"/>
      </w:divBdr>
    </w:div>
    <w:div w:id="846560646">
      <w:bodyDiv w:val="1"/>
      <w:marLeft w:val="0"/>
      <w:marRight w:val="0"/>
      <w:marTop w:val="0"/>
      <w:marBottom w:val="0"/>
      <w:divBdr>
        <w:top w:val="none" w:sz="0" w:space="0" w:color="auto"/>
        <w:left w:val="none" w:sz="0" w:space="0" w:color="auto"/>
        <w:bottom w:val="none" w:sz="0" w:space="0" w:color="auto"/>
        <w:right w:val="none" w:sz="0" w:space="0" w:color="auto"/>
      </w:divBdr>
    </w:div>
    <w:div w:id="846748922">
      <w:bodyDiv w:val="1"/>
      <w:marLeft w:val="0"/>
      <w:marRight w:val="0"/>
      <w:marTop w:val="0"/>
      <w:marBottom w:val="0"/>
      <w:divBdr>
        <w:top w:val="none" w:sz="0" w:space="0" w:color="auto"/>
        <w:left w:val="none" w:sz="0" w:space="0" w:color="auto"/>
        <w:bottom w:val="none" w:sz="0" w:space="0" w:color="auto"/>
        <w:right w:val="none" w:sz="0" w:space="0" w:color="auto"/>
      </w:divBdr>
    </w:div>
    <w:div w:id="846865974">
      <w:bodyDiv w:val="1"/>
      <w:marLeft w:val="0"/>
      <w:marRight w:val="0"/>
      <w:marTop w:val="0"/>
      <w:marBottom w:val="0"/>
      <w:divBdr>
        <w:top w:val="none" w:sz="0" w:space="0" w:color="auto"/>
        <w:left w:val="none" w:sz="0" w:space="0" w:color="auto"/>
        <w:bottom w:val="none" w:sz="0" w:space="0" w:color="auto"/>
        <w:right w:val="none" w:sz="0" w:space="0" w:color="auto"/>
      </w:divBdr>
    </w:div>
    <w:div w:id="846939298">
      <w:bodyDiv w:val="1"/>
      <w:marLeft w:val="0"/>
      <w:marRight w:val="0"/>
      <w:marTop w:val="0"/>
      <w:marBottom w:val="0"/>
      <w:divBdr>
        <w:top w:val="none" w:sz="0" w:space="0" w:color="auto"/>
        <w:left w:val="none" w:sz="0" w:space="0" w:color="auto"/>
        <w:bottom w:val="none" w:sz="0" w:space="0" w:color="auto"/>
        <w:right w:val="none" w:sz="0" w:space="0" w:color="auto"/>
      </w:divBdr>
    </w:div>
    <w:div w:id="847061011">
      <w:bodyDiv w:val="1"/>
      <w:marLeft w:val="0"/>
      <w:marRight w:val="0"/>
      <w:marTop w:val="0"/>
      <w:marBottom w:val="0"/>
      <w:divBdr>
        <w:top w:val="none" w:sz="0" w:space="0" w:color="auto"/>
        <w:left w:val="none" w:sz="0" w:space="0" w:color="auto"/>
        <w:bottom w:val="none" w:sz="0" w:space="0" w:color="auto"/>
        <w:right w:val="none" w:sz="0" w:space="0" w:color="auto"/>
      </w:divBdr>
    </w:div>
    <w:div w:id="847061291">
      <w:bodyDiv w:val="1"/>
      <w:marLeft w:val="0"/>
      <w:marRight w:val="0"/>
      <w:marTop w:val="0"/>
      <w:marBottom w:val="0"/>
      <w:divBdr>
        <w:top w:val="none" w:sz="0" w:space="0" w:color="auto"/>
        <w:left w:val="none" w:sz="0" w:space="0" w:color="auto"/>
        <w:bottom w:val="none" w:sz="0" w:space="0" w:color="auto"/>
        <w:right w:val="none" w:sz="0" w:space="0" w:color="auto"/>
      </w:divBdr>
    </w:div>
    <w:div w:id="847063095">
      <w:bodyDiv w:val="1"/>
      <w:marLeft w:val="0"/>
      <w:marRight w:val="0"/>
      <w:marTop w:val="0"/>
      <w:marBottom w:val="0"/>
      <w:divBdr>
        <w:top w:val="none" w:sz="0" w:space="0" w:color="auto"/>
        <w:left w:val="none" w:sz="0" w:space="0" w:color="auto"/>
        <w:bottom w:val="none" w:sz="0" w:space="0" w:color="auto"/>
        <w:right w:val="none" w:sz="0" w:space="0" w:color="auto"/>
      </w:divBdr>
    </w:div>
    <w:div w:id="847208052">
      <w:bodyDiv w:val="1"/>
      <w:marLeft w:val="0"/>
      <w:marRight w:val="0"/>
      <w:marTop w:val="0"/>
      <w:marBottom w:val="0"/>
      <w:divBdr>
        <w:top w:val="none" w:sz="0" w:space="0" w:color="auto"/>
        <w:left w:val="none" w:sz="0" w:space="0" w:color="auto"/>
        <w:bottom w:val="none" w:sz="0" w:space="0" w:color="auto"/>
        <w:right w:val="none" w:sz="0" w:space="0" w:color="auto"/>
      </w:divBdr>
    </w:div>
    <w:div w:id="847216503">
      <w:bodyDiv w:val="1"/>
      <w:marLeft w:val="0"/>
      <w:marRight w:val="0"/>
      <w:marTop w:val="0"/>
      <w:marBottom w:val="0"/>
      <w:divBdr>
        <w:top w:val="none" w:sz="0" w:space="0" w:color="auto"/>
        <w:left w:val="none" w:sz="0" w:space="0" w:color="auto"/>
        <w:bottom w:val="none" w:sz="0" w:space="0" w:color="auto"/>
        <w:right w:val="none" w:sz="0" w:space="0" w:color="auto"/>
      </w:divBdr>
    </w:div>
    <w:div w:id="847403806">
      <w:bodyDiv w:val="1"/>
      <w:marLeft w:val="0"/>
      <w:marRight w:val="0"/>
      <w:marTop w:val="0"/>
      <w:marBottom w:val="0"/>
      <w:divBdr>
        <w:top w:val="none" w:sz="0" w:space="0" w:color="auto"/>
        <w:left w:val="none" w:sz="0" w:space="0" w:color="auto"/>
        <w:bottom w:val="none" w:sz="0" w:space="0" w:color="auto"/>
        <w:right w:val="none" w:sz="0" w:space="0" w:color="auto"/>
      </w:divBdr>
    </w:div>
    <w:div w:id="847448668">
      <w:bodyDiv w:val="1"/>
      <w:marLeft w:val="0"/>
      <w:marRight w:val="0"/>
      <w:marTop w:val="0"/>
      <w:marBottom w:val="0"/>
      <w:divBdr>
        <w:top w:val="none" w:sz="0" w:space="0" w:color="auto"/>
        <w:left w:val="none" w:sz="0" w:space="0" w:color="auto"/>
        <w:bottom w:val="none" w:sz="0" w:space="0" w:color="auto"/>
        <w:right w:val="none" w:sz="0" w:space="0" w:color="auto"/>
      </w:divBdr>
    </w:div>
    <w:div w:id="847526994">
      <w:bodyDiv w:val="1"/>
      <w:marLeft w:val="0"/>
      <w:marRight w:val="0"/>
      <w:marTop w:val="0"/>
      <w:marBottom w:val="0"/>
      <w:divBdr>
        <w:top w:val="none" w:sz="0" w:space="0" w:color="auto"/>
        <w:left w:val="none" w:sz="0" w:space="0" w:color="auto"/>
        <w:bottom w:val="none" w:sz="0" w:space="0" w:color="auto"/>
        <w:right w:val="none" w:sz="0" w:space="0" w:color="auto"/>
      </w:divBdr>
    </w:div>
    <w:div w:id="847597381">
      <w:bodyDiv w:val="1"/>
      <w:marLeft w:val="0"/>
      <w:marRight w:val="0"/>
      <w:marTop w:val="0"/>
      <w:marBottom w:val="0"/>
      <w:divBdr>
        <w:top w:val="none" w:sz="0" w:space="0" w:color="auto"/>
        <w:left w:val="none" w:sz="0" w:space="0" w:color="auto"/>
        <w:bottom w:val="none" w:sz="0" w:space="0" w:color="auto"/>
        <w:right w:val="none" w:sz="0" w:space="0" w:color="auto"/>
      </w:divBdr>
    </w:div>
    <w:div w:id="847642654">
      <w:bodyDiv w:val="1"/>
      <w:marLeft w:val="0"/>
      <w:marRight w:val="0"/>
      <w:marTop w:val="0"/>
      <w:marBottom w:val="0"/>
      <w:divBdr>
        <w:top w:val="none" w:sz="0" w:space="0" w:color="auto"/>
        <w:left w:val="none" w:sz="0" w:space="0" w:color="auto"/>
        <w:bottom w:val="none" w:sz="0" w:space="0" w:color="auto"/>
        <w:right w:val="none" w:sz="0" w:space="0" w:color="auto"/>
      </w:divBdr>
    </w:div>
    <w:div w:id="847646446">
      <w:bodyDiv w:val="1"/>
      <w:marLeft w:val="0"/>
      <w:marRight w:val="0"/>
      <w:marTop w:val="0"/>
      <w:marBottom w:val="0"/>
      <w:divBdr>
        <w:top w:val="none" w:sz="0" w:space="0" w:color="auto"/>
        <w:left w:val="none" w:sz="0" w:space="0" w:color="auto"/>
        <w:bottom w:val="none" w:sz="0" w:space="0" w:color="auto"/>
        <w:right w:val="none" w:sz="0" w:space="0" w:color="auto"/>
      </w:divBdr>
    </w:div>
    <w:div w:id="847672201">
      <w:bodyDiv w:val="1"/>
      <w:marLeft w:val="0"/>
      <w:marRight w:val="0"/>
      <w:marTop w:val="0"/>
      <w:marBottom w:val="0"/>
      <w:divBdr>
        <w:top w:val="none" w:sz="0" w:space="0" w:color="auto"/>
        <w:left w:val="none" w:sz="0" w:space="0" w:color="auto"/>
        <w:bottom w:val="none" w:sz="0" w:space="0" w:color="auto"/>
        <w:right w:val="none" w:sz="0" w:space="0" w:color="auto"/>
      </w:divBdr>
    </w:div>
    <w:div w:id="847714418">
      <w:bodyDiv w:val="1"/>
      <w:marLeft w:val="0"/>
      <w:marRight w:val="0"/>
      <w:marTop w:val="0"/>
      <w:marBottom w:val="0"/>
      <w:divBdr>
        <w:top w:val="none" w:sz="0" w:space="0" w:color="auto"/>
        <w:left w:val="none" w:sz="0" w:space="0" w:color="auto"/>
        <w:bottom w:val="none" w:sz="0" w:space="0" w:color="auto"/>
        <w:right w:val="none" w:sz="0" w:space="0" w:color="auto"/>
      </w:divBdr>
    </w:div>
    <w:div w:id="847715324">
      <w:bodyDiv w:val="1"/>
      <w:marLeft w:val="0"/>
      <w:marRight w:val="0"/>
      <w:marTop w:val="0"/>
      <w:marBottom w:val="0"/>
      <w:divBdr>
        <w:top w:val="none" w:sz="0" w:space="0" w:color="auto"/>
        <w:left w:val="none" w:sz="0" w:space="0" w:color="auto"/>
        <w:bottom w:val="none" w:sz="0" w:space="0" w:color="auto"/>
        <w:right w:val="none" w:sz="0" w:space="0" w:color="auto"/>
      </w:divBdr>
    </w:div>
    <w:div w:id="847867851">
      <w:bodyDiv w:val="1"/>
      <w:marLeft w:val="0"/>
      <w:marRight w:val="0"/>
      <w:marTop w:val="0"/>
      <w:marBottom w:val="0"/>
      <w:divBdr>
        <w:top w:val="none" w:sz="0" w:space="0" w:color="auto"/>
        <w:left w:val="none" w:sz="0" w:space="0" w:color="auto"/>
        <w:bottom w:val="none" w:sz="0" w:space="0" w:color="auto"/>
        <w:right w:val="none" w:sz="0" w:space="0" w:color="auto"/>
      </w:divBdr>
    </w:div>
    <w:div w:id="847906304">
      <w:bodyDiv w:val="1"/>
      <w:marLeft w:val="0"/>
      <w:marRight w:val="0"/>
      <w:marTop w:val="0"/>
      <w:marBottom w:val="0"/>
      <w:divBdr>
        <w:top w:val="none" w:sz="0" w:space="0" w:color="auto"/>
        <w:left w:val="none" w:sz="0" w:space="0" w:color="auto"/>
        <w:bottom w:val="none" w:sz="0" w:space="0" w:color="auto"/>
        <w:right w:val="none" w:sz="0" w:space="0" w:color="auto"/>
      </w:divBdr>
    </w:div>
    <w:div w:id="848058223">
      <w:bodyDiv w:val="1"/>
      <w:marLeft w:val="0"/>
      <w:marRight w:val="0"/>
      <w:marTop w:val="0"/>
      <w:marBottom w:val="0"/>
      <w:divBdr>
        <w:top w:val="none" w:sz="0" w:space="0" w:color="auto"/>
        <w:left w:val="none" w:sz="0" w:space="0" w:color="auto"/>
        <w:bottom w:val="none" w:sz="0" w:space="0" w:color="auto"/>
        <w:right w:val="none" w:sz="0" w:space="0" w:color="auto"/>
      </w:divBdr>
    </w:div>
    <w:div w:id="848101990">
      <w:bodyDiv w:val="1"/>
      <w:marLeft w:val="0"/>
      <w:marRight w:val="0"/>
      <w:marTop w:val="0"/>
      <w:marBottom w:val="0"/>
      <w:divBdr>
        <w:top w:val="none" w:sz="0" w:space="0" w:color="auto"/>
        <w:left w:val="none" w:sz="0" w:space="0" w:color="auto"/>
        <w:bottom w:val="none" w:sz="0" w:space="0" w:color="auto"/>
        <w:right w:val="none" w:sz="0" w:space="0" w:color="auto"/>
      </w:divBdr>
    </w:div>
    <w:div w:id="848179685">
      <w:bodyDiv w:val="1"/>
      <w:marLeft w:val="0"/>
      <w:marRight w:val="0"/>
      <w:marTop w:val="0"/>
      <w:marBottom w:val="0"/>
      <w:divBdr>
        <w:top w:val="none" w:sz="0" w:space="0" w:color="auto"/>
        <w:left w:val="none" w:sz="0" w:space="0" w:color="auto"/>
        <w:bottom w:val="none" w:sz="0" w:space="0" w:color="auto"/>
        <w:right w:val="none" w:sz="0" w:space="0" w:color="auto"/>
      </w:divBdr>
    </w:div>
    <w:div w:id="848328063">
      <w:bodyDiv w:val="1"/>
      <w:marLeft w:val="0"/>
      <w:marRight w:val="0"/>
      <w:marTop w:val="0"/>
      <w:marBottom w:val="0"/>
      <w:divBdr>
        <w:top w:val="none" w:sz="0" w:space="0" w:color="auto"/>
        <w:left w:val="none" w:sz="0" w:space="0" w:color="auto"/>
        <w:bottom w:val="none" w:sz="0" w:space="0" w:color="auto"/>
        <w:right w:val="none" w:sz="0" w:space="0" w:color="auto"/>
      </w:divBdr>
    </w:div>
    <w:div w:id="848519808">
      <w:bodyDiv w:val="1"/>
      <w:marLeft w:val="0"/>
      <w:marRight w:val="0"/>
      <w:marTop w:val="0"/>
      <w:marBottom w:val="0"/>
      <w:divBdr>
        <w:top w:val="none" w:sz="0" w:space="0" w:color="auto"/>
        <w:left w:val="none" w:sz="0" w:space="0" w:color="auto"/>
        <w:bottom w:val="none" w:sz="0" w:space="0" w:color="auto"/>
        <w:right w:val="none" w:sz="0" w:space="0" w:color="auto"/>
      </w:divBdr>
    </w:div>
    <w:div w:id="848563683">
      <w:bodyDiv w:val="1"/>
      <w:marLeft w:val="0"/>
      <w:marRight w:val="0"/>
      <w:marTop w:val="0"/>
      <w:marBottom w:val="0"/>
      <w:divBdr>
        <w:top w:val="none" w:sz="0" w:space="0" w:color="auto"/>
        <w:left w:val="none" w:sz="0" w:space="0" w:color="auto"/>
        <w:bottom w:val="none" w:sz="0" w:space="0" w:color="auto"/>
        <w:right w:val="none" w:sz="0" w:space="0" w:color="auto"/>
      </w:divBdr>
    </w:div>
    <w:div w:id="848954832">
      <w:bodyDiv w:val="1"/>
      <w:marLeft w:val="0"/>
      <w:marRight w:val="0"/>
      <w:marTop w:val="0"/>
      <w:marBottom w:val="0"/>
      <w:divBdr>
        <w:top w:val="none" w:sz="0" w:space="0" w:color="auto"/>
        <w:left w:val="none" w:sz="0" w:space="0" w:color="auto"/>
        <w:bottom w:val="none" w:sz="0" w:space="0" w:color="auto"/>
        <w:right w:val="none" w:sz="0" w:space="0" w:color="auto"/>
      </w:divBdr>
    </w:div>
    <w:div w:id="849098070">
      <w:bodyDiv w:val="1"/>
      <w:marLeft w:val="0"/>
      <w:marRight w:val="0"/>
      <w:marTop w:val="0"/>
      <w:marBottom w:val="0"/>
      <w:divBdr>
        <w:top w:val="none" w:sz="0" w:space="0" w:color="auto"/>
        <w:left w:val="none" w:sz="0" w:space="0" w:color="auto"/>
        <w:bottom w:val="none" w:sz="0" w:space="0" w:color="auto"/>
        <w:right w:val="none" w:sz="0" w:space="0" w:color="auto"/>
      </w:divBdr>
    </w:div>
    <w:div w:id="849220680">
      <w:bodyDiv w:val="1"/>
      <w:marLeft w:val="0"/>
      <w:marRight w:val="0"/>
      <w:marTop w:val="0"/>
      <w:marBottom w:val="0"/>
      <w:divBdr>
        <w:top w:val="none" w:sz="0" w:space="0" w:color="auto"/>
        <w:left w:val="none" w:sz="0" w:space="0" w:color="auto"/>
        <w:bottom w:val="none" w:sz="0" w:space="0" w:color="auto"/>
        <w:right w:val="none" w:sz="0" w:space="0" w:color="auto"/>
      </w:divBdr>
    </w:div>
    <w:div w:id="849371781">
      <w:bodyDiv w:val="1"/>
      <w:marLeft w:val="0"/>
      <w:marRight w:val="0"/>
      <w:marTop w:val="0"/>
      <w:marBottom w:val="0"/>
      <w:divBdr>
        <w:top w:val="none" w:sz="0" w:space="0" w:color="auto"/>
        <w:left w:val="none" w:sz="0" w:space="0" w:color="auto"/>
        <w:bottom w:val="none" w:sz="0" w:space="0" w:color="auto"/>
        <w:right w:val="none" w:sz="0" w:space="0" w:color="auto"/>
      </w:divBdr>
    </w:div>
    <w:div w:id="849443184">
      <w:bodyDiv w:val="1"/>
      <w:marLeft w:val="0"/>
      <w:marRight w:val="0"/>
      <w:marTop w:val="0"/>
      <w:marBottom w:val="0"/>
      <w:divBdr>
        <w:top w:val="none" w:sz="0" w:space="0" w:color="auto"/>
        <w:left w:val="none" w:sz="0" w:space="0" w:color="auto"/>
        <w:bottom w:val="none" w:sz="0" w:space="0" w:color="auto"/>
        <w:right w:val="none" w:sz="0" w:space="0" w:color="auto"/>
      </w:divBdr>
    </w:div>
    <w:div w:id="849485188">
      <w:bodyDiv w:val="1"/>
      <w:marLeft w:val="0"/>
      <w:marRight w:val="0"/>
      <w:marTop w:val="0"/>
      <w:marBottom w:val="0"/>
      <w:divBdr>
        <w:top w:val="none" w:sz="0" w:space="0" w:color="auto"/>
        <w:left w:val="none" w:sz="0" w:space="0" w:color="auto"/>
        <w:bottom w:val="none" w:sz="0" w:space="0" w:color="auto"/>
        <w:right w:val="none" w:sz="0" w:space="0" w:color="auto"/>
      </w:divBdr>
    </w:div>
    <w:div w:id="849560792">
      <w:bodyDiv w:val="1"/>
      <w:marLeft w:val="0"/>
      <w:marRight w:val="0"/>
      <w:marTop w:val="0"/>
      <w:marBottom w:val="0"/>
      <w:divBdr>
        <w:top w:val="none" w:sz="0" w:space="0" w:color="auto"/>
        <w:left w:val="none" w:sz="0" w:space="0" w:color="auto"/>
        <w:bottom w:val="none" w:sz="0" w:space="0" w:color="auto"/>
        <w:right w:val="none" w:sz="0" w:space="0" w:color="auto"/>
      </w:divBdr>
    </w:div>
    <w:div w:id="849562659">
      <w:bodyDiv w:val="1"/>
      <w:marLeft w:val="0"/>
      <w:marRight w:val="0"/>
      <w:marTop w:val="0"/>
      <w:marBottom w:val="0"/>
      <w:divBdr>
        <w:top w:val="none" w:sz="0" w:space="0" w:color="auto"/>
        <w:left w:val="none" w:sz="0" w:space="0" w:color="auto"/>
        <w:bottom w:val="none" w:sz="0" w:space="0" w:color="auto"/>
        <w:right w:val="none" w:sz="0" w:space="0" w:color="auto"/>
      </w:divBdr>
    </w:div>
    <w:div w:id="849678959">
      <w:bodyDiv w:val="1"/>
      <w:marLeft w:val="0"/>
      <w:marRight w:val="0"/>
      <w:marTop w:val="0"/>
      <w:marBottom w:val="0"/>
      <w:divBdr>
        <w:top w:val="none" w:sz="0" w:space="0" w:color="auto"/>
        <w:left w:val="none" w:sz="0" w:space="0" w:color="auto"/>
        <w:bottom w:val="none" w:sz="0" w:space="0" w:color="auto"/>
        <w:right w:val="none" w:sz="0" w:space="0" w:color="auto"/>
      </w:divBdr>
    </w:div>
    <w:div w:id="849761134">
      <w:bodyDiv w:val="1"/>
      <w:marLeft w:val="0"/>
      <w:marRight w:val="0"/>
      <w:marTop w:val="0"/>
      <w:marBottom w:val="0"/>
      <w:divBdr>
        <w:top w:val="none" w:sz="0" w:space="0" w:color="auto"/>
        <w:left w:val="none" w:sz="0" w:space="0" w:color="auto"/>
        <w:bottom w:val="none" w:sz="0" w:space="0" w:color="auto"/>
        <w:right w:val="none" w:sz="0" w:space="0" w:color="auto"/>
      </w:divBdr>
    </w:div>
    <w:div w:id="849836869">
      <w:bodyDiv w:val="1"/>
      <w:marLeft w:val="0"/>
      <w:marRight w:val="0"/>
      <w:marTop w:val="0"/>
      <w:marBottom w:val="0"/>
      <w:divBdr>
        <w:top w:val="none" w:sz="0" w:space="0" w:color="auto"/>
        <w:left w:val="none" w:sz="0" w:space="0" w:color="auto"/>
        <w:bottom w:val="none" w:sz="0" w:space="0" w:color="auto"/>
        <w:right w:val="none" w:sz="0" w:space="0" w:color="auto"/>
      </w:divBdr>
    </w:div>
    <w:div w:id="849949667">
      <w:bodyDiv w:val="1"/>
      <w:marLeft w:val="0"/>
      <w:marRight w:val="0"/>
      <w:marTop w:val="0"/>
      <w:marBottom w:val="0"/>
      <w:divBdr>
        <w:top w:val="none" w:sz="0" w:space="0" w:color="auto"/>
        <w:left w:val="none" w:sz="0" w:space="0" w:color="auto"/>
        <w:bottom w:val="none" w:sz="0" w:space="0" w:color="auto"/>
        <w:right w:val="none" w:sz="0" w:space="0" w:color="auto"/>
      </w:divBdr>
    </w:div>
    <w:div w:id="850025863">
      <w:bodyDiv w:val="1"/>
      <w:marLeft w:val="0"/>
      <w:marRight w:val="0"/>
      <w:marTop w:val="0"/>
      <w:marBottom w:val="0"/>
      <w:divBdr>
        <w:top w:val="none" w:sz="0" w:space="0" w:color="auto"/>
        <w:left w:val="none" w:sz="0" w:space="0" w:color="auto"/>
        <w:bottom w:val="none" w:sz="0" w:space="0" w:color="auto"/>
        <w:right w:val="none" w:sz="0" w:space="0" w:color="auto"/>
      </w:divBdr>
    </w:div>
    <w:div w:id="850030083">
      <w:bodyDiv w:val="1"/>
      <w:marLeft w:val="0"/>
      <w:marRight w:val="0"/>
      <w:marTop w:val="0"/>
      <w:marBottom w:val="0"/>
      <w:divBdr>
        <w:top w:val="none" w:sz="0" w:space="0" w:color="auto"/>
        <w:left w:val="none" w:sz="0" w:space="0" w:color="auto"/>
        <w:bottom w:val="none" w:sz="0" w:space="0" w:color="auto"/>
        <w:right w:val="none" w:sz="0" w:space="0" w:color="auto"/>
      </w:divBdr>
    </w:div>
    <w:div w:id="850069704">
      <w:bodyDiv w:val="1"/>
      <w:marLeft w:val="0"/>
      <w:marRight w:val="0"/>
      <w:marTop w:val="0"/>
      <w:marBottom w:val="0"/>
      <w:divBdr>
        <w:top w:val="none" w:sz="0" w:space="0" w:color="auto"/>
        <w:left w:val="none" w:sz="0" w:space="0" w:color="auto"/>
        <w:bottom w:val="none" w:sz="0" w:space="0" w:color="auto"/>
        <w:right w:val="none" w:sz="0" w:space="0" w:color="auto"/>
      </w:divBdr>
    </w:div>
    <w:div w:id="850142137">
      <w:bodyDiv w:val="1"/>
      <w:marLeft w:val="0"/>
      <w:marRight w:val="0"/>
      <w:marTop w:val="0"/>
      <w:marBottom w:val="0"/>
      <w:divBdr>
        <w:top w:val="none" w:sz="0" w:space="0" w:color="auto"/>
        <w:left w:val="none" w:sz="0" w:space="0" w:color="auto"/>
        <w:bottom w:val="none" w:sz="0" w:space="0" w:color="auto"/>
        <w:right w:val="none" w:sz="0" w:space="0" w:color="auto"/>
      </w:divBdr>
    </w:div>
    <w:div w:id="850144046">
      <w:bodyDiv w:val="1"/>
      <w:marLeft w:val="0"/>
      <w:marRight w:val="0"/>
      <w:marTop w:val="0"/>
      <w:marBottom w:val="0"/>
      <w:divBdr>
        <w:top w:val="none" w:sz="0" w:space="0" w:color="auto"/>
        <w:left w:val="none" w:sz="0" w:space="0" w:color="auto"/>
        <w:bottom w:val="none" w:sz="0" w:space="0" w:color="auto"/>
        <w:right w:val="none" w:sz="0" w:space="0" w:color="auto"/>
      </w:divBdr>
    </w:div>
    <w:div w:id="850335267">
      <w:bodyDiv w:val="1"/>
      <w:marLeft w:val="0"/>
      <w:marRight w:val="0"/>
      <w:marTop w:val="0"/>
      <w:marBottom w:val="0"/>
      <w:divBdr>
        <w:top w:val="none" w:sz="0" w:space="0" w:color="auto"/>
        <w:left w:val="none" w:sz="0" w:space="0" w:color="auto"/>
        <w:bottom w:val="none" w:sz="0" w:space="0" w:color="auto"/>
        <w:right w:val="none" w:sz="0" w:space="0" w:color="auto"/>
      </w:divBdr>
    </w:div>
    <w:div w:id="850339394">
      <w:bodyDiv w:val="1"/>
      <w:marLeft w:val="0"/>
      <w:marRight w:val="0"/>
      <w:marTop w:val="0"/>
      <w:marBottom w:val="0"/>
      <w:divBdr>
        <w:top w:val="none" w:sz="0" w:space="0" w:color="auto"/>
        <w:left w:val="none" w:sz="0" w:space="0" w:color="auto"/>
        <w:bottom w:val="none" w:sz="0" w:space="0" w:color="auto"/>
        <w:right w:val="none" w:sz="0" w:space="0" w:color="auto"/>
      </w:divBdr>
    </w:div>
    <w:div w:id="850528121">
      <w:bodyDiv w:val="1"/>
      <w:marLeft w:val="0"/>
      <w:marRight w:val="0"/>
      <w:marTop w:val="0"/>
      <w:marBottom w:val="0"/>
      <w:divBdr>
        <w:top w:val="none" w:sz="0" w:space="0" w:color="auto"/>
        <w:left w:val="none" w:sz="0" w:space="0" w:color="auto"/>
        <w:bottom w:val="none" w:sz="0" w:space="0" w:color="auto"/>
        <w:right w:val="none" w:sz="0" w:space="0" w:color="auto"/>
      </w:divBdr>
    </w:div>
    <w:div w:id="850531739">
      <w:bodyDiv w:val="1"/>
      <w:marLeft w:val="0"/>
      <w:marRight w:val="0"/>
      <w:marTop w:val="0"/>
      <w:marBottom w:val="0"/>
      <w:divBdr>
        <w:top w:val="none" w:sz="0" w:space="0" w:color="auto"/>
        <w:left w:val="none" w:sz="0" w:space="0" w:color="auto"/>
        <w:bottom w:val="none" w:sz="0" w:space="0" w:color="auto"/>
        <w:right w:val="none" w:sz="0" w:space="0" w:color="auto"/>
      </w:divBdr>
    </w:div>
    <w:div w:id="850534090">
      <w:bodyDiv w:val="1"/>
      <w:marLeft w:val="0"/>
      <w:marRight w:val="0"/>
      <w:marTop w:val="0"/>
      <w:marBottom w:val="0"/>
      <w:divBdr>
        <w:top w:val="none" w:sz="0" w:space="0" w:color="auto"/>
        <w:left w:val="none" w:sz="0" w:space="0" w:color="auto"/>
        <w:bottom w:val="none" w:sz="0" w:space="0" w:color="auto"/>
        <w:right w:val="none" w:sz="0" w:space="0" w:color="auto"/>
      </w:divBdr>
    </w:div>
    <w:div w:id="850534487">
      <w:bodyDiv w:val="1"/>
      <w:marLeft w:val="0"/>
      <w:marRight w:val="0"/>
      <w:marTop w:val="0"/>
      <w:marBottom w:val="0"/>
      <w:divBdr>
        <w:top w:val="none" w:sz="0" w:space="0" w:color="auto"/>
        <w:left w:val="none" w:sz="0" w:space="0" w:color="auto"/>
        <w:bottom w:val="none" w:sz="0" w:space="0" w:color="auto"/>
        <w:right w:val="none" w:sz="0" w:space="0" w:color="auto"/>
      </w:divBdr>
    </w:div>
    <w:div w:id="850723680">
      <w:bodyDiv w:val="1"/>
      <w:marLeft w:val="0"/>
      <w:marRight w:val="0"/>
      <w:marTop w:val="0"/>
      <w:marBottom w:val="0"/>
      <w:divBdr>
        <w:top w:val="none" w:sz="0" w:space="0" w:color="auto"/>
        <w:left w:val="none" w:sz="0" w:space="0" w:color="auto"/>
        <w:bottom w:val="none" w:sz="0" w:space="0" w:color="auto"/>
        <w:right w:val="none" w:sz="0" w:space="0" w:color="auto"/>
      </w:divBdr>
    </w:div>
    <w:div w:id="850870990">
      <w:bodyDiv w:val="1"/>
      <w:marLeft w:val="0"/>
      <w:marRight w:val="0"/>
      <w:marTop w:val="0"/>
      <w:marBottom w:val="0"/>
      <w:divBdr>
        <w:top w:val="none" w:sz="0" w:space="0" w:color="auto"/>
        <w:left w:val="none" w:sz="0" w:space="0" w:color="auto"/>
        <w:bottom w:val="none" w:sz="0" w:space="0" w:color="auto"/>
        <w:right w:val="none" w:sz="0" w:space="0" w:color="auto"/>
      </w:divBdr>
    </w:div>
    <w:div w:id="851141216">
      <w:bodyDiv w:val="1"/>
      <w:marLeft w:val="0"/>
      <w:marRight w:val="0"/>
      <w:marTop w:val="0"/>
      <w:marBottom w:val="0"/>
      <w:divBdr>
        <w:top w:val="none" w:sz="0" w:space="0" w:color="auto"/>
        <w:left w:val="none" w:sz="0" w:space="0" w:color="auto"/>
        <w:bottom w:val="none" w:sz="0" w:space="0" w:color="auto"/>
        <w:right w:val="none" w:sz="0" w:space="0" w:color="auto"/>
      </w:divBdr>
    </w:div>
    <w:div w:id="851147107">
      <w:bodyDiv w:val="1"/>
      <w:marLeft w:val="0"/>
      <w:marRight w:val="0"/>
      <w:marTop w:val="0"/>
      <w:marBottom w:val="0"/>
      <w:divBdr>
        <w:top w:val="none" w:sz="0" w:space="0" w:color="auto"/>
        <w:left w:val="none" w:sz="0" w:space="0" w:color="auto"/>
        <w:bottom w:val="none" w:sz="0" w:space="0" w:color="auto"/>
        <w:right w:val="none" w:sz="0" w:space="0" w:color="auto"/>
      </w:divBdr>
    </w:div>
    <w:div w:id="851181761">
      <w:bodyDiv w:val="1"/>
      <w:marLeft w:val="0"/>
      <w:marRight w:val="0"/>
      <w:marTop w:val="0"/>
      <w:marBottom w:val="0"/>
      <w:divBdr>
        <w:top w:val="none" w:sz="0" w:space="0" w:color="auto"/>
        <w:left w:val="none" w:sz="0" w:space="0" w:color="auto"/>
        <w:bottom w:val="none" w:sz="0" w:space="0" w:color="auto"/>
        <w:right w:val="none" w:sz="0" w:space="0" w:color="auto"/>
      </w:divBdr>
    </w:div>
    <w:div w:id="851182406">
      <w:bodyDiv w:val="1"/>
      <w:marLeft w:val="0"/>
      <w:marRight w:val="0"/>
      <w:marTop w:val="0"/>
      <w:marBottom w:val="0"/>
      <w:divBdr>
        <w:top w:val="none" w:sz="0" w:space="0" w:color="auto"/>
        <w:left w:val="none" w:sz="0" w:space="0" w:color="auto"/>
        <w:bottom w:val="none" w:sz="0" w:space="0" w:color="auto"/>
        <w:right w:val="none" w:sz="0" w:space="0" w:color="auto"/>
      </w:divBdr>
    </w:div>
    <w:div w:id="851186632">
      <w:bodyDiv w:val="1"/>
      <w:marLeft w:val="0"/>
      <w:marRight w:val="0"/>
      <w:marTop w:val="0"/>
      <w:marBottom w:val="0"/>
      <w:divBdr>
        <w:top w:val="none" w:sz="0" w:space="0" w:color="auto"/>
        <w:left w:val="none" w:sz="0" w:space="0" w:color="auto"/>
        <w:bottom w:val="none" w:sz="0" w:space="0" w:color="auto"/>
        <w:right w:val="none" w:sz="0" w:space="0" w:color="auto"/>
      </w:divBdr>
    </w:div>
    <w:div w:id="851409708">
      <w:bodyDiv w:val="1"/>
      <w:marLeft w:val="0"/>
      <w:marRight w:val="0"/>
      <w:marTop w:val="0"/>
      <w:marBottom w:val="0"/>
      <w:divBdr>
        <w:top w:val="none" w:sz="0" w:space="0" w:color="auto"/>
        <w:left w:val="none" w:sz="0" w:space="0" w:color="auto"/>
        <w:bottom w:val="none" w:sz="0" w:space="0" w:color="auto"/>
        <w:right w:val="none" w:sz="0" w:space="0" w:color="auto"/>
      </w:divBdr>
    </w:div>
    <w:div w:id="851459466">
      <w:bodyDiv w:val="1"/>
      <w:marLeft w:val="0"/>
      <w:marRight w:val="0"/>
      <w:marTop w:val="0"/>
      <w:marBottom w:val="0"/>
      <w:divBdr>
        <w:top w:val="none" w:sz="0" w:space="0" w:color="auto"/>
        <w:left w:val="none" w:sz="0" w:space="0" w:color="auto"/>
        <w:bottom w:val="none" w:sz="0" w:space="0" w:color="auto"/>
        <w:right w:val="none" w:sz="0" w:space="0" w:color="auto"/>
      </w:divBdr>
    </w:div>
    <w:div w:id="851533359">
      <w:bodyDiv w:val="1"/>
      <w:marLeft w:val="0"/>
      <w:marRight w:val="0"/>
      <w:marTop w:val="0"/>
      <w:marBottom w:val="0"/>
      <w:divBdr>
        <w:top w:val="none" w:sz="0" w:space="0" w:color="auto"/>
        <w:left w:val="none" w:sz="0" w:space="0" w:color="auto"/>
        <w:bottom w:val="none" w:sz="0" w:space="0" w:color="auto"/>
        <w:right w:val="none" w:sz="0" w:space="0" w:color="auto"/>
      </w:divBdr>
    </w:div>
    <w:div w:id="851603879">
      <w:bodyDiv w:val="1"/>
      <w:marLeft w:val="0"/>
      <w:marRight w:val="0"/>
      <w:marTop w:val="0"/>
      <w:marBottom w:val="0"/>
      <w:divBdr>
        <w:top w:val="none" w:sz="0" w:space="0" w:color="auto"/>
        <w:left w:val="none" w:sz="0" w:space="0" w:color="auto"/>
        <w:bottom w:val="none" w:sz="0" w:space="0" w:color="auto"/>
        <w:right w:val="none" w:sz="0" w:space="0" w:color="auto"/>
      </w:divBdr>
    </w:div>
    <w:div w:id="851720132">
      <w:bodyDiv w:val="1"/>
      <w:marLeft w:val="0"/>
      <w:marRight w:val="0"/>
      <w:marTop w:val="0"/>
      <w:marBottom w:val="0"/>
      <w:divBdr>
        <w:top w:val="none" w:sz="0" w:space="0" w:color="auto"/>
        <w:left w:val="none" w:sz="0" w:space="0" w:color="auto"/>
        <w:bottom w:val="none" w:sz="0" w:space="0" w:color="auto"/>
        <w:right w:val="none" w:sz="0" w:space="0" w:color="auto"/>
      </w:divBdr>
    </w:div>
    <w:div w:id="851840324">
      <w:bodyDiv w:val="1"/>
      <w:marLeft w:val="0"/>
      <w:marRight w:val="0"/>
      <w:marTop w:val="0"/>
      <w:marBottom w:val="0"/>
      <w:divBdr>
        <w:top w:val="none" w:sz="0" w:space="0" w:color="auto"/>
        <w:left w:val="none" w:sz="0" w:space="0" w:color="auto"/>
        <w:bottom w:val="none" w:sz="0" w:space="0" w:color="auto"/>
        <w:right w:val="none" w:sz="0" w:space="0" w:color="auto"/>
      </w:divBdr>
    </w:div>
    <w:div w:id="851916074">
      <w:bodyDiv w:val="1"/>
      <w:marLeft w:val="0"/>
      <w:marRight w:val="0"/>
      <w:marTop w:val="0"/>
      <w:marBottom w:val="0"/>
      <w:divBdr>
        <w:top w:val="none" w:sz="0" w:space="0" w:color="auto"/>
        <w:left w:val="none" w:sz="0" w:space="0" w:color="auto"/>
        <w:bottom w:val="none" w:sz="0" w:space="0" w:color="auto"/>
        <w:right w:val="none" w:sz="0" w:space="0" w:color="auto"/>
      </w:divBdr>
    </w:div>
    <w:div w:id="852037610">
      <w:bodyDiv w:val="1"/>
      <w:marLeft w:val="0"/>
      <w:marRight w:val="0"/>
      <w:marTop w:val="0"/>
      <w:marBottom w:val="0"/>
      <w:divBdr>
        <w:top w:val="none" w:sz="0" w:space="0" w:color="auto"/>
        <w:left w:val="none" w:sz="0" w:space="0" w:color="auto"/>
        <w:bottom w:val="none" w:sz="0" w:space="0" w:color="auto"/>
        <w:right w:val="none" w:sz="0" w:space="0" w:color="auto"/>
      </w:divBdr>
    </w:div>
    <w:div w:id="852039117">
      <w:bodyDiv w:val="1"/>
      <w:marLeft w:val="0"/>
      <w:marRight w:val="0"/>
      <w:marTop w:val="0"/>
      <w:marBottom w:val="0"/>
      <w:divBdr>
        <w:top w:val="none" w:sz="0" w:space="0" w:color="auto"/>
        <w:left w:val="none" w:sz="0" w:space="0" w:color="auto"/>
        <w:bottom w:val="none" w:sz="0" w:space="0" w:color="auto"/>
        <w:right w:val="none" w:sz="0" w:space="0" w:color="auto"/>
      </w:divBdr>
    </w:div>
    <w:div w:id="852111008">
      <w:bodyDiv w:val="1"/>
      <w:marLeft w:val="0"/>
      <w:marRight w:val="0"/>
      <w:marTop w:val="0"/>
      <w:marBottom w:val="0"/>
      <w:divBdr>
        <w:top w:val="none" w:sz="0" w:space="0" w:color="auto"/>
        <w:left w:val="none" w:sz="0" w:space="0" w:color="auto"/>
        <w:bottom w:val="none" w:sz="0" w:space="0" w:color="auto"/>
        <w:right w:val="none" w:sz="0" w:space="0" w:color="auto"/>
      </w:divBdr>
    </w:div>
    <w:div w:id="852114326">
      <w:bodyDiv w:val="1"/>
      <w:marLeft w:val="0"/>
      <w:marRight w:val="0"/>
      <w:marTop w:val="0"/>
      <w:marBottom w:val="0"/>
      <w:divBdr>
        <w:top w:val="none" w:sz="0" w:space="0" w:color="auto"/>
        <w:left w:val="none" w:sz="0" w:space="0" w:color="auto"/>
        <w:bottom w:val="none" w:sz="0" w:space="0" w:color="auto"/>
        <w:right w:val="none" w:sz="0" w:space="0" w:color="auto"/>
      </w:divBdr>
    </w:div>
    <w:div w:id="852186403">
      <w:bodyDiv w:val="1"/>
      <w:marLeft w:val="0"/>
      <w:marRight w:val="0"/>
      <w:marTop w:val="0"/>
      <w:marBottom w:val="0"/>
      <w:divBdr>
        <w:top w:val="none" w:sz="0" w:space="0" w:color="auto"/>
        <w:left w:val="none" w:sz="0" w:space="0" w:color="auto"/>
        <w:bottom w:val="none" w:sz="0" w:space="0" w:color="auto"/>
        <w:right w:val="none" w:sz="0" w:space="0" w:color="auto"/>
      </w:divBdr>
    </w:div>
    <w:div w:id="852259457">
      <w:bodyDiv w:val="1"/>
      <w:marLeft w:val="0"/>
      <w:marRight w:val="0"/>
      <w:marTop w:val="0"/>
      <w:marBottom w:val="0"/>
      <w:divBdr>
        <w:top w:val="none" w:sz="0" w:space="0" w:color="auto"/>
        <w:left w:val="none" w:sz="0" w:space="0" w:color="auto"/>
        <w:bottom w:val="none" w:sz="0" w:space="0" w:color="auto"/>
        <w:right w:val="none" w:sz="0" w:space="0" w:color="auto"/>
      </w:divBdr>
    </w:div>
    <w:div w:id="852260443">
      <w:bodyDiv w:val="1"/>
      <w:marLeft w:val="0"/>
      <w:marRight w:val="0"/>
      <w:marTop w:val="0"/>
      <w:marBottom w:val="0"/>
      <w:divBdr>
        <w:top w:val="none" w:sz="0" w:space="0" w:color="auto"/>
        <w:left w:val="none" w:sz="0" w:space="0" w:color="auto"/>
        <w:bottom w:val="none" w:sz="0" w:space="0" w:color="auto"/>
        <w:right w:val="none" w:sz="0" w:space="0" w:color="auto"/>
      </w:divBdr>
    </w:div>
    <w:div w:id="852302109">
      <w:bodyDiv w:val="1"/>
      <w:marLeft w:val="0"/>
      <w:marRight w:val="0"/>
      <w:marTop w:val="0"/>
      <w:marBottom w:val="0"/>
      <w:divBdr>
        <w:top w:val="none" w:sz="0" w:space="0" w:color="auto"/>
        <w:left w:val="none" w:sz="0" w:space="0" w:color="auto"/>
        <w:bottom w:val="none" w:sz="0" w:space="0" w:color="auto"/>
        <w:right w:val="none" w:sz="0" w:space="0" w:color="auto"/>
      </w:divBdr>
    </w:div>
    <w:div w:id="852495079">
      <w:bodyDiv w:val="1"/>
      <w:marLeft w:val="0"/>
      <w:marRight w:val="0"/>
      <w:marTop w:val="0"/>
      <w:marBottom w:val="0"/>
      <w:divBdr>
        <w:top w:val="none" w:sz="0" w:space="0" w:color="auto"/>
        <w:left w:val="none" w:sz="0" w:space="0" w:color="auto"/>
        <w:bottom w:val="none" w:sz="0" w:space="0" w:color="auto"/>
        <w:right w:val="none" w:sz="0" w:space="0" w:color="auto"/>
      </w:divBdr>
    </w:div>
    <w:div w:id="852572555">
      <w:bodyDiv w:val="1"/>
      <w:marLeft w:val="0"/>
      <w:marRight w:val="0"/>
      <w:marTop w:val="0"/>
      <w:marBottom w:val="0"/>
      <w:divBdr>
        <w:top w:val="none" w:sz="0" w:space="0" w:color="auto"/>
        <w:left w:val="none" w:sz="0" w:space="0" w:color="auto"/>
        <w:bottom w:val="none" w:sz="0" w:space="0" w:color="auto"/>
        <w:right w:val="none" w:sz="0" w:space="0" w:color="auto"/>
      </w:divBdr>
    </w:div>
    <w:div w:id="853036633">
      <w:bodyDiv w:val="1"/>
      <w:marLeft w:val="0"/>
      <w:marRight w:val="0"/>
      <w:marTop w:val="0"/>
      <w:marBottom w:val="0"/>
      <w:divBdr>
        <w:top w:val="none" w:sz="0" w:space="0" w:color="auto"/>
        <w:left w:val="none" w:sz="0" w:space="0" w:color="auto"/>
        <w:bottom w:val="none" w:sz="0" w:space="0" w:color="auto"/>
        <w:right w:val="none" w:sz="0" w:space="0" w:color="auto"/>
      </w:divBdr>
    </w:div>
    <w:div w:id="853036679">
      <w:bodyDiv w:val="1"/>
      <w:marLeft w:val="0"/>
      <w:marRight w:val="0"/>
      <w:marTop w:val="0"/>
      <w:marBottom w:val="0"/>
      <w:divBdr>
        <w:top w:val="none" w:sz="0" w:space="0" w:color="auto"/>
        <w:left w:val="none" w:sz="0" w:space="0" w:color="auto"/>
        <w:bottom w:val="none" w:sz="0" w:space="0" w:color="auto"/>
        <w:right w:val="none" w:sz="0" w:space="0" w:color="auto"/>
      </w:divBdr>
    </w:div>
    <w:div w:id="853111391">
      <w:bodyDiv w:val="1"/>
      <w:marLeft w:val="0"/>
      <w:marRight w:val="0"/>
      <w:marTop w:val="0"/>
      <w:marBottom w:val="0"/>
      <w:divBdr>
        <w:top w:val="none" w:sz="0" w:space="0" w:color="auto"/>
        <w:left w:val="none" w:sz="0" w:space="0" w:color="auto"/>
        <w:bottom w:val="none" w:sz="0" w:space="0" w:color="auto"/>
        <w:right w:val="none" w:sz="0" w:space="0" w:color="auto"/>
      </w:divBdr>
    </w:div>
    <w:div w:id="853227480">
      <w:bodyDiv w:val="1"/>
      <w:marLeft w:val="0"/>
      <w:marRight w:val="0"/>
      <w:marTop w:val="0"/>
      <w:marBottom w:val="0"/>
      <w:divBdr>
        <w:top w:val="none" w:sz="0" w:space="0" w:color="auto"/>
        <w:left w:val="none" w:sz="0" w:space="0" w:color="auto"/>
        <w:bottom w:val="none" w:sz="0" w:space="0" w:color="auto"/>
        <w:right w:val="none" w:sz="0" w:space="0" w:color="auto"/>
      </w:divBdr>
    </w:div>
    <w:div w:id="853304293">
      <w:bodyDiv w:val="1"/>
      <w:marLeft w:val="0"/>
      <w:marRight w:val="0"/>
      <w:marTop w:val="0"/>
      <w:marBottom w:val="0"/>
      <w:divBdr>
        <w:top w:val="none" w:sz="0" w:space="0" w:color="auto"/>
        <w:left w:val="none" w:sz="0" w:space="0" w:color="auto"/>
        <w:bottom w:val="none" w:sz="0" w:space="0" w:color="auto"/>
        <w:right w:val="none" w:sz="0" w:space="0" w:color="auto"/>
      </w:divBdr>
    </w:div>
    <w:div w:id="853307803">
      <w:bodyDiv w:val="1"/>
      <w:marLeft w:val="0"/>
      <w:marRight w:val="0"/>
      <w:marTop w:val="0"/>
      <w:marBottom w:val="0"/>
      <w:divBdr>
        <w:top w:val="none" w:sz="0" w:space="0" w:color="auto"/>
        <w:left w:val="none" w:sz="0" w:space="0" w:color="auto"/>
        <w:bottom w:val="none" w:sz="0" w:space="0" w:color="auto"/>
        <w:right w:val="none" w:sz="0" w:space="0" w:color="auto"/>
      </w:divBdr>
    </w:div>
    <w:div w:id="853348645">
      <w:bodyDiv w:val="1"/>
      <w:marLeft w:val="0"/>
      <w:marRight w:val="0"/>
      <w:marTop w:val="0"/>
      <w:marBottom w:val="0"/>
      <w:divBdr>
        <w:top w:val="none" w:sz="0" w:space="0" w:color="auto"/>
        <w:left w:val="none" w:sz="0" w:space="0" w:color="auto"/>
        <w:bottom w:val="none" w:sz="0" w:space="0" w:color="auto"/>
        <w:right w:val="none" w:sz="0" w:space="0" w:color="auto"/>
      </w:divBdr>
    </w:div>
    <w:div w:id="853420715">
      <w:bodyDiv w:val="1"/>
      <w:marLeft w:val="0"/>
      <w:marRight w:val="0"/>
      <w:marTop w:val="0"/>
      <w:marBottom w:val="0"/>
      <w:divBdr>
        <w:top w:val="none" w:sz="0" w:space="0" w:color="auto"/>
        <w:left w:val="none" w:sz="0" w:space="0" w:color="auto"/>
        <w:bottom w:val="none" w:sz="0" w:space="0" w:color="auto"/>
        <w:right w:val="none" w:sz="0" w:space="0" w:color="auto"/>
      </w:divBdr>
    </w:div>
    <w:div w:id="853494624">
      <w:bodyDiv w:val="1"/>
      <w:marLeft w:val="0"/>
      <w:marRight w:val="0"/>
      <w:marTop w:val="0"/>
      <w:marBottom w:val="0"/>
      <w:divBdr>
        <w:top w:val="none" w:sz="0" w:space="0" w:color="auto"/>
        <w:left w:val="none" w:sz="0" w:space="0" w:color="auto"/>
        <w:bottom w:val="none" w:sz="0" w:space="0" w:color="auto"/>
        <w:right w:val="none" w:sz="0" w:space="0" w:color="auto"/>
      </w:divBdr>
    </w:div>
    <w:div w:id="853497500">
      <w:bodyDiv w:val="1"/>
      <w:marLeft w:val="0"/>
      <w:marRight w:val="0"/>
      <w:marTop w:val="0"/>
      <w:marBottom w:val="0"/>
      <w:divBdr>
        <w:top w:val="none" w:sz="0" w:space="0" w:color="auto"/>
        <w:left w:val="none" w:sz="0" w:space="0" w:color="auto"/>
        <w:bottom w:val="none" w:sz="0" w:space="0" w:color="auto"/>
        <w:right w:val="none" w:sz="0" w:space="0" w:color="auto"/>
      </w:divBdr>
    </w:div>
    <w:div w:id="853572512">
      <w:bodyDiv w:val="1"/>
      <w:marLeft w:val="0"/>
      <w:marRight w:val="0"/>
      <w:marTop w:val="0"/>
      <w:marBottom w:val="0"/>
      <w:divBdr>
        <w:top w:val="none" w:sz="0" w:space="0" w:color="auto"/>
        <w:left w:val="none" w:sz="0" w:space="0" w:color="auto"/>
        <w:bottom w:val="none" w:sz="0" w:space="0" w:color="auto"/>
        <w:right w:val="none" w:sz="0" w:space="0" w:color="auto"/>
      </w:divBdr>
    </w:div>
    <w:div w:id="853688558">
      <w:bodyDiv w:val="1"/>
      <w:marLeft w:val="0"/>
      <w:marRight w:val="0"/>
      <w:marTop w:val="0"/>
      <w:marBottom w:val="0"/>
      <w:divBdr>
        <w:top w:val="none" w:sz="0" w:space="0" w:color="auto"/>
        <w:left w:val="none" w:sz="0" w:space="0" w:color="auto"/>
        <w:bottom w:val="none" w:sz="0" w:space="0" w:color="auto"/>
        <w:right w:val="none" w:sz="0" w:space="0" w:color="auto"/>
      </w:divBdr>
    </w:div>
    <w:div w:id="853805555">
      <w:bodyDiv w:val="1"/>
      <w:marLeft w:val="0"/>
      <w:marRight w:val="0"/>
      <w:marTop w:val="0"/>
      <w:marBottom w:val="0"/>
      <w:divBdr>
        <w:top w:val="none" w:sz="0" w:space="0" w:color="auto"/>
        <w:left w:val="none" w:sz="0" w:space="0" w:color="auto"/>
        <w:bottom w:val="none" w:sz="0" w:space="0" w:color="auto"/>
        <w:right w:val="none" w:sz="0" w:space="0" w:color="auto"/>
      </w:divBdr>
    </w:div>
    <w:div w:id="853884484">
      <w:bodyDiv w:val="1"/>
      <w:marLeft w:val="0"/>
      <w:marRight w:val="0"/>
      <w:marTop w:val="0"/>
      <w:marBottom w:val="0"/>
      <w:divBdr>
        <w:top w:val="none" w:sz="0" w:space="0" w:color="auto"/>
        <w:left w:val="none" w:sz="0" w:space="0" w:color="auto"/>
        <w:bottom w:val="none" w:sz="0" w:space="0" w:color="auto"/>
        <w:right w:val="none" w:sz="0" w:space="0" w:color="auto"/>
      </w:divBdr>
    </w:div>
    <w:div w:id="853960265">
      <w:bodyDiv w:val="1"/>
      <w:marLeft w:val="0"/>
      <w:marRight w:val="0"/>
      <w:marTop w:val="0"/>
      <w:marBottom w:val="0"/>
      <w:divBdr>
        <w:top w:val="none" w:sz="0" w:space="0" w:color="auto"/>
        <w:left w:val="none" w:sz="0" w:space="0" w:color="auto"/>
        <w:bottom w:val="none" w:sz="0" w:space="0" w:color="auto"/>
        <w:right w:val="none" w:sz="0" w:space="0" w:color="auto"/>
      </w:divBdr>
    </w:div>
    <w:div w:id="854002958">
      <w:bodyDiv w:val="1"/>
      <w:marLeft w:val="0"/>
      <w:marRight w:val="0"/>
      <w:marTop w:val="0"/>
      <w:marBottom w:val="0"/>
      <w:divBdr>
        <w:top w:val="none" w:sz="0" w:space="0" w:color="auto"/>
        <w:left w:val="none" w:sz="0" w:space="0" w:color="auto"/>
        <w:bottom w:val="none" w:sz="0" w:space="0" w:color="auto"/>
        <w:right w:val="none" w:sz="0" w:space="0" w:color="auto"/>
      </w:divBdr>
    </w:div>
    <w:div w:id="854030809">
      <w:bodyDiv w:val="1"/>
      <w:marLeft w:val="0"/>
      <w:marRight w:val="0"/>
      <w:marTop w:val="0"/>
      <w:marBottom w:val="0"/>
      <w:divBdr>
        <w:top w:val="none" w:sz="0" w:space="0" w:color="auto"/>
        <w:left w:val="none" w:sz="0" w:space="0" w:color="auto"/>
        <w:bottom w:val="none" w:sz="0" w:space="0" w:color="auto"/>
        <w:right w:val="none" w:sz="0" w:space="0" w:color="auto"/>
      </w:divBdr>
    </w:div>
    <w:div w:id="854080732">
      <w:bodyDiv w:val="1"/>
      <w:marLeft w:val="0"/>
      <w:marRight w:val="0"/>
      <w:marTop w:val="0"/>
      <w:marBottom w:val="0"/>
      <w:divBdr>
        <w:top w:val="none" w:sz="0" w:space="0" w:color="auto"/>
        <w:left w:val="none" w:sz="0" w:space="0" w:color="auto"/>
        <w:bottom w:val="none" w:sz="0" w:space="0" w:color="auto"/>
        <w:right w:val="none" w:sz="0" w:space="0" w:color="auto"/>
      </w:divBdr>
    </w:div>
    <w:div w:id="854273955">
      <w:bodyDiv w:val="1"/>
      <w:marLeft w:val="0"/>
      <w:marRight w:val="0"/>
      <w:marTop w:val="0"/>
      <w:marBottom w:val="0"/>
      <w:divBdr>
        <w:top w:val="none" w:sz="0" w:space="0" w:color="auto"/>
        <w:left w:val="none" w:sz="0" w:space="0" w:color="auto"/>
        <w:bottom w:val="none" w:sz="0" w:space="0" w:color="auto"/>
        <w:right w:val="none" w:sz="0" w:space="0" w:color="auto"/>
      </w:divBdr>
    </w:div>
    <w:div w:id="854344737">
      <w:bodyDiv w:val="1"/>
      <w:marLeft w:val="0"/>
      <w:marRight w:val="0"/>
      <w:marTop w:val="0"/>
      <w:marBottom w:val="0"/>
      <w:divBdr>
        <w:top w:val="none" w:sz="0" w:space="0" w:color="auto"/>
        <w:left w:val="none" w:sz="0" w:space="0" w:color="auto"/>
        <w:bottom w:val="none" w:sz="0" w:space="0" w:color="auto"/>
        <w:right w:val="none" w:sz="0" w:space="0" w:color="auto"/>
      </w:divBdr>
    </w:div>
    <w:div w:id="854419160">
      <w:bodyDiv w:val="1"/>
      <w:marLeft w:val="0"/>
      <w:marRight w:val="0"/>
      <w:marTop w:val="0"/>
      <w:marBottom w:val="0"/>
      <w:divBdr>
        <w:top w:val="none" w:sz="0" w:space="0" w:color="auto"/>
        <w:left w:val="none" w:sz="0" w:space="0" w:color="auto"/>
        <w:bottom w:val="none" w:sz="0" w:space="0" w:color="auto"/>
        <w:right w:val="none" w:sz="0" w:space="0" w:color="auto"/>
      </w:divBdr>
    </w:div>
    <w:div w:id="854539808">
      <w:bodyDiv w:val="1"/>
      <w:marLeft w:val="0"/>
      <w:marRight w:val="0"/>
      <w:marTop w:val="0"/>
      <w:marBottom w:val="0"/>
      <w:divBdr>
        <w:top w:val="none" w:sz="0" w:space="0" w:color="auto"/>
        <w:left w:val="none" w:sz="0" w:space="0" w:color="auto"/>
        <w:bottom w:val="none" w:sz="0" w:space="0" w:color="auto"/>
        <w:right w:val="none" w:sz="0" w:space="0" w:color="auto"/>
      </w:divBdr>
    </w:div>
    <w:div w:id="854541112">
      <w:bodyDiv w:val="1"/>
      <w:marLeft w:val="0"/>
      <w:marRight w:val="0"/>
      <w:marTop w:val="0"/>
      <w:marBottom w:val="0"/>
      <w:divBdr>
        <w:top w:val="none" w:sz="0" w:space="0" w:color="auto"/>
        <w:left w:val="none" w:sz="0" w:space="0" w:color="auto"/>
        <w:bottom w:val="none" w:sz="0" w:space="0" w:color="auto"/>
        <w:right w:val="none" w:sz="0" w:space="0" w:color="auto"/>
      </w:divBdr>
    </w:div>
    <w:div w:id="854609344">
      <w:bodyDiv w:val="1"/>
      <w:marLeft w:val="0"/>
      <w:marRight w:val="0"/>
      <w:marTop w:val="0"/>
      <w:marBottom w:val="0"/>
      <w:divBdr>
        <w:top w:val="none" w:sz="0" w:space="0" w:color="auto"/>
        <w:left w:val="none" w:sz="0" w:space="0" w:color="auto"/>
        <w:bottom w:val="none" w:sz="0" w:space="0" w:color="auto"/>
        <w:right w:val="none" w:sz="0" w:space="0" w:color="auto"/>
      </w:divBdr>
    </w:div>
    <w:div w:id="854613109">
      <w:bodyDiv w:val="1"/>
      <w:marLeft w:val="0"/>
      <w:marRight w:val="0"/>
      <w:marTop w:val="0"/>
      <w:marBottom w:val="0"/>
      <w:divBdr>
        <w:top w:val="none" w:sz="0" w:space="0" w:color="auto"/>
        <w:left w:val="none" w:sz="0" w:space="0" w:color="auto"/>
        <w:bottom w:val="none" w:sz="0" w:space="0" w:color="auto"/>
        <w:right w:val="none" w:sz="0" w:space="0" w:color="auto"/>
      </w:divBdr>
    </w:div>
    <w:div w:id="854617023">
      <w:bodyDiv w:val="1"/>
      <w:marLeft w:val="0"/>
      <w:marRight w:val="0"/>
      <w:marTop w:val="0"/>
      <w:marBottom w:val="0"/>
      <w:divBdr>
        <w:top w:val="none" w:sz="0" w:space="0" w:color="auto"/>
        <w:left w:val="none" w:sz="0" w:space="0" w:color="auto"/>
        <w:bottom w:val="none" w:sz="0" w:space="0" w:color="auto"/>
        <w:right w:val="none" w:sz="0" w:space="0" w:color="auto"/>
      </w:divBdr>
    </w:div>
    <w:div w:id="854804436">
      <w:bodyDiv w:val="1"/>
      <w:marLeft w:val="0"/>
      <w:marRight w:val="0"/>
      <w:marTop w:val="0"/>
      <w:marBottom w:val="0"/>
      <w:divBdr>
        <w:top w:val="none" w:sz="0" w:space="0" w:color="auto"/>
        <w:left w:val="none" w:sz="0" w:space="0" w:color="auto"/>
        <w:bottom w:val="none" w:sz="0" w:space="0" w:color="auto"/>
        <w:right w:val="none" w:sz="0" w:space="0" w:color="auto"/>
      </w:divBdr>
    </w:div>
    <w:div w:id="854852988">
      <w:bodyDiv w:val="1"/>
      <w:marLeft w:val="0"/>
      <w:marRight w:val="0"/>
      <w:marTop w:val="0"/>
      <w:marBottom w:val="0"/>
      <w:divBdr>
        <w:top w:val="none" w:sz="0" w:space="0" w:color="auto"/>
        <w:left w:val="none" w:sz="0" w:space="0" w:color="auto"/>
        <w:bottom w:val="none" w:sz="0" w:space="0" w:color="auto"/>
        <w:right w:val="none" w:sz="0" w:space="0" w:color="auto"/>
      </w:divBdr>
    </w:div>
    <w:div w:id="855072822">
      <w:bodyDiv w:val="1"/>
      <w:marLeft w:val="0"/>
      <w:marRight w:val="0"/>
      <w:marTop w:val="0"/>
      <w:marBottom w:val="0"/>
      <w:divBdr>
        <w:top w:val="none" w:sz="0" w:space="0" w:color="auto"/>
        <w:left w:val="none" w:sz="0" w:space="0" w:color="auto"/>
        <w:bottom w:val="none" w:sz="0" w:space="0" w:color="auto"/>
        <w:right w:val="none" w:sz="0" w:space="0" w:color="auto"/>
      </w:divBdr>
    </w:div>
    <w:div w:id="855114046">
      <w:bodyDiv w:val="1"/>
      <w:marLeft w:val="0"/>
      <w:marRight w:val="0"/>
      <w:marTop w:val="0"/>
      <w:marBottom w:val="0"/>
      <w:divBdr>
        <w:top w:val="none" w:sz="0" w:space="0" w:color="auto"/>
        <w:left w:val="none" w:sz="0" w:space="0" w:color="auto"/>
        <w:bottom w:val="none" w:sz="0" w:space="0" w:color="auto"/>
        <w:right w:val="none" w:sz="0" w:space="0" w:color="auto"/>
      </w:divBdr>
    </w:div>
    <w:div w:id="855190505">
      <w:bodyDiv w:val="1"/>
      <w:marLeft w:val="0"/>
      <w:marRight w:val="0"/>
      <w:marTop w:val="0"/>
      <w:marBottom w:val="0"/>
      <w:divBdr>
        <w:top w:val="none" w:sz="0" w:space="0" w:color="auto"/>
        <w:left w:val="none" w:sz="0" w:space="0" w:color="auto"/>
        <w:bottom w:val="none" w:sz="0" w:space="0" w:color="auto"/>
        <w:right w:val="none" w:sz="0" w:space="0" w:color="auto"/>
      </w:divBdr>
    </w:div>
    <w:div w:id="855193600">
      <w:bodyDiv w:val="1"/>
      <w:marLeft w:val="0"/>
      <w:marRight w:val="0"/>
      <w:marTop w:val="0"/>
      <w:marBottom w:val="0"/>
      <w:divBdr>
        <w:top w:val="none" w:sz="0" w:space="0" w:color="auto"/>
        <w:left w:val="none" w:sz="0" w:space="0" w:color="auto"/>
        <w:bottom w:val="none" w:sz="0" w:space="0" w:color="auto"/>
        <w:right w:val="none" w:sz="0" w:space="0" w:color="auto"/>
      </w:divBdr>
    </w:div>
    <w:div w:id="855197311">
      <w:bodyDiv w:val="1"/>
      <w:marLeft w:val="0"/>
      <w:marRight w:val="0"/>
      <w:marTop w:val="0"/>
      <w:marBottom w:val="0"/>
      <w:divBdr>
        <w:top w:val="none" w:sz="0" w:space="0" w:color="auto"/>
        <w:left w:val="none" w:sz="0" w:space="0" w:color="auto"/>
        <w:bottom w:val="none" w:sz="0" w:space="0" w:color="auto"/>
        <w:right w:val="none" w:sz="0" w:space="0" w:color="auto"/>
      </w:divBdr>
    </w:div>
    <w:div w:id="855458352">
      <w:bodyDiv w:val="1"/>
      <w:marLeft w:val="0"/>
      <w:marRight w:val="0"/>
      <w:marTop w:val="0"/>
      <w:marBottom w:val="0"/>
      <w:divBdr>
        <w:top w:val="none" w:sz="0" w:space="0" w:color="auto"/>
        <w:left w:val="none" w:sz="0" w:space="0" w:color="auto"/>
        <w:bottom w:val="none" w:sz="0" w:space="0" w:color="auto"/>
        <w:right w:val="none" w:sz="0" w:space="0" w:color="auto"/>
      </w:divBdr>
    </w:div>
    <w:div w:id="855576928">
      <w:bodyDiv w:val="1"/>
      <w:marLeft w:val="0"/>
      <w:marRight w:val="0"/>
      <w:marTop w:val="0"/>
      <w:marBottom w:val="0"/>
      <w:divBdr>
        <w:top w:val="none" w:sz="0" w:space="0" w:color="auto"/>
        <w:left w:val="none" w:sz="0" w:space="0" w:color="auto"/>
        <w:bottom w:val="none" w:sz="0" w:space="0" w:color="auto"/>
        <w:right w:val="none" w:sz="0" w:space="0" w:color="auto"/>
      </w:divBdr>
    </w:div>
    <w:div w:id="855583527">
      <w:bodyDiv w:val="1"/>
      <w:marLeft w:val="0"/>
      <w:marRight w:val="0"/>
      <w:marTop w:val="0"/>
      <w:marBottom w:val="0"/>
      <w:divBdr>
        <w:top w:val="none" w:sz="0" w:space="0" w:color="auto"/>
        <w:left w:val="none" w:sz="0" w:space="0" w:color="auto"/>
        <w:bottom w:val="none" w:sz="0" w:space="0" w:color="auto"/>
        <w:right w:val="none" w:sz="0" w:space="0" w:color="auto"/>
      </w:divBdr>
    </w:div>
    <w:div w:id="855801413">
      <w:bodyDiv w:val="1"/>
      <w:marLeft w:val="0"/>
      <w:marRight w:val="0"/>
      <w:marTop w:val="0"/>
      <w:marBottom w:val="0"/>
      <w:divBdr>
        <w:top w:val="none" w:sz="0" w:space="0" w:color="auto"/>
        <w:left w:val="none" w:sz="0" w:space="0" w:color="auto"/>
        <w:bottom w:val="none" w:sz="0" w:space="0" w:color="auto"/>
        <w:right w:val="none" w:sz="0" w:space="0" w:color="auto"/>
      </w:divBdr>
    </w:div>
    <w:div w:id="855845641">
      <w:bodyDiv w:val="1"/>
      <w:marLeft w:val="0"/>
      <w:marRight w:val="0"/>
      <w:marTop w:val="0"/>
      <w:marBottom w:val="0"/>
      <w:divBdr>
        <w:top w:val="none" w:sz="0" w:space="0" w:color="auto"/>
        <w:left w:val="none" w:sz="0" w:space="0" w:color="auto"/>
        <w:bottom w:val="none" w:sz="0" w:space="0" w:color="auto"/>
        <w:right w:val="none" w:sz="0" w:space="0" w:color="auto"/>
      </w:divBdr>
    </w:div>
    <w:div w:id="855847941">
      <w:bodyDiv w:val="1"/>
      <w:marLeft w:val="0"/>
      <w:marRight w:val="0"/>
      <w:marTop w:val="0"/>
      <w:marBottom w:val="0"/>
      <w:divBdr>
        <w:top w:val="none" w:sz="0" w:space="0" w:color="auto"/>
        <w:left w:val="none" w:sz="0" w:space="0" w:color="auto"/>
        <w:bottom w:val="none" w:sz="0" w:space="0" w:color="auto"/>
        <w:right w:val="none" w:sz="0" w:space="0" w:color="auto"/>
      </w:divBdr>
    </w:div>
    <w:div w:id="855848392">
      <w:bodyDiv w:val="1"/>
      <w:marLeft w:val="0"/>
      <w:marRight w:val="0"/>
      <w:marTop w:val="0"/>
      <w:marBottom w:val="0"/>
      <w:divBdr>
        <w:top w:val="none" w:sz="0" w:space="0" w:color="auto"/>
        <w:left w:val="none" w:sz="0" w:space="0" w:color="auto"/>
        <w:bottom w:val="none" w:sz="0" w:space="0" w:color="auto"/>
        <w:right w:val="none" w:sz="0" w:space="0" w:color="auto"/>
      </w:divBdr>
    </w:div>
    <w:div w:id="855852477">
      <w:bodyDiv w:val="1"/>
      <w:marLeft w:val="0"/>
      <w:marRight w:val="0"/>
      <w:marTop w:val="0"/>
      <w:marBottom w:val="0"/>
      <w:divBdr>
        <w:top w:val="none" w:sz="0" w:space="0" w:color="auto"/>
        <w:left w:val="none" w:sz="0" w:space="0" w:color="auto"/>
        <w:bottom w:val="none" w:sz="0" w:space="0" w:color="auto"/>
        <w:right w:val="none" w:sz="0" w:space="0" w:color="auto"/>
      </w:divBdr>
    </w:div>
    <w:div w:id="855925497">
      <w:bodyDiv w:val="1"/>
      <w:marLeft w:val="0"/>
      <w:marRight w:val="0"/>
      <w:marTop w:val="0"/>
      <w:marBottom w:val="0"/>
      <w:divBdr>
        <w:top w:val="none" w:sz="0" w:space="0" w:color="auto"/>
        <w:left w:val="none" w:sz="0" w:space="0" w:color="auto"/>
        <w:bottom w:val="none" w:sz="0" w:space="0" w:color="auto"/>
        <w:right w:val="none" w:sz="0" w:space="0" w:color="auto"/>
      </w:divBdr>
    </w:div>
    <w:div w:id="856429404">
      <w:bodyDiv w:val="1"/>
      <w:marLeft w:val="0"/>
      <w:marRight w:val="0"/>
      <w:marTop w:val="0"/>
      <w:marBottom w:val="0"/>
      <w:divBdr>
        <w:top w:val="none" w:sz="0" w:space="0" w:color="auto"/>
        <w:left w:val="none" w:sz="0" w:space="0" w:color="auto"/>
        <w:bottom w:val="none" w:sz="0" w:space="0" w:color="auto"/>
        <w:right w:val="none" w:sz="0" w:space="0" w:color="auto"/>
      </w:divBdr>
    </w:div>
    <w:div w:id="856500452">
      <w:bodyDiv w:val="1"/>
      <w:marLeft w:val="0"/>
      <w:marRight w:val="0"/>
      <w:marTop w:val="0"/>
      <w:marBottom w:val="0"/>
      <w:divBdr>
        <w:top w:val="none" w:sz="0" w:space="0" w:color="auto"/>
        <w:left w:val="none" w:sz="0" w:space="0" w:color="auto"/>
        <w:bottom w:val="none" w:sz="0" w:space="0" w:color="auto"/>
        <w:right w:val="none" w:sz="0" w:space="0" w:color="auto"/>
      </w:divBdr>
    </w:div>
    <w:div w:id="856505623">
      <w:bodyDiv w:val="1"/>
      <w:marLeft w:val="0"/>
      <w:marRight w:val="0"/>
      <w:marTop w:val="0"/>
      <w:marBottom w:val="0"/>
      <w:divBdr>
        <w:top w:val="none" w:sz="0" w:space="0" w:color="auto"/>
        <w:left w:val="none" w:sz="0" w:space="0" w:color="auto"/>
        <w:bottom w:val="none" w:sz="0" w:space="0" w:color="auto"/>
        <w:right w:val="none" w:sz="0" w:space="0" w:color="auto"/>
      </w:divBdr>
    </w:div>
    <w:div w:id="856508074">
      <w:bodyDiv w:val="1"/>
      <w:marLeft w:val="0"/>
      <w:marRight w:val="0"/>
      <w:marTop w:val="0"/>
      <w:marBottom w:val="0"/>
      <w:divBdr>
        <w:top w:val="none" w:sz="0" w:space="0" w:color="auto"/>
        <w:left w:val="none" w:sz="0" w:space="0" w:color="auto"/>
        <w:bottom w:val="none" w:sz="0" w:space="0" w:color="auto"/>
        <w:right w:val="none" w:sz="0" w:space="0" w:color="auto"/>
      </w:divBdr>
    </w:div>
    <w:div w:id="856575988">
      <w:bodyDiv w:val="1"/>
      <w:marLeft w:val="0"/>
      <w:marRight w:val="0"/>
      <w:marTop w:val="0"/>
      <w:marBottom w:val="0"/>
      <w:divBdr>
        <w:top w:val="none" w:sz="0" w:space="0" w:color="auto"/>
        <w:left w:val="none" w:sz="0" w:space="0" w:color="auto"/>
        <w:bottom w:val="none" w:sz="0" w:space="0" w:color="auto"/>
        <w:right w:val="none" w:sz="0" w:space="0" w:color="auto"/>
      </w:divBdr>
    </w:div>
    <w:div w:id="856696952">
      <w:bodyDiv w:val="1"/>
      <w:marLeft w:val="0"/>
      <w:marRight w:val="0"/>
      <w:marTop w:val="0"/>
      <w:marBottom w:val="0"/>
      <w:divBdr>
        <w:top w:val="none" w:sz="0" w:space="0" w:color="auto"/>
        <w:left w:val="none" w:sz="0" w:space="0" w:color="auto"/>
        <w:bottom w:val="none" w:sz="0" w:space="0" w:color="auto"/>
        <w:right w:val="none" w:sz="0" w:space="0" w:color="auto"/>
      </w:divBdr>
    </w:div>
    <w:div w:id="856698670">
      <w:bodyDiv w:val="1"/>
      <w:marLeft w:val="0"/>
      <w:marRight w:val="0"/>
      <w:marTop w:val="0"/>
      <w:marBottom w:val="0"/>
      <w:divBdr>
        <w:top w:val="none" w:sz="0" w:space="0" w:color="auto"/>
        <w:left w:val="none" w:sz="0" w:space="0" w:color="auto"/>
        <w:bottom w:val="none" w:sz="0" w:space="0" w:color="auto"/>
        <w:right w:val="none" w:sz="0" w:space="0" w:color="auto"/>
      </w:divBdr>
    </w:div>
    <w:div w:id="856769630">
      <w:bodyDiv w:val="1"/>
      <w:marLeft w:val="0"/>
      <w:marRight w:val="0"/>
      <w:marTop w:val="0"/>
      <w:marBottom w:val="0"/>
      <w:divBdr>
        <w:top w:val="none" w:sz="0" w:space="0" w:color="auto"/>
        <w:left w:val="none" w:sz="0" w:space="0" w:color="auto"/>
        <w:bottom w:val="none" w:sz="0" w:space="0" w:color="auto"/>
        <w:right w:val="none" w:sz="0" w:space="0" w:color="auto"/>
      </w:divBdr>
    </w:div>
    <w:div w:id="856774633">
      <w:bodyDiv w:val="1"/>
      <w:marLeft w:val="0"/>
      <w:marRight w:val="0"/>
      <w:marTop w:val="0"/>
      <w:marBottom w:val="0"/>
      <w:divBdr>
        <w:top w:val="none" w:sz="0" w:space="0" w:color="auto"/>
        <w:left w:val="none" w:sz="0" w:space="0" w:color="auto"/>
        <w:bottom w:val="none" w:sz="0" w:space="0" w:color="auto"/>
        <w:right w:val="none" w:sz="0" w:space="0" w:color="auto"/>
      </w:divBdr>
    </w:div>
    <w:div w:id="856889414">
      <w:bodyDiv w:val="1"/>
      <w:marLeft w:val="0"/>
      <w:marRight w:val="0"/>
      <w:marTop w:val="0"/>
      <w:marBottom w:val="0"/>
      <w:divBdr>
        <w:top w:val="none" w:sz="0" w:space="0" w:color="auto"/>
        <w:left w:val="none" w:sz="0" w:space="0" w:color="auto"/>
        <w:bottom w:val="none" w:sz="0" w:space="0" w:color="auto"/>
        <w:right w:val="none" w:sz="0" w:space="0" w:color="auto"/>
      </w:divBdr>
    </w:div>
    <w:div w:id="857042100">
      <w:bodyDiv w:val="1"/>
      <w:marLeft w:val="0"/>
      <w:marRight w:val="0"/>
      <w:marTop w:val="0"/>
      <w:marBottom w:val="0"/>
      <w:divBdr>
        <w:top w:val="none" w:sz="0" w:space="0" w:color="auto"/>
        <w:left w:val="none" w:sz="0" w:space="0" w:color="auto"/>
        <w:bottom w:val="none" w:sz="0" w:space="0" w:color="auto"/>
        <w:right w:val="none" w:sz="0" w:space="0" w:color="auto"/>
      </w:divBdr>
    </w:div>
    <w:div w:id="857081149">
      <w:bodyDiv w:val="1"/>
      <w:marLeft w:val="0"/>
      <w:marRight w:val="0"/>
      <w:marTop w:val="0"/>
      <w:marBottom w:val="0"/>
      <w:divBdr>
        <w:top w:val="none" w:sz="0" w:space="0" w:color="auto"/>
        <w:left w:val="none" w:sz="0" w:space="0" w:color="auto"/>
        <w:bottom w:val="none" w:sz="0" w:space="0" w:color="auto"/>
        <w:right w:val="none" w:sz="0" w:space="0" w:color="auto"/>
      </w:divBdr>
    </w:div>
    <w:div w:id="857157237">
      <w:bodyDiv w:val="1"/>
      <w:marLeft w:val="0"/>
      <w:marRight w:val="0"/>
      <w:marTop w:val="0"/>
      <w:marBottom w:val="0"/>
      <w:divBdr>
        <w:top w:val="none" w:sz="0" w:space="0" w:color="auto"/>
        <w:left w:val="none" w:sz="0" w:space="0" w:color="auto"/>
        <w:bottom w:val="none" w:sz="0" w:space="0" w:color="auto"/>
        <w:right w:val="none" w:sz="0" w:space="0" w:color="auto"/>
      </w:divBdr>
    </w:div>
    <w:div w:id="857276578">
      <w:bodyDiv w:val="1"/>
      <w:marLeft w:val="0"/>
      <w:marRight w:val="0"/>
      <w:marTop w:val="0"/>
      <w:marBottom w:val="0"/>
      <w:divBdr>
        <w:top w:val="none" w:sz="0" w:space="0" w:color="auto"/>
        <w:left w:val="none" w:sz="0" w:space="0" w:color="auto"/>
        <w:bottom w:val="none" w:sz="0" w:space="0" w:color="auto"/>
        <w:right w:val="none" w:sz="0" w:space="0" w:color="auto"/>
      </w:divBdr>
    </w:div>
    <w:div w:id="857309081">
      <w:bodyDiv w:val="1"/>
      <w:marLeft w:val="0"/>
      <w:marRight w:val="0"/>
      <w:marTop w:val="0"/>
      <w:marBottom w:val="0"/>
      <w:divBdr>
        <w:top w:val="none" w:sz="0" w:space="0" w:color="auto"/>
        <w:left w:val="none" w:sz="0" w:space="0" w:color="auto"/>
        <w:bottom w:val="none" w:sz="0" w:space="0" w:color="auto"/>
        <w:right w:val="none" w:sz="0" w:space="0" w:color="auto"/>
      </w:divBdr>
    </w:div>
    <w:div w:id="857427274">
      <w:bodyDiv w:val="1"/>
      <w:marLeft w:val="0"/>
      <w:marRight w:val="0"/>
      <w:marTop w:val="0"/>
      <w:marBottom w:val="0"/>
      <w:divBdr>
        <w:top w:val="none" w:sz="0" w:space="0" w:color="auto"/>
        <w:left w:val="none" w:sz="0" w:space="0" w:color="auto"/>
        <w:bottom w:val="none" w:sz="0" w:space="0" w:color="auto"/>
        <w:right w:val="none" w:sz="0" w:space="0" w:color="auto"/>
      </w:divBdr>
    </w:div>
    <w:div w:id="857430833">
      <w:bodyDiv w:val="1"/>
      <w:marLeft w:val="0"/>
      <w:marRight w:val="0"/>
      <w:marTop w:val="0"/>
      <w:marBottom w:val="0"/>
      <w:divBdr>
        <w:top w:val="none" w:sz="0" w:space="0" w:color="auto"/>
        <w:left w:val="none" w:sz="0" w:space="0" w:color="auto"/>
        <w:bottom w:val="none" w:sz="0" w:space="0" w:color="auto"/>
        <w:right w:val="none" w:sz="0" w:space="0" w:color="auto"/>
      </w:divBdr>
    </w:div>
    <w:div w:id="857502282">
      <w:bodyDiv w:val="1"/>
      <w:marLeft w:val="0"/>
      <w:marRight w:val="0"/>
      <w:marTop w:val="0"/>
      <w:marBottom w:val="0"/>
      <w:divBdr>
        <w:top w:val="none" w:sz="0" w:space="0" w:color="auto"/>
        <w:left w:val="none" w:sz="0" w:space="0" w:color="auto"/>
        <w:bottom w:val="none" w:sz="0" w:space="0" w:color="auto"/>
        <w:right w:val="none" w:sz="0" w:space="0" w:color="auto"/>
      </w:divBdr>
    </w:div>
    <w:div w:id="857505064">
      <w:bodyDiv w:val="1"/>
      <w:marLeft w:val="0"/>
      <w:marRight w:val="0"/>
      <w:marTop w:val="0"/>
      <w:marBottom w:val="0"/>
      <w:divBdr>
        <w:top w:val="none" w:sz="0" w:space="0" w:color="auto"/>
        <w:left w:val="none" w:sz="0" w:space="0" w:color="auto"/>
        <w:bottom w:val="none" w:sz="0" w:space="0" w:color="auto"/>
        <w:right w:val="none" w:sz="0" w:space="0" w:color="auto"/>
      </w:divBdr>
    </w:div>
    <w:div w:id="857547897">
      <w:bodyDiv w:val="1"/>
      <w:marLeft w:val="0"/>
      <w:marRight w:val="0"/>
      <w:marTop w:val="0"/>
      <w:marBottom w:val="0"/>
      <w:divBdr>
        <w:top w:val="none" w:sz="0" w:space="0" w:color="auto"/>
        <w:left w:val="none" w:sz="0" w:space="0" w:color="auto"/>
        <w:bottom w:val="none" w:sz="0" w:space="0" w:color="auto"/>
        <w:right w:val="none" w:sz="0" w:space="0" w:color="auto"/>
      </w:divBdr>
    </w:div>
    <w:div w:id="857693997">
      <w:bodyDiv w:val="1"/>
      <w:marLeft w:val="0"/>
      <w:marRight w:val="0"/>
      <w:marTop w:val="0"/>
      <w:marBottom w:val="0"/>
      <w:divBdr>
        <w:top w:val="none" w:sz="0" w:space="0" w:color="auto"/>
        <w:left w:val="none" w:sz="0" w:space="0" w:color="auto"/>
        <w:bottom w:val="none" w:sz="0" w:space="0" w:color="auto"/>
        <w:right w:val="none" w:sz="0" w:space="0" w:color="auto"/>
      </w:divBdr>
    </w:div>
    <w:div w:id="857737894">
      <w:bodyDiv w:val="1"/>
      <w:marLeft w:val="0"/>
      <w:marRight w:val="0"/>
      <w:marTop w:val="0"/>
      <w:marBottom w:val="0"/>
      <w:divBdr>
        <w:top w:val="none" w:sz="0" w:space="0" w:color="auto"/>
        <w:left w:val="none" w:sz="0" w:space="0" w:color="auto"/>
        <w:bottom w:val="none" w:sz="0" w:space="0" w:color="auto"/>
        <w:right w:val="none" w:sz="0" w:space="0" w:color="auto"/>
      </w:divBdr>
    </w:div>
    <w:div w:id="857814348">
      <w:bodyDiv w:val="1"/>
      <w:marLeft w:val="0"/>
      <w:marRight w:val="0"/>
      <w:marTop w:val="0"/>
      <w:marBottom w:val="0"/>
      <w:divBdr>
        <w:top w:val="none" w:sz="0" w:space="0" w:color="auto"/>
        <w:left w:val="none" w:sz="0" w:space="0" w:color="auto"/>
        <w:bottom w:val="none" w:sz="0" w:space="0" w:color="auto"/>
        <w:right w:val="none" w:sz="0" w:space="0" w:color="auto"/>
      </w:divBdr>
    </w:div>
    <w:div w:id="857935374">
      <w:bodyDiv w:val="1"/>
      <w:marLeft w:val="0"/>
      <w:marRight w:val="0"/>
      <w:marTop w:val="0"/>
      <w:marBottom w:val="0"/>
      <w:divBdr>
        <w:top w:val="none" w:sz="0" w:space="0" w:color="auto"/>
        <w:left w:val="none" w:sz="0" w:space="0" w:color="auto"/>
        <w:bottom w:val="none" w:sz="0" w:space="0" w:color="auto"/>
        <w:right w:val="none" w:sz="0" w:space="0" w:color="auto"/>
      </w:divBdr>
    </w:div>
    <w:div w:id="857963362">
      <w:bodyDiv w:val="1"/>
      <w:marLeft w:val="0"/>
      <w:marRight w:val="0"/>
      <w:marTop w:val="0"/>
      <w:marBottom w:val="0"/>
      <w:divBdr>
        <w:top w:val="none" w:sz="0" w:space="0" w:color="auto"/>
        <w:left w:val="none" w:sz="0" w:space="0" w:color="auto"/>
        <w:bottom w:val="none" w:sz="0" w:space="0" w:color="auto"/>
        <w:right w:val="none" w:sz="0" w:space="0" w:color="auto"/>
      </w:divBdr>
    </w:div>
    <w:div w:id="858009221">
      <w:bodyDiv w:val="1"/>
      <w:marLeft w:val="0"/>
      <w:marRight w:val="0"/>
      <w:marTop w:val="0"/>
      <w:marBottom w:val="0"/>
      <w:divBdr>
        <w:top w:val="none" w:sz="0" w:space="0" w:color="auto"/>
        <w:left w:val="none" w:sz="0" w:space="0" w:color="auto"/>
        <w:bottom w:val="none" w:sz="0" w:space="0" w:color="auto"/>
        <w:right w:val="none" w:sz="0" w:space="0" w:color="auto"/>
      </w:divBdr>
    </w:div>
    <w:div w:id="858082477">
      <w:bodyDiv w:val="1"/>
      <w:marLeft w:val="0"/>
      <w:marRight w:val="0"/>
      <w:marTop w:val="0"/>
      <w:marBottom w:val="0"/>
      <w:divBdr>
        <w:top w:val="none" w:sz="0" w:space="0" w:color="auto"/>
        <w:left w:val="none" w:sz="0" w:space="0" w:color="auto"/>
        <w:bottom w:val="none" w:sz="0" w:space="0" w:color="auto"/>
        <w:right w:val="none" w:sz="0" w:space="0" w:color="auto"/>
      </w:divBdr>
    </w:div>
    <w:div w:id="858087999">
      <w:bodyDiv w:val="1"/>
      <w:marLeft w:val="0"/>
      <w:marRight w:val="0"/>
      <w:marTop w:val="0"/>
      <w:marBottom w:val="0"/>
      <w:divBdr>
        <w:top w:val="none" w:sz="0" w:space="0" w:color="auto"/>
        <w:left w:val="none" w:sz="0" w:space="0" w:color="auto"/>
        <w:bottom w:val="none" w:sz="0" w:space="0" w:color="auto"/>
        <w:right w:val="none" w:sz="0" w:space="0" w:color="auto"/>
      </w:divBdr>
    </w:div>
    <w:div w:id="858157908">
      <w:bodyDiv w:val="1"/>
      <w:marLeft w:val="0"/>
      <w:marRight w:val="0"/>
      <w:marTop w:val="0"/>
      <w:marBottom w:val="0"/>
      <w:divBdr>
        <w:top w:val="none" w:sz="0" w:space="0" w:color="auto"/>
        <w:left w:val="none" w:sz="0" w:space="0" w:color="auto"/>
        <w:bottom w:val="none" w:sz="0" w:space="0" w:color="auto"/>
        <w:right w:val="none" w:sz="0" w:space="0" w:color="auto"/>
      </w:divBdr>
    </w:div>
    <w:div w:id="858197855">
      <w:bodyDiv w:val="1"/>
      <w:marLeft w:val="0"/>
      <w:marRight w:val="0"/>
      <w:marTop w:val="0"/>
      <w:marBottom w:val="0"/>
      <w:divBdr>
        <w:top w:val="none" w:sz="0" w:space="0" w:color="auto"/>
        <w:left w:val="none" w:sz="0" w:space="0" w:color="auto"/>
        <w:bottom w:val="none" w:sz="0" w:space="0" w:color="auto"/>
        <w:right w:val="none" w:sz="0" w:space="0" w:color="auto"/>
      </w:divBdr>
    </w:div>
    <w:div w:id="858276992">
      <w:bodyDiv w:val="1"/>
      <w:marLeft w:val="0"/>
      <w:marRight w:val="0"/>
      <w:marTop w:val="0"/>
      <w:marBottom w:val="0"/>
      <w:divBdr>
        <w:top w:val="none" w:sz="0" w:space="0" w:color="auto"/>
        <w:left w:val="none" w:sz="0" w:space="0" w:color="auto"/>
        <w:bottom w:val="none" w:sz="0" w:space="0" w:color="auto"/>
        <w:right w:val="none" w:sz="0" w:space="0" w:color="auto"/>
      </w:divBdr>
    </w:div>
    <w:div w:id="858280330">
      <w:bodyDiv w:val="1"/>
      <w:marLeft w:val="0"/>
      <w:marRight w:val="0"/>
      <w:marTop w:val="0"/>
      <w:marBottom w:val="0"/>
      <w:divBdr>
        <w:top w:val="none" w:sz="0" w:space="0" w:color="auto"/>
        <w:left w:val="none" w:sz="0" w:space="0" w:color="auto"/>
        <w:bottom w:val="none" w:sz="0" w:space="0" w:color="auto"/>
        <w:right w:val="none" w:sz="0" w:space="0" w:color="auto"/>
      </w:divBdr>
    </w:div>
    <w:div w:id="858465042">
      <w:bodyDiv w:val="1"/>
      <w:marLeft w:val="0"/>
      <w:marRight w:val="0"/>
      <w:marTop w:val="0"/>
      <w:marBottom w:val="0"/>
      <w:divBdr>
        <w:top w:val="none" w:sz="0" w:space="0" w:color="auto"/>
        <w:left w:val="none" w:sz="0" w:space="0" w:color="auto"/>
        <w:bottom w:val="none" w:sz="0" w:space="0" w:color="auto"/>
        <w:right w:val="none" w:sz="0" w:space="0" w:color="auto"/>
      </w:divBdr>
    </w:div>
    <w:div w:id="858542767">
      <w:bodyDiv w:val="1"/>
      <w:marLeft w:val="0"/>
      <w:marRight w:val="0"/>
      <w:marTop w:val="0"/>
      <w:marBottom w:val="0"/>
      <w:divBdr>
        <w:top w:val="none" w:sz="0" w:space="0" w:color="auto"/>
        <w:left w:val="none" w:sz="0" w:space="0" w:color="auto"/>
        <w:bottom w:val="none" w:sz="0" w:space="0" w:color="auto"/>
        <w:right w:val="none" w:sz="0" w:space="0" w:color="auto"/>
      </w:divBdr>
    </w:div>
    <w:div w:id="858548651">
      <w:bodyDiv w:val="1"/>
      <w:marLeft w:val="0"/>
      <w:marRight w:val="0"/>
      <w:marTop w:val="0"/>
      <w:marBottom w:val="0"/>
      <w:divBdr>
        <w:top w:val="none" w:sz="0" w:space="0" w:color="auto"/>
        <w:left w:val="none" w:sz="0" w:space="0" w:color="auto"/>
        <w:bottom w:val="none" w:sz="0" w:space="0" w:color="auto"/>
        <w:right w:val="none" w:sz="0" w:space="0" w:color="auto"/>
      </w:divBdr>
    </w:div>
    <w:div w:id="858815108">
      <w:bodyDiv w:val="1"/>
      <w:marLeft w:val="0"/>
      <w:marRight w:val="0"/>
      <w:marTop w:val="0"/>
      <w:marBottom w:val="0"/>
      <w:divBdr>
        <w:top w:val="none" w:sz="0" w:space="0" w:color="auto"/>
        <w:left w:val="none" w:sz="0" w:space="0" w:color="auto"/>
        <w:bottom w:val="none" w:sz="0" w:space="0" w:color="auto"/>
        <w:right w:val="none" w:sz="0" w:space="0" w:color="auto"/>
      </w:divBdr>
    </w:div>
    <w:div w:id="858815442">
      <w:bodyDiv w:val="1"/>
      <w:marLeft w:val="0"/>
      <w:marRight w:val="0"/>
      <w:marTop w:val="0"/>
      <w:marBottom w:val="0"/>
      <w:divBdr>
        <w:top w:val="none" w:sz="0" w:space="0" w:color="auto"/>
        <w:left w:val="none" w:sz="0" w:space="0" w:color="auto"/>
        <w:bottom w:val="none" w:sz="0" w:space="0" w:color="auto"/>
        <w:right w:val="none" w:sz="0" w:space="0" w:color="auto"/>
      </w:divBdr>
    </w:div>
    <w:div w:id="858934108">
      <w:bodyDiv w:val="1"/>
      <w:marLeft w:val="0"/>
      <w:marRight w:val="0"/>
      <w:marTop w:val="0"/>
      <w:marBottom w:val="0"/>
      <w:divBdr>
        <w:top w:val="none" w:sz="0" w:space="0" w:color="auto"/>
        <w:left w:val="none" w:sz="0" w:space="0" w:color="auto"/>
        <w:bottom w:val="none" w:sz="0" w:space="0" w:color="auto"/>
        <w:right w:val="none" w:sz="0" w:space="0" w:color="auto"/>
      </w:divBdr>
    </w:div>
    <w:div w:id="859125384">
      <w:bodyDiv w:val="1"/>
      <w:marLeft w:val="0"/>
      <w:marRight w:val="0"/>
      <w:marTop w:val="0"/>
      <w:marBottom w:val="0"/>
      <w:divBdr>
        <w:top w:val="none" w:sz="0" w:space="0" w:color="auto"/>
        <w:left w:val="none" w:sz="0" w:space="0" w:color="auto"/>
        <w:bottom w:val="none" w:sz="0" w:space="0" w:color="auto"/>
        <w:right w:val="none" w:sz="0" w:space="0" w:color="auto"/>
      </w:divBdr>
    </w:div>
    <w:div w:id="859200106">
      <w:bodyDiv w:val="1"/>
      <w:marLeft w:val="0"/>
      <w:marRight w:val="0"/>
      <w:marTop w:val="0"/>
      <w:marBottom w:val="0"/>
      <w:divBdr>
        <w:top w:val="none" w:sz="0" w:space="0" w:color="auto"/>
        <w:left w:val="none" w:sz="0" w:space="0" w:color="auto"/>
        <w:bottom w:val="none" w:sz="0" w:space="0" w:color="auto"/>
        <w:right w:val="none" w:sz="0" w:space="0" w:color="auto"/>
      </w:divBdr>
    </w:div>
    <w:div w:id="859508800">
      <w:bodyDiv w:val="1"/>
      <w:marLeft w:val="0"/>
      <w:marRight w:val="0"/>
      <w:marTop w:val="0"/>
      <w:marBottom w:val="0"/>
      <w:divBdr>
        <w:top w:val="none" w:sz="0" w:space="0" w:color="auto"/>
        <w:left w:val="none" w:sz="0" w:space="0" w:color="auto"/>
        <w:bottom w:val="none" w:sz="0" w:space="0" w:color="auto"/>
        <w:right w:val="none" w:sz="0" w:space="0" w:color="auto"/>
      </w:divBdr>
    </w:div>
    <w:div w:id="859705030">
      <w:bodyDiv w:val="1"/>
      <w:marLeft w:val="0"/>
      <w:marRight w:val="0"/>
      <w:marTop w:val="0"/>
      <w:marBottom w:val="0"/>
      <w:divBdr>
        <w:top w:val="none" w:sz="0" w:space="0" w:color="auto"/>
        <w:left w:val="none" w:sz="0" w:space="0" w:color="auto"/>
        <w:bottom w:val="none" w:sz="0" w:space="0" w:color="auto"/>
        <w:right w:val="none" w:sz="0" w:space="0" w:color="auto"/>
      </w:divBdr>
    </w:div>
    <w:div w:id="859852044">
      <w:bodyDiv w:val="1"/>
      <w:marLeft w:val="0"/>
      <w:marRight w:val="0"/>
      <w:marTop w:val="0"/>
      <w:marBottom w:val="0"/>
      <w:divBdr>
        <w:top w:val="none" w:sz="0" w:space="0" w:color="auto"/>
        <w:left w:val="none" w:sz="0" w:space="0" w:color="auto"/>
        <w:bottom w:val="none" w:sz="0" w:space="0" w:color="auto"/>
        <w:right w:val="none" w:sz="0" w:space="0" w:color="auto"/>
      </w:divBdr>
    </w:div>
    <w:div w:id="860048018">
      <w:bodyDiv w:val="1"/>
      <w:marLeft w:val="0"/>
      <w:marRight w:val="0"/>
      <w:marTop w:val="0"/>
      <w:marBottom w:val="0"/>
      <w:divBdr>
        <w:top w:val="none" w:sz="0" w:space="0" w:color="auto"/>
        <w:left w:val="none" w:sz="0" w:space="0" w:color="auto"/>
        <w:bottom w:val="none" w:sz="0" w:space="0" w:color="auto"/>
        <w:right w:val="none" w:sz="0" w:space="0" w:color="auto"/>
      </w:divBdr>
    </w:div>
    <w:div w:id="860122034">
      <w:bodyDiv w:val="1"/>
      <w:marLeft w:val="0"/>
      <w:marRight w:val="0"/>
      <w:marTop w:val="0"/>
      <w:marBottom w:val="0"/>
      <w:divBdr>
        <w:top w:val="none" w:sz="0" w:space="0" w:color="auto"/>
        <w:left w:val="none" w:sz="0" w:space="0" w:color="auto"/>
        <w:bottom w:val="none" w:sz="0" w:space="0" w:color="auto"/>
        <w:right w:val="none" w:sz="0" w:space="0" w:color="auto"/>
      </w:divBdr>
    </w:div>
    <w:div w:id="860125482">
      <w:bodyDiv w:val="1"/>
      <w:marLeft w:val="0"/>
      <w:marRight w:val="0"/>
      <w:marTop w:val="0"/>
      <w:marBottom w:val="0"/>
      <w:divBdr>
        <w:top w:val="none" w:sz="0" w:space="0" w:color="auto"/>
        <w:left w:val="none" w:sz="0" w:space="0" w:color="auto"/>
        <w:bottom w:val="none" w:sz="0" w:space="0" w:color="auto"/>
        <w:right w:val="none" w:sz="0" w:space="0" w:color="auto"/>
      </w:divBdr>
    </w:div>
    <w:div w:id="860315420">
      <w:bodyDiv w:val="1"/>
      <w:marLeft w:val="0"/>
      <w:marRight w:val="0"/>
      <w:marTop w:val="0"/>
      <w:marBottom w:val="0"/>
      <w:divBdr>
        <w:top w:val="none" w:sz="0" w:space="0" w:color="auto"/>
        <w:left w:val="none" w:sz="0" w:space="0" w:color="auto"/>
        <w:bottom w:val="none" w:sz="0" w:space="0" w:color="auto"/>
        <w:right w:val="none" w:sz="0" w:space="0" w:color="auto"/>
      </w:divBdr>
    </w:div>
    <w:div w:id="860318751">
      <w:bodyDiv w:val="1"/>
      <w:marLeft w:val="0"/>
      <w:marRight w:val="0"/>
      <w:marTop w:val="0"/>
      <w:marBottom w:val="0"/>
      <w:divBdr>
        <w:top w:val="none" w:sz="0" w:space="0" w:color="auto"/>
        <w:left w:val="none" w:sz="0" w:space="0" w:color="auto"/>
        <w:bottom w:val="none" w:sz="0" w:space="0" w:color="auto"/>
        <w:right w:val="none" w:sz="0" w:space="0" w:color="auto"/>
      </w:divBdr>
    </w:div>
    <w:div w:id="860321730">
      <w:bodyDiv w:val="1"/>
      <w:marLeft w:val="0"/>
      <w:marRight w:val="0"/>
      <w:marTop w:val="0"/>
      <w:marBottom w:val="0"/>
      <w:divBdr>
        <w:top w:val="none" w:sz="0" w:space="0" w:color="auto"/>
        <w:left w:val="none" w:sz="0" w:space="0" w:color="auto"/>
        <w:bottom w:val="none" w:sz="0" w:space="0" w:color="auto"/>
        <w:right w:val="none" w:sz="0" w:space="0" w:color="auto"/>
      </w:divBdr>
    </w:div>
    <w:div w:id="860633157">
      <w:bodyDiv w:val="1"/>
      <w:marLeft w:val="0"/>
      <w:marRight w:val="0"/>
      <w:marTop w:val="0"/>
      <w:marBottom w:val="0"/>
      <w:divBdr>
        <w:top w:val="none" w:sz="0" w:space="0" w:color="auto"/>
        <w:left w:val="none" w:sz="0" w:space="0" w:color="auto"/>
        <w:bottom w:val="none" w:sz="0" w:space="0" w:color="auto"/>
        <w:right w:val="none" w:sz="0" w:space="0" w:color="auto"/>
      </w:divBdr>
    </w:div>
    <w:div w:id="860633199">
      <w:bodyDiv w:val="1"/>
      <w:marLeft w:val="0"/>
      <w:marRight w:val="0"/>
      <w:marTop w:val="0"/>
      <w:marBottom w:val="0"/>
      <w:divBdr>
        <w:top w:val="none" w:sz="0" w:space="0" w:color="auto"/>
        <w:left w:val="none" w:sz="0" w:space="0" w:color="auto"/>
        <w:bottom w:val="none" w:sz="0" w:space="0" w:color="auto"/>
        <w:right w:val="none" w:sz="0" w:space="0" w:color="auto"/>
      </w:divBdr>
    </w:div>
    <w:div w:id="860750644">
      <w:bodyDiv w:val="1"/>
      <w:marLeft w:val="0"/>
      <w:marRight w:val="0"/>
      <w:marTop w:val="0"/>
      <w:marBottom w:val="0"/>
      <w:divBdr>
        <w:top w:val="none" w:sz="0" w:space="0" w:color="auto"/>
        <w:left w:val="none" w:sz="0" w:space="0" w:color="auto"/>
        <w:bottom w:val="none" w:sz="0" w:space="0" w:color="auto"/>
        <w:right w:val="none" w:sz="0" w:space="0" w:color="auto"/>
      </w:divBdr>
    </w:div>
    <w:div w:id="860822952">
      <w:bodyDiv w:val="1"/>
      <w:marLeft w:val="0"/>
      <w:marRight w:val="0"/>
      <w:marTop w:val="0"/>
      <w:marBottom w:val="0"/>
      <w:divBdr>
        <w:top w:val="none" w:sz="0" w:space="0" w:color="auto"/>
        <w:left w:val="none" w:sz="0" w:space="0" w:color="auto"/>
        <w:bottom w:val="none" w:sz="0" w:space="0" w:color="auto"/>
        <w:right w:val="none" w:sz="0" w:space="0" w:color="auto"/>
      </w:divBdr>
    </w:div>
    <w:div w:id="860968690">
      <w:bodyDiv w:val="1"/>
      <w:marLeft w:val="0"/>
      <w:marRight w:val="0"/>
      <w:marTop w:val="0"/>
      <w:marBottom w:val="0"/>
      <w:divBdr>
        <w:top w:val="none" w:sz="0" w:space="0" w:color="auto"/>
        <w:left w:val="none" w:sz="0" w:space="0" w:color="auto"/>
        <w:bottom w:val="none" w:sz="0" w:space="0" w:color="auto"/>
        <w:right w:val="none" w:sz="0" w:space="0" w:color="auto"/>
      </w:divBdr>
    </w:div>
    <w:div w:id="860973712">
      <w:bodyDiv w:val="1"/>
      <w:marLeft w:val="0"/>
      <w:marRight w:val="0"/>
      <w:marTop w:val="0"/>
      <w:marBottom w:val="0"/>
      <w:divBdr>
        <w:top w:val="none" w:sz="0" w:space="0" w:color="auto"/>
        <w:left w:val="none" w:sz="0" w:space="0" w:color="auto"/>
        <w:bottom w:val="none" w:sz="0" w:space="0" w:color="auto"/>
        <w:right w:val="none" w:sz="0" w:space="0" w:color="auto"/>
      </w:divBdr>
    </w:div>
    <w:div w:id="861020412">
      <w:bodyDiv w:val="1"/>
      <w:marLeft w:val="0"/>
      <w:marRight w:val="0"/>
      <w:marTop w:val="0"/>
      <w:marBottom w:val="0"/>
      <w:divBdr>
        <w:top w:val="none" w:sz="0" w:space="0" w:color="auto"/>
        <w:left w:val="none" w:sz="0" w:space="0" w:color="auto"/>
        <w:bottom w:val="none" w:sz="0" w:space="0" w:color="auto"/>
        <w:right w:val="none" w:sz="0" w:space="0" w:color="auto"/>
      </w:divBdr>
    </w:div>
    <w:div w:id="861043879">
      <w:bodyDiv w:val="1"/>
      <w:marLeft w:val="0"/>
      <w:marRight w:val="0"/>
      <w:marTop w:val="0"/>
      <w:marBottom w:val="0"/>
      <w:divBdr>
        <w:top w:val="none" w:sz="0" w:space="0" w:color="auto"/>
        <w:left w:val="none" w:sz="0" w:space="0" w:color="auto"/>
        <w:bottom w:val="none" w:sz="0" w:space="0" w:color="auto"/>
        <w:right w:val="none" w:sz="0" w:space="0" w:color="auto"/>
      </w:divBdr>
    </w:div>
    <w:div w:id="861086196">
      <w:bodyDiv w:val="1"/>
      <w:marLeft w:val="0"/>
      <w:marRight w:val="0"/>
      <w:marTop w:val="0"/>
      <w:marBottom w:val="0"/>
      <w:divBdr>
        <w:top w:val="none" w:sz="0" w:space="0" w:color="auto"/>
        <w:left w:val="none" w:sz="0" w:space="0" w:color="auto"/>
        <w:bottom w:val="none" w:sz="0" w:space="0" w:color="auto"/>
        <w:right w:val="none" w:sz="0" w:space="0" w:color="auto"/>
      </w:divBdr>
    </w:div>
    <w:div w:id="861166316">
      <w:bodyDiv w:val="1"/>
      <w:marLeft w:val="0"/>
      <w:marRight w:val="0"/>
      <w:marTop w:val="0"/>
      <w:marBottom w:val="0"/>
      <w:divBdr>
        <w:top w:val="none" w:sz="0" w:space="0" w:color="auto"/>
        <w:left w:val="none" w:sz="0" w:space="0" w:color="auto"/>
        <w:bottom w:val="none" w:sz="0" w:space="0" w:color="auto"/>
        <w:right w:val="none" w:sz="0" w:space="0" w:color="auto"/>
      </w:divBdr>
    </w:div>
    <w:div w:id="861168062">
      <w:bodyDiv w:val="1"/>
      <w:marLeft w:val="0"/>
      <w:marRight w:val="0"/>
      <w:marTop w:val="0"/>
      <w:marBottom w:val="0"/>
      <w:divBdr>
        <w:top w:val="none" w:sz="0" w:space="0" w:color="auto"/>
        <w:left w:val="none" w:sz="0" w:space="0" w:color="auto"/>
        <w:bottom w:val="none" w:sz="0" w:space="0" w:color="auto"/>
        <w:right w:val="none" w:sz="0" w:space="0" w:color="auto"/>
      </w:divBdr>
    </w:div>
    <w:div w:id="861168454">
      <w:bodyDiv w:val="1"/>
      <w:marLeft w:val="0"/>
      <w:marRight w:val="0"/>
      <w:marTop w:val="0"/>
      <w:marBottom w:val="0"/>
      <w:divBdr>
        <w:top w:val="none" w:sz="0" w:space="0" w:color="auto"/>
        <w:left w:val="none" w:sz="0" w:space="0" w:color="auto"/>
        <w:bottom w:val="none" w:sz="0" w:space="0" w:color="auto"/>
        <w:right w:val="none" w:sz="0" w:space="0" w:color="auto"/>
      </w:divBdr>
    </w:div>
    <w:div w:id="861287525">
      <w:bodyDiv w:val="1"/>
      <w:marLeft w:val="0"/>
      <w:marRight w:val="0"/>
      <w:marTop w:val="0"/>
      <w:marBottom w:val="0"/>
      <w:divBdr>
        <w:top w:val="none" w:sz="0" w:space="0" w:color="auto"/>
        <w:left w:val="none" w:sz="0" w:space="0" w:color="auto"/>
        <w:bottom w:val="none" w:sz="0" w:space="0" w:color="auto"/>
        <w:right w:val="none" w:sz="0" w:space="0" w:color="auto"/>
      </w:divBdr>
    </w:div>
    <w:div w:id="861550091">
      <w:bodyDiv w:val="1"/>
      <w:marLeft w:val="0"/>
      <w:marRight w:val="0"/>
      <w:marTop w:val="0"/>
      <w:marBottom w:val="0"/>
      <w:divBdr>
        <w:top w:val="none" w:sz="0" w:space="0" w:color="auto"/>
        <w:left w:val="none" w:sz="0" w:space="0" w:color="auto"/>
        <w:bottom w:val="none" w:sz="0" w:space="0" w:color="auto"/>
        <w:right w:val="none" w:sz="0" w:space="0" w:color="auto"/>
      </w:divBdr>
    </w:div>
    <w:div w:id="861629209">
      <w:bodyDiv w:val="1"/>
      <w:marLeft w:val="0"/>
      <w:marRight w:val="0"/>
      <w:marTop w:val="0"/>
      <w:marBottom w:val="0"/>
      <w:divBdr>
        <w:top w:val="none" w:sz="0" w:space="0" w:color="auto"/>
        <w:left w:val="none" w:sz="0" w:space="0" w:color="auto"/>
        <w:bottom w:val="none" w:sz="0" w:space="0" w:color="auto"/>
        <w:right w:val="none" w:sz="0" w:space="0" w:color="auto"/>
      </w:divBdr>
    </w:div>
    <w:div w:id="861824241">
      <w:bodyDiv w:val="1"/>
      <w:marLeft w:val="0"/>
      <w:marRight w:val="0"/>
      <w:marTop w:val="0"/>
      <w:marBottom w:val="0"/>
      <w:divBdr>
        <w:top w:val="none" w:sz="0" w:space="0" w:color="auto"/>
        <w:left w:val="none" w:sz="0" w:space="0" w:color="auto"/>
        <w:bottom w:val="none" w:sz="0" w:space="0" w:color="auto"/>
        <w:right w:val="none" w:sz="0" w:space="0" w:color="auto"/>
      </w:divBdr>
    </w:div>
    <w:div w:id="862019563">
      <w:bodyDiv w:val="1"/>
      <w:marLeft w:val="0"/>
      <w:marRight w:val="0"/>
      <w:marTop w:val="0"/>
      <w:marBottom w:val="0"/>
      <w:divBdr>
        <w:top w:val="none" w:sz="0" w:space="0" w:color="auto"/>
        <w:left w:val="none" w:sz="0" w:space="0" w:color="auto"/>
        <w:bottom w:val="none" w:sz="0" w:space="0" w:color="auto"/>
        <w:right w:val="none" w:sz="0" w:space="0" w:color="auto"/>
      </w:divBdr>
    </w:div>
    <w:div w:id="862062160">
      <w:bodyDiv w:val="1"/>
      <w:marLeft w:val="0"/>
      <w:marRight w:val="0"/>
      <w:marTop w:val="0"/>
      <w:marBottom w:val="0"/>
      <w:divBdr>
        <w:top w:val="none" w:sz="0" w:space="0" w:color="auto"/>
        <w:left w:val="none" w:sz="0" w:space="0" w:color="auto"/>
        <w:bottom w:val="none" w:sz="0" w:space="0" w:color="auto"/>
        <w:right w:val="none" w:sz="0" w:space="0" w:color="auto"/>
      </w:divBdr>
    </w:div>
    <w:div w:id="862210122">
      <w:bodyDiv w:val="1"/>
      <w:marLeft w:val="0"/>
      <w:marRight w:val="0"/>
      <w:marTop w:val="0"/>
      <w:marBottom w:val="0"/>
      <w:divBdr>
        <w:top w:val="none" w:sz="0" w:space="0" w:color="auto"/>
        <w:left w:val="none" w:sz="0" w:space="0" w:color="auto"/>
        <w:bottom w:val="none" w:sz="0" w:space="0" w:color="auto"/>
        <w:right w:val="none" w:sz="0" w:space="0" w:color="auto"/>
      </w:divBdr>
    </w:div>
    <w:div w:id="862287501">
      <w:bodyDiv w:val="1"/>
      <w:marLeft w:val="0"/>
      <w:marRight w:val="0"/>
      <w:marTop w:val="0"/>
      <w:marBottom w:val="0"/>
      <w:divBdr>
        <w:top w:val="none" w:sz="0" w:space="0" w:color="auto"/>
        <w:left w:val="none" w:sz="0" w:space="0" w:color="auto"/>
        <w:bottom w:val="none" w:sz="0" w:space="0" w:color="auto"/>
        <w:right w:val="none" w:sz="0" w:space="0" w:color="auto"/>
      </w:divBdr>
    </w:div>
    <w:div w:id="862287964">
      <w:bodyDiv w:val="1"/>
      <w:marLeft w:val="0"/>
      <w:marRight w:val="0"/>
      <w:marTop w:val="0"/>
      <w:marBottom w:val="0"/>
      <w:divBdr>
        <w:top w:val="none" w:sz="0" w:space="0" w:color="auto"/>
        <w:left w:val="none" w:sz="0" w:space="0" w:color="auto"/>
        <w:bottom w:val="none" w:sz="0" w:space="0" w:color="auto"/>
        <w:right w:val="none" w:sz="0" w:space="0" w:color="auto"/>
      </w:divBdr>
    </w:div>
    <w:div w:id="862288459">
      <w:bodyDiv w:val="1"/>
      <w:marLeft w:val="0"/>
      <w:marRight w:val="0"/>
      <w:marTop w:val="0"/>
      <w:marBottom w:val="0"/>
      <w:divBdr>
        <w:top w:val="none" w:sz="0" w:space="0" w:color="auto"/>
        <w:left w:val="none" w:sz="0" w:space="0" w:color="auto"/>
        <w:bottom w:val="none" w:sz="0" w:space="0" w:color="auto"/>
        <w:right w:val="none" w:sz="0" w:space="0" w:color="auto"/>
      </w:divBdr>
    </w:div>
    <w:div w:id="862330856">
      <w:bodyDiv w:val="1"/>
      <w:marLeft w:val="0"/>
      <w:marRight w:val="0"/>
      <w:marTop w:val="0"/>
      <w:marBottom w:val="0"/>
      <w:divBdr>
        <w:top w:val="none" w:sz="0" w:space="0" w:color="auto"/>
        <w:left w:val="none" w:sz="0" w:space="0" w:color="auto"/>
        <w:bottom w:val="none" w:sz="0" w:space="0" w:color="auto"/>
        <w:right w:val="none" w:sz="0" w:space="0" w:color="auto"/>
      </w:divBdr>
    </w:div>
    <w:div w:id="862405447">
      <w:bodyDiv w:val="1"/>
      <w:marLeft w:val="0"/>
      <w:marRight w:val="0"/>
      <w:marTop w:val="0"/>
      <w:marBottom w:val="0"/>
      <w:divBdr>
        <w:top w:val="none" w:sz="0" w:space="0" w:color="auto"/>
        <w:left w:val="none" w:sz="0" w:space="0" w:color="auto"/>
        <w:bottom w:val="none" w:sz="0" w:space="0" w:color="auto"/>
        <w:right w:val="none" w:sz="0" w:space="0" w:color="auto"/>
      </w:divBdr>
    </w:div>
    <w:div w:id="862474527">
      <w:bodyDiv w:val="1"/>
      <w:marLeft w:val="0"/>
      <w:marRight w:val="0"/>
      <w:marTop w:val="0"/>
      <w:marBottom w:val="0"/>
      <w:divBdr>
        <w:top w:val="none" w:sz="0" w:space="0" w:color="auto"/>
        <w:left w:val="none" w:sz="0" w:space="0" w:color="auto"/>
        <w:bottom w:val="none" w:sz="0" w:space="0" w:color="auto"/>
        <w:right w:val="none" w:sz="0" w:space="0" w:color="auto"/>
      </w:divBdr>
    </w:div>
    <w:div w:id="862476538">
      <w:bodyDiv w:val="1"/>
      <w:marLeft w:val="0"/>
      <w:marRight w:val="0"/>
      <w:marTop w:val="0"/>
      <w:marBottom w:val="0"/>
      <w:divBdr>
        <w:top w:val="none" w:sz="0" w:space="0" w:color="auto"/>
        <w:left w:val="none" w:sz="0" w:space="0" w:color="auto"/>
        <w:bottom w:val="none" w:sz="0" w:space="0" w:color="auto"/>
        <w:right w:val="none" w:sz="0" w:space="0" w:color="auto"/>
      </w:divBdr>
    </w:div>
    <w:div w:id="862548439">
      <w:bodyDiv w:val="1"/>
      <w:marLeft w:val="0"/>
      <w:marRight w:val="0"/>
      <w:marTop w:val="0"/>
      <w:marBottom w:val="0"/>
      <w:divBdr>
        <w:top w:val="none" w:sz="0" w:space="0" w:color="auto"/>
        <w:left w:val="none" w:sz="0" w:space="0" w:color="auto"/>
        <w:bottom w:val="none" w:sz="0" w:space="0" w:color="auto"/>
        <w:right w:val="none" w:sz="0" w:space="0" w:color="auto"/>
      </w:divBdr>
    </w:div>
    <w:div w:id="862666363">
      <w:bodyDiv w:val="1"/>
      <w:marLeft w:val="0"/>
      <w:marRight w:val="0"/>
      <w:marTop w:val="0"/>
      <w:marBottom w:val="0"/>
      <w:divBdr>
        <w:top w:val="none" w:sz="0" w:space="0" w:color="auto"/>
        <w:left w:val="none" w:sz="0" w:space="0" w:color="auto"/>
        <w:bottom w:val="none" w:sz="0" w:space="0" w:color="auto"/>
        <w:right w:val="none" w:sz="0" w:space="0" w:color="auto"/>
      </w:divBdr>
    </w:div>
    <w:div w:id="862716556">
      <w:bodyDiv w:val="1"/>
      <w:marLeft w:val="0"/>
      <w:marRight w:val="0"/>
      <w:marTop w:val="0"/>
      <w:marBottom w:val="0"/>
      <w:divBdr>
        <w:top w:val="none" w:sz="0" w:space="0" w:color="auto"/>
        <w:left w:val="none" w:sz="0" w:space="0" w:color="auto"/>
        <w:bottom w:val="none" w:sz="0" w:space="0" w:color="auto"/>
        <w:right w:val="none" w:sz="0" w:space="0" w:color="auto"/>
      </w:divBdr>
    </w:div>
    <w:div w:id="862742187">
      <w:bodyDiv w:val="1"/>
      <w:marLeft w:val="0"/>
      <w:marRight w:val="0"/>
      <w:marTop w:val="0"/>
      <w:marBottom w:val="0"/>
      <w:divBdr>
        <w:top w:val="none" w:sz="0" w:space="0" w:color="auto"/>
        <w:left w:val="none" w:sz="0" w:space="0" w:color="auto"/>
        <w:bottom w:val="none" w:sz="0" w:space="0" w:color="auto"/>
        <w:right w:val="none" w:sz="0" w:space="0" w:color="auto"/>
      </w:divBdr>
    </w:div>
    <w:div w:id="862784774">
      <w:bodyDiv w:val="1"/>
      <w:marLeft w:val="0"/>
      <w:marRight w:val="0"/>
      <w:marTop w:val="0"/>
      <w:marBottom w:val="0"/>
      <w:divBdr>
        <w:top w:val="none" w:sz="0" w:space="0" w:color="auto"/>
        <w:left w:val="none" w:sz="0" w:space="0" w:color="auto"/>
        <w:bottom w:val="none" w:sz="0" w:space="0" w:color="auto"/>
        <w:right w:val="none" w:sz="0" w:space="0" w:color="auto"/>
      </w:divBdr>
    </w:div>
    <w:div w:id="862789864">
      <w:bodyDiv w:val="1"/>
      <w:marLeft w:val="0"/>
      <w:marRight w:val="0"/>
      <w:marTop w:val="0"/>
      <w:marBottom w:val="0"/>
      <w:divBdr>
        <w:top w:val="none" w:sz="0" w:space="0" w:color="auto"/>
        <w:left w:val="none" w:sz="0" w:space="0" w:color="auto"/>
        <w:bottom w:val="none" w:sz="0" w:space="0" w:color="auto"/>
        <w:right w:val="none" w:sz="0" w:space="0" w:color="auto"/>
      </w:divBdr>
    </w:div>
    <w:div w:id="862935023">
      <w:bodyDiv w:val="1"/>
      <w:marLeft w:val="0"/>
      <w:marRight w:val="0"/>
      <w:marTop w:val="0"/>
      <w:marBottom w:val="0"/>
      <w:divBdr>
        <w:top w:val="none" w:sz="0" w:space="0" w:color="auto"/>
        <w:left w:val="none" w:sz="0" w:space="0" w:color="auto"/>
        <w:bottom w:val="none" w:sz="0" w:space="0" w:color="auto"/>
        <w:right w:val="none" w:sz="0" w:space="0" w:color="auto"/>
      </w:divBdr>
    </w:div>
    <w:div w:id="862942080">
      <w:bodyDiv w:val="1"/>
      <w:marLeft w:val="0"/>
      <w:marRight w:val="0"/>
      <w:marTop w:val="0"/>
      <w:marBottom w:val="0"/>
      <w:divBdr>
        <w:top w:val="none" w:sz="0" w:space="0" w:color="auto"/>
        <w:left w:val="none" w:sz="0" w:space="0" w:color="auto"/>
        <w:bottom w:val="none" w:sz="0" w:space="0" w:color="auto"/>
        <w:right w:val="none" w:sz="0" w:space="0" w:color="auto"/>
      </w:divBdr>
    </w:div>
    <w:div w:id="863059090">
      <w:bodyDiv w:val="1"/>
      <w:marLeft w:val="0"/>
      <w:marRight w:val="0"/>
      <w:marTop w:val="0"/>
      <w:marBottom w:val="0"/>
      <w:divBdr>
        <w:top w:val="none" w:sz="0" w:space="0" w:color="auto"/>
        <w:left w:val="none" w:sz="0" w:space="0" w:color="auto"/>
        <w:bottom w:val="none" w:sz="0" w:space="0" w:color="auto"/>
        <w:right w:val="none" w:sz="0" w:space="0" w:color="auto"/>
      </w:divBdr>
    </w:div>
    <w:div w:id="863326367">
      <w:bodyDiv w:val="1"/>
      <w:marLeft w:val="0"/>
      <w:marRight w:val="0"/>
      <w:marTop w:val="0"/>
      <w:marBottom w:val="0"/>
      <w:divBdr>
        <w:top w:val="none" w:sz="0" w:space="0" w:color="auto"/>
        <w:left w:val="none" w:sz="0" w:space="0" w:color="auto"/>
        <w:bottom w:val="none" w:sz="0" w:space="0" w:color="auto"/>
        <w:right w:val="none" w:sz="0" w:space="0" w:color="auto"/>
      </w:divBdr>
    </w:div>
    <w:div w:id="863439116">
      <w:bodyDiv w:val="1"/>
      <w:marLeft w:val="0"/>
      <w:marRight w:val="0"/>
      <w:marTop w:val="0"/>
      <w:marBottom w:val="0"/>
      <w:divBdr>
        <w:top w:val="none" w:sz="0" w:space="0" w:color="auto"/>
        <w:left w:val="none" w:sz="0" w:space="0" w:color="auto"/>
        <w:bottom w:val="none" w:sz="0" w:space="0" w:color="auto"/>
        <w:right w:val="none" w:sz="0" w:space="0" w:color="auto"/>
      </w:divBdr>
    </w:div>
    <w:div w:id="863442356">
      <w:bodyDiv w:val="1"/>
      <w:marLeft w:val="0"/>
      <w:marRight w:val="0"/>
      <w:marTop w:val="0"/>
      <w:marBottom w:val="0"/>
      <w:divBdr>
        <w:top w:val="none" w:sz="0" w:space="0" w:color="auto"/>
        <w:left w:val="none" w:sz="0" w:space="0" w:color="auto"/>
        <w:bottom w:val="none" w:sz="0" w:space="0" w:color="auto"/>
        <w:right w:val="none" w:sz="0" w:space="0" w:color="auto"/>
      </w:divBdr>
    </w:div>
    <w:div w:id="863590720">
      <w:bodyDiv w:val="1"/>
      <w:marLeft w:val="0"/>
      <w:marRight w:val="0"/>
      <w:marTop w:val="0"/>
      <w:marBottom w:val="0"/>
      <w:divBdr>
        <w:top w:val="none" w:sz="0" w:space="0" w:color="auto"/>
        <w:left w:val="none" w:sz="0" w:space="0" w:color="auto"/>
        <w:bottom w:val="none" w:sz="0" w:space="0" w:color="auto"/>
        <w:right w:val="none" w:sz="0" w:space="0" w:color="auto"/>
      </w:divBdr>
    </w:div>
    <w:div w:id="863634385">
      <w:bodyDiv w:val="1"/>
      <w:marLeft w:val="0"/>
      <w:marRight w:val="0"/>
      <w:marTop w:val="0"/>
      <w:marBottom w:val="0"/>
      <w:divBdr>
        <w:top w:val="none" w:sz="0" w:space="0" w:color="auto"/>
        <w:left w:val="none" w:sz="0" w:space="0" w:color="auto"/>
        <w:bottom w:val="none" w:sz="0" w:space="0" w:color="auto"/>
        <w:right w:val="none" w:sz="0" w:space="0" w:color="auto"/>
      </w:divBdr>
    </w:div>
    <w:div w:id="863783556">
      <w:bodyDiv w:val="1"/>
      <w:marLeft w:val="0"/>
      <w:marRight w:val="0"/>
      <w:marTop w:val="0"/>
      <w:marBottom w:val="0"/>
      <w:divBdr>
        <w:top w:val="none" w:sz="0" w:space="0" w:color="auto"/>
        <w:left w:val="none" w:sz="0" w:space="0" w:color="auto"/>
        <w:bottom w:val="none" w:sz="0" w:space="0" w:color="auto"/>
        <w:right w:val="none" w:sz="0" w:space="0" w:color="auto"/>
      </w:divBdr>
    </w:div>
    <w:div w:id="863789323">
      <w:bodyDiv w:val="1"/>
      <w:marLeft w:val="0"/>
      <w:marRight w:val="0"/>
      <w:marTop w:val="0"/>
      <w:marBottom w:val="0"/>
      <w:divBdr>
        <w:top w:val="none" w:sz="0" w:space="0" w:color="auto"/>
        <w:left w:val="none" w:sz="0" w:space="0" w:color="auto"/>
        <w:bottom w:val="none" w:sz="0" w:space="0" w:color="auto"/>
        <w:right w:val="none" w:sz="0" w:space="0" w:color="auto"/>
      </w:divBdr>
    </w:div>
    <w:div w:id="863831211">
      <w:bodyDiv w:val="1"/>
      <w:marLeft w:val="0"/>
      <w:marRight w:val="0"/>
      <w:marTop w:val="0"/>
      <w:marBottom w:val="0"/>
      <w:divBdr>
        <w:top w:val="none" w:sz="0" w:space="0" w:color="auto"/>
        <w:left w:val="none" w:sz="0" w:space="0" w:color="auto"/>
        <w:bottom w:val="none" w:sz="0" w:space="0" w:color="auto"/>
        <w:right w:val="none" w:sz="0" w:space="0" w:color="auto"/>
      </w:divBdr>
    </w:div>
    <w:div w:id="863903088">
      <w:bodyDiv w:val="1"/>
      <w:marLeft w:val="0"/>
      <w:marRight w:val="0"/>
      <w:marTop w:val="0"/>
      <w:marBottom w:val="0"/>
      <w:divBdr>
        <w:top w:val="none" w:sz="0" w:space="0" w:color="auto"/>
        <w:left w:val="none" w:sz="0" w:space="0" w:color="auto"/>
        <w:bottom w:val="none" w:sz="0" w:space="0" w:color="auto"/>
        <w:right w:val="none" w:sz="0" w:space="0" w:color="auto"/>
      </w:divBdr>
    </w:div>
    <w:div w:id="864094770">
      <w:bodyDiv w:val="1"/>
      <w:marLeft w:val="0"/>
      <w:marRight w:val="0"/>
      <w:marTop w:val="0"/>
      <w:marBottom w:val="0"/>
      <w:divBdr>
        <w:top w:val="none" w:sz="0" w:space="0" w:color="auto"/>
        <w:left w:val="none" w:sz="0" w:space="0" w:color="auto"/>
        <w:bottom w:val="none" w:sz="0" w:space="0" w:color="auto"/>
        <w:right w:val="none" w:sz="0" w:space="0" w:color="auto"/>
      </w:divBdr>
    </w:div>
    <w:div w:id="864098553">
      <w:bodyDiv w:val="1"/>
      <w:marLeft w:val="0"/>
      <w:marRight w:val="0"/>
      <w:marTop w:val="0"/>
      <w:marBottom w:val="0"/>
      <w:divBdr>
        <w:top w:val="none" w:sz="0" w:space="0" w:color="auto"/>
        <w:left w:val="none" w:sz="0" w:space="0" w:color="auto"/>
        <w:bottom w:val="none" w:sz="0" w:space="0" w:color="auto"/>
        <w:right w:val="none" w:sz="0" w:space="0" w:color="auto"/>
      </w:divBdr>
    </w:div>
    <w:div w:id="864372266">
      <w:bodyDiv w:val="1"/>
      <w:marLeft w:val="0"/>
      <w:marRight w:val="0"/>
      <w:marTop w:val="0"/>
      <w:marBottom w:val="0"/>
      <w:divBdr>
        <w:top w:val="none" w:sz="0" w:space="0" w:color="auto"/>
        <w:left w:val="none" w:sz="0" w:space="0" w:color="auto"/>
        <w:bottom w:val="none" w:sz="0" w:space="0" w:color="auto"/>
        <w:right w:val="none" w:sz="0" w:space="0" w:color="auto"/>
      </w:divBdr>
    </w:div>
    <w:div w:id="864557222">
      <w:bodyDiv w:val="1"/>
      <w:marLeft w:val="0"/>
      <w:marRight w:val="0"/>
      <w:marTop w:val="0"/>
      <w:marBottom w:val="0"/>
      <w:divBdr>
        <w:top w:val="none" w:sz="0" w:space="0" w:color="auto"/>
        <w:left w:val="none" w:sz="0" w:space="0" w:color="auto"/>
        <w:bottom w:val="none" w:sz="0" w:space="0" w:color="auto"/>
        <w:right w:val="none" w:sz="0" w:space="0" w:color="auto"/>
      </w:divBdr>
    </w:div>
    <w:div w:id="864710665">
      <w:bodyDiv w:val="1"/>
      <w:marLeft w:val="0"/>
      <w:marRight w:val="0"/>
      <w:marTop w:val="0"/>
      <w:marBottom w:val="0"/>
      <w:divBdr>
        <w:top w:val="none" w:sz="0" w:space="0" w:color="auto"/>
        <w:left w:val="none" w:sz="0" w:space="0" w:color="auto"/>
        <w:bottom w:val="none" w:sz="0" w:space="0" w:color="auto"/>
        <w:right w:val="none" w:sz="0" w:space="0" w:color="auto"/>
      </w:divBdr>
    </w:div>
    <w:div w:id="864758611">
      <w:bodyDiv w:val="1"/>
      <w:marLeft w:val="0"/>
      <w:marRight w:val="0"/>
      <w:marTop w:val="0"/>
      <w:marBottom w:val="0"/>
      <w:divBdr>
        <w:top w:val="none" w:sz="0" w:space="0" w:color="auto"/>
        <w:left w:val="none" w:sz="0" w:space="0" w:color="auto"/>
        <w:bottom w:val="none" w:sz="0" w:space="0" w:color="auto"/>
        <w:right w:val="none" w:sz="0" w:space="0" w:color="auto"/>
      </w:divBdr>
    </w:div>
    <w:div w:id="864824546">
      <w:bodyDiv w:val="1"/>
      <w:marLeft w:val="0"/>
      <w:marRight w:val="0"/>
      <w:marTop w:val="0"/>
      <w:marBottom w:val="0"/>
      <w:divBdr>
        <w:top w:val="none" w:sz="0" w:space="0" w:color="auto"/>
        <w:left w:val="none" w:sz="0" w:space="0" w:color="auto"/>
        <w:bottom w:val="none" w:sz="0" w:space="0" w:color="auto"/>
        <w:right w:val="none" w:sz="0" w:space="0" w:color="auto"/>
      </w:divBdr>
    </w:div>
    <w:div w:id="864827740">
      <w:bodyDiv w:val="1"/>
      <w:marLeft w:val="0"/>
      <w:marRight w:val="0"/>
      <w:marTop w:val="0"/>
      <w:marBottom w:val="0"/>
      <w:divBdr>
        <w:top w:val="none" w:sz="0" w:space="0" w:color="auto"/>
        <w:left w:val="none" w:sz="0" w:space="0" w:color="auto"/>
        <w:bottom w:val="none" w:sz="0" w:space="0" w:color="auto"/>
        <w:right w:val="none" w:sz="0" w:space="0" w:color="auto"/>
      </w:divBdr>
    </w:div>
    <w:div w:id="864902720">
      <w:bodyDiv w:val="1"/>
      <w:marLeft w:val="0"/>
      <w:marRight w:val="0"/>
      <w:marTop w:val="0"/>
      <w:marBottom w:val="0"/>
      <w:divBdr>
        <w:top w:val="none" w:sz="0" w:space="0" w:color="auto"/>
        <w:left w:val="none" w:sz="0" w:space="0" w:color="auto"/>
        <w:bottom w:val="none" w:sz="0" w:space="0" w:color="auto"/>
        <w:right w:val="none" w:sz="0" w:space="0" w:color="auto"/>
      </w:divBdr>
    </w:div>
    <w:div w:id="864946473">
      <w:bodyDiv w:val="1"/>
      <w:marLeft w:val="0"/>
      <w:marRight w:val="0"/>
      <w:marTop w:val="0"/>
      <w:marBottom w:val="0"/>
      <w:divBdr>
        <w:top w:val="none" w:sz="0" w:space="0" w:color="auto"/>
        <w:left w:val="none" w:sz="0" w:space="0" w:color="auto"/>
        <w:bottom w:val="none" w:sz="0" w:space="0" w:color="auto"/>
        <w:right w:val="none" w:sz="0" w:space="0" w:color="auto"/>
      </w:divBdr>
    </w:div>
    <w:div w:id="864951504">
      <w:bodyDiv w:val="1"/>
      <w:marLeft w:val="0"/>
      <w:marRight w:val="0"/>
      <w:marTop w:val="0"/>
      <w:marBottom w:val="0"/>
      <w:divBdr>
        <w:top w:val="none" w:sz="0" w:space="0" w:color="auto"/>
        <w:left w:val="none" w:sz="0" w:space="0" w:color="auto"/>
        <w:bottom w:val="none" w:sz="0" w:space="0" w:color="auto"/>
        <w:right w:val="none" w:sz="0" w:space="0" w:color="auto"/>
      </w:divBdr>
    </w:div>
    <w:div w:id="865095224">
      <w:bodyDiv w:val="1"/>
      <w:marLeft w:val="0"/>
      <w:marRight w:val="0"/>
      <w:marTop w:val="0"/>
      <w:marBottom w:val="0"/>
      <w:divBdr>
        <w:top w:val="none" w:sz="0" w:space="0" w:color="auto"/>
        <w:left w:val="none" w:sz="0" w:space="0" w:color="auto"/>
        <w:bottom w:val="none" w:sz="0" w:space="0" w:color="auto"/>
        <w:right w:val="none" w:sz="0" w:space="0" w:color="auto"/>
      </w:divBdr>
    </w:div>
    <w:div w:id="865096891">
      <w:bodyDiv w:val="1"/>
      <w:marLeft w:val="0"/>
      <w:marRight w:val="0"/>
      <w:marTop w:val="0"/>
      <w:marBottom w:val="0"/>
      <w:divBdr>
        <w:top w:val="none" w:sz="0" w:space="0" w:color="auto"/>
        <w:left w:val="none" w:sz="0" w:space="0" w:color="auto"/>
        <w:bottom w:val="none" w:sz="0" w:space="0" w:color="auto"/>
        <w:right w:val="none" w:sz="0" w:space="0" w:color="auto"/>
      </w:divBdr>
    </w:div>
    <w:div w:id="865101025">
      <w:bodyDiv w:val="1"/>
      <w:marLeft w:val="0"/>
      <w:marRight w:val="0"/>
      <w:marTop w:val="0"/>
      <w:marBottom w:val="0"/>
      <w:divBdr>
        <w:top w:val="none" w:sz="0" w:space="0" w:color="auto"/>
        <w:left w:val="none" w:sz="0" w:space="0" w:color="auto"/>
        <w:bottom w:val="none" w:sz="0" w:space="0" w:color="auto"/>
        <w:right w:val="none" w:sz="0" w:space="0" w:color="auto"/>
      </w:divBdr>
    </w:div>
    <w:div w:id="865170428">
      <w:bodyDiv w:val="1"/>
      <w:marLeft w:val="0"/>
      <w:marRight w:val="0"/>
      <w:marTop w:val="0"/>
      <w:marBottom w:val="0"/>
      <w:divBdr>
        <w:top w:val="none" w:sz="0" w:space="0" w:color="auto"/>
        <w:left w:val="none" w:sz="0" w:space="0" w:color="auto"/>
        <w:bottom w:val="none" w:sz="0" w:space="0" w:color="auto"/>
        <w:right w:val="none" w:sz="0" w:space="0" w:color="auto"/>
      </w:divBdr>
    </w:div>
    <w:div w:id="865213199">
      <w:bodyDiv w:val="1"/>
      <w:marLeft w:val="0"/>
      <w:marRight w:val="0"/>
      <w:marTop w:val="0"/>
      <w:marBottom w:val="0"/>
      <w:divBdr>
        <w:top w:val="none" w:sz="0" w:space="0" w:color="auto"/>
        <w:left w:val="none" w:sz="0" w:space="0" w:color="auto"/>
        <w:bottom w:val="none" w:sz="0" w:space="0" w:color="auto"/>
        <w:right w:val="none" w:sz="0" w:space="0" w:color="auto"/>
      </w:divBdr>
    </w:div>
    <w:div w:id="865220079">
      <w:bodyDiv w:val="1"/>
      <w:marLeft w:val="0"/>
      <w:marRight w:val="0"/>
      <w:marTop w:val="0"/>
      <w:marBottom w:val="0"/>
      <w:divBdr>
        <w:top w:val="none" w:sz="0" w:space="0" w:color="auto"/>
        <w:left w:val="none" w:sz="0" w:space="0" w:color="auto"/>
        <w:bottom w:val="none" w:sz="0" w:space="0" w:color="auto"/>
        <w:right w:val="none" w:sz="0" w:space="0" w:color="auto"/>
      </w:divBdr>
    </w:div>
    <w:div w:id="865220686">
      <w:bodyDiv w:val="1"/>
      <w:marLeft w:val="0"/>
      <w:marRight w:val="0"/>
      <w:marTop w:val="0"/>
      <w:marBottom w:val="0"/>
      <w:divBdr>
        <w:top w:val="none" w:sz="0" w:space="0" w:color="auto"/>
        <w:left w:val="none" w:sz="0" w:space="0" w:color="auto"/>
        <w:bottom w:val="none" w:sz="0" w:space="0" w:color="auto"/>
        <w:right w:val="none" w:sz="0" w:space="0" w:color="auto"/>
      </w:divBdr>
    </w:div>
    <w:div w:id="865289212">
      <w:bodyDiv w:val="1"/>
      <w:marLeft w:val="0"/>
      <w:marRight w:val="0"/>
      <w:marTop w:val="0"/>
      <w:marBottom w:val="0"/>
      <w:divBdr>
        <w:top w:val="none" w:sz="0" w:space="0" w:color="auto"/>
        <w:left w:val="none" w:sz="0" w:space="0" w:color="auto"/>
        <w:bottom w:val="none" w:sz="0" w:space="0" w:color="auto"/>
        <w:right w:val="none" w:sz="0" w:space="0" w:color="auto"/>
      </w:divBdr>
    </w:div>
    <w:div w:id="865362831">
      <w:bodyDiv w:val="1"/>
      <w:marLeft w:val="0"/>
      <w:marRight w:val="0"/>
      <w:marTop w:val="0"/>
      <w:marBottom w:val="0"/>
      <w:divBdr>
        <w:top w:val="none" w:sz="0" w:space="0" w:color="auto"/>
        <w:left w:val="none" w:sz="0" w:space="0" w:color="auto"/>
        <w:bottom w:val="none" w:sz="0" w:space="0" w:color="auto"/>
        <w:right w:val="none" w:sz="0" w:space="0" w:color="auto"/>
      </w:divBdr>
    </w:div>
    <w:div w:id="865363343">
      <w:bodyDiv w:val="1"/>
      <w:marLeft w:val="0"/>
      <w:marRight w:val="0"/>
      <w:marTop w:val="0"/>
      <w:marBottom w:val="0"/>
      <w:divBdr>
        <w:top w:val="none" w:sz="0" w:space="0" w:color="auto"/>
        <w:left w:val="none" w:sz="0" w:space="0" w:color="auto"/>
        <w:bottom w:val="none" w:sz="0" w:space="0" w:color="auto"/>
        <w:right w:val="none" w:sz="0" w:space="0" w:color="auto"/>
      </w:divBdr>
    </w:div>
    <w:div w:id="865560054">
      <w:bodyDiv w:val="1"/>
      <w:marLeft w:val="0"/>
      <w:marRight w:val="0"/>
      <w:marTop w:val="0"/>
      <w:marBottom w:val="0"/>
      <w:divBdr>
        <w:top w:val="none" w:sz="0" w:space="0" w:color="auto"/>
        <w:left w:val="none" w:sz="0" w:space="0" w:color="auto"/>
        <w:bottom w:val="none" w:sz="0" w:space="0" w:color="auto"/>
        <w:right w:val="none" w:sz="0" w:space="0" w:color="auto"/>
      </w:divBdr>
    </w:div>
    <w:div w:id="865560339">
      <w:bodyDiv w:val="1"/>
      <w:marLeft w:val="0"/>
      <w:marRight w:val="0"/>
      <w:marTop w:val="0"/>
      <w:marBottom w:val="0"/>
      <w:divBdr>
        <w:top w:val="none" w:sz="0" w:space="0" w:color="auto"/>
        <w:left w:val="none" w:sz="0" w:space="0" w:color="auto"/>
        <w:bottom w:val="none" w:sz="0" w:space="0" w:color="auto"/>
        <w:right w:val="none" w:sz="0" w:space="0" w:color="auto"/>
      </w:divBdr>
    </w:div>
    <w:div w:id="865561039">
      <w:bodyDiv w:val="1"/>
      <w:marLeft w:val="0"/>
      <w:marRight w:val="0"/>
      <w:marTop w:val="0"/>
      <w:marBottom w:val="0"/>
      <w:divBdr>
        <w:top w:val="none" w:sz="0" w:space="0" w:color="auto"/>
        <w:left w:val="none" w:sz="0" w:space="0" w:color="auto"/>
        <w:bottom w:val="none" w:sz="0" w:space="0" w:color="auto"/>
        <w:right w:val="none" w:sz="0" w:space="0" w:color="auto"/>
      </w:divBdr>
    </w:div>
    <w:div w:id="865827706">
      <w:bodyDiv w:val="1"/>
      <w:marLeft w:val="0"/>
      <w:marRight w:val="0"/>
      <w:marTop w:val="0"/>
      <w:marBottom w:val="0"/>
      <w:divBdr>
        <w:top w:val="none" w:sz="0" w:space="0" w:color="auto"/>
        <w:left w:val="none" w:sz="0" w:space="0" w:color="auto"/>
        <w:bottom w:val="none" w:sz="0" w:space="0" w:color="auto"/>
        <w:right w:val="none" w:sz="0" w:space="0" w:color="auto"/>
      </w:divBdr>
    </w:div>
    <w:div w:id="865946155">
      <w:bodyDiv w:val="1"/>
      <w:marLeft w:val="0"/>
      <w:marRight w:val="0"/>
      <w:marTop w:val="0"/>
      <w:marBottom w:val="0"/>
      <w:divBdr>
        <w:top w:val="none" w:sz="0" w:space="0" w:color="auto"/>
        <w:left w:val="none" w:sz="0" w:space="0" w:color="auto"/>
        <w:bottom w:val="none" w:sz="0" w:space="0" w:color="auto"/>
        <w:right w:val="none" w:sz="0" w:space="0" w:color="auto"/>
      </w:divBdr>
    </w:div>
    <w:div w:id="865951000">
      <w:bodyDiv w:val="1"/>
      <w:marLeft w:val="0"/>
      <w:marRight w:val="0"/>
      <w:marTop w:val="0"/>
      <w:marBottom w:val="0"/>
      <w:divBdr>
        <w:top w:val="none" w:sz="0" w:space="0" w:color="auto"/>
        <w:left w:val="none" w:sz="0" w:space="0" w:color="auto"/>
        <w:bottom w:val="none" w:sz="0" w:space="0" w:color="auto"/>
        <w:right w:val="none" w:sz="0" w:space="0" w:color="auto"/>
      </w:divBdr>
    </w:div>
    <w:div w:id="866018204">
      <w:bodyDiv w:val="1"/>
      <w:marLeft w:val="0"/>
      <w:marRight w:val="0"/>
      <w:marTop w:val="0"/>
      <w:marBottom w:val="0"/>
      <w:divBdr>
        <w:top w:val="none" w:sz="0" w:space="0" w:color="auto"/>
        <w:left w:val="none" w:sz="0" w:space="0" w:color="auto"/>
        <w:bottom w:val="none" w:sz="0" w:space="0" w:color="auto"/>
        <w:right w:val="none" w:sz="0" w:space="0" w:color="auto"/>
      </w:divBdr>
    </w:div>
    <w:div w:id="866212777">
      <w:bodyDiv w:val="1"/>
      <w:marLeft w:val="0"/>
      <w:marRight w:val="0"/>
      <w:marTop w:val="0"/>
      <w:marBottom w:val="0"/>
      <w:divBdr>
        <w:top w:val="none" w:sz="0" w:space="0" w:color="auto"/>
        <w:left w:val="none" w:sz="0" w:space="0" w:color="auto"/>
        <w:bottom w:val="none" w:sz="0" w:space="0" w:color="auto"/>
        <w:right w:val="none" w:sz="0" w:space="0" w:color="auto"/>
      </w:divBdr>
    </w:div>
    <w:div w:id="866256449">
      <w:bodyDiv w:val="1"/>
      <w:marLeft w:val="0"/>
      <w:marRight w:val="0"/>
      <w:marTop w:val="0"/>
      <w:marBottom w:val="0"/>
      <w:divBdr>
        <w:top w:val="none" w:sz="0" w:space="0" w:color="auto"/>
        <w:left w:val="none" w:sz="0" w:space="0" w:color="auto"/>
        <w:bottom w:val="none" w:sz="0" w:space="0" w:color="auto"/>
        <w:right w:val="none" w:sz="0" w:space="0" w:color="auto"/>
      </w:divBdr>
    </w:div>
    <w:div w:id="866257826">
      <w:bodyDiv w:val="1"/>
      <w:marLeft w:val="0"/>
      <w:marRight w:val="0"/>
      <w:marTop w:val="0"/>
      <w:marBottom w:val="0"/>
      <w:divBdr>
        <w:top w:val="none" w:sz="0" w:space="0" w:color="auto"/>
        <w:left w:val="none" w:sz="0" w:space="0" w:color="auto"/>
        <w:bottom w:val="none" w:sz="0" w:space="0" w:color="auto"/>
        <w:right w:val="none" w:sz="0" w:space="0" w:color="auto"/>
      </w:divBdr>
    </w:div>
    <w:div w:id="866262029">
      <w:bodyDiv w:val="1"/>
      <w:marLeft w:val="0"/>
      <w:marRight w:val="0"/>
      <w:marTop w:val="0"/>
      <w:marBottom w:val="0"/>
      <w:divBdr>
        <w:top w:val="none" w:sz="0" w:space="0" w:color="auto"/>
        <w:left w:val="none" w:sz="0" w:space="0" w:color="auto"/>
        <w:bottom w:val="none" w:sz="0" w:space="0" w:color="auto"/>
        <w:right w:val="none" w:sz="0" w:space="0" w:color="auto"/>
      </w:divBdr>
    </w:div>
    <w:div w:id="866287547">
      <w:bodyDiv w:val="1"/>
      <w:marLeft w:val="0"/>
      <w:marRight w:val="0"/>
      <w:marTop w:val="0"/>
      <w:marBottom w:val="0"/>
      <w:divBdr>
        <w:top w:val="none" w:sz="0" w:space="0" w:color="auto"/>
        <w:left w:val="none" w:sz="0" w:space="0" w:color="auto"/>
        <w:bottom w:val="none" w:sz="0" w:space="0" w:color="auto"/>
        <w:right w:val="none" w:sz="0" w:space="0" w:color="auto"/>
      </w:divBdr>
    </w:div>
    <w:div w:id="866337281">
      <w:bodyDiv w:val="1"/>
      <w:marLeft w:val="0"/>
      <w:marRight w:val="0"/>
      <w:marTop w:val="0"/>
      <w:marBottom w:val="0"/>
      <w:divBdr>
        <w:top w:val="none" w:sz="0" w:space="0" w:color="auto"/>
        <w:left w:val="none" w:sz="0" w:space="0" w:color="auto"/>
        <w:bottom w:val="none" w:sz="0" w:space="0" w:color="auto"/>
        <w:right w:val="none" w:sz="0" w:space="0" w:color="auto"/>
      </w:divBdr>
    </w:div>
    <w:div w:id="866404477">
      <w:bodyDiv w:val="1"/>
      <w:marLeft w:val="0"/>
      <w:marRight w:val="0"/>
      <w:marTop w:val="0"/>
      <w:marBottom w:val="0"/>
      <w:divBdr>
        <w:top w:val="none" w:sz="0" w:space="0" w:color="auto"/>
        <w:left w:val="none" w:sz="0" w:space="0" w:color="auto"/>
        <w:bottom w:val="none" w:sz="0" w:space="0" w:color="auto"/>
        <w:right w:val="none" w:sz="0" w:space="0" w:color="auto"/>
      </w:divBdr>
    </w:div>
    <w:div w:id="866480897">
      <w:bodyDiv w:val="1"/>
      <w:marLeft w:val="0"/>
      <w:marRight w:val="0"/>
      <w:marTop w:val="0"/>
      <w:marBottom w:val="0"/>
      <w:divBdr>
        <w:top w:val="none" w:sz="0" w:space="0" w:color="auto"/>
        <w:left w:val="none" w:sz="0" w:space="0" w:color="auto"/>
        <w:bottom w:val="none" w:sz="0" w:space="0" w:color="auto"/>
        <w:right w:val="none" w:sz="0" w:space="0" w:color="auto"/>
      </w:divBdr>
    </w:div>
    <w:div w:id="866483592">
      <w:bodyDiv w:val="1"/>
      <w:marLeft w:val="0"/>
      <w:marRight w:val="0"/>
      <w:marTop w:val="0"/>
      <w:marBottom w:val="0"/>
      <w:divBdr>
        <w:top w:val="none" w:sz="0" w:space="0" w:color="auto"/>
        <w:left w:val="none" w:sz="0" w:space="0" w:color="auto"/>
        <w:bottom w:val="none" w:sz="0" w:space="0" w:color="auto"/>
        <w:right w:val="none" w:sz="0" w:space="0" w:color="auto"/>
      </w:divBdr>
    </w:div>
    <w:div w:id="866674538">
      <w:bodyDiv w:val="1"/>
      <w:marLeft w:val="0"/>
      <w:marRight w:val="0"/>
      <w:marTop w:val="0"/>
      <w:marBottom w:val="0"/>
      <w:divBdr>
        <w:top w:val="none" w:sz="0" w:space="0" w:color="auto"/>
        <w:left w:val="none" w:sz="0" w:space="0" w:color="auto"/>
        <w:bottom w:val="none" w:sz="0" w:space="0" w:color="auto"/>
        <w:right w:val="none" w:sz="0" w:space="0" w:color="auto"/>
      </w:divBdr>
    </w:div>
    <w:div w:id="866677641">
      <w:bodyDiv w:val="1"/>
      <w:marLeft w:val="0"/>
      <w:marRight w:val="0"/>
      <w:marTop w:val="0"/>
      <w:marBottom w:val="0"/>
      <w:divBdr>
        <w:top w:val="none" w:sz="0" w:space="0" w:color="auto"/>
        <w:left w:val="none" w:sz="0" w:space="0" w:color="auto"/>
        <w:bottom w:val="none" w:sz="0" w:space="0" w:color="auto"/>
        <w:right w:val="none" w:sz="0" w:space="0" w:color="auto"/>
      </w:divBdr>
    </w:div>
    <w:div w:id="866796646">
      <w:bodyDiv w:val="1"/>
      <w:marLeft w:val="0"/>
      <w:marRight w:val="0"/>
      <w:marTop w:val="0"/>
      <w:marBottom w:val="0"/>
      <w:divBdr>
        <w:top w:val="none" w:sz="0" w:space="0" w:color="auto"/>
        <w:left w:val="none" w:sz="0" w:space="0" w:color="auto"/>
        <w:bottom w:val="none" w:sz="0" w:space="0" w:color="auto"/>
        <w:right w:val="none" w:sz="0" w:space="0" w:color="auto"/>
      </w:divBdr>
    </w:div>
    <w:div w:id="866866347">
      <w:bodyDiv w:val="1"/>
      <w:marLeft w:val="0"/>
      <w:marRight w:val="0"/>
      <w:marTop w:val="0"/>
      <w:marBottom w:val="0"/>
      <w:divBdr>
        <w:top w:val="none" w:sz="0" w:space="0" w:color="auto"/>
        <w:left w:val="none" w:sz="0" w:space="0" w:color="auto"/>
        <w:bottom w:val="none" w:sz="0" w:space="0" w:color="auto"/>
        <w:right w:val="none" w:sz="0" w:space="0" w:color="auto"/>
      </w:divBdr>
    </w:div>
    <w:div w:id="866873909">
      <w:bodyDiv w:val="1"/>
      <w:marLeft w:val="0"/>
      <w:marRight w:val="0"/>
      <w:marTop w:val="0"/>
      <w:marBottom w:val="0"/>
      <w:divBdr>
        <w:top w:val="none" w:sz="0" w:space="0" w:color="auto"/>
        <w:left w:val="none" w:sz="0" w:space="0" w:color="auto"/>
        <w:bottom w:val="none" w:sz="0" w:space="0" w:color="auto"/>
        <w:right w:val="none" w:sz="0" w:space="0" w:color="auto"/>
      </w:divBdr>
    </w:div>
    <w:div w:id="866910939">
      <w:bodyDiv w:val="1"/>
      <w:marLeft w:val="0"/>
      <w:marRight w:val="0"/>
      <w:marTop w:val="0"/>
      <w:marBottom w:val="0"/>
      <w:divBdr>
        <w:top w:val="none" w:sz="0" w:space="0" w:color="auto"/>
        <w:left w:val="none" w:sz="0" w:space="0" w:color="auto"/>
        <w:bottom w:val="none" w:sz="0" w:space="0" w:color="auto"/>
        <w:right w:val="none" w:sz="0" w:space="0" w:color="auto"/>
      </w:divBdr>
    </w:div>
    <w:div w:id="866911754">
      <w:bodyDiv w:val="1"/>
      <w:marLeft w:val="0"/>
      <w:marRight w:val="0"/>
      <w:marTop w:val="0"/>
      <w:marBottom w:val="0"/>
      <w:divBdr>
        <w:top w:val="none" w:sz="0" w:space="0" w:color="auto"/>
        <w:left w:val="none" w:sz="0" w:space="0" w:color="auto"/>
        <w:bottom w:val="none" w:sz="0" w:space="0" w:color="auto"/>
        <w:right w:val="none" w:sz="0" w:space="0" w:color="auto"/>
      </w:divBdr>
    </w:div>
    <w:div w:id="867108830">
      <w:bodyDiv w:val="1"/>
      <w:marLeft w:val="0"/>
      <w:marRight w:val="0"/>
      <w:marTop w:val="0"/>
      <w:marBottom w:val="0"/>
      <w:divBdr>
        <w:top w:val="none" w:sz="0" w:space="0" w:color="auto"/>
        <w:left w:val="none" w:sz="0" w:space="0" w:color="auto"/>
        <w:bottom w:val="none" w:sz="0" w:space="0" w:color="auto"/>
        <w:right w:val="none" w:sz="0" w:space="0" w:color="auto"/>
      </w:divBdr>
    </w:div>
    <w:div w:id="867257148">
      <w:bodyDiv w:val="1"/>
      <w:marLeft w:val="0"/>
      <w:marRight w:val="0"/>
      <w:marTop w:val="0"/>
      <w:marBottom w:val="0"/>
      <w:divBdr>
        <w:top w:val="none" w:sz="0" w:space="0" w:color="auto"/>
        <w:left w:val="none" w:sz="0" w:space="0" w:color="auto"/>
        <w:bottom w:val="none" w:sz="0" w:space="0" w:color="auto"/>
        <w:right w:val="none" w:sz="0" w:space="0" w:color="auto"/>
      </w:divBdr>
    </w:div>
    <w:div w:id="867261139">
      <w:bodyDiv w:val="1"/>
      <w:marLeft w:val="0"/>
      <w:marRight w:val="0"/>
      <w:marTop w:val="0"/>
      <w:marBottom w:val="0"/>
      <w:divBdr>
        <w:top w:val="none" w:sz="0" w:space="0" w:color="auto"/>
        <w:left w:val="none" w:sz="0" w:space="0" w:color="auto"/>
        <w:bottom w:val="none" w:sz="0" w:space="0" w:color="auto"/>
        <w:right w:val="none" w:sz="0" w:space="0" w:color="auto"/>
      </w:divBdr>
    </w:div>
    <w:div w:id="867596218">
      <w:bodyDiv w:val="1"/>
      <w:marLeft w:val="0"/>
      <w:marRight w:val="0"/>
      <w:marTop w:val="0"/>
      <w:marBottom w:val="0"/>
      <w:divBdr>
        <w:top w:val="none" w:sz="0" w:space="0" w:color="auto"/>
        <w:left w:val="none" w:sz="0" w:space="0" w:color="auto"/>
        <w:bottom w:val="none" w:sz="0" w:space="0" w:color="auto"/>
        <w:right w:val="none" w:sz="0" w:space="0" w:color="auto"/>
      </w:divBdr>
    </w:div>
    <w:div w:id="867639738">
      <w:bodyDiv w:val="1"/>
      <w:marLeft w:val="0"/>
      <w:marRight w:val="0"/>
      <w:marTop w:val="0"/>
      <w:marBottom w:val="0"/>
      <w:divBdr>
        <w:top w:val="none" w:sz="0" w:space="0" w:color="auto"/>
        <w:left w:val="none" w:sz="0" w:space="0" w:color="auto"/>
        <w:bottom w:val="none" w:sz="0" w:space="0" w:color="auto"/>
        <w:right w:val="none" w:sz="0" w:space="0" w:color="auto"/>
      </w:divBdr>
    </w:div>
    <w:div w:id="867723947">
      <w:bodyDiv w:val="1"/>
      <w:marLeft w:val="0"/>
      <w:marRight w:val="0"/>
      <w:marTop w:val="0"/>
      <w:marBottom w:val="0"/>
      <w:divBdr>
        <w:top w:val="none" w:sz="0" w:space="0" w:color="auto"/>
        <w:left w:val="none" w:sz="0" w:space="0" w:color="auto"/>
        <w:bottom w:val="none" w:sz="0" w:space="0" w:color="auto"/>
        <w:right w:val="none" w:sz="0" w:space="0" w:color="auto"/>
      </w:divBdr>
    </w:div>
    <w:div w:id="867766090">
      <w:bodyDiv w:val="1"/>
      <w:marLeft w:val="0"/>
      <w:marRight w:val="0"/>
      <w:marTop w:val="0"/>
      <w:marBottom w:val="0"/>
      <w:divBdr>
        <w:top w:val="none" w:sz="0" w:space="0" w:color="auto"/>
        <w:left w:val="none" w:sz="0" w:space="0" w:color="auto"/>
        <w:bottom w:val="none" w:sz="0" w:space="0" w:color="auto"/>
        <w:right w:val="none" w:sz="0" w:space="0" w:color="auto"/>
      </w:divBdr>
    </w:div>
    <w:div w:id="867834953">
      <w:bodyDiv w:val="1"/>
      <w:marLeft w:val="0"/>
      <w:marRight w:val="0"/>
      <w:marTop w:val="0"/>
      <w:marBottom w:val="0"/>
      <w:divBdr>
        <w:top w:val="none" w:sz="0" w:space="0" w:color="auto"/>
        <w:left w:val="none" w:sz="0" w:space="0" w:color="auto"/>
        <w:bottom w:val="none" w:sz="0" w:space="0" w:color="auto"/>
        <w:right w:val="none" w:sz="0" w:space="0" w:color="auto"/>
      </w:divBdr>
    </w:div>
    <w:div w:id="867840262">
      <w:bodyDiv w:val="1"/>
      <w:marLeft w:val="0"/>
      <w:marRight w:val="0"/>
      <w:marTop w:val="0"/>
      <w:marBottom w:val="0"/>
      <w:divBdr>
        <w:top w:val="none" w:sz="0" w:space="0" w:color="auto"/>
        <w:left w:val="none" w:sz="0" w:space="0" w:color="auto"/>
        <w:bottom w:val="none" w:sz="0" w:space="0" w:color="auto"/>
        <w:right w:val="none" w:sz="0" w:space="0" w:color="auto"/>
      </w:divBdr>
    </w:div>
    <w:div w:id="867983700">
      <w:bodyDiv w:val="1"/>
      <w:marLeft w:val="0"/>
      <w:marRight w:val="0"/>
      <w:marTop w:val="0"/>
      <w:marBottom w:val="0"/>
      <w:divBdr>
        <w:top w:val="none" w:sz="0" w:space="0" w:color="auto"/>
        <w:left w:val="none" w:sz="0" w:space="0" w:color="auto"/>
        <w:bottom w:val="none" w:sz="0" w:space="0" w:color="auto"/>
        <w:right w:val="none" w:sz="0" w:space="0" w:color="auto"/>
      </w:divBdr>
    </w:div>
    <w:div w:id="867983939">
      <w:bodyDiv w:val="1"/>
      <w:marLeft w:val="0"/>
      <w:marRight w:val="0"/>
      <w:marTop w:val="0"/>
      <w:marBottom w:val="0"/>
      <w:divBdr>
        <w:top w:val="none" w:sz="0" w:space="0" w:color="auto"/>
        <w:left w:val="none" w:sz="0" w:space="0" w:color="auto"/>
        <w:bottom w:val="none" w:sz="0" w:space="0" w:color="auto"/>
        <w:right w:val="none" w:sz="0" w:space="0" w:color="auto"/>
      </w:divBdr>
    </w:div>
    <w:div w:id="867987240">
      <w:bodyDiv w:val="1"/>
      <w:marLeft w:val="0"/>
      <w:marRight w:val="0"/>
      <w:marTop w:val="0"/>
      <w:marBottom w:val="0"/>
      <w:divBdr>
        <w:top w:val="none" w:sz="0" w:space="0" w:color="auto"/>
        <w:left w:val="none" w:sz="0" w:space="0" w:color="auto"/>
        <w:bottom w:val="none" w:sz="0" w:space="0" w:color="auto"/>
        <w:right w:val="none" w:sz="0" w:space="0" w:color="auto"/>
      </w:divBdr>
    </w:div>
    <w:div w:id="867988403">
      <w:bodyDiv w:val="1"/>
      <w:marLeft w:val="0"/>
      <w:marRight w:val="0"/>
      <w:marTop w:val="0"/>
      <w:marBottom w:val="0"/>
      <w:divBdr>
        <w:top w:val="none" w:sz="0" w:space="0" w:color="auto"/>
        <w:left w:val="none" w:sz="0" w:space="0" w:color="auto"/>
        <w:bottom w:val="none" w:sz="0" w:space="0" w:color="auto"/>
        <w:right w:val="none" w:sz="0" w:space="0" w:color="auto"/>
      </w:divBdr>
    </w:div>
    <w:div w:id="868105099">
      <w:bodyDiv w:val="1"/>
      <w:marLeft w:val="0"/>
      <w:marRight w:val="0"/>
      <w:marTop w:val="0"/>
      <w:marBottom w:val="0"/>
      <w:divBdr>
        <w:top w:val="none" w:sz="0" w:space="0" w:color="auto"/>
        <w:left w:val="none" w:sz="0" w:space="0" w:color="auto"/>
        <w:bottom w:val="none" w:sz="0" w:space="0" w:color="auto"/>
        <w:right w:val="none" w:sz="0" w:space="0" w:color="auto"/>
      </w:divBdr>
    </w:div>
    <w:div w:id="868105606">
      <w:bodyDiv w:val="1"/>
      <w:marLeft w:val="0"/>
      <w:marRight w:val="0"/>
      <w:marTop w:val="0"/>
      <w:marBottom w:val="0"/>
      <w:divBdr>
        <w:top w:val="none" w:sz="0" w:space="0" w:color="auto"/>
        <w:left w:val="none" w:sz="0" w:space="0" w:color="auto"/>
        <w:bottom w:val="none" w:sz="0" w:space="0" w:color="auto"/>
        <w:right w:val="none" w:sz="0" w:space="0" w:color="auto"/>
      </w:divBdr>
    </w:div>
    <w:div w:id="868176891">
      <w:bodyDiv w:val="1"/>
      <w:marLeft w:val="0"/>
      <w:marRight w:val="0"/>
      <w:marTop w:val="0"/>
      <w:marBottom w:val="0"/>
      <w:divBdr>
        <w:top w:val="none" w:sz="0" w:space="0" w:color="auto"/>
        <w:left w:val="none" w:sz="0" w:space="0" w:color="auto"/>
        <w:bottom w:val="none" w:sz="0" w:space="0" w:color="auto"/>
        <w:right w:val="none" w:sz="0" w:space="0" w:color="auto"/>
      </w:divBdr>
    </w:div>
    <w:div w:id="868374538">
      <w:bodyDiv w:val="1"/>
      <w:marLeft w:val="0"/>
      <w:marRight w:val="0"/>
      <w:marTop w:val="0"/>
      <w:marBottom w:val="0"/>
      <w:divBdr>
        <w:top w:val="none" w:sz="0" w:space="0" w:color="auto"/>
        <w:left w:val="none" w:sz="0" w:space="0" w:color="auto"/>
        <w:bottom w:val="none" w:sz="0" w:space="0" w:color="auto"/>
        <w:right w:val="none" w:sz="0" w:space="0" w:color="auto"/>
      </w:divBdr>
    </w:div>
    <w:div w:id="868489738">
      <w:bodyDiv w:val="1"/>
      <w:marLeft w:val="0"/>
      <w:marRight w:val="0"/>
      <w:marTop w:val="0"/>
      <w:marBottom w:val="0"/>
      <w:divBdr>
        <w:top w:val="none" w:sz="0" w:space="0" w:color="auto"/>
        <w:left w:val="none" w:sz="0" w:space="0" w:color="auto"/>
        <w:bottom w:val="none" w:sz="0" w:space="0" w:color="auto"/>
        <w:right w:val="none" w:sz="0" w:space="0" w:color="auto"/>
      </w:divBdr>
    </w:div>
    <w:div w:id="868570195">
      <w:bodyDiv w:val="1"/>
      <w:marLeft w:val="0"/>
      <w:marRight w:val="0"/>
      <w:marTop w:val="0"/>
      <w:marBottom w:val="0"/>
      <w:divBdr>
        <w:top w:val="none" w:sz="0" w:space="0" w:color="auto"/>
        <w:left w:val="none" w:sz="0" w:space="0" w:color="auto"/>
        <w:bottom w:val="none" w:sz="0" w:space="0" w:color="auto"/>
        <w:right w:val="none" w:sz="0" w:space="0" w:color="auto"/>
      </w:divBdr>
    </w:div>
    <w:div w:id="868876685">
      <w:bodyDiv w:val="1"/>
      <w:marLeft w:val="0"/>
      <w:marRight w:val="0"/>
      <w:marTop w:val="0"/>
      <w:marBottom w:val="0"/>
      <w:divBdr>
        <w:top w:val="none" w:sz="0" w:space="0" w:color="auto"/>
        <w:left w:val="none" w:sz="0" w:space="0" w:color="auto"/>
        <w:bottom w:val="none" w:sz="0" w:space="0" w:color="auto"/>
        <w:right w:val="none" w:sz="0" w:space="0" w:color="auto"/>
      </w:divBdr>
    </w:div>
    <w:div w:id="868953364">
      <w:bodyDiv w:val="1"/>
      <w:marLeft w:val="0"/>
      <w:marRight w:val="0"/>
      <w:marTop w:val="0"/>
      <w:marBottom w:val="0"/>
      <w:divBdr>
        <w:top w:val="none" w:sz="0" w:space="0" w:color="auto"/>
        <w:left w:val="none" w:sz="0" w:space="0" w:color="auto"/>
        <w:bottom w:val="none" w:sz="0" w:space="0" w:color="auto"/>
        <w:right w:val="none" w:sz="0" w:space="0" w:color="auto"/>
      </w:divBdr>
    </w:div>
    <w:div w:id="868958653">
      <w:bodyDiv w:val="1"/>
      <w:marLeft w:val="0"/>
      <w:marRight w:val="0"/>
      <w:marTop w:val="0"/>
      <w:marBottom w:val="0"/>
      <w:divBdr>
        <w:top w:val="none" w:sz="0" w:space="0" w:color="auto"/>
        <w:left w:val="none" w:sz="0" w:space="0" w:color="auto"/>
        <w:bottom w:val="none" w:sz="0" w:space="0" w:color="auto"/>
        <w:right w:val="none" w:sz="0" w:space="0" w:color="auto"/>
      </w:divBdr>
    </w:div>
    <w:div w:id="869029045">
      <w:bodyDiv w:val="1"/>
      <w:marLeft w:val="0"/>
      <w:marRight w:val="0"/>
      <w:marTop w:val="0"/>
      <w:marBottom w:val="0"/>
      <w:divBdr>
        <w:top w:val="none" w:sz="0" w:space="0" w:color="auto"/>
        <w:left w:val="none" w:sz="0" w:space="0" w:color="auto"/>
        <w:bottom w:val="none" w:sz="0" w:space="0" w:color="auto"/>
        <w:right w:val="none" w:sz="0" w:space="0" w:color="auto"/>
      </w:divBdr>
    </w:div>
    <w:div w:id="869105136">
      <w:bodyDiv w:val="1"/>
      <w:marLeft w:val="0"/>
      <w:marRight w:val="0"/>
      <w:marTop w:val="0"/>
      <w:marBottom w:val="0"/>
      <w:divBdr>
        <w:top w:val="none" w:sz="0" w:space="0" w:color="auto"/>
        <w:left w:val="none" w:sz="0" w:space="0" w:color="auto"/>
        <w:bottom w:val="none" w:sz="0" w:space="0" w:color="auto"/>
        <w:right w:val="none" w:sz="0" w:space="0" w:color="auto"/>
      </w:divBdr>
    </w:div>
    <w:div w:id="869220667">
      <w:bodyDiv w:val="1"/>
      <w:marLeft w:val="0"/>
      <w:marRight w:val="0"/>
      <w:marTop w:val="0"/>
      <w:marBottom w:val="0"/>
      <w:divBdr>
        <w:top w:val="none" w:sz="0" w:space="0" w:color="auto"/>
        <w:left w:val="none" w:sz="0" w:space="0" w:color="auto"/>
        <w:bottom w:val="none" w:sz="0" w:space="0" w:color="auto"/>
        <w:right w:val="none" w:sz="0" w:space="0" w:color="auto"/>
      </w:divBdr>
    </w:div>
    <w:div w:id="869301767">
      <w:bodyDiv w:val="1"/>
      <w:marLeft w:val="0"/>
      <w:marRight w:val="0"/>
      <w:marTop w:val="0"/>
      <w:marBottom w:val="0"/>
      <w:divBdr>
        <w:top w:val="none" w:sz="0" w:space="0" w:color="auto"/>
        <w:left w:val="none" w:sz="0" w:space="0" w:color="auto"/>
        <w:bottom w:val="none" w:sz="0" w:space="0" w:color="auto"/>
        <w:right w:val="none" w:sz="0" w:space="0" w:color="auto"/>
      </w:divBdr>
    </w:div>
    <w:div w:id="869336628">
      <w:bodyDiv w:val="1"/>
      <w:marLeft w:val="0"/>
      <w:marRight w:val="0"/>
      <w:marTop w:val="0"/>
      <w:marBottom w:val="0"/>
      <w:divBdr>
        <w:top w:val="none" w:sz="0" w:space="0" w:color="auto"/>
        <w:left w:val="none" w:sz="0" w:space="0" w:color="auto"/>
        <w:bottom w:val="none" w:sz="0" w:space="0" w:color="auto"/>
        <w:right w:val="none" w:sz="0" w:space="0" w:color="auto"/>
      </w:divBdr>
    </w:div>
    <w:div w:id="869412272">
      <w:bodyDiv w:val="1"/>
      <w:marLeft w:val="0"/>
      <w:marRight w:val="0"/>
      <w:marTop w:val="0"/>
      <w:marBottom w:val="0"/>
      <w:divBdr>
        <w:top w:val="none" w:sz="0" w:space="0" w:color="auto"/>
        <w:left w:val="none" w:sz="0" w:space="0" w:color="auto"/>
        <w:bottom w:val="none" w:sz="0" w:space="0" w:color="auto"/>
        <w:right w:val="none" w:sz="0" w:space="0" w:color="auto"/>
      </w:divBdr>
    </w:div>
    <w:div w:id="869418923">
      <w:bodyDiv w:val="1"/>
      <w:marLeft w:val="0"/>
      <w:marRight w:val="0"/>
      <w:marTop w:val="0"/>
      <w:marBottom w:val="0"/>
      <w:divBdr>
        <w:top w:val="none" w:sz="0" w:space="0" w:color="auto"/>
        <w:left w:val="none" w:sz="0" w:space="0" w:color="auto"/>
        <w:bottom w:val="none" w:sz="0" w:space="0" w:color="auto"/>
        <w:right w:val="none" w:sz="0" w:space="0" w:color="auto"/>
      </w:divBdr>
    </w:div>
    <w:div w:id="869487146">
      <w:bodyDiv w:val="1"/>
      <w:marLeft w:val="0"/>
      <w:marRight w:val="0"/>
      <w:marTop w:val="0"/>
      <w:marBottom w:val="0"/>
      <w:divBdr>
        <w:top w:val="none" w:sz="0" w:space="0" w:color="auto"/>
        <w:left w:val="none" w:sz="0" w:space="0" w:color="auto"/>
        <w:bottom w:val="none" w:sz="0" w:space="0" w:color="auto"/>
        <w:right w:val="none" w:sz="0" w:space="0" w:color="auto"/>
      </w:divBdr>
    </w:div>
    <w:div w:id="869533708">
      <w:bodyDiv w:val="1"/>
      <w:marLeft w:val="0"/>
      <w:marRight w:val="0"/>
      <w:marTop w:val="0"/>
      <w:marBottom w:val="0"/>
      <w:divBdr>
        <w:top w:val="none" w:sz="0" w:space="0" w:color="auto"/>
        <w:left w:val="none" w:sz="0" w:space="0" w:color="auto"/>
        <w:bottom w:val="none" w:sz="0" w:space="0" w:color="auto"/>
        <w:right w:val="none" w:sz="0" w:space="0" w:color="auto"/>
      </w:divBdr>
    </w:div>
    <w:div w:id="869606625">
      <w:bodyDiv w:val="1"/>
      <w:marLeft w:val="0"/>
      <w:marRight w:val="0"/>
      <w:marTop w:val="0"/>
      <w:marBottom w:val="0"/>
      <w:divBdr>
        <w:top w:val="none" w:sz="0" w:space="0" w:color="auto"/>
        <w:left w:val="none" w:sz="0" w:space="0" w:color="auto"/>
        <w:bottom w:val="none" w:sz="0" w:space="0" w:color="auto"/>
        <w:right w:val="none" w:sz="0" w:space="0" w:color="auto"/>
      </w:divBdr>
    </w:div>
    <w:div w:id="869609337">
      <w:bodyDiv w:val="1"/>
      <w:marLeft w:val="0"/>
      <w:marRight w:val="0"/>
      <w:marTop w:val="0"/>
      <w:marBottom w:val="0"/>
      <w:divBdr>
        <w:top w:val="none" w:sz="0" w:space="0" w:color="auto"/>
        <w:left w:val="none" w:sz="0" w:space="0" w:color="auto"/>
        <w:bottom w:val="none" w:sz="0" w:space="0" w:color="auto"/>
        <w:right w:val="none" w:sz="0" w:space="0" w:color="auto"/>
      </w:divBdr>
    </w:div>
    <w:div w:id="869730172">
      <w:bodyDiv w:val="1"/>
      <w:marLeft w:val="0"/>
      <w:marRight w:val="0"/>
      <w:marTop w:val="0"/>
      <w:marBottom w:val="0"/>
      <w:divBdr>
        <w:top w:val="none" w:sz="0" w:space="0" w:color="auto"/>
        <w:left w:val="none" w:sz="0" w:space="0" w:color="auto"/>
        <w:bottom w:val="none" w:sz="0" w:space="0" w:color="auto"/>
        <w:right w:val="none" w:sz="0" w:space="0" w:color="auto"/>
      </w:divBdr>
    </w:div>
    <w:div w:id="869731477">
      <w:bodyDiv w:val="1"/>
      <w:marLeft w:val="0"/>
      <w:marRight w:val="0"/>
      <w:marTop w:val="0"/>
      <w:marBottom w:val="0"/>
      <w:divBdr>
        <w:top w:val="none" w:sz="0" w:space="0" w:color="auto"/>
        <w:left w:val="none" w:sz="0" w:space="0" w:color="auto"/>
        <w:bottom w:val="none" w:sz="0" w:space="0" w:color="auto"/>
        <w:right w:val="none" w:sz="0" w:space="0" w:color="auto"/>
      </w:divBdr>
    </w:div>
    <w:div w:id="869756903">
      <w:bodyDiv w:val="1"/>
      <w:marLeft w:val="0"/>
      <w:marRight w:val="0"/>
      <w:marTop w:val="0"/>
      <w:marBottom w:val="0"/>
      <w:divBdr>
        <w:top w:val="none" w:sz="0" w:space="0" w:color="auto"/>
        <w:left w:val="none" w:sz="0" w:space="0" w:color="auto"/>
        <w:bottom w:val="none" w:sz="0" w:space="0" w:color="auto"/>
        <w:right w:val="none" w:sz="0" w:space="0" w:color="auto"/>
      </w:divBdr>
    </w:div>
    <w:div w:id="869801960">
      <w:bodyDiv w:val="1"/>
      <w:marLeft w:val="0"/>
      <w:marRight w:val="0"/>
      <w:marTop w:val="0"/>
      <w:marBottom w:val="0"/>
      <w:divBdr>
        <w:top w:val="none" w:sz="0" w:space="0" w:color="auto"/>
        <w:left w:val="none" w:sz="0" w:space="0" w:color="auto"/>
        <w:bottom w:val="none" w:sz="0" w:space="0" w:color="auto"/>
        <w:right w:val="none" w:sz="0" w:space="0" w:color="auto"/>
      </w:divBdr>
    </w:div>
    <w:div w:id="869879762">
      <w:bodyDiv w:val="1"/>
      <w:marLeft w:val="0"/>
      <w:marRight w:val="0"/>
      <w:marTop w:val="0"/>
      <w:marBottom w:val="0"/>
      <w:divBdr>
        <w:top w:val="none" w:sz="0" w:space="0" w:color="auto"/>
        <w:left w:val="none" w:sz="0" w:space="0" w:color="auto"/>
        <w:bottom w:val="none" w:sz="0" w:space="0" w:color="auto"/>
        <w:right w:val="none" w:sz="0" w:space="0" w:color="auto"/>
      </w:divBdr>
    </w:div>
    <w:div w:id="870000093">
      <w:bodyDiv w:val="1"/>
      <w:marLeft w:val="0"/>
      <w:marRight w:val="0"/>
      <w:marTop w:val="0"/>
      <w:marBottom w:val="0"/>
      <w:divBdr>
        <w:top w:val="none" w:sz="0" w:space="0" w:color="auto"/>
        <w:left w:val="none" w:sz="0" w:space="0" w:color="auto"/>
        <w:bottom w:val="none" w:sz="0" w:space="0" w:color="auto"/>
        <w:right w:val="none" w:sz="0" w:space="0" w:color="auto"/>
      </w:divBdr>
    </w:div>
    <w:div w:id="870068506">
      <w:bodyDiv w:val="1"/>
      <w:marLeft w:val="0"/>
      <w:marRight w:val="0"/>
      <w:marTop w:val="0"/>
      <w:marBottom w:val="0"/>
      <w:divBdr>
        <w:top w:val="none" w:sz="0" w:space="0" w:color="auto"/>
        <w:left w:val="none" w:sz="0" w:space="0" w:color="auto"/>
        <w:bottom w:val="none" w:sz="0" w:space="0" w:color="auto"/>
        <w:right w:val="none" w:sz="0" w:space="0" w:color="auto"/>
      </w:divBdr>
    </w:div>
    <w:div w:id="870074172">
      <w:bodyDiv w:val="1"/>
      <w:marLeft w:val="0"/>
      <w:marRight w:val="0"/>
      <w:marTop w:val="0"/>
      <w:marBottom w:val="0"/>
      <w:divBdr>
        <w:top w:val="none" w:sz="0" w:space="0" w:color="auto"/>
        <w:left w:val="none" w:sz="0" w:space="0" w:color="auto"/>
        <w:bottom w:val="none" w:sz="0" w:space="0" w:color="auto"/>
        <w:right w:val="none" w:sz="0" w:space="0" w:color="auto"/>
      </w:divBdr>
    </w:div>
    <w:div w:id="870143023">
      <w:bodyDiv w:val="1"/>
      <w:marLeft w:val="0"/>
      <w:marRight w:val="0"/>
      <w:marTop w:val="0"/>
      <w:marBottom w:val="0"/>
      <w:divBdr>
        <w:top w:val="none" w:sz="0" w:space="0" w:color="auto"/>
        <w:left w:val="none" w:sz="0" w:space="0" w:color="auto"/>
        <w:bottom w:val="none" w:sz="0" w:space="0" w:color="auto"/>
        <w:right w:val="none" w:sz="0" w:space="0" w:color="auto"/>
      </w:divBdr>
    </w:div>
    <w:div w:id="870148577">
      <w:bodyDiv w:val="1"/>
      <w:marLeft w:val="0"/>
      <w:marRight w:val="0"/>
      <w:marTop w:val="0"/>
      <w:marBottom w:val="0"/>
      <w:divBdr>
        <w:top w:val="none" w:sz="0" w:space="0" w:color="auto"/>
        <w:left w:val="none" w:sz="0" w:space="0" w:color="auto"/>
        <w:bottom w:val="none" w:sz="0" w:space="0" w:color="auto"/>
        <w:right w:val="none" w:sz="0" w:space="0" w:color="auto"/>
      </w:divBdr>
    </w:div>
    <w:div w:id="870340313">
      <w:bodyDiv w:val="1"/>
      <w:marLeft w:val="0"/>
      <w:marRight w:val="0"/>
      <w:marTop w:val="0"/>
      <w:marBottom w:val="0"/>
      <w:divBdr>
        <w:top w:val="none" w:sz="0" w:space="0" w:color="auto"/>
        <w:left w:val="none" w:sz="0" w:space="0" w:color="auto"/>
        <w:bottom w:val="none" w:sz="0" w:space="0" w:color="auto"/>
        <w:right w:val="none" w:sz="0" w:space="0" w:color="auto"/>
      </w:divBdr>
    </w:div>
    <w:div w:id="870385480">
      <w:bodyDiv w:val="1"/>
      <w:marLeft w:val="0"/>
      <w:marRight w:val="0"/>
      <w:marTop w:val="0"/>
      <w:marBottom w:val="0"/>
      <w:divBdr>
        <w:top w:val="none" w:sz="0" w:space="0" w:color="auto"/>
        <w:left w:val="none" w:sz="0" w:space="0" w:color="auto"/>
        <w:bottom w:val="none" w:sz="0" w:space="0" w:color="auto"/>
        <w:right w:val="none" w:sz="0" w:space="0" w:color="auto"/>
      </w:divBdr>
    </w:div>
    <w:div w:id="870454886">
      <w:bodyDiv w:val="1"/>
      <w:marLeft w:val="0"/>
      <w:marRight w:val="0"/>
      <w:marTop w:val="0"/>
      <w:marBottom w:val="0"/>
      <w:divBdr>
        <w:top w:val="none" w:sz="0" w:space="0" w:color="auto"/>
        <w:left w:val="none" w:sz="0" w:space="0" w:color="auto"/>
        <w:bottom w:val="none" w:sz="0" w:space="0" w:color="auto"/>
        <w:right w:val="none" w:sz="0" w:space="0" w:color="auto"/>
      </w:divBdr>
    </w:div>
    <w:div w:id="870455944">
      <w:bodyDiv w:val="1"/>
      <w:marLeft w:val="0"/>
      <w:marRight w:val="0"/>
      <w:marTop w:val="0"/>
      <w:marBottom w:val="0"/>
      <w:divBdr>
        <w:top w:val="none" w:sz="0" w:space="0" w:color="auto"/>
        <w:left w:val="none" w:sz="0" w:space="0" w:color="auto"/>
        <w:bottom w:val="none" w:sz="0" w:space="0" w:color="auto"/>
        <w:right w:val="none" w:sz="0" w:space="0" w:color="auto"/>
      </w:divBdr>
    </w:div>
    <w:div w:id="870609967">
      <w:bodyDiv w:val="1"/>
      <w:marLeft w:val="0"/>
      <w:marRight w:val="0"/>
      <w:marTop w:val="0"/>
      <w:marBottom w:val="0"/>
      <w:divBdr>
        <w:top w:val="none" w:sz="0" w:space="0" w:color="auto"/>
        <w:left w:val="none" w:sz="0" w:space="0" w:color="auto"/>
        <w:bottom w:val="none" w:sz="0" w:space="0" w:color="auto"/>
        <w:right w:val="none" w:sz="0" w:space="0" w:color="auto"/>
      </w:divBdr>
    </w:div>
    <w:div w:id="870730085">
      <w:bodyDiv w:val="1"/>
      <w:marLeft w:val="0"/>
      <w:marRight w:val="0"/>
      <w:marTop w:val="0"/>
      <w:marBottom w:val="0"/>
      <w:divBdr>
        <w:top w:val="none" w:sz="0" w:space="0" w:color="auto"/>
        <w:left w:val="none" w:sz="0" w:space="0" w:color="auto"/>
        <w:bottom w:val="none" w:sz="0" w:space="0" w:color="auto"/>
        <w:right w:val="none" w:sz="0" w:space="0" w:color="auto"/>
      </w:divBdr>
    </w:div>
    <w:div w:id="870799858">
      <w:bodyDiv w:val="1"/>
      <w:marLeft w:val="0"/>
      <w:marRight w:val="0"/>
      <w:marTop w:val="0"/>
      <w:marBottom w:val="0"/>
      <w:divBdr>
        <w:top w:val="none" w:sz="0" w:space="0" w:color="auto"/>
        <w:left w:val="none" w:sz="0" w:space="0" w:color="auto"/>
        <w:bottom w:val="none" w:sz="0" w:space="0" w:color="auto"/>
        <w:right w:val="none" w:sz="0" w:space="0" w:color="auto"/>
      </w:divBdr>
    </w:div>
    <w:div w:id="870845417">
      <w:bodyDiv w:val="1"/>
      <w:marLeft w:val="0"/>
      <w:marRight w:val="0"/>
      <w:marTop w:val="0"/>
      <w:marBottom w:val="0"/>
      <w:divBdr>
        <w:top w:val="none" w:sz="0" w:space="0" w:color="auto"/>
        <w:left w:val="none" w:sz="0" w:space="0" w:color="auto"/>
        <w:bottom w:val="none" w:sz="0" w:space="0" w:color="auto"/>
        <w:right w:val="none" w:sz="0" w:space="0" w:color="auto"/>
      </w:divBdr>
    </w:div>
    <w:div w:id="870992348">
      <w:bodyDiv w:val="1"/>
      <w:marLeft w:val="0"/>
      <w:marRight w:val="0"/>
      <w:marTop w:val="0"/>
      <w:marBottom w:val="0"/>
      <w:divBdr>
        <w:top w:val="none" w:sz="0" w:space="0" w:color="auto"/>
        <w:left w:val="none" w:sz="0" w:space="0" w:color="auto"/>
        <w:bottom w:val="none" w:sz="0" w:space="0" w:color="auto"/>
        <w:right w:val="none" w:sz="0" w:space="0" w:color="auto"/>
      </w:divBdr>
    </w:div>
    <w:div w:id="870998726">
      <w:bodyDiv w:val="1"/>
      <w:marLeft w:val="0"/>
      <w:marRight w:val="0"/>
      <w:marTop w:val="0"/>
      <w:marBottom w:val="0"/>
      <w:divBdr>
        <w:top w:val="none" w:sz="0" w:space="0" w:color="auto"/>
        <w:left w:val="none" w:sz="0" w:space="0" w:color="auto"/>
        <w:bottom w:val="none" w:sz="0" w:space="0" w:color="auto"/>
        <w:right w:val="none" w:sz="0" w:space="0" w:color="auto"/>
      </w:divBdr>
    </w:div>
    <w:div w:id="871067671">
      <w:bodyDiv w:val="1"/>
      <w:marLeft w:val="0"/>
      <w:marRight w:val="0"/>
      <w:marTop w:val="0"/>
      <w:marBottom w:val="0"/>
      <w:divBdr>
        <w:top w:val="none" w:sz="0" w:space="0" w:color="auto"/>
        <w:left w:val="none" w:sz="0" w:space="0" w:color="auto"/>
        <w:bottom w:val="none" w:sz="0" w:space="0" w:color="auto"/>
        <w:right w:val="none" w:sz="0" w:space="0" w:color="auto"/>
      </w:divBdr>
    </w:div>
    <w:div w:id="871260238">
      <w:bodyDiv w:val="1"/>
      <w:marLeft w:val="0"/>
      <w:marRight w:val="0"/>
      <w:marTop w:val="0"/>
      <w:marBottom w:val="0"/>
      <w:divBdr>
        <w:top w:val="none" w:sz="0" w:space="0" w:color="auto"/>
        <w:left w:val="none" w:sz="0" w:space="0" w:color="auto"/>
        <w:bottom w:val="none" w:sz="0" w:space="0" w:color="auto"/>
        <w:right w:val="none" w:sz="0" w:space="0" w:color="auto"/>
      </w:divBdr>
    </w:div>
    <w:div w:id="871267293">
      <w:bodyDiv w:val="1"/>
      <w:marLeft w:val="0"/>
      <w:marRight w:val="0"/>
      <w:marTop w:val="0"/>
      <w:marBottom w:val="0"/>
      <w:divBdr>
        <w:top w:val="none" w:sz="0" w:space="0" w:color="auto"/>
        <w:left w:val="none" w:sz="0" w:space="0" w:color="auto"/>
        <w:bottom w:val="none" w:sz="0" w:space="0" w:color="auto"/>
        <w:right w:val="none" w:sz="0" w:space="0" w:color="auto"/>
      </w:divBdr>
    </w:div>
    <w:div w:id="871309316">
      <w:bodyDiv w:val="1"/>
      <w:marLeft w:val="0"/>
      <w:marRight w:val="0"/>
      <w:marTop w:val="0"/>
      <w:marBottom w:val="0"/>
      <w:divBdr>
        <w:top w:val="none" w:sz="0" w:space="0" w:color="auto"/>
        <w:left w:val="none" w:sz="0" w:space="0" w:color="auto"/>
        <w:bottom w:val="none" w:sz="0" w:space="0" w:color="auto"/>
        <w:right w:val="none" w:sz="0" w:space="0" w:color="auto"/>
      </w:divBdr>
    </w:div>
    <w:div w:id="871309421">
      <w:bodyDiv w:val="1"/>
      <w:marLeft w:val="0"/>
      <w:marRight w:val="0"/>
      <w:marTop w:val="0"/>
      <w:marBottom w:val="0"/>
      <w:divBdr>
        <w:top w:val="none" w:sz="0" w:space="0" w:color="auto"/>
        <w:left w:val="none" w:sz="0" w:space="0" w:color="auto"/>
        <w:bottom w:val="none" w:sz="0" w:space="0" w:color="auto"/>
        <w:right w:val="none" w:sz="0" w:space="0" w:color="auto"/>
      </w:divBdr>
    </w:div>
    <w:div w:id="871570952">
      <w:bodyDiv w:val="1"/>
      <w:marLeft w:val="0"/>
      <w:marRight w:val="0"/>
      <w:marTop w:val="0"/>
      <w:marBottom w:val="0"/>
      <w:divBdr>
        <w:top w:val="none" w:sz="0" w:space="0" w:color="auto"/>
        <w:left w:val="none" w:sz="0" w:space="0" w:color="auto"/>
        <w:bottom w:val="none" w:sz="0" w:space="0" w:color="auto"/>
        <w:right w:val="none" w:sz="0" w:space="0" w:color="auto"/>
      </w:divBdr>
    </w:div>
    <w:div w:id="871573114">
      <w:bodyDiv w:val="1"/>
      <w:marLeft w:val="0"/>
      <w:marRight w:val="0"/>
      <w:marTop w:val="0"/>
      <w:marBottom w:val="0"/>
      <w:divBdr>
        <w:top w:val="none" w:sz="0" w:space="0" w:color="auto"/>
        <w:left w:val="none" w:sz="0" w:space="0" w:color="auto"/>
        <w:bottom w:val="none" w:sz="0" w:space="0" w:color="auto"/>
        <w:right w:val="none" w:sz="0" w:space="0" w:color="auto"/>
      </w:divBdr>
    </w:div>
    <w:div w:id="871645886">
      <w:bodyDiv w:val="1"/>
      <w:marLeft w:val="0"/>
      <w:marRight w:val="0"/>
      <w:marTop w:val="0"/>
      <w:marBottom w:val="0"/>
      <w:divBdr>
        <w:top w:val="none" w:sz="0" w:space="0" w:color="auto"/>
        <w:left w:val="none" w:sz="0" w:space="0" w:color="auto"/>
        <w:bottom w:val="none" w:sz="0" w:space="0" w:color="auto"/>
        <w:right w:val="none" w:sz="0" w:space="0" w:color="auto"/>
      </w:divBdr>
    </w:div>
    <w:div w:id="871722249">
      <w:bodyDiv w:val="1"/>
      <w:marLeft w:val="0"/>
      <w:marRight w:val="0"/>
      <w:marTop w:val="0"/>
      <w:marBottom w:val="0"/>
      <w:divBdr>
        <w:top w:val="none" w:sz="0" w:space="0" w:color="auto"/>
        <w:left w:val="none" w:sz="0" w:space="0" w:color="auto"/>
        <w:bottom w:val="none" w:sz="0" w:space="0" w:color="auto"/>
        <w:right w:val="none" w:sz="0" w:space="0" w:color="auto"/>
      </w:divBdr>
    </w:div>
    <w:div w:id="871764995">
      <w:bodyDiv w:val="1"/>
      <w:marLeft w:val="0"/>
      <w:marRight w:val="0"/>
      <w:marTop w:val="0"/>
      <w:marBottom w:val="0"/>
      <w:divBdr>
        <w:top w:val="none" w:sz="0" w:space="0" w:color="auto"/>
        <w:left w:val="none" w:sz="0" w:space="0" w:color="auto"/>
        <w:bottom w:val="none" w:sz="0" w:space="0" w:color="auto"/>
        <w:right w:val="none" w:sz="0" w:space="0" w:color="auto"/>
      </w:divBdr>
    </w:div>
    <w:div w:id="871771565">
      <w:bodyDiv w:val="1"/>
      <w:marLeft w:val="0"/>
      <w:marRight w:val="0"/>
      <w:marTop w:val="0"/>
      <w:marBottom w:val="0"/>
      <w:divBdr>
        <w:top w:val="none" w:sz="0" w:space="0" w:color="auto"/>
        <w:left w:val="none" w:sz="0" w:space="0" w:color="auto"/>
        <w:bottom w:val="none" w:sz="0" w:space="0" w:color="auto"/>
        <w:right w:val="none" w:sz="0" w:space="0" w:color="auto"/>
      </w:divBdr>
    </w:div>
    <w:div w:id="871840709">
      <w:bodyDiv w:val="1"/>
      <w:marLeft w:val="0"/>
      <w:marRight w:val="0"/>
      <w:marTop w:val="0"/>
      <w:marBottom w:val="0"/>
      <w:divBdr>
        <w:top w:val="none" w:sz="0" w:space="0" w:color="auto"/>
        <w:left w:val="none" w:sz="0" w:space="0" w:color="auto"/>
        <w:bottom w:val="none" w:sz="0" w:space="0" w:color="auto"/>
        <w:right w:val="none" w:sz="0" w:space="0" w:color="auto"/>
      </w:divBdr>
    </w:div>
    <w:div w:id="871843836">
      <w:bodyDiv w:val="1"/>
      <w:marLeft w:val="0"/>
      <w:marRight w:val="0"/>
      <w:marTop w:val="0"/>
      <w:marBottom w:val="0"/>
      <w:divBdr>
        <w:top w:val="none" w:sz="0" w:space="0" w:color="auto"/>
        <w:left w:val="none" w:sz="0" w:space="0" w:color="auto"/>
        <w:bottom w:val="none" w:sz="0" w:space="0" w:color="auto"/>
        <w:right w:val="none" w:sz="0" w:space="0" w:color="auto"/>
      </w:divBdr>
    </w:div>
    <w:div w:id="871957649">
      <w:bodyDiv w:val="1"/>
      <w:marLeft w:val="0"/>
      <w:marRight w:val="0"/>
      <w:marTop w:val="0"/>
      <w:marBottom w:val="0"/>
      <w:divBdr>
        <w:top w:val="none" w:sz="0" w:space="0" w:color="auto"/>
        <w:left w:val="none" w:sz="0" w:space="0" w:color="auto"/>
        <w:bottom w:val="none" w:sz="0" w:space="0" w:color="auto"/>
        <w:right w:val="none" w:sz="0" w:space="0" w:color="auto"/>
      </w:divBdr>
    </w:div>
    <w:div w:id="871963751">
      <w:bodyDiv w:val="1"/>
      <w:marLeft w:val="0"/>
      <w:marRight w:val="0"/>
      <w:marTop w:val="0"/>
      <w:marBottom w:val="0"/>
      <w:divBdr>
        <w:top w:val="none" w:sz="0" w:space="0" w:color="auto"/>
        <w:left w:val="none" w:sz="0" w:space="0" w:color="auto"/>
        <w:bottom w:val="none" w:sz="0" w:space="0" w:color="auto"/>
        <w:right w:val="none" w:sz="0" w:space="0" w:color="auto"/>
      </w:divBdr>
    </w:div>
    <w:div w:id="872038678">
      <w:bodyDiv w:val="1"/>
      <w:marLeft w:val="0"/>
      <w:marRight w:val="0"/>
      <w:marTop w:val="0"/>
      <w:marBottom w:val="0"/>
      <w:divBdr>
        <w:top w:val="none" w:sz="0" w:space="0" w:color="auto"/>
        <w:left w:val="none" w:sz="0" w:space="0" w:color="auto"/>
        <w:bottom w:val="none" w:sz="0" w:space="0" w:color="auto"/>
        <w:right w:val="none" w:sz="0" w:space="0" w:color="auto"/>
      </w:divBdr>
    </w:div>
    <w:div w:id="872110110">
      <w:bodyDiv w:val="1"/>
      <w:marLeft w:val="0"/>
      <w:marRight w:val="0"/>
      <w:marTop w:val="0"/>
      <w:marBottom w:val="0"/>
      <w:divBdr>
        <w:top w:val="none" w:sz="0" w:space="0" w:color="auto"/>
        <w:left w:val="none" w:sz="0" w:space="0" w:color="auto"/>
        <w:bottom w:val="none" w:sz="0" w:space="0" w:color="auto"/>
        <w:right w:val="none" w:sz="0" w:space="0" w:color="auto"/>
      </w:divBdr>
    </w:div>
    <w:div w:id="872153672">
      <w:bodyDiv w:val="1"/>
      <w:marLeft w:val="0"/>
      <w:marRight w:val="0"/>
      <w:marTop w:val="0"/>
      <w:marBottom w:val="0"/>
      <w:divBdr>
        <w:top w:val="none" w:sz="0" w:space="0" w:color="auto"/>
        <w:left w:val="none" w:sz="0" w:space="0" w:color="auto"/>
        <w:bottom w:val="none" w:sz="0" w:space="0" w:color="auto"/>
        <w:right w:val="none" w:sz="0" w:space="0" w:color="auto"/>
      </w:divBdr>
    </w:div>
    <w:div w:id="872306304">
      <w:bodyDiv w:val="1"/>
      <w:marLeft w:val="0"/>
      <w:marRight w:val="0"/>
      <w:marTop w:val="0"/>
      <w:marBottom w:val="0"/>
      <w:divBdr>
        <w:top w:val="none" w:sz="0" w:space="0" w:color="auto"/>
        <w:left w:val="none" w:sz="0" w:space="0" w:color="auto"/>
        <w:bottom w:val="none" w:sz="0" w:space="0" w:color="auto"/>
        <w:right w:val="none" w:sz="0" w:space="0" w:color="auto"/>
      </w:divBdr>
    </w:div>
    <w:div w:id="872352861">
      <w:bodyDiv w:val="1"/>
      <w:marLeft w:val="0"/>
      <w:marRight w:val="0"/>
      <w:marTop w:val="0"/>
      <w:marBottom w:val="0"/>
      <w:divBdr>
        <w:top w:val="none" w:sz="0" w:space="0" w:color="auto"/>
        <w:left w:val="none" w:sz="0" w:space="0" w:color="auto"/>
        <w:bottom w:val="none" w:sz="0" w:space="0" w:color="auto"/>
        <w:right w:val="none" w:sz="0" w:space="0" w:color="auto"/>
      </w:divBdr>
    </w:div>
    <w:div w:id="872421493">
      <w:bodyDiv w:val="1"/>
      <w:marLeft w:val="0"/>
      <w:marRight w:val="0"/>
      <w:marTop w:val="0"/>
      <w:marBottom w:val="0"/>
      <w:divBdr>
        <w:top w:val="none" w:sz="0" w:space="0" w:color="auto"/>
        <w:left w:val="none" w:sz="0" w:space="0" w:color="auto"/>
        <w:bottom w:val="none" w:sz="0" w:space="0" w:color="auto"/>
        <w:right w:val="none" w:sz="0" w:space="0" w:color="auto"/>
      </w:divBdr>
    </w:div>
    <w:div w:id="872422997">
      <w:bodyDiv w:val="1"/>
      <w:marLeft w:val="0"/>
      <w:marRight w:val="0"/>
      <w:marTop w:val="0"/>
      <w:marBottom w:val="0"/>
      <w:divBdr>
        <w:top w:val="none" w:sz="0" w:space="0" w:color="auto"/>
        <w:left w:val="none" w:sz="0" w:space="0" w:color="auto"/>
        <w:bottom w:val="none" w:sz="0" w:space="0" w:color="auto"/>
        <w:right w:val="none" w:sz="0" w:space="0" w:color="auto"/>
      </w:divBdr>
    </w:div>
    <w:div w:id="872575247">
      <w:bodyDiv w:val="1"/>
      <w:marLeft w:val="0"/>
      <w:marRight w:val="0"/>
      <w:marTop w:val="0"/>
      <w:marBottom w:val="0"/>
      <w:divBdr>
        <w:top w:val="none" w:sz="0" w:space="0" w:color="auto"/>
        <w:left w:val="none" w:sz="0" w:space="0" w:color="auto"/>
        <w:bottom w:val="none" w:sz="0" w:space="0" w:color="auto"/>
        <w:right w:val="none" w:sz="0" w:space="0" w:color="auto"/>
      </w:divBdr>
    </w:div>
    <w:div w:id="872622013">
      <w:bodyDiv w:val="1"/>
      <w:marLeft w:val="0"/>
      <w:marRight w:val="0"/>
      <w:marTop w:val="0"/>
      <w:marBottom w:val="0"/>
      <w:divBdr>
        <w:top w:val="none" w:sz="0" w:space="0" w:color="auto"/>
        <w:left w:val="none" w:sz="0" w:space="0" w:color="auto"/>
        <w:bottom w:val="none" w:sz="0" w:space="0" w:color="auto"/>
        <w:right w:val="none" w:sz="0" w:space="0" w:color="auto"/>
      </w:divBdr>
    </w:div>
    <w:div w:id="872690433">
      <w:bodyDiv w:val="1"/>
      <w:marLeft w:val="0"/>
      <w:marRight w:val="0"/>
      <w:marTop w:val="0"/>
      <w:marBottom w:val="0"/>
      <w:divBdr>
        <w:top w:val="none" w:sz="0" w:space="0" w:color="auto"/>
        <w:left w:val="none" w:sz="0" w:space="0" w:color="auto"/>
        <w:bottom w:val="none" w:sz="0" w:space="0" w:color="auto"/>
        <w:right w:val="none" w:sz="0" w:space="0" w:color="auto"/>
      </w:divBdr>
    </w:div>
    <w:div w:id="872693056">
      <w:bodyDiv w:val="1"/>
      <w:marLeft w:val="0"/>
      <w:marRight w:val="0"/>
      <w:marTop w:val="0"/>
      <w:marBottom w:val="0"/>
      <w:divBdr>
        <w:top w:val="none" w:sz="0" w:space="0" w:color="auto"/>
        <w:left w:val="none" w:sz="0" w:space="0" w:color="auto"/>
        <w:bottom w:val="none" w:sz="0" w:space="0" w:color="auto"/>
        <w:right w:val="none" w:sz="0" w:space="0" w:color="auto"/>
      </w:divBdr>
    </w:div>
    <w:div w:id="872764810">
      <w:bodyDiv w:val="1"/>
      <w:marLeft w:val="0"/>
      <w:marRight w:val="0"/>
      <w:marTop w:val="0"/>
      <w:marBottom w:val="0"/>
      <w:divBdr>
        <w:top w:val="none" w:sz="0" w:space="0" w:color="auto"/>
        <w:left w:val="none" w:sz="0" w:space="0" w:color="auto"/>
        <w:bottom w:val="none" w:sz="0" w:space="0" w:color="auto"/>
        <w:right w:val="none" w:sz="0" w:space="0" w:color="auto"/>
      </w:divBdr>
    </w:div>
    <w:div w:id="872767703">
      <w:bodyDiv w:val="1"/>
      <w:marLeft w:val="0"/>
      <w:marRight w:val="0"/>
      <w:marTop w:val="0"/>
      <w:marBottom w:val="0"/>
      <w:divBdr>
        <w:top w:val="none" w:sz="0" w:space="0" w:color="auto"/>
        <w:left w:val="none" w:sz="0" w:space="0" w:color="auto"/>
        <w:bottom w:val="none" w:sz="0" w:space="0" w:color="auto"/>
        <w:right w:val="none" w:sz="0" w:space="0" w:color="auto"/>
      </w:divBdr>
    </w:div>
    <w:div w:id="872809926">
      <w:bodyDiv w:val="1"/>
      <w:marLeft w:val="0"/>
      <w:marRight w:val="0"/>
      <w:marTop w:val="0"/>
      <w:marBottom w:val="0"/>
      <w:divBdr>
        <w:top w:val="none" w:sz="0" w:space="0" w:color="auto"/>
        <w:left w:val="none" w:sz="0" w:space="0" w:color="auto"/>
        <w:bottom w:val="none" w:sz="0" w:space="0" w:color="auto"/>
        <w:right w:val="none" w:sz="0" w:space="0" w:color="auto"/>
      </w:divBdr>
    </w:div>
    <w:div w:id="872814812">
      <w:bodyDiv w:val="1"/>
      <w:marLeft w:val="0"/>
      <w:marRight w:val="0"/>
      <w:marTop w:val="0"/>
      <w:marBottom w:val="0"/>
      <w:divBdr>
        <w:top w:val="none" w:sz="0" w:space="0" w:color="auto"/>
        <w:left w:val="none" w:sz="0" w:space="0" w:color="auto"/>
        <w:bottom w:val="none" w:sz="0" w:space="0" w:color="auto"/>
        <w:right w:val="none" w:sz="0" w:space="0" w:color="auto"/>
      </w:divBdr>
    </w:div>
    <w:div w:id="872840373">
      <w:bodyDiv w:val="1"/>
      <w:marLeft w:val="0"/>
      <w:marRight w:val="0"/>
      <w:marTop w:val="0"/>
      <w:marBottom w:val="0"/>
      <w:divBdr>
        <w:top w:val="none" w:sz="0" w:space="0" w:color="auto"/>
        <w:left w:val="none" w:sz="0" w:space="0" w:color="auto"/>
        <w:bottom w:val="none" w:sz="0" w:space="0" w:color="auto"/>
        <w:right w:val="none" w:sz="0" w:space="0" w:color="auto"/>
      </w:divBdr>
    </w:div>
    <w:div w:id="872840769">
      <w:bodyDiv w:val="1"/>
      <w:marLeft w:val="0"/>
      <w:marRight w:val="0"/>
      <w:marTop w:val="0"/>
      <w:marBottom w:val="0"/>
      <w:divBdr>
        <w:top w:val="none" w:sz="0" w:space="0" w:color="auto"/>
        <w:left w:val="none" w:sz="0" w:space="0" w:color="auto"/>
        <w:bottom w:val="none" w:sz="0" w:space="0" w:color="auto"/>
        <w:right w:val="none" w:sz="0" w:space="0" w:color="auto"/>
      </w:divBdr>
    </w:div>
    <w:div w:id="872961925">
      <w:bodyDiv w:val="1"/>
      <w:marLeft w:val="0"/>
      <w:marRight w:val="0"/>
      <w:marTop w:val="0"/>
      <w:marBottom w:val="0"/>
      <w:divBdr>
        <w:top w:val="none" w:sz="0" w:space="0" w:color="auto"/>
        <w:left w:val="none" w:sz="0" w:space="0" w:color="auto"/>
        <w:bottom w:val="none" w:sz="0" w:space="0" w:color="auto"/>
        <w:right w:val="none" w:sz="0" w:space="0" w:color="auto"/>
      </w:divBdr>
    </w:div>
    <w:div w:id="873034765">
      <w:bodyDiv w:val="1"/>
      <w:marLeft w:val="0"/>
      <w:marRight w:val="0"/>
      <w:marTop w:val="0"/>
      <w:marBottom w:val="0"/>
      <w:divBdr>
        <w:top w:val="none" w:sz="0" w:space="0" w:color="auto"/>
        <w:left w:val="none" w:sz="0" w:space="0" w:color="auto"/>
        <w:bottom w:val="none" w:sz="0" w:space="0" w:color="auto"/>
        <w:right w:val="none" w:sz="0" w:space="0" w:color="auto"/>
      </w:divBdr>
    </w:div>
    <w:div w:id="873230535">
      <w:bodyDiv w:val="1"/>
      <w:marLeft w:val="0"/>
      <w:marRight w:val="0"/>
      <w:marTop w:val="0"/>
      <w:marBottom w:val="0"/>
      <w:divBdr>
        <w:top w:val="none" w:sz="0" w:space="0" w:color="auto"/>
        <w:left w:val="none" w:sz="0" w:space="0" w:color="auto"/>
        <w:bottom w:val="none" w:sz="0" w:space="0" w:color="auto"/>
        <w:right w:val="none" w:sz="0" w:space="0" w:color="auto"/>
      </w:divBdr>
    </w:div>
    <w:div w:id="873420120">
      <w:bodyDiv w:val="1"/>
      <w:marLeft w:val="0"/>
      <w:marRight w:val="0"/>
      <w:marTop w:val="0"/>
      <w:marBottom w:val="0"/>
      <w:divBdr>
        <w:top w:val="none" w:sz="0" w:space="0" w:color="auto"/>
        <w:left w:val="none" w:sz="0" w:space="0" w:color="auto"/>
        <w:bottom w:val="none" w:sz="0" w:space="0" w:color="auto"/>
        <w:right w:val="none" w:sz="0" w:space="0" w:color="auto"/>
      </w:divBdr>
    </w:div>
    <w:div w:id="873545085">
      <w:bodyDiv w:val="1"/>
      <w:marLeft w:val="0"/>
      <w:marRight w:val="0"/>
      <w:marTop w:val="0"/>
      <w:marBottom w:val="0"/>
      <w:divBdr>
        <w:top w:val="none" w:sz="0" w:space="0" w:color="auto"/>
        <w:left w:val="none" w:sz="0" w:space="0" w:color="auto"/>
        <w:bottom w:val="none" w:sz="0" w:space="0" w:color="auto"/>
        <w:right w:val="none" w:sz="0" w:space="0" w:color="auto"/>
      </w:divBdr>
    </w:div>
    <w:div w:id="873612179">
      <w:bodyDiv w:val="1"/>
      <w:marLeft w:val="0"/>
      <w:marRight w:val="0"/>
      <w:marTop w:val="0"/>
      <w:marBottom w:val="0"/>
      <w:divBdr>
        <w:top w:val="none" w:sz="0" w:space="0" w:color="auto"/>
        <w:left w:val="none" w:sz="0" w:space="0" w:color="auto"/>
        <w:bottom w:val="none" w:sz="0" w:space="0" w:color="auto"/>
        <w:right w:val="none" w:sz="0" w:space="0" w:color="auto"/>
      </w:divBdr>
    </w:div>
    <w:div w:id="873732088">
      <w:bodyDiv w:val="1"/>
      <w:marLeft w:val="0"/>
      <w:marRight w:val="0"/>
      <w:marTop w:val="0"/>
      <w:marBottom w:val="0"/>
      <w:divBdr>
        <w:top w:val="none" w:sz="0" w:space="0" w:color="auto"/>
        <w:left w:val="none" w:sz="0" w:space="0" w:color="auto"/>
        <w:bottom w:val="none" w:sz="0" w:space="0" w:color="auto"/>
        <w:right w:val="none" w:sz="0" w:space="0" w:color="auto"/>
      </w:divBdr>
    </w:div>
    <w:div w:id="873812742">
      <w:bodyDiv w:val="1"/>
      <w:marLeft w:val="0"/>
      <w:marRight w:val="0"/>
      <w:marTop w:val="0"/>
      <w:marBottom w:val="0"/>
      <w:divBdr>
        <w:top w:val="none" w:sz="0" w:space="0" w:color="auto"/>
        <w:left w:val="none" w:sz="0" w:space="0" w:color="auto"/>
        <w:bottom w:val="none" w:sz="0" w:space="0" w:color="auto"/>
        <w:right w:val="none" w:sz="0" w:space="0" w:color="auto"/>
      </w:divBdr>
    </w:div>
    <w:div w:id="873923145">
      <w:bodyDiv w:val="1"/>
      <w:marLeft w:val="0"/>
      <w:marRight w:val="0"/>
      <w:marTop w:val="0"/>
      <w:marBottom w:val="0"/>
      <w:divBdr>
        <w:top w:val="none" w:sz="0" w:space="0" w:color="auto"/>
        <w:left w:val="none" w:sz="0" w:space="0" w:color="auto"/>
        <w:bottom w:val="none" w:sz="0" w:space="0" w:color="auto"/>
        <w:right w:val="none" w:sz="0" w:space="0" w:color="auto"/>
      </w:divBdr>
    </w:div>
    <w:div w:id="873926549">
      <w:bodyDiv w:val="1"/>
      <w:marLeft w:val="0"/>
      <w:marRight w:val="0"/>
      <w:marTop w:val="0"/>
      <w:marBottom w:val="0"/>
      <w:divBdr>
        <w:top w:val="none" w:sz="0" w:space="0" w:color="auto"/>
        <w:left w:val="none" w:sz="0" w:space="0" w:color="auto"/>
        <w:bottom w:val="none" w:sz="0" w:space="0" w:color="auto"/>
        <w:right w:val="none" w:sz="0" w:space="0" w:color="auto"/>
      </w:divBdr>
    </w:div>
    <w:div w:id="874123741">
      <w:bodyDiv w:val="1"/>
      <w:marLeft w:val="0"/>
      <w:marRight w:val="0"/>
      <w:marTop w:val="0"/>
      <w:marBottom w:val="0"/>
      <w:divBdr>
        <w:top w:val="none" w:sz="0" w:space="0" w:color="auto"/>
        <w:left w:val="none" w:sz="0" w:space="0" w:color="auto"/>
        <w:bottom w:val="none" w:sz="0" w:space="0" w:color="auto"/>
        <w:right w:val="none" w:sz="0" w:space="0" w:color="auto"/>
      </w:divBdr>
    </w:div>
    <w:div w:id="874125605">
      <w:bodyDiv w:val="1"/>
      <w:marLeft w:val="0"/>
      <w:marRight w:val="0"/>
      <w:marTop w:val="0"/>
      <w:marBottom w:val="0"/>
      <w:divBdr>
        <w:top w:val="none" w:sz="0" w:space="0" w:color="auto"/>
        <w:left w:val="none" w:sz="0" w:space="0" w:color="auto"/>
        <w:bottom w:val="none" w:sz="0" w:space="0" w:color="auto"/>
        <w:right w:val="none" w:sz="0" w:space="0" w:color="auto"/>
      </w:divBdr>
    </w:div>
    <w:div w:id="874194136">
      <w:bodyDiv w:val="1"/>
      <w:marLeft w:val="0"/>
      <w:marRight w:val="0"/>
      <w:marTop w:val="0"/>
      <w:marBottom w:val="0"/>
      <w:divBdr>
        <w:top w:val="none" w:sz="0" w:space="0" w:color="auto"/>
        <w:left w:val="none" w:sz="0" w:space="0" w:color="auto"/>
        <w:bottom w:val="none" w:sz="0" w:space="0" w:color="auto"/>
        <w:right w:val="none" w:sz="0" w:space="0" w:color="auto"/>
      </w:divBdr>
    </w:div>
    <w:div w:id="874271238">
      <w:bodyDiv w:val="1"/>
      <w:marLeft w:val="0"/>
      <w:marRight w:val="0"/>
      <w:marTop w:val="0"/>
      <w:marBottom w:val="0"/>
      <w:divBdr>
        <w:top w:val="none" w:sz="0" w:space="0" w:color="auto"/>
        <w:left w:val="none" w:sz="0" w:space="0" w:color="auto"/>
        <w:bottom w:val="none" w:sz="0" w:space="0" w:color="auto"/>
        <w:right w:val="none" w:sz="0" w:space="0" w:color="auto"/>
      </w:divBdr>
    </w:div>
    <w:div w:id="874345034">
      <w:bodyDiv w:val="1"/>
      <w:marLeft w:val="0"/>
      <w:marRight w:val="0"/>
      <w:marTop w:val="0"/>
      <w:marBottom w:val="0"/>
      <w:divBdr>
        <w:top w:val="none" w:sz="0" w:space="0" w:color="auto"/>
        <w:left w:val="none" w:sz="0" w:space="0" w:color="auto"/>
        <w:bottom w:val="none" w:sz="0" w:space="0" w:color="auto"/>
        <w:right w:val="none" w:sz="0" w:space="0" w:color="auto"/>
      </w:divBdr>
    </w:div>
    <w:div w:id="874467509">
      <w:bodyDiv w:val="1"/>
      <w:marLeft w:val="0"/>
      <w:marRight w:val="0"/>
      <w:marTop w:val="0"/>
      <w:marBottom w:val="0"/>
      <w:divBdr>
        <w:top w:val="none" w:sz="0" w:space="0" w:color="auto"/>
        <w:left w:val="none" w:sz="0" w:space="0" w:color="auto"/>
        <w:bottom w:val="none" w:sz="0" w:space="0" w:color="auto"/>
        <w:right w:val="none" w:sz="0" w:space="0" w:color="auto"/>
      </w:divBdr>
    </w:div>
    <w:div w:id="874535851">
      <w:bodyDiv w:val="1"/>
      <w:marLeft w:val="0"/>
      <w:marRight w:val="0"/>
      <w:marTop w:val="0"/>
      <w:marBottom w:val="0"/>
      <w:divBdr>
        <w:top w:val="none" w:sz="0" w:space="0" w:color="auto"/>
        <w:left w:val="none" w:sz="0" w:space="0" w:color="auto"/>
        <w:bottom w:val="none" w:sz="0" w:space="0" w:color="auto"/>
        <w:right w:val="none" w:sz="0" w:space="0" w:color="auto"/>
      </w:divBdr>
    </w:div>
    <w:div w:id="874538761">
      <w:bodyDiv w:val="1"/>
      <w:marLeft w:val="0"/>
      <w:marRight w:val="0"/>
      <w:marTop w:val="0"/>
      <w:marBottom w:val="0"/>
      <w:divBdr>
        <w:top w:val="none" w:sz="0" w:space="0" w:color="auto"/>
        <w:left w:val="none" w:sz="0" w:space="0" w:color="auto"/>
        <w:bottom w:val="none" w:sz="0" w:space="0" w:color="auto"/>
        <w:right w:val="none" w:sz="0" w:space="0" w:color="auto"/>
      </w:divBdr>
    </w:div>
    <w:div w:id="874539585">
      <w:bodyDiv w:val="1"/>
      <w:marLeft w:val="0"/>
      <w:marRight w:val="0"/>
      <w:marTop w:val="0"/>
      <w:marBottom w:val="0"/>
      <w:divBdr>
        <w:top w:val="none" w:sz="0" w:space="0" w:color="auto"/>
        <w:left w:val="none" w:sz="0" w:space="0" w:color="auto"/>
        <w:bottom w:val="none" w:sz="0" w:space="0" w:color="auto"/>
        <w:right w:val="none" w:sz="0" w:space="0" w:color="auto"/>
      </w:divBdr>
    </w:div>
    <w:div w:id="874578334">
      <w:bodyDiv w:val="1"/>
      <w:marLeft w:val="0"/>
      <w:marRight w:val="0"/>
      <w:marTop w:val="0"/>
      <w:marBottom w:val="0"/>
      <w:divBdr>
        <w:top w:val="none" w:sz="0" w:space="0" w:color="auto"/>
        <w:left w:val="none" w:sz="0" w:space="0" w:color="auto"/>
        <w:bottom w:val="none" w:sz="0" w:space="0" w:color="auto"/>
        <w:right w:val="none" w:sz="0" w:space="0" w:color="auto"/>
      </w:divBdr>
    </w:div>
    <w:div w:id="874586095">
      <w:bodyDiv w:val="1"/>
      <w:marLeft w:val="0"/>
      <w:marRight w:val="0"/>
      <w:marTop w:val="0"/>
      <w:marBottom w:val="0"/>
      <w:divBdr>
        <w:top w:val="none" w:sz="0" w:space="0" w:color="auto"/>
        <w:left w:val="none" w:sz="0" w:space="0" w:color="auto"/>
        <w:bottom w:val="none" w:sz="0" w:space="0" w:color="auto"/>
        <w:right w:val="none" w:sz="0" w:space="0" w:color="auto"/>
      </w:divBdr>
    </w:div>
    <w:div w:id="874662265">
      <w:bodyDiv w:val="1"/>
      <w:marLeft w:val="0"/>
      <w:marRight w:val="0"/>
      <w:marTop w:val="0"/>
      <w:marBottom w:val="0"/>
      <w:divBdr>
        <w:top w:val="none" w:sz="0" w:space="0" w:color="auto"/>
        <w:left w:val="none" w:sz="0" w:space="0" w:color="auto"/>
        <w:bottom w:val="none" w:sz="0" w:space="0" w:color="auto"/>
        <w:right w:val="none" w:sz="0" w:space="0" w:color="auto"/>
      </w:divBdr>
    </w:div>
    <w:div w:id="874731717">
      <w:bodyDiv w:val="1"/>
      <w:marLeft w:val="0"/>
      <w:marRight w:val="0"/>
      <w:marTop w:val="0"/>
      <w:marBottom w:val="0"/>
      <w:divBdr>
        <w:top w:val="none" w:sz="0" w:space="0" w:color="auto"/>
        <w:left w:val="none" w:sz="0" w:space="0" w:color="auto"/>
        <w:bottom w:val="none" w:sz="0" w:space="0" w:color="auto"/>
        <w:right w:val="none" w:sz="0" w:space="0" w:color="auto"/>
      </w:divBdr>
    </w:div>
    <w:div w:id="874732226">
      <w:bodyDiv w:val="1"/>
      <w:marLeft w:val="0"/>
      <w:marRight w:val="0"/>
      <w:marTop w:val="0"/>
      <w:marBottom w:val="0"/>
      <w:divBdr>
        <w:top w:val="none" w:sz="0" w:space="0" w:color="auto"/>
        <w:left w:val="none" w:sz="0" w:space="0" w:color="auto"/>
        <w:bottom w:val="none" w:sz="0" w:space="0" w:color="auto"/>
        <w:right w:val="none" w:sz="0" w:space="0" w:color="auto"/>
      </w:divBdr>
    </w:div>
    <w:div w:id="874775042">
      <w:bodyDiv w:val="1"/>
      <w:marLeft w:val="0"/>
      <w:marRight w:val="0"/>
      <w:marTop w:val="0"/>
      <w:marBottom w:val="0"/>
      <w:divBdr>
        <w:top w:val="none" w:sz="0" w:space="0" w:color="auto"/>
        <w:left w:val="none" w:sz="0" w:space="0" w:color="auto"/>
        <w:bottom w:val="none" w:sz="0" w:space="0" w:color="auto"/>
        <w:right w:val="none" w:sz="0" w:space="0" w:color="auto"/>
      </w:divBdr>
    </w:div>
    <w:div w:id="874779218">
      <w:bodyDiv w:val="1"/>
      <w:marLeft w:val="0"/>
      <w:marRight w:val="0"/>
      <w:marTop w:val="0"/>
      <w:marBottom w:val="0"/>
      <w:divBdr>
        <w:top w:val="none" w:sz="0" w:space="0" w:color="auto"/>
        <w:left w:val="none" w:sz="0" w:space="0" w:color="auto"/>
        <w:bottom w:val="none" w:sz="0" w:space="0" w:color="auto"/>
        <w:right w:val="none" w:sz="0" w:space="0" w:color="auto"/>
      </w:divBdr>
    </w:div>
    <w:div w:id="874805915">
      <w:bodyDiv w:val="1"/>
      <w:marLeft w:val="0"/>
      <w:marRight w:val="0"/>
      <w:marTop w:val="0"/>
      <w:marBottom w:val="0"/>
      <w:divBdr>
        <w:top w:val="none" w:sz="0" w:space="0" w:color="auto"/>
        <w:left w:val="none" w:sz="0" w:space="0" w:color="auto"/>
        <w:bottom w:val="none" w:sz="0" w:space="0" w:color="auto"/>
        <w:right w:val="none" w:sz="0" w:space="0" w:color="auto"/>
      </w:divBdr>
    </w:div>
    <w:div w:id="874923653">
      <w:bodyDiv w:val="1"/>
      <w:marLeft w:val="0"/>
      <w:marRight w:val="0"/>
      <w:marTop w:val="0"/>
      <w:marBottom w:val="0"/>
      <w:divBdr>
        <w:top w:val="none" w:sz="0" w:space="0" w:color="auto"/>
        <w:left w:val="none" w:sz="0" w:space="0" w:color="auto"/>
        <w:bottom w:val="none" w:sz="0" w:space="0" w:color="auto"/>
        <w:right w:val="none" w:sz="0" w:space="0" w:color="auto"/>
      </w:divBdr>
    </w:div>
    <w:div w:id="874929046">
      <w:bodyDiv w:val="1"/>
      <w:marLeft w:val="0"/>
      <w:marRight w:val="0"/>
      <w:marTop w:val="0"/>
      <w:marBottom w:val="0"/>
      <w:divBdr>
        <w:top w:val="none" w:sz="0" w:space="0" w:color="auto"/>
        <w:left w:val="none" w:sz="0" w:space="0" w:color="auto"/>
        <w:bottom w:val="none" w:sz="0" w:space="0" w:color="auto"/>
        <w:right w:val="none" w:sz="0" w:space="0" w:color="auto"/>
      </w:divBdr>
    </w:div>
    <w:div w:id="874974046">
      <w:bodyDiv w:val="1"/>
      <w:marLeft w:val="0"/>
      <w:marRight w:val="0"/>
      <w:marTop w:val="0"/>
      <w:marBottom w:val="0"/>
      <w:divBdr>
        <w:top w:val="none" w:sz="0" w:space="0" w:color="auto"/>
        <w:left w:val="none" w:sz="0" w:space="0" w:color="auto"/>
        <w:bottom w:val="none" w:sz="0" w:space="0" w:color="auto"/>
        <w:right w:val="none" w:sz="0" w:space="0" w:color="auto"/>
      </w:divBdr>
    </w:div>
    <w:div w:id="875003470">
      <w:bodyDiv w:val="1"/>
      <w:marLeft w:val="0"/>
      <w:marRight w:val="0"/>
      <w:marTop w:val="0"/>
      <w:marBottom w:val="0"/>
      <w:divBdr>
        <w:top w:val="none" w:sz="0" w:space="0" w:color="auto"/>
        <w:left w:val="none" w:sz="0" w:space="0" w:color="auto"/>
        <w:bottom w:val="none" w:sz="0" w:space="0" w:color="auto"/>
        <w:right w:val="none" w:sz="0" w:space="0" w:color="auto"/>
      </w:divBdr>
    </w:div>
    <w:div w:id="875049007">
      <w:bodyDiv w:val="1"/>
      <w:marLeft w:val="0"/>
      <w:marRight w:val="0"/>
      <w:marTop w:val="0"/>
      <w:marBottom w:val="0"/>
      <w:divBdr>
        <w:top w:val="none" w:sz="0" w:space="0" w:color="auto"/>
        <w:left w:val="none" w:sz="0" w:space="0" w:color="auto"/>
        <w:bottom w:val="none" w:sz="0" w:space="0" w:color="auto"/>
        <w:right w:val="none" w:sz="0" w:space="0" w:color="auto"/>
      </w:divBdr>
    </w:div>
    <w:div w:id="875200030">
      <w:bodyDiv w:val="1"/>
      <w:marLeft w:val="0"/>
      <w:marRight w:val="0"/>
      <w:marTop w:val="0"/>
      <w:marBottom w:val="0"/>
      <w:divBdr>
        <w:top w:val="none" w:sz="0" w:space="0" w:color="auto"/>
        <w:left w:val="none" w:sz="0" w:space="0" w:color="auto"/>
        <w:bottom w:val="none" w:sz="0" w:space="0" w:color="auto"/>
        <w:right w:val="none" w:sz="0" w:space="0" w:color="auto"/>
      </w:divBdr>
    </w:div>
    <w:div w:id="875200195">
      <w:bodyDiv w:val="1"/>
      <w:marLeft w:val="0"/>
      <w:marRight w:val="0"/>
      <w:marTop w:val="0"/>
      <w:marBottom w:val="0"/>
      <w:divBdr>
        <w:top w:val="none" w:sz="0" w:space="0" w:color="auto"/>
        <w:left w:val="none" w:sz="0" w:space="0" w:color="auto"/>
        <w:bottom w:val="none" w:sz="0" w:space="0" w:color="auto"/>
        <w:right w:val="none" w:sz="0" w:space="0" w:color="auto"/>
      </w:divBdr>
    </w:div>
    <w:div w:id="875310317">
      <w:bodyDiv w:val="1"/>
      <w:marLeft w:val="0"/>
      <w:marRight w:val="0"/>
      <w:marTop w:val="0"/>
      <w:marBottom w:val="0"/>
      <w:divBdr>
        <w:top w:val="none" w:sz="0" w:space="0" w:color="auto"/>
        <w:left w:val="none" w:sz="0" w:space="0" w:color="auto"/>
        <w:bottom w:val="none" w:sz="0" w:space="0" w:color="auto"/>
        <w:right w:val="none" w:sz="0" w:space="0" w:color="auto"/>
      </w:divBdr>
    </w:div>
    <w:div w:id="875432467">
      <w:bodyDiv w:val="1"/>
      <w:marLeft w:val="0"/>
      <w:marRight w:val="0"/>
      <w:marTop w:val="0"/>
      <w:marBottom w:val="0"/>
      <w:divBdr>
        <w:top w:val="none" w:sz="0" w:space="0" w:color="auto"/>
        <w:left w:val="none" w:sz="0" w:space="0" w:color="auto"/>
        <w:bottom w:val="none" w:sz="0" w:space="0" w:color="auto"/>
        <w:right w:val="none" w:sz="0" w:space="0" w:color="auto"/>
      </w:divBdr>
    </w:div>
    <w:div w:id="875507175">
      <w:bodyDiv w:val="1"/>
      <w:marLeft w:val="0"/>
      <w:marRight w:val="0"/>
      <w:marTop w:val="0"/>
      <w:marBottom w:val="0"/>
      <w:divBdr>
        <w:top w:val="none" w:sz="0" w:space="0" w:color="auto"/>
        <w:left w:val="none" w:sz="0" w:space="0" w:color="auto"/>
        <w:bottom w:val="none" w:sz="0" w:space="0" w:color="auto"/>
        <w:right w:val="none" w:sz="0" w:space="0" w:color="auto"/>
      </w:divBdr>
    </w:div>
    <w:div w:id="875578752">
      <w:bodyDiv w:val="1"/>
      <w:marLeft w:val="0"/>
      <w:marRight w:val="0"/>
      <w:marTop w:val="0"/>
      <w:marBottom w:val="0"/>
      <w:divBdr>
        <w:top w:val="none" w:sz="0" w:space="0" w:color="auto"/>
        <w:left w:val="none" w:sz="0" w:space="0" w:color="auto"/>
        <w:bottom w:val="none" w:sz="0" w:space="0" w:color="auto"/>
        <w:right w:val="none" w:sz="0" w:space="0" w:color="auto"/>
      </w:divBdr>
    </w:div>
    <w:div w:id="875583058">
      <w:bodyDiv w:val="1"/>
      <w:marLeft w:val="0"/>
      <w:marRight w:val="0"/>
      <w:marTop w:val="0"/>
      <w:marBottom w:val="0"/>
      <w:divBdr>
        <w:top w:val="none" w:sz="0" w:space="0" w:color="auto"/>
        <w:left w:val="none" w:sz="0" w:space="0" w:color="auto"/>
        <w:bottom w:val="none" w:sz="0" w:space="0" w:color="auto"/>
        <w:right w:val="none" w:sz="0" w:space="0" w:color="auto"/>
      </w:divBdr>
    </w:div>
    <w:div w:id="875585292">
      <w:bodyDiv w:val="1"/>
      <w:marLeft w:val="0"/>
      <w:marRight w:val="0"/>
      <w:marTop w:val="0"/>
      <w:marBottom w:val="0"/>
      <w:divBdr>
        <w:top w:val="none" w:sz="0" w:space="0" w:color="auto"/>
        <w:left w:val="none" w:sz="0" w:space="0" w:color="auto"/>
        <w:bottom w:val="none" w:sz="0" w:space="0" w:color="auto"/>
        <w:right w:val="none" w:sz="0" w:space="0" w:color="auto"/>
      </w:divBdr>
    </w:div>
    <w:div w:id="875773466">
      <w:bodyDiv w:val="1"/>
      <w:marLeft w:val="0"/>
      <w:marRight w:val="0"/>
      <w:marTop w:val="0"/>
      <w:marBottom w:val="0"/>
      <w:divBdr>
        <w:top w:val="none" w:sz="0" w:space="0" w:color="auto"/>
        <w:left w:val="none" w:sz="0" w:space="0" w:color="auto"/>
        <w:bottom w:val="none" w:sz="0" w:space="0" w:color="auto"/>
        <w:right w:val="none" w:sz="0" w:space="0" w:color="auto"/>
      </w:divBdr>
    </w:div>
    <w:div w:id="875893034">
      <w:bodyDiv w:val="1"/>
      <w:marLeft w:val="0"/>
      <w:marRight w:val="0"/>
      <w:marTop w:val="0"/>
      <w:marBottom w:val="0"/>
      <w:divBdr>
        <w:top w:val="none" w:sz="0" w:space="0" w:color="auto"/>
        <w:left w:val="none" w:sz="0" w:space="0" w:color="auto"/>
        <w:bottom w:val="none" w:sz="0" w:space="0" w:color="auto"/>
        <w:right w:val="none" w:sz="0" w:space="0" w:color="auto"/>
      </w:divBdr>
    </w:div>
    <w:div w:id="875965266">
      <w:bodyDiv w:val="1"/>
      <w:marLeft w:val="0"/>
      <w:marRight w:val="0"/>
      <w:marTop w:val="0"/>
      <w:marBottom w:val="0"/>
      <w:divBdr>
        <w:top w:val="none" w:sz="0" w:space="0" w:color="auto"/>
        <w:left w:val="none" w:sz="0" w:space="0" w:color="auto"/>
        <w:bottom w:val="none" w:sz="0" w:space="0" w:color="auto"/>
        <w:right w:val="none" w:sz="0" w:space="0" w:color="auto"/>
      </w:divBdr>
    </w:div>
    <w:div w:id="876039570">
      <w:bodyDiv w:val="1"/>
      <w:marLeft w:val="0"/>
      <w:marRight w:val="0"/>
      <w:marTop w:val="0"/>
      <w:marBottom w:val="0"/>
      <w:divBdr>
        <w:top w:val="none" w:sz="0" w:space="0" w:color="auto"/>
        <w:left w:val="none" w:sz="0" w:space="0" w:color="auto"/>
        <w:bottom w:val="none" w:sz="0" w:space="0" w:color="auto"/>
        <w:right w:val="none" w:sz="0" w:space="0" w:color="auto"/>
      </w:divBdr>
    </w:div>
    <w:div w:id="876283069">
      <w:bodyDiv w:val="1"/>
      <w:marLeft w:val="0"/>
      <w:marRight w:val="0"/>
      <w:marTop w:val="0"/>
      <w:marBottom w:val="0"/>
      <w:divBdr>
        <w:top w:val="none" w:sz="0" w:space="0" w:color="auto"/>
        <w:left w:val="none" w:sz="0" w:space="0" w:color="auto"/>
        <w:bottom w:val="none" w:sz="0" w:space="0" w:color="auto"/>
        <w:right w:val="none" w:sz="0" w:space="0" w:color="auto"/>
      </w:divBdr>
    </w:div>
    <w:div w:id="876312115">
      <w:bodyDiv w:val="1"/>
      <w:marLeft w:val="0"/>
      <w:marRight w:val="0"/>
      <w:marTop w:val="0"/>
      <w:marBottom w:val="0"/>
      <w:divBdr>
        <w:top w:val="none" w:sz="0" w:space="0" w:color="auto"/>
        <w:left w:val="none" w:sz="0" w:space="0" w:color="auto"/>
        <w:bottom w:val="none" w:sz="0" w:space="0" w:color="auto"/>
        <w:right w:val="none" w:sz="0" w:space="0" w:color="auto"/>
      </w:divBdr>
    </w:div>
    <w:div w:id="876351794">
      <w:bodyDiv w:val="1"/>
      <w:marLeft w:val="0"/>
      <w:marRight w:val="0"/>
      <w:marTop w:val="0"/>
      <w:marBottom w:val="0"/>
      <w:divBdr>
        <w:top w:val="none" w:sz="0" w:space="0" w:color="auto"/>
        <w:left w:val="none" w:sz="0" w:space="0" w:color="auto"/>
        <w:bottom w:val="none" w:sz="0" w:space="0" w:color="auto"/>
        <w:right w:val="none" w:sz="0" w:space="0" w:color="auto"/>
      </w:divBdr>
    </w:div>
    <w:div w:id="876547533">
      <w:bodyDiv w:val="1"/>
      <w:marLeft w:val="0"/>
      <w:marRight w:val="0"/>
      <w:marTop w:val="0"/>
      <w:marBottom w:val="0"/>
      <w:divBdr>
        <w:top w:val="none" w:sz="0" w:space="0" w:color="auto"/>
        <w:left w:val="none" w:sz="0" w:space="0" w:color="auto"/>
        <w:bottom w:val="none" w:sz="0" w:space="0" w:color="auto"/>
        <w:right w:val="none" w:sz="0" w:space="0" w:color="auto"/>
      </w:divBdr>
    </w:div>
    <w:div w:id="876622031">
      <w:bodyDiv w:val="1"/>
      <w:marLeft w:val="0"/>
      <w:marRight w:val="0"/>
      <w:marTop w:val="0"/>
      <w:marBottom w:val="0"/>
      <w:divBdr>
        <w:top w:val="none" w:sz="0" w:space="0" w:color="auto"/>
        <w:left w:val="none" w:sz="0" w:space="0" w:color="auto"/>
        <w:bottom w:val="none" w:sz="0" w:space="0" w:color="auto"/>
        <w:right w:val="none" w:sz="0" w:space="0" w:color="auto"/>
      </w:divBdr>
    </w:div>
    <w:div w:id="876626056">
      <w:bodyDiv w:val="1"/>
      <w:marLeft w:val="0"/>
      <w:marRight w:val="0"/>
      <w:marTop w:val="0"/>
      <w:marBottom w:val="0"/>
      <w:divBdr>
        <w:top w:val="none" w:sz="0" w:space="0" w:color="auto"/>
        <w:left w:val="none" w:sz="0" w:space="0" w:color="auto"/>
        <w:bottom w:val="none" w:sz="0" w:space="0" w:color="auto"/>
        <w:right w:val="none" w:sz="0" w:space="0" w:color="auto"/>
      </w:divBdr>
    </w:div>
    <w:div w:id="876696634">
      <w:bodyDiv w:val="1"/>
      <w:marLeft w:val="0"/>
      <w:marRight w:val="0"/>
      <w:marTop w:val="0"/>
      <w:marBottom w:val="0"/>
      <w:divBdr>
        <w:top w:val="none" w:sz="0" w:space="0" w:color="auto"/>
        <w:left w:val="none" w:sz="0" w:space="0" w:color="auto"/>
        <w:bottom w:val="none" w:sz="0" w:space="0" w:color="auto"/>
        <w:right w:val="none" w:sz="0" w:space="0" w:color="auto"/>
      </w:divBdr>
    </w:div>
    <w:div w:id="876968081">
      <w:bodyDiv w:val="1"/>
      <w:marLeft w:val="0"/>
      <w:marRight w:val="0"/>
      <w:marTop w:val="0"/>
      <w:marBottom w:val="0"/>
      <w:divBdr>
        <w:top w:val="none" w:sz="0" w:space="0" w:color="auto"/>
        <w:left w:val="none" w:sz="0" w:space="0" w:color="auto"/>
        <w:bottom w:val="none" w:sz="0" w:space="0" w:color="auto"/>
        <w:right w:val="none" w:sz="0" w:space="0" w:color="auto"/>
      </w:divBdr>
    </w:div>
    <w:div w:id="877157040">
      <w:bodyDiv w:val="1"/>
      <w:marLeft w:val="0"/>
      <w:marRight w:val="0"/>
      <w:marTop w:val="0"/>
      <w:marBottom w:val="0"/>
      <w:divBdr>
        <w:top w:val="none" w:sz="0" w:space="0" w:color="auto"/>
        <w:left w:val="none" w:sz="0" w:space="0" w:color="auto"/>
        <w:bottom w:val="none" w:sz="0" w:space="0" w:color="auto"/>
        <w:right w:val="none" w:sz="0" w:space="0" w:color="auto"/>
      </w:divBdr>
    </w:div>
    <w:div w:id="877160171">
      <w:bodyDiv w:val="1"/>
      <w:marLeft w:val="0"/>
      <w:marRight w:val="0"/>
      <w:marTop w:val="0"/>
      <w:marBottom w:val="0"/>
      <w:divBdr>
        <w:top w:val="none" w:sz="0" w:space="0" w:color="auto"/>
        <w:left w:val="none" w:sz="0" w:space="0" w:color="auto"/>
        <w:bottom w:val="none" w:sz="0" w:space="0" w:color="auto"/>
        <w:right w:val="none" w:sz="0" w:space="0" w:color="auto"/>
      </w:divBdr>
    </w:div>
    <w:div w:id="877207674">
      <w:bodyDiv w:val="1"/>
      <w:marLeft w:val="0"/>
      <w:marRight w:val="0"/>
      <w:marTop w:val="0"/>
      <w:marBottom w:val="0"/>
      <w:divBdr>
        <w:top w:val="none" w:sz="0" w:space="0" w:color="auto"/>
        <w:left w:val="none" w:sz="0" w:space="0" w:color="auto"/>
        <w:bottom w:val="none" w:sz="0" w:space="0" w:color="auto"/>
        <w:right w:val="none" w:sz="0" w:space="0" w:color="auto"/>
      </w:divBdr>
    </w:div>
    <w:div w:id="877274761">
      <w:bodyDiv w:val="1"/>
      <w:marLeft w:val="0"/>
      <w:marRight w:val="0"/>
      <w:marTop w:val="0"/>
      <w:marBottom w:val="0"/>
      <w:divBdr>
        <w:top w:val="none" w:sz="0" w:space="0" w:color="auto"/>
        <w:left w:val="none" w:sz="0" w:space="0" w:color="auto"/>
        <w:bottom w:val="none" w:sz="0" w:space="0" w:color="auto"/>
        <w:right w:val="none" w:sz="0" w:space="0" w:color="auto"/>
      </w:divBdr>
    </w:div>
    <w:div w:id="877278713">
      <w:bodyDiv w:val="1"/>
      <w:marLeft w:val="0"/>
      <w:marRight w:val="0"/>
      <w:marTop w:val="0"/>
      <w:marBottom w:val="0"/>
      <w:divBdr>
        <w:top w:val="none" w:sz="0" w:space="0" w:color="auto"/>
        <w:left w:val="none" w:sz="0" w:space="0" w:color="auto"/>
        <w:bottom w:val="none" w:sz="0" w:space="0" w:color="auto"/>
        <w:right w:val="none" w:sz="0" w:space="0" w:color="auto"/>
      </w:divBdr>
    </w:div>
    <w:div w:id="877351184">
      <w:bodyDiv w:val="1"/>
      <w:marLeft w:val="0"/>
      <w:marRight w:val="0"/>
      <w:marTop w:val="0"/>
      <w:marBottom w:val="0"/>
      <w:divBdr>
        <w:top w:val="none" w:sz="0" w:space="0" w:color="auto"/>
        <w:left w:val="none" w:sz="0" w:space="0" w:color="auto"/>
        <w:bottom w:val="none" w:sz="0" w:space="0" w:color="auto"/>
        <w:right w:val="none" w:sz="0" w:space="0" w:color="auto"/>
      </w:divBdr>
    </w:div>
    <w:div w:id="877396163">
      <w:bodyDiv w:val="1"/>
      <w:marLeft w:val="0"/>
      <w:marRight w:val="0"/>
      <w:marTop w:val="0"/>
      <w:marBottom w:val="0"/>
      <w:divBdr>
        <w:top w:val="none" w:sz="0" w:space="0" w:color="auto"/>
        <w:left w:val="none" w:sz="0" w:space="0" w:color="auto"/>
        <w:bottom w:val="none" w:sz="0" w:space="0" w:color="auto"/>
        <w:right w:val="none" w:sz="0" w:space="0" w:color="auto"/>
      </w:divBdr>
    </w:div>
    <w:div w:id="877401714">
      <w:bodyDiv w:val="1"/>
      <w:marLeft w:val="0"/>
      <w:marRight w:val="0"/>
      <w:marTop w:val="0"/>
      <w:marBottom w:val="0"/>
      <w:divBdr>
        <w:top w:val="none" w:sz="0" w:space="0" w:color="auto"/>
        <w:left w:val="none" w:sz="0" w:space="0" w:color="auto"/>
        <w:bottom w:val="none" w:sz="0" w:space="0" w:color="auto"/>
        <w:right w:val="none" w:sz="0" w:space="0" w:color="auto"/>
      </w:divBdr>
    </w:div>
    <w:div w:id="877471145">
      <w:bodyDiv w:val="1"/>
      <w:marLeft w:val="0"/>
      <w:marRight w:val="0"/>
      <w:marTop w:val="0"/>
      <w:marBottom w:val="0"/>
      <w:divBdr>
        <w:top w:val="none" w:sz="0" w:space="0" w:color="auto"/>
        <w:left w:val="none" w:sz="0" w:space="0" w:color="auto"/>
        <w:bottom w:val="none" w:sz="0" w:space="0" w:color="auto"/>
        <w:right w:val="none" w:sz="0" w:space="0" w:color="auto"/>
      </w:divBdr>
    </w:div>
    <w:div w:id="877544855">
      <w:bodyDiv w:val="1"/>
      <w:marLeft w:val="0"/>
      <w:marRight w:val="0"/>
      <w:marTop w:val="0"/>
      <w:marBottom w:val="0"/>
      <w:divBdr>
        <w:top w:val="none" w:sz="0" w:space="0" w:color="auto"/>
        <w:left w:val="none" w:sz="0" w:space="0" w:color="auto"/>
        <w:bottom w:val="none" w:sz="0" w:space="0" w:color="auto"/>
        <w:right w:val="none" w:sz="0" w:space="0" w:color="auto"/>
      </w:divBdr>
    </w:div>
    <w:div w:id="877667521">
      <w:bodyDiv w:val="1"/>
      <w:marLeft w:val="0"/>
      <w:marRight w:val="0"/>
      <w:marTop w:val="0"/>
      <w:marBottom w:val="0"/>
      <w:divBdr>
        <w:top w:val="none" w:sz="0" w:space="0" w:color="auto"/>
        <w:left w:val="none" w:sz="0" w:space="0" w:color="auto"/>
        <w:bottom w:val="none" w:sz="0" w:space="0" w:color="auto"/>
        <w:right w:val="none" w:sz="0" w:space="0" w:color="auto"/>
      </w:divBdr>
    </w:div>
    <w:div w:id="877669715">
      <w:bodyDiv w:val="1"/>
      <w:marLeft w:val="0"/>
      <w:marRight w:val="0"/>
      <w:marTop w:val="0"/>
      <w:marBottom w:val="0"/>
      <w:divBdr>
        <w:top w:val="none" w:sz="0" w:space="0" w:color="auto"/>
        <w:left w:val="none" w:sz="0" w:space="0" w:color="auto"/>
        <w:bottom w:val="none" w:sz="0" w:space="0" w:color="auto"/>
        <w:right w:val="none" w:sz="0" w:space="0" w:color="auto"/>
      </w:divBdr>
    </w:div>
    <w:div w:id="877670420">
      <w:bodyDiv w:val="1"/>
      <w:marLeft w:val="0"/>
      <w:marRight w:val="0"/>
      <w:marTop w:val="0"/>
      <w:marBottom w:val="0"/>
      <w:divBdr>
        <w:top w:val="none" w:sz="0" w:space="0" w:color="auto"/>
        <w:left w:val="none" w:sz="0" w:space="0" w:color="auto"/>
        <w:bottom w:val="none" w:sz="0" w:space="0" w:color="auto"/>
        <w:right w:val="none" w:sz="0" w:space="0" w:color="auto"/>
      </w:divBdr>
    </w:div>
    <w:div w:id="877744009">
      <w:bodyDiv w:val="1"/>
      <w:marLeft w:val="0"/>
      <w:marRight w:val="0"/>
      <w:marTop w:val="0"/>
      <w:marBottom w:val="0"/>
      <w:divBdr>
        <w:top w:val="none" w:sz="0" w:space="0" w:color="auto"/>
        <w:left w:val="none" w:sz="0" w:space="0" w:color="auto"/>
        <w:bottom w:val="none" w:sz="0" w:space="0" w:color="auto"/>
        <w:right w:val="none" w:sz="0" w:space="0" w:color="auto"/>
      </w:divBdr>
    </w:div>
    <w:div w:id="877812171">
      <w:bodyDiv w:val="1"/>
      <w:marLeft w:val="0"/>
      <w:marRight w:val="0"/>
      <w:marTop w:val="0"/>
      <w:marBottom w:val="0"/>
      <w:divBdr>
        <w:top w:val="none" w:sz="0" w:space="0" w:color="auto"/>
        <w:left w:val="none" w:sz="0" w:space="0" w:color="auto"/>
        <w:bottom w:val="none" w:sz="0" w:space="0" w:color="auto"/>
        <w:right w:val="none" w:sz="0" w:space="0" w:color="auto"/>
      </w:divBdr>
    </w:div>
    <w:div w:id="877815643">
      <w:bodyDiv w:val="1"/>
      <w:marLeft w:val="0"/>
      <w:marRight w:val="0"/>
      <w:marTop w:val="0"/>
      <w:marBottom w:val="0"/>
      <w:divBdr>
        <w:top w:val="none" w:sz="0" w:space="0" w:color="auto"/>
        <w:left w:val="none" w:sz="0" w:space="0" w:color="auto"/>
        <w:bottom w:val="none" w:sz="0" w:space="0" w:color="auto"/>
        <w:right w:val="none" w:sz="0" w:space="0" w:color="auto"/>
      </w:divBdr>
    </w:div>
    <w:div w:id="877820072">
      <w:bodyDiv w:val="1"/>
      <w:marLeft w:val="0"/>
      <w:marRight w:val="0"/>
      <w:marTop w:val="0"/>
      <w:marBottom w:val="0"/>
      <w:divBdr>
        <w:top w:val="none" w:sz="0" w:space="0" w:color="auto"/>
        <w:left w:val="none" w:sz="0" w:space="0" w:color="auto"/>
        <w:bottom w:val="none" w:sz="0" w:space="0" w:color="auto"/>
        <w:right w:val="none" w:sz="0" w:space="0" w:color="auto"/>
      </w:divBdr>
    </w:div>
    <w:div w:id="878014597">
      <w:bodyDiv w:val="1"/>
      <w:marLeft w:val="0"/>
      <w:marRight w:val="0"/>
      <w:marTop w:val="0"/>
      <w:marBottom w:val="0"/>
      <w:divBdr>
        <w:top w:val="none" w:sz="0" w:space="0" w:color="auto"/>
        <w:left w:val="none" w:sz="0" w:space="0" w:color="auto"/>
        <w:bottom w:val="none" w:sz="0" w:space="0" w:color="auto"/>
        <w:right w:val="none" w:sz="0" w:space="0" w:color="auto"/>
      </w:divBdr>
    </w:div>
    <w:div w:id="878124387">
      <w:bodyDiv w:val="1"/>
      <w:marLeft w:val="0"/>
      <w:marRight w:val="0"/>
      <w:marTop w:val="0"/>
      <w:marBottom w:val="0"/>
      <w:divBdr>
        <w:top w:val="none" w:sz="0" w:space="0" w:color="auto"/>
        <w:left w:val="none" w:sz="0" w:space="0" w:color="auto"/>
        <w:bottom w:val="none" w:sz="0" w:space="0" w:color="auto"/>
        <w:right w:val="none" w:sz="0" w:space="0" w:color="auto"/>
      </w:divBdr>
    </w:div>
    <w:div w:id="878130756">
      <w:bodyDiv w:val="1"/>
      <w:marLeft w:val="0"/>
      <w:marRight w:val="0"/>
      <w:marTop w:val="0"/>
      <w:marBottom w:val="0"/>
      <w:divBdr>
        <w:top w:val="none" w:sz="0" w:space="0" w:color="auto"/>
        <w:left w:val="none" w:sz="0" w:space="0" w:color="auto"/>
        <w:bottom w:val="none" w:sz="0" w:space="0" w:color="auto"/>
        <w:right w:val="none" w:sz="0" w:space="0" w:color="auto"/>
      </w:divBdr>
    </w:div>
    <w:div w:id="878248308">
      <w:bodyDiv w:val="1"/>
      <w:marLeft w:val="0"/>
      <w:marRight w:val="0"/>
      <w:marTop w:val="0"/>
      <w:marBottom w:val="0"/>
      <w:divBdr>
        <w:top w:val="none" w:sz="0" w:space="0" w:color="auto"/>
        <w:left w:val="none" w:sz="0" w:space="0" w:color="auto"/>
        <w:bottom w:val="none" w:sz="0" w:space="0" w:color="auto"/>
        <w:right w:val="none" w:sz="0" w:space="0" w:color="auto"/>
      </w:divBdr>
    </w:div>
    <w:div w:id="878277363">
      <w:bodyDiv w:val="1"/>
      <w:marLeft w:val="0"/>
      <w:marRight w:val="0"/>
      <w:marTop w:val="0"/>
      <w:marBottom w:val="0"/>
      <w:divBdr>
        <w:top w:val="none" w:sz="0" w:space="0" w:color="auto"/>
        <w:left w:val="none" w:sz="0" w:space="0" w:color="auto"/>
        <w:bottom w:val="none" w:sz="0" w:space="0" w:color="auto"/>
        <w:right w:val="none" w:sz="0" w:space="0" w:color="auto"/>
      </w:divBdr>
    </w:div>
    <w:div w:id="878397234">
      <w:bodyDiv w:val="1"/>
      <w:marLeft w:val="0"/>
      <w:marRight w:val="0"/>
      <w:marTop w:val="0"/>
      <w:marBottom w:val="0"/>
      <w:divBdr>
        <w:top w:val="none" w:sz="0" w:space="0" w:color="auto"/>
        <w:left w:val="none" w:sz="0" w:space="0" w:color="auto"/>
        <w:bottom w:val="none" w:sz="0" w:space="0" w:color="auto"/>
        <w:right w:val="none" w:sz="0" w:space="0" w:color="auto"/>
      </w:divBdr>
    </w:div>
    <w:div w:id="878471659">
      <w:bodyDiv w:val="1"/>
      <w:marLeft w:val="0"/>
      <w:marRight w:val="0"/>
      <w:marTop w:val="0"/>
      <w:marBottom w:val="0"/>
      <w:divBdr>
        <w:top w:val="none" w:sz="0" w:space="0" w:color="auto"/>
        <w:left w:val="none" w:sz="0" w:space="0" w:color="auto"/>
        <w:bottom w:val="none" w:sz="0" w:space="0" w:color="auto"/>
        <w:right w:val="none" w:sz="0" w:space="0" w:color="auto"/>
      </w:divBdr>
    </w:div>
    <w:div w:id="878472101">
      <w:bodyDiv w:val="1"/>
      <w:marLeft w:val="0"/>
      <w:marRight w:val="0"/>
      <w:marTop w:val="0"/>
      <w:marBottom w:val="0"/>
      <w:divBdr>
        <w:top w:val="none" w:sz="0" w:space="0" w:color="auto"/>
        <w:left w:val="none" w:sz="0" w:space="0" w:color="auto"/>
        <w:bottom w:val="none" w:sz="0" w:space="0" w:color="auto"/>
        <w:right w:val="none" w:sz="0" w:space="0" w:color="auto"/>
      </w:divBdr>
    </w:div>
    <w:div w:id="878511591">
      <w:bodyDiv w:val="1"/>
      <w:marLeft w:val="0"/>
      <w:marRight w:val="0"/>
      <w:marTop w:val="0"/>
      <w:marBottom w:val="0"/>
      <w:divBdr>
        <w:top w:val="none" w:sz="0" w:space="0" w:color="auto"/>
        <w:left w:val="none" w:sz="0" w:space="0" w:color="auto"/>
        <w:bottom w:val="none" w:sz="0" w:space="0" w:color="auto"/>
        <w:right w:val="none" w:sz="0" w:space="0" w:color="auto"/>
      </w:divBdr>
    </w:div>
    <w:div w:id="878660543">
      <w:bodyDiv w:val="1"/>
      <w:marLeft w:val="0"/>
      <w:marRight w:val="0"/>
      <w:marTop w:val="0"/>
      <w:marBottom w:val="0"/>
      <w:divBdr>
        <w:top w:val="none" w:sz="0" w:space="0" w:color="auto"/>
        <w:left w:val="none" w:sz="0" w:space="0" w:color="auto"/>
        <w:bottom w:val="none" w:sz="0" w:space="0" w:color="auto"/>
        <w:right w:val="none" w:sz="0" w:space="0" w:color="auto"/>
      </w:divBdr>
    </w:div>
    <w:div w:id="878661561">
      <w:bodyDiv w:val="1"/>
      <w:marLeft w:val="0"/>
      <w:marRight w:val="0"/>
      <w:marTop w:val="0"/>
      <w:marBottom w:val="0"/>
      <w:divBdr>
        <w:top w:val="none" w:sz="0" w:space="0" w:color="auto"/>
        <w:left w:val="none" w:sz="0" w:space="0" w:color="auto"/>
        <w:bottom w:val="none" w:sz="0" w:space="0" w:color="auto"/>
        <w:right w:val="none" w:sz="0" w:space="0" w:color="auto"/>
      </w:divBdr>
    </w:div>
    <w:div w:id="878738446">
      <w:bodyDiv w:val="1"/>
      <w:marLeft w:val="0"/>
      <w:marRight w:val="0"/>
      <w:marTop w:val="0"/>
      <w:marBottom w:val="0"/>
      <w:divBdr>
        <w:top w:val="none" w:sz="0" w:space="0" w:color="auto"/>
        <w:left w:val="none" w:sz="0" w:space="0" w:color="auto"/>
        <w:bottom w:val="none" w:sz="0" w:space="0" w:color="auto"/>
        <w:right w:val="none" w:sz="0" w:space="0" w:color="auto"/>
      </w:divBdr>
    </w:div>
    <w:div w:id="878779836">
      <w:bodyDiv w:val="1"/>
      <w:marLeft w:val="0"/>
      <w:marRight w:val="0"/>
      <w:marTop w:val="0"/>
      <w:marBottom w:val="0"/>
      <w:divBdr>
        <w:top w:val="none" w:sz="0" w:space="0" w:color="auto"/>
        <w:left w:val="none" w:sz="0" w:space="0" w:color="auto"/>
        <w:bottom w:val="none" w:sz="0" w:space="0" w:color="auto"/>
        <w:right w:val="none" w:sz="0" w:space="0" w:color="auto"/>
      </w:divBdr>
    </w:div>
    <w:div w:id="878935930">
      <w:bodyDiv w:val="1"/>
      <w:marLeft w:val="0"/>
      <w:marRight w:val="0"/>
      <w:marTop w:val="0"/>
      <w:marBottom w:val="0"/>
      <w:divBdr>
        <w:top w:val="none" w:sz="0" w:space="0" w:color="auto"/>
        <w:left w:val="none" w:sz="0" w:space="0" w:color="auto"/>
        <w:bottom w:val="none" w:sz="0" w:space="0" w:color="auto"/>
        <w:right w:val="none" w:sz="0" w:space="0" w:color="auto"/>
      </w:divBdr>
    </w:div>
    <w:div w:id="879122737">
      <w:bodyDiv w:val="1"/>
      <w:marLeft w:val="0"/>
      <w:marRight w:val="0"/>
      <w:marTop w:val="0"/>
      <w:marBottom w:val="0"/>
      <w:divBdr>
        <w:top w:val="none" w:sz="0" w:space="0" w:color="auto"/>
        <w:left w:val="none" w:sz="0" w:space="0" w:color="auto"/>
        <w:bottom w:val="none" w:sz="0" w:space="0" w:color="auto"/>
        <w:right w:val="none" w:sz="0" w:space="0" w:color="auto"/>
      </w:divBdr>
    </w:div>
    <w:div w:id="879127416">
      <w:bodyDiv w:val="1"/>
      <w:marLeft w:val="0"/>
      <w:marRight w:val="0"/>
      <w:marTop w:val="0"/>
      <w:marBottom w:val="0"/>
      <w:divBdr>
        <w:top w:val="none" w:sz="0" w:space="0" w:color="auto"/>
        <w:left w:val="none" w:sz="0" w:space="0" w:color="auto"/>
        <w:bottom w:val="none" w:sz="0" w:space="0" w:color="auto"/>
        <w:right w:val="none" w:sz="0" w:space="0" w:color="auto"/>
      </w:divBdr>
    </w:div>
    <w:div w:id="879129116">
      <w:bodyDiv w:val="1"/>
      <w:marLeft w:val="0"/>
      <w:marRight w:val="0"/>
      <w:marTop w:val="0"/>
      <w:marBottom w:val="0"/>
      <w:divBdr>
        <w:top w:val="none" w:sz="0" w:space="0" w:color="auto"/>
        <w:left w:val="none" w:sz="0" w:space="0" w:color="auto"/>
        <w:bottom w:val="none" w:sz="0" w:space="0" w:color="auto"/>
        <w:right w:val="none" w:sz="0" w:space="0" w:color="auto"/>
      </w:divBdr>
    </w:div>
    <w:div w:id="879130390">
      <w:bodyDiv w:val="1"/>
      <w:marLeft w:val="0"/>
      <w:marRight w:val="0"/>
      <w:marTop w:val="0"/>
      <w:marBottom w:val="0"/>
      <w:divBdr>
        <w:top w:val="none" w:sz="0" w:space="0" w:color="auto"/>
        <w:left w:val="none" w:sz="0" w:space="0" w:color="auto"/>
        <w:bottom w:val="none" w:sz="0" w:space="0" w:color="auto"/>
        <w:right w:val="none" w:sz="0" w:space="0" w:color="auto"/>
      </w:divBdr>
    </w:div>
    <w:div w:id="879131413">
      <w:bodyDiv w:val="1"/>
      <w:marLeft w:val="0"/>
      <w:marRight w:val="0"/>
      <w:marTop w:val="0"/>
      <w:marBottom w:val="0"/>
      <w:divBdr>
        <w:top w:val="none" w:sz="0" w:space="0" w:color="auto"/>
        <w:left w:val="none" w:sz="0" w:space="0" w:color="auto"/>
        <w:bottom w:val="none" w:sz="0" w:space="0" w:color="auto"/>
        <w:right w:val="none" w:sz="0" w:space="0" w:color="auto"/>
      </w:divBdr>
    </w:div>
    <w:div w:id="879244769">
      <w:bodyDiv w:val="1"/>
      <w:marLeft w:val="0"/>
      <w:marRight w:val="0"/>
      <w:marTop w:val="0"/>
      <w:marBottom w:val="0"/>
      <w:divBdr>
        <w:top w:val="none" w:sz="0" w:space="0" w:color="auto"/>
        <w:left w:val="none" w:sz="0" w:space="0" w:color="auto"/>
        <w:bottom w:val="none" w:sz="0" w:space="0" w:color="auto"/>
        <w:right w:val="none" w:sz="0" w:space="0" w:color="auto"/>
      </w:divBdr>
    </w:div>
    <w:div w:id="879316267">
      <w:bodyDiv w:val="1"/>
      <w:marLeft w:val="0"/>
      <w:marRight w:val="0"/>
      <w:marTop w:val="0"/>
      <w:marBottom w:val="0"/>
      <w:divBdr>
        <w:top w:val="none" w:sz="0" w:space="0" w:color="auto"/>
        <w:left w:val="none" w:sz="0" w:space="0" w:color="auto"/>
        <w:bottom w:val="none" w:sz="0" w:space="0" w:color="auto"/>
        <w:right w:val="none" w:sz="0" w:space="0" w:color="auto"/>
      </w:divBdr>
    </w:div>
    <w:div w:id="879321242">
      <w:bodyDiv w:val="1"/>
      <w:marLeft w:val="0"/>
      <w:marRight w:val="0"/>
      <w:marTop w:val="0"/>
      <w:marBottom w:val="0"/>
      <w:divBdr>
        <w:top w:val="none" w:sz="0" w:space="0" w:color="auto"/>
        <w:left w:val="none" w:sz="0" w:space="0" w:color="auto"/>
        <w:bottom w:val="none" w:sz="0" w:space="0" w:color="auto"/>
        <w:right w:val="none" w:sz="0" w:space="0" w:color="auto"/>
      </w:divBdr>
    </w:div>
    <w:div w:id="879439405">
      <w:bodyDiv w:val="1"/>
      <w:marLeft w:val="0"/>
      <w:marRight w:val="0"/>
      <w:marTop w:val="0"/>
      <w:marBottom w:val="0"/>
      <w:divBdr>
        <w:top w:val="none" w:sz="0" w:space="0" w:color="auto"/>
        <w:left w:val="none" w:sz="0" w:space="0" w:color="auto"/>
        <w:bottom w:val="none" w:sz="0" w:space="0" w:color="auto"/>
        <w:right w:val="none" w:sz="0" w:space="0" w:color="auto"/>
      </w:divBdr>
    </w:div>
    <w:div w:id="879589951">
      <w:bodyDiv w:val="1"/>
      <w:marLeft w:val="0"/>
      <w:marRight w:val="0"/>
      <w:marTop w:val="0"/>
      <w:marBottom w:val="0"/>
      <w:divBdr>
        <w:top w:val="none" w:sz="0" w:space="0" w:color="auto"/>
        <w:left w:val="none" w:sz="0" w:space="0" w:color="auto"/>
        <w:bottom w:val="none" w:sz="0" w:space="0" w:color="auto"/>
        <w:right w:val="none" w:sz="0" w:space="0" w:color="auto"/>
      </w:divBdr>
    </w:div>
    <w:div w:id="879626967">
      <w:bodyDiv w:val="1"/>
      <w:marLeft w:val="0"/>
      <w:marRight w:val="0"/>
      <w:marTop w:val="0"/>
      <w:marBottom w:val="0"/>
      <w:divBdr>
        <w:top w:val="none" w:sz="0" w:space="0" w:color="auto"/>
        <w:left w:val="none" w:sz="0" w:space="0" w:color="auto"/>
        <w:bottom w:val="none" w:sz="0" w:space="0" w:color="auto"/>
        <w:right w:val="none" w:sz="0" w:space="0" w:color="auto"/>
      </w:divBdr>
    </w:div>
    <w:div w:id="879628531">
      <w:bodyDiv w:val="1"/>
      <w:marLeft w:val="0"/>
      <w:marRight w:val="0"/>
      <w:marTop w:val="0"/>
      <w:marBottom w:val="0"/>
      <w:divBdr>
        <w:top w:val="none" w:sz="0" w:space="0" w:color="auto"/>
        <w:left w:val="none" w:sz="0" w:space="0" w:color="auto"/>
        <w:bottom w:val="none" w:sz="0" w:space="0" w:color="auto"/>
        <w:right w:val="none" w:sz="0" w:space="0" w:color="auto"/>
      </w:divBdr>
    </w:div>
    <w:div w:id="879634499">
      <w:bodyDiv w:val="1"/>
      <w:marLeft w:val="0"/>
      <w:marRight w:val="0"/>
      <w:marTop w:val="0"/>
      <w:marBottom w:val="0"/>
      <w:divBdr>
        <w:top w:val="none" w:sz="0" w:space="0" w:color="auto"/>
        <w:left w:val="none" w:sz="0" w:space="0" w:color="auto"/>
        <w:bottom w:val="none" w:sz="0" w:space="0" w:color="auto"/>
        <w:right w:val="none" w:sz="0" w:space="0" w:color="auto"/>
      </w:divBdr>
    </w:div>
    <w:div w:id="879704841">
      <w:bodyDiv w:val="1"/>
      <w:marLeft w:val="0"/>
      <w:marRight w:val="0"/>
      <w:marTop w:val="0"/>
      <w:marBottom w:val="0"/>
      <w:divBdr>
        <w:top w:val="none" w:sz="0" w:space="0" w:color="auto"/>
        <w:left w:val="none" w:sz="0" w:space="0" w:color="auto"/>
        <w:bottom w:val="none" w:sz="0" w:space="0" w:color="auto"/>
        <w:right w:val="none" w:sz="0" w:space="0" w:color="auto"/>
      </w:divBdr>
    </w:div>
    <w:div w:id="879707499">
      <w:bodyDiv w:val="1"/>
      <w:marLeft w:val="0"/>
      <w:marRight w:val="0"/>
      <w:marTop w:val="0"/>
      <w:marBottom w:val="0"/>
      <w:divBdr>
        <w:top w:val="none" w:sz="0" w:space="0" w:color="auto"/>
        <w:left w:val="none" w:sz="0" w:space="0" w:color="auto"/>
        <w:bottom w:val="none" w:sz="0" w:space="0" w:color="auto"/>
        <w:right w:val="none" w:sz="0" w:space="0" w:color="auto"/>
      </w:divBdr>
    </w:div>
    <w:div w:id="879780880">
      <w:bodyDiv w:val="1"/>
      <w:marLeft w:val="0"/>
      <w:marRight w:val="0"/>
      <w:marTop w:val="0"/>
      <w:marBottom w:val="0"/>
      <w:divBdr>
        <w:top w:val="none" w:sz="0" w:space="0" w:color="auto"/>
        <w:left w:val="none" w:sz="0" w:space="0" w:color="auto"/>
        <w:bottom w:val="none" w:sz="0" w:space="0" w:color="auto"/>
        <w:right w:val="none" w:sz="0" w:space="0" w:color="auto"/>
      </w:divBdr>
    </w:div>
    <w:div w:id="879782229">
      <w:bodyDiv w:val="1"/>
      <w:marLeft w:val="0"/>
      <w:marRight w:val="0"/>
      <w:marTop w:val="0"/>
      <w:marBottom w:val="0"/>
      <w:divBdr>
        <w:top w:val="none" w:sz="0" w:space="0" w:color="auto"/>
        <w:left w:val="none" w:sz="0" w:space="0" w:color="auto"/>
        <w:bottom w:val="none" w:sz="0" w:space="0" w:color="auto"/>
        <w:right w:val="none" w:sz="0" w:space="0" w:color="auto"/>
      </w:divBdr>
    </w:div>
    <w:div w:id="879896071">
      <w:bodyDiv w:val="1"/>
      <w:marLeft w:val="0"/>
      <w:marRight w:val="0"/>
      <w:marTop w:val="0"/>
      <w:marBottom w:val="0"/>
      <w:divBdr>
        <w:top w:val="none" w:sz="0" w:space="0" w:color="auto"/>
        <w:left w:val="none" w:sz="0" w:space="0" w:color="auto"/>
        <w:bottom w:val="none" w:sz="0" w:space="0" w:color="auto"/>
        <w:right w:val="none" w:sz="0" w:space="0" w:color="auto"/>
      </w:divBdr>
    </w:div>
    <w:div w:id="879973300">
      <w:bodyDiv w:val="1"/>
      <w:marLeft w:val="0"/>
      <w:marRight w:val="0"/>
      <w:marTop w:val="0"/>
      <w:marBottom w:val="0"/>
      <w:divBdr>
        <w:top w:val="none" w:sz="0" w:space="0" w:color="auto"/>
        <w:left w:val="none" w:sz="0" w:space="0" w:color="auto"/>
        <w:bottom w:val="none" w:sz="0" w:space="0" w:color="auto"/>
        <w:right w:val="none" w:sz="0" w:space="0" w:color="auto"/>
      </w:divBdr>
    </w:div>
    <w:div w:id="880170386">
      <w:bodyDiv w:val="1"/>
      <w:marLeft w:val="0"/>
      <w:marRight w:val="0"/>
      <w:marTop w:val="0"/>
      <w:marBottom w:val="0"/>
      <w:divBdr>
        <w:top w:val="none" w:sz="0" w:space="0" w:color="auto"/>
        <w:left w:val="none" w:sz="0" w:space="0" w:color="auto"/>
        <w:bottom w:val="none" w:sz="0" w:space="0" w:color="auto"/>
        <w:right w:val="none" w:sz="0" w:space="0" w:color="auto"/>
      </w:divBdr>
    </w:div>
    <w:div w:id="880438580">
      <w:bodyDiv w:val="1"/>
      <w:marLeft w:val="0"/>
      <w:marRight w:val="0"/>
      <w:marTop w:val="0"/>
      <w:marBottom w:val="0"/>
      <w:divBdr>
        <w:top w:val="none" w:sz="0" w:space="0" w:color="auto"/>
        <w:left w:val="none" w:sz="0" w:space="0" w:color="auto"/>
        <w:bottom w:val="none" w:sz="0" w:space="0" w:color="auto"/>
        <w:right w:val="none" w:sz="0" w:space="0" w:color="auto"/>
      </w:divBdr>
    </w:div>
    <w:div w:id="880476916">
      <w:bodyDiv w:val="1"/>
      <w:marLeft w:val="0"/>
      <w:marRight w:val="0"/>
      <w:marTop w:val="0"/>
      <w:marBottom w:val="0"/>
      <w:divBdr>
        <w:top w:val="none" w:sz="0" w:space="0" w:color="auto"/>
        <w:left w:val="none" w:sz="0" w:space="0" w:color="auto"/>
        <w:bottom w:val="none" w:sz="0" w:space="0" w:color="auto"/>
        <w:right w:val="none" w:sz="0" w:space="0" w:color="auto"/>
      </w:divBdr>
    </w:div>
    <w:div w:id="880704107">
      <w:bodyDiv w:val="1"/>
      <w:marLeft w:val="0"/>
      <w:marRight w:val="0"/>
      <w:marTop w:val="0"/>
      <w:marBottom w:val="0"/>
      <w:divBdr>
        <w:top w:val="none" w:sz="0" w:space="0" w:color="auto"/>
        <w:left w:val="none" w:sz="0" w:space="0" w:color="auto"/>
        <w:bottom w:val="none" w:sz="0" w:space="0" w:color="auto"/>
        <w:right w:val="none" w:sz="0" w:space="0" w:color="auto"/>
      </w:divBdr>
    </w:div>
    <w:div w:id="880745041">
      <w:bodyDiv w:val="1"/>
      <w:marLeft w:val="0"/>
      <w:marRight w:val="0"/>
      <w:marTop w:val="0"/>
      <w:marBottom w:val="0"/>
      <w:divBdr>
        <w:top w:val="none" w:sz="0" w:space="0" w:color="auto"/>
        <w:left w:val="none" w:sz="0" w:space="0" w:color="auto"/>
        <w:bottom w:val="none" w:sz="0" w:space="0" w:color="auto"/>
        <w:right w:val="none" w:sz="0" w:space="0" w:color="auto"/>
      </w:divBdr>
    </w:div>
    <w:div w:id="880819588">
      <w:bodyDiv w:val="1"/>
      <w:marLeft w:val="0"/>
      <w:marRight w:val="0"/>
      <w:marTop w:val="0"/>
      <w:marBottom w:val="0"/>
      <w:divBdr>
        <w:top w:val="none" w:sz="0" w:space="0" w:color="auto"/>
        <w:left w:val="none" w:sz="0" w:space="0" w:color="auto"/>
        <w:bottom w:val="none" w:sz="0" w:space="0" w:color="auto"/>
        <w:right w:val="none" w:sz="0" w:space="0" w:color="auto"/>
      </w:divBdr>
    </w:div>
    <w:div w:id="880828880">
      <w:bodyDiv w:val="1"/>
      <w:marLeft w:val="0"/>
      <w:marRight w:val="0"/>
      <w:marTop w:val="0"/>
      <w:marBottom w:val="0"/>
      <w:divBdr>
        <w:top w:val="none" w:sz="0" w:space="0" w:color="auto"/>
        <w:left w:val="none" w:sz="0" w:space="0" w:color="auto"/>
        <w:bottom w:val="none" w:sz="0" w:space="0" w:color="auto"/>
        <w:right w:val="none" w:sz="0" w:space="0" w:color="auto"/>
      </w:divBdr>
    </w:div>
    <w:div w:id="880941067">
      <w:bodyDiv w:val="1"/>
      <w:marLeft w:val="0"/>
      <w:marRight w:val="0"/>
      <w:marTop w:val="0"/>
      <w:marBottom w:val="0"/>
      <w:divBdr>
        <w:top w:val="none" w:sz="0" w:space="0" w:color="auto"/>
        <w:left w:val="none" w:sz="0" w:space="0" w:color="auto"/>
        <w:bottom w:val="none" w:sz="0" w:space="0" w:color="auto"/>
        <w:right w:val="none" w:sz="0" w:space="0" w:color="auto"/>
      </w:divBdr>
    </w:div>
    <w:div w:id="881021063">
      <w:bodyDiv w:val="1"/>
      <w:marLeft w:val="0"/>
      <w:marRight w:val="0"/>
      <w:marTop w:val="0"/>
      <w:marBottom w:val="0"/>
      <w:divBdr>
        <w:top w:val="none" w:sz="0" w:space="0" w:color="auto"/>
        <w:left w:val="none" w:sz="0" w:space="0" w:color="auto"/>
        <w:bottom w:val="none" w:sz="0" w:space="0" w:color="auto"/>
        <w:right w:val="none" w:sz="0" w:space="0" w:color="auto"/>
      </w:divBdr>
    </w:div>
    <w:div w:id="881089155">
      <w:bodyDiv w:val="1"/>
      <w:marLeft w:val="0"/>
      <w:marRight w:val="0"/>
      <w:marTop w:val="0"/>
      <w:marBottom w:val="0"/>
      <w:divBdr>
        <w:top w:val="none" w:sz="0" w:space="0" w:color="auto"/>
        <w:left w:val="none" w:sz="0" w:space="0" w:color="auto"/>
        <w:bottom w:val="none" w:sz="0" w:space="0" w:color="auto"/>
        <w:right w:val="none" w:sz="0" w:space="0" w:color="auto"/>
      </w:divBdr>
    </w:div>
    <w:div w:id="881089832">
      <w:bodyDiv w:val="1"/>
      <w:marLeft w:val="0"/>
      <w:marRight w:val="0"/>
      <w:marTop w:val="0"/>
      <w:marBottom w:val="0"/>
      <w:divBdr>
        <w:top w:val="none" w:sz="0" w:space="0" w:color="auto"/>
        <w:left w:val="none" w:sz="0" w:space="0" w:color="auto"/>
        <w:bottom w:val="none" w:sz="0" w:space="0" w:color="auto"/>
        <w:right w:val="none" w:sz="0" w:space="0" w:color="auto"/>
      </w:divBdr>
    </w:div>
    <w:div w:id="881131587">
      <w:bodyDiv w:val="1"/>
      <w:marLeft w:val="0"/>
      <w:marRight w:val="0"/>
      <w:marTop w:val="0"/>
      <w:marBottom w:val="0"/>
      <w:divBdr>
        <w:top w:val="none" w:sz="0" w:space="0" w:color="auto"/>
        <w:left w:val="none" w:sz="0" w:space="0" w:color="auto"/>
        <w:bottom w:val="none" w:sz="0" w:space="0" w:color="auto"/>
        <w:right w:val="none" w:sz="0" w:space="0" w:color="auto"/>
      </w:divBdr>
    </w:div>
    <w:div w:id="881288908">
      <w:bodyDiv w:val="1"/>
      <w:marLeft w:val="0"/>
      <w:marRight w:val="0"/>
      <w:marTop w:val="0"/>
      <w:marBottom w:val="0"/>
      <w:divBdr>
        <w:top w:val="none" w:sz="0" w:space="0" w:color="auto"/>
        <w:left w:val="none" w:sz="0" w:space="0" w:color="auto"/>
        <w:bottom w:val="none" w:sz="0" w:space="0" w:color="auto"/>
        <w:right w:val="none" w:sz="0" w:space="0" w:color="auto"/>
      </w:divBdr>
    </w:div>
    <w:div w:id="881357186">
      <w:bodyDiv w:val="1"/>
      <w:marLeft w:val="0"/>
      <w:marRight w:val="0"/>
      <w:marTop w:val="0"/>
      <w:marBottom w:val="0"/>
      <w:divBdr>
        <w:top w:val="none" w:sz="0" w:space="0" w:color="auto"/>
        <w:left w:val="none" w:sz="0" w:space="0" w:color="auto"/>
        <w:bottom w:val="none" w:sz="0" w:space="0" w:color="auto"/>
        <w:right w:val="none" w:sz="0" w:space="0" w:color="auto"/>
      </w:divBdr>
    </w:div>
    <w:div w:id="881399654">
      <w:bodyDiv w:val="1"/>
      <w:marLeft w:val="0"/>
      <w:marRight w:val="0"/>
      <w:marTop w:val="0"/>
      <w:marBottom w:val="0"/>
      <w:divBdr>
        <w:top w:val="none" w:sz="0" w:space="0" w:color="auto"/>
        <w:left w:val="none" w:sz="0" w:space="0" w:color="auto"/>
        <w:bottom w:val="none" w:sz="0" w:space="0" w:color="auto"/>
        <w:right w:val="none" w:sz="0" w:space="0" w:color="auto"/>
      </w:divBdr>
    </w:div>
    <w:div w:id="881400446">
      <w:bodyDiv w:val="1"/>
      <w:marLeft w:val="0"/>
      <w:marRight w:val="0"/>
      <w:marTop w:val="0"/>
      <w:marBottom w:val="0"/>
      <w:divBdr>
        <w:top w:val="none" w:sz="0" w:space="0" w:color="auto"/>
        <w:left w:val="none" w:sz="0" w:space="0" w:color="auto"/>
        <w:bottom w:val="none" w:sz="0" w:space="0" w:color="auto"/>
        <w:right w:val="none" w:sz="0" w:space="0" w:color="auto"/>
      </w:divBdr>
    </w:div>
    <w:div w:id="881401274">
      <w:bodyDiv w:val="1"/>
      <w:marLeft w:val="0"/>
      <w:marRight w:val="0"/>
      <w:marTop w:val="0"/>
      <w:marBottom w:val="0"/>
      <w:divBdr>
        <w:top w:val="none" w:sz="0" w:space="0" w:color="auto"/>
        <w:left w:val="none" w:sz="0" w:space="0" w:color="auto"/>
        <w:bottom w:val="none" w:sz="0" w:space="0" w:color="auto"/>
        <w:right w:val="none" w:sz="0" w:space="0" w:color="auto"/>
      </w:divBdr>
    </w:div>
    <w:div w:id="881406233">
      <w:bodyDiv w:val="1"/>
      <w:marLeft w:val="0"/>
      <w:marRight w:val="0"/>
      <w:marTop w:val="0"/>
      <w:marBottom w:val="0"/>
      <w:divBdr>
        <w:top w:val="none" w:sz="0" w:space="0" w:color="auto"/>
        <w:left w:val="none" w:sz="0" w:space="0" w:color="auto"/>
        <w:bottom w:val="none" w:sz="0" w:space="0" w:color="auto"/>
        <w:right w:val="none" w:sz="0" w:space="0" w:color="auto"/>
      </w:divBdr>
    </w:div>
    <w:div w:id="881407834">
      <w:bodyDiv w:val="1"/>
      <w:marLeft w:val="0"/>
      <w:marRight w:val="0"/>
      <w:marTop w:val="0"/>
      <w:marBottom w:val="0"/>
      <w:divBdr>
        <w:top w:val="none" w:sz="0" w:space="0" w:color="auto"/>
        <w:left w:val="none" w:sz="0" w:space="0" w:color="auto"/>
        <w:bottom w:val="none" w:sz="0" w:space="0" w:color="auto"/>
        <w:right w:val="none" w:sz="0" w:space="0" w:color="auto"/>
      </w:divBdr>
    </w:div>
    <w:div w:id="881477552">
      <w:bodyDiv w:val="1"/>
      <w:marLeft w:val="0"/>
      <w:marRight w:val="0"/>
      <w:marTop w:val="0"/>
      <w:marBottom w:val="0"/>
      <w:divBdr>
        <w:top w:val="none" w:sz="0" w:space="0" w:color="auto"/>
        <w:left w:val="none" w:sz="0" w:space="0" w:color="auto"/>
        <w:bottom w:val="none" w:sz="0" w:space="0" w:color="auto"/>
        <w:right w:val="none" w:sz="0" w:space="0" w:color="auto"/>
      </w:divBdr>
    </w:div>
    <w:div w:id="881481793">
      <w:bodyDiv w:val="1"/>
      <w:marLeft w:val="0"/>
      <w:marRight w:val="0"/>
      <w:marTop w:val="0"/>
      <w:marBottom w:val="0"/>
      <w:divBdr>
        <w:top w:val="none" w:sz="0" w:space="0" w:color="auto"/>
        <w:left w:val="none" w:sz="0" w:space="0" w:color="auto"/>
        <w:bottom w:val="none" w:sz="0" w:space="0" w:color="auto"/>
        <w:right w:val="none" w:sz="0" w:space="0" w:color="auto"/>
      </w:divBdr>
    </w:div>
    <w:div w:id="881748454">
      <w:bodyDiv w:val="1"/>
      <w:marLeft w:val="0"/>
      <w:marRight w:val="0"/>
      <w:marTop w:val="0"/>
      <w:marBottom w:val="0"/>
      <w:divBdr>
        <w:top w:val="none" w:sz="0" w:space="0" w:color="auto"/>
        <w:left w:val="none" w:sz="0" w:space="0" w:color="auto"/>
        <w:bottom w:val="none" w:sz="0" w:space="0" w:color="auto"/>
        <w:right w:val="none" w:sz="0" w:space="0" w:color="auto"/>
      </w:divBdr>
    </w:div>
    <w:div w:id="881749256">
      <w:bodyDiv w:val="1"/>
      <w:marLeft w:val="0"/>
      <w:marRight w:val="0"/>
      <w:marTop w:val="0"/>
      <w:marBottom w:val="0"/>
      <w:divBdr>
        <w:top w:val="none" w:sz="0" w:space="0" w:color="auto"/>
        <w:left w:val="none" w:sz="0" w:space="0" w:color="auto"/>
        <w:bottom w:val="none" w:sz="0" w:space="0" w:color="auto"/>
        <w:right w:val="none" w:sz="0" w:space="0" w:color="auto"/>
      </w:divBdr>
    </w:div>
    <w:div w:id="881867165">
      <w:bodyDiv w:val="1"/>
      <w:marLeft w:val="0"/>
      <w:marRight w:val="0"/>
      <w:marTop w:val="0"/>
      <w:marBottom w:val="0"/>
      <w:divBdr>
        <w:top w:val="none" w:sz="0" w:space="0" w:color="auto"/>
        <w:left w:val="none" w:sz="0" w:space="0" w:color="auto"/>
        <w:bottom w:val="none" w:sz="0" w:space="0" w:color="auto"/>
        <w:right w:val="none" w:sz="0" w:space="0" w:color="auto"/>
      </w:divBdr>
    </w:div>
    <w:div w:id="882054945">
      <w:bodyDiv w:val="1"/>
      <w:marLeft w:val="0"/>
      <w:marRight w:val="0"/>
      <w:marTop w:val="0"/>
      <w:marBottom w:val="0"/>
      <w:divBdr>
        <w:top w:val="none" w:sz="0" w:space="0" w:color="auto"/>
        <w:left w:val="none" w:sz="0" w:space="0" w:color="auto"/>
        <w:bottom w:val="none" w:sz="0" w:space="0" w:color="auto"/>
        <w:right w:val="none" w:sz="0" w:space="0" w:color="auto"/>
      </w:divBdr>
    </w:div>
    <w:div w:id="882062206">
      <w:bodyDiv w:val="1"/>
      <w:marLeft w:val="0"/>
      <w:marRight w:val="0"/>
      <w:marTop w:val="0"/>
      <w:marBottom w:val="0"/>
      <w:divBdr>
        <w:top w:val="none" w:sz="0" w:space="0" w:color="auto"/>
        <w:left w:val="none" w:sz="0" w:space="0" w:color="auto"/>
        <w:bottom w:val="none" w:sz="0" w:space="0" w:color="auto"/>
        <w:right w:val="none" w:sz="0" w:space="0" w:color="auto"/>
      </w:divBdr>
    </w:div>
    <w:div w:id="882063940">
      <w:bodyDiv w:val="1"/>
      <w:marLeft w:val="0"/>
      <w:marRight w:val="0"/>
      <w:marTop w:val="0"/>
      <w:marBottom w:val="0"/>
      <w:divBdr>
        <w:top w:val="none" w:sz="0" w:space="0" w:color="auto"/>
        <w:left w:val="none" w:sz="0" w:space="0" w:color="auto"/>
        <w:bottom w:val="none" w:sz="0" w:space="0" w:color="auto"/>
        <w:right w:val="none" w:sz="0" w:space="0" w:color="auto"/>
      </w:divBdr>
    </w:div>
    <w:div w:id="882180562">
      <w:bodyDiv w:val="1"/>
      <w:marLeft w:val="0"/>
      <w:marRight w:val="0"/>
      <w:marTop w:val="0"/>
      <w:marBottom w:val="0"/>
      <w:divBdr>
        <w:top w:val="none" w:sz="0" w:space="0" w:color="auto"/>
        <w:left w:val="none" w:sz="0" w:space="0" w:color="auto"/>
        <w:bottom w:val="none" w:sz="0" w:space="0" w:color="auto"/>
        <w:right w:val="none" w:sz="0" w:space="0" w:color="auto"/>
      </w:divBdr>
    </w:div>
    <w:div w:id="882208319">
      <w:bodyDiv w:val="1"/>
      <w:marLeft w:val="0"/>
      <w:marRight w:val="0"/>
      <w:marTop w:val="0"/>
      <w:marBottom w:val="0"/>
      <w:divBdr>
        <w:top w:val="none" w:sz="0" w:space="0" w:color="auto"/>
        <w:left w:val="none" w:sz="0" w:space="0" w:color="auto"/>
        <w:bottom w:val="none" w:sz="0" w:space="0" w:color="auto"/>
        <w:right w:val="none" w:sz="0" w:space="0" w:color="auto"/>
      </w:divBdr>
    </w:div>
    <w:div w:id="882250836">
      <w:bodyDiv w:val="1"/>
      <w:marLeft w:val="0"/>
      <w:marRight w:val="0"/>
      <w:marTop w:val="0"/>
      <w:marBottom w:val="0"/>
      <w:divBdr>
        <w:top w:val="none" w:sz="0" w:space="0" w:color="auto"/>
        <w:left w:val="none" w:sz="0" w:space="0" w:color="auto"/>
        <w:bottom w:val="none" w:sz="0" w:space="0" w:color="auto"/>
        <w:right w:val="none" w:sz="0" w:space="0" w:color="auto"/>
      </w:divBdr>
    </w:div>
    <w:div w:id="882401146">
      <w:bodyDiv w:val="1"/>
      <w:marLeft w:val="0"/>
      <w:marRight w:val="0"/>
      <w:marTop w:val="0"/>
      <w:marBottom w:val="0"/>
      <w:divBdr>
        <w:top w:val="none" w:sz="0" w:space="0" w:color="auto"/>
        <w:left w:val="none" w:sz="0" w:space="0" w:color="auto"/>
        <w:bottom w:val="none" w:sz="0" w:space="0" w:color="auto"/>
        <w:right w:val="none" w:sz="0" w:space="0" w:color="auto"/>
      </w:divBdr>
    </w:div>
    <w:div w:id="882406781">
      <w:bodyDiv w:val="1"/>
      <w:marLeft w:val="0"/>
      <w:marRight w:val="0"/>
      <w:marTop w:val="0"/>
      <w:marBottom w:val="0"/>
      <w:divBdr>
        <w:top w:val="none" w:sz="0" w:space="0" w:color="auto"/>
        <w:left w:val="none" w:sz="0" w:space="0" w:color="auto"/>
        <w:bottom w:val="none" w:sz="0" w:space="0" w:color="auto"/>
        <w:right w:val="none" w:sz="0" w:space="0" w:color="auto"/>
      </w:divBdr>
    </w:div>
    <w:div w:id="882521898">
      <w:bodyDiv w:val="1"/>
      <w:marLeft w:val="0"/>
      <w:marRight w:val="0"/>
      <w:marTop w:val="0"/>
      <w:marBottom w:val="0"/>
      <w:divBdr>
        <w:top w:val="none" w:sz="0" w:space="0" w:color="auto"/>
        <w:left w:val="none" w:sz="0" w:space="0" w:color="auto"/>
        <w:bottom w:val="none" w:sz="0" w:space="0" w:color="auto"/>
        <w:right w:val="none" w:sz="0" w:space="0" w:color="auto"/>
      </w:divBdr>
    </w:div>
    <w:div w:id="882715305">
      <w:bodyDiv w:val="1"/>
      <w:marLeft w:val="0"/>
      <w:marRight w:val="0"/>
      <w:marTop w:val="0"/>
      <w:marBottom w:val="0"/>
      <w:divBdr>
        <w:top w:val="none" w:sz="0" w:space="0" w:color="auto"/>
        <w:left w:val="none" w:sz="0" w:space="0" w:color="auto"/>
        <w:bottom w:val="none" w:sz="0" w:space="0" w:color="auto"/>
        <w:right w:val="none" w:sz="0" w:space="0" w:color="auto"/>
      </w:divBdr>
    </w:div>
    <w:div w:id="882788746">
      <w:bodyDiv w:val="1"/>
      <w:marLeft w:val="0"/>
      <w:marRight w:val="0"/>
      <w:marTop w:val="0"/>
      <w:marBottom w:val="0"/>
      <w:divBdr>
        <w:top w:val="none" w:sz="0" w:space="0" w:color="auto"/>
        <w:left w:val="none" w:sz="0" w:space="0" w:color="auto"/>
        <w:bottom w:val="none" w:sz="0" w:space="0" w:color="auto"/>
        <w:right w:val="none" w:sz="0" w:space="0" w:color="auto"/>
      </w:divBdr>
    </w:div>
    <w:div w:id="882862839">
      <w:bodyDiv w:val="1"/>
      <w:marLeft w:val="0"/>
      <w:marRight w:val="0"/>
      <w:marTop w:val="0"/>
      <w:marBottom w:val="0"/>
      <w:divBdr>
        <w:top w:val="none" w:sz="0" w:space="0" w:color="auto"/>
        <w:left w:val="none" w:sz="0" w:space="0" w:color="auto"/>
        <w:bottom w:val="none" w:sz="0" w:space="0" w:color="auto"/>
        <w:right w:val="none" w:sz="0" w:space="0" w:color="auto"/>
      </w:divBdr>
    </w:div>
    <w:div w:id="882907174">
      <w:bodyDiv w:val="1"/>
      <w:marLeft w:val="0"/>
      <w:marRight w:val="0"/>
      <w:marTop w:val="0"/>
      <w:marBottom w:val="0"/>
      <w:divBdr>
        <w:top w:val="none" w:sz="0" w:space="0" w:color="auto"/>
        <w:left w:val="none" w:sz="0" w:space="0" w:color="auto"/>
        <w:bottom w:val="none" w:sz="0" w:space="0" w:color="auto"/>
        <w:right w:val="none" w:sz="0" w:space="0" w:color="auto"/>
      </w:divBdr>
    </w:div>
    <w:div w:id="882908783">
      <w:bodyDiv w:val="1"/>
      <w:marLeft w:val="0"/>
      <w:marRight w:val="0"/>
      <w:marTop w:val="0"/>
      <w:marBottom w:val="0"/>
      <w:divBdr>
        <w:top w:val="none" w:sz="0" w:space="0" w:color="auto"/>
        <w:left w:val="none" w:sz="0" w:space="0" w:color="auto"/>
        <w:bottom w:val="none" w:sz="0" w:space="0" w:color="auto"/>
        <w:right w:val="none" w:sz="0" w:space="0" w:color="auto"/>
      </w:divBdr>
    </w:div>
    <w:div w:id="883055530">
      <w:bodyDiv w:val="1"/>
      <w:marLeft w:val="0"/>
      <w:marRight w:val="0"/>
      <w:marTop w:val="0"/>
      <w:marBottom w:val="0"/>
      <w:divBdr>
        <w:top w:val="none" w:sz="0" w:space="0" w:color="auto"/>
        <w:left w:val="none" w:sz="0" w:space="0" w:color="auto"/>
        <w:bottom w:val="none" w:sz="0" w:space="0" w:color="auto"/>
        <w:right w:val="none" w:sz="0" w:space="0" w:color="auto"/>
      </w:divBdr>
    </w:div>
    <w:div w:id="883055896">
      <w:bodyDiv w:val="1"/>
      <w:marLeft w:val="0"/>
      <w:marRight w:val="0"/>
      <w:marTop w:val="0"/>
      <w:marBottom w:val="0"/>
      <w:divBdr>
        <w:top w:val="none" w:sz="0" w:space="0" w:color="auto"/>
        <w:left w:val="none" w:sz="0" w:space="0" w:color="auto"/>
        <w:bottom w:val="none" w:sz="0" w:space="0" w:color="auto"/>
        <w:right w:val="none" w:sz="0" w:space="0" w:color="auto"/>
      </w:divBdr>
    </w:div>
    <w:div w:id="883059399">
      <w:bodyDiv w:val="1"/>
      <w:marLeft w:val="0"/>
      <w:marRight w:val="0"/>
      <w:marTop w:val="0"/>
      <w:marBottom w:val="0"/>
      <w:divBdr>
        <w:top w:val="none" w:sz="0" w:space="0" w:color="auto"/>
        <w:left w:val="none" w:sz="0" w:space="0" w:color="auto"/>
        <w:bottom w:val="none" w:sz="0" w:space="0" w:color="auto"/>
        <w:right w:val="none" w:sz="0" w:space="0" w:color="auto"/>
      </w:divBdr>
    </w:div>
    <w:div w:id="883062688">
      <w:bodyDiv w:val="1"/>
      <w:marLeft w:val="0"/>
      <w:marRight w:val="0"/>
      <w:marTop w:val="0"/>
      <w:marBottom w:val="0"/>
      <w:divBdr>
        <w:top w:val="none" w:sz="0" w:space="0" w:color="auto"/>
        <w:left w:val="none" w:sz="0" w:space="0" w:color="auto"/>
        <w:bottom w:val="none" w:sz="0" w:space="0" w:color="auto"/>
        <w:right w:val="none" w:sz="0" w:space="0" w:color="auto"/>
      </w:divBdr>
    </w:div>
    <w:div w:id="883252366">
      <w:bodyDiv w:val="1"/>
      <w:marLeft w:val="0"/>
      <w:marRight w:val="0"/>
      <w:marTop w:val="0"/>
      <w:marBottom w:val="0"/>
      <w:divBdr>
        <w:top w:val="none" w:sz="0" w:space="0" w:color="auto"/>
        <w:left w:val="none" w:sz="0" w:space="0" w:color="auto"/>
        <w:bottom w:val="none" w:sz="0" w:space="0" w:color="auto"/>
        <w:right w:val="none" w:sz="0" w:space="0" w:color="auto"/>
      </w:divBdr>
    </w:div>
    <w:div w:id="883254867">
      <w:bodyDiv w:val="1"/>
      <w:marLeft w:val="0"/>
      <w:marRight w:val="0"/>
      <w:marTop w:val="0"/>
      <w:marBottom w:val="0"/>
      <w:divBdr>
        <w:top w:val="none" w:sz="0" w:space="0" w:color="auto"/>
        <w:left w:val="none" w:sz="0" w:space="0" w:color="auto"/>
        <w:bottom w:val="none" w:sz="0" w:space="0" w:color="auto"/>
        <w:right w:val="none" w:sz="0" w:space="0" w:color="auto"/>
      </w:divBdr>
    </w:div>
    <w:div w:id="883566538">
      <w:bodyDiv w:val="1"/>
      <w:marLeft w:val="0"/>
      <w:marRight w:val="0"/>
      <w:marTop w:val="0"/>
      <w:marBottom w:val="0"/>
      <w:divBdr>
        <w:top w:val="none" w:sz="0" w:space="0" w:color="auto"/>
        <w:left w:val="none" w:sz="0" w:space="0" w:color="auto"/>
        <w:bottom w:val="none" w:sz="0" w:space="0" w:color="auto"/>
        <w:right w:val="none" w:sz="0" w:space="0" w:color="auto"/>
      </w:divBdr>
    </w:div>
    <w:div w:id="883640157">
      <w:bodyDiv w:val="1"/>
      <w:marLeft w:val="0"/>
      <w:marRight w:val="0"/>
      <w:marTop w:val="0"/>
      <w:marBottom w:val="0"/>
      <w:divBdr>
        <w:top w:val="none" w:sz="0" w:space="0" w:color="auto"/>
        <w:left w:val="none" w:sz="0" w:space="0" w:color="auto"/>
        <w:bottom w:val="none" w:sz="0" w:space="0" w:color="auto"/>
        <w:right w:val="none" w:sz="0" w:space="0" w:color="auto"/>
      </w:divBdr>
    </w:div>
    <w:div w:id="883714743">
      <w:bodyDiv w:val="1"/>
      <w:marLeft w:val="0"/>
      <w:marRight w:val="0"/>
      <w:marTop w:val="0"/>
      <w:marBottom w:val="0"/>
      <w:divBdr>
        <w:top w:val="none" w:sz="0" w:space="0" w:color="auto"/>
        <w:left w:val="none" w:sz="0" w:space="0" w:color="auto"/>
        <w:bottom w:val="none" w:sz="0" w:space="0" w:color="auto"/>
        <w:right w:val="none" w:sz="0" w:space="0" w:color="auto"/>
      </w:divBdr>
    </w:div>
    <w:div w:id="883759454">
      <w:bodyDiv w:val="1"/>
      <w:marLeft w:val="0"/>
      <w:marRight w:val="0"/>
      <w:marTop w:val="0"/>
      <w:marBottom w:val="0"/>
      <w:divBdr>
        <w:top w:val="none" w:sz="0" w:space="0" w:color="auto"/>
        <w:left w:val="none" w:sz="0" w:space="0" w:color="auto"/>
        <w:bottom w:val="none" w:sz="0" w:space="0" w:color="auto"/>
        <w:right w:val="none" w:sz="0" w:space="0" w:color="auto"/>
      </w:divBdr>
    </w:div>
    <w:div w:id="883829817">
      <w:bodyDiv w:val="1"/>
      <w:marLeft w:val="0"/>
      <w:marRight w:val="0"/>
      <w:marTop w:val="0"/>
      <w:marBottom w:val="0"/>
      <w:divBdr>
        <w:top w:val="none" w:sz="0" w:space="0" w:color="auto"/>
        <w:left w:val="none" w:sz="0" w:space="0" w:color="auto"/>
        <w:bottom w:val="none" w:sz="0" w:space="0" w:color="auto"/>
        <w:right w:val="none" w:sz="0" w:space="0" w:color="auto"/>
      </w:divBdr>
    </w:div>
    <w:div w:id="883910747">
      <w:bodyDiv w:val="1"/>
      <w:marLeft w:val="0"/>
      <w:marRight w:val="0"/>
      <w:marTop w:val="0"/>
      <w:marBottom w:val="0"/>
      <w:divBdr>
        <w:top w:val="none" w:sz="0" w:space="0" w:color="auto"/>
        <w:left w:val="none" w:sz="0" w:space="0" w:color="auto"/>
        <w:bottom w:val="none" w:sz="0" w:space="0" w:color="auto"/>
        <w:right w:val="none" w:sz="0" w:space="0" w:color="auto"/>
      </w:divBdr>
    </w:div>
    <w:div w:id="883979568">
      <w:bodyDiv w:val="1"/>
      <w:marLeft w:val="0"/>
      <w:marRight w:val="0"/>
      <w:marTop w:val="0"/>
      <w:marBottom w:val="0"/>
      <w:divBdr>
        <w:top w:val="none" w:sz="0" w:space="0" w:color="auto"/>
        <w:left w:val="none" w:sz="0" w:space="0" w:color="auto"/>
        <w:bottom w:val="none" w:sz="0" w:space="0" w:color="auto"/>
        <w:right w:val="none" w:sz="0" w:space="0" w:color="auto"/>
      </w:divBdr>
    </w:div>
    <w:div w:id="884175415">
      <w:bodyDiv w:val="1"/>
      <w:marLeft w:val="0"/>
      <w:marRight w:val="0"/>
      <w:marTop w:val="0"/>
      <w:marBottom w:val="0"/>
      <w:divBdr>
        <w:top w:val="none" w:sz="0" w:space="0" w:color="auto"/>
        <w:left w:val="none" w:sz="0" w:space="0" w:color="auto"/>
        <w:bottom w:val="none" w:sz="0" w:space="0" w:color="auto"/>
        <w:right w:val="none" w:sz="0" w:space="0" w:color="auto"/>
      </w:divBdr>
    </w:div>
    <w:div w:id="884291954">
      <w:bodyDiv w:val="1"/>
      <w:marLeft w:val="0"/>
      <w:marRight w:val="0"/>
      <w:marTop w:val="0"/>
      <w:marBottom w:val="0"/>
      <w:divBdr>
        <w:top w:val="none" w:sz="0" w:space="0" w:color="auto"/>
        <w:left w:val="none" w:sz="0" w:space="0" w:color="auto"/>
        <w:bottom w:val="none" w:sz="0" w:space="0" w:color="auto"/>
        <w:right w:val="none" w:sz="0" w:space="0" w:color="auto"/>
      </w:divBdr>
    </w:div>
    <w:div w:id="884440057">
      <w:bodyDiv w:val="1"/>
      <w:marLeft w:val="0"/>
      <w:marRight w:val="0"/>
      <w:marTop w:val="0"/>
      <w:marBottom w:val="0"/>
      <w:divBdr>
        <w:top w:val="none" w:sz="0" w:space="0" w:color="auto"/>
        <w:left w:val="none" w:sz="0" w:space="0" w:color="auto"/>
        <w:bottom w:val="none" w:sz="0" w:space="0" w:color="auto"/>
        <w:right w:val="none" w:sz="0" w:space="0" w:color="auto"/>
      </w:divBdr>
    </w:div>
    <w:div w:id="884484902">
      <w:bodyDiv w:val="1"/>
      <w:marLeft w:val="0"/>
      <w:marRight w:val="0"/>
      <w:marTop w:val="0"/>
      <w:marBottom w:val="0"/>
      <w:divBdr>
        <w:top w:val="none" w:sz="0" w:space="0" w:color="auto"/>
        <w:left w:val="none" w:sz="0" w:space="0" w:color="auto"/>
        <w:bottom w:val="none" w:sz="0" w:space="0" w:color="auto"/>
        <w:right w:val="none" w:sz="0" w:space="0" w:color="auto"/>
      </w:divBdr>
    </w:div>
    <w:div w:id="884609003">
      <w:bodyDiv w:val="1"/>
      <w:marLeft w:val="0"/>
      <w:marRight w:val="0"/>
      <w:marTop w:val="0"/>
      <w:marBottom w:val="0"/>
      <w:divBdr>
        <w:top w:val="none" w:sz="0" w:space="0" w:color="auto"/>
        <w:left w:val="none" w:sz="0" w:space="0" w:color="auto"/>
        <w:bottom w:val="none" w:sz="0" w:space="0" w:color="auto"/>
        <w:right w:val="none" w:sz="0" w:space="0" w:color="auto"/>
      </w:divBdr>
    </w:div>
    <w:div w:id="884635238">
      <w:bodyDiv w:val="1"/>
      <w:marLeft w:val="0"/>
      <w:marRight w:val="0"/>
      <w:marTop w:val="0"/>
      <w:marBottom w:val="0"/>
      <w:divBdr>
        <w:top w:val="none" w:sz="0" w:space="0" w:color="auto"/>
        <w:left w:val="none" w:sz="0" w:space="0" w:color="auto"/>
        <w:bottom w:val="none" w:sz="0" w:space="0" w:color="auto"/>
        <w:right w:val="none" w:sz="0" w:space="0" w:color="auto"/>
      </w:divBdr>
    </w:div>
    <w:div w:id="884684365">
      <w:bodyDiv w:val="1"/>
      <w:marLeft w:val="0"/>
      <w:marRight w:val="0"/>
      <w:marTop w:val="0"/>
      <w:marBottom w:val="0"/>
      <w:divBdr>
        <w:top w:val="none" w:sz="0" w:space="0" w:color="auto"/>
        <w:left w:val="none" w:sz="0" w:space="0" w:color="auto"/>
        <w:bottom w:val="none" w:sz="0" w:space="0" w:color="auto"/>
        <w:right w:val="none" w:sz="0" w:space="0" w:color="auto"/>
      </w:divBdr>
    </w:div>
    <w:div w:id="884760159">
      <w:bodyDiv w:val="1"/>
      <w:marLeft w:val="0"/>
      <w:marRight w:val="0"/>
      <w:marTop w:val="0"/>
      <w:marBottom w:val="0"/>
      <w:divBdr>
        <w:top w:val="none" w:sz="0" w:space="0" w:color="auto"/>
        <w:left w:val="none" w:sz="0" w:space="0" w:color="auto"/>
        <w:bottom w:val="none" w:sz="0" w:space="0" w:color="auto"/>
        <w:right w:val="none" w:sz="0" w:space="0" w:color="auto"/>
      </w:divBdr>
    </w:div>
    <w:div w:id="884802057">
      <w:bodyDiv w:val="1"/>
      <w:marLeft w:val="0"/>
      <w:marRight w:val="0"/>
      <w:marTop w:val="0"/>
      <w:marBottom w:val="0"/>
      <w:divBdr>
        <w:top w:val="none" w:sz="0" w:space="0" w:color="auto"/>
        <w:left w:val="none" w:sz="0" w:space="0" w:color="auto"/>
        <w:bottom w:val="none" w:sz="0" w:space="0" w:color="auto"/>
        <w:right w:val="none" w:sz="0" w:space="0" w:color="auto"/>
      </w:divBdr>
    </w:div>
    <w:div w:id="884953958">
      <w:bodyDiv w:val="1"/>
      <w:marLeft w:val="0"/>
      <w:marRight w:val="0"/>
      <w:marTop w:val="0"/>
      <w:marBottom w:val="0"/>
      <w:divBdr>
        <w:top w:val="none" w:sz="0" w:space="0" w:color="auto"/>
        <w:left w:val="none" w:sz="0" w:space="0" w:color="auto"/>
        <w:bottom w:val="none" w:sz="0" w:space="0" w:color="auto"/>
        <w:right w:val="none" w:sz="0" w:space="0" w:color="auto"/>
      </w:divBdr>
    </w:div>
    <w:div w:id="885025937">
      <w:bodyDiv w:val="1"/>
      <w:marLeft w:val="0"/>
      <w:marRight w:val="0"/>
      <w:marTop w:val="0"/>
      <w:marBottom w:val="0"/>
      <w:divBdr>
        <w:top w:val="none" w:sz="0" w:space="0" w:color="auto"/>
        <w:left w:val="none" w:sz="0" w:space="0" w:color="auto"/>
        <w:bottom w:val="none" w:sz="0" w:space="0" w:color="auto"/>
        <w:right w:val="none" w:sz="0" w:space="0" w:color="auto"/>
      </w:divBdr>
    </w:div>
    <w:div w:id="885139381">
      <w:bodyDiv w:val="1"/>
      <w:marLeft w:val="0"/>
      <w:marRight w:val="0"/>
      <w:marTop w:val="0"/>
      <w:marBottom w:val="0"/>
      <w:divBdr>
        <w:top w:val="none" w:sz="0" w:space="0" w:color="auto"/>
        <w:left w:val="none" w:sz="0" w:space="0" w:color="auto"/>
        <w:bottom w:val="none" w:sz="0" w:space="0" w:color="auto"/>
        <w:right w:val="none" w:sz="0" w:space="0" w:color="auto"/>
      </w:divBdr>
    </w:div>
    <w:div w:id="885216503">
      <w:bodyDiv w:val="1"/>
      <w:marLeft w:val="0"/>
      <w:marRight w:val="0"/>
      <w:marTop w:val="0"/>
      <w:marBottom w:val="0"/>
      <w:divBdr>
        <w:top w:val="none" w:sz="0" w:space="0" w:color="auto"/>
        <w:left w:val="none" w:sz="0" w:space="0" w:color="auto"/>
        <w:bottom w:val="none" w:sz="0" w:space="0" w:color="auto"/>
        <w:right w:val="none" w:sz="0" w:space="0" w:color="auto"/>
      </w:divBdr>
    </w:div>
    <w:div w:id="885487861">
      <w:bodyDiv w:val="1"/>
      <w:marLeft w:val="0"/>
      <w:marRight w:val="0"/>
      <w:marTop w:val="0"/>
      <w:marBottom w:val="0"/>
      <w:divBdr>
        <w:top w:val="none" w:sz="0" w:space="0" w:color="auto"/>
        <w:left w:val="none" w:sz="0" w:space="0" w:color="auto"/>
        <w:bottom w:val="none" w:sz="0" w:space="0" w:color="auto"/>
        <w:right w:val="none" w:sz="0" w:space="0" w:color="auto"/>
      </w:divBdr>
    </w:div>
    <w:div w:id="885534153">
      <w:bodyDiv w:val="1"/>
      <w:marLeft w:val="0"/>
      <w:marRight w:val="0"/>
      <w:marTop w:val="0"/>
      <w:marBottom w:val="0"/>
      <w:divBdr>
        <w:top w:val="none" w:sz="0" w:space="0" w:color="auto"/>
        <w:left w:val="none" w:sz="0" w:space="0" w:color="auto"/>
        <w:bottom w:val="none" w:sz="0" w:space="0" w:color="auto"/>
        <w:right w:val="none" w:sz="0" w:space="0" w:color="auto"/>
      </w:divBdr>
    </w:div>
    <w:div w:id="885607434">
      <w:bodyDiv w:val="1"/>
      <w:marLeft w:val="0"/>
      <w:marRight w:val="0"/>
      <w:marTop w:val="0"/>
      <w:marBottom w:val="0"/>
      <w:divBdr>
        <w:top w:val="none" w:sz="0" w:space="0" w:color="auto"/>
        <w:left w:val="none" w:sz="0" w:space="0" w:color="auto"/>
        <w:bottom w:val="none" w:sz="0" w:space="0" w:color="auto"/>
        <w:right w:val="none" w:sz="0" w:space="0" w:color="auto"/>
      </w:divBdr>
    </w:div>
    <w:div w:id="885725729">
      <w:bodyDiv w:val="1"/>
      <w:marLeft w:val="0"/>
      <w:marRight w:val="0"/>
      <w:marTop w:val="0"/>
      <w:marBottom w:val="0"/>
      <w:divBdr>
        <w:top w:val="none" w:sz="0" w:space="0" w:color="auto"/>
        <w:left w:val="none" w:sz="0" w:space="0" w:color="auto"/>
        <w:bottom w:val="none" w:sz="0" w:space="0" w:color="auto"/>
        <w:right w:val="none" w:sz="0" w:space="0" w:color="auto"/>
      </w:divBdr>
    </w:div>
    <w:div w:id="885878103">
      <w:bodyDiv w:val="1"/>
      <w:marLeft w:val="0"/>
      <w:marRight w:val="0"/>
      <w:marTop w:val="0"/>
      <w:marBottom w:val="0"/>
      <w:divBdr>
        <w:top w:val="none" w:sz="0" w:space="0" w:color="auto"/>
        <w:left w:val="none" w:sz="0" w:space="0" w:color="auto"/>
        <w:bottom w:val="none" w:sz="0" w:space="0" w:color="auto"/>
        <w:right w:val="none" w:sz="0" w:space="0" w:color="auto"/>
      </w:divBdr>
    </w:div>
    <w:div w:id="885992035">
      <w:bodyDiv w:val="1"/>
      <w:marLeft w:val="0"/>
      <w:marRight w:val="0"/>
      <w:marTop w:val="0"/>
      <w:marBottom w:val="0"/>
      <w:divBdr>
        <w:top w:val="none" w:sz="0" w:space="0" w:color="auto"/>
        <w:left w:val="none" w:sz="0" w:space="0" w:color="auto"/>
        <w:bottom w:val="none" w:sz="0" w:space="0" w:color="auto"/>
        <w:right w:val="none" w:sz="0" w:space="0" w:color="auto"/>
      </w:divBdr>
    </w:div>
    <w:div w:id="886259913">
      <w:bodyDiv w:val="1"/>
      <w:marLeft w:val="0"/>
      <w:marRight w:val="0"/>
      <w:marTop w:val="0"/>
      <w:marBottom w:val="0"/>
      <w:divBdr>
        <w:top w:val="none" w:sz="0" w:space="0" w:color="auto"/>
        <w:left w:val="none" w:sz="0" w:space="0" w:color="auto"/>
        <w:bottom w:val="none" w:sz="0" w:space="0" w:color="auto"/>
        <w:right w:val="none" w:sz="0" w:space="0" w:color="auto"/>
      </w:divBdr>
    </w:div>
    <w:div w:id="886452092">
      <w:bodyDiv w:val="1"/>
      <w:marLeft w:val="0"/>
      <w:marRight w:val="0"/>
      <w:marTop w:val="0"/>
      <w:marBottom w:val="0"/>
      <w:divBdr>
        <w:top w:val="none" w:sz="0" w:space="0" w:color="auto"/>
        <w:left w:val="none" w:sz="0" w:space="0" w:color="auto"/>
        <w:bottom w:val="none" w:sz="0" w:space="0" w:color="auto"/>
        <w:right w:val="none" w:sz="0" w:space="0" w:color="auto"/>
      </w:divBdr>
    </w:div>
    <w:div w:id="88645808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6574878">
      <w:bodyDiv w:val="1"/>
      <w:marLeft w:val="0"/>
      <w:marRight w:val="0"/>
      <w:marTop w:val="0"/>
      <w:marBottom w:val="0"/>
      <w:divBdr>
        <w:top w:val="none" w:sz="0" w:space="0" w:color="auto"/>
        <w:left w:val="none" w:sz="0" w:space="0" w:color="auto"/>
        <w:bottom w:val="none" w:sz="0" w:space="0" w:color="auto"/>
        <w:right w:val="none" w:sz="0" w:space="0" w:color="auto"/>
      </w:divBdr>
    </w:div>
    <w:div w:id="886649369">
      <w:bodyDiv w:val="1"/>
      <w:marLeft w:val="0"/>
      <w:marRight w:val="0"/>
      <w:marTop w:val="0"/>
      <w:marBottom w:val="0"/>
      <w:divBdr>
        <w:top w:val="none" w:sz="0" w:space="0" w:color="auto"/>
        <w:left w:val="none" w:sz="0" w:space="0" w:color="auto"/>
        <w:bottom w:val="none" w:sz="0" w:space="0" w:color="auto"/>
        <w:right w:val="none" w:sz="0" w:space="0" w:color="auto"/>
      </w:divBdr>
    </w:div>
    <w:div w:id="886650739">
      <w:bodyDiv w:val="1"/>
      <w:marLeft w:val="0"/>
      <w:marRight w:val="0"/>
      <w:marTop w:val="0"/>
      <w:marBottom w:val="0"/>
      <w:divBdr>
        <w:top w:val="none" w:sz="0" w:space="0" w:color="auto"/>
        <w:left w:val="none" w:sz="0" w:space="0" w:color="auto"/>
        <w:bottom w:val="none" w:sz="0" w:space="0" w:color="auto"/>
        <w:right w:val="none" w:sz="0" w:space="0" w:color="auto"/>
      </w:divBdr>
    </w:div>
    <w:div w:id="886718630">
      <w:bodyDiv w:val="1"/>
      <w:marLeft w:val="0"/>
      <w:marRight w:val="0"/>
      <w:marTop w:val="0"/>
      <w:marBottom w:val="0"/>
      <w:divBdr>
        <w:top w:val="none" w:sz="0" w:space="0" w:color="auto"/>
        <w:left w:val="none" w:sz="0" w:space="0" w:color="auto"/>
        <w:bottom w:val="none" w:sz="0" w:space="0" w:color="auto"/>
        <w:right w:val="none" w:sz="0" w:space="0" w:color="auto"/>
      </w:divBdr>
    </w:div>
    <w:div w:id="886796821">
      <w:bodyDiv w:val="1"/>
      <w:marLeft w:val="0"/>
      <w:marRight w:val="0"/>
      <w:marTop w:val="0"/>
      <w:marBottom w:val="0"/>
      <w:divBdr>
        <w:top w:val="none" w:sz="0" w:space="0" w:color="auto"/>
        <w:left w:val="none" w:sz="0" w:space="0" w:color="auto"/>
        <w:bottom w:val="none" w:sz="0" w:space="0" w:color="auto"/>
        <w:right w:val="none" w:sz="0" w:space="0" w:color="auto"/>
      </w:divBdr>
    </w:div>
    <w:div w:id="887036474">
      <w:bodyDiv w:val="1"/>
      <w:marLeft w:val="0"/>
      <w:marRight w:val="0"/>
      <w:marTop w:val="0"/>
      <w:marBottom w:val="0"/>
      <w:divBdr>
        <w:top w:val="none" w:sz="0" w:space="0" w:color="auto"/>
        <w:left w:val="none" w:sz="0" w:space="0" w:color="auto"/>
        <w:bottom w:val="none" w:sz="0" w:space="0" w:color="auto"/>
        <w:right w:val="none" w:sz="0" w:space="0" w:color="auto"/>
      </w:divBdr>
    </w:div>
    <w:div w:id="887036531">
      <w:bodyDiv w:val="1"/>
      <w:marLeft w:val="0"/>
      <w:marRight w:val="0"/>
      <w:marTop w:val="0"/>
      <w:marBottom w:val="0"/>
      <w:divBdr>
        <w:top w:val="none" w:sz="0" w:space="0" w:color="auto"/>
        <w:left w:val="none" w:sz="0" w:space="0" w:color="auto"/>
        <w:bottom w:val="none" w:sz="0" w:space="0" w:color="auto"/>
        <w:right w:val="none" w:sz="0" w:space="0" w:color="auto"/>
      </w:divBdr>
    </w:div>
    <w:div w:id="887105366">
      <w:bodyDiv w:val="1"/>
      <w:marLeft w:val="0"/>
      <w:marRight w:val="0"/>
      <w:marTop w:val="0"/>
      <w:marBottom w:val="0"/>
      <w:divBdr>
        <w:top w:val="none" w:sz="0" w:space="0" w:color="auto"/>
        <w:left w:val="none" w:sz="0" w:space="0" w:color="auto"/>
        <w:bottom w:val="none" w:sz="0" w:space="0" w:color="auto"/>
        <w:right w:val="none" w:sz="0" w:space="0" w:color="auto"/>
      </w:divBdr>
    </w:div>
    <w:div w:id="887183006">
      <w:bodyDiv w:val="1"/>
      <w:marLeft w:val="0"/>
      <w:marRight w:val="0"/>
      <w:marTop w:val="0"/>
      <w:marBottom w:val="0"/>
      <w:divBdr>
        <w:top w:val="none" w:sz="0" w:space="0" w:color="auto"/>
        <w:left w:val="none" w:sz="0" w:space="0" w:color="auto"/>
        <w:bottom w:val="none" w:sz="0" w:space="0" w:color="auto"/>
        <w:right w:val="none" w:sz="0" w:space="0" w:color="auto"/>
      </w:divBdr>
    </w:div>
    <w:div w:id="887188589">
      <w:bodyDiv w:val="1"/>
      <w:marLeft w:val="0"/>
      <w:marRight w:val="0"/>
      <w:marTop w:val="0"/>
      <w:marBottom w:val="0"/>
      <w:divBdr>
        <w:top w:val="none" w:sz="0" w:space="0" w:color="auto"/>
        <w:left w:val="none" w:sz="0" w:space="0" w:color="auto"/>
        <w:bottom w:val="none" w:sz="0" w:space="0" w:color="auto"/>
        <w:right w:val="none" w:sz="0" w:space="0" w:color="auto"/>
      </w:divBdr>
    </w:div>
    <w:div w:id="887296964">
      <w:bodyDiv w:val="1"/>
      <w:marLeft w:val="0"/>
      <w:marRight w:val="0"/>
      <w:marTop w:val="0"/>
      <w:marBottom w:val="0"/>
      <w:divBdr>
        <w:top w:val="none" w:sz="0" w:space="0" w:color="auto"/>
        <w:left w:val="none" w:sz="0" w:space="0" w:color="auto"/>
        <w:bottom w:val="none" w:sz="0" w:space="0" w:color="auto"/>
        <w:right w:val="none" w:sz="0" w:space="0" w:color="auto"/>
      </w:divBdr>
    </w:div>
    <w:div w:id="887496552">
      <w:bodyDiv w:val="1"/>
      <w:marLeft w:val="0"/>
      <w:marRight w:val="0"/>
      <w:marTop w:val="0"/>
      <w:marBottom w:val="0"/>
      <w:divBdr>
        <w:top w:val="none" w:sz="0" w:space="0" w:color="auto"/>
        <w:left w:val="none" w:sz="0" w:space="0" w:color="auto"/>
        <w:bottom w:val="none" w:sz="0" w:space="0" w:color="auto"/>
        <w:right w:val="none" w:sz="0" w:space="0" w:color="auto"/>
      </w:divBdr>
    </w:div>
    <w:div w:id="887571051">
      <w:bodyDiv w:val="1"/>
      <w:marLeft w:val="0"/>
      <w:marRight w:val="0"/>
      <w:marTop w:val="0"/>
      <w:marBottom w:val="0"/>
      <w:divBdr>
        <w:top w:val="none" w:sz="0" w:space="0" w:color="auto"/>
        <w:left w:val="none" w:sz="0" w:space="0" w:color="auto"/>
        <w:bottom w:val="none" w:sz="0" w:space="0" w:color="auto"/>
        <w:right w:val="none" w:sz="0" w:space="0" w:color="auto"/>
      </w:divBdr>
    </w:div>
    <w:div w:id="887643559">
      <w:bodyDiv w:val="1"/>
      <w:marLeft w:val="0"/>
      <w:marRight w:val="0"/>
      <w:marTop w:val="0"/>
      <w:marBottom w:val="0"/>
      <w:divBdr>
        <w:top w:val="none" w:sz="0" w:space="0" w:color="auto"/>
        <w:left w:val="none" w:sz="0" w:space="0" w:color="auto"/>
        <w:bottom w:val="none" w:sz="0" w:space="0" w:color="auto"/>
        <w:right w:val="none" w:sz="0" w:space="0" w:color="auto"/>
      </w:divBdr>
    </w:div>
    <w:div w:id="887758984">
      <w:bodyDiv w:val="1"/>
      <w:marLeft w:val="0"/>
      <w:marRight w:val="0"/>
      <w:marTop w:val="0"/>
      <w:marBottom w:val="0"/>
      <w:divBdr>
        <w:top w:val="none" w:sz="0" w:space="0" w:color="auto"/>
        <w:left w:val="none" w:sz="0" w:space="0" w:color="auto"/>
        <w:bottom w:val="none" w:sz="0" w:space="0" w:color="auto"/>
        <w:right w:val="none" w:sz="0" w:space="0" w:color="auto"/>
      </w:divBdr>
    </w:div>
    <w:div w:id="887843129">
      <w:bodyDiv w:val="1"/>
      <w:marLeft w:val="0"/>
      <w:marRight w:val="0"/>
      <w:marTop w:val="0"/>
      <w:marBottom w:val="0"/>
      <w:divBdr>
        <w:top w:val="none" w:sz="0" w:space="0" w:color="auto"/>
        <w:left w:val="none" w:sz="0" w:space="0" w:color="auto"/>
        <w:bottom w:val="none" w:sz="0" w:space="0" w:color="auto"/>
        <w:right w:val="none" w:sz="0" w:space="0" w:color="auto"/>
      </w:divBdr>
    </w:div>
    <w:div w:id="887843462">
      <w:bodyDiv w:val="1"/>
      <w:marLeft w:val="0"/>
      <w:marRight w:val="0"/>
      <w:marTop w:val="0"/>
      <w:marBottom w:val="0"/>
      <w:divBdr>
        <w:top w:val="none" w:sz="0" w:space="0" w:color="auto"/>
        <w:left w:val="none" w:sz="0" w:space="0" w:color="auto"/>
        <w:bottom w:val="none" w:sz="0" w:space="0" w:color="auto"/>
        <w:right w:val="none" w:sz="0" w:space="0" w:color="auto"/>
      </w:divBdr>
    </w:div>
    <w:div w:id="887913751">
      <w:bodyDiv w:val="1"/>
      <w:marLeft w:val="0"/>
      <w:marRight w:val="0"/>
      <w:marTop w:val="0"/>
      <w:marBottom w:val="0"/>
      <w:divBdr>
        <w:top w:val="none" w:sz="0" w:space="0" w:color="auto"/>
        <w:left w:val="none" w:sz="0" w:space="0" w:color="auto"/>
        <w:bottom w:val="none" w:sz="0" w:space="0" w:color="auto"/>
        <w:right w:val="none" w:sz="0" w:space="0" w:color="auto"/>
      </w:divBdr>
    </w:div>
    <w:div w:id="888034072">
      <w:bodyDiv w:val="1"/>
      <w:marLeft w:val="0"/>
      <w:marRight w:val="0"/>
      <w:marTop w:val="0"/>
      <w:marBottom w:val="0"/>
      <w:divBdr>
        <w:top w:val="none" w:sz="0" w:space="0" w:color="auto"/>
        <w:left w:val="none" w:sz="0" w:space="0" w:color="auto"/>
        <w:bottom w:val="none" w:sz="0" w:space="0" w:color="auto"/>
        <w:right w:val="none" w:sz="0" w:space="0" w:color="auto"/>
      </w:divBdr>
    </w:div>
    <w:div w:id="888034933">
      <w:bodyDiv w:val="1"/>
      <w:marLeft w:val="0"/>
      <w:marRight w:val="0"/>
      <w:marTop w:val="0"/>
      <w:marBottom w:val="0"/>
      <w:divBdr>
        <w:top w:val="none" w:sz="0" w:space="0" w:color="auto"/>
        <w:left w:val="none" w:sz="0" w:space="0" w:color="auto"/>
        <w:bottom w:val="none" w:sz="0" w:space="0" w:color="auto"/>
        <w:right w:val="none" w:sz="0" w:space="0" w:color="auto"/>
      </w:divBdr>
    </w:div>
    <w:div w:id="888146206">
      <w:bodyDiv w:val="1"/>
      <w:marLeft w:val="0"/>
      <w:marRight w:val="0"/>
      <w:marTop w:val="0"/>
      <w:marBottom w:val="0"/>
      <w:divBdr>
        <w:top w:val="none" w:sz="0" w:space="0" w:color="auto"/>
        <w:left w:val="none" w:sz="0" w:space="0" w:color="auto"/>
        <w:bottom w:val="none" w:sz="0" w:space="0" w:color="auto"/>
        <w:right w:val="none" w:sz="0" w:space="0" w:color="auto"/>
      </w:divBdr>
    </w:div>
    <w:div w:id="888300037">
      <w:bodyDiv w:val="1"/>
      <w:marLeft w:val="0"/>
      <w:marRight w:val="0"/>
      <w:marTop w:val="0"/>
      <w:marBottom w:val="0"/>
      <w:divBdr>
        <w:top w:val="none" w:sz="0" w:space="0" w:color="auto"/>
        <w:left w:val="none" w:sz="0" w:space="0" w:color="auto"/>
        <w:bottom w:val="none" w:sz="0" w:space="0" w:color="auto"/>
        <w:right w:val="none" w:sz="0" w:space="0" w:color="auto"/>
      </w:divBdr>
    </w:div>
    <w:div w:id="888372839">
      <w:bodyDiv w:val="1"/>
      <w:marLeft w:val="0"/>
      <w:marRight w:val="0"/>
      <w:marTop w:val="0"/>
      <w:marBottom w:val="0"/>
      <w:divBdr>
        <w:top w:val="none" w:sz="0" w:space="0" w:color="auto"/>
        <w:left w:val="none" w:sz="0" w:space="0" w:color="auto"/>
        <w:bottom w:val="none" w:sz="0" w:space="0" w:color="auto"/>
        <w:right w:val="none" w:sz="0" w:space="0" w:color="auto"/>
      </w:divBdr>
    </w:div>
    <w:div w:id="888489519">
      <w:bodyDiv w:val="1"/>
      <w:marLeft w:val="0"/>
      <w:marRight w:val="0"/>
      <w:marTop w:val="0"/>
      <w:marBottom w:val="0"/>
      <w:divBdr>
        <w:top w:val="none" w:sz="0" w:space="0" w:color="auto"/>
        <w:left w:val="none" w:sz="0" w:space="0" w:color="auto"/>
        <w:bottom w:val="none" w:sz="0" w:space="0" w:color="auto"/>
        <w:right w:val="none" w:sz="0" w:space="0" w:color="auto"/>
      </w:divBdr>
    </w:div>
    <w:div w:id="888613722">
      <w:bodyDiv w:val="1"/>
      <w:marLeft w:val="0"/>
      <w:marRight w:val="0"/>
      <w:marTop w:val="0"/>
      <w:marBottom w:val="0"/>
      <w:divBdr>
        <w:top w:val="none" w:sz="0" w:space="0" w:color="auto"/>
        <w:left w:val="none" w:sz="0" w:space="0" w:color="auto"/>
        <w:bottom w:val="none" w:sz="0" w:space="0" w:color="auto"/>
        <w:right w:val="none" w:sz="0" w:space="0" w:color="auto"/>
      </w:divBdr>
    </w:div>
    <w:div w:id="888691801">
      <w:bodyDiv w:val="1"/>
      <w:marLeft w:val="0"/>
      <w:marRight w:val="0"/>
      <w:marTop w:val="0"/>
      <w:marBottom w:val="0"/>
      <w:divBdr>
        <w:top w:val="none" w:sz="0" w:space="0" w:color="auto"/>
        <w:left w:val="none" w:sz="0" w:space="0" w:color="auto"/>
        <w:bottom w:val="none" w:sz="0" w:space="0" w:color="auto"/>
        <w:right w:val="none" w:sz="0" w:space="0" w:color="auto"/>
      </w:divBdr>
    </w:div>
    <w:div w:id="888761638">
      <w:bodyDiv w:val="1"/>
      <w:marLeft w:val="0"/>
      <w:marRight w:val="0"/>
      <w:marTop w:val="0"/>
      <w:marBottom w:val="0"/>
      <w:divBdr>
        <w:top w:val="none" w:sz="0" w:space="0" w:color="auto"/>
        <w:left w:val="none" w:sz="0" w:space="0" w:color="auto"/>
        <w:bottom w:val="none" w:sz="0" w:space="0" w:color="auto"/>
        <w:right w:val="none" w:sz="0" w:space="0" w:color="auto"/>
      </w:divBdr>
    </w:div>
    <w:div w:id="888879024">
      <w:bodyDiv w:val="1"/>
      <w:marLeft w:val="0"/>
      <w:marRight w:val="0"/>
      <w:marTop w:val="0"/>
      <w:marBottom w:val="0"/>
      <w:divBdr>
        <w:top w:val="none" w:sz="0" w:space="0" w:color="auto"/>
        <w:left w:val="none" w:sz="0" w:space="0" w:color="auto"/>
        <w:bottom w:val="none" w:sz="0" w:space="0" w:color="auto"/>
        <w:right w:val="none" w:sz="0" w:space="0" w:color="auto"/>
      </w:divBdr>
    </w:div>
    <w:div w:id="888959686">
      <w:bodyDiv w:val="1"/>
      <w:marLeft w:val="0"/>
      <w:marRight w:val="0"/>
      <w:marTop w:val="0"/>
      <w:marBottom w:val="0"/>
      <w:divBdr>
        <w:top w:val="none" w:sz="0" w:space="0" w:color="auto"/>
        <w:left w:val="none" w:sz="0" w:space="0" w:color="auto"/>
        <w:bottom w:val="none" w:sz="0" w:space="0" w:color="auto"/>
        <w:right w:val="none" w:sz="0" w:space="0" w:color="auto"/>
      </w:divBdr>
    </w:div>
    <w:div w:id="889001143">
      <w:bodyDiv w:val="1"/>
      <w:marLeft w:val="0"/>
      <w:marRight w:val="0"/>
      <w:marTop w:val="0"/>
      <w:marBottom w:val="0"/>
      <w:divBdr>
        <w:top w:val="none" w:sz="0" w:space="0" w:color="auto"/>
        <w:left w:val="none" w:sz="0" w:space="0" w:color="auto"/>
        <w:bottom w:val="none" w:sz="0" w:space="0" w:color="auto"/>
        <w:right w:val="none" w:sz="0" w:space="0" w:color="auto"/>
      </w:divBdr>
    </w:div>
    <w:div w:id="889026980">
      <w:bodyDiv w:val="1"/>
      <w:marLeft w:val="0"/>
      <w:marRight w:val="0"/>
      <w:marTop w:val="0"/>
      <w:marBottom w:val="0"/>
      <w:divBdr>
        <w:top w:val="none" w:sz="0" w:space="0" w:color="auto"/>
        <w:left w:val="none" w:sz="0" w:space="0" w:color="auto"/>
        <w:bottom w:val="none" w:sz="0" w:space="0" w:color="auto"/>
        <w:right w:val="none" w:sz="0" w:space="0" w:color="auto"/>
      </w:divBdr>
    </w:div>
    <w:div w:id="889146880">
      <w:bodyDiv w:val="1"/>
      <w:marLeft w:val="0"/>
      <w:marRight w:val="0"/>
      <w:marTop w:val="0"/>
      <w:marBottom w:val="0"/>
      <w:divBdr>
        <w:top w:val="none" w:sz="0" w:space="0" w:color="auto"/>
        <w:left w:val="none" w:sz="0" w:space="0" w:color="auto"/>
        <w:bottom w:val="none" w:sz="0" w:space="0" w:color="auto"/>
        <w:right w:val="none" w:sz="0" w:space="0" w:color="auto"/>
      </w:divBdr>
    </w:div>
    <w:div w:id="889195705">
      <w:bodyDiv w:val="1"/>
      <w:marLeft w:val="0"/>
      <w:marRight w:val="0"/>
      <w:marTop w:val="0"/>
      <w:marBottom w:val="0"/>
      <w:divBdr>
        <w:top w:val="none" w:sz="0" w:space="0" w:color="auto"/>
        <w:left w:val="none" w:sz="0" w:space="0" w:color="auto"/>
        <w:bottom w:val="none" w:sz="0" w:space="0" w:color="auto"/>
        <w:right w:val="none" w:sz="0" w:space="0" w:color="auto"/>
      </w:divBdr>
    </w:div>
    <w:div w:id="889390199">
      <w:bodyDiv w:val="1"/>
      <w:marLeft w:val="0"/>
      <w:marRight w:val="0"/>
      <w:marTop w:val="0"/>
      <w:marBottom w:val="0"/>
      <w:divBdr>
        <w:top w:val="none" w:sz="0" w:space="0" w:color="auto"/>
        <w:left w:val="none" w:sz="0" w:space="0" w:color="auto"/>
        <w:bottom w:val="none" w:sz="0" w:space="0" w:color="auto"/>
        <w:right w:val="none" w:sz="0" w:space="0" w:color="auto"/>
      </w:divBdr>
    </w:div>
    <w:div w:id="889414805">
      <w:bodyDiv w:val="1"/>
      <w:marLeft w:val="0"/>
      <w:marRight w:val="0"/>
      <w:marTop w:val="0"/>
      <w:marBottom w:val="0"/>
      <w:divBdr>
        <w:top w:val="none" w:sz="0" w:space="0" w:color="auto"/>
        <w:left w:val="none" w:sz="0" w:space="0" w:color="auto"/>
        <w:bottom w:val="none" w:sz="0" w:space="0" w:color="auto"/>
        <w:right w:val="none" w:sz="0" w:space="0" w:color="auto"/>
      </w:divBdr>
    </w:div>
    <w:div w:id="889417484">
      <w:bodyDiv w:val="1"/>
      <w:marLeft w:val="0"/>
      <w:marRight w:val="0"/>
      <w:marTop w:val="0"/>
      <w:marBottom w:val="0"/>
      <w:divBdr>
        <w:top w:val="none" w:sz="0" w:space="0" w:color="auto"/>
        <w:left w:val="none" w:sz="0" w:space="0" w:color="auto"/>
        <w:bottom w:val="none" w:sz="0" w:space="0" w:color="auto"/>
        <w:right w:val="none" w:sz="0" w:space="0" w:color="auto"/>
      </w:divBdr>
    </w:div>
    <w:div w:id="889461150">
      <w:bodyDiv w:val="1"/>
      <w:marLeft w:val="0"/>
      <w:marRight w:val="0"/>
      <w:marTop w:val="0"/>
      <w:marBottom w:val="0"/>
      <w:divBdr>
        <w:top w:val="none" w:sz="0" w:space="0" w:color="auto"/>
        <w:left w:val="none" w:sz="0" w:space="0" w:color="auto"/>
        <w:bottom w:val="none" w:sz="0" w:space="0" w:color="auto"/>
        <w:right w:val="none" w:sz="0" w:space="0" w:color="auto"/>
      </w:divBdr>
    </w:div>
    <w:div w:id="889727546">
      <w:bodyDiv w:val="1"/>
      <w:marLeft w:val="0"/>
      <w:marRight w:val="0"/>
      <w:marTop w:val="0"/>
      <w:marBottom w:val="0"/>
      <w:divBdr>
        <w:top w:val="none" w:sz="0" w:space="0" w:color="auto"/>
        <w:left w:val="none" w:sz="0" w:space="0" w:color="auto"/>
        <w:bottom w:val="none" w:sz="0" w:space="0" w:color="auto"/>
        <w:right w:val="none" w:sz="0" w:space="0" w:color="auto"/>
      </w:divBdr>
    </w:div>
    <w:div w:id="889808286">
      <w:bodyDiv w:val="1"/>
      <w:marLeft w:val="0"/>
      <w:marRight w:val="0"/>
      <w:marTop w:val="0"/>
      <w:marBottom w:val="0"/>
      <w:divBdr>
        <w:top w:val="none" w:sz="0" w:space="0" w:color="auto"/>
        <w:left w:val="none" w:sz="0" w:space="0" w:color="auto"/>
        <w:bottom w:val="none" w:sz="0" w:space="0" w:color="auto"/>
        <w:right w:val="none" w:sz="0" w:space="0" w:color="auto"/>
      </w:divBdr>
    </w:div>
    <w:div w:id="889849419">
      <w:bodyDiv w:val="1"/>
      <w:marLeft w:val="0"/>
      <w:marRight w:val="0"/>
      <w:marTop w:val="0"/>
      <w:marBottom w:val="0"/>
      <w:divBdr>
        <w:top w:val="none" w:sz="0" w:space="0" w:color="auto"/>
        <w:left w:val="none" w:sz="0" w:space="0" w:color="auto"/>
        <w:bottom w:val="none" w:sz="0" w:space="0" w:color="auto"/>
        <w:right w:val="none" w:sz="0" w:space="0" w:color="auto"/>
      </w:divBdr>
    </w:div>
    <w:div w:id="889926086">
      <w:bodyDiv w:val="1"/>
      <w:marLeft w:val="0"/>
      <w:marRight w:val="0"/>
      <w:marTop w:val="0"/>
      <w:marBottom w:val="0"/>
      <w:divBdr>
        <w:top w:val="none" w:sz="0" w:space="0" w:color="auto"/>
        <w:left w:val="none" w:sz="0" w:space="0" w:color="auto"/>
        <w:bottom w:val="none" w:sz="0" w:space="0" w:color="auto"/>
        <w:right w:val="none" w:sz="0" w:space="0" w:color="auto"/>
      </w:divBdr>
    </w:div>
    <w:div w:id="889996875">
      <w:bodyDiv w:val="1"/>
      <w:marLeft w:val="0"/>
      <w:marRight w:val="0"/>
      <w:marTop w:val="0"/>
      <w:marBottom w:val="0"/>
      <w:divBdr>
        <w:top w:val="none" w:sz="0" w:space="0" w:color="auto"/>
        <w:left w:val="none" w:sz="0" w:space="0" w:color="auto"/>
        <w:bottom w:val="none" w:sz="0" w:space="0" w:color="auto"/>
        <w:right w:val="none" w:sz="0" w:space="0" w:color="auto"/>
      </w:divBdr>
    </w:div>
    <w:div w:id="890072768">
      <w:bodyDiv w:val="1"/>
      <w:marLeft w:val="0"/>
      <w:marRight w:val="0"/>
      <w:marTop w:val="0"/>
      <w:marBottom w:val="0"/>
      <w:divBdr>
        <w:top w:val="none" w:sz="0" w:space="0" w:color="auto"/>
        <w:left w:val="none" w:sz="0" w:space="0" w:color="auto"/>
        <w:bottom w:val="none" w:sz="0" w:space="0" w:color="auto"/>
        <w:right w:val="none" w:sz="0" w:space="0" w:color="auto"/>
      </w:divBdr>
    </w:div>
    <w:div w:id="890077016">
      <w:bodyDiv w:val="1"/>
      <w:marLeft w:val="0"/>
      <w:marRight w:val="0"/>
      <w:marTop w:val="0"/>
      <w:marBottom w:val="0"/>
      <w:divBdr>
        <w:top w:val="none" w:sz="0" w:space="0" w:color="auto"/>
        <w:left w:val="none" w:sz="0" w:space="0" w:color="auto"/>
        <w:bottom w:val="none" w:sz="0" w:space="0" w:color="auto"/>
        <w:right w:val="none" w:sz="0" w:space="0" w:color="auto"/>
      </w:divBdr>
    </w:div>
    <w:div w:id="890117668">
      <w:bodyDiv w:val="1"/>
      <w:marLeft w:val="0"/>
      <w:marRight w:val="0"/>
      <w:marTop w:val="0"/>
      <w:marBottom w:val="0"/>
      <w:divBdr>
        <w:top w:val="none" w:sz="0" w:space="0" w:color="auto"/>
        <w:left w:val="none" w:sz="0" w:space="0" w:color="auto"/>
        <w:bottom w:val="none" w:sz="0" w:space="0" w:color="auto"/>
        <w:right w:val="none" w:sz="0" w:space="0" w:color="auto"/>
      </w:divBdr>
    </w:div>
    <w:div w:id="890310249">
      <w:bodyDiv w:val="1"/>
      <w:marLeft w:val="0"/>
      <w:marRight w:val="0"/>
      <w:marTop w:val="0"/>
      <w:marBottom w:val="0"/>
      <w:divBdr>
        <w:top w:val="none" w:sz="0" w:space="0" w:color="auto"/>
        <w:left w:val="none" w:sz="0" w:space="0" w:color="auto"/>
        <w:bottom w:val="none" w:sz="0" w:space="0" w:color="auto"/>
        <w:right w:val="none" w:sz="0" w:space="0" w:color="auto"/>
      </w:divBdr>
    </w:div>
    <w:div w:id="890505068">
      <w:bodyDiv w:val="1"/>
      <w:marLeft w:val="0"/>
      <w:marRight w:val="0"/>
      <w:marTop w:val="0"/>
      <w:marBottom w:val="0"/>
      <w:divBdr>
        <w:top w:val="none" w:sz="0" w:space="0" w:color="auto"/>
        <w:left w:val="none" w:sz="0" w:space="0" w:color="auto"/>
        <w:bottom w:val="none" w:sz="0" w:space="0" w:color="auto"/>
        <w:right w:val="none" w:sz="0" w:space="0" w:color="auto"/>
      </w:divBdr>
    </w:div>
    <w:div w:id="890505450">
      <w:bodyDiv w:val="1"/>
      <w:marLeft w:val="0"/>
      <w:marRight w:val="0"/>
      <w:marTop w:val="0"/>
      <w:marBottom w:val="0"/>
      <w:divBdr>
        <w:top w:val="none" w:sz="0" w:space="0" w:color="auto"/>
        <w:left w:val="none" w:sz="0" w:space="0" w:color="auto"/>
        <w:bottom w:val="none" w:sz="0" w:space="0" w:color="auto"/>
        <w:right w:val="none" w:sz="0" w:space="0" w:color="auto"/>
      </w:divBdr>
    </w:div>
    <w:div w:id="890505924">
      <w:bodyDiv w:val="1"/>
      <w:marLeft w:val="0"/>
      <w:marRight w:val="0"/>
      <w:marTop w:val="0"/>
      <w:marBottom w:val="0"/>
      <w:divBdr>
        <w:top w:val="none" w:sz="0" w:space="0" w:color="auto"/>
        <w:left w:val="none" w:sz="0" w:space="0" w:color="auto"/>
        <w:bottom w:val="none" w:sz="0" w:space="0" w:color="auto"/>
        <w:right w:val="none" w:sz="0" w:space="0" w:color="auto"/>
      </w:divBdr>
    </w:div>
    <w:div w:id="890579025">
      <w:bodyDiv w:val="1"/>
      <w:marLeft w:val="0"/>
      <w:marRight w:val="0"/>
      <w:marTop w:val="0"/>
      <w:marBottom w:val="0"/>
      <w:divBdr>
        <w:top w:val="none" w:sz="0" w:space="0" w:color="auto"/>
        <w:left w:val="none" w:sz="0" w:space="0" w:color="auto"/>
        <w:bottom w:val="none" w:sz="0" w:space="0" w:color="auto"/>
        <w:right w:val="none" w:sz="0" w:space="0" w:color="auto"/>
      </w:divBdr>
    </w:div>
    <w:div w:id="890920150">
      <w:bodyDiv w:val="1"/>
      <w:marLeft w:val="0"/>
      <w:marRight w:val="0"/>
      <w:marTop w:val="0"/>
      <w:marBottom w:val="0"/>
      <w:divBdr>
        <w:top w:val="none" w:sz="0" w:space="0" w:color="auto"/>
        <w:left w:val="none" w:sz="0" w:space="0" w:color="auto"/>
        <w:bottom w:val="none" w:sz="0" w:space="0" w:color="auto"/>
        <w:right w:val="none" w:sz="0" w:space="0" w:color="auto"/>
      </w:divBdr>
    </w:div>
    <w:div w:id="890922280">
      <w:bodyDiv w:val="1"/>
      <w:marLeft w:val="0"/>
      <w:marRight w:val="0"/>
      <w:marTop w:val="0"/>
      <w:marBottom w:val="0"/>
      <w:divBdr>
        <w:top w:val="none" w:sz="0" w:space="0" w:color="auto"/>
        <w:left w:val="none" w:sz="0" w:space="0" w:color="auto"/>
        <w:bottom w:val="none" w:sz="0" w:space="0" w:color="auto"/>
        <w:right w:val="none" w:sz="0" w:space="0" w:color="auto"/>
      </w:divBdr>
    </w:div>
    <w:div w:id="890923842">
      <w:bodyDiv w:val="1"/>
      <w:marLeft w:val="0"/>
      <w:marRight w:val="0"/>
      <w:marTop w:val="0"/>
      <w:marBottom w:val="0"/>
      <w:divBdr>
        <w:top w:val="none" w:sz="0" w:space="0" w:color="auto"/>
        <w:left w:val="none" w:sz="0" w:space="0" w:color="auto"/>
        <w:bottom w:val="none" w:sz="0" w:space="0" w:color="auto"/>
        <w:right w:val="none" w:sz="0" w:space="0" w:color="auto"/>
      </w:divBdr>
    </w:div>
    <w:div w:id="890967429">
      <w:bodyDiv w:val="1"/>
      <w:marLeft w:val="0"/>
      <w:marRight w:val="0"/>
      <w:marTop w:val="0"/>
      <w:marBottom w:val="0"/>
      <w:divBdr>
        <w:top w:val="none" w:sz="0" w:space="0" w:color="auto"/>
        <w:left w:val="none" w:sz="0" w:space="0" w:color="auto"/>
        <w:bottom w:val="none" w:sz="0" w:space="0" w:color="auto"/>
        <w:right w:val="none" w:sz="0" w:space="0" w:color="auto"/>
      </w:divBdr>
    </w:div>
    <w:div w:id="891036334">
      <w:bodyDiv w:val="1"/>
      <w:marLeft w:val="0"/>
      <w:marRight w:val="0"/>
      <w:marTop w:val="0"/>
      <w:marBottom w:val="0"/>
      <w:divBdr>
        <w:top w:val="none" w:sz="0" w:space="0" w:color="auto"/>
        <w:left w:val="none" w:sz="0" w:space="0" w:color="auto"/>
        <w:bottom w:val="none" w:sz="0" w:space="0" w:color="auto"/>
        <w:right w:val="none" w:sz="0" w:space="0" w:color="auto"/>
      </w:divBdr>
    </w:div>
    <w:div w:id="891114560">
      <w:bodyDiv w:val="1"/>
      <w:marLeft w:val="0"/>
      <w:marRight w:val="0"/>
      <w:marTop w:val="0"/>
      <w:marBottom w:val="0"/>
      <w:divBdr>
        <w:top w:val="none" w:sz="0" w:space="0" w:color="auto"/>
        <w:left w:val="none" w:sz="0" w:space="0" w:color="auto"/>
        <w:bottom w:val="none" w:sz="0" w:space="0" w:color="auto"/>
        <w:right w:val="none" w:sz="0" w:space="0" w:color="auto"/>
      </w:divBdr>
    </w:div>
    <w:div w:id="891186915">
      <w:bodyDiv w:val="1"/>
      <w:marLeft w:val="0"/>
      <w:marRight w:val="0"/>
      <w:marTop w:val="0"/>
      <w:marBottom w:val="0"/>
      <w:divBdr>
        <w:top w:val="none" w:sz="0" w:space="0" w:color="auto"/>
        <w:left w:val="none" w:sz="0" w:space="0" w:color="auto"/>
        <w:bottom w:val="none" w:sz="0" w:space="0" w:color="auto"/>
        <w:right w:val="none" w:sz="0" w:space="0" w:color="auto"/>
      </w:divBdr>
    </w:div>
    <w:div w:id="891231117">
      <w:bodyDiv w:val="1"/>
      <w:marLeft w:val="0"/>
      <w:marRight w:val="0"/>
      <w:marTop w:val="0"/>
      <w:marBottom w:val="0"/>
      <w:divBdr>
        <w:top w:val="none" w:sz="0" w:space="0" w:color="auto"/>
        <w:left w:val="none" w:sz="0" w:space="0" w:color="auto"/>
        <w:bottom w:val="none" w:sz="0" w:space="0" w:color="auto"/>
        <w:right w:val="none" w:sz="0" w:space="0" w:color="auto"/>
      </w:divBdr>
    </w:div>
    <w:div w:id="891232978">
      <w:bodyDiv w:val="1"/>
      <w:marLeft w:val="0"/>
      <w:marRight w:val="0"/>
      <w:marTop w:val="0"/>
      <w:marBottom w:val="0"/>
      <w:divBdr>
        <w:top w:val="none" w:sz="0" w:space="0" w:color="auto"/>
        <w:left w:val="none" w:sz="0" w:space="0" w:color="auto"/>
        <w:bottom w:val="none" w:sz="0" w:space="0" w:color="auto"/>
        <w:right w:val="none" w:sz="0" w:space="0" w:color="auto"/>
      </w:divBdr>
    </w:div>
    <w:div w:id="891311048">
      <w:bodyDiv w:val="1"/>
      <w:marLeft w:val="0"/>
      <w:marRight w:val="0"/>
      <w:marTop w:val="0"/>
      <w:marBottom w:val="0"/>
      <w:divBdr>
        <w:top w:val="none" w:sz="0" w:space="0" w:color="auto"/>
        <w:left w:val="none" w:sz="0" w:space="0" w:color="auto"/>
        <w:bottom w:val="none" w:sz="0" w:space="0" w:color="auto"/>
        <w:right w:val="none" w:sz="0" w:space="0" w:color="auto"/>
      </w:divBdr>
    </w:div>
    <w:div w:id="891312044">
      <w:bodyDiv w:val="1"/>
      <w:marLeft w:val="0"/>
      <w:marRight w:val="0"/>
      <w:marTop w:val="0"/>
      <w:marBottom w:val="0"/>
      <w:divBdr>
        <w:top w:val="none" w:sz="0" w:space="0" w:color="auto"/>
        <w:left w:val="none" w:sz="0" w:space="0" w:color="auto"/>
        <w:bottom w:val="none" w:sz="0" w:space="0" w:color="auto"/>
        <w:right w:val="none" w:sz="0" w:space="0" w:color="auto"/>
      </w:divBdr>
    </w:div>
    <w:div w:id="891386495">
      <w:bodyDiv w:val="1"/>
      <w:marLeft w:val="0"/>
      <w:marRight w:val="0"/>
      <w:marTop w:val="0"/>
      <w:marBottom w:val="0"/>
      <w:divBdr>
        <w:top w:val="none" w:sz="0" w:space="0" w:color="auto"/>
        <w:left w:val="none" w:sz="0" w:space="0" w:color="auto"/>
        <w:bottom w:val="none" w:sz="0" w:space="0" w:color="auto"/>
        <w:right w:val="none" w:sz="0" w:space="0" w:color="auto"/>
      </w:divBdr>
    </w:div>
    <w:div w:id="891506103">
      <w:bodyDiv w:val="1"/>
      <w:marLeft w:val="0"/>
      <w:marRight w:val="0"/>
      <w:marTop w:val="0"/>
      <w:marBottom w:val="0"/>
      <w:divBdr>
        <w:top w:val="none" w:sz="0" w:space="0" w:color="auto"/>
        <w:left w:val="none" w:sz="0" w:space="0" w:color="auto"/>
        <w:bottom w:val="none" w:sz="0" w:space="0" w:color="auto"/>
        <w:right w:val="none" w:sz="0" w:space="0" w:color="auto"/>
      </w:divBdr>
    </w:div>
    <w:div w:id="891647994">
      <w:bodyDiv w:val="1"/>
      <w:marLeft w:val="0"/>
      <w:marRight w:val="0"/>
      <w:marTop w:val="0"/>
      <w:marBottom w:val="0"/>
      <w:divBdr>
        <w:top w:val="none" w:sz="0" w:space="0" w:color="auto"/>
        <w:left w:val="none" w:sz="0" w:space="0" w:color="auto"/>
        <w:bottom w:val="none" w:sz="0" w:space="0" w:color="auto"/>
        <w:right w:val="none" w:sz="0" w:space="0" w:color="auto"/>
      </w:divBdr>
    </w:div>
    <w:div w:id="891691466">
      <w:bodyDiv w:val="1"/>
      <w:marLeft w:val="0"/>
      <w:marRight w:val="0"/>
      <w:marTop w:val="0"/>
      <w:marBottom w:val="0"/>
      <w:divBdr>
        <w:top w:val="none" w:sz="0" w:space="0" w:color="auto"/>
        <w:left w:val="none" w:sz="0" w:space="0" w:color="auto"/>
        <w:bottom w:val="none" w:sz="0" w:space="0" w:color="auto"/>
        <w:right w:val="none" w:sz="0" w:space="0" w:color="auto"/>
      </w:divBdr>
    </w:div>
    <w:div w:id="891963057">
      <w:bodyDiv w:val="1"/>
      <w:marLeft w:val="0"/>
      <w:marRight w:val="0"/>
      <w:marTop w:val="0"/>
      <w:marBottom w:val="0"/>
      <w:divBdr>
        <w:top w:val="none" w:sz="0" w:space="0" w:color="auto"/>
        <w:left w:val="none" w:sz="0" w:space="0" w:color="auto"/>
        <w:bottom w:val="none" w:sz="0" w:space="0" w:color="auto"/>
        <w:right w:val="none" w:sz="0" w:space="0" w:color="auto"/>
      </w:divBdr>
    </w:div>
    <w:div w:id="892078546">
      <w:bodyDiv w:val="1"/>
      <w:marLeft w:val="0"/>
      <w:marRight w:val="0"/>
      <w:marTop w:val="0"/>
      <w:marBottom w:val="0"/>
      <w:divBdr>
        <w:top w:val="none" w:sz="0" w:space="0" w:color="auto"/>
        <w:left w:val="none" w:sz="0" w:space="0" w:color="auto"/>
        <w:bottom w:val="none" w:sz="0" w:space="0" w:color="auto"/>
        <w:right w:val="none" w:sz="0" w:space="0" w:color="auto"/>
      </w:divBdr>
    </w:div>
    <w:div w:id="892085758">
      <w:bodyDiv w:val="1"/>
      <w:marLeft w:val="0"/>
      <w:marRight w:val="0"/>
      <w:marTop w:val="0"/>
      <w:marBottom w:val="0"/>
      <w:divBdr>
        <w:top w:val="none" w:sz="0" w:space="0" w:color="auto"/>
        <w:left w:val="none" w:sz="0" w:space="0" w:color="auto"/>
        <w:bottom w:val="none" w:sz="0" w:space="0" w:color="auto"/>
        <w:right w:val="none" w:sz="0" w:space="0" w:color="auto"/>
      </w:divBdr>
    </w:div>
    <w:div w:id="892153560">
      <w:bodyDiv w:val="1"/>
      <w:marLeft w:val="0"/>
      <w:marRight w:val="0"/>
      <w:marTop w:val="0"/>
      <w:marBottom w:val="0"/>
      <w:divBdr>
        <w:top w:val="none" w:sz="0" w:space="0" w:color="auto"/>
        <w:left w:val="none" w:sz="0" w:space="0" w:color="auto"/>
        <w:bottom w:val="none" w:sz="0" w:space="0" w:color="auto"/>
        <w:right w:val="none" w:sz="0" w:space="0" w:color="auto"/>
      </w:divBdr>
    </w:div>
    <w:div w:id="892155611">
      <w:bodyDiv w:val="1"/>
      <w:marLeft w:val="0"/>
      <w:marRight w:val="0"/>
      <w:marTop w:val="0"/>
      <w:marBottom w:val="0"/>
      <w:divBdr>
        <w:top w:val="none" w:sz="0" w:space="0" w:color="auto"/>
        <w:left w:val="none" w:sz="0" w:space="0" w:color="auto"/>
        <w:bottom w:val="none" w:sz="0" w:space="0" w:color="auto"/>
        <w:right w:val="none" w:sz="0" w:space="0" w:color="auto"/>
      </w:divBdr>
    </w:div>
    <w:div w:id="892159386">
      <w:bodyDiv w:val="1"/>
      <w:marLeft w:val="0"/>
      <w:marRight w:val="0"/>
      <w:marTop w:val="0"/>
      <w:marBottom w:val="0"/>
      <w:divBdr>
        <w:top w:val="none" w:sz="0" w:space="0" w:color="auto"/>
        <w:left w:val="none" w:sz="0" w:space="0" w:color="auto"/>
        <w:bottom w:val="none" w:sz="0" w:space="0" w:color="auto"/>
        <w:right w:val="none" w:sz="0" w:space="0" w:color="auto"/>
      </w:divBdr>
    </w:div>
    <w:div w:id="892348316">
      <w:bodyDiv w:val="1"/>
      <w:marLeft w:val="0"/>
      <w:marRight w:val="0"/>
      <w:marTop w:val="0"/>
      <w:marBottom w:val="0"/>
      <w:divBdr>
        <w:top w:val="none" w:sz="0" w:space="0" w:color="auto"/>
        <w:left w:val="none" w:sz="0" w:space="0" w:color="auto"/>
        <w:bottom w:val="none" w:sz="0" w:space="0" w:color="auto"/>
        <w:right w:val="none" w:sz="0" w:space="0" w:color="auto"/>
      </w:divBdr>
    </w:div>
    <w:div w:id="892353987">
      <w:bodyDiv w:val="1"/>
      <w:marLeft w:val="0"/>
      <w:marRight w:val="0"/>
      <w:marTop w:val="0"/>
      <w:marBottom w:val="0"/>
      <w:divBdr>
        <w:top w:val="none" w:sz="0" w:space="0" w:color="auto"/>
        <w:left w:val="none" w:sz="0" w:space="0" w:color="auto"/>
        <w:bottom w:val="none" w:sz="0" w:space="0" w:color="auto"/>
        <w:right w:val="none" w:sz="0" w:space="0" w:color="auto"/>
      </w:divBdr>
    </w:div>
    <w:div w:id="892427229">
      <w:bodyDiv w:val="1"/>
      <w:marLeft w:val="0"/>
      <w:marRight w:val="0"/>
      <w:marTop w:val="0"/>
      <w:marBottom w:val="0"/>
      <w:divBdr>
        <w:top w:val="none" w:sz="0" w:space="0" w:color="auto"/>
        <w:left w:val="none" w:sz="0" w:space="0" w:color="auto"/>
        <w:bottom w:val="none" w:sz="0" w:space="0" w:color="auto"/>
        <w:right w:val="none" w:sz="0" w:space="0" w:color="auto"/>
      </w:divBdr>
    </w:div>
    <w:div w:id="892430840">
      <w:bodyDiv w:val="1"/>
      <w:marLeft w:val="0"/>
      <w:marRight w:val="0"/>
      <w:marTop w:val="0"/>
      <w:marBottom w:val="0"/>
      <w:divBdr>
        <w:top w:val="none" w:sz="0" w:space="0" w:color="auto"/>
        <w:left w:val="none" w:sz="0" w:space="0" w:color="auto"/>
        <w:bottom w:val="none" w:sz="0" w:space="0" w:color="auto"/>
        <w:right w:val="none" w:sz="0" w:space="0" w:color="auto"/>
      </w:divBdr>
    </w:div>
    <w:div w:id="892540744">
      <w:bodyDiv w:val="1"/>
      <w:marLeft w:val="0"/>
      <w:marRight w:val="0"/>
      <w:marTop w:val="0"/>
      <w:marBottom w:val="0"/>
      <w:divBdr>
        <w:top w:val="none" w:sz="0" w:space="0" w:color="auto"/>
        <w:left w:val="none" w:sz="0" w:space="0" w:color="auto"/>
        <w:bottom w:val="none" w:sz="0" w:space="0" w:color="auto"/>
        <w:right w:val="none" w:sz="0" w:space="0" w:color="auto"/>
      </w:divBdr>
    </w:div>
    <w:div w:id="892696708">
      <w:bodyDiv w:val="1"/>
      <w:marLeft w:val="0"/>
      <w:marRight w:val="0"/>
      <w:marTop w:val="0"/>
      <w:marBottom w:val="0"/>
      <w:divBdr>
        <w:top w:val="none" w:sz="0" w:space="0" w:color="auto"/>
        <w:left w:val="none" w:sz="0" w:space="0" w:color="auto"/>
        <w:bottom w:val="none" w:sz="0" w:space="0" w:color="auto"/>
        <w:right w:val="none" w:sz="0" w:space="0" w:color="auto"/>
      </w:divBdr>
    </w:div>
    <w:div w:id="892736934">
      <w:bodyDiv w:val="1"/>
      <w:marLeft w:val="0"/>
      <w:marRight w:val="0"/>
      <w:marTop w:val="0"/>
      <w:marBottom w:val="0"/>
      <w:divBdr>
        <w:top w:val="none" w:sz="0" w:space="0" w:color="auto"/>
        <w:left w:val="none" w:sz="0" w:space="0" w:color="auto"/>
        <w:bottom w:val="none" w:sz="0" w:space="0" w:color="auto"/>
        <w:right w:val="none" w:sz="0" w:space="0" w:color="auto"/>
      </w:divBdr>
    </w:div>
    <w:div w:id="892737042">
      <w:bodyDiv w:val="1"/>
      <w:marLeft w:val="0"/>
      <w:marRight w:val="0"/>
      <w:marTop w:val="0"/>
      <w:marBottom w:val="0"/>
      <w:divBdr>
        <w:top w:val="none" w:sz="0" w:space="0" w:color="auto"/>
        <w:left w:val="none" w:sz="0" w:space="0" w:color="auto"/>
        <w:bottom w:val="none" w:sz="0" w:space="0" w:color="auto"/>
        <w:right w:val="none" w:sz="0" w:space="0" w:color="auto"/>
      </w:divBdr>
    </w:div>
    <w:div w:id="892808417">
      <w:bodyDiv w:val="1"/>
      <w:marLeft w:val="0"/>
      <w:marRight w:val="0"/>
      <w:marTop w:val="0"/>
      <w:marBottom w:val="0"/>
      <w:divBdr>
        <w:top w:val="none" w:sz="0" w:space="0" w:color="auto"/>
        <w:left w:val="none" w:sz="0" w:space="0" w:color="auto"/>
        <w:bottom w:val="none" w:sz="0" w:space="0" w:color="auto"/>
        <w:right w:val="none" w:sz="0" w:space="0" w:color="auto"/>
      </w:divBdr>
    </w:div>
    <w:div w:id="892813069">
      <w:bodyDiv w:val="1"/>
      <w:marLeft w:val="0"/>
      <w:marRight w:val="0"/>
      <w:marTop w:val="0"/>
      <w:marBottom w:val="0"/>
      <w:divBdr>
        <w:top w:val="none" w:sz="0" w:space="0" w:color="auto"/>
        <w:left w:val="none" w:sz="0" w:space="0" w:color="auto"/>
        <w:bottom w:val="none" w:sz="0" w:space="0" w:color="auto"/>
        <w:right w:val="none" w:sz="0" w:space="0" w:color="auto"/>
      </w:divBdr>
    </w:div>
    <w:div w:id="892892612">
      <w:bodyDiv w:val="1"/>
      <w:marLeft w:val="0"/>
      <w:marRight w:val="0"/>
      <w:marTop w:val="0"/>
      <w:marBottom w:val="0"/>
      <w:divBdr>
        <w:top w:val="none" w:sz="0" w:space="0" w:color="auto"/>
        <w:left w:val="none" w:sz="0" w:space="0" w:color="auto"/>
        <w:bottom w:val="none" w:sz="0" w:space="0" w:color="auto"/>
        <w:right w:val="none" w:sz="0" w:space="0" w:color="auto"/>
      </w:divBdr>
    </w:div>
    <w:div w:id="892931137">
      <w:bodyDiv w:val="1"/>
      <w:marLeft w:val="0"/>
      <w:marRight w:val="0"/>
      <w:marTop w:val="0"/>
      <w:marBottom w:val="0"/>
      <w:divBdr>
        <w:top w:val="none" w:sz="0" w:space="0" w:color="auto"/>
        <w:left w:val="none" w:sz="0" w:space="0" w:color="auto"/>
        <w:bottom w:val="none" w:sz="0" w:space="0" w:color="auto"/>
        <w:right w:val="none" w:sz="0" w:space="0" w:color="auto"/>
      </w:divBdr>
    </w:div>
    <w:div w:id="892959590">
      <w:bodyDiv w:val="1"/>
      <w:marLeft w:val="0"/>
      <w:marRight w:val="0"/>
      <w:marTop w:val="0"/>
      <w:marBottom w:val="0"/>
      <w:divBdr>
        <w:top w:val="none" w:sz="0" w:space="0" w:color="auto"/>
        <w:left w:val="none" w:sz="0" w:space="0" w:color="auto"/>
        <w:bottom w:val="none" w:sz="0" w:space="0" w:color="auto"/>
        <w:right w:val="none" w:sz="0" w:space="0" w:color="auto"/>
      </w:divBdr>
    </w:div>
    <w:div w:id="893001089">
      <w:bodyDiv w:val="1"/>
      <w:marLeft w:val="0"/>
      <w:marRight w:val="0"/>
      <w:marTop w:val="0"/>
      <w:marBottom w:val="0"/>
      <w:divBdr>
        <w:top w:val="none" w:sz="0" w:space="0" w:color="auto"/>
        <w:left w:val="none" w:sz="0" w:space="0" w:color="auto"/>
        <w:bottom w:val="none" w:sz="0" w:space="0" w:color="auto"/>
        <w:right w:val="none" w:sz="0" w:space="0" w:color="auto"/>
      </w:divBdr>
    </w:div>
    <w:div w:id="893082190">
      <w:bodyDiv w:val="1"/>
      <w:marLeft w:val="0"/>
      <w:marRight w:val="0"/>
      <w:marTop w:val="0"/>
      <w:marBottom w:val="0"/>
      <w:divBdr>
        <w:top w:val="none" w:sz="0" w:space="0" w:color="auto"/>
        <w:left w:val="none" w:sz="0" w:space="0" w:color="auto"/>
        <w:bottom w:val="none" w:sz="0" w:space="0" w:color="auto"/>
        <w:right w:val="none" w:sz="0" w:space="0" w:color="auto"/>
      </w:divBdr>
    </w:div>
    <w:div w:id="893085909">
      <w:bodyDiv w:val="1"/>
      <w:marLeft w:val="0"/>
      <w:marRight w:val="0"/>
      <w:marTop w:val="0"/>
      <w:marBottom w:val="0"/>
      <w:divBdr>
        <w:top w:val="none" w:sz="0" w:space="0" w:color="auto"/>
        <w:left w:val="none" w:sz="0" w:space="0" w:color="auto"/>
        <w:bottom w:val="none" w:sz="0" w:space="0" w:color="auto"/>
        <w:right w:val="none" w:sz="0" w:space="0" w:color="auto"/>
      </w:divBdr>
    </w:div>
    <w:div w:id="893127609">
      <w:bodyDiv w:val="1"/>
      <w:marLeft w:val="0"/>
      <w:marRight w:val="0"/>
      <w:marTop w:val="0"/>
      <w:marBottom w:val="0"/>
      <w:divBdr>
        <w:top w:val="none" w:sz="0" w:space="0" w:color="auto"/>
        <w:left w:val="none" w:sz="0" w:space="0" w:color="auto"/>
        <w:bottom w:val="none" w:sz="0" w:space="0" w:color="auto"/>
        <w:right w:val="none" w:sz="0" w:space="0" w:color="auto"/>
      </w:divBdr>
    </w:div>
    <w:div w:id="893271590">
      <w:bodyDiv w:val="1"/>
      <w:marLeft w:val="0"/>
      <w:marRight w:val="0"/>
      <w:marTop w:val="0"/>
      <w:marBottom w:val="0"/>
      <w:divBdr>
        <w:top w:val="none" w:sz="0" w:space="0" w:color="auto"/>
        <w:left w:val="none" w:sz="0" w:space="0" w:color="auto"/>
        <w:bottom w:val="none" w:sz="0" w:space="0" w:color="auto"/>
        <w:right w:val="none" w:sz="0" w:space="0" w:color="auto"/>
      </w:divBdr>
    </w:div>
    <w:div w:id="893271609">
      <w:bodyDiv w:val="1"/>
      <w:marLeft w:val="0"/>
      <w:marRight w:val="0"/>
      <w:marTop w:val="0"/>
      <w:marBottom w:val="0"/>
      <w:divBdr>
        <w:top w:val="none" w:sz="0" w:space="0" w:color="auto"/>
        <w:left w:val="none" w:sz="0" w:space="0" w:color="auto"/>
        <w:bottom w:val="none" w:sz="0" w:space="0" w:color="auto"/>
        <w:right w:val="none" w:sz="0" w:space="0" w:color="auto"/>
      </w:divBdr>
    </w:div>
    <w:div w:id="893350112">
      <w:bodyDiv w:val="1"/>
      <w:marLeft w:val="0"/>
      <w:marRight w:val="0"/>
      <w:marTop w:val="0"/>
      <w:marBottom w:val="0"/>
      <w:divBdr>
        <w:top w:val="none" w:sz="0" w:space="0" w:color="auto"/>
        <w:left w:val="none" w:sz="0" w:space="0" w:color="auto"/>
        <w:bottom w:val="none" w:sz="0" w:space="0" w:color="auto"/>
        <w:right w:val="none" w:sz="0" w:space="0" w:color="auto"/>
      </w:divBdr>
    </w:div>
    <w:div w:id="893390978">
      <w:bodyDiv w:val="1"/>
      <w:marLeft w:val="0"/>
      <w:marRight w:val="0"/>
      <w:marTop w:val="0"/>
      <w:marBottom w:val="0"/>
      <w:divBdr>
        <w:top w:val="none" w:sz="0" w:space="0" w:color="auto"/>
        <w:left w:val="none" w:sz="0" w:space="0" w:color="auto"/>
        <w:bottom w:val="none" w:sz="0" w:space="0" w:color="auto"/>
        <w:right w:val="none" w:sz="0" w:space="0" w:color="auto"/>
      </w:divBdr>
    </w:div>
    <w:div w:id="893391588">
      <w:bodyDiv w:val="1"/>
      <w:marLeft w:val="0"/>
      <w:marRight w:val="0"/>
      <w:marTop w:val="0"/>
      <w:marBottom w:val="0"/>
      <w:divBdr>
        <w:top w:val="none" w:sz="0" w:space="0" w:color="auto"/>
        <w:left w:val="none" w:sz="0" w:space="0" w:color="auto"/>
        <w:bottom w:val="none" w:sz="0" w:space="0" w:color="auto"/>
        <w:right w:val="none" w:sz="0" w:space="0" w:color="auto"/>
      </w:divBdr>
    </w:div>
    <w:div w:id="893466593">
      <w:bodyDiv w:val="1"/>
      <w:marLeft w:val="0"/>
      <w:marRight w:val="0"/>
      <w:marTop w:val="0"/>
      <w:marBottom w:val="0"/>
      <w:divBdr>
        <w:top w:val="none" w:sz="0" w:space="0" w:color="auto"/>
        <w:left w:val="none" w:sz="0" w:space="0" w:color="auto"/>
        <w:bottom w:val="none" w:sz="0" w:space="0" w:color="auto"/>
        <w:right w:val="none" w:sz="0" w:space="0" w:color="auto"/>
      </w:divBdr>
    </w:div>
    <w:div w:id="893468951">
      <w:bodyDiv w:val="1"/>
      <w:marLeft w:val="0"/>
      <w:marRight w:val="0"/>
      <w:marTop w:val="0"/>
      <w:marBottom w:val="0"/>
      <w:divBdr>
        <w:top w:val="none" w:sz="0" w:space="0" w:color="auto"/>
        <w:left w:val="none" w:sz="0" w:space="0" w:color="auto"/>
        <w:bottom w:val="none" w:sz="0" w:space="0" w:color="auto"/>
        <w:right w:val="none" w:sz="0" w:space="0" w:color="auto"/>
      </w:divBdr>
    </w:div>
    <w:div w:id="893472427">
      <w:bodyDiv w:val="1"/>
      <w:marLeft w:val="0"/>
      <w:marRight w:val="0"/>
      <w:marTop w:val="0"/>
      <w:marBottom w:val="0"/>
      <w:divBdr>
        <w:top w:val="none" w:sz="0" w:space="0" w:color="auto"/>
        <w:left w:val="none" w:sz="0" w:space="0" w:color="auto"/>
        <w:bottom w:val="none" w:sz="0" w:space="0" w:color="auto"/>
        <w:right w:val="none" w:sz="0" w:space="0" w:color="auto"/>
      </w:divBdr>
    </w:div>
    <w:div w:id="893547415">
      <w:bodyDiv w:val="1"/>
      <w:marLeft w:val="0"/>
      <w:marRight w:val="0"/>
      <w:marTop w:val="0"/>
      <w:marBottom w:val="0"/>
      <w:divBdr>
        <w:top w:val="none" w:sz="0" w:space="0" w:color="auto"/>
        <w:left w:val="none" w:sz="0" w:space="0" w:color="auto"/>
        <w:bottom w:val="none" w:sz="0" w:space="0" w:color="auto"/>
        <w:right w:val="none" w:sz="0" w:space="0" w:color="auto"/>
      </w:divBdr>
    </w:div>
    <w:div w:id="893665904">
      <w:bodyDiv w:val="1"/>
      <w:marLeft w:val="0"/>
      <w:marRight w:val="0"/>
      <w:marTop w:val="0"/>
      <w:marBottom w:val="0"/>
      <w:divBdr>
        <w:top w:val="none" w:sz="0" w:space="0" w:color="auto"/>
        <w:left w:val="none" w:sz="0" w:space="0" w:color="auto"/>
        <w:bottom w:val="none" w:sz="0" w:space="0" w:color="auto"/>
        <w:right w:val="none" w:sz="0" w:space="0" w:color="auto"/>
      </w:divBdr>
    </w:div>
    <w:div w:id="893737802">
      <w:bodyDiv w:val="1"/>
      <w:marLeft w:val="0"/>
      <w:marRight w:val="0"/>
      <w:marTop w:val="0"/>
      <w:marBottom w:val="0"/>
      <w:divBdr>
        <w:top w:val="none" w:sz="0" w:space="0" w:color="auto"/>
        <w:left w:val="none" w:sz="0" w:space="0" w:color="auto"/>
        <w:bottom w:val="none" w:sz="0" w:space="0" w:color="auto"/>
        <w:right w:val="none" w:sz="0" w:space="0" w:color="auto"/>
      </w:divBdr>
    </w:div>
    <w:div w:id="893781496">
      <w:bodyDiv w:val="1"/>
      <w:marLeft w:val="0"/>
      <w:marRight w:val="0"/>
      <w:marTop w:val="0"/>
      <w:marBottom w:val="0"/>
      <w:divBdr>
        <w:top w:val="none" w:sz="0" w:space="0" w:color="auto"/>
        <w:left w:val="none" w:sz="0" w:space="0" w:color="auto"/>
        <w:bottom w:val="none" w:sz="0" w:space="0" w:color="auto"/>
        <w:right w:val="none" w:sz="0" w:space="0" w:color="auto"/>
      </w:divBdr>
    </w:div>
    <w:div w:id="893857265">
      <w:bodyDiv w:val="1"/>
      <w:marLeft w:val="0"/>
      <w:marRight w:val="0"/>
      <w:marTop w:val="0"/>
      <w:marBottom w:val="0"/>
      <w:divBdr>
        <w:top w:val="none" w:sz="0" w:space="0" w:color="auto"/>
        <w:left w:val="none" w:sz="0" w:space="0" w:color="auto"/>
        <w:bottom w:val="none" w:sz="0" w:space="0" w:color="auto"/>
        <w:right w:val="none" w:sz="0" w:space="0" w:color="auto"/>
      </w:divBdr>
    </w:div>
    <w:div w:id="893927901">
      <w:bodyDiv w:val="1"/>
      <w:marLeft w:val="0"/>
      <w:marRight w:val="0"/>
      <w:marTop w:val="0"/>
      <w:marBottom w:val="0"/>
      <w:divBdr>
        <w:top w:val="none" w:sz="0" w:space="0" w:color="auto"/>
        <w:left w:val="none" w:sz="0" w:space="0" w:color="auto"/>
        <w:bottom w:val="none" w:sz="0" w:space="0" w:color="auto"/>
        <w:right w:val="none" w:sz="0" w:space="0" w:color="auto"/>
      </w:divBdr>
    </w:div>
    <w:div w:id="894009298">
      <w:bodyDiv w:val="1"/>
      <w:marLeft w:val="0"/>
      <w:marRight w:val="0"/>
      <w:marTop w:val="0"/>
      <w:marBottom w:val="0"/>
      <w:divBdr>
        <w:top w:val="none" w:sz="0" w:space="0" w:color="auto"/>
        <w:left w:val="none" w:sz="0" w:space="0" w:color="auto"/>
        <w:bottom w:val="none" w:sz="0" w:space="0" w:color="auto"/>
        <w:right w:val="none" w:sz="0" w:space="0" w:color="auto"/>
      </w:divBdr>
    </w:div>
    <w:div w:id="894047816">
      <w:bodyDiv w:val="1"/>
      <w:marLeft w:val="0"/>
      <w:marRight w:val="0"/>
      <w:marTop w:val="0"/>
      <w:marBottom w:val="0"/>
      <w:divBdr>
        <w:top w:val="none" w:sz="0" w:space="0" w:color="auto"/>
        <w:left w:val="none" w:sz="0" w:space="0" w:color="auto"/>
        <w:bottom w:val="none" w:sz="0" w:space="0" w:color="auto"/>
        <w:right w:val="none" w:sz="0" w:space="0" w:color="auto"/>
      </w:divBdr>
    </w:div>
    <w:div w:id="894124168">
      <w:bodyDiv w:val="1"/>
      <w:marLeft w:val="0"/>
      <w:marRight w:val="0"/>
      <w:marTop w:val="0"/>
      <w:marBottom w:val="0"/>
      <w:divBdr>
        <w:top w:val="none" w:sz="0" w:space="0" w:color="auto"/>
        <w:left w:val="none" w:sz="0" w:space="0" w:color="auto"/>
        <w:bottom w:val="none" w:sz="0" w:space="0" w:color="auto"/>
        <w:right w:val="none" w:sz="0" w:space="0" w:color="auto"/>
      </w:divBdr>
    </w:div>
    <w:div w:id="894125885">
      <w:bodyDiv w:val="1"/>
      <w:marLeft w:val="0"/>
      <w:marRight w:val="0"/>
      <w:marTop w:val="0"/>
      <w:marBottom w:val="0"/>
      <w:divBdr>
        <w:top w:val="none" w:sz="0" w:space="0" w:color="auto"/>
        <w:left w:val="none" w:sz="0" w:space="0" w:color="auto"/>
        <w:bottom w:val="none" w:sz="0" w:space="0" w:color="auto"/>
        <w:right w:val="none" w:sz="0" w:space="0" w:color="auto"/>
      </w:divBdr>
    </w:div>
    <w:div w:id="894193677">
      <w:bodyDiv w:val="1"/>
      <w:marLeft w:val="0"/>
      <w:marRight w:val="0"/>
      <w:marTop w:val="0"/>
      <w:marBottom w:val="0"/>
      <w:divBdr>
        <w:top w:val="none" w:sz="0" w:space="0" w:color="auto"/>
        <w:left w:val="none" w:sz="0" w:space="0" w:color="auto"/>
        <w:bottom w:val="none" w:sz="0" w:space="0" w:color="auto"/>
        <w:right w:val="none" w:sz="0" w:space="0" w:color="auto"/>
      </w:divBdr>
    </w:div>
    <w:div w:id="894392442">
      <w:bodyDiv w:val="1"/>
      <w:marLeft w:val="0"/>
      <w:marRight w:val="0"/>
      <w:marTop w:val="0"/>
      <w:marBottom w:val="0"/>
      <w:divBdr>
        <w:top w:val="none" w:sz="0" w:space="0" w:color="auto"/>
        <w:left w:val="none" w:sz="0" w:space="0" w:color="auto"/>
        <w:bottom w:val="none" w:sz="0" w:space="0" w:color="auto"/>
        <w:right w:val="none" w:sz="0" w:space="0" w:color="auto"/>
      </w:divBdr>
    </w:div>
    <w:div w:id="894393663">
      <w:bodyDiv w:val="1"/>
      <w:marLeft w:val="0"/>
      <w:marRight w:val="0"/>
      <w:marTop w:val="0"/>
      <w:marBottom w:val="0"/>
      <w:divBdr>
        <w:top w:val="none" w:sz="0" w:space="0" w:color="auto"/>
        <w:left w:val="none" w:sz="0" w:space="0" w:color="auto"/>
        <w:bottom w:val="none" w:sz="0" w:space="0" w:color="auto"/>
        <w:right w:val="none" w:sz="0" w:space="0" w:color="auto"/>
      </w:divBdr>
    </w:div>
    <w:div w:id="894395049">
      <w:bodyDiv w:val="1"/>
      <w:marLeft w:val="0"/>
      <w:marRight w:val="0"/>
      <w:marTop w:val="0"/>
      <w:marBottom w:val="0"/>
      <w:divBdr>
        <w:top w:val="none" w:sz="0" w:space="0" w:color="auto"/>
        <w:left w:val="none" w:sz="0" w:space="0" w:color="auto"/>
        <w:bottom w:val="none" w:sz="0" w:space="0" w:color="auto"/>
        <w:right w:val="none" w:sz="0" w:space="0" w:color="auto"/>
      </w:divBdr>
    </w:div>
    <w:div w:id="894465940">
      <w:bodyDiv w:val="1"/>
      <w:marLeft w:val="0"/>
      <w:marRight w:val="0"/>
      <w:marTop w:val="0"/>
      <w:marBottom w:val="0"/>
      <w:divBdr>
        <w:top w:val="none" w:sz="0" w:space="0" w:color="auto"/>
        <w:left w:val="none" w:sz="0" w:space="0" w:color="auto"/>
        <w:bottom w:val="none" w:sz="0" w:space="0" w:color="auto"/>
        <w:right w:val="none" w:sz="0" w:space="0" w:color="auto"/>
      </w:divBdr>
    </w:div>
    <w:div w:id="894581970">
      <w:bodyDiv w:val="1"/>
      <w:marLeft w:val="0"/>
      <w:marRight w:val="0"/>
      <w:marTop w:val="0"/>
      <w:marBottom w:val="0"/>
      <w:divBdr>
        <w:top w:val="none" w:sz="0" w:space="0" w:color="auto"/>
        <w:left w:val="none" w:sz="0" w:space="0" w:color="auto"/>
        <w:bottom w:val="none" w:sz="0" w:space="0" w:color="auto"/>
        <w:right w:val="none" w:sz="0" w:space="0" w:color="auto"/>
      </w:divBdr>
    </w:div>
    <w:div w:id="894585613">
      <w:bodyDiv w:val="1"/>
      <w:marLeft w:val="0"/>
      <w:marRight w:val="0"/>
      <w:marTop w:val="0"/>
      <w:marBottom w:val="0"/>
      <w:divBdr>
        <w:top w:val="none" w:sz="0" w:space="0" w:color="auto"/>
        <w:left w:val="none" w:sz="0" w:space="0" w:color="auto"/>
        <w:bottom w:val="none" w:sz="0" w:space="0" w:color="auto"/>
        <w:right w:val="none" w:sz="0" w:space="0" w:color="auto"/>
      </w:divBdr>
    </w:div>
    <w:div w:id="894773674">
      <w:bodyDiv w:val="1"/>
      <w:marLeft w:val="0"/>
      <w:marRight w:val="0"/>
      <w:marTop w:val="0"/>
      <w:marBottom w:val="0"/>
      <w:divBdr>
        <w:top w:val="none" w:sz="0" w:space="0" w:color="auto"/>
        <w:left w:val="none" w:sz="0" w:space="0" w:color="auto"/>
        <w:bottom w:val="none" w:sz="0" w:space="0" w:color="auto"/>
        <w:right w:val="none" w:sz="0" w:space="0" w:color="auto"/>
      </w:divBdr>
    </w:div>
    <w:div w:id="894775489">
      <w:bodyDiv w:val="1"/>
      <w:marLeft w:val="0"/>
      <w:marRight w:val="0"/>
      <w:marTop w:val="0"/>
      <w:marBottom w:val="0"/>
      <w:divBdr>
        <w:top w:val="none" w:sz="0" w:space="0" w:color="auto"/>
        <w:left w:val="none" w:sz="0" w:space="0" w:color="auto"/>
        <w:bottom w:val="none" w:sz="0" w:space="0" w:color="auto"/>
        <w:right w:val="none" w:sz="0" w:space="0" w:color="auto"/>
      </w:divBdr>
    </w:div>
    <w:div w:id="894777789">
      <w:bodyDiv w:val="1"/>
      <w:marLeft w:val="0"/>
      <w:marRight w:val="0"/>
      <w:marTop w:val="0"/>
      <w:marBottom w:val="0"/>
      <w:divBdr>
        <w:top w:val="none" w:sz="0" w:space="0" w:color="auto"/>
        <w:left w:val="none" w:sz="0" w:space="0" w:color="auto"/>
        <w:bottom w:val="none" w:sz="0" w:space="0" w:color="auto"/>
        <w:right w:val="none" w:sz="0" w:space="0" w:color="auto"/>
      </w:divBdr>
    </w:div>
    <w:div w:id="894779108">
      <w:bodyDiv w:val="1"/>
      <w:marLeft w:val="0"/>
      <w:marRight w:val="0"/>
      <w:marTop w:val="0"/>
      <w:marBottom w:val="0"/>
      <w:divBdr>
        <w:top w:val="none" w:sz="0" w:space="0" w:color="auto"/>
        <w:left w:val="none" w:sz="0" w:space="0" w:color="auto"/>
        <w:bottom w:val="none" w:sz="0" w:space="0" w:color="auto"/>
        <w:right w:val="none" w:sz="0" w:space="0" w:color="auto"/>
      </w:divBdr>
    </w:div>
    <w:div w:id="894858112">
      <w:bodyDiv w:val="1"/>
      <w:marLeft w:val="0"/>
      <w:marRight w:val="0"/>
      <w:marTop w:val="0"/>
      <w:marBottom w:val="0"/>
      <w:divBdr>
        <w:top w:val="none" w:sz="0" w:space="0" w:color="auto"/>
        <w:left w:val="none" w:sz="0" w:space="0" w:color="auto"/>
        <w:bottom w:val="none" w:sz="0" w:space="0" w:color="auto"/>
        <w:right w:val="none" w:sz="0" w:space="0" w:color="auto"/>
      </w:divBdr>
    </w:div>
    <w:div w:id="894900268">
      <w:bodyDiv w:val="1"/>
      <w:marLeft w:val="0"/>
      <w:marRight w:val="0"/>
      <w:marTop w:val="0"/>
      <w:marBottom w:val="0"/>
      <w:divBdr>
        <w:top w:val="none" w:sz="0" w:space="0" w:color="auto"/>
        <w:left w:val="none" w:sz="0" w:space="0" w:color="auto"/>
        <w:bottom w:val="none" w:sz="0" w:space="0" w:color="auto"/>
        <w:right w:val="none" w:sz="0" w:space="0" w:color="auto"/>
      </w:divBdr>
    </w:div>
    <w:div w:id="895048766">
      <w:bodyDiv w:val="1"/>
      <w:marLeft w:val="0"/>
      <w:marRight w:val="0"/>
      <w:marTop w:val="0"/>
      <w:marBottom w:val="0"/>
      <w:divBdr>
        <w:top w:val="none" w:sz="0" w:space="0" w:color="auto"/>
        <w:left w:val="none" w:sz="0" w:space="0" w:color="auto"/>
        <w:bottom w:val="none" w:sz="0" w:space="0" w:color="auto"/>
        <w:right w:val="none" w:sz="0" w:space="0" w:color="auto"/>
      </w:divBdr>
    </w:div>
    <w:div w:id="895051307">
      <w:bodyDiv w:val="1"/>
      <w:marLeft w:val="0"/>
      <w:marRight w:val="0"/>
      <w:marTop w:val="0"/>
      <w:marBottom w:val="0"/>
      <w:divBdr>
        <w:top w:val="none" w:sz="0" w:space="0" w:color="auto"/>
        <w:left w:val="none" w:sz="0" w:space="0" w:color="auto"/>
        <w:bottom w:val="none" w:sz="0" w:space="0" w:color="auto"/>
        <w:right w:val="none" w:sz="0" w:space="0" w:color="auto"/>
      </w:divBdr>
    </w:div>
    <w:div w:id="895163242">
      <w:bodyDiv w:val="1"/>
      <w:marLeft w:val="0"/>
      <w:marRight w:val="0"/>
      <w:marTop w:val="0"/>
      <w:marBottom w:val="0"/>
      <w:divBdr>
        <w:top w:val="none" w:sz="0" w:space="0" w:color="auto"/>
        <w:left w:val="none" w:sz="0" w:space="0" w:color="auto"/>
        <w:bottom w:val="none" w:sz="0" w:space="0" w:color="auto"/>
        <w:right w:val="none" w:sz="0" w:space="0" w:color="auto"/>
      </w:divBdr>
    </w:div>
    <w:div w:id="895167058">
      <w:bodyDiv w:val="1"/>
      <w:marLeft w:val="0"/>
      <w:marRight w:val="0"/>
      <w:marTop w:val="0"/>
      <w:marBottom w:val="0"/>
      <w:divBdr>
        <w:top w:val="none" w:sz="0" w:space="0" w:color="auto"/>
        <w:left w:val="none" w:sz="0" w:space="0" w:color="auto"/>
        <w:bottom w:val="none" w:sz="0" w:space="0" w:color="auto"/>
        <w:right w:val="none" w:sz="0" w:space="0" w:color="auto"/>
      </w:divBdr>
    </w:div>
    <w:div w:id="895353746">
      <w:bodyDiv w:val="1"/>
      <w:marLeft w:val="0"/>
      <w:marRight w:val="0"/>
      <w:marTop w:val="0"/>
      <w:marBottom w:val="0"/>
      <w:divBdr>
        <w:top w:val="none" w:sz="0" w:space="0" w:color="auto"/>
        <w:left w:val="none" w:sz="0" w:space="0" w:color="auto"/>
        <w:bottom w:val="none" w:sz="0" w:space="0" w:color="auto"/>
        <w:right w:val="none" w:sz="0" w:space="0" w:color="auto"/>
      </w:divBdr>
    </w:div>
    <w:div w:id="895506194">
      <w:bodyDiv w:val="1"/>
      <w:marLeft w:val="0"/>
      <w:marRight w:val="0"/>
      <w:marTop w:val="0"/>
      <w:marBottom w:val="0"/>
      <w:divBdr>
        <w:top w:val="none" w:sz="0" w:space="0" w:color="auto"/>
        <w:left w:val="none" w:sz="0" w:space="0" w:color="auto"/>
        <w:bottom w:val="none" w:sz="0" w:space="0" w:color="auto"/>
        <w:right w:val="none" w:sz="0" w:space="0" w:color="auto"/>
      </w:divBdr>
    </w:div>
    <w:div w:id="895512580">
      <w:bodyDiv w:val="1"/>
      <w:marLeft w:val="0"/>
      <w:marRight w:val="0"/>
      <w:marTop w:val="0"/>
      <w:marBottom w:val="0"/>
      <w:divBdr>
        <w:top w:val="none" w:sz="0" w:space="0" w:color="auto"/>
        <w:left w:val="none" w:sz="0" w:space="0" w:color="auto"/>
        <w:bottom w:val="none" w:sz="0" w:space="0" w:color="auto"/>
        <w:right w:val="none" w:sz="0" w:space="0" w:color="auto"/>
      </w:divBdr>
    </w:div>
    <w:div w:id="895554867">
      <w:bodyDiv w:val="1"/>
      <w:marLeft w:val="0"/>
      <w:marRight w:val="0"/>
      <w:marTop w:val="0"/>
      <w:marBottom w:val="0"/>
      <w:divBdr>
        <w:top w:val="none" w:sz="0" w:space="0" w:color="auto"/>
        <w:left w:val="none" w:sz="0" w:space="0" w:color="auto"/>
        <w:bottom w:val="none" w:sz="0" w:space="0" w:color="auto"/>
        <w:right w:val="none" w:sz="0" w:space="0" w:color="auto"/>
      </w:divBdr>
    </w:div>
    <w:div w:id="895579625">
      <w:bodyDiv w:val="1"/>
      <w:marLeft w:val="0"/>
      <w:marRight w:val="0"/>
      <w:marTop w:val="0"/>
      <w:marBottom w:val="0"/>
      <w:divBdr>
        <w:top w:val="none" w:sz="0" w:space="0" w:color="auto"/>
        <w:left w:val="none" w:sz="0" w:space="0" w:color="auto"/>
        <w:bottom w:val="none" w:sz="0" w:space="0" w:color="auto"/>
        <w:right w:val="none" w:sz="0" w:space="0" w:color="auto"/>
      </w:divBdr>
    </w:div>
    <w:div w:id="895580632">
      <w:bodyDiv w:val="1"/>
      <w:marLeft w:val="0"/>
      <w:marRight w:val="0"/>
      <w:marTop w:val="0"/>
      <w:marBottom w:val="0"/>
      <w:divBdr>
        <w:top w:val="none" w:sz="0" w:space="0" w:color="auto"/>
        <w:left w:val="none" w:sz="0" w:space="0" w:color="auto"/>
        <w:bottom w:val="none" w:sz="0" w:space="0" w:color="auto"/>
        <w:right w:val="none" w:sz="0" w:space="0" w:color="auto"/>
      </w:divBdr>
    </w:div>
    <w:div w:id="895773860">
      <w:bodyDiv w:val="1"/>
      <w:marLeft w:val="0"/>
      <w:marRight w:val="0"/>
      <w:marTop w:val="0"/>
      <w:marBottom w:val="0"/>
      <w:divBdr>
        <w:top w:val="none" w:sz="0" w:space="0" w:color="auto"/>
        <w:left w:val="none" w:sz="0" w:space="0" w:color="auto"/>
        <w:bottom w:val="none" w:sz="0" w:space="0" w:color="auto"/>
        <w:right w:val="none" w:sz="0" w:space="0" w:color="auto"/>
      </w:divBdr>
    </w:div>
    <w:div w:id="895893451">
      <w:bodyDiv w:val="1"/>
      <w:marLeft w:val="0"/>
      <w:marRight w:val="0"/>
      <w:marTop w:val="0"/>
      <w:marBottom w:val="0"/>
      <w:divBdr>
        <w:top w:val="none" w:sz="0" w:space="0" w:color="auto"/>
        <w:left w:val="none" w:sz="0" w:space="0" w:color="auto"/>
        <w:bottom w:val="none" w:sz="0" w:space="0" w:color="auto"/>
        <w:right w:val="none" w:sz="0" w:space="0" w:color="auto"/>
      </w:divBdr>
    </w:div>
    <w:div w:id="896014241">
      <w:bodyDiv w:val="1"/>
      <w:marLeft w:val="0"/>
      <w:marRight w:val="0"/>
      <w:marTop w:val="0"/>
      <w:marBottom w:val="0"/>
      <w:divBdr>
        <w:top w:val="none" w:sz="0" w:space="0" w:color="auto"/>
        <w:left w:val="none" w:sz="0" w:space="0" w:color="auto"/>
        <w:bottom w:val="none" w:sz="0" w:space="0" w:color="auto"/>
        <w:right w:val="none" w:sz="0" w:space="0" w:color="auto"/>
      </w:divBdr>
    </w:div>
    <w:div w:id="896016011">
      <w:bodyDiv w:val="1"/>
      <w:marLeft w:val="0"/>
      <w:marRight w:val="0"/>
      <w:marTop w:val="0"/>
      <w:marBottom w:val="0"/>
      <w:divBdr>
        <w:top w:val="none" w:sz="0" w:space="0" w:color="auto"/>
        <w:left w:val="none" w:sz="0" w:space="0" w:color="auto"/>
        <w:bottom w:val="none" w:sz="0" w:space="0" w:color="auto"/>
        <w:right w:val="none" w:sz="0" w:space="0" w:color="auto"/>
      </w:divBdr>
    </w:div>
    <w:div w:id="896084895">
      <w:bodyDiv w:val="1"/>
      <w:marLeft w:val="0"/>
      <w:marRight w:val="0"/>
      <w:marTop w:val="0"/>
      <w:marBottom w:val="0"/>
      <w:divBdr>
        <w:top w:val="none" w:sz="0" w:space="0" w:color="auto"/>
        <w:left w:val="none" w:sz="0" w:space="0" w:color="auto"/>
        <w:bottom w:val="none" w:sz="0" w:space="0" w:color="auto"/>
        <w:right w:val="none" w:sz="0" w:space="0" w:color="auto"/>
      </w:divBdr>
    </w:div>
    <w:div w:id="896235080">
      <w:bodyDiv w:val="1"/>
      <w:marLeft w:val="0"/>
      <w:marRight w:val="0"/>
      <w:marTop w:val="0"/>
      <w:marBottom w:val="0"/>
      <w:divBdr>
        <w:top w:val="none" w:sz="0" w:space="0" w:color="auto"/>
        <w:left w:val="none" w:sz="0" w:space="0" w:color="auto"/>
        <w:bottom w:val="none" w:sz="0" w:space="0" w:color="auto"/>
        <w:right w:val="none" w:sz="0" w:space="0" w:color="auto"/>
      </w:divBdr>
    </w:div>
    <w:div w:id="896277892">
      <w:bodyDiv w:val="1"/>
      <w:marLeft w:val="0"/>
      <w:marRight w:val="0"/>
      <w:marTop w:val="0"/>
      <w:marBottom w:val="0"/>
      <w:divBdr>
        <w:top w:val="none" w:sz="0" w:space="0" w:color="auto"/>
        <w:left w:val="none" w:sz="0" w:space="0" w:color="auto"/>
        <w:bottom w:val="none" w:sz="0" w:space="0" w:color="auto"/>
        <w:right w:val="none" w:sz="0" w:space="0" w:color="auto"/>
      </w:divBdr>
    </w:div>
    <w:div w:id="896278114">
      <w:bodyDiv w:val="1"/>
      <w:marLeft w:val="0"/>
      <w:marRight w:val="0"/>
      <w:marTop w:val="0"/>
      <w:marBottom w:val="0"/>
      <w:divBdr>
        <w:top w:val="none" w:sz="0" w:space="0" w:color="auto"/>
        <w:left w:val="none" w:sz="0" w:space="0" w:color="auto"/>
        <w:bottom w:val="none" w:sz="0" w:space="0" w:color="auto"/>
        <w:right w:val="none" w:sz="0" w:space="0" w:color="auto"/>
      </w:divBdr>
    </w:div>
    <w:div w:id="896278313">
      <w:bodyDiv w:val="1"/>
      <w:marLeft w:val="0"/>
      <w:marRight w:val="0"/>
      <w:marTop w:val="0"/>
      <w:marBottom w:val="0"/>
      <w:divBdr>
        <w:top w:val="none" w:sz="0" w:space="0" w:color="auto"/>
        <w:left w:val="none" w:sz="0" w:space="0" w:color="auto"/>
        <w:bottom w:val="none" w:sz="0" w:space="0" w:color="auto"/>
        <w:right w:val="none" w:sz="0" w:space="0" w:color="auto"/>
      </w:divBdr>
    </w:div>
    <w:div w:id="896282273">
      <w:bodyDiv w:val="1"/>
      <w:marLeft w:val="0"/>
      <w:marRight w:val="0"/>
      <w:marTop w:val="0"/>
      <w:marBottom w:val="0"/>
      <w:divBdr>
        <w:top w:val="none" w:sz="0" w:space="0" w:color="auto"/>
        <w:left w:val="none" w:sz="0" w:space="0" w:color="auto"/>
        <w:bottom w:val="none" w:sz="0" w:space="0" w:color="auto"/>
        <w:right w:val="none" w:sz="0" w:space="0" w:color="auto"/>
      </w:divBdr>
    </w:div>
    <w:div w:id="896282902">
      <w:bodyDiv w:val="1"/>
      <w:marLeft w:val="0"/>
      <w:marRight w:val="0"/>
      <w:marTop w:val="0"/>
      <w:marBottom w:val="0"/>
      <w:divBdr>
        <w:top w:val="none" w:sz="0" w:space="0" w:color="auto"/>
        <w:left w:val="none" w:sz="0" w:space="0" w:color="auto"/>
        <w:bottom w:val="none" w:sz="0" w:space="0" w:color="auto"/>
        <w:right w:val="none" w:sz="0" w:space="0" w:color="auto"/>
      </w:divBdr>
    </w:div>
    <w:div w:id="896358227">
      <w:bodyDiv w:val="1"/>
      <w:marLeft w:val="0"/>
      <w:marRight w:val="0"/>
      <w:marTop w:val="0"/>
      <w:marBottom w:val="0"/>
      <w:divBdr>
        <w:top w:val="none" w:sz="0" w:space="0" w:color="auto"/>
        <w:left w:val="none" w:sz="0" w:space="0" w:color="auto"/>
        <w:bottom w:val="none" w:sz="0" w:space="0" w:color="auto"/>
        <w:right w:val="none" w:sz="0" w:space="0" w:color="auto"/>
      </w:divBdr>
    </w:div>
    <w:div w:id="896431480">
      <w:bodyDiv w:val="1"/>
      <w:marLeft w:val="0"/>
      <w:marRight w:val="0"/>
      <w:marTop w:val="0"/>
      <w:marBottom w:val="0"/>
      <w:divBdr>
        <w:top w:val="none" w:sz="0" w:space="0" w:color="auto"/>
        <w:left w:val="none" w:sz="0" w:space="0" w:color="auto"/>
        <w:bottom w:val="none" w:sz="0" w:space="0" w:color="auto"/>
        <w:right w:val="none" w:sz="0" w:space="0" w:color="auto"/>
      </w:divBdr>
    </w:div>
    <w:div w:id="896668459">
      <w:bodyDiv w:val="1"/>
      <w:marLeft w:val="0"/>
      <w:marRight w:val="0"/>
      <w:marTop w:val="0"/>
      <w:marBottom w:val="0"/>
      <w:divBdr>
        <w:top w:val="none" w:sz="0" w:space="0" w:color="auto"/>
        <w:left w:val="none" w:sz="0" w:space="0" w:color="auto"/>
        <w:bottom w:val="none" w:sz="0" w:space="0" w:color="auto"/>
        <w:right w:val="none" w:sz="0" w:space="0" w:color="auto"/>
      </w:divBdr>
    </w:div>
    <w:div w:id="896673411">
      <w:bodyDiv w:val="1"/>
      <w:marLeft w:val="0"/>
      <w:marRight w:val="0"/>
      <w:marTop w:val="0"/>
      <w:marBottom w:val="0"/>
      <w:divBdr>
        <w:top w:val="none" w:sz="0" w:space="0" w:color="auto"/>
        <w:left w:val="none" w:sz="0" w:space="0" w:color="auto"/>
        <w:bottom w:val="none" w:sz="0" w:space="0" w:color="auto"/>
        <w:right w:val="none" w:sz="0" w:space="0" w:color="auto"/>
      </w:divBdr>
    </w:div>
    <w:div w:id="896740416">
      <w:bodyDiv w:val="1"/>
      <w:marLeft w:val="0"/>
      <w:marRight w:val="0"/>
      <w:marTop w:val="0"/>
      <w:marBottom w:val="0"/>
      <w:divBdr>
        <w:top w:val="none" w:sz="0" w:space="0" w:color="auto"/>
        <w:left w:val="none" w:sz="0" w:space="0" w:color="auto"/>
        <w:bottom w:val="none" w:sz="0" w:space="0" w:color="auto"/>
        <w:right w:val="none" w:sz="0" w:space="0" w:color="auto"/>
      </w:divBdr>
    </w:div>
    <w:div w:id="896865337">
      <w:bodyDiv w:val="1"/>
      <w:marLeft w:val="0"/>
      <w:marRight w:val="0"/>
      <w:marTop w:val="0"/>
      <w:marBottom w:val="0"/>
      <w:divBdr>
        <w:top w:val="none" w:sz="0" w:space="0" w:color="auto"/>
        <w:left w:val="none" w:sz="0" w:space="0" w:color="auto"/>
        <w:bottom w:val="none" w:sz="0" w:space="0" w:color="auto"/>
        <w:right w:val="none" w:sz="0" w:space="0" w:color="auto"/>
      </w:divBdr>
    </w:div>
    <w:div w:id="896866057">
      <w:bodyDiv w:val="1"/>
      <w:marLeft w:val="0"/>
      <w:marRight w:val="0"/>
      <w:marTop w:val="0"/>
      <w:marBottom w:val="0"/>
      <w:divBdr>
        <w:top w:val="none" w:sz="0" w:space="0" w:color="auto"/>
        <w:left w:val="none" w:sz="0" w:space="0" w:color="auto"/>
        <w:bottom w:val="none" w:sz="0" w:space="0" w:color="auto"/>
        <w:right w:val="none" w:sz="0" w:space="0" w:color="auto"/>
      </w:divBdr>
    </w:div>
    <w:div w:id="896939137">
      <w:bodyDiv w:val="1"/>
      <w:marLeft w:val="0"/>
      <w:marRight w:val="0"/>
      <w:marTop w:val="0"/>
      <w:marBottom w:val="0"/>
      <w:divBdr>
        <w:top w:val="none" w:sz="0" w:space="0" w:color="auto"/>
        <w:left w:val="none" w:sz="0" w:space="0" w:color="auto"/>
        <w:bottom w:val="none" w:sz="0" w:space="0" w:color="auto"/>
        <w:right w:val="none" w:sz="0" w:space="0" w:color="auto"/>
      </w:divBdr>
    </w:div>
    <w:div w:id="896942313">
      <w:bodyDiv w:val="1"/>
      <w:marLeft w:val="0"/>
      <w:marRight w:val="0"/>
      <w:marTop w:val="0"/>
      <w:marBottom w:val="0"/>
      <w:divBdr>
        <w:top w:val="none" w:sz="0" w:space="0" w:color="auto"/>
        <w:left w:val="none" w:sz="0" w:space="0" w:color="auto"/>
        <w:bottom w:val="none" w:sz="0" w:space="0" w:color="auto"/>
        <w:right w:val="none" w:sz="0" w:space="0" w:color="auto"/>
      </w:divBdr>
    </w:div>
    <w:div w:id="897088435">
      <w:bodyDiv w:val="1"/>
      <w:marLeft w:val="0"/>
      <w:marRight w:val="0"/>
      <w:marTop w:val="0"/>
      <w:marBottom w:val="0"/>
      <w:divBdr>
        <w:top w:val="none" w:sz="0" w:space="0" w:color="auto"/>
        <w:left w:val="none" w:sz="0" w:space="0" w:color="auto"/>
        <w:bottom w:val="none" w:sz="0" w:space="0" w:color="auto"/>
        <w:right w:val="none" w:sz="0" w:space="0" w:color="auto"/>
      </w:divBdr>
    </w:div>
    <w:div w:id="897128174">
      <w:bodyDiv w:val="1"/>
      <w:marLeft w:val="0"/>
      <w:marRight w:val="0"/>
      <w:marTop w:val="0"/>
      <w:marBottom w:val="0"/>
      <w:divBdr>
        <w:top w:val="none" w:sz="0" w:space="0" w:color="auto"/>
        <w:left w:val="none" w:sz="0" w:space="0" w:color="auto"/>
        <w:bottom w:val="none" w:sz="0" w:space="0" w:color="auto"/>
        <w:right w:val="none" w:sz="0" w:space="0" w:color="auto"/>
      </w:divBdr>
    </w:div>
    <w:div w:id="897129191">
      <w:bodyDiv w:val="1"/>
      <w:marLeft w:val="0"/>
      <w:marRight w:val="0"/>
      <w:marTop w:val="0"/>
      <w:marBottom w:val="0"/>
      <w:divBdr>
        <w:top w:val="none" w:sz="0" w:space="0" w:color="auto"/>
        <w:left w:val="none" w:sz="0" w:space="0" w:color="auto"/>
        <w:bottom w:val="none" w:sz="0" w:space="0" w:color="auto"/>
        <w:right w:val="none" w:sz="0" w:space="0" w:color="auto"/>
      </w:divBdr>
    </w:div>
    <w:div w:id="897279789">
      <w:bodyDiv w:val="1"/>
      <w:marLeft w:val="0"/>
      <w:marRight w:val="0"/>
      <w:marTop w:val="0"/>
      <w:marBottom w:val="0"/>
      <w:divBdr>
        <w:top w:val="none" w:sz="0" w:space="0" w:color="auto"/>
        <w:left w:val="none" w:sz="0" w:space="0" w:color="auto"/>
        <w:bottom w:val="none" w:sz="0" w:space="0" w:color="auto"/>
        <w:right w:val="none" w:sz="0" w:space="0" w:color="auto"/>
      </w:divBdr>
    </w:div>
    <w:div w:id="897280455">
      <w:bodyDiv w:val="1"/>
      <w:marLeft w:val="0"/>
      <w:marRight w:val="0"/>
      <w:marTop w:val="0"/>
      <w:marBottom w:val="0"/>
      <w:divBdr>
        <w:top w:val="none" w:sz="0" w:space="0" w:color="auto"/>
        <w:left w:val="none" w:sz="0" w:space="0" w:color="auto"/>
        <w:bottom w:val="none" w:sz="0" w:space="0" w:color="auto"/>
        <w:right w:val="none" w:sz="0" w:space="0" w:color="auto"/>
      </w:divBdr>
    </w:div>
    <w:div w:id="897783332">
      <w:bodyDiv w:val="1"/>
      <w:marLeft w:val="0"/>
      <w:marRight w:val="0"/>
      <w:marTop w:val="0"/>
      <w:marBottom w:val="0"/>
      <w:divBdr>
        <w:top w:val="none" w:sz="0" w:space="0" w:color="auto"/>
        <w:left w:val="none" w:sz="0" w:space="0" w:color="auto"/>
        <w:bottom w:val="none" w:sz="0" w:space="0" w:color="auto"/>
        <w:right w:val="none" w:sz="0" w:space="0" w:color="auto"/>
      </w:divBdr>
    </w:div>
    <w:div w:id="897856662">
      <w:bodyDiv w:val="1"/>
      <w:marLeft w:val="0"/>
      <w:marRight w:val="0"/>
      <w:marTop w:val="0"/>
      <w:marBottom w:val="0"/>
      <w:divBdr>
        <w:top w:val="none" w:sz="0" w:space="0" w:color="auto"/>
        <w:left w:val="none" w:sz="0" w:space="0" w:color="auto"/>
        <w:bottom w:val="none" w:sz="0" w:space="0" w:color="auto"/>
        <w:right w:val="none" w:sz="0" w:space="0" w:color="auto"/>
      </w:divBdr>
    </w:div>
    <w:div w:id="897859241">
      <w:bodyDiv w:val="1"/>
      <w:marLeft w:val="0"/>
      <w:marRight w:val="0"/>
      <w:marTop w:val="0"/>
      <w:marBottom w:val="0"/>
      <w:divBdr>
        <w:top w:val="none" w:sz="0" w:space="0" w:color="auto"/>
        <w:left w:val="none" w:sz="0" w:space="0" w:color="auto"/>
        <w:bottom w:val="none" w:sz="0" w:space="0" w:color="auto"/>
        <w:right w:val="none" w:sz="0" w:space="0" w:color="auto"/>
      </w:divBdr>
    </w:div>
    <w:div w:id="898055857">
      <w:bodyDiv w:val="1"/>
      <w:marLeft w:val="0"/>
      <w:marRight w:val="0"/>
      <w:marTop w:val="0"/>
      <w:marBottom w:val="0"/>
      <w:divBdr>
        <w:top w:val="none" w:sz="0" w:space="0" w:color="auto"/>
        <w:left w:val="none" w:sz="0" w:space="0" w:color="auto"/>
        <w:bottom w:val="none" w:sz="0" w:space="0" w:color="auto"/>
        <w:right w:val="none" w:sz="0" w:space="0" w:color="auto"/>
      </w:divBdr>
    </w:div>
    <w:div w:id="898058652">
      <w:bodyDiv w:val="1"/>
      <w:marLeft w:val="0"/>
      <w:marRight w:val="0"/>
      <w:marTop w:val="0"/>
      <w:marBottom w:val="0"/>
      <w:divBdr>
        <w:top w:val="none" w:sz="0" w:space="0" w:color="auto"/>
        <w:left w:val="none" w:sz="0" w:space="0" w:color="auto"/>
        <w:bottom w:val="none" w:sz="0" w:space="0" w:color="auto"/>
        <w:right w:val="none" w:sz="0" w:space="0" w:color="auto"/>
      </w:divBdr>
    </w:div>
    <w:div w:id="898058821">
      <w:bodyDiv w:val="1"/>
      <w:marLeft w:val="0"/>
      <w:marRight w:val="0"/>
      <w:marTop w:val="0"/>
      <w:marBottom w:val="0"/>
      <w:divBdr>
        <w:top w:val="none" w:sz="0" w:space="0" w:color="auto"/>
        <w:left w:val="none" w:sz="0" w:space="0" w:color="auto"/>
        <w:bottom w:val="none" w:sz="0" w:space="0" w:color="auto"/>
        <w:right w:val="none" w:sz="0" w:space="0" w:color="auto"/>
      </w:divBdr>
    </w:div>
    <w:div w:id="898128749">
      <w:bodyDiv w:val="1"/>
      <w:marLeft w:val="0"/>
      <w:marRight w:val="0"/>
      <w:marTop w:val="0"/>
      <w:marBottom w:val="0"/>
      <w:divBdr>
        <w:top w:val="none" w:sz="0" w:space="0" w:color="auto"/>
        <w:left w:val="none" w:sz="0" w:space="0" w:color="auto"/>
        <w:bottom w:val="none" w:sz="0" w:space="0" w:color="auto"/>
        <w:right w:val="none" w:sz="0" w:space="0" w:color="auto"/>
      </w:divBdr>
    </w:div>
    <w:div w:id="898175318">
      <w:bodyDiv w:val="1"/>
      <w:marLeft w:val="0"/>
      <w:marRight w:val="0"/>
      <w:marTop w:val="0"/>
      <w:marBottom w:val="0"/>
      <w:divBdr>
        <w:top w:val="none" w:sz="0" w:space="0" w:color="auto"/>
        <w:left w:val="none" w:sz="0" w:space="0" w:color="auto"/>
        <w:bottom w:val="none" w:sz="0" w:space="0" w:color="auto"/>
        <w:right w:val="none" w:sz="0" w:space="0" w:color="auto"/>
      </w:divBdr>
    </w:div>
    <w:div w:id="898203188">
      <w:bodyDiv w:val="1"/>
      <w:marLeft w:val="0"/>
      <w:marRight w:val="0"/>
      <w:marTop w:val="0"/>
      <w:marBottom w:val="0"/>
      <w:divBdr>
        <w:top w:val="none" w:sz="0" w:space="0" w:color="auto"/>
        <w:left w:val="none" w:sz="0" w:space="0" w:color="auto"/>
        <w:bottom w:val="none" w:sz="0" w:space="0" w:color="auto"/>
        <w:right w:val="none" w:sz="0" w:space="0" w:color="auto"/>
      </w:divBdr>
    </w:div>
    <w:div w:id="898321134">
      <w:bodyDiv w:val="1"/>
      <w:marLeft w:val="0"/>
      <w:marRight w:val="0"/>
      <w:marTop w:val="0"/>
      <w:marBottom w:val="0"/>
      <w:divBdr>
        <w:top w:val="none" w:sz="0" w:space="0" w:color="auto"/>
        <w:left w:val="none" w:sz="0" w:space="0" w:color="auto"/>
        <w:bottom w:val="none" w:sz="0" w:space="0" w:color="auto"/>
        <w:right w:val="none" w:sz="0" w:space="0" w:color="auto"/>
      </w:divBdr>
    </w:div>
    <w:div w:id="898369262">
      <w:bodyDiv w:val="1"/>
      <w:marLeft w:val="0"/>
      <w:marRight w:val="0"/>
      <w:marTop w:val="0"/>
      <w:marBottom w:val="0"/>
      <w:divBdr>
        <w:top w:val="none" w:sz="0" w:space="0" w:color="auto"/>
        <w:left w:val="none" w:sz="0" w:space="0" w:color="auto"/>
        <w:bottom w:val="none" w:sz="0" w:space="0" w:color="auto"/>
        <w:right w:val="none" w:sz="0" w:space="0" w:color="auto"/>
      </w:divBdr>
    </w:div>
    <w:div w:id="898512908">
      <w:bodyDiv w:val="1"/>
      <w:marLeft w:val="0"/>
      <w:marRight w:val="0"/>
      <w:marTop w:val="0"/>
      <w:marBottom w:val="0"/>
      <w:divBdr>
        <w:top w:val="none" w:sz="0" w:space="0" w:color="auto"/>
        <w:left w:val="none" w:sz="0" w:space="0" w:color="auto"/>
        <w:bottom w:val="none" w:sz="0" w:space="0" w:color="auto"/>
        <w:right w:val="none" w:sz="0" w:space="0" w:color="auto"/>
      </w:divBdr>
    </w:div>
    <w:div w:id="898521269">
      <w:bodyDiv w:val="1"/>
      <w:marLeft w:val="0"/>
      <w:marRight w:val="0"/>
      <w:marTop w:val="0"/>
      <w:marBottom w:val="0"/>
      <w:divBdr>
        <w:top w:val="none" w:sz="0" w:space="0" w:color="auto"/>
        <w:left w:val="none" w:sz="0" w:space="0" w:color="auto"/>
        <w:bottom w:val="none" w:sz="0" w:space="0" w:color="auto"/>
        <w:right w:val="none" w:sz="0" w:space="0" w:color="auto"/>
      </w:divBdr>
    </w:div>
    <w:div w:id="898593437">
      <w:bodyDiv w:val="1"/>
      <w:marLeft w:val="0"/>
      <w:marRight w:val="0"/>
      <w:marTop w:val="0"/>
      <w:marBottom w:val="0"/>
      <w:divBdr>
        <w:top w:val="none" w:sz="0" w:space="0" w:color="auto"/>
        <w:left w:val="none" w:sz="0" w:space="0" w:color="auto"/>
        <w:bottom w:val="none" w:sz="0" w:space="0" w:color="auto"/>
        <w:right w:val="none" w:sz="0" w:space="0" w:color="auto"/>
      </w:divBdr>
    </w:div>
    <w:div w:id="898634492">
      <w:bodyDiv w:val="1"/>
      <w:marLeft w:val="0"/>
      <w:marRight w:val="0"/>
      <w:marTop w:val="0"/>
      <w:marBottom w:val="0"/>
      <w:divBdr>
        <w:top w:val="none" w:sz="0" w:space="0" w:color="auto"/>
        <w:left w:val="none" w:sz="0" w:space="0" w:color="auto"/>
        <w:bottom w:val="none" w:sz="0" w:space="0" w:color="auto"/>
        <w:right w:val="none" w:sz="0" w:space="0" w:color="auto"/>
      </w:divBdr>
    </w:div>
    <w:div w:id="898902878">
      <w:bodyDiv w:val="1"/>
      <w:marLeft w:val="0"/>
      <w:marRight w:val="0"/>
      <w:marTop w:val="0"/>
      <w:marBottom w:val="0"/>
      <w:divBdr>
        <w:top w:val="none" w:sz="0" w:space="0" w:color="auto"/>
        <w:left w:val="none" w:sz="0" w:space="0" w:color="auto"/>
        <w:bottom w:val="none" w:sz="0" w:space="0" w:color="auto"/>
        <w:right w:val="none" w:sz="0" w:space="0" w:color="auto"/>
      </w:divBdr>
    </w:div>
    <w:div w:id="898979477">
      <w:bodyDiv w:val="1"/>
      <w:marLeft w:val="0"/>
      <w:marRight w:val="0"/>
      <w:marTop w:val="0"/>
      <w:marBottom w:val="0"/>
      <w:divBdr>
        <w:top w:val="none" w:sz="0" w:space="0" w:color="auto"/>
        <w:left w:val="none" w:sz="0" w:space="0" w:color="auto"/>
        <w:bottom w:val="none" w:sz="0" w:space="0" w:color="auto"/>
        <w:right w:val="none" w:sz="0" w:space="0" w:color="auto"/>
      </w:divBdr>
    </w:div>
    <w:div w:id="899023060">
      <w:bodyDiv w:val="1"/>
      <w:marLeft w:val="0"/>
      <w:marRight w:val="0"/>
      <w:marTop w:val="0"/>
      <w:marBottom w:val="0"/>
      <w:divBdr>
        <w:top w:val="none" w:sz="0" w:space="0" w:color="auto"/>
        <w:left w:val="none" w:sz="0" w:space="0" w:color="auto"/>
        <w:bottom w:val="none" w:sz="0" w:space="0" w:color="auto"/>
        <w:right w:val="none" w:sz="0" w:space="0" w:color="auto"/>
      </w:divBdr>
    </w:div>
    <w:div w:id="899050498">
      <w:bodyDiv w:val="1"/>
      <w:marLeft w:val="0"/>
      <w:marRight w:val="0"/>
      <w:marTop w:val="0"/>
      <w:marBottom w:val="0"/>
      <w:divBdr>
        <w:top w:val="none" w:sz="0" w:space="0" w:color="auto"/>
        <w:left w:val="none" w:sz="0" w:space="0" w:color="auto"/>
        <w:bottom w:val="none" w:sz="0" w:space="0" w:color="auto"/>
        <w:right w:val="none" w:sz="0" w:space="0" w:color="auto"/>
      </w:divBdr>
    </w:div>
    <w:div w:id="899054598">
      <w:bodyDiv w:val="1"/>
      <w:marLeft w:val="0"/>
      <w:marRight w:val="0"/>
      <w:marTop w:val="0"/>
      <w:marBottom w:val="0"/>
      <w:divBdr>
        <w:top w:val="none" w:sz="0" w:space="0" w:color="auto"/>
        <w:left w:val="none" w:sz="0" w:space="0" w:color="auto"/>
        <w:bottom w:val="none" w:sz="0" w:space="0" w:color="auto"/>
        <w:right w:val="none" w:sz="0" w:space="0" w:color="auto"/>
      </w:divBdr>
    </w:div>
    <w:div w:id="899171738">
      <w:bodyDiv w:val="1"/>
      <w:marLeft w:val="0"/>
      <w:marRight w:val="0"/>
      <w:marTop w:val="0"/>
      <w:marBottom w:val="0"/>
      <w:divBdr>
        <w:top w:val="none" w:sz="0" w:space="0" w:color="auto"/>
        <w:left w:val="none" w:sz="0" w:space="0" w:color="auto"/>
        <w:bottom w:val="none" w:sz="0" w:space="0" w:color="auto"/>
        <w:right w:val="none" w:sz="0" w:space="0" w:color="auto"/>
      </w:divBdr>
    </w:div>
    <w:div w:id="899244929">
      <w:bodyDiv w:val="1"/>
      <w:marLeft w:val="0"/>
      <w:marRight w:val="0"/>
      <w:marTop w:val="0"/>
      <w:marBottom w:val="0"/>
      <w:divBdr>
        <w:top w:val="none" w:sz="0" w:space="0" w:color="auto"/>
        <w:left w:val="none" w:sz="0" w:space="0" w:color="auto"/>
        <w:bottom w:val="none" w:sz="0" w:space="0" w:color="auto"/>
        <w:right w:val="none" w:sz="0" w:space="0" w:color="auto"/>
      </w:divBdr>
    </w:div>
    <w:div w:id="899288800">
      <w:bodyDiv w:val="1"/>
      <w:marLeft w:val="0"/>
      <w:marRight w:val="0"/>
      <w:marTop w:val="0"/>
      <w:marBottom w:val="0"/>
      <w:divBdr>
        <w:top w:val="none" w:sz="0" w:space="0" w:color="auto"/>
        <w:left w:val="none" w:sz="0" w:space="0" w:color="auto"/>
        <w:bottom w:val="none" w:sz="0" w:space="0" w:color="auto"/>
        <w:right w:val="none" w:sz="0" w:space="0" w:color="auto"/>
      </w:divBdr>
    </w:div>
    <w:div w:id="899360943">
      <w:bodyDiv w:val="1"/>
      <w:marLeft w:val="0"/>
      <w:marRight w:val="0"/>
      <w:marTop w:val="0"/>
      <w:marBottom w:val="0"/>
      <w:divBdr>
        <w:top w:val="none" w:sz="0" w:space="0" w:color="auto"/>
        <w:left w:val="none" w:sz="0" w:space="0" w:color="auto"/>
        <w:bottom w:val="none" w:sz="0" w:space="0" w:color="auto"/>
        <w:right w:val="none" w:sz="0" w:space="0" w:color="auto"/>
      </w:divBdr>
    </w:div>
    <w:div w:id="899362350">
      <w:bodyDiv w:val="1"/>
      <w:marLeft w:val="0"/>
      <w:marRight w:val="0"/>
      <w:marTop w:val="0"/>
      <w:marBottom w:val="0"/>
      <w:divBdr>
        <w:top w:val="none" w:sz="0" w:space="0" w:color="auto"/>
        <w:left w:val="none" w:sz="0" w:space="0" w:color="auto"/>
        <w:bottom w:val="none" w:sz="0" w:space="0" w:color="auto"/>
        <w:right w:val="none" w:sz="0" w:space="0" w:color="auto"/>
      </w:divBdr>
    </w:div>
    <w:div w:id="899364123">
      <w:bodyDiv w:val="1"/>
      <w:marLeft w:val="0"/>
      <w:marRight w:val="0"/>
      <w:marTop w:val="0"/>
      <w:marBottom w:val="0"/>
      <w:divBdr>
        <w:top w:val="none" w:sz="0" w:space="0" w:color="auto"/>
        <w:left w:val="none" w:sz="0" w:space="0" w:color="auto"/>
        <w:bottom w:val="none" w:sz="0" w:space="0" w:color="auto"/>
        <w:right w:val="none" w:sz="0" w:space="0" w:color="auto"/>
      </w:divBdr>
    </w:div>
    <w:div w:id="899443613">
      <w:bodyDiv w:val="1"/>
      <w:marLeft w:val="0"/>
      <w:marRight w:val="0"/>
      <w:marTop w:val="0"/>
      <w:marBottom w:val="0"/>
      <w:divBdr>
        <w:top w:val="none" w:sz="0" w:space="0" w:color="auto"/>
        <w:left w:val="none" w:sz="0" w:space="0" w:color="auto"/>
        <w:bottom w:val="none" w:sz="0" w:space="0" w:color="auto"/>
        <w:right w:val="none" w:sz="0" w:space="0" w:color="auto"/>
      </w:divBdr>
    </w:div>
    <w:div w:id="899560658">
      <w:bodyDiv w:val="1"/>
      <w:marLeft w:val="0"/>
      <w:marRight w:val="0"/>
      <w:marTop w:val="0"/>
      <w:marBottom w:val="0"/>
      <w:divBdr>
        <w:top w:val="none" w:sz="0" w:space="0" w:color="auto"/>
        <w:left w:val="none" w:sz="0" w:space="0" w:color="auto"/>
        <w:bottom w:val="none" w:sz="0" w:space="0" w:color="auto"/>
        <w:right w:val="none" w:sz="0" w:space="0" w:color="auto"/>
      </w:divBdr>
    </w:div>
    <w:div w:id="899632081">
      <w:bodyDiv w:val="1"/>
      <w:marLeft w:val="0"/>
      <w:marRight w:val="0"/>
      <w:marTop w:val="0"/>
      <w:marBottom w:val="0"/>
      <w:divBdr>
        <w:top w:val="none" w:sz="0" w:space="0" w:color="auto"/>
        <w:left w:val="none" w:sz="0" w:space="0" w:color="auto"/>
        <w:bottom w:val="none" w:sz="0" w:space="0" w:color="auto"/>
        <w:right w:val="none" w:sz="0" w:space="0" w:color="auto"/>
      </w:divBdr>
    </w:div>
    <w:div w:id="899632298">
      <w:bodyDiv w:val="1"/>
      <w:marLeft w:val="0"/>
      <w:marRight w:val="0"/>
      <w:marTop w:val="0"/>
      <w:marBottom w:val="0"/>
      <w:divBdr>
        <w:top w:val="none" w:sz="0" w:space="0" w:color="auto"/>
        <w:left w:val="none" w:sz="0" w:space="0" w:color="auto"/>
        <w:bottom w:val="none" w:sz="0" w:space="0" w:color="auto"/>
        <w:right w:val="none" w:sz="0" w:space="0" w:color="auto"/>
      </w:divBdr>
    </w:div>
    <w:div w:id="899750247">
      <w:bodyDiv w:val="1"/>
      <w:marLeft w:val="0"/>
      <w:marRight w:val="0"/>
      <w:marTop w:val="0"/>
      <w:marBottom w:val="0"/>
      <w:divBdr>
        <w:top w:val="none" w:sz="0" w:space="0" w:color="auto"/>
        <w:left w:val="none" w:sz="0" w:space="0" w:color="auto"/>
        <w:bottom w:val="none" w:sz="0" w:space="0" w:color="auto"/>
        <w:right w:val="none" w:sz="0" w:space="0" w:color="auto"/>
      </w:divBdr>
    </w:div>
    <w:div w:id="899755331">
      <w:bodyDiv w:val="1"/>
      <w:marLeft w:val="0"/>
      <w:marRight w:val="0"/>
      <w:marTop w:val="0"/>
      <w:marBottom w:val="0"/>
      <w:divBdr>
        <w:top w:val="none" w:sz="0" w:space="0" w:color="auto"/>
        <w:left w:val="none" w:sz="0" w:space="0" w:color="auto"/>
        <w:bottom w:val="none" w:sz="0" w:space="0" w:color="auto"/>
        <w:right w:val="none" w:sz="0" w:space="0" w:color="auto"/>
      </w:divBdr>
    </w:div>
    <w:div w:id="900017617">
      <w:bodyDiv w:val="1"/>
      <w:marLeft w:val="0"/>
      <w:marRight w:val="0"/>
      <w:marTop w:val="0"/>
      <w:marBottom w:val="0"/>
      <w:divBdr>
        <w:top w:val="none" w:sz="0" w:space="0" w:color="auto"/>
        <w:left w:val="none" w:sz="0" w:space="0" w:color="auto"/>
        <w:bottom w:val="none" w:sz="0" w:space="0" w:color="auto"/>
        <w:right w:val="none" w:sz="0" w:space="0" w:color="auto"/>
      </w:divBdr>
    </w:div>
    <w:div w:id="900140383">
      <w:bodyDiv w:val="1"/>
      <w:marLeft w:val="0"/>
      <w:marRight w:val="0"/>
      <w:marTop w:val="0"/>
      <w:marBottom w:val="0"/>
      <w:divBdr>
        <w:top w:val="none" w:sz="0" w:space="0" w:color="auto"/>
        <w:left w:val="none" w:sz="0" w:space="0" w:color="auto"/>
        <w:bottom w:val="none" w:sz="0" w:space="0" w:color="auto"/>
        <w:right w:val="none" w:sz="0" w:space="0" w:color="auto"/>
      </w:divBdr>
    </w:div>
    <w:div w:id="900168848">
      <w:bodyDiv w:val="1"/>
      <w:marLeft w:val="0"/>
      <w:marRight w:val="0"/>
      <w:marTop w:val="0"/>
      <w:marBottom w:val="0"/>
      <w:divBdr>
        <w:top w:val="none" w:sz="0" w:space="0" w:color="auto"/>
        <w:left w:val="none" w:sz="0" w:space="0" w:color="auto"/>
        <w:bottom w:val="none" w:sz="0" w:space="0" w:color="auto"/>
        <w:right w:val="none" w:sz="0" w:space="0" w:color="auto"/>
      </w:divBdr>
    </w:div>
    <w:div w:id="900209085">
      <w:bodyDiv w:val="1"/>
      <w:marLeft w:val="0"/>
      <w:marRight w:val="0"/>
      <w:marTop w:val="0"/>
      <w:marBottom w:val="0"/>
      <w:divBdr>
        <w:top w:val="none" w:sz="0" w:space="0" w:color="auto"/>
        <w:left w:val="none" w:sz="0" w:space="0" w:color="auto"/>
        <w:bottom w:val="none" w:sz="0" w:space="0" w:color="auto"/>
        <w:right w:val="none" w:sz="0" w:space="0" w:color="auto"/>
      </w:divBdr>
    </w:div>
    <w:div w:id="900216295">
      <w:bodyDiv w:val="1"/>
      <w:marLeft w:val="0"/>
      <w:marRight w:val="0"/>
      <w:marTop w:val="0"/>
      <w:marBottom w:val="0"/>
      <w:divBdr>
        <w:top w:val="none" w:sz="0" w:space="0" w:color="auto"/>
        <w:left w:val="none" w:sz="0" w:space="0" w:color="auto"/>
        <w:bottom w:val="none" w:sz="0" w:space="0" w:color="auto"/>
        <w:right w:val="none" w:sz="0" w:space="0" w:color="auto"/>
      </w:divBdr>
    </w:div>
    <w:div w:id="900217142">
      <w:bodyDiv w:val="1"/>
      <w:marLeft w:val="0"/>
      <w:marRight w:val="0"/>
      <w:marTop w:val="0"/>
      <w:marBottom w:val="0"/>
      <w:divBdr>
        <w:top w:val="none" w:sz="0" w:space="0" w:color="auto"/>
        <w:left w:val="none" w:sz="0" w:space="0" w:color="auto"/>
        <w:bottom w:val="none" w:sz="0" w:space="0" w:color="auto"/>
        <w:right w:val="none" w:sz="0" w:space="0" w:color="auto"/>
      </w:divBdr>
    </w:div>
    <w:div w:id="900286040">
      <w:bodyDiv w:val="1"/>
      <w:marLeft w:val="0"/>
      <w:marRight w:val="0"/>
      <w:marTop w:val="0"/>
      <w:marBottom w:val="0"/>
      <w:divBdr>
        <w:top w:val="none" w:sz="0" w:space="0" w:color="auto"/>
        <w:left w:val="none" w:sz="0" w:space="0" w:color="auto"/>
        <w:bottom w:val="none" w:sz="0" w:space="0" w:color="auto"/>
        <w:right w:val="none" w:sz="0" w:space="0" w:color="auto"/>
      </w:divBdr>
    </w:div>
    <w:div w:id="900287220">
      <w:bodyDiv w:val="1"/>
      <w:marLeft w:val="0"/>
      <w:marRight w:val="0"/>
      <w:marTop w:val="0"/>
      <w:marBottom w:val="0"/>
      <w:divBdr>
        <w:top w:val="none" w:sz="0" w:space="0" w:color="auto"/>
        <w:left w:val="none" w:sz="0" w:space="0" w:color="auto"/>
        <w:bottom w:val="none" w:sz="0" w:space="0" w:color="auto"/>
        <w:right w:val="none" w:sz="0" w:space="0" w:color="auto"/>
      </w:divBdr>
    </w:div>
    <w:div w:id="900359902">
      <w:bodyDiv w:val="1"/>
      <w:marLeft w:val="0"/>
      <w:marRight w:val="0"/>
      <w:marTop w:val="0"/>
      <w:marBottom w:val="0"/>
      <w:divBdr>
        <w:top w:val="none" w:sz="0" w:space="0" w:color="auto"/>
        <w:left w:val="none" w:sz="0" w:space="0" w:color="auto"/>
        <w:bottom w:val="none" w:sz="0" w:space="0" w:color="auto"/>
        <w:right w:val="none" w:sz="0" w:space="0" w:color="auto"/>
      </w:divBdr>
    </w:div>
    <w:div w:id="900407422">
      <w:bodyDiv w:val="1"/>
      <w:marLeft w:val="0"/>
      <w:marRight w:val="0"/>
      <w:marTop w:val="0"/>
      <w:marBottom w:val="0"/>
      <w:divBdr>
        <w:top w:val="none" w:sz="0" w:space="0" w:color="auto"/>
        <w:left w:val="none" w:sz="0" w:space="0" w:color="auto"/>
        <w:bottom w:val="none" w:sz="0" w:space="0" w:color="auto"/>
        <w:right w:val="none" w:sz="0" w:space="0" w:color="auto"/>
      </w:divBdr>
    </w:div>
    <w:div w:id="900598898">
      <w:bodyDiv w:val="1"/>
      <w:marLeft w:val="0"/>
      <w:marRight w:val="0"/>
      <w:marTop w:val="0"/>
      <w:marBottom w:val="0"/>
      <w:divBdr>
        <w:top w:val="none" w:sz="0" w:space="0" w:color="auto"/>
        <w:left w:val="none" w:sz="0" w:space="0" w:color="auto"/>
        <w:bottom w:val="none" w:sz="0" w:space="0" w:color="auto"/>
        <w:right w:val="none" w:sz="0" w:space="0" w:color="auto"/>
      </w:divBdr>
    </w:div>
    <w:div w:id="900678914">
      <w:bodyDiv w:val="1"/>
      <w:marLeft w:val="0"/>
      <w:marRight w:val="0"/>
      <w:marTop w:val="0"/>
      <w:marBottom w:val="0"/>
      <w:divBdr>
        <w:top w:val="none" w:sz="0" w:space="0" w:color="auto"/>
        <w:left w:val="none" w:sz="0" w:space="0" w:color="auto"/>
        <w:bottom w:val="none" w:sz="0" w:space="0" w:color="auto"/>
        <w:right w:val="none" w:sz="0" w:space="0" w:color="auto"/>
      </w:divBdr>
    </w:div>
    <w:div w:id="900870998">
      <w:bodyDiv w:val="1"/>
      <w:marLeft w:val="0"/>
      <w:marRight w:val="0"/>
      <w:marTop w:val="0"/>
      <w:marBottom w:val="0"/>
      <w:divBdr>
        <w:top w:val="none" w:sz="0" w:space="0" w:color="auto"/>
        <w:left w:val="none" w:sz="0" w:space="0" w:color="auto"/>
        <w:bottom w:val="none" w:sz="0" w:space="0" w:color="auto"/>
        <w:right w:val="none" w:sz="0" w:space="0" w:color="auto"/>
      </w:divBdr>
    </w:div>
    <w:div w:id="900946140">
      <w:bodyDiv w:val="1"/>
      <w:marLeft w:val="0"/>
      <w:marRight w:val="0"/>
      <w:marTop w:val="0"/>
      <w:marBottom w:val="0"/>
      <w:divBdr>
        <w:top w:val="none" w:sz="0" w:space="0" w:color="auto"/>
        <w:left w:val="none" w:sz="0" w:space="0" w:color="auto"/>
        <w:bottom w:val="none" w:sz="0" w:space="0" w:color="auto"/>
        <w:right w:val="none" w:sz="0" w:space="0" w:color="auto"/>
      </w:divBdr>
    </w:div>
    <w:div w:id="901018662">
      <w:bodyDiv w:val="1"/>
      <w:marLeft w:val="0"/>
      <w:marRight w:val="0"/>
      <w:marTop w:val="0"/>
      <w:marBottom w:val="0"/>
      <w:divBdr>
        <w:top w:val="none" w:sz="0" w:space="0" w:color="auto"/>
        <w:left w:val="none" w:sz="0" w:space="0" w:color="auto"/>
        <w:bottom w:val="none" w:sz="0" w:space="0" w:color="auto"/>
        <w:right w:val="none" w:sz="0" w:space="0" w:color="auto"/>
      </w:divBdr>
    </w:div>
    <w:div w:id="901060317">
      <w:bodyDiv w:val="1"/>
      <w:marLeft w:val="0"/>
      <w:marRight w:val="0"/>
      <w:marTop w:val="0"/>
      <w:marBottom w:val="0"/>
      <w:divBdr>
        <w:top w:val="none" w:sz="0" w:space="0" w:color="auto"/>
        <w:left w:val="none" w:sz="0" w:space="0" w:color="auto"/>
        <w:bottom w:val="none" w:sz="0" w:space="0" w:color="auto"/>
        <w:right w:val="none" w:sz="0" w:space="0" w:color="auto"/>
      </w:divBdr>
    </w:div>
    <w:div w:id="901136072">
      <w:bodyDiv w:val="1"/>
      <w:marLeft w:val="0"/>
      <w:marRight w:val="0"/>
      <w:marTop w:val="0"/>
      <w:marBottom w:val="0"/>
      <w:divBdr>
        <w:top w:val="none" w:sz="0" w:space="0" w:color="auto"/>
        <w:left w:val="none" w:sz="0" w:space="0" w:color="auto"/>
        <w:bottom w:val="none" w:sz="0" w:space="0" w:color="auto"/>
        <w:right w:val="none" w:sz="0" w:space="0" w:color="auto"/>
      </w:divBdr>
    </w:div>
    <w:div w:id="901137405">
      <w:bodyDiv w:val="1"/>
      <w:marLeft w:val="0"/>
      <w:marRight w:val="0"/>
      <w:marTop w:val="0"/>
      <w:marBottom w:val="0"/>
      <w:divBdr>
        <w:top w:val="none" w:sz="0" w:space="0" w:color="auto"/>
        <w:left w:val="none" w:sz="0" w:space="0" w:color="auto"/>
        <w:bottom w:val="none" w:sz="0" w:space="0" w:color="auto"/>
        <w:right w:val="none" w:sz="0" w:space="0" w:color="auto"/>
      </w:divBdr>
    </w:div>
    <w:div w:id="901211160">
      <w:bodyDiv w:val="1"/>
      <w:marLeft w:val="0"/>
      <w:marRight w:val="0"/>
      <w:marTop w:val="0"/>
      <w:marBottom w:val="0"/>
      <w:divBdr>
        <w:top w:val="none" w:sz="0" w:space="0" w:color="auto"/>
        <w:left w:val="none" w:sz="0" w:space="0" w:color="auto"/>
        <w:bottom w:val="none" w:sz="0" w:space="0" w:color="auto"/>
        <w:right w:val="none" w:sz="0" w:space="0" w:color="auto"/>
      </w:divBdr>
    </w:div>
    <w:div w:id="901217857">
      <w:bodyDiv w:val="1"/>
      <w:marLeft w:val="0"/>
      <w:marRight w:val="0"/>
      <w:marTop w:val="0"/>
      <w:marBottom w:val="0"/>
      <w:divBdr>
        <w:top w:val="none" w:sz="0" w:space="0" w:color="auto"/>
        <w:left w:val="none" w:sz="0" w:space="0" w:color="auto"/>
        <w:bottom w:val="none" w:sz="0" w:space="0" w:color="auto"/>
        <w:right w:val="none" w:sz="0" w:space="0" w:color="auto"/>
      </w:divBdr>
    </w:div>
    <w:div w:id="901403371">
      <w:bodyDiv w:val="1"/>
      <w:marLeft w:val="0"/>
      <w:marRight w:val="0"/>
      <w:marTop w:val="0"/>
      <w:marBottom w:val="0"/>
      <w:divBdr>
        <w:top w:val="none" w:sz="0" w:space="0" w:color="auto"/>
        <w:left w:val="none" w:sz="0" w:space="0" w:color="auto"/>
        <w:bottom w:val="none" w:sz="0" w:space="0" w:color="auto"/>
        <w:right w:val="none" w:sz="0" w:space="0" w:color="auto"/>
      </w:divBdr>
    </w:div>
    <w:div w:id="901406539">
      <w:bodyDiv w:val="1"/>
      <w:marLeft w:val="0"/>
      <w:marRight w:val="0"/>
      <w:marTop w:val="0"/>
      <w:marBottom w:val="0"/>
      <w:divBdr>
        <w:top w:val="none" w:sz="0" w:space="0" w:color="auto"/>
        <w:left w:val="none" w:sz="0" w:space="0" w:color="auto"/>
        <w:bottom w:val="none" w:sz="0" w:space="0" w:color="auto"/>
        <w:right w:val="none" w:sz="0" w:space="0" w:color="auto"/>
      </w:divBdr>
    </w:div>
    <w:div w:id="901477906">
      <w:bodyDiv w:val="1"/>
      <w:marLeft w:val="0"/>
      <w:marRight w:val="0"/>
      <w:marTop w:val="0"/>
      <w:marBottom w:val="0"/>
      <w:divBdr>
        <w:top w:val="none" w:sz="0" w:space="0" w:color="auto"/>
        <w:left w:val="none" w:sz="0" w:space="0" w:color="auto"/>
        <w:bottom w:val="none" w:sz="0" w:space="0" w:color="auto"/>
        <w:right w:val="none" w:sz="0" w:space="0" w:color="auto"/>
      </w:divBdr>
    </w:div>
    <w:div w:id="901524044">
      <w:bodyDiv w:val="1"/>
      <w:marLeft w:val="0"/>
      <w:marRight w:val="0"/>
      <w:marTop w:val="0"/>
      <w:marBottom w:val="0"/>
      <w:divBdr>
        <w:top w:val="none" w:sz="0" w:space="0" w:color="auto"/>
        <w:left w:val="none" w:sz="0" w:space="0" w:color="auto"/>
        <w:bottom w:val="none" w:sz="0" w:space="0" w:color="auto"/>
        <w:right w:val="none" w:sz="0" w:space="0" w:color="auto"/>
      </w:divBdr>
    </w:div>
    <w:div w:id="901674299">
      <w:bodyDiv w:val="1"/>
      <w:marLeft w:val="0"/>
      <w:marRight w:val="0"/>
      <w:marTop w:val="0"/>
      <w:marBottom w:val="0"/>
      <w:divBdr>
        <w:top w:val="none" w:sz="0" w:space="0" w:color="auto"/>
        <w:left w:val="none" w:sz="0" w:space="0" w:color="auto"/>
        <w:bottom w:val="none" w:sz="0" w:space="0" w:color="auto"/>
        <w:right w:val="none" w:sz="0" w:space="0" w:color="auto"/>
      </w:divBdr>
    </w:div>
    <w:div w:id="901675364">
      <w:bodyDiv w:val="1"/>
      <w:marLeft w:val="0"/>
      <w:marRight w:val="0"/>
      <w:marTop w:val="0"/>
      <w:marBottom w:val="0"/>
      <w:divBdr>
        <w:top w:val="none" w:sz="0" w:space="0" w:color="auto"/>
        <w:left w:val="none" w:sz="0" w:space="0" w:color="auto"/>
        <w:bottom w:val="none" w:sz="0" w:space="0" w:color="auto"/>
        <w:right w:val="none" w:sz="0" w:space="0" w:color="auto"/>
      </w:divBdr>
    </w:div>
    <w:div w:id="901715777">
      <w:bodyDiv w:val="1"/>
      <w:marLeft w:val="0"/>
      <w:marRight w:val="0"/>
      <w:marTop w:val="0"/>
      <w:marBottom w:val="0"/>
      <w:divBdr>
        <w:top w:val="none" w:sz="0" w:space="0" w:color="auto"/>
        <w:left w:val="none" w:sz="0" w:space="0" w:color="auto"/>
        <w:bottom w:val="none" w:sz="0" w:space="0" w:color="auto"/>
        <w:right w:val="none" w:sz="0" w:space="0" w:color="auto"/>
      </w:divBdr>
    </w:div>
    <w:div w:id="901797510">
      <w:bodyDiv w:val="1"/>
      <w:marLeft w:val="0"/>
      <w:marRight w:val="0"/>
      <w:marTop w:val="0"/>
      <w:marBottom w:val="0"/>
      <w:divBdr>
        <w:top w:val="none" w:sz="0" w:space="0" w:color="auto"/>
        <w:left w:val="none" w:sz="0" w:space="0" w:color="auto"/>
        <w:bottom w:val="none" w:sz="0" w:space="0" w:color="auto"/>
        <w:right w:val="none" w:sz="0" w:space="0" w:color="auto"/>
      </w:divBdr>
    </w:div>
    <w:div w:id="901863728">
      <w:bodyDiv w:val="1"/>
      <w:marLeft w:val="0"/>
      <w:marRight w:val="0"/>
      <w:marTop w:val="0"/>
      <w:marBottom w:val="0"/>
      <w:divBdr>
        <w:top w:val="none" w:sz="0" w:space="0" w:color="auto"/>
        <w:left w:val="none" w:sz="0" w:space="0" w:color="auto"/>
        <w:bottom w:val="none" w:sz="0" w:space="0" w:color="auto"/>
        <w:right w:val="none" w:sz="0" w:space="0" w:color="auto"/>
      </w:divBdr>
    </w:div>
    <w:div w:id="901865590">
      <w:bodyDiv w:val="1"/>
      <w:marLeft w:val="0"/>
      <w:marRight w:val="0"/>
      <w:marTop w:val="0"/>
      <w:marBottom w:val="0"/>
      <w:divBdr>
        <w:top w:val="none" w:sz="0" w:space="0" w:color="auto"/>
        <w:left w:val="none" w:sz="0" w:space="0" w:color="auto"/>
        <w:bottom w:val="none" w:sz="0" w:space="0" w:color="auto"/>
        <w:right w:val="none" w:sz="0" w:space="0" w:color="auto"/>
      </w:divBdr>
    </w:div>
    <w:div w:id="901869442">
      <w:bodyDiv w:val="1"/>
      <w:marLeft w:val="0"/>
      <w:marRight w:val="0"/>
      <w:marTop w:val="0"/>
      <w:marBottom w:val="0"/>
      <w:divBdr>
        <w:top w:val="none" w:sz="0" w:space="0" w:color="auto"/>
        <w:left w:val="none" w:sz="0" w:space="0" w:color="auto"/>
        <w:bottom w:val="none" w:sz="0" w:space="0" w:color="auto"/>
        <w:right w:val="none" w:sz="0" w:space="0" w:color="auto"/>
      </w:divBdr>
    </w:div>
    <w:div w:id="901909188">
      <w:bodyDiv w:val="1"/>
      <w:marLeft w:val="0"/>
      <w:marRight w:val="0"/>
      <w:marTop w:val="0"/>
      <w:marBottom w:val="0"/>
      <w:divBdr>
        <w:top w:val="none" w:sz="0" w:space="0" w:color="auto"/>
        <w:left w:val="none" w:sz="0" w:space="0" w:color="auto"/>
        <w:bottom w:val="none" w:sz="0" w:space="0" w:color="auto"/>
        <w:right w:val="none" w:sz="0" w:space="0" w:color="auto"/>
      </w:divBdr>
    </w:div>
    <w:div w:id="901982395">
      <w:bodyDiv w:val="1"/>
      <w:marLeft w:val="0"/>
      <w:marRight w:val="0"/>
      <w:marTop w:val="0"/>
      <w:marBottom w:val="0"/>
      <w:divBdr>
        <w:top w:val="none" w:sz="0" w:space="0" w:color="auto"/>
        <w:left w:val="none" w:sz="0" w:space="0" w:color="auto"/>
        <w:bottom w:val="none" w:sz="0" w:space="0" w:color="auto"/>
        <w:right w:val="none" w:sz="0" w:space="0" w:color="auto"/>
      </w:divBdr>
    </w:div>
    <w:div w:id="902103401">
      <w:bodyDiv w:val="1"/>
      <w:marLeft w:val="0"/>
      <w:marRight w:val="0"/>
      <w:marTop w:val="0"/>
      <w:marBottom w:val="0"/>
      <w:divBdr>
        <w:top w:val="none" w:sz="0" w:space="0" w:color="auto"/>
        <w:left w:val="none" w:sz="0" w:space="0" w:color="auto"/>
        <w:bottom w:val="none" w:sz="0" w:space="0" w:color="auto"/>
        <w:right w:val="none" w:sz="0" w:space="0" w:color="auto"/>
      </w:divBdr>
    </w:div>
    <w:div w:id="902325663">
      <w:bodyDiv w:val="1"/>
      <w:marLeft w:val="0"/>
      <w:marRight w:val="0"/>
      <w:marTop w:val="0"/>
      <w:marBottom w:val="0"/>
      <w:divBdr>
        <w:top w:val="none" w:sz="0" w:space="0" w:color="auto"/>
        <w:left w:val="none" w:sz="0" w:space="0" w:color="auto"/>
        <w:bottom w:val="none" w:sz="0" w:space="0" w:color="auto"/>
        <w:right w:val="none" w:sz="0" w:space="0" w:color="auto"/>
      </w:divBdr>
    </w:div>
    <w:div w:id="902371105">
      <w:bodyDiv w:val="1"/>
      <w:marLeft w:val="0"/>
      <w:marRight w:val="0"/>
      <w:marTop w:val="0"/>
      <w:marBottom w:val="0"/>
      <w:divBdr>
        <w:top w:val="none" w:sz="0" w:space="0" w:color="auto"/>
        <w:left w:val="none" w:sz="0" w:space="0" w:color="auto"/>
        <w:bottom w:val="none" w:sz="0" w:space="0" w:color="auto"/>
        <w:right w:val="none" w:sz="0" w:space="0" w:color="auto"/>
      </w:divBdr>
    </w:div>
    <w:div w:id="902521613">
      <w:bodyDiv w:val="1"/>
      <w:marLeft w:val="0"/>
      <w:marRight w:val="0"/>
      <w:marTop w:val="0"/>
      <w:marBottom w:val="0"/>
      <w:divBdr>
        <w:top w:val="none" w:sz="0" w:space="0" w:color="auto"/>
        <w:left w:val="none" w:sz="0" w:space="0" w:color="auto"/>
        <w:bottom w:val="none" w:sz="0" w:space="0" w:color="auto"/>
        <w:right w:val="none" w:sz="0" w:space="0" w:color="auto"/>
      </w:divBdr>
    </w:div>
    <w:div w:id="902570248">
      <w:bodyDiv w:val="1"/>
      <w:marLeft w:val="0"/>
      <w:marRight w:val="0"/>
      <w:marTop w:val="0"/>
      <w:marBottom w:val="0"/>
      <w:divBdr>
        <w:top w:val="none" w:sz="0" w:space="0" w:color="auto"/>
        <w:left w:val="none" w:sz="0" w:space="0" w:color="auto"/>
        <w:bottom w:val="none" w:sz="0" w:space="0" w:color="auto"/>
        <w:right w:val="none" w:sz="0" w:space="0" w:color="auto"/>
      </w:divBdr>
    </w:div>
    <w:div w:id="902721453">
      <w:bodyDiv w:val="1"/>
      <w:marLeft w:val="0"/>
      <w:marRight w:val="0"/>
      <w:marTop w:val="0"/>
      <w:marBottom w:val="0"/>
      <w:divBdr>
        <w:top w:val="none" w:sz="0" w:space="0" w:color="auto"/>
        <w:left w:val="none" w:sz="0" w:space="0" w:color="auto"/>
        <w:bottom w:val="none" w:sz="0" w:space="0" w:color="auto"/>
        <w:right w:val="none" w:sz="0" w:space="0" w:color="auto"/>
      </w:divBdr>
    </w:div>
    <w:div w:id="902760745">
      <w:bodyDiv w:val="1"/>
      <w:marLeft w:val="0"/>
      <w:marRight w:val="0"/>
      <w:marTop w:val="0"/>
      <w:marBottom w:val="0"/>
      <w:divBdr>
        <w:top w:val="none" w:sz="0" w:space="0" w:color="auto"/>
        <w:left w:val="none" w:sz="0" w:space="0" w:color="auto"/>
        <w:bottom w:val="none" w:sz="0" w:space="0" w:color="auto"/>
        <w:right w:val="none" w:sz="0" w:space="0" w:color="auto"/>
      </w:divBdr>
    </w:div>
    <w:div w:id="902762428">
      <w:bodyDiv w:val="1"/>
      <w:marLeft w:val="0"/>
      <w:marRight w:val="0"/>
      <w:marTop w:val="0"/>
      <w:marBottom w:val="0"/>
      <w:divBdr>
        <w:top w:val="none" w:sz="0" w:space="0" w:color="auto"/>
        <w:left w:val="none" w:sz="0" w:space="0" w:color="auto"/>
        <w:bottom w:val="none" w:sz="0" w:space="0" w:color="auto"/>
        <w:right w:val="none" w:sz="0" w:space="0" w:color="auto"/>
      </w:divBdr>
    </w:div>
    <w:div w:id="902832713">
      <w:bodyDiv w:val="1"/>
      <w:marLeft w:val="0"/>
      <w:marRight w:val="0"/>
      <w:marTop w:val="0"/>
      <w:marBottom w:val="0"/>
      <w:divBdr>
        <w:top w:val="none" w:sz="0" w:space="0" w:color="auto"/>
        <w:left w:val="none" w:sz="0" w:space="0" w:color="auto"/>
        <w:bottom w:val="none" w:sz="0" w:space="0" w:color="auto"/>
        <w:right w:val="none" w:sz="0" w:space="0" w:color="auto"/>
      </w:divBdr>
    </w:div>
    <w:div w:id="902905410">
      <w:bodyDiv w:val="1"/>
      <w:marLeft w:val="0"/>
      <w:marRight w:val="0"/>
      <w:marTop w:val="0"/>
      <w:marBottom w:val="0"/>
      <w:divBdr>
        <w:top w:val="none" w:sz="0" w:space="0" w:color="auto"/>
        <w:left w:val="none" w:sz="0" w:space="0" w:color="auto"/>
        <w:bottom w:val="none" w:sz="0" w:space="0" w:color="auto"/>
        <w:right w:val="none" w:sz="0" w:space="0" w:color="auto"/>
      </w:divBdr>
    </w:div>
    <w:div w:id="902906875">
      <w:bodyDiv w:val="1"/>
      <w:marLeft w:val="0"/>
      <w:marRight w:val="0"/>
      <w:marTop w:val="0"/>
      <w:marBottom w:val="0"/>
      <w:divBdr>
        <w:top w:val="none" w:sz="0" w:space="0" w:color="auto"/>
        <w:left w:val="none" w:sz="0" w:space="0" w:color="auto"/>
        <w:bottom w:val="none" w:sz="0" w:space="0" w:color="auto"/>
        <w:right w:val="none" w:sz="0" w:space="0" w:color="auto"/>
      </w:divBdr>
    </w:div>
    <w:div w:id="902912570">
      <w:bodyDiv w:val="1"/>
      <w:marLeft w:val="0"/>
      <w:marRight w:val="0"/>
      <w:marTop w:val="0"/>
      <w:marBottom w:val="0"/>
      <w:divBdr>
        <w:top w:val="none" w:sz="0" w:space="0" w:color="auto"/>
        <w:left w:val="none" w:sz="0" w:space="0" w:color="auto"/>
        <w:bottom w:val="none" w:sz="0" w:space="0" w:color="auto"/>
        <w:right w:val="none" w:sz="0" w:space="0" w:color="auto"/>
      </w:divBdr>
    </w:div>
    <w:div w:id="902981491">
      <w:bodyDiv w:val="1"/>
      <w:marLeft w:val="0"/>
      <w:marRight w:val="0"/>
      <w:marTop w:val="0"/>
      <w:marBottom w:val="0"/>
      <w:divBdr>
        <w:top w:val="none" w:sz="0" w:space="0" w:color="auto"/>
        <w:left w:val="none" w:sz="0" w:space="0" w:color="auto"/>
        <w:bottom w:val="none" w:sz="0" w:space="0" w:color="auto"/>
        <w:right w:val="none" w:sz="0" w:space="0" w:color="auto"/>
      </w:divBdr>
    </w:div>
    <w:div w:id="902985739">
      <w:bodyDiv w:val="1"/>
      <w:marLeft w:val="0"/>
      <w:marRight w:val="0"/>
      <w:marTop w:val="0"/>
      <w:marBottom w:val="0"/>
      <w:divBdr>
        <w:top w:val="none" w:sz="0" w:space="0" w:color="auto"/>
        <w:left w:val="none" w:sz="0" w:space="0" w:color="auto"/>
        <w:bottom w:val="none" w:sz="0" w:space="0" w:color="auto"/>
        <w:right w:val="none" w:sz="0" w:space="0" w:color="auto"/>
      </w:divBdr>
    </w:div>
    <w:div w:id="903027142">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03179862">
      <w:bodyDiv w:val="1"/>
      <w:marLeft w:val="0"/>
      <w:marRight w:val="0"/>
      <w:marTop w:val="0"/>
      <w:marBottom w:val="0"/>
      <w:divBdr>
        <w:top w:val="none" w:sz="0" w:space="0" w:color="auto"/>
        <w:left w:val="none" w:sz="0" w:space="0" w:color="auto"/>
        <w:bottom w:val="none" w:sz="0" w:space="0" w:color="auto"/>
        <w:right w:val="none" w:sz="0" w:space="0" w:color="auto"/>
      </w:divBdr>
    </w:div>
    <w:div w:id="903294208">
      <w:bodyDiv w:val="1"/>
      <w:marLeft w:val="0"/>
      <w:marRight w:val="0"/>
      <w:marTop w:val="0"/>
      <w:marBottom w:val="0"/>
      <w:divBdr>
        <w:top w:val="none" w:sz="0" w:space="0" w:color="auto"/>
        <w:left w:val="none" w:sz="0" w:space="0" w:color="auto"/>
        <w:bottom w:val="none" w:sz="0" w:space="0" w:color="auto"/>
        <w:right w:val="none" w:sz="0" w:space="0" w:color="auto"/>
      </w:divBdr>
    </w:div>
    <w:div w:id="903489294">
      <w:bodyDiv w:val="1"/>
      <w:marLeft w:val="0"/>
      <w:marRight w:val="0"/>
      <w:marTop w:val="0"/>
      <w:marBottom w:val="0"/>
      <w:divBdr>
        <w:top w:val="none" w:sz="0" w:space="0" w:color="auto"/>
        <w:left w:val="none" w:sz="0" w:space="0" w:color="auto"/>
        <w:bottom w:val="none" w:sz="0" w:space="0" w:color="auto"/>
        <w:right w:val="none" w:sz="0" w:space="0" w:color="auto"/>
      </w:divBdr>
    </w:div>
    <w:div w:id="903493881">
      <w:bodyDiv w:val="1"/>
      <w:marLeft w:val="0"/>
      <w:marRight w:val="0"/>
      <w:marTop w:val="0"/>
      <w:marBottom w:val="0"/>
      <w:divBdr>
        <w:top w:val="none" w:sz="0" w:space="0" w:color="auto"/>
        <w:left w:val="none" w:sz="0" w:space="0" w:color="auto"/>
        <w:bottom w:val="none" w:sz="0" w:space="0" w:color="auto"/>
        <w:right w:val="none" w:sz="0" w:space="0" w:color="auto"/>
      </w:divBdr>
    </w:div>
    <w:div w:id="903568169">
      <w:bodyDiv w:val="1"/>
      <w:marLeft w:val="0"/>
      <w:marRight w:val="0"/>
      <w:marTop w:val="0"/>
      <w:marBottom w:val="0"/>
      <w:divBdr>
        <w:top w:val="none" w:sz="0" w:space="0" w:color="auto"/>
        <w:left w:val="none" w:sz="0" w:space="0" w:color="auto"/>
        <w:bottom w:val="none" w:sz="0" w:space="0" w:color="auto"/>
        <w:right w:val="none" w:sz="0" w:space="0" w:color="auto"/>
      </w:divBdr>
    </w:div>
    <w:div w:id="903682369">
      <w:bodyDiv w:val="1"/>
      <w:marLeft w:val="0"/>
      <w:marRight w:val="0"/>
      <w:marTop w:val="0"/>
      <w:marBottom w:val="0"/>
      <w:divBdr>
        <w:top w:val="none" w:sz="0" w:space="0" w:color="auto"/>
        <w:left w:val="none" w:sz="0" w:space="0" w:color="auto"/>
        <w:bottom w:val="none" w:sz="0" w:space="0" w:color="auto"/>
        <w:right w:val="none" w:sz="0" w:space="0" w:color="auto"/>
      </w:divBdr>
    </w:div>
    <w:div w:id="903685734">
      <w:bodyDiv w:val="1"/>
      <w:marLeft w:val="0"/>
      <w:marRight w:val="0"/>
      <w:marTop w:val="0"/>
      <w:marBottom w:val="0"/>
      <w:divBdr>
        <w:top w:val="none" w:sz="0" w:space="0" w:color="auto"/>
        <w:left w:val="none" w:sz="0" w:space="0" w:color="auto"/>
        <w:bottom w:val="none" w:sz="0" w:space="0" w:color="auto"/>
        <w:right w:val="none" w:sz="0" w:space="0" w:color="auto"/>
      </w:divBdr>
    </w:div>
    <w:div w:id="903761240">
      <w:bodyDiv w:val="1"/>
      <w:marLeft w:val="0"/>
      <w:marRight w:val="0"/>
      <w:marTop w:val="0"/>
      <w:marBottom w:val="0"/>
      <w:divBdr>
        <w:top w:val="none" w:sz="0" w:space="0" w:color="auto"/>
        <w:left w:val="none" w:sz="0" w:space="0" w:color="auto"/>
        <w:bottom w:val="none" w:sz="0" w:space="0" w:color="auto"/>
        <w:right w:val="none" w:sz="0" w:space="0" w:color="auto"/>
      </w:divBdr>
    </w:div>
    <w:div w:id="903834171">
      <w:bodyDiv w:val="1"/>
      <w:marLeft w:val="0"/>
      <w:marRight w:val="0"/>
      <w:marTop w:val="0"/>
      <w:marBottom w:val="0"/>
      <w:divBdr>
        <w:top w:val="none" w:sz="0" w:space="0" w:color="auto"/>
        <w:left w:val="none" w:sz="0" w:space="0" w:color="auto"/>
        <w:bottom w:val="none" w:sz="0" w:space="0" w:color="auto"/>
        <w:right w:val="none" w:sz="0" w:space="0" w:color="auto"/>
      </w:divBdr>
    </w:div>
    <w:div w:id="903835705">
      <w:bodyDiv w:val="1"/>
      <w:marLeft w:val="0"/>
      <w:marRight w:val="0"/>
      <w:marTop w:val="0"/>
      <w:marBottom w:val="0"/>
      <w:divBdr>
        <w:top w:val="none" w:sz="0" w:space="0" w:color="auto"/>
        <w:left w:val="none" w:sz="0" w:space="0" w:color="auto"/>
        <w:bottom w:val="none" w:sz="0" w:space="0" w:color="auto"/>
        <w:right w:val="none" w:sz="0" w:space="0" w:color="auto"/>
      </w:divBdr>
    </w:div>
    <w:div w:id="903875142">
      <w:bodyDiv w:val="1"/>
      <w:marLeft w:val="0"/>
      <w:marRight w:val="0"/>
      <w:marTop w:val="0"/>
      <w:marBottom w:val="0"/>
      <w:divBdr>
        <w:top w:val="none" w:sz="0" w:space="0" w:color="auto"/>
        <w:left w:val="none" w:sz="0" w:space="0" w:color="auto"/>
        <w:bottom w:val="none" w:sz="0" w:space="0" w:color="auto"/>
        <w:right w:val="none" w:sz="0" w:space="0" w:color="auto"/>
      </w:divBdr>
    </w:div>
    <w:div w:id="903875705">
      <w:bodyDiv w:val="1"/>
      <w:marLeft w:val="0"/>
      <w:marRight w:val="0"/>
      <w:marTop w:val="0"/>
      <w:marBottom w:val="0"/>
      <w:divBdr>
        <w:top w:val="none" w:sz="0" w:space="0" w:color="auto"/>
        <w:left w:val="none" w:sz="0" w:space="0" w:color="auto"/>
        <w:bottom w:val="none" w:sz="0" w:space="0" w:color="auto"/>
        <w:right w:val="none" w:sz="0" w:space="0" w:color="auto"/>
      </w:divBdr>
    </w:div>
    <w:div w:id="903878897">
      <w:bodyDiv w:val="1"/>
      <w:marLeft w:val="0"/>
      <w:marRight w:val="0"/>
      <w:marTop w:val="0"/>
      <w:marBottom w:val="0"/>
      <w:divBdr>
        <w:top w:val="none" w:sz="0" w:space="0" w:color="auto"/>
        <w:left w:val="none" w:sz="0" w:space="0" w:color="auto"/>
        <w:bottom w:val="none" w:sz="0" w:space="0" w:color="auto"/>
        <w:right w:val="none" w:sz="0" w:space="0" w:color="auto"/>
      </w:divBdr>
    </w:div>
    <w:div w:id="903956837">
      <w:bodyDiv w:val="1"/>
      <w:marLeft w:val="0"/>
      <w:marRight w:val="0"/>
      <w:marTop w:val="0"/>
      <w:marBottom w:val="0"/>
      <w:divBdr>
        <w:top w:val="none" w:sz="0" w:space="0" w:color="auto"/>
        <w:left w:val="none" w:sz="0" w:space="0" w:color="auto"/>
        <w:bottom w:val="none" w:sz="0" w:space="0" w:color="auto"/>
        <w:right w:val="none" w:sz="0" w:space="0" w:color="auto"/>
      </w:divBdr>
    </w:div>
    <w:div w:id="904074376">
      <w:bodyDiv w:val="1"/>
      <w:marLeft w:val="0"/>
      <w:marRight w:val="0"/>
      <w:marTop w:val="0"/>
      <w:marBottom w:val="0"/>
      <w:divBdr>
        <w:top w:val="none" w:sz="0" w:space="0" w:color="auto"/>
        <w:left w:val="none" w:sz="0" w:space="0" w:color="auto"/>
        <w:bottom w:val="none" w:sz="0" w:space="0" w:color="auto"/>
        <w:right w:val="none" w:sz="0" w:space="0" w:color="auto"/>
      </w:divBdr>
    </w:div>
    <w:div w:id="904146562">
      <w:bodyDiv w:val="1"/>
      <w:marLeft w:val="0"/>
      <w:marRight w:val="0"/>
      <w:marTop w:val="0"/>
      <w:marBottom w:val="0"/>
      <w:divBdr>
        <w:top w:val="none" w:sz="0" w:space="0" w:color="auto"/>
        <w:left w:val="none" w:sz="0" w:space="0" w:color="auto"/>
        <w:bottom w:val="none" w:sz="0" w:space="0" w:color="auto"/>
        <w:right w:val="none" w:sz="0" w:space="0" w:color="auto"/>
      </w:divBdr>
    </w:div>
    <w:div w:id="904489527">
      <w:bodyDiv w:val="1"/>
      <w:marLeft w:val="0"/>
      <w:marRight w:val="0"/>
      <w:marTop w:val="0"/>
      <w:marBottom w:val="0"/>
      <w:divBdr>
        <w:top w:val="none" w:sz="0" w:space="0" w:color="auto"/>
        <w:left w:val="none" w:sz="0" w:space="0" w:color="auto"/>
        <w:bottom w:val="none" w:sz="0" w:space="0" w:color="auto"/>
        <w:right w:val="none" w:sz="0" w:space="0" w:color="auto"/>
      </w:divBdr>
    </w:div>
    <w:div w:id="904535814">
      <w:bodyDiv w:val="1"/>
      <w:marLeft w:val="0"/>
      <w:marRight w:val="0"/>
      <w:marTop w:val="0"/>
      <w:marBottom w:val="0"/>
      <w:divBdr>
        <w:top w:val="none" w:sz="0" w:space="0" w:color="auto"/>
        <w:left w:val="none" w:sz="0" w:space="0" w:color="auto"/>
        <w:bottom w:val="none" w:sz="0" w:space="0" w:color="auto"/>
        <w:right w:val="none" w:sz="0" w:space="0" w:color="auto"/>
      </w:divBdr>
    </w:div>
    <w:div w:id="904605068">
      <w:bodyDiv w:val="1"/>
      <w:marLeft w:val="0"/>
      <w:marRight w:val="0"/>
      <w:marTop w:val="0"/>
      <w:marBottom w:val="0"/>
      <w:divBdr>
        <w:top w:val="none" w:sz="0" w:space="0" w:color="auto"/>
        <w:left w:val="none" w:sz="0" w:space="0" w:color="auto"/>
        <w:bottom w:val="none" w:sz="0" w:space="0" w:color="auto"/>
        <w:right w:val="none" w:sz="0" w:space="0" w:color="auto"/>
      </w:divBdr>
    </w:div>
    <w:div w:id="904609138">
      <w:bodyDiv w:val="1"/>
      <w:marLeft w:val="0"/>
      <w:marRight w:val="0"/>
      <w:marTop w:val="0"/>
      <w:marBottom w:val="0"/>
      <w:divBdr>
        <w:top w:val="none" w:sz="0" w:space="0" w:color="auto"/>
        <w:left w:val="none" w:sz="0" w:space="0" w:color="auto"/>
        <w:bottom w:val="none" w:sz="0" w:space="0" w:color="auto"/>
        <w:right w:val="none" w:sz="0" w:space="0" w:color="auto"/>
      </w:divBdr>
    </w:div>
    <w:div w:id="904801483">
      <w:bodyDiv w:val="1"/>
      <w:marLeft w:val="0"/>
      <w:marRight w:val="0"/>
      <w:marTop w:val="0"/>
      <w:marBottom w:val="0"/>
      <w:divBdr>
        <w:top w:val="none" w:sz="0" w:space="0" w:color="auto"/>
        <w:left w:val="none" w:sz="0" w:space="0" w:color="auto"/>
        <w:bottom w:val="none" w:sz="0" w:space="0" w:color="auto"/>
        <w:right w:val="none" w:sz="0" w:space="0" w:color="auto"/>
      </w:divBdr>
    </w:div>
    <w:div w:id="904878649">
      <w:bodyDiv w:val="1"/>
      <w:marLeft w:val="0"/>
      <w:marRight w:val="0"/>
      <w:marTop w:val="0"/>
      <w:marBottom w:val="0"/>
      <w:divBdr>
        <w:top w:val="none" w:sz="0" w:space="0" w:color="auto"/>
        <w:left w:val="none" w:sz="0" w:space="0" w:color="auto"/>
        <w:bottom w:val="none" w:sz="0" w:space="0" w:color="auto"/>
        <w:right w:val="none" w:sz="0" w:space="0" w:color="auto"/>
      </w:divBdr>
    </w:div>
    <w:div w:id="904879217">
      <w:bodyDiv w:val="1"/>
      <w:marLeft w:val="0"/>
      <w:marRight w:val="0"/>
      <w:marTop w:val="0"/>
      <w:marBottom w:val="0"/>
      <w:divBdr>
        <w:top w:val="none" w:sz="0" w:space="0" w:color="auto"/>
        <w:left w:val="none" w:sz="0" w:space="0" w:color="auto"/>
        <w:bottom w:val="none" w:sz="0" w:space="0" w:color="auto"/>
        <w:right w:val="none" w:sz="0" w:space="0" w:color="auto"/>
      </w:divBdr>
    </w:div>
    <w:div w:id="904879691">
      <w:bodyDiv w:val="1"/>
      <w:marLeft w:val="0"/>
      <w:marRight w:val="0"/>
      <w:marTop w:val="0"/>
      <w:marBottom w:val="0"/>
      <w:divBdr>
        <w:top w:val="none" w:sz="0" w:space="0" w:color="auto"/>
        <w:left w:val="none" w:sz="0" w:space="0" w:color="auto"/>
        <w:bottom w:val="none" w:sz="0" w:space="0" w:color="auto"/>
        <w:right w:val="none" w:sz="0" w:space="0" w:color="auto"/>
      </w:divBdr>
    </w:div>
    <w:div w:id="904921123">
      <w:bodyDiv w:val="1"/>
      <w:marLeft w:val="0"/>
      <w:marRight w:val="0"/>
      <w:marTop w:val="0"/>
      <w:marBottom w:val="0"/>
      <w:divBdr>
        <w:top w:val="none" w:sz="0" w:space="0" w:color="auto"/>
        <w:left w:val="none" w:sz="0" w:space="0" w:color="auto"/>
        <w:bottom w:val="none" w:sz="0" w:space="0" w:color="auto"/>
        <w:right w:val="none" w:sz="0" w:space="0" w:color="auto"/>
      </w:divBdr>
    </w:div>
    <w:div w:id="904997211">
      <w:bodyDiv w:val="1"/>
      <w:marLeft w:val="0"/>
      <w:marRight w:val="0"/>
      <w:marTop w:val="0"/>
      <w:marBottom w:val="0"/>
      <w:divBdr>
        <w:top w:val="none" w:sz="0" w:space="0" w:color="auto"/>
        <w:left w:val="none" w:sz="0" w:space="0" w:color="auto"/>
        <w:bottom w:val="none" w:sz="0" w:space="0" w:color="auto"/>
        <w:right w:val="none" w:sz="0" w:space="0" w:color="auto"/>
      </w:divBdr>
    </w:div>
    <w:div w:id="905143064">
      <w:bodyDiv w:val="1"/>
      <w:marLeft w:val="0"/>
      <w:marRight w:val="0"/>
      <w:marTop w:val="0"/>
      <w:marBottom w:val="0"/>
      <w:divBdr>
        <w:top w:val="none" w:sz="0" w:space="0" w:color="auto"/>
        <w:left w:val="none" w:sz="0" w:space="0" w:color="auto"/>
        <w:bottom w:val="none" w:sz="0" w:space="0" w:color="auto"/>
        <w:right w:val="none" w:sz="0" w:space="0" w:color="auto"/>
      </w:divBdr>
    </w:div>
    <w:div w:id="905191866">
      <w:bodyDiv w:val="1"/>
      <w:marLeft w:val="0"/>
      <w:marRight w:val="0"/>
      <w:marTop w:val="0"/>
      <w:marBottom w:val="0"/>
      <w:divBdr>
        <w:top w:val="none" w:sz="0" w:space="0" w:color="auto"/>
        <w:left w:val="none" w:sz="0" w:space="0" w:color="auto"/>
        <w:bottom w:val="none" w:sz="0" w:space="0" w:color="auto"/>
        <w:right w:val="none" w:sz="0" w:space="0" w:color="auto"/>
      </w:divBdr>
    </w:div>
    <w:div w:id="905192076">
      <w:bodyDiv w:val="1"/>
      <w:marLeft w:val="0"/>
      <w:marRight w:val="0"/>
      <w:marTop w:val="0"/>
      <w:marBottom w:val="0"/>
      <w:divBdr>
        <w:top w:val="none" w:sz="0" w:space="0" w:color="auto"/>
        <w:left w:val="none" w:sz="0" w:space="0" w:color="auto"/>
        <w:bottom w:val="none" w:sz="0" w:space="0" w:color="auto"/>
        <w:right w:val="none" w:sz="0" w:space="0" w:color="auto"/>
      </w:divBdr>
    </w:div>
    <w:div w:id="905265726">
      <w:bodyDiv w:val="1"/>
      <w:marLeft w:val="0"/>
      <w:marRight w:val="0"/>
      <w:marTop w:val="0"/>
      <w:marBottom w:val="0"/>
      <w:divBdr>
        <w:top w:val="none" w:sz="0" w:space="0" w:color="auto"/>
        <w:left w:val="none" w:sz="0" w:space="0" w:color="auto"/>
        <w:bottom w:val="none" w:sz="0" w:space="0" w:color="auto"/>
        <w:right w:val="none" w:sz="0" w:space="0" w:color="auto"/>
      </w:divBdr>
    </w:div>
    <w:div w:id="905266593">
      <w:bodyDiv w:val="1"/>
      <w:marLeft w:val="0"/>
      <w:marRight w:val="0"/>
      <w:marTop w:val="0"/>
      <w:marBottom w:val="0"/>
      <w:divBdr>
        <w:top w:val="none" w:sz="0" w:space="0" w:color="auto"/>
        <w:left w:val="none" w:sz="0" w:space="0" w:color="auto"/>
        <w:bottom w:val="none" w:sz="0" w:space="0" w:color="auto"/>
        <w:right w:val="none" w:sz="0" w:space="0" w:color="auto"/>
      </w:divBdr>
    </w:div>
    <w:div w:id="905337249">
      <w:bodyDiv w:val="1"/>
      <w:marLeft w:val="0"/>
      <w:marRight w:val="0"/>
      <w:marTop w:val="0"/>
      <w:marBottom w:val="0"/>
      <w:divBdr>
        <w:top w:val="none" w:sz="0" w:space="0" w:color="auto"/>
        <w:left w:val="none" w:sz="0" w:space="0" w:color="auto"/>
        <w:bottom w:val="none" w:sz="0" w:space="0" w:color="auto"/>
        <w:right w:val="none" w:sz="0" w:space="0" w:color="auto"/>
      </w:divBdr>
    </w:div>
    <w:div w:id="905412050">
      <w:bodyDiv w:val="1"/>
      <w:marLeft w:val="0"/>
      <w:marRight w:val="0"/>
      <w:marTop w:val="0"/>
      <w:marBottom w:val="0"/>
      <w:divBdr>
        <w:top w:val="none" w:sz="0" w:space="0" w:color="auto"/>
        <w:left w:val="none" w:sz="0" w:space="0" w:color="auto"/>
        <w:bottom w:val="none" w:sz="0" w:space="0" w:color="auto"/>
        <w:right w:val="none" w:sz="0" w:space="0" w:color="auto"/>
      </w:divBdr>
    </w:div>
    <w:div w:id="905457020">
      <w:bodyDiv w:val="1"/>
      <w:marLeft w:val="0"/>
      <w:marRight w:val="0"/>
      <w:marTop w:val="0"/>
      <w:marBottom w:val="0"/>
      <w:divBdr>
        <w:top w:val="none" w:sz="0" w:space="0" w:color="auto"/>
        <w:left w:val="none" w:sz="0" w:space="0" w:color="auto"/>
        <w:bottom w:val="none" w:sz="0" w:space="0" w:color="auto"/>
        <w:right w:val="none" w:sz="0" w:space="0" w:color="auto"/>
      </w:divBdr>
    </w:div>
    <w:div w:id="905532942">
      <w:bodyDiv w:val="1"/>
      <w:marLeft w:val="0"/>
      <w:marRight w:val="0"/>
      <w:marTop w:val="0"/>
      <w:marBottom w:val="0"/>
      <w:divBdr>
        <w:top w:val="none" w:sz="0" w:space="0" w:color="auto"/>
        <w:left w:val="none" w:sz="0" w:space="0" w:color="auto"/>
        <w:bottom w:val="none" w:sz="0" w:space="0" w:color="auto"/>
        <w:right w:val="none" w:sz="0" w:space="0" w:color="auto"/>
      </w:divBdr>
    </w:div>
    <w:div w:id="905533279">
      <w:bodyDiv w:val="1"/>
      <w:marLeft w:val="0"/>
      <w:marRight w:val="0"/>
      <w:marTop w:val="0"/>
      <w:marBottom w:val="0"/>
      <w:divBdr>
        <w:top w:val="none" w:sz="0" w:space="0" w:color="auto"/>
        <w:left w:val="none" w:sz="0" w:space="0" w:color="auto"/>
        <w:bottom w:val="none" w:sz="0" w:space="0" w:color="auto"/>
        <w:right w:val="none" w:sz="0" w:space="0" w:color="auto"/>
      </w:divBdr>
    </w:div>
    <w:div w:id="905577495">
      <w:bodyDiv w:val="1"/>
      <w:marLeft w:val="0"/>
      <w:marRight w:val="0"/>
      <w:marTop w:val="0"/>
      <w:marBottom w:val="0"/>
      <w:divBdr>
        <w:top w:val="none" w:sz="0" w:space="0" w:color="auto"/>
        <w:left w:val="none" w:sz="0" w:space="0" w:color="auto"/>
        <w:bottom w:val="none" w:sz="0" w:space="0" w:color="auto"/>
        <w:right w:val="none" w:sz="0" w:space="0" w:color="auto"/>
      </w:divBdr>
    </w:div>
    <w:div w:id="905604011">
      <w:bodyDiv w:val="1"/>
      <w:marLeft w:val="0"/>
      <w:marRight w:val="0"/>
      <w:marTop w:val="0"/>
      <w:marBottom w:val="0"/>
      <w:divBdr>
        <w:top w:val="none" w:sz="0" w:space="0" w:color="auto"/>
        <w:left w:val="none" w:sz="0" w:space="0" w:color="auto"/>
        <w:bottom w:val="none" w:sz="0" w:space="0" w:color="auto"/>
        <w:right w:val="none" w:sz="0" w:space="0" w:color="auto"/>
      </w:divBdr>
    </w:div>
    <w:div w:id="905606372">
      <w:bodyDiv w:val="1"/>
      <w:marLeft w:val="0"/>
      <w:marRight w:val="0"/>
      <w:marTop w:val="0"/>
      <w:marBottom w:val="0"/>
      <w:divBdr>
        <w:top w:val="none" w:sz="0" w:space="0" w:color="auto"/>
        <w:left w:val="none" w:sz="0" w:space="0" w:color="auto"/>
        <w:bottom w:val="none" w:sz="0" w:space="0" w:color="auto"/>
        <w:right w:val="none" w:sz="0" w:space="0" w:color="auto"/>
      </w:divBdr>
    </w:div>
    <w:div w:id="905727219">
      <w:bodyDiv w:val="1"/>
      <w:marLeft w:val="0"/>
      <w:marRight w:val="0"/>
      <w:marTop w:val="0"/>
      <w:marBottom w:val="0"/>
      <w:divBdr>
        <w:top w:val="none" w:sz="0" w:space="0" w:color="auto"/>
        <w:left w:val="none" w:sz="0" w:space="0" w:color="auto"/>
        <w:bottom w:val="none" w:sz="0" w:space="0" w:color="auto"/>
        <w:right w:val="none" w:sz="0" w:space="0" w:color="auto"/>
      </w:divBdr>
    </w:div>
    <w:div w:id="905802335">
      <w:bodyDiv w:val="1"/>
      <w:marLeft w:val="0"/>
      <w:marRight w:val="0"/>
      <w:marTop w:val="0"/>
      <w:marBottom w:val="0"/>
      <w:divBdr>
        <w:top w:val="none" w:sz="0" w:space="0" w:color="auto"/>
        <w:left w:val="none" w:sz="0" w:space="0" w:color="auto"/>
        <w:bottom w:val="none" w:sz="0" w:space="0" w:color="auto"/>
        <w:right w:val="none" w:sz="0" w:space="0" w:color="auto"/>
      </w:divBdr>
    </w:div>
    <w:div w:id="905846774">
      <w:bodyDiv w:val="1"/>
      <w:marLeft w:val="0"/>
      <w:marRight w:val="0"/>
      <w:marTop w:val="0"/>
      <w:marBottom w:val="0"/>
      <w:divBdr>
        <w:top w:val="none" w:sz="0" w:space="0" w:color="auto"/>
        <w:left w:val="none" w:sz="0" w:space="0" w:color="auto"/>
        <w:bottom w:val="none" w:sz="0" w:space="0" w:color="auto"/>
        <w:right w:val="none" w:sz="0" w:space="0" w:color="auto"/>
      </w:divBdr>
    </w:div>
    <w:div w:id="905995778">
      <w:bodyDiv w:val="1"/>
      <w:marLeft w:val="0"/>
      <w:marRight w:val="0"/>
      <w:marTop w:val="0"/>
      <w:marBottom w:val="0"/>
      <w:divBdr>
        <w:top w:val="none" w:sz="0" w:space="0" w:color="auto"/>
        <w:left w:val="none" w:sz="0" w:space="0" w:color="auto"/>
        <w:bottom w:val="none" w:sz="0" w:space="0" w:color="auto"/>
        <w:right w:val="none" w:sz="0" w:space="0" w:color="auto"/>
      </w:divBdr>
    </w:div>
    <w:div w:id="906111922">
      <w:bodyDiv w:val="1"/>
      <w:marLeft w:val="0"/>
      <w:marRight w:val="0"/>
      <w:marTop w:val="0"/>
      <w:marBottom w:val="0"/>
      <w:divBdr>
        <w:top w:val="none" w:sz="0" w:space="0" w:color="auto"/>
        <w:left w:val="none" w:sz="0" w:space="0" w:color="auto"/>
        <w:bottom w:val="none" w:sz="0" w:space="0" w:color="auto"/>
        <w:right w:val="none" w:sz="0" w:space="0" w:color="auto"/>
      </w:divBdr>
    </w:div>
    <w:div w:id="906115642">
      <w:bodyDiv w:val="1"/>
      <w:marLeft w:val="0"/>
      <w:marRight w:val="0"/>
      <w:marTop w:val="0"/>
      <w:marBottom w:val="0"/>
      <w:divBdr>
        <w:top w:val="none" w:sz="0" w:space="0" w:color="auto"/>
        <w:left w:val="none" w:sz="0" w:space="0" w:color="auto"/>
        <w:bottom w:val="none" w:sz="0" w:space="0" w:color="auto"/>
        <w:right w:val="none" w:sz="0" w:space="0" w:color="auto"/>
      </w:divBdr>
    </w:div>
    <w:div w:id="906116049">
      <w:bodyDiv w:val="1"/>
      <w:marLeft w:val="0"/>
      <w:marRight w:val="0"/>
      <w:marTop w:val="0"/>
      <w:marBottom w:val="0"/>
      <w:divBdr>
        <w:top w:val="none" w:sz="0" w:space="0" w:color="auto"/>
        <w:left w:val="none" w:sz="0" w:space="0" w:color="auto"/>
        <w:bottom w:val="none" w:sz="0" w:space="0" w:color="auto"/>
        <w:right w:val="none" w:sz="0" w:space="0" w:color="auto"/>
      </w:divBdr>
    </w:div>
    <w:div w:id="906189879">
      <w:bodyDiv w:val="1"/>
      <w:marLeft w:val="0"/>
      <w:marRight w:val="0"/>
      <w:marTop w:val="0"/>
      <w:marBottom w:val="0"/>
      <w:divBdr>
        <w:top w:val="none" w:sz="0" w:space="0" w:color="auto"/>
        <w:left w:val="none" w:sz="0" w:space="0" w:color="auto"/>
        <w:bottom w:val="none" w:sz="0" w:space="0" w:color="auto"/>
        <w:right w:val="none" w:sz="0" w:space="0" w:color="auto"/>
      </w:divBdr>
    </w:div>
    <w:div w:id="906309054">
      <w:bodyDiv w:val="1"/>
      <w:marLeft w:val="0"/>
      <w:marRight w:val="0"/>
      <w:marTop w:val="0"/>
      <w:marBottom w:val="0"/>
      <w:divBdr>
        <w:top w:val="none" w:sz="0" w:space="0" w:color="auto"/>
        <w:left w:val="none" w:sz="0" w:space="0" w:color="auto"/>
        <w:bottom w:val="none" w:sz="0" w:space="0" w:color="auto"/>
        <w:right w:val="none" w:sz="0" w:space="0" w:color="auto"/>
      </w:divBdr>
    </w:div>
    <w:div w:id="906381783">
      <w:bodyDiv w:val="1"/>
      <w:marLeft w:val="0"/>
      <w:marRight w:val="0"/>
      <w:marTop w:val="0"/>
      <w:marBottom w:val="0"/>
      <w:divBdr>
        <w:top w:val="none" w:sz="0" w:space="0" w:color="auto"/>
        <w:left w:val="none" w:sz="0" w:space="0" w:color="auto"/>
        <w:bottom w:val="none" w:sz="0" w:space="0" w:color="auto"/>
        <w:right w:val="none" w:sz="0" w:space="0" w:color="auto"/>
      </w:divBdr>
    </w:div>
    <w:div w:id="906382076">
      <w:bodyDiv w:val="1"/>
      <w:marLeft w:val="0"/>
      <w:marRight w:val="0"/>
      <w:marTop w:val="0"/>
      <w:marBottom w:val="0"/>
      <w:divBdr>
        <w:top w:val="none" w:sz="0" w:space="0" w:color="auto"/>
        <w:left w:val="none" w:sz="0" w:space="0" w:color="auto"/>
        <w:bottom w:val="none" w:sz="0" w:space="0" w:color="auto"/>
        <w:right w:val="none" w:sz="0" w:space="0" w:color="auto"/>
      </w:divBdr>
    </w:div>
    <w:div w:id="906502675">
      <w:bodyDiv w:val="1"/>
      <w:marLeft w:val="0"/>
      <w:marRight w:val="0"/>
      <w:marTop w:val="0"/>
      <w:marBottom w:val="0"/>
      <w:divBdr>
        <w:top w:val="none" w:sz="0" w:space="0" w:color="auto"/>
        <w:left w:val="none" w:sz="0" w:space="0" w:color="auto"/>
        <w:bottom w:val="none" w:sz="0" w:space="0" w:color="auto"/>
        <w:right w:val="none" w:sz="0" w:space="0" w:color="auto"/>
      </w:divBdr>
    </w:div>
    <w:div w:id="906526283">
      <w:bodyDiv w:val="1"/>
      <w:marLeft w:val="0"/>
      <w:marRight w:val="0"/>
      <w:marTop w:val="0"/>
      <w:marBottom w:val="0"/>
      <w:divBdr>
        <w:top w:val="none" w:sz="0" w:space="0" w:color="auto"/>
        <w:left w:val="none" w:sz="0" w:space="0" w:color="auto"/>
        <w:bottom w:val="none" w:sz="0" w:space="0" w:color="auto"/>
        <w:right w:val="none" w:sz="0" w:space="0" w:color="auto"/>
      </w:divBdr>
    </w:div>
    <w:div w:id="906576696">
      <w:bodyDiv w:val="1"/>
      <w:marLeft w:val="0"/>
      <w:marRight w:val="0"/>
      <w:marTop w:val="0"/>
      <w:marBottom w:val="0"/>
      <w:divBdr>
        <w:top w:val="none" w:sz="0" w:space="0" w:color="auto"/>
        <w:left w:val="none" w:sz="0" w:space="0" w:color="auto"/>
        <w:bottom w:val="none" w:sz="0" w:space="0" w:color="auto"/>
        <w:right w:val="none" w:sz="0" w:space="0" w:color="auto"/>
      </w:divBdr>
    </w:div>
    <w:div w:id="906645445">
      <w:bodyDiv w:val="1"/>
      <w:marLeft w:val="0"/>
      <w:marRight w:val="0"/>
      <w:marTop w:val="0"/>
      <w:marBottom w:val="0"/>
      <w:divBdr>
        <w:top w:val="none" w:sz="0" w:space="0" w:color="auto"/>
        <w:left w:val="none" w:sz="0" w:space="0" w:color="auto"/>
        <w:bottom w:val="none" w:sz="0" w:space="0" w:color="auto"/>
        <w:right w:val="none" w:sz="0" w:space="0" w:color="auto"/>
      </w:divBdr>
    </w:div>
    <w:div w:id="906694422">
      <w:bodyDiv w:val="1"/>
      <w:marLeft w:val="0"/>
      <w:marRight w:val="0"/>
      <w:marTop w:val="0"/>
      <w:marBottom w:val="0"/>
      <w:divBdr>
        <w:top w:val="none" w:sz="0" w:space="0" w:color="auto"/>
        <w:left w:val="none" w:sz="0" w:space="0" w:color="auto"/>
        <w:bottom w:val="none" w:sz="0" w:space="0" w:color="auto"/>
        <w:right w:val="none" w:sz="0" w:space="0" w:color="auto"/>
      </w:divBdr>
    </w:div>
    <w:div w:id="906719233">
      <w:bodyDiv w:val="1"/>
      <w:marLeft w:val="0"/>
      <w:marRight w:val="0"/>
      <w:marTop w:val="0"/>
      <w:marBottom w:val="0"/>
      <w:divBdr>
        <w:top w:val="none" w:sz="0" w:space="0" w:color="auto"/>
        <w:left w:val="none" w:sz="0" w:space="0" w:color="auto"/>
        <w:bottom w:val="none" w:sz="0" w:space="0" w:color="auto"/>
        <w:right w:val="none" w:sz="0" w:space="0" w:color="auto"/>
      </w:divBdr>
    </w:div>
    <w:div w:id="907035581">
      <w:bodyDiv w:val="1"/>
      <w:marLeft w:val="0"/>
      <w:marRight w:val="0"/>
      <w:marTop w:val="0"/>
      <w:marBottom w:val="0"/>
      <w:divBdr>
        <w:top w:val="none" w:sz="0" w:space="0" w:color="auto"/>
        <w:left w:val="none" w:sz="0" w:space="0" w:color="auto"/>
        <w:bottom w:val="none" w:sz="0" w:space="0" w:color="auto"/>
        <w:right w:val="none" w:sz="0" w:space="0" w:color="auto"/>
      </w:divBdr>
    </w:div>
    <w:div w:id="907035959">
      <w:bodyDiv w:val="1"/>
      <w:marLeft w:val="0"/>
      <w:marRight w:val="0"/>
      <w:marTop w:val="0"/>
      <w:marBottom w:val="0"/>
      <w:divBdr>
        <w:top w:val="none" w:sz="0" w:space="0" w:color="auto"/>
        <w:left w:val="none" w:sz="0" w:space="0" w:color="auto"/>
        <w:bottom w:val="none" w:sz="0" w:space="0" w:color="auto"/>
        <w:right w:val="none" w:sz="0" w:space="0" w:color="auto"/>
      </w:divBdr>
    </w:div>
    <w:div w:id="907036514">
      <w:bodyDiv w:val="1"/>
      <w:marLeft w:val="0"/>
      <w:marRight w:val="0"/>
      <w:marTop w:val="0"/>
      <w:marBottom w:val="0"/>
      <w:divBdr>
        <w:top w:val="none" w:sz="0" w:space="0" w:color="auto"/>
        <w:left w:val="none" w:sz="0" w:space="0" w:color="auto"/>
        <w:bottom w:val="none" w:sz="0" w:space="0" w:color="auto"/>
        <w:right w:val="none" w:sz="0" w:space="0" w:color="auto"/>
      </w:divBdr>
    </w:div>
    <w:div w:id="907108753">
      <w:bodyDiv w:val="1"/>
      <w:marLeft w:val="0"/>
      <w:marRight w:val="0"/>
      <w:marTop w:val="0"/>
      <w:marBottom w:val="0"/>
      <w:divBdr>
        <w:top w:val="none" w:sz="0" w:space="0" w:color="auto"/>
        <w:left w:val="none" w:sz="0" w:space="0" w:color="auto"/>
        <w:bottom w:val="none" w:sz="0" w:space="0" w:color="auto"/>
        <w:right w:val="none" w:sz="0" w:space="0" w:color="auto"/>
      </w:divBdr>
    </w:div>
    <w:div w:id="907304092">
      <w:bodyDiv w:val="1"/>
      <w:marLeft w:val="0"/>
      <w:marRight w:val="0"/>
      <w:marTop w:val="0"/>
      <w:marBottom w:val="0"/>
      <w:divBdr>
        <w:top w:val="none" w:sz="0" w:space="0" w:color="auto"/>
        <w:left w:val="none" w:sz="0" w:space="0" w:color="auto"/>
        <w:bottom w:val="none" w:sz="0" w:space="0" w:color="auto"/>
        <w:right w:val="none" w:sz="0" w:space="0" w:color="auto"/>
      </w:divBdr>
    </w:div>
    <w:div w:id="907347058">
      <w:bodyDiv w:val="1"/>
      <w:marLeft w:val="0"/>
      <w:marRight w:val="0"/>
      <w:marTop w:val="0"/>
      <w:marBottom w:val="0"/>
      <w:divBdr>
        <w:top w:val="none" w:sz="0" w:space="0" w:color="auto"/>
        <w:left w:val="none" w:sz="0" w:space="0" w:color="auto"/>
        <w:bottom w:val="none" w:sz="0" w:space="0" w:color="auto"/>
        <w:right w:val="none" w:sz="0" w:space="0" w:color="auto"/>
      </w:divBdr>
    </w:div>
    <w:div w:id="907348846">
      <w:bodyDiv w:val="1"/>
      <w:marLeft w:val="0"/>
      <w:marRight w:val="0"/>
      <w:marTop w:val="0"/>
      <w:marBottom w:val="0"/>
      <w:divBdr>
        <w:top w:val="none" w:sz="0" w:space="0" w:color="auto"/>
        <w:left w:val="none" w:sz="0" w:space="0" w:color="auto"/>
        <w:bottom w:val="none" w:sz="0" w:space="0" w:color="auto"/>
        <w:right w:val="none" w:sz="0" w:space="0" w:color="auto"/>
      </w:divBdr>
    </w:div>
    <w:div w:id="907349714">
      <w:bodyDiv w:val="1"/>
      <w:marLeft w:val="0"/>
      <w:marRight w:val="0"/>
      <w:marTop w:val="0"/>
      <w:marBottom w:val="0"/>
      <w:divBdr>
        <w:top w:val="none" w:sz="0" w:space="0" w:color="auto"/>
        <w:left w:val="none" w:sz="0" w:space="0" w:color="auto"/>
        <w:bottom w:val="none" w:sz="0" w:space="0" w:color="auto"/>
        <w:right w:val="none" w:sz="0" w:space="0" w:color="auto"/>
      </w:divBdr>
    </w:div>
    <w:div w:id="907350346">
      <w:bodyDiv w:val="1"/>
      <w:marLeft w:val="0"/>
      <w:marRight w:val="0"/>
      <w:marTop w:val="0"/>
      <w:marBottom w:val="0"/>
      <w:divBdr>
        <w:top w:val="none" w:sz="0" w:space="0" w:color="auto"/>
        <w:left w:val="none" w:sz="0" w:space="0" w:color="auto"/>
        <w:bottom w:val="none" w:sz="0" w:space="0" w:color="auto"/>
        <w:right w:val="none" w:sz="0" w:space="0" w:color="auto"/>
      </w:divBdr>
    </w:div>
    <w:div w:id="907421548">
      <w:bodyDiv w:val="1"/>
      <w:marLeft w:val="0"/>
      <w:marRight w:val="0"/>
      <w:marTop w:val="0"/>
      <w:marBottom w:val="0"/>
      <w:divBdr>
        <w:top w:val="none" w:sz="0" w:space="0" w:color="auto"/>
        <w:left w:val="none" w:sz="0" w:space="0" w:color="auto"/>
        <w:bottom w:val="none" w:sz="0" w:space="0" w:color="auto"/>
        <w:right w:val="none" w:sz="0" w:space="0" w:color="auto"/>
      </w:divBdr>
    </w:div>
    <w:div w:id="907422088">
      <w:bodyDiv w:val="1"/>
      <w:marLeft w:val="0"/>
      <w:marRight w:val="0"/>
      <w:marTop w:val="0"/>
      <w:marBottom w:val="0"/>
      <w:divBdr>
        <w:top w:val="none" w:sz="0" w:space="0" w:color="auto"/>
        <w:left w:val="none" w:sz="0" w:space="0" w:color="auto"/>
        <w:bottom w:val="none" w:sz="0" w:space="0" w:color="auto"/>
        <w:right w:val="none" w:sz="0" w:space="0" w:color="auto"/>
      </w:divBdr>
    </w:div>
    <w:div w:id="907426679">
      <w:bodyDiv w:val="1"/>
      <w:marLeft w:val="0"/>
      <w:marRight w:val="0"/>
      <w:marTop w:val="0"/>
      <w:marBottom w:val="0"/>
      <w:divBdr>
        <w:top w:val="none" w:sz="0" w:space="0" w:color="auto"/>
        <w:left w:val="none" w:sz="0" w:space="0" w:color="auto"/>
        <w:bottom w:val="none" w:sz="0" w:space="0" w:color="auto"/>
        <w:right w:val="none" w:sz="0" w:space="0" w:color="auto"/>
      </w:divBdr>
    </w:div>
    <w:div w:id="907501109">
      <w:bodyDiv w:val="1"/>
      <w:marLeft w:val="0"/>
      <w:marRight w:val="0"/>
      <w:marTop w:val="0"/>
      <w:marBottom w:val="0"/>
      <w:divBdr>
        <w:top w:val="none" w:sz="0" w:space="0" w:color="auto"/>
        <w:left w:val="none" w:sz="0" w:space="0" w:color="auto"/>
        <w:bottom w:val="none" w:sz="0" w:space="0" w:color="auto"/>
        <w:right w:val="none" w:sz="0" w:space="0" w:color="auto"/>
      </w:divBdr>
    </w:div>
    <w:div w:id="907765205">
      <w:bodyDiv w:val="1"/>
      <w:marLeft w:val="0"/>
      <w:marRight w:val="0"/>
      <w:marTop w:val="0"/>
      <w:marBottom w:val="0"/>
      <w:divBdr>
        <w:top w:val="none" w:sz="0" w:space="0" w:color="auto"/>
        <w:left w:val="none" w:sz="0" w:space="0" w:color="auto"/>
        <w:bottom w:val="none" w:sz="0" w:space="0" w:color="auto"/>
        <w:right w:val="none" w:sz="0" w:space="0" w:color="auto"/>
      </w:divBdr>
    </w:div>
    <w:div w:id="908081475">
      <w:bodyDiv w:val="1"/>
      <w:marLeft w:val="0"/>
      <w:marRight w:val="0"/>
      <w:marTop w:val="0"/>
      <w:marBottom w:val="0"/>
      <w:divBdr>
        <w:top w:val="none" w:sz="0" w:space="0" w:color="auto"/>
        <w:left w:val="none" w:sz="0" w:space="0" w:color="auto"/>
        <w:bottom w:val="none" w:sz="0" w:space="0" w:color="auto"/>
        <w:right w:val="none" w:sz="0" w:space="0" w:color="auto"/>
      </w:divBdr>
    </w:div>
    <w:div w:id="908149863">
      <w:bodyDiv w:val="1"/>
      <w:marLeft w:val="0"/>
      <w:marRight w:val="0"/>
      <w:marTop w:val="0"/>
      <w:marBottom w:val="0"/>
      <w:divBdr>
        <w:top w:val="none" w:sz="0" w:space="0" w:color="auto"/>
        <w:left w:val="none" w:sz="0" w:space="0" w:color="auto"/>
        <w:bottom w:val="none" w:sz="0" w:space="0" w:color="auto"/>
        <w:right w:val="none" w:sz="0" w:space="0" w:color="auto"/>
      </w:divBdr>
    </w:div>
    <w:div w:id="908155266">
      <w:bodyDiv w:val="1"/>
      <w:marLeft w:val="0"/>
      <w:marRight w:val="0"/>
      <w:marTop w:val="0"/>
      <w:marBottom w:val="0"/>
      <w:divBdr>
        <w:top w:val="none" w:sz="0" w:space="0" w:color="auto"/>
        <w:left w:val="none" w:sz="0" w:space="0" w:color="auto"/>
        <w:bottom w:val="none" w:sz="0" w:space="0" w:color="auto"/>
        <w:right w:val="none" w:sz="0" w:space="0" w:color="auto"/>
      </w:divBdr>
    </w:div>
    <w:div w:id="908155581">
      <w:bodyDiv w:val="1"/>
      <w:marLeft w:val="0"/>
      <w:marRight w:val="0"/>
      <w:marTop w:val="0"/>
      <w:marBottom w:val="0"/>
      <w:divBdr>
        <w:top w:val="none" w:sz="0" w:space="0" w:color="auto"/>
        <w:left w:val="none" w:sz="0" w:space="0" w:color="auto"/>
        <w:bottom w:val="none" w:sz="0" w:space="0" w:color="auto"/>
        <w:right w:val="none" w:sz="0" w:space="0" w:color="auto"/>
      </w:divBdr>
    </w:div>
    <w:div w:id="908266705">
      <w:bodyDiv w:val="1"/>
      <w:marLeft w:val="0"/>
      <w:marRight w:val="0"/>
      <w:marTop w:val="0"/>
      <w:marBottom w:val="0"/>
      <w:divBdr>
        <w:top w:val="none" w:sz="0" w:space="0" w:color="auto"/>
        <w:left w:val="none" w:sz="0" w:space="0" w:color="auto"/>
        <w:bottom w:val="none" w:sz="0" w:space="0" w:color="auto"/>
        <w:right w:val="none" w:sz="0" w:space="0" w:color="auto"/>
      </w:divBdr>
    </w:div>
    <w:div w:id="908342338">
      <w:bodyDiv w:val="1"/>
      <w:marLeft w:val="0"/>
      <w:marRight w:val="0"/>
      <w:marTop w:val="0"/>
      <w:marBottom w:val="0"/>
      <w:divBdr>
        <w:top w:val="none" w:sz="0" w:space="0" w:color="auto"/>
        <w:left w:val="none" w:sz="0" w:space="0" w:color="auto"/>
        <w:bottom w:val="none" w:sz="0" w:space="0" w:color="auto"/>
        <w:right w:val="none" w:sz="0" w:space="0" w:color="auto"/>
      </w:divBdr>
    </w:div>
    <w:div w:id="908345398">
      <w:bodyDiv w:val="1"/>
      <w:marLeft w:val="0"/>
      <w:marRight w:val="0"/>
      <w:marTop w:val="0"/>
      <w:marBottom w:val="0"/>
      <w:divBdr>
        <w:top w:val="none" w:sz="0" w:space="0" w:color="auto"/>
        <w:left w:val="none" w:sz="0" w:space="0" w:color="auto"/>
        <w:bottom w:val="none" w:sz="0" w:space="0" w:color="auto"/>
        <w:right w:val="none" w:sz="0" w:space="0" w:color="auto"/>
      </w:divBdr>
    </w:div>
    <w:div w:id="908349859">
      <w:bodyDiv w:val="1"/>
      <w:marLeft w:val="0"/>
      <w:marRight w:val="0"/>
      <w:marTop w:val="0"/>
      <w:marBottom w:val="0"/>
      <w:divBdr>
        <w:top w:val="none" w:sz="0" w:space="0" w:color="auto"/>
        <w:left w:val="none" w:sz="0" w:space="0" w:color="auto"/>
        <w:bottom w:val="none" w:sz="0" w:space="0" w:color="auto"/>
        <w:right w:val="none" w:sz="0" w:space="0" w:color="auto"/>
      </w:divBdr>
    </w:div>
    <w:div w:id="908460968">
      <w:bodyDiv w:val="1"/>
      <w:marLeft w:val="0"/>
      <w:marRight w:val="0"/>
      <w:marTop w:val="0"/>
      <w:marBottom w:val="0"/>
      <w:divBdr>
        <w:top w:val="none" w:sz="0" w:space="0" w:color="auto"/>
        <w:left w:val="none" w:sz="0" w:space="0" w:color="auto"/>
        <w:bottom w:val="none" w:sz="0" w:space="0" w:color="auto"/>
        <w:right w:val="none" w:sz="0" w:space="0" w:color="auto"/>
      </w:divBdr>
    </w:div>
    <w:div w:id="908462115">
      <w:bodyDiv w:val="1"/>
      <w:marLeft w:val="0"/>
      <w:marRight w:val="0"/>
      <w:marTop w:val="0"/>
      <w:marBottom w:val="0"/>
      <w:divBdr>
        <w:top w:val="none" w:sz="0" w:space="0" w:color="auto"/>
        <w:left w:val="none" w:sz="0" w:space="0" w:color="auto"/>
        <w:bottom w:val="none" w:sz="0" w:space="0" w:color="auto"/>
        <w:right w:val="none" w:sz="0" w:space="0" w:color="auto"/>
      </w:divBdr>
    </w:div>
    <w:div w:id="908462312">
      <w:bodyDiv w:val="1"/>
      <w:marLeft w:val="0"/>
      <w:marRight w:val="0"/>
      <w:marTop w:val="0"/>
      <w:marBottom w:val="0"/>
      <w:divBdr>
        <w:top w:val="none" w:sz="0" w:space="0" w:color="auto"/>
        <w:left w:val="none" w:sz="0" w:space="0" w:color="auto"/>
        <w:bottom w:val="none" w:sz="0" w:space="0" w:color="auto"/>
        <w:right w:val="none" w:sz="0" w:space="0" w:color="auto"/>
      </w:divBdr>
    </w:div>
    <w:div w:id="908467225">
      <w:bodyDiv w:val="1"/>
      <w:marLeft w:val="0"/>
      <w:marRight w:val="0"/>
      <w:marTop w:val="0"/>
      <w:marBottom w:val="0"/>
      <w:divBdr>
        <w:top w:val="none" w:sz="0" w:space="0" w:color="auto"/>
        <w:left w:val="none" w:sz="0" w:space="0" w:color="auto"/>
        <w:bottom w:val="none" w:sz="0" w:space="0" w:color="auto"/>
        <w:right w:val="none" w:sz="0" w:space="0" w:color="auto"/>
      </w:divBdr>
    </w:div>
    <w:div w:id="908615365">
      <w:bodyDiv w:val="1"/>
      <w:marLeft w:val="0"/>
      <w:marRight w:val="0"/>
      <w:marTop w:val="0"/>
      <w:marBottom w:val="0"/>
      <w:divBdr>
        <w:top w:val="none" w:sz="0" w:space="0" w:color="auto"/>
        <w:left w:val="none" w:sz="0" w:space="0" w:color="auto"/>
        <w:bottom w:val="none" w:sz="0" w:space="0" w:color="auto"/>
        <w:right w:val="none" w:sz="0" w:space="0" w:color="auto"/>
      </w:divBdr>
    </w:div>
    <w:div w:id="908619232">
      <w:bodyDiv w:val="1"/>
      <w:marLeft w:val="0"/>
      <w:marRight w:val="0"/>
      <w:marTop w:val="0"/>
      <w:marBottom w:val="0"/>
      <w:divBdr>
        <w:top w:val="none" w:sz="0" w:space="0" w:color="auto"/>
        <w:left w:val="none" w:sz="0" w:space="0" w:color="auto"/>
        <w:bottom w:val="none" w:sz="0" w:space="0" w:color="auto"/>
        <w:right w:val="none" w:sz="0" w:space="0" w:color="auto"/>
      </w:divBdr>
    </w:div>
    <w:div w:id="908657582">
      <w:bodyDiv w:val="1"/>
      <w:marLeft w:val="0"/>
      <w:marRight w:val="0"/>
      <w:marTop w:val="0"/>
      <w:marBottom w:val="0"/>
      <w:divBdr>
        <w:top w:val="none" w:sz="0" w:space="0" w:color="auto"/>
        <w:left w:val="none" w:sz="0" w:space="0" w:color="auto"/>
        <w:bottom w:val="none" w:sz="0" w:space="0" w:color="auto"/>
        <w:right w:val="none" w:sz="0" w:space="0" w:color="auto"/>
      </w:divBdr>
    </w:div>
    <w:div w:id="908728531">
      <w:bodyDiv w:val="1"/>
      <w:marLeft w:val="0"/>
      <w:marRight w:val="0"/>
      <w:marTop w:val="0"/>
      <w:marBottom w:val="0"/>
      <w:divBdr>
        <w:top w:val="none" w:sz="0" w:space="0" w:color="auto"/>
        <w:left w:val="none" w:sz="0" w:space="0" w:color="auto"/>
        <w:bottom w:val="none" w:sz="0" w:space="0" w:color="auto"/>
        <w:right w:val="none" w:sz="0" w:space="0" w:color="auto"/>
      </w:divBdr>
    </w:div>
    <w:div w:id="908728661">
      <w:bodyDiv w:val="1"/>
      <w:marLeft w:val="0"/>
      <w:marRight w:val="0"/>
      <w:marTop w:val="0"/>
      <w:marBottom w:val="0"/>
      <w:divBdr>
        <w:top w:val="none" w:sz="0" w:space="0" w:color="auto"/>
        <w:left w:val="none" w:sz="0" w:space="0" w:color="auto"/>
        <w:bottom w:val="none" w:sz="0" w:space="0" w:color="auto"/>
        <w:right w:val="none" w:sz="0" w:space="0" w:color="auto"/>
      </w:divBdr>
    </w:div>
    <w:div w:id="908812316">
      <w:bodyDiv w:val="1"/>
      <w:marLeft w:val="0"/>
      <w:marRight w:val="0"/>
      <w:marTop w:val="0"/>
      <w:marBottom w:val="0"/>
      <w:divBdr>
        <w:top w:val="none" w:sz="0" w:space="0" w:color="auto"/>
        <w:left w:val="none" w:sz="0" w:space="0" w:color="auto"/>
        <w:bottom w:val="none" w:sz="0" w:space="0" w:color="auto"/>
        <w:right w:val="none" w:sz="0" w:space="0" w:color="auto"/>
      </w:divBdr>
    </w:div>
    <w:div w:id="908812547">
      <w:bodyDiv w:val="1"/>
      <w:marLeft w:val="0"/>
      <w:marRight w:val="0"/>
      <w:marTop w:val="0"/>
      <w:marBottom w:val="0"/>
      <w:divBdr>
        <w:top w:val="none" w:sz="0" w:space="0" w:color="auto"/>
        <w:left w:val="none" w:sz="0" w:space="0" w:color="auto"/>
        <w:bottom w:val="none" w:sz="0" w:space="0" w:color="auto"/>
        <w:right w:val="none" w:sz="0" w:space="0" w:color="auto"/>
      </w:divBdr>
    </w:div>
    <w:div w:id="908925474">
      <w:bodyDiv w:val="1"/>
      <w:marLeft w:val="0"/>
      <w:marRight w:val="0"/>
      <w:marTop w:val="0"/>
      <w:marBottom w:val="0"/>
      <w:divBdr>
        <w:top w:val="none" w:sz="0" w:space="0" w:color="auto"/>
        <w:left w:val="none" w:sz="0" w:space="0" w:color="auto"/>
        <w:bottom w:val="none" w:sz="0" w:space="0" w:color="auto"/>
        <w:right w:val="none" w:sz="0" w:space="0" w:color="auto"/>
      </w:divBdr>
    </w:div>
    <w:div w:id="909119633">
      <w:bodyDiv w:val="1"/>
      <w:marLeft w:val="0"/>
      <w:marRight w:val="0"/>
      <w:marTop w:val="0"/>
      <w:marBottom w:val="0"/>
      <w:divBdr>
        <w:top w:val="none" w:sz="0" w:space="0" w:color="auto"/>
        <w:left w:val="none" w:sz="0" w:space="0" w:color="auto"/>
        <w:bottom w:val="none" w:sz="0" w:space="0" w:color="auto"/>
        <w:right w:val="none" w:sz="0" w:space="0" w:color="auto"/>
      </w:divBdr>
    </w:div>
    <w:div w:id="909384047">
      <w:bodyDiv w:val="1"/>
      <w:marLeft w:val="0"/>
      <w:marRight w:val="0"/>
      <w:marTop w:val="0"/>
      <w:marBottom w:val="0"/>
      <w:divBdr>
        <w:top w:val="none" w:sz="0" w:space="0" w:color="auto"/>
        <w:left w:val="none" w:sz="0" w:space="0" w:color="auto"/>
        <w:bottom w:val="none" w:sz="0" w:space="0" w:color="auto"/>
        <w:right w:val="none" w:sz="0" w:space="0" w:color="auto"/>
      </w:divBdr>
    </w:div>
    <w:div w:id="909385199">
      <w:bodyDiv w:val="1"/>
      <w:marLeft w:val="0"/>
      <w:marRight w:val="0"/>
      <w:marTop w:val="0"/>
      <w:marBottom w:val="0"/>
      <w:divBdr>
        <w:top w:val="none" w:sz="0" w:space="0" w:color="auto"/>
        <w:left w:val="none" w:sz="0" w:space="0" w:color="auto"/>
        <w:bottom w:val="none" w:sz="0" w:space="0" w:color="auto"/>
        <w:right w:val="none" w:sz="0" w:space="0" w:color="auto"/>
      </w:divBdr>
    </w:div>
    <w:div w:id="909385884">
      <w:bodyDiv w:val="1"/>
      <w:marLeft w:val="0"/>
      <w:marRight w:val="0"/>
      <w:marTop w:val="0"/>
      <w:marBottom w:val="0"/>
      <w:divBdr>
        <w:top w:val="none" w:sz="0" w:space="0" w:color="auto"/>
        <w:left w:val="none" w:sz="0" w:space="0" w:color="auto"/>
        <w:bottom w:val="none" w:sz="0" w:space="0" w:color="auto"/>
        <w:right w:val="none" w:sz="0" w:space="0" w:color="auto"/>
      </w:divBdr>
    </w:div>
    <w:div w:id="909460131">
      <w:bodyDiv w:val="1"/>
      <w:marLeft w:val="0"/>
      <w:marRight w:val="0"/>
      <w:marTop w:val="0"/>
      <w:marBottom w:val="0"/>
      <w:divBdr>
        <w:top w:val="none" w:sz="0" w:space="0" w:color="auto"/>
        <w:left w:val="none" w:sz="0" w:space="0" w:color="auto"/>
        <w:bottom w:val="none" w:sz="0" w:space="0" w:color="auto"/>
        <w:right w:val="none" w:sz="0" w:space="0" w:color="auto"/>
      </w:divBdr>
    </w:div>
    <w:div w:id="909652754">
      <w:bodyDiv w:val="1"/>
      <w:marLeft w:val="0"/>
      <w:marRight w:val="0"/>
      <w:marTop w:val="0"/>
      <w:marBottom w:val="0"/>
      <w:divBdr>
        <w:top w:val="none" w:sz="0" w:space="0" w:color="auto"/>
        <w:left w:val="none" w:sz="0" w:space="0" w:color="auto"/>
        <w:bottom w:val="none" w:sz="0" w:space="0" w:color="auto"/>
        <w:right w:val="none" w:sz="0" w:space="0" w:color="auto"/>
      </w:divBdr>
    </w:div>
    <w:div w:id="909771442">
      <w:bodyDiv w:val="1"/>
      <w:marLeft w:val="0"/>
      <w:marRight w:val="0"/>
      <w:marTop w:val="0"/>
      <w:marBottom w:val="0"/>
      <w:divBdr>
        <w:top w:val="none" w:sz="0" w:space="0" w:color="auto"/>
        <w:left w:val="none" w:sz="0" w:space="0" w:color="auto"/>
        <w:bottom w:val="none" w:sz="0" w:space="0" w:color="auto"/>
        <w:right w:val="none" w:sz="0" w:space="0" w:color="auto"/>
      </w:divBdr>
    </w:div>
    <w:div w:id="909802336">
      <w:bodyDiv w:val="1"/>
      <w:marLeft w:val="0"/>
      <w:marRight w:val="0"/>
      <w:marTop w:val="0"/>
      <w:marBottom w:val="0"/>
      <w:divBdr>
        <w:top w:val="none" w:sz="0" w:space="0" w:color="auto"/>
        <w:left w:val="none" w:sz="0" w:space="0" w:color="auto"/>
        <w:bottom w:val="none" w:sz="0" w:space="0" w:color="auto"/>
        <w:right w:val="none" w:sz="0" w:space="0" w:color="auto"/>
      </w:divBdr>
    </w:div>
    <w:div w:id="909851324">
      <w:bodyDiv w:val="1"/>
      <w:marLeft w:val="0"/>
      <w:marRight w:val="0"/>
      <w:marTop w:val="0"/>
      <w:marBottom w:val="0"/>
      <w:divBdr>
        <w:top w:val="none" w:sz="0" w:space="0" w:color="auto"/>
        <w:left w:val="none" w:sz="0" w:space="0" w:color="auto"/>
        <w:bottom w:val="none" w:sz="0" w:space="0" w:color="auto"/>
        <w:right w:val="none" w:sz="0" w:space="0" w:color="auto"/>
      </w:divBdr>
    </w:div>
    <w:div w:id="909998869">
      <w:bodyDiv w:val="1"/>
      <w:marLeft w:val="0"/>
      <w:marRight w:val="0"/>
      <w:marTop w:val="0"/>
      <w:marBottom w:val="0"/>
      <w:divBdr>
        <w:top w:val="none" w:sz="0" w:space="0" w:color="auto"/>
        <w:left w:val="none" w:sz="0" w:space="0" w:color="auto"/>
        <w:bottom w:val="none" w:sz="0" w:space="0" w:color="auto"/>
        <w:right w:val="none" w:sz="0" w:space="0" w:color="auto"/>
      </w:divBdr>
    </w:div>
    <w:div w:id="910121384">
      <w:bodyDiv w:val="1"/>
      <w:marLeft w:val="0"/>
      <w:marRight w:val="0"/>
      <w:marTop w:val="0"/>
      <w:marBottom w:val="0"/>
      <w:divBdr>
        <w:top w:val="none" w:sz="0" w:space="0" w:color="auto"/>
        <w:left w:val="none" w:sz="0" w:space="0" w:color="auto"/>
        <w:bottom w:val="none" w:sz="0" w:space="0" w:color="auto"/>
        <w:right w:val="none" w:sz="0" w:space="0" w:color="auto"/>
      </w:divBdr>
    </w:div>
    <w:div w:id="910240690">
      <w:bodyDiv w:val="1"/>
      <w:marLeft w:val="0"/>
      <w:marRight w:val="0"/>
      <w:marTop w:val="0"/>
      <w:marBottom w:val="0"/>
      <w:divBdr>
        <w:top w:val="none" w:sz="0" w:space="0" w:color="auto"/>
        <w:left w:val="none" w:sz="0" w:space="0" w:color="auto"/>
        <w:bottom w:val="none" w:sz="0" w:space="0" w:color="auto"/>
        <w:right w:val="none" w:sz="0" w:space="0" w:color="auto"/>
      </w:divBdr>
    </w:div>
    <w:div w:id="910306750">
      <w:bodyDiv w:val="1"/>
      <w:marLeft w:val="0"/>
      <w:marRight w:val="0"/>
      <w:marTop w:val="0"/>
      <w:marBottom w:val="0"/>
      <w:divBdr>
        <w:top w:val="none" w:sz="0" w:space="0" w:color="auto"/>
        <w:left w:val="none" w:sz="0" w:space="0" w:color="auto"/>
        <w:bottom w:val="none" w:sz="0" w:space="0" w:color="auto"/>
        <w:right w:val="none" w:sz="0" w:space="0" w:color="auto"/>
      </w:divBdr>
    </w:div>
    <w:div w:id="910388857">
      <w:bodyDiv w:val="1"/>
      <w:marLeft w:val="0"/>
      <w:marRight w:val="0"/>
      <w:marTop w:val="0"/>
      <w:marBottom w:val="0"/>
      <w:divBdr>
        <w:top w:val="none" w:sz="0" w:space="0" w:color="auto"/>
        <w:left w:val="none" w:sz="0" w:space="0" w:color="auto"/>
        <w:bottom w:val="none" w:sz="0" w:space="0" w:color="auto"/>
        <w:right w:val="none" w:sz="0" w:space="0" w:color="auto"/>
      </w:divBdr>
    </w:div>
    <w:div w:id="910458762">
      <w:bodyDiv w:val="1"/>
      <w:marLeft w:val="0"/>
      <w:marRight w:val="0"/>
      <w:marTop w:val="0"/>
      <w:marBottom w:val="0"/>
      <w:divBdr>
        <w:top w:val="none" w:sz="0" w:space="0" w:color="auto"/>
        <w:left w:val="none" w:sz="0" w:space="0" w:color="auto"/>
        <w:bottom w:val="none" w:sz="0" w:space="0" w:color="auto"/>
        <w:right w:val="none" w:sz="0" w:space="0" w:color="auto"/>
      </w:divBdr>
    </w:div>
    <w:div w:id="910507378">
      <w:bodyDiv w:val="1"/>
      <w:marLeft w:val="0"/>
      <w:marRight w:val="0"/>
      <w:marTop w:val="0"/>
      <w:marBottom w:val="0"/>
      <w:divBdr>
        <w:top w:val="none" w:sz="0" w:space="0" w:color="auto"/>
        <w:left w:val="none" w:sz="0" w:space="0" w:color="auto"/>
        <w:bottom w:val="none" w:sz="0" w:space="0" w:color="auto"/>
        <w:right w:val="none" w:sz="0" w:space="0" w:color="auto"/>
      </w:divBdr>
    </w:div>
    <w:div w:id="910626987">
      <w:bodyDiv w:val="1"/>
      <w:marLeft w:val="0"/>
      <w:marRight w:val="0"/>
      <w:marTop w:val="0"/>
      <w:marBottom w:val="0"/>
      <w:divBdr>
        <w:top w:val="none" w:sz="0" w:space="0" w:color="auto"/>
        <w:left w:val="none" w:sz="0" w:space="0" w:color="auto"/>
        <w:bottom w:val="none" w:sz="0" w:space="0" w:color="auto"/>
        <w:right w:val="none" w:sz="0" w:space="0" w:color="auto"/>
      </w:divBdr>
    </w:div>
    <w:div w:id="910774199">
      <w:bodyDiv w:val="1"/>
      <w:marLeft w:val="0"/>
      <w:marRight w:val="0"/>
      <w:marTop w:val="0"/>
      <w:marBottom w:val="0"/>
      <w:divBdr>
        <w:top w:val="none" w:sz="0" w:space="0" w:color="auto"/>
        <w:left w:val="none" w:sz="0" w:space="0" w:color="auto"/>
        <w:bottom w:val="none" w:sz="0" w:space="0" w:color="auto"/>
        <w:right w:val="none" w:sz="0" w:space="0" w:color="auto"/>
      </w:divBdr>
    </w:div>
    <w:div w:id="910776527">
      <w:bodyDiv w:val="1"/>
      <w:marLeft w:val="0"/>
      <w:marRight w:val="0"/>
      <w:marTop w:val="0"/>
      <w:marBottom w:val="0"/>
      <w:divBdr>
        <w:top w:val="none" w:sz="0" w:space="0" w:color="auto"/>
        <w:left w:val="none" w:sz="0" w:space="0" w:color="auto"/>
        <w:bottom w:val="none" w:sz="0" w:space="0" w:color="auto"/>
        <w:right w:val="none" w:sz="0" w:space="0" w:color="auto"/>
      </w:divBdr>
    </w:div>
    <w:div w:id="910891977">
      <w:bodyDiv w:val="1"/>
      <w:marLeft w:val="0"/>
      <w:marRight w:val="0"/>
      <w:marTop w:val="0"/>
      <w:marBottom w:val="0"/>
      <w:divBdr>
        <w:top w:val="none" w:sz="0" w:space="0" w:color="auto"/>
        <w:left w:val="none" w:sz="0" w:space="0" w:color="auto"/>
        <w:bottom w:val="none" w:sz="0" w:space="0" w:color="auto"/>
        <w:right w:val="none" w:sz="0" w:space="0" w:color="auto"/>
      </w:divBdr>
    </w:div>
    <w:div w:id="911045741">
      <w:bodyDiv w:val="1"/>
      <w:marLeft w:val="0"/>
      <w:marRight w:val="0"/>
      <w:marTop w:val="0"/>
      <w:marBottom w:val="0"/>
      <w:divBdr>
        <w:top w:val="none" w:sz="0" w:space="0" w:color="auto"/>
        <w:left w:val="none" w:sz="0" w:space="0" w:color="auto"/>
        <w:bottom w:val="none" w:sz="0" w:space="0" w:color="auto"/>
        <w:right w:val="none" w:sz="0" w:space="0" w:color="auto"/>
      </w:divBdr>
    </w:div>
    <w:div w:id="911112884">
      <w:bodyDiv w:val="1"/>
      <w:marLeft w:val="0"/>
      <w:marRight w:val="0"/>
      <w:marTop w:val="0"/>
      <w:marBottom w:val="0"/>
      <w:divBdr>
        <w:top w:val="none" w:sz="0" w:space="0" w:color="auto"/>
        <w:left w:val="none" w:sz="0" w:space="0" w:color="auto"/>
        <w:bottom w:val="none" w:sz="0" w:space="0" w:color="auto"/>
        <w:right w:val="none" w:sz="0" w:space="0" w:color="auto"/>
      </w:divBdr>
    </w:div>
    <w:div w:id="911162813">
      <w:bodyDiv w:val="1"/>
      <w:marLeft w:val="0"/>
      <w:marRight w:val="0"/>
      <w:marTop w:val="0"/>
      <w:marBottom w:val="0"/>
      <w:divBdr>
        <w:top w:val="none" w:sz="0" w:space="0" w:color="auto"/>
        <w:left w:val="none" w:sz="0" w:space="0" w:color="auto"/>
        <w:bottom w:val="none" w:sz="0" w:space="0" w:color="auto"/>
        <w:right w:val="none" w:sz="0" w:space="0" w:color="auto"/>
      </w:divBdr>
    </w:div>
    <w:div w:id="911426721">
      <w:bodyDiv w:val="1"/>
      <w:marLeft w:val="0"/>
      <w:marRight w:val="0"/>
      <w:marTop w:val="0"/>
      <w:marBottom w:val="0"/>
      <w:divBdr>
        <w:top w:val="none" w:sz="0" w:space="0" w:color="auto"/>
        <w:left w:val="none" w:sz="0" w:space="0" w:color="auto"/>
        <w:bottom w:val="none" w:sz="0" w:space="0" w:color="auto"/>
        <w:right w:val="none" w:sz="0" w:space="0" w:color="auto"/>
      </w:divBdr>
    </w:div>
    <w:div w:id="911429236">
      <w:bodyDiv w:val="1"/>
      <w:marLeft w:val="0"/>
      <w:marRight w:val="0"/>
      <w:marTop w:val="0"/>
      <w:marBottom w:val="0"/>
      <w:divBdr>
        <w:top w:val="none" w:sz="0" w:space="0" w:color="auto"/>
        <w:left w:val="none" w:sz="0" w:space="0" w:color="auto"/>
        <w:bottom w:val="none" w:sz="0" w:space="0" w:color="auto"/>
        <w:right w:val="none" w:sz="0" w:space="0" w:color="auto"/>
      </w:divBdr>
    </w:div>
    <w:div w:id="911503116">
      <w:bodyDiv w:val="1"/>
      <w:marLeft w:val="0"/>
      <w:marRight w:val="0"/>
      <w:marTop w:val="0"/>
      <w:marBottom w:val="0"/>
      <w:divBdr>
        <w:top w:val="none" w:sz="0" w:space="0" w:color="auto"/>
        <w:left w:val="none" w:sz="0" w:space="0" w:color="auto"/>
        <w:bottom w:val="none" w:sz="0" w:space="0" w:color="auto"/>
        <w:right w:val="none" w:sz="0" w:space="0" w:color="auto"/>
      </w:divBdr>
    </w:div>
    <w:div w:id="911542615">
      <w:bodyDiv w:val="1"/>
      <w:marLeft w:val="0"/>
      <w:marRight w:val="0"/>
      <w:marTop w:val="0"/>
      <w:marBottom w:val="0"/>
      <w:divBdr>
        <w:top w:val="none" w:sz="0" w:space="0" w:color="auto"/>
        <w:left w:val="none" w:sz="0" w:space="0" w:color="auto"/>
        <w:bottom w:val="none" w:sz="0" w:space="0" w:color="auto"/>
        <w:right w:val="none" w:sz="0" w:space="0" w:color="auto"/>
      </w:divBdr>
    </w:div>
    <w:div w:id="911545684">
      <w:bodyDiv w:val="1"/>
      <w:marLeft w:val="0"/>
      <w:marRight w:val="0"/>
      <w:marTop w:val="0"/>
      <w:marBottom w:val="0"/>
      <w:divBdr>
        <w:top w:val="none" w:sz="0" w:space="0" w:color="auto"/>
        <w:left w:val="none" w:sz="0" w:space="0" w:color="auto"/>
        <w:bottom w:val="none" w:sz="0" w:space="0" w:color="auto"/>
        <w:right w:val="none" w:sz="0" w:space="0" w:color="auto"/>
      </w:divBdr>
    </w:div>
    <w:div w:id="911548898">
      <w:bodyDiv w:val="1"/>
      <w:marLeft w:val="0"/>
      <w:marRight w:val="0"/>
      <w:marTop w:val="0"/>
      <w:marBottom w:val="0"/>
      <w:divBdr>
        <w:top w:val="none" w:sz="0" w:space="0" w:color="auto"/>
        <w:left w:val="none" w:sz="0" w:space="0" w:color="auto"/>
        <w:bottom w:val="none" w:sz="0" w:space="0" w:color="auto"/>
        <w:right w:val="none" w:sz="0" w:space="0" w:color="auto"/>
      </w:divBdr>
    </w:div>
    <w:div w:id="911695838">
      <w:bodyDiv w:val="1"/>
      <w:marLeft w:val="0"/>
      <w:marRight w:val="0"/>
      <w:marTop w:val="0"/>
      <w:marBottom w:val="0"/>
      <w:divBdr>
        <w:top w:val="none" w:sz="0" w:space="0" w:color="auto"/>
        <w:left w:val="none" w:sz="0" w:space="0" w:color="auto"/>
        <w:bottom w:val="none" w:sz="0" w:space="0" w:color="auto"/>
        <w:right w:val="none" w:sz="0" w:space="0" w:color="auto"/>
      </w:divBdr>
    </w:div>
    <w:div w:id="911742133">
      <w:bodyDiv w:val="1"/>
      <w:marLeft w:val="0"/>
      <w:marRight w:val="0"/>
      <w:marTop w:val="0"/>
      <w:marBottom w:val="0"/>
      <w:divBdr>
        <w:top w:val="none" w:sz="0" w:space="0" w:color="auto"/>
        <w:left w:val="none" w:sz="0" w:space="0" w:color="auto"/>
        <w:bottom w:val="none" w:sz="0" w:space="0" w:color="auto"/>
        <w:right w:val="none" w:sz="0" w:space="0" w:color="auto"/>
      </w:divBdr>
    </w:div>
    <w:div w:id="911888760">
      <w:bodyDiv w:val="1"/>
      <w:marLeft w:val="0"/>
      <w:marRight w:val="0"/>
      <w:marTop w:val="0"/>
      <w:marBottom w:val="0"/>
      <w:divBdr>
        <w:top w:val="none" w:sz="0" w:space="0" w:color="auto"/>
        <w:left w:val="none" w:sz="0" w:space="0" w:color="auto"/>
        <w:bottom w:val="none" w:sz="0" w:space="0" w:color="auto"/>
        <w:right w:val="none" w:sz="0" w:space="0" w:color="auto"/>
      </w:divBdr>
    </w:div>
    <w:div w:id="911892727">
      <w:bodyDiv w:val="1"/>
      <w:marLeft w:val="0"/>
      <w:marRight w:val="0"/>
      <w:marTop w:val="0"/>
      <w:marBottom w:val="0"/>
      <w:divBdr>
        <w:top w:val="none" w:sz="0" w:space="0" w:color="auto"/>
        <w:left w:val="none" w:sz="0" w:space="0" w:color="auto"/>
        <w:bottom w:val="none" w:sz="0" w:space="0" w:color="auto"/>
        <w:right w:val="none" w:sz="0" w:space="0" w:color="auto"/>
      </w:divBdr>
    </w:div>
    <w:div w:id="911894484">
      <w:bodyDiv w:val="1"/>
      <w:marLeft w:val="0"/>
      <w:marRight w:val="0"/>
      <w:marTop w:val="0"/>
      <w:marBottom w:val="0"/>
      <w:divBdr>
        <w:top w:val="none" w:sz="0" w:space="0" w:color="auto"/>
        <w:left w:val="none" w:sz="0" w:space="0" w:color="auto"/>
        <w:bottom w:val="none" w:sz="0" w:space="0" w:color="auto"/>
        <w:right w:val="none" w:sz="0" w:space="0" w:color="auto"/>
      </w:divBdr>
    </w:div>
    <w:div w:id="911935986">
      <w:bodyDiv w:val="1"/>
      <w:marLeft w:val="0"/>
      <w:marRight w:val="0"/>
      <w:marTop w:val="0"/>
      <w:marBottom w:val="0"/>
      <w:divBdr>
        <w:top w:val="none" w:sz="0" w:space="0" w:color="auto"/>
        <w:left w:val="none" w:sz="0" w:space="0" w:color="auto"/>
        <w:bottom w:val="none" w:sz="0" w:space="0" w:color="auto"/>
        <w:right w:val="none" w:sz="0" w:space="0" w:color="auto"/>
      </w:divBdr>
    </w:div>
    <w:div w:id="911966099">
      <w:bodyDiv w:val="1"/>
      <w:marLeft w:val="0"/>
      <w:marRight w:val="0"/>
      <w:marTop w:val="0"/>
      <w:marBottom w:val="0"/>
      <w:divBdr>
        <w:top w:val="none" w:sz="0" w:space="0" w:color="auto"/>
        <w:left w:val="none" w:sz="0" w:space="0" w:color="auto"/>
        <w:bottom w:val="none" w:sz="0" w:space="0" w:color="auto"/>
        <w:right w:val="none" w:sz="0" w:space="0" w:color="auto"/>
      </w:divBdr>
    </w:div>
    <w:div w:id="912084264">
      <w:bodyDiv w:val="1"/>
      <w:marLeft w:val="0"/>
      <w:marRight w:val="0"/>
      <w:marTop w:val="0"/>
      <w:marBottom w:val="0"/>
      <w:divBdr>
        <w:top w:val="none" w:sz="0" w:space="0" w:color="auto"/>
        <w:left w:val="none" w:sz="0" w:space="0" w:color="auto"/>
        <w:bottom w:val="none" w:sz="0" w:space="0" w:color="auto"/>
        <w:right w:val="none" w:sz="0" w:space="0" w:color="auto"/>
      </w:divBdr>
    </w:div>
    <w:div w:id="912088561">
      <w:bodyDiv w:val="1"/>
      <w:marLeft w:val="0"/>
      <w:marRight w:val="0"/>
      <w:marTop w:val="0"/>
      <w:marBottom w:val="0"/>
      <w:divBdr>
        <w:top w:val="none" w:sz="0" w:space="0" w:color="auto"/>
        <w:left w:val="none" w:sz="0" w:space="0" w:color="auto"/>
        <w:bottom w:val="none" w:sz="0" w:space="0" w:color="auto"/>
        <w:right w:val="none" w:sz="0" w:space="0" w:color="auto"/>
      </w:divBdr>
    </w:div>
    <w:div w:id="912154611">
      <w:bodyDiv w:val="1"/>
      <w:marLeft w:val="0"/>
      <w:marRight w:val="0"/>
      <w:marTop w:val="0"/>
      <w:marBottom w:val="0"/>
      <w:divBdr>
        <w:top w:val="none" w:sz="0" w:space="0" w:color="auto"/>
        <w:left w:val="none" w:sz="0" w:space="0" w:color="auto"/>
        <w:bottom w:val="none" w:sz="0" w:space="0" w:color="auto"/>
        <w:right w:val="none" w:sz="0" w:space="0" w:color="auto"/>
      </w:divBdr>
    </w:div>
    <w:div w:id="912157524">
      <w:bodyDiv w:val="1"/>
      <w:marLeft w:val="0"/>
      <w:marRight w:val="0"/>
      <w:marTop w:val="0"/>
      <w:marBottom w:val="0"/>
      <w:divBdr>
        <w:top w:val="none" w:sz="0" w:space="0" w:color="auto"/>
        <w:left w:val="none" w:sz="0" w:space="0" w:color="auto"/>
        <w:bottom w:val="none" w:sz="0" w:space="0" w:color="auto"/>
        <w:right w:val="none" w:sz="0" w:space="0" w:color="auto"/>
      </w:divBdr>
    </w:div>
    <w:div w:id="912158031">
      <w:bodyDiv w:val="1"/>
      <w:marLeft w:val="0"/>
      <w:marRight w:val="0"/>
      <w:marTop w:val="0"/>
      <w:marBottom w:val="0"/>
      <w:divBdr>
        <w:top w:val="none" w:sz="0" w:space="0" w:color="auto"/>
        <w:left w:val="none" w:sz="0" w:space="0" w:color="auto"/>
        <w:bottom w:val="none" w:sz="0" w:space="0" w:color="auto"/>
        <w:right w:val="none" w:sz="0" w:space="0" w:color="auto"/>
      </w:divBdr>
    </w:div>
    <w:div w:id="912158135">
      <w:bodyDiv w:val="1"/>
      <w:marLeft w:val="0"/>
      <w:marRight w:val="0"/>
      <w:marTop w:val="0"/>
      <w:marBottom w:val="0"/>
      <w:divBdr>
        <w:top w:val="none" w:sz="0" w:space="0" w:color="auto"/>
        <w:left w:val="none" w:sz="0" w:space="0" w:color="auto"/>
        <w:bottom w:val="none" w:sz="0" w:space="0" w:color="auto"/>
        <w:right w:val="none" w:sz="0" w:space="0" w:color="auto"/>
      </w:divBdr>
    </w:div>
    <w:div w:id="912160895">
      <w:bodyDiv w:val="1"/>
      <w:marLeft w:val="0"/>
      <w:marRight w:val="0"/>
      <w:marTop w:val="0"/>
      <w:marBottom w:val="0"/>
      <w:divBdr>
        <w:top w:val="none" w:sz="0" w:space="0" w:color="auto"/>
        <w:left w:val="none" w:sz="0" w:space="0" w:color="auto"/>
        <w:bottom w:val="none" w:sz="0" w:space="0" w:color="auto"/>
        <w:right w:val="none" w:sz="0" w:space="0" w:color="auto"/>
      </w:divBdr>
    </w:div>
    <w:div w:id="912277258">
      <w:bodyDiv w:val="1"/>
      <w:marLeft w:val="0"/>
      <w:marRight w:val="0"/>
      <w:marTop w:val="0"/>
      <w:marBottom w:val="0"/>
      <w:divBdr>
        <w:top w:val="none" w:sz="0" w:space="0" w:color="auto"/>
        <w:left w:val="none" w:sz="0" w:space="0" w:color="auto"/>
        <w:bottom w:val="none" w:sz="0" w:space="0" w:color="auto"/>
        <w:right w:val="none" w:sz="0" w:space="0" w:color="auto"/>
      </w:divBdr>
    </w:div>
    <w:div w:id="912541891">
      <w:bodyDiv w:val="1"/>
      <w:marLeft w:val="0"/>
      <w:marRight w:val="0"/>
      <w:marTop w:val="0"/>
      <w:marBottom w:val="0"/>
      <w:divBdr>
        <w:top w:val="none" w:sz="0" w:space="0" w:color="auto"/>
        <w:left w:val="none" w:sz="0" w:space="0" w:color="auto"/>
        <w:bottom w:val="none" w:sz="0" w:space="0" w:color="auto"/>
        <w:right w:val="none" w:sz="0" w:space="0" w:color="auto"/>
      </w:divBdr>
    </w:div>
    <w:div w:id="912591903">
      <w:bodyDiv w:val="1"/>
      <w:marLeft w:val="0"/>
      <w:marRight w:val="0"/>
      <w:marTop w:val="0"/>
      <w:marBottom w:val="0"/>
      <w:divBdr>
        <w:top w:val="none" w:sz="0" w:space="0" w:color="auto"/>
        <w:left w:val="none" w:sz="0" w:space="0" w:color="auto"/>
        <w:bottom w:val="none" w:sz="0" w:space="0" w:color="auto"/>
        <w:right w:val="none" w:sz="0" w:space="0" w:color="auto"/>
      </w:divBdr>
    </w:div>
    <w:div w:id="912815256">
      <w:bodyDiv w:val="1"/>
      <w:marLeft w:val="0"/>
      <w:marRight w:val="0"/>
      <w:marTop w:val="0"/>
      <w:marBottom w:val="0"/>
      <w:divBdr>
        <w:top w:val="none" w:sz="0" w:space="0" w:color="auto"/>
        <w:left w:val="none" w:sz="0" w:space="0" w:color="auto"/>
        <w:bottom w:val="none" w:sz="0" w:space="0" w:color="auto"/>
        <w:right w:val="none" w:sz="0" w:space="0" w:color="auto"/>
      </w:divBdr>
    </w:div>
    <w:div w:id="912853123">
      <w:bodyDiv w:val="1"/>
      <w:marLeft w:val="0"/>
      <w:marRight w:val="0"/>
      <w:marTop w:val="0"/>
      <w:marBottom w:val="0"/>
      <w:divBdr>
        <w:top w:val="none" w:sz="0" w:space="0" w:color="auto"/>
        <w:left w:val="none" w:sz="0" w:space="0" w:color="auto"/>
        <w:bottom w:val="none" w:sz="0" w:space="0" w:color="auto"/>
        <w:right w:val="none" w:sz="0" w:space="0" w:color="auto"/>
      </w:divBdr>
    </w:div>
    <w:div w:id="912928292">
      <w:bodyDiv w:val="1"/>
      <w:marLeft w:val="0"/>
      <w:marRight w:val="0"/>
      <w:marTop w:val="0"/>
      <w:marBottom w:val="0"/>
      <w:divBdr>
        <w:top w:val="none" w:sz="0" w:space="0" w:color="auto"/>
        <w:left w:val="none" w:sz="0" w:space="0" w:color="auto"/>
        <w:bottom w:val="none" w:sz="0" w:space="0" w:color="auto"/>
        <w:right w:val="none" w:sz="0" w:space="0" w:color="auto"/>
      </w:divBdr>
    </w:div>
    <w:div w:id="912931921">
      <w:bodyDiv w:val="1"/>
      <w:marLeft w:val="0"/>
      <w:marRight w:val="0"/>
      <w:marTop w:val="0"/>
      <w:marBottom w:val="0"/>
      <w:divBdr>
        <w:top w:val="none" w:sz="0" w:space="0" w:color="auto"/>
        <w:left w:val="none" w:sz="0" w:space="0" w:color="auto"/>
        <w:bottom w:val="none" w:sz="0" w:space="0" w:color="auto"/>
        <w:right w:val="none" w:sz="0" w:space="0" w:color="auto"/>
      </w:divBdr>
    </w:div>
    <w:div w:id="913005514">
      <w:bodyDiv w:val="1"/>
      <w:marLeft w:val="0"/>
      <w:marRight w:val="0"/>
      <w:marTop w:val="0"/>
      <w:marBottom w:val="0"/>
      <w:divBdr>
        <w:top w:val="none" w:sz="0" w:space="0" w:color="auto"/>
        <w:left w:val="none" w:sz="0" w:space="0" w:color="auto"/>
        <w:bottom w:val="none" w:sz="0" w:space="0" w:color="auto"/>
        <w:right w:val="none" w:sz="0" w:space="0" w:color="auto"/>
      </w:divBdr>
    </w:div>
    <w:div w:id="913012019">
      <w:bodyDiv w:val="1"/>
      <w:marLeft w:val="0"/>
      <w:marRight w:val="0"/>
      <w:marTop w:val="0"/>
      <w:marBottom w:val="0"/>
      <w:divBdr>
        <w:top w:val="none" w:sz="0" w:space="0" w:color="auto"/>
        <w:left w:val="none" w:sz="0" w:space="0" w:color="auto"/>
        <w:bottom w:val="none" w:sz="0" w:space="0" w:color="auto"/>
        <w:right w:val="none" w:sz="0" w:space="0" w:color="auto"/>
      </w:divBdr>
    </w:div>
    <w:div w:id="913050210">
      <w:bodyDiv w:val="1"/>
      <w:marLeft w:val="0"/>
      <w:marRight w:val="0"/>
      <w:marTop w:val="0"/>
      <w:marBottom w:val="0"/>
      <w:divBdr>
        <w:top w:val="none" w:sz="0" w:space="0" w:color="auto"/>
        <w:left w:val="none" w:sz="0" w:space="0" w:color="auto"/>
        <w:bottom w:val="none" w:sz="0" w:space="0" w:color="auto"/>
        <w:right w:val="none" w:sz="0" w:space="0" w:color="auto"/>
      </w:divBdr>
    </w:div>
    <w:div w:id="913198355">
      <w:bodyDiv w:val="1"/>
      <w:marLeft w:val="0"/>
      <w:marRight w:val="0"/>
      <w:marTop w:val="0"/>
      <w:marBottom w:val="0"/>
      <w:divBdr>
        <w:top w:val="none" w:sz="0" w:space="0" w:color="auto"/>
        <w:left w:val="none" w:sz="0" w:space="0" w:color="auto"/>
        <w:bottom w:val="none" w:sz="0" w:space="0" w:color="auto"/>
        <w:right w:val="none" w:sz="0" w:space="0" w:color="auto"/>
      </w:divBdr>
    </w:div>
    <w:div w:id="913206082">
      <w:bodyDiv w:val="1"/>
      <w:marLeft w:val="0"/>
      <w:marRight w:val="0"/>
      <w:marTop w:val="0"/>
      <w:marBottom w:val="0"/>
      <w:divBdr>
        <w:top w:val="none" w:sz="0" w:space="0" w:color="auto"/>
        <w:left w:val="none" w:sz="0" w:space="0" w:color="auto"/>
        <w:bottom w:val="none" w:sz="0" w:space="0" w:color="auto"/>
        <w:right w:val="none" w:sz="0" w:space="0" w:color="auto"/>
      </w:divBdr>
    </w:div>
    <w:div w:id="913273077">
      <w:bodyDiv w:val="1"/>
      <w:marLeft w:val="0"/>
      <w:marRight w:val="0"/>
      <w:marTop w:val="0"/>
      <w:marBottom w:val="0"/>
      <w:divBdr>
        <w:top w:val="none" w:sz="0" w:space="0" w:color="auto"/>
        <w:left w:val="none" w:sz="0" w:space="0" w:color="auto"/>
        <w:bottom w:val="none" w:sz="0" w:space="0" w:color="auto"/>
        <w:right w:val="none" w:sz="0" w:space="0" w:color="auto"/>
      </w:divBdr>
    </w:div>
    <w:div w:id="913276327">
      <w:bodyDiv w:val="1"/>
      <w:marLeft w:val="0"/>
      <w:marRight w:val="0"/>
      <w:marTop w:val="0"/>
      <w:marBottom w:val="0"/>
      <w:divBdr>
        <w:top w:val="none" w:sz="0" w:space="0" w:color="auto"/>
        <w:left w:val="none" w:sz="0" w:space="0" w:color="auto"/>
        <w:bottom w:val="none" w:sz="0" w:space="0" w:color="auto"/>
        <w:right w:val="none" w:sz="0" w:space="0" w:color="auto"/>
      </w:divBdr>
    </w:div>
    <w:div w:id="913321658">
      <w:bodyDiv w:val="1"/>
      <w:marLeft w:val="0"/>
      <w:marRight w:val="0"/>
      <w:marTop w:val="0"/>
      <w:marBottom w:val="0"/>
      <w:divBdr>
        <w:top w:val="none" w:sz="0" w:space="0" w:color="auto"/>
        <w:left w:val="none" w:sz="0" w:space="0" w:color="auto"/>
        <w:bottom w:val="none" w:sz="0" w:space="0" w:color="auto"/>
        <w:right w:val="none" w:sz="0" w:space="0" w:color="auto"/>
      </w:divBdr>
    </w:div>
    <w:div w:id="913394036">
      <w:bodyDiv w:val="1"/>
      <w:marLeft w:val="0"/>
      <w:marRight w:val="0"/>
      <w:marTop w:val="0"/>
      <w:marBottom w:val="0"/>
      <w:divBdr>
        <w:top w:val="none" w:sz="0" w:space="0" w:color="auto"/>
        <w:left w:val="none" w:sz="0" w:space="0" w:color="auto"/>
        <w:bottom w:val="none" w:sz="0" w:space="0" w:color="auto"/>
        <w:right w:val="none" w:sz="0" w:space="0" w:color="auto"/>
      </w:divBdr>
    </w:div>
    <w:div w:id="913509817">
      <w:bodyDiv w:val="1"/>
      <w:marLeft w:val="0"/>
      <w:marRight w:val="0"/>
      <w:marTop w:val="0"/>
      <w:marBottom w:val="0"/>
      <w:divBdr>
        <w:top w:val="none" w:sz="0" w:space="0" w:color="auto"/>
        <w:left w:val="none" w:sz="0" w:space="0" w:color="auto"/>
        <w:bottom w:val="none" w:sz="0" w:space="0" w:color="auto"/>
        <w:right w:val="none" w:sz="0" w:space="0" w:color="auto"/>
      </w:divBdr>
    </w:div>
    <w:div w:id="913513154">
      <w:bodyDiv w:val="1"/>
      <w:marLeft w:val="0"/>
      <w:marRight w:val="0"/>
      <w:marTop w:val="0"/>
      <w:marBottom w:val="0"/>
      <w:divBdr>
        <w:top w:val="none" w:sz="0" w:space="0" w:color="auto"/>
        <w:left w:val="none" w:sz="0" w:space="0" w:color="auto"/>
        <w:bottom w:val="none" w:sz="0" w:space="0" w:color="auto"/>
        <w:right w:val="none" w:sz="0" w:space="0" w:color="auto"/>
      </w:divBdr>
    </w:div>
    <w:div w:id="913583443">
      <w:bodyDiv w:val="1"/>
      <w:marLeft w:val="0"/>
      <w:marRight w:val="0"/>
      <w:marTop w:val="0"/>
      <w:marBottom w:val="0"/>
      <w:divBdr>
        <w:top w:val="none" w:sz="0" w:space="0" w:color="auto"/>
        <w:left w:val="none" w:sz="0" w:space="0" w:color="auto"/>
        <w:bottom w:val="none" w:sz="0" w:space="0" w:color="auto"/>
        <w:right w:val="none" w:sz="0" w:space="0" w:color="auto"/>
      </w:divBdr>
    </w:div>
    <w:div w:id="913584149">
      <w:bodyDiv w:val="1"/>
      <w:marLeft w:val="0"/>
      <w:marRight w:val="0"/>
      <w:marTop w:val="0"/>
      <w:marBottom w:val="0"/>
      <w:divBdr>
        <w:top w:val="none" w:sz="0" w:space="0" w:color="auto"/>
        <w:left w:val="none" w:sz="0" w:space="0" w:color="auto"/>
        <w:bottom w:val="none" w:sz="0" w:space="0" w:color="auto"/>
        <w:right w:val="none" w:sz="0" w:space="0" w:color="auto"/>
      </w:divBdr>
    </w:div>
    <w:div w:id="913584938">
      <w:bodyDiv w:val="1"/>
      <w:marLeft w:val="0"/>
      <w:marRight w:val="0"/>
      <w:marTop w:val="0"/>
      <w:marBottom w:val="0"/>
      <w:divBdr>
        <w:top w:val="none" w:sz="0" w:space="0" w:color="auto"/>
        <w:left w:val="none" w:sz="0" w:space="0" w:color="auto"/>
        <w:bottom w:val="none" w:sz="0" w:space="0" w:color="auto"/>
        <w:right w:val="none" w:sz="0" w:space="0" w:color="auto"/>
      </w:divBdr>
    </w:div>
    <w:div w:id="913661365">
      <w:bodyDiv w:val="1"/>
      <w:marLeft w:val="0"/>
      <w:marRight w:val="0"/>
      <w:marTop w:val="0"/>
      <w:marBottom w:val="0"/>
      <w:divBdr>
        <w:top w:val="none" w:sz="0" w:space="0" w:color="auto"/>
        <w:left w:val="none" w:sz="0" w:space="0" w:color="auto"/>
        <w:bottom w:val="none" w:sz="0" w:space="0" w:color="auto"/>
        <w:right w:val="none" w:sz="0" w:space="0" w:color="auto"/>
      </w:divBdr>
    </w:div>
    <w:div w:id="913782126">
      <w:bodyDiv w:val="1"/>
      <w:marLeft w:val="0"/>
      <w:marRight w:val="0"/>
      <w:marTop w:val="0"/>
      <w:marBottom w:val="0"/>
      <w:divBdr>
        <w:top w:val="none" w:sz="0" w:space="0" w:color="auto"/>
        <w:left w:val="none" w:sz="0" w:space="0" w:color="auto"/>
        <w:bottom w:val="none" w:sz="0" w:space="0" w:color="auto"/>
        <w:right w:val="none" w:sz="0" w:space="0" w:color="auto"/>
      </w:divBdr>
    </w:div>
    <w:div w:id="913852127">
      <w:bodyDiv w:val="1"/>
      <w:marLeft w:val="0"/>
      <w:marRight w:val="0"/>
      <w:marTop w:val="0"/>
      <w:marBottom w:val="0"/>
      <w:divBdr>
        <w:top w:val="none" w:sz="0" w:space="0" w:color="auto"/>
        <w:left w:val="none" w:sz="0" w:space="0" w:color="auto"/>
        <w:bottom w:val="none" w:sz="0" w:space="0" w:color="auto"/>
        <w:right w:val="none" w:sz="0" w:space="0" w:color="auto"/>
      </w:divBdr>
    </w:div>
    <w:div w:id="913976092">
      <w:bodyDiv w:val="1"/>
      <w:marLeft w:val="0"/>
      <w:marRight w:val="0"/>
      <w:marTop w:val="0"/>
      <w:marBottom w:val="0"/>
      <w:divBdr>
        <w:top w:val="none" w:sz="0" w:space="0" w:color="auto"/>
        <w:left w:val="none" w:sz="0" w:space="0" w:color="auto"/>
        <w:bottom w:val="none" w:sz="0" w:space="0" w:color="auto"/>
        <w:right w:val="none" w:sz="0" w:space="0" w:color="auto"/>
      </w:divBdr>
    </w:div>
    <w:div w:id="913976569">
      <w:bodyDiv w:val="1"/>
      <w:marLeft w:val="0"/>
      <w:marRight w:val="0"/>
      <w:marTop w:val="0"/>
      <w:marBottom w:val="0"/>
      <w:divBdr>
        <w:top w:val="none" w:sz="0" w:space="0" w:color="auto"/>
        <w:left w:val="none" w:sz="0" w:space="0" w:color="auto"/>
        <w:bottom w:val="none" w:sz="0" w:space="0" w:color="auto"/>
        <w:right w:val="none" w:sz="0" w:space="0" w:color="auto"/>
      </w:divBdr>
    </w:div>
    <w:div w:id="913978410">
      <w:bodyDiv w:val="1"/>
      <w:marLeft w:val="0"/>
      <w:marRight w:val="0"/>
      <w:marTop w:val="0"/>
      <w:marBottom w:val="0"/>
      <w:divBdr>
        <w:top w:val="none" w:sz="0" w:space="0" w:color="auto"/>
        <w:left w:val="none" w:sz="0" w:space="0" w:color="auto"/>
        <w:bottom w:val="none" w:sz="0" w:space="0" w:color="auto"/>
        <w:right w:val="none" w:sz="0" w:space="0" w:color="auto"/>
      </w:divBdr>
    </w:div>
    <w:div w:id="914121989">
      <w:bodyDiv w:val="1"/>
      <w:marLeft w:val="0"/>
      <w:marRight w:val="0"/>
      <w:marTop w:val="0"/>
      <w:marBottom w:val="0"/>
      <w:divBdr>
        <w:top w:val="none" w:sz="0" w:space="0" w:color="auto"/>
        <w:left w:val="none" w:sz="0" w:space="0" w:color="auto"/>
        <w:bottom w:val="none" w:sz="0" w:space="0" w:color="auto"/>
        <w:right w:val="none" w:sz="0" w:space="0" w:color="auto"/>
      </w:divBdr>
    </w:div>
    <w:div w:id="914164259">
      <w:bodyDiv w:val="1"/>
      <w:marLeft w:val="0"/>
      <w:marRight w:val="0"/>
      <w:marTop w:val="0"/>
      <w:marBottom w:val="0"/>
      <w:divBdr>
        <w:top w:val="none" w:sz="0" w:space="0" w:color="auto"/>
        <w:left w:val="none" w:sz="0" w:space="0" w:color="auto"/>
        <w:bottom w:val="none" w:sz="0" w:space="0" w:color="auto"/>
        <w:right w:val="none" w:sz="0" w:space="0" w:color="auto"/>
      </w:divBdr>
    </w:div>
    <w:div w:id="914314385">
      <w:bodyDiv w:val="1"/>
      <w:marLeft w:val="0"/>
      <w:marRight w:val="0"/>
      <w:marTop w:val="0"/>
      <w:marBottom w:val="0"/>
      <w:divBdr>
        <w:top w:val="none" w:sz="0" w:space="0" w:color="auto"/>
        <w:left w:val="none" w:sz="0" w:space="0" w:color="auto"/>
        <w:bottom w:val="none" w:sz="0" w:space="0" w:color="auto"/>
        <w:right w:val="none" w:sz="0" w:space="0" w:color="auto"/>
      </w:divBdr>
    </w:div>
    <w:div w:id="914314480">
      <w:bodyDiv w:val="1"/>
      <w:marLeft w:val="0"/>
      <w:marRight w:val="0"/>
      <w:marTop w:val="0"/>
      <w:marBottom w:val="0"/>
      <w:divBdr>
        <w:top w:val="none" w:sz="0" w:space="0" w:color="auto"/>
        <w:left w:val="none" w:sz="0" w:space="0" w:color="auto"/>
        <w:bottom w:val="none" w:sz="0" w:space="0" w:color="auto"/>
        <w:right w:val="none" w:sz="0" w:space="0" w:color="auto"/>
      </w:divBdr>
    </w:div>
    <w:div w:id="914318357">
      <w:bodyDiv w:val="1"/>
      <w:marLeft w:val="0"/>
      <w:marRight w:val="0"/>
      <w:marTop w:val="0"/>
      <w:marBottom w:val="0"/>
      <w:divBdr>
        <w:top w:val="none" w:sz="0" w:space="0" w:color="auto"/>
        <w:left w:val="none" w:sz="0" w:space="0" w:color="auto"/>
        <w:bottom w:val="none" w:sz="0" w:space="0" w:color="auto"/>
        <w:right w:val="none" w:sz="0" w:space="0" w:color="auto"/>
      </w:divBdr>
    </w:div>
    <w:div w:id="914360105">
      <w:bodyDiv w:val="1"/>
      <w:marLeft w:val="0"/>
      <w:marRight w:val="0"/>
      <w:marTop w:val="0"/>
      <w:marBottom w:val="0"/>
      <w:divBdr>
        <w:top w:val="none" w:sz="0" w:space="0" w:color="auto"/>
        <w:left w:val="none" w:sz="0" w:space="0" w:color="auto"/>
        <w:bottom w:val="none" w:sz="0" w:space="0" w:color="auto"/>
        <w:right w:val="none" w:sz="0" w:space="0" w:color="auto"/>
      </w:divBdr>
    </w:div>
    <w:div w:id="914437386">
      <w:bodyDiv w:val="1"/>
      <w:marLeft w:val="0"/>
      <w:marRight w:val="0"/>
      <w:marTop w:val="0"/>
      <w:marBottom w:val="0"/>
      <w:divBdr>
        <w:top w:val="none" w:sz="0" w:space="0" w:color="auto"/>
        <w:left w:val="none" w:sz="0" w:space="0" w:color="auto"/>
        <w:bottom w:val="none" w:sz="0" w:space="0" w:color="auto"/>
        <w:right w:val="none" w:sz="0" w:space="0" w:color="auto"/>
      </w:divBdr>
    </w:div>
    <w:div w:id="914511690">
      <w:bodyDiv w:val="1"/>
      <w:marLeft w:val="0"/>
      <w:marRight w:val="0"/>
      <w:marTop w:val="0"/>
      <w:marBottom w:val="0"/>
      <w:divBdr>
        <w:top w:val="none" w:sz="0" w:space="0" w:color="auto"/>
        <w:left w:val="none" w:sz="0" w:space="0" w:color="auto"/>
        <w:bottom w:val="none" w:sz="0" w:space="0" w:color="auto"/>
        <w:right w:val="none" w:sz="0" w:space="0" w:color="auto"/>
      </w:divBdr>
    </w:div>
    <w:div w:id="914555913">
      <w:bodyDiv w:val="1"/>
      <w:marLeft w:val="0"/>
      <w:marRight w:val="0"/>
      <w:marTop w:val="0"/>
      <w:marBottom w:val="0"/>
      <w:divBdr>
        <w:top w:val="none" w:sz="0" w:space="0" w:color="auto"/>
        <w:left w:val="none" w:sz="0" w:space="0" w:color="auto"/>
        <w:bottom w:val="none" w:sz="0" w:space="0" w:color="auto"/>
        <w:right w:val="none" w:sz="0" w:space="0" w:color="auto"/>
      </w:divBdr>
    </w:div>
    <w:div w:id="914752056">
      <w:bodyDiv w:val="1"/>
      <w:marLeft w:val="0"/>
      <w:marRight w:val="0"/>
      <w:marTop w:val="0"/>
      <w:marBottom w:val="0"/>
      <w:divBdr>
        <w:top w:val="none" w:sz="0" w:space="0" w:color="auto"/>
        <w:left w:val="none" w:sz="0" w:space="0" w:color="auto"/>
        <w:bottom w:val="none" w:sz="0" w:space="0" w:color="auto"/>
        <w:right w:val="none" w:sz="0" w:space="0" w:color="auto"/>
      </w:divBdr>
    </w:div>
    <w:div w:id="914778283">
      <w:bodyDiv w:val="1"/>
      <w:marLeft w:val="0"/>
      <w:marRight w:val="0"/>
      <w:marTop w:val="0"/>
      <w:marBottom w:val="0"/>
      <w:divBdr>
        <w:top w:val="none" w:sz="0" w:space="0" w:color="auto"/>
        <w:left w:val="none" w:sz="0" w:space="0" w:color="auto"/>
        <w:bottom w:val="none" w:sz="0" w:space="0" w:color="auto"/>
        <w:right w:val="none" w:sz="0" w:space="0" w:color="auto"/>
      </w:divBdr>
    </w:div>
    <w:div w:id="914780491">
      <w:bodyDiv w:val="1"/>
      <w:marLeft w:val="0"/>
      <w:marRight w:val="0"/>
      <w:marTop w:val="0"/>
      <w:marBottom w:val="0"/>
      <w:divBdr>
        <w:top w:val="none" w:sz="0" w:space="0" w:color="auto"/>
        <w:left w:val="none" w:sz="0" w:space="0" w:color="auto"/>
        <w:bottom w:val="none" w:sz="0" w:space="0" w:color="auto"/>
        <w:right w:val="none" w:sz="0" w:space="0" w:color="auto"/>
      </w:divBdr>
    </w:div>
    <w:div w:id="914903318">
      <w:bodyDiv w:val="1"/>
      <w:marLeft w:val="0"/>
      <w:marRight w:val="0"/>
      <w:marTop w:val="0"/>
      <w:marBottom w:val="0"/>
      <w:divBdr>
        <w:top w:val="none" w:sz="0" w:space="0" w:color="auto"/>
        <w:left w:val="none" w:sz="0" w:space="0" w:color="auto"/>
        <w:bottom w:val="none" w:sz="0" w:space="0" w:color="auto"/>
        <w:right w:val="none" w:sz="0" w:space="0" w:color="auto"/>
      </w:divBdr>
    </w:div>
    <w:div w:id="915018072">
      <w:bodyDiv w:val="1"/>
      <w:marLeft w:val="0"/>
      <w:marRight w:val="0"/>
      <w:marTop w:val="0"/>
      <w:marBottom w:val="0"/>
      <w:divBdr>
        <w:top w:val="none" w:sz="0" w:space="0" w:color="auto"/>
        <w:left w:val="none" w:sz="0" w:space="0" w:color="auto"/>
        <w:bottom w:val="none" w:sz="0" w:space="0" w:color="auto"/>
        <w:right w:val="none" w:sz="0" w:space="0" w:color="auto"/>
      </w:divBdr>
    </w:div>
    <w:div w:id="915095933">
      <w:bodyDiv w:val="1"/>
      <w:marLeft w:val="0"/>
      <w:marRight w:val="0"/>
      <w:marTop w:val="0"/>
      <w:marBottom w:val="0"/>
      <w:divBdr>
        <w:top w:val="none" w:sz="0" w:space="0" w:color="auto"/>
        <w:left w:val="none" w:sz="0" w:space="0" w:color="auto"/>
        <w:bottom w:val="none" w:sz="0" w:space="0" w:color="auto"/>
        <w:right w:val="none" w:sz="0" w:space="0" w:color="auto"/>
      </w:divBdr>
    </w:div>
    <w:div w:id="915164302">
      <w:bodyDiv w:val="1"/>
      <w:marLeft w:val="0"/>
      <w:marRight w:val="0"/>
      <w:marTop w:val="0"/>
      <w:marBottom w:val="0"/>
      <w:divBdr>
        <w:top w:val="none" w:sz="0" w:space="0" w:color="auto"/>
        <w:left w:val="none" w:sz="0" w:space="0" w:color="auto"/>
        <w:bottom w:val="none" w:sz="0" w:space="0" w:color="auto"/>
        <w:right w:val="none" w:sz="0" w:space="0" w:color="auto"/>
      </w:divBdr>
    </w:div>
    <w:div w:id="915213705">
      <w:bodyDiv w:val="1"/>
      <w:marLeft w:val="0"/>
      <w:marRight w:val="0"/>
      <w:marTop w:val="0"/>
      <w:marBottom w:val="0"/>
      <w:divBdr>
        <w:top w:val="none" w:sz="0" w:space="0" w:color="auto"/>
        <w:left w:val="none" w:sz="0" w:space="0" w:color="auto"/>
        <w:bottom w:val="none" w:sz="0" w:space="0" w:color="auto"/>
        <w:right w:val="none" w:sz="0" w:space="0" w:color="auto"/>
      </w:divBdr>
    </w:div>
    <w:div w:id="915281921">
      <w:bodyDiv w:val="1"/>
      <w:marLeft w:val="0"/>
      <w:marRight w:val="0"/>
      <w:marTop w:val="0"/>
      <w:marBottom w:val="0"/>
      <w:divBdr>
        <w:top w:val="none" w:sz="0" w:space="0" w:color="auto"/>
        <w:left w:val="none" w:sz="0" w:space="0" w:color="auto"/>
        <w:bottom w:val="none" w:sz="0" w:space="0" w:color="auto"/>
        <w:right w:val="none" w:sz="0" w:space="0" w:color="auto"/>
      </w:divBdr>
    </w:div>
    <w:div w:id="915361057">
      <w:bodyDiv w:val="1"/>
      <w:marLeft w:val="0"/>
      <w:marRight w:val="0"/>
      <w:marTop w:val="0"/>
      <w:marBottom w:val="0"/>
      <w:divBdr>
        <w:top w:val="none" w:sz="0" w:space="0" w:color="auto"/>
        <w:left w:val="none" w:sz="0" w:space="0" w:color="auto"/>
        <w:bottom w:val="none" w:sz="0" w:space="0" w:color="auto"/>
        <w:right w:val="none" w:sz="0" w:space="0" w:color="auto"/>
      </w:divBdr>
    </w:div>
    <w:div w:id="915631900">
      <w:bodyDiv w:val="1"/>
      <w:marLeft w:val="0"/>
      <w:marRight w:val="0"/>
      <w:marTop w:val="0"/>
      <w:marBottom w:val="0"/>
      <w:divBdr>
        <w:top w:val="none" w:sz="0" w:space="0" w:color="auto"/>
        <w:left w:val="none" w:sz="0" w:space="0" w:color="auto"/>
        <w:bottom w:val="none" w:sz="0" w:space="0" w:color="auto"/>
        <w:right w:val="none" w:sz="0" w:space="0" w:color="auto"/>
      </w:divBdr>
    </w:div>
    <w:div w:id="915632180">
      <w:bodyDiv w:val="1"/>
      <w:marLeft w:val="0"/>
      <w:marRight w:val="0"/>
      <w:marTop w:val="0"/>
      <w:marBottom w:val="0"/>
      <w:divBdr>
        <w:top w:val="none" w:sz="0" w:space="0" w:color="auto"/>
        <w:left w:val="none" w:sz="0" w:space="0" w:color="auto"/>
        <w:bottom w:val="none" w:sz="0" w:space="0" w:color="auto"/>
        <w:right w:val="none" w:sz="0" w:space="0" w:color="auto"/>
      </w:divBdr>
    </w:div>
    <w:div w:id="915675358">
      <w:bodyDiv w:val="1"/>
      <w:marLeft w:val="0"/>
      <w:marRight w:val="0"/>
      <w:marTop w:val="0"/>
      <w:marBottom w:val="0"/>
      <w:divBdr>
        <w:top w:val="none" w:sz="0" w:space="0" w:color="auto"/>
        <w:left w:val="none" w:sz="0" w:space="0" w:color="auto"/>
        <w:bottom w:val="none" w:sz="0" w:space="0" w:color="auto"/>
        <w:right w:val="none" w:sz="0" w:space="0" w:color="auto"/>
      </w:divBdr>
    </w:div>
    <w:div w:id="915865983">
      <w:bodyDiv w:val="1"/>
      <w:marLeft w:val="0"/>
      <w:marRight w:val="0"/>
      <w:marTop w:val="0"/>
      <w:marBottom w:val="0"/>
      <w:divBdr>
        <w:top w:val="none" w:sz="0" w:space="0" w:color="auto"/>
        <w:left w:val="none" w:sz="0" w:space="0" w:color="auto"/>
        <w:bottom w:val="none" w:sz="0" w:space="0" w:color="auto"/>
        <w:right w:val="none" w:sz="0" w:space="0" w:color="auto"/>
      </w:divBdr>
    </w:div>
    <w:div w:id="915866921">
      <w:bodyDiv w:val="1"/>
      <w:marLeft w:val="0"/>
      <w:marRight w:val="0"/>
      <w:marTop w:val="0"/>
      <w:marBottom w:val="0"/>
      <w:divBdr>
        <w:top w:val="none" w:sz="0" w:space="0" w:color="auto"/>
        <w:left w:val="none" w:sz="0" w:space="0" w:color="auto"/>
        <w:bottom w:val="none" w:sz="0" w:space="0" w:color="auto"/>
        <w:right w:val="none" w:sz="0" w:space="0" w:color="auto"/>
      </w:divBdr>
    </w:div>
    <w:div w:id="915897763">
      <w:bodyDiv w:val="1"/>
      <w:marLeft w:val="0"/>
      <w:marRight w:val="0"/>
      <w:marTop w:val="0"/>
      <w:marBottom w:val="0"/>
      <w:divBdr>
        <w:top w:val="none" w:sz="0" w:space="0" w:color="auto"/>
        <w:left w:val="none" w:sz="0" w:space="0" w:color="auto"/>
        <w:bottom w:val="none" w:sz="0" w:space="0" w:color="auto"/>
        <w:right w:val="none" w:sz="0" w:space="0" w:color="auto"/>
      </w:divBdr>
    </w:div>
    <w:div w:id="915943977">
      <w:bodyDiv w:val="1"/>
      <w:marLeft w:val="0"/>
      <w:marRight w:val="0"/>
      <w:marTop w:val="0"/>
      <w:marBottom w:val="0"/>
      <w:divBdr>
        <w:top w:val="none" w:sz="0" w:space="0" w:color="auto"/>
        <w:left w:val="none" w:sz="0" w:space="0" w:color="auto"/>
        <w:bottom w:val="none" w:sz="0" w:space="0" w:color="auto"/>
        <w:right w:val="none" w:sz="0" w:space="0" w:color="auto"/>
      </w:divBdr>
    </w:div>
    <w:div w:id="916207024">
      <w:bodyDiv w:val="1"/>
      <w:marLeft w:val="0"/>
      <w:marRight w:val="0"/>
      <w:marTop w:val="0"/>
      <w:marBottom w:val="0"/>
      <w:divBdr>
        <w:top w:val="none" w:sz="0" w:space="0" w:color="auto"/>
        <w:left w:val="none" w:sz="0" w:space="0" w:color="auto"/>
        <w:bottom w:val="none" w:sz="0" w:space="0" w:color="auto"/>
        <w:right w:val="none" w:sz="0" w:space="0" w:color="auto"/>
      </w:divBdr>
    </w:div>
    <w:div w:id="916281997">
      <w:bodyDiv w:val="1"/>
      <w:marLeft w:val="0"/>
      <w:marRight w:val="0"/>
      <w:marTop w:val="0"/>
      <w:marBottom w:val="0"/>
      <w:divBdr>
        <w:top w:val="none" w:sz="0" w:space="0" w:color="auto"/>
        <w:left w:val="none" w:sz="0" w:space="0" w:color="auto"/>
        <w:bottom w:val="none" w:sz="0" w:space="0" w:color="auto"/>
        <w:right w:val="none" w:sz="0" w:space="0" w:color="auto"/>
      </w:divBdr>
    </w:div>
    <w:div w:id="916283634">
      <w:bodyDiv w:val="1"/>
      <w:marLeft w:val="0"/>
      <w:marRight w:val="0"/>
      <w:marTop w:val="0"/>
      <w:marBottom w:val="0"/>
      <w:divBdr>
        <w:top w:val="none" w:sz="0" w:space="0" w:color="auto"/>
        <w:left w:val="none" w:sz="0" w:space="0" w:color="auto"/>
        <w:bottom w:val="none" w:sz="0" w:space="0" w:color="auto"/>
        <w:right w:val="none" w:sz="0" w:space="0" w:color="auto"/>
      </w:divBdr>
    </w:div>
    <w:div w:id="916399087">
      <w:bodyDiv w:val="1"/>
      <w:marLeft w:val="0"/>
      <w:marRight w:val="0"/>
      <w:marTop w:val="0"/>
      <w:marBottom w:val="0"/>
      <w:divBdr>
        <w:top w:val="none" w:sz="0" w:space="0" w:color="auto"/>
        <w:left w:val="none" w:sz="0" w:space="0" w:color="auto"/>
        <w:bottom w:val="none" w:sz="0" w:space="0" w:color="auto"/>
        <w:right w:val="none" w:sz="0" w:space="0" w:color="auto"/>
      </w:divBdr>
    </w:div>
    <w:div w:id="916477080">
      <w:bodyDiv w:val="1"/>
      <w:marLeft w:val="0"/>
      <w:marRight w:val="0"/>
      <w:marTop w:val="0"/>
      <w:marBottom w:val="0"/>
      <w:divBdr>
        <w:top w:val="none" w:sz="0" w:space="0" w:color="auto"/>
        <w:left w:val="none" w:sz="0" w:space="0" w:color="auto"/>
        <w:bottom w:val="none" w:sz="0" w:space="0" w:color="auto"/>
        <w:right w:val="none" w:sz="0" w:space="0" w:color="auto"/>
      </w:divBdr>
    </w:div>
    <w:div w:id="916480808">
      <w:bodyDiv w:val="1"/>
      <w:marLeft w:val="0"/>
      <w:marRight w:val="0"/>
      <w:marTop w:val="0"/>
      <w:marBottom w:val="0"/>
      <w:divBdr>
        <w:top w:val="none" w:sz="0" w:space="0" w:color="auto"/>
        <w:left w:val="none" w:sz="0" w:space="0" w:color="auto"/>
        <w:bottom w:val="none" w:sz="0" w:space="0" w:color="auto"/>
        <w:right w:val="none" w:sz="0" w:space="0" w:color="auto"/>
      </w:divBdr>
    </w:div>
    <w:div w:id="916593997">
      <w:bodyDiv w:val="1"/>
      <w:marLeft w:val="0"/>
      <w:marRight w:val="0"/>
      <w:marTop w:val="0"/>
      <w:marBottom w:val="0"/>
      <w:divBdr>
        <w:top w:val="none" w:sz="0" w:space="0" w:color="auto"/>
        <w:left w:val="none" w:sz="0" w:space="0" w:color="auto"/>
        <w:bottom w:val="none" w:sz="0" w:space="0" w:color="auto"/>
        <w:right w:val="none" w:sz="0" w:space="0" w:color="auto"/>
      </w:divBdr>
    </w:div>
    <w:div w:id="916786159">
      <w:bodyDiv w:val="1"/>
      <w:marLeft w:val="0"/>
      <w:marRight w:val="0"/>
      <w:marTop w:val="0"/>
      <w:marBottom w:val="0"/>
      <w:divBdr>
        <w:top w:val="none" w:sz="0" w:space="0" w:color="auto"/>
        <w:left w:val="none" w:sz="0" w:space="0" w:color="auto"/>
        <w:bottom w:val="none" w:sz="0" w:space="0" w:color="auto"/>
        <w:right w:val="none" w:sz="0" w:space="0" w:color="auto"/>
      </w:divBdr>
    </w:div>
    <w:div w:id="916861170">
      <w:bodyDiv w:val="1"/>
      <w:marLeft w:val="0"/>
      <w:marRight w:val="0"/>
      <w:marTop w:val="0"/>
      <w:marBottom w:val="0"/>
      <w:divBdr>
        <w:top w:val="none" w:sz="0" w:space="0" w:color="auto"/>
        <w:left w:val="none" w:sz="0" w:space="0" w:color="auto"/>
        <w:bottom w:val="none" w:sz="0" w:space="0" w:color="auto"/>
        <w:right w:val="none" w:sz="0" w:space="0" w:color="auto"/>
      </w:divBdr>
    </w:div>
    <w:div w:id="916864854">
      <w:bodyDiv w:val="1"/>
      <w:marLeft w:val="0"/>
      <w:marRight w:val="0"/>
      <w:marTop w:val="0"/>
      <w:marBottom w:val="0"/>
      <w:divBdr>
        <w:top w:val="none" w:sz="0" w:space="0" w:color="auto"/>
        <w:left w:val="none" w:sz="0" w:space="0" w:color="auto"/>
        <w:bottom w:val="none" w:sz="0" w:space="0" w:color="auto"/>
        <w:right w:val="none" w:sz="0" w:space="0" w:color="auto"/>
      </w:divBdr>
    </w:div>
    <w:div w:id="917054420">
      <w:bodyDiv w:val="1"/>
      <w:marLeft w:val="0"/>
      <w:marRight w:val="0"/>
      <w:marTop w:val="0"/>
      <w:marBottom w:val="0"/>
      <w:divBdr>
        <w:top w:val="none" w:sz="0" w:space="0" w:color="auto"/>
        <w:left w:val="none" w:sz="0" w:space="0" w:color="auto"/>
        <w:bottom w:val="none" w:sz="0" w:space="0" w:color="auto"/>
        <w:right w:val="none" w:sz="0" w:space="0" w:color="auto"/>
      </w:divBdr>
    </w:div>
    <w:div w:id="917061883">
      <w:bodyDiv w:val="1"/>
      <w:marLeft w:val="0"/>
      <w:marRight w:val="0"/>
      <w:marTop w:val="0"/>
      <w:marBottom w:val="0"/>
      <w:divBdr>
        <w:top w:val="none" w:sz="0" w:space="0" w:color="auto"/>
        <w:left w:val="none" w:sz="0" w:space="0" w:color="auto"/>
        <w:bottom w:val="none" w:sz="0" w:space="0" w:color="auto"/>
        <w:right w:val="none" w:sz="0" w:space="0" w:color="auto"/>
      </w:divBdr>
    </w:div>
    <w:div w:id="917135322">
      <w:bodyDiv w:val="1"/>
      <w:marLeft w:val="0"/>
      <w:marRight w:val="0"/>
      <w:marTop w:val="0"/>
      <w:marBottom w:val="0"/>
      <w:divBdr>
        <w:top w:val="none" w:sz="0" w:space="0" w:color="auto"/>
        <w:left w:val="none" w:sz="0" w:space="0" w:color="auto"/>
        <w:bottom w:val="none" w:sz="0" w:space="0" w:color="auto"/>
        <w:right w:val="none" w:sz="0" w:space="0" w:color="auto"/>
      </w:divBdr>
    </w:div>
    <w:div w:id="917247245">
      <w:bodyDiv w:val="1"/>
      <w:marLeft w:val="0"/>
      <w:marRight w:val="0"/>
      <w:marTop w:val="0"/>
      <w:marBottom w:val="0"/>
      <w:divBdr>
        <w:top w:val="none" w:sz="0" w:space="0" w:color="auto"/>
        <w:left w:val="none" w:sz="0" w:space="0" w:color="auto"/>
        <w:bottom w:val="none" w:sz="0" w:space="0" w:color="auto"/>
        <w:right w:val="none" w:sz="0" w:space="0" w:color="auto"/>
      </w:divBdr>
    </w:div>
    <w:div w:id="917330739">
      <w:bodyDiv w:val="1"/>
      <w:marLeft w:val="0"/>
      <w:marRight w:val="0"/>
      <w:marTop w:val="0"/>
      <w:marBottom w:val="0"/>
      <w:divBdr>
        <w:top w:val="none" w:sz="0" w:space="0" w:color="auto"/>
        <w:left w:val="none" w:sz="0" w:space="0" w:color="auto"/>
        <w:bottom w:val="none" w:sz="0" w:space="0" w:color="auto"/>
        <w:right w:val="none" w:sz="0" w:space="0" w:color="auto"/>
      </w:divBdr>
    </w:div>
    <w:div w:id="917593586">
      <w:bodyDiv w:val="1"/>
      <w:marLeft w:val="0"/>
      <w:marRight w:val="0"/>
      <w:marTop w:val="0"/>
      <w:marBottom w:val="0"/>
      <w:divBdr>
        <w:top w:val="none" w:sz="0" w:space="0" w:color="auto"/>
        <w:left w:val="none" w:sz="0" w:space="0" w:color="auto"/>
        <w:bottom w:val="none" w:sz="0" w:space="0" w:color="auto"/>
        <w:right w:val="none" w:sz="0" w:space="0" w:color="auto"/>
      </w:divBdr>
    </w:div>
    <w:div w:id="917637225">
      <w:bodyDiv w:val="1"/>
      <w:marLeft w:val="0"/>
      <w:marRight w:val="0"/>
      <w:marTop w:val="0"/>
      <w:marBottom w:val="0"/>
      <w:divBdr>
        <w:top w:val="none" w:sz="0" w:space="0" w:color="auto"/>
        <w:left w:val="none" w:sz="0" w:space="0" w:color="auto"/>
        <w:bottom w:val="none" w:sz="0" w:space="0" w:color="auto"/>
        <w:right w:val="none" w:sz="0" w:space="0" w:color="auto"/>
      </w:divBdr>
    </w:div>
    <w:div w:id="917715710">
      <w:bodyDiv w:val="1"/>
      <w:marLeft w:val="0"/>
      <w:marRight w:val="0"/>
      <w:marTop w:val="0"/>
      <w:marBottom w:val="0"/>
      <w:divBdr>
        <w:top w:val="none" w:sz="0" w:space="0" w:color="auto"/>
        <w:left w:val="none" w:sz="0" w:space="0" w:color="auto"/>
        <w:bottom w:val="none" w:sz="0" w:space="0" w:color="auto"/>
        <w:right w:val="none" w:sz="0" w:space="0" w:color="auto"/>
      </w:divBdr>
    </w:div>
    <w:div w:id="917716229">
      <w:bodyDiv w:val="1"/>
      <w:marLeft w:val="0"/>
      <w:marRight w:val="0"/>
      <w:marTop w:val="0"/>
      <w:marBottom w:val="0"/>
      <w:divBdr>
        <w:top w:val="none" w:sz="0" w:space="0" w:color="auto"/>
        <w:left w:val="none" w:sz="0" w:space="0" w:color="auto"/>
        <w:bottom w:val="none" w:sz="0" w:space="0" w:color="auto"/>
        <w:right w:val="none" w:sz="0" w:space="0" w:color="auto"/>
      </w:divBdr>
    </w:div>
    <w:div w:id="917791345">
      <w:bodyDiv w:val="1"/>
      <w:marLeft w:val="0"/>
      <w:marRight w:val="0"/>
      <w:marTop w:val="0"/>
      <w:marBottom w:val="0"/>
      <w:divBdr>
        <w:top w:val="none" w:sz="0" w:space="0" w:color="auto"/>
        <w:left w:val="none" w:sz="0" w:space="0" w:color="auto"/>
        <w:bottom w:val="none" w:sz="0" w:space="0" w:color="auto"/>
        <w:right w:val="none" w:sz="0" w:space="0" w:color="auto"/>
      </w:divBdr>
    </w:div>
    <w:div w:id="917832164">
      <w:bodyDiv w:val="1"/>
      <w:marLeft w:val="0"/>
      <w:marRight w:val="0"/>
      <w:marTop w:val="0"/>
      <w:marBottom w:val="0"/>
      <w:divBdr>
        <w:top w:val="none" w:sz="0" w:space="0" w:color="auto"/>
        <w:left w:val="none" w:sz="0" w:space="0" w:color="auto"/>
        <w:bottom w:val="none" w:sz="0" w:space="0" w:color="auto"/>
        <w:right w:val="none" w:sz="0" w:space="0" w:color="auto"/>
      </w:divBdr>
    </w:div>
    <w:div w:id="917977696">
      <w:bodyDiv w:val="1"/>
      <w:marLeft w:val="0"/>
      <w:marRight w:val="0"/>
      <w:marTop w:val="0"/>
      <w:marBottom w:val="0"/>
      <w:divBdr>
        <w:top w:val="none" w:sz="0" w:space="0" w:color="auto"/>
        <w:left w:val="none" w:sz="0" w:space="0" w:color="auto"/>
        <w:bottom w:val="none" w:sz="0" w:space="0" w:color="auto"/>
        <w:right w:val="none" w:sz="0" w:space="0" w:color="auto"/>
      </w:divBdr>
    </w:div>
    <w:div w:id="917980399">
      <w:bodyDiv w:val="1"/>
      <w:marLeft w:val="0"/>
      <w:marRight w:val="0"/>
      <w:marTop w:val="0"/>
      <w:marBottom w:val="0"/>
      <w:divBdr>
        <w:top w:val="none" w:sz="0" w:space="0" w:color="auto"/>
        <w:left w:val="none" w:sz="0" w:space="0" w:color="auto"/>
        <w:bottom w:val="none" w:sz="0" w:space="0" w:color="auto"/>
        <w:right w:val="none" w:sz="0" w:space="0" w:color="auto"/>
      </w:divBdr>
    </w:div>
    <w:div w:id="917980957">
      <w:bodyDiv w:val="1"/>
      <w:marLeft w:val="0"/>
      <w:marRight w:val="0"/>
      <w:marTop w:val="0"/>
      <w:marBottom w:val="0"/>
      <w:divBdr>
        <w:top w:val="none" w:sz="0" w:space="0" w:color="auto"/>
        <w:left w:val="none" w:sz="0" w:space="0" w:color="auto"/>
        <w:bottom w:val="none" w:sz="0" w:space="0" w:color="auto"/>
        <w:right w:val="none" w:sz="0" w:space="0" w:color="auto"/>
      </w:divBdr>
    </w:div>
    <w:div w:id="917985065">
      <w:bodyDiv w:val="1"/>
      <w:marLeft w:val="0"/>
      <w:marRight w:val="0"/>
      <w:marTop w:val="0"/>
      <w:marBottom w:val="0"/>
      <w:divBdr>
        <w:top w:val="none" w:sz="0" w:space="0" w:color="auto"/>
        <w:left w:val="none" w:sz="0" w:space="0" w:color="auto"/>
        <w:bottom w:val="none" w:sz="0" w:space="0" w:color="auto"/>
        <w:right w:val="none" w:sz="0" w:space="0" w:color="auto"/>
      </w:divBdr>
    </w:div>
    <w:div w:id="918028691">
      <w:bodyDiv w:val="1"/>
      <w:marLeft w:val="0"/>
      <w:marRight w:val="0"/>
      <w:marTop w:val="0"/>
      <w:marBottom w:val="0"/>
      <w:divBdr>
        <w:top w:val="none" w:sz="0" w:space="0" w:color="auto"/>
        <w:left w:val="none" w:sz="0" w:space="0" w:color="auto"/>
        <w:bottom w:val="none" w:sz="0" w:space="0" w:color="auto"/>
        <w:right w:val="none" w:sz="0" w:space="0" w:color="auto"/>
      </w:divBdr>
    </w:div>
    <w:div w:id="918055339">
      <w:bodyDiv w:val="1"/>
      <w:marLeft w:val="0"/>
      <w:marRight w:val="0"/>
      <w:marTop w:val="0"/>
      <w:marBottom w:val="0"/>
      <w:divBdr>
        <w:top w:val="none" w:sz="0" w:space="0" w:color="auto"/>
        <w:left w:val="none" w:sz="0" w:space="0" w:color="auto"/>
        <w:bottom w:val="none" w:sz="0" w:space="0" w:color="auto"/>
        <w:right w:val="none" w:sz="0" w:space="0" w:color="auto"/>
      </w:divBdr>
    </w:div>
    <w:div w:id="918096245">
      <w:bodyDiv w:val="1"/>
      <w:marLeft w:val="0"/>
      <w:marRight w:val="0"/>
      <w:marTop w:val="0"/>
      <w:marBottom w:val="0"/>
      <w:divBdr>
        <w:top w:val="none" w:sz="0" w:space="0" w:color="auto"/>
        <w:left w:val="none" w:sz="0" w:space="0" w:color="auto"/>
        <w:bottom w:val="none" w:sz="0" w:space="0" w:color="auto"/>
        <w:right w:val="none" w:sz="0" w:space="0" w:color="auto"/>
      </w:divBdr>
    </w:div>
    <w:div w:id="918098880">
      <w:bodyDiv w:val="1"/>
      <w:marLeft w:val="0"/>
      <w:marRight w:val="0"/>
      <w:marTop w:val="0"/>
      <w:marBottom w:val="0"/>
      <w:divBdr>
        <w:top w:val="none" w:sz="0" w:space="0" w:color="auto"/>
        <w:left w:val="none" w:sz="0" w:space="0" w:color="auto"/>
        <w:bottom w:val="none" w:sz="0" w:space="0" w:color="auto"/>
        <w:right w:val="none" w:sz="0" w:space="0" w:color="auto"/>
      </w:divBdr>
    </w:div>
    <w:div w:id="918103070">
      <w:bodyDiv w:val="1"/>
      <w:marLeft w:val="0"/>
      <w:marRight w:val="0"/>
      <w:marTop w:val="0"/>
      <w:marBottom w:val="0"/>
      <w:divBdr>
        <w:top w:val="none" w:sz="0" w:space="0" w:color="auto"/>
        <w:left w:val="none" w:sz="0" w:space="0" w:color="auto"/>
        <w:bottom w:val="none" w:sz="0" w:space="0" w:color="auto"/>
        <w:right w:val="none" w:sz="0" w:space="0" w:color="auto"/>
      </w:divBdr>
    </w:div>
    <w:div w:id="918365402">
      <w:bodyDiv w:val="1"/>
      <w:marLeft w:val="0"/>
      <w:marRight w:val="0"/>
      <w:marTop w:val="0"/>
      <w:marBottom w:val="0"/>
      <w:divBdr>
        <w:top w:val="none" w:sz="0" w:space="0" w:color="auto"/>
        <w:left w:val="none" w:sz="0" w:space="0" w:color="auto"/>
        <w:bottom w:val="none" w:sz="0" w:space="0" w:color="auto"/>
        <w:right w:val="none" w:sz="0" w:space="0" w:color="auto"/>
      </w:divBdr>
    </w:div>
    <w:div w:id="918367088">
      <w:bodyDiv w:val="1"/>
      <w:marLeft w:val="0"/>
      <w:marRight w:val="0"/>
      <w:marTop w:val="0"/>
      <w:marBottom w:val="0"/>
      <w:divBdr>
        <w:top w:val="none" w:sz="0" w:space="0" w:color="auto"/>
        <w:left w:val="none" w:sz="0" w:space="0" w:color="auto"/>
        <w:bottom w:val="none" w:sz="0" w:space="0" w:color="auto"/>
        <w:right w:val="none" w:sz="0" w:space="0" w:color="auto"/>
      </w:divBdr>
    </w:div>
    <w:div w:id="918487631">
      <w:bodyDiv w:val="1"/>
      <w:marLeft w:val="0"/>
      <w:marRight w:val="0"/>
      <w:marTop w:val="0"/>
      <w:marBottom w:val="0"/>
      <w:divBdr>
        <w:top w:val="none" w:sz="0" w:space="0" w:color="auto"/>
        <w:left w:val="none" w:sz="0" w:space="0" w:color="auto"/>
        <w:bottom w:val="none" w:sz="0" w:space="0" w:color="auto"/>
        <w:right w:val="none" w:sz="0" w:space="0" w:color="auto"/>
      </w:divBdr>
    </w:div>
    <w:div w:id="918489264">
      <w:bodyDiv w:val="1"/>
      <w:marLeft w:val="0"/>
      <w:marRight w:val="0"/>
      <w:marTop w:val="0"/>
      <w:marBottom w:val="0"/>
      <w:divBdr>
        <w:top w:val="none" w:sz="0" w:space="0" w:color="auto"/>
        <w:left w:val="none" w:sz="0" w:space="0" w:color="auto"/>
        <w:bottom w:val="none" w:sz="0" w:space="0" w:color="auto"/>
        <w:right w:val="none" w:sz="0" w:space="0" w:color="auto"/>
      </w:divBdr>
    </w:div>
    <w:div w:id="918515185">
      <w:bodyDiv w:val="1"/>
      <w:marLeft w:val="0"/>
      <w:marRight w:val="0"/>
      <w:marTop w:val="0"/>
      <w:marBottom w:val="0"/>
      <w:divBdr>
        <w:top w:val="none" w:sz="0" w:space="0" w:color="auto"/>
        <w:left w:val="none" w:sz="0" w:space="0" w:color="auto"/>
        <w:bottom w:val="none" w:sz="0" w:space="0" w:color="auto"/>
        <w:right w:val="none" w:sz="0" w:space="0" w:color="auto"/>
      </w:divBdr>
    </w:div>
    <w:div w:id="918637940">
      <w:bodyDiv w:val="1"/>
      <w:marLeft w:val="0"/>
      <w:marRight w:val="0"/>
      <w:marTop w:val="0"/>
      <w:marBottom w:val="0"/>
      <w:divBdr>
        <w:top w:val="none" w:sz="0" w:space="0" w:color="auto"/>
        <w:left w:val="none" w:sz="0" w:space="0" w:color="auto"/>
        <w:bottom w:val="none" w:sz="0" w:space="0" w:color="auto"/>
        <w:right w:val="none" w:sz="0" w:space="0" w:color="auto"/>
      </w:divBdr>
    </w:div>
    <w:div w:id="918908182">
      <w:bodyDiv w:val="1"/>
      <w:marLeft w:val="0"/>
      <w:marRight w:val="0"/>
      <w:marTop w:val="0"/>
      <w:marBottom w:val="0"/>
      <w:divBdr>
        <w:top w:val="none" w:sz="0" w:space="0" w:color="auto"/>
        <w:left w:val="none" w:sz="0" w:space="0" w:color="auto"/>
        <w:bottom w:val="none" w:sz="0" w:space="0" w:color="auto"/>
        <w:right w:val="none" w:sz="0" w:space="0" w:color="auto"/>
      </w:divBdr>
    </w:div>
    <w:div w:id="919022846">
      <w:bodyDiv w:val="1"/>
      <w:marLeft w:val="0"/>
      <w:marRight w:val="0"/>
      <w:marTop w:val="0"/>
      <w:marBottom w:val="0"/>
      <w:divBdr>
        <w:top w:val="none" w:sz="0" w:space="0" w:color="auto"/>
        <w:left w:val="none" w:sz="0" w:space="0" w:color="auto"/>
        <w:bottom w:val="none" w:sz="0" w:space="0" w:color="auto"/>
        <w:right w:val="none" w:sz="0" w:space="0" w:color="auto"/>
      </w:divBdr>
    </w:div>
    <w:div w:id="919094207">
      <w:bodyDiv w:val="1"/>
      <w:marLeft w:val="0"/>
      <w:marRight w:val="0"/>
      <w:marTop w:val="0"/>
      <w:marBottom w:val="0"/>
      <w:divBdr>
        <w:top w:val="none" w:sz="0" w:space="0" w:color="auto"/>
        <w:left w:val="none" w:sz="0" w:space="0" w:color="auto"/>
        <w:bottom w:val="none" w:sz="0" w:space="0" w:color="auto"/>
        <w:right w:val="none" w:sz="0" w:space="0" w:color="auto"/>
      </w:divBdr>
    </w:div>
    <w:div w:id="919220024">
      <w:bodyDiv w:val="1"/>
      <w:marLeft w:val="0"/>
      <w:marRight w:val="0"/>
      <w:marTop w:val="0"/>
      <w:marBottom w:val="0"/>
      <w:divBdr>
        <w:top w:val="none" w:sz="0" w:space="0" w:color="auto"/>
        <w:left w:val="none" w:sz="0" w:space="0" w:color="auto"/>
        <w:bottom w:val="none" w:sz="0" w:space="0" w:color="auto"/>
        <w:right w:val="none" w:sz="0" w:space="0" w:color="auto"/>
      </w:divBdr>
    </w:div>
    <w:div w:id="919370343">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19411165">
      <w:bodyDiv w:val="1"/>
      <w:marLeft w:val="0"/>
      <w:marRight w:val="0"/>
      <w:marTop w:val="0"/>
      <w:marBottom w:val="0"/>
      <w:divBdr>
        <w:top w:val="none" w:sz="0" w:space="0" w:color="auto"/>
        <w:left w:val="none" w:sz="0" w:space="0" w:color="auto"/>
        <w:bottom w:val="none" w:sz="0" w:space="0" w:color="auto"/>
        <w:right w:val="none" w:sz="0" w:space="0" w:color="auto"/>
      </w:divBdr>
    </w:div>
    <w:div w:id="919412286">
      <w:bodyDiv w:val="1"/>
      <w:marLeft w:val="0"/>
      <w:marRight w:val="0"/>
      <w:marTop w:val="0"/>
      <w:marBottom w:val="0"/>
      <w:divBdr>
        <w:top w:val="none" w:sz="0" w:space="0" w:color="auto"/>
        <w:left w:val="none" w:sz="0" w:space="0" w:color="auto"/>
        <w:bottom w:val="none" w:sz="0" w:space="0" w:color="auto"/>
        <w:right w:val="none" w:sz="0" w:space="0" w:color="auto"/>
      </w:divBdr>
    </w:div>
    <w:div w:id="919483646">
      <w:bodyDiv w:val="1"/>
      <w:marLeft w:val="0"/>
      <w:marRight w:val="0"/>
      <w:marTop w:val="0"/>
      <w:marBottom w:val="0"/>
      <w:divBdr>
        <w:top w:val="none" w:sz="0" w:space="0" w:color="auto"/>
        <w:left w:val="none" w:sz="0" w:space="0" w:color="auto"/>
        <w:bottom w:val="none" w:sz="0" w:space="0" w:color="auto"/>
        <w:right w:val="none" w:sz="0" w:space="0" w:color="auto"/>
      </w:divBdr>
    </w:div>
    <w:div w:id="919943109">
      <w:bodyDiv w:val="1"/>
      <w:marLeft w:val="0"/>
      <w:marRight w:val="0"/>
      <w:marTop w:val="0"/>
      <w:marBottom w:val="0"/>
      <w:divBdr>
        <w:top w:val="none" w:sz="0" w:space="0" w:color="auto"/>
        <w:left w:val="none" w:sz="0" w:space="0" w:color="auto"/>
        <w:bottom w:val="none" w:sz="0" w:space="0" w:color="auto"/>
        <w:right w:val="none" w:sz="0" w:space="0" w:color="auto"/>
      </w:divBdr>
    </w:div>
    <w:div w:id="919945076">
      <w:bodyDiv w:val="1"/>
      <w:marLeft w:val="0"/>
      <w:marRight w:val="0"/>
      <w:marTop w:val="0"/>
      <w:marBottom w:val="0"/>
      <w:divBdr>
        <w:top w:val="none" w:sz="0" w:space="0" w:color="auto"/>
        <w:left w:val="none" w:sz="0" w:space="0" w:color="auto"/>
        <w:bottom w:val="none" w:sz="0" w:space="0" w:color="auto"/>
        <w:right w:val="none" w:sz="0" w:space="0" w:color="auto"/>
      </w:divBdr>
    </w:div>
    <w:div w:id="919946340">
      <w:bodyDiv w:val="1"/>
      <w:marLeft w:val="0"/>
      <w:marRight w:val="0"/>
      <w:marTop w:val="0"/>
      <w:marBottom w:val="0"/>
      <w:divBdr>
        <w:top w:val="none" w:sz="0" w:space="0" w:color="auto"/>
        <w:left w:val="none" w:sz="0" w:space="0" w:color="auto"/>
        <w:bottom w:val="none" w:sz="0" w:space="0" w:color="auto"/>
        <w:right w:val="none" w:sz="0" w:space="0" w:color="auto"/>
      </w:divBdr>
    </w:div>
    <w:div w:id="920145300">
      <w:bodyDiv w:val="1"/>
      <w:marLeft w:val="0"/>
      <w:marRight w:val="0"/>
      <w:marTop w:val="0"/>
      <w:marBottom w:val="0"/>
      <w:divBdr>
        <w:top w:val="none" w:sz="0" w:space="0" w:color="auto"/>
        <w:left w:val="none" w:sz="0" w:space="0" w:color="auto"/>
        <w:bottom w:val="none" w:sz="0" w:space="0" w:color="auto"/>
        <w:right w:val="none" w:sz="0" w:space="0" w:color="auto"/>
      </w:divBdr>
    </w:div>
    <w:div w:id="920258535">
      <w:bodyDiv w:val="1"/>
      <w:marLeft w:val="0"/>
      <w:marRight w:val="0"/>
      <w:marTop w:val="0"/>
      <w:marBottom w:val="0"/>
      <w:divBdr>
        <w:top w:val="none" w:sz="0" w:space="0" w:color="auto"/>
        <w:left w:val="none" w:sz="0" w:space="0" w:color="auto"/>
        <w:bottom w:val="none" w:sz="0" w:space="0" w:color="auto"/>
        <w:right w:val="none" w:sz="0" w:space="0" w:color="auto"/>
      </w:divBdr>
    </w:div>
    <w:div w:id="920482149">
      <w:bodyDiv w:val="1"/>
      <w:marLeft w:val="0"/>
      <w:marRight w:val="0"/>
      <w:marTop w:val="0"/>
      <w:marBottom w:val="0"/>
      <w:divBdr>
        <w:top w:val="none" w:sz="0" w:space="0" w:color="auto"/>
        <w:left w:val="none" w:sz="0" w:space="0" w:color="auto"/>
        <w:bottom w:val="none" w:sz="0" w:space="0" w:color="auto"/>
        <w:right w:val="none" w:sz="0" w:space="0" w:color="auto"/>
      </w:divBdr>
    </w:div>
    <w:div w:id="920676182">
      <w:bodyDiv w:val="1"/>
      <w:marLeft w:val="0"/>
      <w:marRight w:val="0"/>
      <w:marTop w:val="0"/>
      <w:marBottom w:val="0"/>
      <w:divBdr>
        <w:top w:val="none" w:sz="0" w:space="0" w:color="auto"/>
        <w:left w:val="none" w:sz="0" w:space="0" w:color="auto"/>
        <w:bottom w:val="none" w:sz="0" w:space="0" w:color="auto"/>
        <w:right w:val="none" w:sz="0" w:space="0" w:color="auto"/>
      </w:divBdr>
    </w:div>
    <w:div w:id="920722039">
      <w:bodyDiv w:val="1"/>
      <w:marLeft w:val="0"/>
      <w:marRight w:val="0"/>
      <w:marTop w:val="0"/>
      <w:marBottom w:val="0"/>
      <w:divBdr>
        <w:top w:val="none" w:sz="0" w:space="0" w:color="auto"/>
        <w:left w:val="none" w:sz="0" w:space="0" w:color="auto"/>
        <w:bottom w:val="none" w:sz="0" w:space="0" w:color="auto"/>
        <w:right w:val="none" w:sz="0" w:space="0" w:color="auto"/>
      </w:divBdr>
    </w:div>
    <w:div w:id="920793298">
      <w:bodyDiv w:val="1"/>
      <w:marLeft w:val="0"/>
      <w:marRight w:val="0"/>
      <w:marTop w:val="0"/>
      <w:marBottom w:val="0"/>
      <w:divBdr>
        <w:top w:val="none" w:sz="0" w:space="0" w:color="auto"/>
        <w:left w:val="none" w:sz="0" w:space="0" w:color="auto"/>
        <w:bottom w:val="none" w:sz="0" w:space="0" w:color="auto"/>
        <w:right w:val="none" w:sz="0" w:space="0" w:color="auto"/>
      </w:divBdr>
    </w:div>
    <w:div w:id="920869588">
      <w:bodyDiv w:val="1"/>
      <w:marLeft w:val="0"/>
      <w:marRight w:val="0"/>
      <w:marTop w:val="0"/>
      <w:marBottom w:val="0"/>
      <w:divBdr>
        <w:top w:val="none" w:sz="0" w:space="0" w:color="auto"/>
        <w:left w:val="none" w:sz="0" w:space="0" w:color="auto"/>
        <w:bottom w:val="none" w:sz="0" w:space="0" w:color="auto"/>
        <w:right w:val="none" w:sz="0" w:space="0" w:color="auto"/>
      </w:divBdr>
    </w:div>
    <w:div w:id="920914170">
      <w:bodyDiv w:val="1"/>
      <w:marLeft w:val="0"/>
      <w:marRight w:val="0"/>
      <w:marTop w:val="0"/>
      <w:marBottom w:val="0"/>
      <w:divBdr>
        <w:top w:val="none" w:sz="0" w:space="0" w:color="auto"/>
        <w:left w:val="none" w:sz="0" w:space="0" w:color="auto"/>
        <w:bottom w:val="none" w:sz="0" w:space="0" w:color="auto"/>
        <w:right w:val="none" w:sz="0" w:space="0" w:color="auto"/>
      </w:divBdr>
    </w:div>
    <w:div w:id="920986103">
      <w:bodyDiv w:val="1"/>
      <w:marLeft w:val="0"/>
      <w:marRight w:val="0"/>
      <w:marTop w:val="0"/>
      <w:marBottom w:val="0"/>
      <w:divBdr>
        <w:top w:val="none" w:sz="0" w:space="0" w:color="auto"/>
        <w:left w:val="none" w:sz="0" w:space="0" w:color="auto"/>
        <w:bottom w:val="none" w:sz="0" w:space="0" w:color="auto"/>
        <w:right w:val="none" w:sz="0" w:space="0" w:color="auto"/>
      </w:divBdr>
    </w:div>
    <w:div w:id="921061780">
      <w:bodyDiv w:val="1"/>
      <w:marLeft w:val="0"/>
      <w:marRight w:val="0"/>
      <w:marTop w:val="0"/>
      <w:marBottom w:val="0"/>
      <w:divBdr>
        <w:top w:val="none" w:sz="0" w:space="0" w:color="auto"/>
        <w:left w:val="none" w:sz="0" w:space="0" w:color="auto"/>
        <w:bottom w:val="none" w:sz="0" w:space="0" w:color="auto"/>
        <w:right w:val="none" w:sz="0" w:space="0" w:color="auto"/>
      </w:divBdr>
    </w:div>
    <w:div w:id="921068830">
      <w:bodyDiv w:val="1"/>
      <w:marLeft w:val="0"/>
      <w:marRight w:val="0"/>
      <w:marTop w:val="0"/>
      <w:marBottom w:val="0"/>
      <w:divBdr>
        <w:top w:val="none" w:sz="0" w:space="0" w:color="auto"/>
        <w:left w:val="none" w:sz="0" w:space="0" w:color="auto"/>
        <w:bottom w:val="none" w:sz="0" w:space="0" w:color="auto"/>
        <w:right w:val="none" w:sz="0" w:space="0" w:color="auto"/>
      </w:divBdr>
    </w:div>
    <w:div w:id="921256937">
      <w:bodyDiv w:val="1"/>
      <w:marLeft w:val="0"/>
      <w:marRight w:val="0"/>
      <w:marTop w:val="0"/>
      <w:marBottom w:val="0"/>
      <w:divBdr>
        <w:top w:val="none" w:sz="0" w:space="0" w:color="auto"/>
        <w:left w:val="none" w:sz="0" w:space="0" w:color="auto"/>
        <w:bottom w:val="none" w:sz="0" w:space="0" w:color="auto"/>
        <w:right w:val="none" w:sz="0" w:space="0" w:color="auto"/>
      </w:divBdr>
    </w:div>
    <w:div w:id="921330869">
      <w:bodyDiv w:val="1"/>
      <w:marLeft w:val="0"/>
      <w:marRight w:val="0"/>
      <w:marTop w:val="0"/>
      <w:marBottom w:val="0"/>
      <w:divBdr>
        <w:top w:val="none" w:sz="0" w:space="0" w:color="auto"/>
        <w:left w:val="none" w:sz="0" w:space="0" w:color="auto"/>
        <w:bottom w:val="none" w:sz="0" w:space="0" w:color="auto"/>
        <w:right w:val="none" w:sz="0" w:space="0" w:color="auto"/>
      </w:divBdr>
    </w:div>
    <w:div w:id="921523494">
      <w:bodyDiv w:val="1"/>
      <w:marLeft w:val="0"/>
      <w:marRight w:val="0"/>
      <w:marTop w:val="0"/>
      <w:marBottom w:val="0"/>
      <w:divBdr>
        <w:top w:val="none" w:sz="0" w:space="0" w:color="auto"/>
        <w:left w:val="none" w:sz="0" w:space="0" w:color="auto"/>
        <w:bottom w:val="none" w:sz="0" w:space="0" w:color="auto"/>
        <w:right w:val="none" w:sz="0" w:space="0" w:color="auto"/>
      </w:divBdr>
    </w:div>
    <w:div w:id="921597704">
      <w:bodyDiv w:val="1"/>
      <w:marLeft w:val="0"/>
      <w:marRight w:val="0"/>
      <w:marTop w:val="0"/>
      <w:marBottom w:val="0"/>
      <w:divBdr>
        <w:top w:val="none" w:sz="0" w:space="0" w:color="auto"/>
        <w:left w:val="none" w:sz="0" w:space="0" w:color="auto"/>
        <w:bottom w:val="none" w:sz="0" w:space="0" w:color="auto"/>
        <w:right w:val="none" w:sz="0" w:space="0" w:color="auto"/>
      </w:divBdr>
    </w:div>
    <w:div w:id="921911700">
      <w:bodyDiv w:val="1"/>
      <w:marLeft w:val="0"/>
      <w:marRight w:val="0"/>
      <w:marTop w:val="0"/>
      <w:marBottom w:val="0"/>
      <w:divBdr>
        <w:top w:val="none" w:sz="0" w:space="0" w:color="auto"/>
        <w:left w:val="none" w:sz="0" w:space="0" w:color="auto"/>
        <w:bottom w:val="none" w:sz="0" w:space="0" w:color="auto"/>
        <w:right w:val="none" w:sz="0" w:space="0" w:color="auto"/>
      </w:divBdr>
    </w:div>
    <w:div w:id="922104512">
      <w:bodyDiv w:val="1"/>
      <w:marLeft w:val="0"/>
      <w:marRight w:val="0"/>
      <w:marTop w:val="0"/>
      <w:marBottom w:val="0"/>
      <w:divBdr>
        <w:top w:val="none" w:sz="0" w:space="0" w:color="auto"/>
        <w:left w:val="none" w:sz="0" w:space="0" w:color="auto"/>
        <w:bottom w:val="none" w:sz="0" w:space="0" w:color="auto"/>
        <w:right w:val="none" w:sz="0" w:space="0" w:color="auto"/>
      </w:divBdr>
    </w:div>
    <w:div w:id="922224635">
      <w:bodyDiv w:val="1"/>
      <w:marLeft w:val="0"/>
      <w:marRight w:val="0"/>
      <w:marTop w:val="0"/>
      <w:marBottom w:val="0"/>
      <w:divBdr>
        <w:top w:val="none" w:sz="0" w:space="0" w:color="auto"/>
        <w:left w:val="none" w:sz="0" w:space="0" w:color="auto"/>
        <w:bottom w:val="none" w:sz="0" w:space="0" w:color="auto"/>
        <w:right w:val="none" w:sz="0" w:space="0" w:color="auto"/>
      </w:divBdr>
    </w:div>
    <w:div w:id="922227968">
      <w:bodyDiv w:val="1"/>
      <w:marLeft w:val="0"/>
      <w:marRight w:val="0"/>
      <w:marTop w:val="0"/>
      <w:marBottom w:val="0"/>
      <w:divBdr>
        <w:top w:val="none" w:sz="0" w:space="0" w:color="auto"/>
        <w:left w:val="none" w:sz="0" w:space="0" w:color="auto"/>
        <w:bottom w:val="none" w:sz="0" w:space="0" w:color="auto"/>
        <w:right w:val="none" w:sz="0" w:space="0" w:color="auto"/>
      </w:divBdr>
    </w:div>
    <w:div w:id="922299715">
      <w:bodyDiv w:val="1"/>
      <w:marLeft w:val="0"/>
      <w:marRight w:val="0"/>
      <w:marTop w:val="0"/>
      <w:marBottom w:val="0"/>
      <w:divBdr>
        <w:top w:val="none" w:sz="0" w:space="0" w:color="auto"/>
        <w:left w:val="none" w:sz="0" w:space="0" w:color="auto"/>
        <w:bottom w:val="none" w:sz="0" w:space="0" w:color="auto"/>
        <w:right w:val="none" w:sz="0" w:space="0" w:color="auto"/>
      </w:divBdr>
    </w:div>
    <w:div w:id="922299855">
      <w:bodyDiv w:val="1"/>
      <w:marLeft w:val="0"/>
      <w:marRight w:val="0"/>
      <w:marTop w:val="0"/>
      <w:marBottom w:val="0"/>
      <w:divBdr>
        <w:top w:val="none" w:sz="0" w:space="0" w:color="auto"/>
        <w:left w:val="none" w:sz="0" w:space="0" w:color="auto"/>
        <w:bottom w:val="none" w:sz="0" w:space="0" w:color="auto"/>
        <w:right w:val="none" w:sz="0" w:space="0" w:color="auto"/>
      </w:divBdr>
    </w:div>
    <w:div w:id="922374456">
      <w:bodyDiv w:val="1"/>
      <w:marLeft w:val="0"/>
      <w:marRight w:val="0"/>
      <w:marTop w:val="0"/>
      <w:marBottom w:val="0"/>
      <w:divBdr>
        <w:top w:val="none" w:sz="0" w:space="0" w:color="auto"/>
        <w:left w:val="none" w:sz="0" w:space="0" w:color="auto"/>
        <w:bottom w:val="none" w:sz="0" w:space="0" w:color="auto"/>
        <w:right w:val="none" w:sz="0" w:space="0" w:color="auto"/>
      </w:divBdr>
    </w:div>
    <w:div w:id="922375228">
      <w:bodyDiv w:val="1"/>
      <w:marLeft w:val="0"/>
      <w:marRight w:val="0"/>
      <w:marTop w:val="0"/>
      <w:marBottom w:val="0"/>
      <w:divBdr>
        <w:top w:val="none" w:sz="0" w:space="0" w:color="auto"/>
        <w:left w:val="none" w:sz="0" w:space="0" w:color="auto"/>
        <w:bottom w:val="none" w:sz="0" w:space="0" w:color="auto"/>
        <w:right w:val="none" w:sz="0" w:space="0" w:color="auto"/>
      </w:divBdr>
    </w:div>
    <w:div w:id="922377473">
      <w:bodyDiv w:val="1"/>
      <w:marLeft w:val="0"/>
      <w:marRight w:val="0"/>
      <w:marTop w:val="0"/>
      <w:marBottom w:val="0"/>
      <w:divBdr>
        <w:top w:val="none" w:sz="0" w:space="0" w:color="auto"/>
        <w:left w:val="none" w:sz="0" w:space="0" w:color="auto"/>
        <w:bottom w:val="none" w:sz="0" w:space="0" w:color="auto"/>
        <w:right w:val="none" w:sz="0" w:space="0" w:color="auto"/>
      </w:divBdr>
    </w:div>
    <w:div w:id="922492074">
      <w:bodyDiv w:val="1"/>
      <w:marLeft w:val="0"/>
      <w:marRight w:val="0"/>
      <w:marTop w:val="0"/>
      <w:marBottom w:val="0"/>
      <w:divBdr>
        <w:top w:val="none" w:sz="0" w:space="0" w:color="auto"/>
        <w:left w:val="none" w:sz="0" w:space="0" w:color="auto"/>
        <w:bottom w:val="none" w:sz="0" w:space="0" w:color="auto"/>
        <w:right w:val="none" w:sz="0" w:space="0" w:color="auto"/>
      </w:divBdr>
    </w:div>
    <w:div w:id="922568466">
      <w:bodyDiv w:val="1"/>
      <w:marLeft w:val="0"/>
      <w:marRight w:val="0"/>
      <w:marTop w:val="0"/>
      <w:marBottom w:val="0"/>
      <w:divBdr>
        <w:top w:val="none" w:sz="0" w:space="0" w:color="auto"/>
        <w:left w:val="none" w:sz="0" w:space="0" w:color="auto"/>
        <w:bottom w:val="none" w:sz="0" w:space="0" w:color="auto"/>
        <w:right w:val="none" w:sz="0" w:space="0" w:color="auto"/>
      </w:divBdr>
    </w:div>
    <w:div w:id="922641770">
      <w:bodyDiv w:val="1"/>
      <w:marLeft w:val="0"/>
      <w:marRight w:val="0"/>
      <w:marTop w:val="0"/>
      <w:marBottom w:val="0"/>
      <w:divBdr>
        <w:top w:val="none" w:sz="0" w:space="0" w:color="auto"/>
        <w:left w:val="none" w:sz="0" w:space="0" w:color="auto"/>
        <w:bottom w:val="none" w:sz="0" w:space="0" w:color="auto"/>
        <w:right w:val="none" w:sz="0" w:space="0" w:color="auto"/>
      </w:divBdr>
    </w:div>
    <w:div w:id="922642624">
      <w:bodyDiv w:val="1"/>
      <w:marLeft w:val="0"/>
      <w:marRight w:val="0"/>
      <w:marTop w:val="0"/>
      <w:marBottom w:val="0"/>
      <w:divBdr>
        <w:top w:val="none" w:sz="0" w:space="0" w:color="auto"/>
        <w:left w:val="none" w:sz="0" w:space="0" w:color="auto"/>
        <w:bottom w:val="none" w:sz="0" w:space="0" w:color="auto"/>
        <w:right w:val="none" w:sz="0" w:space="0" w:color="auto"/>
      </w:divBdr>
    </w:div>
    <w:div w:id="922763491">
      <w:bodyDiv w:val="1"/>
      <w:marLeft w:val="0"/>
      <w:marRight w:val="0"/>
      <w:marTop w:val="0"/>
      <w:marBottom w:val="0"/>
      <w:divBdr>
        <w:top w:val="none" w:sz="0" w:space="0" w:color="auto"/>
        <w:left w:val="none" w:sz="0" w:space="0" w:color="auto"/>
        <w:bottom w:val="none" w:sz="0" w:space="0" w:color="auto"/>
        <w:right w:val="none" w:sz="0" w:space="0" w:color="auto"/>
      </w:divBdr>
    </w:div>
    <w:div w:id="922882851">
      <w:bodyDiv w:val="1"/>
      <w:marLeft w:val="0"/>
      <w:marRight w:val="0"/>
      <w:marTop w:val="0"/>
      <w:marBottom w:val="0"/>
      <w:divBdr>
        <w:top w:val="none" w:sz="0" w:space="0" w:color="auto"/>
        <w:left w:val="none" w:sz="0" w:space="0" w:color="auto"/>
        <w:bottom w:val="none" w:sz="0" w:space="0" w:color="auto"/>
        <w:right w:val="none" w:sz="0" w:space="0" w:color="auto"/>
      </w:divBdr>
    </w:div>
    <w:div w:id="922884280">
      <w:bodyDiv w:val="1"/>
      <w:marLeft w:val="0"/>
      <w:marRight w:val="0"/>
      <w:marTop w:val="0"/>
      <w:marBottom w:val="0"/>
      <w:divBdr>
        <w:top w:val="none" w:sz="0" w:space="0" w:color="auto"/>
        <w:left w:val="none" w:sz="0" w:space="0" w:color="auto"/>
        <w:bottom w:val="none" w:sz="0" w:space="0" w:color="auto"/>
        <w:right w:val="none" w:sz="0" w:space="0" w:color="auto"/>
      </w:divBdr>
    </w:div>
    <w:div w:id="923029825">
      <w:bodyDiv w:val="1"/>
      <w:marLeft w:val="0"/>
      <w:marRight w:val="0"/>
      <w:marTop w:val="0"/>
      <w:marBottom w:val="0"/>
      <w:divBdr>
        <w:top w:val="none" w:sz="0" w:space="0" w:color="auto"/>
        <w:left w:val="none" w:sz="0" w:space="0" w:color="auto"/>
        <w:bottom w:val="none" w:sz="0" w:space="0" w:color="auto"/>
        <w:right w:val="none" w:sz="0" w:space="0" w:color="auto"/>
      </w:divBdr>
    </w:div>
    <w:div w:id="923144751">
      <w:bodyDiv w:val="1"/>
      <w:marLeft w:val="0"/>
      <w:marRight w:val="0"/>
      <w:marTop w:val="0"/>
      <w:marBottom w:val="0"/>
      <w:divBdr>
        <w:top w:val="none" w:sz="0" w:space="0" w:color="auto"/>
        <w:left w:val="none" w:sz="0" w:space="0" w:color="auto"/>
        <w:bottom w:val="none" w:sz="0" w:space="0" w:color="auto"/>
        <w:right w:val="none" w:sz="0" w:space="0" w:color="auto"/>
      </w:divBdr>
    </w:div>
    <w:div w:id="923220740">
      <w:bodyDiv w:val="1"/>
      <w:marLeft w:val="0"/>
      <w:marRight w:val="0"/>
      <w:marTop w:val="0"/>
      <w:marBottom w:val="0"/>
      <w:divBdr>
        <w:top w:val="none" w:sz="0" w:space="0" w:color="auto"/>
        <w:left w:val="none" w:sz="0" w:space="0" w:color="auto"/>
        <w:bottom w:val="none" w:sz="0" w:space="0" w:color="auto"/>
        <w:right w:val="none" w:sz="0" w:space="0" w:color="auto"/>
      </w:divBdr>
    </w:div>
    <w:div w:id="923224348">
      <w:bodyDiv w:val="1"/>
      <w:marLeft w:val="0"/>
      <w:marRight w:val="0"/>
      <w:marTop w:val="0"/>
      <w:marBottom w:val="0"/>
      <w:divBdr>
        <w:top w:val="none" w:sz="0" w:space="0" w:color="auto"/>
        <w:left w:val="none" w:sz="0" w:space="0" w:color="auto"/>
        <w:bottom w:val="none" w:sz="0" w:space="0" w:color="auto"/>
        <w:right w:val="none" w:sz="0" w:space="0" w:color="auto"/>
      </w:divBdr>
    </w:div>
    <w:div w:id="923343557">
      <w:bodyDiv w:val="1"/>
      <w:marLeft w:val="0"/>
      <w:marRight w:val="0"/>
      <w:marTop w:val="0"/>
      <w:marBottom w:val="0"/>
      <w:divBdr>
        <w:top w:val="none" w:sz="0" w:space="0" w:color="auto"/>
        <w:left w:val="none" w:sz="0" w:space="0" w:color="auto"/>
        <w:bottom w:val="none" w:sz="0" w:space="0" w:color="auto"/>
        <w:right w:val="none" w:sz="0" w:space="0" w:color="auto"/>
      </w:divBdr>
    </w:div>
    <w:div w:id="923415830">
      <w:bodyDiv w:val="1"/>
      <w:marLeft w:val="0"/>
      <w:marRight w:val="0"/>
      <w:marTop w:val="0"/>
      <w:marBottom w:val="0"/>
      <w:divBdr>
        <w:top w:val="none" w:sz="0" w:space="0" w:color="auto"/>
        <w:left w:val="none" w:sz="0" w:space="0" w:color="auto"/>
        <w:bottom w:val="none" w:sz="0" w:space="0" w:color="auto"/>
        <w:right w:val="none" w:sz="0" w:space="0" w:color="auto"/>
      </w:divBdr>
    </w:div>
    <w:div w:id="923420172">
      <w:bodyDiv w:val="1"/>
      <w:marLeft w:val="0"/>
      <w:marRight w:val="0"/>
      <w:marTop w:val="0"/>
      <w:marBottom w:val="0"/>
      <w:divBdr>
        <w:top w:val="none" w:sz="0" w:space="0" w:color="auto"/>
        <w:left w:val="none" w:sz="0" w:space="0" w:color="auto"/>
        <w:bottom w:val="none" w:sz="0" w:space="0" w:color="auto"/>
        <w:right w:val="none" w:sz="0" w:space="0" w:color="auto"/>
      </w:divBdr>
    </w:div>
    <w:div w:id="923490819">
      <w:bodyDiv w:val="1"/>
      <w:marLeft w:val="0"/>
      <w:marRight w:val="0"/>
      <w:marTop w:val="0"/>
      <w:marBottom w:val="0"/>
      <w:divBdr>
        <w:top w:val="none" w:sz="0" w:space="0" w:color="auto"/>
        <w:left w:val="none" w:sz="0" w:space="0" w:color="auto"/>
        <w:bottom w:val="none" w:sz="0" w:space="0" w:color="auto"/>
        <w:right w:val="none" w:sz="0" w:space="0" w:color="auto"/>
      </w:divBdr>
    </w:div>
    <w:div w:id="923536405">
      <w:bodyDiv w:val="1"/>
      <w:marLeft w:val="0"/>
      <w:marRight w:val="0"/>
      <w:marTop w:val="0"/>
      <w:marBottom w:val="0"/>
      <w:divBdr>
        <w:top w:val="none" w:sz="0" w:space="0" w:color="auto"/>
        <w:left w:val="none" w:sz="0" w:space="0" w:color="auto"/>
        <w:bottom w:val="none" w:sz="0" w:space="0" w:color="auto"/>
        <w:right w:val="none" w:sz="0" w:space="0" w:color="auto"/>
      </w:divBdr>
    </w:div>
    <w:div w:id="923538262">
      <w:bodyDiv w:val="1"/>
      <w:marLeft w:val="0"/>
      <w:marRight w:val="0"/>
      <w:marTop w:val="0"/>
      <w:marBottom w:val="0"/>
      <w:divBdr>
        <w:top w:val="none" w:sz="0" w:space="0" w:color="auto"/>
        <w:left w:val="none" w:sz="0" w:space="0" w:color="auto"/>
        <w:bottom w:val="none" w:sz="0" w:space="0" w:color="auto"/>
        <w:right w:val="none" w:sz="0" w:space="0" w:color="auto"/>
      </w:divBdr>
    </w:div>
    <w:div w:id="923611351">
      <w:bodyDiv w:val="1"/>
      <w:marLeft w:val="0"/>
      <w:marRight w:val="0"/>
      <w:marTop w:val="0"/>
      <w:marBottom w:val="0"/>
      <w:divBdr>
        <w:top w:val="none" w:sz="0" w:space="0" w:color="auto"/>
        <w:left w:val="none" w:sz="0" w:space="0" w:color="auto"/>
        <w:bottom w:val="none" w:sz="0" w:space="0" w:color="auto"/>
        <w:right w:val="none" w:sz="0" w:space="0" w:color="auto"/>
      </w:divBdr>
    </w:div>
    <w:div w:id="923681468">
      <w:bodyDiv w:val="1"/>
      <w:marLeft w:val="0"/>
      <w:marRight w:val="0"/>
      <w:marTop w:val="0"/>
      <w:marBottom w:val="0"/>
      <w:divBdr>
        <w:top w:val="none" w:sz="0" w:space="0" w:color="auto"/>
        <w:left w:val="none" w:sz="0" w:space="0" w:color="auto"/>
        <w:bottom w:val="none" w:sz="0" w:space="0" w:color="auto"/>
        <w:right w:val="none" w:sz="0" w:space="0" w:color="auto"/>
      </w:divBdr>
    </w:div>
    <w:div w:id="923689432">
      <w:bodyDiv w:val="1"/>
      <w:marLeft w:val="0"/>
      <w:marRight w:val="0"/>
      <w:marTop w:val="0"/>
      <w:marBottom w:val="0"/>
      <w:divBdr>
        <w:top w:val="none" w:sz="0" w:space="0" w:color="auto"/>
        <w:left w:val="none" w:sz="0" w:space="0" w:color="auto"/>
        <w:bottom w:val="none" w:sz="0" w:space="0" w:color="auto"/>
        <w:right w:val="none" w:sz="0" w:space="0" w:color="auto"/>
      </w:divBdr>
    </w:div>
    <w:div w:id="923759854">
      <w:bodyDiv w:val="1"/>
      <w:marLeft w:val="0"/>
      <w:marRight w:val="0"/>
      <w:marTop w:val="0"/>
      <w:marBottom w:val="0"/>
      <w:divBdr>
        <w:top w:val="none" w:sz="0" w:space="0" w:color="auto"/>
        <w:left w:val="none" w:sz="0" w:space="0" w:color="auto"/>
        <w:bottom w:val="none" w:sz="0" w:space="0" w:color="auto"/>
        <w:right w:val="none" w:sz="0" w:space="0" w:color="auto"/>
      </w:divBdr>
    </w:div>
    <w:div w:id="923800815">
      <w:bodyDiv w:val="1"/>
      <w:marLeft w:val="0"/>
      <w:marRight w:val="0"/>
      <w:marTop w:val="0"/>
      <w:marBottom w:val="0"/>
      <w:divBdr>
        <w:top w:val="none" w:sz="0" w:space="0" w:color="auto"/>
        <w:left w:val="none" w:sz="0" w:space="0" w:color="auto"/>
        <w:bottom w:val="none" w:sz="0" w:space="0" w:color="auto"/>
        <w:right w:val="none" w:sz="0" w:space="0" w:color="auto"/>
      </w:divBdr>
    </w:div>
    <w:div w:id="923950013">
      <w:bodyDiv w:val="1"/>
      <w:marLeft w:val="0"/>
      <w:marRight w:val="0"/>
      <w:marTop w:val="0"/>
      <w:marBottom w:val="0"/>
      <w:divBdr>
        <w:top w:val="none" w:sz="0" w:space="0" w:color="auto"/>
        <w:left w:val="none" w:sz="0" w:space="0" w:color="auto"/>
        <w:bottom w:val="none" w:sz="0" w:space="0" w:color="auto"/>
        <w:right w:val="none" w:sz="0" w:space="0" w:color="auto"/>
      </w:divBdr>
    </w:div>
    <w:div w:id="923950706">
      <w:bodyDiv w:val="1"/>
      <w:marLeft w:val="0"/>
      <w:marRight w:val="0"/>
      <w:marTop w:val="0"/>
      <w:marBottom w:val="0"/>
      <w:divBdr>
        <w:top w:val="none" w:sz="0" w:space="0" w:color="auto"/>
        <w:left w:val="none" w:sz="0" w:space="0" w:color="auto"/>
        <w:bottom w:val="none" w:sz="0" w:space="0" w:color="auto"/>
        <w:right w:val="none" w:sz="0" w:space="0" w:color="auto"/>
      </w:divBdr>
    </w:div>
    <w:div w:id="923957374">
      <w:bodyDiv w:val="1"/>
      <w:marLeft w:val="0"/>
      <w:marRight w:val="0"/>
      <w:marTop w:val="0"/>
      <w:marBottom w:val="0"/>
      <w:divBdr>
        <w:top w:val="none" w:sz="0" w:space="0" w:color="auto"/>
        <w:left w:val="none" w:sz="0" w:space="0" w:color="auto"/>
        <w:bottom w:val="none" w:sz="0" w:space="0" w:color="auto"/>
        <w:right w:val="none" w:sz="0" w:space="0" w:color="auto"/>
      </w:divBdr>
    </w:div>
    <w:div w:id="924147007">
      <w:bodyDiv w:val="1"/>
      <w:marLeft w:val="0"/>
      <w:marRight w:val="0"/>
      <w:marTop w:val="0"/>
      <w:marBottom w:val="0"/>
      <w:divBdr>
        <w:top w:val="none" w:sz="0" w:space="0" w:color="auto"/>
        <w:left w:val="none" w:sz="0" w:space="0" w:color="auto"/>
        <w:bottom w:val="none" w:sz="0" w:space="0" w:color="auto"/>
        <w:right w:val="none" w:sz="0" w:space="0" w:color="auto"/>
      </w:divBdr>
    </w:div>
    <w:div w:id="924150450">
      <w:bodyDiv w:val="1"/>
      <w:marLeft w:val="0"/>
      <w:marRight w:val="0"/>
      <w:marTop w:val="0"/>
      <w:marBottom w:val="0"/>
      <w:divBdr>
        <w:top w:val="none" w:sz="0" w:space="0" w:color="auto"/>
        <w:left w:val="none" w:sz="0" w:space="0" w:color="auto"/>
        <w:bottom w:val="none" w:sz="0" w:space="0" w:color="auto"/>
        <w:right w:val="none" w:sz="0" w:space="0" w:color="auto"/>
      </w:divBdr>
    </w:div>
    <w:div w:id="924192100">
      <w:bodyDiv w:val="1"/>
      <w:marLeft w:val="0"/>
      <w:marRight w:val="0"/>
      <w:marTop w:val="0"/>
      <w:marBottom w:val="0"/>
      <w:divBdr>
        <w:top w:val="none" w:sz="0" w:space="0" w:color="auto"/>
        <w:left w:val="none" w:sz="0" w:space="0" w:color="auto"/>
        <w:bottom w:val="none" w:sz="0" w:space="0" w:color="auto"/>
        <w:right w:val="none" w:sz="0" w:space="0" w:color="auto"/>
      </w:divBdr>
    </w:div>
    <w:div w:id="924535888">
      <w:bodyDiv w:val="1"/>
      <w:marLeft w:val="0"/>
      <w:marRight w:val="0"/>
      <w:marTop w:val="0"/>
      <w:marBottom w:val="0"/>
      <w:divBdr>
        <w:top w:val="none" w:sz="0" w:space="0" w:color="auto"/>
        <w:left w:val="none" w:sz="0" w:space="0" w:color="auto"/>
        <w:bottom w:val="none" w:sz="0" w:space="0" w:color="auto"/>
        <w:right w:val="none" w:sz="0" w:space="0" w:color="auto"/>
      </w:divBdr>
    </w:div>
    <w:div w:id="924723881">
      <w:bodyDiv w:val="1"/>
      <w:marLeft w:val="0"/>
      <w:marRight w:val="0"/>
      <w:marTop w:val="0"/>
      <w:marBottom w:val="0"/>
      <w:divBdr>
        <w:top w:val="none" w:sz="0" w:space="0" w:color="auto"/>
        <w:left w:val="none" w:sz="0" w:space="0" w:color="auto"/>
        <w:bottom w:val="none" w:sz="0" w:space="0" w:color="auto"/>
        <w:right w:val="none" w:sz="0" w:space="0" w:color="auto"/>
      </w:divBdr>
    </w:div>
    <w:div w:id="924874632">
      <w:bodyDiv w:val="1"/>
      <w:marLeft w:val="0"/>
      <w:marRight w:val="0"/>
      <w:marTop w:val="0"/>
      <w:marBottom w:val="0"/>
      <w:divBdr>
        <w:top w:val="none" w:sz="0" w:space="0" w:color="auto"/>
        <w:left w:val="none" w:sz="0" w:space="0" w:color="auto"/>
        <w:bottom w:val="none" w:sz="0" w:space="0" w:color="auto"/>
        <w:right w:val="none" w:sz="0" w:space="0" w:color="auto"/>
      </w:divBdr>
    </w:div>
    <w:div w:id="924995267">
      <w:bodyDiv w:val="1"/>
      <w:marLeft w:val="0"/>
      <w:marRight w:val="0"/>
      <w:marTop w:val="0"/>
      <w:marBottom w:val="0"/>
      <w:divBdr>
        <w:top w:val="none" w:sz="0" w:space="0" w:color="auto"/>
        <w:left w:val="none" w:sz="0" w:space="0" w:color="auto"/>
        <w:bottom w:val="none" w:sz="0" w:space="0" w:color="auto"/>
        <w:right w:val="none" w:sz="0" w:space="0" w:color="auto"/>
      </w:divBdr>
    </w:div>
    <w:div w:id="924997648">
      <w:bodyDiv w:val="1"/>
      <w:marLeft w:val="0"/>
      <w:marRight w:val="0"/>
      <w:marTop w:val="0"/>
      <w:marBottom w:val="0"/>
      <w:divBdr>
        <w:top w:val="none" w:sz="0" w:space="0" w:color="auto"/>
        <w:left w:val="none" w:sz="0" w:space="0" w:color="auto"/>
        <w:bottom w:val="none" w:sz="0" w:space="0" w:color="auto"/>
        <w:right w:val="none" w:sz="0" w:space="0" w:color="auto"/>
      </w:divBdr>
    </w:div>
    <w:div w:id="925187385">
      <w:bodyDiv w:val="1"/>
      <w:marLeft w:val="0"/>
      <w:marRight w:val="0"/>
      <w:marTop w:val="0"/>
      <w:marBottom w:val="0"/>
      <w:divBdr>
        <w:top w:val="none" w:sz="0" w:space="0" w:color="auto"/>
        <w:left w:val="none" w:sz="0" w:space="0" w:color="auto"/>
        <w:bottom w:val="none" w:sz="0" w:space="0" w:color="auto"/>
        <w:right w:val="none" w:sz="0" w:space="0" w:color="auto"/>
      </w:divBdr>
    </w:div>
    <w:div w:id="925266123">
      <w:bodyDiv w:val="1"/>
      <w:marLeft w:val="0"/>
      <w:marRight w:val="0"/>
      <w:marTop w:val="0"/>
      <w:marBottom w:val="0"/>
      <w:divBdr>
        <w:top w:val="none" w:sz="0" w:space="0" w:color="auto"/>
        <w:left w:val="none" w:sz="0" w:space="0" w:color="auto"/>
        <w:bottom w:val="none" w:sz="0" w:space="0" w:color="auto"/>
        <w:right w:val="none" w:sz="0" w:space="0" w:color="auto"/>
      </w:divBdr>
    </w:div>
    <w:div w:id="925306445">
      <w:bodyDiv w:val="1"/>
      <w:marLeft w:val="0"/>
      <w:marRight w:val="0"/>
      <w:marTop w:val="0"/>
      <w:marBottom w:val="0"/>
      <w:divBdr>
        <w:top w:val="none" w:sz="0" w:space="0" w:color="auto"/>
        <w:left w:val="none" w:sz="0" w:space="0" w:color="auto"/>
        <w:bottom w:val="none" w:sz="0" w:space="0" w:color="auto"/>
        <w:right w:val="none" w:sz="0" w:space="0" w:color="auto"/>
      </w:divBdr>
    </w:div>
    <w:div w:id="925308411">
      <w:bodyDiv w:val="1"/>
      <w:marLeft w:val="0"/>
      <w:marRight w:val="0"/>
      <w:marTop w:val="0"/>
      <w:marBottom w:val="0"/>
      <w:divBdr>
        <w:top w:val="none" w:sz="0" w:space="0" w:color="auto"/>
        <w:left w:val="none" w:sz="0" w:space="0" w:color="auto"/>
        <w:bottom w:val="none" w:sz="0" w:space="0" w:color="auto"/>
        <w:right w:val="none" w:sz="0" w:space="0" w:color="auto"/>
      </w:divBdr>
    </w:div>
    <w:div w:id="925728214">
      <w:bodyDiv w:val="1"/>
      <w:marLeft w:val="0"/>
      <w:marRight w:val="0"/>
      <w:marTop w:val="0"/>
      <w:marBottom w:val="0"/>
      <w:divBdr>
        <w:top w:val="none" w:sz="0" w:space="0" w:color="auto"/>
        <w:left w:val="none" w:sz="0" w:space="0" w:color="auto"/>
        <w:bottom w:val="none" w:sz="0" w:space="0" w:color="auto"/>
        <w:right w:val="none" w:sz="0" w:space="0" w:color="auto"/>
      </w:divBdr>
    </w:div>
    <w:div w:id="925765800">
      <w:bodyDiv w:val="1"/>
      <w:marLeft w:val="0"/>
      <w:marRight w:val="0"/>
      <w:marTop w:val="0"/>
      <w:marBottom w:val="0"/>
      <w:divBdr>
        <w:top w:val="none" w:sz="0" w:space="0" w:color="auto"/>
        <w:left w:val="none" w:sz="0" w:space="0" w:color="auto"/>
        <w:bottom w:val="none" w:sz="0" w:space="0" w:color="auto"/>
        <w:right w:val="none" w:sz="0" w:space="0" w:color="auto"/>
      </w:divBdr>
    </w:div>
    <w:div w:id="925848256">
      <w:bodyDiv w:val="1"/>
      <w:marLeft w:val="0"/>
      <w:marRight w:val="0"/>
      <w:marTop w:val="0"/>
      <w:marBottom w:val="0"/>
      <w:divBdr>
        <w:top w:val="none" w:sz="0" w:space="0" w:color="auto"/>
        <w:left w:val="none" w:sz="0" w:space="0" w:color="auto"/>
        <w:bottom w:val="none" w:sz="0" w:space="0" w:color="auto"/>
        <w:right w:val="none" w:sz="0" w:space="0" w:color="auto"/>
      </w:divBdr>
    </w:div>
    <w:div w:id="925848347">
      <w:bodyDiv w:val="1"/>
      <w:marLeft w:val="0"/>
      <w:marRight w:val="0"/>
      <w:marTop w:val="0"/>
      <w:marBottom w:val="0"/>
      <w:divBdr>
        <w:top w:val="none" w:sz="0" w:space="0" w:color="auto"/>
        <w:left w:val="none" w:sz="0" w:space="0" w:color="auto"/>
        <w:bottom w:val="none" w:sz="0" w:space="0" w:color="auto"/>
        <w:right w:val="none" w:sz="0" w:space="0" w:color="auto"/>
      </w:divBdr>
    </w:div>
    <w:div w:id="925924926">
      <w:bodyDiv w:val="1"/>
      <w:marLeft w:val="0"/>
      <w:marRight w:val="0"/>
      <w:marTop w:val="0"/>
      <w:marBottom w:val="0"/>
      <w:divBdr>
        <w:top w:val="none" w:sz="0" w:space="0" w:color="auto"/>
        <w:left w:val="none" w:sz="0" w:space="0" w:color="auto"/>
        <w:bottom w:val="none" w:sz="0" w:space="0" w:color="auto"/>
        <w:right w:val="none" w:sz="0" w:space="0" w:color="auto"/>
      </w:divBdr>
    </w:div>
    <w:div w:id="925966294">
      <w:bodyDiv w:val="1"/>
      <w:marLeft w:val="0"/>
      <w:marRight w:val="0"/>
      <w:marTop w:val="0"/>
      <w:marBottom w:val="0"/>
      <w:divBdr>
        <w:top w:val="none" w:sz="0" w:space="0" w:color="auto"/>
        <w:left w:val="none" w:sz="0" w:space="0" w:color="auto"/>
        <w:bottom w:val="none" w:sz="0" w:space="0" w:color="auto"/>
        <w:right w:val="none" w:sz="0" w:space="0" w:color="auto"/>
      </w:divBdr>
    </w:div>
    <w:div w:id="926038080">
      <w:bodyDiv w:val="1"/>
      <w:marLeft w:val="0"/>
      <w:marRight w:val="0"/>
      <w:marTop w:val="0"/>
      <w:marBottom w:val="0"/>
      <w:divBdr>
        <w:top w:val="none" w:sz="0" w:space="0" w:color="auto"/>
        <w:left w:val="none" w:sz="0" w:space="0" w:color="auto"/>
        <w:bottom w:val="none" w:sz="0" w:space="0" w:color="auto"/>
        <w:right w:val="none" w:sz="0" w:space="0" w:color="auto"/>
      </w:divBdr>
    </w:div>
    <w:div w:id="926186499">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6231843">
      <w:bodyDiv w:val="1"/>
      <w:marLeft w:val="0"/>
      <w:marRight w:val="0"/>
      <w:marTop w:val="0"/>
      <w:marBottom w:val="0"/>
      <w:divBdr>
        <w:top w:val="none" w:sz="0" w:space="0" w:color="auto"/>
        <w:left w:val="none" w:sz="0" w:space="0" w:color="auto"/>
        <w:bottom w:val="none" w:sz="0" w:space="0" w:color="auto"/>
        <w:right w:val="none" w:sz="0" w:space="0" w:color="auto"/>
      </w:divBdr>
    </w:div>
    <w:div w:id="926353253">
      <w:bodyDiv w:val="1"/>
      <w:marLeft w:val="0"/>
      <w:marRight w:val="0"/>
      <w:marTop w:val="0"/>
      <w:marBottom w:val="0"/>
      <w:divBdr>
        <w:top w:val="none" w:sz="0" w:space="0" w:color="auto"/>
        <w:left w:val="none" w:sz="0" w:space="0" w:color="auto"/>
        <w:bottom w:val="none" w:sz="0" w:space="0" w:color="auto"/>
        <w:right w:val="none" w:sz="0" w:space="0" w:color="auto"/>
      </w:divBdr>
    </w:div>
    <w:div w:id="926353611">
      <w:bodyDiv w:val="1"/>
      <w:marLeft w:val="0"/>
      <w:marRight w:val="0"/>
      <w:marTop w:val="0"/>
      <w:marBottom w:val="0"/>
      <w:divBdr>
        <w:top w:val="none" w:sz="0" w:space="0" w:color="auto"/>
        <w:left w:val="none" w:sz="0" w:space="0" w:color="auto"/>
        <w:bottom w:val="none" w:sz="0" w:space="0" w:color="auto"/>
        <w:right w:val="none" w:sz="0" w:space="0" w:color="auto"/>
      </w:divBdr>
    </w:div>
    <w:div w:id="926572776">
      <w:bodyDiv w:val="1"/>
      <w:marLeft w:val="0"/>
      <w:marRight w:val="0"/>
      <w:marTop w:val="0"/>
      <w:marBottom w:val="0"/>
      <w:divBdr>
        <w:top w:val="none" w:sz="0" w:space="0" w:color="auto"/>
        <w:left w:val="none" w:sz="0" w:space="0" w:color="auto"/>
        <w:bottom w:val="none" w:sz="0" w:space="0" w:color="auto"/>
        <w:right w:val="none" w:sz="0" w:space="0" w:color="auto"/>
      </w:divBdr>
    </w:div>
    <w:div w:id="926573794">
      <w:bodyDiv w:val="1"/>
      <w:marLeft w:val="0"/>
      <w:marRight w:val="0"/>
      <w:marTop w:val="0"/>
      <w:marBottom w:val="0"/>
      <w:divBdr>
        <w:top w:val="none" w:sz="0" w:space="0" w:color="auto"/>
        <w:left w:val="none" w:sz="0" w:space="0" w:color="auto"/>
        <w:bottom w:val="none" w:sz="0" w:space="0" w:color="auto"/>
        <w:right w:val="none" w:sz="0" w:space="0" w:color="auto"/>
      </w:divBdr>
    </w:div>
    <w:div w:id="926574482">
      <w:bodyDiv w:val="1"/>
      <w:marLeft w:val="0"/>
      <w:marRight w:val="0"/>
      <w:marTop w:val="0"/>
      <w:marBottom w:val="0"/>
      <w:divBdr>
        <w:top w:val="none" w:sz="0" w:space="0" w:color="auto"/>
        <w:left w:val="none" w:sz="0" w:space="0" w:color="auto"/>
        <w:bottom w:val="none" w:sz="0" w:space="0" w:color="auto"/>
        <w:right w:val="none" w:sz="0" w:space="0" w:color="auto"/>
      </w:divBdr>
    </w:div>
    <w:div w:id="926579812">
      <w:bodyDiv w:val="1"/>
      <w:marLeft w:val="0"/>
      <w:marRight w:val="0"/>
      <w:marTop w:val="0"/>
      <w:marBottom w:val="0"/>
      <w:divBdr>
        <w:top w:val="none" w:sz="0" w:space="0" w:color="auto"/>
        <w:left w:val="none" w:sz="0" w:space="0" w:color="auto"/>
        <w:bottom w:val="none" w:sz="0" w:space="0" w:color="auto"/>
        <w:right w:val="none" w:sz="0" w:space="0" w:color="auto"/>
      </w:divBdr>
    </w:div>
    <w:div w:id="926691071">
      <w:bodyDiv w:val="1"/>
      <w:marLeft w:val="0"/>
      <w:marRight w:val="0"/>
      <w:marTop w:val="0"/>
      <w:marBottom w:val="0"/>
      <w:divBdr>
        <w:top w:val="none" w:sz="0" w:space="0" w:color="auto"/>
        <w:left w:val="none" w:sz="0" w:space="0" w:color="auto"/>
        <w:bottom w:val="none" w:sz="0" w:space="0" w:color="auto"/>
        <w:right w:val="none" w:sz="0" w:space="0" w:color="auto"/>
      </w:divBdr>
    </w:div>
    <w:div w:id="926691201">
      <w:bodyDiv w:val="1"/>
      <w:marLeft w:val="0"/>
      <w:marRight w:val="0"/>
      <w:marTop w:val="0"/>
      <w:marBottom w:val="0"/>
      <w:divBdr>
        <w:top w:val="none" w:sz="0" w:space="0" w:color="auto"/>
        <w:left w:val="none" w:sz="0" w:space="0" w:color="auto"/>
        <w:bottom w:val="none" w:sz="0" w:space="0" w:color="auto"/>
        <w:right w:val="none" w:sz="0" w:space="0" w:color="auto"/>
      </w:divBdr>
    </w:div>
    <w:div w:id="926694569">
      <w:bodyDiv w:val="1"/>
      <w:marLeft w:val="0"/>
      <w:marRight w:val="0"/>
      <w:marTop w:val="0"/>
      <w:marBottom w:val="0"/>
      <w:divBdr>
        <w:top w:val="none" w:sz="0" w:space="0" w:color="auto"/>
        <w:left w:val="none" w:sz="0" w:space="0" w:color="auto"/>
        <w:bottom w:val="none" w:sz="0" w:space="0" w:color="auto"/>
        <w:right w:val="none" w:sz="0" w:space="0" w:color="auto"/>
      </w:divBdr>
    </w:div>
    <w:div w:id="926696832">
      <w:bodyDiv w:val="1"/>
      <w:marLeft w:val="0"/>
      <w:marRight w:val="0"/>
      <w:marTop w:val="0"/>
      <w:marBottom w:val="0"/>
      <w:divBdr>
        <w:top w:val="none" w:sz="0" w:space="0" w:color="auto"/>
        <w:left w:val="none" w:sz="0" w:space="0" w:color="auto"/>
        <w:bottom w:val="none" w:sz="0" w:space="0" w:color="auto"/>
        <w:right w:val="none" w:sz="0" w:space="0" w:color="auto"/>
      </w:divBdr>
    </w:div>
    <w:div w:id="926697581">
      <w:bodyDiv w:val="1"/>
      <w:marLeft w:val="0"/>
      <w:marRight w:val="0"/>
      <w:marTop w:val="0"/>
      <w:marBottom w:val="0"/>
      <w:divBdr>
        <w:top w:val="none" w:sz="0" w:space="0" w:color="auto"/>
        <w:left w:val="none" w:sz="0" w:space="0" w:color="auto"/>
        <w:bottom w:val="none" w:sz="0" w:space="0" w:color="auto"/>
        <w:right w:val="none" w:sz="0" w:space="0" w:color="auto"/>
      </w:divBdr>
    </w:div>
    <w:div w:id="926810285">
      <w:bodyDiv w:val="1"/>
      <w:marLeft w:val="0"/>
      <w:marRight w:val="0"/>
      <w:marTop w:val="0"/>
      <w:marBottom w:val="0"/>
      <w:divBdr>
        <w:top w:val="none" w:sz="0" w:space="0" w:color="auto"/>
        <w:left w:val="none" w:sz="0" w:space="0" w:color="auto"/>
        <w:bottom w:val="none" w:sz="0" w:space="0" w:color="auto"/>
        <w:right w:val="none" w:sz="0" w:space="0" w:color="auto"/>
      </w:divBdr>
    </w:div>
    <w:div w:id="926957193">
      <w:bodyDiv w:val="1"/>
      <w:marLeft w:val="0"/>
      <w:marRight w:val="0"/>
      <w:marTop w:val="0"/>
      <w:marBottom w:val="0"/>
      <w:divBdr>
        <w:top w:val="none" w:sz="0" w:space="0" w:color="auto"/>
        <w:left w:val="none" w:sz="0" w:space="0" w:color="auto"/>
        <w:bottom w:val="none" w:sz="0" w:space="0" w:color="auto"/>
        <w:right w:val="none" w:sz="0" w:space="0" w:color="auto"/>
      </w:divBdr>
    </w:div>
    <w:div w:id="926964055">
      <w:bodyDiv w:val="1"/>
      <w:marLeft w:val="0"/>
      <w:marRight w:val="0"/>
      <w:marTop w:val="0"/>
      <w:marBottom w:val="0"/>
      <w:divBdr>
        <w:top w:val="none" w:sz="0" w:space="0" w:color="auto"/>
        <w:left w:val="none" w:sz="0" w:space="0" w:color="auto"/>
        <w:bottom w:val="none" w:sz="0" w:space="0" w:color="auto"/>
        <w:right w:val="none" w:sz="0" w:space="0" w:color="auto"/>
      </w:divBdr>
    </w:div>
    <w:div w:id="927151182">
      <w:bodyDiv w:val="1"/>
      <w:marLeft w:val="0"/>
      <w:marRight w:val="0"/>
      <w:marTop w:val="0"/>
      <w:marBottom w:val="0"/>
      <w:divBdr>
        <w:top w:val="none" w:sz="0" w:space="0" w:color="auto"/>
        <w:left w:val="none" w:sz="0" w:space="0" w:color="auto"/>
        <w:bottom w:val="none" w:sz="0" w:space="0" w:color="auto"/>
        <w:right w:val="none" w:sz="0" w:space="0" w:color="auto"/>
      </w:divBdr>
    </w:div>
    <w:div w:id="927234841">
      <w:bodyDiv w:val="1"/>
      <w:marLeft w:val="0"/>
      <w:marRight w:val="0"/>
      <w:marTop w:val="0"/>
      <w:marBottom w:val="0"/>
      <w:divBdr>
        <w:top w:val="none" w:sz="0" w:space="0" w:color="auto"/>
        <w:left w:val="none" w:sz="0" w:space="0" w:color="auto"/>
        <w:bottom w:val="none" w:sz="0" w:space="0" w:color="auto"/>
        <w:right w:val="none" w:sz="0" w:space="0" w:color="auto"/>
      </w:divBdr>
    </w:div>
    <w:div w:id="927275292">
      <w:bodyDiv w:val="1"/>
      <w:marLeft w:val="0"/>
      <w:marRight w:val="0"/>
      <w:marTop w:val="0"/>
      <w:marBottom w:val="0"/>
      <w:divBdr>
        <w:top w:val="none" w:sz="0" w:space="0" w:color="auto"/>
        <w:left w:val="none" w:sz="0" w:space="0" w:color="auto"/>
        <w:bottom w:val="none" w:sz="0" w:space="0" w:color="auto"/>
        <w:right w:val="none" w:sz="0" w:space="0" w:color="auto"/>
      </w:divBdr>
    </w:div>
    <w:div w:id="927346222">
      <w:bodyDiv w:val="1"/>
      <w:marLeft w:val="0"/>
      <w:marRight w:val="0"/>
      <w:marTop w:val="0"/>
      <w:marBottom w:val="0"/>
      <w:divBdr>
        <w:top w:val="none" w:sz="0" w:space="0" w:color="auto"/>
        <w:left w:val="none" w:sz="0" w:space="0" w:color="auto"/>
        <w:bottom w:val="none" w:sz="0" w:space="0" w:color="auto"/>
        <w:right w:val="none" w:sz="0" w:space="0" w:color="auto"/>
      </w:divBdr>
    </w:div>
    <w:div w:id="927426191">
      <w:bodyDiv w:val="1"/>
      <w:marLeft w:val="0"/>
      <w:marRight w:val="0"/>
      <w:marTop w:val="0"/>
      <w:marBottom w:val="0"/>
      <w:divBdr>
        <w:top w:val="none" w:sz="0" w:space="0" w:color="auto"/>
        <w:left w:val="none" w:sz="0" w:space="0" w:color="auto"/>
        <w:bottom w:val="none" w:sz="0" w:space="0" w:color="auto"/>
        <w:right w:val="none" w:sz="0" w:space="0" w:color="auto"/>
      </w:divBdr>
    </w:div>
    <w:div w:id="927688771">
      <w:bodyDiv w:val="1"/>
      <w:marLeft w:val="0"/>
      <w:marRight w:val="0"/>
      <w:marTop w:val="0"/>
      <w:marBottom w:val="0"/>
      <w:divBdr>
        <w:top w:val="none" w:sz="0" w:space="0" w:color="auto"/>
        <w:left w:val="none" w:sz="0" w:space="0" w:color="auto"/>
        <w:bottom w:val="none" w:sz="0" w:space="0" w:color="auto"/>
        <w:right w:val="none" w:sz="0" w:space="0" w:color="auto"/>
      </w:divBdr>
    </w:div>
    <w:div w:id="927733386">
      <w:bodyDiv w:val="1"/>
      <w:marLeft w:val="0"/>
      <w:marRight w:val="0"/>
      <w:marTop w:val="0"/>
      <w:marBottom w:val="0"/>
      <w:divBdr>
        <w:top w:val="none" w:sz="0" w:space="0" w:color="auto"/>
        <w:left w:val="none" w:sz="0" w:space="0" w:color="auto"/>
        <w:bottom w:val="none" w:sz="0" w:space="0" w:color="auto"/>
        <w:right w:val="none" w:sz="0" w:space="0" w:color="auto"/>
      </w:divBdr>
    </w:div>
    <w:div w:id="927735674">
      <w:bodyDiv w:val="1"/>
      <w:marLeft w:val="0"/>
      <w:marRight w:val="0"/>
      <w:marTop w:val="0"/>
      <w:marBottom w:val="0"/>
      <w:divBdr>
        <w:top w:val="none" w:sz="0" w:space="0" w:color="auto"/>
        <w:left w:val="none" w:sz="0" w:space="0" w:color="auto"/>
        <w:bottom w:val="none" w:sz="0" w:space="0" w:color="auto"/>
        <w:right w:val="none" w:sz="0" w:space="0" w:color="auto"/>
      </w:divBdr>
    </w:div>
    <w:div w:id="927882370">
      <w:bodyDiv w:val="1"/>
      <w:marLeft w:val="0"/>
      <w:marRight w:val="0"/>
      <w:marTop w:val="0"/>
      <w:marBottom w:val="0"/>
      <w:divBdr>
        <w:top w:val="none" w:sz="0" w:space="0" w:color="auto"/>
        <w:left w:val="none" w:sz="0" w:space="0" w:color="auto"/>
        <w:bottom w:val="none" w:sz="0" w:space="0" w:color="auto"/>
        <w:right w:val="none" w:sz="0" w:space="0" w:color="auto"/>
      </w:divBdr>
    </w:div>
    <w:div w:id="927883537">
      <w:bodyDiv w:val="1"/>
      <w:marLeft w:val="0"/>
      <w:marRight w:val="0"/>
      <w:marTop w:val="0"/>
      <w:marBottom w:val="0"/>
      <w:divBdr>
        <w:top w:val="none" w:sz="0" w:space="0" w:color="auto"/>
        <w:left w:val="none" w:sz="0" w:space="0" w:color="auto"/>
        <w:bottom w:val="none" w:sz="0" w:space="0" w:color="auto"/>
        <w:right w:val="none" w:sz="0" w:space="0" w:color="auto"/>
      </w:divBdr>
    </w:div>
    <w:div w:id="927889259">
      <w:bodyDiv w:val="1"/>
      <w:marLeft w:val="0"/>
      <w:marRight w:val="0"/>
      <w:marTop w:val="0"/>
      <w:marBottom w:val="0"/>
      <w:divBdr>
        <w:top w:val="none" w:sz="0" w:space="0" w:color="auto"/>
        <w:left w:val="none" w:sz="0" w:space="0" w:color="auto"/>
        <w:bottom w:val="none" w:sz="0" w:space="0" w:color="auto"/>
        <w:right w:val="none" w:sz="0" w:space="0" w:color="auto"/>
      </w:divBdr>
    </w:div>
    <w:div w:id="928000366">
      <w:bodyDiv w:val="1"/>
      <w:marLeft w:val="0"/>
      <w:marRight w:val="0"/>
      <w:marTop w:val="0"/>
      <w:marBottom w:val="0"/>
      <w:divBdr>
        <w:top w:val="none" w:sz="0" w:space="0" w:color="auto"/>
        <w:left w:val="none" w:sz="0" w:space="0" w:color="auto"/>
        <w:bottom w:val="none" w:sz="0" w:space="0" w:color="auto"/>
        <w:right w:val="none" w:sz="0" w:space="0" w:color="auto"/>
      </w:divBdr>
    </w:div>
    <w:div w:id="928075716">
      <w:bodyDiv w:val="1"/>
      <w:marLeft w:val="0"/>
      <w:marRight w:val="0"/>
      <w:marTop w:val="0"/>
      <w:marBottom w:val="0"/>
      <w:divBdr>
        <w:top w:val="none" w:sz="0" w:space="0" w:color="auto"/>
        <w:left w:val="none" w:sz="0" w:space="0" w:color="auto"/>
        <w:bottom w:val="none" w:sz="0" w:space="0" w:color="auto"/>
        <w:right w:val="none" w:sz="0" w:space="0" w:color="auto"/>
      </w:divBdr>
    </w:div>
    <w:div w:id="928080297">
      <w:bodyDiv w:val="1"/>
      <w:marLeft w:val="0"/>
      <w:marRight w:val="0"/>
      <w:marTop w:val="0"/>
      <w:marBottom w:val="0"/>
      <w:divBdr>
        <w:top w:val="none" w:sz="0" w:space="0" w:color="auto"/>
        <w:left w:val="none" w:sz="0" w:space="0" w:color="auto"/>
        <w:bottom w:val="none" w:sz="0" w:space="0" w:color="auto"/>
        <w:right w:val="none" w:sz="0" w:space="0" w:color="auto"/>
      </w:divBdr>
    </w:div>
    <w:div w:id="928123732">
      <w:bodyDiv w:val="1"/>
      <w:marLeft w:val="0"/>
      <w:marRight w:val="0"/>
      <w:marTop w:val="0"/>
      <w:marBottom w:val="0"/>
      <w:divBdr>
        <w:top w:val="none" w:sz="0" w:space="0" w:color="auto"/>
        <w:left w:val="none" w:sz="0" w:space="0" w:color="auto"/>
        <w:bottom w:val="none" w:sz="0" w:space="0" w:color="auto"/>
        <w:right w:val="none" w:sz="0" w:space="0" w:color="auto"/>
      </w:divBdr>
    </w:div>
    <w:div w:id="928152552">
      <w:bodyDiv w:val="1"/>
      <w:marLeft w:val="0"/>
      <w:marRight w:val="0"/>
      <w:marTop w:val="0"/>
      <w:marBottom w:val="0"/>
      <w:divBdr>
        <w:top w:val="none" w:sz="0" w:space="0" w:color="auto"/>
        <w:left w:val="none" w:sz="0" w:space="0" w:color="auto"/>
        <w:bottom w:val="none" w:sz="0" w:space="0" w:color="auto"/>
        <w:right w:val="none" w:sz="0" w:space="0" w:color="auto"/>
      </w:divBdr>
    </w:div>
    <w:div w:id="928199606">
      <w:bodyDiv w:val="1"/>
      <w:marLeft w:val="0"/>
      <w:marRight w:val="0"/>
      <w:marTop w:val="0"/>
      <w:marBottom w:val="0"/>
      <w:divBdr>
        <w:top w:val="none" w:sz="0" w:space="0" w:color="auto"/>
        <w:left w:val="none" w:sz="0" w:space="0" w:color="auto"/>
        <w:bottom w:val="none" w:sz="0" w:space="0" w:color="auto"/>
        <w:right w:val="none" w:sz="0" w:space="0" w:color="auto"/>
      </w:divBdr>
    </w:div>
    <w:div w:id="928348429">
      <w:bodyDiv w:val="1"/>
      <w:marLeft w:val="0"/>
      <w:marRight w:val="0"/>
      <w:marTop w:val="0"/>
      <w:marBottom w:val="0"/>
      <w:divBdr>
        <w:top w:val="none" w:sz="0" w:space="0" w:color="auto"/>
        <w:left w:val="none" w:sz="0" w:space="0" w:color="auto"/>
        <w:bottom w:val="none" w:sz="0" w:space="0" w:color="auto"/>
        <w:right w:val="none" w:sz="0" w:space="0" w:color="auto"/>
      </w:divBdr>
    </w:div>
    <w:div w:id="928386014">
      <w:bodyDiv w:val="1"/>
      <w:marLeft w:val="0"/>
      <w:marRight w:val="0"/>
      <w:marTop w:val="0"/>
      <w:marBottom w:val="0"/>
      <w:divBdr>
        <w:top w:val="none" w:sz="0" w:space="0" w:color="auto"/>
        <w:left w:val="none" w:sz="0" w:space="0" w:color="auto"/>
        <w:bottom w:val="none" w:sz="0" w:space="0" w:color="auto"/>
        <w:right w:val="none" w:sz="0" w:space="0" w:color="auto"/>
      </w:divBdr>
    </w:div>
    <w:div w:id="928586339">
      <w:bodyDiv w:val="1"/>
      <w:marLeft w:val="0"/>
      <w:marRight w:val="0"/>
      <w:marTop w:val="0"/>
      <w:marBottom w:val="0"/>
      <w:divBdr>
        <w:top w:val="none" w:sz="0" w:space="0" w:color="auto"/>
        <w:left w:val="none" w:sz="0" w:space="0" w:color="auto"/>
        <w:bottom w:val="none" w:sz="0" w:space="0" w:color="auto"/>
        <w:right w:val="none" w:sz="0" w:space="0" w:color="auto"/>
      </w:divBdr>
    </w:div>
    <w:div w:id="928586462">
      <w:bodyDiv w:val="1"/>
      <w:marLeft w:val="0"/>
      <w:marRight w:val="0"/>
      <w:marTop w:val="0"/>
      <w:marBottom w:val="0"/>
      <w:divBdr>
        <w:top w:val="none" w:sz="0" w:space="0" w:color="auto"/>
        <w:left w:val="none" w:sz="0" w:space="0" w:color="auto"/>
        <w:bottom w:val="none" w:sz="0" w:space="0" w:color="auto"/>
        <w:right w:val="none" w:sz="0" w:space="0" w:color="auto"/>
      </w:divBdr>
    </w:div>
    <w:div w:id="928655231">
      <w:bodyDiv w:val="1"/>
      <w:marLeft w:val="0"/>
      <w:marRight w:val="0"/>
      <w:marTop w:val="0"/>
      <w:marBottom w:val="0"/>
      <w:divBdr>
        <w:top w:val="none" w:sz="0" w:space="0" w:color="auto"/>
        <w:left w:val="none" w:sz="0" w:space="0" w:color="auto"/>
        <w:bottom w:val="none" w:sz="0" w:space="0" w:color="auto"/>
        <w:right w:val="none" w:sz="0" w:space="0" w:color="auto"/>
      </w:divBdr>
    </w:div>
    <w:div w:id="928655967">
      <w:bodyDiv w:val="1"/>
      <w:marLeft w:val="0"/>
      <w:marRight w:val="0"/>
      <w:marTop w:val="0"/>
      <w:marBottom w:val="0"/>
      <w:divBdr>
        <w:top w:val="none" w:sz="0" w:space="0" w:color="auto"/>
        <w:left w:val="none" w:sz="0" w:space="0" w:color="auto"/>
        <w:bottom w:val="none" w:sz="0" w:space="0" w:color="auto"/>
        <w:right w:val="none" w:sz="0" w:space="0" w:color="auto"/>
      </w:divBdr>
    </w:div>
    <w:div w:id="928851283">
      <w:bodyDiv w:val="1"/>
      <w:marLeft w:val="0"/>
      <w:marRight w:val="0"/>
      <w:marTop w:val="0"/>
      <w:marBottom w:val="0"/>
      <w:divBdr>
        <w:top w:val="none" w:sz="0" w:space="0" w:color="auto"/>
        <w:left w:val="none" w:sz="0" w:space="0" w:color="auto"/>
        <w:bottom w:val="none" w:sz="0" w:space="0" w:color="auto"/>
        <w:right w:val="none" w:sz="0" w:space="0" w:color="auto"/>
      </w:divBdr>
    </w:div>
    <w:div w:id="928851634">
      <w:bodyDiv w:val="1"/>
      <w:marLeft w:val="0"/>
      <w:marRight w:val="0"/>
      <w:marTop w:val="0"/>
      <w:marBottom w:val="0"/>
      <w:divBdr>
        <w:top w:val="none" w:sz="0" w:space="0" w:color="auto"/>
        <w:left w:val="none" w:sz="0" w:space="0" w:color="auto"/>
        <w:bottom w:val="none" w:sz="0" w:space="0" w:color="auto"/>
        <w:right w:val="none" w:sz="0" w:space="0" w:color="auto"/>
      </w:divBdr>
    </w:div>
    <w:div w:id="928998891">
      <w:bodyDiv w:val="1"/>
      <w:marLeft w:val="0"/>
      <w:marRight w:val="0"/>
      <w:marTop w:val="0"/>
      <w:marBottom w:val="0"/>
      <w:divBdr>
        <w:top w:val="none" w:sz="0" w:space="0" w:color="auto"/>
        <w:left w:val="none" w:sz="0" w:space="0" w:color="auto"/>
        <w:bottom w:val="none" w:sz="0" w:space="0" w:color="auto"/>
        <w:right w:val="none" w:sz="0" w:space="0" w:color="auto"/>
      </w:divBdr>
    </w:div>
    <w:div w:id="929119906">
      <w:bodyDiv w:val="1"/>
      <w:marLeft w:val="0"/>
      <w:marRight w:val="0"/>
      <w:marTop w:val="0"/>
      <w:marBottom w:val="0"/>
      <w:divBdr>
        <w:top w:val="none" w:sz="0" w:space="0" w:color="auto"/>
        <w:left w:val="none" w:sz="0" w:space="0" w:color="auto"/>
        <w:bottom w:val="none" w:sz="0" w:space="0" w:color="auto"/>
        <w:right w:val="none" w:sz="0" w:space="0" w:color="auto"/>
      </w:divBdr>
    </w:div>
    <w:div w:id="929196987">
      <w:bodyDiv w:val="1"/>
      <w:marLeft w:val="0"/>
      <w:marRight w:val="0"/>
      <w:marTop w:val="0"/>
      <w:marBottom w:val="0"/>
      <w:divBdr>
        <w:top w:val="none" w:sz="0" w:space="0" w:color="auto"/>
        <w:left w:val="none" w:sz="0" w:space="0" w:color="auto"/>
        <w:bottom w:val="none" w:sz="0" w:space="0" w:color="auto"/>
        <w:right w:val="none" w:sz="0" w:space="0" w:color="auto"/>
      </w:divBdr>
    </w:div>
    <w:div w:id="929436500">
      <w:bodyDiv w:val="1"/>
      <w:marLeft w:val="0"/>
      <w:marRight w:val="0"/>
      <w:marTop w:val="0"/>
      <w:marBottom w:val="0"/>
      <w:divBdr>
        <w:top w:val="none" w:sz="0" w:space="0" w:color="auto"/>
        <w:left w:val="none" w:sz="0" w:space="0" w:color="auto"/>
        <w:bottom w:val="none" w:sz="0" w:space="0" w:color="auto"/>
        <w:right w:val="none" w:sz="0" w:space="0" w:color="auto"/>
      </w:divBdr>
    </w:div>
    <w:div w:id="929503567">
      <w:bodyDiv w:val="1"/>
      <w:marLeft w:val="0"/>
      <w:marRight w:val="0"/>
      <w:marTop w:val="0"/>
      <w:marBottom w:val="0"/>
      <w:divBdr>
        <w:top w:val="none" w:sz="0" w:space="0" w:color="auto"/>
        <w:left w:val="none" w:sz="0" w:space="0" w:color="auto"/>
        <w:bottom w:val="none" w:sz="0" w:space="0" w:color="auto"/>
        <w:right w:val="none" w:sz="0" w:space="0" w:color="auto"/>
      </w:divBdr>
    </w:div>
    <w:div w:id="929505194">
      <w:bodyDiv w:val="1"/>
      <w:marLeft w:val="0"/>
      <w:marRight w:val="0"/>
      <w:marTop w:val="0"/>
      <w:marBottom w:val="0"/>
      <w:divBdr>
        <w:top w:val="none" w:sz="0" w:space="0" w:color="auto"/>
        <w:left w:val="none" w:sz="0" w:space="0" w:color="auto"/>
        <w:bottom w:val="none" w:sz="0" w:space="0" w:color="auto"/>
        <w:right w:val="none" w:sz="0" w:space="0" w:color="auto"/>
      </w:divBdr>
    </w:div>
    <w:div w:id="929505308">
      <w:bodyDiv w:val="1"/>
      <w:marLeft w:val="0"/>
      <w:marRight w:val="0"/>
      <w:marTop w:val="0"/>
      <w:marBottom w:val="0"/>
      <w:divBdr>
        <w:top w:val="none" w:sz="0" w:space="0" w:color="auto"/>
        <w:left w:val="none" w:sz="0" w:space="0" w:color="auto"/>
        <w:bottom w:val="none" w:sz="0" w:space="0" w:color="auto"/>
        <w:right w:val="none" w:sz="0" w:space="0" w:color="auto"/>
      </w:divBdr>
    </w:div>
    <w:div w:id="929583998">
      <w:bodyDiv w:val="1"/>
      <w:marLeft w:val="0"/>
      <w:marRight w:val="0"/>
      <w:marTop w:val="0"/>
      <w:marBottom w:val="0"/>
      <w:divBdr>
        <w:top w:val="none" w:sz="0" w:space="0" w:color="auto"/>
        <w:left w:val="none" w:sz="0" w:space="0" w:color="auto"/>
        <w:bottom w:val="none" w:sz="0" w:space="0" w:color="auto"/>
        <w:right w:val="none" w:sz="0" w:space="0" w:color="auto"/>
      </w:divBdr>
    </w:div>
    <w:div w:id="929585016">
      <w:bodyDiv w:val="1"/>
      <w:marLeft w:val="0"/>
      <w:marRight w:val="0"/>
      <w:marTop w:val="0"/>
      <w:marBottom w:val="0"/>
      <w:divBdr>
        <w:top w:val="none" w:sz="0" w:space="0" w:color="auto"/>
        <w:left w:val="none" w:sz="0" w:space="0" w:color="auto"/>
        <w:bottom w:val="none" w:sz="0" w:space="0" w:color="auto"/>
        <w:right w:val="none" w:sz="0" w:space="0" w:color="auto"/>
      </w:divBdr>
    </w:div>
    <w:div w:id="929771739">
      <w:bodyDiv w:val="1"/>
      <w:marLeft w:val="0"/>
      <w:marRight w:val="0"/>
      <w:marTop w:val="0"/>
      <w:marBottom w:val="0"/>
      <w:divBdr>
        <w:top w:val="none" w:sz="0" w:space="0" w:color="auto"/>
        <w:left w:val="none" w:sz="0" w:space="0" w:color="auto"/>
        <w:bottom w:val="none" w:sz="0" w:space="0" w:color="auto"/>
        <w:right w:val="none" w:sz="0" w:space="0" w:color="auto"/>
      </w:divBdr>
    </w:div>
    <w:div w:id="929778512">
      <w:bodyDiv w:val="1"/>
      <w:marLeft w:val="0"/>
      <w:marRight w:val="0"/>
      <w:marTop w:val="0"/>
      <w:marBottom w:val="0"/>
      <w:divBdr>
        <w:top w:val="none" w:sz="0" w:space="0" w:color="auto"/>
        <w:left w:val="none" w:sz="0" w:space="0" w:color="auto"/>
        <w:bottom w:val="none" w:sz="0" w:space="0" w:color="auto"/>
        <w:right w:val="none" w:sz="0" w:space="0" w:color="auto"/>
      </w:divBdr>
    </w:div>
    <w:div w:id="929779586">
      <w:bodyDiv w:val="1"/>
      <w:marLeft w:val="0"/>
      <w:marRight w:val="0"/>
      <w:marTop w:val="0"/>
      <w:marBottom w:val="0"/>
      <w:divBdr>
        <w:top w:val="none" w:sz="0" w:space="0" w:color="auto"/>
        <w:left w:val="none" w:sz="0" w:space="0" w:color="auto"/>
        <w:bottom w:val="none" w:sz="0" w:space="0" w:color="auto"/>
        <w:right w:val="none" w:sz="0" w:space="0" w:color="auto"/>
      </w:divBdr>
    </w:div>
    <w:div w:id="929854166">
      <w:bodyDiv w:val="1"/>
      <w:marLeft w:val="0"/>
      <w:marRight w:val="0"/>
      <w:marTop w:val="0"/>
      <w:marBottom w:val="0"/>
      <w:divBdr>
        <w:top w:val="none" w:sz="0" w:space="0" w:color="auto"/>
        <w:left w:val="none" w:sz="0" w:space="0" w:color="auto"/>
        <w:bottom w:val="none" w:sz="0" w:space="0" w:color="auto"/>
        <w:right w:val="none" w:sz="0" w:space="0" w:color="auto"/>
      </w:divBdr>
    </w:div>
    <w:div w:id="929854211">
      <w:bodyDiv w:val="1"/>
      <w:marLeft w:val="0"/>
      <w:marRight w:val="0"/>
      <w:marTop w:val="0"/>
      <w:marBottom w:val="0"/>
      <w:divBdr>
        <w:top w:val="none" w:sz="0" w:space="0" w:color="auto"/>
        <w:left w:val="none" w:sz="0" w:space="0" w:color="auto"/>
        <w:bottom w:val="none" w:sz="0" w:space="0" w:color="auto"/>
        <w:right w:val="none" w:sz="0" w:space="0" w:color="auto"/>
      </w:divBdr>
    </w:div>
    <w:div w:id="929967703">
      <w:bodyDiv w:val="1"/>
      <w:marLeft w:val="0"/>
      <w:marRight w:val="0"/>
      <w:marTop w:val="0"/>
      <w:marBottom w:val="0"/>
      <w:divBdr>
        <w:top w:val="none" w:sz="0" w:space="0" w:color="auto"/>
        <w:left w:val="none" w:sz="0" w:space="0" w:color="auto"/>
        <w:bottom w:val="none" w:sz="0" w:space="0" w:color="auto"/>
        <w:right w:val="none" w:sz="0" w:space="0" w:color="auto"/>
      </w:divBdr>
    </w:div>
    <w:div w:id="929969817">
      <w:bodyDiv w:val="1"/>
      <w:marLeft w:val="0"/>
      <w:marRight w:val="0"/>
      <w:marTop w:val="0"/>
      <w:marBottom w:val="0"/>
      <w:divBdr>
        <w:top w:val="none" w:sz="0" w:space="0" w:color="auto"/>
        <w:left w:val="none" w:sz="0" w:space="0" w:color="auto"/>
        <w:bottom w:val="none" w:sz="0" w:space="0" w:color="auto"/>
        <w:right w:val="none" w:sz="0" w:space="0" w:color="auto"/>
      </w:divBdr>
    </w:div>
    <w:div w:id="929971895">
      <w:bodyDiv w:val="1"/>
      <w:marLeft w:val="0"/>
      <w:marRight w:val="0"/>
      <w:marTop w:val="0"/>
      <w:marBottom w:val="0"/>
      <w:divBdr>
        <w:top w:val="none" w:sz="0" w:space="0" w:color="auto"/>
        <w:left w:val="none" w:sz="0" w:space="0" w:color="auto"/>
        <w:bottom w:val="none" w:sz="0" w:space="0" w:color="auto"/>
        <w:right w:val="none" w:sz="0" w:space="0" w:color="auto"/>
      </w:divBdr>
    </w:div>
    <w:div w:id="930040078">
      <w:bodyDiv w:val="1"/>
      <w:marLeft w:val="0"/>
      <w:marRight w:val="0"/>
      <w:marTop w:val="0"/>
      <w:marBottom w:val="0"/>
      <w:divBdr>
        <w:top w:val="none" w:sz="0" w:space="0" w:color="auto"/>
        <w:left w:val="none" w:sz="0" w:space="0" w:color="auto"/>
        <w:bottom w:val="none" w:sz="0" w:space="0" w:color="auto"/>
        <w:right w:val="none" w:sz="0" w:space="0" w:color="auto"/>
      </w:divBdr>
    </w:div>
    <w:div w:id="930241879">
      <w:bodyDiv w:val="1"/>
      <w:marLeft w:val="0"/>
      <w:marRight w:val="0"/>
      <w:marTop w:val="0"/>
      <w:marBottom w:val="0"/>
      <w:divBdr>
        <w:top w:val="none" w:sz="0" w:space="0" w:color="auto"/>
        <w:left w:val="none" w:sz="0" w:space="0" w:color="auto"/>
        <w:bottom w:val="none" w:sz="0" w:space="0" w:color="auto"/>
        <w:right w:val="none" w:sz="0" w:space="0" w:color="auto"/>
      </w:divBdr>
    </w:div>
    <w:div w:id="930352763">
      <w:bodyDiv w:val="1"/>
      <w:marLeft w:val="0"/>
      <w:marRight w:val="0"/>
      <w:marTop w:val="0"/>
      <w:marBottom w:val="0"/>
      <w:divBdr>
        <w:top w:val="none" w:sz="0" w:space="0" w:color="auto"/>
        <w:left w:val="none" w:sz="0" w:space="0" w:color="auto"/>
        <w:bottom w:val="none" w:sz="0" w:space="0" w:color="auto"/>
        <w:right w:val="none" w:sz="0" w:space="0" w:color="auto"/>
      </w:divBdr>
    </w:div>
    <w:div w:id="930511347">
      <w:bodyDiv w:val="1"/>
      <w:marLeft w:val="0"/>
      <w:marRight w:val="0"/>
      <w:marTop w:val="0"/>
      <w:marBottom w:val="0"/>
      <w:divBdr>
        <w:top w:val="none" w:sz="0" w:space="0" w:color="auto"/>
        <w:left w:val="none" w:sz="0" w:space="0" w:color="auto"/>
        <w:bottom w:val="none" w:sz="0" w:space="0" w:color="auto"/>
        <w:right w:val="none" w:sz="0" w:space="0" w:color="auto"/>
      </w:divBdr>
    </w:div>
    <w:div w:id="930629712">
      <w:bodyDiv w:val="1"/>
      <w:marLeft w:val="0"/>
      <w:marRight w:val="0"/>
      <w:marTop w:val="0"/>
      <w:marBottom w:val="0"/>
      <w:divBdr>
        <w:top w:val="none" w:sz="0" w:space="0" w:color="auto"/>
        <w:left w:val="none" w:sz="0" w:space="0" w:color="auto"/>
        <w:bottom w:val="none" w:sz="0" w:space="0" w:color="auto"/>
        <w:right w:val="none" w:sz="0" w:space="0" w:color="auto"/>
      </w:divBdr>
    </w:div>
    <w:div w:id="930743649">
      <w:bodyDiv w:val="1"/>
      <w:marLeft w:val="0"/>
      <w:marRight w:val="0"/>
      <w:marTop w:val="0"/>
      <w:marBottom w:val="0"/>
      <w:divBdr>
        <w:top w:val="none" w:sz="0" w:space="0" w:color="auto"/>
        <w:left w:val="none" w:sz="0" w:space="0" w:color="auto"/>
        <w:bottom w:val="none" w:sz="0" w:space="0" w:color="auto"/>
        <w:right w:val="none" w:sz="0" w:space="0" w:color="auto"/>
      </w:divBdr>
    </w:div>
    <w:div w:id="930744587">
      <w:bodyDiv w:val="1"/>
      <w:marLeft w:val="0"/>
      <w:marRight w:val="0"/>
      <w:marTop w:val="0"/>
      <w:marBottom w:val="0"/>
      <w:divBdr>
        <w:top w:val="none" w:sz="0" w:space="0" w:color="auto"/>
        <w:left w:val="none" w:sz="0" w:space="0" w:color="auto"/>
        <w:bottom w:val="none" w:sz="0" w:space="0" w:color="auto"/>
        <w:right w:val="none" w:sz="0" w:space="0" w:color="auto"/>
      </w:divBdr>
    </w:div>
    <w:div w:id="930819963">
      <w:bodyDiv w:val="1"/>
      <w:marLeft w:val="0"/>
      <w:marRight w:val="0"/>
      <w:marTop w:val="0"/>
      <w:marBottom w:val="0"/>
      <w:divBdr>
        <w:top w:val="none" w:sz="0" w:space="0" w:color="auto"/>
        <w:left w:val="none" w:sz="0" w:space="0" w:color="auto"/>
        <w:bottom w:val="none" w:sz="0" w:space="0" w:color="auto"/>
        <w:right w:val="none" w:sz="0" w:space="0" w:color="auto"/>
      </w:divBdr>
    </w:div>
    <w:div w:id="930893453">
      <w:bodyDiv w:val="1"/>
      <w:marLeft w:val="0"/>
      <w:marRight w:val="0"/>
      <w:marTop w:val="0"/>
      <w:marBottom w:val="0"/>
      <w:divBdr>
        <w:top w:val="none" w:sz="0" w:space="0" w:color="auto"/>
        <w:left w:val="none" w:sz="0" w:space="0" w:color="auto"/>
        <w:bottom w:val="none" w:sz="0" w:space="0" w:color="auto"/>
        <w:right w:val="none" w:sz="0" w:space="0" w:color="auto"/>
      </w:divBdr>
    </w:div>
    <w:div w:id="930968193">
      <w:bodyDiv w:val="1"/>
      <w:marLeft w:val="0"/>
      <w:marRight w:val="0"/>
      <w:marTop w:val="0"/>
      <w:marBottom w:val="0"/>
      <w:divBdr>
        <w:top w:val="none" w:sz="0" w:space="0" w:color="auto"/>
        <w:left w:val="none" w:sz="0" w:space="0" w:color="auto"/>
        <w:bottom w:val="none" w:sz="0" w:space="0" w:color="auto"/>
        <w:right w:val="none" w:sz="0" w:space="0" w:color="auto"/>
      </w:divBdr>
    </w:div>
    <w:div w:id="931009364">
      <w:bodyDiv w:val="1"/>
      <w:marLeft w:val="0"/>
      <w:marRight w:val="0"/>
      <w:marTop w:val="0"/>
      <w:marBottom w:val="0"/>
      <w:divBdr>
        <w:top w:val="none" w:sz="0" w:space="0" w:color="auto"/>
        <w:left w:val="none" w:sz="0" w:space="0" w:color="auto"/>
        <w:bottom w:val="none" w:sz="0" w:space="0" w:color="auto"/>
        <w:right w:val="none" w:sz="0" w:space="0" w:color="auto"/>
      </w:divBdr>
    </w:div>
    <w:div w:id="931014457">
      <w:bodyDiv w:val="1"/>
      <w:marLeft w:val="0"/>
      <w:marRight w:val="0"/>
      <w:marTop w:val="0"/>
      <w:marBottom w:val="0"/>
      <w:divBdr>
        <w:top w:val="none" w:sz="0" w:space="0" w:color="auto"/>
        <w:left w:val="none" w:sz="0" w:space="0" w:color="auto"/>
        <w:bottom w:val="none" w:sz="0" w:space="0" w:color="auto"/>
        <w:right w:val="none" w:sz="0" w:space="0" w:color="auto"/>
      </w:divBdr>
    </w:div>
    <w:div w:id="931360305">
      <w:bodyDiv w:val="1"/>
      <w:marLeft w:val="0"/>
      <w:marRight w:val="0"/>
      <w:marTop w:val="0"/>
      <w:marBottom w:val="0"/>
      <w:divBdr>
        <w:top w:val="none" w:sz="0" w:space="0" w:color="auto"/>
        <w:left w:val="none" w:sz="0" w:space="0" w:color="auto"/>
        <w:bottom w:val="none" w:sz="0" w:space="0" w:color="auto"/>
        <w:right w:val="none" w:sz="0" w:space="0" w:color="auto"/>
      </w:divBdr>
    </w:div>
    <w:div w:id="931400512">
      <w:bodyDiv w:val="1"/>
      <w:marLeft w:val="0"/>
      <w:marRight w:val="0"/>
      <w:marTop w:val="0"/>
      <w:marBottom w:val="0"/>
      <w:divBdr>
        <w:top w:val="none" w:sz="0" w:space="0" w:color="auto"/>
        <w:left w:val="none" w:sz="0" w:space="0" w:color="auto"/>
        <w:bottom w:val="none" w:sz="0" w:space="0" w:color="auto"/>
        <w:right w:val="none" w:sz="0" w:space="0" w:color="auto"/>
      </w:divBdr>
    </w:div>
    <w:div w:id="931550555">
      <w:bodyDiv w:val="1"/>
      <w:marLeft w:val="0"/>
      <w:marRight w:val="0"/>
      <w:marTop w:val="0"/>
      <w:marBottom w:val="0"/>
      <w:divBdr>
        <w:top w:val="none" w:sz="0" w:space="0" w:color="auto"/>
        <w:left w:val="none" w:sz="0" w:space="0" w:color="auto"/>
        <w:bottom w:val="none" w:sz="0" w:space="0" w:color="auto"/>
        <w:right w:val="none" w:sz="0" w:space="0" w:color="auto"/>
      </w:divBdr>
    </w:div>
    <w:div w:id="931623092">
      <w:bodyDiv w:val="1"/>
      <w:marLeft w:val="0"/>
      <w:marRight w:val="0"/>
      <w:marTop w:val="0"/>
      <w:marBottom w:val="0"/>
      <w:divBdr>
        <w:top w:val="none" w:sz="0" w:space="0" w:color="auto"/>
        <w:left w:val="none" w:sz="0" w:space="0" w:color="auto"/>
        <w:bottom w:val="none" w:sz="0" w:space="0" w:color="auto"/>
        <w:right w:val="none" w:sz="0" w:space="0" w:color="auto"/>
      </w:divBdr>
    </w:div>
    <w:div w:id="931738163">
      <w:bodyDiv w:val="1"/>
      <w:marLeft w:val="0"/>
      <w:marRight w:val="0"/>
      <w:marTop w:val="0"/>
      <w:marBottom w:val="0"/>
      <w:divBdr>
        <w:top w:val="none" w:sz="0" w:space="0" w:color="auto"/>
        <w:left w:val="none" w:sz="0" w:space="0" w:color="auto"/>
        <w:bottom w:val="none" w:sz="0" w:space="0" w:color="auto"/>
        <w:right w:val="none" w:sz="0" w:space="0" w:color="auto"/>
      </w:divBdr>
    </w:div>
    <w:div w:id="931745518">
      <w:bodyDiv w:val="1"/>
      <w:marLeft w:val="0"/>
      <w:marRight w:val="0"/>
      <w:marTop w:val="0"/>
      <w:marBottom w:val="0"/>
      <w:divBdr>
        <w:top w:val="none" w:sz="0" w:space="0" w:color="auto"/>
        <w:left w:val="none" w:sz="0" w:space="0" w:color="auto"/>
        <w:bottom w:val="none" w:sz="0" w:space="0" w:color="auto"/>
        <w:right w:val="none" w:sz="0" w:space="0" w:color="auto"/>
      </w:divBdr>
    </w:div>
    <w:div w:id="931814219">
      <w:bodyDiv w:val="1"/>
      <w:marLeft w:val="0"/>
      <w:marRight w:val="0"/>
      <w:marTop w:val="0"/>
      <w:marBottom w:val="0"/>
      <w:divBdr>
        <w:top w:val="none" w:sz="0" w:space="0" w:color="auto"/>
        <w:left w:val="none" w:sz="0" w:space="0" w:color="auto"/>
        <w:bottom w:val="none" w:sz="0" w:space="0" w:color="auto"/>
        <w:right w:val="none" w:sz="0" w:space="0" w:color="auto"/>
      </w:divBdr>
    </w:div>
    <w:div w:id="932006354">
      <w:bodyDiv w:val="1"/>
      <w:marLeft w:val="0"/>
      <w:marRight w:val="0"/>
      <w:marTop w:val="0"/>
      <w:marBottom w:val="0"/>
      <w:divBdr>
        <w:top w:val="none" w:sz="0" w:space="0" w:color="auto"/>
        <w:left w:val="none" w:sz="0" w:space="0" w:color="auto"/>
        <w:bottom w:val="none" w:sz="0" w:space="0" w:color="auto"/>
        <w:right w:val="none" w:sz="0" w:space="0" w:color="auto"/>
      </w:divBdr>
    </w:div>
    <w:div w:id="932009734">
      <w:bodyDiv w:val="1"/>
      <w:marLeft w:val="0"/>
      <w:marRight w:val="0"/>
      <w:marTop w:val="0"/>
      <w:marBottom w:val="0"/>
      <w:divBdr>
        <w:top w:val="none" w:sz="0" w:space="0" w:color="auto"/>
        <w:left w:val="none" w:sz="0" w:space="0" w:color="auto"/>
        <w:bottom w:val="none" w:sz="0" w:space="0" w:color="auto"/>
        <w:right w:val="none" w:sz="0" w:space="0" w:color="auto"/>
      </w:divBdr>
    </w:div>
    <w:div w:id="932009926">
      <w:bodyDiv w:val="1"/>
      <w:marLeft w:val="0"/>
      <w:marRight w:val="0"/>
      <w:marTop w:val="0"/>
      <w:marBottom w:val="0"/>
      <w:divBdr>
        <w:top w:val="none" w:sz="0" w:space="0" w:color="auto"/>
        <w:left w:val="none" w:sz="0" w:space="0" w:color="auto"/>
        <w:bottom w:val="none" w:sz="0" w:space="0" w:color="auto"/>
        <w:right w:val="none" w:sz="0" w:space="0" w:color="auto"/>
      </w:divBdr>
    </w:div>
    <w:div w:id="932012661">
      <w:bodyDiv w:val="1"/>
      <w:marLeft w:val="0"/>
      <w:marRight w:val="0"/>
      <w:marTop w:val="0"/>
      <w:marBottom w:val="0"/>
      <w:divBdr>
        <w:top w:val="none" w:sz="0" w:space="0" w:color="auto"/>
        <w:left w:val="none" w:sz="0" w:space="0" w:color="auto"/>
        <w:bottom w:val="none" w:sz="0" w:space="0" w:color="auto"/>
        <w:right w:val="none" w:sz="0" w:space="0" w:color="auto"/>
      </w:divBdr>
    </w:div>
    <w:div w:id="932083942">
      <w:bodyDiv w:val="1"/>
      <w:marLeft w:val="0"/>
      <w:marRight w:val="0"/>
      <w:marTop w:val="0"/>
      <w:marBottom w:val="0"/>
      <w:divBdr>
        <w:top w:val="none" w:sz="0" w:space="0" w:color="auto"/>
        <w:left w:val="none" w:sz="0" w:space="0" w:color="auto"/>
        <w:bottom w:val="none" w:sz="0" w:space="0" w:color="auto"/>
        <w:right w:val="none" w:sz="0" w:space="0" w:color="auto"/>
      </w:divBdr>
    </w:div>
    <w:div w:id="932130800">
      <w:bodyDiv w:val="1"/>
      <w:marLeft w:val="0"/>
      <w:marRight w:val="0"/>
      <w:marTop w:val="0"/>
      <w:marBottom w:val="0"/>
      <w:divBdr>
        <w:top w:val="none" w:sz="0" w:space="0" w:color="auto"/>
        <w:left w:val="none" w:sz="0" w:space="0" w:color="auto"/>
        <w:bottom w:val="none" w:sz="0" w:space="0" w:color="auto"/>
        <w:right w:val="none" w:sz="0" w:space="0" w:color="auto"/>
      </w:divBdr>
    </w:div>
    <w:div w:id="932207639">
      <w:bodyDiv w:val="1"/>
      <w:marLeft w:val="0"/>
      <w:marRight w:val="0"/>
      <w:marTop w:val="0"/>
      <w:marBottom w:val="0"/>
      <w:divBdr>
        <w:top w:val="none" w:sz="0" w:space="0" w:color="auto"/>
        <w:left w:val="none" w:sz="0" w:space="0" w:color="auto"/>
        <w:bottom w:val="none" w:sz="0" w:space="0" w:color="auto"/>
        <w:right w:val="none" w:sz="0" w:space="0" w:color="auto"/>
      </w:divBdr>
    </w:div>
    <w:div w:id="932207735">
      <w:bodyDiv w:val="1"/>
      <w:marLeft w:val="0"/>
      <w:marRight w:val="0"/>
      <w:marTop w:val="0"/>
      <w:marBottom w:val="0"/>
      <w:divBdr>
        <w:top w:val="none" w:sz="0" w:space="0" w:color="auto"/>
        <w:left w:val="none" w:sz="0" w:space="0" w:color="auto"/>
        <w:bottom w:val="none" w:sz="0" w:space="0" w:color="auto"/>
        <w:right w:val="none" w:sz="0" w:space="0" w:color="auto"/>
      </w:divBdr>
    </w:div>
    <w:div w:id="932281626">
      <w:bodyDiv w:val="1"/>
      <w:marLeft w:val="0"/>
      <w:marRight w:val="0"/>
      <w:marTop w:val="0"/>
      <w:marBottom w:val="0"/>
      <w:divBdr>
        <w:top w:val="none" w:sz="0" w:space="0" w:color="auto"/>
        <w:left w:val="none" w:sz="0" w:space="0" w:color="auto"/>
        <w:bottom w:val="none" w:sz="0" w:space="0" w:color="auto"/>
        <w:right w:val="none" w:sz="0" w:space="0" w:color="auto"/>
      </w:divBdr>
    </w:div>
    <w:div w:id="932317332">
      <w:bodyDiv w:val="1"/>
      <w:marLeft w:val="0"/>
      <w:marRight w:val="0"/>
      <w:marTop w:val="0"/>
      <w:marBottom w:val="0"/>
      <w:divBdr>
        <w:top w:val="none" w:sz="0" w:space="0" w:color="auto"/>
        <w:left w:val="none" w:sz="0" w:space="0" w:color="auto"/>
        <w:bottom w:val="none" w:sz="0" w:space="0" w:color="auto"/>
        <w:right w:val="none" w:sz="0" w:space="0" w:color="auto"/>
      </w:divBdr>
    </w:div>
    <w:div w:id="932401490">
      <w:bodyDiv w:val="1"/>
      <w:marLeft w:val="0"/>
      <w:marRight w:val="0"/>
      <w:marTop w:val="0"/>
      <w:marBottom w:val="0"/>
      <w:divBdr>
        <w:top w:val="none" w:sz="0" w:space="0" w:color="auto"/>
        <w:left w:val="none" w:sz="0" w:space="0" w:color="auto"/>
        <w:bottom w:val="none" w:sz="0" w:space="0" w:color="auto"/>
        <w:right w:val="none" w:sz="0" w:space="0" w:color="auto"/>
      </w:divBdr>
    </w:div>
    <w:div w:id="932662797">
      <w:bodyDiv w:val="1"/>
      <w:marLeft w:val="0"/>
      <w:marRight w:val="0"/>
      <w:marTop w:val="0"/>
      <w:marBottom w:val="0"/>
      <w:divBdr>
        <w:top w:val="none" w:sz="0" w:space="0" w:color="auto"/>
        <w:left w:val="none" w:sz="0" w:space="0" w:color="auto"/>
        <w:bottom w:val="none" w:sz="0" w:space="0" w:color="auto"/>
        <w:right w:val="none" w:sz="0" w:space="0" w:color="auto"/>
      </w:divBdr>
    </w:div>
    <w:div w:id="932667281">
      <w:bodyDiv w:val="1"/>
      <w:marLeft w:val="0"/>
      <w:marRight w:val="0"/>
      <w:marTop w:val="0"/>
      <w:marBottom w:val="0"/>
      <w:divBdr>
        <w:top w:val="none" w:sz="0" w:space="0" w:color="auto"/>
        <w:left w:val="none" w:sz="0" w:space="0" w:color="auto"/>
        <w:bottom w:val="none" w:sz="0" w:space="0" w:color="auto"/>
        <w:right w:val="none" w:sz="0" w:space="0" w:color="auto"/>
      </w:divBdr>
    </w:div>
    <w:div w:id="932936430">
      <w:bodyDiv w:val="1"/>
      <w:marLeft w:val="0"/>
      <w:marRight w:val="0"/>
      <w:marTop w:val="0"/>
      <w:marBottom w:val="0"/>
      <w:divBdr>
        <w:top w:val="none" w:sz="0" w:space="0" w:color="auto"/>
        <w:left w:val="none" w:sz="0" w:space="0" w:color="auto"/>
        <w:bottom w:val="none" w:sz="0" w:space="0" w:color="auto"/>
        <w:right w:val="none" w:sz="0" w:space="0" w:color="auto"/>
      </w:divBdr>
    </w:div>
    <w:div w:id="933049374">
      <w:bodyDiv w:val="1"/>
      <w:marLeft w:val="0"/>
      <w:marRight w:val="0"/>
      <w:marTop w:val="0"/>
      <w:marBottom w:val="0"/>
      <w:divBdr>
        <w:top w:val="none" w:sz="0" w:space="0" w:color="auto"/>
        <w:left w:val="none" w:sz="0" w:space="0" w:color="auto"/>
        <w:bottom w:val="none" w:sz="0" w:space="0" w:color="auto"/>
        <w:right w:val="none" w:sz="0" w:space="0" w:color="auto"/>
      </w:divBdr>
    </w:div>
    <w:div w:id="933129056">
      <w:bodyDiv w:val="1"/>
      <w:marLeft w:val="0"/>
      <w:marRight w:val="0"/>
      <w:marTop w:val="0"/>
      <w:marBottom w:val="0"/>
      <w:divBdr>
        <w:top w:val="none" w:sz="0" w:space="0" w:color="auto"/>
        <w:left w:val="none" w:sz="0" w:space="0" w:color="auto"/>
        <w:bottom w:val="none" w:sz="0" w:space="0" w:color="auto"/>
        <w:right w:val="none" w:sz="0" w:space="0" w:color="auto"/>
      </w:divBdr>
    </w:div>
    <w:div w:id="933169216">
      <w:bodyDiv w:val="1"/>
      <w:marLeft w:val="0"/>
      <w:marRight w:val="0"/>
      <w:marTop w:val="0"/>
      <w:marBottom w:val="0"/>
      <w:divBdr>
        <w:top w:val="none" w:sz="0" w:space="0" w:color="auto"/>
        <w:left w:val="none" w:sz="0" w:space="0" w:color="auto"/>
        <w:bottom w:val="none" w:sz="0" w:space="0" w:color="auto"/>
        <w:right w:val="none" w:sz="0" w:space="0" w:color="auto"/>
      </w:divBdr>
    </w:div>
    <w:div w:id="933174237">
      <w:bodyDiv w:val="1"/>
      <w:marLeft w:val="0"/>
      <w:marRight w:val="0"/>
      <w:marTop w:val="0"/>
      <w:marBottom w:val="0"/>
      <w:divBdr>
        <w:top w:val="none" w:sz="0" w:space="0" w:color="auto"/>
        <w:left w:val="none" w:sz="0" w:space="0" w:color="auto"/>
        <w:bottom w:val="none" w:sz="0" w:space="0" w:color="auto"/>
        <w:right w:val="none" w:sz="0" w:space="0" w:color="auto"/>
      </w:divBdr>
    </w:div>
    <w:div w:id="933246666">
      <w:bodyDiv w:val="1"/>
      <w:marLeft w:val="0"/>
      <w:marRight w:val="0"/>
      <w:marTop w:val="0"/>
      <w:marBottom w:val="0"/>
      <w:divBdr>
        <w:top w:val="none" w:sz="0" w:space="0" w:color="auto"/>
        <w:left w:val="none" w:sz="0" w:space="0" w:color="auto"/>
        <w:bottom w:val="none" w:sz="0" w:space="0" w:color="auto"/>
        <w:right w:val="none" w:sz="0" w:space="0" w:color="auto"/>
      </w:divBdr>
    </w:div>
    <w:div w:id="933249967">
      <w:bodyDiv w:val="1"/>
      <w:marLeft w:val="0"/>
      <w:marRight w:val="0"/>
      <w:marTop w:val="0"/>
      <w:marBottom w:val="0"/>
      <w:divBdr>
        <w:top w:val="none" w:sz="0" w:space="0" w:color="auto"/>
        <w:left w:val="none" w:sz="0" w:space="0" w:color="auto"/>
        <w:bottom w:val="none" w:sz="0" w:space="0" w:color="auto"/>
        <w:right w:val="none" w:sz="0" w:space="0" w:color="auto"/>
      </w:divBdr>
    </w:div>
    <w:div w:id="933250730">
      <w:bodyDiv w:val="1"/>
      <w:marLeft w:val="0"/>
      <w:marRight w:val="0"/>
      <w:marTop w:val="0"/>
      <w:marBottom w:val="0"/>
      <w:divBdr>
        <w:top w:val="none" w:sz="0" w:space="0" w:color="auto"/>
        <w:left w:val="none" w:sz="0" w:space="0" w:color="auto"/>
        <w:bottom w:val="none" w:sz="0" w:space="0" w:color="auto"/>
        <w:right w:val="none" w:sz="0" w:space="0" w:color="auto"/>
      </w:divBdr>
    </w:div>
    <w:div w:id="933365611">
      <w:bodyDiv w:val="1"/>
      <w:marLeft w:val="0"/>
      <w:marRight w:val="0"/>
      <w:marTop w:val="0"/>
      <w:marBottom w:val="0"/>
      <w:divBdr>
        <w:top w:val="none" w:sz="0" w:space="0" w:color="auto"/>
        <w:left w:val="none" w:sz="0" w:space="0" w:color="auto"/>
        <w:bottom w:val="none" w:sz="0" w:space="0" w:color="auto"/>
        <w:right w:val="none" w:sz="0" w:space="0" w:color="auto"/>
      </w:divBdr>
    </w:div>
    <w:div w:id="933510109">
      <w:bodyDiv w:val="1"/>
      <w:marLeft w:val="0"/>
      <w:marRight w:val="0"/>
      <w:marTop w:val="0"/>
      <w:marBottom w:val="0"/>
      <w:divBdr>
        <w:top w:val="none" w:sz="0" w:space="0" w:color="auto"/>
        <w:left w:val="none" w:sz="0" w:space="0" w:color="auto"/>
        <w:bottom w:val="none" w:sz="0" w:space="0" w:color="auto"/>
        <w:right w:val="none" w:sz="0" w:space="0" w:color="auto"/>
      </w:divBdr>
    </w:div>
    <w:div w:id="933783507">
      <w:bodyDiv w:val="1"/>
      <w:marLeft w:val="0"/>
      <w:marRight w:val="0"/>
      <w:marTop w:val="0"/>
      <w:marBottom w:val="0"/>
      <w:divBdr>
        <w:top w:val="none" w:sz="0" w:space="0" w:color="auto"/>
        <w:left w:val="none" w:sz="0" w:space="0" w:color="auto"/>
        <w:bottom w:val="none" w:sz="0" w:space="0" w:color="auto"/>
        <w:right w:val="none" w:sz="0" w:space="0" w:color="auto"/>
      </w:divBdr>
    </w:div>
    <w:div w:id="933825654">
      <w:bodyDiv w:val="1"/>
      <w:marLeft w:val="0"/>
      <w:marRight w:val="0"/>
      <w:marTop w:val="0"/>
      <w:marBottom w:val="0"/>
      <w:divBdr>
        <w:top w:val="none" w:sz="0" w:space="0" w:color="auto"/>
        <w:left w:val="none" w:sz="0" w:space="0" w:color="auto"/>
        <w:bottom w:val="none" w:sz="0" w:space="0" w:color="auto"/>
        <w:right w:val="none" w:sz="0" w:space="0" w:color="auto"/>
      </w:divBdr>
    </w:div>
    <w:div w:id="933827515">
      <w:bodyDiv w:val="1"/>
      <w:marLeft w:val="0"/>
      <w:marRight w:val="0"/>
      <w:marTop w:val="0"/>
      <w:marBottom w:val="0"/>
      <w:divBdr>
        <w:top w:val="none" w:sz="0" w:space="0" w:color="auto"/>
        <w:left w:val="none" w:sz="0" w:space="0" w:color="auto"/>
        <w:bottom w:val="none" w:sz="0" w:space="0" w:color="auto"/>
        <w:right w:val="none" w:sz="0" w:space="0" w:color="auto"/>
      </w:divBdr>
    </w:div>
    <w:div w:id="933901507">
      <w:bodyDiv w:val="1"/>
      <w:marLeft w:val="0"/>
      <w:marRight w:val="0"/>
      <w:marTop w:val="0"/>
      <w:marBottom w:val="0"/>
      <w:divBdr>
        <w:top w:val="none" w:sz="0" w:space="0" w:color="auto"/>
        <w:left w:val="none" w:sz="0" w:space="0" w:color="auto"/>
        <w:bottom w:val="none" w:sz="0" w:space="0" w:color="auto"/>
        <w:right w:val="none" w:sz="0" w:space="0" w:color="auto"/>
      </w:divBdr>
    </w:div>
    <w:div w:id="934167273">
      <w:bodyDiv w:val="1"/>
      <w:marLeft w:val="0"/>
      <w:marRight w:val="0"/>
      <w:marTop w:val="0"/>
      <w:marBottom w:val="0"/>
      <w:divBdr>
        <w:top w:val="none" w:sz="0" w:space="0" w:color="auto"/>
        <w:left w:val="none" w:sz="0" w:space="0" w:color="auto"/>
        <w:bottom w:val="none" w:sz="0" w:space="0" w:color="auto"/>
        <w:right w:val="none" w:sz="0" w:space="0" w:color="auto"/>
      </w:divBdr>
    </w:div>
    <w:div w:id="934284903">
      <w:bodyDiv w:val="1"/>
      <w:marLeft w:val="0"/>
      <w:marRight w:val="0"/>
      <w:marTop w:val="0"/>
      <w:marBottom w:val="0"/>
      <w:divBdr>
        <w:top w:val="none" w:sz="0" w:space="0" w:color="auto"/>
        <w:left w:val="none" w:sz="0" w:space="0" w:color="auto"/>
        <w:bottom w:val="none" w:sz="0" w:space="0" w:color="auto"/>
        <w:right w:val="none" w:sz="0" w:space="0" w:color="auto"/>
      </w:divBdr>
    </w:div>
    <w:div w:id="934285269">
      <w:bodyDiv w:val="1"/>
      <w:marLeft w:val="0"/>
      <w:marRight w:val="0"/>
      <w:marTop w:val="0"/>
      <w:marBottom w:val="0"/>
      <w:divBdr>
        <w:top w:val="none" w:sz="0" w:space="0" w:color="auto"/>
        <w:left w:val="none" w:sz="0" w:space="0" w:color="auto"/>
        <w:bottom w:val="none" w:sz="0" w:space="0" w:color="auto"/>
        <w:right w:val="none" w:sz="0" w:space="0" w:color="auto"/>
      </w:divBdr>
    </w:div>
    <w:div w:id="934484677">
      <w:bodyDiv w:val="1"/>
      <w:marLeft w:val="0"/>
      <w:marRight w:val="0"/>
      <w:marTop w:val="0"/>
      <w:marBottom w:val="0"/>
      <w:divBdr>
        <w:top w:val="none" w:sz="0" w:space="0" w:color="auto"/>
        <w:left w:val="none" w:sz="0" w:space="0" w:color="auto"/>
        <w:bottom w:val="none" w:sz="0" w:space="0" w:color="auto"/>
        <w:right w:val="none" w:sz="0" w:space="0" w:color="auto"/>
      </w:divBdr>
    </w:div>
    <w:div w:id="934627014">
      <w:bodyDiv w:val="1"/>
      <w:marLeft w:val="0"/>
      <w:marRight w:val="0"/>
      <w:marTop w:val="0"/>
      <w:marBottom w:val="0"/>
      <w:divBdr>
        <w:top w:val="none" w:sz="0" w:space="0" w:color="auto"/>
        <w:left w:val="none" w:sz="0" w:space="0" w:color="auto"/>
        <w:bottom w:val="none" w:sz="0" w:space="0" w:color="auto"/>
        <w:right w:val="none" w:sz="0" w:space="0" w:color="auto"/>
      </w:divBdr>
    </w:div>
    <w:div w:id="934706652">
      <w:bodyDiv w:val="1"/>
      <w:marLeft w:val="0"/>
      <w:marRight w:val="0"/>
      <w:marTop w:val="0"/>
      <w:marBottom w:val="0"/>
      <w:divBdr>
        <w:top w:val="none" w:sz="0" w:space="0" w:color="auto"/>
        <w:left w:val="none" w:sz="0" w:space="0" w:color="auto"/>
        <w:bottom w:val="none" w:sz="0" w:space="0" w:color="auto"/>
        <w:right w:val="none" w:sz="0" w:space="0" w:color="auto"/>
      </w:divBdr>
    </w:div>
    <w:div w:id="934821590">
      <w:bodyDiv w:val="1"/>
      <w:marLeft w:val="0"/>
      <w:marRight w:val="0"/>
      <w:marTop w:val="0"/>
      <w:marBottom w:val="0"/>
      <w:divBdr>
        <w:top w:val="none" w:sz="0" w:space="0" w:color="auto"/>
        <w:left w:val="none" w:sz="0" w:space="0" w:color="auto"/>
        <w:bottom w:val="none" w:sz="0" w:space="0" w:color="auto"/>
        <w:right w:val="none" w:sz="0" w:space="0" w:color="auto"/>
      </w:divBdr>
    </w:div>
    <w:div w:id="934828103">
      <w:bodyDiv w:val="1"/>
      <w:marLeft w:val="0"/>
      <w:marRight w:val="0"/>
      <w:marTop w:val="0"/>
      <w:marBottom w:val="0"/>
      <w:divBdr>
        <w:top w:val="none" w:sz="0" w:space="0" w:color="auto"/>
        <w:left w:val="none" w:sz="0" w:space="0" w:color="auto"/>
        <w:bottom w:val="none" w:sz="0" w:space="0" w:color="auto"/>
        <w:right w:val="none" w:sz="0" w:space="0" w:color="auto"/>
      </w:divBdr>
    </w:div>
    <w:div w:id="934896507">
      <w:bodyDiv w:val="1"/>
      <w:marLeft w:val="0"/>
      <w:marRight w:val="0"/>
      <w:marTop w:val="0"/>
      <w:marBottom w:val="0"/>
      <w:divBdr>
        <w:top w:val="none" w:sz="0" w:space="0" w:color="auto"/>
        <w:left w:val="none" w:sz="0" w:space="0" w:color="auto"/>
        <w:bottom w:val="none" w:sz="0" w:space="0" w:color="auto"/>
        <w:right w:val="none" w:sz="0" w:space="0" w:color="auto"/>
      </w:divBdr>
    </w:div>
    <w:div w:id="934896549">
      <w:bodyDiv w:val="1"/>
      <w:marLeft w:val="0"/>
      <w:marRight w:val="0"/>
      <w:marTop w:val="0"/>
      <w:marBottom w:val="0"/>
      <w:divBdr>
        <w:top w:val="none" w:sz="0" w:space="0" w:color="auto"/>
        <w:left w:val="none" w:sz="0" w:space="0" w:color="auto"/>
        <w:bottom w:val="none" w:sz="0" w:space="0" w:color="auto"/>
        <w:right w:val="none" w:sz="0" w:space="0" w:color="auto"/>
      </w:divBdr>
    </w:div>
    <w:div w:id="934899687">
      <w:bodyDiv w:val="1"/>
      <w:marLeft w:val="0"/>
      <w:marRight w:val="0"/>
      <w:marTop w:val="0"/>
      <w:marBottom w:val="0"/>
      <w:divBdr>
        <w:top w:val="none" w:sz="0" w:space="0" w:color="auto"/>
        <w:left w:val="none" w:sz="0" w:space="0" w:color="auto"/>
        <w:bottom w:val="none" w:sz="0" w:space="0" w:color="auto"/>
        <w:right w:val="none" w:sz="0" w:space="0" w:color="auto"/>
      </w:divBdr>
    </w:div>
    <w:div w:id="934941126">
      <w:bodyDiv w:val="1"/>
      <w:marLeft w:val="0"/>
      <w:marRight w:val="0"/>
      <w:marTop w:val="0"/>
      <w:marBottom w:val="0"/>
      <w:divBdr>
        <w:top w:val="none" w:sz="0" w:space="0" w:color="auto"/>
        <w:left w:val="none" w:sz="0" w:space="0" w:color="auto"/>
        <w:bottom w:val="none" w:sz="0" w:space="0" w:color="auto"/>
        <w:right w:val="none" w:sz="0" w:space="0" w:color="auto"/>
      </w:divBdr>
    </w:div>
    <w:div w:id="935094028">
      <w:bodyDiv w:val="1"/>
      <w:marLeft w:val="0"/>
      <w:marRight w:val="0"/>
      <w:marTop w:val="0"/>
      <w:marBottom w:val="0"/>
      <w:divBdr>
        <w:top w:val="none" w:sz="0" w:space="0" w:color="auto"/>
        <w:left w:val="none" w:sz="0" w:space="0" w:color="auto"/>
        <w:bottom w:val="none" w:sz="0" w:space="0" w:color="auto"/>
        <w:right w:val="none" w:sz="0" w:space="0" w:color="auto"/>
      </w:divBdr>
    </w:div>
    <w:div w:id="935165480">
      <w:bodyDiv w:val="1"/>
      <w:marLeft w:val="0"/>
      <w:marRight w:val="0"/>
      <w:marTop w:val="0"/>
      <w:marBottom w:val="0"/>
      <w:divBdr>
        <w:top w:val="none" w:sz="0" w:space="0" w:color="auto"/>
        <w:left w:val="none" w:sz="0" w:space="0" w:color="auto"/>
        <w:bottom w:val="none" w:sz="0" w:space="0" w:color="auto"/>
        <w:right w:val="none" w:sz="0" w:space="0" w:color="auto"/>
      </w:divBdr>
    </w:div>
    <w:div w:id="935289011">
      <w:bodyDiv w:val="1"/>
      <w:marLeft w:val="0"/>
      <w:marRight w:val="0"/>
      <w:marTop w:val="0"/>
      <w:marBottom w:val="0"/>
      <w:divBdr>
        <w:top w:val="none" w:sz="0" w:space="0" w:color="auto"/>
        <w:left w:val="none" w:sz="0" w:space="0" w:color="auto"/>
        <w:bottom w:val="none" w:sz="0" w:space="0" w:color="auto"/>
        <w:right w:val="none" w:sz="0" w:space="0" w:color="auto"/>
      </w:divBdr>
    </w:div>
    <w:div w:id="935593890">
      <w:bodyDiv w:val="1"/>
      <w:marLeft w:val="0"/>
      <w:marRight w:val="0"/>
      <w:marTop w:val="0"/>
      <w:marBottom w:val="0"/>
      <w:divBdr>
        <w:top w:val="none" w:sz="0" w:space="0" w:color="auto"/>
        <w:left w:val="none" w:sz="0" w:space="0" w:color="auto"/>
        <w:bottom w:val="none" w:sz="0" w:space="0" w:color="auto"/>
        <w:right w:val="none" w:sz="0" w:space="0" w:color="auto"/>
      </w:divBdr>
    </w:div>
    <w:div w:id="935673597">
      <w:bodyDiv w:val="1"/>
      <w:marLeft w:val="0"/>
      <w:marRight w:val="0"/>
      <w:marTop w:val="0"/>
      <w:marBottom w:val="0"/>
      <w:divBdr>
        <w:top w:val="none" w:sz="0" w:space="0" w:color="auto"/>
        <w:left w:val="none" w:sz="0" w:space="0" w:color="auto"/>
        <w:bottom w:val="none" w:sz="0" w:space="0" w:color="auto"/>
        <w:right w:val="none" w:sz="0" w:space="0" w:color="auto"/>
      </w:divBdr>
    </w:div>
    <w:div w:id="935675729">
      <w:bodyDiv w:val="1"/>
      <w:marLeft w:val="0"/>
      <w:marRight w:val="0"/>
      <w:marTop w:val="0"/>
      <w:marBottom w:val="0"/>
      <w:divBdr>
        <w:top w:val="none" w:sz="0" w:space="0" w:color="auto"/>
        <w:left w:val="none" w:sz="0" w:space="0" w:color="auto"/>
        <w:bottom w:val="none" w:sz="0" w:space="0" w:color="auto"/>
        <w:right w:val="none" w:sz="0" w:space="0" w:color="auto"/>
      </w:divBdr>
    </w:div>
    <w:div w:id="935746275">
      <w:bodyDiv w:val="1"/>
      <w:marLeft w:val="0"/>
      <w:marRight w:val="0"/>
      <w:marTop w:val="0"/>
      <w:marBottom w:val="0"/>
      <w:divBdr>
        <w:top w:val="none" w:sz="0" w:space="0" w:color="auto"/>
        <w:left w:val="none" w:sz="0" w:space="0" w:color="auto"/>
        <w:bottom w:val="none" w:sz="0" w:space="0" w:color="auto"/>
        <w:right w:val="none" w:sz="0" w:space="0" w:color="auto"/>
      </w:divBdr>
    </w:div>
    <w:div w:id="935752431">
      <w:bodyDiv w:val="1"/>
      <w:marLeft w:val="0"/>
      <w:marRight w:val="0"/>
      <w:marTop w:val="0"/>
      <w:marBottom w:val="0"/>
      <w:divBdr>
        <w:top w:val="none" w:sz="0" w:space="0" w:color="auto"/>
        <w:left w:val="none" w:sz="0" w:space="0" w:color="auto"/>
        <w:bottom w:val="none" w:sz="0" w:space="0" w:color="auto"/>
        <w:right w:val="none" w:sz="0" w:space="0" w:color="auto"/>
      </w:divBdr>
    </w:div>
    <w:div w:id="935789716">
      <w:bodyDiv w:val="1"/>
      <w:marLeft w:val="0"/>
      <w:marRight w:val="0"/>
      <w:marTop w:val="0"/>
      <w:marBottom w:val="0"/>
      <w:divBdr>
        <w:top w:val="none" w:sz="0" w:space="0" w:color="auto"/>
        <w:left w:val="none" w:sz="0" w:space="0" w:color="auto"/>
        <w:bottom w:val="none" w:sz="0" w:space="0" w:color="auto"/>
        <w:right w:val="none" w:sz="0" w:space="0" w:color="auto"/>
      </w:divBdr>
    </w:div>
    <w:div w:id="936136059">
      <w:bodyDiv w:val="1"/>
      <w:marLeft w:val="0"/>
      <w:marRight w:val="0"/>
      <w:marTop w:val="0"/>
      <w:marBottom w:val="0"/>
      <w:divBdr>
        <w:top w:val="none" w:sz="0" w:space="0" w:color="auto"/>
        <w:left w:val="none" w:sz="0" w:space="0" w:color="auto"/>
        <w:bottom w:val="none" w:sz="0" w:space="0" w:color="auto"/>
        <w:right w:val="none" w:sz="0" w:space="0" w:color="auto"/>
      </w:divBdr>
    </w:div>
    <w:div w:id="936136135">
      <w:bodyDiv w:val="1"/>
      <w:marLeft w:val="0"/>
      <w:marRight w:val="0"/>
      <w:marTop w:val="0"/>
      <w:marBottom w:val="0"/>
      <w:divBdr>
        <w:top w:val="none" w:sz="0" w:space="0" w:color="auto"/>
        <w:left w:val="none" w:sz="0" w:space="0" w:color="auto"/>
        <w:bottom w:val="none" w:sz="0" w:space="0" w:color="auto"/>
        <w:right w:val="none" w:sz="0" w:space="0" w:color="auto"/>
      </w:divBdr>
    </w:div>
    <w:div w:id="936207129">
      <w:bodyDiv w:val="1"/>
      <w:marLeft w:val="0"/>
      <w:marRight w:val="0"/>
      <w:marTop w:val="0"/>
      <w:marBottom w:val="0"/>
      <w:divBdr>
        <w:top w:val="none" w:sz="0" w:space="0" w:color="auto"/>
        <w:left w:val="none" w:sz="0" w:space="0" w:color="auto"/>
        <w:bottom w:val="none" w:sz="0" w:space="0" w:color="auto"/>
        <w:right w:val="none" w:sz="0" w:space="0" w:color="auto"/>
      </w:divBdr>
    </w:div>
    <w:div w:id="936208785">
      <w:bodyDiv w:val="1"/>
      <w:marLeft w:val="0"/>
      <w:marRight w:val="0"/>
      <w:marTop w:val="0"/>
      <w:marBottom w:val="0"/>
      <w:divBdr>
        <w:top w:val="none" w:sz="0" w:space="0" w:color="auto"/>
        <w:left w:val="none" w:sz="0" w:space="0" w:color="auto"/>
        <w:bottom w:val="none" w:sz="0" w:space="0" w:color="auto"/>
        <w:right w:val="none" w:sz="0" w:space="0" w:color="auto"/>
      </w:divBdr>
    </w:div>
    <w:div w:id="936213828">
      <w:bodyDiv w:val="1"/>
      <w:marLeft w:val="0"/>
      <w:marRight w:val="0"/>
      <w:marTop w:val="0"/>
      <w:marBottom w:val="0"/>
      <w:divBdr>
        <w:top w:val="none" w:sz="0" w:space="0" w:color="auto"/>
        <w:left w:val="none" w:sz="0" w:space="0" w:color="auto"/>
        <w:bottom w:val="none" w:sz="0" w:space="0" w:color="auto"/>
        <w:right w:val="none" w:sz="0" w:space="0" w:color="auto"/>
      </w:divBdr>
    </w:div>
    <w:div w:id="936251476">
      <w:bodyDiv w:val="1"/>
      <w:marLeft w:val="0"/>
      <w:marRight w:val="0"/>
      <w:marTop w:val="0"/>
      <w:marBottom w:val="0"/>
      <w:divBdr>
        <w:top w:val="none" w:sz="0" w:space="0" w:color="auto"/>
        <w:left w:val="none" w:sz="0" w:space="0" w:color="auto"/>
        <w:bottom w:val="none" w:sz="0" w:space="0" w:color="auto"/>
        <w:right w:val="none" w:sz="0" w:space="0" w:color="auto"/>
      </w:divBdr>
    </w:div>
    <w:div w:id="936252425">
      <w:bodyDiv w:val="1"/>
      <w:marLeft w:val="0"/>
      <w:marRight w:val="0"/>
      <w:marTop w:val="0"/>
      <w:marBottom w:val="0"/>
      <w:divBdr>
        <w:top w:val="none" w:sz="0" w:space="0" w:color="auto"/>
        <w:left w:val="none" w:sz="0" w:space="0" w:color="auto"/>
        <w:bottom w:val="none" w:sz="0" w:space="0" w:color="auto"/>
        <w:right w:val="none" w:sz="0" w:space="0" w:color="auto"/>
      </w:divBdr>
    </w:div>
    <w:div w:id="936255174">
      <w:bodyDiv w:val="1"/>
      <w:marLeft w:val="0"/>
      <w:marRight w:val="0"/>
      <w:marTop w:val="0"/>
      <w:marBottom w:val="0"/>
      <w:divBdr>
        <w:top w:val="none" w:sz="0" w:space="0" w:color="auto"/>
        <w:left w:val="none" w:sz="0" w:space="0" w:color="auto"/>
        <w:bottom w:val="none" w:sz="0" w:space="0" w:color="auto"/>
        <w:right w:val="none" w:sz="0" w:space="0" w:color="auto"/>
      </w:divBdr>
    </w:div>
    <w:div w:id="936326093">
      <w:bodyDiv w:val="1"/>
      <w:marLeft w:val="0"/>
      <w:marRight w:val="0"/>
      <w:marTop w:val="0"/>
      <w:marBottom w:val="0"/>
      <w:divBdr>
        <w:top w:val="none" w:sz="0" w:space="0" w:color="auto"/>
        <w:left w:val="none" w:sz="0" w:space="0" w:color="auto"/>
        <w:bottom w:val="none" w:sz="0" w:space="0" w:color="auto"/>
        <w:right w:val="none" w:sz="0" w:space="0" w:color="auto"/>
      </w:divBdr>
    </w:div>
    <w:div w:id="936332826">
      <w:bodyDiv w:val="1"/>
      <w:marLeft w:val="0"/>
      <w:marRight w:val="0"/>
      <w:marTop w:val="0"/>
      <w:marBottom w:val="0"/>
      <w:divBdr>
        <w:top w:val="none" w:sz="0" w:space="0" w:color="auto"/>
        <w:left w:val="none" w:sz="0" w:space="0" w:color="auto"/>
        <w:bottom w:val="none" w:sz="0" w:space="0" w:color="auto"/>
        <w:right w:val="none" w:sz="0" w:space="0" w:color="auto"/>
      </w:divBdr>
    </w:div>
    <w:div w:id="936403771">
      <w:bodyDiv w:val="1"/>
      <w:marLeft w:val="0"/>
      <w:marRight w:val="0"/>
      <w:marTop w:val="0"/>
      <w:marBottom w:val="0"/>
      <w:divBdr>
        <w:top w:val="none" w:sz="0" w:space="0" w:color="auto"/>
        <w:left w:val="none" w:sz="0" w:space="0" w:color="auto"/>
        <w:bottom w:val="none" w:sz="0" w:space="0" w:color="auto"/>
        <w:right w:val="none" w:sz="0" w:space="0" w:color="auto"/>
      </w:divBdr>
    </w:div>
    <w:div w:id="936408694">
      <w:bodyDiv w:val="1"/>
      <w:marLeft w:val="0"/>
      <w:marRight w:val="0"/>
      <w:marTop w:val="0"/>
      <w:marBottom w:val="0"/>
      <w:divBdr>
        <w:top w:val="none" w:sz="0" w:space="0" w:color="auto"/>
        <w:left w:val="none" w:sz="0" w:space="0" w:color="auto"/>
        <w:bottom w:val="none" w:sz="0" w:space="0" w:color="auto"/>
        <w:right w:val="none" w:sz="0" w:space="0" w:color="auto"/>
      </w:divBdr>
    </w:div>
    <w:div w:id="936517512">
      <w:bodyDiv w:val="1"/>
      <w:marLeft w:val="0"/>
      <w:marRight w:val="0"/>
      <w:marTop w:val="0"/>
      <w:marBottom w:val="0"/>
      <w:divBdr>
        <w:top w:val="none" w:sz="0" w:space="0" w:color="auto"/>
        <w:left w:val="none" w:sz="0" w:space="0" w:color="auto"/>
        <w:bottom w:val="none" w:sz="0" w:space="0" w:color="auto"/>
        <w:right w:val="none" w:sz="0" w:space="0" w:color="auto"/>
      </w:divBdr>
    </w:div>
    <w:div w:id="936595755">
      <w:bodyDiv w:val="1"/>
      <w:marLeft w:val="0"/>
      <w:marRight w:val="0"/>
      <w:marTop w:val="0"/>
      <w:marBottom w:val="0"/>
      <w:divBdr>
        <w:top w:val="none" w:sz="0" w:space="0" w:color="auto"/>
        <w:left w:val="none" w:sz="0" w:space="0" w:color="auto"/>
        <w:bottom w:val="none" w:sz="0" w:space="0" w:color="auto"/>
        <w:right w:val="none" w:sz="0" w:space="0" w:color="auto"/>
      </w:divBdr>
    </w:div>
    <w:div w:id="936669377">
      <w:bodyDiv w:val="1"/>
      <w:marLeft w:val="0"/>
      <w:marRight w:val="0"/>
      <w:marTop w:val="0"/>
      <w:marBottom w:val="0"/>
      <w:divBdr>
        <w:top w:val="none" w:sz="0" w:space="0" w:color="auto"/>
        <w:left w:val="none" w:sz="0" w:space="0" w:color="auto"/>
        <w:bottom w:val="none" w:sz="0" w:space="0" w:color="auto"/>
        <w:right w:val="none" w:sz="0" w:space="0" w:color="auto"/>
      </w:divBdr>
    </w:div>
    <w:div w:id="936670897">
      <w:bodyDiv w:val="1"/>
      <w:marLeft w:val="0"/>
      <w:marRight w:val="0"/>
      <w:marTop w:val="0"/>
      <w:marBottom w:val="0"/>
      <w:divBdr>
        <w:top w:val="none" w:sz="0" w:space="0" w:color="auto"/>
        <w:left w:val="none" w:sz="0" w:space="0" w:color="auto"/>
        <w:bottom w:val="none" w:sz="0" w:space="0" w:color="auto"/>
        <w:right w:val="none" w:sz="0" w:space="0" w:color="auto"/>
      </w:divBdr>
    </w:div>
    <w:div w:id="936671601">
      <w:bodyDiv w:val="1"/>
      <w:marLeft w:val="0"/>
      <w:marRight w:val="0"/>
      <w:marTop w:val="0"/>
      <w:marBottom w:val="0"/>
      <w:divBdr>
        <w:top w:val="none" w:sz="0" w:space="0" w:color="auto"/>
        <w:left w:val="none" w:sz="0" w:space="0" w:color="auto"/>
        <w:bottom w:val="none" w:sz="0" w:space="0" w:color="auto"/>
        <w:right w:val="none" w:sz="0" w:space="0" w:color="auto"/>
      </w:divBdr>
    </w:div>
    <w:div w:id="936710794">
      <w:bodyDiv w:val="1"/>
      <w:marLeft w:val="0"/>
      <w:marRight w:val="0"/>
      <w:marTop w:val="0"/>
      <w:marBottom w:val="0"/>
      <w:divBdr>
        <w:top w:val="none" w:sz="0" w:space="0" w:color="auto"/>
        <w:left w:val="none" w:sz="0" w:space="0" w:color="auto"/>
        <w:bottom w:val="none" w:sz="0" w:space="0" w:color="auto"/>
        <w:right w:val="none" w:sz="0" w:space="0" w:color="auto"/>
      </w:divBdr>
    </w:div>
    <w:div w:id="936910486">
      <w:bodyDiv w:val="1"/>
      <w:marLeft w:val="0"/>
      <w:marRight w:val="0"/>
      <w:marTop w:val="0"/>
      <w:marBottom w:val="0"/>
      <w:divBdr>
        <w:top w:val="none" w:sz="0" w:space="0" w:color="auto"/>
        <w:left w:val="none" w:sz="0" w:space="0" w:color="auto"/>
        <w:bottom w:val="none" w:sz="0" w:space="0" w:color="auto"/>
        <w:right w:val="none" w:sz="0" w:space="0" w:color="auto"/>
      </w:divBdr>
    </w:div>
    <w:div w:id="936911567">
      <w:bodyDiv w:val="1"/>
      <w:marLeft w:val="0"/>
      <w:marRight w:val="0"/>
      <w:marTop w:val="0"/>
      <w:marBottom w:val="0"/>
      <w:divBdr>
        <w:top w:val="none" w:sz="0" w:space="0" w:color="auto"/>
        <w:left w:val="none" w:sz="0" w:space="0" w:color="auto"/>
        <w:bottom w:val="none" w:sz="0" w:space="0" w:color="auto"/>
        <w:right w:val="none" w:sz="0" w:space="0" w:color="auto"/>
      </w:divBdr>
    </w:div>
    <w:div w:id="937099662">
      <w:bodyDiv w:val="1"/>
      <w:marLeft w:val="0"/>
      <w:marRight w:val="0"/>
      <w:marTop w:val="0"/>
      <w:marBottom w:val="0"/>
      <w:divBdr>
        <w:top w:val="none" w:sz="0" w:space="0" w:color="auto"/>
        <w:left w:val="none" w:sz="0" w:space="0" w:color="auto"/>
        <w:bottom w:val="none" w:sz="0" w:space="0" w:color="auto"/>
        <w:right w:val="none" w:sz="0" w:space="0" w:color="auto"/>
      </w:divBdr>
    </w:div>
    <w:div w:id="937101825">
      <w:bodyDiv w:val="1"/>
      <w:marLeft w:val="0"/>
      <w:marRight w:val="0"/>
      <w:marTop w:val="0"/>
      <w:marBottom w:val="0"/>
      <w:divBdr>
        <w:top w:val="none" w:sz="0" w:space="0" w:color="auto"/>
        <w:left w:val="none" w:sz="0" w:space="0" w:color="auto"/>
        <w:bottom w:val="none" w:sz="0" w:space="0" w:color="auto"/>
        <w:right w:val="none" w:sz="0" w:space="0" w:color="auto"/>
      </w:divBdr>
    </w:div>
    <w:div w:id="937178167">
      <w:bodyDiv w:val="1"/>
      <w:marLeft w:val="0"/>
      <w:marRight w:val="0"/>
      <w:marTop w:val="0"/>
      <w:marBottom w:val="0"/>
      <w:divBdr>
        <w:top w:val="none" w:sz="0" w:space="0" w:color="auto"/>
        <w:left w:val="none" w:sz="0" w:space="0" w:color="auto"/>
        <w:bottom w:val="none" w:sz="0" w:space="0" w:color="auto"/>
        <w:right w:val="none" w:sz="0" w:space="0" w:color="auto"/>
      </w:divBdr>
    </w:div>
    <w:div w:id="937179516">
      <w:bodyDiv w:val="1"/>
      <w:marLeft w:val="0"/>
      <w:marRight w:val="0"/>
      <w:marTop w:val="0"/>
      <w:marBottom w:val="0"/>
      <w:divBdr>
        <w:top w:val="none" w:sz="0" w:space="0" w:color="auto"/>
        <w:left w:val="none" w:sz="0" w:space="0" w:color="auto"/>
        <w:bottom w:val="none" w:sz="0" w:space="0" w:color="auto"/>
        <w:right w:val="none" w:sz="0" w:space="0" w:color="auto"/>
      </w:divBdr>
    </w:div>
    <w:div w:id="937179527">
      <w:bodyDiv w:val="1"/>
      <w:marLeft w:val="0"/>
      <w:marRight w:val="0"/>
      <w:marTop w:val="0"/>
      <w:marBottom w:val="0"/>
      <w:divBdr>
        <w:top w:val="none" w:sz="0" w:space="0" w:color="auto"/>
        <w:left w:val="none" w:sz="0" w:space="0" w:color="auto"/>
        <w:bottom w:val="none" w:sz="0" w:space="0" w:color="auto"/>
        <w:right w:val="none" w:sz="0" w:space="0" w:color="auto"/>
      </w:divBdr>
    </w:div>
    <w:div w:id="937253622">
      <w:bodyDiv w:val="1"/>
      <w:marLeft w:val="0"/>
      <w:marRight w:val="0"/>
      <w:marTop w:val="0"/>
      <w:marBottom w:val="0"/>
      <w:divBdr>
        <w:top w:val="none" w:sz="0" w:space="0" w:color="auto"/>
        <w:left w:val="none" w:sz="0" w:space="0" w:color="auto"/>
        <w:bottom w:val="none" w:sz="0" w:space="0" w:color="auto"/>
        <w:right w:val="none" w:sz="0" w:space="0" w:color="auto"/>
      </w:divBdr>
    </w:div>
    <w:div w:id="937298165">
      <w:bodyDiv w:val="1"/>
      <w:marLeft w:val="0"/>
      <w:marRight w:val="0"/>
      <w:marTop w:val="0"/>
      <w:marBottom w:val="0"/>
      <w:divBdr>
        <w:top w:val="none" w:sz="0" w:space="0" w:color="auto"/>
        <w:left w:val="none" w:sz="0" w:space="0" w:color="auto"/>
        <w:bottom w:val="none" w:sz="0" w:space="0" w:color="auto"/>
        <w:right w:val="none" w:sz="0" w:space="0" w:color="auto"/>
      </w:divBdr>
    </w:div>
    <w:div w:id="937325658">
      <w:bodyDiv w:val="1"/>
      <w:marLeft w:val="0"/>
      <w:marRight w:val="0"/>
      <w:marTop w:val="0"/>
      <w:marBottom w:val="0"/>
      <w:divBdr>
        <w:top w:val="none" w:sz="0" w:space="0" w:color="auto"/>
        <w:left w:val="none" w:sz="0" w:space="0" w:color="auto"/>
        <w:bottom w:val="none" w:sz="0" w:space="0" w:color="auto"/>
        <w:right w:val="none" w:sz="0" w:space="0" w:color="auto"/>
      </w:divBdr>
    </w:div>
    <w:div w:id="937328313">
      <w:bodyDiv w:val="1"/>
      <w:marLeft w:val="0"/>
      <w:marRight w:val="0"/>
      <w:marTop w:val="0"/>
      <w:marBottom w:val="0"/>
      <w:divBdr>
        <w:top w:val="none" w:sz="0" w:space="0" w:color="auto"/>
        <w:left w:val="none" w:sz="0" w:space="0" w:color="auto"/>
        <w:bottom w:val="none" w:sz="0" w:space="0" w:color="auto"/>
        <w:right w:val="none" w:sz="0" w:space="0" w:color="auto"/>
      </w:divBdr>
    </w:div>
    <w:div w:id="937634935">
      <w:bodyDiv w:val="1"/>
      <w:marLeft w:val="0"/>
      <w:marRight w:val="0"/>
      <w:marTop w:val="0"/>
      <w:marBottom w:val="0"/>
      <w:divBdr>
        <w:top w:val="none" w:sz="0" w:space="0" w:color="auto"/>
        <w:left w:val="none" w:sz="0" w:space="0" w:color="auto"/>
        <w:bottom w:val="none" w:sz="0" w:space="0" w:color="auto"/>
        <w:right w:val="none" w:sz="0" w:space="0" w:color="auto"/>
      </w:divBdr>
    </w:div>
    <w:div w:id="937754649">
      <w:bodyDiv w:val="1"/>
      <w:marLeft w:val="0"/>
      <w:marRight w:val="0"/>
      <w:marTop w:val="0"/>
      <w:marBottom w:val="0"/>
      <w:divBdr>
        <w:top w:val="none" w:sz="0" w:space="0" w:color="auto"/>
        <w:left w:val="none" w:sz="0" w:space="0" w:color="auto"/>
        <w:bottom w:val="none" w:sz="0" w:space="0" w:color="auto"/>
        <w:right w:val="none" w:sz="0" w:space="0" w:color="auto"/>
      </w:divBdr>
    </w:div>
    <w:div w:id="937829844">
      <w:bodyDiv w:val="1"/>
      <w:marLeft w:val="0"/>
      <w:marRight w:val="0"/>
      <w:marTop w:val="0"/>
      <w:marBottom w:val="0"/>
      <w:divBdr>
        <w:top w:val="none" w:sz="0" w:space="0" w:color="auto"/>
        <w:left w:val="none" w:sz="0" w:space="0" w:color="auto"/>
        <w:bottom w:val="none" w:sz="0" w:space="0" w:color="auto"/>
        <w:right w:val="none" w:sz="0" w:space="0" w:color="auto"/>
      </w:divBdr>
    </w:div>
    <w:div w:id="937905269">
      <w:bodyDiv w:val="1"/>
      <w:marLeft w:val="0"/>
      <w:marRight w:val="0"/>
      <w:marTop w:val="0"/>
      <w:marBottom w:val="0"/>
      <w:divBdr>
        <w:top w:val="none" w:sz="0" w:space="0" w:color="auto"/>
        <w:left w:val="none" w:sz="0" w:space="0" w:color="auto"/>
        <w:bottom w:val="none" w:sz="0" w:space="0" w:color="auto"/>
        <w:right w:val="none" w:sz="0" w:space="0" w:color="auto"/>
      </w:divBdr>
    </w:div>
    <w:div w:id="938148419">
      <w:bodyDiv w:val="1"/>
      <w:marLeft w:val="0"/>
      <w:marRight w:val="0"/>
      <w:marTop w:val="0"/>
      <w:marBottom w:val="0"/>
      <w:divBdr>
        <w:top w:val="none" w:sz="0" w:space="0" w:color="auto"/>
        <w:left w:val="none" w:sz="0" w:space="0" w:color="auto"/>
        <w:bottom w:val="none" w:sz="0" w:space="0" w:color="auto"/>
        <w:right w:val="none" w:sz="0" w:space="0" w:color="auto"/>
      </w:divBdr>
    </w:div>
    <w:div w:id="938148660">
      <w:bodyDiv w:val="1"/>
      <w:marLeft w:val="0"/>
      <w:marRight w:val="0"/>
      <w:marTop w:val="0"/>
      <w:marBottom w:val="0"/>
      <w:divBdr>
        <w:top w:val="none" w:sz="0" w:space="0" w:color="auto"/>
        <w:left w:val="none" w:sz="0" w:space="0" w:color="auto"/>
        <w:bottom w:val="none" w:sz="0" w:space="0" w:color="auto"/>
        <w:right w:val="none" w:sz="0" w:space="0" w:color="auto"/>
      </w:divBdr>
    </w:div>
    <w:div w:id="938295769">
      <w:bodyDiv w:val="1"/>
      <w:marLeft w:val="0"/>
      <w:marRight w:val="0"/>
      <w:marTop w:val="0"/>
      <w:marBottom w:val="0"/>
      <w:divBdr>
        <w:top w:val="none" w:sz="0" w:space="0" w:color="auto"/>
        <w:left w:val="none" w:sz="0" w:space="0" w:color="auto"/>
        <w:bottom w:val="none" w:sz="0" w:space="0" w:color="auto"/>
        <w:right w:val="none" w:sz="0" w:space="0" w:color="auto"/>
      </w:divBdr>
    </w:div>
    <w:div w:id="938372212">
      <w:bodyDiv w:val="1"/>
      <w:marLeft w:val="0"/>
      <w:marRight w:val="0"/>
      <w:marTop w:val="0"/>
      <w:marBottom w:val="0"/>
      <w:divBdr>
        <w:top w:val="none" w:sz="0" w:space="0" w:color="auto"/>
        <w:left w:val="none" w:sz="0" w:space="0" w:color="auto"/>
        <w:bottom w:val="none" w:sz="0" w:space="0" w:color="auto"/>
        <w:right w:val="none" w:sz="0" w:space="0" w:color="auto"/>
      </w:divBdr>
    </w:div>
    <w:div w:id="938440861">
      <w:bodyDiv w:val="1"/>
      <w:marLeft w:val="0"/>
      <w:marRight w:val="0"/>
      <w:marTop w:val="0"/>
      <w:marBottom w:val="0"/>
      <w:divBdr>
        <w:top w:val="none" w:sz="0" w:space="0" w:color="auto"/>
        <w:left w:val="none" w:sz="0" w:space="0" w:color="auto"/>
        <w:bottom w:val="none" w:sz="0" w:space="0" w:color="auto"/>
        <w:right w:val="none" w:sz="0" w:space="0" w:color="auto"/>
      </w:divBdr>
    </w:div>
    <w:div w:id="938484989">
      <w:bodyDiv w:val="1"/>
      <w:marLeft w:val="0"/>
      <w:marRight w:val="0"/>
      <w:marTop w:val="0"/>
      <w:marBottom w:val="0"/>
      <w:divBdr>
        <w:top w:val="none" w:sz="0" w:space="0" w:color="auto"/>
        <w:left w:val="none" w:sz="0" w:space="0" w:color="auto"/>
        <w:bottom w:val="none" w:sz="0" w:space="0" w:color="auto"/>
        <w:right w:val="none" w:sz="0" w:space="0" w:color="auto"/>
      </w:divBdr>
    </w:div>
    <w:div w:id="938561553">
      <w:bodyDiv w:val="1"/>
      <w:marLeft w:val="0"/>
      <w:marRight w:val="0"/>
      <w:marTop w:val="0"/>
      <w:marBottom w:val="0"/>
      <w:divBdr>
        <w:top w:val="none" w:sz="0" w:space="0" w:color="auto"/>
        <w:left w:val="none" w:sz="0" w:space="0" w:color="auto"/>
        <w:bottom w:val="none" w:sz="0" w:space="0" w:color="auto"/>
        <w:right w:val="none" w:sz="0" w:space="0" w:color="auto"/>
      </w:divBdr>
    </w:div>
    <w:div w:id="938563818">
      <w:bodyDiv w:val="1"/>
      <w:marLeft w:val="0"/>
      <w:marRight w:val="0"/>
      <w:marTop w:val="0"/>
      <w:marBottom w:val="0"/>
      <w:divBdr>
        <w:top w:val="none" w:sz="0" w:space="0" w:color="auto"/>
        <w:left w:val="none" w:sz="0" w:space="0" w:color="auto"/>
        <w:bottom w:val="none" w:sz="0" w:space="0" w:color="auto"/>
        <w:right w:val="none" w:sz="0" w:space="0" w:color="auto"/>
      </w:divBdr>
    </w:div>
    <w:div w:id="938678540">
      <w:bodyDiv w:val="1"/>
      <w:marLeft w:val="0"/>
      <w:marRight w:val="0"/>
      <w:marTop w:val="0"/>
      <w:marBottom w:val="0"/>
      <w:divBdr>
        <w:top w:val="none" w:sz="0" w:space="0" w:color="auto"/>
        <w:left w:val="none" w:sz="0" w:space="0" w:color="auto"/>
        <w:bottom w:val="none" w:sz="0" w:space="0" w:color="auto"/>
        <w:right w:val="none" w:sz="0" w:space="0" w:color="auto"/>
      </w:divBdr>
    </w:div>
    <w:div w:id="938753715">
      <w:bodyDiv w:val="1"/>
      <w:marLeft w:val="0"/>
      <w:marRight w:val="0"/>
      <w:marTop w:val="0"/>
      <w:marBottom w:val="0"/>
      <w:divBdr>
        <w:top w:val="none" w:sz="0" w:space="0" w:color="auto"/>
        <w:left w:val="none" w:sz="0" w:space="0" w:color="auto"/>
        <w:bottom w:val="none" w:sz="0" w:space="0" w:color="auto"/>
        <w:right w:val="none" w:sz="0" w:space="0" w:color="auto"/>
      </w:divBdr>
    </w:div>
    <w:div w:id="938754531">
      <w:bodyDiv w:val="1"/>
      <w:marLeft w:val="0"/>
      <w:marRight w:val="0"/>
      <w:marTop w:val="0"/>
      <w:marBottom w:val="0"/>
      <w:divBdr>
        <w:top w:val="none" w:sz="0" w:space="0" w:color="auto"/>
        <w:left w:val="none" w:sz="0" w:space="0" w:color="auto"/>
        <w:bottom w:val="none" w:sz="0" w:space="0" w:color="auto"/>
        <w:right w:val="none" w:sz="0" w:space="0" w:color="auto"/>
      </w:divBdr>
    </w:div>
    <w:div w:id="938834732">
      <w:bodyDiv w:val="1"/>
      <w:marLeft w:val="0"/>
      <w:marRight w:val="0"/>
      <w:marTop w:val="0"/>
      <w:marBottom w:val="0"/>
      <w:divBdr>
        <w:top w:val="none" w:sz="0" w:space="0" w:color="auto"/>
        <w:left w:val="none" w:sz="0" w:space="0" w:color="auto"/>
        <w:bottom w:val="none" w:sz="0" w:space="0" w:color="auto"/>
        <w:right w:val="none" w:sz="0" w:space="0" w:color="auto"/>
      </w:divBdr>
    </w:div>
    <w:div w:id="939022629">
      <w:bodyDiv w:val="1"/>
      <w:marLeft w:val="0"/>
      <w:marRight w:val="0"/>
      <w:marTop w:val="0"/>
      <w:marBottom w:val="0"/>
      <w:divBdr>
        <w:top w:val="none" w:sz="0" w:space="0" w:color="auto"/>
        <w:left w:val="none" w:sz="0" w:space="0" w:color="auto"/>
        <w:bottom w:val="none" w:sz="0" w:space="0" w:color="auto"/>
        <w:right w:val="none" w:sz="0" w:space="0" w:color="auto"/>
      </w:divBdr>
    </w:div>
    <w:div w:id="939066073">
      <w:bodyDiv w:val="1"/>
      <w:marLeft w:val="0"/>
      <w:marRight w:val="0"/>
      <w:marTop w:val="0"/>
      <w:marBottom w:val="0"/>
      <w:divBdr>
        <w:top w:val="none" w:sz="0" w:space="0" w:color="auto"/>
        <w:left w:val="none" w:sz="0" w:space="0" w:color="auto"/>
        <w:bottom w:val="none" w:sz="0" w:space="0" w:color="auto"/>
        <w:right w:val="none" w:sz="0" w:space="0" w:color="auto"/>
      </w:divBdr>
    </w:div>
    <w:div w:id="939067968">
      <w:bodyDiv w:val="1"/>
      <w:marLeft w:val="0"/>
      <w:marRight w:val="0"/>
      <w:marTop w:val="0"/>
      <w:marBottom w:val="0"/>
      <w:divBdr>
        <w:top w:val="none" w:sz="0" w:space="0" w:color="auto"/>
        <w:left w:val="none" w:sz="0" w:space="0" w:color="auto"/>
        <w:bottom w:val="none" w:sz="0" w:space="0" w:color="auto"/>
        <w:right w:val="none" w:sz="0" w:space="0" w:color="auto"/>
      </w:divBdr>
    </w:div>
    <w:div w:id="939140778">
      <w:bodyDiv w:val="1"/>
      <w:marLeft w:val="0"/>
      <w:marRight w:val="0"/>
      <w:marTop w:val="0"/>
      <w:marBottom w:val="0"/>
      <w:divBdr>
        <w:top w:val="none" w:sz="0" w:space="0" w:color="auto"/>
        <w:left w:val="none" w:sz="0" w:space="0" w:color="auto"/>
        <w:bottom w:val="none" w:sz="0" w:space="0" w:color="auto"/>
        <w:right w:val="none" w:sz="0" w:space="0" w:color="auto"/>
      </w:divBdr>
    </w:div>
    <w:div w:id="939214860">
      <w:bodyDiv w:val="1"/>
      <w:marLeft w:val="0"/>
      <w:marRight w:val="0"/>
      <w:marTop w:val="0"/>
      <w:marBottom w:val="0"/>
      <w:divBdr>
        <w:top w:val="none" w:sz="0" w:space="0" w:color="auto"/>
        <w:left w:val="none" w:sz="0" w:space="0" w:color="auto"/>
        <w:bottom w:val="none" w:sz="0" w:space="0" w:color="auto"/>
        <w:right w:val="none" w:sz="0" w:space="0" w:color="auto"/>
      </w:divBdr>
    </w:div>
    <w:div w:id="939338799">
      <w:bodyDiv w:val="1"/>
      <w:marLeft w:val="0"/>
      <w:marRight w:val="0"/>
      <w:marTop w:val="0"/>
      <w:marBottom w:val="0"/>
      <w:divBdr>
        <w:top w:val="none" w:sz="0" w:space="0" w:color="auto"/>
        <w:left w:val="none" w:sz="0" w:space="0" w:color="auto"/>
        <w:bottom w:val="none" w:sz="0" w:space="0" w:color="auto"/>
        <w:right w:val="none" w:sz="0" w:space="0" w:color="auto"/>
      </w:divBdr>
    </w:div>
    <w:div w:id="939486019">
      <w:bodyDiv w:val="1"/>
      <w:marLeft w:val="0"/>
      <w:marRight w:val="0"/>
      <w:marTop w:val="0"/>
      <w:marBottom w:val="0"/>
      <w:divBdr>
        <w:top w:val="none" w:sz="0" w:space="0" w:color="auto"/>
        <w:left w:val="none" w:sz="0" w:space="0" w:color="auto"/>
        <w:bottom w:val="none" w:sz="0" w:space="0" w:color="auto"/>
        <w:right w:val="none" w:sz="0" w:space="0" w:color="auto"/>
      </w:divBdr>
    </w:div>
    <w:div w:id="939677389">
      <w:bodyDiv w:val="1"/>
      <w:marLeft w:val="0"/>
      <w:marRight w:val="0"/>
      <w:marTop w:val="0"/>
      <w:marBottom w:val="0"/>
      <w:divBdr>
        <w:top w:val="none" w:sz="0" w:space="0" w:color="auto"/>
        <w:left w:val="none" w:sz="0" w:space="0" w:color="auto"/>
        <w:bottom w:val="none" w:sz="0" w:space="0" w:color="auto"/>
        <w:right w:val="none" w:sz="0" w:space="0" w:color="auto"/>
      </w:divBdr>
    </w:div>
    <w:div w:id="939677979">
      <w:bodyDiv w:val="1"/>
      <w:marLeft w:val="0"/>
      <w:marRight w:val="0"/>
      <w:marTop w:val="0"/>
      <w:marBottom w:val="0"/>
      <w:divBdr>
        <w:top w:val="none" w:sz="0" w:space="0" w:color="auto"/>
        <w:left w:val="none" w:sz="0" w:space="0" w:color="auto"/>
        <w:bottom w:val="none" w:sz="0" w:space="0" w:color="auto"/>
        <w:right w:val="none" w:sz="0" w:space="0" w:color="auto"/>
      </w:divBdr>
    </w:div>
    <w:div w:id="939683595">
      <w:bodyDiv w:val="1"/>
      <w:marLeft w:val="0"/>
      <w:marRight w:val="0"/>
      <w:marTop w:val="0"/>
      <w:marBottom w:val="0"/>
      <w:divBdr>
        <w:top w:val="none" w:sz="0" w:space="0" w:color="auto"/>
        <w:left w:val="none" w:sz="0" w:space="0" w:color="auto"/>
        <w:bottom w:val="none" w:sz="0" w:space="0" w:color="auto"/>
        <w:right w:val="none" w:sz="0" w:space="0" w:color="auto"/>
      </w:divBdr>
    </w:div>
    <w:div w:id="939878397">
      <w:bodyDiv w:val="1"/>
      <w:marLeft w:val="0"/>
      <w:marRight w:val="0"/>
      <w:marTop w:val="0"/>
      <w:marBottom w:val="0"/>
      <w:divBdr>
        <w:top w:val="none" w:sz="0" w:space="0" w:color="auto"/>
        <w:left w:val="none" w:sz="0" w:space="0" w:color="auto"/>
        <w:bottom w:val="none" w:sz="0" w:space="0" w:color="auto"/>
        <w:right w:val="none" w:sz="0" w:space="0" w:color="auto"/>
      </w:divBdr>
    </w:div>
    <w:div w:id="939917891">
      <w:bodyDiv w:val="1"/>
      <w:marLeft w:val="0"/>
      <w:marRight w:val="0"/>
      <w:marTop w:val="0"/>
      <w:marBottom w:val="0"/>
      <w:divBdr>
        <w:top w:val="none" w:sz="0" w:space="0" w:color="auto"/>
        <w:left w:val="none" w:sz="0" w:space="0" w:color="auto"/>
        <w:bottom w:val="none" w:sz="0" w:space="0" w:color="auto"/>
        <w:right w:val="none" w:sz="0" w:space="0" w:color="auto"/>
      </w:divBdr>
    </w:div>
    <w:div w:id="939948988">
      <w:bodyDiv w:val="1"/>
      <w:marLeft w:val="0"/>
      <w:marRight w:val="0"/>
      <w:marTop w:val="0"/>
      <w:marBottom w:val="0"/>
      <w:divBdr>
        <w:top w:val="none" w:sz="0" w:space="0" w:color="auto"/>
        <w:left w:val="none" w:sz="0" w:space="0" w:color="auto"/>
        <w:bottom w:val="none" w:sz="0" w:space="0" w:color="auto"/>
        <w:right w:val="none" w:sz="0" w:space="0" w:color="auto"/>
      </w:divBdr>
    </w:div>
    <w:div w:id="939990459">
      <w:bodyDiv w:val="1"/>
      <w:marLeft w:val="0"/>
      <w:marRight w:val="0"/>
      <w:marTop w:val="0"/>
      <w:marBottom w:val="0"/>
      <w:divBdr>
        <w:top w:val="none" w:sz="0" w:space="0" w:color="auto"/>
        <w:left w:val="none" w:sz="0" w:space="0" w:color="auto"/>
        <w:bottom w:val="none" w:sz="0" w:space="0" w:color="auto"/>
        <w:right w:val="none" w:sz="0" w:space="0" w:color="auto"/>
      </w:divBdr>
    </w:div>
    <w:div w:id="940065481">
      <w:bodyDiv w:val="1"/>
      <w:marLeft w:val="0"/>
      <w:marRight w:val="0"/>
      <w:marTop w:val="0"/>
      <w:marBottom w:val="0"/>
      <w:divBdr>
        <w:top w:val="none" w:sz="0" w:space="0" w:color="auto"/>
        <w:left w:val="none" w:sz="0" w:space="0" w:color="auto"/>
        <w:bottom w:val="none" w:sz="0" w:space="0" w:color="auto"/>
        <w:right w:val="none" w:sz="0" w:space="0" w:color="auto"/>
      </w:divBdr>
    </w:div>
    <w:div w:id="940146017">
      <w:bodyDiv w:val="1"/>
      <w:marLeft w:val="0"/>
      <w:marRight w:val="0"/>
      <w:marTop w:val="0"/>
      <w:marBottom w:val="0"/>
      <w:divBdr>
        <w:top w:val="none" w:sz="0" w:space="0" w:color="auto"/>
        <w:left w:val="none" w:sz="0" w:space="0" w:color="auto"/>
        <w:bottom w:val="none" w:sz="0" w:space="0" w:color="auto"/>
        <w:right w:val="none" w:sz="0" w:space="0" w:color="auto"/>
      </w:divBdr>
    </w:div>
    <w:div w:id="940187432">
      <w:bodyDiv w:val="1"/>
      <w:marLeft w:val="0"/>
      <w:marRight w:val="0"/>
      <w:marTop w:val="0"/>
      <w:marBottom w:val="0"/>
      <w:divBdr>
        <w:top w:val="none" w:sz="0" w:space="0" w:color="auto"/>
        <w:left w:val="none" w:sz="0" w:space="0" w:color="auto"/>
        <w:bottom w:val="none" w:sz="0" w:space="0" w:color="auto"/>
        <w:right w:val="none" w:sz="0" w:space="0" w:color="auto"/>
      </w:divBdr>
    </w:div>
    <w:div w:id="940455488">
      <w:bodyDiv w:val="1"/>
      <w:marLeft w:val="0"/>
      <w:marRight w:val="0"/>
      <w:marTop w:val="0"/>
      <w:marBottom w:val="0"/>
      <w:divBdr>
        <w:top w:val="none" w:sz="0" w:space="0" w:color="auto"/>
        <w:left w:val="none" w:sz="0" w:space="0" w:color="auto"/>
        <w:bottom w:val="none" w:sz="0" w:space="0" w:color="auto"/>
        <w:right w:val="none" w:sz="0" w:space="0" w:color="auto"/>
      </w:divBdr>
    </w:div>
    <w:div w:id="940601276">
      <w:bodyDiv w:val="1"/>
      <w:marLeft w:val="0"/>
      <w:marRight w:val="0"/>
      <w:marTop w:val="0"/>
      <w:marBottom w:val="0"/>
      <w:divBdr>
        <w:top w:val="none" w:sz="0" w:space="0" w:color="auto"/>
        <w:left w:val="none" w:sz="0" w:space="0" w:color="auto"/>
        <w:bottom w:val="none" w:sz="0" w:space="0" w:color="auto"/>
        <w:right w:val="none" w:sz="0" w:space="0" w:color="auto"/>
      </w:divBdr>
    </w:div>
    <w:div w:id="940650784">
      <w:bodyDiv w:val="1"/>
      <w:marLeft w:val="0"/>
      <w:marRight w:val="0"/>
      <w:marTop w:val="0"/>
      <w:marBottom w:val="0"/>
      <w:divBdr>
        <w:top w:val="none" w:sz="0" w:space="0" w:color="auto"/>
        <w:left w:val="none" w:sz="0" w:space="0" w:color="auto"/>
        <w:bottom w:val="none" w:sz="0" w:space="0" w:color="auto"/>
        <w:right w:val="none" w:sz="0" w:space="0" w:color="auto"/>
      </w:divBdr>
    </w:div>
    <w:div w:id="940720759">
      <w:bodyDiv w:val="1"/>
      <w:marLeft w:val="0"/>
      <w:marRight w:val="0"/>
      <w:marTop w:val="0"/>
      <w:marBottom w:val="0"/>
      <w:divBdr>
        <w:top w:val="none" w:sz="0" w:space="0" w:color="auto"/>
        <w:left w:val="none" w:sz="0" w:space="0" w:color="auto"/>
        <w:bottom w:val="none" w:sz="0" w:space="0" w:color="auto"/>
        <w:right w:val="none" w:sz="0" w:space="0" w:color="auto"/>
      </w:divBdr>
    </w:div>
    <w:div w:id="940800299">
      <w:bodyDiv w:val="1"/>
      <w:marLeft w:val="0"/>
      <w:marRight w:val="0"/>
      <w:marTop w:val="0"/>
      <w:marBottom w:val="0"/>
      <w:divBdr>
        <w:top w:val="none" w:sz="0" w:space="0" w:color="auto"/>
        <w:left w:val="none" w:sz="0" w:space="0" w:color="auto"/>
        <w:bottom w:val="none" w:sz="0" w:space="0" w:color="auto"/>
        <w:right w:val="none" w:sz="0" w:space="0" w:color="auto"/>
      </w:divBdr>
    </w:div>
    <w:div w:id="940837049">
      <w:bodyDiv w:val="1"/>
      <w:marLeft w:val="0"/>
      <w:marRight w:val="0"/>
      <w:marTop w:val="0"/>
      <w:marBottom w:val="0"/>
      <w:divBdr>
        <w:top w:val="none" w:sz="0" w:space="0" w:color="auto"/>
        <w:left w:val="none" w:sz="0" w:space="0" w:color="auto"/>
        <w:bottom w:val="none" w:sz="0" w:space="0" w:color="auto"/>
        <w:right w:val="none" w:sz="0" w:space="0" w:color="auto"/>
      </w:divBdr>
    </w:div>
    <w:div w:id="940845000">
      <w:bodyDiv w:val="1"/>
      <w:marLeft w:val="0"/>
      <w:marRight w:val="0"/>
      <w:marTop w:val="0"/>
      <w:marBottom w:val="0"/>
      <w:divBdr>
        <w:top w:val="none" w:sz="0" w:space="0" w:color="auto"/>
        <w:left w:val="none" w:sz="0" w:space="0" w:color="auto"/>
        <w:bottom w:val="none" w:sz="0" w:space="0" w:color="auto"/>
        <w:right w:val="none" w:sz="0" w:space="0" w:color="auto"/>
      </w:divBdr>
    </w:div>
    <w:div w:id="940918237">
      <w:bodyDiv w:val="1"/>
      <w:marLeft w:val="0"/>
      <w:marRight w:val="0"/>
      <w:marTop w:val="0"/>
      <w:marBottom w:val="0"/>
      <w:divBdr>
        <w:top w:val="none" w:sz="0" w:space="0" w:color="auto"/>
        <w:left w:val="none" w:sz="0" w:space="0" w:color="auto"/>
        <w:bottom w:val="none" w:sz="0" w:space="0" w:color="auto"/>
        <w:right w:val="none" w:sz="0" w:space="0" w:color="auto"/>
      </w:divBdr>
    </w:div>
    <w:div w:id="940989548">
      <w:bodyDiv w:val="1"/>
      <w:marLeft w:val="0"/>
      <w:marRight w:val="0"/>
      <w:marTop w:val="0"/>
      <w:marBottom w:val="0"/>
      <w:divBdr>
        <w:top w:val="none" w:sz="0" w:space="0" w:color="auto"/>
        <w:left w:val="none" w:sz="0" w:space="0" w:color="auto"/>
        <w:bottom w:val="none" w:sz="0" w:space="0" w:color="auto"/>
        <w:right w:val="none" w:sz="0" w:space="0" w:color="auto"/>
      </w:divBdr>
    </w:div>
    <w:div w:id="941110747">
      <w:bodyDiv w:val="1"/>
      <w:marLeft w:val="0"/>
      <w:marRight w:val="0"/>
      <w:marTop w:val="0"/>
      <w:marBottom w:val="0"/>
      <w:divBdr>
        <w:top w:val="none" w:sz="0" w:space="0" w:color="auto"/>
        <w:left w:val="none" w:sz="0" w:space="0" w:color="auto"/>
        <w:bottom w:val="none" w:sz="0" w:space="0" w:color="auto"/>
        <w:right w:val="none" w:sz="0" w:space="0" w:color="auto"/>
      </w:divBdr>
    </w:div>
    <w:div w:id="941182809">
      <w:bodyDiv w:val="1"/>
      <w:marLeft w:val="0"/>
      <w:marRight w:val="0"/>
      <w:marTop w:val="0"/>
      <w:marBottom w:val="0"/>
      <w:divBdr>
        <w:top w:val="none" w:sz="0" w:space="0" w:color="auto"/>
        <w:left w:val="none" w:sz="0" w:space="0" w:color="auto"/>
        <w:bottom w:val="none" w:sz="0" w:space="0" w:color="auto"/>
        <w:right w:val="none" w:sz="0" w:space="0" w:color="auto"/>
      </w:divBdr>
    </w:div>
    <w:div w:id="941187366">
      <w:bodyDiv w:val="1"/>
      <w:marLeft w:val="0"/>
      <w:marRight w:val="0"/>
      <w:marTop w:val="0"/>
      <w:marBottom w:val="0"/>
      <w:divBdr>
        <w:top w:val="none" w:sz="0" w:space="0" w:color="auto"/>
        <w:left w:val="none" w:sz="0" w:space="0" w:color="auto"/>
        <w:bottom w:val="none" w:sz="0" w:space="0" w:color="auto"/>
        <w:right w:val="none" w:sz="0" w:space="0" w:color="auto"/>
      </w:divBdr>
    </w:div>
    <w:div w:id="941228753">
      <w:bodyDiv w:val="1"/>
      <w:marLeft w:val="0"/>
      <w:marRight w:val="0"/>
      <w:marTop w:val="0"/>
      <w:marBottom w:val="0"/>
      <w:divBdr>
        <w:top w:val="none" w:sz="0" w:space="0" w:color="auto"/>
        <w:left w:val="none" w:sz="0" w:space="0" w:color="auto"/>
        <w:bottom w:val="none" w:sz="0" w:space="0" w:color="auto"/>
        <w:right w:val="none" w:sz="0" w:space="0" w:color="auto"/>
      </w:divBdr>
    </w:div>
    <w:div w:id="941375336">
      <w:bodyDiv w:val="1"/>
      <w:marLeft w:val="0"/>
      <w:marRight w:val="0"/>
      <w:marTop w:val="0"/>
      <w:marBottom w:val="0"/>
      <w:divBdr>
        <w:top w:val="none" w:sz="0" w:space="0" w:color="auto"/>
        <w:left w:val="none" w:sz="0" w:space="0" w:color="auto"/>
        <w:bottom w:val="none" w:sz="0" w:space="0" w:color="auto"/>
        <w:right w:val="none" w:sz="0" w:space="0" w:color="auto"/>
      </w:divBdr>
    </w:div>
    <w:div w:id="941492355">
      <w:bodyDiv w:val="1"/>
      <w:marLeft w:val="0"/>
      <w:marRight w:val="0"/>
      <w:marTop w:val="0"/>
      <w:marBottom w:val="0"/>
      <w:divBdr>
        <w:top w:val="none" w:sz="0" w:space="0" w:color="auto"/>
        <w:left w:val="none" w:sz="0" w:space="0" w:color="auto"/>
        <w:bottom w:val="none" w:sz="0" w:space="0" w:color="auto"/>
        <w:right w:val="none" w:sz="0" w:space="0" w:color="auto"/>
      </w:divBdr>
    </w:div>
    <w:div w:id="941568777">
      <w:bodyDiv w:val="1"/>
      <w:marLeft w:val="0"/>
      <w:marRight w:val="0"/>
      <w:marTop w:val="0"/>
      <w:marBottom w:val="0"/>
      <w:divBdr>
        <w:top w:val="none" w:sz="0" w:space="0" w:color="auto"/>
        <w:left w:val="none" w:sz="0" w:space="0" w:color="auto"/>
        <w:bottom w:val="none" w:sz="0" w:space="0" w:color="auto"/>
        <w:right w:val="none" w:sz="0" w:space="0" w:color="auto"/>
      </w:divBdr>
    </w:div>
    <w:div w:id="941571722">
      <w:bodyDiv w:val="1"/>
      <w:marLeft w:val="0"/>
      <w:marRight w:val="0"/>
      <w:marTop w:val="0"/>
      <w:marBottom w:val="0"/>
      <w:divBdr>
        <w:top w:val="none" w:sz="0" w:space="0" w:color="auto"/>
        <w:left w:val="none" w:sz="0" w:space="0" w:color="auto"/>
        <w:bottom w:val="none" w:sz="0" w:space="0" w:color="auto"/>
        <w:right w:val="none" w:sz="0" w:space="0" w:color="auto"/>
      </w:divBdr>
    </w:div>
    <w:div w:id="941571750">
      <w:bodyDiv w:val="1"/>
      <w:marLeft w:val="0"/>
      <w:marRight w:val="0"/>
      <w:marTop w:val="0"/>
      <w:marBottom w:val="0"/>
      <w:divBdr>
        <w:top w:val="none" w:sz="0" w:space="0" w:color="auto"/>
        <w:left w:val="none" w:sz="0" w:space="0" w:color="auto"/>
        <w:bottom w:val="none" w:sz="0" w:space="0" w:color="auto"/>
        <w:right w:val="none" w:sz="0" w:space="0" w:color="auto"/>
      </w:divBdr>
    </w:div>
    <w:div w:id="941575168">
      <w:bodyDiv w:val="1"/>
      <w:marLeft w:val="0"/>
      <w:marRight w:val="0"/>
      <w:marTop w:val="0"/>
      <w:marBottom w:val="0"/>
      <w:divBdr>
        <w:top w:val="none" w:sz="0" w:space="0" w:color="auto"/>
        <w:left w:val="none" w:sz="0" w:space="0" w:color="auto"/>
        <w:bottom w:val="none" w:sz="0" w:space="0" w:color="auto"/>
        <w:right w:val="none" w:sz="0" w:space="0" w:color="auto"/>
      </w:divBdr>
    </w:div>
    <w:div w:id="941910939">
      <w:bodyDiv w:val="1"/>
      <w:marLeft w:val="0"/>
      <w:marRight w:val="0"/>
      <w:marTop w:val="0"/>
      <w:marBottom w:val="0"/>
      <w:divBdr>
        <w:top w:val="none" w:sz="0" w:space="0" w:color="auto"/>
        <w:left w:val="none" w:sz="0" w:space="0" w:color="auto"/>
        <w:bottom w:val="none" w:sz="0" w:space="0" w:color="auto"/>
        <w:right w:val="none" w:sz="0" w:space="0" w:color="auto"/>
      </w:divBdr>
    </w:div>
    <w:div w:id="942035787">
      <w:bodyDiv w:val="1"/>
      <w:marLeft w:val="0"/>
      <w:marRight w:val="0"/>
      <w:marTop w:val="0"/>
      <w:marBottom w:val="0"/>
      <w:divBdr>
        <w:top w:val="none" w:sz="0" w:space="0" w:color="auto"/>
        <w:left w:val="none" w:sz="0" w:space="0" w:color="auto"/>
        <w:bottom w:val="none" w:sz="0" w:space="0" w:color="auto"/>
        <w:right w:val="none" w:sz="0" w:space="0" w:color="auto"/>
      </w:divBdr>
    </w:div>
    <w:div w:id="942080471">
      <w:bodyDiv w:val="1"/>
      <w:marLeft w:val="0"/>
      <w:marRight w:val="0"/>
      <w:marTop w:val="0"/>
      <w:marBottom w:val="0"/>
      <w:divBdr>
        <w:top w:val="none" w:sz="0" w:space="0" w:color="auto"/>
        <w:left w:val="none" w:sz="0" w:space="0" w:color="auto"/>
        <w:bottom w:val="none" w:sz="0" w:space="0" w:color="auto"/>
        <w:right w:val="none" w:sz="0" w:space="0" w:color="auto"/>
      </w:divBdr>
    </w:div>
    <w:div w:id="942227864">
      <w:bodyDiv w:val="1"/>
      <w:marLeft w:val="0"/>
      <w:marRight w:val="0"/>
      <w:marTop w:val="0"/>
      <w:marBottom w:val="0"/>
      <w:divBdr>
        <w:top w:val="none" w:sz="0" w:space="0" w:color="auto"/>
        <w:left w:val="none" w:sz="0" w:space="0" w:color="auto"/>
        <w:bottom w:val="none" w:sz="0" w:space="0" w:color="auto"/>
        <w:right w:val="none" w:sz="0" w:space="0" w:color="auto"/>
      </w:divBdr>
    </w:div>
    <w:div w:id="942303431">
      <w:bodyDiv w:val="1"/>
      <w:marLeft w:val="0"/>
      <w:marRight w:val="0"/>
      <w:marTop w:val="0"/>
      <w:marBottom w:val="0"/>
      <w:divBdr>
        <w:top w:val="none" w:sz="0" w:space="0" w:color="auto"/>
        <w:left w:val="none" w:sz="0" w:space="0" w:color="auto"/>
        <w:bottom w:val="none" w:sz="0" w:space="0" w:color="auto"/>
        <w:right w:val="none" w:sz="0" w:space="0" w:color="auto"/>
      </w:divBdr>
    </w:div>
    <w:div w:id="942303807">
      <w:bodyDiv w:val="1"/>
      <w:marLeft w:val="0"/>
      <w:marRight w:val="0"/>
      <w:marTop w:val="0"/>
      <w:marBottom w:val="0"/>
      <w:divBdr>
        <w:top w:val="none" w:sz="0" w:space="0" w:color="auto"/>
        <w:left w:val="none" w:sz="0" w:space="0" w:color="auto"/>
        <w:bottom w:val="none" w:sz="0" w:space="0" w:color="auto"/>
        <w:right w:val="none" w:sz="0" w:space="0" w:color="auto"/>
      </w:divBdr>
    </w:div>
    <w:div w:id="942683869">
      <w:bodyDiv w:val="1"/>
      <w:marLeft w:val="0"/>
      <w:marRight w:val="0"/>
      <w:marTop w:val="0"/>
      <w:marBottom w:val="0"/>
      <w:divBdr>
        <w:top w:val="none" w:sz="0" w:space="0" w:color="auto"/>
        <w:left w:val="none" w:sz="0" w:space="0" w:color="auto"/>
        <w:bottom w:val="none" w:sz="0" w:space="0" w:color="auto"/>
        <w:right w:val="none" w:sz="0" w:space="0" w:color="auto"/>
      </w:divBdr>
    </w:div>
    <w:div w:id="942803700">
      <w:bodyDiv w:val="1"/>
      <w:marLeft w:val="0"/>
      <w:marRight w:val="0"/>
      <w:marTop w:val="0"/>
      <w:marBottom w:val="0"/>
      <w:divBdr>
        <w:top w:val="none" w:sz="0" w:space="0" w:color="auto"/>
        <w:left w:val="none" w:sz="0" w:space="0" w:color="auto"/>
        <w:bottom w:val="none" w:sz="0" w:space="0" w:color="auto"/>
        <w:right w:val="none" w:sz="0" w:space="0" w:color="auto"/>
      </w:divBdr>
    </w:div>
    <w:div w:id="942881120">
      <w:bodyDiv w:val="1"/>
      <w:marLeft w:val="0"/>
      <w:marRight w:val="0"/>
      <w:marTop w:val="0"/>
      <w:marBottom w:val="0"/>
      <w:divBdr>
        <w:top w:val="none" w:sz="0" w:space="0" w:color="auto"/>
        <w:left w:val="none" w:sz="0" w:space="0" w:color="auto"/>
        <w:bottom w:val="none" w:sz="0" w:space="0" w:color="auto"/>
        <w:right w:val="none" w:sz="0" w:space="0" w:color="auto"/>
      </w:divBdr>
    </w:div>
    <w:div w:id="943420165">
      <w:bodyDiv w:val="1"/>
      <w:marLeft w:val="0"/>
      <w:marRight w:val="0"/>
      <w:marTop w:val="0"/>
      <w:marBottom w:val="0"/>
      <w:divBdr>
        <w:top w:val="none" w:sz="0" w:space="0" w:color="auto"/>
        <w:left w:val="none" w:sz="0" w:space="0" w:color="auto"/>
        <w:bottom w:val="none" w:sz="0" w:space="0" w:color="auto"/>
        <w:right w:val="none" w:sz="0" w:space="0" w:color="auto"/>
      </w:divBdr>
    </w:div>
    <w:div w:id="943616137">
      <w:bodyDiv w:val="1"/>
      <w:marLeft w:val="0"/>
      <w:marRight w:val="0"/>
      <w:marTop w:val="0"/>
      <w:marBottom w:val="0"/>
      <w:divBdr>
        <w:top w:val="none" w:sz="0" w:space="0" w:color="auto"/>
        <w:left w:val="none" w:sz="0" w:space="0" w:color="auto"/>
        <w:bottom w:val="none" w:sz="0" w:space="0" w:color="auto"/>
        <w:right w:val="none" w:sz="0" w:space="0" w:color="auto"/>
      </w:divBdr>
    </w:div>
    <w:div w:id="943682863">
      <w:bodyDiv w:val="1"/>
      <w:marLeft w:val="0"/>
      <w:marRight w:val="0"/>
      <w:marTop w:val="0"/>
      <w:marBottom w:val="0"/>
      <w:divBdr>
        <w:top w:val="none" w:sz="0" w:space="0" w:color="auto"/>
        <w:left w:val="none" w:sz="0" w:space="0" w:color="auto"/>
        <w:bottom w:val="none" w:sz="0" w:space="0" w:color="auto"/>
        <w:right w:val="none" w:sz="0" w:space="0" w:color="auto"/>
      </w:divBdr>
    </w:div>
    <w:div w:id="943801162">
      <w:bodyDiv w:val="1"/>
      <w:marLeft w:val="0"/>
      <w:marRight w:val="0"/>
      <w:marTop w:val="0"/>
      <w:marBottom w:val="0"/>
      <w:divBdr>
        <w:top w:val="none" w:sz="0" w:space="0" w:color="auto"/>
        <w:left w:val="none" w:sz="0" w:space="0" w:color="auto"/>
        <w:bottom w:val="none" w:sz="0" w:space="0" w:color="auto"/>
        <w:right w:val="none" w:sz="0" w:space="0" w:color="auto"/>
      </w:divBdr>
    </w:div>
    <w:div w:id="943809364">
      <w:bodyDiv w:val="1"/>
      <w:marLeft w:val="0"/>
      <w:marRight w:val="0"/>
      <w:marTop w:val="0"/>
      <w:marBottom w:val="0"/>
      <w:divBdr>
        <w:top w:val="none" w:sz="0" w:space="0" w:color="auto"/>
        <w:left w:val="none" w:sz="0" w:space="0" w:color="auto"/>
        <w:bottom w:val="none" w:sz="0" w:space="0" w:color="auto"/>
        <w:right w:val="none" w:sz="0" w:space="0" w:color="auto"/>
      </w:divBdr>
    </w:div>
    <w:div w:id="944000904">
      <w:bodyDiv w:val="1"/>
      <w:marLeft w:val="0"/>
      <w:marRight w:val="0"/>
      <w:marTop w:val="0"/>
      <w:marBottom w:val="0"/>
      <w:divBdr>
        <w:top w:val="none" w:sz="0" w:space="0" w:color="auto"/>
        <w:left w:val="none" w:sz="0" w:space="0" w:color="auto"/>
        <w:bottom w:val="none" w:sz="0" w:space="0" w:color="auto"/>
        <w:right w:val="none" w:sz="0" w:space="0" w:color="auto"/>
      </w:divBdr>
    </w:div>
    <w:div w:id="944265619">
      <w:bodyDiv w:val="1"/>
      <w:marLeft w:val="0"/>
      <w:marRight w:val="0"/>
      <w:marTop w:val="0"/>
      <w:marBottom w:val="0"/>
      <w:divBdr>
        <w:top w:val="none" w:sz="0" w:space="0" w:color="auto"/>
        <w:left w:val="none" w:sz="0" w:space="0" w:color="auto"/>
        <w:bottom w:val="none" w:sz="0" w:space="0" w:color="auto"/>
        <w:right w:val="none" w:sz="0" w:space="0" w:color="auto"/>
      </w:divBdr>
    </w:div>
    <w:div w:id="944383423">
      <w:bodyDiv w:val="1"/>
      <w:marLeft w:val="0"/>
      <w:marRight w:val="0"/>
      <w:marTop w:val="0"/>
      <w:marBottom w:val="0"/>
      <w:divBdr>
        <w:top w:val="none" w:sz="0" w:space="0" w:color="auto"/>
        <w:left w:val="none" w:sz="0" w:space="0" w:color="auto"/>
        <w:bottom w:val="none" w:sz="0" w:space="0" w:color="auto"/>
        <w:right w:val="none" w:sz="0" w:space="0" w:color="auto"/>
      </w:divBdr>
    </w:div>
    <w:div w:id="944389467">
      <w:bodyDiv w:val="1"/>
      <w:marLeft w:val="0"/>
      <w:marRight w:val="0"/>
      <w:marTop w:val="0"/>
      <w:marBottom w:val="0"/>
      <w:divBdr>
        <w:top w:val="none" w:sz="0" w:space="0" w:color="auto"/>
        <w:left w:val="none" w:sz="0" w:space="0" w:color="auto"/>
        <w:bottom w:val="none" w:sz="0" w:space="0" w:color="auto"/>
        <w:right w:val="none" w:sz="0" w:space="0" w:color="auto"/>
      </w:divBdr>
    </w:div>
    <w:div w:id="944457319">
      <w:bodyDiv w:val="1"/>
      <w:marLeft w:val="0"/>
      <w:marRight w:val="0"/>
      <w:marTop w:val="0"/>
      <w:marBottom w:val="0"/>
      <w:divBdr>
        <w:top w:val="none" w:sz="0" w:space="0" w:color="auto"/>
        <w:left w:val="none" w:sz="0" w:space="0" w:color="auto"/>
        <w:bottom w:val="none" w:sz="0" w:space="0" w:color="auto"/>
        <w:right w:val="none" w:sz="0" w:space="0" w:color="auto"/>
      </w:divBdr>
    </w:div>
    <w:div w:id="944462068">
      <w:bodyDiv w:val="1"/>
      <w:marLeft w:val="0"/>
      <w:marRight w:val="0"/>
      <w:marTop w:val="0"/>
      <w:marBottom w:val="0"/>
      <w:divBdr>
        <w:top w:val="none" w:sz="0" w:space="0" w:color="auto"/>
        <w:left w:val="none" w:sz="0" w:space="0" w:color="auto"/>
        <w:bottom w:val="none" w:sz="0" w:space="0" w:color="auto"/>
        <w:right w:val="none" w:sz="0" w:space="0" w:color="auto"/>
      </w:divBdr>
    </w:div>
    <w:div w:id="944532062">
      <w:bodyDiv w:val="1"/>
      <w:marLeft w:val="0"/>
      <w:marRight w:val="0"/>
      <w:marTop w:val="0"/>
      <w:marBottom w:val="0"/>
      <w:divBdr>
        <w:top w:val="none" w:sz="0" w:space="0" w:color="auto"/>
        <w:left w:val="none" w:sz="0" w:space="0" w:color="auto"/>
        <w:bottom w:val="none" w:sz="0" w:space="0" w:color="auto"/>
        <w:right w:val="none" w:sz="0" w:space="0" w:color="auto"/>
      </w:divBdr>
    </w:div>
    <w:div w:id="944922567">
      <w:bodyDiv w:val="1"/>
      <w:marLeft w:val="0"/>
      <w:marRight w:val="0"/>
      <w:marTop w:val="0"/>
      <w:marBottom w:val="0"/>
      <w:divBdr>
        <w:top w:val="none" w:sz="0" w:space="0" w:color="auto"/>
        <w:left w:val="none" w:sz="0" w:space="0" w:color="auto"/>
        <w:bottom w:val="none" w:sz="0" w:space="0" w:color="auto"/>
        <w:right w:val="none" w:sz="0" w:space="0" w:color="auto"/>
      </w:divBdr>
    </w:div>
    <w:div w:id="944923399">
      <w:bodyDiv w:val="1"/>
      <w:marLeft w:val="0"/>
      <w:marRight w:val="0"/>
      <w:marTop w:val="0"/>
      <w:marBottom w:val="0"/>
      <w:divBdr>
        <w:top w:val="none" w:sz="0" w:space="0" w:color="auto"/>
        <w:left w:val="none" w:sz="0" w:space="0" w:color="auto"/>
        <w:bottom w:val="none" w:sz="0" w:space="0" w:color="auto"/>
        <w:right w:val="none" w:sz="0" w:space="0" w:color="auto"/>
      </w:divBdr>
    </w:div>
    <w:div w:id="945039807">
      <w:bodyDiv w:val="1"/>
      <w:marLeft w:val="0"/>
      <w:marRight w:val="0"/>
      <w:marTop w:val="0"/>
      <w:marBottom w:val="0"/>
      <w:divBdr>
        <w:top w:val="none" w:sz="0" w:space="0" w:color="auto"/>
        <w:left w:val="none" w:sz="0" w:space="0" w:color="auto"/>
        <w:bottom w:val="none" w:sz="0" w:space="0" w:color="auto"/>
        <w:right w:val="none" w:sz="0" w:space="0" w:color="auto"/>
      </w:divBdr>
    </w:div>
    <w:div w:id="945117653">
      <w:bodyDiv w:val="1"/>
      <w:marLeft w:val="0"/>
      <w:marRight w:val="0"/>
      <w:marTop w:val="0"/>
      <w:marBottom w:val="0"/>
      <w:divBdr>
        <w:top w:val="none" w:sz="0" w:space="0" w:color="auto"/>
        <w:left w:val="none" w:sz="0" w:space="0" w:color="auto"/>
        <w:bottom w:val="none" w:sz="0" w:space="0" w:color="auto"/>
        <w:right w:val="none" w:sz="0" w:space="0" w:color="auto"/>
      </w:divBdr>
    </w:div>
    <w:div w:id="945311930">
      <w:bodyDiv w:val="1"/>
      <w:marLeft w:val="0"/>
      <w:marRight w:val="0"/>
      <w:marTop w:val="0"/>
      <w:marBottom w:val="0"/>
      <w:divBdr>
        <w:top w:val="none" w:sz="0" w:space="0" w:color="auto"/>
        <w:left w:val="none" w:sz="0" w:space="0" w:color="auto"/>
        <w:bottom w:val="none" w:sz="0" w:space="0" w:color="auto"/>
        <w:right w:val="none" w:sz="0" w:space="0" w:color="auto"/>
      </w:divBdr>
    </w:div>
    <w:div w:id="945503188">
      <w:bodyDiv w:val="1"/>
      <w:marLeft w:val="0"/>
      <w:marRight w:val="0"/>
      <w:marTop w:val="0"/>
      <w:marBottom w:val="0"/>
      <w:divBdr>
        <w:top w:val="none" w:sz="0" w:space="0" w:color="auto"/>
        <w:left w:val="none" w:sz="0" w:space="0" w:color="auto"/>
        <w:bottom w:val="none" w:sz="0" w:space="0" w:color="auto"/>
        <w:right w:val="none" w:sz="0" w:space="0" w:color="auto"/>
      </w:divBdr>
    </w:div>
    <w:div w:id="945573306">
      <w:bodyDiv w:val="1"/>
      <w:marLeft w:val="0"/>
      <w:marRight w:val="0"/>
      <w:marTop w:val="0"/>
      <w:marBottom w:val="0"/>
      <w:divBdr>
        <w:top w:val="none" w:sz="0" w:space="0" w:color="auto"/>
        <w:left w:val="none" w:sz="0" w:space="0" w:color="auto"/>
        <w:bottom w:val="none" w:sz="0" w:space="0" w:color="auto"/>
        <w:right w:val="none" w:sz="0" w:space="0" w:color="auto"/>
      </w:divBdr>
    </w:div>
    <w:div w:id="945579965">
      <w:bodyDiv w:val="1"/>
      <w:marLeft w:val="0"/>
      <w:marRight w:val="0"/>
      <w:marTop w:val="0"/>
      <w:marBottom w:val="0"/>
      <w:divBdr>
        <w:top w:val="none" w:sz="0" w:space="0" w:color="auto"/>
        <w:left w:val="none" w:sz="0" w:space="0" w:color="auto"/>
        <w:bottom w:val="none" w:sz="0" w:space="0" w:color="auto"/>
        <w:right w:val="none" w:sz="0" w:space="0" w:color="auto"/>
      </w:divBdr>
    </w:div>
    <w:div w:id="945767298">
      <w:bodyDiv w:val="1"/>
      <w:marLeft w:val="0"/>
      <w:marRight w:val="0"/>
      <w:marTop w:val="0"/>
      <w:marBottom w:val="0"/>
      <w:divBdr>
        <w:top w:val="none" w:sz="0" w:space="0" w:color="auto"/>
        <w:left w:val="none" w:sz="0" w:space="0" w:color="auto"/>
        <w:bottom w:val="none" w:sz="0" w:space="0" w:color="auto"/>
        <w:right w:val="none" w:sz="0" w:space="0" w:color="auto"/>
      </w:divBdr>
    </w:div>
    <w:div w:id="945846869">
      <w:bodyDiv w:val="1"/>
      <w:marLeft w:val="0"/>
      <w:marRight w:val="0"/>
      <w:marTop w:val="0"/>
      <w:marBottom w:val="0"/>
      <w:divBdr>
        <w:top w:val="none" w:sz="0" w:space="0" w:color="auto"/>
        <w:left w:val="none" w:sz="0" w:space="0" w:color="auto"/>
        <w:bottom w:val="none" w:sz="0" w:space="0" w:color="auto"/>
        <w:right w:val="none" w:sz="0" w:space="0" w:color="auto"/>
      </w:divBdr>
    </w:div>
    <w:div w:id="945890883">
      <w:bodyDiv w:val="1"/>
      <w:marLeft w:val="0"/>
      <w:marRight w:val="0"/>
      <w:marTop w:val="0"/>
      <w:marBottom w:val="0"/>
      <w:divBdr>
        <w:top w:val="none" w:sz="0" w:space="0" w:color="auto"/>
        <w:left w:val="none" w:sz="0" w:space="0" w:color="auto"/>
        <w:bottom w:val="none" w:sz="0" w:space="0" w:color="auto"/>
        <w:right w:val="none" w:sz="0" w:space="0" w:color="auto"/>
      </w:divBdr>
    </w:div>
    <w:div w:id="946078745">
      <w:bodyDiv w:val="1"/>
      <w:marLeft w:val="0"/>
      <w:marRight w:val="0"/>
      <w:marTop w:val="0"/>
      <w:marBottom w:val="0"/>
      <w:divBdr>
        <w:top w:val="none" w:sz="0" w:space="0" w:color="auto"/>
        <w:left w:val="none" w:sz="0" w:space="0" w:color="auto"/>
        <w:bottom w:val="none" w:sz="0" w:space="0" w:color="auto"/>
        <w:right w:val="none" w:sz="0" w:space="0" w:color="auto"/>
      </w:divBdr>
    </w:div>
    <w:div w:id="946081012">
      <w:bodyDiv w:val="1"/>
      <w:marLeft w:val="0"/>
      <w:marRight w:val="0"/>
      <w:marTop w:val="0"/>
      <w:marBottom w:val="0"/>
      <w:divBdr>
        <w:top w:val="none" w:sz="0" w:space="0" w:color="auto"/>
        <w:left w:val="none" w:sz="0" w:space="0" w:color="auto"/>
        <w:bottom w:val="none" w:sz="0" w:space="0" w:color="auto"/>
        <w:right w:val="none" w:sz="0" w:space="0" w:color="auto"/>
      </w:divBdr>
    </w:div>
    <w:div w:id="946083494">
      <w:bodyDiv w:val="1"/>
      <w:marLeft w:val="0"/>
      <w:marRight w:val="0"/>
      <w:marTop w:val="0"/>
      <w:marBottom w:val="0"/>
      <w:divBdr>
        <w:top w:val="none" w:sz="0" w:space="0" w:color="auto"/>
        <w:left w:val="none" w:sz="0" w:space="0" w:color="auto"/>
        <w:bottom w:val="none" w:sz="0" w:space="0" w:color="auto"/>
        <w:right w:val="none" w:sz="0" w:space="0" w:color="auto"/>
      </w:divBdr>
    </w:div>
    <w:div w:id="946083826">
      <w:bodyDiv w:val="1"/>
      <w:marLeft w:val="0"/>
      <w:marRight w:val="0"/>
      <w:marTop w:val="0"/>
      <w:marBottom w:val="0"/>
      <w:divBdr>
        <w:top w:val="none" w:sz="0" w:space="0" w:color="auto"/>
        <w:left w:val="none" w:sz="0" w:space="0" w:color="auto"/>
        <w:bottom w:val="none" w:sz="0" w:space="0" w:color="auto"/>
        <w:right w:val="none" w:sz="0" w:space="0" w:color="auto"/>
      </w:divBdr>
    </w:div>
    <w:div w:id="946236265">
      <w:bodyDiv w:val="1"/>
      <w:marLeft w:val="0"/>
      <w:marRight w:val="0"/>
      <w:marTop w:val="0"/>
      <w:marBottom w:val="0"/>
      <w:divBdr>
        <w:top w:val="none" w:sz="0" w:space="0" w:color="auto"/>
        <w:left w:val="none" w:sz="0" w:space="0" w:color="auto"/>
        <w:bottom w:val="none" w:sz="0" w:space="0" w:color="auto"/>
        <w:right w:val="none" w:sz="0" w:space="0" w:color="auto"/>
      </w:divBdr>
    </w:div>
    <w:div w:id="946307016">
      <w:bodyDiv w:val="1"/>
      <w:marLeft w:val="0"/>
      <w:marRight w:val="0"/>
      <w:marTop w:val="0"/>
      <w:marBottom w:val="0"/>
      <w:divBdr>
        <w:top w:val="none" w:sz="0" w:space="0" w:color="auto"/>
        <w:left w:val="none" w:sz="0" w:space="0" w:color="auto"/>
        <w:bottom w:val="none" w:sz="0" w:space="0" w:color="auto"/>
        <w:right w:val="none" w:sz="0" w:space="0" w:color="auto"/>
      </w:divBdr>
    </w:div>
    <w:div w:id="946498286">
      <w:bodyDiv w:val="1"/>
      <w:marLeft w:val="0"/>
      <w:marRight w:val="0"/>
      <w:marTop w:val="0"/>
      <w:marBottom w:val="0"/>
      <w:divBdr>
        <w:top w:val="none" w:sz="0" w:space="0" w:color="auto"/>
        <w:left w:val="none" w:sz="0" w:space="0" w:color="auto"/>
        <w:bottom w:val="none" w:sz="0" w:space="0" w:color="auto"/>
        <w:right w:val="none" w:sz="0" w:space="0" w:color="auto"/>
      </w:divBdr>
    </w:div>
    <w:div w:id="946499522">
      <w:bodyDiv w:val="1"/>
      <w:marLeft w:val="0"/>
      <w:marRight w:val="0"/>
      <w:marTop w:val="0"/>
      <w:marBottom w:val="0"/>
      <w:divBdr>
        <w:top w:val="none" w:sz="0" w:space="0" w:color="auto"/>
        <w:left w:val="none" w:sz="0" w:space="0" w:color="auto"/>
        <w:bottom w:val="none" w:sz="0" w:space="0" w:color="auto"/>
        <w:right w:val="none" w:sz="0" w:space="0" w:color="auto"/>
      </w:divBdr>
    </w:div>
    <w:div w:id="946540906">
      <w:bodyDiv w:val="1"/>
      <w:marLeft w:val="0"/>
      <w:marRight w:val="0"/>
      <w:marTop w:val="0"/>
      <w:marBottom w:val="0"/>
      <w:divBdr>
        <w:top w:val="none" w:sz="0" w:space="0" w:color="auto"/>
        <w:left w:val="none" w:sz="0" w:space="0" w:color="auto"/>
        <w:bottom w:val="none" w:sz="0" w:space="0" w:color="auto"/>
        <w:right w:val="none" w:sz="0" w:space="0" w:color="auto"/>
      </w:divBdr>
    </w:div>
    <w:div w:id="946543320">
      <w:bodyDiv w:val="1"/>
      <w:marLeft w:val="0"/>
      <w:marRight w:val="0"/>
      <w:marTop w:val="0"/>
      <w:marBottom w:val="0"/>
      <w:divBdr>
        <w:top w:val="none" w:sz="0" w:space="0" w:color="auto"/>
        <w:left w:val="none" w:sz="0" w:space="0" w:color="auto"/>
        <w:bottom w:val="none" w:sz="0" w:space="0" w:color="auto"/>
        <w:right w:val="none" w:sz="0" w:space="0" w:color="auto"/>
      </w:divBdr>
    </w:div>
    <w:div w:id="946617074">
      <w:bodyDiv w:val="1"/>
      <w:marLeft w:val="0"/>
      <w:marRight w:val="0"/>
      <w:marTop w:val="0"/>
      <w:marBottom w:val="0"/>
      <w:divBdr>
        <w:top w:val="none" w:sz="0" w:space="0" w:color="auto"/>
        <w:left w:val="none" w:sz="0" w:space="0" w:color="auto"/>
        <w:bottom w:val="none" w:sz="0" w:space="0" w:color="auto"/>
        <w:right w:val="none" w:sz="0" w:space="0" w:color="auto"/>
      </w:divBdr>
    </w:div>
    <w:div w:id="946622982">
      <w:bodyDiv w:val="1"/>
      <w:marLeft w:val="0"/>
      <w:marRight w:val="0"/>
      <w:marTop w:val="0"/>
      <w:marBottom w:val="0"/>
      <w:divBdr>
        <w:top w:val="none" w:sz="0" w:space="0" w:color="auto"/>
        <w:left w:val="none" w:sz="0" w:space="0" w:color="auto"/>
        <w:bottom w:val="none" w:sz="0" w:space="0" w:color="auto"/>
        <w:right w:val="none" w:sz="0" w:space="0" w:color="auto"/>
      </w:divBdr>
    </w:div>
    <w:div w:id="946624384">
      <w:bodyDiv w:val="1"/>
      <w:marLeft w:val="0"/>
      <w:marRight w:val="0"/>
      <w:marTop w:val="0"/>
      <w:marBottom w:val="0"/>
      <w:divBdr>
        <w:top w:val="none" w:sz="0" w:space="0" w:color="auto"/>
        <w:left w:val="none" w:sz="0" w:space="0" w:color="auto"/>
        <w:bottom w:val="none" w:sz="0" w:space="0" w:color="auto"/>
        <w:right w:val="none" w:sz="0" w:space="0" w:color="auto"/>
      </w:divBdr>
    </w:div>
    <w:div w:id="946734439">
      <w:bodyDiv w:val="1"/>
      <w:marLeft w:val="0"/>
      <w:marRight w:val="0"/>
      <w:marTop w:val="0"/>
      <w:marBottom w:val="0"/>
      <w:divBdr>
        <w:top w:val="none" w:sz="0" w:space="0" w:color="auto"/>
        <w:left w:val="none" w:sz="0" w:space="0" w:color="auto"/>
        <w:bottom w:val="none" w:sz="0" w:space="0" w:color="auto"/>
        <w:right w:val="none" w:sz="0" w:space="0" w:color="auto"/>
      </w:divBdr>
    </w:div>
    <w:div w:id="946817444">
      <w:bodyDiv w:val="1"/>
      <w:marLeft w:val="0"/>
      <w:marRight w:val="0"/>
      <w:marTop w:val="0"/>
      <w:marBottom w:val="0"/>
      <w:divBdr>
        <w:top w:val="none" w:sz="0" w:space="0" w:color="auto"/>
        <w:left w:val="none" w:sz="0" w:space="0" w:color="auto"/>
        <w:bottom w:val="none" w:sz="0" w:space="0" w:color="auto"/>
        <w:right w:val="none" w:sz="0" w:space="0" w:color="auto"/>
      </w:divBdr>
    </w:div>
    <w:div w:id="946959454">
      <w:bodyDiv w:val="1"/>
      <w:marLeft w:val="0"/>
      <w:marRight w:val="0"/>
      <w:marTop w:val="0"/>
      <w:marBottom w:val="0"/>
      <w:divBdr>
        <w:top w:val="none" w:sz="0" w:space="0" w:color="auto"/>
        <w:left w:val="none" w:sz="0" w:space="0" w:color="auto"/>
        <w:bottom w:val="none" w:sz="0" w:space="0" w:color="auto"/>
        <w:right w:val="none" w:sz="0" w:space="0" w:color="auto"/>
      </w:divBdr>
    </w:div>
    <w:div w:id="946962339">
      <w:bodyDiv w:val="1"/>
      <w:marLeft w:val="0"/>
      <w:marRight w:val="0"/>
      <w:marTop w:val="0"/>
      <w:marBottom w:val="0"/>
      <w:divBdr>
        <w:top w:val="none" w:sz="0" w:space="0" w:color="auto"/>
        <w:left w:val="none" w:sz="0" w:space="0" w:color="auto"/>
        <w:bottom w:val="none" w:sz="0" w:space="0" w:color="auto"/>
        <w:right w:val="none" w:sz="0" w:space="0" w:color="auto"/>
      </w:divBdr>
    </w:div>
    <w:div w:id="947128166">
      <w:bodyDiv w:val="1"/>
      <w:marLeft w:val="0"/>
      <w:marRight w:val="0"/>
      <w:marTop w:val="0"/>
      <w:marBottom w:val="0"/>
      <w:divBdr>
        <w:top w:val="none" w:sz="0" w:space="0" w:color="auto"/>
        <w:left w:val="none" w:sz="0" w:space="0" w:color="auto"/>
        <w:bottom w:val="none" w:sz="0" w:space="0" w:color="auto"/>
        <w:right w:val="none" w:sz="0" w:space="0" w:color="auto"/>
      </w:divBdr>
    </w:div>
    <w:div w:id="947548707">
      <w:bodyDiv w:val="1"/>
      <w:marLeft w:val="0"/>
      <w:marRight w:val="0"/>
      <w:marTop w:val="0"/>
      <w:marBottom w:val="0"/>
      <w:divBdr>
        <w:top w:val="none" w:sz="0" w:space="0" w:color="auto"/>
        <w:left w:val="none" w:sz="0" w:space="0" w:color="auto"/>
        <w:bottom w:val="none" w:sz="0" w:space="0" w:color="auto"/>
        <w:right w:val="none" w:sz="0" w:space="0" w:color="auto"/>
      </w:divBdr>
    </w:div>
    <w:div w:id="947665882">
      <w:bodyDiv w:val="1"/>
      <w:marLeft w:val="0"/>
      <w:marRight w:val="0"/>
      <w:marTop w:val="0"/>
      <w:marBottom w:val="0"/>
      <w:divBdr>
        <w:top w:val="none" w:sz="0" w:space="0" w:color="auto"/>
        <w:left w:val="none" w:sz="0" w:space="0" w:color="auto"/>
        <w:bottom w:val="none" w:sz="0" w:space="0" w:color="auto"/>
        <w:right w:val="none" w:sz="0" w:space="0" w:color="auto"/>
      </w:divBdr>
    </w:div>
    <w:div w:id="947666732">
      <w:bodyDiv w:val="1"/>
      <w:marLeft w:val="0"/>
      <w:marRight w:val="0"/>
      <w:marTop w:val="0"/>
      <w:marBottom w:val="0"/>
      <w:divBdr>
        <w:top w:val="none" w:sz="0" w:space="0" w:color="auto"/>
        <w:left w:val="none" w:sz="0" w:space="0" w:color="auto"/>
        <w:bottom w:val="none" w:sz="0" w:space="0" w:color="auto"/>
        <w:right w:val="none" w:sz="0" w:space="0" w:color="auto"/>
      </w:divBdr>
    </w:div>
    <w:div w:id="947853252">
      <w:bodyDiv w:val="1"/>
      <w:marLeft w:val="0"/>
      <w:marRight w:val="0"/>
      <w:marTop w:val="0"/>
      <w:marBottom w:val="0"/>
      <w:divBdr>
        <w:top w:val="none" w:sz="0" w:space="0" w:color="auto"/>
        <w:left w:val="none" w:sz="0" w:space="0" w:color="auto"/>
        <w:bottom w:val="none" w:sz="0" w:space="0" w:color="auto"/>
        <w:right w:val="none" w:sz="0" w:space="0" w:color="auto"/>
      </w:divBdr>
    </w:div>
    <w:div w:id="947853954">
      <w:bodyDiv w:val="1"/>
      <w:marLeft w:val="0"/>
      <w:marRight w:val="0"/>
      <w:marTop w:val="0"/>
      <w:marBottom w:val="0"/>
      <w:divBdr>
        <w:top w:val="none" w:sz="0" w:space="0" w:color="auto"/>
        <w:left w:val="none" w:sz="0" w:space="0" w:color="auto"/>
        <w:bottom w:val="none" w:sz="0" w:space="0" w:color="auto"/>
        <w:right w:val="none" w:sz="0" w:space="0" w:color="auto"/>
      </w:divBdr>
    </w:div>
    <w:div w:id="947856490">
      <w:bodyDiv w:val="1"/>
      <w:marLeft w:val="0"/>
      <w:marRight w:val="0"/>
      <w:marTop w:val="0"/>
      <w:marBottom w:val="0"/>
      <w:divBdr>
        <w:top w:val="none" w:sz="0" w:space="0" w:color="auto"/>
        <w:left w:val="none" w:sz="0" w:space="0" w:color="auto"/>
        <w:bottom w:val="none" w:sz="0" w:space="0" w:color="auto"/>
        <w:right w:val="none" w:sz="0" w:space="0" w:color="auto"/>
      </w:divBdr>
    </w:div>
    <w:div w:id="947934597">
      <w:bodyDiv w:val="1"/>
      <w:marLeft w:val="0"/>
      <w:marRight w:val="0"/>
      <w:marTop w:val="0"/>
      <w:marBottom w:val="0"/>
      <w:divBdr>
        <w:top w:val="none" w:sz="0" w:space="0" w:color="auto"/>
        <w:left w:val="none" w:sz="0" w:space="0" w:color="auto"/>
        <w:bottom w:val="none" w:sz="0" w:space="0" w:color="auto"/>
        <w:right w:val="none" w:sz="0" w:space="0" w:color="auto"/>
      </w:divBdr>
    </w:div>
    <w:div w:id="947934772">
      <w:bodyDiv w:val="1"/>
      <w:marLeft w:val="0"/>
      <w:marRight w:val="0"/>
      <w:marTop w:val="0"/>
      <w:marBottom w:val="0"/>
      <w:divBdr>
        <w:top w:val="none" w:sz="0" w:space="0" w:color="auto"/>
        <w:left w:val="none" w:sz="0" w:space="0" w:color="auto"/>
        <w:bottom w:val="none" w:sz="0" w:space="0" w:color="auto"/>
        <w:right w:val="none" w:sz="0" w:space="0" w:color="auto"/>
      </w:divBdr>
    </w:div>
    <w:div w:id="948053369">
      <w:bodyDiv w:val="1"/>
      <w:marLeft w:val="0"/>
      <w:marRight w:val="0"/>
      <w:marTop w:val="0"/>
      <w:marBottom w:val="0"/>
      <w:divBdr>
        <w:top w:val="none" w:sz="0" w:space="0" w:color="auto"/>
        <w:left w:val="none" w:sz="0" w:space="0" w:color="auto"/>
        <w:bottom w:val="none" w:sz="0" w:space="0" w:color="auto"/>
        <w:right w:val="none" w:sz="0" w:space="0" w:color="auto"/>
      </w:divBdr>
    </w:div>
    <w:div w:id="948196966">
      <w:bodyDiv w:val="1"/>
      <w:marLeft w:val="0"/>
      <w:marRight w:val="0"/>
      <w:marTop w:val="0"/>
      <w:marBottom w:val="0"/>
      <w:divBdr>
        <w:top w:val="none" w:sz="0" w:space="0" w:color="auto"/>
        <w:left w:val="none" w:sz="0" w:space="0" w:color="auto"/>
        <w:bottom w:val="none" w:sz="0" w:space="0" w:color="auto"/>
        <w:right w:val="none" w:sz="0" w:space="0" w:color="auto"/>
      </w:divBdr>
    </w:div>
    <w:div w:id="948395173">
      <w:bodyDiv w:val="1"/>
      <w:marLeft w:val="0"/>
      <w:marRight w:val="0"/>
      <w:marTop w:val="0"/>
      <w:marBottom w:val="0"/>
      <w:divBdr>
        <w:top w:val="none" w:sz="0" w:space="0" w:color="auto"/>
        <w:left w:val="none" w:sz="0" w:space="0" w:color="auto"/>
        <w:bottom w:val="none" w:sz="0" w:space="0" w:color="auto"/>
        <w:right w:val="none" w:sz="0" w:space="0" w:color="auto"/>
      </w:divBdr>
    </w:div>
    <w:div w:id="948505637">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48774702">
      <w:bodyDiv w:val="1"/>
      <w:marLeft w:val="0"/>
      <w:marRight w:val="0"/>
      <w:marTop w:val="0"/>
      <w:marBottom w:val="0"/>
      <w:divBdr>
        <w:top w:val="none" w:sz="0" w:space="0" w:color="auto"/>
        <w:left w:val="none" w:sz="0" w:space="0" w:color="auto"/>
        <w:bottom w:val="none" w:sz="0" w:space="0" w:color="auto"/>
        <w:right w:val="none" w:sz="0" w:space="0" w:color="auto"/>
      </w:divBdr>
    </w:div>
    <w:div w:id="948776866">
      <w:bodyDiv w:val="1"/>
      <w:marLeft w:val="0"/>
      <w:marRight w:val="0"/>
      <w:marTop w:val="0"/>
      <w:marBottom w:val="0"/>
      <w:divBdr>
        <w:top w:val="none" w:sz="0" w:space="0" w:color="auto"/>
        <w:left w:val="none" w:sz="0" w:space="0" w:color="auto"/>
        <w:bottom w:val="none" w:sz="0" w:space="0" w:color="auto"/>
        <w:right w:val="none" w:sz="0" w:space="0" w:color="auto"/>
      </w:divBdr>
    </w:div>
    <w:div w:id="948853216">
      <w:bodyDiv w:val="1"/>
      <w:marLeft w:val="0"/>
      <w:marRight w:val="0"/>
      <w:marTop w:val="0"/>
      <w:marBottom w:val="0"/>
      <w:divBdr>
        <w:top w:val="none" w:sz="0" w:space="0" w:color="auto"/>
        <w:left w:val="none" w:sz="0" w:space="0" w:color="auto"/>
        <w:bottom w:val="none" w:sz="0" w:space="0" w:color="auto"/>
        <w:right w:val="none" w:sz="0" w:space="0" w:color="auto"/>
      </w:divBdr>
    </w:div>
    <w:div w:id="948856102">
      <w:bodyDiv w:val="1"/>
      <w:marLeft w:val="0"/>
      <w:marRight w:val="0"/>
      <w:marTop w:val="0"/>
      <w:marBottom w:val="0"/>
      <w:divBdr>
        <w:top w:val="none" w:sz="0" w:space="0" w:color="auto"/>
        <w:left w:val="none" w:sz="0" w:space="0" w:color="auto"/>
        <w:bottom w:val="none" w:sz="0" w:space="0" w:color="auto"/>
        <w:right w:val="none" w:sz="0" w:space="0" w:color="auto"/>
      </w:divBdr>
    </w:div>
    <w:div w:id="948857581">
      <w:bodyDiv w:val="1"/>
      <w:marLeft w:val="0"/>
      <w:marRight w:val="0"/>
      <w:marTop w:val="0"/>
      <w:marBottom w:val="0"/>
      <w:divBdr>
        <w:top w:val="none" w:sz="0" w:space="0" w:color="auto"/>
        <w:left w:val="none" w:sz="0" w:space="0" w:color="auto"/>
        <w:bottom w:val="none" w:sz="0" w:space="0" w:color="auto"/>
        <w:right w:val="none" w:sz="0" w:space="0" w:color="auto"/>
      </w:divBdr>
    </w:div>
    <w:div w:id="949047463">
      <w:bodyDiv w:val="1"/>
      <w:marLeft w:val="0"/>
      <w:marRight w:val="0"/>
      <w:marTop w:val="0"/>
      <w:marBottom w:val="0"/>
      <w:divBdr>
        <w:top w:val="none" w:sz="0" w:space="0" w:color="auto"/>
        <w:left w:val="none" w:sz="0" w:space="0" w:color="auto"/>
        <w:bottom w:val="none" w:sz="0" w:space="0" w:color="auto"/>
        <w:right w:val="none" w:sz="0" w:space="0" w:color="auto"/>
      </w:divBdr>
    </w:div>
    <w:div w:id="949095023">
      <w:bodyDiv w:val="1"/>
      <w:marLeft w:val="0"/>
      <w:marRight w:val="0"/>
      <w:marTop w:val="0"/>
      <w:marBottom w:val="0"/>
      <w:divBdr>
        <w:top w:val="none" w:sz="0" w:space="0" w:color="auto"/>
        <w:left w:val="none" w:sz="0" w:space="0" w:color="auto"/>
        <w:bottom w:val="none" w:sz="0" w:space="0" w:color="auto"/>
        <w:right w:val="none" w:sz="0" w:space="0" w:color="auto"/>
      </w:divBdr>
    </w:div>
    <w:div w:id="949118612">
      <w:bodyDiv w:val="1"/>
      <w:marLeft w:val="0"/>
      <w:marRight w:val="0"/>
      <w:marTop w:val="0"/>
      <w:marBottom w:val="0"/>
      <w:divBdr>
        <w:top w:val="none" w:sz="0" w:space="0" w:color="auto"/>
        <w:left w:val="none" w:sz="0" w:space="0" w:color="auto"/>
        <w:bottom w:val="none" w:sz="0" w:space="0" w:color="auto"/>
        <w:right w:val="none" w:sz="0" w:space="0" w:color="auto"/>
      </w:divBdr>
    </w:div>
    <w:div w:id="949164675">
      <w:bodyDiv w:val="1"/>
      <w:marLeft w:val="0"/>
      <w:marRight w:val="0"/>
      <w:marTop w:val="0"/>
      <w:marBottom w:val="0"/>
      <w:divBdr>
        <w:top w:val="none" w:sz="0" w:space="0" w:color="auto"/>
        <w:left w:val="none" w:sz="0" w:space="0" w:color="auto"/>
        <w:bottom w:val="none" w:sz="0" w:space="0" w:color="auto"/>
        <w:right w:val="none" w:sz="0" w:space="0" w:color="auto"/>
      </w:divBdr>
    </w:div>
    <w:div w:id="949169540">
      <w:bodyDiv w:val="1"/>
      <w:marLeft w:val="0"/>
      <w:marRight w:val="0"/>
      <w:marTop w:val="0"/>
      <w:marBottom w:val="0"/>
      <w:divBdr>
        <w:top w:val="none" w:sz="0" w:space="0" w:color="auto"/>
        <w:left w:val="none" w:sz="0" w:space="0" w:color="auto"/>
        <w:bottom w:val="none" w:sz="0" w:space="0" w:color="auto"/>
        <w:right w:val="none" w:sz="0" w:space="0" w:color="auto"/>
      </w:divBdr>
    </w:div>
    <w:div w:id="949361258">
      <w:bodyDiv w:val="1"/>
      <w:marLeft w:val="0"/>
      <w:marRight w:val="0"/>
      <w:marTop w:val="0"/>
      <w:marBottom w:val="0"/>
      <w:divBdr>
        <w:top w:val="none" w:sz="0" w:space="0" w:color="auto"/>
        <w:left w:val="none" w:sz="0" w:space="0" w:color="auto"/>
        <w:bottom w:val="none" w:sz="0" w:space="0" w:color="auto"/>
        <w:right w:val="none" w:sz="0" w:space="0" w:color="auto"/>
      </w:divBdr>
    </w:div>
    <w:div w:id="949434719">
      <w:bodyDiv w:val="1"/>
      <w:marLeft w:val="0"/>
      <w:marRight w:val="0"/>
      <w:marTop w:val="0"/>
      <w:marBottom w:val="0"/>
      <w:divBdr>
        <w:top w:val="none" w:sz="0" w:space="0" w:color="auto"/>
        <w:left w:val="none" w:sz="0" w:space="0" w:color="auto"/>
        <w:bottom w:val="none" w:sz="0" w:space="0" w:color="auto"/>
        <w:right w:val="none" w:sz="0" w:space="0" w:color="auto"/>
      </w:divBdr>
    </w:div>
    <w:div w:id="949507737">
      <w:bodyDiv w:val="1"/>
      <w:marLeft w:val="0"/>
      <w:marRight w:val="0"/>
      <w:marTop w:val="0"/>
      <w:marBottom w:val="0"/>
      <w:divBdr>
        <w:top w:val="none" w:sz="0" w:space="0" w:color="auto"/>
        <w:left w:val="none" w:sz="0" w:space="0" w:color="auto"/>
        <w:bottom w:val="none" w:sz="0" w:space="0" w:color="auto"/>
        <w:right w:val="none" w:sz="0" w:space="0" w:color="auto"/>
      </w:divBdr>
    </w:div>
    <w:div w:id="949624954">
      <w:bodyDiv w:val="1"/>
      <w:marLeft w:val="0"/>
      <w:marRight w:val="0"/>
      <w:marTop w:val="0"/>
      <w:marBottom w:val="0"/>
      <w:divBdr>
        <w:top w:val="none" w:sz="0" w:space="0" w:color="auto"/>
        <w:left w:val="none" w:sz="0" w:space="0" w:color="auto"/>
        <w:bottom w:val="none" w:sz="0" w:space="0" w:color="auto"/>
        <w:right w:val="none" w:sz="0" w:space="0" w:color="auto"/>
      </w:divBdr>
    </w:div>
    <w:div w:id="949625749">
      <w:bodyDiv w:val="1"/>
      <w:marLeft w:val="0"/>
      <w:marRight w:val="0"/>
      <w:marTop w:val="0"/>
      <w:marBottom w:val="0"/>
      <w:divBdr>
        <w:top w:val="none" w:sz="0" w:space="0" w:color="auto"/>
        <w:left w:val="none" w:sz="0" w:space="0" w:color="auto"/>
        <w:bottom w:val="none" w:sz="0" w:space="0" w:color="auto"/>
        <w:right w:val="none" w:sz="0" w:space="0" w:color="auto"/>
      </w:divBdr>
    </w:div>
    <w:div w:id="949626751">
      <w:bodyDiv w:val="1"/>
      <w:marLeft w:val="0"/>
      <w:marRight w:val="0"/>
      <w:marTop w:val="0"/>
      <w:marBottom w:val="0"/>
      <w:divBdr>
        <w:top w:val="none" w:sz="0" w:space="0" w:color="auto"/>
        <w:left w:val="none" w:sz="0" w:space="0" w:color="auto"/>
        <w:bottom w:val="none" w:sz="0" w:space="0" w:color="auto"/>
        <w:right w:val="none" w:sz="0" w:space="0" w:color="auto"/>
      </w:divBdr>
    </w:div>
    <w:div w:id="949632305">
      <w:bodyDiv w:val="1"/>
      <w:marLeft w:val="0"/>
      <w:marRight w:val="0"/>
      <w:marTop w:val="0"/>
      <w:marBottom w:val="0"/>
      <w:divBdr>
        <w:top w:val="none" w:sz="0" w:space="0" w:color="auto"/>
        <w:left w:val="none" w:sz="0" w:space="0" w:color="auto"/>
        <w:bottom w:val="none" w:sz="0" w:space="0" w:color="auto"/>
        <w:right w:val="none" w:sz="0" w:space="0" w:color="auto"/>
      </w:divBdr>
    </w:div>
    <w:div w:id="949700670">
      <w:bodyDiv w:val="1"/>
      <w:marLeft w:val="0"/>
      <w:marRight w:val="0"/>
      <w:marTop w:val="0"/>
      <w:marBottom w:val="0"/>
      <w:divBdr>
        <w:top w:val="none" w:sz="0" w:space="0" w:color="auto"/>
        <w:left w:val="none" w:sz="0" w:space="0" w:color="auto"/>
        <w:bottom w:val="none" w:sz="0" w:space="0" w:color="auto"/>
        <w:right w:val="none" w:sz="0" w:space="0" w:color="auto"/>
      </w:divBdr>
    </w:div>
    <w:div w:id="949778978">
      <w:bodyDiv w:val="1"/>
      <w:marLeft w:val="0"/>
      <w:marRight w:val="0"/>
      <w:marTop w:val="0"/>
      <w:marBottom w:val="0"/>
      <w:divBdr>
        <w:top w:val="none" w:sz="0" w:space="0" w:color="auto"/>
        <w:left w:val="none" w:sz="0" w:space="0" w:color="auto"/>
        <w:bottom w:val="none" w:sz="0" w:space="0" w:color="auto"/>
        <w:right w:val="none" w:sz="0" w:space="0" w:color="auto"/>
      </w:divBdr>
    </w:div>
    <w:div w:id="949819834">
      <w:bodyDiv w:val="1"/>
      <w:marLeft w:val="0"/>
      <w:marRight w:val="0"/>
      <w:marTop w:val="0"/>
      <w:marBottom w:val="0"/>
      <w:divBdr>
        <w:top w:val="none" w:sz="0" w:space="0" w:color="auto"/>
        <w:left w:val="none" w:sz="0" w:space="0" w:color="auto"/>
        <w:bottom w:val="none" w:sz="0" w:space="0" w:color="auto"/>
        <w:right w:val="none" w:sz="0" w:space="0" w:color="auto"/>
      </w:divBdr>
    </w:div>
    <w:div w:id="949820137">
      <w:bodyDiv w:val="1"/>
      <w:marLeft w:val="0"/>
      <w:marRight w:val="0"/>
      <w:marTop w:val="0"/>
      <w:marBottom w:val="0"/>
      <w:divBdr>
        <w:top w:val="none" w:sz="0" w:space="0" w:color="auto"/>
        <w:left w:val="none" w:sz="0" w:space="0" w:color="auto"/>
        <w:bottom w:val="none" w:sz="0" w:space="0" w:color="auto"/>
        <w:right w:val="none" w:sz="0" w:space="0" w:color="auto"/>
      </w:divBdr>
    </w:div>
    <w:div w:id="949894233">
      <w:bodyDiv w:val="1"/>
      <w:marLeft w:val="0"/>
      <w:marRight w:val="0"/>
      <w:marTop w:val="0"/>
      <w:marBottom w:val="0"/>
      <w:divBdr>
        <w:top w:val="none" w:sz="0" w:space="0" w:color="auto"/>
        <w:left w:val="none" w:sz="0" w:space="0" w:color="auto"/>
        <w:bottom w:val="none" w:sz="0" w:space="0" w:color="auto"/>
        <w:right w:val="none" w:sz="0" w:space="0" w:color="auto"/>
      </w:divBdr>
    </w:div>
    <w:div w:id="949895825">
      <w:bodyDiv w:val="1"/>
      <w:marLeft w:val="0"/>
      <w:marRight w:val="0"/>
      <w:marTop w:val="0"/>
      <w:marBottom w:val="0"/>
      <w:divBdr>
        <w:top w:val="none" w:sz="0" w:space="0" w:color="auto"/>
        <w:left w:val="none" w:sz="0" w:space="0" w:color="auto"/>
        <w:bottom w:val="none" w:sz="0" w:space="0" w:color="auto"/>
        <w:right w:val="none" w:sz="0" w:space="0" w:color="auto"/>
      </w:divBdr>
    </w:div>
    <w:div w:id="950085995">
      <w:bodyDiv w:val="1"/>
      <w:marLeft w:val="0"/>
      <w:marRight w:val="0"/>
      <w:marTop w:val="0"/>
      <w:marBottom w:val="0"/>
      <w:divBdr>
        <w:top w:val="none" w:sz="0" w:space="0" w:color="auto"/>
        <w:left w:val="none" w:sz="0" w:space="0" w:color="auto"/>
        <w:bottom w:val="none" w:sz="0" w:space="0" w:color="auto"/>
        <w:right w:val="none" w:sz="0" w:space="0" w:color="auto"/>
      </w:divBdr>
    </w:div>
    <w:div w:id="950089168">
      <w:bodyDiv w:val="1"/>
      <w:marLeft w:val="0"/>
      <w:marRight w:val="0"/>
      <w:marTop w:val="0"/>
      <w:marBottom w:val="0"/>
      <w:divBdr>
        <w:top w:val="none" w:sz="0" w:space="0" w:color="auto"/>
        <w:left w:val="none" w:sz="0" w:space="0" w:color="auto"/>
        <w:bottom w:val="none" w:sz="0" w:space="0" w:color="auto"/>
        <w:right w:val="none" w:sz="0" w:space="0" w:color="auto"/>
      </w:divBdr>
    </w:div>
    <w:div w:id="950237816">
      <w:bodyDiv w:val="1"/>
      <w:marLeft w:val="0"/>
      <w:marRight w:val="0"/>
      <w:marTop w:val="0"/>
      <w:marBottom w:val="0"/>
      <w:divBdr>
        <w:top w:val="none" w:sz="0" w:space="0" w:color="auto"/>
        <w:left w:val="none" w:sz="0" w:space="0" w:color="auto"/>
        <w:bottom w:val="none" w:sz="0" w:space="0" w:color="auto"/>
        <w:right w:val="none" w:sz="0" w:space="0" w:color="auto"/>
      </w:divBdr>
    </w:div>
    <w:div w:id="950403693">
      <w:bodyDiv w:val="1"/>
      <w:marLeft w:val="0"/>
      <w:marRight w:val="0"/>
      <w:marTop w:val="0"/>
      <w:marBottom w:val="0"/>
      <w:divBdr>
        <w:top w:val="none" w:sz="0" w:space="0" w:color="auto"/>
        <w:left w:val="none" w:sz="0" w:space="0" w:color="auto"/>
        <w:bottom w:val="none" w:sz="0" w:space="0" w:color="auto"/>
        <w:right w:val="none" w:sz="0" w:space="0" w:color="auto"/>
      </w:divBdr>
    </w:div>
    <w:div w:id="950627391">
      <w:bodyDiv w:val="1"/>
      <w:marLeft w:val="0"/>
      <w:marRight w:val="0"/>
      <w:marTop w:val="0"/>
      <w:marBottom w:val="0"/>
      <w:divBdr>
        <w:top w:val="none" w:sz="0" w:space="0" w:color="auto"/>
        <w:left w:val="none" w:sz="0" w:space="0" w:color="auto"/>
        <w:bottom w:val="none" w:sz="0" w:space="0" w:color="auto"/>
        <w:right w:val="none" w:sz="0" w:space="0" w:color="auto"/>
      </w:divBdr>
    </w:div>
    <w:div w:id="950628618">
      <w:bodyDiv w:val="1"/>
      <w:marLeft w:val="0"/>
      <w:marRight w:val="0"/>
      <w:marTop w:val="0"/>
      <w:marBottom w:val="0"/>
      <w:divBdr>
        <w:top w:val="none" w:sz="0" w:space="0" w:color="auto"/>
        <w:left w:val="none" w:sz="0" w:space="0" w:color="auto"/>
        <w:bottom w:val="none" w:sz="0" w:space="0" w:color="auto"/>
        <w:right w:val="none" w:sz="0" w:space="0" w:color="auto"/>
      </w:divBdr>
    </w:div>
    <w:div w:id="950631674">
      <w:bodyDiv w:val="1"/>
      <w:marLeft w:val="0"/>
      <w:marRight w:val="0"/>
      <w:marTop w:val="0"/>
      <w:marBottom w:val="0"/>
      <w:divBdr>
        <w:top w:val="none" w:sz="0" w:space="0" w:color="auto"/>
        <w:left w:val="none" w:sz="0" w:space="0" w:color="auto"/>
        <w:bottom w:val="none" w:sz="0" w:space="0" w:color="auto"/>
        <w:right w:val="none" w:sz="0" w:space="0" w:color="auto"/>
      </w:divBdr>
    </w:div>
    <w:div w:id="950667923">
      <w:bodyDiv w:val="1"/>
      <w:marLeft w:val="0"/>
      <w:marRight w:val="0"/>
      <w:marTop w:val="0"/>
      <w:marBottom w:val="0"/>
      <w:divBdr>
        <w:top w:val="none" w:sz="0" w:space="0" w:color="auto"/>
        <w:left w:val="none" w:sz="0" w:space="0" w:color="auto"/>
        <w:bottom w:val="none" w:sz="0" w:space="0" w:color="auto"/>
        <w:right w:val="none" w:sz="0" w:space="0" w:color="auto"/>
      </w:divBdr>
    </w:div>
    <w:div w:id="950866868">
      <w:bodyDiv w:val="1"/>
      <w:marLeft w:val="0"/>
      <w:marRight w:val="0"/>
      <w:marTop w:val="0"/>
      <w:marBottom w:val="0"/>
      <w:divBdr>
        <w:top w:val="none" w:sz="0" w:space="0" w:color="auto"/>
        <w:left w:val="none" w:sz="0" w:space="0" w:color="auto"/>
        <w:bottom w:val="none" w:sz="0" w:space="0" w:color="auto"/>
        <w:right w:val="none" w:sz="0" w:space="0" w:color="auto"/>
      </w:divBdr>
    </w:div>
    <w:div w:id="950943019">
      <w:bodyDiv w:val="1"/>
      <w:marLeft w:val="0"/>
      <w:marRight w:val="0"/>
      <w:marTop w:val="0"/>
      <w:marBottom w:val="0"/>
      <w:divBdr>
        <w:top w:val="none" w:sz="0" w:space="0" w:color="auto"/>
        <w:left w:val="none" w:sz="0" w:space="0" w:color="auto"/>
        <w:bottom w:val="none" w:sz="0" w:space="0" w:color="auto"/>
        <w:right w:val="none" w:sz="0" w:space="0" w:color="auto"/>
      </w:divBdr>
    </w:div>
    <w:div w:id="951009249">
      <w:bodyDiv w:val="1"/>
      <w:marLeft w:val="0"/>
      <w:marRight w:val="0"/>
      <w:marTop w:val="0"/>
      <w:marBottom w:val="0"/>
      <w:divBdr>
        <w:top w:val="none" w:sz="0" w:space="0" w:color="auto"/>
        <w:left w:val="none" w:sz="0" w:space="0" w:color="auto"/>
        <w:bottom w:val="none" w:sz="0" w:space="0" w:color="auto"/>
        <w:right w:val="none" w:sz="0" w:space="0" w:color="auto"/>
      </w:divBdr>
    </w:div>
    <w:div w:id="951132614">
      <w:bodyDiv w:val="1"/>
      <w:marLeft w:val="0"/>
      <w:marRight w:val="0"/>
      <w:marTop w:val="0"/>
      <w:marBottom w:val="0"/>
      <w:divBdr>
        <w:top w:val="none" w:sz="0" w:space="0" w:color="auto"/>
        <w:left w:val="none" w:sz="0" w:space="0" w:color="auto"/>
        <w:bottom w:val="none" w:sz="0" w:space="0" w:color="auto"/>
        <w:right w:val="none" w:sz="0" w:space="0" w:color="auto"/>
      </w:divBdr>
    </w:div>
    <w:div w:id="951278825">
      <w:bodyDiv w:val="1"/>
      <w:marLeft w:val="0"/>
      <w:marRight w:val="0"/>
      <w:marTop w:val="0"/>
      <w:marBottom w:val="0"/>
      <w:divBdr>
        <w:top w:val="none" w:sz="0" w:space="0" w:color="auto"/>
        <w:left w:val="none" w:sz="0" w:space="0" w:color="auto"/>
        <w:bottom w:val="none" w:sz="0" w:space="0" w:color="auto"/>
        <w:right w:val="none" w:sz="0" w:space="0" w:color="auto"/>
      </w:divBdr>
    </w:div>
    <w:div w:id="951278896">
      <w:bodyDiv w:val="1"/>
      <w:marLeft w:val="0"/>
      <w:marRight w:val="0"/>
      <w:marTop w:val="0"/>
      <w:marBottom w:val="0"/>
      <w:divBdr>
        <w:top w:val="none" w:sz="0" w:space="0" w:color="auto"/>
        <w:left w:val="none" w:sz="0" w:space="0" w:color="auto"/>
        <w:bottom w:val="none" w:sz="0" w:space="0" w:color="auto"/>
        <w:right w:val="none" w:sz="0" w:space="0" w:color="auto"/>
      </w:divBdr>
    </w:div>
    <w:div w:id="951522529">
      <w:bodyDiv w:val="1"/>
      <w:marLeft w:val="0"/>
      <w:marRight w:val="0"/>
      <w:marTop w:val="0"/>
      <w:marBottom w:val="0"/>
      <w:divBdr>
        <w:top w:val="none" w:sz="0" w:space="0" w:color="auto"/>
        <w:left w:val="none" w:sz="0" w:space="0" w:color="auto"/>
        <w:bottom w:val="none" w:sz="0" w:space="0" w:color="auto"/>
        <w:right w:val="none" w:sz="0" w:space="0" w:color="auto"/>
      </w:divBdr>
    </w:div>
    <w:div w:id="951594840">
      <w:bodyDiv w:val="1"/>
      <w:marLeft w:val="0"/>
      <w:marRight w:val="0"/>
      <w:marTop w:val="0"/>
      <w:marBottom w:val="0"/>
      <w:divBdr>
        <w:top w:val="none" w:sz="0" w:space="0" w:color="auto"/>
        <w:left w:val="none" w:sz="0" w:space="0" w:color="auto"/>
        <w:bottom w:val="none" w:sz="0" w:space="0" w:color="auto"/>
        <w:right w:val="none" w:sz="0" w:space="0" w:color="auto"/>
      </w:divBdr>
    </w:div>
    <w:div w:id="951715759">
      <w:bodyDiv w:val="1"/>
      <w:marLeft w:val="0"/>
      <w:marRight w:val="0"/>
      <w:marTop w:val="0"/>
      <w:marBottom w:val="0"/>
      <w:divBdr>
        <w:top w:val="none" w:sz="0" w:space="0" w:color="auto"/>
        <w:left w:val="none" w:sz="0" w:space="0" w:color="auto"/>
        <w:bottom w:val="none" w:sz="0" w:space="0" w:color="auto"/>
        <w:right w:val="none" w:sz="0" w:space="0" w:color="auto"/>
      </w:divBdr>
    </w:div>
    <w:div w:id="951782644">
      <w:bodyDiv w:val="1"/>
      <w:marLeft w:val="0"/>
      <w:marRight w:val="0"/>
      <w:marTop w:val="0"/>
      <w:marBottom w:val="0"/>
      <w:divBdr>
        <w:top w:val="none" w:sz="0" w:space="0" w:color="auto"/>
        <w:left w:val="none" w:sz="0" w:space="0" w:color="auto"/>
        <w:bottom w:val="none" w:sz="0" w:space="0" w:color="auto"/>
        <w:right w:val="none" w:sz="0" w:space="0" w:color="auto"/>
      </w:divBdr>
    </w:div>
    <w:div w:id="951863085">
      <w:bodyDiv w:val="1"/>
      <w:marLeft w:val="0"/>
      <w:marRight w:val="0"/>
      <w:marTop w:val="0"/>
      <w:marBottom w:val="0"/>
      <w:divBdr>
        <w:top w:val="none" w:sz="0" w:space="0" w:color="auto"/>
        <w:left w:val="none" w:sz="0" w:space="0" w:color="auto"/>
        <w:bottom w:val="none" w:sz="0" w:space="0" w:color="auto"/>
        <w:right w:val="none" w:sz="0" w:space="0" w:color="auto"/>
      </w:divBdr>
    </w:div>
    <w:div w:id="951984870">
      <w:bodyDiv w:val="1"/>
      <w:marLeft w:val="0"/>
      <w:marRight w:val="0"/>
      <w:marTop w:val="0"/>
      <w:marBottom w:val="0"/>
      <w:divBdr>
        <w:top w:val="none" w:sz="0" w:space="0" w:color="auto"/>
        <w:left w:val="none" w:sz="0" w:space="0" w:color="auto"/>
        <w:bottom w:val="none" w:sz="0" w:space="0" w:color="auto"/>
        <w:right w:val="none" w:sz="0" w:space="0" w:color="auto"/>
      </w:divBdr>
    </w:div>
    <w:div w:id="952055658">
      <w:bodyDiv w:val="1"/>
      <w:marLeft w:val="0"/>
      <w:marRight w:val="0"/>
      <w:marTop w:val="0"/>
      <w:marBottom w:val="0"/>
      <w:divBdr>
        <w:top w:val="none" w:sz="0" w:space="0" w:color="auto"/>
        <w:left w:val="none" w:sz="0" w:space="0" w:color="auto"/>
        <w:bottom w:val="none" w:sz="0" w:space="0" w:color="auto"/>
        <w:right w:val="none" w:sz="0" w:space="0" w:color="auto"/>
      </w:divBdr>
    </w:div>
    <w:div w:id="952057112">
      <w:bodyDiv w:val="1"/>
      <w:marLeft w:val="0"/>
      <w:marRight w:val="0"/>
      <w:marTop w:val="0"/>
      <w:marBottom w:val="0"/>
      <w:divBdr>
        <w:top w:val="none" w:sz="0" w:space="0" w:color="auto"/>
        <w:left w:val="none" w:sz="0" w:space="0" w:color="auto"/>
        <w:bottom w:val="none" w:sz="0" w:space="0" w:color="auto"/>
        <w:right w:val="none" w:sz="0" w:space="0" w:color="auto"/>
      </w:divBdr>
    </w:div>
    <w:div w:id="952204208">
      <w:bodyDiv w:val="1"/>
      <w:marLeft w:val="0"/>
      <w:marRight w:val="0"/>
      <w:marTop w:val="0"/>
      <w:marBottom w:val="0"/>
      <w:divBdr>
        <w:top w:val="none" w:sz="0" w:space="0" w:color="auto"/>
        <w:left w:val="none" w:sz="0" w:space="0" w:color="auto"/>
        <w:bottom w:val="none" w:sz="0" w:space="0" w:color="auto"/>
        <w:right w:val="none" w:sz="0" w:space="0" w:color="auto"/>
      </w:divBdr>
    </w:div>
    <w:div w:id="952247713">
      <w:bodyDiv w:val="1"/>
      <w:marLeft w:val="0"/>
      <w:marRight w:val="0"/>
      <w:marTop w:val="0"/>
      <w:marBottom w:val="0"/>
      <w:divBdr>
        <w:top w:val="none" w:sz="0" w:space="0" w:color="auto"/>
        <w:left w:val="none" w:sz="0" w:space="0" w:color="auto"/>
        <w:bottom w:val="none" w:sz="0" w:space="0" w:color="auto"/>
        <w:right w:val="none" w:sz="0" w:space="0" w:color="auto"/>
      </w:divBdr>
    </w:div>
    <w:div w:id="952437590">
      <w:bodyDiv w:val="1"/>
      <w:marLeft w:val="0"/>
      <w:marRight w:val="0"/>
      <w:marTop w:val="0"/>
      <w:marBottom w:val="0"/>
      <w:divBdr>
        <w:top w:val="none" w:sz="0" w:space="0" w:color="auto"/>
        <w:left w:val="none" w:sz="0" w:space="0" w:color="auto"/>
        <w:bottom w:val="none" w:sz="0" w:space="0" w:color="auto"/>
        <w:right w:val="none" w:sz="0" w:space="0" w:color="auto"/>
      </w:divBdr>
    </w:div>
    <w:div w:id="952441278">
      <w:bodyDiv w:val="1"/>
      <w:marLeft w:val="0"/>
      <w:marRight w:val="0"/>
      <w:marTop w:val="0"/>
      <w:marBottom w:val="0"/>
      <w:divBdr>
        <w:top w:val="none" w:sz="0" w:space="0" w:color="auto"/>
        <w:left w:val="none" w:sz="0" w:space="0" w:color="auto"/>
        <w:bottom w:val="none" w:sz="0" w:space="0" w:color="auto"/>
        <w:right w:val="none" w:sz="0" w:space="0" w:color="auto"/>
      </w:divBdr>
    </w:div>
    <w:div w:id="952445781">
      <w:bodyDiv w:val="1"/>
      <w:marLeft w:val="0"/>
      <w:marRight w:val="0"/>
      <w:marTop w:val="0"/>
      <w:marBottom w:val="0"/>
      <w:divBdr>
        <w:top w:val="none" w:sz="0" w:space="0" w:color="auto"/>
        <w:left w:val="none" w:sz="0" w:space="0" w:color="auto"/>
        <w:bottom w:val="none" w:sz="0" w:space="0" w:color="auto"/>
        <w:right w:val="none" w:sz="0" w:space="0" w:color="auto"/>
      </w:divBdr>
    </w:div>
    <w:div w:id="952445934">
      <w:bodyDiv w:val="1"/>
      <w:marLeft w:val="0"/>
      <w:marRight w:val="0"/>
      <w:marTop w:val="0"/>
      <w:marBottom w:val="0"/>
      <w:divBdr>
        <w:top w:val="none" w:sz="0" w:space="0" w:color="auto"/>
        <w:left w:val="none" w:sz="0" w:space="0" w:color="auto"/>
        <w:bottom w:val="none" w:sz="0" w:space="0" w:color="auto"/>
        <w:right w:val="none" w:sz="0" w:space="0" w:color="auto"/>
      </w:divBdr>
    </w:div>
    <w:div w:id="952589433">
      <w:bodyDiv w:val="1"/>
      <w:marLeft w:val="0"/>
      <w:marRight w:val="0"/>
      <w:marTop w:val="0"/>
      <w:marBottom w:val="0"/>
      <w:divBdr>
        <w:top w:val="none" w:sz="0" w:space="0" w:color="auto"/>
        <w:left w:val="none" w:sz="0" w:space="0" w:color="auto"/>
        <w:bottom w:val="none" w:sz="0" w:space="0" w:color="auto"/>
        <w:right w:val="none" w:sz="0" w:space="0" w:color="auto"/>
      </w:divBdr>
    </w:div>
    <w:div w:id="952594426">
      <w:bodyDiv w:val="1"/>
      <w:marLeft w:val="0"/>
      <w:marRight w:val="0"/>
      <w:marTop w:val="0"/>
      <w:marBottom w:val="0"/>
      <w:divBdr>
        <w:top w:val="none" w:sz="0" w:space="0" w:color="auto"/>
        <w:left w:val="none" w:sz="0" w:space="0" w:color="auto"/>
        <w:bottom w:val="none" w:sz="0" w:space="0" w:color="auto"/>
        <w:right w:val="none" w:sz="0" w:space="0" w:color="auto"/>
      </w:divBdr>
    </w:div>
    <w:div w:id="952638783">
      <w:bodyDiv w:val="1"/>
      <w:marLeft w:val="0"/>
      <w:marRight w:val="0"/>
      <w:marTop w:val="0"/>
      <w:marBottom w:val="0"/>
      <w:divBdr>
        <w:top w:val="none" w:sz="0" w:space="0" w:color="auto"/>
        <w:left w:val="none" w:sz="0" w:space="0" w:color="auto"/>
        <w:bottom w:val="none" w:sz="0" w:space="0" w:color="auto"/>
        <w:right w:val="none" w:sz="0" w:space="0" w:color="auto"/>
      </w:divBdr>
    </w:div>
    <w:div w:id="952711311">
      <w:bodyDiv w:val="1"/>
      <w:marLeft w:val="0"/>
      <w:marRight w:val="0"/>
      <w:marTop w:val="0"/>
      <w:marBottom w:val="0"/>
      <w:divBdr>
        <w:top w:val="none" w:sz="0" w:space="0" w:color="auto"/>
        <w:left w:val="none" w:sz="0" w:space="0" w:color="auto"/>
        <w:bottom w:val="none" w:sz="0" w:space="0" w:color="auto"/>
        <w:right w:val="none" w:sz="0" w:space="0" w:color="auto"/>
      </w:divBdr>
    </w:div>
    <w:div w:id="952789837">
      <w:bodyDiv w:val="1"/>
      <w:marLeft w:val="0"/>
      <w:marRight w:val="0"/>
      <w:marTop w:val="0"/>
      <w:marBottom w:val="0"/>
      <w:divBdr>
        <w:top w:val="none" w:sz="0" w:space="0" w:color="auto"/>
        <w:left w:val="none" w:sz="0" w:space="0" w:color="auto"/>
        <w:bottom w:val="none" w:sz="0" w:space="0" w:color="auto"/>
        <w:right w:val="none" w:sz="0" w:space="0" w:color="auto"/>
      </w:divBdr>
    </w:div>
    <w:div w:id="952858262">
      <w:bodyDiv w:val="1"/>
      <w:marLeft w:val="0"/>
      <w:marRight w:val="0"/>
      <w:marTop w:val="0"/>
      <w:marBottom w:val="0"/>
      <w:divBdr>
        <w:top w:val="none" w:sz="0" w:space="0" w:color="auto"/>
        <w:left w:val="none" w:sz="0" w:space="0" w:color="auto"/>
        <w:bottom w:val="none" w:sz="0" w:space="0" w:color="auto"/>
        <w:right w:val="none" w:sz="0" w:space="0" w:color="auto"/>
      </w:divBdr>
    </w:div>
    <w:div w:id="952899882">
      <w:bodyDiv w:val="1"/>
      <w:marLeft w:val="0"/>
      <w:marRight w:val="0"/>
      <w:marTop w:val="0"/>
      <w:marBottom w:val="0"/>
      <w:divBdr>
        <w:top w:val="none" w:sz="0" w:space="0" w:color="auto"/>
        <w:left w:val="none" w:sz="0" w:space="0" w:color="auto"/>
        <w:bottom w:val="none" w:sz="0" w:space="0" w:color="auto"/>
        <w:right w:val="none" w:sz="0" w:space="0" w:color="auto"/>
      </w:divBdr>
    </w:div>
    <w:div w:id="953052145">
      <w:bodyDiv w:val="1"/>
      <w:marLeft w:val="0"/>
      <w:marRight w:val="0"/>
      <w:marTop w:val="0"/>
      <w:marBottom w:val="0"/>
      <w:divBdr>
        <w:top w:val="none" w:sz="0" w:space="0" w:color="auto"/>
        <w:left w:val="none" w:sz="0" w:space="0" w:color="auto"/>
        <w:bottom w:val="none" w:sz="0" w:space="0" w:color="auto"/>
        <w:right w:val="none" w:sz="0" w:space="0" w:color="auto"/>
      </w:divBdr>
    </w:div>
    <w:div w:id="953098703">
      <w:bodyDiv w:val="1"/>
      <w:marLeft w:val="0"/>
      <w:marRight w:val="0"/>
      <w:marTop w:val="0"/>
      <w:marBottom w:val="0"/>
      <w:divBdr>
        <w:top w:val="none" w:sz="0" w:space="0" w:color="auto"/>
        <w:left w:val="none" w:sz="0" w:space="0" w:color="auto"/>
        <w:bottom w:val="none" w:sz="0" w:space="0" w:color="auto"/>
        <w:right w:val="none" w:sz="0" w:space="0" w:color="auto"/>
      </w:divBdr>
    </w:div>
    <w:div w:id="953171536">
      <w:bodyDiv w:val="1"/>
      <w:marLeft w:val="0"/>
      <w:marRight w:val="0"/>
      <w:marTop w:val="0"/>
      <w:marBottom w:val="0"/>
      <w:divBdr>
        <w:top w:val="none" w:sz="0" w:space="0" w:color="auto"/>
        <w:left w:val="none" w:sz="0" w:space="0" w:color="auto"/>
        <w:bottom w:val="none" w:sz="0" w:space="0" w:color="auto"/>
        <w:right w:val="none" w:sz="0" w:space="0" w:color="auto"/>
      </w:divBdr>
    </w:div>
    <w:div w:id="953174005">
      <w:bodyDiv w:val="1"/>
      <w:marLeft w:val="0"/>
      <w:marRight w:val="0"/>
      <w:marTop w:val="0"/>
      <w:marBottom w:val="0"/>
      <w:divBdr>
        <w:top w:val="none" w:sz="0" w:space="0" w:color="auto"/>
        <w:left w:val="none" w:sz="0" w:space="0" w:color="auto"/>
        <w:bottom w:val="none" w:sz="0" w:space="0" w:color="auto"/>
        <w:right w:val="none" w:sz="0" w:space="0" w:color="auto"/>
      </w:divBdr>
    </w:div>
    <w:div w:id="953250918">
      <w:bodyDiv w:val="1"/>
      <w:marLeft w:val="0"/>
      <w:marRight w:val="0"/>
      <w:marTop w:val="0"/>
      <w:marBottom w:val="0"/>
      <w:divBdr>
        <w:top w:val="none" w:sz="0" w:space="0" w:color="auto"/>
        <w:left w:val="none" w:sz="0" w:space="0" w:color="auto"/>
        <w:bottom w:val="none" w:sz="0" w:space="0" w:color="auto"/>
        <w:right w:val="none" w:sz="0" w:space="0" w:color="auto"/>
      </w:divBdr>
    </w:div>
    <w:div w:id="953488783">
      <w:bodyDiv w:val="1"/>
      <w:marLeft w:val="0"/>
      <w:marRight w:val="0"/>
      <w:marTop w:val="0"/>
      <w:marBottom w:val="0"/>
      <w:divBdr>
        <w:top w:val="none" w:sz="0" w:space="0" w:color="auto"/>
        <w:left w:val="none" w:sz="0" w:space="0" w:color="auto"/>
        <w:bottom w:val="none" w:sz="0" w:space="0" w:color="auto"/>
        <w:right w:val="none" w:sz="0" w:space="0" w:color="auto"/>
      </w:divBdr>
    </w:div>
    <w:div w:id="953709896">
      <w:bodyDiv w:val="1"/>
      <w:marLeft w:val="0"/>
      <w:marRight w:val="0"/>
      <w:marTop w:val="0"/>
      <w:marBottom w:val="0"/>
      <w:divBdr>
        <w:top w:val="none" w:sz="0" w:space="0" w:color="auto"/>
        <w:left w:val="none" w:sz="0" w:space="0" w:color="auto"/>
        <w:bottom w:val="none" w:sz="0" w:space="0" w:color="auto"/>
        <w:right w:val="none" w:sz="0" w:space="0" w:color="auto"/>
      </w:divBdr>
    </w:div>
    <w:div w:id="953750468">
      <w:bodyDiv w:val="1"/>
      <w:marLeft w:val="0"/>
      <w:marRight w:val="0"/>
      <w:marTop w:val="0"/>
      <w:marBottom w:val="0"/>
      <w:divBdr>
        <w:top w:val="none" w:sz="0" w:space="0" w:color="auto"/>
        <w:left w:val="none" w:sz="0" w:space="0" w:color="auto"/>
        <w:bottom w:val="none" w:sz="0" w:space="0" w:color="auto"/>
        <w:right w:val="none" w:sz="0" w:space="0" w:color="auto"/>
      </w:divBdr>
    </w:div>
    <w:div w:id="953751833">
      <w:bodyDiv w:val="1"/>
      <w:marLeft w:val="0"/>
      <w:marRight w:val="0"/>
      <w:marTop w:val="0"/>
      <w:marBottom w:val="0"/>
      <w:divBdr>
        <w:top w:val="none" w:sz="0" w:space="0" w:color="auto"/>
        <w:left w:val="none" w:sz="0" w:space="0" w:color="auto"/>
        <w:bottom w:val="none" w:sz="0" w:space="0" w:color="auto"/>
        <w:right w:val="none" w:sz="0" w:space="0" w:color="auto"/>
      </w:divBdr>
    </w:div>
    <w:div w:id="953947768">
      <w:bodyDiv w:val="1"/>
      <w:marLeft w:val="0"/>
      <w:marRight w:val="0"/>
      <w:marTop w:val="0"/>
      <w:marBottom w:val="0"/>
      <w:divBdr>
        <w:top w:val="none" w:sz="0" w:space="0" w:color="auto"/>
        <w:left w:val="none" w:sz="0" w:space="0" w:color="auto"/>
        <w:bottom w:val="none" w:sz="0" w:space="0" w:color="auto"/>
        <w:right w:val="none" w:sz="0" w:space="0" w:color="auto"/>
      </w:divBdr>
    </w:div>
    <w:div w:id="954021581">
      <w:bodyDiv w:val="1"/>
      <w:marLeft w:val="0"/>
      <w:marRight w:val="0"/>
      <w:marTop w:val="0"/>
      <w:marBottom w:val="0"/>
      <w:divBdr>
        <w:top w:val="none" w:sz="0" w:space="0" w:color="auto"/>
        <w:left w:val="none" w:sz="0" w:space="0" w:color="auto"/>
        <w:bottom w:val="none" w:sz="0" w:space="0" w:color="auto"/>
        <w:right w:val="none" w:sz="0" w:space="0" w:color="auto"/>
      </w:divBdr>
    </w:div>
    <w:div w:id="954094424">
      <w:bodyDiv w:val="1"/>
      <w:marLeft w:val="0"/>
      <w:marRight w:val="0"/>
      <w:marTop w:val="0"/>
      <w:marBottom w:val="0"/>
      <w:divBdr>
        <w:top w:val="none" w:sz="0" w:space="0" w:color="auto"/>
        <w:left w:val="none" w:sz="0" w:space="0" w:color="auto"/>
        <w:bottom w:val="none" w:sz="0" w:space="0" w:color="auto"/>
        <w:right w:val="none" w:sz="0" w:space="0" w:color="auto"/>
      </w:divBdr>
    </w:div>
    <w:div w:id="954099234">
      <w:bodyDiv w:val="1"/>
      <w:marLeft w:val="0"/>
      <w:marRight w:val="0"/>
      <w:marTop w:val="0"/>
      <w:marBottom w:val="0"/>
      <w:divBdr>
        <w:top w:val="none" w:sz="0" w:space="0" w:color="auto"/>
        <w:left w:val="none" w:sz="0" w:space="0" w:color="auto"/>
        <w:bottom w:val="none" w:sz="0" w:space="0" w:color="auto"/>
        <w:right w:val="none" w:sz="0" w:space="0" w:color="auto"/>
      </w:divBdr>
    </w:div>
    <w:div w:id="954167584">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293909">
      <w:bodyDiv w:val="1"/>
      <w:marLeft w:val="0"/>
      <w:marRight w:val="0"/>
      <w:marTop w:val="0"/>
      <w:marBottom w:val="0"/>
      <w:divBdr>
        <w:top w:val="none" w:sz="0" w:space="0" w:color="auto"/>
        <w:left w:val="none" w:sz="0" w:space="0" w:color="auto"/>
        <w:bottom w:val="none" w:sz="0" w:space="0" w:color="auto"/>
        <w:right w:val="none" w:sz="0" w:space="0" w:color="auto"/>
      </w:divBdr>
    </w:div>
    <w:div w:id="954406121">
      <w:bodyDiv w:val="1"/>
      <w:marLeft w:val="0"/>
      <w:marRight w:val="0"/>
      <w:marTop w:val="0"/>
      <w:marBottom w:val="0"/>
      <w:divBdr>
        <w:top w:val="none" w:sz="0" w:space="0" w:color="auto"/>
        <w:left w:val="none" w:sz="0" w:space="0" w:color="auto"/>
        <w:bottom w:val="none" w:sz="0" w:space="0" w:color="auto"/>
        <w:right w:val="none" w:sz="0" w:space="0" w:color="auto"/>
      </w:divBdr>
    </w:div>
    <w:div w:id="954409229">
      <w:bodyDiv w:val="1"/>
      <w:marLeft w:val="0"/>
      <w:marRight w:val="0"/>
      <w:marTop w:val="0"/>
      <w:marBottom w:val="0"/>
      <w:divBdr>
        <w:top w:val="none" w:sz="0" w:space="0" w:color="auto"/>
        <w:left w:val="none" w:sz="0" w:space="0" w:color="auto"/>
        <w:bottom w:val="none" w:sz="0" w:space="0" w:color="auto"/>
        <w:right w:val="none" w:sz="0" w:space="0" w:color="auto"/>
      </w:divBdr>
    </w:div>
    <w:div w:id="954479406">
      <w:bodyDiv w:val="1"/>
      <w:marLeft w:val="0"/>
      <w:marRight w:val="0"/>
      <w:marTop w:val="0"/>
      <w:marBottom w:val="0"/>
      <w:divBdr>
        <w:top w:val="none" w:sz="0" w:space="0" w:color="auto"/>
        <w:left w:val="none" w:sz="0" w:space="0" w:color="auto"/>
        <w:bottom w:val="none" w:sz="0" w:space="0" w:color="auto"/>
        <w:right w:val="none" w:sz="0" w:space="0" w:color="auto"/>
      </w:divBdr>
    </w:div>
    <w:div w:id="954748807">
      <w:bodyDiv w:val="1"/>
      <w:marLeft w:val="0"/>
      <w:marRight w:val="0"/>
      <w:marTop w:val="0"/>
      <w:marBottom w:val="0"/>
      <w:divBdr>
        <w:top w:val="none" w:sz="0" w:space="0" w:color="auto"/>
        <w:left w:val="none" w:sz="0" w:space="0" w:color="auto"/>
        <w:bottom w:val="none" w:sz="0" w:space="0" w:color="auto"/>
        <w:right w:val="none" w:sz="0" w:space="0" w:color="auto"/>
      </w:divBdr>
    </w:div>
    <w:div w:id="954756504">
      <w:bodyDiv w:val="1"/>
      <w:marLeft w:val="0"/>
      <w:marRight w:val="0"/>
      <w:marTop w:val="0"/>
      <w:marBottom w:val="0"/>
      <w:divBdr>
        <w:top w:val="none" w:sz="0" w:space="0" w:color="auto"/>
        <w:left w:val="none" w:sz="0" w:space="0" w:color="auto"/>
        <w:bottom w:val="none" w:sz="0" w:space="0" w:color="auto"/>
        <w:right w:val="none" w:sz="0" w:space="0" w:color="auto"/>
      </w:divBdr>
    </w:div>
    <w:div w:id="954797355">
      <w:bodyDiv w:val="1"/>
      <w:marLeft w:val="0"/>
      <w:marRight w:val="0"/>
      <w:marTop w:val="0"/>
      <w:marBottom w:val="0"/>
      <w:divBdr>
        <w:top w:val="none" w:sz="0" w:space="0" w:color="auto"/>
        <w:left w:val="none" w:sz="0" w:space="0" w:color="auto"/>
        <w:bottom w:val="none" w:sz="0" w:space="0" w:color="auto"/>
        <w:right w:val="none" w:sz="0" w:space="0" w:color="auto"/>
      </w:divBdr>
    </w:div>
    <w:div w:id="954798025">
      <w:bodyDiv w:val="1"/>
      <w:marLeft w:val="0"/>
      <w:marRight w:val="0"/>
      <w:marTop w:val="0"/>
      <w:marBottom w:val="0"/>
      <w:divBdr>
        <w:top w:val="none" w:sz="0" w:space="0" w:color="auto"/>
        <w:left w:val="none" w:sz="0" w:space="0" w:color="auto"/>
        <w:bottom w:val="none" w:sz="0" w:space="0" w:color="auto"/>
        <w:right w:val="none" w:sz="0" w:space="0" w:color="auto"/>
      </w:divBdr>
    </w:div>
    <w:div w:id="954824355">
      <w:bodyDiv w:val="1"/>
      <w:marLeft w:val="0"/>
      <w:marRight w:val="0"/>
      <w:marTop w:val="0"/>
      <w:marBottom w:val="0"/>
      <w:divBdr>
        <w:top w:val="none" w:sz="0" w:space="0" w:color="auto"/>
        <w:left w:val="none" w:sz="0" w:space="0" w:color="auto"/>
        <w:bottom w:val="none" w:sz="0" w:space="0" w:color="auto"/>
        <w:right w:val="none" w:sz="0" w:space="0" w:color="auto"/>
      </w:divBdr>
    </w:div>
    <w:div w:id="954874308">
      <w:bodyDiv w:val="1"/>
      <w:marLeft w:val="0"/>
      <w:marRight w:val="0"/>
      <w:marTop w:val="0"/>
      <w:marBottom w:val="0"/>
      <w:divBdr>
        <w:top w:val="none" w:sz="0" w:space="0" w:color="auto"/>
        <w:left w:val="none" w:sz="0" w:space="0" w:color="auto"/>
        <w:bottom w:val="none" w:sz="0" w:space="0" w:color="auto"/>
        <w:right w:val="none" w:sz="0" w:space="0" w:color="auto"/>
      </w:divBdr>
    </w:div>
    <w:div w:id="955016587">
      <w:bodyDiv w:val="1"/>
      <w:marLeft w:val="0"/>
      <w:marRight w:val="0"/>
      <w:marTop w:val="0"/>
      <w:marBottom w:val="0"/>
      <w:divBdr>
        <w:top w:val="none" w:sz="0" w:space="0" w:color="auto"/>
        <w:left w:val="none" w:sz="0" w:space="0" w:color="auto"/>
        <w:bottom w:val="none" w:sz="0" w:space="0" w:color="auto"/>
        <w:right w:val="none" w:sz="0" w:space="0" w:color="auto"/>
      </w:divBdr>
    </w:div>
    <w:div w:id="955017925">
      <w:bodyDiv w:val="1"/>
      <w:marLeft w:val="0"/>
      <w:marRight w:val="0"/>
      <w:marTop w:val="0"/>
      <w:marBottom w:val="0"/>
      <w:divBdr>
        <w:top w:val="none" w:sz="0" w:space="0" w:color="auto"/>
        <w:left w:val="none" w:sz="0" w:space="0" w:color="auto"/>
        <w:bottom w:val="none" w:sz="0" w:space="0" w:color="auto"/>
        <w:right w:val="none" w:sz="0" w:space="0" w:color="auto"/>
      </w:divBdr>
    </w:div>
    <w:div w:id="955212937">
      <w:bodyDiv w:val="1"/>
      <w:marLeft w:val="0"/>
      <w:marRight w:val="0"/>
      <w:marTop w:val="0"/>
      <w:marBottom w:val="0"/>
      <w:divBdr>
        <w:top w:val="none" w:sz="0" w:space="0" w:color="auto"/>
        <w:left w:val="none" w:sz="0" w:space="0" w:color="auto"/>
        <w:bottom w:val="none" w:sz="0" w:space="0" w:color="auto"/>
        <w:right w:val="none" w:sz="0" w:space="0" w:color="auto"/>
      </w:divBdr>
    </w:div>
    <w:div w:id="955329492">
      <w:bodyDiv w:val="1"/>
      <w:marLeft w:val="0"/>
      <w:marRight w:val="0"/>
      <w:marTop w:val="0"/>
      <w:marBottom w:val="0"/>
      <w:divBdr>
        <w:top w:val="none" w:sz="0" w:space="0" w:color="auto"/>
        <w:left w:val="none" w:sz="0" w:space="0" w:color="auto"/>
        <w:bottom w:val="none" w:sz="0" w:space="0" w:color="auto"/>
        <w:right w:val="none" w:sz="0" w:space="0" w:color="auto"/>
      </w:divBdr>
    </w:div>
    <w:div w:id="955449486">
      <w:bodyDiv w:val="1"/>
      <w:marLeft w:val="0"/>
      <w:marRight w:val="0"/>
      <w:marTop w:val="0"/>
      <w:marBottom w:val="0"/>
      <w:divBdr>
        <w:top w:val="none" w:sz="0" w:space="0" w:color="auto"/>
        <w:left w:val="none" w:sz="0" w:space="0" w:color="auto"/>
        <w:bottom w:val="none" w:sz="0" w:space="0" w:color="auto"/>
        <w:right w:val="none" w:sz="0" w:space="0" w:color="auto"/>
      </w:divBdr>
    </w:div>
    <w:div w:id="955454008">
      <w:bodyDiv w:val="1"/>
      <w:marLeft w:val="0"/>
      <w:marRight w:val="0"/>
      <w:marTop w:val="0"/>
      <w:marBottom w:val="0"/>
      <w:divBdr>
        <w:top w:val="none" w:sz="0" w:space="0" w:color="auto"/>
        <w:left w:val="none" w:sz="0" w:space="0" w:color="auto"/>
        <w:bottom w:val="none" w:sz="0" w:space="0" w:color="auto"/>
        <w:right w:val="none" w:sz="0" w:space="0" w:color="auto"/>
      </w:divBdr>
    </w:div>
    <w:div w:id="955523445">
      <w:bodyDiv w:val="1"/>
      <w:marLeft w:val="0"/>
      <w:marRight w:val="0"/>
      <w:marTop w:val="0"/>
      <w:marBottom w:val="0"/>
      <w:divBdr>
        <w:top w:val="none" w:sz="0" w:space="0" w:color="auto"/>
        <w:left w:val="none" w:sz="0" w:space="0" w:color="auto"/>
        <w:bottom w:val="none" w:sz="0" w:space="0" w:color="auto"/>
        <w:right w:val="none" w:sz="0" w:space="0" w:color="auto"/>
      </w:divBdr>
    </w:div>
    <w:div w:id="955675061">
      <w:bodyDiv w:val="1"/>
      <w:marLeft w:val="0"/>
      <w:marRight w:val="0"/>
      <w:marTop w:val="0"/>
      <w:marBottom w:val="0"/>
      <w:divBdr>
        <w:top w:val="none" w:sz="0" w:space="0" w:color="auto"/>
        <w:left w:val="none" w:sz="0" w:space="0" w:color="auto"/>
        <w:bottom w:val="none" w:sz="0" w:space="0" w:color="auto"/>
        <w:right w:val="none" w:sz="0" w:space="0" w:color="auto"/>
      </w:divBdr>
    </w:div>
    <w:div w:id="955714816">
      <w:bodyDiv w:val="1"/>
      <w:marLeft w:val="0"/>
      <w:marRight w:val="0"/>
      <w:marTop w:val="0"/>
      <w:marBottom w:val="0"/>
      <w:divBdr>
        <w:top w:val="none" w:sz="0" w:space="0" w:color="auto"/>
        <w:left w:val="none" w:sz="0" w:space="0" w:color="auto"/>
        <w:bottom w:val="none" w:sz="0" w:space="0" w:color="auto"/>
        <w:right w:val="none" w:sz="0" w:space="0" w:color="auto"/>
      </w:divBdr>
    </w:div>
    <w:div w:id="955791411">
      <w:bodyDiv w:val="1"/>
      <w:marLeft w:val="0"/>
      <w:marRight w:val="0"/>
      <w:marTop w:val="0"/>
      <w:marBottom w:val="0"/>
      <w:divBdr>
        <w:top w:val="none" w:sz="0" w:space="0" w:color="auto"/>
        <w:left w:val="none" w:sz="0" w:space="0" w:color="auto"/>
        <w:bottom w:val="none" w:sz="0" w:space="0" w:color="auto"/>
        <w:right w:val="none" w:sz="0" w:space="0" w:color="auto"/>
      </w:divBdr>
    </w:div>
    <w:div w:id="955874031">
      <w:bodyDiv w:val="1"/>
      <w:marLeft w:val="0"/>
      <w:marRight w:val="0"/>
      <w:marTop w:val="0"/>
      <w:marBottom w:val="0"/>
      <w:divBdr>
        <w:top w:val="none" w:sz="0" w:space="0" w:color="auto"/>
        <w:left w:val="none" w:sz="0" w:space="0" w:color="auto"/>
        <w:bottom w:val="none" w:sz="0" w:space="0" w:color="auto"/>
        <w:right w:val="none" w:sz="0" w:space="0" w:color="auto"/>
      </w:divBdr>
    </w:div>
    <w:div w:id="955983455">
      <w:bodyDiv w:val="1"/>
      <w:marLeft w:val="0"/>
      <w:marRight w:val="0"/>
      <w:marTop w:val="0"/>
      <w:marBottom w:val="0"/>
      <w:divBdr>
        <w:top w:val="none" w:sz="0" w:space="0" w:color="auto"/>
        <w:left w:val="none" w:sz="0" w:space="0" w:color="auto"/>
        <w:bottom w:val="none" w:sz="0" w:space="0" w:color="auto"/>
        <w:right w:val="none" w:sz="0" w:space="0" w:color="auto"/>
      </w:divBdr>
    </w:div>
    <w:div w:id="956065955">
      <w:bodyDiv w:val="1"/>
      <w:marLeft w:val="0"/>
      <w:marRight w:val="0"/>
      <w:marTop w:val="0"/>
      <w:marBottom w:val="0"/>
      <w:divBdr>
        <w:top w:val="none" w:sz="0" w:space="0" w:color="auto"/>
        <w:left w:val="none" w:sz="0" w:space="0" w:color="auto"/>
        <w:bottom w:val="none" w:sz="0" w:space="0" w:color="auto"/>
        <w:right w:val="none" w:sz="0" w:space="0" w:color="auto"/>
      </w:divBdr>
    </w:div>
    <w:div w:id="956105604">
      <w:bodyDiv w:val="1"/>
      <w:marLeft w:val="0"/>
      <w:marRight w:val="0"/>
      <w:marTop w:val="0"/>
      <w:marBottom w:val="0"/>
      <w:divBdr>
        <w:top w:val="none" w:sz="0" w:space="0" w:color="auto"/>
        <w:left w:val="none" w:sz="0" w:space="0" w:color="auto"/>
        <w:bottom w:val="none" w:sz="0" w:space="0" w:color="auto"/>
        <w:right w:val="none" w:sz="0" w:space="0" w:color="auto"/>
      </w:divBdr>
    </w:div>
    <w:div w:id="956179082">
      <w:bodyDiv w:val="1"/>
      <w:marLeft w:val="0"/>
      <w:marRight w:val="0"/>
      <w:marTop w:val="0"/>
      <w:marBottom w:val="0"/>
      <w:divBdr>
        <w:top w:val="none" w:sz="0" w:space="0" w:color="auto"/>
        <w:left w:val="none" w:sz="0" w:space="0" w:color="auto"/>
        <w:bottom w:val="none" w:sz="0" w:space="0" w:color="auto"/>
        <w:right w:val="none" w:sz="0" w:space="0" w:color="auto"/>
      </w:divBdr>
    </w:div>
    <w:div w:id="956250846">
      <w:bodyDiv w:val="1"/>
      <w:marLeft w:val="0"/>
      <w:marRight w:val="0"/>
      <w:marTop w:val="0"/>
      <w:marBottom w:val="0"/>
      <w:divBdr>
        <w:top w:val="none" w:sz="0" w:space="0" w:color="auto"/>
        <w:left w:val="none" w:sz="0" w:space="0" w:color="auto"/>
        <w:bottom w:val="none" w:sz="0" w:space="0" w:color="auto"/>
        <w:right w:val="none" w:sz="0" w:space="0" w:color="auto"/>
      </w:divBdr>
    </w:div>
    <w:div w:id="956252919">
      <w:bodyDiv w:val="1"/>
      <w:marLeft w:val="0"/>
      <w:marRight w:val="0"/>
      <w:marTop w:val="0"/>
      <w:marBottom w:val="0"/>
      <w:divBdr>
        <w:top w:val="none" w:sz="0" w:space="0" w:color="auto"/>
        <w:left w:val="none" w:sz="0" w:space="0" w:color="auto"/>
        <w:bottom w:val="none" w:sz="0" w:space="0" w:color="auto"/>
        <w:right w:val="none" w:sz="0" w:space="0" w:color="auto"/>
      </w:divBdr>
    </w:div>
    <w:div w:id="956330138">
      <w:bodyDiv w:val="1"/>
      <w:marLeft w:val="0"/>
      <w:marRight w:val="0"/>
      <w:marTop w:val="0"/>
      <w:marBottom w:val="0"/>
      <w:divBdr>
        <w:top w:val="none" w:sz="0" w:space="0" w:color="auto"/>
        <w:left w:val="none" w:sz="0" w:space="0" w:color="auto"/>
        <w:bottom w:val="none" w:sz="0" w:space="0" w:color="auto"/>
        <w:right w:val="none" w:sz="0" w:space="0" w:color="auto"/>
      </w:divBdr>
    </w:div>
    <w:div w:id="956373401">
      <w:bodyDiv w:val="1"/>
      <w:marLeft w:val="0"/>
      <w:marRight w:val="0"/>
      <w:marTop w:val="0"/>
      <w:marBottom w:val="0"/>
      <w:divBdr>
        <w:top w:val="none" w:sz="0" w:space="0" w:color="auto"/>
        <w:left w:val="none" w:sz="0" w:space="0" w:color="auto"/>
        <w:bottom w:val="none" w:sz="0" w:space="0" w:color="auto"/>
        <w:right w:val="none" w:sz="0" w:space="0" w:color="auto"/>
      </w:divBdr>
    </w:div>
    <w:div w:id="956444738">
      <w:bodyDiv w:val="1"/>
      <w:marLeft w:val="0"/>
      <w:marRight w:val="0"/>
      <w:marTop w:val="0"/>
      <w:marBottom w:val="0"/>
      <w:divBdr>
        <w:top w:val="none" w:sz="0" w:space="0" w:color="auto"/>
        <w:left w:val="none" w:sz="0" w:space="0" w:color="auto"/>
        <w:bottom w:val="none" w:sz="0" w:space="0" w:color="auto"/>
        <w:right w:val="none" w:sz="0" w:space="0" w:color="auto"/>
      </w:divBdr>
    </w:div>
    <w:div w:id="956764415">
      <w:bodyDiv w:val="1"/>
      <w:marLeft w:val="0"/>
      <w:marRight w:val="0"/>
      <w:marTop w:val="0"/>
      <w:marBottom w:val="0"/>
      <w:divBdr>
        <w:top w:val="none" w:sz="0" w:space="0" w:color="auto"/>
        <w:left w:val="none" w:sz="0" w:space="0" w:color="auto"/>
        <w:bottom w:val="none" w:sz="0" w:space="0" w:color="auto"/>
        <w:right w:val="none" w:sz="0" w:space="0" w:color="auto"/>
      </w:divBdr>
    </w:div>
    <w:div w:id="956788317">
      <w:bodyDiv w:val="1"/>
      <w:marLeft w:val="0"/>
      <w:marRight w:val="0"/>
      <w:marTop w:val="0"/>
      <w:marBottom w:val="0"/>
      <w:divBdr>
        <w:top w:val="none" w:sz="0" w:space="0" w:color="auto"/>
        <w:left w:val="none" w:sz="0" w:space="0" w:color="auto"/>
        <w:bottom w:val="none" w:sz="0" w:space="0" w:color="auto"/>
        <w:right w:val="none" w:sz="0" w:space="0" w:color="auto"/>
      </w:divBdr>
    </w:div>
    <w:div w:id="956789690">
      <w:bodyDiv w:val="1"/>
      <w:marLeft w:val="0"/>
      <w:marRight w:val="0"/>
      <w:marTop w:val="0"/>
      <w:marBottom w:val="0"/>
      <w:divBdr>
        <w:top w:val="none" w:sz="0" w:space="0" w:color="auto"/>
        <w:left w:val="none" w:sz="0" w:space="0" w:color="auto"/>
        <w:bottom w:val="none" w:sz="0" w:space="0" w:color="auto"/>
        <w:right w:val="none" w:sz="0" w:space="0" w:color="auto"/>
      </w:divBdr>
    </w:div>
    <w:div w:id="956907384">
      <w:bodyDiv w:val="1"/>
      <w:marLeft w:val="0"/>
      <w:marRight w:val="0"/>
      <w:marTop w:val="0"/>
      <w:marBottom w:val="0"/>
      <w:divBdr>
        <w:top w:val="none" w:sz="0" w:space="0" w:color="auto"/>
        <w:left w:val="none" w:sz="0" w:space="0" w:color="auto"/>
        <w:bottom w:val="none" w:sz="0" w:space="0" w:color="auto"/>
        <w:right w:val="none" w:sz="0" w:space="0" w:color="auto"/>
      </w:divBdr>
    </w:div>
    <w:div w:id="956912427">
      <w:bodyDiv w:val="1"/>
      <w:marLeft w:val="0"/>
      <w:marRight w:val="0"/>
      <w:marTop w:val="0"/>
      <w:marBottom w:val="0"/>
      <w:divBdr>
        <w:top w:val="none" w:sz="0" w:space="0" w:color="auto"/>
        <w:left w:val="none" w:sz="0" w:space="0" w:color="auto"/>
        <w:bottom w:val="none" w:sz="0" w:space="0" w:color="auto"/>
        <w:right w:val="none" w:sz="0" w:space="0" w:color="auto"/>
      </w:divBdr>
    </w:div>
    <w:div w:id="957100920">
      <w:bodyDiv w:val="1"/>
      <w:marLeft w:val="0"/>
      <w:marRight w:val="0"/>
      <w:marTop w:val="0"/>
      <w:marBottom w:val="0"/>
      <w:divBdr>
        <w:top w:val="none" w:sz="0" w:space="0" w:color="auto"/>
        <w:left w:val="none" w:sz="0" w:space="0" w:color="auto"/>
        <w:bottom w:val="none" w:sz="0" w:space="0" w:color="auto"/>
        <w:right w:val="none" w:sz="0" w:space="0" w:color="auto"/>
      </w:divBdr>
    </w:div>
    <w:div w:id="957179283">
      <w:bodyDiv w:val="1"/>
      <w:marLeft w:val="0"/>
      <w:marRight w:val="0"/>
      <w:marTop w:val="0"/>
      <w:marBottom w:val="0"/>
      <w:divBdr>
        <w:top w:val="none" w:sz="0" w:space="0" w:color="auto"/>
        <w:left w:val="none" w:sz="0" w:space="0" w:color="auto"/>
        <w:bottom w:val="none" w:sz="0" w:space="0" w:color="auto"/>
        <w:right w:val="none" w:sz="0" w:space="0" w:color="auto"/>
      </w:divBdr>
    </w:div>
    <w:div w:id="957220432">
      <w:bodyDiv w:val="1"/>
      <w:marLeft w:val="0"/>
      <w:marRight w:val="0"/>
      <w:marTop w:val="0"/>
      <w:marBottom w:val="0"/>
      <w:divBdr>
        <w:top w:val="none" w:sz="0" w:space="0" w:color="auto"/>
        <w:left w:val="none" w:sz="0" w:space="0" w:color="auto"/>
        <w:bottom w:val="none" w:sz="0" w:space="0" w:color="auto"/>
        <w:right w:val="none" w:sz="0" w:space="0" w:color="auto"/>
      </w:divBdr>
    </w:div>
    <w:div w:id="957225032">
      <w:bodyDiv w:val="1"/>
      <w:marLeft w:val="0"/>
      <w:marRight w:val="0"/>
      <w:marTop w:val="0"/>
      <w:marBottom w:val="0"/>
      <w:divBdr>
        <w:top w:val="none" w:sz="0" w:space="0" w:color="auto"/>
        <w:left w:val="none" w:sz="0" w:space="0" w:color="auto"/>
        <w:bottom w:val="none" w:sz="0" w:space="0" w:color="auto"/>
        <w:right w:val="none" w:sz="0" w:space="0" w:color="auto"/>
      </w:divBdr>
    </w:div>
    <w:div w:id="957251524">
      <w:bodyDiv w:val="1"/>
      <w:marLeft w:val="0"/>
      <w:marRight w:val="0"/>
      <w:marTop w:val="0"/>
      <w:marBottom w:val="0"/>
      <w:divBdr>
        <w:top w:val="none" w:sz="0" w:space="0" w:color="auto"/>
        <w:left w:val="none" w:sz="0" w:space="0" w:color="auto"/>
        <w:bottom w:val="none" w:sz="0" w:space="0" w:color="auto"/>
        <w:right w:val="none" w:sz="0" w:space="0" w:color="auto"/>
      </w:divBdr>
    </w:div>
    <w:div w:id="957298351">
      <w:bodyDiv w:val="1"/>
      <w:marLeft w:val="0"/>
      <w:marRight w:val="0"/>
      <w:marTop w:val="0"/>
      <w:marBottom w:val="0"/>
      <w:divBdr>
        <w:top w:val="none" w:sz="0" w:space="0" w:color="auto"/>
        <w:left w:val="none" w:sz="0" w:space="0" w:color="auto"/>
        <w:bottom w:val="none" w:sz="0" w:space="0" w:color="auto"/>
        <w:right w:val="none" w:sz="0" w:space="0" w:color="auto"/>
      </w:divBdr>
    </w:div>
    <w:div w:id="957445202">
      <w:bodyDiv w:val="1"/>
      <w:marLeft w:val="0"/>
      <w:marRight w:val="0"/>
      <w:marTop w:val="0"/>
      <w:marBottom w:val="0"/>
      <w:divBdr>
        <w:top w:val="none" w:sz="0" w:space="0" w:color="auto"/>
        <w:left w:val="none" w:sz="0" w:space="0" w:color="auto"/>
        <w:bottom w:val="none" w:sz="0" w:space="0" w:color="auto"/>
        <w:right w:val="none" w:sz="0" w:space="0" w:color="auto"/>
      </w:divBdr>
    </w:div>
    <w:div w:id="957495127">
      <w:bodyDiv w:val="1"/>
      <w:marLeft w:val="0"/>
      <w:marRight w:val="0"/>
      <w:marTop w:val="0"/>
      <w:marBottom w:val="0"/>
      <w:divBdr>
        <w:top w:val="none" w:sz="0" w:space="0" w:color="auto"/>
        <w:left w:val="none" w:sz="0" w:space="0" w:color="auto"/>
        <w:bottom w:val="none" w:sz="0" w:space="0" w:color="auto"/>
        <w:right w:val="none" w:sz="0" w:space="0" w:color="auto"/>
      </w:divBdr>
    </w:div>
    <w:div w:id="957570467">
      <w:bodyDiv w:val="1"/>
      <w:marLeft w:val="0"/>
      <w:marRight w:val="0"/>
      <w:marTop w:val="0"/>
      <w:marBottom w:val="0"/>
      <w:divBdr>
        <w:top w:val="none" w:sz="0" w:space="0" w:color="auto"/>
        <w:left w:val="none" w:sz="0" w:space="0" w:color="auto"/>
        <w:bottom w:val="none" w:sz="0" w:space="0" w:color="auto"/>
        <w:right w:val="none" w:sz="0" w:space="0" w:color="auto"/>
      </w:divBdr>
    </w:div>
    <w:div w:id="957570747">
      <w:bodyDiv w:val="1"/>
      <w:marLeft w:val="0"/>
      <w:marRight w:val="0"/>
      <w:marTop w:val="0"/>
      <w:marBottom w:val="0"/>
      <w:divBdr>
        <w:top w:val="none" w:sz="0" w:space="0" w:color="auto"/>
        <w:left w:val="none" w:sz="0" w:space="0" w:color="auto"/>
        <w:bottom w:val="none" w:sz="0" w:space="0" w:color="auto"/>
        <w:right w:val="none" w:sz="0" w:space="0" w:color="auto"/>
      </w:divBdr>
    </w:div>
    <w:div w:id="957683934">
      <w:bodyDiv w:val="1"/>
      <w:marLeft w:val="0"/>
      <w:marRight w:val="0"/>
      <w:marTop w:val="0"/>
      <w:marBottom w:val="0"/>
      <w:divBdr>
        <w:top w:val="none" w:sz="0" w:space="0" w:color="auto"/>
        <w:left w:val="none" w:sz="0" w:space="0" w:color="auto"/>
        <w:bottom w:val="none" w:sz="0" w:space="0" w:color="auto"/>
        <w:right w:val="none" w:sz="0" w:space="0" w:color="auto"/>
      </w:divBdr>
    </w:div>
    <w:div w:id="957836248">
      <w:bodyDiv w:val="1"/>
      <w:marLeft w:val="0"/>
      <w:marRight w:val="0"/>
      <w:marTop w:val="0"/>
      <w:marBottom w:val="0"/>
      <w:divBdr>
        <w:top w:val="none" w:sz="0" w:space="0" w:color="auto"/>
        <w:left w:val="none" w:sz="0" w:space="0" w:color="auto"/>
        <w:bottom w:val="none" w:sz="0" w:space="0" w:color="auto"/>
        <w:right w:val="none" w:sz="0" w:space="0" w:color="auto"/>
      </w:divBdr>
    </w:div>
    <w:div w:id="957905537">
      <w:bodyDiv w:val="1"/>
      <w:marLeft w:val="0"/>
      <w:marRight w:val="0"/>
      <w:marTop w:val="0"/>
      <w:marBottom w:val="0"/>
      <w:divBdr>
        <w:top w:val="none" w:sz="0" w:space="0" w:color="auto"/>
        <w:left w:val="none" w:sz="0" w:space="0" w:color="auto"/>
        <w:bottom w:val="none" w:sz="0" w:space="0" w:color="auto"/>
        <w:right w:val="none" w:sz="0" w:space="0" w:color="auto"/>
      </w:divBdr>
    </w:div>
    <w:div w:id="957949745">
      <w:bodyDiv w:val="1"/>
      <w:marLeft w:val="0"/>
      <w:marRight w:val="0"/>
      <w:marTop w:val="0"/>
      <w:marBottom w:val="0"/>
      <w:divBdr>
        <w:top w:val="none" w:sz="0" w:space="0" w:color="auto"/>
        <w:left w:val="none" w:sz="0" w:space="0" w:color="auto"/>
        <w:bottom w:val="none" w:sz="0" w:space="0" w:color="auto"/>
        <w:right w:val="none" w:sz="0" w:space="0" w:color="auto"/>
      </w:divBdr>
    </w:div>
    <w:div w:id="957949915">
      <w:bodyDiv w:val="1"/>
      <w:marLeft w:val="0"/>
      <w:marRight w:val="0"/>
      <w:marTop w:val="0"/>
      <w:marBottom w:val="0"/>
      <w:divBdr>
        <w:top w:val="none" w:sz="0" w:space="0" w:color="auto"/>
        <w:left w:val="none" w:sz="0" w:space="0" w:color="auto"/>
        <w:bottom w:val="none" w:sz="0" w:space="0" w:color="auto"/>
        <w:right w:val="none" w:sz="0" w:space="0" w:color="auto"/>
      </w:divBdr>
    </w:div>
    <w:div w:id="957950717">
      <w:bodyDiv w:val="1"/>
      <w:marLeft w:val="0"/>
      <w:marRight w:val="0"/>
      <w:marTop w:val="0"/>
      <w:marBottom w:val="0"/>
      <w:divBdr>
        <w:top w:val="none" w:sz="0" w:space="0" w:color="auto"/>
        <w:left w:val="none" w:sz="0" w:space="0" w:color="auto"/>
        <w:bottom w:val="none" w:sz="0" w:space="0" w:color="auto"/>
        <w:right w:val="none" w:sz="0" w:space="0" w:color="auto"/>
      </w:divBdr>
    </w:div>
    <w:div w:id="958029854">
      <w:bodyDiv w:val="1"/>
      <w:marLeft w:val="0"/>
      <w:marRight w:val="0"/>
      <w:marTop w:val="0"/>
      <w:marBottom w:val="0"/>
      <w:divBdr>
        <w:top w:val="none" w:sz="0" w:space="0" w:color="auto"/>
        <w:left w:val="none" w:sz="0" w:space="0" w:color="auto"/>
        <w:bottom w:val="none" w:sz="0" w:space="0" w:color="auto"/>
        <w:right w:val="none" w:sz="0" w:space="0" w:color="auto"/>
      </w:divBdr>
    </w:div>
    <w:div w:id="958071004">
      <w:bodyDiv w:val="1"/>
      <w:marLeft w:val="0"/>
      <w:marRight w:val="0"/>
      <w:marTop w:val="0"/>
      <w:marBottom w:val="0"/>
      <w:divBdr>
        <w:top w:val="none" w:sz="0" w:space="0" w:color="auto"/>
        <w:left w:val="none" w:sz="0" w:space="0" w:color="auto"/>
        <w:bottom w:val="none" w:sz="0" w:space="0" w:color="auto"/>
        <w:right w:val="none" w:sz="0" w:space="0" w:color="auto"/>
      </w:divBdr>
    </w:div>
    <w:div w:id="958146306">
      <w:bodyDiv w:val="1"/>
      <w:marLeft w:val="0"/>
      <w:marRight w:val="0"/>
      <w:marTop w:val="0"/>
      <w:marBottom w:val="0"/>
      <w:divBdr>
        <w:top w:val="none" w:sz="0" w:space="0" w:color="auto"/>
        <w:left w:val="none" w:sz="0" w:space="0" w:color="auto"/>
        <w:bottom w:val="none" w:sz="0" w:space="0" w:color="auto"/>
        <w:right w:val="none" w:sz="0" w:space="0" w:color="auto"/>
      </w:divBdr>
    </w:div>
    <w:div w:id="958217973">
      <w:bodyDiv w:val="1"/>
      <w:marLeft w:val="0"/>
      <w:marRight w:val="0"/>
      <w:marTop w:val="0"/>
      <w:marBottom w:val="0"/>
      <w:divBdr>
        <w:top w:val="none" w:sz="0" w:space="0" w:color="auto"/>
        <w:left w:val="none" w:sz="0" w:space="0" w:color="auto"/>
        <w:bottom w:val="none" w:sz="0" w:space="0" w:color="auto"/>
        <w:right w:val="none" w:sz="0" w:space="0" w:color="auto"/>
      </w:divBdr>
    </w:div>
    <w:div w:id="958225921">
      <w:bodyDiv w:val="1"/>
      <w:marLeft w:val="0"/>
      <w:marRight w:val="0"/>
      <w:marTop w:val="0"/>
      <w:marBottom w:val="0"/>
      <w:divBdr>
        <w:top w:val="none" w:sz="0" w:space="0" w:color="auto"/>
        <w:left w:val="none" w:sz="0" w:space="0" w:color="auto"/>
        <w:bottom w:val="none" w:sz="0" w:space="0" w:color="auto"/>
        <w:right w:val="none" w:sz="0" w:space="0" w:color="auto"/>
      </w:divBdr>
    </w:div>
    <w:div w:id="958299807">
      <w:bodyDiv w:val="1"/>
      <w:marLeft w:val="0"/>
      <w:marRight w:val="0"/>
      <w:marTop w:val="0"/>
      <w:marBottom w:val="0"/>
      <w:divBdr>
        <w:top w:val="none" w:sz="0" w:space="0" w:color="auto"/>
        <w:left w:val="none" w:sz="0" w:space="0" w:color="auto"/>
        <w:bottom w:val="none" w:sz="0" w:space="0" w:color="auto"/>
        <w:right w:val="none" w:sz="0" w:space="0" w:color="auto"/>
      </w:divBdr>
    </w:div>
    <w:div w:id="958535764">
      <w:bodyDiv w:val="1"/>
      <w:marLeft w:val="0"/>
      <w:marRight w:val="0"/>
      <w:marTop w:val="0"/>
      <w:marBottom w:val="0"/>
      <w:divBdr>
        <w:top w:val="none" w:sz="0" w:space="0" w:color="auto"/>
        <w:left w:val="none" w:sz="0" w:space="0" w:color="auto"/>
        <w:bottom w:val="none" w:sz="0" w:space="0" w:color="auto"/>
        <w:right w:val="none" w:sz="0" w:space="0" w:color="auto"/>
      </w:divBdr>
    </w:div>
    <w:div w:id="958679215">
      <w:bodyDiv w:val="1"/>
      <w:marLeft w:val="0"/>
      <w:marRight w:val="0"/>
      <w:marTop w:val="0"/>
      <w:marBottom w:val="0"/>
      <w:divBdr>
        <w:top w:val="none" w:sz="0" w:space="0" w:color="auto"/>
        <w:left w:val="none" w:sz="0" w:space="0" w:color="auto"/>
        <w:bottom w:val="none" w:sz="0" w:space="0" w:color="auto"/>
        <w:right w:val="none" w:sz="0" w:space="0" w:color="auto"/>
      </w:divBdr>
    </w:div>
    <w:div w:id="958683978">
      <w:bodyDiv w:val="1"/>
      <w:marLeft w:val="0"/>
      <w:marRight w:val="0"/>
      <w:marTop w:val="0"/>
      <w:marBottom w:val="0"/>
      <w:divBdr>
        <w:top w:val="none" w:sz="0" w:space="0" w:color="auto"/>
        <w:left w:val="none" w:sz="0" w:space="0" w:color="auto"/>
        <w:bottom w:val="none" w:sz="0" w:space="0" w:color="auto"/>
        <w:right w:val="none" w:sz="0" w:space="0" w:color="auto"/>
      </w:divBdr>
    </w:div>
    <w:div w:id="958756117">
      <w:bodyDiv w:val="1"/>
      <w:marLeft w:val="0"/>
      <w:marRight w:val="0"/>
      <w:marTop w:val="0"/>
      <w:marBottom w:val="0"/>
      <w:divBdr>
        <w:top w:val="none" w:sz="0" w:space="0" w:color="auto"/>
        <w:left w:val="none" w:sz="0" w:space="0" w:color="auto"/>
        <w:bottom w:val="none" w:sz="0" w:space="0" w:color="auto"/>
        <w:right w:val="none" w:sz="0" w:space="0" w:color="auto"/>
      </w:divBdr>
    </w:div>
    <w:div w:id="958802343">
      <w:bodyDiv w:val="1"/>
      <w:marLeft w:val="0"/>
      <w:marRight w:val="0"/>
      <w:marTop w:val="0"/>
      <w:marBottom w:val="0"/>
      <w:divBdr>
        <w:top w:val="none" w:sz="0" w:space="0" w:color="auto"/>
        <w:left w:val="none" w:sz="0" w:space="0" w:color="auto"/>
        <w:bottom w:val="none" w:sz="0" w:space="0" w:color="auto"/>
        <w:right w:val="none" w:sz="0" w:space="0" w:color="auto"/>
      </w:divBdr>
    </w:div>
    <w:div w:id="958880141">
      <w:bodyDiv w:val="1"/>
      <w:marLeft w:val="0"/>
      <w:marRight w:val="0"/>
      <w:marTop w:val="0"/>
      <w:marBottom w:val="0"/>
      <w:divBdr>
        <w:top w:val="none" w:sz="0" w:space="0" w:color="auto"/>
        <w:left w:val="none" w:sz="0" w:space="0" w:color="auto"/>
        <w:bottom w:val="none" w:sz="0" w:space="0" w:color="auto"/>
        <w:right w:val="none" w:sz="0" w:space="0" w:color="auto"/>
      </w:divBdr>
    </w:div>
    <w:div w:id="959065719">
      <w:bodyDiv w:val="1"/>
      <w:marLeft w:val="0"/>
      <w:marRight w:val="0"/>
      <w:marTop w:val="0"/>
      <w:marBottom w:val="0"/>
      <w:divBdr>
        <w:top w:val="none" w:sz="0" w:space="0" w:color="auto"/>
        <w:left w:val="none" w:sz="0" w:space="0" w:color="auto"/>
        <w:bottom w:val="none" w:sz="0" w:space="0" w:color="auto"/>
        <w:right w:val="none" w:sz="0" w:space="0" w:color="auto"/>
      </w:divBdr>
    </w:div>
    <w:div w:id="959186625">
      <w:bodyDiv w:val="1"/>
      <w:marLeft w:val="0"/>
      <w:marRight w:val="0"/>
      <w:marTop w:val="0"/>
      <w:marBottom w:val="0"/>
      <w:divBdr>
        <w:top w:val="none" w:sz="0" w:space="0" w:color="auto"/>
        <w:left w:val="none" w:sz="0" w:space="0" w:color="auto"/>
        <w:bottom w:val="none" w:sz="0" w:space="0" w:color="auto"/>
        <w:right w:val="none" w:sz="0" w:space="0" w:color="auto"/>
      </w:divBdr>
    </w:div>
    <w:div w:id="959191126">
      <w:bodyDiv w:val="1"/>
      <w:marLeft w:val="0"/>
      <w:marRight w:val="0"/>
      <w:marTop w:val="0"/>
      <w:marBottom w:val="0"/>
      <w:divBdr>
        <w:top w:val="none" w:sz="0" w:space="0" w:color="auto"/>
        <w:left w:val="none" w:sz="0" w:space="0" w:color="auto"/>
        <w:bottom w:val="none" w:sz="0" w:space="0" w:color="auto"/>
        <w:right w:val="none" w:sz="0" w:space="0" w:color="auto"/>
      </w:divBdr>
    </w:div>
    <w:div w:id="959337102">
      <w:bodyDiv w:val="1"/>
      <w:marLeft w:val="0"/>
      <w:marRight w:val="0"/>
      <w:marTop w:val="0"/>
      <w:marBottom w:val="0"/>
      <w:divBdr>
        <w:top w:val="none" w:sz="0" w:space="0" w:color="auto"/>
        <w:left w:val="none" w:sz="0" w:space="0" w:color="auto"/>
        <w:bottom w:val="none" w:sz="0" w:space="0" w:color="auto"/>
        <w:right w:val="none" w:sz="0" w:space="0" w:color="auto"/>
      </w:divBdr>
    </w:div>
    <w:div w:id="959337613">
      <w:bodyDiv w:val="1"/>
      <w:marLeft w:val="0"/>
      <w:marRight w:val="0"/>
      <w:marTop w:val="0"/>
      <w:marBottom w:val="0"/>
      <w:divBdr>
        <w:top w:val="none" w:sz="0" w:space="0" w:color="auto"/>
        <w:left w:val="none" w:sz="0" w:space="0" w:color="auto"/>
        <w:bottom w:val="none" w:sz="0" w:space="0" w:color="auto"/>
        <w:right w:val="none" w:sz="0" w:space="0" w:color="auto"/>
      </w:divBdr>
    </w:div>
    <w:div w:id="959342143">
      <w:bodyDiv w:val="1"/>
      <w:marLeft w:val="0"/>
      <w:marRight w:val="0"/>
      <w:marTop w:val="0"/>
      <w:marBottom w:val="0"/>
      <w:divBdr>
        <w:top w:val="none" w:sz="0" w:space="0" w:color="auto"/>
        <w:left w:val="none" w:sz="0" w:space="0" w:color="auto"/>
        <w:bottom w:val="none" w:sz="0" w:space="0" w:color="auto"/>
        <w:right w:val="none" w:sz="0" w:space="0" w:color="auto"/>
      </w:divBdr>
    </w:div>
    <w:div w:id="959386113">
      <w:bodyDiv w:val="1"/>
      <w:marLeft w:val="0"/>
      <w:marRight w:val="0"/>
      <w:marTop w:val="0"/>
      <w:marBottom w:val="0"/>
      <w:divBdr>
        <w:top w:val="none" w:sz="0" w:space="0" w:color="auto"/>
        <w:left w:val="none" w:sz="0" w:space="0" w:color="auto"/>
        <w:bottom w:val="none" w:sz="0" w:space="0" w:color="auto"/>
        <w:right w:val="none" w:sz="0" w:space="0" w:color="auto"/>
      </w:divBdr>
    </w:div>
    <w:div w:id="959452590">
      <w:bodyDiv w:val="1"/>
      <w:marLeft w:val="0"/>
      <w:marRight w:val="0"/>
      <w:marTop w:val="0"/>
      <w:marBottom w:val="0"/>
      <w:divBdr>
        <w:top w:val="none" w:sz="0" w:space="0" w:color="auto"/>
        <w:left w:val="none" w:sz="0" w:space="0" w:color="auto"/>
        <w:bottom w:val="none" w:sz="0" w:space="0" w:color="auto"/>
        <w:right w:val="none" w:sz="0" w:space="0" w:color="auto"/>
      </w:divBdr>
    </w:div>
    <w:div w:id="959455213">
      <w:bodyDiv w:val="1"/>
      <w:marLeft w:val="0"/>
      <w:marRight w:val="0"/>
      <w:marTop w:val="0"/>
      <w:marBottom w:val="0"/>
      <w:divBdr>
        <w:top w:val="none" w:sz="0" w:space="0" w:color="auto"/>
        <w:left w:val="none" w:sz="0" w:space="0" w:color="auto"/>
        <w:bottom w:val="none" w:sz="0" w:space="0" w:color="auto"/>
        <w:right w:val="none" w:sz="0" w:space="0" w:color="auto"/>
      </w:divBdr>
    </w:div>
    <w:div w:id="959801735">
      <w:bodyDiv w:val="1"/>
      <w:marLeft w:val="0"/>
      <w:marRight w:val="0"/>
      <w:marTop w:val="0"/>
      <w:marBottom w:val="0"/>
      <w:divBdr>
        <w:top w:val="none" w:sz="0" w:space="0" w:color="auto"/>
        <w:left w:val="none" w:sz="0" w:space="0" w:color="auto"/>
        <w:bottom w:val="none" w:sz="0" w:space="0" w:color="auto"/>
        <w:right w:val="none" w:sz="0" w:space="0" w:color="auto"/>
      </w:divBdr>
    </w:div>
    <w:div w:id="959804880">
      <w:bodyDiv w:val="1"/>
      <w:marLeft w:val="0"/>
      <w:marRight w:val="0"/>
      <w:marTop w:val="0"/>
      <w:marBottom w:val="0"/>
      <w:divBdr>
        <w:top w:val="none" w:sz="0" w:space="0" w:color="auto"/>
        <w:left w:val="none" w:sz="0" w:space="0" w:color="auto"/>
        <w:bottom w:val="none" w:sz="0" w:space="0" w:color="auto"/>
        <w:right w:val="none" w:sz="0" w:space="0" w:color="auto"/>
      </w:divBdr>
    </w:div>
    <w:div w:id="959842170">
      <w:bodyDiv w:val="1"/>
      <w:marLeft w:val="0"/>
      <w:marRight w:val="0"/>
      <w:marTop w:val="0"/>
      <w:marBottom w:val="0"/>
      <w:divBdr>
        <w:top w:val="none" w:sz="0" w:space="0" w:color="auto"/>
        <w:left w:val="none" w:sz="0" w:space="0" w:color="auto"/>
        <w:bottom w:val="none" w:sz="0" w:space="0" w:color="auto"/>
        <w:right w:val="none" w:sz="0" w:space="0" w:color="auto"/>
      </w:divBdr>
    </w:div>
    <w:div w:id="959871467">
      <w:bodyDiv w:val="1"/>
      <w:marLeft w:val="0"/>
      <w:marRight w:val="0"/>
      <w:marTop w:val="0"/>
      <w:marBottom w:val="0"/>
      <w:divBdr>
        <w:top w:val="none" w:sz="0" w:space="0" w:color="auto"/>
        <w:left w:val="none" w:sz="0" w:space="0" w:color="auto"/>
        <w:bottom w:val="none" w:sz="0" w:space="0" w:color="auto"/>
        <w:right w:val="none" w:sz="0" w:space="0" w:color="auto"/>
      </w:divBdr>
    </w:div>
    <w:div w:id="959919882">
      <w:bodyDiv w:val="1"/>
      <w:marLeft w:val="0"/>
      <w:marRight w:val="0"/>
      <w:marTop w:val="0"/>
      <w:marBottom w:val="0"/>
      <w:divBdr>
        <w:top w:val="none" w:sz="0" w:space="0" w:color="auto"/>
        <w:left w:val="none" w:sz="0" w:space="0" w:color="auto"/>
        <w:bottom w:val="none" w:sz="0" w:space="0" w:color="auto"/>
        <w:right w:val="none" w:sz="0" w:space="0" w:color="auto"/>
      </w:divBdr>
    </w:div>
    <w:div w:id="959991299">
      <w:bodyDiv w:val="1"/>
      <w:marLeft w:val="0"/>
      <w:marRight w:val="0"/>
      <w:marTop w:val="0"/>
      <w:marBottom w:val="0"/>
      <w:divBdr>
        <w:top w:val="none" w:sz="0" w:space="0" w:color="auto"/>
        <w:left w:val="none" w:sz="0" w:space="0" w:color="auto"/>
        <w:bottom w:val="none" w:sz="0" w:space="0" w:color="auto"/>
        <w:right w:val="none" w:sz="0" w:space="0" w:color="auto"/>
      </w:divBdr>
    </w:div>
    <w:div w:id="960067965">
      <w:bodyDiv w:val="1"/>
      <w:marLeft w:val="0"/>
      <w:marRight w:val="0"/>
      <w:marTop w:val="0"/>
      <w:marBottom w:val="0"/>
      <w:divBdr>
        <w:top w:val="none" w:sz="0" w:space="0" w:color="auto"/>
        <w:left w:val="none" w:sz="0" w:space="0" w:color="auto"/>
        <w:bottom w:val="none" w:sz="0" w:space="0" w:color="auto"/>
        <w:right w:val="none" w:sz="0" w:space="0" w:color="auto"/>
      </w:divBdr>
    </w:div>
    <w:div w:id="960068793">
      <w:bodyDiv w:val="1"/>
      <w:marLeft w:val="0"/>
      <w:marRight w:val="0"/>
      <w:marTop w:val="0"/>
      <w:marBottom w:val="0"/>
      <w:divBdr>
        <w:top w:val="none" w:sz="0" w:space="0" w:color="auto"/>
        <w:left w:val="none" w:sz="0" w:space="0" w:color="auto"/>
        <w:bottom w:val="none" w:sz="0" w:space="0" w:color="auto"/>
        <w:right w:val="none" w:sz="0" w:space="0" w:color="auto"/>
      </w:divBdr>
    </w:div>
    <w:div w:id="960111580">
      <w:bodyDiv w:val="1"/>
      <w:marLeft w:val="0"/>
      <w:marRight w:val="0"/>
      <w:marTop w:val="0"/>
      <w:marBottom w:val="0"/>
      <w:divBdr>
        <w:top w:val="none" w:sz="0" w:space="0" w:color="auto"/>
        <w:left w:val="none" w:sz="0" w:space="0" w:color="auto"/>
        <w:bottom w:val="none" w:sz="0" w:space="0" w:color="auto"/>
        <w:right w:val="none" w:sz="0" w:space="0" w:color="auto"/>
      </w:divBdr>
    </w:div>
    <w:div w:id="960308086">
      <w:bodyDiv w:val="1"/>
      <w:marLeft w:val="0"/>
      <w:marRight w:val="0"/>
      <w:marTop w:val="0"/>
      <w:marBottom w:val="0"/>
      <w:divBdr>
        <w:top w:val="none" w:sz="0" w:space="0" w:color="auto"/>
        <w:left w:val="none" w:sz="0" w:space="0" w:color="auto"/>
        <w:bottom w:val="none" w:sz="0" w:space="0" w:color="auto"/>
        <w:right w:val="none" w:sz="0" w:space="0" w:color="auto"/>
      </w:divBdr>
    </w:div>
    <w:div w:id="960378126">
      <w:bodyDiv w:val="1"/>
      <w:marLeft w:val="0"/>
      <w:marRight w:val="0"/>
      <w:marTop w:val="0"/>
      <w:marBottom w:val="0"/>
      <w:divBdr>
        <w:top w:val="none" w:sz="0" w:space="0" w:color="auto"/>
        <w:left w:val="none" w:sz="0" w:space="0" w:color="auto"/>
        <w:bottom w:val="none" w:sz="0" w:space="0" w:color="auto"/>
        <w:right w:val="none" w:sz="0" w:space="0" w:color="auto"/>
      </w:divBdr>
    </w:div>
    <w:div w:id="960380896">
      <w:bodyDiv w:val="1"/>
      <w:marLeft w:val="0"/>
      <w:marRight w:val="0"/>
      <w:marTop w:val="0"/>
      <w:marBottom w:val="0"/>
      <w:divBdr>
        <w:top w:val="none" w:sz="0" w:space="0" w:color="auto"/>
        <w:left w:val="none" w:sz="0" w:space="0" w:color="auto"/>
        <w:bottom w:val="none" w:sz="0" w:space="0" w:color="auto"/>
        <w:right w:val="none" w:sz="0" w:space="0" w:color="auto"/>
      </w:divBdr>
    </w:div>
    <w:div w:id="960460715">
      <w:bodyDiv w:val="1"/>
      <w:marLeft w:val="0"/>
      <w:marRight w:val="0"/>
      <w:marTop w:val="0"/>
      <w:marBottom w:val="0"/>
      <w:divBdr>
        <w:top w:val="none" w:sz="0" w:space="0" w:color="auto"/>
        <w:left w:val="none" w:sz="0" w:space="0" w:color="auto"/>
        <w:bottom w:val="none" w:sz="0" w:space="0" w:color="auto"/>
        <w:right w:val="none" w:sz="0" w:space="0" w:color="auto"/>
      </w:divBdr>
    </w:div>
    <w:div w:id="960574753">
      <w:bodyDiv w:val="1"/>
      <w:marLeft w:val="0"/>
      <w:marRight w:val="0"/>
      <w:marTop w:val="0"/>
      <w:marBottom w:val="0"/>
      <w:divBdr>
        <w:top w:val="none" w:sz="0" w:space="0" w:color="auto"/>
        <w:left w:val="none" w:sz="0" w:space="0" w:color="auto"/>
        <w:bottom w:val="none" w:sz="0" w:space="0" w:color="auto"/>
        <w:right w:val="none" w:sz="0" w:space="0" w:color="auto"/>
      </w:divBdr>
    </w:div>
    <w:div w:id="960577072">
      <w:bodyDiv w:val="1"/>
      <w:marLeft w:val="0"/>
      <w:marRight w:val="0"/>
      <w:marTop w:val="0"/>
      <w:marBottom w:val="0"/>
      <w:divBdr>
        <w:top w:val="none" w:sz="0" w:space="0" w:color="auto"/>
        <w:left w:val="none" w:sz="0" w:space="0" w:color="auto"/>
        <w:bottom w:val="none" w:sz="0" w:space="0" w:color="auto"/>
        <w:right w:val="none" w:sz="0" w:space="0" w:color="auto"/>
      </w:divBdr>
    </w:div>
    <w:div w:id="960764212">
      <w:bodyDiv w:val="1"/>
      <w:marLeft w:val="0"/>
      <w:marRight w:val="0"/>
      <w:marTop w:val="0"/>
      <w:marBottom w:val="0"/>
      <w:divBdr>
        <w:top w:val="none" w:sz="0" w:space="0" w:color="auto"/>
        <w:left w:val="none" w:sz="0" w:space="0" w:color="auto"/>
        <w:bottom w:val="none" w:sz="0" w:space="0" w:color="auto"/>
        <w:right w:val="none" w:sz="0" w:space="0" w:color="auto"/>
      </w:divBdr>
    </w:div>
    <w:div w:id="960767201">
      <w:bodyDiv w:val="1"/>
      <w:marLeft w:val="0"/>
      <w:marRight w:val="0"/>
      <w:marTop w:val="0"/>
      <w:marBottom w:val="0"/>
      <w:divBdr>
        <w:top w:val="none" w:sz="0" w:space="0" w:color="auto"/>
        <w:left w:val="none" w:sz="0" w:space="0" w:color="auto"/>
        <w:bottom w:val="none" w:sz="0" w:space="0" w:color="auto"/>
        <w:right w:val="none" w:sz="0" w:space="0" w:color="auto"/>
      </w:divBdr>
    </w:div>
    <w:div w:id="960838238">
      <w:bodyDiv w:val="1"/>
      <w:marLeft w:val="0"/>
      <w:marRight w:val="0"/>
      <w:marTop w:val="0"/>
      <w:marBottom w:val="0"/>
      <w:divBdr>
        <w:top w:val="none" w:sz="0" w:space="0" w:color="auto"/>
        <w:left w:val="none" w:sz="0" w:space="0" w:color="auto"/>
        <w:bottom w:val="none" w:sz="0" w:space="0" w:color="auto"/>
        <w:right w:val="none" w:sz="0" w:space="0" w:color="auto"/>
      </w:divBdr>
    </w:div>
    <w:div w:id="960840305">
      <w:bodyDiv w:val="1"/>
      <w:marLeft w:val="0"/>
      <w:marRight w:val="0"/>
      <w:marTop w:val="0"/>
      <w:marBottom w:val="0"/>
      <w:divBdr>
        <w:top w:val="none" w:sz="0" w:space="0" w:color="auto"/>
        <w:left w:val="none" w:sz="0" w:space="0" w:color="auto"/>
        <w:bottom w:val="none" w:sz="0" w:space="0" w:color="auto"/>
        <w:right w:val="none" w:sz="0" w:space="0" w:color="auto"/>
      </w:divBdr>
    </w:div>
    <w:div w:id="960890110">
      <w:bodyDiv w:val="1"/>
      <w:marLeft w:val="0"/>
      <w:marRight w:val="0"/>
      <w:marTop w:val="0"/>
      <w:marBottom w:val="0"/>
      <w:divBdr>
        <w:top w:val="none" w:sz="0" w:space="0" w:color="auto"/>
        <w:left w:val="none" w:sz="0" w:space="0" w:color="auto"/>
        <w:bottom w:val="none" w:sz="0" w:space="0" w:color="auto"/>
        <w:right w:val="none" w:sz="0" w:space="0" w:color="auto"/>
      </w:divBdr>
    </w:div>
    <w:div w:id="960915436">
      <w:bodyDiv w:val="1"/>
      <w:marLeft w:val="0"/>
      <w:marRight w:val="0"/>
      <w:marTop w:val="0"/>
      <w:marBottom w:val="0"/>
      <w:divBdr>
        <w:top w:val="none" w:sz="0" w:space="0" w:color="auto"/>
        <w:left w:val="none" w:sz="0" w:space="0" w:color="auto"/>
        <w:bottom w:val="none" w:sz="0" w:space="0" w:color="auto"/>
        <w:right w:val="none" w:sz="0" w:space="0" w:color="auto"/>
      </w:divBdr>
    </w:div>
    <w:div w:id="960921472">
      <w:bodyDiv w:val="1"/>
      <w:marLeft w:val="0"/>
      <w:marRight w:val="0"/>
      <w:marTop w:val="0"/>
      <w:marBottom w:val="0"/>
      <w:divBdr>
        <w:top w:val="none" w:sz="0" w:space="0" w:color="auto"/>
        <w:left w:val="none" w:sz="0" w:space="0" w:color="auto"/>
        <w:bottom w:val="none" w:sz="0" w:space="0" w:color="auto"/>
        <w:right w:val="none" w:sz="0" w:space="0" w:color="auto"/>
      </w:divBdr>
    </w:div>
    <w:div w:id="961108508">
      <w:bodyDiv w:val="1"/>
      <w:marLeft w:val="0"/>
      <w:marRight w:val="0"/>
      <w:marTop w:val="0"/>
      <w:marBottom w:val="0"/>
      <w:divBdr>
        <w:top w:val="none" w:sz="0" w:space="0" w:color="auto"/>
        <w:left w:val="none" w:sz="0" w:space="0" w:color="auto"/>
        <w:bottom w:val="none" w:sz="0" w:space="0" w:color="auto"/>
        <w:right w:val="none" w:sz="0" w:space="0" w:color="auto"/>
      </w:divBdr>
    </w:div>
    <w:div w:id="961108518">
      <w:bodyDiv w:val="1"/>
      <w:marLeft w:val="0"/>
      <w:marRight w:val="0"/>
      <w:marTop w:val="0"/>
      <w:marBottom w:val="0"/>
      <w:divBdr>
        <w:top w:val="none" w:sz="0" w:space="0" w:color="auto"/>
        <w:left w:val="none" w:sz="0" w:space="0" w:color="auto"/>
        <w:bottom w:val="none" w:sz="0" w:space="0" w:color="auto"/>
        <w:right w:val="none" w:sz="0" w:space="0" w:color="auto"/>
      </w:divBdr>
    </w:div>
    <w:div w:id="961115064">
      <w:bodyDiv w:val="1"/>
      <w:marLeft w:val="0"/>
      <w:marRight w:val="0"/>
      <w:marTop w:val="0"/>
      <w:marBottom w:val="0"/>
      <w:divBdr>
        <w:top w:val="none" w:sz="0" w:space="0" w:color="auto"/>
        <w:left w:val="none" w:sz="0" w:space="0" w:color="auto"/>
        <w:bottom w:val="none" w:sz="0" w:space="0" w:color="auto"/>
        <w:right w:val="none" w:sz="0" w:space="0" w:color="auto"/>
      </w:divBdr>
    </w:div>
    <w:div w:id="961154238">
      <w:bodyDiv w:val="1"/>
      <w:marLeft w:val="0"/>
      <w:marRight w:val="0"/>
      <w:marTop w:val="0"/>
      <w:marBottom w:val="0"/>
      <w:divBdr>
        <w:top w:val="none" w:sz="0" w:space="0" w:color="auto"/>
        <w:left w:val="none" w:sz="0" w:space="0" w:color="auto"/>
        <w:bottom w:val="none" w:sz="0" w:space="0" w:color="auto"/>
        <w:right w:val="none" w:sz="0" w:space="0" w:color="auto"/>
      </w:divBdr>
    </w:div>
    <w:div w:id="961229486">
      <w:bodyDiv w:val="1"/>
      <w:marLeft w:val="0"/>
      <w:marRight w:val="0"/>
      <w:marTop w:val="0"/>
      <w:marBottom w:val="0"/>
      <w:divBdr>
        <w:top w:val="none" w:sz="0" w:space="0" w:color="auto"/>
        <w:left w:val="none" w:sz="0" w:space="0" w:color="auto"/>
        <w:bottom w:val="none" w:sz="0" w:space="0" w:color="auto"/>
        <w:right w:val="none" w:sz="0" w:space="0" w:color="auto"/>
      </w:divBdr>
    </w:div>
    <w:div w:id="961229627">
      <w:bodyDiv w:val="1"/>
      <w:marLeft w:val="0"/>
      <w:marRight w:val="0"/>
      <w:marTop w:val="0"/>
      <w:marBottom w:val="0"/>
      <w:divBdr>
        <w:top w:val="none" w:sz="0" w:space="0" w:color="auto"/>
        <w:left w:val="none" w:sz="0" w:space="0" w:color="auto"/>
        <w:bottom w:val="none" w:sz="0" w:space="0" w:color="auto"/>
        <w:right w:val="none" w:sz="0" w:space="0" w:color="auto"/>
      </w:divBdr>
    </w:div>
    <w:div w:id="961301116">
      <w:bodyDiv w:val="1"/>
      <w:marLeft w:val="0"/>
      <w:marRight w:val="0"/>
      <w:marTop w:val="0"/>
      <w:marBottom w:val="0"/>
      <w:divBdr>
        <w:top w:val="none" w:sz="0" w:space="0" w:color="auto"/>
        <w:left w:val="none" w:sz="0" w:space="0" w:color="auto"/>
        <w:bottom w:val="none" w:sz="0" w:space="0" w:color="auto"/>
        <w:right w:val="none" w:sz="0" w:space="0" w:color="auto"/>
      </w:divBdr>
    </w:div>
    <w:div w:id="961687136">
      <w:bodyDiv w:val="1"/>
      <w:marLeft w:val="0"/>
      <w:marRight w:val="0"/>
      <w:marTop w:val="0"/>
      <w:marBottom w:val="0"/>
      <w:divBdr>
        <w:top w:val="none" w:sz="0" w:space="0" w:color="auto"/>
        <w:left w:val="none" w:sz="0" w:space="0" w:color="auto"/>
        <w:bottom w:val="none" w:sz="0" w:space="0" w:color="auto"/>
        <w:right w:val="none" w:sz="0" w:space="0" w:color="auto"/>
      </w:divBdr>
    </w:div>
    <w:div w:id="961689045">
      <w:bodyDiv w:val="1"/>
      <w:marLeft w:val="0"/>
      <w:marRight w:val="0"/>
      <w:marTop w:val="0"/>
      <w:marBottom w:val="0"/>
      <w:divBdr>
        <w:top w:val="none" w:sz="0" w:space="0" w:color="auto"/>
        <w:left w:val="none" w:sz="0" w:space="0" w:color="auto"/>
        <w:bottom w:val="none" w:sz="0" w:space="0" w:color="auto"/>
        <w:right w:val="none" w:sz="0" w:space="0" w:color="auto"/>
      </w:divBdr>
    </w:div>
    <w:div w:id="962156315">
      <w:bodyDiv w:val="1"/>
      <w:marLeft w:val="0"/>
      <w:marRight w:val="0"/>
      <w:marTop w:val="0"/>
      <w:marBottom w:val="0"/>
      <w:divBdr>
        <w:top w:val="none" w:sz="0" w:space="0" w:color="auto"/>
        <w:left w:val="none" w:sz="0" w:space="0" w:color="auto"/>
        <w:bottom w:val="none" w:sz="0" w:space="0" w:color="auto"/>
        <w:right w:val="none" w:sz="0" w:space="0" w:color="auto"/>
      </w:divBdr>
    </w:div>
    <w:div w:id="962346147">
      <w:bodyDiv w:val="1"/>
      <w:marLeft w:val="0"/>
      <w:marRight w:val="0"/>
      <w:marTop w:val="0"/>
      <w:marBottom w:val="0"/>
      <w:divBdr>
        <w:top w:val="none" w:sz="0" w:space="0" w:color="auto"/>
        <w:left w:val="none" w:sz="0" w:space="0" w:color="auto"/>
        <w:bottom w:val="none" w:sz="0" w:space="0" w:color="auto"/>
        <w:right w:val="none" w:sz="0" w:space="0" w:color="auto"/>
      </w:divBdr>
    </w:div>
    <w:div w:id="962419499">
      <w:bodyDiv w:val="1"/>
      <w:marLeft w:val="0"/>
      <w:marRight w:val="0"/>
      <w:marTop w:val="0"/>
      <w:marBottom w:val="0"/>
      <w:divBdr>
        <w:top w:val="none" w:sz="0" w:space="0" w:color="auto"/>
        <w:left w:val="none" w:sz="0" w:space="0" w:color="auto"/>
        <w:bottom w:val="none" w:sz="0" w:space="0" w:color="auto"/>
        <w:right w:val="none" w:sz="0" w:space="0" w:color="auto"/>
      </w:divBdr>
    </w:div>
    <w:div w:id="962419869">
      <w:bodyDiv w:val="1"/>
      <w:marLeft w:val="0"/>
      <w:marRight w:val="0"/>
      <w:marTop w:val="0"/>
      <w:marBottom w:val="0"/>
      <w:divBdr>
        <w:top w:val="none" w:sz="0" w:space="0" w:color="auto"/>
        <w:left w:val="none" w:sz="0" w:space="0" w:color="auto"/>
        <w:bottom w:val="none" w:sz="0" w:space="0" w:color="auto"/>
        <w:right w:val="none" w:sz="0" w:space="0" w:color="auto"/>
      </w:divBdr>
    </w:div>
    <w:div w:id="962424843">
      <w:bodyDiv w:val="1"/>
      <w:marLeft w:val="0"/>
      <w:marRight w:val="0"/>
      <w:marTop w:val="0"/>
      <w:marBottom w:val="0"/>
      <w:divBdr>
        <w:top w:val="none" w:sz="0" w:space="0" w:color="auto"/>
        <w:left w:val="none" w:sz="0" w:space="0" w:color="auto"/>
        <w:bottom w:val="none" w:sz="0" w:space="0" w:color="auto"/>
        <w:right w:val="none" w:sz="0" w:space="0" w:color="auto"/>
      </w:divBdr>
    </w:div>
    <w:div w:id="962425292">
      <w:bodyDiv w:val="1"/>
      <w:marLeft w:val="0"/>
      <w:marRight w:val="0"/>
      <w:marTop w:val="0"/>
      <w:marBottom w:val="0"/>
      <w:divBdr>
        <w:top w:val="none" w:sz="0" w:space="0" w:color="auto"/>
        <w:left w:val="none" w:sz="0" w:space="0" w:color="auto"/>
        <w:bottom w:val="none" w:sz="0" w:space="0" w:color="auto"/>
        <w:right w:val="none" w:sz="0" w:space="0" w:color="auto"/>
      </w:divBdr>
    </w:div>
    <w:div w:id="962542393">
      <w:bodyDiv w:val="1"/>
      <w:marLeft w:val="0"/>
      <w:marRight w:val="0"/>
      <w:marTop w:val="0"/>
      <w:marBottom w:val="0"/>
      <w:divBdr>
        <w:top w:val="none" w:sz="0" w:space="0" w:color="auto"/>
        <w:left w:val="none" w:sz="0" w:space="0" w:color="auto"/>
        <w:bottom w:val="none" w:sz="0" w:space="0" w:color="auto"/>
        <w:right w:val="none" w:sz="0" w:space="0" w:color="auto"/>
      </w:divBdr>
    </w:div>
    <w:div w:id="962662026">
      <w:bodyDiv w:val="1"/>
      <w:marLeft w:val="0"/>
      <w:marRight w:val="0"/>
      <w:marTop w:val="0"/>
      <w:marBottom w:val="0"/>
      <w:divBdr>
        <w:top w:val="none" w:sz="0" w:space="0" w:color="auto"/>
        <w:left w:val="none" w:sz="0" w:space="0" w:color="auto"/>
        <w:bottom w:val="none" w:sz="0" w:space="0" w:color="auto"/>
        <w:right w:val="none" w:sz="0" w:space="0" w:color="auto"/>
      </w:divBdr>
    </w:div>
    <w:div w:id="962728499">
      <w:bodyDiv w:val="1"/>
      <w:marLeft w:val="0"/>
      <w:marRight w:val="0"/>
      <w:marTop w:val="0"/>
      <w:marBottom w:val="0"/>
      <w:divBdr>
        <w:top w:val="none" w:sz="0" w:space="0" w:color="auto"/>
        <w:left w:val="none" w:sz="0" w:space="0" w:color="auto"/>
        <w:bottom w:val="none" w:sz="0" w:space="0" w:color="auto"/>
        <w:right w:val="none" w:sz="0" w:space="0" w:color="auto"/>
      </w:divBdr>
    </w:div>
    <w:div w:id="962737180">
      <w:bodyDiv w:val="1"/>
      <w:marLeft w:val="0"/>
      <w:marRight w:val="0"/>
      <w:marTop w:val="0"/>
      <w:marBottom w:val="0"/>
      <w:divBdr>
        <w:top w:val="none" w:sz="0" w:space="0" w:color="auto"/>
        <w:left w:val="none" w:sz="0" w:space="0" w:color="auto"/>
        <w:bottom w:val="none" w:sz="0" w:space="0" w:color="auto"/>
        <w:right w:val="none" w:sz="0" w:space="0" w:color="auto"/>
      </w:divBdr>
    </w:div>
    <w:div w:id="962804021">
      <w:bodyDiv w:val="1"/>
      <w:marLeft w:val="0"/>
      <w:marRight w:val="0"/>
      <w:marTop w:val="0"/>
      <w:marBottom w:val="0"/>
      <w:divBdr>
        <w:top w:val="none" w:sz="0" w:space="0" w:color="auto"/>
        <w:left w:val="none" w:sz="0" w:space="0" w:color="auto"/>
        <w:bottom w:val="none" w:sz="0" w:space="0" w:color="auto"/>
        <w:right w:val="none" w:sz="0" w:space="0" w:color="auto"/>
      </w:divBdr>
    </w:div>
    <w:div w:id="962807166">
      <w:bodyDiv w:val="1"/>
      <w:marLeft w:val="0"/>
      <w:marRight w:val="0"/>
      <w:marTop w:val="0"/>
      <w:marBottom w:val="0"/>
      <w:divBdr>
        <w:top w:val="none" w:sz="0" w:space="0" w:color="auto"/>
        <w:left w:val="none" w:sz="0" w:space="0" w:color="auto"/>
        <w:bottom w:val="none" w:sz="0" w:space="0" w:color="auto"/>
        <w:right w:val="none" w:sz="0" w:space="0" w:color="auto"/>
      </w:divBdr>
    </w:div>
    <w:div w:id="962810041">
      <w:bodyDiv w:val="1"/>
      <w:marLeft w:val="0"/>
      <w:marRight w:val="0"/>
      <w:marTop w:val="0"/>
      <w:marBottom w:val="0"/>
      <w:divBdr>
        <w:top w:val="none" w:sz="0" w:space="0" w:color="auto"/>
        <w:left w:val="none" w:sz="0" w:space="0" w:color="auto"/>
        <w:bottom w:val="none" w:sz="0" w:space="0" w:color="auto"/>
        <w:right w:val="none" w:sz="0" w:space="0" w:color="auto"/>
      </w:divBdr>
    </w:div>
    <w:div w:id="962885251">
      <w:bodyDiv w:val="1"/>
      <w:marLeft w:val="0"/>
      <w:marRight w:val="0"/>
      <w:marTop w:val="0"/>
      <w:marBottom w:val="0"/>
      <w:divBdr>
        <w:top w:val="none" w:sz="0" w:space="0" w:color="auto"/>
        <w:left w:val="none" w:sz="0" w:space="0" w:color="auto"/>
        <w:bottom w:val="none" w:sz="0" w:space="0" w:color="auto"/>
        <w:right w:val="none" w:sz="0" w:space="0" w:color="auto"/>
      </w:divBdr>
    </w:div>
    <w:div w:id="962999993">
      <w:bodyDiv w:val="1"/>
      <w:marLeft w:val="0"/>
      <w:marRight w:val="0"/>
      <w:marTop w:val="0"/>
      <w:marBottom w:val="0"/>
      <w:divBdr>
        <w:top w:val="none" w:sz="0" w:space="0" w:color="auto"/>
        <w:left w:val="none" w:sz="0" w:space="0" w:color="auto"/>
        <w:bottom w:val="none" w:sz="0" w:space="0" w:color="auto"/>
        <w:right w:val="none" w:sz="0" w:space="0" w:color="auto"/>
      </w:divBdr>
    </w:div>
    <w:div w:id="963074311">
      <w:bodyDiv w:val="1"/>
      <w:marLeft w:val="0"/>
      <w:marRight w:val="0"/>
      <w:marTop w:val="0"/>
      <w:marBottom w:val="0"/>
      <w:divBdr>
        <w:top w:val="none" w:sz="0" w:space="0" w:color="auto"/>
        <w:left w:val="none" w:sz="0" w:space="0" w:color="auto"/>
        <w:bottom w:val="none" w:sz="0" w:space="0" w:color="auto"/>
        <w:right w:val="none" w:sz="0" w:space="0" w:color="auto"/>
      </w:divBdr>
    </w:div>
    <w:div w:id="963079061">
      <w:bodyDiv w:val="1"/>
      <w:marLeft w:val="0"/>
      <w:marRight w:val="0"/>
      <w:marTop w:val="0"/>
      <w:marBottom w:val="0"/>
      <w:divBdr>
        <w:top w:val="none" w:sz="0" w:space="0" w:color="auto"/>
        <w:left w:val="none" w:sz="0" w:space="0" w:color="auto"/>
        <w:bottom w:val="none" w:sz="0" w:space="0" w:color="auto"/>
        <w:right w:val="none" w:sz="0" w:space="0" w:color="auto"/>
      </w:divBdr>
    </w:div>
    <w:div w:id="963317701">
      <w:bodyDiv w:val="1"/>
      <w:marLeft w:val="0"/>
      <w:marRight w:val="0"/>
      <w:marTop w:val="0"/>
      <w:marBottom w:val="0"/>
      <w:divBdr>
        <w:top w:val="none" w:sz="0" w:space="0" w:color="auto"/>
        <w:left w:val="none" w:sz="0" w:space="0" w:color="auto"/>
        <w:bottom w:val="none" w:sz="0" w:space="0" w:color="auto"/>
        <w:right w:val="none" w:sz="0" w:space="0" w:color="auto"/>
      </w:divBdr>
    </w:div>
    <w:div w:id="963383930">
      <w:bodyDiv w:val="1"/>
      <w:marLeft w:val="0"/>
      <w:marRight w:val="0"/>
      <w:marTop w:val="0"/>
      <w:marBottom w:val="0"/>
      <w:divBdr>
        <w:top w:val="none" w:sz="0" w:space="0" w:color="auto"/>
        <w:left w:val="none" w:sz="0" w:space="0" w:color="auto"/>
        <w:bottom w:val="none" w:sz="0" w:space="0" w:color="auto"/>
        <w:right w:val="none" w:sz="0" w:space="0" w:color="auto"/>
      </w:divBdr>
    </w:div>
    <w:div w:id="963388432">
      <w:bodyDiv w:val="1"/>
      <w:marLeft w:val="0"/>
      <w:marRight w:val="0"/>
      <w:marTop w:val="0"/>
      <w:marBottom w:val="0"/>
      <w:divBdr>
        <w:top w:val="none" w:sz="0" w:space="0" w:color="auto"/>
        <w:left w:val="none" w:sz="0" w:space="0" w:color="auto"/>
        <w:bottom w:val="none" w:sz="0" w:space="0" w:color="auto"/>
        <w:right w:val="none" w:sz="0" w:space="0" w:color="auto"/>
      </w:divBdr>
    </w:div>
    <w:div w:id="963393161">
      <w:bodyDiv w:val="1"/>
      <w:marLeft w:val="0"/>
      <w:marRight w:val="0"/>
      <w:marTop w:val="0"/>
      <w:marBottom w:val="0"/>
      <w:divBdr>
        <w:top w:val="none" w:sz="0" w:space="0" w:color="auto"/>
        <w:left w:val="none" w:sz="0" w:space="0" w:color="auto"/>
        <w:bottom w:val="none" w:sz="0" w:space="0" w:color="auto"/>
        <w:right w:val="none" w:sz="0" w:space="0" w:color="auto"/>
      </w:divBdr>
    </w:div>
    <w:div w:id="963459945">
      <w:bodyDiv w:val="1"/>
      <w:marLeft w:val="0"/>
      <w:marRight w:val="0"/>
      <w:marTop w:val="0"/>
      <w:marBottom w:val="0"/>
      <w:divBdr>
        <w:top w:val="none" w:sz="0" w:space="0" w:color="auto"/>
        <w:left w:val="none" w:sz="0" w:space="0" w:color="auto"/>
        <w:bottom w:val="none" w:sz="0" w:space="0" w:color="auto"/>
        <w:right w:val="none" w:sz="0" w:space="0" w:color="auto"/>
      </w:divBdr>
    </w:div>
    <w:div w:id="963468269">
      <w:bodyDiv w:val="1"/>
      <w:marLeft w:val="0"/>
      <w:marRight w:val="0"/>
      <w:marTop w:val="0"/>
      <w:marBottom w:val="0"/>
      <w:divBdr>
        <w:top w:val="none" w:sz="0" w:space="0" w:color="auto"/>
        <w:left w:val="none" w:sz="0" w:space="0" w:color="auto"/>
        <w:bottom w:val="none" w:sz="0" w:space="0" w:color="auto"/>
        <w:right w:val="none" w:sz="0" w:space="0" w:color="auto"/>
      </w:divBdr>
    </w:div>
    <w:div w:id="963538020">
      <w:bodyDiv w:val="1"/>
      <w:marLeft w:val="0"/>
      <w:marRight w:val="0"/>
      <w:marTop w:val="0"/>
      <w:marBottom w:val="0"/>
      <w:divBdr>
        <w:top w:val="none" w:sz="0" w:space="0" w:color="auto"/>
        <w:left w:val="none" w:sz="0" w:space="0" w:color="auto"/>
        <w:bottom w:val="none" w:sz="0" w:space="0" w:color="auto"/>
        <w:right w:val="none" w:sz="0" w:space="0" w:color="auto"/>
      </w:divBdr>
    </w:div>
    <w:div w:id="963578573">
      <w:bodyDiv w:val="1"/>
      <w:marLeft w:val="0"/>
      <w:marRight w:val="0"/>
      <w:marTop w:val="0"/>
      <w:marBottom w:val="0"/>
      <w:divBdr>
        <w:top w:val="none" w:sz="0" w:space="0" w:color="auto"/>
        <w:left w:val="none" w:sz="0" w:space="0" w:color="auto"/>
        <w:bottom w:val="none" w:sz="0" w:space="0" w:color="auto"/>
        <w:right w:val="none" w:sz="0" w:space="0" w:color="auto"/>
      </w:divBdr>
    </w:div>
    <w:div w:id="963582987">
      <w:bodyDiv w:val="1"/>
      <w:marLeft w:val="0"/>
      <w:marRight w:val="0"/>
      <w:marTop w:val="0"/>
      <w:marBottom w:val="0"/>
      <w:divBdr>
        <w:top w:val="none" w:sz="0" w:space="0" w:color="auto"/>
        <w:left w:val="none" w:sz="0" w:space="0" w:color="auto"/>
        <w:bottom w:val="none" w:sz="0" w:space="0" w:color="auto"/>
        <w:right w:val="none" w:sz="0" w:space="0" w:color="auto"/>
      </w:divBdr>
    </w:div>
    <w:div w:id="963774410">
      <w:bodyDiv w:val="1"/>
      <w:marLeft w:val="0"/>
      <w:marRight w:val="0"/>
      <w:marTop w:val="0"/>
      <w:marBottom w:val="0"/>
      <w:divBdr>
        <w:top w:val="none" w:sz="0" w:space="0" w:color="auto"/>
        <w:left w:val="none" w:sz="0" w:space="0" w:color="auto"/>
        <w:bottom w:val="none" w:sz="0" w:space="0" w:color="auto"/>
        <w:right w:val="none" w:sz="0" w:space="0" w:color="auto"/>
      </w:divBdr>
    </w:div>
    <w:div w:id="963925466">
      <w:bodyDiv w:val="1"/>
      <w:marLeft w:val="0"/>
      <w:marRight w:val="0"/>
      <w:marTop w:val="0"/>
      <w:marBottom w:val="0"/>
      <w:divBdr>
        <w:top w:val="none" w:sz="0" w:space="0" w:color="auto"/>
        <w:left w:val="none" w:sz="0" w:space="0" w:color="auto"/>
        <w:bottom w:val="none" w:sz="0" w:space="0" w:color="auto"/>
        <w:right w:val="none" w:sz="0" w:space="0" w:color="auto"/>
      </w:divBdr>
    </w:div>
    <w:div w:id="963930376">
      <w:bodyDiv w:val="1"/>
      <w:marLeft w:val="0"/>
      <w:marRight w:val="0"/>
      <w:marTop w:val="0"/>
      <w:marBottom w:val="0"/>
      <w:divBdr>
        <w:top w:val="none" w:sz="0" w:space="0" w:color="auto"/>
        <w:left w:val="none" w:sz="0" w:space="0" w:color="auto"/>
        <w:bottom w:val="none" w:sz="0" w:space="0" w:color="auto"/>
        <w:right w:val="none" w:sz="0" w:space="0" w:color="auto"/>
      </w:divBdr>
    </w:div>
    <w:div w:id="964048030">
      <w:bodyDiv w:val="1"/>
      <w:marLeft w:val="0"/>
      <w:marRight w:val="0"/>
      <w:marTop w:val="0"/>
      <w:marBottom w:val="0"/>
      <w:divBdr>
        <w:top w:val="none" w:sz="0" w:space="0" w:color="auto"/>
        <w:left w:val="none" w:sz="0" w:space="0" w:color="auto"/>
        <w:bottom w:val="none" w:sz="0" w:space="0" w:color="auto"/>
        <w:right w:val="none" w:sz="0" w:space="0" w:color="auto"/>
      </w:divBdr>
    </w:div>
    <w:div w:id="964191271">
      <w:bodyDiv w:val="1"/>
      <w:marLeft w:val="0"/>
      <w:marRight w:val="0"/>
      <w:marTop w:val="0"/>
      <w:marBottom w:val="0"/>
      <w:divBdr>
        <w:top w:val="none" w:sz="0" w:space="0" w:color="auto"/>
        <w:left w:val="none" w:sz="0" w:space="0" w:color="auto"/>
        <w:bottom w:val="none" w:sz="0" w:space="0" w:color="auto"/>
        <w:right w:val="none" w:sz="0" w:space="0" w:color="auto"/>
      </w:divBdr>
    </w:div>
    <w:div w:id="964194400">
      <w:bodyDiv w:val="1"/>
      <w:marLeft w:val="0"/>
      <w:marRight w:val="0"/>
      <w:marTop w:val="0"/>
      <w:marBottom w:val="0"/>
      <w:divBdr>
        <w:top w:val="none" w:sz="0" w:space="0" w:color="auto"/>
        <w:left w:val="none" w:sz="0" w:space="0" w:color="auto"/>
        <w:bottom w:val="none" w:sz="0" w:space="0" w:color="auto"/>
        <w:right w:val="none" w:sz="0" w:space="0" w:color="auto"/>
      </w:divBdr>
    </w:div>
    <w:div w:id="964390976">
      <w:bodyDiv w:val="1"/>
      <w:marLeft w:val="0"/>
      <w:marRight w:val="0"/>
      <w:marTop w:val="0"/>
      <w:marBottom w:val="0"/>
      <w:divBdr>
        <w:top w:val="none" w:sz="0" w:space="0" w:color="auto"/>
        <w:left w:val="none" w:sz="0" w:space="0" w:color="auto"/>
        <w:bottom w:val="none" w:sz="0" w:space="0" w:color="auto"/>
        <w:right w:val="none" w:sz="0" w:space="0" w:color="auto"/>
      </w:divBdr>
    </w:div>
    <w:div w:id="964585423">
      <w:bodyDiv w:val="1"/>
      <w:marLeft w:val="0"/>
      <w:marRight w:val="0"/>
      <w:marTop w:val="0"/>
      <w:marBottom w:val="0"/>
      <w:divBdr>
        <w:top w:val="none" w:sz="0" w:space="0" w:color="auto"/>
        <w:left w:val="none" w:sz="0" w:space="0" w:color="auto"/>
        <w:bottom w:val="none" w:sz="0" w:space="0" w:color="auto"/>
        <w:right w:val="none" w:sz="0" w:space="0" w:color="auto"/>
      </w:divBdr>
    </w:div>
    <w:div w:id="964625164">
      <w:bodyDiv w:val="1"/>
      <w:marLeft w:val="0"/>
      <w:marRight w:val="0"/>
      <w:marTop w:val="0"/>
      <w:marBottom w:val="0"/>
      <w:divBdr>
        <w:top w:val="none" w:sz="0" w:space="0" w:color="auto"/>
        <w:left w:val="none" w:sz="0" w:space="0" w:color="auto"/>
        <w:bottom w:val="none" w:sz="0" w:space="0" w:color="auto"/>
        <w:right w:val="none" w:sz="0" w:space="0" w:color="auto"/>
      </w:divBdr>
    </w:div>
    <w:div w:id="964695961">
      <w:bodyDiv w:val="1"/>
      <w:marLeft w:val="0"/>
      <w:marRight w:val="0"/>
      <w:marTop w:val="0"/>
      <w:marBottom w:val="0"/>
      <w:divBdr>
        <w:top w:val="none" w:sz="0" w:space="0" w:color="auto"/>
        <w:left w:val="none" w:sz="0" w:space="0" w:color="auto"/>
        <w:bottom w:val="none" w:sz="0" w:space="0" w:color="auto"/>
        <w:right w:val="none" w:sz="0" w:space="0" w:color="auto"/>
      </w:divBdr>
    </w:div>
    <w:div w:id="964697124">
      <w:bodyDiv w:val="1"/>
      <w:marLeft w:val="0"/>
      <w:marRight w:val="0"/>
      <w:marTop w:val="0"/>
      <w:marBottom w:val="0"/>
      <w:divBdr>
        <w:top w:val="none" w:sz="0" w:space="0" w:color="auto"/>
        <w:left w:val="none" w:sz="0" w:space="0" w:color="auto"/>
        <w:bottom w:val="none" w:sz="0" w:space="0" w:color="auto"/>
        <w:right w:val="none" w:sz="0" w:space="0" w:color="auto"/>
      </w:divBdr>
    </w:div>
    <w:div w:id="964770619">
      <w:bodyDiv w:val="1"/>
      <w:marLeft w:val="0"/>
      <w:marRight w:val="0"/>
      <w:marTop w:val="0"/>
      <w:marBottom w:val="0"/>
      <w:divBdr>
        <w:top w:val="none" w:sz="0" w:space="0" w:color="auto"/>
        <w:left w:val="none" w:sz="0" w:space="0" w:color="auto"/>
        <w:bottom w:val="none" w:sz="0" w:space="0" w:color="auto"/>
        <w:right w:val="none" w:sz="0" w:space="0" w:color="auto"/>
      </w:divBdr>
    </w:div>
    <w:div w:id="964853132">
      <w:bodyDiv w:val="1"/>
      <w:marLeft w:val="0"/>
      <w:marRight w:val="0"/>
      <w:marTop w:val="0"/>
      <w:marBottom w:val="0"/>
      <w:divBdr>
        <w:top w:val="none" w:sz="0" w:space="0" w:color="auto"/>
        <w:left w:val="none" w:sz="0" w:space="0" w:color="auto"/>
        <w:bottom w:val="none" w:sz="0" w:space="0" w:color="auto"/>
        <w:right w:val="none" w:sz="0" w:space="0" w:color="auto"/>
      </w:divBdr>
    </w:div>
    <w:div w:id="964969548">
      <w:bodyDiv w:val="1"/>
      <w:marLeft w:val="0"/>
      <w:marRight w:val="0"/>
      <w:marTop w:val="0"/>
      <w:marBottom w:val="0"/>
      <w:divBdr>
        <w:top w:val="none" w:sz="0" w:space="0" w:color="auto"/>
        <w:left w:val="none" w:sz="0" w:space="0" w:color="auto"/>
        <w:bottom w:val="none" w:sz="0" w:space="0" w:color="auto"/>
        <w:right w:val="none" w:sz="0" w:space="0" w:color="auto"/>
      </w:divBdr>
    </w:div>
    <w:div w:id="965043308">
      <w:bodyDiv w:val="1"/>
      <w:marLeft w:val="0"/>
      <w:marRight w:val="0"/>
      <w:marTop w:val="0"/>
      <w:marBottom w:val="0"/>
      <w:divBdr>
        <w:top w:val="none" w:sz="0" w:space="0" w:color="auto"/>
        <w:left w:val="none" w:sz="0" w:space="0" w:color="auto"/>
        <w:bottom w:val="none" w:sz="0" w:space="0" w:color="auto"/>
        <w:right w:val="none" w:sz="0" w:space="0" w:color="auto"/>
      </w:divBdr>
    </w:div>
    <w:div w:id="965044544">
      <w:bodyDiv w:val="1"/>
      <w:marLeft w:val="0"/>
      <w:marRight w:val="0"/>
      <w:marTop w:val="0"/>
      <w:marBottom w:val="0"/>
      <w:divBdr>
        <w:top w:val="none" w:sz="0" w:space="0" w:color="auto"/>
        <w:left w:val="none" w:sz="0" w:space="0" w:color="auto"/>
        <w:bottom w:val="none" w:sz="0" w:space="0" w:color="auto"/>
        <w:right w:val="none" w:sz="0" w:space="0" w:color="auto"/>
      </w:divBdr>
    </w:div>
    <w:div w:id="965310383">
      <w:bodyDiv w:val="1"/>
      <w:marLeft w:val="0"/>
      <w:marRight w:val="0"/>
      <w:marTop w:val="0"/>
      <w:marBottom w:val="0"/>
      <w:divBdr>
        <w:top w:val="none" w:sz="0" w:space="0" w:color="auto"/>
        <w:left w:val="none" w:sz="0" w:space="0" w:color="auto"/>
        <w:bottom w:val="none" w:sz="0" w:space="0" w:color="auto"/>
        <w:right w:val="none" w:sz="0" w:space="0" w:color="auto"/>
      </w:divBdr>
    </w:div>
    <w:div w:id="965354959">
      <w:bodyDiv w:val="1"/>
      <w:marLeft w:val="0"/>
      <w:marRight w:val="0"/>
      <w:marTop w:val="0"/>
      <w:marBottom w:val="0"/>
      <w:divBdr>
        <w:top w:val="none" w:sz="0" w:space="0" w:color="auto"/>
        <w:left w:val="none" w:sz="0" w:space="0" w:color="auto"/>
        <w:bottom w:val="none" w:sz="0" w:space="0" w:color="auto"/>
        <w:right w:val="none" w:sz="0" w:space="0" w:color="auto"/>
      </w:divBdr>
    </w:div>
    <w:div w:id="965358268">
      <w:bodyDiv w:val="1"/>
      <w:marLeft w:val="0"/>
      <w:marRight w:val="0"/>
      <w:marTop w:val="0"/>
      <w:marBottom w:val="0"/>
      <w:divBdr>
        <w:top w:val="none" w:sz="0" w:space="0" w:color="auto"/>
        <w:left w:val="none" w:sz="0" w:space="0" w:color="auto"/>
        <w:bottom w:val="none" w:sz="0" w:space="0" w:color="auto"/>
        <w:right w:val="none" w:sz="0" w:space="0" w:color="auto"/>
      </w:divBdr>
    </w:div>
    <w:div w:id="965768897">
      <w:bodyDiv w:val="1"/>
      <w:marLeft w:val="0"/>
      <w:marRight w:val="0"/>
      <w:marTop w:val="0"/>
      <w:marBottom w:val="0"/>
      <w:divBdr>
        <w:top w:val="none" w:sz="0" w:space="0" w:color="auto"/>
        <w:left w:val="none" w:sz="0" w:space="0" w:color="auto"/>
        <w:bottom w:val="none" w:sz="0" w:space="0" w:color="auto"/>
        <w:right w:val="none" w:sz="0" w:space="0" w:color="auto"/>
      </w:divBdr>
    </w:div>
    <w:div w:id="965814783">
      <w:bodyDiv w:val="1"/>
      <w:marLeft w:val="0"/>
      <w:marRight w:val="0"/>
      <w:marTop w:val="0"/>
      <w:marBottom w:val="0"/>
      <w:divBdr>
        <w:top w:val="none" w:sz="0" w:space="0" w:color="auto"/>
        <w:left w:val="none" w:sz="0" w:space="0" w:color="auto"/>
        <w:bottom w:val="none" w:sz="0" w:space="0" w:color="auto"/>
        <w:right w:val="none" w:sz="0" w:space="0" w:color="auto"/>
      </w:divBdr>
    </w:div>
    <w:div w:id="965893376">
      <w:bodyDiv w:val="1"/>
      <w:marLeft w:val="0"/>
      <w:marRight w:val="0"/>
      <w:marTop w:val="0"/>
      <w:marBottom w:val="0"/>
      <w:divBdr>
        <w:top w:val="none" w:sz="0" w:space="0" w:color="auto"/>
        <w:left w:val="none" w:sz="0" w:space="0" w:color="auto"/>
        <w:bottom w:val="none" w:sz="0" w:space="0" w:color="auto"/>
        <w:right w:val="none" w:sz="0" w:space="0" w:color="auto"/>
      </w:divBdr>
    </w:div>
    <w:div w:id="965937308">
      <w:bodyDiv w:val="1"/>
      <w:marLeft w:val="0"/>
      <w:marRight w:val="0"/>
      <w:marTop w:val="0"/>
      <w:marBottom w:val="0"/>
      <w:divBdr>
        <w:top w:val="none" w:sz="0" w:space="0" w:color="auto"/>
        <w:left w:val="none" w:sz="0" w:space="0" w:color="auto"/>
        <w:bottom w:val="none" w:sz="0" w:space="0" w:color="auto"/>
        <w:right w:val="none" w:sz="0" w:space="0" w:color="auto"/>
      </w:divBdr>
    </w:div>
    <w:div w:id="966083882">
      <w:bodyDiv w:val="1"/>
      <w:marLeft w:val="0"/>
      <w:marRight w:val="0"/>
      <w:marTop w:val="0"/>
      <w:marBottom w:val="0"/>
      <w:divBdr>
        <w:top w:val="none" w:sz="0" w:space="0" w:color="auto"/>
        <w:left w:val="none" w:sz="0" w:space="0" w:color="auto"/>
        <w:bottom w:val="none" w:sz="0" w:space="0" w:color="auto"/>
        <w:right w:val="none" w:sz="0" w:space="0" w:color="auto"/>
      </w:divBdr>
    </w:div>
    <w:div w:id="966160884">
      <w:bodyDiv w:val="1"/>
      <w:marLeft w:val="0"/>
      <w:marRight w:val="0"/>
      <w:marTop w:val="0"/>
      <w:marBottom w:val="0"/>
      <w:divBdr>
        <w:top w:val="none" w:sz="0" w:space="0" w:color="auto"/>
        <w:left w:val="none" w:sz="0" w:space="0" w:color="auto"/>
        <w:bottom w:val="none" w:sz="0" w:space="0" w:color="auto"/>
        <w:right w:val="none" w:sz="0" w:space="0" w:color="auto"/>
      </w:divBdr>
    </w:div>
    <w:div w:id="966200745">
      <w:bodyDiv w:val="1"/>
      <w:marLeft w:val="0"/>
      <w:marRight w:val="0"/>
      <w:marTop w:val="0"/>
      <w:marBottom w:val="0"/>
      <w:divBdr>
        <w:top w:val="none" w:sz="0" w:space="0" w:color="auto"/>
        <w:left w:val="none" w:sz="0" w:space="0" w:color="auto"/>
        <w:bottom w:val="none" w:sz="0" w:space="0" w:color="auto"/>
        <w:right w:val="none" w:sz="0" w:space="0" w:color="auto"/>
      </w:divBdr>
    </w:div>
    <w:div w:id="966201790">
      <w:bodyDiv w:val="1"/>
      <w:marLeft w:val="0"/>
      <w:marRight w:val="0"/>
      <w:marTop w:val="0"/>
      <w:marBottom w:val="0"/>
      <w:divBdr>
        <w:top w:val="none" w:sz="0" w:space="0" w:color="auto"/>
        <w:left w:val="none" w:sz="0" w:space="0" w:color="auto"/>
        <w:bottom w:val="none" w:sz="0" w:space="0" w:color="auto"/>
        <w:right w:val="none" w:sz="0" w:space="0" w:color="auto"/>
      </w:divBdr>
    </w:div>
    <w:div w:id="966357767">
      <w:bodyDiv w:val="1"/>
      <w:marLeft w:val="0"/>
      <w:marRight w:val="0"/>
      <w:marTop w:val="0"/>
      <w:marBottom w:val="0"/>
      <w:divBdr>
        <w:top w:val="none" w:sz="0" w:space="0" w:color="auto"/>
        <w:left w:val="none" w:sz="0" w:space="0" w:color="auto"/>
        <w:bottom w:val="none" w:sz="0" w:space="0" w:color="auto"/>
        <w:right w:val="none" w:sz="0" w:space="0" w:color="auto"/>
      </w:divBdr>
    </w:div>
    <w:div w:id="966548518">
      <w:bodyDiv w:val="1"/>
      <w:marLeft w:val="0"/>
      <w:marRight w:val="0"/>
      <w:marTop w:val="0"/>
      <w:marBottom w:val="0"/>
      <w:divBdr>
        <w:top w:val="none" w:sz="0" w:space="0" w:color="auto"/>
        <w:left w:val="none" w:sz="0" w:space="0" w:color="auto"/>
        <w:bottom w:val="none" w:sz="0" w:space="0" w:color="auto"/>
        <w:right w:val="none" w:sz="0" w:space="0" w:color="auto"/>
      </w:divBdr>
    </w:div>
    <w:div w:id="966744620">
      <w:bodyDiv w:val="1"/>
      <w:marLeft w:val="0"/>
      <w:marRight w:val="0"/>
      <w:marTop w:val="0"/>
      <w:marBottom w:val="0"/>
      <w:divBdr>
        <w:top w:val="none" w:sz="0" w:space="0" w:color="auto"/>
        <w:left w:val="none" w:sz="0" w:space="0" w:color="auto"/>
        <w:bottom w:val="none" w:sz="0" w:space="0" w:color="auto"/>
        <w:right w:val="none" w:sz="0" w:space="0" w:color="auto"/>
      </w:divBdr>
    </w:div>
    <w:div w:id="966858773">
      <w:bodyDiv w:val="1"/>
      <w:marLeft w:val="0"/>
      <w:marRight w:val="0"/>
      <w:marTop w:val="0"/>
      <w:marBottom w:val="0"/>
      <w:divBdr>
        <w:top w:val="none" w:sz="0" w:space="0" w:color="auto"/>
        <w:left w:val="none" w:sz="0" w:space="0" w:color="auto"/>
        <w:bottom w:val="none" w:sz="0" w:space="0" w:color="auto"/>
        <w:right w:val="none" w:sz="0" w:space="0" w:color="auto"/>
      </w:divBdr>
    </w:div>
    <w:div w:id="966932478">
      <w:bodyDiv w:val="1"/>
      <w:marLeft w:val="0"/>
      <w:marRight w:val="0"/>
      <w:marTop w:val="0"/>
      <w:marBottom w:val="0"/>
      <w:divBdr>
        <w:top w:val="none" w:sz="0" w:space="0" w:color="auto"/>
        <w:left w:val="none" w:sz="0" w:space="0" w:color="auto"/>
        <w:bottom w:val="none" w:sz="0" w:space="0" w:color="auto"/>
        <w:right w:val="none" w:sz="0" w:space="0" w:color="auto"/>
      </w:divBdr>
    </w:div>
    <w:div w:id="967012291">
      <w:bodyDiv w:val="1"/>
      <w:marLeft w:val="0"/>
      <w:marRight w:val="0"/>
      <w:marTop w:val="0"/>
      <w:marBottom w:val="0"/>
      <w:divBdr>
        <w:top w:val="none" w:sz="0" w:space="0" w:color="auto"/>
        <w:left w:val="none" w:sz="0" w:space="0" w:color="auto"/>
        <w:bottom w:val="none" w:sz="0" w:space="0" w:color="auto"/>
        <w:right w:val="none" w:sz="0" w:space="0" w:color="auto"/>
      </w:divBdr>
    </w:div>
    <w:div w:id="967081235">
      <w:bodyDiv w:val="1"/>
      <w:marLeft w:val="0"/>
      <w:marRight w:val="0"/>
      <w:marTop w:val="0"/>
      <w:marBottom w:val="0"/>
      <w:divBdr>
        <w:top w:val="none" w:sz="0" w:space="0" w:color="auto"/>
        <w:left w:val="none" w:sz="0" w:space="0" w:color="auto"/>
        <w:bottom w:val="none" w:sz="0" w:space="0" w:color="auto"/>
        <w:right w:val="none" w:sz="0" w:space="0" w:color="auto"/>
      </w:divBdr>
    </w:div>
    <w:div w:id="967247663">
      <w:bodyDiv w:val="1"/>
      <w:marLeft w:val="0"/>
      <w:marRight w:val="0"/>
      <w:marTop w:val="0"/>
      <w:marBottom w:val="0"/>
      <w:divBdr>
        <w:top w:val="none" w:sz="0" w:space="0" w:color="auto"/>
        <w:left w:val="none" w:sz="0" w:space="0" w:color="auto"/>
        <w:bottom w:val="none" w:sz="0" w:space="0" w:color="auto"/>
        <w:right w:val="none" w:sz="0" w:space="0" w:color="auto"/>
      </w:divBdr>
    </w:div>
    <w:div w:id="967515046">
      <w:bodyDiv w:val="1"/>
      <w:marLeft w:val="0"/>
      <w:marRight w:val="0"/>
      <w:marTop w:val="0"/>
      <w:marBottom w:val="0"/>
      <w:divBdr>
        <w:top w:val="none" w:sz="0" w:space="0" w:color="auto"/>
        <w:left w:val="none" w:sz="0" w:space="0" w:color="auto"/>
        <w:bottom w:val="none" w:sz="0" w:space="0" w:color="auto"/>
        <w:right w:val="none" w:sz="0" w:space="0" w:color="auto"/>
      </w:divBdr>
    </w:div>
    <w:div w:id="967587543">
      <w:bodyDiv w:val="1"/>
      <w:marLeft w:val="0"/>
      <w:marRight w:val="0"/>
      <w:marTop w:val="0"/>
      <w:marBottom w:val="0"/>
      <w:divBdr>
        <w:top w:val="none" w:sz="0" w:space="0" w:color="auto"/>
        <w:left w:val="none" w:sz="0" w:space="0" w:color="auto"/>
        <w:bottom w:val="none" w:sz="0" w:space="0" w:color="auto"/>
        <w:right w:val="none" w:sz="0" w:space="0" w:color="auto"/>
      </w:divBdr>
    </w:div>
    <w:div w:id="967660871">
      <w:bodyDiv w:val="1"/>
      <w:marLeft w:val="0"/>
      <w:marRight w:val="0"/>
      <w:marTop w:val="0"/>
      <w:marBottom w:val="0"/>
      <w:divBdr>
        <w:top w:val="none" w:sz="0" w:space="0" w:color="auto"/>
        <w:left w:val="none" w:sz="0" w:space="0" w:color="auto"/>
        <w:bottom w:val="none" w:sz="0" w:space="0" w:color="auto"/>
        <w:right w:val="none" w:sz="0" w:space="0" w:color="auto"/>
      </w:divBdr>
    </w:div>
    <w:div w:id="967778008">
      <w:bodyDiv w:val="1"/>
      <w:marLeft w:val="0"/>
      <w:marRight w:val="0"/>
      <w:marTop w:val="0"/>
      <w:marBottom w:val="0"/>
      <w:divBdr>
        <w:top w:val="none" w:sz="0" w:space="0" w:color="auto"/>
        <w:left w:val="none" w:sz="0" w:space="0" w:color="auto"/>
        <w:bottom w:val="none" w:sz="0" w:space="0" w:color="auto"/>
        <w:right w:val="none" w:sz="0" w:space="0" w:color="auto"/>
      </w:divBdr>
    </w:div>
    <w:div w:id="967977820">
      <w:bodyDiv w:val="1"/>
      <w:marLeft w:val="0"/>
      <w:marRight w:val="0"/>
      <w:marTop w:val="0"/>
      <w:marBottom w:val="0"/>
      <w:divBdr>
        <w:top w:val="none" w:sz="0" w:space="0" w:color="auto"/>
        <w:left w:val="none" w:sz="0" w:space="0" w:color="auto"/>
        <w:bottom w:val="none" w:sz="0" w:space="0" w:color="auto"/>
        <w:right w:val="none" w:sz="0" w:space="0" w:color="auto"/>
      </w:divBdr>
    </w:div>
    <w:div w:id="968048102">
      <w:bodyDiv w:val="1"/>
      <w:marLeft w:val="0"/>
      <w:marRight w:val="0"/>
      <w:marTop w:val="0"/>
      <w:marBottom w:val="0"/>
      <w:divBdr>
        <w:top w:val="none" w:sz="0" w:space="0" w:color="auto"/>
        <w:left w:val="none" w:sz="0" w:space="0" w:color="auto"/>
        <w:bottom w:val="none" w:sz="0" w:space="0" w:color="auto"/>
        <w:right w:val="none" w:sz="0" w:space="0" w:color="auto"/>
      </w:divBdr>
    </w:div>
    <w:div w:id="968169976">
      <w:bodyDiv w:val="1"/>
      <w:marLeft w:val="0"/>
      <w:marRight w:val="0"/>
      <w:marTop w:val="0"/>
      <w:marBottom w:val="0"/>
      <w:divBdr>
        <w:top w:val="none" w:sz="0" w:space="0" w:color="auto"/>
        <w:left w:val="none" w:sz="0" w:space="0" w:color="auto"/>
        <w:bottom w:val="none" w:sz="0" w:space="0" w:color="auto"/>
        <w:right w:val="none" w:sz="0" w:space="0" w:color="auto"/>
      </w:divBdr>
    </w:div>
    <w:div w:id="968316050">
      <w:bodyDiv w:val="1"/>
      <w:marLeft w:val="0"/>
      <w:marRight w:val="0"/>
      <w:marTop w:val="0"/>
      <w:marBottom w:val="0"/>
      <w:divBdr>
        <w:top w:val="none" w:sz="0" w:space="0" w:color="auto"/>
        <w:left w:val="none" w:sz="0" w:space="0" w:color="auto"/>
        <w:bottom w:val="none" w:sz="0" w:space="0" w:color="auto"/>
        <w:right w:val="none" w:sz="0" w:space="0" w:color="auto"/>
      </w:divBdr>
    </w:div>
    <w:div w:id="968438187">
      <w:bodyDiv w:val="1"/>
      <w:marLeft w:val="0"/>
      <w:marRight w:val="0"/>
      <w:marTop w:val="0"/>
      <w:marBottom w:val="0"/>
      <w:divBdr>
        <w:top w:val="none" w:sz="0" w:space="0" w:color="auto"/>
        <w:left w:val="none" w:sz="0" w:space="0" w:color="auto"/>
        <w:bottom w:val="none" w:sz="0" w:space="0" w:color="auto"/>
        <w:right w:val="none" w:sz="0" w:space="0" w:color="auto"/>
      </w:divBdr>
    </w:div>
    <w:div w:id="968557525">
      <w:bodyDiv w:val="1"/>
      <w:marLeft w:val="0"/>
      <w:marRight w:val="0"/>
      <w:marTop w:val="0"/>
      <w:marBottom w:val="0"/>
      <w:divBdr>
        <w:top w:val="none" w:sz="0" w:space="0" w:color="auto"/>
        <w:left w:val="none" w:sz="0" w:space="0" w:color="auto"/>
        <w:bottom w:val="none" w:sz="0" w:space="0" w:color="auto"/>
        <w:right w:val="none" w:sz="0" w:space="0" w:color="auto"/>
      </w:divBdr>
    </w:div>
    <w:div w:id="968585349">
      <w:bodyDiv w:val="1"/>
      <w:marLeft w:val="0"/>
      <w:marRight w:val="0"/>
      <w:marTop w:val="0"/>
      <w:marBottom w:val="0"/>
      <w:divBdr>
        <w:top w:val="none" w:sz="0" w:space="0" w:color="auto"/>
        <w:left w:val="none" w:sz="0" w:space="0" w:color="auto"/>
        <w:bottom w:val="none" w:sz="0" w:space="0" w:color="auto"/>
        <w:right w:val="none" w:sz="0" w:space="0" w:color="auto"/>
      </w:divBdr>
    </w:div>
    <w:div w:id="968630805">
      <w:bodyDiv w:val="1"/>
      <w:marLeft w:val="0"/>
      <w:marRight w:val="0"/>
      <w:marTop w:val="0"/>
      <w:marBottom w:val="0"/>
      <w:divBdr>
        <w:top w:val="none" w:sz="0" w:space="0" w:color="auto"/>
        <w:left w:val="none" w:sz="0" w:space="0" w:color="auto"/>
        <w:bottom w:val="none" w:sz="0" w:space="0" w:color="auto"/>
        <w:right w:val="none" w:sz="0" w:space="0" w:color="auto"/>
      </w:divBdr>
    </w:div>
    <w:div w:id="968634630">
      <w:bodyDiv w:val="1"/>
      <w:marLeft w:val="0"/>
      <w:marRight w:val="0"/>
      <w:marTop w:val="0"/>
      <w:marBottom w:val="0"/>
      <w:divBdr>
        <w:top w:val="none" w:sz="0" w:space="0" w:color="auto"/>
        <w:left w:val="none" w:sz="0" w:space="0" w:color="auto"/>
        <w:bottom w:val="none" w:sz="0" w:space="0" w:color="auto"/>
        <w:right w:val="none" w:sz="0" w:space="0" w:color="auto"/>
      </w:divBdr>
    </w:div>
    <w:div w:id="968703166">
      <w:bodyDiv w:val="1"/>
      <w:marLeft w:val="0"/>
      <w:marRight w:val="0"/>
      <w:marTop w:val="0"/>
      <w:marBottom w:val="0"/>
      <w:divBdr>
        <w:top w:val="none" w:sz="0" w:space="0" w:color="auto"/>
        <w:left w:val="none" w:sz="0" w:space="0" w:color="auto"/>
        <w:bottom w:val="none" w:sz="0" w:space="0" w:color="auto"/>
        <w:right w:val="none" w:sz="0" w:space="0" w:color="auto"/>
      </w:divBdr>
    </w:div>
    <w:div w:id="968708274">
      <w:bodyDiv w:val="1"/>
      <w:marLeft w:val="0"/>
      <w:marRight w:val="0"/>
      <w:marTop w:val="0"/>
      <w:marBottom w:val="0"/>
      <w:divBdr>
        <w:top w:val="none" w:sz="0" w:space="0" w:color="auto"/>
        <w:left w:val="none" w:sz="0" w:space="0" w:color="auto"/>
        <w:bottom w:val="none" w:sz="0" w:space="0" w:color="auto"/>
        <w:right w:val="none" w:sz="0" w:space="0" w:color="auto"/>
      </w:divBdr>
    </w:div>
    <w:div w:id="968822681">
      <w:bodyDiv w:val="1"/>
      <w:marLeft w:val="0"/>
      <w:marRight w:val="0"/>
      <w:marTop w:val="0"/>
      <w:marBottom w:val="0"/>
      <w:divBdr>
        <w:top w:val="none" w:sz="0" w:space="0" w:color="auto"/>
        <w:left w:val="none" w:sz="0" w:space="0" w:color="auto"/>
        <w:bottom w:val="none" w:sz="0" w:space="0" w:color="auto"/>
        <w:right w:val="none" w:sz="0" w:space="0" w:color="auto"/>
      </w:divBdr>
    </w:div>
    <w:div w:id="968898796">
      <w:bodyDiv w:val="1"/>
      <w:marLeft w:val="0"/>
      <w:marRight w:val="0"/>
      <w:marTop w:val="0"/>
      <w:marBottom w:val="0"/>
      <w:divBdr>
        <w:top w:val="none" w:sz="0" w:space="0" w:color="auto"/>
        <w:left w:val="none" w:sz="0" w:space="0" w:color="auto"/>
        <w:bottom w:val="none" w:sz="0" w:space="0" w:color="auto"/>
        <w:right w:val="none" w:sz="0" w:space="0" w:color="auto"/>
      </w:divBdr>
    </w:div>
    <w:div w:id="968903276">
      <w:bodyDiv w:val="1"/>
      <w:marLeft w:val="0"/>
      <w:marRight w:val="0"/>
      <w:marTop w:val="0"/>
      <w:marBottom w:val="0"/>
      <w:divBdr>
        <w:top w:val="none" w:sz="0" w:space="0" w:color="auto"/>
        <w:left w:val="none" w:sz="0" w:space="0" w:color="auto"/>
        <w:bottom w:val="none" w:sz="0" w:space="0" w:color="auto"/>
        <w:right w:val="none" w:sz="0" w:space="0" w:color="auto"/>
      </w:divBdr>
    </w:div>
    <w:div w:id="969016141">
      <w:bodyDiv w:val="1"/>
      <w:marLeft w:val="0"/>
      <w:marRight w:val="0"/>
      <w:marTop w:val="0"/>
      <w:marBottom w:val="0"/>
      <w:divBdr>
        <w:top w:val="none" w:sz="0" w:space="0" w:color="auto"/>
        <w:left w:val="none" w:sz="0" w:space="0" w:color="auto"/>
        <w:bottom w:val="none" w:sz="0" w:space="0" w:color="auto"/>
        <w:right w:val="none" w:sz="0" w:space="0" w:color="auto"/>
      </w:divBdr>
    </w:div>
    <w:div w:id="969047493">
      <w:bodyDiv w:val="1"/>
      <w:marLeft w:val="0"/>
      <w:marRight w:val="0"/>
      <w:marTop w:val="0"/>
      <w:marBottom w:val="0"/>
      <w:divBdr>
        <w:top w:val="none" w:sz="0" w:space="0" w:color="auto"/>
        <w:left w:val="none" w:sz="0" w:space="0" w:color="auto"/>
        <w:bottom w:val="none" w:sz="0" w:space="0" w:color="auto"/>
        <w:right w:val="none" w:sz="0" w:space="0" w:color="auto"/>
      </w:divBdr>
    </w:div>
    <w:div w:id="969095292">
      <w:bodyDiv w:val="1"/>
      <w:marLeft w:val="0"/>
      <w:marRight w:val="0"/>
      <w:marTop w:val="0"/>
      <w:marBottom w:val="0"/>
      <w:divBdr>
        <w:top w:val="none" w:sz="0" w:space="0" w:color="auto"/>
        <w:left w:val="none" w:sz="0" w:space="0" w:color="auto"/>
        <w:bottom w:val="none" w:sz="0" w:space="0" w:color="auto"/>
        <w:right w:val="none" w:sz="0" w:space="0" w:color="auto"/>
      </w:divBdr>
    </w:div>
    <w:div w:id="969214767">
      <w:bodyDiv w:val="1"/>
      <w:marLeft w:val="0"/>
      <w:marRight w:val="0"/>
      <w:marTop w:val="0"/>
      <w:marBottom w:val="0"/>
      <w:divBdr>
        <w:top w:val="none" w:sz="0" w:space="0" w:color="auto"/>
        <w:left w:val="none" w:sz="0" w:space="0" w:color="auto"/>
        <w:bottom w:val="none" w:sz="0" w:space="0" w:color="auto"/>
        <w:right w:val="none" w:sz="0" w:space="0" w:color="auto"/>
      </w:divBdr>
    </w:div>
    <w:div w:id="969282330">
      <w:bodyDiv w:val="1"/>
      <w:marLeft w:val="0"/>
      <w:marRight w:val="0"/>
      <w:marTop w:val="0"/>
      <w:marBottom w:val="0"/>
      <w:divBdr>
        <w:top w:val="none" w:sz="0" w:space="0" w:color="auto"/>
        <w:left w:val="none" w:sz="0" w:space="0" w:color="auto"/>
        <w:bottom w:val="none" w:sz="0" w:space="0" w:color="auto"/>
        <w:right w:val="none" w:sz="0" w:space="0" w:color="auto"/>
      </w:divBdr>
    </w:div>
    <w:div w:id="969363762">
      <w:bodyDiv w:val="1"/>
      <w:marLeft w:val="0"/>
      <w:marRight w:val="0"/>
      <w:marTop w:val="0"/>
      <w:marBottom w:val="0"/>
      <w:divBdr>
        <w:top w:val="none" w:sz="0" w:space="0" w:color="auto"/>
        <w:left w:val="none" w:sz="0" w:space="0" w:color="auto"/>
        <w:bottom w:val="none" w:sz="0" w:space="0" w:color="auto"/>
        <w:right w:val="none" w:sz="0" w:space="0" w:color="auto"/>
      </w:divBdr>
    </w:div>
    <w:div w:id="969477458">
      <w:bodyDiv w:val="1"/>
      <w:marLeft w:val="0"/>
      <w:marRight w:val="0"/>
      <w:marTop w:val="0"/>
      <w:marBottom w:val="0"/>
      <w:divBdr>
        <w:top w:val="none" w:sz="0" w:space="0" w:color="auto"/>
        <w:left w:val="none" w:sz="0" w:space="0" w:color="auto"/>
        <w:bottom w:val="none" w:sz="0" w:space="0" w:color="auto"/>
        <w:right w:val="none" w:sz="0" w:space="0" w:color="auto"/>
      </w:divBdr>
    </w:div>
    <w:div w:id="969554231">
      <w:bodyDiv w:val="1"/>
      <w:marLeft w:val="0"/>
      <w:marRight w:val="0"/>
      <w:marTop w:val="0"/>
      <w:marBottom w:val="0"/>
      <w:divBdr>
        <w:top w:val="none" w:sz="0" w:space="0" w:color="auto"/>
        <w:left w:val="none" w:sz="0" w:space="0" w:color="auto"/>
        <w:bottom w:val="none" w:sz="0" w:space="0" w:color="auto"/>
        <w:right w:val="none" w:sz="0" w:space="0" w:color="auto"/>
      </w:divBdr>
    </w:div>
    <w:div w:id="969631533">
      <w:bodyDiv w:val="1"/>
      <w:marLeft w:val="0"/>
      <w:marRight w:val="0"/>
      <w:marTop w:val="0"/>
      <w:marBottom w:val="0"/>
      <w:divBdr>
        <w:top w:val="none" w:sz="0" w:space="0" w:color="auto"/>
        <w:left w:val="none" w:sz="0" w:space="0" w:color="auto"/>
        <w:bottom w:val="none" w:sz="0" w:space="0" w:color="auto"/>
        <w:right w:val="none" w:sz="0" w:space="0" w:color="auto"/>
      </w:divBdr>
    </w:div>
    <w:div w:id="969634159">
      <w:bodyDiv w:val="1"/>
      <w:marLeft w:val="0"/>
      <w:marRight w:val="0"/>
      <w:marTop w:val="0"/>
      <w:marBottom w:val="0"/>
      <w:divBdr>
        <w:top w:val="none" w:sz="0" w:space="0" w:color="auto"/>
        <w:left w:val="none" w:sz="0" w:space="0" w:color="auto"/>
        <w:bottom w:val="none" w:sz="0" w:space="0" w:color="auto"/>
        <w:right w:val="none" w:sz="0" w:space="0" w:color="auto"/>
      </w:divBdr>
    </w:div>
    <w:div w:id="970013324">
      <w:bodyDiv w:val="1"/>
      <w:marLeft w:val="0"/>
      <w:marRight w:val="0"/>
      <w:marTop w:val="0"/>
      <w:marBottom w:val="0"/>
      <w:divBdr>
        <w:top w:val="none" w:sz="0" w:space="0" w:color="auto"/>
        <w:left w:val="none" w:sz="0" w:space="0" w:color="auto"/>
        <w:bottom w:val="none" w:sz="0" w:space="0" w:color="auto"/>
        <w:right w:val="none" w:sz="0" w:space="0" w:color="auto"/>
      </w:divBdr>
    </w:div>
    <w:div w:id="970019971">
      <w:bodyDiv w:val="1"/>
      <w:marLeft w:val="0"/>
      <w:marRight w:val="0"/>
      <w:marTop w:val="0"/>
      <w:marBottom w:val="0"/>
      <w:divBdr>
        <w:top w:val="none" w:sz="0" w:space="0" w:color="auto"/>
        <w:left w:val="none" w:sz="0" w:space="0" w:color="auto"/>
        <w:bottom w:val="none" w:sz="0" w:space="0" w:color="auto"/>
        <w:right w:val="none" w:sz="0" w:space="0" w:color="auto"/>
      </w:divBdr>
    </w:div>
    <w:div w:id="970091573">
      <w:bodyDiv w:val="1"/>
      <w:marLeft w:val="0"/>
      <w:marRight w:val="0"/>
      <w:marTop w:val="0"/>
      <w:marBottom w:val="0"/>
      <w:divBdr>
        <w:top w:val="none" w:sz="0" w:space="0" w:color="auto"/>
        <w:left w:val="none" w:sz="0" w:space="0" w:color="auto"/>
        <w:bottom w:val="none" w:sz="0" w:space="0" w:color="auto"/>
        <w:right w:val="none" w:sz="0" w:space="0" w:color="auto"/>
      </w:divBdr>
    </w:div>
    <w:div w:id="970096004">
      <w:bodyDiv w:val="1"/>
      <w:marLeft w:val="0"/>
      <w:marRight w:val="0"/>
      <w:marTop w:val="0"/>
      <w:marBottom w:val="0"/>
      <w:divBdr>
        <w:top w:val="none" w:sz="0" w:space="0" w:color="auto"/>
        <w:left w:val="none" w:sz="0" w:space="0" w:color="auto"/>
        <w:bottom w:val="none" w:sz="0" w:space="0" w:color="auto"/>
        <w:right w:val="none" w:sz="0" w:space="0" w:color="auto"/>
      </w:divBdr>
    </w:div>
    <w:div w:id="970207960">
      <w:bodyDiv w:val="1"/>
      <w:marLeft w:val="0"/>
      <w:marRight w:val="0"/>
      <w:marTop w:val="0"/>
      <w:marBottom w:val="0"/>
      <w:divBdr>
        <w:top w:val="none" w:sz="0" w:space="0" w:color="auto"/>
        <w:left w:val="none" w:sz="0" w:space="0" w:color="auto"/>
        <w:bottom w:val="none" w:sz="0" w:space="0" w:color="auto"/>
        <w:right w:val="none" w:sz="0" w:space="0" w:color="auto"/>
      </w:divBdr>
    </w:div>
    <w:div w:id="970210824">
      <w:bodyDiv w:val="1"/>
      <w:marLeft w:val="0"/>
      <w:marRight w:val="0"/>
      <w:marTop w:val="0"/>
      <w:marBottom w:val="0"/>
      <w:divBdr>
        <w:top w:val="none" w:sz="0" w:space="0" w:color="auto"/>
        <w:left w:val="none" w:sz="0" w:space="0" w:color="auto"/>
        <w:bottom w:val="none" w:sz="0" w:space="0" w:color="auto"/>
        <w:right w:val="none" w:sz="0" w:space="0" w:color="auto"/>
      </w:divBdr>
    </w:div>
    <w:div w:id="970282015">
      <w:bodyDiv w:val="1"/>
      <w:marLeft w:val="0"/>
      <w:marRight w:val="0"/>
      <w:marTop w:val="0"/>
      <w:marBottom w:val="0"/>
      <w:divBdr>
        <w:top w:val="none" w:sz="0" w:space="0" w:color="auto"/>
        <w:left w:val="none" w:sz="0" w:space="0" w:color="auto"/>
        <w:bottom w:val="none" w:sz="0" w:space="0" w:color="auto"/>
        <w:right w:val="none" w:sz="0" w:space="0" w:color="auto"/>
      </w:divBdr>
    </w:div>
    <w:div w:id="970355606">
      <w:bodyDiv w:val="1"/>
      <w:marLeft w:val="0"/>
      <w:marRight w:val="0"/>
      <w:marTop w:val="0"/>
      <w:marBottom w:val="0"/>
      <w:divBdr>
        <w:top w:val="none" w:sz="0" w:space="0" w:color="auto"/>
        <w:left w:val="none" w:sz="0" w:space="0" w:color="auto"/>
        <w:bottom w:val="none" w:sz="0" w:space="0" w:color="auto"/>
        <w:right w:val="none" w:sz="0" w:space="0" w:color="auto"/>
      </w:divBdr>
    </w:div>
    <w:div w:id="970475264">
      <w:bodyDiv w:val="1"/>
      <w:marLeft w:val="0"/>
      <w:marRight w:val="0"/>
      <w:marTop w:val="0"/>
      <w:marBottom w:val="0"/>
      <w:divBdr>
        <w:top w:val="none" w:sz="0" w:space="0" w:color="auto"/>
        <w:left w:val="none" w:sz="0" w:space="0" w:color="auto"/>
        <w:bottom w:val="none" w:sz="0" w:space="0" w:color="auto"/>
        <w:right w:val="none" w:sz="0" w:space="0" w:color="auto"/>
      </w:divBdr>
    </w:div>
    <w:div w:id="970475633">
      <w:bodyDiv w:val="1"/>
      <w:marLeft w:val="0"/>
      <w:marRight w:val="0"/>
      <w:marTop w:val="0"/>
      <w:marBottom w:val="0"/>
      <w:divBdr>
        <w:top w:val="none" w:sz="0" w:space="0" w:color="auto"/>
        <w:left w:val="none" w:sz="0" w:space="0" w:color="auto"/>
        <w:bottom w:val="none" w:sz="0" w:space="0" w:color="auto"/>
        <w:right w:val="none" w:sz="0" w:space="0" w:color="auto"/>
      </w:divBdr>
    </w:div>
    <w:div w:id="970668528">
      <w:bodyDiv w:val="1"/>
      <w:marLeft w:val="0"/>
      <w:marRight w:val="0"/>
      <w:marTop w:val="0"/>
      <w:marBottom w:val="0"/>
      <w:divBdr>
        <w:top w:val="none" w:sz="0" w:space="0" w:color="auto"/>
        <w:left w:val="none" w:sz="0" w:space="0" w:color="auto"/>
        <w:bottom w:val="none" w:sz="0" w:space="0" w:color="auto"/>
        <w:right w:val="none" w:sz="0" w:space="0" w:color="auto"/>
      </w:divBdr>
    </w:div>
    <w:div w:id="970674986">
      <w:bodyDiv w:val="1"/>
      <w:marLeft w:val="0"/>
      <w:marRight w:val="0"/>
      <w:marTop w:val="0"/>
      <w:marBottom w:val="0"/>
      <w:divBdr>
        <w:top w:val="none" w:sz="0" w:space="0" w:color="auto"/>
        <w:left w:val="none" w:sz="0" w:space="0" w:color="auto"/>
        <w:bottom w:val="none" w:sz="0" w:space="0" w:color="auto"/>
        <w:right w:val="none" w:sz="0" w:space="0" w:color="auto"/>
      </w:divBdr>
    </w:div>
    <w:div w:id="970744545">
      <w:bodyDiv w:val="1"/>
      <w:marLeft w:val="0"/>
      <w:marRight w:val="0"/>
      <w:marTop w:val="0"/>
      <w:marBottom w:val="0"/>
      <w:divBdr>
        <w:top w:val="none" w:sz="0" w:space="0" w:color="auto"/>
        <w:left w:val="none" w:sz="0" w:space="0" w:color="auto"/>
        <w:bottom w:val="none" w:sz="0" w:space="0" w:color="auto"/>
        <w:right w:val="none" w:sz="0" w:space="0" w:color="auto"/>
      </w:divBdr>
    </w:div>
    <w:div w:id="970784855">
      <w:bodyDiv w:val="1"/>
      <w:marLeft w:val="0"/>
      <w:marRight w:val="0"/>
      <w:marTop w:val="0"/>
      <w:marBottom w:val="0"/>
      <w:divBdr>
        <w:top w:val="none" w:sz="0" w:space="0" w:color="auto"/>
        <w:left w:val="none" w:sz="0" w:space="0" w:color="auto"/>
        <w:bottom w:val="none" w:sz="0" w:space="0" w:color="auto"/>
        <w:right w:val="none" w:sz="0" w:space="0" w:color="auto"/>
      </w:divBdr>
    </w:div>
    <w:div w:id="970862420">
      <w:bodyDiv w:val="1"/>
      <w:marLeft w:val="0"/>
      <w:marRight w:val="0"/>
      <w:marTop w:val="0"/>
      <w:marBottom w:val="0"/>
      <w:divBdr>
        <w:top w:val="none" w:sz="0" w:space="0" w:color="auto"/>
        <w:left w:val="none" w:sz="0" w:space="0" w:color="auto"/>
        <w:bottom w:val="none" w:sz="0" w:space="0" w:color="auto"/>
        <w:right w:val="none" w:sz="0" w:space="0" w:color="auto"/>
      </w:divBdr>
    </w:div>
    <w:div w:id="970866590">
      <w:bodyDiv w:val="1"/>
      <w:marLeft w:val="0"/>
      <w:marRight w:val="0"/>
      <w:marTop w:val="0"/>
      <w:marBottom w:val="0"/>
      <w:divBdr>
        <w:top w:val="none" w:sz="0" w:space="0" w:color="auto"/>
        <w:left w:val="none" w:sz="0" w:space="0" w:color="auto"/>
        <w:bottom w:val="none" w:sz="0" w:space="0" w:color="auto"/>
        <w:right w:val="none" w:sz="0" w:space="0" w:color="auto"/>
      </w:divBdr>
    </w:div>
    <w:div w:id="970983059">
      <w:bodyDiv w:val="1"/>
      <w:marLeft w:val="0"/>
      <w:marRight w:val="0"/>
      <w:marTop w:val="0"/>
      <w:marBottom w:val="0"/>
      <w:divBdr>
        <w:top w:val="none" w:sz="0" w:space="0" w:color="auto"/>
        <w:left w:val="none" w:sz="0" w:space="0" w:color="auto"/>
        <w:bottom w:val="none" w:sz="0" w:space="0" w:color="auto"/>
        <w:right w:val="none" w:sz="0" w:space="0" w:color="auto"/>
      </w:divBdr>
    </w:div>
    <w:div w:id="971013078">
      <w:bodyDiv w:val="1"/>
      <w:marLeft w:val="0"/>
      <w:marRight w:val="0"/>
      <w:marTop w:val="0"/>
      <w:marBottom w:val="0"/>
      <w:divBdr>
        <w:top w:val="none" w:sz="0" w:space="0" w:color="auto"/>
        <w:left w:val="none" w:sz="0" w:space="0" w:color="auto"/>
        <w:bottom w:val="none" w:sz="0" w:space="0" w:color="auto"/>
        <w:right w:val="none" w:sz="0" w:space="0" w:color="auto"/>
      </w:divBdr>
    </w:div>
    <w:div w:id="971056063">
      <w:bodyDiv w:val="1"/>
      <w:marLeft w:val="0"/>
      <w:marRight w:val="0"/>
      <w:marTop w:val="0"/>
      <w:marBottom w:val="0"/>
      <w:divBdr>
        <w:top w:val="none" w:sz="0" w:space="0" w:color="auto"/>
        <w:left w:val="none" w:sz="0" w:space="0" w:color="auto"/>
        <w:bottom w:val="none" w:sz="0" w:space="0" w:color="auto"/>
        <w:right w:val="none" w:sz="0" w:space="0" w:color="auto"/>
      </w:divBdr>
    </w:div>
    <w:div w:id="971059636">
      <w:bodyDiv w:val="1"/>
      <w:marLeft w:val="0"/>
      <w:marRight w:val="0"/>
      <w:marTop w:val="0"/>
      <w:marBottom w:val="0"/>
      <w:divBdr>
        <w:top w:val="none" w:sz="0" w:space="0" w:color="auto"/>
        <w:left w:val="none" w:sz="0" w:space="0" w:color="auto"/>
        <w:bottom w:val="none" w:sz="0" w:space="0" w:color="auto"/>
        <w:right w:val="none" w:sz="0" w:space="0" w:color="auto"/>
      </w:divBdr>
    </w:div>
    <w:div w:id="971249875">
      <w:bodyDiv w:val="1"/>
      <w:marLeft w:val="0"/>
      <w:marRight w:val="0"/>
      <w:marTop w:val="0"/>
      <w:marBottom w:val="0"/>
      <w:divBdr>
        <w:top w:val="none" w:sz="0" w:space="0" w:color="auto"/>
        <w:left w:val="none" w:sz="0" w:space="0" w:color="auto"/>
        <w:bottom w:val="none" w:sz="0" w:space="0" w:color="auto"/>
        <w:right w:val="none" w:sz="0" w:space="0" w:color="auto"/>
      </w:divBdr>
    </w:div>
    <w:div w:id="971255359">
      <w:bodyDiv w:val="1"/>
      <w:marLeft w:val="0"/>
      <w:marRight w:val="0"/>
      <w:marTop w:val="0"/>
      <w:marBottom w:val="0"/>
      <w:divBdr>
        <w:top w:val="none" w:sz="0" w:space="0" w:color="auto"/>
        <w:left w:val="none" w:sz="0" w:space="0" w:color="auto"/>
        <w:bottom w:val="none" w:sz="0" w:space="0" w:color="auto"/>
        <w:right w:val="none" w:sz="0" w:space="0" w:color="auto"/>
      </w:divBdr>
    </w:div>
    <w:div w:id="971329583">
      <w:bodyDiv w:val="1"/>
      <w:marLeft w:val="0"/>
      <w:marRight w:val="0"/>
      <w:marTop w:val="0"/>
      <w:marBottom w:val="0"/>
      <w:divBdr>
        <w:top w:val="none" w:sz="0" w:space="0" w:color="auto"/>
        <w:left w:val="none" w:sz="0" w:space="0" w:color="auto"/>
        <w:bottom w:val="none" w:sz="0" w:space="0" w:color="auto"/>
        <w:right w:val="none" w:sz="0" w:space="0" w:color="auto"/>
      </w:divBdr>
    </w:div>
    <w:div w:id="971402105">
      <w:bodyDiv w:val="1"/>
      <w:marLeft w:val="0"/>
      <w:marRight w:val="0"/>
      <w:marTop w:val="0"/>
      <w:marBottom w:val="0"/>
      <w:divBdr>
        <w:top w:val="none" w:sz="0" w:space="0" w:color="auto"/>
        <w:left w:val="none" w:sz="0" w:space="0" w:color="auto"/>
        <w:bottom w:val="none" w:sz="0" w:space="0" w:color="auto"/>
        <w:right w:val="none" w:sz="0" w:space="0" w:color="auto"/>
      </w:divBdr>
    </w:div>
    <w:div w:id="971405591">
      <w:bodyDiv w:val="1"/>
      <w:marLeft w:val="0"/>
      <w:marRight w:val="0"/>
      <w:marTop w:val="0"/>
      <w:marBottom w:val="0"/>
      <w:divBdr>
        <w:top w:val="none" w:sz="0" w:space="0" w:color="auto"/>
        <w:left w:val="none" w:sz="0" w:space="0" w:color="auto"/>
        <w:bottom w:val="none" w:sz="0" w:space="0" w:color="auto"/>
        <w:right w:val="none" w:sz="0" w:space="0" w:color="auto"/>
      </w:divBdr>
    </w:div>
    <w:div w:id="971515634">
      <w:bodyDiv w:val="1"/>
      <w:marLeft w:val="0"/>
      <w:marRight w:val="0"/>
      <w:marTop w:val="0"/>
      <w:marBottom w:val="0"/>
      <w:divBdr>
        <w:top w:val="none" w:sz="0" w:space="0" w:color="auto"/>
        <w:left w:val="none" w:sz="0" w:space="0" w:color="auto"/>
        <w:bottom w:val="none" w:sz="0" w:space="0" w:color="auto"/>
        <w:right w:val="none" w:sz="0" w:space="0" w:color="auto"/>
      </w:divBdr>
    </w:div>
    <w:div w:id="971666864">
      <w:bodyDiv w:val="1"/>
      <w:marLeft w:val="0"/>
      <w:marRight w:val="0"/>
      <w:marTop w:val="0"/>
      <w:marBottom w:val="0"/>
      <w:divBdr>
        <w:top w:val="none" w:sz="0" w:space="0" w:color="auto"/>
        <w:left w:val="none" w:sz="0" w:space="0" w:color="auto"/>
        <w:bottom w:val="none" w:sz="0" w:space="0" w:color="auto"/>
        <w:right w:val="none" w:sz="0" w:space="0" w:color="auto"/>
      </w:divBdr>
    </w:div>
    <w:div w:id="971710524">
      <w:bodyDiv w:val="1"/>
      <w:marLeft w:val="0"/>
      <w:marRight w:val="0"/>
      <w:marTop w:val="0"/>
      <w:marBottom w:val="0"/>
      <w:divBdr>
        <w:top w:val="none" w:sz="0" w:space="0" w:color="auto"/>
        <w:left w:val="none" w:sz="0" w:space="0" w:color="auto"/>
        <w:bottom w:val="none" w:sz="0" w:space="0" w:color="auto"/>
        <w:right w:val="none" w:sz="0" w:space="0" w:color="auto"/>
      </w:divBdr>
    </w:div>
    <w:div w:id="971784529">
      <w:bodyDiv w:val="1"/>
      <w:marLeft w:val="0"/>
      <w:marRight w:val="0"/>
      <w:marTop w:val="0"/>
      <w:marBottom w:val="0"/>
      <w:divBdr>
        <w:top w:val="none" w:sz="0" w:space="0" w:color="auto"/>
        <w:left w:val="none" w:sz="0" w:space="0" w:color="auto"/>
        <w:bottom w:val="none" w:sz="0" w:space="0" w:color="auto"/>
        <w:right w:val="none" w:sz="0" w:space="0" w:color="auto"/>
      </w:divBdr>
    </w:div>
    <w:div w:id="971786536">
      <w:bodyDiv w:val="1"/>
      <w:marLeft w:val="0"/>
      <w:marRight w:val="0"/>
      <w:marTop w:val="0"/>
      <w:marBottom w:val="0"/>
      <w:divBdr>
        <w:top w:val="none" w:sz="0" w:space="0" w:color="auto"/>
        <w:left w:val="none" w:sz="0" w:space="0" w:color="auto"/>
        <w:bottom w:val="none" w:sz="0" w:space="0" w:color="auto"/>
        <w:right w:val="none" w:sz="0" w:space="0" w:color="auto"/>
      </w:divBdr>
    </w:div>
    <w:div w:id="971861003">
      <w:bodyDiv w:val="1"/>
      <w:marLeft w:val="0"/>
      <w:marRight w:val="0"/>
      <w:marTop w:val="0"/>
      <w:marBottom w:val="0"/>
      <w:divBdr>
        <w:top w:val="none" w:sz="0" w:space="0" w:color="auto"/>
        <w:left w:val="none" w:sz="0" w:space="0" w:color="auto"/>
        <w:bottom w:val="none" w:sz="0" w:space="0" w:color="auto"/>
        <w:right w:val="none" w:sz="0" w:space="0" w:color="auto"/>
      </w:divBdr>
    </w:div>
    <w:div w:id="971862949">
      <w:bodyDiv w:val="1"/>
      <w:marLeft w:val="0"/>
      <w:marRight w:val="0"/>
      <w:marTop w:val="0"/>
      <w:marBottom w:val="0"/>
      <w:divBdr>
        <w:top w:val="none" w:sz="0" w:space="0" w:color="auto"/>
        <w:left w:val="none" w:sz="0" w:space="0" w:color="auto"/>
        <w:bottom w:val="none" w:sz="0" w:space="0" w:color="auto"/>
        <w:right w:val="none" w:sz="0" w:space="0" w:color="auto"/>
      </w:divBdr>
    </w:div>
    <w:div w:id="971907033">
      <w:bodyDiv w:val="1"/>
      <w:marLeft w:val="0"/>
      <w:marRight w:val="0"/>
      <w:marTop w:val="0"/>
      <w:marBottom w:val="0"/>
      <w:divBdr>
        <w:top w:val="none" w:sz="0" w:space="0" w:color="auto"/>
        <w:left w:val="none" w:sz="0" w:space="0" w:color="auto"/>
        <w:bottom w:val="none" w:sz="0" w:space="0" w:color="auto"/>
        <w:right w:val="none" w:sz="0" w:space="0" w:color="auto"/>
      </w:divBdr>
    </w:div>
    <w:div w:id="971981600">
      <w:bodyDiv w:val="1"/>
      <w:marLeft w:val="0"/>
      <w:marRight w:val="0"/>
      <w:marTop w:val="0"/>
      <w:marBottom w:val="0"/>
      <w:divBdr>
        <w:top w:val="none" w:sz="0" w:space="0" w:color="auto"/>
        <w:left w:val="none" w:sz="0" w:space="0" w:color="auto"/>
        <w:bottom w:val="none" w:sz="0" w:space="0" w:color="auto"/>
        <w:right w:val="none" w:sz="0" w:space="0" w:color="auto"/>
      </w:divBdr>
    </w:div>
    <w:div w:id="972054170">
      <w:bodyDiv w:val="1"/>
      <w:marLeft w:val="0"/>
      <w:marRight w:val="0"/>
      <w:marTop w:val="0"/>
      <w:marBottom w:val="0"/>
      <w:divBdr>
        <w:top w:val="none" w:sz="0" w:space="0" w:color="auto"/>
        <w:left w:val="none" w:sz="0" w:space="0" w:color="auto"/>
        <w:bottom w:val="none" w:sz="0" w:space="0" w:color="auto"/>
        <w:right w:val="none" w:sz="0" w:space="0" w:color="auto"/>
      </w:divBdr>
    </w:div>
    <w:div w:id="972054795">
      <w:bodyDiv w:val="1"/>
      <w:marLeft w:val="0"/>
      <w:marRight w:val="0"/>
      <w:marTop w:val="0"/>
      <w:marBottom w:val="0"/>
      <w:divBdr>
        <w:top w:val="none" w:sz="0" w:space="0" w:color="auto"/>
        <w:left w:val="none" w:sz="0" w:space="0" w:color="auto"/>
        <w:bottom w:val="none" w:sz="0" w:space="0" w:color="auto"/>
        <w:right w:val="none" w:sz="0" w:space="0" w:color="auto"/>
      </w:divBdr>
    </w:div>
    <w:div w:id="972097357">
      <w:bodyDiv w:val="1"/>
      <w:marLeft w:val="0"/>
      <w:marRight w:val="0"/>
      <w:marTop w:val="0"/>
      <w:marBottom w:val="0"/>
      <w:divBdr>
        <w:top w:val="none" w:sz="0" w:space="0" w:color="auto"/>
        <w:left w:val="none" w:sz="0" w:space="0" w:color="auto"/>
        <w:bottom w:val="none" w:sz="0" w:space="0" w:color="auto"/>
        <w:right w:val="none" w:sz="0" w:space="0" w:color="auto"/>
      </w:divBdr>
    </w:div>
    <w:div w:id="972373301">
      <w:bodyDiv w:val="1"/>
      <w:marLeft w:val="0"/>
      <w:marRight w:val="0"/>
      <w:marTop w:val="0"/>
      <w:marBottom w:val="0"/>
      <w:divBdr>
        <w:top w:val="none" w:sz="0" w:space="0" w:color="auto"/>
        <w:left w:val="none" w:sz="0" w:space="0" w:color="auto"/>
        <w:bottom w:val="none" w:sz="0" w:space="0" w:color="auto"/>
        <w:right w:val="none" w:sz="0" w:space="0" w:color="auto"/>
      </w:divBdr>
    </w:div>
    <w:div w:id="972558018">
      <w:bodyDiv w:val="1"/>
      <w:marLeft w:val="0"/>
      <w:marRight w:val="0"/>
      <w:marTop w:val="0"/>
      <w:marBottom w:val="0"/>
      <w:divBdr>
        <w:top w:val="none" w:sz="0" w:space="0" w:color="auto"/>
        <w:left w:val="none" w:sz="0" w:space="0" w:color="auto"/>
        <w:bottom w:val="none" w:sz="0" w:space="0" w:color="auto"/>
        <w:right w:val="none" w:sz="0" w:space="0" w:color="auto"/>
      </w:divBdr>
    </w:div>
    <w:div w:id="972633511">
      <w:bodyDiv w:val="1"/>
      <w:marLeft w:val="0"/>
      <w:marRight w:val="0"/>
      <w:marTop w:val="0"/>
      <w:marBottom w:val="0"/>
      <w:divBdr>
        <w:top w:val="none" w:sz="0" w:space="0" w:color="auto"/>
        <w:left w:val="none" w:sz="0" w:space="0" w:color="auto"/>
        <w:bottom w:val="none" w:sz="0" w:space="0" w:color="auto"/>
        <w:right w:val="none" w:sz="0" w:space="0" w:color="auto"/>
      </w:divBdr>
    </w:div>
    <w:div w:id="972633629">
      <w:bodyDiv w:val="1"/>
      <w:marLeft w:val="0"/>
      <w:marRight w:val="0"/>
      <w:marTop w:val="0"/>
      <w:marBottom w:val="0"/>
      <w:divBdr>
        <w:top w:val="none" w:sz="0" w:space="0" w:color="auto"/>
        <w:left w:val="none" w:sz="0" w:space="0" w:color="auto"/>
        <w:bottom w:val="none" w:sz="0" w:space="0" w:color="auto"/>
        <w:right w:val="none" w:sz="0" w:space="0" w:color="auto"/>
      </w:divBdr>
    </w:div>
    <w:div w:id="972710936">
      <w:bodyDiv w:val="1"/>
      <w:marLeft w:val="0"/>
      <w:marRight w:val="0"/>
      <w:marTop w:val="0"/>
      <w:marBottom w:val="0"/>
      <w:divBdr>
        <w:top w:val="none" w:sz="0" w:space="0" w:color="auto"/>
        <w:left w:val="none" w:sz="0" w:space="0" w:color="auto"/>
        <w:bottom w:val="none" w:sz="0" w:space="0" w:color="auto"/>
        <w:right w:val="none" w:sz="0" w:space="0" w:color="auto"/>
      </w:divBdr>
    </w:div>
    <w:div w:id="972752623">
      <w:bodyDiv w:val="1"/>
      <w:marLeft w:val="0"/>
      <w:marRight w:val="0"/>
      <w:marTop w:val="0"/>
      <w:marBottom w:val="0"/>
      <w:divBdr>
        <w:top w:val="none" w:sz="0" w:space="0" w:color="auto"/>
        <w:left w:val="none" w:sz="0" w:space="0" w:color="auto"/>
        <w:bottom w:val="none" w:sz="0" w:space="0" w:color="auto"/>
        <w:right w:val="none" w:sz="0" w:space="0" w:color="auto"/>
      </w:divBdr>
    </w:div>
    <w:div w:id="97290795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2978995">
      <w:bodyDiv w:val="1"/>
      <w:marLeft w:val="0"/>
      <w:marRight w:val="0"/>
      <w:marTop w:val="0"/>
      <w:marBottom w:val="0"/>
      <w:divBdr>
        <w:top w:val="none" w:sz="0" w:space="0" w:color="auto"/>
        <w:left w:val="none" w:sz="0" w:space="0" w:color="auto"/>
        <w:bottom w:val="none" w:sz="0" w:space="0" w:color="auto"/>
        <w:right w:val="none" w:sz="0" w:space="0" w:color="auto"/>
      </w:divBdr>
    </w:div>
    <w:div w:id="973025293">
      <w:bodyDiv w:val="1"/>
      <w:marLeft w:val="0"/>
      <w:marRight w:val="0"/>
      <w:marTop w:val="0"/>
      <w:marBottom w:val="0"/>
      <w:divBdr>
        <w:top w:val="none" w:sz="0" w:space="0" w:color="auto"/>
        <w:left w:val="none" w:sz="0" w:space="0" w:color="auto"/>
        <w:bottom w:val="none" w:sz="0" w:space="0" w:color="auto"/>
        <w:right w:val="none" w:sz="0" w:space="0" w:color="auto"/>
      </w:divBdr>
    </w:div>
    <w:div w:id="973219737">
      <w:bodyDiv w:val="1"/>
      <w:marLeft w:val="0"/>
      <w:marRight w:val="0"/>
      <w:marTop w:val="0"/>
      <w:marBottom w:val="0"/>
      <w:divBdr>
        <w:top w:val="none" w:sz="0" w:space="0" w:color="auto"/>
        <w:left w:val="none" w:sz="0" w:space="0" w:color="auto"/>
        <w:bottom w:val="none" w:sz="0" w:space="0" w:color="auto"/>
        <w:right w:val="none" w:sz="0" w:space="0" w:color="auto"/>
      </w:divBdr>
    </w:div>
    <w:div w:id="973633995">
      <w:bodyDiv w:val="1"/>
      <w:marLeft w:val="0"/>
      <w:marRight w:val="0"/>
      <w:marTop w:val="0"/>
      <w:marBottom w:val="0"/>
      <w:divBdr>
        <w:top w:val="none" w:sz="0" w:space="0" w:color="auto"/>
        <w:left w:val="none" w:sz="0" w:space="0" w:color="auto"/>
        <w:bottom w:val="none" w:sz="0" w:space="0" w:color="auto"/>
        <w:right w:val="none" w:sz="0" w:space="0" w:color="auto"/>
      </w:divBdr>
    </w:div>
    <w:div w:id="973681696">
      <w:bodyDiv w:val="1"/>
      <w:marLeft w:val="0"/>
      <w:marRight w:val="0"/>
      <w:marTop w:val="0"/>
      <w:marBottom w:val="0"/>
      <w:divBdr>
        <w:top w:val="none" w:sz="0" w:space="0" w:color="auto"/>
        <w:left w:val="none" w:sz="0" w:space="0" w:color="auto"/>
        <w:bottom w:val="none" w:sz="0" w:space="0" w:color="auto"/>
        <w:right w:val="none" w:sz="0" w:space="0" w:color="auto"/>
      </w:divBdr>
    </w:div>
    <w:div w:id="973827757">
      <w:bodyDiv w:val="1"/>
      <w:marLeft w:val="0"/>
      <w:marRight w:val="0"/>
      <w:marTop w:val="0"/>
      <w:marBottom w:val="0"/>
      <w:divBdr>
        <w:top w:val="none" w:sz="0" w:space="0" w:color="auto"/>
        <w:left w:val="none" w:sz="0" w:space="0" w:color="auto"/>
        <w:bottom w:val="none" w:sz="0" w:space="0" w:color="auto"/>
        <w:right w:val="none" w:sz="0" w:space="0" w:color="auto"/>
      </w:divBdr>
    </w:div>
    <w:div w:id="973830066">
      <w:bodyDiv w:val="1"/>
      <w:marLeft w:val="0"/>
      <w:marRight w:val="0"/>
      <w:marTop w:val="0"/>
      <w:marBottom w:val="0"/>
      <w:divBdr>
        <w:top w:val="none" w:sz="0" w:space="0" w:color="auto"/>
        <w:left w:val="none" w:sz="0" w:space="0" w:color="auto"/>
        <w:bottom w:val="none" w:sz="0" w:space="0" w:color="auto"/>
        <w:right w:val="none" w:sz="0" w:space="0" w:color="auto"/>
      </w:divBdr>
    </w:div>
    <w:div w:id="973867794">
      <w:bodyDiv w:val="1"/>
      <w:marLeft w:val="0"/>
      <w:marRight w:val="0"/>
      <w:marTop w:val="0"/>
      <w:marBottom w:val="0"/>
      <w:divBdr>
        <w:top w:val="none" w:sz="0" w:space="0" w:color="auto"/>
        <w:left w:val="none" w:sz="0" w:space="0" w:color="auto"/>
        <w:bottom w:val="none" w:sz="0" w:space="0" w:color="auto"/>
        <w:right w:val="none" w:sz="0" w:space="0" w:color="auto"/>
      </w:divBdr>
    </w:div>
    <w:div w:id="973872866">
      <w:bodyDiv w:val="1"/>
      <w:marLeft w:val="0"/>
      <w:marRight w:val="0"/>
      <w:marTop w:val="0"/>
      <w:marBottom w:val="0"/>
      <w:divBdr>
        <w:top w:val="none" w:sz="0" w:space="0" w:color="auto"/>
        <w:left w:val="none" w:sz="0" w:space="0" w:color="auto"/>
        <w:bottom w:val="none" w:sz="0" w:space="0" w:color="auto"/>
        <w:right w:val="none" w:sz="0" w:space="0" w:color="auto"/>
      </w:divBdr>
    </w:div>
    <w:div w:id="973874837">
      <w:bodyDiv w:val="1"/>
      <w:marLeft w:val="0"/>
      <w:marRight w:val="0"/>
      <w:marTop w:val="0"/>
      <w:marBottom w:val="0"/>
      <w:divBdr>
        <w:top w:val="none" w:sz="0" w:space="0" w:color="auto"/>
        <w:left w:val="none" w:sz="0" w:space="0" w:color="auto"/>
        <w:bottom w:val="none" w:sz="0" w:space="0" w:color="auto"/>
        <w:right w:val="none" w:sz="0" w:space="0" w:color="auto"/>
      </w:divBdr>
    </w:div>
    <w:div w:id="973875716">
      <w:bodyDiv w:val="1"/>
      <w:marLeft w:val="0"/>
      <w:marRight w:val="0"/>
      <w:marTop w:val="0"/>
      <w:marBottom w:val="0"/>
      <w:divBdr>
        <w:top w:val="none" w:sz="0" w:space="0" w:color="auto"/>
        <w:left w:val="none" w:sz="0" w:space="0" w:color="auto"/>
        <w:bottom w:val="none" w:sz="0" w:space="0" w:color="auto"/>
        <w:right w:val="none" w:sz="0" w:space="0" w:color="auto"/>
      </w:divBdr>
    </w:div>
    <w:div w:id="973945248">
      <w:bodyDiv w:val="1"/>
      <w:marLeft w:val="0"/>
      <w:marRight w:val="0"/>
      <w:marTop w:val="0"/>
      <w:marBottom w:val="0"/>
      <w:divBdr>
        <w:top w:val="none" w:sz="0" w:space="0" w:color="auto"/>
        <w:left w:val="none" w:sz="0" w:space="0" w:color="auto"/>
        <w:bottom w:val="none" w:sz="0" w:space="0" w:color="auto"/>
        <w:right w:val="none" w:sz="0" w:space="0" w:color="auto"/>
      </w:divBdr>
    </w:div>
    <w:div w:id="973949471">
      <w:bodyDiv w:val="1"/>
      <w:marLeft w:val="0"/>
      <w:marRight w:val="0"/>
      <w:marTop w:val="0"/>
      <w:marBottom w:val="0"/>
      <w:divBdr>
        <w:top w:val="none" w:sz="0" w:space="0" w:color="auto"/>
        <w:left w:val="none" w:sz="0" w:space="0" w:color="auto"/>
        <w:bottom w:val="none" w:sz="0" w:space="0" w:color="auto"/>
        <w:right w:val="none" w:sz="0" w:space="0" w:color="auto"/>
      </w:divBdr>
    </w:div>
    <w:div w:id="974027648">
      <w:bodyDiv w:val="1"/>
      <w:marLeft w:val="0"/>
      <w:marRight w:val="0"/>
      <w:marTop w:val="0"/>
      <w:marBottom w:val="0"/>
      <w:divBdr>
        <w:top w:val="none" w:sz="0" w:space="0" w:color="auto"/>
        <w:left w:val="none" w:sz="0" w:space="0" w:color="auto"/>
        <w:bottom w:val="none" w:sz="0" w:space="0" w:color="auto"/>
        <w:right w:val="none" w:sz="0" w:space="0" w:color="auto"/>
      </w:divBdr>
    </w:div>
    <w:div w:id="974066802">
      <w:bodyDiv w:val="1"/>
      <w:marLeft w:val="0"/>
      <w:marRight w:val="0"/>
      <w:marTop w:val="0"/>
      <w:marBottom w:val="0"/>
      <w:divBdr>
        <w:top w:val="none" w:sz="0" w:space="0" w:color="auto"/>
        <w:left w:val="none" w:sz="0" w:space="0" w:color="auto"/>
        <w:bottom w:val="none" w:sz="0" w:space="0" w:color="auto"/>
        <w:right w:val="none" w:sz="0" w:space="0" w:color="auto"/>
      </w:divBdr>
    </w:div>
    <w:div w:id="974066965">
      <w:bodyDiv w:val="1"/>
      <w:marLeft w:val="0"/>
      <w:marRight w:val="0"/>
      <w:marTop w:val="0"/>
      <w:marBottom w:val="0"/>
      <w:divBdr>
        <w:top w:val="none" w:sz="0" w:space="0" w:color="auto"/>
        <w:left w:val="none" w:sz="0" w:space="0" w:color="auto"/>
        <w:bottom w:val="none" w:sz="0" w:space="0" w:color="auto"/>
        <w:right w:val="none" w:sz="0" w:space="0" w:color="auto"/>
      </w:divBdr>
    </w:div>
    <w:div w:id="974144100">
      <w:bodyDiv w:val="1"/>
      <w:marLeft w:val="0"/>
      <w:marRight w:val="0"/>
      <w:marTop w:val="0"/>
      <w:marBottom w:val="0"/>
      <w:divBdr>
        <w:top w:val="none" w:sz="0" w:space="0" w:color="auto"/>
        <w:left w:val="none" w:sz="0" w:space="0" w:color="auto"/>
        <w:bottom w:val="none" w:sz="0" w:space="0" w:color="auto"/>
        <w:right w:val="none" w:sz="0" w:space="0" w:color="auto"/>
      </w:divBdr>
    </w:div>
    <w:div w:id="974212934">
      <w:bodyDiv w:val="1"/>
      <w:marLeft w:val="0"/>
      <w:marRight w:val="0"/>
      <w:marTop w:val="0"/>
      <w:marBottom w:val="0"/>
      <w:divBdr>
        <w:top w:val="none" w:sz="0" w:space="0" w:color="auto"/>
        <w:left w:val="none" w:sz="0" w:space="0" w:color="auto"/>
        <w:bottom w:val="none" w:sz="0" w:space="0" w:color="auto"/>
        <w:right w:val="none" w:sz="0" w:space="0" w:color="auto"/>
      </w:divBdr>
    </w:div>
    <w:div w:id="974289416">
      <w:bodyDiv w:val="1"/>
      <w:marLeft w:val="0"/>
      <w:marRight w:val="0"/>
      <w:marTop w:val="0"/>
      <w:marBottom w:val="0"/>
      <w:divBdr>
        <w:top w:val="none" w:sz="0" w:space="0" w:color="auto"/>
        <w:left w:val="none" w:sz="0" w:space="0" w:color="auto"/>
        <w:bottom w:val="none" w:sz="0" w:space="0" w:color="auto"/>
        <w:right w:val="none" w:sz="0" w:space="0" w:color="auto"/>
      </w:divBdr>
    </w:div>
    <w:div w:id="974338792">
      <w:bodyDiv w:val="1"/>
      <w:marLeft w:val="0"/>
      <w:marRight w:val="0"/>
      <w:marTop w:val="0"/>
      <w:marBottom w:val="0"/>
      <w:divBdr>
        <w:top w:val="none" w:sz="0" w:space="0" w:color="auto"/>
        <w:left w:val="none" w:sz="0" w:space="0" w:color="auto"/>
        <w:bottom w:val="none" w:sz="0" w:space="0" w:color="auto"/>
        <w:right w:val="none" w:sz="0" w:space="0" w:color="auto"/>
      </w:divBdr>
    </w:div>
    <w:div w:id="974405945">
      <w:bodyDiv w:val="1"/>
      <w:marLeft w:val="0"/>
      <w:marRight w:val="0"/>
      <w:marTop w:val="0"/>
      <w:marBottom w:val="0"/>
      <w:divBdr>
        <w:top w:val="none" w:sz="0" w:space="0" w:color="auto"/>
        <w:left w:val="none" w:sz="0" w:space="0" w:color="auto"/>
        <w:bottom w:val="none" w:sz="0" w:space="0" w:color="auto"/>
        <w:right w:val="none" w:sz="0" w:space="0" w:color="auto"/>
      </w:divBdr>
    </w:div>
    <w:div w:id="974407424">
      <w:bodyDiv w:val="1"/>
      <w:marLeft w:val="0"/>
      <w:marRight w:val="0"/>
      <w:marTop w:val="0"/>
      <w:marBottom w:val="0"/>
      <w:divBdr>
        <w:top w:val="none" w:sz="0" w:space="0" w:color="auto"/>
        <w:left w:val="none" w:sz="0" w:space="0" w:color="auto"/>
        <w:bottom w:val="none" w:sz="0" w:space="0" w:color="auto"/>
        <w:right w:val="none" w:sz="0" w:space="0" w:color="auto"/>
      </w:divBdr>
    </w:div>
    <w:div w:id="974481212">
      <w:bodyDiv w:val="1"/>
      <w:marLeft w:val="0"/>
      <w:marRight w:val="0"/>
      <w:marTop w:val="0"/>
      <w:marBottom w:val="0"/>
      <w:divBdr>
        <w:top w:val="none" w:sz="0" w:space="0" w:color="auto"/>
        <w:left w:val="none" w:sz="0" w:space="0" w:color="auto"/>
        <w:bottom w:val="none" w:sz="0" w:space="0" w:color="auto"/>
        <w:right w:val="none" w:sz="0" w:space="0" w:color="auto"/>
      </w:divBdr>
    </w:div>
    <w:div w:id="974869060">
      <w:bodyDiv w:val="1"/>
      <w:marLeft w:val="0"/>
      <w:marRight w:val="0"/>
      <w:marTop w:val="0"/>
      <w:marBottom w:val="0"/>
      <w:divBdr>
        <w:top w:val="none" w:sz="0" w:space="0" w:color="auto"/>
        <w:left w:val="none" w:sz="0" w:space="0" w:color="auto"/>
        <w:bottom w:val="none" w:sz="0" w:space="0" w:color="auto"/>
        <w:right w:val="none" w:sz="0" w:space="0" w:color="auto"/>
      </w:divBdr>
    </w:div>
    <w:div w:id="974914873">
      <w:bodyDiv w:val="1"/>
      <w:marLeft w:val="0"/>
      <w:marRight w:val="0"/>
      <w:marTop w:val="0"/>
      <w:marBottom w:val="0"/>
      <w:divBdr>
        <w:top w:val="none" w:sz="0" w:space="0" w:color="auto"/>
        <w:left w:val="none" w:sz="0" w:space="0" w:color="auto"/>
        <w:bottom w:val="none" w:sz="0" w:space="0" w:color="auto"/>
        <w:right w:val="none" w:sz="0" w:space="0" w:color="auto"/>
      </w:divBdr>
    </w:div>
    <w:div w:id="974989111">
      <w:bodyDiv w:val="1"/>
      <w:marLeft w:val="0"/>
      <w:marRight w:val="0"/>
      <w:marTop w:val="0"/>
      <w:marBottom w:val="0"/>
      <w:divBdr>
        <w:top w:val="none" w:sz="0" w:space="0" w:color="auto"/>
        <w:left w:val="none" w:sz="0" w:space="0" w:color="auto"/>
        <w:bottom w:val="none" w:sz="0" w:space="0" w:color="auto"/>
        <w:right w:val="none" w:sz="0" w:space="0" w:color="auto"/>
      </w:divBdr>
    </w:div>
    <w:div w:id="974990773">
      <w:bodyDiv w:val="1"/>
      <w:marLeft w:val="0"/>
      <w:marRight w:val="0"/>
      <w:marTop w:val="0"/>
      <w:marBottom w:val="0"/>
      <w:divBdr>
        <w:top w:val="none" w:sz="0" w:space="0" w:color="auto"/>
        <w:left w:val="none" w:sz="0" w:space="0" w:color="auto"/>
        <w:bottom w:val="none" w:sz="0" w:space="0" w:color="auto"/>
        <w:right w:val="none" w:sz="0" w:space="0" w:color="auto"/>
      </w:divBdr>
    </w:div>
    <w:div w:id="975112148">
      <w:bodyDiv w:val="1"/>
      <w:marLeft w:val="0"/>
      <w:marRight w:val="0"/>
      <w:marTop w:val="0"/>
      <w:marBottom w:val="0"/>
      <w:divBdr>
        <w:top w:val="none" w:sz="0" w:space="0" w:color="auto"/>
        <w:left w:val="none" w:sz="0" w:space="0" w:color="auto"/>
        <w:bottom w:val="none" w:sz="0" w:space="0" w:color="auto"/>
        <w:right w:val="none" w:sz="0" w:space="0" w:color="auto"/>
      </w:divBdr>
    </w:div>
    <w:div w:id="975180273">
      <w:bodyDiv w:val="1"/>
      <w:marLeft w:val="0"/>
      <w:marRight w:val="0"/>
      <w:marTop w:val="0"/>
      <w:marBottom w:val="0"/>
      <w:divBdr>
        <w:top w:val="none" w:sz="0" w:space="0" w:color="auto"/>
        <w:left w:val="none" w:sz="0" w:space="0" w:color="auto"/>
        <w:bottom w:val="none" w:sz="0" w:space="0" w:color="auto"/>
        <w:right w:val="none" w:sz="0" w:space="0" w:color="auto"/>
      </w:divBdr>
    </w:div>
    <w:div w:id="975182850">
      <w:bodyDiv w:val="1"/>
      <w:marLeft w:val="0"/>
      <w:marRight w:val="0"/>
      <w:marTop w:val="0"/>
      <w:marBottom w:val="0"/>
      <w:divBdr>
        <w:top w:val="none" w:sz="0" w:space="0" w:color="auto"/>
        <w:left w:val="none" w:sz="0" w:space="0" w:color="auto"/>
        <w:bottom w:val="none" w:sz="0" w:space="0" w:color="auto"/>
        <w:right w:val="none" w:sz="0" w:space="0" w:color="auto"/>
      </w:divBdr>
    </w:div>
    <w:div w:id="975187728">
      <w:bodyDiv w:val="1"/>
      <w:marLeft w:val="0"/>
      <w:marRight w:val="0"/>
      <w:marTop w:val="0"/>
      <w:marBottom w:val="0"/>
      <w:divBdr>
        <w:top w:val="none" w:sz="0" w:space="0" w:color="auto"/>
        <w:left w:val="none" w:sz="0" w:space="0" w:color="auto"/>
        <w:bottom w:val="none" w:sz="0" w:space="0" w:color="auto"/>
        <w:right w:val="none" w:sz="0" w:space="0" w:color="auto"/>
      </w:divBdr>
    </w:div>
    <w:div w:id="975261513">
      <w:bodyDiv w:val="1"/>
      <w:marLeft w:val="0"/>
      <w:marRight w:val="0"/>
      <w:marTop w:val="0"/>
      <w:marBottom w:val="0"/>
      <w:divBdr>
        <w:top w:val="none" w:sz="0" w:space="0" w:color="auto"/>
        <w:left w:val="none" w:sz="0" w:space="0" w:color="auto"/>
        <w:bottom w:val="none" w:sz="0" w:space="0" w:color="auto"/>
        <w:right w:val="none" w:sz="0" w:space="0" w:color="auto"/>
      </w:divBdr>
    </w:div>
    <w:div w:id="975374721">
      <w:bodyDiv w:val="1"/>
      <w:marLeft w:val="0"/>
      <w:marRight w:val="0"/>
      <w:marTop w:val="0"/>
      <w:marBottom w:val="0"/>
      <w:divBdr>
        <w:top w:val="none" w:sz="0" w:space="0" w:color="auto"/>
        <w:left w:val="none" w:sz="0" w:space="0" w:color="auto"/>
        <w:bottom w:val="none" w:sz="0" w:space="0" w:color="auto"/>
        <w:right w:val="none" w:sz="0" w:space="0" w:color="auto"/>
      </w:divBdr>
    </w:div>
    <w:div w:id="975569507">
      <w:bodyDiv w:val="1"/>
      <w:marLeft w:val="0"/>
      <w:marRight w:val="0"/>
      <w:marTop w:val="0"/>
      <w:marBottom w:val="0"/>
      <w:divBdr>
        <w:top w:val="none" w:sz="0" w:space="0" w:color="auto"/>
        <w:left w:val="none" w:sz="0" w:space="0" w:color="auto"/>
        <w:bottom w:val="none" w:sz="0" w:space="0" w:color="auto"/>
        <w:right w:val="none" w:sz="0" w:space="0" w:color="auto"/>
      </w:divBdr>
    </w:div>
    <w:div w:id="975573545">
      <w:bodyDiv w:val="1"/>
      <w:marLeft w:val="0"/>
      <w:marRight w:val="0"/>
      <w:marTop w:val="0"/>
      <w:marBottom w:val="0"/>
      <w:divBdr>
        <w:top w:val="none" w:sz="0" w:space="0" w:color="auto"/>
        <w:left w:val="none" w:sz="0" w:space="0" w:color="auto"/>
        <w:bottom w:val="none" w:sz="0" w:space="0" w:color="auto"/>
        <w:right w:val="none" w:sz="0" w:space="0" w:color="auto"/>
      </w:divBdr>
    </w:div>
    <w:div w:id="975646575">
      <w:bodyDiv w:val="1"/>
      <w:marLeft w:val="0"/>
      <w:marRight w:val="0"/>
      <w:marTop w:val="0"/>
      <w:marBottom w:val="0"/>
      <w:divBdr>
        <w:top w:val="none" w:sz="0" w:space="0" w:color="auto"/>
        <w:left w:val="none" w:sz="0" w:space="0" w:color="auto"/>
        <w:bottom w:val="none" w:sz="0" w:space="0" w:color="auto"/>
        <w:right w:val="none" w:sz="0" w:space="0" w:color="auto"/>
      </w:divBdr>
    </w:div>
    <w:div w:id="975717044">
      <w:bodyDiv w:val="1"/>
      <w:marLeft w:val="0"/>
      <w:marRight w:val="0"/>
      <w:marTop w:val="0"/>
      <w:marBottom w:val="0"/>
      <w:divBdr>
        <w:top w:val="none" w:sz="0" w:space="0" w:color="auto"/>
        <w:left w:val="none" w:sz="0" w:space="0" w:color="auto"/>
        <w:bottom w:val="none" w:sz="0" w:space="0" w:color="auto"/>
        <w:right w:val="none" w:sz="0" w:space="0" w:color="auto"/>
      </w:divBdr>
    </w:div>
    <w:div w:id="975717948">
      <w:bodyDiv w:val="1"/>
      <w:marLeft w:val="0"/>
      <w:marRight w:val="0"/>
      <w:marTop w:val="0"/>
      <w:marBottom w:val="0"/>
      <w:divBdr>
        <w:top w:val="none" w:sz="0" w:space="0" w:color="auto"/>
        <w:left w:val="none" w:sz="0" w:space="0" w:color="auto"/>
        <w:bottom w:val="none" w:sz="0" w:space="0" w:color="auto"/>
        <w:right w:val="none" w:sz="0" w:space="0" w:color="auto"/>
      </w:divBdr>
    </w:div>
    <w:div w:id="975910239">
      <w:bodyDiv w:val="1"/>
      <w:marLeft w:val="0"/>
      <w:marRight w:val="0"/>
      <w:marTop w:val="0"/>
      <w:marBottom w:val="0"/>
      <w:divBdr>
        <w:top w:val="none" w:sz="0" w:space="0" w:color="auto"/>
        <w:left w:val="none" w:sz="0" w:space="0" w:color="auto"/>
        <w:bottom w:val="none" w:sz="0" w:space="0" w:color="auto"/>
        <w:right w:val="none" w:sz="0" w:space="0" w:color="auto"/>
      </w:divBdr>
    </w:div>
    <w:div w:id="975985787">
      <w:bodyDiv w:val="1"/>
      <w:marLeft w:val="0"/>
      <w:marRight w:val="0"/>
      <w:marTop w:val="0"/>
      <w:marBottom w:val="0"/>
      <w:divBdr>
        <w:top w:val="none" w:sz="0" w:space="0" w:color="auto"/>
        <w:left w:val="none" w:sz="0" w:space="0" w:color="auto"/>
        <w:bottom w:val="none" w:sz="0" w:space="0" w:color="auto"/>
        <w:right w:val="none" w:sz="0" w:space="0" w:color="auto"/>
      </w:divBdr>
    </w:div>
    <w:div w:id="976033809">
      <w:bodyDiv w:val="1"/>
      <w:marLeft w:val="0"/>
      <w:marRight w:val="0"/>
      <w:marTop w:val="0"/>
      <w:marBottom w:val="0"/>
      <w:divBdr>
        <w:top w:val="none" w:sz="0" w:space="0" w:color="auto"/>
        <w:left w:val="none" w:sz="0" w:space="0" w:color="auto"/>
        <w:bottom w:val="none" w:sz="0" w:space="0" w:color="auto"/>
        <w:right w:val="none" w:sz="0" w:space="0" w:color="auto"/>
      </w:divBdr>
    </w:div>
    <w:div w:id="976254702">
      <w:bodyDiv w:val="1"/>
      <w:marLeft w:val="0"/>
      <w:marRight w:val="0"/>
      <w:marTop w:val="0"/>
      <w:marBottom w:val="0"/>
      <w:divBdr>
        <w:top w:val="none" w:sz="0" w:space="0" w:color="auto"/>
        <w:left w:val="none" w:sz="0" w:space="0" w:color="auto"/>
        <w:bottom w:val="none" w:sz="0" w:space="0" w:color="auto"/>
        <w:right w:val="none" w:sz="0" w:space="0" w:color="auto"/>
      </w:divBdr>
    </w:div>
    <w:div w:id="976255769">
      <w:bodyDiv w:val="1"/>
      <w:marLeft w:val="0"/>
      <w:marRight w:val="0"/>
      <w:marTop w:val="0"/>
      <w:marBottom w:val="0"/>
      <w:divBdr>
        <w:top w:val="none" w:sz="0" w:space="0" w:color="auto"/>
        <w:left w:val="none" w:sz="0" w:space="0" w:color="auto"/>
        <w:bottom w:val="none" w:sz="0" w:space="0" w:color="auto"/>
        <w:right w:val="none" w:sz="0" w:space="0" w:color="auto"/>
      </w:divBdr>
    </w:div>
    <w:div w:id="976256732">
      <w:bodyDiv w:val="1"/>
      <w:marLeft w:val="0"/>
      <w:marRight w:val="0"/>
      <w:marTop w:val="0"/>
      <w:marBottom w:val="0"/>
      <w:divBdr>
        <w:top w:val="none" w:sz="0" w:space="0" w:color="auto"/>
        <w:left w:val="none" w:sz="0" w:space="0" w:color="auto"/>
        <w:bottom w:val="none" w:sz="0" w:space="0" w:color="auto"/>
        <w:right w:val="none" w:sz="0" w:space="0" w:color="auto"/>
      </w:divBdr>
    </w:div>
    <w:div w:id="976295733">
      <w:bodyDiv w:val="1"/>
      <w:marLeft w:val="0"/>
      <w:marRight w:val="0"/>
      <w:marTop w:val="0"/>
      <w:marBottom w:val="0"/>
      <w:divBdr>
        <w:top w:val="none" w:sz="0" w:space="0" w:color="auto"/>
        <w:left w:val="none" w:sz="0" w:space="0" w:color="auto"/>
        <w:bottom w:val="none" w:sz="0" w:space="0" w:color="auto"/>
        <w:right w:val="none" w:sz="0" w:space="0" w:color="auto"/>
      </w:divBdr>
    </w:div>
    <w:div w:id="976298465">
      <w:bodyDiv w:val="1"/>
      <w:marLeft w:val="0"/>
      <w:marRight w:val="0"/>
      <w:marTop w:val="0"/>
      <w:marBottom w:val="0"/>
      <w:divBdr>
        <w:top w:val="none" w:sz="0" w:space="0" w:color="auto"/>
        <w:left w:val="none" w:sz="0" w:space="0" w:color="auto"/>
        <w:bottom w:val="none" w:sz="0" w:space="0" w:color="auto"/>
        <w:right w:val="none" w:sz="0" w:space="0" w:color="auto"/>
      </w:divBdr>
    </w:div>
    <w:div w:id="976374861">
      <w:bodyDiv w:val="1"/>
      <w:marLeft w:val="0"/>
      <w:marRight w:val="0"/>
      <w:marTop w:val="0"/>
      <w:marBottom w:val="0"/>
      <w:divBdr>
        <w:top w:val="none" w:sz="0" w:space="0" w:color="auto"/>
        <w:left w:val="none" w:sz="0" w:space="0" w:color="auto"/>
        <w:bottom w:val="none" w:sz="0" w:space="0" w:color="auto"/>
        <w:right w:val="none" w:sz="0" w:space="0" w:color="auto"/>
      </w:divBdr>
    </w:div>
    <w:div w:id="976422709">
      <w:bodyDiv w:val="1"/>
      <w:marLeft w:val="0"/>
      <w:marRight w:val="0"/>
      <w:marTop w:val="0"/>
      <w:marBottom w:val="0"/>
      <w:divBdr>
        <w:top w:val="none" w:sz="0" w:space="0" w:color="auto"/>
        <w:left w:val="none" w:sz="0" w:space="0" w:color="auto"/>
        <w:bottom w:val="none" w:sz="0" w:space="0" w:color="auto"/>
        <w:right w:val="none" w:sz="0" w:space="0" w:color="auto"/>
      </w:divBdr>
    </w:div>
    <w:div w:id="976422780">
      <w:bodyDiv w:val="1"/>
      <w:marLeft w:val="0"/>
      <w:marRight w:val="0"/>
      <w:marTop w:val="0"/>
      <w:marBottom w:val="0"/>
      <w:divBdr>
        <w:top w:val="none" w:sz="0" w:space="0" w:color="auto"/>
        <w:left w:val="none" w:sz="0" w:space="0" w:color="auto"/>
        <w:bottom w:val="none" w:sz="0" w:space="0" w:color="auto"/>
        <w:right w:val="none" w:sz="0" w:space="0" w:color="auto"/>
      </w:divBdr>
    </w:div>
    <w:div w:id="976447813">
      <w:bodyDiv w:val="1"/>
      <w:marLeft w:val="0"/>
      <w:marRight w:val="0"/>
      <w:marTop w:val="0"/>
      <w:marBottom w:val="0"/>
      <w:divBdr>
        <w:top w:val="none" w:sz="0" w:space="0" w:color="auto"/>
        <w:left w:val="none" w:sz="0" w:space="0" w:color="auto"/>
        <w:bottom w:val="none" w:sz="0" w:space="0" w:color="auto"/>
        <w:right w:val="none" w:sz="0" w:space="0" w:color="auto"/>
      </w:divBdr>
    </w:div>
    <w:div w:id="976448330">
      <w:bodyDiv w:val="1"/>
      <w:marLeft w:val="0"/>
      <w:marRight w:val="0"/>
      <w:marTop w:val="0"/>
      <w:marBottom w:val="0"/>
      <w:divBdr>
        <w:top w:val="none" w:sz="0" w:space="0" w:color="auto"/>
        <w:left w:val="none" w:sz="0" w:space="0" w:color="auto"/>
        <w:bottom w:val="none" w:sz="0" w:space="0" w:color="auto"/>
        <w:right w:val="none" w:sz="0" w:space="0" w:color="auto"/>
      </w:divBdr>
    </w:div>
    <w:div w:id="976494420">
      <w:bodyDiv w:val="1"/>
      <w:marLeft w:val="0"/>
      <w:marRight w:val="0"/>
      <w:marTop w:val="0"/>
      <w:marBottom w:val="0"/>
      <w:divBdr>
        <w:top w:val="none" w:sz="0" w:space="0" w:color="auto"/>
        <w:left w:val="none" w:sz="0" w:space="0" w:color="auto"/>
        <w:bottom w:val="none" w:sz="0" w:space="0" w:color="auto"/>
        <w:right w:val="none" w:sz="0" w:space="0" w:color="auto"/>
      </w:divBdr>
    </w:div>
    <w:div w:id="976494606">
      <w:bodyDiv w:val="1"/>
      <w:marLeft w:val="0"/>
      <w:marRight w:val="0"/>
      <w:marTop w:val="0"/>
      <w:marBottom w:val="0"/>
      <w:divBdr>
        <w:top w:val="none" w:sz="0" w:space="0" w:color="auto"/>
        <w:left w:val="none" w:sz="0" w:space="0" w:color="auto"/>
        <w:bottom w:val="none" w:sz="0" w:space="0" w:color="auto"/>
        <w:right w:val="none" w:sz="0" w:space="0" w:color="auto"/>
      </w:divBdr>
    </w:div>
    <w:div w:id="976645684">
      <w:bodyDiv w:val="1"/>
      <w:marLeft w:val="0"/>
      <w:marRight w:val="0"/>
      <w:marTop w:val="0"/>
      <w:marBottom w:val="0"/>
      <w:divBdr>
        <w:top w:val="none" w:sz="0" w:space="0" w:color="auto"/>
        <w:left w:val="none" w:sz="0" w:space="0" w:color="auto"/>
        <w:bottom w:val="none" w:sz="0" w:space="0" w:color="auto"/>
        <w:right w:val="none" w:sz="0" w:space="0" w:color="auto"/>
      </w:divBdr>
    </w:div>
    <w:div w:id="976648846">
      <w:bodyDiv w:val="1"/>
      <w:marLeft w:val="0"/>
      <w:marRight w:val="0"/>
      <w:marTop w:val="0"/>
      <w:marBottom w:val="0"/>
      <w:divBdr>
        <w:top w:val="none" w:sz="0" w:space="0" w:color="auto"/>
        <w:left w:val="none" w:sz="0" w:space="0" w:color="auto"/>
        <w:bottom w:val="none" w:sz="0" w:space="0" w:color="auto"/>
        <w:right w:val="none" w:sz="0" w:space="0" w:color="auto"/>
      </w:divBdr>
    </w:div>
    <w:div w:id="976648959">
      <w:bodyDiv w:val="1"/>
      <w:marLeft w:val="0"/>
      <w:marRight w:val="0"/>
      <w:marTop w:val="0"/>
      <w:marBottom w:val="0"/>
      <w:divBdr>
        <w:top w:val="none" w:sz="0" w:space="0" w:color="auto"/>
        <w:left w:val="none" w:sz="0" w:space="0" w:color="auto"/>
        <w:bottom w:val="none" w:sz="0" w:space="0" w:color="auto"/>
        <w:right w:val="none" w:sz="0" w:space="0" w:color="auto"/>
      </w:divBdr>
    </w:div>
    <w:div w:id="976715415">
      <w:bodyDiv w:val="1"/>
      <w:marLeft w:val="0"/>
      <w:marRight w:val="0"/>
      <w:marTop w:val="0"/>
      <w:marBottom w:val="0"/>
      <w:divBdr>
        <w:top w:val="none" w:sz="0" w:space="0" w:color="auto"/>
        <w:left w:val="none" w:sz="0" w:space="0" w:color="auto"/>
        <w:bottom w:val="none" w:sz="0" w:space="0" w:color="auto"/>
        <w:right w:val="none" w:sz="0" w:space="0" w:color="auto"/>
      </w:divBdr>
    </w:div>
    <w:div w:id="976834550">
      <w:bodyDiv w:val="1"/>
      <w:marLeft w:val="0"/>
      <w:marRight w:val="0"/>
      <w:marTop w:val="0"/>
      <w:marBottom w:val="0"/>
      <w:divBdr>
        <w:top w:val="none" w:sz="0" w:space="0" w:color="auto"/>
        <w:left w:val="none" w:sz="0" w:space="0" w:color="auto"/>
        <w:bottom w:val="none" w:sz="0" w:space="0" w:color="auto"/>
        <w:right w:val="none" w:sz="0" w:space="0" w:color="auto"/>
      </w:divBdr>
    </w:div>
    <w:div w:id="977026510">
      <w:bodyDiv w:val="1"/>
      <w:marLeft w:val="0"/>
      <w:marRight w:val="0"/>
      <w:marTop w:val="0"/>
      <w:marBottom w:val="0"/>
      <w:divBdr>
        <w:top w:val="none" w:sz="0" w:space="0" w:color="auto"/>
        <w:left w:val="none" w:sz="0" w:space="0" w:color="auto"/>
        <w:bottom w:val="none" w:sz="0" w:space="0" w:color="auto"/>
        <w:right w:val="none" w:sz="0" w:space="0" w:color="auto"/>
      </w:divBdr>
    </w:div>
    <w:div w:id="977028989">
      <w:bodyDiv w:val="1"/>
      <w:marLeft w:val="0"/>
      <w:marRight w:val="0"/>
      <w:marTop w:val="0"/>
      <w:marBottom w:val="0"/>
      <w:divBdr>
        <w:top w:val="none" w:sz="0" w:space="0" w:color="auto"/>
        <w:left w:val="none" w:sz="0" w:space="0" w:color="auto"/>
        <w:bottom w:val="none" w:sz="0" w:space="0" w:color="auto"/>
        <w:right w:val="none" w:sz="0" w:space="0" w:color="auto"/>
      </w:divBdr>
    </w:div>
    <w:div w:id="977076727">
      <w:bodyDiv w:val="1"/>
      <w:marLeft w:val="0"/>
      <w:marRight w:val="0"/>
      <w:marTop w:val="0"/>
      <w:marBottom w:val="0"/>
      <w:divBdr>
        <w:top w:val="none" w:sz="0" w:space="0" w:color="auto"/>
        <w:left w:val="none" w:sz="0" w:space="0" w:color="auto"/>
        <w:bottom w:val="none" w:sz="0" w:space="0" w:color="auto"/>
        <w:right w:val="none" w:sz="0" w:space="0" w:color="auto"/>
      </w:divBdr>
    </w:div>
    <w:div w:id="977146017">
      <w:bodyDiv w:val="1"/>
      <w:marLeft w:val="0"/>
      <w:marRight w:val="0"/>
      <w:marTop w:val="0"/>
      <w:marBottom w:val="0"/>
      <w:divBdr>
        <w:top w:val="none" w:sz="0" w:space="0" w:color="auto"/>
        <w:left w:val="none" w:sz="0" w:space="0" w:color="auto"/>
        <w:bottom w:val="none" w:sz="0" w:space="0" w:color="auto"/>
        <w:right w:val="none" w:sz="0" w:space="0" w:color="auto"/>
      </w:divBdr>
    </w:div>
    <w:div w:id="977150550">
      <w:bodyDiv w:val="1"/>
      <w:marLeft w:val="0"/>
      <w:marRight w:val="0"/>
      <w:marTop w:val="0"/>
      <w:marBottom w:val="0"/>
      <w:divBdr>
        <w:top w:val="none" w:sz="0" w:space="0" w:color="auto"/>
        <w:left w:val="none" w:sz="0" w:space="0" w:color="auto"/>
        <w:bottom w:val="none" w:sz="0" w:space="0" w:color="auto"/>
        <w:right w:val="none" w:sz="0" w:space="0" w:color="auto"/>
      </w:divBdr>
    </w:div>
    <w:div w:id="977152796">
      <w:bodyDiv w:val="1"/>
      <w:marLeft w:val="0"/>
      <w:marRight w:val="0"/>
      <w:marTop w:val="0"/>
      <w:marBottom w:val="0"/>
      <w:divBdr>
        <w:top w:val="none" w:sz="0" w:space="0" w:color="auto"/>
        <w:left w:val="none" w:sz="0" w:space="0" w:color="auto"/>
        <w:bottom w:val="none" w:sz="0" w:space="0" w:color="auto"/>
        <w:right w:val="none" w:sz="0" w:space="0" w:color="auto"/>
      </w:divBdr>
    </w:div>
    <w:div w:id="977222987">
      <w:bodyDiv w:val="1"/>
      <w:marLeft w:val="0"/>
      <w:marRight w:val="0"/>
      <w:marTop w:val="0"/>
      <w:marBottom w:val="0"/>
      <w:divBdr>
        <w:top w:val="none" w:sz="0" w:space="0" w:color="auto"/>
        <w:left w:val="none" w:sz="0" w:space="0" w:color="auto"/>
        <w:bottom w:val="none" w:sz="0" w:space="0" w:color="auto"/>
        <w:right w:val="none" w:sz="0" w:space="0" w:color="auto"/>
      </w:divBdr>
    </w:div>
    <w:div w:id="977223255">
      <w:bodyDiv w:val="1"/>
      <w:marLeft w:val="0"/>
      <w:marRight w:val="0"/>
      <w:marTop w:val="0"/>
      <w:marBottom w:val="0"/>
      <w:divBdr>
        <w:top w:val="none" w:sz="0" w:space="0" w:color="auto"/>
        <w:left w:val="none" w:sz="0" w:space="0" w:color="auto"/>
        <w:bottom w:val="none" w:sz="0" w:space="0" w:color="auto"/>
        <w:right w:val="none" w:sz="0" w:space="0" w:color="auto"/>
      </w:divBdr>
    </w:div>
    <w:div w:id="977299716">
      <w:bodyDiv w:val="1"/>
      <w:marLeft w:val="0"/>
      <w:marRight w:val="0"/>
      <w:marTop w:val="0"/>
      <w:marBottom w:val="0"/>
      <w:divBdr>
        <w:top w:val="none" w:sz="0" w:space="0" w:color="auto"/>
        <w:left w:val="none" w:sz="0" w:space="0" w:color="auto"/>
        <w:bottom w:val="none" w:sz="0" w:space="0" w:color="auto"/>
        <w:right w:val="none" w:sz="0" w:space="0" w:color="auto"/>
      </w:divBdr>
    </w:div>
    <w:div w:id="977300971">
      <w:bodyDiv w:val="1"/>
      <w:marLeft w:val="0"/>
      <w:marRight w:val="0"/>
      <w:marTop w:val="0"/>
      <w:marBottom w:val="0"/>
      <w:divBdr>
        <w:top w:val="none" w:sz="0" w:space="0" w:color="auto"/>
        <w:left w:val="none" w:sz="0" w:space="0" w:color="auto"/>
        <w:bottom w:val="none" w:sz="0" w:space="0" w:color="auto"/>
        <w:right w:val="none" w:sz="0" w:space="0" w:color="auto"/>
      </w:divBdr>
    </w:div>
    <w:div w:id="977303883">
      <w:bodyDiv w:val="1"/>
      <w:marLeft w:val="0"/>
      <w:marRight w:val="0"/>
      <w:marTop w:val="0"/>
      <w:marBottom w:val="0"/>
      <w:divBdr>
        <w:top w:val="none" w:sz="0" w:space="0" w:color="auto"/>
        <w:left w:val="none" w:sz="0" w:space="0" w:color="auto"/>
        <w:bottom w:val="none" w:sz="0" w:space="0" w:color="auto"/>
        <w:right w:val="none" w:sz="0" w:space="0" w:color="auto"/>
      </w:divBdr>
    </w:div>
    <w:div w:id="977419478">
      <w:bodyDiv w:val="1"/>
      <w:marLeft w:val="0"/>
      <w:marRight w:val="0"/>
      <w:marTop w:val="0"/>
      <w:marBottom w:val="0"/>
      <w:divBdr>
        <w:top w:val="none" w:sz="0" w:space="0" w:color="auto"/>
        <w:left w:val="none" w:sz="0" w:space="0" w:color="auto"/>
        <w:bottom w:val="none" w:sz="0" w:space="0" w:color="auto"/>
        <w:right w:val="none" w:sz="0" w:space="0" w:color="auto"/>
      </w:divBdr>
    </w:div>
    <w:div w:id="977420371">
      <w:bodyDiv w:val="1"/>
      <w:marLeft w:val="0"/>
      <w:marRight w:val="0"/>
      <w:marTop w:val="0"/>
      <w:marBottom w:val="0"/>
      <w:divBdr>
        <w:top w:val="none" w:sz="0" w:space="0" w:color="auto"/>
        <w:left w:val="none" w:sz="0" w:space="0" w:color="auto"/>
        <w:bottom w:val="none" w:sz="0" w:space="0" w:color="auto"/>
        <w:right w:val="none" w:sz="0" w:space="0" w:color="auto"/>
      </w:divBdr>
    </w:div>
    <w:div w:id="977684534">
      <w:bodyDiv w:val="1"/>
      <w:marLeft w:val="0"/>
      <w:marRight w:val="0"/>
      <w:marTop w:val="0"/>
      <w:marBottom w:val="0"/>
      <w:divBdr>
        <w:top w:val="none" w:sz="0" w:space="0" w:color="auto"/>
        <w:left w:val="none" w:sz="0" w:space="0" w:color="auto"/>
        <w:bottom w:val="none" w:sz="0" w:space="0" w:color="auto"/>
        <w:right w:val="none" w:sz="0" w:space="0" w:color="auto"/>
      </w:divBdr>
    </w:div>
    <w:div w:id="977685785">
      <w:bodyDiv w:val="1"/>
      <w:marLeft w:val="0"/>
      <w:marRight w:val="0"/>
      <w:marTop w:val="0"/>
      <w:marBottom w:val="0"/>
      <w:divBdr>
        <w:top w:val="none" w:sz="0" w:space="0" w:color="auto"/>
        <w:left w:val="none" w:sz="0" w:space="0" w:color="auto"/>
        <w:bottom w:val="none" w:sz="0" w:space="0" w:color="auto"/>
        <w:right w:val="none" w:sz="0" w:space="0" w:color="auto"/>
      </w:divBdr>
    </w:div>
    <w:div w:id="977732873">
      <w:bodyDiv w:val="1"/>
      <w:marLeft w:val="0"/>
      <w:marRight w:val="0"/>
      <w:marTop w:val="0"/>
      <w:marBottom w:val="0"/>
      <w:divBdr>
        <w:top w:val="none" w:sz="0" w:space="0" w:color="auto"/>
        <w:left w:val="none" w:sz="0" w:space="0" w:color="auto"/>
        <w:bottom w:val="none" w:sz="0" w:space="0" w:color="auto"/>
        <w:right w:val="none" w:sz="0" w:space="0" w:color="auto"/>
      </w:divBdr>
    </w:div>
    <w:div w:id="977760522">
      <w:bodyDiv w:val="1"/>
      <w:marLeft w:val="0"/>
      <w:marRight w:val="0"/>
      <w:marTop w:val="0"/>
      <w:marBottom w:val="0"/>
      <w:divBdr>
        <w:top w:val="none" w:sz="0" w:space="0" w:color="auto"/>
        <w:left w:val="none" w:sz="0" w:space="0" w:color="auto"/>
        <w:bottom w:val="none" w:sz="0" w:space="0" w:color="auto"/>
        <w:right w:val="none" w:sz="0" w:space="0" w:color="auto"/>
      </w:divBdr>
    </w:div>
    <w:div w:id="977801153">
      <w:bodyDiv w:val="1"/>
      <w:marLeft w:val="0"/>
      <w:marRight w:val="0"/>
      <w:marTop w:val="0"/>
      <w:marBottom w:val="0"/>
      <w:divBdr>
        <w:top w:val="none" w:sz="0" w:space="0" w:color="auto"/>
        <w:left w:val="none" w:sz="0" w:space="0" w:color="auto"/>
        <w:bottom w:val="none" w:sz="0" w:space="0" w:color="auto"/>
        <w:right w:val="none" w:sz="0" w:space="0" w:color="auto"/>
      </w:divBdr>
    </w:div>
    <w:div w:id="977953311">
      <w:bodyDiv w:val="1"/>
      <w:marLeft w:val="0"/>
      <w:marRight w:val="0"/>
      <w:marTop w:val="0"/>
      <w:marBottom w:val="0"/>
      <w:divBdr>
        <w:top w:val="none" w:sz="0" w:space="0" w:color="auto"/>
        <w:left w:val="none" w:sz="0" w:space="0" w:color="auto"/>
        <w:bottom w:val="none" w:sz="0" w:space="0" w:color="auto"/>
        <w:right w:val="none" w:sz="0" w:space="0" w:color="auto"/>
      </w:divBdr>
    </w:div>
    <w:div w:id="977956518">
      <w:bodyDiv w:val="1"/>
      <w:marLeft w:val="0"/>
      <w:marRight w:val="0"/>
      <w:marTop w:val="0"/>
      <w:marBottom w:val="0"/>
      <w:divBdr>
        <w:top w:val="none" w:sz="0" w:space="0" w:color="auto"/>
        <w:left w:val="none" w:sz="0" w:space="0" w:color="auto"/>
        <w:bottom w:val="none" w:sz="0" w:space="0" w:color="auto"/>
        <w:right w:val="none" w:sz="0" w:space="0" w:color="auto"/>
      </w:divBdr>
    </w:div>
    <w:div w:id="977999322">
      <w:bodyDiv w:val="1"/>
      <w:marLeft w:val="0"/>
      <w:marRight w:val="0"/>
      <w:marTop w:val="0"/>
      <w:marBottom w:val="0"/>
      <w:divBdr>
        <w:top w:val="none" w:sz="0" w:space="0" w:color="auto"/>
        <w:left w:val="none" w:sz="0" w:space="0" w:color="auto"/>
        <w:bottom w:val="none" w:sz="0" w:space="0" w:color="auto"/>
        <w:right w:val="none" w:sz="0" w:space="0" w:color="auto"/>
      </w:divBdr>
    </w:div>
    <w:div w:id="978150184">
      <w:bodyDiv w:val="1"/>
      <w:marLeft w:val="0"/>
      <w:marRight w:val="0"/>
      <w:marTop w:val="0"/>
      <w:marBottom w:val="0"/>
      <w:divBdr>
        <w:top w:val="none" w:sz="0" w:space="0" w:color="auto"/>
        <w:left w:val="none" w:sz="0" w:space="0" w:color="auto"/>
        <w:bottom w:val="none" w:sz="0" w:space="0" w:color="auto"/>
        <w:right w:val="none" w:sz="0" w:space="0" w:color="auto"/>
      </w:divBdr>
    </w:div>
    <w:div w:id="978194510">
      <w:bodyDiv w:val="1"/>
      <w:marLeft w:val="0"/>
      <w:marRight w:val="0"/>
      <w:marTop w:val="0"/>
      <w:marBottom w:val="0"/>
      <w:divBdr>
        <w:top w:val="none" w:sz="0" w:space="0" w:color="auto"/>
        <w:left w:val="none" w:sz="0" w:space="0" w:color="auto"/>
        <w:bottom w:val="none" w:sz="0" w:space="0" w:color="auto"/>
        <w:right w:val="none" w:sz="0" w:space="0" w:color="auto"/>
      </w:divBdr>
    </w:div>
    <w:div w:id="978344309">
      <w:bodyDiv w:val="1"/>
      <w:marLeft w:val="0"/>
      <w:marRight w:val="0"/>
      <w:marTop w:val="0"/>
      <w:marBottom w:val="0"/>
      <w:divBdr>
        <w:top w:val="none" w:sz="0" w:space="0" w:color="auto"/>
        <w:left w:val="none" w:sz="0" w:space="0" w:color="auto"/>
        <w:bottom w:val="none" w:sz="0" w:space="0" w:color="auto"/>
        <w:right w:val="none" w:sz="0" w:space="0" w:color="auto"/>
      </w:divBdr>
    </w:div>
    <w:div w:id="978459171">
      <w:bodyDiv w:val="1"/>
      <w:marLeft w:val="0"/>
      <w:marRight w:val="0"/>
      <w:marTop w:val="0"/>
      <w:marBottom w:val="0"/>
      <w:divBdr>
        <w:top w:val="none" w:sz="0" w:space="0" w:color="auto"/>
        <w:left w:val="none" w:sz="0" w:space="0" w:color="auto"/>
        <w:bottom w:val="none" w:sz="0" w:space="0" w:color="auto"/>
        <w:right w:val="none" w:sz="0" w:space="0" w:color="auto"/>
      </w:divBdr>
    </w:div>
    <w:div w:id="978531822">
      <w:bodyDiv w:val="1"/>
      <w:marLeft w:val="0"/>
      <w:marRight w:val="0"/>
      <w:marTop w:val="0"/>
      <w:marBottom w:val="0"/>
      <w:divBdr>
        <w:top w:val="none" w:sz="0" w:space="0" w:color="auto"/>
        <w:left w:val="none" w:sz="0" w:space="0" w:color="auto"/>
        <w:bottom w:val="none" w:sz="0" w:space="0" w:color="auto"/>
        <w:right w:val="none" w:sz="0" w:space="0" w:color="auto"/>
      </w:divBdr>
    </w:div>
    <w:div w:id="978534859">
      <w:bodyDiv w:val="1"/>
      <w:marLeft w:val="0"/>
      <w:marRight w:val="0"/>
      <w:marTop w:val="0"/>
      <w:marBottom w:val="0"/>
      <w:divBdr>
        <w:top w:val="none" w:sz="0" w:space="0" w:color="auto"/>
        <w:left w:val="none" w:sz="0" w:space="0" w:color="auto"/>
        <w:bottom w:val="none" w:sz="0" w:space="0" w:color="auto"/>
        <w:right w:val="none" w:sz="0" w:space="0" w:color="auto"/>
      </w:divBdr>
    </w:div>
    <w:div w:id="978803463">
      <w:bodyDiv w:val="1"/>
      <w:marLeft w:val="0"/>
      <w:marRight w:val="0"/>
      <w:marTop w:val="0"/>
      <w:marBottom w:val="0"/>
      <w:divBdr>
        <w:top w:val="none" w:sz="0" w:space="0" w:color="auto"/>
        <w:left w:val="none" w:sz="0" w:space="0" w:color="auto"/>
        <w:bottom w:val="none" w:sz="0" w:space="0" w:color="auto"/>
        <w:right w:val="none" w:sz="0" w:space="0" w:color="auto"/>
      </w:divBdr>
    </w:div>
    <w:div w:id="978848047">
      <w:bodyDiv w:val="1"/>
      <w:marLeft w:val="0"/>
      <w:marRight w:val="0"/>
      <w:marTop w:val="0"/>
      <w:marBottom w:val="0"/>
      <w:divBdr>
        <w:top w:val="none" w:sz="0" w:space="0" w:color="auto"/>
        <w:left w:val="none" w:sz="0" w:space="0" w:color="auto"/>
        <w:bottom w:val="none" w:sz="0" w:space="0" w:color="auto"/>
        <w:right w:val="none" w:sz="0" w:space="0" w:color="auto"/>
      </w:divBdr>
    </w:div>
    <w:div w:id="978919043">
      <w:bodyDiv w:val="1"/>
      <w:marLeft w:val="0"/>
      <w:marRight w:val="0"/>
      <w:marTop w:val="0"/>
      <w:marBottom w:val="0"/>
      <w:divBdr>
        <w:top w:val="none" w:sz="0" w:space="0" w:color="auto"/>
        <w:left w:val="none" w:sz="0" w:space="0" w:color="auto"/>
        <w:bottom w:val="none" w:sz="0" w:space="0" w:color="auto"/>
        <w:right w:val="none" w:sz="0" w:space="0" w:color="auto"/>
      </w:divBdr>
    </w:div>
    <w:div w:id="978920127">
      <w:bodyDiv w:val="1"/>
      <w:marLeft w:val="0"/>
      <w:marRight w:val="0"/>
      <w:marTop w:val="0"/>
      <w:marBottom w:val="0"/>
      <w:divBdr>
        <w:top w:val="none" w:sz="0" w:space="0" w:color="auto"/>
        <w:left w:val="none" w:sz="0" w:space="0" w:color="auto"/>
        <w:bottom w:val="none" w:sz="0" w:space="0" w:color="auto"/>
        <w:right w:val="none" w:sz="0" w:space="0" w:color="auto"/>
      </w:divBdr>
    </w:div>
    <w:div w:id="978994527">
      <w:bodyDiv w:val="1"/>
      <w:marLeft w:val="0"/>
      <w:marRight w:val="0"/>
      <w:marTop w:val="0"/>
      <w:marBottom w:val="0"/>
      <w:divBdr>
        <w:top w:val="none" w:sz="0" w:space="0" w:color="auto"/>
        <w:left w:val="none" w:sz="0" w:space="0" w:color="auto"/>
        <w:bottom w:val="none" w:sz="0" w:space="0" w:color="auto"/>
        <w:right w:val="none" w:sz="0" w:space="0" w:color="auto"/>
      </w:divBdr>
    </w:div>
    <w:div w:id="979001606">
      <w:bodyDiv w:val="1"/>
      <w:marLeft w:val="0"/>
      <w:marRight w:val="0"/>
      <w:marTop w:val="0"/>
      <w:marBottom w:val="0"/>
      <w:divBdr>
        <w:top w:val="none" w:sz="0" w:space="0" w:color="auto"/>
        <w:left w:val="none" w:sz="0" w:space="0" w:color="auto"/>
        <w:bottom w:val="none" w:sz="0" w:space="0" w:color="auto"/>
        <w:right w:val="none" w:sz="0" w:space="0" w:color="auto"/>
      </w:divBdr>
    </w:div>
    <w:div w:id="979192595">
      <w:bodyDiv w:val="1"/>
      <w:marLeft w:val="0"/>
      <w:marRight w:val="0"/>
      <w:marTop w:val="0"/>
      <w:marBottom w:val="0"/>
      <w:divBdr>
        <w:top w:val="none" w:sz="0" w:space="0" w:color="auto"/>
        <w:left w:val="none" w:sz="0" w:space="0" w:color="auto"/>
        <w:bottom w:val="none" w:sz="0" w:space="0" w:color="auto"/>
        <w:right w:val="none" w:sz="0" w:space="0" w:color="auto"/>
      </w:divBdr>
    </w:div>
    <w:div w:id="979264995">
      <w:bodyDiv w:val="1"/>
      <w:marLeft w:val="0"/>
      <w:marRight w:val="0"/>
      <w:marTop w:val="0"/>
      <w:marBottom w:val="0"/>
      <w:divBdr>
        <w:top w:val="none" w:sz="0" w:space="0" w:color="auto"/>
        <w:left w:val="none" w:sz="0" w:space="0" w:color="auto"/>
        <w:bottom w:val="none" w:sz="0" w:space="0" w:color="auto"/>
        <w:right w:val="none" w:sz="0" w:space="0" w:color="auto"/>
      </w:divBdr>
    </w:div>
    <w:div w:id="979383675">
      <w:bodyDiv w:val="1"/>
      <w:marLeft w:val="0"/>
      <w:marRight w:val="0"/>
      <w:marTop w:val="0"/>
      <w:marBottom w:val="0"/>
      <w:divBdr>
        <w:top w:val="none" w:sz="0" w:space="0" w:color="auto"/>
        <w:left w:val="none" w:sz="0" w:space="0" w:color="auto"/>
        <w:bottom w:val="none" w:sz="0" w:space="0" w:color="auto"/>
        <w:right w:val="none" w:sz="0" w:space="0" w:color="auto"/>
      </w:divBdr>
    </w:div>
    <w:div w:id="979386721">
      <w:bodyDiv w:val="1"/>
      <w:marLeft w:val="0"/>
      <w:marRight w:val="0"/>
      <w:marTop w:val="0"/>
      <w:marBottom w:val="0"/>
      <w:divBdr>
        <w:top w:val="none" w:sz="0" w:space="0" w:color="auto"/>
        <w:left w:val="none" w:sz="0" w:space="0" w:color="auto"/>
        <w:bottom w:val="none" w:sz="0" w:space="0" w:color="auto"/>
        <w:right w:val="none" w:sz="0" w:space="0" w:color="auto"/>
      </w:divBdr>
    </w:div>
    <w:div w:id="979463461">
      <w:bodyDiv w:val="1"/>
      <w:marLeft w:val="0"/>
      <w:marRight w:val="0"/>
      <w:marTop w:val="0"/>
      <w:marBottom w:val="0"/>
      <w:divBdr>
        <w:top w:val="none" w:sz="0" w:space="0" w:color="auto"/>
        <w:left w:val="none" w:sz="0" w:space="0" w:color="auto"/>
        <w:bottom w:val="none" w:sz="0" w:space="0" w:color="auto"/>
        <w:right w:val="none" w:sz="0" w:space="0" w:color="auto"/>
      </w:divBdr>
    </w:div>
    <w:div w:id="979504423">
      <w:bodyDiv w:val="1"/>
      <w:marLeft w:val="0"/>
      <w:marRight w:val="0"/>
      <w:marTop w:val="0"/>
      <w:marBottom w:val="0"/>
      <w:divBdr>
        <w:top w:val="none" w:sz="0" w:space="0" w:color="auto"/>
        <w:left w:val="none" w:sz="0" w:space="0" w:color="auto"/>
        <w:bottom w:val="none" w:sz="0" w:space="0" w:color="auto"/>
        <w:right w:val="none" w:sz="0" w:space="0" w:color="auto"/>
      </w:divBdr>
    </w:div>
    <w:div w:id="979533224">
      <w:bodyDiv w:val="1"/>
      <w:marLeft w:val="0"/>
      <w:marRight w:val="0"/>
      <w:marTop w:val="0"/>
      <w:marBottom w:val="0"/>
      <w:divBdr>
        <w:top w:val="none" w:sz="0" w:space="0" w:color="auto"/>
        <w:left w:val="none" w:sz="0" w:space="0" w:color="auto"/>
        <w:bottom w:val="none" w:sz="0" w:space="0" w:color="auto"/>
        <w:right w:val="none" w:sz="0" w:space="0" w:color="auto"/>
      </w:divBdr>
    </w:div>
    <w:div w:id="979725006">
      <w:bodyDiv w:val="1"/>
      <w:marLeft w:val="0"/>
      <w:marRight w:val="0"/>
      <w:marTop w:val="0"/>
      <w:marBottom w:val="0"/>
      <w:divBdr>
        <w:top w:val="none" w:sz="0" w:space="0" w:color="auto"/>
        <w:left w:val="none" w:sz="0" w:space="0" w:color="auto"/>
        <w:bottom w:val="none" w:sz="0" w:space="0" w:color="auto"/>
        <w:right w:val="none" w:sz="0" w:space="0" w:color="auto"/>
      </w:divBdr>
    </w:div>
    <w:div w:id="979772601">
      <w:bodyDiv w:val="1"/>
      <w:marLeft w:val="0"/>
      <w:marRight w:val="0"/>
      <w:marTop w:val="0"/>
      <w:marBottom w:val="0"/>
      <w:divBdr>
        <w:top w:val="none" w:sz="0" w:space="0" w:color="auto"/>
        <w:left w:val="none" w:sz="0" w:space="0" w:color="auto"/>
        <w:bottom w:val="none" w:sz="0" w:space="0" w:color="auto"/>
        <w:right w:val="none" w:sz="0" w:space="0" w:color="auto"/>
      </w:divBdr>
    </w:div>
    <w:div w:id="979916598">
      <w:bodyDiv w:val="1"/>
      <w:marLeft w:val="0"/>
      <w:marRight w:val="0"/>
      <w:marTop w:val="0"/>
      <w:marBottom w:val="0"/>
      <w:divBdr>
        <w:top w:val="none" w:sz="0" w:space="0" w:color="auto"/>
        <w:left w:val="none" w:sz="0" w:space="0" w:color="auto"/>
        <w:bottom w:val="none" w:sz="0" w:space="0" w:color="auto"/>
        <w:right w:val="none" w:sz="0" w:space="0" w:color="auto"/>
      </w:divBdr>
    </w:div>
    <w:div w:id="980111197">
      <w:bodyDiv w:val="1"/>
      <w:marLeft w:val="0"/>
      <w:marRight w:val="0"/>
      <w:marTop w:val="0"/>
      <w:marBottom w:val="0"/>
      <w:divBdr>
        <w:top w:val="none" w:sz="0" w:space="0" w:color="auto"/>
        <w:left w:val="none" w:sz="0" w:space="0" w:color="auto"/>
        <w:bottom w:val="none" w:sz="0" w:space="0" w:color="auto"/>
        <w:right w:val="none" w:sz="0" w:space="0" w:color="auto"/>
      </w:divBdr>
    </w:div>
    <w:div w:id="980117392">
      <w:bodyDiv w:val="1"/>
      <w:marLeft w:val="0"/>
      <w:marRight w:val="0"/>
      <w:marTop w:val="0"/>
      <w:marBottom w:val="0"/>
      <w:divBdr>
        <w:top w:val="none" w:sz="0" w:space="0" w:color="auto"/>
        <w:left w:val="none" w:sz="0" w:space="0" w:color="auto"/>
        <w:bottom w:val="none" w:sz="0" w:space="0" w:color="auto"/>
        <w:right w:val="none" w:sz="0" w:space="0" w:color="auto"/>
      </w:divBdr>
    </w:div>
    <w:div w:id="980159657">
      <w:bodyDiv w:val="1"/>
      <w:marLeft w:val="0"/>
      <w:marRight w:val="0"/>
      <w:marTop w:val="0"/>
      <w:marBottom w:val="0"/>
      <w:divBdr>
        <w:top w:val="none" w:sz="0" w:space="0" w:color="auto"/>
        <w:left w:val="none" w:sz="0" w:space="0" w:color="auto"/>
        <w:bottom w:val="none" w:sz="0" w:space="0" w:color="auto"/>
        <w:right w:val="none" w:sz="0" w:space="0" w:color="auto"/>
      </w:divBdr>
    </w:div>
    <w:div w:id="980311351">
      <w:bodyDiv w:val="1"/>
      <w:marLeft w:val="0"/>
      <w:marRight w:val="0"/>
      <w:marTop w:val="0"/>
      <w:marBottom w:val="0"/>
      <w:divBdr>
        <w:top w:val="none" w:sz="0" w:space="0" w:color="auto"/>
        <w:left w:val="none" w:sz="0" w:space="0" w:color="auto"/>
        <w:bottom w:val="none" w:sz="0" w:space="0" w:color="auto"/>
        <w:right w:val="none" w:sz="0" w:space="0" w:color="auto"/>
      </w:divBdr>
    </w:div>
    <w:div w:id="980571285">
      <w:bodyDiv w:val="1"/>
      <w:marLeft w:val="0"/>
      <w:marRight w:val="0"/>
      <w:marTop w:val="0"/>
      <w:marBottom w:val="0"/>
      <w:divBdr>
        <w:top w:val="none" w:sz="0" w:space="0" w:color="auto"/>
        <w:left w:val="none" w:sz="0" w:space="0" w:color="auto"/>
        <w:bottom w:val="none" w:sz="0" w:space="0" w:color="auto"/>
        <w:right w:val="none" w:sz="0" w:space="0" w:color="auto"/>
      </w:divBdr>
    </w:div>
    <w:div w:id="980647283">
      <w:bodyDiv w:val="1"/>
      <w:marLeft w:val="0"/>
      <w:marRight w:val="0"/>
      <w:marTop w:val="0"/>
      <w:marBottom w:val="0"/>
      <w:divBdr>
        <w:top w:val="none" w:sz="0" w:space="0" w:color="auto"/>
        <w:left w:val="none" w:sz="0" w:space="0" w:color="auto"/>
        <w:bottom w:val="none" w:sz="0" w:space="0" w:color="auto"/>
        <w:right w:val="none" w:sz="0" w:space="0" w:color="auto"/>
      </w:divBdr>
    </w:div>
    <w:div w:id="980769932">
      <w:bodyDiv w:val="1"/>
      <w:marLeft w:val="0"/>
      <w:marRight w:val="0"/>
      <w:marTop w:val="0"/>
      <w:marBottom w:val="0"/>
      <w:divBdr>
        <w:top w:val="none" w:sz="0" w:space="0" w:color="auto"/>
        <w:left w:val="none" w:sz="0" w:space="0" w:color="auto"/>
        <w:bottom w:val="none" w:sz="0" w:space="0" w:color="auto"/>
        <w:right w:val="none" w:sz="0" w:space="0" w:color="auto"/>
      </w:divBdr>
    </w:div>
    <w:div w:id="980889164">
      <w:bodyDiv w:val="1"/>
      <w:marLeft w:val="0"/>
      <w:marRight w:val="0"/>
      <w:marTop w:val="0"/>
      <w:marBottom w:val="0"/>
      <w:divBdr>
        <w:top w:val="none" w:sz="0" w:space="0" w:color="auto"/>
        <w:left w:val="none" w:sz="0" w:space="0" w:color="auto"/>
        <w:bottom w:val="none" w:sz="0" w:space="0" w:color="auto"/>
        <w:right w:val="none" w:sz="0" w:space="0" w:color="auto"/>
      </w:divBdr>
    </w:div>
    <w:div w:id="980889212">
      <w:bodyDiv w:val="1"/>
      <w:marLeft w:val="0"/>
      <w:marRight w:val="0"/>
      <w:marTop w:val="0"/>
      <w:marBottom w:val="0"/>
      <w:divBdr>
        <w:top w:val="none" w:sz="0" w:space="0" w:color="auto"/>
        <w:left w:val="none" w:sz="0" w:space="0" w:color="auto"/>
        <w:bottom w:val="none" w:sz="0" w:space="0" w:color="auto"/>
        <w:right w:val="none" w:sz="0" w:space="0" w:color="auto"/>
      </w:divBdr>
    </w:div>
    <w:div w:id="981009876">
      <w:bodyDiv w:val="1"/>
      <w:marLeft w:val="0"/>
      <w:marRight w:val="0"/>
      <w:marTop w:val="0"/>
      <w:marBottom w:val="0"/>
      <w:divBdr>
        <w:top w:val="none" w:sz="0" w:space="0" w:color="auto"/>
        <w:left w:val="none" w:sz="0" w:space="0" w:color="auto"/>
        <w:bottom w:val="none" w:sz="0" w:space="0" w:color="auto"/>
        <w:right w:val="none" w:sz="0" w:space="0" w:color="auto"/>
      </w:divBdr>
    </w:div>
    <w:div w:id="981033873">
      <w:bodyDiv w:val="1"/>
      <w:marLeft w:val="0"/>
      <w:marRight w:val="0"/>
      <w:marTop w:val="0"/>
      <w:marBottom w:val="0"/>
      <w:divBdr>
        <w:top w:val="none" w:sz="0" w:space="0" w:color="auto"/>
        <w:left w:val="none" w:sz="0" w:space="0" w:color="auto"/>
        <w:bottom w:val="none" w:sz="0" w:space="0" w:color="auto"/>
        <w:right w:val="none" w:sz="0" w:space="0" w:color="auto"/>
      </w:divBdr>
    </w:div>
    <w:div w:id="981037319">
      <w:bodyDiv w:val="1"/>
      <w:marLeft w:val="0"/>
      <w:marRight w:val="0"/>
      <w:marTop w:val="0"/>
      <w:marBottom w:val="0"/>
      <w:divBdr>
        <w:top w:val="none" w:sz="0" w:space="0" w:color="auto"/>
        <w:left w:val="none" w:sz="0" w:space="0" w:color="auto"/>
        <w:bottom w:val="none" w:sz="0" w:space="0" w:color="auto"/>
        <w:right w:val="none" w:sz="0" w:space="0" w:color="auto"/>
      </w:divBdr>
    </w:div>
    <w:div w:id="981076382">
      <w:bodyDiv w:val="1"/>
      <w:marLeft w:val="0"/>
      <w:marRight w:val="0"/>
      <w:marTop w:val="0"/>
      <w:marBottom w:val="0"/>
      <w:divBdr>
        <w:top w:val="none" w:sz="0" w:space="0" w:color="auto"/>
        <w:left w:val="none" w:sz="0" w:space="0" w:color="auto"/>
        <w:bottom w:val="none" w:sz="0" w:space="0" w:color="auto"/>
        <w:right w:val="none" w:sz="0" w:space="0" w:color="auto"/>
      </w:divBdr>
    </w:div>
    <w:div w:id="981230803">
      <w:bodyDiv w:val="1"/>
      <w:marLeft w:val="0"/>
      <w:marRight w:val="0"/>
      <w:marTop w:val="0"/>
      <w:marBottom w:val="0"/>
      <w:divBdr>
        <w:top w:val="none" w:sz="0" w:space="0" w:color="auto"/>
        <w:left w:val="none" w:sz="0" w:space="0" w:color="auto"/>
        <w:bottom w:val="none" w:sz="0" w:space="0" w:color="auto"/>
        <w:right w:val="none" w:sz="0" w:space="0" w:color="auto"/>
      </w:divBdr>
    </w:div>
    <w:div w:id="981467237">
      <w:bodyDiv w:val="1"/>
      <w:marLeft w:val="0"/>
      <w:marRight w:val="0"/>
      <w:marTop w:val="0"/>
      <w:marBottom w:val="0"/>
      <w:divBdr>
        <w:top w:val="none" w:sz="0" w:space="0" w:color="auto"/>
        <w:left w:val="none" w:sz="0" w:space="0" w:color="auto"/>
        <w:bottom w:val="none" w:sz="0" w:space="0" w:color="auto"/>
        <w:right w:val="none" w:sz="0" w:space="0" w:color="auto"/>
      </w:divBdr>
    </w:div>
    <w:div w:id="981539242">
      <w:bodyDiv w:val="1"/>
      <w:marLeft w:val="0"/>
      <w:marRight w:val="0"/>
      <w:marTop w:val="0"/>
      <w:marBottom w:val="0"/>
      <w:divBdr>
        <w:top w:val="none" w:sz="0" w:space="0" w:color="auto"/>
        <w:left w:val="none" w:sz="0" w:space="0" w:color="auto"/>
        <w:bottom w:val="none" w:sz="0" w:space="0" w:color="auto"/>
        <w:right w:val="none" w:sz="0" w:space="0" w:color="auto"/>
      </w:divBdr>
    </w:div>
    <w:div w:id="981539338">
      <w:bodyDiv w:val="1"/>
      <w:marLeft w:val="0"/>
      <w:marRight w:val="0"/>
      <w:marTop w:val="0"/>
      <w:marBottom w:val="0"/>
      <w:divBdr>
        <w:top w:val="none" w:sz="0" w:space="0" w:color="auto"/>
        <w:left w:val="none" w:sz="0" w:space="0" w:color="auto"/>
        <w:bottom w:val="none" w:sz="0" w:space="0" w:color="auto"/>
        <w:right w:val="none" w:sz="0" w:space="0" w:color="auto"/>
      </w:divBdr>
    </w:div>
    <w:div w:id="981691245">
      <w:bodyDiv w:val="1"/>
      <w:marLeft w:val="0"/>
      <w:marRight w:val="0"/>
      <w:marTop w:val="0"/>
      <w:marBottom w:val="0"/>
      <w:divBdr>
        <w:top w:val="none" w:sz="0" w:space="0" w:color="auto"/>
        <w:left w:val="none" w:sz="0" w:space="0" w:color="auto"/>
        <w:bottom w:val="none" w:sz="0" w:space="0" w:color="auto"/>
        <w:right w:val="none" w:sz="0" w:space="0" w:color="auto"/>
      </w:divBdr>
    </w:div>
    <w:div w:id="981815525">
      <w:bodyDiv w:val="1"/>
      <w:marLeft w:val="0"/>
      <w:marRight w:val="0"/>
      <w:marTop w:val="0"/>
      <w:marBottom w:val="0"/>
      <w:divBdr>
        <w:top w:val="none" w:sz="0" w:space="0" w:color="auto"/>
        <w:left w:val="none" w:sz="0" w:space="0" w:color="auto"/>
        <w:bottom w:val="none" w:sz="0" w:space="0" w:color="auto"/>
        <w:right w:val="none" w:sz="0" w:space="0" w:color="auto"/>
      </w:divBdr>
    </w:div>
    <w:div w:id="981883236">
      <w:bodyDiv w:val="1"/>
      <w:marLeft w:val="0"/>
      <w:marRight w:val="0"/>
      <w:marTop w:val="0"/>
      <w:marBottom w:val="0"/>
      <w:divBdr>
        <w:top w:val="none" w:sz="0" w:space="0" w:color="auto"/>
        <w:left w:val="none" w:sz="0" w:space="0" w:color="auto"/>
        <w:bottom w:val="none" w:sz="0" w:space="0" w:color="auto"/>
        <w:right w:val="none" w:sz="0" w:space="0" w:color="auto"/>
      </w:divBdr>
    </w:div>
    <w:div w:id="981887405">
      <w:bodyDiv w:val="1"/>
      <w:marLeft w:val="0"/>
      <w:marRight w:val="0"/>
      <w:marTop w:val="0"/>
      <w:marBottom w:val="0"/>
      <w:divBdr>
        <w:top w:val="none" w:sz="0" w:space="0" w:color="auto"/>
        <w:left w:val="none" w:sz="0" w:space="0" w:color="auto"/>
        <w:bottom w:val="none" w:sz="0" w:space="0" w:color="auto"/>
        <w:right w:val="none" w:sz="0" w:space="0" w:color="auto"/>
      </w:divBdr>
    </w:div>
    <w:div w:id="981930141">
      <w:bodyDiv w:val="1"/>
      <w:marLeft w:val="0"/>
      <w:marRight w:val="0"/>
      <w:marTop w:val="0"/>
      <w:marBottom w:val="0"/>
      <w:divBdr>
        <w:top w:val="none" w:sz="0" w:space="0" w:color="auto"/>
        <w:left w:val="none" w:sz="0" w:space="0" w:color="auto"/>
        <w:bottom w:val="none" w:sz="0" w:space="0" w:color="auto"/>
        <w:right w:val="none" w:sz="0" w:space="0" w:color="auto"/>
      </w:divBdr>
    </w:div>
    <w:div w:id="981930784">
      <w:bodyDiv w:val="1"/>
      <w:marLeft w:val="0"/>
      <w:marRight w:val="0"/>
      <w:marTop w:val="0"/>
      <w:marBottom w:val="0"/>
      <w:divBdr>
        <w:top w:val="none" w:sz="0" w:space="0" w:color="auto"/>
        <w:left w:val="none" w:sz="0" w:space="0" w:color="auto"/>
        <w:bottom w:val="none" w:sz="0" w:space="0" w:color="auto"/>
        <w:right w:val="none" w:sz="0" w:space="0" w:color="auto"/>
      </w:divBdr>
    </w:div>
    <w:div w:id="981957586">
      <w:bodyDiv w:val="1"/>
      <w:marLeft w:val="0"/>
      <w:marRight w:val="0"/>
      <w:marTop w:val="0"/>
      <w:marBottom w:val="0"/>
      <w:divBdr>
        <w:top w:val="none" w:sz="0" w:space="0" w:color="auto"/>
        <w:left w:val="none" w:sz="0" w:space="0" w:color="auto"/>
        <w:bottom w:val="none" w:sz="0" w:space="0" w:color="auto"/>
        <w:right w:val="none" w:sz="0" w:space="0" w:color="auto"/>
      </w:divBdr>
    </w:div>
    <w:div w:id="982004278">
      <w:bodyDiv w:val="1"/>
      <w:marLeft w:val="0"/>
      <w:marRight w:val="0"/>
      <w:marTop w:val="0"/>
      <w:marBottom w:val="0"/>
      <w:divBdr>
        <w:top w:val="none" w:sz="0" w:space="0" w:color="auto"/>
        <w:left w:val="none" w:sz="0" w:space="0" w:color="auto"/>
        <w:bottom w:val="none" w:sz="0" w:space="0" w:color="auto"/>
        <w:right w:val="none" w:sz="0" w:space="0" w:color="auto"/>
      </w:divBdr>
    </w:div>
    <w:div w:id="982123677">
      <w:bodyDiv w:val="1"/>
      <w:marLeft w:val="0"/>
      <w:marRight w:val="0"/>
      <w:marTop w:val="0"/>
      <w:marBottom w:val="0"/>
      <w:divBdr>
        <w:top w:val="none" w:sz="0" w:space="0" w:color="auto"/>
        <w:left w:val="none" w:sz="0" w:space="0" w:color="auto"/>
        <w:bottom w:val="none" w:sz="0" w:space="0" w:color="auto"/>
        <w:right w:val="none" w:sz="0" w:space="0" w:color="auto"/>
      </w:divBdr>
    </w:div>
    <w:div w:id="982277141">
      <w:bodyDiv w:val="1"/>
      <w:marLeft w:val="0"/>
      <w:marRight w:val="0"/>
      <w:marTop w:val="0"/>
      <w:marBottom w:val="0"/>
      <w:divBdr>
        <w:top w:val="none" w:sz="0" w:space="0" w:color="auto"/>
        <w:left w:val="none" w:sz="0" w:space="0" w:color="auto"/>
        <w:bottom w:val="none" w:sz="0" w:space="0" w:color="auto"/>
        <w:right w:val="none" w:sz="0" w:space="0" w:color="auto"/>
      </w:divBdr>
    </w:div>
    <w:div w:id="982320145">
      <w:bodyDiv w:val="1"/>
      <w:marLeft w:val="0"/>
      <w:marRight w:val="0"/>
      <w:marTop w:val="0"/>
      <w:marBottom w:val="0"/>
      <w:divBdr>
        <w:top w:val="none" w:sz="0" w:space="0" w:color="auto"/>
        <w:left w:val="none" w:sz="0" w:space="0" w:color="auto"/>
        <w:bottom w:val="none" w:sz="0" w:space="0" w:color="auto"/>
        <w:right w:val="none" w:sz="0" w:space="0" w:color="auto"/>
      </w:divBdr>
    </w:div>
    <w:div w:id="982346865">
      <w:bodyDiv w:val="1"/>
      <w:marLeft w:val="0"/>
      <w:marRight w:val="0"/>
      <w:marTop w:val="0"/>
      <w:marBottom w:val="0"/>
      <w:divBdr>
        <w:top w:val="none" w:sz="0" w:space="0" w:color="auto"/>
        <w:left w:val="none" w:sz="0" w:space="0" w:color="auto"/>
        <w:bottom w:val="none" w:sz="0" w:space="0" w:color="auto"/>
        <w:right w:val="none" w:sz="0" w:space="0" w:color="auto"/>
      </w:divBdr>
    </w:div>
    <w:div w:id="982348668">
      <w:bodyDiv w:val="1"/>
      <w:marLeft w:val="0"/>
      <w:marRight w:val="0"/>
      <w:marTop w:val="0"/>
      <w:marBottom w:val="0"/>
      <w:divBdr>
        <w:top w:val="none" w:sz="0" w:space="0" w:color="auto"/>
        <w:left w:val="none" w:sz="0" w:space="0" w:color="auto"/>
        <w:bottom w:val="none" w:sz="0" w:space="0" w:color="auto"/>
        <w:right w:val="none" w:sz="0" w:space="0" w:color="auto"/>
      </w:divBdr>
    </w:div>
    <w:div w:id="982351807">
      <w:bodyDiv w:val="1"/>
      <w:marLeft w:val="0"/>
      <w:marRight w:val="0"/>
      <w:marTop w:val="0"/>
      <w:marBottom w:val="0"/>
      <w:divBdr>
        <w:top w:val="none" w:sz="0" w:space="0" w:color="auto"/>
        <w:left w:val="none" w:sz="0" w:space="0" w:color="auto"/>
        <w:bottom w:val="none" w:sz="0" w:space="0" w:color="auto"/>
        <w:right w:val="none" w:sz="0" w:space="0" w:color="auto"/>
      </w:divBdr>
    </w:div>
    <w:div w:id="982395844">
      <w:bodyDiv w:val="1"/>
      <w:marLeft w:val="0"/>
      <w:marRight w:val="0"/>
      <w:marTop w:val="0"/>
      <w:marBottom w:val="0"/>
      <w:divBdr>
        <w:top w:val="none" w:sz="0" w:space="0" w:color="auto"/>
        <w:left w:val="none" w:sz="0" w:space="0" w:color="auto"/>
        <w:bottom w:val="none" w:sz="0" w:space="0" w:color="auto"/>
        <w:right w:val="none" w:sz="0" w:space="0" w:color="auto"/>
      </w:divBdr>
    </w:div>
    <w:div w:id="982462801">
      <w:bodyDiv w:val="1"/>
      <w:marLeft w:val="0"/>
      <w:marRight w:val="0"/>
      <w:marTop w:val="0"/>
      <w:marBottom w:val="0"/>
      <w:divBdr>
        <w:top w:val="none" w:sz="0" w:space="0" w:color="auto"/>
        <w:left w:val="none" w:sz="0" w:space="0" w:color="auto"/>
        <w:bottom w:val="none" w:sz="0" w:space="0" w:color="auto"/>
        <w:right w:val="none" w:sz="0" w:space="0" w:color="auto"/>
      </w:divBdr>
    </w:div>
    <w:div w:id="982539166">
      <w:bodyDiv w:val="1"/>
      <w:marLeft w:val="0"/>
      <w:marRight w:val="0"/>
      <w:marTop w:val="0"/>
      <w:marBottom w:val="0"/>
      <w:divBdr>
        <w:top w:val="none" w:sz="0" w:space="0" w:color="auto"/>
        <w:left w:val="none" w:sz="0" w:space="0" w:color="auto"/>
        <w:bottom w:val="none" w:sz="0" w:space="0" w:color="auto"/>
        <w:right w:val="none" w:sz="0" w:space="0" w:color="auto"/>
      </w:divBdr>
    </w:div>
    <w:div w:id="982540192">
      <w:bodyDiv w:val="1"/>
      <w:marLeft w:val="0"/>
      <w:marRight w:val="0"/>
      <w:marTop w:val="0"/>
      <w:marBottom w:val="0"/>
      <w:divBdr>
        <w:top w:val="none" w:sz="0" w:space="0" w:color="auto"/>
        <w:left w:val="none" w:sz="0" w:space="0" w:color="auto"/>
        <w:bottom w:val="none" w:sz="0" w:space="0" w:color="auto"/>
        <w:right w:val="none" w:sz="0" w:space="0" w:color="auto"/>
      </w:divBdr>
    </w:div>
    <w:div w:id="982585679">
      <w:bodyDiv w:val="1"/>
      <w:marLeft w:val="0"/>
      <w:marRight w:val="0"/>
      <w:marTop w:val="0"/>
      <w:marBottom w:val="0"/>
      <w:divBdr>
        <w:top w:val="none" w:sz="0" w:space="0" w:color="auto"/>
        <w:left w:val="none" w:sz="0" w:space="0" w:color="auto"/>
        <w:bottom w:val="none" w:sz="0" w:space="0" w:color="auto"/>
        <w:right w:val="none" w:sz="0" w:space="0" w:color="auto"/>
      </w:divBdr>
    </w:div>
    <w:div w:id="982656730">
      <w:bodyDiv w:val="1"/>
      <w:marLeft w:val="0"/>
      <w:marRight w:val="0"/>
      <w:marTop w:val="0"/>
      <w:marBottom w:val="0"/>
      <w:divBdr>
        <w:top w:val="none" w:sz="0" w:space="0" w:color="auto"/>
        <w:left w:val="none" w:sz="0" w:space="0" w:color="auto"/>
        <w:bottom w:val="none" w:sz="0" w:space="0" w:color="auto"/>
        <w:right w:val="none" w:sz="0" w:space="0" w:color="auto"/>
      </w:divBdr>
    </w:div>
    <w:div w:id="982732141">
      <w:bodyDiv w:val="1"/>
      <w:marLeft w:val="0"/>
      <w:marRight w:val="0"/>
      <w:marTop w:val="0"/>
      <w:marBottom w:val="0"/>
      <w:divBdr>
        <w:top w:val="none" w:sz="0" w:space="0" w:color="auto"/>
        <w:left w:val="none" w:sz="0" w:space="0" w:color="auto"/>
        <w:bottom w:val="none" w:sz="0" w:space="0" w:color="auto"/>
        <w:right w:val="none" w:sz="0" w:space="0" w:color="auto"/>
      </w:divBdr>
    </w:div>
    <w:div w:id="982779071">
      <w:bodyDiv w:val="1"/>
      <w:marLeft w:val="0"/>
      <w:marRight w:val="0"/>
      <w:marTop w:val="0"/>
      <w:marBottom w:val="0"/>
      <w:divBdr>
        <w:top w:val="none" w:sz="0" w:space="0" w:color="auto"/>
        <w:left w:val="none" w:sz="0" w:space="0" w:color="auto"/>
        <w:bottom w:val="none" w:sz="0" w:space="0" w:color="auto"/>
        <w:right w:val="none" w:sz="0" w:space="0" w:color="auto"/>
      </w:divBdr>
    </w:div>
    <w:div w:id="982852131">
      <w:bodyDiv w:val="1"/>
      <w:marLeft w:val="0"/>
      <w:marRight w:val="0"/>
      <w:marTop w:val="0"/>
      <w:marBottom w:val="0"/>
      <w:divBdr>
        <w:top w:val="none" w:sz="0" w:space="0" w:color="auto"/>
        <w:left w:val="none" w:sz="0" w:space="0" w:color="auto"/>
        <w:bottom w:val="none" w:sz="0" w:space="0" w:color="auto"/>
        <w:right w:val="none" w:sz="0" w:space="0" w:color="auto"/>
      </w:divBdr>
    </w:div>
    <w:div w:id="982853020">
      <w:bodyDiv w:val="1"/>
      <w:marLeft w:val="0"/>
      <w:marRight w:val="0"/>
      <w:marTop w:val="0"/>
      <w:marBottom w:val="0"/>
      <w:divBdr>
        <w:top w:val="none" w:sz="0" w:space="0" w:color="auto"/>
        <w:left w:val="none" w:sz="0" w:space="0" w:color="auto"/>
        <w:bottom w:val="none" w:sz="0" w:space="0" w:color="auto"/>
        <w:right w:val="none" w:sz="0" w:space="0" w:color="auto"/>
      </w:divBdr>
    </w:div>
    <w:div w:id="983045204">
      <w:bodyDiv w:val="1"/>
      <w:marLeft w:val="0"/>
      <w:marRight w:val="0"/>
      <w:marTop w:val="0"/>
      <w:marBottom w:val="0"/>
      <w:divBdr>
        <w:top w:val="none" w:sz="0" w:space="0" w:color="auto"/>
        <w:left w:val="none" w:sz="0" w:space="0" w:color="auto"/>
        <w:bottom w:val="none" w:sz="0" w:space="0" w:color="auto"/>
        <w:right w:val="none" w:sz="0" w:space="0" w:color="auto"/>
      </w:divBdr>
    </w:div>
    <w:div w:id="983394904">
      <w:bodyDiv w:val="1"/>
      <w:marLeft w:val="0"/>
      <w:marRight w:val="0"/>
      <w:marTop w:val="0"/>
      <w:marBottom w:val="0"/>
      <w:divBdr>
        <w:top w:val="none" w:sz="0" w:space="0" w:color="auto"/>
        <w:left w:val="none" w:sz="0" w:space="0" w:color="auto"/>
        <w:bottom w:val="none" w:sz="0" w:space="0" w:color="auto"/>
        <w:right w:val="none" w:sz="0" w:space="0" w:color="auto"/>
      </w:divBdr>
    </w:div>
    <w:div w:id="983465188">
      <w:bodyDiv w:val="1"/>
      <w:marLeft w:val="0"/>
      <w:marRight w:val="0"/>
      <w:marTop w:val="0"/>
      <w:marBottom w:val="0"/>
      <w:divBdr>
        <w:top w:val="none" w:sz="0" w:space="0" w:color="auto"/>
        <w:left w:val="none" w:sz="0" w:space="0" w:color="auto"/>
        <w:bottom w:val="none" w:sz="0" w:space="0" w:color="auto"/>
        <w:right w:val="none" w:sz="0" w:space="0" w:color="auto"/>
      </w:divBdr>
    </w:div>
    <w:div w:id="983581430">
      <w:bodyDiv w:val="1"/>
      <w:marLeft w:val="0"/>
      <w:marRight w:val="0"/>
      <w:marTop w:val="0"/>
      <w:marBottom w:val="0"/>
      <w:divBdr>
        <w:top w:val="none" w:sz="0" w:space="0" w:color="auto"/>
        <w:left w:val="none" w:sz="0" w:space="0" w:color="auto"/>
        <w:bottom w:val="none" w:sz="0" w:space="0" w:color="auto"/>
        <w:right w:val="none" w:sz="0" w:space="0" w:color="auto"/>
      </w:divBdr>
    </w:div>
    <w:div w:id="983848434">
      <w:bodyDiv w:val="1"/>
      <w:marLeft w:val="0"/>
      <w:marRight w:val="0"/>
      <w:marTop w:val="0"/>
      <w:marBottom w:val="0"/>
      <w:divBdr>
        <w:top w:val="none" w:sz="0" w:space="0" w:color="auto"/>
        <w:left w:val="none" w:sz="0" w:space="0" w:color="auto"/>
        <w:bottom w:val="none" w:sz="0" w:space="0" w:color="auto"/>
        <w:right w:val="none" w:sz="0" w:space="0" w:color="auto"/>
      </w:divBdr>
    </w:div>
    <w:div w:id="983971703">
      <w:bodyDiv w:val="1"/>
      <w:marLeft w:val="0"/>
      <w:marRight w:val="0"/>
      <w:marTop w:val="0"/>
      <w:marBottom w:val="0"/>
      <w:divBdr>
        <w:top w:val="none" w:sz="0" w:space="0" w:color="auto"/>
        <w:left w:val="none" w:sz="0" w:space="0" w:color="auto"/>
        <w:bottom w:val="none" w:sz="0" w:space="0" w:color="auto"/>
        <w:right w:val="none" w:sz="0" w:space="0" w:color="auto"/>
      </w:divBdr>
    </w:div>
    <w:div w:id="983972080">
      <w:bodyDiv w:val="1"/>
      <w:marLeft w:val="0"/>
      <w:marRight w:val="0"/>
      <w:marTop w:val="0"/>
      <w:marBottom w:val="0"/>
      <w:divBdr>
        <w:top w:val="none" w:sz="0" w:space="0" w:color="auto"/>
        <w:left w:val="none" w:sz="0" w:space="0" w:color="auto"/>
        <w:bottom w:val="none" w:sz="0" w:space="0" w:color="auto"/>
        <w:right w:val="none" w:sz="0" w:space="0" w:color="auto"/>
      </w:divBdr>
    </w:div>
    <w:div w:id="983975023">
      <w:bodyDiv w:val="1"/>
      <w:marLeft w:val="0"/>
      <w:marRight w:val="0"/>
      <w:marTop w:val="0"/>
      <w:marBottom w:val="0"/>
      <w:divBdr>
        <w:top w:val="none" w:sz="0" w:space="0" w:color="auto"/>
        <w:left w:val="none" w:sz="0" w:space="0" w:color="auto"/>
        <w:bottom w:val="none" w:sz="0" w:space="0" w:color="auto"/>
        <w:right w:val="none" w:sz="0" w:space="0" w:color="auto"/>
      </w:divBdr>
    </w:div>
    <w:div w:id="984048316">
      <w:bodyDiv w:val="1"/>
      <w:marLeft w:val="0"/>
      <w:marRight w:val="0"/>
      <w:marTop w:val="0"/>
      <w:marBottom w:val="0"/>
      <w:divBdr>
        <w:top w:val="none" w:sz="0" w:space="0" w:color="auto"/>
        <w:left w:val="none" w:sz="0" w:space="0" w:color="auto"/>
        <w:bottom w:val="none" w:sz="0" w:space="0" w:color="auto"/>
        <w:right w:val="none" w:sz="0" w:space="0" w:color="auto"/>
      </w:divBdr>
    </w:div>
    <w:div w:id="984092012">
      <w:bodyDiv w:val="1"/>
      <w:marLeft w:val="0"/>
      <w:marRight w:val="0"/>
      <w:marTop w:val="0"/>
      <w:marBottom w:val="0"/>
      <w:divBdr>
        <w:top w:val="none" w:sz="0" w:space="0" w:color="auto"/>
        <w:left w:val="none" w:sz="0" w:space="0" w:color="auto"/>
        <w:bottom w:val="none" w:sz="0" w:space="0" w:color="auto"/>
        <w:right w:val="none" w:sz="0" w:space="0" w:color="auto"/>
      </w:divBdr>
    </w:div>
    <w:div w:id="984116994">
      <w:bodyDiv w:val="1"/>
      <w:marLeft w:val="0"/>
      <w:marRight w:val="0"/>
      <w:marTop w:val="0"/>
      <w:marBottom w:val="0"/>
      <w:divBdr>
        <w:top w:val="none" w:sz="0" w:space="0" w:color="auto"/>
        <w:left w:val="none" w:sz="0" w:space="0" w:color="auto"/>
        <w:bottom w:val="none" w:sz="0" w:space="0" w:color="auto"/>
        <w:right w:val="none" w:sz="0" w:space="0" w:color="auto"/>
      </w:divBdr>
    </w:div>
    <w:div w:id="984241616">
      <w:bodyDiv w:val="1"/>
      <w:marLeft w:val="0"/>
      <w:marRight w:val="0"/>
      <w:marTop w:val="0"/>
      <w:marBottom w:val="0"/>
      <w:divBdr>
        <w:top w:val="none" w:sz="0" w:space="0" w:color="auto"/>
        <w:left w:val="none" w:sz="0" w:space="0" w:color="auto"/>
        <w:bottom w:val="none" w:sz="0" w:space="0" w:color="auto"/>
        <w:right w:val="none" w:sz="0" w:space="0" w:color="auto"/>
      </w:divBdr>
    </w:div>
    <w:div w:id="984243229">
      <w:bodyDiv w:val="1"/>
      <w:marLeft w:val="0"/>
      <w:marRight w:val="0"/>
      <w:marTop w:val="0"/>
      <w:marBottom w:val="0"/>
      <w:divBdr>
        <w:top w:val="none" w:sz="0" w:space="0" w:color="auto"/>
        <w:left w:val="none" w:sz="0" w:space="0" w:color="auto"/>
        <w:bottom w:val="none" w:sz="0" w:space="0" w:color="auto"/>
        <w:right w:val="none" w:sz="0" w:space="0" w:color="auto"/>
      </w:divBdr>
    </w:div>
    <w:div w:id="984435302">
      <w:bodyDiv w:val="1"/>
      <w:marLeft w:val="0"/>
      <w:marRight w:val="0"/>
      <w:marTop w:val="0"/>
      <w:marBottom w:val="0"/>
      <w:divBdr>
        <w:top w:val="none" w:sz="0" w:space="0" w:color="auto"/>
        <w:left w:val="none" w:sz="0" w:space="0" w:color="auto"/>
        <w:bottom w:val="none" w:sz="0" w:space="0" w:color="auto"/>
        <w:right w:val="none" w:sz="0" w:space="0" w:color="auto"/>
      </w:divBdr>
    </w:div>
    <w:div w:id="984504436">
      <w:bodyDiv w:val="1"/>
      <w:marLeft w:val="0"/>
      <w:marRight w:val="0"/>
      <w:marTop w:val="0"/>
      <w:marBottom w:val="0"/>
      <w:divBdr>
        <w:top w:val="none" w:sz="0" w:space="0" w:color="auto"/>
        <w:left w:val="none" w:sz="0" w:space="0" w:color="auto"/>
        <w:bottom w:val="none" w:sz="0" w:space="0" w:color="auto"/>
        <w:right w:val="none" w:sz="0" w:space="0" w:color="auto"/>
      </w:divBdr>
    </w:div>
    <w:div w:id="984622522">
      <w:bodyDiv w:val="1"/>
      <w:marLeft w:val="0"/>
      <w:marRight w:val="0"/>
      <w:marTop w:val="0"/>
      <w:marBottom w:val="0"/>
      <w:divBdr>
        <w:top w:val="none" w:sz="0" w:space="0" w:color="auto"/>
        <w:left w:val="none" w:sz="0" w:space="0" w:color="auto"/>
        <w:bottom w:val="none" w:sz="0" w:space="0" w:color="auto"/>
        <w:right w:val="none" w:sz="0" w:space="0" w:color="auto"/>
      </w:divBdr>
    </w:div>
    <w:div w:id="984817821">
      <w:bodyDiv w:val="1"/>
      <w:marLeft w:val="0"/>
      <w:marRight w:val="0"/>
      <w:marTop w:val="0"/>
      <w:marBottom w:val="0"/>
      <w:divBdr>
        <w:top w:val="none" w:sz="0" w:space="0" w:color="auto"/>
        <w:left w:val="none" w:sz="0" w:space="0" w:color="auto"/>
        <w:bottom w:val="none" w:sz="0" w:space="0" w:color="auto"/>
        <w:right w:val="none" w:sz="0" w:space="0" w:color="auto"/>
      </w:divBdr>
    </w:div>
    <w:div w:id="984889425">
      <w:bodyDiv w:val="1"/>
      <w:marLeft w:val="0"/>
      <w:marRight w:val="0"/>
      <w:marTop w:val="0"/>
      <w:marBottom w:val="0"/>
      <w:divBdr>
        <w:top w:val="none" w:sz="0" w:space="0" w:color="auto"/>
        <w:left w:val="none" w:sz="0" w:space="0" w:color="auto"/>
        <w:bottom w:val="none" w:sz="0" w:space="0" w:color="auto"/>
        <w:right w:val="none" w:sz="0" w:space="0" w:color="auto"/>
      </w:divBdr>
    </w:div>
    <w:div w:id="984895764">
      <w:bodyDiv w:val="1"/>
      <w:marLeft w:val="0"/>
      <w:marRight w:val="0"/>
      <w:marTop w:val="0"/>
      <w:marBottom w:val="0"/>
      <w:divBdr>
        <w:top w:val="none" w:sz="0" w:space="0" w:color="auto"/>
        <w:left w:val="none" w:sz="0" w:space="0" w:color="auto"/>
        <w:bottom w:val="none" w:sz="0" w:space="0" w:color="auto"/>
        <w:right w:val="none" w:sz="0" w:space="0" w:color="auto"/>
      </w:divBdr>
    </w:div>
    <w:div w:id="984897460">
      <w:bodyDiv w:val="1"/>
      <w:marLeft w:val="0"/>
      <w:marRight w:val="0"/>
      <w:marTop w:val="0"/>
      <w:marBottom w:val="0"/>
      <w:divBdr>
        <w:top w:val="none" w:sz="0" w:space="0" w:color="auto"/>
        <w:left w:val="none" w:sz="0" w:space="0" w:color="auto"/>
        <w:bottom w:val="none" w:sz="0" w:space="0" w:color="auto"/>
        <w:right w:val="none" w:sz="0" w:space="0" w:color="auto"/>
      </w:divBdr>
    </w:div>
    <w:div w:id="984897775">
      <w:bodyDiv w:val="1"/>
      <w:marLeft w:val="0"/>
      <w:marRight w:val="0"/>
      <w:marTop w:val="0"/>
      <w:marBottom w:val="0"/>
      <w:divBdr>
        <w:top w:val="none" w:sz="0" w:space="0" w:color="auto"/>
        <w:left w:val="none" w:sz="0" w:space="0" w:color="auto"/>
        <w:bottom w:val="none" w:sz="0" w:space="0" w:color="auto"/>
        <w:right w:val="none" w:sz="0" w:space="0" w:color="auto"/>
      </w:divBdr>
    </w:div>
    <w:div w:id="984968011">
      <w:bodyDiv w:val="1"/>
      <w:marLeft w:val="0"/>
      <w:marRight w:val="0"/>
      <w:marTop w:val="0"/>
      <w:marBottom w:val="0"/>
      <w:divBdr>
        <w:top w:val="none" w:sz="0" w:space="0" w:color="auto"/>
        <w:left w:val="none" w:sz="0" w:space="0" w:color="auto"/>
        <w:bottom w:val="none" w:sz="0" w:space="0" w:color="auto"/>
        <w:right w:val="none" w:sz="0" w:space="0" w:color="auto"/>
      </w:divBdr>
    </w:div>
    <w:div w:id="985089300">
      <w:bodyDiv w:val="1"/>
      <w:marLeft w:val="0"/>
      <w:marRight w:val="0"/>
      <w:marTop w:val="0"/>
      <w:marBottom w:val="0"/>
      <w:divBdr>
        <w:top w:val="none" w:sz="0" w:space="0" w:color="auto"/>
        <w:left w:val="none" w:sz="0" w:space="0" w:color="auto"/>
        <w:bottom w:val="none" w:sz="0" w:space="0" w:color="auto"/>
        <w:right w:val="none" w:sz="0" w:space="0" w:color="auto"/>
      </w:divBdr>
    </w:div>
    <w:div w:id="985203117">
      <w:bodyDiv w:val="1"/>
      <w:marLeft w:val="0"/>
      <w:marRight w:val="0"/>
      <w:marTop w:val="0"/>
      <w:marBottom w:val="0"/>
      <w:divBdr>
        <w:top w:val="none" w:sz="0" w:space="0" w:color="auto"/>
        <w:left w:val="none" w:sz="0" w:space="0" w:color="auto"/>
        <w:bottom w:val="none" w:sz="0" w:space="0" w:color="auto"/>
        <w:right w:val="none" w:sz="0" w:space="0" w:color="auto"/>
      </w:divBdr>
    </w:div>
    <w:div w:id="985429067">
      <w:bodyDiv w:val="1"/>
      <w:marLeft w:val="0"/>
      <w:marRight w:val="0"/>
      <w:marTop w:val="0"/>
      <w:marBottom w:val="0"/>
      <w:divBdr>
        <w:top w:val="none" w:sz="0" w:space="0" w:color="auto"/>
        <w:left w:val="none" w:sz="0" w:space="0" w:color="auto"/>
        <w:bottom w:val="none" w:sz="0" w:space="0" w:color="auto"/>
        <w:right w:val="none" w:sz="0" w:space="0" w:color="auto"/>
      </w:divBdr>
    </w:div>
    <w:div w:id="985474536">
      <w:bodyDiv w:val="1"/>
      <w:marLeft w:val="0"/>
      <w:marRight w:val="0"/>
      <w:marTop w:val="0"/>
      <w:marBottom w:val="0"/>
      <w:divBdr>
        <w:top w:val="none" w:sz="0" w:space="0" w:color="auto"/>
        <w:left w:val="none" w:sz="0" w:space="0" w:color="auto"/>
        <w:bottom w:val="none" w:sz="0" w:space="0" w:color="auto"/>
        <w:right w:val="none" w:sz="0" w:space="0" w:color="auto"/>
      </w:divBdr>
    </w:div>
    <w:div w:id="985623737">
      <w:bodyDiv w:val="1"/>
      <w:marLeft w:val="0"/>
      <w:marRight w:val="0"/>
      <w:marTop w:val="0"/>
      <w:marBottom w:val="0"/>
      <w:divBdr>
        <w:top w:val="none" w:sz="0" w:space="0" w:color="auto"/>
        <w:left w:val="none" w:sz="0" w:space="0" w:color="auto"/>
        <w:bottom w:val="none" w:sz="0" w:space="0" w:color="auto"/>
        <w:right w:val="none" w:sz="0" w:space="0" w:color="auto"/>
      </w:divBdr>
    </w:div>
    <w:div w:id="985625124">
      <w:bodyDiv w:val="1"/>
      <w:marLeft w:val="0"/>
      <w:marRight w:val="0"/>
      <w:marTop w:val="0"/>
      <w:marBottom w:val="0"/>
      <w:divBdr>
        <w:top w:val="none" w:sz="0" w:space="0" w:color="auto"/>
        <w:left w:val="none" w:sz="0" w:space="0" w:color="auto"/>
        <w:bottom w:val="none" w:sz="0" w:space="0" w:color="auto"/>
        <w:right w:val="none" w:sz="0" w:space="0" w:color="auto"/>
      </w:divBdr>
    </w:div>
    <w:div w:id="985744689">
      <w:bodyDiv w:val="1"/>
      <w:marLeft w:val="0"/>
      <w:marRight w:val="0"/>
      <w:marTop w:val="0"/>
      <w:marBottom w:val="0"/>
      <w:divBdr>
        <w:top w:val="none" w:sz="0" w:space="0" w:color="auto"/>
        <w:left w:val="none" w:sz="0" w:space="0" w:color="auto"/>
        <w:bottom w:val="none" w:sz="0" w:space="0" w:color="auto"/>
        <w:right w:val="none" w:sz="0" w:space="0" w:color="auto"/>
      </w:divBdr>
    </w:div>
    <w:div w:id="985815343">
      <w:bodyDiv w:val="1"/>
      <w:marLeft w:val="0"/>
      <w:marRight w:val="0"/>
      <w:marTop w:val="0"/>
      <w:marBottom w:val="0"/>
      <w:divBdr>
        <w:top w:val="none" w:sz="0" w:space="0" w:color="auto"/>
        <w:left w:val="none" w:sz="0" w:space="0" w:color="auto"/>
        <w:bottom w:val="none" w:sz="0" w:space="0" w:color="auto"/>
        <w:right w:val="none" w:sz="0" w:space="0" w:color="auto"/>
      </w:divBdr>
    </w:div>
    <w:div w:id="985815730">
      <w:bodyDiv w:val="1"/>
      <w:marLeft w:val="0"/>
      <w:marRight w:val="0"/>
      <w:marTop w:val="0"/>
      <w:marBottom w:val="0"/>
      <w:divBdr>
        <w:top w:val="none" w:sz="0" w:space="0" w:color="auto"/>
        <w:left w:val="none" w:sz="0" w:space="0" w:color="auto"/>
        <w:bottom w:val="none" w:sz="0" w:space="0" w:color="auto"/>
        <w:right w:val="none" w:sz="0" w:space="0" w:color="auto"/>
      </w:divBdr>
    </w:div>
    <w:div w:id="985858438">
      <w:bodyDiv w:val="1"/>
      <w:marLeft w:val="0"/>
      <w:marRight w:val="0"/>
      <w:marTop w:val="0"/>
      <w:marBottom w:val="0"/>
      <w:divBdr>
        <w:top w:val="none" w:sz="0" w:space="0" w:color="auto"/>
        <w:left w:val="none" w:sz="0" w:space="0" w:color="auto"/>
        <w:bottom w:val="none" w:sz="0" w:space="0" w:color="auto"/>
        <w:right w:val="none" w:sz="0" w:space="0" w:color="auto"/>
      </w:divBdr>
    </w:div>
    <w:div w:id="986085066">
      <w:bodyDiv w:val="1"/>
      <w:marLeft w:val="0"/>
      <w:marRight w:val="0"/>
      <w:marTop w:val="0"/>
      <w:marBottom w:val="0"/>
      <w:divBdr>
        <w:top w:val="none" w:sz="0" w:space="0" w:color="auto"/>
        <w:left w:val="none" w:sz="0" w:space="0" w:color="auto"/>
        <w:bottom w:val="none" w:sz="0" w:space="0" w:color="auto"/>
        <w:right w:val="none" w:sz="0" w:space="0" w:color="auto"/>
      </w:divBdr>
    </w:div>
    <w:div w:id="986206192">
      <w:bodyDiv w:val="1"/>
      <w:marLeft w:val="0"/>
      <w:marRight w:val="0"/>
      <w:marTop w:val="0"/>
      <w:marBottom w:val="0"/>
      <w:divBdr>
        <w:top w:val="none" w:sz="0" w:space="0" w:color="auto"/>
        <w:left w:val="none" w:sz="0" w:space="0" w:color="auto"/>
        <w:bottom w:val="none" w:sz="0" w:space="0" w:color="auto"/>
        <w:right w:val="none" w:sz="0" w:space="0" w:color="auto"/>
      </w:divBdr>
    </w:div>
    <w:div w:id="986320516">
      <w:bodyDiv w:val="1"/>
      <w:marLeft w:val="0"/>
      <w:marRight w:val="0"/>
      <w:marTop w:val="0"/>
      <w:marBottom w:val="0"/>
      <w:divBdr>
        <w:top w:val="none" w:sz="0" w:space="0" w:color="auto"/>
        <w:left w:val="none" w:sz="0" w:space="0" w:color="auto"/>
        <w:bottom w:val="none" w:sz="0" w:space="0" w:color="auto"/>
        <w:right w:val="none" w:sz="0" w:space="0" w:color="auto"/>
      </w:divBdr>
    </w:div>
    <w:div w:id="986323797">
      <w:bodyDiv w:val="1"/>
      <w:marLeft w:val="0"/>
      <w:marRight w:val="0"/>
      <w:marTop w:val="0"/>
      <w:marBottom w:val="0"/>
      <w:divBdr>
        <w:top w:val="none" w:sz="0" w:space="0" w:color="auto"/>
        <w:left w:val="none" w:sz="0" w:space="0" w:color="auto"/>
        <w:bottom w:val="none" w:sz="0" w:space="0" w:color="auto"/>
        <w:right w:val="none" w:sz="0" w:space="0" w:color="auto"/>
      </w:divBdr>
    </w:div>
    <w:div w:id="986544515">
      <w:bodyDiv w:val="1"/>
      <w:marLeft w:val="0"/>
      <w:marRight w:val="0"/>
      <w:marTop w:val="0"/>
      <w:marBottom w:val="0"/>
      <w:divBdr>
        <w:top w:val="none" w:sz="0" w:space="0" w:color="auto"/>
        <w:left w:val="none" w:sz="0" w:space="0" w:color="auto"/>
        <w:bottom w:val="none" w:sz="0" w:space="0" w:color="auto"/>
        <w:right w:val="none" w:sz="0" w:space="0" w:color="auto"/>
      </w:divBdr>
    </w:div>
    <w:div w:id="986590908">
      <w:bodyDiv w:val="1"/>
      <w:marLeft w:val="0"/>
      <w:marRight w:val="0"/>
      <w:marTop w:val="0"/>
      <w:marBottom w:val="0"/>
      <w:divBdr>
        <w:top w:val="none" w:sz="0" w:space="0" w:color="auto"/>
        <w:left w:val="none" w:sz="0" w:space="0" w:color="auto"/>
        <w:bottom w:val="none" w:sz="0" w:space="0" w:color="auto"/>
        <w:right w:val="none" w:sz="0" w:space="0" w:color="auto"/>
      </w:divBdr>
    </w:div>
    <w:div w:id="986782225">
      <w:bodyDiv w:val="1"/>
      <w:marLeft w:val="0"/>
      <w:marRight w:val="0"/>
      <w:marTop w:val="0"/>
      <w:marBottom w:val="0"/>
      <w:divBdr>
        <w:top w:val="none" w:sz="0" w:space="0" w:color="auto"/>
        <w:left w:val="none" w:sz="0" w:space="0" w:color="auto"/>
        <w:bottom w:val="none" w:sz="0" w:space="0" w:color="auto"/>
        <w:right w:val="none" w:sz="0" w:space="0" w:color="auto"/>
      </w:divBdr>
    </w:div>
    <w:div w:id="986907351">
      <w:bodyDiv w:val="1"/>
      <w:marLeft w:val="0"/>
      <w:marRight w:val="0"/>
      <w:marTop w:val="0"/>
      <w:marBottom w:val="0"/>
      <w:divBdr>
        <w:top w:val="none" w:sz="0" w:space="0" w:color="auto"/>
        <w:left w:val="none" w:sz="0" w:space="0" w:color="auto"/>
        <w:bottom w:val="none" w:sz="0" w:space="0" w:color="auto"/>
        <w:right w:val="none" w:sz="0" w:space="0" w:color="auto"/>
      </w:divBdr>
    </w:div>
    <w:div w:id="986932497">
      <w:bodyDiv w:val="1"/>
      <w:marLeft w:val="0"/>
      <w:marRight w:val="0"/>
      <w:marTop w:val="0"/>
      <w:marBottom w:val="0"/>
      <w:divBdr>
        <w:top w:val="none" w:sz="0" w:space="0" w:color="auto"/>
        <w:left w:val="none" w:sz="0" w:space="0" w:color="auto"/>
        <w:bottom w:val="none" w:sz="0" w:space="0" w:color="auto"/>
        <w:right w:val="none" w:sz="0" w:space="0" w:color="auto"/>
      </w:divBdr>
    </w:div>
    <w:div w:id="986974769">
      <w:bodyDiv w:val="1"/>
      <w:marLeft w:val="0"/>
      <w:marRight w:val="0"/>
      <w:marTop w:val="0"/>
      <w:marBottom w:val="0"/>
      <w:divBdr>
        <w:top w:val="none" w:sz="0" w:space="0" w:color="auto"/>
        <w:left w:val="none" w:sz="0" w:space="0" w:color="auto"/>
        <w:bottom w:val="none" w:sz="0" w:space="0" w:color="auto"/>
        <w:right w:val="none" w:sz="0" w:space="0" w:color="auto"/>
      </w:divBdr>
    </w:div>
    <w:div w:id="986982841">
      <w:bodyDiv w:val="1"/>
      <w:marLeft w:val="0"/>
      <w:marRight w:val="0"/>
      <w:marTop w:val="0"/>
      <w:marBottom w:val="0"/>
      <w:divBdr>
        <w:top w:val="none" w:sz="0" w:space="0" w:color="auto"/>
        <w:left w:val="none" w:sz="0" w:space="0" w:color="auto"/>
        <w:bottom w:val="none" w:sz="0" w:space="0" w:color="auto"/>
        <w:right w:val="none" w:sz="0" w:space="0" w:color="auto"/>
      </w:divBdr>
    </w:div>
    <w:div w:id="987127420">
      <w:bodyDiv w:val="1"/>
      <w:marLeft w:val="0"/>
      <w:marRight w:val="0"/>
      <w:marTop w:val="0"/>
      <w:marBottom w:val="0"/>
      <w:divBdr>
        <w:top w:val="none" w:sz="0" w:space="0" w:color="auto"/>
        <w:left w:val="none" w:sz="0" w:space="0" w:color="auto"/>
        <w:bottom w:val="none" w:sz="0" w:space="0" w:color="auto"/>
        <w:right w:val="none" w:sz="0" w:space="0" w:color="auto"/>
      </w:divBdr>
    </w:div>
    <w:div w:id="987132440">
      <w:bodyDiv w:val="1"/>
      <w:marLeft w:val="0"/>
      <w:marRight w:val="0"/>
      <w:marTop w:val="0"/>
      <w:marBottom w:val="0"/>
      <w:divBdr>
        <w:top w:val="none" w:sz="0" w:space="0" w:color="auto"/>
        <w:left w:val="none" w:sz="0" w:space="0" w:color="auto"/>
        <w:bottom w:val="none" w:sz="0" w:space="0" w:color="auto"/>
        <w:right w:val="none" w:sz="0" w:space="0" w:color="auto"/>
      </w:divBdr>
    </w:div>
    <w:div w:id="987172510">
      <w:bodyDiv w:val="1"/>
      <w:marLeft w:val="0"/>
      <w:marRight w:val="0"/>
      <w:marTop w:val="0"/>
      <w:marBottom w:val="0"/>
      <w:divBdr>
        <w:top w:val="none" w:sz="0" w:space="0" w:color="auto"/>
        <w:left w:val="none" w:sz="0" w:space="0" w:color="auto"/>
        <w:bottom w:val="none" w:sz="0" w:space="0" w:color="auto"/>
        <w:right w:val="none" w:sz="0" w:space="0" w:color="auto"/>
      </w:divBdr>
    </w:div>
    <w:div w:id="987200814">
      <w:bodyDiv w:val="1"/>
      <w:marLeft w:val="0"/>
      <w:marRight w:val="0"/>
      <w:marTop w:val="0"/>
      <w:marBottom w:val="0"/>
      <w:divBdr>
        <w:top w:val="none" w:sz="0" w:space="0" w:color="auto"/>
        <w:left w:val="none" w:sz="0" w:space="0" w:color="auto"/>
        <w:bottom w:val="none" w:sz="0" w:space="0" w:color="auto"/>
        <w:right w:val="none" w:sz="0" w:space="0" w:color="auto"/>
      </w:divBdr>
    </w:div>
    <w:div w:id="987245511">
      <w:bodyDiv w:val="1"/>
      <w:marLeft w:val="0"/>
      <w:marRight w:val="0"/>
      <w:marTop w:val="0"/>
      <w:marBottom w:val="0"/>
      <w:divBdr>
        <w:top w:val="none" w:sz="0" w:space="0" w:color="auto"/>
        <w:left w:val="none" w:sz="0" w:space="0" w:color="auto"/>
        <w:bottom w:val="none" w:sz="0" w:space="0" w:color="auto"/>
        <w:right w:val="none" w:sz="0" w:space="0" w:color="auto"/>
      </w:divBdr>
    </w:div>
    <w:div w:id="987245862">
      <w:bodyDiv w:val="1"/>
      <w:marLeft w:val="0"/>
      <w:marRight w:val="0"/>
      <w:marTop w:val="0"/>
      <w:marBottom w:val="0"/>
      <w:divBdr>
        <w:top w:val="none" w:sz="0" w:space="0" w:color="auto"/>
        <w:left w:val="none" w:sz="0" w:space="0" w:color="auto"/>
        <w:bottom w:val="none" w:sz="0" w:space="0" w:color="auto"/>
        <w:right w:val="none" w:sz="0" w:space="0" w:color="auto"/>
      </w:divBdr>
    </w:div>
    <w:div w:id="987247629">
      <w:bodyDiv w:val="1"/>
      <w:marLeft w:val="0"/>
      <w:marRight w:val="0"/>
      <w:marTop w:val="0"/>
      <w:marBottom w:val="0"/>
      <w:divBdr>
        <w:top w:val="none" w:sz="0" w:space="0" w:color="auto"/>
        <w:left w:val="none" w:sz="0" w:space="0" w:color="auto"/>
        <w:bottom w:val="none" w:sz="0" w:space="0" w:color="auto"/>
        <w:right w:val="none" w:sz="0" w:space="0" w:color="auto"/>
      </w:divBdr>
    </w:div>
    <w:div w:id="987365794">
      <w:bodyDiv w:val="1"/>
      <w:marLeft w:val="0"/>
      <w:marRight w:val="0"/>
      <w:marTop w:val="0"/>
      <w:marBottom w:val="0"/>
      <w:divBdr>
        <w:top w:val="none" w:sz="0" w:space="0" w:color="auto"/>
        <w:left w:val="none" w:sz="0" w:space="0" w:color="auto"/>
        <w:bottom w:val="none" w:sz="0" w:space="0" w:color="auto"/>
        <w:right w:val="none" w:sz="0" w:space="0" w:color="auto"/>
      </w:divBdr>
    </w:div>
    <w:div w:id="987394005">
      <w:bodyDiv w:val="1"/>
      <w:marLeft w:val="0"/>
      <w:marRight w:val="0"/>
      <w:marTop w:val="0"/>
      <w:marBottom w:val="0"/>
      <w:divBdr>
        <w:top w:val="none" w:sz="0" w:space="0" w:color="auto"/>
        <w:left w:val="none" w:sz="0" w:space="0" w:color="auto"/>
        <w:bottom w:val="none" w:sz="0" w:space="0" w:color="auto"/>
        <w:right w:val="none" w:sz="0" w:space="0" w:color="auto"/>
      </w:divBdr>
    </w:div>
    <w:div w:id="987395243">
      <w:bodyDiv w:val="1"/>
      <w:marLeft w:val="0"/>
      <w:marRight w:val="0"/>
      <w:marTop w:val="0"/>
      <w:marBottom w:val="0"/>
      <w:divBdr>
        <w:top w:val="none" w:sz="0" w:space="0" w:color="auto"/>
        <w:left w:val="none" w:sz="0" w:space="0" w:color="auto"/>
        <w:bottom w:val="none" w:sz="0" w:space="0" w:color="auto"/>
        <w:right w:val="none" w:sz="0" w:space="0" w:color="auto"/>
      </w:divBdr>
    </w:div>
    <w:div w:id="987395643">
      <w:bodyDiv w:val="1"/>
      <w:marLeft w:val="0"/>
      <w:marRight w:val="0"/>
      <w:marTop w:val="0"/>
      <w:marBottom w:val="0"/>
      <w:divBdr>
        <w:top w:val="none" w:sz="0" w:space="0" w:color="auto"/>
        <w:left w:val="none" w:sz="0" w:space="0" w:color="auto"/>
        <w:bottom w:val="none" w:sz="0" w:space="0" w:color="auto"/>
        <w:right w:val="none" w:sz="0" w:space="0" w:color="auto"/>
      </w:divBdr>
    </w:div>
    <w:div w:id="987397434">
      <w:bodyDiv w:val="1"/>
      <w:marLeft w:val="0"/>
      <w:marRight w:val="0"/>
      <w:marTop w:val="0"/>
      <w:marBottom w:val="0"/>
      <w:divBdr>
        <w:top w:val="none" w:sz="0" w:space="0" w:color="auto"/>
        <w:left w:val="none" w:sz="0" w:space="0" w:color="auto"/>
        <w:bottom w:val="none" w:sz="0" w:space="0" w:color="auto"/>
        <w:right w:val="none" w:sz="0" w:space="0" w:color="auto"/>
      </w:divBdr>
    </w:div>
    <w:div w:id="987435312">
      <w:bodyDiv w:val="1"/>
      <w:marLeft w:val="0"/>
      <w:marRight w:val="0"/>
      <w:marTop w:val="0"/>
      <w:marBottom w:val="0"/>
      <w:divBdr>
        <w:top w:val="none" w:sz="0" w:space="0" w:color="auto"/>
        <w:left w:val="none" w:sz="0" w:space="0" w:color="auto"/>
        <w:bottom w:val="none" w:sz="0" w:space="0" w:color="auto"/>
        <w:right w:val="none" w:sz="0" w:space="0" w:color="auto"/>
      </w:divBdr>
    </w:div>
    <w:div w:id="987514850">
      <w:bodyDiv w:val="1"/>
      <w:marLeft w:val="0"/>
      <w:marRight w:val="0"/>
      <w:marTop w:val="0"/>
      <w:marBottom w:val="0"/>
      <w:divBdr>
        <w:top w:val="none" w:sz="0" w:space="0" w:color="auto"/>
        <w:left w:val="none" w:sz="0" w:space="0" w:color="auto"/>
        <w:bottom w:val="none" w:sz="0" w:space="0" w:color="auto"/>
        <w:right w:val="none" w:sz="0" w:space="0" w:color="auto"/>
      </w:divBdr>
    </w:div>
    <w:div w:id="987562194">
      <w:bodyDiv w:val="1"/>
      <w:marLeft w:val="0"/>
      <w:marRight w:val="0"/>
      <w:marTop w:val="0"/>
      <w:marBottom w:val="0"/>
      <w:divBdr>
        <w:top w:val="none" w:sz="0" w:space="0" w:color="auto"/>
        <w:left w:val="none" w:sz="0" w:space="0" w:color="auto"/>
        <w:bottom w:val="none" w:sz="0" w:space="0" w:color="auto"/>
        <w:right w:val="none" w:sz="0" w:space="0" w:color="auto"/>
      </w:divBdr>
    </w:div>
    <w:div w:id="987588916">
      <w:bodyDiv w:val="1"/>
      <w:marLeft w:val="0"/>
      <w:marRight w:val="0"/>
      <w:marTop w:val="0"/>
      <w:marBottom w:val="0"/>
      <w:divBdr>
        <w:top w:val="none" w:sz="0" w:space="0" w:color="auto"/>
        <w:left w:val="none" w:sz="0" w:space="0" w:color="auto"/>
        <w:bottom w:val="none" w:sz="0" w:space="0" w:color="auto"/>
        <w:right w:val="none" w:sz="0" w:space="0" w:color="auto"/>
      </w:divBdr>
    </w:div>
    <w:div w:id="987589318">
      <w:bodyDiv w:val="1"/>
      <w:marLeft w:val="0"/>
      <w:marRight w:val="0"/>
      <w:marTop w:val="0"/>
      <w:marBottom w:val="0"/>
      <w:divBdr>
        <w:top w:val="none" w:sz="0" w:space="0" w:color="auto"/>
        <w:left w:val="none" w:sz="0" w:space="0" w:color="auto"/>
        <w:bottom w:val="none" w:sz="0" w:space="0" w:color="auto"/>
        <w:right w:val="none" w:sz="0" w:space="0" w:color="auto"/>
      </w:divBdr>
    </w:div>
    <w:div w:id="987592056">
      <w:bodyDiv w:val="1"/>
      <w:marLeft w:val="0"/>
      <w:marRight w:val="0"/>
      <w:marTop w:val="0"/>
      <w:marBottom w:val="0"/>
      <w:divBdr>
        <w:top w:val="none" w:sz="0" w:space="0" w:color="auto"/>
        <w:left w:val="none" w:sz="0" w:space="0" w:color="auto"/>
        <w:bottom w:val="none" w:sz="0" w:space="0" w:color="auto"/>
        <w:right w:val="none" w:sz="0" w:space="0" w:color="auto"/>
      </w:divBdr>
    </w:div>
    <w:div w:id="987631922">
      <w:bodyDiv w:val="1"/>
      <w:marLeft w:val="0"/>
      <w:marRight w:val="0"/>
      <w:marTop w:val="0"/>
      <w:marBottom w:val="0"/>
      <w:divBdr>
        <w:top w:val="none" w:sz="0" w:space="0" w:color="auto"/>
        <w:left w:val="none" w:sz="0" w:space="0" w:color="auto"/>
        <w:bottom w:val="none" w:sz="0" w:space="0" w:color="auto"/>
        <w:right w:val="none" w:sz="0" w:space="0" w:color="auto"/>
      </w:divBdr>
    </w:div>
    <w:div w:id="987707101">
      <w:bodyDiv w:val="1"/>
      <w:marLeft w:val="0"/>
      <w:marRight w:val="0"/>
      <w:marTop w:val="0"/>
      <w:marBottom w:val="0"/>
      <w:divBdr>
        <w:top w:val="none" w:sz="0" w:space="0" w:color="auto"/>
        <w:left w:val="none" w:sz="0" w:space="0" w:color="auto"/>
        <w:bottom w:val="none" w:sz="0" w:space="0" w:color="auto"/>
        <w:right w:val="none" w:sz="0" w:space="0" w:color="auto"/>
      </w:divBdr>
    </w:div>
    <w:div w:id="987787482">
      <w:bodyDiv w:val="1"/>
      <w:marLeft w:val="0"/>
      <w:marRight w:val="0"/>
      <w:marTop w:val="0"/>
      <w:marBottom w:val="0"/>
      <w:divBdr>
        <w:top w:val="none" w:sz="0" w:space="0" w:color="auto"/>
        <w:left w:val="none" w:sz="0" w:space="0" w:color="auto"/>
        <w:bottom w:val="none" w:sz="0" w:space="0" w:color="auto"/>
        <w:right w:val="none" w:sz="0" w:space="0" w:color="auto"/>
      </w:divBdr>
    </w:div>
    <w:div w:id="987829856">
      <w:bodyDiv w:val="1"/>
      <w:marLeft w:val="0"/>
      <w:marRight w:val="0"/>
      <w:marTop w:val="0"/>
      <w:marBottom w:val="0"/>
      <w:divBdr>
        <w:top w:val="none" w:sz="0" w:space="0" w:color="auto"/>
        <w:left w:val="none" w:sz="0" w:space="0" w:color="auto"/>
        <w:bottom w:val="none" w:sz="0" w:space="0" w:color="auto"/>
        <w:right w:val="none" w:sz="0" w:space="0" w:color="auto"/>
      </w:divBdr>
    </w:div>
    <w:div w:id="987906123">
      <w:bodyDiv w:val="1"/>
      <w:marLeft w:val="0"/>
      <w:marRight w:val="0"/>
      <w:marTop w:val="0"/>
      <w:marBottom w:val="0"/>
      <w:divBdr>
        <w:top w:val="none" w:sz="0" w:space="0" w:color="auto"/>
        <w:left w:val="none" w:sz="0" w:space="0" w:color="auto"/>
        <w:bottom w:val="none" w:sz="0" w:space="0" w:color="auto"/>
        <w:right w:val="none" w:sz="0" w:space="0" w:color="auto"/>
      </w:divBdr>
    </w:div>
    <w:div w:id="988047807">
      <w:bodyDiv w:val="1"/>
      <w:marLeft w:val="0"/>
      <w:marRight w:val="0"/>
      <w:marTop w:val="0"/>
      <w:marBottom w:val="0"/>
      <w:divBdr>
        <w:top w:val="none" w:sz="0" w:space="0" w:color="auto"/>
        <w:left w:val="none" w:sz="0" w:space="0" w:color="auto"/>
        <w:bottom w:val="none" w:sz="0" w:space="0" w:color="auto"/>
        <w:right w:val="none" w:sz="0" w:space="0" w:color="auto"/>
      </w:divBdr>
    </w:div>
    <w:div w:id="988050241">
      <w:bodyDiv w:val="1"/>
      <w:marLeft w:val="0"/>
      <w:marRight w:val="0"/>
      <w:marTop w:val="0"/>
      <w:marBottom w:val="0"/>
      <w:divBdr>
        <w:top w:val="none" w:sz="0" w:space="0" w:color="auto"/>
        <w:left w:val="none" w:sz="0" w:space="0" w:color="auto"/>
        <w:bottom w:val="none" w:sz="0" w:space="0" w:color="auto"/>
        <w:right w:val="none" w:sz="0" w:space="0" w:color="auto"/>
      </w:divBdr>
    </w:div>
    <w:div w:id="988244066">
      <w:bodyDiv w:val="1"/>
      <w:marLeft w:val="0"/>
      <w:marRight w:val="0"/>
      <w:marTop w:val="0"/>
      <w:marBottom w:val="0"/>
      <w:divBdr>
        <w:top w:val="none" w:sz="0" w:space="0" w:color="auto"/>
        <w:left w:val="none" w:sz="0" w:space="0" w:color="auto"/>
        <w:bottom w:val="none" w:sz="0" w:space="0" w:color="auto"/>
        <w:right w:val="none" w:sz="0" w:space="0" w:color="auto"/>
      </w:divBdr>
    </w:div>
    <w:div w:id="988247356">
      <w:bodyDiv w:val="1"/>
      <w:marLeft w:val="0"/>
      <w:marRight w:val="0"/>
      <w:marTop w:val="0"/>
      <w:marBottom w:val="0"/>
      <w:divBdr>
        <w:top w:val="none" w:sz="0" w:space="0" w:color="auto"/>
        <w:left w:val="none" w:sz="0" w:space="0" w:color="auto"/>
        <w:bottom w:val="none" w:sz="0" w:space="0" w:color="auto"/>
        <w:right w:val="none" w:sz="0" w:space="0" w:color="auto"/>
      </w:divBdr>
    </w:div>
    <w:div w:id="988365727">
      <w:bodyDiv w:val="1"/>
      <w:marLeft w:val="0"/>
      <w:marRight w:val="0"/>
      <w:marTop w:val="0"/>
      <w:marBottom w:val="0"/>
      <w:divBdr>
        <w:top w:val="none" w:sz="0" w:space="0" w:color="auto"/>
        <w:left w:val="none" w:sz="0" w:space="0" w:color="auto"/>
        <w:bottom w:val="none" w:sz="0" w:space="0" w:color="auto"/>
        <w:right w:val="none" w:sz="0" w:space="0" w:color="auto"/>
      </w:divBdr>
    </w:div>
    <w:div w:id="988367003">
      <w:bodyDiv w:val="1"/>
      <w:marLeft w:val="0"/>
      <w:marRight w:val="0"/>
      <w:marTop w:val="0"/>
      <w:marBottom w:val="0"/>
      <w:divBdr>
        <w:top w:val="none" w:sz="0" w:space="0" w:color="auto"/>
        <w:left w:val="none" w:sz="0" w:space="0" w:color="auto"/>
        <w:bottom w:val="none" w:sz="0" w:space="0" w:color="auto"/>
        <w:right w:val="none" w:sz="0" w:space="0" w:color="auto"/>
      </w:divBdr>
    </w:div>
    <w:div w:id="988436462">
      <w:bodyDiv w:val="1"/>
      <w:marLeft w:val="0"/>
      <w:marRight w:val="0"/>
      <w:marTop w:val="0"/>
      <w:marBottom w:val="0"/>
      <w:divBdr>
        <w:top w:val="none" w:sz="0" w:space="0" w:color="auto"/>
        <w:left w:val="none" w:sz="0" w:space="0" w:color="auto"/>
        <w:bottom w:val="none" w:sz="0" w:space="0" w:color="auto"/>
        <w:right w:val="none" w:sz="0" w:space="0" w:color="auto"/>
      </w:divBdr>
    </w:div>
    <w:div w:id="988483171">
      <w:bodyDiv w:val="1"/>
      <w:marLeft w:val="0"/>
      <w:marRight w:val="0"/>
      <w:marTop w:val="0"/>
      <w:marBottom w:val="0"/>
      <w:divBdr>
        <w:top w:val="none" w:sz="0" w:space="0" w:color="auto"/>
        <w:left w:val="none" w:sz="0" w:space="0" w:color="auto"/>
        <w:bottom w:val="none" w:sz="0" w:space="0" w:color="auto"/>
        <w:right w:val="none" w:sz="0" w:space="0" w:color="auto"/>
      </w:divBdr>
    </w:div>
    <w:div w:id="988552380">
      <w:bodyDiv w:val="1"/>
      <w:marLeft w:val="0"/>
      <w:marRight w:val="0"/>
      <w:marTop w:val="0"/>
      <w:marBottom w:val="0"/>
      <w:divBdr>
        <w:top w:val="none" w:sz="0" w:space="0" w:color="auto"/>
        <w:left w:val="none" w:sz="0" w:space="0" w:color="auto"/>
        <w:bottom w:val="none" w:sz="0" w:space="0" w:color="auto"/>
        <w:right w:val="none" w:sz="0" w:space="0" w:color="auto"/>
      </w:divBdr>
    </w:div>
    <w:div w:id="988556809">
      <w:bodyDiv w:val="1"/>
      <w:marLeft w:val="0"/>
      <w:marRight w:val="0"/>
      <w:marTop w:val="0"/>
      <w:marBottom w:val="0"/>
      <w:divBdr>
        <w:top w:val="none" w:sz="0" w:space="0" w:color="auto"/>
        <w:left w:val="none" w:sz="0" w:space="0" w:color="auto"/>
        <w:bottom w:val="none" w:sz="0" w:space="0" w:color="auto"/>
        <w:right w:val="none" w:sz="0" w:space="0" w:color="auto"/>
      </w:divBdr>
    </w:div>
    <w:div w:id="988636217">
      <w:bodyDiv w:val="1"/>
      <w:marLeft w:val="0"/>
      <w:marRight w:val="0"/>
      <w:marTop w:val="0"/>
      <w:marBottom w:val="0"/>
      <w:divBdr>
        <w:top w:val="none" w:sz="0" w:space="0" w:color="auto"/>
        <w:left w:val="none" w:sz="0" w:space="0" w:color="auto"/>
        <w:bottom w:val="none" w:sz="0" w:space="0" w:color="auto"/>
        <w:right w:val="none" w:sz="0" w:space="0" w:color="auto"/>
      </w:divBdr>
    </w:div>
    <w:div w:id="988676783">
      <w:bodyDiv w:val="1"/>
      <w:marLeft w:val="0"/>
      <w:marRight w:val="0"/>
      <w:marTop w:val="0"/>
      <w:marBottom w:val="0"/>
      <w:divBdr>
        <w:top w:val="none" w:sz="0" w:space="0" w:color="auto"/>
        <w:left w:val="none" w:sz="0" w:space="0" w:color="auto"/>
        <w:bottom w:val="none" w:sz="0" w:space="0" w:color="auto"/>
        <w:right w:val="none" w:sz="0" w:space="0" w:color="auto"/>
      </w:divBdr>
    </w:div>
    <w:div w:id="988705503">
      <w:bodyDiv w:val="1"/>
      <w:marLeft w:val="0"/>
      <w:marRight w:val="0"/>
      <w:marTop w:val="0"/>
      <w:marBottom w:val="0"/>
      <w:divBdr>
        <w:top w:val="none" w:sz="0" w:space="0" w:color="auto"/>
        <w:left w:val="none" w:sz="0" w:space="0" w:color="auto"/>
        <w:bottom w:val="none" w:sz="0" w:space="0" w:color="auto"/>
        <w:right w:val="none" w:sz="0" w:space="0" w:color="auto"/>
      </w:divBdr>
    </w:div>
    <w:div w:id="988708779">
      <w:bodyDiv w:val="1"/>
      <w:marLeft w:val="0"/>
      <w:marRight w:val="0"/>
      <w:marTop w:val="0"/>
      <w:marBottom w:val="0"/>
      <w:divBdr>
        <w:top w:val="none" w:sz="0" w:space="0" w:color="auto"/>
        <w:left w:val="none" w:sz="0" w:space="0" w:color="auto"/>
        <w:bottom w:val="none" w:sz="0" w:space="0" w:color="auto"/>
        <w:right w:val="none" w:sz="0" w:space="0" w:color="auto"/>
      </w:divBdr>
    </w:div>
    <w:div w:id="988747746">
      <w:bodyDiv w:val="1"/>
      <w:marLeft w:val="0"/>
      <w:marRight w:val="0"/>
      <w:marTop w:val="0"/>
      <w:marBottom w:val="0"/>
      <w:divBdr>
        <w:top w:val="none" w:sz="0" w:space="0" w:color="auto"/>
        <w:left w:val="none" w:sz="0" w:space="0" w:color="auto"/>
        <w:bottom w:val="none" w:sz="0" w:space="0" w:color="auto"/>
        <w:right w:val="none" w:sz="0" w:space="0" w:color="auto"/>
      </w:divBdr>
    </w:div>
    <w:div w:id="988824086">
      <w:bodyDiv w:val="1"/>
      <w:marLeft w:val="0"/>
      <w:marRight w:val="0"/>
      <w:marTop w:val="0"/>
      <w:marBottom w:val="0"/>
      <w:divBdr>
        <w:top w:val="none" w:sz="0" w:space="0" w:color="auto"/>
        <w:left w:val="none" w:sz="0" w:space="0" w:color="auto"/>
        <w:bottom w:val="none" w:sz="0" w:space="0" w:color="auto"/>
        <w:right w:val="none" w:sz="0" w:space="0" w:color="auto"/>
      </w:divBdr>
    </w:div>
    <w:div w:id="988942209">
      <w:bodyDiv w:val="1"/>
      <w:marLeft w:val="0"/>
      <w:marRight w:val="0"/>
      <w:marTop w:val="0"/>
      <w:marBottom w:val="0"/>
      <w:divBdr>
        <w:top w:val="none" w:sz="0" w:space="0" w:color="auto"/>
        <w:left w:val="none" w:sz="0" w:space="0" w:color="auto"/>
        <w:bottom w:val="none" w:sz="0" w:space="0" w:color="auto"/>
        <w:right w:val="none" w:sz="0" w:space="0" w:color="auto"/>
      </w:divBdr>
    </w:div>
    <w:div w:id="988946720">
      <w:bodyDiv w:val="1"/>
      <w:marLeft w:val="0"/>
      <w:marRight w:val="0"/>
      <w:marTop w:val="0"/>
      <w:marBottom w:val="0"/>
      <w:divBdr>
        <w:top w:val="none" w:sz="0" w:space="0" w:color="auto"/>
        <w:left w:val="none" w:sz="0" w:space="0" w:color="auto"/>
        <w:bottom w:val="none" w:sz="0" w:space="0" w:color="auto"/>
        <w:right w:val="none" w:sz="0" w:space="0" w:color="auto"/>
      </w:divBdr>
    </w:div>
    <w:div w:id="989165958">
      <w:bodyDiv w:val="1"/>
      <w:marLeft w:val="0"/>
      <w:marRight w:val="0"/>
      <w:marTop w:val="0"/>
      <w:marBottom w:val="0"/>
      <w:divBdr>
        <w:top w:val="none" w:sz="0" w:space="0" w:color="auto"/>
        <w:left w:val="none" w:sz="0" w:space="0" w:color="auto"/>
        <w:bottom w:val="none" w:sz="0" w:space="0" w:color="auto"/>
        <w:right w:val="none" w:sz="0" w:space="0" w:color="auto"/>
      </w:divBdr>
    </w:div>
    <w:div w:id="989166835">
      <w:bodyDiv w:val="1"/>
      <w:marLeft w:val="0"/>
      <w:marRight w:val="0"/>
      <w:marTop w:val="0"/>
      <w:marBottom w:val="0"/>
      <w:divBdr>
        <w:top w:val="none" w:sz="0" w:space="0" w:color="auto"/>
        <w:left w:val="none" w:sz="0" w:space="0" w:color="auto"/>
        <w:bottom w:val="none" w:sz="0" w:space="0" w:color="auto"/>
        <w:right w:val="none" w:sz="0" w:space="0" w:color="auto"/>
      </w:divBdr>
    </w:div>
    <w:div w:id="989207738">
      <w:bodyDiv w:val="1"/>
      <w:marLeft w:val="0"/>
      <w:marRight w:val="0"/>
      <w:marTop w:val="0"/>
      <w:marBottom w:val="0"/>
      <w:divBdr>
        <w:top w:val="none" w:sz="0" w:space="0" w:color="auto"/>
        <w:left w:val="none" w:sz="0" w:space="0" w:color="auto"/>
        <w:bottom w:val="none" w:sz="0" w:space="0" w:color="auto"/>
        <w:right w:val="none" w:sz="0" w:space="0" w:color="auto"/>
      </w:divBdr>
    </w:div>
    <w:div w:id="989292198">
      <w:bodyDiv w:val="1"/>
      <w:marLeft w:val="0"/>
      <w:marRight w:val="0"/>
      <w:marTop w:val="0"/>
      <w:marBottom w:val="0"/>
      <w:divBdr>
        <w:top w:val="none" w:sz="0" w:space="0" w:color="auto"/>
        <w:left w:val="none" w:sz="0" w:space="0" w:color="auto"/>
        <w:bottom w:val="none" w:sz="0" w:space="0" w:color="auto"/>
        <w:right w:val="none" w:sz="0" w:space="0" w:color="auto"/>
      </w:divBdr>
    </w:div>
    <w:div w:id="989292551">
      <w:bodyDiv w:val="1"/>
      <w:marLeft w:val="0"/>
      <w:marRight w:val="0"/>
      <w:marTop w:val="0"/>
      <w:marBottom w:val="0"/>
      <w:divBdr>
        <w:top w:val="none" w:sz="0" w:space="0" w:color="auto"/>
        <w:left w:val="none" w:sz="0" w:space="0" w:color="auto"/>
        <w:bottom w:val="none" w:sz="0" w:space="0" w:color="auto"/>
        <w:right w:val="none" w:sz="0" w:space="0" w:color="auto"/>
      </w:divBdr>
    </w:div>
    <w:div w:id="989402223">
      <w:bodyDiv w:val="1"/>
      <w:marLeft w:val="0"/>
      <w:marRight w:val="0"/>
      <w:marTop w:val="0"/>
      <w:marBottom w:val="0"/>
      <w:divBdr>
        <w:top w:val="none" w:sz="0" w:space="0" w:color="auto"/>
        <w:left w:val="none" w:sz="0" w:space="0" w:color="auto"/>
        <w:bottom w:val="none" w:sz="0" w:space="0" w:color="auto"/>
        <w:right w:val="none" w:sz="0" w:space="0" w:color="auto"/>
      </w:divBdr>
    </w:div>
    <w:div w:id="989408525">
      <w:bodyDiv w:val="1"/>
      <w:marLeft w:val="0"/>
      <w:marRight w:val="0"/>
      <w:marTop w:val="0"/>
      <w:marBottom w:val="0"/>
      <w:divBdr>
        <w:top w:val="none" w:sz="0" w:space="0" w:color="auto"/>
        <w:left w:val="none" w:sz="0" w:space="0" w:color="auto"/>
        <w:bottom w:val="none" w:sz="0" w:space="0" w:color="auto"/>
        <w:right w:val="none" w:sz="0" w:space="0" w:color="auto"/>
      </w:divBdr>
    </w:div>
    <w:div w:id="989602736">
      <w:bodyDiv w:val="1"/>
      <w:marLeft w:val="0"/>
      <w:marRight w:val="0"/>
      <w:marTop w:val="0"/>
      <w:marBottom w:val="0"/>
      <w:divBdr>
        <w:top w:val="none" w:sz="0" w:space="0" w:color="auto"/>
        <w:left w:val="none" w:sz="0" w:space="0" w:color="auto"/>
        <w:bottom w:val="none" w:sz="0" w:space="0" w:color="auto"/>
        <w:right w:val="none" w:sz="0" w:space="0" w:color="auto"/>
      </w:divBdr>
    </w:div>
    <w:div w:id="989674467">
      <w:bodyDiv w:val="1"/>
      <w:marLeft w:val="0"/>
      <w:marRight w:val="0"/>
      <w:marTop w:val="0"/>
      <w:marBottom w:val="0"/>
      <w:divBdr>
        <w:top w:val="none" w:sz="0" w:space="0" w:color="auto"/>
        <w:left w:val="none" w:sz="0" w:space="0" w:color="auto"/>
        <w:bottom w:val="none" w:sz="0" w:space="0" w:color="auto"/>
        <w:right w:val="none" w:sz="0" w:space="0" w:color="auto"/>
      </w:divBdr>
    </w:div>
    <w:div w:id="989749944">
      <w:bodyDiv w:val="1"/>
      <w:marLeft w:val="0"/>
      <w:marRight w:val="0"/>
      <w:marTop w:val="0"/>
      <w:marBottom w:val="0"/>
      <w:divBdr>
        <w:top w:val="none" w:sz="0" w:space="0" w:color="auto"/>
        <w:left w:val="none" w:sz="0" w:space="0" w:color="auto"/>
        <w:bottom w:val="none" w:sz="0" w:space="0" w:color="auto"/>
        <w:right w:val="none" w:sz="0" w:space="0" w:color="auto"/>
      </w:divBdr>
    </w:div>
    <w:div w:id="989862888">
      <w:bodyDiv w:val="1"/>
      <w:marLeft w:val="0"/>
      <w:marRight w:val="0"/>
      <w:marTop w:val="0"/>
      <w:marBottom w:val="0"/>
      <w:divBdr>
        <w:top w:val="none" w:sz="0" w:space="0" w:color="auto"/>
        <w:left w:val="none" w:sz="0" w:space="0" w:color="auto"/>
        <w:bottom w:val="none" w:sz="0" w:space="0" w:color="auto"/>
        <w:right w:val="none" w:sz="0" w:space="0" w:color="auto"/>
      </w:divBdr>
    </w:div>
    <w:div w:id="989872172">
      <w:bodyDiv w:val="1"/>
      <w:marLeft w:val="0"/>
      <w:marRight w:val="0"/>
      <w:marTop w:val="0"/>
      <w:marBottom w:val="0"/>
      <w:divBdr>
        <w:top w:val="none" w:sz="0" w:space="0" w:color="auto"/>
        <w:left w:val="none" w:sz="0" w:space="0" w:color="auto"/>
        <w:bottom w:val="none" w:sz="0" w:space="0" w:color="auto"/>
        <w:right w:val="none" w:sz="0" w:space="0" w:color="auto"/>
      </w:divBdr>
    </w:div>
    <w:div w:id="990015560">
      <w:bodyDiv w:val="1"/>
      <w:marLeft w:val="0"/>
      <w:marRight w:val="0"/>
      <w:marTop w:val="0"/>
      <w:marBottom w:val="0"/>
      <w:divBdr>
        <w:top w:val="none" w:sz="0" w:space="0" w:color="auto"/>
        <w:left w:val="none" w:sz="0" w:space="0" w:color="auto"/>
        <w:bottom w:val="none" w:sz="0" w:space="0" w:color="auto"/>
        <w:right w:val="none" w:sz="0" w:space="0" w:color="auto"/>
      </w:divBdr>
    </w:div>
    <w:div w:id="990064229">
      <w:bodyDiv w:val="1"/>
      <w:marLeft w:val="0"/>
      <w:marRight w:val="0"/>
      <w:marTop w:val="0"/>
      <w:marBottom w:val="0"/>
      <w:divBdr>
        <w:top w:val="none" w:sz="0" w:space="0" w:color="auto"/>
        <w:left w:val="none" w:sz="0" w:space="0" w:color="auto"/>
        <w:bottom w:val="none" w:sz="0" w:space="0" w:color="auto"/>
        <w:right w:val="none" w:sz="0" w:space="0" w:color="auto"/>
      </w:divBdr>
    </w:div>
    <w:div w:id="990251745">
      <w:bodyDiv w:val="1"/>
      <w:marLeft w:val="0"/>
      <w:marRight w:val="0"/>
      <w:marTop w:val="0"/>
      <w:marBottom w:val="0"/>
      <w:divBdr>
        <w:top w:val="none" w:sz="0" w:space="0" w:color="auto"/>
        <w:left w:val="none" w:sz="0" w:space="0" w:color="auto"/>
        <w:bottom w:val="none" w:sz="0" w:space="0" w:color="auto"/>
        <w:right w:val="none" w:sz="0" w:space="0" w:color="auto"/>
      </w:divBdr>
    </w:div>
    <w:div w:id="990327961">
      <w:bodyDiv w:val="1"/>
      <w:marLeft w:val="0"/>
      <w:marRight w:val="0"/>
      <w:marTop w:val="0"/>
      <w:marBottom w:val="0"/>
      <w:divBdr>
        <w:top w:val="none" w:sz="0" w:space="0" w:color="auto"/>
        <w:left w:val="none" w:sz="0" w:space="0" w:color="auto"/>
        <w:bottom w:val="none" w:sz="0" w:space="0" w:color="auto"/>
        <w:right w:val="none" w:sz="0" w:space="0" w:color="auto"/>
      </w:divBdr>
    </w:div>
    <w:div w:id="990328622">
      <w:bodyDiv w:val="1"/>
      <w:marLeft w:val="0"/>
      <w:marRight w:val="0"/>
      <w:marTop w:val="0"/>
      <w:marBottom w:val="0"/>
      <w:divBdr>
        <w:top w:val="none" w:sz="0" w:space="0" w:color="auto"/>
        <w:left w:val="none" w:sz="0" w:space="0" w:color="auto"/>
        <w:bottom w:val="none" w:sz="0" w:space="0" w:color="auto"/>
        <w:right w:val="none" w:sz="0" w:space="0" w:color="auto"/>
      </w:divBdr>
    </w:div>
    <w:div w:id="990596281">
      <w:bodyDiv w:val="1"/>
      <w:marLeft w:val="0"/>
      <w:marRight w:val="0"/>
      <w:marTop w:val="0"/>
      <w:marBottom w:val="0"/>
      <w:divBdr>
        <w:top w:val="none" w:sz="0" w:space="0" w:color="auto"/>
        <w:left w:val="none" w:sz="0" w:space="0" w:color="auto"/>
        <w:bottom w:val="none" w:sz="0" w:space="0" w:color="auto"/>
        <w:right w:val="none" w:sz="0" w:space="0" w:color="auto"/>
      </w:divBdr>
    </w:div>
    <w:div w:id="990863723">
      <w:bodyDiv w:val="1"/>
      <w:marLeft w:val="0"/>
      <w:marRight w:val="0"/>
      <w:marTop w:val="0"/>
      <w:marBottom w:val="0"/>
      <w:divBdr>
        <w:top w:val="none" w:sz="0" w:space="0" w:color="auto"/>
        <w:left w:val="none" w:sz="0" w:space="0" w:color="auto"/>
        <w:bottom w:val="none" w:sz="0" w:space="0" w:color="auto"/>
        <w:right w:val="none" w:sz="0" w:space="0" w:color="auto"/>
      </w:divBdr>
    </w:div>
    <w:div w:id="990980397">
      <w:bodyDiv w:val="1"/>
      <w:marLeft w:val="0"/>
      <w:marRight w:val="0"/>
      <w:marTop w:val="0"/>
      <w:marBottom w:val="0"/>
      <w:divBdr>
        <w:top w:val="none" w:sz="0" w:space="0" w:color="auto"/>
        <w:left w:val="none" w:sz="0" w:space="0" w:color="auto"/>
        <w:bottom w:val="none" w:sz="0" w:space="0" w:color="auto"/>
        <w:right w:val="none" w:sz="0" w:space="0" w:color="auto"/>
      </w:divBdr>
    </w:div>
    <w:div w:id="990980822">
      <w:bodyDiv w:val="1"/>
      <w:marLeft w:val="0"/>
      <w:marRight w:val="0"/>
      <w:marTop w:val="0"/>
      <w:marBottom w:val="0"/>
      <w:divBdr>
        <w:top w:val="none" w:sz="0" w:space="0" w:color="auto"/>
        <w:left w:val="none" w:sz="0" w:space="0" w:color="auto"/>
        <w:bottom w:val="none" w:sz="0" w:space="0" w:color="auto"/>
        <w:right w:val="none" w:sz="0" w:space="0" w:color="auto"/>
      </w:divBdr>
    </w:div>
    <w:div w:id="990987525">
      <w:bodyDiv w:val="1"/>
      <w:marLeft w:val="0"/>
      <w:marRight w:val="0"/>
      <w:marTop w:val="0"/>
      <w:marBottom w:val="0"/>
      <w:divBdr>
        <w:top w:val="none" w:sz="0" w:space="0" w:color="auto"/>
        <w:left w:val="none" w:sz="0" w:space="0" w:color="auto"/>
        <w:bottom w:val="none" w:sz="0" w:space="0" w:color="auto"/>
        <w:right w:val="none" w:sz="0" w:space="0" w:color="auto"/>
      </w:divBdr>
    </w:div>
    <w:div w:id="991103808">
      <w:bodyDiv w:val="1"/>
      <w:marLeft w:val="0"/>
      <w:marRight w:val="0"/>
      <w:marTop w:val="0"/>
      <w:marBottom w:val="0"/>
      <w:divBdr>
        <w:top w:val="none" w:sz="0" w:space="0" w:color="auto"/>
        <w:left w:val="none" w:sz="0" w:space="0" w:color="auto"/>
        <w:bottom w:val="none" w:sz="0" w:space="0" w:color="auto"/>
        <w:right w:val="none" w:sz="0" w:space="0" w:color="auto"/>
      </w:divBdr>
    </w:div>
    <w:div w:id="991132059">
      <w:bodyDiv w:val="1"/>
      <w:marLeft w:val="0"/>
      <w:marRight w:val="0"/>
      <w:marTop w:val="0"/>
      <w:marBottom w:val="0"/>
      <w:divBdr>
        <w:top w:val="none" w:sz="0" w:space="0" w:color="auto"/>
        <w:left w:val="none" w:sz="0" w:space="0" w:color="auto"/>
        <w:bottom w:val="none" w:sz="0" w:space="0" w:color="auto"/>
        <w:right w:val="none" w:sz="0" w:space="0" w:color="auto"/>
      </w:divBdr>
    </w:div>
    <w:div w:id="991181520">
      <w:bodyDiv w:val="1"/>
      <w:marLeft w:val="0"/>
      <w:marRight w:val="0"/>
      <w:marTop w:val="0"/>
      <w:marBottom w:val="0"/>
      <w:divBdr>
        <w:top w:val="none" w:sz="0" w:space="0" w:color="auto"/>
        <w:left w:val="none" w:sz="0" w:space="0" w:color="auto"/>
        <w:bottom w:val="none" w:sz="0" w:space="0" w:color="auto"/>
        <w:right w:val="none" w:sz="0" w:space="0" w:color="auto"/>
      </w:divBdr>
    </w:div>
    <w:div w:id="991254108">
      <w:bodyDiv w:val="1"/>
      <w:marLeft w:val="0"/>
      <w:marRight w:val="0"/>
      <w:marTop w:val="0"/>
      <w:marBottom w:val="0"/>
      <w:divBdr>
        <w:top w:val="none" w:sz="0" w:space="0" w:color="auto"/>
        <w:left w:val="none" w:sz="0" w:space="0" w:color="auto"/>
        <w:bottom w:val="none" w:sz="0" w:space="0" w:color="auto"/>
        <w:right w:val="none" w:sz="0" w:space="0" w:color="auto"/>
      </w:divBdr>
    </w:div>
    <w:div w:id="991329156">
      <w:bodyDiv w:val="1"/>
      <w:marLeft w:val="0"/>
      <w:marRight w:val="0"/>
      <w:marTop w:val="0"/>
      <w:marBottom w:val="0"/>
      <w:divBdr>
        <w:top w:val="none" w:sz="0" w:space="0" w:color="auto"/>
        <w:left w:val="none" w:sz="0" w:space="0" w:color="auto"/>
        <w:bottom w:val="none" w:sz="0" w:space="0" w:color="auto"/>
        <w:right w:val="none" w:sz="0" w:space="0" w:color="auto"/>
      </w:divBdr>
    </w:div>
    <w:div w:id="991521441">
      <w:bodyDiv w:val="1"/>
      <w:marLeft w:val="0"/>
      <w:marRight w:val="0"/>
      <w:marTop w:val="0"/>
      <w:marBottom w:val="0"/>
      <w:divBdr>
        <w:top w:val="none" w:sz="0" w:space="0" w:color="auto"/>
        <w:left w:val="none" w:sz="0" w:space="0" w:color="auto"/>
        <w:bottom w:val="none" w:sz="0" w:space="0" w:color="auto"/>
        <w:right w:val="none" w:sz="0" w:space="0" w:color="auto"/>
      </w:divBdr>
    </w:div>
    <w:div w:id="991524377">
      <w:bodyDiv w:val="1"/>
      <w:marLeft w:val="0"/>
      <w:marRight w:val="0"/>
      <w:marTop w:val="0"/>
      <w:marBottom w:val="0"/>
      <w:divBdr>
        <w:top w:val="none" w:sz="0" w:space="0" w:color="auto"/>
        <w:left w:val="none" w:sz="0" w:space="0" w:color="auto"/>
        <w:bottom w:val="none" w:sz="0" w:space="0" w:color="auto"/>
        <w:right w:val="none" w:sz="0" w:space="0" w:color="auto"/>
      </w:divBdr>
    </w:div>
    <w:div w:id="991565573">
      <w:bodyDiv w:val="1"/>
      <w:marLeft w:val="0"/>
      <w:marRight w:val="0"/>
      <w:marTop w:val="0"/>
      <w:marBottom w:val="0"/>
      <w:divBdr>
        <w:top w:val="none" w:sz="0" w:space="0" w:color="auto"/>
        <w:left w:val="none" w:sz="0" w:space="0" w:color="auto"/>
        <w:bottom w:val="none" w:sz="0" w:space="0" w:color="auto"/>
        <w:right w:val="none" w:sz="0" w:space="0" w:color="auto"/>
      </w:divBdr>
    </w:div>
    <w:div w:id="991642219">
      <w:bodyDiv w:val="1"/>
      <w:marLeft w:val="0"/>
      <w:marRight w:val="0"/>
      <w:marTop w:val="0"/>
      <w:marBottom w:val="0"/>
      <w:divBdr>
        <w:top w:val="none" w:sz="0" w:space="0" w:color="auto"/>
        <w:left w:val="none" w:sz="0" w:space="0" w:color="auto"/>
        <w:bottom w:val="none" w:sz="0" w:space="0" w:color="auto"/>
        <w:right w:val="none" w:sz="0" w:space="0" w:color="auto"/>
      </w:divBdr>
    </w:div>
    <w:div w:id="991711962">
      <w:bodyDiv w:val="1"/>
      <w:marLeft w:val="0"/>
      <w:marRight w:val="0"/>
      <w:marTop w:val="0"/>
      <w:marBottom w:val="0"/>
      <w:divBdr>
        <w:top w:val="none" w:sz="0" w:space="0" w:color="auto"/>
        <w:left w:val="none" w:sz="0" w:space="0" w:color="auto"/>
        <w:bottom w:val="none" w:sz="0" w:space="0" w:color="auto"/>
        <w:right w:val="none" w:sz="0" w:space="0" w:color="auto"/>
      </w:divBdr>
    </w:div>
    <w:div w:id="991720067">
      <w:bodyDiv w:val="1"/>
      <w:marLeft w:val="0"/>
      <w:marRight w:val="0"/>
      <w:marTop w:val="0"/>
      <w:marBottom w:val="0"/>
      <w:divBdr>
        <w:top w:val="none" w:sz="0" w:space="0" w:color="auto"/>
        <w:left w:val="none" w:sz="0" w:space="0" w:color="auto"/>
        <w:bottom w:val="none" w:sz="0" w:space="0" w:color="auto"/>
        <w:right w:val="none" w:sz="0" w:space="0" w:color="auto"/>
      </w:divBdr>
    </w:div>
    <w:div w:id="991788731">
      <w:bodyDiv w:val="1"/>
      <w:marLeft w:val="0"/>
      <w:marRight w:val="0"/>
      <w:marTop w:val="0"/>
      <w:marBottom w:val="0"/>
      <w:divBdr>
        <w:top w:val="none" w:sz="0" w:space="0" w:color="auto"/>
        <w:left w:val="none" w:sz="0" w:space="0" w:color="auto"/>
        <w:bottom w:val="none" w:sz="0" w:space="0" w:color="auto"/>
        <w:right w:val="none" w:sz="0" w:space="0" w:color="auto"/>
      </w:divBdr>
    </w:div>
    <w:div w:id="991832168">
      <w:bodyDiv w:val="1"/>
      <w:marLeft w:val="0"/>
      <w:marRight w:val="0"/>
      <w:marTop w:val="0"/>
      <w:marBottom w:val="0"/>
      <w:divBdr>
        <w:top w:val="none" w:sz="0" w:space="0" w:color="auto"/>
        <w:left w:val="none" w:sz="0" w:space="0" w:color="auto"/>
        <w:bottom w:val="none" w:sz="0" w:space="0" w:color="auto"/>
        <w:right w:val="none" w:sz="0" w:space="0" w:color="auto"/>
      </w:divBdr>
    </w:div>
    <w:div w:id="991910758">
      <w:bodyDiv w:val="1"/>
      <w:marLeft w:val="0"/>
      <w:marRight w:val="0"/>
      <w:marTop w:val="0"/>
      <w:marBottom w:val="0"/>
      <w:divBdr>
        <w:top w:val="none" w:sz="0" w:space="0" w:color="auto"/>
        <w:left w:val="none" w:sz="0" w:space="0" w:color="auto"/>
        <w:bottom w:val="none" w:sz="0" w:space="0" w:color="auto"/>
        <w:right w:val="none" w:sz="0" w:space="0" w:color="auto"/>
      </w:divBdr>
    </w:div>
    <w:div w:id="991955408">
      <w:bodyDiv w:val="1"/>
      <w:marLeft w:val="0"/>
      <w:marRight w:val="0"/>
      <w:marTop w:val="0"/>
      <w:marBottom w:val="0"/>
      <w:divBdr>
        <w:top w:val="none" w:sz="0" w:space="0" w:color="auto"/>
        <w:left w:val="none" w:sz="0" w:space="0" w:color="auto"/>
        <w:bottom w:val="none" w:sz="0" w:space="0" w:color="auto"/>
        <w:right w:val="none" w:sz="0" w:space="0" w:color="auto"/>
      </w:divBdr>
    </w:div>
    <w:div w:id="991980614">
      <w:bodyDiv w:val="1"/>
      <w:marLeft w:val="0"/>
      <w:marRight w:val="0"/>
      <w:marTop w:val="0"/>
      <w:marBottom w:val="0"/>
      <w:divBdr>
        <w:top w:val="none" w:sz="0" w:space="0" w:color="auto"/>
        <w:left w:val="none" w:sz="0" w:space="0" w:color="auto"/>
        <w:bottom w:val="none" w:sz="0" w:space="0" w:color="auto"/>
        <w:right w:val="none" w:sz="0" w:space="0" w:color="auto"/>
      </w:divBdr>
    </w:div>
    <w:div w:id="992031496">
      <w:bodyDiv w:val="1"/>
      <w:marLeft w:val="0"/>
      <w:marRight w:val="0"/>
      <w:marTop w:val="0"/>
      <w:marBottom w:val="0"/>
      <w:divBdr>
        <w:top w:val="none" w:sz="0" w:space="0" w:color="auto"/>
        <w:left w:val="none" w:sz="0" w:space="0" w:color="auto"/>
        <w:bottom w:val="none" w:sz="0" w:space="0" w:color="auto"/>
        <w:right w:val="none" w:sz="0" w:space="0" w:color="auto"/>
      </w:divBdr>
    </w:div>
    <w:div w:id="992098114">
      <w:bodyDiv w:val="1"/>
      <w:marLeft w:val="0"/>
      <w:marRight w:val="0"/>
      <w:marTop w:val="0"/>
      <w:marBottom w:val="0"/>
      <w:divBdr>
        <w:top w:val="none" w:sz="0" w:space="0" w:color="auto"/>
        <w:left w:val="none" w:sz="0" w:space="0" w:color="auto"/>
        <w:bottom w:val="none" w:sz="0" w:space="0" w:color="auto"/>
        <w:right w:val="none" w:sz="0" w:space="0" w:color="auto"/>
      </w:divBdr>
    </w:div>
    <w:div w:id="992176257">
      <w:bodyDiv w:val="1"/>
      <w:marLeft w:val="0"/>
      <w:marRight w:val="0"/>
      <w:marTop w:val="0"/>
      <w:marBottom w:val="0"/>
      <w:divBdr>
        <w:top w:val="none" w:sz="0" w:space="0" w:color="auto"/>
        <w:left w:val="none" w:sz="0" w:space="0" w:color="auto"/>
        <w:bottom w:val="none" w:sz="0" w:space="0" w:color="auto"/>
        <w:right w:val="none" w:sz="0" w:space="0" w:color="auto"/>
      </w:divBdr>
    </w:div>
    <w:div w:id="992413207">
      <w:bodyDiv w:val="1"/>
      <w:marLeft w:val="0"/>
      <w:marRight w:val="0"/>
      <w:marTop w:val="0"/>
      <w:marBottom w:val="0"/>
      <w:divBdr>
        <w:top w:val="none" w:sz="0" w:space="0" w:color="auto"/>
        <w:left w:val="none" w:sz="0" w:space="0" w:color="auto"/>
        <w:bottom w:val="none" w:sz="0" w:space="0" w:color="auto"/>
        <w:right w:val="none" w:sz="0" w:space="0" w:color="auto"/>
      </w:divBdr>
    </w:div>
    <w:div w:id="992416771">
      <w:bodyDiv w:val="1"/>
      <w:marLeft w:val="0"/>
      <w:marRight w:val="0"/>
      <w:marTop w:val="0"/>
      <w:marBottom w:val="0"/>
      <w:divBdr>
        <w:top w:val="none" w:sz="0" w:space="0" w:color="auto"/>
        <w:left w:val="none" w:sz="0" w:space="0" w:color="auto"/>
        <w:bottom w:val="none" w:sz="0" w:space="0" w:color="auto"/>
        <w:right w:val="none" w:sz="0" w:space="0" w:color="auto"/>
      </w:divBdr>
    </w:div>
    <w:div w:id="992489100">
      <w:bodyDiv w:val="1"/>
      <w:marLeft w:val="0"/>
      <w:marRight w:val="0"/>
      <w:marTop w:val="0"/>
      <w:marBottom w:val="0"/>
      <w:divBdr>
        <w:top w:val="none" w:sz="0" w:space="0" w:color="auto"/>
        <w:left w:val="none" w:sz="0" w:space="0" w:color="auto"/>
        <w:bottom w:val="none" w:sz="0" w:space="0" w:color="auto"/>
        <w:right w:val="none" w:sz="0" w:space="0" w:color="auto"/>
      </w:divBdr>
    </w:div>
    <w:div w:id="992490658">
      <w:bodyDiv w:val="1"/>
      <w:marLeft w:val="0"/>
      <w:marRight w:val="0"/>
      <w:marTop w:val="0"/>
      <w:marBottom w:val="0"/>
      <w:divBdr>
        <w:top w:val="none" w:sz="0" w:space="0" w:color="auto"/>
        <w:left w:val="none" w:sz="0" w:space="0" w:color="auto"/>
        <w:bottom w:val="none" w:sz="0" w:space="0" w:color="auto"/>
        <w:right w:val="none" w:sz="0" w:space="0" w:color="auto"/>
      </w:divBdr>
    </w:div>
    <w:div w:id="992679276">
      <w:bodyDiv w:val="1"/>
      <w:marLeft w:val="0"/>
      <w:marRight w:val="0"/>
      <w:marTop w:val="0"/>
      <w:marBottom w:val="0"/>
      <w:divBdr>
        <w:top w:val="none" w:sz="0" w:space="0" w:color="auto"/>
        <w:left w:val="none" w:sz="0" w:space="0" w:color="auto"/>
        <w:bottom w:val="none" w:sz="0" w:space="0" w:color="auto"/>
        <w:right w:val="none" w:sz="0" w:space="0" w:color="auto"/>
      </w:divBdr>
    </w:div>
    <w:div w:id="992756623">
      <w:bodyDiv w:val="1"/>
      <w:marLeft w:val="0"/>
      <w:marRight w:val="0"/>
      <w:marTop w:val="0"/>
      <w:marBottom w:val="0"/>
      <w:divBdr>
        <w:top w:val="none" w:sz="0" w:space="0" w:color="auto"/>
        <w:left w:val="none" w:sz="0" w:space="0" w:color="auto"/>
        <w:bottom w:val="none" w:sz="0" w:space="0" w:color="auto"/>
        <w:right w:val="none" w:sz="0" w:space="0" w:color="auto"/>
      </w:divBdr>
    </w:div>
    <w:div w:id="992837208">
      <w:bodyDiv w:val="1"/>
      <w:marLeft w:val="0"/>
      <w:marRight w:val="0"/>
      <w:marTop w:val="0"/>
      <w:marBottom w:val="0"/>
      <w:divBdr>
        <w:top w:val="none" w:sz="0" w:space="0" w:color="auto"/>
        <w:left w:val="none" w:sz="0" w:space="0" w:color="auto"/>
        <w:bottom w:val="none" w:sz="0" w:space="0" w:color="auto"/>
        <w:right w:val="none" w:sz="0" w:space="0" w:color="auto"/>
      </w:divBdr>
    </w:div>
    <w:div w:id="992837381">
      <w:bodyDiv w:val="1"/>
      <w:marLeft w:val="0"/>
      <w:marRight w:val="0"/>
      <w:marTop w:val="0"/>
      <w:marBottom w:val="0"/>
      <w:divBdr>
        <w:top w:val="none" w:sz="0" w:space="0" w:color="auto"/>
        <w:left w:val="none" w:sz="0" w:space="0" w:color="auto"/>
        <w:bottom w:val="none" w:sz="0" w:space="0" w:color="auto"/>
        <w:right w:val="none" w:sz="0" w:space="0" w:color="auto"/>
      </w:divBdr>
    </w:div>
    <w:div w:id="993021956">
      <w:bodyDiv w:val="1"/>
      <w:marLeft w:val="0"/>
      <w:marRight w:val="0"/>
      <w:marTop w:val="0"/>
      <w:marBottom w:val="0"/>
      <w:divBdr>
        <w:top w:val="none" w:sz="0" w:space="0" w:color="auto"/>
        <w:left w:val="none" w:sz="0" w:space="0" w:color="auto"/>
        <w:bottom w:val="none" w:sz="0" w:space="0" w:color="auto"/>
        <w:right w:val="none" w:sz="0" w:space="0" w:color="auto"/>
      </w:divBdr>
    </w:div>
    <w:div w:id="993139726">
      <w:bodyDiv w:val="1"/>
      <w:marLeft w:val="0"/>
      <w:marRight w:val="0"/>
      <w:marTop w:val="0"/>
      <w:marBottom w:val="0"/>
      <w:divBdr>
        <w:top w:val="none" w:sz="0" w:space="0" w:color="auto"/>
        <w:left w:val="none" w:sz="0" w:space="0" w:color="auto"/>
        <w:bottom w:val="none" w:sz="0" w:space="0" w:color="auto"/>
        <w:right w:val="none" w:sz="0" w:space="0" w:color="auto"/>
      </w:divBdr>
    </w:div>
    <w:div w:id="993217516">
      <w:bodyDiv w:val="1"/>
      <w:marLeft w:val="0"/>
      <w:marRight w:val="0"/>
      <w:marTop w:val="0"/>
      <w:marBottom w:val="0"/>
      <w:divBdr>
        <w:top w:val="none" w:sz="0" w:space="0" w:color="auto"/>
        <w:left w:val="none" w:sz="0" w:space="0" w:color="auto"/>
        <w:bottom w:val="none" w:sz="0" w:space="0" w:color="auto"/>
        <w:right w:val="none" w:sz="0" w:space="0" w:color="auto"/>
      </w:divBdr>
    </w:div>
    <w:div w:id="993266287">
      <w:bodyDiv w:val="1"/>
      <w:marLeft w:val="0"/>
      <w:marRight w:val="0"/>
      <w:marTop w:val="0"/>
      <w:marBottom w:val="0"/>
      <w:divBdr>
        <w:top w:val="none" w:sz="0" w:space="0" w:color="auto"/>
        <w:left w:val="none" w:sz="0" w:space="0" w:color="auto"/>
        <w:bottom w:val="none" w:sz="0" w:space="0" w:color="auto"/>
        <w:right w:val="none" w:sz="0" w:space="0" w:color="auto"/>
      </w:divBdr>
    </w:div>
    <w:div w:id="993290579">
      <w:bodyDiv w:val="1"/>
      <w:marLeft w:val="0"/>
      <w:marRight w:val="0"/>
      <w:marTop w:val="0"/>
      <w:marBottom w:val="0"/>
      <w:divBdr>
        <w:top w:val="none" w:sz="0" w:space="0" w:color="auto"/>
        <w:left w:val="none" w:sz="0" w:space="0" w:color="auto"/>
        <w:bottom w:val="none" w:sz="0" w:space="0" w:color="auto"/>
        <w:right w:val="none" w:sz="0" w:space="0" w:color="auto"/>
      </w:divBdr>
    </w:div>
    <w:div w:id="993339325">
      <w:bodyDiv w:val="1"/>
      <w:marLeft w:val="0"/>
      <w:marRight w:val="0"/>
      <w:marTop w:val="0"/>
      <w:marBottom w:val="0"/>
      <w:divBdr>
        <w:top w:val="none" w:sz="0" w:space="0" w:color="auto"/>
        <w:left w:val="none" w:sz="0" w:space="0" w:color="auto"/>
        <w:bottom w:val="none" w:sz="0" w:space="0" w:color="auto"/>
        <w:right w:val="none" w:sz="0" w:space="0" w:color="auto"/>
      </w:divBdr>
    </w:div>
    <w:div w:id="993485093">
      <w:bodyDiv w:val="1"/>
      <w:marLeft w:val="0"/>
      <w:marRight w:val="0"/>
      <w:marTop w:val="0"/>
      <w:marBottom w:val="0"/>
      <w:divBdr>
        <w:top w:val="none" w:sz="0" w:space="0" w:color="auto"/>
        <w:left w:val="none" w:sz="0" w:space="0" w:color="auto"/>
        <w:bottom w:val="none" w:sz="0" w:space="0" w:color="auto"/>
        <w:right w:val="none" w:sz="0" w:space="0" w:color="auto"/>
      </w:divBdr>
    </w:div>
    <w:div w:id="993487522">
      <w:bodyDiv w:val="1"/>
      <w:marLeft w:val="0"/>
      <w:marRight w:val="0"/>
      <w:marTop w:val="0"/>
      <w:marBottom w:val="0"/>
      <w:divBdr>
        <w:top w:val="none" w:sz="0" w:space="0" w:color="auto"/>
        <w:left w:val="none" w:sz="0" w:space="0" w:color="auto"/>
        <w:bottom w:val="none" w:sz="0" w:space="0" w:color="auto"/>
        <w:right w:val="none" w:sz="0" w:space="0" w:color="auto"/>
      </w:divBdr>
    </w:div>
    <w:div w:id="993491292">
      <w:bodyDiv w:val="1"/>
      <w:marLeft w:val="0"/>
      <w:marRight w:val="0"/>
      <w:marTop w:val="0"/>
      <w:marBottom w:val="0"/>
      <w:divBdr>
        <w:top w:val="none" w:sz="0" w:space="0" w:color="auto"/>
        <w:left w:val="none" w:sz="0" w:space="0" w:color="auto"/>
        <w:bottom w:val="none" w:sz="0" w:space="0" w:color="auto"/>
        <w:right w:val="none" w:sz="0" w:space="0" w:color="auto"/>
      </w:divBdr>
    </w:div>
    <w:div w:id="993529093">
      <w:bodyDiv w:val="1"/>
      <w:marLeft w:val="0"/>
      <w:marRight w:val="0"/>
      <w:marTop w:val="0"/>
      <w:marBottom w:val="0"/>
      <w:divBdr>
        <w:top w:val="none" w:sz="0" w:space="0" w:color="auto"/>
        <w:left w:val="none" w:sz="0" w:space="0" w:color="auto"/>
        <w:bottom w:val="none" w:sz="0" w:space="0" w:color="auto"/>
        <w:right w:val="none" w:sz="0" w:space="0" w:color="auto"/>
      </w:divBdr>
    </w:div>
    <w:div w:id="993532882">
      <w:bodyDiv w:val="1"/>
      <w:marLeft w:val="0"/>
      <w:marRight w:val="0"/>
      <w:marTop w:val="0"/>
      <w:marBottom w:val="0"/>
      <w:divBdr>
        <w:top w:val="none" w:sz="0" w:space="0" w:color="auto"/>
        <w:left w:val="none" w:sz="0" w:space="0" w:color="auto"/>
        <w:bottom w:val="none" w:sz="0" w:space="0" w:color="auto"/>
        <w:right w:val="none" w:sz="0" w:space="0" w:color="auto"/>
      </w:divBdr>
    </w:div>
    <w:div w:id="993685467">
      <w:bodyDiv w:val="1"/>
      <w:marLeft w:val="0"/>
      <w:marRight w:val="0"/>
      <w:marTop w:val="0"/>
      <w:marBottom w:val="0"/>
      <w:divBdr>
        <w:top w:val="none" w:sz="0" w:space="0" w:color="auto"/>
        <w:left w:val="none" w:sz="0" w:space="0" w:color="auto"/>
        <w:bottom w:val="none" w:sz="0" w:space="0" w:color="auto"/>
        <w:right w:val="none" w:sz="0" w:space="0" w:color="auto"/>
      </w:divBdr>
    </w:div>
    <w:div w:id="993722899">
      <w:bodyDiv w:val="1"/>
      <w:marLeft w:val="0"/>
      <w:marRight w:val="0"/>
      <w:marTop w:val="0"/>
      <w:marBottom w:val="0"/>
      <w:divBdr>
        <w:top w:val="none" w:sz="0" w:space="0" w:color="auto"/>
        <w:left w:val="none" w:sz="0" w:space="0" w:color="auto"/>
        <w:bottom w:val="none" w:sz="0" w:space="0" w:color="auto"/>
        <w:right w:val="none" w:sz="0" w:space="0" w:color="auto"/>
      </w:divBdr>
    </w:div>
    <w:div w:id="993722906">
      <w:bodyDiv w:val="1"/>
      <w:marLeft w:val="0"/>
      <w:marRight w:val="0"/>
      <w:marTop w:val="0"/>
      <w:marBottom w:val="0"/>
      <w:divBdr>
        <w:top w:val="none" w:sz="0" w:space="0" w:color="auto"/>
        <w:left w:val="none" w:sz="0" w:space="0" w:color="auto"/>
        <w:bottom w:val="none" w:sz="0" w:space="0" w:color="auto"/>
        <w:right w:val="none" w:sz="0" w:space="0" w:color="auto"/>
      </w:divBdr>
    </w:div>
    <w:div w:id="993726506">
      <w:bodyDiv w:val="1"/>
      <w:marLeft w:val="0"/>
      <w:marRight w:val="0"/>
      <w:marTop w:val="0"/>
      <w:marBottom w:val="0"/>
      <w:divBdr>
        <w:top w:val="none" w:sz="0" w:space="0" w:color="auto"/>
        <w:left w:val="none" w:sz="0" w:space="0" w:color="auto"/>
        <w:bottom w:val="none" w:sz="0" w:space="0" w:color="auto"/>
        <w:right w:val="none" w:sz="0" w:space="0" w:color="auto"/>
      </w:divBdr>
    </w:div>
    <w:div w:id="993799788">
      <w:bodyDiv w:val="1"/>
      <w:marLeft w:val="0"/>
      <w:marRight w:val="0"/>
      <w:marTop w:val="0"/>
      <w:marBottom w:val="0"/>
      <w:divBdr>
        <w:top w:val="none" w:sz="0" w:space="0" w:color="auto"/>
        <w:left w:val="none" w:sz="0" w:space="0" w:color="auto"/>
        <w:bottom w:val="none" w:sz="0" w:space="0" w:color="auto"/>
        <w:right w:val="none" w:sz="0" w:space="0" w:color="auto"/>
      </w:divBdr>
    </w:div>
    <w:div w:id="993800035">
      <w:bodyDiv w:val="1"/>
      <w:marLeft w:val="0"/>
      <w:marRight w:val="0"/>
      <w:marTop w:val="0"/>
      <w:marBottom w:val="0"/>
      <w:divBdr>
        <w:top w:val="none" w:sz="0" w:space="0" w:color="auto"/>
        <w:left w:val="none" w:sz="0" w:space="0" w:color="auto"/>
        <w:bottom w:val="none" w:sz="0" w:space="0" w:color="auto"/>
        <w:right w:val="none" w:sz="0" w:space="0" w:color="auto"/>
      </w:divBdr>
    </w:div>
    <w:div w:id="993869824">
      <w:bodyDiv w:val="1"/>
      <w:marLeft w:val="0"/>
      <w:marRight w:val="0"/>
      <w:marTop w:val="0"/>
      <w:marBottom w:val="0"/>
      <w:divBdr>
        <w:top w:val="none" w:sz="0" w:space="0" w:color="auto"/>
        <w:left w:val="none" w:sz="0" w:space="0" w:color="auto"/>
        <w:bottom w:val="none" w:sz="0" w:space="0" w:color="auto"/>
        <w:right w:val="none" w:sz="0" w:space="0" w:color="auto"/>
      </w:divBdr>
    </w:div>
    <w:div w:id="993951321">
      <w:bodyDiv w:val="1"/>
      <w:marLeft w:val="0"/>
      <w:marRight w:val="0"/>
      <w:marTop w:val="0"/>
      <w:marBottom w:val="0"/>
      <w:divBdr>
        <w:top w:val="none" w:sz="0" w:space="0" w:color="auto"/>
        <w:left w:val="none" w:sz="0" w:space="0" w:color="auto"/>
        <w:bottom w:val="none" w:sz="0" w:space="0" w:color="auto"/>
        <w:right w:val="none" w:sz="0" w:space="0" w:color="auto"/>
      </w:divBdr>
    </w:div>
    <w:div w:id="993989508">
      <w:bodyDiv w:val="1"/>
      <w:marLeft w:val="0"/>
      <w:marRight w:val="0"/>
      <w:marTop w:val="0"/>
      <w:marBottom w:val="0"/>
      <w:divBdr>
        <w:top w:val="none" w:sz="0" w:space="0" w:color="auto"/>
        <w:left w:val="none" w:sz="0" w:space="0" w:color="auto"/>
        <w:bottom w:val="none" w:sz="0" w:space="0" w:color="auto"/>
        <w:right w:val="none" w:sz="0" w:space="0" w:color="auto"/>
      </w:divBdr>
    </w:div>
    <w:div w:id="994141998">
      <w:bodyDiv w:val="1"/>
      <w:marLeft w:val="0"/>
      <w:marRight w:val="0"/>
      <w:marTop w:val="0"/>
      <w:marBottom w:val="0"/>
      <w:divBdr>
        <w:top w:val="none" w:sz="0" w:space="0" w:color="auto"/>
        <w:left w:val="none" w:sz="0" w:space="0" w:color="auto"/>
        <w:bottom w:val="none" w:sz="0" w:space="0" w:color="auto"/>
        <w:right w:val="none" w:sz="0" w:space="0" w:color="auto"/>
      </w:divBdr>
    </w:div>
    <w:div w:id="994144187">
      <w:bodyDiv w:val="1"/>
      <w:marLeft w:val="0"/>
      <w:marRight w:val="0"/>
      <w:marTop w:val="0"/>
      <w:marBottom w:val="0"/>
      <w:divBdr>
        <w:top w:val="none" w:sz="0" w:space="0" w:color="auto"/>
        <w:left w:val="none" w:sz="0" w:space="0" w:color="auto"/>
        <w:bottom w:val="none" w:sz="0" w:space="0" w:color="auto"/>
        <w:right w:val="none" w:sz="0" w:space="0" w:color="auto"/>
      </w:divBdr>
    </w:div>
    <w:div w:id="994187079">
      <w:bodyDiv w:val="1"/>
      <w:marLeft w:val="0"/>
      <w:marRight w:val="0"/>
      <w:marTop w:val="0"/>
      <w:marBottom w:val="0"/>
      <w:divBdr>
        <w:top w:val="none" w:sz="0" w:space="0" w:color="auto"/>
        <w:left w:val="none" w:sz="0" w:space="0" w:color="auto"/>
        <w:bottom w:val="none" w:sz="0" w:space="0" w:color="auto"/>
        <w:right w:val="none" w:sz="0" w:space="0" w:color="auto"/>
      </w:divBdr>
    </w:div>
    <w:div w:id="994260771">
      <w:bodyDiv w:val="1"/>
      <w:marLeft w:val="0"/>
      <w:marRight w:val="0"/>
      <w:marTop w:val="0"/>
      <w:marBottom w:val="0"/>
      <w:divBdr>
        <w:top w:val="none" w:sz="0" w:space="0" w:color="auto"/>
        <w:left w:val="none" w:sz="0" w:space="0" w:color="auto"/>
        <w:bottom w:val="none" w:sz="0" w:space="0" w:color="auto"/>
        <w:right w:val="none" w:sz="0" w:space="0" w:color="auto"/>
      </w:divBdr>
    </w:div>
    <w:div w:id="994261083">
      <w:bodyDiv w:val="1"/>
      <w:marLeft w:val="0"/>
      <w:marRight w:val="0"/>
      <w:marTop w:val="0"/>
      <w:marBottom w:val="0"/>
      <w:divBdr>
        <w:top w:val="none" w:sz="0" w:space="0" w:color="auto"/>
        <w:left w:val="none" w:sz="0" w:space="0" w:color="auto"/>
        <w:bottom w:val="none" w:sz="0" w:space="0" w:color="auto"/>
        <w:right w:val="none" w:sz="0" w:space="0" w:color="auto"/>
      </w:divBdr>
    </w:div>
    <w:div w:id="994450246">
      <w:bodyDiv w:val="1"/>
      <w:marLeft w:val="0"/>
      <w:marRight w:val="0"/>
      <w:marTop w:val="0"/>
      <w:marBottom w:val="0"/>
      <w:divBdr>
        <w:top w:val="none" w:sz="0" w:space="0" w:color="auto"/>
        <w:left w:val="none" w:sz="0" w:space="0" w:color="auto"/>
        <w:bottom w:val="none" w:sz="0" w:space="0" w:color="auto"/>
        <w:right w:val="none" w:sz="0" w:space="0" w:color="auto"/>
      </w:divBdr>
    </w:div>
    <w:div w:id="994530543">
      <w:bodyDiv w:val="1"/>
      <w:marLeft w:val="0"/>
      <w:marRight w:val="0"/>
      <w:marTop w:val="0"/>
      <w:marBottom w:val="0"/>
      <w:divBdr>
        <w:top w:val="none" w:sz="0" w:space="0" w:color="auto"/>
        <w:left w:val="none" w:sz="0" w:space="0" w:color="auto"/>
        <w:bottom w:val="none" w:sz="0" w:space="0" w:color="auto"/>
        <w:right w:val="none" w:sz="0" w:space="0" w:color="auto"/>
      </w:divBdr>
    </w:div>
    <w:div w:id="994601420">
      <w:bodyDiv w:val="1"/>
      <w:marLeft w:val="0"/>
      <w:marRight w:val="0"/>
      <w:marTop w:val="0"/>
      <w:marBottom w:val="0"/>
      <w:divBdr>
        <w:top w:val="none" w:sz="0" w:space="0" w:color="auto"/>
        <w:left w:val="none" w:sz="0" w:space="0" w:color="auto"/>
        <w:bottom w:val="none" w:sz="0" w:space="0" w:color="auto"/>
        <w:right w:val="none" w:sz="0" w:space="0" w:color="auto"/>
      </w:divBdr>
    </w:div>
    <w:div w:id="994794834">
      <w:bodyDiv w:val="1"/>
      <w:marLeft w:val="0"/>
      <w:marRight w:val="0"/>
      <w:marTop w:val="0"/>
      <w:marBottom w:val="0"/>
      <w:divBdr>
        <w:top w:val="none" w:sz="0" w:space="0" w:color="auto"/>
        <w:left w:val="none" w:sz="0" w:space="0" w:color="auto"/>
        <w:bottom w:val="none" w:sz="0" w:space="0" w:color="auto"/>
        <w:right w:val="none" w:sz="0" w:space="0" w:color="auto"/>
      </w:divBdr>
    </w:div>
    <w:div w:id="994845345">
      <w:bodyDiv w:val="1"/>
      <w:marLeft w:val="0"/>
      <w:marRight w:val="0"/>
      <w:marTop w:val="0"/>
      <w:marBottom w:val="0"/>
      <w:divBdr>
        <w:top w:val="none" w:sz="0" w:space="0" w:color="auto"/>
        <w:left w:val="none" w:sz="0" w:space="0" w:color="auto"/>
        <w:bottom w:val="none" w:sz="0" w:space="0" w:color="auto"/>
        <w:right w:val="none" w:sz="0" w:space="0" w:color="auto"/>
      </w:divBdr>
    </w:div>
    <w:div w:id="994993858">
      <w:bodyDiv w:val="1"/>
      <w:marLeft w:val="0"/>
      <w:marRight w:val="0"/>
      <w:marTop w:val="0"/>
      <w:marBottom w:val="0"/>
      <w:divBdr>
        <w:top w:val="none" w:sz="0" w:space="0" w:color="auto"/>
        <w:left w:val="none" w:sz="0" w:space="0" w:color="auto"/>
        <w:bottom w:val="none" w:sz="0" w:space="0" w:color="auto"/>
        <w:right w:val="none" w:sz="0" w:space="0" w:color="auto"/>
      </w:divBdr>
    </w:div>
    <w:div w:id="995106104">
      <w:bodyDiv w:val="1"/>
      <w:marLeft w:val="0"/>
      <w:marRight w:val="0"/>
      <w:marTop w:val="0"/>
      <w:marBottom w:val="0"/>
      <w:divBdr>
        <w:top w:val="none" w:sz="0" w:space="0" w:color="auto"/>
        <w:left w:val="none" w:sz="0" w:space="0" w:color="auto"/>
        <w:bottom w:val="none" w:sz="0" w:space="0" w:color="auto"/>
        <w:right w:val="none" w:sz="0" w:space="0" w:color="auto"/>
      </w:divBdr>
    </w:div>
    <w:div w:id="995108988">
      <w:bodyDiv w:val="1"/>
      <w:marLeft w:val="0"/>
      <w:marRight w:val="0"/>
      <w:marTop w:val="0"/>
      <w:marBottom w:val="0"/>
      <w:divBdr>
        <w:top w:val="none" w:sz="0" w:space="0" w:color="auto"/>
        <w:left w:val="none" w:sz="0" w:space="0" w:color="auto"/>
        <w:bottom w:val="none" w:sz="0" w:space="0" w:color="auto"/>
        <w:right w:val="none" w:sz="0" w:space="0" w:color="auto"/>
      </w:divBdr>
    </w:div>
    <w:div w:id="995189060">
      <w:bodyDiv w:val="1"/>
      <w:marLeft w:val="0"/>
      <w:marRight w:val="0"/>
      <w:marTop w:val="0"/>
      <w:marBottom w:val="0"/>
      <w:divBdr>
        <w:top w:val="none" w:sz="0" w:space="0" w:color="auto"/>
        <w:left w:val="none" w:sz="0" w:space="0" w:color="auto"/>
        <w:bottom w:val="none" w:sz="0" w:space="0" w:color="auto"/>
        <w:right w:val="none" w:sz="0" w:space="0" w:color="auto"/>
      </w:divBdr>
    </w:div>
    <w:div w:id="995189615">
      <w:bodyDiv w:val="1"/>
      <w:marLeft w:val="0"/>
      <w:marRight w:val="0"/>
      <w:marTop w:val="0"/>
      <w:marBottom w:val="0"/>
      <w:divBdr>
        <w:top w:val="none" w:sz="0" w:space="0" w:color="auto"/>
        <w:left w:val="none" w:sz="0" w:space="0" w:color="auto"/>
        <w:bottom w:val="none" w:sz="0" w:space="0" w:color="auto"/>
        <w:right w:val="none" w:sz="0" w:space="0" w:color="auto"/>
      </w:divBdr>
    </w:div>
    <w:div w:id="995301945">
      <w:bodyDiv w:val="1"/>
      <w:marLeft w:val="0"/>
      <w:marRight w:val="0"/>
      <w:marTop w:val="0"/>
      <w:marBottom w:val="0"/>
      <w:divBdr>
        <w:top w:val="none" w:sz="0" w:space="0" w:color="auto"/>
        <w:left w:val="none" w:sz="0" w:space="0" w:color="auto"/>
        <w:bottom w:val="none" w:sz="0" w:space="0" w:color="auto"/>
        <w:right w:val="none" w:sz="0" w:space="0" w:color="auto"/>
      </w:divBdr>
    </w:div>
    <w:div w:id="995373949">
      <w:bodyDiv w:val="1"/>
      <w:marLeft w:val="0"/>
      <w:marRight w:val="0"/>
      <w:marTop w:val="0"/>
      <w:marBottom w:val="0"/>
      <w:divBdr>
        <w:top w:val="none" w:sz="0" w:space="0" w:color="auto"/>
        <w:left w:val="none" w:sz="0" w:space="0" w:color="auto"/>
        <w:bottom w:val="none" w:sz="0" w:space="0" w:color="auto"/>
        <w:right w:val="none" w:sz="0" w:space="0" w:color="auto"/>
      </w:divBdr>
    </w:div>
    <w:div w:id="995378054">
      <w:bodyDiv w:val="1"/>
      <w:marLeft w:val="0"/>
      <w:marRight w:val="0"/>
      <w:marTop w:val="0"/>
      <w:marBottom w:val="0"/>
      <w:divBdr>
        <w:top w:val="none" w:sz="0" w:space="0" w:color="auto"/>
        <w:left w:val="none" w:sz="0" w:space="0" w:color="auto"/>
        <w:bottom w:val="none" w:sz="0" w:space="0" w:color="auto"/>
        <w:right w:val="none" w:sz="0" w:space="0" w:color="auto"/>
      </w:divBdr>
    </w:div>
    <w:div w:id="995382508">
      <w:bodyDiv w:val="1"/>
      <w:marLeft w:val="0"/>
      <w:marRight w:val="0"/>
      <w:marTop w:val="0"/>
      <w:marBottom w:val="0"/>
      <w:divBdr>
        <w:top w:val="none" w:sz="0" w:space="0" w:color="auto"/>
        <w:left w:val="none" w:sz="0" w:space="0" w:color="auto"/>
        <w:bottom w:val="none" w:sz="0" w:space="0" w:color="auto"/>
        <w:right w:val="none" w:sz="0" w:space="0" w:color="auto"/>
      </w:divBdr>
    </w:div>
    <w:div w:id="995451799">
      <w:bodyDiv w:val="1"/>
      <w:marLeft w:val="0"/>
      <w:marRight w:val="0"/>
      <w:marTop w:val="0"/>
      <w:marBottom w:val="0"/>
      <w:divBdr>
        <w:top w:val="none" w:sz="0" w:space="0" w:color="auto"/>
        <w:left w:val="none" w:sz="0" w:space="0" w:color="auto"/>
        <w:bottom w:val="none" w:sz="0" w:space="0" w:color="auto"/>
        <w:right w:val="none" w:sz="0" w:space="0" w:color="auto"/>
      </w:divBdr>
    </w:div>
    <w:div w:id="995493070">
      <w:bodyDiv w:val="1"/>
      <w:marLeft w:val="0"/>
      <w:marRight w:val="0"/>
      <w:marTop w:val="0"/>
      <w:marBottom w:val="0"/>
      <w:divBdr>
        <w:top w:val="none" w:sz="0" w:space="0" w:color="auto"/>
        <w:left w:val="none" w:sz="0" w:space="0" w:color="auto"/>
        <w:bottom w:val="none" w:sz="0" w:space="0" w:color="auto"/>
        <w:right w:val="none" w:sz="0" w:space="0" w:color="auto"/>
      </w:divBdr>
    </w:div>
    <w:div w:id="995493992">
      <w:bodyDiv w:val="1"/>
      <w:marLeft w:val="0"/>
      <w:marRight w:val="0"/>
      <w:marTop w:val="0"/>
      <w:marBottom w:val="0"/>
      <w:divBdr>
        <w:top w:val="none" w:sz="0" w:space="0" w:color="auto"/>
        <w:left w:val="none" w:sz="0" w:space="0" w:color="auto"/>
        <w:bottom w:val="none" w:sz="0" w:space="0" w:color="auto"/>
        <w:right w:val="none" w:sz="0" w:space="0" w:color="auto"/>
      </w:divBdr>
    </w:div>
    <w:div w:id="995838317">
      <w:bodyDiv w:val="1"/>
      <w:marLeft w:val="0"/>
      <w:marRight w:val="0"/>
      <w:marTop w:val="0"/>
      <w:marBottom w:val="0"/>
      <w:divBdr>
        <w:top w:val="none" w:sz="0" w:space="0" w:color="auto"/>
        <w:left w:val="none" w:sz="0" w:space="0" w:color="auto"/>
        <w:bottom w:val="none" w:sz="0" w:space="0" w:color="auto"/>
        <w:right w:val="none" w:sz="0" w:space="0" w:color="auto"/>
      </w:divBdr>
    </w:div>
    <w:div w:id="995839085">
      <w:bodyDiv w:val="1"/>
      <w:marLeft w:val="0"/>
      <w:marRight w:val="0"/>
      <w:marTop w:val="0"/>
      <w:marBottom w:val="0"/>
      <w:divBdr>
        <w:top w:val="none" w:sz="0" w:space="0" w:color="auto"/>
        <w:left w:val="none" w:sz="0" w:space="0" w:color="auto"/>
        <w:bottom w:val="none" w:sz="0" w:space="0" w:color="auto"/>
        <w:right w:val="none" w:sz="0" w:space="0" w:color="auto"/>
      </w:divBdr>
    </w:div>
    <w:div w:id="995886200">
      <w:bodyDiv w:val="1"/>
      <w:marLeft w:val="0"/>
      <w:marRight w:val="0"/>
      <w:marTop w:val="0"/>
      <w:marBottom w:val="0"/>
      <w:divBdr>
        <w:top w:val="none" w:sz="0" w:space="0" w:color="auto"/>
        <w:left w:val="none" w:sz="0" w:space="0" w:color="auto"/>
        <w:bottom w:val="none" w:sz="0" w:space="0" w:color="auto"/>
        <w:right w:val="none" w:sz="0" w:space="0" w:color="auto"/>
      </w:divBdr>
    </w:div>
    <w:div w:id="995917379">
      <w:bodyDiv w:val="1"/>
      <w:marLeft w:val="0"/>
      <w:marRight w:val="0"/>
      <w:marTop w:val="0"/>
      <w:marBottom w:val="0"/>
      <w:divBdr>
        <w:top w:val="none" w:sz="0" w:space="0" w:color="auto"/>
        <w:left w:val="none" w:sz="0" w:space="0" w:color="auto"/>
        <w:bottom w:val="none" w:sz="0" w:space="0" w:color="auto"/>
        <w:right w:val="none" w:sz="0" w:space="0" w:color="auto"/>
      </w:divBdr>
    </w:div>
    <w:div w:id="995958489">
      <w:bodyDiv w:val="1"/>
      <w:marLeft w:val="0"/>
      <w:marRight w:val="0"/>
      <w:marTop w:val="0"/>
      <w:marBottom w:val="0"/>
      <w:divBdr>
        <w:top w:val="none" w:sz="0" w:space="0" w:color="auto"/>
        <w:left w:val="none" w:sz="0" w:space="0" w:color="auto"/>
        <w:bottom w:val="none" w:sz="0" w:space="0" w:color="auto"/>
        <w:right w:val="none" w:sz="0" w:space="0" w:color="auto"/>
      </w:divBdr>
    </w:div>
    <w:div w:id="995963226">
      <w:bodyDiv w:val="1"/>
      <w:marLeft w:val="0"/>
      <w:marRight w:val="0"/>
      <w:marTop w:val="0"/>
      <w:marBottom w:val="0"/>
      <w:divBdr>
        <w:top w:val="none" w:sz="0" w:space="0" w:color="auto"/>
        <w:left w:val="none" w:sz="0" w:space="0" w:color="auto"/>
        <w:bottom w:val="none" w:sz="0" w:space="0" w:color="auto"/>
        <w:right w:val="none" w:sz="0" w:space="0" w:color="auto"/>
      </w:divBdr>
    </w:div>
    <w:div w:id="996108718">
      <w:bodyDiv w:val="1"/>
      <w:marLeft w:val="0"/>
      <w:marRight w:val="0"/>
      <w:marTop w:val="0"/>
      <w:marBottom w:val="0"/>
      <w:divBdr>
        <w:top w:val="none" w:sz="0" w:space="0" w:color="auto"/>
        <w:left w:val="none" w:sz="0" w:space="0" w:color="auto"/>
        <w:bottom w:val="none" w:sz="0" w:space="0" w:color="auto"/>
        <w:right w:val="none" w:sz="0" w:space="0" w:color="auto"/>
      </w:divBdr>
    </w:div>
    <w:div w:id="996224184">
      <w:bodyDiv w:val="1"/>
      <w:marLeft w:val="0"/>
      <w:marRight w:val="0"/>
      <w:marTop w:val="0"/>
      <w:marBottom w:val="0"/>
      <w:divBdr>
        <w:top w:val="none" w:sz="0" w:space="0" w:color="auto"/>
        <w:left w:val="none" w:sz="0" w:space="0" w:color="auto"/>
        <w:bottom w:val="none" w:sz="0" w:space="0" w:color="auto"/>
        <w:right w:val="none" w:sz="0" w:space="0" w:color="auto"/>
      </w:divBdr>
    </w:div>
    <w:div w:id="996225761">
      <w:bodyDiv w:val="1"/>
      <w:marLeft w:val="0"/>
      <w:marRight w:val="0"/>
      <w:marTop w:val="0"/>
      <w:marBottom w:val="0"/>
      <w:divBdr>
        <w:top w:val="none" w:sz="0" w:space="0" w:color="auto"/>
        <w:left w:val="none" w:sz="0" w:space="0" w:color="auto"/>
        <w:bottom w:val="none" w:sz="0" w:space="0" w:color="auto"/>
        <w:right w:val="none" w:sz="0" w:space="0" w:color="auto"/>
      </w:divBdr>
    </w:div>
    <w:div w:id="996344442">
      <w:bodyDiv w:val="1"/>
      <w:marLeft w:val="0"/>
      <w:marRight w:val="0"/>
      <w:marTop w:val="0"/>
      <w:marBottom w:val="0"/>
      <w:divBdr>
        <w:top w:val="none" w:sz="0" w:space="0" w:color="auto"/>
        <w:left w:val="none" w:sz="0" w:space="0" w:color="auto"/>
        <w:bottom w:val="none" w:sz="0" w:space="0" w:color="auto"/>
        <w:right w:val="none" w:sz="0" w:space="0" w:color="auto"/>
      </w:divBdr>
    </w:div>
    <w:div w:id="996422011">
      <w:bodyDiv w:val="1"/>
      <w:marLeft w:val="0"/>
      <w:marRight w:val="0"/>
      <w:marTop w:val="0"/>
      <w:marBottom w:val="0"/>
      <w:divBdr>
        <w:top w:val="none" w:sz="0" w:space="0" w:color="auto"/>
        <w:left w:val="none" w:sz="0" w:space="0" w:color="auto"/>
        <w:bottom w:val="none" w:sz="0" w:space="0" w:color="auto"/>
        <w:right w:val="none" w:sz="0" w:space="0" w:color="auto"/>
      </w:divBdr>
    </w:div>
    <w:div w:id="996422811">
      <w:bodyDiv w:val="1"/>
      <w:marLeft w:val="0"/>
      <w:marRight w:val="0"/>
      <w:marTop w:val="0"/>
      <w:marBottom w:val="0"/>
      <w:divBdr>
        <w:top w:val="none" w:sz="0" w:space="0" w:color="auto"/>
        <w:left w:val="none" w:sz="0" w:space="0" w:color="auto"/>
        <w:bottom w:val="none" w:sz="0" w:space="0" w:color="auto"/>
        <w:right w:val="none" w:sz="0" w:space="0" w:color="auto"/>
      </w:divBdr>
    </w:div>
    <w:div w:id="996498597">
      <w:bodyDiv w:val="1"/>
      <w:marLeft w:val="0"/>
      <w:marRight w:val="0"/>
      <w:marTop w:val="0"/>
      <w:marBottom w:val="0"/>
      <w:divBdr>
        <w:top w:val="none" w:sz="0" w:space="0" w:color="auto"/>
        <w:left w:val="none" w:sz="0" w:space="0" w:color="auto"/>
        <w:bottom w:val="none" w:sz="0" w:space="0" w:color="auto"/>
        <w:right w:val="none" w:sz="0" w:space="0" w:color="auto"/>
      </w:divBdr>
    </w:div>
    <w:div w:id="996615964">
      <w:bodyDiv w:val="1"/>
      <w:marLeft w:val="0"/>
      <w:marRight w:val="0"/>
      <w:marTop w:val="0"/>
      <w:marBottom w:val="0"/>
      <w:divBdr>
        <w:top w:val="none" w:sz="0" w:space="0" w:color="auto"/>
        <w:left w:val="none" w:sz="0" w:space="0" w:color="auto"/>
        <w:bottom w:val="none" w:sz="0" w:space="0" w:color="auto"/>
        <w:right w:val="none" w:sz="0" w:space="0" w:color="auto"/>
      </w:divBdr>
    </w:div>
    <w:div w:id="996617403">
      <w:bodyDiv w:val="1"/>
      <w:marLeft w:val="0"/>
      <w:marRight w:val="0"/>
      <w:marTop w:val="0"/>
      <w:marBottom w:val="0"/>
      <w:divBdr>
        <w:top w:val="none" w:sz="0" w:space="0" w:color="auto"/>
        <w:left w:val="none" w:sz="0" w:space="0" w:color="auto"/>
        <w:bottom w:val="none" w:sz="0" w:space="0" w:color="auto"/>
        <w:right w:val="none" w:sz="0" w:space="0" w:color="auto"/>
      </w:divBdr>
    </w:div>
    <w:div w:id="996618221">
      <w:bodyDiv w:val="1"/>
      <w:marLeft w:val="0"/>
      <w:marRight w:val="0"/>
      <w:marTop w:val="0"/>
      <w:marBottom w:val="0"/>
      <w:divBdr>
        <w:top w:val="none" w:sz="0" w:space="0" w:color="auto"/>
        <w:left w:val="none" w:sz="0" w:space="0" w:color="auto"/>
        <w:bottom w:val="none" w:sz="0" w:space="0" w:color="auto"/>
        <w:right w:val="none" w:sz="0" w:space="0" w:color="auto"/>
      </w:divBdr>
    </w:div>
    <w:div w:id="996684308">
      <w:bodyDiv w:val="1"/>
      <w:marLeft w:val="0"/>
      <w:marRight w:val="0"/>
      <w:marTop w:val="0"/>
      <w:marBottom w:val="0"/>
      <w:divBdr>
        <w:top w:val="none" w:sz="0" w:space="0" w:color="auto"/>
        <w:left w:val="none" w:sz="0" w:space="0" w:color="auto"/>
        <w:bottom w:val="none" w:sz="0" w:space="0" w:color="auto"/>
        <w:right w:val="none" w:sz="0" w:space="0" w:color="auto"/>
      </w:divBdr>
    </w:div>
    <w:div w:id="996762296">
      <w:bodyDiv w:val="1"/>
      <w:marLeft w:val="0"/>
      <w:marRight w:val="0"/>
      <w:marTop w:val="0"/>
      <w:marBottom w:val="0"/>
      <w:divBdr>
        <w:top w:val="none" w:sz="0" w:space="0" w:color="auto"/>
        <w:left w:val="none" w:sz="0" w:space="0" w:color="auto"/>
        <w:bottom w:val="none" w:sz="0" w:space="0" w:color="auto"/>
        <w:right w:val="none" w:sz="0" w:space="0" w:color="auto"/>
      </w:divBdr>
    </w:div>
    <w:div w:id="996956570">
      <w:bodyDiv w:val="1"/>
      <w:marLeft w:val="0"/>
      <w:marRight w:val="0"/>
      <w:marTop w:val="0"/>
      <w:marBottom w:val="0"/>
      <w:divBdr>
        <w:top w:val="none" w:sz="0" w:space="0" w:color="auto"/>
        <w:left w:val="none" w:sz="0" w:space="0" w:color="auto"/>
        <w:bottom w:val="none" w:sz="0" w:space="0" w:color="auto"/>
        <w:right w:val="none" w:sz="0" w:space="0" w:color="auto"/>
      </w:divBdr>
    </w:div>
    <w:div w:id="997001216">
      <w:bodyDiv w:val="1"/>
      <w:marLeft w:val="0"/>
      <w:marRight w:val="0"/>
      <w:marTop w:val="0"/>
      <w:marBottom w:val="0"/>
      <w:divBdr>
        <w:top w:val="none" w:sz="0" w:space="0" w:color="auto"/>
        <w:left w:val="none" w:sz="0" w:space="0" w:color="auto"/>
        <w:bottom w:val="none" w:sz="0" w:space="0" w:color="auto"/>
        <w:right w:val="none" w:sz="0" w:space="0" w:color="auto"/>
      </w:divBdr>
    </w:div>
    <w:div w:id="997151927">
      <w:bodyDiv w:val="1"/>
      <w:marLeft w:val="0"/>
      <w:marRight w:val="0"/>
      <w:marTop w:val="0"/>
      <w:marBottom w:val="0"/>
      <w:divBdr>
        <w:top w:val="none" w:sz="0" w:space="0" w:color="auto"/>
        <w:left w:val="none" w:sz="0" w:space="0" w:color="auto"/>
        <w:bottom w:val="none" w:sz="0" w:space="0" w:color="auto"/>
        <w:right w:val="none" w:sz="0" w:space="0" w:color="auto"/>
      </w:divBdr>
    </w:div>
    <w:div w:id="997345796">
      <w:bodyDiv w:val="1"/>
      <w:marLeft w:val="0"/>
      <w:marRight w:val="0"/>
      <w:marTop w:val="0"/>
      <w:marBottom w:val="0"/>
      <w:divBdr>
        <w:top w:val="none" w:sz="0" w:space="0" w:color="auto"/>
        <w:left w:val="none" w:sz="0" w:space="0" w:color="auto"/>
        <w:bottom w:val="none" w:sz="0" w:space="0" w:color="auto"/>
        <w:right w:val="none" w:sz="0" w:space="0" w:color="auto"/>
      </w:divBdr>
    </w:div>
    <w:div w:id="997614057">
      <w:bodyDiv w:val="1"/>
      <w:marLeft w:val="0"/>
      <w:marRight w:val="0"/>
      <w:marTop w:val="0"/>
      <w:marBottom w:val="0"/>
      <w:divBdr>
        <w:top w:val="none" w:sz="0" w:space="0" w:color="auto"/>
        <w:left w:val="none" w:sz="0" w:space="0" w:color="auto"/>
        <w:bottom w:val="none" w:sz="0" w:space="0" w:color="auto"/>
        <w:right w:val="none" w:sz="0" w:space="0" w:color="auto"/>
      </w:divBdr>
    </w:div>
    <w:div w:id="997726618">
      <w:bodyDiv w:val="1"/>
      <w:marLeft w:val="0"/>
      <w:marRight w:val="0"/>
      <w:marTop w:val="0"/>
      <w:marBottom w:val="0"/>
      <w:divBdr>
        <w:top w:val="none" w:sz="0" w:space="0" w:color="auto"/>
        <w:left w:val="none" w:sz="0" w:space="0" w:color="auto"/>
        <w:bottom w:val="none" w:sz="0" w:space="0" w:color="auto"/>
        <w:right w:val="none" w:sz="0" w:space="0" w:color="auto"/>
      </w:divBdr>
    </w:div>
    <w:div w:id="997732980">
      <w:bodyDiv w:val="1"/>
      <w:marLeft w:val="0"/>
      <w:marRight w:val="0"/>
      <w:marTop w:val="0"/>
      <w:marBottom w:val="0"/>
      <w:divBdr>
        <w:top w:val="none" w:sz="0" w:space="0" w:color="auto"/>
        <w:left w:val="none" w:sz="0" w:space="0" w:color="auto"/>
        <w:bottom w:val="none" w:sz="0" w:space="0" w:color="auto"/>
        <w:right w:val="none" w:sz="0" w:space="0" w:color="auto"/>
      </w:divBdr>
    </w:div>
    <w:div w:id="997879706">
      <w:bodyDiv w:val="1"/>
      <w:marLeft w:val="0"/>
      <w:marRight w:val="0"/>
      <w:marTop w:val="0"/>
      <w:marBottom w:val="0"/>
      <w:divBdr>
        <w:top w:val="none" w:sz="0" w:space="0" w:color="auto"/>
        <w:left w:val="none" w:sz="0" w:space="0" w:color="auto"/>
        <w:bottom w:val="none" w:sz="0" w:space="0" w:color="auto"/>
        <w:right w:val="none" w:sz="0" w:space="0" w:color="auto"/>
      </w:divBdr>
    </w:div>
    <w:div w:id="997883308">
      <w:bodyDiv w:val="1"/>
      <w:marLeft w:val="0"/>
      <w:marRight w:val="0"/>
      <w:marTop w:val="0"/>
      <w:marBottom w:val="0"/>
      <w:divBdr>
        <w:top w:val="none" w:sz="0" w:space="0" w:color="auto"/>
        <w:left w:val="none" w:sz="0" w:space="0" w:color="auto"/>
        <w:bottom w:val="none" w:sz="0" w:space="0" w:color="auto"/>
        <w:right w:val="none" w:sz="0" w:space="0" w:color="auto"/>
      </w:divBdr>
    </w:div>
    <w:div w:id="997999816">
      <w:bodyDiv w:val="1"/>
      <w:marLeft w:val="0"/>
      <w:marRight w:val="0"/>
      <w:marTop w:val="0"/>
      <w:marBottom w:val="0"/>
      <w:divBdr>
        <w:top w:val="none" w:sz="0" w:space="0" w:color="auto"/>
        <w:left w:val="none" w:sz="0" w:space="0" w:color="auto"/>
        <w:bottom w:val="none" w:sz="0" w:space="0" w:color="auto"/>
        <w:right w:val="none" w:sz="0" w:space="0" w:color="auto"/>
      </w:divBdr>
    </w:div>
    <w:div w:id="998115520">
      <w:bodyDiv w:val="1"/>
      <w:marLeft w:val="0"/>
      <w:marRight w:val="0"/>
      <w:marTop w:val="0"/>
      <w:marBottom w:val="0"/>
      <w:divBdr>
        <w:top w:val="none" w:sz="0" w:space="0" w:color="auto"/>
        <w:left w:val="none" w:sz="0" w:space="0" w:color="auto"/>
        <w:bottom w:val="none" w:sz="0" w:space="0" w:color="auto"/>
        <w:right w:val="none" w:sz="0" w:space="0" w:color="auto"/>
      </w:divBdr>
    </w:div>
    <w:div w:id="998119056">
      <w:bodyDiv w:val="1"/>
      <w:marLeft w:val="0"/>
      <w:marRight w:val="0"/>
      <w:marTop w:val="0"/>
      <w:marBottom w:val="0"/>
      <w:divBdr>
        <w:top w:val="none" w:sz="0" w:space="0" w:color="auto"/>
        <w:left w:val="none" w:sz="0" w:space="0" w:color="auto"/>
        <w:bottom w:val="none" w:sz="0" w:space="0" w:color="auto"/>
        <w:right w:val="none" w:sz="0" w:space="0" w:color="auto"/>
      </w:divBdr>
    </w:div>
    <w:div w:id="998191027">
      <w:bodyDiv w:val="1"/>
      <w:marLeft w:val="0"/>
      <w:marRight w:val="0"/>
      <w:marTop w:val="0"/>
      <w:marBottom w:val="0"/>
      <w:divBdr>
        <w:top w:val="none" w:sz="0" w:space="0" w:color="auto"/>
        <w:left w:val="none" w:sz="0" w:space="0" w:color="auto"/>
        <w:bottom w:val="none" w:sz="0" w:space="0" w:color="auto"/>
        <w:right w:val="none" w:sz="0" w:space="0" w:color="auto"/>
      </w:divBdr>
    </w:div>
    <w:div w:id="998194748">
      <w:bodyDiv w:val="1"/>
      <w:marLeft w:val="0"/>
      <w:marRight w:val="0"/>
      <w:marTop w:val="0"/>
      <w:marBottom w:val="0"/>
      <w:divBdr>
        <w:top w:val="none" w:sz="0" w:space="0" w:color="auto"/>
        <w:left w:val="none" w:sz="0" w:space="0" w:color="auto"/>
        <w:bottom w:val="none" w:sz="0" w:space="0" w:color="auto"/>
        <w:right w:val="none" w:sz="0" w:space="0" w:color="auto"/>
      </w:divBdr>
    </w:div>
    <w:div w:id="998195900">
      <w:bodyDiv w:val="1"/>
      <w:marLeft w:val="0"/>
      <w:marRight w:val="0"/>
      <w:marTop w:val="0"/>
      <w:marBottom w:val="0"/>
      <w:divBdr>
        <w:top w:val="none" w:sz="0" w:space="0" w:color="auto"/>
        <w:left w:val="none" w:sz="0" w:space="0" w:color="auto"/>
        <w:bottom w:val="none" w:sz="0" w:space="0" w:color="auto"/>
        <w:right w:val="none" w:sz="0" w:space="0" w:color="auto"/>
      </w:divBdr>
    </w:div>
    <w:div w:id="998385706">
      <w:bodyDiv w:val="1"/>
      <w:marLeft w:val="0"/>
      <w:marRight w:val="0"/>
      <w:marTop w:val="0"/>
      <w:marBottom w:val="0"/>
      <w:divBdr>
        <w:top w:val="none" w:sz="0" w:space="0" w:color="auto"/>
        <w:left w:val="none" w:sz="0" w:space="0" w:color="auto"/>
        <w:bottom w:val="none" w:sz="0" w:space="0" w:color="auto"/>
        <w:right w:val="none" w:sz="0" w:space="0" w:color="auto"/>
      </w:divBdr>
    </w:div>
    <w:div w:id="998535166">
      <w:bodyDiv w:val="1"/>
      <w:marLeft w:val="0"/>
      <w:marRight w:val="0"/>
      <w:marTop w:val="0"/>
      <w:marBottom w:val="0"/>
      <w:divBdr>
        <w:top w:val="none" w:sz="0" w:space="0" w:color="auto"/>
        <w:left w:val="none" w:sz="0" w:space="0" w:color="auto"/>
        <w:bottom w:val="none" w:sz="0" w:space="0" w:color="auto"/>
        <w:right w:val="none" w:sz="0" w:space="0" w:color="auto"/>
      </w:divBdr>
    </w:div>
    <w:div w:id="998536764">
      <w:bodyDiv w:val="1"/>
      <w:marLeft w:val="0"/>
      <w:marRight w:val="0"/>
      <w:marTop w:val="0"/>
      <w:marBottom w:val="0"/>
      <w:divBdr>
        <w:top w:val="none" w:sz="0" w:space="0" w:color="auto"/>
        <w:left w:val="none" w:sz="0" w:space="0" w:color="auto"/>
        <w:bottom w:val="none" w:sz="0" w:space="0" w:color="auto"/>
        <w:right w:val="none" w:sz="0" w:space="0" w:color="auto"/>
      </w:divBdr>
    </w:div>
    <w:div w:id="998536930">
      <w:bodyDiv w:val="1"/>
      <w:marLeft w:val="0"/>
      <w:marRight w:val="0"/>
      <w:marTop w:val="0"/>
      <w:marBottom w:val="0"/>
      <w:divBdr>
        <w:top w:val="none" w:sz="0" w:space="0" w:color="auto"/>
        <w:left w:val="none" w:sz="0" w:space="0" w:color="auto"/>
        <w:bottom w:val="none" w:sz="0" w:space="0" w:color="auto"/>
        <w:right w:val="none" w:sz="0" w:space="0" w:color="auto"/>
      </w:divBdr>
    </w:div>
    <w:div w:id="998733486">
      <w:bodyDiv w:val="1"/>
      <w:marLeft w:val="0"/>
      <w:marRight w:val="0"/>
      <w:marTop w:val="0"/>
      <w:marBottom w:val="0"/>
      <w:divBdr>
        <w:top w:val="none" w:sz="0" w:space="0" w:color="auto"/>
        <w:left w:val="none" w:sz="0" w:space="0" w:color="auto"/>
        <w:bottom w:val="none" w:sz="0" w:space="0" w:color="auto"/>
        <w:right w:val="none" w:sz="0" w:space="0" w:color="auto"/>
      </w:divBdr>
    </w:div>
    <w:div w:id="998770185">
      <w:bodyDiv w:val="1"/>
      <w:marLeft w:val="0"/>
      <w:marRight w:val="0"/>
      <w:marTop w:val="0"/>
      <w:marBottom w:val="0"/>
      <w:divBdr>
        <w:top w:val="none" w:sz="0" w:space="0" w:color="auto"/>
        <w:left w:val="none" w:sz="0" w:space="0" w:color="auto"/>
        <w:bottom w:val="none" w:sz="0" w:space="0" w:color="auto"/>
        <w:right w:val="none" w:sz="0" w:space="0" w:color="auto"/>
      </w:divBdr>
    </w:div>
    <w:div w:id="998777185">
      <w:bodyDiv w:val="1"/>
      <w:marLeft w:val="0"/>
      <w:marRight w:val="0"/>
      <w:marTop w:val="0"/>
      <w:marBottom w:val="0"/>
      <w:divBdr>
        <w:top w:val="none" w:sz="0" w:space="0" w:color="auto"/>
        <w:left w:val="none" w:sz="0" w:space="0" w:color="auto"/>
        <w:bottom w:val="none" w:sz="0" w:space="0" w:color="auto"/>
        <w:right w:val="none" w:sz="0" w:space="0" w:color="auto"/>
      </w:divBdr>
    </w:div>
    <w:div w:id="998925837">
      <w:bodyDiv w:val="1"/>
      <w:marLeft w:val="0"/>
      <w:marRight w:val="0"/>
      <w:marTop w:val="0"/>
      <w:marBottom w:val="0"/>
      <w:divBdr>
        <w:top w:val="none" w:sz="0" w:space="0" w:color="auto"/>
        <w:left w:val="none" w:sz="0" w:space="0" w:color="auto"/>
        <w:bottom w:val="none" w:sz="0" w:space="0" w:color="auto"/>
        <w:right w:val="none" w:sz="0" w:space="0" w:color="auto"/>
      </w:divBdr>
    </w:div>
    <w:div w:id="998966237">
      <w:bodyDiv w:val="1"/>
      <w:marLeft w:val="0"/>
      <w:marRight w:val="0"/>
      <w:marTop w:val="0"/>
      <w:marBottom w:val="0"/>
      <w:divBdr>
        <w:top w:val="none" w:sz="0" w:space="0" w:color="auto"/>
        <w:left w:val="none" w:sz="0" w:space="0" w:color="auto"/>
        <w:bottom w:val="none" w:sz="0" w:space="0" w:color="auto"/>
        <w:right w:val="none" w:sz="0" w:space="0" w:color="auto"/>
      </w:divBdr>
    </w:div>
    <w:div w:id="999038338">
      <w:bodyDiv w:val="1"/>
      <w:marLeft w:val="0"/>
      <w:marRight w:val="0"/>
      <w:marTop w:val="0"/>
      <w:marBottom w:val="0"/>
      <w:divBdr>
        <w:top w:val="none" w:sz="0" w:space="0" w:color="auto"/>
        <w:left w:val="none" w:sz="0" w:space="0" w:color="auto"/>
        <w:bottom w:val="none" w:sz="0" w:space="0" w:color="auto"/>
        <w:right w:val="none" w:sz="0" w:space="0" w:color="auto"/>
      </w:divBdr>
    </w:div>
    <w:div w:id="999038858">
      <w:bodyDiv w:val="1"/>
      <w:marLeft w:val="0"/>
      <w:marRight w:val="0"/>
      <w:marTop w:val="0"/>
      <w:marBottom w:val="0"/>
      <w:divBdr>
        <w:top w:val="none" w:sz="0" w:space="0" w:color="auto"/>
        <w:left w:val="none" w:sz="0" w:space="0" w:color="auto"/>
        <w:bottom w:val="none" w:sz="0" w:space="0" w:color="auto"/>
        <w:right w:val="none" w:sz="0" w:space="0" w:color="auto"/>
      </w:divBdr>
    </w:div>
    <w:div w:id="999119489">
      <w:bodyDiv w:val="1"/>
      <w:marLeft w:val="0"/>
      <w:marRight w:val="0"/>
      <w:marTop w:val="0"/>
      <w:marBottom w:val="0"/>
      <w:divBdr>
        <w:top w:val="none" w:sz="0" w:space="0" w:color="auto"/>
        <w:left w:val="none" w:sz="0" w:space="0" w:color="auto"/>
        <w:bottom w:val="none" w:sz="0" w:space="0" w:color="auto"/>
        <w:right w:val="none" w:sz="0" w:space="0" w:color="auto"/>
      </w:divBdr>
    </w:div>
    <w:div w:id="999161918">
      <w:bodyDiv w:val="1"/>
      <w:marLeft w:val="0"/>
      <w:marRight w:val="0"/>
      <w:marTop w:val="0"/>
      <w:marBottom w:val="0"/>
      <w:divBdr>
        <w:top w:val="none" w:sz="0" w:space="0" w:color="auto"/>
        <w:left w:val="none" w:sz="0" w:space="0" w:color="auto"/>
        <w:bottom w:val="none" w:sz="0" w:space="0" w:color="auto"/>
        <w:right w:val="none" w:sz="0" w:space="0" w:color="auto"/>
      </w:divBdr>
    </w:div>
    <w:div w:id="999230826">
      <w:bodyDiv w:val="1"/>
      <w:marLeft w:val="0"/>
      <w:marRight w:val="0"/>
      <w:marTop w:val="0"/>
      <w:marBottom w:val="0"/>
      <w:divBdr>
        <w:top w:val="none" w:sz="0" w:space="0" w:color="auto"/>
        <w:left w:val="none" w:sz="0" w:space="0" w:color="auto"/>
        <w:bottom w:val="none" w:sz="0" w:space="0" w:color="auto"/>
        <w:right w:val="none" w:sz="0" w:space="0" w:color="auto"/>
      </w:divBdr>
    </w:div>
    <w:div w:id="999310327">
      <w:bodyDiv w:val="1"/>
      <w:marLeft w:val="0"/>
      <w:marRight w:val="0"/>
      <w:marTop w:val="0"/>
      <w:marBottom w:val="0"/>
      <w:divBdr>
        <w:top w:val="none" w:sz="0" w:space="0" w:color="auto"/>
        <w:left w:val="none" w:sz="0" w:space="0" w:color="auto"/>
        <w:bottom w:val="none" w:sz="0" w:space="0" w:color="auto"/>
        <w:right w:val="none" w:sz="0" w:space="0" w:color="auto"/>
      </w:divBdr>
    </w:div>
    <w:div w:id="999649637">
      <w:bodyDiv w:val="1"/>
      <w:marLeft w:val="0"/>
      <w:marRight w:val="0"/>
      <w:marTop w:val="0"/>
      <w:marBottom w:val="0"/>
      <w:divBdr>
        <w:top w:val="none" w:sz="0" w:space="0" w:color="auto"/>
        <w:left w:val="none" w:sz="0" w:space="0" w:color="auto"/>
        <w:bottom w:val="none" w:sz="0" w:space="0" w:color="auto"/>
        <w:right w:val="none" w:sz="0" w:space="0" w:color="auto"/>
      </w:divBdr>
    </w:div>
    <w:div w:id="999847690">
      <w:bodyDiv w:val="1"/>
      <w:marLeft w:val="0"/>
      <w:marRight w:val="0"/>
      <w:marTop w:val="0"/>
      <w:marBottom w:val="0"/>
      <w:divBdr>
        <w:top w:val="none" w:sz="0" w:space="0" w:color="auto"/>
        <w:left w:val="none" w:sz="0" w:space="0" w:color="auto"/>
        <w:bottom w:val="none" w:sz="0" w:space="0" w:color="auto"/>
        <w:right w:val="none" w:sz="0" w:space="0" w:color="auto"/>
      </w:divBdr>
    </w:div>
    <w:div w:id="999848665">
      <w:bodyDiv w:val="1"/>
      <w:marLeft w:val="0"/>
      <w:marRight w:val="0"/>
      <w:marTop w:val="0"/>
      <w:marBottom w:val="0"/>
      <w:divBdr>
        <w:top w:val="none" w:sz="0" w:space="0" w:color="auto"/>
        <w:left w:val="none" w:sz="0" w:space="0" w:color="auto"/>
        <w:bottom w:val="none" w:sz="0" w:space="0" w:color="auto"/>
        <w:right w:val="none" w:sz="0" w:space="0" w:color="auto"/>
      </w:divBdr>
    </w:div>
    <w:div w:id="999890186">
      <w:bodyDiv w:val="1"/>
      <w:marLeft w:val="0"/>
      <w:marRight w:val="0"/>
      <w:marTop w:val="0"/>
      <w:marBottom w:val="0"/>
      <w:divBdr>
        <w:top w:val="none" w:sz="0" w:space="0" w:color="auto"/>
        <w:left w:val="none" w:sz="0" w:space="0" w:color="auto"/>
        <w:bottom w:val="none" w:sz="0" w:space="0" w:color="auto"/>
        <w:right w:val="none" w:sz="0" w:space="0" w:color="auto"/>
      </w:divBdr>
    </w:div>
    <w:div w:id="999965953">
      <w:bodyDiv w:val="1"/>
      <w:marLeft w:val="0"/>
      <w:marRight w:val="0"/>
      <w:marTop w:val="0"/>
      <w:marBottom w:val="0"/>
      <w:divBdr>
        <w:top w:val="none" w:sz="0" w:space="0" w:color="auto"/>
        <w:left w:val="none" w:sz="0" w:space="0" w:color="auto"/>
        <w:bottom w:val="none" w:sz="0" w:space="0" w:color="auto"/>
        <w:right w:val="none" w:sz="0" w:space="0" w:color="auto"/>
      </w:divBdr>
    </w:div>
    <w:div w:id="999966128">
      <w:bodyDiv w:val="1"/>
      <w:marLeft w:val="0"/>
      <w:marRight w:val="0"/>
      <w:marTop w:val="0"/>
      <w:marBottom w:val="0"/>
      <w:divBdr>
        <w:top w:val="none" w:sz="0" w:space="0" w:color="auto"/>
        <w:left w:val="none" w:sz="0" w:space="0" w:color="auto"/>
        <w:bottom w:val="none" w:sz="0" w:space="0" w:color="auto"/>
        <w:right w:val="none" w:sz="0" w:space="0" w:color="auto"/>
      </w:divBdr>
    </w:div>
    <w:div w:id="1000042972">
      <w:bodyDiv w:val="1"/>
      <w:marLeft w:val="0"/>
      <w:marRight w:val="0"/>
      <w:marTop w:val="0"/>
      <w:marBottom w:val="0"/>
      <w:divBdr>
        <w:top w:val="none" w:sz="0" w:space="0" w:color="auto"/>
        <w:left w:val="none" w:sz="0" w:space="0" w:color="auto"/>
        <w:bottom w:val="none" w:sz="0" w:space="0" w:color="auto"/>
        <w:right w:val="none" w:sz="0" w:space="0" w:color="auto"/>
      </w:divBdr>
    </w:div>
    <w:div w:id="1000155795">
      <w:bodyDiv w:val="1"/>
      <w:marLeft w:val="0"/>
      <w:marRight w:val="0"/>
      <w:marTop w:val="0"/>
      <w:marBottom w:val="0"/>
      <w:divBdr>
        <w:top w:val="none" w:sz="0" w:space="0" w:color="auto"/>
        <w:left w:val="none" w:sz="0" w:space="0" w:color="auto"/>
        <w:bottom w:val="none" w:sz="0" w:space="0" w:color="auto"/>
        <w:right w:val="none" w:sz="0" w:space="0" w:color="auto"/>
      </w:divBdr>
    </w:div>
    <w:div w:id="1000235407">
      <w:bodyDiv w:val="1"/>
      <w:marLeft w:val="0"/>
      <w:marRight w:val="0"/>
      <w:marTop w:val="0"/>
      <w:marBottom w:val="0"/>
      <w:divBdr>
        <w:top w:val="none" w:sz="0" w:space="0" w:color="auto"/>
        <w:left w:val="none" w:sz="0" w:space="0" w:color="auto"/>
        <w:bottom w:val="none" w:sz="0" w:space="0" w:color="auto"/>
        <w:right w:val="none" w:sz="0" w:space="0" w:color="auto"/>
      </w:divBdr>
    </w:div>
    <w:div w:id="1000238544">
      <w:bodyDiv w:val="1"/>
      <w:marLeft w:val="0"/>
      <w:marRight w:val="0"/>
      <w:marTop w:val="0"/>
      <w:marBottom w:val="0"/>
      <w:divBdr>
        <w:top w:val="none" w:sz="0" w:space="0" w:color="auto"/>
        <w:left w:val="none" w:sz="0" w:space="0" w:color="auto"/>
        <w:bottom w:val="none" w:sz="0" w:space="0" w:color="auto"/>
        <w:right w:val="none" w:sz="0" w:space="0" w:color="auto"/>
      </w:divBdr>
    </w:div>
    <w:div w:id="1000238802">
      <w:bodyDiv w:val="1"/>
      <w:marLeft w:val="0"/>
      <w:marRight w:val="0"/>
      <w:marTop w:val="0"/>
      <w:marBottom w:val="0"/>
      <w:divBdr>
        <w:top w:val="none" w:sz="0" w:space="0" w:color="auto"/>
        <w:left w:val="none" w:sz="0" w:space="0" w:color="auto"/>
        <w:bottom w:val="none" w:sz="0" w:space="0" w:color="auto"/>
        <w:right w:val="none" w:sz="0" w:space="0" w:color="auto"/>
      </w:divBdr>
    </w:div>
    <w:div w:id="1000278580">
      <w:bodyDiv w:val="1"/>
      <w:marLeft w:val="0"/>
      <w:marRight w:val="0"/>
      <w:marTop w:val="0"/>
      <w:marBottom w:val="0"/>
      <w:divBdr>
        <w:top w:val="none" w:sz="0" w:space="0" w:color="auto"/>
        <w:left w:val="none" w:sz="0" w:space="0" w:color="auto"/>
        <w:bottom w:val="none" w:sz="0" w:space="0" w:color="auto"/>
        <w:right w:val="none" w:sz="0" w:space="0" w:color="auto"/>
      </w:divBdr>
    </w:div>
    <w:div w:id="1000423430">
      <w:bodyDiv w:val="1"/>
      <w:marLeft w:val="0"/>
      <w:marRight w:val="0"/>
      <w:marTop w:val="0"/>
      <w:marBottom w:val="0"/>
      <w:divBdr>
        <w:top w:val="none" w:sz="0" w:space="0" w:color="auto"/>
        <w:left w:val="none" w:sz="0" w:space="0" w:color="auto"/>
        <w:bottom w:val="none" w:sz="0" w:space="0" w:color="auto"/>
        <w:right w:val="none" w:sz="0" w:space="0" w:color="auto"/>
      </w:divBdr>
    </w:div>
    <w:div w:id="1000425361">
      <w:bodyDiv w:val="1"/>
      <w:marLeft w:val="0"/>
      <w:marRight w:val="0"/>
      <w:marTop w:val="0"/>
      <w:marBottom w:val="0"/>
      <w:divBdr>
        <w:top w:val="none" w:sz="0" w:space="0" w:color="auto"/>
        <w:left w:val="none" w:sz="0" w:space="0" w:color="auto"/>
        <w:bottom w:val="none" w:sz="0" w:space="0" w:color="auto"/>
        <w:right w:val="none" w:sz="0" w:space="0" w:color="auto"/>
      </w:divBdr>
    </w:div>
    <w:div w:id="1000428658">
      <w:bodyDiv w:val="1"/>
      <w:marLeft w:val="0"/>
      <w:marRight w:val="0"/>
      <w:marTop w:val="0"/>
      <w:marBottom w:val="0"/>
      <w:divBdr>
        <w:top w:val="none" w:sz="0" w:space="0" w:color="auto"/>
        <w:left w:val="none" w:sz="0" w:space="0" w:color="auto"/>
        <w:bottom w:val="none" w:sz="0" w:space="0" w:color="auto"/>
        <w:right w:val="none" w:sz="0" w:space="0" w:color="auto"/>
      </w:divBdr>
    </w:div>
    <w:div w:id="1000544319">
      <w:bodyDiv w:val="1"/>
      <w:marLeft w:val="0"/>
      <w:marRight w:val="0"/>
      <w:marTop w:val="0"/>
      <w:marBottom w:val="0"/>
      <w:divBdr>
        <w:top w:val="none" w:sz="0" w:space="0" w:color="auto"/>
        <w:left w:val="none" w:sz="0" w:space="0" w:color="auto"/>
        <w:bottom w:val="none" w:sz="0" w:space="0" w:color="auto"/>
        <w:right w:val="none" w:sz="0" w:space="0" w:color="auto"/>
      </w:divBdr>
    </w:div>
    <w:div w:id="1000622883">
      <w:bodyDiv w:val="1"/>
      <w:marLeft w:val="0"/>
      <w:marRight w:val="0"/>
      <w:marTop w:val="0"/>
      <w:marBottom w:val="0"/>
      <w:divBdr>
        <w:top w:val="none" w:sz="0" w:space="0" w:color="auto"/>
        <w:left w:val="none" w:sz="0" w:space="0" w:color="auto"/>
        <w:bottom w:val="none" w:sz="0" w:space="0" w:color="auto"/>
        <w:right w:val="none" w:sz="0" w:space="0" w:color="auto"/>
      </w:divBdr>
    </w:div>
    <w:div w:id="1000623362">
      <w:bodyDiv w:val="1"/>
      <w:marLeft w:val="0"/>
      <w:marRight w:val="0"/>
      <w:marTop w:val="0"/>
      <w:marBottom w:val="0"/>
      <w:divBdr>
        <w:top w:val="none" w:sz="0" w:space="0" w:color="auto"/>
        <w:left w:val="none" w:sz="0" w:space="0" w:color="auto"/>
        <w:bottom w:val="none" w:sz="0" w:space="0" w:color="auto"/>
        <w:right w:val="none" w:sz="0" w:space="0" w:color="auto"/>
      </w:divBdr>
    </w:div>
    <w:div w:id="1000740303">
      <w:bodyDiv w:val="1"/>
      <w:marLeft w:val="0"/>
      <w:marRight w:val="0"/>
      <w:marTop w:val="0"/>
      <w:marBottom w:val="0"/>
      <w:divBdr>
        <w:top w:val="none" w:sz="0" w:space="0" w:color="auto"/>
        <w:left w:val="none" w:sz="0" w:space="0" w:color="auto"/>
        <w:bottom w:val="none" w:sz="0" w:space="0" w:color="auto"/>
        <w:right w:val="none" w:sz="0" w:space="0" w:color="auto"/>
      </w:divBdr>
    </w:div>
    <w:div w:id="1000959940">
      <w:bodyDiv w:val="1"/>
      <w:marLeft w:val="0"/>
      <w:marRight w:val="0"/>
      <w:marTop w:val="0"/>
      <w:marBottom w:val="0"/>
      <w:divBdr>
        <w:top w:val="none" w:sz="0" w:space="0" w:color="auto"/>
        <w:left w:val="none" w:sz="0" w:space="0" w:color="auto"/>
        <w:bottom w:val="none" w:sz="0" w:space="0" w:color="auto"/>
        <w:right w:val="none" w:sz="0" w:space="0" w:color="auto"/>
      </w:divBdr>
    </w:div>
    <w:div w:id="1001009826">
      <w:bodyDiv w:val="1"/>
      <w:marLeft w:val="0"/>
      <w:marRight w:val="0"/>
      <w:marTop w:val="0"/>
      <w:marBottom w:val="0"/>
      <w:divBdr>
        <w:top w:val="none" w:sz="0" w:space="0" w:color="auto"/>
        <w:left w:val="none" w:sz="0" w:space="0" w:color="auto"/>
        <w:bottom w:val="none" w:sz="0" w:space="0" w:color="auto"/>
        <w:right w:val="none" w:sz="0" w:space="0" w:color="auto"/>
      </w:divBdr>
    </w:div>
    <w:div w:id="1001086827">
      <w:bodyDiv w:val="1"/>
      <w:marLeft w:val="0"/>
      <w:marRight w:val="0"/>
      <w:marTop w:val="0"/>
      <w:marBottom w:val="0"/>
      <w:divBdr>
        <w:top w:val="none" w:sz="0" w:space="0" w:color="auto"/>
        <w:left w:val="none" w:sz="0" w:space="0" w:color="auto"/>
        <w:bottom w:val="none" w:sz="0" w:space="0" w:color="auto"/>
        <w:right w:val="none" w:sz="0" w:space="0" w:color="auto"/>
      </w:divBdr>
    </w:div>
    <w:div w:id="1001153635">
      <w:bodyDiv w:val="1"/>
      <w:marLeft w:val="0"/>
      <w:marRight w:val="0"/>
      <w:marTop w:val="0"/>
      <w:marBottom w:val="0"/>
      <w:divBdr>
        <w:top w:val="none" w:sz="0" w:space="0" w:color="auto"/>
        <w:left w:val="none" w:sz="0" w:space="0" w:color="auto"/>
        <w:bottom w:val="none" w:sz="0" w:space="0" w:color="auto"/>
        <w:right w:val="none" w:sz="0" w:space="0" w:color="auto"/>
      </w:divBdr>
    </w:div>
    <w:div w:id="1001157102">
      <w:bodyDiv w:val="1"/>
      <w:marLeft w:val="0"/>
      <w:marRight w:val="0"/>
      <w:marTop w:val="0"/>
      <w:marBottom w:val="0"/>
      <w:divBdr>
        <w:top w:val="none" w:sz="0" w:space="0" w:color="auto"/>
        <w:left w:val="none" w:sz="0" w:space="0" w:color="auto"/>
        <w:bottom w:val="none" w:sz="0" w:space="0" w:color="auto"/>
        <w:right w:val="none" w:sz="0" w:space="0" w:color="auto"/>
      </w:divBdr>
    </w:div>
    <w:div w:id="1001158843">
      <w:bodyDiv w:val="1"/>
      <w:marLeft w:val="0"/>
      <w:marRight w:val="0"/>
      <w:marTop w:val="0"/>
      <w:marBottom w:val="0"/>
      <w:divBdr>
        <w:top w:val="none" w:sz="0" w:space="0" w:color="auto"/>
        <w:left w:val="none" w:sz="0" w:space="0" w:color="auto"/>
        <w:bottom w:val="none" w:sz="0" w:space="0" w:color="auto"/>
        <w:right w:val="none" w:sz="0" w:space="0" w:color="auto"/>
      </w:divBdr>
    </w:div>
    <w:div w:id="1001160590">
      <w:bodyDiv w:val="1"/>
      <w:marLeft w:val="0"/>
      <w:marRight w:val="0"/>
      <w:marTop w:val="0"/>
      <w:marBottom w:val="0"/>
      <w:divBdr>
        <w:top w:val="none" w:sz="0" w:space="0" w:color="auto"/>
        <w:left w:val="none" w:sz="0" w:space="0" w:color="auto"/>
        <w:bottom w:val="none" w:sz="0" w:space="0" w:color="auto"/>
        <w:right w:val="none" w:sz="0" w:space="0" w:color="auto"/>
      </w:divBdr>
    </w:div>
    <w:div w:id="1001201355">
      <w:bodyDiv w:val="1"/>
      <w:marLeft w:val="0"/>
      <w:marRight w:val="0"/>
      <w:marTop w:val="0"/>
      <w:marBottom w:val="0"/>
      <w:divBdr>
        <w:top w:val="none" w:sz="0" w:space="0" w:color="auto"/>
        <w:left w:val="none" w:sz="0" w:space="0" w:color="auto"/>
        <w:bottom w:val="none" w:sz="0" w:space="0" w:color="auto"/>
        <w:right w:val="none" w:sz="0" w:space="0" w:color="auto"/>
      </w:divBdr>
    </w:div>
    <w:div w:id="1001277898">
      <w:bodyDiv w:val="1"/>
      <w:marLeft w:val="0"/>
      <w:marRight w:val="0"/>
      <w:marTop w:val="0"/>
      <w:marBottom w:val="0"/>
      <w:divBdr>
        <w:top w:val="none" w:sz="0" w:space="0" w:color="auto"/>
        <w:left w:val="none" w:sz="0" w:space="0" w:color="auto"/>
        <w:bottom w:val="none" w:sz="0" w:space="0" w:color="auto"/>
        <w:right w:val="none" w:sz="0" w:space="0" w:color="auto"/>
      </w:divBdr>
    </w:div>
    <w:div w:id="1001349588">
      <w:bodyDiv w:val="1"/>
      <w:marLeft w:val="0"/>
      <w:marRight w:val="0"/>
      <w:marTop w:val="0"/>
      <w:marBottom w:val="0"/>
      <w:divBdr>
        <w:top w:val="none" w:sz="0" w:space="0" w:color="auto"/>
        <w:left w:val="none" w:sz="0" w:space="0" w:color="auto"/>
        <w:bottom w:val="none" w:sz="0" w:space="0" w:color="auto"/>
        <w:right w:val="none" w:sz="0" w:space="0" w:color="auto"/>
      </w:divBdr>
    </w:div>
    <w:div w:id="1001356241">
      <w:bodyDiv w:val="1"/>
      <w:marLeft w:val="0"/>
      <w:marRight w:val="0"/>
      <w:marTop w:val="0"/>
      <w:marBottom w:val="0"/>
      <w:divBdr>
        <w:top w:val="none" w:sz="0" w:space="0" w:color="auto"/>
        <w:left w:val="none" w:sz="0" w:space="0" w:color="auto"/>
        <w:bottom w:val="none" w:sz="0" w:space="0" w:color="auto"/>
        <w:right w:val="none" w:sz="0" w:space="0" w:color="auto"/>
      </w:divBdr>
    </w:div>
    <w:div w:id="1001390628">
      <w:bodyDiv w:val="1"/>
      <w:marLeft w:val="0"/>
      <w:marRight w:val="0"/>
      <w:marTop w:val="0"/>
      <w:marBottom w:val="0"/>
      <w:divBdr>
        <w:top w:val="none" w:sz="0" w:space="0" w:color="auto"/>
        <w:left w:val="none" w:sz="0" w:space="0" w:color="auto"/>
        <w:bottom w:val="none" w:sz="0" w:space="0" w:color="auto"/>
        <w:right w:val="none" w:sz="0" w:space="0" w:color="auto"/>
      </w:divBdr>
    </w:div>
    <w:div w:id="1001661444">
      <w:bodyDiv w:val="1"/>
      <w:marLeft w:val="0"/>
      <w:marRight w:val="0"/>
      <w:marTop w:val="0"/>
      <w:marBottom w:val="0"/>
      <w:divBdr>
        <w:top w:val="none" w:sz="0" w:space="0" w:color="auto"/>
        <w:left w:val="none" w:sz="0" w:space="0" w:color="auto"/>
        <w:bottom w:val="none" w:sz="0" w:space="0" w:color="auto"/>
        <w:right w:val="none" w:sz="0" w:space="0" w:color="auto"/>
      </w:divBdr>
    </w:div>
    <w:div w:id="1001736801">
      <w:bodyDiv w:val="1"/>
      <w:marLeft w:val="0"/>
      <w:marRight w:val="0"/>
      <w:marTop w:val="0"/>
      <w:marBottom w:val="0"/>
      <w:divBdr>
        <w:top w:val="none" w:sz="0" w:space="0" w:color="auto"/>
        <w:left w:val="none" w:sz="0" w:space="0" w:color="auto"/>
        <w:bottom w:val="none" w:sz="0" w:space="0" w:color="auto"/>
        <w:right w:val="none" w:sz="0" w:space="0" w:color="auto"/>
      </w:divBdr>
    </w:div>
    <w:div w:id="1001737103">
      <w:bodyDiv w:val="1"/>
      <w:marLeft w:val="0"/>
      <w:marRight w:val="0"/>
      <w:marTop w:val="0"/>
      <w:marBottom w:val="0"/>
      <w:divBdr>
        <w:top w:val="none" w:sz="0" w:space="0" w:color="auto"/>
        <w:left w:val="none" w:sz="0" w:space="0" w:color="auto"/>
        <w:bottom w:val="none" w:sz="0" w:space="0" w:color="auto"/>
        <w:right w:val="none" w:sz="0" w:space="0" w:color="auto"/>
      </w:divBdr>
    </w:div>
    <w:div w:id="1001853184">
      <w:bodyDiv w:val="1"/>
      <w:marLeft w:val="0"/>
      <w:marRight w:val="0"/>
      <w:marTop w:val="0"/>
      <w:marBottom w:val="0"/>
      <w:divBdr>
        <w:top w:val="none" w:sz="0" w:space="0" w:color="auto"/>
        <w:left w:val="none" w:sz="0" w:space="0" w:color="auto"/>
        <w:bottom w:val="none" w:sz="0" w:space="0" w:color="auto"/>
        <w:right w:val="none" w:sz="0" w:space="0" w:color="auto"/>
      </w:divBdr>
    </w:div>
    <w:div w:id="1001935112">
      <w:bodyDiv w:val="1"/>
      <w:marLeft w:val="0"/>
      <w:marRight w:val="0"/>
      <w:marTop w:val="0"/>
      <w:marBottom w:val="0"/>
      <w:divBdr>
        <w:top w:val="none" w:sz="0" w:space="0" w:color="auto"/>
        <w:left w:val="none" w:sz="0" w:space="0" w:color="auto"/>
        <w:bottom w:val="none" w:sz="0" w:space="0" w:color="auto"/>
        <w:right w:val="none" w:sz="0" w:space="0" w:color="auto"/>
      </w:divBdr>
    </w:div>
    <w:div w:id="1002002777">
      <w:bodyDiv w:val="1"/>
      <w:marLeft w:val="0"/>
      <w:marRight w:val="0"/>
      <w:marTop w:val="0"/>
      <w:marBottom w:val="0"/>
      <w:divBdr>
        <w:top w:val="none" w:sz="0" w:space="0" w:color="auto"/>
        <w:left w:val="none" w:sz="0" w:space="0" w:color="auto"/>
        <w:bottom w:val="none" w:sz="0" w:space="0" w:color="auto"/>
        <w:right w:val="none" w:sz="0" w:space="0" w:color="auto"/>
      </w:divBdr>
    </w:div>
    <w:div w:id="1002007978">
      <w:bodyDiv w:val="1"/>
      <w:marLeft w:val="0"/>
      <w:marRight w:val="0"/>
      <w:marTop w:val="0"/>
      <w:marBottom w:val="0"/>
      <w:divBdr>
        <w:top w:val="none" w:sz="0" w:space="0" w:color="auto"/>
        <w:left w:val="none" w:sz="0" w:space="0" w:color="auto"/>
        <w:bottom w:val="none" w:sz="0" w:space="0" w:color="auto"/>
        <w:right w:val="none" w:sz="0" w:space="0" w:color="auto"/>
      </w:divBdr>
    </w:div>
    <w:div w:id="1002127021">
      <w:bodyDiv w:val="1"/>
      <w:marLeft w:val="0"/>
      <w:marRight w:val="0"/>
      <w:marTop w:val="0"/>
      <w:marBottom w:val="0"/>
      <w:divBdr>
        <w:top w:val="none" w:sz="0" w:space="0" w:color="auto"/>
        <w:left w:val="none" w:sz="0" w:space="0" w:color="auto"/>
        <w:bottom w:val="none" w:sz="0" w:space="0" w:color="auto"/>
        <w:right w:val="none" w:sz="0" w:space="0" w:color="auto"/>
      </w:divBdr>
    </w:div>
    <w:div w:id="1002127842">
      <w:bodyDiv w:val="1"/>
      <w:marLeft w:val="0"/>
      <w:marRight w:val="0"/>
      <w:marTop w:val="0"/>
      <w:marBottom w:val="0"/>
      <w:divBdr>
        <w:top w:val="none" w:sz="0" w:space="0" w:color="auto"/>
        <w:left w:val="none" w:sz="0" w:space="0" w:color="auto"/>
        <w:bottom w:val="none" w:sz="0" w:space="0" w:color="auto"/>
        <w:right w:val="none" w:sz="0" w:space="0" w:color="auto"/>
      </w:divBdr>
    </w:div>
    <w:div w:id="1002395844">
      <w:bodyDiv w:val="1"/>
      <w:marLeft w:val="0"/>
      <w:marRight w:val="0"/>
      <w:marTop w:val="0"/>
      <w:marBottom w:val="0"/>
      <w:divBdr>
        <w:top w:val="none" w:sz="0" w:space="0" w:color="auto"/>
        <w:left w:val="none" w:sz="0" w:space="0" w:color="auto"/>
        <w:bottom w:val="none" w:sz="0" w:space="0" w:color="auto"/>
        <w:right w:val="none" w:sz="0" w:space="0" w:color="auto"/>
      </w:divBdr>
    </w:div>
    <w:div w:id="1002584640">
      <w:bodyDiv w:val="1"/>
      <w:marLeft w:val="0"/>
      <w:marRight w:val="0"/>
      <w:marTop w:val="0"/>
      <w:marBottom w:val="0"/>
      <w:divBdr>
        <w:top w:val="none" w:sz="0" w:space="0" w:color="auto"/>
        <w:left w:val="none" w:sz="0" w:space="0" w:color="auto"/>
        <w:bottom w:val="none" w:sz="0" w:space="0" w:color="auto"/>
        <w:right w:val="none" w:sz="0" w:space="0" w:color="auto"/>
      </w:divBdr>
    </w:div>
    <w:div w:id="1002586121">
      <w:bodyDiv w:val="1"/>
      <w:marLeft w:val="0"/>
      <w:marRight w:val="0"/>
      <w:marTop w:val="0"/>
      <w:marBottom w:val="0"/>
      <w:divBdr>
        <w:top w:val="none" w:sz="0" w:space="0" w:color="auto"/>
        <w:left w:val="none" w:sz="0" w:space="0" w:color="auto"/>
        <w:bottom w:val="none" w:sz="0" w:space="0" w:color="auto"/>
        <w:right w:val="none" w:sz="0" w:space="0" w:color="auto"/>
      </w:divBdr>
    </w:div>
    <w:div w:id="1002660591">
      <w:bodyDiv w:val="1"/>
      <w:marLeft w:val="0"/>
      <w:marRight w:val="0"/>
      <w:marTop w:val="0"/>
      <w:marBottom w:val="0"/>
      <w:divBdr>
        <w:top w:val="none" w:sz="0" w:space="0" w:color="auto"/>
        <w:left w:val="none" w:sz="0" w:space="0" w:color="auto"/>
        <w:bottom w:val="none" w:sz="0" w:space="0" w:color="auto"/>
        <w:right w:val="none" w:sz="0" w:space="0" w:color="auto"/>
      </w:divBdr>
    </w:div>
    <w:div w:id="1002782684">
      <w:bodyDiv w:val="1"/>
      <w:marLeft w:val="0"/>
      <w:marRight w:val="0"/>
      <w:marTop w:val="0"/>
      <w:marBottom w:val="0"/>
      <w:divBdr>
        <w:top w:val="none" w:sz="0" w:space="0" w:color="auto"/>
        <w:left w:val="none" w:sz="0" w:space="0" w:color="auto"/>
        <w:bottom w:val="none" w:sz="0" w:space="0" w:color="auto"/>
        <w:right w:val="none" w:sz="0" w:space="0" w:color="auto"/>
      </w:divBdr>
    </w:div>
    <w:div w:id="1002901300">
      <w:bodyDiv w:val="1"/>
      <w:marLeft w:val="0"/>
      <w:marRight w:val="0"/>
      <w:marTop w:val="0"/>
      <w:marBottom w:val="0"/>
      <w:divBdr>
        <w:top w:val="none" w:sz="0" w:space="0" w:color="auto"/>
        <w:left w:val="none" w:sz="0" w:space="0" w:color="auto"/>
        <w:bottom w:val="none" w:sz="0" w:space="0" w:color="auto"/>
        <w:right w:val="none" w:sz="0" w:space="0" w:color="auto"/>
      </w:divBdr>
    </w:div>
    <w:div w:id="1002969424">
      <w:bodyDiv w:val="1"/>
      <w:marLeft w:val="0"/>
      <w:marRight w:val="0"/>
      <w:marTop w:val="0"/>
      <w:marBottom w:val="0"/>
      <w:divBdr>
        <w:top w:val="none" w:sz="0" w:space="0" w:color="auto"/>
        <w:left w:val="none" w:sz="0" w:space="0" w:color="auto"/>
        <w:bottom w:val="none" w:sz="0" w:space="0" w:color="auto"/>
        <w:right w:val="none" w:sz="0" w:space="0" w:color="auto"/>
      </w:divBdr>
    </w:div>
    <w:div w:id="1003046194">
      <w:bodyDiv w:val="1"/>
      <w:marLeft w:val="0"/>
      <w:marRight w:val="0"/>
      <w:marTop w:val="0"/>
      <w:marBottom w:val="0"/>
      <w:divBdr>
        <w:top w:val="none" w:sz="0" w:space="0" w:color="auto"/>
        <w:left w:val="none" w:sz="0" w:space="0" w:color="auto"/>
        <w:bottom w:val="none" w:sz="0" w:space="0" w:color="auto"/>
        <w:right w:val="none" w:sz="0" w:space="0" w:color="auto"/>
      </w:divBdr>
    </w:div>
    <w:div w:id="1003050181">
      <w:bodyDiv w:val="1"/>
      <w:marLeft w:val="0"/>
      <w:marRight w:val="0"/>
      <w:marTop w:val="0"/>
      <w:marBottom w:val="0"/>
      <w:divBdr>
        <w:top w:val="none" w:sz="0" w:space="0" w:color="auto"/>
        <w:left w:val="none" w:sz="0" w:space="0" w:color="auto"/>
        <w:bottom w:val="none" w:sz="0" w:space="0" w:color="auto"/>
        <w:right w:val="none" w:sz="0" w:space="0" w:color="auto"/>
      </w:divBdr>
    </w:div>
    <w:div w:id="1003121110">
      <w:bodyDiv w:val="1"/>
      <w:marLeft w:val="0"/>
      <w:marRight w:val="0"/>
      <w:marTop w:val="0"/>
      <w:marBottom w:val="0"/>
      <w:divBdr>
        <w:top w:val="none" w:sz="0" w:space="0" w:color="auto"/>
        <w:left w:val="none" w:sz="0" w:space="0" w:color="auto"/>
        <w:bottom w:val="none" w:sz="0" w:space="0" w:color="auto"/>
        <w:right w:val="none" w:sz="0" w:space="0" w:color="auto"/>
      </w:divBdr>
    </w:div>
    <w:div w:id="1003121299">
      <w:bodyDiv w:val="1"/>
      <w:marLeft w:val="0"/>
      <w:marRight w:val="0"/>
      <w:marTop w:val="0"/>
      <w:marBottom w:val="0"/>
      <w:divBdr>
        <w:top w:val="none" w:sz="0" w:space="0" w:color="auto"/>
        <w:left w:val="none" w:sz="0" w:space="0" w:color="auto"/>
        <w:bottom w:val="none" w:sz="0" w:space="0" w:color="auto"/>
        <w:right w:val="none" w:sz="0" w:space="0" w:color="auto"/>
      </w:divBdr>
    </w:div>
    <w:div w:id="1003122425">
      <w:bodyDiv w:val="1"/>
      <w:marLeft w:val="0"/>
      <w:marRight w:val="0"/>
      <w:marTop w:val="0"/>
      <w:marBottom w:val="0"/>
      <w:divBdr>
        <w:top w:val="none" w:sz="0" w:space="0" w:color="auto"/>
        <w:left w:val="none" w:sz="0" w:space="0" w:color="auto"/>
        <w:bottom w:val="none" w:sz="0" w:space="0" w:color="auto"/>
        <w:right w:val="none" w:sz="0" w:space="0" w:color="auto"/>
      </w:divBdr>
    </w:div>
    <w:div w:id="1003124212">
      <w:bodyDiv w:val="1"/>
      <w:marLeft w:val="0"/>
      <w:marRight w:val="0"/>
      <w:marTop w:val="0"/>
      <w:marBottom w:val="0"/>
      <w:divBdr>
        <w:top w:val="none" w:sz="0" w:space="0" w:color="auto"/>
        <w:left w:val="none" w:sz="0" w:space="0" w:color="auto"/>
        <w:bottom w:val="none" w:sz="0" w:space="0" w:color="auto"/>
        <w:right w:val="none" w:sz="0" w:space="0" w:color="auto"/>
      </w:divBdr>
    </w:div>
    <w:div w:id="1003124769">
      <w:bodyDiv w:val="1"/>
      <w:marLeft w:val="0"/>
      <w:marRight w:val="0"/>
      <w:marTop w:val="0"/>
      <w:marBottom w:val="0"/>
      <w:divBdr>
        <w:top w:val="none" w:sz="0" w:space="0" w:color="auto"/>
        <w:left w:val="none" w:sz="0" w:space="0" w:color="auto"/>
        <w:bottom w:val="none" w:sz="0" w:space="0" w:color="auto"/>
        <w:right w:val="none" w:sz="0" w:space="0" w:color="auto"/>
      </w:divBdr>
    </w:div>
    <w:div w:id="1003243423">
      <w:bodyDiv w:val="1"/>
      <w:marLeft w:val="0"/>
      <w:marRight w:val="0"/>
      <w:marTop w:val="0"/>
      <w:marBottom w:val="0"/>
      <w:divBdr>
        <w:top w:val="none" w:sz="0" w:space="0" w:color="auto"/>
        <w:left w:val="none" w:sz="0" w:space="0" w:color="auto"/>
        <w:bottom w:val="none" w:sz="0" w:space="0" w:color="auto"/>
        <w:right w:val="none" w:sz="0" w:space="0" w:color="auto"/>
      </w:divBdr>
    </w:div>
    <w:div w:id="1003363468">
      <w:bodyDiv w:val="1"/>
      <w:marLeft w:val="0"/>
      <w:marRight w:val="0"/>
      <w:marTop w:val="0"/>
      <w:marBottom w:val="0"/>
      <w:divBdr>
        <w:top w:val="none" w:sz="0" w:space="0" w:color="auto"/>
        <w:left w:val="none" w:sz="0" w:space="0" w:color="auto"/>
        <w:bottom w:val="none" w:sz="0" w:space="0" w:color="auto"/>
        <w:right w:val="none" w:sz="0" w:space="0" w:color="auto"/>
      </w:divBdr>
    </w:div>
    <w:div w:id="1003430400">
      <w:bodyDiv w:val="1"/>
      <w:marLeft w:val="0"/>
      <w:marRight w:val="0"/>
      <w:marTop w:val="0"/>
      <w:marBottom w:val="0"/>
      <w:divBdr>
        <w:top w:val="none" w:sz="0" w:space="0" w:color="auto"/>
        <w:left w:val="none" w:sz="0" w:space="0" w:color="auto"/>
        <w:bottom w:val="none" w:sz="0" w:space="0" w:color="auto"/>
        <w:right w:val="none" w:sz="0" w:space="0" w:color="auto"/>
      </w:divBdr>
    </w:div>
    <w:div w:id="1003438266">
      <w:bodyDiv w:val="1"/>
      <w:marLeft w:val="0"/>
      <w:marRight w:val="0"/>
      <w:marTop w:val="0"/>
      <w:marBottom w:val="0"/>
      <w:divBdr>
        <w:top w:val="none" w:sz="0" w:space="0" w:color="auto"/>
        <w:left w:val="none" w:sz="0" w:space="0" w:color="auto"/>
        <w:bottom w:val="none" w:sz="0" w:space="0" w:color="auto"/>
        <w:right w:val="none" w:sz="0" w:space="0" w:color="auto"/>
      </w:divBdr>
    </w:div>
    <w:div w:id="1003511373">
      <w:bodyDiv w:val="1"/>
      <w:marLeft w:val="0"/>
      <w:marRight w:val="0"/>
      <w:marTop w:val="0"/>
      <w:marBottom w:val="0"/>
      <w:divBdr>
        <w:top w:val="none" w:sz="0" w:space="0" w:color="auto"/>
        <w:left w:val="none" w:sz="0" w:space="0" w:color="auto"/>
        <w:bottom w:val="none" w:sz="0" w:space="0" w:color="auto"/>
        <w:right w:val="none" w:sz="0" w:space="0" w:color="auto"/>
      </w:divBdr>
    </w:div>
    <w:div w:id="1003556638">
      <w:bodyDiv w:val="1"/>
      <w:marLeft w:val="0"/>
      <w:marRight w:val="0"/>
      <w:marTop w:val="0"/>
      <w:marBottom w:val="0"/>
      <w:divBdr>
        <w:top w:val="none" w:sz="0" w:space="0" w:color="auto"/>
        <w:left w:val="none" w:sz="0" w:space="0" w:color="auto"/>
        <w:bottom w:val="none" w:sz="0" w:space="0" w:color="auto"/>
        <w:right w:val="none" w:sz="0" w:space="0" w:color="auto"/>
      </w:divBdr>
    </w:div>
    <w:div w:id="1003584300">
      <w:bodyDiv w:val="1"/>
      <w:marLeft w:val="0"/>
      <w:marRight w:val="0"/>
      <w:marTop w:val="0"/>
      <w:marBottom w:val="0"/>
      <w:divBdr>
        <w:top w:val="none" w:sz="0" w:space="0" w:color="auto"/>
        <w:left w:val="none" w:sz="0" w:space="0" w:color="auto"/>
        <w:bottom w:val="none" w:sz="0" w:space="0" w:color="auto"/>
        <w:right w:val="none" w:sz="0" w:space="0" w:color="auto"/>
      </w:divBdr>
    </w:div>
    <w:div w:id="1003630256">
      <w:bodyDiv w:val="1"/>
      <w:marLeft w:val="0"/>
      <w:marRight w:val="0"/>
      <w:marTop w:val="0"/>
      <w:marBottom w:val="0"/>
      <w:divBdr>
        <w:top w:val="none" w:sz="0" w:space="0" w:color="auto"/>
        <w:left w:val="none" w:sz="0" w:space="0" w:color="auto"/>
        <w:bottom w:val="none" w:sz="0" w:space="0" w:color="auto"/>
        <w:right w:val="none" w:sz="0" w:space="0" w:color="auto"/>
      </w:divBdr>
    </w:div>
    <w:div w:id="1003704150">
      <w:bodyDiv w:val="1"/>
      <w:marLeft w:val="0"/>
      <w:marRight w:val="0"/>
      <w:marTop w:val="0"/>
      <w:marBottom w:val="0"/>
      <w:divBdr>
        <w:top w:val="none" w:sz="0" w:space="0" w:color="auto"/>
        <w:left w:val="none" w:sz="0" w:space="0" w:color="auto"/>
        <w:bottom w:val="none" w:sz="0" w:space="0" w:color="auto"/>
        <w:right w:val="none" w:sz="0" w:space="0" w:color="auto"/>
      </w:divBdr>
    </w:div>
    <w:div w:id="1003708129">
      <w:bodyDiv w:val="1"/>
      <w:marLeft w:val="0"/>
      <w:marRight w:val="0"/>
      <w:marTop w:val="0"/>
      <w:marBottom w:val="0"/>
      <w:divBdr>
        <w:top w:val="none" w:sz="0" w:space="0" w:color="auto"/>
        <w:left w:val="none" w:sz="0" w:space="0" w:color="auto"/>
        <w:bottom w:val="none" w:sz="0" w:space="0" w:color="auto"/>
        <w:right w:val="none" w:sz="0" w:space="0" w:color="auto"/>
      </w:divBdr>
    </w:div>
    <w:div w:id="1003821008">
      <w:bodyDiv w:val="1"/>
      <w:marLeft w:val="0"/>
      <w:marRight w:val="0"/>
      <w:marTop w:val="0"/>
      <w:marBottom w:val="0"/>
      <w:divBdr>
        <w:top w:val="none" w:sz="0" w:space="0" w:color="auto"/>
        <w:left w:val="none" w:sz="0" w:space="0" w:color="auto"/>
        <w:bottom w:val="none" w:sz="0" w:space="0" w:color="auto"/>
        <w:right w:val="none" w:sz="0" w:space="0" w:color="auto"/>
      </w:divBdr>
    </w:div>
    <w:div w:id="1003893748">
      <w:bodyDiv w:val="1"/>
      <w:marLeft w:val="0"/>
      <w:marRight w:val="0"/>
      <w:marTop w:val="0"/>
      <w:marBottom w:val="0"/>
      <w:divBdr>
        <w:top w:val="none" w:sz="0" w:space="0" w:color="auto"/>
        <w:left w:val="none" w:sz="0" w:space="0" w:color="auto"/>
        <w:bottom w:val="none" w:sz="0" w:space="0" w:color="auto"/>
        <w:right w:val="none" w:sz="0" w:space="0" w:color="auto"/>
      </w:divBdr>
    </w:div>
    <w:div w:id="1003899894">
      <w:bodyDiv w:val="1"/>
      <w:marLeft w:val="0"/>
      <w:marRight w:val="0"/>
      <w:marTop w:val="0"/>
      <w:marBottom w:val="0"/>
      <w:divBdr>
        <w:top w:val="none" w:sz="0" w:space="0" w:color="auto"/>
        <w:left w:val="none" w:sz="0" w:space="0" w:color="auto"/>
        <w:bottom w:val="none" w:sz="0" w:space="0" w:color="auto"/>
        <w:right w:val="none" w:sz="0" w:space="0" w:color="auto"/>
      </w:divBdr>
    </w:div>
    <w:div w:id="1004017695">
      <w:bodyDiv w:val="1"/>
      <w:marLeft w:val="0"/>
      <w:marRight w:val="0"/>
      <w:marTop w:val="0"/>
      <w:marBottom w:val="0"/>
      <w:divBdr>
        <w:top w:val="none" w:sz="0" w:space="0" w:color="auto"/>
        <w:left w:val="none" w:sz="0" w:space="0" w:color="auto"/>
        <w:bottom w:val="none" w:sz="0" w:space="0" w:color="auto"/>
        <w:right w:val="none" w:sz="0" w:space="0" w:color="auto"/>
      </w:divBdr>
    </w:div>
    <w:div w:id="1004090822">
      <w:bodyDiv w:val="1"/>
      <w:marLeft w:val="0"/>
      <w:marRight w:val="0"/>
      <w:marTop w:val="0"/>
      <w:marBottom w:val="0"/>
      <w:divBdr>
        <w:top w:val="none" w:sz="0" w:space="0" w:color="auto"/>
        <w:left w:val="none" w:sz="0" w:space="0" w:color="auto"/>
        <w:bottom w:val="none" w:sz="0" w:space="0" w:color="auto"/>
        <w:right w:val="none" w:sz="0" w:space="0" w:color="auto"/>
      </w:divBdr>
    </w:div>
    <w:div w:id="1004162375">
      <w:bodyDiv w:val="1"/>
      <w:marLeft w:val="0"/>
      <w:marRight w:val="0"/>
      <w:marTop w:val="0"/>
      <w:marBottom w:val="0"/>
      <w:divBdr>
        <w:top w:val="none" w:sz="0" w:space="0" w:color="auto"/>
        <w:left w:val="none" w:sz="0" w:space="0" w:color="auto"/>
        <w:bottom w:val="none" w:sz="0" w:space="0" w:color="auto"/>
        <w:right w:val="none" w:sz="0" w:space="0" w:color="auto"/>
      </w:divBdr>
    </w:div>
    <w:div w:id="1004167990">
      <w:bodyDiv w:val="1"/>
      <w:marLeft w:val="0"/>
      <w:marRight w:val="0"/>
      <w:marTop w:val="0"/>
      <w:marBottom w:val="0"/>
      <w:divBdr>
        <w:top w:val="none" w:sz="0" w:space="0" w:color="auto"/>
        <w:left w:val="none" w:sz="0" w:space="0" w:color="auto"/>
        <w:bottom w:val="none" w:sz="0" w:space="0" w:color="auto"/>
        <w:right w:val="none" w:sz="0" w:space="0" w:color="auto"/>
      </w:divBdr>
    </w:div>
    <w:div w:id="1004170169">
      <w:bodyDiv w:val="1"/>
      <w:marLeft w:val="0"/>
      <w:marRight w:val="0"/>
      <w:marTop w:val="0"/>
      <w:marBottom w:val="0"/>
      <w:divBdr>
        <w:top w:val="none" w:sz="0" w:space="0" w:color="auto"/>
        <w:left w:val="none" w:sz="0" w:space="0" w:color="auto"/>
        <w:bottom w:val="none" w:sz="0" w:space="0" w:color="auto"/>
        <w:right w:val="none" w:sz="0" w:space="0" w:color="auto"/>
      </w:divBdr>
    </w:div>
    <w:div w:id="1004282184">
      <w:bodyDiv w:val="1"/>
      <w:marLeft w:val="0"/>
      <w:marRight w:val="0"/>
      <w:marTop w:val="0"/>
      <w:marBottom w:val="0"/>
      <w:divBdr>
        <w:top w:val="none" w:sz="0" w:space="0" w:color="auto"/>
        <w:left w:val="none" w:sz="0" w:space="0" w:color="auto"/>
        <w:bottom w:val="none" w:sz="0" w:space="0" w:color="auto"/>
        <w:right w:val="none" w:sz="0" w:space="0" w:color="auto"/>
      </w:divBdr>
    </w:div>
    <w:div w:id="1004285517">
      <w:bodyDiv w:val="1"/>
      <w:marLeft w:val="0"/>
      <w:marRight w:val="0"/>
      <w:marTop w:val="0"/>
      <w:marBottom w:val="0"/>
      <w:divBdr>
        <w:top w:val="none" w:sz="0" w:space="0" w:color="auto"/>
        <w:left w:val="none" w:sz="0" w:space="0" w:color="auto"/>
        <w:bottom w:val="none" w:sz="0" w:space="0" w:color="auto"/>
        <w:right w:val="none" w:sz="0" w:space="0" w:color="auto"/>
      </w:divBdr>
    </w:div>
    <w:div w:id="1004287785">
      <w:bodyDiv w:val="1"/>
      <w:marLeft w:val="0"/>
      <w:marRight w:val="0"/>
      <w:marTop w:val="0"/>
      <w:marBottom w:val="0"/>
      <w:divBdr>
        <w:top w:val="none" w:sz="0" w:space="0" w:color="auto"/>
        <w:left w:val="none" w:sz="0" w:space="0" w:color="auto"/>
        <w:bottom w:val="none" w:sz="0" w:space="0" w:color="auto"/>
        <w:right w:val="none" w:sz="0" w:space="0" w:color="auto"/>
      </w:divBdr>
    </w:div>
    <w:div w:id="1004354724">
      <w:bodyDiv w:val="1"/>
      <w:marLeft w:val="0"/>
      <w:marRight w:val="0"/>
      <w:marTop w:val="0"/>
      <w:marBottom w:val="0"/>
      <w:divBdr>
        <w:top w:val="none" w:sz="0" w:space="0" w:color="auto"/>
        <w:left w:val="none" w:sz="0" w:space="0" w:color="auto"/>
        <w:bottom w:val="none" w:sz="0" w:space="0" w:color="auto"/>
        <w:right w:val="none" w:sz="0" w:space="0" w:color="auto"/>
      </w:divBdr>
    </w:div>
    <w:div w:id="1004432732">
      <w:bodyDiv w:val="1"/>
      <w:marLeft w:val="0"/>
      <w:marRight w:val="0"/>
      <w:marTop w:val="0"/>
      <w:marBottom w:val="0"/>
      <w:divBdr>
        <w:top w:val="none" w:sz="0" w:space="0" w:color="auto"/>
        <w:left w:val="none" w:sz="0" w:space="0" w:color="auto"/>
        <w:bottom w:val="none" w:sz="0" w:space="0" w:color="auto"/>
        <w:right w:val="none" w:sz="0" w:space="0" w:color="auto"/>
      </w:divBdr>
    </w:div>
    <w:div w:id="1004555583">
      <w:bodyDiv w:val="1"/>
      <w:marLeft w:val="0"/>
      <w:marRight w:val="0"/>
      <w:marTop w:val="0"/>
      <w:marBottom w:val="0"/>
      <w:divBdr>
        <w:top w:val="none" w:sz="0" w:space="0" w:color="auto"/>
        <w:left w:val="none" w:sz="0" w:space="0" w:color="auto"/>
        <w:bottom w:val="none" w:sz="0" w:space="0" w:color="auto"/>
        <w:right w:val="none" w:sz="0" w:space="0" w:color="auto"/>
      </w:divBdr>
    </w:div>
    <w:div w:id="1004627418">
      <w:bodyDiv w:val="1"/>
      <w:marLeft w:val="0"/>
      <w:marRight w:val="0"/>
      <w:marTop w:val="0"/>
      <w:marBottom w:val="0"/>
      <w:divBdr>
        <w:top w:val="none" w:sz="0" w:space="0" w:color="auto"/>
        <w:left w:val="none" w:sz="0" w:space="0" w:color="auto"/>
        <w:bottom w:val="none" w:sz="0" w:space="0" w:color="auto"/>
        <w:right w:val="none" w:sz="0" w:space="0" w:color="auto"/>
      </w:divBdr>
    </w:div>
    <w:div w:id="1004742370">
      <w:bodyDiv w:val="1"/>
      <w:marLeft w:val="0"/>
      <w:marRight w:val="0"/>
      <w:marTop w:val="0"/>
      <w:marBottom w:val="0"/>
      <w:divBdr>
        <w:top w:val="none" w:sz="0" w:space="0" w:color="auto"/>
        <w:left w:val="none" w:sz="0" w:space="0" w:color="auto"/>
        <w:bottom w:val="none" w:sz="0" w:space="0" w:color="auto"/>
        <w:right w:val="none" w:sz="0" w:space="0" w:color="auto"/>
      </w:divBdr>
    </w:div>
    <w:div w:id="1004746069">
      <w:bodyDiv w:val="1"/>
      <w:marLeft w:val="0"/>
      <w:marRight w:val="0"/>
      <w:marTop w:val="0"/>
      <w:marBottom w:val="0"/>
      <w:divBdr>
        <w:top w:val="none" w:sz="0" w:space="0" w:color="auto"/>
        <w:left w:val="none" w:sz="0" w:space="0" w:color="auto"/>
        <w:bottom w:val="none" w:sz="0" w:space="0" w:color="auto"/>
        <w:right w:val="none" w:sz="0" w:space="0" w:color="auto"/>
      </w:divBdr>
    </w:div>
    <w:div w:id="1004816693">
      <w:bodyDiv w:val="1"/>
      <w:marLeft w:val="0"/>
      <w:marRight w:val="0"/>
      <w:marTop w:val="0"/>
      <w:marBottom w:val="0"/>
      <w:divBdr>
        <w:top w:val="none" w:sz="0" w:space="0" w:color="auto"/>
        <w:left w:val="none" w:sz="0" w:space="0" w:color="auto"/>
        <w:bottom w:val="none" w:sz="0" w:space="0" w:color="auto"/>
        <w:right w:val="none" w:sz="0" w:space="0" w:color="auto"/>
      </w:divBdr>
    </w:div>
    <w:div w:id="1004939343">
      <w:bodyDiv w:val="1"/>
      <w:marLeft w:val="0"/>
      <w:marRight w:val="0"/>
      <w:marTop w:val="0"/>
      <w:marBottom w:val="0"/>
      <w:divBdr>
        <w:top w:val="none" w:sz="0" w:space="0" w:color="auto"/>
        <w:left w:val="none" w:sz="0" w:space="0" w:color="auto"/>
        <w:bottom w:val="none" w:sz="0" w:space="0" w:color="auto"/>
        <w:right w:val="none" w:sz="0" w:space="0" w:color="auto"/>
      </w:divBdr>
    </w:div>
    <w:div w:id="1005014769">
      <w:bodyDiv w:val="1"/>
      <w:marLeft w:val="0"/>
      <w:marRight w:val="0"/>
      <w:marTop w:val="0"/>
      <w:marBottom w:val="0"/>
      <w:divBdr>
        <w:top w:val="none" w:sz="0" w:space="0" w:color="auto"/>
        <w:left w:val="none" w:sz="0" w:space="0" w:color="auto"/>
        <w:bottom w:val="none" w:sz="0" w:space="0" w:color="auto"/>
        <w:right w:val="none" w:sz="0" w:space="0" w:color="auto"/>
      </w:divBdr>
    </w:div>
    <w:div w:id="1005091485">
      <w:bodyDiv w:val="1"/>
      <w:marLeft w:val="0"/>
      <w:marRight w:val="0"/>
      <w:marTop w:val="0"/>
      <w:marBottom w:val="0"/>
      <w:divBdr>
        <w:top w:val="none" w:sz="0" w:space="0" w:color="auto"/>
        <w:left w:val="none" w:sz="0" w:space="0" w:color="auto"/>
        <w:bottom w:val="none" w:sz="0" w:space="0" w:color="auto"/>
        <w:right w:val="none" w:sz="0" w:space="0" w:color="auto"/>
      </w:divBdr>
    </w:div>
    <w:div w:id="1005209229">
      <w:bodyDiv w:val="1"/>
      <w:marLeft w:val="0"/>
      <w:marRight w:val="0"/>
      <w:marTop w:val="0"/>
      <w:marBottom w:val="0"/>
      <w:divBdr>
        <w:top w:val="none" w:sz="0" w:space="0" w:color="auto"/>
        <w:left w:val="none" w:sz="0" w:space="0" w:color="auto"/>
        <w:bottom w:val="none" w:sz="0" w:space="0" w:color="auto"/>
        <w:right w:val="none" w:sz="0" w:space="0" w:color="auto"/>
      </w:divBdr>
    </w:div>
    <w:div w:id="1005210401">
      <w:bodyDiv w:val="1"/>
      <w:marLeft w:val="0"/>
      <w:marRight w:val="0"/>
      <w:marTop w:val="0"/>
      <w:marBottom w:val="0"/>
      <w:divBdr>
        <w:top w:val="none" w:sz="0" w:space="0" w:color="auto"/>
        <w:left w:val="none" w:sz="0" w:space="0" w:color="auto"/>
        <w:bottom w:val="none" w:sz="0" w:space="0" w:color="auto"/>
        <w:right w:val="none" w:sz="0" w:space="0" w:color="auto"/>
      </w:divBdr>
    </w:div>
    <w:div w:id="1005286633">
      <w:bodyDiv w:val="1"/>
      <w:marLeft w:val="0"/>
      <w:marRight w:val="0"/>
      <w:marTop w:val="0"/>
      <w:marBottom w:val="0"/>
      <w:divBdr>
        <w:top w:val="none" w:sz="0" w:space="0" w:color="auto"/>
        <w:left w:val="none" w:sz="0" w:space="0" w:color="auto"/>
        <w:bottom w:val="none" w:sz="0" w:space="0" w:color="auto"/>
        <w:right w:val="none" w:sz="0" w:space="0" w:color="auto"/>
      </w:divBdr>
    </w:div>
    <w:div w:id="1005325974">
      <w:bodyDiv w:val="1"/>
      <w:marLeft w:val="0"/>
      <w:marRight w:val="0"/>
      <w:marTop w:val="0"/>
      <w:marBottom w:val="0"/>
      <w:divBdr>
        <w:top w:val="none" w:sz="0" w:space="0" w:color="auto"/>
        <w:left w:val="none" w:sz="0" w:space="0" w:color="auto"/>
        <w:bottom w:val="none" w:sz="0" w:space="0" w:color="auto"/>
        <w:right w:val="none" w:sz="0" w:space="0" w:color="auto"/>
      </w:divBdr>
    </w:div>
    <w:div w:id="1005354073">
      <w:bodyDiv w:val="1"/>
      <w:marLeft w:val="0"/>
      <w:marRight w:val="0"/>
      <w:marTop w:val="0"/>
      <w:marBottom w:val="0"/>
      <w:divBdr>
        <w:top w:val="none" w:sz="0" w:space="0" w:color="auto"/>
        <w:left w:val="none" w:sz="0" w:space="0" w:color="auto"/>
        <w:bottom w:val="none" w:sz="0" w:space="0" w:color="auto"/>
        <w:right w:val="none" w:sz="0" w:space="0" w:color="auto"/>
      </w:divBdr>
    </w:div>
    <w:div w:id="1005396998">
      <w:bodyDiv w:val="1"/>
      <w:marLeft w:val="0"/>
      <w:marRight w:val="0"/>
      <w:marTop w:val="0"/>
      <w:marBottom w:val="0"/>
      <w:divBdr>
        <w:top w:val="none" w:sz="0" w:space="0" w:color="auto"/>
        <w:left w:val="none" w:sz="0" w:space="0" w:color="auto"/>
        <w:bottom w:val="none" w:sz="0" w:space="0" w:color="auto"/>
        <w:right w:val="none" w:sz="0" w:space="0" w:color="auto"/>
      </w:divBdr>
    </w:div>
    <w:div w:id="1005474127">
      <w:bodyDiv w:val="1"/>
      <w:marLeft w:val="0"/>
      <w:marRight w:val="0"/>
      <w:marTop w:val="0"/>
      <w:marBottom w:val="0"/>
      <w:divBdr>
        <w:top w:val="none" w:sz="0" w:space="0" w:color="auto"/>
        <w:left w:val="none" w:sz="0" w:space="0" w:color="auto"/>
        <w:bottom w:val="none" w:sz="0" w:space="0" w:color="auto"/>
        <w:right w:val="none" w:sz="0" w:space="0" w:color="auto"/>
      </w:divBdr>
    </w:div>
    <w:div w:id="1005550767">
      <w:bodyDiv w:val="1"/>
      <w:marLeft w:val="0"/>
      <w:marRight w:val="0"/>
      <w:marTop w:val="0"/>
      <w:marBottom w:val="0"/>
      <w:divBdr>
        <w:top w:val="none" w:sz="0" w:space="0" w:color="auto"/>
        <w:left w:val="none" w:sz="0" w:space="0" w:color="auto"/>
        <w:bottom w:val="none" w:sz="0" w:space="0" w:color="auto"/>
        <w:right w:val="none" w:sz="0" w:space="0" w:color="auto"/>
      </w:divBdr>
    </w:div>
    <w:div w:id="1005668979">
      <w:bodyDiv w:val="1"/>
      <w:marLeft w:val="0"/>
      <w:marRight w:val="0"/>
      <w:marTop w:val="0"/>
      <w:marBottom w:val="0"/>
      <w:divBdr>
        <w:top w:val="none" w:sz="0" w:space="0" w:color="auto"/>
        <w:left w:val="none" w:sz="0" w:space="0" w:color="auto"/>
        <w:bottom w:val="none" w:sz="0" w:space="0" w:color="auto"/>
        <w:right w:val="none" w:sz="0" w:space="0" w:color="auto"/>
      </w:divBdr>
    </w:div>
    <w:div w:id="1005740254">
      <w:bodyDiv w:val="1"/>
      <w:marLeft w:val="0"/>
      <w:marRight w:val="0"/>
      <w:marTop w:val="0"/>
      <w:marBottom w:val="0"/>
      <w:divBdr>
        <w:top w:val="none" w:sz="0" w:space="0" w:color="auto"/>
        <w:left w:val="none" w:sz="0" w:space="0" w:color="auto"/>
        <w:bottom w:val="none" w:sz="0" w:space="0" w:color="auto"/>
        <w:right w:val="none" w:sz="0" w:space="0" w:color="auto"/>
      </w:divBdr>
    </w:div>
    <w:div w:id="1005860186">
      <w:bodyDiv w:val="1"/>
      <w:marLeft w:val="0"/>
      <w:marRight w:val="0"/>
      <w:marTop w:val="0"/>
      <w:marBottom w:val="0"/>
      <w:divBdr>
        <w:top w:val="none" w:sz="0" w:space="0" w:color="auto"/>
        <w:left w:val="none" w:sz="0" w:space="0" w:color="auto"/>
        <w:bottom w:val="none" w:sz="0" w:space="0" w:color="auto"/>
        <w:right w:val="none" w:sz="0" w:space="0" w:color="auto"/>
      </w:divBdr>
    </w:div>
    <w:div w:id="1005863192">
      <w:bodyDiv w:val="1"/>
      <w:marLeft w:val="0"/>
      <w:marRight w:val="0"/>
      <w:marTop w:val="0"/>
      <w:marBottom w:val="0"/>
      <w:divBdr>
        <w:top w:val="none" w:sz="0" w:space="0" w:color="auto"/>
        <w:left w:val="none" w:sz="0" w:space="0" w:color="auto"/>
        <w:bottom w:val="none" w:sz="0" w:space="0" w:color="auto"/>
        <w:right w:val="none" w:sz="0" w:space="0" w:color="auto"/>
      </w:divBdr>
    </w:div>
    <w:div w:id="1005867633">
      <w:bodyDiv w:val="1"/>
      <w:marLeft w:val="0"/>
      <w:marRight w:val="0"/>
      <w:marTop w:val="0"/>
      <w:marBottom w:val="0"/>
      <w:divBdr>
        <w:top w:val="none" w:sz="0" w:space="0" w:color="auto"/>
        <w:left w:val="none" w:sz="0" w:space="0" w:color="auto"/>
        <w:bottom w:val="none" w:sz="0" w:space="0" w:color="auto"/>
        <w:right w:val="none" w:sz="0" w:space="0" w:color="auto"/>
      </w:divBdr>
    </w:div>
    <w:div w:id="1005983885">
      <w:bodyDiv w:val="1"/>
      <w:marLeft w:val="0"/>
      <w:marRight w:val="0"/>
      <w:marTop w:val="0"/>
      <w:marBottom w:val="0"/>
      <w:divBdr>
        <w:top w:val="none" w:sz="0" w:space="0" w:color="auto"/>
        <w:left w:val="none" w:sz="0" w:space="0" w:color="auto"/>
        <w:bottom w:val="none" w:sz="0" w:space="0" w:color="auto"/>
        <w:right w:val="none" w:sz="0" w:space="0" w:color="auto"/>
      </w:divBdr>
    </w:div>
    <w:div w:id="1005985250">
      <w:bodyDiv w:val="1"/>
      <w:marLeft w:val="0"/>
      <w:marRight w:val="0"/>
      <w:marTop w:val="0"/>
      <w:marBottom w:val="0"/>
      <w:divBdr>
        <w:top w:val="none" w:sz="0" w:space="0" w:color="auto"/>
        <w:left w:val="none" w:sz="0" w:space="0" w:color="auto"/>
        <w:bottom w:val="none" w:sz="0" w:space="0" w:color="auto"/>
        <w:right w:val="none" w:sz="0" w:space="0" w:color="auto"/>
      </w:divBdr>
    </w:div>
    <w:div w:id="1006178298">
      <w:bodyDiv w:val="1"/>
      <w:marLeft w:val="0"/>
      <w:marRight w:val="0"/>
      <w:marTop w:val="0"/>
      <w:marBottom w:val="0"/>
      <w:divBdr>
        <w:top w:val="none" w:sz="0" w:space="0" w:color="auto"/>
        <w:left w:val="none" w:sz="0" w:space="0" w:color="auto"/>
        <w:bottom w:val="none" w:sz="0" w:space="0" w:color="auto"/>
        <w:right w:val="none" w:sz="0" w:space="0" w:color="auto"/>
      </w:divBdr>
    </w:div>
    <w:div w:id="1006178913">
      <w:bodyDiv w:val="1"/>
      <w:marLeft w:val="0"/>
      <w:marRight w:val="0"/>
      <w:marTop w:val="0"/>
      <w:marBottom w:val="0"/>
      <w:divBdr>
        <w:top w:val="none" w:sz="0" w:space="0" w:color="auto"/>
        <w:left w:val="none" w:sz="0" w:space="0" w:color="auto"/>
        <w:bottom w:val="none" w:sz="0" w:space="0" w:color="auto"/>
        <w:right w:val="none" w:sz="0" w:space="0" w:color="auto"/>
      </w:divBdr>
    </w:div>
    <w:div w:id="1006206102">
      <w:bodyDiv w:val="1"/>
      <w:marLeft w:val="0"/>
      <w:marRight w:val="0"/>
      <w:marTop w:val="0"/>
      <w:marBottom w:val="0"/>
      <w:divBdr>
        <w:top w:val="none" w:sz="0" w:space="0" w:color="auto"/>
        <w:left w:val="none" w:sz="0" w:space="0" w:color="auto"/>
        <w:bottom w:val="none" w:sz="0" w:space="0" w:color="auto"/>
        <w:right w:val="none" w:sz="0" w:space="0" w:color="auto"/>
      </w:divBdr>
    </w:div>
    <w:div w:id="1006248982">
      <w:bodyDiv w:val="1"/>
      <w:marLeft w:val="0"/>
      <w:marRight w:val="0"/>
      <w:marTop w:val="0"/>
      <w:marBottom w:val="0"/>
      <w:divBdr>
        <w:top w:val="none" w:sz="0" w:space="0" w:color="auto"/>
        <w:left w:val="none" w:sz="0" w:space="0" w:color="auto"/>
        <w:bottom w:val="none" w:sz="0" w:space="0" w:color="auto"/>
        <w:right w:val="none" w:sz="0" w:space="0" w:color="auto"/>
      </w:divBdr>
    </w:div>
    <w:div w:id="1006252582">
      <w:bodyDiv w:val="1"/>
      <w:marLeft w:val="0"/>
      <w:marRight w:val="0"/>
      <w:marTop w:val="0"/>
      <w:marBottom w:val="0"/>
      <w:divBdr>
        <w:top w:val="none" w:sz="0" w:space="0" w:color="auto"/>
        <w:left w:val="none" w:sz="0" w:space="0" w:color="auto"/>
        <w:bottom w:val="none" w:sz="0" w:space="0" w:color="auto"/>
        <w:right w:val="none" w:sz="0" w:space="0" w:color="auto"/>
      </w:divBdr>
    </w:div>
    <w:div w:id="1006396348">
      <w:bodyDiv w:val="1"/>
      <w:marLeft w:val="0"/>
      <w:marRight w:val="0"/>
      <w:marTop w:val="0"/>
      <w:marBottom w:val="0"/>
      <w:divBdr>
        <w:top w:val="none" w:sz="0" w:space="0" w:color="auto"/>
        <w:left w:val="none" w:sz="0" w:space="0" w:color="auto"/>
        <w:bottom w:val="none" w:sz="0" w:space="0" w:color="auto"/>
        <w:right w:val="none" w:sz="0" w:space="0" w:color="auto"/>
      </w:divBdr>
    </w:div>
    <w:div w:id="1006400028">
      <w:bodyDiv w:val="1"/>
      <w:marLeft w:val="0"/>
      <w:marRight w:val="0"/>
      <w:marTop w:val="0"/>
      <w:marBottom w:val="0"/>
      <w:divBdr>
        <w:top w:val="none" w:sz="0" w:space="0" w:color="auto"/>
        <w:left w:val="none" w:sz="0" w:space="0" w:color="auto"/>
        <w:bottom w:val="none" w:sz="0" w:space="0" w:color="auto"/>
        <w:right w:val="none" w:sz="0" w:space="0" w:color="auto"/>
      </w:divBdr>
    </w:div>
    <w:div w:id="1006402961">
      <w:bodyDiv w:val="1"/>
      <w:marLeft w:val="0"/>
      <w:marRight w:val="0"/>
      <w:marTop w:val="0"/>
      <w:marBottom w:val="0"/>
      <w:divBdr>
        <w:top w:val="none" w:sz="0" w:space="0" w:color="auto"/>
        <w:left w:val="none" w:sz="0" w:space="0" w:color="auto"/>
        <w:bottom w:val="none" w:sz="0" w:space="0" w:color="auto"/>
        <w:right w:val="none" w:sz="0" w:space="0" w:color="auto"/>
      </w:divBdr>
    </w:div>
    <w:div w:id="1006439568">
      <w:bodyDiv w:val="1"/>
      <w:marLeft w:val="0"/>
      <w:marRight w:val="0"/>
      <w:marTop w:val="0"/>
      <w:marBottom w:val="0"/>
      <w:divBdr>
        <w:top w:val="none" w:sz="0" w:space="0" w:color="auto"/>
        <w:left w:val="none" w:sz="0" w:space="0" w:color="auto"/>
        <w:bottom w:val="none" w:sz="0" w:space="0" w:color="auto"/>
        <w:right w:val="none" w:sz="0" w:space="0" w:color="auto"/>
      </w:divBdr>
    </w:div>
    <w:div w:id="1006516532">
      <w:bodyDiv w:val="1"/>
      <w:marLeft w:val="0"/>
      <w:marRight w:val="0"/>
      <w:marTop w:val="0"/>
      <w:marBottom w:val="0"/>
      <w:divBdr>
        <w:top w:val="none" w:sz="0" w:space="0" w:color="auto"/>
        <w:left w:val="none" w:sz="0" w:space="0" w:color="auto"/>
        <w:bottom w:val="none" w:sz="0" w:space="0" w:color="auto"/>
        <w:right w:val="none" w:sz="0" w:space="0" w:color="auto"/>
      </w:divBdr>
    </w:div>
    <w:div w:id="1006517744">
      <w:bodyDiv w:val="1"/>
      <w:marLeft w:val="0"/>
      <w:marRight w:val="0"/>
      <w:marTop w:val="0"/>
      <w:marBottom w:val="0"/>
      <w:divBdr>
        <w:top w:val="none" w:sz="0" w:space="0" w:color="auto"/>
        <w:left w:val="none" w:sz="0" w:space="0" w:color="auto"/>
        <w:bottom w:val="none" w:sz="0" w:space="0" w:color="auto"/>
        <w:right w:val="none" w:sz="0" w:space="0" w:color="auto"/>
      </w:divBdr>
    </w:div>
    <w:div w:id="1006519437">
      <w:bodyDiv w:val="1"/>
      <w:marLeft w:val="0"/>
      <w:marRight w:val="0"/>
      <w:marTop w:val="0"/>
      <w:marBottom w:val="0"/>
      <w:divBdr>
        <w:top w:val="none" w:sz="0" w:space="0" w:color="auto"/>
        <w:left w:val="none" w:sz="0" w:space="0" w:color="auto"/>
        <w:bottom w:val="none" w:sz="0" w:space="0" w:color="auto"/>
        <w:right w:val="none" w:sz="0" w:space="0" w:color="auto"/>
      </w:divBdr>
    </w:div>
    <w:div w:id="1006786826">
      <w:bodyDiv w:val="1"/>
      <w:marLeft w:val="0"/>
      <w:marRight w:val="0"/>
      <w:marTop w:val="0"/>
      <w:marBottom w:val="0"/>
      <w:divBdr>
        <w:top w:val="none" w:sz="0" w:space="0" w:color="auto"/>
        <w:left w:val="none" w:sz="0" w:space="0" w:color="auto"/>
        <w:bottom w:val="none" w:sz="0" w:space="0" w:color="auto"/>
        <w:right w:val="none" w:sz="0" w:space="0" w:color="auto"/>
      </w:divBdr>
    </w:div>
    <w:div w:id="1006787074">
      <w:bodyDiv w:val="1"/>
      <w:marLeft w:val="0"/>
      <w:marRight w:val="0"/>
      <w:marTop w:val="0"/>
      <w:marBottom w:val="0"/>
      <w:divBdr>
        <w:top w:val="none" w:sz="0" w:space="0" w:color="auto"/>
        <w:left w:val="none" w:sz="0" w:space="0" w:color="auto"/>
        <w:bottom w:val="none" w:sz="0" w:space="0" w:color="auto"/>
        <w:right w:val="none" w:sz="0" w:space="0" w:color="auto"/>
      </w:divBdr>
    </w:div>
    <w:div w:id="1006859331">
      <w:bodyDiv w:val="1"/>
      <w:marLeft w:val="0"/>
      <w:marRight w:val="0"/>
      <w:marTop w:val="0"/>
      <w:marBottom w:val="0"/>
      <w:divBdr>
        <w:top w:val="none" w:sz="0" w:space="0" w:color="auto"/>
        <w:left w:val="none" w:sz="0" w:space="0" w:color="auto"/>
        <w:bottom w:val="none" w:sz="0" w:space="0" w:color="auto"/>
        <w:right w:val="none" w:sz="0" w:space="0" w:color="auto"/>
      </w:divBdr>
    </w:div>
    <w:div w:id="1006906285">
      <w:bodyDiv w:val="1"/>
      <w:marLeft w:val="0"/>
      <w:marRight w:val="0"/>
      <w:marTop w:val="0"/>
      <w:marBottom w:val="0"/>
      <w:divBdr>
        <w:top w:val="none" w:sz="0" w:space="0" w:color="auto"/>
        <w:left w:val="none" w:sz="0" w:space="0" w:color="auto"/>
        <w:bottom w:val="none" w:sz="0" w:space="0" w:color="auto"/>
        <w:right w:val="none" w:sz="0" w:space="0" w:color="auto"/>
      </w:divBdr>
    </w:div>
    <w:div w:id="1007053328">
      <w:bodyDiv w:val="1"/>
      <w:marLeft w:val="0"/>
      <w:marRight w:val="0"/>
      <w:marTop w:val="0"/>
      <w:marBottom w:val="0"/>
      <w:divBdr>
        <w:top w:val="none" w:sz="0" w:space="0" w:color="auto"/>
        <w:left w:val="none" w:sz="0" w:space="0" w:color="auto"/>
        <w:bottom w:val="none" w:sz="0" w:space="0" w:color="auto"/>
        <w:right w:val="none" w:sz="0" w:space="0" w:color="auto"/>
      </w:divBdr>
    </w:div>
    <w:div w:id="1007247286">
      <w:bodyDiv w:val="1"/>
      <w:marLeft w:val="0"/>
      <w:marRight w:val="0"/>
      <w:marTop w:val="0"/>
      <w:marBottom w:val="0"/>
      <w:divBdr>
        <w:top w:val="none" w:sz="0" w:space="0" w:color="auto"/>
        <w:left w:val="none" w:sz="0" w:space="0" w:color="auto"/>
        <w:bottom w:val="none" w:sz="0" w:space="0" w:color="auto"/>
        <w:right w:val="none" w:sz="0" w:space="0" w:color="auto"/>
      </w:divBdr>
    </w:div>
    <w:div w:id="1007487885">
      <w:bodyDiv w:val="1"/>
      <w:marLeft w:val="0"/>
      <w:marRight w:val="0"/>
      <w:marTop w:val="0"/>
      <w:marBottom w:val="0"/>
      <w:divBdr>
        <w:top w:val="none" w:sz="0" w:space="0" w:color="auto"/>
        <w:left w:val="none" w:sz="0" w:space="0" w:color="auto"/>
        <w:bottom w:val="none" w:sz="0" w:space="0" w:color="auto"/>
        <w:right w:val="none" w:sz="0" w:space="0" w:color="auto"/>
      </w:divBdr>
    </w:div>
    <w:div w:id="1007706419">
      <w:bodyDiv w:val="1"/>
      <w:marLeft w:val="0"/>
      <w:marRight w:val="0"/>
      <w:marTop w:val="0"/>
      <w:marBottom w:val="0"/>
      <w:divBdr>
        <w:top w:val="none" w:sz="0" w:space="0" w:color="auto"/>
        <w:left w:val="none" w:sz="0" w:space="0" w:color="auto"/>
        <w:bottom w:val="none" w:sz="0" w:space="0" w:color="auto"/>
        <w:right w:val="none" w:sz="0" w:space="0" w:color="auto"/>
      </w:divBdr>
    </w:div>
    <w:div w:id="1007831544">
      <w:bodyDiv w:val="1"/>
      <w:marLeft w:val="0"/>
      <w:marRight w:val="0"/>
      <w:marTop w:val="0"/>
      <w:marBottom w:val="0"/>
      <w:divBdr>
        <w:top w:val="none" w:sz="0" w:space="0" w:color="auto"/>
        <w:left w:val="none" w:sz="0" w:space="0" w:color="auto"/>
        <w:bottom w:val="none" w:sz="0" w:space="0" w:color="auto"/>
        <w:right w:val="none" w:sz="0" w:space="0" w:color="auto"/>
      </w:divBdr>
    </w:div>
    <w:div w:id="1007832342">
      <w:bodyDiv w:val="1"/>
      <w:marLeft w:val="0"/>
      <w:marRight w:val="0"/>
      <w:marTop w:val="0"/>
      <w:marBottom w:val="0"/>
      <w:divBdr>
        <w:top w:val="none" w:sz="0" w:space="0" w:color="auto"/>
        <w:left w:val="none" w:sz="0" w:space="0" w:color="auto"/>
        <w:bottom w:val="none" w:sz="0" w:space="0" w:color="auto"/>
        <w:right w:val="none" w:sz="0" w:space="0" w:color="auto"/>
      </w:divBdr>
    </w:div>
    <w:div w:id="1007907061">
      <w:bodyDiv w:val="1"/>
      <w:marLeft w:val="0"/>
      <w:marRight w:val="0"/>
      <w:marTop w:val="0"/>
      <w:marBottom w:val="0"/>
      <w:divBdr>
        <w:top w:val="none" w:sz="0" w:space="0" w:color="auto"/>
        <w:left w:val="none" w:sz="0" w:space="0" w:color="auto"/>
        <w:bottom w:val="none" w:sz="0" w:space="0" w:color="auto"/>
        <w:right w:val="none" w:sz="0" w:space="0" w:color="auto"/>
      </w:divBdr>
    </w:div>
    <w:div w:id="1007946447">
      <w:bodyDiv w:val="1"/>
      <w:marLeft w:val="0"/>
      <w:marRight w:val="0"/>
      <w:marTop w:val="0"/>
      <w:marBottom w:val="0"/>
      <w:divBdr>
        <w:top w:val="none" w:sz="0" w:space="0" w:color="auto"/>
        <w:left w:val="none" w:sz="0" w:space="0" w:color="auto"/>
        <w:bottom w:val="none" w:sz="0" w:space="0" w:color="auto"/>
        <w:right w:val="none" w:sz="0" w:space="0" w:color="auto"/>
      </w:divBdr>
    </w:div>
    <w:div w:id="1007947347">
      <w:bodyDiv w:val="1"/>
      <w:marLeft w:val="0"/>
      <w:marRight w:val="0"/>
      <w:marTop w:val="0"/>
      <w:marBottom w:val="0"/>
      <w:divBdr>
        <w:top w:val="none" w:sz="0" w:space="0" w:color="auto"/>
        <w:left w:val="none" w:sz="0" w:space="0" w:color="auto"/>
        <w:bottom w:val="none" w:sz="0" w:space="0" w:color="auto"/>
        <w:right w:val="none" w:sz="0" w:space="0" w:color="auto"/>
      </w:divBdr>
    </w:div>
    <w:div w:id="1007948900">
      <w:bodyDiv w:val="1"/>
      <w:marLeft w:val="0"/>
      <w:marRight w:val="0"/>
      <w:marTop w:val="0"/>
      <w:marBottom w:val="0"/>
      <w:divBdr>
        <w:top w:val="none" w:sz="0" w:space="0" w:color="auto"/>
        <w:left w:val="none" w:sz="0" w:space="0" w:color="auto"/>
        <w:bottom w:val="none" w:sz="0" w:space="0" w:color="auto"/>
        <w:right w:val="none" w:sz="0" w:space="0" w:color="auto"/>
      </w:divBdr>
    </w:div>
    <w:div w:id="1008026696">
      <w:bodyDiv w:val="1"/>
      <w:marLeft w:val="0"/>
      <w:marRight w:val="0"/>
      <w:marTop w:val="0"/>
      <w:marBottom w:val="0"/>
      <w:divBdr>
        <w:top w:val="none" w:sz="0" w:space="0" w:color="auto"/>
        <w:left w:val="none" w:sz="0" w:space="0" w:color="auto"/>
        <w:bottom w:val="none" w:sz="0" w:space="0" w:color="auto"/>
        <w:right w:val="none" w:sz="0" w:space="0" w:color="auto"/>
      </w:divBdr>
    </w:div>
    <w:div w:id="1008098304">
      <w:bodyDiv w:val="1"/>
      <w:marLeft w:val="0"/>
      <w:marRight w:val="0"/>
      <w:marTop w:val="0"/>
      <w:marBottom w:val="0"/>
      <w:divBdr>
        <w:top w:val="none" w:sz="0" w:space="0" w:color="auto"/>
        <w:left w:val="none" w:sz="0" w:space="0" w:color="auto"/>
        <w:bottom w:val="none" w:sz="0" w:space="0" w:color="auto"/>
        <w:right w:val="none" w:sz="0" w:space="0" w:color="auto"/>
      </w:divBdr>
    </w:div>
    <w:div w:id="1008099731">
      <w:bodyDiv w:val="1"/>
      <w:marLeft w:val="0"/>
      <w:marRight w:val="0"/>
      <w:marTop w:val="0"/>
      <w:marBottom w:val="0"/>
      <w:divBdr>
        <w:top w:val="none" w:sz="0" w:space="0" w:color="auto"/>
        <w:left w:val="none" w:sz="0" w:space="0" w:color="auto"/>
        <w:bottom w:val="none" w:sz="0" w:space="0" w:color="auto"/>
        <w:right w:val="none" w:sz="0" w:space="0" w:color="auto"/>
      </w:divBdr>
    </w:div>
    <w:div w:id="1008101914">
      <w:bodyDiv w:val="1"/>
      <w:marLeft w:val="0"/>
      <w:marRight w:val="0"/>
      <w:marTop w:val="0"/>
      <w:marBottom w:val="0"/>
      <w:divBdr>
        <w:top w:val="none" w:sz="0" w:space="0" w:color="auto"/>
        <w:left w:val="none" w:sz="0" w:space="0" w:color="auto"/>
        <w:bottom w:val="none" w:sz="0" w:space="0" w:color="auto"/>
        <w:right w:val="none" w:sz="0" w:space="0" w:color="auto"/>
      </w:divBdr>
    </w:div>
    <w:div w:id="1008170895">
      <w:bodyDiv w:val="1"/>
      <w:marLeft w:val="0"/>
      <w:marRight w:val="0"/>
      <w:marTop w:val="0"/>
      <w:marBottom w:val="0"/>
      <w:divBdr>
        <w:top w:val="none" w:sz="0" w:space="0" w:color="auto"/>
        <w:left w:val="none" w:sz="0" w:space="0" w:color="auto"/>
        <w:bottom w:val="none" w:sz="0" w:space="0" w:color="auto"/>
        <w:right w:val="none" w:sz="0" w:space="0" w:color="auto"/>
      </w:divBdr>
    </w:div>
    <w:div w:id="1008211020">
      <w:bodyDiv w:val="1"/>
      <w:marLeft w:val="0"/>
      <w:marRight w:val="0"/>
      <w:marTop w:val="0"/>
      <w:marBottom w:val="0"/>
      <w:divBdr>
        <w:top w:val="none" w:sz="0" w:space="0" w:color="auto"/>
        <w:left w:val="none" w:sz="0" w:space="0" w:color="auto"/>
        <w:bottom w:val="none" w:sz="0" w:space="0" w:color="auto"/>
        <w:right w:val="none" w:sz="0" w:space="0" w:color="auto"/>
      </w:divBdr>
    </w:div>
    <w:div w:id="1008211869">
      <w:bodyDiv w:val="1"/>
      <w:marLeft w:val="0"/>
      <w:marRight w:val="0"/>
      <w:marTop w:val="0"/>
      <w:marBottom w:val="0"/>
      <w:divBdr>
        <w:top w:val="none" w:sz="0" w:space="0" w:color="auto"/>
        <w:left w:val="none" w:sz="0" w:space="0" w:color="auto"/>
        <w:bottom w:val="none" w:sz="0" w:space="0" w:color="auto"/>
        <w:right w:val="none" w:sz="0" w:space="0" w:color="auto"/>
      </w:divBdr>
    </w:div>
    <w:div w:id="1008292521">
      <w:bodyDiv w:val="1"/>
      <w:marLeft w:val="0"/>
      <w:marRight w:val="0"/>
      <w:marTop w:val="0"/>
      <w:marBottom w:val="0"/>
      <w:divBdr>
        <w:top w:val="none" w:sz="0" w:space="0" w:color="auto"/>
        <w:left w:val="none" w:sz="0" w:space="0" w:color="auto"/>
        <w:bottom w:val="none" w:sz="0" w:space="0" w:color="auto"/>
        <w:right w:val="none" w:sz="0" w:space="0" w:color="auto"/>
      </w:divBdr>
    </w:div>
    <w:div w:id="1008337359">
      <w:bodyDiv w:val="1"/>
      <w:marLeft w:val="0"/>
      <w:marRight w:val="0"/>
      <w:marTop w:val="0"/>
      <w:marBottom w:val="0"/>
      <w:divBdr>
        <w:top w:val="none" w:sz="0" w:space="0" w:color="auto"/>
        <w:left w:val="none" w:sz="0" w:space="0" w:color="auto"/>
        <w:bottom w:val="none" w:sz="0" w:space="0" w:color="auto"/>
        <w:right w:val="none" w:sz="0" w:space="0" w:color="auto"/>
      </w:divBdr>
    </w:div>
    <w:div w:id="1008367140">
      <w:bodyDiv w:val="1"/>
      <w:marLeft w:val="0"/>
      <w:marRight w:val="0"/>
      <w:marTop w:val="0"/>
      <w:marBottom w:val="0"/>
      <w:divBdr>
        <w:top w:val="none" w:sz="0" w:space="0" w:color="auto"/>
        <w:left w:val="none" w:sz="0" w:space="0" w:color="auto"/>
        <w:bottom w:val="none" w:sz="0" w:space="0" w:color="auto"/>
        <w:right w:val="none" w:sz="0" w:space="0" w:color="auto"/>
      </w:divBdr>
    </w:div>
    <w:div w:id="1008405132">
      <w:bodyDiv w:val="1"/>
      <w:marLeft w:val="0"/>
      <w:marRight w:val="0"/>
      <w:marTop w:val="0"/>
      <w:marBottom w:val="0"/>
      <w:divBdr>
        <w:top w:val="none" w:sz="0" w:space="0" w:color="auto"/>
        <w:left w:val="none" w:sz="0" w:space="0" w:color="auto"/>
        <w:bottom w:val="none" w:sz="0" w:space="0" w:color="auto"/>
        <w:right w:val="none" w:sz="0" w:space="0" w:color="auto"/>
      </w:divBdr>
    </w:div>
    <w:div w:id="1008486268">
      <w:bodyDiv w:val="1"/>
      <w:marLeft w:val="0"/>
      <w:marRight w:val="0"/>
      <w:marTop w:val="0"/>
      <w:marBottom w:val="0"/>
      <w:divBdr>
        <w:top w:val="none" w:sz="0" w:space="0" w:color="auto"/>
        <w:left w:val="none" w:sz="0" w:space="0" w:color="auto"/>
        <w:bottom w:val="none" w:sz="0" w:space="0" w:color="auto"/>
        <w:right w:val="none" w:sz="0" w:space="0" w:color="auto"/>
      </w:divBdr>
    </w:div>
    <w:div w:id="1008486434">
      <w:bodyDiv w:val="1"/>
      <w:marLeft w:val="0"/>
      <w:marRight w:val="0"/>
      <w:marTop w:val="0"/>
      <w:marBottom w:val="0"/>
      <w:divBdr>
        <w:top w:val="none" w:sz="0" w:space="0" w:color="auto"/>
        <w:left w:val="none" w:sz="0" w:space="0" w:color="auto"/>
        <w:bottom w:val="none" w:sz="0" w:space="0" w:color="auto"/>
        <w:right w:val="none" w:sz="0" w:space="0" w:color="auto"/>
      </w:divBdr>
    </w:div>
    <w:div w:id="1008601339">
      <w:bodyDiv w:val="1"/>
      <w:marLeft w:val="0"/>
      <w:marRight w:val="0"/>
      <w:marTop w:val="0"/>
      <w:marBottom w:val="0"/>
      <w:divBdr>
        <w:top w:val="none" w:sz="0" w:space="0" w:color="auto"/>
        <w:left w:val="none" w:sz="0" w:space="0" w:color="auto"/>
        <w:bottom w:val="none" w:sz="0" w:space="0" w:color="auto"/>
        <w:right w:val="none" w:sz="0" w:space="0" w:color="auto"/>
      </w:divBdr>
    </w:div>
    <w:div w:id="1008601553">
      <w:bodyDiv w:val="1"/>
      <w:marLeft w:val="0"/>
      <w:marRight w:val="0"/>
      <w:marTop w:val="0"/>
      <w:marBottom w:val="0"/>
      <w:divBdr>
        <w:top w:val="none" w:sz="0" w:space="0" w:color="auto"/>
        <w:left w:val="none" w:sz="0" w:space="0" w:color="auto"/>
        <w:bottom w:val="none" w:sz="0" w:space="0" w:color="auto"/>
        <w:right w:val="none" w:sz="0" w:space="0" w:color="auto"/>
      </w:divBdr>
    </w:div>
    <w:div w:id="1008631633">
      <w:bodyDiv w:val="1"/>
      <w:marLeft w:val="0"/>
      <w:marRight w:val="0"/>
      <w:marTop w:val="0"/>
      <w:marBottom w:val="0"/>
      <w:divBdr>
        <w:top w:val="none" w:sz="0" w:space="0" w:color="auto"/>
        <w:left w:val="none" w:sz="0" w:space="0" w:color="auto"/>
        <w:bottom w:val="none" w:sz="0" w:space="0" w:color="auto"/>
        <w:right w:val="none" w:sz="0" w:space="0" w:color="auto"/>
      </w:divBdr>
    </w:div>
    <w:div w:id="1008680529">
      <w:bodyDiv w:val="1"/>
      <w:marLeft w:val="0"/>
      <w:marRight w:val="0"/>
      <w:marTop w:val="0"/>
      <w:marBottom w:val="0"/>
      <w:divBdr>
        <w:top w:val="none" w:sz="0" w:space="0" w:color="auto"/>
        <w:left w:val="none" w:sz="0" w:space="0" w:color="auto"/>
        <w:bottom w:val="none" w:sz="0" w:space="0" w:color="auto"/>
        <w:right w:val="none" w:sz="0" w:space="0" w:color="auto"/>
      </w:divBdr>
    </w:div>
    <w:div w:id="1008752854">
      <w:bodyDiv w:val="1"/>
      <w:marLeft w:val="0"/>
      <w:marRight w:val="0"/>
      <w:marTop w:val="0"/>
      <w:marBottom w:val="0"/>
      <w:divBdr>
        <w:top w:val="none" w:sz="0" w:space="0" w:color="auto"/>
        <w:left w:val="none" w:sz="0" w:space="0" w:color="auto"/>
        <w:bottom w:val="none" w:sz="0" w:space="0" w:color="auto"/>
        <w:right w:val="none" w:sz="0" w:space="0" w:color="auto"/>
      </w:divBdr>
    </w:div>
    <w:div w:id="1008755102">
      <w:bodyDiv w:val="1"/>
      <w:marLeft w:val="0"/>
      <w:marRight w:val="0"/>
      <w:marTop w:val="0"/>
      <w:marBottom w:val="0"/>
      <w:divBdr>
        <w:top w:val="none" w:sz="0" w:space="0" w:color="auto"/>
        <w:left w:val="none" w:sz="0" w:space="0" w:color="auto"/>
        <w:bottom w:val="none" w:sz="0" w:space="0" w:color="auto"/>
        <w:right w:val="none" w:sz="0" w:space="0" w:color="auto"/>
      </w:divBdr>
    </w:div>
    <w:div w:id="1008756640">
      <w:bodyDiv w:val="1"/>
      <w:marLeft w:val="0"/>
      <w:marRight w:val="0"/>
      <w:marTop w:val="0"/>
      <w:marBottom w:val="0"/>
      <w:divBdr>
        <w:top w:val="none" w:sz="0" w:space="0" w:color="auto"/>
        <w:left w:val="none" w:sz="0" w:space="0" w:color="auto"/>
        <w:bottom w:val="none" w:sz="0" w:space="0" w:color="auto"/>
        <w:right w:val="none" w:sz="0" w:space="0" w:color="auto"/>
      </w:divBdr>
    </w:div>
    <w:div w:id="1008757319">
      <w:bodyDiv w:val="1"/>
      <w:marLeft w:val="0"/>
      <w:marRight w:val="0"/>
      <w:marTop w:val="0"/>
      <w:marBottom w:val="0"/>
      <w:divBdr>
        <w:top w:val="none" w:sz="0" w:space="0" w:color="auto"/>
        <w:left w:val="none" w:sz="0" w:space="0" w:color="auto"/>
        <w:bottom w:val="none" w:sz="0" w:space="0" w:color="auto"/>
        <w:right w:val="none" w:sz="0" w:space="0" w:color="auto"/>
      </w:divBdr>
    </w:div>
    <w:div w:id="1008823753">
      <w:bodyDiv w:val="1"/>
      <w:marLeft w:val="0"/>
      <w:marRight w:val="0"/>
      <w:marTop w:val="0"/>
      <w:marBottom w:val="0"/>
      <w:divBdr>
        <w:top w:val="none" w:sz="0" w:space="0" w:color="auto"/>
        <w:left w:val="none" w:sz="0" w:space="0" w:color="auto"/>
        <w:bottom w:val="none" w:sz="0" w:space="0" w:color="auto"/>
        <w:right w:val="none" w:sz="0" w:space="0" w:color="auto"/>
      </w:divBdr>
    </w:div>
    <w:div w:id="1008827291">
      <w:bodyDiv w:val="1"/>
      <w:marLeft w:val="0"/>
      <w:marRight w:val="0"/>
      <w:marTop w:val="0"/>
      <w:marBottom w:val="0"/>
      <w:divBdr>
        <w:top w:val="none" w:sz="0" w:space="0" w:color="auto"/>
        <w:left w:val="none" w:sz="0" w:space="0" w:color="auto"/>
        <w:bottom w:val="none" w:sz="0" w:space="0" w:color="auto"/>
        <w:right w:val="none" w:sz="0" w:space="0" w:color="auto"/>
      </w:divBdr>
    </w:div>
    <w:div w:id="1008873991">
      <w:bodyDiv w:val="1"/>
      <w:marLeft w:val="0"/>
      <w:marRight w:val="0"/>
      <w:marTop w:val="0"/>
      <w:marBottom w:val="0"/>
      <w:divBdr>
        <w:top w:val="none" w:sz="0" w:space="0" w:color="auto"/>
        <w:left w:val="none" w:sz="0" w:space="0" w:color="auto"/>
        <w:bottom w:val="none" w:sz="0" w:space="0" w:color="auto"/>
        <w:right w:val="none" w:sz="0" w:space="0" w:color="auto"/>
      </w:divBdr>
    </w:div>
    <w:div w:id="1009139460">
      <w:bodyDiv w:val="1"/>
      <w:marLeft w:val="0"/>
      <w:marRight w:val="0"/>
      <w:marTop w:val="0"/>
      <w:marBottom w:val="0"/>
      <w:divBdr>
        <w:top w:val="none" w:sz="0" w:space="0" w:color="auto"/>
        <w:left w:val="none" w:sz="0" w:space="0" w:color="auto"/>
        <w:bottom w:val="none" w:sz="0" w:space="0" w:color="auto"/>
        <w:right w:val="none" w:sz="0" w:space="0" w:color="auto"/>
      </w:divBdr>
    </w:div>
    <w:div w:id="1009209802">
      <w:bodyDiv w:val="1"/>
      <w:marLeft w:val="0"/>
      <w:marRight w:val="0"/>
      <w:marTop w:val="0"/>
      <w:marBottom w:val="0"/>
      <w:divBdr>
        <w:top w:val="none" w:sz="0" w:space="0" w:color="auto"/>
        <w:left w:val="none" w:sz="0" w:space="0" w:color="auto"/>
        <w:bottom w:val="none" w:sz="0" w:space="0" w:color="auto"/>
        <w:right w:val="none" w:sz="0" w:space="0" w:color="auto"/>
      </w:divBdr>
    </w:div>
    <w:div w:id="1009211944">
      <w:bodyDiv w:val="1"/>
      <w:marLeft w:val="0"/>
      <w:marRight w:val="0"/>
      <w:marTop w:val="0"/>
      <w:marBottom w:val="0"/>
      <w:divBdr>
        <w:top w:val="none" w:sz="0" w:space="0" w:color="auto"/>
        <w:left w:val="none" w:sz="0" w:space="0" w:color="auto"/>
        <w:bottom w:val="none" w:sz="0" w:space="0" w:color="auto"/>
        <w:right w:val="none" w:sz="0" w:space="0" w:color="auto"/>
      </w:divBdr>
    </w:div>
    <w:div w:id="1009217104">
      <w:bodyDiv w:val="1"/>
      <w:marLeft w:val="0"/>
      <w:marRight w:val="0"/>
      <w:marTop w:val="0"/>
      <w:marBottom w:val="0"/>
      <w:divBdr>
        <w:top w:val="none" w:sz="0" w:space="0" w:color="auto"/>
        <w:left w:val="none" w:sz="0" w:space="0" w:color="auto"/>
        <w:bottom w:val="none" w:sz="0" w:space="0" w:color="auto"/>
        <w:right w:val="none" w:sz="0" w:space="0" w:color="auto"/>
      </w:divBdr>
    </w:div>
    <w:div w:id="1009336227">
      <w:bodyDiv w:val="1"/>
      <w:marLeft w:val="0"/>
      <w:marRight w:val="0"/>
      <w:marTop w:val="0"/>
      <w:marBottom w:val="0"/>
      <w:divBdr>
        <w:top w:val="none" w:sz="0" w:space="0" w:color="auto"/>
        <w:left w:val="none" w:sz="0" w:space="0" w:color="auto"/>
        <w:bottom w:val="none" w:sz="0" w:space="0" w:color="auto"/>
        <w:right w:val="none" w:sz="0" w:space="0" w:color="auto"/>
      </w:divBdr>
    </w:div>
    <w:div w:id="1009529824">
      <w:bodyDiv w:val="1"/>
      <w:marLeft w:val="0"/>
      <w:marRight w:val="0"/>
      <w:marTop w:val="0"/>
      <w:marBottom w:val="0"/>
      <w:divBdr>
        <w:top w:val="none" w:sz="0" w:space="0" w:color="auto"/>
        <w:left w:val="none" w:sz="0" w:space="0" w:color="auto"/>
        <w:bottom w:val="none" w:sz="0" w:space="0" w:color="auto"/>
        <w:right w:val="none" w:sz="0" w:space="0" w:color="auto"/>
      </w:divBdr>
    </w:div>
    <w:div w:id="1009598682">
      <w:bodyDiv w:val="1"/>
      <w:marLeft w:val="0"/>
      <w:marRight w:val="0"/>
      <w:marTop w:val="0"/>
      <w:marBottom w:val="0"/>
      <w:divBdr>
        <w:top w:val="none" w:sz="0" w:space="0" w:color="auto"/>
        <w:left w:val="none" w:sz="0" w:space="0" w:color="auto"/>
        <w:bottom w:val="none" w:sz="0" w:space="0" w:color="auto"/>
        <w:right w:val="none" w:sz="0" w:space="0" w:color="auto"/>
      </w:divBdr>
    </w:div>
    <w:div w:id="1009605254">
      <w:bodyDiv w:val="1"/>
      <w:marLeft w:val="0"/>
      <w:marRight w:val="0"/>
      <w:marTop w:val="0"/>
      <w:marBottom w:val="0"/>
      <w:divBdr>
        <w:top w:val="none" w:sz="0" w:space="0" w:color="auto"/>
        <w:left w:val="none" w:sz="0" w:space="0" w:color="auto"/>
        <w:bottom w:val="none" w:sz="0" w:space="0" w:color="auto"/>
        <w:right w:val="none" w:sz="0" w:space="0" w:color="auto"/>
      </w:divBdr>
    </w:div>
    <w:div w:id="1009672177">
      <w:bodyDiv w:val="1"/>
      <w:marLeft w:val="0"/>
      <w:marRight w:val="0"/>
      <w:marTop w:val="0"/>
      <w:marBottom w:val="0"/>
      <w:divBdr>
        <w:top w:val="none" w:sz="0" w:space="0" w:color="auto"/>
        <w:left w:val="none" w:sz="0" w:space="0" w:color="auto"/>
        <w:bottom w:val="none" w:sz="0" w:space="0" w:color="auto"/>
        <w:right w:val="none" w:sz="0" w:space="0" w:color="auto"/>
      </w:divBdr>
    </w:div>
    <w:div w:id="1009721196">
      <w:bodyDiv w:val="1"/>
      <w:marLeft w:val="0"/>
      <w:marRight w:val="0"/>
      <w:marTop w:val="0"/>
      <w:marBottom w:val="0"/>
      <w:divBdr>
        <w:top w:val="none" w:sz="0" w:space="0" w:color="auto"/>
        <w:left w:val="none" w:sz="0" w:space="0" w:color="auto"/>
        <w:bottom w:val="none" w:sz="0" w:space="0" w:color="auto"/>
        <w:right w:val="none" w:sz="0" w:space="0" w:color="auto"/>
      </w:divBdr>
    </w:div>
    <w:div w:id="1009793331">
      <w:bodyDiv w:val="1"/>
      <w:marLeft w:val="0"/>
      <w:marRight w:val="0"/>
      <w:marTop w:val="0"/>
      <w:marBottom w:val="0"/>
      <w:divBdr>
        <w:top w:val="none" w:sz="0" w:space="0" w:color="auto"/>
        <w:left w:val="none" w:sz="0" w:space="0" w:color="auto"/>
        <w:bottom w:val="none" w:sz="0" w:space="0" w:color="auto"/>
        <w:right w:val="none" w:sz="0" w:space="0" w:color="auto"/>
      </w:divBdr>
    </w:div>
    <w:div w:id="1009798284">
      <w:bodyDiv w:val="1"/>
      <w:marLeft w:val="0"/>
      <w:marRight w:val="0"/>
      <w:marTop w:val="0"/>
      <w:marBottom w:val="0"/>
      <w:divBdr>
        <w:top w:val="none" w:sz="0" w:space="0" w:color="auto"/>
        <w:left w:val="none" w:sz="0" w:space="0" w:color="auto"/>
        <w:bottom w:val="none" w:sz="0" w:space="0" w:color="auto"/>
        <w:right w:val="none" w:sz="0" w:space="0" w:color="auto"/>
      </w:divBdr>
    </w:div>
    <w:div w:id="1009866637">
      <w:bodyDiv w:val="1"/>
      <w:marLeft w:val="0"/>
      <w:marRight w:val="0"/>
      <w:marTop w:val="0"/>
      <w:marBottom w:val="0"/>
      <w:divBdr>
        <w:top w:val="none" w:sz="0" w:space="0" w:color="auto"/>
        <w:left w:val="none" w:sz="0" w:space="0" w:color="auto"/>
        <w:bottom w:val="none" w:sz="0" w:space="0" w:color="auto"/>
        <w:right w:val="none" w:sz="0" w:space="0" w:color="auto"/>
      </w:divBdr>
    </w:div>
    <w:div w:id="1010177479">
      <w:bodyDiv w:val="1"/>
      <w:marLeft w:val="0"/>
      <w:marRight w:val="0"/>
      <w:marTop w:val="0"/>
      <w:marBottom w:val="0"/>
      <w:divBdr>
        <w:top w:val="none" w:sz="0" w:space="0" w:color="auto"/>
        <w:left w:val="none" w:sz="0" w:space="0" w:color="auto"/>
        <w:bottom w:val="none" w:sz="0" w:space="0" w:color="auto"/>
        <w:right w:val="none" w:sz="0" w:space="0" w:color="auto"/>
      </w:divBdr>
    </w:div>
    <w:div w:id="1010185522">
      <w:bodyDiv w:val="1"/>
      <w:marLeft w:val="0"/>
      <w:marRight w:val="0"/>
      <w:marTop w:val="0"/>
      <w:marBottom w:val="0"/>
      <w:divBdr>
        <w:top w:val="none" w:sz="0" w:space="0" w:color="auto"/>
        <w:left w:val="none" w:sz="0" w:space="0" w:color="auto"/>
        <w:bottom w:val="none" w:sz="0" w:space="0" w:color="auto"/>
        <w:right w:val="none" w:sz="0" w:space="0" w:color="auto"/>
      </w:divBdr>
    </w:div>
    <w:div w:id="1010255412">
      <w:bodyDiv w:val="1"/>
      <w:marLeft w:val="0"/>
      <w:marRight w:val="0"/>
      <w:marTop w:val="0"/>
      <w:marBottom w:val="0"/>
      <w:divBdr>
        <w:top w:val="none" w:sz="0" w:space="0" w:color="auto"/>
        <w:left w:val="none" w:sz="0" w:space="0" w:color="auto"/>
        <w:bottom w:val="none" w:sz="0" w:space="0" w:color="auto"/>
        <w:right w:val="none" w:sz="0" w:space="0" w:color="auto"/>
      </w:divBdr>
    </w:div>
    <w:div w:id="1010255595">
      <w:bodyDiv w:val="1"/>
      <w:marLeft w:val="0"/>
      <w:marRight w:val="0"/>
      <w:marTop w:val="0"/>
      <w:marBottom w:val="0"/>
      <w:divBdr>
        <w:top w:val="none" w:sz="0" w:space="0" w:color="auto"/>
        <w:left w:val="none" w:sz="0" w:space="0" w:color="auto"/>
        <w:bottom w:val="none" w:sz="0" w:space="0" w:color="auto"/>
        <w:right w:val="none" w:sz="0" w:space="0" w:color="auto"/>
      </w:divBdr>
    </w:div>
    <w:div w:id="1010523511">
      <w:bodyDiv w:val="1"/>
      <w:marLeft w:val="0"/>
      <w:marRight w:val="0"/>
      <w:marTop w:val="0"/>
      <w:marBottom w:val="0"/>
      <w:divBdr>
        <w:top w:val="none" w:sz="0" w:space="0" w:color="auto"/>
        <w:left w:val="none" w:sz="0" w:space="0" w:color="auto"/>
        <w:bottom w:val="none" w:sz="0" w:space="0" w:color="auto"/>
        <w:right w:val="none" w:sz="0" w:space="0" w:color="auto"/>
      </w:divBdr>
    </w:div>
    <w:div w:id="1010642358">
      <w:bodyDiv w:val="1"/>
      <w:marLeft w:val="0"/>
      <w:marRight w:val="0"/>
      <w:marTop w:val="0"/>
      <w:marBottom w:val="0"/>
      <w:divBdr>
        <w:top w:val="none" w:sz="0" w:space="0" w:color="auto"/>
        <w:left w:val="none" w:sz="0" w:space="0" w:color="auto"/>
        <w:bottom w:val="none" w:sz="0" w:space="0" w:color="auto"/>
        <w:right w:val="none" w:sz="0" w:space="0" w:color="auto"/>
      </w:divBdr>
    </w:div>
    <w:div w:id="1010838615">
      <w:bodyDiv w:val="1"/>
      <w:marLeft w:val="0"/>
      <w:marRight w:val="0"/>
      <w:marTop w:val="0"/>
      <w:marBottom w:val="0"/>
      <w:divBdr>
        <w:top w:val="none" w:sz="0" w:space="0" w:color="auto"/>
        <w:left w:val="none" w:sz="0" w:space="0" w:color="auto"/>
        <w:bottom w:val="none" w:sz="0" w:space="0" w:color="auto"/>
        <w:right w:val="none" w:sz="0" w:space="0" w:color="auto"/>
      </w:divBdr>
    </w:div>
    <w:div w:id="1010916244">
      <w:bodyDiv w:val="1"/>
      <w:marLeft w:val="0"/>
      <w:marRight w:val="0"/>
      <w:marTop w:val="0"/>
      <w:marBottom w:val="0"/>
      <w:divBdr>
        <w:top w:val="none" w:sz="0" w:space="0" w:color="auto"/>
        <w:left w:val="none" w:sz="0" w:space="0" w:color="auto"/>
        <w:bottom w:val="none" w:sz="0" w:space="0" w:color="auto"/>
        <w:right w:val="none" w:sz="0" w:space="0" w:color="auto"/>
      </w:divBdr>
    </w:div>
    <w:div w:id="1010983073">
      <w:bodyDiv w:val="1"/>
      <w:marLeft w:val="0"/>
      <w:marRight w:val="0"/>
      <w:marTop w:val="0"/>
      <w:marBottom w:val="0"/>
      <w:divBdr>
        <w:top w:val="none" w:sz="0" w:space="0" w:color="auto"/>
        <w:left w:val="none" w:sz="0" w:space="0" w:color="auto"/>
        <w:bottom w:val="none" w:sz="0" w:space="0" w:color="auto"/>
        <w:right w:val="none" w:sz="0" w:space="0" w:color="auto"/>
      </w:divBdr>
    </w:div>
    <w:div w:id="1010983135">
      <w:bodyDiv w:val="1"/>
      <w:marLeft w:val="0"/>
      <w:marRight w:val="0"/>
      <w:marTop w:val="0"/>
      <w:marBottom w:val="0"/>
      <w:divBdr>
        <w:top w:val="none" w:sz="0" w:space="0" w:color="auto"/>
        <w:left w:val="none" w:sz="0" w:space="0" w:color="auto"/>
        <w:bottom w:val="none" w:sz="0" w:space="0" w:color="auto"/>
        <w:right w:val="none" w:sz="0" w:space="0" w:color="auto"/>
      </w:divBdr>
    </w:div>
    <w:div w:id="1010990395">
      <w:bodyDiv w:val="1"/>
      <w:marLeft w:val="0"/>
      <w:marRight w:val="0"/>
      <w:marTop w:val="0"/>
      <w:marBottom w:val="0"/>
      <w:divBdr>
        <w:top w:val="none" w:sz="0" w:space="0" w:color="auto"/>
        <w:left w:val="none" w:sz="0" w:space="0" w:color="auto"/>
        <w:bottom w:val="none" w:sz="0" w:space="0" w:color="auto"/>
        <w:right w:val="none" w:sz="0" w:space="0" w:color="auto"/>
      </w:divBdr>
    </w:div>
    <w:div w:id="1011179964">
      <w:bodyDiv w:val="1"/>
      <w:marLeft w:val="0"/>
      <w:marRight w:val="0"/>
      <w:marTop w:val="0"/>
      <w:marBottom w:val="0"/>
      <w:divBdr>
        <w:top w:val="none" w:sz="0" w:space="0" w:color="auto"/>
        <w:left w:val="none" w:sz="0" w:space="0" w:color="auto"/>
        <w:bottom w:val="none" w:sz="0" w:space="0" w:color="auto"/>
        <w:right w:val="none" w:sz="0" w:space="0" w:color="auto"/>
      </w:divBdr>
    </w:div>
    <w:div w:id="1011370908">
      <w:bodyDiv w:val="1"/>
      <w:marLeft w:val="0"/>
      <w:marRight w:val="0"/>
      <w:marTop w:val="0"/>
      <w:marBottom w:val="0"/>
      <w:divBdr>
        <w:top w:val="none" w:sz="0" w:space="0" w:color="auto"/>
        <w:left w:val="none" w:sz="0" w:space="0" w:color="auto"/>
        <w:bottom w:val="none" w:sz="0" w:space="0" w:color="auto"/>
        <w:right w:val="none" w:sz="0" w:space="0" w:color="auto"/>
      </w:divBdr>
    </w:div>
    <w:div w:id="1011565446">
      <w:bodyDiv w:val="1"/>
      <w:marLeft w:val="0"/>
      <w:marRight w:val="0"/>
      <w:marTop w:val="0"/>
      <w:marBottom w:val="0"/>
      <w:divBdr>
        <w:top w:val="none" w:sz="0" w:space="0" w:color="auto"/>
        <w:left w:val="none" w:sz="0" w:space="0" w:color="auto"/>
        <w:bottom w:val="none" w:sz="0" w:space="0" w:color="auto"/>
        <w:right w:val="none" w:sz="0" w:space="0" w:color="auto"/>
      </w:divBdr>
    </w:div>
    <w:div w:id="1011685438">
      <w:bodyDiv w:val="1"/>
      <w:marLeft w:val="0"/>
      <w:marRight w:val="0"/>
      <w:marTop w:val="0"/>
      <w:marBottom w:val="0"/>
      <w:divBdr>
        <w:top w:val="none" w:sz="0" w:space="0" w:color="auto"/>
        <w:left w:val="none" w:sz="0" w:space="0" w:color="auto"/>
        <w:bottom w:val="none" w:sz="0" w:space="0" w:color="auto"/>
        <w:right w:val="none" w:sz="0" w:space="0" w:color="auto"/>
      </w:divBdr>
    </w:div>
    <w:div w:id="1011689365">
      <w:bodyDiv w:val="1"/>
      <w:marLeft w:val="0"/>
      <w:marRight w:val="0"/>
      <w:marTop w:val="0"/>
      <w:marBottom w:val="0"/>
      <w:divBdr>
        <w:top w:val="none" w:sz="0" w:space="0" w:color="auto"/>
        <w:left w:val="none" w:sz="0" w:space="0" w:color="auto"/>
        <w:bottom w:val="none" w:sz="0" w:space="0" w:color="auto"/>
        <w:right w:val="none" w:sz="0" w:space="0" w:color="auto"/>
      </w:divBdr>
    </w:div>
    <w:div w:id="1011834792">
      <w:bodyDiv w:val="1"/>
      <w:marLeft w:val="0"/>
      <w:marRight w:val="0"/>
      <w:marTop w:val="0"/>
      <w:marBottom w:val="0"/>
      <w:divBdr>
        <w:top w:val="none" w:sz="0" w:space="0" w:color="auto"/>
        <w:left w:val="none" w:sz="0" w:space="0" w:color="auto"/>
        <w:bottom w:val="none" w:sz="0" w:space="0" w:color="auto"/>
        <w:right w:val="none" w:sz="0" w:space="0" w:color="auto"/>
      </w:divBdr>
    </w:div>
    <w:div w:id="1011907640">
      <w:bodyDiv w:val="1"/>
      <w:marLeft w:val="0"/>
      <w:marRight w:val="0"/>
      <w:marTop w:val="0"/>
      <w:marBottom w:val="0"/>
      <w:divBdr>
        <w:top w:val="none" w:sz="0" w:space="0" w:color="auto"/>
        <w:left w:val="none" w:sz="0" w:space="0" w:color="auto"/>
        <w:bottom w:val="none" w:sz="0" w:space="0" w:color="auto"/>
        <w:right w:val="none" w:sz="0" w:space="0" w:color="auto"/>
      </w:divBdr>
    </w:div>
    <w:div w:id="1012073690">
      <w:bodyDiv w:val="1"/>
      <w:marLeft w:val="0"/>
      <w:marRight w:val="0"/>
      <w:marTop w:val="0"/>
      <w:marBottom w:val="0"/>
      <w:divBdr>
        <w:top w:val="none" w:sz="0" w:space="0" w:color="auto"/>
        <w:left w:val="none" w:sz="0" w:space="0" w:color="auto"/>
        <w:bottom w:val="none" w:sz="0" w:space="0" w:color="auto"/>
        <w:right w:val="none" w:sz="0" w:space="0" w:color="auto"/>
      </w:divBdr>
    </w:div>
    <w:div w:id="1012143323">
      <w:bodyDiv w:val="1"/>
      <w:marLeft w:val="0"/>
      <w:marRight w:val="0"/>
      <w:marTop w:val="0"/>
      <w:marBottom w:val="0"/>
      <w:divBdr>
        <w:top w:val="none" w:sz="0" w:space="0" w:color="auto"/>
        <w:left w:val="none" w:sz="0" w:space="0" w:color="auto"/>
        <w:bottom w:val="none" w:sz="0" w:space="0" w:color="auto"/>
        <w:right w:val="none" w:sz="0" w:space="0" w:color="auto"/>
      </w:divBdr>
    </w:div>
    <w:div w:id="1012143600">
      <w:bodyDiv w:val="1"/>
      <w:marLeft w:val="0"/>
      <w:marRight w:val="0"/>
      <w:marTop w:val="0"/>
      <w:marBottom w:val="0"/>
      <w:divBdr>
        <w:top w:val="none" w:sz="0" w:space="0" w:color="auto"/>
        <w:left w:val="none" w:sz="0" w:space="0" w:color="auto"/>
        <w:bottom w:val="none" w:sz="0" w:space="0" w:color="auto"/>
        <w:right w:val="none" w:sz="0" w:space="0" w:color="auto"/>
      </w:divBdr>
    </w:div>
    <w:div w:id="1012147651">
      <w:bodyDiv w:val="1"/>
      <w:marLeft w:val="0"/>
      <w:marRight w:val="0"/>
      <w:marTop w:val="0"/>
      <w:marBottom w:val="0"/>
      <w:divBdr>
        <w:top w:val="none" w:sz="0" w:space="0" w:color="auto"/>
        <w:left w:val="none" w:sz="0" w:space="0" w:color="auto"/>
        <w:bottom w:val="none" w:sz="0" w:space="0" w:color="auto"/>
        <w:right w:val="none" w:sz="0" w:space="0" w:color="auto"/>
      </w:divBdr>
    </w:div>
    <w:div w:id="1012147880">
      <w:bodyDiv w:val="1"/>
      <w:marLeft w:val="0"/>
      <w:marRight w:val="0"/>
      <w:marTop w:val="0"/>
      <w:marBottom w:val="0"/>
      <w:divBdr>
        <w:top w:val="none" w:sz="0" w:space="0" w:color="auto"/>
        <w:left w:val="none" w:sz="0" w:space="0" w:color="auto"/>
        <w:bottom w:val="none" w:sz="0" w:space="0" w:color="auto"/>
        <w:right w:val="none" w:sz="0" w:space="0" w:color="auto"/>
      </w:divBdr>
    </w:div>
    <w:div w:id="1012149903">
      <w:bodyDiv w:val="1"/>
      <w:marLeft w:val="0"/>
      <w:marRight w:val="0"/>
      <w:marTop w:val="0"/>
      <w:marBottom w:val="0"/>
      <w:divBdr>
        <w:top w:val="none" w:sz="0" w:space="0" w:color="auto"/>
        <w:left w:val="none" w:sz="0" w:space="0" w:color="auto"/>
        <w:bottom w:val="none" w:sz="0" w:space="0" w:color="auto"/>
        <w:right w:val="none" w:sz="0" w:space="0" w:color="auto"/>
      </w:divBdr>
    </w:div>
    <w:div w:id="1012220492">
      <w:bodyDiv w:val="1"/>
      <w:marLeft w:val="0"/>
      <w:marRight w:val="0"/>
      <w:marTop w:val="0"/>
      <w:marBottom w:val="0"/>
      <w:divBdr>
        <w:top w:val="none" w:sz="0" w:space="0" w:color="auto"/>
        <w:left w:val="none" w:sz="0" w:space="0" w:color="auto"/>
        <w:bottom w:val="none" w:sz="0" w:space="0" w:color="auto"/>
        <w:right w:val="none" w:sz="0" w:space="0" w:color="auto"/>
      </w:divBdr>
    </w:div>
    <w:div w:id="1012224625">
      <w:bodyDiv w:val="1"/>
      <w:marLeft w:val="0"/>
      <w:marRight w:val="0"/>
      <w:marTop w:val="0"/>
      <w:marBottom w:val="0"/>
      <w:divBdr>
        <w:top w:val="none" w:sz="0" w:space="0" w:color="auto"/>
        <w:left w:val="none" w:sz="0" w:space="0" w:color="auto"/>
        <w:bottom w:val="none" w:sz="0" w:space="0" w:color="auto"/>
        <w:right w:val="none" w:sz="0" w:space="0" w:color="auto"/>
      </w:divBdr>
    </w:div>
    <w:div w:id="1012225359">
      <w:bodyDiv w:val="1"/>
      <w:marLeft w:val="0"/>
      <w:marRight w:val="0"/>
      <w:marTop w:val="0"/>
      <w:marBottom w:val="0"/>
      <w:divBdr>
        <w:top w:val="none" w:sz="0" w:space="0" w:color="auto"/>
        <w:left w:val="none" w:sz="0" w:space="0" w:color="auto"/>
        <w:bottom w:val="none" w:sz="0" w:space="0" w:color="auto"/>
        <w:right w:val="none" w:sz="0" w:space="0" w:color="auto"/>
      </w:divBdr>
    </w:div>
    <w:div w:id="1012341941">
      <w:bodyDiv w:val="1"/>
      <w:marLeft w:val="0"/>
      <w:marRight w:val="0"/>
      <w:marTop w:val="0"/>
      <w:marBottom w:val="0"/>
      <w:divBdr>
        <w:top w:val="none" w:sz="0" w:space="0" w:color="auto"/>
        <w:left w:val="none" w:sz="0" w:space="0" w:color="auto"/>
        <w:bottom w:val="none" w:sz="0" w:space="0" w:color="auto"/>
        <w:right w:val="none" w:sz="0" w:space="0" w:color="auto"/>
      </w:divBdr>
    </w:div>
    <w:div w:id="1012416014">
      <w:bodyDiv w:val="1"/>
      <w:marLeft w:val="0"/>
      <w:marRight w:val="0"/>
      <w:marTop w:val="0"/>
      <w:marBottom w:val="0"/>
      <w:divBdr>
        <w:top w:val="none" w:sz="0" w:space="0" w:color="auto"/>
        <w:left w:val="none" w:sz="0" w:space="0" w:color="auto"/>
        <w:bottom w:val="none" w:sz="0" w:space="0" w:color="auto"/>
        <w:right w:val="none" w:sz="0" w:space="0" w:color="auto"/>
      </w:divBdr>
    </w:div>
    <w:div w:id="1012416636">
      <w:bodyDiv w:val="1"/>
      <w:marLeft w:val="0"/>
      <w:marRight w:val="0"/>
      <w:marTop w:val="0"/>
      <w:marBottom w:val="0"/>
      <w:divBdr>
        <w:top w:val="none" w:sz="0" w:space="0" w:color="auto"/>
        <w:left w:val="none" w:sz="0" w:space="0" w:color="auto"/>
        <w:bottom w:val="none" w:sz="0" w:space="0" w:color="auto"/>
        <w:right w:val="none" w:sz="0" w:space="0" w:color="auto"/>
      </w:divBdr>
    </w:div>
    <w:div w:id="1012490520">
      <w:bodyDiv w:val="1"/>
      <w:marLeft w:val="0"/>
      <w:marRight w:val="0"/>
      <w:marTop w:val="0"/>
      <w:marBottom w:val="0"/>
      <w:divBdr>
        <w:top w:val="none" w:sz="0" w:space="0" w:color="auto"/>
        <w:left w:val="none" w:sz="0" w:space="0" w:color="auto"/>
        <w:bottom w:val="none" w:sz="0" w:space="0" w:color="auto"/>
        <w:right w:val="none" w:sz="0" w:space="0" w:color="auto"/>
      </w:divBdr>
    </w:div>
    <w:div w:id="1012493781">
      <w:bodyDiv w:val="1"/>
      <w:marLeft w:val="0"/>
      <w:marRight w:val="0"/>
      <w:marTop w:val="0"/>
      <w:marBottom w:val="0"/>
      <w:divBdr>
        <w:top w:val="none" w:sz="0" w:space="0" w:color="auto"/>
        <w:left w:val="none" w:sz="0" w:space="0" w:color="auto"/>
        <w:bottom w:val="none" w:sz="0" w:space="0" w:color="auto"/>
        <w:right w:val="none" w:sz="0" w:space="0" w:color="auto"/>
      </w:divBdr>
    </w:div>
    <w:div w:id="1012606650">
      <w:bodyDiv w:val="1"/>
      <w:marLeft w:val="0"/>
      <w:marRight w:val="0"/>
      <w:marTop w:val="0"/>
      <w:marBottom w:val="0"/>
      <w:divBdr>
        <w:top w:val="none" w:sz="0" w:space="0" w:color="auto"/>
        <w:left w:val="none" w:sz="0" w:space="0" w:color="auto"/>
        <w:bottom w:val="none" w:sz="0" w:space="0" w:color="auto"/>
        <w:right w:val="none" w:sz="0" w:space="0" w:color="auto"/>
      </w:divBdr>
    </w:div>
    <w:div w:id="1012611425">
      <w:bodyDiv w:val="1"/>
      <w:marLeft w:val="0"/>
      <w:marRight w:val="0"/>
      <w:marTop w:val="0"/>
      <w:marBottom w:val="0"/>
      <w:divBdr>
        <w:top w:val="none" w:sz="0" w:space="0" w:color="auto"/>
        <w:left w:val="none" w:sz="0" w:space="0" w:color="auto"/>
        <w:bottom w:val="none" w:sz="0" w:space="0" w:color="auto"/>
        <w:right w:val="none" w:sz="0" w:space="0" w:color="auto"/>
      </w:divBdr>
    </w:div>
    <w:div w:id="1012687922">
      <w:bodyDiv w:val="1"/>
      <w:marLeft w:val="0"/>
      <w:marRight w:val="0"/>
      <w:marTop w:val="0"/>
      <w:marBottom w:val="0"/>
      <w:divBdr>
        <w:top w:val="none" w:sz="0" w:space="0" w:color="auto"/>
        <w:left w:val="none" w:sz="0" w:space="0" w:color="auto"/>
        <w:bottom w:val="none" w:sz="0" w:space="0" w:color="auto"/>
        <w:right w:val="none" w:sz="0" w:space="0" w:color="auto"/>
      </w:divBdr>
    </w:div>
    <w:div w:id="1012755854">
      <w:bodyDiv w:val="1"/>
      <w:marLeft w:val="0"/>
      <w:marRight w:val="0"/>
      <w:marTop w:val="0"/>
      <w:marBottom w:val="0"/>
      <w:divBdr>
        <w:top w:val="none" w:sz="0" w:space="0" w:color="auto"/>
        <w:left w:val="none" w:sz="0" w:space="0" w:color="auto"/>
        <w:bottom w:val="none" w:sz="0" w:space="0" w:color="auto"/>
        <w:right w:val="none" w:sz="0" w:space="0" w:color="auto"/>
      </w:divBdr>
    </w:div>
    <w:div w:id="1012873934">
      <w:bodyDiv w:val="1"/>
      <w:marLeft w:val="0"/>
      <w:marRight w:val="0"/>
      <w:marTop w:val="0"/>
      <w:marBottom w:val="0"/>
      <w:divBdr>
        <w:top w:val="none" w:sz="0" w:space="0" w:color="auto"/>
        <w:left w:val="none" w:sz="0" w:space="0" w:color="auto"/>
        <w:bottom w:val="none" w:sz="0" w:space="0" w:color="auto"/>
        <w:right w:val="none" w:sz="0" w:space="0" w:color="auto"/>
      </w:divBdr>
    </w:div>
    <w:div w:id="1012997353">
      <w:bodyDiv w:val="1"/>
      <w:marLeft w:val="0"/>
      <w:marRight w:val="0"/>
      <w:marTop w:val="0"/>
      <w:marBottom w:val="0"/>
      <w:divBdr>
        <w:top w:val="none" w:sz="0" w:space="0" w:color="auto"/>
        <w:left w:val="none" w:sz="0" w:space="0" w:color="auto"/>
        <w:bottom w:val="none" w:sz="0" w:space="0" w:color="auto"/>
        <w:right w:val="none" w:sz="0" w:space="0" w:color="auto"/>
      </w:divBdr>
    </w:div>
    <w:div w:id="1013459023">
      <w:bodyDiv w:val="1"/>
      <w:marLeft w:val="0"/>
      <w:marRight w:val="0"/>
      <w:marTop w:val="0"/>
      <w:marBottom w:val="0"/>
      <w:divBdr>
        <w:top w:val="none" w:sz="0" w:space="0" w:color="auto"/>
        <w:left w:val="none" w:sz="0" w:space="0" w:color="auto"/>
        <w:bottom w:val="none" w:sz="0" w:space="0" w:color="auto"/>
        <w:right w:val="none" w:sz="0" w:space="0" w:color="auto"/>
      </w:divBdr>
    </w:div>
    <w:div w:id="1013528754">
      <w:bodyDiv w:val="1"/>
      <w:marLeft w:val="0"/>
      <w:marRight w:val="0"/>
      <w:marTop w:val="0"/>
      <w:marBottom w:val="0"/>
      <w:divBdr>
        <w:top w:val="none" w:sz="0" w:space="0" w:color="auto"/>
        <w:left w:val="none" w:sz="0" w:space="0" w:color="auto"/>
        <w:bottom w:val="none" w:sz="0" w:space="0" w:color="auto"/>
        <w:right w:val="none" w:sz="0" w:space="0" w:color="auto"/>
      </w:divBdr>
    </w:div>
    <w:div w:id="1013798114">
      <w:bodyDiv w:val="1"/>
      <w:marLeft w:val="0"/>
      <w:marRight w:val="0"/>
      <w:marTop w:val="0"/>
      <w:marBottom w:val="0"/>
      <w:divBdr>
        <w:top w:val="none" w:sz="0" w:space="0" w:color="auto"/>
        <w:left w:val="none" w:sz="0" w:space="0" w:color="auto"/>
        <w:bottom w:val="none" w:sz="0" w:space="0" w:color="auto"/>
        <w:right w:val="none" w:sz="0" w:space="0" w:color="auto"/>
      </w:divBdr>
    </w:div>
    <w:div w:id="1013803412">
      <w:bodyDiv w:val="1"/>
      <w:marLeft w:val="0"/>
      <w:marRight w:val="0"/>
      <w:marTop w:val="0"/>
      <w:marBottom w:val="0"/>
      <w:divBdr>
        <w:top w:val="none" w:sz="0" w:space="0" w:color="auto"/>
        <w:left w:val="none" w:sz="0" w:space="0" w:color="auto"/>
        <w:bottom w:val="none" w:sz="0" w:space="0" w:color="auto"/>
        <w:right w:val="none" w:sz="0" w:space="0" w:color="auto"/>
      </w:divBdr>
    </w:div>
    <w:div w:id="1013917818">
      <w:bodyDiv w:val="1"/>
      <w:marLeft w:val="0"/>
      <w:marRight w:val="0"/>
      <w:marTop w:val="0"/>
      <w:marBottom w:val="0"/>
      <w:divBdr>
        <w:top w:val="none" w:sz="0" w:space="0" w:color="auto"/>
        <w:left w:val="none" w:sz="0" w:space="0" w:color="auto"/>
        <w:bottom w:val="none" w:sz="0" w:space="0" w:color="auto"/>
        <w:right w:val="none" w:sz="0" w:space="0" w:color="auto"/>
      </w:divBdr>
    </w:div>
    <w:div w:id="1013920649">
      <w:bodyDiv w:val="1"/>
      <w:marLeft w:val="0"/>
      <w:marRight w:val="0"/>
      <w:marTop w:val="0"/>
      <w:marBottom w:val="0"/>
      <w:divBdr>
        <w:top w:val="none" w:sz="0" w:space="0" w:color="auto"/>
        <w:left w:val="none" w:sz="0" w:space="0" w:color="auto"/>
        <w:bottom w:val="none" w:sz="0" w:space="0" w:color="auto"/>
        <w:right w:val="none" w:sz="0" w:space="0" w:color="auto"/>
      </w:divBdr>
    </w:div>
    <w:div w:id="1013994242">
      <w:bodyDiv w:val="1"/>
      <w:marLeft w:val="0"/>
      <w:marRight w:val="0"/>
      <w:marTop w:val="0"/>
      <w:marBottom w:val="0"/>
      <w:divBdr>
        <w:top w:val="none" w:sz="0" w:space="0" w:color="auto"/>
        <w:left w:val="none" w:sz="0" w:space="0" w:color="auto"/>
        <w:bottom w:val="none" w:sz="0" w:space="0" w:color="auto"/>
        <w:right w:val="none" w:sz="0" w:space="0" w:color="auto"/>
      </w:divBdr>
    </w:div>
    <w:div w:id="1013996341">
      <w:bodyDiv w:val="1"/>
      <w:marLeft w:val="0"/>
      <w:marRight w:val="0"/>
      <w:marTop w:val="0"/>
      <w:marBottom w:val="0"/>
      <w:divBdr>
        <w:top w:val="none" w:sz="0" w:space="0" w:color="auto"/>
        <w:left w:val="none" w:sz="0" w:space="0" w:color="auto"/>
        <w:bottom w:val="none" w:sz="0" w:space="0" w:color="auto"/>
        <w:right w:val="none" w:sz="0" w:space="0" w:color="auto"/>
      </w:divBdr>
    </w:div>
    <w:div w:id="1014038968">
      <w:bodyDiv w:val="1"/>
      <w:marLeft w:val="0"/>
      <w:marRight w:val="0"/>
      <w:marTop w:val="0"/>
      <w:marBottom w:val="0"/>
      <w:divBdr>
        <w:top w:val="none" w:sz="0" w:space="0" w:color="auto"/>
        <w:left w:val="none" w:sz="0" w:space="0" w:color="auto"/>
        <w:bottom w:val="none" w:sz="0" w:space="0" w:color="auto"/>
        <w:right w:val="none" w:sz="0" w:space="0" w:color="auto"/>
      </w:divBdr>
    </w:div>
    <w:div w:id="1014185490">
      <w:bodyDiv w:val="1"/>
      <w:marLeft w:val="0"/>
      <w:marRight w:val="0"/>
      <w:marTop w:val="0"/>
      <w:marBottom w:val="0"/>
      <w:divBdr>
        <w:top w:val="none" w:sz="0" w:space="0" w:color="auto"/>
        <w:left w:val="none" w:sz="0" w:space="0" w:color="auto"/>
        <w:bottom w:val="none" w:sz="0" w:space="0" w:color="auto"/>
        <w:right w:val="none" w:sz="0" w:space="0" w:color="auto"/>
      </w:divBdr>
    </w:div>
    <w:div w:id="1014188747">
      <w:bodyDiv w:val="1"/>
      <w:marLeft w:val="0"/>
      <w:marRight w:val="0"/>
      <w:marTop w:val="0"/>
      <w:marBottom w:val="0"/>
      <w:divBdr>
        <w:top w:val="none" w:sz="0" w:space="0" w:color="auto"/>
        <w:left w:val="none" w:sz="0" w:space="0" w:color="auto"/>
        <w:bottom w:val="none" w:sz="0" w:space="0" w:color="auto"/>
        <w:right w:val="none" w:sz="0" w:space="0" w:color="auto"/>
      </w:divBdr>
    </w:div>
    <w:div w:id="1014258789">
      <w:bodyDiv w:val="1"/>
      <w:marLeft w:val="0"/>
      <w:marRight w:val="0"/>
      <w:marTop w:val="0"/>
      <w:marBottom w:val="0"/>
      <w:divBdr>
        <w:top w:val="none" w:sz="0" w:space="0" w:color="auto"/>
        <w:left w:val="none" w:sz="0" w:space="0" w:color="auto"/>
        <w:bottom w:val="none" w:sz="0" w:space="0" w:color="auto"/>
        <w:right w:val="none" w:sz="0" w:space="0" w:color="auto"/>
      </w:divBdr>
    </w:div>
    <w:div w:id="1014261323">
      <w:bodyDiv w:val="1"/>
      <w:marLeft w:val="0"/>
      <w:marRight w:val="0"/>
      <w:marTop w:val="0"/>
      <w:marBottom w:val="0"/>
      <w:divBdr>
        <w:top w:val="none" w:sz="0" w:space="0" w:color="auto"/>
        <w:left w:val="none" w:sz="0" w:space="0" w:color="auto"/>
        <w:bottom w:val="none" w:sz="0" w:space="0" w:color="auto"/>
        <w:right w:val="none" w:sz="0" w:space="0" w:color="auto"/>
      </w:divBdr>
    </w:div>
    <w:div w:id="1014307382">
      <w:bodyDiv w:val="1"/>
      <w:marLeft w:val="0"/>
      <w:marRight w:val="0"/>
      <w:marTop w:val="0"/>
      <w:marBottom w:val="0"/>
      <w:divBdr>
        <w:top w:val="none" w:sz="0" w:space="0" w:color="auto"/>
        <w:left w:val="none" w:sz="0" w:space="0" w:color="auto"/>
        <w:bottom w:val="none" w:sz="0" w:space="0" w:color="auto"/>
        <w:right w:val="none" w:sz="0" w:space="0" w:color="auto"/>
      </w:divBdr>
    </w:div>
    <w:div w:id="1014497476">
      <w:bodyDiv w:val="1"/>
      <w:marLeft w:val="0"/>
      <w:marRight w:val="0"/>
      <w:marTop w:val="0"/>
      <w:marBottom w:val="0"/>
      <w:divBdr>
        <w:top w:val="none" w:sz="0" w:space="0" w:color="auto"/>
        <w:left w:val="none" w:sz="0" w:space="0" w:color="auto"/>
        <w:bottom w:val="none" w:sz="0" w:space="0" w:color="auto"/>
        <w:right w:val="none" w:sz="0" w:space="0" w:color="auto"/>
      </w:divBdr>
    </w:div>
    <w:div w:id="1014527429">
      <w:bodyDiv w:val="1"/>
      <w:marLeft w:val="0"/>
      <w:marRight w:val="0"/>
      <w:marTop w:val="0"/>
      <w:marBottom w:val="0"/>
      <w:divBdr>
        <w:top w:val="none" w:sz="0" w:space="0" w:color="auto"/>
        <w:left w:val="none" w:sz="0" w:space="0" w:color="auto"/>
        <w:bottom w:val="none" w:sz="0" w:space="0" w:color="auto"/>
        <w:right w:val="none" w:sz="0" w:space="0" w:color="auto"/>
      </w:divBdr>
    </w:div>
    <w:div w:id="1014574561">
      <w:bodyDiv w:val="1"/>
      <w:marLeft w:val="0"/>
      <w:marRight w:val="0"/>
      <w:marTop w:val="0"/>
      <w:marBottom w:val="0"/>
      <w:divBdr>
        <w:top w:val="none" w:sz="0" w:space="0" w:color="auto"/>
        <w:left w:val="none" w:sz="0" w:space="0" w:color="auto"/>
        <w:bottom w:val="none" w:sz="0" w:space="0" w:color="auto"/>
        <w:right w:val="none" w:sz="0" w:space="0" w:color="auto"/>
      </w:divBdr>
    </w:div>
    <w:div w:id="1014578313">
      <w:bodyDiv w:val="1"/>
      <w:marLeft w:val="0"/>
      <w:marRight w:val="0"/>
      <w:marTop w:val="0"/>
      <w:marBottom w:val="0"/>
      <w:divBdr>
        <w:top w:val="none" w:sz="0" w:space="0" w:color="auto"/>
        <w:left w:val="none" w:sz="0" w:space="0" w:color="auto"/>
        <w:bottom w:val="none" w:sz="0" w:space="0" w:color="auto"/>
        <w:right w:val="none" w:sz="0" w:space="0" w:color="auto"/>
      </w:divBdr>
    </w:div>
    <w:div w:id="1014694763">
      <w:bodyDiv w:val="1"/>
      <w:marLeft w:val="0"/>
      <w:marRight w:val="0"/>
      <w:marTop w:val="0"/>
      <w:marBottom w:val="0"/>
      <w:divBdr>
        <w:top w:val="none" w:sz="0" w:space="0" w:color="auto"/>
        <w:left w:val="none" w:sz="0" w:space="0" w:color="auto"/>
        <w:bottom w:val="none" w:sz="0" w:space="0" w:color="auto"/>
        <w:right w:val="none" w:sz="0" w:space="0" w:color="auto"/>
      </w:divBdr>
    </w:div>
    <w:div w:id="1014695421">
      <w:bodyDiv w:val="1"/>
      <w:marLeft w:val="0"/>
      <w:marRight w:val="0"/>
      <w:marTop w:val="0"/>
      <w:marBottom w:val="0"/>
      <w:divBdr>
        <w:top w:val="none" w:sz="0" w:space="0" w:color="auto"/>
        <w:left w:val="none" w:sz="0" w:space="0" w:color="auto"/>
        <w:bottom w:val="none" w:sz="0" w:space="0" w:color="auto"/>
        <w:right w:val="none" w:sz="0" w:space="0" w:color="auto"/>
      </w:divBdr>
    </w:div>
    <w:div w:id="1014920382">
      <w:bodyDiv w:val="1"/>
      <w:marLeft w:val="0"/>
      <w:marRight w:val="0"/>
      <w:marTop w:val="0"/>
      <w:marBottom w:val="0"/>
      <w:divBdr>
        <w:top w:val="none" w:sz="0" w:space="0" w:color="auto"/>
        <w:left w:val="none" w:sz="0" w:space="0" w:color="auto"/>
        <w:bottom w:val="none" w:sz="0" w:space="0" w:color="auto"/>
        <w:right w:val="none" w:sz="0" w:space="0" w:color="auto"/>
      </w:divBdr>
    </w:div>
    <w:div w:id="1015109575">
      <w:bodyDiv w:val="1"/>
      <w:marLeft w:val="0"/>
      <w:marRight w:val="0"/>
      <w:marTop w:val="0"/>
      <w:marBottom w:val="0"/>
      <w:divBdr>
        <w:top w:val="none" w:sz="0" w:space="0" w:color="auto"/>
        <w:left w:val="none" w:sz="0" w:space="0" w:color="auto"/>
        <w:bottom w:val="none" w:sz="0" w:space="0" w:color="auto"/>
        <w:right w:val="none" w:sz="0" w:space="0" w:color="auto"/>
      </w:divBdr>
    </w:div>
    <w:div w:id="1015116127">
      <w:bodyDiv w:val="1"/>
      <w:marLeft w:val="0"/>
      <w:marRight w:val="0"/>
      <w:marTop w:val="0"/>
      <w:marBottom w:val="0"/>
      <w:divBdr>
        <w:top w:val="none" w:sz="0" w:space="0" w:color="auto"/>
        <w:left w:val="none" w:sz="0" w:space="0" w:color="auto"/>
        <w:bottom w:val="none" w:sz="0" w:space="0" w:color="auto"/>
        <w:right w:val="none" w:sz="0" w:space="0" w:color="auto"/>
      </w:divBdr>
    </w:div>
    <w:div w:id="1015227673">
      <w:bodyDiv w:val="1"/>
      <w:marLeft w:val="0"/>
      <w:marRight w:val="0"/>
      <w:marTop w:val="0"/>
      <w:marBottom w:val="0"/>
      <w:divBdr>
        <w:top w:val="none" w:sz="0" w:space="0" w:color="auto"/>
        <w:left w:val="none" w:sz="0" w:space="0" w:color="auto"/>
        <w:bottom w:val="none" w:sz="0" w:space="0" w:color="auto"/>
        <w:right w:val="none" w:sz="0" w:space="0" w:color="auto"/>
      </w:divBdr>
    </w:div>
    <w:div w:id="1015309677">
      <w:bodyDiv w:val="1"/>
      <w:marLeft w:val="0"/>
      <w:marRight w:val="0"/>
      <w:marTop w:val="0"/>
      <w:marBottom w:val="0"/>
      <w:divBdr>
        <w:top w:val="none" w:sz="0" w:space="0" w:color="auto"/>
        <w:left w:val="none" w:sz="0" w:space="0" w:color="auto"/>
        <w:bottom w:val="none" w:sz="0" w:space="0" w:color="auto"/>
        <w:right w:val="none" w:sz="0" w:space="0" w:color="auto"/>
      </w:divBdr>
    </w:div>
    <w:div w:id="1015494343">
      <w:bodyDiv w:val="1"/>
      <w:marLeft w:val="0"/>
      <w:marRight w:val="0"/>
      <w:marTop w:val="0"/>
      <w:marBottom w:val="0"/>
      <w:divBdr>
        <w:top w:val="none" w:sz="0" w:space="0" w:color="auto"/>
        <w:left w:val="none" w:sz="0" w:space="0" w:color="auto"/>
        <w:bottom w:val="none" w:sz="0" w:space="0" w:color="auto"/>
        <w:right w:val="none" w:sz="0" w:space="0" w:color="auto"/>
      </w:divBdr>
    </w:div>
    <w:div w:id="1015765913">
      <w:bodyDiv w:val="1"/>
      <w:marLeft w:val="0"/>
      <w:marRight w:val="0"/>
      <w:marTop w:val="0"/>
      <w:marBottom w:val="0"/>
      <w:divBdr>
        <w:top w:val="none" w:sz="0" w:space="0" w:color="auto"/>
        <w:left w:val="none" w:sz="0" w:space="0" w:color="auto"/>
        <w:bottom w:val="none" w:sz="0" w:space="0" w:color="auto"/>
        <w:right w:val="none" w:sz="0" w:space="0" w:color="auto"/>
      </w:divBdr>
    </w:div>
    <w:div w:id="1015770943">
      <w:bodyDiv w:val="1"/>
      <w:marLeft w:val="0"/>
      <w:marRight w:val="0"/>
      <w:marTop w:val="0"/>
      <w:marBottom w:val="0"/>
      <w:divBdr>
        <w:top w:val="none" w:sz="0" w:space="0" w:color="auto"/>
        <w:left w:val="none" w:sz="0" w:space="0" w:color="auto"/>
        <w:bottom w:val="none" w:sz="0" w:space="0" w:color="auto"/>
        <w:right w:val="none" w:sz="0" w:space="0" w:color="auto"/>
      </w:divBdr>
    </w:div>
    <w:div w:id="1015811623">
      <w:bodyDiv w:val="1"/>
      <w:marLeft w:val="0"/>
      <w:marRight w:val="0"/>
      <w:marTop w:val="0"/>
      <w:marBottom w:val="0"/>
      <w:divBdr>
        <w:top w:val="none" w:sz="0" w:space="0" w:color="auto"/>
        <w:left w:val="none" w:sz="0" w:space="0" w:color="auto"/>
        <w:bottom w:val="none" w:sz="0" w:space="0" w:color="auto"/>
        <w:right w:val="none" w:sz="0" w:space="0" w:color="auto"/>
      </w:divBdr>
    </w:div>
    <w:div w:id="1015838780">
      <w:bodyDiv w:val="1"/>
      <w:marLeft w:val="0"/>
      <w:marRight w:val="0"/>
      <w:marTop w:val="0"/>
      <w:marBottom w:val="0"/>
      <w:divBdr>
        <w:top w:val="none" w:sz="0" w:space="0" w:color="auto"/>
        <w:left w:val="none" w:sz="0" w:space="0" w:color="auto"/>
        <w:bottom w:val="none" w:sz="0" w:space="0" w:color="auto"/>
        <w:right w:val="none" w:sz="0" w:space="0" w:color="auto"/>
      </w:divBdr>
    </w:div>
    <w:div w:id="1016007568">
      <w:bodyDiv w:val="1"/>
      <w:marLeft w:val="0"/>
      <w:marRight w:val="0"/>
      <w:marTop w:val="0"/>
      <w:marBottom w:val="0"/>
      <w:divBdr>
        <w:top w:val="none" w:sz="0" w:space="0" w:color="auto"/>
        <w:left w:val="none" w:sz="0" w:space="0" w:color="auto"/>
        <w:bottom w:val="none" w:sz="0" w:space="0" w:color="auto"/>
        <w:right w:val="none" w:sz="0" w:space="0" w:color="auto"/>
      </w:divBdr>
    </w:div>
    <w:div w:id="1016032816">
      <w:bodyDiv w:val="1"/>
      <w:marLeft w:val="0"/>
      <w:marRight w:val="0"/>
      <w:marTop w:val="0"/>
      <w:marBottom w:val="0"/>
      <w:divBdr>
        <w:top w:val="none" w:sz="0" w:space="0" w:color="auto"/>
        <w:left w:val="none" w:sz="0" w:space="0" w:color="auto"/>
        <w:bottom w:val="none" w:sz="0" w:space="0" w:color="auto"/>
        <w:right w:val="none" w:sz="0" w:space="0" w:color="auto"/>
      </w:divBdr>
    </w:div>
    <w:div w:id="1016033389">
      <w:bodyDiv w:val="1"/>
      <w:marLeft w:val="0"/>
      <w:marRight w:val="0"/>
      <w:marTop w:val="0"/>
      <w:marBottom w:val="0"/>
      <w:divBdr>
        <w:top w:val="none" w:sz="0" w:space="0" w:color="auto"/>
        <w:left w:val="none" w:sz="0" w:space="0" w:color="auto"/>
        <w:bottom w:val="none" w:sz="0" w:space="0" w:color="auto"/>
        <w:right w:val="none" w:sz="0" w:space="0" w:color="auto"/>
      </w:divBdr>
    </w:div>
    <w:div w:id="1016075215">
      <w:bodyDiv w:val="1"/>
      <w:marLeft w:val="0"/>
      <w:marRight w:val="0"/>
      <w:marTop w:val="0"/>
      <w:marBottom w:val="0"/>
      <w:divBdr>
        <w:top w:val="none" w:sz="0" w:space="0" w:color="auto"/>
        <w:left w:val="none" w:sz="0" w:space="0" w:color="auto"/>
        <w:bottom w:val="none" w:sz="0" w:space="0" w:color="auto"/>
        <w:right w:val="none" w:sz="0" w:space="0" w:color="auto"/>
      </w:divBdr>
    </w:div>
    <w:div w:id="1016075265">
      <w:bodyDiv w:val="1"/>
      <w:marLeft w:val="0"/>
      <w:marRight w:val="0"/>
      <w:marTop w:val="0"/>
      <w:marBottom w:val="0"/>
      <w:divBdr>
        <w:top w:val="none" w:sz="0" w:space="0" w:color="auto"/>
        <w:left w:val="none" w:sz="0" w:space="0" w:color="auto"/>
        <w:bottom w:val="none" w:sz="0" w:space="0" w:color="auto"/>
        <w:right w:val="none" w:sz="0" w:space="0" w:color="auto"/>
      </w:divBdr>
    </w:div>
    <w:div w:id="1016151128">
      <w:bodyDiv w:val="1"/>
      <w:marLeft w:val="0"/>
      <w:marRight w:val="0"/>
      <w:marTop w:val="0"/>
      <w:marBottom w:val="0"/>
      <w:divBdr>
        <w:top w:val="none" w:sz="0" w:space="0" w:color="auto"/>
        <w:left w:val="none" w:sz="0" w:space="0" w:color="auto"/>
        <w:bottom w:val="none" w:sz="0" w:space="0" w:color="auto"/>
        <w:right w:val="none" w:sz="0" w:space="0" w:color="auto"/>
      </w:divBdr>
    </w:div>
    <w:div w:id="1016156261">
      <w:bodyDiv w:val="1"/>
      <w:marLeft w:val="0"/>
      <w:marRight w:val="0"/>
      <w:marTop w:val="0"/>
      <w:marBottom w:val="0"/>
      <w:divBdr>
        <w:top w:val="none" w:sz="0" w:space="0" w:color="auto"/>
        <w:left w:val="none" w:sz="0" w:space="0" w:color="auto"/>
        <w:bottom w:val="none" w:sz="0" w:space="0" w:color="auto"/>
        <w:right w:val="none" w:sz="0" w:space="0" w:color="auto"/>
      </w:divBdr>
    </w:div>
    <w:div w:id="1016348218">
      <w:bodyDiv w:val="1"/>
      <w:marLeft w:val="0"/>
      <w:marRight w:val="0"/>
      <w:marTop w:val="0"/>
      <w:marBottom w:val="0"/>
      <w:divBdr>
        <w:top w:val="none" w:sz="0" w:space="0" w:color="auto"/>
        <w:left w:val="none" w:sz="0" w:space="0" w:color="auto"/>
        <w:bottom w:val="none" w:sz="0" w:space="0" w:color="auto"/>
        <w:right w:val="none" w:sz="0" w:space="0" w:color="auto"/>
      </w:divBdr>
    </w:div>
    <w:div w:id="1016349143">
      <w:bodyDiv w:val="1"/>
      <w:marLeft w:val="0"/>
      <w:marRight w:val="0"/>
      <w:marTop w:val="0"/>
      <w:marBottom w:val="0"/>
      <w:divBdr>
        <w:top w:val="none" w:sz="0" w:space="0" w:color="auto"/>
        <w:left w:val="none" w:sz="0" w:space="0" w:color="auto"/>
        <w:bottom w:val="none" w:sz="0" w:space="0" w:color="auto"/>
        <w:right w:val="none" w:sz="0" w:space="0" w:color="auto"/>
      </w:divBdr>
    </w:div>
    <w:div w:id="1016424621">
      <w:bodyDiv w:val="1"/>
      <w:marLeft w:val="0"/>
      <w:marRight w:val="0"/>
      <w:marTop w:val="0"/>
      <w:marBottom w:val="0"/>
      <w:divBdr>
        <w:top w:val="none" w:sz="0" w:space="0" w:color="auto"/>
        <w:left w:val="none" w:sz="0" w:space="0" w:color="auto"/>
        <w:bottom w:val="none" w:sz="0" w:space="0" w:color="auto"/>
        <w:right w:val="none" w:sz="0" w:space="0" w:color="auto"/>
      </w:divBdr>
    </w:div>
    <w:div w:id="1016463379">
      <w:bodyDiv w:val="1"/>
      <w:marLeft w:val="0"/>
      <w:marRight w:val="0"/>
      <w:marTop w:val="0"/>
      <w:marBottom w:val="0"/>
      <w:divBdr>
        <w:top w:val="none" w:sz="0" w:space="0" w:color="auto"/>
        <w:left w:val="none" w:sz="0" w:space="0" w:color="auto"/>
        <w:bottom w:val="none" w:sz="0" w:space="0" w:color="auto"/>
        <w:right w:val="none" w:sz="0" w:space="0" w:color="auto"/>
      </w:divBdr>
    </w:div>
    <w:div w:id="1016544172">
      <w:bodyDiv w:val="1"/>
      <w:marLeft w:val="0"/>
      <w:marRight w:val="0"/>
      <w:marTop w:val="0"/>
      <w:marBottom w:val="0"/>
      <w:divBdr>
        <w:top w:val="none" w:sz="0" w:space="0" w:color="auto"/>
        <w:left w:val="none" w:sz="0" w:space="0" w:color="auto"/>
        <w:bottom w:val="none" w:sz="0" w:space="0" w:color="auto"/>
        <w:right w:val="none" w:sz="0" w:space="0" w:color="auto"/>
      </w:divBdr>
    </w:div>
    <w:div w:id="1016888254">
      <w:bodyDiv w:val="1"/>
      <w:marLeft w:val="0"/>
      <w:marRight w:val="0"/>
      <w:marTop w:val="0"/>
      <w:marBottom w:val="0"/>
      <w:divBdr>
        <w:top w:val="none" w:sz="0" w:space="0" w:color="auto"/>
        <w:left w:val="none" w:sz="0" w:space="0" w:color="auto"/>
        <w:bottom w:val="none" w:sz="0" w:space="0" w:color="auto"/>
        <w:right w:val="none" w:sz="0" w:space="0" w:color="auto"/>
      </w:divBdr>
    </w:div>
    <w:div w:id="1017001896">
      <w:bodyDiv w:val="1"/>
      <w:marLeft w:val="0"/>
      <w:marRight w:val="0"/>
      <w:marTop w:val="0"/>
      <w:marBottom w:val="0"/>
      <w:divBdr>
        <w:top w:val="none" w:sz="0" w:space="0" w:color="auto"/>
        <w:left w:val="none" w:sz="0" w:space="0" w:color="auto"/>
        <w:bottom w:val="none" w:sz="0" w:space="0" w:color="auto"/>
        <w:right w:val="none" w:sz="0" w:space="0" w:color="auto"/>
      </w:divBdr>
    </w:div>
    <w:div w:id="1017006520">
      <w:bodyDiv w:val="1"/>
      <w:marLeft w:val="0"/>
      <w:marRight w:val="0"/>
      <w:marTop w:val="0"/>
      <w:marBottom w:val="0"/>
      <w:divBdr>
        <w:top w:val="none" w:sz="0" w:space="0" w:color="auto"/>
        <w:left w:val="none" w:sz="0" w:space="0" w:color="auto"/>
        <w:bottom w:val="none" w:sz="0" w:space="0" w:color="auto"/>
        <w:right w:val="none" w:sz="0" w:space="0" w:color="auto"/>
      </w:divBdr>
    </w:div>
    <w:div w:id="1017077489">
      <w:bodyDiv w:val="1"/>
      <w:marLeft w:val="0"/>
      <w:marRight w:val="0"/>
      <w:marTop w:val="0"/>
      <w:marBottom w:val="0"/>
      <w:divBdr>
        <w:top w:val="none" w:sz="0" w:space="0" w:color="auto"/>
        <w:left w:val="none" w:sz="0" w:space="0" w:color="auto"/>
        <w:bottom w:val="none" w:sz="0" w:space="0" w:color="auto"/>
        <w:right w:val="none" w:sz="0" w:space="0" w:color="auto"/>
      </w:divBdr>
    </w:div>
    <w:div w:id="1017272378">
      <w:bodyDiv w:val="1"/>
      <w:marLeft w:val="0"/>
      <w:marRight w:val="0"/>
      <w:marTop w:val="0"/>
      <w:marBottom w:val="0"/>
      <w:divBdr>
        <w:top w:val="none" w:sz="0" w:space="0" w:color="auto"/>
        <w:left w:val="none" w:sz="0" w:space="0" w:color="auto"/>
        <w:bottom w:val="none" w:sz="0" w:space="0" w:color="auto"/>
        <w:right w:val="none" w:sz="0" w:space="0" w:color="auto"/>
      </w:divBdr>
    </w:div>
    <w:div w:id="1017317610">
      <w:bodyDiv w:val="1"/>
      <w:marLeft w:val="0"/>
      <w:marRight w:val="0"/>
      <w:marTop w:val="0"/>
      <w:marBottom w:val="0"/>
      <w:divBdr>
        <w:top w:val="none" w:sz="0" w:space="0" w:color="auto"/>
        <w:left w:val="none" w:sz="0" w:space="0" w:color="auto"/>
        <w:bottom w:val="none" w:sz="0" w:space="0" w:color="auto"/>
        <w:right w:val="none" w:sz="0" w:space="0" w:color="auto"/>
      </w:divBdr>
    </w:div>
    <w:div w:id="1017318414">
      <w:bodyDiv w:val="1"/>
      <w:marLeft w:val="0"/>
      <w:marRight w:val="0"/>
      <w:marTop w:val="0"/>
      <w:marBottom w:val="0"/>
      <w:divBdr>
        <w:top w:val="none" w:sz="0" w:space="0" w:color="auto"/>
        <w:left w:val="none" w:sz="0" w:space="0" w:color="auto"/>
        <w:bottom w:val="none" w:sz="0" w:space="0" w:color="auto"/>
        <w:right w:val="none" w:sz="0" w:space="0" w:color="auto"/>
      </w:divBdr>
    </w:div>
    <w:div w:id="1017346979">
      <w:bodyDiv w:val="1"/>
      <w:marLeft w:val="0"/>
      <w:marRight w:val="0"/>
      <w:marTop w:val="0"/>
      <w:marBottom w:val="0"/>
      <w:divBdr>
        <w:top w:val="none" w:sz="0" w:space="0" w:color="auto"/>
        <w:left w:val="none" w:sz="0" w:space="0" w:color="auto"/>
        <w:bottom w:val="none" w:sz="0" w:space="0" w:color="auto"/>
        <w:right w:val="none" w:sz="0" w:space="0" w:color="auto"/>
      </w:divBdr>
    </w:div>
    <w:div w:id="1017584068">
      <w:bodyDiv w:val="1"/>
      <w:marLeft w:val="0"/>
      <w:marRight w:val="0"/>
      <w:marTop w:val="0"/>
      <w:marBottom w:val="0"/>
      <w:divBdr>
        <w:top w:val="none" w:sz="0" w:space="0" w:color="auto"/>
        <w:left w:val="none" w:sz="0" w:space="0" w:color="auto"/>
        <w:bottom w:val="none" w:sz="0" w:space="0" w:color="auto"/>
        <w:right w:val="none" w:sz="0" w:space="0" w:color="auto"/>
      </w:divBdr>
    </w:div>
    <w:div w:id="1017662213">
      <w:bodyDiv w:val="1"/>
      <w:marLeft w:val="0"/>
      <w:marRight w:val="0"/>
      <w:marTop w:val="0"/>
      <w:marBottom w:val="0"/>
      <w:divBdr>
        <w:top w:val="none" w:sz="0" w:space="0" w:color="auto"/>
        <w:left w:val="none" w:sz="0" w:space="0" w:color="auto"/>
        <w:bottom w:val="none" w:sz="0" w:space="0" w:color="auto"/>
        <w:right w:val="none" w:sz="0" w:space="0" w:color="auto"/>
      </w:divBdr>
    </w:div>
    <w:div w:id="1017846857">
      <w:bodyDiv w:val="1"/>
      <w:marLeft w:val="0"/>
      <w:marRight w:val="0"/>
      <w:marTop w:val="0"/>
      <w:marBottom w:val="0"/>
      <w:divBdr>
        <w:top w:val="none" w:sz="0" w:space="0" w:color="auto"/>
        <w:left w:val="none" w:sz="0" w:space="0" w:color="auto"/>
        <w:bottom w:val="none" w:sz="0" w:space="0" w:color="auto"/>
        <w:right w:val="none" w:sz="0" w:space="0" w:color="auto"/>
      </w:divBdr>
    </w:div>
    <w:div w:id="1017853513">
      <w:bodyDiv w:val="1"/>
      <w:marLeft w:val="0"/>
      <w:marRight w:val="0"/>
      <w:marTop w:val="0"/>
      <w:marBottom w:val="0"/>
      <w:divBdr>
        <w:top w:val="none" w:sz="0" w:space="0" w:color="auto"/>
        <w:left w:val="none" w:sz="0" w:space="0" w:color="auto"/>
        <w:bottom w:val="none" w:sz="0" w:space="0" w:color="auto"/>
        <w:right w:val="none" w:sz="0" w:space="0" w:color="auto"/>
      </w:divBdr>
    </w:div>
    <w:div w:id="1017853839">
      <w:bodyDiv w:val="1"/>
      <w:marLeft w:val="0"/>
      <w:marRight w:val="0"/>
      <w:marTop w:val="0"/>
      <w:marBottom w:val="0"/>
      <w:divBdr>
        <w:top w:val="none" w:sz="0" w:space="0" w:color="auto"/>
        <w:left w:val="none" w:sz="0" w:space="0" w:color="auto"/>
        <w:bottom w:val="none" w:sz="0" w:space="0" w:color="auto"/>
        <w:right w:val="none" w:sz="0" w:space="0" w:color="auto"/>
      </w:divBdr>
    </w:div>
    <w:div w:id="1017930780">
      <w:bodyDiv w:val="1"/>
      <w:marLeft w:val="0"/>
      <w:marRight w:val="0"/>
      <w:marTop w:val="0"/>
      <w:marBottom w:val="0"/>
      <w:divBdr>
        <w:top w:val="none" w:sz="0" w:space="0" w:color="auto"/>
        <w:left w:val="none" w:sz="0" w:space="0" w:color="auto"/>
        <w:bottom w:val="none" w:sz="0" w:space="0" w:color="auto"/>
        <w:right w:val="none" w:sz="0" w:space="0" w:color="auto"/>
      </w:divBdr>
    </w:div>
    <w:div w:id="1017971112">
      <w:bodyDiv w:val="1"/>
      <w:marLeft w:val="0"/>
      <w:marRight w:val="0"/>
      <w:marTop w:val="0"/>
      <w:marBottom w:val="0"/>
      <w:divBdr>
        <w:top w:val="none" w:sz="0" w:space="0" w:color="auto"/>
        <w:left w:val="none" w:sz="0" w:space="0" w:color="auto"/>
        <w:bottom w:val="none" w:sz="0" w:space="0" w:color="auto"/>
        <w:right w:val="none" w:sz="0" w:space="0" w:color="auto"/>
      </w:divBdr>
    </w:div>
    <w:div w:id="1018000175">
      <w:bodyDiv w:val="1"/>
      <w:marLeft w:val="0"/>
      <w:marRight w:val="0"/>
      <w:marTop w:val="0"/>
      <w:marBottom w:val="0"/>
      <w:divBdr>
        <w:top w:val="none" w:sz="0" w:space="0" w:color="auto"/>
        <w:left w:val="none" w:sz="0" w:space="0" w:color="auto"/>
        <w:bottom w:val="none" w:sz="0" w:space="0" w:color="auto"/>
        <w:right w:val="none" w:sz="0" w:space="0" w:color="auto"/>
      </w:divBdr>
    </w:div>
    <w:div w:id="1018235737">
      <w:bodyDiv w:val="1"/>
      <w:marLeft w:val="0"/>
      <w:marRight w:val="0"/>
      <w:marTop w:val="0"/>
      <w:marBottom w:val="0"/>
      <w:divBdr>
        <w:top w:val="none" w:sz="0" w:space="0" w:color="auto"/>
        <w:left w:val="none" w:sz="0" w:space="0" w:color="auto"/>
        <w:bottom w:val="none" w:sz="0" w:space="0" w:color="auto"/>
        <w:right w:val="none" w:sz="0" w:space="0" w:color="auto"/>
      </w:divBdr>
    </w:div>
    <w:div w:id="1018240627">
      <w:bodyDiv w:val="1"/>
      <w:marLeft w:val="0"/>
      <w:marRight w:val="0"/>
      <w:marTop w:val="0"/>
      <w:marBottom w:val="0"/>
      <w:divBdr>
        <w:top w:val="none" w:sz="0" w:space="0" w:color="auto"/>
        <w:left w:val="none" w:sz="0" w:space="0" w:color="auto"/>
        <w:bottom w:val="none" w:sz="0" w:space="0" w:color="auto"/>
        <w:right w:val="none" w:sz="0" w:space="0" w:color="auto"/>
      </w:divBdr>
    </w:div>
    <w:div w:id="1018242046">
      <w:bodyDiv w:val="1"/>
      <w:marLeft w:val="0"/>
      <w:marRight w:val="0"/>
      <w:marTop w:val="0"/>
      <w:marBottom w:val="0"/>
      <w:divBdr>
        <w:top w:val="none" w:sz="0" w:space="0" w:color="auto"/>
        <w:left w:val="none" w:sz="0" w:space="0" w:color="auto"/>
        <w:bottom w:val="none" w:sz="0" w:space="0" w:color="auto"/>
        <w:right w:val="none" w:sz="0" w:space="0" w:color="auto"/>
      </w:divBdr>
    </w:div>
    <w:div w:id="1018310913">
      <w:bodyDiv w:val="1"/>
      <w:marLeft w:val="0"/>
      <w:marRight w:val="0"/>
      <w:marTop w:val="0"/>
      <w:marBottom w:val="0"/>
      <w:divBdr>
        <w:top w:val="none" w:sz="0" w:space="0" w:color="auto"/>
        <w:left w:val="none" w:sz="0" w:space="0" w:color="auto"/>
        <w:bottom w:val="none" w:sz="0" w:space="0" w:color="auto"/>
        <w:right w:val="none" w:sz="0" w:space="0" w:color="auto"/>
      </w:divBdr>
    </w:div>
    <w:div w:id="1018385344">
      <w:bodyDiv w:val="1"/>
      <w:marLeft w:val="0"/>
      <w:marRight w:val="0"/>
      <w:marTop w:val="0"/>
      <w:marBottom w:val="0"/>
      <w:divBdr>
        <w:top w:val="none" w:sz="0" w:space="0" w:color="auto"/>
        <w:left w:val="none" w:sz="0" w:space="0" w:color="auto"/>
        <w:bottom w:val="none" w:sz="0" w:space="0" w:color="auto"/>
        <w:right w:val="none" w:sz="0" w:space="0" w:color="auto"/>
      </w:divBdr>
    </w:div>
    <w:div w:id="1018505693">
      <w:bodyDiv w:val="1"/>
      <w:marLeft w:val="0"/>
      <w:marRight w:val="0"/>
      <w:marTop w:val="0"/>
      <w:marBottom w:val="0"/>
      <w:divBdr>
        <w:top w:val="none" w:sz="0" w:space="0" w:color="auto"/>
        <w:left w:val="none" w:sz="0" w:space="0" w:color="auto"/>
        <w:bottom w:val="none" w:sz="0" w:space="0" w:color="auto"/>
        <w:right w:val="none" w:sz="0" w:space="0" w:color="auto"/>
      </w:divBdr>
    </w:div>
    <w:div w:id="1018704073">
      <w:bodyDiv w:val="1"/>
      <w:marLeft w:val="0"/>
      <w:marRight w:val="0"/>
      <w:marTop w:val="0"/>
      <w:marBottom w:val="0"/>
      <w:divBdr>
        <w:top w:val="none" w:sz="0" w:space="0" w:color="auto"/>
        <w:left w:val="none" w:sz="0" w:space="0" w:color="auto"/>
        <w:bottom w:val="none" w:sz="0" w:space="0" w:color="auto"/>
        <w:right w:val="none" w:sz="0" w:space="0" w:color="auto"/>
      </w:divBdr>
    </w:div>
    <w:div w:id="1018772866">
      <w:bodyDiv w:val="1"/>
      <w:marLeft w:val="0"/>
      <w:marRight w:val="0"/>
      <w:marTop w:val="0"/>
      <w:marBottom w:val="0"/>
      <w:divBdr>
        <w:top w:val="none" w:sz="0" w:space="0" w:color="auto"/>
        <w:left w:val="none" w:sz="0" w:space="0" w:color="auto"/>
        <w:bottom w:val="none" w:sz="0" w:space="0" w:color="auto"/>
        <w:right w:val="none" w:sz="0" w:space="0" w:color="auto"/>
      </w:divBdr>
    </w:div>
    <w:div w:id="1018891523">
      <w:bodyDiv w:val="1"/>
      <w:marLeft w:val="0"/>
      <w:marRight w:val="0"/>
      <w:marTop w:val="0"/>
      <w:marBottom w:val="0"/>
      <w:divBdr>
        <w:top w:val="none" w:sz="0" w:space="0" w:color="auto"/>
        <w:left w:val="none" w:sz="0" w:space="0" w:color="auto"/>
        <w:bottom w:val="none" w:sz="0" w:space="0" w:color="auto"/>
        <w:right w:val="none" w:sz="0" w:space="0" w:color="auto"/>
      </w:divBdr>
    </w:div>
    <w:div w:id="1018969400">
      <w:bodyDiv w:val="1"/>
      <w:marLeft w:val="0"/>
      <w:marRight w:val="0"/>
      <w:marTop w:val="0"/>
      <w:marBottom w:val="0"/>
      <w:divBdr>
        <w:top w:val="none" w:sz="0" w:space="0" w:color="auto"/>
        <w:left w:val="none" w:sz="0" w:space="0" w:color="auto"/>
        <w:bottom w:val="none" w:sz="0" w:space="0" w:color="auto"/>
        <w:right w:val="none" w:sz="0" w:space="0" w:color="auto"/>
      </w:divBdr>
    </w:div>
    <w:div w:id="1019044609">
      <w:bodyDiv w:val="1"/>
      <w:marLeft w:val="0"/>
      <w:marRight w:val="0"/>
      <w:marTop w:val="0"/>
      <w:marBottom w:val="0"/>
      <w:divBdr>
        <w:top w:val="none" w:sz="0" w:space="0" w:color="auto"/>
        <w:left w:val="none" w:sz="0" w:space="0" w:color="auto"/>
        <w:bottom w:val="none" w:sz="0" w:space="0" w:color="auto"/>
        <w:right w:val="none" w:sz="0" w:space="0" w:color="auto"/>
      </w:divBdr>
    </w:div>
    <w:div w:id="1019162203">
      <w:bodyDiv w:val="1"/>
      <w:marLeft w:val="0"/>
      <w:marRight w:val="0"/>
      <w:marTop w:val="0"/>
      <w:marBottom w:val="0"/>
      <w:divBdr>
        <w:top w:val="none" w:sz="0" w:space="0" w:color="auto"/>
        <w:left w:val="none" w:sz="0" w:space="0" w:color="auto"/>
        <w:bottom w:val="none" w:sz="0" w:space="0" w:color="auto"/>
        <w:right w:val="none" w:sz="0" w:space="0" w:color="auto"/>
      </w:divBdr>
    </w:div>
    <w:div w:id="1019164040">
      <w:bodyDiv w:val="1"/>
      <w:marLeft w:val="0"/>
      <w:marRight w:val="0"/>
      <w:marTop w:val="0"/>
      <w:marBottom w:val="0"/>
      <w:divBdr>
        <w:top w:val="none" w:sz="0" w:space="0" w:color="auto"/>
        <w:left w:val="none" w:sz="0" w:space="0" w:color="auto"/>
        <w:bottom w:val="none" w:sz="0" w:space="0" w:color="auto"/>
        <w:right w:val="none" w:sz="0" w:space="0" w:color="auto"/>
      </w:divBdr>
    </w:div>
    <w:div w:id="1019310778">
      <w:bodyDiv w:val="1"/>
      <w:marLeft w:val="0"/>
      <w:marRight w:val="0"/>
      <w:marTop w:val="0"/>
      <w:marBottom w:val="0"/>
      <w:divBdr>
        <w:top w:val="none" w:sz="0" w:space="0" w:color="auto"/>
        <w:left w:val="none" w:sz="0" w:space="0" w:color="auto"/>
        <w:bottom w:val="none" w:sz="0" w:space="0" w:color="auto"/>
        <w:right w:val="none" w:sz="0" w:space="0" w:color="auto"/>
      </w:divBdr>
    </w:div>
    <w:div w:id="1019507405">
      <w:bodyDiv w:val="1"/>
      <w:marLeft w:val="0"/>
      <w:marRight w:val="0"/>
      <w:marTop w:val="0"/>
      <w:marBottom w:val="0"/>
      <w:divBdr>
        <w:top w:val="none" w:sz="0" w:space="0" w:color="auto"/>
        <w:left w:val="none" w:sz="0" w:space="0" w:color="auto"/>
        <w:bottom w:val="none" w:sz="0" w:space="0" w:color="auto"/>
        <w:right w:val="none" w:sz="0" w:space="0" w:color="auto"/>
      </w:divBdr>
    </w:div>
    <w:div w:id="1019544994">
      <w:bodyDiv w:val="1"/>
      <w:marLeft w:val="0"/>
      <w:marRight w:val="0"/>
      <w:marTop w:val="0"/>
      <w:marBottom w:val="0"/>
      <w:divBdr>
        <w:top w:val="none" w:sz="0" w:space="0" w:color="auto"/>
        <w:left w:val="none" w:sz="0" w:space="0" w:color="auto"/>
        <w:bottom w:val="none" w:sz="0" w:space="0" w:color="auto"/>
        <w:right w:val="none" w:sz="0" w:space="0" w:color="auto"/>
      </w:divBdr>
    </w:div>
    <w:div w:id="1019547721">
      <w:bodyDiv w:val="1"/>
      <w:marLeft w:val="0"/>
      <w:marRight w:val="0"/>
      <w:marTop w:val="0"/>
      <w:marBottom w:val="0"/>
      <w:divBdr>
        <w:top w:val="none" w:sz="0" w:space="0" w:color="auto"/>
        <w:left w:val="none" w:sz="0" w:space="0" w:color="auto"/>
        <w:bottom w:val="none" w:sz="0" w:space="0" w:color="auto"/>
        <w:right w:val="none" w:sz="0" w:space="0" w:color="auto"/>
      </w:divBdr>
    </w:div>
    <w:div w:id="1019619944">
      <w:bodyDiv w:val="1"/>
      <w:marLeft w:val="0"/>
      <w:marRight w:val="0"/>
      <w:marTop w:val="0"/>
      <w:marBottom w:val="0"/>
      <w:divBdr>
        <w:top w:val="none" w:sz="0" w:space="0" w:color="auto"/>
        <w:left w:val="none" w:sz="0" w:space="0" w:color="auto"/>
        <w:bottom w:val="none" w:sz="0" w:space="0" w:color="auto"/>
        <w:right w:val="none" w:sz="0" w:space="0" w:color="auto"/>
      </w:divBdr>
    </w:div>
    <w:div w:id="1019626713">
      <w:bodyDiv w:val="1"/>
      <w:marLeft w:val="0"/>
      <w:marRight w:val="0"/>
      <w:marTop w:val="0"/>
      <w:marBottom w:val="0"/>
      <w:divBdr>
        <w:top w:val="none" w:sz="0" w:space="0" w:color="auto"/>
        <w:left w:val="none" w:sz="0" w:space="0" w:color="auto"/>
        <w:bottom w:val="none" w:sz="0" w:space="0" w:color="auto"/>
        <w:right w:val="none" w:sz="0" w:space="0" w:color="auto"/>
      </w:divBdr>
    </w:div>
    <w:div w:id="1019701651">
      <w:bodyDiv w:val="1"/>
      <w:marLeft w:val="0"/>
      <w:marRight w:val="0"/>
      <w:marTop w:val="0"/>
      <w:marBottom w:val="0"/>
      <w:divBdr>
        <w:top w:val="none" w:sz="0" w:space="0" w:color="auto"/>
        <w:left w:val="none" w:sz="0" w:space="0" w:color="auto"/>
        <w:bottom w:val="none" w:sz="0" w:space="0" w:color="auto"/>
        <w:right w:val="none" w:sz="0" w:space="0" w:color="auto"/>
      </w:divBdr>
    </w:div>
    <w:div w:id="1019745245">
      <w:bodyDiv w:val="1"/>
      <w:marLeft w:val="0"/>
      <w:marRight w:val="0"/>
      <w:marTop w:val="0"/>
      <w:marBottom w:val="0"/>
      <w:divBdr>
        <w:top w:val="none" w:sz="0" w:space="0" w:color="auto"/>
        <w:left w:val="none" w:sz="0" w:space="0" w:color="auto"/>
        <w:bottom w:val="none" w:sz="0" w:space="0" w:color="auto"/>
        <w:right w:val="none" w:sz="0" w:space="0" w:color="auto"/>
      </w:divBdr>
    </w:div>
    <w:div w:id="1019812113">
      <w:bodyDiv w:val="1"/>
      <w:marLeft w:val="0"/>
      <w:marRight w:val="0"/>
      <w:marTop w:val="0"/>
      <w:marBottom w:val="0"/>
      <w:divBdr>
        <w:top w:val="none" w:sz="0" w:space="0" w:color="auto"/>
        <w:left w:val="none" w:sz="0" w:space="0" w:color="auto"/>
        <w:bottom w:val="none" w:sz="0" w:space="0" w:color="auto"/>
        <w:right w:val="none" w:sz="0" w:space="0" w:color="auto"/>
      </w:divBdr>
    </w:div>
    <w:div w:id="1019812739">
      <w:bodyDiv w:val="1"/>
      <w:marLeft w:val="0"/>
      <w:marRight w:val="0"/>
      <w:marTop w:val="0"/>
      <w:marBottom w:val="0"/>
      <w:divBdr>
        <w:top w:val="none" w:sz="0" w:space="0" w:color="auto"/>
        <w:left w:val="none" w:sz="0" w:space="0" w:color="auto"/>
        <w:bottom w:val="none" w:sz="0" w:space="0" w:color="auto"/>
        <w:right w:val="none" w:sz="0" w:space="0" w:color="auto"/>
      </w:divBdr>
    </w:div>
    <w:div w:id="1019814026">
      <w:bodyDiv w:val="1"/>
      <w:marLeft w:val="0"/>
      <w:marRight w:val="0"/>
      <w:marTop w:val="0"/>
      <w:marBottom w:val="0"/>
      <w:divBdr>
        <w:top w:val="none" w:sz="0" w:space="0" w:color="auto"/>
        <w:left w:val="none" w:sz="0" w:space="0" w:color="auto"/>
        <w:bottom w:val="none" w:sz="0" w:space="0" w:color="auto"/>
        <w:right w:val="none" w:sz="0" w:space="0" w:color="auto"/>
      </w:divBdr>
    </w:div>
    <w:div w:id="1019816164">
      <w:bodyDiv w:val="1"/>
      <w:marLeft w:val="0"/>
      <w:marRight w:val="0"/>
      <w:marTop w:val="0"/>
      <w:marBottom w:val="0"/>
      <w:divBdr>
        <w:top w:val="none" w:sz="0" w:space="0" w:color="auto"/>
        <w:left w:val="none" w:sz="0" w:space="0" w:color="auto"/>
        <w:bottom w:val="none" w:sz="0" w:space="0" w:color="auto"/>
        <w:right w:val="none" w:sz="0" w:space="0" w:color="auto"/>
      </w:divBdr>
    </w:div>
    <w:div w:id="1019895826">
      <w:bodyDiv w:val="1"/>
      <w:marLeft w:val="0"/>
      <w:marRight w:val="0"/>
      <w:marTop w:val="0"/>
      <w:marBottom w:val="0"/>
      <w:divBdr>
        <w:top w:val="none" w:sz="0" w:space="0" w:color="auto"/>
        <w:left w:val="none" w:sz="0" w:space="0" w:color="auto"/>
        <w:bottom w:val="none" w:sz="0" w:space="0" w:color="auto"/>
        <w:right w:val="none" w:sz="0" w:space="0" w:color="auto"/>
      </w:divBdr>
    </w:div>
    <w:div w:id="1020081022">
      <w:bodyDiv w:val="1"/>
      <w:marLeft w:val="0"/>
      <w:marRight w:val="0"/>
      <w:marTop w:val="0"/>
      <w:marBottom w:val="0"/>
      <w:divBdr>
        <w:top w:val="none" w:sz="0" w:space="0" w:color="auto"/>
        <w:left w:val="none" w:sz="0" w:space="0" w:color="auto"/>
        <w:bottom w:val="none" w:sz="0" w:space="0" w:color="auto"/>
        <w:right w:val="none" w:sz="0" w:space="0" w:color="auto"/>
      </w:divBdr>
    </w:div>
    <w:div w:id="1020084524">
      <w:bodyDiv w:val="1"/>
      <w:marLeft w:val="0"/>
      <w:marRight w:val="0"/>
      <w:marTop w:val="0"/>
      <w:marBottom w:val="0"/>
      <w:divBdr>
        <w:top w:val="none" w:sz="0" w:space="0" w:color="auto"/>
        <w:left w:val="none" w:sz="0" w:space="0" w:color="auto"/>
        <w:bottom w:val="none" w:sz="0" w:space="0" w:color="auto"/>
        <w:right w:val="none" w:sz="0" w:space="0" w:color="auto"/>
      </w:divBdr>
    </w:div>
    <w:div w:id="1020282362">
      <w:bodyDiv w:val="1"/>
      <w:marLeft w:val="0"/>
      <w:marRight w:val="0"/>
      <w:marTop w:val="0"/>
      <w:marBottom w:val="0"/>
      <w:divBdr>
        <w:top w:val="none" w:sz="0" w:space="0" w:color="auto"/>
        <w:left w:val="none" w:sz="0" w:space="0" w:color="auto"/>
        <w:bottom w:val="none" w:sz="0" w:space="0" w:color="auto"/>
        <w:right w:val="none" w:sz="0" w:space="0" w:color="auto"/>
      </w:divBdr>
    </w:div>
    <w:div w:id="1020351193">
      <w:bodyDiv w:val="1"/>
      <w:marLeft w:val="0"/>
      <w:marRight w:val="0"/>
      <w:marTop w:val="0"/>
      <w:marBottom w:val="0"/>
      <w:divBdr>
        <w:top w:val="none" w:sz="0" w:space="0" w:color="auto"/>
        <w:left w:val="none" w:sz="0" w:space="0" w:color="auto"/>
        <w:bottom w:val="none" w:sz="0" w:space="0" w:color="auto"/>
        <w:right w:val="none" w:sz="0" w:space="0" w:color="auto"/>
      </w:divBdr>
    </w:div>
    <w:div w:id="1020467990">
      <w:bodyDiv w:val="1"/>
      <w:marLeft w:val="0"/>
      <w:marRight w:val="0"/>
      <w:marTop w:val="0"/>
      <w:marBottom w:val="0"/>
      <w:divBdr>
        <w:top w:val="none" w:sz="0" w:space="0" w:color="auto"/>
        <w:left w:val="none" w:sz="0" w:space="0" w:color="auto"/>
        <w:bottom w:val="none" w:sz="0" w:space="0" w:color="auto"/>
        <w:right w:val="none" w:sz="0" w:space="0" w:color="auto"/>
      </w:divBdr>
    </w:div>
    <w:div w:id="1020468159">
      <w:bodyDiv w:val="1"/>
      <w:marLeft w:val="0"/>
      <w:marRight w:val="0"/>
      <w:marTop w:val="0"/>
      <w:marBottom w:val="0"/>
      <w:divBdr>
        <w:top w:val="none" w:sz="0" w:space="0" w:color="auto"/>
        <w:left w:val="none" w:sz="0" w:space="0" w:color="auto"/>
        <w:bottom w:val="none" w:sz="0" w:space="0" w:color="auto"/>
        <w:right w:val="none" w:sz="0" w:space="0" w:color="auto"/>
      </w:divBdr>
    </w:div>
    <w:div w:id="1020469830">
      <w:bodyDiv w:val="1"/>
      <w:marLeft w:val="0"/>
      <w:marRight w:val="0"/>
      <w:marTop w:val="0"/>
      <w:marBottom w:val="0"/>
      <w:divBdr>
        <w:top w:val="none" w:sz="0" w:space="0" w:color="auto"/>
        <w:left w:val="none" w:sz="0" w:space="0" w:color="auto"/>
        <w:bottom w:val="none" w:sz="0" w:space="0" w:color="auto"/>
        <w:right w:val="none" w:sz="0" w:space="0" w:color="auto"/>
      </w:divBdr>
    </w:div>
    <w:div w:id="1020549690">
      <w:bodyDiv w:val="1"/>
      <w:marLeft w:val="0"/>
      <w:marRight w:val="0"/>
      <w:marTop w:val="0"/>
      <w:marBottom w:val="0"/>
      <w:divBdr>
        <w:top w:val="none" w:sz="0" w:space="0" w:color="auto"/>
        <w:left w:val="none" w:sz="0" w:space="0" w:color="auto"/>
        <w:bottom w:val="none" w:sz="0" w:space="0" w:color="auto"/>
        <w:right w:val="none" w:sz="0" w:space="0" w:color="auto"/>
      </w:divBdr>
    </w:div>
    <w:div w:id="1020737261">
      <w:bodyDiv w:val="1"/>
      <w:marLeft w:val="0"/>
      <w:marRight w:val="0"/>
      <w:marTop w:val="0"/>
      <w:marBottom w:val="0"/>
      <w:divBdr>
        <w:top w:val="none" w:sz="0" w:space="0" w:color="auto"/>
        <w:left w:val="none" w:sz="0" w:space="0" w:color="auto"/>
        <w:bottom w:val="none" w:sz="0" w:space="0" w:color="auto"/>
        <w:right w:val="none" w:sz="0" w:space="0" w:color="auto"/>
      </w:divBdr>
    </w:div>
    <w:div w:id="1020737702">
      <w:bodyDiv w:val="1"/>
      <w:marLeft w:val="0"/>
      <w:marRight w:val="0"/>
      <w:marTop w:val="0"/>
      <w:marBottom w:val="0"/>
      <w:divBdr>
        <w:top w:val="none" w:sz="0" w:space="0" w:color="auto"/>
        <w:left w:val="none" w:sz="0" w:space="0" w:color="auto"/>
        <w:bottom w:val="none" w:sz="0" w:space="0" w:color="auto"/>
        <w:right w:val="none" w:sz="0" w:space="0" w:color="auto"/>
      </w:divBdr>
    </w:div>
    <w:div w:id="1020811996">
      <w:bodyDiv w:val="1"/>
      <w:marLeft w:val="0"/>
      <w:marRight w:val="0"/>
      <w:marTop w:val="0"/>
      <w:marBottom w:val="0"/>
      <w:divBdr>
        <w:top w:val="none" w:sz="0" w:space="0" w:color="auto"/>
        <w:left w:val="none" w:sz="0" w:space="0" w:color="auto"/>
        <w:bottom w:val="none" w:sz="0" w:space="0" w:color="auto"/>
        <w:right w:val="none" w:sz="0" w:space="0" w:color="auto"/>
      </w:divBdr>
    </w:div>
    <w:div w:id="1020819492">
      <w:bodyDiv w:val="1"/>
      <w:marLeft w:val="0"/>
      <w:marRight w:val="0"/>
      <w:marTop w:val="0"/>
      <w:marBottom w:val="0"/>
      <w:divBdr>
        <w:top w:val="none" w:sz="0" w:space="0" w:color="auto"/>
        <w:left w:val="none" w:sz="0" w:space="0" w:color="auto"/>
        <w:bottom w:val="none" w:sz="0" w:space="0" w:color="auto"/>
        <w:right w:val="none" w:sz="0" w:space="0" w:color="auto"/>
      </w:divBdr>
    </w:div>
    <w:div w:id="1020929763">
      <w:bodyDiv w:val="1"/>
      <w:marLeft w:val="0"/>
      <w:marRight w:val="0"/>
      <w:marTop w:val="0"/>
      <w:marBottom w:val="0"/>
      <w:divBdr>
        <w:top w:val="none" w:sz="0" w:space="0" w:color="auto"/>
        <w:left w:val="none" w:sz="0" w:space="0" w:color="auto"/>
        <w:bottom w:val="none" w:sz="0" w:space="0" w:color="auto"/>
        <w:right w:val="none" w:sz="0" w:space="0" w:color="auto"/>
      </w:divBdr>
    </w:div>
    <w:div w:id="1020932657">
      <w:bodyDiv w:val="1"/>
      <w:marLeft w:val="0"/>
      <w:marRight w:val="0"/>
      <w:marTop w:val="0"/>
      <w:marBottom w:val="0"/>
      <w:divBdr>
        <w:top w:val="none" w:sz="0" w:space="0" w:color="auto"/>
        <w:left w:val="none" w:sz="0" w:space="0" w:color="auto"/>
        <w:bottom w:val="none" w:sz="0" w:space="0" w:color="auto"/>
        <w:right w:val="none" w:sz="0" w:space="0" w:color="auto"/>
      </w:divBdr>
    </w:div>
    <w:div w:id="1020935591">
      <w:bodyDiv w:val="1"/>
      <w:marLeft w:val="0"/>
      <w:marRight w:val="0"/>
      <w:marTop w:val="0"/>
      <w:marBottom w:val="0"/>
      <w:divBdr>
        <w:top w:val="none" w:sz="0" w:space="0" w:color="auto"/>
        <w:left w:val="none" w:sz="0" w:space="0" w:color="auto"/>
        <w:bottom w:val="none" w:sz="0" w:space="0" w:color="auto"/>
        <w:right w:val="none" w:sz="0" w:space="0" w:color="auto"/>
      </w:divBdr>
    </w:div>
    <w:div w:id="1021054020">
      <w:bodyDiv w:val="1"/>
      <w:marLeft w:val="0"/>
      <w:marRight w:val="0"/>
      <w:marTop w:val="0"/>
      <w:marBottom w:val="0"/>
      <w:divBdr>
        <w:top w:val="none" w:sz="0" w:space="0" w:color="auto"/>
        <w:left w:val="none" w:sz="0" w:space="0" w:color="auto"/>
        <w:bottom w:val="none" w:sz="0" w:space="0" w:color="auto"/>
        <w:right w:val="none" w:sz="0" w:space="0" w:color="auto"/>
      </w:divBdr>
    </w:div>
    <w:div w:id="1021125266">
      <w:bodyDiv w:val="1"/>
      <w:marLeft w:val="0"/>
      <w:marRight w:val="0"/>
      <w:marTop w:val="0"/>
      <w:marBottom w:val="0"/>
      <w:divBdr>
        <w:top w:val="none" w:sz="0" w:space="0" w:color="auto"/>
        <w:left w:val="none" w:sz="0" w:space="0" w:color="auto"/>
        <w:bottom w:val="none" w:sz="0" w:space="0" w:color="auto"/>
        <w:right w:val="none" w:sz="0" w:space="0" w:color="auto"/>
      </w:divBdr>
    </w:div>
    <w:div w:id="1021125880">
      <w:bodyDiv w:val="1"/>
      <w:marLeft w:val="0"/>
      <w:marRight w:val="0"/>
      <w:marTop w:val="0"/>
      <w:marBottom w:val="0"/>
      <w:divBdr>
        <w:top w:val="none" w:sz="0" w:space="0" w:color="auto"/>
        <w:left w:val="none" w:sz="0" w:space="0" w:color="auto"/>
        <w:bottom w:val="none" w:sz="0" w:space="0" w:color="auto"/>
        <w:right w:val="none" w:sz="0" w:space="0" w:color="auto"/>
      </w:divBdr>
    </w:div>
    <w:div w:id="1021127528">
      <w:bodyDiv w:val="1"/>
      <w:marLeft w:val="0"/>
      <w:marRight w:val="0"/>
      <w:marTop w:val="0"/>
      <w:marBottom w:val="0"/>
      <w:divBdr>
        <w:top w:val="none" w:sz="0" w:space="0" w:color="auto"/>
        <w:left w:val="none" w:sz="0" w:space="0" w:color="auto"/>
        <w:bottom w:val="none" w:sz="0" w:space="0" w:color="auto"/>
        <w:right w:val="none" w:sz="0" w:space="0" w:color="auto"/>
      </w:divBdr>
    </w:div>
    <w:div w:id="1021203434">
      <w:bodyDiv w:val="1"/>
      <w:marLeft w:val="0"/>
      <w:marRight w:val="0"/>
      <w:marTop w:val="0"/>
      <w:marBottom w:val="0"/>
      <w:divBdr>
        <w:top w:val="none" w:sz="0" w:space="0" w:color="auto"/>
        <w:left w:val="none" w:sz="0" w:space="0" w:color="auto"/>
        <w:bottom w:val="none" w:sz="0" w:space="0" w:color="auto"/>
        <w:right w:val="none" w:sz="0" w:space="0" w:color="auto"/>
      </w:divBdr>
    </w:div>
    <w:div w:id="1021320435">
      <w:bodyDiv w:val="1"/>
      <w:marLeft w:val="0"/>
      <w:marRight w:val="0"/>
      <w:marTop w:val="0"/>
      <w:marBottom w:val="0"/>
      <w:divBdr>
        <w:top w:val="none" w:sz="0" w:space="0" w:color="auto"/>
        <w:left w:val="none" w:sz="0" w:space="0" w:color="auto"/>
        <w:bottom w:val="none" w:sz="0" w:space="0" w:color="auto"/>
        <w:right w:val="none" w:sz="0" w:space="0" w:color="auto"/>
      </w:divBdr>
    </w:div>
    <w:div w:id="1021325215">
      <w:bodyDiv w:val="1"/>
      <w:marLeft w:val="0"/>
      <w:marRight w:val="0"/>
      <w:marTop w:val="0"/>
      <w:marBottom w:val="0"/>
      <w:divBdr>
        <w:top w:val="none" w:sz="0" w:space="0" w:color="auto"/>
        <w:left w:val="none" w:sz="0" w:space="0" w:color="auto"/>
        <w:bottom w:val="none" w:sz="0" w:space="0" w:color="auto"/>
        <w:right w:val="none" w:sz="0" w:space="0" w:color="auto"/>
      </w:divBdr>
    </w:div>
    <w:div w:id="1021467162">
      <w:bodyDiv w:val="1"/>
      <w:marLeft w:val="0"/>
      <w:marRight w:val="0"/>
      <w:marTop w:val="0"/>
      <w:marBottom w:val="0"/>
      <w:divBdr>
        <w:top w:val="none" w:sz="0" w:space="0" w:color="auto"/>
        <w:left w:val="none" w:sz="0" w:space="0" w:color="auto"/>
        <w:bottom w:val="none" w:sz="0" w:space="0" w:color="auto"/>
        <w:right w:val="none" w:sz="0" w:space="0" w:color="auto"/>
      </w:divBdr>
    </w:div>
    <w:div w:id="1021467262">
      <w:bodyDiv w:val="1"/>
      <w:marLeft w:val="0"/>
      <w:marRight w:val="0"/>
      <w:marTop w:val="0"/>
      <w:marBottom w:val="0"/>
      <w:divBdr>
        <w:top w:val="none" w:sz="0" w:space="0" w:color="auto"/>
        <w:left w:val="none" w:sz="0" w:space="0" w:color="auto"/>
        <w:bottom w:val="none" w:sz="0" w:space="0" w:color="auto"/>
        <w:right w:val="none" w:sz="0" w:space="0" w:color="auto"/>
      </w:divBdr>
    </w:div>
    <w:div w:id="1021518448">
      <w:bodyDiv w:val="1"/>
      <w:marLeft w:val="0"/>
      <w:marRight w:val="0"/>
      <w:marTop w:val="0"/>
      <w:marBottom w:val="0"/>
      <w:divBdr>
        <w:top w:val="none" w:sz="0" w:space="0" w:color="auto"/>
        <w:left w:val="none" w:sz="0" w:space="0" w:color="auto"/>
        <w:bottom w:val="none" w:sz="0" w:space="0" w:color="auto"/>
        <w:right w:val="none" w:sz="0" w:space="0" w:color="auto"/>
      </w:divBdr>
    </w:div>
    <w:div w:id="1021662188">
      <w:bodyDiv w:val="1"/>
      <w:marLeft w:val="0"/>
      <w:marRight w:val="0"/>
      <w:marTop w:val="0"/>
      <w:marBottom w:val="0"/>
      <w:divBdr>
        <w:top w:val="none" w:sz="0" w:space="0" w:color="auto"/>
        <w:left w:val="none" w:sz="0" w:space="0" w:color="auto"/>
        <w:bottom w:val="none" w:sz="0" w:space="0" w:color="auto"/>
        <w:right w:val="none" w:sz="0" w:space="0" w:color="auto"/>
      </w:divBdr>
    </w:div>
    <w:div w:id="1021664366">
      <w:bodyDiv w:val="1"/>
      <w:marLeft w:val="0"/>
      <w:marRight w:val="0"/>
      <w:marTop w:val="0"/>
      <w:marBottom w:val="0"/>
      <w:divBdr>
        <w:top w:val="none" w:sz="0" w:space="0" w:color="auto"/>
        <w:left w:val="none" w:sz="0" w:space="0" w:color="auto"/>
        <w:bottom w:val="none" w:sz="0" w:space="0" w:color="auto"/>
        <w:right w:val="none" w:sz="0" w:space="0" w:color="auto"/>
      </w:divBdr>
    </w:div>
    <w:div w:id="1021785505">
      <w:bodyDiv w:val="1"/>
      <w:marLeft w:val="0"/>
      <w:marRight w:val="0"/>
      <w:marTop w:val="0"/>
      <w:marBottom w:val="0"/>
      <w:divBdr>
        <w:top w:val="none" w:sz="0" w:space="0" w:color="auto"/>
        <w:left w:val="none" w:sz="0" w:space="0" w:color="auto"/>
        <w:bottom w:val="none" w:sz="0" w:space="0" w:color="auto"/>
        <w:right w:val="none" w:sz="0" w:space="0" w:color="auto"/>
      </w:divBdr>
    </w:div>
    <w:div w:id="1021857931">
      <w:bodyDiv w:val="1"/>
      <w:marLeft w:val="0"/>
      <w:marRight w:val="0"/>
      <w:marTop w:val="0"/>
      <w:marBottom w:val="0"/>
      <w:divBdr>
        <w:top w:val="none" w:sz="0" w:space="0" w:color="auto"/>
        <w:left w:val="none" w:sz="0" w:space="0" w:color="auto"/>
        <w:bottom w:val="none" w:sz="0" w:space="0" w:color="auto"/>
        <w:right w:val="none" w:sz="0" w:space="0" w:color="auto"/>
      </w:divBdr>
    </w:div>
    <w:div w:id="1021935272">
      <w:bodyDiv w:val="1"/>
      <w:marLeft w:val="0"/>
      <w:marRight w:val="0"/>
      <w:marTop w:val="0"/>
      <w:marBottom w:val="0"/>
      <w:divBdr>
        <w:top w:val="none" w:sz="0" w:space="0" w:color="auto"/>
        <w:left w:val="none" w:sz="0" w:space="0" w:color="auto"/>
        <w:bottom w:val="none" w:sz="0" w:space="0" w:color="auto"/>
        <w:right w:val="none" w:sz="0" w:space="0" w:color="auto"/>
      </w:divBdr>
    </w:div>
    <w:div w:id="1022050031">
      <w:bodyDiv w:val="1"/>
      <w:marLeft w:val="0"/>
      <w:marRight w:val="0"/>
      <w:marTop w:val="0"/>
      <w:marBottom w:val="0"/>
      <w:divBdr>
        <w:top w:val="none" w:sz="0" w:space="0" w:color="auto"/>
        <w:left w:val="none" w:sz="0" w:space="0" w:color="auto"/>
        <w:bottom w:val="none" w:sz="0" w:space="0" w:color="auto"/>
        <w:right w:val="none" w:sz="0" w:space="0" w:color="auto"/>
      </w:divBdr>
    </w:div>
    <w:div w:id="1022128845">
      <w:bodyDiv w:val="1"/>
      <w:marLeft w:val="0"/>
      <w:marRight w:val="0"/>
      <w:marTop w:val="0"/>
      <w:marBottom w:val="0"/>
      <w:divBdr>
        <w:top w:val="none" w:sz="0" w:space="0" w:color="auto"/>
        <w:left w:val="none" w:sz="0" w:space="0" w:color="auto"/>
        <w:bottom w:val="none" w:sz="0" w:space="0" w:color="auto"/>
        <w:right w:val="none" w:sz="0" w:space="0" w:color="auto"/>
      </w:divBdr>
    </w:div>
    <w:div w:id="1022129199">
      <w:bodyDiv w:val="1"/>
      <w:marLeft w:val="0"/>
      <w:marRight w:val="0"/>
      <w:marTop w:val="0"/>
      <w:marBottom w:val="0"/>
      <w:divBdr>
        <w:top w:val="none" w:sz="0" w:space="0" w:color="auto"/>
        <w:left w:val="none" w:sz="0" w:space="0" w:color="auto"/>
        <w:bottom w:val="none" w:sz="0" w:space="0" w:color="auto"/>
        <w:right w:val="none" w:sz="0" w:space="0" w:color="auto"/>
      </w:divBdr>
    </w:div>
    <w:div w:id="1022319855">
      <w:bodyDiv w:val="1"/>
      <w:marLeft w:val="0"/>
      <w:marRight w:val="0"/>
      <w:marTop w:val="0"/>
      <w:marBottom w:val="0"/>
      <w:divBdr>
        <w:top w:val="none" w:sz="0" w:space="0" w:color="auto"/>
        <w:left w:val="none" w:sz="0" w:space="0" w:color="auto"/>
        <w:bottom w:val="none" w:sz="0" w:space="0" w:color="auto"/>
        <w:right w:val="none" w:sz="0" w:space="0" w:color="auto"/>
      </w:divBdr>
    </w:div>
    <w:div w:id="1022590223">
      <w:bodyDiv w:val="1"/>
      <w:marLeft w:val="0"/>
      <w:marRight w:val="0"/>
      <w:marTop w:val="0"/>
      <w:marBottom w:val="0"/>
      <w:divBdr>
        <w:top w:val="none" w:sz="0" w:space="0" w:color="auto"/>
        <w:left w:val="none" w:sz="0" w:space="0" w:color="auto"/>
        <w:bottom w:val="none" w:sz="0" w:space="0" w:color="auto"/>
        <w:right w:val="none" w:sz="0" w:space="0" w:color="auto"/>
      </w:divBdr>
    </w:div>
    <w:div w:id="1022899677">
      <w:bodyDiv w:val="1"/>
      <w:marLeft w:val="0"/>
      <w:marRight w:val="0"/>
      <w:marTop w:val="0"/>
      <w:marBottom w:val="0"/>
      <w:divBdr>
        <w:top w:val="none" w:sz="0" w:space="0" w:color="auto"/>
        <w:left w:val="none" w:sz="0" w:space="0" w:color="auto"/>
        <w:bottom w:val="none" w:sz="0" w:space="0" w:color="auto"/>
        <w:right w:val="none" w:sz="0" w:space="0" w:color="auto"/>
      </w:divBdr>
    </w:div>
    <w:div w:id="1022972455">
      <w:bodyDiv w:val="1"/>
      <w:marLeft w:val="0"/>
      <w:marRight w:val="0"/>
      <w:marTop w:val="0"/>
      <w:marBottom w:val="0"/>
      <w:divBdr>
        <w:top w:val="none" w:sz="0" w:space="0" w:color="auto"/>
        <w:left w:val="none" w:sz="0" w:space="0" w:color="auto"/>
        <w:bottom w:val="none" w:sz="0" w:space="0" w:color="auto"/>
        <w:right w:val="none" w:sz="0" w:space="0" w:color="auto"/>
      </w:divBdr>
    </w:div>
    <w:div w:id="1022975434">
      <w:bodyDiv w:val="1"/>
      <w:marLeft w:val="0"/>
      <w:marRight w:val="0"/>
      <w:marTop w:val="0"/>
      <w:marBottom w:val="0"/>
      <w:divBdr>
        <w:top w:val="none" w:sz="0" w:space="0" w:color="auto"/>
        <w:left w:val="none" w:sz="0" w:space="0" w:color="auto"/>
        <w:bottom w:val="none" w:sz="0" w:space="0" w:color="auto"/>
        <w:right w:val="none" w:sz="0" w:space="0" w:color="auto"/>
      </w:divBdr>
    </w:div>
    <w:div w:id="1023092136">
      <w:bodyDiv w:val="1"/>
      <w:marLeft w:val="0"/>
      <w:marRight w:val="0"/>
      <w:marTop w:val="0"/>
      <w:marBottom w:val="0"/>
      <w:divBdr>
        <w:top w:val="none" w:sz="0" w:space="0" w:color="auto"/>
        <w:left w:val="none" w:sz="0" w:space="0" w:color="auto"/>
        <w:bottom w:val="none" w:sz="0" w:space="0" w:color="auto"/>
        <w:right w:val="none" w:sz="0" w:space="0" w:color="auto"/>
      </w:divBdr>
    </w:div>
    <w:div w:id="1023096646">
      <w:bodyDiv w:val="1"/>
      <w:marLeft w:val="0"/>
      <w:marRight w:val="0"/>
      <w:marTop w:val="0"/>
      <w:marBottom w:val="0"/>
      <w:divBdr>
        <w:top w:val="none" w:sz="0" w:space="0" w:color="auto"/>
        <w:left w:val="none" w:sz="0" w:space="0" w:color="auto"/>
        <w:bottom w:val="none" w:sz="0" w:space="0" w:color="auto"/>
        <w:right w:val="none" w:sz="0" w:space="0" w:color="auto"/>
      </w:divBdr>
    </w:div>
    <w:div w:id="1023214914">
      <w:bodyDiv w:val="1"/>
      <w:marLeft w:val="0"/>
      <w:marRight w:val="0"/>
      <w:marTop w:val="0"/>
      <w:marBottom w:val="0"/>
      <w:divBdr>
        <w:top w:val="none" w:sz="0" w:space="0" w:color="auto"/>
        <w:left w:val="none" w:sz="0" w:space="0" w:color="auto"/>
        <w:bottom w:val="none" w:sz="0" w:space="0" w:color="auto"/>
        <w:right w:val="none" w:sz="0" w:space="0" w:color="auto"/>
      </w:divBdr>
    </w:div>
    <w:div w:id="1023241686">
      <w:bodyDiv w:val="1"/>
      <w:marLeft w:val="0"/>
      <w:marRight w:val="0"/>
      <w:marTop w:val="0"/>
      <w:marBottom w:val="0"/>
      <w:divBdr>
        <w:top w:val="none" w:sz="0" w:space="0" w:color="auto"/>
        <w:left w:val="none" w:sz="0" w:space="0" w:color="auto"/>
        <w:bottom w:val="none" w:sz="0" w:space="0" w:color="auto"/>
        <w:right w:val="none" w:sz="0" w:space="0" w:color="auto"/>
      </w:divBdr>
    </w:div>
    <w:div w:id="1023289759">
      <w:bodyDiv w:val="1"/>
      <w:marLeft w:val="0"/>
      <w:marRight w:val="0"/>
      <w:marTop w:val="0"/>
      <w:marBottom w:val="0"/>
      <w:divBdr>
        <w:top w:val="none" w:sz="0" w:space="0" w:color="auto"/>
        <w:left w:val="none" w:sz="0" w:space="0" w:color="auto"/>
        <w:bottom w:val="none" w:sz="0" w:space="0" w:color="auto"/>
        <w:right w:val="none" w:sz="0" w:space="0" w:color="auto"/>
      </w:divBdr>
    </w:div>
    <w:div w:id="1023358134">
      <w:bodyDiv w:val="1"/>
      <w:marLeft w:val="0"/>
      <w:marRight w:val="0"/>
      <w:marTop w:val="0"/>
      <w:marBottom w:val="0"/>
      <w:divBdr>
        <w:top w:val="none" w:sz="0" w:space="0" w:color="auto"/>
        <w:left w:val="none" w:sz="0" w:space="0" w:color="auto"/>
        <w:bottom w:val="none" w:sz="0" w:space="0" w:color="auto"/>
        <w:right w:val="none" w:sz="0" w:space="0" w:color="auto"/>
      </w:divBdr>
    </w:div>
    <w:div w:id="1023507891">
      <w:bodyDiv w:val="1"/>
      <w:marLeft w:val="0"/>
      <w:marRight w:val="0"/>
      <w:marTop w:val="0"/>
      <w:marBottom w:val="0"/>
      <w:divBdr>
        <w:top w:val="none" w:sz="0" w:space="0" w:color="auto"/>
        <w:left w:val="none" w:sz="0" w:space="0" w:color="auto"/>
        <w:bottom w:val="none" w:sz="0" w:space="0" w:color="auto"/>
        <w:right w:val="none" w:sz="0" w:space="0" w:color="auto"/>
      </w:divBdr>
    </w:div>
    <w:div w:id="1023631882">
      <w:bodyDiv w:val="1"/>
      <w:marLeft w:val="0"/>
      <w:marRight w:val="0"/>
      <w:marTop w:val="0"/>
      <w:marBottom w:val="0"/>
      <w:divBdr>
        <w:top w:val="none" w:sz="0" w:space="0" w:color="auto"/>
        <w:left w:val="none" w:sz="0" w:space="0" w:color="auto"/>
        <w:bottom w:val="none" w:sz="0" w:space="0" w:color="auto"/>
        <w:right w:val="none" w:sz="0" w:space="0" w:color="auto"/>
      </w:divBdr>
    </w:div>
    <w:div w:id="1023828439">
      <w:bodyDiv w:val="1"/>
      <w:marLeft w:val="0"/>
      <w:marRight w:val="0"/>
      <w:marTop w:val="0"/>
      <w:marBottom w:val="0"/>
      <w:divBdr>
        <w:top w:val="none" w:sz="0" w:space="0" w:color="auto"/>
        <w:left w:val="none" w:sz="0" w:space="0" w:color="auto"/>
        <w:bottom w:val="none" w:sz="0" w:space="0" w:color="auto"/>
        <w:right w:val="none" w:sz="0" w:space="0" w:color="auto"/>
      </w:divBdr>
    </w:div>
    <w:div w:id="1023939512">
      <w:bodyDiv w:val="1"/>
      <w:marLeft w:val="0"/>
      <w:marRight w:val="0"/>
      <w:marTop w:val="0"/>
      <w:marBottom w:val="0"/>
      <w:divBdr>
        <w:top w:val="none" w:sz="0" w:space="0" w:color="auto"/>
        <w:left w:val="none" w:sz="0" w:space="0" w:color="auto"/>
        <w:bottom w:val="none" w:sz="0" w:space="0" w:color="auto"/>
        <w:right w:val="none" w:sz="0" w:space="0" w:color="auto"/>
      </w:divBdr>
    </w:div>
    <w:div w:id="1023945068">
      <w:bodyDiv w:val="1"/>
      <w:marLeft w:val="0"/>
      <w:marRight w:val="0"/>
      <w:marTop w:val="0"/>
      <w:marBottom w:val="0"/>
      <w:divBdr>
        <w:top w:val="none" w:sz="0" w:space="0" w:color="auto"/>
        <w:left w:val="none" w:sz="0" w:space="0" w:color="auto"/>
        <w:bottom w:val="none" w:sz="0" w:space="0" w:color="auto"/>
        <w:right w:val="none" w:sz="0" w:space="0" w:color="auto"/>
      </w:divBdr>
    </w:div>
    <w:div w:id="1024014448">
      <w:bodyDiv w:val="1"/>
      <w:marLeft w:val="0"/>
      <w:marRight w:val="0"/>
      <w:marTop w:val="0"/>
      <w:marBottom w:val="0"/>
      <w:divBdr>
        <w:top w:val="none" w:sz="0" w:space="0" w:color="auto"/>
        <w:left w:val="none" w:sz="0" w:space="0" w:color="auto"/>
        <w:bottom w:val="none" w:sz="0" w:space="0" w:color="auto"/>
        <w:right w:val="none" w:sz="0" w:space="0" w:color="auto"/>
      </w:divBdr>
    </w:div>
    <w:div w:id="1024021835">
      <w:bodyDiv w:val="1"/>
      <w:marLeft w:val="0"/>
      <w:marRight w:val="0"/>
      <w:marTop w:val="0"/>
      <w:marBottom w:val="0"/>
      <w:divBdr>
        <w:top w:val="none" w:sz="0" w:space="0" w:color="auto"/>
        <w:left w:val="none" w:sz="0" w:space="0" w:color="auto"/>
        <w:bottom w:val="none" w:sz="0" w:space="0" w:color="auto"/>
        <w:right w:val="none" w:sz="0" w:space="0" w:color="auto"/>
      </w:divBdr>
    </w:div>
    <w:div w:id="1024137388">
      <w:bodyDiv w:val="1"/>
      <w:marLeft w:val="0"/>
      <w:marRight w:val="0"/>
      <w:marTop w:val="0"/>
      <w:marBottom w:val="0"/>
      <w:divBdr>
        <w:top w:val="none" w:sz="0" w:space="0" w:color="auto"/>
        <w:left w:val="none" w:sz="0" w:space="0" w:color="auto"/>
        <w:bottom w:val="none" w:sz="0" w:space="0" w:color="auto"/>
        <w:right w:val="none" w:sz="0" w:space="0" w:color="auto"/>
      </w:divBdr>
    </w:div>
    <w:div w:id="1024205737">
      <w:bodyDiv w:val="1"/>
      <w:marLeft w:val="0"/>
      <w:marRight w:val="0"/>
      <w:marTop w:val="0"/>
      <w:marBottom w:val="0"/>
      <w:divBdr>
        <w:top w:val="none" w:sz="0" w:space="0" w:color="auto"/>
        <w:left w:val="none" w:sz="0" w:space="0" w:color="auto"/>
        <w:bottom w:val="none" w:sz="0" w:space="0" w:color="auto"/>
        <w:right w:val="none" w:sz="0" w:space="0" w:color="auto"/>
      </w:divBdr>
    </w:div>
    <w:div w:id="1024213442">
      <w:bodyDiv w:val="1"/>
      <w:marLeft w:val="0"/>
      <w:marRight w:val="0"/>
      <w:marTop w:val="0"/>
      <w:marBottom w:val="0"/>
      <w:divBdr>
        <w:top w:val="none" w:sz="0" w:space="0" w:color="auto"/>
        <w:left w:val="none" w:sz="0" w:space="0" w:color="auto"/>
        <w:bottom w:val="none" w:sz="0" w:space="0" w:color="auto"/>
        <w:right w:val="none" w:sz="0" w:space="0" w:color="auto"/>
      </w:divBdr>
    </w:div>
    <w:div w:id="1024213597">
      <w:bodyDiv w:val="1"/>
      <w:marLeft w:val="0"/>
      <w:marRight w:val="0"/>
      <w:marTop w:val="0"/>
      <w:marBottom w:val="0"/>
      <w:divBdr>
        <w:top w:val="none" w:sz="0" w:space="0" w:color="auto"/>
        <w:left w:val="none" w:sz="0" w:space="0" w:color="auto"/>
        <w:bottom w:val="none" w:sz="0" w:space="0" w:color="auto"/>
        <w:right w:val="none" w:sz="0" w:space="0" w:color="auto"/>
      </w:divBdr>
    </w:div>
    <w:div w:id="1024282614">
      <w:bodyDiv w:val="1"/>
      <w:marLeft w:val="0"/>
      <w:marRight w:val="0"/>
      <w:marTop w:val="0"/>
      <w:marBottom w:val="0"/>
      <w:divBdr>
        <w:top w:val="none" w:sz="0" w:space="0" w:color="auto"/>
        <w:left w:val="none" w:sz="0" w:space="0" w:color="auto"/>
        <w:bottom w:val="none" w:sz="0" w:space="0" w:color="auto"/>
        <w:right w:val="none" w:sz="0" w:space="0" w:color="auto"/>
      </w:divBdr>
    </w:div>
    <w:div w:id="1024524438">
      <w:bodyDiv w:val="1"/>
      <w:marLeft w:val="0"/>
      <w:marRight w:val="0"/>
      <w:marTop w:val="0"/>
      <w:marBottom w:val="0"/>
      <w:divBdr>
        <w:top w:val="none" w:sz="0" w:space="0" w:color="auto"/>
        <w:left w:val="none" w:sz="0" w:space="0" w:color="auto"/>
        <w:bottom w:val="none" w:sz="0" w:space="0" w:color="auto"/>
        <w:right w:val="none" w:sz="0" w:space="0" w:color="auto"/>
      </w:divBdr>
    </w:div>
    <w:div w:id="1024550659">
      <w:bodyDiv w:val="1"/>
      <w:marLeft w:val="0"/>
      <w:marRight w:val="0"/>
      <w:marTop w:val="0"/>
      <w:marBottom w:val="0"/>
      <w:divBdr>
        <w:top w:val="none" w:sz="0" w:space="0" w:color="auto"/>
        <w:left w:val="none" w:sz="0" w:space="0" w:color="auto"/>
        <w:bottom w:val="none" w:sz="0" w:space="0" w:color="auto"/>
        <w:right w:val="none" w:sz="0" w:space="0" w:color="auto"/>
      </w:divBdr>
    </w:div>
    <w:div w:id="1024749858">
      <w:bodyDiv w:val="1"/>
      <w:marLeft w:val="0"/>
      <w:marRight w:val="0"/>
      <w:marTop w:val="0"/>
      <w:marBottom w:val="0"/>
      <w:divBdr>
        <w:top w:val="none" w:sz="0" w:space="0" w:color="auto"/>
        <w:left w:val="none" w:sz="0" w:space="0" w:color="auto"/>
        <w:bottom w:val="none" w:sz="0" w:space="0" w:color="auto"/>
        <w:right w:val="none" w:sz="0" w:space="0" w:color="auto"/>
      </w:divBdr>
    </w:div>
    <w:div w:id="1024793838">
      <w:bodyDiv w:val="1"/>
      <w:marLeft w:val="0"/>
      <w:marRight w:val="0"/>
      <w:marTop w:val="0"/>
      <w:marBottom w:val="0"/>
      <w:divBdr>
        <w:top w:val="none" w:sz="0" w:space="0" w:color="auto"/>
        <w:left w:val="none" w:sz="0" w:space="0" w:color="auto"/>
        <w:bottom w:val="none" w:sz="0" w:space="0" w:color="auto"/>
        <w:right w:val="none" w:sz="0" w:space="0" w:color="auto"/>
      </w:divBdr>
    </w:div>
    <w:div w:id="1024941551">
      <w:bodyDiv w:val="1"/>
      <w:marLeft w:val="0"/>
      <w:marRight w:val="0"/>
      <w:marTop w:val="0"/>
      <w:marBottom w:val="0"/>
      <w:divBdr>
        <w:top w:val="none" w:sz="0" w:space="0" w:color="auto"/>
        <w:left w:val="none" w:sz="0" w:space="0" w:color="auto"/>
        <w:bottom w:val="none" w:sz="0" w:space="0" w:color="auto"/>
        <w:right w:val="none" w:sz="0" w:space="0" w:color="auto"/>
      </w:divBdr>
    </w:div>
    <w:div w:id="1025131747">
      <w:bodyDiv w:val="1"/>
      <w:marLeft w:val="0"/>
      <w:marRight w:val="0"/>
      <w:marTop w:val="0"/>
      <w:marBottom w:val="0"/>
      <w:divBdr>
        <w:top w:val="none" w:sz="0" w:space="0" w:color="auto"/>
        <w:left w:val="none" w:sz="0" w:space="0" w:color="auto"/>
        <w:bottom w:val="none" w:sz="0" w:space="0" w:color="auto"/>
        <w:right w:val="none" w:sz="0" w:space="0" w:color="auto"/>
      </w:divBdr>
    </w:div>
    <w:div w:id="1025137758">
      <w:bodyDiv w:val="1"/>
      <w:marLeft w:val="0"/>
      <w:marRight w:val="0"/>
      <w:marTop w:val="0"/>
      <w:marBottom w:val="0"/>
      <w:divBdr>
        <w:top w:val="none" w:sz="0" w:space="0" w:color="auto"/>
        <w:left w:val="none" w:sz="0" w:space="0" w:color="auto"/>
        <w:bottom w:val="none" w:sz="0" w:space="0" w:color="auto"/>
        <w:right w:val="none" w:sz="0" w:space="0" w:color="auto"/>
      </w:divBdr>
    </w:div>
    <w:div w:id="1025247388">
      <w:bodyDiv w:val="1"/>
      <w:marLeft w:val="0"/>
      <w:marRight w:val="0"/>
      <w:marTop w:val="0"/>
      <w:marBottom w:val="0"/>
      <w:divBdr>
        <w:top w:val="none" w:sz="0" w:space="0" w:color="auto"/>
        <w:left w:val="none" w:sz="0" w:space="0" w:color="auto"/>
        <w:bottom w:val="none" w:sz="0" w:space="0" w:color="auto"/>
        <w:right w:val="none" w:sz="0" w:space="0" w:color="auto"/>
      </w:divBdr>
    </w:div>
    <w:div w:id="1025248802">
      <w:bodyDiv w:val="1"/>
      <w:marLeft w:val="0"/>
      <w:marRight w:val="0"/>
      <w:marTop w:val="0"/>
      <w:marBottom w:val="0"/>
      <w:divBdr>
        <w:top w:val="none" w:sz="0" w:space="0" w:color="auto"/>
        <w:left w:val="none" w:sz="0" w:space="0" w:color="auto"/>
        <w:bottom w:val="none" w:sz="0" w:space="0" w:color="auto"/>
        <w:right w:val="none" w:sz="0" w:space="0" w:color="auto"/>
      </w:divBdr>
    </w:div>
    <w:div w:id="1025331746">
      <w:bodyDiv w:val="1"/>
      <w:marLeft w:val="0"/>
      <w:marRight w:val="0"/>
      <w:marTop w:val="0"/>
      <w:marBottom w:val="0"/>
      <w:divBdr>
        <w:top w:val="none" w:sz="0" w:space="0" w:color="auto"/>
        <w:left w:val="none" w:sz="0" w:space="0" w:color="auto"/>
        <w:bottom w:val="none" w:sz="0" w:space="0" w:color="auto"/>
        <w:right w:val="none" w:sz="0" w:space="0" w:color="auto"/>
      </w:divBdr>
    </w:div>
    <w:div w:id="1025403456">
      <w:bodyDiv w:val="1"/>
      <w:marLeft w:val="0"/>
      <w:marRight w:val="0"/>
      <w:marTop w:val="0"/>
      <w:marBottom w:val="0"/>
      <w:divBdr>
        <w:top w:val="none" w:sz="0" w:space="0" w:color="auto"/>
        <w:left w:val="none" w:sz="0" w:space="0" w:color="auto"/>
        <w:bottom w:val="none" w:sz="0" w:space="0" w:color="auto"/>
        <w:right w:val="none" w:sz="0" w:space="0" w:color="auto"/>
      </w:divBdr>
    </w:div>
    <w:div w:id="1025449998">
      <w:bodyDiv w:val="1"/>
      <w:marLeft w:val="0"/>
      <w:marRight w:val="0"/>
      <w:marTop w:val="0"/>
      <w:marBottom w:val="0"/>
      <w:divBdr>
        <w:top w:val="none" w:sz="0" w:space="0" w:color="auto"/>
        <w:left w:val="none" w:sz="0" w:space="0" w:color="auto"/>
        <w:bottom w:val="none" w:sz="0" w:space="0" w:color="auto"/>
        <w:right w:val="none" w:sz="0" w:space="0" w:color="auto"/>
      </w:divBdr>
    </w:div>
    <w:div w:id="1025592341">
      <w:bodyDiv w:val="1"/>
      <w:marLeft w:val="0"/>
      <w:marRight w:val="0"/>
      <w:marTop w:val="0"/>
      <w:marBottom w:val="0"/>
      <w:divBdr>
        <w:top w:val="none" w:sz="0" w:space="0" w:color="auto"/>
        <w:left w:val="none" w:sz="0" w:space="0" w:color="auto"/>
        <w:bottom w:val="none" w:sz="0" w:space="0" w:color="auto"/>
        <w:right w:val="none" w:sz="0" w:space="0" w:color="auto"/>
      </w:divBdr>
    </w:div>
    <w:div w:id="1025599539">
      <w:bodyDiv w:val="1"/>
      <w:marLeft w:val="0"/>
      <w:marRight w:val="0"/>
      <w:marTop w:val="0"/>
      <w:marBottom w:val="0"/>
      <w:divBdr>
        <w:top w:val="none" w:sz="0" w:space="0" w:color="auto"/>
        <w:left w:val="none" w:sz="0" w:space="0" w:color="auto"/>
        <w:bottom w:val="none" w:sz="0" w:space="0" w:color="auto"/>
        <w:right w:val="none" w:sz="0" w:space="0" w:color="auto"/>
      </w:divBdr>
    </w:div>
    <w:div w:id="1025640084">
      <w:bodyDiv w:val="1"/>
      <w:marLeft w:val="0"/>
      <w:marRight w:val="0"/>
      <w:marTop w:val="0"/>
      <w:marBottom w:val="0"/>
      <w:divBdr>
        <w:top w:val="none" w:sz="0" w:space="0" w:color="auto"/>
        <w:left w:val="none" w:sz="0" w:space="0" w:color="auto"/>
        <w:bottom w:val="none" w:sz="0" w:space="0" w:color="auto"/>
        <w:right w:val="none" w:sz="0" w:space="0" w:color="auto"/>
      </w:divBdr>
    </w:div>
    <w:div w:id="1025640473">
      <w:bodyDiv w:val="1"/>
      <w:marLeft w:val="0"/>
      <w:marRight w:val="0"/>
      <w:marTop w:val="0"/>
      <w:marBottom w:val="0"/>
      <w:divBdr>
        <w:top w:val="none" w:sz="0" w:space="0" w:color="auto"/>
        <w:left w:val="none" w:sz="0" w:space="0" w:color="auto"/>
        <w:bottom w:val="none" w:sz="0" w:space="0" w:color="auto"/>
        <w:right w:val="none" w:sz="0" w:space="0" w:color="auto"/>
      </w:divBdr>
    </w:div>
    <w:div w:id="1025788609">
      <w:bodyDiv w:val="1"/>
      <w:marLeft w:val="0"/>
      <w:marRight w:val="0"/>
      <w:marTop w:val="0"/>
      <w:marBottom w:val="0"/>
      <w:divBdr>
        <w:top w:val="none" w:sz="0" w:space="0" w:color="auto"/>
        <w:left w:val="none" w:sz="0" w:space="0" w:color="auto"/>
        <w:bottom w:val="none" w:sz="0" w:space="0" w:color="auto"/>
        <w:right w:val="none" w:sz="0" w:space="0" w:color="auto"/>
      </w:divBdr>
    </w:div>
    <w:div w:id="1025863213">
      <w:bodyDiv w:val="1"/>
      <w:marLeft w:val="0"/>
      <w:marRight w:val="0"/>
      <w:marTop w:val="0"/>
      <w:marBottom w:val="0"/>
      <w:divBdr>
        <w:top w:val="none" w:sz="0" w:space="0" w:color="auto"/>
        <w:left w:val="none" w:sz="0" w:space="0" w:color="auto"/>
        <w:bottom w:val="none" w:sz="0" w:space="0" w:color="auto"/>
        <w:right w:val="none" w:sz="0" w:space="0" w:color="auto"/>
      </w:divBdr>
    </w:div>
    <w:div w:id="1026102498">
      <w:bodyDiv w:val="1"/>
      <w:marLeft w:val="0"/>
      <w:marRight w:val="0"/>
      <w:marTop w:val="0"/>
      <w:marBottom w:val="0"/>
      <w:divBdr>
        <w:top w:val="none" w:sz="0" w:space="0" w:color="auto"/>
        <w:left w:val="none" w:sz="0" w:space="0" w:color="auto"/>
        <w:bottom w:val="none" w:sz="0" w:space="0" w:color="auto"/>
        <w:right w:val="none" w:sz="0" w:space="0" w:color="auto"/>
      </w:divBdr>
    </w:div>
    <w:div w:id="1026174839">
      <w:bodyDiv w:val="1"/>
      <w:marLeft w:val="0"/>
      <w:marRight w:val="0"/>
      <w:marTop w:val="0"/>
      <w:marBottom w:val="0"/>
      <w:divBdr>
        <w:top w:val="none" w:sz="0" w:space="0" w:color="auto"/>
        <w:left w:val="none" w:sz="0" w:space="0" w:color="auto"/>
        <w:bottom w:val="none" w:sz="0" w:space="0" w:color="auto"/>
        <w:right w:val="none" w:sz="0" w:space="0" w:color="auto"/>
      </w:divBdr>
    </w:div>
    <w:div w:id="1026371474">
      <w:bodyDiv w:val="1"/>
      <w:marLeft w:val="0"/>
      <w:marRight w:val="0"/>
      <w:marTop w:val="0"/>
      <w:marBottom w:val="0"/>
      <w:divBdr>
        <w:top w:val="none" w:sz="0" w:space="0" w:color="auto"/>
        <w:left w:val="none" w:sz="0" w:space="0" w:color="auto"/>
        <w:bottom w:val="none" w:sz="0" w:space="0" w:color="auto"/>
        <w:right w:val="none" w:sz="0" w:space="0" w:color="auto"/>
      </w:divBdr>
    </w:div>
    <w:div w:id="1026373758">
      <w:bodyDiv w:val="1"/>
      <w:marLeft w:val="0"/>
      <w:marRight w:val="0"/>
      <w:marTop w:val="0"/>
      <w:marBottom w:val="0"/>
      <w:divBdr>
        <w:top w:val="none" w:sz="0" w:space="0" w:color="auto"/>
        <w:left w:val="none" w:sz="0" w:space="0" w:color="auto"/>
        <w:bottom w:val="none" w:sz="0" w:space="0" w:color="auto"/>
        <w:right w:val="none" w:sz="0" w:space="0" w:color="auto"/>
      </w:divBdr>
    </w:div>
    <w:div w:id="1026373790">
      <w:bodyDiv w:val="1"/>
      <w:marLeft w:val="0"/>
      <w:marRight w:val="0"/>
      <w:marTop w:val="0"/>
      <w:marBottom w:val="0"/>
      <w:divBdr>
        <w:top w:val="none" w:sz="0" w:space="0" w:color="auto"/>
        <w:left w:val="none" w:sz="0" w:space="0" w:color="auto"/>
        <w:bottom w:val="none" w:sz="0" w:space="0" w:color="auto"/>
        <w:right w:val="none" w:sz="0" w:space="0" w:color="auto"/>
      </w:divBdr>
    </w:div>
    <w:div w:id="1026521634">
      <w:bodyDiv w:val="1"/>
      <w:marLeft w:val="0"/>
      <w:marRight w:val="0"/>
      <w:marTop w:val="0"/>
      <w:marBottom w:val="0"/>
      <w:divBdr>
        <w:top w:val="none" w:sz="0" w:space="0" w:color="auto"/>
        <w:left w:val="none" w:sz="0" w:space="0" w:color="auto"/>
        <w:bottom w:val="none" w:sz="0" w:space="0" w:color="auto"/>
        <w:right w:val="none" w:sz="0" w:space="0" w:color="auto"/>
      </w:divBdr>
    </w:div>
    <w:div w:id="1026635432">
      <w:bodyDiv w:val="1"/>
      <w:marLeft w:val="0"/>
      <w:marRight w:val="0"/>
      <w:marTop w:val="0"/>
      <w:marBottom w:val="0"/>
      <w:divBdr>
        <w:top w:val="none" w:sz="0" w:space="0" w:color="auto"/>
        <w:left w:val="none" w:sz="0" w:space="0" w:color="auto"/>
        <w:bottom w:val="none" w:sz="0" w:space="0" w:color="auto"/>
        <w:right w:val="none" w:sz="0" w:space="0" w:color="auto"/>
      </w:divBdr>
    </w:div>
    <w:div w:id="1026716998">
      <w:bodyDiv w:val="1"/>
      <w:marLeft w:val="0"/>
      <w:marRight w:val="0"/>
      <w:marTop w:val="0"/>
      <w:marBottom w:val="0"/>
      <w:divBdr>
        <w:top w:val="none" w:sz="0" w:space="0" w:color="auto"/>
        <w:left w:val="none" w:sz="0" w:space="0" w:color="auto"/>
        <w:bottom w:val="none" w:sz="0" w:space="0" w:color="auto"/>
        <w:right w:val="none" w:sz="0" w:space="0" w:color="auto"/>
      </w:divBdr>
    </w:div>
    <w:div w:id="1026754845">
      <w:bodyDiv w:val="1"/>
      <w:marLeft w:val="0"/>
      <w:marRight w:val="0"/>
      <w:marTop w:val="0"/>
      <w:marBottom w:val="0"/>
      <w:divBdr>
        <w:top w:val="none" w:sz="0" w:space="0" w:color="auto"/>
        <w:left w:val="none" w:sz="0" w:space="0" w:color="auto"/>
        <w:bottom w:val="none" w:sz="0" w:space="0" w:color="auto"/>
        <w:right w:val="none" w:sz="0" w:space="0" w:color="auto"/>
      </w:divBdr>
    </w:div>
    <w:div w:id="1026832814">
      <w:bodyDiv w:val="1"/>
      <w:marLeft w:val="0"/>
      <w:marRight w:val="0"/>
      <w:marTop w:val="0"/>
      <w:marBottom w:val="0"/>
      <w:divBdr>
        <w:top w:val="none" w:sz="0" w:space="0" w:color="auto"/>
        <w:left w:val="none" w:sz="0" w:space="0" w:color="auto"/>
        <w:bottom w:val="none" w:sz="0" w:space="0" w:color="auto"/>
        <w:right w:val="none" w:sz="0" w:space="0" w:color="auto"/>
      </w:divBdr>
    </w:div>
    <w:div w:id="1026902621">
      <w:bodyDiv w:val="1"/>
      <w:marLeft w:val="0"/>
      <w:marRight w:val="0"/>
      <w:marTop w:val="0"/>
      <w:marBottom w:val="0"/>
      <w:divBdr>
        <w:top w:val="none" w:sz="0" w:space="0" w:color="auto"/>
        <w:left w:val="none" w:sz="0" w:space="0" w:color="auto"/>
        <w:bottom w:val="none" w:sz="0" w:space="0" w:color="auto"/>
        <w:right w:val="none" w:sz="0" w:space="0" w:color="auto"/>
      </w:divBdr>
    </w:div>
    <w:div w:id="1026902773">
      <w:bodyDiv w:val="1"/>
      <w:marLeft w:val="0"/>
      <w:marRight w:val="0"/>
      <w:marTop w:val="0"/>
      <w:marBottom w:val="0"/>
      <w:divBdr>
        <w:top w:val="none" w:sz="0" w:space="0" w:color="auto"/>
        <w:left w:val="none" w:sz="0" w:space="0" w:color="auto"/>
        <w:bottom w:val="none" w:sz="0" w:space="0" w:color="auto"/>
        <w:right w:val="none" w:sz="0" w:space="0" w:color="auto"/>
      </w:divBdr>
    </w:div>
    <w:div w:id="1026902792">
      <w:bodyDiv w:val="1"/>
      <w:marLeft w:val="0"/>
      <w:marRight w:val="0"/>
      <w:marTop w:val="0"/>
      <w:marBottom w:val="0"/>
      <w:divBdr>
        <w:top w:val="none" w:sz="0" w:space="0" w:color="auto"/>
        <w:left w:val="none" w:sz="0" w:space="0" w:color="auto"/>
        <w:bottom w:val="none" w:sz="0" w:space="0" w:color="auto"/>
        <w:right w:val="none" w:sz="0" w:space="0" w:color="auto"/>
      </w:divBdr>
    </w:div>
    <w:div w:id="1026906500">
      <w:bodyDiv w:val="1"/>
      <w:marLeft w:val="0"/>
      <w:marRight w:val="0"/>
      <w:marTop w:val="0"/>
      <w:marBottom w:val="0"/>
      <w:divBdr>
        <w:top w:val="none" w:sz="0" w:space="0" w:color="auto"/>
        <w:left w:val="none" w:sz="0" w:space="0" w:color="auto"/>
        <w:bottom w:val="none" w:sz="0" w:space="0" w:color="auto"/>
        <w:right w:val="none" w:sz="0" w:space="0" w:color="auto"/>
      </w:divBdr>
    </w:div>
    <w:div w:id="1026907150">
      <w:bodyDiv w:val="1"/>
      <w:marLeft w:val="0"/>
      <w:marRight w:val="0"/>
      <w:marTop w:val="0"/>
      <w:marBottom w:val="0"/>
      <w:divBdr>
        <w:top w:val="none" w:sz="0" w:space="0" w:color="auto"/>
        <w:left w:val="none" w:sz="0" w:space="0" w:color="auto"/>
        <w:bottom w:val="none" w:sz="0" w:space="0" w:color="auto"/>
        <w:right w:val="none" w:sz="0" w:space="0" w:color="auto"/>
      </w:divBdr>
    </w:div>
    <w:div w:id="1026950606">
      <w:bodyDiv w:val="1"/>
      <w:marLeft w:val="0"/>
      <w:marRight w:val="0"/>
      <w:marTop w:val="0"/>
      <w:marBottom w:val="0"/>
      <w:divBdr>
        <w:top w:val="none" w:sz="0" w:space="0" w:color="auto"/>
        <w:left w:val="none" w:sz="0" w:space="0" w:color="auto"/>
        <w:bottom w:val="none" w:sz="0" w:space="0" w:color="auto"/>
        <w:right w:val="none" w:sz="0" w:space="0" w:color="auto"/>
      </w:divBdr>
    </w:div>
    <w:div w:id="1027019907">
      <w:bodyDiv w:val="1"/>
      <w:marLeft w:val="0"/>
      <w:marRight w:val="0"/>
      <w:marTop w:val="0"/>
      <w:marBottom w:val="0"/>
      <w:divBdr>
        <w:top w:val="none" w:sz="0" w:space="0" w:color="auto"/>
        <w:left w:val="none" w:sz="0" w:space="0" w:color="auto"/>
        <w:bottom w:val="none" w:sz="0" w:space="0" w:color="auto"/>
        <w:right w:val="none" w:sz="0" w:space="0" w:color="auto"/>
      </w:divBdr>
    </w:div>
    <w:div w:id="1027020198">
      <w:bodyDiv w:val="1"/>
      <w:marLeft w:val="0"/>
      <w:marRight w:val="0"/>
      <w:marTop w:val="0"/>
      <w:marBottom w:val="0"/>
      <w:divBdr>
        <w:top w:val="none" w:sz="0" w:space="0" w:color="auto"/>
        <w:left w:val="none" w:sz="0" w:space="0" w:color="auto"/>
        <w:bottom w:val="none" w:sz="0" w:space="0" w:color="auto"/>
        <w:right w:val="none" w:sz="0" w:space="0" w:color="auto"/>
      </w:divBdr>
    </w:div>
    <w:div w:id="1027028103">
      <w:bodyDiv w:val="1"/>
      <w:marLeft w:val="0"/>
      <w:marRight w:val="0"/>
      <w:marTop w:val="0"/>
      <w:marBottom w:val="0"/>
      <w:divBdr>
        <w:top w:val="none" w:sz="0" w:space="0" w:color="auto"/>
        <w:left w:val="none" w:sz="0" w:space="0" w:color="auto"/>
        <w:bottom w:val="none" w:sz="0" w:space="0" w:color="auto"/>
        <w:right w:val="none" w:sz="0" w:space="0" w:color="auto"/>
      </w:divBdr>
    </w:div>
    <w:div w:id="1027028561">
      <w:bodyDiv w:val="1"/>
      <w:marLeft w:val="0"/>
      <w:marRight w:val="0"/>
      <w:marTop w:val="0"/>
      <w:marBottom w:val="0"/>
      <w:divBdr>
        <w:top w:val="none" w:sz="0" w:space="0" w:color="auto"/>
        <w:left w:val="none" w:sz="0" w:space="0" w:color="auto"/>
        <w:bottom w:val="none" w:sz="0" w:space="0" w:color="auto"/>
        <w:right w:val="none" w:sz="0" w:space="0" w:color="auto"/>
      </w:divBdr>
    </w:div>
    <w:div w:id="1027028963">
      <w:bodyDiv w:val="1"/>
      <w:marLeft w:val="0"/>
      <w:marRight w:val="0"/>
      <w:marTop w:val="0"/>
      <w:marBottom w:val="0"/>
      <w:divBdr>
        <w:top w:val="none" w:sz="0" w:space="0" w:color="auto"/>
        <w:left w:val="none" w:sz="0" w:space="0" w:color="auto"/>
        <w:bottom w:val="none" w:sz="0" w:space="0" w:color="auto"/>
        <w:right w:val="none" w:sz="0" w:space="0" w:color="auto"/>
      </w:divBdr>
    </w:div>
    <w:div w:id="1027095494">
      <w:bodyDiv w:val="1"/>
      <w:marLeft w:val="0"/>
      <w:marRight w:val="0"/>
      <w:marTop w:val="0"/>
      <w:marBottom w:val="0"/>
      <w:divBdr>
        <w:top w:val="none" w:sz="0" w:space="0" w:color="auto"/>
        <w:left w:val="none" w:sz="0" w:space="0" w:color="auto"/>
        <w:bottom w:val="none" w:sz="0" w:space="0" w:color="auto"/>
        <w:right w:val="none" w:sz="0" w:space="0" w:color="auto"/>
      </w:divBdr>
    </w:div>
    <w:div w:id="1027174333">
      <w:bodyDiv w:val="1"/>
      <w:marLeft w:val="0"/>
      <w:marRight w:val="0"/>
      <w:marTop w:val="0"/>
      <w:marBottom w:val="0"/>
      <w:divBdr>
        <w:top w:val="none" w:sz="0" w:space="0" w:color="auto"/>
        <w:left w:val="none" w:sz="0" w:space="0" w:color="auto"/>
        <w:bottom w:val="none" w:sz="0" w:space="0" w:color="auto"/>
        <w:right w:val="none" w:sz="0" w:space="0" w:color="auto"/>
      </w:divBdr>
    </w:div>
    <w:div w:id="1027176174">
      <w:bodyDiv w:val="1"/>
      <w:marLeft w:val="0"/>
      <w:marRight w:val="0"/>
      <w:marTop w:val="0"/>
      <w:marBottom w:val="0"/>
      <w:divBdr>
        <w:top w:val="none" w:sz="0" w:space="0" w:color="auto"/>
        <w:left w:val="none" w:sz="0" w:space="0" w:color="auto"/>
        <w:bottom w:val="none" w:sz="0" w:space="0" w:color="auto"/>
        <w:right w:val="none" w:sz="0" w:space="0" w:color="auto"/>
      </w:divBdr>
    </w:div>
    <w:div w:id="1027373297">
      <w:bodyDiv w:val="1"/>
      <w:marLeft w:val="0"/>
      <w:marRight w:val="0"/>
      <w:marTop w:val="0"/>
      <w:marBottom w:val="0"/>
      <w:divBdr>
        <w:top w:val="none" w:sz="0" w:space="0" w:color="auto"/>
        <w:left w:val="none" w:sz="0" w:space="0" w:color="auto"/>
        <w:bottom w:val="none" w:sz="0" w:space="0" w:color="auto"/>
        <w:right w:val="none" w:sz="0" w:space="0" w:color="auto"/>
      </w:divBdr>
    </w:div>
    <w:div w:id="1027410493">
      <w:bodyDiv w:val="1"/>
      <w:marLeft w:val="0"/>
      <w:marRight w:val="0"/>
      <w:marTop w:val="0"/>
      <w:marBottom w:val="0"/>
      <w:divBdr>
        <w:top w:val="none" w:sz="0" w:space="0" w:color="auto"/>
        <w:left w:val="none" w:sz="0" w:space="0" w:color="auto"/>
        <w:bottom w:val="none" w:sz="0" w:space="0" w:color="auto"/>
        <w:right w:val="none" w:sz="0" w:space="0" w:color="auto"/>
      </w:divBdr>
    </w:div>
    <w:div w:id="1027684149">
      <w:bodyDiv w:val="1"/>
      <w:marLeft w:val="0"/>
      <w:marRight w:val="0"/>
      <w:marTop w:val="0"/>
      <w:marBottom w:val="0"/>
      <w:divBdr>
        <w:top w:val="none" w:sz="0" w:space="0" w:color="auto"/>
        <w:left w:val="none" w:sz="0" w:space="0" w:color="auto"/>
        <w:bottom w:val="none" w:sz="0" w:space="0" w:color="auto"/>
        <w:right w:val="none" w:sz="0" w:space="0" w:color="auto"/>
      </w:divBdr>
    </w:div>
    <w:div w:id="1027750920">
      <w:bodyDiv w:val="1"/>
      <w:marLeft w:val="0"/>
      <w:marRight w:val="0"/>
      <w:marTop w:val="0"/>
      <w:marBottom w:val="0"/>
      <w:divBdr>
        <w:top w:val="none" w:sz="0" w:space="0" w:color="auto"/>
        <w:left w:val="none" w:sz="0" w:space="0" w:color="auto"/>
        <w:bottom w:val="none" w:sz="0" w:space="0" w:color="auto"/>
        <w:right w:val="none" w:sz="0" w:space="0" w:color="auto"/>
      </w:divBdr>
    </w:div>
    <w:div w:id="1027869304">
      <w:bodyDiv w:val="1"/>
      <w:marLeft w:val="0"/>
      <w:marRight w:val="0"/>
      <w:marTop w:val="0"/>
      <w:marBottom w:val="0"/>
      <w:divBdr>
        <w:top w:val="none" w:sz="0" w:space="0" w:color="auto"/>
        <w:left w:val="none" w:sz="0" w:space="0" w:color="auto"/>
        <w:bottom w:val="none" w:sz="0" w:space="0" w:color="auto"/>
        <w:right w:val="none" w:sz="0" w:space="0" w:color="auto"/>
      </w:divBdr>
    </w:div>
    <w:div w:id="1027871300">
      <w:bodyDiv w:val="1"/>
      <w:marLeft w:val="0"/>
      <w:marRight w:val="0"/>
      <w:marTop w:val="0"/>
      <w:marBottom w:val="0"/>
      <w:divBdr>
        <w:top w:val="none" w:sz="0" w:space="0" w:color="auto"/>
        <w:left w:val="none" w:sz="0" w:space="0" w:color="auto"/>
        <w:bottom w:val="none" w:sz="0" w:space="0" w:color="auto"/>
        <w:right w:val="none" w:sz="0" w:space="0" w:color="auto"/>
      </w:divBdr>
    </w:div>
    <w:div w:id="1027871962">
      <w:bodyDiv w:val="1"/>
      <w:marLeft w:val="0"/>
      <w:marRight w:val="0"/>
      <w:marTop w:val="0"/>
      <w:marBottom w:val="0"/>
      <w:divBdr>
        <w:top w:val="none" w:sz="0" w:space="0" w:color="auto"/>
        <w:left w:val="none" w:sz="0" w:space="0" w:color="auto"/>
        <w:bottom w:val="none" w:sz="0" w:space="0" w:color="auto"/>
        <w:right w:val="none" w:sz="0" w:space="0" w:color="auto"/>
      </w:divBdr>
    </w:div>
    <w:div w:id="1028070095">
      <w:bodyDiv w:val="1"/>
      <w:marLeft w:val="0"/>
      <w:marRight w:val="0"/>
      <w:marTop w:val="0"/>
      <w:marBottom w:val="0"/>
      <w:divBdr>
        <w:top w:val="none" w:sz="0" w:space="0" w:color="auto"/>
        <w:left w:val="none" w:sz="0" w:space="0" w:color="auto"/>
        <w:bottom w:val="none" w:sz="0" w:space="0" w:color="auto"/>
        <w:right w:val="none" w:sz="0" w:space="0" w:color="auto"/>
      </w:divBdr>
    </w:div>
    <w:div w:id="1028140705">
      <w:bodyDiv w:val="1"/>
      <w:marLeft w:val="0"/>
      <w:marRight w:val="0"/>
      <w:marTop w:val="0"/>
      <w:marBottom w:val="0"/>
      <w:divBdr>
        <w:top w:val="none" w:sz="0" w:space="0" w:color="auto"/>
        <w:left w:val="none" w:sz="0" w:space="0" w:color="auto"/>
        <w:bottom w:val="none" w:sz="0" w:space="0" w:color="auto"/>
        <w:right w:val="none" w:sz="0" w:space="0" w:color="auto"/>
      </w:divBdr>
    </w:div>
    <w:div w:id="1028144548">
      <w:bodyDiv w:val="1"/>
      <w:marLeft w:val="0"/>
      <w:marRight w:val="0"/>
      <w:marTop w:val="0"/>
      <w:marBottom w:val="0"/>
      <w:divBdr>
        <w:top w:val="none" w:sz="0" w:space="0" w:color="auto"/>
        <w:left w:val="none" w:sz="0" w:space="0" w:color="auto"/>
        <w:bottom w:val="none" w:sz="0" w:space="0" w:color="auto"/>
        <w:right w:val="none" w:sz="0" w:space="0" w:color="auto"/>
      </w:divBdr>
    </w:div>
    <w:div w:id="1028144641">
      <w:bodyDiv w:val="1"/>
      <w:marLeft w:val="0"/>
      <w:marRight w:val="0"/>
      <w:marTop w:val="0"/>
      <w:marBottom w:val="0"/>
      <w:divBdr>
        <w:top w:val="none" w:sz="0" w:space="0" w:color="auto"/>
        <w:left w:val="none" w:sz="0" w:space="0" w:color="auto"/>
        <w:bottom w:val="none" w:sz="0" w:space="0" w:color="auto"/>
        <w:right w:val="none" w:sz="0" w:space="0" w:color="auto"/>
      </w:divBdr>
    </w:div>
    <w:div w:id="1028214269">
      <w:bodyDiv w:val="1"/>
      <w:marLeft w:val="0"/>
      <w:marRight w:val="0"/>
      <w:marTop w:val="0"/>
      <w:marBottom w:val="0"/>
      <w:divBdr>
        <w:top w:val="none" w:sz="0" w:space="0" w:color="auto"/>
        <w:left w:val="none" w:sz="0" w:space="0" w:color="auto"/>
        <w:bottom w:val="none" w:sz="0" w:space="0" w:color="auto"/>
        <w:right w:val="none" w:sz="0" w:space="0" w:color="auto"/>
      </w:divBdr>
    </w:div>
    <w:div w:id="1028262249">
      <w:bodyDiv w:val="1"/>
      <w:marLeft w:val="0"/>
      <w:marRight w:val="0"/>
      <w:marTop w:val="0"/>
      <w:marBottom w:val="0"/>
      <w:divBdr>
        <w:top w:val="none" w:sz="0" w:space="0" w:color="auto"/>
        <w:left w:val="none" w:sz="0" w:space="0" w:color="auto"/>
        <w:bottom w:val="none" w:sz="0" w:space="0" w:color="auto"/>
        <w:right w:val="none" w:sz="0" w:space="0" w:color="auto"/>
      </w:divBdr>
    </w:div>
    <w:div w:id="1028262833">
      <w:bodyDiv w:val="1"/>
      <w:marLeft w:val="0"/>
      <w:marRight w:val="0"/>
      <w:marTop w:val="0"/>
      <w:marBottom w:val="0"/>
      <w:divBdr>
        <w:top w:val="none" w:sz="0" w:space="0" w:color="auto"/>
        <w:left w:val="none" w:sz="0" w:space="0" w:color="auto"/>
        <w:bottom w:val="none" w:sz="0" w:space="0" w:color="auto"/>
        <w:right w:val="none" w:sz="0" w:space="0" w:color="auto"/>
      </w:divBdr>
    </w:div>
    <w:div w:id="1028291742">
      <w:bodyDiv w:val="1"/>
      <w:marLeft w:val="0"/>
      <w:marRight w:val="0"/>
      <w:marTop w:val="0"/>
      <w:marBottom w:val="0"/>
      <w:divBdr>
        <w:top w:val="none" w:sz="0" w:space="0" w:color="auto"/>
        <w:left w:val="none" w:sz="0" w:space="0" w:color="auto"/>
        <w:bottom w:val="none" w:sz="0" w:space="0" w:color="auto"/>
        <w:right w:val="none" w:sz="0" w:space="0" w:color="auto"/>
      </w:divBdr>
    </w:div>
    <w:div w:id="1028330563">
      <w:bodyDiv w:val="1"/>
      <w:marLeft w:val="0"/>
      <w:marRight w:val="0"/>
      <w:marTop w:val="0"/>
      <w:marBottom w:val="0"/>
      <w:divBdr>
        <w:top w:val="none" w:sz="0" w:space="0" w:color="auto"/>
        <w:left w:val="none" w:sz="0" w:space="0" w:color="auto"/>
        <w:bottom w:val="none" w:sz="0" w:space="0" w:color="auto"/>
        <w:right w:val="none" w:sz="0" w:space="0" w:color="auto"/>
      </w:divBdr>
    </w:div>
    <w:div w:id="1028335816">
      <w:bodyDiv w:val="1"/>
      <w:marLeft w:val="0"/>
      <w:marRight w:val="0"/>
      <w:marTop w:val="0"/>
      <w:marBottom w:val="0"/>
      <w:divBdr>
        <w:top w:val="none" w:sz="0" w:space="0" w:color="auto"/>
        <w:left w:val="none" w:sz="0" w:space="0" w:color="auto"/>
        <w:bottom w:val="none" w:sz="0" w:space="0" w:color="auto"/>
        <w:right w:val="none" w:sz="0" w:space="0" w:color="auto"/>
      </w:divBdr>
    </w:div>
    <w:div w:id="1028483479">
      <w:bodyDiv w:val="1"/>
      <w:marLeft w:val="0"/>
      <w:marRight w:val="0"/>
      <w:marTop w:val="0"/>
      <w:marBottom w:val="0"/>
      <w:divBdr>
        <w:top w:val="none" w:sz="0" w:space="0" w:color="auto"/>
        <w:left w:val="none" w:sz="0" w:space="0" w:color="auto"/>
        <w:bottom w:val="none" w:sz="0" w:space="0" w:color="auto"/>
        <w:right w:val="none" w:sz="0" w:space="0" w:color="auto"/>
      </w:divBdr>
    </w:div>
    <w:div w:id="1028607129">
      <w:bodyDiv w:val="1"/>
      <w:marLeft w:val="0"/>
      <w:marRight w:val="0"/>
      <w:marTop w:val="0"/>
      <w:marBottom w:val="0"/>
      <w:divBdr>
        <w:top w:val="none" w:sz="0" w:space="0" w:color="auto"/>
        <w:left w:val="none" w:sz="0" w:space="0" w:color="auto"/>
        <w:bottom w:val="none" w:sz="0" w:space="0" w:color="auto"/>
        <w:right w:val="none" w:sz="0" w:space="0" w:color="auto"/>
      </w:divBdr>
    </w:div>
    <w:div w:id="1028683249">
      <w:bodyDiv w:val="1"/>
      <w:marLeft w:val="0"/>
      <w:marRight w:val="0"/>
      <w:marTop w:val="0"/>
      <w:marBottom w:val="0"/>
      <w:divBdr>
        <w:top w:val="none" w:sz="0" w:space="0" w:color="auto"/>
        <w:left w:val="none" w:sz="0" w:space="0" w:color="auto"/>
        <w:bottom w:val="none" w:sz="0" w:space="0" w:color="auto"/>
        <w:right w:val="none" w:sz="0" w:space="0" w:color="auto"/>
      </w:divBdr>
    </w:div>
    <w:div w:id="1028726759">
      <w:bodyDiv w:val="1"/>
      <w:marLeft w:val="0"/>
      <w:marRight w:val="0"/>
      <w:marTop w:val="0"/>
      <w:marBottom w:val="0"/>
      <w:divBdr>
        <w:top w:val="none" w:sz="0" w:space="0" w:color="auto"/>
        <w:left w:val="none" w:sz="0" w:space="0" w:color="auto"/>
        <w:bottom w:val="none" w:sz="0" w:space="0" w:color="auto"/>
        <w:right w:val="none" w:sz="0" w:space="0" w:color="auto"/>
      </w:divBdr>
    </w:div>
    <w:div w:id="1028750622">
      <w:bodyDiv w:val="1"/>
      <w:marLeft w:val="0"/>
      <w:marRight w:val="0"/>
      <w:marTop w:val="0"/>
      <w:marBottom w:val="0"/>
      <w:divBdr>
        <w:top w:val="none" w:sz="0" w:space="0" w:color="auto"/>
        <w:left w:val="none" w:sz="0" w:space="0" w:color="auto"/>
        <w:bottom w:val="none" w:sz="0" w:space="0" w:color="auto"/>
        <w:right w:val="none" w:sz="0" w:space="0" w:color="auto"/>
      </w:divBdr>
    </w:div>
    <w:div w:id="1028799051">
      <w:bodyDiv w:val="1"/>
      <w:marLeft w:val="0"/>
      <w:marRight w:val="0"/>
      <w:marTop w:val="0"/>
      <w:marBottom w:val="0"/>
      <w:divBdr>
        <w:top w:val="none" w:sz="0" w:space="0" w:color="auto"/>
        <w:left w:val="none" w:sz="0" w:space="0" w:color="auto"/>
        <w:bottom w:val="none" w:sz="0" w:space="0" w:color="auto"/>
        <w:right w:val="none" w:sz="0" w:space="0" w:color="auto"/>
      </w:divBdr>
    </w:div>
    <w:div w:id="1028869956">
      <w:bodyDiv w:val="1"/>
      <w:marLeft w:val="0"/>
      <w:marRight w:val="0"/>
      <w:marTop w:val="0"/>
      <w:marBottom w:val="0"/>
      <w:divBdr>
        <w:top w:val="none" w:sz="0" w:space="0" w:color="auto"/>
        <w:left w:val="none" w:sz="0" w:space="0" w:color="auto"/>
        <w:bottom w:val="none" w:sz="0" w:space="0" w:color="auto"/>
        <w:right w:val="none" w:sz="0" w:space="0" w:color="auto"/>
      </w:divBdr>
    </w:div>
    <w:div w:id="1028873206">
      <w:bodyDiv w:val="1"/>
      <w:marLeft w:val="0"/>
      <w:marRight w:val="0"/>
      <w:marTop w:val="0"/>
      <w:marBottom w:val="0"/>
      <w:divBdr>
        <w:top w:val="none" w:sz="0" w:space="0" w:color="auto"/>
        <w:left w:val="none" w:sz="0" w:space="0" w:color="auto"/>
        <w:bottom w:val="none" w:sz="0" w:space="0" w:color="auto"/>
        <w:right w:val="none" w:sz="0" w:space="0" w:color="auto"/>
      </w:divBdr>
    </w:div>
    <w:div w:id="1028918174">
      <w:bodyDiv w:val="1"/>
      <w:marLeft w:val="0"/>
      <w:marRight w:val="0"/>
      <w:marTop w:val="0"/>
      <w:marBottom w:val="0"/>
      <w:divBdr>
        <w:top w:val="none" w:sz="0" w:space="0" w:color="auto"/>
        <w:left w:val="none" w:sz="0" w:space="0" w:color="auto"/>
        <w:bottom w:val="none" w:sz="0" w:space="0" w:color="auto"/>
        <w:right w:val="none" w:sz="0" w:space="0" w:color="auto"/>
      </w:divBdr>
    </w:div>
    <w:div w:id="1028994983">
      <w:bodyDiv w:val="1"/>
      <w:marLeft w:val="0"/>
      <w:marRight w:val="0"/>
      <w:marTop w:val="0"/>
      <w:marBottom w:val="0"/>
      <w:divBdr>
        <w:top w:val="none" w:sz="0" w:space="0" w:color="auto"/>
        <w:left w:val="none" w:sz="0" w:space="0" w:color="auto"/>
        <w:bottom w:val="none" w:sz="0" w:space="0" w:color="auto"/>
        <w:right w:val="none" w:sz="0" w:space="0" w:color="auto"/>
      </w:divBdr>
    </w:div>
    <w:div w:id="1029065552">
      <w:bodyDiv w:val="1"/>
      <w:marLeft w:val="0"/>
      <w:marRight w:val="0"/>
      <w:marTop w:val="0"/>
      <w:marBottom w:val="0"/>
      <w:divBdr>
        <w:top w:val="none" w:sz="0" w:space="0" w:color="auto"/>
        <w:left w:val="none" w:sz="0" w:space="0" w:color="auto"/>
        <w:bottom w:val="none" w:sz="0" w:space="0" w:color="auto"/>
        <w:right w:val="none" w:sz="0" w:space="0" w:color="auto"/>
      </w:divBdr>
    </w:div>
    <w:div w:id="1029066957">
      <w:bodyDiv w:val="1"/>
      <w:marLeft w:val="0"/>
      <w:marRight w:val="0"/>
      <w:marTop w:val="0"/>
      <w:marBottom w:val="0"/>
      <w:divBdr>
        <w:top w:val="none" w:sz="0" w:space="0" w:color="auto"/>
        <w:left w:val="none" w:sz="0" w:space="0" w:color="auto"/>
        <w:bottom w:val="none" w:sz="0" w:space="0" w:color="auto"/>
        <w:right w:val="none" w:sz="0" w:space="0" w:color="auto"/>
      </w:divBdr>
    </w:div>
    <w:div w:id="1029256725">
      <w:bodyDiv w:val="1"/>
      <w:marLeft w:val="0"/>
      <w:marRight w:val="0"/>
      <w:marTop w:val="0"/>
      <w:marBottom w:val="0"/>
      <w:divBdr>
        <w:top w:val="none" w:sz="0" w:space="0" w:color="auto"/>
        <w:left w:val="none" w:sz="0" w:space="0" w:color="auto"/>
        <w:bottom w:val="none" w:sz="0" w:space="0" w:color="auto"/>
        <w:right w:val="none" w:sz="0" w:space="0" w:color="auto"/>
      </w:divBdr>
    </w:div>
    <w:div w:id="1029262684">
      <w:bodyDiv w:val="1"/>
      <w:marLeft w:val="0"/>
      <w:marRight w:val="0"/>
      <w:marTop w:val="0"/>
      <w:marBottom w:val="0"/>
      <w:divBdr>
        <w:top w:val="none" w:sz="0" w:space="0" w:color="auto"/>
        <w:left w:val="none" w:sz="0" w:space="0" w:color="auto"/>
        <w:bottom w:val="none" w:sz="0" w:space="0" w:color="auto"/>
        <w:right w:val="none" w:sz="0" w:space="0" w:color="auto"/>
      </w:divBdr>
    </w:div>
    <w:div w:id="1029333606">
      <w:bodyDiv w:val="1"/>
      <w:marLeft w:val="0"/>
      <w:marRight w:val="0"/>
      <w:marTop w:val="0"/>
      <w:marBottom w:val="0"/>
      <w:divBdr>
        <w:top w:val="none" w:sz="0" w:space="0" w:color="auto"/>
        <w:left w:val="none" w:sz="0" w:space="0" w:color="auto"/>
        <w:bottom w:val="none" w:sz="0" w:space="0" w:color="auto"/>
        <w:right w:val="none" w:sz="0" w:space="0" w:color="auto"/>
      </w:divBdr>
    </w:div>
    <w:div w:id="1029376266">
      <w:bodyDiv w:val="1"/>
      <w:marLeft w:val="0"/>
      <w:marRight w:val="0"/>
      <w:marTop w:val="0"/>
      <w:marBottom w:val="0"/>
      <w:divBdr>
        <w:top w:val="none" w:sz="0" w:space="0" w:color="auto"/>
        <w:left w:val="none" w:sz="0" w:space="0" w:color="auto"/>
        <w:bottom w:val="none" w:sz="0" w:space="0" w:color="auto"/>
        <w:right w:val="none" w:sz="0" w:space="0" w:color="auto"/>
      </w:divBdr>
    </w:div>
    <w:div w:id="1029571269">
      <w:bodyDiv w:val="1"/>
      <w:marLeft w:val="0"/>
      <w:marRight w:val="0"/>
      <w:marTop w:val="0"/>
      <w:marBottom w:val="0"/>
      <w:divBdr>
        <w:top w:val="none" w:sz="0" w:space="0" w:color="auto"/>
        <w:left w:val="none" w:sz="0" w:space="0" w:color="auto"/>
        <w:bottom w:val="none" w:sz="0" w:space="0" w:color="auto"/>
        <w:right w:val="none" w:sz="0" w:space="0" w:color="auto"/>
      </w:divBdr>
    </w:div>
    <w:div w:id="1029723181">
      <w:bodyDiv w:val="1"/>
      <w:marLeft w:val="0"/>
      <w:marRight w:val="0"/>
      <w:marTop w:val="0"/>
      <w:marBottom w:val="0"/>
      <w:divBdr>
        <w:top w:val="none" w:sz="0" w:space="0" w:color="auto"/>
        <w:left w:val="none" w:sz="0" w:space="0" w:color="auto"/>
        <w:bottom w:val="none" w:sz="0" w:space="0" w:color="auto"/>
        <w:right w:val="none" w:sz="0" w:space="0" w:color="auto"/>
      </w:divBdr>
    </w:div>
    <w:div w:id="1029911028">
      <w:bodyDiv w:val="1"/>
      <w:marLeft w:val="0"/>
      <w:marRight w:val="0"/>
      <w:marTop w:val="0"/>
      <w:marBottom w:val="0"/>
      <w:divBdr>
        <w:top w:val="none" w:sz="0" w:space="0" w:color="auto"/>
        <w:left w:val="none" w:sz="0" w:space="0" w:color="auto"/>
        <w:bottom w:val="none" w:sz="0" w:space="0" w:color="auto"/>
        <w:right w:val="none" w:sz="0" w:space="0" w:color="auto"/>
      </w:divBdr>
    </w:div>
    <w:div w:id="1029992341">
      <w:bodyDiv w:val="1"/>
      <w:marLeft w:val="0"/>
      <w:marRight w:val="0"/>
      <w:marTop w:val="0"/>
      <w:marBottom w:val="0"/>
      <w:divBdr>
        <w:top w:val="none" w:sz="0" w:space="0" w:color="auto"/>
        <w:left w:val="none" w:sz="0" w:space="0" w:color="auto"/>
        <w:bottom w:val="none" w:sz="0" w:space="0" w:color="auto"/>
        <w:right w:val="none" w:sz="0" w:space="0" w:color="auto"/>
      </w:divBdr>
    </w:div>
    <w:div w:id="1029993248">
      <w:bodyDiv w:val="1"/>
      <w:marLeft w:val="0"/>
      <w:marRight w:val="0"/>
      <w:marTop w:val="0"/>
      <w:marBottom w:val="0"/>
      <w:divBdr>
        <w:top w:val="none" w:sz="0" w:space="0" w:color="auto"/>
        <w:left w:val="none" w:sz="0" w:space="0" w:color="auto"/>
        <w:bottom w:val="none" w:sz="0" w:space="0" w:color="auto"/>
        <w:right w:val="none" w:sz="0" w:space="0" w:color="auto"/>
      </w:divBdr>
    </w:div>
    <w:div w:id="1030036843">
      <w:bodyDiv w:val="1"/>
      <w:marLeft w:val="0"/>
      <w:marRight w:val="0"/>
      <w:marTop w:val="0"/>
      <w:marBottom w:val="0"/>
      <w:divBdr>
        <w:top w:val="none" w:sz="0" w:space="0" w:color="auto"/>
        <w:left w:val="none" w:sz="0" w:space="0" w:color="auto"/>
        <w:bottom w:val="none" w:sz="0" w:space="0" w:color="auto"/>
        <w:right w:val="none" w:sz="0" w:space="0" w:color="auto"/>
      </w:divBdr>
    </w:div>
    <w:div w:id="1030112578">
      <w:bodyDiv w:val="1"/>
      <w:marLeft w:val="0"/>
      <w:marRight w:val="0"/>
      <w:marTop w:val="0"/>
      <w:marBottom w:val="0"/>
      <w:divBdr>
        <w:top w:val="none" w:sz="0" w:space="0" w:color="auto"/>
        <w:left w:val="none" w:sz="0" w:space="0" w:color="auto"/>
        <w:bottom w:val="none" w:sz="0" w:space="0" w:color="auto"/>
        <w:right w:val="none" w:sz="0" w:space="0" w:color="auto"/>
      </w:divBdr>
    </w:div>
    <w:div w:id="1030186382">
      <w:bodyDiv w:val="1"/>
      <w:marLeft w:val="0"/>
      <w:marRight w:val="0"/>
      <w:marTop w:val="0"/>
      <w:marBottom w:val="0"/>
      <w:divBdr>
        <w:top w:val="none" w:sz="0" w:space="0" w:color="auto"/>
        <w:left w:val="none" w:sz="0" w:space="0" w:color="auto"/>
        <w:bottom w:val="none" w:sz="0" w:space="0" w:color="auto"/>
        <w:right w:val="none" w:sz="0" w:space="0" w:color="auto"/>
      </w:divBdr>
    </w:div>
    <w:div w:id="1030258665">
      <w:bodyDiv w:val="1"/>
      <w:marLeft w:val="0"/>
      <w:marRight w:val="0"/>
      <w:marTop w:val="0"/>
      <w:marBottom w:val="0"/>
      <w:divBdr>
        <w:top w:val="none" w:sz="0" w:space="0" w:color="auto"/>
        <w:left w:val="none" w:sz="0" w:space="0" w:color="auto"/>
        <w:bottom w:val="none" w:sz="0" w:space="0" w:color="auto"/>
        <w:right w:val="none" w:sz="0" w:space="0" w:color="auto"/>
      </w:divBdr>
    </w:div>
    <w:div w:id="1030304818">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030767610">
      <w:bodyDiv w:val="1"/>
      <w:marLeft w:val="0"/>
      <w:marRight w:val="0"/>
      <w:marTop w:val="0"/>
      <w:marBottom w:val="0"/>
      <w:divBdr>
        <w:top w:val="none" w:sz="0" w:space="0" w:color="auto"/>
        <w:left w:val="none" w:sz="0" w:space="0" w:color="auto"/>
        <w:bottom w:val="none" w:sz="0" w:space="0" w:color="auto"/>
        <w:right w:val="none" w:sz="0" w:space="0" w:color="auto"/>
      </w:divBdr>
    </w:div>
    <w:div w:id="1030834054">
      <w:bodyDiv w:val="1"/>
      <w:marLeft w:val="0"/>
      <w:marRight w:val="0"/>
      <w:marTop w:val="0"/>
      <w:marBottom w:val="0"/>
      <w:divBdr>
        <w:top w:val="none" w:sz="0" w:space="0" w:color="auto"/>
        <w:left w:val="none" w:sz="0" w:space="0" w:color="auto"/>
        <w:bottom w:val="none" w:sz="0" w:space="0" w:color="auto"/>
        <w:right w:val="none" w:sz="0" w:space="0" w:color="auto"/>
      </w:divBdr>
    </w:div>
    <w:div w:id="1030835318">
      <w:bodyDiv w:val="1"/>
      <w:marLeft w:val="0"/>
      <w:marRight w:val="0"/>
      <w:marTop w:val="0"/>
      <w:marBottom w:val="0"/>
      <w:divBdr>
        <w:top w:val="none" w:sz="0" w:space="0" w:color="auto"/>
        <w:left w:val="none" w:sz="0" w:space="0" w:color="auto"/>
        <w:bottom w:val="none" w:sz="0" w:space="0" w:color="auto"/>
        <w:right w:val="none" w:sz="0" w:space="0" w:color="auto"/>
      </w:divBdr>
    </w:div>
    <w:div w:id="1030955516">
      <w:bodyDiv w:val="1"/>
      <w:marLeft w:val="0"/>
      <w:marRight w:val="0"/>
      <w:marTop w:val="0"/>
      <w:marBottom w:val="0"/>
      <w:divBdr>
        <w:top w:val="none" w:sz="0" w:space="0" w:color="auto"/>
        <w:left w:val="none" w:sz="0" w:space="0" w:color="auto"/>
        <w:bottom w:val="none" w:sz="0" w:space="0" w:color="auto"/>
        <w:right w:val="none" w:sz="0" w:space="0" w:color="auto"/>
      </w:divBdr>
    </w:div>
    <w:div w:id="1031031750">
      <w:bodyDiv w:val="1"/>
      <w:marLeft w:val="0"/>
      <w:marRight w:val="0"/>
      <w:marTop w:val="0"/>
      <w:marBottom w:val="0"/>
      <w:divBdr>
        <w:top w:val="none" w:sz="0" w:space="0" w:color="auto"/>
        <w:left w:val="none" w:sz="0" w:space="0" w:color="auto"/>
        <w:bottom w:val="none" w:sz="0" w:space="0" w:color="auto"/>
        <w:right w:val="none" w:sz="0" w:space="0" w:color="auto"/>
      </w:divBdr>
    </w:div>
    <w:div w:id="1031226160">
      <w:bodyDiv w:val="1"/>
      <w:marLeft w:val="0"/>
      <w:marRight w:val="0"/>
      <w:marTop w:val="0"/>
      <w:marBottom w:val="0"/>
      <w:divBdr>
        <w:top w:val="none" w:sz="0" w:space="0" w:color="auto"/>
        <w:left w:val="none" w:sz="0" w:space="0" w:color="auto"/>
        <w:bottom w:val="none" w:sz="0" w:space="0" w:color="auto"/>
        <w:right w:val="none" w:sz="0" w:space="0" w:color="auto"/>
      </w:divBdr>
    </w:div>
    <w:div w:id="1031226487">
      <w:bodyDiv w:val="1"/>
      <w:marLeft w:val="0"/>
      <w:marRight w:val="0"/>
      <w:marTop w:val="0"/>
      <w:marBottom w:val="0"/>
      <w:divBdr>
        <w:top w:val="none" w:sz="0" w:space="0" w:color="auto"/>
        <w:left w:val="none" w:sz="0" w:space="0" w:color="auto"/>
        <w:bottom w:val="none" w:sz="0" w:space="0" w:color="auto"/>
        <w:right w:val="none" w:sz="0" w:space="0" w:color="auto"/>
      </w:divBdr>
    </w:div>
    <w:div w:id="1031304515">
      <w:bodyDiv w:val="1"/>
      <w:marLeft w:val="0"/>
      <w:marRight w:val="0"/>
      <w:marTop w:val="0"/>
      <w:marBottom w:val="0"/>
      <w:divBdr>
        <w:top w:val="none" w:sz="0" w:space="0" w:color="auto"/>
        <w:left w:val="none" w:sz="0" w:space="0" w:color="auto"/>
        <w:bottom w:val="none" w:sz="0" w:space="0" w:color="auto"/>
        <w:right w:val="none" w:sz="0" w:space="0" w:color="auto"/>
      </w:divBdr>
    </w:div>
    <w:div w:id="1031343266">
      <w:bodyDiv w:val="1"/>
      <w:marLeft w:val="0"/>
      <w:marRight w:val="0"/>
      <w:marTop w:val="0"/>
      <w:marBottom w:val="0"/>
      <w:divBdr>
        <w:top w:val="none" w:sz="0" w:space="0" w:color="auto"/>
        <w:left w:val="none" w:sz="0" w:space="0" w:color="auto"/>
        <w:bottom w:val="none" w:sz="0" w:space="0" w:color="auto"/>
        <w:right w:val="none" w:sz="0" w:space="0" w:color="auto"/>
      </w:divBdr>
    </w:div>
    <w:div w:id="1031492712">
      <w:bodyDiv w:val="1"/>
      <w:marLeft w:val="0"/>
      <w:marRight w:val="0"/>
      <w:marTop w:val="0"/>
      <w:marBottom w:val="0"/>
      <w:divBdr>
        <w:top w:val="none" w:sz="0" w:space="0" w:color="auto"/>
        <w:left w:val="none" w:sz="0" w:space="0" w:color="auto"/>
        <w:bottom w:val="none" w:sz="0" w:space="0" w:color="auto"/>
        <w:right w:val="none" w:sz="0" w:space="0" w:color="auto"/>
      </w:divBdr>
    </w:div>
    <w:div w:id="1031498316">
      <w:bodyDiv w:val="1"/>
      <w:marLeft w:val="0"/>
      <w:marRight w:val="0"/>
      <w:marTop w:val="0"/>
      <w:marBottom w:val="0"/>
      <w:divBdr>
        <w:top w:val="none" w:sz="0" w:space="0" w:color="auto"/>
        <w:left w:val="none" w:sz="0" w:space="0" w:color="auto"/>
        <w:bottom w:val="none" w:sz="0" w:space="0" w:color="auto"/>
        <w:right w:val="none" w:sz="0" w:space="0" w:color="auto"/>
      </w:divBdr>
    </w:div>
    <w:div w:id="1031877683">
      <w:bodyDiv w:val="1"/>
      <w:marLeft w:val="0"/>
      <w:marRight w:val="0"/>
      <w:marTop w:val="0"/>
      <w:marBottom w:val="0"/>
      <w:divBdr>
        <w:top w:val="none" w:sz="0" w:space="0" w:color="auto"/>
        <w:left w:val="none" w:sz="0" w:space="0" w:color="auto"/>
        <w:bottom w:val="none" w:sz="0" w:space="0" w:color="auto"/>
        <w:right w:val="none" w:sz="0" w:space="0" w:color="auto"/>
      </w:divBdr>
    </w:div>
    <w:div w:id="1031882278">
      <w:bodyDiv w:val="1"/>
      <w:marLeft w:val="0"/>
      <w:marRight w:val="0"/>
      <w:marTop w:val="0"/>
      <w:marBottom w:val="0"/>
      <w:divBdr>
        <w:top w:val="none" w:sz="0" w:space="0" w:color="auto"/>
        <w:left w:val="none" w:sz="0" w:space="0" w:color="auto"/>
        <w:bottom w:val="none" w:sz="0" w:space="0" w:color="auto"/>
        <w:right w:val="none" w:sz="0" w:space="0" w:color="auto"/>
      </w:divBdr>
    </w:div>
    <w:div w:id="1031883852">
      <w:bodyDiv w:val="1"/>
      <w:marLeft w:val="0"/>
      <w:marRight w:val="0"/>
      <w:marTop w:val="0"/>
      <w:marBottom w:val="0"/>
      <w:divBdr>
        <w:top w:val="none" w:sz="0" w:space="0" w:color="auto"/>
        <w:left w:val="none" w:sz="0" w:space="0" w:color="auto"/>
        <w:bottom w:val="none" w:sz="0" w:space="0" w:color="auto"/>
        <w:right w:val="none" w:sz="0" w:space="0" w:color="auto"/>
      </w:divBdr>
    </w:div>
    <w:div w:id="1031954293">
      <w:bodyDiv w:val="1"/>
      <w:marLeft w:val="0"/>
      <w:marRight w:val="0"/>
      <w:marTop w:val="0"/>
      <w:marBottom w:val="0"/>
      <w:divBdr>
        <w:top w:val="none" w:sz="0" w:space="0" w:color="auto"/>
        <w:left w:val="none" w:sz="0" w:space="0" w:color="auto"/>
        <w:bottom w:val="none" w:sz="0" w:space="0" w:color="auto"/>
        <w:right w:val="none" w:sz="0" w:space="0" w:color="auto"/>
      </w:divBdr>
    </w:div>
    <w:div w:id="1031960443">
      <w:bodyDiv w:val="1"/>
      <w:marLeft w:val="0"/>
      <w:marRight w:val="0"/>
      <w:marTop w:val="0"/>
      <w:marBottom w:val="0"/>
      <w:divBdr>
        <w:top w:val="none" w:sz="0" w:space="0" w:color="auto"/>
        <w:left w:val="none" w:sz="0" w:space="0" w:color="auto"/>
        <w:bottom w:val="none" w:sz="0" w:space="0" w:color="auto"/>
        <w:right w:val="none" w:sz="0" w:space="0" w:color="auto"/>
      </w:divBdr>
    </w:div>
    <w:div w:id="1032073841">
      <w:bodyDiv w:val="1"/>
      <w:marLeft w:val="0"/>
      <w:marRight w:val="0"/>
      <w:marTop w:val="0"/>
      <w:marBottom w:val="0"/>
      <w:divBdr>
        <w:top w:val="none" w:sz="0" w:space="0" w:color="auto"/>
        <w:left w:val="none" w:sz="0" w:space="0" w:color="auto"/>
        <w:bottom w:val="none" w:sz="0" w:space="0" w:color="auto"/>
        <w:right w:val="none" w:sz="0" w:space="0" w:color="auto"/>
      </w:divBdr>
    </w:div>
    <w:div w:id="1032340663">
      <w:bodyDiv w:val="1"/>
      <w:marLeft w:val="0"/>
      <w:marRight w:val="0"/>
      <w:marTop w:val="0"/>
      <w:marBottom w:val="0"/>
      <w:divBdr>
        <w:top w:val="none" w:sz="0" w:space="0" w:color="auto"/>
        <w:left w:val="none" w:sz="0" w:space="0" w:color="auto"/>
        <w:bottom w:val="none" w:sz="0" w:space="0" w:color="auto"/>
        <w:right w:val="none" w:sz="0" w:space="0" w:color="auto"/>
      </w:divBdr>
    </w:div>
    <w:div w:id="1032416157">
      <w:bodyDiv w:val="1"/>
      <w:marLeft w:val="0"/>
      <w:marRight w:val="0"/>
      <w:marTop w:val="0"/>
      <w:marBottom w:val="0"/>
      <w:divBdr>
        <w:top w:val="none" w:sz="0" w:space="0" w:color="auto"/>
        <w:left w:val="none" w:sz="0" w:space="0" w:color="auto"/>
        <w:bottom w:val="none" w:sz="0" w:space="0" w:color="auto"/>
        <w:right w:val="none" w:sz="0" w:space="0" w:color="auto"/>
      </w:divBdr>
    </w:div>
    <w:div w:id="1032730624">
      <w:bodyDiv w:val="1"/>
      <w:marLeft w:val="0"/>
      <w:marRight w:val="0"/>
      <w:marTop w:val="0"/>
      <w:marBottom w:val="0"/>
      <w:divBdr>
        <w:top w:val="none" w:sz="0" w:space="0" w:color="auto"/>
        <w:left w:val="none" w:sz="0" w:space="0" w:color="auto"/>
        <w:bottom w:val="none" w:sz="0" w:space="0" w:color="auto"/>
        <w:right w:val="none" w:sz="0" w:space="0" w:color="auto"/>
      </w:divBdr>
    </w:div>
    <w:div w:id="1032849576">
      <w:bodyDiv w:val="1"/>
      <w:marLeft w:val="0"/>
      <w:marRight w:val="0"/>
      <w:marTop w:val="0"/>
      <w:marBottom w:val="0"/>
      <w:divBdr>
        <w:top w:val="none" w:sz="0" w:space="0" w:color="auto"/>
        <w:left w:val="none" w:sz="0" w:space="0" w:color="auto"/>
        <w:bottom w:val="none" w:sz="0" w:space="0" w:color="auto"/>
        <w:right w:val="none" w:sz="0" w:space="0" w:color="auto"/>
      </w:divBdr>
    </w:div>
    <w:div w:id="1032879420">
      <w:bodyDiv w:val="1"/>
      <w:marLeft w:val="0"/>
      <w:marRight w:val="0"/>
      <w:marTop w:val="0"/>
      <w:marBottom w:val="0"/>
      <w:divBdr>
        <w:top w:val="none" w:sz="0" w:space="0" w:color="auto"/>
        <w:left w:val="none" w:sz="0" w:space="0" w:color="auto"/>
        <w:bottom w:val="none" w:sz="0" w:space="0" w:color="auto"/>
        <w:right w:val="none" w:sz="0" w:space="0" w:color="auto"/>
      </w:divBdr>
    </w:div>
    <w:div w:id="1032919334">
      <w:bodyDiv w:val="1"/>
      <w:marLeft w:val="0"/>
      <w:marRight w:val="0"/>
      <w:marTop w:val="0"/>
      <w:marBottom w:val="0"/>
      <w:divBdr>
        <w:top w:val="none" w:sz="0" w:space="0" w:color="auto"/>
        <w:left w:val="none" w:sz="0" w:space="0" w:color="auto"/>
        <w:bottom w:val="none" w:sz="0" w:space="0" w:color="auto"/>
        <w:right w:val="none" w:sz="0" w:space="0" w:color="auto"/>
      </w:divBdr>
    </w:div>
    <w:div w:id="1033118068">
      <w:bodyDiv w:val="1"/>
      <w:marLeft w:val="0"/>
      <w:marRight w:val="0"/>
      <w:marTop w:val="0"/>
      <w:marBottom w:val="0"/>
      <w:divBdr>
        <w:top w:val="none" w:sz="0" w:space="0" w:color="auto"/>
        <w:left w:val="none" w:sz="0" w:space="0" w:color="auto"/>
        <w:bottom w:val="none" w:sz="0" w:space="0" w:color="auto"/>
        <w:right w:val="none" w:sz="0" w:space="0" w:color="auto"/>
      </w:divBdr>
    </w:div>
    <w:div w:id="1033118349">
      <w:bodyDiv w:val="1"/>
      <w:marLeft w:val="0"/>
      <w:marRight w:val="0"/>
      <w:marTop w:val="0"/>
      <w:marBottom w:val="0"/>
      <w:divBdr>
        <w:top w:val="none" w:sz="0" w:space="0" w:color="auto"/>
        <w:left w:val="none" w:sz="0" w:space="0" w:color="auto"/>
        <w:bottom w:val="none" w:sz="0" w:space="0" w:color="auto"/>
        <w:right w:val="none" w:sz="0" w:space="0" w:color="auto"/>
      </w:divBdr>
    </w:div>
    <w:div w:id="1033191466">
      <w:bodyDiv w:val="1"/>
      <w:marLeft w:val="0"/>
      <w:marRight w:val="0"/>
      <w:marTop w:val="0"/>
      <w:marBottom w:val="0"/>
      <w:divBdr>
        <w:top w:val="none" w:sz="0" w:space="0" w:color="auto"/>
        <w:left w:val="none" w:sz="0" w:space="0" w:color="auto"/>
        <w:bottom w:val="none" w:sz="0" w:space="0" w:color="auto"/>
        <w:right w:val="none" w:sz="0" w:space="0" w:color="auto"/>
      </w:divBdr>
    </w:div>
    <w:div w:id="1033269186">
      <w:bodyDiv w:val="1"/>
      <w:marLeft w:val="0"/>
      <w:marRight w:val="0"/>
      <w:marTop w:val="0"/>
      <w:marBottom w:val="0"/>
      <w:divBdr>
        <w:top w:val="none" w:sz="0" w:space="0" w:color="auto"/>
        <w:left w:val="none" w:sz="0" w:space="0" w:color="auto"/>
        <w:bottom w:val="none" w:sz="0" w:space="0" w:color="auto"/>
        <w:right w:val="none" w:sz="0" w:space="0" w:color="auto"/>
      </w:divBdr>
    </w:div>
    <w:div w:id="1033385231">
      <w:bodyDiv w:val="1"/>
      <w:marLeft w:val="0"/>
      <w:marRight w:val="0"/>
      <w:marTop w:val="0"/>
      <w:marBottom w:val="0"/>
      <w:divBdr>
        <w:top w:val="none" w:sz="0" w:space="0" w:color="auto"/>
        <w:left w:val="none" w:sz="0" w:space="0" w:color="auto"/>
        <w:bottom w:val="none" w:sz="0" w:space="0" w:color="auto"/>
        <w:right w:val="none" w:sz="0" w:space="0" w:color="auto"/>
      </w:divBdr>
    </w:div>
    <w:div w:id="1033455213">
      <w:bodyDiv w:val="1"/>
      <w:marLeft w:val="0"/>
      <w:marRight w:val="0"/>
      <w:marTop w:val="0"/>
      <w:marBottom w:val="0"/>
      <w:divBdr>
        <w:top w:val="none" w:sz="0" w:space="0" w:color="auto"/>
        <w:left w:val="none" w:sz="0" w:space="0" w:color="auto"/>
        <w:bottom w:val="none" w:sz="0" w:space="0" w:color="auto"/>
        <w:right w:val="none" w:sz="0" w:space="0" w:color="auto"/>
      </w:divBdr>
    </w:div>
    <w:div w:id="1033504060">
      <w:bodyDiv w:val="1"/>
      <w:marLeft w:val="0"/>
      <w:marRight w:val="0"/>
      <w:marTop w:val="0"/>
      <w:marBottom w:val="0"/>
      <w:divBdr>
        <w:top w:val="none" w:sz="0" w:space="0" w:color="auto"/>
        <w:left w:val="none" w:sz="0" w:space="0" w:color="auto"/>
        <w:bottom w:val="none" w:sz="0" w:space="0" w:color="auto"/>
        <w:right w:val="none" w:sz="0" w:space="0" w:color="auto"/>
      </w:divBdr>
    </w:div>
    <w:div w:id="1033533822">
      <w:bodyDiv w:val="1"/>
      <w:marLeft w:val="0"/>
      <w:marRight w:val="0"/>
      <w:marTop w:val="0"/>
      <w:marBottom w:val="0"/>
      <w:divBdr>
        <w:top w:val="none" w:sz="0" w:space="0" w:color="auto"/>
        <w:left w:val="none" w:sz="0" w:space="0" w:color="auto"/>
        <w:bottom w:val="none" w:sz="0" w:space="0" w:color="auto"/>
        <w:right w:val="none" w:sz="0" w:space="0" w:color="auto"/>
      </w:divBdr>
    </w:div>
    <w:div w:id="1033575643">
      <w:bodyDiv w:val="1"/>
      <w:marLeft w:val="0"/>
      <w:marRight w:val="0"/>
      <w:marTop w:val="0"/>
      <w:marBottom w:val="0"/>
      <w:divBdr>
        <w:top w:val="none" w:sz="0" w:space="0" w:color="auto"/>
        <w:left w:val="none" w:sz="0" w:space="0" w:color="auto"/>
        <w:bottom w:val="none" w:sz="0" w:space="0" w:color="auto"/>
        <w:right w:val="none" w:sz="0" w:space="0" w:color="auto"/>
      </w:divBdr>
    </w:div>
    <w:div w:id="1033648508">
      <w:bodyDiv w:val="1"/>
      <w:marLeft w:val="0"/>
      <w:marRight w:val="0"/>
      <w:marTop w:val="0"/>
      <w:marBottom w:val="0"/>
      <w:divBdr>
        <w:top w:val="none" w:sz="0" w:space="0" w:color="auto"/>
        <w:left w:val="none" w:sz="0" w:space="0" w:color="auto"/>
        <w:bottom w:val="none" w:sz="0" w:space="0" w:color="auto"/>
        <w:right w:val="none" w:sz="0" w:space="0" w:color="auto"/>
      </w:divBdr>
    </w:div>
    <w:div w:id="1033768269">
      <w:bodyDiv w:val="1"/>
      <w:marLeft w:val="0"/>
      <w:marRight w:val="0"/>
      <w:marTop w:val="0"/>
      <w:marBottom w:val="0"/>
      <w:divBdr>
        <w:top w:val="none" w:sz="0" w:space="0" w:color="auto"/>
        <w:left w:val="none" w:sz="0" w:space="0" w:color="auto"/>
        <w:bottom w:val="none" w:sz="0" w:space="0" w:color="auto"/>
        <w:right w:val="none" w:sz="0" w:space="0" w:color="auto"/>
      </w:divBdr>
    </w:div>
    <w:div w:id="1033918989">
      <w:bodyDiv w:val="1"/>
      <w:marLeft w:val="0"/>
      <w:marRight w:val="0"/>
      <w:marTop w:val="0"/>
      <w:marBottom w:val="0"/>
      <w:divBdr>
        <w:top w:val="none" w:sz="0" w:space="0" w:color="auto"/>
        <w:left w:val="none" w:sz="0" w:space="0" w:color="auto"/>
        <w:bottom w:val="none" w:sz="0" w:space="0" w:color="auto"/>
        <w:right w:val="none" w:sz="0" w:space="0" w:color="auto"/>
      </w:divBdr>
    </w:div>
    <w:div w:id="1034235068">
      <w:bodyDiv w:val="1"/>
      <w:marLeft w:val="0"/>
      <w:marRight w:val="0"/>
      <w:marTop w:val="0"/>
      <w:marBottom w:val="0"/>
      <w:divBdr>
        <w:top w:val="none" w:sz="0" w:space="0" w:color="auto"/>
        <w:left w:val="none" w:sz="0" w:space="0" w:color="auto"/>
        <w:bottom w:val="none" w:sz="0" w:space="0" w:color="auto"/>
        <w:right w:val="none" w:sz="0" w:space="0" w:color="auto"/>
      </w:divBdr>
    </w:div>
    <w:div w:id="1034307678">
      <w:bodyDiv w:val="1"/>
      <w:marLeft w:val="0"/>
      <w:marRight w:val="0"/>
      <w:marTop w:val="0"/>
      <w:marBottom w:val="0"/>
      <w:divBdr>
        <w:top w:val="none" w:sz="0" w:space="0" w:color="auto"/>
        <w:left w:val="none" w:sz="0" w:space="0" w:color="auto"/>
        <w:bottom w:val="none" w:sz="0" w:space="0" w:color="auto"/>
        <w:right w:val="none" w:sz="0" w:space="0" w:color="auto"/>
      </w:divBdr>
    </w:div>
    <w:div w:id="1034310165">
      <w:bodyDiv w:val="1"/>
      <w:marLeft w:val="0"/>
      <w:marRight w:val="0"/>
      <w:marTop w:val="0"/>
      <w:marBottom w:val="0"/>
      <w:divBdr>
        <w:top w:val="none" w:sz="0" w:space="0" w:color="auto"/>
        <w:left w:val="none" w:sz="0" w:space="0" w:color="auto"/>
        <w:bottom w:val="none" w:sz="0" w:space="0" w:color="auto"/>
        <w:right w:val="none" w:sz="0" w:space="0" w:color="auto"/>
      </w:divBdr>
    </w:div>
    <w:div w:id="1034500604">
      <w:bodyDiv w:val="1"/>
      <w:marLeft w:val="0"/>
      <w:marRight w:val="0"/>
      <w:marTop w:val="0"/>
      <w:marBottom w:val="0"/>
      <w:divBdr>
        <w:top w:val="none" w:sz="0" w:space="0" w:color="auto"/>
        <w:left w:val="none" w:sz="0" w:space="0" w:color="auto"/>
        <w:bottom w:val="none" w:sz="0" w:space="0" w:color="auto"/>
        <w:right w:val="none" w:sz="0" w:space="0" w:color="auto"/>
      </w:divBdr>
    </w:div>
    <w:div w:id="1034578311">
      <w:bodyDiv w:val="1"/>
      <w:marLeft w:val="0"/>
      <w:marRight w:val="0"/>
      <w:marTop w:val="0"/>
      <w:marBottom w:val="0"/>
      <w:divBdr>
        <w:top w:val="none" w:sz="0" w:space="0" w:color="auto"/>
        <w:left w:val="none" w:sz="0" w:space="0" w:color="auto"/>
        <w:bottom w:val="none" w:sz="0" w:space="0" w:color="auto"/>
        <w:right w:val="none" w:sz="0" w:space="0" w:color="auto"/>
      </w:divBdr>
    </w:div>
    <w:div w:id="1034697862">
      <w:bodyDiv w:val="1"/>
      <w:marLeft w:val="0"/>
      <w:marRight w:val="0"/>
      <w:marTop w:val="0"/>
      <w:marBottom w:val="0"/>
      <w:divBdr>
        <w:top w:val="none" w:sz="0" w:space="0" w:color="auto"/>
        <w:left w:val="none" w:sz="0" w:space="0" w:color="auto"/>
        <w:bottom w:val="none" w:sz="0" w:space="0" w:color="auto"/>
        <w:right w:val="none" w:sz="0" w:space="0" w:color="auto"/>
      </w:divBdr>
    </w:div>
    <w:div w:id="1034768236">
      <w:bodyDiv w:val="1"/>
      <w:marLeft w:val="0"/>
      <w:marRight w:val="0"/>
      <w:marTop w:val="0"/>
      <w:marBottom w:val="0"/>
      <w:divBdr>
        <w:top w:val="none" w:sz="0" w:space="0" w:color="auto"/>
        <w:left w:val="none" w:sz="0" w:space="0" w:color="auto"/>
        <w:bottom w:val="none" w:sz="0" w:space="0" w:color="auto"/>
        <w:right w:val="none" w:sz="0" w:space="0" w:color="auto"/>
      </w:divBdr>
    </w:div>
    <w:div w:id="1034883944">
      <w:bodyDiv w:val="1"/>
      <w:marLeft w:val="0"/>
      <w:marRight w:val="0"/>
      <w:marTop w:val="0"/>
      <w:marBottom w:val="0"/>
      <w:divBdr>
        <w:top w:val="none" w:sz="0" w:space="0" w:color="auto"/>
        <w:left w:val="none" w:sz="0" w:space="0" w:color="auto"/>
        <w:bottom w:val="none" w:sz="0" w:space="0" w:color="auto"/>
        <w:right w:val="none" w:sz="0" w:space="0" w:color="auto"/>
      </w:divBdr>
    </w:div>
    <w:div w:id="1034884617">
      <w:bodyDiv w:val="1"/>
      <w:marLeft w:val="0"/>
      <w:marRight w:val="0"/>
      <w:marTop w:val="0"/>
      <w:marBottom w:val="0"/>
      <w:divBdr>
        <w:top w:val="none" w:sz="0" w:space="0" w:color="auto"/>
        <w:left w:val="none" w:sz="0" w:space="0" w:color="auto"/>
        <w:bottom w:val="none" w:sz="0" w:space="0" w:color="auto"/>
        <w:right w:val="none" w:sz="0" w:space="0" w:color="auto"/>
      </w:divBdr>
    </w:div>
    <w:div w:id="1035076893">
      <w:bodyDiv w:val="1"/>
      <w:marLeft w:val="0"/>
      <w:marRight w:val="0"/>
      <w:marTop w:val="0"/>
      <w:marBottom w:val="0"/>
      <w:divBdr>
        <w:top w:val="none" w:sz="0" w:space="0" w:color="auto"/>
        <w:left w:val="none" w:sz="0" w:space="0" w:color="auto"/>
        <w:bottom w:val="none" w:sz="0" w:space="0" w:color="auto"/>
        <w:right w:val="none" w:sz="0" w:space="0" w:color="auto"/>
      </w:divBdr>
    </w:div>
    <w:div w:id="1035155308">
      <w:bodyDiv w:val="1"/>
      <w:marLeft w:val="0"/>
      <w:marRight w:val="0"/>
      <w:marTop w:val="0"/>
      <w:marBottom w:val="0"/>
      <w:divBdr>
        <w:top w:val="none" w:sz="0" w:space="0" w:color="auto"/>
        <w:left w:val="none" w:sz="0" w:space="0" w:color="auto"/>
        <w:bottom w:val="none" w:sz="0" w:space="0" w:color="auto"/>
        <w:right w:val="none" w:sz="0" w:space="0" w:color="auto"/>
      </w:divBdr>
    </w:div>
    <w:div w:id="1035155901">
      <w:bodyDiv w:val="1"/>
      <w:marLeft w:val="0"/>
      <w:marRight w:val="0"/>
      <w:marTop w:val="0"/>
      <w:marBottom w:val="0"/>
      <w:divBdr>
        <w:top w:val="none" w:sz="0" w:space="0" w:color="auto"/>
        <w:left w:val="none" w:sz="0" w:space="0" w:color="auto"/>
        <w:bottom w:val="none" w:sz="0" w:space="0" w:color="auto"/>
        <w:right w:val="none" w:sz="0" w:space="0" w:color="auto"/>
      </w:divBdr>
    </w:div>
    <w:div w:id="1035159560">
      <w:bodyDiv w:val="1"/>
      <w:marLeft w:val="0"/>
      <w:marRight w:val="0"/>
      <w:marTop w:val="0"/>
      <w:marBottom w:val="0"/>
      <w:divBdr>
        <w:top w:val="none" w:sz="0" w:space="0" w:color="auto"/>
        <w:left w:val="none" w:sz="0" w:space="0" w:color="auto"/>
        <w:bottom w:val="none" w:sz="0" w:space="0" w:color="auto"/>
        <w:right w:val="none" w:sz="0" w:space="0" w:color="auto"/>
      </w:divBdr>
    </w:div>
    <w:div w:id="1035274061">
      <w:bodyDiv w:val="1"/>
      <w:marLeft w:val="0"/>
      <w:marRight w:val="0"/>
      <w:marTop w:val="0"/>
      <w:marBottom w:val="0"/>
      <w:divBdr>
        <w:top w:val="none" w:sz="0" w:space="0" w:color="auto"/>
        <w:left w:val="none" w:sz="0" w:space="0" w:color="auto"/>
        <w:bottom w:val="none" w:sz="0" w:space="0" w:color="auto"/>
        <w:right w:val="none" w:sz="0" w:space="0" w:color="auto"/>
      </w:divBdr>
    </w:div>
    <w:div w:id="1035353979">
      <w:bodyDiv w:val="1"/>
      <w:marLeft w:val="0"/>
      <w:marRight w:val="0"/>
      <w:marTop w:val="0"/>
      <w:marBottom w:val="0"/>
      <w:divBdr>
        <w:top w:val="none" w:sz="0" w:space="0" w:color="auto"/>
        <w:left w:val="none" w:sz="0" w:space="0" w:color="auto"/>
        <w:bottom w:val="none" w:sz="0" w:space="0" w:color="auto"/>
        <w:right w:val="none" w:sz="0" w:space="0" w:color="auto"/>
      </w:divBdr>
    </w:div>
    <w:div w:id="1035541883">
      <w:bodyDiv w:val="1"/>
      <w:marLeft w:val="0"/>
      <w:marRight w:val="0"/>
      <w:marTop w:val="0"/>
      <w:marBottom w:val="0"/>
      <w:divBdr>
        <w:top w:val="none" w:sz="0" w:space="0" w:color="auto"/>
        <w:left w:val="none" w:sz="0" w:space="0" w:color="auto"/>
        <w:bottom w:val="none" w:sz="0" w:space="0" w:color="auto"/>
        <w:right w:val="none" w:sz="0" w:space="0" w:color="auto"/>
      </w:divBdr>
    </w:div>
    <w:div w:id="1035618061">
      <w:bodyDiv w:val="1"/>
      <w:marLeft w:val="0"/>
      <w:marRight w:val="0"/>
      <w:marTop w:val="0"/>
      <w:marBottom w:val="0"/>
      <w:divBdr>
        <w:top w:val="none" w:sz="0" w:space="0" w:color="auto"/>
        <w:left w:val="none" w:sz="0" w:space="0" w:color="auto"/>
        <w:bottom w:val="none" w:sz="0" w:space="0" w:color="auto"/>
        <w:right w:val="none" w:sz="0" w:space="0" w:color="auto"/>
      </w:divBdr>
    </w:div>
    <w:div w:id="1035623179">
      <w:bodyDiv w:val="1"/>
      <w:marLeft w:val="0"/>
      <w:marRight w:val="0"/>
      <w:marTop w:val="0"/>
      <w:marBottom w:val="0"/>
      <w:divBdr>
        <w:top w:val="none" w:sz="0" w:space="0" w:color="auto"/>
        <w:left w:val="none" w:sz="0" w:space="0" w:color="auto"/>
        <w:bottom w:val="none" w:sz="0" w:space="0" w:color="auto"/>
        <w:right w:val="none" w:sz="0" w:space="0" w:color="auto"/>
      </w:divBdr>
    </w:div>
    <w:div w:id="1035665438">
      <w:bodyDiv w:val="1"/>
      <w:marLeft w:val="0"/>
      <w:marRight w:val="0"/>
      <w:marTop w:val="0"/>
      <w:marBottom w:val="0"/>
      <w:divBdr>
        <w:top w:val="none" w:sz="0" w:space="0" w:color="auto"/>
        <w:left w:val="none" w:sz="0" w:space="0" w:color="auto"/>
        <w:bottom w:val="none" w:sz="0" w:space="0" w:color="auto"/>
        <w:right w:val="none" w:sz="0" w:space="0" w:color="auto"/>
      </w:divBdr>
    </w:div>
    <w:div w:id="1035695718">
      <w:bodyDiv w:val="1"/>
      <w:marLeft w:val="0"/>
      <w:marRight w:val="0"/>
      <w:marTop w:val="0"/>
      <w:marBottom w:val="0"/>
      <w:divBdr>
        <w:top w:val="none" w:sz="0" w:space="0" w:color="auto"/>
        <w:left w:val="none" w:sz="0" w:space="0" w:color="auto"/>
        <w:bottom w:val="none" w:sz="0" w:space="0" w:color="auto"/>
        <w:right w:val="none" w:sz="0" w:space="0" w:color="auto"/>
      </w:divBdr>
    </w:div>
    <w:div w:id="1035739010">
      <w:bodyDiv w:val="1"/>
      <w:marLeft w:val="0"/>
      <w:marRight w:val="0"/>
      <w:marTop w:val="0"/>
      <w:marBottom w:val="0"/>
      <w:divBdr>
        <w:top w:val="none" w:sz="0" w:space="0" w:color="auto"/>
        <w:left w:val="none" w:sz="0" w:space="0" w:color="auto"/>
        <w:bottom w:val="none" w:sz="0" w:space="0" w:color="auto"/>
        <w:right w:val="none" w:sz="0" w:space="0" w:color="auto"/>
      </w:divBdr>
    </w:div>
    <w:div w:id="1035808398">
      <w:bodyDiv w:val="1"/>
      <w:marLeft w:val="0"/>
      <w:marRight w:val="0"/>
      <w:marTop w:val="0"/>
      <w:marBottom w:val="0"/>
      <w:divBdr>
        <w:top w:val="none" w:sz="0" w:space="0" w:color="auto"/>
        <w:left w:val="none" w:sz="0" w:space="0" w:color="auto"/>
        <w:bottom w:val="none" w:sz="0" w:space="0" w:color="auto"/>
        <w:right w:val="none" w:sz="0" w:space="0" w:color="auto"/>
      </w:divBdr>
    </w:div>
    <w:div w:id="1035808935">
      <w:bodyDiv w:val="1"/>
      <w:marLeft w:val="0"/>
      <w:marRight w:val="0"/>
      <w:marTop w:val="0"/>
      <w:marBottom w:val="0"/>
      <w:divBdr>
        <w:top w:val="none" w:sz="0" w:space="0" w:color="auto"/>
        <w:left w:val="none" w:sz="0" w:space="0" w:color="auto"/>
        <w:bottom w:val="none" w:sz="0" w:space="0" w:color="auto"/>
        <w:right w:val="none" w:sz="0" w:space="0" w:color="auto"/>
      </w:divBdr>
    </w:div>
    <w:div w:id="1035887726">
      <w:bodyDiv w:val="1"/>
      <w:marLeft w:val="0"/>
      <w:marRight w:val="0"/>
      <w:marTop w:val="0"/>
      <w:marBottom w:val="0"/>
      <w:divBdr>
        <w:top w:val="none" w:sz="0" w:space="0" w:color="auto"/>
        <w:left w:val="none" w:sz="0" w:space="0" w:color="auto"/>
        <w:bottom w:val="none" w:sz="0" w:space="0" w:color="auto"/>
        <w:right w:val="none" w:sz="0" w:space="0" w:color="auto"/>
      </w:divBdr>
    </w:div>
    <w:div w:id="1036005853">
      <w:bodyDiv w:val="1"/>
      <w:marLeft w:val="0"/>
      <w:marRight w:val="0"/>
      <w:marTop w:val="0"/>
      <w:marBottom w:val="0"/>
      <w:divBdr>
        <w:top w:val="none" w:sz="0" w:space="0" w:color="auto"/>
        <w:left w:val="none" w:sz="0" w:space="0" w:color="auto"/>
        <w:bottom w:val="none" w:sz="0" w:space="0" w:color="auto"/>
        <w:right w:val="none" w:sz="0" w:space="0" w:color="auto"/>
      </w:divBdr>
    </w:div>
    <w:div w:id="1036083652">
      <w:bodyDiv w:val="1"/>
      <w:marLeft w:val="0"/>
      <w:marRight w:val="0"/>
      <w:marTop w:val="0"/>
      <w:marBottom w:val="0"/>
      <w:divBdr>
        <w:top w:val="none" w:sz="0" w:space="0" w:color="auto"/>
        <w:left w:val="none" w:sz="0" w:space="0" w:color="auto"/>
        <w:bottom w:val="none" w:sz="0" w:space="0" w:color="auto"/>
        <w:right w:val="none" w:sz="0" w:space="0" w:color="auto"/>
      </w:divBdr>
    </w:div>
    <w:div w:id="1036084841">
      <w:bodyDiv w:val="1"/>
      <w:marLeft w:val="0"/>
      <w:marRight w:val="0"/>
      <w:marTop w:val="0"/>
      <w:marBottom w:val="0"/>
      <w:divBdr>
        <w:top w:val="none" w:sz="0" w:space="0" w:color="auto"/>
        <w:left w:val="none" w:sz="0" w:space="0" w:color="auto"/>
        <w:bottom w:val="none" w:sz="0" w:space="0" w:color="auto"/>
        <w:right w:val="none" w:sz="0" w:space="0" w:color="auto"/>
      </w:divBdr>
    </w:div>
    <w:div w:id="1036124221">
      <w:bodyDiv w:val="1"/>
      <w:marLeft w:val="0"/>
      <w:marRight w:val="0"/>
      <w:marTop w:val="0"/>
      <w:marBottom w:val="0"/>
      <w:divBdr>
        <w:top w:val="none" w:sz="0" w:space="0" w:color="auto"/>
        <w:left w:val="none" w:sz="0" w:space="0" w:color="auto"/>
        <w:bottom w:val="none" w:sz="0" w:space="0" w:color="auto"/>
        <w:right w:val="none" w:sz="0" w:space="0" w:color="auto"/>
      </w:divBdr>
    </w:div>
    <w:div w:id="1036125262">
      <w:bodyDiv w:val="1"/>
      <w:marLeft w:val="0"/>
      <w:marRight w:val="0"/>
      <w:marTop w:val="0"/>
      <w:marBottom w:val="0"/>
      <w:divBdr>
        <w:top w:val="none" w:sz="0" w:space="0" w:color="auto"/>
        <w:left w:val="none" w:sz="0" w:space="0" w:color="auto"/>
        <w:bottom w:val="none" w:sz="0" w:space="0" w:color="auto"/>
        <w:right w:val="none" w:sz="0" w:space="0" w:color="auto"/>
      </w:divBdr>
    </w:div>
    <w:div w:id="1036151554">
      <w:bodyDiv w:val="1"/>
      <w:marLeft w:val="0"/>
      <w:marRight w:val="0"/>
      <w:marTop w:val="0"/>
      <w:marBottom w:val="0"/>
      <w:divBdr>
        <w:top w:val="none" w:sz="0" w:space="0" w:color="auto"/>
        <w:left w:val="none" w:sz="0" w:space="0" w:color="auto"/>
        <w:bottom w:val="none" w:sz="0" w:space="0" w:color="auto"/>
        <w:right w:val="none" w:sz="0" w:space="0" w:color="auto"/>
      </w:divBdr>
    </w:div>
    <w:div w:id="1036347053">
      <w:bodyDiv w:val="1"/>
      <w:marLeft w:val="0"/>
      <w:marRight w:val="0"/>
      <w:marTop w:val="0"/>
      <w:marBottom w:val="0"/>
      <w:divBdr>
        <w:top w:val="none" w:sz="0" w:space="0" w:color="auto"/>
        <w:left w:val="none" w:sz="0" w:space="0" w:color="auto"/>
        <w:bottom w:val="none" w:sz="0" w:space="0" w:color="auto"/>
        <w:right w:val="none" w:sz="0" w:space="0" w:color="auto"/>
      </w:divBdr>
    </w:div>
    <w:div w:id="1036347797">
      <w:bodyDiv w:val="1"/>
      <w:marLeft w:val="0"/>
      <w:marRight w:val="0"/>
      <w:marTop w:val="0"/>
      <w:marBottom w:val="0"/>
      <w:divBdr>
        <w:top w:val="none" w:sz="0" w:space="0" w:color="auto"/>
        <w:left w:val="none" w:sz="0" w:space="0" w:color="auto"/>
        <w:bottom w:val="none" w:sz="0" w:space="0" w:color="auto"/>
        <w:right w:val="none" w:sz="0" w:space="0" w:color="auto"/>
      </w:divBdr>
    </w:div>
    <w:div w:id="1036395608">
      <w:bodyDiv w:val="1"/>
      <w:marLeft w:val="0"/>
      <w:marRight w:val="0"/>
      <w:marTop w:val="0"/>
      <w:marBottom w:val="0"/>
      <w:divBdr>
        <w:top w:val="none" w:sz="0" w:space="0" w:color="auto"/>
        <w:left w:val="none" w:sz="0" w:space="0" w:color="auto"/>
        <w:bottom w:val="none" w:sz="0" w:space="0" w:color="auto"/>
        <w:right w:val="none" w:sz="0" w:space="0" w:color="auto"/>
      </w:divBdr>
    </w:div>
    <w:div w:id="1036544103">
      <w:bodyDiv w:val="1"/>
      <w:marLeft w:val="0"/>
      <w:marRight w:val="0"/>
      <w:marTop w:val="0"/>
      <w:marBottom w:val="0"/>
      <w:divBdr>
        <w:top w:val="none" w:sz="0" w:space="0" w:color="auto"/>
        <w:left w:val="none" w:sz="0" w:space="0" w:color="auto"/>
        <w:bottom w:val="none" w:sz="0" w:space="0" w:color="auto"/>
        <w:right w:val="none" w:sz="0" w:space="0" w:color="auto"/>
      </w:divBdr>
    </w:div>
    <w:div w:id="1036589830">
      <w:bodyDiv w:val="1"/>
      <w:marLeft w:val="0"/>
      <w:marRight w:val="0"/>
      <w:marTop w:val="0"/>
      <w:marBottom w:val="0"/>
      <w:divBdr>
        <w:top w:val="none" w:sz="0" w:space="0" w:color="auto"/>
        <w:left w:val="none" w:sz="0" w:space="0" w:color="auto"/>
        <w:bottom w:val="none" w:sz="0" w:space="0" w:color="auto"/>
        <w:right w:val="none" w:sz="0" w:space="0" w:color="auto"/>
      </w:divBdr>
    </w:div>
    <w:div w:id="1036736676">
      <w:bodyDiv w:val="1"/>
      <w:marLeft w:val="0"/>
      <w:marRight w:val="0"/>
      <w:marTop w:val="0"/>
      <w:marBottom w:val="0"/>
      <w:divBdr>
        <w:top w:val="none" w:sz="0" w:space="0" w:color="auto"/>
        <w:left w:val="none" w:sz="0" w:space="0" w:color="auto"/>
        <w:bottom w:val="none" w:sz="0" w:space="0" w:color="auto"/>
        <w:right w:val="none" w:sz="0" w:space="0" w:color="auto"/>
      </w:divBdr>
    </w:div>
    <w:div w:id="1036737749">
      <w:bodyDiv w:val="1"/>
      <w:marLeft w:val="0"/>
      <w:marRight w:val="0"/>
      <w:marTop w:val="0"/>
      <w:marBottom w:val="0"/>
      <w:divBdr>
        <w:top w:val="none" w:sz="0" w:space="0" w:color="auto"/>
        <w:left w:val="none" w:sz="0" w:space="0" w:color="auto"/>
        <w:bottom w:val="none" w:sz="0" w:space="0" w:color="auto"/>
        <w:right w:val="none" w:sz="0" w:space="0" w:color="auto"/>
      </w:divBdr>
    </w:div>
    <w:div w:id="1036851425">
      <w:bodyDiv w:val="1"/>
      <w:marLeft w:val="0"/>
      <w:marRight w:val="0"/>
      <w:marTop w:val="0"/>
      <w:marBottom w:val="0"/>
      <w:divBdr>
        <w:top w:val="none" w:sz="0" w:space="0" w:color="auto"/>
        <w:left w:val="none" w:sz="0" w:space="0" w:color="auto"/>
        <w:bottom w:val="none" w:sz="0" w:space="0" w:color="auto"/>
        <w:right w:val="none" w:sz="0" w:space="0" w:color="auto"/>
      </w:divBdr>
    </w:div>
    <w:div w:id="1037042819">
      <w:bodyDiv w:val="1"/>
      <w:marLeft w:val="0"/>
      <w:marRight w:val="0"/>
      <w:marTop w:val="0"/>
      <w:marBottom w:val="0"/>
      <w:divBdr>
        <w:top w:val="none" w:sz="0" w:space="0" w:color="auto"/>
        <w:left w:val="none" w:sz="0" w:space="0" w:color="auto"/>
        <w:bottom w:val="none" w:sz="0" w:space="0" w:color="auto"/>
        <w:right w:val="none" w:sz="0" w:space="0" w:color="auto"/>
      </w:divBdr>
    </w:div>
    <w:div w:id="1037045881">
      <w:bodyDiv w:val="1"/>
      <w:marLeft w:val="0"/>
      <w:marRight w:val="0"/>
      <w:marTop w:val="0"/>
      <w:marBottom w:val="0"/>
      <w:divBdr>
        <w:top w:val="none" w:sz="0" w:space="0" w:color="auto"/>
        <w:left w:val="none" w:sz="0" w:space="0" w:color="auto"/>
        <w:bottom w:val="none" w:sz="0" w:space="0" w:color="auto"/>
        <w:right w:val="none" w:sz="0" w:space="0" w:color="auto"/>
      </w:divBdr>
    </w:div>
    <w:div w:id="1037047122">
      <w:bodyDiv w:val="1"/>
      <w:marLeft w:val="0"/>
      <w:marRight w:val="0"/>
      <w:marTop w:val="0"/>
      <w:marBottom w:val="0"/>
      <w:divBdr>
        <w:top w:val="none" w:sz="0" w:space="0" w:color="auto"/>
        <w:left w:val="none" w:sz="0" w:space="0" w:color="auto"/>
        <w:bottom w:val="none" w:sz="0" w:space="0" w:color="auto"/>
        <w:right w:val="none" w:sz="0" w:space="0" w:color="auto"/>
      </w:divBdr>
    </w:div>
    <w:div w:id="1037313171">
      <w:bodyDiv w:val="1"/>
      <w:marLeft w:val="0"/>
      <w:marRight w:val="0"/>
      <w:marTop w:val="0"/>
      <w:marBottom w:val="0"/>
      <w:divBdr>
        <w:top w:val="none" w:sz="0" w:space="0" w:color="auto"/>
        <w:left w:val="none" w:sz="0" w:space="0" w:color="auto"/>
        <w:bottom w:val="none" w:sz="0" w:space="0" w:color="auto"/>
        <w:right w:val="none" w:sz="0" w:space="0" w:color="auto"/>
      </w:divBdr>
    </w:div>
    <w:div w:id="1037899869">
      <w:bodyDiv w:val="1"/>
      <w:marLeft w:val="0"/>
      <w:marRight w:val="0"/>
      <w:marTop w:val="0"/>
      <w:marBottom w:val="0"/>
      <w:divBdr>
        <w:top w:val="none" w:sz="0" w:space="0" w:color="auto"/>
        <w:left w:val="none" w:sz="0" w:space="0" w:color="auto"/>
        <w:bottom w:val="none" w:sz="0" w:space="0" w:color="auto"/>
        <w:right w:val="none" w:sz="0" w:space="0" w:color="auto"/>
      </w:divBdr>
    </w:div>
    <w:div w:id="1037969537">
      <w:bodyDiv w:val="1"/>
      <w:marLeft w:val="0"/>
      <w:marRight w:val="0"/>
      <w:marTop w:val="0"/>
      <w:marBottom w:val="0"/>
      <w:divBdr>
        <w:top w:val="none" w:sz="0" w:space="0" w:color="auto"/>
        <w:left w:val="none" w:sz="0" w:space="0" w:color="auto"/>
        <w:bottom w:val="none" w:sz="0" w:space="0" w:color="auto"/>
        <w:right w:val="none" w:sz="0" w:space="0" w:color="auto"/>
      </w:divBdr>
    </w:div>
    <w:div w:id="1037969810">
      <w:bodyDiv w:val="1"/>
      <w:marLeft w:val="0"/>
      <w:marRight w:val="0"/>
      <w:marTop w:val="0"/>
      <w:marBottom w:val="0"/>
      <w:divBdr>
        <w:top w:val="none" w:sz="0" w:space="0" w:color="auto"/>
        <w:left w:val="none" w:sz="0" w:space="0" w:color="auto"/>
        <w:bottom w:val="none" w:sz="0" w:space="0" w:color="auto"/>
        <w:right w:val="none" w:sz="0" w:space="0" w:color="auto"/>
      </w:divBdr>
    </w:div>
    <w:div w:id="1038046990">
      <w:bodyDiv w:val="1"/>
      <w:marLeft w:val="0"/>
      <w:marRight w:val="0"/>
      <w:marTop w:val="0"/>
      <w:marBottom w:val="0"/>
      <w:divBdr>
        <w:top w:val="none" w:sz="0" w:space="0" w:color="auto"/>
        <w:left w:val="none" w:sz="0" w:space="0" w:color="auto"/>
        <w:bottom w:val="none" w:sz="0" w:space="0" w:color="auto"/>
        <w:right w:val="none" w:sz="0" w:space="0" w:color="auto"/>
      </w:divBdr>
    </w:div>
    <w:div w:id="1038047011">
      <w:bodyDiv w:val="1"/>
      <w:marLeft w:val="0"/>
      <w:marRight w:val="0"/>
      <w:marTop w:val="0"/>
      <w:marBottom w:val="0"/>
      <w:divBdr>
        <w:top w:val="none" w:sz="0" w:space="0" w:color="auto"/>
        <w:left w:val="none" w:sz="0" w:space="0" w:color="auto"/>
        <w:bottom w:val="none" w:sz="0" w:space="0" w:color="auto"/>
        <w:right w:val="none" w:sz="0" w:space="0" w:color="auto"/>
      </w:divBdr>
    </w:div>
    <w:div w:id="1038240945">
      <w:bodyDiv w:val="1"/>
      <w:marLeft w:val="0"/>
      <w:marRight w:val="0"/>
      <w:marTop w:val="0"/>
      <w:marBottom w:val="0"/>
      <w:divBdr>
        <w:top w:val="none" w:sz="0" w:space="0" w:color="auto"/>
        <w:left w:val="none" w:sz="0" w:space="0" w:color="auto"/>
        <w:bottom w:val="none" w:sz="0" w:space="0" w:color="auto"/>
        <w:right w:val="none" w:sz="0" w:space="0" w:color="auto"/>
      </w:divBdr>
    </w:div>
    <w:div w:id="1038242917">
      <w:bodyDiv w:val="1"/>
      <w:marLeft w:val="0"/>
      <w:marRight w:val="0"/>
      <w:marTop w:val="0"/>
      <w:marBottom w:val="0"/>
      <w:divBdr>
        <w:top w:val="none" w:sz="0" w:space="0" w:color="auto"/>
        <w:left w:val="none" w:sz="0" w:space="0" w:color="auto"/>
        <w:bottom w:val="none" w:sz="0" w:space="0" w:color="auto"/>
        <w:right w:val="none" w:sz="0" w:space="0" w:color="auto"/>
      </w:divBdr>
    </w:div>
    <w:div w:id="1038312987">
      <w:bodyDiv w:val="1"/>
      <w:marLeft w:val="0"/>
      <w:marRight w:val="0"/>
      <w:marTop w:val="0"/>
      <w:marBottom w:val="0"/>
      <w:divBdr>
        <w:top w:val="none" w:sz="0" w:space="0" w:color="auto"/>
        <w:left w:val="none" w:sz="0" w:space="0" w:color="auto"/>
        <w:bottom w:val="none" w:sz="0" w:space="0" w:color="auto"/>
        <w:right w:val="none" w:sz="0" w:space="0" w:color="auto"/>
      </w:divBdr>
    </w:div>
    <w:div w:id="1038313261">
      <w:bodyDiv w:val="1"/>
      <w:marLeft w:val="0"/>
      <w:marRight w:val="0"/>
      <w:marTop w:val="0"/>
      <w:marBottom w:val="0"/>
      <w:divBdr>
        <w:top w:val="none" w:sz="0" w:space="0" w:color="auto"/>
        <w:left w:val="none" w:sz="0" w:space="0" w:color="auto"/>
        <w:bottom w:val="none" w:sz="0" w:space="0" w:color="auto"/>
        <w:right w:val="none" w:sz="0" w:space="0" w:color="auto"/>
      </w:divBdr>
    </w:div>
    <w:div w:id="1038357197">
      <w:bodyDiv w:val="1"/>
      <w:marLeft w:val="0"/>
      <w:marRight w:val="0"/>
      <w:marTop w:val="0"/>
      <w:marBottom w:val="0"/>
      <w:divBdr>
        <w:top w:val="none" w:sz="0" w:space="0" w:color="auto"/>
        <w:left w:val="none" w:sz="0" w:space="0" w:color="auto"/>
        <w:bottom w:val="none" w:sz="0" w:space="0" w:color="auto"/>
        <w:right w:val="none" w:sz="0" w:space="0" w:color="auto"/>
      </w:divBdr>
    </w:div>
    <w:div w:id="1038360889">
      <w:bodyDiv w:val="1"/>
      <w:marLeft w:val="0"/>
      <w:marRight w:val="0"/>
      <w:marTop w:val="0"/>
      <w:marBottom w:val="0"/>
      <w:divBdr>
        <w:top w:val="none" w:sz="0" w:space="0" w:color="auto"/>
        <w:left w:val="none" w:sz="0" w:space="0" w:color="auto"/>
        <w:bottom w:val="none" w:sz="0" w:space="0" w:color="auto"/>
        <w:right w:val="none" w:sz="0" w:space="0" w:color="auto"/>
      </w:divBdr>
    </w:div>
    <w:div w:id="1038428132">
      <w:bodyDiv w:val="1"/>
      <w:marLeft w:val="0"/>
      <w:marRight w:val="0"/>
      <w:marTop w:val="0"/>
      <w:marBottom w:val="0"/>
      <w:divBdr>
        <w:top w:val="none" w:sz="0" w:space="0" w:color="auto"/>
        <w:left w:val="none" w:sz="0" w:space="0" w:color="auto"/>
        <w:bottom w:val="none" w:sz="0" w:space="0" w:color="auto"/>
        <w:right w:val="none" w:sz="0" w:space="0" w:color="auto"/>
      </w:divBdr>
    </w:div>
    <w:div w:id="1038506808">
      <w:bodyDiv w:val="1"/>
      <w:marLeft w:val="0"/>
      <w:marRight w:val="0"/>
      <w:marTop w:val="0"/>
      <w:marBottom w:val="0"/>
      <w:divBdr>
        <w:top w:val="none" w:sz="0" w:space="0" w:color="auto"/>
        <w:left w:val="none" w:sz="0" w:space="0" w:color="auto"/>
        <w:bottom w:val="none" w:sz="0" w:space="0" w:color="auto"/>
        <w:right w:val="none" w:sz="0" w:space="0" w:color="auto"/>
      </w:divBdr>
    </w:div>
    <w:div w:id="1038697399">
      <w:bodyDiv w:val="1"/>
      <w:marLeft w:val="0"/>
      <w:marRight w:val="0"/>
      <w:marTop w:val="0"/>
      <w:marBottom w:val="0"/>
      <w:divBdr>
        <w:top w:val="none" w:sz="0" w:space="0" w:color="auto"/>
        <w:left w:val="none" w:sz="0" w:space="0" w:color="auto"/>
        <w:bottom w:val="none" w:sz="0" w:space="0" w:color="auto"/>
        <w:right w:val="none" w:sz="0" w:space="0" w:color="auto"/>
      </w:divBdr>
    </w:div>
    <w:div w:id="1038702098">
      <w:bodyDiv w:val="1"/>
      <w:marLeft w:val="0"/>
      <w:marRight w:val="0"/>
      <w:marTop w:val="0"/>
      <w:marBottom w:val="0"/>
      <w:divBdr>
        <w:top w:val="none" w:sz="0" w:space="0" w:color="auto"/>
        <w:left w:val="none" w:sz="0" w:space="0" w:color="auto"/>
        <w:bottom w:val="none" w:sz="0" w:space="0" w:color="auto"/>
        <w:right w:val="none" w:sz="0" w:space="0" w:color="auto"/>
      </w:divBdr>
    </w:div>
    <w:div w:id="1038745659">
      <w:bodyDiv w:val="1"/>
      <w:marLeft w:val="0"/>
      <w:marRight w:val="0"/>
      <w:marTop w:val="0"/>
      <w:marBottom w:val="0"/>
      <w:divBdr>
        <w:top w:val="none" w:sz="0" w:space="0" w:color="auto"/>
        <w:left w:val="none" w:sz="0" w:space="0" w:color="auto"/>
        <w:bottom w:val="none" w:sz="0" w:space="0" w:color="auto"/>
        <w:right w:val="none" w:sz="0" w:space="0" w:color="auto"/>
      </w:divBdr>
    </w:div>
    <w:div w:id="1038896590">
      <w:bodyDiv w:val="1"/>
      <w:marLeft w:val="0"/>
      <w:marRight w:val="0"/>
      <w:marTop w:val="0"/>
      <w:marBottom w:val="0"/>
      <w:divBdr>
        <w:top w:val="none" w:sz="0" w:space="0" w:color="auto"/>
        <w:left w:val="none" w:sz="0" w:space="0" w:color="auto"/>
        <w:bottom w:val="none" w:sz="0" w:space="0" w:color="auto"/>
        <w:right w:val="none" w:sz="0" w:space="0" w:color="auto"/>
      </w:divBdr>
    </w:div>
    <w:div w:id="1038965922">
      <w:bodyDiv w:val="1"/>
      <w:marLeft w:val="0"/>
      <w:marRight w:val="0"/>
      <w:marTop w:val="0"/>
      <w:marBottom w:val="0"/>
      <w:divBdr>
        <w:top w:val="none" w:sz="0" w:space="0" w:color="auto"/>
        <w:left w:val="none" w:sz="0" w:space="0" w:color="auto"/>
        <w:bottom w:val="none" w:sz="0" w:space="0" w:color="auto"/>
        <w:right w:val="none" w:sz="0" w:space="0" w:color="auto"/>
      </w:divBdr>
    </w:div>
    <w:div w:id="1039011097">
      <w:bodyDiv w:val="1"/>
      <w:marLeft w:val="0"/>
      <w:marRight w:val="0"/>
      <w:marTop w:val="0"/>
      <w:marBottom w:val="0"/>
      <w:divBdr>
        <w:top w:val="none" w:sz="0" w:space="0" w:color="auto"/>
        <w:left w:val="none" w:sz="0" w:space="0" w:color="auto"/>
        <w:bottom w:val="none" w:sz="0" w:space="0" w:color="auto"/>
        <w:right w:val="none" w:sz="0" w:space="0" w:color="auto"/>
      </w:divBdr>
    </w:div>
    <w:div w:id="1039085136">
      <w:bodyDiv w:val="1"/>
      <w:marLeft w:val="0"/>
      <w:marRight w:val="0"/>
      <w:marTop w:val="0"/>
      <w:marBottom w:val="0"/>
      <w:divBdr>
        <w:top w:val="none" w:sz="0" w:space="0" w:color="auto"/>
        <w:left w:val="none" w:sz="0" w:space="0" w:color="auto"/>
        <w:bottom w:val="none" w:sz="0" w:space="0" w:color="auto"/>
        <w:right w:val="none" w:sz="0" w:space="0" w:color="auto"/>
      </w:divBdr>
    </w:div>
    <w:div w:id="1039090305">
      <w:bodyDiv w:val="1"/>
      <w:marLeft w:val="0"/>
      <w:marRight w:val="0"/>
      <w:marTop w:val="0"/>
      <w:marBottom w:val="0"/>
      <w:divBdr>
        <w:top w:val="none" w:sz="0" w:space="0" w:color="auto"/>
        <w:left w:val="none" w:sz="0" w:space="0" w:color="auto"/>
        <w:bottom w:val="none" w:sz="0" w:space="0" w:color="auto"/>
        <w:right w:val="none" w:sz="0" w:space="0" w:color="auto"/>
      </w:divBdr>
    </w:div>
    <w:div w:id="1039092777">
      <w:bodyDiv w:val="1"/>
      <w:marLeft w:val="0"/>
      <w:marRight w:val="0"/>
      <w:marTop w:val="0"/>
      <w:marBottom w:val="0"/>
      <w:divBdr>
        <w:top w:val="none" w:sz="0" w:space="0" w:color="auto"/>
        <w:left w:val="none" w:sz="0" w:space="0" w:color="auto"/>
        <w:bottom w:val="none" w:sz="0" w:space="0" w:color="auto"/>
        <w:right w:val="none" w:sz="0" w:space="0" w:color="auto"/>
      </w:divBdr>
    </w:div>
    <w:div w:id="1039160622">
      <w:bodyDiv w:val="1"/>
      <w:marLeft w:val="0"/>
      <w:marRight w:val="0"/>
      <w:marTop w:val="0"/>
      <w:marBottom w:val="0"/>
      <w:divBdr>
        <w:top w:val="none" w:sz="0" w:space="0" w:color="auto"/>
        <w:left w:val="none" w:sz="0" w:space="0" w:color="auto"/>
        <w:bottom w:val="none" w:sz="0" w:space="0" w:color="auto"/>
        <w:right w:val="none" w:sz="0" w:space="0" w:color="auto"/>
      </w:divBdr>
    </w:div>
    <w:div w:id="1039164506">
      <w:bodyDiv w:val="1"/>
      <w:marLeft w:val="0"/>
      <w:marRight w:val="0"/>
      <w:marTop w:val="0"/>
      <w:marBottom w:val="0"/>
      <w:divBdr>
        <w:top w:val="none" w:sz="0" w:space="0" w:color="auto"/>
        <w:left w:val="none" w:sz="0" w:space="0" w:color="auto"/>
        <w:bottom w:val="none" w:sz="0" w:space="0" w:color="auto"/>
        <w:right w:val="none" w:sz="0" w:space="0" w:color="auto"/>
      </w:divBdr>
    </w:div>
    <w:div w:id="1039475588">
      <w:bodyDiv w:val="1"/>
      <w:marLeft w:val="0"/>
      <w:marRight w:val="0"/>
      <w:marTop w:val="0"/>
      <w:marBottom w:val="0"/>
      <w:divBdr>
        <w:top w:val="none" w:sz="0" w:space="0" w:color="auto"/>
        <w:left w:val="none" w:sz="0" w:space="0" w:color="auto"/>
        <w:bottom w:val="none" w:sz="0" w:space="0" w:color="auto"/>
        <w:right w:val="none" w:sz="0" w:space="0" w:color="auto"/>
      </w:divBdr>
    </w:div>
    <w:div w:id="1039744790">
      <w:bodyDiv w:val="1"/>
      <w:marLeft w:val="0"/>
      <w:marRight w:val="0"/>
      <w:marTop w:val="0"/>
      <w:marBottom w:val="0"/>
      <w:divBdr>
        <w:top w:val="none" w:sz="0" w:space="0" w:color="auto"/>
        <w:left w:val="none" w:sz="0" w:space="0" w:color="auto"/>
        <w:bottom w:val="none" w:sz="0" w:space="0" w:color="auto"/>
        <w:right w:val="none" w:sz="0" w:space="0" w:color="auto"/>
      </w:divBdr>
    </w:div>
    <w:div w:id="1039747614">
      <w:bodyDiv w:val="1"/>
      <w:marLeft w:val="0"/>
      <w:marRight w:val="0"/>
      <w:marTop w:val="0"/>
      <w:marBottom w:val="0"/>
      <w:divBdr>
        <w:top w:val="none" w:sz="0" w:space="0" w:color="auto"/>
        <w:left w:val="none" w:sz="0" w:space="0" w:color="auto"/>
        <w:bottom w:val="none" w:sz="0" w:space="0" w:color="auto"/>
        <w:right w:val="none" w:sz="0" w:space="0" w:color="auto"/>
      </w:divBdr>
    </w:div>
    <w:div w:id="1039820458">
      <w:bodyDiv w:val="1"/>
      <w:marLeft w:val="0"/>
      <w:marRight w:val="0"/>
      <w:marTop w:val="0"/>
      <w:marBottom w:val="0"/>
      <w:divBdr>
        <w:top w:val="none" w:sz="0" w:space="0" w:color="auto"/>
        <w:left w:val="none" w:sz="0" w:space="0" w:color="auto"/>
        <w:bottom w:val="none" w:sz="0" w:space="0" w:color="auto"/>
        <w:right w:val="none" w:sz="0" w:space="0" w:color="auto"/>
      </w:divBdr>
    </w:div>
    <w:div w:id="1039892205">
      <w:bodyDiv w:val="1"/>
      <w:marLeft w:val="0"/>
      <w:marRight w:val="0"/>
      <w:marTop w:val="0"/>
      <w:marBottom w:val="0"/>
      <w:divBdr>
        <w:top w:val="none" w:sz="0" w:space="0" w:color="auto"/>
        <w:left w:val="none" w:sz="0" w:space="0" w:color="auto"/>
        <w:bottom w:val="none" w:sz="0" w:space="0" w:color="auto"/>
        <w:right w:val="none" w:sz="0" w:space="0" w:color="auto"/>
      </w:divBdr>
    </w:div>
    <w:div w:id="1040012249">
      <w:bodyDiv w:val="1"/>
      <w:marLeft w:val="0"/>
      <w:marRight w:val="0"/>
      <w:marTop w:val="0"/>
      <w:marBottom w:val="0"/>
      <w:divBdr>
        <w:top w:val="none" w:sz="0" w:space="0" w:color="auto"/>
        <w:left w:val="none" w:sz="0" w:space="0" w:color="auto"/>
        <w:bottom w:val="none" w:sz="0" w:space="0" w:color="auto"/>
        <w:right w:val="none" w:sz="0" w:space="0" w:color="auto"/>
      </w:divBdr>
    </w:div>
    <w:div w:id="1040082799">
      <w:bodyDiv w:val="1"/>
      <w:marLeft w:val="0"/>
      <w:marRight w:val="0"/>
      <w:marTop w:val="0"/>
      <w:marBottom w:val="0"/>
      <w:divBdr>
        <w:top w:val="none" w:sz="0" w:space="0" w:color="auto"/>
        <w:left w:val="none" w:sz="0" w:space="0" w:color="auto"/>
        <w:bottom w:val="none" w:sz="0" w:space="0" w:color="auto"/>
        <w:right w:val="none" w:sz="0" w:space="0" w:color="auto"/>
      </w:divBdr>
    </w:div>
    <w:div w:id="1040131438">
      <w:bodyDiv w:val="1"/>
      <w:marLeft w:val="0"/>
      <w:marRight w:val="0"/>
      <w:marTop w:val="0"/>
      <w:marBottom w:val="0"/>
      <w:divBdr>
        <w:top w:val="none" w:sz="0" w:space="0" w:color="auto"/>
        <w:left w:val="none" w:sz="0" w:space="0" w:color="auto"/>
        <w:bottom w:val="none" w:sz="0" w:space="0" w:color="auto"/>
        <w:right w:val="none" w:sz="0" w:space="0" w:color="auto"/>
      </w:divBdr>
    </w:div>
    <w:div w:id="1040204041">
      <w:bodyDiv w:val="1"/>
      <w:marLeft w:val="0"/>
      <w:marRight w:val="0"/>
      <w:marTop w:val="0"/>
      <w:marBottom w:val="0"/>
      <w:divBdr>
        <w:top w:val="none" w:sz="0" w:space="0" w:color="auto"/>
        <w:left w:val="none" w:sz="0" w:space="0" w:color="auto"/>
        <w:bottom w:val="none" w:sz="0" w:space="0" w:color="auto"/>
        <w:right w:val="none" w:sz="0" w:space="0" w:color="auto"/>
      </w:divBdr>
    </w:div>
    <w:div w:id="1040282188">
      <w:bodyDiv w:val="1"/>
      <w:marLeft w:val="0"/>
      <w:marRight w:val="0"/>
      <w:marTop w:val="0"/>
      <w:marBottom w:val="0"/>
      <w:divBdr>
        <w:top w:val="none" w:sz="0" w:space="0" w:color="auto"/>
        <w:left w:val="none" w:sz="0" w:space="0" w:color="auto"/>
        <w:bottom w:val="none" w:sz="0" w:space="0" w:color="auto"/>
        <w:right w:val="none" w:sz="0" w:space="0" w:color="auto"/>
      </w:divBdr>
    </w:div>
    <w:div w:id="1040283342">
      <w:bodyDiv w:val="1"/>
      <w:marLeft w:val="0"/>
      <w:marRight w:val="0"/>
      <w:marTop w:val="0"/>
      <w:marBottom w:val="0"/>
      <w:divBdr>
        <w:top w:val="none" w:sz="0" w:space="0" w:color="auto"/>
        <w:left w:val="none" w:sz="0" w:space="0" w:color="auto"/>
        <w:bottom w:val="none" w:sz="0" w:space="0" w:color="auto"/>
        <w:right w:val="none" w:sz="0" w:space="0" w:color="auto"/>
      </w:divBdr>
    </w:div>
    <w:div w:id="1040321827">
      <w:bodyDiv w:val="1"/>
      <w:marLeft w:val="0"/>
      <w:marRight w:val="0"/>
      <w:marTop w:val="0"/>
      <w:marBottom w:val="0"/>
      <w:divBdr>
        <w:top w:val="none" w:sz="0" w:space="0" w:color="auto"/>
        <w:left w:val="none" w:sz="0" w:space="0" w:color="auto"/>
        <w:bottom w:val="none" w:sz="0" w:space="0" w:color="auto"/>
        <w:right w:val="none" w:sz="0" w:space="0" w:color="auto"/>
      </w:divBdr>
    </w:div>
    <w:div w:id="1040325010">
      <w:bodyDiv w:val="1"/>
      <w:marLeft w:val="0"/>
      <w:marRight w:val="0"/>
      <w:marTop w:val="0"/>
      <w:marBottom w:val="0"/>
      <w:divBdr>
        <w:top w:val="none" w:sz="0" w:space="0" w:color="auto"/>
        <w:left w:val="none" w:sz="0" w:space="0" w:color="auto"/>
        <w:bottom w:val="none" w:sz="0" w:space="0" w:color="auto"/>
        <w:right w:val="none" w:sz="0" w:space="0" w:color="auto"/>
      </w:divBdr>
    </w:div>
    <w:div w:id="1040402594">
      <w:bodyDiv w:val="1"/>
      <w:marLeft w:val="0"/>
      <w:marRight w:val="0"/>
      <w:marTop w:val="0"/>
      <w:marBottom w:val="0"/>
      <w:divBdr>
        <w:top w:val="none" w:sz="0" w:space="0" w:color="auto"/>
        <w:left w:val="none" w:sz="0" w:space="0" w:color="auto"/>
        <w:bottom w:val="none" w:sz="0" w:space="0" w:color="auto"/>
        <w:right w:val="none" w:sz="0" w:space="0" w:color="auto"/>
      </w:divBdr>
    </w:div>
    <w:div w:id="1040591741">
      <w:bodyDiv w:val="1"/>
      <w:marLeft w:val="0"/>
      <w:marRight w:val="0"/>
      <w:marTop w:val="0"/>
      <w:marBottom w:val="0"/>
      <w:divBdr>
        <w:top w:val="none" w:sz="0" w:space="0" w:color="auto"/>
        <w:left w:val="none" w:sz="0" w:space="0" w:color="auto"/>
        <w:bottom w:val="none" w:sz="0" w:space="0" w:color="auto"/>
        <w:right w:val="none" w:sz="0" w:space="0" w:color="auto"/>
      </w:divBdr>
    </w:div>
    <w:div w:id="1040744027">
      <w:bodyDiv w:val="1"/>
      <w:marLeft w:val="0"/>
      <w:marRight w:val="0"/>
      <w:marTop w:val="0"/>
      <w:marBottom w:val="0"/>
      <w:divBdr>
        <w:top w:val="none" w:sz="0" w:space="0" w:color="auto"/>
        <w:left w:val="none" w:sz="0" w:space="0" w:color="auto"/>
        <w:bottom w:val="none" w:sz="0" w:space="0" w:color="auto"/>
        <w:right w:val="none" w:sz="0" w:space="0" w:color="auto"/>
      </w:divBdr>
    </w:div>
    <w:div w:id="1040861253">
      <w:bodyDiv w:val="1"/>
      <w:marLeft w:val="0"/>
      <w:marRight w:val="0"/>
      <w:marTop w:val="0"/>
      <w:marBottom w:val="0"/>
      <w:divBdr>
        <w:top w:val="none" w:sz="0" w:space="0" w:color="auto"/>
        <w:left w:val="none" w:sz="0" w:space="0" w:color="auto"/>
        <w:bottom w:val="none" w:sz="0" w:space="0" w:color="auto"/>
        <w:right w:val="none" w:sz="0" w:space="0" w:color="auto"/>
      </w:divBdr>
    </w:div>
    <w:div w:id="1040931613">
      <w:bodyDiv w:val="1"/>
      <w:marLeft w:val="0"/>
      <w:marRight w:val="0"/>
      <w:marTop w:val="0"/>
      <w:marBottom w:val="0"/>
      <w:divBdr>
        <w:top w:val="none" w:sz="0" w:space="0" w:color="auto"/>
        <w:left w:val="none" w:sz="0" w:space="0" w:color="auto"/>
        <w:bottom w:val="none" w:sz="0" w:space="0" w:color="auto"/>
        <w:right w:val="none" w:sz="0" w:space="0" w:color="auto"/>
      </w:divBdr>
    </w:div>
    <w:div w:id="1040935221">
      <w:bodyDiv w:val="1"/>
      <w:marLeft w:val="0"/>
      <w:marRight w:val="0"/>
      <w:marTop w:val="0"/>
      <w:marBottom w:val="0"/>
      <w:divBdr>
        <w:top w:val="none" w:sz="0" w:space="0" w:color="auto"/>
        <w:left w:val="none" w:sz="0" w:space="0" w:color="auto"/>
        <w:bottom w:val="none" w:sz="0" w:space="0" w:color="auto"/>
        <w:right w:val="none" w:sz="0" w:space="0" w:color="auto"/>
      </w:divBdr>
    </w:div>
    <w:div w:id="1040935590">
      <w:bodyDiv w:val="1"/>
      <w:marLeft w:val="0"/>
      <w:marRight w:val="0"/>
      <w:marTop w:val="0"/>
      <w:marBottom w:val="0"/>
      <w:divBdr>
        <w:top w:val="none" w:sz="0" w:space="0" w:color="auto"/>
        <w:left w:val="none" w:sz="0" w:space="0" w:color="auto"/>
        <w:bottom w:val="none" w:sz="0" w:space="0" w:color="auto"/>
        <w:right w:val="none" w:sz="0" w:space="0" w:color="auto"/>
      </w:divBdr>
    </w:div>
    <w:div w:id="1040978657">
      <w:bodyDiv w:val="1"/>
      <w:marLeft w:val="0"/>
      <w:marRight w:val="0"/>
      <w:marTop w:val="0"/>
      <w:marBottom w:val="0"/>
      <w:divBdr>
        <w:top w:val="none" w:sz="0" w:space="0" w:color="auto"/>
        <w:left w:val="none" w:sz="0" w:space="0" w:color="auto"/>
        <w:bottom w:val="none" w:sz="0" w:space="0" w:color="auto"/>
        <w:right w:val="none" w:sz="0" w:space="0" w:color="auto"/>
      </w:divBdr>
    </w:div>
    <w:div w:id="1041053281">
      <w:bodyDiv w:val="1"/>
      <w:marLeft w:val="0"/>
      <w:marRight w:val="0"/>
      <w:marTop w:val="0"/>
      <w:marBottom w:val="0"/>
      <w:divBdr>
        <w:top w:val="none" w:sz="0" w:space="0" w:color="auto"/>
        <w:left w:val="none" w:sz="0" w:space="0" w:color="auto"/>
        <w:bottom w:val="none" w:sz="0" w:space="0" w:color="auto"/>
        <w:right w:val="none" w:sz="0" w:space="0" w:color="auto"/>
      </w:divBdr>
    </w:div>
    <w:div w:id="1041126637">
      <w:bodyDiv w:val="1"/>
      <w:marLeft w:val="0"/>
      <w:marRight w:val="0"/>
      <w:marTop w:val="0"/>
      <w:marBottom w:val="0"/>
      <w:divBdr>
        <w:top w:val="none" w:sz="0" w:space="0" w:color="auto"/>
        <w:left w:val="none" w:sz="0" w:space="0" w:color="auto"/>
        <w:bottom w:val="none" w:sz="0" w:space="0" w:color="auto"/>
        <w:right w:val="none" w:sz="0" w:space="0" w:color="auto"/>
      </w:divBdr>
    </w:div>
    <w:div w:id="1041444836">
      <w:bodyDiv w:val="1"/>
      <w:marLeft w:val="0"/>
      <w:marRight w:val="0"/>
      <w:marTop w:val="0"/>
      <w:marBottom w:val="0"/>
      <w:divBdr>
        <w:top w:val="none" w:sz="0" w:space="0" w:color="auto"/>
        <w:left w:val="none" w:sz="0" w:space="0" w:color="auto"/>
        <w:bottom w:val="none" w:sz="0" w:space="0" w:color="auto"/>
        <w:right w:val="none" w:sz="0" w:space="0" w:color="auto"/>
      </w:divBdr>
    </w:div>
    <w:div w:id="1041589116">
      <w:bodyDiv w:val="1"/>
      <w:marLeft w:val="0"/>
      <w:marRight w:val="0"/>
      <w:marTop w:val="0"/>
      <w:marBottom w:val="0"/>
      <w:divBdr>
        <w:top w:val="none" w:sz="0" w:space="0" w:color="auto"/>
        <w:left w:val="none" w:sz="0" w:space="0" w:color="auto"/>
        <w:bottom w:val="none" w:sz="0" w:space="0" w:color="auto"/>
        <w:right w:val="none" w:sz="0" w:space="0" w:color="auto"/>
      </w:divBdr>
    </w:div>
    <w:div w:id="1041636821">
      <w:bodyDiv w:val="1"/>
      <w:marLeft w:val="0"/>
      <w:marRight w:val="0"/>
      <w:marTop w:val="0"/>
      <w:marBottom w:val="0"/>
      <w:divBdr>
        <w:top w:val="none" w:sz="0" w:space="0" w:color="auto"/>
        <w:left w:val="none" w:sz="0" w:space="0" w:color="auto"/>
        <w:bottom w:val="none" w:sz="0" w:space="0" w:color="auto"/>
        <w:right w:val="none" w:sz="0" w:space="0" w:color="auto"/>
      </w:divBdr>
    </w:div>
    <w:div w:id="1041980495">
      <w:bodyDiv w:val="1"/>
      <w:marLeft w:val="0"/>
      <w:marRight w:val="0"/>
      <w:marTop w:val="0"/>
      <w:marBottom w:val="0"/>
      <w:divBdr>
        <w:top w:val="none" w:sz="0" w:space="0" w:color="auto"/>
        <w:left w:val="none" w:sz="0" w:space="0" w:color="auto"/>
        <w:bottom w:val="none" w:sz="0" w:space="0" w:color="auto"/>
        <w:right w:val="none" w:sz="0" w:space="0" w:color="auto"/>
      </w:divBdr>
    </w:div>
    <w:div w:id="1041982563">
      <w:bodyDiv w:val="1"/>
      <w:marLeft w:val="0"/>
      <w:marRight w:val="0"/>
      <w:marTop w:val="0"/>
      <w:marBottom w:val="0"/>
      <w:divBdr>
        <w:top w:val="none" w:sz="0" w:space="0" w:color="auto"/>
        <w:left w:val="none" w:sz="0" w:space="0" w:color="auto"/>
        <w:bottom w:val="none" w:sz="0" w:space="0" w:color="auto"/>
        <w:right w:val="none" w:sz="0" w:space="0" w:color="auto"/>
      </w:divBdr>
    </w:div>
    <w:div w:id="1042171097">
      <w:bodyDiv w:val="1"/>
      <w:marLeft w:val="0"/>
      <w:marRight w:val="0"/>
      <w:marTop w:val="0"/>
      <w:marBottom w:val="0"/>
      <w:divBdr>
        <w:top w:val="none" w:sz="0" w:space="0" w:color="auto"/>
        <w:left w:val="none" w:sz="0" w:space="0" w:color="auto"/>
        <w:bottom w:val="none" w:sz="0" w:space="0" w:color="auto"/>
        <w:right w:val="none" w:sz="0" w:space="0" w:color="auto"/>
      </w:divBdr>
    </w:div>
    <w:div w:id="1042173125">
      <w:bodyDiv w:val="1"/>
      <w:marLeft w:val="0"/>
      <w:marRight w:val="0"/>
      <w:marTop w:val="0"/>
      <w:marBottom w:val="0"/>
      <w:divBdr>
        <w:top w:val="none" w:sz="0" w:space="0" w:color="auto"/>
        <w:left w:val="none" w:sz="0" w:space="0" w:color="auto"/>
        <w:bottom w:val="none" w:sz="0" w:space="0" w:color="auto"/>
        <w:right w:val="none" w:sz="0" w:space="0" w:color="auto"/>
      </w:divBdr>
    </w:div>
    <w:div w:id="1042250545">
      <w:bodyDiv w:val="1"/>
      <w:marLeft w:val="0"/>
      <w:marRight w:val="0"/>
      <w:marTop w:val="0"/>
      <w:marBottom w:val="0"/>
      <w:divBdr>
        <w:top w:val="none" w:sz="0" w:space="0" w:color="auto"/>
        <w:left w:val="none" w:sz="0" w:space="0" w:color="auto"/>
        <w:bottom w:val="none" w:sz="0" w:space="0" w:color="auto"/>
        <w:right w:val="none" w:sz="0" w:space="0" w:color="auto"/>
      </w:divBdr>
    </w:div>
    <w:div w:id="1042364056">
      <w:bodyDiv w:val="1"/>
      <w:marLeft w:val="0"/>
      <w:marRight w:val="0"/>
      <w:marTop w:val="0"/>
      <w:marBottom w:val="0"/>
      <w:divBdr>
        <w:top w:val="none" w:sz="0" w:space="0" w:color="auto"/>
        <w:left w:val="none" w:sz="0" w:space="0" w:color="auto"/>
        <w:bottom w:val="none" w:sz="0" w:space="0" w:color="auto"/>
        <w:right w:val="none" w:sz="0" w:space="0" w:color="auto"/>
      </w:divBdr>
    </w:div>
    <w:div w:id="1042436532">
      <w:bodyDiv w:val="1"/>
      <w:marLeft w:val="0"/>
      <w:marRight w:val="0"/>
      <w:marTop w:val="0"/>
      <w:marBottom w:val="0"/>
      <w:divBdr>
        <w:top w:val="none" w:sz="0" w:space="0" w:color="auto"/>
        <w:left w:val="none" w:sz="0" w:space="0" w:color="auto"/>
        <w:bottom w:val="none" w:sz="0" w:space="0" w:color="auto"/>
        <w:right w:val="none" w:sz="0" w:space="0" w:color="auto"/>
      </w:divBdr>
    </w:div>
    <w:div w:id="1042483608">
      <w:bodyDiv w:val="1"/>
      <w:marLeft w:val="0"/>
      <w:marRight w:val="0"/>
      <w:marTop w:val="0"/>
      <w:marBottom w:val="0"/>
      <w:divBdr>
        <w:top w:val="none" w:sz="0" w:space="0" w:color="auto"/>
        <w:left w:val="none" w:sz="0" w:space="0" w:color="auto"/>
        <w:bottom w:val="none" w:sz="0" w:space="0" w:color="auto"/>
        <w:right w:val="none" w:sz="0" w:space="0" w:color="auto"/>
      </w:divBdr>
    </w:div>
    <w:div w:id="1042632812">
      <w:bodyDiv w:val="1"/>
      <w:marLeft w:val="0"/>
      <w:marRight w:val="0"/>
      <w:marTop w:val="0"/>
      <w:marBottom w:val="0"/>
      <w:divBdr>
        <w:top w:val="none" w:sz="0" w:space="0" w:color="auto"/>
        <w:left w:val="none" w:sz="0" w:space="0" w:color="auto"/>
        <w:bottom w:val="none" w:sz="0" w:space="0" w:color="auto"/>
        <w:right w:val="none" w:sz="0" w:space="0" w:color="auto"/>
      </w:divBdr>
    </w:div>
    <w:div w:id="1042635712">
      <w:bodyDiv w:val="1"/>
      <w:marLeft w:val="0"/>
      <w:marRight w:val="0"/>
      <w:marTop w:val="0"/>
      <w:marBottom w:val="0"/>
      <w:divBdr>
        <w:top w:val="none" w:sz="0" w:space="0" w:color="auto"/>
        <w:left w:val="none" w:sz="0" w:space="0" w:color="auto"/>
        <w:bottom w:val="none" w:sz="0" w:space="0" w:color="auto"/>
        <w:right w:val="none" w:sz="0" w:space="0" w:color="auto"/>
      </w:divBdr>
    </w:div>
    <w:div w:id="1042636990">
      <w:bodyDiv w:val="1"/>
      <w:marLeft w:val="0"/>
      <w:marRight w:val="0"/>
      <w:marTop w:val="0"/>
      <w:marBottom w:val="0"/>
      <w:divBdr>
        <w:top w:val="none" w:sz="0" w:space="0" w:color="auto"/>
        <w:left w:val="none" w:sz="0" w:space="0" w:color="auto"/>
        <w:bottom w:val="none" w:sz="0" w:space="0" w:color="auto"/>
        <w:right w:val="none" w:sz="0" w:space="0" w:color="auto"/>
      </w:divBdr>
    </w:div>
    <w:div w:id="1042823330">
      <w:bodyDiv w:val="1"/>
      <w:marLeft w:val="0"/>
      <w:marRight w:val="0"/>
      <w:marTop w:val="0"/>
      <w:marBottom w:val="0"/>
      <w:divBdr>
        <w:top w:val="none" w:sz="0" w:space="0" w:color="auto"/>
        <w:left w:val="none" w:sz="0" w:space="0" w:color="auto"/>
        <w:bottom w:val="none" w:sz="0" w:space="0" w:color="auto"/>
        <w:right w:val="none" w:sz="0" w:space="0" w:color="auto"/>
      </w:divBdr>
    </w:div>
    <w:div w:id="1042901022">
      <w:bodyDiv w:val="1"/>
      <w:marLeft w:val="0"/>
      <w:marRight w:val="0"/>
      <w:marTop w:val="0"/>
      <w:marBottom w:val="0"/>
      <w:divBdr>
        <w:top w:val="none" w:sz="0" w:space="0" w:color="auto"/>
        <w:left w:val="none" w:sz="0" w:space="0" w:color="auto"/>
        <w:bottom w:val="none" w:sz="0" w:space="0" w:color="auto"/>
        <w:right w:val="none" w:sz="0" w:space="0" w:color="auto"/>
      </w:divBdr>
    </w:div>
    <w:div w:id="1042947635">
      <w:bodyDiv w:val="1"/>
      <w:marLeft w:val="0"/>
      <w:marRight w:val="0"/>
      <w:marTop w:val="0"/>
      <w:marBottom w:val="0"/>
      <w:divBdr>
        <w:top w:val="none" w:sz="0" w:space="0" w:color="auto"/>
        <w:left w:val="none" w:sz="0" w:space="0" w:color="auto"/>
        <w:bottom w:val="none" w:sz="0" w:space="0" w:color="auto"/>
        <w:right w:val="none" w:sz="0" w:space="0" w:color="auto"/>
      </w:divBdr>
    </w:div>
    <w:div w:id="1042948236">
      <w:bodyDiv w:val="1"/>
      <w:marLeft w:val="0"/>
      <w:marRight w:val="0"/>
      <w:marTop w:val="0"/>
      <w:marBottom w:val="0"/>
      <w:divBdr>
        <w:top w:val="none" w:sz="0" w:space="0" w:color="auto"/>
        <w:left w:val="none" w:sz="0" w:space="0" w:color="auto"/>
        <w:bottom w:val="none" w:sz="0" w:space="0" w:color="auto"/>
        <w:right w:val="none" w:sz="0" w:space="0" w:color="auto"/>
      </w:divBdr>
    </w:div>
    <w:div w:id="1043094547">
      <w:bodyDiv w:val="1"/>
      <w:marLeft w:val="0"/>
      <w:marRight w:val="0"/>
      <w:marTop w:val="0"/>
      <w:marBottom w:val="0"/>
      <w:divBdr>
        <w:top w:val="none" w:sz="0" w:space="0" w:color="auto"/>
        <w:left w:val="none" w:sz="0" w:space="0" w:color="auto"/>
        <w:bottom w:val="none" w:sz="0" w:space="0" w:color="auto"/>
        <w:right w:val="none" w:sz="0" w:space="0" w:color="auto"/>
      </w:divBdr>
    </w:div>
    <w:div w:id="1043140052">
      <w:bodyDiv w:val="1"/>
      <w:marLeft w:val="0"/>
      <w:marRight w:val="0"/>
      <w:marTop w:val="0"/>
      <w:marBottom w:val="0"/>
      <w:divBdr>
        <w:top w:val="none" w:sz="0" w:space="0" w:color="auto"/>
        <w:left w:val="none" w:sz="0" w:space="0" w:color="auto"/>
        <w:bottom w:val="none" w:sz="0" w:space="0" w:color="auto"/>
        <w:right w:val="none" w:sz="0" w:space="0" w:color="auto"/>
      </w:divBdr>
    </w:div>
    <w:div w:id="1043141353">
      <w:bodyDiv w:val="1"/>
      <w:marLeft w:val="0"/>
      <w:marRight w:val="0"/>
      <w:marTop w:val="0"/>
      <w:marBottom w:val="0"/>
      <w:divBdr>
        <w:top w:val="none" w:sz="0" w:space="0" w:color="auto"/>
        <w:left w:val="none" w:sz="0" w:space="0" w:color="auto"/>
        <w:bottom w:val="none" w:sz="0" w:space="0" w:color="auto"/>
        <w:right w:val="none" w:sz="0" w:space="0" w:color="auto"/>
      </w:divBdr>
    </w:div>
    <w:div w:id="1043214753">
      <w:bodyDiv w:val="1"/>
      <w:marLeft w:val="0"/>
      <w:marRight w:val="0"/>
      <w:marTop w:val="0"/>
      <w:marBottom w:val="0"/>
      <w:divBdr>
        <w:top w:val="none" w:sz="0" w:space="0" w:color="auto"/>
        <w:left w:val="none" w:sz="0" w:space="0" w:color="auto"/>
        <w:bottom w:val="none" w:sz="0" w:space="0" w:color="auto"/>
        <w:right w:val="none" w:sz="0" w:space="0" w:color="auto"/>
      </w:divBdr>
    </w:div>
    <w:div w:id="1043285220">
      <w:bodyDiv w:val="1"/>
      <w:marLeft w:val="0"/>
      <w:marRight w:val="0"/>
      <w:marTop w:val="0"/>
      <w:marBottom w:val="0"/>
      <w:divBdr>
        <w:top w:val="none" w:sz="0" w:space="0" w:color="auto"/>
        <w:left w:val="none" w:sz="0" w:space="0" w:color="auto"/>
        <w:bottom w:val="none" w:sz="0" w:space="0" w:color="auto"/>
        <w:right w:val="none" w:sz="0" w:space="0" w:color="auto"/>
      </w:divBdr>
    </w:div>
    <w:div w:id="1043363265">
      <w:bodyDiv w:val="1"/>
      <w:marLeft w:val="0"/>
      <w:marRight w:val="0"/>
      <w:marTop w:val="0"/>
      <w:marBottom w:val="0"/>
      <w:divBdr>
        <w:top w:val="none" w:sz="0" w:space="0" w:color="auto"/>
        <w:left w:val="none" w:sz="0" w:space="0" w:color="auto"/>
        <w:bottom w:val="none" w:sz="0" w:space="0" w:color="auto"/>
        <w:right w:val="none" w:sz="0" w:space="0" w:color="auto"/>
      </w:divBdr>
    </w:div>
    <w:div w:id="1043405698">
      <w:bodyDiv w:val="1"/>
      <w:marLeft w:val="0"/>
      <w:marRight w:val="0"/>
      <w:marTop w:val="0"/>
      <w:marBottom w:val="0"/>
      <w:divBdr>
        <w:top w:val="none" w:sz="0" w:space="0" w:color="auto"/>
        <w:left w:val="none" w:sz="0" w:space="0" w:color="auto"/>
        <w:bottom w:val="none" w:sz="0" w:space="0" w:color="auto"/>
        <w:right w:val="none" w:sz="0" w:space="0" w:color="auto"/>
      </w:divBdr>
    </w:div>
    <w:div w:id="1043411034">
      <w:bodyDiv w:val="1"/>
      <w:marLeft w:val="0"/>
      <w:marRight w:val="0"/>
      <w:marTop w:val="0"/>
      <w:marBottom w:val="0"/>
      <w:divBdr>
        <w:top w:val="none" w:sz="0" w:space="0" w:color="auto"/>
        <w:left w:val="none" w:sz="0" w:space="0" w:color="auto"/>
        <w:bottom w:val="none" w:sz="0" w:space="0" w:color="auto"/>
        <w:right w:val="none" w:sz="0" w:space="0" w:color="auto"/>
      </w:divBdr>
    </w:div>
    <w:div w:id="1043557260">
      <w:bodyDiv w:val="1"/>
      <w:marLeft w:val="0"/>
      <w:marRight w:val="0"/>
      <w:marTop w:val="0"/>
      <w:marBottom w:val="0"/>
      <w:divBdr>
        <w:top w:val="none" w:sz="0" w:space="0" w:color="auto"/>
        <w:left w:val="none" w:sz="0" w:space="0" w:color="auto"/>
        <w:bottom w:val="none" w:sz="0" w:space="0" w:color="auto"/>
        <w:right w:val="none" w:sz="0" w:space="0" w:color="auto"/>
      </w:divBdr>
    </w:div>
    <w:div w:id="1043673216">
      <w:bodyDiv w:val="1"/>
      <w:marLeft w:val="0"/>
      <w:marRight w:val="0"/>
      <w:marTop w:val="0"/>
      <w:marBottom w:val="0"/>
      <w:divBdr>
        <w:top w:val="none" w:sz="0" w:space="0" w:color="auto"/>
        <w:left w:val="none" w:sz="0" w:space="0" w:color="auto"/>
        <w:bottom w:val="none" w:sz="0" w:space="0" w:color="auto"/>
        <w:right w:val="none" w:sz="0" w:space="0" w:color="auto"/>
      </w:divBdr>
    </w:div>
    <w:div w:id="1043674836">
      <w:bodyDiv w:val="1"/>
      <w:marLeft w:val="0"/>
      <w:marRight w:val="0"/>
      <w:marTop w:val="0"/>
      <w:marBottom w:val="0"/>
      <w:divBdr>
        <w:top w:val="none" w:sz="0" w:space="0" w:color="auto"/>
        <w:left w:val="none" w:sz="0" w:space="0" w:color="auto"/>
        <w:bottom w:val="none" w:sz="0" w:space="0" w:color="auto"/>
        <w:right w:val="none" w:sz="0" w:space="0" w:color="auto"/>
      </w:divBdr>
    </w:div>
    <w:div w:id="1043677753">
      <w:bodyDiv w:val="1"/>
      <w:marLeft w:val="0"/>
      <w:marRight w:val="0"/>
      <w:marTop w:val="0"/>
      <w:marBottom w:val="0"/>
      <w:divBdr>
        <w:top w:val="none" w:sz="0" w:space="0" w:color="auto"/>
        <w:left w:val="none" w:sz="0" w:space="0" w:color="auto"/>
        <w:bottom w:val="none" w:sz="0" w:space="0" w:color="auto"/>
        <w:right w:val="none" w:sz="0" w:space="0" w:color="auto"/>
      </w:divBdr>
    </w:div>
    <w:div w:id="1043872303">
      <w:bodyDiv w:val="1"/>
      <w:marLeft w:val="0"/>
      <w:marRight w:val="0"/>
      <w:marTop w:val="0"/>
      <w:marBottom w:val="0"/>
      <w:divBdr>
        <w:top w:val="none" w:sz="0" w:space="0" w:color="auto"/>
        <w:left w:val="none" w:sz="0" w:space="0" w:color="auto"/>
        <w:bottom w:val="none" w:sz="0" w:space="0" w:color="auto"/>
        <w:right w:val="none" w:sz="0" w:space="0" w:color="auto"/>
      </w:divBdr>
    </w:div>
    <w:div w:id="1043943655">
      <w:bodyDiv w:val="1"/>
      <w:marLeft w:val="0"/>
      <w:marRight w:val="0"/>
      <w:marTop w:val="0"/>
      <w:marBottom w:val="0"/>
      <w:divBdr>
        <w:top w:val="none" w:sz="0" w:space="0" w:color="auto"/>
        <w:left w:val="none" w:sz="0" w:space="0" w:color="auto"/>
        <w:bottom w:val="none" w:sz="0" w:space="0" w:color="auto"/>
        <w:right w:val="none" w:sz="0" w:space="0" w:color="auto"/>
      </w:divBdr>
    </w:div>
    <w:div w:id="1043944435">
      <w:bodyDiv w:val="1"/>
      <w:marLeft w:val="0"/>
      <w:marRight w:val="0"/>
      <w:marTop w:val="0"/>
      <w:marBottom w:val="0"/>
      <w:divBdr>
        <w:top w:val="none" w:sz="0" w:space="0" w:color="auto"/>
        <w:left w:val="none" w:sz="0" w:space="0" w:color="auto"/>
        <w:bottom w:val="none" w:sz="0" w:space="0" w:color="auto"/>
        <w:right w:val="none" w:sz="0" w:space="0" w:color="auto"/>
      </w:divBdr>
    </w:div>
    <w:div w:id="1044132909">
      <w:bodyDiv w:val="1"/>
      <w:marLeft w:val="0"/>
      <w:marRight w:val="0"/>
      <w:marTop w:val="0"/>
      <w:marBottom w:val="0"/>
      <w:divBdr>
        <w:top w:val="none" w:sz="0" w:space="0" w:color="auto"/>
        <w:left w:val="none" w:sz="0" w:space="0" w:color="auto"/>
        <w:bottom w:val="none" w:sz="0" w:space="0" w:color="auto"/>
        <w:right w:val="none" w:sz="0" w:space="0" w:color="auto"/>
      </w:divBdr>
    </w:div>
    <w:div w:id="1044210107">
      <w:bodyDiv w:val="1"/>
      <w:marLeft w:val="0"/>
      <w:marRight w:val="0"/>
      <w:marTop w:val="0"/>
      <w:marBottom w:val="0"/>
      <w:divBdr>
        <w:top w:val="none" w:sz="0" w:space="0" w:color="auto"/>
        <w:left w:val="none" w:sz="0" w:space="0" w:color="auto"/>
        <w:bottom w:val="none" w:sz="0" w:space="0" w:color="auto"/>
        <w:right w:val="none" w:sz="0" w:space="0" w:color="auto"/>
      </w:divBdr>
    </w:div>
    <w:div w:id="1044210404">
      <w:bodyDiv w:val="1"/>
      <w:marLeft w:val="0"/>
      <w:marRight w:val="0"/>
      <w:marTop w:val="0"/>
      <w:marBottom w:val="0"/>
      <w:divBdr>
        <w:top w:val="none" w:sz="0" w:space="0" w:color="auto"/>
        <w:left w:val="none" w:sz="0" w:space="0" w:color="auto"/>
        <w:bottom w:val="none" w:sz="0" w:space="0" w:color="auto"/>
        <w:right w:val="none" w:sz="0" w:space="0" w:color="auto"/>
      </w:divBdr>
    </w:div>
    <w:div w:id="1044252107">
      <w:bodyDiv w:val="1"/>
      <w:marLeft w:val="0"/>
      <w:marRight w:val="0"/>
      <w:marTop w:val="0"/>
      <w:marBottom w:val="0"/>
      <w:divBdr>
        <w:top w:val="none" w:sz="0" w:space="0" w:color="auto"/>
        <w:left w:val="none" w:sz="0" w:space="0" w:color="auto"/>
        <w:bottom w:val="none" w:sz="0" w:space="0" w:color="auto"/>
        <w:right w:val="none" w:sz="0" w:space="0" w:color="auto"/>
      </w:divBdr>
    </w:div>
    <w:div w:id="1044477163">
      <w:bodyDiv w:val="1"/>
      <w:marLeft w:val="0"/>
      <w:marRight w:val="0"/>
      <w:marTop w:val="0"/>
      <w:marBottom w:val="0"/>
      <w:divBdr>
        <w:top w:val="none" w:sz="0" w:space="0" w:color="auto"/>
        <w:left w:val="none" w:sz="0" w:space="0" w:color="auto"/>
        <w:bottom w:val="none" w:sz="0" w:space="0" w:color="auto"/>
        <w:right w:val="none" w:sz="0" w:space="0" w:color="auto"/>
      </w:divBdr>
    </w:div>
    <w:div w:id="1044598157">
      <w:bodyDiv w:val="1"/>
      <w:marLeft w:val="0"/>
      <w:marRight w:val="0"/>
      <w:marTop w:val="0"/>
      <w:marBottom w:val="0"/>
      <w:divBdr>
        <w:top w:val="none" w:sz="0" w:space="0" w:color="auto"/>
        <w:left w:val="none" w:sz="0" w:space="0" w:color="auto"/>
        <w:bottom w:val="none" w:sz="0" w:space="0" w:color="auto"/>
        <w:right w:val="none" w:sz="0" w:space="0" w:color="auto"/>
      </w:divBdr>
    </w:div>
    <w:div w:id="1044713888">
      <w:bodyDiv w:val="1"/>
      <w:marLeft w:val="0"/>
      <w:marRight w:val="0"/>
      <w:marTop w:val="0"/>
      <w:marBottom w:val="0"/>
      <w:divBdr>
        <w:top w:val="none" w:sz="0" w:space="0" w:color="auto"/>
        <w:left w:val="none" w:sz="0" w:space="0" w:color="auto"/>
        <w:bottom w:val="none" w:sz="0" w:space="0" w:color="auto"/>
        <w:right w:val="none" w:sz="0" w:space="0" w:color="auto"/>
      </w:divBdr>
    </w:div>
    <w:div w:id="1044715685">
      <w:bodyDiv w:val="1"/>
      <w:marLeft w:val="0"/>
      <w:marRight w:val="0"/>
      <w:marTop w:val="0"/>
      <w:marBottom w:val="0"/>
      <w:divBdr>
        <w:top w:val="none" w:sz="0" w:space="0" w:color="auto"/>
        <w:left w:val="none" w:sz="0" w:space="0" w:color="auto"/>
        <w:bottom w:val="none" w:sz="0" w:space="0" w:color="auto"/>
        <w:right w:val="none" w:sz="0" w:space="0" w:color="auto"/>
      </w:divBdr>
    </w:div>
    <w:div w:id="1044721267">
      <w:bodyDiv w:val="1"/>
      <w:marLeft w:val="0"/>
      <w:marRight w:val="0"/>
      <w:marTop w:val="0"/>
      <w:marBottom w:val="0"/>
      <w:divBdr>
        <w:top w:val="none" w:sz="0" w:space="0" w:color="auto"/>
        <w:left w:val="none" w:sz="0" w:space="0" w:color="auto"/>
        <w:bottom w:val="none" w:sz="0" w:space="0" w:color="auto"/>
        <w:right w:val="none" w:sz="0" w:space="0" w:color="auto"/>
      </w:divBdr>
    </w:div>
    <w:div w:id="1044794953">
      <w:bodyDiv w:val="1"/>
      <w:marLeft w:val="0"/>
      <w:marRight w:val="0"/>
      <w:marTop w:val="0"/>
      <w:marBottom w:val="0"/>
      <w:divBdr>
        <w:top w:val="none" w:sz="0" w:space="0" w:color="auto"/>
        <w:left w:val="none" w:sz="0" w:space="0" w:color="auto"/>
        <w:bottom w:val="none" w:sz="0" w:space="0" w:color="auto"/>
        <w:right w:val="none" w:sz="0" w:space="0" w:color="auto"/>
      </w:divBdr>
    </w:div>
    <w:div w:id="1044796487">
      <w:bodyDiv w:val="1"/>
      <w:marLeft w:val="0"/>
      <w:marRight w:val="0"/>
      <w:marTop w:val="0"/>
      <w:marBottom w:val="0"/>
      <w:divBdr>
        <w:top w:val="none" w:sz="0" w:space="0" w:color="auto"/>
        <w:left w:val="none" w:sz="0" w:space="0" w:color="auto"/>
        <w:bottom w:val="none" w:sz="0" w:space="0" w:color="auto"/>
        <w:right w:val="none" w:sz="0" w:space="0" w:color="auto"/>
      </w:divBdr>
    </w:div>
    <w:div w:id="1044862990">
      <w:bodyDiv w:val="1"/>
      <w:marLeft w:val="0"/>
      <w:marRight w:val="0"/>
      <w:marTop w:val="0"/>
      <w:marBottom w:val="0"/>
      <w:divBdr>
        <w:top w:val="none" w:sz="0" w:space="0" w:color="auto"/>
        <w:left w:val="none" w:sz="0" w:space="0" w:color="auto"/>
        <w:bottom w:val="none" w:sz="0" w:space="0" w:color="auto"/>
        <w:right w:val="none" w:sz="0" w:space="0" w:color="auto"/>
      </w:divBdr>
    </w:div>
    <w:div w:id="1044908030">
      <w:bodyDiv w:val="1"/>
      <w:marLeft w:val="0"/>
      <w:marRight w:val="0"/>
      <w:marTop w:val="0"/>
      <w:marBottom w:val="0"/>
      <w:divBdr>
        <w:top w:val="none" w:sz="0" w:space="0" w:color="auto"/>
        <w:left w:val="none" w:sz="0" w:space="0" w:color="auto"/>
        <w:bottom w:val="none" w:sz="0" w:space="0" w:color="auto"/>
        <w:right w:val="none" w:sz="0" w:space="0" w:color="auto"/>
      </w:divBdr>
    </w:div>
    <w:div w:id="1044910330">
      <w:bodyDiv w:val="1"/>
      <w:marLeft w:val="0"/>
      <w:marRight w:val="0"/>
      <w:marTop w:val="0"/>
      <w:marBottom w:val="0"/>
      <w:divBdr>
        <w:top w:val="none" w:sz="0" w:space="0" w:color="auto"/>
        <w:left w:val="none" w:sz="0" w:space="0" w:color="auto"/>
        <w:bottom w:val="none" w:sz="0" w:space="0" w:color="auto"/>
        <w:right w:val="none" w:sz="0" w:space="0" w:color="auto"/>
      </w:divBdr>
    </w:div>
    <w:div w:id="1044981189">
      <w:bodyDiv w:val="1"/>
      <w:marLeft w:val="0"/>
      <w:marRight w:val="0"/>
      <w:marTop w:val="0"/>
      <w:marBottom w:val="0"/>
      <w:divBdr>
        <w:top w:val="none" w:sz="0" w:space="0" w:color="auto"/>
        <w:left w:val="none" w:sz="0" w:space="0" w:color="auto"/>
        <w:bottom w:val="none" w:sz="0" w:space="0" w:color="auto"/>
        <w:right w:val="none" w:sz="0" w:space="0" w:color="auto"/>
      </w:divBdr>
    </w:div>
    <w:div w:id="1044990586">
      <w:bodyDiv w:val="1"/>
      <w:marLeft w:val="0"/>
      <w:marRight w:val="0"/>
      <w:marTop w:val="0"/>
      <w:marBottom w:val="0"/>
      <w:divBdr>
        <w:top w:val="none" w:sz="0" w:space="0" w:color="auto"/>
        <w:left w:val="none" w:sz="0" w:space="0" w:color="auto"/>
        <w:bottom w:val="none" w:sz="0" w:space="0" w:color="auto"/>
        <w:right w:val="none" w:sz="0" w:space="0" w:color="auto"/>
      </w:divBdr>
    </w:div>
    <w:div w:id="1045064849">
      <w:bodyDiv w:val="1"/>
      <w:marLeft w:val="0"/>
      <w:marRight w:val="0"/>
      <w:marTop w:val="0"/>
      <w:marBottom w:val="0"/>
      <w:divBdr>
        <w:top w:val="none" w:sz="0" w:space="0" w:color="auto"/>
        <w:left w:val="none" w:sz="0" w:space="0" w:color="auto"/>
        <w:bottom w:val="none" w:sz="0" w:space="0" w:color="auto"/>
        <w:right w:val="none" w:sz="0" w:space="0" w:color="auto"/>
      </w:divBdr>
    </w:div>
    <w:div w:id="1045175809">
      <w:bodyDiv w:val="1"/>
      <w:marLeft w:val="0"/>
      <w:marRight w:val="0"/>
      <w:marTop w:val="0"/>
      <w:marBottom w:val="0"/>
      <w:divBdr>
        <w:top w:val="none" w:sz="0" w:space="0" w:color="auto"/>
        <w:left w:val="none" w:sz="0" w:space="0" w:color="auto"/>
        <w:bottom w:val="none" w:sz="0" w:space="0" w:color="auto"/>
        <w:right w:val="none" w:sz="0" w:space="0" w:color="auto"/>
      </w:divBdr>
    </w:div>
    <w:div w:id="1045255354">
      <w:bodyDiv w:val="1"/>
      <w:marLeft w:val="0"/>
      <w:marRight w:val="0"/>
      <w:marTop w:val="0"/>
      <w:marBottom w:val="0"/>
      <w:divBdr>
        <w:top w:val="none" w:sz="0" w:space="0" w:color="auto"/>
        <w:left w:val="none" w:sz="0" w:space="0" w:color="auto"/>
        <w:bottom w:val="none" w:sz="0" w:space="0" w:color="auto"/>
        <w:right w:val="none" w:sz="0" w:space="0" w:color="auto"/>
      </w:divBdr>
    </w:div>
    <w:div w:id="1045301800">
      <w:bodyDiv w:val="1"/>
      <w:marLeft w:val="0"/>
      <w:marRight w:val="0"/>
      <w:marTop w:val="0"/>
      <w:marBottom w:val="0"/>
      <w:divBdr>
        <w:top w:val="none" w:sz="0" w:space="0" w:color="auto"/>
        <w:left w:val="none" w:sz="0" w:space="0" w:color="auto"/>
        <w:bottom w:val="none" w:sz="0" w:space="0" w:color="auto"/>
        <w:right w:val="none" w:sz="0" w:space="0" w:color="auto"/>
      </w:divBdr>
    </w:div>
    <w:div w:id="1045445712">
      <w:bodyDiv w:val="1"/>
      <w:marLeft w:val="0"/>
      <w:marRight w:val="0"/>
      <w:marTop w:val="0"/>
      <w:marBottom w:val="0"/>
      <w:divBdr>
        <w:top w:val="none" w:sz="0" w:space="0" w:color="auto"/>
        <w:left w:val="none" w:sz="0" w:space="0" w:color="auto"/>
        <w:bottom w:val="none" w:sz="0" w:space="0" w:color="auto"/>
        <w:right w:val="none" w:sz="0" w:space="0" w:color="auto"/>
      </w:divBdr>
    </w:div>
    <w:div w:id="1045523705">
      <w:bodyDiv w:val="1"/>
      <w:marLeft w:val="0"/>
      <w:marRight w:val="0"/>
      <w:marTop w:val="0"/>
      <w:marBottom w:val="0"/>
      <w:divBdr>
        <w:top w:val="none" w:sz="0" w:space="0" w:color="auto"/>
        <w:left w:val="none" w:sz="0" w:space="0" w:color="auto"/>
        <w:bottom w:val="none" w:sz="0" w:space="0" w:color="auto"/>
        <w:right w:val="none" w:sz="0" w:space="0" w:color="auto"/>
      </w:divBdr>
    </w:div>
    <w:div w:id="1045761735">
      <w:bodyDiv w:val="1"/>
      <w:marLeft w:val="0"/>
      <w:marRight w:val="0"/>
      <w:marTop w:val="0"/>
      <w:marBottom w:val="0"/>
      <w:divBdr>
        <w:top w:val="none" w:sz="0" w:space="0" w:color="auto"/>
        <w:left w:val="none" w:sz="0" w:space="0" w:color="auto"/>
        <w:bottom w:val="none" w:sz="0" w:space="0" w:color="auto"/>
        <w:right w:val="none" w:sz="0" w:space="0" w:color="auto"/>
      </w:divBdr>
    </w:div>
    <w:div w:id="1045908006">
      <w:bodyDiv w:val="1"/>
      <w:marLeft w:val="0"/>
      <w:marRight w:val="0"/>
      <w:marTop w:val="0"/>
      <w:marBottom w:val="0"/>
      <w:divBdr>
        <w:top w:val="none" w:sz="0" w:space="0" w:color="auto"/>
        <w:left w:val="none" w:sz="0" w:space="0" w:color="auto"/>
        <w:bottom w:val="none" w:sz="0" w:space="0" w:color="auto"/>
        <w:right w:val="none" w:sz="0" w:space="0" w:color="auto"/>
      </w:divBdr>
    </w:div>
    <w:div w:id="1045912221">
      <w:bodyDiv w:val="1"/>
      <w:marLeft w:val="0"/>
      <w:marRight w:val="0"/>
      <w:marTop w:val="0"/>
      <w:marBottom w:val="0"/>
      <w:divBdr>
        <w:top w:val="none" w:sz="0" w:space="0" w:color="auto"/>
        <w:left w:val="none" w:sz="0" w:space="0" w:color="auto"/>
        <w:bottom w:val="none" w:sz="0" w:space="0" w:color="auto"/>
        <w:right w:val="none" w:sz="0" w:space="0" w:color="auto"/>
      </w:divBdr>
    </w:div>
    <w:div w:id="1046028382">
      <w:bodyDiv w:val="1"/>
      <w:marLeft w:val="0"/>
      <w:marRight w:val="0"/>
      <w:marTop w:val="0"/>
      <w:marBottom w:val="0"/>
      <w:divBdr>
        <w:top w:val="none" w:sz="0" w:space="0" w:color="auto"/>
        <w:left w:val="none" w:sz="0" w:space="0" w:color="auto"/>
        <w:bottom w:val="none" w:sz="0" w:space="0" w:color="auto"/>
        <w:right w:val="none" w:sz="0" w:space="0" w:color="auto"/>
      </w:divBdr>
    </w:div>
    <w:div w:id="1046102843">
      <w:bodyDiv w:val="1"/>
      <w:marLeft w:val="0"/>
      <w:marRight w:val="0"/>
      <w:marTop w:val="0"/>
      <w:marBottom w:val="0"/>
      <w:divBdr>
        <w:top w:val="none" w:sz="0" w:space="0" w:color="auto"/>
        <w:left w:val="none" w:sz="0" w:space="0" w:color="auto"/>
        <w:bottom w:val="none" w:sz="0" w:space="0" w:color="auto"/>
        <w:right w:val="none" w:sz="0" w:space="0" w:color="auto"/>
      </w:divBdr>
    </w:div>
    <w:div w:id="1046300191">
      <w:bodyDiv w:val="1"/>
      <w:marLeft w:val="0"/>
      <w:marRight w:val="0"/>
      <w:marTop w:val="0"/>
      <w:marBottom w:val="0"/>
      <w:divBdr>
        <w:top w:val="none" w:sz="0" w:space="0" w:color="auto"/>
        <w:left w:val="none" w:sz="0" w:space="0" w:color="auto"/>
        <w:bottom w:val="none" w:sz="0" w:space="0" w:color="auto"/>
        <w:right w:val="none" w:sz="0" w:space="0" w:color="auto"/>
      </w:divBdr>
    </w:div>
    <w:div w:id="1046484839">
      <w:bodyDiv w:val="1"/>
      <w:marLeft w:val="0"/>
      <w:marRight w:val="0"/>
      <w:marTop w:val="0"/>
      <w:marBottom w:val="0"/>
      <w:divBdr>
        <w:top w:val="none" w:sz="0" w:space="0" w:color="auto"/>
        <w:left w:val="none" w:sz="0" w:space="0" w:color="auto"/>
        <w:bottom w:val="none" w:sz="0" w:space="0" w:color="auto"/>
        <w:right w:val="none" w:sz="0" w:space="0" w:color="auto"/>
      </w:divBdr>
    </w:div>
    <w:div w:id="1046486892">
      <w:bodyDiv w:val="1"/>
      <w:marLeft w:val="0"/>
      <w:marRight w:val="0"/>
      <w:marTop w:val="0"/>
      <w:marBottom w:val="0"/>
      <w:divBdr>
        <w:top w:val="none" w:sz="0" w:space="0" w:color="auto"/>
        <w:left w:val="none" w:sz="0" w:space="0" w:color="auto"/>
        <w:bottom w:val="none" w:sz="0" w:space="0" w:color="auto"/>
        <w:right w:val="none" w:sz="0" w:space="0" w:color="auto"/>
      </w:divBdr>
    </w:div>
    <w:div w:id="1046683790">
      <w:bodyDiv w:val="1"/>
      <w:marLeft w:val="0"/>
      <w:marRight w:val="0"/>
      <w:marTop w:val="0"/>
      <w:marBottom w:val="0"/>
      <w:divBdr>
        <w:top w:val="none" w:sz="0" w:space="0" w:color="auto"/>
        <w:left w:val="none" w:sz="0" w:space="0" w:color="auto"/>
        <w:bottom w:val="none" w:sz="0" w:space="0" w:color="auto"/>
        <w:right w:val="none" w:sz="0" w:space="0" w:color="auto"/>
      </w:divBdr>
    </w:div>
    <w:div w:id="1046754659">
      <w:bodyDiv w:val="1"/>
      <w:marLeft w:val="0"/>
      <w:marRight w:val="0"/>
      <w:marTop w:val="0"/>
      <w:marBottom w:val="0"/>
      <w:divBdr>
        <w:top w:val="none" w:sz="0" w:space="0" w:color="auto"/>
        <w:left w:val="none" w:sz="0" w:space="0" w:color="auto"/>
        <w:bottom w:val="none" w:sz="0" w:space="0" w:color="auto"/>
        <w:right w:val="none" w:sz="0" w:space="0" w:color="auto"/>
      </w:divBdr>
    </w:div>
    <w:div w:id="1046835940">
      <w:bodyDiv w:val="1"/>
      <w:marLeft w:val="0"/>
      <w:marRight w:val="0"/>
      <w:marTop w:val="0"/>
      <w:marBottom w:val="0"/>
      <w:divBdr>
        <w:top w:val="none" w:sz="0" w:space="0" w:color="auto"/>
        <w:left w:val="none" w:sz="0" w:space="0" w:color="auto"/>
        <w:bottom w:val="none" w:sz="0" w:space="0" w:color="auto"/>
        <w:right w:val="none" w:sz="0" w:space="0" w:color="auto"/>
      </w:divBdr>
    </w:div>
    <w:div w:id="1046875679">
      <w:bodyDiv w:val="1"/>
      <w:marLeft w:val="0"/>
      <w:marRight w:val="0"/>
      <w:marTop w:val="0"/>
      <w:marBottom w:val="0"/>
      <w:divBdr>
        <w:top w:val="none" w:sz="0" w:space="0" w:color="auto"/>
        <w:left w:val="none" w:sz="0" w:space="0" w:color="auto"/>
        <w:bottom w:val="none" w:sz="0" w:space="0" w:color="auto"/>
        <w:right w:val="none" w:sz="0" w:space="0" w:color="auto"/>
      </w:divBdr>
    </w:div>
    <w:div w:id="1046876043">
      <w:bodyDiv w:val="1"/>
      <w:marLeft w:val="0"/>
      <w:marRight w:val="0"/>
      <w:marTop w:val="0"/>
      <w:marBottom w:val="0"/>
      <w:divBdr>
        <w:top w:val="none" w:sz="0" w:space="0" w:color="auto"/>
        <w:left w:val="none" w:sz="0" w:space="0" w:color="auto"/>
        <w:bottom w:val="none" w:sz="0" w:space="0" w:color="auto"/>
        <w:right w:val="none" w:sz="0" w:space="0" w:color="auto"/>
      </w:divBdr>
    </w:div>
    <w:div w:id="1046948486">
      <w:bodyDiv w:val="1"/>
      <w:marLeft w:val="0"/>
      <w:marRight w:val="0"/>
      <w:marTop w:val="0"/>
      <w:marBottom w:val="0"/>
      <w:divBdr>
        <w:top w:val="none" w:sz="0" w:space="0" w:color="auto"/>
        <w:left w:val="none" w:sz="0" w:space="0" w:color="auto"/>
        <w:bottom w:val="none" w:sz="0" w:space="0" w:color="auto"/>
        <w:right w:val="none" w:sz="0" w:space="0" w:color="auto"/>
      </w:divBdr>
    </w:div>
    <w:div w:id="1047026572">
      <w:bodyDiv w:val="1"/>
      <w:marLeft w:val="0"/>
      <w:marRight w:val="0"/>
      <w:marTop w:val="0"/>
      <w:marBottom w:val="0"/>
      <w:divBdr>
        <w:top w:val="none" w:sz="0" w:space="0" w:color="auto"/>
        <w:left w:val="none" w:sz="0" w:space="0" w:color="auto"/>
        <w:bottom w:val="none" w:sz="0" w:space="0" w:color="auto"/>
        <w:right w:val="none" w:sz="0" w:space="0" w:color="auto"/>
      </w:divBdr>
    </w:div>
    <w:div w:id="1047292330">
      <w:bodyDiv w:val="1"/>
      <w:marLeft w:val="0"/>
      <w:marRight w:val="0"/>
      <w:marTop w:val="0"/>
      <w:marBottom w:val="0"/>
      <w:divBdr>
        <w:top w:val="none" w:sz="0" w:space="0" w:color="auto"/>
        <w:left w:val="none" w:sz="0" w:space="0" w:color="auto"/>
        <w:bottom w:val="none" w:sz="0" w:space="0" w:color="auto"/>
        <w:right w:val="none" w:sz="0" w:space="0" w:color="auto"/>
      </w:divBdr>
    </w:div>
    <w:div w:id="1047292400">
      <w:bodyDiv w:val="1"/>
      <w:marLeft w:val="0"/>
      <w:marRight w:val="0"/>
      <w:marTop w:val="0"/>
      <w:marBottom w:val="0"/>
      <w:divBdr>
        <w:top w:val="none" w:sz="0" w:space="0" w:color="auto"/>
        <w:left w:val="none" w:sz="0" w:space="0" w:color="auto"/>
        <w:bottom w:val="none" w:sz="0" w:space="0" w:color="auto"/>
        <w:right w:val="none" w:sz="0" w:space="0" w:color="auto"/>
      </w:divBdr>
    </w:div>
    <w:div w:id="1047409187">
      <w:bodyDiv w:val="1"/>
      <w:marLeft w:val="0"/>
      <w:marRight w:val="0"/>
      <w:marTop w:val="0"/>
      <w:marBottom w:val="0"/>
      <w:divBdr>
        <w:top w:val="none" w:sz="0" w:space="0" w:color="auto"/>
        <w:left w:val="none" w:sz="0" w:space="0" w:color="auto"/>
        <w:bottom w:val="none" w:sz="0" w:space="0" w:color="auto"/>
        <w:right w:val="none" w:sz="0" w:space="0" w:color="auto"/>
      </w:divBdr>
    </w:div>
    <w:div w:id="1047409764">
      <w:bodyDiv w:val="1"/>
      <w:marLeft w:val="0"/>
      <w:marRight w:val="0"/>
      <w:marTop w:val="0"/>
      <w:marBottom w:val="0"/>
      <w:divBdr>
        <w:top w:val="none" w:sz="0" w:space="0" w:color="auto"/>
        <w:left w:val="none" w:sz="0" w:space="0" w:color="auto"/>
        <w:bottom w:val="none" w:sz="0" w:space="0" w:color="auto"/>
        <w:right w:val="none" w:sz="0" w:space="0" w:color="auto"/>
      </w:divBdr>
    </w:div>
    <w:div w:id="1047533371">
      <w:bodyDiv w:val="1"/>
      <w:marLeft w:val="0"/>
      <w:marRight w:val="0"/>
      <w:marTop w:val="0"/>
      <w:marBottom w:val="0"/>
      <w:divBdr>
        <w:top w:val="none" w:sz="0" w:space="0" w:color="auto"/>
        <w:left w:val="none" w:sz="0" w:space="0" w:color="auto"/>
        <w:bottom w:val="none" w:sz="0" w:space="0" w:color="auto"/>
        <w:right w:val="none" w:sz="0" w:space="0" w:color="auto"/>
      </w:divBdr>
    </w:div>
    <w:div w:id="1047678102">
      <w:bodyDiv w:val="1"/>
      <w:marLeft w:val="0"/>
      <w:marRight w:val="0"/>
      <w:marTop w:val="0"/>
      <w:marBottom w:val="0"/>
      <w:divBdr>
        <w:top w:val="none" w:sz="0" w:space="0" w:color="auto"/>
        <w:left w:val="none" w:sz="0" w:space="0" w:color="auto"/>
        <w:bottom w:val="none" w:sz="0" w:space="0" w:color="auto"/>
        <w:right w:val="none" w:sz="0" w:space="0" w:color="auto"/>
      </w:divBdr>
    </w:div>
    <w:div w:id="1047798064">
      <w:bodyDiv w:val="1"/>
      <w:marLeft w:val="0"/>
      <w:marRight w:val="0"/>
      <w:marTop w:val="0"/>
      <w:marBottom w:val="0"/>
      <w:divBdr>
        <w:top w:val="none" w:sz="0" w:space="0" w:color="auto"/>
        <w:left w:val="none" w:sz="0" w:space="0" w:color="auto"/>
        <w:bottom w:val="none" w:sz="0" w:space="0" w:color="auto"/>
        <w:right w:val="none" w:sz="0" w:space="0" w:color="auto"/>
      </w:divBdr>
    </w:div>
    <w:div w:id="1047804114">
      <w:bodyDiv w:val="1"/>
      <w:marLeft w:val="0"/>
      <w:marRight w:val="0"/>
      <w:marTop w:val="0"/>
      <w:marBottom w:val="0"/>
      <w:divBdr>
        <w:top w:val="none" w:sz="0" w:space="0" w:color="auto"/>
        <w:left w:val="none" w:sz="0" w:space="0" w:color="auto"/>
        <w:bottom w:val="none" w:sz="0" w:space="0" w:color="auto"/>
        <w:right w:val="none" w:sz="0" w:space="0" w:color="auto"/>
      </w:divBdr>
    </w:div>
    <w:div w:id="1047947283">
      <w:bodyDiv w:val="1"/>
      <w:marLeft w:val="0"/>
      <w:marRight w:val="0"/>
      <w:marTop w:val="0"/>
      <w:marBottom w:val="0"/>
      <w:divBdr>
        <w:top w:val="none" w:sz="0" w:space="0" w:color="auto"/>
        <w:left w:val="none" w:sz="0" w:space="0" w:color="auto"/>
        <w:bottom w:val="none" w:sz="0" w:space="0" w:color="auto"/>
        <w:right w:val="none" w:sz="0" w:space="0" w:color="auto"/>
      </w:divBdr>
    </w:div>
    <w:div w:id="1048066930">
      <w:bodyDiv w:val="1"/>
      <w:marLeft w:val="0"/>
      <w:marRight w:val="0"/>
      <w:marTop w:val="0"/>
      <w:marBottom w:val="0"/>
      <w:divBdr>
        <w:top w:val="none" w:sz="0" w:space="0" w:color="auto"/>
        <w:left w:val="none" w:sz="0" w:space="0" w:color="auto"/>
        <w:bottom w:val="none" w:sz="0" w:space="0" w:color="auto"/>
        <w:right w:val="none" w:sz="0" w:space="0" w:color="auto"/>
      </w:divBdr>
    </w:div>
    <w:div w:id="1048452695">
      <w:bodyDiv w:val="1"/>
      <w:marLeft w:val="0"/>
      <w:marRight w:val="0"/>
      <w:marTop w:val="0"/>
      <w:marBottom w:val="0"/>
      <w:divBdr>
        <w:top w:val="none" w:sz="0" w:space="0" w:color="auto"/>
        <w:left w:val="none" w:sz="0" w:space="0" w:color="auto"/>
        <w:bottom w:val="none" w:sz="0" w:space="0" w:color="auto"/>
        <w:right w:val="none" w:sz="0" w:space="0" w:color="auto"/>
      </w:divBdr>
    </w:div>
    <w:div w:id="1048648293">
      <w:bodyDiv w:val="1"/>
      <w:marLeft w:val="0"/>
      <w:marRight w:val="0"/>
      <w:marTop w:val="0"/>
      <w:marBottom w:val="0"/>
      <w:divBdr>
        <w:top w:val="none" w:sz="0" w:space="0" w:color="auto"/>
        <w:left w:val="none" w:sz="0" w:space="0" w:color="auto"/>
        <w:bottom w:val="none" w:sz="0" w:space="0" w:color="auto"/>
        <w:right w:val="none" w:sz="0" w:space="0" w:color="auto"/>
      </w:divBdr>
    </w:div>
    <w:div w:id="1048723917">
      <w:bodyDiv w:val="1"/>
      <w:marLeft w:val="0"/>
      <w:marRight w:val="0"/>
      <w:marTop w:val="0"/>
      <w:marBottom w:val="0"/>
      <w:divBdr>
        <w:top w:val="none" w:sz="0" w:space="0" w:color="auto"/>
        <w:left w:val="none" w:sz="0" w:space="0" w:color="auto"/>
        <w:bottom w:val="none" w:sz="0" w:space="0" w:color="auto"/>
        <w:right w:val="none" w:sz="0" w:space="0" w:color="auto"/>
      </w:divBdr>
    </w:div>
    <w:div w:id="1048995476">
      <w:bodyDiv w:val="1"/>
      <w:marLeft w:val="0"/>
      <w:marRight w:val="0"/>
      <w:marTop w:val="0"/>
      <w:marBottom w:val="0"/>
      <w:divBdr>
        <w:top w:val="none" w:sz="0" w:space="0" w:color="auto"/>
        <w:left w:val="none" w:sz="0" w:space="0" w:color="auto"/>
        <w:bottom w:val="none" w:sz="0" w:space="0" w:color="auto"/>
        <w:right w:val="none" w:sz="0" w:space="0" w:color="auto"/>
      </w:divBdr>
    </w:div>
    <w:div w:id="1049182880">
      <w:bodyDiv w:val="1"/>
      <w:marLeft w:val="0"/>
      <w:marRight w:val="0"/>
      <w:marTop w:val="0"/>
      <w:marBottom w:val="0"/>
      <w:divBdr>
        <w:top w:val="none" w:sz="0" w:space="0" w:color="auto"/>
        <w:left w:val="none" w:sz="0" w:space="0" w:color="auto"/>
        <w:bottom w:val="none" w:sz="0" w:space="0" w:color="auto"/>
        <w:right w:val="none" w:sz="0" w:space="0" w:color="auto"/>
      </w:divBdr>
    </w:div>
    <w:div w:id="1049189129">
      <w:bodyDiv w:val="1"/>
      <w:marLeft w:val="0"/>
      <w:marRight w:val="0"/>
      <w:marTop w:val="0"/>
      <w:marBottom w:val="0"/>
      <w:divBdr>
        <w:top w:val="none" w:sz="0" w:space="0" w:color="auto"/>
        <w:left w:val="none" w:sz="0" w:space="0" w:color="auto"/>
        <w:bottom w:val="none" w:sz="0" w:space="0" w:color="auto"/>
        <w:right w:val="none" w:sz="0" w:space="0" w:color="auto"/>
      </w:divBdr>
    </w:div>
    <w:div w:id="1049377839">
      <w:bodyDiv w:val="1"/>
      <w:marLeft w:val="0"/>
      <w:marRight w:val="0"/>
      <w:marTop w:val="0"/>
      <w:marBottom w:val="0"/>
      <w:divBdr>
        <w:top w:val="none" w:sz="0" w:space="0" w:color="auto"/>
        <w:left w:val="none" w:sz="0" w:space="0" w:color="auto"/>
        <w:bottom w:val="none" w:sz="0" w:space="0" w:color="auto"/>
        <w:right w:val="none" w:sz="0" w:space="0" w:color="auto"/>
      </w:divBdr>
    </w:div>
    <w:div w:id="1049379396">
      <w:bodyDiv w:val="1"/>
      <w:marLeft w:val="0"/>
      <w:marRight w:val="0"/>
      <w:marTop w:val="0"/>
      <w:marBottom w:val="0"/>
      <w:divBdr>
        <w:top w:val="none" w:sz="0" w:space="0" w:color="auto"/>
        <w:left w:val="none" w:sz="0" w:space="0" w:color="auto"/>
        <w:bottom w:val="none" w:sz="0" w:space="0" w:color="auto"/>
        <w:right w:val="none" w:sz="0" w:space="0" w:color="auto"/>
      </w:divBdr>
    </w:div>
    <w:div w:id="1049567687">
      <w:bodyDiv w:val="1"/>
      <w:marLeft w:val="0"/>
      <w:marRight w:val="0"/>
      <w:marTop w:val="0"/>
      <w:marBottom w:val="0"/>
      <w:divBdr>
        <w:top w:val="none" w:sz="0" w:space="0" w:color="auto"/>
        <w:left w:val="none" w:sz="0" w:space="0" w:color="auto"/>
        <w:bottom w:val="none" w:sz="0" w:space="0" w:color="auto"/>
        <w:right w:val="none" w:sz="0" w:space="0" w:color="auto"/>
      </w:divBdr>
    </w:div>
    <w:div w:id="1049576262">
      <w:bodyDiv w:val="1"/>
      <w:marLeft w:val="0"/>
      <w:marRight w:val="0"/>
      <w:marTop w:val="0"/>
      <w:marBottom w:val="0"/>
      <w:divBdr>
        <w:top w:val="none" w:sz="0" w:space="0" w:color="auto"/>
        <w:left w:val="none" w:sz="0" w:space="0" w:color="auto"/>
        <w:bottom w:val="none" w:sz="0" w:space="0" w:color="auto"/>
        <w:right w:val="none" w:sz="0" w:space="0" w:color="auto"/>
      </w:divBdr>
    </w:div>
    <w:div w:id="1049650884">
      <w:bodyDiv w:val="1"/>
      <w:marLeft w:val="0"/>
      <w:marRight w:val="0"/>
      <w:marTop w:val="0"/>
      <w:marBottom w:val="0"/>
      <w:divBdr>
        <w:top w:val="none" w:sz="0" w:space="0" w:color="auto"/>
        <w:left w:val="none" w:sz="0" w:space="0" w:color="auto"/>
        <w:bottom w:val="none" w:sz="0" w:space="0" w:color="auto"/>
        <w:right w:val="none" w:sz="0" w:space="0" w:color="auto"/>
      </w:divBdr>
    </w:div>
    <w:div w:id="1049722008">
      <w:bodyDiv w:val="1"/>
      <w:marLeft w:val="0"/>
      <w:marRight w:val="0"/>
      <w:marTop w:val="0"/>
      <w:marBottom w:val="0"/>
      <w:divBdr>
        <w:top w:val="none" w:sz="0" w:space="0" w:color="auto"/>
        <w:left w:val="none" w:sz="0" w:space="0" w:color="auto"/>
        <w:bottom w:val="none" w:sz="0" w:space="0" w:color="auto"/>
        <w:right w:val="none" w:sz="0" w:space="0" w:color="auto"/>
      </w:divBdr>
    </w:div>
    <w:div w:id="1049769673">
      <w:bodyDiv w:val="1"/>
      <w:marLeft w:val="0"/>
      <w:marRight w:val="0"/>
      <w:marTop w:val="0"/>
      <w:marBottom w:val="0"/>
      <w:divBdr>
        <w:top w:val="none" w:sz="0" w:space="0" w:color="auto"/>
        <w:left w:val="none" w:sz="0" w:space="0" w:color="auto"/>
        <w:bottom w:val="none" w:sz="0" w:space="0" w:color="auto"/>
        <w:right w:val="none" w:sz="0" w:space="0" w:color="auto"/>
      </w:divBdr>
    </w:div>
    <w:div w:id="1050034983">
      <w:bodyDiv w:val="1"/>
      <w:marLeft w:val="0"/>
      <w:marRight w:val="0"/>
      <w:marTop w:val="0"/>
      <w:marBottom w:val="0"/>
      <w:divBdr>
        <w:top w:val="none" w:sz="0" w:space="0" w:color="auto"/>
        <w:left w:val="none" w:sz="0" w:space="0" w:color="auto"/>
        <w:bottom w:val="none" w:sz="0" w:space="0" w:color="auto"/>
        <w:right w:val="none" w:sz="0" w:space="0" w:color="auto"/>
      </w:divBdr>
    </w:div>
    <w:div w:id="1050105361">
      <w:bodyDiv w:val="1"/>
      <w:marLeft w:val="0"/>
      <w:marRight w:val="0"/>
      <w:marTop w:val="0"/>
      <w:marBottom w:val="0"/>
      <w:divBdr>
        <w:top w:val="none" w:sz="0" w:space="0" w:color="auto"/>
        <w:left w:val="none" w:sz="0" w:space="0" w:color="auto"/>
        <w:bottom w:val="none" w:sz="0" w:space="0" w:color="auto"/>
        <w:right w:val="none" w:sz="0" w:space="0" w:color="auto"/>
      </w:divBdr>
    </w:div>
    <w:div w:id="1050153301">
      <w:bodyDiv w:val="1"/>
      <w:marLeft w:val="0"/>
      <w:marRight w:val="0"/>
      <w:marTop w:val="0"/>
      <w:marBottom w:val="0"/>
      <w:divBdr>
        <w:top w:val="none" w:sz="0" w:space="0" w:color="auto"/>
        <w:left w:val="none" w:sz="0" w:space="0" w:color="auto"/>
        <w:bottom w:val="none" w:sz="0" w:space="0" w:color="auto"/>
        <w:right w:val="none" w:sz="0" w:space="0" w:color="auto"/>
      </w:divBdr>
    </w:div>
    <w:div w:id="1050228381">
      <w:bodyDiv w:val="1"/>
      <w:marLeft w:val="0"/>
      <w:marRight w:val="0"/>
      <w:marTop w:val="0"/>
      <w:marBottom w:val="0"/>
      <w:divBdr>
        <w:top w:val="none" w:sz="0" w:space="0" w:color="auto"/>
        <w:left w:val="none" w:sz="0" w:space="0" w:color="auto"/>
        <w:bottom w:val="none" w:sz="0" w:space="0" w:color="auto"/>
        <w:right w:val="none" w:sz="0" w:space="0" w:color="auto"/>
      </w:divBdr>
    </w:div>
    <w:div w:id="1050230411">
      <w:bodyDiv w:val="1"/>
      <w:marLeft w:val="0"/>
      <w:marRight w:val="0"/>
      <w:marTop w:val="0"/>
      <w:marBottom w:val="0"/>
      <w:divBdr>
        <w:top w:val="none" w:sz="0" w:space="0" w:color="auto"/>
        <w:left w:val="none" w:sz="0" w:space="0" w:color="auto"/>
        <w:bottom w:val="none" w:sz="0" w:space="0" w:color="auto"/>
        <w:right w:val="none" w:sz="0" w:space="0" w:color="auto"/>
      </w:divBdr>
    </w:div>
    <w:div w:id="1050231108">
      <w:bodyDiv w:val="1"/>
      <w:marLeft w:val="0"/>
      <w:marRight w:val="0"/>
      <w:marTop w:val="0"/>
      <w:marBottom w:val="0"/>
      <w:divBdr>
        <w:top w:val="none" w:sz="0" w:space="0" w:color="auto"/>
        <w:left w:val="none" w:sz="0" w:space="0" w:color="auto"/>
        <w:bottom w:val="none" w:sz="0" w:space="0" w:color="auto"/>
        <w:right w:val="none" w:sz="0" w:space="0" w:color="auto"/>
      </w:divBdr>
    </w:div>
    <w:div w:id="1050304204">
      <w:bodyDiv w:val="1"/>
      <w:marLeft w:val="0"/>
      <w:marRight w:val="0"/>
      <w:marTop w:val="0"/>
      <w:marBottom w:val="0"/>
      <w:divBdr>
        <w:top w:val="none" w:sz="0" w:space="0" w:color="auto"/>
        <w:left w:val="none" w:sz="0" w:space="0" w:color="auto"/>
        <w:bottom w:val="none" w:sz="0" w:space="0" w:color="auto"/>
        <w:right w:val="none" w:sz="0" w:space="0" w:color="auto"/>
      </w:divBdr>
    </w:div>
    <w:div w:id="1050500850">
      <w:bodyDiv w:val="1"/>
      <w:marLeft w:val="0"/>
      <w:marRight w:val="0"/>
      <w:marTop w:val="0"/>
      <w:marBottom w:val="0"/>
      <w:divBdr>
        <w:top w:val="none" w:sz="0" w:space="0" w:color="auto"/>
        <w:left w:val="none" w:sz="0" w:space="0" w:color="auto"/>
        <w:bottom w:val="none" w:sz="0" w:space="0" w:color="auto"/>
        <w:right w:val="none" w:sz="0" w:space="0" w:color="auto"/>
      </w:divBdr>
    </w:div>
    <w:div w:id="1050610414">
      <w:bodyDiv w:val="1"/>
      <w:marLeft w:val="0"/>
      <w:marRight w:val="0"/>
      <w:marTop w:val="0"/>
      <w:marBottom w:val="0"/>
      <w:divBdr>
        <w:top w:val="none" w:sz="0" w:space="0" w:color="auto"/>
        <w:left w:val="none" w:sz="0" w:space="0" w:color="auto"/>
        <w:bottom w:val="none" w:sz="0" w:space="0" w:color="auto"/>
        <w:right w:val="none" w:sz="0" w:space="0" w:color="auto"/>
      </w:divBdr>
    </w:div>
    <w:div w:id="1050687406">
      <w:bodyDiv w:val="1"/>
      <w:marLeft w:val="0"/>
      <w:marRight w:val="0"/>
      <w:marTop w:val="0"/>
      <w:marBottom w:val="0"/>
      <w:divBdr>
        <w:top w:val="none" w:sz="0" w:space="0" w:color="auto"/>
        <w:left w:val="none" w:sz="0" w:space="0" w:color="auto"/>
        <w:bottom w:val="none" w:sz="0" w:space="0" w:color="auto"/>
        <w:right w:val="none" w:sz="0" w:space="0" w:color="auto"/>
      </w:divBdr>
    </w:div>
    <w:div w:id="1050690314">
      <w:bodyDiv w:val="1"/>
      <w:marLeft w:val="0"/>
      <w:marRight w:val="0"/>
      <w:marTop w:val="0"/>
      <w:marBottom w:val="0"/>
      <w:divBdr>
        <w:top w:val="none" w:sz="0" w:space="0" w:color="auto"/>
        <w:left w:val="none" w:sz="0" w:space="0" w:color="auto"/>
        <w:bottom w:val="none" w:sz="0" w:space="0" w:color="auto"/>
        <w:right w:val="none" w:sz="0" w:space="0" w:color="auto"/>
      </w:divBdr>
    </w:div>
    <w:div w:id="1050878551">
      <w:bodyDiv w:val="1"/>
      <w:marLeft w:val="0"/>
      <w:marRight w:val="0"/>
      <w:marTop w:val="0"/>
      <w:marBottom w:val="0"/>
      <w:divBdr>
        <w:top w:val="none" w:sz="0" w:space="0" w:color="auto"/>
        <w:left w:val="none" w:sz="0" w:space="0" w:color="auto"/>
        <w:bottom w:val="none" w:sz="0" w:space="0" w:color="auto"/>
        <w:right w:val="none" w:sz="0" w:space="0" w:color="auto"/>
      </w:divBdr>
    </w:div>
    <w:div w:id="1050886444">
      <w:bodyDiv w:val="1"/>
      <w:marLeft w:val="0"/>
      <w:marRight w:val="0"/>
      <w:marTop w:val="0"/>
      <w:marBottom w:val="0"/>
      <w:divBdr>
        <w:top w:val="none" w:sz="0" w:space="0" w:color="auto"/>
        <w:left w:val="none" w:sz="0" w:space="0" w:color="auto"/>
        <w:bottom w:val="none" w:sz="0" w:space="0" w:color="auto"/>
        <w:right w:val="none" w:sz="0" w:space="0" w:color="auto"/>
      </w:divBdr>
    </w:div>
    <w:div w:id="1050953889">
      <w:bodyDiv w:val="1"/>
      <w:marLeft w:val="0"/>
      <w:marRight w:val="0"/>
      <w:marTop w:val="0"/>
      <w:marBottom w:val="0"/>
      <w:divBdr>
        <w:top w:val="none" w:sz="0" w:space="0" w:color="auto"/>
        <w:left w:val="none" w:sz="0" w:space="0" w:color="auto"/>
        <w:bottom w:val="none" w:sz="0" w:space="0" w:color="auto"/>
        <w:right w:val="none" w:sz="0" w:space="0" w:color="auto"/>
      </w:divBdr>
    </w:div>
    <w:div w:id="1050954410">
      <w:bodyDiv w:val="1"/>
      <w:marLeft w:val="0"/>
      <w:marRight w:val="0"/>
      <w:marTop w:val="0"/>
      <w:marBottom w:val="0"/>
      <w:divBdr>
        <w:top w:val="none" w:sz="0" w:space="0" w:color="auto"/>
        <w:left w:val="none" w:sz="0" w:space="0" w:color="auto"/>
        <w:bottom w:val="none" w:sz="0" w:space="0" w:color="auto"/>
        <w:right w:val="none" w:sz="0" w:space="0" w:color="auto"/>
      </w:divBdr>
    </w:div>
    <w:div w:id="1051146885">
      <w:bodyDiv w:val="1"/>
      <w:marLeft w:val="0"/>
      <w:marRight w:val="0"/>
      <w:marTop w:val="0"/>
      <w:marBottom w:val="0"/>
      <w:divBdr>
        <w:top w:val="none" w:sz="0" w:space="0" w:color="auto"/>
        <w:left w:val="none" w:sz="0" w:space="0" w:color="auto"/>
        <w:bottom w:val="none" w:sz="0" w:space="0" w:color="auto"/>
        <w:right w:val="none" w:sz="0" w:space="0" w:color="auto"/>
      </w:divBdr>
    </w:div>
    <w:div w:id="1051416269">
      <w:bodyDiv w:val="1"/>
      <w:marLeft w:val="0"/>
      <w:marRight w:val="0"/>
      <w:marTop w:val="0"/>
      <w:marBottom w:val="0"/>
      <w:divBdr>
        <w:top w:val="none" w:sz="0" w:space="0" w:color="auto"/>
        <w:left w:val="none" w:sz="0" w:space="0" w:color="auto"/>
        <w:bottom w:val="none" w:sz="0" w:space="0" w:color="auto"/>
        <w:right w:val="none" w:sz="0" w:space="0" w:color="auto"/>
      </w:divBdr>
    </w:div>
    <w:div w:id="1051417355">
      <w:bodyDiv w:val="1"/>
      <w:marLeft w:val="0"/>
      <w:marRight w:val="0"/>
      <w:marTop w:val="0"/>
      <w:marBottom w:val="0"/>
      <w:divBdr>
        <w:top w:val="none" w:sz="0" w:space="0" w:color="auto"/>
        <w:left w:val="none" w:sz="0" w:space="0" w:color="auto"/>
        <w:bottom w:val="none" w:sz="0" w:space="0" w:color="auto"/>
        <w:right w:val="none" w:sz="0" w:space="0" w:color="auto"/>
      </w:divBdr>
    </w:div>
    <w:div w:id="1051424737">
      <w:bodyDiv w:val="1"/>
      <w:marLeft w:val="0"/>
      <w:marRight w:val="0"/>
      <w:marTop w:val="0"/>
      <w:marBottom w:val="0"/>
      <w:divBdr>
        <w:top w:val="none" w:sz="0" w:space="0" w:color="auto"/>
        <w:left w:val="none" w:sz="0" w:space="0" w:color="auto"/>
        <w:bottom w:val="none" w:sz="0" w:space="0" w:color="auto"/>
        <w:right w:val="none" w:sz="0" w:space="0" w:color="auto"/>
      </w:divBdr>
    </w:div>
    <w:div w:id="1051533718">
      <w:bodyDiv w:val="1"/>
      <w:marLeft w:val="0"/>
      <w:marRight w:val="0"/>
      <w:marTop w:val="0"/>
      <w:marBottom w:val="0"/>
      <w:divBdr>
        <w:top w:val="none" w:sz="0" w:space="0" w:color="auto"/>
        <w:left w:val="none" w:sz="0" w:space="0" w:color="auto"/>
        <w:bottom w:val="none" w:sz="0" w:space="0" w:color="auto"/>
        <w:right w:val="none" w:sz="0" w:space="0" w:color="auto"/>
      </w:divBdr>
    </w:div>
    <w:div w:id="1051612192">
      <w:bodyDiv w:val="1"/>
      <w:marLeft w:val="0"/>
      <w:marRight w:val="0"/>
      <w:marTop w:val="0"/>
      <w:marBottom w:val="0"/>
      <w:divBdr>
        <w:top w:val="none" w:sz="0" w:space="0" w:color="auto"/>
        <w:left w:val="none" w:sz="0" w:space="0" w:color="auto"/>
        <w:bottom w:val="none" w:sz="0" w:space="0" w:color="auto"/>
        <w:right w:val="none" w:sz="0" w:space="0" w:color="auto"/>
      </w:divBdr>
    </w:div>
    <w:div w:id="1051688704">
      <w:bodyDiv w:val="1"/>
      <w:marLeft w:val="0"/>
      <w:marRight w:val="0"/>
      <w:marTop w:val="0"/>
      <w:marBottom w:val="0"/>
      <w:divBdr>
        <w:top w:val="none" w:sz="0" w:space="0" w:color="auto"/>
        <w:left w:val="none" w:sz="0" w:space="0" w:color="auto"/>
        <w:bottom w:val="none" w:sz="0" w:space="0" w:color="auto"/>
        <w:right w:val="none" w:sz="0" w:space="0" w:color="auto"/>
      </w:divBdr>
    </w:div>
    <w:div w:id="1051726845">
      <w:bodyDiv w:val="1"/>
      <w:marLeft w:val="0"/>
      <w:marRight w:val="0"/>
      <w:marTop w:val="0"/>
      <w:marBottom w:val="0"/>
      <w:divBdr>
        <w:top w:val="none" w:sz="0" w:space="0" w:color="auto"/>
        <w:left w:val="none" w:sz="0" w:space="0" w:color="auto"/>
        <w:bottom w:val="none" w:sz="0" w:space="0" w:color="auto"/>
        <w:right w:val="none" w:sz="0" w:space="0" w:color="auto"/>
      </w:divBdr>
    </w:div>
    <w:div w:id="1051731983">
      <w:bodyDiv w:val="1"/>
      <w:marLeft w:val="0"/>
      <w:marRight w:val="0"/>
      <w:marTop w:val="0"/>
      <w:marBottom w:val="0"/>
      <w:divBdr>
        <w:top w:val="none" w:sz="0" w:space="0" w:color="auto"/>
        <w:left w:val="none" w:sz="0" w:space="0" w:color="auto"/>
        <w:bottom w:val="none" w:sz="0" w:space="0" w:color="auto"/>
        <w:right w:val="none" w:sz="0" w:space="0" w:color="auto"/>
      </w:divBdr>
    </w:div>
    <w:div w:id="1051735384">
      <w:bodyDiv w:val="1"/>
      <w:marLeft w:val="0"/>
      <w:marRight w:val="0"/>
      <w:marTop w:val="0"/>
      <w:marBottom w:val="0"/>
      <w:divBdr>
        <w:top w:val="none" w:sz="0" w:space="0" w:color="auto"/>
        <w:left w:val="none" w:sz="0" w:space="0" w:color="auto"/>
        <w:bottom w:val="none" w:sz="0" w:space="0" w:color="auto"/>
        <w:right w:val="none" w:sz="0" w:space="0" w:color="auto"/>
      </w:divBdr>
    </w:div>
    <w:div w:id="1051809797">
      <w:bodyDiv w:val="1"/>
      <w:marLeft w:val="0"/>
      <w:marRight w:val="0"/>
      <w:marTop w:val="0"/>
      <w:marBottom w:val="0"/>
      <w:divBdr>
        <w:top w:val="none" w:sz="0" w:space="0" w:color="auto"/>
        <w:left w:val="none" w:sz="0" w:space="0" w:color="auto"/>
        <w:bottom w:val="none" w:sz="0" w:space="0" w:color="auto"/>
        <w:right w:val="none" w:sz="0" w:space="0" w:color="auto"/>
      </w:divBdr>
    </w:div>
    <w:div w:id="1051881830">
      <w:bodyDiv w:val="1"/>
      <w:marLeft w:val="0"/>
      <w:marRight w:val="0"/>
      <w:marTop w:val="0"/>
      <w:marBottom w:val="0"/>
      <w:divBdr>
        <w:top w:val="none" w:sz="0" w:space="0" w:color="auto"/>
        <w:left w:val="none" w:sz="0" w:space="0" w:color="auto"/>
        <w:bottom w:val="none" w:sz="0" w:space="0" w:color="auto"/>
        <w:right w:val="none" w:sz="0" w:space="0" w:color="auto"/>
      </w:divBdr>
    </w:div>
    <w:div w:id="1052001001">
      <w:bodyDiv w:val="1"/>
      <w:marLeft w:val="0"/>
      <w:marRight w:val="0"/>
      <w:marTop w:val="0"/>
      <w:marBottom w:val="0"/>
      <w:divBdr>
        <w:top w:val="none" w:sz="0" w:space="0" w:color="auto"/>
        <w:left w:val="none" w:sz="0" w:space="0" w:color="auto"/>
        <w:bottom w:val="none" w:sz="0" w:space="0" w:color="auto"/>
        <w:right w:val="none" w:sz="0" w:space="0" w:color="auto"/>
      </w:divBdr>
    </w:div>
    <w:div w:id="1052079845">
      <w:bodyDiv w:val="1"/>
      <w:marLeft w:val="0"/>
      <w:marRight w:val="0"/>
      <w:marTop w:val="0"/>
      <w:marBottom w:val="0"/>
      <w:divBdr>
        <w:top w:val="none" w:sz="0" w:space="0" w:color="auto"/>
        <w:left w:val="none" w:sz="0" w:space="0" w:color="auto"/>
        <w:bottom w:val="none" w:sz="0" w:space="0" w:color="auto"/>
        <w:right w:val="none" w:sz="0" w:space="0" w:color="auto"/>
      </w:divBdr>
    </w:div>
    <w:div w:id="1052121378">
      <w:bodyDiv w:val="1"/>
      <w:marLeft w:val="0"/>
      <w:marRight w:val="0"/>
      <w:marTop w:val="0"/>
      <w:marBottom w:val="0"/>
      <w:divBdr>
        <w:top w:val="none" w:sz="0" w:space="0" w:color="auto"/>
        <w:left w:val="none" w:sz="0" w:space="0" w:color="auto"/>
        <w:bottom w:val="none" w:sz="0" w:space="0" w:color="auto"/>
        <w:right w:val="none" w:sz="0" w:space="0" w:color="auto"/>
      </w:divBdr>
    </w:div>
    <w:div w:id="1052196527">
      <w:bodyDiv w:val="1"/>
      <w:marLeft w:val="0"/>
      <w:marRight w:val="0"/>
      <w:marTop w:val="0"/>
      <w:marBottom w:val="0"/>
      <w:divBdr>
        <w:top w:val="none" w:sz="0" w:space="0" w:color="auto"/>
        <w:left w:val="none" w:sz="0" w:space="0" w:color="auto"/>
        <w:bottom w:val="none" w:sz="0" w:space="0" w:color="auto"/>
        <w:right w:val="none" w:sz="0" w:space="0" w:color="auto"/>
      </w:divBdr>
    </w:div>
    <w:div w:id="1052271600">
      <w:bodyDiv w:val="1"/>
      <w:marLeft w:val="0"/>
      <w:marRight w:val="0"/>
      <w:marTop w:val="0"/>
      <w:marBottom w:val="0"/>
      <w:divBdr>
        <w:top w:val="none" w:sz="0" w:space="0" w:color="auto"/>
        <w:left w:val="none" w:sz="0" w:space="0" w:color="auto"/>
        <w:bottom w:val="none" w:sz="0" w:space="0" w:color="auto"/>
        <w:right w:val="none" w:sz="0" w:space="0" w:color="auto"/>
      </w:divBdr>
    </w:div>
    <w:div w:id="1052313723">
      <w:bodyDiv w:val="1"/>
      <w:marLeft w:val="0"/>
      <w:marRight w:val="0"/>
      <w:marTop w:val="0"/>
      <w:marBottom w:val="0"/>
      <w:divBdr>
        <w:top w:val="none" w:sz="0" w:space="0" w:color="auto"/>
        <w:left w:val="none" w:sz="0" w:space="0" w:color="auto"/>
        <w:bottom w:val="none" w:sz="0" w:space="0" w:color="auto"/>
        <w:right w:val="none" w:sz="0" w:space="0" w:color="auto"/>
      </w:divBdr>
    </w:div>
    <w:div w:id="1052343379">
      <w:bodyDiv w:val="1"/>
      <w:marLeft w:val="0"/>
      <w:marRight w:val="0"/>
      <w:marTop w:val="0"/>
      <w:marBottom w:val="0"/>
      <w:divBdr>
        <w:top w:val="none" w:sz="0" w:space="0" w:color="auto"/>
        <w:left w:val="none" w:sz="0" w:space="0" w:color="auto"/>
        <w:bottom w:val="none" w:sz="0" w:space="0" w:color="auto"/>
        <w:right w:val="none" w:sz="0" w:space="0" w:color="auto"/>
      </w:divBdr>
    </w:div>
    <w:div w:id="1052580997">
      <w:bodyDiv w:val="1"/>
      <w:marLeft w:val="0"/>
      <w:marRight w:val="0"/>
      <w:marTop w:val="0"/>
      <w:marBottom w:val="0"/>
      <w:divBdr>
        <w:top w:val="none" w:sz="0" w:space="0" w:color="auto"/>
        <w:left w:val="none" w:sz="0" w:space="0" w:color="auto"/>
        <w:bottom w:val="none" w:sz="0" w:space="0" w:color="auto"/>
        <w:right w:val="none" w:sz="0" w:space="0" w:color="auto"/>
      </w:divBdr>
    </w:div>
    <w:div w:id="1052654311">
      <w:bodyDiv w:val="1"/>
      <w:marLeft w:val="0"/>
      <w:marRight w:val="0"/>
      <w:marTop w:val="0"/>
      <w:marBottom w:val="0"/>
      <w:divBdr>
        <w:top w:val="none" w:sz="0" w:space="0" w:color="auto"/>
        <w:left w:val="none" w:sz="0" w:space="0" w:color="auto"/>
        <w:bottom w:val="none" w:sz="0" w:space="0" w:color="auto"/>
        <w:right w:val="none" w:sz="0" w:space="0" w:color="auto"/>
      </w:divBdr>
    </w:div>
    <w:div w:id="1052735876">
      <w:bodyDiv w:val="1"/>
      <w:marLeft w:val="0"/>
      <w:marRight w:val="0"/>
      <w:marTop w:val="0"/>
      <w:marBottom w:val="0"/>
      <w:divBdr>
        <w:top w:val="none" w:sz="0" w:space="0" w:color="auto"/>
        <w:left w:val="none" w:sz="0" w:space="0" w:color="auto"/>
        <w:bottom w:val="none" w:sz="0" w:space="0" w:color="auto"/>
        <w:right w:val="none" w:sz="0" w:space="0" w:color="auto"/>
      </w:divBdr>
    </w:div>
    <w:div w:id="1052771170">
      <w:bodyDiv w:val="1"/>
      <w:marLeft w:val="0"/>
      <w:marRight w:val="0"/>
      <w:marTop w:val="0"/>
      <w:marBottom w:val="0"/>
      <w:divBdr>
        <w:top w:val="none" w:sz="0" w:space="0" w:color="auto"/>
        <w:left w:val="none" w:sz="0" w:space="0" w:color="auto"/>
        <w:bottom w:val="none" w:sz="0" w:space="0" w:color="auto"/>
        <w:right w:val="none" w:sz="0" w:space="0" w:color="auto"/>
      </w:divBdr>
    </w:div>
    <w:div w:id="1052928204">
      <w:bodyDiv w:val="1"/>
      <w:marLeft w:val="0"/>
      <w:marRight w:val="0"/>
      <w:marTop w:val="0"/>
      <w:marBottom w:val="0"/>
      <w:divBdr>
        <w:top w:val="none" w:sz="0" w:space="0" w:color="auto"/>
        <w:left w:val="none" w:sz="0" w:space="0" w:color="auto"/>
        <w:bottom w:val="none" w:sz="0" w:space="0" w:color="auto"/>
        <w:right w:val="none" w:sz="0" w:space="0" w:color="auto"/>
      </w:divBdr>
    </w:div>
    <w:div w:id="1052967340">
      <w:bodyDiv w:val="1"/>
      <w:marLeft w:val="0"/>
      <w:marRight w:val="0"/>
      <w:marTop w:val="0"/>
      <w:marBottom w:val="0"/>
      <w:divBdr>
        <w:top w:val="none" w:sz="0" w:space="0" w:color="auto"/>
        <w:left w:val="none" w:sz="0" w:space="0" w:color="auto"/>
        <w:bottom w:val="none" w:sz="0" w:space="0" w:color="auto"/>
        <w:right w:val="none" w:sz="0" w:space="0" w:color="auto"/>
      </w:divBdr>
    </w:div>
    <w:div w:id="1052995775">
      <w:bodyDiv w:val="1"/>
      <w:marLeft w:val="0"/>
      <w:marRight w:val="0"/>
      <w:marTop w:val="0"/>
      <w:marBottom w:val="0"/>
      <w:divBdr>
        <w:top w:val="none" w:sz="0" w:space="0" w:color="auto"/>
        <w:left w:val="none" w:sz="0" w:space="0" w:color="auto"/>
        <w:bottom w:val="none" w:sz="0" w:space="0" w:color="auto"/>
        <w:right w:val="none" w:sz="0" w:space="0" w:color="auto"/>
      </w:divBdr>
    </w:div>
    <w:div w:id="1053117192">
      <w:bodyDiv w:val="1"/>
      <w:marLeft w:val="0"/>
      <w:marRight w:val="0"/>
      <w:marTop w:val="0"/>
      <w:marBottom w:val="0"/>
      <w:divBdr>
        <w:top w:val="none" w:sz="0" w:space="0" w:color="auto"/>
        <w:left w:val="none" w:sz="0" w:space="0" w:color="auto"/>
        <w:bottom w:val="none" w:sz="0" w:space="0" w:color="auto"/>
        <w:right w:val="none" w:sz="0" w:space="0" w:color="auto"/>
      </w:divBdr>
    </w:div>
    <w:div w:id="1053118630">
      <w:bodyDiv w:val="1"/>
      <w:marLeft w:val="0"/>
      <w:marRight w:val="0"/>
      <w:marTop w:val="0"/>
      <w:marBottom w:val="0"/>
      <w:divBdr>
        <w:top w:val="none" w:sz="0" w:space="0" w:color="auto"/>
        <w:left w:val="none" w:sz="0" w:space="0" w:color="auto"/>
        <w:bottom w:val="none" w:sz="0" w:space="0" w:color="auto"/>
        <w:right w:val="none" w:sz="0" w:space="0" w:color="auto"/>
      </w:divBdr>
    </w:div>
    <w:div w:id="1053120724">
      <w:bodyDiv w:val="1"/>
      <w:marLeft w:val="0"/>
      <w:marRight w:val="0"/>
      <w:marTop w:val="0"/>
      <w:marBottom w:val="0"/>
      <w:divBdr>
        <w:top w:val="none" w:sz="0" w:space="0" w:color="auto"/>
        <w:left w:val="none" w:sz="0" w:space="0" w:color="auto"/>
        <w:bottom w:val="none" w:sz="0" w:space="0" w:color="auto"/>
        <w:right w:val="none" w:sz="0" w:space="0" w:color="auto"/>
      </w:divBdr>
    </w:div>
    <w:div w:id="1053163831">
      <w:bodyDiv w:val="1"/>
      <w:marLeft w:val="0"/>
      <w:marRight w:val="0"/>
      <w:marTop w:val="0"/>
      <w:marBottom w:val="0"/>
      <w:divBdr>
        <w:top w:val="none" w:sz="0" w:space="0" w:color="auto"/>
        <w:left w:val="none" w:sz="0" w:space="0" w:color="auto"/>
        <w:bottom w:val="none" w:sz="0" w:space="0" w:color="auto"/>
        <w:right w:val="none" w:sz="0" w:space="0" w:color="auto"/>
      </w:divBdr>
    </w:div>
    <w:div w:id="1053164525">
      <w:bodyDiv w:val="1"/>
      <w:marLeft w:val="0"/>
      <w:marRight w:val="0"/>
      <w:marTop w:val="0"/>
      <w:marBottom w:val="0"/>
      <w:divBdr>
        <w:top w:val="none" w:sz="0" w:space="0" w:color="auto"/>
        <w:left w:val="none" w:sz="0" w:space="0" w:color="auto"/>
        <w:bottom w:val="none" w:sz="0" w:space="0" w:color="auto"/>
        <w:right w:val="none" w:sz="0" w:space="0" w:color="auto"/>
      </w:divBdr>
    </w:div>
    <w:div w:id="1053164721">
      <w:bodyDiv w:val="1"/>
      <w:marLeft w:val="0"/>
      <w:marRight w:val="0"/>
      <w:marTop w:val="0"/>
      <w:marBottom w:val="0"/>
      <w:divBdr>
        <w:top w:val="none" w:sz="0" w:space="0" w:color="auto"/>
        <w:left w:val="none" w:sz="0" w:space="0" w:color="auto"/>
        <w:bottom w:val="none" w:sz="0" w:space="0" w:color="auto"/>
        <w:right w:val="none" w:sz="0" w:space="0" w:color="auto"/>
      </w:divBdr>
    </w:div>
    <w:div w:id="1053192354">
      <w:bodyDiv w:val="1"/>
      <w:marLeft w:val="0"/>
      <w:marRight w:val="0"/>
      <w:marTop w:val="0"/>
      <w:marBottom w:val="0"/>
      <w:divBdr>
        <w:top w:val="none" w:sz="0" w:space="0" w:color="auto"/>
        <w:left w:val="none" w:sz="0" w:space="0" w:color="auto"/>
        <w:bottom w:val="none" w:sz="0" w:space="0" w:color="auto"/>
        <w:right w:val="none" w:sz="0" w:space="0" w:color="auto"/>
      </w:divBdr>
    </w:div>
    <w:div w:id="1053193909">
      <w:bodyDiv w:val="1"/>
      <w:marLeft w:val="0"/>
      <w:marRight w:val="0"/>
      <w:marTop w:val="0"/>
      <w:marBottom w:val="0"/>
      <w:divBdr>
        <w:top w:val="none" w:sz="0" w:space="0" w:color="auto"/>
        <w:left w:val="none" w:sz="0" w:space="0" w:color="auto"/>
        <w:bottom w:val="none" w:sz="0" w:space="0" w:color="auto"/>
        <w:right w:val="none" w:sz="0" w:space="0" w:color="auto"/>
      </w:divBdr>
    </w:div>
    <w:div w:id="1053235145">
      <w:bodyDiv w:val="1"/>
      <w:marLeft w:val="0"/>
      <w:marRight w:val="0"/>
      <w:marTop w:val="0"/>
      <w:marBottom w:val="0"/>
      <w:divBdr>
        <w:top w:val="none" w:sz="0" w:space="0" w:color="auto"/>
        <w:left w:val="none" w:sz="0" w:space="0" w:color="auto"/>
        <w:bottom w:val="none" w:sz="0" w:space="0" w:color="auto"/>
        <w:right w:val="none" w:sz="0" w:space="0" w:color="auto"/>
      </w:divBdr>
    </w:div>
    <w:div w:id="1053236968">
      <w:bodyDiv w:val="1"/>
      <w:marLeft w:val="0"/>
      <w:marRight w:val="0"/>
      <w:marTop w:val="0"/>
      <w:marBottom w:val="0"/>
      <w:divBdr>
        <w:top w:val="none" w:sz="0" w:space="0" w:color="auto"/>
        <w:left w:val="none" w:sz="0" w:space="0" w:color="auto"/>
        <w:bottom w:val="none" w:sz="0" w:space="0" w:color="auto"/>
        <w:right w:val="none" w:sz="0" w:space="0" w:color="auto"/>
      </w:divBdr>
    </w:div>
    <w:div w:id="1053307467">
      <w:bodyDiv w:val="1"/>
      <w:marLeft w:val="0"/>
      <w:marRight w:val="0"/>
      <w:marTop w:val="0"/>
      <w:marBottom w:val="0"/>
      <w:divBdr>
        <w:top w:val="none" w:sz="0" w:space="0" w:color="auto"/>
        <w:left w:val="none" w:sz="0" w:space="0" w:color="auto"/>
        <w:bottom w:val="none" w:sz="0" w:space="0" w:color="auto"/>
        <w:right w:val="none" w:sz="0" w:space="0" w:color="auto"/>
      </w:divBdr>
    </w:div>
    <w:div w:id="1053426447">
      <w:bodyDiv w:val="1"/>
      <w:marLeft w:val="0"/>
      <w:marRight w:val="0"/>
      <w:marTop w:val="0"/>
      <w:marBottom w:val="0"/>
      <w:divBdr>
        <w:top w:val="none" w:sz="0" w:space="0" w:color="auto"/>
        <w:left w:val="none" w:sz="0" w:space="0" w:color="auto"/>
        <w:bottom w:val="none" w:sz="0" w:space="0" w:color="auto"/>
        <w:right w:val="none" w:sz="0" w:space="0" w:color="auto"/>
      </w:divBdr>
    </w:div>
    <w:div w:id="1053499701">
      <w:bodyDiv w:val="1"/>
      <w:marLeft w:val="0"/>
      <w:marRight w:val="0"/>
      <w:marTop w:val="0"/>
      <w:marBottom w:val="0"/>
      <w:divBdr>
        <w:top w:val="none" w:sz="0" w:space="0" w:color="auto"/>
        <w:left w:val="none" w:sz="0" w:space="0" w:color="auto"/>
        <w:bottom w:val="none" w:sz="0" w:space="0" w:color="auto"/>
        <w:right w:val="none" w:sz="0" w:space="0" w:color="auto"/>
      </w:divBdr>
    </w:div>
    <w:div w:id="1053651678">
      <w:bodyDiv w:val="1"/>
      <w:marLeft w:val="0"/>
      <w:marRight w:val="0"/>
      <w:marTop w:val="0"/>
      <w:marBottom w:val="0"/>
      <w:divBdr>
        <w:top w:val="none" w:sz="0" w:space="0" w:color="auto"/>
        <w:left w:val="none" w:sz="0" w:space="0" w:color="auto"/>
        <w:bottom w:val="none" w:sz="0" w:space="0" w:color="auto"/>
        <w:right w:val="none" w:sz="0" w:space="0" w:color="auto"/>
      </w:divBdr>
    </w:div>
    <w:div w:id="1053774202">
      <w:bodyDiv w:val="1"/>
      <w:marLeft w:val="0"/>
      <w:marRight w:val="0"/>
      <w:marTop w:val="0"/>
      <w:marBottom w:val="0"/>
      <w:divBdr>
        <w:top w:val="none" w:sz="0" w:space="0" w:color="auto"/>
        <w:left w:val="none" w:sz="0" w:space="0" w:color="auto"/>
        <w:bottom w:val="none" w:sz="0" w:space="0" w:color="auto"/>
        <w:right w:val="none" w:sz="0" w:space="0" w:color="auto"/>
      </w:divBdr>
    </w:div>
    <w:div w:id="1053845522">
      <w:bodyDiv w:val="1"/>
      <w:marLeft w:val="0"/>
      <w:marRight w:val="0"/>
      <w:marTop w:val="0"/>
      <w:marBottom w:val="0"/>
      <w:divBdr>
        <w:top w:val="none" w:sz="0" w:space="0" w:color="auto"/>
        <w:left w:val="none" w:sz="0" w:space="0" w:color="auto"/>
        <w:bottom w:val="none" w:sz="0" w:space="0" w:color="auto"/>
        <w:right w:val="none" w:sz="0" w:space="0" w:color="auto"/>
      </w:divBdr>
    </w:div>
    <w:div w:id="1054042814">
      <w:bodyDiv w:val="1"/>
      <w:marLeft w:val="0"/>
      <w:marRight w:val="0"/>
      <w:marTop w:val="0"/>
      <w:marBottom w:val="0"/>
      <w:divBdr>
        <w:top w:val="none" w:sz="0" w:space="0" w:color="auto"/>
        <w:left w:val="none" w:sz="0" w:space="0" w:color="auto"/>
        <w:bottom w:val="none" w:sz="0" w:space="0" w:color="auto"/>
        <w:right w:val="none" w:sz="0" w:space="0" w:color="auto"/>
      </w:divBdr>
    </w:div>
    <w:div w:id="1054238818">
      <w:bodyDiv w:val="1"/>
      <w:marLeft w:val="0"/>
      <w:marRight w:val="0"/>
      <w:marTop w:val="0"/>
      <w:marBottom w:val="0"/>
      <w:divBdr>
        <w:top w:val="none" w:sz="0" w:space="0" w:color="auto"/>
        <w:left w:val="none" w:sz="0" w:space="0" w:color="auto"/>
        <w:bottom w:val="none" w:sz="0" w:space="0" w:color="auto"/>
        <w:right w:val="none" w:sz="0" w:space="0" w:color="auto"/>
      </w:divBdr>
    </w:div>
    <w:div w:id="1054278498">
      <w:bodyDiv w:val="1"/>
      <w:marLeft w:val="0"/>
      <w:marRight w:val="0"/>
      <w:marTop w:val="0"/>
      <w:marBottom w:val="0"/>
      <w:divBdr>
        <w:top w:val="none" w:sz="0" w:space="0" w:color="auto"/>
        <w:left w:val="none" w:sz="0" w:space="0" w:color="auto"/>
        <w:bottom w:val="none" w:sz="0" w:space="0" w:color="auto"/>
        <w:right w:val="none" w:sz="0" w:space="0" w:color="auto"/>
      </w:divBdr>
    </w:div>
    <w:div w:id="1054308273">
      <w:bodyDiv w:val="1"/>
      <w:marLeft w:val="0"/>
      <w:marRight w:val="0"/>
      <w:marTop w:val="0"/>
      <w:marBottom w:val="0"/>
      <w:divBdr>
        <w:top w:val="none" w:sz="0" w:space="0" w:color="auto"/>
        <w:left w:val="none" w:sz="0" w:space="0" w:color="auto"/>
        <w:bottom w:val="none" w:sz="0" w:space="0" w:color="auto"/>
        <w:right w:val="none" w:sz="0" w:space="0" w:color="auto"/>
      </w:divBdr>
    </w:div>
    <w:div w:id="1054354609">
      <w:bodyDiv w:val="1"/>
      <w:marLeft w:val="0"/>
      <w:marRight w:val="0"/>
      <w:marTop w:val="0"/>
      <w:marBottom w:val="0"/>
      <w:divBdr>
        <w:top w:val="none" w:sz="0" w:space="0" w:color="auto"/>
        <w:left w:val="none" w:sz="0" w:space="0" w:color="auto"/>
        <w:bottom w:val="none" w:sz="0" w:space="0" w:color="auto"/>
        <w:right w:val="none" w:sz="0" w:space="0" w:color="auto"/>
      </w:divBdr>
    </w:div>
    <w:div w:id="1054543535">
      <w:bodyDiv w:val="1"/>
      <w:marLeft w:val="0"/>
      <w:marRight w:val="0"/>
      <w:marTop w:val="0"/>
      <w:marBottom w:val="0"/>
      <w:divBdr>
        <w:top w:val="none" w:sz="0" w:space="0" w:color="auto"/>
        <w:left w:val="none" w:sz="0" w:space="0" w:color="auto"/>
        <w:bottom w:val="none" w:sz="0" w:space="0" w:color="auto"/>
        <w:right w:val="none" w:sz="0" w:space="0" w:color="auto"/>
      </w:divBdr>
    </w:div>
    <w:div w:id="1054544245">
      <w:bodyDiv w:val="1"/>
      <w:marLeft w:val="0"/>
      <w:marRight w:val="0"/>
      <w:marTop w:val="0"/>
      <w:marBottom w:val="0"/>
      <w:divBdr>
        <w:top w:val="none" w:sz="0" w:space="0" w:color="auto"/>
        <w:left w:val="none" w:sz="0" w:space="0" w:color="auto"/>
        <w:bottom w:val="none" w:sz="0" w:space="0" w:color="auto"/>
        <w:right w:val="none" w:sz="0" w:space="0" w:color="auto"/>
      </w:divBdr>
    </w:div>
    <w:div w:id="1054617656">
      <w:bodyDiv w:val="1"/>
      <w:marLeft w:val="0"/>
      <w:marRight w:val="0"/>
      <w:marTop w:val="0"/>
      <w:marBottom w:val="0"/>
      <w:divBdr>
        <w:top w:val="none" w:sz="0" w:space="0" w:color="auto"/>
        <w:left w:val="none" w:sz="0" w:space="0" w:color="auto"/>
        <w:bottom w:val="none" w:sz="0" w:space="0" w:color="auto"/>
        <w:right w:val="none" w:sz="0" w:space="0" w:color="auto"/>
      </w:divBdr>
    </w:div>
    <w:div w:id="1054693834">
      <w:bodyDiv w:val="1"/>
      <w:marLeft w:val="0"/>
      <w:marRight w:val="0"/>
      <w:marTop w:val="0"/>
      <w:marBottom w:val="0"/>
      <w:divBdr>
        <w:top w:val="none" w:sz="0" w:space="0" w:color="auto"/>
        <w:left w:val="none" w:sz="0" w:space="0" w:color="auto"/>
        <w:bottom w:val="none" w:sz="0" w:space="0" w:color="auto"/>
        <w:right w:val="none" w:sz="0" w:space="0" w:color="auto"/>
      </w:divBdr>
    </w:div>
    <w:div w:id="1054694084">
      <w:bodyDiv w:val="1"/>
      <w:marLeft w:val="0"/>
      <w:marRight w:val="0"/>
      <w:marTop w:val="0"/>
      <w:marBottom w:val="0"/>
      <w:divBdr>
        <w:top w:val="none" w:sz="0" w:space="0" w:color="auto"/>
        <w:left w:val="none" w:sz="0" w:space="0" w:color="auto"/>
        <w:bottom w:val="none" w:sz="0" w:space="0" w:color="auto"/>
        <w:right w:val="none" w:sz="0" w:space="0" w:color="auto"/>
      </w:divBdr>
    </w:div>
    <w:div w:id="1054698284">
      <w:bodyDiv w:val="1"/>
      <w:marLeft w:val="0"/>
      <w:marRight w:val="0"/>
      <w:marTop w:val="0"/>
      <w:marBottom w:val="0"/>
      <w:divBdr>
        <w:top w:val="none" w:sz="0" w:space="0" w:color="auto"/>
        <w:left w:val="none" w:sz="0" w:space="0" w:color="auto"/>
        <w:bottom w:val="none" w:sz="0" w:space="0" w:color="auto"/>
        <w:right w:val="none" w:sz="0" w:space="0" w:color="auto"/>
      </w:divBdr>
    </w:div>
    <w:div w:id="1054698521">
      <w:bodyDiv w:val="1"/>
      <w:marLeft w:val="0"/>
      <w:marRight w:val="0"/>
      <w:marTop w:val="0"/>
      <w:marBottom w:val="0"/>
      <w:divBdr>
        <w:top w:val="none" w:sz="0" w:space="0" w:color="auto"/>
        <w:left w:val="none" w:sz="0" w:space="0" w:color="auto"/>
        <w:bottom w:val="none" w:sz="0" w:space="0" w:color="auto"/>
        <w:right w:val="none" w:sz="0" w:space="0" w:color="auto"/>
      </w:divBdr>
    </w:div>
    <w:div w:id="1054700521">
      <w:bodyDiv w:val="1"/>
      <w:marLeft w:val="0"/>
      <w:marRight w:val="0"/>
      <w:marTop w:val="0"/>
      <w:marBottom w:val="0"/>
      <w:divBdr>
        <w:top w:val="none" w:sz="0" w:space="0" w:color="auto"/>
        <w:left w:val="none" w:sz="0" w:space="0" w:color="auto"/>
        <w:bottom w:val="none" w:sz="0" w:space="0" w:color="auto"/>
        <w:right w:val="none" w:sz="0" w:space="0" w:color="auto"/>
      </w:divBdr>
    </w:div>
    <w:div w:id="1054809850">
      <w:bodyDiv w:val="1"/>
      <w:marLeft w:val="0"/>
      <w:marRight w:val="0"/>
      <w:marTop w:val="0"/>
      <w:marBottom w:val="0"/>
      <w:divBdr>
        <w:top w:val="none" w:sz="0" w:space="0" w:color="auto"/>
        <w:left w:val="none" w:sz="0" w:space="0" w:color="auto"/>
        <w:bottom w:val="none" w:sz="0" w:space="0" w:color="auto"/>
        <w:right w:val="none" w:sz="0" w:space="0" w:color="auto"/>
      </w:divBdr>
    </w:div>
    <w:div w:id="1054961363">
      <w:bodyDiv w:val="1"/>
      <w:marLeft w:val="0"/>
      <w:marRight w:val="0"/>
      <w:marTop w:val="0"/>
      <w:marBottom w:val="0"/>
      <w:divBdr>
        <w:top w:val="none" w:sz="0" w:space="0" w:color="auto"/>
        <w:left w:val="none" w:sz="0" w:space="0" w:color="auto"/>
        <w:bottom w:val="none" w:sz="0" w:space="0" w:color="auto"/>
        <w:right w:val="none" w:sz="0" w:space="0" w:color="auto"/>
      </w:divBdr>
    </w:div>
    <w:div w:id="1055085763">
      <w:bodyDiv w:val="1"/>
      <w:marLeft w:val="0"/>
      <w:marRight w:val="0"/>
      <w:marTop w:val="0"/>
      <w:marBottom w:val="0"/>
      <w:divBdr>
        <w:top w:val="none" w:sz="0" w:space="0" w:color="auto"/>
        <w:left w:val="none" w:sz="0" w:space="0" w:color="auto"/>
        <w:bottom w:val="none" w:sz="0" w:space="0" w:color="auto"/>
        <w:right w:val="none" w:sz="0" w:space="0" w:color="auto"/>
      </w:divBdr>
    </w:div>
    <w:div w:id="1055278214">
      <w:bodyDiv w:val="1"/>
      <w:marLeft w:val="0"/>
      <w:marRight w:val="0"/>
      <w:marTop w:val="0"/>
      <w:marBottom w:val="0"/>
      <w:divBdr>
        <w:top w:val="none" w:sz="0" w:space="0" w:color="auto"/>
        <w:left w:val="none" w:sz="0" w:space="0" w:color="auto"/>
        <w:bottom w:val="none" w:sz="0" w:space="0" w:color="auto"/>
        <w:right w:val="none" w:sz="0" w:space="0" w:color="auto"/>
      </w:divBdr>
    </w:div>
    <w:div w:id="1055351117">
      <w:bodyDiv w:val="1"/>
      <w:marLeft w:val="0"/>
      <w:marRight w:val="0"/>
      <w:marTop w:val="0"/>
      <w:marBottom w:val="0"/>
      <w:divBdr>
        <w:top w:val="none" w:sz="0" w:space="0" w:color="auto"/>
        <w:left w:val="none" w:sz="0" w:space="0" w:color="auto"/>
        <w:bottom w:val="none" w:sz="0" w:space="0" w:color="auto"/>
        <w:right w:val="none" w:sz="0" w:space="0" w:color="auto"/>
      </w:divBdr>
    </w:div>
    <w:div w:id="1055356612">
      <w:bodyDiv w:val="1"/>
      <w:marLeft w:val="0"/>
      <w:marRight w:val="0"/>
      <w:marTop w:val="0"/>
      <w:marBottom w:val="0"/>
      <w:divBdr>
        <w:top w:val="none" w:sz="0" w:space="0" w:color="auto"/>
        <w:left w:val="none" w:sz="0" w:space="0" w:color="auto"/>
        <w:bottom w:val="none" w:sz="0" w:space="0" w:color="auto"/>
        <w:right w:val="none" w:sz="0" w:space="0" w:color="auto"/>
      </w:divBdr>
    </w:div>
    <w:div w:id="1055472528">
      <w:bodyDiv w:val="1"/>
      <w:marLeft w:val="0"/>
      <w:marRight w:val="0"/>
      <w:marTop w:val="0"/>
      <w:marBottom w:val="0"/>
      <w:divBdr>
        <w:top w:val="none" w:sz="0" w:space="0" w:color="auto"/>
        <w:left w:val="none" w:sz="0" w:space="0" w:color="auto"/>
        <w:bottom w:val="none" w:sz="0" w:space="0" w:color="auto"/>
        <w:right w:val="none" w:sz="0" w:space="0" w:color="auto"/>
      </w:divBdr>
    </w:div>
    <w:div w:id="1055541851">
      <w:bodyDiv w:val="1"/>
      <w:marLeft w:val="0"/>
      <w:marRight w:val="0"/>
      <w:marTop w:val="0"/>
      <w:marBottom w:val="0"/>
      <w:divBdr>
        <w:top w:val="none" w:sz="0" w:space="0" w:color="auto"/>
        <w:left w:val="none" w:sz="0" w:space="0" w:color="auto"/>
        <w:bottom w:val="none" w:sz="0" w:space="0" w:color="auto"/>
        <w:right w:val="none" w:sz="0" w:space="0" w:color="auto"/>
      </w:divBdr>
    </w:div>
    <w:div w:id="1055663375">
      <w:bodyDiv w:val="1"/>
      <w:marLeft w:val="0"/>
      <w:marRight w:val="0"/>
      <w:marTop w:val="0"/>
      <w:marBottom w:val="0"/>
      <w:divBdr>
        <w:top w:val="none" w:sz="0" w:space="0" w:color="auto"/>
        <w:left w:val="none" w:sz="0" w:space="0" w:color="auto"/>
        <w:bottom w:val="none" w:sz="0" w:space="0" w:color="auto"/>
        <w:right w:val="none" w:sz="0" w:space="0" w:color="auto"/>
      </w:divBdr>
    </w:div>
    <w:div w:id="1055664910">
      <w:bodyDiv w:val="1"/>
      <w:marLeft w:val="0"/>
      <w:marRight w:val="0"/>
      <w:marTop w:val="0"/>
      <w:marBottom w:val="0"/>
      <w:divBdr>
        <w:top w:val="none" w:sz="0" w:space="0" w:color="auto"/>
        <w:left w:val="none" w:sz="0" w:space="0" w:color="auto"/>
        <w:bottom w:val="none" w:sz="0" w:space="0" w:color="auto"/>
        <w:right w:val="none" w:sz="0" w:space="0" w:color="auto"/>
      </w:divBdr>
    </w:div>
    <w:div w:id="1055665646">
      <w:bodyDiv w:val="1"/>
      <w:marLeft w:val="0"/>
      <w:marRight w:val="0"/>
      <w:marTop w:val="0"/>
      <w:marBottom w:val="0"/>
      <w:divBdr>
        <w:top w:val="none" w:sz="0" w:space="0" w:color="auto"/>
        <w:left w:val="none" w:sz="0" w:space="0" w:color="auto"/>
        <w:bottom w:val="none" w:sz="0" w:space="0" w:color="auto"/>
        <w:right w:val="none" w:sz="0" w:space="0" w:color="auto"/>
      </w:divBdr>
    </w:div>
    <w:div w:id="1055812330">
      <w:bodyDiv w:val="1"/>
      <w:marLeft w:val="0"/>
      <w:marRight w:val="0"/>
      <w:marTop w:val="0"/>
      <w:marBottom w:val="0"/>
      <w:divBdr>
        <w:top w:val="none" w:sz="0" w:space="0" w:color="auto"/>
        <w:left w:val="none" w:sz="0" w:space="0" w:color="auto"/>
        <w:bottom w:val="none" w:sz="0" w:space="0" w:color="auto"/>
        <w:right w:val="none" w:sz="0" w:space="0" w:color="auto"/>
      </w:divBdr>
    </w:div>
    <w:div w:id="1055817094">
      <w:bodyDiv w:val="1"/>
      <w:marLeft w:val="0"/>
      <w:marRight w:val="0"/>
      <w:marTop w:val="0"/>
      <w:marBottom w:val="0"/>
      <w:divBdr>
        <w:top w:val="none" w:sz="0" w:space="0" w:color="auto"/>
        <w:left w:val="none" w:sz="0" w:space="0" w:color="auto"/>
        <w:bottom w:val="none" w:sz="0" w:space="0" w:color="auto"/>
        <w:right w:val="none" w:sz="0" w:space="0" w:color="auto"/>
      </w:divBdr>
    </w:div>
    <w:div w:id="1055853441">
      <w:bodyDiv w:val="1"/>
      <w:marLeft w:val="0"/>
      <w:marRight w:val="0"/>
      <w:marTop w:val="0"/>
      <w:marBottom w:val="0"/>
      <w:divBdr>
        <w:top w:val="none" w:sz="0" w:space="0" w:color="auto"/>
        <w:left w:val="none" w:sz="0" w:space="0" w:color="auto"/>
        <w:bottom w:val="none" w:sz="0" w:space="0" w:color="auto"/>
        <w:right w:val="none" w:sz="0" w:space="0" w:color="auto"/>
      </w:divBdr>
    </w:div>
    <w:div w:id="1056006433">
      <w:bodyDiv w:val="1"/>
      <w:marLeft w:val="0"/>
      <w:marRight w:val="0"/>
      <w:marTop w:val="0"/>
      <w:marBottom w:val="0"/>
      <w:divBdr>
        <w:top w:val="none" w:sz="0" w:space="0" w:color="auto"/>
        <w:left w:val="none" w:sz="0" w:space="0" w:color="auto"/>
        <w:bottom w:val="none" w:sz="0" w:space="0" w:color="auto"/>
        <w:right w:val="none" w:sz="0" w:space="0" w:color="auto"/>
      </w:divBdr>
    </w:div>
    <w:div w:id="1056245873">
      <w:bodyDiv w:val="1"/>
      <w:marLeft w:val="0"/>
      <w:marRight w:val="0"/>
      <w:marTop w:val="0"/>
      <w:marBottom w:val="0"/>
      <w:divBdr>
        <w:top w:val="none" w:sz="0" w:space="0" w:color="auto"/>
        <w:left w:val="none" w:sz="0" w:space="0" w:color="auto"/>
        <w:bottom w:val="none" w:sz="0" w:space="0" w:color="auto"/>
        <w:right w:val="none" w:sz="0" w:space="0" w:color="auto"/>
      </w:divBdr>
    </w:div>
    <w:div w:id="1056275718">
      <w:bodyDiv w:val="1"/>
      <w:marLeft w:val="0"/>
      <w:marRight w:val="0"/>
      <w:marTop w:val="0"/>
      <w:marBottom w:val="0"/>
      <w:divBdr>
        <w:top w:val="none" w:sz="0" w:space="0" w:color="auto"/>
        <w:left w:val="none" w:sz="0" w:space="0" w:color="auto"/>
        <w:bottom w:val="none" w:sz="0" w:space="0" w:color="auto"/>
        <w:right w:val="none" w:sz="0" w:space="0" w:color="auto"/>
      </w:divBdr>
    </w:div>
    <w:div w:id="1056440396">
      <w:bodyDiv w:val="1"/>
      <w:marLeft w:val="0"/>
      <w:marRight w:val="0"/>
      <w:marTop w:val="0"/>
      <w:marBottom w:val="0"/>
      <w:divBdr>
        <w:top w:val="none" w:sz="0" w:space="0" w:color="auto"/>
        <w:left w:val="none" w:sz="0" w:space="0" w:color="auto"/>
        <w:bottom w:val="none" w:sz="0" w:space="0" w:color="auto"/>
        <w:right w:val="none" w:sz="0" w:space="0" w:color="auto"/>
      </w:divBdr>
    </w:div>
    <w:div w:id="1056508096">
      <w:bodyDiv w:val="1"/>
      <w:marLeft w:val="0"/>
      <w:marRight w:val="0"/>
      <w:marTop w:val="0"/>
      <w:marBottom w:val="0"/>
      <w:divBdr>
        <w:top w:val="none" w:sz="0" w:space="0" w:color="auto"/>
        <w:left w:val="none" w:sz="0" w:space="0" w:color="auto"/>
        <w:bottom w:val="none" w:sz="0" w:space="0" w:color="auto"/>
        <w:right w:val="none" w:sz="0" w:space="0" w:color="auto"/>
      </w:divBdr>
    </w:div>
    <w:div w:id="1056516163">
      <w:bodyDiv w:val="1"/>
      <w:marLeft w:val="0"/>
      <w:marRight w:val="0"/>
      <w:marTop w:val="0"/>
      <w:marBottom w:val="0"/>
      <w:divBdr>
        <w:top w:val="none" w:sz="0" w:space="0" w:color="auto"/>
        <w:left w:val="none" w:sz="0" w:space="0" w:color="auto"/>
        <w:bottom w:val="none" w:sz="0" w:space="0" w:color="auto"/>
        <w:right w:val="none" w:sz="0" w:space="0" w:color="auto"/>
      </w:divBdr>
    </w:div>
    <w:div w:id="1056589591">
      <w:bodyDiv w:val="1"/>
      <w:marLeft w:val="0"/>
      <w:marRight w:val="0"/>
      <w:marTop w:val="0"/>
      <w:marBottom w:val="0"/>
      <w:divBdr>
        <w:top w:val="none" w:sz="0" w:space="0" w:color="auto"/>
        <w:left w:val="none" w:sz="0" w:space="0" w:color="auto"/>
        <w:bottom w:val="none" w:sz="0" w:space="0" w:color="auto"/>
        <w:right w:val="none" w:sz="0" w:space="0" w:color="auto"/>
      </w:divBdr>
    </w:div>
    <w:div w:id="1056665004">
      <w:bodyDiv w:val="1"/>
      <w:marLeft w:val="0"/>
      <w:marRight w:val="0"/>
      <w:marTop w:val="0"/>
      <w:marBottom w:val="0"/>
      <w:divBdr>
        <w:top w:val="none" w:sz="0" w:space="0" w:color="auto"/>
        <w:left w:val="none" w:sz="0" w:space="0" w:color="auto"/>
        <w:bottom w:val="none" w:sz="0" w:space="0" w:color="auto"/>
        <w:right w:val="none" w:sz="0" w:space="0" w:color="auto"/>
      </w:divBdr>
    </w:div>
    <w:div w:id="1056705291">
      <w:bodyDiv w:val="1"/>
      <w:marLeft w:val="0"/>
      <w:marRight w:val="0"/>
      <w:marTop w:val="0"/>
      <w:marBottom w:val="0"/>
      <w:divBdr>
        <w:top w:val="none" w:sz="0" w:space="0" w:color="auto"/>
        <w:left w:val="none" w:sz="0" w:space="0" w:color="auto"/>
        <w:bottom w:val="none" w:sz="0" w:space="0" w:color="auto"/>
        <w:right w:val="none" w:sz="0" w:space="0" w:color="auto"/>
      </w:divBdr>
    </w:div>
    <w:div w:id="1056778074">
      <w:bodyDiv w:val="1"/>
      <w:marLeft w:val="0"/>
      <w:marRight w:val="0"/>
      <w:marTop w:val="0"/>
      <w:marBottom w:val="0"/>
      <w:divBdr>
        <w:top w:val="none" w:sz="0" w:space="0" w:color="auto"/>
        <w:left w:val="none" w:sz="0" w:space="0" w:color="auto"/>
        <w:bottom w:val="none" w:sz="0" w:space="0" w:color="auto"/>
        <w:right w:val="none" w:sz="0" w:space="0" w:color="auto"/>
      </w:divBdr>
    </w:div>
    <w:div w:id="1056784383">
      <w:bodyDiv w:val="1"/>
      <w:marLeft w:val="0"/>
      <w:marRight w:val="0"/>
      <w:marTop w:val="0"/>
      <w:marBottom w:val="0"/>
      <w:divBdr>
        <w:top w:val="none" w:sz="0" w:space="0" w:color="auto"/>
        <w:left w:val="none" w:sz="0" w:space="0" w:color="auto"/>
        <w:bottom w:val="none" w:sz="0" w:space="0" w:color="auto"/>
        <w:right w:val="none" w:sz="0" w:space="0" w:color="auto"/>
      </w:divBdr>
    </w:div>
    <w:div w:id="1056858262">
      <w:bodyDiv w:val="1"/>
      <w:marLeft w:val="0"/>
      <w:marRight w:val="0"/>
      <w:marTop w:val="0"/>
      <w:marBottom w:val="0"/>
      <w:divBdr>
        <w:top w:val="none" w:sz="0" w:space="0" w:color="auto"/>
        <w:left w:val="none" w:sz="0" w:space="0" w:color="auto"/>
        <w:bottom w:val="none" w:sz="0" w:space="0" w:color="auto"/>
        <w:right w:val="none" w:sz="0" w:space="0" w:color="auto"/>
      </w:divBdr>
    </w:div>
    <w:div w:id="1056969062">
      <w:bodyDiv w:val="1"/>
      <w:marLeft w:val="0"/>
      <w:marRight w:val="0"/>
      <w:marTop w:val="0"/>
      <w:marBottom w:val="0"/>
      <w:divBdr>
        <w:top w:val="none" w:sz="0" w:space="0" w:color="auto"/>
        <w:left w:val="none" w:sz="0" w:space="0" w:color="auto"/>
        <w:bottom w:val="none" w:sz="0" w:space="0" w:color="auto"/>
        <w:right w:val="none" w:sz="0" w:space="0" w:color="auto"/>
      </w:divBdr>
    </w:div>
    <w:div w:id="1057122539">
      <w:bodyDiv w:val="1"/>
      <w:marLeft w:val="0"/>
      <w:marRight w:val="0"/>
      <w:marTop w:val="0"/>
      <w:marBottom w:val="0"/>
      <w:divBdr>
        <w:top w:val="none" w:sz="0" w:space="0" w:color="auto"/>
        <w:left w:val="none" w:sz="0" w:space="0" w:color="auto"/>
        <w:bottom w:val="none" w:sz="0" w:space="0" w:color="auto"/>
        <w:right w:val="none" w:sz="0" w:space="0" w:color="auto"/>
      </w:divBdr>
    </w:div>
    <w:div w:id="1057124855">
      <w:bodyDiv w:val="1"/>
      <w:marLeft w:val="0"/>
      <w:marRight w:val="0"/>
      <w:marTop w:val="0"/>
      <w:marBottom w:val="0"/>
      <w:divBdr>
        <w:top w:val="none" w:sz="0" w:space="0" w:color="auto"/>
        <w:left w:val="none" w:sz="0" w:space="0" w:color="auto"/>
        <w:bottom w:val="none" w:sz="0" w:space="0" w:color="auto"/>
        <w:right w:val="none" w:sz="0" w:space="0" w:color="auto"/>
      </w:divBdr>
    </w:div>
    <w:div w:id="1057365031">
      <w:bodyDiv w:val="1"/>
      <w:marLeft w:val="0"/>
      <w:marRight w:val="0"/>
      <w:marTop w:val="0"/>
      <w:marBottom w:val="0"/>
      <w:divBdr>
        <w:top w:val="none" w:sz="0" w:space="0" w:color="auto"/>
        <w:left w:val="none" w:sz="0" w:space="0" w:color="auto"/>
        <w:bottom w:val="none" w:sz="0" w:space="0" w:color="auto"/>
        <w:right w:val="none" w:sz="0" w:space="0" w:color="auto"/>
      </w:divBdr>
    </w:div>
    <w:div w:id="1057507816">
      <w:bodyDiv w:val="1"/>
      <w:marLeft w:val="0"/>
      <w:marRight w:val="0"/>
      <w:marTop w:val="0"/>
      <w:marBottom w:val="0"/>
      <w:divBdr>
        <w:top w:val="none" w:sz="0" w:space="0" w:color="auto"/>
        <w:left w:val="none" w:sz="0" w:space="0" w:color="auto"/>
        <w:bottom w:val="none" w:sz="0" w:space="0" w:color="auto"/>
        <w:right w:val="none" w:sz="0" w:space="0" w:color="auto"/>
      </w:divBdr>
    </w:div>
    <w:div w:id="1057515386">
      <w:bodyDiv w:val="1"/>
      <w:marLeft w:val="0"/>
      <w:marRight w:val="0"/>
      <w:marTop w:val="0"/>
      <w:marBottom w:val="0"/>
      <w:divBdr>
        <w:top w:val="none" w:sz="0" w:space="0" w:color="auto"/>
        <w:left w:val="none" w:sz="0" w:space="0" w:color="auto"/>
        <w:bottom w:val="none" w:sz="0" w:space="0" w:color="auto"/>
        <w:right w:val="none" w:sz="0" w:space="0" w:color="auto"/>
      </w:divBdr>
    </w:div>
    <w:div w:id="1057707059">
      <w:bodyDiv w:val="1"/>
      <w:marLeft w:val="0"/>
      <w:marRight w:val="0"/>
      <w:marTop w:val="0"/>
      <w:marBottom w:val="0"/>
      <w:divBdr>
        <w:top w:val="none" w:sz="0" w:space="0" w:color="auto"/>
        <w:left w:val="none" w:sz="0" w:space="0" w:color="auto"/>
        <w:bottom w:val="none" w:sz="0" w:space="0" w:color="auto"/>
        <w:right w:val="none" w:sz="0" w:space="0" w:color="auto"/>
      </w:divBdr>
    </w:div>
    <w:div w:id="1057824116">
      <w:bodyDiv w:val="1"/>
      <w:marLeft w:val="0"/>
      <w:marRight w:val="0"/>
      <w:marTop w:val="0"/>
      <w:marBottom w:val="0"/>
      <w:divBdr>
        <w:top w:val="none" w:sz="0" w:space="0" w:color="auto"/>
        <w:left w:val="none" w:sz="0" w:space="0" w:color="auto"/>
        <w:bottom w:val="none" w:sz="0" w:space="0" w:color="auto"/>
        <w:right w:val="none" w:sz="0" w:space="0" w:color="auto"/>
      </w:divBdr>
    </w:div>
    <w:div w:id="1057969469">
      <w:bodyDiv w:val="1"/>
      <w:marLeft w:val="0"/>
      <w:marRight w:val="0"/>
      <w:marTop w:val="0"/>
      <w:marBottom w:val="0"/>
      <w:divBdr>
        <w:top w:val="none" w:sz="0" w:space="0" w:color="auto"/>
        <w:left w:val="none" w:sz="0" w:space="0" w:color="auto"/>
        <w:bottom w:val="none" w:sz="0" w:space="0" w:color="auto"/>
        <w:right w:val="none" w:sz="0" w:space="0" w:color="auto"/>
      </w:divBdr>
    </w:div>
    <w:div w:id="1057975580">
      <w:bodyDiv w:val="1"/>
      <w:marLeft w:val="0"/>
      <w:marRight w:val="0"/>
      <w:marTop w:val="0"/>
      <w:marBottom w:val="0"/>
      <w:divBdr>
        <w:top w:val="none" w:sz="0" w:space="0" w:color="auto"/>
        <w:left w:val="none" w:sz="0" w:space="0" w:color="auto"/>
        <w:bottom w:val="none" w:sz="0" w:space="0" w:color="auto"/>
        <w:right w:val="none" w:sz="0" w:space="0" w:color="auto"/>
      </w:divBdr>
    </w:div>
    <w:div w:id="1058017623">
      <w:bodyDiv w:val="1"/>
      <w:marLeft w:val="0"/>
      <w:marRight w:val="0"/>
      <w:marTop w:val="0"/>
      <w:marBottom w:val="0"/>
      <w:divBdr>
        <w:top w:val="none" w:sz="0" w:space="0" w:color="auto"/>
        <w:left w:val="none" w:sz="0" w:space="0" w:color="auto"/>
        <w:bottom w:val="none" w:sz="0" w:space="0" w:color="auto"/>
        <w:right w:val="none" w:sz="0" w:space="0" w:color="auto"/>
      </w:divBdr>
    </w:div>
    <w:div w:id="1058238654">
      <w:bodyDiv w:val="1"/>
      <w:marLeft w:val="0"/>
      <w:marRight w:val="0"/>
      <w:marTop w:val="0"/>
      <w:marBottom w:val="0"/>
      <w:divBdr>
        <w:top w:val="none" w:sz="0" w:space="0" w:color="auto"/>
        <w:left w:val="none" w:sz="0" w:space="0" w:color="auto"/>
        <w:bottom w:val="none" w:sz="0" w:space="0" w:color="auto"/>
        <w:right w:val="none" w:sz="0" w:space="0" w:color="auto"/>
      </w:divBdr>
    </w:div>
    <w:div w:id="1058279621">
      <w:bodyDiv w:val="1"/>
      <w:marLeft w:val="0"/>
      <w:marRight w:val="0"/>
      <w:marTop w:val="0"/>
      <w:marBottom w:val="0"/>
      <w:divBdr>
        <w:top w:val="none" w:sz="0" w:space="0" w:color="auto"/>
        <w:left w:val="none" w:sz="0" w:space="0" w:color="auto"/>
        <w:bottom w:val="none" w:sz="0" w:space="0" w:color="auto"/>
        <w:right w:val="none" w:sz="0" w:space="0" w:color="auto"/>
      </w:divBdr>
    </w:div>
    <w:div w:id="1058671069">
      <w:bodyDiv w:val="1"/>
      <w:marLeft w:val="0"/>
      <w:marRight w:val="0"/>
      <w:marTop w:val="0"/>
      <w:marBottom w:val="0"/>
      <w:divBdr>
        <w:top w:val="none" w:sz="0" w:space="0" w:color="auto"/>
        <w:left w:val="none" w:sz="0" w:space="0" w:color="auto"/>
        <w:bottom w:val="none" w:sz="0" w:space="0" w:color="auto"/>
        <w:right w:val="none" w:sz="0" w:space="0" w:color="auto"/>
      </w:divBdr>
    </w:div>
    <w:div w:id="1058742027">
      <w:bodyDiv w:val="1"/>
      <w:marLeft w:val="0"/>
      <w:marRight w:val="0"/>
      <w:marTop w:val="0"/>
      <w:marBottom w:val="0"/>
      <w:divBdr>
        <w:top w:val="none" w:sz="0" w:space="0" w:color="auto"/>
        <w:left w:val="none" w:sz="0" w:space="0" w:color="auto"/>
        <w:bottom w:val="none" w:sz="0" w:space="0" w:color="auto"/>
        <w:right w:val="none" w:sz="0" w:space="0" w:color="auto"/>
      </w:divBdr>
    </w:div>
    <w:div w:id="1059017256">
      <w:bodyDiv w:val="1"/>
      <w:marLeft w:val="0"/>
      <w:marRight w:val="0"/>
      <w:marTop w:val="0"/>
      <w:marBottom w:val="0"/>
      <w:divBdr>
        <w:top w:val="none" w:sz="0" w:space="0" w:color="auto"/>
        <w:left w:val="none" w:sz="0" w:space="0" w:color="auto"/>
        <w:bottom w:val="none" w:sz="0" w:space="0" w:color="auto"/>
        <w:right w:val="none" w:sz="0" w:space="0" w:color="auto"/>
      </w:divBdr>
    </w:div>
    <w:div w:id="1059086885">
      <w:bodyDiv w:val="1"/>
      <w:marLeft w:val="0"/>
      <w:marRight w:val="0"/>
      <w:marTop w:val="0"/>
      <w:marBottom w:val="0"/>
      <w:divBdr>
        <w:top w:val="none" w:sz="0" w:space="0" w:color="auto"/>
        <w:left w:val="none" w:sz="0" w:space="0" w:color="auto"/>
        <w:bottom w:val="none" w:sz="0" w:space="0" w:color="auto"/>
        <w:right w:val="none" w:sz="0" w:space="0" w:color="auto"/>
      </w:divBdr>
    </w:div>
    <w:div w:id="1059090682">
      <w:bodyDiv w:val="1"/>
      <w:marLeft w:val="0"/>
      <w:marRight w:val="0"/>
      <w:marTop w:val="0"/>
      <w:marBottom w:val="0"/>
      <w:divBdr>
        <w:top w:val="none" w:sz="0" w:space="0" w:color="auto"/>
        <w:left w:val="none" w:sz="0" w:space="0" w:color="auto"/>
        <w:bottom w:val="none" w:sz="0" w:space="0" w:color="auto"/>
        <w:right w:val="none" w:sz="0" w:space="0" w:color="auto"/>
      </w:divBdr>
    </w:div>
    <w:div w:id="1059093426">
      <w:bodyDiv w:val="1"/>
      <w:marLeft w:val="0"/>
      <w:marRight w:val="0"/>
      <w:marTop w:val="0"/>
      <w:marBottom w:val="0"/>
      <w:divBdr>
        <w:top w:val="none" w:sz="0" w:space="0" w:color="auto"/>
        <w:left w:val="none" w:sz="0" w:space="0" w:color="auto"/>
        <w:bottom w:val="none" w:sz="0" w:space="0" w:color="auto"/>
        <w:right w:val="none" w:sz="0" w:space="0" w:color="auto"/>
      </w:divBdr>
    </w:div>
    <w:div w:id="1059135144">
      <w:bodyDiv w:val="1"/>
      <w:marLeft w:val="0"/>
      <w:marRight w:val="0"/>
      <w:marTop w:val="0"/>
      <w:marBottom w:val="0"/>
      <w:divBdr>
        <w:top w:val="none" w:sz="0" w:space="0" w:color="auto"/>
        <w:left w:val="none" w:sz="0" w:space="0" w:color="auto"/>
        <w:bottom w:val="none" w:sz="0" w:space="0" w:color="auto"/>
        <w:right w:val="none" w:sz="0" w:space="0" w:color="auto"/>
      </w:divBdr>
    </w:div>
    <w:div w:id="1059281976">
      <w:bodyDiv w:val="1"/>
      <w:marLeft w:val="0"/>
      <w:marRight w:val="0"/>
      <w:marTop w:val="0"/>
      <w:marBottom w:val="0"/>
      <w:divBdr>
        <w:top w:val="none" w:sz="0" w:space="0" w:color="auto"/>
        <w:left w:val="none" w:sz="0" w:space="0" w:color="auto"/>
        <w:bottom w:val="none" w:sz="0" w:space="0" w:color="auto"/>
        <w:right w:val="none" w:sz="0" w:space="0" w:color="auto"/>
      </w:divBdr>
    </w:div>
    <w:div w:id="1059286414">
      <w:bodyDiv w:val="1"/>
      <w:marLeft w:val="0"/>
      <w:marRight w:val="0"/>
      <w:marTop w:val="0"/>
      <w:marBottom w:val="0"/>
      <w:divBdr>
        <w:top w:val="none" w:sz="0" w:space="0" w:color="auto"/>
        <w:left w:val="none" w:sz="0" w:space="0" w:color="auto"/>
        <w:bottom w:val="none" w:sz="0" w:space="0" w:color="auto"/>
        <w:right w:val="none" w:sz="0" w:space="0" w:color="auto"/>
      </w:divBdr>
    </w:div>
    <w:div w:id="1059400129">
      <w:bodyDiv w:val="1"/>
      <w:marLeft w:val="0"/>
      <w:marRight w:val="0"/>
      <w:marTop w:val="0"/>
      <w:marBottom w:val="0"/>
      <w:divBdr>
        <w:top w:val="none" w:sz="0" w:space="0" w:color="auto"/>
        <w:left w:val="none" w:sz="0" w:space="0" w:color="auto"/>
        <w:bottom w:val="none" w:sz="0" w:space="0" w:color="auto"/>
        <w:right w:val="none" w:sz="0" w:space="0" w:color="auto"/>
      </w:divBdr>
    </w:div>
    <w:div w:id="1059475895">
      <w:bodyDiv w:val="1"/>
      <w:marLeft w:val="0"/>
      <w:marRight w:val="0"/>
      <w:marTop w:val="0"/>
      <w:marBottom w:val="0"/>
      <w:divBdr>
        <w:top w:val="none" w:sz="0" w:space="0" w:color="auto"/>
        <w:left w:val="none" w:sz="0" w:space="0" w:color="auto"/>
        <w:bottom w:val="none" w:sz="0" w:space="0" w:color="auto"/>
        <w:right w:val="none" w:sz="0" w:space="0" w:color="auto"/>
      </w:divBdr>
    </w:div>
    <w:div w:id="1059479895">
      <w:bodyDiv w:val="1"/>
      <w:marLeft w:val="0"/>
      <w:marRight w:val="0"/>
      <w:marTop w:val="0"/>
      <w:marBottom w:val="0"/>
      <w:divBdr>
        <w:top w:val="none" w:sz="0" w:space="0" w:color="auto"/>
        <w:left w:val="none" w:sz="0" w:space="0" w:color="auto"/>
        <w:bottom w:val="none" w:sz="0" w:space="0" w:color="auto"/>
        <w:right w:val="none" w:sz="0" w:space="0" w:color="auto"/>
      </w:divBdr>
    </w:div>
    <w:div w:id="1059591549">
      <w:bodyDiv w:val="1"/>
      <w:marLeft w:val="0"/>
      <w:marRight w:val="0"/>
      <w:marTop w:val="0"/>
      <w:marBottom w:val="0"/>
      <w:divBdr>
        <w:top w:val="none" w:sz="0" w:space="0" w:color="auto"/>
        <w:left w:val="none" w:sz="0" w:space="0" w:color="auto"/>
        <w:bottom w:val="none" w:sz="0" w:space="0" w:color="auto"/>
        <w:right w:val="none" w:sz="0" w:space="0" w:color="auto"/>
      </w:divBdr>
    </w:div>
    <w:div w:id="1059673908">
      <w:bodyDiv w:val="1"/>
      <w:marLeft w:val="0"/>
      <w:marRight w:val="0"/>
      <w:marTop w:val="0"/>
      <w:marBottom w:val="0"/>
      <w:divBdr>
        <w:top w:val="none" w:sz="0" w:space="0" w:color="auto"/>
        <w:left w:val="none" w:sz="0" w:space="0" w:color="auto"/>
        <w:bottom w:val="none" w:sz="0" w:space="0" w:color="auto"/>
        <w:right w:val="none" w:sz="0" w:space="0" w:color="auto"/>
      </w:divBdr>
    </w:div>
    <w:div w:id="1059717708">
      <w:bodyDiv w:val="1"/>
      <w:marLeft w:val="0"/>
      <w:marRight w:val="0"/>
      <w:marTop w:val="0"/>
      <w:marBottom w:val="0"/>
      <w:divBdr>
        <w:top w:val="none" w:sz="0" w:space="0" w:color="auto"/>
        <w:left w:val="none" w:sz="0" w:space="0" w:color="auto"/>
        <w:bottom w:val="none" w:sz="0" w:space="0" w:color="auto"/>
        <w:right w:val="none" w:sz="0" w:space="0" w:color="auto"/>
      </w:divBdr>
    </w:div>
    <w:div w:id="1059859481">
      <w:bodyDiv w:val="1"/>
      <w:marLeft w:val="0"/>
      <w:marRight w:val="0"/>
      <w:marTop w:val="0"/>
      <w:marBottom w:val="0"/>
      <w:divBdr>
        <w:top w:val="none" w:sz="0" w:space="0" w:color="auto"/>
        <w:left w:val="none" w:sz="0" w:space="0" w:color="auto"/>
        <w:bottom w:val="none" w:sz="0" w:space="0" w:color="auto"/>
        <w:right w:val="none" w:sz="0" w:space="0" w:color="auto"/>
      </w:divBdr>
    </w:div>
    <w:div w:id="1059864838">
      <w:bodyDiv w:val="1"/>
      <w:marLeft w:val="0"/>
      <w:marRight w:val="0"/>
      <w:marTop w:val="0"/>
      <w:marBottom w:val="0"/>
      <w:divBdr>
        <w:top w:val="none" w:sz="0" w:space="0" w:color="auto"/>
        <w:left w:val="none" w:sz="0" w:space="0" w:color="auto"/>
        <w:bottom w:val="none" w:sz="0" w:space="0" w:color="auto"/>
        <w:right w:val="none" w:sz="0" w:space="0" w:color="auto"/>
      </w:divBdr>
    </w:div>
    <w:div w:id="1059866754">
      <w:bodyDiv w:val="1"/>
      <w:marLeft w:val="0"/>
      <w:marRight w:val="0"/>
      <w:marTop w:val="0"/>
      <w:marBottom w:val="0"/>
      <w:divBdr>
        <w:top w:val="none" w:sz="0" w:space="0" w:color="auto"/>
        <w:left w:val="none" w:sz="0" w:space="0" w:color="auto"/>
        <w:bottom w:val="none" w:sz="0" w:space="0" w:color="auto"/>
        <w:right w:val="none" w:sz="0" w:space="0" w:color="auto"/>
      </w:divBdr>
    </w:div>
    <w:div w:id="1059980209">
      <w:bodyDiv w:val="1"/>
      <w:marLeft w:val="0"/>
      <w:marRight w:val="0"/>
      <w:marTop w:val="0"/>
      <w:marBottom w:val="0"/>
      <w:divBdr>
        <w:top w:val="none" w:sz="0" w:space="0" w:color="auto"/>
        <w:left w:val="none" w:sz="0" w:space="0" w:color="auto"/>
        <w:bottom w:val="none" w:sz="0" w:space="0" w:color="auto"/>
        <w:right w:val="none" w:sz="0" w:space="0" w:color="auto"/>
      </w:divBdr>
    </w:div>
    <w:div w:id="1060056046">
      <w:bodyDiv w:val="1"/>
      <w:marLeft w:val="0"/>
      <w:marRight w:val="0"/>
      <w:marTop w:val="0"/>
      <w:marBottom w:val="0"/>
      <w:divBdr>
        <w:top w:val="none" w:sz="0" w:space="0" w:color="auto"/>
        <w:left w:val="none" w:sz="0" w:space="0" w:color="auto"/>
        <w:bottom w:val="none" w:sz="0" w:space="0" w:color="auto"/>
        <w:right w:val="none" w:sz="0" w:space="0" w:color="auto"/>
      </w:divBdr>
    </w:div>
    <w:div w:id="1060057555">
      <w:bodyDiv w:val="1"/>
      <w:marLeft w:val="0"/>
      <w:marRight w:val="0"/>
      <w:marTop w:val="0"/>
      <w:marBottom w:val="0"/>
      <w:divBdr>
        <w:top w:val="none" w:sz="0" w:space="0" w:color="auto"/>
        <w:left w:val="none" w:sz="0" w:space="0" w:color="auto"/>
        <w:bottom w:val="none" w:sz="0" w:space="0" w:color="auto"/>
        <w:right w:val="none" w:sz="0" w:space="0" w:color="auto"/>
      </w:divBdr>
    </w:div>
    <w:div w:id="1060129049">
      <w:bodyDiv w:val="1"/>
      <w:marLeft w:val="0"/>
      <w:marRight w:val="0"/>
      <w:marTop w:val="0"/>
      <w:marBottom w:val="0"/>
      <w:divBdr>
        <w:top w:val="none" w:sz="0" w:space="0" w:color="auto"/>
        <w:left w:val="none" w:sz="0" w:space="0" w:color="auto"/>
        <w:bottom w:val="none" w:sz="0" w:space="0" w:color="auto"/>
        <w:right w:val="none" w:sz="0" w:space="0" w:color="auto"/>
      </w:divBdr>
    </w:div>
    <w:div w:id="1060129100">
      <w:bodyDiv w:val="1"/>
      <w:marLeft w:val="0"/>
      <w:marRight w:val="0"/>
      <w:marTop w:val="0"/>
      <w:marBottom w:val="0"/>
      <w:divBdr>
        <w:top w:val="none" w:sz="0" w:space="0" w:color="auto"/>
        <w:left w:val="none" w:sz="0" w:space="0" w:color="auto"/>
        <w:bottom w:val="none" w:sz="0" w:space="0" w:color="auto"/>
        <w:right w:val="none" w:sz="0" w:space="0" w:color="auto"/>
      </w:divBdr>
    </w:div>
    <w:div w:id="1060129335">
      <w:bodyDiv w:val="1"/>
      <w:marLeft w:val="0"/>
      <w:marRight w:val="0"/>
      <w:marTop w:val="0"/>
      <w:marBottom w:val="0"/>
      <w:divBdr>
        <w:top w:val="none" w:sz="0" w:space="0" w:color="auto"/>
        <w:left w:val="none" w:sz="0" w:space="0" w:color="auto"/>
        <w:bottom w:val="none" w:sz="0" w:space="0" w:color="auto"/>
        <w:right w:val="none" w:sz="0" w:space="0" w:color="auto"/>
      </w:divBdr>
    </w:div>
    <w:div w:id="1060178379">
      <w:bodyDiv w:val="1"/>
      <w:marLeft w:val="0"/>
      <w:marRight w:val="0"/>
      <w:marTop w:val="0"/>
      <w:marBottom w:val="0"/>
      <w:divBdr>
        <w:top w:val="none" w:sz="0" w:space="0" w:color="auto"/>
        <w:left w:val="none" w:sz="0" w:space="0" w:color="auto"/>
        <w:bottom w:val="none" w:sz="0" w:space="0" w:color="auto"/>
        <w:right w:val="none" w:sz="0" w:space="0" w:color="auto"/>
      </w:divBdr>
    </w:div>
    <w:div w:id="1060179085">
      <w:bodyDiv w:val="1"/>
      <w:marLeft w:val="0"/>
      <w:marRight w:val="0"/>
      <w:marTop w:val="0"/>
      <w:marBottom w:val="0"/>
      <w:divBdr>
        <w:top w:val="none" w:sz="0" w:space="0" w:color="auto"/>
        <w:left w:val="none" w:sz="0" w:space="0" w:color="auto"/>
        <w:bottom w:val="none" w:sz="0" w:space="0" w:color="auto"/>
        <w:right w:val="none" w:sz="0" w:space="0" w:color="auto"/>
      </w:divBdr>
    </w:div>
    <w:div w:id="1060203232">
      <w:bodyDiv w:val="1"/>
      <w:marLeft w:val="0"/>
      <w:marRight w:val="0"/>
      <w:marTop w:val="0"/>
      <w:marBottom w:val="0"/>
      <w:divBdr>
        <w:top w:val="none" w:sz="0" w:space="0" w:color="auto"/>
        <w:left w:val="none" w:sz="0" w:space="0" w:color="auto"/>
        <w:bottom w:val="none" w:sz="0" w:space="0" w:color="auto"/>
        <w:right w:val="none" w:sz="0" w:space="0" w:color="auto"/>
      </w:divBdr>
    </w:div>
    <w:div w:id="1060246486">
      <w:bodyDiv w:val="1"/>
      <w:marLeft w:val="0"/>
      <w:marRight w:val="0"/>
      <w:marTop w:val="0"/>
      <w:marBottom w:val="0"/>
      <w:divBdr>
        <w:top w:val="none" w:sz="0" w:space="0" w:color="auto"/>
        <w:left w:val="none" w:sz="0" w:space="0" w:color="auto"/>
        <w:bottom w:val="none" w:sz="0" w:space="0" w:color="auto"/>
        <w:right w:val="none" w:sz="0" w:space="0" w:color="auto"/>
      </w:divBdr>
    </w:div>
    <w:div w:id="1060326773">
      <w:bodyDiv w:val="1"/>
      <w:marLeft w:val="0"/>
      <w:marRight w:val="0"/>
      <w:marTop w:val="0"/>
      <w:marBottom w:val="0"/>
      <w:divBdr>
        <w:top w:val="none" w:sz="0" w:space="0" w:color="auto"/>
        <w:left w:val="none" w:sz="0" w:space="0" w:color="auto"/>
        <w:bottom w:val="none" w:sz="0" w:space="0" w:color="auto"/>
        <w:right w:val="none" w:sz="0" w:space="0" w:color="auto"/>
      </w:divBdr>
    </w:div>
    <w:div w:id="1060441643">
      <w:bodyDiv w:val="1"/>
      <w:marLeft w:val="0"/>
      <w:marRight w:val="0"/>
      <w:marTop w:val="0"/>
      <w:marBottom w:val="0"/>
      <w:divBdr>
        <w:top w:val="none" w:sz="0" w:space="0" w:color="auto"/>
        <w:left w:val="none" w:sz="0" w:space="0" w:color="auto"/>
        <w:bottom w:val="none" w:sz="0" w:space="0" w:color="auto"/>
        <w:right w:val="none" w:sz="0" w:space="0" w:color="auto"/>
      </w:divBdr>
    </w:div>
    <w:div w:id="1060442218">
      <w:bodyDiv w:val="1"/>
      <w:marLeft w:val="0"/>
      <w:marRight w:val="0"/>
      <w:marTop w:val="0"/>
      <w:marBottom w:val="0"/>
      <w:divBdr>
        <w:top w:val="none" w:sz="0" w:space="0" w:color="auto"/>
        <w:left w:val="none" w:sz="0" w:space="0" w:color="auto"/>
        <w:bottom w:val="none" w:sz="0" w:space="0" w:color="auto"/>
        <w:right w:val="none" w:sz="0" w:space="0" w:color="auto"/>
      </w:divBdr>
    </w:div>
    <w:div w:id="1060442382">
      <w:bodyDiv w:val="1"/>
      <w:marLeft w:val="0"/>
      <w:marRight w:val="0"/>
      <w:marTop w:val="0"/>
      <w:marBottom w:val="0"/>
      <w:divBdr>
        <w:top w:val="none" w:sz="0" w:space="0" w:color="auto"/>
        <w:left w:val="none" w:sz="0" w:space="0" w:color="auto"/>
        <w:bottom w:val="none" w:sz="0" w:space="0" w:color="auto"/>
        <w:right w:val="none" w:sz="0" w:space="0" w:color="auto"/>
      </w:divBdr>
    </w:div>
    <w:div w:id="1060640821">
      <w:bodyDiv w:val="1"/>
      <w:marLeft w:val="0"/>
      <w:marRight w:val="0"/>
      <w:marTop w:val="0"/>
      <w:marBottom w:val="0"/>
      <w:divBdr>
        <w:top w:val="none" w:sz="0" w:space="0" w:color="auto"/>
        <w:left w:val="none" w:sz="0" w:space="0" w:color="auto"/>
        <w:bottom w:val="none" w:sz="0" w:space="0" w:color="auto"/>
        <w:right w:val="none" w:sz="0" w:space="0" w:color="auto"/>
      </w:divBdr>
    </w:div>
    <w:div w:id="1060710309">
      <w:bodyDiv w:val="1"/>
      <w:marLeft w:val="0"/>
      <w:marRight w:val="0"/>
      <w:marTop w:val="0"/>
      <w:marBottom w:val="0"/>
      <w:divBdr>
        <w:top w:val="none" w:sz="0" w:space="0" w:color="auto"/>
        <w:left w:val="none" w:sz="0" w:space="0" w:color="auto"/>
        <w:bottom w:val="none" w:sz="0" w:space="0" w:color="auto"/>
        <w:right w:val="none" w:sz="0" w:space="0" w:color="auto"/>
      </w:divBdr>
    </w:div>
    <w:div w:id="1060834104">
      <w:bodyDiv w:val="1"/>
      <w:marLeft w:val="0"/>
      <w:marRight w:val="0"/>
      <w:marTop w:val="0"/>
      <w:marBottom w:val="0"/>
      <w:divBdr>
        <w:top w:val="none" w:sz="0" w:space="0" w:color="auto"/>
        <w:left w:val="none" w:sz="0" w:space="0" w:color="auto"/>
        <w:bottom w:val="none" w:sz="0" w:space="0" w:color="auto"/>
        <w:right w:val="none" w:sz="0" w:space="0" w:color="auto"/>
      </w:divBdr>
    </w:div>
    <w:div w:id="1060862544">
      <w:bodyDiv w:val="1"/>
      <w:marLeft w:val="0"/>
      <w:marRight w:val="0"/>
      <w:marTop w:val="0"/>
      <w:marBottom w:val="0"/>
      <w:divBdr>
        <w:top w:val="none" w:sz="0" w:space="0" w:color="auto"/>
        <w:left w:val="none" w:sz="0" w:space="0" w:color="auto"/>
        <w:bottom w:val="none" w:sz="0" w:space="0" w:color="auto"/>
        <w:right w:val="none" w:sz="0" w:space="0" w:color="auto"/>
      </w:divBdr>
    </w:div>
    <w:div w:id="1061057062">
      <w:bodyDiv w:val="1"/>
      <w:marLeft w:val="0"/>
      <w:marRight w:val="0"/>
      <w:marTop w:val="0"/>
      <w:marBottom w:val="0"/>
      <w:divBdr>
        <w:top w:val="none" w:sz="0" w:space="0" w:color="auto"/>
        <w:left w:val="none" w:sz="0" w:space="0" w:color="auto"/>
        <w:bottom w:val="none" w:sz="0" w:space="0" w:color="auto"/>
        <w:right w:val="none" w:sz="0" w:space="0" w:color="auto"/>
      </w:divBdr>
    </w:div>
    <w:div w:id="1061247257">
      <w:bodyDiv w:val="1"/>
      <w:marLeft w:val="0"/>
      <w:marRight w:val="0"/>
      <w:marTop w:val="0"/>
      <w:marBottom w:val="0"/>
      <w:divBdr>
        <w:top w:val="none" w:sz="0" w:space="0" w:color="auto"/>
        <w:left w:val="none" w:sz="0" w:space="0" w:color="auto"/>
        <w:bottom w:val="none" w:sz="0" w:space="0" w:color="auto"/>
        <w:right w:val="none" w:sz="0" w:space="0" w:color="auto"/>
      </w:divBdr>
    </w:div>
    <w:div w:id="1061293579">
      <w:bodyDiv w:val="1"/>
      <w:marLeft w:val="0"/>
      <w:marRight w:val="0"/>
      <w:marTop w:val="0"/>
      <w:marBottom w:val="0"/>
      <w:divBdr>
        <w:top w:val="none" w:sz="0" w:space="0" w:color="auto"/>
        <w:left w:val="none" w:sz="0" w:space="0" w:color="auto"/>
        <w:bottom w:val="none" w:sz="0" w:space="0" w:color="auto"/>
        <w:right w:val="none" w:sz="0" w:space="0" w:color="auto"/>
      </w:divBdr>
    </w:div>
    <w:div w:id="1061321071">
      <w:bodyDiv w:val="1"/>
      <w:marLeft w:val="0"/>
      <w:marRight w:val="0"/>
      <w:marTop w:val="0"/>
      <w:marBottom w:val="0"/>
      <w:divBdr>
        <w:top w:val="none" w:sz="0" w:space="0" w:color="auto"/>
        <w:left w:val="none" w:sz="0" w:space="0" w:color="auto"/>
        <w:bottom w:val="none" w:sz="0" w:space="0" w:color="auto"/>
        <w:right w:val="none" w:sz="0" w:space="0" w:color="auto"/>
      </w:divBdr>
    </w:div>
    <w:div w:id="1061365920">
      <w:bodyDiv w:val="1"/>
      <w:marLeft w:val="0"/>
      <w:marRight w:val="0"/>
      <w:marTop w:val="0"/>
      <w:marBottom w:val="0"/>
      <w:divBdr>
        <w:top w:val="none" w:sz="0" w:space="0" w:color="auto"/>
        <w:left w:val="none" w:sz="0" w:space="0" w:color="auto"/>
        <w:bottom w:val="none" w:sz="0" w:space="0" w:color="auto"/>
        <w:right w:val="none" w:sz="0" w:space="0" w:color="auto"/>
      </w:divBdr>
    </w:div>
    <w:div w:id="1061441300">
      <w:bodyDiv w:val="1"/>
      <w:marLeft w:val="0"/>
      <w:marRight w:val="0"/>
      <w:marTop w:val="0"/>
      <w:marBottom w:val="0"/>
      <w:divBdr>
        <w:top w:val="none" w:sz="0" w:space="0" w:color="auto"/>
        <w:left w:val="none" w:sz="0" w:space="0" w:color="auto"/>
        <w:bottom w:val="none" w:sz="0" w:space="0" w:color="auto"/>
        <w:right w:val="none" w:sz="0" w:space="0" w:color="auto"/>
      </w:divBdr>
    </w:div>
    <w:div w:id="1061488931">
      <w:bodyDiv w:val="1"/>
      <w:marLeft w:val="0"/>
      <w:marRight w:val="0"/>
      <w:marTop w:val="0"/>
      <w:marBottom w:val="0"/>
      <w:divBdr>
        <w:top w:val="none" w:sz="0" w:space="0" w:color="auto"/>
        <w:left w:val="none" w:sz="0" w:space="0" w:color="auto"/>
        <w:bottom w:val="none" w:sz="0" w:space="0" w:color="auto"/>
        <w:right w:val="none" w:sz="0" w:space="0" w:color="auto"/>
      </w:divBdr>
    </w:div>
    <w:div w:id="1061514519">
      <w:bodyDiv w:val="1"/>
      <w:marLeft w:val="0"/>
      <w:marRight w:val="0"/>
      <w:marTop w:val="0"/>
      <w:marBottom w:val="0"/>
      <w:divBdr>
        <w:top w:val="none" w:sz="0" w:space="0" w:color="auto"/>
        <w:left w:val="none" w:sz="0" w:space="0" w:color="auto"/>
        <w:bottom w:val="none" w:sz="0" w:space="0" w:color="auto"/>
        <w:right w:val="none" w:sz="0" w:space="0" w:color="auto"/>
      </w:divBdr>
    </w:div>
    <w:div w:id="1061639513">
      <w:bodyDiv w:val="1"/>
      <w:marLeft w:val="0"/>
      <w:marRight w:val="0"/>
      <w:marTop w:val="0"/>
      <w:marBottom w:val="0"/>
      <w:divBdr>
        <w:top w:val="none" w:sz="0" w:space="0" w:color="auto"/>
        <w:left w:val="none" w:sz="0" w:space="0" w:color="auto"/>
        <w:bottom w:val="none" w:sz="0" w:space="0" w:color="auto"/>
        <w:right w:val="none" w:sz="0" w:space="0" w:color="auto"/>
      </w:divBdr>
    </w:div>
    <w:div w:id="1061713248">
      <w:bodyDiv w:val="1"/>
      <w:marLeft w:val="0"/>
      <w:marRight w:val="0"/>
      <w:marTop w:val="0"/>
      <w:marBottom w:val="0"/>
      <w:divBdr>
        <w:top w:val="none" w:sz="0" w:space="0" w:color="auto"/>
        <w:left w:val="none" w:sz="0" w:space="0" w:color="auto"/>
        <w:bottom w:val="none" w:sz="0" w:space="0" w:color="auto"/>
        <w:right w:val="none" w:sz="0" w:space="0" w:color="auto"/>
      </w:divBdr>
    </w:div>
    <w:div w:id="1061752050">
      <w:bodyDiv w:val="1"/>
      <w:marLeft w:val="0"/>
      <w:marRight w:val="0"/>
      <w:marTop w:val="0"/>
      <w:marBottom w:val="0"/>
      <w:divBdr>
        <w:top w:val="none" w:sz="0" w:space="0" w:color="auto"/>
        <w:left w:val="none" w:sz="0" w:space="0" w:color="auto"/>
        <w:bottom w:val="none" w:sz="0" w:space="0" w:color="auto"/>
        <w:right w:val="none" w:sz="0" w:space="0" w:color="auto"/>
      </w:divBdr>
    </w:div>
    <w:div w:id="1061758082">
      <w:bodyDiv w:val="1"/>
      <w:marLeft w:val="0"/>
      <w:marRight w:val="0"/>
      <w:marTop w:val="0"/>
      <w:marBottom w:val="0"/>
      <w:divBdr>
        <w:top w:val="none" w:sz="0" w:space="0" w:color="auto"/>
        <w:left w:val="none" w:sz="0" w:space="0" w:color="auto"/>
        <w:bottom w:val="none" w:sz="0" w:space="0" w:color="auto"/>
        <w:right w:val="none" w:sz="0" w:space="0" w:color="auto"/>
      </w:divBdr>
    </w:div>
    <w:div w:id="1061947130">
      <w:bodyDiv w:val="1"/>
      <w:marLeft w:val="0"/>
      <w:marRight w:val="0"/>
      <w:marTop w:val="0"/>
      <w:marBottom w:val="0"/>
      <w:divBdr>
        <w:top w:val="none" w:sz="0" w:space="0" w:color="auto"/>
        <w:left w:val="none" w:sz="0" w:space="0" w:color="auto"/>
        <w:bottom w:val="none" w:sz="0" w:space="0" w:color="auto"/>
        <w:right w:val="none" w:sz="0" w:space="0" w:color="auto"/>
      </w:divBdr>
    </w:div>
    <w:div w:id="1062093926">
      <w:bodyDiv w:val="1"/>
      <w:marLeft w:val="0"/>
      <w:marRight w:val="0"/>
      <w:marTop w:val="0"/>
      <w:marBottom w:val="0"/>
      <w:divBdr>
        <w:top w:val="none" w:sz="0" w:space="0" w:color="auto"/>
        <w:left w:val="none" w:sz="0" w:space="0" w:color="auto"/>
        <w:bottom w:val="none" w:sz="0" w:space="0" w:color="auto"/>
        <w:right w:val="none" w:sz="0" w:space="0" w:color="auto"/>
      </w:divBdr>
    </w:div>
    <w:div w:id="1062480655">
      <w:bodyDiv w:val="1"/>
      <w:marLeft w:val="0"/>
      <w:marRight w:val="0"/>
      <w:marTop w:val="0"/>
      <w:marBottom w:val="0"/>
      <w:divBdr>
        <w:top w:val="none" w:sz="0" w:space="0" w:color="auto"/>
        <w:left w:val="none" w:sz="0" w:space="0" w:color="auto"/>
        <w:bottom w:val="none" w:sz="0" w:space="0" w:color="auto"/>
        <w:right w:val="none" w:sz="0" w:space="0" w:color="auto"/>
      </w:divBdr>
    </w:div>
    <w:div w:id="1062485292">
      <w:bodyDiv w:val="1"/>
      <w:marLeft w:val="0"/>
      <w:marRight w:val="0"/>
      <w:marTop w:val="0"/>
      <w:marBottom w:val="0"/>
      <w:divBdr>
        <w:top w:val="none" w:sz="0" w:space="0" w:color="auto"/>
        <w:left w:val="none" w:sz="0" w:space="0" w:color="auto"/>
        <w:bottom w:val="none" w:sz="0" w:space="0" w:color="auto"/>
        <w:right w:val="none" w:sz="0" w:space="0" w:color="auto"/>
      </w:divBdr>
    </w:div>
    <w:div w:id="1062749998">
      <w:bodyDiv w:val="1"/>
      <w:marLeft w:val="0"/>
      <w:marRight w:val="0"/>
      <w:marTop w:val="0"/>
      <w:marBottom w:val="0"/>
      <w:divBdr>
        <w:top w:val="none" w:sz="0" w:space="0" w:color="auto"/>
        <w:left w:val="none" w:sz="0" w:space="0" w:color="auto"/>
        <w:bottom w:val="none" w:sz="0" w:space="0" w:color="auto"/>
        <w:right w:val="none" w:sz="0" w:space="0" w:color="auto"/>
      </w:divBdr>
    </w:div>
    <w:div w:id="1062829739">
      <w:bodyDiv w:val="1"/>
      <w:marLeft w:val="0"/>
      <w:marRight w:val="0"/>
      <w:marTop w:val="0"/>
      <w:marBottom w:val="0"/>
      <w:divBdr>
        <w:top w:val="none" w:sz="0" w:space="0" w:color="auto"/>
        <w:left w:val="none" w:sz="0" w:space="0" w:color="auto"/>
        <w:bottom w:val="none" w:sz="0" w:space="0" w:color="auto"/>
        <w:right w:val="none" w:sz="0" w:space="0" w:color="auto"/>
      </w:divBdr>
    </w:div>
    <w:div w:id="1062943728">
      <w:bodyDiv w:val="1"/>
      <w:marLeft w:val="0"/>
      <w:marRight w:val="0"/>
      <w:marTop w:val="0"/>
      <w:marBottom w:val="0"/>
      <w:divBdr>
        <w:top w:val="none" w:sz="0" w:space="0" w:color="auto"/>
        <w:left w:val="none" w:sz="0" w:space="0" w:color="auto"/>
        <w:bottom w:val="none" w:sz="0" w:space="0" w:color="auto"/>
        <w:right w:val="none" w:sz="0" w:space="0" w:color="auto"/>
      </w:divBdr>
    </w:div>
    <w:div w:id="1062943968">
      <w:bodyDiv w:val="1"/>
      <w:marLeft w:val="0"/>
      <w:marRight w:val="0"/>
      <w:marTop w:val="0"/>
      <w:marBottom w:val="0"/>
      <w:divBdr>
        <w:top w:val="none" w:sz="0" w:space="0" w:color="auto"/>
        <w:left w:val="none" w:sz="0" w:space="0" w:color="auto"/>
        <w:bottom w:val="none" w:sz="0" w:space="0" w:color="auto"/>
        <w:right w:val="none" w:sz="0" w:space="0" w:color="auto"/>
      </w:divBdr>
    </w:div>
    <w:div w:id="1063139177">
      <w:bodyDiv w:val="1"/>
      <w:marLeft w:val="0"/>
      <w:marRight w:val="0"/>
      <w:marTop w:val="0"/>
      <w:marBottom w:val="0"/>
      <w:divBdr>
        <w:top w:val="none" w:sz="0" w:space="0" w:color="auto"/>
        <w:left w:val="none" w:sz="0" w:space="0" w:color="auto"/>
        <w:bottom w:val="none" w:sz="0" w:space="0" w:color="auto"/>
        <w:right w:val="none" w:sz="0" w:space="0" w:color="auto"/>
      </w:divBdr>
    </w:div>
    <w:div w:id="1063261289">
      <w:bodyDiv w:val="1"/>
      <w:marLeft w:val="0"/>
      <w:marRight w:val="0"/>
      <w:marTop w:val="0"/>
      <w:marBottom w:val="0"/>
      <w:divBdr>
        <w:top w:val="none" w:sz="0" w:space="0" w:color="auto"/>
        <w:left w:val="none" w:sz="0" w:space="0" w:color="auto"/>
        <w:bottom w:val="none" w:sz="0" w:space="0" w:color="auto"/>
        <w:right w:val="none" w:sz="0" w:space="0" w:color="auto"/>
      </w:divBdr>
    </w:div>
    <w:div w:id="1063287003">
      <w:bodyDiv w:val="1"/>
      <w:marLeft w:val="0"/>
      <w:marRight w:val="0"/>
      <w:marTop w:val="0"/>
      <w:marBottom w:val="0"/>
      <w:divBdr>
        <w:top w:val="none" w:sz="0" w:space="0" w:color="auto"/>
        <w:left w:val="none" w:sz="0" w:space="0" w:color="auto"/>
        <w:bottom w:val="none" w:sz="0" w:space="0" w:color="auto"/>
        <w:right w:val="none" w:sz="0" w:space="0" w:color="auto"/>
      </w:divBdr>
    </w:div>
    <w:div w:id="1063329201">
      <w:bodyDiv w:val="1"/>
      <w:marLeft w:val="0"/>
      <w:marRight w:val="0"/>
      <w:marTop w:val="0"/>
      <w:marBottom w:val="0"/>
      <w:divBdr>
        <w:top w:val="none" w:sz="0" w:space="0" w:color="auto"/>
        <w:left w:val="none" w:sz="0" w:space="0" w:color="auto"/>
        <w:bottom w:val="none" w:sz="0" w:space="0" w:color="auto"/>
        <w:right w:val="none" w:sz="0" w:space="0" w:color="auto"/>
      </w:divBdr>
    </w:div>
    <w:div w:id="1063331142">
      <w:bodyDiv w:val="1"/>
      <w:marLeft w:val="0"/>
      <w:marRight w:val="0"/>
      <w:marTop w:val="0"/>
      <w:marBottom w:val="0"/>
      <w:divBdr>
        <w:top w:val="none" w:sz="0" w:space="0" w:color="auto"/>
        <w:left w:val="none" w:sz="0" w:space="0" w:color="auto"/>
        <w:bottom w:val="none" w:sz="0" w:space="0" w:color="auto"/>
        <w:right w:val="none" w:sz="0" w:space="0" w:color="auto"/>
      </w:divBdr>
    </w:div>
    <w:div w:id="1063332006">
      <w:bodyDiv w:val="1"/>
      <w:marLeft w:val="0"/>
      <w:marRight w:val="0"/>
      <w:marTop w:val="0"/>
      <w:marBottom w:val="0"/>
      <w:divBdr>
        <w:top w:val="none" w:sz="0" w:space="0" w:color="auto"/>
        <w:left w:val="none" w:sz="0" w:space="0" w:color="auto"/>
        <w:bottom w:val="none" w:sz="0" w:space="0" w:color="auto"/>
        <w:right w:val="none" w:sz="0" w:space="0" w:color="auto"/>
      </w:divBdr>
    </w:div>
    <w:div w:id="1063601341">
      <w:bodyDiv w:val="1"/>
      <w:marLeft w:val="0"/>
      <w:marRight w:val="0"/>
      <w:marTop w:val="0"/>
      <w:marBottom w:val="0"/>
      <w:divBdr>
        <w:top w:val="none" w:sz="0" w:space="0" w:color="auto"/>
        <w:left w:val="none" w:sz="0" w:space="0" w:color="auto"/>
        <w:bottom w:val="none" w:sz="0" w:space="0" w:color="auto"/>
        <w:right w:val="none" w:sz="0" w:space="0" w:color="auto"/>
      </w:divBdr>
    </w:div>
    <w:div w:id="1063605655">
      <w:bodyDiv w:val="1"/>
      <w:marLeft w:val="0"/>
      <w:marRight w:val="0"/>
      <w:marTop w:val="0"/>
      <w:marBottom w:val="0"/>
      <w:divBdr>
        <w:top w:val="none" w:sz="0" w:space="0" w:color="auto"/>
        <w:left w:val="none" w:sz="0" w:space="0" w:color="auto"/>
        <w:bottom w:val="none" w:sz="0" w:space="0" w:color="auto"/>
        <w:right w:val="none" w:sz="0" w:space="0" w:color="auto"/>
      </w:divBdr>
    </w:div>
    <w:div w:id="1063676784">
      <w:bodyDiv w:val="1"/>
      <w:marLeft w:val="0"/>
      <w:marRight w:val="0"/>
      <w:marTop w:val="0"/>
      <w:marBottom w:val="0"/>
      <w:divBdr>
        <w:top w:val="none" w:sz="0" w:space="0" w:color="auto"/>
        <w:left w:val="none" w:sz="0" w:space="0" w:color="auto"/>
        <w:bottom w:val="none" w:sz="0" w:space="0" w:color="auto"/>
        <w:right w:val="none" w:sz="0" w:space="0" w:color="auto"/>
      </w:divBdr>
    </w:div>
    <w:div w:id="1063718579">
      <w:bodyDiv w:val="1"/>
      <w:marLeft w:val="0"/>
      <w:marRight w:val="0"/>
      <w:marTop w:val="0"/>
      <w:marBottom w:val="0"/>
      <w:divBdr>
        <w:top w:val="none" w:sz="0" w:space="0" w:color="auto"/>
        <w:left w:val="none" w:sz="0" w:space="0" w:color="auto"/>
        <w:bottom w:val="none" w:sz="0" w:space="0" w:color="auto"/>
        <w:right w:val="none" w:sz="0" w:space="0" w:color="auto"/>
      </w:divBdr>
    </w:div>
    <w:div w:id="1063791621">
      <w:bodyDiv w:val="1"/>
      <w:marLeft w:val="0"/>
      <w:marRight w:val="0"/>
      <w:marTop w:val="0"/>
      <w:marBottom w:val="0"/>
      <w:divBdr>
        <w:top w:val="none" w:sz="0" w:space="0" w:color="auto"/>
        <w:left w:val="none" w:sz="0" w:space="0" w:color="auto"/>
        <w:bottom w:val="none" w:sz="0" w:space="0" w:color="auto"/>
        <w:right w:val="none" w:sz="0" w:space="0" w:color="auto"/>
      </w:divBdr>
    </w:div>
    <w:div w:id="1063798414">
      <w:bodyDiv w:val="1"/>
      <w:marLeft w:val="0"/>
      <w:marRight w:val="0"/>
      <w:marTop w:val="0"/>
      <w:marBottom w:val="0"/>
      <w:divBdr>
        <w:top w:val="none" w:sz="0" w:space="0" w:color="auto"/>
        <w:left w:val="none" w:sz="0" w:space="0" w:color="auto"/>
        <w:bottom w:val="none" w:sz="0" w:space="0" w:color="auto"/>
        <w:right w:val="none" w:sz="0" w:space="0" w:color="auto"/>
      </w:divBdr>
    </w:div>
    <w:div w:id="1063912063">
      <w:bodyDiv w:val="1"/>
      <w:marLeft w:val="0"/>
      <w:marRight w:val="0"/>
      <w:marTop w:val="0"/>
      <w:marBottom w:val="0"/>
      <w:divBdr>
        <w:top w:val="none" w:sz="0" w:space="0" w:color="auto"/>
        <w:left w:val="none" w:sz="0" w:space="0" w:color="auto"/>
        <w:bottom w:val="none" w:sz="0" w:space="0" w:color="auto"/>
        <w:right w:val="none" w:sz="0" w:space="0" w:color="auto"/>
      </w:divBdr>
    </w:div>
    <w:div w:id="1063987942">
      <w:bodyDiv w:val="1"/>
      <w:marLeft w:val="0"/>
      <w:marRight w:val="0"/>
      <w:marTop w:val="0"/>
      <w:marBottom w:val="0"/>
      <w:divBdr>
        <w:top w:val="none" w:sz="0" w:space="0" w:color="auto"/>
        <w:left w:val="none" w:sz="0" w:space="0" w:color="auto"/>
        <w:bottom w:val="none" w:sz="0" w:space="0" w:color="auto"/>
        <w:right w:val="none" w:sz="0" w:space="0" w:color="auto"/>
      </w:divBdr>
    </w:div>
    <w:div w:id="1064139433">
      <w:bodyDiv w:val="1"/>
      <w:marLeft w:val="0"/>
      <w:marRight w:val="0"/>
      <w:marTop w:val="0"/>
      <w:marBottom w:val="0"/>
      <w:divBdr>
        <w:top w:val="none" w:sz="0" w:space="0" w:color="auto"/>
        <w:left w:val="none" w:sz="0" w:space="0" w:color="auto"/>
        <w:bottom w:val="none" w:sz="0" w:space="0" w:color="auto"/>
        <w:right w:val="none" w:sz="0" w:space="0" w:color="auto"/>
      </w:divBdr>
    </w:div>
    <w:div w:id="1064374778">
      <w:bodyDiv w:val="1"/>
      <w:marLeft w:val="0"/>
      <w:marRight w:val="0"/>
      <w:marTop w:val="0"/>
      <w:marBottom w:val="0"/>
      <w:divBdr>
        <w:top w:val="none" w:sz="0" w:space="0" w:color="auto"/>
        <w:left w:val="none" w:sz="0" w:space="0" w:color="auto"/>
        <w:bottom w:val="none" w:sz="0" w:space="0" w:color="auto"/>
        <w:right w:val="none" w:sz="0" w:space="0" w:color="auto"/>
      </w:divBdr>
    </w:div>
    <w:div w:id="1064524773">
      <w:bodyDiv w:val="1"/>
      <w:marLeft w:val="0"/>
      <w:marRight w:val="0"/>
      <w:marTop w:val="0"/>
      <w:marBottom w:val="0"/>
      <w:divBdr>
        <w:top w:val="none" w:sz="0" w:space="0" w:color="auto"/>
        <w:left w:val="none" w:sz="0" w:space="0" w:color="auto"/>
        <w:bottom w:val="none" w:sz="0" w:space="0" w:color="auto"/>
        <w:right w:val="none" w:sz="0" w:space="0" w:color="auto"/>
      </w:divBdr>
    </w:div>
    <w:div w:id="1064716994">
      <w:bodyDiv w:val="1"/>
      <w:marLeft w:val="0"/>
      <w:marRight w:val="0"/>
      <w:marTop w:val="0"/>
      <w:marBottom w:val="0"/>
      <w:divBdr>
        <w:top w:val="none" w:sz="0" w:space="0" w:color="auto"/>
        <w:left w:val="none" w:sz="0" w:space="0" w:color="auto"/>
        <w:bottom w:val="none" w:sz="0" w:space="0" w:color="auto"/>
        <w:right w:val="none" w:sz="0" w:space="0" w:color="auto"/>
      </w:divBdr>
    </w:div>
    <w:div w:id="1064717793">
      <w:bodyDiv w:val="1"/>
      <w:marLeft w:val="0"/>
      <w:marRight w:val="0"/>
      <w:marTop w:val="0"/>
      <w:marBottom w:val="0"/>
      <w:divBdr>
        <w:top w:val="none" w:sz="0" w:space="0" w:color="auto"/>
        <w:left w:val="none" w:sz="0" w:space="0" w:color="auto"/>
        <w:bottom w:val="none" w:sz="0" w:space="0" w:color="auto"/>
        <w:right w:val="none" w:sz="0" w:space="0" w:color="auto"/>
      </w:divBdr>
    </w:div>
    <w:div w:id="1064719999">
      <w:bodyDiv w:val="1"/>
      <w:marLeft w:val="0"/>
      <w:marRight w:val="0"/>
      <w:marTop w:val="0"/>
      <w:marBottom w:val="0"/>
      <w:divBdr>
        <w:top w:val="none" w:sz="0" w:space="0" w:color="auto"/>
        <w:left w:val="none" w:sz="0" w:space="0" w:color="auto"/>
        <w:bottom w:val="none" w:sz="0" w:space="0" w:color="auto"/>
        <w:right w:val="none" w:sz="0" w:space="0" w:color="auto"/>
      </w:divBdr>
    </w:div>
    <w:div w:id="1064723016">
      <w:bodyDiv w:val="1"/>
      <w:marLeft w:val="0"/>
      <w:marRight w:val="0"/>
      <w:marTop w:val="0"/>
      <w:marBottom w:val="0"/>
      <w:divBdr>
        <w:top w:val="none" w:sz="0" w:space="0" w:color="auto"/>
        <w:left w:val="none" w:sz="0" w:space="0" w:color="auto"/>
        <w:bottom w:val="none" w:sz="0" w:space="0" w:color="auto"/>
        <w:right w:val="none" w:sz="0" w:space="0" w:color="auto"/>
      </w:divBdr>
    </w:div>
    <w:div w:id="1064790373">
      <w:bodyDiv w:val="1"/>
      <w:marLeft w:val="0"/>
      <w:marRight w:val="0"/>
      <w:marTop w:val="0"/>
      <w:marBottom w:val="0"/>
      <w:divBdr>
        <w:top w:val="none" w:sz="0" w:space="0" w:color="auto"/>
        <w:left w:val="none" w:sz="0" w:space="0" w:color="auto"/>
        <w:bottom w:val="none" w:sz="0" w:space="0" w:color="auto"/>
        <w:right w:val="none" w:sz="0" w:space="0" w:color="auto"/>
      </w:divBdr>
    </w:div>
    <w:div w:id="1064908909">
      <w:bodyDiv w:val="1"/>
      <w:marLeft w:val="0"/>
      <w:marRight w:val="0"/>
      <w:marTop w:val="0"/>
      <w:marBottom w:val="0"/>
      <w:divBdr>
        <w:top w:val="none" w:sz="0" w:space="0" w:color="auto"/>
        <w:left w:val="none" w:sz="0" w:space="0" w:color="auto"/>
        <w:bottom w:val="none" w:sz="0" w:space="0" w:color="auto"/>
        <w:right w:val="none" w:sz="0" w:space="0" w:color="auto"/>
      </w:divBdr>
    </w:div>
    <w:div w:id="1065029051">
      <w:bodyDiv w:val="1"/>
      <w:marLeft w:val="0"/>
      <w:marRight w:val="0"/>
      <w:marTop w:val="0"/>
      <w:marBottom w:val="0"/>
      <w:divBdr>
        <w:top w:val="none" w:sz="0" w:space="0" w:color="auto"/>
        <w:left w:val="none" w:sz="0" w:space="0" w:color="auto"/>
        <w:bottom w:val="none" w:sz="0" w:space="0" w:color="auto"/>
        <w:right w:val="none" w:sz="0" w:space="0" w:color="auto"/>
      </w:divBdr>
    </w:div>
    <w:div w:id="1065222694">
      <w:bodyDiv w:val="1"/>
      <w:marLeft w:val="0"/>
      <w:marRight w:val="0"/>
      <w:marTop w:val="0"/>
      <w:marBottom w:val="0"/>
      <w:divBdr>
        <w:top w:val="none" w:sz="0" w:space="0" w:color="auto"/>
        <w:left w:val="none" w:sz="0" w:space="0" w:color="auto"/>
        <w:bottom w:val="none" w:sz="0" w:space="0" w:color="auto"/>
        <w:right w:val="none" w:sz="0" w:space="0" w:color="auto"/>
      </w:divBdr>
    </w:div>
    <w:div w:id="1065224458">
      <w:bodyDiv w:val="1"/>
      <w:marLeft w:val="0"/>
      <w:marRight w:val="0"/>
      <w:marTop w:val="0"/>
      <w:marBottom w:val="0"/>
      <w:divBdr>
        <w:top w:val="none" w:sz="0" w:space="0" w:color="auto"/>
        <w:left w:val="none" w:sz="0" w:space="0" w:color="auto"/>
        <w:bottom w:val="none" w:sz="0" w:space="0" w:color="auto"/>
        <w:right w:val="none" w:sz="0" w:space="0" w:color="auto"/>
      </w:divBdr>
    </w:div>
    <w:div w:id="1065296199">
      <w:bodyDiv w:val="1"/>
      <w:marLeft w:val="0"/>
      <w:marRight w:val="0"/>
      <w:marTop w:val="0"/>
      <w:marBottom w:val="0"/>
      <w:divBdr>
        <w:top w:val="none" w:sz="0" w:space="0" w:color="auto"/>
        <w:left w:val="none" w:sz="0" w:space="0" w:color="auto"/>
        <w:bottom w:val="none" w:sz="0" w:space="0" w:color="auto"/>
        <w:right w:val="none" w:sz="0" w:space="0" w:color="auto"/>
      </w:divBdr>
    </w:div>
    <w:div w:id="1065301740">
      <w:bodyDiv w:val="1"/>
      <w:marLeft w:val="0"/>
      <w:marRight w:val="0"/>
      <w:marTop w:val="0"/>
      <w:marBottom w:val="0"/>
      <w:divBdr>
        <w:top w:val="none" w:sz="0" w:space="0" w:color="auto"/>
        <w:left w:val="none" w:sz="0" w:space="0" w:color="auto"/>
        <w:bottom w:val="none" w:sz="0" w:space="0" w:color="auto"/>
        <w:right w:val="none" w:sz="0" w:space="0" w:color="auto"/>
      </w:divBdr>
    </w:div>
    <w:div w:id="1065445519">
      <w:bodyDiv w:val="1"/>
      <w:marLeft w:val="0"/>
      <w:marRight w:val="0"/>
      <w:marTop w:val="0"/>
      <w:marBottom w:val="0"/>
      <w:divBdr>
        <w:top w:val="none" w:sz="0" w:space="0" w:color="auto"/>
        <w:left w:val="none" w:sz="0" w:space="0" w:color="auto"/>
        <w:bottom w:val="none" w:sz="0" w:space="0" w:color="auto"/>
        <w:right w:val="none" w:sz="0" w:space="0" w:color="auto"/>
      </w:divBdr>
    </w:div>
    <w:div w:id="1065487695">
      <w:bodyDiv w:val="1"/>
      <w:marLeft w:val="0"/>
      <w:marRight w:val="0"/>
      <w:marTop w:val="0"/>
      <w:marBottom w:val="0"/>
      <w:divBdr>
        <w:top w:val="none" w:sz="0" w:space="0" w:color="auto"/>
        <w:left w:val="none" w:sz="0" w:space="0" w:color="auto"/>
        <w:bottom w:val="none" w:sz="0" w:space="0" w:color="auto"/>
        <w:right w:val="none" w:sz="0" w:space="0" w:color="auto"/>
      </w:divBdr>
    </w:div>
    <w:div w:id="1065563310">
      <w:bodyDiv w:val="1"/>
      <w:marLeft w:val="0"/>
      <w:marRight w:val="0"/>
      <w:marTop w:val="0"/>
      <w:marBottom w:val="0"/>
      <w:divBdr>
        <w:top w:val="none" w:sz="0" w:space="0" w:color="auto"/>
        <w:left w:val="none" w:sz="0" w:space="0" w:color="auto"/>
        <w:bottom w:val="none" w:sz="0" w:space="0" w:color="auto"/>
        <w:right w:val="none" w:sz="0" w:space="0" w:color="auto"/>
      </w:divBdr>
    </w:div>
    <w:div w:id="1065565650">
      <w:bodyDiv w:val="1"/>
      <w:marLeft w:val="0"/>
      <w:marRight w:val="0"/>
      <w:marTop w:val="0"/>
      <w:marBottom w:val="0"/>
      <w:divBdr>
        <w:top w:val="none" w:sz="0" w:space="0" w:color="auto"/>
        <w:left w:val="none" w:sz="0" w:space="0" w:color="auto"/>
        <w:bottom w:val="none" w:sz="0" w:space="0" w:color="auto"/>
        <w:right w:val="none" w:sz="0" w:space="0" w:color="auto"/>
      </w:divBdr>
    </w:div>
    <w:div w:id="1065645115">
      <w:bodyDiv w:val="1"/>
      <w:marLeft w:val="0"/>
      <w:marRight w:val="0"/>
      <w:marTop w:val="0"/>
      <w:marBottom w:val="0"/>
      <w:divBdr>
        <w:top w:val="none" w:sz="0" w:space="0" w:color="auto"/>
        <w:left w:val="none" w:sz="0" w:space="0" w:color="auto"/>
        <w:bottom w:val="none" w:sz="0" w:space="0" w:color="auto"/>
        <w:right w:val="none" w:sz="0" w:space="0" w:color="auto"/>
      </w:divBdr>
    </w:div>
    <w:div w:id="1065645218">
      <w:bodyDiv w:val="1"/>
      <w:marLeft w:val="0"/>
      <w:marRight w:val="0"/>
      <w:marTop w:val="0"/>
      <w:marBottom w:val="0"/>
      <w:divBdr>
        <w:top w:val="none" w:sz="0" w:space="0" w:color="auto"/>
        <w:left w:val="none" w:sz="0" w:space="0" w:color="auto"/>
        <w:bottom w:val="none" w:sz="0" w:space="0" w:color="auto"/>
        <w:right w:val="none" w:sz="0" w:space="0" w:color="auto"/>
      </w:divBdr>
    </w:div>
    <w:div w:id="1065646868">
      <w:bodyDiv w:val="1"/>
      <w:marLeft w:val="0"/>
      <w:marRight w:val="0"/>
      <w:marTop w:val="0"/>
      <w:marBottom w:val="0"/>
      <w:divBdr>
        <w:top w:val="none" w:sz="0" w:space="0" w:color="auto"/>
        <w:left w:val="none" w:sz="0" w:space="0" w:color="auto"/>
        <w:bottom w:val="none" w:sz="0" w:space="0" w:color="auto"/>
        <w:right w:val="none" w:sz="0" w:space="0" w:color="auto"/>
      </w:divBdr>
    </w:div>
    <w:div w:id="1065764901">
      <w:bodyDiv w:val="1"/>
      <w:marLeft w:val="0"/>
      <w:marRight w:val="0"/>
      <w:marTop w:val="0"/>
      <w:marBottom w:val="0"/>
      <w:divBdr>
        <w:top w:val="none" w:sz="0" w:space="0" w:color="auto"/>
        <w:left w:val="none" w:sz="0" w:space="0" w:color="auto"/>
        <w:bottom w:val="none" w:sz="0" w:space="0" w:color="auto"/>
        <w:right w:val="none" w:sz="0" w:space="0" w:color="auto"/>
      </w:divBdr>
    </w:div>
    <w:div w:id="1065882526">
      <w:bodyDiv w:val="1"/>
      <w:marLeft w:val="0"/>
      <w:marRight w:val="0"/>
      <w:marTop w:val="0"/>
      <w:marBottom w:val="0"/>
      <w:divBdr>
        <w:top w:val="none" w:sz="0" w:space="0" w:color="auto"/>
        <w:left w:val="none" w:sz="0" w:space="0" w:color="auto"/>
        <w:bottom w:val="none" w:sz="0" w:space="0" w:color="auto"/>
        <w:right w:val="none" w:sz="0" w:space="0" w:color="auto"/>
      </w:divBdr>
    </w:div>
    <w:div w:id="1065957116">
      <w:bodyDiv w:val="1"/>
      <w:marLeft w:val="0"/>
      <w:marRight w:val="0"/>
      <w:marTop w:val="0"/>
      <w:marBottom w:val="0"/>
      <w:divBdr>
        <w:top w:val="none" w:sz="0" w:space="0" w:color="auto"/>
        <w:left w:val="none" w:sz="0" w:space="0" w:color="auto"/>
        <w:bottom w:val="none" w:sz="0" w:space="0" w:color="auto"/>
        <w:right w:val="none" w:sz="0" w:space="0" w:color="auto"/>
      </w:divBdr>
    </w:div>
    <w:div w:id="1065957875">
      <w:bodyDiv w:val="1"/>
      <w:marLeft w:val="0"/>
      <w:marRight w:val="0"/>
      <w:marTop w:val="0"/>
      <w:marBottom w:val="0"/>
      <w:divBdr>
        <w:top w:val="none" w:sz="0" w:space="0" w:color="auto"/>
        <w:left w:val="none" w:sz="0" w:space="0" w:color="auto"/>
        <w:bottom w:val="none" w:sz="0" w:space="0" w:color="auto"/>
        <w:right w:val="none" w:sz="0" w:space="0" w:color="auto"/>
      </w:divBdr>
    </w:div>
    <w:div w:id="1066029309">
      <w:bodyDiv w:val="1"/>
      <w:marLeft w:val="0"/>
      <w:marRight w:val="0"/>
      <w:marTop w:val="0"/>
      <w:marBottom w:val="0"/>
      <w:divBdr>
        <w:top w:val="none" w:sz="0" w:space="0" w:color="auto"/>
        <w:left w:val="none" w:sz="0" w:space="0" w:color="auto"/>
        <w:bottom w:val="none" w:sz="0" w:space="0" w:color="auto"/>
        <w:right w:val="none" w:sz="0" w:space="0" w:color="auto"/>
      </w:divBdr>
    </w:div>
    <w:div w:id="1066029471">
      <w:bodyDiv w:val="1"/>
      <w:marLeft w:val="0"/>
      <w:marRight w:val="0"/>
      <w:marTop w:val="0"/>
      <w:marBottom w:val="0"/>
      <w:divBdr>
        <w:top w:val="none" w:sz="0" w:space="0" w:color="auto"/>
        <w:left w:val="none" w:sz="0" w:space="0" w:color="auto"/>
        <w:bottom w:val="none" w:sz="0" w:space="0" w:color="auto"/>
        <w:right w:val="none" w:sz="0" w:space="0" w:color="auto"/>
      </w:divBdr>
    </w:div>
    <w:div w:id="1066030025">
      <w:bodyDiv w:val="1"/>
      <w:marLeft w:val="0"/>
      <w:marRight w:val="0"/>
      <w:marTop w:val="0"/>
      <w:marBottom w:val="0"/>
      <w:divBdr>
        <w:top w:val="none" w:sz="0" w:space="0" w:color="auto"/>
        <w:left w:val="none" w:sz="0" w:space="0" w:color="auto"/>
        <w:bottom w:val="none" w:sz="0" w:space="0" w:color="auto"/>
        <w:right w:val="none" w:sz="0" w:space="0" w:color="auto"/>
      </w:divBdr>
    </w:div>
    <w:div w:id="1066075528">
      <w:bodyDiv w:val="1"/>
      <w:marLeft w:val="0"/>
      <w:marRight w:val="0"/>
      <w:marTop w:val="0"/>
      <w:marBottom w:val="0"/>
      <w:divBdr>
        <w:top w:val="none" w:sz="0" w:space="0" w:color="auto"/>
        <w:left w:val="none" w:sz="0" w:space="0" w:color="auto"/>
        <w:bottom w:val="none" w:sz="0" w:space="0" w:color="auto"/>
        <w:right w:val="none" w:sz="0" w:space="0" w:color="auto"/>
      </w:divBdr>
    </w:div>
    <w:div w:id="1066106459">
      <w:bodyDiv w:val="1"/>
      <w:marLeft w:val="0"/>
      <w:marRight w:val="0"/>
      <w:marTop w:val="0"/>
      <w:marBottom w:val="0"/>
      <w:divBdr>
        <w:top w:val="none" w:sz="0" w:space="0" w:color="auto"/>
        <w:left w:val="none" w:sz="0" w:space="0" w:color="auto"/>
        <w:bottom w:val="none" w:sz="0" w:space="0" w:color="auto"/>
        <w:right w:val="none" w:sz="0" w:space="0" w:color="auto"/>
      </w:divBdr>
    </w:div>
    <w:div w:id="1066146821">
      <w:bodyDiv w:val="1"/>
      <w:marLeft w:val="0"/>
      <w:marRight w:val="0"/>
      <w:marTop w:val="0"/>
      <w:marBottom w:val="0"/>
      <w:divBdr>
        <w:top w:val="none" w:sz="0" w:space="0" w:color="auto"/>
        <w:left w:val="none" w:sz="0" w:space="0" w:color="auto"/>
        <w:bottom w:val="none" w:sz="0" w:space="0" w:color="auto"/>
        <w:right w:val="none" w:sz="0" w:space="0" w:color="auto"/>
      </w:divBdr>
    </w:div>
    <w:div w:id="1066147594">
      <w:bodyDiv w:val="1"/>
      <w:marLeft w:val="0"/>
      <w:marRight w:val="0"/>
      <w:marTop w:val="0"/>
      <w:marBottom w:val="0"/>
      <w:divBdr>
        <w:top w:val="none" w:sz="0" w:space="0" w:color="auto"/>
        <w:left w:val="none" w:sz="0" w:space="0" w:color="auto"/>
        <w:bottom w:val="none" w:sz="0" w:space="0" w:color="auto"/>
        <w:right w:val="none" w:sz="0" w:space="0" w:color="auto"/>
      </w:divBdr>
    </w:div>
    <w:div w:id="1066220057">
      <w:bodyDiv w:val="1"/>
      <w:marLeft w:val="0"/>
      <w:marRight w:val="0"/>
      <w:marTop w:val="0"/>
      <w:marBottom w:val="0"/>
      <w:divBdr>
        <w:top w:val="none" w:sz="0" w:space="0" w:color="auto"/>
        <w:left w:val="none" w:sz="0" w:space="0" w:color="auto"/>
        <w:bottom w:val="none" w:sz="0" w:space="0" w:color="auto"/>
        <w:right w:val="none" w:sz="0" w:space="0" w:color="auto"/>
      </w:divBdr>
    </w:div>
    <w:div w:id="1066294917">
      <w:bodyDiv w:val="1"/>
      <w:marLeft w:val="0"/>
      <w:marRight w:val="0"/>
      <w:marTop w:val="0"/>
      <w:marBottom w:val="0"/>
      <w:divBdr>
        <w:top w:val="none" w:sz="0" w:space="0" w:color="auto"/>
        <w:left w:val="none" w:sz="0" w:space="0" w:color="auto"/>
        <w:bottom w:val="none" w:sz="0" w:space="0" w:color="auto"/>
        <w:right w:val="none" w:sz="0" w:space="0" w:color="auto"/>
      </w:divBdr>
    </w:div>
    <w:div w:id="1066341908">
      <w:bodyDiv w:val="1"/>
      <w:marLeft w:val="0"/>
      <w:marRight w:val="0"/>
      <w:marTop w:val="0"/>
      <w:marBottom w:val="0"/>
      <w:divBdr>
        <w:top w:val="none" w:sz="0" w:space="0" w:color="auto"/>
        <w:left w:val="none" w:sz="0" w:space="0" w:color="auto"/>
        <w:bottom w:val="none" w:sz="0" w:space="0" w:color="auto"/>
        <w:right w:val="none" w:sz="0" w:space="0" w:color="auto"/>
      </w:divBdr>
    </w:div>
    <w:div w:id="1066413366">
      <w:bodyDiv w:val="1"/>
      <w:marLeft w:val="0"/>
      <w:marRight w:val="0"/>
      <w:marTop w:val="0"/>
      <w:marBottom w:val="0"/>
      <w:divBdr>
        <w:top w:val="none" w:sz="0" w:space="0" w:color="auto"/>
        <w:left w:val="none" w:sz="0" w:space="0" w:color="auto"/>
        <w:bottom w:val="none" w:sz="0" w:space="0" w:color="auto"/>
        <w:right w:val="none" w:sz="0" w:space="0" w:color="auto"/>
      </w:divBdr>
    </w:div>
    <w:div w:id="1066487327">
      <w:bodyDiv w:val="1"/>
      <w:marLeft w:val="0"/>
      <w:marRight w:val="0"/>
      <w:marTop w:val="0"/>
      <w:marBottom w:val="0"/>
      <w:divBdr>
        <w:top w:val="none" w:sz="0" w:space="0" w:color="auto"/>
        <w:left w:val="none" w:sz="0" w:space="0" w:color="auto"/>
        <w:bottom w:val="none" w:sz="0" w:space="0" w:color="auto"/>
        <w:right w:val="none" w:sz="0" w:space="0" w:color="auto"/>
      </w:divBdr>
    </w:div>
    <w:div w:id="1066535925">
      <w:bodyDiv w:val="1"/>
      <w:marLeft w:val="0"/>
      <w:marRight w:val="0"/>
      <w:marTop w:val="0"/>
      <w:marBottom w:val="0"/>
      <w:divBdr>
        <w:top w:val="none" w:sz="0" w:space="0" w:color="auto"/>
        <w:left w:val="none" w:sz="0" w:space="0" w:color="auto"/>
        <w:bottom w:val="none" w:sz="0" w:space="0" w:color="auto"/>
        <w:right w:val="none" w:sz="0" w:space="0" w:color="auto"/>
      </w:divBdr>
    </w:div>
    <w:div w:id="1066612030">
      <w:bodyDiv w:val="1"/>
      <w:marLeft w:val="0"/>
      <w:marRight w:val="0"/>
      <w:marTop w:val="0"/>
      <w:marBottom w:val="0"/>
      <w:divBdr>
        <w:top w:val="none" w:sz="0" w:space="0" w:color="auto"/>
        <w:left w:val="none" w:sz="0" w:space="0" w:color="auto"/>
        <w:bottom w:val="none" w:sz="0" w:space="0" w:color="auto"/>
        <w:right w:val="none" w:sz="0" w:space="0" w:color="auto"/>
      </w:divBdr>
    </w:div>
    <w:div w:id="1066686273">
      <w:bodyDiv w:val="1"/>
      <w:marLeft w:val="0"/>
      <w:marRight w:val="0"/>
      <w:marTop w:val="0"/>
      <w:marBottom w:val="0"/>
      <w:divBdr>
        <w:top w:val="none" w:sz="0" w:space="0" w:color="auto"/>
        <w:left w:val="none" w:sz="0" w:space="0" w:color="auto"/>
        <w:bottom w:val="none" w:sz="0" w:space="0" w:color="auto"/>
        <w:right w:val="none" w:sz="0" w:space="0" w:color="auto"/>
      </w:divBdr>
    </w:div>
    <w:div w:id="1066732292">
      <w:bodyDiv w:val="1"/>
      <w:marLeft w:val="0"/>
      <w:marRight w:val="0"/>
      <w:marTop w:val="0"/>
      <w:marBottom w:val="0"/>
      <w:divBdr>
        <w:top w:val="none" w:sz="0" w:space="0" w:color="auto"/>
        <w:left w:val="none" w:sz="0" w:space="0" w:color="auto"/>
        <w:bottom w:val="none" w:sz="0" w:space="0" w:color="auto"/>
        <w:right w:val="none" w:sz="0" w:space="0" w:color="auto"/>
      </w:divBdr>
    </w:div>
    <w:div w:id="1066758995">
      <w:bodyDiv w:val="1"/>
      <w:marLeft w:val="0"/>
      <w:marRight w:val="0"/>
      <w:marTop w:val="0"/>
      <w:marBottom w:val="0"/>
      <w:divBdr>
        <w:top w:val="none" w:sz="0" w:space="0" w:color="auto"/>
        <w:left w:val="none" w:sz="0" w:space="0" w:color="auto"/>
        <w:bottom w:val="none" w:sz="0" w:space="0" w:color="auto"/>
        <w:right w:val="none" w:sz="0" w:space="0" w:color="auto"/>
      </w:divBdr>
    </w:div>
    <w:div w:id="1066759297">
      <w:bodyDiv w:val="1"/>
      <w:marLeft w:val="0"/>
      <w:marRight w:val="0"/>
      <w:marTop w:val="0"/>
      <w:marBottom w:val="0"/>
      <w:divBdr>
        <w:top w:val="none" w:sz="0" w:space="0" w:color="auto"/>
        <w:left w:val="none" w:sz="0" w:space="0" w:color="auto"/>
        <w:bottom w:val="none" w:sz="0" w:space="0" w:color="auto"/>
        <w:right w:val="none" w:sz="0" w:space="0" w:color="auto"/>
      </w:divBdr>
    </w:div>
    <w:div w:id="1066800130">
      <w:bodyDiv w:val="1"/>
      <w:marLeft w:val="0"/>
      <w:marRight w:val="0"/>
      <w:marTop w:val="0"/>
      <w:marBottom w:val="0"/>
      <w:divBdr>
        <w:top w:val="none" w:sz="0" w:space="0" w:color="auto"/>
        <w:left w:val="none" w:sz="0" w:space="0" w:color="auto"/>
        <w:bottom w:val="none" w:sz="0" w:space="0" w:color="auto"/>
        <w:right w:val="none" w:sz="0" w:space="0" w:color="auto"/>
      </w:divBdr>
    </w:div>
    <w:div w:id="1066802040">
      <w:bodyDiv w:val="1"/>
      <w:marLeft w:val="0"/>
      <w:marRight w:val="0"/>
      <w:marTop w:val="0"/>
      <w:marBottom w:val="0"/>
      <w:divBdr>
        <w:top w:val="none" w:sz="0" w:space="0" w:color="auto"/>
        <w:left w:val="none" w:sz="0" w:space="0" w:color="auto"/>
        <w:bottom w:val="none" w:sz="0" w:space="0" w:color="auto"/>
        <w:right w:val="none" w:sz="0" w:space="0" w:color="auto"/>
      </w:divBdr>
    </w:div>
    <w:div w:id="1066802414">
      <w:bodyDiv w:val="1"/>
      <w:marLeft w:val="0"/>
      <w:marRight w:val="0"/>
      <w:marTop w:val="0"/>
      <w:marBottom w:val="0"/>
      <w:divBdr>
        <w:top w:val="none" w:sz="0" w:space="0" w:color="auto"/>
        <w:left w:val="none" w:sz="0" w:space="0" w:color="auto"/>
        <w:bottom w:val="none" w:sz="0" w:space="0" w:color="auto"/>
        <w:right w:val="none" w:sz="0" w:space="0" w:color="auto"/>
      </w:divBdr>
    </w:div>
    <w:div w:id="1066804671">
      <w:bodyDiv w:val="1"/>
      <w:marLeft w:val="0"/>
      <w:marRight w:val="0"/>
      <w:marTop w:val="0"/>
      <w:marBottom w:val="0"/>
      <w:divBdr>
        <w:top w:val="none" w:sz="0" w:space="0" w:color="auto"/>
        <w:left w:val="none" w:sz="0" w:space="0" w:color="auto"/>
        <w:bottom w:val="none" w:sz="0" w:space="0" w:color="auto"/>
        <w:right w:val="none" w:sz="0" w:space="0" w:color="auto"/>
      </w:divBdr>
    </w:div>
    <w:div w:id="1066806425">
      <w:bodyDiv w:val="1"/>
      <w:marLeft w:val="0"/>
      <w:marRight w:val="0"/>
      <w:marTop w:val="0"/>
      <w:marBottom w:val="0"/>
      <w:divBdr>
        <w:top w:val="none" w:sz="0" w:space="0" w:color="auto"/>
        <w:left w:val="none" w:sz="0" w:space="0" w:color="auto"/>
        <w:bottom w:val="none" w:sz="0" w:space="0" w:color="auto"/>
        <w:right w:val="none" w:sz="0" w:space="0" w:color="auto"/>
      </w:divBdr>
    </w:div>
    <w:div w:id="1066955262">
      <w:bodyDiv w:val="1"/>
      <w:marLeft w:val="0"/>
      <w:marRight w:val="0"/>
      <w:marTop w:val="0"/>
      <w:marBottom w:val="0"/>
      <w:divBdr>
        <w:top w:val="none" w:sz="0" w:space="0" w:color="auto"/>
        <w:left w:val="none" w:sz="0" w:space="0" w:color="auto"/>
        <w:bottom w:val="none" w:sz="0" w:space="0" w:color="auto"/>
        <w:right w:val="none" w:sz="0" w:space="0" w:color="auto"/>
      </w:divBdr>
    </w:div>
    <w:div w:id="1067144647">
      <w:bodyDiv w:val="1"/>
      <w:marLeft w:val="0"/>
      <w:marRight w:val="0"/>
      <w:marTop w:val="0"/>
      <w:marBottom w:val="0"/>
      <w:divBdr>
        <w:top w:val="none" w:sz="0" w:space="0" w:color="auto"/>
        <w:left w:val="none" w:sz="0" w:space="0" w:color="auto"/>
        <w:bottom w:val="none" w:sz="0" w:space="0" w:color="auto"/>
        <w:right w:val="none" w:sz="0" w:space="0" w:color="auto"/>
      </w:divBdr>
    </w:div>
    <w:div w:id="1067260598">
      <w:bodyDiv w:val="1"/>
      <w:marLeft w:val="0"/>
      <w:marRight w:val="0"/>
      <w:marTop w:val="0"/>
      <w:marBottom w:val="0"/>
      <w:divBdr>
        <w:top w:val="none" w:sz="0" w:space="0" w:color="auto"/>
        <w:left w:val="none" w:sz="0" w:space="0" w:color="auto"/>
        <w:bottom w:val="none" w:sz="0" w:space="0" w:color="auto"/>
        <w:right w:val="none" w:sz="0" w:space="0" w:color="auto"/>
      </w:divBdr>
    </w:div>
    <w:div w:id="1067335787">
      <w:bodyDiv w:val="1"/>
      <w:marLeft w:val="0"/>
      <w:marRight w:val="0"/>
      <w:marTop w:val="0"/>
      <w:marBottom w:val="0"/>
      <w:divBdr>
        <w:top w:val="none" w:sz="0" w:space="0" w:color="auto"/>
        <w:left w:val="none" w:sz="0" w:space="0" w:color="auto"/>
        <w:bottom w:val="none" w:sz="0" w:space="0" w:color="auto"/>
        <w:right w:val="none" w:sz="0" w:space="0" w:color="auto"/>
      </w:divBdr>
    </w:div>
    <w:div w:id="1067340788">
      <w:bodyDiv w:val="1"/>
      <w:marLeft w:val="0"/>
      <w:marRight w:val="0"/>
      <w:marTop w:val="0"/>
      <w:marBottom w:val="0"/>
      <w:divBdr>
        <w:top w:val="none" w:sz="0" w:space="0" w:color="auto"/>
        <w:left w:val="none" w:sz="0" w:space="0" w:color="auto"/>
        <w:bottom w:val="none" w:sz="0" w:space="0" w:color="auto"/>
        <w:right w:val="none" w:sz="0" w:space="0" w:color="auto"/>
      </w:divBdr>
    </w:div>
    <w:div w:id="1067417276">
      <w:bodyDiv w:val="1"/>
      <w:marLeft w:val="0"/>
      <w:marRight w:val="0"/>
      <w:marTop w:val="0"/>
      <w:marBottom w:val="0"/>
      <w:divBdr>
        <w:top w:val="none" w:sz="0" w:space="0" w:color="auto"/>
        <w:left w:val="none" w:sz="0" w:space="0" w:color="auto"/>
        <w:bottom w:val="none" w:sz="0" w:space="0" w:color="auto"/>
        <w:right w:val="none" w:sz="0" w:space="0" w:color="auto"/>
      </w:divBdr>
    </w:div>
    <w:div w:id="1067531654">
      <w:bodyDiv w:val="1"/>
      <w:marLeft w:val="0"/>
      <w:marRight w:val="0"/>
      <w:marTop w:val="0"/>
      <w:marBottom w:val="0"/>
      <w:divBdr>
        <w:top w:val="none" w:sz="0" w:space="0" w:color="auto"/>
        <w:left w:val="none" w:sz="0" w:space="0" w:color="auto"/>
        <w:bottom w:val="none" w:sz="0" w:space="0" w:color="auto"/>
        <w:right w:val="none" w:sz="0" w:space="0" w:color="auto"/>
      </w:divBdr>
    </w:div>
    <w:div w:id="1067535355">
      <w:bodyDiv w:val="1"/>
      <w:marLeft w:val="0"/>
      <w:marRight w:val="0"/>
      <w:marTop w:val="0"/>
      <w:marBottom w:val="0"/>
      <w:divBdr>
        <w:top w:val="none" w:sz="0" w:space="0" w:color="auto"/>
        <w:left w:val="none" w:sz="0" w:space="0" w:color="auto"/>
        <w:bottom w:val="none" w:sz="0" w:space="0" w:color="auto"/>
        <w:right w:val="none" w:sz="0" w:space="0" w:color="auto"/>
      </w:divBdr>
    </w:div>
    <w:div w:id="1067536907">
      <w:bodyDiv w:val="1"/>
      <w:marLeft w:val="0"/>
      <w:marRight w:val="0"/>
      <w:marTop w:val="0"/>
      <w:marBottom w:val="0"/>
      <w:divBdr>
        <w:top w:val="none" w:sz="0" w:space="0" w:color="auto"/>
        <w:left w:val="none" w:sz="0" w:space="0" w:color="auto"/>
        <w:bottom w:val="none" w:sz="0" w:space="0" w:color="auto"/>
        <w:right w:val="none" w:sz="0" w:space="0" w:color="auto"/>
      </w:divBdr>
    </w:div>
    <w:div w:id="1067606673">
      <w:bodyDiv w:val="1"/>
      <w:marLeft w:val="0"/>
      <w:marRight w:val="0"/>
      <w:marTop w:val="0"/>
      <w:marBottom w:val="0"/>
      <w:divBdr>
        <w:top w:val="none" w:sz="0" w:space="0" w:color="auto"/>
        <w:left w:val="none" w:sz="0" w:space="0" w:color="auto"/>
        <w:bottom w:val="none" w:sz="0" w:space="0" w:color="auto"/>
        <w:right w:val="none" w:sz="0" w:space="0" w:color="auto"/>
      </w:divBdr>
    </w:div>
    <w:div w:id="1067724564">
      <w:bodyDiv w:val="1"/>
      <w:marLeft w:val="0"/>
      <w:marRight w:val="0"/>
      <w:marTop w:val="0"/>
      <w:marBottom w:val="0"/>
      <w:divBdr>
        <w:top w:val="none" w:sz="0" w:space="0" w:color="auto"/>
        <w:left w:val="none" w:sz="0" w:space="0" w:color="auto"/>
        <w:bottom w:val="none" w:sz="0" w:space="0" w:color="auto"/>
        <w:right w:val="none" w:sz="0" w:space="0" w:color="auto"/>
      </w:divBdr>
    </w:div>
    <w:div w:id="1067797765">
      <w:bodyDiv w:val="1"/>
      <w:marLeft w:val="0"/>
      <w:marRight w:val="0"/>
      <w:marTop w:val="0"/>
      <w:marBottom w:val="0"/>
      <w:divBdr>
        <w:top w:val="none" w:sz="0" w:space="0" w:color="auto"/>
        <w:left w:val="none" w:sz="0" w:space="0" w:color="auto"/>
        <w:bottom w:val="none" w:sz="0" w:space="0" w:color="auto"/>
        <w:right w:val="none" w:sz="0" w:space="0" w:color="auto"/>
      </w:divBdr>
    </w:div>
    <w:div w:id="1067921235">
      <w:bodyDiv w:val="1"/>
      <w:marLeft w:val="0"/>
      <w:marRight w:val="0"/>
      <w:marTop w:val="0"/>
      <w:marBottom w:val="0"/>
      <w:divBdr>
        <w:top w:val="none" w:sz="0" w:space="0" w:color="auto"/>
        <w:left w:val="none" w:sz="0" w:space="0" w:color="auto"/>
        <w:bottom w:val="none" w:sz="0" w:space="0" w:color="auto"/>
        <w:right w:val="none" w:sz="0" w:space="0" w:color="auto"/>
      </w:divBdr>
    </w:div>
    <w:div w:id="1067921759">
      <w:bodyDiv w:val="1"/>
      <w:marLeft w:val="0"/>
      <w:marRight w:val="0"/>
      <w:marTop w:val="0"/>
      <w:marBottom w:val="0"/>
      <w:divBdr>
        <w:top w:val="none" w:sz="0" w:space="0" w:color="auto"/>
        <w:left w:val="none" w:sz="0" w:space="0" w:color="auto"/>
        <w:bottom w:val="none" w:sz="0" w:space="0" w:color="auto"/>
        <w:right w:val="none" w:sz="0" w:space="0" w:color="auto"/>
      </w:divBdr>
    </w:div>
    <w:div w:id="1068185440">
      <w:bodyDiv w:val="1"/>
      <w:marLeft w:val="0"/>
      <w:marRight w:val="0"/>
      <w:marTop w:val="0"/>
      <w:marBottom w:val="0"/>
      <w:divBdr>
        <w:top w:val="none" w:sz="0" w:space="0" w:color="auto"/>
        <w:left w:val="none" w:sz="0" w:space="0" w:color="auto"/>
        <w:bottom w:val="none" w:sz="0" w:space="0" w:color="auto"/>
        <w:right w:val="none" w:sz="0" w:space="0" w:color="auto"/>
      </w:divBdr>
    </w:div>
    <w:div w:id="1068189506">
      <w:bodyDiv w:val="1"/>
      <w:marLeft w:val="0"/>
      <w:marRight w:val="0"/>
      <w:marTop w:val="0"/>
      <w:marBottom w:val="0"/>
      <w:divBdr>
        <w:top w:val="none" w:sz="0" w:space="0" w:color="auto"/>
        <w:left w:val="none" w:sz="0" w:space="0" w:color="auto"/>
        <w:bottom w:val="none" w:sz="0" w:space="0" w:color="auto"/>
        <w:right w:val="none" w:sz="0" w:space="0" w:color="auto"/>
      </w:divBdr>
    </w:div>
    <w:div w:id="1068193091">
      <w:bodyDiv w:val="1"/>
      <w:marLeft w:val="0"/>
      <w:marRight w:val="0"/>
      <w:marTop w:val="0"/>
      <w:marBottom w:val="0"/>
      <w:divBdr>
        <w:top w:val="none" w:sz="0" w:space="0" w:color="auto"/>
        <w:left w:val="none" w:sz="0" w:space="0" w:color="auto"/>
        <w:bottom w:val="none" w:sz="0" w:space="0" w:color="auto"/>
        <w:right w:val="none" w:sz="0" w:space="0" w:color="auto"/>
      </w:divBdr>
    </w:div>
    <w:div w:id="1068261473">
      <w:bodyDiv w:val="1"/>
      <w:marLeft w:val="0"/>
      <w:marRight w:val="0"/>
      <w:marTop w:val="0"/>
      <w:marBottom w:val="0"/>
      <w:divBdr>
        <w:top w:val="none" w:sz="0" w:space="0" w:color="auto"/>
        <w:left w:val="none" w:sz="0" w:space="0" w:color="auto"/>
        <w:bottom w:val="none" w:sz="0" w:space="0" w:color="auto"/>
        <w:right w:val="none" w:sz="0" w:space="0" w:color="auto"/>
      </w:divBdr>
    </w:div>
    <w:div w:id="1068335019">
      <w:bodyDiv w:val="1"/>
      <w:marLeft w:val="0"/>
      <w:marRight w:val="0"/>
      <w:marTop w:val="0"/>
      <w:marBottom w:val="0"/>
      <w:divBdr>
        <w:top w:val="none" w:sz="0" w:space="0" w:color="auto"/>
        <w:left w:val="none" w:sz="0" w:space="0" w:color="auto"/>
        <w:bottom w:val="none" w:sz="0" w:space="0" w:color="auto"/>
        <w:right w:val="none" w:sz="0" w:space="0" w:color="auto"/>
      </w:divBdr>
    </w:div>
    <w:div w:id="1068378234">
      <w:bodyDiv w:val="1"/>
      <w:marLeft w:val="0"/>
      <w:marRight w:val="0"/>
      <w:marTop w:val="0"/>
      <w:marBottom w:val="0"/>
      <w:divBdr>
        <w:top w:val="none" w:sz="0" w:space="0" w:color="auto"/>
        <w:left w:val="none" w:sz="0" w:space="0" w:color="auto"/>
        <w:bottom w:val="none" w:sz="0" w:space="0" w:color="auto"/>
        <w:right w:val="none" w:sz="0" w:space="0" w:color="auto"/>
      </w:divBdr>
    </w:div>
    <w:div w:id="1068379073">
      <w:bodyDiv w:val="1"/>
      <w:marLeft w:val="0"/>
      <w:marRight w:val="0"/>
      <w:marTop w:val="0"/>
      <w:marBottom w:val="0"/>
      <w:divBdr>
        <w:top w:val="none" w:sz="0" w:space="0" w:color="auto"/>
        <w:left w:val="none" w:sz="0" w:space="0" w:color="auto"/>
        <w:bottom w:val="none" w:sz="0" w:space="0" w:color="auto"/>
        <w:right w:val="none" w:sz="0" w:space="0" w:color="auto"/>
      </w:divBdr>
    </w:div>
    <w:div w:id="1068386793">
      <w:bodyDiv w:val="1"/>
      <w:marLeft w:val="0"/>
      <w:marRight w:val="0"/>
      <w:marTop w:val="0"/>
      <w:marBottom w:val="0"/>
      <w:divBdr>
        <w:top w:val="none" w:sz="0" w:space="0" w:color="auto"/>
        <w:left w:val="none" w:sz="0" w:space="0" w:color="auto"/>
        <w:bottom w:val="none" w:sz="0" w:space="0" w:color="auto"/>
        <w:right w:val="none" w:sz="0" w:space="0" w:color="auto"/>
      </w:divBdr>
    </w:div>
    <w:div w:id="1068697982">
      <w:bodyDiv w:val="1"/>
      <w:marLeft w:val="0"/>
      <w:marRight w:val="0"/>
      <w:marTop w:val="0"/>
      <w:marBottom w:val="0"/>
      <w:divBdr>
        <w:top w:val="none" w:sz="0" w:space="0" w:color="auto"/>
        <w:left w:val="none" w:sz="0" w:space="0" w:color="auto"/>
        <w:bottom w:val="none" w:sz="0" w:space="0" w:color="auto"/>
        <w:right w:val="none" w:sz="0" w:space="0" w:color="auto"/>
      </w:divBdr>
    </w:div>
    <w:div w:id="1068770972">
      <w:bodyDiv w:val="1"/>
      <w:marLeft w:val="0"/>
      <w:marRight w:val="0"/>
      <w:marTop w:val="0"/>
      <w:marBottom w:val="0"/>
      <w:divBdr>
        <w:top w:val="none" w:sz="0" w:space="0" w:color="auto"/>
        <w:left w:val="none" w:sz="0" w:space="0" w:color="auto"/>
        <w:bottom w:val="none" w:sz="0" w:space="0" w:color="auto"/>
        <w:right w:val="none" w:sz="0" w:space="0" w:color="auto"/>
      </w:divBdr>
    </w:div>
    <w:div w:id="1068844665">
      <w:bodyDiv w:val="1"/>
      <w:marLeft w:val="0"/>
      <w:marRight w:val="0"/>
      <w:marTop w:val="0"/>
      <w:marBottom w:val="0"/>
      <w:divBdr>
        <w:top w:val="none" w:sz="0" w:space="0" w:color="auto"/>
        <w:left w:val="none" w:sz="0" w:space="0" w:color="auto"/>
        <w:bottom w:val="none" w:sz="0" w:space="0" w:color="auto"/>
        <w:right w:val="none" w:sz="0" w:space="0" w:color="auto"/>
      </w:divBdr>
    </w:div>
    <w:div w:id="1068848843">
      <w:bodyDiv w:val="1"/>
      <w:marLeft w:val="0"/>
      <w:marRight w:val="0"/>
      <w:marTop w:val="0"/>
      <w:marBottom w:val="0"/>
      <w:divBdr>
        <w:top w:val="none" w:sz="0" w:space="0" w:color="auto"/>
        <w:left w:val="none" w:sz="0" w:space="0" w:color="auto"/>
        <w:bottom w:val="none" w:sz="0" w:space="0" w:color="auto"/>
        <w:right w:val="none" w:sz="0" w:space="0" w:color="auto"/>
      </w:divBdr>
    </w:div>
    <w:div w:id="1068964128">
      <w:bodyDiv w:val="1"/>
      <w:marLeft w:val="0"/>
      <w:marRight w:val="0"/>
      <w:marTop w:val="0"/>
      <w:marBottom w:val="0"/>
      <w:divBdr>
        <w:top w:val="none" w:sz="0" w:space="0" w:color="auto"/>
        <w:left w:val="none" w:sz="0" w:space="0" w:color="auto"/>
        <w:bottom w:val="none" w:sz="0" w:space="0" w:color="auto"/>
        <w:right w:val="none" w:sz="0" w:space="0" w:color="auto"/>
      </w:divBdr>
    </w:div>
    <w:div w:id="1069352494">
      <w:bodyDiv w:val="1"/>
      <w:marLeft w:val="0"/>
      <w:marRight w:val="0"/>
      <w:marTop w:val="0"/>
      <w:marBottom w:val="0"/>
      <w:divBdr>
        <w:top w:val="none" w:sz="0" w:space="0" w:color="auto"/>
        <w:left w:val="none" w:sz="0" w:space="0" w:color="auto"/>
        <w:bottom w:val="none" w:sz="0" w:space="0" w:color="auto"/>
        <w:right w:val="none" w:sz="0" w:space="0" w:color="auto"/>
      </w:divBdr>
    </w:div>
    <w:div w:id="1069423487">
      <w:bodyDiv w:val="1"/>
      <w:marLeft w:val="0"/>
      <w:marRight w:val="0"/>
      <w:marTop w:val="0"/>
      <w:marBottom w:val="0"/>
      <w:divBdr>
        <w:top w:val="none" w:sz="0" w:space="0" w:color="auto"/>
        <w:left w:val="none" w:sz="0" w:space="0" w:color="auto"/>
        <w:bottom w:val="none" w:sz="0" w:space="0" w:color="auto"/>
        <w:right w:val="none" w:sz="0" w:space="0" w:color="auto"/>
      </w:divBdr>
    </w:div>
    <w:div w:id="1069687898">
      <w:bodyDiv w:val="1"/>
      <w:marLeft w:val="0"/>
      <w:marRight w:val="0"/>
      <w:marTop w:val="0"/>
      <w:marBottom w:val="0"/>
      <w:divBdr>
        <w:top w:val="none" w:sz="0" w:space="0" w:color="auto"/>
        <w:left w:val="none" w:sz="0" w:space="0" w:color="auto"/>
        <w:bottom w:val="none" w:sz="0" w:space="0" w:color="auto"/>
        <w:right w:val="none" w:sz="0" w:space="0" w:color="auto"/>
      </w:divBdr>
    </w:div>
    <w:div w:id="1069694383">
      <w:bodyDiv w:val="1"/>
      <w:marLeft w:val="0"/>
      <w:marRight w:val="0"/>
      <w:marTop w:val="0"/>
      <w:marBottom w:val="0"/>
      <w:divBdr>
        <w:top w:val="none" w:sz="0" w:space="0" w:color="auto"/>
        <w:left w:val="none" w:sz="0" w:space="0" w:color="auto"/>
        <w:bottom w:val="none" w:sz="0" w:space="0" w:color="auto"/>
        <w:right w:val="none" w:sz="0" w:space="0" w:color="auto"/>
      </w:divBdr>
    </w:div>
    <w:div w:id="1069695193">
      <w:bodyDiv w:val="1"/>
      <w:marLeft w:val="0"/>
      <w:marRight w:val="0"/>
      <w:marTop w:val="0"/>
      <w:marBottom w:val="0"/>
      <w:divBdr>
        <w:top w:val="none" w:sz="0" w:space="0" w:color="auto"/>
        <w:left w:val="none" w:sz="0" w:space="0" w:color="auto"/>
        <w:bottom w:val="none" w:sz="0" w:space="0" w:color="auto"/>
        <w:right w:val="none" w:sz="0" w:space="0" w:color="auto"/>
      </w:divBdr>
    </w:div>
    <w:div w:id="1069697297">
      <w:bodyDiv w:val="1"/>
      <w:marLeft w:val="0"/>
      <w:marRight w:val="0"/>
      <w:marTop w:val="0"/>
      <w:marBottom w:val="0"/>
      <w:divBdr>
        <w:top w:val="none" w:sz="0" w:space="0" w:color="auto"/>
        <w:left w:val="none" w:sz="0" w:space="0" w:color="auto"/>
        <w:bottom w:val="none" w:sz="0" w:space="0" w:color="auto"/>
        <w:right w:val="none" w:sz="0" w:space="0" w:color="auto"/>
      </w:divBdr>
    </w:div>
    <w:div w:id="1069771924">
      <w:bodyDiv w:val="1"/>
      <w:marLeft w:val="0"/>
      <w:marRight w:val="0"/>
      <w:marTop w:val="0"/>
      <w:marBottom w:val="0"/>
      <w:divBdr>
        <w:top w:val="none" w:sz="0" w:space="0" w:color="auto"/>
        <w:left w:val="none" w:sz="0" w:space="0" w:color="auto"/>
        <w:bottom w:val="none" w:sz="0" w:space="0" w:color="auto"/>
        <w:right w:val="none" w:sz="0" w:space="0" w:color="auto"/>
      </w:divBdr>
    </w:div>
    <w:div w:id="1069810456">
      <w:bodyDiv w:val="1"/>
      <w:marLeft w:val="0"/>
      <w:marRight w:val="0"/>
      <w:marTop w:val="0"/>
      <w:marBottom w:val="0"/>
      <w:divBdr>
        <w:top w:val="none" w:sz="0" w:space="0" w:color="auto"/>
        <w:left w:val="none" w:sz="0" w:space="0" w:color="auto"/>
        <w:bottom w:val="none" w:sz="0" w:space="0" w:color="auto"/>
        <w:right w:val="none" w:sz="0" w:space="0" w:color="auto"/>
      </w:divBdr>
    </w:div>
    <w:div w:id="1069839852">
      <w:bodyDiv w:val="1"/>
      <w:marLeft w:val="0"/>
      <w:marRight w:val="0"/>
      <w:marTop w:val="0"/>
      <w:marBottom w:val="0"/>
      <w:divBdr>
        <w:top w:val="none" w:sz="0" w:space="0" w:color="auto"/>
        <w:left w:val="none" w:sz="0" w:space="0" w:color="auto"/>
        <w:bottom w:val="none" w:sz="0" w:space="0" w:color="auto"/>
        <w:right w:val="none" w:sz="0" w:space="0" w:color="auto"/>
      </w:divBdr>
    </w:div>
    <w:div w:id="1069956404">
      <w:bodyDiv w:val="1"/>
      <w:marLeft w:val="0"/>
      <w:marRight w:val="0"/>
      <w:marTop w:val="0"/>
      <w:marBottom w:val="0"/>
      <w:divBdr>
        <w:top w:val="none" w:sz="0" w:space="0" w:color="auto"/>
        <w:left w:val="none" w:sz="0" w:space="0" w:color="auto"/>
        <w:bottom w:val="none" w:sz="0" w:space="0" w:color="auto"/>
        <w:right w:val="none" w:sz="0" w:space="0" w:color="auto"/>
      </w:divBdr>
    </w:div>
    <w:div w:id="1070540785">
      <w:bodyDiv w:val="1"/>
      <w:marLeft w:val="0"/>
      <w:marRight w:val="0"/>
      <w:marTop w:val="0"/>
      <w:marBottom w:val="0"/>
      <w:divBdr>
        <w:top w:val="none" w:sz="0" w:space="0" w:color="auto"/>
        <w:left w:val="none" w:sz="0" w:space="0" w:color="auto"/>
        <w:bottom w:val="none" w:sz="0" w:space="0" w:color="auto"/>
        <w:right w:val="none" w:sz="0" w:space="0" w:color="auto"/>
      </w:divBdr>
    </w:div>
    <w:div w:id="1070688543">
      <w:bodyDiv w:val="1"/>
      <w:marLeft w:val="0"/>
      <w:marRight w:val="0"/>
      <w:marTop w:val="0"/>
      <w:marBottom w:val="0"/>
      <w:divBdr>
        <w:top w:val="none" w:sz="0" w:space="0" w:color="auto"/>
        <w:left w:val="none" w:sz="0" w:space="0" w:color="auto"/>
        <w:bottom w:val="none" w:sz="0" w:space="0" w:color="auto"/>
        <w:right w:val="none" w:sz="0" w:space="0" w:color="auto"/>
      </w:divBdr>
    </w:div>
    <w:div w:id="1070733324">
      <w:bodyDiv w:val="1"/>
      <w:marLeft w:val="0"/>
      <w:marRight w:val="0"/>
      <w:marTop w:val="0"/>
      <w:marBottom w:val="0"/>
      <w:divBdr>
        <w:top w:val="none" w:sz="0" w:space="0" w:color="auto"/>
        <w:left w:val="none" w:sz="0" w:space="0" w:color="auto"/>
        <w:bottom w:val="none" w:sz="0" w:space="0" w:color="auto"/>
        <w:right w:val="none" w:sz="0" w:space="0" w:color="auto"/>
      </w:divBdr>
    </w:div>
    <w:div w:id="1070737437">
      <w:bodyDiv w:val="1"/>
      <w:marLeft w:val="0"/>
      <w:marRight w:val="0"/>
      <w:marTop w:val="0"/>
      <w:marBottom w:val="0"/>
      <w:divBdr>
        <w:top w:val="none" w:sz="0" w:space="0" w:color="auto"/>
        <w:left w:val="none" w:sz="0" w:space="0" w:color="auto"/>
        <w:bottom w:val="none" w:sz="0" w:space="0" w:color="auto"/>
        <w:right w:val="none" w:sz="0" w:space="0" w:color="auto"/>
      </w:divBdr>
    </w:div>
    <w:div w:id="1070927095">
      <w:bodyDiv w:val="1"/>
      <w:marLeft w:val="0"/>
      <w:marRight w:val="0"/>
      <w:marTop w:val="0"/>
      <w:marBottom w:val="0"/>
      <w:divBdr>
        <w:top w:val="none" w:sz="0" w:space="0" w:color="auto"/>
        <w:left w:val="none" w:sz="0" w:space="0" w:color="auto"/>
        <w:bottom w:val="none" w:sz="0" w:space="0" w:color="auto"/>
        <w:right w:val="none" w:sz="0" w:space="0" w:color="auto"/>
      </w:divBdr>
    </w:div>
    <w:div w:id="1071081121">
      <w:bodyDiv w:val="1"/>
      <w:marLeft w:val="0"/>
      <w:marRight w:val="0"/>
      <w:marTop w:val="0"/>
      <w:marBottom w:val="0"/>
      <w:divBdr>
        <w:top w:val="none" w:sz="0" w:space="0" w:color="auto"/>
        <w:left w:val="none" w:sz="0" w:space="0" w:color="auto"/>
        <w:bottom w:val="none" w:sz="0" w:space="0" w:color="auto"/>
        <w:right w:val="none" w:sz="0" w:space="0" w:color="auto"/>
      </w:divBdr>
    </w:div>
    <w:div w:id="1071082176">
      <w:bodyDiv w:val="1"/>
      <w:marLeft w:val="0"/>
      <w:marRight w:val="0"/>
      <w:marTop w:val="0"/>
      <w:marBottom w:val="0"/>
      <w:divBdr>
        <w:top w:val="none" w:sz="0" w:space="0" w:color="auto"/>
        <w:left w:val="none" w:sz="0" w:space="0" w:color="auto"/>
        <w:bottom w:val="none" w:sz="0" w:space="0" w:color="auto"/>
        <w:right w:val="none" w:sz="0" w:space="0" w:color="auto"/>
      </w:divBdr>
    </w:div>
    <w:div w:id="1071191808">
      <w:bodyDiv w:val="1"/>
      <w:marLeft w:val="0"/>
      <w:marRight w:val="0"/>
      <w:marTop w:val="0"/>
      <w:marBottom w:val="0"/>
      <w:divBdr>
        <w:top w:val="none" w:sz="0" w:space="0" w:color="auto"/>
        <w:left w:val="none" w:sz="0" w:space="0" w:color="auto"/>
        <w:bottom w:val="none" w:sz="0" w:space="0" w:color="auto"/>
        <w:right w:val="none" w:sz="0" w:space="0" w:color="auto"/>
      </w:divBdr>
    </w:div>
    <w:div w:id="1071349350">
      <w:bodyDiv w:val="1"/>
      <w:marLeft w:val="0"/>
      <w:marRight w:val="0"/>
      <w:marTop w:val="0"/>
      <w:marBottom w:val="0"/>
      <w:divBdr>
        <w:top w:val="none" w:sz="0" w:space="0" w:color="auto"/>
        <w:left w:val="none" w:sz="0" w:space="0" w:color="auto"/>
        <w:bottom w:val="none" w:sz="0" w:space="0" w:color="auto"/>
        <w:right w:val="none" w:sz="0" w:space="0" w:color="auto"/>
      </w:divBdr>
    </w:div>
    <w:div w:id="1071544276">
      <w:bodyDiv w:val="1"/>
      <w:marLeft w:val="0"/>
      <w:marRight w:val="0"/>
      <w:marTop w:val="0"/>
      <w:marBottom w:val="0"/>
      <w:divBdr>
        <w:top w:val="none" w:sz="0" w:space="0" w:color="auto"/>
        <w:left w:val="none" w:sz="0" w:space="0" w:color="auto"/>
        <w:bottom w:val="none" w:sz="0" w:space="0" w:color="auto"/>
        <w:right w:val="none" w:sz="0" w:space="0" w:color="auto"/>
      </w:divBdr>
    </w:div>
    <w:div w:id="1071579162">
      <w:bodyDiv w:val="1"/>
      <w:marLeft w:val="0"/>
      <w:marRight w:val="0"/>
      <w:marTop w:val="0"/>
      <w:marBottom w:val="0"/>
      <w:divBdr>
        <w:top w:val="none" w:sz="0" w:space="0" w:color="auto"/>
        <w:left w:val="none" w:sz="0" w:space="0" w:color="auto"/>
        <w:bottom w:val="none" w:sz="0" w:space="0" w:color="auto"/>
        <w:right w:val="none" w:sz="0" w:space="0" w:color="auto"/>
      </w:divBdr>
    </w:div>
    <w:div w:id="1071582054">
      <w:bodyDiv w:val="1"/>
      <w:marLeft w:val="0"/>
      <w:marRight w:val="0"/>
      <w:marTop w:val="0"/>
      <w:marBottom w:val="0"/>
      <w:divBdr>
        <w:top w:val="none" w:sz="0" w:space="0" w:color="auto"/>
        <w:left w:val="none" w:sz="0" w:space="0" w:color="auto"/>
        <w:bottom w:val="none" w:sz="0" w:space="0" w:color="auto"/>
        <w:right w:val="none" w:sz="0" w:space="0" w:color="auto"/>
      </w:divBdr>
    </w:div>
    <w:div w:id="1071585212">
      <w:bodyDiv w:val="1"/>
      <w:marLeft w:val="0"/>
      <w:marRight w:val="0"/>
      <w:marTop w:val="0"/>
      <w:marBottom w:val="0"/>
      <w:divBdr>
        <w:top w:val="none" w:sz="0" w:space="0" w:color="auto"/>
        <w:left w:val="none" w:sz="0" w:space="0" w:color="auto"/>
        <w:bottom w:val="none" w:sz="0" w:space="0" w:color="auto"/>
        <w:right w:val="none" w:sz="0" w:space="0" w:color="auto"/>
      </w:divBdr>
    </w:div>
    <w:div w:id="1071586789">
      <w:bodyDiv w:val="1"/>
      <w:marLeft w:val="0"/>
      <w:marRight w:val="0"/>
      <w:marTop w:val="0"/>
      <w:marBottom w:val="0"/>
      <w:divBdr>
        <w:top w:val="none" w:sz="0" w:space="0" w:color="auto"/>
        <w:left w:val="none" w:sz="0" w:space="0" w:color="auto"/>
        <w:bottom w:val="none" w:sz="0" w:space="0" w:color="auto"/>
        <w:right w:val="none" w:sz="0" w:space="0" w:color="auto"/>
      </w:divBdr>
    </w:div>
    <w:div w:id="1071654447">
      <w:bodyDiv w:val="1"/>
      <w:marLeft w:val="0"/>
      <w:marRight w:val="0"/>
      <w:marTop w:val="0"/>
      <w:marBottom w:val="0"/>
      <w:divBdr>
        <w:top w:val="none" w:sz="0" w:space="0" w:color="auto"/>
        <w:left w:val="none" w:sz="0" w:space="0" w:color="auto"/>
        <w:bottom w:val="none" w:sz="0" w:space="0" w:color="auto"/>
        <w:right w:val="none" w:sz="0" w:space="0" w:color="auto"/>
      </w:divBdr>
    </w:div>
    <w:div w:id="1071777106">
      <w:bodyDiv w:val="1"/>
      <w:marLeft w:val="0"/>
      <w:marRight w:val="0"/>
      <w:marTop w:val="0"/>
      <w:marBottom w:val="0"/>
      <w:divBdr>
        <w:top w:val="none" w:sz="0" w:space="0" w:color="auto"/>
        <w:left w:val="none" w:sz="0" w:space="0" w:color="auto"/>
        <w:bottom w:val="none" w:sz="0" w:space="0" w:color="auto"/>
        <w:right w:val="none" w:sz="0" w:space="0" w:color="auto"/>
      </w:divBdr>
    </w:div>
    <w:div w:id="1071808197">
      <w:bodyDiv w:val="1"/>
      <w:marLeft w:val="0"/>
      <w:marRight w:val="0"/>
      <w:marTop w:val="0"/>
      <w:marBottom w:val="0"/>
      <w:divBdr>
        <w:top w:val="none" w:sz="0" w:space="0" w:color="auto"/>
        <w:left w:val="none" w:sz="0" w:space="0" w:color="auto"/>
        <w:bottom w:val="none" w:sz="0" w:space="0" w:color="auto"/>
        <w:right w:val="none" w:sz="0" w:space="0" w:color="auto"/>
      </w:divBdr>
    </w:div>
    <w:div w:id="1071853426">
      <w:bodyDiv w:val="1"/>
      <w:marLeft w:val="0"/>
      <w:marRight w:val="0"/>
      <w:marTop w:val="0"/>
      <w:marBottom w:val="0"/>
      <w:divBdr>
        <w:top w:val="none" w:sz="0" w:space="0" w:color="auto"/>
        <w:left w:val="none" w:sz="0" w:space="0" w:color="auto"/>
        <w:bottom w:val="none" w:sz="0" w:space="0" w:color="auto"/>
        <w:right w:val="none" w:sz="0" w:space="0" w:color="auto"/>
      </w:divBdr>
    </w:div>
    <w:div w:id="1071931265">
      <w:bodyDiv w:val="1"/>
      <w:marLeft w:val="0"/>
      <w:marRight w:val="0"/>
      <w:marTop w:val="0"/>
      <w:marBottom w:val="0"/>
      <w:divBdr>
        <w:top w:val="none" w:sz="0" w:space="0" w:color="auto"/>
        <w:left w:val="none" w:sz="0" w:space="0" w:color="auto"/>
        <w:bottom w:val="none" w:sz="0" w:space="0" w:color="auto"/>
        <w:right w:val="none" w:sz="0" w:space="0" w:color="auto"/>
      </w:divBdr>
    </w:div>
    <w:div w:id="1072040609">
      <w:bodyDiv w:val="1"/>
      <w:marLeft w:val="0"/>
      <w:marRight w:val="0"/>
      <w:marTop w:val="0"/>
      <w:marBottom w:val="0"/>
      <w:divBdr>
        <w:top w:val="none" w:sz="0" w:space="0" w:color="auto"/>
        <w:left w:val="none" w:sz="0" w:space="0" w:color="auto"/>
        <w:bottom w:val="none" w:sz="0" w:space="0" w:color="auto"/>
        <w:right w:val="none" w:sz="0" w:space="0" w:color="auto"/>
      </w:divBdr>
    </w:div>
    <w:div w:id="1072120837">
      <w:bodyDiv w:val="1"/>
      <w:marLeft w:val="0"/>
      <w:marRight w:val="0"/>
      <w:marTop w:val="0"/>
      <w:marBottom w:val="0"/>
      <w:divBdr>
        <w:top w:val="none" w:sz="0" w:space="0" w:color="auto"/>
        <w:left w:val="none" w:sz="0" w:space="0" w:color="auto"/>
        <w:bottom w:val="none" w:sz="0" w:space="0" w:color="auto"/>
        <w:right w:val="none" w:sz="0" w:space="0" w:color="auto"/>
      </w:divBdr>
    </w:div>
    <w:div w:id="1072239824">
      <w:bodyDiv w:val="1"/>
      <w:marLeft w:val="0"/>
      <w:marRight w:val="0"/>
      <w:marTop w:val="0"/>
      <w:marBottom w:val="0"/>
      <w:divBdr>
        <w:top w:val="none" w:sz="0" w:space="0" w:color="auto"/>
        <w:left w:val="none" w:sz="0" w:space="0" w:color="auto"/>
        <w:bottom w:val="none" w:sz="0" w:space="0" w:color="auto"/>
        <w:right w:val="none" w:sz="0" w:space="0" w:color="auto"/>
      </w:divBdr>
    </w:div>
    <w:div w:id="1072240552">
      <w:bodyDiv w:val="1"/>
      <w:marLeft w:val="0"/>
      <w:marRight w:val="0"/>
      <w:marTop w:val="0"/>
      <w:marBottom w:val="0"/>
      <w:divBdr>
        <w:top w:val="none" w:sz="0" w:space="0" w:color="auto"/>
        <w:left w:val="none" w:sz="0" w:space="0" w:color="auto"/>
        <w:bottom w:val="none" w:sz="0" w:space="0" w:color="auto"/>
        <w:right w:val="none" w:sz="0" w:space="0" w:color="auto"/>
      </w:divBdr>
    </w:div>
    <w:div w:id="1072309586">
      <w:bodyDiv w:val="1"/>
      <w:marLeft w:val="0"/>
      <w:marRight w:val="0"/>
      <w:marTop w:val="0"/>
      <w:marBottom w:val="0"/>
      <w:divBdr>
        <w:top w:val="none" w:sz="0" w:space="0" w:color="auto"/>
        <w:left w:val="none" w:sz="0" w:space="0" w:color="auto"/>
        <w:bottom w:val="none" w:sz="0" w:space="0" w:color="auto"/>
        <w:right w:val="none" w:sz="0" w:space="0" w:color="auto"/>
      </w:divBdr>
    </w:div>
    <w:div w:id="1072390876">
      <w:bodyDiv w:val="1"/>
      <w:marLeft w:val="0"/>
      <w:marRight w:val="0"/>
      <w:marTop w:val="0"/>
      <w:marBottom w:val="0"/>
      <w:divBdr>
        <w:top w:val="none" w:sz="0" w:space="0" w:color="auto"/>
        <w:left w:val="none" w:sz="0" w:space="0" w:color="auto"/>
        <w:bottom w:val="none" w:sz="0" w:space="0" w:color="auto"/>
        <w:right w:val="none" w:sz="0" w:space="0" w:color="auto"/>
      </w:divBdr>
    </w:div>
    <w:div w:id="1072433211">
      <w:bodyDiv w:val="1"/>
      <w:marLeft w:val="0"/>
      <w:marRight w:val="0"/>
      <w:marTop w:val="0"/>
      <w:marBottom w:val="0"/>
      <w:divBdr>
        <w:top w:val="none" w:sz="0" w:space="0" w:color="auto"/>
        <w:left w:val="none" w:sz="0" w:space="0" w:color="auto"/>
        <w:bottom w:val="none" w:sz="0" w:space="0" w:color="auto"/>
        <w:right w:val="none" w:sz="0" w:space="0" w:color="auto"/>
      </w:divBdr>
    </w:div>
    <w:div w:id="1072505885">
      <w:bodyDiv w:val="1"/>
      <w:marLeft w:val="0"/>
      <w:marRight w:val="0"/>
      <w:marTop w:val="0"/>
      <w:marBottom w:val="0"/>
      <w:divBdr>
        <w:top w:val="none" w:sz="0" w:space="0" w:color="auto"/>
        <w:left w:val="none" w:sz="0" w:space="0" w:color="auto"/>
        <w:bottom w:val="none" w:sz="0" w:space="0" w:color="auto"/>
        <w:right w:val="none" w:sz="0" w:space="0" w:color="auto"/>
      </w:divBdr>
    </w:div>
    <w:div w:id="1072771407">
      <w:bodyDiv w:val="1"/>
      <w:marLeft w:val="0"/>
      <w:marRight w:val="0"/>
      <w:marTop w:val="0"/>
      <w:marBottom w:val="0"/>
      <w:divBdr>
        <w:top w:val="none" w:sz="0" w:space="0" w:color="auto"/>
        <w:left w:val="none" w:sz="0" w:space="0" w:color="auto"/>
        <w:bottom w:val="none" w:sz="0" w:space="0" w:color="auto"/>
        <w:right w:val="none" w:sz="0" w:space="0" w:color="auto"/>
      </w:divBdr>
    </w:div>
    <w:div w:id="1072771670">
      <w:bodyDiv w:val="1"/>
      <w:marLeft w:val="0"/>
      <w:marRight w:val="0"/>
      <w:marTop w:val="0"/>
      <w:marBottom w:val="0"/>
      <w:divBdr>
        <w:top w:val="none" w:sz="0" w:space="0" w:color="auto"/>
        <w:left w:val="none" w:sz="0" w:space="0" w:color="auto"/>
        <w:bottom w:val="none" w:sz="0" w:space="0" w:color="auto"/>
        <w:right w:val="none" w:sz="0" w:space="0" w:color="auto"/>
      </w:divBdr>
    </w:div>
    <w:div w:id="1072850425">
      <w:bodyDiv w:val="1"/>
      <w:marLeft w:val="0"/>
      <w:marRight w:val="0"/>
      <w:marTop w:val="0"/>
      <w:marBottom w:val="0"/>
      <w:divBdr>
        <w:top w:val="none" w:sz="0" w:space="0" w:color="auto"/>
        <w:left w:val="none" w:sz="0" w:space="0" w:color="auto"/>
        <w:bottom w:val="none" w:sz="0" w:space="0" w:color="auto"/>
        <w:right w:val="none" w:sz="0" w:space="0" w:color="auto"/>
      </w:divBdr>
    </w:div>
    <w:div w:id="1072897995">
      <w:bodyDiv w:val="1"/>
      <w:marLeft w:val="0"/>
      <w:marRight w:val="0"/>
      <w:marTop w:val="0"/>
      <w:marBottom w:val="0"/>
      <w:divBdr>
        <w:top w:val="none" w:sz="0" w:space="0" w:color="auto"/>
        <w:left w:val="none" w:sz="0" w:space="0" w:color="auto"/>
        <w:bottom w:val="none" w:sz="0" w:space="0" w:color="auto"/>
        <w:right w:val="none" w:sz="0" w:space="0" w:color="auto"/>
      </w:divBdr>
    </w:div>
    <w:div w:id="1072967346">
      <w:bodyDiv w:val="1"/>
      <w:marLeft w:val="0"/>
      <w:marRight w:val="0"/>
      <w:marTop w:val="0"/>
      <w:marBottom w:val="0"/>
      <w:divBdr>
        <w:top w:val="none" w:sz="0" w:space="0" w:color="auto"/>
        <w:left w:val="none" w:sz="0" w:space="0" w:color="auto"/>
        <w:bottom w:val="none" w:sz="0" w:space="0" w:color="auto"/>
        <w:right w:val="none" w:sz="0" w:space="0" w:color="auto"/>
      </w:divBdr>
    </w:div>
    <w:div w:id="1072969375">
      <w:bodyDiv w:val="1"/>
      <w:marLeft w:val="0"/>
      <w:marRight w:val="0"/>
      <w:marTop w:val="0"/>
      <w:marBottom w:val="0"/>
      <w:divBdr>
        <w:top w:val="none" w:sz="0" w:space="0" w:color="auto"/>
        <w:left w:val="none" w:sz="0" w:space="0" w:color="auto"/>
        <w:bottom w:val="none" w:sz="0" w:space="0" w:color="auto"/>
        <w:right w:val="none" w:sz="0" w:space="0" w:color="auto"/>
      </w:divBdr>
    </w:div>
    <w:div w:id="1072969817">
      <w:bodyDiv w:val="1"/>
      <w:marLeft w:val="0"/>
      <w:marRight w:val="0"/>
      <w:marTop w:val="0"/>
      <w:marBottom w:val="0"/>
      <w:divBdr>
        <w:top w:val="none" w:sz="0" w:space="0" w:color="auto"/>
        <w:left w:val="none" w:sz="0" w:space="0" w:color="auto"/>
        <w:bottom w:val="none" w:sz="0" w:space="0" w:color="auto"/>
        <w:right w:val="none" w:sz="0" w:space="0" w:color="auto"/>
      </w:divBdr>
    </w:div>
    <w:div w:id="1072971625">
      <w:bodyDiv w:val="1"/>
      <w:marLeft w:val="0"/>
      <w:marRight w:val="0"/>
      <w:marTop w:val="0"/>
      <w:marBottom w:val="0"/>
      <w:divBdr>
        <w:top w:val="none" w:sz="0" w:space="0" w:color="auto"/>
        <w:left w:val="none" w:sz="0" w:space="0" w:color="auto"/>
        <w:bottom w:val="none" w:sz="0" w:space="0" w:color="auto"/>
        <w:right w:val="none" w:sz="0" w:space="0" w:color="auto"/>
      </w:divBdr>
    </w:div>
    <w:div w:id="1073119098">
      <w:bodyDiv w:val="1"/>
      <w:marLeft w:val="0"/>
      <w:marRight w:val="0"/>
      <w:marTop w:val="0"/>
      <w:marBottom w:val="0"/>
      <w:divBdr>
        <w:top w:val="none" w:sz="0" w:space="0" w:color="auto"/>
        <w:left w:val="none" w:sz="0" w:space="0" w:color="auto"/>
        <w:bottom w:val="none" w:sz="0" w:space="0" w:color="auto"/>
        <w:right w:val="none" w:sz="0" w:space="0" w:color="auto"/>
      </w:divBdr>
    </w:div>
    <w:div w:id="1073157879">
      <w:bodyDiv w:val="1"/>
      <w:marLeft w:val="0"/>
      <w:marRight w:val="0"/>
      <w:marTop w:val="0"/>
      <w:marBottom w:val="0"/>
      <w:divBdr>
        <w:top w:val="none" w:sz="0" w:space="0" w:color="auto"/>
        <w:left w:val="none" w:sz="0" w:space="0" w:color="auto"/>
        <w:bottom w:val="none" w:sz="0" w:space="0" w:color="auto"/>
        <w:right w:val="none" w:sz="0" w:space="0" w:color="auto"/>
      </w:divBdr>
    </w:div>
    <w:div w:id="1073357956">
      <w:bodyDiv w:val="1"/>
      <w:marLeft w:val="0"/>
      <w:marRight w:val="0"/>
      <w:marTop w:val="0"/>
      <w:marBottom w:val="0"/>
      <w:divBdr>
        <w:top w:val="none" w:sz="0" w:space="0" w:color="auto"/>
        <w:left w:val="none" w:sz="0" w:space="0" w:color="auto"/>
        <w:bottom w:val="none" w:sz="0" w:space="0" w:color="auto"/>
        <w:right w:val="none" w:sz="0" w:space="0" w:color="auto"/>
      </w:divBdr>
    </w:div>
    <w:div w:id="1073508512">
      <w:bodyDiv w:val="1"/>
      <w:marLeft w:val="0"/>
      <w:marRight w:val="0"/>
      <w:marTop w:val="0"/>
      <w:marBottom w:val="0"/>
      <w:divBdr>
        <w:top w:val="none" w:sz="0" w:space="0" w:color="auto"/>
        <w:left w:val="none" w:sz="0" w:space="0" w:color="auto"/>
        <w:bottom w:val="none" w:sz="0" w:space="0" w:color="auto"/>
        <w:right w:val="none" w:sz="0" w:space="0" w:color="auto"/>
      </w:divBdr>
    </w:div>
    <w:div w:id="1073703973">
      <w:bodyDiv w:val="1"/>
      <w:marLeft w:val="0"/>
      <w:marRight w:val="0"/>
      <w:marTop w:val="0"/>
      <w:marBottom w:val="0"/>
      <w:divBdr>
        <w:top w:val="none" w:sz="0" w:space="0" w:color="auto"/>
        <w:left w:val="none" w:sz="0" w:space="0" w:color="auto"/>
        <w:bottom w:val="none" w:sz="0" w:space="0" w:color="auto"/>
        <w:right w:val="none" w:sz="0" w:space="0" w:color="auto"/>
      </w:divBdr>
    </w:div>
    <w:div w:id="1073888457">
      <w:bodyDiv w:val="1"/>
      <w:marLeft w:val="0"/>
      <w:marRight w:val="0"/>
      <w:marTop w:val="0"/>
      <w:marBottom w:val="0"/>
      <w:divBdr>
        <w:top w:val="none" w:sz="0" w:space="0" w:color="auto"/>
        <w:left w:val="none" w:sz="0" w:space="0" w:color="auto"/>
        <w:bottom w:val="none" w:sz="0" w:space="0" w:color="auto"/>
        <w:right w:val="none" w:sz="0" w:space="0" w:color="auto"/>
      </w:divBdr>
    </w:div>
    <w:div w:id="1073888820">
      <w:bodyDiv w:val="1"/>
      <w:marLeft w:val="0"/>
      <w:marRight w:val="0"/>
      <w:marTop w:val="0"/>
      <w:marBottom w:val="0"/>
      <w:divBdr>
        <w:top w:val="none" w:sz="0" w:space="0" w:color="auto"/>
        <w:left w:val="none" w:sz="0" w:space="0" w:color="auto"/>
        <w:bottom w:val="none" w:sz="0" w:space="0" w:color="auto"/>
        <w:right w:val="none" w:sz="0" w:space="0" w:color="auto"/>
      </w:divBdr>
    </w:div>
    <w:div w:id="1073969156">
      <w:bodyDiv w:val="1"/>
      <w:marLeft w:val="0"/>
      <w:marRight w:val="0"/>
      <w:marTop w:val="0"/>
      <w:marBottom w:val="0"/>
      <w:divBdr>
        <w:top w:val="none" w:sz="0" w:space="0" w:color="auto"/>
        <w:left w:val="none" w:sz="0" w:space="0" w:color="auto"/>
        <w:bottom w:val="none" w:sz="0" w:space="0" w:color="auto"/>
        <w:right w:val="none" w:sz="0" w:space="0" w:color="auto"/>
      </w:divBdr>
    </w:div>
    <w:div w:id="1074008742">
      <w:bodyDiv w:val="1"/>
      <w:marLeft w:val="0"/>
      <w:marRight w:val="0"/>
      <w:marTop w:val="0"/>
      <w:marBottom w:val="0"/>
      <w:divBdr>
        <w:top w:val="none" w:sz="0" w:space="0" w:color="auto"/>
        <w:left w:val="none" w:sz="0" w:space="0" w:color="auto"/>
        <w:bottom w:val="none" w:sz="0" w:space="0" w:color="auto"/>
        <w:right w:val="none" w:sz="0" w:space="0" w:color="auto"/>
      </w:divBdr>
    </w:div>
    <w:div w:id="1074010519">
      <w:bodyDiv w:val="1"/>
      <w:marLeft w:val="0"/>
      <w:marRight w:val="0"/>
      <w:marTop w:val="0"/>
      <w:marBottom w:val="0"/>
      <w:divBdr>
        <w:top w:val="none" w:sz="0" w:space="0" w:color="auto"/>
        <w:left w:val="none" w:sz="0" w:space="0" w:color="auto"/>
        <w:bottom w:val="none" w:sz="0" w:space="0" w:color="auto"/>
        <w:right w:val="none" w:sz="0" w:space="0" w:color="auto"/>
      </w:divBdr>
    </w:div>
    <w:div w:id="1074202399">
      <w:bodyDiv w:val="1"/>
      <w:marLeft w:val="0"/>
      <w:marRight w:val="0"/>
      <w:marTop w:val="0"/>
      <w:marBottom w:val="0"/>
      <w:divBdr>
        <w:top w:val="none" w:sz="0" w:space="0" w:color="auto"/>
        <w:left w:val="none" w:sz="0" w:space="0" w:color="auto"/>
        <w:bottom w:val="none" w:sz="0" w:space="0" w:color="auto"/>
        <w:right w:val="none" w:sz="0" w:space="0" w:color="auto"/>
      </w:divBdr>
    </w:div>
    <w:div w:id="1074350142">
      <w:bodyDiv w:val="1"/>
      <w:marLeft w:val="0"/>
      <w:marRight w:val="0"/>
      <w:marTop w:val="0"/>
      <w:marBottom w:val="0"/>
      <w:divBdr>
        <w:top w:val="none" w:sz="0" w:space="0" w:color="auto"/>
        <w:left w:val="none" w:sz="0" w:space="0" w:color="auto"/>
        <w:bottom w:val="none" w:sz="0" w:space="0" w:color="auto"/>
        <w:right w:val="none" w:sz="0" w:space="0" w:color="auto"/>
      </w:divBdr>
    </w:div>
    <w:div w:id="1074473136">
      <w:bodyDiv w:val="1"/>
      <w:marLeft w:val="0"/>
      <w:marRight w:val="0"/>
      <w:marTop w:val="0"/>
      <w:marBottom w:val="0"/>
      <w:divBdr>
        <w:top w:val="none" w:sz="0" w:space="0" w:color="auto"/>
        <w:left w:val="none" w:sz="0" w:space="0" w:color="auto"/>
        <w:bottom w:val="none" w:sz="0" w:space="0" w:color="auto"/>
        <w:right w:val="none" w:sz="0" w:space="0" w:color="auto"/>
      </w:divBdr>
    </w:div>
    <w:div w:id="1074547068">
      <w:bodyDiv w:val="1"/>
      <w:marLeft w:val="0"/>
      <w:marRight w:val="0"/>
      <w:marTop w:val="0"/>
      <w:marBottom w:val="0"/>
      <w:divBdr>
        <w:top w:val="none" w:sz="0" w:space="0" w:color="auto"/>
        <w:left w:val="none" w:sz="0" w:space="0" w:color="auto"/>
        <w:bottom w:val="none" w:sz="0" w:space="0" w:color="auto"/>
        <w:right w:val="none" w:sz="0" w:space="0" w:color="auto"/>
      </w:divBdr>
    </w:div>
    <w:div w:id="1074624139">
      <w:bodyDiv w:val="1"/>
      <w:marLeft w:val="0"/>
      <w:marRight w:val="0"/>
      <w:marTop w:val="0"/>
      <w:marBottom w:val="0"/>
      <w:divBdr>
        <w:top w:val="none" w:sz="0" w:space="0" w:color="auto"/>
        <w:left w:val="none" w:sz="0" w:space="0" w:color="auto"/>
        <w:bottom w:val="none" w:sz="0" w:space="0" w:color="auto"/>
        <w:right w:val="none" w:sz="0" w:space="0" w:color="auto"/>
      </w:divBdr>
    </w:div>
    <w:div w:id="1074669224">
      <w:bodyDiv w:val="1"/>
      <w:marLeft w:val="0"/>
      <w:marRight w:val="0"/>
      <w:marTop w:val="0"/>
      <w:marBottom w:val="0"/>
      <w:divBdr>
        <w:top w:val="none" w:sz="0" w:space="0" w:color="auto"/>
        <w:left w:val="none" w:sz="0" w:space="0" w:color="auto"/>
        <w:bottom w:val="none" w:sz="0" w:space="0" w:color="auto"/>
        <w:right w:val="none" w:sz="0" w:space="0" w:color="auto"/>
      </w:divBdr>
    </w:div>
    <w:div w:id="1074738413">
      <w:bodyDiv w:val="1"/>
      <w:marLeft w:val="0"/>
      <w:marRight w:val="0"/>
      <w:marTop w:val="0"/>
      <w:marBottom w:val="0"/>
      <w:divBdr>
        <w:top w:val="none" w:sz="0" w:space="0" w:color="auto"/>
        <w:left w:val="none" w:sz="0" w:space="0" w:color="auto"/>
        <w:bottom w:val="none" w:sz="0" w:space="0" w:color="auto"/>
        <w:right w:val="none" w:sz="0" w:space="0" w:color="auto"/>
      </w:divBdr>
    </w:div>
    <w:div w:id="1074745870">
      <w:bodyDiv w:val="1"/>
      <w:marLeft w:val="0"/>
      <w:marRight w:val="0"/>
      <w:marTop w:val="0"/>
      <w:marBottom w:val="0"/>
      <w:divBdr>
        <w:top w:val="none" w:sz="0" w:space="0" w:color="auto"/>
        <w:left w:val="none" w:sz="0" w:space="0" w:color="auto"/>
        <w:bottom w:val="none" w:sz="0" w:space="0" w:color="auto"/>
        <w:right w:val="none" w:sz="0" w:space="0" w:color="auto"/>
      </w:divBdr>
    </w:div>
    <w:div w:id="1074859361">
      <w:bodyDiv w:val="1"/>
      <w:marLeft w:val="0"/>
      <w:marRight w:val="0"/>
      <w:marTop w:val="0"/>
      <w:marBottom w:val="0"/>
      <w:divBdr>
        <w:top w:val="none" w:sz="0" w:space="0" w:color="auto"/>
        <w:left w:val="none" w:sz="0" w:space="0" w:color="auto"/>
        <w:bottom w:val="none" w:sz="0" w:space="0" w:color="auto"/>
        <w:right w:val="none" w:sz="0" w:space="0" w:color="auto"/>
      </w:divBdr>
    </w:div>
    <w:div w:id="1074933392">
      <w:bodyDiv w:val="1"/>
      <w:marLeft w:val="0"/>
      <w:marRight w:val="0"/>
      <w:marTop w:val="0"/>
      <w:marBottom w:val="0"/>
      <w:divBdr>
        <w:top w:val="none" w:sz="0" w:space="0" w:color="auto"/>
        <w:left w:val="none" w:sz="0" w:space="0" w:color="auto"/>
        <w:bottom w:val="none" w:sz="0" w:space="0" w:color="auto"/>
        <w:right w:val="none" w:sz="0" w:space="0" w:color="auto"/>
      </w:divBdr>
    </w:div>
    <w:div w:id="1074936684">
      <w:bodyDiv w:val="1"/>
      <w:marLeft w:val="0"/>
      <w:marRight w:val="0"/>
      <w:marTop w:val="0"/>
      <w:marBottom w:val="0"/>
      <w:divBdr>
        <w:top w:val="none" w:sz="0" w:space="0" w:color="auto"/>
        <w:left w:val="none" w:sz="0" w:space="0" w:color="auto"/>
        <w:bottom w:val="none" w:sz="0" w:space="0" w:color="auto"/>
        <w:right w:val="none" w:sz="0" w:space="0" w:color="auto"/>
      </w:divBdr>
    </w:div>
    <w:div w:id="1074939044">
      <w:bodyDiv w:val="1"/>
      <w:marLeft w:val="0"/>
      <w:marRight w:val="0"/>
      <w:marTop w:val="0"/>
      <w:marBottom w:val="0"/>
      <w:divBdr>
        <w:top w:val="none" w:sz="0" w:space="0" w:color="auto"/>
        <w:left w:val="none" w:sz="0" w:space="0" w:color="auto"/>
        <w:bottom w:val="none" w:sz="0" w:space="0" w:color="auto"/>
        <w:right w:val="none" w:sz="0" w:space="0" w:color="auto"/>
      </w:divBdr>
    </w:div>
    <w:div w:id="1075007021">
      <w:bodyDiv w:val="1"/>
      <w:marLeft w:val="0"/>
      <w:marRight w:val="0"/>
      <w:marTop w:val="0"/>
      <w:marBottom w:val="0"/>
      <w:divBdr>
        <w:top w:val="none" w:sz="0" w:space="0" w:color="auto"/>
        <w:left w:val="none" w:sz="0" w:space="0" w:color="auto"/>
        <w:bottom w:val="none" w:sz="0" w:space="0" w:color="auto"/>
        <w:right w:val="none" w:sz="0" w:space="0" w:color="auto"/>
      </w:divBdr>
    </w:div>
    <w:div w:id="1075013451">
      <w:bodyDiv w:val="1"/>
      <w:marLeft w:val="0"/>
      <w:marRight w:val="0"/>
      <w:marTop w:val="0"/>
      <w:marBottom w:val="0"/>
      <w:divBdr>
        <w:top w:val="none" w:sz="0" w:space="0" w:color="auto"/>
        <w:left w:val="none" w:sz="0" w:space="0" w:color="auto"/>
        <w:bottom w:val="none" w:sz="0" w:space="0" w:color="auto"/>
        <w:right w:val="none" w:sz="0" w:space="0" w:color="auto"/>
      </w:divBdr>
    </w:div>
    <w:div w:id="1075474080">
      <w:bodyDiv w:val="1"/>
      <w:marLeft w:val="0"/>
      <w:marRight w:val="0"/>
      <w:marTop w:val="0"/>
      <w:marBottom w:val="0"/>
      <w:divBdr>
        <w:top w:val="none" w:sz="0" w:space="0" w:color="auto"/>
        <w:left w:val="none" w:sz="0" w:space="0" w:color="auto"/>
        <w:bottom w:val="none" w:sz="0" w:space="0" w:color="auto"/>
        <w:right w:val="none" w:sz="0" w:space="0" w:color="auto"/>
      </w:divBdr>
    </w:div>
    <w:div w:id="1075474520">
      <w:bodyDiv w:val="1"/>
      <w:marLeft w:val="0"/>
      <w:marRight w:val="0"/>
      <w:marTop w:val="0"/>
      <w:marBottom w:val="0"/>
      <w:divBdr>
        <w:top w:val="none" w:sz="0" w:space="0" w:color="auto"/>
        <w:left w:val="none" w:sz="0" w:space="0" w:color="auto"/>
        <w:bottom w:val="none" w:sz="0" w:space="0" w:color="auto"/>
        <w:right w:val="none" w:sz="0" w:space="0" w:color="auto"/>
      </w:divBdr>
    </w:div>
    <w:div w:id="1075514957">
      <w:bodyDiv w:val="1"/>
      <w:marLeft w:val="0"/>
      <w:marRight w:val="0"/>
      <w:marTop w:val="0"/>
      <w:marBottom w:val="0"/>
      <w:divBdr>
        <w:top w:val="none" w:sz="0" w:space="0" w:color="auto"/>
        <w:left w:val="none" w:sz="0" w:space="0" w:color="auto"/>
        <w:bottom w:val="none" w:sz="0" w:space="0" w:color="auto"/>
        <w:right w:val="none" w:sz="0" w:space="0" w:color="auto"/>
      </w:divBdr>
    </w:div>
    <w:div w:id="1075594849">
      <w:bodyDiv w:val="1"/>
      <w:marLeft w:val="0"/>
      <w:marRight w:val="0"/>
      <w:marTop w:val="0"/>
      <w:marBottom w:val="0"/>
      <w:divBdr>
        <w:top w:val="none" w:sz="0" w:space="0" w:color="auto"/>
        <w:left w:val="none" w:sz="0" w:space="0" w:color="auto"/>
        <w:bottom w:val="none" w:sz="0" w:space="0" w:color="auto"/>
        <w:right w:val="none" w:sz="0" w:space="0" w:color="auto"/>
      </w:divBdr>
    </w:div>
    <w:div w:id="1075660788">
      <w:bodyDiv w:val="1"/>
      <w:marLeft w:val="0"/>
      <w:marRight w:val="0"/>
      <w:marTop w:val="0"/>
      <w:marBottom w:val="0"/>
      <w:divBdr>
        <w:top w:val="none" w:sz="0" w:space="0" w:color="auto"/>
        <w:left w:val="none" w:sz="0" w:space="0" w:color="auto"/>
        <w:bottom w:val="none" w:sz="0" w:space="0" w:color="auto"/>
        <w:right w:val="none" w:sz="0" w:space="0" w:color="auto"/>
      </w:divBdr>
    </w:div>
    <w:div w:id="1075786867">
      <w:bodyDiv w:val="1"/>
      <w:marLeft w:val="0"/>
      <w:marRight w:val="0"/>
      <w:marTop w:val="0"/>
      <w:marBottom w:val="0"/>
      <w:divBdr>
        <w:top w:val="none" w:sz="0" w:space="0" w:color="auto"/>
        <w:left w:val="none" w:sz="0" w:space="0" w:color="auto"/>
        <w:bottom w:val="none" w:sz="0" w:space="0" w:color="auto"/>
        <w:right w:val="none" w:sz="0" w:space="0" w:color="auto"/>
      </w:divBdr>
    </w:div>
    <w:div w:id="1075855556">
      <w:bodyDiv w:val="1"/>
      <w:marLeft w:val="0"/>
      <w:marRight w:val="0"/>
      <w:marTop w:val="0"/>
      <w:marBottom w:val="0"/>
      <w:divBdr>
        <w:top w:val="none" w:sz="0" w:space="0" w:color="auto"/>
        <w:left w:val="none" w:sz="0" w:space="0" w:color="auto"/>
        <w:bottom w:val="none" w:sz="0" w:space="0" w:color="auto"/>
        <w:right w:val="none" w:sz="0" w:space="0" w:color="auto"/>
      </w:divBdr>
    </w:div>
    <w:div w:id="1075979458">
      <w:bodyDiv w:val="1"/>
      <w:marLeft w:val="0"/>
      <w:marRight w:val="0"/>
      <w:marTop w:val="0"/>
      <w:marBottom w:val="0"/>
      <w:divBdr>
        <w:top w:val="none" w:sz="0" w:space="0" w:color="auto"/>
        <w:left w:val="none" w:sz="0" w:space="0" w:color="auto"/>
        <w:bottom w:val="none" w:sz="0" w:space="0" w:color="auto"/>
        <w:right w:val="none" w:sz="0" w:space="0" w:color="auto"/>
      </w:divBdr>
    </w:div>
    <w:div w:id="1076054086">
      <w:bodyDiv w:val="1"/>
      <w:marLeft w:val="0"/>
      <w:marRight w:val="0"/>
      <w:marTop w:val="0"/>
      <w:marBottom w:val="0"/>
      <w:divBdr>
        <w:top w:val="none" w:sz="0" w:space="0" w:color="auto"/>
        <w:left w:val="none" w:sz="0" w:space="0" w:color="auto"/>
        <w:bottom w:val="none" w:sz="0" w:space="0" w:color="auto"/>
        <w:right w:val="none" w:sz="0" w:space="0" w:color="auto"/>
      </w:divBdr>
    </w:div>
    <w:div w:id="1076125223">
      <w:bodyDiv w:val="1"/>
      <w:marLeft w:val="0"/>
      <w:marRight w:val="0"/>
      <w:marTop w:val="0"/>
      <w:marBottom w:val="0"/>
      <w:divBdr>
        <w:top w:val="none" w:sz="0" w:space="0" w:color="auto"/>
        <w:left w:val="none" w:sz="0" w:space="0" w:color="auto"/>
        <w:bottom w:val="none" w:sz="0" w:space="0" w:color="auto"/>
        <w:right w:val="none" w:sz="0" w:space="0" w:color="auto"/>
      </w:divBdr>
    </w:div>
    <w:div w:id="1076168617">
      <w:bodyDiv w:val="1"/>
      <w:marLeft w:val="0"/>
      <w:marRight w:val="0"/>
      <w:marTop w:val="0"/>
      <w:marBottom w:val="0"/>
      <w:divBdr>
        <w:top w:val="none" w:sz="0" w:space="0" w:color="auto"/>
        <w:left w:val="none" w:sz="0" w:space="0" w:color="auto"/>
        <w:bottom w:val="none" w:sz="0" w:space="0" w:color="auto"/>
        <w:right w:val="none" w:sz="0" w:space="0" w:color="auto"/>
      </w:divBdr>
    </w:div>
    <w:div w:id="1076321656">
      <w:bodyDiv w:val="1"/>
      <w:marLeft w:val="0"/>
      <w:marRight w:val="0"/>
      <w:marTop w:val="0"/>
      <w:marBottom w:val="0"/>
      <w:divBdr>
        <w:top w:val="none" w:sz="0" w:space="0" w:color="auto"/>
        <w:left w:val="none" w:sz="0" w:space="0" w:color="auto"/>
        <w:bottom w:val="none" w:sz="0" w:space="0" w:color="auto"/>
        <w:right w:val="none" w:sz="0" w:space="0" w:color="auto"/>
      </w:divBdr>
    </w:div>
    <w:div w:id="1076364418">
      <w:bodyDiv w:val="1"/>
      <w:marLeft w:val="0"/>
      <w:marRight w:val="0"/>
      <w:marTop w:val="0"/>
      <w:marBottom w:val="0"/>
      <w:divBdr>
        <w:top w:val="none" w:sz="0" w:space="0" w:color="auto"/>
        <w:left w:val="none" w:sz="0" w:space="0" w:color="auto"/>
        <w:bottom w:val="none" w:sz="0" w:space="0" w:color="auto"/>
        <w:right w:val="none" w:sz="0" w:space="0" w:color="auto"/>
      </w:divBdr>
    </w:div>
    <w:div w:id="1076393794">
      <w:bodyDiv w:val="1"/>
      <w:marLeft w:val="0"/>
      <w:marRight w:val="0"/>
      <w:marTop w:val="0"/>
      <w:marBottom w:val="0"/>
      <w:divBdr>
        <w:top w:val="none" w:sz="0" w:space="0" w:color="auto"/>
        <w:left w:val="none" w:sz="0" w:space="0" w:color="auto"/>
        <w:bottom w:val="none" w:sz="0" w:space="0" w:color="auto"/>
        <w:right w:val="none" w:sz="0" w:space="0" w:color="auto"/>
      </w:divBdr>
    </w:div>
    <w:div w:id="1076627326">
      <w:bodyDiv w:val="1"/>
      <w:marLeft w:val="0"/>
      <w:marRight w:val="0"/>
      <w:marTop w:val="0"/>
      <w:marBottom w:val="0"/>
      <w:divBdr>
        <w:top w:val="none" w:sz="0" w:space="0" w:color="auto"/>
        <w:left w:val="none" w:sz="0" w:space="0" w:color="auto"/>
        <w:bottom w:val="none" w:sz="0" w:space="0" w:color="auto"/>
        <w:right w:val="none" w:sz="0" w:space="0" w:color="auto"/>
      </w:divBdr>
    </w:div>
    <w:div w:id="1076702541">
      <w:bodyDiv w:val="1"/>
      <w:marLeft w:val="0"/>
      <w:marRight w:val="0"/>
      <w:marTop w:val="0"/>
      <w:marBottom w:val="0"/>
      <w:divBdr>
        <w:top w:val="none" w:sz="0" w:space="0" w:color="auto"/>
        <w:left w:val="none" w:sz="0" w:space="0" w:color="auto"/>
        <w:bottom w:val="none" w:sz="0" w:space="0" w:color="auto"/>
        <w:right w:val="none" w:sz="0" w:space="0" w:color="auto"/>
      </w:divBdr>
    </w:div>
    <w:div w:id="1076709693">
      <w:bodyDiv w:val="1"/>
      <w:marLeft w:val="0"/>
      <w:marRight w:val="0"/>
      <w:marTop w:val="0"/>
      <w:marBottom w:val="0"/>
      <w:divBdr>
        <w:top w:val="none" w:sz="0" w:space="0" w:color="auto"/>
        <w:left w:val="none" w:sz="0" w:space="0" w:color="auto"/>
        <w:bottom w:val="none" w:sz="0" w:space="0" w:color="auto"/>
        <w:right w:val="none" w:sz="0" w:space="0" w:color="auto"/>
      </w:divBdr>
    </w:div>
    <w:div w:id="1076785136">
      <w:bodyDiv w:val="1"/>
      <w:marLeft w:val="0"/>
      <w:marRight w:val="0"/>
      <w:marTop w:val="0"/>
      <w:marBottom w:val="0"/>
      <w:divBdr>
        <w:top w:val="none" w:sz="0" w:space="0" w:color="auto"/>
        <w:left w:val="none" w:sz="0" w:space="0" w:color="auto"/>
        <w:bottom w:val="none" w:sz="0" w:space="0" w:color="auto"/>
        <w:right w:val="none" w:sz="0" w:space="0" w:color="auto"/>
      </w:divBdr>
    </w:div>
    <w:div w:id="1076822557">
      <w:bodyDiv w:val="1"/>
      <w:marLeft w:val="0"/>
      <w:marRight w:val="0"/>
      <w:marTop w:val="0"/>
      <w:marBottom w:val="0"/>
      <w:divBdr>
        <w:top w:val="none" w:sz="0" w:space="0" w:color="auto"/>
        <w:left w:val="none" w:sz="0" w:space="0" w:color="auto"/>
        <w:bottom w:val="none" w:sz="0" w:space="0" w:color="auto"/>
        <w:right w:val="none" w:sz="0" w:space="0" w:color="auto"/>
      </w:divBdr>
    </w:div>
    <w:div w:id="1076829532">
      <w:bodyDiv w:val="1"/>
      <w:marLeft w:val="0"/>
      <w:marRight w:val="0"/>
      <w:marTop w:val="0"/>
      <w:marBottom w:val="0"/>
      <w:divBdr>
        <w:top w:val="none" w:sz="0" w:space="0" w:color="auto"/>
        <w:left w:val="none" w:sz="0" w:space="0" w:color="auto"/>
        <w:bottom w:val="none" w:sz="0" w:space="0" w:color="auto"/>
        <w:right w:val="none" w:sz="0" w:space="0" w:color="auto"/>
      </w:divBdr>
    </w:div>
    <w:div w:id="1076901853">
      <w:bodyDiv w:val="1"/>
      <w:marLeft w:val="0"/>
      <w:marRight w:val="0"/>
      <w:marTop w:val="0"/>
      <w:marBottom w:val="0"/>
      <w:divBdr>
        <w:top w:val="none" w:sz="0" w:space="0" w:color="auto"/>
        <w:left w:val="none" w:sz="0" w:space="0" w:color="auto"/>
        <w:bottom w:val="none" w:sz="0" w:space="0" w:color="auto"/>
        <w:right w:val="none" w:sz="0" w:space="0" w:color="auto"/>
      </w:divBdr>
    </w:div>
    <w:div w:id="1076971403">
      <w:bodyDiv w:val="1"/>
      <w:marLeft w:val="0"/>
      <w:marRight w:val="0"/>
      <w:marTop w:val="0"/>
      <w:marBottom w:val="0"/>
      <w:divBdr>
        <w:top w:val="none" w:sz="0" w:space="0" w:color="auto"/>
        <w:left w:val="none" w:sz="0" w:space="0" w:color="auto"/>
        <w:bottom w:val="none" w:sz="0" w:space="0" w:color="auto"/>
        <w:right w:val="none" w:sz="0" w:space="0" w:color="auto"/>
      </w:divBdr>
    </w:div>
    <w:div w:id="1076980372">
      <w:bodyDiv w:val="1"/>
      <w:marLeft w:val="0"/>
      <w:marRight w:val="0"/>
      <w:marTop w:val="0"/>
      <w:marBottom w:val="0"/>
      <w:divBdr>
        <w:top w:val="none" w:sz="0" w:space="0" w:color="auto"/>
        <w:left w:val="none" w:sz="0" w:space="0" w:color="auto"/>
        <w:bottom w:val="none" w:sz="0" w:space="0" w:color="auto"/>
        <w:right w:val="none" w:sz="0" w:space="0" w:color="auto"/>
      </w:divBdr>
    </w:div>
    <w:div w:id="1077097883">
      <w:bodyDiv w:val="1"/>
      <w:marLeft w:val="0"/>
      <w:marRight w:val="0"/>
      <w:marTop w:val="0"/>
      <w:marBottom w:val="0"/>
      <w:divBdr>
        <w:top w:val="none" w:sz="0" w:space="0" w:color="auto"/>
        <w:left w:val="none" w:sz="0" w:space="0" w:color="auto"/>
        <w:bottom w:val="none" w:sz="0" w:space="0" w:color="auto"/>
        <w:right w:val="none" w:sz="0" w:space="0" w:color="auto"/>
      </w:divBdr>
    </w:div>
    <w:div w:id="1077287622">
      <w:bodyDiv w:val="1"/>
      <w:marLeft w:val="0"/>
      <w:marRight w:val="0"/>
      <w:marTop w:val="0"/>
      <w:marBottom w:val="0"/>
      <w:divBdr>
        <w:top w:val="none" w:sz="0" w:space="0" w:color="auto"/>
        <w:left w:val="none" w:sz="0" w:space="0" w:color="auto"/>
        <w:bottom w:val="none" w:sz="0" w:space="0" w:color="auto"/>
        <w:right w:val="none" w:sz="0" w:space="0" w:color="auto"/>
      </w:divBdr>
    </w:div>
    <w:div w:id="1077359423">
      <w:bodyDiv w:val="1"/>
      <w:marLeft w:val="0"/>
      <w:marRight w:val="0"/>
      <w:marTop w:val="0"/>
      <w:marBottom w:val="0"/>
      <w:divBdr>
        <w:top w:val="none" w:sz="0" w:space="0" w:color="auto"/>
        <w:left w:val="none" w:sz="0" w:space="0" w:color="auto"/>
        <w:bottom w:val="none" w:sz="0" w:space="0" w:color="auto"/>
        <w:right w:val="none" w:sz="0" w:space="0" w:color="auto"/>
      </w:divBdr>
    </w:div>
    <w:div w:id="1077360712">
      <w:bodyDiv w:val="1"/>
      <w:marLeft w:val="0"/>
      <w:marRight w:val="0"/>
      <w:marTop w:val="0"/>
      <w:marBottom w:val="0"/>
      <w:divBdr>
        <w:top w:val="none" w:sz="0" w:space="0" w:color="auto"/>
        <w:left w:val="none" w:sz="0" w:space="0" w:color="auto"/>
        <w:bottom w:val="none" w:sz="0" w:space="0" w:color="auto"/>
        <w:right w:val="none" w:sz="0" w:space="0" w:color="auto"/>
      </w:divBdr>
    </w:div>
    <w:div w:id="1077440760">
      <w:bodyDiv w:val="1"/>
      <w:marLeft w:val="0"/>
      <w:marRight w:val="0"/>
      <w:marTop w:val="0"/>
      <w:marBottom w:val="0"/>
      <w:divBdr>
        <w:top w:val="none" w:sz="0" w:space="0" w:color="auto"/>
        <w:left w:val="none" w:sz="0" w:space="0" w:color="auto"/>
        <w:bottom w:val="none" w:sz="0" w:space="0" w:color="auto"/>
        <w:right w:val="none" w:sz="0" w:space="0" w:color="auto"/>
      </w:divBdr>
    </w:div>
    <w:div w:id="1077477985">
      <w:bodyDiv w:val="1"/>
      <w:marLeft w:val="0"/>
      <w:marRight w:val="0"/>
      <w:marTop w:val="0"/>
      <w:marBottom w:val="0"/>
      <w:divBdr>
        <w:top w:val="none" w:sz="0" w:space="0" w:color="auto"/>
        <w:left w:val="none" w:sz="0" w:space="0" w:color="auto"/>
        <w:bottom w:val="none" w:sz="0" w:space="0" w:color="auto"/>
        <w:right w:val="none" w:sz="0" w:space="0" w:color="auto"/>
      </w:divBdr>
    </w:div>
    <w:div w:id="1077508928">
      <w:bodyDiv w:val="1"/>
      <w:marLeft w:val="0"/>
      <w:marRight w:val="0"/>
      <w:marTop w:val="0"/>
      <w:marBottom w:val="0"/>
      <w:divBdr>
        <w:top w:val="none" w:sz="0" w:space="0" w:color="auto"/>
        <w:left w:val="none" w:sz="0" w:space="0" w:color="auto"/>
        <w:bottom w:val="none" w:sz="0" w:space="0" w:color="auto"/>
        <w:right w:val="none" w:sz="0" w:space="0" w:color="auto"/>
      </w:divBdr>
    </w:div>
    <w:div w:id="1077626736">
      <w:bodyDiv w:val="1"/>
      <w:marLeft w:val="0"/>
      <w:marRight w:val="0"/>
      <w:marTop w:val="0"/>
      <w:marBottom w:val="0"/>
      <w:divBdr>
        <w:top w:val="none" w:sz="0" w:space="0" w:color="auto"/>
        <w:left w:val="none" w:sz="0" w:space="0" w:color="auto"/>
        <w:bottom w:val="none" w:sz="0" w:space="0" w:color="auto"/>
        <w:right w:val="none" w:sz="0" w:space="0" w:color="auto"/>
      </w:divBdr>
    </w:div>
    <w:div w:id="1077632275">
      <w:bodyDiv w:val="1"/>
      <w:marLeft w:val="0"/>
      <w:marRight w:val="0"/>
      <w:marTop w:val="0"/>
      <w:marBottom w:val="0"/>
      <w:divBdr>
        <w:top w:val="none" w:sz="0" w:space="0" w:color="auto"/>
        <w:left w:val="none" w:sz="0" w:space="0" w:color="auto"/>
        <w:bottom w:val="none" w:sz="0" w:space="0" w:color="auto"/>
        <w:right w:val="none" w:sz="0" w:space="0" w:color="auto"/>
      </w:divBdr>
    </w:div>
    <w:div w:id="1077705215">
      <w:bodyDiv w:val="1"/>
      <w:marLeft w:val="0"/>
      <w:marRight w:val="0"/>
      <w:marTop w:val="0"/>
      <w:marBottom w:val="0"/>
      <w:divBdr>
        <w:top w:val="none" w:sz="0" w:space="0" w:color="auto"/>
        <w:left w:val="none" w:sz="0" w:space="0" w:color="auto"/>
        <w:bottom w:val="none" w:sz="0" w:space="0" w:color="auto"/>
        <w:right w:val="none" w:sz="0" w:space="0" w:color="auto"/>
      </w:divBdr>
    </w:div>
    <w:div w:id="1077820339">
      <w:bodyDiv w:val="1"/>
      <w:marLeft w:val="0"/>
      <w:marRight w:val="0"/>
      <w:marTop w:val="0"/>
      <w:marBottom w:val="0"/>
      <w:divBdr>
        <w:top w:val="none" w:sz="0" w:space="0" w:color="auto"/>
        <w:left w:val="none" w:sz="0" w:space="0" w:color="auto"/>
        <w:bottom w:val="none" w:sz="0" w:space="0" w:color="auto"/>
        <w:right w:val="none" w:sz="0" w:space="0" w:color="auto"/>
      </w:divBdr>
    </w:div>
    <w:div w:id="1077820560">
      <w:bodyDiv w:val="1"/>
      <w:marLeft w:val="0"/>
      <w:marRight w:val="0"/>
      <w:marTop w:val="0"/>
      <w:marBottom w:val="0"/>
      <w:divBdr>
        <w:top w:val="none" w:sz="0" w:space="0" w:color="auto"/>
        <w:left w:val="none" w:sz="0" w:space="0" w:color="auto"/>
        <w:bottom w:val="none" w:sz="0" w:space="0" w:color="auto"/>
        <w:right w:val="none" w:sz="0" w:space="0" w:color="auto"/>
      </w:divBdr>
    </w:div>
    <w:div w:id="1077897675">
      <w:bodyDiv w:val="1"/>
      <w:marLeft w:val="0"/>
      <w:marRight w:val="0"/>
      <w:marTop w:val="0"/>
      <w:marBottom w:val="0"/>
      <w:divBdr>
        <w:top w:val="none" w:sz="0" w:space="0" w:color="auto"/>
        <w:left w:val="none" w:sz="0" w:space="0" w:color="auto"/>
        <w:bottom w:val="none" w:sz="0" w:space="0" w:color="auto"/>
        <w:right w:val="none" w:sz="0" w:space="0" w:color="auto"/>
      </w:divBdr>
    </w:div>
    <w:div w:id="1077937603">
      <w:bodyDiv w:val="1"/>
      <w:marLeft w:val="0"/>
      <w:marRight w:val="0"/>
      <w:marTop w:val="0"/>
      <w:marBottom w:val="0"/>
      <w:divBdr>
        <w:top w:val="none" w:sz="0" w:space="0" w:color="auto"/>
        <w:left w:val="none" w:sz="0" w:space="0" w:color="auto"/>
        <w:bottom w:val="none" w:sz="0" w:space="0" w:color="auto"/>
        <w:right w:val="none" w:sz="0" w:space="0" w:color="auto"/>
      </w:divBdr>
    </w:div>
    <w:div w:id="1078015235">
      <w:bodyDiv w:val="1"/>
      <w:marLeft w:val="0"/>
      <w:marRight w:val="0"/>
      <w:marTop w:val="0"/>
      <w:marBottom w:val="0"/>
      <w:divBdr>
        <w:top w:val="none" w:sz="0" w:space="0" w:color="auto"/>
        <w:left w:val="none" w:sz="0" w:space="0" w:color="auto"/>
        <w:bottom w:val="none" w:sz="0" w:space="0" w:color="auto"/>
        <w:right w:val="none" w:sz="0" w:space="0" w:color="auto"/>
      </w:divBdr>
    </w:div>
    <w:div w:id="1078163663">
      <w:bodyDiv w:val="1"/>
      <w:marLeft w:val="0"/>
      <w:marRight w:val="0"/>
      <w:marTop w:val="0"/>
      <w:marBottom w:val="0"/>
      <w:divBdr>
        <w:top w:val="none" w:sz="0" w:space="0" w:color="auto"/>
        <w:left w:val="none" w:sz="0" w:space="0" w:color="auto"/>
        <w:bottom w:val="none" w:sz="0" w:space="0" w:color="auto"/>
        <w:right w:val="none" w:sz="0" w:space="0" w:color="auto"/>
      </w:divBdr>
    </w:div>
    <w:div w:id="1078214543">
      <w:bodyDiv w:val="1"/>
      <w:marLeft w:val="0"/>
      <w:marRight w:val="0"/>
      <w:marTop w:val="0"/>
      <w:marBottom w:val="0"/>
      <w:divBdr>
        <w:top w:val="none" w:sz="0" w:space="0" w:color="auto"/>
        <w:left w:val="none" w:sz="0" w:space="0" w:color="auto"/>
        <w:bottom w:val="none" w:sz="0" w:space="0" w:color="auto"/>
        <w:right w:val="none" w:sz="0" w:space="0" w:color="auto"/>
      </w:divBdr>
    </w:div>
    <w:div w:id="1078215706">
      <w:bodyDiv w:val="1"/>
      <w:marLeft w:val="0"/>
      <w:marRight w:val="0"/>
      <w:marTop w:val="0"/>
      <w:marBottom w:val="0"/>
      <w:divBdr>
        <w:top w:val="none" w:sz="0" w:space="0" w:color="auto"/>
        <w:left w:val="none" w:sz="0" w:space="0" w:color="auto"/>
        <w:bottom w:val="none" w:sz="0" w:space="0" w:color="auto"/>
        <w:right w:val="none" w:sz="0" w:space="0" w:color="auto"/>
      </w:divBdr>
    </w:div>
    <w:div w:id="1078329817">
      <w:bodyDiv w:val="1"/>
      <w:marLeft w:val="0"/>
      <w:marRight w:val="0"/>
      <w:marTop w:val="0"/>
      <w:marBottom w:val="0"/>
      <w:divBdr>
        <w:top w:val="none" w:sz="0" w:space="0" w:color="auto"/>
        <w:left w:val="none" w:sz="0" w:space="0" w:color="auto"/>
        <w:bottom w:val="none" w:sz="0" w:space="0" w:color="auto"/>
        <w:right w:val="none" w:sz="0" w:space="0" w:color="auto"/>
      </w:divBdr>
    </w:div>
    <w:div w:id="1078404738">
      <w:bodyDiv w:val="1"/>
      <w:marLeft w:val="0"/>
      <w:marRight w:val="0"/>
      <w:marTop w:val="0"/>
      <w:marBottom w:val="0"/>
      <w:divBdr>
        <w:top w:val="none" w:sz="0" w:space="0" w:color="auto"/>
        <w:left w:val="none" w:sz="0" w:space="0" w:color="auto"/>
        <w:bottom w:val="none" w:sz="0" w:space="0" w:color="auto"/>
        <w:right w:val="none" w:sz="0" w:space="0" w:color="auto"/>
      </w:divBdr>
    </w:div>
    <w:div w:id="1078405779">
      <w:bodyDiv w:val="1"/>
      <w:marLeft w:val="0"/>
      <w:marRight w:val="0"/>
      <w:marTop w:val="0"/>
      <w:marBottom w:val="0"/>
      <w:divBdr>
        <w:top w:val="none" w:sz="0" w:space="0" w:color="auto"/>
        <w:left w:val="none" w:sz="0" w:space="0" w:color="auto"/>
        <w:bottom w:val="none" w:sz="0" w:space="0" w:color="auto"/>
        <w:right w:val="none" w:sz="0" w:space="0" w:color="auto"/>
      </w:divBdr>
    </w:div>
    <w:div w:id="1078482743">
      <w:bodyDiv w:val="1"/>
      <w:marLeft w:val="0"/>
      <w:marRight w:val="0"/>
      <w:marTop w:val="0"/>
      <w:marBottom w:val="0"/>
      <w:divBdr>
        <w:top w:val="none" w:sz="0" w:space="0" w:color="auto"/>
        <w:left w:val="none" w:sz="0" w:space="0" w:color="auto"/>
        <w:bottom w:val="none" w:sz="0" w:space="0" w:color="auto"/>
        <w:right w:val="none" w:sz="0" w:space="0" w:color="auto"/>
      </w:divBdr>
    </w:div>
    <w:div w:id="1078595351">
      <w:bodyDiv w:val="1"/>
      <w:marLeft w:val="0"/>
      <w:marRight w:val="0"/>
      <w:marTop w:val="0"/>
      <w:marBottom w:val="0"/>
      <w:divBdr>
        <w:top w:val="none" w:sz="0" w:space="0" w:color="auto"/>
        <w:left w:val="none" w:sz="0" w:space="0" w:color="auto"/>
        <w:bottom w:val="none" w:sz="0" w:space="0" w:color="auto"/>
        <w:right w:val="none" w:sz="0" w:space="0" w:color="auto"/>
      </w:divBdr>
    </w:div>
    <w:div w:id="1078601126">
      <w:bodyDiv w:val="1"/>
      <w:marLeft w:val="0"/>
      <w:marRight w:val="0"/>
      <w:marTop w:val="0"/>
      <w:marBottom w:val="0"/>
      <w:divBdr>
        <w:top w:val="none" w:sz="0" w:space="0" w:color="auto"/>
        <w:left w:val="none" w:sz="0" w:space="0" w:color="auto"/>
        <w:bottom w:val="none" w:sz="0" w:space="0" w:color="auto"/>
        <w:right w:val="none" w:sz="0" w:space="0" w:color="auto"/>
      </w:divBdr>
    </w:div>
    <w:div w:id="1078819152">
      <w:bodyDiv w:val="1"/>
      <w:marLeft w:val="0"/>
      <w:marRight w:val="0"/>
      <w:marTop w:val="0"/>
      <w:marBottom w:val="0"/>
      <w:divBdr>
        <w:top w:val="none" w:sz="0" w:space="0" w:color="auto"/>
        <w:left w:val="none" w:sz="0" w:space="0" w:color="auto"/>
        <w:bottom w:val="none" w:sz="0" w:space="0" w:color="auto"/>
        <w:right w:val="none" w:sz="0" w:space="0" w:color="auto"/>
      </w:divBdr>
    </w:div>
    <w:div w:id="1078865408">
      <w:bodyDiv w:val="1"/>
      <w:marLeft w:val="0"/>
      <w:marRight w:val="0"/>
      <w:marTop w:val="0"/>
      <w:marBottom w:val="0"/>
      <w:divBdr>
        <w:top w:val="none" w:sz="0" w:space="0" w:color="auto"/>
        <w:left w:val="none" w:sz="0" w:space="0" w:color="auto"/>
        <w:bottom w:val="none" w:sz="0" w:space="0" w:color="auto"/>
        <w:right w:val="none" w:sz="0" w:space="0" w:color="auto"/>
      </w:divBdr>
    </w:div>
    <w:div w:id="1078985200">
      <w:bodyDiv w:val="1"/>
      <w:marLeft w:val="0"/>
      <w:marRight w:val="0"/>
      <w:marTop w:val="0"/>
      <w:marBottom w:val="0"/>
      <w:divBdr>
        <w:top w:val="none" w:sz="0" w:space="0" w:color="auto"/>
        <w:left w:val="none" w:sz="0" w:space="0" w:color="auto"/>
        <w:bottom w:val="none" w:sz="0" w:space="0" w:color="auto"/>
        <w:right w:val="none" w:sz="0" w:space="0" w:color="auto"/>
      </w:divBdr>
    </w:div>
    <w:div w:id="1079014469">
      <w:bodyDiv w:val="1"/>
      <w:marLeft w:val="0"/>
      <w:marRight w:val="0"/>
      <w:marTop w:val="0"/>
      <w:marBottom w:val="0"/>
      <w:divBdr>
        <w:top w:val="none" w:sz="0" w:space="0" w:color="auto"/>
        <w:left w:val="none" w:sz="0" w:space="0" w:color="auto"/>
        <w:bottom w:val="none" w:sz="0" w:space="0" w:color="auto"/>
        <w:right w:val="none" w:sz="0" w:space="0" w:color="auto"/>
      </w:divBdr>
    </w:div>
    <w:div w:id="1079060900">
      <w:bodyDiv w:val="1"/>
      <w:marLeft w:val="0"/>
      <w:marRight w:val="0"/>
      <w:marTop w:val="0"/>
      <w:marBottom w:val="0"/>
      <w:divBdr>
        <w:top w:val="none" w:sz="0" w:space="0" w:color="auto"/>
        <w:left w:val="none" w:sz="0" w:space="0" w:color="auto"/>
        <w:bottom w:val="none" w:sz="0" w:space="0" w:color="auto"/>
        <w:right w:val="none" w:sz="0" w:space="0" w:color="auto"/>
      </w:divBdr>
    </w:div>
    <w:div w:id="1079135858">
      <w:bodyDiv w:val="1"/>
      <w:marLeft w:val="0"/>
      <w:marRight w:val="0"/>
      <w:marTop w:val="0"/>
      <w:marBottom w:val="0"/>
      <w:divBdr>
        <w:top w:val="none" w:sz="0" w:space="0" w:color="auto"/>
        <w:left w:val="none" w:sz="0" w:space="0" w:color="auto"/>
        <w:bottom w:val="none" w:sz="0" w:space="0" w:color="auto"/>
        <w:right w:val="none" w:sz="0" w:space="0" w:color="auto"/>
      </w:divBdr>
    </w:div>
    <w:div w:id="1079251770">
      <w:bodyDiv w:val="1"/>
      <w:marLeft w:val="0"/>
      <w:marRight w:val="0"/>
      <w:marTop w:val="0"/>
      <w:marBottom w:val="0"/>
      <w:divBdr>
        <w:top w:val="none" w:sz="0" w:space="0" w:color="auto"/>
        <w:left w:val="none" w:sz="0" w:space="0" w:color="auto"/>
        <w:bottom w:val="none" w:sz="0" w:space="0" w:color="auto"/>
        <w:right w:val="none" w:sz="0" w:space="0" w:color="auto"/>
      </w:divBdr>
    </w:div>
    <w:div w:id="1079252861">
      <w:bodyDiv w:val="1"/>
      <w:marLeft w:val="0"/>
      <w:marRight w:val="0"/>
      <w:marTop w:val="0"/>
      <w:marBottom w:val="0"/>
      <w:divBdr>
        <w:top w:val="none" w:sz="0" w:space="0" w:color="auto"/>
        <w:left w:val="none" w:sz="0" w:space="0" w:color="auto"/>
        <w:bottom w:val="none" w:sz="0" w:space="0" w:color="auto"/>
        <w:right w:val="none" w:sz="0" w:space="0" w:color="auto"/>
      </w:divBdr>
    </w:div>
    <w:div w:id="1079324979">
      <w:bodyDiv w:val="1"/>
      <w:marLeft w:val="0"/>
      <w:marRight w:val="0"/>
      <w:marTop w:val="0"/>
      <w:marBottom w:val="0"/>
      <w:divBdr>
        <w:top w:val="none" w:sz="0" w:space="0" w:color="auto"/>
        <w:left w:val="none" w:sz="0" w:space="0" w:color="auto"/>
        <w:bottom w:val="none" w:sz="0" w:space="0" w:color="auto"/>
        <w:right w:val="none" w:sz="0" w:space="0" w:color="auto"/>
      </w:divBdr>
    </w:div>
    <w:div w:id="1079325515">
      <w:bodyDiv w:val="1"/>
      <w:marLeft w:val="0"/>
      <w:marRight w:val="0"/>
      <w:marTop w:val="0"/>
      <w:marBottom w:val="0"/>
      <w:divBdr>
        <w:top w:val="none" w:sz="0" w:space="0" w:color="auto"/>
        <w:left w:val="none" w:sz="0" w:space="0" w:color="auto"/>
        <w:bottom w:val="none" w:sz="0" w:space="0" w:color="auto"/>
        <w:right w:val="none" w:sz="0" w:space="0" w:color="auto"/>
      </w:divBdr>
    </w:div>
    <w:div w:id="1079401722">
      <w:bodyDiv w:val="1"/>
      <w:marLeft w:val="0"/>
      <w:marRight w:val="0"/>
      <w:marTop w:val="0"/>
      <w:marBottom w:val="0"/>
      <w:divBdr>
        <w:top w:val="none" w:sz="0" w:space="0" w:color="auto"/>
        <w:left w:val="none" w:sz="0" w:space="0" w:color="auto"/>
        <w:bottom w:val="none" w:sz="0" w:space="0" w:color="auto"/>
        <w:right w:val="none" w:sz="0" w:space="0" w:color="auto"/>
      </w:divBdr>
    </w:div>
    <w:div w:id="1079406300">
      <w:bodyDiv w:val="1"/>
      <w:marLeft w:val="0"/>
      <w:marRight w:val="0"/>
      <w:marTop w:val="0"/>
      <w:marBottom w:val="0"/>
      <w:divBdr>
        <w:top w:val="none" w:sz="0" w:space="0" w:color="auto"/>
        <w:left w:val="none" w:sz="0" w:space="0" w:color="auto"/>
        <w:bottom w:val="none" w:sz="0" w:space="0" w:color="auto"/>
        <w:right w:val="none" w:sz="0" w:space="0" w:color="auto"/>
      </w:divBdr>
    </w:div>
    <w:div w:id="1079517307">
      <w:bodyDiv w:val="1"/>
      <w:marLeft w:val="0"/>
      <w:marRight w:val="0"/>
      <w:marTop w:val="0"/>
      <w:marBottom w:val="0"/>
      <w:divBdr>
        <w:top w:val="none" w:sz="0" w:space="0" w:color="auto"/>
        <w:left w:val="none" w:sz="0" w:space="0" w:color="auto"/>
        <w:bottom w:val="none" w:sz="0" w:space="0" w:color="auto"/>
        <w:right w:val="none" w:sz="0" w:space="0" w:color="auto"/>
      </w:divBdr>
    </w:div>
    <w:div w:id="1079518895">
      <w:bodyDiv w:val="1"/>
      <w:marLeft w:val="0"/>
      <w:marRight w:val="0"/>
      <w:marTop w:val="0"/>
      <w:marBottom w:val="0"/>
      <w:divBdr>
        <w:top w:val="none" w:sz="0" w:space="0" w:color="auto"/>
        <w:left w:val="none" w:sz="0" w:space="0" w:color="auto"/>
        <w:bottom w:val="none" w:sz="0" w:space="0" w:color="auto"/>
        <w:right w:val="none" w:sz="0" w:space="0" w:color="auto"/>
      </w:divBdr>
    </w:div>
    <w:div w:id="1079520711">
      <w:bodyDiv w:val="1"/>
      <w:marLeft w:val="0"/>
      <w:marRight w:val="0"/>
      <w:marTop w:val="0"/>
      <w:marBottom w:val="0"/>
      <w:divBdr>
        <w:top w:val="none" w:sz="0" w:space="0" w:color="auto"/>
        <w:left w:val="none" w:sz="0" w:space="0" w:color="auto"/>
        <w:bottom w:val="none" w:sz="0" w:space="0" w:color="auto"/>
        <w:right w:val="none" w:sz="0" w:space="0" w:color="auto"/>
      </w:divBdr>
    </w:div>
    <w:div w:id="1079521476">
      <w:bodyDiv w:val="1"/>
      <w:marLeft w:val="0"/>
      <w:marRight w:val="0"/>
      <w:marTop w:val="0"/>
      <w:marBottom w:val="0"/>
      <w:divBdr>
        <w:top w:val="none" w:sz="0" w:space="0" w:color="auto"/>
        <w:left w:val="none" w:sz="0" w:space="0" w:color="auto"/>
        <w:bottom w:val="none" w:sz="0" w:space="0" w:color="auto"/>
        <w:right w:val="none" w:sz="0" w:space="0" w:color="auto"/>
      </w:divBdr>
    </w:div>
    <w:div w:id="1079525028">
      <w:bodyDiv w:val="1"/>
      <w:marLeft w:val="0"/>
      <w:marRight w:val="0"/>
      <w:marTop w:val="0"/>
      <w:marBottom w:val="0"/>
      <w:divBdr>
        <w:top w:val="none" w:sz="0" w:space="0" w:color="auto"/>
        <w:left w:val="none" w:sz="0" w:space="0" w:color="auto"/>
        <w:bottom w:val="none" w:sz="0" w:space="0" w:color="auto"/>
        <w:right w:val="none" w:sz="0" w:space="0" w:color="auto"/>
      </w:divBdr>
    </w:div>
    <w:div w:id="1079601722">
      <w:bodyDiv w:val="1"/>
      <w:marLeft w:val="0"/>
      <w:marRight w:val="0"/>
      <w:marTop w:val="0"/>
      <w:marBottom w:val="0"/>
      <w:divBdr>
        <w:top w:val="none" w:sz="0" w:space="0" w:color="auto"/>
        <w:left w:val="none" w:sz="0" w:space="0" w:color="auto"/>
        <w:bottom w:val="none" w:sz="0" w:space="0" w:color="auto"/>
        <w:right w:val="none" w:sz="0" w:space="0" w:color="auto"/>
      </w:divBdr>
    </w:div>
    <w:div w:id="1079718336">
      <w:bodyDiv w:val="1"/>
      <w:marLeft w:val="0"/>
      <w:marRight w:val="0"/>
      <w:marTop w:val="0"/>
      <w:marBottom w:val="0"/>
      <w:divBdr>
        <w:top w:val="none" w:sz="0" w:space="0" w:color="auto"/>
        <w:left w:val="none" w:sz="0" w:space="0" w:color="auto"/>
        <w:bottom w:val="none" w:sz="0" w:space="0" w:color="auto"/>
        <w:right w:val="none" w:sz="0" w:space="0" w:color="auto"/>
      </w:divBdr>
    </w:div>
    <w:div w:id="1079865995">
      <w:bodyDiv w:val="1"/>
      <w:marLeft w:val="0"/>
      <w:marRight w:val="0"/>
      <w:marTop w:val="0"/>
      <w:marBottom w:val="0"/>
      <w:divBdr>
        <w:top w:val="none" w:sz="0" w:space="0" w:color="auto"/>
        <w:left w:val="none" w:sz="0" w:space="0" w:color="auto"/>
        <w:bottom w:val="none" w:sz="0" w:space="0" w:color="auto"/>
        <w:right w:val="none" w:sz="0" w:space="0" w:color="auto"/>
      </w:divBdr>
    </w:div>
    <w:div w:id="1079907557">
      <w:bodyDiv w:val="1"/>
      <w:marLeft w:val="0"/>
      <w:marRight w:val="0"/>
      <w:marTop w:val="0"/>
      <w:marBottom w:val="0"/>
      <w:divBdr>
        <w:top w:val="none" w:sz="0" w:space="0" w:color="auto"/>
        <w:left w:val="none" w:sz="0" w:space="0" w:color="auto"/>
        <w:bottom w:val="none" w:sz="0" w:space="0" w:color="auto"/>
        <w:right w:val="none" w:sz="0" w:space="0" w:color="auto"/>
      </w:divBdr>
    </w:div>
    <w:div w:id="1080057471">
      <w:bodyDiv w:val="1"/>
      <w:marLeft w:val="0"/>
      <w:marRight w:val="0"/>
      <w:marTop w:val="0"/>
      <w:marBottom w:val="0"/>
      <w:divBdr>
        <w:top w:val="none" w:sz="0" w:space="0" w:color="auto"/>
        <w:left w:val="none" w:sz="0" w:space="0" w:color="auto"/>
        <w:bottom w:val="none" w:sz="0" w:space="0" w:color="auto"/>
        <w:right w:val="none" w:sz="0" w:space="0" w:color="auto"/>
      </w:divBdr>
    </w:div>
    <w:div w:id="1080060143">
      <w:bodyDiv w:val="1"/>
      <w:marLeft w:val="0"/>
      <w:marRight w:val="0"/>
      <w:marTop w:val="0"/>
      <w:marBottom w:val="0"/>
      <w:divBdr>
        <w:top w:val="none" w:sz="0" w:space="0" w:color="auto"/>
        <w:left w:val="none" w:sz="0" w:space="0" w:color="auto"/>
        <w:bottom w:val="none" w:sz="0" w:space="0" w:color="auto"/>
        <w:right w:val="none" w:sz="0" w:space="0" w:color="auto"/>
      </w:divBdr>
    </w:div>
    <w:div w:id="1080062603">
      <w:bodyDiv w:val="1"/>
      <w:marLeft w:val="0"/>
      <w:marRight w:val="0"/>
      <w:marTop w:val="0"/>
      <w:marBottom w:val="0"/>
      <w:divBdr>
        <w:top w:val="none" w:sz="0" w:space="0" w:color="auto"/>
        <w:left w:val="none" w:sz="0" w:space="0" w:color="auto"/>
        <w:bottom w:val="none" w:sz="0" w:space="0" w:color="auto"/>
        <w:right w:val="none" w:sz="0" w:space="0" w:color="auto"/>
      </w:divBdr>
    </w:div>
    <w:div w:id="1080251539">
      <w:bodyDiv w:val="1"/>
      <w:marLeft w:val="0"/>
      <w:marRight w:val="0"/>
      <w:marTop w:val="0"/>
      <w:marBottom w:val="0"/>
      <w:divBdr>
        <w:top w:val="none" w:sz="0" w:space="0" w:color="auto"/>
        <w:left w:val="none" w:sz="0" w:space="0" w:color="auto"/>
        <w:bottom w:val="none" w:sz="0" w:space="0" w:color="auto"/>
        <w:right w:val="none" w:sz="0" w:space="0" w:color="auto"/>
      </w:divBdr>
    </w:div>
    <w:div w:id="1080326961">
      <w:bodyDiv w:val="1"/>
      <w:marLeft w:val="0"/>
      <w:marRight w:val="0"/>
      <w:marTop w:val="0"/>
      <w:marBottom w:val="0"/>
      <w:divBdr>
        <w:top w:val="none" w:sz="0" w:space="0" w:color="auto"/>
        <w:left w:val="none" w:sz="0" w:space="0" w:color="auto"/>
        <w:bottom w:val="none" w:sz="0" w:space="0" w:color="auto"/>
        <w:right w:val="none" w:sz="0" w:space="0" w:color="auto"/>
      </w:divBdr>
    </w:div>
    <w:div w:id="1080365988">
      <w:bodyDiv w:val="1"/>
      <w:marLeft w:val="0"/>
      <w:marRight w:val="0"/>
      <w:marTop w:val="0"/>
      <w:marBottom w:val="0"/>
      <w:divBdr>
        <w:top w:val="none" w:sz="0" w:space="0" w:color="auto"/>
        <w:left w:val="none" w:sz="0" w:space="0" w:color="auto"/>
        <w:bottom w:val="none" w:sz="0" w:space="0" w:color="auto"/>
        <w:right w:val="none" w:sz="0" w:space="0" w:color="auto"/>
      </w:divBdr>
    </w:div>
    <w:div w:id="1080373775">
      <w:bodyDiv w:val="1"/>
      <w:marLeft w:val="0"/>
      <w:marRight w:val="0"/>
      <w:marTop w:val="0"/>
      <w:marBottom w:val="0"/>
      <w:divBdr>
        <w:top w:val="none" w:sz="0" w:space="0" w:color="auto"/>
        <w:left w:val="none" w:sz="0" w:space="0" w:color="auto"/>
        <w:bottom w:val="none" w:sz="0" w:space="0" w:color="auto"/>
        <w:right w:val="none" w:sz="0" w:space="0" w:color="auto"/>
      </w:divBdr>
    </w:div>
    <w:div w:id="1080444250">
      <w:bodyDiv w:val="1"/>
      <w:marLeft w:val="0"/>
      <w:marRight w:val="0"/>
      <w:marTop w:val="0"/>
      <w:marBottom w:val="0"/>
      <w:divBdr>
        <w:top w:val="none" w:sz="0" w:space="0" w:color="auto"/>
        <w:left w:val="none" w:sz="0" w:space="0" w:color="auto"/>
        <w:bottom w:val="none" w:sz="0" w:space="0" w:color="auto"/>
        <w:right w:val="none" w:sz="0" w:space="0" w:color="auto"/>
      </w:divBdr>
    </w:div>
    <w:div w:id="1080717055">
      <w:bodyDiv w:val="1"/>
      <w:marLeft w:val="0"/>
      <w:marRight w:val="0"/>
      <w:marTop w:val="0"/>
      <w:marBottom w:val="0"/>
      <w:divBdr>
        <w:top w:val="none" w:sz="0" w:space="0" w:color="auto"/>
        <w:left w:val="none" w:sz="0" w:space="0" w:color="auto"/>
        <w:bottom w:val="none" w:sz="0" w:space="0" w:color="auto"/>
        <w:right w:val="none" w:sz="0" w:space="0" w:color="auto"/>
      </w:divBdr>
    </w:div>
    <w:div w:id="1080755371">
      <w:bodyDiv w:val="1"/>
      <w:marLeft w:val="0"/>
      <w:marRight w:val="0"/>
      <w:marTop w:val="0"/>
      <w:marBottom w:val="0"/>
      <w:divBdr>
        <w:top w:val="none" w:sz="0" w:space="0" w:color="auto"/>
        <w:left w:val="none" w:sz="0" w:space="0" w:color="auto"/>
        <w:bottom w:val="none" w:sz="0" w:space="0" w:color="auto"/>
        <w:right w:val="none" w:sz="0" w:space="0" w:color="auto"/>
      </w:divBdr>
    </w:div>
    <w:div w:id="1080831823">
      <w:bodyDiv w:val="1"/>
      <w:marLeft w:val="0"/>
      <w:marRight w:val="0"/>
      <w:marTop w:val="0"/>
      <w:marBottom w:val="0"/>
      <w:divBdr>
        <w:top w:val="none" w:sz="0" w:space="0" w:color="auto"/>
        <w:left w:val="none" w:sz="0" w:space="0" w:color="auto"/>
        <w:bottom w:val="none" w:sz="0" w:space="0" w:color="auto"/>
        <w:right w:val="none" w:sz="0" w:space="0" w:color="auto"/>
      </w:divBdr>
    </w:div>
    <w:div w:id="1080833051">
      <w:bodyDiv w:val="1"/>
      <w:marLeft w:val="0"/>
      <w:marRight w:val="0"/>
      <w:marTop w:val="0"/>
      <w:marBottom w:val="0"/>
      <w:divBdr>
        <w:top w:val="none" w:sz="0" w:space="0" w:color="auto"/>
        <w:left w:val="none" w:sz="0" w:space="0" w:color="auto"/>
        <w:bottom w:val="none" w:sz="0" w:space="0" w:color="auto"/>
        <w:right w:val="none" w:sz="0" w:space="0" w:color="auto"/>
      </w:divBdr>
    </w:div>
    <w:div w:id="1080909701">
      <w:bodyDiv w:val="1"/>
      <w:marLeft w:val="0"/>
      <w:marRight w:val="0"/>
      <w:marTop w:val="0"/>
      <w:marBottom w:val="0"/>
      <w:divBdr>
        <w:top w:val="none" w:sz="0" w:space="0" w:color="auto"/>
        <w:left w:val="none" w:sz="0" w:space="0" w:color="auto"/>
        <w:bottom w:val="none" w:sz="0" w:space="0" w:color="auto"/>
        <w:right w:val="none" w:sz="0" w:space="0" w:color="auto"/>
      </w:divBdr>
    </w:div>
    <w:div w:id="1080979531">
      <w:bodyDiv w:val="1"/>
      <w:marLeft w:val="0"/>
      <w:marRight w:val="0"/>
      <w:marTop w:val="0"/>
      <w:marBottom w:val="0"/>
      <w:divBdr>
        <w:top w:val="none" w:sz="0" w:space="0" w:color="auto"/>
        <w:left w:val="none" w:sz="0" w:space="0" w:color="auto"/>
        <w:bottom w:val="none" w:sz="0" w:space="0" w:color="auto"/>
        <w:right w:val="none" w:sz="0" w:space="0" w:color="auto"/>
      </w:divBdr>
    </w:div>
    <w:div w:id="1081098766">
      <w:bodyDiv w:val="1"/>
      <w:marLeft w:val="0"/>
      <w:marRight w:val="0"/>
      <w:marTop w:val="0"/>
      <w:marBottom w:val="0"/>
      <w:divBdr>
        <w:top w:val="none" w:sz="0" w:space="0" w:color="auto"/>
        <w:left w:val="none" w:sz="0" w:space="0" w:color="auto"/>
        <w:bottom w:val="none" w:sz="0" w:space="0" w:color="auto"/>
        <w:right w:val="none" w:sz="0" w:space="0" w:color="auto"/>
      </w:divBdr>
    </w:div>
    <w:div w:id="1081100380">
      <w:bodyDiv w:val="1"/>
      <w:marLeft w:val="0"/>
      <w:marRight w:val="0"/>
      <w:marTop w:val="0"/>
      <w:marBottom w:val="0"/>
      <w:divBdr>
        <w:top w:val="none" w:sz="0" w:space="0" w:color="auto"/>
        <w:left w:val="none" w:sz="0" w:space="0" w:color="auto"/>
        <w:bottom w:val="none" w:sz="0" w:space="0" w:color="auto"/>
        <w:right w:val="none" w:sz="0" w:space="0" w:color="auto"/>
      </w:divBdr>
    </w:div>
    <w:div w:id="1081215768">
      <w:bodyDiv w:val="1"/>
      <w:marLeft w:val="0"/>
      <w:marRight w:val="0"/>
      <w:marTop w:val="0"/>
      <w:marBottom w:val="0"/>
      <w:divBdr>
        <w:top w:val="none" w:sz="0" w:space="0" w:color="auto"/>
        <w:left w:val="none" w:sz="0" w:space="0" w:color="auto"/>
        <w:bottom w:val="none" w:sz="0" w:space="0" w:color="auto"/>
        <w:right w:val="none" w:sz="0" w:space="0" w:color="auto"/>
      </w:divBdr>
    </w:div>
    <w:div w:id="1081488490">
      <w:bodyDiv w:val="1"/>
      <w:marLeft w:val="0"/>
      <w:marRight w:val="0"/>
      <w:marTop w:val="0"/>
      <w:marBottom w:val="0"/>
      <w:divBdr>
        <w:top w:val="none" w:sz="0" w:space="0" w:color="auto"/>
        <w:left w:val="none" w:sz="0" w:space="0" w:color="auto"/>
        <w:bottom w:val="none" w:sz="0" w:space="0" w:color="auto"/>
        <w:right w:val="none" w:sz="0" w:space="0" w:color="auto"/>
      </w:divBdr>
    </w:div>
    <w:div w:id="1081563772">
      <w:bodyDiv w:val="1"/>
      <w:marLeft w:val="0"/>
      <w:marRight w:val="0"/>
      <w:marTop w:val="0"/>
      <w:marBottom w:val="0"/>
      <w:divBdr>
        <w:top w:val="none" w:sz="0" w:space="0" w:color="auto"/>
        <w:left w:val="none" w:sz="0" w:space="0" w:color="auto"/>
        <w:bottom w:val="none" w:sz="0" w:space="0" w:color="auto"/>
        <w:right w:val="none" w:sz="0" w:space="0" w:color="auto"/>
      </w:divBdr>
    </w:div>
    <w:div w:id="1081567588">
      <w:bodyDiv w:val="1"/>
      <w:marLeft w:val="0"/>
      <w:marRight w:val="0"/>
      <w:marTop w:val="0"/>
      <w:marBottom w:val="0"/>
      <w:divBdr>
        <w:top w:val="none" w:sz="0" w:space="0" w:color="auto"/>
        <w:left w:val="none" w:sz="0" w:space="0" w:color="auto"/>
        <w:bottom w:val="none" w:sz="0" w:space="0" w:color="auto"/>
        <w:right w:val="none" w:sz="0" w:space="0" w:color="auto"/>
      </w:divBdr>
    </w:div>
    <w:div w:id="1081638001">
      <w:bodyDiv w:val="1"/>
      <w:marLeft w:val="0"/>
      <w:marRight w:val="0"/>
      <w:marTop w:val="0"/>
      <w:marBottom w:val="0"/>
      <w:divBdr>
        <w:top w:val="none" w:sz="0" w:space="0" w:color="auto"/>
        <w:left w:val="none" w:sz="0" w:space="0" w:color="auto"/>
        <w:bottom w:val="none" w:sz="0" w:space="0" w:color="auto"/>
        <w:right w:val="none" w:sz="0" w:space="0" w:color="auto"/>
      </w:divBdr>
    </w:div>
    <w:div w:id="1081638748">
      <w:bodyDiv w:val="1"/>
      <w:marLeft w:val="0"/>
      <w:marRight w:val="0"/>
      <w:marTop w:val="0"/>
      <w:marBottom w:val="0"/>
      <w:divBdr>
        <w:top w:val="none" w:sz="0" w:space="0" w:color="auto"/>
        <w:left w:val="none" w:sz="0" w:space="0" w:color="auto"/>
        <w:bottom w:val="none" w:sz="0" w:space="0" w:color="auto"/>
        <w:right w:val="none" w:sz="0" w:space="0" w:color="auto"/>
      </w:divBdr>
    </w:div>
    <w:div w:id="1081676779">
      <w:bodyDiv w:val="1"/>
      <w:marLeft w:val="0"/>
      <w:marRight w:val="0"/>
      <w:marTop w:val="0"/>
      <w:marBottom w:val="0"/>
      <w:divBdr>
        <w:top w:val="none" w:sz="0" w:space="0" w:color="auto"/>
        <w:left w:val="none" w:sz="0" w:space="0" w:color="auto"/>
        <w:bottom w:val="none" w:sz="0" w:space="0" w:color="auto"/>
        <w:right w:val="none" w:sz="0" w:space="0" w:color="auto"/>
      </w:divBdr>
    </w:div>
    <w:div w:id="1081681550">
      <w:bodyDiv w:val="1"/>
      <w:marLeft w:val="0"/>
      <w:marRight w:val="0"/>
      <w:marTop w:val="0"/>
      <w:marBottom w:val="0"/>
      <w:divBdr>
        <w:top w:val="none" w:sz="0" w:space="0" w:color="auto"/>
        <w:left w:val="none" w:sz="0" w:space="0" w:color="auto"/>
        <w:bottom w:val="none" w:sz="0" w:space="0" w:color="auto"/>
        <w:right w:val="none" w:sz="0" w:space="0" w:color="auto"/>
      </w:divBdr>
    </w:div>
    <w:div w:id="1081681757">
      <w:bodyDiv w:val="1"/>
      <w:marLeft w:val="0"/>
      <w:marRight w:val="0"/>
      <w:marTop w:val="0"/>
      <w:marBottom w:val="0"/>
      <w:divBdr>
        <w:top w:val="none" w:sz="0" w:space="0" w:color="auto"/>
        <w:left w:val="none" w:sz="0" w:space="0" w:color="auto"/>
        <w:bottom w:val="none" w:sz="0" w:space="0" w:color="auto"/>
        <w:right w:val="none" w:sz="0" w:space="0" w:color="auto"/>
      </w:divBdr>
    </w:div>
    <w:div w:id="1081751903">
      <w:bodyDiv w:val="1"/>
      <w:marLeft w:val="0"/>
      <w:marRight w:val="0"/>
      <w:marTop w:val="0"/>
      <w:marBottom w:val="0"/>
      <w:divBdr>
        <w:top w:val="none" w:sz="0" w:space="0" w:color="auto"/>
        <w:left w:val="none" w:sz="0" w:space="0" w:color="auto"/>
        <w:bottom w:val="none" w:sz="0" w:space="0" w:color="auto"/>
        <w:right w:val="none" w:sz="0" w:space="0" w:color="auto"/>
      </w:divBdr>
    </w:div>
    <w:div w:id="1081831526">
      <w:bodyDiv w:val="1"/>
      <w:marLeft w:val="0"/>
      <w:marRight w:val="0"/>
      <w:marTop w:val="0"/>
      <w:marBottom w:val="0"/>
      <w:divBdr>
        <w:top w:val="none" w:sz="0" w:space="0" w:color="auto"/>
        <w:left w:val="none" w:sz="0" w:space="0" w:color="auto"/>
        <w:bottom w:val="none" w:sz="0" w:space="0" w:color="auto"/>
        <w:right w:val="none" w:sz="0" w:space="0" w:color="auto"/>
      </w:divBdr>
    </w:div>
    <w:div w:id="1082216569">
      <w:bodyDiv w:val="1"/>
      <w:marLeft w:val="0"/>
      <w:marRight w:val="0"/>
      <w:marTop w:val="0"/>
      <w:marBottom w:val="0"/>
      <w:divBdr>
        <w:top w:val="none" w:sz="0" w:space="0" w:color="auto"/>
        <w:left w:val="none" w:sz="0" w:space="0" w:color="auto"/>
        <w:bottom w:val="none" w:sz="0" w:space="0" w:color="auto"/>
        <w:right w:val="none" w:sz="0" w:space="0" w:color="auto"/>
      </w:divBdr>
    </w:div>
    <w:div w:id="1082334085">
      <w:bodyDiv w:val="1"/>
      <w:marLeft w:val="0"/>
      <w:marRight w:val="0"/>
      <w:marTop w:val="0"/>
      <w:marBottom w:val="0"/>
      <w:divBdr>
        <w:top w:val="none" w:sz="0" w:space="0" w:color="auto"/>
        <w:left w:val="none" w:sz="0" w:space="0" w:color="auto"/>
        <w:bottom w:val="none" w:sz="0" w:space="0" w:color="auto"/>
        <w:right w:val="none" w:sz="0" w:space="0" w:color="auto"/>
      </w:divBdr>
    </w:div>
    <w:div w:id="1082413143">
      <w:bodyDiv w:val="1"/>
      <w:marLeft w:val="0"/>
      <w:marRight w:val="0"/>
      <w:marTop w:val="0"/>
      <w:marBottom w:val="0"/>
      <w:divBdr>
        <w:top w:val="none" w:sz="0" w:space="0" w:color="auto"/>
        <w:left w:val="none" w:sz="0" w:space="0" w:color="auto"/>
        <w:bottom w:val="none" w:sz="0" w:space="0" w:color="auto"/>
        <w:right w:val="none" w:sz="0" w:space="0" w:color="auto"/>
      </w:divBdr>
    </w:div>
    <w:div w:id="1082487689">
      <w:bodyDiv w:val="1"/>
      <w:marLeft w:val="0"/>
      <w:marRight w:val="0"/>
      <w:marTop w:val="0"/>
      <w:marBottom w:val="0"/>
      <w:divBdr>
        <w:top w:val="none" w:sz="0" w:space="0" w:color="auto"/>
        <w:left w:val="none" w:sz="0" w:space="0" w:color="auto"/>
        <w:bottom w:val="none" w:sz="0" w:space="0" w:color="auto"/>
        <w:right w:val="none" w:sz="0" w:space="0" w:color="auto"/>
      </w:divBdr>
    </w:div>
    <w:div w:id="1082531861">
      <w:bodyDiv w:val="1"/>
      <w:marLeft w:val="0"/>
      <w:marRight w:val="0"/>
      <w:marTop w:val="0"/>
      <w:marBottom w:val="0"/>
      <w:divBdr>
        <w:top w:val="none" w:sz="0" w:space="0" w:color="auto"/>
        <w:left w:val="none" w:sz="0" w:space="0" w:color="auto"/>
        <w:bottom w:val="none" w:sz="0" w:space="0" w:color="auto"/>
        <w:right w:val="none" w:sz="0" w:space="0" w:color="auto"/>
      </w:divBdr>
    </w:div>
    <w:div w:id="1082609187">
      <w:bodyDiv w:val="1"/>
      <w:marLeft w:val="0"/>
      <w:marRight w:val="0"/>
      <w:marTop w:val="0"/>
      <w:marBottom w:val="0"/>
      <w:divBdr>
        <w:top w:val="none" w:sz="0" w:space="0" w:color="auto"/>
        <w:left w:val="none" w:sz="0" w:space="0" w:color="auto"/>
        <w:bottom w:val="none" w:sz="0" w:space="0" w:color="auto"/>
        <w:right w:val="none" w:sz="0" w:space="0" w:color="auto"/>
      </w:divBdr>
    </w:div>
    <w:div w:id="1082682879">
      <w:bodyDiv w:val="1"/>
      <w:marLeft w:val="0"/>
      <w:marRight w:val="0"/>
      <w:marTop w:val="0"/>
      <w:marBottom w:val="0"/>
      <w:divBdr>
        <w:top w:val="none" w:sz="0" w:space="0" w:color="auto"/>
        <w:left w:val="none" w:sz="0" w:space="0" w:color="auto"/>
        <w:bottom w:val="none" w:sz="0" w:space="0" w:color="auto"/>
        <w:right w:val="none" w:sz="0" w:space="0" w:color="auto"/>
      </w:divBdr>
    </w:div>
    <w:div w:id="1082799118">
      <w:bodyDiv w:val="1"/>
      <w:marLeft w:val="0"/>
      <w:marRight w:val="0"/>
      <w:marTop w:val="0"/>
      <w:marBottom w:val="0"/>
      <w:divBdr>
        <w:top w:val="none" w:sz="0" w:space="0" w:color="auto"/>
        <w:left w:val="none" w:sz="0" w:space="0" w:color="auto"/>
        <w:bottom w:val="none" w:sz="0" w:space="0" w:color="auto"/>
        <w:right w:val="none" w:sz="0" w:space="0" w:color="auto"/>
      </w:divBdr>
    </w:div>
    <w:div w:id="1082868548">
      <w:bodyDiv w:val="1"/>
      <w:marLeft w:val="0"/>
      <w:marRight w:val="0"/>
      <w:marTop w:val="0"/>
      <w:marBottom w:val="0"/>
      <w:divBdr>
        <w:top w:val="none" w:sz="0" w:space="0" w:color="auto"/>
        <w:left w:val="none" w:sz="0" w:space="0" w:color="auto"/>
        <w:bottom w:val="none" w:sz="0" w:space="0" w:color="auto"/>
        <w:right w:val="none" w:sz="0" w:space="0" w:color="auto"/>
      </w:divBdr>
    </w:div>
    <w:div w:id="1082868613">
      <w:bodyDiv w:val="1"/>
      <w:marLeft w:val="0"/>
      <w:marRight w:val="0"/>
      <w:marTop w:val="0"/>
      <w:marBottom w:val="0"/>
      <w:divBdr>
        <w:top w:val="none" w:sz="0" w:space="0" w:color="auto"/>
        <w:left w:val="none" w:sz="0" w:space="0" w:color="auto"/>
        <w:bottom w:val="none" w:sz="0" w:space="0" w:color="auto"/>
        <w:right w:val="none" w:sz="0" w:space="0" w:color="auto"/>
      </w:divBdr>
    </w:div>
    <w:div w:id="1082947081">
      <w:bodyDiv w:val="1"/>
      <w:marLeft w:val="0"/>
      <w:marRight w:val="0"/>
      <w:marTop w:val="0"/>
      <w:marBottom w:val="0"/>
      <w:divBdr>
        <w:top w:val="none" w:sz="0" w:space="0" w:color="auto"/>
        <w:left w:val="none" w:sz="0" w:space="0" w:color="auto"/>
        <w:bottom w:val="none" w:sz="0" w:space="0" w:color="auto"/>
        <w:right w:val="none" w:sz="0" w:space="0" w:color="auto"/>
      </w:divBdr>
    </w:div>
    <w:div w:id="1083063882">
      <w:bodyDiv w:val="1"/>
      <w:marLeft w:val="0"/>
      <w:marRight w:val="0"/>
      <w:marTop w:val="0"/>
      <w:marBottom w:val="0"/>
      <w:divBdr>
        <w:top w:val="none" w:sz="0" w:space="0" w:color="auto"/>
        <w:left w:val="none" w:sz="0" w:space="0" w:color="auto"/>
        <w:bottom w:val="none" w:sz="0" w:space="0" w:color="auto"/>
        <w:right w:val="none" w:sz="0" w:space="0" w:color="auto"/>
      </w:divBdr>
    </w:div>
    <w:div w:id="1083065791">
      <w:bodyDiv w:val="1"/>
      <w:marLeft w:val="0"/>
      <w:marRight w:val="0"/>
      <w:marTop w:val="0"/>
      <w:marBottom w:val="0"/>
      <w:divBdr>
        <w:top w:val="none" w:sz="0" w:space="0" w:color="auto"/>
        <w:left w:val="none" w:sz="0" w:space="0" w:color="auto"/>
        <w:bottom w:val="none" w:sz="0" w:space="0" w:color="auto"/>
        <w:right w:val="none" w:sz="0" w:space="0" w:color="auto"/>
      </w:divBdr>
    </w:div>
    <w:div w:id="1083140042">
      <w:bodyDiv w:val="1"/>
      <w:marLeft w:val="0"/>
      <w:marRight w:val="0"/>
      <w:marTop w:val="0"/>
      <w:marBottom w:val="0"/>
      <w:divBdr>
        <w:top w:val="none" w:sz="0" w:space="0" w:color="auto"/>
        <w:left w:val="none" w:sz="0" w:space="0" w:color="auto"/>
        <w:bottom w:val="none" w:sz="0" w:space="0" w:color="auto"/>
        <w:right w:val="none" w:sz="0" w:space="0" w:color="auto"/>
      </w:divBdr>
    </w:div>
    <w:div w:id="1083255858">
      <w:bodyDiv w:val="1"/>
      <w:marLeft w:val="0"/>
      <w:marRight w:val="0"/>
      <w:marTop w:val="0"/>
      <w:marBottom w:val="0"/>
      <w:divBdr>
        <w:top w:val="none" w:sz="0" w:space="0" w:color="auto"/>
        <w:left w:val="none" w:sz="0" w:space="0" w:color="auto"/>
        <w:bottom w:val="none" w:sz="0" w:space="0" w:color="auto"/>
        <w:right w:val="none" w:sz="0" w:space="0" w:color="auto"/>
      </w:divBdr>
    </w:div>
    <w:div w:id="1083261439">
      <w:bodyDiv w:val="1"/>
      <w:marLeft w:val="0"/>
      <w:marRight w:val="0"/>
      <w:marTop w:val="0"/>
      <w:marBottom w:val="0"/>
      <w:divBdr>
        <w:top w:val="none" w:sz="0" w:space="0" w:color="auto"/>
        <w:left w:val="none" w:sz="0" w:space="0" w:color="auto"/>
        <w:bottom w:val="none" w:sz="0" w:space="0" w:color="auto"/>
        <w:right w:val="none" w:sz="0" w:space="0" w:color="auto"/>
      </w:divBdr>
    </w:div>
    <w:div w:id="1083334274">
      <w:bodyDiv w:val="1"/>
      <w:marLeft w:val="0"/>
      <w:marRight w:val="0"/>
      <w:marTop w:val="0"/>
      <w:marBottom w:val="0"/>
      <w:divBdr>
        <w:top w:val="none" w:sz="0" w:space="0" w:color="auto"/>
        <w:left w:val="none" w:sz="0" w:space="0" w:color="auto"/>
        <w:bottom w:val="none" w:sz="0" w:space="0" w:color="auto"/>
        <w:right w:val="none" w:sz="0" w:space="0" w:color="auto"/>
      </w:divBdr>
    </w:div>
    <w:div w:id="1083644536">
      <w:bodyDiv w:val="1"/>
      <w:marLeft w:val="0"/>
      <w:marRight w:val="0"/>
      <w:marTop w:val="0"/>
      <w:marBottom w:val="0"/>
      <w:divBdr>
        <w:top w:val="none" w:sz="0" w:space="0" w:color="auto"/>
        <w:left w:val="none" w:sz="0" w:space="0" w:color="auto"/>
        <w:bottom w:val="none" w:sz="0" w:space="0" w:color="auto"/>
        <w:right w:val="none" w:sz="0" w:space="0" w:color="auto"/>
      </w:divBdr>
    </w:div>
    <w:div w:id="1083722922">
      <w:bodyDiv w:val="1"/>
      <w:marLeft w:val="0"/>
      <w:marRight w:val="0"/>
      <w:marTop w:val="0"/>
      <w:marBottom w:val="0"/>
      <w:divBdr>
        <w:top w:val="none" w:sz="0" w:space="0" w:color="auto"/>
        <w:left w:val="none" w:sz="0" w:space="0" w:color="auto"/>
        <w:bottom w:val="none" w:sz="0" w:space="0" w:color="auto"/>
        <w:right w:val="none" w:sz="0" w:space="0" w:color="auto"/>
      </w:divBdr>
    </w:div>
    <w:div w:id="1083796172">
      <w:bodyDiv w:val="1"/>
      <w:marLeft w:val="0"/>
      <w:marRight w:val="0"/>
      <w:marTop w:val="0"/>
      <w:marBottom w:val="0"/>
      <w:divBdr>
        <w:top w:val="none" w:sz="0" w:space="0" w:color="auto"/>
        <w:left w:val="none" w:sz="0" w:space="0" w:color="auto"/>
        <w:bottom w:val="none" w:sz="0" w:space="0" w:color="auto"/>
        <w:right w:val="none" w:sz="0" w:space="0" w:color="auto"/>
      </w:divBdr>
    </w:div>
    <w:div w:id="1083799666">
      <w:bodyDiv w:val="1"/>
      <w:marLeft w:val="0"/>
      <w:marRight w:val="0"/>
      <w:marTop w:val="0"/>
      <w:marBottom w:val="0"/>
      <w:divBdr>
        <w:top w:val="none" w:sz="0" w:space="0" w:color="auto"/>
        <w:left w:val="none" w:sz="0" w:space="0" w:color="auto"/>
        <w:bottom w:val="none" w:sz="0" w:space="0" w:color="auto"/>
        <w:right w:val="none" w:sz="0" w:space="0" w:color="auto"/>
      </w:divBdr>
    </w:div>
    <w:div w:id="1083910906">
      <w:bodyDiv w:val="1"/>
      <w:marLeft w:val="0"/>
      <w:marRight w:val="0"/>
      <w:marTop w:val="0"/>
      <w:marBottom w:val="0"/>
      <w:divBdr>
        <w:top w:val="none" w:sz="0" w:space="0" w:color="auto"/>
        <w:left w:val="none" w:sz="0" w:space="0" w:color="auto"/>
        <w:bottom w:val="none" w:sz="0" w:space="0" w:color="auto"/>
        <w:right w:val="none" w:sz="0" w:space="0" w:color="auto"/>
      </w:divBdr>
    </w:div>
    <w:div w:id="1083915858">
      <w:bodyDiv w:val="1"/>
      <w:marLeft w:val="0"/>
      <w:marRight w:val="0"/>
      <w:marTop w:val="0"/>
      <w:marBottom w:val="0"/>
      <w:divBdr>
        <w:top w:val="none" w:sz="0" w:space="0" w:color="auto"/>
        <w:left w:val="none" w:sz="0" w:space="0" w:color="auto"/>
        <w:bottom w:val="none" w:sz="0" w:space="0" w:color="auto"/>
        <w:right w:val="none" w:sz="0" w:space="0" w:color="auto"/>
      </w:divBdr>
    </w:div>
    <w:div w:id="1084034817">
      <w:bodyDiv w:val="1"/>
      <w:marLeft w:val="0"/>
      <w:marRight w:val="0"/>
      <w:marTop w:val="0"/>
      <w:marBottom w:val="0"/>
      <w:divBdr>
        <w:top w:val="none" w:sz="0" w:space="0" w:color="auto"/>
        <w:left w:val="none" w:sz="0" w:space="0" w:color="auto"/>
        <w:bottom w:val="none" w:sz="0" w:space="0" w:color="auto"/>
        <w:right w:val="none" w:sz="0" w:space="0" w:color="auto"/>
      </w:divBdr>
    </w:div>
    <w:div w:id="1084035135">
      <w:bodyDiv w:val="1"/>
      <w:marLeft w:val="0"/>
      <w:marRight w:val="0"/>
      <w:marTop w:val="0"/>
      <w:marBottom w:val="0"/>
      <w:divBdr>
        <w:top w:val="none" w:sz="0" w:space="0" w:color="auto"/>
        <w:left w:val="none" w:sz="0" w:space="0" w:color="auto"/>
        <w:bottom w:val="none" w:sz="0" w:space="0" w:color="auto"/>
        <w:right w:val="none" w:sz="0" w:space="0" w:color="auto"/>
      </w:divBdr>
    </w:div>
    <w:div w:id="1084107661">
      <w:bodyDiv w:val="1"/>
      <w:marLeft w:val="0"/>
      <w:marRight w:val="0"/>
      <w:marTop w:val="0"/>
      <w:marBottom w:val="0"/>
      <w:divBdr>
        <w:top w:val="none" w:sz="0" w:space="0" w:color="auto"/>
        <w:left w:val="none" w:sz="0" w:space="0" w:color="auto"/>
        <w:bottom w:val="none" w:sz="0" w:space="0" w:color="auto"/>
        <w:right w:val="none" w:sz="0" w:space="0" w:color="auto"/>
      </w:divBdr>
    </w:div>
    <w:div w:id="1084231029">
      <w:bodyDiv w:val="1"/>
      <w:marLeft w:val="0"/>
      <w:marRight w:val="0"/>
      <w:marTop w:val="0"/>
      <w:marBottom w:val="0"/>
      <w:divBdr>
        <w:top w:val="none" w:sz="0" w:space="0" w:color="auto"/>
        <w:left w:val="none" w:sz="0" w:space="0" w:color="auto"/>
        <w:bottom w:val="none" w:sz="0" w:space="0" w:color="auto"/>
        <w:right w:val="none" w:sz="0" w:space="0" w:color="auto"/>
      </w:divBdr>
    </w:div>
    <w:div w:id="1084302078">
      <w:bodyDiv w:val="1"/>
      <w:marLeft w:val="0"/>
      <w:marRight w:val="0"/>
      <w:marTop w:val="0"/>
      <w:marBottom w:val="0"/>
      <w:divBdr>
        <w:top w:val="none" w:sz="0" w:space="0" w:color="auto"/>
        <w:left w:val="none" w:sz="0" w:space="0" w:color="auto"/>
        <w:bottom w:val="none" w:sz="0" w:space="0" w:color="auto"/>
        <w:right w:val="none" w:sz="0" w:space="0" w:color="auto"/>
      </w:divBdr>
    </w:div>
    <w:div w:id="1084377887">
      <w:bodyDiv w:val="1"/>
      <w:marLeft w:val="0"/>
      <w:marRight w:val="0"/>
      <w:marTop w:val="0"/>
      <w:marBottom w:val="0"/>
      <w:divBdr>
        <w:top w:val="none" w:sz="0" w:space="0" w:color="auto"/>
        <w:left w:val="none" w:sz="0" w:space="0" w:color="auto"/>
        <w:bottom w:val="none" w:sz="0" w:space="0" w:color="auto"/>
        <w:right w:val="none" w:sz="0" w:space="0" w:color="auto"/>
      </w:divBdr>
    </w:div>
    <w:div w:id="1084379105">
      <w:bodyDiv w:val="1"/>
      <w:marLeft w:val="0"/>
      <w:marRight w:val="0"/>
      <w:marTop w:val="0"/>
      <w:marBottom w:val="0"/>
      <w:divBdr>
        <w:top w:val="none" w:sz="0" w:space="0" w:color="auto"/>
        <w:left w:val="none" w:sz="0" w:space="0" w:color="auto"/>
        <w:bottom w:val="none" w:sz="0" w:space="0" w:color="auto"/>
        <w:right w:val="none" w:sz="0" w:space="0" w:color="auto"/>
      </w:divBdr>
    </w:div>
    <w:div w:id="1084449746">
      <w:bodyDiv w:val="1"/>
      <w:marLeft w:val="0"/>
      <w:marRight w:val="0"/>
      <w:marTop w:val="0"/>
      <w:marBottom w:val="0"/>
      <w:divBdr>
        <w:top w:val="none" w:sz="0" w:space="0" w:color="auto"/>
        <w:left w:val="none" w:sz="0" w:space="0" w:color="auto"/>
        <w:bottom w:val="none" w:sz="0" w:space="0" w:color="auto"/>
        <w:right w:val="none" w:sz="0" w:space="0" w:color="auto"/>
      </w:divBdr>
    </w:div>
    <w:div w:id="1084568299">
      <w:bodyDiv w:val="1"/>
      <w:marLeft w:val="0"/>
      <w:marRight w:val="0"/>
      <w:marTop w:val="0"/>
      <w:marBottom w:val="0"/>
      <w:divBdr>
        <w:top w:val="none" w:sz="0" w:space="0" w:color="auto"/>
        <w:left w:val="none" w:sz="0" w:space="0" w:color="auto"/>
        <w:bottom w:val="none" w:sz="0" w:space="0" w:color="auto"/>
        <w:right w:val="none" w:sz="0" w:space="0" w:color="auto"/>
      </w:divBdr>
    </w:div>
    <w:div w:id="1084568501">
      <w:bodyDiv w:val="1"/>
      <w:marLeft w:val="0"/>
      <w:marRight w:val="0"/>
      <w:marTop w:val="0"/>
      <w:marBottom w:val="0"/>
      <w:divBdr>
        <w:top w:val="none" w:sz="0" w:space="0" w:color="auto"/>
        <w:left w:val="none" w:sz="0" w:space="0" w:color="auto"/>
        <w:bottom w:val="none" w:sz="0" w:space="0" w:color="auto"/>
        <w:right w:val="none" w:sz="0" w:space="0" w:color="auto"/>
      </w:divBdr>
    </w:div>
    <w:div w:id="1084687295">
      <w:bodyDiv w:val="1"/>
      <w:marLeft w:val="0"/>
      <w:marRight w:val="0"/>
      <w:marTop w:val="0"/>
      <w:marBottom w:val="0"/>
      <w:divBdr>
        <w:top w:val="none" w:sz="0" w:space="0" w:color="auto"/>
        <w:left w:val="none" w:sz="0" w:space="0" w:color="auto"/>
        <w:bottom w:val="none" w:sz="0" w:space="0" w:color="auto"/>
        <w:right w:val="none" w:sz="0" w:space="0" w:color="auto"/>
      </w:divBdr>
    </w:div>
    <w:div w:id="1084718206">
      <w:bodyDiv w:val="1"/>
      <w:marLeft w:val="0"/>
      <w:marRight w:val="0"/>
      <w:marTop w:val="0"/>
      <w:marBottom w:val="0"/>
      <w:divBdr>
        <w:top w:val="none" w:sz="0" w:space="0" w:color="auto"/>
        <w:left w:val="none" w:sz="0" w:space="0" w:color="auto"/>
        <w:bottom w:val="none" w:sz="0" w:space="0" w:color="auto"/>
        <w:right w:val="none" w:sz="0" w:space="0" w:color="auto"/>
      </w:divBdr>
    </w:div>
    <w:div w:id="1084718850">
      <w:bodyDiv w:val="1"/>
      <w:marLeft w:val="0"/>
      <w:marRight w:val="0"/>
      <w:marTop w:val="0"/>
      <w:marBottom w:val="0"/>
      <w:divBdr>
        <w:top w:val="none" w:sz="0" w:space="0" w:color="auto"/>
        <w:left w:val="none" w:sz="0" w:space="0" w:color="auto"/>
        <w:bottom w:val="none" w:sz="0" w:space="0" w:color="auto"/>
        <w:right w:val="none" w:sz="0" w:space="0" w:color="auto"/>
      </w:divBdr>
    </w:div>
    <w:div w:id="1084760841">
      <w:bodyDiv w:val="1"/>
      <w:marLeft w:val="0"/>
      <w:marRight w:val="0"/>
      <w:marTop w:val="0"/>
      <w:marBottom w:val="0"/>
      <w:divBdr>
        <w:top w:val="none" w:sz="0" w:space="0" w:color="auto"/>
        <w:left w:val="none" w:sz="0" w:space="0" w:color="auto"/>
        <w:bottom w:val="none" w:sz="0" w:space="0" w:color="auto"/>
        <w:right w:val="none" w:sz="0" w:space="0" w:color="auto"/>
      </w:divBdr>
    </w:div>
    <w:div w:id="1084843020">
      <w:bodyDiv w:val="1"/>
      <w:marLeft w:val="0"/>
      <w:marRight w:val="0"/>
      <w:marTop w:val="0"/>
      <w:marBottom w:val="0"/>
      <w:divBdr>
        <w:top w:val="none" w:sz="0" w:space="0" w:color="auto"/>
        <w:left w:val="none" w:sz="0" w:space="0" w:color="auto"/>
        <w:bottom w:val="none" w:sz="0" w:space="0" w:color="auto"/>
        <w:right w:val="none" w:sz="0" w:space="0" w:color="auto"/>
      </w:divBdr>
    </w:div>
    <w:div w:id="1085222202">
      <w:bodyDiv w:val="1"/>
      <w:marLeft w:val="0"/>
      <w:marRight w:val="0"/>
      <w:marTop w:val="0"/>
      <w:marBottom w:val="0"/>
      <w:divBdr>
        <w:top w:val="none" w:sz="0" w:space="0" w:color="auto"/>
        <w:left w:val="none" w:sz="0" w:space="0" w:color="auto"/>
        <w:bottom w:val="none" w:sz="0" w:space="0" w:color="auto"/>
        <w:right w:val="none" w:sz="0" w:space="0" w:color="auto"/>
      </w:divBdr>
    </w:div>
    <w:div w:id="1085342972">
      <w:bodyDiv w:val="1"/>
      <w:marLeft w:val="0"/>
      <w:marRight w:val="0"/>
      <w:marTop w:val="0"/>
      <w:marBottom w:val="0"/>
      <w:divBdr>
        <w:top w:val="none" w:sz="0" w:space="0" w:color="auto"/>
        <w:left w:val="none" w:sz="0" w:space="0" w:color="auto"/>
        <w:bottom w:val="none" w:sz="0" w:space="0" w:color="auto"/>
        <w:right w:val="none" w:sz="0" w:space="0" w:color="auto"/>
      </w:divBdr>
    </w:div>
    <w:div w:id="1085347354">
      <w:bodyDiv w:val="1"/>
      <w:marLeft w:val="0"/>
      <w:marRight w:val="0"/>
      <w:marTop w:val="0"/>
      <w:marBottom w:val="0"/>
      <w:divBdr>
        <w:top w:val="none" w:sz="0" w:space="0" w:color="auto"/>
        <w:left w:val="none" w:sz="0" w:space="0" w:color="auto"/>
        <w:bottom w:val="none" w:sz="0" w:space="0" w:color="auto"/>
        <w:right w:val="none" w:sz="0" w:space="0" w:color="auto"/>
      </w:divBdr>
    </w:div>
    <w:div w:id="1085374330">
      <w:bodyDiv w:val="1"/>
      <w:marLeft w:val="0"/>
      <w:marRight w:val="0"/>
      <w:marTop w:val="0"/>
      <w:marBottom w:val="0"/>
      <w:divBdr>
        <w:top w:val="none" w:sz="0" w:space="0" w:color="auto"/>
        <w:left w:val="none" w:sz="0" w:space="0" w:color="auto"/>
        <w:bottom w:val="none" w:sz="0" w:space="0" w:color="auto"/>
        <w:right w:val="none" w:sz="0" w:space="0" w:color="auto"/>
      </w:divBdr>
    </w:div>
    <w:div w:id="1085422203">
      <w:bodyDiv w:val="1"/>
      <w:marLeft w:val="0"/>
      <w:marRight w:val="0"/>
      <w:marTop w:val="0"/>
      <w:marBottom w:val="0"/>
      <w:divBdr>
        <w:top w:val="none" w:sz="0" w:space="0" w:color="auto"/>
        <w:left w:val="none" w:sz="0" w:space="0" w:color="auto"/>
        <w:bottom w:val="none" w:sz="0" w:space="0" w:color="auto"/>
        <w:right w:val="none" w:sz="0" w:space="0" w:color="auto"/>
      </w:divBdr>
    </w:div>
    <w:div w:id="1085565204">
      <w:bodyDiv w:val="1"/>
      <w:marLeft w:val="0"/>
      <w:marRight w:val="0"/>
      <w:marTop w:val="0"/>
      <w:marBottom w:val="0"/>
      <w:divBdr>
        <w:top w:val="none" w:sz="0" w:space="0" w:color="auto"/>
        <w:left w:val="none" w:sz="0" w:space="0" w:color="auto"/>
        <w:bottom w:val="none" w:sz="0" w:space="0" w:color="auto"/>
        <w:right w:val="none" w:sz="0" w:space="0" w:color="auto"/>
      </w:divBdr>
    </w:div>
    <w:div w:id="1085763718">
      <w:bodyDiv w:val="1"/>
      <w:marLeft w:val="0"/>
      <w:marRight w:val="0"/>
      <w:marTop w:val="0"/>
      <w:marBottom w:val="0"/>
      <w:divBdr>
        <w:top w:val="none" w:sz="0" w:space="0" w:color="auto"/>
        <w:left w:val="none" w:sz="0" w:space="0" w:color="auto"/>
        <w:bottom w:val="none" w:sz="0" w:space="0" w:color="auto"/>
        <w:right w:val="none" w:sz="0" w:space="0" w:color="auto"/>
      </w:divBdr>
    </w:div>
    <w:div w:id="1085806285">
      <w:bodyDiv w:val="1"/>
      <w:marLeft w:val="0"/>
      <w:marRight w:val="0"/>
      <w:marTop w:val="0"/>
      <w:marBottom w:val="0"/>
      <w:divBdr>
        <w:top w:val="none" w:sz="0" w:space="0" w:color="auto"/>
        <w:left w:val="none" w:sz="0" w:space="0" w:color="auto"/>
        <w:bottom w:val="none" w:sz="0" w:space="0" w:color="auto"/>
        <w:right w:val="none" w:sz="0" w:space="0" w:color="auto"/>
      </w:divBdr>
    </w:div>
    <w:div w:id="1085876221">
      <w:bodyDiv w:val="1"/>
      <w:marLeft w:val="0"/>
      <w:marRight w:val="0"/>
      <w:marTop w:val="0"/>
      <w:marBottom w:val="0"/>
      <w:divBdr>
        <w:top w:val="none" w:sz="0" w:space="0" w:color="auto"/>
        <w:left w:val="none" w:sz="0" w:space="0" w:color="auto"/>
        <w:bottom w:val="none" w:sz="0" w:space="0" w:color="auto"/>
        <w:right w:val="none" w:sz="0" w:space="0" w:color="auto"/>
      </w:divBdr>
    </w:div>
    <w:div w:id="1085954543">
      <w:bodyDiv w:val="1"/>
      <w:marLeft w:val="0"/>
      <w:marRight w:val="0"/>
      <w:marTop w:val="0"/>
      <w:marBottom w:val="0"/>
      <w:divBdr>
        <w:top w:val="none" w:sz="0" w:space="0" w:color="auto"/>
        <w:left w:val="none" w:sz="0" w:space="0" w:color="auto"/>
        <w:bottom w:val="none" w:sz="0" w:space="0" w:color="auto"/>
        <w:right w:val="none" w:sz="0" w:space="0" w:color="auto"/>
      </w:divBdr>
    </w:div>
    <w:div w:id="1085957434">
      <w:bodyDiv w:val="1"/>
      <w:marLeft w:val="0"/>
      <w:marRight w:val="0"/>
      <w:marTop w:val="0"/>
      <w:marBottom w:val="0"/>
      <w:divBdr>
        <w:top w:val="none" w:sz="0" w:space="0" w:color="auto"/>
        <w:left w:val="none" w:sz="0" w:space="0" w:color="auto"/>
        <w:bottom w:val="none" w:sz="0" w:space="0" w:color="auto"/>
        <w:right w:val="none" w:sz="0" w:space="0" w:color="auto"/>
      </w:divBdr>
    </w:div>
    <w:div w:id="1086028177">
      <w:bodyDiv w:val="1"/>
      <w:marLeft w:val="0"/>
      <w:marRight w:val="0"/>
      <w:marTop w:val="0"/>
      <w:marBottom w:val="0"/>
      <w:divBdr>
        <w:top w:val="none" w:sz="0" w:space="0" w:color="auto"/>
        <w:left w:val="none" w:sz="0" w:space="0" w:color="auto"/>
        <w:bottom w:val="none" w:sz="0" w:space="0" w:color="auto"/>
        <w:right w:val="none" w:sz="0" w:space="0" w:color="auto"/>
      </w:divBdr>
    </w:div>
    <w:div w:id="1086071103">
      <w:bodyDiv w:val="1"/>
      <w:marLeft w:val="0"/>
      <w:marRight w:val="0"/>
      <w:marTop w:val="0"/>
      <w:marBottom w:val="0"/>
      <w:divBdr>
        <w:top w:val="none" w:sz="0" w:space="0" w:color="auto"/>
        <w:left w:val="none" w:sz="0" w:space="0" w:color="auto"/>
        <w:bottom w:val="none" w:sz="0" w:space="0" w:color="auto"/>
        <w:right w:val="none" w:sz="0" w:space="0" w:color="auto"/>
      </w:divBdr>
    </w:div>
    <w:div w:id="1086150634">
      <w:bodyDiv w:val="1"/>
      <w:marLeft w:val="0"/>
      <w:marRight w:val="0"/>
      <w:marTop w:val="0"/>
      <w:marBottom w:val="0"/>
      <w:divBdr>
        <w:top w:val="none" w:sz="0" w:space="0" w:color="auto"/>
        <w:left w:val="none" w:sz="0" w:space="0" w:color="auto"/>
        <w:bottom w:val="none" w:sz="0" w:space="0" w:color="auto"/>
        <w:right w:val="none" w:sz="0" w:space="0" w:color="auto"/>
      </w:divBdr>
    </w:div>
    <w:div w:id="1086195898">
      <w:bodyDiv w:val="1"/>
      <w:marLeft w:val="0"/>
      <w:marRight w:val="0"/>
      <w:marTop w:val="0"/>
      <w:marBottom w:val="0"/>
      <w:divBdr>
        <w:top w:val="none" w:sz="0" w:space="0" w:color="auto"/>
        <w:left w:val="none" w:sz="0" w:space="0" w:color="auto"/>
        <w:bottom w:val="none" w:sz="0" w:space="0" w:color="auto"/>
        <w:right w:val="none" w:sz="0" w:space="0" w:color="auto"/>
      </w:divBdr>
    </w:div>
    <w:div w:id="1086224270">
      <w:bodyDiv w:val="1"/>
      <w:marLeft w:val="0"/>
      <w:marRight w:val="0"/>
      <w:marTop w:val="0"/>
      <w:marBottom w:val="0"/>
      <w:divBdr>
        <w:top w:val="none" w:sz="0" w:space="0" w:color="auto"/>
        <w:left w:val="none" w:sz="0" w:space="0" w:color="auto"/>
        <w:bottom w:val="none" w:sz="0" w:space="0" w:color="auto"/>
        <w:right w:val="none" w:sz="0" w:space="0" w:color="auto"/>
      </w:divBdr>
    </w:div>
    <w:div w:id="1086265918">
      <w:bodyDiv w:val="1"/>
      <w:marLeft w:val="0"/>
      <w:marRight w:val="0"/>
      <w:marTop w:val="0"/>
      <w:marBottom w:val="0"/>
      <w:divBdr>
        <w:top w:val="none" w:sz="0" w:space="0" w:color="auto"/>
        <w:left w:val="none" w:sz="0" w:space="0" w:color="auto"/>
        <w:bottom w:val="none" w:sz="0" w:space="0" w:color="auto"/>
        <w:right w:val="none" w:sz="0" w:space="0" w:color="auto"/>
      </w:divBdr>
    </w:div>
    <w:div w:id="1086416672">
      <w:bodyDiv w:val="1"/>
      <w:marLeft w:val="0"/>
      <w:marRight w:val="0"/>
      <w:marTop w:val="0"/>
      <w:marBottom w:val="0"/>
      <w:divBdr>
        <w:top w:val="none" w:sz="0" w:space="0" w:color="auto"/>
        <w:left w:val="none" w:sz="0" w:space="0" w:color="auto"/>
        <w:bottom w:val="none" w:sz="0" w:space="0" w:color="auto"/>
        <w:right w:val="none" w:sz="0" w:space="0" w:color="auto"/>
      </w:divBdr>
    </w:div>
    <w:div w:id="1086459117">
      <w:bodyDiv w:val="1"/>
      <w:marLeft w:val="0"/>
      <w:marRight w:val="0"/>
      <w:marTop w:val="0"/>
      <w:marBottom w:val="0"/>
      <w:divBdr>
        <w:top w:val="none" w:sz="0" w:space="0" w:color="auto"/>
        <w:left w:val="none" w:sz="0" w:space="0" w:color="auto"/>
        <w:bottom w:val="none" w:sz="0" w:space="0" w:color="auto"/>
        <w:right w:val="none" w:sz="0" w:space="0" w:color="auto"/>
      </w:divBdr>
    </w:div>
    <w:div w:id="1086730005">
      <w:bodyDiv w:val="1"/>
      <w:marLeft w:val="0"/>
      <w:marRight w:val="0"/>
      <w:marTop w:val="0"/>
      <w:marBottom w:val="0"/>
      <w:divBdr>
        <w:top w:val="none" w:sz="0" w:space="0" w:color="auto"/>
        <w:left w:val="none" w:sz="0" w:space="0" w:color="auto"/>
        <w:bottom w:val="none" w:sz="0" w:space="0" w:color="auto"/>
        <w:right w:val="none" w:sz="0" w:space="0" w:color="auto"/>
      </w:divBdr>
    </w:div>
    <w:div w:id="1086800546">
      <w:bodyDiv w:val="1"/>
      <w:marLeft w:val="0"/>
      <w:marRight w:val="0"/>
      <w:marTop w:val="0"/>
      <w:marBottom w:val="0"/>
      <w:divBdr>
        <w:top w:val="none" w:sz="0" w:space="0" w:color="auto"/>
        <w:left w:val="none" w:sz="0" w:space="0" w:color="auto"/>
        <w:bottom w:val="none" w:sz="0" w:space="0" w:color="auto"/>
        <w:right w:val="none" w:sz="0" w:space="0" w:color="auto"/>
      </w:divBdr>
    </w:div>
    <w:div w:id="1086918559">
      <w:bodyDiv w:val="1"/>
      <w:marLeft w:val="0"/>
      <w:marRight w:val="0"/>
      <w:marTop w:val="0"/>
      <w:marBottom w:val="0"/>
      <w:divBdr>
        <w:top w:val="none" w:sz="0" w:space="0" w:color="auto"/>
        <w:left w:val="none" w:sz="0" w:space="0" w:color="auto"/>
        <w:bottom w:val="none" w:sz="0" w:space="0" w:color="auto"/>
        <w:right w:val="none" w:sz="0" w:space="0" w:color="auto"/>
      </w:divBdr>
    </w:div>
    <w:div w:id="1086921742">
      <w:bodyDiv w:val="1"/>
      <w:marLeft w:val="0"/>
      <w:marRight w:val="0"/>
      <w:marTop w:val="0"/>
      <w:marBottom w:val="0"/>
      <w:divBdr>
        <w:top w:val="none" w:sz="0" w:space="0" w:color="auto"/>
        <w:left w:val="none" w:sz="0" w:space="0" w:color="auto"/>
        <w:bottom w:val="none" w:sz="0" w:space="0" w:color="auto"/>
        <w:right w:val="none" w:sz="0" w:space="0" w:color="auto"/>
      </w:divBdr>
    </w:div>
    <w:div w:id="1086995952">
      <w:bodyDiv w:val="1"/>
      <w:marLeft w:val="0"/>
      <w:marRight w:val="0"/>
      <w:marTop w:val="0"/>
      <w:marBottom w:val="0"/>
      <w:divBdr>
        <w:top w:val="none" w:sz="0" w:space="0" w:color="auto"/>
        <w:left w:val="none" w:sz="0" w:space="0" w:color="auto"/>
        <w:bottom w:val="none" w:sz="0" w:space="0" w:color="auto"/>
        <w:right w:val="none" w:sz="0" w:space="0" w:color="auto"/>
      </w:divBdr>
    </w:div>
    <w:div w:id="1087075241">
      <w:bodyDiv w:val="1"/>
      <w:marLeft w:val="0"/>
      <w:marRight w:val="0"/>
      <w:marTop w:val="0"/>
      <w:marBottom w:val="0"/>
      <w:divBdr>
        <w:top w:val="none" w:sz="0" w:space="0" w:color="auto"/>
        <w:left w:val="none" w:sz="0" w:space="0" w:color="auto"/>
        <w:bottom w:val="none" w:sz="0" w:space="0" w:color="auto"/>
        <w:right w:val="none" w:sz="0" w:space="0" w:color="auto"/>
      </w:divBdr>
    </w:div>
    <w:div w:id="1087076402">
      <w:bodyDiv w:val="1"/>
      <w:marLeft w:val="0"/>
      <w:marRight w:val="0"/>
      <w:marTop w:val="0"/>
      <w:marBottom w:val="0"/>
      <w:divBdr>
        <w:top w:val="none" w:sz="0" w:space="0" w:color="auto"/>
        <w:left w:val="none" w:sz="0" w:space="0" w:color="auto"/>
        <w:bottom w:val="none" w:sz="0" w:space="0" w:color="auto"/>
        <w:right w:val="none" w:sz="0" w:space="0" w:color="auto"/>
      </w:divBdr>
    </w:div>
    <w:div w:id="1087120986">
      <w:bodyDiv w:val="1"/>
      <w:marLeft w:val="0"/>
      <w:marRight w:val="0"/>
      <w:marTop w:val="0"/>
      <w:marBottom w:val="0"/>
      <w:divBdr>
        <w:top w:val="none" w:sz="0" w:space="0" w:color="auto"/>
        <w:left w:val="none" w:sz="0" w:space="0" w:color="auto"/>
        <w:bottom w:val="none" w:sz="0" w:space="0" w:color="auto"/>
        <w:right w:val="none" w:sz="0" w:space="0" w:color="auto"/>
      </w:divBdr>
    </w:div>
    <w:div w:id="1087187328">
      <w:bodyDiv w:val="1"/>
      <w:marLeft w:val="0"/>
      <w:marRight w:val="0"/>
      <w:marTop w:val="0"/>
      <w:marBottom w:val="0"/>
      <w:divBdr>
        <w:top w:val="none" w:sz="0" w:space="0" w:color="auto"/>
        <w:left w:val="none" w:sz="0" w:space="0" w:color="auto"/>
        <w:bottom w:val="none" w:sz="0" w:space="0" w:color="auto"/>
        <w:right w:val="none" w:sz="0" w:space="0" w:color="auto"/>
      </w:divBdr>
    </w:div>
    <w:div w:id="1087505072">
      <w:bodyDiv w:val="1"/>
      <w:marLeft w:val="0"/>
      <w:marRight w:val="0"/>
      <w:marTop w:val="0"/>
      <w:marBottom w:val="0"/>
      <w:divBdr>
        <w:top w:val="none" w:sz="0" w:space="0" w:color="auto"/>
        <w:left w:val="none" w:sz="0" w:space="0" w:color="auto"/>
        <w:bottom w:val="none" w:sz="0" w:space="0" w:color="auto"/>
        <w:right w:val="none" w:sz="0" w:space="0" w:color="auto"/>
      </w:divBdr>
    </w:div>
    <w:div w:id="1087505494">
      <w:bodyDiv w:val="1"/>
      <w:marLeft w:val="0"/>
      <w:marRight w:val="0"/>
      <w:marTop w:val="0"/>
      <w:marBottom w:val="0"/>
      <w:divBdr>
        <w:top w:val="none" w:sz="0" w:space="0" w:color="auto"/>
        <w:left w:val="none" w:sz="0" w:space="0" w:color="auto"/>
        <w:bottom w:val="none" w:sz="0" w:space="0" w:color="auto"/>
        <w:right w:val="none" w:sz="0" w:space="0" w:color="auto"/>
      </w:divBdr>
    </w:div>
    <w:div w:id="1087505771">
      <w:bodyDiv w:val="1"/>
      <w:marLeft w:val="0"/>
      <w:marRight w:val="0"/>
      <w:marTop w:val="0"/>
      <w:marBottom w:val="0"/>
      <w:divBdr>
        <w:top w:val="none" w:sz="0" w:space="0" w:color="auto"/>
        <w:left w:val="none" w:sz="0" w:space="0" w:color="auto"/>
        <w:bottom w:val="none" w:sz="0" w:space="0" w:color="auto"/>
        <w:right w:val="none" w:sz="0" w:space="0" w:color="auto"/>
      </w:divBdr>
    </w:div>
    <w:div w:id="1087536475">
      <w:bodyDiv w:val="1"/>
      <w:marLeft w:val="0"/>
      <w:marRight w:val="0"/>
      <w:marTop w:val="0"/>
      <w:marBottom w:val="0"/>
      <w:divBdr>
        <w:top w:val="none" w:sz="0" w:space="0" w:color="auto"/>
        <w:left w:val="none" w:sz="0" w:space="0" w:color="auto"/>
        <w:bottom w:val="none" w:sz="0" w:space="0" w:color="auto"/>
        <w:right w:val="none" w:sz="0" w:space="0" w:color="auto"/>
      </w:divBdr>
    </w:div>
    <w:div w:id="1087577010">
      <w:bodyDiv w:val="1"/>
      <w:marLeft w:val="0"/>
      <w:marRight w:val="0"/>
      <w:marTop w:val="0"/>
      <w:marBottom w:val="0"/>
      <w:divBdr>
        <w:top w:val="none" w:sz="0" w:space="0" w:color="auto"/>
        <w:left w:val="none" w:sz="0" w:space="0" w:color="auto"/>
        <w:bottom w:val="none" w:sz="0" w:space="0" w:color="auto"/>
        <w:right w:val="none" w:sz="0" w:space="0" w:color="auto"/>
      </w:divBdr>
    </w:div>
    <w:div w:id="1087578277">
      <w:bodyDiv w:val="1"/>
      <w:marLeft w:val="0"/>
      <w:marRight w:val="0"/>
      <w:marTop w:val="0"/>
      <w:marBottom w:val="0"/>
      <w:divBdr>
        <w:top w:val="none" w:sz="0" w:space="0" w:color="auto"/>
        <w:left w:val="none" w:sz="0" w:space="0" w:color="auto"/>
        <w:bottom w:val="none" w:sz="0" w:space="0" w:color="auto"/>
        <w:right w:val="none" w:sz="0" w:space="0" w:color="auto"/>
      </w:divBdr>
    </w:div>
    <w:div w:id="1087578975">
      <w:bodyDiv w:val="1"/>
      <w:marLeft w:val="0"/>
      <w:marRight w:val="0"/>
      <w:marTop w:val="0"/>
      <w:marBottom w:val="0"/>
      <w:divBdr>
        <w:top w:val="none" w:sz="0" w:space="0" w:color="auto"/>
        <w:left w:val="none" w:sz="0" w:space="0" w:color="auto"/>
        <w:bottom w:val="none" w:sz="0" w:space="0" w:color="auto"/>
        <w:right w:val="none" w:sz="0" w:space="0" w:color="auto"/>
      </w:divBdr>
    </w:div>
    <w:div w:id="1087651135">
      <w:bodyDiv w:val="1"/>
      <w:marLeft w:val="0"/>
      <w:marRight w:val="0"/>
      <w:marTop w:val="0"/>
      <w:marBottom w:val="0"/>
      <w:divBdr>
        <w:top w:val="none" w:sz="0" w:space="0" w:color="auto"/>
        <w:left w:val="none" w:sz="0" w:space="0" w:color="auto"/>
        <w:bottom w:val="none" w:sz="0" w:space="0" w:color="auto"/>
        <w:right w:val="none" w:sz="0" w:space="0" w:color="auto"/>
      </w:divBdr>
    </w:div>
    <w:div w:id="1087726594">
      <w:bodyDiv w:val="1"/>
      <w:marLeft w:val="0"/>
      <w:marRight w:val="0"/>
      <w:marTop w:val="0"/>
      <w:marBottom w:val="0"/>
      <w:divBdr>
        <w:top w:val="none" w:sz="0" w:space="0" w:color="auto"/>
        <w:left w:val="none" w:sz="0" w:space="0" w:color="auto"/>
        <w:bottom w:val="none" w:sz="0" w:space="0" w:color="auto"/>
        <w:right w:val="none" w:sz="0" w:space="0" w:color="auto"/>
      </w:divBdr>
    </w:div>
    <w:div w:id="1087727963">
      <w:bodyDiv w:val="1"/>
      <w:marLeft w:val="0"/>
      <w:marRight w:val="0"/>
      <w:marTop w:val="0"/>
      <w:marBottom w:val="0"/>
      <w:divBdr>
        <w:top w:val="none" w:sz="0" w:space="0" w:color="auto"/>
        <w:left w:val="none" w:sz="0" w:space="0" w:color="auto"/>
        <w:bottom w:val="none" w:sz="0" w:space="0" w:color="auto"/>
        <w:right w:val="none" w:sz="0" w:space="0" w:color="auto"/>
      </w:divBdr>
    </w:div>
    <w:div w:id="1087845989">
      <w:bodyDiv w:val="1"/>
      <w:marLeft w:val="0"/>
      <w:marRight w:val="0"/>
      <w:marTop w:val="0"/>
      <w:marBottom w:val="0"/>
      <w:divBdr>
        <w:top w:val="none" w:sz="0" w:space="0" w:color="auto"/>
        <w:left w:val="none" w:sz="0" w:space="0" w:color="auto"/>
        <w:bottom w:val="none" w:sz="0" w:space="0" w:color="auto"/>
        <w:right w:val="none" w:sz="0" w:space="0" w:color="auto"/>
      </w:divBdr>
    </w:div>
    <w:div w:id="1087846291">
      <w:bodyDiv w:val="1"/>
      <w:marLeft w:val="0"/>
      <w:marRight w:val="0"/>
      <w:marTop w:val="0"/>
      <w:marBottom w:val="0"/>
      <w:divBdr>
        <w:top w:val="none" w:sz="0" w:space="0" w:color="auto"/>
        <w:left w:val="none" w:sz="0" w:space="0" w:color="auto"/>
        <w:bottom w:val="none" w:sz="0" w:space="0" w:color="auto"/>
        <w:right w:val="none" w:sz="0" w:space="0" w:color="auto"/>
      </w:divBdr>
    </w:div>
    <w:div w:id="1087917519">
      <w:bodyDiv w:val="1"/>
      <w:marLeft w:val="0"/>
      <w:marRight w:val="0"/>
      <w:marTop w:val="0"/>
      <w:marBottom w:val="0"/>
      <w:divBdr>
        <w:top w:val="none" w:sz="0" w:space="0" w:color="auto"/>
        <w:left w:val="none" w:sz="0" w:space="0" w:color="auto"/>
        <w:bottom w:val="none" w:sz="0" w:space="0" w:color="auto"/>
        <w:right w:val="none" w:sz="0" w:space="0" w:color="auto"/>
      </w:divBdr>
    </w:div>
    <w:div w:id="1088110749">
      <w:bodyDiv w:val="1"/>
      <w:marLeft w:val="0"/>
      <w:marRight w:val="0"/>
      <w:marTop w:val="0"/>
      <w:marBottom w:val="0"/>
      <w:divBdr>
        <w:top w:val="none" w:sz="0" w:space="0" w:color="auto"/>
        <w:left w:val="none" w:sz="0" w:space="0" w:color="auto"/>
        <w:bottom w:val="none" w:sz="0" w:space="0" w:color="auto"/>
        <w:right w:val="none" w:sz="0" w:space="0" w:color="auto"/>
      </w:divBdr>
    </w:div>
    <w:div w:id="1088117417">
      <w:bodyDiv w:val="1"/>
      <w:marLeft w:val="0"/>
      <w:marRight w:val="0"/>
      <w:marTop w:val="0"/>
      <w:marBottom w:val="0"/>
      <w:divBdr>
        <w:top w:val="none" w:sz="0" w:space="0" w:color="auto"/>
        <w:left w:val="none" w:sz="0" w:space="0" w:color="auto"/>
        <w:bottom w:val="none" w:sz="0" w:space="0" w:color="auto"/>
        <w:right w:val="none" w:sz="0" w:space="0" w:color="auto"/>
      </w:divBdr>
    </w:div>
    <w:div w:id="1088120179">
      <w:bodyDiv w:val="1"/>
      <w:marLeft w:val="0"/>
      <w:marRight w:val="0"/>
      <w:marTop w:val="0"/>
      <w:marBottom w:val="0"/>
      <w:divBdr>
        <w:top w:val="none" w:sz="0" w:space="0" w:color="auto"/>
        <w:left w:val="none" w:sz="0" w:space="0" w:color="auto"/>
        <w:bottom w:val="none" w:sz="0" w:space="0" w:color="auto"/>
        <w:right w:val="none" w:sz="0" w:space="0" w:color="auto"/>
      </w:divBdr>
    </w:div>
    <w:div w:id="1088231281">
      <w:bodyDiv w:val="1"/>
      <w:marLeft w:val="0"/>
      <w:marRight w:val="0"/>
      <w:marTop w:val="0"/>
      <w:marBottom w:val="0"/>
      <w:divBdr>
        <w:top w:val="none" w:sz="0" w:space="0" w:color="auto"/>
        <w:left w:val="none" w:sz="0" w:space="0" w:color="auto"/>
        <w:bottom w:val="none" w:sz="0" w:space="0" w:color="auto"/>
        <w:right w:val="none" w:sz="0" w:space="0" w:color="auto"/>
      </w:divBdr>
    </w:div>
    <w:div w:id="1088232008">
      <w:bodyDiv w:val="1"/>
      <w:marLeft w:val="0"/>
      <w:marRight w:val="0"/>
      <w:marTop w:val="0"/>
      <w:marBottom w:val="0"/>
      <w:divBdr>
        <w:top w:val="none" w:sz="0" w:space="0" w:color="auto"/>
        <w:left w:val="none" w:sz="0" w:space="0" w:color="auto"/>
        <w:bottom w:val="none" w:sz="0" w:space="0" w:color="auto"/>
        <w:right w:val="none" w:sz="0" w:space="0" w:color="auto"/>
      </w:divBdr>
    </w:div>
    <w:div w:id="1088233155">
      <w:bodyDiv w:val="1"/>
      <w:marLeft w:val="0"/>
      <w:marRight w:val="0"/>
      <w:marTop w:val="0"/>
      <w:marBottom w:val="0"/>
      <w:divBdr>
        <w:top w:val="none" w:sz="0" w:space="0" w:color="auto"/>
        <w:left w:val="none" w:sz="0" w:space="0" w:color="auto"/>
        <w:bottom w:val="none" w:sz="0" w:space="0" w:color="auto"/>
        <w:right w:val="none" w:sz="0" w:space="0" w:color="auto"/>
      </w:divBdr>
    </w:div>
    <w:div w:id="1088385156">
      <w:bodyDiv w:val="1"/>
      <w:marLeft w:val="0"/>
      <w:marRight w:val="0"/>
      <w:marTop w:val="0"/>
      <w:marBottom w:val="0"/>
      <w:divBdr>
        <w:top w:val="none" w:sz="0" w:space="0" w:color="auto"/>
        <w:left w:val="none" w:sz="0" w:space="0" w:color="auto"/>
        <w:bottom w:val="none" w:sz="0" w:space="0" w:color="auto"/>
        <w:right w:val="none" w:sz="0" w:space="0" w:color="auto"/>
      </w:divBdr>
    </w:div>
    <w:div w:id="1088386435">
      <w:bodyDiv w:val="1"/>
      <w:marLeft w:val="0"/>
      <w:marRight w:val="0"/>
      <w:marTop w:val="0"/>
      <w:marBottom w:val="0"/>
      <w:divBdr>
        <w:top w:val="none" w:sz="0" w:space="0" w:color="auto"/>
        <w:left w:val="none" w:sz="0" w:space="0" w:color="auto"/>
        <w:bottom w:val="none" w:sz="0" w:space="0" w:color="auto"/>
        <w:right w:val="none" w:sz="0" w:space="0" w:color="auto"/>
      </w:divBdr>
    </w:div>
    <w:div w:id="1088422138">
      <w:bodyDiv w:val="1"/>
      <w:marLeft w:val="0"/>
      <w:marRight w:val="0"/>
      <w:marTop w:val="0"/>
      <w:marBottom w:val="0"/>
      <w:divBdr>
        <w:top w:val="none" w:sz="0" w:space="0" w:color="auto"/>
        <w:left w:val="none" w:sz="0" w:space="0" w:color="auto"/>
        <w:bottom w:val="none" w:sz="0" w:space="0" w:color="auto"/>
        <w:right w:val="none" w:sz="0" w:space="0" w:color="auto"/>
      </w:divBdr>
    </w:div>
    <w:div w:id="1088576666">
      <w:bodyDiv w:val="1"/>
      <w:marLeft w:val="0"/>
      <w:marRight w:val="0"/>
      <w:marTop w:val="0"/>
      <w:marBottom w:val="0"/>
      <w:divBdr>
        <w:top w:val="none" w:sz="0" w:space="0" w:color="auto"/>
        <w:left w:val="none" w:sz="0" w:space="0" w:color="auto"/>
        <w:bottom w:val="none" w:sz="0" w:space="0" w:color="auto"/>
        <w:right w:val="none" w:sz="0" w:space="0" w:color="auto"/>
      </w:divBdr>
    </w:div>
    <w:div w:id="1088649255">
      <w:bodyDiv w:val="1"/>
      <w:marLeft w:val="0"/>
      <w:marRight w:val="0"/>
      <w:marTop w:val="0"/>
      <w:marBottom w:val="0"/>
      <w:divBdr>
        <w:top w:val="none" w:sz="0" w:space="0" w:color="auto"/>
        <w:left w:val="none" w:sz="0" w:space="0" w:color="auto"/>
        <w:bottom w:val="none" w:sz="0" w:space="0" w:color="auto"/>
        <w:right w:val="none" w:sz="0" w:space="0" w:color="auto"/>
      </w:divBdr>
    </w:div>
    <w:div w:id="1088815842">
      <w:bodyDiv w:val="1"/>
      <w:marLeft w:val="0"/>
      <w:marRight w:val="0"/>
      <w:marTop w:val="0"/>
      <w:marBottom w:val="0"/>
      <w:divBdr>
        <w:top w:val="none" w:sz="0" w:space="0" w:color="auto"/>
        <w:left w:val="none" w:sz="0" w:space="0" w:color="auto"/>
        <w:bottom w:val="none" w:sz="0" w:space="0" w:color="auto"/>
        <w:right w:val="none" w:sz="0" w:space="0" w:color="auto"/>
      </w:divBdr>
    </w:div>
    <w:div w:id="1089083512">
      <w:bodyDiv w:val="1"/>
      <w:marLeft w:val="0"/>
      <w:marRight w:val="0"/>
      <w:marTop w:val="0"/>
      <w:marBottom w:val="0"/>
      <w:divBdr>
        <w:top w:val="none" w:sz="0" w:space="0" w:color="auto"/>
        <w:left w:val="none" w:sz="0" w:space="0" w:color="auto"/>
        <w:bottom w:val="none" w:sz="0" w:space="0" w:color="auto"/>
        <w:right w:val="none" w:sz="0" w:space="0" w:color="auto"/>
      </w:divBdr>
    </w:div>
    <w:div w:id="1089348720">
      <w:bodyDiv w:val="1"/>
      <w:marLeft w:val="0"/>
      <w:marRight w:val="0"/>
      <w:marTop w:val="0"/>
      <w:marBottom w:val="0"/>
      <w:divBdr>
        <w:top w:val="none" w:sz="0" w:space="0" w:color="auto"/>
        <w:left w:val="none" w:sz="0" w:space="0" w:color="auto"/>
        <w:bottom w:val="none" w:sz="0" w:space="0" w:color="auto"/>
        <w:right w:val="none" w:sz="0" w:space="0" w:color="auto"/>
      </w:divBdr>
    </w:div>
    <w:div w:id="1089351952">
      <w:bodyDiv w:val="1"/>
      <w:marLeft w:val="0"/>
      <w:marRight w:val="0"/>
      <w:marTop w:val="0"/>
      <w:marBottom w:val="0"/>
      <w:divBdr>
        <w:top w:val="none" w:sz="0" w:space="0" w:color="auto"/>
        <w:left w:val="none" w:sz="0" w:space="0" w:color="auto"/>
        <w:bottom w:val="none" w:sz="0" w:space="0" w:color="auto"/>
        <w:right w:val="none" w:sz="0" w:space="0" w:color="auto"/>
      </w:divBdr>
    </w:div>
    <w:div w:id="1089352193">
      <w:bodyDiv w:val="1"/>
      <w:marLeft w:val="0"/>
      <w:marRight w:val="0"/>
      <w:marTop w:val="0"/>
      <w:marBottom w:val="0"/>
      <w:divBdr>
        <w:top w:val="none" w:sz="0" w:space="0" w:color="auto"/>
        <w:left w:val="none" w:sz="0" w:space="0" w:color="auto"/>
        <w:bottom w:val="none" w:sz="0" w:space="0" w:color="auto"/>
        <w:right w:val="none" w:sz="0" w:space="0" w:color="auto"/>
      </w:divBdr>
    </w:div>
    <w:div w:id="1089355004">
      <w:bodyDiv w:val="1"/>
      <w:marLeft w:val="0"/>
      <w:marRight w:val="0"/>
      <w:marTop w:val="0"/>
      <w:marBottom w:val="0"/>
      <w:divBdr>
        <w:top w:val="none" w:sz="0" w:space="0" w:color="auto"/>
        <w:left w:val="none" w:sz="0" w:space="0" w:color="auto"/>
        <w:bottom w:val="none" w:sz="0" w:space="0" w:color="auto"/>
        <w:right w:val="none" w:sz="0" w:space="0" w:color="auto"/>
      </w:divBdr>
    </w:div>
    <w:div w:id="1089541630">
      <w:bodyDiv w:val="1"/>
      <w:marLeft w:val="0"/>
      <w:marRight w:val="0"/>
      <w:marTop w:val="0"/>
      <w:marBottom w:val="0"/>
      <w:divBdr>
        <w:top w:val="none" w:sz="0" w:space="0" w:color="auto"/>
        <w:left w:val="none" w:sz="0" w:space="0" w:color="auto"/>
        <w:bottom w:val="none" w:sz="0" w:space="0" w:color="auto"/>
        <w:right w:val="none" w:sz="0" w:space="0" w:color="auto"/>
      </w:divBdr>
    </w:div>
    <w:div w:id="1089543469">
      <w:bodyDiv w:val="1"/>
      <w:marLeft w:val="0"/>
      <w:marRight w:val="0"/>
      <w:marTop w:val="0"/>
      <w:marBottom w:val="0"/>
      <w:divBdr>
        <w:top w:val="none" w:sz="0" w:space="0" w:color="auto"/>
        <w:left w:val="none" w:sz="0" w:space="0" w:color="auto"/>
        <w:bottom w:val="none" w:sz="0" w:space="0" w:color="auto"/>
        <w:right w:val="none" w:sz="0" w:space="0" w:color="auto"/>
      </w:divBdr>
    </w:div>
    <w:div w:id="1089618379">
      <w:bodyDiv w:val="1"/>
      <w:marLeft w:val="0"/>
      <w:marRight w:val="0"/>
      <w:marTop w:val="0"/>
      <w:marBottom w:val="0"/>
      <w:divBdr>
        <w:top w:val="none" w:sz="0" w:space="0" w:color="auto"/>
        <w:left w:val="none" w:sz="0" w:space="0" w:color="auto"/>
        <w:bottom w:val="none" w:sz="0" w:space="0" w:color="auto"/>
        <w:right w:val="none" w:sz="0" w:space="0" w:color="auto"/>
      </w:divBdr>
    </w:div>
    <w:div w:id="1089736596">
      <w:bodyDiv w:val="1"/>
      <w:marLeft w:val="0"/>
      <w:marRight w:val="0"/>
      <w:marTop w:val="0"/>
      <w:marBottom w:val="0"/>
      <w:divBdr>
        <w:top w:val="none" w:sz="0" w:space="0" w:color="auto"/>
        <w:left w:val="none" w:sz="0" w:space="0" w:color="auto"/>
        <w:bottom w:val="none" w:sz="0" w:space="0" w:color="auto"/>
        <w:right w:val="none" w:sz="0" w:space="0" w:color="auto"/>
      </w:divBdr>
    </w:div>
    <w:div w:id="1090158229">
      <w:bodyDiv w:val="1"/>
      <w:marLeft w:val="0"/>
      <w:marRight w:val="0"/>
      <w:marTop w:val="0"/>
      <w:marBottom w:val="0"/>
      <w:divBdr>
        <w:top w:val="none" w:sz="0" w:space="0" w:color="auto"/>
        <w:left w:val="none" w:sz="0" w:space="0" w:color="auto"/>
        <w:bottom w:val="none" w:sz="0" w:space="0" w:color="auto"/>
        <w:right w:val="none" w:sz="0" w:space="0" w:color="auto"/>
      </w:divBdr>
    </w:div>
    <w:div w:id="1090201586">
      <w:bodyDiv w:val="1"/>
      <w:marLeft w:val="0"/>
      <w:marRight w:val="0"/>
      <w:marTop w:val="0"/>
      <w:marBottom w:val="0"/>
      <w:divBdr>
        <w:top w:val="none" w:sz="0" w:space="0" w:color="auto"/>
        <w:left w:val="none" w:sz="0" w:space="0" w:color="auto"/>
        <w:bottom w:val="none" w:sz="0" w:space="0" w:color="auto"/>
        <w:right w:val="none" w:sz="0" w:space="0" w:color="auto"/>
      </w:divBdr>
    </w:div>
    <w:div w:id="1090348592">
      <w:bodyDiv w:val="1"/>
      <w:marLeft w:val="0"/>
      <w:marRight w:val="0"/>
      <w:marTop w:val="0"/>
      <w:marBottom w:val="0"/>
      <w:divBdr>
        <w:top w:val="none" w:sz="0" w:space="0" w:color="auto"/>
        <w:left w:val="none" w:sz="0" w:space="0" w:color="auto"/>
        <w:bottom w:val="none" w:sz="0" w:space="0" w:color="auto"/>
        <w:right w:val="none" w:sz="0" w:space="0" w:color="auto"/>
      </w:divBdr>
    </w:div>
    <w:div w:id="1090354233">
      <w:bodyDiv w:val="1"/>
      <w:marLeft w:val="0"/>
      <w:marRight w:val="0"/>
      <w:marTop w:val="0"/>
      <w:marBottom w:val="0"/>
      <w:divBdr>
        <w:top w:val="none" w:sz="0" w:space="0" w:color="auto"/>
        <w:left w:val="none" w:sz="0" w:space="0" w:color="auto"/>
        <w:bottom w:val="none" w:sz="0" w:space="0" w:color="auto"/>
        <w:right w:val="none" w:sz="0" w:space="0" w:color="auto"/>
      </w:divBdr>
    </w:div>
    <w:div w:id="1090471808">
      <w:bodyDiv w:val="1"/>
      <w:marLeft w:val="0"/>
      <w:marRight w:val="0"/>
      <w:marTop w:val="0"/>
      <w:marBottom w:val="0"/>
      <w:divBdr>
        <w:top w:val="none" w:sz="0" w:space="0" w:color="auto"/>
        <w:left w:val="none" w:sz="0" w:space="0" w:color="auto"/>
        <w:bottom w:val="none" w:sz="0" w:space="0" w:color="auto"/>
        <w:right w:val="none" w:sz="0" w:space="0" w:color="auto"/>
      </w:divBdr>
    </w:div>
    <w:div w:id="1090543003">
      <w:bodyDiv w:val="1"/>
      <w:marLeft w:val="0"/>
      <w:marRight w:val="0"/>
      <w:marTop w:val="0"/>
      <w:marBottom w:val="0"/>
      <w:divBdr>
        <w:top w:val="none" w:sz="0" w:space="0" w:color="auto"/>
        <w:left w:val="none" w:sz="0" w:space="0" w:color="auto"/>
        <w:bottom w:val="none" w:sz="0" w:space="0" w:color="auto"/>
        <w:right w:val="none" w:sz="0" w:space="0" w:color="auto"/>
      </w:divBdr>
    </w:div>
    <w:div w:id="1090662737">
      <w:bodyDiv w:val="1"/>
      <w:marLeft w:val="0"/>
      <w:marRight w:val="0"/>
      <w:marTop w:val="0"/>
      <w:marBottom w:val="0"/>
      <w:divBdr>
        <w:top w:val="none" w:sz="0" w:space="0" w:color="auto"/>
        <w:left w:val="none" w:sz="0" w:space="0" w:color="auto"/>
        <w:bottom w:val="none" w:sz="0" w:space="0" w:color="auto"/>
        <w:right w:val="none" w:sz="0" w:space="0" w:color="auto"/>
      </w:divBdr>
    </w:div>
    <w:div w:id="1090665911">
      <w:bodyDiv w:val="1"/>
      <w:marLeft w:val="0"/>
      <w:marRight w:val="0"/>
      <w:marTop w:val="0"/>
      <w:marBottom w:val="0"/>
      <w:divBdr>
        <w:top w:val="none" w:sz="0" w:space="0" w:color="auto"/>
        <w:left w:val="none" w:sz="0" w:space="0" w:color="auto"/>
        <w:bottom w:val="none" w:sz="0" w:space="0" w:color="auto"/>
        <w:right w:val="none" w:sz="0" w:space="0" w:color="auto"/>
      </w:divBdr>
    </w:div>
    <w:div w:id="1090735734">
      <w:bodyDiv w:val="1"/>
      <w:marLeft w:val="0"/>
      <w:marRight w:val="0"/>
      <w:marTop w:val="0"/>
      <w:marBottom w:val="0"/>
      <w:divBdr>
        <w:top w:val="none" w:sz="0" w:space="0" w:color="auto"/>
        <w:left w:val="none" w:sz="0" w:space="0" w:color="auto"/>
        <w:bottom w:val="none" w:sz="0" w:space="0" w:color="auto"/>
        <w:right w:val="none" w:sz="0" w:space="0" w:color="auto"/>
      </w:divBdr>
    </w:div>
    <w:div w:id="1090784044">
      <w:bodyDiv w:val="1"/>
      <w:marLeft w:val="0"/>
      <w:marRight w:val="0"/>
      <w:marTop w:val="0"/>
      <w:marBottom w:val="0"/>
      <w:divBdr>
        <w:top w:val="none" w:sz="0" w:space="0" w:color="auto"/>
        <w:left w:val="none" w:sz="0" w:space="0" w:color="auto"/>
        <w:bottom w:val="none" w:sz="0" w:space="0" w:color="auto"/>
        <w:right w:val="none" w:sz="0" w:space="0" w:color="auto"/>
      </w:divBdr>
    </w:div>
    <w:div w:id="1090809487">
      <w:bodyDiv w:val="1"/>
      <w:marLeft w:val="0"/>
      <w:marRight w:val="0"/>
      <w:marTop w:val="0"/>
      <w:marBottom w:val="0"/>
      <w:divBdr>
        <w:top w:val="none" w:sz="0" w:space="0" w:color="auto"/>
        <w:left w:val="none" w:sz="0" w:space="0" w:color="auto"/>
        <w:bottom w:val="none" w:sz="0" w:space="0" w:color="auto"/>
        <w:right w:val="none" w:sz="0" w:space="0" w:color="auto"/>
      </w:divBdr>
    </w:div>
    <w:div w:id="1090811877">
      <w:bodyDiv w:val="1"/>
      <w:marLeft w:val="0"/>
      <w:marRight w:val="0"/>
      <w:marTop w:val="0"/>
      <w:marBottom w:val="0"/>
      <w:divBdr>
        <w:top w:val="none" w:sz="0" w:space="0" w:color="auto"/>
        <w:left w:val="none" w:sz="0" w:space="0" w:color="auto"/>
        <w:bottom w:val="none" w:sz="0" w:space="0" w:color="auto"/>
        <w:right w:val="none" w:sz="0" w:space="0" w:color="auto"/>
      </w:divBdr>
    </w:div>
    <w:div w:id="1091008025">
      <w:bodyDiv w:val="1"/>
      <w:marLeft w:val="0"/>
      <w:marRight w:val="0"/>
      <w:marTop w:val="0"/>
      <w:marBottom w:val="0"/>
      <w:divBdr>
        <w:top w:val="none" w:sz="0" w:space="0" w:color="auto"/>
        <w:left w:val="none" w:sz="0" w:space="0" w:color="auto"/>
        <w:bottom w:val="none" w:sz="0" w:space="0" w:color="auto"/>
        <w:right w:val="none" w:sz="0" w:space="0" w:color="auto"/>
      </w:divBdr>
    </w:div>
    <w:div w:id="1091045721">
      <w:bodyDiv w:val="1"/>
      <w:marLeft w:val="0"/>
      <w:marRight w:val="0"/>
      <w:marTop w:val="0"/>
      <w:marBottom w:val="0"/>
      <w:divBdr>
        <w:top w:val="none" w:sz="0" w:space="0" w:color="auto"/>
        <w:left w:val="none" w:sz="0" w:space="0" w:color="auto"/>
        <w:bottom w:val="none" w:sz="0" w:space="0" w:color="auto"/>
        <w:right w:val="none" w:sz="0" w:space="0" w:color="auto"/>
      </w:divBdr>
    </w:div>
    <w:div w:id="1091048088">
      <w:bodyDiv w:val="1"/>
      <w:marLeft w:val="0"/>
      <w:marRight w:val="0"/>
      <w:marTop w:val="0"/>
      <w:marBottom w:val="0"/>
      <w:divBdr>
        <w:top w:val="none" w:sz="0" w:space="0" w:color="auto"/>
        <w:left w:val="none" w:sz="0" w:space="0" w:color="auto"/>
        <w:bottom w:val="none" w:sz="0" w:space="0" w:color="auto"/>
        <w:right w:val="none" w:sz="0" w:space="0" w:color="auto"/>
      </w:divBdr>
    </w:div>
    <w:div w:id="1091119603">
      <w:bodyDiv w:val="1"/>
      <w:marLeft w:val="0"/>
      <w:marRight w:val="0"/>
      <w:marTop w:val="0"/>
      <w:marBottom w:val="0"/>
      <w:divBdr>
        <w:top w:val="none" w:sz="0" w:space="0" w:color="auto"/>
        <w:left w:val="none" w:sz="0" w:space="0" w:color="auto"/>
        <w:bottom w:val="none" w:sz="0" w:space="0" w:color="auto"/>
        <w:right w:val="none" w:sz="0" w:space="0" w:color="auto"/>
      </w:divBdr>
    </w:div>
    <w:div w:id="1091126067">
      <w:bodyDiv w:val="1"/>
      <w:marLeft w:val="0"/>
      <w:marRight w:val="0"/>
      <w:marTop w:val="0"/>
      <w:marBottom w:val="0"/>
      <w:divBdr>
        <w:top w:val="none" w:sz="0" w:space="0" w:color="auto"/>
        <w:left w:val="none" w:sz="0" w:space="0" w:color="auto"/>
        <w:bottom w:val="none" w:sz="0" w:space="0" w:color="auto"/>
        <w:right w:val="none" w:sz="0" w:space="0" w:color="auto"/>
      </w:divBdr>
    </w:div>
    <w:div w:id="1091196699">
      <w:bodyDiv w:val="1"/>
      <w:marLeft w:val="0"/>
      <w:marRight w:val="0"/>
      <w:marTop w:val="0"/>
      <w:marBottom w:val="0"/>
      <w:divBdr>
        <w:top w:val="none" w:sz="0" w:space="0" w:color="auto"/>
        <w:left w:val="none" w:sz="0" w:space="0" w:color="auto"/>
        <w:bottom w:val="none" w:sz="0" w:space="0" w:color="auto"/>
        <w:right w:val="none" w:sz="0" w:space="0" w:color="auto"/>
      </w:divBdr>
    </w:div>
    <w:div w:id="1091313694">
      <w:bodyDiv w:val="1"/>
      <w:marLeft w:val="0"/>
      <w:marRight w:val="0"/>
      <w:marTop w:val="0"/>
      <w:marBottom w:val="0"/>
      <w:divBdr>
        <w:top w:val="none" w:sz="0" w:space="0" w:color="auto"/>
        <w:left w:val="none" w:sz="0" w:space="0" w:color="auto"/>
        <w:bottom w:val="none" w:sz="0" w:space="0" w:color="auto"/>
        <w:right w:val="none" w:sz="0" w:space="0" w:color="auto"/>
      </w:divBdr>
    </w:div>
    <w:div w:id="1091315677">
      <w:bodyDiv w:val="1"/>
      <w:marLeft w:val="0"/>
      <w:marRight w:val="0"/>
      <w:marTop w:val="0"/>
      <w:marBottom w:val="0"/>
      <w:divBdr>
        <w:top w:val="none" w:sz="0" w:space="0" w:color="auto"/>
        <w:left w:val="none" w:sz="0" w:space="0" w:color="auto"/>
        <w:bottom w:val="none" w:sz="0" w:space="0" w:color="auto"/>
        <w:right w:val="none" w:sz="0" w:space="0" w:color="auto"/>
      </w:divBdr>
    </w:div>
    <w:div w:id="1091463676">
      <w:bodyDiv w:val="1"/>
      <w:marLeft w:val="0"/>
      <w:marRight w:val="0"/>
      <w:marTop w:val="0"/>
      <w:marBottom w:val="0"/>
      <w:divBdr>
        <w:top w:val="none" w:sz="0" w:space="0" w:color="auto"/>
        <w:left w:val="none" w:sz="0" w:space="0" w:color="auto"/>
        <w:bottom w:val="none" w:sz="0" w:space="0" w:color="auto"/>
        <w:right w:val="none" w:sz="0" w:space="0" w:color="auto"/>
      </w:divBdr>
    </w:div>
    <w:div w:id="1091583691">
      <w:bodyDiv w:val="1"/>
      <w:marLeft w:val="0"/>
      <w:marRight w:val="0"/>
      <w:marTop w:val="0"/>
      <w:marBottom w:val="0"/>
      <w:divBdr>
        <w:top w:val="none" w:sz="0" w:space="0" w:color="auto"/>
        <w:left w:val="none" w:sz="0" w:space="0" w:color="auto"/>
        <w:bottom w:val="none" w:sz="0" w:space="0" w:color="auto"/>
        <w:right w:val="none" w:sz="0" w:space="0" w:color="auto"/>
      </w:divBdr>
    </w:div>
    <w:div w:id="1091655719">
      <w:bodyDiv w:val="1"/>
      <w:marLeft w:val="0"/>
      <w:marRight w:val="0"/>
      <w:marTop w:val="0"/>
      <w:marBottom w:val="0"/>
      <w:divBdr>
        <w:top w:val="none" w:sz="0" w:space="0" w:color="auto"/>
        <w:left w:val="none" w:sz="0" w:space="0" w:color="auto"/>
        <w:bottom w:val="none" w:sz="0" w:space="0" w:color="auto"/>
        <w:right w:val="none" w:sz="0" w:space="0" w:color="auto"/>
      </w:divBdr>
    </w:div>
    <w:div w:id="1091662787">
      <w:bodyDiv w:val="1"/>
      <w:marLeft w:val="0"/>
      <w:marRight w:val="0"/>
      <w:marTop w:val="0"/>
      <w:marBottom w:val="0"/>
      <w:divBdr>
        <w:top w:val="none" w:sz="0" w:space="0" w:color="auto"/>
        <w:left w:val="none" w:sz="0" w:space="0" w:color="auto"/>
        <w:bottom w:val="none" w:sz="0" w:space="0" w:color="auto"/>
        <w:right w:val="none" w:sz="0" w:space="0" w:color="auto"/>
      </w:divBdr>
    </w:div>
    <w:div w:id="1091700817">
      <w:bodyDiv w:val="1"/>
      <w:marLeft w:val="0"/>
      <w:marRight w:val="0"/>
      <w:marTop w:val="0"/>
      <w:marBottom w:val="0"/>
      <w:divBdr>
        <w:top w:val="none" w:sz="0" w:space="0" w:color="auto"/>
        <w:left w:val="none" w:sz="0" w:space="0" w:color="auto"/>
        <w:bottom w:val="none" w:sz="0" w:space="0" w:color="auto"/>
        <w:right w:val="none" w:sz="0" w:space="0" w:color="auto"/>
      </w:divBdr>
    </w:div>
    <w:div w:id="1091968621">
      <w:bodyDiv w:val="1"/>
      <w:marLeft w:val="0"/>
      <w:marRight w:val="0"/>
      <w:marTop w:val="0"/>
      <w:marBottom w:val="0"/>
      <w:divBdr>
        <w:top w:val="none" w:sz="0" w:space="0" w:color="auto"/>
        <w:left w:val="none" w:sz="0" w:space="0" w:color="auto"/>
        <w:bottom w:val="none" w:sz="0" w:space="0" w:color="auto"/>
        <w:right w:val="none" w:sz="0" w:space="0" w:color="auto"/>
      </w:divBdr>
    </w:div>
    <w:div w:id="1092044017">
      <w:bodyDiv w:val="1"/>
      <w:marLeft w:val="0"/>
      <w:marRight w:val="0"/>
      <w:marTop w:val="0"/>
      <w:marBottom w:val="0"/>
      <w:divBdr>
        <w:top w:val="none" w:sz="0" w:space="0" w:color="auto"/>
        <w:left w:val="none" w:sz="0" w:space="0" w:color="auto"/>
        <w:bottom w:val="none" w:sz="0" w:space="0" w:color="auto"/>
        <w:right w:val="none" w:sz="0" w:space="0" w:color="auto"/>
      </w:divBdr>
    </w:div>
    <w:div w:id="1092048118">
      <w:bodyDiv w:val="1"/>
      <w:marLeft w:val="0"/>
      <w:marRight w:val="0"/>
      <w:marTop w:val="0"/>
      <w:marBottom w:val="0"/>
      <w:divBdr>
        <w:top w:val="none" w:sz="0" w:space="0" w:color="auto"/>
        <w:left w:val="none" w:sz="0" w:space="0" w:color="auto"/>
        <w:bottom w:val="none" w:sz="0" w:space="0" w:color="auto"/>
        <w:right w:val="none" w:sz="0" w:space="0" w:color="auto"/>
      </w:divBdr>
    </w:div>
    <w:div w:id="1092432075">
      <w:bodyDiv w:val="1"/>
      <w:marLeft w:val="0"/>
      <w:marRight w:val="0"/>
      <w:marTop w:val="0"/>
      <w:marBottom w:val="0"/>
      <w:divBdr>
        <w:top w:val="none" w:sz="0" w:space="0" w:color="auto"/>
        <w:left w:val="none" w:sz="0" w:space="0" w:color="auto"/>
        <w:bottom w:val="none" w:sz="0" w:space="0" w:color="auto"/>
        <w:right w:val="none" w:sz="0" w:space="0" w:color="auto"/>
      </w:divBdr>
    </w:div>
    <w:div w:id="1092432713">
      <w:bodyDiv w:val="1"/>
      <w:marLeft w:val="0"/>
      <w:marRight w:val="0"/>
      <w:marTop w:val="0"/>
      <w:marBottom w:val="0"/>
      <w:divBdr>
        <w:top w:val="none" w:sz="0" w:space="0" w:color="auto"/>
        <w:left w:val="none" w:sz="0" w:space="0" w:color="auto"/>
        <w:bottom w:val="none" w:sz="0" w:space="0" w:color="auto"/>
        <w:right w:val="none" w:sz="0" w:space="0" w:color="auto"/>
      </w:divBdr>
    </w:div>
    <w:div w:id="1092509103">
      <w:bodyDiv w:val="1"/>
      <w:marLeft w:val="0"/>
      <w:marRight w:val="0"/>
      <w:marTop w:val="0"/>
      <w:marBottom w:val="0"/>
      <w:divBdr>
        <w:top w:val="none" w:sz="0" w:space="0" w:color="auto"/>
        <w:left w:val="none" w:sz="0" w:space="0" w:color="auto"/>
        <w:bottom w:val="none" w:sz="0" w:space="0" w:color="auto"/>
        <w:right w:val="none" w:sz="0" w:space="0" w:color="auto"/>
      </w:divBdr>
    </w:div>
    <w:div w:id="1092509465">
      <w:bodyDiv w:val="1"/>
      <w:marLeft w:val="0"/>
      <w:marRight w:val="0"/>
      <w:marTop w:val="0"/>
      <w:marBottom w:val="0"/>
      <w:divBdr>
        <w:top w:val="none" w:sz="0" w:space="0" w:color="auto"/>
        <w:left w:val="none" w:sz="0" w:space="0" w:color="auto"/>
        <w:bottom w:val="none" w:sz="0" w:space="0" w:color="auto"/>
        <w:right w:val="none" w:sz="0" w:space="0" w:color="auto"/>
      </w:divBdr>
    </w:div>
    <w:div w:id="1092582012">
      <w:bodyDiv w:val="1"/>
      <w:marLeft w:val="0"/>
      <w:marRight w:val="0"/>
      <w:marTop w:val="0"/>
      <w:marBottom w:val="0"/>
      <w:divBdr>
        <w:top w:val="none" w:sz="0" w:space="0" w:color="auto"/>
        <w:left w:val="none" w:sz="0" w:space="0" w:color="auto"/>
        <w:bottom w:val="none" w:sz="0" w:space="0" w:color="auto"/>
        <w:right w:val="none" w:sz="0" w:space="0" w:color="auto"/>
      </w:divBdr>
    </w:div>
    <w:div w:id="1092626853">
      <w:bodyDiv w:val="1"/>
      <w:marLeft w:val="0"/>
      <w:marRight w:val="0"/>
      <w:marTop w:val="0"/>
      <w:marBottom w:val="0"/>
      <w:divBdr>
        <w:top w:val="none" w:sz="0" w:space="0" w:color="auto"/>
        <w:left w:val="none" w:sz="0" w:space="0" w:color="auto"/>
        <w:bottom w:val="none" w:sz="0" w:space="0" w:color="auto"/>
        <w:right w:val="none" w:sz="0" w:space="0" w:color="auto"/>
      </w:divBdr>
    </w:div>
    <w:div w:id="1092698187">
      <w:bodyDiv w:val="1"/>
      <w:marLeft w:val="0"/>
      <w:marRight w:val="0"/>
      <w:marTop w:val="0"/>
      <w:marBottom w:val="0"/>
      <w:divBdr>
        <w:top w:val="none" w:sz="0" w:space="0" w:color="auto"/>
        <w:left w:val="none" w:sz="0" w:space="0" w:color="auto"/>
        <w:bottom w:val="none" w:sz="0" w:space="0" w:color="auto"/>
        <w:right w:val="none" w:sz="0" w:space="0" w:color="auto"/>
      </w:divBdr>
    </w:div>
    <w:div w:id="1092748694">
      <w:bodyDiv w:val="1"/>
      <w:marLeft w:val="0"/>
      <w:marRight w:val="0"/>
      <w:marTop w:val="0"/>
      <w:marBottom w:val="0"/>
      <w:divBdr>
        <w:top w:val="none" w:sz="0" w:space="0" w:color="auto"/>
        <w:left w:val="none" w:sz="0" w:space="0" w:color="auto"/>
        <w:bottom w:val="none" w:sz="0" w:space="0" w:color="auto"/>
        <w:right w:val="none" w:sz="0" w:space="0" w:color="auto"/>
      </w:divBdr>
    </w:div>
    <w:div w:id="1092779184">
      <w:bodyDiv w:val="1"/>
      <w:marLeft w:val="0"/>
      <w:marRight w:val="0"/>
      <w:marTop w:val="0"/>
      <w:marBottom w:val="0"/>
      <w:divBdr>
        <w:top w:val="none" w:sz="0" w:space="0" w:color="auto"/>
        <w:left w:val="none" w:sz="0" w:space="0" w:color="auto"/>
        <w:bottom w:val="none" w:sz="0" w:space="0" w:color="auto"/>
        <w:right w:val="none" w:sz="0" w:space="0" w:color="auto"/>
      </w:divBdr>
    </w:div>
    <w:div w:id="1092899427">
      <w:bodyDiv w:val="1"/>
      <w:marLeft w:val="0"/>
      <w:marRight w:val="0"/>
      <w:marTop w:val="0"/>
      <w:marBottom w:val="0"/>
      <w:divBdr>
        <w:top w:val="none" w:sz="0" w:space="0" w:color="auto"/>
        <w:left w:val="none" w:sz="0" w:space="0" w:color="auto"/>
        <w:bottom w:val="none" w:sz="0" w:space="0" w:color="auto"/>
        <w:right w:val="none" w:sz="0" w:space="0" w:color="auto"/>
      </w:divBdr>
    </w:div>
    <w:div w:id="1092967942">
      <w:bodyDiv w:val="1"/>
      <w:marLeft w:val="0"/>
      <w:marRight w:val="0"/>
      <w:marTop w:val="0"/>
      <w:marBottom w:val="0"/>
      <w:divBdr>
        <w:top w:val="none" w:sz="0" w:space="0" w:color="auto"/>
        <w:left w:val="none" w:sz="0" w:space="0" w:color="auto"/>
        <w:bottom w:val="none" w:sz="0" w:space="0" w:color="auto"/>
        <w:right w:val="none" w:sz="0" w:space="0" w:color="auto"/>
      </w:divBdr>
    </w:div>
    <w:div w:id="1092972551">
      <w:bodyDiv w:val="1"/>
      <w:marLeft w:val="0"/>
      <w:marRight w:val="0"/>
      <w:marTop w:val="0"/>
      <w:marBottom w:val="0"/>
      <w:divBdr>
        <w:top w:val="none" w:sz="0" w:space="0" w:color="auto"/>
        <w:left w:val="none" w:sz="0" w:space="0" w:color="auto"/>
        <w:bottom w:val="none" w:sz="0" w:space="0" w:color="auto"/>
        <w:right w:val="none" w:sz="0" w:space="0" w:color="auto"/>
      </w:divBdr>
    </w:div>
    <w:div w:id="1093009788">
      <w:bodyDiv w:val="1"/>
      <w:marLeft w:val="0"/>
      <w:marRight w:val="0"/>
      <w:marTop w:val="0"/>
      <w:marBottom w:val="0"/>
      <w:divBdr>
        <w:top w:val="none" w:sz="0" w:space="0" w:color="auto"/>
        <w:left w:val="none" w:sz="0" w:space="0" w:color="auto"/>
        <w:bottom w:val="none" w:sz="0" w:space="0" w:color="auto"/>
        <w:right w:val="none" w:sz="0" w:space="0" w:color="auto"/>
      </w:divBdr>
    </w:div>
    <w:div w:id="1093167132">
      <w:bodyDiv w:val="1"/>
      <w:marLeft w:val="0"/>
      <w:marRight w:val="0"/>
      <w:marTop w:val="0"/>
      <w:marBottom w:val="0"/>
      <w:divBdr>
        <w:top w:val="none" w:sz="0" w:space="0" w:color="auto"/>
        <w:left w:val="none" w:sz="0" w:space="0" w:color="auto"/>
        <w:bottom w:val="none" w:sz="0" w:space="0" w:color="auto"/>
        <w:right w:val="none" w:sz="0" w:space="0" w:color="auto"/>
      </w:divBdr>
    </w:div>
    <w:div w:id="1093235342">
      <w:bodyDiv w:val="1"/>
      <w:marLeft w:val="0"/>
      <w:marRight w:val="0"/>
      <w:marTop w:val="0"/>
      <w:marBottom w:val="0"/>
      <w:divBdr>
        <w:top w:val="none" w:sz="0" w:space="0" w:color="auto"/>
        <w:left w:val="none" w:sz="0" w:space="0" w:color="auto"/>
        <w:bottom w:val="none" w:sz="0" w:space="0" w:color="auto"/>
        <w:right w:val="none" w:sz="0" w:space="0" w:color="auto"/>
      </w:divBdr>
    </w:div>
    <w:div w:id="1093281235">
      <w:bodyDiv w:val="1"/>
      <w:marLeft w:val="0"/>
      <w:marRight w:val="0"/>
      <w:marTop w:val="0"/>
      <w:marBottom w:val="0"/>
      <w:divBdr>
        <w:top w:val="none" w:sz="0" w:space="0" w:color="auto"/>
        <w:left w:val="none" w:sz="0" w:space="0" w:color="auto"/>
        <w:bottom w:val="none" w:sz="0" w:space="0" w:color="auto"/>
        <w:right w:val="none" w:sz="0" w:space="0" w:color="auto"/>
      </w:divBdr>
    </w:div>
    <w:div w:id="1093283960">
      <w:bodyDiv w:val="1"/>
      <w:marLeft w:val="0"/>
      <w:marRight w:val="0"/>
      <w:marTop w:val="0"/>
      <w:marBottom w:val="0"/>
      <w:divBdr>
        <w:top w:val="none" w:sz="0" w:space="0" w:color="auto"/>
        <w:left w:val="none" w:sz="0" w:space="0" w:color="auto"/>
        <w:bottom w:val="none" w:sz="0" w:space="0" w:color="auto"/>
        <w:right w:val="none" w:sz="0" w:space="0" w:color="auto"/>
      </w:divBdr>
    </w:div>
    <w:div w:id="1093284868">
      <w:bodyDiv w:val="1"/>
      <w:marLeft w:val="0"/>
      <w:marRight w:val="0"/>
      <w:marTop w:val="0"/>
      <w:marBottom w:val="0"/>
      <w:divBdr>
        <w:top w:val="none" w:sz="0" w:space="0" w:color="auto"/>
        <w:left w:val="none" w:sz="0" w:space="0" w:color="auto"/>
        <w:bottom w:val="none" w:sz="0" w:space="0" w:color="auto"/>
        <w:right w:val="none" w:sz="0" w:space="0" w:color="auto"/>
      </w:divBdr>
    </w:div>
    <w:div w:id="1093359349">
      <w:bodyDiv w:val="1"/>
      <w:marLeft w:val="0"/>
      <w:marRight w:val="0"/>
      <w:marTop w:val="0"/>
      <w:marBottom w:val="0"/>
      <w:divBdr>
        <w:top w:val="none" w:sz="0" w:space="0" w:color="auto"/>
        <w:left w:val="none" w:sz="0" w:space="0" w:color="auto"/>
        <w:bottom w:val="none" w:sz="0" w:space="0" w:color="auto"/>
        <w:right w:val="none" w:sz="0" w:space="0" w:color="auto"/>
      </w:divBdr>
    </w:div>
    <w:div w:id="1093473258">
      <w:bodyDiv w:val="1"/>
      <w:marLeft w:val="0"/>
      <w:marRight w:val="0"/>
      <w:marTop w:val="0"/>
      <w:marBottom w:val="0"/>
      <w:divBdr>
        <w:top w:val="none" w:sz="0" w:space="0" w:color="auto"/>
        <w:left w:val="none" w:sz="0" w:space="0" w:color="auto"/>
        <w:bottom w:val="none" w:sz="0" w:space="0" w:color="auto"/>
        <w:right w:val="none" w:sz="0" w:space="0" w:color="auto"/>
      </w:divBdr>
    </w:div>
    <w:div w:id="1093473707">
      <w:bodyDiv w:val="1"/>
      <w:marLeft w:val="0"/>
      <w:marRight w:val="0"/>
      <w:marTop w:val="0"/>
      <w:marBottom w:val="0"/>
      <w:divBdr>
        <w:top w:val="none" w:sz="0" w:space="0" w:color="auto"/>
        <w:left w:val="none" w:sz="0" w:space="0" w:color="auto"/>
        <w:bottom w:val="none" w:sz="0" w:space="0" w:color="auto"/>
        <w:right w:val="none" w:sz="0" w:space="0" w:color="auto"/>
      </w:divBdr>
    </w:div>
    <w:div w:id="1093546678">
      <w:bodyDiv w:val="1"/>
      <w:marLeft w:val="0"/>
      <w:marRight w:val="0"/>
      <w:marTop w:val="0"/>
      <w:marBottom w:val="0"/>
      <w:divBdr>
        <w:top w:val="none" w:sz="0" w:space="0" w:color="auto"/>
        <w:left w:val="none" w:sz="0" w:space="0" w:color="auto"/>
        <w:bottom w:val="none" w:sz="0" w:space="0" w:color="auto"/>
        <w:right w:val="none" w:sz="0" w:space="0" w:color="auto"/>
      </w:divBdr>
    </w:div>
    <w:div w:id="1093668180">
      <w:bodyDiv w:val="1"/>
      <w:marLeft w:val="0"/>
      <w:marRight w:val="0"/>
      <w:marTop w:val="0"/>
      <w:marBottom w:val="0"/>
      <w:divBdr>
        <w:top w:val="none" w:sz="0" w:space="0" w:color="auto"/>
        <w:left w:val="none" w:sz="0" w:space="0" w:color="auto"/>
        <w:bottom w:val="none" w:sz="0" w:space="0" w:color="auto"/>
        <w:right w:val="none" w:sz="0" w:space="0" w:color="auto"/>
      </w:divBdr>
    </w:div>
    <w:div w:id="1093744688">
      <w:bodyDiv w:val="1"/>
      <w:marLeft w:val="0"/>
      <w:marRight w:val="0"/>
      <w:marTop w:val="0"/>
      <w:marBottom w:val="0"/>
      <w:divBdr>
        <w:top w:val="none" w:sz="0" w:space="0" w:color="auto"/>
        <w:left w:val="none" w:sz="0" w:space="0" w:color="auto"/>
        <w:bottom w:val="none" w:sz="0" w:space="0" w:color="auto"/>
        <w:right w:val="none" w:sz="0" w:space="0" w:color="auto"/>
      </w:divBdr>
    </w:div>
    <w:div w:id="1093823784">
      <w:bodyDiv w:val="1"/>
      <w:marLeft w:val="0"/>
      <w:marRight w:val="0"/>
      <w:marTop w:val="0"/>
      <w:marBottom w:val="0"/>
      <w:divBdr>
        <w:top w:val="none" w:sz="0" w:space="0" w:color="auto"/>
        <w:left w:val="none" w:sz="0" w:space="0" w:color="auto"/>
        <w:bottom w:val="none" w:sz="0" w:space="0" w:color="auto"/>
        <w:right w:val="none" w:sz="0" w:space="0" w:color="auto"/>
      </w:divBdr>
    </w:div>
    <w:div w:id="1093942301">
      <w:bodyDiv w:val="1"/>
      <w:marLeft w:val="0"/>
      <w:marRight w:val="0"/>
      <w:marTop w:val="0"/>
      <w:marBottom w:val="0"/>
      <w:divBdr>
        <w:top w:val="none" w:sz="0" w:space="0" w:color="auto"/>
        <w:left w:val="none" w:sz="0" w:space="0" w:color="auto"/>
        <w:bottom w:val="none" w:sz="0" w:space="0" w:color="auto"/>
        <w:right w:val="none" w:sz="0" w:space="0" w:color="auto"/>
      </w:divBdr>
    </w:div>
    <w:div w:id="1094009455">
      <w:bodyDiv w:val="1"/>
      <w:marLeft w:val="0"/>
      <w:marRight w:val="0"/>
      <w:marTop w:val="0"/>
      <w:marBottom w:val="0"/>
      <w:divBdr>
        <w:top w:val="none" w:sz="0" w:space="0" w:color="auto"/>
        <w:left w:val="none" w:sz="0" w:space="0" w:color="auto"/>
        <w:bottom w:val="none" w:sz="0" w:space="0" w:color="auto"/>
        <w:right w:val="none" w:sz="0" w:space="0" w:color="auto"/>
      </w:divBdr>
    </w:div>
    <w:div w:id="1094084873">
      <w:bodyDiv w:val="1"/>
      <w:marLeft w:val="0"/>
      <w:marRight w:val="0"/>
      <w:marTop w:val="0"/>
      <w:marBottom w:val="0"/>
      <w:divBdr>
        <w:top w:val="none" w:sz="0" w:space="0" w:color="auto"/>
        <w:left w:val="none" w:sz="0" w:space="0" w:color="auto"/>
        <w:bottom w:val="none" w:sz="0" w:space="0" w:color="auto"/>
        <w:right w:val="none" w:sz="0" w:space="0" w:color="auto"/>
      </w:divBdr>
    </w:div>
    <w:div w:id="1094277581">
      <w:bodyDiv w:val="1"/>
      <w:marLeft w:val="0"/>
      <w:marRight w:val="0"/>
      <w:marTop w:val="0"/>
      <w:marBottom w:val="0"/>
      <w:divBdr>
        <w:top w:val="none" w:sz="0" w:space="0" w:color="auto"/>
        <w:left w:val="none" w:sz="0" w:space="0" w:color="auto"/>
        <w:bottom w:val="none" w:sz="0" w:space="0" w:color="auto"/>
        <w:right w:val="none" w:sz="0" w:space="0" w:color="auto"/>
      </w:divBdr>
    </w:div>
    <w:div w:id="1094713451">
      <w:bodyDiv w:val="1"/>
      <w:marLeft w:val="0"/>
      <w:marRight w:val="0"/>
      <w:marTop w:val="0"/>
      <w:marBottom w:val="0"/>
      <w:divBdr>
        <w:top w:val="none" w:sz="0" w:space="0" w:color="auto"/>
        <w:left w:val="none" w:sz="0" w:space="0" w:color="auto"/>
        <w:bottom w:val="none" w:sz="0" w:space="0" w:color="auto"/>
        <w:right w:val="none" w:sz="0" w:space="0" w:color="auto"/>
      </w:divBdr>
    </w:div>
    <w:div w:id="1094788524">
      <w:bodyDiv w:val="1"/>
      <w:marLeft w:val="0"/>
      <w:marRight w:val="0"/>
      <w:marTop w:val="0"/>
      <w:marBottom w:val="0"/>
      <w:divBdr>
        <w:top w:val="none" w:sz="0" w:space="0" w:color="auto"/>
        <w:left w:val="none" w:sz="0" w:space="0" w:color="auto"/>
        <w:bottom w:val="none" w:sz="0" w:space="0" w:color="auto"/>
        <w:right w:val="none" w:sz="0" w:space="0" w:color="auto"/>
      </w:divBdr>
    </w:div>
    <w:div w:id="1094858607">
      <w:bodyDiv w:val="1"/>
      <w:marLeft w:val="0"/>
      <w:marRight w:val="0"/>
      <w:marTop w:val="0"/>
      <w:marBottom w:val="0"/>
      <w:divBdr>
        <w:top w:val="none" w:sz="0" w:space="0" w:color="auto"/>
        <w:left w:val="none" w:sz="0" w:space="0" w:color="auto"/>
        <w:bottom w:val="none" w:sz="0" w:space="0" w:color="auto"/>
        <w:right w:val="none" w:sz="0" w:space="0" w:color="auto"/>
      </w:divBdr>
    </w:div>
    <w:div w:id="1094937692">
      <w:bodyDiv w:val="1"/>
      <w:marLeft w:val="0"/>
      <w:marRight w:val="0"/>
      <w:marTop w:val="0"/>
      <w:marBottom w:val="0"/>
      <w:divBdr>
        <w:top w:val="none" w:sz="0" w:space="0" w:color="auto"/>
        <w:left w:val="none" w:sz="0" w:space="0" w:color="auto"/>
        <w:bottom w:val="none" w:sz="0" w:space="0" w:color="auto"/>
        <w:right w:val="none" w:sz="0" w:space="0" w:color="auto"/>
      </w:divBdr>
    </w:div>
    <w:div w:id="1094940286">
      <w:bodyDiv w:val="1"/>
      <w:marLeft w:val="0"/>
      <w:marRight w:val="0"/>
      <w:marTop w:val="0"/>
      <w:marBottom w:val="0"/>
      <w:divBdr>
        <w:top w:val="none" w:sz="0" w:space="0" w:color="auto"/>
        <w:left w:val="none" w:sz="0" w:space="0" w:color="auto"/>
        <w:bottom w:val="none" w:sz="0" w:space="0" w:color="auto"/>
        <w:right w:val="none" w:sz="0" w:space="0" w:color="auto"/>
      </w:divBdr>
    </w:div>
    <w:div w:id="1094941379">
      <w:bodyDiv w:val="1"/>
      <w:marLeft w:val="0"/>
      <w:marRight w:val="0"/>
      <w:marTop w:val="0"/>
      <w:marBottom w:val="0"/>
      <w:divBdr>
        <w:top w:val="none" w:sz="0" w:space="0" w:color="auto"/>
        <w:left w:val="none" w:sz="0" w:space="0" w:color="auto"/>
        <w:bottom w:val="none" w:sz="0" w:space="0" w:color="auto"/>
        <w:right w:val="none" w:sz="0" w:space="0" w:color="auto"/>
      </w:divBdr>
    </w:div>
    <w:div w:id="1094941734">
      <w:bodyDiv w:val="1"/>
      <w:marLeft w:val="0"/>
      <w:marRight w:val="0"/>
      <w:marTop w:val="0"/>
      <w:marBottom w:val="0"/>
      <w:divBdr>
        <w:top w:val="none" w:sz="0" w:space="0" w:color="auto"/>
        <w:left w:val="none" w:sz="0" w:space="0" w:color="auto"/>
        <w:bottom w:val="none" w:sz="0" w:space="0" w:color="auto"/>
        <w:right w:val="none" w:sz="0" w:space="0" w:color="auto"/>
      </w:divBdr>
    </w:div>
    <w:div w:id="1094977184">
      <w:bodyDiv w:val="1"/>
      <w:marLeft w:val="0"/>
      <w:marRight w:val="0"/>
      <w:marTop w:val="0"/>
      <w:marBottom w:val="0"/>
      <w:divBdr>
        <w:top w:val="none" w:sz="0" w:space="0" w:color="auto"/>
        <w:left w:val="none" w:sz="0" w:space="0" w:color="auto"/>
        <w:bottom w:val="none" w:sz="0" w:space="0" w:color="auto"/>
        <w:right w:val="none" w:sz="0" w:space="0" w:color="auto"/>
      </w:divBdr>
    </w:div>
    <w:div w:id="1095247848">
      <w:bodyDiv w:val="1"/>
      <w:marLeft w:val="0"/>
      <w:marRight w:val="0"/>
      <w:marTop w:val="0"/>
      <w:marBottom w:val="0"/>
      <w:divBdr>
        <w:top w:val="none" w:sz="0" w:space="0" w:color="auto"/>
        <w:left w:val="none" w:sz="0" w:space="0" w:color="auto"/>
        <w:bottom w:val="none" w:sz="0" w:space="0" w:color="auto"/>
        <w:right w:val="none" w:sz="0" w:space="0" w:color="auto"/>
      </w:divBdr>
    </w:div>
    <w:div w:id="1095251662">
      <w:bodyDiv w:val="1"/>
      <w:marLeft w:val="0"/>
      <w:marRight w:val="0"/>
      <w:marTop w:val="0"/>
      <w:marBottom w:val="0"/>
      <w:divBdr>
        <w:top w:val="none" w:sz="0" w:space="0" w:color="auto"/>
        <w:left w:val="none" w:sz="0" w:space="0" w:color="auto"/>
        <w:bottom w:val="none" w:sz="0" w:space="0" w:color="auto"/>
        <w:right w:val="none" w:sz="0" w:space="0" w:color="auto"/>
      </w:divBdr>
    </w:div>
    <w:div w:id="1095322788">
      <w:bodyDiv w:val="1"/>
      <w:marLeft w:val="0"/>
      <w:marRight w:val="0"/>
      <w:marTop w:val="0"/>
      <w:marBottom w:val="0"/>
      <w:divBdr>
        <w:top w:val="none" w:sz="0" w:space="0" w:color="auto"/>
        <w:left w:val="none" w:sz="0" w:space="0" w:color="auto"/>
        <w:bottom w:val="none" w:sz="0" w:space="0" w:color="auto"/>
        <w:right w:val="none" w:sz="0" w:space="0" w:color="auto"/>
      </w:divBdr>
    </w:div>
    <w:div w:id="1095438790">
      <w:bodyDiv w:val="1"/>
      <w:marLeft w:val="0"/>
      <w:marRight w:val="0"/>
      <w:marTop w:val="0"/>
      <w:marBottom w:val="0"/>
      <w:divBdr>
        <w:top w:val="none" w:sz="0" w:space="0" w:color="auto"/>
        <w:left w:val="none" w:sz="0" w:space="0" w:color="auto"/>
        <w:bottom w:val="none" w:sz="0" w:space="0" w:color="auto"/>
        <w:right w:val="none" w:sz="0" w:space="0" w:color="auto"/>
      </w:divBdr>
    </w:div>
    <w:div w:id="1095511954">
      <w:bodyDiv w:val="1"/>
      <w:marLeft w:val="0"/>
      <w:marRight w:val="0"/>
      <w:marTop w:val="0"/>
      <w:marBottom w:val="0"/>
      <w:divBdr>
        <w:top w:val="none" w:sz="0" w:space="0" w:color="auto"/>
        <w:left w:val="none" w:sz="0" w:space="0" w:color="auto"/>
        <w:bottom w:val="none" w:sz="0" w:space="0" w:color="auto"/>
        <w:right w:val="none" w:sz="0" w:space="0" w:color="auto"/>
      </w:divBdr>
    </w:div>
    <w:div w:id="1095520336">
      <w:bodyDiv w:val="1"/>
      <w:marLeft w:val="0"/>
      <w:marRight w:val="0"/>
      <w:marTop w:val="0"/>
      <w:marBottom w:val="0"/>
      <w:divBdr>
        <w:top w:val="none" w:sz="0" w:space="0" w:color="auto"/>
        <w:left w:val="none" w:sz="0" w:space="0" w:color="auto"/>
        <w:bottom w:val="none" w:sz="0" w:space="0" w:color="auto"/>
        <w:right w:val="none" w:sz="0" w:space="0" w:color="auto"/>
      </w:divBdr>
    </w:div>
    <w:div w:id="1095590948">
      <w:bodyDiv w:val="1"/>
      <w:marLeft w:val="0"/>
      <w:marRight w:val="0"/>
      <w:marTop w:val="0"/>
      <w:marBottom w:val="0"/>
      <w:divBdr>
        <w:top w:val="none" w:sz="0" w:space="0" w:color="auto"/>
        <w:left w:val="none" w:sz="0" w:space="0" w:color="auto"/>
        <w:bottom w:val="none" w:sz="0" w:space="0" w:color="auto"/>
        <w:right w:val="none" w:sz="0" w:space="0" w:color="auto"/>
      </w:divBdr>
    </w:div>
    <w:div w:id="1095709536">
      <w:bodyDiv w:val="1"/>
      <w:marLeft w:val="0"/>
      <w:marRight w:val="0"/>
      <w:marTop w:val="0"/>
      <w:marBottom w:val="0"/>
      <w:divBdr>
        <w:top w:val="none" w:sz="0" w:space="0" w:color="auto"/>
        <w:left w:val="none" w:sz="0" w:space="0" w:color="auto"/>
        <w:bottom w:val="none" w:sz="0" w:space="0" w:color="auto"/>
        <w:right w:val="none" w:sz="0" w:space="0" w:color="auto"/>
      </w:divBdr>
    </w:div>
    <w:div w:id="1095712345">
      <w:bodyDiv w:val="1"/>
      <w:marLeft w:val="0"/>
      <w:marRight w:val="0"/>
      <w:marTop w:val="0"/>
      <w:marBottom w:val="0"/>
      <w:divBdr>
        <w:top w:val="none" w:sz="0" w:space="0" w:color="auto"/>
        <w:left w:val="none" w:sz="0" w:space="0" w:color="auto"/>
        <w:bottom w:val="none" w:sz="0" w:space="0" w:color="auto"/>
        <w:right w:val="none" w:sz="0" w:space="0" w:color="auto"/>
      </w:divBdr>
    </w:div>
    <w:div w:id="1095780586">
      <w:bodyDiv w:val="1"/>
      <w:marLeft w:val="0"/>
      <w:marRight w:val="0"/>
      <w:marTop w:val="0"/>
      <w:marBottom w:val="0"/>
      <w:divBdr>
        <w:top w:val="none" w:sz="0" w:space="0" w:color="auto"/>
        <w:left w:val="none" w:sz="0" w:space="0" w:color="auto"/>
        <w:bottom w:val="none" w:sz="0" w:space="0" w:color="auto"/>
        <w:right w:val="none" w:sz="0" w:space="0" w:color="auto"/>
      </w:divBdr>
    </w:div>
    <w:div w:id="1095828002">
      <w:bodyDiv w:val="1"/>
      <w:marLeft w:val="0"/>
      <w:marRight w:val="0"/>
      <w:marTop w:val="0"/>
      <w:marBottom w:val="0"/>
      <w:divBdr>
        <w:top w:val="none" w:sz="0" w:space="0" w:color="auto"/>
        <w:left w:val="none" w:sz="0" w:space="0" w:color="auto"/>
        <w:bottom w:val="none" w:sz="0" w:space="0" w:color="auto"/>
        <w:right w:val="none" w:sz="0" w:space="0" w:color="auto"/>
      </w:divBdr>
    </w:div>
    <w:div w:id="1095857223">
      <w:bodyDiv w:val="1"/>
      <w:marLeft w:val="0"/>
      <w:marRight w:val="0"/>
      <w:marTop w:val="0"/>
      <w:marBottom w:val="0"/>
      <w:divBdr>
        <w:top w:val="none" w:sz="0" w:space="0" w:color="auto"/>
        <w:left w:val="none" w:sz="0" w:space="0" w:color="auto"/>
        <w:bottom w:val="none" w:sz="0" w:space="0" w:color="auto"/>
        <w:right w:val="none" w:sz="0" w:space="0" w:color="auto"/>
      </w:divBdr>
    </w:div>
    <w:div w:id="1095899410">
      <w:bodyDiv w:val="1"/>
      <w:marLeft w:val="0"/>
      <w:marRight w:val="0"/>
      <w:marTop w:val="0"/>
      <w:marBottom w:val="0"/>
      <w:divBdr>
        <w:top w:val="none" w:sz="0" w:space="0" w:color="auto"/>
        <w:left w:val="none" w:sz="0" w:space="0" w:color="auto"/>
        <w:bottom w:val="none" w:sz="0" w:space="0" w:color="auto"/>
        <w:right w:val="none" w:sz="0" w:space="0" w:color="auto"/>
      </w:divBdr>
    </w:div>
    <w:div w:id="1095974122">
      <w:bodyDiv w:val="1"/>
      <w:marLeft w:val="0"/>
      <w:marRight w:val="0"/>
      <w:marTop w:val="0"/>
      <w:marBottom w:val="0"/>
      <w:divBdr>
        <w:top w:val="none" w:sz="0" w:space="0" w:color="auto"/>
        <w:left w:val="none" w:sz="0" w:space="0" w:color="auto"/>
        <w:bottom w:val="none" w:sz="0" w:space="0" w:color="auto"/>
        <w:right w:val="none" w:sz="0" w:space="0" w:color="auto"/>
      </w:divBdr>
    </w:div>
    <w:div w:id="1095979856">
      <w:bodyDiv w:val="1"/>
      <w:marLeft w:val="0"/>
      <w:marRight w:val="0"/>
      <w:marTop w:val="0"/>
      <w:marBottom w:val="0"/>
      <w:divBdr>
        <w:top w:val="none" w:sz="0" w:space="0" w:color="auto"/>
        <w:left w:val="none" w:sz="0" w:space="0" w:color="auto"/>
        <w:bottom w:val="none" w:sz="0" w:space="0" w:color="auto"/>
        <w:right w:val="none" w:sz="0" w:space="0" w:color="auto"/>
      </w:divBdr>
    </w:div>
    <w:div w:id="1096093629">
      <w:bodyDiv w:val="1"/>
      <w:marLeft w:val="0"/>
      <w:marRight w:val="0"/>
      <w:marTop w:val="0"/>
      <w:marBottom w:val="0"/>
      <w:divBdr>
        <w:top w:val="none" w:sz="0" w:space="0" w:color="auto"/>
        <w:left w:val="none" w:sz="0" w:space="0" w:color="auto"/>
        <w:bottom w:val="none" w:sz="0" w:space="0" w:color="auto"/>
        <w:right w:val="none" w:sz="0" w:space="0" w:color="auto"/>
      </w:divBdr>
    </w:div>
    <w:div w:id="1096174608">
      <w:bodyDiv w:val="1"/>
      <w:marLeft w:val="0"/>
      <w:marRight w:val="0"/>
      <w:marTop w:val="0"/>
      <w:marBottom w:val="0"/>
      <w:divBdr>
        <w:top w:val="none" w:sz="0" w:space="0" w:color="auto"/>
        <w:left w:val="none" w:sz="0" w:space="0" w:color="auto"/>
        <w:bottom w:val="none" w:sz="0" w:space="0" w:color="auto"/>
        <w:right w:val="none" w:sz="0" w:space="0" w:color="auto"/>
      </w:divBdr>
    </w:div>
    <w:div w:id="1096632970">
      <w:bodyDiv w:val="1"/>
      <w:marLeft w:val="0"/>
      <w:marRight w:val="0"/>
      <w:marTop w:val="0"/>
      <w:marBottom w:val="0"/>
      <w:divBdr>
        <w:top w:val="none" w:sz="0" w:space="0" w:color="auto"/>
        <w:left w:val="none" w:sz="0" w:space="0" w:color="auto"/>
        <w:bottom w:val="none" w:sz="0" w:space="0" w:color="auto"/>
        <w:right w:val="none" w:sz="0" w:space="0" w:color="auto"/>
      </w:divBdr>
    </w:div>
    <w:div w:id="1096708455">
      <w:bodyDiv w:val="1"/>
      <w:marLeft w:val="0"/>
      <w:marRight w:val="0"/>
      <w:marTop w:val="0"/>
      <w:marBottom w:val="0"/>
      <w:divBdr>
        <w:top w:val="none" w:sz="0" w:space="0" w:color="auto"/>
        <w:left w:val="none" w:sz="0" w:space="0" w:color="auto"/>
        <w:bottom w:val="none" w:sz="0" w:space="0" w:color="auto"/>
        <w:right w:val="none" w:sz="0" w:space="0" w:color="auto"/>
      </w:divBdr>
    </w:div>
    <w:div w:id="1096708933">
      <w:bodyDiv w:val="1"/>
      <w:marLeft w:val="0"/>
      <w:marRight w:val="0"/>
      <w:marTop w:val="0"/>
      <w:marBottom w:val="0"/>
      <w:divBdr>
        <w:top w:val="none" w:sz="0" w:space="0" w:color="auto"/>
        <w:left w:val="none" w:sz="0" w:space="0" w:color="auto"/>
        <w:bottom w:val="none" w:sz="0" w:space="0" w:color="auto"/>
        <w:right w:val="none" w:sz="0" w:space="0" w:color="auto"/>
      </w:divBdr>
    </w:div>
    <w:div w:id="1096747384">
      <w:bodyDiv w:val="1"/>
      <w:marLeft w:val="0"/>
      <w:marRight w:val="0"/>
      <w:marTop w:val="0"/>
      <w:marBottom w:val="0"/>
      <w:divBdr>
        <w:top w:val="none" w:sz="0" w:space="0" w:color="auto"/>
        <w:left w:val="none" w:sz="0" w:space="0" w:color="auto"/>
        <w:bottom w:val="none" w:sz="0" w:space="0" w:color="auto"/>
        <w:right w:val="none" w:sz="0" w:space="0" w:color="auto"/>
      </w:divBdr>
    </w:div>
    <w:div w:id="1096752281">
      <w:bodyDiv w:val="1"/>
      <w:marLeft w:val="0"/>
      <w:marRight w:val="0"/>
      <w:marTop w:val="0"/>
      <w:marBottom w:val="0"/>
      <w:divBdr>
        <w:top w:val="none" w:sz="0" w:space="0" w:color="auto"/>
        <w:left w:val="none" w:sz="0" w:space="0" w:color="auto"/>
        <w:bottom w:val="none" w:sz="0" w:space="0" w:color="auto"/>
        <w:right w:val="none" w:sz="0" w:space="0" w:color="auto"/>
      </w:divBdr>
    </w:div>
    <w:div w:id="1096949034">
      <w:bodyDiv w:val="1"/>
      <w:marLeft w:val="0"/>
      <w:marRight w:val="0"/>
      <w:marTop w:val="0"/>
      <w:marBottom w:val="0"/>
      <w:divBdr>
        <w:top w:val="none" w:sz="0" w:space="0" w:color="auto"/>
        <w:left w:val="none" w:sz="0" w:space="0" w:color="auto"/>
        <w:bottom w:val="none" w:sz="0" w:space="0" w:color="auto"/>
        <w:right w:val="none" w:sz="0" w:space="0" w:color="auto"/>
      </w:divBdr>
    </w:div>
    <w:div w:id="1097091407">
      <w:bodyDiv w:val="1"/>
      <w:marLeft w:val="0"/>
      <w:marRight w:val="0"/>
      <w:marTop w:val="0"/>
      <w:marBottom w:val="0"/>
      <w:divBdr>
        <w:top w:val="none" w:sz="0" w:space="0" w:color="auto"/>
        <w:left w:val="none" w:sz="0" w:space="0" w:color="auto"/>
        <w:bottom w:val="none" w:sz="0" w:space="0" w:color="auto"/>
        <w:right w:val="none" w:sz="0" w:space="0" w:color="auto"/>
      </w:divBdr>
    </w:div>
    <w:div w:id="1097217564">
      <w:bodyDiv w:val="1"/>
      <w:marLeft w:val="0"/>
      <w:marRight w:val="0"/>
      <w:marTop w:val="0"/>
      <w:marBottom w:val="0"/>
      <w:divBdr>
        <w:top w:val="none" w:sz="0" w:space="0" w:color="auto"/>
        <w:left w:val="none" w:sz="0" w:space="0" w:color="auto"/>
        <w:bottom w:val="none" w:sz="0" w:space="0" w:color="auto"/>
        <w:right w:val="none" w:sz="0" w:space="0" w:color="auto"/>
      </w:divBdr>
    </w:div>
    <w:div w:id="1097361873">
      <w:bodyDiv w:val="1"/>
      <w:marLeft w:val="0"/>
      <w:marRight w:val="0"/>
      <w:marTop w:val="0"/>
      <w:marBottom w:val="0"/>
      <w:divBdr>
        <w:top w:val="none" w:sz="0" w:space="0" w:color="auto"/>
        <w:left w:val="none" w:sz="0" w:space="0" w:color="auto"/>
        <w:bottom w:val="none" w:sz="0" w:space="0" w:color="auto"/>
        <w:right w:val="none" w:sz="0" w:space="0" w:color="auto"/>
      </w:divBdr>
    </w:div>
    <w:div w:id="1097481781">
      <w:bodyDiv w:val="1"/>
      <w:marLeft w:val="0"/>
      <w:marRight w:val="0"/>
      <w:marTop w:val="0"/>
      <w:marBottom w:val="0"/>
      <w:divBdr>
        <w:top w:val="none" w:sz="0" w:space="0" w:color="auto"/>
        <w:left w:val="none" w:sz="0" w:space="0" w:color="auto"/>
        <w:bottom w:val="none" w:sz="0" w:space="0" w:color="auto"/>
        <w:right w:val="none" w:sz="0" w:space="0" w:color="auto"/>
      </w:divBdr>
    </w:div>
    <w:div w:id="1097748136">
      <w:bodyDiv w:val="1"/>
      <w:marLeft w:val="0"/>
      <w:marRight w:val="0"/>
      <w:marTop w:val="0"/>
      <w:marBottom w:val="0"/>
      <w:divBdr>
        <w:top w:val="none" w:sz="0" w:space="0" w:color="auto"/>
        <w:left w:val="none" w:sz="0" w:space="0" w:color="auto"/>
        <w:bottom w:val="none" w:sz="0" w:space="0" w:color="auto"/>
        <w:right w:val="none" w:sz="0" w:space="0" w:color="auto"/>
      </w:divBdr>
    </w:div>
    <w:div w:id="1097795494">
      <w:bodyDiv w:val="1"/>
      <w:marLeft w:val="0"/>
      <w:marRight w:val="0"/>
      <w:marTop w:val="0"/>
      <w:marBottom w:val="0"/>
      <w:divBdr>
        <w:top w:val="none" w:sz="0" w:space="0" w:color="auto"/>
        <w:left w:val="none" w:sz="0" w:space="0" w:color="auto"/>
        <w:bottom w:val="none" w:sz="0" w:space="0" w:color="auto"/>
        <w:right w:val="none" w:sz="0" w:space="0" w:color="auto"/>
      </w:divBdr>
    </w:div>
    <w:div w:id="1097870842">
      <w:bodyDiv w:val="1"/>
      <w:marLeft w:val="0"/>
      <w:marRight w:val="0"/>
      <w:marTop w:val="0"/>
      <w:marBottom w:val="0"/>
      <w:divBdr>
        <w:top w:val="none" w:sz="0" w:space="0" w:color="auto"/>
        <w:left w:val="none" w:sz="0" w:space="0" w:color="auto"/>
        <w:bottom w:val="none" w:sz="0" w:space="0" w:color="auto"/>
        <w:right w:val="none" w:sz="0" w:space="0" w:color="auto"/>
      </w:divBdr>
    </w:div>
    <w:div w:id="1097873949">
      <w:bodyDiv w:val="1"/>
      <w:marLeft w:val="0"/>
      <w:marRight w:val="0"/>
      <w:marTop w:val="0"/>
      <w:marBottom w:val="0"/>
      <w:divBdr>
        <w:top w:val="none" w:sz="0" w:space="0" w:color="auto"/>
        <w:left w:val="none" w:sz="0" w:space="0" w:color="auto"/>
        <w:bottom w:val="none" w:sz="0" w:space="0" w:color="auto"/>
        <w:right w:val="none" w:sz="0" w:space="0" w:color="auto"/>
      </w:divBdr>
    </w:div>
    <w:div w:id="1097942849">
      <w:bodyDiv w:val="1"/>
      <w:marLeft w:val="0"/>
      <w:marRight w:val="0"/>
      <w:marTop w:val="0"/>
      <w:marBottom w:val="0"/>
      <w:divBdr>
        <w:top w:val="none" w:sz="0" w:space="0" w:color="auto"/>
        <w:left w:val="none" w:sz="0" w:space="0" w:color="auto"/>
        <w:bottom w:val="none" w:sz="0" w:space="0" w:color="auto"/>
        <w:right w:val="none" w:sz="0" w:space="0" w:color="auto"/>
      </w:divBdr>
    </w:div>
    <w:div w:id="1098213439">
      <w:bodyDiv w:val="1"/>
      <w:marLeft w:val="0"/>
      <w:marRight w:val="0"/>
      <w:marTop w:val="0"/>
      <w:marBottom w:val="0"/>
      <w:divBdr>
        <w:top w:val="none" w:sz="0" w:space="0" w:color="auto"/>
        <w:left w:val="none" w:sz="0" w:space="0" w:color="auto"/>
        <w:bottom w:val="none" w:sz="0" w:space="0" w:color="auto"/>
        <w:right w:val="none" w:sz="0" w:space="0" w:color="auto"/>
      </w:divBdr>
    </w:div>
    <w:div w:id="1098215604">
      <w:bodyDiv w:val="1"/>
      <w:marLeft w:val="0"/>
      <w:marRight w:val="0"/>
      <w:marTop w:val="0"/>
      <w:marBottom w:val="0"/>
      <w:divBdr>
        <w:top w:val="none" w:sz="0" w:space="0" w:color="auto"/>
        <w:left w:val="none" w:sz="0" w:space="0" w:color="auto"/>
        <w:bottom w:val="none" w:sz="0" w:space="0" w:color="auto"/>
        <w:right w:val="none" w:sz="0" w:space="0" w:color="auto"/>
      </w:divBdr>
    </w:div>
    <w:div w:id="1098332631">
      <w:bodyDiv w:val="1"/>
      <w:marLeft w:val="0"/>
      <w:marRight w:val="0"/>
      <w:marTop w:val="0"/>
      <w:marBottom w:val="0"/>
      <w:divBdr>
        <w:top w:val="none" w:sz="0" w:space="0" w:color="auto"/>
        <w:left w:val="none" w:sz="0" w:space="0" w:color="auto"/>
        <w:bottom w:val="none" w:sz="0" w:space="0" w:color="auto"/>
        <w:right w:val="none" w:sz="0" w:space="0" w:color="auto"/>
      </w:divBdr>
    </w:div>
    <w:div w:id="1098333780">
      <w:bodyDiv w:val="1"/>
      <w:marLeft w:val="0"/>
      <w:marRight w:val="0"/>
      <w:marTop w:val="0"/>
      <w:marBottom w:val="0"/>
      <w:divBdr>
        <w:top w:val="none" w:sz="0" w:space="0" w:color="auto"/>
        <w:left w:val="none" w:sz="0" w:space="0" w:color="auto"/>
        <w:bottom w:val="none" w:sz="0" w:space="0" w:color="auto"/>
        <w:right w:val="none" w:sz="0" w:space="0" w:color="auto"/>
      </w:divBdr>
    </w:div>
    <w:div w:id="1098404831">
      <w:bodyDiv w:val="1"/>
      <w:marLeft w:val="0"/>
      <w:marRight w:val="0"/>
      <w:marTop w:val="0"/>
      <w:marBottom w:val="0"/>
      <w:divBdr>
        <w:top w:val="none" w:sz="0" w:space="0" w:color="auto"/>
        <w:left w:val="none" w:sz="0" w:space="0" w:color="auto"/>
        <w:bottom w:val="none" w:sz="0" w:space="0" w:color="auto"/>
        <w:right w:val="none" w:sz="0" w:space="0" w:color="auto"/>
      </w:divBdr>
    </w:div>
    <w:div w:id="1098407649">
      <w:bodyDiv w:val="1"/>
      <w:marLeft w:val="0"/>
      <w:marRight w:val="0"/>
      <w:marTop w:val="0"/>
      <w:marBottom w:val="0"/>
      <w:divBdr>
        <w:top w:val="none" w:sz="0" w:space="0" w:color="auto"/>
        <w:left w:val="none" w:sz="0" w:space="0" w:color="auto"/>
        <w:bottom w:val="none" w:sz="0" w:space="0" w:color="auto"/>
        <w:right w:val="none" w:sz="0" w:space="0" w:color="auto"/>
      </w:divBdr>
    </w:div>
    <w:div w:id="1098521300">
      <w:bodyDiv w:val="1"/>
      <w:marLeft w:val="0"/>
      <w:marRight w:val="0"/>
      <w:marTop w:val="0"/>
      <w:marBottom w:val="0"/>
      <w:divBdr>
        <w:top w:val="none" w:sz="0" w:space="0" w:color="auto"/>
        <w:left w:val="none" w:sz="0" w:space="0" w:color="auto"/>
        <w:bottom w:val="none" w:sz="0" w:space="0" w:color="auto"/>
        <w:right w:val="none" w:sz="0" w:space="0" w:color="auto"/>
      </w:divBdr>
    </w:div>
    <w:div w:id="1098602116">
      <w:bodyDiv w:val="1"/>
      <w:marLeft w:val="0"/>
      <w:marRight w:val="0"/>
      <w:marTop w:val="0"/>
      <w:marBottom w:val="0"/>
      <w:divBdr>
        <w:top w:val="none" w:sz="0" w:space="0" w:color="auto"/>
        <w:left w:val="none" w:sz="0" w:space="0" w:color="auto"/>
        <w:bottom w:val="none" w:sz="0" w:space="0" w:color="auto"/>
        <w:right w:val="none" w:sz="0" w:space="0" w:color="auto"/>
      </w:divBdr>
    </w:div>
    <w:div w:id="1098797648">
      <w:bodyDiv w:val="1"/>
      <w:marLeft w:val="0"/>
      <w:marRight w:val="0"/>
      <w:marTop w:val="0"/>
      <w:marBottom w:val="0"/>
      <w:divBdr>
        <w:top w:val="none" w:sz="0" w:space="0" w:color="auto"/>
        <w:left w:val="none" w:sz="0" w:space="0" w:color="auto"/>
        <w:bottom w:val="none" w:sz="0" w:space="0" w:color="auto"/>
        <w:right w:val="none" w:sz="0" w:space="0" w:color="auto"/>
      </w:divBdr>
    </w:div>
    <w:div w:id="1098939681">
      <w:bodyDiv w:val="1"/>
      <w:marLeft w:val="0"/>
      <w:marRight w:val="0"/>
      <w:marTop w:val="0"/>
      <w:marBottom w:val="0"/>
      <w:divBdr>
        <w:top w:val="none" w:sz="0" w:space="0" w:color="auto"/>
        <w:left w:val="none" w:sz="0" w:space="0" w:color="auto"/>
        <w:bottom w:val="none" w:sz="0" w:space="0" w:color="auto"/>
        <w:right w:val="none" w:sz="0" w:space="0" w:color="auto"/>
      </w:divBdr>
    </w:div>
    <w:div w:id="1098982333">
      <w:bodyDiv w:val="1"/>
      <w:marLeft w:val="0"/>
      <w:marRight w:val="0"/>
      <w:marTop w:val="0"/>
      <w:marBottom w:val="0"/>
      <w:divBdr>
        <w:top w:val="none" w:sz="0" w:space="0" w:color="auto"/>
        <w:left w:val="none" w:sz="0" w:space="0" w:color="auto"/>
        <w:bottom w:val="none" w:sz="0" w:space="0" w:color="auto"/>
        <w:right w:val="none" w:sz="0" w:space="0" w:color="auto"/>
      </w:divBdr>
    </w:div>
    <w:div w:id="1099136481">
      <w:bodyDiv w:val="1"/>
      <w:marLeft w:val="0"/>
      <w:marRight w:val="0"/>
      <w:marTop w:val="0"/>
      <w:marBottom w:val="0"/>
      <w:divBdr>
        <w:top w:val="none" w:sz="0" w:space="0" w:color="auto"/>
        <w:left w:val="none" w:sz="0" w:space="0" w:color="auto"/>
        <w:bottom w:val="none" w:sz="0" w:space="0" w:color="auto"/>
        <w:right w:val="none" w:sz="0" w:space="0" w:color="auto"/>
      </w:divBdr>
    </w:div>
    <w:div w:id="1099254453">
      <w:bodyDiv w:val="1"/>
      <w:marLeft w:val="0"/>
      <w:marRight w:val="0"/>
      <w:marTop w:val="0"/>
      <w:marBottom w:val="0"/>
      <w:divBdr>
        <w:top w:val="none" w:sz="0" w:space="0" w:color="auto"/>
        <w:left w:val="none" w:sz="0" w:space="0" w:color="auto"/>
        <w:bottom w:val="none" w:sz="0" w:space="0" w:color="auto"/>
        <w:right w:val="none" w:sz="0" w:space="0" w:color="auto"/>
      </w:divBdr>
    </w:div>
    <w:div w:id="1099376831">
      <w:bodyDiv w:val="1"/>
      <w:marLeft w:val="0"/>
      <w:marRight w:val="0"/>
      <w:marTop w:val="0"/>
      <w:marBottom w:val="0"/>
      <w:divBdr>
        <w:top w:val="none" w:sz="0" w:space="0" w:color="auto"/>
        <w:left w:val="none" w:sz="0" w:space="0" w:color="auto"/>
        <w:bottom w:val="none" w:sz="0" w:space="0" w:color="auto"/>
        <w:right w:val="none" w:sz="0" w:space="0" w:color="auto"/>
      </w:divBdr>
    </w:div>
    <w:div w:id="1099452201">
      <w:bodyDiv w:val="1"/>
      <w:marLeft w:val="0"/>
      <w:marRight w:val="0"/>
      <w:marTop w:val="0"/>
      <w:marBottom w:val="0"/>
      <w:divBdr>
        <w:top w:val="none" w:sz="0" w:space="0" w:color="auto"/>
        <w:left w:val="none" w:sz="0" w:space="0" w:color="auto"/>
        <w:bottom w:val="none" w:sz="0" w:space="0" w:color="auto"/>
        <w:right w:val="none" w:sz="0" w:space="0" w:color="auto"/>
      </w:divBdr>
    </w:div>
    <w:div w:id="1099570838">
      <w:bodyDiv w:val="1"/>
      <w:marLeft w:val="0"/>
      <w:marRight w:val="0"/>
      <w:marTop w:val="0"/>
      <w:marBottom w:val="0"/>
      <w:divBdr>
        <w:top w:val="none" w:sz="0" w:space="0" w:color="auto"/>
        <w:left w:val="none" w:sz="0" w:space="0" w:color="auto"/>
        <w:bottom w:val="none" w:sz="0" w:space="0" w:color="auto"/>
        <w:right w:val="none" w:sz="0" w:space="0" w:color="auto"/>
      </w:divBdr>
    </w:div>
    <w:div w:id="1099791887">
      <w:bodyDiv w:val="1"/>
      <w:marLeft w:val="0"/>
      <w:marRight w:val="0"/>
      <w:marTop w:val="0"/>
      <w:marBottom w:val="0"/>
      <w:divBdr>
        <w:top w:val="none" w:sz="0" w:space="0" w:color="auto"/>
        <w:left w:val="none" w:sz="0" w:space="0" w:color="auto"/>
        <w:bottom w:val="none" w:sz="0" w:space="0" w:color="auto"/>
        <w:right w:val="none" w:sz="0" w:space="0" w:color="auto"/>
      </w:divBdr>
    </w:div>
    <w:div w:id="1099838816">
      <w:bodyDiv w:val="1"/>
      <w:marLeft w:val="0"/>
      <w:marRight w:val="0"/>
      <w:marTop w:val="0"/>
      <w:marBottom w:val="0"/>
      <w:divBdr>
        <w:top w:val="none" w:sz="0" w:space="0" w:color="auto"/>
        <w:left w:val="none" w:sz="0" w:space="0" w:color="auto"/>
        <w:bottom w:val="none" w:sz="0" w:space="0" w:color="auto"/>
        <w:right w:val="none" w:sz="0" w:space="0" w:color="auto"/>
      </w:divBdr>
    </w:div>
    <w:div w:id="1099914542">
      <w:bodyDiv w:val="1"/>
      <w:marLeft w:val="0"/>
      <w:marRight w:val="0"/>
      <w:marTop w:val="0"/>
      <w:marBottom w:val="0"/>
      <w:divBdr>
        <w:top w:val="none" w:sz="0" w:space="0" w:color="auto"/>
        <w:left w:val="none" w:sz="0" w:space="0" w:color="auto"/>
        <w:bottom w:val="none" w:sz="0" w:space="0" w:color="auto"/>
        <w:right w:val="none" w:sz="0" w:space="0" w:color="auto"/>
      </w:divBdr>
    </w:div>
    <w:div w:id="1100177667">
      <w:bodyDiv w:val="1"/>
      <w:marLeft w:val="0"/>
      <w:marRight w:val="0"/>
      <w:marTop w:val="0"/>
      <w:marBottom w:val="0"/>
      <w:divBdr>
        <w:top w:val="none" w:sz="0" w:space="0" w:color="auto"/>
        <w:left w:val="none" w:sz="0" w:space="0" w:color="auto"/>
        <w:bottom w:val="none" w:sz="0" w:space="0" w:color="auto"/>
        <w:right w:val="none" w:sz="0" w:space="0" w:color="auto"/>
      </w:divBdr>
    </w:div>
    <w:div w:id="1100220700">
      <w:bodyDiv w:val="1"/>
      <w:marLeft w:val="0"/>
      <w:marRight w:val="0"/>
      <w:marTop w:val="0"/>
      <w:marBottom w:val="0"/>
      <w:divBdr>
        <w:top w:val="none" w:sz="0" w:space="0" w:color="auto"/>
        <w:left w:val="none" w:sz="0" w:space="0" w:color="auto"/>
        <w:bottom w:val="none" w:sz="0" w:space="0" w:color="auto"/>
        <w:right w:val="none" w:sz="0" w:space="0" w:color="auto"/>
      </w:divBdr>
    </w:div>
    <w:div w:id="1100295412">
      <w:bodyDiv w:val="1"/>
      <w:marLeft w:val="0"/>
      <w:marRight w:val="0"/>
      <w:marTop w:val="0"/>
      <w:marBottom w:val="0"/>
      <w:divBdr>
        <w:top w:val="none" w:sz="0" w:space="0" w:color="auto"/>
        <w:left w:val="none" w:sz="0" w:space="0" w:color="auto"/>
        <w:bottom w:val="none" w:sz="0" w:space="0" w:color="auto"/>
        <w:right w:val="none" w:sz="0" w:space="0" w:color="auto"/>
      </w:divBdr>
    </w:div>
    <w:div w:id="1100299665">
      <w:bodyDiv w:val="1"/>
      <w:marLeft w:val="0"/>
      <w:marRight w:val="0"/>
      <w:marTop w:val="0"/>
      <w:marBottom w:val="0"/>
      <w:divBdr>
        <w:top w:val="none" w:sz="0" w:space="0" w:color="auto"/>
        <w:left w:val="none" w:sz="0" w:space="0" w:color="auto"/>
        <w:bottom w:val="none" w:sz="0" w:space="0" w:color="auto"/>
        <w:right w:val="none" w:sz="0" w:space="0" w:color="auto"/>
      </w:divBdr>
    </w:div>
    <w:div w:id="1100418094">
      <w:bodyDiv w:val="1"/>
      <w:marLeft w:val="0"/>
      <w:marRight w:val="0"/>
      <w:marTop w:val="0"/>
      <w:marBottom w:val="0"/>
      <w:divBdr>
        <w:top w:val="none" w:sz="0" w:space="0" w:color="auto"/>
        <w:left w:val="none" w:sz="0" w:space="0" w:color="auto"/>
        <w:bottom w:val="none" w:sz="0" w:space="0" w:color="auto"/>
        <w:right w:val="none" w:sz="0" w:space="0" w:color="auto"/>
      </w:divBdr>
    </w:div>
    <w:div w:id="1100447589">
      <w:bodyDiv w:val="1"/>
      <w:marLeft w:val="0"/>
      <w:marRight w:val="0"/>
      <w:marTop w:val="0"/>
      <w:marBottom w:val="0"/>
      <w:divBdr>
        <w:top w:val="none" w:sz="0" w:space="0" w:color="auto"/>
        <w:left w:val="none" w:sz="0" w:space="0" w:color="auto"/>
        <w:bottom w:val="none" w:sz="0" w:space="0" w:color="auto"/>
        <w:right w:val="none" w:sz="0" w:space="0" w:color="auto"/>
      </w:divBdr>
    </w:div>
    <w:div w:id="1100567202">
      <w:bodyDiv w:val="1"/>
      <w:marLeft w:val="0"/>
      <w:marRight w:val="0"/>
      <w:marTop w:val="0"/>
      <w:marBottom w:val="0"/>
      <w:divBdr>
        <w:top w:val="none" w:sz="0" w:space="0" w:color="auto"/>
        <w:left w:val="none" w:sz="0" w:space="0" w:color="auto"/>
        <w:bottom w:val="none" w:sz="0" w:space="0" w:color="auto"/>
        <w:right w:val="none" w:sz="0" w:space="0" w:color="auto"/>
      </w:divBdr>
    </w:div>
    <w:div w:id="1100642968">
      <w:bodyDiv w:val="1"/>
      <w:marLeft w:val="0"/>
      <w:marRight w:val="0"/>
      <w:marTop w:val="0"/>
      <w:marBottom w:val="0"/>
      <w:divBdr>
        <w:top w:val="none" w:sz="0" w:space="0" w:color="auto"/>
        <w:left w:val="none" w:sz="0" w:space="0" w:color="auto"/>
        <w:bottom w:val="none" w:sz="0" w:space="0" w:color="auto"/>
        <w:right w:val="none" w:sz="0" w:space="0" w:color="auto"/>
      </w:divBdr>
    </w:div>
    <w:div w:id="1100755087">
      <w:bodyDiv w:val="1"/>
      <w:marLeft w:val="0"/>
      <w:marRight w:val="0"/>
      <w:marTop w:val="0"/>
      <w:marBottom w:val="0"/>
      <w:divBdr>
        <w:top w:val="none" w:sz="0" w:space="0" w:color="auto"/>
        <w:left w:val="none" w:sz="0" w:space="0" w:color="auto"/>
        <w:bottom w:val="none" w:sz="0" w:space="0" w:color="auto"/>
        <w:right w:val="none" w:sz="0" w:space="0" w:color="auto"/>
      </w:divBdr>
    </w:div>
    <w:div w:id="1100757953">
      <w:bodyDiv w:val="1"/>
      <w:marLeft w:val="0"/>
      <w:marRight w:val="0"/>
      <w:marTop w:val="0"/>
      <w:marBottom w:val="0"/>
      <w:divBdr>
        <w:top w:val="none" w:sz="0" w:space="0" w:color="auto"/>
        <w:left w:val="none" w:sz="0" w:space="0" w:color="auto"/>
        <w:bottom w:val="none" w:sz="0" w:space="0" w:color="auto"/>
        <w:right w:val="none" w:sz="0" w:space="0" w:color="auto"/>
      </w:divBdr>
    </w:div>
    <w:div w:id="1100954143">
      <w:bodyDiv w:val="1"/>
      <w:marLeft w:val="0"/>
      <w:marRight w:val="0"/>
      <w:marTop w:val="0"/>
      <w:marBottom w:val="0"/>
      <w:divBdr>
        <w:top w:val="none" w:sz="0" w:space="0" w:color="auto"/>
        <w:left w:val="none" w:sz="0" w:space="0" w:color="auto"/>
        <w:bottom w:val="none" w:sz="0" w:space="0" w:color="auto"/>
        <w:right w:val="none" w:sz="0" w:space="0" w:color="auto"/>
      </w:divBdr>
    </w:div>
    <w:div w:id="1101025572">
      <w:bodyDiv w:val="1"/>
      <w:marLeft w:val="0"/>
      <w:marRight w:val="0"/>
      <w:marTop w:val="0"/>
      <w:marBottom w:val="0"/>
      <w:divBdr>
        <w:top w:val="none" w:sz="0" w:space="0" w:color="auto"/>
        <w:left w:val="none" w:sz="0" w:space="0" w:color="auto"/>
        <w:bottom w:val="none" w:sz="0" w:space="0" w:color="auto"/>
        <w:right w:val="none" w:sz="0" w:space="0" w:color="auto"/>
      </w:divBdr>
    </w:div>
    <w:div w:id="1101222802">
      <w:bodyDiv w:val="1"/>
      <w:marLeft w:val="0"/>
      <w:marRight w:val="0"/>
      <w:marTop w:val="0"/>
      <w:marBottom w:val="0"/>
      <w:divBdr>
        <w:top w:val="none" w:sz="0" w:space="0" w:color="auto"/>
        <w:left w:val="none" w:sz="0" w:space="0" w:color="auto"/>
        <w:bottom w:val="none" w:sz="0" w:space="0" w:color="auto"/>
        <w:right w:val="none" w:sz="0" w:space="0" w:color="auto"/>
      </w:divBdr>
    </w:div>
    <w:div w:id="1101223810">
      <w:bodyDiv w:val="1"/>
      <w:marLeft w:val="0"/>
      <w:marRight w:val="0"/>
      <w:marTop w:val="0"/>
      <w:marBottom w:val="0"/>
      <w:divBdr>
        <w:top w:val="none" w:sz="0" w:space="0" w:color="auto"/>
        <w:left w:val="none" w:sz="0" w:space="0" w:color="auto"/>
        <w:bottom w:val="none" w:sz="0" w:space="0" w:color="auto"/>
        <w:right w:val="none" w:sz="0" w:space="0" w:color="auto"/>
      </w:divBdr>
    </w:div>
    <w:div w:id="1101295387">
      <w:bodyDiv w:val="1"/>
      <w:marLeft w:val="0"/>
      <w:marRight w:val="0"/>
      <w:marTop w:val="0"/>
      <w:marBottom w:val="0"/>
      <w:divBdr>
        <w:top w:val="none" w:sz="0" w:space="0" w:color="auto"/>
        <w:left w:val="none" w:sz="0" w:space="0" w:color="auto"/>
        <w:bottom w:val="none" w:sz="0" w:space="0" w:color="auto"/>
        <w:right w:val="none" w:sz="0" w:space="0" w:color="auto"/>
      </w:divBdr>
    </w:div>
    <w:div w:id="1101343279">
      <w:bodyDiv w:val="1"/>
      <w:marLeft w:val="0"/>
      <w:marRight w:val="0"/>
      <w:marTop w:val="0"/>
      <w:marBottom w:val="0"/>
      <w:divBdr>
        <w:top w:val="none" w:sz="0" w:space="0" w:color="auto"/>
        <w:left w:val="none" w:sz="0" w:space="0" w:color="auto"/>
        <w:bottom w:val="none" w:sz="0" w:space="0" w:color="auto"/>
        <w:right w:val="none" w:sz="0" w:space="0" w:color="auto"/>
      </w:divBdr>
    </w:div>
    <w:div w:id="1101488513">
      <w:bodyDiv w:val="1"/>
      <w:marLeft w:val="0"/>
      <w:marRight w:val="0"/>
      <w:marTop w:val="0"/>
      <w:marBottom w:val="0"/>
      <w:divBdr>
        <w:top w:val="none" w:sz="0" w:space="0" w:color="auto"/>
        <w:left w:val="none" w:sz="0" w:space="0" w:color="auto"/>
        <w:bottom w:val="none" w:sz="0" w:space="0" w:color="auto"/>
        <w:right w:val="none" w:sz="0" w:space="0" w:color="auto"/>
      </w:divBdr>
    </w:div>
    <w:div w:id="1101561051">
      <w:bodyDiv w:val="1"/>
      <w:marLeft w:val="0"/>
      <w:marRight w:val="0"/>
      <w:marTop w:val="0"/>
      <w:marBottom w:val="0"/>
      <w:divBdr>
        <w:top w:val="none" w:sz="0" w:space="0" w:color="auto"/>
        <w:left w:val="none" w:sz="0" w:space="0" w:color="auto"/>
        <w:bottom w:val="none" w:sz="0" w:space="0" w:color="auto"/>
        <w:right w:val="none" w:sz="0" w:space="0" w:color="auto"/>
      </w:divBdr>
    </w:div>
    <w:div w:id="1101605019">
      <w:bodyDiv w:val="1"/>
      <w:marLeft w:val="0"/>
      <w:marRight w:val="0"/>
      <w:marTop w:val="0"/>
      <w:marBottom w:val="0"/>
      <w:divBdr>
        <w:top w:val="none" w:sz="0" w:space="0" w:color="auto"/>
        <w:left w:val="none" w:sz="0" w:space="0" w:color="auto"/>
        <w:bottom w:val="none" w:sz="0" w:space="0" w:color="auto"/>
        <w:right w:val="none" w:sz="0" w:space="0" w:color="auto"/>
      </w:divBdr>
    </w:div>
    <w:div w:id="1101756417">
      <w:bodyDiv w:val="1"/>
      <w:marLeft w:val="0"/>
      <w:marRight w:val="0"/>
      <w:marTop w:val="0"/>
      <w:marBottom w:val="0"/>
      <w:divBdr>
        <w:top w:val="none" w:sz="0" w:space="0" w:color="auto"/>
        <w:left w:val="none" w:sz="0" w:space="0" w:color="auto"/>
        <w:bottom w:val="none" w:sz="0" w:space="0" w:color="auto"/>
        <w:right w:val="none" w:sz="0" w:space="0" w:color="auto"/>
      </w:divBdr>
    </w:div>
    <w:div w:id="1101758451">
      <w:bodyDiv w:val="1"/>
      <w:marLeft w:val="0"/>
      <w:marRight w:val="0"/>
      <w:marTop w:val="0"/>
      <w:marBottom w:val="0"/>
      <w:divBdr>
        <w:top w:val="none" w:sz="0" w:space="0" w:color="auto"/>
        <w:left w:val="none" w:sz="0" w:space="0" w:color="auto"/>
        <w:bottom w:val="none" w:sz="0" w:space="0" w:color="auto"/>
        <w:right w:val="none" w:sz="0" w:space="0" w:color="auto"/>
      </w:divBdr>
    </w:div>
    <w:div w:id="1101878483">
      <w:bodyDiv w:val="1"/>
      <w:marLeft w:val="0"/>
      <w:marRight w:val="0"/>
      <w:marTop w:val="0"/>
      <w:marBottom w:val="0"/>
      <w:divBdr>
        <w:top w:val="none" w:sz="0" w:space="0" w:color="auto"/>
        <w:left w:val="none" w:sz="0" w:space="0" w:color="auto"/>
        <w:bottom w:val="none" w:sz="0" w:space="0" w:color="auto"/>
        <w:right w:val="none" w:sz="0" w:space="0" w:color="auto"/>
      </w:divBdr>
    </w:div>
    <w:div w:id="1101990923">
      <w:bodyDiv w:val="1"/>
      <w:marLeft w:val="0"/>
      <w:marRight w:val="0"/>
      <w:marTop w:val="0"/>
      <w:marBottom w:val="0"/>
      <w:divBdr>
        <w:top w:val="none" w:sz="0" w:space="0" w:color="auto"/>
        <w:left w:val="none" w:sz="0" w:space="0" w:color="auto"/>
        <w:bottom w:val="none" w:sz="0" w:space="0" w:color="auto"/>
        <w:right w:val="none" w:sz="0" w:space="0" w:color="auto"/>
      </w:divBdr>
    </w:div>
    <w:div w:id="1101995626">
      <w:bodyDiv w:val="1"/>
      <w:marLeft w:val="0"/>
      <w:marRight w:val="0"/>
      <w:marTop w:val="0"/>
      <w:marBottom w:val="0"/>
      <w:divBdr>
        <w:top w:val="none" w:sz="0" w:space="0" w:color="auto"/>
        <w:left w:val="none" w:sz="0" w:space="0" w:color="auto"/>
        <w:bottom w:val="none" w:sz="0" w:space="0" w:color="auto"/>
        <w:right w:val="none" w:sz="0" w:space="0" w:color="auto"/>
      </w:divBdr>
    </w:div>
    <w:div w:id="1102141605">
      <w:bodyDiv w:val="1"/>
      <w:marLeft w:val="0"/>
      <w:marRight w:val="0"/>
      <w:marTop w:val="0"/>
      <w:marBottom w:val="0"/>
      <w:divBdr>
        <w:top w:val="none" w:sz="0" w:space="0" w:color="auto"/>
        <w:left w:val="none" w:sz="0" w:space="0" w:color="auto"/>
        <w:bottom w:val="none" w:sz="0" w:space="0" w:color="auto"/>
        <w:right w:val="none" w:sz="0" w:space="0" w:color="auto"/>
      </w:divBdr>
    </w:div>
    <w:div w:id="1102342919">
      <w:bodyDiv w:val="1"/>
      <w:marLeft w:val="0"/>
      <w:marRight w:val="0"/>
      <w:marTop w:val="0"/>
      <w:marBottom w:val="0"/>
      <w:divBdr>
        <w:top w:val="none" w:sz="0" w:space="0" w:color="auto"/>
        <w:left w:val="none" w:sz="0" w:space="0" w:color="auto"/>
        <w:bottom w:val="none" w:sz="0" w:space="0" w:color="auto"/>
        <w:right w:val="none" w:sz="0" w:space="0" w:color="auto"/>
      </w:divBdr>
    </w:div>
    <w:div w:id="1102455353">
      <w:bodyDiv w:val="1"/>
      <w:marLeft w:val="0"/>
      <w:marRight w:val="0"/>
      <w:marTop w:val="0"/>
      <w:marBottom w:val="0"/>
      <w:divBdr>
        <w:top w:val="none" w:sz="0" w:space="0" w:color="auto"/>
        <w:left w:val="none" w:sz="0" w:space="0" w:color="auto"/>
        <w:bottom w:val="none" w:sz="0" w:space="0" w:color="auto"/>
        <w:right w:val="none" w:sz="0" w:space="0" w:color="auto"/>
      </w:divBdr>
    </w:div>
    <w:div w:id="1102456274">
      <w:bodyDiv w:val="1"/>
      <w:marLeft w:val="0"/>
      <w:marRight w:val="0"/>
      <w:marTop w:val="0"/>
      <w:marBottom w:val="0"/>
      <w:divBdr>
        <w:top w:val="none" w:sz="0" w:space="0" w:color="auto"/>
        <w:left w:val="none" w:sz="0" w:space="0" w:color="auto"/>
        <w:bottom w:val="none" w:sz="0" w:space="0" w:color="auto"/>
        <w:right w:val="none" w:sz="0" w:space="0" w:color="auto"/>
      </w:divBdr>
    </w:div>
    <w:div w:id="1102720914">
      <w:bodyDiv w:val="1"/>
      <w:marLeft w:val="0"/>
      <w:marRight w:val="0"/>
      <w:marTop w:val="0"/>
      <w:marBottom w:val="0"/>
      <w:divBdr>
        <w:top w:val="none" w:sz="0" w:space="0" w:color="auto"/>
        <w:left w:val="none" w:sz="0" w:space="0" w:color="auto"/>
        <w:bottom w:val="none" w:sz="0" w:space="0" w:color="auto"/>
        <w:right w:val="none" w:sz="0" w:space="0" w:color="auto"/>
      </w:divBdr>
    </w:div>
    <w:div w:id="1102726287">
      <w:bodyDiv w:val="1"/>
      <w:marLeft w:val="0"/>
      <w:marRight w:val="0"/>
      <w:marTop w:val="0"/>
      <w:marBottom w:val="0"/>
      <w:divBdr>
        <w:top w:val="none" w:sz="0" w:space="0" w:color="auto"/>
        <w:left w:val="none" w:sz="0" w:space="0" w:color="auto"/>
        <w:bottom w:val="none" w:sz="0" w:space="0" w:color="auto"/>
        <w:right w:val="none" w:sz="0" w:space="0" w:color="auto"/>
      </w:divBdr>
    </w:div>
    <w:div w:id="1102796105">
      <w:bodyDiv w:val="1"/>
      <w:marLeft w:val="0"/>
      <w:marRight w:val="0"/>
      <w:marTop w:val="0"/>
      <w:marBottom w:val="0"/>
      <w:divBdr>
        <w:top w:val="none" w:sz="0" w:space="0" w:color="auto"/>
        <w:left w:val="none" w:sz="0" w:space="0" w:color="auto"/>
        <w:bottom w:val="none" w:sz="0" w:space="0" w:color="auto"/>
        <w:right w:val="none" w:sz="0" w:space="0" w:color="auto"/>
      </w:divBdr>
    </w:div>
    <w:div w:id="1102796175">
      <w:bodyDiv w:val="1"/>
      <w:marLeft w:val="0"/>
      <w:marRight w:val="0"/>
      <w:marTop w:val="0"/>
      <w:marBottom w:val="0"/>
      <w:divBdr>
        <w:top w:val="none" w:sz="0" w:space="0" w:color="auto"/>
        <w:left w:val="none" w:sz="0" w:space="0" w:color="auto"/>
        <w:bottom w:val="none" w:sz="0" w:space="0" w:color="auto"/>
        <w:right w:val="none" w:sz="0" w:space="0" w:color="auto"/>
      </w:divBdr>
    </w:div>
    <w:div w:id="1102872472">
      <w:bodyDiv w:val="1"/>
      <w:marLeft w:val="0"/>
      <w:marRight w:val="0"/>
      <w:marTop w:val="0"/>
      <w:marBottom w:val="0"/>
      <w:divBdr>
        <w:top w:val="none" w:sz="0" w:space="0" w:color="auto"/>
        <w:left w:val="none" w:sz="0" w:space="0" w:color="auto"/>
        <w:bottom w:val="none" w:sz="0" w:space="0" w:color="auto"/>
        <w:right w:val="none" w:sz="0" w:space="0" w:color="auto"/>
      </w:divBdr>
    </w:div>
    <w:div w:id="1103038936">
      <w:bodyDiv w:val="1"/>
      <w:marLeft w:val="0"/>
      <w:marRight w:val="0"/>
      <w:marTop w:val="0"/>
      <w:marBottom w:val="0"/>
      <w:divBdr>
        <w:top w:val="none" w:sz="0" w:space="0" w:color="auto"/>
        <w:left w:val="none" w:sz="0" w:space="0" w:color="auto"/>
        <w:bottom w:val="none" w:sz="0" w:space="0" w:color="auto"/>
        <w:right w:val="none" w:sz="0" w:space="0" w:color="auto"/>
      </w:divBdr>
    </w:div>
    <w:div w:id="1103111063">
      <w:bodyDiv w:val="1"/>
      <w:marLeft w:val="0"/>
      <w:marRight w:val="0"/>
      <w:marTop w:val="0"/>
      <w:marBottom w:val="0"/>
      <w:divBdr>
        <w:top w:val="none" w:sz="0" w:space="0" w:color="auto"/>
        <w:left w:val="none" w:sz="0" w:space="0" w:color="auto"/>
        <w:bottom w:val="none" w:sz="0" w:space="0" w:color="auto"/>
        <w:right w:val="none" w:sz="0" w:space="0" w:color="auto"/>
      </w:divBdr>
    </w:div>
    <w:div w:id="1103112321">
      <w:bodyDiv w:val="1"/>
      <w:marLeft w:val="0"/>
      <w:marRight w:val="0"/>
      <w:marTop w:val="0"/>
      <w:marBottom w:val="0"/>
      <w:divBdr>
        <w:top w:val="none" w:sz="0" w:space="0" w:color="auto"/>
        <w:left w:val="none" w:sz="0" w:space="0" w:color="auto"/>
        <w:bottom w:val="none" w:sz="0" w:space="0" w:color="auto"/>
        <w:right w:val="none" w:sz="0" w:space="0" w:color="auto"/>
      </w:divBdr>
    </w:div>
    <w:div w:id="1103113187">
      <w:bodyDiv w:val="1"/>
      <w:marLeft w:val="0"/>
      <w:marRight w:val="0"/>
      <w:marTop w:val="0"/>
      <w:marBottom w:val="0"/>
      <w:divBdr>
        <w:top w:val="none" w:sz="0" w:space="0" w:color="auto"/>
        <w:left w:val="none" w:sz="0" w:space="0" w:color="auto"/>
        <w:bottom w:val="none" w:sz="0" w:space="0" w:color="auto"/>
        <w:right w:val="none" w:sz="0" w:space="0" w:color="auto"/>
      </w:divBdr>
    </w:div>
    <w:div w:id="1103191470">
      <w:bodyDiv w:val="1"/>
      <w:marLeft w:val="0"/>
      <w:marRight w:val="0"/>
      <w:marTop w:val="0"/>
      <w:marBottom w:val="0"/>
      <w:divBdr>
        <w:top w:val="none" w:sz="0" w:space="0" w:color="auto"/>
        <w:left w:val="none" w:sz="0" w:space="0" w:color="auto"/>
        <w:bottom w:val="none" w:sz="0" w:space="0" w:color="auto"/>
        <w:right w:val="none" w:sz="0" w:space="0" w:color="auto"/>
      </w:divBdr>
    </w:div>
    <w:div w:id="1103261919">
      <w:bodyDiv w:val="1"/>
      <w:marLeft w:val="0"/>
      <w:marRight w:val="0"/>
      <w:marTop w:val="0"/>
      <w:marBottom w:val="0"/>
      <w:divBdr>
        <w:top w:val="none" w:sz="0" w:space="0" w:color="auto"/>
        <w:left w:val="none" w:sz="0" w:space="0" w:color="auto"/>
        <w:bottom w:val="none" w:sz="0" w:space="0" w:color="auto"/>
        <w:right w:val="none" w:sz="0" w:space="0" w:color="auto"/>
      </w:divBdr>
    </w:div>
    <w:div w:id="1103261929">
      <w:bodyDiv w:val="1"/>
      <w:marLeft w:val="0"/>
      <w:marRight w:val="0"/>
      <w:marTop w:val="0"/>
      <w:marBottom w:val="0"/>
      <w:divBdr>
        <w:top w:val="none" w:sz="0" w:space="0" w:color="auto"/>
        <w:left w:val="none" w:sz="0" w:space="0" w:color="auto"/>
        <w:bottom w:val="none" w:sz="0" w:space="0" w:color="auto"/>
        <w:right w:val="none" w:sz="0" w:space="0" w:color="auto"/>
      </w:divBdr>
    </w:div>
    <w:div w:id="1103381363">
      <w:bodyDiv w:val="1"/>
      <w:marLeft w:val="0"/>
      <w:marRight w:val="0"/>
      <w:marTop w:val="0"/>
      <w:marBottom w:val="0"/>
      <w:divBdr>
        <w:top w:val="none" w:sz="0" w:space="0" w:color="auto"/>
        <w:left w:val="none" w:sz="0" w:space="0" w:color="auto"/>
        <w:bottom w:val="none" w:sz="0" w:space="0" w:color="auto"/>
        <w:right w:val="none" w:sz="0" w:space="0" w:color="auto"/>
      </w:divBdr>
    </w:div>
    <w:div w:id="1103459504">
      <w:bodyDiv w:val="1"/>
      <w:marLeft w:val="0"/>
      <w:marRight w:val="0"/>
      <w:marTop w:val="0"/>
      <w:marBottom w:val="0"/>
      <w:divBdr>
        <w:top w:val="none" w:sz="0" w:space="0" w:color="auto"/>
        <w:left w:val="none" w:sz="0" w:space="0" w:color="auto"/>
        <w:bottom w:val="none" w:sz="0" w:space="0" w:color="auto"/>
        <w:right w:val="none" w:sz="0" w:space="0" w:color="auto"/>
      </w:divBdr>
    </w:div>
    <w:div w:id="1103574028">
      <w:bodyDiv w:val="1"/>
      <w:marLeft w:val="0"/>
      <w:marRight w:val="0"/>
      <w:marTop w:val="0"/>
      <w:marBottom w:val="0"/>
      <w:divBdr>
        <w:top w:val="none" w:sz="0" w:space="0" w:color="auto"/>
        <w:left w:val="none" w:sz="0" w:space="0" w:color="auto"/>
        <w:bottom w:val="none" w:sz="0" w:space="0" w:color="auto"/>
        <w:right w:val="none" w:sz="0" w:space="0" w:color="auto"/>
      </w:divBdr>
    </w:div>
    <w:div w:id="1103648592">
      <w:bodyDiv w:val="1"/>
      <w:marLeft w:val="0"/>
      <w:marRight w:val="0"/>
      <w:marTop w:val="0"/>
      <w:marBottom w:val="0"/>
      <w:divBdr>
        <w:top w:val="none" w:sz="0" w:space="0" w:color="auto"/>
        <w:left w:val="none" w:sz="0" w:space="0" w:color="auto"/>
        <w:bottom w:val="none" w:sz="0" w:space="0" w:color="auto"/>
        <w:right w:val="none" w:sz="0" w:space="0" w:color="auto"/>
      </w:divBdr>
    </w:div>
    <w:div w:id="1103650620">
      <w:bodyDiv w:val="1"/>
      <w:marLeft w:val="0"/>
      <w:marRight w:val="0"/>
      <w:marTop w:val="0"/>
      <w:marBottom w:val="0"/>
      <w:divBdr>
        <w:top w:val="none" w:sz="0" w:space="0" w:color="auto"/>
        <w:left w:val="none" w:sz="0" w:space="0" w:color="auto"/>
        <w:bottom w:val="none" w:sz="0" w:space="0" w:color="auto"/>
        <w:right w:val="none" w:sz="0" w:space="0" w:color="auto"/>
      </w:divBdr>
    </w:div>
    <w:div w:id="1103764640">
      <w:bodyDiv w:val="1"/>
      <w:marLeft w:val="0"/>
      <w:marRight w:val="0"/>
      <w:marTop w:val="0"/>
      <w:marBottom w:val="0"/>
      <w:divBdr>
        <w:top w:val="none" w:sz="0" w:space="0" w:color="auto"/>
        <w:left w:val="none" w:sz="0" w:space="0" w:color="auto"/>
        <w:bottom w:val="none" w:sz="0" w:space="0" w:color="auto"/>
        <w:right w:val="none" w:sz="0" w:space="0" w:color="auto"/>
      </w:divBdr>
    </w:div>
    <w:div w:id="1103771413">
      <w:bodyDiv w:val="1"/>
      <w:marLeft w:val="0"/>
      <w:marRight w:val="0"/>
      <w:marTop w:val="0"/>
      <w:marBottom w:val="0"/>
      <w:divBdr>
        <w:top w:val="none" w:sz="0" w:space="0" w:color="auto"/>
        <w:left w:val="none" w:sz="0" w:space="0" w:color="auto"/>
        <w:bottom w:val="none" w:sz="0" w:space="0" w:color="auto"/>
        <w:right w:val="none" w:sz="0" w:space="0" w:color="auto"/>
      </w:divBdr>
    </w:div>
    <w:div w:id="1103771442">
      <w:bodyDiv w:val="1"/>
      <w:marLeft w:val="0"/>
      <w:marRight w:val="0"/>
      <w:marTop w:val="0"/>
      <w:marBottom w:val="0"/>
      <w:divBdr>
        <w:top w:val="none" w:sz="0" w:space="0" w:color="auto"/>
        <w:left w:val="none" w:sz="0" w:space="0" w:color="auto"/>
        <w:bottom w:val="none" w:sz="0" w:space="0" w:color="auto"/>
        <w:right w:val="none" w:sz="0" w:space="0" w:color="auto"/>
      </w:divBdr>
    </w:div>
    <w:div w:id="1103846175">
      <w:bodyDiv w:val="1"/>
      <w:marLeft w:val="0"/>
      <w:marRight w:val="0"/>
      <w:marTop w:val="0"/>
      <w:marBottom w:val="0"/>
      <w:divBdr>
        <w:top w:val="none" w:sz="0" w:space="0" w:color="auto"/>
        <w:left w:val="none" w:sz="0" w:space="0" w:color="auto"/>
        <w:bottom w:val="none" w:sz="0" w:space="0" w:color="auto"/>
        <w:right w:val="none" w:sz="0" w:space="0" w:color="auto"/>
      </w:divBdr>
    </w:div>
    <w:div w:id="1103961806">
      <w:bodyDiv w:val="1"/>
      <w:marLeft w:val="0"/>
      <w:marRight w:val="0"/>
      <w:marTop w:val="0"/>
      <w:marBottom w:val="0"/>
      <w:divBdr>
        <w:top w:val="none" w:sz="0" w:space="0" w:color="auto"/>
        <w:left w:val="none" w:sz="0" w:space="0" w:color="auto"/>
        <w:bottom w:val="none" w:sz="0" w:space="0" w:color="auto"/>
        <w:right w:val="none" w:sz="0" w:space="0" w:color="auto"/>
      </w:divBdr>
    </w:div>
    <w:div w:id="1104349438">
      <w:bodyDiv w:val="1"/>
      <w:marLeft w:val="0"/>
      <w:marRight w:val="0"/>
      <w:marTop w:val="0"/>
      <w:marBottom w:val="0"/>
      <w:divBdr>
        <w:top w:val="none" w:sz="0" w:space="0" w:color="auto"/>
        <w:left w:val="none" w:sz="0" w:space="0" w:color="auto"/>
        <w:bottom w:val="none" w:sz="0" w:space="0" w:color="auto"/>
        <w:right w:val="none" w:sz="0" w:space="0" w:color="auto"/>
      </w:divBdr>
    </w:div>
    <w:div w:id="1104425066">
      <w:bodyDiv w:val="1"/>
      <w:marLeft w:val="0"/>
      <w:marRight w:val="0"/>
      <w:marTop w:val="0"/>
      <w:marBottom w:val="0"/>
      <w:divBdr>
        <w:top w:val="none" w:sz="0" w:space="0" w:color="auto"/>
        <w:left w:val="none" w:sz="0" w:space="0" w:color="auto"/>
        <w:bottom w:val="none" w:sz="0" w:space="0" w:color="auto"/>
        <w:right w:val="none" w:sz="0" w:space="0" w:color="auto"/>
      </w:divBdr>
    </w:div>
    <w:div w:id="1104426044">
      <w:bodyDiv w:val="1"/>
      <w:marLeft w:val="0"/>
      <w:marRight w:val="0"/>
      <w:marTop w:val="0"/>
      <w:marBottom w:val="0"/>
      <w:divBdr>
        <w:top w:val="none" w:sz="0" w:space="0" w:color="auto"/>
        <w:left w:val="none" w:sz="0" w:space="0" w:color="auto"/>
        <w:bottom w:val="none" w:sz="0" w:space="0" w:color="auto"/>
        <w:right w:val="none" w:sz="0" w:space="0" w:color="auto"/>
      </w:divBdr>
    </w:div>
    <w:div w:id="1104492428">
      <w:bodyDiv w:val="1"/>
      <w:marLeft w:val="0"/>
      <w:marRight w:val="0"/>
      <w:marTop w:val="0"/>
      <w:marBottom w:val="0"/>
      <w:divBdr>
        <w:top w:val="none" w:sz="0" w:space="0" w:color="auto"/>
        <w:left w:val="none" w:sz="0" w:space="0" w:color="auto"/>
        <w:bottom w:val="none" w:sz="0" w:space="0" w:color="auto"/>
        <w:right w:val="none" w:sz="0" w:space="0" w:color="auto"/>
      </w:divBdr>
    </w:div>
    <w:div w:id="1104498283">
      <w:bodyDiv w:val="1"/>
      <w:marLeft w:val="0"/>
      <w:marRight w:val="0"/>
      <w:marTop w:val="0"/>
      <w:marBottom w:val="0"/>
      <w:divBdr>
        <w:top w:val="none" w:sz="0" w:space="0" w:color="auto"/>
        <w:left w:val="none" w:sz="0" w:space="0" w:color="auto"/>
        <w:bottom w:val="none" w:sz="0" w:space="0" w:color="auto"/>
        <w:right w:val="none" w:sz="0" w:space="0" w:color="auto"/>
      </w:divBdr>
    </w:div>
    <w:div w:id="1104618554">
      <w:bodyDiv w:val="1"/>
      <w:marLeft w:val="0"/>
      <w:marRight w:val="0"/>
      <w:marTop w:val="0"/>
      <w:marBottom w:val="0"/>
      <w:divBdr>
        <w:top w:val="none" w:sz="0" w:space="0" w:color="auto"/>
        <w:left w:val="none" w:sz="0" w:space="0" w:color="auto"/>
        <w:bottom w:val="none" w:sz="0" w:space="0" w:color="auto"/>
        <w:right w:val="none" w:sz="0" w:space="0" w:color="auto"/>
      </w:divBdr>
    </w:div>
    <w:div w:id="1104956553">
      <w:bodyDiv w:val="1"/>
      <w:marLeft w:val="0"/>
      <w:marRight w:val="0"/>
      <w:marTop w:val="0"/>
      <w:marBottom w:val="0"/>
      <w:divBdr>
        <w:top w:val="none" w:sz="0" w:space="0" w:color="auto"/>
        <w:left w:val="none" w:sz="0" w:space="0" w:color="auto"/>
        <w:bottom w:val="none" w:sz="0" w:space="0" w:color="auto"/>
        <w:right w:val="none" w:sz="0" w:space="0" w:color="auto"/>
      </w:divBdr>
    </w:div>
    <w:div w:id="1105006590">
      <w:bodyDiv w:val="1"/>
      <w:marLeft w:val="0"/>
      <w:marRight w:val="0"/>
      <w:marTop w:val="0"/>
      <w:marBottom w:val="0"/>
      <w:divBdr>
        <w:top w:val="none" w:sz="0" w:space="0" w:color="auto"/>
        <w:left w:val="none" w:sz="0" w:space="0" w:color="auto"/>
        <w:bottom w:val="none" w:sz="0" w:space="0" w:color="auto"/>
        <w:right w:val="none" w:sz="0" w:space="0" w:color="auto"/>
      </w:divBdr>
    </w:div>
    <w:div w:id="1105074497">
      <w:bodyDiv w:val="1"/>
      <w:marLeft w:val="0"/>
      <w:marRight w:val="0"/>
      <w:marTop w:val="0"/>
      <w:marBottom w:val="0"/>
      <w:divBdr>
        <w:top w:val="none" w:sz="0" w:space="0" w:color="auto"/>
        <w:left w:val="none" w:sz="0" w:space="0" w:color="auto"/>
        <w:bottom w:val="none" w:sz="0" w:space="0" w:color="auto"/>
        <w:right w:val="none" w:sz="0" w:space="0" w:color="auto"/>
      </w:divBdr>
    </w:div>
    <w:div w:id="1105074981">
      <w:bodyDiv w:val="1"/>
      <w:marLeft w:val="0"/>
      <w:marRight w:val="0"/>
      <w:marTop w:val="0"/>
      <w:marBottom w:val="0"/>
      <w:divBdr>
        <w:top w:val="none" w:sz="0" w:space="0" w:color="auto"/>
        <w:left w:val="none" w:sz="0" w:space="0" w:color="auto"/>
        <w:bottom w:val="none" w:sz="0" w:space="0" w:color="auto"/>
        <w:right w:val="none" w:sz="0" w:space="0" w:color="auto"/>
      </w:divBdr>
    </w:div>
    <w:div w:id="1105345232">
      <w:bodyDiv w:val="1"/>
      <w:marLeft w:val="0"/>
      <w:marRight w:val="0"/>
      <w:marTop w:val="0"/>
      <w:marBottom w:val="0"/>
      <w:divBdr>
        <w:top w:val="none" w:sz="0" w:space="0" w:color="auto"/>
        <w:left w:val="none" w:sz="0" w:space="0" w:color="auto"/>
        <w:bottom w:val="none" w:sz="0" w:space="0" w:color="auto"/>
        <w:right w:val="none" w:sz="0" w:space="0" w:color="auto"/>
      </w:divBdr>
    </w:div>
    <w:div w:id="1105425124">
      <w:bodyDiv w:val="1"/>
      <w:marLeft w:val="0"/>
      <w:marRight w:val="0"/>
      <w:marTop w:val="0"/>
      <w:marBottom w:val="0"/>
      <w:divBdr>
        <w:top w:val="none" w:sz="0" w:space="0" w:color="auto"/>
        <w:left w:val="none" w:sz="0" w:space="0" w:color="auto"/>
        <w:bottom w:val="none" w:sz="0" w:space="0" w:color="auto"/>
        <w:right w:val="none" w:sz="0" w:space="0" w:color="auto"/>
      </w:divBdr>
    </w:div>
    <w:div w:id="1105493033">
      <w:bodyDiv w:val="1"/>
      <w:marLeft w:val="0"/>
      <w:marRight w:val="0"/>
      <w:marTop w:val="0"/>
      <w:marBottom w:val="0"/>
      <w:divBdr>
        <w:top w:val="none" w:sz="0" w:space="0" w:color="auto"/>
        <w:left w:val="none" w:sz="0" w:space="0" w:color="auto"/>
        <w:bottom w:val="none" w:sz="0" w:space="0" w:color="auto"/>
        <w:right w:val="none" w:sz="0" w:space="0" w:color="auto"/>
      </w:divBdr>
    </w:div>
    <w:div w:id="1105611845">
      <w:bodyDiv w:val="1"/>
      <w:marLeft w:val="0"/>
      <w:marRight w:val="0"/>
      <w:marTop w:val="0"/>
      <w:marBottom w:val="0"/>
      <w:divBdr>
        <w:top w:val="none" w:sz="0" w:space="0" w:color="auto"/>
        <w:left w:val="none" w:sz="0" w:space="0" w:color="auto"/>
        <w:bottom w:val="none" w:sz="0" w:space="0" w:color="auto"/>
        <w:right w:val="none" w:sz="0" w:space="0" w:color="auto"/>
      </w:divBdr>
    </w:div>
    <w:div w:id="1105661079">
      <w:bodyDiv w:val="1"/>
      <w:marLeft w:val="0"/>
      <w:marRight w:val="0"/>
      <w:marTop w:val="0"/>
      <w:marBottom w:val="0"/>
      <w:divBdr>
        <w:top w:val="none" w:sz="0" w:space="0" w:color="auto"/>
        <w:left w:val="none" w:sz="0" w:space="0" w:color="auto"/>
        <w:bottom w:val="none" w:sz="0" w:space="0" w:color="auto"/>
        <w:right w:val="none" w:sz="0" w:space="0" w:color="auto"/>
      </w:divBdr>
    </w:div>
    <w:div w:id="1105685053">
      <w:bodyDiv w:val="1"/>
      <w:marLeft w:val="0"/>
      <w:marRight w:val="0"/>
      <w:marTop w:val="0"/>
      <w:marBottom w:val="0"/>
      <w:divBdr>
        <w:top w:val="none" w:sz="0" w:space="0" w:color="auto"/>
        <w:left w:val="none" w:sz="0" w:space="0" w:color="auto"/>
        <w:bottom w:val="none" w:sz="0" w:space="0" w:color="auto"/>
        <w:right w:val="none" w:sz="0" w:space="0" w:color="auto"/>
      </w:divBdr>
    </w:div>
    <w:div w:id="1105687844">
      <w:bodyDiv w:val="1"/>
      <w:marLeft w:val="0"/>
      <w:marRight w:val="0"/>
      <w:marTop w:val="0"/>
      <w:marBottom w:val="0"/>
      <w:divBdr>
        <w:top w:val="none" w:sz="0" w:space="0" w:color="auto"/>
        <w:left w:val="none" w:sz="0" w:space="0" w:color="auto"/>
        <w:bottom w:val="none" w:sz="0" w:space="0" w:color="auto"/>
        <w:right w:val="none" w:sz="0" w:space="0" w:color="auto"/>
      </w:divBdr>
    </w:div>
    <w:div w:id="1105735143">
      <w:bodyDiv w:val="1"/>
      <w:marLeft w:val="0"/>
      <w:marRight w:val="0"/>
      <w:marTop w:val="0"/>
      <w:marBottom w:val="0"/>
      <w:divBdr>
        <w:top w:val="none" w:sz="0" w:space="0" w:color="auto"/>
        <w:left w:val="none" w:sz="0" w:space="0" w:color="auto"/>
        <w:bottom w:val="none" w:sz="0" w:space="0" w:color="auto"/>
        <w:right w:val="none" w:sz="0" w:space="0" w:color="auto"/>
      </w:divBdr>
    </w:div>
    <w:div w:id="1105805027">
      <w:bodyDiv w:val="1"/>
      <w:marLeft w:val="0"/>
      <w:marRight w:val="0"/>
      <w:marTop w:val="0"/>
      <w:marBottom w:val="0"/>
      <w:divBdr>
        <w:top w:val="none" w:sz="0" w:space="0" w:color="auto"/>
        <w:left w:val="none" w:sz="0" w:space="0" w:color="auto"/>
        <w:bottom w:val="none" w:sz="0" w:space="0" w:color="auto"/>
        <w:right w:val="none" w:sz="0" w:space="0" w:color="auto"/>
      </w:divBdr>
    </w:div>
    <w:div w:id="1105805580">
      <w:bodyDiv w:val="1"/>
      <w:marLeft w:val="0"/>
      <w:marRight w:val="0"/>
      <w:marTop w:val="0"/>
      <w:marBottom w:val="0"/>
      <w:divBdr>
        <w:top w:val="none" w:sz="0" w:space="0" w:color="auto"/>
        <w:left w:val="none" w:sz="0" w:space="0" w:color="auto"/>
        <w:bottom w:val="none" w:sz="0" w:space="0" w:color="auto"/>
        <w:right w:val="none" w:sz="0" w:space="0" w:color="auto"/>
      </w:divBdr>
    </w:div>
    <w:div w:id="1105880474">
      <w:bodyDiv w:val="1"/>
      <w:marLeft w:val="0"/>
      <w:marRight w:val="0"/>
      <w:marTop w:val="0"/>
      <w:marBottom w:val="0"/>
      <w:divBdr>
        <w:top w:val="none" w:sz="0" w:space="0" w:color="auto"/>
        <w:left w:val="none" w:sz="0" w:space="0" w:color="auto"/>
        <w:bottom w:val="none" w:sz="0" w:space="0" w:color="auto"/>
        <w:right w:val="none" w:sz="0" w:space="0" w:color="auto"/>
      </w:divBdr>
    </w:div>
    <w:div w:id="1106345665">
      <w:bodyDiv w:val="1"/>
      <w:marLeft w:val="0"/>
      <w:marRight w:val="0"/>
      <w:marTop w:val="0"/>
      <w:marBottom w:val="0"/>
      <w:divBdr>
        <w:top w:val="none" w:sz="0" w:space="0" w:color="auto"/>
        <w:left w:val="none" w:sz="0" w:space="0" w:color="auto"/>
        <w:bottom w:val="none" w:sz="0" w:space="0" w:color="auto"/>
        <w:right w:val="none" w:sz="0" w:space="0" w:color="auto"/>
      </w:divBdr>
    </w:div>
    <w:div w:id="1106461187">
      <w:bodyDiv w:val="1"/>
      <w:marLeft w:val="0"/>
      <w:marRight w:val="0"/>
      <w:marTop w:val="0"/>
      <w:marBottom w:val="0"/>
      <w:divBdr>
        <w:top w:val="none" w:sz="0" w:space="0" w:color="auto"/>
        <w:left w:val="none" w:sz="0" w:space="0" w:color="auto"/>
        <w:bottom w:val="none" w:sz="0" w:space="0" w:color="auto"/>
        <w:right w:val="none" w:sz="0" w:space="0" w:color="auto"/>
      </w:divBdr>
    </w:div>
    <w:div w:id="1106466451">
      <w:bodyDiv w:val="1"/>
      <w:marLeft w:val="0"/>
      <w:marRight w:val="0"/>
      <w:marTop w:val="0"/>
      <w:marBottom w:val="0"/>
      <w:divBdr>
        <w:top w:val="none" w:sz="0" w:space="0" w:color="auto"/>
        <w:left w:val="none" w:sz="0" w:space="0" w:color="auto"/>
        <w:bottom w:val="none" w:sz="0" w:space="0" w:color="auto"/>
        <w:right w:val="none" w:sz="0" w:space="0" w:color="auto"/>
      </w:divBdr>
    </w:div>
    <w:div w:id="1106535560">
      <w:bodyDiv w:val="1"/>
      <w:marLeft w:val="0"/>
      <w:marRight w:val="0"/>
      <w:marTop w:val="0"/>
      <w:marBottom w:val="0"/>
      <w:divBdr>
        <w:top w:val="none" w:sz="0" w:space="0" w:color="auto"/>
        <w:left w:val="none" w:sz="0" w:space="0" w:color="auto"/>
        <w:bottom w:val="none" w:sz="0" w:space="0" w:color="auto"/>
        <w:right w:val="none" w:sz="0" w:space="0" w:color="auto"/>
      </w:divBdr>
    </w:div>
    <w:div w:id="1106537810">
      <w:bodyDiv w:val="1"/>
      <w:marLeft w:val="0"/>
      <w:marRight w:val="0"/>
      <w:marTop w:val="0"/>
      <w:marBottom w:val="0"/>
      <w:divBdr>
        <w:top w:val="none" w:sz="0" w:space="0" w:color="auto"/>
        <w:left w:val="none" w:sz="0" w:space="0" w:color="auto"/>
        <w:bottom w:val="none" w:sz="0" w:space="0" w:color="auto"/>
        <w:right w:val="none" w:sz="0" w:space="0" w:color="auto"/>
      </w:divBdr>
    </w:div>
    <w:div w:id="1106583216">
      <w:bodyDiv w:val="1"/>
      <w:marLeft w:val="0"/>
      <w:marRight w:val="0"/>
      <w:marTop w:val="0"/>
      <w:marBottom w:val="0"/>
      <w:divBdr>
        <w:top w:val="none" w:sz="0" w:space="0" w:color="auto"/>
        <w:left w:val="none" w:sz="0" w:space="0" w:color="auto"/>
        <w:bottom w:val="none" w:sz="0" w:space="0" w:color="auto"/>
        <w:right w:val="none" w:sz="0" w:space="0" w:color="auto"/>
      </w:divBdr>
    </w:div>
    <w:div w:id="1106652340">
      <w:bodyDiv w:val="1"/>
      <w:marLeft w:val="0"/>
      <w:marRight w:val="0"/>
      <w:marTop w:val="0"/>
      <w:marBottom w:val="0"/>
      <w:divBdr>
        <w:top w:val="none" w:sz="0" w:space="0" w:color="auto"/>
        <w:left w:val="none" w:sz="0" w:space="0" w:color="auto"/>
        <w:bottom w:val="none" w:sz="0" w:space="0" w:color="auto"/>
        <w:right w:val="none" w:sz="0" w:space="0" w:color="auto"/>
      </w:divBdr>
    </w:div>
    <w:div w:id="1106728030">
      <w:bodyDiv w:val="1"/>
      <w:marLeft w:val="0"/>
      <w:marRight w:val="0"/>
      <w:marTop w:val="0"/>
      <w:marBottom w:val="0"/>
      <w:divBdr>
        <w:top w:val="none" w:sz="0" w:space="0" w:color="auto"/>
        <w:left w:val="none" w:sz="0" w:space="0" w:color="auto"/>
        <w:bottom w:val="none" w:sz="0" w:space="0" w:color="auto"/>
        <w:right w:val="none" w:sz="0" w:space="0" w:color="auto"/>
      </w:divBdr>
    </w:div>
    <w:div w:id="1106778460">
      <w:bodyDiv w:val="1"/>
      <w:marLeft w:val="0"/>
      <w:marRight w:val="0"/>
      <w:marTop w:val="0"/>
      <w:marBottom w:val="0"/>
      <w:divBdr>
        <w:top w:val="none" w:sz="0" w:space="0" w:color="auto"/>
        <w:left w:val="none" w:sz="0" w:space="0" w:color="auto"/>
        <w:bottom w:val="none" w:sz="0" w:space="0" w:color="auto"/>
        <w:right w:val="none" w:sz="0" w:space="0" w:color="auto"/>
      </w:divBdr>
    </w:div>
    <w:div w:id="1106996104">
      <w:bodyDiv w:val="1"/>
      <w:marLeft w:val="0"/>
      <w:marRight w:val="0"/>
      <w:marTop w:val="0"/>
      <w:marBottom w:val="0"/>
      <w:divBdr>
        <w:top w:val="none" w:sz="0" w:space="0" w:color="auto"/>
        <w:left w:val="none" w:sz="0" w:space="0" w:color="auto"/>
        <w:bottom w:val="none" w:sz="0" w:space="0" w:color="auto"/>
        <w:right w:val="none" w:sz="0" w:space="0" w:color="auto"/>
      </w:divBdr>
    </w:div>
    <w:div w:id="1106997096">
      <w:bodyDiv w:val="1"/>
      <w:marLeft w:val="0"/>
      <w:marRight w:val="0"/>
      <w:marTop w:val="0"/>
      <w:marBottom w:val="0"/>
      <w:divBdr>
        <w:top w:val="none" w:sz="0" w:space="0" w:color="auto"/>
        <w:left w:val="none" w:sz="0" w:space="0" w:color="auto"/>
        <w:bottom w:val="none" w:sz="0" w:space="0" w:color="auto"/>
        <w:right w:val="none" w:sz="0" w:space="0" w:color="auto"/>
      </w:divBdr>
    </w:div>
    <w:div w:id="1107000857">
      <w:bodyDiv w:val="1"/>
      <w:marLeft w:val="0"/>
      <w:marRight w:val="0"/>
      <w:marTop w:val="0"/>
      <w:marBottom w:val="0"/>
      <w:divBdr>
        <w:top w:val="none" w:sz="0" w:space="0" w:color="auto"/>
        <w:left w:val="none" w:sz="0" w:space="0" w:color="auto"/>
        <w:bottom w:val="none" w:sz="0" w:space="0" w:color="auto"/>
        <w:right w:val="none" w:sz="0" w:space="0" w:color="auto"/>
      </w:divBdr>
    </w:div>
    <w:div w:id="1107043183">
      <w:bodyDiv w:val="1"/>
      <w:marLeft w:val="0"/>
      <w:marRight w:val="0"/>
      <w:marTop w:val="0"/>
      <w:marBottom w:val="0"/>
      <w:divBdr>
        <w:top w:val="none" w:sz="0" w:space="0" w:color="auto"/>
        <w:left w:val="none" w:sz="0" w:space="0" w:color="auto"/>
        <w:bottom w:val="none" w:sz="0" w:space="0" w:color="auto"/>
        <w:right w:val="none" w:sz="0" w:space="0" w:color="auto"/>
      </w:divBdr>
    </w:div>
    <w:div w:id="1107120434">
      <w:bodyDiv w:val="1"/>
      <w:marLeft w:val="0"/>
      <w:marRight w:val="0"/>
      <w:marTop w:val="0"/>
      <w:marBottom w:val="0"/>
      <w:divBdr>
        <w:top w:val="none" w:sz="0" w:space="0" w:color="auto"/>
        <w:left w:val="none" w:sz="0" w:space="0" w:color="auto"/>
        <w:bottom w:val="none" w:sz="0" w:space="0" w:color="auto"/>
        <w:right w:val="none" w:sz="0" w:space="0" w:color="auto"/>
      </w:divBdr>
    </w:div>
    <w:div w:id="1107122605">
      <w:bodyDiv w:val="1"/>
      <w:marLeft w:val="0"/>
      <w:marRight w:val="0"/>
      <w:marTop w:val="0"/>
      <w:marBottom w:val="0"/>
      <w:divBdr>
        <w:top w:val="none" w:sz="0" w:space="0" w:color="auto"/>
        <w:left w:val="none" w:sz="0" w:space="0" w:color="auto"/>
        <w:bottom w:val="none" w:sz="0" w:space="0" w:color="auto"/>
        <w:right w:val="none" w:sz="0" w:space="0" w:color="auto"/>
      </w:divBdr>
    </w:div>
    <w:div w:id="1107433241">
      <w:bodyDiv w:val="1"/>
      <w:marLeft w:val="0"/>
      <w:marRight w:val="0"/>
      <w:marTop w:val="0"/>
      <w:marBottom w:val="0"/>
      <w:divBdr>
        <w:top w:val="none" w:sz="0" w:space="0" w:color="auto"/>
        <w:left w:val="none" w:sz="0" w:space="0" w:color="auto"/>
        <w:bottom w:val="none" w:sz="0" w:space="0" w:color="auto"/>
        <w:right w:val="none" w:sz="0" w:space="0" w:color="auto"/>
      </w:divBdr>
    </w:div>
    <w:div w:id="1107625313">
      <w:bodyDiv w:val="1"/>
      <w:marLeft w:val="0"/>
      <w:marRight w:val="0"/>
      <w:marTop w:val="0"/>
      <w:marBottom w:val="0"/>
      <w:divBdr>
        <w:top w:val="none" w:sz="0" w:space="0" w:color="auto"/>
        <w:left w:val="none" w:sz="0" w:space="0" w:color="auto"/>
        <w:bottom w:val="none" w:sz="0" w:space="0" w:color="auto"/>
        <w:right w:val="none" w:sz="0" w:space="0" w:color="auto"/>
      </w:divBdr>
    </w:div>
    <w:div w:id="1107694929">
      <w:bodyDiv w:val="1"/>
      <w:marLeft w:val="0"/>
      <w:marRight w:val="0"/>
      <w:marTop w:val="0"/>
      <w:marBottom w:val="0"/>
      <w:divBdr>
        <w:top w:val="none" w:sz="0" w:space="0" w:color="auto"/>
        <w:left w:val="none" w:sz="0" w:space="0" w:color="auto"/>
        <w:bottom w:val="none" w:sz="0" w:space="0" w:color="auto"/>
        <w:right w:val="none" w:sz="0" w:space="0" w:color="auto"/>
      </w:divBdr>
    </w:div>
    <w:div w:id="1107699854">
      <w:bodyDiv w:val="1"/>
      <w:marLeft w:val="0"/>
      <w:marRight w:val="0"/>
      <w:marTop w:val="0"/>
      <w:marBottom w:val="0"/>
      <w:divBdr>
        <w:top w:val="none" w:sz="0" w:space="0" w:color="auto"/>
        <w:left w:val="none" w:sz="0" w:space="0" w:color="auto"/>
        <w:bottom w:val="none" w:sz="0" w:space="0" w:color="auto"/>
        <w:right w:val="none" w:sz="0" w:space="0" w:color="auto"/>
      </w:divBdr>
    </w:div>
    <w:div w:id="1107699885">
      <w:bodyDiv w:val="1"/>
      <w:marLeft w:val="0"/>
      <w:marRight w:val="0"/>
      <w:marTop w:val="0"/>
      <w:marBottom w:val="0"/>
      <w:divBdr>
        <w:top w:val="none" w:sz="0" w:space="0" w:color="auto"/>
        <w:left w:val="none" w:sz="0" w:space="0" w:color="auto"/>
        <w:bottom w:val="none" w:sz="0" w:space="0" w:color="auto"/>
        <w:right w:val="none" w:sz="0" w:space="0" w:color="auto"/>
      </w:divBdr>
    </w:div>
    <w:div w:id="1107847283">
      <w:bodyDiv w:val="1"/>
      <w:marLeft w:val="0"/>
      <w:marRight w:val="0"/>
      <w:marTop w:val="0"/>
      <w:marBottom w:val="0"/>
      <w:divBdr>
        <w:top w:val="none" w:sz="0" w:space="0" w:color="auto"/>
        <w:left w:val="none" w:sz="0" w:space="0" w:color="auto"/>
        <w:bottom w:val="none" w:sz="0" w:space="0" w:color="auto"/>
        <w:right w:val="none" w:sz="0" w:space="0" w:color="auto"/>
      </w:divBdr>
    </w:div>
    <w:div w:id="1107851954">
      <w:bodyDiv w:val="1"/>
      <w:marLeft w:val="0"/>
      <w:marRight w:val="0"/>
      <w:marTop w:val="0"/>
      <w:marBottom w:val="0"/>
      <w:divBdr>
        <w:top w:val="none" w:sz="0" w:space="0" w:color="auto"/>
        <w:left w:val="none" w:sz="0" w:space="0" w:color="auto"/>
        <w:bottom w:val="none" w:sz="0" w:space="0" w:color="auto"/>
        <w:right w:val="none" w:sz="0" w:space="0" w:color="auto"/>
      </w:divBdr>
    </w:div>
    <w:div w:id="1107852084">
      <w:bodyDiv w:val="1"/>
      <w:marLeft w:val="0"/>
      <w:marRight w:val="0"/>
      <w:marTop w:val="0"/>
      <w:marBottom w:val="0"/>
      <w:divBdr>
        <w:top w:val="none" w:sz="0" w:space="0" w:color="auto"/>
        <w:left w:val="none" w:sz="0" w:space="0" w:color="auto"/>
        <w:bottom w:val="none" w:sz="0" w:space="0" w:color="auto"/>
        <w:right w:val="none" w:sz="0" w:space="0" w:color="auto"/>
      </w:divBdr>
    </w:div>
    <w:div w:id="1107852952">
      <w:bodyDiv w:val="1"/>
      <w:marLeft w:val="0"/>
      <w:marRight w:val="0"/>
      <w:marTop w:val="0"/>
      <w:marBottom w:val="0"/>
      <w:divBdr>
        <w:top w:val="none" w:sz="0" w:space="0" w:color="auto"/>
        <w:left w:val="none" w:sz="0" w:space="0" w:color="auto"/>
        <w:bottom w:val="none" w:sz="0" w:space="0" w:color="auto"/>
        <w:right w:val="none" w:sz="0" w:space="0" w:color="auto"/>
      </w:divBdr>
    </w:div>
    <w:div w:id="1108112978">
      <w:bodyDiv w:val="1"/>
      <w:marLeft w:val="0"/>
      <w:marRight w:val="0"/>
      <w:marTop w:val="0"/>
      <w:marBottom w:val="0"/>
      <w:divBdr>
        <w:top w:val="none" w:sz="0" w:space="0" w:color="auto"/>
        <w:left w:val="none" w:sz="0" w:space="0" w:color="auto"/>
        <w:bottom w:val="none" w:sz="0" w:space="0" w:color="auto"/>
        <w:right w:val="none" w:sz="0" w:space="0" w:color="auto"/>
      </w:divBdr>
    </w:div>
    <w:div w:id="1108233295">
      <w:bodyDiv w:val="1"/>
      <w:marLeft w:val="0"/>
      <w:marRight w:val="0"/>
      <w:marTop w:val="0"/>
      <w:marBottom w:val="0"/>
      <w:divBdr>
        <w:top w:val="none" w:sz="0" w:space="0" w:color="auto"/>
        <w:left w:val="none" w:sz="0" w:space="0" w:color="auto"/>
        <w:bottom w:val="none" w:sz="0" w:space="0" w:color="auto"/>
        <w:right w:val="none" w:sz="0" w:space="0" w:color="auto"/>
      </w:divBdr>
    </w:div>
    <w:div w:id="1108236391">
      <w:bodyDiv w:val="1"/>
      <w:marLeft w:val="0"/>
      <w:marRight w:val="0"/>
      <w:marTop w:val="0"/>
      <w:marBottom w:val="0"/>
      <w:divBdr>
        <w:top w:val="none" w:sz="0" w:space="0" w:color="auto"/>
        <w:left w:val="none" w:sz="0" w:space="0" w:color="auto"/>
        <w:bottom w:val="none" w:sz="0" w:space="0" w:color="auto"/>
        <w:right w:val="none" w:sz="0" w:space="0" w:color="auto"/>
      </w:divBdr>
    </w:div>
    <w:div w:id="1108307719">
      <w:bodyDiv w:val="1"/>
      <w:marLeft w:val="0"/>
      <w:marRight w:val="0"/>
      <w:marTop w:val="0"/>
      <w:marBottom w:val="0"/>
      <w:divBdr>
        <w:top w:val="none" w:sz="0" w:space="0" w:color="auto"/>
        <w:left w:val="none" w:sz="0" w:space="0" w:color="auto"/>
        <w:bottom w:val="none" w:sz="0" w:space="0" w:color="auto"/>
        <w:right w:val="none" w:sz="0" w:space="0" w:color="auto"/>
      </w:divBdr>
    </w:div>
    <w:div w:id="1108352716">
      <w:bodyDiv w:val="1"/>
      <w:marLeft w:val="0"/>
      <w:marRight w:val="0"/>
      <w:marTop w:val="0"/>
      <w:marBottom w:val="0"/>
      <w:divBdr>
        <w:top w:val="none" w:sz="0" w:space="0" w:color="auto"/>
        <w:left w:val="none" w:sz="0" w:space="0" w:color="auto"/>
        <w:bottom w:val="none" w:sz="0" w:space="0" w:color="auto"/>
        <w:right w:val="none" w:sz="0" w:space="0" w:color="auto"/>
      </w:divBdr>
    </w:div>
    <w:div w:id="1108355324">
      <w:bodyDiv w:val="1"/>
      <w:marLeft w:val="0"/>
      <w:marRight w:val="0"/>
      <w:marTop w:val="0"/>
      <w:marBottom w:val="0"/>
      <w:divBdr>
        <w:top w:val="none" w:sz="0" w:space="0" w:color="auto"/>
        <w:left w:val="none" w:sz="0" w:space="0" w:color="auto"/>
        <w:bottom w:val="none" w:sz="0" w:space="0" w:color="auto"/>
        <w:right w:val="none" w:sz="0" w:space="0" w:color="auto"/>
      </w:divBdr>
    </w:div>
    <w:div w:id="1108542410">
      <w:bodyDiv w:val="1"/>
      <w:marLeft w:val="0"/>
      <w:marRight w:val="0"/>
      <w:marTop w:val="0"/>
      <w:marBottom w:val="0"/>
      <w:divBdr>
        <w:top w:val="none" w:sz="0" w:space="0" w:color="auto"/>
        <w:left w:val="none" w:sz="0" w:space="0" w:color="auto"/>
        <w:bottom w:val="none" w:sz="0" w:space="0" w:color="auto"/>
        <w:right w:val="none" w:sz="0" w:space="0" w:color="auto"/>
      </w:divBdr>
    </w:div>
    <w:div w:id="1108696476">
      <w:bodyDiv w:val="1"/>
      <w:marLeft w:val="0"/>
      <w:marRight w:val="0"/>
      <w:marTop w:val="0"/>
      <w:marBottom w:val="0"/>
      <w:divBdr>
        <w:top w:val="none" w:sz="0" w:space="0" w:color="auto"/>
        <w:left w:val="none" w:sz="0" w:space="0" w:color="auto"/>
        <w:bottom w:val="none" w:sz="0" w:space="0" w:color="auto"/>
        <w:right w:val="none" w:sz="0" w:space="0" w:color="auto"/>
      </w:divBdr>
    </w:div>
    <w:div w:id="1108890444">
      <w:bodyDiv w:val="1"/>
      <w:marLeft w:val="0"/>
      <w:marRight w:val="0"/>
      <w:marTop w:val="0"/>
      <w:marBottom w:val="0"/>
      <w:divBdr>
        <w:top w:val="none" w:sz="0" w:space="0" w:color="auto"/>
        <w:left w:val="none" w:sz="0" w:space="0" w:color="auto"/>
        <w:bottom w:val="none" w:sz="0" w:space="0" w:color="auto"/>
        <w:right w:val="none" w:sz="0" w:space="0" w:color="auto"/>
      </w:divBdr>
    </w:div>
    <w:div w:id="1108890736">
      <w:bodyDiv w:val="1"/>
      <w:marLeft w:val="0"/>
      <w:marRight w:val="0"/>
      <w:marTop w:val="0"/>
      <w:marBottom w:val="0"/>
      <w:divBdr>
        <w:top w:val="none" w:sz="0" w:space="0" w:color="auto"/>
        <w:left w:val="none" w:sz="0" w:space="0" w:color="auto"/>
        <w:bottom w:val="none" w:sz="0" w:space="0" w:color="auto"/>
        <w:right w:val="none" w:sz="0" w:space="0" w:color="auto"/>
      </w:divBdr>
    </w:div>
    <w:div w:id="1108893478">
      <w:bodyDiv w:val="1"/>
      <w:marLeft w:val="0"/>
      <w:marRight w:val="0"/>
      <w:marTop w:val="0"/>
      <w:marBottom w:val="0"/>
      <w:divBdr>
        <w:top w:val="none" w:sz="0" w:space="0" w:color="auto"/>
        <w:left w:val="none" w:sz="0" w:space="0" w:color="auto"/>
        <w:bottom w:val="none" w:sz="0" w:space="0" w:color="auto"/>
        <w:right w:val="none" w:sz="0" w:space="0" w:color="auto"/>
      </w:divBdr>
    </w:div>
    <w:div w:id="1108895037">
      <w:bodyDiv w:val="1"/>
      <w:marLeft w:val="0"/>
      <w:marRight w:val="0"/>
      <w:marTop w:val="0"/>
      <w:marBottom w:val="0"/>
      <w:divBdr>
        <w:top w:val="none" w:sz="0" w:space="0" w:color="auto"/>
        <w:left w:val="none" w:sz="0" w:space="0" w:color="auto"/>
        <w:bottom w:val="none" w:sz="0" w:space="0" w:color="auto"/>
        <w:right w:val="none" w:sz="0" w:space="0" w:color="auto"/>
      </w:divBdr>
    </w:div>
    <w:div w:id="1108963454">
      <w:bodyDiv w:val="1"/>
      <w:marLeft w:val="0"/>
      <w:marRight w:val="0"/>
      <w:marTop w:val="0"/>
      <w:marBottom w:val="0"/>
      <w:divBdr>
        <w:top w:val="none" w:sz="0" w:space="0" w:color="auto"/>
        <w:left w:val="none" w:sz="0" w:space="0" w:color="auto"/>
        <w:bottom w:val="none" w:sz="0" w:space="0" w:color="auto"/>
        <w:right w:val="none" w:sz="0" w:space="0" w:color="auto"/>
      </w:divBdr>
    </w:div>
    <w:div w:id="1109083448">
      <w:bodyDiv w:val="1"/>
      <w:marLeft w:val="0"/>
      <w:marRight w:val="0"/>
      <w:marTop w:val="0"/>
      <w:marBottom w:val="0"/>
      <w:divBdr>
        <w:top w:val="none" w:sz="0" w:space="0" w:color="auto"/>
        <w:left w:val="none" w:sz="0" w:space="0" w:color="auto"/>
        <w:bottom w:val="none" w:sz="0" w:space="0" w:color="auto"/>
        <w:right w:val="none" w:sz="0" w:space="0" w:color="auto"/>
      </w:divBdr>
    </w:div>
    <w:div w:id="1109154987">
      <w:bodyDiv w:val="1"/>
      <w:marLeft w:val="0"/>
      <w:marRight w:val="0"/>
      <w:marTop w:val="0"/>
      <w:marBottom w:val="0"/>
      <w:divBdr>
        <w:top w:val="none" w:sz="0" w:space="0" w:color="auto"/>
        <w:left w:val="none" w:sz="0" w:space="0" w:color="auto"/>
        <w:bottom w:val="none" w:sz="0" w:space="0" w:color="auto"/>
        <w:right w:val="none" w:sz="0" w:space="0" w:color="auto"/>
      </w:divBdr>
    </w:div>
    <w:div w:id="1109395432">
      <w:bodyDiv w:val="1"/>
      <w:marLeft w:val="0"/>
      <w:marRight w:val="0"/>
      <w:marTop w:val="0"/>
      <w:marBottom w:val="0"/>
      <w:divBdr>
        <w:top w:val="none" w:sz="0" w:space="0" w:color="auto"/>
        <w:left w:val="none" w:sz="0" w:space="0" w:color="auto"/>
        <w:bottom w:val="none" w:sz="0" w:space="0" w:color="auto"/>
        <w:right w:val="none" w:sz="0" w:space="0" w:color="auto"/>
      </w:divBdr>
    </w:div>
    <w:div w:id="1109399791">
      <w:bodyDiv w:val="1"/>
      <w:marLeft w:val="0"/>
      <w:marRight w:val="0"/>
      <w:marTop w:val="0"/>
      <w:marBottom w:val="0"/>
      <w:divBdr>
        <w:top w:val="none" w:sz="0" w:space="0" w:color="auto"/>
        <w:left w:val="none" w:sz="0" w:space="0" w:color="auto"/>
        <w:bottom w:val="none" w:sz="0" w:space="0" w:color="auto"/>
        <w:right w:val="none" w:sz="0" w:space="0" w:color="auto"/>
      </w:divBdr>
    </w:div>
    <w:div w:id="1109544162">
      <w:bodyDiv w:val="1"/>
      <w:marLeft w:val="0"/>
      <w:marRight w:val="0"/>
      <w:marTop w:val="0"/>
      <w:marBottom w:val="0"/>
      <w:divBdr>
        <w:top w:val="none" w:sz="0" w:space="0" w:color="auto"/>
        <w:left w:val="none" w:sz="0" w:space="0" w:color="auto"/>
        <w:bottom w:val="none" w:sz="0" w:space="0" w:color="auto"/>
        <w:right w:val="none" w:sz="0" w:space="0" w:color="auto"/>
      </w:divBdr>
    </w:div>
    <w:div w:id="1109618246">
      <w:bodyDiv w:val="1"/>
      <w:marLeft w:val="0"/>
      <w:marRight w:val="0"/>
      <w:marTop w:val="0"/>
      <w:marBottom w:val="0"/>
      <w:divBdr>
        <w:top w:val="none" w:sz="0" w:space="0" w:color="auto"/>
        <w:left w:val="none" w:sz="0" w:space="0" w:color="auto"/>
        <w:bottom w:val="none" w:sz="0" w:space="0" w:color="auto"/>
        <w:right w:val="none" w:sz="0" w:space="0" w:color="auto"/>
      </w:divBdr>
    </w:div>
    <w:div w:id="1109736843">
      <w:bodyDiv w:val="1"/>
      <w:marLeft w:val="0"/>
      <w:marRight w:val="0"/>
      <w:marTop w:val="0"/>
      <w:marBottom w:val="0"/>
      <w:divBdr>
        <w:top w:val="none" w:sz="0" w:space="0" w:color="auto"/>
        <w:left w:val="none" w:sz="0" w:space="0" w:color="auto"/>
        <w:bottom w:val="none" w:sz="0" w:space="0" w:color="auto"/>
        <w:right w:val="none" w:sz="0" w:space="0" w:color="auto"/>
      </w:divBdr>
    </w:div>
    <w:div w:id="1109743469">
      <w:bodyDiv w:val="1"/>
      <w:marLeft w:val="0"/>
      <w:marRight w:val="0"/>
      <w:marTop w:val="0"/>
      <w:marBottom w:val="0"/>
      <w:divBdr>
        <w:top w:val="none" w:sz="0" w:space="0" w:color="auto"/>
        <w:left w:val="none" w:sz="0" w:space="0" w:color="auto"/>
        <w:bottom w:val="none" w:sz="0" w:space="0" w:color="auto"/>
        <w:right w:val="none" w:sz="0" w:space="0" w:color="auto"/>
      </w:divBdr>
    </w:div>
    <w:div w:id="1109809884">
      <w:bodyDiv w:val="1"/>
      <w:marLeft w:val="0"/>
      <w:marRight w:val="0"/>
      <w:marTop w:val="0"/>
      <w:marBottom w:val="0"/>
      <w:divBdr>
        <w:top w:val="none" w:sz="0" w:space="0" w:color="auto"/>
        <w:left w:val="none" w:sz="0" w:space="0" w:color="auto"/>
        <w:bottom w:val="none" w:sz="0" w:space="0" w:color="auto"/>
        <w:right w:val="none" w:sz="0" w:space="0" w:color="auto"/>
      </w:divBdr>
    </w:div>
    <w:div w:id="1109934686">
      <w:bodyDiv w:val="1"/>
      <w:marLeft w:val="0"/>
      <w:marRight w:val="0"/>
      <w:marTop w:val="0"/>
      <w:marBottom w:val="0"/>
      <w:divBdr>
        <w:top w:val="none" w:sz="0" w:space="0" w:color="auto"/>
        <w:left w:val="none" w:sz="0" w:space="0" w:color="auto"/>
        <w:bottom w:val="none" w:sz="0" w:space="0" w:color="auto"/>
        <w:right w:val="none" w:sz="0" w:space="0" w:color="auto"/>
      </w:divBdr>
    </w:div>
    <w:div w:id="1109935688">
      <w:bodyDiv w:val="1"/>
      <w:marLeft w:val="0"/>
      <w:marRight w:val="0"/>
      <w:marTop w:val="0"/>
      <w:marBottom w:val="0"/>
      <w:divBdr>
        <w:top w:val="none" w:sz="0" w:space="0" w:color="auto"/>
        <w:left w:val="none" w:sz="0" w:space="0" w:color="auto"/>
        <w:bottom w:val="none" w:sz="0" w:space="0" w:color="auto"/>
        <w:right w:val="none" w:sz="0" w:space="0" w:color="auto"/>
      </w:divBdr>
    </w:div>
    <w:div w:id="1110010911">
      <w:bodyDiv w:val="1"/>
      <w:marLeft w:val="0"/>
      <w:marRight w:val="0"/>
      <w:marTop w:val="0"/>
      <w:marBottom w:val="0"/>
      <w:divBdr>
        <w:top w:val="none" w:sz="0" w:space="0" w:color="auto"/>
        <w:left w:val="none" w:sz="0" w:space="0" w:color="auto"/>
        <w:bottom w:val="none" w:sz="0" w:space="0" w:color="auto"/>
        <w:right w:val="none" w:sz="0" w:space="0" w:color="auto"/>
      </w:divBdr>
    </w:div>
    <w:div w:id="1110080469">
      <w:bodyDiv w:val="1"/>
      <w:marLeft w:val="0"/>
      <w:marRight w:val="0"/>
      <w:marTop w:val="0"/>
      <w:marBottom w:val="0"/>
      <w:divBdr>
        <w:top w:val="none" w:sz="0" w:space="0" w:color="auto"/>
        <w:left w:val="none" w:sz="0" w:space="0" w:color="auto"/>
        <w:bottom w:val="none" w:sz="0" w:space="0" w:color="auto"/>
        <w:right w:val="none" w:sz="0" w:space="0" w:color="auto"/>
      </w:divBdr>
    </w:div>
    <w:div w:id="1110203753">
      <w:bodyDiv w:val="1"/>
      <w:marLeft w:val="0"/>
      <w:marRight w:val="0"/>
      <w:marTop w:val="0"/>
      <w:marBottom w:val="0"/>
      <w:divBdr>
        <w:top w:val="none" w:sz="0" w:space="0" w:color="auto"/>
        <w:left w:val="none" w:sz="0" w:space="0" w:color="auto"/>
        <w:bottom w:val="none" w:sz="0" w:space="0" w:color="auto"/>
        <w:right w:val="none" w:sz="0" w:space="0" w:color="auto"/>
      </w:divBdr>
    </w:div>
    <w:div w:id="1110470520">
      <w:bodyDiv w:val="1"/>
      <w:marLeft w:val="0"/>
      <w:marRight w:val="0"/>
      <w:marTop w:val="0"/>
      <w:marBottom w:val="0"/>
      <w:divBdr>
        <w:top w:val="none" w:sz="0" w:space="0" w:color="auto"/>
        <w:left w:val="none" w:sz="0" w:space="0" w:color="auto"/>
        <w:bottom w:val="none" w:sz="0" w:space="0" w:color="auto"/>
        <w:right w:val="none" w:sz="0" w:space="0" w:color="auto"/>
      </w:divBdr>
    </w:div>
    <w:div w:id="1110584309">
      <w:bodyDiv w:val="1"/>
      <w:marLeft w:val="0"/>
      <w:marRight w:val="0"/>
      <w:marTop w:val="0"/>
      <w:marBottom w:val="0"/>
      <w:divBdr>
        <w:top w:val="none" w:sz="0" w:space="0" w:color="auto"/>
        <w:left w:val="none" w:sz="0" w:space="0" w:color="auto"/>
        <w:bottom w:val="none" w:sz="0" w:space="0" w:color="auto"/>
        <w:right w:val="none" w:sz="0" w:space="0" w:color="auto"/>
      </w:divBdr>
    </w:div>
    <w:div w:id="1110588721">
      <w:bodyDiv w:val="1"/>
      <w:marLeft w:val="0"/>
      <w:marRight w:val="0"/>
      <w:marTop w:val="0"/>
      <w:marBottom w:val="0"/>
      <w:divBdr>
        <w:top w:val="none" w:sz="0" w:space="0" w:color="auto"/>
        <w:left w:val="none" w:sz="0" w:space="0" w:color="auto"/>
        <w:bottom w:val="none" w:sz="0" w:space="0" w:color="auto"/>
        <w:right w:val="none" w:sz="0" w:space="0" w:color="auto"/>
      </w:divBdr>
    </w:div>
    <w:div w:id="1110710525">
      <w:bodyDiv w:val="1"/>
      <w:marLeft w:val="0"/>
      <w:marRight w:val="0"/>
      <w:marTop w:val="0"/>
      <w:marBottom w:val="0"/>
      <w:divBdr>
        <w:top w:val="none" w:sz="0" w:space="0" w:color="auto"/>
        <w:left w:val="none" w:sz="0" w:space="0" w:color="auto"/>
        <w:bottom w:val="none" w:sz="0" w:space="0" w:color="auto"/>
        <w:right w:val="none" w:sz="0" w:space="0" w:color="auto"/>
      </w:divBdr>
    </w:div>
    <w:div w:id="1110735558">
      <w:bodyDiv w:val="1"/>
      <w:marLeft w:val="0"/>
      <w:marRight w:val="0"/>
      <w:marTop w:val="0"/>
      <w:marBottom w:val="0"/>
      <w:divBdr>
        <w:top w:val="none" w:sz="0" w:space="0" w:color="auto"/>
        <w:left w:val="none" w:sz="0" w:space="0" w:color="auto"/>
        <w:bottom w:val="none" w:sz="0" w:space="0" w:color="auto"/>
        <w:right w:val="none" w:sz="0" w:space="0" w:color="auto"/>
      </w:divBdr>
    </w:div>
    <w:div w:id="1111164897">
      <w:bodyDiv w:val="1"/>
      <w:marLeft w:val="0"/>
      <w:marRight w:val="0"/>
      <w:marTop w:val="0"/>
      <w:marBottom w:val="0"/>
      <w:divBdr>
        <w:top w:val="none" w:sz="0" w:space="0" w:color="auto"/>
        <w:left w:val="none" w:sz="0" w:space="0" w:color="auto"/>
        <w:bottom w:val="none" w:sz="0" w:space="0" w:color="auto"/>
        <w:right w:val="none" w:sz="0" w:space="0" w:color="auto"/>
      </w:divBdr>
    </w:div>
    <w:div w:id="1111170847">
      <w:bodyDiv w:val="1"/>
      <w:marLeft w:val="0"/>
      <w:marRight w:val="0"/>
      <w:marTop w:val="0"/>
      <w:marBottom w:val="0"/>
      <w:divBdr>
        <w:top w:val="none" w:sz="0" w:space="0" w:color="auto"/>
        <w:left w:val="none" w:sz="0" w:space="0" w:color="auto"/>
        <w:bottom w:val="none" w:sz="0" w:space="0" w:color="auto"/>
        <w:right w:val="none" w:sz="0" w:space="0" w:color="auto"/>
      </w:divBdr>
    </w:div>
    <w:div w:id="1111391294">
      <w:bodyDiv w:val="1"/>
      <w:marLeft w:val="0"/>
      <w:marRight w:val="0"/>
      <w:marTop w:val="0"/>
      <w:marBottom w:val="0"/>
      <w:divBdr>
        <w:top w:val="none" w:sz="0" w:space="0" w:color="auto"/>
        <w:left w:val="none" w:sz="0" w:space="0" w:color="auto"/>
        <w:bottom w:val="none" w:sz="0" w:space="0" w:color="auto"/>
        <w:right w:val="none" w:sz="0" w:space="0" w:color="auto"/>
      </w:divBdr>
    </w:div>
    <w:div w:id="1111436444">
      <w:bodyDiv w:val="1"/>
      <w:marLeft w:val="0"/>
      <w:marRight w:val="0"/>
      <w:marTop w:val="0"/>
      <w:marBottom w:val="0"/>
      <w:divBdr>
        <w:top w:val="none" w:sz="0" w:space="0" w:color="auto"/>
        <w:left w:val="none" w:sz="0" w:space="0" w:color="auto"/>
        <w:bottom w:val="none" w:sz="0" w:space="0" w:color="auto"/>
        <w:right w:val="none" w:sz="0" w:space="0" w:color="auto"/>
      </w:divBdr>
    </w:div>
    <w:div w:id="1111437683">
      <w:bodyDiv w:val="1"/>
      <w:marLeft w:val="0"/>
      <w:marRight w:val="0"/>
      <w:marTop w:val="0"/>
      <w:marBottom w:val="0"/>
      <w:divBdr>
        <w:top w:val="none" w:sz="0" w:space="0" w:color="auto"/>
        <w:left w:val="none" w:sz="0" w:space="0" w:color="auto"/>
        <w:bottom w:val="none" w:sz="0" w:space="0" w:color="auto"/>
        <w:right w:val="none" w:sz="0" w:space="0" w:color="auto"/>
      </w:divBdr>
    </w:div>
    <w:div w:id="1111507286">
      <w:bodyDiv w:val="1"/>
      <w:marLeft w:val="0"/>
      <w:marRight w:val="0"/>
      <w:marTop w:val="0"/>
      <w:marBottom w:val="0"/>
      <w:divBdr>
        <w:top w:val="none" w:sz="0" w:space="0" w:color="auto"/>
        <w:left w:val="none" w:sz="0" w:space="0" w:color="auto"/>
        <w:bottom w:val="none" w:sz="0" w:space="0" w:color="auto"/>
        <w:right w:val="none" w:sz="0" w:space="0" w:color="auto"/>
      </w:divBdr>
    </w:div>
    <w:div w:id="1111628003">
      <w:bodyDiv w:val="1"/>
      <w:marLeft w:val="0"/>
      <w:marRight w:val="0"/>
      <w:marTop w:val="0"/>
      <w:marBottom w:val="0"/>
      <w:divBdr>
        <w:top w:val="none" w:sz="0" w:space="0" w:color="auto"/>
        <w:left w:val="none" w:sz="0" w:space="0" w:color="auto"/>
        <w:bottom w:val="none" w:sz="0" w:space="0" w:color="auto"/>
        <w:right w:val="none" w:sz="0" w:space="0" w:color="auto"/>
      </w:divBdr>
    </w:div>
    <w:div w:id="1111701966">
      <w:bodyDiv w:val="1"/>
      <w:marLeft w:val="0"/>
      <w:marRight w:val="0"/>
      <w:marTop w:val="0"/>
      <w:marBottom w:val="0"/>
      <w:divBdr>
        <w:top w:val="none" w:sz="0" w:space="0" w:color="auto"/>
        <w:left w:val="none" w:sz="0" w:space="0" w:color="auto"/>
        <w:bottom w:val="none" w:sz="0" w:space="0" w:color="auto"/>
        <w:right w:val="none" w:sz="0" w:space="0" w:color="auto"/>
      </w:divBdr>
    </w:div>
    <w:div w:id="1111708076">
      <w:bodyDiv w:val="1"/>
      <w:marLeft w:val="0"/>
      <w:marRight w:val="0"/>
      <w:marTop w:val="0"/>
      <w:marBottom w:val="0"/>
      <w:divBdr>
        <w:top w:val="none" w:sz="0" w:space="0" w:color="auto"/>
        <w:left w:val="none" w:sz="0" w:space="0" w:color="auto"/>
        <w:bottom w:val="none" w:sz="0" w:space="0" w:color="auto"/>
        <w:right w:val="none" w:sz="0" w:space="0" w:color="auto"/>
      </w:divBdr>
    </w:div>
    <w:div w:id="1111826769">
      <w:bodyDiv w:val="1"/>
      <w:marLeft w:val="0"/>
      <w:marRight w:val="0"/>
      <w:marTop w:val="0"/>
      <w:marBottom w:val="0"/>
      <w:divBdr>
        <w:top w:val="none" w:sz="0" w:space="0" w:color="auto"/>
        <w:left w:val="none" w:sz="0" w:space="0" w:color="auto"/>
        <w:bottom w:val="none" w:sz="0" w:space="0" w:color="auto"/>
        <w:right w:val="none" w:sz="0" w:space="0" w:color="auto"/>
      </w:divBdr>
    </w:div>
    <w:div w:id="1111900684">
      <w:bodyDiv w:val="1"/>
      <w:marLeft w:val="0"/>
      <w:marRight w:val="0"/>
      <w:marTop w:val="0"/>
      <w:marBottom w:val="0"/>
      <w:divBdr>
        <w:top w:val="none" w:sz="0" w:space="0" w:color="auto"/>
        <w:left w:val="none" w:sz="0" w:space="0" w:color="auto"/>
        <w:bottom w:val="none" w:sz="0" w:space="0" w:color="auto"/>
        <w:right w:val="none" w:sz="0" w:space="0" w:color="auto"/>
      </w:divBdr>
    </w:div>
    <w:div w:id="1111973369">
      <w:bodyDiv w:val="1"/>
      <w:marLeft w:val="0"/>
      <w:marRight w:val="0"/>
      <w:marTop w:val="0"/>
      <w:marBottom w:val="0"/>
      <w:divBdr>
        <w:top w:val="none" w:sz="0" w:space="0" w:color="auto"/>
        <w:left w:val="none" w:sz="0" w:space="0" w:color="auto"/>
        <w:bottom w:val="none" w:sz="0" w:space="0" w:color="auto"/>
        <w:right w:val="none" w:sz="0" w:space="0" w:color="auto"/>
      </w:divBdr>
    </w:div>
    <w:div w:id="1111977017">
      <w:bodyDiv w:val="1"/>
      <w:marLeft w:val="0"/>
      <w:marRight w:val="0"/>
      <w:marTop w:val="0"/>
      <w:marBottom w:val="0"/>
      <w:divBdr>
        <w:top w:val="none" w:sz="0" w:space="0" w:color="auto"/>
        <w:left w:val="none" w:sz="0" w:space="0" w:color="auto"/>
        <w:bottom w:val="none" w:sz="0" w:space="0" w:color="auto"/>
        <w:right w:val="none" w:sz="0" w:space="0" w:color="auto"/>
      </w:divBdr>
    </w:div>
    <w:div w:id="1112088828">
      <w:bodyDiv w:val="1"/>
      <w:marLeft w:val="0"/>
      <w:marRight w:val="0"/>
      <w:marTop w:val="0"/>
      <w:marBottom w:val="0"/>
      <w:divBdr>
        <w:top w:val="none" w:sz="0" w:space="0" w:color="auto"/>
        <w:left w:val="none" w:sz="0" w:space="0" w:color="auto"/>
        <w:bottom w:val="none" w:sz="0" w:space="0" w:color="auto"/>
        <w:right w:val="none" w:sz="0" w:space="0" w:color="auto"/>
      </w:divBdr>
    </w:div>
    <w:div w:id="1112092978">
      <w:bodyDiv w:val="1"/>
      <w:marLeft w:val="0"/>
      <w:marRight w:val="0"/>
      <w:marTop w:val="0"/>
      <w:marBottom w:val="0"/>
      <w:divBdr>
        <w:top w:val="none" w:sz="0" w:space="0" w:color="auto"/>
        <w:left w:val="none" w:sz="0" w:space="0" w:color="auto"/>
        <w:bottom w:val="none" w:sz="0" w:space="0" w:color="auto"/>
        <w:right w:val="none" w:sz="0" w:space="0" w:color="auto"/>
      </w:divBdr>
    </w:div>
    <w:div w:id="1112095128">
      <w:bodyDiv w:val="1"/>
      <w:marLeft w:val="0"/>
      <w:marRight w:val="0"/>
      <w:marTop w:val="0"/>
      <w:marBottom w:val="0"/>
      <w:divBdr>
        <w:top w:val="none" w:sz="0" w:space="0" w:color="auto"/>
        <w:left w:val="none" w:sz="0" w:space="0" w:color="auto"/>
        <w:bottom w:val="none" w:sz="0" w:space="0" w:color="auto"/>
        <w:right w:val="none" w:sz="0" w:space="0" w:color="auto"/>
      </w:divBdr>
    </w:div>
    <w:div w:id="1112167010">
      <w:bodyDiv w:val="1"/>
      <w:marLeft w:val="0"/>
      <w:marRight w:val="0"/>
      <w:marTop w:val="0"/>
      <w:marBottom w:val="0"/>
      <w:divBdr>
        <w:top w:val="none" w:sz="0" w:space="0" w:color="auto"/>
        <w:left w:val="none" w:sz="0" w:space="0" w:color="auto"/>
        <w:bottom w:val="none" w:sz="0" w:space="0" w:color="auto"/>
        <w:right w:val="none" w:sz="0" w:space="0" w:color="auto"/>
      </w:divBdr>
    </w:div>
    <w:div w:id="1112238839">
      <w:bodyDiv w:val="1"/>
      <w:marLeft w:val="0"/>
      <w:marRight w:val="0"/>
      <w:marTop w:val="0"/>
      <w:marBottom w:val="0"/>
      <w:divBdr>
        <w:top w:val="none" w:sz="0" w:space="0" w:color="auto"/>
        <w:left w:val="none" w:sz="0" w:space="0" w:color="auto"/>
        <w:bottom w:val="none" w:sz="0" w:space="0" w:color="auto"/>
        <w:right w:val="none" w:sz="0" w:space="0" w:color="auto"/>
      </w:divBdr>
    </w:div>
    <w:div w:id="1112356083">
      <w:bodyDiv w:val="1"/>
      <w:marLeft w:val="0"/>
      <w:marRight w:val="0"/>
      <w:marTop w:val="0"/>
      <w:marBottom w:val="0"/>
      <w:divBdr>
        <w:top w:val="none" w:sz="0" w:space="0" w:color="auto"/>
        <w:left w:val="none" w:sz="0" w:space="0" w:color="auto"/>
        <w:bottom w:val="none" w:sz="0" w:space="0" w:color="auto"/>
        <w:right w:val="none" w:sz="0" w:space="0" w:color="auto"/>
      </w:divBdr>
    </w:div>
    <w:div w:id="1112479721">
      <w:bodyDiv w:val="1"/>
      <w:marLeft w:val="0"/>
      <w:marRight w:val="0"/>
      <w:marTop w:val="0"/>
      <w:marBottom w:val="0"/>
      <w:divBdr>
        <w:top w:val="none" w:sz="0" w:space="0" w:color="auto"/>
        <w:left w:val="none" w:sz="0" w:space="0" w:color="auto"/>
        <w:bottom w:val="none" w:sz="0" w:space="0" w:color="auto"/>
        <w:right w:val="none" w:sz="0" w:space="0" w:color="auto"/>
      </w:divBdr>
    </w:div>
    <w:div w:id="1112628419">
      <w:bodyDiv w:val="1"/>
      <w:marLeft w:val="0"/>
      <w:marRight w:val="0"/>
      <w:marTop w:val="0"/>
      <w:marBottom w:val="0"/>
      <w:divBdr>
        <w:top w:val="none" w:sz="0" w:space="0" w:color="auto"/>
        <w:left w:val="none" w:sz="0" w:space="0" w:color="auto"/>
        <w:bottom w:val="none" w:sz="0" w:space="0" w:color="auto"/>
        <w:right w:val="none" w:sz="0" w:space="0" w:color="auto"/>
      </w:divBdr>
    </w:div>
    <w:div w:id="1112633456">
      <w:bodyDiv w:val="1"/>
      <w:marLeft w:val="0"/>
      <w:marRight w:val="0"/>
      <w:marTop w:val="0"/>
      <w:marBottom w:val="0"/>
      <w:divBdr>
        <w:top w:val="none" w:sz="0" w:space="0" w:color="auto"/>
        <w:left w:val="none" w:sz="0" w:space="0" w:color="auto"/>
        <w:bottom w:val="none" w:sz="0" w:space="0" w:color="auto"/>
        <w:right w:val="none" w:sz="0" w:space="0" w:color="auto"/>
      </w:divBdr>
    </w:div>
    <w:div w:id="1112670319">
      <w:bodyDiv w:val="1"/>
      <w:marLeft w:val="0"/>
      <w:marRight w:val="0"/>
      <w:marTop w:val="0"/>
      <w:marBottom w:val="0"/>
      <w:divBdr>
        <w:top w:val="none" w:sz="0" w:space="0" w:color="auto"/>
        <w:left w:val="none" w:sz="0" w:space="0" w:color="auto"/>
        <w:bottom w:val="none" w:sz="0" w:space="0" w:color="auto"/>
        <w:right w:val="none" w:sz="0" w:space="0" w:color="auto"/>
      </w:divBdr>
    </w:div>
    <w:div w:id="1112699832">
      <w:bodyDiv w:val="1"/>
      <w:marLeft w:val="0"/>
      <w:marRight w:val="0"/>
      <w:marTop w:val="0"/>
      <w:marBottom w:val="0"/>
      <w:divBdr>
        <w:top w:val="none" w:sz="0" w:space="0" w:color="auto"/>
        <w:left w:val="none" w:sz="0" w:space="0" w:color="auto"/>
        <w:bottom w:val="none" w:sz="0" w:space="0" w:color="auto"/>
        <w:right w:val="none" w:sz="0" w:space="0" w:color="auto"/>
      </w:divBdr>
    </w:div>
    <w:div w:id="1112700937">
      <w:bodyDiv w:val="1"/>
      <w:marLeft w:val="0"/>
      <w:marRight w:val="0"/>
      <w:marTop w:val="0"/>
      <w:marBottom w:val="0"/>
      <w:divBdr>
        <w:top w:val="none" w:sz="0" w:space="0" w:color="auto"/>
        <w:left w:val="none" w:sz="0" w:space="0" w:color="auto"/>
        <w:bottom w:val="none" w:sz="0" w:space="0" w:color="auto"/>
        <w:right w:val="none" w:sz="0" w:space="0" w:color="auto"/>
      </w:divBdr>
    </w:div>
    <w:div w:id="1112701075">
      <w:bodyDiv w:val="1"/>
      <w:marLeft w:val="0"/>
      <w:marRight w:val="0"/>
      <w:marTop w:val="0"/>
      <w:marBottom w:val="0"/>
      <w:divBdr>
        <w:top w:val="none" w:sz="0" w:space="0" w:color="auto"/>
        <w:left w:val="none" w:sz="0" w:space="0" w:color="auto"/>
        <w:bottom w:val="none" w:sz="0" w:space="0" w:color="auto"/>
        <w:right w:val="none" w:sz="0" w:space="0" w:color="auto"/>
      </w:divBdr>
    </w:div>
    <w:div w:id="1112744854">
      <w:bodyDiv w:val="1"/>
      <w:marLeft w:val="0"/>
      <w:marRight w:val="0"/>
      <w:marTop w:val="0"/>
      <w:marBottom w:val="0"/>
      <w:divBdr>
        <w:top w:val="none" w:sz="0" w:space="0" w:color="auto"/>
        <w:left w:val="none" w:sz="0" w:space="0" w:color="auto"/>
        <w:bottom w:val="none" w:sz="0" w:space="0" w:color="auto"/>
        <w:right w:val="none" w:sz="0" w:space="0" w:color="auto"/>
      </w:divBdr>
    </w:div>
    <w:div w:id="1112823988">
      <w:bodyDiv w:val="1"/>
      <w:marLeft w:val="0"/>
      <w:marRight w:val="0"/>
      <w:marTop w:val="0"/>
      <w:marBottom w:val="0"/>
      <w:divBdr>
        <w:top w:val="none" w:sz="0" w:space="0" w:color="auto"/>
        <w:left w:val="none" w:sz="0" w:space="0" w:color="auto"/>
        <w:bottom w:val="none" w:sz="0" w:space="0" w:color="auto"/>
        <w:right w:val="none" w:sz="0" w:space="0" w:color="auto"/>
      </w:divBdr>
    </w:div>
    <w:div w:id="1112824880">
      <w:bodyDiv w:val="1"/>
      <w:marLeft w:val="0"/>
      <w:marRight w:val="0"/>
      <w:marTop w:val="0"/>
      <w:marBottom w:val="0"/>
      <w:divBdr>
        <w:top w:val="none" w:sz="0" w:space="0" w:color="auto"/>
        <w:left w:val="none" w:sz="0" w:space="0" w:color="auto"/>
        <w:bottom w:val="none" w:sz="0" w:space="0" w:color="auto"/>
        <w:right w:val="none" w:sz="0" w:space="0" w:color="auto"/>
      </w:divBdr>
    </w:div>
    <w:div w:id="1112825118">
      <w:bodyDiv w:val="1"/>
      <w:marLeft w:val="0"/>
      <w:marRight w:val="0"/>
      <w:marTop w:val="0"/>
      <w:marBottom w:val="0"/>
      <w:divBdr>
        <w:top w:val="none" w:sz="0" w:space="0" w:color="auto"/>
        <w:left w:val="none" w:sz="0" w:space="0" w:color="auto"/>
        <w:bottom w:val="none" w:sz="0" w:space="0" w:color="auto"/>
        <w:right w:val="none" w:sz="0" w:space="0" w:color="auto"/>
      </w:divBdr>
    </w:div>
    <w:div w:id="1113014742">
      <w:bodyDiv w:val="1"/>
      <w:marLeft w:val="0"/>
      <w:marRight w:val="0"/>
      <w:marTop w:val="0"/>
      <w:marBottom w:val="0"/>
      <w:divBdr>
        <w:top w:val="none" w:sz="0" w:space="0" w:color="auto"/>
        <w:left w:val="none" w:sz="0" w:space="0" w:color="auto"/>
        <w:bottom w:val="none" w:sz="0" w:space="0" w:color="auto"/>
        <w:right w:val="none" w:sz="0" w:space="0" w:color="auto"/>
      </w:divBdr>
    </w:div>
    <w:div w:id="1113213464">
      <w:bodyDiv w:val="1"/>
      <w:marLeft w:val="0"/>
      <w:marRight w:val="0"/>
      <w:marTop w:val="0"/>
      <w:marBottom w:val="0"/>
      <w:divBdr>
        <w:top w:val="none" w:sz="0" w:space="0" w:color="auto"/>
        <w:left w:val="none" w:sz="0" w:space="0" w:color="auto"/>
        <w:bottom w:val="none" w:sz="0" w:space="0" w:color="auto"/>
        <w:right w:val="none" w:sz="0" w:space="0" w:color="auto"/>
      </w:divBdr>
    </w:div>
    <w:div w:id="1113672482">
      <w:bodyDiv w:val="1"/>
      <w:marLeft w:val="0"/>
      <w:marRight w:val="0"/>
      <w:marTop w:val="0"/>
      <w:marBottom w:val="0"/>
      <w:divBdr>
        <w:top w:val="none" w:sz="0" w:space="0" w:color="auto"/>
        <w:left w:val="none" w:sz="0" w:space="0" w:color="auto"/>
        <w:bottom w:val="none" w:sz="0" w:space="0" w:color="auto"/>
        <w:right w:val="none" w:sz="0" w:space="0" w:color="auto"/>
      </w:divBdr>
    </w:div>
    <w:div w:id="1113746645">
      <w:bodyDiv w:val="1"/>
      <w:marLeft w:val="0"/>
      <w:marRight w:val="0"/>
      <w:marTop w:val="0"/>
      <w:marBottom w:val="0"/>
      <w:divBdr>
        <w:top w:val="none" w:sz="0" w:space="0" w:color="auto"/>
        <w:left w:val="none" w:sz="0" w:space="0" w:color="auto"/>
        <w:bottom w:val="none" w:sz="0" w:space="0" w:color="auto"/>
        <w:right w:val="none" w:sz="0" w:space="0" w:color="auto"/>
      </w:divBdr>
    </w:div>
    <w:div w:id="1113786230">
      <w:bodyDiv w:val="1"/>
      <w:marLeft w:val="0"/>
      <w:marRight w:val="0"/>
      <w:marTop w:val="0"/>
      <w:marBottom w:val="0"/>
      <w:divBdr>
        <w:top w:val="none" w:sz="0" w:space="0" w:color="auto"/>
        <w:left w:val="none" w:sz="0" w:space="0" w:color="auto"/>
        <w:bottom w:val="none" w:sz="0" w:space="0" w:color="auto"/>
        <w:right w:val="none" w:sz="0" w:space="0" w:color="auto"/>
      </w:divBdr>
    </w:div>
    <w:div w:id="1113863956">
      <w:bodyDiv w:val="1"/>
      <w:marLeft w:val="0"/>
      <w:marRight w:val="0"/>
      <w:marTop w:val="0"/>
      <w:marBottom w:val="0"/>
      <w:divBdr>
        <w:top w:val="none" w:sz="0" w:space="0" w:color="auto"/>
        <w:left w:val="none" w:sz="0" w:space="0" w:color="auto"/>
        <w:bottom w:val="none" w:sz="0" w:space="0" w:color="auto"/>
        <w:right w:val="none" w:sz="0" w:space="0" w:color="auto"/>
      </w:divBdr>
    </w:div>
    <w:div w:id="1113935282">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3939770">
      <w:bodyDiv w:val="1"/>
      <w:marLeft w:val="0"/>
      <w:marRight w:val="0"/>
      <w:marTop w:val="0"/>
      <w:marBottom w:val="0"/>
      <w:divBdr>
        <w:top w:val="none" w:sz="0" w:space="0" w:color="auto"/>
        <w:left w:val="none" w:sz="0" w:space="0" w:color="auto"/>
        <w:bottom w:val="none" w:sz="0" w:space="0" w:color="auto"/>
        <w:right w:val="none" w:sz="0" w:space="0" w:color="auto"/>
      </w:divBdr>
    </w:div>
    <w:div w:id="1113941733">
      <w:bodyDiv w:val="1"/>
      <w:marLeft w:val="0"/>
      <w:marRight w:val="0"/>
      <w:marTop w:val="0"/>
      <w:marBottom w:val="0"/>
      <w:divBdr>
        <w:top w:val="none" w:sz="0" w:space="0" w:color="auto"/>
        <w:left w:val="none" w:sz="0" w:space="0" w:color="auto"/>
        <w:bottom w:val="none" w:sz="0" w:space="0" w:color="auto"/>
        <w:right w:val="none" w:sz="0" w:space="0" w:color="auto"/>
      </w:divBdr>
    </w:div>
    <w:div w:id="1114056171">
      <w:bodyDiv w:val="1"/>
      <w:marLeft w:val="0"/>
      <w:marRight w:val="0"/>
      <w:marTop w:val="0"/>
      <w:marBottom w:val="0"/>
      <w:divBdr>
        <w:top w:val="none" w:sz="0" w:space="0" w:color="auto"/>
        <w:left w:val="none" w:sz="0" w:space="0" w:color="auto"/>
        <w:bottom w:val="none" w:sz="0" w:space="0" w:color="auto"/>
        <w:right w:val="none" w:sz="0" w:space="0" w:color="auto"/>
      </w:divBdr>
    </w:div>
    <w:div w:id="1114204417">
      <w:bodyDiv w:val="1"/>
      <w:marLeft w:val="0"/>
      <w:marRight w:val="0"/>
      <w:marTop w:val="0"/>
      <w:marBottom w:val="0"/>
      <w:divBdr>
        <w:top w:val="none" w:sz="0" w:space="0" w:color="auto"/>
        <w:left w:val="none" w:sz="0" w:space="0" w:color="auto"/>
        <w:bottom w:val="none" w:sz="0" w:space="0" w:color="auto"/>
        <w:right w:val="none" w:sz="0" w:space="0" w:color="auto"/>
      </w:divBdr>
    </w:div>
    <w:div w:id="1114204501">
      <w:bodyDiv w:val="1"/>
      <w:marLeft w:val="0"/>
      <w:marRight w:val="0"/>
      <w:marTop w:val="0"/>
      <w:marBottom w:val="0"/>
      <w:divBdr>
        <w:top w:val="none" w:sz="0" w:space="0" w:color="auto"/>
        <w:left w:val="none" w:sz="0" w:space="0" w:color="auto"/>
        <w:bottom w:val="none" w:sz="0" w:space="0" w:color="auto"/>
        <w:right w:val="none" w:sz="0" w:space="0" w:color="auto"/>
      </w:divBdr>
    </w:div>
    <w:div w:id="1114252925">
      <w:bodyDiv w:val="1"/>
      <w:marLeft w:val="0"/>
      <w:marRight w:val="0"/>
      <w:marTop w:val="0"/>
      <w:marBottom w:val="0"/>
      <w:divBdr>
        <w:top w:val="none" w:sz="0" w:space="0" w:color="auto"/>
        <w:left w:val="none" w:sz="0" w:space="0" w:color="auto"/>
        <w:bottom w:val="none" w:sz="0" w:space="0" w:color="auto"/>
        <w:right w:val="none" w:sz="0" w:space="0" w:color="auto"/>
      </w:divBdr>
    </w:div>
    <w:div w:id="1114402682">
      <w:bodyDiv w:val="1"/>
      <w:marLeft w:val="0"/>
      <w:marRight w:val="0"/>
      <w:marTop w:val="0"/>
      <w:marBottom w:val="0"/>
      <w:divBdr>
        <w:top w:val="none" w:sz="0" w:space="0" w:color="auto"/>
        <w:left w:val="none" w:sz="0" w:space="0" w:color="auto"/>
        <w:bottom w:val="none" w:sz="0" w:space="0" w:color="auto"/>
        <w:right w:val="none" w:sz="0" w:space="0" w:color="auto"/>
      </w:divBdr>
    </w:div>
    <w:div w:id="1114522486">
      <w:bodyDiv w:val="1"/>
      <w:marLeft w:val="0"/>
      <w:marRight w:val="0"/>
      <w:marTop w:val="0"/>
      <w:marBottom w:val="0"/>
      <w:divBdr>
        <w:top w:val="none" w:sz="0" w:space="0" w:color="auto"/>
        <w:left w:val="none" w:sz="0" w:space="0" w:color="auto"/>
        <w:bottom w:val="none" w:sz="0" w:space="0" w:color="auto"/>
        <w:right w:val="none" w:sz="0" w:space="0" w:color="auto"/>
      </w:divBdr>
    </w:div>
    <w:div w:id="1114597566">
      <w:bodyDiv w:val="1"/>
      <w:marLeft w:val="0"/>
      <w:marRight w:val="0"/>
      <w:marTop w:val="0"/>
      <w:marBottom w:val="0"/>
      <w:divBdr>
        <w:top w:val="none" w:sz="0" w:space="0" w:color="auto"/>
        <w:left w:val="none" w:sz="0" w:space="0" w:color="auto"/>
        <w:bottom w:val="none" w:sz="0" w:space="0" w:color="auto"/>
        <w:right w:val="none" w:sz="0" w:space="0" w:color="auto"/>
      </w:divBdr>
    </w:div>
    <w:div w:id="1114636879">
      <w:bodyDiv w:val="1"/>
      <w:marLeft w:val="0"/>
      <w:marRight w:val="0"/>
      <w:marTop w:val="0"/>
      <w:marBottom w:val="0"/>
      <w:divBdr>
        <w:top w:val="none" w:sz="0" w:space="0" w:color="auto"/>
        <w:left w:val="none" w:sz="0" w:space="0" w:color="auto"/>
        <w:bottom w:val="none" w:sz="0" w:space="0" w:color="auto"/>
        <w:right w:val="none" w:sz="0" w:space="0" w:color="auto"/>
      </w:divBdr>
    </w:div>
    <w:div w:id="1114641901">
      <w:bodyDiv w:val="1"/>
      <w:marLeft w:val="0"/>
      <w:marRight w:val="0"/>
      <w:marTop w:val="0"/>
      <w:marBottom w:val="0"/>
      <w:divBdr>
        <w:top w:val="none" w:sz="0" w:space="0" w:color="auto"/>
        <w:left w:val="none" w:sz="0" w:space="0" w:color="auto"/>
        <w:bottom w:val="none" w:sz="0" w:space="0" w:color="auto"/>
        <w:right w:val="none" w:sz="0" w:space="0" w:color="auto"/>
      </w:divBdr>
    </w:div>
    <w:div w:id="1114717369">
      <w:bodyDiv w:val="1"/>
      <w:marLeft w:val="0"/>
      <w:marRight w:val="0"/>
      <w:marTop w:val="0"/>
      <w:marBottom w:val="0"/>
      <w:divBdr>
        <w:top w:val="none" w:sz="0" w:space="0" w:color="auto"/>
        <w:left w:val="none" w:sz="0" w:space="0" w:color="auto"/>
        <w:bottom w:val="none" w:sz="0" w:space="0" w:color="auto"/>
        <w:right w:val="none" w:sz="0" w:space="0" w:color="auto"/>
      </w:divBdr>
    </w:div>
    <w:div w:id="1115095701">
      <w:bodyDiv w:val="1"/>
      <w:marLeft w:val="0"/>
      <w:marRight w:val="0"/>
      <w:marTop w:val="0"/>
      <w:marBottom w:val="0"/>
      <w:divBdr>
        <w:top w:val="none" w:sz="0" w:space="0" w:color="auto"/>
        <w:left w:val="none" w:sz="0" w:space="0" w:color="auto"/>
        <w:bottom w:val="none" w:sz="0" w:space="0" w:color="auto"/>
        <w:right w:val="none" w:sz="0" w:space="0" w:color="auto"/>
      </w:divBdr>
    </w:div>
    <w:div w:id="1115172546">
      <w:bodyDiv w:val="1"/>
      <w:marLeft w:val="0"/>
      <w:marRight w:val="0"/>
      <w:marTop w:val="0"/>
      <w:marBottom w:val="0"/>
      <w:divBdr>
        <w:top w:val="none" w:sz="0" w:space="0" w:color="auto"/>
        <w:left w:val="none" w:sz="0" w:space="0" w:color="auto"/>
        <w:bottom w:val="none" w:sz="0" w:space="0" w:color="auto"/>
        <w:right w:val="none" w:sz="0" w:space="0" w:color="auto"/>
      </w:divBdr>
    </w:div>
    <w:div w:id="1115177082">
      <w:bodyDiv w:val="1"/>
      <w:marLeft w:val="0"/>
      <w:marRight w:val="0"/>
      <w:marTop w:val="0"/>
      <w:marBottom w:val="0"/>
      <w:divBdr>
        <w:top w:val="none" w:sz="0" w:space="0" w:color="auto"/>
        <w:left w:val="none" w:sz="0" w:space="0" w:color="auto"/>
        <w:bottom w:val="none" w:sz="0" w:space="0" w:color="auto"/>
        <w:right w:val="none" w:sz="0" w:space="0" w:color="auto"/>
      </w:divBdr>
    </w:div>
    <w:div w:id="1115292408">
      <w:bodyDiv w:val="1"/>
      <w:marLeft w:val="0"/>
      <w:marRight w:val="0"/>
      <w:marTop w:val="0"/>
      <w:marBottom w:val="0"/>
      <w:divBdr>
        <w:top w:val="none" w:sz="0" w:space="0" w:color="auto"/>
        <w:left w:val="none" w:sz="0" w:space="0" w:color="auto"/>
        <w:bottom w:val="none" w:sz="0" w:space="0" w:color="auto"/>
        <w:right w:val="none" w:sz="0" w:space="0" w:color="auto"/>
      </w:divBdr>
    </w:div>
    <w:div w:id="1115324030">
      <w:bodyDiv w:val="1"/>
      <w:marLeft w:val="0"/>
      <w:marRight w:val="0"/>
      <w:marTop w:val="0"/>
      <w:marBottom w:val="0"/>
      <w:divBdr>
        <w:top w:val="none" w:sz="0" w:space="0" w:color="auto"/>
        <w:left w:val="none" w:sz="0" w:space="0" w:color="auto"/>
        <w:bottom w:val="none" w:sz="0" w:space="0" w:color="auto"/>
        <w:right w:val="none" w:sz="0" w:space="0" w:color="auto"/>
      </w:divBdr>
    </w:div>
    <w:div w:id="1115490393">
      <w:bodyDiv w:val="1"/>
      <w:marLeft w:val="0"/>
      <w:marRight w:val="0"/>
      <w:marTop w:val="0"/>
      <w:marBottom w:val="0"/>
      <w:divBdr>
        <w:top w:val="none" w:sz="0" w:space="0" w:color="auto"/>
        <w:left w:val="none" w:sz="0" w:space="0" w:color="auto"/>
        <w:bottom w:val="none" w:sz="0" w:space="0" w:color="auto"/>
        <w:right w:val="none" w:sz="0" w:space="0" w:color="auto"/>
      </w:divBdr>
    </w:div>
    <w:div w:id="1115558731">
      <w:bodyDiv w:val="1"/>
      <w:marLeft w:val="0"/>
      <w:marRight w:val="0"/>
      <w:marTop w:val="0"/>
      <w:marBottom w:val="0"/>
      <w:divBdr>
        <w:top w:val="none" w:sz="0" w:space="0" w:color="auto"/>
        <w:left w:val="none" w:sz="0" w:space="0" w:color="auto"/>
        <w:bottom w:val="none" w:sz="0" w:space="0" w:color="auto"/>
        <w:right w:val="none" w:sz="0" w:space="0" w:color="auto"/>
      </w:divBdr>
    </w:div>
    <w:div w:id="1115828558">
      <w:bodyDiv w:val="1"/>
      <w:marLeft w:val="0"/>
      <w:marRight w:val="0"/>
      <w:marTop w:val="0"/>
      <w:marBottom w:val="0"/>
      <w:divBdr>
        <w:top w:val="none" w:sz="0" w:space="0" w:color="auto"/>
        <w:left w:val="none" w:sz="0" w:space="0" w:color="auto"/>
        <w:bottom w:val="none" w:sz="0" w:space="0" w:color="auto"/>
        <w:right w:val="none" w:sz="0" w:space="0" w:color="auto"/>
      </w:divBdr>
    </w:div>
    <w:div w:id="1115903342">
      <w:bodyDiv w:val="1"/>
      <w:marLeft w:val="0"/>
      <w:marRight w:val="0"/>
      <w:marTop w:val="0"/>
      <w:marBottom w:val="0"/>
      <w:divBdr>
        <w:top w:val="none" w:sz="0" w:space="0" w:color="auto"/>
        <w:left w:val="none" w:sz="0" w:space="0" w:color="auto"/>
        <w:bottom w:val="none" w:sz="0" w:space="0" w:color="auto"/>
        <w:right w:val="none" w:sz="0" w:space="0" w:color="auto"/>
      </w:divBdr>
    </w:div>
    <w:div w:id="1116173964">
      <w:bodyDiv w:val="1"/>
      <w:marLeft w:val="0"/>
      <w:marRight w:val="0"/>
      <w:marTop w:val="0"/>
      <w:marBottom w:val="0"/>
      <w:divBdr>
        <w:top w:val="none" w:sz="0" w:space="0" w:color="auto"/>
        <w:left w:val="none" w:sz="0" w:space="0" w:color="auto"/>
        <w:bottom w:val="none" w:sz="0" w:space="0" w:color="auto"/>
        <w:right w:val="none" w:sz="0" w:space="0" w:color="auto"/>
      </w:divBdr>
    </w:div>
    <w:div w:id="1116559391">
      <w:bodyDiv w:val="1"/>
      <w:marLeft w:val="0"/>
      <w:marRight w:val="0"/>
      <w:marTop w:val="0"/>
      <w:marBottom w:val="0"/>
      <w:divBdr>
        <w:top w:val="none" w:sz="0" w:space="0" w:color="auto"/>
        <w:left w:val="none" w:sz="0" w:space="0" w:color="auto"/>
        <w:bottom w:val="none" w:sz="0" w:space="0" w:color="auto"/>
        <w:right w:val="none" w:sz="0" w:space="0" w:color="auto"/>
      </w:divBdr>
    </w:div>
    <w:div w:id="1116602841">
      <w:bodyDiv w:val="1"/>
      <w:marLeft w:val="0"/>
      <w:marRight w:val="0"/>
      <w:marTop w:val="0"/>
      <w:marBottom w:val="0"/>
      <w:divBdr>
        <w:top w:val="none" w:sz="0" w:space="0" w:color="auto"/>
        <w:left w:val="none" w:sz="0" w:space="0" w:color="auto"/>
        <w:bottom w:val="none" w:sz="0" w:space="0" w:color="auto"/>
        <w:right w:val="none" w:sz="0" w:space="0" w:color="auto"/>
      </w:divBdr>
    </w:div>
    <w:div w:id="1116677594">
      <w:bodyDiv w:val="1"/>
      <w:marLeft w:val="0"/>
      <w:marRight w:val="0"/>
      <w:marTop w:val="0"/>
      <w:marBottom w:val="0"/>
      <w:divBdr>
        <w:top w:val="none" w:sz="0" w:space="0" w:color="auto"/>
        <w:left w:val="none" w:sz="0" w:space="0" w:color="auto"/>
        <w:bottom w:val="none" w:sz="0" w:space="0" w:color="auto"/>
        <w:right w:val="none" w:sz="0" w:space="0" w:color="auto"/>
      </w:divBdr>
    </w:div>
    <w:div w:id="1116755036">
      <w:bodyDiv w:val="1"/>
      <w:marLeft w:val="0"/>
      <w:marRight w:val="0"/>
      <w:marTop w:val="0"/>
      <w:marBottom w:val="0"/>
      <w:divBdr>
        <w:top w:val="none" w:sz="0" w:space="0" w:color="auto"/>
        <w:left w:val="none" w:sz="0" w:space="0" w:color="auto"/>
        <w:bottom w:val="none" w:sz="0" w:space="0" w:color="auto"/>
        <w:right w:val="none" w:sz="0" w:space="0" w:color="auto"/>
      </w:divBdr>
    </w:div>
    <w:div w:id="1116867403">
      <w:bodyDiv w:val="1"/>
      <w:marLeft w:val="0"/>
      <w:marRight w:val="0"/>
      <w:marTop w:val="0"/>
      <w:marBottom w:val="0"/>
      <w:divBdr>
        <w:top w:val="none" w:sz="0" w:space="0" w:color="auto"/>
        <w:left w:val="none" w:sz="0" w:space="0" w:color="auto"/>
        <w:bottom w:val="none" w:sz="0" w:space="0" w:color="auto"/>
        <w:right w:val="none" w:sz="0" w:space="0" w:color="auto"/>
      </w:divBdr>
    </w:div>
    <w:div w:id="1117027240">
      <w:bodyDiv w:val="1"/>
      <w:marLeft w:val="0"/>
      <w:marRight w:val="0"/>
      <w:marTop w:val="0"/>
      <w:marBottom w:val="0"/>
      <w:divBdr>
        <w:top w:val="none" w:sz="0" w:space="0" w:color="auto"/>
        <w:left w:val="none" w:sz="0" w:space="0" w:color="auto"/>
        <w:bottom w:val="none" w:sz="0" w:space="0" w:color="auto"/>
        <w:right w:val="none" w:sz="0" w:space="0" w:color="auto"/>
      </w:divBdr>
    </w:div>
    <w:div w:id="1117063315">
      <w:bodyDiv w:val="1"/>
      <w:marLeft w:val="0"/>
      <w:marRight w:val="0"/>
      <w:marTop w:val="0"/>
      <w:marBottom w:val="0"/>
      <w:divBdr>
        <w:top w:val="none" w:sz="0" w:space="0" w:color="auto"/>
        <w:left w:val="none" w:sz="0" w:space="0" w:color="auto"/>
        <w:bottom w:val="none" w:sz="0" w:space="0" w:color="auto"/>
        <w:right w:val="none" w:sz="0" w:space="0" w:color="auto"/>
      </w:divBdr>
    </w:div>
    <w:div w:id="1117137998">
      <w:bodyDiv w:val="1"/>
      <w:marLeft w:val="0"/>
      <w:marRight w:val="0"/>
      <w:marTop w:val="0"/>
      <w:marBottom w:val="0"/>
      <w:divBdr>
        <w:top w:val="none" w:sz="0" w:space="0" w:color="auto"/>
        <w:left w:val="none" w:sz="0" w:space="0" w:color="auto"/>
        <w:bottom w:val="none" w:sz="0" w:space="0" w:color="auto"/>
        <w:right w:val="none" w:sz="0" w:space="0" w:color="auto"/>
      </w:divBdr>
    </w:div>
    <w:div w:id="1117143283">
      <w:bodyDiv w:val="1"/>
      <w:marLeft w:val="0"/>
      <w:marRight w:val="0"/>
      <w:marTop w:val="0"/>
      <w:marBottom w:val="0"/>
      <w:divBdr>
        <w:top w:val="none" w:sz="0" w:space="0" w:color="auto"/>
        <w:left w:val="none" w:sz="0" w:space="0" w:color="auto"/>
        <w:bottom w:val="none" w:sz="0" w:space="0" w:color="auto"/>
        <w:right w:val="none" w:sz="0" w:space="0" w:color="auto"/>
      </w:divBdr>
    </w:div>
    <w:div w:id="1117259885">
      <w:bodyDiv w:val="1"/>
      <w:marLeft w:val="0"/>
      <w:marRight w:val="0"/>
      <w:marTop w:val="0"/>
      <w:marBottom w:val="0"/>
      <w:divBdr>
        <w:top w:val="none" w:sz="0" w:space="0" w:color="auto"/>
        <w:left w:val="none" w:sz="0" w:space="0" w:color="auto"/>
        <w:bottom w:val="none" w:sz="0" w:space="0" w:color="auto"/>
        <w:right w:val="none" w:sz="0" w:space="0" w:color="auto"/>
      </w:divBdr>
    </w:div>
    <w:div w:id="1117288269">
      <w:bodyDiv w:val="1"/>
      <w:marLeft w:val="0"/>
      <w:marRight w:val="0"/>
      <w:marTop w:val="0"/>
      <w:marBottom w:val="0"/>
      <w:divBdr>
        <w:top w:val="none" w:sz="0" w:space="0" w:color="auto"/>
        <w:left w:val="none" w:sz="0" w:space="0" w:color="auto"/>
        <w:bottom w:val="none" w:sz="0" w:space="0" w:color="auto"/>
        <w:right w:val="none" w:sz="0" w:space="0" w:color="auto"/>
      </w:divBdr>
    </w:div>
    <w:div w:id="1117336508">
      <w:bodyDiv w:val="1"/>
      <w:marLeft w:val="0"/>
      <w:marRight w:val="0"/>
      <w:marTop w:val="0"/>
      <w:marBottom w:val="0"/>
      <w:divBdr>
        <w:top w:val="none" w:sz="0" w:space="0" w:color="auto"/>
        <w:left w:val="none" w:sz="0" w:space="0" w:color="auto"/>
        <w:bottom w:val="none" w:sz="0" w:space="0" w:color="auto"/>
        <w:right w:val="none" w:sz="0" w:space="0" w:color="auto"/>
      </w:divBdr>
    </w:div>
    <w:div w:id="1117337388">
      <w:bodyDiv w:val="1"/>
      <w:marLeft w:val="0"/>
      <w:marRight w:val="0"/>
      <w:marTop w:val="0"/>
      <w:marBottom w:val="0"/>
      <w:divBdr>
        <w:top w:val="none" w:sz="0" w:space="0" w:color="auto"/>
        <w:left w:val="none" w:sz="0" w:space="0" w:color="auto"/>
        <w:bottom w:val="none" w:sz="0" w:space="0" w:color="auto"/>
        <w:right w:val="none" w:sz="0" w:space="0" w:color="auto"/>
      </w:divBdr>
    </w:div>
    <w:div w:id="1117480334">
      <w:bodyDiv w:val="1"/>
      <w:marLeft w:val="0"/>
      <w:marRight w:val="0"/>
      <w:marTop w:val="0"/>
      <w:marBottom w:val="0"/>
      <w:divBdr>
        <w:top w:val="none" w:sz="0" w:space="0" w:color="auto"/>
        <w:left w:val="none" w:sz="0" w:space="0" w:color="auto"/>
        <w:bottom w:val="none" w:sz="0" w:space="0" w:color="auto"/>
        <w:right w:val="none" w:sz="0" w:space="0" w:color="auto"/>
      </w:divBdr>
    </w:div>
    <w:div w:id="1117989843">
      <w:bodyDiv w:val="1"/>
      <w:marLeft w:val="0"/>
      <w:marRight w:val="0"/>
      <w:marTop w:val="0"/>
      <w:marBottom w:val="0"/>
      <w:divBdr>
        <w:top w:val="none" w:sz="0" w:space="0" w:color="auto"/>
        <w:left w:val="none" w:sz="0" w:space="0" w:color="auto"/>
        <w:bottom w:val="none" w:sz="0" w:space="0" w:color="auto"/>
        <w:right w:val="none" w:sz="0" w:space="0" w:color="auto"/>
      </w:divBdr>
    </w:div>
    <w:div w:id="1117993203">
      <w:bodyDiv w:val="1"/>
      <w:marLeft w:val="0"/>
      <w:marRight w:val="0"/>
      <w:marTop w:val="0"/>
      <w:marBottom w:val="0"/>
      <w:divBdr>
        <w:top w:val="none" w:sz="0" w:space="0" w:color="auto"/>
        <w:left w:val="none" w:sz="0" w:space="0" w:color="auto"/>
        <w:bottom w:val="none" w:sz="0" w:space="0" w:color="auto"/>
        <w:right w:val="none" w:sz="0" w:space="0" w:color="auto"/>
      </w:divBdr>
    </w:div>
    <w:div w:id="1118060066">
      <w:bodyDiv w:val="1"/>
      <w:marLeft w:val="0"/>
      <w:marRight w:val="0"/>
      <w:marTop w:val="0"/>
      <w:marBottom w:val="0"/>
      <w:divBdr>
        <w:top w:val="none" w:sz="0" w:space="0" w:color="auto"/>
        <w:left w:val="none" w:sz="0" w:space="0" w:color="auto"/>
        <w:bottom w:val="none" w:sz="0" w:space="0" w:color="auto"/>
        <w:right w:val="none" w:sz="0" w:space="0" w:color="auto"/>
      </w:divBdr>
    </w:div>
    <w:div w:id="1118136787">
      <w:bodyDiv w:val="1"/>
      <w:marLeft w:val="0"/>
      <w:marRight w:val="0"/>
      <w:marTop w:val="0"/>
      <w:marBottom w:val="0"/>
      <w:divBdr>
        <w:top w:val="none" w:sz="0" w:space="0" w:color="auto"/>
        <w:left w:val="none" w:sz="0" w:space="0" w:color="auto"/>
        <w:bottom w:val="none" w:sz="0" w:space="0" w:color="auto"/>
        <w:right w:val="none" w:sz="0" w:space="0" w:color="auto"/>
      </w:divBdr>
    </w:div>
    <w:div w:id="1118178953">
      <w:bodyDiv w:val="1"/>
      <w:marLeft w:val="0"/>
      <w:marRight w:val="0"/>
      <w:marTop w:val="0"/>
      <w:marBottom w:val="0"/>
      <w:divBdr>
        <w:top w:val="none" w:sz="0" w:space="0" w:color="auto"/>
        <w:left w:val="none" w:sz="0" w:space="0" w:color="auto"/>
        <w:bottom w:val="none" w:sz="0" w:space="0" w:color="auto"/>
        <w:right w:val="none" w:sz="0" w:space="0" w:color="auto"/>
      </w:divBdr>
    </w:div>
    <w:div w:id="1118186032">
      <w:bodyDiv w:val="1"/>
      <w:marLeft w:val="0"/>
      <w:marRight w:val="0"/>
      <w:marTop w:val="0"/>
      <w:marBottom w:val="0"/>
      <w:divBdr>
        <w:top w:val="none" w:sz="0" w:space="0" w:color="auto"/>
        <w:left w:val="none" w:sz="0" w:space="0" w:color="auto"/>
        <w:bottom w:val="none" w:sz="0" w:space="0" w:color="auto"/>
        <w:right w:val="none" w:sz="0" w:space="0" w:color="auto"/>
      </w:divBdr>
    </w:div>
    <w:div w:id="1118377786">
      <w:bodyDiv w:val="1"/>
      <w:marLeft w:val="0"/>
      <w:marRight w:val="0"/>
      <w:marTop w:val="0"/>
      <w:marBottom w:val="0"/>
      <w:divBdr>
        <w:top w:val="none" w:sz="0" w:space="0" w:color="auto"/>
        <w:left w:val="none" w:sz="0" w:space="0" w:color="auto"/>
        <w:bottom w:val="none" w:sz="0" w:space="0" w:color="auto"/>
        <w:right w:val="none" w:sz="0" w:space="0" w:color="auto"/>
      </w:divBdr>
    </w:div>
    <w:div w:id="1118530348">
      <w:bodyDiv w:val="1"/>
      <w:marLeft w:val="0"/>
      <w:marRight w:val="0"/>
      <w:marTop w:val="0"/>
      <w:marBottom w:val="0"/>
      <w:divBdr>
        <w:top w:val="none" w:sz="0" w:space="0" w:color="auto"/>
        <w:left w:val="none" w:sz="0" w:space="0" w:color="auto"/>
        <w:bottom w:val="none" w:sz="0" w:space="0" w:color="auto"/>
        <w:right w:val="none" w:sz="0" w:space="0" w:color="auto"/>
      </w:divBdr>
    </w:div>
    <w:div w:id="1118600873">
      <w:bodyDiv w:val="1"/>
      <w:marLeft w:val="0"/>
      <w:marRight w:val="0"/>
      <w:marTop w:val="0"/>
      <w:marBottom w:val="0"/>
      <w:divBdr>
        <w:top w:val="none" w:sz="0" w:space="0" w:color="auto"/>
        <w:left w:val="none" w:sz="0" w:space="0" w:color="auto"/>
        <w:bottom w:val="none" w:sz="0" w:space="0" w:color="auto"/>
        <w:right w:val="none" w:sz="0" w:space="0" w:color="auto"/>
      </w:divBdr>
    </w:div>
    <w:div w:id="1118721138">
      <w:bodyDiv w:val="1"/>
      <w:marLeft w:val="0"/>
      <w:marRight w:val="0"/>
      <w:marTop w:val="0"/>
      <w:marBottom w:val="0"/>
      <w:divBdr>
        <w:top w:val="none" w:sz="0" w:space="0" w:color="auto"/>
        <w:left w:val="none" w:sz="0" w:space="0" w:color="auto"/>
        <w:bottom w:val="none" w:sz="0" w:space="0" w:color="auto"/>
        <w:right w:val="none" w:sz="0" w:space="0" w:color="auto"/>
      </w:divBdr>
    </w:div>
    <w:div w:id="1118839018">
      <w:bodyDiv w:val="1"/>
      <w:marLeft w:val="0"/>
      <w:marRight w:val="0"/>
      <w:marTop w:val="0"/>
      <w:marBottom w:val="0"/>
      <w:divBdr>
        <w:top w:val="none" w:sz="0" w:space="0" w:color="auto"/>
        <w:left w:val="none" w:sz="0" w:space="0" w:color="auto"/>
        <w:bottom w:val="none" w:sz="0" w:space="0" w:color="auto"/>
        <w:right w:val="none" w:sz="0" w:space="0" w:color="auto"/>
      </w:divBdr>
    </w:div>
    <w:div w:id="1118841761">
      <w:bodyDiv w:val="1"/>
      <w:marLeft w:val="0"/>
      <w:marRight w:val="0"/>
      <w:marTop w:val="0"/>
      <w:marBottom w:val="0"/>
      <w:divBdr>
        <w:top w:val="none" w:sz="0" w:space="0" w:color="auto"/>
        <w:left w:val="none" w:sz="0" w:space="0" w:color="auto"/>
        <w:bottom w:val="none" w:sz="0" w:space="0" w:color="auto"/>
        <w:right w:val="none" w:sz="0" w:space="0" w:color="auto"/>
      </w:divBdr>
    </w:div>
    <w:div w:id="1118909024">
      <w:bodyDiv w:val="1"/>
      <w:marLeft w:val="0"/>
      <w:marRight w:val="0"/>
      <w:marTop w:val="0"/>
      <w:marBottom w:val="0"/>
      <w:divBdr>
        <w:top w:val="none" w:sz="0" w:space="0" w:color="auto"/>
        <w:left w:val="none" w:sz="0" w:space="0" w:color="auto"/>
        <w:bottom w:val="none" w:sz="0" w:space="0" w:color="auto"/>
        <w:right w:val="none" w:sz="0" w:space="0" w:color="auto"/>
      </w:divBdr>
    </w:div>
    <w:div w:id="1118988718">
      <w:bodyDiv w:val="1"/>
      <w:marLeft w:val="0"/>
      <w:marRight w:val="0"/>
      <w:marTop w:val="0"/>
      <w:marBottom w:val="0"/>
      <w:divBdr>
        <w:top w:val="none" w:sz="0" w:space="0" w:color="auto"/>
        <w:left w:val="none" w:sz="0" w:space="0" w:color="auto"/>
        <w:bottom w:val="none" w:sz="0" w:space="0" w:color="auto"/>
        <w:right w:val="none" w:sz="0" w:space="0" w:color="auto"/>
      </w:divBdr>
    </w:div>
    <w:div w:id="1118989298">
      <w:bodyDiv w:val="1"/>
      <w:marLeft w:val="0"/>
      <w:marRight w:val="0"/>
      <w:marTop w:val="0"/>
      <w:marBottom w:val="0"/>
      <w:divBdr>
        <w:top w:val="none" w:sz="0" w:space="0" w:color="auto"/>
        <w:left w:val="none" w:sz="0" w:space="0" w:color="auto"/>
        <w:bottom w:val="none" w:sz="0" w:space="0" w:color="auto"/>
        <w:right w:val="none" w:sz="0" w:space="0" w:color="auto"/>
      </w:divBdr>
    </w:div>
    <w:div w:id="1118992873">
      <w:bodyDiv w:val="1"/>
      <w:marLeft w:val="0"/>
      <w:marRight w:val="0"/>
      <w:marTop w:val="0"/>
      <w:marBottom w:val="0"/>
      <w:divBdr>
        <w:top w:val="none" w:sz="0" w:space="0" w:color="auto"/>
        <w:left w:val="none" w:sz="0" w:space="0" w:color="auto"/>
        <w:bottom w:val="none" w:sz="0" w:space="0" w:color="auto"/>
        <w:right w:val="none" w:sz="0" w:space="0" w:color="auto"/>
      </w:divBdr>
    </w:div>
    <w:div w:id="1119030265">
      <w:bodyDiv w:val="1"/>
      <w:marLeft w:val="0"/>
      <w:marRight w:val="0"/>
      <w:marTop w:val="0"/>
      <w:marBottom w:val="0"/>
      <w:divBdr>
        <w:top w:val="none" w:sz="0" w:space="0" w:color="auto"/>
        <w:left w:val="none" w:sz="0" w:space="0" w:color="auto"/>
        <w:bottom w:val="none" w:sz="0" w:space="0" w:color="auto"/>
        <w:right w:val="none" w:sz="0" w:space="0" w:color="auto"/>
      </w:divBdr>
    </w:div>
    <w:div w:id="1119031718">
      <w:bodyDiv w:val="1"/>
      <w:marLeft w:val="0"/>
      <w:marRight w:val="0"/>
      <w:marTop w:val="0"/>
      <w:marBottom w:val="0"/>
      <w:divBdr>
        <w:top w:val="none" w:sz="0" w:space="0" w:color="auto"/>
        <w:left w:val="none" w:sz="0" w:space="0" w:color="auto"/>
        <w:bottom w:val="none" w:sz="0" w:space="0" w:color="auto"/>
        <w:right w:val="none" w:sz="0" w:space="0" w:color="auto"/>
      </w:divBdr>
    </w:div>
    <w:div w:id="1119375914">
      <w:bodyDiv w:val="1"/>
      <w:marLeft w:val="0"/>
      <w:marRight w:val="0"/>
      <w:marTop w:val="0"/>
      <w:marBottom w:val="0"/>
      <w:divBdr>
        <w:top w:val="none" w:sz="0" w:space="0" w:color="auto"/>
        <w:left w:val="none" w:sz="0" w:space="0" w:color="auto"/>
        <w:bottom w:val="none" w:sz="0" w:space="0" w:color="auto"/>
        <w:right w:val="none" w:sz="0" w:space="0" w:color="auto"/>
      </w:divBdr>
    </w:div>
    <w:div w:id="1119376310">
      <w:bodyDiv w:val="1"/>
      <w:marLeft w:val="0"/>
      <w:marRight w:val="0"/>
      <w:marTop w:val="0"/>
      <w:marBottom w:val="0"/>
      <w:divBdr>
        <w:top w:val="none" w:sz="0" w:space="0" w:color="auto"/>
        <w:left w:val="none" w:sz="0" w:space="0" w:color="auto"/>
        <w:bottom w:val="none" w:sz="0" w:space="0" w:color="auto"/>
        <w:right w:val="none" w:sz="0" w:space="0" w:color="auto"/>
      </w:divBdr>
    </w:div>
    <w:div w:id="1119488177">
      <w:bodyDiv w:val="1"/>
      <w:marLeft w:val="0"/>
      <w:marRight w:val="0"/>
      <w:marTop w:val="0"/>
      <w:marBottom w:val="0"/>
      <w:divBdr>
        <w:top w:val="none" w:sz="0" w:space="0" w:color="auto"/>
        <w:left w:val="none" w:sz="0" w:space="0" w:color="auto"/>
        <w:bottom w:val="none" w:sz="0" w:space="0" w:color="auto"/>
        <w:right w:val="none" w:sz="0" w:space="0" w:color="auto"/>
      </w:divBdr>
    </w:div>
    <w:div w:id="1119570732">
      <w:bodyDiv w:val="1"/>
      <w:marLeft w:val="0"/>
      <w:marRight w:val="0"/>
      <w:marTop w:val="0"/>
      <w:marBottom w:val="0"/>
      <w:divBdr>
        <w:top w:val="none" w:sz="0" w:space="0" w:color="auto"/>
        <w:left w:val="none" w:sz="0" w:space="0" w:color="auto"/>
        <w:bottom w:val="none" w:sz="0" w:space="0" w:color="auto"/>
        <w:right w:val="none" w:sz="0" w:space="0" w:color="auto"/>
      </w:divBdr>
    </w:div>
    <w:div w:id="1119757363">
      <w:bodyDiv w:val="1"/>
      <w:marLeft w:val="0"/>
      <w:marRight w:val="0"/>
      <w:marTop w:val="0"/>
      <w:marBottom w:val="0"/>
      <w:divBdr>
        <w:top w:val="none" w:sz="0" w:space="0" w:color="auto"/>
        <w:left w:val="none" w:sz="0" w:space="0" w:color="auto"/>
        <w:bottom w:val="none" w:sz="0" w:space="0" w:color="auto"/>
        <w:right w:val="none" w:sz="0" w:space="0" w:color="auto"/>
      </w:divBdr>
    </w:div>
    <w:div w:id="1119879230">
      <w:bodyDiv w:val="1"/>
      <w:marLeft w:val="0"/>
      <w:marRight w:val="0"/>
      <w:marTop w:val="0"/>
      <w:marBottom w:val="0"/>
      <w:divBdr>
        <w:top w:val="none" w:sz="0" w:space="0" w:color="auto"/>
        <w:left w:val="none" w:sz="0" w:space="0" w:color="auto"/>
        <w:bottom w:val="none" w:sz="0" w:space="0" w:color="auto"/>
        <w:right w:val="none" w:sz="0" w:space="0" w:color="auto"/>
      </w:divBdr>
    </w:div>
    <w:div w:id="1119909436">
      <w:bodyDiv w:val="1"/>
      <w:marLeft w:val="0"/>
      <w:marRight w:val="0"/>
      <w:marTop w:val="0"/>
      <w:marBottom w:val="0"/>
      <w:divBdr>
        <w:top w:val="none" w:sz="0" w:space="0" w:color="auto"/>
        <w:left w:val="none" w:sz="0" w:space="0" w:color="auto"/>
        <w:bottom w:val="none" w:sz="0" w:space="0" w:color="auto"/>
        <w:right w:val="none" w:sz="0" w:space="0" w:color="auto"/>
      </w:divBdr>
    </w:div>
    <w:div w:id="1119911754">
      <w:bodyDiv w:val="1"/>
      <w:marLeft w:val="0"/>
      <w:marRight w:val="0"/>
      <w:marTop w:val="0"/>
      <w:marBottom w:val="0"/>
      <w:divBdr>
        <w:top w:val="none" w:sz="0" w:space="0" w:color="auto"/>
        <w:left w:val="none" w:sz="0" w:space="0" w:color="auto"/>
        <w:bottom w:val="none" w:sz="0" w:space="0" w:color="auto"/>
        <w:right w:val="none" w:sz="0" w:space="0" w:color="auto"/>
      </w:divBdr>
    </w:div>
    <w:div w:id="1119953489">
      <w:bodyDiv w:val="1"/>
      <w:marLeft w:val="0"/>
      <w:marRight w:val="0"/>
      <w:marTop w:val="0"/>
      <w:marBottom w:val="0"/>
      <w:divBdr>
        <w:top w:val="none" w:sz="0" w:space="0" w:color="auto"/>
        <w:left w:val="none" w:sz="0" w:space="0" w:color="auto"/>
        <w:bottom w:val="none" w:sz="0" w:space="0" w:color="auto"/>
        <w:right w:val="none" w:sz="0" w:space="0" w:color="auto"/>
      </w:divBdr>
    </w:div>
    <w:div w:id="1120107913">
      <w:bodyDiv w:val="1"/>
      <w:marLeft w:val="0"/>
      <w:marRight w:val="0"/>
      <w:marTop w:val="0"/>
      <w:marBottom w:val="0"/>
      <w:divBdr>
        <w:top w:val="none" w:sz="0" w:space="0" w:color="auto"/>
        <w:left w:val="none" w:sz="0" w:space="0" w:color="auto"/>
        <w:bottom w:val="none" w:sz="0" w:space="0" w:color="auto"/>
        <w:right w:val="none" w:sz="0" w:space="0" w:color="auto"/>
      </w:divBdr>
    </w:div>
    <w:div w:id="1120227232">
      <w:bodyDiv w:val="1"/>
      <w:marLeft w:val="0"/>
      <w:marRight w:val="0"/>
      <w:marTop w:val="0"/>
      <w:marBottom w:val="0"/>
      <w:divBdr>
        <w:top w:val="none" w:sz="0" w:space="0" w:color="auto"/>
        <w:left w:val="none" w:sz="0" w:space="0" w:color="auto"/>
        <w:bottom w:val="none" w:sz="0" w:space="0" w:color="auto"/>
        <w:right w:val="none" w:sz="0" w:space="0" w:color="auto"/>
      </w:divBdr>
    </w:div>
    <w:div w:id="1120340276">
      <w:bodyDiv w:val="1"/>
      <w:marLeft w:val="0"/>
      <w:marRight w:val="0"/>
      <w:marTop w:val="0"/>
      <w:marBottom w:val="0"/>
      <w:divBdr>
        <w:top w:val="none" w:sz="0" w:space="0" w:color="auto"/>
        <w:left w:val="none" w:sz="0" w:space="0" w:color="auto"/>
        <w:bottom w:val="none" w:sz="0" w:space="0" w:color="auto"/>
        <w:right w:val="none" w:sz="0" w:space="0" w:color="auto"/>
      </w:divBdr>
    </w:div>
    <w:div w:id="1120340525">
      <w:bodyDiv w:val="1"/>
      <w:marLeft w:val="0"/>
      <w:marRight w:val="0"/>
      <w:marTop w:val="0"/>
      <w:marBottom w:val="0"/>
      <w:divBdr>
        <w:top w:val="none" w:sz="0" w:space="0" w:color="auto"/>
        <w:left w:val="none" w:sz="0" w:space="0" w:color="auto"/>
        <w:bottom w:val="none" w:sz="0" w:space="0" w:color="auto"/>
        <w:right w:val="none" w:sz="0" w:space="0" w:color="auto"/>
      </w:divBdr>
    </w:div>
    <w:div w:id="1120345178">
      <w:bodyDiv w:val="1"/>
      <w:marLeft w:val="0"/>
      <w:marRight w:val="0"/>
      <w:marTop w:val="0"/>
      <w:marBottom w:val="0"/>
      <w:divBdr>
        <w:top w:val="none" w:sz="0" w:space="0" w:color="auto"/>
        <w:left w:val="none" w:sz="0" w:space="0" w:color="auto"/>
        <w:bottom w:val="none" w:sz="0" w:space="0" w:color="auto"/>
        <w:right w:val="none" w:sz="0" w:space="0" w:color="auto"/>
      </w:divBdr>
    </w:div>
    <w:div w:id="1120607008">
      <w:bodyDiv w:val="1"/>
      <w:marLeft w:val="0"/>
      <w:marRight w:val="0"/>
      <w:marTop w:val="0"/>
      <w:marBottom w:val="0"/>
      <w:divBdr>
        <w:top w:val="none" w:sz="0" w:space="0" w:color="auto"/>
        <w:left w:val="none" w:sz="0" w:space="0" w:color="auto"/>
        <w:bottom w:val="none" w:sz="0" w:space="0" w:color="auto"/>
        <w:right w:val="none" w:sz="0" w:space="0" w:color="auto"/>
      </w:divBdr>
    </w:div>
    <w:div w:id="1120608307">
      <w:bodyDiv w:val="1"/>
      <w:marLeft w:val="0"/>
      <w:marRight w:val="0"/>
      <w:marTop w:val="0"/>
      <w:marBottom w:val="0"/>
      <w:divBdr>
        <w:top w:val="none" w:sz="0" w:space="0" w:color="auto"/>
        <w:left w:val="none" w:sz="0" w:space="0" w:color="auto"/>
        <w:bottom w:val="none" w:sz="0" w:space="0" w:color="auto"/>
        <w:right w:val="none" w:sz="0" w:space="0" w:color="auto"/>
      </w:divBdr>
    </w:div>
    <w:div w:id="1120689711">
      <w:bodyDiv w:val="1"/>
      <w:marLeft w:val="0"/>
      <w:marRight w:val="0"/>
      <w:marTop w:val="0"/>
      <w:marBottom w:val="0"/>
      <w:divBdr>
        <w:top w:val="none" w:sz="0" w:space="0" w:color="auto"/>
        <w:left w:val="none" w:sz="0" w:space="0" w:color="auto"/>
        <w:bottom w:val="none" w:sz="0" w:space="0" w:color="auto"/>
        <w:right w:val="none" w:sz="0" w:space="0" w:color="auto"/>
      </w:divBdr>
    </w:div>
    <w:div w:id="1120756125">
      <w:bodyDiv w:val="1"/>
      <w:marLeft w:val="0"/>
      <w:marRight w:val="0"/>
      <w:marTop w:val="0"/>
      <w:marBottom w:val="0"/>
      <w:divBdr>
        <w:top w:val="none" w:sz="0" w:space="0" w:color="auto"/>
        <w:left w:val="none" w:sz="0" w:space="0" w:color="auto"/>
        <w:bottom w:val="none" w:sz="0" w:space="0" w:color="auto"/>
        <w:right w:val="none" w:sz="0" w:space="0" w:color="auto"/>
      </w:divBdr>
    </w:div>
    <w:div w:id="1120756697">
      <w:bodyDiv w:val="1"/>
      <w:marLeft w:val="0"/>
      <w:marRight w:val="0"/>
      <w:marTop w:val="0"/>
      <w:marBottom w:val="0"/>
      <w:divBdr>
        <w:top w:val="none" w:sz="0" w:space="0" w:color="auto"/>
        <w:left w:val="none" w:sz="0" w:space="0" w:color="auto"/>
        <w:bottom w:val="none" w:sz="0" w:space="0" w:color="auto"/>
        <w:right w:val="none" w:sz="0" w:space="0" w:color="auto"/>
      </w:divBdr>
    </w:div>
    <w:div w:id="1120760207">
      <w:bodyDiv w:val="1"/>
      <w:marLeft w:val="0"/>
      <w:marRight w:val="0"/>
      <w:marTop w:val="0"/>
      <w:marBottom w:val="0"/>
      <w:divBdr>
        <w:top w:val="none" w:sz="0" w:space="0" w:color="auto"/>
        <w:left w:val="none" w:sz="0" w:space="0" w:color="auto"/>
        <w:bottom w:val="none" w:sz="0" w:space="0" w:color="auto"/>
        <w:right w:val="none" w:sz="0" w:space="0" w:color="auto"/>
      </w:divBdr>
    </w:div>
    <w:div w:id="1120799842">
      <w:bodyDiv w:val="1"/>
      <w:marLeft w:val="0"/>
      <w:marRight w:val="0"/>
      <w:marTop w:val="0"/>
      <w:marBottom w:val="0"/>
      <w:divBdr>
        <w:top w:val="none" w:sz="0" w:space="0" w:color="auto"/>
        <w:left w:val="none" w:sz="0" w:space="0" w:color="auto"/>
        <w:bottom w:val="none" w:sz="0" w:space="0" w:color="auto"/>
        <w:right w:val="none" w:sz="0" w:space="0" w:color="auto"/>
      </w:divBdr>
    </w:div>
    <w:div w:id="1120874996">
      <w:bodyDiv w:val="1"/>
      <w:marLeft w:val="0"/>
      <w:marRight w:val="0"/>
      <w:marTop w:val="0"/>
      <w:marBottom w:val="0"/>
      <w:divBdr>
        <w:top w:val="none" w:sz="0" w:space="0" w:color="auto"/>
        <w:left w:val="none" w:sz="0" w:space="0" w:color="auto"/>
        <w:bottom w:val="none" w:sz="0" w:space="0" w:color="auto"/>
        <w:right w:val="none" w:sz="0" w:space="0" w:color="auto"/>
      </w:divBdr>
    </w:div>
    <w:div w:id="1120881051">
      <w:bodyDiv w:val="1"/>
      <w:marLeft w:val="0"/>
      <w:marRight w:val="0"/>
      <w:marTop w:val="0"/>
      <w:marBottom w:val="0"/>
      <w:divBdr>
        <w:top w:val="none" w:sz="0" w:space="0" w:color="auto"/>
        <w:left w:val="none" w:sz="0" w:space="0" w:color="auto"/>
        <w:bottom w:val="none" w:sz="0" w:space="0" w:color="auto"/>
        <w:right w:val="none" w:sz="0" w:space="0" w:color="auto"/>
      </w:divBdr>
    </w:div>
    <w:div w:id="1120950912">
      <w:bodyDiv w:val="1"/>
      <w:marLeft w:val="0"/>
      <w:marRight w:val="0"/>
      <w:marTop w:val="0"/>
      <w:marBottom w:val="0"/>
      <w:divBdr>
        <w:top w:val="none" w:sz="0" w:space="0" w:color="auto"/>
        <w:left w:val="none" w:sz="0" w:space="0" w:color="auto"/>
        <w:bottom w:val="none" w:sz="0" w:space="0" w:color="auto"/>
        <w:right w:val="none" w:sz="0" w:space="0" w:color="auto"/>
      </w:divBdr>
    </w:div>
    <w:div w:id="1121025621">
      <w:bodyDiv w:val="1"/>
      <w:marLeft w:val="0"/>
      <w:marRight w:val="0"/>
      <w:marTop w:val="0"/>
      <w:marBottom w:val="0"/>
      <w:divBdr>
        <w:top w:val="none" w:sz="0" w:space="0" w:color="auto"/>
        <w:left w:val="none" w:sz="0" w:space="0" w:color="auto"/>
        <w:bottom w:val="none" w:sz="0" w:space="0" w:color="auto"/>
        <w:right w:val="none" w:sz="0" w:space="0" w:color="auto"/>
      </w:divBdr>
    </w:div>
    <w:div w:id="1121147938">
      <w:bodyDiv w:val="1"/>
      <w:marLeft w:val="0"/>
      <w:marRight w:val="0"/>
      <w:marTop w:val="0"/>
      <w:marBottom w:val="0"/>
      <w:divBdr>
        <w:top w:val="none" w:sz="0" w:space="0" w:color="auto"/>
        <w:left w:val="none" w:sz="0" w:space="0" w:color="auto"/>
        <w:bottom w:val="none" w:sz="0" w:space="0" w:color="auto"/>
        <w:right w:val="none" w:sz="0" w:space="0" w:color="auto"/>
      </w:divBdr>
    </w:div>
    <w:div w:id="1121150904">
      <w:bodyDiv w:val="1"/>
      <w:marLeft w:val="0"/>
      <w:marRight w:val="0"/>
      <w:marTop w:val="0"/>
      <w:marBottom w:val="0"/>
      <w:divBdr>
        <w:top w:val="none" w:sz="0" w:space="0" w:color="auto"/>
        <w:left w:val="none" w:sz="0" w:space="0" w:color="auto"/>
        <w:bottom w:val="none" w:sz="0" w:space="0" w:color="auto"/>
        <w:right w:val="none" w:sz="0" w:space="0" w:color="auto"/>
      </w:divBdr>
    </w:div>
    <w:div w:id="1121151013">
      <w:bodyDiv w:val="1"/>
      <w:marLeft w:val="0"/>
      <w:marRight w:val="0"/>
      <w:marTop w:val="0"/>
      <w:marBottom w:val="0"/>
      <w:divBdr>
        <w:top w:val="none" w:sz="0" w:space="0" w:color="auto"/>
        <w:left w:val="none" w:sz="0" w:space="0" w:color="auto"/>
        <w:bottom w:val="none" w:sz="0" w:space="0" w:color="auto"/>
        <w:right w:val="none" w:sz="0" w:space="0" w:color="auto"/>
      </w:divBdr>
    </w:div>
    <w:div w:id="1121193660">
      <w:bodyDiv w:val="1"/>
      <w:marLeft w:val="0"/>
      <w:marRight w:val="0"/>
      <w:marTop w:val="0"/>
      <w:marBottom w:val="0"/>
      <w:divBdr>
        <w:top w:val="none" w:sz="0" w:space="0" w:color="auto"/>
        <w:left w:val="none" w:sz="0" w:space="0" w:color="auto"/>
        <w:bottom w:val="none" w:sz="0" w:space="0" w:color="auto"/>
        <w:right w:val="none" w:sz="0" w:space="0" w:color="auto"/>
      </w:divBdr>
    </w:div>
    <w:div w:id="1121218520">
      <w:bodyDiv w:val="1"/>
      <w:marLeft w:val="0"/>
      <w:marRight w:val="0"/>
      <w:marTop w:val="0"/>
      <w:marBottom w:val="0"/>
      <w:divBdr>
        <w:top w:val="none" w:sz="0" w:space="0" w:color="auto"/>
        <w:left w:val="none" w:sz="0" w:space="0" w:color="auto"/>
        <w:bottom w:val="none" w:sz="0" w:space="0" w:color="auto"/>
        <w:right w:val="none" w:sz="0" w:space="0" w:color="auto"/>
      </w:divBdr>
    </w:div>
    <w:div w:id="1121220459">
      <w:bodyDiv w:val="1"/>
      <w:marLeft w:val="0"/>
      <w:marRight w:val="0"/>
      <w:marTop w:val="0"/>
      <w:marBottom w:val="0"/>
      <w:divBdr>
        <w:top w:val="none" w:sz="0" w:space="0" w:color="auto"/>
        <w:left w:val="none" w:sz="0" w:space="0" w:color="auto"/>
        <w:bottom w:val="none" w:sz="0" w:space="0" w:color="auto"/>
        <w:right w:val="none" w:sz="0" w:space="0" w:color="auto"/>
      </w:divBdr>
    </w:div>
    <w:div w:id="1121387155">
      <w:bodyDiv w:val="1"/>
      <w:marLeft w:val="0"/>
      <w:marRight w:val="0"/>
      <w:marTop w:val="0"/>
      <w:marBottom w:val="0"/>
      <w:divBdr>
        <w:top w:val="none" w:sz="0" w:space="0" w:color="auto"/>
        <w:left w:val="none" w:sz="0" w:space="0" w:color="auto"/>
        <w:bottom w:val="none" w:sz="0" w:space="0" w:color="auto"/>
        <w:right w:val="none" w:sz="0" w:space="0" w:color="auto"/>
      </w:divBdr>
    </w:div>
    <w:div w:id="1121536336">
      <w:bodyDiv w:val="1"/>
      <w:marLeft w:val="0"/>
      <w:marRight w:val="0"/>
      <w:marTop w:val="0"/>
      <w:marBottom w:val="0"/>
      <w:divBdr>
        <w:top w:val="none" w:sz="0" w:space="0" w:color="auto"/>
        <w:left w:val="none" w:sz="0" w:space="0" w:color="auto"/>
        <w:bottom w:val="none" w:sz="0" w:space="0" w:color="auto"/>
        <w:right w:val="none" w:sz="0" w:space="0" w:color="auto"/>
      </w:divBdr>
    </w:div>
    <w:div w:id="1121798484">
      <w:bodyDiv w:val="1"/>
      <w:marLeft w:val="0"/>
      <w:marRight w:val="0"/>
      <w:marTop w:val="0"/>
      <w:marBottom w:val="0"/>
      <w:divBdr>
        <w:top w:val="none" w:sz="0" w:space="0" w:color="auto"/>
        <w:left w:val="none" w:sz="0" w:space="0" w:color="auto"/>
        <w:bottom w:val="none" w:sz="0" w:space="0" w:color="auto"/>
        <w:right w:val="none" w:sz="0" w:space="0" w:color="auto"/>
      </w:divBdr>
    </w:div>
    <w:div w:id="1121846990">
      <w:bodyDiv w:val="1"/>
      <w:marLeft w:val="0"/>
      <w:marRight w:val="0"/>
      <w:marTop w:val="0"/>
      <w:marBottom w:val="0"/>
      <w:divBdr>
        <w:top w:val="none" w:sz="0" w:space="0" w:color="auto"/>
        <w:left w:val="none" w:sz="0" w:space="0" w:color="auto"/>
        <w:bottom w:val="none" w:sz="0" w:space="0" w:color="auto"/>
        <w:right w:val="none" w:sz="0" w:space="0" w:color="auto"/>
      </w:divBdr>
    </w:div>
    <w:div w:id="1121874930">
      <w:bodyDiv w:val="1"/>
      <w:marLeft w:val="0"/>
      <w:marRight w:val="0"/>
      <w:marTop w:val="0"/>
      <w:marBottom w:val="0"/>
      <w:divBdr>
        <w:top w:val="none" w:sz="0" w:space="0" w:color="auto"/>
        <w:left w:val="none" w:sz="0" w:space="0" w:color="auto"/>
        <w:bottom w:val="none" w:sz="0" w:space="0" w:color="auto"/>
        <w:right w:val="none" w:sz="0" w:space="0" w:color="auto"/>
      </w:divBdr>
    </w:div>
    <w:div w:id="1121876717">
      <w:bodyDiv w:val="1"/>
      <w:marLeft w:val="0"/>
      <w:marRight w:val="0"/>
      <w:marTop w:val="0"/>
      <w:marBottom w:val="0"/>
      <w:divBdr>
        <w:top w:val="none" w:sz="0" w:space="0" w:color="auto"/>
        <w:left w:val="none" w:sz="0" w:space="0" w:color="auto"/>
        <w:bottom w:val="none" w:sz="0" w:space="0" w:color="auto"/>
        <w:right w:val="none" w:sz="0" w:space="0" w:color="auto"/>
      </w:divBdr>
    </w:div>
    <w:div w:id="1121877829">
      <w:bodyDiv w:val="1"/>
      <w:marLeft w:val="0"/>
      <w:marRight w:val="0"/>
      <w:marTop w:val="0"/>
      <w:marBottom w:val="0"/>
      <w:divBdr>
        <w:top w:val="none" w:sz="0" w:space="0" w:color="auto"/>
        <w:left w:val="none" w:sz="0" w:space="0" w:color="auto"/>
        <w:bottom w:val="none" w:sz="0" w:space="0" w:color="auto"/>
        <w:right w:val="none" w:sz="0" w:space="0" w:color="auto"/>
      </w:divBdr>
    </w:div>
    <w:div w:id="1121924230">
      <w:bodyDiv w:val="1"/>
      <w:marLeft w:val="0"/>
      <w:marRight w:val="0"/>
      <w:marTop w:val="0"/>
      <w:marBottom w:val="0"/>
      <w:divBdr>
        <w:top w:val="none" w:sz="0" w:space="0" w:color="auto"/>
        <w:left w:val="none" w:sz="0" w:space="0" w:color="auto"/>
        <w:bottom w:val="none" w:sz="0" w:space="0" w:color="auto"/>
        <w:right w:val="none" w:sz="0" w:space="0" w:color="auto"/>
      </w:divBdr>
    </w:div>
    <w:div w:id="1122185723">
      <w:bodyDiv w:val="1"/>
      <w:marLeft w:val="0"/>
      <w:marRight w:val="0"/>
      <w:marTop w:val="0"/>
      <w:marBottom w:val="0"/>
      <w:divBdr>
        <w:top w:val="none" w:sz="0" w:space="0" w:color="auto"/>
        <w:left w:val="none" w:sz="0" w:space="0" w:color="auto"/>
        <w:bottom w:val="none" w:sz="0" w:space="0" w:color="auto"/>
        <w:right w:val="none" w:sz="0" w:space="0" w:color="auto"/>
      </w:divBdr>
    </w:div>
    <w:div w:id="1122187824">
      <w:bodyDiv w:val="1"/>
      <w:marLeft w:val="0"/>
      <w:marRight w:val="0"/>
      <w:marTop w:val="0"/>
      <w:marBottom w:val="0"/>
      <w:divBdr>
        <w:top w:val="none" w:sz="0" w:space="0" w:color="auto"/>
        <w:left w:val="none" w:sz="0" w:space="0" w:color="auto"/>
        <w:bottom w:val="none" w:sz="0" w:space="0" w:color="auto"/>
        <w:right w:val="none" w:sz="0" w:space="0" w:color="auto"/>
      </w:divBdr>
    </w:div>
    <w:div w:id="1122260434">
      <w:bodyDiv w:val="1"/>
      <w:marLeft w:val="0"/>
      <w:marRight w:val="0"/>
      <w:marTop w:val="0"/>
      <w:marBottom w:val="0"/>
      <w:divBdr>
        <w:top w:val="none" w:sz="0" w:space="0" w:color="auto"/>
        <w:left w:val="none" w:sz="0" w:space="0" w:color="auto"/>
        <w:bottom w:val="none" w:sz="0" w:space="0" w:color="auto"/>
        <w:right w:val="none" w:sz="0" w:space="0" w:color="auto"/>
      </w:divBdr>
    </w:div>
    <w:div w:id="1122307049">
      <w:bodyDiv w:val="1"/>
      <w:marLeft w:val="0"/>
      <w:marRight w:val="0"/>
      <w:marTop w:val="0"/>
      <w:marBottom w:val="0"/>
      <w:divBdr>
        <w:top w:val="none" w:sz="0" w:space="0" w:color="auto"/>
        <w:left w:val="none" w:sz="0" w:space="0" w:color="auto"/>
        <w:bottom w:val="none" w:sz="0" w:space="0" w:color="auto"/>
        <w:right w:val="none" w:sz="0" w:space="0" w:color="auto"/>
      </w:divBdr>
    </w:div>
    <w:div w:id="1122380264">
      <w:bodyDiv w:val="1"/>
      <w:marLeft w:val="0"/>
      <w:marRight w:val="0"/>
      <w:marTop w:val="0"/>
      <w:marBottom w:val="0"/>
      <w:divBdr>
        <w:top w:val="none" w:sz="0" w:space="0" w:color="auto"/>
        <w:left w:val="none" w:sz="0" w:space="0" w:color="auto"/>
        <w:bottom w:val="none" w:sz="0" w:space="0" w:color="auto"/>
        <w:right w:val="none" w:sz="0" w:space="0" w:color="auto"/>
      </w:divBdr>
    </w:div>
    <w:div w:id="1122456248">
      <w:bodyDiv w:val="1"/>
      <w:marLeft w:val="0"/>
      <w:marRight w:val="0"/>
      <w:marTop w:val="0"/>
      <w:marBottom w:val="0"/>
      <w:divBdr>
        <w:top w:val="none" w:sz="0" w:space="0" w:color="auto"/>
        <w:left w:val="none" w:sz="0" w:space="0" w:color="auto"/>
        <w:bottom w:val="none" w:sz="0" w:space="0" w:color="auto"/>
        <w:right w:val="none" w:sz="0" w:space="0" w:color="auto"/>
      </w:divBdr>
    </w:div>
    <w:div w:id="1122458275">
      <w:bodyDiv w:val="1"/>
      <w:marLeft w:val="0"/>
      <w:marRight w:val="0"/>
      <w:marTop w:val="0"/>
      <w:marBottom w:val="0"/>
      <w:divBdr>
        <w:top w:val="none" w:sz="0" w:space="0" w:color="auto"/>
        <w:left w:val="none" w:sz="0" w:space="0" w:color="auto"/>
        <w:bottom w:val="none" w:sz="0" w:space="0" w:color="auto"/>
        <w:right w:val="none" w:sz="0" w:space="0" w:color="auto"/>
      </w:divBdr>
    </w:div>
    <w:div w:id="1122649978">
      <w:bodyDiv w:val="1"/>
      <w:marLeft w:val="0"/>
      <w:marRight w:val="0"/>
      <w:marTop w:val="0"/>
      <w:marBottom w:val="0"/>
      <w:divBdr>
        <w:top w:val="none" w:sz="0" w:space="0" w:color="auto"/>
        <w:left w:val="none" w:sz="0" w:space="0" w:color="auto"/>
        <w:bottom w:val="none" w:sz="0" w:space="0" w:color="auto"/>
        <w:right w:val="none" w:sz="0" w:space="0" w:color="auto"/>
      </w:divBdr>
    </w:div>
    <w:div w:id="1122653793">
      <w:bodyDiv w:val="1"/>
      <w:marLeft w:val="0"/>
      <w:marRight w:val="0"/>
      <w:marTop w:val="0"/>
      <w:marBottom w:val="0"/>
      <w:divBdr>
        <w:top w:val="none" w:sz="0" w:space="0" w:color="auto"/>
        <w:left w:val="none" w:sz="0" w:space="0" w:color="auto"/>
        <w:bottom w:val="none" w:sz="0" w:space="0" w:color="auto"/>
        <w:right w:val="none" w:sz="0" w:space="0" w:color="auto"/>
      </w:divBdr>
    </w:div>
    <w:div w:id="1122698462">
      <w:bodyDiv w:val="1"/>
      <w:marLeft w:val="0"/>
      <w:marRight w:val="0"/>
      <w:marTop w:val="0"/>
      <w:marBottom w:val="0"/>
      <w:divBdr>
        <w:top w:val="none" w:sz="0" w:space="0" w:color="auto"/>
        <w:left w:val="none" w:sz="0" w:space="0" w:color="auto"/>
        <w:bottom w:val="none" w:sz="0" w:space="0" w:color="auto"/>
        <w:right w:val="none" w:sz="0" w:space="0" w:color="auto"/>
      </w:divBdr>
    </w:div>
    <w:div w:id="1122765995">
      <w:bodyDiv w:val="1"/>
      <w:marLeft w:val="0"/>
      <w:marRight w:val="0"/>
      <w:marTop w:val="0"/>
      <w:marBottom w:val="0"/>
      <w:divBdr>
        <w:top w:val="none" w:sz="0" w:space="0" w:color="auto"/>
        <w:left w:val="none" w:sz="0" w:space="0" w:color="auto"/>
        <w:bottom w:val="none" w:sz="0" w:space="0" w:color="auto"/>
        <w:right w:val="none" w:sz="0" w:space="0" w:color="auto"/>
      </w:divBdr>
    </w:div>
    <w:div w:id="1122773362">
      <w:bodyDiv w:val="1"/>
      <w:marLeft w:val="0"/>
      <w:marRight w:val="0"/>
      <w:marTop w:val="0"/>
      <w:marBottom w:val="0"/>
      <w:divBdr>
        <w:top w:val="none" w:sz="0" w:space="0" w:color="auto"/>
        <w:left w:val="none" w:sz="0" w:space="0" w:color="auto"/>
        <w:bottom w:val="none" w:sz="0" w:space="0" w:color="auto"/>
        <w:right w:val="none" w:sz="0" w:space="0" w:color="auto"/>
      </w:divBdr>
    </w:div>
    <w:div w:id="1122842176">
      <w:bodyDiv w:val="1"/>
      <w:marLeft w:val="0"/>
      <w:marRight w:val="0"/>
      <w:marTop w:val="0"/>
      <w:marBottom w:val="0"/>
      <w:divBdr>
        <w:top w:val="none" w:sz="0" w:space="0" w:color="auto"/>
        <w:left w:val="none" w:sz="0" w:space="0" w:color="auto"/>
        <w:bottom w:val="none" w:sz="0" w:space="0" w:color="auto"/>
        <w:right w:val="none" w:sz="0" w:space="0" w:color="auto"/>
      </w:divBdr>
    </w:div>
    <w:div w:id="1122964660">
      <w:bodyDiv w:val="1"/>
      <w:marLeft w:val="0"/>
      <w:marRight w:val="0"/>
      <w:marTop w:val="0"/>
      <w:marBottom w:val="0"/>
      <w:divBdr>
        <w:top w:val="none" w:sz="0" w:space="0" w:color="auto"/>
        <w:left w:val="none" w:sz="0" w:space="0" w:color="auto"/>
        <w:bottom w:val="none" w:sz="0" w:space="0" w:color="auto"/>
        <w:right w:val="none" w:sz="0" w:space="0" w:color="auto"/>
      </w:divBdr>
    </w:div>
    <w:div w:id="1123111814">
      <w:bodyDiv w:val="1"/>
      <w:marLeft w:val="0"/>
      <w:marRight w:val="0"/>
      <w:marTop w:val="0"/>
      <w:marBottom w:val="0"/>
      <w:divBdr>
        <w:top w:val="none" w:sz="0" w:space="0" w:color="auto"/>
        <w:left w:val="none" w:sz="0" w:space="0" w:color="auto"/>
        <w:bottom w:val="none" w:sz="0" w:space="0" w:color="auto"/>
        <w:right w:val="none" w:sz="0" w:space="0" w:color="auto"/>
      </w:divBdr>
    </w:div>
    <w:div w:id="1123113176">
      <w:bodyDiv w:val="1"/>
      <w:marLeft w:val="0"/>
      <w:marRight w:val="0"/>
      <w:marTop w:val="0"/>
      <w:marBottom w:val="0"/>
      <w:divBdr>
        <w:top w:val="none" w:sz="0" w:space="0" w:color="auto"/>
        <w:left w:val="none" w:sz="0" w:space="0" w:color="auto"/>
        <w:bottom w:val="none" w:sz="0" w:space="0" w:color="auto"/>
        <w:right w:val="none" w:sz="0" w:space="0" w:color="auto"/>
      </w:divBdr>
    </w:div>
    <w:div w:id="1123156723">
      <w:bodyDiv w:val="1"/>
      <w:marLeft w:val="0"/>
      <w:marRight w:val="0"/>
      <w:marTop w:val="0"/>
      <w:marBottom w:val="0"/>
      <w:divBdr>
        <w:top w:val="none" w:sz="0" w:space="0" w:color="auto"/>
        <w:left w:val="none" w:sz="0" w:space="0" w:color="auto"/>
        <w:bottom w:val="none" w:sz="0" w:space="0" w:color="auto"/>
        <w:right w:val="none" w:sz="0" w:space="0" w:color="auto"/>
      </w:divBdr>
    </w:div>
    <w:div w:id="1123227392">
      <w:bodyDiv w:val="1"/>
      <w:marLeft w:val="0"/>
      <w:marRight w:val="0"/>
      <w:marTop w:val="0"/>
      <w:marBottom w:val="0"/>
      <w:divBdr>
        <w:top w:val="none" w:sz="0" w:space="0" w:color="auto"/>
        <w:left w:val="none" w:sz="0" w:space="0" w:color="auto"/>
        <w:bottom w:val="none" w:sz="0" w:space="0" w:color="auto"/>
        <w:right w:val="none" w:sz="0" w:space="0" w:color="auto"/>
      </w:divBdr>
    </w:div>
    <w:div w:id="1123307830">
      <w:bodyDiv w:val="1"/>
      <w:marLeft w:val="0"/>
      <w:marRight w:val="0"/>
      <w:marTop w:val="0"/>
      <w:marBottom w:val="0"/>
      <w:divBdr>
        <w:top w:val="none" w:sz="0" w:space="0" w:color="auto"/>
        <w:left w:val="none" w:sz="0" w:space="0" w:color="auto"/>
        <w:bottom w:val="none" w:sz="0" w:space="0" w:color="auto"/>
        <w:right w:val="none" w:sz="0" w:space="0" w:color="auto"/>
      </w:divBdr>
    </w:div>
    <w:div w:id="1123382486">
      <w:bodyDiv w:val="1"/>
      <w:marLeft w:val="0"/>
      <w:marRight w:val="0"/>
      <w:marTop w:val="0"/>
      <w:marBottom w:val="0"/>
      <w:divBdr>
        <w:top w:val="none" w:sz="0" w:space="0" w:color="auto"/>
        <w:left w:val="none" w:sz="0" w:space="0" w:color="auto"/>
        <w:bottom w:val="none" w:sz="0" w:space="0" w:color="auto"/>
        <w:right w:val="none" w:sz="0" w:space="0" w:color="auto"/>
      </w:divBdr>
    </w:div>
    <w:div w:id="1123422904">
      <w:bodyDiv w:val="1"/>
      <w:marLeft w:val="0"/>
      <w:marRight w:val="0"/>
      <w:marTop w:val="0"/>
      <w:marBottom w:val="0"/>
      <w:divBdr>
        <w:top w:val="none" w:sz="0" w:space="0" w:color="auto"/>
        <w:left w:val="none" w:sz="0" w:space="0" w:color="auto"/>
        <w:bottom w:val="none" w:sz="0" w:space="0" w:color="auto"/>
        <w:right w:val="none" w:sz="0" w:space="0" w:color="auto"/>
      </w:divBdr>
    </w:div>
    <w:div w:id="1123424621">
      <w:bodyDiv w:val="1"/>
      <w:marLeft w:val="0"/>
      <w:marRight w:val="0"/>
      <w:marTop w:val="0"/>
      <w:marBottom w:val="0"/>
      <w:divBdr>
        <w:top w:val="none" w:sz="0" w:space="0" w:color="auto"/>
        <w:left w:val="none" w:sz="0" w:space="0" w:color="auto"/>
        <w:bottom w:val="none" w:sz="0" w:space="0" w:color="auto"/>
        <w:right w:val="none" w:sz="0" w:space="0" w:color="auto"/>
      </w:divBdr>
    </w:div>
    <w:div w:id="1123496763">
      <w:bodyDiv w:val="1"/>
      <w:marLeft w:val="0"/>
      <w:marRight w:val="0"/>
      <w:marTop w:val="0"/>
      <w:marBottom w:val="0"/>
      <w:divBdr>
        <w:top w:val="none" w:sz="0" w:space="0" w:color="auto"/>
        <w:left w:val="none" w:sz="0" w:space="0" w:color="auto"/>
        <w:bottom w:val="none" w:sz="0" w:space="0" w:color="auto"/>
        <w:right w:val="none" w:sz="0" w:space="0" w:color="auto"/>
      </w:divBdr>
    </w:div>
    <w:div w:id="1123618082">
      <w:bodyDiv w:val="1"/>
      <w:marLeft w:val="0"/>
      <w:marRight w:val="0"/>
      <w:marTop w:val="0"/>
      <w:marBottom w:val="0"/>
      <w:divBdr>
        <w:top w:val="none" w:sz="0" w:space="0" w:color="auto"/>
        <w:left w:val="none" w:sz="0" w:space="0" w:color="auto"/>
        <w:bottom w:val="none" w:sz="0" w:space="0" w:color="auto"/>
        <w:right w:val="none" w:sz="0" w:space="0" w:color="auto"/>
      </w:divBdr>
    </w:div>
    <w:div w:id="1123882521">
      <w:bodyDiv w:val="1"/>
      <w:marLeft w:val="0"/>
      <w:marRight w:val="0"/>
      <w:marTop w:val="0"/>
      <w:marBottom w:val="0"/>
      <w:divBdr>
        <w:top w:val="none" w:sz="0" w:space="0" w:color="auto"/>
        <w:left w:val="none" w:sz="0" w:space="0" w:color="auto"/>
        <w:bottom w:val="none" w:sz="0" w:space="0" w:color="auto"/>
        <w:right w:val="none" w:sz="0" w:space="0" w:color="auto"/>
      </w:divBdr>
    </w:div>
    <w:div w:id="1123891299">
      <w:bodyDiv w:val="1"/>
      <w:marLeft w:val="0"/>
      <w:marRight w:val="0"/>
      <w:marTop w:val="0"/>
      <w:marBottom w:val="0"/>
      <w:divBdr>
        <w:top w:val="none" w:sz="0" w:space="0" w:color="auto"/>
        <w:left w:val="none" w:sz="0" w:space="0" w:color="auto"/>
        <w:bottom w:val="none" w:sz="0" w:space="0" w:color="auto"/>
        <w:right w:val="none" w:sz="0" w:space="0" w:color="auto"/>
      </w:divBdr>
    </w:div>
    <w:div w:id="1124076559">
      <w:bodyDiv w:val="1"/>
      <w:marLeft w:val="0"/>
      <w:marRight w:val="0"/>
      <w:marTop w:val="0"/>
      <w:marBottom w:val="0"/>
      <w:divBdr>
        <w:top w:val="none" w:sz="0" w:space="0" w:color="auto"/>
        <w:left w:val="none" w:sz="0" w:space="0" w:color="auto"/>
        <w:bottom w:val="none" w:sz="0" w:space="0" w:color="auto"/>
        <w:right w:val="none" w:sz="0" w:space="0" w:color="auto"/>
      </w:divBdr>
    </w:div>
    <w:div w:id="1124081046">
      <w:bodyDiv w:val="1"/>
      <w:marLeft w:val="0"/>
      <w:marRight w:val="0"/>
      <w:marTop w:val="0"/>
      <w:marBottom w:val="0"/>
      <w:divBdr>
        <w:top w:val="none" w:sz="0" w:space="0" w:color="auto"/>
        <w:left w:val="none" w:sz="0" w:space="0" w:color="auto"/>
        <w:bottom w:val="none" w:sz="0" w:space="0" w:color="auto"/>
        <w:right w:val="none" w:sz="0" w:space="0" w:color="auto"/>
      </w:divBdr>
    </w:div>
    <w:div w:id="1124227622">
      <w:bodyDiv w:val="1"/>
      <w:marLeft w:val="0"/>
      <w:marRight w:val="0"/>
      <w:marTop w:val="0"/>
      <w:marBottom w:val="0"/>
      <w:divBdr>
        <w:top w:val="none" w:sz="0" w:space="0" w:color="auto"/>
        <w:left w:val="none" w:sz="0" w:space="0" w:color="auto"/>
        <w:bottom w:val="none" w:sz="0" w:space="0" w:color="auto"/>
        <w:right w:val="none" w:sz="0" w:space="0" w:color="auto"/>
      </w:divBdr>
    </w:div>
    <w:div w:id="1124423794">
      <w:bodyDiv w:val="1"/>
      <w:marLeft w:val="0"/>
      <w:marRight w:val="0"/>
      <w:marTop w:val="0"/>
      <w:marBottom w:val="0"/>
      <w:divBdr>
        <w:top w:val="none" w:sz="0" w:space="0" w:color="auto"/>
        <w:left w:val="none" w:sz="0" w:space="0" w:color="auto"/>
        <w:bottom w:val="none" w:sz="0" w:space="0" w:color="auto"/>
        <w:right w:val="none" w:sz="0" w:space="0" w:color="auto"/>
      </w:divBdr>
    </w:div>
    <w:div w:id="1124423828">
      <w:bodyDiv w:val="1"/>
      <w:marLeft w:val="0"/>
      <w:marRight w:val="0"/>
      <w:marTop w:val="0"/>
      <w:marBottom w:val="0"/>
      <w:divBdr>
        <w:top w:val="none" w:sz="0" w:space="0" w:color="auto"/>
        <w:left w:val="none" w:sz="0" w:space="0" w:color="auto"/>
        <w:bottom w:val="none" w:sz="0" w:space="0" w:color="auto"/>
        <w:right w:val="none" w:sz="0" w:space="0" w:color="auto"/>
      </w:divBdr>
    </w:div>
    <w:div w:id="1124424750">
      <w:bodyDiv w:val="1"/>
      <w:marLeft w:val="0"/>
      <w:marRight w:val="0"/>
      <w:marTop w:val="0"/>
      <w:marBottom w:val="0"/>
      <w:divBdr>
        <w:top w:val="none" w:sz="0" w:space="0" w:color="auto"/>
        <w:left w:val="none" w:sz="0" w:space="0" w:color="auto"/>
        <w:bottom w:val="none" w:sz="0" w:space="0" w:color="auto"/>
        <w:right w:val="none" w:sz="0" w:space="0" w:color="auto"/>
      </w:divBdr>
    </w:div>
    <w:div w:id="1124425314">
      <w:bodyDiv w:val="1"/>
      <w:marLeft w:val="0"/>
      <w:marRight w:val="0"/>
      <w:marTop w:val="0"/>
      <w:marBottom w:val="0"/>
      <w:divBdr>
        <w:top w:val="none" w:sz="0" w:space="0" w:color="auto"/>
        <w:left w:val="none" w:sz="0" w:space="0" w:color="auto"/>
        <w:bottom w:val="none" w:sz="0" w:space="0" w:color="auto"/>
        <w:right w:val="none" w:sz="0" w:space="0" w:color="auto"/>
      </w:divBdr>
    </w:div>
    <w:div w:id="1124540249">
      <w:bodyDiv w:val="1"/>
      <w:marLeft w:val="0"/>
      <w:marRight w:val="0"/>
      <w:marTop w:val="0"/>
      <w:marBottom w:val="0"/>
      <w:divBdr>
        <w:top w:val="none" w:sz="0" w:space="0" w:color="auto"/>
        <w:left w:val="none" w:sz="0" w:space="0" w:color="auto"/>
        <w:bottom w:val="none" w:sz="0" w:space="0" w:color="auto"/>
        <w:right w:val="none" w:sz="0" w:space="0" w:color="auto"/>
      </w:divBdr>
    </w:div>
    <w:div w:id="1124691988">
      <w:bodyDiv w:val="1"/>
      <w:marLeft w:val="0"/>
      <w:marRight w:val="0"/>
      <w:marTop w:val="0"/>
      <w:marBottom w:val="0"/>
      <w:divBdr>
        <w:top w:val="none" w:sz="0" w:space="0" w:color="auto"/>
        <w:left w:val="none" w:sz="0" w:space="0" w:color="auto"/>
        <w:bottom w:val="none" w:sz="0" w:space="0" w:color="auto"/>
        <w:right w:val="none" w:sz="0" w:space="0" w:color="auto"/>
      </w:divBdr>
    </w:div>
    <w:div w:id="1124809328">
      <w:bodyDiv w:val="1"/>
      <w:marLeft w:val="0"/>
      <w:marRight w:val="0"/>
      <w:marTop w:val="0"/>
      <w:marBottom w:val="0"/>
      <w:divBdr>
        <w:top w:val="none" w:sz="0" w:space="0" w:color="auto"/>
        <w:left w:val="none" w:sz="0" w:space="0" w:color="auto"/>
        <w:bottom w:val="none" w:sz="0" w:space="0" w:color="auto"/>
        <w:right w:val="none" w:sz="0" w:space="0" w:color="auto"/>
      </w:divBdr>
    </w:div>
    <w:div w:id="1124809651">
      <w:bodyDiv w:val="1"/>
      <w:marLeft w:val="0"/>
      <w:marRight w:val="0"/>
      <w:marTop w:val="0"/>
      <w:marBottom w:val="0"/>
      <w:divBdr>
        <w:top w:val="none" w:sz="0" w:space="0" w:color="auto"/>
        <w:left w:val="none" w:sz="0" w:space="0" w:color="auto"/>
        <w:bottom w:val="none" w:sz="0" w:space="0" w:color="auto"/>
        <w:right w:val="none" w:sz="0" w:space="0" w:color="auto"/>
      </w:divBdr>
    </w:div>
    <w:div w:id="1125005350">
      <w:bodyDiv w:val="1"/>
      <w:marLeft w:val="0"/>
      <w:marRight w:val="0"/>
      <w:marTop w:val="0"/>
      <w:marBottom w:val="0"/>
      <w:divBdr>
        <w:top w:val="none" w:sz="0" w:space="0" w:color="auto"/>
        <w:left w:val="none" w:sz="0" w:space="0" w:color="auto"/>
        <w:bottom w:val="none" w:sz="0" w:space="0" w:color="auto"/>
        <w:right w:val="none" w:sz="0" w:space="0" w:color="auto"/>
      </w:divBdr>
    </w:div>
    <w:div w:id="1125008762">
      <w:bodyDiv w:val="1"/>
      <w:marLeft w:val="0"/>
      <w:marRight w:val="0"/>
      <w:marTop w:val="0"/>
      <w:marBottom w:val="0"/>
      <w:divBdr>
        <w:top w:val="none" w:sz="0" w:space="0" w:color="auto"/>
        <w:left w:val="none" w:sz="0" w:space="0" w:color="auto"/>
        <w:bottom w:val="none" w:sz="0" w:space="0" w:color="auto"/>
        <w:right w:val="none" w:sz="0" w:space="0" w:color="auto"/>
      </w:divBdr>
    </w:div>
    <w:div w:id="1125075215">
      <w:bodyDiv w:val="1"/>
      <w:marLeft w:val="0"/>
      <w:marRight w:val="0"/>
      <w:marTop w:val="0"/>
      <w:marBottom w:val="0"/>
      <w:divBdr>
        <w:top w:val="none" w:sz="0" w:space="0" w:color="auto"/>
        <w:left w:val="none" w:sz="0" w:space="0" w:color="auto"/>
        <w:bottom w:val="none" w:sz="0" w:space="0" w:color="auto"/>
        <w:right w:val="none" w:sz="0" w:space="0" w:color="auto"/>
      </w:divBdr>
    </w:div>
    <w:div w:id="1125075248">
      <w:bodyDiv w:val="1"/>
      <w:marLeft w:val="0"/>
      <w:marRight w:val="0"/>
      <w:marTop w:val="0"/>
      <w:marBottom w:val="0"/>
      <w:divBdr>
        <w:top w:val="none" w:sz="0" w:space="0" w:color="auto"/>
        <w:left w:val="none" w:sz="0" w:space="0" w:color="auto"/>
        <w:bottom w:val="none" w:sz="0" w:space="0" w:color="auto"/>
        <w:right w:val="none" w:sz="0" w:space="0" w:color="auto"/>
      </w:divBdr>
    </w:div>
    <w:div w:id="1125125570">
      <w:bodyDiv w:val="1"/>
      <w:marLeft w:val="0"/>
      <w:marRight w:val="0"/>
      <w:marTop w:val="0"/>
      <w:marBottom w:val="0"/>
      <w:divBdr>
        <w:top w:val="none" w:sz="0" w:space="0" w:color="auto"/>
        <w:left w:val="none" w:sz="0" w:space="0" w:color="auto"/>
        <w:bottom w:val="none" w:sz="0" w:space="0" w:color="auto"/>
        <w:right w:val="none" w:sz="0" w:space="0" w:color="auto"/>
      </w:divBdr>
    </w:div>
    <w:div w:id="1125277277">
      <w:bodyDiv w:val="1"/>
      <w:marLeft w:val="0"/>
      <w:marRight w:val="0"/>
      <w:marTop w:val="0"/>
      <w:marBottom w:val="0"/>
      <w:divBdr>
        <w:top w:val="none" w:sz="0" w:space="0" w:color="auto"/>
        <w:left w:val="none" w:sz="0" w:space="0" w:color="auto"/>
        <w:bottom w:val="none" w:sz="0" w:space="0" w:color="auto"/>
        <w:right w:val="none" w:sz="0" w:space="0" w:color="auto"/>
      </w:divBdr>
    </w:div>
    <w:div w:id="1125318949">
      <w:bodyDiv w:val="1"/>
      <w:marLeft w:val="0"/>
      <w:marRight w:val="0"/>
      <w:marTop w:val="0"/>
      <w:marBottom w:val="0"/>
      <w:divBdr>
        <w:top w:val="none" w:sz="0" w:space="0" w:color="auto"/>
        <w:left w:val="none" w:sz="0" w:space="0" w:color="auto"/>
        <w:bottom w:val="none" w:sz="0" w:space="0" w:color="auto"/>
        <w:right w:val="none" w:sz="0" w:space="0" w:color="auto"/>
      </w:divBdr>
    </w:div>
    <w:div w:id="1125536982">
      <w:bodyDiv w:val="1"/>
      <w:marLeft w:val="0"/>
      <w:marRight w:val="0"/>
      <w:marTop w:val="0"/>
      <w:marBottom w:val="0"/>
      <w:divBdr>
        <w:top w:val="none" w:sz="0" w:space="0" w:color="auto"/>
        <w:left w:val="none" w:sz="0" w:space="0" w:color="auto"/>
        <w:bottom w:val="none" w:sz="0" w:space="0" w:color="auto"/>
        <w:right w:val="none" w:sz="0" w:space="0" w:color="auto"/>
      </w:divBdr>
    </w:div>
    <w:div w:id="1125658642">
      <w:bodyDiv w:val="1"/>
      <w:marLeft w:val="0"/>
      <w:marRight w:val="0"/>
      <w:marTop w:val="0"/>
      <w:marBottom w:val="0"/>
      <w:divBdr>
        <w:top w:val="none" w:sz="0" w:space="0" w:color="auto"/>
        <w:left w:val="none" w:sz="0" w:space="0" w:color="auto"/>
        <w:bottom w:val="none" w:sz="0" w:space="0" w:color="auto"/>
        <w:right w:val="none" w:sz="0" w:space="0" w:color="auto"/>
      </w:divBdr>
    </w:div>
    <w:div w:id="1125660410">
      <w:bodyDiv w:val="1"/>
      <w:marLeft w:val="0"/>
      <w:marRight w:val="0"/>
      <w:marTop w:val="0"/>
      <w:marBottom w:val="0"/>
      <w:divBdr>
        <w:top w:val="none" w:sz="0" w:space="0" w:color="auto"/>
        <w:left w:val="none" w:sz="0" w:space="0" w:color="auto"/>
        <w:bottom w:val="none" w:sz="0" w:space="0" w:color="auto"/>
        <w:right w:val="none" w:sz="0" w:space="0" w:color="auto"/>
      </w:divBdr>
    </w:div>
    <w:div w:id="1125660724">
      <w:bodyDiv w:val="1"/>
      <w:marLeft w:val="0"/>
      <w:marRight w:val="0"/>
      <w:marTop w:val="0"/>
      <w:marBottom w:val="0"/>
      <w:divBdr>
        <w:top w:val="none" w:sz="0" w:space="0" w:color="auto"/>
        <w:left w:val="none" w:sz="0" w:space="0" w:color="auto"/>
        <w:bottom w:val="none" w:sz="0" w:space="0" w:color="auto"/>
        <w:right w:val="none" w:sz="0" w:space="0" w:color="auto"/>
      </w:divBdr>
    </w:div>
    <w:div w:id="1125731408">
      <w:bodyDiv w:val="1"/>
      <w:marLeft w:val="0"/>
      <w:marRight w:val="0"/>
      <w:marTop w:val="0"/>
      <w:marBottom w:val="0"/>
      <w:divBdr>
        <w:top w:val="none" w:sz="0" w:space="0" w:color="auto"/>
        <w:left w:val="none" w:sz="0" w:space="0" w:color="auto"/>
        <w:bottom w:val="none" w:sz="0" w:space="0" w:color="auto"/>
        <w:right w:val="none" w:sz="0" w:space="0" w:color="auto"/>
      </w:divBdr>
    </w:div>
    <w:div w:id="1125739197">
      <w:bodyDiv w:val="1"/>
      <w:marLeft w:val="0"/>
      <w:marRight w:val="0"/>
      <w:marTop w:val="0"/>
      <w:marBottom w:val="0"/>
      <w:divBdr>
        <w:top w:val="none" w:sz="0" w:space="0" w:color="auto"/>
        <w:left w:val="none" w:sz="0" w:space="0" w:color="auto"/>
        <w:bottom w:val="none" w:sz="0" w:space="0" w:color="auto"/>
        <w:right w:val="none" w:sz="0" w:space="0" w:color="auto"/>
      </w:divBdr>
    </w:div>
    <w:div w:id="1125805205">
      <w:bodyDiv w:val="1"/>
      <w:marLeft w:val="0"/>
      <w:marRight w:val="0"/>
      <w:marTop w:val="0"/>
      <w:marBottom w:val="0"/>
      <w:divBdr>
        <w:top w:val="none" w:sz="0" w:space="0" w:color="auto"/>
        <w:left w:val="none" w:sz="0" w:space="0" w:color="auto"/>
        <w:bottom w:val="none" w:sz="0" w:space="0" w:color="auto"/>
        <w:right w:val="none" w:sz="0" w:space="0" w:color="auto"/>
      </w:divBdr>
    </w:div>
    <w:div w:id="1125855265">
      <w:bodyDiv w:val="1"/>
      <w:marLeft w:val="0"/>
      <w:marRight w:val="0"/>
      <w:marTop w:val="0"/>
      <w:marBottom w:val="0"/>
      <w:divBdr>
        <w:top w:val="none" w:sz="0" w:space="0" w:color="auto"/>
        <w:left w:val="none" w:sz="0" w:space="0" w:color="auto"/>
        <w:bottom w:val="none" w:sz="0" w:space="0" w:color="auto"/>
        <w:right w:val="none" w:sz="0" w:space="0" w:color="auto"/>
      </w:divBdr>
    </w:div>
    <w:div w:id="1125932121">
      <w:bodyDiv w:val="1"/>
      <w:marLeft w:val="0"/>
      <w:marRight w:val="0"/>
      <w:marTop w:val="0"/>
      <w:marBottom w:val="0"/>
      <w:divBdr>
        <w:top w:val="none" w:sz="0" w:space="0" w:color="auto"/>
        <w:left w:val="none" w:sz="0" w:space="0" w:color="auto"/>
        <w:bottom w:val="none" w:sz="0" w:space="0" w:color="auto"/>
        <w:right w:val="none" w:sz="0" w:space="0" w:color="auto"/>
      </w:divBdr>
    </w:div>
    <w:div w:id="1126002403">
      <w:bodyDiv w:val="1"/>
      <w:marLeft w:val="0"/>
      <w:marRight w:val="0"/>
      <w:marTop w:val="0"/>
      <w:marBottom w:val="0"/>
      <w:divBdr>
        <w:top w:val="none" w:sz="0" w:space="0" w:color="auto"/>
        <w:left w:val="none" w:sz="0" w:space="0" w:color="auto"/>
        <w:bottom w:val="none" w:sz="0" w:space="0" w:color="auto"/>
        <w:right w:val="none" w:sz="0" w:space="0" w:color="auto"/>
      </w:divBdr>
    </w:div>
    <w:div w:id="1126005130">
      <w:bodyDiv w:val="1"/>
      <w:marLeft w:val="0"/>
      <w:marRight w:val="0"/>
      <w:marTop w:val="0"/>
      <w:marBottom w:val="0"/>
      <w:divBdr>
        <w:top w:val="none" w:sz="0" w:space="0" w:color="auto"/>
        <w:left w:val="none" w:sz="0" w:space="0" w:color="auto"/>
        <w:bottom w:val="none" w:sz="0" w:space="0" w:color="auto"/>
        <w:right w:val="none" w:sz="0" w:space="0" w:color="auto"/>
      </w:divBdr>
    </w:div>
    <w:div w:id="1126124151">
      <w:bodyDiv w:val="1"/>
      <w:marLeft w:val="0"/>
      <w:marRight w:val="0"/>
      <w:marTop w:val="0"/>
      <w:marBottom w:val="0"/>
      <w:divBdr>
        <w:top w:val="none" w:sz="0" w:space="0" w:color="auto"/>
        <w:left w:val="none" w:sz="0" w:space="0" w:color="auto"/>
        <w:bottom w:val="none" w:sz="0" w:space="0" w:color="auto"/>
        <w:right w:val="none" w:sz="0" w:space="0" w:color="auto"/>
      </w:divBdr>
    </w:div>
    <w:div w:id="1126386264">
      <w:bodyDiv w:val="1"/>
      <w:marLeft w:val="0"/>
      <w:marRight w:val="0"/>
      <w:marTop w:val="0"/>
      <w:marBottom w:val="0"/>
      <w:divBdr>
        <w:top w:val="none" w:sz="0" w:space="0" w:color="auto"/>
        <w:left w:val="none" w:sz="0" w:space="0" w:color="auto"/>
        <w:bottom w:val="none" w:sz="0" w:space="0" w:color="auto"/>
        <w:right w:val="none" w:sz="0" w:space="0" w:color="auto"/>
      </w:divBdr>
    </w:div>
    <w:div w:id="1126460355">
      <w:bodyDiv w:val="1"/>
      <w:marLeft w:val="0"/>
      <w:marRight w:val="0"/>
      <w:marTop w:val="0"/>
      <w:marBottom w:val="0"/>
      <w:divBdr>
        <w:top w:val="none" w:sz="0" w:space="0" w:color="auto"/>
        <w:left w:val="none" w:sz="0" w:space="0" w:color="auto"/>
        <w:bottom w:val="none" w:sz="0" w:space="0" w:color="auto"/>
        <w:right w:val="none" w:sz="0" w:space="0" w:color="auto"/>
      </w:divBdr>
    </w:div>
    <w:div w:id="1126461763">
      <w:bodyDiv w:val="1"/>
      <w:marLeft w:val="0"/>
      <w:marRight w:val="0"/>
      <w:marTop w:val="0"/>
      <w:marBottom w:val="0"/>
      <w:divBdr>
        <w:top w:val="none" w:sz="0" w:space="0" w:color="auto"/>
        <w:left w:val="none" w:sz="0" w:space="0" w:color="auto"/>
        <w:bottom w:val="none" w:sz="0" w:space="0" w:color="auto"/>
        <w:right w:val="none" w:sz="0" w:space="0" w:color="auto"/>
      </w:divBdr>
    </w:div>
    <w:div w:id="1126698920">
      <w:bodyDiv w:val="1"/>
      <w:marLeft w:val="0"/>
      <w:marRight w:val="0"/>
      <w:marTop w:val="0"/>
      <w:marBottom w:val="0"/>
      <w:divBdr>
        <w:top w:val="none" w:sz="0" w:space="0" w:color="auto"/>
        <w:left w:val="none" w:sz="0" w:space="0" w:color="auto"/>
        <w:bottom w:val="none" w:sz="0" w:space="0" w:color="auto"/>
        <w:right w:val="none" w:sz="0" w:space="0" w:color="auto"/>
      </w:divBdr>
    </w:div>
    <w:div w:id="1126854136">
      <w:bodyDiv w:val="1"/>
      <w:marLeft w:val="0"/>
      <w:marRight w:val="0"/>
      <w:marTop w:val="0"/>
      <w:marBottom w:val="0"/>
      <w:divBdr>
        <w:top w:val="none" w:sz="0" w:space="0" w:color="auto"/>
        <w:left w:val="none" w:sz="0" w:space="0" w:color="auto"/>
        <w:bottom w:val="none" w:sz="0" w:space="0" w:color="auto"/>
        <w:right w:val="none" w:sz="0" w:space="0" w:color="auto"/>
      </w:divBdr>
    </w:div>
    <w:div w:id="1126897653">
      <w:bodyDiv w:val="1"/>
      <w:marLeft w:val="0"/>
      <w:marRight w:val="0"/>
      <w:marTop w:val="0"/>
      <w:marBottom w:val="0"/>
      <w:divBdr>
        <w:top w:val="none" w:sz="0" w:space="0" w:color="auto"/>
        <w:left w:val="none" w:sz="0" w:space="0" w:color="auto"/>
        <w:bottom w:val="none" w:sz="0" w:space="0" w:color="auto"/>
        <w:right w:val="none" w:sz="0" w:space="0" w:color="auto"/>
      </w:divBdr>
    </w:div>
    <w:div w:id="1126924000">
      <w:bodyDiv w:val="1"/>
      <w:marLeft w:val="0"/>
      <w:marRight w:val="0"/>
      <w:marTop w:val="0"/>
      <w:marBottom w:val="0"/>
      <w:divBdr>
        <w:top w:val="none" w:sz="0" w:space="0" w:color="auto"/>
        <w:left w:val="none" w:sz="0" w:space="0" w:color="auto"/>
        <w:bottom w:val="none" w:sz="0" w:space="0" w:color="auto"/>
        <w:right w:val="none" w:sz="0" w:space="0" w:color="auto"/>
      </w:divBdr>
    </w:div>
    <w:div w:id="1126969937">
      <w:bodyDiv w:val="1"/>
      <w:marLeft w:val="0"/>
      <w:marRight w:val="0"/>
      <w:marTop w:val="0"/>
      <w:marBottom w:val="0"/>
      <w:divBdr>
        <w:top w:val="none" w:sz="0" w:space="0" w:color="auto"/>
        <w:left w:val="none" w:sz="0" w:space="0" w:color="auto"/>
        <w:bottom w:val="none" w:sz="0" w:space="0" w:color="auto"/>
        <w:right w:val="none" w:sz="0" w:space="0" w:color="auto"/>
      </w:divBdr>
    </w:div>
    <w:div w:id="1126971271">
      <w:bodyDiv w:val="1"/>
      <w:marLeft w:val="0"/>
      <w:marRight w:val="0"/>
      <w:marTop w:val="0"/>
      <w:marBottom w:val="0"/>
      <w:divBdr>
        <w:top w:val="none" w:sz="0" w:space="0" w:color="auto"/>
        <w:left w:val="none" w:sz="0" w:space="0" w:color="auto"/>
        <w:bottom w:val="none" w:sz="0" w:space="0" w:color="auto"/>
        <w:right w:val="none" w:sz="0" w:space="0" w:color="auto"/>
      </w:divBdr>
    </w:div>
    <w:div w:id="1127117091">
      <w:bodyDiv w:val="1"/>
      <w:marLeft w:val="0"/>
      <w:marRight w:val="0"/>
      <w:marTop w:val="0"/>
      <w:marBottom w:val="0"/>
      <w:divBdr>
        <w:top w:val="none" w:sz="0" w:space="0" w:color="auto"/>
        <w:left w:val="none" w:sz="0" w:space="0" w:color="auto"/>
        <w:bottom w:val="none" w:sz="0" w:space="0" w:color="auto"/>
        <w:right w:val="none" w:sz="0" w:space="0" w:color="auto"/>
      </w:divBdr>
    </w:div>
    <w:div w:id="1127119510">
      <w:bodyDiv w:val="1"/>
      <w:marLeft w:val="0"/>
      <w:marRight w:val="0"/>
      <w:marTop w:val="0"/>
      <w:marBottom w:val="0"/>
      <w:divBdr>
        <w:top w:val="none" w:sz="0" w:space="0" w:color="auto"/>
        <w:left w:val="none" w:sz="0" w:space="0" w:color="auto"/>
        <w:bottom w:val="none" w:sz="0" w:space="0" w:color="auto"/>
        <w:right w:val="none" w:sz="0" w:space="0" w:color="auto"/>
      </w:divBdr>
    </w:div>
    <w:div w:id="1127309650">
      <w:bodyDiv w:val="1"/>
      <w:marLeft w:val="0"/>
      <w:marRight w:val="0"/>
      <w:marTop w:val="0"/>
      <w:marBottom w:val="0"/>
      <w:divBdr>
        <w:top w:val="none" w:sz="0" w:space="0" w:color="auto"/>
        <w:left w:val="none" w:sz="0" w:space="0" w:color="auto"/>
        <w:bottom w:val="none" w:sz="0" w:space="0" w:color="auto"/>
        <w:right w:val="none" w:sz="0" w:space="0" w:color="auto"/>
      </w:divBdr>
    </w:div>
    <w:div w:id="1127313986">
      <w:bodyDiv w:val="1"/>
      <w:marLeft w:val="0"/>
      <w:marRight w:val="0"/>
      <w:marTop w:val="0"/>
      <w:marBottom w:val="0"/>
      <w:divBdr>
        <w:top w:val="none" w:sz="0" w:space="0" w:color="auto"/>
        <w:left w:val="none" w:sz="0" w:space="0" w:color="auto"/>
        <w:bottom w:val="none" w:sz="0" w:space="0" w:color="auto"/>
        <w:right w:val="none" w:sz="0" w:space="0" w:color="auto"/>
      </w:divBdr>
    </w:div>
    <w:div w:id="1127357241">
      <w:bodyDiv w:val="1"/>
      <w:marLeft w:val="0"/>
      <w:marRight w:val="0"/>
      <w:marTop w:val="0"/>
      <w:marBottom w:val="0"/>
      <w:divBdr>
        <w:top w:val="none" w:sz="0" w:space="0" w:color="auto"/>
        <w:left w:val="none" w:sz="0" w:space="0" w:color="auto"/>
        <w:bottom w:val="none" w:sz="0" w:space="0" w:color="auto"/>
        <w:right w:val="none" w:sz="0" w:space="0" w:color="auto"/>
      </w:divBdr>
    </w:div>
    <w:div w:id="1127426868">
      <w:bodyDiv w:val="1"/>
      <w:marLeft w:val="0"/>
      <w:marRight w:val="0"/>
      <w:marTop w:val="0"/>
      <w:marBottom w:val="0"/>
      <w:divBdr>
        <w:top w:val="none" w:sz="0" w:space="0" w:color="auto"/>
        <w:left w:val="none" w:sz="0" w:space="0" w:color="auto"/>
        <w:bottom w:val="none" w:sz="0" w:space="0" w:color="auto"/>
        <w:right w:val="none" w:sz="0" w:space="0" w:color="auto"/>
      </w:divBdr>
    </w:div>
    <w:div w:id="1127550314">
      <w:bodyDiv w:val="1"/>
      <w:marLeft w:val="0"/>
      <w:marRight w:val="0"/>
      <w:marTop w:val="0"/>
      <w:marBottom w:val="0"/>
      <w:divBdr>
        <w:top w:val="none" w:sz="0" w:space="0" w:color="auto"/>
        <w:left w:val="none" w:sz="0" w:space="0" w:color="auto"/>
        <w:bottom w:val="none" w:sz="0" w:space="0" w:color="auto"/>
        <w:right w:val="none" w:sz="0" w:space="0" w:color="auto"/>
      </w:divBdr>
    </w:div>
    <w:div w:id="1127698944">
      <w:bodyDiv w:val="1"/>
      <w:marLeft w:val="0"/>
      <w:marRight w:val="0"/>
      <w:marTop w:val="0"/>
      <w:marBottom w:val="0"/>
      <w:divBdr>
        <w:top w:val="none" w:sz="0" w:space="0" w:color="auto"/>
        <w:left w:val="none" w:sz="0" w:space="0" w:color="auto"/>
        <w:bottom w:val="none" w:sz="0" w:space="0" w:color="auto"/>
        <w:right w:val="none" w:sz="0" w:space="0" w:color="auto"/>
      </w:divBdr>
    </w:div>
    <w:div w:id="1127702925">
      <w:bodyDiv w:val="1"/>
      <w:marLeft w:val="0"/>
      <w:marRight w:val="0"/>
      <w:marTop w:val="0"/>
      <w:marBottom w:val="0"/>
      <w:divBdr>
        <w:top w:val="none" w:sz="0" w:space="0" w:color="auto"/>
        <w:left w:val="none" w:sz="0" w:space="0" w:color="auto"/>
        <w:bottom w:val="none" w:sz="0" w:space="0" w:color="auto"/>
        <w:right w:val="none" w:sz="0" w:space="0" w:color="auto"/>
      </w:divBdr>
    </w:div>
    <w:div w:id="1127814841">
      <w:bodyDiv w:val="1"/>
      <w:marLeft w:val="0"/>
      <w:marRight w:val="0"/>
      <w:marTop w:val="0"/>
      <w:marBottom w:val="0"/>
      <w:divBdr>
        <w:top w:val="none" w:sz="0" w:space="0" w:color="auto"/>
        <w:left w:val="none" w:sz="0" w:space="0" w:color="auto"/>
        <w:bottom w:val="none" w:sz="0" w:space="0" w:color="auto"/>
        <w:right w:val="none" w:sz="0" w:space="0" w:color="auto"/>
      </w:divBdr>
    </w:div>
    <w:div w:id="1127819286">
      <w:bodyDiv w:val="1"/>
      <w:marLeft w:val="0"/>
      <w:marRight w:val="0"/>
      <w:marTop w:val="0"/>
      <w:marBottom w:val="0"/>
      <w:divBdr>
        <w:top w:val="none" w:sz="0" w:space="0" w:color="auto"/>
        <w:left w:val="none" w:sz="0" w:space="0" w:color="auto"/>
        <w:bottom w:val="none" w:sz="0" w:space="0" w:color="auto"/>
        <w:right w:val="none" w:sz="0" w:space="0" w:color="auto"/>
      </w:divBdr>
    </w:div>
    <w:div w:id="1127822799">
      <w:bodyDiv w:val="1"/>
      <w:marLeft w:val="0"/>
      <w:marRight w:val="0"/>
      <w:marTop w:val="0"/>
      <w:marBottom w:val="0"/>
      <w:divBdr>
        <w:top w:val="none" w:sz="0" w:space="0" w:color="auto"/>
        <w:left w:val="none" w:sz="0" w:space="0" w:color="auto"/>
        <w:bottom w:val="none" w:sz="0" w:space="0" w:color="auto"/>
        <w:right w:val="none" w:sz="0" w:space="0" w:color="auto"/>
      </w:divBdr>
    </w:div>
    <w:div w:id="1127940785">
      <w:bodyDiv w:val="1"/>
      <w:marLeft w:val="0"/>
      <w:marRight w:val="0"/>
      <w:marTop w:val="0"/>
      <w:marBottom w:val="0"/>
      <w:divBdr>
        <w:top w:val="none" w:sz="0" w:space="0" w:color="auto"/>
        <w:left w:val="none" w:sz="0" w:space="0" w:color="auto"/>
        <w:bottom w:val="none" w:sz="0" w:space="0" w:color="auto"/>
        <w:right w:val="none" w:sz="0" w:space="0" w:color="auto"/>
      </w:divBdr>
    </w:div>
    <w:div w:id="1128009242">
      <w:bodyDiv w:val="1"/>
      <w:marLeft w:val="0"/>
      <w:marRight w:val="0"/>
      <w:marTop w:val="0"/>
      <w:marBottom w:val="0"/>
      <w:divBdr>
        <w:top w:val="none" w:sz="0" w:space="0" w:color="auto"/>
        <w:left w:val="none" w:sz="0" w:space="0" w:color="auto"/>
        <w:bottom w:val="none" w:sz="0" w:space="0" w:color="auto"/>
        <w:right w:val="none" w:sz="0" w:space="0" w:color="auto"/>
      </w:divBdr>
    </w:div>
    <w:div w:id="1128009410">
      <w:bodyDiv w:val="1"/>
      <w:marLeft w:val="0"/>
      <w:marRight w:val="0"/>
      <w:marTop w:val="0"/>
      <w:marBottom w:val="0"/>
      <w:divBdr>
        <w:top w:val="none" w:sz="0" w:space="0" w:color="auto"/>
        <w:left w:val="none" w:sz="0" w:space="0" w:color="auto"/>
        <w:bottom w:val="none" w:sz="0" w:space="0" w:color="auto"/>
        <w:right w:val="none" w:sz="0" w:space="0" w:color="auto"/>
      </w:divBdr>
    </w:div>
    <w:div w:id="1128011074">
      <w:bodyDiv w:val="1"/>
      <w:marLeft w:val="0"/>
      <w:marRight w:val="0"/>
      <w:marTop w:val="0"/>
      <w:marBottom w:val="0"/>
      <w:divBdr>
        <w:top w:val="none" w:sz="0" w:space="0" w:color="auto"/>
        <w:left w:val="none" w:sz="0" w:space="0" w:color="auto"/>
        <w:bottom w:val="none" w:sz="0" w:space="0" w:color="auto"/>
        <w:right w:val="none" w:sz="0" w:space="0" w:color="auto"/>
      </w:divBdr>
    </w:div>
    <w:div w:id="1128014538">
      <w:bodyDiv w:val="1"/>
      <w:marLeft w:val="0"/>
      <w:marRight w:val="0"/>
      <w:marTop w:val="0"/>
      <w:marBottom w:val="0"/>
      <w:divBdr>
        <w:top w:val="none" w:sz="0" w:space="0" w:color="auto"/>
        <w:left w:val="none" w:sz="0" w:space="0" w:color="auto"/>
        <w:bottom w:val="none" w:sz="0" w:space="0" w:color="auto"/>
        <w:right w:val="none" w:sz="0" w:space="0" w:color="auto"/>
      </w:divBdr>
    </w:div>
    <w:div w:id="1128160837">
      <w:bodyDiv w:val="1"/>
      <w:marLeft w:val="0"/>
      <w:marRight w:val="0"/>
      <w:marTop w:val="0"/>
      <w:marBottom w:val="0"/>
      <w:divBdr>
        <w:top w:val="none" w:sz="0" w:space="0" w:color="auto"/>
        <w:left w:val="none" w:sz="0" w:space="0" w:color="auto"/>
        <w:bottom w:val="none" w:sz="0" w:space="0" w:color="auto"/>
        <w:right w:val="none" w:sz="0" w:space="0" w:color="auto"/>
      </w:divBdr>
    </w:div>
    <w:div w:id="1128209466">
      <w:bodyDiv w:val="1"/>
      <w:marLeft w:val="0"/>
      <w:marRight w:val="0"/>
      <w:marTop w:val="0"/>
      <w:marBottom w:val="0"/>
      <w:divBdr>
        <w:top w:val="none" w:sz="0" w:space="0" w:color="auto"/>
        <w:left w:val="none" w:sz="0" w:space="0" w:color="auto"/>
        <w:bottom w:val="none" w:sz="0" w:space="0" w:color="auto"/>
        <w:right w:val="none" w:sz="0" w:space="0" w:color="auto"/>
      </w:divBdr>
    </w:div>
    <w:div w:id="1128233469">
      <w:bodyDiv w:val="1"/>
      <w:marLeft w:val="0"/>
      <w:marRight w:val="0"/>
      <w:marTop w:val="0"/>
      <w:marBottom w:val="0"/>
      <w:divBdr>
        <w:top w:val="none" w:sz="0" w:space="0" w:color="auto"/>
        <w:left w:val="none" w:sz="0" w:space="0" w:color="auto"/>
        <w:bottom w:val="none" w:sz="0" w:space="0" w:color="auto"/>
        <w:right w:val="none" w:sz="0" w:space="0" w:color="auto"/>
      </w:divBdr>
    </w:div>
    <w:div w:id="1128400021">
      <w:bodyDiv w:val="1"/>
      <w:marLeft w:val="0"/>
      <w:marRight w:val="0"/>
      <w:marTop w:val="0"/>
      <w:marBottom w:val="0"/>
      <w:divBdr>
        <w:top w:val="none" w:sz="0" w:space="0" w:color="auto"/>
        <w:left w:val="none" w:sz="0" w:space="0" w:color="auto"/>
        <w:bottom w:val="none" w:sz="0" w:space="0" w:color="auto"/>
        <w:right w:val="none" w:sz="0" w:space="0" w:color="auto"/>
      </w:divBdr>
    </w:div>
    <w:div w:id="1128428413">
      <w:bodyDiv w:val="1"/>
      <w:marLeft w:val="0"/>
      <w:marRight w:val="0"/>
      <w:marTop w:val="0"/>
      <w:marBottom w:val="0"/>
      <w:divBdr>
        <w:top w:val="none" w:sz="0" w:space="0" w:color="auto"/>
        <w:left w:val="none" w:sz="0" w:space="0" w:color="auto"/>
        <w:bottom w:val="none" w:sz="0" w:space="0" w:color="auto"/>
        <w:right w:val="none" w:sz="0" w:space="0" w:color="auto"/>
      </w:divBdr>
    </w:div>
    <w:div w:id="1128428818">
      <w:bodyDiv w:val="1"/>
      <w:marLeft w:val="0"/>
      <w:marRight w:val="0"/>
      <w:marTop w:val="0"/>
      <w:marBottom w:val="0"/>
      <w:divBdr>
        <w:top w:val="none" w:sz="0" w:space="0" w:color="auto"/>
        <w:left w:val="none" w:sz="0" w:space="0" w:color="auto"/>
        <w:bottom w:val="none" w:sz="0" w:space="0" w:color="auto"/>
        <w:right w:val="none" w:sz="0" w:space="0" w:color="auto"/>
      </w:divBdr>
    </w:div>
    <w:div w:id="1128666859">
      <w:bodyDiv w:val="1"/>
      <w:marLeft w:val="0"/>
      <w:marRight w:val="0"/>
      <w:marTop w:val="0"/>
      <w:marBottom w:val="0"/>
      <w:divBdr>
        <w:top w:val="none" w:sz="0" w:space="0" w:color="auto"/>
        <w:left w:val="none" w:sz="0" w:space="0" w:color="auto"/>
        <w:bottom w:val="none" w:sz="0" w:space="0" w:color="auto"/>
        <w:right w:val="none" w:sz="0" w:space="0" w:color="auto"/>
      </w:divBdr>
    </w:div>
    <w:div w:id="1128669137">
      <w:bodyDiv w:val="1"/>
      <w:marLeft w:val="0"/>
      <w:marRight w:val="0"/>
      <w:marTop w:val="0"/>
      <w:marBottom w:val="0"/>
      <w:divBdr>
        <w:top w:val="none" w:sz="0" w:space="0" w:color="auto"/>
        <w:left w:val="none" w:sz="0" w:space="0" w:color="auto"/>
        <w:bottom w:val="none" w:sz="0" w:space="0" w:color="auto"/>
        <w:right w:val="none" w:sz="0" w:space="0" w:color="auto"/>
      </w:divBdr>
    </w:div>
    <w:div w:id="1128889058">
      <w:bodyDiv w:val="1"/>
      <w:marLeft w:val="0"/>
      <w:marRight w:val="0"/>
      <w:marTop w:val="0"/>
      <w:marBottom w:val="0"/>
      <w:divBdr>
        <w:top w:val="none" w:sz="0" w:space="0" w:color="auto"/>
        <w:left w:val="none" w:sz="0" w:space="0" w:color="auto"/>
        <w:bottom w:val="none" w:sz="0" w:space="0" w:color="auto"/>
        <w:right w:val="none" w:sz="0" w:space="0" w:color="auto"/>
      </w:divBdr>
    </w:div>
    <w:div w:id="1128937273">
      <w:bodyDiv w:val="1"/>
      <w:marLeft w:val="0"/>
      <w:marRight w:val="0"/>
      <w:marTop w:val="0"/>
      <w:marBottom w:val="0"/>
      <w:divBdr>
        <w:top w:val="none" w:sz="0" w:space="0" w:color="auto"/>
        <w:left w:val="none" w:sz="0" w:space="0" w:color="auto"/>
        <w:bottom w:val="none" w:sz="0" w:space="0" w:color="auto"/>
        <w:right w:val="none" w:sz="0" w:space="0" w:color="auto"/>
      </w:divBdr>
    </w:div>
    <w:div w:id="1128938242">
      <w:bodyDiv w:val="1"/>
      <w:marLeft w:val="0"/>
      <w:marRight w:val="0"/>
      <w:marTop w:val="0"/>
      <w:marBottom w:val="0"/>
      <w:divBdr>
        <w:top w:val="none" w:sz="0" w:space="0" w:color="auto"/>
        <w:left w:val="none" w:sz="0" w:space="0" w:color="auto"/>
        <w:bottom w:val="none" w:sz="0" w:space="0" w:color="auto"/>
        <w:right w:val="none" w:sz="0" w:space="0" w:color="auto"/>
      </w:divBdr>
    </w:div>
    <w:div w:id="1128940166">
      <w:bodyDiv w:val="1"/>
      <w:marLeft w:val="0"/>
      <w:marRight w:val="0"/>
      <w:marTop w:val="0"/>
      <w:marBottom w:val="0"/>
      <w:divBdr>
        <w:top w:val="none" w:sz="0" w:space="0" w:color="auto"/>
        <w:left w:val="none" w:sz="0" w:space="0" w:color="auto"/>
        <w:bottom w:val="none" w:sz="0" w:space="0" w:color="auto"/>
        <w:right w:val="none" w:sz="0" w:space="0" w:color="auto"/>
      </w:divBdr>
    </w:div>
    <w:div w:id="1129054309">
      <w:bodyDiv w:val="1"/>
      <w:marLeft w:val="0"/>
      <w:marRight w:val="0"/>
      <w:marTop w:val="0"/>
      <w:marBottom w:val="0"/>
      <w:divBdr>
        <w:top w:val="none" w:sz="0" w:space="0" w:color="auto"/>
        <w:left w:val="none" w:sz="0" w:space="0" w:color="auto"/>
        <w:bottom w:val="none" w:sz="0" w:space="0" w:color="auto"/>
        <w:right w:val="none" w:sz="0" w:space="0" w:color="auto"/>
      </w:divBdr>
    </w:div>
    <w:div w:id="1129205340">
      <w:bodyDiv w:val="1"/>
      <w:marLeft w:val="0"/>
      <w:marRight w:val="0"/>
      <w:marTop w:val="0"/>
      <w:marBottom w:val="0"/>
      <w:divBdr>
        <w:top w:val="none" w:sz="0" w:space="0" w:color="auto"/>
        <w:left w:val="none" w:sz="0" w:space="0" w:color="auto"/>
        <w:bottom w:val="none" w:sz="0" w:space="0" w:color="auto"/>
        <w:right w:val="none" w:sz="0" w:space="0" w:color="auto"/>
      </w:divBdr>
    </w:div>
    <w:div w:id="1129399463">
      <w:bodyDiv w:val="1"/>
      <w:marLeft w:val="0"/>
      <w:marRight w:val="0"/>
      <w:marTop w:val="0"/>
      <w:marBottom w:val="0"/>
      <w:divBdr>
        <w:top w:val="none" w:sz="0" w:space="0" w:color="auto"/>
        <w:left w:val="none" w:sz="0" w:space="0" w:color="auto"/>
        <w:bottom w:val="none" w:sz="0" w:space="0" w:color="auto"/>
        <w:right w:val="none" w:sz="0" w:space="0" w:color="auto"/>
      </w:divBdr>
    </w:div>
    <w:div w:id="1129519589">
      <w:bodyDiv w:val="1"/>
      <w:marLeft w:val="0"/>
      <w:marRight w:val="0"/>
      <w:marTop w:val="0"/>
      <w:marBottom w:val="0"/>
      <w:divBdr>
        <w:top w:val="none" w:sz="0" w:space="0" w:color="auto"/>
        <w:left w:val="none" w:sz="0" w:space="0" w:color="auto"/>
        <w:bottom w:val="none" w:sz="0" w:space="0" w:color="auto"/>
        <w:right w:val="none" w:sz="0" w:space="0" w:color="auto"/>
      </w:divBdr>
    </w:div>
    <w:div w:id="1129545685">
      <w:bodyDiv w:val="1"/>
      <w:marLeft w:val="0"/>
      <w:marRight w:val="0"/>
      <w:marTop w:val="0"/>
      <w:marBottom w:val="0"/>
      <w:divBdr>
        <w:top w:val="none" w:sz="0" w:space="0" w:color="auto"/>
        <w:left w:val="none" w:sz="0" w:space="0" w:color="auto"/>
        <w:bottom w:val="none" w:sz="0" w:space="0" w:color="auto"/>
        <w:right w:val="none" w:sz="0" w:space="0" w:color="auto"/>
      </w:divBdr>
    </w:div>
    <w:div w:id="1129663664">
      <w:bodyDiv w:val="1"/>
      <w:marLeft w:val="0"/>
      <w:marRight w:val="0"/>
      <w:marTop w:val="0"/>
      <w:marBottom w:val="0"/>
      <w:divBdr>
        <w:top w:val="none" w:sz="0" w:space="0" w:color="auto"/>
        <w:left w:val="none" w:sz="0" w:space="0" w:color="auto"/>
        <w:bottom w:val="none" w:sz="0" w:space="0" w:color="auto"/>
        <w:right w:val="none" w:sz="0" w:space="0" w:color="auto"/>
      </w:divBdr>
    </w:div>
    <w:div w:id="1130318085">
      <w:bodyDiv w:val="1"/>
      <w:marLeft w:val="0"/>
      <w:marRight w:val="0"/>
      <w:marTop w:val="0"/>
      <w:marBottom w:val="0"/>
      <w:divBdr>
        <w:top w:val="none" w:sz="0" w:space="0" w:color="auto"/>
        <w:left w:val="none" w:sz="0" w:space="0" w:color="auto"/>
        <w:bottom w:val="none" w:sz="0" w:space="0" w:color="auto"/>
        <w:right w:val="none" w:sz="0" w:space="0" w:color="auto"/>
      </w:divBdr>
    </w:div>
    <w:div w:id="1130323347">
      <w:bodyDiv w:val="1"/>
      <w:marLeft w:val="0"/>
      <w:marRight w:val="0"/>
      <w:marTop w:val="0"/>
      <w:marBottom w:val="0"/>
      <w:divBdr>
        <w:top w:val="none" w:sz="0" w:space="0" w:color="auto"/>
        <w:left w:val="none" w:sz="0" w:space="0" w:color="auto"/>
        <w:bottom w:val="none" w:sz="0" w:space="0" w:color="auto"/>
        <w:right w:val="none" w:sz="0" w:space="0" w:color="auto"/>
      </w:divBdr>
    </w:div>
    <w:div w:id="1130437163">
      <w:bodyDiv w:val="1"/>
      <w:marLeft w:val="0"/>
      <w:marRight w:val="0"/>
      <w:marTop w:val="0"/>
      <w:marBottom w:val="0"/>
      <w:divBdr>
        <w:top w:val="none" w:sz="0" w:space="0" w:color="auto"/>
        <w:left w:val="none" w:sz="0" w:space="0" w:color="auto"/>
        <w:bottom w:val="none" w:sz="0" w:space="0" w:color="auto"/>
        <w:right w:val="none" w:sz="0" w:space="0" w:color="auto"/>
      </w:divBdr>
    </w:div>
    <w:div w:id="1130509980">
      <w:bodyDiv w:val="1"/>
      <w:marLeft w:val="0"/>
      <w:marRight w:val="0"/>
      <w:marTop w:val="0"/>
      <w:marBottom w:val="0"/>
      <w:divBdr>
        <w:top w:val="none" w:sz="0" w:space="0" w:color="auto"/>
        <w:left w:val="none" w:sz="0" w:space="0" w:color="auto"/>
        <w:bottom w:val="none" w:sz="0" w:space="0" w:color="auto"/>
        <w:right w:val="none" w:sz="0" w:space="0" w:color="auto"/>
      </w:divBdr>
    </w:div>
    <w:div w:id="1130513119">
      <w:bodyDiv w:val="1"/>
      <w:marLeft w:val="0"/>
      <w:marRight w:val="0"/>
      <w:marTop w:val="0"/>
      <w:marBottom w:val="0"/>
      <w:divBdr>
        <w:top w:val="none" w:sz="0" w:space="0" w:color="auto"/>
        <w:left w:val="none" w:sz="0" w:space="0" w:color="auto"/>
        <w:bottom w:val="none" w:sz="0" w:space="0" w:color="auto"/>
        <w:right w:val="none" w:sz="0" w:space="0" w:color="auto"/>
      </w:divBdr>
    </w:div>
    <w:div w:id="1130516182">
      <w:bodyDiv w:val="1"/>
      <w:marLeft w:val="0"/>
      <w:marRight w:val="0"/>
      <w:marTop w:val="0"/>
      <w:marBottom w:val="0"/>
      <w:divBdr>
        <w:top w:val="none" w:sz="0" w:space="0" w:color="auto"/>
        <w:left w:val="none" w:sz="0" w:space="0" w:color="auto"/>
        <w:bottom w:val="none" w:sz="0" w:space="0" w:color="auto"/>
        <w:right w:val="none" w:sz="0" w:space="0" w:color="auto"/>
      </w:divBdr>
    </w:div>
    <w:div w:id="1130786013">
      <w:bodyDiv w:val="1"/>
      <w:marLeft w:val="0"/>
      <w:marRight w:val="0"/>
      <w:marTop w:val="0"/>
      <w:marBottom w:val="0"/>
      <w:divBdr>
        <w:top w:val="none" w:sz="0" w:space="0" w:color="auto"/>
        <w:left w:val="none" w:sz="0" w:space="0" w:color="auto"/>
        <w:bottom w:val="none" w:sz="0" w:space="0" w:color="auto"/>
        <w:right w:val="none" w:sz="0" w:space="0" w:color="auto"/>
      </w:divBdr>
    </w:div>
    <w:div w:id="1131095072">
      <w:bodyDiv w:val="1"/>
      <w:marLeft w:val="0"/>
      <w:marRight w:val="0"/>
      <w:marTop w:val="0"/>
      <w:marBottom w:val="0"/>
      <w:divBdr>
        <w:top w:val="none" w:sz="0" w:space="0" w:color="auto"/>
        <w:left w:val="none" w:sz="0" w:space="0" w:color="auto"/>
        <w:bottom w:val="none" w:sz="0" w:space="0" w:color="auto"/>
        <w:right w:val="none" w:sz="0" w:space="0" w:color="auto"/>
      </w:divBdr>
    </w:div>
    <w:div w:id="1131166089">
      <w:bodyDiv w:val="1"/>
      <w:marLeft w:val="0"/>
      <w:marRight w:val="0"/>
      <w:marTop w:val="0"/>
      <w:marBottom w:val="0"/>
      <w:divBdr>
        <w:top w:val="none" w:sz="0" w:space="0" w:color="auto"/>
        <w:left w:val="none" w:sz="0" w:space="0" w:color="auto"/>
        <w:bottom w:val="none" w:sz="0" w:space="0" w:color="auto"/>
        <w:right w:val="none" w:sz="0" w:space="0" w:color="auto"/>
      </w:divBdr>
    </w:div>
    <w:div w:id="1131240472">
      <w:bodyDiv w:val="1"/>
      <w:marLeft w:val="0"/>
      <w:marRight w:val="0"/>
      <w:marTop w:val="0"/>
      <w:marBottom w:val="0"/>
      <w:divBdr>
        <w:top w:val="none" w:sz="0" w:space="0" w:color="auto"/>
        <w:left w:val="none" w:sz="0" w:space="0" w:color="auto"/>
        <w:bottom w:val="none" w:sz="0" w:space="0" w:color="auto"/>
        <w:right w:val="none" w:sz="0" w:space="0" w:color="auto"/>
      </w:divBdr>
    </w:div>
    <w:div w:id="1131247516">
      <w:bodyDiv w:val="1"/>
      <w:marLeft w:val="0"/>
      <w:marRight w:val="0"/>
      <w:marTop w:val="0"/>
      <w:marBottom w:val="0"/>
      <w:divBdr>
        <w:top w:val="none" w:sz="0" w:space="0" w:color="auto"/>
        <w:left w:val="none" w:sz="0" w:space="0" w:color="auto"/>
        <w:bottom w:val="none" w:sz="0" w:space="0" w:color="auto"/>
        <w:right w:val="none" w:sz="0" w:space="0" w:color="auto"/>
      </w:divBdr>
    </w:div>
    <w:div w:id="1131248544">
      <w:bodyDiv w:val="1"/>
      <w:marLeft w:val="0"/>
      <w:marRight w:val="0"/>
      <w:marTop w:val="0"/>
      <w:marBottom w:val="0"/>
      <w:divBdr>
        <w:top w:val="none" w:sz="0" w:space="0" w:color="auto"/>
        <w:left w:val="none" w:sz="0" w:space="0" w:color="auto"/>
        <w:bottom w:val="none" w:sz="0" w:space="0" w:color="auto"/>
        <w:right w:val="none" w:sz="0" w:space="0" w:color="auto"/>
      </w:divBdr>
    </w:div>
    <w:div w:id="1131290564">
      <w:bodyDiv w:val="1"/>
      <w:marLeft w:val="0"/>
      <w:marRight w:val="0"/>
      <w:marTop w:val="0"/>
      <w:marBottom w:val="0"/>
      <w:divBdr>
        <w:top w:val="none" w:sz="0" w:space="0" w:color="auto"/>
        <w:left w:val="none" w:sz="0" w:space="0" w:color="auto"/>
        <w:bottom w:val="none" w:sz="0" w:space="0" w:color="auto"/>
        <w:right w:val="none" w:sz="0" w:space="0" w:color="auto"/>
      </w:divBdr>
    </w:div>
    <w:div w:id="1131480013">
      <w:bodyDiv w:val="1"/>
      <w:marLeft w:val="0"/>
      <w:marRight w:val="0"/>
      <w:marTop w:val="0"/>
      <w:marBottom w:val="0"/>
      <w:divBdr>
        <w:top w:val="none" w:sz="0" w:space="0" w:color="auto"/>
        <w:left w:val="none" w:sz="0" w:space="0" w:color="auto"/>
        <w:bottom w:val="none" w:sz="0" w:space="0" w:color="auto"/>
        <w:right w:val="none" w:sz="0" w:space="0" w:color="auto"/>
      </w:divBdr>
    </w:div>
    <w:div w:id="1131510517">
      <w:bodyDiv w:val="1"/>
      <w:marLeft w:val="0"/>
      <w:marRight w:val="0"/>
      <w:marTop w:val="0"/>
      <w:marBottom w:val="0"/>
      <w:divBdr>
        <w:top w:val="none" w:sz="0" w:space="0" w:color="auto"/>
        <w:left w:val="none" w:sz="0" w:space="0" w:color="auto"/>
        <w:bottom w:val="none" w:sz="0" w:space="0" w:color="auto"/>
        <w:right w:val="none" w:sz="0" w:space="0" w:color="auto"/>
      </w:divBdr>
    </w:div>
    <w:div w:id="1131635489">
      <w:bodyDiv w:val="1"/>
      <w:marLeft w:val="0"/>
      <w:marRight w:val="0"/>
      <w:marTop w:val="0"/>
      <w:marBottom w:val="0"/>
      <w:divBdr>
        <w:top w:val="none" w:sz="0" w:space="0" w:color="auto"/>
        <w:left w:val="none" w:sz="0" w:space="0" w:color="auto"/>
        <w:bottom w:val="none" w:sz="0" w:space="0" w:color="auto"/>
        <w:right w:val="none" w:sz="0" w:space="0" w:color="auto"/>
      </w:divBdr>
    </w:div>
    <w:div w:id="1131678081">
      <w:bodyDiv w:val="1"/>
      <w:marLeft w:val="0"/>
      <w:marRight w:val="0"/>
      <w:marTop w:val="0"/>
      <w:marBottom w:val="0"/>
      <w:divBdr>
        <w:top w:val="none" w:sz="0" w:space="0" w:color="auto"/>
        <w:left w:val="none" w:sz="0" w:space="0" w:color="auto"/>
        <w:bottom w:val="none" w:sz="0" w:space="0" w:color="auto"/>
        <w:right w:val="none" w:sz="0" w:space="0" w:color="auto"/>
      </w:divBdr>
    </w:div>
    <w:div w:id="1131702563">
      <w:bodyDiv w:val="1"/>
      <w:marLeft w:val="0"/>
      <w:marRight w:val="0"/>
      <w:marTop w:val="0"/>
      <w:marBottom w:val="0"/>
      <w:divBdr>
        <w:top w:val="none" w:sz="0" w:space="0" w:color="auto"/>
        <w:left w:val="none" w:sz="0" w:space="0" w:color="auto"/>
        <w:bottom w:val="none" w:sz="0" w:space="0" w:color="auto"/>
        <w:right w:val="none" w:sz="0" w:space="0" w:color="auto"/>
      </w:divBdr>
    </w:div>
    <w:div w:id="1131745534">
      <w:bodyDiv w:val="1"/>
      <w:marLeft w:val="0"/>
      <w:marRight w:val="0"/>
      <w:marTop w:val="0"/>
      <w:marBottom w:val="0"/>
      <w:divBdr>
        <w:top w:val="none" w:sz="0" w:space="0" w:color="auto"/>
        <w:left w:val="none" w:sz="0" w:space="0" w:color="auto"/>
        <w:bottom w:val="none" w:sz="0" w:space="0" w:color="auto"/>
        <w:right w:val="none" w:sz="0" w:space="0" w:color="auto"/>
      </w:divBdr>
    </w:div>
    <w:div w:id="1131822961">
      <w:bodyDiv w:val="1"/>
      <w:marLeft w:val="0"/>
      <w:marRight w:val="0"/>
      <w:marTop w:val="0"/>
      <w:marBottom w:val="0"/>
      <w:divBdr>
        <w:top w:val="none" w:sz="0" w:space="0" w:color="auto"/>
        <w:left w:val="none" w:sz="0" w:space="0" w:color="auto"/>
        <w:bottom w:val="none" w:sz="0" w:space="0" w:color="auto"/>
        <w:right w:val="none" w:sz="0" w:space="0" w:color="auto"/>
      </w:divBdr>
    </w:div>
    <w:div w:id="1131872340">
      <w:bodyDiv w:val="1"/>
      <w:marLeft w:val="0"/>
      <w:marRight w:val="0"/>
      <w:marTop w:val="0"/>
      <w:marBottom w:val="0"/>
      <w:divBdr>
        <w:top w:val="none" w:sz="0" w:space="0" w:color="auto"/>
        <w:left w:val="none" w:sz="0" w:space="0" w:color="auto"/>
        <w:bottom w:val="none" w:sz="0" w:space="0" w:color="auto"/>
        <w:right w:val="none" w:sz="0" w:space="0" w:color="auto"/>
      </w:divBdr>
    </w:div>
    <w:div w:id="1131939531">
      <w:bodyDiv w:val="1"/>
      <w:marLeft w:val="0"/>
      <w:marRight w:val="0"/>
      <w:marTop w:val="0"/>
      <w:marBottom w:val="0"/>
      <w:divBdr>
        <w:top w:val="none" w:sz="0" w:space="0" w:color="auto"/>
        <w:left w:val="none" w:sz="0" w:space="0" w:color="auto"/>
        <w:bottom w:val="none" w:sz="0" w:space="0" w:color="auto"/>
        <w:right w:val="none" w:sz="0" w:space="0" w:color="auto"/>
      </w:divBdr>
    </w:div>
    <w:div w:id="1131945240">
      <w:bodyDiv w:val="1"/>
      <w:marLeft w:val="0"/>
      <w:marRight w:val="0"/>
      <w:marTop w:val="0"/>
      <w:marBottom w:val="0"/>
      <w:divBdr>
        <w:top w:val="none" w:sz="0" w:space="0" w:color="auto"/>
        <w:left w:val="none" w:sz="0" w:space="0" w:color="auto"/>
        <w:bottom w:val="none" w:sz="0" w:space="0" w:color="auto"/>
        <w:right w:val="none" w:sz="0" w:space="0" w:color="auto"/>
      </w:divBdr>
    </w:div>
    <w:div w:id="1132092808">
      <w:bodyDiv w:val="1"/>
      <w:marLeft w:val="0"/>
      <w:marRight w:val="0"/>
      <w:marTop w:val="0"/>
      <w:marBottom w:val="0"/>
      <w:divBdr>
        <w:top w:val="none" w:sz="0" w:space="0" w:color="auto"/>
        <w:left w:val="none" w:sz="0" w:space="0" w:color="auto"/>
        <w:bottom w:val="none" w:sz="0" w:space="0" w:color="auto"/>
        <w:right w:val="none" w:sz="0" w:space="0" w:color="auto"/>
      </w:divBdr>
    </w:div>
    <w:div w:id="1132093302">
      <w:bodyDiv w:val="1"/>
      <w:marLeft w:val="0"/>
      <w:marRight w:val="0"/>
      <w:marTop w:val="0"/>
      <w:marBottom w:val="0"/>
      <w:divBdr>
        <w:top w:val="none" w:sz="0" w:space="0" w:color="auto"/>
        <w:left w:val="none" w:sz="0" w:space="0" w:color="auto"/>
        <w:bottom w:val="none" w:sz="0" w:space="0" w:color="auto"/>
        <w:right w:val="none" w:sz="0" w:space="0" w:color="auto"/>
      </w:divBdr>
    </w:div>
    <w:div w:id="1132207969">
      <w:bodyDiv w:val="1"/>
      <w:marLeft w:val="0"/>
      <w:marRight w:val="0"/>
      <w:marTop w:val="0"/>
      <w:marBottom w:val="0"/>
      <w:divBdr>
        <w:top w:val="none" w:sz="0" w:space="0" w:color="auto"/>
        <w:left w:val="none" w:sz="0" w:space="0" w:color="auto"/>
        <w:bottom w:val="none" w:sz="0" w:space="0" w:color="auto"/>
        <w:right w:val="none" w:sz="0" w:space="0" w:color="auto"/>
      </w:divBdr>
    </w:div>
    <w:div w:id="1132208589">
      <w:bodyDiv w:val="1"/>
      <w:marLeft w:val="0"/>
      <w:marRight w:val="0"/>
      <w:marTop w:val="0"/>
      <w:marBottom w:val="0"/>
      <w:divBdr>
        <w:top w:val="none" w:sz="0" w:space="0" w:color="auto"/>
        <w:left w:val="none" w:sz="0" w:space="0" w:color="auto"/>
        <w:bottom w:val="none" w:sz="0" w:space="0" w:color="auto"/>
        <w:right w:val="none" w:sz="0" w:space="0" w:color="auto"/>
      </w:divBdr>
    </w:div>
    <w:div w:id="1132332110">
      <w:bodyDiv w:val="1"/>
      <w:marLeft w:val="0"/>
      <w:marRight w:val="0"/>
      <w:marTop w:val="0"/>
      <w:marBottom w:val="0"/>
      <w:divBdr>
        <w:top w:val="none" w:sz="0" w:space="0" w:color="auto"/>
        <w:left w:val="none" w:sz="0" w:space="0" w:color="auto"/>
        <w:bottom w:val="none" w:sz="0" w:space="0" w:color="auto"/>
        <w:right w:val="none" w:sz="0" w:space="0" w:color="auto"/>
      </w:divBdr>
    </w:div>
    <w:div w:id="1132404051">
      <w:bodyDiv w:val="1"/>
      <w:marLeft w:val="0"/>
      <w:marRight w:val="0"/>
      <w:marTop w:val="0"/>
      <w:marBottom w:val="0"/>
      <w:divBdr>
        <w:top w:val="none" w:sz="0" w:space="0" w:color="auto"/>
        <w:left w:val="none" w:sz="0" w:space="0" w:color="auto"/>
        <w:bottom w:val="none" w:sz="0" w:space="0" w:color="auto"/>
        <w:right w:val="none" w:sz="0" w:space="0" w:color="auto"/>
      </w:divBdr>
    </w:div>
    <w:div w:id="1132559702">
      <w:bodyDiv w:val="1"/>
      <w:marLeft w:val="0"/>
      <w:marRight w:val="0"/>
      <w:marTop w:val="0"/>
      <w:marBottom w:val="0"/>
      <w:divBdr>
        <w:top w:val="none" w:sz="0" w:space="0" w:color="auto"/>
        <w:left w:val="none" w:sz="0" w:space="0" w:color="auto"/>
        <w:bottom w:val="none" w:sz="0" w:space="0" w:color="auto"/>
        <w:right w:val="none" w:sz="0" w:space="0" w:color="auto"/>
      </w:divBdr>
    </w:div>
    <w:div w:id="1132670201">
      <w:bodyDiv w:val="1"/>
      <w:marLeft w:val="0"/>
      <w:marRight w:val="0"/>
      <w:marTop w:val="0"/>
      <w:marBottom w:val="0"/>
      <w:divBdr>
        <w:top w:val="none" w:sz="0" w:space="0" w:color="auto"/>
        <w:left w:val="none" w:sz="0" w:space="0" w:color="auto"/>
        <w:bottom w:val="none" w:sz="0" w:space="0" w:color="auto"/>
        <w:right w:val="none" w:sz="0" w:space="0" w:color="auto"/>
      </w:divBdr>
    </w:div>
    <w:div w:id="1132677644">
      <w:bodyDiv w:val="1"/>
      <w:marLeft w:val="0"/>
      <w:marRight w:val="0"/>
      <w:marTop w:val="0"/>
      <w:marBottom w:val="0"/>
      <w:divBdr>
        <w:top w:val="none" w:sz="0" w:space="0" w:color="auto"/>
        <w:left w:val="none" w:sz="0" w:space="0" w:color="auto"/>
        <w:bottom w:val="none" w:sz="0" w:space="0" w:color="auto"/>
        <w:right w:val="none" w:sz="0" w:space="0" w:color="auto"/>
      </w:divBdr>
    </w:div>
    <w:div w:id="1132748647">
      <w:bodyDiv w:val="1"/>
      <w:marLeft w:val="0"/>
      <w:marRight w:val="0"/>
      <w:marTop w:val="0"/>
      <w:marBottom w:val="0"/>
      <w:divBdr>
        <w:top w:val="none" w:sz="0" w:space="0" w:color="auto"/>
        <w:left w:val="none" w:sz="0" w:space="0" w:color="auto"/>
        <w:bottom w:val="none" w:sz="0" w:space="0" w:color="auto"/>
        <w:right w:val="none" w:sz="0" w:space="0" w:color="auto"/>
      </w:divBdr>
    </w:div>
    <w:div w:id="1132791554">
      <w:bodyDiv w:val="1"/>
      <w:marLeft w:val="0"/>
      <w:marRight w:val="0"/>
      <w:marTop w:val="0"/>
      <w:marBottom w:val="0"/>
      <w:divBdr>
        <w:top w:val="none" w:sz="0" w:space="0" w:color="auto"/>
        <w:left w:val="none" w:sz="0" w:space="0" w:color="auto"/>
        <w:bottom w:val="none" w:sz="0" w:space="0" w:color="auto"/>
        <w:right w:val="none" w:sz="0" w:space="0" w:color="auto"/>
      </w:divBdr>
    </w:div>
    <w:div w:id="1132862450">
      <w:bodyDiv w:val="1"/>
      <w:marLeft w:val="0"/>
      <w:marRight w:val="0"/>
      <w:marTop w:val="0"/>
      <w:marBottom w:val="0"/>
      <w:divBdr>
        <w:top w:val="none" w:sz="0" w:space="0" w:color="auto"/>
        <w:left w:val="none" w:sz="0" w:space="0" w:color="auto"/>
        <w:bottom w:val="none" w:sz="0" w:space="0" w:color="auto"/>
        <w:right w:val="none" w:sz="0" w:space="0" w:color="auto"/>
      </w:divBdr>
    </w:div>
    <w:div w:id="1132946255">
      <w:bodyDiv w:val="1"/>
      <w:marLeft w:val="0"/>
      <w:marRight w:val="0"/>
      <w:marTop w:val="0"/>
      <w:marBottom w:val="0"/>
      <w:divBdr>
        <w:top w:val="none" w:sz="0" w:space="0" w:color="auto"/>
        <w:left w:val="none" w:sz="0" w:space="0" w:color="auto"/>
        <w:bottom w:val="none" w:sz="0" w:space="0" w:color="auto"/>
        <w:right w:val="none" w:sz="0" w:space="0" w:color="auto"/>
      </w:divBdr>
    </w:div>
    <w:div w:id="1133013869">
      <w:bodyDiv w:val="1"/>
      <w:marLeft w:val="0"/>
      <w:marRight w:val="0"/>
      <w:marTop w:val="0"/>
      <w:marBottom w:val="0"/>
      <w:divBdr>
        <w:top w:val="none" w:sz="0" w:space="0" w:color="auto"/>
        <w:left w:val="none" w:sz="0" w:space="0" w:color="auto"/>
        <w:bottom w:val="none" w:sz="0" w:space="0" w:color="auto"/>
        <w:right w:val="none" w:sz="0" w:space="0" w:color="auto"/>
      </w:divBdr>
    </w:div>
    <w:div w:id="1133019096">
      <w:bodyDiv w:val="1"/>
      <w:marLeft w:val="0"/>
      <w:marRight w:val="0"/>
      <w:marTop w:val="0"/>
      <w:marBottom w:val="0"/>
      <w:divBdr>
        <w:top w:val="none" w:sz="0" w:space="0" w:color="auto"/>
        <w:left w:val="none" w:sz="0" w:space="0" w:color="auto"/>
        <w:bottom w:val="none" w:sz="0" w:space="0" w:color="auto"/>
        <w:right w:val="none" w:sz="0" w:space="0" w:color="auto"/>
      </w:divBdr>
    </w:div>
    <w:div w:id="1133057929">
      <w:bodyDiv w:val="1"/>
      <w:marLeft w:val="0"/>
      <w:marRight w:val="0"/>
      <w:marTop w:val="0"/>
      <w:marBottom w:val="0"/>
      <w:divBdr>
        <w:top w:val="none" w:sz="0" w:space="0" w:color="auto"/>
        <w:left w:val="none" w:sz="0" w:space="0" w:color="auto"/>
        <w:bottom w:val="none" w:sz="0" w:space="0" w:color="auto"/>
        <w:right w:val="none" w:sz="0" w:space="0" w:color="auto"/>
      </w:divBdr>
    </w:div>
    <w:div w:id="1133138960">
      <w:bodyDiv w:val="1"/>
      <w:marLeft w:val="0"/>
      <w:marRight w:val="0"/>
      <w:marTop w:val="0"/>
      <w:marBottom w:val="0"/>
      <w:divBdr>
        <w:top w:val="none" w:sz="0" w:space="0" w:color="auto"/>
        <w:left w:val="none" w:sz="0" w:space="0" w:color="auto"/>
        <w:bottom w:val="none" w:sz="0" w:space="0" w:color="auto"/>
        <w:right w:val="none" w:sz="0" w:space="0" w:color="auto"/>
      </w:divBdr>
    </w:div>
    <w:div w:id="1133208767">
      <w:bodyDiv w:val="1"/>
      <w:marLeft w:val="0"/>
      <w:marRight w:val="0"/>
      <w:marTop w:val="0"/>
      <w:marBottom w:val="0"/>
      <w:divBdr>
        <w:top w:val="none" w:sz="0" w:space="0" w:color="auto"/>
        <w:left w:val="none" w:sz="0" w:space="0" w:color="auto"/>
        <w:bottom w:val="none" w:sz="0" w:space="0" w:color="auto"/>
        <w:right w:val="none" w:sz="0" w:space="0" w:color="auto"/>
      </w:divBdr>
    </w:div>
    <w:div w:id="1133250747">
      <w:bodyDiv w:val="1"/>
      <w:marLeft w:val="0"/>
      <w:marRight w:val="0"/>
      <w:marTop w:val="0"/>
      <w:marBottom w:val="0"/>
      <w:divBdr>
        <w:top w:val="none" w:sz="0" w:space="0" w:color="auto"/>
        <w:left w:val="none" w:sz="0" w:space="0" w:color="auto"/>
        <w:bottom w:val="none" w:sz="0" w:space="0" w:color="auto"/>
        <w:right w:val="none" w:sz="0" w:space="0" w:color="auto"/>
      </w:divBdr>
    </w:div>
    <w:div w:id="1133254171">
      <w:bodyDiv w:val="1"/>
      <w:marLeft w:val="0"/>
      <w:marRight w:val="0"/>
      <w:marTop w:val="0"/>
      <w:marBottom w:val="0"/>
      <w:divBdr>
        <w:top w:val="none" w:sz="0" w:space="0" w:color="auto"/>
        <w:left w:val="none" w:sz="0" w:space="0" w:color="auto"/>
        <w:bottom w:val="none" w:sz="0" w:space="0" w:color="auto"/>
        <w:right w:val="none" w:sz="0" w:space="0" w:color="auto"/>
      </w:divBdr>
    </w:div>
    <w:div w:id="1133401813">
      <w:bodyDiv w:val="1"/>
      <w:marLeft w:val="0"/>
      <w:marRight w:val="0"/>
      <w:marTop w:val="0"/>
      <w:marBottom w:val="0"/>
      <w:divBdr>
        <w:top w:val="none" w:sz="0" w:space="0" w:color="auto"/>
        <w:left w:val="none" w:sz="0" w:space="0" w:color="auto"/>
        <w:bottom w:val="none" w:sz="0" w:space="0" w:color="auto"/>
        <w:right w:val="none" w:sz="0" w:space="0" w:color="auto"/>
      </w:divBdr>
    </w:div>
    <w:div w:id="1133525403">
      <w:bodyDiv w:val="1"/>
      <w:marLeft w:val="0"/>
      <w:marRight w:val="0"/>
      <w:marTop w:val="0"/>
      <w:marBottom w:val="0"/>
      <w:divBdr>
        <w:top w:val="none" w:sz="0" w:space="0" w:color="auto"/>
        <w:left w:val="none" w:sz="0" w:space="0" w:color="auto"/>
        <w:bottom w:val="none" w:sz="0" w:space="0" w:color="auto"/>
        <w:right w:val="none" w:sz="0" w:space="0" w:color="auto"/>
      </w:divBdr>
    </w:div>
    <w:div w:id="1133713967">
      <w:bodyDiv w:val="1"/>
      <w:marLeft w:val="0"/>
      <w:marRight w:val="0"/>
      <w:marTop w:val="0"/>
      <w:marBottom w:val="0"/>
      <w:divBdr>
        <w:top w:val="none" w:sz="0" w:space="0" w:color="auto"/>
        <w:left w:val="none" w:sz="0" w:space="0" w:color="auto"/>
        <w:bottom w:val="none" w:sz="0" w:space="0" w:color="auto"/>
        <w:right w:val="none" w:sz="0" w:space="0" w:color="auto"/>
      </w:divBdr>
    </w:div>
    <w:div w:id="1133870348">
      <w:bodyDiv w:val="1"/>
      <w:marLeft w:val="0"/>
      <w:marRight w:val="0"/>
      <w:marTop w:val="0"/>
      <w:marBottom w:val="0"/>
      <w:divBdr>
        <w:top w:val="none" w:sz="0" w:space="0" w:color="auto"/>
        <w:left w:val="none" w:sz="0" w:space="0" w:color="auto"/>
        <w:bottom w:val="none" w:sz="0" w:space="0" w:color="auto"/>
        <w:right w:val="none" w:sz="0" w:space="0" w:color="auto"/>
      </w:divBdr>
    </w:div>
    <w:div w:id="1133870389">
      <w:bodyDiv w:val="1"/>
      <w:marLeft w:val="0"/>
      <w:marRight w:val="0"/>
      <w:marTop w:val="0"/>
      <w:marBottom w:val="0"/>
      <w:divBdr>
        <w:top w:val="none" w:sz="0" w:space="0" w:color="auto"/>
        <w:left w:val="none" w:sz="0" w:space="0" w:color="auto"/>
        <w:bottom w:val="none" w:sz="0" w:space="0" w:color="auto"/>
        <w:right w:val="none" w:sz="0" w:space="0" w:color="auto"/>
      </w:divBdr>
    </w:div>
    <w:div w:id="1133980191">
      <w:bodyDiv w:val="1"/>
      <w:marLeft w:val="0"/>
      <w:marRight w:val="0"/>
      <w:marTop w:val="0"/>
      <w:marBottom w:val="0"/>
      <w:divBdr>
        <w:top w:val="none" w:sz="0" w:space="0" w:color="auto"/>
        <w:left w:val="none" w:sz="0" w:space="0" w:color="auto"/>
        <w:bottom w:val="none" w:sz="0" w:space="0" w:color="auto"/>
        <w:right w:val="none" w:sz="0" w:space="0" w:color="auto"/>
      </w:divBdr>
    </w:div>
    <w:div w:id="1133982289">
      <w:bodyDiv w:val="1"/>
      <w:marLeft w:val="0"/>
      <w:marRight w:val="0"/>
      <w:marTop w:val="0"/>
      <w:marBottom w:val="0"/>
      <w:divBdr>
        <w:top w:val="none" w:sz="0" w:space="0" w:color="auto"/>
        <w:left w:val="none" w:sz="0" w:space="0" w:color="auto"/>
        <w:bottom w:val="none" w:sz="0" w:space="0" w:color="auto"/>
        <w:right w:val="none" w:sz="0" w:space="0" w:color="auto"/>
      </w:divBdr>
    </w:div>
    <w:div w:id="1133985811">
      <w:bodyDiv w:val="1"/>
      <w:marLeft w:val="0"/>
      <w:marRight w:val="0"/>
      <w:marTop w:val="0"/>
      <w:marBottom w:val="0"/>
      <w:divBdr>
        <w:top w:val="none" w:sz="0" w:space="0" w:color="auto"/>
        <w:left w:val="none" w:sz="0" w:space="0" w:color="auto"/>
        <w:bottom w:val="none" w:sz="0" w:space="0" w:color="auto"/>
        <w:right w:val="none" w:sz="0" w:space="0" w:color="auto"/>
      </w:divBdr>
    </w:div>
    <w:div w:id="1133989005">
      <w:bodyDiv w:val="1"/>
      <w:marLeft w:val="0"/>
      <w:marRight w:val="0"/>
      <w:marTop w:val="0"/>
      <w:marBottom w:val="0"/>
      <w:divBdr>
        <w:top w:val="none" w:sz="0" w:space="0" w:color="auto"/>
        <w:left w:val="none" w:sz="0" w:space="0" w:color="auto"/>
        <w:bottom w:val="none" w:sz="0" w:space="0" w:color="auto"/>
        <w:right w:val="none" w:sz="0" w:space="0" w:color="auto"/>
      </w:divBdr>
    </w:div>
    <w:div w:id="1134056498">
      <w:bodyDiv w:val="1"/>
      <w:marLeft w:val="0"/>
      <w:marRight w:val="0"/>
      <w:marTop w:val="0"/>
      <w:marBottom w:val="0"/>
      <w:divBdr>
        <w:top w:val="none" w:sz="0" w:space="0" w:color="auto"/>
        <w:left w:val="none" w:sz="0" w:space="0" w:color="auto"/>
        <w:bottom w:val="none" w:sz="0" w:space="0" w:color="auto"/>
        <w:right w:val="none" w:sz="0" w:space="0" w:color="auto"/>
      </w:divBdr>
    </w:div>
    <w:div w:id="1134060916">
      <w:bodyDiv w:val="1"/>
      <w:marLeft w:val="0"/>
      <w:marRight w:val="0"/>
      <w:marTop w:val="0"/>
      <w:marBottom w:val="0"/>
      <w:divBdr>
        <w:top w:val="none" w:sz="0" w:space="0" w:color="auto"/>
        <w:left w:val="none" w:sz="0" w:space="0" w:color="auto"/>
        <w:bottom w:val="none" w:sz="0" w:space="0" w:color="auto"/>
        <w:right w:val="none" w:sz="0" w:space="0" w:color="auto"/>
      </w:divBdr>
    </w:div>
    <w:div w:id="1134180176">
      <w:bodyDiv w:val="1"/>
      <w:marLeft w:val="0"/>
      <w:marRight w:val="0"/>
      <w:marTop w:val="0"/>
      <w:marBottom w:val="0"/>
      <w:divBdr>
        <w:top w:val="none" w:sz="0" w:space="0" w:color="auto"/>
        <w:left w:val="none" w:sz="0" w:space="0" w:color="auto"/>
        <w:bottom w:val="none" w:sz="0" w:space="0" w:color="auto"/>
        <w:right w:val="none" w:sz="0" w:space="0" w:color="auto"/>
      </w:divBdr>
    </w:div>
    <w:div w:id="1134180600">
      <w:bodyDiv w:val="1"/>
      <w:marLeft w:val="0"/>
      <w:marRight w:val="0"/>
      <w:marTop w:val="0"/>
      <w:marBottom w:val="0"/>
      <w:divBdr>
        <w:top w:val="none" w:sz="0" w:space="0" w:color="auto"/>
        <w:left w:val="none" w:sz="0" w:space="0" w:color="auto"/>
        <w:bottom w:val="none" w:sz="0" w:space="0" w:color="auto"/>
        <w:right w:val="none" w:sz="0" w:space="0" w:color="auto"/>
      </w:divBdr>
    </w:div>
    <w:div w:id="1134180624">
      <w:bodyDiv w:val="1"/>
      <w:marLeft w:val="0"/>
      <w:marRight w:val="0"/>
      <w:marTop w:val="0"/>
      <w:marBottom w:val="0"/>
      <w:divBdr>
        <w:top w:val="none" w:sz="0" w:space="0" w:color="auto"/>
        <w:left w:val="none" w:sz="0" w:space="0" w:color="auto"/>
        <w:bottom w:val="none" w:sz="0" w:space="0" w:color="auto"/>
        <w:right w:val="none" w:sz="0" w:space="0" w:color="auto"/>
      </w:divBdr>
    </w:div>
    <w:div w:id="1134298100">
      <w:bodyDiv w:val="1"/>
      <w:marLeft w:val="0"/>
      <w:marRight w:val="0"/>
      <w:marTop w:val="0"/>
      <w:marBottom w:val="0"/>
      <w:divBdr>
        <w:top w:val="none" w:sz="0" w:space="0" w:color="auto"/>
        <w:left w:val="none" w:sz="0" w:space="0" w:color="auto"/>
        <w:bottom w:val="none" w:sz="0" w:space="0" w:color="auto"/>
        <w:right w:val="none" w:sz="0" w:space="0" w:color="auto"/>
      </w:divBdr>
    </w:div>
    <w:div w:id="1134562401">
      <w:bodyDiv w:val="1"/>
      <w:marLeft w:val="0"/>
      <w:marRight w:val="0"/>
      <w:marTop w:val="0"/>
      <w:marBottom w:val="0"/>
      <w:divBdr>
        <w:top w:val="none" w:sz="0" w:space="0" w:color="auto"/>
        <w:left w:val="none" w:sz="0" w:space="0" w:color="auto"/>
        <w:bottom w:val="none" w:sz="0" w:space="0" w:color="auto"/>
        <w:right w:val="none" w:sz="0" w:space="0" w:color="auto"/>
      </w:divBdr>
    </w:div>
    <w:div w:id="1134637176">
      <w:bodyDiv w:val="1"/>
      <w:marLeft w:val="0"/>
      <w:marRight w:val="0"/>
      <w:marTop w:val="0"/>
      <w:marBottom w:val="0"/>
      <w:divBdr>
        <w:top w:val="none" w:sz="0" w:space="0" w:color="auto"/>
        <w:left w:val="none" w:sz="0" w:space="0" w:color="auto"/>
        <w:bottom w:val="none" w:sz="0" w:space="0" w:color="auto"/>
        <w:right w:val="none" w:sz="0" w:space="0" w:color="auto"/>
      </w:divBdr>
    </w:div>
    <w:div w:id="1134638441">
      <w:bodyDiv w:val="1"/>
      <w:marLeft w:val="0"/>
      <w:marRight w:val="0"/>
      <w:marTop w:val="0"/>
      <w:marBottom w:val="0"/>
      <w:divBdr>
        <w:top w:val="none" w:sz="0" w:space="0" w:color="auto"/>
        <w:left w:val="none" w:sz="0" w:space="0" w:color="auto"/>
        <w:bottom w:val="none" w:sz="0" w:space="0" w:color="auto"/>
        <w:right w:val="none" w:sz="0" w:space="0" w:color="auto"/>
      </w:divBdr>
    </w:div>
    <w:div w:id="1134711908">
      <w:bodyDiv w:val="1"/>
      <w:marLeft w:val="0"/>
      <w:marRight w:val="0"/>
      <w:marTop w:val="0"/>
      <w:marBottom w:val="0"/>
      <w:divBdr>
        <w:top w:val="none" w:sz="0" w:space="0" w:color="auto"/>
        <w:left w:val="none" w:sz="0" w:space="0" w:color="auto"/>
        <w:bottom w:val="none" w:sz="0" w:space="0" w:color="auto"/>
        <w:right w:val="none" w:sz="0" w:space="0" w:color="auto"/>
      </w:divBdr>
    </w:div>
    <w:div w:id="1134830933">
      <w:bodyDiv w:val="1"/>
      <w:marLeft w:val="0"/>
      <w:marRight w:val="0"/>
      <w:marTop w:val="0"/>
      <w:marBottom w:val="0"/>
      <w:divBdr>
        <w:top w:val="none" w:sz="0" w:space="0" w:color="auto"/>
        <w:left w:val="none" w:sz="0" w:space="0" w:color="auto"/>
        <w:bottom w:val="none" w:sz="0" w:space="0" w:color="auto"/>
        <w:right w:val="none" w:sz="0" w:space="0" w:color="auto"/>
      </w:divBdr>
    </w:div>
    <w:div w:id="1134836597">
      <w:bodyDiv w:val="1"/>
      <w:marLeft w:val="0"/>
      <w:marRight w:val="0"/>
      <w:marTop w:val="0"/>
      <w:marBottom w:val="0"/>
      <w:divBdr>
        <w:top w:val="none" w:sz="0" w:space="0" w:color="auto"/>
        <w:left w:val="none" w:sz="0" w:space="0" w:color="auto"/>
        <w:bottom w:val="none" w:sz="0" w:space="0" w:color="auto"/>
        <w:right w:val="none" w:sz="0" w:space="0" w:color="auto"/>
      </w:divBdr>
    </w:div>
    <w:div w:id="1134837306">
      <w:bodyDiv w:val="1"/>
      <w:marLeft w:val="0"/>
      <w:marRight w:val="0"/>
      <w:marTop w:val="0"/>
      <w:marBottom w:val="0"/>
      <w:divBdr>
        <w:top w:val="none" w:sz="0" w:space="0" w:color="auto"/>
        <w:left w:val="none" w:sz="0" w:space="0" w:color="auto"/>
        <w:bottom w:val="none" w:sz="0" w:space="0" w:color="auto"/>
        <w:right w:val="none" w:sz="0" w:space="0" w:color="auto"/>
      </w:divBdr>
    </w:div>
    <w:div w:id="1134908349">
      <w:bodyDiv w:val="1"/>
      <w:marLeft w:val="0"/>
      <w:marRight w:val="0"/>
      <w:marTop w:val="0"/>
      <w:marBottom w:val="0"/>
      <w:divBdr>
        <w:top w:val="none" w:sz="0" w:space="0" w:color="auto"/>
        <w:left w:val="none" w:sz="0" w:space="0" w:color="auto"/>
        <w:bottom w:val="none" w:sz="0" w:space="0" w:color="auto"/>
        <w:right w:val="none" w:sz="0" w:space="0" w:color="auto"/>
      </w:divBdr>
    </w:div>
    <w:div w:id="1134955117">
      <w:bodyDiv w:val="1"/>
      <w:marLeft w:val="0"/>
      <w:marRight w:val="0"/>
      <w:marTop w:val="0"/>
      <w:marBottom w:val="0"/>
      <w:divBdr>
        <w:top w:val="none" w:sz="0" w:space="0" w:color="auto"/>
        <w:left w:val="none" w:sz="0" w:space="0" w:color="auto"/>
        <w:bottom w:val="none" w:sz="0" w:space="0" w:color="auto"/>
        <w:right w:val="none" w:sz="0" w:space="0" w:color="auto"/>
      </w:divBdr>
    </w:div>
    <w:div w:id="1134955494">
      <w:bodyDiv w:val="1"/>
      <w:marLeft w:val="0"/>
      <w:marRight w:val="0"/>
      <w:marTop w:val="0"/>
      <w:marBottom w:val="0"/>
      <w:divBdr>
        <w:top w:val="none" w:sz="0" w:space="0" w:color="auto"/>
        <w:left w:val="none" w:sz="0" w:space="0" w:color="auto"/>
        <w:bottom w:val="none" w:sz="0" w:space="0" w:color="auto"/>
        <w:right w:val="none" w:sz="0" w:space="0" w:color="auto"/>
      </w:divBdr>
    </w:div>
    <w:div w:id="1134980183">
      <w:bodyDiv w:val="1"/>
      <w:marLeft w:val="0"/>
      <w:marRight w:val="0"/>
      <w:marTop w:val="0"/>
      <w:marBottom w:val="0"/>
      <w:divBdr>
        <w:top w:val="none" w:sz="0" w:space="0" w:color="auto"/>
        <w:left w:val="none" w:sz="0" w:space="0" w:color="auto"/>
        <w:bottom w:val="none" w:sz="0" w:space="0" w:color="auto"/>
        <w:right w:val="none" w:sz="0" w:space="0" w:color="auto"/>
      </w:divBdr>
    </w:div>
    <w:div w:id="1135028444">
      <w:bodyDiv w:val="1"/>
      <w:marLeft w:val="0"/>
      <w:marRight w:val="0"/>
      <w:marTop w:val="0"/>
      <w:marBottom w:val="0"/>
      <w:divBdr>
        <w:top w:val="none" w:sz="0" w:space="0" w:color="auto"/>
        <w:left w:val="none" w:sz="0" w:space="0" w:color="auto"/>
        <w:bottom w:val="none" w:sz="0" w:space="0" w:color="auto"/>
        <w:right w:val="none" w:sz="0" w:space="0" w:color="auto"/>
      </w:divBdr>
    </w:div>
    <w:div w:id="1135104778">
      <w:bodyDiv w:val="1"/>
      <w:marLeft w:val="0"/>
      <w:marRight w:val="0"/>
      <w:marTop w:val="0"/>
      <w:marBottom w:val="0"/>
      <w:divBdr>
        <w:top w:val="none" w:sz="0" w:space="0" w:color="auto"/>
        <w:left w:val="none" w:sz="0" w:space="0" w:color="auto"/>
        <w:bottom w:val="none" w:sz="0" w:space="0" w:color="auto"/>
        <w:right w:val="none" w:sz="0" w:space="0" w:color="auto"/>
      </w:divBdr>
    </w:div>
    <w:div w:id="1135105967">
      <w:bodyDiv w:val="1"/>
      <w:marLeft w:val="0"/>
      <w:marRight w:val="0"/>
      <w:marTop w:val="0"/>
      <w:marBottom w:val="0"/>
      <w:divBdr>
        <w:top w:val="none" w:sz="0" w:space="0" w:color="auto"/>
        <w:left w:val="none" w:sz="0" w:space="0" w:color="auto"/>
        <w:bottom w:val="none" w:sz="0" w:space="0" w:color="auto"/>
        <w:right w:val="none" w:sz="0" w:space="0" w:color="auto"/>
      </w:divBdr>
    </w:div>
    <w:div w:id="1135172166">
      <w:bodyDiv w:val="1"/>
      <w:marLeft w:val="0"/>
      <w:marRight w:val="0"/>
      <w:marTop w:val="0"/>
      <w:marBottom w:val="0"/>
      <w:divBdr>
        <w:top w:val="none" w:sz="0" w:space="0" w:color="auto"/>
        <w:left w:val="none" w:sz="0" w:space="0" w:color="auto"/>
        <w:bottom w:val="none" w:sz="0" w:space="0" w:color="auto"/>
        <w:right w:val="none" w:sz="0" w:space="0" w:color="auto"/>
      </w:divBdr>
    </w:div>
    <w:div w:id="1135181552">
      <w:bodyDiv w:val="1"/>
      <w:marLeft w:val="0"/>
      <w:marRight w:val="0"/>
      <w:marTop w:val="0"/>
      <w:marBottom w:val="0"/>
      <w:divBdr>
        <w:top w:val="none" w:sz="0" w:space="0" w:color="auto"/>
        <w:left w:val="none" w:sz="0" w:space="0" w:color="auto"/>
        <w:bottom w:val="none" w:sz="0" w:space="0" w:color="auto"/>
        <w:right w:val="none" w:sz="0" w:space="0" w:color="auto"/>
      </w:divBdr>
    </w:div>
    <w:div w:id="1135298788">
      <w:bodyDiv w:val="1"/>
      <w:marLeft w:val="0"/>
      <w:marRight w:val="0"/>
      <w:marTop w:val="0"/>
      <w:marBottom w:val="0"/>
      <w:divBdr>
        <w:top w:val="none" w:sz="0" w:space="0" w:color="auto"/>
        <w:left w:val="none" w:sz="0" w:space="0" w:color="auto"/>
        <w:bottom w:val="none" w:sz="0" w:space="0" w:color="auto"/>
        <w:right w:val="none" w:sz="0" w:space="0" w:color="auto"/>
      </w:divBdr>
    </w:div>
    <w:div w:id="1135365472">
      <w:bodyDiv w:val="1"/>
      <w:marLeft w:val="0"/>
      <w:marRight w:val="0"/>
      <w:marTop w:val="0"/>
      <w:marBottom w:val="0"/>
      <w:divBdr>
        <w:top w:val="none" w:sz="0" w:space="0" w:color="auto"/>
        <w:left w:val="none" w:sz="0" w:space="0" w:color="auto"/>
        <w:bottom w:val="none" w:sz="0" w:space="0" w:color="auto"/>
        <w:right w:val="none" w:sz="0" w:space="0" w:color="auto"/>
      </w:divBdr>
    </w:div>
    <w:div w:id="1135369201">
      <w:bodyDiv w:val="1"/>
      <w:marLeft w:val="0"/>
      <w:marRight w:val="0"/>
      <w:marTop w:val="0"/>
      <w:marBottom w:val="0"/>
      <w:divBdr>
        <w:top w:val="none" w:sz="0" w:space="0" w:color="auto"/>
        <w:left w:val="none" w:sz="0" w:space="0" w:color="auto"/>
        <w:bottom w:val="none" w:sz="0" w:space="0" w:color="auto"/>
        <w:right w:val="none" w:sz="0" w:space="0" w:color="auto"/>
      </w:divBdr>
    </w:div>
    <w:div w:id="1135484822">
      <w:bodyDiv w:val="1"/>
      <w:marLeft w:val="0"/>
      <w:marRight w:val="0"/>
      <w:marTop w:val="0"/>
      <w:marBottom w:val="0"/>
      <w:divBdr>
        <w:top w:val="none" w:sz="0" w:space="0" w:color="auto"/>
        <w:left w:val="none" w:sz="0" w:space="0" w:color="auto"/>
        <w:bottom w:val="none" w:sz="0" w:space="0" w:color="auto"/>
        <w:right w:val="none" w:sz="0" w:space="0" w:color="auto"/>
      </w:divBdr>
    </w:div>
    <w:div w:id="1135634609">
      <w:bodyDiv w:val="1"/>
      <w:marLeft w:val="0"/>
      <w:marRight w:val="0"/>
      <w:marTop w:val="0"/>
      <w:marBottom w:val="0"/>
      <w:divBdr>
        <w:top w:val="none" w:sz="0" w:space="0" w:color="auto"/>
        <w:left w:val="none" w:sz="0" w:space="0" w:color="auto"/>
        <w:bottom w:val="none" w:sz="0" w:space="0" w:color="auto"/>
        <w:right w:val="none" w:sz="0" w:space="0" w:color="auto"/>
      </w:divBdr>
    </w:div>
    <w:div w:id="1135640452">
      <w:bodyDiv w:val="1"/>
      <w:marLeft w:val="0"/>
      <w:marRight w:val="0"/>
      <w:marTop w:val="0"/>
      <w:marBottom w:val="0"/>
      <w:divBdr>
        <w:top w:val="none" w:sz="0" w:space="0" w:color="auto"/>
        <w:left w:val="none" w:sz="0" w:space="0" w:color="auto"/>
        <w:bottom w:val="none" w:sz="0" w:space="0" w:color="auto"/>
        <w:right w:val="none" w:sz="0" w:space="0" w:color="auto"/>
      </w:divBdr>
    </w:div>
    <w:div w:id="1135829343">
      <w:bodyDiv w:val="1"/>
      <w:marLeft w:val="0"/>
      <w:marRight w:val="0"/>
      <w:marTop w:val="0"/>
      <w:marBottom w:val="0"/>
      <w:divBdr>
        <w:top w:val="none" w:sz="0" w:space="0" w:color="auto"/>
        <w:left w:val="none" w:sz="0" w:space="0" w:color="auto"/>
        <w:bottom w:val="none" w:sz="0" w:space="0" w:color="auto"/>
        <w:right w:val="none" w:sz="0" w:space="0" w:color="auto"/>
      </w:divBdr>
    </w:div>
    <w:div w:id="1135874603">
      <w:bodyDiv w:val="1"/>
      <w:marLeft w:val="0"/>
      <w:marRight w:val="0"/>
      <w:marTop w:val="0"/>
      <w:marBottom w:val="0"/>
      <w:divBdr>
        <w:top w:val="none" w:sz="0" w:space="0" w:color="auto"/>
        <w:left w:val="none" w:sz="0" w:space="0" w:color="auto"/>
        <w:bottom w:val="none" w:sz="0" w:space="0" w:color="auto"/>
        <w:right w:val="none" w:sz="0" w:space="0" w:color="auto"/>
      </w:divBdr>
    </w:div>
    <w:div w:id="113587929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51139">
      <w:bodyDiv w:val="1"/>
      <w:marLeft w:val="0"/>
      <w:marRight w:val="0"/>
      <w:marTop w:val="0"/>
      <w:marBottom w:val="0"/>
      <w:divBdr>
        <w:top w:val="none" w:sz="0" w:space="0" w:color="auto"/>
        <w:left w:val="none" w:sz="0" w:space="0" w:color="auto"/>
        <w:bottom w:val="none" w:sz="0" w:space="0" w:color="auto"/>
        <w:right w:val="none" w:sz="0" w:space="0" w:color="auto"/>
      </w:divBdr>
    </w:div>
    <w:div w:id="1136221171">
      <w:bodyDiv w:val="1"/>
      <w:marLeft w:val="0"/>
      <w:marRight w:val="0"/>
      <w:marTop w:val="0"/>
      <w:marBottom w:val="0"/>
      <w:divBdr>
        <w:top w:val="none" w:sz="0" w:space="0" w:color="auto"/>
        <w:left w:val="none" w:sz="0" w:space="0" w:color="auto"/>
        <w:bottom w:val="none" w:sz="0" w:space="0" w:color="auto"/>
        <w:right w:val="none" w:sz="0" w:space="0" w:color="auto"/>
      </w:divBdr>
    </w:div>
    <w:div w:id="1136293519">
      <w:bodyDiv w:val="1"/>
      <w:marLeft w:val="0"/>
      <w:marRight w:val="0"/>
      <w:marTop w:val="0"/>
      <w:marBottom w:val="0"/>
      <w:divBdr>
        <w:top w:val="none" w:sz="0" w:space="0" w:color="auto"/>
        <w:left w:val="none" w:sz="0" w:space="0" w:color="auto"/>
        <w:bottom w:val="none" w:sz="0" w:space="0" w:color="auto"/>
        <w:right w:val="none" w:sz="0" w:space="0" w:color="auto"/>
      </w:divBdr>
    </w:div>
    <w:div w:id="1136332743">
      <w:bodyDiv w:val="1"/>
      <w:marLeft w:val="0"/>
      <w:marRight w:val="0"/>
      <w:marTop w:val="0"/>
      <w:marBottom w:val="0"/>
      <w:divBdr>
        <w:top w:val="none" w:sz="0" w:space="0" w:color="auto"/>
        <w:left w:val="none" w:sz="0" w:space="0" w:color="auto"/>
        <w:bottom w:val="none" w:sz="0" w:space="0" w:color="auto"/>
        <w:right w:val="none" w:sz="0" w:space="0" w:color="auto"/>
      </w:divBdr>
    </w:div>
    <w:div w:id="1136335005">
      <w:bodyDiv w:val="1"/>
      <w:marLeft w:val="0"/>
      <w:marRight w:val="0"/>
      <w:marTop w:val="0"/>
      <w:marBottom w:val="0"/>
      <w:divBdr>
        <w:top w:val="none" w:sz="0" w:space="0" w:color="auto"/>
        <w:left w:val="none" w:sz="0" w:space="0" w:color="auto"/>
        <w:bottom w:val="none" w:sz="0" w:space="0" w:color="auto"/>
        <w:right w:val="none" w:sz="0" w:space="0" w:color="auto"/>
      </w:divBdr>
    </w:div>
    <w:div w:id="1136338866">
      <w:bodyDiv w:val="1"/>
      <w:marLeft w:val="0"/>
      <w:marRight w:val="0"/>
      <w:marTop w:val="0"/>
      <w:marBottom w:val="0"/>
      <w:divBdr>
        <w:top w:val="none" w:sz="0" w:space="0" w:color="auto"/>
        <w:left w:val="none" w:sz="0" w:space="0" w:color="auto"/>
        <w:bottom w:val="none" w:sz="0" w:space="0" w:color="auto"/>
        <w:right w:val="none" w:sz="0" w:space="0" w:color="auto"/>
      </w:divBdr>
    </w:div>
    <w:div w:id="1136409341">
      <w:bodyDiv w:val="1"/>
      <w:marLeft w:val="0"/>
      <w:marRight w:val="0"/>
      <w:marTop w:val="0"/>
      <w:marBottom w:val="0"/>
      <w:divBdr>
        <w:top w:val="none" w:sz="0" w:space="0" w:color="auto"/>
        <w:left w:val="none" w:sz="0" w:space="0" w:color="auto"/>
        <w:bottom w:val="none" w:sz="0" w:space="0" w:color="auto"/>
        <w:right w:val="none" w:sz="0" w:space="0" w:color="auto"/>
      </w:divBdr>
    </w:div>
    <w:div w:id="1136486494">
      <w:bodyDiv w:val="1"/>
      <w:marLeft w:val="0"/>
      <w:marRight w:val="0"/>
      <w:marTop w:val="0"/>
      <w:marBottom w:val="0"/>
      <w:divBdr>
        <w:top w:val="none" w:sz="0" w:space="0" w:color="auto"/>
        <w:left w:val="none" w:sz="0" w:space="0" w:color="auto"/>
        <w:bottom w:val="none" w:sz="0" w:space="0" w:color="auto"/>
        <w:right w:val="none" w:sz="0" w:space="0" w:color="auto"/>
      </w:divBdr>
    </w:div>
    <w:div w:id="1136530638">
      <w:bodyDiv w:val="1"/>
      <w:marLeft w:val="0"/>
      <w:marRight w:val="0"/>
      <w:marTop w:val="0"/>
      <w:marBottom w:val="0"/>
      <w:divBdr>
        <w:top w:val="none" w:sz="0" w:space="0" w:color="auto"/>
        <w:left w:val="none" w:sz="0" w:space="0" w:color="auto"/>
        <w:bottom w:val="none" w:sz="0" w:space="0" w:color="auto"/>
        <w:right w:val="none" w:sz="0" w:space="0" w:color="auto"/>
      </w:divBdr>
    </w:div>
    <w:div w:id="1136600550">
      <w:bodyDiv w:val="1"/>
      <w:marLeft w:val="0"/>
      <w:marRight w:val="0"/>
      <w:marTop w:val="0"/>
      <w:marBottom w:val="0"/>
      <w:divBdr>
        <w:top w:val="none" w:sz="0" w:space="0" w:color="auto"/>
        <w:left w:val="none" w:sz="0" w:space="0" w:color="auto"/>
        <w:bottom w:val="none" w:sz="0" w:space="0" w:color="auto"/>
        <w:right w:val="none" w:sz="0" w:space="0" w:color="auto"/>
      </w:divBdr>
    </w:div>
    <w:div w:id="1136601458">
      <w:bodyDiv w:val="1"/>
      <w:marLeft w:val="0"/>
      <w:marRight w:val="0"/>
      <w:marTop w:val="0"/>
      <w:marBottom w:val="0"/>
      <w:divBdr>
        <w:top w:val="none" w:sz="0" w:space="0" w:color="auto"/>
        <w:left w:val="none" w:sz="0" w:space="0" w:color="auto"/>
        <w:bottom w:val="none" w:sz="0" w:space="0" w:color="auto"/>
        <w:right w:val="none" w:sz="0" w:space="0" w:color="auto"/>
      </w:divBdr>
    </w:div>
    <w:div w:id="1136610310">
      <w:bodyDiv w:val="1"/>
      <w:marLeft w:val="0"/>
      <w:marRight w:val="0"/>
      <w:marTop w:val="0"/>
      <w:marBottom w:val="0"/>
      <w:divBdr>
        <w:top w:val="none" w:sz="0" w:space="0" w:color="auto"/>
        <w:left w:val="none" w:sz="0" w:space="0" w:color="auto"/>
        <w:bottom w:val="none" w:sz="0" w:space="0" w:color="auto"/>
        <w:right w:val="none" w:sz="0" w:space="0" w:color="auto"/>
      </w:divBdr>
    </w:div>
    <w:div w:id="1136677725">
      <w:bodyDiv w:val="1"/>
      <w:marLeft w:val="0"/>
      <w:marRight w:val="0"/>
      <w:marTop w:val="0"/>
      <w:marBottom w:val="0"/>
      <w:divBdr>
        <w:top w:val="none" w:sz="0" w:space="0" w:color="auto"/>
        <w:left w:val="none" w:sz="0" w:space="0" w:color="auto"/>
        <w:bottom w:val="none" w:sz="0" w:space="0" w:color="auto"/>
        <w:right w:val="none" w:sz="0" w:space="0" w:color="auto"/>
      </w:divBdr>
    </w:div>
    <w:div w:id="1136752393">
      <w:bodyDiv w:val="1"/>
      <w:marLeft w:val="0"/>
      <w:marRight w:val="0"/>
      <w:marTop w:val="0"/>
      <w:marBottom w:val="0"/>
      <w:divBdr>
        <w:top w:val="none" w:sz="0" w:space="0" w:color="auto"/>
        <w:left w:val="none" w:sz="0" w:space="0" w:color="auto"/>
        <w:bottom w:val="none" w:sz="0" w:space="0" w:color="auto"/>
        <w:right w:val="none" w:sz="0" w:space="0" w:color="auto"/>
      </w:divBdr>
    </w:div>
    <w:div w:id="1136869302">
      <w:bodyDiv w:val="1"/>
      <w:marLeft w:val="0"/>
      <w:marRight w:val="0"/>
      <w:marTop w:val="0"/>
      <w:marBottom w:val="0"/>
      <w:divBdr>
        <w:top w:val="none" w:sz="0" w:space="0" w:color="auto"/>
        <w:left w:val="none" w:sz="0" w:space="0" w:color="auto"/>
        <w:bottom w:val="none" w:sz="0" w:space="0" w:color="auto"/>
        <w:right w:val="none" w:sz="0" w:space="0" w:color="auto"/>
      </w:divBdr>
    </w:div>
    <w:div w:id="1136991919">
      <w:bodyDiv w:val="1"/>
      <w:marLeft w:val="0"/>
      <w:marRight w:val="0"/>
      <w:marTop w:val="0"/>
      <w:marBottom w:val="0"/>
      <w:divBdr>
        <w:top w:val="none" w:sz="0" w:space="0" w:color="auto"/>
        <w:left w:val="none" w:sz="0" w:space="0" w:color="auto"/>
        <w:bottom w:val="none" w:sz="0" w:space="0" w:color="auto"/>
        <w:right w:val="none" w:sz="0" w:space="0" w:color="auto"/>
      </w:divBdr>
    </w:div>
    <w:div w:id="1137064122">
      <w:bodyDiv w:val="1"/>
      <w:marLeft w:val="0"/>
      <w:marRight w:val="0"/>
      <w:marTop w:val="0"/>
      <w:marBottom w:val="0"/>
      <w:divBdr>
        <w:top w:val="none" w:sz="0" w:space="0" w:color="auto"/>
        <w:left w:val="none" w:sz="0" w:space="0" w:color="auto"/>
        <w:bottom w:val="none" w:sz="0" w:space="0" w:color="auto"/>
        <w:right w:val="none" w:sz="0" w:space="0" w:color="auto"/>
      </w:divBdr>
    </w:div>
    <w:div w:id="1137257718">
      <w:bodyDiv w:val="1"/>
      <w:marLeft w:val="0"/>
      <w:marRight w:val="0"/>
      <w:marTop w:val="0"/>
      <w:marBottom w:val="0"/>
      <w:divBdr>
        <w:top w:val="none" w:sz="0" w:space="0" w:color="auto"/>
        <w:left w:val="none" w:sz="0" w:space="0" w:color="auto"/>
        <w:bottom w:val="none" w:sz="0" w:space="0" w:color="auto"/>
        <w:right w:val="none" w:sz="0" w:space="0" w:color="auto"/>
      </w:divBdr>
    </w:div>
    <w:div w:id="1137260186">
      <w:bodyDiv w:val="1"/>
      <w:marLeft w:val="0"/>
      <w:marRight w:val="0"/>
      <w:marTop w:val="0"/>
      <w:marBottom w:val="0"/>
      <w:divBdr>
        <w:top w:val="none" w:sz="0" w:space="0" w:color="auto"/>
        <w:left w:val="none" w:sz="0" w:space="0" w:color="auto"/>
        <w:bottom w:val="none" w:sz="0" w:space="0" w:color="auto"/>
        <w:right w:val="none" w:sz="0" w:space="0" w:color="auto"/>
      </w:divBdr>
    </w:div>
    <w:div w:id="1137261314">
      <w:bodyDiv w:val="1"/>
      <w:marLeft w:val="0"/>
      <w:marRight w:val="0"/>
      <w:marTop w:val="0"/>
      <w:marBottom w:val="0"/>
      <w:divBdr>
        <w:top w:val="none" w:sz="0" w:space="0" w:color="auto"/>
        <w:left w:val="none" w:sz="0" w:space="0" w:color="auto"/>
        <w:bottom w:val="none" w:sz="0" w:space="0" w:color="auto"/>
        <w:right w:val="none" w:sz="0" w:space="0" w:color="auto"/>
      </w:divBdr>
    </w:div>
    <w:div w:id="1137264754">
      <w:bodyDiv w:val="1"/>
      <w:marLeft w:val="0"/>
      <w:marRight w:val="0"/>
      <w:marTop w:val="0"/>
      <w:marBottom w:val="0"/>
      <w:divBdr>
        <w:top w:val="none" w:sz="0" w:space="0" w:color="auto"/>
        <w:left w:val="none" w:sz="0" w:space="0" w:color="auto"/>
        <w:bottom w:val="none" w:sz="0" w:space="0" w:color="auto"/>
        <w:right w:val="none" w:sz="0" w:space="0" w:color="auto"/>
      </w:divBdr>
    </w:div>
    <w:div w:id="1137455122">
      <w:bodyDiv w:val="1"/>
      <w:marLeft w:val="0"/>
      <w:marRight w:val="0"/>
      <w:marTop w:val="0"/>
      <w:marBottom w:val="0"/>
      <w:divBdr>
        <w:top w:val="none" w:sz="0" w:space="0" w:color="auto"/>
        <w:left w:val="none" w:sz="0" w:space="0" w:color="auto"/>
        <w:bottom w:val="none" w:sz="0" w:space="0" w:color="auto"/>
        <w:right w:val="none" w:sz="0" w:space="0" w:color="auto"/>
      </w:divBdr>
    </w:div>
    <w:div w:id="1137524981">
      <w:bodyDiv w:val="1"/>
      <w:marLeft w:val="0"/>
      <w:marRight w:val="0"/>
      <w:marTop w:val="0"/>
      <w:marBottom w:val="0"/>
      <w:divBdr>
        <w:top w:val="none" w:sz="0" w:space="0" w:color="auto"/>
        <w:left w:val="none" w:sz="0" w:space="0" w:color="auto"/>
        <w:bottom w:val="none" w:sz="0" w:space="0" w:color="auto"/>
        <w:right w:val="none" w:sz="0" w:space="0" w:color="auto"/>
      </w:divBdr>
    </w:div>
    <w:div w:id="1137797969">
      <w:bodyDiv w:val="1"/>
      <w:marLeft w:val="0"/>
      <w:marRight w:val="0"/>
      <w:marTop w:val="0"/>
      <w:marBottom w:val="0"/>
      <w:divBdr>
        <w:top w:val="none" w:sz="0" w:space="0" w:color="auto"/>
        <w:left w:val="none" w:sz="0" w:space="0" w:color="auto"/>
        <w:bottom w:val="none" w:sz="0" w:space="0" w:color="auto"/>
        <w:right w:val="none" w:sz="0" w:space="0" w:color="auto"/>
      </w:divBdr>
    </w:div>
    <w:div w:id="1137836912">
      <w:bodyDiv w:val="1"/>
      <w:marLeft w:val="0"/>
      <w:marRight w:val="0"/>
      <w:marTop w:val="0"/>
      <w:marBottom w:val="0"/>
      <w:divBdr>
        <w:top w:val="none" w:sz="0" w:space="0" w:color="auto"/>
        <w:left w:val="none" w:sz="0" w:space="0" w:color="auto"/>
        <w:bottom w:val="none" w:sz="0" w:space="0" w:color="auto"/>
        <w:right w:val="none" w:sz="0" w:space="0" w:color="auto"/>
      </w:divBdr>
    </w:div>
    <w:div w:id="1137837780">
      <w:bodyDiv w:val="1"/>
      <w:marLeft w:val="0"/>
      <w:marRight w:val="0"/>
      <w:marTop w:val="0"/>
      <w:marBottom w:val="0"/>
      <w:divBdr>
        <w:top w:val="none" w:sz="0" w:space="0" w:color="auto"/>
        <w:left w:val="none" w:sz="0" w:space="0" w:color="auto"/>
        <w:bottom w:val="none" w:sz="0" w:space="0" w:color="auto"/>
        <w:right w:val="none" w:sz="0" w:space="0" w:color="auto"/>
      </w:divBdr>
    </w:div>
    <w:div w:id="1137842244">
      <w:bodyDiv w:val="1"/>
      <w:marLeft w:val="0"/>
      <w:marRight w:val="0"/>
      <w:marTop w:val="0"/>
      <w:marBottom w:val="0"/>
      <w:divBdr>
        <w:top w:val="none" w:sz="0" w:space="0" w:color="auto"/>
        <w:left w:val="none" w:sz="0" w:space="0" w:color="auto"/>
        <w:bottom w:val="none" w:sz="0" w:space="0" w:color="auto"/>
        <w:right w:val="none" w:sz="0" w:space="0" w:color="auto"/>
      </w:divBdr>
    </w:div>
    <w:div w:id="1137843255">
      <w:bodyDiv w:val="1"/>
      <w:marLeft w:val="0"/>
      <w:marRight w:val="0"/>
      <w:marTop w:val="0"/>
      <w:marBottom w:val="0"/>
      <w:divBdr>
        <w:top w:val="none" w:sz="0" w:space="0" w:color="auto"/>
        <w:left w:val="none" w:sz="0" w:space="0" w:color="auto"/>
        <w:bottom w:val="none" w:sz="0" w:space="0" w:color="auto"/>
        <w:right w:val="none" w:sz="0" w:space="0" w:color="auto"/>
      </w:divBdr>
    </w:div>
    <w:div w:id="1137989139">
      <w:bodyDiv w:val="1"/>
      <w:marLeft w:val="0"/>
      <w:marRight w:val="0"/>
      <w:marTop w:val="0"/>
      <w:marBottom w:val="0"/>
      <w:divBdr>
        <w:top w:val="none" w:sz="0" w:space="0" w:color="auto"/>
        <w:left w:val="none" w:sz="0" w:space="0" w:color="auto"/>
        <w:bottom w:val="none" w:sz="0" w:space="0" w:color="auto"/>
        <w:right w:val="none" w:sz="0" w:space="0" w:color="auto"/>
      </w:divBdr>
    </w:div>
    <w:div w:id="1137993974">
      <w:bodyDiv w:val="1"/>
      <w:marLeft w:val="0"/>
      <w:marRight w:val="0"/>
      <w:marTop w:val="0"/>
      <w:marBottom w:val="0"/>
      <w:divBdr>
        <w:top w:val="none" w:sz="0" w:space="0" w:color="auto"/>
        <w:left w:val="none" w:sz="0" w:space="0" w:color="auto"/>
        <w:bottom w:val="none" w:sz="0" w:space="0" w:color="auto"/>
        <w:right w:val="none" w:sz="0" w:space="0" w:color="auto"/>
      </w:divBdr>
    </w:div>
    <w:div w:id="1138110358">
      <w:bodyDiv w:val="1"/>
      <w:marLeft w:val="0"/>
      <w:marRight w:val="0"/>
      <w:marTop w:val="0"/>
      <w:marBottom w:val="0"/>
      <w:divBdr>
        <w:top w:val="none" w:sz="0" w:space="0" w:color="auto"/>
        <w:left w:val="none" w:sz="0" w:space="0" w:color="auto"/>
        <w:bottom w:val="none" w:sz="0" w:space="0" w:color="auto"/>
        <w:right w:val="none" w:sz="0" w:space="0" w:color="auto"/>
      </w:divBdr>
    </w:div>
    <w:div w:id="1138184234">
      <w:bodyDiv w:val="1"/>
      <w:marLeft w:val="0"/>
      <w:marRight w:val="0"/>
      <w:marTop w:val="0"/>
      <w:marBottom w:val="0"/>
      <w:divBdr>
        <w:top w:val="none" w:sz="0" w:space="0" w:color="auto"/>
        <w:left w:val="none" w:sz="0" w:space="0" w:color="auto"/>
        <w:bottom w:val="none" w:sz="0" w:space="0" w:color="auto"/>
        <w:right w:val="none" w:sz="0" w:space="0" w:color="auto"/>
      </w:divBdr>
    </w:div>
    <w:div w:id="1138255094">
      <w:bodyDiv w:val="1"/>
      <w:marLeft w:val="0"/>
      <w:marRight w:val="0"/>
      <w:marTop w:val="0"/>
      <w:marBottom w:val="0"/>
      <w:divBdr>
        <w:top w:val="none" w:sz="0" w:space="0" w:color="auto"/>
        <w:left w:val="none" w:sz="0" w:space="0" w:color="auto"/>
        <w:bottom w:val="none" w:sz="0" w:space="0" w:color="auto"/>
        <w:right w:val="none" w:sz="0" w:space="0" w:color="auto"/>
      </w:divBdr>
    </w:div>
    <w:div w:id="1138258295">
      <w:bodyDiv w:val="1"/>
      <w:marLeft w:val="0"/>
      <w:marRight w:val="0"/>
      <w:marTop w:val="0"/>
      <w:marBottom w:val="0"/>
      <w:divBdr>
        <w:top w:val="none" w:sz="0" w:space="0" w:color="auto"/>
        <w:left w:val="none" w:sz="0" w:space="0" w:color="auto"/>
        <w:bottom w:val="none" w:sz="0" w:space="0" w:color="auto"/>
        <w:right w:val="none" w:sz="0" w:space="0" w:color="auto"/>
      </w:divBdr>
    </w:div>
    <w:div w:id="1138261912">
      <w:bodyDiv w:val="1"/>
      <w:marLeft w:val="0"/>
      <w:marRight w:val="0"/>
      <w:marTop w:val="0"/>
      <w:marBottom w:val="0"/>
      <w:divBdr>
        <w:top w:val="none" w:sz="0" w:space="0" w:color="auto"/>
        <w:left w:val="none" w:sz="0" w:space="0" w:color="auto"/>
        <w:bottom w:val="none" w:sz="0" w:space="0" w:color="auto"/>
        <w:right w:val="none" w:sz="0" w:space="0" w:color="auto"/>
      </w:divBdr>
    </w:div>
    <w:div w:id="1138298777">
      <w:bodyDiv w:val="1"/>
      <w:marLeft w:val="0"/>
      <w:marRight w:val="0"/>
      <w:marTop w:val="0"/>
      <w:marBottom w:val="0"/>
      <w:divBdr>
        <w:top w:val="none" w:sz="0" w:space="0" w:color="auto"/>
        <w:left w:val="none" w:sz="0" w:space="0" w:color="auto"/>
        <w:bottom w:val="none" w:sz="0" w:space="0" w:color="auto"/>
        <w:right w:val="none" w:sz="0" w:space="0" w:color="auto"/>
      </w:divBdr>
    </w:div>
    <w:div w:id="1138376123">
      <w:bodyDiv w:val="1"/>
      <w:marLeft w:val="0"/>
      <w:marRight w:val="0"/>
      <w:marTop w:val="0"/>
      <w:marBottom w:val="0"/>
      <w:divBdr>
        <w:top w:val="none" w:sz="0" w:space="0" w:color="auto"/>
        <w:left w:val="none" w:sz="0" w:space="0" w:color="auto"/>
        <w:bottom w:val="none" w:sz="0" w:space="0" w:color="auto"/>
        <w:right w:val="none" w:sz="0" w:space="0" w:color="auto"/>
      </w:divBdr>
    </w:div>
    <w:div w:id="1138452790">
      <w:bodyDiv w:val="1"/>
      <w:marLeft w:val="0"/>
      <w:marRight w:val="0"/>
      <w:marTop w:val="0"/>
      <w:marBottom w:val="0"/>
      <w:divBdr>
        <w:top w:val="none" w:sz="0" w:space="0" w:color="auto"/>
        <w:left w:val="none" w:sz="0" w:space="0" w:color="auto"/>
        <w:bottom w:val="none" w:sz="0" w:space="0" w:color="auto"/>
        <w:right w:val="none" w:sz="0" w:space="0" w:color="auto"/>
      </w:divBdr>
    </w:div>
    <w:div w:id="1138453968">
      <w:bodyDiv w:val="1"/>
      <w:marLeft w:val="0"/>
      <w:marRight w:val="0"/>
      <w:marTop w:val="0"/>
      <w:marBottom w:val="0"/>
      <w:divBdr>
        <w:top w:val="none" w:sz="0" w:space="0" w:color="auto"/>
        <w:left w:val="none" w:sz="0" w:space="0" w:color="auto"/>
        <w:bottom w:val="none" w:sz="0" w:space="0" w:color="auto"/>
        <w:right w:val="none" w:sz="0" w:space="0" w:color="auto"/>
      </w:divBdr>
    </w:div>
    <w:div w:id="1138492112">
      <w:bodyDiv w:val="1"/>
      <w:marLeft w:val="0"/>
      <w:marRight w:val="0"/>
      <w:marTop w:val="0"/>
      <w:marBottom w:val="0"/>
      <w:divBdr>
        <w:top w:val="none" w:sz="0" w:space="0" w:color="auto"/>
        <w:left w:val="none" w:sz="0" w:space="0" w:color="auto"/>
        <w:bottom w:val="none" w:sz="0" w:space="0" w:color="auto"/>
        <w:right w:val="none" w:sz="0" w:space="0" w:color="auto"/>
      </w:divBdr>
    </w:div>
    <w:div w:id="1138690406">
      <w:bodyDiv w:val="1"/>
      <w:marLeft w:val="0"/>
      <w:marRight w:val="0"/>
      <w:marTop w:val="0"/>
      <w:marBottom w:val="0"/>
      <w:divBdr>
        <w:top w:val="none" w:sz="0" w:space="0" w:color="auto"/>
        <w:left w:val="none" w:sz="0" w:space="0" w:color="auto"/>
        <w:bottom w:val="none" w:sz="0" w:space="0" w:color="auto"/>
        <w:right w:val="none" w:sz="0" w:space="0" w:color="auto"/>
      </w:divBdr>
    </w:div>
    <w:div w:id="1138913752">
      <w:bodyDiv w:val="1"/>
      <w:marLeft w:val="0"/>
      <w:marRight w:val="0"/>
      <w:marTop w:val="0"/>
      <w:marBottom w:val="0"/>
      <w:divBdr>
        <w:top w:val="none" w:sz="0" w:space="0" w:color="auto"/>
        <w:left w:val="none" w:sz="0" w:space="0" w:color="auto"/>
        <w:bottom w:val="none" w:sz="0" w:space="0" w:color="auto"/>
        <w:right w:val="none" w:sz="0" w:space="0" w:color="auto"/>
      </w:divBdr>
    </w:div>
    <w:div w:id="1138958392">
      <w:bodyDiv w:val="1"/>
      <w:marLeft w:val="0"/>
      <w:marRight w:val="0"/>
      <w:marTop w:val="0"/>
      <w:marBottom w:val="0"/>
      <w:divBdr>
        <w:top w:val="none" w:sz="0" w:space="0" w:color="auto"/>
        <w:left w:val="none" w:sz="0" w:space="0" w:color="auto"/>
        <w:bottom w:val="none" w:sz="0" w:space="0" w:color="auto"/>
        <w:right w:val="none" w:sz="0" w:space="0" w:color="auto"/>
      </w:divBdr>
    </w:div>
    <w:div w:id="1138959285">
      <w:bodyDiv w:val="1"/>
      <w:marLeft w:val="0"/>
      <w:marRight w:val="0"/>
      <w:marTop w:val="0"/>
      <w:marBottom w:val="0"/>
      <w:divBdr>
        <w:top w:val="none" w:sz="0" w:space="0" w:color="auto"/>
        <w:left w:val="none" w:sz="0" w:space="0" w:color="auto"/>
        <w:bottom w:val="none" w:sz="0" w:space="0" w:color="auto"/>
        <w:right w:val="none" w:sz="0" w:space="0" w:color="auto"/>
      </w:divBdr>
    </w:div>
    <w:div w:id="1138962201">
      <w:bodyDiv w:val="1"/>
      <w:marLeft w:val="0"/>
      <w:marRight w:val="0"/>
      <w:marTop w:val="0"/>
      <w:marBottom w:val="0"/>
      <w:divBdr>
        <w:top w:val="none" w:sz="0" w:space="0" w:color="auto"/>
        <w:left w:val="none" w:sz="0" w:space="0" w:color="auto"/>
        <w:bottom w:val="none" w:sz="0" w:space="0" w:color="auto"/>
        <w:right w:val="none" w:sz="0" w:space="0" w:color="auto"/>
      </w:divBdr>
    </w:div>
    <w:div w:id="1139033970">
      <w:bodyDiv w:val="1"/>
      <w:marLeft w:val="0"/>
      <w:marRight w:val="0"/>
      <w:marTop w:val="0"/>
      <w:marBottom w:val="0"/>
      <w:divBdr>
        <w:top w:val="none" w:sz="0" w:space="0" w:color="auto"/>
        <w:left w:val="none" w:sz="0" w:space="0" w:color="auto"/>
        <w:bottom w:val="none" w:sz="0" w:space="0" w:color="auto"/>
        <w:right w:val="none" w:sz="0" w:space="0" w:color="auto"/>
      </w:divBdr>
    </w:div>
    <w:div w:id="1139106142">
      <w:bodyDiv w:val="1"/>
      <w:marLeft w:val="0"/>
      <w:marRight w:val="0"/>
      <w:marTop w:val="0"/>
      <w:marBottom w:val="0"/>
      <w:divBdr>
        <w:top w:val="none" w:sz="0" w:space="0" w:color="auto"/>
        <w:left w:val="none" w:sz="0" w:space="0" w:color="auto"/>
        <w:bottom w:val="none" w:sz="0" w:space="0" w:color="auto"/>
        <w:right w:val="none" w:sz="0" w:space="0" w:color="auto"/>
      </w:divBdr>
    </w:div>
    <w:div w:id="1139107125">
      <w:bodyDiv w:val="1"/>
      <w:marLeft w:val="0"/>
      <w:marRight w:val="0"/>
      <w:marTop w:val="0"/>
      <w:marBottom w:val="0"/>
      <w:divBdr>
        <w:top w:val="none" w:sz="0" w:space="0" w:color="auto"/>
        <w:left w:val="none" w:sz="0" w:space="0" w:color="auto"/>
        <w:bottom w:val="none" w:sz="0" w:space="0" w:color="auto"/>
        <w:right w:val="none" w:sz="0" w:space="0" w:color="auto"/>
      </w:divBdr>
    </w:div>
    <w:div w:id="1139150281">
      <w:bodyDiv w:val="1"/>
      <w:marLeft w:val="0"/>
      <w:marRight w:val="0"/>
      <w:marTop w:val="0"/>
      <w:marBottom w:val="0"/>
      <w:divBdr>
        <w:top w:val="none" w:sz="0" w:space="0" w:color="auto"/>
        <w:left w:val="none" w:sz="0" w:space="0" w:color="auto"/>
        <w:bottom w:val="none" w:sz="0" w:space="0" w:color="auto"/>
        <w:right w:val="none" w:sz="0" w:space="0" w:color="auto"/>
      </w:divBdr>
    </w:div>
    <w:div w:id="1139154811">
      <w:bodyDiv w:val="1"/>
      <w:marLeft w:val="0"/>
      <w:marRight w:val="0"/>
      <w:marTop w:val="0"/>
      <w:marBottom w:val="0"/>
      <w:divBdr>
        <w:top w:val="none" w:sz="0" w:space="0" w:color="auto"/>
        <w:left w:val="none" w:sz="0" w:space="0" w:color="auto"/>
        <w:bottom w:val="none" w:sz="0" w:space="0" w:color="auto"/>
        <w:right w:val="none" w:sz="0" w:space="0" w:color="auto"/>
      </w:divBdr>
    </w:div>
    <w:div w:id="1139299319">
      <w:bodyDiv w:val="1"/>
      <w:marLeft w:val="0"/>
      <w:marRight w:val="0"/>
      <w:marTop w:val="0"/>
      <w:marBottom w:val="0"/>
      <w:divBdr>
        <w:top w:val="none" w:sz="0" w:space="0" w:color="auto"/>
        <w:left w:val="none" w:sz="0" w:space="0" w:color="auto"/>
        <w:bottom w:val="none" w:sz="0" w:space="0" w:color="auto"/>
        <w:right w:val="none" w:sz="0" w:space="0" w:color="auto"/>
      </w:divBdr>
    </w:div>
    <w:div w:id="1139304015">
      <w:bodyDiv w:val="1"/>
      <w:marLeft w:val="0"/>
      <w:marRight w:val="0"/>
      <w:marTop w:val="0"/>
      <w:marBottom w:val="0"/>
      <w:divBdr>
        <w:top w:val="none" w:sz="0" w:space="0" w:color="auto"/>
        <w:left w:val="none" w:sz="0" w:space="0" w:color="auto"/>
        <w:bottom w:val="none" w:sz="0" w:space="0" w:color="auto"/>
        <w:right w:val="none" w:sz="0" w:space="0" w:color="auto"/>
      </w:divBdr>
    </w:div>
    <w:div w:id="1139423014">
      <w:bodyDiv w:val="1"/>
      <w:marLeft w:val="0"/>
      <w:marRight w:val="0"/>
      <w:marTop w:val="0"/>
      <w:marBottom w:val="0"/>
      <w:divBdr>
        <w:top w:val="none" w:sz="0" w:space="0" w:color="auto"/>
        <w:left w:val="none" w:sz="0" w:space="0" w:color="auto"/>
        <w:bottom w:val="none" w:sz="0" w:space="0" w:color="auto"/>
        <w:right w:val="none" w:sz="0" w:space="0" w:color="auto"/>
      </w:divBdr>
    </w:div>
    <w:div w:id="1139495022">
      <w:bodyDiv w:val="1"/>
      <w:marLeft w:val="0"/>
      <w:marRight w:val="0"/>
      <w:marTop w:val="0"/>
      <w:marBottom w:val="0"/>
      <w:divBdr>
        <w:top w:val="none" w:sz="0" w:space="0" w:color="auto"/>
        <w:left w:val="none" w:sz="0" w:space="0" w:color="auto"/>
        <w:bottom w:val="none" w:sz="0" w:space="0" w:color="auto"/>
        <w:right w:val="none" w:sz="0" w:space="0" w:color="auto"/>
      </w:divBdr>
    </w:div>
    <w:div w:id="1139540287">
      <w:bodyDiv w:val="1"/>
      <w:marLeft w:val="0"/>
      <w:marRight w:val="0"/>
      <w:marTop w:val="0"/>
      <w:marBottom w:val="0"/>
      <w:divBdr>
        <w:top w:val="none" w:sz="0" w:space="0" w:color="auto"/>
        <w:left w:val="none" w:sz="0" w:space="0" w:color="auto"/>
        <w:bottom w:val="none" w:sz="0" w:space="0" w:color="auto"/>
        <w:right w:val="none" w:sz="0" w:space="0" w:color="auto"/>
      </w:divBdr>
    </w:div>
    <w:div w:id="1139541638">
      <w:bodyDiv w:val="1"/>
      <w:marLeft w:val="0"/>
      <w:marRight w:val="0"/>
      <w:marTop w:val="0"/>
      <w:marBottom w:val="0"/>
      <w:divBdr>
        <w:top w:val="none" w:sz="0" w:space="0" w:color="auto"/>
        <w:left w:val="none" w:sz="0" w:space="0" w:color="auto"/>
        <w:bottom w:val="none" w:sz="0" w:space="0" w:color="auto"/>
        <w:right w:val="none" w:sz="0" w:space="0" w:color="auto"/>
      </w:divBdr>
    </w:div>
    <w:div w:id="1139571005">
      <w:bodyDiv w:val="1"/>
      <w:marLeft w:val="0"/>
      <w:marRight w:val="0"/>
      <w:marTop w:val="0"/>
      <w:marBottom w:val="0"/>
      <w:divBdr>
        <w:top w:val="none" w:sz="0" w:space="0" w:color="auto"/>
        <w:left w:val="none" w:sz="0" w:space="0" w:color="auto"/>
        <w:bottom w:val="none" w:sz="0" w:space="0" w:color="auto"/>
        <w:right w:val="none" w:sz="0" w:space="0" w:color="auto"/>
      </w:divBdr>
    </w:div>
    <w:div w:id="1139684668">
      <w:bodyDiv w:val="1"/>
      <w:marLeft w:val="0"/>
      <w:marRight w:val="0"/>
      <w:marTop w:val="0"/>
      <w:marBottom w:val="0"/>
      <w:divBdr>
        <w:top w:val="none" w:sz="0" w:space="0" w:color="auto"/>
        <w:left w:val="none" w:sz="0" w:space="0" w:color="auto"/>
        <w:bottom w:val="none" w:sz="0" w:space="0" w:color="auto"/>
        <w:right w:val="none" w:sz="0" w:space="0" w:color="auto"/>
      </w:divBdr>
    </w:div>
    <w:div w:id="1139685738">
      <w:bodyDiv w:val="1"/>
      <w:marLeft w:val="0"/>
      <w:marRight w:val="0"/>
      <w:marTop w:val="0"/>
      <w:marBottom w:val="0"/>
      <w:divBdr>
        <w:top w:val="none" w:sz="0" w:space="0" w:color="auto"/>
        <w:left w:val="none" w:sz="0" w:space="0" w:color="auto"/>
        <w:bottom w:val="none" w:sz="0" w:space="0" w:color="auto"/>
        <w:right w:val="none" w:sz="0" w:space="0" w:color="auto"/>
      </w:divBdr>
    </w:div>
    <w:div w:id="1139687207">
      <w:bodyDiv w:val="1"/>
      <w:marLeft w:val="0"/>
      <w:marRight w:val="0"/>
      <w:marTop w:val="0"/>
      <w:marBottom w:val="0"/>
      <w:divBdr>
        <w:top w:val="none" w:sz="0" w:space="0" w:color="auto"/>
        <w:left w:val="none" w:sz="0" w:space="0" w:color="auto"/>
        <w:bottom w:val="none" w:sz="0" w:space="0" w:color="auto"/>
        <w:right w:val="none" w:sz="0" w:space="0" w:color="auto"/>
      </w:divBdr>
    </w:div>
    <w:div w:id="1139687302">
      <w:bodyDiv w:val="1"/>
      <w:marLeft w:val="0"/>
      <w:marRight w:val="0"/>
      <w:marTop w:val="0"/>
      <w:marBottom w:val="0"/>
      <w:divBdr>
        <w:top w:val="none" w:sz="0" w:space="0" w:color="auto"/>
        <w:left w:val="none" w:sz="0" w:space="0" w:color="auto"/>
        <w:bottom w:val="none" w:sz="0" w:space="0" w:color="auto"/>
        <w:right w:val="none" w:sz="0" w:space="0" w:color="auto"/>
      </w:divBdr>
    </w:div>
    <w:div w:id="1139763415">
      <w:bodyDiv w:val="1"/>
      <w:marLeft w:val="0"/>
      <w:marRight w:val="0"/>
      <w:marTop w:val="0"/>
      <w:marBottom w:val="0"/>
      <w:divBdr>
        <w:top w:val="none" w:sz="0" w:space="0" w:color="auto"/>
        <w:left w:val="none" w:sz="0" w:space="0" w:color="auto"/>
        <w:bottom w:val="none" w:sz="0" w:space="0" w:color="auto"/>
        <w:right w:val="none" w:sz="0" w:space="0" w:color="auto"/>
      </w:divBdr>
    </w:div>
    <w:div w:id="1139806883">
      <w:bodyDiv w:val="1"/>
      <w:marLeft w:val="0"/>
      <w:marRight w:val="0"/>
      <w:marTop w:val="0"/>
      <w:marBottom w:val="0"/>
      <w:divBdr>
        <w:top w:val="none" w:sz="0" w:space="0" w:color="auto"/>
        <w:left w:val="none" w:sz="0" w:space="0" w:color="auto"/>
        <w:bottom w:val="none" w:sz="0" w:space="0" w:color="auto"/>
        <w:right w:val="none" w:sz="0" w:space="0" w:color="auto"/>
      </w:divBdr>
    </w:div>
    <w:div w:id="1139834428">
      <w:bodyDiv w:val="1"/>
      <w:marLeft w:val="0"/>
      <w:marRight w:val="0"/>
      <w:marTop w:val="0"/>
      <w:marBottom w:val="0"/>
      <w:divBdr>
        <w:top w:val="none" w:sz="0" w:space="0" w:color="auto"/>
        <w:left w:val="none" w:sz="0" w:space="0" w:color="auto"/>
        <w:bottom w:val="none" w:sz="0" w:space="0" w:color="auto"/>
        <w:right w:val="none" w:sz="0" w:space="0" w:color="auto"/>
      </w:divBdr>
    </w:div>
    <w:div w:id="1139881476">
      <w:bodyDiv w:val="1"/>
      <w:marLeft w:val="0"/>
      <w:marRight w:val="0"/>
      <w:marTop w:val="0"/>
      <w:marBottom w:val="0"/>
      <w:divBdr>
        <w:top w:val="none" w:sz="0" w:space="0" w:color="auto"/>
        <w:left w:val="none" w:sz="0" w:space="0" w:color="auto"/>
        <w:bottom w:val="none" w:sz="0" w:space="0" w:color="auto"/>
        <w:right w:val="none" w:sz="0" w:space="0" w:color="auto"/>
      </w:divBdr>
    </w:div>
    <w:div w:id="1139960827">
      <w:bodyDiv w:val="1"/>
      <w:marLeft w:val="0"/>
      <w:marRight w:val="0"/>
      <w:marTop w:val="0"/>
      <w:marBottom w:val="0"/>
      <w:divBdr>
        <w:top w:val="none" w:sz="0" w:space="0" w:color="auto"/>
        <w:left w:val="none" w:sz="0" w:space="0" w:color="auto"/>
        <w:bottom w:val="none" w:sz="0" w:space="0" w:color="auto"/>
        <w:right w:val="none" w:sz="0" w:space="0" w:color="auto"/>
      </w:divBdr>
    </w:div>
    <w:div w:id="1140002243">
      <w:bodyDiv w:val="1"/>
      <w:marLeft w:val="0"/>
      <w:marRight w:val="0"/>
      <w:marTop w:val="0"/>
      <w:marBottom w:val="0"/>
      <w:divBdr>
        <w:top w:val="none" w:sz="0" w:space="0" w:color="auto"/>
        <w:left w:val="none" w:sz="0" w:space="0" w:color="auto"/>
        <w:bottom w:val="none" w:sz="0" w:space="0" w:color="auto"/>
        <w:right w:val="none" w:sz="0" w:space="0" w:color="auto"/>
      </w:divBdr>
    </w:div>
    <w:div w:id="1140146817">
      <w:bodyDiv w:val="1"/>
      <w:marLeft w:val="0"/>
      <w:marRight w:val="0"/>
      <w:marTop w:val="0"/>
      <w:marBottom w:val="0"/>
      <w:divBdr>
        <w:top w:val="none" w:sz="0" w:space="0" w:color="auto"/>
        <w:left w:val="none" w:sz="0" w:space="0" w:color="auto"/>
        <w:bottom w:val="none" w:sz="0" w:space="0" w:color="auto"/>
        <w:right w:val="none" w:sz="0" w:space="0" w:color="auto"/>
      </w:divBdr>
    </w:div>
    <w:div w:id="1140150649">
      <w:bodyDiv w:val="1"/>
      <w:marLeft w:val="0"/>
      <w:marRight w:val="0"/>
      <w:marTop w:val="0"/>
      <w:marBottom w:val="0"/>
      <w:divBdr>
        <w:top w:val="none" w:sz="0" w:space="0" w:color="auto"/>
        <w:left w:val="none" w:sz="0" w:space="0" w:color="auto"/>
        <w:bottom w:val="none" w:sz="0" w:space="0" w:color="auto"/>
        <w:right w:val="none" w:sz="0" w:space="0" w:color="auto"/>
      </w:divBdr>
    </w:div>
    <w:div w:id="1140152161">
      <w:bodyDiv w:val="1"/>
      <w:marLeft w:val="0"/>
      <w:marRight w:val="0"/>
      <w:marTop w:val="0"/>
      <w:marBottom w:val="0"/>
      <w:divBdr>
        <w:top w:val="none" w:sz="0" w:space="0" w:color="auto"/>
        <w:left w:val="none" w:sz="0" w:space="0" w:color="auto"/>
        <w:bottom w:val="none" w:sz="0" w:space="0" w:color="auto"/>
        <w:right w:val="none" w:sz="0" w:space="0" w:color="auto"/>
      </w:divBdr>
    </w:div>
    <w:div w:id="1140272374">
      <w:bodyDiv w:val="1"/>
      <w:marLeft w:val="0"/>
      <w:marRight w:val="0"/>
      <w:marTop w:val="0"/>
      <w:marBottom w:val="0"/>
      <w:divBdr>
        <w:top w:val="none" w:sz="0" w:space="0" w:color="auto"/>
        <w:left w:val="none" w:sz="0" w:space="0" w:color="auto"/>
        <w:bottom w:val="none" w:sz="0" w:space="0" w:color="auto"/>
        <w:right w:val="none" w:sz="0" w:space="0" w:color="auto"/>
      </w:divBdr>
    </w:div>
    <w:div w:id="1140348348">
      <w:bodyDiv w:val="1"/>
      <w:marLeft w:val="0"/>
      <w:marRight w:val="0"/>
      <w:marTop w:val="0"/>
      <w:marBottom w:val="0"/>
      <w:divBdr>
        <w:top w:val="none" w:sz="0" w:space="0" w:color="auto"/>
        <w:left w:val="none" w:sz="0" w:space="0" w:color="auto"/>
        <w:bottom w:val="none" w:sz="0" w:space="0" w:color="auto"/>
        <w:right w:val="none" w:sz="0" w:space="0" w:color="auto"/>
      </w:divBdr>
    </w:div>
    <w:div w:id="1140415626">
      <w:bodyDiv w:val="1"/>
      <w:marLeft w:val="0"/>
      <w:marRight w:val="0"/>
      <w:marTop w:val="0"/>
      <w:marBottom w:val="0"/>
      <w:divBdr>
        <w:top w:val="none" w:sz="0" w:space="0" w:color="auto"/>
        <w:left w:val="none" w:sz="0" w:space="0" w:color="auto"/>
        <w:bottom w:val="none" w:sz="0" w:space="0" w:color="auto"/>
        <w:right w:val="none" w:sz="0" w:space="0" w:color="auto"/>
      </w:divBdr>
    </w:div>
    <w:div w:id="1140417729">
      <w:bodyDiv w:val="1"/>
      <w:marLeft w:val="0"/>
      <w:marRight w:val="0"/>
      <w:marTop w:val="0"/>
      <w:marBottom w:val="0"/>
      <w:divBdr>
        <w:top w:val="none" w:sz="0" w:space="0" w:color="auto"/>
        <w:left w:val="none" w:sz="0" w:space="0" w:color="auto"/>
        <w:bottom w:val="none" w:sz="0" w:space="0" w:color="auto"/>
        <w:right w:val="none" w:sz="0" w:space="0" w:color="auto"/>
      </w:divBdr>
    </w:div>
    <w:div w:id="1140418677">
      <w:bodyDiv w:val="1"/>
      <w:marLeft w:val="0"/>
      <w:marRight w:val="0"/>
      <w:marTop w:val="0"/>
      <w:marBottom w:val="0"/>
      <w:divBdr>
        <w:top w:val="none" w:sz="0" w:space="0" w:color="auto"/>
        <w:left w:val="none" w:sz="0" w:space="0" w:color="auto"/>
        <w:bottom w:val="none" w:sz="0" w:space="0" w:color="auto"/>
        <w:right w:val="none" w:sz="0" w:space="0" w:color="auto"/>
      </w:divBdr>
    </w:div>
    <w:div w:id="1140726464">
      <w:bodyDiv w:val="1"/>
      <w:marLeft w:val="0"/>
      <w:marRight w:val="0"/>
      <w:marTop w:val="0"/>
      <w:marBottom w:val="0"/>
      <w:divBdr>
        <w:top w:val="none" w:sz="0" w:space="0" w:color="auto"/>
        <w:left w:val="none" w:sz="0" w:space="0" w:color="auto"/>
        <w:bottom w:val="none" w:sz="0" w:space="0" w:color="auto"/>
        <w:right w:val="none" w:sz="0" w:space="0" w:color="auto"/>
      </w:divBdr>
    </w:div>
    <w:div w:id="1140923395">
      <w:bodyDiv w:val="1"/>
      <w:marLeft w:val="0"/>
      <w:marRight w:val="0"/>
      <w:marTop w:val="0"/>
      <w:marBottom w:val="0"/>
      <w:divBdr>
        <w:top w:val="none" w:sz="0" w:space="0" w:color="auto"/>
        <w:left w:val="none" w:sz="0" w:space="0" w:color="auto"/>
        <w:bottom w:val="none" w:sz="0" w:space="0" w:color="auto"/>
        <w:right w:val="none" w:sz="0" w:space="0" w:color="auto"/>
      </w:divBdr>
    </w:div>
    <w:div w:id="1140996329">
      <w:bodyDiv w:val="1"/>
      <w:marLeft w:val="0"/>
      <w:marRight w:val="0"/>
      <w:marTop w:val="0"/>
      <w:marBottom w:val="0"/>
      <w:divBdr>
        <w:top w:val="none" w:sz="0" w:space="0" w:color="auto"/>
        <w:left w:val="none" w:sz="0" w:space="0" w:color="auto"/>
        <w:bottom w:val="none" w:sz="0" w:space="0" w:color="auto"/>
        <w:right w:val="none" w:sz="0" w:space="0" w:color="auto"/>
      </w:divBdr>
    </w:div>
    <w:div w:id="1141120093">
      <w:bodyDiv w:val="1"/>
      <w:marLeft w:val="0"/>
      <w:marRight w:val="0"/>
      <w:marTop w:val="0"/>
      <w:marBottom w:val="0"/>
      <w:divBdr>
        <w:top w:val="none" w:sz="0" w:space="0" w:color="auto"/>
        <w:left w:val="none" w:sz="0" w:space="0" w:color="auto"/>
        <w:bottom w:val="none" w:sz="0" w:space="0" w:color="auto"/>
        <w:right w:val="none" w:sz="0" w:space="0" w:color="auto"/>
      </w:divBdr>
    </w:div>
    <w:div w:id="1141121838">
      <w:bodyDiv w:val="1"/>
      <w:marLeft w:val="0"/>
      <w:marRight w:val="0"/>
      <w:marTop w:val="0"/>
      <w:marBottom w:val="0"/>
      <w:divBdr>
        <w:top w:val="none" w:sz="0" w:space="0" w:color="auto"/>
        <w:left w:val="none" w:sz="0" w:space="0" w:color="auto"/>
        <w:bottom w:val="none" w:sz="0" w:space="0" w:color="auto"/>
        <w:right w:val="none" w:sz="0" w:space="0" w:color="auto"/>
      </w:divBdr>
    </w:div>
    <w:div w:id="1141195205">
      <w:bodyDiv w:val="1"/>
      <w:marLeft w:val="0"/>
      <w:marRight w:val="0"/>
      <w:marTop w:val="0"/>
      <w:marBottom w:val="0"/>
      <w:divBdr>
        <w:top w:val="none" w:sz="0" w:space="0" w:color="auto"/>
        <w:left w:val="none" w:sz="0" w:space="0" w:color="auto"/>
        <w:bottom w:val="none" w:sz="0" w:space="0" w:color="auto"/>
        <w:right w:val="none" w:sz="0" w:space="0" w:color="auto"/>
      </w:divBdr>
    </w:div>
    <w:div w:id="1141269230">
      <w:bodyDiv w:val="1"/>
      <w:marLeft w:val="0"/>
      <w:marRight w:val="0"/>
      <w:marTop w:val="0"/>
      <w:marBottom w:val="0"/>
      <w:divBdr>
        <w:top w:val="none" w:sz="0" w:space="0" w:color="auto"/>
        <w:left w:val="none" w:sz="0" w:space="0" w:color="auto"/>
        <w:bottom w:val="none" w:sz="0" w:space="0" w:color="auto"/>
        <w:right w:val="none" w:sz="0" w:space="0" w:color="auto"/>
      </w:divBdr>
    </w:div>
    <w:div w:id="1141388813">
      <w:bodyDiv w:val="1"/>
      <w:marLeft w:val="0"/>
      <w:marRight w:val="0"/>
      <w:marTop w:val="0"/>
      <w:marBottom w:val="0"/>
      <w:divBdr>
        <w:top w:val="none" w:sz="0" w:space="0" w:color="auto"/>
        <w:left w:val="none" w:sz="0" w:space="0" w:color="auto"/>
        <w:bottom w:val="none" w:sz="0" w:space="0" w:color="auto"/>
        <w:right w:val="none" w:sz="0" w:space="0" w:color="auto"/>
      </w:divBdr>
    </w:div>
    <w:div w:id="1141533589">
      <w:bodyDiv w:val="1"/>
      <w:marLeft w:val="0"/>
      <w:marRight w:val="0"/>
      <w:marTop w:val="0"/>
      <w:marBottom w:val="0"/>
      <w:divBdr>
        <w:top w:val="none" w:sz="0" w:space="0" w:color="auto"/>
        <w:left w:val="none" w:sz="0" w:space="0" w:color="auto"/>
        <w:bottom w:val="none" w:sz="0" w:space="0" w:color="auto"/>
        <w:right w:val="none" w:sz="0" w:space="0" w:color="auto"/>
      </w:divBdr>
    </w:div>
    <w:div w:id="1141535495">
      <w:bodyDiv w:val="1"/>
      <w:marLeft w:val="0"/>
      <w:marRight w:val="0"/>
      <w:marTop w:val="0"/>
      <w:marBottom w:val="0"/>
      <w:divBdr>
        <w:top w:val="none" w:sz="0" w:space="0" w:color="auto"/>
        <w:left w:val="none" w:sz="0" w:space="0" w:color="auto"/>
        <w:bottom w:val="none" w:sz="0" w:space="0" w:color="auto"/>
        <w:right w:val="none" w:sz="0" w:space="0" w:color="auto"/>
      </w:divBdr>
    </w:div>
    <w:div w:id="1141577061">
      <w:bodyDiv w:val="1"/>
      <w:marLeft w:val="0"/>
      <w:marRight w:val="0"/>
      <w:marTop w:val="0"/>
      <w:marBottom w:val="0"/>
      <w:divBdr>
        <w:top w:val="none" w:sz="0" w:space="0" w:color="auto"/>
        <w:left w:val="none" w:sz="0" w:space="0" w:color="auto"/>
        <w:bottom w:val="none" w:sz="0" w:space="0" w:color="auto"/>
        <w:right w:val="none" w:sz="0" w:space="0" w:color="auto"/>
      </w:divBdr>
    </w:div>
    <w:div w:id="1141651729">
      <w:bodyDiv w:val="1"/>
      <w:marLeft w:val="0"/>
      <w:marRight w:val="0"/>
      <w:marTop w:val="0"/>
      <w:marBottom w:val="0"/>
      <w:divBdr>
        <w:top w:val="none" w:sz="0" w:space="0" w:color="auto"/>
        <w:left w:val="none" w:sz="0" w:space="0" w:color="auto"/>
        <w:bottom w:val="none" w:sz="0" w:space="0" w:color="auto"/>
        <w:right w:val="none" w:sz="0" w:space="0" w:color="auto"/>
      </w:divBdr>
    </w:div>
    <w:div w:id="1141851987">
      <w:bodyDiv w:val="1"/>
      <w:marLeft w:val="0"/>
      <w:marRight w:val="0"/>
      <w:marTop w:val="0"/>
      <w:marBottom w:val="0"/>
      <w:divBdr>
        <w:top w:val="none" w:sz="0" w:space="0" w:color="auto"/>
        <w:left w:val="none" w:sz="0" w:space="0" w:color="auto"/>
        <w:bottom w:val="none" w:sz="0" w:space="0" w:color="auto"/>
        <w:right w:val="none" w:sz="0" w:space="0" w:color="auto"/>
      </w:divBdr>
    </w:div>
    <w:div w:id="1141966696">
      <w:bodyDiv w:val="1"/>
      <w:marLeft w:val="0"/>
      <w:marRight w:val="0"/>
      <w:marTop w:val="0"/>
      <w:marBottom w:val="0"/>
      <w:divBdr>
        <w:top w:val="none" w:sz="0" w:space="0" w:color="auto"/>
        <w:left w:val="none" w:sz="0" w:space="0" w:color="auto"/>
        <w:bottom w:val="none" w:sz="0" w:space="0" w:color="auto"/>
        <w:right w:val="none" w:sz="0" w:space="0" w:color="auto"/>
      </w:divBdr>
    </w:div>
    <w:div w:id="1141968646">
      <w:bodyDiv w:val="1"/>
      <w:marLeft w:val="0"/>
      <w:marRight w:val="0"/>
      <w:marTop w:val="0"/>
      <w:marBottom w:val="0"/>
      <w:divBdr>
        <w:top w:val="none" w:sz="0" w:space="0" w:color="auto"/>
        <w:left w:val="none" w:sz="0" w:space="0" w:color="auto"/>
        <w:bottom w:val="none" w:sz="0" w:space="0" w:color="auto"/>
        <w:right w:val="none" w:sz="0" w:space="0" w:color="auto"/>
      </w:divBdr>
    </w:div>
    <w:div w:id="1141969730">
      <w:bodyDiv w:val="1"/>
      <w:marLeft w:val="0"/>
      <w:marRight w:val="0"/>
      <w:marTop w:val="0"/>
      <w:marBottom w:val="0"/>
      <w:divBdr>
        <w:top w:val="none" w:sz="0" w:space="0" w:color="auto"/>
        <w:left w:val="none" w:sz="0" w:space="0" w:color="auto"/>
        <w:bottom w:val="none" w:sz="0" w:space="0" w:color="auto"/>
        <w:right w:val="none" w:sz="0" w:space="0" w:color="auto"/>
      </w:divBdr>
    </w:div>
    <w:div w:id="1142040038">
      <w:bodyDiv w:val="1"/>
      <w:marLeft w:val="0"/>
      <w:marRight w:val="0"/>
      <w:marTop w:val="0"/>
      <w:marBottom w:val="0"/>
      <w:divBdr>
        <w:top w:val="none" w:sz="0" w:space="0" w:color="auto"/>
        <w:left w:val="none" w:sz="0" w:space="0" w:color="auto"/>
        <w:bottom w:val="none" w:sz="0" w:space="0" w:color="auto"/>
        <w:right w:val="none" w:sz="0" w:space="0" w:color="auto"/>
      </w:divBdr>
    </w:div>
    <w:div w:id="1142040236">
      <w:bodyDiv w:val="1"/>
      <w:marLeft w:val="0"/>
      <w:marRight w:val="0"/>
      <w:marTop w:val="0"/>
      <w:marBottom w:val="0"/>
      <w:divBdr>
        <w:top w:val="none" w:sz="0" w:space="0" w:color="auto"/>
        <w:left w:val="none" w:sz="0" w:space="0" w:color="auto"/>
        <w:bottom w:val="none" w:sz="0" w:space="0" w:color="auto"/>
        <w:right w:val="none" w:sz="0" w:space="0" w:color="auto"/>
      </w:divBdr>
    </w:div>
    <w:div w:id="1142383599">
      <w:bodyDiv w:val="1"/>
      <w:marLeft w:val="0"/>
      <w:marRight w:val="0"/>
      <w:marTop w:val="0"/>
      <w:marBottom w:val="0"/>
      <w:divBdr>
        <w:top w:val="none" w:sz="0" w:space="0" w:color="auto"/>
        <w:left w:val="none" w:sz="0" w:space="0" w:color="auto"/>
        <w:bottom w:val="none" w:sz="0" w:space="0" w:color="auto"/>
        <w:right w:val="none" w:sz="0" w:space="0" w:color="auto"/>
      </w:divBdr>
    </w:div>
    <w:div w:id="1142387717">
      <w:bodyDiv w:val="1"/>
      <w:marLeft w:val="0"/>
      <w:marRight w:val="0"/>
      <w:marTop w:val="0"/>
      <w:marBottom w:val="0"/>
      <w:divBdr>
        <w:top w:val="none" w:sz="0" w:space="0" w:color="auto"/>
        <w:left w:val="none" w:sz="0" w:space="0" w:color="auto"/>
        <w:bottom w:val="none" w:sz="0" w:space="0" w:color="auto"/>
        <w:right w:val="none" w:sz="0" w:space="0" w:color="auto"/>
      </w:divBdr>
    </w:div>
    <w:div w:id="1142424651">
      <w:bodyDiv w:val="1"/>
      <w:marLeft w:val="0"/>
      <w:marRight w:val="0"/>
      <w:marTop w:val="0"/>
      <w:marBottom w:val="0"/>
      <w:divBdr>
        <w:top w:val="none" w:sz="0" w:space="0" w:color="auto"/>
        <w:left w:val="none" w:sz="0" w:space="0" w:color="auto"/>
        <w:bottom w:val="none" w:sz="0" w:space="0" w:color="auto"/>
        <w:right w:val="none" w:sz="0" w:space="0" w:color="auto"/>
      </w:divBdr>
    </w:div>
    <w:div w:id="1142499176">
      <w:bodyDiv w:val="1"/>
      <w:marLeft w:val="0"/>
      <w:marRight w:val="0"/>
      <w:marTop w:val="0"/>
      <w:marBottom w:val="0"/>
      <w:divBdr>
        <w:top w:val="none" w:sz="0" w:space="0" w:color="auto"/>
        <w:left w:val="none" w:sz="0" w:space="0" w:color="auto"/>
        <w:bottom w:val="none" w:sz="0" w:space="0" w:color="auto"/>
        <w:right w:val="none" w:sz="0" w:space="0" w:color="auto"/>
      </w:divBdr>
    </w:div>
    <w:div w:id="1142580464">
      <w:bodyDiv w:val="1"/>
      <w:marLeft w:val="0"/>
      <w:marRight w:val="0"/>
      <w:marTop w:val="0"/>
      <w:marBottom w:val="0"/>
      <w:divBdr>
        <w:top w:val="none" w:sz="0" w:space="0" w:color="auto"/>
        <w:left w:val="none" w:sz="0" w:space="0" w:color="auto"/>
        <w:bottom w:val="none" w:sz="0" w:space="0" w:color="auto"/>
        <w:right w:val="none" w:sz="0" w:space="0" w:color="auto"/>
      </w:divBdr>
    </w:div>
    <w:div w:id="1142621117">
      <w:bodyDiv w:val="1"/>
      <w:marLeft w:val="0"/>
      <w:marRight w:val="0"/>
      <w:marTop w:val="0"/>
      <w:marBottom w:val="0"/>
      <w:divBdr>
        <w:top w:val="none" w:sz="0" w:space="0" w:color="auto"/>
        <w:left w:val="none" w:sz="0" w:space="0" w:color="auto"/>
        <w:bottom w:val="none" w:sz="0" w:space="0" w:color="auto"/>
        <w:right w:val="none" w:sz="0" w:space="0" w:color="auto"/>
      </w:divBdr>
    </w:div>
    <w:div w:id="1142845948">
      <w:bodyDiv w:val="1"/>
      <w:marLeft w:val="0"/>
      <w:marRight w:val="0"/>
      <w:marTop w:val="0"/>
      <w:marBottom w:val="0"/>
      <w:divBdr>
        <w:top w:val="none" w:sz="0" w:space="0" w:color="auto"/>
        <w:left w:val="none" w:sz="0" w:space="0" w:color="auto"/>
        <w:bottom w:val="none" w:sz="0" w:space="0" w:color="auto"/>
        <w:right w:val="none" w:sz="0" w:space="0" w:color="auto"/>
      </w:divBdr>
    </w:div>
    <w:div w:id="1142890384">
      <w:bodyDiv w:val="1"/>
      <w:marLeft w:val="0"/>
      <w:marRight w:val="0"/>
      <w:marTop w:val="0"/>
      <w:marBottom w:val="0"/>
      <w:divBdr>
        <w:top w:val="none" w:sz="0" w:space="0" w:color="auto"/>
        <w:left w:val="none" w:sz="0" w:space="0" w:color="auto"/>
        <w:bottom w:val="none" w:sz="0" w:space="0" w:color="auto"/>
        <w:right w:val="none" w:sz="0" w:space="0" w:color="auto"/>
      </w:divBdr>
    </w:div>
    <w:div w:id="1142960738">
      <w:bodyDiv w:val="1"/>
      <w:marLeft w:val="0"/>
      <w:marRight w:val="0"/>
      <w:marTop w:val="0"/>
      <w:marBottom w:val="0"/>
      <w:divBdr>
        <w:top w:val="none" w:sz="0" w:space="0" w:color="auto"/>
        <w:left w:val="none" w:sz="0" w:space="0" w:color="auto"/>
        <w:bottom w:val="none" w:sz="0" w:space="0" w:color="auto"/>
        <w:right w:val="none" w:sz="0" w:space="0" w:color="auto"/>
      </w:divBdr>
    </w:div>
    <w:div w:id="1143079399">
      <w:bodyDiv w:val="1"/>
      <w:marLeft w:val="0"/>
      <w:marRight w:val="0"/>
      <w:marTop w:val="0"/>
      <w:marBottom w:val="0"/>
      <w:divBdr>
        <w:top w:val="none" w:sz="0" w:space="0" w:color="auto"/>
        <w:left w:val="none" w:sz="0" w:space="0" w:color="auto"/>
        <w:bottom w:val="none" w:sz="0" w:space="0" w:color="auto"/>
        <w:right w:val="none" w:sz="0" w:space="0" w:color="auto"/>
      </w:divBdr>
    </w:div>
    <w:div w:id="1143158932">
      <w:bodyDiv w:val="1"/>
      <w:marLeft w:val="0"/>
      <w:marRight w:val="0"/>
      <w:marTop w:val="0"/>
      <w:marBottom w:val="0"/>
      <w:divBdr>
        <w:top w:val="none" w:sz="0" w:space="0" w:color="auto"/>
        <w:left w:val="none" w:sz="0" w:space="0" w:color="auto"/>
        <w:bottom w:val="none" w:sz="0" w:space="0" w:color="auto"/>
        <w:right w:val="none" w:sz="0" w:space="0" w:color="auto"/>
      </w:divBdr>
    </w:div>
    <w:div w:id="1143228794">
      <w:bodyDiv w:val="1"/>
      <w:marLeft w:val="0"/>
      <w:marRight w:val="0"/>
      <w:marTop w:val="0"/>
      <w:marBottom w:val="0"/>
      <w:divBdr>
        <w:top w:val="none" w:sz="0" w:space="0" w:color="auto"/>
        <w:left w:val="none" w:sz="0" w:space="0" w:color="auto"/>
        <w:bottom w:val="none" w:sz="0" w:space="0" w:color="auto"/>
        <w:right w:val="none" w:sz="0" w:space="0" w:color="auto"/>
      </w:divBdr>
    </w:div>
    <w:div w:id="1143233769">
      <w:bodyDiv w:val="1"/>
      <w:marLeft w:val="0"/>
      <w:marRight w:val="0"/>
      <w:marTop w:val="0"/>
      <w:marBottom w:val="0"/>
      <w:divBdr>
        <w:top w:val="none" w:sz="0" w:space="0" w:color="auto"/>
        <w:left w:val="none" w:sz="0" w:space="0" w:color="auto"/>
        <w:bottom w:val="none" w:sz="0" w:space="0" w:color="auto"/>
        <w:right w:val="none" w:sz="0" w:space="0" w:color="auto"/>
      </w:divBdr>
    </w:div>
    <w:div w:id="1143236692">
      <w:bodyDiv w:val="1"/>
      <w:marLeft w:val="0"/>
      <w:marRight w:val="0"/>
      <w:marTop w:val="0"/>
      <w:marBottom w:val="0"/>
      <w:divBdr>
        <w:top w:val="none" w:sz="0" w:space="0" w:color="auto"/>
        <w:left w:val="none" w:sz="0" w:space="0" w:color="auto"/>
        <w:bottom w:val="none" w:sz="0" w:space="0" w:color="auto"/>
        <w:right w:val="none" w:sz="0" w:space="0" w:color="auto"/>
      </w:divBdr>
    </w:div>
    <w:div w:id="1143422337">
      <w:bodyDiv w:val="1"/>
      <w:marLeft w:val="0"/>
      <w:marRight w:val="0"/>
      <w:marTop w:val="0"/>
      <w:marBottom w:val="0"/>
      <w:divBdr>
        <w:top w:val="none" w:sz="0" w:space="0" w:color="auto"/>
        <w:left w:val="none" w:sz="0" w:space="0" w:color="auto"/>
        <w:bottom w:val="none" w:sz="0" w:space="0" w:color="auto"/>
        <w:right w:val="none" w:sz="0" w:space="0" w:color="auto"/>
      </w:divBdr>
    </w:div>
    <w:div w:id="1143423157">
      <w:bodyDiv w:val="1"/>
      <w:marLeft w:val="0"/>
      <w:marRight w:val="0"/>
      <w:marTop w:val="0"/>
      <w:marBottom w:val="0"/>
      <w:divBdr>
        <w:top w:val="none" w:sz="0" w:space="0" w:color="auto"/>
        <w:left w:val="none" w:sz="0" w:space="0" w:color="auto"/>
        <w:bottom w:val="none" w:sz="0" w:space="0" w:color="auto"/>
        <w:right w:val="none" w:sz="0" w:space="0" w:color="auto"/>
      </w:divBdr>
    </w:div>
    <w:div w:id="1143423836">
      <w:bodyDiv w:val="1"/>
      <w:marLeft w:val="0"/>
      <w:marRight w:val="0"/>
      <w:marTop w:val="0"/>
      <w:marBottom w:val="0"/>
      <w:divBdr>
        <w:top w:val="none" w:sz="0" w:space="0" w:color="auto"/>
        <w:left w:val="none" w:sz="0" w:space="0" w:color="auto"/>
        <w:bottom w:val="none" w:sz="0" w:space="0" w:color="auto"/>
        <w:right w:val="none" w:sz="0" w:space="0" w:color="auto"/>
      </w:divBdr>
    </w:div>
    <w:div w:id="1143503417">
      <w:bodyDiv w:val="1"/>
      <w:marLeft w:val="0"/>
      <w:marRight w:val="0"/>
      <w:marTop w:val="0"/>
      <w:marBottom w:val="0"/>
      <w:divBdr>
        <w:top w:val="none" w:sz="0" w:space="0" w:color="auto"/>
        <w:left w:val="none" w:sz="0" w:space="0" w:color="auto"/>
        <w:bottom w:val="none" w:sz="0" w:space="0" w:color="auto"/>
        <w:right w:val="none" w:sz="0" w:space="0" w:color="auto"/>
      </w:divBdr>
    </w:div>
    <w:div w:id="1143547697">
      <w:bodyDiv w:val="1"/>
      <w:marLeft w:val="0"/>
      <w:marRight w:val="0"/>
      <w:marTop w:val="0"/>
      <w:marBottom w:val="0"/>
      <w:divBdr>
        <w:top w:val="none" w:sz="0" w:space="0" w:color="auto"/>
        <w:left w:val="none" w:sz="0" w:space="0" w:color="auto"/>
        <w:bottom w:val="none" w:sz="0" w:space="0" w:color="auto"/>
        <w:right w:val="none" w:sz="0" w:space="0" w:color="auto"/>
      </w:divBdr>
    </w:div>
    <w:div w:id="1143548680">
      <w:bodyDiv w:val="1"/>
      <w:marLeft w:val="0"/>
      <w:marRight w:val="0"/>
      <w:marTop w:val="0"/>
      <w:marBottom w:val="0"/>
      <w:divBdr>
        <w:top w:val="none" w:sz="0" w:space="0" w:color="auto"/>
        <w:left w:val="none" w:sz="0" w:space="0" w:color="auto"/>
        <w:bottom w:val="none" w:sz="0" w:space="0" w:color="auto"/>
        <w:right w:val="none" w:sz="0" w:space="0" w:color="auto"/>
      </w:divBdr>
    </w:div>
    <w:div w:id="1143694228">
      <w:bodyDiv w:val="1"/>
      <w:marLeft w:val="0"/>
      <w:marRight w:val="0"/>
      <w:marTop w:val="0"/>
      <w:marBottom w:val="0"/>
      <w:divBdr>
        <w:top w:val="none" w:sz="0" w:space="0" w:color="auto"/>
        <w:left w:val="none" w:sz="0" w:space="0" w:color="auto"/>
        <w:bottom w:val="none" w:sz="0" w:space="0" w:color="auto"/>
        <w:right w:val="none" w:sz="0" w:space="0" w:color="auto"/>
      </w:divBdr>
    </w:div>
    <w:div w:id="1143742584">
      <w:bodyDiv w:val="1"/>
      <w:marLeft w:val="0"/>
      <w:marRight w:val="0"/>
      <w:marTop w:val="0"/>
      <w:marBottom w:val="0"/>
      <w:divBdr>
        <w:top w:val="none" w:sz="0" w:space="0" w:color="auto"/>
        <w:left w:val="none" w:sz="0" w:space="0" w:color="auto"/>
        <w:bottom w:val="none" w:sz="0" w:space="0" w:color="auto"/>
        <w:right w:val="none" w:sz="0" w:space="0" w:color="auto"/>
      </w:divBdr>
    </w:div>
    <w:div w:id="1143885750">
      <w:bodyDiv w:val="1"/>
      <w:marLeft w:val="0"/>
      <w:marRight w:val="0"/>
      <w:marTop w:val="0"/>
      <w:marBottom w:val="0"/>
      <w:divBdr>
        <w:top w:val="none" w:sz="0" w:space="0" w:color="auto"/>
        <w:left w:val="none" w:sz="0" w:space="0" w:color="auto"/>
        <w:bottom w:val="none" w:sz="0" w:space="0" w:color="auto"/>
        <w:right w:val="none" w:sz="0" w:space="0" w:color="auto"/>
      </w:divBdr>
    </w:div>
    <w:div w:id="1143962792">
      <w:bodyDiv w:val="1"/>
      <w:marLeft w:val="0"/>
      <w:marRight w:val="0"/>
      <w:marTop w:val="0"/>
      <w:marBottom w:val="0"/>
      <w:divBdr>
        <w:top w:val="none" w:sz="0" w:space="0" w:color="auto"/>
        <w:left w:val="none" w:sz="0" w:space="0" w:color="auto"/>
        <w:bottom w:val="none" w:sz="0" w:space="0" w:color="auto"/>
        <w:right w:val="none" w:sz="0" w:space="0" w:color="auto"/>
      </w:divBdr>
    </w:div>
    <w:div w:id="1144081890">
      <w:bodyDiv w:val="1"/>
      <w:marLeft w:val="0"/>
      <w:marRight w:val="0"/>
      <w:marTop w:val="0"/>
      <w:marBottom w:val="0"/>
      <w:divBdr>
        <w:top w:val="none" w:sz="0" w:space="0" w:color="auto"/>
        <w:left w:val="none" w:sz="0" w:space="0" w:color="auto"/>
        <w:bottom w:val="none" w:sz="0" w:space="0" w:color="auto"/>
        <w:right w:val="none" w:sz="0" w:space="0" w:color="auto"/>
      </w:divBdr>
    </w:div>
    <w:div w:id="1144082641">
      <w:bodyDiv w:val="1"/>
      <w:marLeft w:val="0"/>
      <w:marRight w:val="0"/>
      <w:marTop w:val="0"/>
      <w:marBottom w:val="0"/>
      <w:divBdr>
        <w:top w:val="none" w:sz="0" w:space="0" w:color="auto"/>
        <w:left w:val="none" w:sz="0" w:space="0" w:color="auto"/>
        <w:bottom w:val="none" w:sz="0" w:space="0" w:color="auto"/>
        <w:right w:val="none" w:sz="0" w:space="0" w:color="auto"/>
      </w:divBdr>
    </w:div>
    <w:div w:id="1144083650">
      <w:bodyDiv w:val="1"/>
      <w:marLeft w:val="0"/>
      <w:marRight w:val="0"/>
      <w:marTop w:val="0"/>
      <w:marBottom w:val="0"/>
      <w:divBdr>
        <w:top w:val="none" w:sz="0" w:space="0" w:color="auto"/>
        <w:left w:val="none" w:sz="0" w:space="0" w:color="auto"/>
        <w:bottom w:val="none" w:sz="0" w:space="0" w:color="auto"/>
        <w:right w:val="none" w:sz="0" w:space="0" w:color="auto"/>
      </w:divBdr>
    </w:div>
    <w:div w:id="1144202131">
      <w:bodyDiv w:val="1"/>
      <w:marLeft w:val="0"/>
      <w:marRight w:val="0"/>
      <w:marTop w:val="0"/>
      <w:marBottom w:val="0"/>
      <w:divBdr>
        <w:top w:val="none" w:sz="0" w:space="0" w:color="auto"/>
        <w:left w:val="none" w:sz="0" w:space="0" w:color="auto"/>
        <w:bottom w:val="none" w:sz="0" w:space="0" w:color="auto"/>
        <w:right w:val="none" w:sz="0" w:space="0" w:color="auto"/>
      </w:divBdr>
    </w:div>
    <w:div w:id="1144271728">
      <w:bodyDiv w:val="1"/>
      <w:marLeft w:val="0"/>
      <w:marRight w:val="0"/>
      <w:marTop w:val="0"/>
      <w:marBottom w:val="0"/>
      <w:divBdr>
        <w:top w:val="none" w:sz="0" w:space="0" w:color="auto"/>
        <w:left w:val="none" w:sz="0" w:space="0" w:color="auto"/>
        <w:bottom w:val="none" w:sz="0" w:space="0" w:color="auto"/>
        <w:right w:val="none" w:sz="0" w:space="0" w:color="auto"/>
      </w:divBdr>
    </w:div>
    <w:div w:id="1144271812">
      <w:bodyDiv w:val="1"/>
      <w:marLeft w:val="0"/>
      <w:marRight w:val="0"/>
      <w:marTop w:val="0"/>
      <w:marBottom w:val="0"/>
      <w:divBdr>
        <w:top w:val="none" w:sz="0" w:space="0" w:color="auto"/>
        <w:left w:val="none" w:sz="0" w:space="0" w:color="auto"/>
        <w:bottom w:val="none" w:sz="0" w:space="0" w:color="auto"/>
        <w:right w:val="none" w:sz="0" w:space="0" w:color="auto"/>
      </w:divBdr>
    </w:div>
    <w:div w:id="1144274144">
      <w:bodyDiv w:val="1"/>
      <w:marLeft w:val="0"/>
      <w:marRight w:val="0"/>
      <w:marTop w:val="0"/>
      <w:marBottom w:val="0"/>
      <w:divBdr>
        <w:top w:val="none" w:sz="0" w:space="0" w:color="auto"/>
        <w:left w:val="none" w:sz="0" w:space="0" w:color="auto"/>
        <w:bottom w:val="none" w:sz="0" w:space="0" w:color="auto"/>
        <w:right w:val="none" w:sz="0" w:space="0" w:color="auto"/>
      </w:divBdr>
    </w:div>
    <w:div w:id="1144352377">
      <w:bodyDiv w:val="1"/>
      <w:marLeft w:val="0"/>
      <w:marRight w:val="0"/>
      <w:marTop w:val="0"/>
      <w:marBottom w:val="0"/>
      <w:divBdr>
        <w:top w:val="none" w:sz="0" w:space="0" w:color="auto"/>
        <w:left w:val="none" w:sz="0" w:space="0" w:color="auto"/>
        <w:bottom w:val="none" w:sz="0" w:space="0" w:color="auto"/>
        <w:right w:val="none" w:sz="0" w:space="0" w:color="auto"/>
      </w:divBdr>
    </w:div>
    <w:div w:id="1144467307">
      <w:bodyDiv w:val="1"/>
      <w:marLeft w:val="0"/>
      <w:marRight w:val="0"/>
      <w:marTop w:val="0"/>
      <w:marBottom w:val="0"/>
      <w:divBdr>
        <w:top w:val="none" w:sz="0" w:space="0" w:color="auto"/>
        <w:left w:val="none" w:sz="0" w:space="0" w:color="auto"/>
        <w:bottom w:val="none" w:sz="0" w:space="0" w:color="auto"/>
        <w:right w:val="none" w:sz="0" w:space="0" w:color="auto"/>
      </w:divBdr>
    </w:div>
    <w:div w:id="1144539381">
      <w:bodyDiv w:val="1"/>
      <w:marLeft w:val="0"/>
      <w:marRight w:val="0"/>
      <w:marTop w:val="0"/>
      <w:marBottom w:val="0"/>
      <w:divBdr>
        <w:top w:val="none" w:sz="0" w:space="0" w:color="auto"/>
        <w:left w:val="none" w:sz="0" w:space="0" w:color="auto"/>
        <w:bottom w:val="none" w:sz="0" w:space="0" w:color="auto"/>
        <w:right w:val="none" w:sz="0" w:space="0" w:color="auto"/>
      </w:divBdr>
    </w:div>
    <w:div w:id="1144540552">
      <w:bodyDiv w:val="1"/>
      <w:marLeft w:val="0"/>
      <w:marRight w:val="0"/>
      <w:marTop w:val="0"/>
      <w:marBottom w:val="0"/>
      <w:divBdr>
        <w:top w:val="none" w:sz="0" w:space="0" w:color="auto"/>
        <w:left w:val="none" w:sz="0" w:space="0" w:color="auto"/>
        <w:bottom w:val="none" w:sz="0" w:space="0" w:color="auto"/>
        <w:right w:val="none" w:sz="0" w:space="0" w:color="auto"/>
      </w:divBdr>
    </w:div>
    <w:div w:id="1144541864">
      <w:bodyDiv w:val="1"/>
      <w:marLeft w:val="0"/>
      <w:marRight w:val="0"/>
      <w:marTop w:val="0"/>
      <w:marBottom w:val="0"/>
      <w:divBdr>
        <w:top w:val="none" w:sz="0" w:space="0" w:color="auto"/>
        <w:left w:val="none" w:sz="0" w:space="0" w:color="auto"/>
        <w:bottom w:val="none" w:sz="0" w:space="0" w:color="auto"/>
        <w:right w:val="none" w:sz="0" w:space="0" w:color="auto"/>
      </w:divBdr>
    </w:div>
    <w:div w:id="1144590740">
      <w:bodyDiv w:val="1"/>
      <w:marLeft w:val="0"/>
      <w:marRight w:val="0"/>
      <w:marTop w:val="0"/>
      <w:marBottom w:val="0"/>
      <w:divBdr>
        <w:top w:val="none" w:sz="0" w:space="0" w:color="auto"/>
        <w:left w:val="none" w:sz="0" w:space="0" w:color="auto"/>
        <w:bottom w:val="none" w:sz="0" w:space="0" w:color="auto"/>
        <w:right w:val="none" w:sz="0" w:space="0" w:color="auto"/>
      </w:divBdr>
    </w:div>
    <w:div w:id="1144658856">
      <w:bodyDiv w:val="1"/>
      <w:marLeft w:val="0"/>
      <w:marRight w:val="0"/>
      <w:marTop w:val="0"/>
      <w:marBottom w:val="0"/>
      <w:divBdr>
        <w:top w:val="none" w:sz="0" w:space="0" w:color="auto"/>
        <w:left w:val="none" w:sz="0" w:space="0" w:color="auto"/>
        <w:bottom w:val="none" w:sz="0" w:space="0" w:color="auto"/>
        <w:right w:val="none" w:sz="0" w:space="0" w:color="auto"/>
      </w:divBdr>
    </w:div>
    <w:div w:id="1144734572">
      <w:bodyDiv w:val="1"/>
      <w:marLeft w:val="0"/>
      <w:marRight w:val="0"/>
      <w:marTop w:val="0"/>
      <w:marBottom w:val="0"/>
      <w:divBdr>
        <w:top w:val="none" w:sz="0" w:space="0" w:color="auto"/>
        <w:left w:val="none" w:sz="0" w:space="0" w:color="auto"/>
        <w:bottom w:val="none" w:sz="0" w:space="0" w:color="auto"/>
        <w:right w:val="none" w:sz="0" w:space="0" w:color="auto"/>
      </w:divBdr>
    </w:div>
    <w:div w:id="1144855206">
      <w:bodyDiv w:val="1"/>
      <w:marLeft w:val="0"/>
      <w:marRight w:val="0"/>
      <w:marTop w:val="0"/>
      <w:marBottom w:val="0"/>
      <w:divBdr>
        <w:top w:val="none" w:sz="0" w:space="0" w:color="auto"/>
        <w:left w:val="none" w:sz="0" w:space="0" w:color="auto"/>
        <w:bottom w:val="none" w:sz="0" w:space="0" w:color="auto"/>
        <w:right w:val="none" w:sz="0" w:space="0" w:color="auto"/>
      </w:divBdr>
    </w:div>
    <w:div w:id="1145006896">
      <w:bodyDiv w:val="1"/>
      <w:marLeft w:val="0"/>
      <w:marRight w:val="0"/>
      <w:marTop w:val="0"/>
      <w:marBottom w:val="0"/>
      <w:divBdr>
        <w:top w:val="none" w:sz="0" w:space="0" w:color="auto"/>
        <w:left w:val="none" w:sz="0" w:space="0" w:color="auto"/>
        <w:bottom w:val="none" w:sz="0" w:space="0" w:color="auto"/>
        <w:right w:val="none" w:sz="0" w:space="0" w:color="auto"/>
      </w:divBdr>
    </w:div>
    <w:div w:id="1145120373">
      <w:bodyDiv w:val="1"/>
      <w:marLeft w:val="0"/>
      <w:marRight w:val="0"/>
      <w:marTop w:val="0"/>
      <w:marBottom w:val="0"/>
      <w:divBdr>
        <w:top w:val="none" w:sz="0" w:space="0" w:color="auto"/>
        <w:left w:val="none" w:sz="0" w:space="0" w:color="auto"/>
        <w:bottom w:val="none" w:sz="0" w:space="0" w:color="auto"/>
        <w:right w:val="none" w:sz="0" w:space="0" w:color="auto"/>
      </w:divBdr>
    </w:div>
    <w:div w:id="1145127116">
      <w:bodyDiv w:val="1"/>
      <w:marLeft w:val="0"/>
      <w:marRight w:val="0"/>
      <w:marTop w:val="0"/>
      <w:marBottom w:val="0"/>
      <w:divBdr>
        <w:top w:val="none" w:sz="0" w:space="0" w:color="auto"/>
        <w:left w:val="none" w:sz="0" w:space="0" w:color="auto"/>
        <w:bottom w:val="none" w:sz="0" w:space="0" w:color="auto"/>
        <w:right w:val="none" w:sz="0" w:space="0" w:color="auto"/>
      </w:divBdr>
    </w:div>
    <w:div w:id="1145198694">
      <w:bodyDiv w:val="1"/>
      <w:marLeft w:val="0"/>
      <w:marRight w:val="0"/>
      <w:marTop w:val="0"/>
      <w:marBottom w:val="0"/>
      <w:divBdr>
        <w:top w:val="none" w:sz="0" w:space="0" w:color="auto"/>
        <w:left w:val="none" w:sz="0" w:space="0" w:color="auto"/>
        <w:bottom w:val="none" w:sz="0" w:space="0" w:color="auto"/>
        <w:right w:val="none" w:sz="0" w:space="0" w:color="auto"/>
      </w:divBdr>
    </w:div>
    <w:div w:id="1145200616">
      <w:bodyDiv w:val="1"/>
      <w:marLeft w:val="0"/>
      <w:marRight w:val="0"/>
      <w:marTop w:val="0"/>
      <w:marBottom w:val="0"/>
      <w:divBdr>
        <w:top w:val="none" w:sz="0" w:space="0" w:color="auto"/>
        <w:left w:val="none" w:sz="0" w:space="0" w:color="auto"/>
        <w:bottom w:val="none" w:sz="0" w:space="0" w:color="auto"/>
        <w:right w:val="none" w:sz="0" w:space="0" w:color="auto"/>
      </w:divBdr>
    </w:div>
    <w:div w:id="1145469475">
      <w:bodyDiv w:val="1"/>
      <w:marLeft w:val="0"/>
      <w:marRight w:val="0"/>
      <w:marTop w:val="0"/>
      <w:marBottom w:val="0"/>
      <w:divBdr>
        <w:top w:val="none" w:sz="0" w:space="0" w:color="auto"/>
        <w:left w:val="none" w:sz="0" w:space="0" w:color="auto"/>
        <w:bottom w:val="none" w:sz="0" w:space="0" w:color="auto"/>
        <w:right w:val="none" w:sz="0" w:space="0" w:color="auto"/>
      </w:divBdr>
    </w:div>
    <w:div w:id="1145470485">
      <w:bodyDiv w:val="1"/>
      <w:marLeft w:val="0"/>
      <w:marRight w:val="0"/>
      <w:marTop w:val="0"/>
      <w:marBottom w:val="0"/>
      <w:divBdr>
        <w:top w:val="none" w:sz="0" w:space="0" w:color="auto"/>
        <w:left w:val="none" w:sz="0" w:space="0" w:color="auto"/>
        <w:bottom w:val="none" w:sz="0" w:space="0" w:color="auto"/>
        <w:right w:val="none" w:sz="0" w:space="0" w:color="auto"/>
      </w:divBdr>
    </w:div>
    <w:div w:id="1145506496">
      <w:bodyDiv w:val="1"/>
      <w:marLeft w:val="0"/>
      <w:marRight w:val="0"/>
      <w:marTop w:val="0"/>
      <w:marBottom w:val="0"/>
      <w:divBdr>
        <w:top w:val="none" w:sz="0" w:space="0" w:color="auto"/>
        <w:left w:val="none" w:sz="0" w:space="0" w:color="auto"/>
        <w:bottom w:val="none" w:sz="0" w:space="0" w:color="auto"/>
        <w:right w:val="none" w:sz="0" w:space="0" w:color="auto"/>
      </w:divBdr>
    </w:div>
    <w:div w:id="1145581848">
      <w:bodyDiv w:val="1"/>
      <w:marLeft w:val="0"/>
      <w:marRight w:val="0"/>
      <w:marTop w:val="0"/>
      <w:marBottom w:val="0"/>
      <w:divBdr>
        <w:top w:val="none" w:sz="0" w:space="0" w:color="auto"/>
        <w:left w:val="none" w:sz="0" w:space="0" w:color="auto"/>
        <w:bottom w:val="none" w:sz="0" w:space="0" w:color="auto"/>
        <w:right w:val="none" w:sz="0" w:space="0" w:color="auto"/>
      </w:divBdr>
    </w:div>
    <w:div w:id="1145659660">
      <w:bodyDiv w:val="1"/>
      <w:marLeft w:val="0"/>
      <w:marRight w:val="0"/>
      <w:marTop w:val="0"/>
      <w:marBottom w:val="0"/>
      <w:divBdr>
        <w:top w:val="none" w:sz="0" w:space="0" w:color="auto"/>
        <w:left w:val="none" w:sz="0" w:space="0" w:color="auto"/>
        <w:bottom w:val="none" w:sz="0" w:space="0" w:color="auto"/>
        <w:right w:val="none" w:sz="0" w:space="0" w:color="auto"/>
      </w:divBdr>
    </w:div>
    <w:div w:id="1145775554">
      <w:bodyDiv w:val="1"/>
      <w:marLeft w:val="0"/>
      <w:marRight w:val="0"/>
      <w:marTop w:val="0"/>
      <w:marBottom w:val="0"/>
      <w:divBdr>
        <w:top w:val="none" w:sz="0" w:space="0" w:color="auto"/>
        <w:left w:val="none" w:sz="0" w:space="0" w:color="auto"/>
        <w:bottom w:val="none" w:sz="0" w:space="0" w:color="auto"/>
        <w:right w:val="none" w:sz="0" w:space="0" w:color="auto"/>
      </w:divBdr>
    </w:div>
    <w:div w:id="1145897011">
      <w:bodyDiv w:val="1"/>
      <w:marLeft w:val="0"/>
      <w:marRight w:val="0"/>
      <w:marTop w:val="0"/>
      <w:marBottom w:val="0"/>
      <w:divBdr>
        <w:top w:val="none" w:sz="0" w:space="0" w:color="auto"/>
        <w:left w:val="none" w:sz="0" w:space="0" w:color="auto"/>
        <w:bottom w:val="none" w:sz="0" w:space="0" w:color="auto"/>
        <w:right w:val="none" w:sz="0" w:space="0" w:color="auto"/>
      </w:divBdr>
    </w:div>
    <w:div w:id="1145968085">
      <w:bodyDiv w:val="1"/>
      <w:marLeft w:val="0"/>
      <w:marRight w:val="0"/>
      <w:marTop w:val="0"/>
      <w:marBottom w:val="0"/>
      <w:divBdr>
        <w:top w:val="none" w:sz="0" w:space="0" w:color="auto"/>
        <w:left w:val="none" w:sz="0" w:space="0" w:color="auto"/>
        <w:bottom w:val="none" w:sz="0" w:space="0" w:color="auto"/>
        <w:right w:val="none" w:sz="0" w:space="0" w:color="auto"/>
      </w:divBdr>
    </w:div>
    <w:div w:id="1145970620">
      <w:bodyDiv w:val="1"/>
      <w:marLeft w:val="0"/>
      <w:marRight w:val="0"/>
      <w:marTop w:val="0"/>
      <w:marBottom w:val="0"/>
      <w:divBdr>
        <w:top w:val="none" w:sz="0" w:space="0" w:color="auto"/>
        <w:left w:val="none" w:sz="0" w:space="0" w:color="auto"/>
        <w:bottom w:val="none" w:sz="0" w:space="0" w:color="auto"/>
        <w:right w:val="none" w:sz="0" w:space="0" w:color="auto"/>
      </w:divBdr>
    </w:div>
    <w:div w:id="1145976992">
      <w:bodyDiv w:val="1"/>
      <w:marLeft w:val="0"/>
      <w:marRight w:val="0"/>
      <w:marTop w:val="0"/>
      <w:marBottom w:val="0"/>
      <w:divBdr>
        <w:top w:val="none" w:sz="0" w:space="0" w:color="auto"/>
        <w:left w:val="none" w:sz="0" w:space="0" w:color="auto"/>
        <w:bottom w:val="none" w:sz="0" w:space="0" w:color="auto"/>
        <w:right w:val="none" w:sz="0" w:space="0" w:color="auto"/>
      </w:divBdr>
    </w:div>
    <w:div w:id="1146094527">
      <w:bodyDiv w:val="1"/>
      <w:marLeft w:val="0"/>
      <w:marRight w:val="0"/>
      <w:marTop w:val="0"/>
      <w:marBottom w:val="0"/>
      <w:divBdr>
        <w:top w:val="none" w:sz="0" w:space="0" w:color="auto"/>
        <w:left w:val="none" w:sz="0" w:space="0" w:color="auto"/>
        <w:bottom w:val="none" w:sz="0" w:space="0" w:color="auto"/>
        <w:right w:val="none" w:sz="0" w:space="0" w:color="auto"/>
      </w:divBdr>
    </w:div>
    <w:div w:id="1146121701">
      <w:bodyDiv w:val="1"/>
      <w:marLeft w:val="0"/>
      <w:marRight w:val="0"/>
      <w:marTop w:val="0"/>
      <w:marBottom w:val="0"/>
      <w:divBdr>
        <w:top w:val="none" w:sz="0" w:space="0" w:color="auto"/>
        <w:left w:val="none" w:sz="0" w:space="0" w:color="auto"/>
        <w:bottom w:val="none" w:sz="0" w:space="0" w:color="auto"/>
        <w:right w:val="none" w:sz="0" w:space="0" w:color="auto"/>
      </w:divBdr>
    </w:div>
    <w:div w:id="1146628494">
      <w:bodyDiv w:val="1"/>
      <w:marLeft w:val="0"/>
      <w:marRight w:val="0"/>
      <w:marTop w:val="0"/>
      <w:marBottom w:val="0"/>
      <w:divBdr>
        <w:top w:val="none" w:sz="0" w:space="0" w:color="auto"/>
        <w:left w:val="none" w:sz="0" w:space="0" w:color="auto"/>
        <w:bottom w:val="none" w:sz="0" w:space="0" w:color="auto"/>
        <w:right w:val="none" w:sz="0" w:space="0" w:color="auto"/>
      </w:divBdr>
    </w:div>
    <w:div w:id="1146629119">
      <w:bodyDiv w:val="1"/>
      <w:marLeft w:val="0"/>
      <w:marRight w:val="0"/>
      <w:marTop w:val="0"/>
      <w:marBottom w:val="0"/>
      <w:divBdr>
        <w:top w:val="none" w:sz="0" w:space="0" w:color="auto"/>
        <w:left w:val="none" w:sz="0" w:space="0" w:color="auto"/>
        <w:bottom w:val="none" w:sz="0" w:space="0" w:color="auto"/>
        <w:right w:val="none" w:sz="0" w:space="0" w:color="auto"/>
      </w:divBdr>
    </w:div>
    <w:div w:id="1146706280">
      <w:bodyDiv w:val="1"/>
      <w:marLeft w:val="0"/>
      <w:marRight w:val="0"/>
      <w:marTop w:val="0"/>
      <w:marBottom w:val="0"/>
      <w:divBdr>
        <w:top w:val="none" w:sz="0" w:space="0" w:color="auto"/>
        <w:left w:val="none" w:sz="0" w:space="0" w:color="auto"/>
        <w:bottom w:val="none" w:sz="0" w:space="0" w:color="auto"/>
        <w:right w:val="none" w:sz="0" w:space="0" w:color="auto"/>
      </w:divBdr>
    </w:div>
    <w:div w:id="1146707713">
      <w:bodyDiv w:val="1"/>
      <w:marLeft w:val="0"/>
      <w:marRight w:val="0"/>
      <w:marTop w:val="0"/>
      <w:marBottom w:val="0"/>
      <w:divBdr>
        <w:top w:val="none" w:sz="0" w:space="0" w:color="auto"/>
        <w:left w:val="none" w:sz="0" w:space="0" w:color="auto"/>
        <w:bottom w:val="none" w:sz="0" w:space="0" w:color="auto"/>
        <w:right w:val="none" w:sz="0" w:space="0" w:color="auto"/>
      </w:divBdr>
    </w:div>
    <w:div w:id="1146708005">
      <w:bodyDiv w:val="1"/>
      <w:marLeft w:val="0"/>
      <w:marRight w:val="0"/>
      <w:marTop w:val="0"/>
      <w:marBottom w:val="0"/>
      <w:divBdr>
        <w:top w:val="none" w:sz="0" w:space="0" w:color="auto"/>
        <w:left w:val="none" w:sz="0" w:space="0" w:color="auto"/>
        <w:bottom w:val="none" w:sz="0" w:space="0" w:color="auto"/>
        <w:right w:val="none" w:sz="0" w:space="0" w:color="auto"/>
      </w:divBdr>
    </w:div>
    <w:div w:id="1146896252">
      <w:bodyDiv w:val="1"/>
      <w:marLeft w:val="0"/>
      <w:marRight w:val="0"/>
      <w:marTop w:val="0"/>
      <w:marBottom w:val="0"/>
      <w:divBdr>
        <w:top w:val="none" w:sz="0" w:space="0" w:color="auto"/>
        <w:left w:val="none" w:sz="0" w:space="0" w:color="auto"/>
        <w:bottom w:val="none" w:sz="0" w:space="0" w:color="auto"/>
        <w:right w:val="none" w:sz="0" w:space="0" w:color="auto"/>
      </w:divBdr>
    </w:div>
    <w:div w:id="1146968115">
      <w:bodyDiv w:val="1"/>
      <w:marLeft w:val="0"/>
      <w:marRight w:val="0"/>
      <w:marTop w:val="0"/>
      <w:marBottom w:val="0"/>
      <w:divBdr>
        <w:top w:val="none" w:sz="0" w:space="0" w:color="auto"/>
        <w:left w:val="none" w:sz="0" w:space="0" w:color="auto"/>
        <w:bottom w:val="none" w:sz="0" w:space="0" w:color="auto"/>
        <w:right w:val="none" w:sz="0" w:space="0" w:color="auto"/>
      </w:divBdr>
    </w:div>
    <w:div w:id="1147088605">
      <w:bodyDiv w:val="1"/>
      <w:marLeft w:val="0"/>
      <w:marRight w:val="0"/>
      <w:marTop w:val="0"/>
      <w:marBottom w:val="0"/>
      <w:divBdr>
        <w:top w:val="none" w:sz="0" w:space="0" w:color="auto"/>
        <w:left w:val="none" w:sz="0" w:space="0" w:color="auto"/>
        <w:bottom w:val="none" w:sz="0" w:space="0" w:color="auto"/>
        <w:right w:val="none" w:sz="0" w:space="0" w:color="auto"/>
      </w:divBdr>
    </w:div>
    <w:div w:id="1147093393">
      <w:bodyDiv w:val="1"/>
      <w:marLeft w:val="0"/>
      <w:marRight w:val="0"/>
      <w:marTop w:val="0"/>
      <w:marBottom w:val="0"/>
      <w:divBdr>
        <w:top w:val="none" w:sz="0" w:space="0" w:color="auto"/>
        <w:left w:val="none" w:sz="0" w:space="0" w:color="auto"/>
        <w:bottom w:val="none" w:sz="0" w:space="0" w:color="auto"/>
        <w:right w:val="none" w:sz="0" w:space="0" w:color="auto"/>
      </w:divBdr>
    </w:div>
    <w:div w:id="1147360300">
      <w:bodyDiv w:val="1"/>
      <w:marLeft w:val="0"/>
      <w:marRight w:val="0"/>
      <w:marTop w:val="0"/>
      <w:marBottom w:val="0"/>
      <w:divBdr>
        <w:top w:val="none" w:sz="0" w:space="0" w:color="auto"/>
        <w:left w:val="none" w:sz="0" w:space="0" w:color="auto"/>
        <w:bottom w:val="none" w:sz="0" w:space="0" w:color="auto"/>
        <w:right w:val="none" w:sz="0" w:space="0" w:color="auto"/>
      </w:divBdr>
    </w:div>
    <w:div w:id="1147361363">
      <w:bodyDiv w:val="1"/>
      <w:marLeft w:val="0"/>
      <w:marRight w:val="0"/>
      <w:marTop w:val="0"/>
      <w:marBottom w:val="0"/>
      <w:divBdr>
        <w:top w:val="none" w:sz="0" w:space="0" w:color="auto"/>
        <w:left w:val="none" w:sz="0" w:space="0" w:color="auto"/>
        <w:bottom w:val="none" w:sz="0" w:space="0" w:color="auto"/>
        <w:right w:val="none" w:sz="0" w:space="0" w:color="auto"/>
      </w:divBdr>
    </w:div>
    <w:div w:id="1147477909">
      <w:bodyDiv w:val="1"/>
      <w:marLeft w:val="0"/>
      <w:marRight w:val="0"/>
      <w:marTop w:val="0"/>
      <w:marBottom w:val="0"/>
      <w:divBdr>
        <w:top w:val="none" w:sz="0" w:space="0" w:color="auto"/>
        <w:left w:val="none" w:sz="0" w:space="0" w:color="auto"/>
        <w:bottom w:val="none" w:sz="0" w:space="0" w:color="auto"/>
        <w:right w:val="none" w:sz="0" w:space="0" w:color="auto"/>
      </w:divBdr>
    </w:div>
    <w:div w:id="1147480806">
      <w:bodyDiv w:val="1"/>
      <w:marLeft w:val="0"/>
      <w:marRight w:val="0"/>
      <w:marTop w:val="0"/>
      <w:marBottom w:val="0"/>
      <w:divBdr>
        <w:top w:val="none" w:sz="0" w:space="0" w:color="auto"/>
        <w:left w:val="none" w:sz="0" w:space="0" w:color="auto"/>
        <w:bottom w:val="none" w:sz="0" w:space="0" w:color="auto"/>
        <w:right w:val="none" w:sz="0" w:space="0" w:color="auto"/>
      </w:divBdr>
    </w:div>
    <w:div w:id="1147669314">
      <w:bodyDiv w:val="1"/>
      <w:marLeft w:val="0"/>
      <w:marRight w:val="0"/>
      <w:marTop w:val="0"/>
      <w:marBottom w:val="0"/>
      <w:divBdr>
        <w:top w:val="none" w:sz="0" w:space="0" w:color="auto"/>
        <w:left w:val="none" w:sz="0" w:space="0" w:color="auto"/>
        <w:bottom w:val="none" w:sz="0" w:space="0" w:color="auto"/>
        <w:right w:val="none" w:sz="0" w:space="0" w:color="auto"/>
      </w:divBdr>
    </w:div>
    <w:div w:id="1147744095">
      <w:bodyDiv w:val="1"/>
      <w:marLeft w:val="0"/>
      <w:marRight w:val="0"/>
      <w:marTop w:val="0"/>
      <w:marBottom w:val="0"/>
      <w:divBdr>
        <w:top w:val="none" w:sz="0" w:space="0" w:color="auto"/>
        <w:left w:val="none" w:sz="0" w:space="0" w:color="auto"/>
        <w:bottom w:val="none" w:sz="0" w:space="0" w:color="auto"/>
        <w:right w:val="none" w:sz="0" w:space="0" w:color="auto"/>
      </w:divBdr>
    </w:div>
    <w:div w:id="1147747698">
      <w:bodyDiv w:val="1"/>
      <w:marLeft w:val="0"/>
      <w:marRight w:val="0"/>
      <w:marTop w:val="0"/>
      <w:marBottom w:val="0"/>
      <w:divBdr>
        <w:top w:val="none" w:sz="0" w:space="0" w:color="auto"/>
        <w:left w:val="none" w:sz="0" w:space="0" w:color="auto"/>
        <w:bottom w:val="none" w:sz="0" w:space="0" w:color="auto"/>
        <w:right w:val="none" w:sz="0" w:space="0" w:color="auto"/>
      </w:divBdr>
    </w:div>
    <w:div w:id="1147818522">
      <w:bodyDiv w:val="1"/>
      <w:marLeft w:val="0"/>
      <w:marRight w:val="0"/>
      <w:marTop w:val="0"/>
      <w:marBottom w:val="0"/>
      <w:divBdr>
        <w:top w:val="none" w:sz="0" w:space="0" w:color="auto"/>
        <w:left w:val="none" w:sz="0" w:space="0" w:color="auto"/>
        <w:bottom w:val="none" w:sz="0" w:space="0" w:color="auto"/>
        <w:right w:val="none" w:sz="0" w:space="0" w:color="auto"/>
      </w:divBdr>
    </w:div>
    <w:div w:id="1147865837">
      <w:bodyDiv w:val="1"/>
      <w:marLeft w:val="0"/>
      <w:marRight w:val="0"/>
      <w:marTop w:val="0"/>
      <w:marBottom w:val="0"/>
      <w:divBdr>
        <w:top w:val="none" w:sz="0" w:space="0" w:color="auto"/>
        <w:left w:val="none" w:sz="0" w:space="0" w:color="auto"/>
        <w:bottom w:val="none" w:sz="0" w:space="0" w:color="auto"/>
        <w:right w:val="none" w:sz="0" w:space="0" w:color="auto"/>
      </w:divBdr>
    </w:div>
    <w:div w:id="1147890825">
      <w:bodyDiv w:val="1"/>
      <w:marLeft w:val="0"/>
      <w:marRight w:val="0"/>
      <w:marTop w:val="0"/>
      <w:marBottom w:val="0"/>
      <w:divBdr>
        <w:top w:val="none" w:sz="0" w:space="0" w:color="auto"/>
        <w:left w:val="none" w:sz="0" w:space="0" w:color="auto"/>
        <w:bottom w:val="none" w:sz="0" w:space="0" w:color="auto"/>
        <w:right w:val="none" w:sz="0" w:space="0" w:color="auto"/>
      </w:divBdr>
    </w:div>
    <w:div w:id="1148009916">
      <w:bodyDiv w:val="1"/>
      <w:marLeft w:val="0"/>
      <w:marRight w:val="0"/>
      <w:marTop w:val="0"/>
      <w:marBottom w:val="0"/>
      <w:divBdr>
        <w:top w:val="none" w:sz="0" w:space="0" w:color="auto"/>
        <w:left w:val="none" w:sz="0" w:space="0" w:color="auto"/>
        <w:bottom w:val="none" w:sz="0" w:space="0" w:color="auto"/>
        <w:right w:val="none" w:sz="0" w:space="0" w:color="auto"/>
      </w:divBdr>
    </w:div>
    <w:div w:id="1148014501">
      <w:bodyDiv w:val="1"/>
      <w:marLeft w:val="0"/>
      <w:marRight w:val="0"/>
      <w:marTop w:val="0"/>
      <w:marBottom w:val="0"/>
      <w:divBdr>
        <w:top w:val="none" w:sz="0" w:space="0" w:color="auto"/>
        <w:left w:val="none" w:sz="0" w:space="0" w:color="auto"/>
        <w:bottom w:val="none" w:sz="0" w:space="0" w:color="auto"/>
        <w:right w:val="none" w:sz="0" w:space="0" w:color="auto"/>
      </w:divBdr>
    </w:div>
    <w:div w:id="1148060537">
      <w:bodyDiv w:val="1"/>
      <w:marLeft w:val="0"/>
      <w:marRight w:val="0"/>
      <w:marTop w:val="0"/>
      <w:marBottom w:val="0"/>
      <w:divBdr>
        <w:top w:val="none" w:sz="0" w:space="0" w:color="auto"/>
        <w:left w:val="none" w:sz="0" w:space="0" w:color="auto"/>
        <w:bottom w:val="none" w:sz="0" w:space="0" w:color="auto"/>
        <w:right w:val="none" w:sz="0" w:space="0" w:color="auto"/>
      </w:divBdr>
    </w:div>
    <w:div w:id="1148204446">
      <w:bodyDiv w:val="1"/>
      <w:marLeft w:val="0"/>
      <w:marRight w:val="0"/>
      <w:marTop w:val="0"/>
      <w:marBottom w:val="0"/>
      <w:divBdr>
        <w:top w:val="none" w:sz="0" w:space="0" w:color="auto"/>
        <w:left w:val="none" w:sz="0" w:space="0" w:color="auto"/>
        <w:bottom w:val="none" w:sz="0" w:space="0" w:color="auto"/>
        <w:right w:val="none" w:sz="0" w:space="0" w:color="auto"/>
      </w:divBdr>
    </w:div>
    <w:div w:id="1148210756">
      <w:bodyDiv w:val="1"/>
      <w:marLeft w:val="0"/>
      <w:marRight w:val="0"/>
      <w:marTop w:val="0"/>
      <w:marBottom w:val="0"/>
      <w:divBdr>
        <w:top w:val="none" w:sz="0" w:space="0" w:color="auto"/>
        <w:left w:val="none" w:sz="0" w:space="0" w:color="auto"/>
        <w:bottom w:val="none" w:sz="0" w:space="0" w:color="auto"/>
        <w:right w:val="none" w:sz="0" w:space="0" w:color="auto"/>
      </w:divBdr>
    </w:div>
    <w:div w:id="1148280826">
      <w:bodyDiv w:val="1"/>
      <w:marLeft w:val="0"/>
      <w:marRight w:val="0"/>
      <w:marTop w:val="0"/>
      <w:marBottom w:val="0"/>
      <w:divBdr>
        <w:top w:val="none" w:sz="0" w:space="0" w:color="auto"/>
        <w:left w:val="none" w:sz="0" w:space="0" w:color="auto"/>
        <w:bottom w:val="none" w:sz="0" w:space="0" w:color="auto"/>
        <w:right w:val="none" w:sz="0" w:space="0" w:color="auto"/>
      </w:divBdr>
    </w:div>
    <w:div w:id="1148327461">
      <w:bodyDiv w:val="1"/>
      <w:marLeft w:val="0"/>
      <w:marRight w:val="0"/>
      <w:marTop w:val="0"/>
      <w:marBottom w:val="0"/>
      <w:divBdr>
        <w:top w:val="none" w:sz="0" w:space="0" w:color="auto"/>
        <w:left w:val="none" w:sz="0" w:space="0" w:color="auto"/>
        <w:bottom w:val="none" w:sz="0" w:space="0" w:color="auto"/>
        <w:right w:val="none" w:sz="0" w:space="0" w:color="auto"/>
      </w:divBdr>
    </w:div>
    <w:div w:id="1148397925">
      <w:bodyDiv w:val="1"/>
      <w:marLeft w:val="0"/>
      <w:marRight w:val="0"/>
      <w:marTop w:val="0"/>
      <w:marBottom w:val="0"/>
      <w:divBdr>
        <w:top w:val="none" w:sz="0" w:space="0" w:color="auto"/>
        <w:left w:val="none" w:sz="0" w:space="0" w:color="auto"/>
        <w:bottom w:val="none" w:sz="0" w:space="0" w:color="auto"/>
        <w:right w:val="none" w:sz="0" w:space="0" w:color="auto"/>
      </w:divBdr>
    </w:div>
    <w:div w:id="1148403328">
      <w:bodyDiv w:val="1"/>
      <w:marLeft w:val="0"/>
      <w:marRight w:val="0"/>
      <w:marTop w:val="0"/>
      <w:marBottom w:val="0"/>
      <w:divBdr>
        <w:top w:val="none" w:sz="0" w:space="0" w:color="auto"/>
        <w:left w:val="none" w:sz="0" w:space="0" w:color="auto"/>
        <w:bottom w:val="none" w:sz="0" w:space="0" w:color="auto"/>
        <w:right w:val="none" w:sz="0" w:space="0" w:color="auto"/>
      </w:divBdr>
    </w:div>
    <w:div w:id="1148471730">
      <w:bodyDiv w:val="1"/>
      <w:marLeft w:val="0"/>
      <w:marRight w:val="0"/>
      <w:marTop w:val="0"/>
      <w:marBottom w:val="0"/>
      <w:divBdr>
        <w:top w:val="none" w:sz="0" w:space="0" w:color="auto"/>
        <w:left w:val="none" w:sz="0" w:space="0" w:color="auto"/>
        <w:bottom w:val="none" w:sz="0" w:space="0" w:color="auto"/>
        <w:right w:val="none" w:sz="0" w:space="0" w:color="auto"/>
      </w:divBdr>
    </w:div>
    <w:div w:id="1148472275">
      <w:bodyDiv w:val="1"/>
      <w:marLeft w:val="0"/>
      <w:marRight w:val="0"/>
      <w:marTop w:val="0"/>
      <w:marBottom w:val="0"/>
      <w:divBdr>
        <w:top w:val="none" w:sz="0" w:space="0" w:color="auto"/>
        <w:left w:val="none" w:sz="0" w:space="0" w:color="auto"/>
        <w:bottom w:val="none" w:sz="0" w:space="0" w:color="auto"/>
        <w:right w:val="none" w:sz="0" w:space="0" w:color="auto"/>
      </w:divBdr>
    </w:div>
    <w:div w:id="1148473324">
      <w:bodyDiv w:val="1"/>
      <w:marLeft w:val="0"/>
      <w:marRight w:val="0"/>
      <w:marTop w:val="0"/>
      <w:marBottom w:val="0"/>
      <w:divBdr>
        <w:top w:val="none" w:sz="0" w:space="0" w:color="auto"/>
        <w:left w:val="none" w:sz="0" w:space="0" w:color="auto"/>
        <w:bottom w:val="none" w:sz="0" w:space="0" w:color="auto"/>
        <w:right w:val="none" w:sz="0" w:space="0" w:color="auto"/>
      </w:divBdr>
    </w:div>
    <w:div w:id="1148475792">
      <w:bodyDiv w:val="1"/>
      <w:marLeft w:val="0"/>
      <w:marRight w:val="0"/>
      <w:marTop w:val="0"/>
      <w:marBottom w:val="0"/>
      <w:divBdr>
        <w:top w:val="none" w:sz="0" w:space="0" w:color="auto"/>
        <w:left w:val="none" w:sz="0" w:space="0" w:color="auto"/>
        <w:bottom w:val="none" w:sz="0" w:space="0" w:color="auto"/>
        <w:right w:val="none" w:sz="0" w:space="0" w:color="auto"/>
      </w:divBdr>
    </w:div>
    <w:div w:id="1148547375">
      <w:bodyDiv w:val="1"/>
      <w:marLeft w:val="0"/>
      <w:marRight w:val="0"/>
      <w:marTop w:val="0"/>
      <w:marBottom w:val="0"/>
      <w:divBdr>
        <w:top w:val="none" w:sz="0" w:space="0" w:color="auto"/>
        <w:left w:val="none" w:sz="0" w:space="0" w:color="auto"/>
        <w:bottom w:val="none" w:sz="0" w:space="0" w:color="auto"/>
        <w:right w:val="none" w:sz="0" w:space="0" w:color="auto"/>
      </w:divBdr>
    </w:div>
    <w:div w:id="1148668316">
      <w:bodyDiv w:val="1"/>
      <w:marLeft w:val="0"/>
      <w:marRight w:val="0"/>
      <w:marTop w:val="0"/>
      <w:marBottom w:val="0"/>
      <w:divBdr>
        <w:top w:val="none" w:sz="0" w:space="0" w:color="auto"/>
        <w:left w:val="none" w:sz="0" w:space="0" w:color="auto"/>
        <w:bottom w:val="none" w:sz="0" w:space="0" w:color="auto"/>
        <w:right w:val="none" w:sz="0" w:space="0" w:color="auto"/>
      </w:divBdr>
    </w:div>
    <w:div w:id="1148673754">
      <w:bodyDiv w:val="1"/>
      <w:marLeft w:val="0"/>
      <w:marRight w:val="0"/>
      <w:marTop w:val="0"/>
      <w:marBottom w:val="0"/>
      <w:divBdr>
        <w:top w:val="none" w:sz="0" w:space="0" w:color="auto"/>
        <w:left w:val="none" w:sz="0" w:space="0" w:color="auto"/>
        <w:bottom w:val="none" w:sz="0" w:space="0" w:color="auto"/>
        <w:right w:val="none" w:sz="0" w:space="0" w:color="auto"/>
      </w:divBdr>
    </w:div>
    <w:div w:id="1148741906">
      <w:bodyDiv w:val="1"/>
      <w:marLeft w:val="0"/>
      <w:marRight w:val="0"/>
      <w:marTop w:val="0"/>
      <w:marBottom w:val="0"/>
      <w:divBdr>
        <w:top w:val="none" w:sz="0" w:space="0" w:color="auto"/>
        <w:left w:val="none" w:sz="0" w:space="0" w:color="auto"/>
        <w:bottom w:val="none" w:sz="0" w:space="0" w:color="auto"/>
        <w:right w:val="none" w:sz="0" w:space="0" w:color="auto"/>
      </w:divBdr>
    </w:div>
    <w:div w:id="1148784974">
      <w:bodyDiv w:val="1"/>
      <w:marLeft w:val="0"/>
      <w:marRight w:val="0"/>
      <w:marTop w:val="0"/>
      <w:marBottom w:val="0"/>
      <w:divBdr>
        <w:top w:val="none" w:sz="0" w:space="0" w:color="auto"/>
        <w:left w:val="none" w:sz="0" w:space="0" w:color="auto"/>
        <w:bottom w:val="none" w:sz="0" w:space="0" w:color="auto"/>
        <w:right w:val="none" w:sz="0" w:space="0" w:color="auto"/>
      </w:divBdr>
    </w:div>
    <w:div w:id="1148785092">
      <w:bodyDiv w:val="1"/>
      <w:marLeft w:val="0"/>
      <w:marRight w:val="0"/>
      <w:marTop w:val="0"/>
      <w:marBottom w:val="0"/>
      <w:divBdr>
        <w:top w:val="none" w:sz="0" w:space="0" w:color="auto"/>
        <w:left w:val="none" w:sz="0" w:space="0" w:color="auto"/>
        <w:bottom w:val="none" w:sz="0" w:space="0" w:color="auto"/>
        <w:right w:val="none" w:sz="0" w:space="0" w:color="auto"/>
      </w:divBdr>
    </w:div>
    <w:div w:id="1148786213">
      <w:bodyDiv w:val="1"/>
      <w:marLeft w:val="0"/>
      <w:marRight w:val="0"/>
      <w:marTop w:val="0"/>
      <w:marBottom w:val="0"/>
      <w:divBdr>
        <w:top w:val="none" w:sz="0" w:space="0" w:color="auto"/>
        <w:left w:val="none" w:sz="0" w:space="0" w:color="auto"/>
        <w:bottom w:val="none" w:sz="0" w:space="0" w:color="auto"/>
        <w:right w:val="none" w:sz="0" w:space="0" w:color="auto"/>
      </w:divBdr>
    </w:div>
    <w:div w:id="1148861184">
      <w:bodyDiv w:val="1"/>
      <w:marLeft w:val="0"/>
      <w:marRight w:val="0"/>
      <w:marTop w:val="0"/>
      <w:marBottom w:val="0"/>
      <w:divBdr>
        <w:top w:val="none" w:sz="0" w:space="0" w:color="auto"/>
        <w:left w:val="none" w:sz="0" w:space="0" w:color="auto"/>
        <w:bottom w:val="none" w:sz="0" w:space="0" w:color="auto"/>
        <w:right w:val="none" w:sz="0" w:space="0" w:color="auto"/>
      </w:divBdr>
    </w:div>
    <w:div w:id="1148940662">
      <w:bodyDiv w:val="1"/>
      <w:marLeft w:val="0"/>
      <w:marRight w:val="0"/>
      <w:marTop w:val="0"/>
      <w:marBottom w:val="0"/>
      <w:divBdr>
        <w:top w:val="none" w:sz="0" w:space="0" w:color="auto"/>
        <w:left w:val="none" w:sz="0" w:space="0" w:color="auto"/>
        <w:bottom w:val="none" w:sz="0" w:space="0" w:color="auto"/>
        <w:right w:val="none" w:sz="0" w:space="0" w:color="auto"/>
      </w:divBdr>
    </w:div>
    <w:div w:id="1148942389">
      <w:bodyDiv w:val="1"/>
      <w:marLeft w:val="0"/>
      <w:marRight w:val="0"/>
      <w:marTop w:val="0"/>
      <w:marBottom w:val="0"/>
      <w:divBdr>
        <w:top w:val="none" w:sz="0" w:space="0" w:color="auto"/>
        <w:left w:val="none" w:sz="0" w:space="0" w:color="auto"/>
        <w:bottom w:val="none" w:sz="0" w:space="0" w:color="auto"/>
        <w:right w:val="none" w:sz="0" w:space="0" w:color="auto"/>
      </w:divBdr>
    </w:div>
    <w:div w:id="1148981846">
      <w:bodyDiv w:val="1"/>
      <w:marLeft w:val="0"/>
      <w:marRight w:val="0"/>
      <w:marTop w:val="0"/>
      <w:marBottom w:val="0"/>
      <w:divBdr>
        <w:top w:val="none" w:sz="0" w:space="0" w:color="auto"/>
        <w:left w:val="none" w:sz="0" w:space="0" w:color="auto"/>
        <w:bottom w:val="none" w:sz="0" w:space="0" w:color="auto"/>
        <w:right w:val="none" w:sz="0" w:space="0" w:color="auto"/>
      </w:divBdr>
    </w:div>
    <w:div w:id="1149059005">
      <w:bodyDiv w:val="1"/>
      <w:marLeft w:val="0"/>
      <w:marRight w:val="0"/>
      <w:marTop w:val="0"/>
      <w:marBottom w:val="0"/>
      <w:divBdr>
        <w:top w:val="none" w:sz="0" w:space="0" w:color="auto"/>
        <w:left w:val="none" w:sz="0" w:space="0" w:color="auto"/>
        <w:bottom w:val="none" w:sz="0" w:space="0" w:color="auto"/>
        <w:right w:val="none" w:sz="0" w:space="0" w:color="auto"/>
      </w:divBdr>
    </w:div>
    <w:div w:id="1149128637">
      <w:bodyDiv w:val="1"/>
      <w:marLeft w:val="0"/>
      <w:marRight w:val="0"/>
      <w:marTop w:val="0"/>
      <w:marBottom w:val="0"/>
      <w:divBdr>
        <w:top w:val="none" w:sz="0" w:space="0" w:color="auto"/>
        <w:left w:val="none" w:sz="0" w:space="0" w:color="auto"/>
        <w:bottom w:val="none" w:sz="0" w:space="0" w:color="auto"/>
        <w:right w:val="none" w:sz="0" w:space="0" w:color="auto"/>
      </w:divBdr>
    </w:div>
    <w:div w:id="1149178248">
      <w:bodyDiv w:val="1"/>
      <w:marLeft w:val="0"/>
      <w:marRight w:val="0"/>
      <w:marTop w:val="0"/>
      <w:marBottom w:val="0"/>
      <w:divBdr>
        <w:top w:val="none" w:sz="0" w:space="0" w:color="auto"/>
        <w:left w:val="none" w:sz="0" w:space="0" w:color="auto"/>
        <w:bottom w:val="none" w:sz="0" w:space="0" w:color="auto"/>
        <w:right w:val="none" w:sz="0" w:space="0" w:color="auto"/>
      </w:divBdr>
    </w:div>
    <w:div w:id="1149202575">
      <w:bodyDiv w:val="1"/>
      <w:marLeft w:val="0"/>
      <w:marRight w:val="0"/>
      <w:marTop w:val="0"/>
      <w:marBottom w:val="0"/>
      <w:divBdr>
        <w:top w:val="none" w:sz="0" w:space="0" w:color="auto"/>
        <w:left w:val="none" w:sz="0" w:space="0" w:color="auto"/>
        <w:bottom w:val="none" w:sz="0" w:space="0" w:color="auto"/>
        <w:right w:val="none" w:sz="0" w:space="0" w:color="auto"/>
      </w:divBdr>
    </w:div>
    <w:div w:id="1149205750">
      <w:bodyDiv w:val="1"/>
      <w:marLeft w:val="0"/>
      <w:marRight w:val="0"/>
      <w:marTop w:val="0"/>
      <w:marBottom w:val="0"/>
      <w:divBdr>
        <w:top w:val="none" w:sz="0" w:space="0" w:color="auto"/>
        <w:left w:val="none" w:sz="0" w:space="0" w:color="auto"/>
        <w:bottom w:val="none" w:sz="0" w:space="0" w:color="auto"/>
        <w:right w:val="none" w:sz="0" w:space="0" w:color="auto"/>
      </w:divBdr>
    </w:div>
    <w:div w:id="1149248581">
      <w:bodyDiv w:val="1"/>
      <w:marLeft w:val="0"/>
      <w:marRight w:val="0"/>
      <w:marTop w:val="0"/>
      <w:marBottom w:val="0"/>
      <w:divBdr>
        <w:top w:val="none" w:sz="0" w:space="0" w:color="auto"/>
        <w:left w:val="none" w:sz="0" w:space="0" w:color="auto"/>
        <w:bottom w:val="none" w:sz="0" w:space="0" w:color="auto"/>
        <w:right w:val="none" w:sz="0" w:space="0" w:color="auto"/>
      </w:divBdr>
    </w:div>
    <w:div w:id="1149250331">
      <w:bodyDiv w:val="1"/>
      <w:marLeft w:val="0"/>
      <w:marRight w:val="0"/>
      <w:marTop w:val="0"/>
      <w:marBottom w:val="0"/>
      <w:divBdr>
        <w:top w:val="none" w:sz="0" w:space="0" w:color="auto"/>
        <w:left w:val="none" w:sz="0" w:space="0" w:color="auto"/>
        <w:bottom w:val="none" w:sz="0" w:space="0" w:color="auto"/>
        <w:right w:val="none" w:sz="0" w:space="0" w:color="auto"/>
      </w:divBdr>
    </w:div>
    <w:div w:id="1149319739">
      <w:bodyDiv w:val="1"/>
      <w:marLeft w:val="0"/>
      <w:marRight w:val="0"/>
      <w:marTop w:val="0"/>
      <w:marBottom w:val="0"/>
      <w:divBdr>
        <w:top w:val="none" w:sz="0" w:space="0" w:color="auto"/>
        <w:left w:val="none" w:sz="0" w:space="0" w:color="auto"/>
        <w:bottom w:val="none" w:sz="0" w:space="0" w:color="auto"/>
        <w:right w:val="none" w:sz="0" w:space="0" w:color="auto"/>
      </w:divBdr>
    </w:div>
    <w:div w:id="1149323629">
      <w:bodyDiv w:val="1"/>
      <w:marLeft w:val="0"/>
      <w:marRight w:val="0"/>
      <w:marTop w:val="0"/>
      <w:marBottom w:val="0"/>
      <w:divBdr>
        <w:top w:val="none" w:sz="0" w:space="0" w:color="auto"/>
        <w:left w:val="none" w:sz="0" w:space="0" w:color="auto"/>
        <w:bottom w:val="none" w:sz="0" w:space="0" w:color="auto"/>
        <w:right w:val="none" w:sz="0" w:space="0" w:color="auto"/>
      </w:divBdr>
    </w:div>
    <w:div w:id="1149396985">
      <w:bodyDiv w:val="1"/>
      <w:marLeft w:val="0"/>
      <w:marRight w:val="0"/>
      <w:marTop w:val="0"/>
      <w:marBottom w:val="0"/>
      <w:divBdr>
        <w:top w:val="none" w:sz="0" w:space="0" w:color="auto"/>
        <w:left w:val="none" w:sz="0" w:space="0" w:color="auto"/>
        <w:bottom w:val="none" w:sz="0" w:space="0" w:color="auto"/>
        <w:right w:val="none" w:sz="0" w:space="0" w:color="auto"/>
      </w:divBdr>
    </w:div>
    <w:div w:id="1149437971">
      <w:bodyDiv w:val="1"/>
      <w:marLeft w:val="0"/>
      <w:marRight w:val="0"/>
      <w:marTop w:val="0"/>
      <w:marBottom w:val="0"/>
      <w:divBdr>
        <w:top w:val="none" w:sz="0" w:space="0" w:color="auto"/>
        <w:left w:val="none" w:sz="0" w:space="0" w:color="auto"/>
        <w:bottom w:val="none" w:sz="0" w:space="0" w:color="auto"/>
        <w:right w:val="none" w:sz="0" w:space="0" w:color="auto"/>
      </w:divBdr>
    </w:div>
    <w:div w:id="1149596927">
      <w:bodyDiv w:val="1"/>
      <w:marLeft w:val="0"/>
      <w:marRight w:val="0"/>
      <w:marTop w:val="0"/>
      <w:marBottom w:val="0"/>
      <w:divBdr>
        <w:top w:val="none" w:sz="0" w:space="0" w:color="auto"/>
        <w:left w:val="none" w:sz="0" w:space="0" w:color="auto"/>
        <w:bottom w:val="none" w:sz="0" w:space="0" w:color="auto"/>
        <w:right w:val="none" w:sz="0" w:space="0" w:color="auto"/>
      </w:divBdr>
    </w:div>
    <w:div w:id="1149783803">
      <w:bodyDiv w:val="1"/>
      <w:marLeft w:val="0"/>
      <w:marRight w:val="0"/>
      <w:marTop w:val="0"/>
      <w:marBottom w:val="0"/>
      <w:divBdr>
        <w:top w:val="none" w:sz="0" w:space="0" w:color="auto"/>
        <w:left w:val="none" w:sz="0" w:space="0" w:color="auto"/>
        <w:bottom w:val="none" w:sz="0" w:space="0" w:color="auto"/>
        <w:right w:val="none" w:sz="0" w:space="0" w:color="auto"/>
      </w:divBdr>
    </w:div>
    <w:div w:id="1149784434">
      <w:bodyDiv w:val="1"/>
      <w:marLeft w:val="0"/>
      <w:marRight w:val="0"/>
      <w:marTop w:val="0"/>
      <w:marBottom w:val="0"/>
      <w:divBdr>
        <w:top w:val="none" w:sz="0" w:space="0" w:color="auto"/>
        <w:left w:val="none" w:sz="0" w:space="0" w:color="auto"/>
        <w:bottom w:val="none" w:sz="0" w:space="0" w:color="auto"/>
        <w:right w:val="none" w:sz="0" w:space="0" w:color="auto"/>
      </w:divBdr>
    </w:div>
    <w:div w:id="1149829641">
      <w:bodyDiv w:val="1"/>
      <w:marLeft w:val="0"/>
      <w:marRight w:val="0"/>
      <w:marTop w:val="0"/>
      <w:marBottom w:val="0"/>
      <w:divBdr>
        <w:top w:val="none" w:sz="0" w:space="0" w:color="auto"/>
        <w:left w:val="none" w:sz="0" w:space="0" w:color="auto"/>
        <w:bottom w:val="none" w:sz="0" w:space="0" w:color="auto"/>
        <w:right w:val="none" w:sz="0" w:space="0" w:color="auto"/>
      </w:divBdr>
    </w:div>
    <w:div w:id="1149905777">
      <w:bodyDiv w:val="1"/>
      <w:marLeft w:val="0"/>
      <w:marRight w:val="0"/>
      <w:marTop w:val="0"/>
      <w:marBottom w:val="0"/>
      <w:divBdr>
        <w:top w:val="none" w:sz="0" w:space="0" w:color="auto"/>
        <w:left w:val="none" w:sz="0" w:space="0" w:color="auto"/>
        <w:bottom w:val="none" w:sz="0" w:space="0" w:color="auto"/>
        <w:right w:val="none" w:sz="0" w:space="0" w:color="auto"/>
      </w:divBdr>
    </w:div>
    <w:div w:id="1150094379">
      <w:bodyDiv w:val="1"/>
      <w:marLeft w:val="0"/>
      <w:marRight w:val="0"/>
      <w:marTop w:val="0"/>
      <w:marBottom w:val="0"/>
      <w:divBdr>
        <w:top w:val="none" w:sz="0" w:space="0" w:color="auto"/>
        <w:left w:val="none" w:sz="0" w:space="0" w:color="auto"/>
        <w:bottom w:val="none" w:sz="0" w:space="0" w:color="auto"/>
        <w:right w:val="none" w:sz="0" w:space="0" w:color="auto"/>
      </w:divBdr>
    </w:div>
    <w:div w:id="1150175660">
      <w:bodyDiv w:val="1"/>
      <w:marLeft w:val="0"/>
      <w:marRight w:val="0"/>
      <w:marTop w:val="0"/>
      <w:marBottom w:val="0"/>
      <w:divBdr>
        <w:top w:val="none" w:sz="0" w:space="0" w:color="auto"/>
        <w:left w:val="none" w:sz="0" w:space="0" w:color="auto"/>
        <w:bottom w:val="none" w:sz="0" w:space="0" w:color="auto"/>
        <w:right w:val="none" w:sz="0" w:space="0" w:color="auto"/>
      </w:divBdr>
    </w:div>
    <w:div w:id="1150175739">
      <w:bodyDiv w:val="1"/>
      <w:marLeft w:val="0"/>
      <w:marRight w:val="0"/>
      <w:marTop w:val="0"/>
      <w:marBottom w:val="0"/>
      <w:divBdr>
        <w:top w:val="none" w:sz="0" w:space="0" w:color="auto"/>
        <w:left w:val="none" w:sz="0" w:space="0" w:color="auto"/>
        <w:bottom w:val="none" w:sz="0" w:space="0" w:color="auto"/>
        <w:right w:val="none" w:sz="0" w:space="0" w:color="auto"/>
      </w:divBdr>
    </w:div>
    <w:div w:id="1150176903">
      <w:bodyDiv w:val="1"/>
      <w:marLeft w:val="0"/>
      <w:marRight w:val="0"/>
      <w:marTop w:val="0"/>
      <w:marBottom w:val="0"/>
      <w:divBdr>
        <w:top w:val="none" w:sz="0" w:space="0" w:color="auto"/>
        <w:left w:val="none" w:sz="0" w:space="0" w:color="auto"/>
        <w:bottom w:val="none" w:sz="0" w:space="0" w:color="auto"/>
        <w:right w:val="none" w:sz="0" w:space="0" w:color="auto"/>
      </w:divBdr>
    </w:div>
    <w:div w:id="1150245272">
      <w:bodyDiv w:val="1"/>
      <w:marLeft w:val="0"/>
      <w:marRight w:val="0"/>
      <w:marTop w:val="0"/>
      <w:marBottom w:val="0"/>
      <w:divBdr>
        <w:top w:val="none" w:sz="0" w:space="0" w:color="auto"/>
        <w:left w:val="none" w:sz="0" w:space="0" w:color="auto"/>
        <w:bottom w:val="none" w:sz="0" w:space="0" w:color="auto"/>
        <w:right w:val="none" w:sz="0" w:space="0" w:color="auto"/>
      </w:divBdr>
    </w:div>
    <w:div w:id="1150247035">
      <w:bodyDiv w:val="1"/>
      <w:marLeft w:val="0"/>
      <w:marRight w:val="0"/>
      <w:marTop w:val="0"/>
      <w:marBottom w:val="0"/>
      <w:divBdr>
        <w:top w:val="none" w:sz="0" w:space="0" w:color="auto"/>
        <w:left w:val="none" w:sz="0" w:space="0" w:color="auto"/>
        <w:bottom w:val="none" w:sz="0" w:space="0" w:color="auto"/>
        <w:right w:val="none" w:sz="0" w:space="0" w:color="auto"/>
      </w:divBdr>
    </w:div>
    <w:div w:id="1150290180">
      <w:bodyDiv w:val="1"/>
      <w:marLeft w:val="0"/>
      <w:marRight w:val="0"/>
      <w:marTop w:val="0"/>
      <w:marBottom w:val="0"/>
      <w:divBdr>
        <w:top w:val="none" w:sz="0" w:space="0" w:color="auto"/>
        <w:left w:val="none" w:sz="0" w:space="0" w:color="auto"/>
        <w:bottom w:val="none" w:sz="0" w:space="0" w:color="auto"/>
        <w:right w:val="none" w:sz="0" w:space="0" w:color="auto"/>
      </w:divBdr>
    </w:div>
    <w:div w:id="1150293327">
      <w:bodyDiv w:val="1"/>
      <w:marLeft w:val="0"/>
      <w:marRight w:val="0"/>
      <w:marTop w:val="0"/>
      <w:marBottom w:val="0"/>
      <w:divBdr>
        <w:top w:val="none" w:sz="0" w:space="0" w:color="auto"/>
        <w:left w:val="none" w:sz="0" w:space="0" w:color="auto"/>
        <w:bottom w:val="none" w:sz="0" w:space="0" w:color="auto"/>
        <w:right w:val="none" w:sz="0" w:space="0" w:color="auto"/>
      </w:divBdr>
    </w:div>
    <w:div w:id="1150555851">
      <w:bodyDiv w:val="1"/>
      <w:marLeft w:val="0"/>
      <w:marRight w:val="0"/>
      <w:marTop w:val="0"/>
      <w:marBottom w:val="0"/>
      <w:divBdr>
        <w:top w:val="none" w:sz="0" w:space="0" w:color="auto"/>
        <w:left w:val="none" w:sz="0" w:space="0" w:color="auto"/>
        <w:bottom w:val="none" w:sz="0" w:space="0" w:color="auto"/>
        <w:right w:val="none" w:sz="0" w:space="0" w:color="auto"/>
      </w:divBdr>
    </w:div>
    <w:div w:id="1150823727">
      <w:bodyDiv w:val="1"/>
      <w:marLeft w:val="0"/>
      <w:marRight w:val="0"/>
      <w:marTop w:val="0"/>
      <w:marBottom w:val="0"/>
      <w:divBdr>
        <w:top w:val="none" w:sz="0" w:space="0" w:color="auto"/>
        <w:left w:val="none" w:sz="0" w:space="0" w:color="auto"/>
        <w:bottom w:val="none" w:sz="0" w:space="0" w:color="auto"/>
        <w:right w:val="none" w:sz="0" w:space="0" w:color="auto"/>
      </w:divBdr>
    </w:div>
    <w:div w:id="1150899290">
      <w:bodyDiv w:val="1"/>
      <w:marLeft w:val="0"/>
      <w:marRight w:val="0"/>
      <w:marTop w:val="0"/>
      <w:marBottom w:val="0"/>
      <w:divBdr>
        <w:top w:val="none" w:sz="0" w:space="0" w:color="auto"/>
        <w:left w:val="none" w:sz="0" w:space="0" w:color="auto"/>
        <w:bottom w:val="none" w:sz="0" w:space="0" w:color="auto"/>
        <w:right w:val="none" w:sz="0" w:space="0" w:color="auto"/>
      </w:divBdr>
    </w:div>
    <w:div w:id="1150975535">
      <w:bodyDiv w:val="1"/>
      <w:marLeft w:val="0"/>
      <w:marRight w:val="0"/>
      <w:marTop w:val="0"/>
      <w:marBottom w:val="0"/>
      <w:divBdr>
        <w:top w:val="none" w:sz="0" w:space="0" w:color="auto"/>
        <w:left w:val="none" w:sz="0" w:space="0" w:color="auto"/>
        <w:bottom w:val="none" w:sz="0" w:space="0" w:color="auto"/>
        <w:right w:val="none" w:sz="0" w:space="0" w:color="auto"/>
      </w:divBdr>
    </w:div>
    <w:div w:id="1151018705">
      <w:bodyDiv w:val="1"/>
      <w:marLeft w:val="0"/>
      <w:marRight w:val="0"/>
      <w:marTop w:val="0"/>
      <w:marBottom w:val="0"/>
      <w:divBdr>
        <w:top w:val="none" w:sz="0" w:space="0" w:color="auto"/>
        <w:left w:val="none" w:sz="0" w:space="0" w:color="auto"/>
        <w:bottom w:val="none" w:sz="0" w:space="0" w:color="auto"/>
        <w:right w:val="none" w:sz="0" w:space="0" w:color="auto"/>
      </w:divBdr>
    </w:div>
    <w:div w:id="1151098677">
      <w:bodyDiv w:val="1"/>
      <w:marLeft w:val="0"/>
      <w:marRight w:val="0"/>
      <w:marTop w:val="0"/>
      <w:marBottom w:val="0"/>
      <w:divBdr>
        <w:top w:val="none" w:sz="0" w:space="0" w:color="auto"/>
        <w:left w:val="none" w:sz="0" w:space="0" w:color="auto"/>
        <w:bottom w:val="none" w:sz="0" w:space="0" w:color="auto"/>
        <w:right w:val="none" w:sz="0" w:space="0" w:color="auto"/>
      </w:divBdr>
    </w:div>
    <w:div w:id="1151098941">
      <w:bodyDiv w:val="1"/>
      <w:marLeft w:val="0"/>
      <w:marRight w:val="0"/>
      <w:marTop w:val="0"/>
      <w:marBottom w:val="0"/>
      <w:divBdr>
        <w:top w:val="none" w:sz="0" w:space="0" w:color="auto"/>
        <w:left w:val="none" w:sz="0" w:space="0" w:color="auto"/>
        <w:bottom w:val="none" w:sz="0" w:space="0" w:color="auto"/>
        <w:right w:val="none" w:sz="0" w:space="0" w:color="auto"/>
      </w:divBdr>
    </w:div>
    <w:div w:id="1151214613">
      <w:bodyDiv w:val="1"/>
      <w:marLeft w:val="0"/>
      <w:marRight w:val="0"/>
      <w:marTop w:val="0"/>
      <w:marBottom w:val="0"/>
      <w:divBdr>
        <w:top w:val="none" w:sz="0" w:space="0" w:color="auto"/>
        <w:left w:val="none" w:sz="0" w:space="0" w:color="auto"/>
        <w:bottom w:val="none" w:sz="0" w:space="0" w:color="auto"/>
        <w:right w:val="none" w:sz="0" w:space="0" w:color="auto"/>
      </w:divBdr>
    </w:div>
    <w:div w:id="1151288497">
      <w:bodyDiv w:val="1"/>
      <w:marLeft w:val="0"/>
      <w:marRight w:val="0"/>
      <w:marTop w:val="0"/>
      <w:marBottom w:val="0"/>
      <w:divBdr>
        <w:top w:val="none" w:sz="0" w:space="0" w:color="auto"/>
        <w:left w:val="none" w:sz="0" w:space="0" w:color="auto"/>
        <w:bottom w:val="none" w:sz="0" w:space="0" w:color="auto"/>
        <w:right w:val="none" w:sz="0" w:space="0" w:color="auto"/>
      </w:divBdr>
    </w:div>
    <w:div w:id="1151367754">
      <w:bodyDiv w:val="1"/>
      <w:marLeft w:val="0"/>
      <w:marRight w:val="0"/>
      <w:marTop w:val="0"/>
      <w:marBottom w:val="0"/>
      <w:divBdr>
        <w:top w:val="none" w:sz="0" w:space="0" w:color="auto"/>
        <w:left w:val="none" w:sz="0" w:space="0" w:color="auto"/>
        <w:bottom w:val="none" w:sz="0" w:space="0" w:color="auto"/>
        <w:right w:val="none" w:sz="0" w:space="0" w:color="auto"/>
      </w:divBdr>
    </w:div>
    <w:div w:id="1151604791">
      <w:bodyDiv w:val="1"/>
      <w:marLeft w:val="0"/>
      <w:marRight w:val="0"/>
      <w:marTop w:val="0"/>
      <w:marBottom w:val="0"/>
      <w:divBdr>
        <w:top w:val="none" w:sz="0" w:space="0" w:color="auto"/>
        <w:left w:val="none" w:sz="0" w:space="0" w:color="auto"/>
        <w:bottom w:val="none" w:sz="0" w:space="0" w:color="auto"/>
        <w:right w:val="none" w:sz="0" w:space="0" w:color="auto"/>
      </w:divBdr>
    </w:div>
    <w:div w:id="1151674876">
      <w:bodyDiv w:val="1"/>
      <w:marLeft w:val="0"/>
      <w:marRight w:val="0"/>
      <w:marTop w:val="0"/>
      <w:marBottom w:val="0"/>
      <w:divBdr>
        <w:top w:val="none" w:sz="0" w:space="0" w:color="auto"/>
        <w:left w:val="none" w:sz="0" w:space="0" w:color="auto"/>
        <w:bottom w:val="none" w:sz="0" w:space="0" w:color="auto"/>
        <w:right w:val="none" w:sz="0" w:space="0" w:color="auto"/>
      </w:divBdr>
    </w:div>
    <w:div w:id="1151747105">
      <w:bodyDiv w:val="1"/>
      <w:marLeft w:val="0"/>
      <w:marRight w:val="0"/>
      <w:marTop w:val="0"/>
      <w:marBottom w:val="0"/>
      <w:divBdr>
        <w:top w:val="none" w:sz="0" w:space="0" w:color="auto"/>
        <w:left w:val="none" w:sz="0" w:space="0" w:color="auto"/>
        <w:bottom w:val="none" w:sz="0" w:space="0" w:color="auto"/>
        <w:right w:val="none" w:sz="0" w:space="0" w:color="auto"/>
      </w:divBdr>
    </w:div>
    <w:div w:id="1151747819">
      <w:bodyDiv w:val="1"/>
      <w:marLeft w:val="0"/>
      <w:marRight w:val="0"/>
      <w:marTop w:val="0"/>
      <w:marBottom w:val="0"/>
      <w:divBdr>
        <w:top w:val="none" w:sz="0" w:space="0" w:color="auto"/>
        <w:left w:val="none" w:sz="0" w:space="0" w:color="auto"/>
        <w:bottom w:val="none" w:sz="0" w:space="0" w:color="auto"/>
        <w:right w:val="none" w:sz="0" w:space="0" w:color="auto"/>
      </w:divBdr>
    </w:div>
    <w:div w:id="1151754875">
      <w:bodyDiv w:val="1"/>
      <w:marLeft w:val="0"/>
      <w:marRight w:val="0"/>
      <w:marTop w:val="0"/>
      <w:marBottom w:val="0"/>
      <w:divBdr>
        <w:top w:val="none" w:sz="0" w:space="0" w:color="auto"/>
        <w:left w:val="none" w:sz="0" w:space="0" w:color="auto"/>
        <w:bottom w:val="none" w:sz="0" w:space="0" w:color="auto"/>
        <w:right w:val="none" w:sz="0" w:space="0" w:color="auto"/>
      </w:divBdr>
    </w:div>
    <w:div w:id="1152133994">
      <w:bodyDiv w:val="1"/>
      <w:marLeft w:val="0"/>
      <w:marRight w:val="0"/>
      <w:marTop w:val="0"/>
      <w:marBottom w:val="0"/>
      <w:divBdr>
        <w:top w:val="none" w:sz="0" w:space="0" w:color="auto"/>
        <w:left w:val="none" w:sz="0" w:space="0" w:color="auto"/>
        <w:bottom w:val="none" w:sz="0" w:space="0" w:color="auto"/>
        <w:right w:val="none" w:sz="0" w:space="0" w:color="auto"/>
      </w:divBdr>
    </w:div>
    <w:div w:id="1152213634">
      <w:bodyDiv w:val="1"/>
      <w:marLeft w:val="0"/>
      <w:marRight w:val="0"/>
      <w:marTop w:val="0"/>
      <w:marBottom w:val="0"/>
      <w:divBdr>
        <w:top w:val="none" w:sz="0" w:space="0" w:color="auto"/>
        <w:left w:val="none" w:sz="0" w:space="0" w:color="auto"/>
        <w:bottom w:val="none" w:sz="0" w:space="0" w:color="auto"/>
        <w:right w:val="none" w:sz="0" w:space="0" w:color="auto"/>
      </w:divBdr>
    </w:div>
    <w:div w:id="1152256073">
      <w:bodyDiv w:val="1"/>
      <w:marLeft w:val="0"/>
      <w:marRight w:val="0"/>
      <w:marTop w:val="0"/>
      <w:marBottom w:val="0"/>
      <w:divBdr>
        <w:top w:val="none" w:sz="0" w:space="0" w:color="auto"/>
        <w:left w:val="none" w:sz="0" w:space="0" w:color="auto"/>
        <w:bottom w:val="none" w:sz="0" w:space="0" w:color="auto"/>
        <w:right w:val="none" w:sz="0" w:space="0" w:color="auto"/>
      </w:divBdr>
    </w:div>
    <w:div w:id="1152257647">
      <w:bodyDiv w:val="1"/>
      <w:marLeft w:val="0"/>
      <w:marRight w:val="0"/>
      <w:marTop w:val="0"/>
      <w:marBottom w:val="0"/>
      <w:divBdr>
        <w:top w:val="none" w:sz="0" w:space="0" w:color="auto"/>
        <w:left w:val="none" w:sz="0" w:space="0" w:color="auto"/>
        <w:bottom w:val="none" w:sz="0" w:space="0" w:color="auto"/>
        <w:right w:val="none" w:sz="0" w:space="0" w:color="auto"/>
      </w:divBdr>
    </w:div>
    <w:div w:id="1152335211">
      <w:bodyDiv w:val="1"/>
      <w:marLeft w:val="0"/>
      <w:marRight w:val="0"/>
      <w:marTop w:val="0"/>
      <w:marBottom w:val="0"/>
      <w:divBdr>
        <w:top w:val="none" w:sz="0" w:space="0" w:color="auto"/>
        <w:left w:val="none" w:sz="0" w:space="0" w:color="auto"/>
        <w:bottom w:val="none" w:sz="0" w:space="0" w:color="auto"/>
        <w:right w:val="none" w:sz="0" w:space="0" w:color="auto"/>
      </w:divBdr>
    </w:div>
    <w:div w:id="1152409561">
      <w:bodyDiv w:val="1"/>
      <w:marLeft w:val="0"/>
      <w:marRight w:val="0"/>
      <w:marTop w:val="0"/>
      <w:marBottom w:val="0"/>
      <w:divBdr>
        <w:top w:val="none" w:sz="0" w:space="0" w:color="auto"/>
        <w:left w:val="none" w:sz="0" w:space="0" w:color="auto"/>
        <w:bottom w:val="none" w:sz="0" w:space="0" w:color="auto"/>
        <w:right w:val="none" w:sz="0" w:space="0" w:color="auto"/>
      </w:divBdr>
    </w:div>
    <w:div w:id="1152522414">
      <w:bodyDiv w:val="1"/>
      <w:marLeft w:val="0"/>
      <w:marRight w:val="0"/>
      <w:marTop w:val="0"/>
      <w:marBottom w:val="0"/>
      <w:divBdr>
        <w:top w:val="none" w:sz="0" w:space="0" w:color="auto"/>
        <w:left w:val="none" w:sz="0" w:space="0" w:color="auto"/>
        <w:bottom w:val="none" w:sz="0" w:space="0" w:color="auto"/>
        <w:right w:val="none" w:sz="0" w:space="0" w:color="auto"/>
      </w:divBdr>
    </w:div>
    <w:div w:id="1152600090">
      <w:bodyDiv w:val="1"/>
      <w:marLeft w:val="0"/>
      <w:marRight w:val="0"/>
      <w:marTop w:val="0"/>
      <w:marBottom w:val="0"/>
      <w:divBdr>
        <w:top w:val="none" w:sz="0" w:space="0" w:color="auto"/>
        <w:left w:val="none" w:sz="0" w:space="0" w:color="auto"/>
        <w:bottom w:val="none" w:sz="0" w:space="0" w:color="auto"/>
        <w:right w:val="none" w:sz="0" w:space="0" w:color="auto"/>
      </w:divBdr>
    </w:div>
    <w:div w:id="1152679732">
      <w:bodyDiv w:val="1"/>
      <w:marLeft w:val="0"/>
      <w:marRight w:val="0"/>
      <w:marTop w:val="0"/>
      <w:marBottom w:val="0"/>
      <w:divBdr>
        <w:top w:val="none" w:sz="0" w:space="0" w:color="auto"/>
        <w:left w:val="none" w:sz="0" w:space="0" w:color="auto"/>
        <w:bottom w:val="none" w:sz="0" w:space="0" w:color="auto"/>
        <w:right w:val="none" w:sz="0" w:space="0" w:color="auto"/>
      </w:divBdr>
    </w:div>
    <w:div w:id="1152715064">
      <w:bodyDiv w:val="1"/>
      <w:marLeft w:val="0"/>
      <w:marRight w:val="0"/>
      <w:marTop w:val="0"/>
      <w:marBottom w:val="0"/>
      <w:divBdr>
        <w:top w:val="none" w:sz="0" w:space="0" w:color="auto"/>
        <w:left w:val="none" w:sz="0" w:space="0" w:color="auto"/>
        <w:bottom w:val="none" w:sz="0" w:space="0" w:color="auto"/>
        <w:right w:val="none" w:sz="0" w:space="0" w:color="auto"/>
      </w:divBdr>
    </w:div>
    <w:div w:id="1152719369">
      <w:bodyDiv w:val="1"/>
      <w:marLeft w:val="0"/>
      <w:marRight w:val="0"/>
      <w:marTop w:val="0"/>
      <w:marBottom w:val="0"/>
      <w:divBdr>
        <w:top w:val="none" w:sz="0" w:space="0" w:color="auto"/>
        <w:left w:val="none" w:sz="0" w:space="0" w:color="auto"/>
        <w:bottom w:val="none" w:sz="0" w:space="0" w:color="auto"/>
        <w:right w:val="none" w:sz="0" w:space="0" w:color="auto"/>
      </w:divBdr>
    </w:div>
    <w:div w:id="1152720849">
      <w:bodyDiv w:val="1"/>
      <w:marLeft w:val="0"/>
      <w:marRight w:val="0"/>
      <w:marTop w:val="0"/>
      <w:marBottom w:val="0"/>
      <w:divBdr>
        <w:top w:val="none" w:sz="0" w:space="0" w:color="auto"/>
        <w:left w:val="none" w:sz="0" w:space="0" w:color="auto"/>
        <w:bottom w:val="none" w:sz="0" w:space="0" w:color="auto"/>
        <w:right w:val="none" w:sz="0" w:space="0" w:color="auto"/>
      </w:divBdr>
    </w:div>
    <w:div w:id="1152792173">
      <w:bodyDiv w:val="1"/>
      <w:marLeft w:val="0"/>
      <w:marRight w:val="0"/>
      <w:marTop w:val="0"/>
      <w:marBottom w:val="0"/>
      <w:divBdr>
        <w:top w:val="none" w:sz="0" w:space="0" w:color="auto"/>
        <w:left w:val="none" w:sz="0" w:space="0" w:color="auto"/>
        <w:bottom w:val="none" w:sz="0" w:space="0" w:color="auto"/>
        <w:right w:val="none" w:sz="0" w:space="0" w:color="auto"/>
      </w:divBdr>
    </w:div>
    <w:div w:id="1152990260">
      <w:bodyDiv w:val="1"/>
      <w:marLeft w:val="0"/>
      <w:marRight w:val="0"/>
      <w:marTop w:val="0"/>
      <w:marBottom w:val="0"/>
      <w:divBdr>
        <w:top w:val="none" w:sz="0" w:space="0" w:color="auto"/>
        <w:left w:val="none" w:sz="0" w:space="0" w:color="auto"/>
        <w:bottom w:val="none" w:sz="0" w:space="0" w:color="auto"/>
        <w:right w:val="none" w:sz="0" w:space="0" w:color="auto"/>
      </w:divBdr>
    </w:div>
    <w:div w:id="1153062482">
      <w:bodyDiv w:val="1"/>
      <w:marLeft w:val="0"/>
      <w:marRight w:val="0"/>
      <w:marTop w:val="0"/>
      <w:marBottom w:val="0"/>
      <w:divBdr>
        <w:top w:val="none" w:sz="0" w:space="0" w:color="auto"/>
        <w:left w:val="none" w:sz="0" w:space="0" w:color="auto"/>
        <w:bottom w:val="none" w:sz="0" w:space="0" w:color="auto"/>
        <w:right w:val="none" w:sz="0" w:space="0" w:color="auto"/>
      </w:divBdr>
    </w:div>
    <w:div w:id="1153185200">
      <w:bodyDiv w:val="1"/>
      <w:marLeft w:val="0"/>
      <w:marRight w:val="0"/>
      <w:marTop w:val="0"/>
      <w:marBottom w:val="0"/>
      <w:divBdr>
        <w:top w:val="none" w:sz="0" w:space="0" w:color="auto"/>
        <w:left w:val="none" w:sz="0" w:space="0" w:color="auto"/>
        <w:bottom w:val="none" w:sz="0" w:space="0" w:color="auto"/>
        <w:right w:val="none" w:sz="0" w:space="0" w:color="auto"/>
      </w:divBdr>
    </w:div>
    <w:div w:id="1153255244">
      <w:bodyDiv w:val="1"/>
      <w:marLeft w:val="0"/>
      <w:marRight w:val="0"/>
      <w:marTop w:val="0"/>
      <w:marBottom w:val="0"/>
      <w:divBdr>
        <w:top w:val="none" w:sz="0" w:space="0" w:color="auto"/>
        <w:left w:val="none" w:sz="0" w:space="0" w:color="auto"/>
        <w:bottom w:val="none" w:sz="0" w:space="0" w:color="auto"/>
        <w:right w:val="none" w:sz="0" w:space="0" w:color="auto"/>
      </w:divBdr>
    </w:div>
    <w:div w:id="1153258217">
      <w:bodyDiv w:val="1"/>
      <w:marLeft w:val="0"/>
      <w:marRight w:val="0"/>
      <w:marTop w:val="0"/>
      <w:marBottom w:val="0"/>
      <w:divBdr>
        <w:top w:val="none" w:sz="0" w:space="0" w:color="auto"/>
        <w:left w:val="none" w:sz="0" w:space="0" w:color="auto"/>
        <w:bottom w:val="none" w:sz="0" w:space="0" w:color="auto"/>
        <w:right w:val="none" w:sz="0" w:space="0" w:color="auto"/>
      </w:divBdr>
    </w:div>
    <w:div w:id="1153329650">
      <w:bodyDiv w:val="1"/>
      <w:marLeft w:val="0"/>
      <w:marRight w:val="0"/>
      <w:marTop w:val="0"/>
      <w:marBottom w:val="0"/>
      <w:divBdr>
        <w:top w:val="none" w:sz="0" w:space="0" w:color="auto"/>
        <w:left w:val="none" w:sz="0" w:space="0" w:color="auto"/>
        <w:bottom w:val="none" w:sz="0" w:space="0" w:color="auto"/>
        <w:right w:val="none" w:sz="0" w:space="0" w:color="auto"/>
      </w:divBdr>
    </w:div>
    <w:div w:id="1153332113">
      <w:bodyDiv w:val="1"/>
      <w:marLeft w:val="0"/>
      <w:marRight w:val="0"/>
      <w:marTop w:val="0"/>
      <w:marBottom w:val="0"/>
      <w:divBdr>
        <w:top w:val="none" w:sz="0" w:space="0" w:color="auto"/>
        <w:left w:val="none" w:sz="0" w:space="0" w:color="auto"/>
        <w:bottom w:val="none" w:sz="0" w:space="0" w:color="auto"/>
        <w:right w:val="none" w:sz="0" w:space="0" w:color="auto"/>
      </w:divBdr>
    </w:div>
    <w:div w:id="1153373448">
      <w:bodyDiv w:val="1"/>
      <w:marLeft w:val="0"/>
      <w:marRight w:val="0"/>
      <w:marTop w:val="0"/>
      <w:marBottom w:val="0"/>
      <w:divBdr>
        <w:top w:val="none" w:sz="0" w:space="0" w:color="auto"/>
        <w:left w:val="none" w:sz="0" w:space="0" w:color="auto"/>
        <w:bottom w:val="none" w:sz="0" w:space="0" w:color="auto"/>
        <w:right w:val="none" w:sz="0" w:space="0" w:color="auto"/>
      </w:divBdr>
    </w:div>
    <w:div w:id="1153569634">
      <w:bodyDiv w:val="1"/>
      <w:marLeft w:val="0"/>
      <w:marRight w:val="0"/>
      <w:marTop w:val="0"/>
      <w:marBottom w:val="0"/>
      <w:divBdr>
        <w:top w:val="none" w:sz="0" w:space="0" w:color="auto"/>
        <w:left w:val="none" w:sz="0" w:space="0" w:color="auto"/>
        <w:bottom w:val="none" w:sz="0" w:space="0" w:color="auto"/>
        <w:right w:val="none" w:sz="0" w:space="0" w:color="auto"/>
      </w:divBdr>
    </w:div>
    <w:div w:id="1153569707">
      <w:bodyDiv w:val="1"/>
      <w:marLeft w:val="0"/>
      <w:marRight w:val="0"/>
      <w:marTop w:val="0"/>
      <w:marBottom w:val="0"/>
      <w:divBdr>
        <w:top w:val="none" w:sz="0" w:space="0" w:color="auto"/>
        <w:left w:val="none" w:sz="0" w:space="0" w:color="auto"/>
        <w:bottom w:val="none" w:sz="0" w:space="0" w:color="auto"/>
        <w:right w:val="none" w:sz="0" w:space="0" w:color="auto"/>
      </w:divBdr>
    </w:div>
    <w:div w:id="1153722226">
      <w:bodyDiv w:val="1"/>
      <w:marLeft w:val="0"/>
      <w:marRight w:val="0"/>
      <w:marTop w:val="0"/>
      <w:marBottom w:val="0"/>
      <w:divBdr>
        <w:top w:val="none" w:sz="0" w:space="0" w:color="auto"/>
        <w:left w:val="none" w:sz="0" w:space="0" w:color="auto"/>
        <w:bottom w:val="none" w:sz="0" w:space="0" w:color="auto"/>
        <w:right w:val="none" w:sz="0" w:space="0" w:color="auto"/>
      </w:divBdr>
    </w:div>
    <w:div w:id="1153763311">
      <w:bodyDiv w:val="1"/>
      <w:marLeft w:val="0"/>
      <w:marRight w:val="0"/>
      <w:marTop w:val="0"/>
      <w:marBottom w:val="0"/>
      <w:divBdr>
        <w:top w:val="none" w:sz="0" w:space="0" w:color="auto"/>
        <w:left w:val="none" w:sz="0" w:space="0" w:color="auto"/>
        <w:bottom w:val="none" w:sz="0" w:space="0" w:color="auto"/>
        <w:right w:val="none" w:sz="0" w:space="0" w:color="auto"/>
      </w:divBdr>
    </w:div>
    <w:div w:id="1153764637">
      <w:bodyDiv w:val="1"/>
      <w:marLeft w:val="0"/>
      <w:marRight w:val="0"/>
      <w:marTop w:val="0"/>
      <w:marBottom w:val="0"/>
      <w:divBdr>
        <w:top w:val="none" w:sz="0" w:space="0" w:color="auto"/>
        <w:left w:val="none" w:sz="0" w:space="0" w:color="auto"/>
        <w:bottom w:val="none" w:sz="0" w:space="0" w:color="auto"/>
        <w:right w:val="none" w:sz="0" w:space="0" w:color="auto"/>
      </w:divBdr>
    </w:div>
    <w:div w:id="1153912300">
      <w:bodyDiv w:val="1"/>
      <w:marLeft w:val="0"/>
      <w:marRight w:val="0"/>
      <w:marTop w:val="0"/>
      <w:marBottom w:val="0"/>
      <w:divBdr>
        <w:top w:val="none" w:sz="0" w:space="0" w:color="auto"/>
        <w:left w:val="none" w:sz="0" w:space="0" w:color="auto"/>
        <w:bottom w:val="none" w:sz="0" w:space="0" w:color="auto"/>
        <w:right w:val="none" w:sz="0" w:space="0" w:color="auto"/>
      </w:divBdr>
    </w:div>
    <w:div w:id="1154027389">
      <w:bodyDiv w:val="1"/>
      <w:marLeft w:val="0"/>
      <w:marRight w:val="0"/>
      <w:marTop w:val="0"/>
      <w:marBottom w:val="0"/>
      <w:divBdr>
        <w:top w:val="none" w:sz="0" w:space="0" w:color="auto"/>
        <w:left w:val="none" w:sz="0" w:space="0" w:color="auto"/>
        <w:bottom w:val="none" w:sz="0" w:space="0" w:color="auto"/>
        <w:right w:val="none" w:sz="0" w:space="0" w:color="auto"/>
      </w:divBdr>
    </w:div>
    <w:div w:id="1154030698">
      <w:bodyDiv w:val="1"/>
      <w:marLeft w:val="0"/>
      <w:marRight w:val="0"/>
      <w:marTop w:val="0"/>
      <w:marBottom w:val="0"/>
      <w:divBdr>
        <w:top w:val="none" w:sz="0" w:space="0" w:color="auto"/>
        <w:left w:val="none" w:sz="0" w:space="0" w:color="auto"/>
        <w:bottom w:val="none" w:sz="0" w:space="0" w:color="auto"/>
        <w:right w:val="none" w:sz="0" w:space="0" w:color="auto"/>
      </w:divBdr>
    </w:div>
    <w:div w:id="1154033875">
      <w:bodyDiv w:val="1"/>
      <w:marLeft w:val="0"/>
      <w:marRight w:val="0"/>
      <w:marTop w:val="0"/>
      <w:marBottom w:val="0"/>
      <w:divBdr>
        <w:top w:val="none" w:sz="0" w:space="0" w:color="auto"/>
        <w:left w:val="none" w:sz="0" w:space="0" w:color="auto"/>
        <w:bottom w:val="none" w:sz="0" w:space="0" w:color="auto"/>
        <w:right w:val="none" w:sz="0" w:space="0" w:color="auto"/>
      </w:divBdr>
    </w:div>
    <w:div w:id="1154221070">
      <w:bodyDiv w:val="1"/>
      <w:marLeft w:val="0"/>
      <w:marRight w:val="0"/>
      <w:marTop w:val="0"/>
      <w:marBottom w:val="0"/>
      <w:divBdr>
        <w:top w:val="none" w:sz="0" w:space="0" w:color="auto"/>
        <w:left w:val="none" w:sz="0" w:space="0" w:color="auto"/>
        <w:bottom w:val="none" w:sz="0" w:space="0" w:color="auto"/>
        <w:right w:val="none" w:sz="0" w:space="0" w:color="auto"/>
      </w:divBdr>
    </w:div>
    <w:div w:id="1154221210">
      <w:bodyDiv w:val="1"/>
      <w:marLeft w:val="0"/>
      <w:marRight w:val="0"/>
      <w:marTop w:val="0"/>
      <w:marBottom w:val="0"/>
      <w:divBdr>
        <w:top w:val="none" w:sz="0" w:space="0" w:color="auto"/>
        <w:left w:val="none" w:sz="0" w:space="0" w:color="auto"/>
        <w:bottom w:val="none" w:sz="0" w:space="0" w:color="auto"/>
        <w:right w:val="none" w:sz="0" w:space="0" w:color="auto"/>
      </w:divBdr>
    </w:div>
    <w:div w:id="1154223945">
      <w:bodyDiv w:val="1"/>
      <w:marLeft w:val="0"/>
      <w:marRight w:val="0"/>
      <w:marTop w:val="0"/>
      <w:marBottom w:val="0"/>
      <w:divBdr>
        <w:top w:val="none" w:sz="0" w:space="0" w:color="auto"/>
        <w:left w:val="none" w:sz="0" w:space="0" w:color="auto"/>
        <w:bottom w:val="none" w:sz="0" w:space="0" w:color="auto"/>
        <w:right w:val="none" w:sz="0" w:space="0" w:color="auto"/>
      </w:divBdr>
    </w:div>
    <w:div w:id="1154224740">
      <w:bodyDiv w:val="1"/>
      <w:marLeft w:val="0"/>
      <w:marRight w:val="0"/>
      <w:marTop w:val="0"/>
      <w:marBottom w:val="0"/>
      <w:divBdr>
        <w:top w:val="none" w:sz="0" w:space="0" w:color="auto"/>
        <w:left w:val="none" w:sz="0" w:space="0" w:color="auto"/>
        <w:bottom w:val="none" w:sz="0" w:space="0" w:color="auto"/>
        <w:right w:val="none" w:sz="0" w:space="0" w:color="auto"/>
      </w:divBdr>
    </w:div>
    <w:div w:id="1154372831">
      <w:bodyDiv w:val="1"/>
      <w:marLeft w:val="0"/>
      <w:marRight w:val="0"/>
      <w:marTop w:val="0"/>
      <w:marBottom w:val="0"/>
      <w:divBdr>
        <w:top w:val="none" w:sz="0" w:space="0" w:color="auto"/>
        <w:left w:val="none" w:sz="0" w:space="0" w:color="auto"/>
        <w:bottom w:val="none" w:sz="0" w:space="0" w:color="auto"/>
        <w:right w:val="none" w:sz="0" w:space="0" w:color="auto"/>
      </w:divBdr>
    </w:div>
    <w:div w:id="1154488819">
      <w:bodyDiv w:val="1"/>
      <w:marLeft w:val="0"/>
      <w:marRight w:val="0"/>
      <w:marTop w:val="0"/>
      <w:marBottom w:val="0"/>
      <w:divBdr>
        <w:top w:val="none" w:sz="0" w:space="0" w:color="auto"/>
        <w:left w:val="none" w:sz="0" w:space="0" w:color="auto"/>
        <w:bottom w:val="none" w:sz="0" w:space="0" w:color="auto"/>
        <w:right w:val="none" w:sz="0" w:space="0" w:color="auto"/>
      </w:divBdr>
    </w:div>
    <w:div w:id="1154492141">
      <w:bodyDiv w:val="1"/>
      <w:marLeft w:val="0"/>
      <w:marRight w:val="0"/>
      <w:marTop w:val="0"/>
      <w:marBottom w:val="0"/>
      <w:divBdr>
        <w:top w:val="none" w:sz="0" w:space="0" w:color="auto"/>
        <w:left w:val="none" w:sz="0" w:space="0" w:color="auto"/>
        <w:bottom w:val="none" w:sz="0" w:space="0" w:color="auto"/>
        <w:right w:val="none" w:sz="0" w:space="0" w:color="auto"/>
      </w:divBdr>
    </w:div>
    <w:div w:id="1154492512">
      <w:bodyDiv w:val="1"/>
      <w:marLeft w:val="0"/>
      <w:marRight w:val="0"/>
      <w:marTop w:val="0"/>
      <w:marBottom w:val="0"/>
      <w:divBdr>
        <w:top w:val="none" w:sz="0" w:space="0" w:color="auto"/>
        <w:left w:val="none" w:sz="0" w:space="0" w:color="auto"/>
        <w:bottom w:val="none" w:sz="0" w:space="0" w:color="auto"/>
        <w:right w:val="none" w:sz="0" w:space="0" w:color="auto"/>
      </w:divBdr>
    </w:div>
    <w:div w:id="1154563978">
      <w:bodyDiv w:val="1"/>
      <w:marLeft w:val="0"/>
      <w:marRight w:val="0"/>
      <w:marTop w:val="0"/>
      <w:marBottom w:val="0"/>
      <w:divBdr>
        <w:top w:val="none" w:sz="0" w:space="0" w:color="auto"/>
        <w:left w:val="none" w:sz="0" w:space="0" w:color="auto"/>
        <w:bottom w:val="none" w:sz="0" w:space="0" w:color="auto"/>
        <w:right w:val="none" w:sz="0" w:space="0" w:color="auto"/>
      </w:divBdr>
    </w:div>
    <w:div w:id="1154565461">
      <w:bodyDiv w:val="1"/>
      <w:marLeft w:val="0"/>
      <w:marRight w:val="0"/>
      <w:marTop w:val="0"/>
      <w:marBottom w:val="0"/>
      <w:divBdr>
        <w:top w:val="none" w:sz="0" w:space="0" w:color="auto"/>
        <w:left w:val="none" w:sz="0" w:space="0" w:color="auto"/>
        <w:bottom w:val="none" w:sz="0" w:space="0" w:color="auto"/>
        <w:right w:val="none" w:sz="0" w:space="0" w:color="auto"/>
      </w:divBdr>
    </w:div>
    <w:div w:id="1154568721">
      <w:bodyDiv w:val="1"/>
      <w:marLeft w:val="0"/>
      <w:marRight w:val="0"/>
      <w:marTop w:val="0"/>
      <w:marBottom w:val="0"/>
      <w:divBdr>
        <w:top w:val="none" w:sz="0" w:space="0" w:color="auto"/>
        <w:left w:val="none" w:sz="0" w:space="0" w:color="auto"/>
        <w:bottom w:val="none" w:sz="0" w:space="0" w:color="auto"/>
        <w:right w:val="none" w:sz="0" w:space="0" w:color="auto"/>
      </w:divBdr>
    </w:div>
    <w:div w:id="1154639163">
      <w:bodyDiv w:val="1"/>
      <w:marLeft w:val="0"/>
      <w:marRight w:val="0"/>
      <w:marTop w:val="0"/>
      <w:marBottom w:val="0"/>
      <w:divBdr>
        <w:top w:val="none" w:sz="0" w:space="0" w:color="auto"/>
        <w:left w:val="none" w:sz="0" w:space="0" w:color="auto"/>
        <w:bottom w:val="none" w:sz="0" w:space="0" w:color="auto"/>
        <w:right w:val="none" w:sz="0" w:space="0" w:color="auto"/>
      </w:divBdr>
    </w:div>
    <w:div w:id="1154687491">
      <w:bodyDiv w:val="1"/>
      <w:marLeft w:val="0"/>
      <w:marRight w:val="0"/>
      <w:marTop w:val="0"/>
      <w:marBottom w:val="0"/>
      <w:divBdr>
        <w:top w:val="none" w:sz="0" w:space="0" w:color="auto"/>
        <w:left w:val="none" w:sz="0" w:space="0" w:color="auto"/>
        <w:bottom w:val="none" w:sz="0" w:space="0" w:color="auto"/>
        <w:right w:val="none" w:sz="0" w:space="0" w:color="auto"/>
      </w:divBdr>
    </w:div>
    <w:div w:id="1154761220">
      <w:bodyDiv w:val="1"/>
      <w:marLeft w:val="0"/>
      <w:marRight w:val="0"/>
      <w:marTop w:val="0"/>
      <w:marBottom w:val="0"/>
      <w:divBdr>
        <w:top w:val="none" w:sz="0" w:space="0" w:color="auto"/>
        <w:left w:val="none" w:sz="0" w:space="0" w:color="auto"/>
        <w:bottom w:val="none" w:sz="0" w:space="0" w:color="auto"/>
        <w:right w:val="none" w:sz="0" w:space="0" w:color="auto"/>
      </w:divBdr>
    </w:div>
    <w:div w:id="1154762447">
      <w:bodyDiv w:val="1"/>
      <w:marLeft w:val="0"/>
      <w:marRight w:val="0"/>
      <w:marTop w:val="0"/>
      <w:marBottom w:val="0"/>
      <w:divBdr>
        <w:top w:val="none" w:sz="0" w:space="0" w:color="auto"/>
        <w:left w:val="none" w:sz="0" w:space="0" w:color="auto"/>
        <w:bottom w:val="none" w:sz="0" w:space="0" w:color="auto"/>
        <w:right w:val="none" w:sz="0" w:space="0" w:color="auto"/>
      </w:divBdr>
    </w:div>
    <w:div w:id="1154837705">
      <w:bodyDiv w:val="1"/>
      <w:marLeft w:val="0"/>
      <w:marRight w:val="0"/>
      <w:marTop w:val="0"/>
      <w:marBottom w:val="0"/>
      <w:divBdr>
        <w:top w:val="none" w:sz="0" w:space="0" w:color="auto"/>
        <w:left w:val="none" w:sz="0" w:space="0" w:color="auto"/>
        <w:bottom w:val="none" w:sz="0" w:space="0" w:color="auto"/>
        <w:right w:val="none" w:sz="0" w:space="0" w:color="auto"/>
      </w:divBdr>
    </w:div>
    <w:div w:id="1154837737">
      <w:bodyDiv w:val="1"/>
      <w:marLeft w:val="0"/>
      <w:marRight w:val="0"/>
      <w:marTop w:val="0"/>
      <w:marBottom w:val="0"/>
      <w:divBdr>
        <w:top w:val="none" w:sz="0" w:space="0" w:color="auto"/>
        <w:left w:val="none" w:sz="0" w:space="0" w:color="auto"/>
        <w:bottom w:val="none" w:sz="0" w:space="0" w:color="auto"/>
        <w:right w:val="none" w:sz="0" w:space="0" w:color="auto"/>
      </w:divBdr>
    </w:div>
    <w:div w:id="1154955340">
      <w:bodyDiv w:val="1"/>
      <w:marLeft w:val="0"/>
      <w:marRight w:val="0"/>
      <w:marTop w:val="0"/>
      <w:marBottom w:val="0"/>
      <w:divBdr>
        <w:top w:val="none" w:sz="0" w:space="0" w:color="auto"/>
        <w:left w:val="none" w:sz="0" w:space="0" w:color="auto"/>
        <w:bottom w:val="none" w:sz="0" w:space="0" w:color="auto"/>
        <w:right w:val="none" w:sz="0" w:space="0" w:color="auto"/>
      </w:divBdr>
    </w:div>
    <w:div w:id="1155103410">
      <w:bodyDiv w:val="1"/>
      <w:marLeft w:val="0"/>
      <w:marRight w:val="0"/>
      <w:marTop w:val="0"/>
      <w:marBottom w:val="0"/>
      <w:divBdr>
        <w:top w:val="none" w:sz="0" w:space="0" w:color="auto"/>
        <w:left w:val="none" w:sz="0" w:space="0" w:color="auto"/>
        <w:bottom w:val="none" w:sz="0" w:space="0" w:color="auto"/>
        <w:right w:val="none" w:sz="0" w:space="0" w:color="auto"/>
      </w:divBdr>
    </w:div>
    <w:div w:id="1155149279">
      <w:bodyDiv w:val="1"/>
      <w:marLeft w:val="0"/>
      <w:marRight w:val="0"/>
      <w:marTop w:val="0"/>
      <w:marBottom w:val="0"/>
      <w:divBdr>
        <w:top w:val="none" w:sz="0" w:space="0" w:color="auto"/>
        <w:left w:val="none" w:sz="0" w:space="0" w:color="auto"/>
        <w:bottom w:val="none" w:sz="0" w:space="0" w:color="auto"/>
        <w:right w:val="none" w:sz="0" w:space="0" w:color="auto"/>
      </w:divBdr>
    </w:div>
    <w:div w:id="1155340906">
      <w:bodyDiv w:val="1"/>
      <w:marLeft w:val="0"/>
      <w:marRight w:val="0"/>
      <w:marTop w:val="0"/>
      <w:marBottom w:val="0"/>
      <w:divBdr>
        <w:top w:val="none" w:sz="0" w:space="0" w:color="auto"/>
        <w:left w:val="none" w:sz="0" w:space="0" w:color="auto"/>
        <w:bottom w:val="none" w:sz="0" w:space="0" w:color="auto"/>
        <w:right w:val="none" w:sz="0" w:space="0" w:color="auto"/>
      </w:divBdr>
    </w:div>
    <w:div w:id="1155416641">
      <w:bodyDiv w:val="1"/>
      <w:marLeft w:val="0"/>
      <w:marRight w:val="0"/>
      <w:marTop w:val="0"/>
      <w:marBottom w:val="0"/>
      <w:divBdr>
        <w:top w:val="none" w:sz="0" w:space="0" w:color="auto"/>
        <w:left w:val="none" w:sz="0" w:space="0" w:color="auto"/>
        <w:bottom w:val="none" w:sz="0" w:space="0" w:color="auto"/>
        <w:right w:val="none" w:sz="0" w:space="0" w:color="auto"/>
      </w:divBdr>
    </w:div>
    <w:div w:id="1155494894">
      <w:bodyDiv w:val="1"/>
      <w:marLeft w:val="0"/>
      <w:marRight w:val="0"/>
      <w:marTop w:val="0"/>
      <w:marBottom w:val="0"/>
      <w:divBdr>
        <w:top w:val="none" w:sz="0" w:space="0" w:color="auto"/>
        <w:left w:val="none" w:sz="0" w:space="0" w:color="auto"/>
        <w:bottom w:val="none" w:sz="0" w:space="0" w:color="auto"/>
        <w:right w:val="none" w:sz="0" w:space="0" w:color="auto"/>
      </w:divBdr>
    </w:div>
    <w:div w:id="1155756559">
      <w:bodyDiv w:val="1"/>
      <w:marLeft w:val="0"/>
      <w:marRight w:val="0"/>
      <w:marTop w:val="0"/>
      <w:marBottom w:val="0"/>
      <w:divBdr>
        <w:top w:val="none" w:sz="0" w:space="0" w:color="auto"/>
        <w:left w:val="none" w:sz="0" w:space="0" w:color="auto"/>
        <w:bottom w:val="none" w:sz="0" w:space="0" w:color="auto"/>
        <w:right w:val="none" w:sz="0" w:space="0" w:color="auto"/>
      </w:divBdr>
    </w:div>
    <w:div w:id="1155759743">
      <w:bodyDiv w:val="1"/>
      <w:marLeft w:val="0"/>
      <w:marRight w:val="0"/>
      <w:marTop w:val="0"/>
      <w:marBottom w:val="0"/>
      <w:divBdr>
        <w:top w:val="none" w:sz="0" w:space="0" w:color="auto"/>
        <w:left w:val="none" w:sz="0" w:space="0" w:color="auto"/>
        <w:bottom w:val="none" w:sz="0" w:space="0" w:color="auto"/>
        <w:right w:val="none" w:sz="0" w:space="0" w:color="auto"/>
      </w:divBdr>
    </w:div>
    <w:div w:id="1155875876">
      <w:bodyDiv w:val="1"/>
      <w:marLeft w:val="0"/>
      <w:marRight w:val="0"/>
      <w:marTop w:val="0"/>
      <w:marBottom w:val="0"/>
      <w:divBdr>
        <w:top w:val="none" w:sz="0" w:space="0" w:color="auto"/>
        <w:left w:val="none" w:sz="0" w:space="0" w:color="auto"/>
        <w:bottom w:val="none" w:sz="0" w:space="0" w:color="auto"/>
        <w:right w:val="none" w:sz="0" w:space="0" w:color="auto"/>
      </w:divBdr>
    </w:div>
    <w:div w:id="1155998282">
      <w:bodyDiv w:val="1"/>
      <w:marLeft w:val="0"/>
      <w:marRight w:val="0"/>
      <w:marTop w:val="0"/>
      <w:marBottom w:val="0"/>
      <w:divBdr>
        <w:top w:val="none" w:sz="0" w:space="0" w:color="auto"/>
        <w:left w:val="none" w:sz="0" w:space="0" w:color="auto"/>
        <w:bottom w:val="none" w:sz="0" w:space="0" w:color="auto"/>
        <w:right w:val="none" w:sz="0" w:space="0" w:color="auto"/>
      </w:divBdr>
    </w:div>
    <w:div w:id="1156141629">
      <w:bodyDiv w:val="1"/>
      <w:marLeft w:val="0"/>
      <w:marRight w:val="0"/>
      <w:marTop w:val="0"/>
      <w:marBottom w:val="0"/>
      <w:divBdr>
        <w:top w:val="none" w:sz="0" w:space="0" w:color="auto"/>
        <w:left w:val="none" w:sz="0" w:space="0" w:color="auto"/>
        <w:bottom w:val="none" w:sz="0" w:space="0" w:color="auto"/>
        <w:right w:val="none" w:sz="0" w:space="0" w:color="auto"/>
      </w:divBdr>
    </w:div>
    <w:div w:id="1156142008">
      <w:bodyDiv w:val="1"/>
      <w:marLeft w:val="0"/>
      <w:marRight w:val="0"/>
      <w:marTop w:val="0"/>
      <w:marBottom w:val="0"/>
      <w:divBdr>
        <w:top w:val="none" w:sz="0" w:space="0" w:color="auto"/>
        <w:left w:val="none" w:sz="0" w:space="0" w:color="auto"/>
        <w:bottom w:val="none" w:sz="0" w:space="0" w:color="auto"/>
        <w:right w:val="none" w:sz="0" w:space="0" w:color="auto"/>
      </w:divBdr>
    </w:div>
    <w:div w:id="1156146420">
      <w:bodyDiv w:val="1"/>
      <w:marLeft w:val="0"/>
      <w:marRight w:val="0"/>
      <w:marTop w:val="0"/>
      <w:marBottom w:val="0"/>
      <w:divBdr>
        <w:top w:val="none" w:sz="0" w:space="0" w:color="auto"/>
        <w:left w:val="none" w:sz="0" w:space="0" w:color="auto"/>
        <w:bottom w:val="none" w:sz="0" w:space="0" w:color="auto"/>
        <w:right w:val="none" w:sz="0" w:space="0" w:color="auto"/>
      </w:divBdr>
    </w:div>
    <w:div w:id="1156528270">
      <w:bodyDiv w:val="1"/>
      <w:marLeft w:val="0"/>
      <w:marRight w:val="0"/>
      <w:marTop w:val="0"/>
      <w:marBottom w:val="0"/>
      <w:divBdr>
        <w:top w:val="none" w:sz="0" w:space="0" w:color="auto"/>
        <w:left w:val="none" w:sz="0" w:space="0" w:color="auto"/>
        <w:bottom w:val="none" w:sz="0" w:space="0" w:color="auto"/>
        <w:right w:val="none" w:sz="0" w:space="0" w:color="auto"/>
      </w:divBdr>
    </w:div>
    <w:div w:id="1156647522">
      <w:bodyDiv w:val="1"/>
      <w:marLeft w:val="0"/>
      <w:marRight w:val="0"/>
      <w:marTop w:val="0"/>
      <w:marBottom w:val="0"/>
      <w:divBdr>
        <w:top w:val="none" w:sz="0" w:space="0" w:color="auto"/>
        <w:left w:val="none" w:sz="0" w:space="0" w:color="auto"/>
        <w:bottom w:val="none" w:sz="0" w:space="0" w:color="auto"/>
        <w:right w:val="none" w:sz="0" w:space="0" w:color="auto"/>
      </w:divBdr>
    </w:div>
    <w:div w:id="1156654473">
      <w:bodyDiv w:val="1"/>
      <w:marLeft w:val="0"/>
      <w:marRight w:val="0"/>
      <w:marTop w:val="0"/>
      <w:marBottom w:val="0"/>
      <w:divBdr>
        <w:top w:val="none" w:sz="0" w:space="0" w:color="auto"/>
        <w:left w:val="none" w:sz="0" w:space="0" w:color="auto"/>
        <w:bottom w:val="none" w:sz="0" w:space="0" w:color="auto"/>
        <w:right w:val="none" w:sz="0" w:space="0" w:color="auto"/>
      </w:divBdr>
    </w:div>
    <w:div w:id="1156724226">
      <w:bodyDiv w:val="1"/>
      <w:marLeft w:val="0"/>
      <w:marRight w:val="0"/>
      <w:marTop w:val="0"/>
      <w:marBottom w:val="0"/>
      <w:divBdr>
        <w:top w:val="none" w:sz="0" w:space="0" w:color="auto"/>
        <w:left w:val="none" w:sz="0" w:space="0" w:color="auto"/>
        <w:bottom w:val="none" w:sz="0" w:space="0" w:color="auto"/>
        <w:right w:val="none" w:sz="0" w:space="0" w:color="auto"/>
      </w:divBdr>
    </w:div>
    <w:div w:id="1156725727">
      <w:bodyDiv w:val="1"/>
      <w:marLeft w:val="0"/>
      <w:marRight w:val="0"/>
      <w:marTop w:val="0"/>
      <w:marBottom w:val="0"/>
      <w:divBdr>
        <w:top w:val="none" w:sz="0" w:space="0" w:color="auto"/>
        <w:left w:val="none" w:sz="0" w:space="0" w:color="auto"/>
        <w:bottom w:val="none" w:sz="0" w:space="0" w:color="auto"/>
        <w:right w:val="none" w:sz="0" w:space="0" w:color="auto"/>
      </w:divBdr>
    </w:div>
    <w:div w:id="1156796691">
      <w:bodyDiv w:val="1"/>
      <w:marLeft w:val="0"/>
      <w:marRight w:val="0"/>
      <w:marTop w:val="0"/>
      <w:marBottom w:val="0"/>
      <w:divBdr>
        <w:top w:val="none" w:sz="0" w:space="0" w:color="auto"/>
        <w:left w:val="none" w:sz="0" w:space="0" w:color="auto"/>
        <w:bottom w:val="none" w:sz="0" w:space="0" w:color="auto"/>
        <w:right w:val="none" w:sz="0" w:space="0" w:color="auto"/>
      </w:divBdr>
    </w:div>
    <w:div w:id="1156798181">
      <w:bodyDiv w:val="1"/>
      <w:marLeft w:val="0"/>
      <w:marRight w:val="0"/>
      <w:marTop w:val="0"/>
      <w:marBottom w:val="0"/>
      <w:divBdr>
        <w:top w:val="none" w:sz="0" w:space="0" w:color="auto"/>
        <w:left w:val="none" w:sz="0" w:space="0" w:color="auto"/>
        <w:bottom w:val="none" w:sz="0" w:space="0" w:color="auto"/>
        <w:right w:val="none" w:sz="0" w:space="0" w:color="auto"/>
      </w:divBdr>
    </w:div>
    <w:div w:id="1156917352">
      <w:bodyDiv w:val="1"/>
      <w:marLeft w:val="0"/>
      <w:marRight w:val="0"/>
      <w:marTop w:val="0"/>
      <w:marBottom w:val="0"/>
      <w:divBdr>
        <w:top w:val="none" w:sz="0" w:space="0" w:color="auto"/>
        <w:left w:val="none" w:sz="0" w:space="0" w:color="auto"/>
        <w:bottom w:val="none" w:sz="0" w:space="0" w:color="auto"/>
        <w:right w:val="none" w:sz="0" w:space="0" w:color="auto"/>
      </w:divBdr>
    </w:div>
    <w:div w:id="1156992995">
      <w:bodyDiv w:val="1"/>
      <w:marLeft w:val="0"/>
      <w:marRight w:val="0"/>
      <w:marTop w:val="0"/>
      <w:marBottom w:val="0"/>
      <w:divBdr>
        <w:top w:val="none" w:sz="0" w:space="0" w:color="auto"/>
        <w:left w:val="none" w:sz="0" w:space="0" w:color="auto"/>
        <w:bottom w:val="none" w:sz="0" w:space="0" w:color="auto"/>
        <w:right w:val="none" w:sz="0" w:space="0" w:color="auto"/>
      </w:divBdr>
    </w:div>
    <w:div w:id="1157070280">
      <w:bodyDiv w:val="1"/>
      <w:marLeft w:val="0"/>
      <w:marRight w:val="0"/>
      <w:marTop w:val="0"/>
      <w:marBottom w:val="0"/>
      <w:divBdr>
        <w:top w:val="none" w:sz="0" w:space="0" w:color="auto"/>
        <w:left w:val="none" w:sz="0" w:space="0" w:color="auto"/>
        <w:bottom w:val="none" w:sz="0" w:space="0" w:color="auto"/>
        <w:right w:val="none" w:sz="0" w:space="0" w:color="auto"/>
      </w:divBdr>
    </w:div>
    <w:div w:id="1157107329">
      <w:bodyDiv w:val="1"/>
      <w:marLeft w:val="0"/>
      <w:marRight w:val="0"/>
      <w:marTop w:val="0"/>
      <w:marBottom w:val="0"/>
      <w:divBdr>
        <w:top w:val="none" w:sz="0" w:space="0" w:color="auto"/>
        <w:left w:val="none" w:sz="0" w:space="0" w:color="auto"/>
        <w:bottom w:val="none" w:sz="0" w:space="0" w:color="auto"/>
        <w:right w:val="none" w:sz="0" w:space="0" w:color="auto"/>
      </w:divBdr>
    </w:div>
    <w:div w:id="1157263575">
      <w:bodyDiv w:val="1"/>
      <w:marLeft w:val="0"/>
      <w:marRight w:val="0"/>
      <w:marTop w:val="0"/>
      <w:marBottom w:val="0"/>
      <w:divBdr>
        <w:top w:val="none" w:sz="0" w:space="0" w:color="auto"/>
        <w:left w:val="none" w:sz="0" w:space="0" w:color="auto"/>
        <w:bottom w:val="none" w:sz="0" w:space="0" w:color="auto"/>
        <w:right w:val="none" w:sz="0" w:space="0" w:color="auto"/>
      </w:divBdr>
    </w:div>
    <w:div w:id="1157302842">
      <w:bodyDiv w:val="1"/>
      <w:marLeft w:val="0"/>
      <w:marRight w:val="0"/>
      <w:marTop w:val="0"/>
      <w:marBottom w:val="0"/>
      <w:divBdr>
        <w:top w:val="none" w:sz="0" w:space="0" w:color="auto"/>
        <w:left w:val="none" w:sz="0" w:space="0" w:color="auto"/>
        <w:bottom w:val="none" w:sz="0" w:space="0" w:color="auto"/>
        <w:right w:val="none" w:sz="0" w:space="0" w:color="auto"/>
      </w:divBdr>
    </w:div>
    <w:div w:id="1157306309">
      <w:bodyDiv w:val="1"/>
      <w:marLeft w:val="0"/>
      <w:marRight w:val="0"/>
      <w:marTop w:val="0"/>
      <w:marBottom w:val="0"/>
      <w:divBdr>
        <w:top w:val="none" w:sz="0" w:space="0" w:color="auto"/>
        <w:left w:val="none" w:sz="0" w:space="0" w:color="auto"/>
        <w:bottom w:val="none" w:sz="0" w:space="0" w:color="auto"/>
        <w:right w:val="none" w:sz="0" w:space="0" w:color="auto"/>
      </w:divBdr>
    </w:div>
    <w:div w:id="1157306802">
      <w:bodyDiv w:val="1"/>
      <w:marLeft w:val="0"/>
      <w:marRight w:val="0"/>
      <w:marTop w:val="0"/>
      <w:marBottom w:val="0"/>
      <w:divBdr>
        <w:top w:val="none" w:sz="0" w:space="0" w:color="auto"/>
        <w:left w:val="none" w:sz="0" w:space="0" w:color="auto"/>
        <w:bottom w:val="none" w:sz="0" w:space="0" w:color="auto"/>
        <w:right w:val="none" w:sz="0" w:space="0" w:color="auto"/>
      </w:divBdr>
    </w:div>
    <w:div w:id="1157453597">
      <w:bodyDiv w:val="1"/>
      <w:marLeft w:val="0"/>
      <w:marRight w:val="0"/>
      <w:marTop w:val="0"/>
      <w:marBottom w:val="0"/>
      <w:divBdr>
        <w:top w:val="none" w:sz="0" w:space="0" w:color="auto"/>
        <w:left w:val="none" w:sz="0" w:space="0" w:color="auto"/>
        <w:bottom w:val="none" w:sz="0" w:space="0" w:color="auto"/>
        <w:right w:val="none" w:sz="0" w:space="0" w:color="auto"/>
      </w:divBdr>
    </w:div>
    <w:div w:id="1157650782">
      <w:bodyDiv w:val="1"/>
      <w:marLeft w:val="0"/>
      <w:marRight w:val="0"/>
      <w:marTop w:val="0"/>
      <w:marBottom w:val="0"/>
      <w:divBdr>
        <w:top w:val="none" w:sz="0" w:space="0" w:color="auto"/>
        <w:left w:val="none" w:sz="0" w:space="0" w:color="auto"/>
        <w:bottom w:val="none" w:sz="0" w:space="0" w:color="auto"/>
        <w:right w:val="none" w:sz="0" w:space="0" w:color="auto"/>
      </w:divBdr>
    </w:div>
    <w:div w:id="1157843836">
      <w:bodyDiv w:val="1"/>
      <w:marLeft w:val="0"/>
      <w:marRight w:val="0"/>
      <w:marTop w:val="0"/>
      <w:marBottom w:val="0"/>
      <w:divBdr>
        <w:top w:val="none" w:sz="0" w:space="0" w:color="auto"/>
        <w:left w:val="none" w:sz="0" w:space="0" w:color="auto"/>
        <w:bottom w:val="none" w:sz="0" w:space="0" w:color="auto"/>
        <w:right w:val="none" w:sz="0" w:space="0" w:color="auto"/>
      </w:divBdr>
    </w:div>
    <w:div w:id="1157921228">
      <w:bodyDiv w:val="1"/>
      <w:marLeft w:val="0"/>
      <w:marRight w:val="0"/>
      <w:marTop w:val="0"/>
      <w:marBottom w:val="0"/>
      <w:divBdr>
        <w:top w:val="none" w:sz="0" w:space="0" w:color="auto"/>
        <w:left w:val="none" w:sz="0" w:space="0" w:color="auto"/>
        <w:bottom w:val="none" w:sz="0" w:space="0" w:color="auto"/>
        <w:right w:val="none" w:sz="0" w:space="0" w:color="auto"/>
      </w:divBdr>
    </w:div>
    <w:div w:id="1157961430">
      <w:bodyDiv w:val="1"/>
      <w:marLeft w:val="0"/>
      <w:marRight w:val="0"/>
      <w:marTop w:val="0"/>
      <w:marBottom w:val="0"/>
      <w:divBdr>
        <w:top w:val="none" w:sz="0" w:space="0" w:color="auto"/>
        <w:left w:val="none" w:sz="0" w:space="0" w:color="auto"/>
        <w:bottom w:val="none" w:sz="0" w:space="0" w:color="auto"/>
        <w:right w:val="none" w:sz="0" w:space="0" w:color="auto"/>
      </w:divBdr>
    </w:div>
    <w:div w:id="1158031632">
      <w:bodyDiv w:val="1"/>
      <w:marLeft w:val="0"/>
      <w:marRight w:val="0"/>
      <w:marTop w:val="0"/>
      <w:marBottom w:val="0"/>
      <w:divBdr>
        <w:top w:val="none" w:sz="0" w:space="0" w:color="auto"/>
        <w:left w:val="none" w:sz="0" w:space="0" w:color="auto"/>
        <w:bottom w:val="none" w:sz="0" w:space="0" w:color="auto"/>
        <w:right w:val="none" w:sz="0" w:space="0" w:color="auto"/>
      </w:divBdr>
    </w:div>
    <w:div w:id="1158033841">
      <w:bodyDiv w:val="1"/>
      <w:marLeft w:val="0"/>
      <w:marRight w:val="0"/>
      <w:marTop w:val="0"/>
      <w:marBottom w:val="0"/>
      <w:divBdr>
        <w:top w:val="none" w:sz="0" w:space="0" w:color="auto"/>
        <w:left w:val="none" w:sz="0" w:space="0" w:color="auto"/>
        <w:bottom w:val="none" w:sz="0" w:space="0" w:color="auto"/>
        <w:right w:val="none" w:sz="0" w:space="0" w:color="auto"/>
      </w:divBdr>
    </w:div>
    <w:div w:id="1158039881">
      <w:bodyDiv w:val="1"/>
      <w:marLeft w:val="0"/>
      <w:marRight w:val="0"/>
      <w:marTop w:val="0"/>
      <w:marBottom w:val="0"/>
      <w:divBdr>
        <w:top w:val="none" w:sz="0" w:space="0" w:color="auto"/>
        <w:left w:val="none" w:sz="0" w:space="0" w:color="auto"/>
        <w:bottom w:val="none" w:sz="0" w:space="0" w:color="auto"/>
        <w:right w:val="none" w:sz="0" w:space="0" w:color="auto"/>
      </w:divBdr>
    </w:div>
    <w:div w:id="1158109416">
      <w:bodyDiv w:val="1"/>
      <w:marLeft w:val="0"/>
      <w:marRight w:val="0"/>
      <w:marTop w:val="0"/>
      <w:marBottom w:val="0"/>
      <w:divBdr>
        <w:top w:val="none" w:sz="0" w:space="0" w:color="auto"/>
        <w:left w:val="none" w:sz="0" w:space="0" w:color="auto"/>
        <w:bottom w:val="none" w:sz="0" w:space="0" w:color="auto"/>
        <w:right w:val="none" w:sz="0" w:space="0" w:color="auto"/>
      </w:divBdr>
    </w:div>
    <w:div w:id="1158228119">
      <w:bodyDiv w:val="1"/>
      <w:marLeft w:val="0"/>
      <w:marRight w:val="0"/>
      <w:marTop w:val="0"/>
      <w:marBottom w:val="0"/>
      <w:divBdr>
        <w:top w:val="none" w:sz="0" w:space="0" w:color="auto"/>
        <w:left w:val="none" w:sz="0" w:space="0" w:color="auto"/>
        <w:bottom w:val="none" w:sz="0" w:space="0" w:color="auto"/>
        <w:right w:val="none" w:sz="0" w:space="0" w:color="auto"/>
      </w:divBdr>
    </w:div>
    <w:div w:id="1158308245">
      <w:bodyDiv w:val="1"/>
      <w:marLeft w:val="0"/>
      <w:marRight w:val="0"/>
      <w:marTop w:val="0"/>
      <w:marBottom w:val="0"/>
      <w:divBdr>
        <w:top w:val="none" w:sz="0" w:space="0" w:color="auto"/>
        <w:left w:val="none" w:sz="0" w:space="0" w:color="auto"/>
        <w:bottom w:val="none" w:sz="0" w:space="0" w:color="auto"/>
        <w:right w:val="none" w:sz="0" w:space="0" w:color="auto"/>
      </w:divBdr>
    </w:div>
    <w:div w:id="1158308464">
      <w:bodyDiv w:val="1"/>
      <w:marLeft w:val="0"/>
      <w:marRight w:val="0"/>
      <w:marTop w:val="0"/>
      <w:marBottom w:val="0"/>
      <w:divBdr>
        <w:top w:val="none" w:sz="0" w:space="0" w:color="auto"/>
        <w:left w:val="none" w:sz="0" w:space="0" w:color="auto"/>
        <w:bottom w:val="none" w:sz="0" w:space="0" w:color="auto"/>
        <w:right w:val="none" w:sz="0" w:space="0" w:color="auto"/>
      </w:divBdr>
    </w:div>
    <w:div w:id="1158497464">
      <w:bodyDiv w:val="1"/>
      <w:marLeft w:val="0"/>
      <w:marRight w:val="0"/>
      <w:marTop w:val="0"/>
      <w:marBottom w:val="0"/>
      <w:divBdr>
        <w:top w:val="none" w:sz="0" w:space="0" w:color="auto"/>
        <w:left w:val="none" w:sz="0" w:space="0" w:color="auto"/>
        <w:bottom w:val="none" w:sz="0" w:space="0" w:color="auto"/>
        <w:right w:val="none" w:sz="0" w:space="0" w:color="auto"/>
      </w:divBdr>
    </w:div>
    <w:div w:id="1158500027">
      <w:bodyDiv w:val="1"/>
      <w:marLeft w:val="0"/>
      <w:marRight w:val="0"/>
      <w:marTop w:val="0"/>
      <w:marBottom w:val="0"/>
      <w:divBdr>
        <w:top w:val="none" w:sz="0" w:space="0" w:color="auto"/>
        <w:left w:val="none" w:sz="0" w:space="0" w:color="auto"/>
        <w:bottom w:val="none" w:sz="0" w:space="0" w:color="auto"/>
        <w:right w:val="none" w:sz="0" w:space="0" w:color="auto"/>
      </w:divBdr>
    </w:div>
    <w:div w:id="1158500275">
      <w:bodyDiv w:val="1"/>
      <w:marLeft w:val="0"/>
      <w:marRight w:val="0"/>
      <w:marTop w:val="0"/>
      <w:marBottom w:val="0"/>
      <w:divBdr>
        <w:top w:val="none" w:sz="0" w:space="0" w:color="auto"/>
        <w:left w:val="none" w:sz="0" w:space="0" w:color="auto"/>
        <w:bottom w:val="none" w:sz="0" w:space="0" w:color="auto"/>
        <w:right w:val="none" w:sz="0" w:space="0" w:color="auto"/>
      </w:divBdr>
    </w:div>
    <w:div w:id="1158611041">
      <w:bodyDiv w:val="1"/>
      <w:marLeft w:val="0"/>
      <w:marRight w:val="0"/>
      <w:marTop w:val="0"/>
      <w:marBottom w:val="0"/>
      <w:divBdr>
        <w:top w:val="none" w:sz="0" w:space="0" w:color="auto"/>
        <w:left w:val="none" w:sz="0" w:space="0" w:color="auto"/>
        <w:bottom w:val="none" w:sz="0" w:space="0" w:color="auto"/>
        <w:right w:val="none" w:sz="0" w:space="0" w:color="auto"/>
      </w:divBdr>
    </w:div>
    <w:div w:id="1158768956">
      <w:bodyDiv w:val="1"/>
      <w:marLeft w:val="0"/>
      <w:marRight w:val="0"/>
      <w:marTop w:val="0"/>
      <w:marBottom w:val="0"/>
      <w:divBdr>
        <w:top w:val="none" w:sz="0" w:space="0" w:color="auto"/>
        <w:left w:val="none" w:sz="0" w:space="0" w:color="auto"/>
        <w:bottom w:val="none" w:sz="0" w:space="0" w:color="auto"/>
        <w:right w:val="none" w:sz="0" w:space="0" w:color="auto"/>
      </w:divBdr>
    </w:div>
    <w:div w:id="1158809822">
      <w:bodyDiv w:val="1"/>
      <w:marLeft w:val="0"/>
      <w:marRight w:val="0"/>
      <w:marTop w:val="0"/>
      <w:marBottom w:val="0"/>
      <w:divBdr>
        <w:top w:val="none" w:sz="0" w:space="0" w:color="auto"/>
        <w:left w:val="none" w:sz="0" w:space="0" w:color="auto"/>
        <w:bottom w:val="none" w:sz="0" w:space="0" w:color="auto"/>
        <w:right w:val="none" w:sz="0" w:space="0" w:color="auto"/>
      </w:divBdr>
    </w:div>
    <w:div w:id="1158810747">
      <w:bodyDiv w:val="1"/>
      <w:marLeft w:val="0"/>
      <w:marRight w:val="0"/>
      <w:marTop w:val="0"/>
      <w:marBottom w:val="0"/>
      <w:divBdr>
        <w:top w:val="none" w:sz="0" w:space="0" w:color="auto"/>
        <w:left w:val="none" w:sz="0" w:space="0" w:color="auto"/>
        <w:bottom w:val="none" w:sz="0" w:space="0" w:color="auto"/>
        <w:right w:val="none" w:sz="0" w:space="0" w:color="auto"/>
      </w:divBdr>
    </w:div>
    <w:div w:id="1158813440">
      <w:bodyDiv w:val="1"/>
      <w:marLeft w:val="0"/>
      <w:marRight w:val="0"/>
      <w:marTop w:val="0"/>
      <w:marBottom w:val="0"/>
      <w:divBdr>
        <w:top w:val="none" w:sz="0" w:space="0" w:color="auto"/>
        <w:left w:val="none" w:sz="0" w:space="0" w:color="auto"/>
        <w:bottom w:val="none" w:sz="0" w:space="0" w:color="auto"/>
        <w:right w:val="none" w:sz="0" w:space="0" w:color="auto"/>
      </w:divBdr>
    </w:div>
    <w:div w:id="1158839546">
      <w:bodyDiv w:val="1"/>
      <w:marLeft w:val="0"/>
      <w:marRight w:val="0"/>
      <w:marTop w:val="0"/>
      <w:marBottom w:val="0"/>
      <w:divBdr>
        <w:top w:val="none" w:sz="0" w:space="0" w:color="auto"/>
        <w:left w:val="none" w:sz="0" w:space="0" w:color="auto"/>
        <w:bottom w:val="none" w:sz="0" w:space="0" w:color="auto"/>
        <w:right w:val="none" w:sz="0" w:space="0" w:color="auto"/>
      </w:divBdr>
    </w:div>
    <w:div w:id="1158839651">
      <w:bodyDiv w:val="1"/>
      <w:marLeft w:val="0"/>
      <w:marRight w:val="0"/>
      <w:marTop w:val="0"/>
      <w:marBottom w:val="0"/>
      <w:divBdr>
        <w:top w:val="none" w:sz="0" w:space="0" w:color="auto"/>
        <w:left w:val="none" w:sz="0" w:space="0" w:color="auto"/>
        <w:bottom w:val="none" w:sz="0" w:space="0" w:color="auto"/>
        <w:right w:val="none" w:sz="0" w:space="0" w:color="auto"/>
      </w:divBdr>
    </w:div>
    <w:div w:id="1158959613">
      <w:bodyDiv w:val="1"/>
      <w:marLeft w:val="0"/>
      <w:marRight w:val="0"/>
      <w:marTop w:val="0"/>
      <w:marBottom w:val="0"/>
      <w:divBdr>
        <w:top w:val="none" w:sz="0" w:space="0" w:color="auto"/>
        <w:left w:val="none" w:sz="0" w:space="0" w:color="auto"/>
        <w:bottom w:val="none" w:sz="0" w:space="0" w:color="auto"/>
        <w:right w:val="none" w:sz="0" w:space="0" w:color="auto"/>
      </w:divBdr>
    </w:div>
    <w:div w:id="1158962342">
      <w:bodyDiv w:val="1"/>
      <w:marLeft w:val="0"/>
      <w:marRight w:val="0"/>
      <w:marTop w:val="0"/>
      <w:marBottom w:val="0"/>
      <w:divBdr>
        <w:top w:val="none" w:sz="0" w:space="0" w:color="auto"/>
        <w:left w:val="none" w:sz="0" w:space="0" w:color="auto"/>
        <w:bottom w:val="none" w:sz="0" w:space="0" w:color="auto"/>
        <w:right w:val="none" w:sz="0" w:space="0" w:color="auto"/>
      </w:divBdr>
    </w:div>
    <w:div w:id="1159031180">
      <w:bodyDiv w:val="1"/>
      <w:marLeft w:val="0"/>
      <w:marRight w:val="0"/>
      <w:marTop w:val="0"/>
      <w:marBottom w:val="0"/>
      <w:divBdr>
        <w:top w:val="none" w:sz="0" w:space="0" w:color="auto"/>
        <w:left w:val="none" w:sz="0" w:space="0" w:color="auto"/>
        <w:bottom w:val="none" w:sz="0" w:space="0" w:color="auto"/>
        <w:right w:val="none" w:sz="0" w:space="0" w:color="auto"/>
      </w:divBdr>
    </w:div>
    <w:div w:id="1159078731">
      <w:bodyDiv w:val="1"/>
      <w:marLeft w:val="0"/>
      <w:marRight w:val="0"/>
      <w:marTop w:val="0"/>
      <w:marBottom w:val="0"/>
      <w:divBdr>
        <w:top w:val="none" w:sz="0" w:space="0" w:color="auto"/>
        <w:left w:val="none" w:sz="0" w:space="0" w:color="auto"/>
        <w:bottom w:val="none" w:sz="0" w:space="0" w:color="auto"/>
        <w:right w:val="none" w:sz="0" w:space="0" w:color="auto"/>
      </w:divBdr>
    </w:div>
    <w:div w:id="1159079580">
      <w:bodyDiv w:val="1"/>
      <w:marLeft w:val="0"/>
      <w:marRight w:val="0"/>
      <w:marTop w:val="0"/>
      <w:marBottom w:val="0"/>
      <w:divBdr>
        <w:top w:val="none" w:sz="0" w:space="0" w:color="auto"/>
        <w:left w:val="none" w:sz="0" w:space="0" w:color="auto"/>
        <w:bottom w:val="none" w:sz="0" w:space="0" w:color="auto"/>
        <w:right w:val="none" w:sz="0" w:space="0" w:color="auto"/>
      </w:divBdr>
    </w:div>
    <w:div w:id="1159082425">
      <w:bodyDiv w:val="1"/>
      <w:marLeft w:val="0"/>
      <w:marRight w:val="0"/>
      <w:marTop w:val="0"/>
      <w:marBottom w:val="0"/>
      <w:divBdr>
        <w:top w:val="none" w:sz="0" w:space="0" w:color="auto"/>
        <w:left w:val="none" w:sz="0" w:space="0" w:color="auto"/>
        <w:bottom w:val="none" w:sz="0" w:space="0" w:color="auto"/>
        <w:right w:val="none" w:sz="0" w:space="0" w:color="auto"/>
      </w:divBdr>
    </w:div>
    <w:div w:id="1159155904">
      <w:bodyDiv w:val="1"/>
      <w:marLeft w:val="0"/>
      <w:marRight w:val="0"/>
      <w:marTop w:val="0"/>
      <w:marBottom w:val="0"/>
      <w:divBdr>
        <w:top w:val="none" w:sz="0" w:space="0" w:color="auto"/>
        <w:left w:val="none" w:sz="0" w:space="0" w:color="auto"/>
        <w:bottom w:val="none" w:sz="0" w:space="0" w:color="auto"/>
        <w:right w:val="none" w:sz="0" w:space="0" w:color="auto"/>
      </w:divBdr>
    </w:div>
    <w:div w:id="1159156208">
      <w:bodyDiv w:val="1"/>
      <w:marLeft w:val="0"/>
      <w:marRight w:val="0"/>
      <w:marTop w:val="0"/>
      <w:marBottom w:val="0"/>
      <w:divBdr>
        <w:top w:val="none" w:sz="0" w:space="0" w:color="auto"/>
        <w:left w:val="none" w:sz="0" w:space="0" w:color="auto"/>
        <w:bottom w:val="none" w:sz="0" w:space="0" w:color="auto"/>
        <w:right w:val="none" w:sz="0" w:space="0" w:color="auto"/>
      </w:divBdr>
    </w:div>
    <w:div w:id="1159157791">
      <w:bodyDiv w:val="1"/>
      <w:marLeft w:val="0"/>
      <w:marRight w:val="0"/>
      <w:marTop w:val="0"/>
      <w:marBottom w:val="0"/>
      <w:divBdr>
        <w:top w:val="none" w:sz="0" w:space="0" w:color="auto"/>
        <w:left w:val="none" w:sz="0" w:space="0" w:color="auto"/>
        <w:bottom w:val="none" w:sz="0" w:space="0" w:color="auto"/>
        <w:right w:val="none" w:sz="0" w:space="0" w:color="auto"/>
      </w:divBdr>
    </w:div>
    <w:div w:id="1159268370">
      <w:bodyDiv w:val="1"/>
      <w:marLeft w:val="0"/>
      <w:marRight w:val="0"/>
      <w:marTop w:val="0"/>
      <w:marBottom w:val="0"/>
      <w:divBdr>
        <w:top w:val="none" w:sz="0" w:space="0" w:color="auto"/>
        <w:left w:val="none" w:sz="0" w:space="0" w:color="auto"/>
        <w:bottom w:val="none" w:sz="0" w:space="0" w:color="auto"/>
        <w:right w:val="none" w:sz="0" w:space="0" w:color="auto"/>
      </w:divBdr>
    </w:div>
    <w:div w:id="1159342123">
      <w:bodyDiv w:val="1"/>
      <w:marLeft w:val="0"/>
      <w:marRight w:val="0"/>
      <w:marTop w:val="0"/>
      <w:marBottom w:val="0"/>
      <w:divBdr>
        <w:top w:val="none" w:sz="0" w:space="0" w:color="auto"/>
        <w:left w:val="none" w:sz="0" w:space="0" w:color="auto"/>
        <w:bottom w:val="none" w:sz="0" w:space="0" w:color="auto"/>
        <w:right w:val="none" w:sz="0" w:space="0" w:color="auto"/>
      </w:divBdr>
    </w:div>
    <w:div w:id="1159420539">
      <w:bodyDiv w:val="1"/>
      <w:marLeft w:val="0"/>
      <w:marRight w:val="0"/>
      <w:marTop w:val="0"/>
      <w:marBottom w:val="0"/>
      <w:divBdr>
        <w:top w:val="none" w:sz="0" w:space="0" w:color="auto"/>
        <w:left w:val="none" w:sz="0" w:space="0" w:color="auto"/>
        <w:bottom w:val="none" w:sz="0" w:space="0" w:color="auto"/>
        <w:right w:val="none" w:sz="0" w:space="0" w:color="auto"/>
      </w:divBdr>
    </w:div>
    <w:div w:id="1159492456">
      <w:bodyDiv w:val="1"/>
      <w:marLeft w:val="0"/>
      <w:marRight w:val="0"/>
      <w:marTop w:val="0"/>
      <w:marBottom w:val="0"/>
      <w:divBdr>
        <w:top w:val="none" w:sz="0" w:space="0" w:color="auto"/>
        <w:left w:val="none" w:sz="0" w:space="0" w:color="auto"/>
        <w:bottom w:val="none" w:sz="0" w:space="0" w:color="auto"/>
        <w:right w:val="none" w:sz="0" w:space="0" w:color="auto"/>
      </w:divBdr>
    </w:div>
    <w:div w:id="1159619571">
      <w:bodyDiv w:val="1"/>
      <w:marLeft w:val="0"/>
      <w:marRight w:val="0"/>
      <w:marTop w:val="0"/>
      <w:marBottom w:val="0"/>
      <w:divBdr>
        <w:top w:val="none" w:sz="0" w:space="0" w:color="auto"/>
        <w:left w:val="none" w:sz="0" w:space="0" w:color="auto"/>
        <w:bottom w:val="none" w:sz="0" w:space="0" w:color="auto"/>
        <w:right w:val="none" w:sz="0" w:space="0" w:color="auto"/>
      </w:divBdr>
    </w:div>
    <w:div w:id="1159813135">
      <w:bodyDiv w:val="1"/>
      <w:marLeft w:val="0"/>
      <w:marRight w:val="0"/>
      <w:marTop w:val="0"/>
      <w:marBottom w:val="0"/>
      <w:divBdr>
        <w:top w:val="none" w:sz="0" w:space="0" w:color="auto"/>
        <w:left w:val="none" w:sz="0" w:space="0" w:color="auto"/>
        <w:bottom w:val="none" w:sz="0" w:space="0" w:color="auto"/>
        <w:right w:val="none" w:sz="0" w:space="0" w:color="auto"/>
      </w:divBdr>
    </w:div>
    <w:div w:id="1160075308">
      <w:bodyDiv w:val="1"/>
      <w:marLeft w:val="0"/>
      <w:marRight w:val="0"/>
      <w:marTop w:val="0"/>
      <w:marBottom w:val="0"/>
      <w:divBdr>
        <w:top w:val="none" w:sz="0" w:space="0" w:color="auto"/>
        <w:left w:val="none" w:sz="0" w:space="0" w:color="auto"/>
        <w:bottom w:val="none" w:sz="0" w:space="0" w:color="auto"/>
        <w:right w:val="none" w:sz="0" w:space="0" w:color="auto"/>
      </w:divBdr>
    </w:div>
    <w:div w:id="1160198585">
      <w:bodyDiv w:val="1"/>
      <w:marLeft w:val="0"/>
      <w:marRight w:val="0"/>
      <w:marTop w:val="0"/>
      <w:marBottom w:val="0"/>
      <w:divBdr>
        <w:top w:val="none" w:sz="0" w:space="0" w:color="auto"/>
        <w:left w:val="none" w:sz="0" w:space="0" w:color="auto"/>
        <w:bottom w:val="none" w:sz="0" w:space="0" w:color="auto"/>
        <w:right w:val="none" w:sz="0" w:space="0" w:color="auto"/>
      </w:divBdr>
    </w:div>
    <w:div w:id="1160342653">
      <w:bodyDiv w:val="1"/>
      <w:marLeft w:val="0"/>
      <w:marRight w:val="0"/>
      <w:marTop w:val="0"/>
      <w:marBottom w:val="0"/>
      <w:divBdr>
        <w:top w:val="none" w:sz="0" w:space="0" w:color="auto"/>
        <w:left w:val="none" w:sz="0" w:space="0" w:color="auto"/>
        <w:bottom w:val="none" w:sz="0" w:space="0" w:color="auto"/>
        <w:right w:val="none" w:sz="0" w:space="0" w:color="auto"/>
      </w:divBdr>
    </w:div>
    <w:div w:id="1160535048">
      <w:bodyDiv w:val="1"/>
      <w:marLeft w:val="0"/>
      <w:marRight w:val="0"/>
      <w:marTop w:val="0"/>
      <w:marBottom w:val="0"/>
      <w:divBdr>
        <w:top w:val="none" w:sz="0" w:space="0" w:color="auto"/>
        <w:left w:val="none" w:sz="0" w:space="0" w:color="auto"/>
        <w:bottom w:val="none" w:sz="0" w:space="0" w:color="auto"/>
        <w:right w:val="none" w:sz="0" w:space="0" w:color="auto"/>
      </w:divBdr>
    </w:div>
    <w:div w:id="1160582533">
      <w:bodyDiv w:val="1"/>
      <w:marLeft w:val="0"/>
      <w:marRight w:val="0"/>
      <w:marTop w:val="0"/>
      <w:marBottom w:val="0"/>
      <w:divBdr>
        <w:top w:val="none" w:sz="0" w:space="0" w:color="auto"/>
        <w:left w:val="none" w:sz="0" w:space="0" w:color="auto"/>
        <w:bottom w:val="none" w:sz="0" w:space="0" w:color="auto"/>
        <w:right w:val="none" w:sz="0" w:space="0" w:color="auto"/>
      </w:divBdr>
    </w:div>
    <w:div w:id="1160656703">
      <w:bodyDiv w:val="1"/>
      <w:marLeft w:val="0"/>
      <w:marRight w:val="0"/>
      <w:marTop w:val="0"/>
      <w:marBottom w:val="0"/>
      <w:divBdr>
        <w:top w:val="none" w:sz="0" w:space="0" w:color="auto"/>
        <w:left w:val="none" w:sz="0" w:space="0" w:color="auto"/>
        <w:bottom w:val="none" w:sz="0" w:space="0" w:color="auto"/>
        <w:right w:val="none" w:sz="0" w:space="0" w:color="auto"/>
      </w:divBdr>
    </w:div>
    <w:div w:id="1161040258">
      <w:bodyDiv w:val="1"/>
      <w:marLeft w:val="0"/>
      <w:marRight w:val="0"/>
      <w:marTop w:val="0"/>
      <w:marBottom w:val="0"/>
      <w:divBdr>
        <w:top w:val="none" w:sz="0" w:space="0" w:color="auto"/>
        <w:left w:val="none" w:sz="0" w:space="0" w:color="auto"/>
        <w:bottom w:val="none" w:sz="0" w:space="0" w:color="auto"/>
        <w:right w:val="none" w:sz="0" w:space="0" w:color="auto"/>
      </w:divBdr>
    </w:div>
    <w:div w:id="1161116663">
      <w:bodyDiv w:val="1"/>
      <w:marLeft w:val="0"/>
      <w:marRight w:val="0"/>
      <w:marTop w:val="0"/>
      <w:marBottom w:val="0"/>
      <w:divBdr>
        <w:top w:val="none" w:sz="0" w:space="0" w:color="auto"/>
        <w:left w:val="none" w:sz="0" w:space="0" w:color="auto"/>
        <w:bottom w:val="none" w:sz="0" w:space="0" w:color="auto"/>
        <w:right w:val="none" w:sz="0" w:space="0" w:color="auto"/>
      </w:divBdr>
    </w:div>
    <w:div w:id="1161312135">
      <w:bodyDiv w:val="1"/>
      <w:marLeft w:val="0"/>
      <w:marRight w:val="0"/>
      <w:marTop w:val="0"/>
      <w:marBottom w:val="0"/>
      <w:divBdr>
        <w:top w:val="none" w:sz="0" w:space="0" w:color="auto"/>
        <w:left w:val="none" w:sz="0" w:space="0" w:color="auto"/>
        <w:bottom w:val="none" w:sz="0" w:space="0" w:color="auto"/>
        <w:right w:val="none" w:sz="0" w:space="0" w:color="auto"/>
      </w:divBdr>
    </w:div>
    <w:div w:id="1161504762">
      <w:bodyDiv w:val="1"/>
      <w:marLeft w:val="0"/>
      <w:marRight w:val="0"/>
      <w:marTop w:val="0"/>
      <w:marBottom w:val="0"/>
      <w:divBdr>
        <w:top w:val="none" w:sz="0" w:space="0" w:color="auto"/>
        <w:left w:val="none" w:sz="0" w:space="0" w:color="auto"/>
        <w:bottom w:val="none" w:sz="0" w:space="0" w:color="auto"/>
        <w:right w:val="none" w:sz="0" w:space="0" w:color="auto"/>
      </w:divBdr>
    </w:div>
    <w:div w:id="1161658092">
      <w:bodyDiv w:val="1"/>
      <w:marLeft w:val="0"/>
      <w:marRight w:val="0"/>
      <w:marTop w:val="0"/>
      <w:marBottom w:val="0"/>
      <w:divBdr>
        <w:top w:val="none" w:sz="0" w:space="0" w:color="auto"/>
        <w:left w:val="none" w:sz="0" w:space="0" w:color="auto"/>
        <w:bottom w:val="none" w:sz="0" w:space="0" w:color="auto"/>
        <w:right w:val="none" w:sz="0" w:space="0" w:color="auto"/>
      </w:divBdr>
    </w:div>
    <w:div w:id="1161694285">
      <w:bodyDiv w:val="1"/>
      <w:marLeft w:val="0"/>
      <w:marRight w:val="0"/>
      <w:marTop w:val="0"/>
      <w:marBottom w:val="0"/>
      <w:divBdr>
        <w:top w:val="none" w:sz="0" w:space="0" w:color="auto"/>
        <w:left w:val="none" w:sz="0" w:space="0" w:color="auto"/>
        <w:bottom w:val="none" w:sz="0" w:space="0" w:color="auto"/>
        <w:right w:val="none" w:sz="0" w:space="0" w:color="auto"/>
      </w:divBdr>
    </w:div>
    <w:div w:id="1161694951">
      <w:bodyDiv w:val="1"/>
      <w:marLeft w:val="0"/>
      <w:marRight w:val="0"/>
      <w:marTop w:val="0"/>
      <w:marBottom w:val="0"/>
      <w:divBdr>
        <w:top w:val="none" w:sz="0" w:space="0" w:color="auto"/>
        <w:left w:val="none" w:sz="0" w:space="0" w:color="auto"/>
        <w:bottom w:val="none" w:sz="0" w:space="0" w:color="auto"/>
        <w:right w:val="none" w:sz="0" w:space="0" w:color="auto"/>
      </w:divBdr>
    </w:div>
    <w:div w:id="1161779119">
      <w:bodyDiv w:val="1"/>
      <w:marLeft w:val="0"/>
      <w:marRight w:val="0"/>
      <w:marTop w:val="0"/>
      <w:marBottom w:val="0"/>
      <w:divBdr>
        <w:top w:val="none" w:sz="0" w:space="0" w:color="auto"/>
        <w:left w:val="none" w:sz="0" w:space="0" w:color="auto"/>
        <w:bottom w:val="none" w:sz="0" w:space="0" w:color="auto"/>
        <w:right w:val="none" w:sz="0" w:space="0" w:color="auto"/>
      </w:divBdr>
    </w:div>
    <w:div w:id="1161850988">
      <w:bodyDiv w:val="1"/>
      <w:marLeft w:val="0"/>
      <w:marRight w:val="0"/>
      <w:marTop w:val="0"/>
      <w:marBottom w:val="0"/>
      <w:divBdr>
        <w:top w:val="none" w:sz="0" w:space="0" w:color="auto"/>
        <w:left w:val="none" w:sz="0" w:space="0" w:color="auto"/>
        <w:bottom w:val="none" w:sz="0" w:space="0" w:color="auto"/>
        <w:right w:val="none" w:sz="0" w:space="0" w:color="auto"/>
      </w:divBdr>
    </w:div>
    <w:div w:id="1161852807">
      <w:bodyDiv w:val="1"/>
      <w:marLeft w:val="0"/>
      <w:marRight w:val="0"/>
      <w:marTop w:val="0"/>
      <w:marBottom w:val="0"/>
      <w:divBdr>
        <w:top w:val="none" w:sz="0" w:space="0" w:color="auto"/>
        <w:left w:val="none" w:sz="0" w:space="0" w:color="auto"/>
        <w:bottom w:val="none" w:sz="0" w:space="0" w:color="auto"/>
        <w:right w:val="none" w:sz="0" w:space="0" w:color="auto"/>
      </w:divBdr>
    </w:div>
    <w:div w:id="1161888324">
      <w:bodyDiv w:val="1"/>
      <w:marLeft w:val="0"/>
      <w:marRight w:val="0"/>
      <w:marTop w:val="0"/>
      <w:marBottom w:val="0"/>
      <w:divBdr>
        <w:top w:val="none" w:sz="0" w:space="0" w:color="auto"/>
        <w:left w:val="none" w:sz="0" w:space="0" w:color="auto"/>
        <w:bottom w:val="none" w:sz="0" w:space="0" w:color="auto"/>
        <w:right w:val="none" w:sz="0" w:space="0" w:color="auto"/>
      </w:divBdr>
    </w:div>
    <w:div w:id="1161890364">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162349519">
      <w:bodyDiv w:val="1"/>
      <w:marLeft w:val="0"/>
      <w:marRight w:val="0"/>
      <w:marTop w:val="0"/>
      <w:marBottom w:val="0"/>
      <w:divBdr>
        <w:top w:val="none" w:sz="0" w:space="0" w:color="auto"/>
        <w:left w:val="none" w:sz="0" w:space="0" w:color="auto"/>
        <w:bottom w:val="none" w:sz="0" w:space="0" w:color="auto"/>
        <w:right w:val="none" w:sz="0" w:space="0" w:color="auto"/>
      </w:divBdr>
    </w:div>
    <w:div w:id="1162353509">
      <w:bodyDiv w:val="1"/>
      <w:marLeft w:val="0"/>
      <w:marRight w:val="0"/>
      <w:marTop w:val="0"/>
      <w:marBottom w:val="0"/>
      <w:divBdr>
        <w:top w:val="none" w:sz="0" w:space="0" w:color="auto"/>
        <w:left w:val="none" w:sz="0" w:space="0" w:color="auto"/>
        <w:bottom w:val="none" w:sz="0" w:space="0" w:color="auto"/>
        <w:right w:val="none" w:sz="0" w:space="0" w:color="auto"/>
      </w:divBdr>
    </w:div>
    <w:div w:id="1162425298">
      <w:bodyDiv w:val="1"/>
      <w:marLeft w:val="0"/>
      <w:marRight w:val="0"/>
      <w:marTop w:val="0"/>
      <w:marBottom w:val="0"/>
      <w:divBdr>
        <w:top w:val="none" w:sz="0" w:space="0" w:color="auto"/>
        <w:left w:val="none" w:sz="0" w:space="0" w:color="auto"/>
        <w:bottom w:val="none" w:sz="0" w:space="0" w:color="auto"/>
        <w:right w:val="none" w:sz="0" w:space="0" w:color="auto"/>
      </w:divBdr>
    </w:div>
    <w:div w:id="1162425813">
      <w:bodyDiv w:val="1"/>
      <w:marLeft w:val="0"/>
      <w:marRight w:val="0"/>
      <w:marTop w:val="0"/>
      <w:marBottom w:val="0"/>
      <w:divBdr>
        <w:top w:val="none" w:sz="0" w:space="0" w:color="auto"/>
        <w:left w:val="none" w:sz="0" w:space="0" w:color="auto"/>
        <w:bottom w:val="none" w:sz="0" w:space="0" w:color="auto"/>
        <w:right w:val="none" w:sz="0" w:space="0" w:color="auto"/>
      </w:divBdr>
    </w:div>
    <w:div w:id="1162427810">
      <w:bodyDiv w:val="1"/>
      <w:marLeft w:val="0"/>
      <w:marRight w:val="0"/>
      <w:marTop w:val="0"/>
      <w:marBottom w:val="0"/>
      <w:divBdr>
        <w:top w:val="none" w:sz="0" w:space="0" w:color="auto"/>
        <w:left w:val="none" w:sz="0" w:space="0" w:color="auto"/>
        <w:bottom w:val="none" w:sz="0" w:space="0" w:color="auto"/>
        <w:right w:val="none" w:sz="0" w:space="0" w:color="auto"/>
      </w:divBdr>
    </w:div>
    <w:div w:id="1162427884">
      <w:bodyDiv w:val="1"/>
      <w:marLeft w:val="0"/>
      <w:marRight w:val="0"/>
      <w:marTop w:val="0"/>
      <w:marBottom w:val="0"/>
      <w:divBdr>
        <w:top w:val="none" w:sz="0" w:space="0" w:color="auto"/>
        <w:left w:val="none" w:sz="0" w:space="0" w:color="auto"/>
        <w:bottom w:val="none" w:sz="0" w:space="0" w:color="auto"/>
        <w:right w:val="none" w:sz="0" w:space="0" w:color="auto"/>
      </w:divBdr>
    </w:div>
    <w:div w:id="1162503761">
      <w:bodyDiv w:val="1"/>
      <w:marLeft w:val="0"/>
      <w:marRight w:val="0"/>
      <w:marTop w:val="0"/>
      <w:marBottom w:val="0"/>
      <w:divBdr>
        <w:top w:val="none" w:sz="0" w:space="0" w:color="auto"/>
        <w:left w:val="none" w:sz="0" w:space="0" w:color="auto"/>
        <w:bottom w:val="none" w:sz="0" w:space="0" w:color="auto"/>
        <w:right w:val="none" w:sz="0" w:space="0" w:color="auto"/>
      </w:divBdr>
    </w:div>
    <w:div w:id="1162549973">
      <w:bodyDiv w:val="1"/>
      <w:marLeft w:val="0"/>
      <w:marRight w:val="0"/>
      <w:marTop w:val="0"/>
      <w:marBottom w:val="0"/>
      <w:divBdr>
        <w:top w:val="none" w:sz="0" w:space="0" w:color="auto"/>
        <w:left w:val="none" w:sz="0" w:space="0" w:color="auto"/>
        <w:bottom w:val="none" w:sz="0" w:space="0" w:color="auto"/>
        <w:right w:val="none" w:sz="0" w:space="0" w:color="auto"/>
      </w:divBdr>
    </w:div>
    <w:div w:id="1162623899">
      <w:bodyDiv w:val="1"/>
      <w:marLeft w:val="0"/>
      <w:marRight w:val="0"/>
      <w:marTop w:val="0"/>
      <w:marBottom w:val="0"/>
      <w:divBdr>
        <w:top w:val="none" w:sz="0" w:space="0" w:color="auto"/>
        <w:left w:val="none" w:sz="0" w:space="0" w:color="auto"/>
        <w:bottom w:val="none" w:sz="0" w:space="0" w:color="auto"/>
        <w:right w:val="none" w:sz="0" w:space="0" w:color="auto"/>
      </w:divBdr>
    </w:div>
    <w:div w:id="1162740872">
      <w:bodyDiv w:val="1"/>
      <w:marLeft w:val="0"/>
      <w:marRight w:val="0"/>
      <w:marTop w:val="0"/>
      <w:marBottom w:val="0"/>
      <w:divBdr>
        <w:top w:val="none" w:sz="0" w:space="0" w:color="auto"/>
        <w:left w:val="none" w:sz="0" w:space="0" w:color="auto"/>
        <w:bottom w:val="none" w:sz="0" w:space="0" w:color="auto"/>
        <w:right w:val="none" w:sz="0" w:space="0" w:color="auto"/>
      </w:divBdr>
    </w:div>
    <w:div w:id="1163005676">
      <w:bodyDiv w:val="1"/>
      <w:marLeft w:val="0"/>
      <w:marRight w:val="0"/>
      <w:marTop w:val="0"/>
      <w:marBottom w:val="0"/>
      <w:divBdr>
        <w:top w:val="none" w:sz="0" w:space="0" w:color="auto"/>
        <w:left w:val="none" w:sz="0" w:space="0" w:color="auto"/>
        <w:bottom w:val="none" w:sz="0" w:space="0" w:color="auto"/>
        <w:right w:val="none" w:sz="0" w:space="0" w:color="auto"/>
      </w:divBdr>
    </w:div>
    <w:div w:id="1163008522">
      <w:bodyDiv w:val="1"/>
      <w:marLeft w:val="0"/>
      <w:marRight w:val="0"/>
      <w:marTop w:val="0"/>
      <w:marBottom w:val="0"/>
      <w:divBdr>
        <w:top w:val="none" w:sz="0" w:space="0" w:color="auto"/>
        <w:left w:val="none" w:sz="0" w:space="0" w:color="auto"/>
        <w:bottom w:val="none" w:sz="0" w:space="0" w:color="auto"/>
        <w:right w:val="none" w:sz="0" w:space="0" w:color="auto"/>
      </w:divBdr>
    </w:div>
    <w:div w:id="1163084931">
      <w:bodyDiv w:val="1"/>
      <w:marLeft w:val="0"/>
      <w:marRight w:val="0"/>
      <w:marTop w:val="0"/>
      <w:marBottom w:val="0"/>
      <w:divBdr>
        <w:top w:val="none" w:sz="0" w:space="0" w:color="auto"/>
        <w:left w:val="none" w:sz="0" w:space="0" w:color="auto"/>
        <w:bottom w:val="none" w:sz="0" w:space="0" w:color="auto"/>
        <w:right w:val="none" w:sz="0" w:space="0" w:color="auto"/>
      </w:divBdr>
    </w:div>
    <w:div w:id="1163274035">
      <w:bodyDiv w:val="1"/>
      <w:marLeft w:val="0"/>
      <w:marRight w:val="0"/>
      <w:marTop w:val="0"/>
      <w:marBottom w:val="0"/>
      <w:divBdr>
        <w:top w:val="none" w:sz="0" w:space="0" w:color="auto"/>
        <w:left w:val="none" w:sz="0" w:space="0" w:color="auto"/>
        <w:bottom w:val="none" w:sz="0" w:space="0" w:color="auto"/>
        <w:right w:val="none" w:sz="0" w:space="0" w:color="auto"/>
      </w:divBdr>
    </w:div>
    <w:div w:id="1163348931">
      <w:bodyDiv w:val="1"/>
      <w:marLeft w:val="0"/>
      <w:marRight w:val="0"/>
      <w:marTop w:val="0"/>
      <w:marBottom w:val="0"/>
      <w:divBdr>
        <w:top w:val="none" w:sz="0" w:space="0" w:color="auto"/>
        <w:left w:val="none" w:sz="0" w:space="0" w:color="auto"/>
        <w:bottom w:val="none" w:sz="0" w:space="0" w:color="auto"/>
        <w:right w:val="none" w:sz="0" w:space="0" w:color="auto"/>
      </w:divBdr>
    </w:div>
    <w:div w:id="1163354696">
      <w:bodyDiv w:val="1"/>
      <w:marLeft w:val="0"/>
      <w:marRight w:val="0"/>
      <w:marTop w:val="0"/>
      <w:marBottom w:val="0"/>
      <w:divBdr>
        <w:top w:val="none" w:sz="0" w:space="0" w:color="auto"/>
        <w:left w:val="none" w:sz="0" w:space="0" w:color="auto"/>
        <w:bottom w:val="none" w:sz="0" w:space="0" w:color="auto"/>
        <w:right w:val="none" w:sz="0" w:space="0" w:color="auto"/>
      </w:divBdr>
    </w:div>
    <w:div w:id="1163395907">
      <w:bodyDiv w:val="1"/>
      <w:marLeft w:val="0"/>
      <w:marRight w:val="0"/>
      <w:marTop w:val="0"/>
      <w:marBottom w:val="0"/>
      <w:divBdr>
        <w:top w:val="none" w:sz="0" w:space="0" w:color="auto"/>
        <w:left w:val="none" w:sz="0" w:space="0" w:color="auto"/>
        <w:bottom w:val="none" w:sz="0" w:space="0" w:color="auto"/>
        <w:right w:val="none" w:sz="0" w:space="0" w:color="auto"/>
      </w:divBdr>
    </w:div>
    <w:div w:id="1163549177">
      <w:bodyDiv w:val="1"/>
      <w:marLeft w:val="0"/>
      <w:marRight w:val="0"/>
      <w:marTop w:val="0"/>
      <w:marBottom w:val="0"/>
      <w:divBdr>
        <w:top w:val="none" w:sz="0" w:space="0" w:color="auto"/>
        <w:left w:val="none" w:sz="0" w:space="0" w:color="auto"/>
        <w:bottom w:val="none" w:sz="0" w:space="0" w:color="auto"/>
        <w:right w:val="none" w:sz="0" w:space="0" w:color="auto"/>
      </w:divBdr>
    </w:div>
    <w:div w:id="1163593827">
      <w:bodyDiv w:val="1"/>
      <w:marLeft w:val="0"/>
      <w:marRight w:val="0"/>
      <w:marTop w:val="0"/>
      <w:marBottom w:val="0"/>
      <w:divBdr>
        <w:top w:val="none" w:sz="0" w:space="0" w:color="auto"/>
        <w:left w:val="none" w:sz="0" w:space="0" w:color="auto"/>
        <w:bottom w:val="none" w:sz="0" w:space="0" w:color="auto"/>
        <w:right w:val="none" w:sz="0" w:space="0" w:color="auto"/>
      </w:divBdr>
    </w:div>
    <w:div w:id="1163744083">
      <w:bodyDiv w:val="1"/>
      <w:marLeft w:val="0"/>
      <w:marRight w:val="0"/>
      <w:marTop w:val="0"/>
      <w:marBottom w:val="0"/>
      <w:divBdr>
        <w:top w:val="none" w:sz="0" w:space="0" w:color="auto"/>
        <w:left w:val="none" w:sz="0" w:space="0" w:color="auto"/>
        <w:bottom w:val="none" w:sz="0" w:space="0" w:color="auto"/>
        <w:right w:val="none" w:sz="0" w:space="0" w:color="auto"/>
      </w:divBdr>
    </w:div>
    <w:div w:id="1163886539">
      <w:bodyDiv w:val="1"/>
      <w:marLeft w:val="0"/>
      <w:marRight w:val="0"/>
      <w:marTop w:val="0"/>
      <w:marBottom w:val="0"/>
      <w:divBdr>
        <w:top w:val="none" w:sz="0" w:space="0" w:color="auto"/>
        <w:left w:val="none" w:sz="0" w:space="0" w:color="auto"/>
        <w:bottom w:val="none" w:sz="0" w:space="0" w:color="auto"/>
        <w:right w:val="none" w:sz="0" w:space="0" w:color="auto"/>
      </w:divBdr>
    </w:div>
    <w:div w:id="1164051803">
      <w:bodyDiv w:val="1"/>
      <w:marLeft w:val="0"/>
      <w:marRight w:val="0"/>
      <w:marTop w:val="0"/>
      <w:marBottom w:val="0"/>
      <w:divBdr>
        <w:top w:val="none" w:sz="0" w:space="0" w:color="auto"/>
        <w:left w:val="none" w:sz="0" w:space="0" w:color="auto"/>
        <w:bottom w:val="none" w:sz="0" w:space="0" w:color="auto"/>
        <w:right w:val="none" w:sz="0" w:space="0" w:color="auto"/>
      </w:divBdr>
    </w:div>
    <w:div w:id="1164127629">
      <w:bodyDiv w:val="1"/>
      <w:marLeft w:val="0"/>
      <w:marRight w:val="0"/>
      <w:marTop w:val="0"/>
      <w:marBottom w:val="0"/>
      <w:divBdr>
        <w:top w:val="none" w:sz="0" w:space="0" w:color="auto"/>
        <w:left w:val="none" w:sz="0" w:space="0" w:color="auto"/>
        <w:bottom w:val="none" w:sz="0" w:space="0" w:color="auto"/>
        <w:right w:val="none" w:sz="0" w:space="0" w:color="auto"/>
      </w:divBdr>
    </w:div>
    <w:div w:id="1164316456">
      <w:bodyDiv w:val="1"/>
      <w:marLeft w:val="0"/>
      <w:marRight w:val="0"/>
      <w:marTop w:val="0"/>
      <w:marBottom w:val="0"/>
      <w:divBdr>
        <w:top w:val="none" w:sz="0" w:space="0" w:color="auto"/>
        <w:left w:val="none" w:sz="0" w:space="0" w:color="auto"/>
        <w:bottom w:val="none" w:sz="0" w:space="0" w:color="auto"/>
        <w:right w:val="none" w:sz="0" w:space="0" w:color="auto"/>
      </w:divBdr>
    </w:div>
    <w:div w:id="1164319733">
      <w:bodyDiv w:val="1"/>
      <w:marLeft w:val="0"/>
      <w:marRight w:val="0"/>
      <w:marTop w:val="0"/>
      <w:marBottom w:val="0"/>
      <w:divBdr>
        <w:top w:val="none" w:sz="0" w:space="0" w:color="auto"/>
        <w:left w:val="none" w:sz="0" w:space="0" w:color="auto"/>
        <w:bottom w:val="none" w:sz="0" w:space="0" w:color="auto"/>
        <w:right w:val="none" w:sz="0" w:space="0" w:color="auto"/>
      </w:divBdr>
    </w:div>
    <w:div w:id="1164322135">
      <w:bodyDiv w:val="1"/>
      <w:marLeft w:val="0"/>
      <w:marRight w:val="0"/>
      <w:marTop w:val="0"/>
      <w:marBottom w:val="0"/>
      <w:divBdr>
        <w:top w:val="none" w:sz="0" w:space="0" w:color="auto"/>
        <w:left w:val="none" w:sz="0" w:space="0" w:color="auto"/>
        <w:bottom w:val="none" w:sz="0" w:space="0" w:color="auto"/>
        <w:right w:val="none" w:sz="0" w:space="0" w:color="auto"/>
      </w:divBdr>
    </w:div>
    <w:div w:id="1164323225">
      <w:bodyDiv w:val="1"/>
      <w:marLeft w:val="0"/>
      <w:marRight w:val="0"/>
      <w:marTop w:val="0"/>
      <w:marBottom w:val="0"/>
      <w:divBdr>
        <w:top w:val="none" w:sz="0" w:space="0" w:color="auto"/>
        <w:left w:val="none" w:sz="0" w:space="0" w:color="auto"/>
        <w:bottom w:val="none" w:sz="0" w:space="0" w:color="auto"/>
        <w:right w:val="none" w:sz="0" w:space="0" w:color="auto"/>
      </w:divBdr>
    </w:div>
    <w:div w:id="1164392263">
      <w:bodyDiv w:val="1"/>
      <w:marLeft w:val="0"/>
      <w:marRight w:val="0"/>
      <w:marTop w:val="0"/>
      <w:marBottom w:val="0"/>
      <w:divBdr>
        <w:top w:val="none" w:sz="0" w:space="0" w:color="auto"/>
        <w:left w:val="none" w:sz="0" w:space="0" w:color="auto"/>
        <w:bottom w:val="none" w:sz="0" w:space="0" w:color="auto"/>
        <w:right w:val="none" w:sz="0" w:space="0" w:color="auto"/>
      </w:divBdr>
    </w:div>
    <w:div w:id="1164395573">
      <w:bodyDiv w:val="1"/>
      <w:marLeft w:val="0"/>
      <w:marRight w:val="0"/>
      <w:marTop w:val="0"/>
      <w:marBottom w:val="0"/>
      <w:divBdr>
        <w:top w:val="none" w:sz="0" w:space="0" w:color="auto"/>
        <w:left w:val="none" w:sz="0" w:space="0" w:color="auto"/>
        <w:bottom w:val="none" w:sz="0" w:space="0" w:color="auto"/>
        <w:right w:val="none" w:sz="0" w:space="0" w:color="auto"/>
      </w:divBdr>
    </w:div>
    <w:div w:id="1164662689">
      <w:bodyDiv w:val="1"/>
      <w:marLeft w:val="0"/>
      <w:marRight w:val="0"/>
      <w:marTop w:val="0"/>
      <w:marBottom w:val="0"/>
      <w:divBdr>
        <w:top w:val="none" w:sz="0" w:space="0" w:color="auto"/>
        <w:left w:val="none" w:sz="0" w:space="0" w:color="auto"/>
        <w:bottom w:val="none" w:sz="0" w:space="0" w:color="auto"/>
        <w:right w:val="none" w:sz="0" w:space="0" w:color="auto"/>
      </w:divBdr>
    </w:div>
    <w:div w:id="1164664749">
      <w:bodyDiv w:val="1"/>
      <w:marLeft w:val="0"/>
      <w:marRight w:val="0"/>
      <w:marTop w:val="0"/>
      <w:marBottom w:val="0"/>
      <w:divBdr>
        <w:top w:val="none" w:sz="0" w:space="0" w:color="auto"/>
        <w:left w:val="none" w:sz="0" w:space="0" w:color="auto"/>
        <w:bottom w:val="none" w:sz="0" w:space="0" w:color="auto"/>
        <w:right w:val="none" w:sz="0" w:space="0" w:color="auto"/>
      </w:divBdr>
    </w:div>
    <w:div w:id="1164737520">
      <w:bodyDiv w:val="1"/>
      <w:marLeft w:val="0"/>
      <w:marRight w:val="0"/>
      <w:marTop w:val="0"/>
      <w:marBottom w:val="0"/>
      <w:divBdr>
        <w:top w:val="none" w:sz="0" w:space="0" w:color="auto"/>
        <w:left w:val="none" w:sz="0" w:space="0" w:color="auto"/>
        <w:bottom w:val="none" w:sz="0" w:space="0" w:color="auto"/>
        <w:right w:val="none" w:sz="0" w:space="0" w:color="auto"/>
      </w:divBdr>
    </w:div>
    <w:div w:id="1164853739">
      <w:bodyDiv w:val="1"/>
      <w:marLeft w:val="0"/>
      <w:marRight w:val="0"/>
      <w:marTop w:val="0"/>
      <w:marBottom w:val="0"/>
      <w:divBdr>
        <w:top w:val="none" w:sz="0" w:space="0" w:color="auto"/>
        <w:left w:val="none" w:sz="0" w:space="0" w:color="auto"/>
        <w:bottom w:val="none" w:sz="0" w:space="0" w:color="auto"/>
        <w:right w:val="none" w:sz="0" w:space="0" w:color="auto"/>
      </w:divBdr>
    </w:div>
    <w:div w:id="1164858270">
      <w:bodyDiv w:val="1"/>
      <w:marLeft w:val="0"/>
      <w:marRight w:val="0"/>
      <w:marTop w:val="0"/>
      <w:marBottom w:val="0"/>
      <w:divBdr>
        <w:top w:val="none" w:sz="0" w:space="0" w:color="auto"/>
        <w:left w:val="none" w:sz="0" w:space="0" w:color="auto"/>
        <w:bottom w:val="none" w:sz="0" w:space="0" w:color="auto"/>
        <w:right w:val="none" w:sz="0" w:space="0" w:color="auto"/>
      </w:divBdr>
    </w:div>
    <w:div w:id="1165121358">
      <w:bodyDiv w:val="1"/>
      <w:marLeft w:val="0"/>
      <w:marRight w:val="0"/>
      <w:marTop w:val="0"/>
      <w:marBottom w:val="0"/>
      <w:divBdr>
        <w:top w:val="none" w:sz="0" w:space="0" w:color="auto"/>
        <w:left w:val="none" w:sz="0" w:space="0" w:color="auto"/>
        <w:bottom w:val="none" w:sz="0" w:space="0" w:color="auto"/>
        <w:right w:val="none" w:sz="0" w:space="0" w:color="auto"/>
      </w:divBdr>
    </w:div>
    <w:div w:id="1165166753">
      <w:bodyDiv w:val="1"/>
      <w:marLeft w:val="0"/>
      <w:marRight w:val="0"/>
      <w:marTop w:val="0"/>
      <w:marBottom w:val="0"/>
      <w:divBdr>
        <w:top w:val="none" w:sz="0" w:space="0" w:color="auto"/>
        <w:left w:val="none" w:sz="0" w:space="0" w:color="auto"/>
        <w:bottom w:val="none" w:sz="0" w:space="0" w:color="auto"/>
        <w:right w:val="none" w:sz="0" w:space="0" w:color="auto"/>
      </w:divBdr>
    </w:div>
    <w:div w:id="1165168421">
      <w:bodyDiv w:val="1"/>
      <w:marLeft w:val="0"/>
      <w:marRight w:val="0"/>
      <w:marTop w:val="0"/>
      <w:marBottom w:val="0"/>
      <w:divBdr>
        <w:top w:val="none" w:sz="0" w:space="0" w:color="auto"/>
        <w:left w:val="none" w:sz="0" w:space="0" w:color="auto"/>
        <w:bottom w:val="none" w:sz="0" w:space="0" w:color="auto"/>
        <w:right w:val="none" w:sz="0" w:space="0" w:color="auto"/>
      </w:divBdr>
    </w:div>
    <w:div w:id="1165244476">
      <w:bodyDiv w:val="1"/>
      <w:marLeft w:val="0"/>
      <w:marRight w:val="0"/>
      <w:marTop w:val="0"/>
      <w:marBottom w:val="0"/>
      <w:divBdr>
        <w:top w:val="none" w:sz="0" w:space="0" w:color="auto"/>
        <w:left w:val="none" w:sz="0" w:space="0" w:color="auto"/>
        <w:bottom w:val="none" w:sz="0" w:space="0" w:color="auto"/>
        <w:right w:val="none" w:sz="0" w:space="0" w:color="auto"/>
      </w:divBdr>
    </w:div>
    <w:div w:id="1165438978">
      <w:bodyDiv w:val="1"/>
      <w:marLeft w:val="0"/>
      <w:marRight w:val="0"/>
      <w:marTop w:val="0"/>
      <w:marBottom w:val="0"/>
      <w:divBdr>
        <w:top w:val="none" w:sz="0" w:space="0" w:color="auto"/>
        <w:left w:val="none" w:sz="0" w:space="0" w:color="auto"/>
        <w:bottom w:val="none" w:sz="0" w:space="0" w:color="auto"/>
        <w:right w:val="none" w:sz="0" w:space="0" w:color="auto"/>
      </w:divBdr>
    </w:div>
    <w:div w:id="1165559151">
      <w:bodyDiv w:val="1"/>
      <w:marLeft w:val="0"/>
      <w:marRight w:val="0"/>
      <w:marTop w:val="0"/>
      <w:marBottom w:val="0"/>
      <w:divBdr>
        <w:top w:val="none" w:sz="0" w:space="0" w:color="auto"/>
        <w:left w:val="none" w:sz="0" w:space="0" w:color="auto"/>
        <w:bottom w:val="none" w:sz="0" w:space="0" w:color="auto"/>
        <w:right w:val="none" w:sz="0" w:space="0" w:color="auto"/>
      </w:divBdr>
    </w:div>
    <w:div w:id="1165701156">
      <w:bodyDiv w:val="1"/>
      <w:marLeft w:val="0"/>
      <w:marRight w:val="0"/>
      <w:marTop w:val="0"/>
      <w:marBottom w:val="0"/>
      <w:divBdr>
        <w:top w:val="none" w:sz="0" w:space="0" w:color="auto"/>
        <w:left w:val="none" w:sz="0" w:space="0" w:color="auto"/>
        <w:bottom w:val="none" w:sz="0" w:space="0" w:color="auto"/>
        <w:right w:val="none" w:sz="0" w:space="0" w:color="auto"/>
      </w:divBdr>
    </w:div>
    <w:div w:id="1165706071">
      <w:bodyDiv w:val="1"/>
      <w:marLeft w:val="0"/>
      <w:marRight w:val="0"/>
      <w:marTop w:val="0"/>
      <w:marBottom w:val="0"/>
      <w:divBdr>
        <w:top w:val="none" w:sz="0" w:space="0" w:color="auto"/>
        <w:left w:val="none" w:sz="0" w:space="0" w:color="auto"/>
        <w:bottom w:val="none" w:sz="0" w:space="0" w:color="auto"/>
        <w:right w:val="none" w:sz="0" w:space="0" w:color="auto"/>
      </w:divBdr>
    </w:div>
    <w:div w:id="1165977860">
      <w:bodyDiv w:val="1"/>
      <w:marLeft w:val="0"/>
      <w:marRight w:val="0"/>
      <w:marTop w:val="0"/>
      <w:marBottom w:val="0"/>
      <w:divBdr>
        <w:top w:val="none" w:sz="0" w:space="0" w:color="auto"/>
        <w:left w:val="none" w:sz="0" w:space="0" w:color="auto"/>
        <w:bottom w:val="none" w:sz="0" w:space="0" w:color="auto"/>
        <w:right w:val="none" w:sz="0" w:space="0" w:color="auto"/>
      </w:divBdr>
    </w:div>
    <w:div w:id="1166018667">
      <w:bodyDiv w:val="1"/>
      <w:marLeft w:val="0"/>
      <w:marRight w:val="0"/>
      <w:marTop w:val="0"/>
      <w:marBottom w:val="0"/>
      <w:divBdr>
        <w:top w:val="none" w:sz="0" w:space="0" w:color="auto"/>
        <w:left w:val="none" w:sz="0" w:space="0" w:color="auto"/>
        <w:bottom w:val="none" w:sz="0" w:space="0" w:color="auto"/>
        <w:right w:val="none" w:sz="0" w:space="0" w:color="auto"/>
      </w:divBdr>
    </w:div>
    <w:div w:id="1166018774">
      <w:bodyDiv w:val="1"/>
      <w:marLeft w:val="0"/>
      <w:marRight w:val="0"/>
      <w:marTop w:val="0"/>
      <w:marBottom w:val="0"/>
      <w:divBdr>
        <w:top w:val="none" w:sz="0" w:space="0" w:color="auto"/>
        <w:left w:val="none" w:sz="0" w:space="0" w:color="auto"/>
        <w:bottom w:val="none" w:sz="0" w:space="0" w:color="auto"/>
        <w:right w:val="none" w:sz="0" w:space="0" w:color="auto"/>
      </w:divBdr>
    </w:div>
    <w:div w:id="1166019385">
      <w:bodyDiv w:val="1"/>
      <w:marLeft w:val="0"/>
      <w:marRight w:val="0"/>
      <w:marTop w:val="0"/>
      <w:marBottom w:val="0"/>
      <w:divBdr>
        <w:top w:val="none" w:sz="0" w:space="0" w:color="auto"/>
        <w:left w:val="none" w:sz="0" w:space="0" w:color="auto"/>
        <w:bottom w:val="none" w:sz="0" w:space="0" w:color="auto"/>
        <w:right w:val="none" w:sz="0" w:space="0" w:color="auto"/>
      </w:divBdr>
    </w:div>
    <w:div w:id="1166172551">
      <w:bodyDiv w:val="1"/>
      <w:marLeft w:val="0"/>
      <w:marRight w:val="0"/>
      <w:marTop w:val="0"/>
      <w:marBottom w:val="0"/>
      <w:divBdr>
        <w:top w:val="none" w:sz="0" w:space="0" w:color="auto"/>
        <w:left w:val="none" w:sz="0" w:space="0" w:color="auto"/>
        <w:bottom w:val="none" w:sz="0" w:space="0" w:color="auto"/>
        <w:right w:val="none" w:sz="0" w:space="0" w:color="auto"/>
      </w:divBdr>
    </w:div>
    <w:div w:id="1166214171">
      <w:bodyDiv w:val="1"/>
      <w:marLeft w:val="0"/>
      <w:marRight w:val="0"/>
      <w:marTop w:val="0"/>
      <w:marBottom w:val="0"/>
      <w:divBdr>
        <w:top w:val="none" w:sz="0" w:space="0" w:color="auto"/>
        <w:left w:val="none" w:sz="0" w:space="0" w:color="auto"/>
        <w:bottom w:val="none" w:sz="0" w:space="0" w:color="auto"/>
        <w:right w:val="none" w:sz="0" w:space="0" w:color="auto"/>
      </w:divBdr>
    </w:div>
    <w:div w:id="1166244270">
      <w:bodyDiv w:val="1"/>
      <w:marLeft w:val="0"/>
      <w:marRight w:val="0"/>
      <w:marTop w:val="0"/>
      <w:marBottom w:val="0"/>
      <w:divBdr>
        <w:top w:val="none" w:sz="0" w:space="0" w:color="auto"/>
        <w:left w:val="none" w:sz="0" w:space="0" w:color="auto"/>
        <w:bottom w:val="none" w:sz="0" w:space="0" w:color="auto"/>
        <w:right w:val="none" w:sz="0" w:space="0" w:color="auto"/>
      </w:divBdr>
    </w:div>
    <w:div w:id="1166285966">
      <w:bodyDiv w:val="1"/>
      <w:marLeft w:val="0"/>
      <w:marRight w:val="0"/>
      <w:marTop w:val="0"/>
      <w:marBottom w:val="0"/>
      <w:divBdr>
        <w:top w:val="none" w:sz="0" w:space="0" w:color="auto"/>
        <w:left w:val="none" w:sz="0" w:space="0" w:color="auto"/>
        <w:bottom w:val="none" w:sz="0" w:space="0" w:color="auto"/>
        <w:right w:val="none" w:sz="0" w:space="0" w:color="auto"/>
      </w:divBdr>
    </w:div>
    <w:div w:id="1166359430">
      <w:bodyDiv w:val="1"/>
      <w:marLeft w:val="0"/>
      <w:marRight w:val="0"/>
      <w:marTop w:val="0"/>
      <w:marBottom w:val="0"/>
      <w:divBdr>
        <w:top w:val="none" w:sz="0" w:space="0" w:color="auto"/>
        <w:left w:val="none" w:sz="0" w:space="0" w:color="auto"/>
        <w:bottom w:val="none" w:sz="0" w:space="0" w:color="auto"/>
        <w:right w:val="none" w:sz="0" w:space="0" w:color="auto"/>
      </w:divBdr>
    </w:div>
    <w:div w:id="1166634751">
      <w:bodyDiv w:val="1"/>
      <w:marLeft w:val="0"/>
      <w:marRight w:val="0"/>
      <w:marTop w:val="0"/>
      <w:marBottom w:val="0"/>
      <w:divBdr>
        <w:top w:val="none" w:sz="0" w:space="0" w:color="auto"/>
        <w:left w:val="none" w:sz="0" w:space="0" w:color="auto"/>
        <w:bottom w:val="none" w:sz="0" w:space="0" w:color="auto"/>
        <w:right w:val="none" w:sz="0" w:space="0" w:color="auto"/>
      </w:divBdr>
    </w:div>
    <w:div w:id="1166750282">
      <w:bodyDiv w:val="1"/>
      <w:marLeft w:val="0"/>
      <w:marRight w:val="0"/>
      <w:marTop w:val="0"/>
      <w:marBottom w:val="0"/>
      <w:divBdr>
        <w:top w:val="none" w:sz="0" w:space="0" w:color="auto"/>
        <w:left w:val="none" w:sz="0" w:space="0" w:color="auto"/>
        <w:bottom w:val="none" w:sz="0" w:space="0" w:color="auto"/>
        <w:right w:val="none" w:sz="0" w:space="0" w:color="auto"/>
      </w:divBdr>
    </w:div>
    <w:div w:id="1166819023">
      <w:bodyDiv w:val="1"/>
      <w:marLeft w:val="0"/>
      <w:marRight w:val="0"/>
      <w:marTop w:val="0"/>
      <w:marBottom w:val="0"/>
      <w:divBdr>
        <w:top w:val="none" w:sz="0" w:space="0" w:color="auto"/>
        <w:left w:val="none" w:sz="0" w:space="0" w:color="auto"/>
        <w:bottom w:val="none" w:sz="0" w:space="0" w:color="auto"/>
        <w:right w:val="none" w:sz="0" w:space="0" w:color="auto"/>
      </w:divBdr>
    </w:div>
    <w:div w:id="1166825902">
      <w:bodyDiv w:val="1"/>
      <w:marLeft w:val="0"/>
      <w:marRight w:val="0"/>
      <w:marTop w:val="0"/>
      <w:marBottom w:val="0"/>
      <w:divBdr>
        <w:top w:val="none" w:sz="0" w:space="0" w:color="auto"/>
        <w:left w:val="none" w:sz="0" w:space="0" w:color="auto"/>
        <w:bottom w:val="none" w:sz="0" w:space="0" w:color="auto"/>
        <w:right w:val="none" w:sz="0" w:space="0" w:color="auto"/>
      </w:divBdr>
    </w:div>
    <w:div w:id="1166868976">
      <w:bodyDiv w:val="1"/>
      <w:marLeft w:val="0"/>
      <w:marRight w:val="0"/>
      <w:marTop w:val="0"/>
      <w:marBottom w:val="0"/>
      <w:divBdr>
        <w:top w:val="none" w:sz="0" w:space="0" w:color="auto"/>
        <w:left w:val="none" w:sz="0" w:space="0" w:color="auto"/>
        <w:bottom w:val="none" w:sz="0" w:space="0" w:color="auto"/>
        <w:right w:val="none" w:sz="0" w:space="0" w:color="auto"/>
      </w:divBdr>
    </w:div>
    <w:div w:id="1167020590">
      <w:bodyDiv w:val="1"/>
      <w:marLeft w:val="0"/>
      <w:marRight w:val="0"/>
      <w:marTop w:val="0"/>
      <w:marBottom w:val="0"/>
      <w:divBdr>
        <w:top w:val="none" w:sz="0" w:space="0" w:color="auto"/>
        <w:left w:val="none" w:sz="0" w:space="0" w:color="auto"/>
        <w:bottom w:val="none" w:sz="0" w:space="0" w:color="auto"/>
        <w:right w:val="none" w:sz="0" w:space="0" w:color="auto"/>
      </w:divBdr>
    </w:div>
    <w:div w:id="1167094597">
      <w:bodyDiv w:val="1"/>
      <w:marLeft w:val="0"/>
      <w:marRight w:val="0"/>
      <w:marTop w:val="0"/>
      <w:marBottom w:val="0"/>
      <w:divBdr>
        <w:top w:val="none" w:sz="0" w:space="0" w:color="auto"/>
        <w:left w:val="none" w:sz="0" w:space="0" w:color="auto"/>
        <w:bottom w:val="none" w:sz="0" w:space="0" w:color="auto"/>
        <w:right w:val="none" w:sz="0" w:space="0" w:color="auto"/>
      </w:divBdr>
    </w:div>
    <w:div w:id="1167131929">
      <w:bodyDiv w:val="1"/>
      <w:marLeft w:val="0"/>
      <w:marRight w:val="0"/>
      <w:marTop w:val="0"/>
      <w:marBottom w:val="0"/>
      <w:divBdr>
        <w:top w:val="none" w:sz="0" w:space="0" w:color="auto"/>
        <w:left w:val="none" w:sz="0" w:space="0" w:color="auto"/>
        <w:bottom w:val="none" w:sz="0" w:space="0" w:color="auto"/>
        <w:right w:val="none" w:sz="0" w:space="0" w:color="auto"/>
      </w:divBdr>
    </w:div>
    <w:div w:id="1167285499">
      <w:bodyDiv w:val="1"/>
      <w:marLeft w:val="0"/>
      <w:marRight w:val="0"/>
      <w:marTop w:val="0"/>
      <w:marBottom w:val="0"/>
      <w:divBdr>
        <w:top w:val="none" w:sz="0" w:space="0" w:color="auto"/>
        <w:left w:val="none" w:sz="0" w:space="0" w:color="auto"/>
        <w:bottom w:val="none" w:sz="0" w:space="0" w:color="auto"/>
        <w:right w:val="none" w:sz="0" w:space="0" w:color="auto"/>
      </w:divBdr>
    </w:div>
    <w:div w:id="1167401814">
      <w:bodyDiv w:val="1"/>
      <w:marLeft w:val="0"/>
      <w:marRight w:val="0"/>
      <w:marTop w:val="0"/>
      <w:marBottom w:val="0"/>
      <w:divBdr>
        <w:top w:val="none" w:sz="0" w:space="0" w:color="auto"/>
        <w:left w:val="none" w:sz="0" w:space="0" w:color="auto"/>
        <w:bottom w:val="none" w:sz="0" w:space="0" w:color="auto"/>
        <w:right w:val="none" w:sz="0" w:space="0" w:color="auto"/>
      </w:divBdr>
    </w:div>
    <w:div w:id="1167478548">
      <w:bodyDiv w:val="1"/>
      <w:marLeft w:val="0"/>
      <w:marRight w:val="0"/>
      <w:marTop w:val="0"/>
      <w:marBottom w:val="0"/>
      <w:divBdr>
        <w:top w:val="none" w:sz="0" w:space="0" w:color="auto"/>
        <w:left w:val="none" w:sz="0" w:space="0" w:color="auto"/>
        <w:bottom w:val="none" w:sz="0" w:space="0" w:color="auto"/>
        <w:right w:val="none" w:sz="0" w:space="0" w:color="auto"/>
      </w:divBdr>
    </w:div>
    <w:div w:id="1167672394">
      <w:bodyDiv w:val="1"/>
      <w:marLeft w:val="0"/>
      <w:marRight w:val="0"/>
      <w:marTop w:val="0"/>
      <w:marBottom w:val="0"/>
      <w:divBdr>
        <w:top w:val="none" w:sz="0" w:space="0" w:color="auto"/>
        <w:left w:val="none" w:sz="0" w:space="0" w:color="auto"/>
        <w:bottom w:val="none" w:sz="0" w:space="0" w:color="auto"/>
        <w:right w:val="none" w:sz="0" w:space="0" w:color="auto"/>
      </w:divBdr>
    </w:div>
    <w:div w:id="1167942353">
      <w:bodyDiv w:val="1"/>
      <w:marLeft w:val="0"/>
      <w:marRight w:val="0"/>
      <w:marTop w:val="0"/>
      <w:marBottom w:val="0"/>
      <w:divBdr>
        <w:top w:val="none" w:sz="0" w:space="0" w:color="auto"/>
        <w:left w:val="none" w:sz="0" w:space="0" w:color="auto"/>
        <w:bottom w:val="none" w:sz="0" w:space="0" w:color="auto"/>
        <w:right w:val="none" w:sz="0" w:space="0" w:color="auto"/>
      </w:divBdr>
    </w:div>
    <w:div w:id="1168054784">
      <w:bodyDiv w:val="1"/>
      <w:marLeft w:val="0"/>
      <w:marRight w:val="0"/>
      <w:marTop w:val="0"/>
      <w:marBottom w:val="0"/>
      <w:divBdr>
        <w:top w:val="none" w:sz="0" w:space="0" w:color="auto"/>
        <w:left w:val="none" w:sz="0" w:space="0" w:color="auto"/>
        <w:bottom w:val="none" w:sz="0" w:space="0" w:color="auto"/>
        <w:right w:val="none" w:sz="0" w:space="0" w:color="auto"/>
      </w:divBdr>
    </w:div>
    <w:div w:id="1168056061">
      <w:bodyDiv w:val="1"/>
      <w:marLeft w:val="0"/>
      <w:marRight w:val="0"/>
      <w:marTop w:val="0"/>
      <w:marBottom w:val="0"/>
      <w:divBdr>
        <w:top w:val="none" w:sz="0" w:space="0" w:color="auto"/>
        <w:left w:val="none" w:sz="0" w:space="0" w:color="auto"/>
        <w:bottom w:val="none" w:sz="0" w:space="0" w:color="auto"/>
        <w:right w:val="none" w:sz="0" w:space="0" w:color="auto"/>
      </w:divBdr>
    </w:div>
    <w:div w:id="1168129490">
      <w:bodyDiv w:val="1"/>
      <w:marLeft w:val="0"/>
      <w:marRight w:val="0"/>
      <w:marTop w:val="0"/>
      <w:marBottom w:val="0"/>
      <w:divBdr>
        <w:top w:val="none" w:sz="0" w:space="0" w:color="auto"/>
        <w:left w:val="none" w:sz="0" w:space="0" w:color="auto"/>
        <w:bottom w:val="none" w:sz="0" w:space="0" w:color="auto"/>
        <w:right w:val="none" w:sz="0" w:space="0" w:color="auto"/>
      </w:divBdr>
    </w:div>
    <w:div w:id="1168208703">
      <w:bodyDiv w:val="1"/>
      <w:marLeft w:val="0"/>
      <w:marRight w:val="0"/>
      <w:marTop w:val="0"/>
      <w:marBottom w:val="0"/>
      <w:divBdr>
        <w:top w:val="none" w:sz="0" w:space="0" w:color="auto"/>
        <w:left w:val="none" w:sz="0" w:space="0" w:color="auto"/>
        <w:bottom w:val="none" w:sz="0" w:space="0" w:color="auto"/>
        <w:right w:val="none" w:sz="0" w:space="0" w:color="auto"/>
      </w:divBdr>
    </w:div>
    <w:div w:id="1168256454">
      <w:bodyDiv w:val="1"/>
      <w:marLeft w:val="0"/>
      <w:marRight w:val="0"/>
      <w:marTop w:val="0"/>
      <w:marBottom w:val="0"/>
      <w:divBdr>
        <w:top w:val="none" w:sz="0" w:space="0" w:color="auto"/>
        <w:left w:val="none" w:sz="0" w:space="0" w:color="auto"/>
        <w:bottom w:val="none" w:sz="0" w:space="0" w:color="auto"/>
        <w:right w:val="none" w:sz="0" w:space="0" w:color="auto"/>
      </w:divBdr>
    </w:div>
    <w:div w:id="1168329512">
      <w:bodyDiv w:val="1"/>
      <w:marLeft w:val="0"/>
      <w:marRight w:val="0"/>
      <w:marTop w:val="0"/>
      <w:marBottom w:val="0"/>
      <w:divBdr>
        <w:top w:val="none" w:sz="0" w:space="0" w:color="auto"/>
        <w:left w:val="none" w:sz="0" w:space="0" w:color="auto"/>
        <w:bottom w:val="none" w:sz="0" w:space="0" w:color="auto"/>
        <w:right w:val="none" w:sz="0" w:space="0" w:color="auto"/>
      </w:divBdr>
    </w:div>
    <w:div w:id="1168398241">
      <w:bodyDiv w:val="1"/>
      <w:marLeft w:val="0"/>
      <w:marRight w:val="0"/>
      <w:marTop w:val="0"/>
      <w:marBottom w:val="0"/>
      <w:divBdr>
        <w:top w:val="none" w:sz="0" w:space="0" w:color="auto"/>
        <w:left w:val="none" w:sz="0" w:space="0" w:color="auto"/>
        <w:bottom w:val="none" w:sz="0" w:space="0" w:color="auto"/>
        <w:right w:val="none" w:sz="0" w:space="0" w:color="auto"/>
      </w:divBdr>
    </w:div>
    <w:div w:id="1168398422">
      <w:bodyDiv w:val="1"/>
      <w:marLeft w:val="0"/>
      <w:marRight w:val="0"/>
      <w:marTop w:val="0"/>
      <w:marBottom w:val="0"/>
      <w:divBdr>
        <w:top w:val="none" w:sz="0" w:space="0" w:color="auto"/>
        <w:left w:val="none" w:sz="0" w:space="0" w:color="auto"/>
        <w:bottom w:val="none" w:sz="0" w:space="0" w:color="auto"/>
        <w:right w:val="none" w:sz="0" w:space="0" w:color="auto"/>
      </w:divBdr>
    </w:div>
    <w:div w:id="1168402280">
      <w:bodyDiv w:val="1"/>
      <w:marLeft w:val="0"/>
      <w:marRight w:val="0"/>
      <w:marTop w:val="0"/>
      <w:marBottom w:val="0"/>
      <w:divBdr>
        <w:top w:val="none" w:sz="0" w:space="0" w:color="auto"/>
        <w:left w:val="none" w:sz="0" w:space="0" w:color="auto"/>
        <w:bottom w:val="none" w:sz="0" w:space="0" w:color="auto"/>
        <w:right w:val="none" w:sz="0" w:space="0" w:color="auto"/>
      </w:divBdr>
    </w:div>
    <w:div w:id="1168524718">
      <w:bodyDiv w:val="1"/>
      <w:marLeft w:val="0"/>
      <w:marRight w:val="0"/>
      <w:marTop w:val="0"/>
      <w:marBottom w:val="0"/>
      <w:divBdr>
        <w:top w:val="none" w:sz="0" w:space="0" w:color="auto"/>
        <w:left w:val="none" w:sz="0" w:space="0" w:color="auto"/>
        <w:bottom w:val="none" w:sz="0" w:space="0" w:color="auto"/>
        <w:right w:val="none" w:sz="0" w:space="0" w:color="auto"/>
      </w:divBdr>
    </w:div>
    <w:div w:id="1168599833">
      <w:bodyDiv w:val="1"/>
      <w:marLeft w:val="0"/>
      <w:marRight w:val="0"/>
      <w:marTop w:val="0"/>
      <w:marBottom w:val="0"/>
      <w:divBdr>
        <w:top w:val="none" w:sz="0" w:space="0" w:color="auto"/>
        <w:left w:val="none" w:sz="0" w:space="0" w:color="auto"/>
        <w:bottom w:val="none" w:sz="0" w:space="0" w:color="auto"/>
        <w:right w:val="none" w:sz="0" w:space="0" w:color="auto"/>
      </w:divBdr>
    </w:div>
    <w:div w:id="1168709517">
      <w:bodyDiv w:val="1"/>
      <w:marLeft w:val="0"/>
      <w:marRight w:val="0"/>
      <w:marTop w:val="0"/>
      <w:marBottom w:val="0"/>
      <w:divBdr>
        <w:top w:val="none" w:sz="0" w:space="0" w:color="auto"/>
        <w:left w:val="none" w:sz="0" w:space="0" w:color="auto"/>
        <w:bottom w:val="none" w:sz="0" w:space="0" w:color="auto"/>
        <w:right w:val="none" w:sz="0" w:space="0" w:color="auto"/>
      </w:divBdr>
    </w:div>
    <w:div w:id="1168784196">
      <w:bodyDiv w:val="1"/>
      <w:marLeft w:val="0"/>
      <w:marRight w:val="0"/>
      <w:marTop w:val="0"/>
      <w:marBottom w:val="0"/>
      <w:divBdr>
        <w:top w:val="none" w:sz="0" w:space="0" w:color="auto"/>
        <w:left w:val="none" w:sz="0" w:space="0" w:color="auto"/>
        <w:bottom w:val="none" w:sz="0" w:space="0" w:color="auto"/>
        <w:right w:val="none" w:sz="0" w:space="0" w:color="auto"/>
      </w:divBdr>
    </w:div>
    <w:div w:id="1168789641">
      <w:bodyDiv w:val="1"/>
      <w:marLeft w:val="0"/>
      <w:marRight w:val="0"/>
      <w:marTop w:val="0"/>
      <w:marBottom w:val="0"/>
      <w:divBdr>
        <w:top w:val="none" w:sz="0" w:space="0" w:color="auto"/>
        <w:left w:val="none" w:sz="0" w:space="0" w:color="auto"/>
        <w:bottom w:val="none" w:sz="0" w:space="0" w:color="auto"/>
        <w:right w:val="none" w:sz="0" w:space="0" w:color="auto"/>
      </w:divBdr>
    </w:div>
    <w:div w:id="1168789870">
      <w:bodyDiv w:val="1"/>
      <w:marLeft w:val="0"/>
      <w:marRight w:val="0"/>
      <w:marTop w:val="0"/>
      <w:marBottom w:val="0"/>
      <w:divBdr>
        <w:top w:val="none" w:sz="0" w:space="0" w:color="auto"/>
        <w:left w:val="none" w:sz="0" w:space="0" w:color="auto"/>
        <w:bottom w:val="none" w:sz="0" w:space="0" w:color="auto"/>
        <w:right w:val="none" w:sz="0" w:space="0" w:color="auto"/>
      </w:divBdr>
    </w:div>
    <w:div w:id="1169053255">
      <w:bodyDiv w:val="1"/>
      <w:marLeft w:val="0"/>
      <w:marRight w:val="0"/>
      <w:marTop w:val="0"/>
      <w:marBottom w:val="0"/>
      <w:divBdr>
        <w:top w:val="none" w:sz="0" w:space="0" w:color="auto"/>
        <w:left w:val="none" w:sz="0" w:space="0" w:color="auto"/>
        <w:bottom w:val="none" w:sz="0" w:space="0" w:color="auto"/>
        <w:right w:val="none" w:sz="0" w:space="0" w:color="auto"/>
      </w:divBdr>
    </w:div>
    <w:div w:id="1169097827">
      <w:bodyDiv w:val="1"/>
      <w:marLeft w:val="0"/>
      <w:marRight w:val="0"/>
      <w:marTop w:val="0"/>
      <w:marBottom w:val="0"/>
      <w:divBdr>
        <w:top w:val="none" w:sz="0" w:space="0" w:color="auto"/>
        <w:left w:val="none" w:sz="0" w:space="0" w:color="auto"/>
        <w:bottom w:val="none" w:sz="0" w:space="0" w:color="auto"/>
        <w:right w:val="none" w:sz="0" w:space="0" w:color="auto"/>
      </w:divBdr>
    </w:div>
    <w:div w:id="1169175687">
      <w:bodyDiv w:val="1"/>
      <w:marLeft w:val="0"/>
      <w:marRight w:val="0"/>
      <w:marTop w:val="0"/>
      <w:marBottom w:val="0"/>
      <w:divBdr>
        <w:top w:val="none" w:sz="0" w:space="0" w:color="auto"/>
        <w:left w:val="none" w:sz="0" w:space="0" w:color="auto"/>
        <w:bottom w:val="none" w:sz="0" w:space="0" w:color="auto"/>
        <w:right w:val="none" w:sz="0" w:space="0" w:color="auto"/>
      </w:divBdr>
    </w:div>
    <w:div w:id="1169176884">
      <w:bodyDiv w:val="1"/>
      <w:marLeft w:val="0"/>
      <w:marRight w:val="0"/>
      <w:marTop w:val="0"/>
      <w:marBottom w:val="0"/>
      <w:divBdr>
        <w:top w:val="none" w:sz="0" w:space="0" w:color="auto"/>
        <w:left w:val="none" w:sz="0" w:space="0" w:color="auto"/>
        <w:bottom w:val="none" w:sz="0" w:space="0" w:color="auto"/>
        <w:right w:val="none" w:sz="0" w:space="0" w:color="auto"/>
      </w:divBdr>
    </w:div>
    <w:div w:id="1169177007">
      <w:bodyDiv w:val="1"/>
      <w:marLeft w:val="0"/>
      <w:marRight w:val="0"/>
      <w:marTop w:val="0"/>
      <w:marBottom w:val="0"/>
      <w:divBdr>
        <w:top w:val="none" w:sz="0" w:space="0" w:color="auto"/>
        <w:left w:val="none" w:sz="0" w:space="0" w:color="auto"/>
        <w:bottom w:val="none" w:sz="0" w:space="0" w:color="auto"/>
        <w:right w:val="none" w:sz="0" w:space="0" w:color="auto"/>
      </w:divBdr>
    </w:div>
    <w:div w:id="1169370087">
      <w:bodyDiv w:val="1"/>
      <w:marLeft w:val="0"/>
      <w:marRight w:val="0"/>
      <w:marTop w:val="0"/>
      <w:marBottom w:val="0"/>
      <w:divBdr>
        <w:top w:val="none" w:sz="0" w:space="0" w:color="auto"/>
        <w:left w:val="none" w:sz="0" w:space="0" w:color="auto"/>
        <w:bottom w:val="none" w:sz="0" w:space="0" w:color="auto"/>
        <w:right w:val="none" w:sz="0" w:space="0" w:color="auto"/>
      </w:divBdr>
    </w:div>
    <w:div w:id="1169446586">
      <w:bodyDiv w:val="1"/>
      <w:marLeft w:val="0"/>
      <w:marRight w:val="0"/>
      <w:marTop w:val="0"/>
      <w:marBottom w:val="0"/>
      <w:divBdr>
        <w:top w:val="none" w:sz="0" w:space="0" w:color="auto"/>
        <w:left w:val="none" w:sz="0" w:space="0" w:color="auto"/>
        <w:bottom w:val="none" w:sz="0" w:space="0" w:color="auto"/>
        <w:right w:val="none" w:sz="0" w:space="0" w:color="auto"/>
      </w:divBdr>
    </w:div>
    <w:div w:id="1169516899">
      <w:bodyDiv w:val="1"/>
      <w:marLeft w:val="0"/>
      <w:marRight w:val="0"/>
      <w:marTop w:val="0"/>
      <w:marBottom w:val="0"/>
      <w:divBdr>
        <w:top w:val="none" w:sz="0" w:space="0" w:color="auto"/>
        <w:left w:val="none" w:sz="0" w:space="0" w:color="auto"/>
        <w:bottom w:val="none" w:sz="0" w:space="0" w:color="auto"/>
        <w:right w:val="none" w:sz="0" w:space="0" w:color="auto"/>
      </w:divBdr>
    </w:div>
    <w:div w:id="1169517208">
      <w:bodyDiv w:val="1"/>
      <w:marLeft w:val="0"/>
      <w:marRight w:val="0"/>
      <w:marTop w:val="0"/>
      <w:marBottom w:val="0"/>
      <w:divBdr>
        <w:top w:val="none" w:sz="0" w:space="0" w:color="auto"/>
        <w:left w:val="none" w:sz="0" w:space="0" w:color="auto"/>
        <w:bottom w:val="none" w:sz="0" w:space="0" w:color="auto"/>
        <w:right w:val="none" w:sz="0" w:space="0" w:color="auto"/>
      </w:divBdr>
    </w:div>
    <w:div w:id="1169521188">
      <w:bodyDiv w:val="1"/>
      <w:marLeft w:val="0"/>
      <w:marRight w:val="0"/>
      <w:marTop w:val="0"/>
      <w:marBottom w:val="0"/>
      <w:divBdr>
        <w:top w:val="none" w:sz="0" w:space="0" w:color="auto"/>
        <w:left w:val="none" w:sz="0" w:space="0" w:color="auto"/>
        <w:bottom w:val="none" w:sz="0" w:space="0" w:color="auto"/>
        <w:right w:val="none" w:sz="0" w:space="0" w:color="auto"/>
      </w:divBdr>
    </w:div>
    <w:div w:id="1169564277">
      <w:bodyDiv w:val="1"/>
      <w:marLeft w:val="0"/>
      <w:marRight w:val="0"/>
      <w:marTop w:val="0"/>
      <w:marBottom w:val="0"/>
      <w:divBdr>
        <w:top w:val="none" w:sz="0" w:space="0" w:color="auto"/>
        <w:left w:val="none" w:sz="0" w:space="0" w:color="auto"/>
        <w:bottom w:val="none" w:sz="0" w:space="0" w:color="auto"/>
        <w:right w:val="none" w:sz="0" w:space="0" w:color="auto"/>
      </w:divBdr>
    </w:div>
    <w:div w:id="1169638522">
      <w:bodyDiv w:val="1"/>
      <w:marLeft w:val="0"/>
      <w:marRight w:val="0"/>
      <w:marTop w:val="0"/>
      <w:marBottom w:val="0"/>
      <w:divBdr>
        <w:top w:val="none" w:sz="0" w:space="0" w:color="auto"/>
        <w:left w:val="none" w:sz="0" w:space="0" w:color="auto"/>
        <w:bottom w:val="none" w:sz="0" w:space="0" w:color="auto"/>
        <w:right w:val="none" w:sz="0" w:space="0" w:color="auto"/>
      </w:divBdr>
    </w:div>
    <w:div w:id="1169639257">
      <w:bodyDiv w:val="1"/>
      <w:marLeft w:val="0"/>
      <w:marRight w:val="0"/>
      <w:marTop w:val="0"/>
      <w:marBottom w:val="0"/>
      <w:divBdr>
        <w:top w:val="none" w:sz="0" w:space="0" w:color="auto"/>
        <w:left w:val="none" w:sz="0" w:space="0" w:color="auto"/>
        <w:bottom w:val="none" w:sz="0" w:space="0" w:color="auto"/>
        <w:right w:val="none" w:sz="0" w:space="0" w:color="auto"/>
      </w:divBdr>
    </w:div>
    <w:div w:id="1169830738">
      <w:bodyDiv w:val="1"/>
      <w:marLeft w:val="0"/>
      <w:marRight w:val="0"/>
      <w:marTop w:val="0"/>
      <w:marBottom w:val="0"/>
      <w:divBdr>
        <w:top w:val="none" w:sz="0" w:space="0" w:color="auto"/>
        <w:left w:val="none" w:sz="0" w:space="0" w:color="auto"/>
        <w:bottom w:val="none" w:sz="0" w:space="0" w:color="auto"/>
        <w:right w:val="none" w:sz="0" w:space="0" w:color="auto"/>
      </w:divBdr>
    </w:div>
    <w:div w:id="1169903894">
      <w:bodyDiv w:val="1"/>
      <w:marLeft w:val="0"/>
      <w:marRight w:val="0"/>
      <w:marTop w:val="0"/>
      <w:marBottom w:val="0"/>
      <w:divBdr>
        <w:top w:val="none" w:sz="0" w:space="0" w:color="auto"/>
        <w:left w:val="none" w:sz="0" w:space="0" w:color="auto"/>
        <w:bottom w:val="none" w:sz="0" w:space="0" w:color="auto"/>
        <w:right w:val="none" w:sz="0" w:space="0" w:color="auto"/>
      </w:divBdr>
    </w:div>
    <w:div w:id="1169953024">
      <w:bodyDiv w:val="1"/>
      <w:marLeft w:val="0"/>
      <w:marRight w:val="0"/>
      <w:marTop w:val="0"/>
      <w:marBottom w:val="0"/>
      <w:divBdr>
        <w:top w:val="none" w:sz="0" w:space="0" w:color="auto"/>
        <w:left w:val="none" w:sz="0" w:space="0" w:color="auto"/>
        <w:bottom w:val="none" w:sz="0" w:space="0" w:color="auto"/>
        <w:right w:val="none" w:sz="0" w:space="0" w:color="auto"/>
      </w:divBdr>
    </w:div>
    <w:div w:id="1170021789">
      <w:bodyDiv w:val="1"/>
      <w:marLeft w:val="0"/>
      <w:marRight w:val="0"/>
      <w:marTop w:val="0"/>
      <w:marBottom w:val="0"/>
      <w:divBdr>
        <w:top w:val="none" w:sz="0" w:space="0" w:color="auto"/>
        <w:left w:val="none" w:sz="0" w:space="0" w:color="auto"/>
        <w:bottom w:val="none" w:sz="0" w:space="0" w:color="auto"/>
        <w:right w:val="none" w:sz="0" w:space="0" w:color="auto"/>
      </w:divBdr>
    </w:div>
    <w:div w:id="1170221073">
      <w:bodyDiv w:val="1"/>
      <w:marLeft w:val="0"/>
      <w:marRight w:val="0"/>
      <w:marTop w:val="0"/>
      <w:marBottom w:val="0"/>
      <w:divBdr>
        <w:top w:val="none" w:sz="0" w:space="0" w:color="auto"/>
        <w:left w:val="none" w:sz="0" w:space="0" w:color="auto"/>
        <w:bottom w:val="none" w:sz="0" w:space="0" w:color="auto"/>
        <w:right w:val="none" w:sz="0" w:space="0" w:color="auto"/>
      </w:divBdr>
    </w:div>
    <w:div w:id="1170408832">
      <w:bodyDiv w:val="1"/>
      <w:marLeft w:val="0"/>
      <w:marRight w:val="0"/>
      <w:marTop w:val="0"/>
      <w:marBottom w:val="0"/>
      <w:divBdr>
        <w:top w:val="none" w:sz="0" w:space="0" w:color="auto"/>
        <w:left w:val="none" w:sz="0" w:space="0" w:color="auto"/>
        <w:bottom w:val="none" w:sz="0" w:space="0" w:color="auto"/>
        <w:right w:val="none" w:sz="0" w:space="0" w:color="auto"/>
      </w:divBdr>
    </w:div>
    <w:div w:id="1170488745">
      <w:bodyDiv w:val="1"/>
      <w:marLeft w:val="0"/>
      <w:marRight w:val="0"/>
      <w:marTop w:val="0"/>
      <w:marBottom w:val="0"/>
      <w:divBdr>
        <w:top w:val="none" w:sz="0" w:space="0" w:color="auto"/>
        <w:left w:val="none" w:sz="0" w:space="0" w:color="auto"/>
        <w:bottom w:val="none" w:sz="0" w:space="0" w:color="auto"/>
        <w:right w:val="none" w:sz="0" w:space="0" w:color="auto"/>
      </w:divBdr>
    </w:div>
    <w:div w:id="1170561491">
      <w:bodyDiv w:val="1"/>
      <w:marLeft w:val="0"/>
      <w:marRight w:val="0"/>
      <w:marTop w:val="0"/>
      <w:marBottom w:val="0"/>
      <w:divBdr>
        <w:top w:val="none" w:sz="0" w:space="0" w:color="auto"/>
        <w:left w:val="none" w:sz="0" w:space="0" w:color="auto"/>
        <w:bottom w:val="none" w:sz="0" w:space="0" w:color="auto"/>
        <w:right w:val="none" w:sz="0" w:space="0" w:color="auto"/>
      </w:divBdr>
    </w:div>
    <w:div w:id="1170605925">
      <w:bodyDiv w:val="1"/>
      <w:marLeft w:val="0"/>
      <w:marRight w:val="0"/>
      <w:marTop w:val="0"/>
      <w:marBottom w:val="0"/>
      <w:divBdr>
        <w:top w:val="none" w:sz="0" w:space="0" w:color="auto"/>
        <w:left w:val="none" w:sz="0" w:space="0" w:color="auto"/>
        <w:bottom w:val="none" w:sz="0" w:space="0" w:color="auto"/>
        <w:right w:val="none" w:sz="0" w:space="0" w:color="auto"/>
      </w:divBdr>
    </w:div>
    <w:div w:id="1170750245">
      <w:bodyDiv w:val="1"/>
      <w:marLeft w:val="0"/>
      <w:marRight w:val="0"/>
      <w:marTop w:val="0"/>
      <w:marBottom w:val="0"/>
      <w:divBdr>
        <w:top w:val="none" w:sz="0" w:space="0" w:color="auto"/>
        <w:left w:val="none" w:sz="0" w:space="0" w:color="auto"/>
        <w:bottom w:val="none" w:sz="0" w:space="0" w:color="auto"/>
        <w:right w:val="none" w:sz="0" w:space="0" w:color="auto"/>
      </w:divBdr>
    </w:div>
    <w:div w:id="1170828903">
      <w:bodyDiv w:val="1"/>
      <w:marLeft w:val="0"/>
      <w:marRight w:val="0"/>
      <w:marTop w:val="0"/>
      <w:marBottom w:val="0"/>
      <w:divBdr>
        <w:top w:val="none" w:sz="0" w:space="0" w:color="auto"/>
        <w:left w:val="none" w:sz="0" w:space="0" w:color="auto"/>
        <w:bottom w:val="none" w:sz="0" w:space="0" w:color="auto"/>
        <w:right w:val="none" w:sz="0" w:space="0" w:color="auto"/>
      </w:divBdr>
    </w:div>
    <w:div w:id="1170874950">
      <w:bodyDiv w:val="1"/>
      <w:marLeft w:val="0"/>
      <w:marRight w:val="0"/>
      <w:marTop w:val="0"/>
      <w:marBottom w:val="0"/>
      <w:divBdr>
        <w:top w:val="none" w:sz="0" w:space="0" w:color="auto"/>
        <w:left w:val="none" w:sz="0" w:space="0" w:color="auto"/>
        <w:bottom w:val="none" w:sz="0" w:space="0" w:color="auto"/>
        <w:right w:val="none" w:sz="0" w:space="0" w:color="auto"/>
      </w:divBdr>
    </w:div>
    <w:div w:id="1170876152">
      <w:bodyDiv w:val="1"/>
      <w:marLeft w:val="0"/>
      <w:marRight w:val="0"/>
      <w:marTop w:val="0"/>
      <w:marBottom w:val="0"/>
      <w:divBdr>
        <w:top w:val="none" w:sz="0" w:space="0" w:color="auto"/>
        <w:left w:val="none" w:sz="0" w:space="0" w:color="auto"/>
        <w:bottom w:val="none" w:sz="0" w:space="0" w:color="auto"/>
        <w:right w:val="none" w:sz="0" w:space="0" w:color="auto"/>
      </w:divBdr>
    </w:div>
    <w:div w:id="1170948261">
      <w:bodyDiv w:val="1"/>
      <w:marLeft w:val="0"/>
      <w:marRight w:val="0"/>
      <w:marTop w:val="0"/>
      <w:marBottom w:val="0"/>
      <w:divBdr>
        <w:top w:val="none" w:sz="0" w:space="0" w:color="auto"/>
        <w:left w:val="none" w:sz="0" w:space="0" w:color="auto"/>
        <w:bottom w:val="none" w:sz="0" w:space="0" w:color="auto"/>
        <w:right w:val="none" w:sz="0" w:space="0" w:color="auto"/>
      </w:divBdr>
    </w:div>
    <w:div w:id="1170948970">
      <w:bodyDiv w:val="1"/>
      <w:marLeft w:val="0"/>
      <w:marRight w:val="0"/>
      <w:marTop w:val="0"/>
      <w:marBottom w:val="0"/>
      <w:divBdr>
        <w:top w:val="none" w:sz="0" w:space="0" w:color="auto"/>
        <w:left w:val="none" w:sz="0" w:space="0" w:color="auto"/>
        <w:bottom w:val="none" w:sz="0" w:space="0" w:color="auto"/>
        <w:right w:val="none" w:sz="0" w:space="0" w:color="auto"/>
      </w:divBdr>
    </w:div>
    <w:div w:id="1171026816">
      <w:bodyDiv w:val="1"/>
      <w:marLeft w:val="0"/>
      <w:marRight w:val="0"/>
      <w:marTop w:val="0"/>
      <w:marBottom w:val="0"/>
      <w:divBdr>
        <w:top w:val="none" w:sz="0" w:space="0" w:color="auto"/>
        <w:left w:val="none" w:sz="0" w:space="0" w:color="auto"/>
        <w:bottom w:val="none" w:sz="0" w:space="0" w:color="auto"/>
        <w:right w:val="none" w:sz="0" w:space="0" w:color="auto"/>
      </w:divBdr>
    </w:div>
    <w:div w:id="1171220299">
      <w:bodyDiv w:val="1"/>
      <w:marLeft w:val="0"/>
      <w:marRight w:val="0"/>
      <w:marTop w:val="0"/>
      <w:marBottom w:val="0"/>
      <w:divBdr>
        <w:top w:val="none" w:sz="0" w:space="0" w:color="auto"/>
        <w:left w:val="none" w:sz="0" w:space="0" w:color="auto"/>
        <w:bottom w:val="none" w:sz="0" w:space="0" w:color="auto"/>
        <w:right w:val="none" w:sz="0" w:space="0" w:color="auto"/>
      </w:divBdr>
    </w:div>
    <w:div w:id="1171260400">
      <w:bodyDiv w:val="1"/>
      <w:marLeft w:val="0"/>
      <w:marRight w:val="0"/>
      <w:marTop w:val="0"/>
      <w:marBottom w:val="0"/>
      <w:divBdr>
        <w:top w:val="none" w:sz="0" w:space="0" w:color="auto"/>
        <w:left w:val="none" w:sz="0" w:space="0" w:color="auto"/>
        <w:bottom w:val="none" w:sz="0" w:space="0" w:color="auto"/>
        <w:right w:val="none" w:sz="0" w:space="0" w:color="auto"/>
      </w:divBdr>
    </w:div>
    <w:div w:id="1171261500">
      <w:bodyDiv w:val="1"/>
      <w:marLeft w:val="0"/>
      <w:marRight w:val="0"/>
      <w:marTop w:val="0"/>
      <w:marBottom w:val="0"/>
      <w:divBdr>
        <w:top w:val="none" w:sz="0" w:space="0" w:color="auto"/>
        <w:left w:val="none" w:sz="0" w:space="0" w:color="auto"/>
        <w:bottom w:val="none" w:sz="0" w:space="0" w:color="auto"/>
        <w:right w:val="none" w:sz="0" w:space="0" w:color="auto"/>
      </w:divBdr>
    </w:div>
    <w:div w:id="1171290995">
      <w:bodyDiv w:val="1"/>
      <w:marLeft w:val="0"/>
      <w:marRight w:val="0"/>
      <w:marTop w:val="0"/>
      <w:marBottom w:val="0"/>
      <w:divBdr>
        <w:top w:val="none" w:sz="0" w:space="0" w:color="auto"/>
        <w:left w:val="none" w:sz="0" w:space="0" w:color="auto"/>
        <w:bottom w:val="none" w:sz="0" w:space="0" w:color="auto"/>
        <w:right w:val="none" w:sz="0" w:space="0" w:color="auto"/>
      </w:divBdr>
    </w:div>
    <w:div w:id="1171527667">
      <w:bodyDiv w:val="1"/>
      <w:marLeft w:val="0"/>
      <w:marRight w:val="0"/>
      <w:marTop w:val="0"/>
      <w:marBottom w:val="0"/>
      <w:divBdr>
        <w:top w:val="none" w:sz="0" w:space="0" w:color="auto"/>
        <w:left w:val="none" w:sz="0" w:space="0" w:color="auto"/>
        <w:bottom w:val="none" w:sz="0" w:space="0" w:color="auto"/>
        <w:right w:val="none" w:sz="0" w:space="0" w:color="auto"/>
      </w:divBdr>
    </w:div>
    <w:div w:id="1171603543">
      <w:bodyDiv w:val="1"/>
      <w:marLeft w:val="0"/>
      <w:marRight w:val="0"/>
      <w:marTop w:val="0"/>
      <w:marBottom w:val="0"/>
      <w:divBdr>
        <w:top w:val="none" w:sz="0" w:space="0" w:color="auto"/>
        <w:left w:val="none" w:sz="0" w:space="0" w:color="auto"/>
        <w:bottom w:val="none" w:sz="0" w:space="0" w:color="auto"/>
        <w:right w:val="none" w:sz="0" w:space="0" w:color="auto"/>
      </w:divBdr>
    </w:div>
    <w:div w:id="1171678695">
      <w:bodyDiv w:val="1"/>
      <w:marLeft w:val="0"/>
      <w:marRight w:val="0"/>
      <w:marTop w:val="0"/>
      <w:marBottom w:val="0"/>
      <w:divBdr>
        <w:top w:val="none" w:sz="0" w:space="0" w:color="auto"/>
        <w:left w:val="none" w:sz="0" w:space="0" w:color="auto"/>
        <w:bottom w:val="none" w:sz="0" w:space="0" w:color="auto"/>
        <w:right w:val="none" w:sz="0" w:space="0" w:color="auto"/>
      </w:divBdr>
    </w:div>
    <w:div w:id="1171679348">
      <w:bodyDiv w:val="1"/>
      <w:marLeft w:val="0"/>
      <w:marRight w:val="0"/>
      <w:marTop w:val="0"/>
      <w:marBottom w:val="0"/>
      <w:divBdr>
        <w:top w:val="none" w:sz="0" w:space="0" w:color="auto"/>
        <w:left w:val="none" w:sz="0" w:space="0" w:color="auto"/>
        <w:bottom w:val="none" w:sz="0" w:space="0" w:color="auto"/>
        <w:right w:val="none" w:sz="0" w:space="0" w:color="auto"/>
      </w:divBdr>
    </w:div>
    <w:div w:id="1171867341">
      <w:bodyDiv w:val="1"/>
      <w:marLeft w:val="0"/>
      <w:marRight w:val="0"/>
      <w:marTop w:val="0"/>
      <w:marBottom w:val="0"/>
      <w:divBdr>
        <w:top w:val="none" w:sz="0" w:space="0" w:color="auto"/>
        <w:left w:val="none" w:sz="0" w:space="0" w:color="auto"/>
        <w:bottom w:val="none" w:sz="0" w:space="0" w:color="auto"/>
        <w:right w:val="none" w:sz="0" w:space="0" w:color="auto"/>
      </w:divBdr>
    </w:div>
    <w:div w:id="1171868878">
      <w:bodyDiv w:val="1"/>
      <w:marLeft w:val="0"/>
      <w:marRight w:val="0"/>
      <w:marTop w:val="0"/>
      <w:marBottom w:val="0"/>
      <w:divBdr>
        <w:top w:val="none" w:sz="0" w:space="0" w:color="auto"/>
        <w:left w:val="none" w:sz="0" w:space="0" w:color="auto"/>
        <w:bottom w:val="none" w:sz="0" w:space="0" w:color="auto"/>
        <w:right w:val="none" w:sz="0" w:space="0" w:color="auto"/>
      </w:divBdr>
    </w:div>
    <w:div w:id="1171943755">
      <w:bodyDiv w:val="1"/>
      <w:marLeft w:val="0"/>
      <w:marRight w:val="0"/>
      <w:marTop w:val="0"/>
      <w:marBottom w:val="0"/>
      <w:divBdr>
        <w:top w:val="none" w:sz="0" w:space="0" w:color="auto"/>
        <w:left w:val="none" w:sz="0" w:space="0" w:color="auto"/>
        <w:bottom w:val="none" w:sz="0" w:space="0" w:color="auto"/>
        <w:right w:val="none" w:sz="0" w:space="0" w:color="auto"/>
      </w:divBdr>
    </w:div>
    <w:div w:id="1171944873">
      <w:bodyDiv w:val="1"/>
      <w:marLeft w:val="0"/>
      <w:marRight w:val="0"/>
      <w:marTop w:val="0"/>
      <w:marBottom w:val="0"/>
      <w:divBdr>
        <w:top w:val="none" w:sz="0" w:space="0" w:color="auto"/>
        <w:left w:val="none" w:sz="0" w:space="0" w:color="auto"/>
        <w:bottom w:val="none" w:sz="0" w:space="0" w:color="auto"/>
        <w:right w:val="none" w:sz="0" w:space="0" w:color="auto"/>
      </w:divBdr>
    </w:div>
    <w:div w:id="1172257018">
      <w:bodyDiv w:val="1"/>
      <w:marLeft w:val="0"/>
      <w:marRight w:val="0"/>
      <w:marTop w:val="0"/>
      <w:marBottom w:val="0"/>
      <w:divBdr>
        <w:top w:val="none" w:sz="0" w:space="0" w:color="auto"/>
        <w:left w:val="none" w:sz="0" w:space="0" w:color="auto"/>
        <w:bottom w:val="none" w:sz="0" w:space="0" w:color="auto"/>
        <w:right w:val="none" w:sz="0" w:space="0" w:color="auto"/>
      </w:divBdr>
    </w:div>
    <w:div w:id="1172259346">
      <w:bodyDiv w:val="1"/>
      <w:marLeft w:val="0"/>
      <w:marRight w:val="0"/>
      <w:marTop w:val="0"/>
      <w:marBottom w:val="0"/>
      <w:divBdr>
        <w:top w:val="none" w:sz="0" w:space="0" w:color="auto"/>
        <w:left w:val="none" w:sz="0" w:space="0" w:color="auto"/>
        <w:bottom w:val="none" w:sz="0" w:space="0" w:color="auto"/>
        <w:right w:val="none" w:sz="0" w:space="0" w:color="auto"/>
      </w:divBdr>
    </w:div>
    <w:div w:id="1172261300">
      <w:bodyDiv w:val="1"/>
      <w:marLeft w:val="0"/>
      <w:marRight w:val="0"/>
      <w:marTop w:val="0"/>
      <w:marBottom w:val="0"/>
      <w:divBdr>
        <w:top w:val="none" w:sz="0" w:space="0" w:color="auto"/>
        <w:left w:val="none" w:sz="0" w:space="0" w:color="auto"/>
        <w:bottom w:val="none" w:sz="0" w:space="0" w:color="auto"/>
        <w:right w:val="none" w:sz="0" w:space="0" w:color="auto"/>
      </w:divBdr>
    </w:div>
    <w:div w:id="1172330283">
      <w:bodyDiv w:val="1"/>
      <w:marLeft w:val="0"/>
      <w:marRight w:val="0"/>
      <w:marTop w:val="0"/>
      <w:marBottom w:val="0"/>
      <w:divBdr>
        <w:top w:val="none" w:sz="0" w:space="0" w:color="auto"/>
        <w:left w:val="none" w:sz="0" w:space="0" w:color="auto"/>
        <w:bottom w:val="none" w:sz="0" w:space="0" w:color="auto"/>
        <w:right w:val="none" w:sz="0" w:space="0" w:color="auto"/>
      </w:divBdr>
    </w:div>
    <w:div w:id="1172333514">
      <w:bodyDiv w:val="1"/>
      <w:marLeft w:val="0"/>
      <w:marRight w:val="0"/>
      <w:marTop w:val="0"/>
      <w:marBottom w:val="0"/>
      <w:divBdr>
        <w:top w:val="none" w:sz="0" w:space="0" w:color="auto"/>
        <w:left w:val="none" w:sz="0" w:space="0" w:color="auto"/>
        <w:bottom w:val="none" w:sz="0" w:space="0" w:color="auto"/>
        <w:right w:val="none" w:sz="0" w:space="0" w:color="auto"/>
      </w:divBdr>
    </w:div>
    <w:div w:id="1172404525">
      <w:bodyDiv w:val="1"/>
      <w:marLeft w:val="0"/>
      <w:marRight w:val="0"/>
      <w:marTop w:val="0"/>
      <w:marBottom w:val="0"/>
      <w:divBdr>
        <w:top w:val="none" w:sz="0" w:space="0" w:color="auto"/>
        <w:left w:val="none" w:sz="0" w:space="0" w:color="auto"/>
        <w:bottom w:val="none" w:sz="0" w:space="0" w:color="auto"/>
        <w:right w:val="none" w:sz="0" w:space="0" w:color="auto"/>
      </w:divBdr>
    </w:div>
    <w:div w:id="1172455973">
      <w:bodyDiv w:val="1"/>
      <w:marLeft w:val="0"/>
      <w:marRight w:val="0"/>
      <w:marTop w:val="0"/>
      <w:marBottom w:val="0"/>
      <w:divBdr>
        <w:top w:val="none" w:sz="0" w:space="0" w:color="auto"/>
        <w:left w:val="none" w:sz="0" w:space="0" w:color="auto"/>
        <w:bottom w:val="none" w:sz="0" w:space="0" w:color="auto"/>
        <w:right w:val="none" w:sz="0" w:space="0" w:color="auto"/>
      </w:divBdr>
    </w:div>
    <w:div w:id="1172985730">
      <w:bodyDiv w:val="1"/>
      <w:marLeft w:val="0"/>
      <w:marRight w:val="0"/>
      <w:marTop w:val="0"/>
      <w:marBottom w:val="0"/>
      <w:divBdr>
        <w:top w:val="none" w:sz="0" w:space="0" w:color="auto"/>
        <w:left w:val="none" w:sz="0" w:space="0" w:color="auto"/>
        <w:bottom w:val="none" w:sz="0" w:space="0" w:color="auto"/>
        <w:right w:val="none" w:sz="0" w:space="0" w:color="auto"/>
      </w:divBdr>
    </w:div>
    <w:div w:id="1172989838">
      <w:bodyDiv w:val="1"/>
      <w:marLeft w:val="0"/>
      <w:marRight w:val="0"/>
      <w:marTop w:val="0"/>
      <w:marBottom w:val="0"/>
      <w:divBdr>
        <w:top w:val="none" w:sz="0" w:space="0" w:color="auto"/>
        <w:left w:val="none" w:sz="0" w:space="0" w:color="auto"/>
        <w:bottom w:val="none" w:sz="0" w:space="0" w:color="auto"/>
        <w:right w:val="none" w:sz="0" w:space="0" w:color="auto"/>
      </w:divBdr>
    </w:div>
    <w:div w:id="1173030154">
      <w:bodyDiv w:val="1"/>
      <w:marLeft w:val="0"/>
      <w:marRight w:val="0"/>
      <w:marTop w:val="0"/>
      <w:marBottom w:val="0"/>
      <w:divBdr>
        <w:top w:val="none" w:sz="0" w:space="0" w:color="auto"/>
        <w:left w:val="none" w:sz="0" w:space="0" w:color="auto"/>
        <w:bottom w:val="none" w:sz="0" w:space="0" w:color="auto"/>
        <w:right w:val="none" w:sz="0" w:space="0" w:color="auto"/>
      </w:divBdr>
    </w:div>
    <w:div w:id="1173186229">
      <w:bodyDiv w:val="1"/>
      <w:marLeft w:val="0"/>
      <w:marRight w:val="0"/>
      <w:marTop w:val="0"/>
      <w:marBottom w:val="0"/>
      <w:divBdr>
        <w:top w:val="none" w:sz="0" w:space="0" w:color="auto"/>
        <w:left w:val="none" w:sz="0" w:space="0" w:color="auto"/>
        <w:bottom w:val="none" w:sz="0" w:space="0" w:color="auto"/>
        <w:right w:val="none" w:sz="0" w:space="0" w:color="auto"/>
      </w:divBdr>
    </w:div>
    <w:div w:id="1173225930">
      <w:bodyDiv w:val="1"/>
      <w:marLeft w:val="0"/>
      <w:marRight w:val="0"/>
      <w:marTop w:val="0"/>
      <w:marBottom w:val="0"/>
      <w:divBdr>
        <w:top w:val="none" w:sz="0" w:space="0" w:color="auto"/>
        <w:left w:val="none" w:sz="0" w:space="0" w:color="auto"/>
        <w:bottom w:val="none" w:sz="0" w:space="0" w:color="auto"/>
        <w:right w:val="none" w:sz="0" w:space="0" w:color="auto"/>
      </w:divBdr>
    </w:div>
    <w:div w:id="1173229178">
      <w:bodyDiv w:val="1"/>
      <w:marLeft w:val="0"/>
      <w:marRight w:val="0"/>
      <w:marTop w:val="0"/>
      <w:marBottom w:val="0"/>
      <w:divBdr>
        <w:top w:val="none" w:sz="0" w:space="0" w:color="auto"/>
        <w:left w:val="none" w:sz="0" w:space="0" w:color="auto"/>
        <w:bottom w:val="none" w:sz="0" w:space="0" w:color="auto"/>
        <w:right w:val="none" w:sz="0" w:space="0" w:color="auto"/>
      </w:divBdr>
    </w:div>
    <w:div w:id="1173295726">
      <w:bodyDiv w:val="1"/>
      <w:marLeft w:val="0"/>
      <w:marRight w:val="0"/>
      <w:marTop w:val="0"/>
      <w:marBottom w:val="0"/>
      <w:divBdr>
        <w:top w:val="none" w:sz="0" w:space="0" w:color="auto"/>
        <w:left w:val="none" w:sz="0" w:space="0" w:color="auto"/>
        <w:bottom w:val="none" w:sz="0" w:space="0" w:color="auto"/>
        <w:right w:val="none" w:sz="0" w:space="0" w:color="auto"/>
      </w:divBdr>
    </w:div>
    <w:div w:id="1173295913">
      <w:bodyDiv w:val="1"/>
      <w:marLeft w:val="0"/>
      <w:marRight w:val="0"/>
      <w:marTop w:val="0"/>
      <w:marBottom w:val="0"/>
      <w:divBdr>
        <w:top w:val="none" w:sz="0" w:space="0" w:color="auto"/>
        <w:left w:val="none" w:sz="0" w:space="0" w:color="auto"/>
        <w:bottom w:val="none" w:sz="0" w:space="0" w:color="auto"/>
        <w:right w:val="none" w:sz="0" w:space="0" w:color="auto"/>
      </w:divBdr>
    </w:div>
    <w:div w:id="1173299760">
      <w:bodyDiv w:val="1"/>
      <w:marLeft w:val="0"/>
      <w:marRight w:val="0"/>
      <w:marTop w:val="0"/>
      <w:marBottom w:val="0"/>
      <w:divBdr>
        <w:top w:val="none" w:sz="0" w:space="0" w:color="auto"/>
        <w:left w:val="none" w:sz="0" w:space="0" w:color="auto"/>
        <w:bottom w:val="none" w:sz="0" w:space="0" w:color="auto"/>
        <w:right w:val="none" w:sz="0" w:space="0" w:color="auto"/>
      </w:divBdr>
    </w:div>
    <w:div w:id="1173300488">
      <w:bodyDiv w:val="1"/>
      <w:marLeft w:val="0"/>
      <w:marRight w:val="0"/>
      <w:marTop w:val="0"/>
      <w:marBottom w:val="0"/>
      <w:divBdr>
        <w:top w:val="none" w:sz="0" w:space="0" w:color="auto"/>
        <w:left w:val="none" w:sz="0" w:space="0" w:color="auto"/>
        <w:bottom w:val="none" w:sz="0" w:space="0" w:color="auto"/>
        <w:right w:val="none" w:sz="0" w:space="0" w:color="auto"/>
      </w:divBdr>
    </w:div>
    <w:div w:id="1173452576">
      <w:bodyDiv w:val="1"/>
      <w:marLeft w:val="0"/>
      <w:marRight w:val="0"/>
      <w:marTop w:val="0"/>
      <w:marBottom w:val="0"/>
      <w:divBdr>
        <w:top w:val="none" w:sz="0" w:space="0" w:color="auto"/>
        <w:left w:val="none" w:sz="0" w:space="0" w:color="auto"/>
        <w:bottom w:val="none" w:sz="0" w:space="0" w:color="auto"/>
        <w:right w:val="none" w:sz="0" w:space="0" w:color="auto"/>
      </w:divBdr>
    </w:div>
    <w:div w:id="1173453574">
      <w:bodyDiv w:val="1"/>
      <w:marLeft w:val="0"/>
      <w:marRight w:val="0"/>
      <w:marTop w:val="0"/>
      <w:marBottom w:val="0"/>
      <w:divBdr>
        <w:top w:val="none" w:sz="0" w:space="0" w:color="auto"/>
        <w:left w:val="none" w:sz="0" w:space="0" w:color="auto"/>
        <w:bottom w:val="none" w:sz="0" w:space="0" w:color="auto"/>
        <w:right w:val="none" w:sz="0" w:space="0" w:color="auto"/>
      </w:divBdr>
    </w:div>
    <w:div w:id="1173566182">
      <w:bodyDiv w:val="1"/>
      <w:marLeft w:val="0"/>
      <w:marRight w:val="0"/>
      <w:marTop w:val="0"/>
      <w:marBottom w:val="0"/>
      <w:divBdr>
        <w:top w:val="none" w:sz="0" w:space="0" w:color="auto"/>
        <w:left w:val="none" w:sz="0" w:space="0" w:color="auto"/>
        <w:bottom w:val="none" w:sz="0" w:space="0" w:color="auto"/>
        <w:right w:val="none" w:sz="0" w:space="0" w:color="auto"/>
      </w:divBdr>
    </w:div>
    <w:div w:id="1173639886">
      <w:bodyDiv w:val="1"/>
      <w:marLeft w:val="0"/>
      <w:marRight w:val="0"/>
      <w:marTop w:val="0"/>
      <w:marBottom w:val="0"/>
      <w:divBdr>
        <w:top w:val="none" w:sz="0" w:space="0" w:color="auto"/>
        <w:left w:val="none" w:sz="0" w:space="0" w:color="auto"/>
        <w:bottom w:val="none" w:sz="0" w:space="0" w:color="auto"/>
        <w:right w:val="none" w:sz="0" w:space="0" w:color="auto"/>
      </w:divBdr>
    </w:div>
    <w:div w:id="1173648764">
      <w:bodyDiv w:val="1"/>
      <w:marLeft w:val="0"/>
      <w:marRight w:val="0"/>
      <w:marTop w:val="0"/>
      <w:marBottom w:val="0"/>
      <w:divBdr>
        <w:top w:val="none" w:sz="0" w:space="0" w:color="auto"/>
        <w:left w:val="none" w:sz="0" w:space="0" w:color="auto"/>
        <w:bottom w:val="none" w:sz="0" w:space="0" w:color="auto"/>
        <w:right w:val="none" w:sz="0" w:space="0" w:color="auto"/>
      </w:divBdr>
    </w:div>
    <w:div w:id="1173687059">
      <w:bodyDiv w:val="1"/>
      <w:marLeft w:val="0"/>
      <w:marRight w:val="0"/>
      <w:marTop w:val="0"/>
      <w:marBottom w:val="0"/>
      <w:divBdr>
        <w:top w:val="none" w:sz="0" w:space="0" w:color="auto"/>
        <w:left w:val="none" w:sz="0" w:space="0" w:color="auto"/>
        <w:bottom w:val="none" w:sz="0" w:space="0" w:color="auto"/>
        <w:right w:val="none" w:sz="0" w:space="0" w:color="auto"/>
      </w:divBdr>
    </w:div>
    <w:div w:id="1173691201">
      <w:bodyDiv w:val="1"/>
      <w:marLeft w:val="0"/>
      <w:marRight w:val="0"/>
      <w:marTop w:val="0"/>
      <w:marBottom w:val="0"/>
      <w:divBdr>
        <w:top w:val="none" w:sz="0" w:space="0" w:color="auto"/>
        <w:left w:val="none" w:sz="0" w:space="0" w:color="auto"/>
        <w:bottom w:val="none" w:sz="0" w:space="0" w:color="auto"/>
        <w:right w:val="none" w:sz="0" w:space="0" w:color="auto"/>
      </w:divBdr>
    </w:div>
    <w:div w:id="1173763845">
      <w:bodyDiv w:val="1"/>
      <w:marLeft w:val="0"/>
      <w:marRight w:val="0"/>
      <w:marTop w:val="0"/>
      <w:marBottom w:val="0"/>
      <w:divBdr>
        <w:top w:val="none" w:sz="0" w:space="0" w:color="auto"/>
        <w:left w:val="none" w:sz="0" w:space="0" w:color="auto"/>
        <w:bottom w:val="none" w:sz="0" w:space="0" w:color="auto"/>
        <w:right w:val="none" w:sz="0" w:space="0" w:color="auto"/>
      </w:divBdr>
    </w:div>
    <w:div w:id="1173883676">
      <w:bodyDiv w:val="1"/>
      <w:marLeft w:val="0"/>
      <w:marRight w:val="0"/>
      <w:marTop w:val="0"/>
      <w:marBottom w:val="0"/>
      <w:divBdr>
        <w:top w:val="none" w:sz="0" w:space="0" w:color="auto"/>
        <w:left w:val="none" w:sz="0" w:space="0" w:color="auto"/>
        <w:bottom w:val="none" w:sz="0" w:space="0" w:color="auto"/>
        <w:right w:val="none" w:sz="0" w:space="0" w:color="auto"/>
      </w:divBdr>
    </w:div>
    <w:div w:id="1173910741">
      <w:bodyDiv w:val="1"/>
      <w:marLeft w:val="0"/>
      <w:marRight w:val="0"/>
      <w:marTop w:val="0"/>
      <w:marBottom w:val="0"/>
      <w:divBdr>
        <w:top w:val="none" w:sz="0" w:space="0" w:color="auto"/>
        <w:left w:val="none" w:sz="0" w:space="0" w:color="auto"/>
        <w:bottom w:val="none" w:sz="0" w:space="0" w:color="auto"/>
        <w:right w:val="none" w:sz="0" w:space="0" w:color="auto"/>
      </w:divBdr>
    </w:div>
    <w:div w:id="1173911415">
      <w:bodyDiv w:val="1"/>
      <w:marLeft w:val="0"/>
      <w:marRight w:val="0"/>
      <w:marTop w:val="0"/>
      <w:marBottom w:val="0"/>
      <w:divBdr>
        <w:top w:val="none" w:sz="0" w:space="0" w:color="auto"/>
        <w:left w:val="none" w:sz="0" w:space="0" w:color="auto"/>
        <w:bottom w:val="none" w:sz="0" w:space="0" w:color="auto"/>
        <w:right w:val="none" w:sz="0" w:space="0" w:color="auto"/>
      </w:divBdr>
    </w:div>
    <w:div w:id="1174032264">
      <w:bodyDiv w:val="1"/>
      <w:marLeft w:val="0"/>
      <w:marRight w:val="0"/>
      <w:marTop w:val="0"/>
      <w:marBottom w:val="0"/>
      <w:divBdr>
        <w:top w:val="none" w:sz="0" w:space="0" w:color="auto"/>
        <w:left w:val="none" w:sz="0" w:space="0" w:color="auto"/>
        <w:bottom w:val="none" w:sz="0" w:space="0" w:color="auto"/>
        <w:right w:val="none" w:sz="0" w:space="0" w:color="auto"/>
      </w:divBdr>
    </w:div>
    <w:div w:id="1174222759">
      <w:bodyDiv w:val="1"/>
      <w:marLeft w:val="0"/>
      <w:marRight w:val="0"/>
      <w:marTop w:val="0"/>
      <w:marBottom w:val="0"/>
      <w:divBdr>
        <w:top w:val="none" w:sz="0" w:space="0" w:color="auto"/>
        <w:left w:val="none" w:sz="0" w:space="0" w:color="auto"/>
        <w:bottom w:val="none" w:sz="0" w:space="0" w:color="auto"/>
        <w:right w:val="none" w:sz="0" w:space="0" w:color="auto"/>
      </w:divBdr>
    </w:div>
    <w:div w:id="1174415347">
      <w:bodyDiv w:val="1"/>
      <w:marLeft w:val="0"/>
      <w:marRight w:val="0"/>
      <w:marTop w:val="0"/>
      <w:marBottom w:val="0"/>
      <w:divBdr>
        <w:top w:val="none" w:sz="0" w:space="0" w:color="auto"/>
        <w:left w:val="none" w:sz="0" w:space="0" w:color="auto"/>
        <w:bottom w:val="none" w:sz="0" w:space="0" w:color="auto"/>
        <w:right w:val="none" w:sz="0" w:space="0" w:color="auto"/>
      </w:divBdr>
    </w:div>
    <w:div w:id="1174489421">
      <w:bodyDiv w:val="1"/>
      <w:marLeft w:val="0"/>
      <w:marRight w:val="0"/>
      <w:marTop w:val="0"/>
      <w:marBottom w:val="0"/>
      <w:divBdr>
        <w:top w:val="none" w:sz="0" w:space="0" w:color="auto"/>
        <w:left w:val="none" w:sz="0" w:space="0" w:color="auto"/>
        <w:bottom w:val="none" w:sz="0" w:space="0" w:color="auto"/>
        <w:right w:val="none" w:sz="0" w:space="0" w:color="auto"/>
      </w:divBdr>
    </w:div>
    <w:div w:id="1174567879">
      <w:bodyDiv w:val="1"/>
      <w:marLeft w:val="0"/>
      <w:marRight w:val="0"/>
      <w:marTop w:val="0"/>
      <w:marBottom w:val="0"/>
      <w:divBdr>
        <w:top w:val="none" w:sz="0" w:space="0" w:color="auto"/>
        <w:left w:val="none" w:sz="0" w:space="0" w:color="auto"/>
        <w:bottom w:val="none" w:sz="0" w:space="0" w:color="auto"/>
        <w:right w:val="none" w:sz="0" w:space="0" w:color="auto"/>
      </w:divBdr>
    </w:div>
    <w:div w:id="1174568363">
      <w:bodyDiv w:val="1"/>
      <w:marLeft w:val="0"/>
      <w:marRight w:val="0"/>
      <w:marTop w:val="0"/>
      <w:marBottom w:val="0"/>
      <w:divBdr>
        <w:top w:val="none" w:sz="0" w:space="0" w:color="auto"/>
        <w:left w:val="none" w:sz="0" w:space="0" w:color="auto"/>
        <w:bottom w:val="none" w:sz="0" w:space="0" w:color="auto"/>
        <w:right w:val="none" w:sz="0" w:space="0" w:color="auto"/>
      </w:divBdr>
    </w:div>
    <w:div w:id="1174763528">
      <w:bodyDiv w:val="1"/>
      <w:marLeft w:val="0"/>
      <w:marRight w:val="0"/>
      <w:marTop w:val="0"/>
      <w:marBottom w:val="0"/>
      <w:divBdr>
        <w:top w:val="none" w:sz="0" w:space="0" w:color="auto"/>
        <w:left w:val="none" w:sz="0" w:space="0" w:color="auto"/>
        <w:bottom w:val="none" w:sz="0" w:space="0" w:color="auto"/>
        <w:right w:val="none" w:sz="0" w:space="0" w:color="auto"/>
      </w:divBdr>
    </w:div>
    <w:div w:id="1174803328">
      <w:bodyDiv w:val="1"/>
      <w:marLeft w:val="0"/>
      <w:marRight w:val="0"/>
      <w:marTop w:val="0"/>
      <w:marBottom w:val="0"/>
      <w:divBdr>
        <w:top w:val="none" w:sz="0" w:space="0" w:color="auto"/>
        <w:left w:val="none" w:sz="0" w:space="0" w:color="auto"/>
        <w:bottom w:val="none" w:sz="0" w:space="0" w:color="auto"/>
        <w:right w:val="none" w:sz="0" w:space="0" w:color="auto"/>
      </w:divBdr>
    </w:div>
    <w:div w:id="1174805995">
      <w:bodyDiv w:val="1"/>
      <w:marLeft w:val="0"/>
      <w:marRight w:val="0"/>
      <w:marTop w:val="0"/>
      <w:marBottom w:val="0"/>
      <w:divBdr>
        <w:top w:val="none" w:sz="0" w:space="0" w:color="auto"/>
        <w:left w:val="none" w:sz="0" w:space="0" w:color="auto"/>
        <w:bottom w:val="none" w:sz="0" w:space="0" w:color="auto"/>
        <w:right w:val="none" w:sz="0" w:space="0" w:color="auto"/>
      </w:divBdr>
    </w:div>
    <w:div w:id="1174883440">
      <w:bodyDiv w:val="1"/>
      <w:marLeft w:val="0"/>
      <w:marRight w:val="0"/>
      <w:marTop w:val="0"/>
      <w:marBottom w:val="0"/>
      <w:divBdr>
        <w:top w:val="none" w:sz="0" w:space="0" w:color="auto"/>
        <w:left w:val="none" w:sz="0" w:space="0" w:color="auto"/>
        <w:bottom w:val="none" w:sz="0" w:space="0" w:color="auto"/>
        <w:right w:val="none" w:sz="0" w:space="0" w:color="auto"/>
      </w:divBdr>
    </w:div>
    <w:div w:id="1174951799">
      <w:bodyDiv w:val="1"/>
      <w:marLeft w:val="0"/>
      <w:marRight w:val="0"/>
      <w:marTop w:val="0"/>
      <w:marBottom w:val="0"/>
      <w:divBdr>
        <w:top w:val="none" w:sz="0" w:space="0" w:color="auto"/>
        <w:left w:val="none" w:sz="0" w:space="0" w:color="auto"/>
        <w:bottom w:val="none" w:sz="0" w:space="0" w:color="auto"/>
        <w:right w:val="none" w:sz="0" w:space="0" w:color="auto"/>
      </w:divBdr>
    </w:div>
    <w:div w:id="1174955058">
      <w:bodyDiv w:val="1"/>
      <w:marLeft w:val="0"/>
      <w:marRight w:val="0"/>
      <w:marTop w:val="0"/>
      <w:marBottom w:val="0"/>
      <w:divBdr>
        <w:top w:val="none" w:sz="0" w:space="0" w:color="auto"/>
        <w:left w:val="none" w:sz="0" w:space="0" w:color="auto"/>
        <w:bottom w:val="none" w:sz="0" w:space="0" w:color="auto"/>
        <w:right w:val="none" w:sz="0" w:space="0" w:color="auto"/>
      </w:divBdr>
    </w:div>
    <w:div w:id="1174957675">
      <w:bodyDiv w:val="1"/>
      <w:marLeft w:val="0"/>
      <w:marRight w:val="0"/>
      <w:marTop w:val="0"/>
      <w:marBottom w:val="0"/>
      <w:divBdr>
        <w:top w:val="none" w:sz="0" w:space="0" w:color="auto"/>
        <w:left w:val="none" w:sz="0" w:space="0" w:color="auto"/>
        <w:bottom w:val="none" w:sz="0" w:space="0" w:color="auto"/>
        <w:right w:val="none" w:sz="0" w:space="0" w:color="auto"/>
      </w:divBdr>
    </w:div>
    <w:div w:id="1175144361">
      <w:bodyDiv w:val="1"/>
      <w:marLeft w:val="0"/>
      <w:marRight w:val="0"/>
      <w:marTop w:val="0"/>
      <w:marBottom w:val="0"/>
      <w:divBdr>
        <w:top w:val="none" w:sz="0" w:space="0" w:color="auto"/>
        <w:left w:val="none" w:sz="0" w:space="0" w:color="auto"/>
        <w:bottom w:val="none" w:sz="0" w:space="0" w:color="auto"/>
        <w:right w:val="none" w:sz="0" w:space="0" w:color="auto"/>
      </w:divBdr>
    </w:div>
    <w:div w:id="1175265151">
      <w:bodyDiv w:val="1"/>
      <w:marLeft w:val="0"/>
      <w:marRight w:val="0"/>
      <w:marTop w:val="0"/>
      <w:marBottom w:val="0"/>
      <w:divBdr>
        <w:top w:val="none" w:sz="0" w:space="0" w:color="auto"/>
        <w:left w:val="none" w:sz="0" w:space="0" w:color="auto"/>
        <w:bottom w:val="none" w:sz="0" w:space="0" w:color="auto"/>
        <w:right w:val="none" w:sz="0" w:space="0" w:color="auto"/>
      </w:divBdr>
    </w:div>
    <w:div w:id="1175388169">
      <w:bodyDiv w:val="1"/>
      <w:marLeft w:val="0"/>
      <w:marRight w:val="0"/>
      <w:marTop w:val="0"/>
      <w:marBottom w:val="0"/>
      <w:divBdr>
        <w:top w:val="none" w:sz="0" w:space="0" w:color="auto"/>
        <w:left w:val="none" w:sz="0" w:space="0" w:color="auto"/>
        <w:bottom w:val="none" w:sz="0" w:space="0" w:color="auto"/>
        <w:right w:val="none" w:sz="0" w:space="0" w:color="auto"/>
      </w:divBdr>
    </w:div>
    <w:div w:id="1175461896">
      <w:bodyDiv w:val="1"/>
      <w:marLeft w:val="0"/>
      <w:marRight w:val="0"/>
      <w:marTop w:val="0"/>
      <w:marBottom w:val="0"/>
      <w:divBdr>
        <w:top w:val="none" w:sz="0" w:space="0" w:color="auto"/>
        <w:left w:val="none" w:sz="0" w:space="0" w:color="auto"/>
        <w:bottom w:val="none" w:sz="0" w:space="0" w:color="auto"/>
        <w:right w:val="none" w:sz="0" w:space="0" w:color="auto"/>
      </w:divBdr>
    </w:div>
    <w:div w:id="1175530624">
      <w:bodyDiv w:val="1"/>
      <w:marLeft w:val="0"/>
      <w:marRight w:val="0"/>
      <w:marTop w:val="0"/>
      <w:marBottom w:val="0"/>
      <w:divBdr>
        <w:top w:val="none" w:sz="0" w:space="0" w:color="auto"/>
        <w:left w:val="none" w:sz="0" w:space="0" w:color="auto"/>
        <w:bottom w:val="none" w:sz="0" w:space="0" w:color="auto"/>
        <w:right w:val="none" w:sz="0" w:space="0" w:color="auto"/>
      </w:divBdr>
    </w:div>
    <w:div w:id="1175803444">
      <w:bodyDiv w:val="1"/>
      <w:marLeft w:val="0"/>
      <w:marRight w:val="0"/>
      <w:marTop w:val="0"/>
      <w:marBottom w:val="0"/>
      <w:divBdr>
        <w:top w:val="none" w:sz="0" w:space="0" w:color="auto"/>
        <w:left w:val="none" w:sz="0" w:space="0" w:color="auto"/>
        <w:bottom w:val="none" w:sz="0" w:space="0" w:color="auto"/>
        <w:right w:val="none" w:sz="0" w:space="0" w:color="auto"/>
      </w:divBdr>
    </w:div>
    <w:div w:id="1175879450">
      <w:bodyDiv w:val="1"/>
      <w:marLeft w:val="0"/>
      <w:marRight w:val="0"/>
      <w:marTop w:val="0"/>
      <w:marBottom w:val="0"/>
      <w:divBdr>
        <w:top w:val="none" w:sz="0" w:space="0" w:color="auto"/>
        <w:left w:val="none" w:sz="0" w:space="0" w:color="auto"/>
        <w:bottom w:val="none" w:sz="0" w:space="0" w:color="auto"/>
        <w:right w:val="none" w:sz="0" w:space="0" w:color="auto"/>
      </w:divBdr>
    </w:div>
    <w:div w:id="1175995874">
      <w:bodyDiv w:val="1"/>
      <w:marLeft w:val="0"/>
      <w:marRight w:val="0"/>
      <w:marTop w:val="0"/>
      <w:marBottom w:val="0"/>
      <w:divBdr>
        <w:top w:val="none" w:sz="0" w:space="0" w:color="auto"/>
        <w:left w:val="none" w:sz="0" w:space="0" w:color="auto"/>
        <w:bottom w:val="none" w:sz="0" w:space="0" w:color="auto"/>
        <w:right w:val="none" w:sz="0" w:space="0" w:color="auto"/>
      </w:divBdr>
    </w:div>
    <w:div w:id="1176072237">
      <w:bodyDiv w:val="1"/>
      <w:marLeft w:val="0"/>
      <w:marRight w:val="0"/>
      <w:marTop w:val="0"/>
      <w:marBottom w:val="0"/>
      <w:divBdr>
        <w:top w:val="none" w:sz="0" w:space="0" w:color="auto"/>
        <w:left w:val="none" w:sz="0" w:space="0" w:color="auto"/>
        <w:bottom w:val="none" w:sz="0" w:space="0" w:color="auto"/>
        <w:right w:val="none" w:sz="0" w:space="0" w:color="auto"/>
      </w:divBdr>
    </w:div>
    <w:div w:id="1176189646">
      <w:bodyDiv w:val="1"/>
      <w:marLeft w:val="0"/>
      <w:marRight w:val="0"/>
      <w:marTop w:val="0"/>
      <w:marBottom w:val="0"/>
      <w:divBdr>
        <w:top w:val="none" w:sz="0" w:space="0" w:color="auto"/>
        <w:left w:val="none" w:sz="0" w:space="0" w:color="auto"/>
        <w:bottom w:val="none" w:sz="0" w:space="0" w:color="auto"/>
        <w:right w:val="none" w:sz="0" w:space="0" w:color="auto"/>
      </w:divBdr>
    </w:div>
    <w:div w:id="1176191871">
      <w:bodyDiv w:val="1"/>
      <w:marLeft w:val="0"/>
      <w:marRight w:val="0"/>
      <w:marTop w:val="0"/>
      <w:marBottom w:val="0"/>
      <w:divBdr>
        <w:top w:val="none" w:sz="0" w:space="0" w:color="auto"/>
        <w:left w:val="none" w:sz="0" w:space="0" w:color="auto"/>
        <w:bottom w:val="none" w:sz="0" w:space="0" w:color="auto"/>
        <w:right w:val="none" w:sz="0" w:space="0" w:color="auto"/>
      </w:divBdr>
    </w:div>
    <w:div w:id="1176263703">
      <w:bodyDiv w:val="1"/>
      <w:marLeft w:val="0"/>
      <w:marRight w:val="0"/>
      <w:marTop w:val="0"/>
      <w:marBottom w:val="0"/>
      <w:divBdr>
        <w:top w:val="none" w:sz="0" w:space="0" w:color="auto"/>
        <w:left w:val="none" w:sz="0" w:space="0" w:color="auto"/>
        <w:bottom w:val="none" w:sz="0" w:space="0" w:color="auto"/>
        <w:right w:val="none" w:sz="0" w:space="0" w:color="auto"/>
      </w:divBdr>
    </w:div>
    <w:div w:id="1176386956">
      <w:bodyDiv w:val="1"/>
      <w:marLeft w:val="0"/>
      <w:marRight w:val="0"/>
      <w:marTop w:val="0"/>
      <w:marBottom w:val="0"/>
      <w:divBdr>
        <w:top w:val="none" w:sz="0" w:space="0" w:color="auto"/>
        <w:left w:val="none" w:sz="0" w:space="0" w:color="auto"/>
        <w:bottom w:val="none" w:sz="0" w:space="0" w:color="auto"/>
        <w:right w:val="none" w:sz="0" w:space="0" w:color="auto"/>
      </w:divBdr>
    </w:div>
    <w:div w:id="1176456666">
      <w:bodyDiv w:val="1"/>
      <w:marLeft w:val="0"/>
      <w:marRight w:val="0"/>
      <w:marTop w:val="0"/>
      <w:marBottom w:val="0"/>
      <w:divBdr>
        <w:top w:val="none" w:sz="0" w:space="0" w:color="auto"/>
        <w:left w:val="none" w:sz="0" w:space="0" w:color="auto"/>
        <w:bottom w:val="none" w:sz="0" w:space="0" w:color="auto"/>
        <w:right w:val="none" w:sz="0" w:space="0" w:color="auto"/>
      </w:divBdr>
    </w:div>
    <w:div w:id="1176505242">
      <w:bodyDiv w:val="1"/>
      <w:marLeft w:val="0"/>
      <w:marRight w:val="0"/>
      <w:marTop w:val="0"/>
      <w:marBottom w:val="0"/>
      <w:divBdr>
        <w:top w:val="none" w:sz="0" w:space="0" w:color="auto"/>
        <w:left w:val="none" w:sz="0" w:space="0" w:color="auto"/>
        <w:bottom w:val="none" w:sz="0" w:space="0" w:color="auto"/>
        <w:right w:val="none" w:sz="0" w:space="0" w:color="auto"/>
      </w:divBdr>
    </w:div>
    <w:div w:id="1176577287">
      <w:bodyDiv w:val="1"/>
      <w:marLeft w:val="0"/>
      <w:marRight w:val="0"/>
      <w:marTop w:val="0"/>
      <w:marBottom w:val="0"/>
      <w:divBdr>
        <w:top w:val="none" w:sz="0" w:space="0" w:color="auto"/>
        <w:left w:val="none" w:sz="0" w:space="0" w:color="auto"/>
        <w:bottom w:val="none" w:sz="0" w:space="0" w:color="auto"/>
        <w:right w:val="none" w:sz="0" w:space="0" w:color="auto"/>
      </w:divBdr>
    </w:div>
    <w:div w:id="1176577847">
      <w:bodyDiv w:val="1"/>
      <w:marLeft w:val="0"/>
      <w:marRight w:val="0"/>
      <w:marTop w:val="0"/>
      <w:marBottom w:val="0"/>
      <w:divBdr>
        <w:top w:val="none" w:sz="0" w:space="0" w:color="auto"/>
        <w:left w:val="none" w:sz="0" w:space="0" w:color="auto"/>
        <w:bottom w:val="none" w:sz="0" w:space="0" w:color="auto"/>
        <w:right w:val="none" w:sz="0" w:space="0" w:color="auto"/>
      </w:divBdr>
    </w:div>
    <w:div w:id="1176723033">
      <w:bodyDiv w:val="1"/>
      <w:marLeft w:val="0"/>
      <w:marRight w:val="0"/>
      <w:marTop w:val="0"/>
      <w:marBottom w:val="0"/>
      <w:divBdr>
        <w:top w:val="none" w:sz="0" w:space="0" w:color="auto"/>
        <w:left w:val="none" w:sz="0" w:space="0" w:color="auto"/>
        <w:bottom w:val="none" w:sz="0" w:space="0" w:color="auto"/>
        <w:right w:val="none" w:sz="0" w:space="0" w:color="auto"/>
      </w:divBdr>
    </w:div>
    <w:div w:id="1176725220">
      <w:bodyDiv w:val="1"/>
      <w:marLeft w:val="0"/>
      <w:marRight w:val="0"/>
      <w:marTop w:val="0"/>
      <w:marBottom w:val="0"/>
      <w:divBdr>
        <w:top w:val="none" w:sz="0" w:space="0" w:color="auto"/>
        <w:left w:val="none" w:sz="0" w:space="0" w:color="auto"/>
        <w:bottom w:val="none" w:sz="0" w:space="0" w:color="auto"/>
        <w:right w:val="none" w:sz="0" w:space="0" w:color="auto"/>
      </w:divBdr>
    </w:div>
    <w:div w:id="1176773395">
      <w:bodyDiv w:val="1"/>
      <w:marLeft w:val="0"/>
      <w:marRight w:val="0"/>
      <w:marTop w:val="0"/>
      <w:marBottom w:val="0"/>
      <w:divBdr>
        <w:top w:val="none" w:sz="0" w:space="0" w:color="auto"/>
        <w:left w:val="none" w:sz="0" w:space="0" w:color="auto"/>
        <w:bottom w:val="none" w:sz="0" w:space="0" w:color="auto"/>
        <w:right w:val="none" w:sz="0" w:space="0" w:color="auto"/>
      </w:divBdr>
    </w:div>
    <w:div w:id="1176773906">
      <w:bodyDiv w:val="1"/>
      <w:marLeft w:val="0"/>
      <w:marRight w:val="0"/>
      <w:marTop w:val="0"/>
      <w:marBottom w:val="0"/>
      <w:divBdr>
        <w:top w:val="none" w:sz="0" w:space="0" w:color="auto"/>
        <w:left w:val="none" w:sz="0" w:space="0" w:color="auto"/>
        <w:bottom w:val="none" w:sz="0" w:space="0" w:color="auto"/>
        <w:right w:val="none" w:sz="0" w:space="0" w:color="auto"/>
      </w:divBdr>
    </w:div>
    <w:div w:id="1177038160">
      <w:bodyDiv w:val="1"/>
      <w:marLeft w:val="0"/>
      <w:marRight w:val="0"/>
      <w:marTop w:val="0"/>
      <w:marBottom w:val="0"/>
      <w:divBdr>
        <w:top w:val="none" w:sz="0" w:space="0" w:color="auto"/>
        <w:left w:val="none" w:sz="0" w:space="0" w:color="auto"/>
        <w:bottom w:val="none" w:sz="0" w:space="0" w:color="auto"/>
        <w:right w:val="none" w:sz="0" w:space="0" w:color="auto"/>
      </w:divBdr>
    </w:div>
    <w:div w:id="1177114540">
      <w:bodyDiv w:val="1"/>
      <w:marLeft w:val="0"/>
      <w:marRight w:val="0"/>
      <w:marTop w:val="0"/>
      <w:marBottom w:val="0"/>
      <w:divBdr>
        <w:top w:val="none" w:sz="0" w:space="0" w:color="auto"/>
        <w:left w:val="none" w:sz="0" w:space="0" w:color="auto"/>
        <w:bottom w:val="none" w:sz="0" w:space="0" w:color="auto"/>
        <w:right w:val="none" w:sz="0" w:space="0" w:color="auto"/>
      </w:divBdr>
    </w:div>
    <w:div w:id="1177233168">
      <w:bodyDiv w:val="1"/>
      <w:marLeft w:val="0"/>
      <w:marRight w:val="0"/>
      <w:marTop w:val="0"/>
      <w:marBottom w:val="0"/>
      <w:divBdr>
        <w:top w:val="none" w:sz="0" w:space="0" w:color="auto"/>
        <w:left w:val="none" w:sz="0" w:space="0" w:color="auto"/>
        <w:bottom w:val="none" w:sz="0" w:space="0" w:color="auto"/>
        <w:right w:val="none" w:sz="0" w:space="0" w:color="auto"/>
      </w:divBdr>
    </w:div>
    <w:div w:id="1177308723">
      <w:bodyDiv w:val="1"/>
      <w:marLeft w:val="0"/>
      <w:marRight w:val="0"/>
      <w:marTop w:val="0"/>
      <w:marBottom w:val="0"/>
      <w:divBdr>
        <w:top w:val="none" w:sz="0" w:space="0" w:color="auto"/>
        <w:left w:val="none" w:sz="0" w:space="0" w:color="auto"/>
        <w:bottom w:val="none" w:sz="0" w:space="0" w:color="auto"/>
        <w:right w:val="none" w:sz="0" w:space="0" w:color="auto"/>
      </w:divBdr>
    </w:div>
    <w:div w:id="1177429705">
      <w:bodyDiv w:val="1"/>
      <w:marLeft w:val="0"/>
      <w:marRight w:val="0"/>
      <w:marTop w:val="0"/>
      <w:marBottom w:val="0"/>
      <w:divBdr>
        <w:top w:val="none" w:sz="0" w:space="0" w:color="auto"/>
        <w:left w:val="none" w:sz="0" w:space="0" w:color="auto"/>
        <w:bottom w:val="none" w:sz="0" w:space="0" w:color="auto"/>
        <w:right w:val="none" w:sz="0" w:space="0" w:color="auto"/>
      </w:divBdr>
    </w:div>
    <w:div w:id="1177579308">
      <w:bodyDiv w:val="1"/>
      <w:marLeft w:val="0"/>
      <w:marRight w:val="0"/>
      <w:marTop w:val="0"/>
      <w:marBottom w:val="0"/>
      <w:divBdr>
        <w:top w:val="none" w:sz="0" w:space="0" w:color="auto"/>
        <w:left w:val="none" w:sz="0" w:space="0" w:color="auto"/>
        <w:bottom w:val="none" w:sz="0" w:space="0" w:color="auto"/>
        <w:right w:val="none" w:sz="0" w:space="0" w:color="auto"/>
      </w:divBdr>
    </w:div>
    <w:div w:id="1177618294">
      <w:bodyDiv w:val="1"/>
      <w:marLeft w:val="0"/>
      <w:marRight w:val="0"/>
      <w:marTop w:val="0"/>
      <w:marBottom w:val="0"/>
      <w:divBdr>
        <w:top w:val="none" w:sz="0" w:space="0" w:color="auto"/>
        <w:left w:val="none" w:sz="0" w:space="0" w:color="auto"/>
        <w:bottom w:val="none" w:sz="0" w:space="0" w:color="auto"/>
        <w:right w:val="none" w:sz="0" w:space="0" w:color="auto"/>
      </w:divBdr>
    </w:div>
    <w:div w:id="1177621127">
      <w:bodyDiv w:val="1"/>
      <w:marLeft w:val="0"/>
      <w:marRight w:val="0"/>
      <w:marTop w:val="0"/>
      <w:marBottom w:val="0"/>
      <w:divBdr>
        <w:top w:val="none" w:sz="0" w:space="0" w:color="auto"/>
        <w:left w:val="none" w:sz="0" w:space="0" w:color="auto"/>
        <w:bottom w:val="none" w:sz="0" w:space="0" w:color="auto"/>
        <w:right w:val="none" w:sz="0" w:space="0" w:color="auto"/>
      </w:divBdr>
    </w:div>
    <w:div w:id="1177647906">
      <w:bodyDiv w:val="1"/>
      <w:marLeft w:val="0"/>
      <w:marRight w:val="0"/>
      <w:marTop w:val="0"/>
      <w:marBottom w:val="0"/>
      <w:divBdr>
        <w:top w:val="none" w:sz="0" w:space="0" w:color="auto"/>
        <w:left w:val="none" w:sz="0" w:space="0" w:color="auto"/>
        <w:bottom w:val="none" w:sz="0" w:space="0" w:color="auto"/>
        <w:right w:val="none" w:sz="0" w:space="0" w:color="auto"/>
      </w:divBdr>
    </w:div>
    <w:div w:id="1177689705">
      <w:bodyDiv w:val="1"/>
      <w:marLeft w:val="0"/>
      <w:marRight w:val="0"/>
      <w:marTop w:val="0"/>
      <w:marBottom w:val="0"/>
      <w:divBdr>
        <w:top w:val="none" w:sz="0" w:space="0" w:color="auto"/>
        <w:left w:val="none" w:sz="0" w:space="0" w:color="auto"/>
        <w:bottom w:val="none" w:sz="0" w:space="0" w:color="auto"/>
        <w:right w:val="none" w:sz="0" w:space="0" w:color="auto"/>
      </w:divBdr>
    </w:div>
    <w:div w:id="1177693695">
      <w:bodyDiv w:val="1"/>
      <w:marLeft w:val="0"/>
      <w:marRight w:val="0"/>
      <w:marTop w:val="0"/>
      <w:marBottom w:val="0"/>
      <w:divBdr>
        <w:top w:val="none" w:sz="0" w:space="0" w:color="auto"/>
        <w:left w:val="none" w:sz="0" w:space="0" w:color="auto"/>
        <w:bottom w:val="none" w:sz="0" w:space="0" w:color="auto"/>
        <w:right w:val="none" w:sz="0" w:space="0" w:color="auto"/>
      </w:divBdr>
    </w:div>
    <w:div w:id="1177696731">
      <w:bodyDiv w:val="1"/>
      <w:marLeft w:val="0"/>
      <w:marRight w:val="0"/>
      <w:marTop w:val="0"/>
      <w:marBottom w:val="0"/>
      <w:divBdr>
        <w:top w:val="none" w:sz="0" w:space="0" w:color="auto"/>
        <w:left w:val="none" w:sz="0" w:space="0" w:color="auto"/>
        <w:bottom w:val="none" w:sz="0" w:space="0" w:color="auto"/>
        <w:right w:val="none" w:sz="0" w:space="0" w:color="auto"/>
      </w:divBdr>
    </w:div>
    <w:div w:id="1177840812">
      <w:bodyDiv w:val="1"/>
      <w:marLeft w:val="0"/>
      <w:marRight w:val="0"/>
      <w:marTop w:val="0"/>
      <w:marBottom w:val="0"/>
      <w:divBdr>
        <w:top w:val="none" w:sz="0" w:space="0" w:color="auto"/>
        <w:left w:val="none" w:sz="0" w:space="0" w:color="auto"/>
        <w:bottom w:val="none" w:sz="0" w:space="0" w:color="auto"/>
        <w:right w:val="none" w:sz="0" w:space="0" w:color="auto"/>
      </w:divBdr>
    </w:div>
    <w:div w:id="1177883508">
      <w:bodyDiv w:val="1"/>
      <w:marLeft w:val="0"/>
      <w:marRight w:val="0"/>
      <w:marTop w:val="0"/>
      <w:marBottom w:val="0"/>
      <w:divBdr>
        <w:top w:val="none" w:sz="0" w:space="0" w:color="auto"/>
        <w:left w:val="none" w:sz="0" w:space="0" w:color="auto"/>
        <w:bottom w:val="none" w:sz="0" w:space="0" w:color="auto"/>
        <w:right w:val="none" w:sz="0" w:space="0" w:color="auto"/>
      </w:divBdr>
    </w:div>
    <w:div w:id="1177885506">
      <w:bodyDiv w:val="1"/>
      <w:marLeft w:val="0"/>
      <w:marRight w:val="0"/>
      <w:marTop w:val="0"/>
      <w:marBottom w:val="0"/>
      <w:divBdr>
        <w:top w:val="none" w:sz="0" w:space="0" w:color="auto"/>
        <w:left w:val="none" w:sz="0" w:space="0" w:color="auto"/>
        <w:bottom w:val="none" w:sz="0" w:space="0" w:color="auto"/>
        <w:right w:val="none" w:sz="0" w:space="0" w:color="auto"/>
      </w:divBdr>
    </w:div>
    <w:div w:id="1178081441">
      <w:bodyDiv w:val="1"/>
      <w:marLeft w:val="0"/>
      <w:marRight w:val="0"/>
      <w:marTop w:val="0"/>
      <w:marBottom w:val="0"/>
      <w:divBdr>
        <w:top w:val="none" w:sz="0" w:space="0" w:color="auto"/>
        <w:left w:val="none" w:sz="0" w:space="0" w:color="auto"/>
        <w:bottom w:val="none" w:sz="0" w:space="0" w:color="auto"/>
        <w:right w:val="none" w:sz="0" w:space="0" w:color="auto"/>
      </w:divBdr>
    </w:div>
    <w:div w:id="1178277631">
      <w:bodyDiv w:val="1"/>
      <w:marLeft w:val="0"/>
      <w:marRight w:val="0"/>
      <w:marTop w:val="0"/>
      <w:marBottom w:val="0"/>
      <w:divBdr>
        <w:top w:val="none" w:sz="0" w:space="0" w:color="auto"/>
        <w:left w:val="none" w:sz="0" w:space="0" w:color="auto"/>
        <w:bottom w:val="none" w:sz="0" w:space="0" w:color="auto"/>
        <w:right w:val="none" w:sz="0" w:space="0" w:color="auto"/>
      </w:divBdr>
    </w:div>
    <w:div w:id="1178302488">
      <w:bodyDiv w:val="1"/>
      <w:marLeft w:val="0"/>
      <w:marRight w:val="0"/>
      <w:marTop w:val="0"/>
      <w:marBottom w:val="0"/>
      <w:divBdr>
        <w:top w:val="none" w:sz="0" w:space="0" w:color="auto"/>
        <w:left w:val="none" w:sz="0" w:space="0" w:color="auto"/>
        <w:bottom w:val="none" w:sz="0" w:space="0" w:color="auto"/>
        <w:right w:val="none" w:sz="0" w:space="0" w:color="auto"/>
      </w:divBdr>
    </w:div>
    <w:div w:id="1178352508">
      <w:bodyDiv w:val="1"/>
      <w:marLeft w:val="0"/>
      <w:marRight w:val="0"/>
      <w:marTop w:val="0"/>
      <w:marBottom w:val="0"/>
      <w:divBdr>
        <w:top w:val="none" w:sz="0" w:space="0" w:color="auto"/>
        <w:left w:val="none" w:sz="0" w:space="0" w:color="auto"/>
        <w:bottom w:val="none" w:sz="0" w:space="0" w:color="auto"/>
        <w:right w:val="none" w:sz="0" w:space="0" w:color="auto"/>
      </w:divBdr>
    </w:div>
    <w:div w:id="1178421877">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178428982">
      <w:bodyDiv w:val="1"/>
      <w:marLeft w:val="0"/>
      <w:marRight w:val="0"/>
      <w:marTop w:val="0"/>
      <w:marBottom w:val="0"/>
      <w:divBdr>
        <w:top w:val="none" w:sz="0" w:space="0" w:color="auto"/>
        <w:left w:val="none" w:sz="0" w:space="0" w:color="auto"/>
        <w:bottom w:val="none" w:sz="0" w:space="0" w:color="auto"/>
        <w:right w:val="none" w:sz="0" w:space="0" w:color="auto"/>
      </w:divBdr>
    </w:div>
    <w:div w:id="1178469599">
      <w:bodyDiv w:val="1"/>
      <w:marLeft w:val="0"/>
      <w:marRight w:val="0"/>
      <w:marTop w:val="0"/>
      <w:marBottom w:val="0"/>
      <w:divBdr>
        <w:top w:val="none" w:sz="0" w:space="0" w:color="auto"/>
        <w:left w:val="none" w:sz="0" w:space="0" w:color="auto"/>
        <w:bottom w:val="none" w:sz="0" w:space="0" w:color="auto"/>
        <w:right w:val="none" w:sz="0" w:space="0" w:color="auto"/>
      </w:divBdr>
    </w:div>
    <w:div w:id="1178541557">
      <w:bodyDiv w:val="1"/>
      <w:marLeft w:val="0"/>
      <w:marRight w:val="0"/>
      <w:marTop w:val="0"/>
      <w:marBottom w:val="0"/>
      <w:divBdr>
        <w:top w:val="none" w:sz="0" w:space="0" w:color="auto"/>
        <w:left w:val="none" w:sz="0" w:space="0" w:color="auto"/>
        <w:bottom w:val="none" w:sz="0" w:space="0" w:color="auto"/>
        <w:right w:val="none" w:sz="0" w:space="0" w:color="auto"/>
      </w:divBdr>
    </w:div>
    <w:div w:id="1178542303">
      <w:bodyDiv w:val="1"/>
      <w:marLeft w:val="0"/>
      <w:marRight w:val="0"/>
      <w:marTop w:val="0"/>
      <w:marBottom w:val="0"/>
      <w:divBdr>
        <w:top w:val="none" w:sz="0" w:space="0" w:color="auto"/>
        <w:left w:val="none" w:sz="0" w:space="0" w:color="auto"/>
        <w:bottom w:val="none" w:sz="0" w:space="0" w:color="auto"/>
        <w:right w:val="none" w:sz="0" w:space="0" w:color="auto"/>
      </w:divBdr>
    </w:div>
    <w:div w:id="1178620212">
      <w:bodyDiv w:val="1"/>
      <w:marLeft w:val="0"/>
      <w:marRight w:val="0"/>
      <w:marTop w:val="0"/>
      <w:marBottom w:val="0"/>
      <w:divBdr>
        <w:top w:val="none" w:sz="0" w:space="0" w:color="auto"/>
        <w:left w:val="none" w:sz="0" w:space="0" w:color="auto"/>
        <w:bottom w:val="none" w:sz="0" w:space="0" w:color="auto"/>
        <w:right w:val="none" w:sz="0" w:space="0" w:color="auto"/>
      </w:divBdr>
    </w:div>
    <w:div w:id="1178736083">
      <w:bodyDiv w:val="1"/>
      <w:marLeft w:val="0"/>
      <w:marRight w:val="0"/>
      <w:marTop w:val="0"/>
      <w:marBottom w:val="0"/>
      <w:divBdr>
        <w:top w:val="none" w:sz="0" w:space="0" w:color="auto"/>
        <w:left w:val="none" w:sz="0" w:space="0" w:color="auto"/>
        <w:bottom w:val="none" w:sz="0" w:space="0" w:color="auto"/>
        <w:right w:val="none" w:sz="0" w:space="0" w:color="auto"/>
      </w:divBdr>
    </w:div>
    <w:div w:id="1178815565">
      <w:bodyDiv w:val="1"/>
      <w:marLeft w:val="0"/>
      <w:marRight w:val="0"/>
      <w:marTop w:val="0"/>
      <w:marBottom w:val="0"/>
      <w:divBdr>
        <w:top w:val="none" w:sz="0" w:space="0" w:color="auto"/>
        <w:left w:val="none" w:sz="0" w:space="0" w:color="auto"/>
        <w:bottom w:val="none" w:sz="0" w:space="0" w:color="auto"/>
        <w:right w:val="none" w:sz="0" w:space="0" w:color="auto"/>
      </w:divBdr>
    </w:div>
    <w:div w:id="1178890543">
      <w:bodyDiv w:val="1"/>
      <w:marLeft w:val="0"/>
      <w:marRight w:val="0"/>
      <w:marTop w:val="0"/>
      <w:marBottom w:val="0"/>
      <w:divBdr>
        <w:top w:val="none" w:sz="0" w:space="0" w:color="auto"/>
        <w:left w:val="none" w:sz="0" w:space="0" w:color="auto"/>
        <w:bottom w:val="none" w:sz="0" w:space="0" w:color="auto"/>
        <w:right w:val="none" w:sz="0" w:space="0" w:color="auto"/>
      </w:divBdr>
    </w:div>
    <w:div w:id="1179001554">
      <w:bodyDiv w:val="1"/>
      <w:marLeft w:val="0"/>
      <w:marRight w:val="0"/>
      <w:marTop w:val="0"/>
      <w:marBottom w:val="0"/>
      <w:divBdr>
        <w:top w:val="none" w:sz="0" w:space="0" w:color="auto"/>
        <w:left w:val="none" w:sz="0" w:space="0" w:color="auto"/>
        <w:bottom w:val="none" w:sz="0" w:space="0" w:color="auto"/>
        <w:right w:val="none" w:sz="0" w:space="0" w:color="auto"/>
      </w:divBdr>
    </w:div>
    <w:div w:id="1179002217">
      <w:bodyDiv w:val="1"/>
      <w:marLeft w:val="0"/>
      <w:marRight w:val="0"/>
      <w:marTop w:val="0"/>
      <w:marBottom w:val="0"/>
      <w:divBdr>
        <w:top w:val="none" w:sz="0" w:space="0" w:color="auto"/>
        <w:left w:val="none" w:sz="0" w:space="0" w:color="auto"/>
        <w:bottom w:val="none" w:sz="0" w:space="0" w:color="auto"/>
        <w:right w:val="none" w:sz="0" w:space="0" w:color="auto"/>
      </w:divBdr>
    </w:div>
    <w:div w:id="1179002974">
      <w:bodyDiv w:val="1"/>
      <w:marLeft w:val="0"/>
      <w:marRight w:val="0"/>
      <w:marTop w:val="0"/>
      <w:marBottom w:val="0"/>
      <w:divBdr>
        <w:top w:val="none" w:sz="0" w:space="0" w:color="auto"/>
        <w:left w:val="none" w:sz="0" w:space="0" w:color="auto"/>
        <w:bottom w:val="none" w:sz="0" w:space="0" w:color="auto"/>
        <w:right w:val="none" w:sz="0" w:space="0" w:color="auto"/>
      </w:divBdr>
    </w:div>
    <w:div w:id="1179006624">
      <w:bodyDiv w:val="1"/>
      <w:marLeft w:val="0"/>
      <w:marRight w:val="0"/>
      <w:marTop w:val="0"/>
      <w:marBottom w:val="0"/>
      <w:divBdr>
        <w:top w:val="none" w:sz="0" w:space="0" w:color="auto"/>
        <w:left w:val="none" w:sz="0" w:space="0" w:color="auto"/>
        <w:bottom w:val="none" w:sz="0" w:space="0" w:color="auto"/>
        <w:right w:val="none" w:sz="0" w:space="0" w:color="auto"/>
      </w:divBdr>
    </w:div>
    <w:div w:id="1179200760">
      <w:bodyDiv w:val="1"/>
      <w:marLeft w:val="0"/>
      <w:marRight w:val="0"/>
      <w:marTop w:val="0"/>
      <w:marBottom w:val="0"/>
      <w:divBdr>
        <w:top w:val="none" w:sz="0" w:space="0" w:color="auto"/>
        <w:left w:val="none" w:sz="0" w:space="0" w:color="auto"/>
        <w:bottom w:val="none" w:sz="0" w:space="0" w:color="auto"/>
        <w:right w:val="none" w:sz="0" w:space="0" w:color="auto"/>
      </w:divBdr>
    </w:div>
    <w:div w:id="1179546085">
      <w:bodyDiv w:val="1"/>
      <w:marLeft w:val="0"/>
      <w:marRight w:val="0"/>
      <w:marTop w:val="0"/>
      <w:marBottom w:val="0"/>
      <w:divBdr>
        <w:top w:val="none" w:sz="0" w:space="0" w:color="auto"/>
        <w:left w:val="none" w:sz="0" w:space="0" w:color="auto"/>
        <w:bottom w:val="none" w:sz="0" w:space="0" w:color="auto"/>
        <w:right w:val="none" w:sz="0" w:space="0" w:color="auto"/>
      </w:divBdr>
    </w:div>
    <w:div w:id="1179546137">
      <w:bodyDiv w:val="1"/>
      <w:marLeft w:val="0"/>
      <w:marRight w:val="0"/>
      <w:marTop w:val="0"/>
      <w:marBottom w:val="0"/>
      <w:divBdr>
        <w:top w:val="none" w:sz="0" w:space="0" w:color="auto"/>
        <w:left w:val="none" w:sz="0" w:space="0" w:color="auto"/>
        <w:bottom w:val="none" w:sz="0" w:space="0" w:color="auto"/>
        <w:right w:val="none" w:sz="0" w:space="0" w:color="auto"/>
      </w:divBdr>
    </w:div>
    <w:div w:id="1179582582">
      <w:bodyDiv w:val="1"/>
      <w:marLeft w:val="0"/>
      <w:marRight w:val="0"/>
      <w:marTop w:val="0"/>
      <w:marBottom w:val="0"/>
      <w:divBdr>
        <w:top w:val="none" w:sz="0" w:space="0" w:color="auto"/>
        <w:left w:val="none" w:sz="0" w:space="0" w:color="auto"/>
        <w:bottom w:val="none" w:sz="0" w:space="0" w:color="auto"/>
        <w:right w:val="none" w:sz="0" w:space="0" w:color="auto"/>
      </w:divBdr>
    </w:div>
    <w:div w:id="1179584587">
      <w:bodyDiv w:val="1"/>
      <w:marLeft w:val="0"/>
      <w:marRight w:val="0"/>
      <w:marTop w:val="0"/>
      <w:marBottom w:val="0"/>
      <w:divBdr>
        <w:top w:val="none" w:sz="0" w:space="0" w:color="auto"/>
        <w:left w:val="none" w:sz="0" w:space="0" w:color="auto"/>
        <w:bottom w:val="none" w:sz="0" w:space="0" w:color="auto"/>
        <w:right w:val="none" w:sz="0" w:space="0" w:color="auto"/>
      </w:divBdr>
    </w:div>
    <w:div w:id="1179809632">
      <w:bodyDiv w:val="1"/>
      <w:marLeft w:val="0"/>
      <w:marRight w:val="0"/>
      <w:marTop w:val="0"/>
      <w:marBottom w:val="0"/>
      <w:divBdr>
        <w:top w:val="none" w:sz="0" w:space="0" w:color="auto"/>
        <w:left w:val="none" w:sz="0" w:space="0" w:color="auto"/>
        <w:bottom w:val="none" w:sz="0" w:space="0" w:color="auto"/>
        <w:right w:val="none" w:sz="0" w:space="0" w:color="auto"/>
      </w:divBdr>
    </w:div>
    <w:div w:id="1179854485">
      <w:bodyDiv w:val="1"/>
      <w:marLeft w:val="0"/>
      <w:marRight w:val="0"/>
      <w:marTop w:val="0"/>
      <w:marBottom w:val="0"/>
      <w:divBdr>
        <w:top w:val="none" w:sz="0" w:space="0" w:color="auto"/>
        <w:left w:val="none" w:sz="0" w:space="0" w:color="auto"/>
        <w:bottom w:val="none" w:sz="0" w:space="0" w:color="auto"/>
        <w:right w:val="none" w:sz="0" w:space="0" w:color="auto"/>
      </w:divBdr>
    </w:div>
    <w:div w:id="1179856909">
      <w:bodyDiv w:val="1"/>
      <w:marLeft w:val="0"/>
      <w:marRight w:val="0"/>
      <w:marTop w:val="0"/>
      <w:marBottom w:val="0"/>
      <w:divBdr>
        <w:top w:val="none" w:sz="0" w:space="0" w:color="auto"/>
        <w:left w:val="none" w:sz="0" w:space="0" w:color="auto"/>
        <w:bottom w:val="none" w:sz="0" w:space="0" w:color="auto"/>
        <w:right w:val="none" w:sz="0" w:space="0" w:color="auto"/>
      </w:divBdr>
    </w:div>
    <w:div w:id="1179926454">
      <w:bodyDiv w:val="1"/>
      <w:marLeft w:val="0"/>
      <w:marRight w:val="0"/>
      <w:marTop w:val="0"/>
      <w:marBottom w:val="0"/>
      <w:divBdr>
        <w:top w:val="none" w:sz="0" w:space="0" w:color="auto"/>
        <w:left w:val="none" w:sz="0" w:space="0" w:color="auto"/>
        <w:bottom w:val="none" w:sz="0" w:space="0" w:color="auto"/>
        <w:right w:val="none" w:sz="0" w:space="0" w:color="auto"/>
      </w:divBdr>
    </w:div>
    <w:div w:id="1179930023">
      <w:bodyDiv w:val="1"/>
      <w:marLeft w:val="0"/>
      <w:marRight w:val="0"/>
      <w:marTop w:val="0"/>
      <w:marBottom w:val="0"/>
      <w:divBdr>
        <w:top w:val="none" w:sz="0" w:space="0" w:color="auto"/>
        <w:left w:val="none" w:sz="0" w:space="0" w:color="auto"/>
        <w:bottom w:val="none" w:sz="0" w:space="0" w:color="auto"/>
        <w:right w:val="none" w:sz="0" w:space="0" w:color="auto"/>
      </w:divBdr>
    </w:div>
    <w:div w:id="1180008045">
      <w:bodyDiv w:val="1"/>
      <w:marLeft w:val="0"/>
      <w:marRight w:val="0"/>
      <w:marTop w:val="0"/>
      <w:marBottom w:val="0"/>
      <w:divBdr>
        <w:top w:val="none" w:sz="0" w:space="0" w:color="auto"/>
        <w:left w:val="none" w:sz="0" w:space="0" w:color="auto"/>
        <w:bottom w:val="none" w:sz="0" w:space="0" w:color="auto"/>
        <w:right w:val="none" w:sz="0" w:space="0" w:color="auto"/>
      </w:divBdr>
    </w:div>
    <w:div w:id="1180049447">
      <w:bodyDiv w:val="1"/>
      <w:marLeft w:val="0"/>
      <w:marRight w:val="0"/>
      <w:marTop w:val="0"/>
      <w:marBottom w:val="0"/>
      <w:divBdr>
        <w:top w:val="none" w:sz="0" w:space="0" w:color="auto"/>
        <w:left w:val="none" w:sz="0" w:space="0" w:color="auto"/>
        <w:bottom w:val="none" w:sz="0" w:space="0" w:color="auto"/>
        <w:right w:val="none" w:sz="0" w:space="0" w:color="auto"/>
      </w:divBdr>
    </w:div>
    <w:div w:id="1180117260">
      <w:bodyDiv w:val="1"/>
      <w:marLeft w:val="0"/>
      <w:marRight w:val="0"/>
      <w:marTop w:val="0"/>
      <w:marBottom w:val="0"/>
      <w:divBdr>
        <w:top w:val="none" w:sz="0" w:space="0" w:color="auto"/>
        <w:left w:val="none" w:sz="0" w:space="0" w:color="auto"/>
        <w:bottom w:val="none" w:sz="0" w:space="0" w:color="auto"/>
        <w:right w:val="none" w:sz="0" w:space="0" w:color="auto"/>
      </w:divBdr>
    </w:div>
    <w:div w:id="1180126667">
      <w:bodyDiv w:val="1"/>
      <w:marLeft w:val="0"/>
      <w:marRight w:val="0"/>
      <w:marTop w:val="0"/>
      <w:marBottom w:val="0"/>
      <w:divBdr>
        <w:top w:val="none" w:sz="0" w:space="0" w:color="auto"/>
        <w:left w:val="none" w:sz="0" w:space="0" w:color="auto"/>
        <w:bottom w:val="none" w:sz="0" w:space="0" w:color="auto"/>
        <w:right w:val="none" w:sz="0" w:space="0" w:color="auto"/>
      </w:divBdr>
    </w:div>
    <w:div w:id="1180314709">
      <w:bodyDiv w:val="1"/>
      <w:marLeft w:val="0"/>
      <w:marRight w:val="0"/>
      <w:marTop w:val="0"/>
      <w:marBottom w:val="0"/>
      <w:divBdr>
        <w:top w:val="none" w:sz="0" w:space="0" w:color="auto"/>
        <w:left w:val="none" w:sz="0" w:space="0" w:color="auto"/>
        <w:bottom w:val="none" w:sz="0" w:space="0" w:color="auto"/>
        <w:right w:val="none" w:sz="0" w:space="0" w:color="auto"/>
      </w:divBdr>
    </w:div>
    <w:div w:id="1180314800">
      <w:bodyDiv w:val="1"/>
      <w:marLeft w:val="0"/>
      <w:marRight w:val="0"/>
      <w:marTop w:val="0"/>
      <w:marBottom w:val="0"/>
      <w:divBdr>
        <w:top w:val="none" w:sz="0" w:space="0" w:color="auto"/>
        <w:left w:val="none" w:sz="0" w:space="0" w:color="auto"/>
        <w:bottom w:val="none" w:sz="0" w:space="0" w:color="auto"/>
        <w:right w:val="none" w:sz="0" w:space="0" w:color="auto"/>
      </w:divBdr>
    </w:div>
    <w:div w:id="1180461900">
      <w:bodyDiv w:val="1"/>
      <w:marLeft w:val="0"/>
      <w:marRight w:val="0"/>
      <w:marTop w:val="0"/>
      <w:marBottom w:val="0"/>
      <w:divBdr>
        <w:top w:val="none" w:sz="0" w:space="0" w:color="auto"/>
        <w:left w:val="none" w:sz="0" w:space="0" w:color="auto"/>
        <w:bottom w:val="none" w:sz="0" w:space="0" w:color="auto"/>
        <w:right w:val="none" w:sz="0" w:space="0" w:color="auto"/>
      </w:divBdr>
    </w:div>
    <w:div w:id="1180464466">
      <w:bodyDiv w:val="1"/>
      <w:marLeft w:val="0"/>
      <w:marRight w:val="0"/>
      <w:marTop w:val="0"/>
      <w:marBottom w:val="0"/>
      <w:divBdr>
        <w:top w:val="none" w:sz="0" w:space="0" w:color="auto"/>
        <w:left w:val="none" w:sz="0" w:space="0" w:color="auto"/>
        <w:bottom w:val="none" w:sz="0" w:space="0" w:color="auto"/>
        <w:right w:val="none" w:sz="0" w:space="0" w:color="auto"/>
      </w:divBdr>
    </w:div>
    <w:div w:id="1180507230">
      <w:bodyDiv w:val="1"/>
      <w:marLeft w:val="0"/>
      <w:marRight w:val="0"/>
      <w:marTop w:val="0"/>
      <w:marBottom w:val="0"/>
      <w:divBdr>
        <w:top w:val="none" w:sz="0" w:space="0" w:color="auto"/>
        <w:left w:val="none" w:sz="0" w:space="0" w:color="auto"/>
        <w:bottom w:val="none" w:sz="0" w:space="0" w:color="auto"/>
        <w:right w:val="none" w:sz="0" w:space="0" w:color="auto"/>
      </w:divBdr>
    </w:div>
    <w:div w:id="1180511857">
      <w:bodyDiv w:val="1"/>
      <w:marLeft w:val="0"/>
      <w:marRight w:val="0"/>
      <w:marTop w:val="0"/>
      <w:marBottom w:val="0"/>
      <w:divBdr>
        <w:top w:val="none" w:sz="0" w:space="0" w:color="auto"/>
        <w:left w:val="none" w:sz="0" w:space="0" w:color="auto"/>
        <w:bottom w:val="none" w:sz="0" w:space="0" w:color="auto"/>
        <w:right w:val="none" w:sz="0" w:space="0" w:color="auto"/>
      </w:divBdr>
    </w:div>
    <w:div w:id="1180663606">
      <w:bodyDiv w:val="1"/>
      <w:marLeft w:val="0"/>
      <w:marRight w:val="0"/>
      <w:marTop w:val="0"/>
      <w:marBottom w:val="0"/>
      <w:divBdr>
        <w:top w:val="none" w:sz="0" w:space="0" w:color="auto"/>
        <w:left w:val="none" w:sz="0" w:space="0" w:color="auto"/>
        <w:bottom w:val="none" w:sz="0" w:space="0" w:color="auto"/>
        <w:right w:val="none" w:sz="0" w:space="0" w:color="auto"/>
      </w:divBdr>
    </w:div>
    <w:div w:id="1180702017">
      <w:bodyDiv w:val="1"/>
      <w:marLeft w:val="0"/>
      <w:marRight w:val="0"/>
      <w:marTop w:val="0"/>
      <w:marBottom w:val="0"/>
      <w:divBdr>
        <w:top w:val="none" w:sz="0" w:space="0" w:color="auto"/>
        <w:left w:val="none" w:sz="0" w:space="0" w:color="auto"/>
        <w:bottom w:val="none" w:sz="0" w:space="0" w:color="auto"/>
        <w:right w:val="none" w:sz="0" w:space="0" w:color="auto"/>
      </w:divBdr>
    </w:div>
    <w:div w:id="1180706017">
      <w:bodyDiv w:val="1"/>
      <w:marLeft w:val="0"/>
      <w:marRight w:val="0"/>
      <w:marTop w:val="0"/>
      <w:marBottom w:val="0"/>
      <w:divBdr>
        <w:top w:val="none" w:sz="0" w:space="0" w:color="auto"/>
        <w:left w:val="none" w:sz="0" w:space="0" w:color="auto"/>
        <w:bottom w:val="none" w:sz="0" w:space="0" w:color="auto"/>
        <w:right w:val="none" w:sz="0" w:space="0" w:color="auto"/>
      </w:divBdr>
    </w:div>
    <w:div w:id="1180778583">
      <w:bodyDiv w:val="1"/>
      <w:marLeft w:val="0"/>
      <w:marRight w:val="0"/>
      <w:marTop w:val="0"/>
      <w:marBottom w:val="0"/>
      <w:divBdr>
        <w:top w:val="none" w:sz="0" w:space="0" w:color="auto"/>
        <w:left w:val="none" w:sz="0" w:space="0" w:color="auto"/>
        <w:bottom w:val="none" w:sz="0" w:space="0" w:color="auto"/>
        <w:right w:val="none" w:sz="0" w:space="0" w:color="auto"/>
      </w:divBdr>
    </w:div>
    <w:div w:id="1180899694">
      <w:bodyDiv w:val="1"/>
      <w:marLeft w:val="0"/>
      <w:marRight w:val="0"/>
      <w:marTop w:val="0"/>
      <w:marBottom w:val="0"/>
      <w:divBdr>
        <w:top w:val="none" w:sz="0" w:space="0" w:color="auto"/>
        <w:left w:val="none" w:sz="0" w:space="0" w:color="auto"/>
        <w:bottom w:val="none" w:sz="0" w:space="0" w:color="auto"/>
        <w:right w:val="none" w:sz="0" w:space="0" w:color="auto"/>
      </w:divBdr>
    </w:div>
    <w:div w:id="1180973635">
      <w:bodyDiv w:val="1"/>
      <w:marLeft w:val="0"/>
      <w:marRight w:val="0"/>
      <w:marTop w:val="0"/>
      <w:marBottom w:val="0"/>
      <w:divBdr>
        <w:top w:val="none" w:sz="0" w:space="0" w:color="auto"/>
        <w:left w:val="none" w:sz="0" w:space="0" w:color="auto"/>
        <w:bottom w:val="none" w:sz="0" w:space="0" w:color="auto"/>
        <w:right w:val="none" w:sz="0" w:space="0" w:color="auto"/>
      </w:divBdr>
    </w:div>
    <w:div w:id="1181043684">
      <w:bodyDiv w:val="1"/>
      <w:marLeft w:val="0"/>
      <w:marRight w:val="0"/>
      <w:marTop w:val="0"/>
      <w:marBottom w:val="0"/>
      <w:divBdr>
        <w:top w:val="none" w:sz="0" w:space="0" w:color="auto"/>
        <w:left w:val="none" w:sz="0" w:space="0" w:color="auto"/>
        <w:bottom w:val="none" w:sz="0" w:space="0" w:color="auto"/>
        <w:right w:val="none" w:sz="0" w:space="0" w:color="auto"/>
      </w:divBdr>
    </w:div>
    <w:div w:id="1181166185">
      <w:bodyDiv w:val="1"/>
      <w:marLeft w:val="0"/>
      <w:marRight w:val="0"/>
      <w:marTop w:val="0"/>
      <w:marBottom w:val="0"/>
      <w:divBdr>
        <w:top w:val="none" w:sz="0" w:space="0" w:color="auto"/>
        <w:left w:val="none" w:sz="0" w:space="0" w:color="auto"/>
        <w:bottom w:val="none" w:sz="0" w:space="0" w:color="auto"/>
        <w:right w:val="none" w:sz="0" w:space="0" w:color="auto"/>
      </w:divBdr>
    </w:div>
    <w:div w:id="1181358734">
      <w:bodyDiv w:val="1"/>
      <w:marLeft w:val="0"/>
      <w:marRight w:val="0"/>
      <w:marTop w:val="0"/>
      <w:marBottom w:val="0"/>
      <w:divBdr>
        <w:top w:val="none" w:sz="0" w:space="0" w:color="auto"/>
        <w:left w:val="none" w:sz="0" w:space="0" w:color="auto"/>
        <w:bottom w:val="none" w:sz="0" w:space="0" w:color="auto"/>
        <w:right w:val="none" w:sz="0" w:space="0" w:color="auto"/>
      </w:divBdr>
    </w:div>
    <w:div w:id="1181434913">
      <w:bodyDiv w:val="1"/>
      <w:marLeft w:val="0"/>
      <w:marRight w:val="0"/>
      <w:marTop w:val="0"/>
      <w:marBottom w:val="0"/>
      <w:divBdr>
        <w:top w:val="none" w:sz="0" w:space="0" w:color="auto"/>
        <w:left w:val="none" w:sz="0" w:space="0" w:color="auto"/>
        <w:bottom w:val="none" w:sz="0" w:space="0" w:color="auto"/>
        <w:right w:val="none" w:sz="0" w:space="0" w:color="auto"/>
      </w:divBdr>
    </w:div>
    <w:div w:id="1181436678">
      <w:bodyDiv w:val="1"/>
      <w:marLeft w:val="0"/>
      <w:marRight w:val="0"/>
      <w:marTop w:val="0"/>
      <w:marBottom w:val="0"/>
      <w:divBdr>
        <w:top w:val="none" w:sz="0" w:space="0" w:color="auto"/>
        <w:left w:val="none" w:sz="0" w:space="0" w:color="auto"/>
        <w:bottom w:val="none" w:sz="0" w:space="0" w:color="auto"/>
        <w:right w:val="none" w:sz="0" w:space="0" w:color="auto"/>
      </w:divBdr>
    </w:div>
    <w:div w:id="1181507126">
      <w:bodyDiv w:val="1"/>
      <w:marLeft w:val="0"/>
      <w:marRight w:val="0"/>
      <w:marTop w:val="0"/>
      <w:marBottom w:val="0"/>
      <w:divBdr>
        <w:top w:val="none" w:sz="0" w:space="0" w:color="auto"/>
        <w:left w:val="none" w:sz="0" w:space="0" w:color="auto"/>
        <w:bottom w:val="none" w:sz="0" w:space="0" w:color="auto"/>
        <w:right w:val="none" w:sz="0" w:space="0" w:color="auto"/>
      </w:divBdr>
    </w:div>
    <w:div w:id="1181508348">
      <w:bodyDiv w:val="1"/>
      <w:marLeft w:val="0"/>
      <w:marRight w:val="0"/>
      <w:marTop w:val="0"/>
      <w:marBottom w:val="0"/>
      <w:divBdr>
        <w:top w:val="none" w:sz="0" w:space="0" w:color="auto"/>
        <w:left w:val="none" w:sz="0" w:space="0" w:color="auto"/>
        <w:bottom w:val="none" w:sz="0" w:space="0" w:color="auto"/>
        <w:right w:val="none" w:sz="0" w:space="0" w:color="auto"/>
      </w:divBdr>
    </w:div>
    <w:div w:id="1181508691">
      <w:bodyDiv w:val="1"/>
      <w:marLeft w:val="0"/>
      <w:marRight w:val="0"/>
      <w:marTop w:val="0"/>
      <w:marBottom w:val="0"/>
      <w:divBdr>
        <w:top w:val="none" w:sz="0" w:space="0" w:color="auto"/>
        <w:left w:val="none" w:sz="0" w:space="0" w:color="auto"/>
        <w:bottom w:val="none" w:sz="0" w:space="0" w:color="auto"/>
        <w:right w:val="none" w:sz="0" w:space="0" w:color="auto"/>
      </w:divBdr>
    </w:div>
    <w:div w:id="1181621625">
      <w:bodyDiv w:val="1"/>
      <w:marLeft w:val="0"/>
      <w:marRight w:val="0"/>
      <w:marTop w:val="0"/>
      <w:marBottom w:val="0"/>
      <w:divBdr>
        <w:top w:val="none" w:sz="0" w:space="0" w:color="auto"/>
        <w:left w:val="none" w:sz="0" w:space="0" w:color="auto"/>
        <w:bottom w:val="none" w:sz="0" w:space="0" w:color="auto"/>
        <w:right w:val="none" w:sz="0" w:space="0" w:color="auto"/>
      </w:divBdr>
    </w:div>
    <w:div w:id="1181625488">
      <w:bodyDiv w:val="1"/>
      <w:marLeft w:val="0"/>
      <w:marRight w:val="0"/>
      <w:marTop w:val="0"/>
      <w:marBottom w:val="0"/>
      <w:divBdr>
        <w:top w:val="none" w:sz="0" w:space="0" w:color="auto"/>
        <w:left w:val="none" w:sz="0" w:space="0" w:color="auto"/>
        <w:bottom w:val="none" w:sz="0" w:space="0" w:color="auto"/>
        <w:right w:val="none" w:sz="0" w:space="0" w:color="auto"/>
      </w:divBdr>
    </w:div>
    <w:div w:id="1181699648">
      <w:bodyDiv w:val="1"/>
      <w:marLeft w:val="0"/>
      <w:marRight w:val="0"/>
      <w:marTop w:val="0"/>
      <w:marBottom w:val="0"/>
      <w:divBdr>
        <w:top w:val="none" w:sz="0" w:space="0" w:color="auto"/>
        <w:left w:val="none" w:sz="0" w:space="0" w:color="auto"/>
        <w:bottom w:val="none" w:sz="0" w:space="0" w:color="auto"/>
        <w:right w:val="none" w:sz="0" w:space="0" w:color="auto"/>
      </w:divBdr>
    </w:div>
    <w:div w:id="1181777010">
      <w:bodyDiv w:val="1"/>
      <w:marLeft w:val="0"/>
      <w:marRight w:val="0"/>
      <w:marTop w:val="0"/>
      <w:marBottom w:val="0"/>
      <w:divBdr>
        <w:top w:val="none" w:sz="0" w:space="0" w:color="auto"/>
        <w:left w:val="none" w:sz="0" w:space="0" w:color="auto"/>
        <w:bottom w:val="none" w:sz="0" w:space="0" w:color="auto"/>
        <w:right w:val="none" w:sz="0" w:space="0" w:color="auto"/>
      </w:divBdr>
    </w:div>
    <w:div w:id="1181891728">
      <w:bodyDiv w:val="1"/>
      <w:marLeft w:val="0"/>
      <w:marRight w:val="0"/>
      <w:marTop w:val="0"/>
      <w:marBottom w:val="0"/>
      <w:divBdr>
        <w:top w:val="none" w:sz="0" w:space="0" w:color="auto"/>
        <w:left w:val="none" w:sz="0" w:space="0" w:color="auto"/>
        <w:bottom w:val="none" w:sz="0" w:space="0" w:color="auto"/>
        <w:right w:val="none" w:sz="0" w:space="0" w:color="auto"/>
      </w:divBdr>
    </w:div>
    <w:div w:id="1181895715">
      <w:bodyDiv w:val="1"/>
      <w:marLeft w:val="0"/>
      <w:marRight w:val="0"/>
      <w:marTop w:val="0"/>
      <w:marBottom w:val="0"/>
      <w:divBdr>
        <w:top w:val="none" w:sz="0" w:space="0" w:color="auto"/>
        <w:left w:val="none" w:sz="0" w:space="0" w:color="auto"/>
        <w:bottom w:val="none" w:sz="0" w:space="0" w:color="auto"/>
        <w:right w:val="none" w:sz="0" w:space="0" w:color="auto"/>
      </w:divBdr>
    </w:div>
    <w:div w:id="1181968714">
      <w:bodyDiv w:val="1"/>
      <w:marLeft w:val="0"/>
      <w:marRight w:val="0"/>
      <w:marTop w:val="0"/>
      <w:marBottom w:val="0"/>
      <w:divBdr>
        <w:top w:val="none" w:sz="0" w:space="0" w:color="auto"/>
        <w:left w:val="none" w:sz="0" w:space="0" w:color="auto"/>
        <w:bottom w:val="none" w:sz="0" w:space="0" w:color="auto"/>
        <w:right w:val="none" w:sz="0" w:space="0" w:color="auto"/>
      </w:divBdr>
    </w:div>
    <w:div w:id="1181973764">
      <w:bodyDiv w:val="1"/>
      <w:marLeft w:val="0"/>
      <w:marRight w:val="0"/>
      <w:marTop w:val="0"/>
      <w:marBottom w:val="0"/>
      <w:divBdr>
        <w:top w:val="none" w:sz="0" w:space="0" w:color="auto"/>
        <w:left w:val="none" w:sz="0" w:space="0" w:color="auto"/>
        <w:bottom w:val="none" w:sz="0" w:space="0" w:color="auto"/>
        <w:right w:val="none" w:sz="0" w:space="0" w:color="auto"/>
      </w:divBdr>
    </w:div>
    <w:div w:id="1181974417">
      <w:bodyDiv w:val="1"/>
      <w:marLeft w:val="0"/>
      <w:marRight w:val="0"/>
      <w:marTop w:val="0"/>
      <w:marBottom w:val="0"/>
      <w:divBdr>
        <w:top w:val="none" w:sz="0" w:space="0" w:color="auto"/>
        <w:left w:val="none" w:sz="0" w:space="0" w:color="auto"/>
        <w:bottom w:val="none" w:sz="0" w:space="0" w:color="auto"/>
        <w:right w:val="none" w:sz="0" w:space="0" w:color="auto"/>
      </w:divBdr>
    </w:div>
    <w:div w:id="1182009207">
      <w:bodyDiv w:val="1"/>
      <w:marLeft w:val="0"/>
      <w:marRight w:val="0"/>
      <w:marTop w:val="0"/>
      <w:marBottom w:val="0"/>
      <w:divBdr>
        <w:top w:val="none" w:sz="0" w:space="0" w:color="auto"/>
        <w:left w:val="none" w:sz="0" w:space="0" w:color="auto"/>
        <w:bottom w:val="none" w:sz="0" w:space="0" w:color="auto"/>
        <w:right w:val="none" w:sz="0" w:space="0" w:color="auto"/>
      </w:divBdr>
    </w:div>
    <w:div w:id="1182012862">
      <w:bodyDiv w:val="1"/>
      <w:marLeft w:val="0"/>
      <w:marRight w:val="0"/>
      <w:marTop w:val="0"/>
      <w:marBottom w:val="0"/>
      <w:divBdr>
        <w:top w:val="none" w:sz="0" w:space="0" w:color="auto"/>
        <w:left w:val="none" w:sz="0" w:space="0" w:color="auto"/>
        <w:bottom w:val="none" w:sz="0" w:space="0" w:color="auto"/>
        <w:right w:val="none" w:sz="0" w:space="0" w:color="auto"/>
      </w:divBdr>
    </w:div>
    <w:div w:id="1182091970">
      <w:bodyDiv w:val="1"/>
      <w:marLeft w:val="0"/>
      <w:marRight w:val="0"/>
      <w:marTop w:val="0"/>
      <w:marBottom w:val="0"/>
      <w:divBdr>
        <w:top w:val="none" w:sz="0" w:space="0" w:color="auto"/>
        <w:left w:val="none" w:sz="0" w:space="0" w:color="auto"/>
        <w:bottom w:val="none" w:sz="0" w:space="0" w:color="auto"/>
        <w:right w:val="none" w:sz="0" w:space="0" w:color="auto"/>
      </w:divBdr>
    </w:div>
    <w:div w:id="1182162104">
      <w:bodyDiv w:val="1"/>
      <w:marLeft w:val="0"/>
      <w:marRight w:val="0"/>
      <w:marTop w:val="0"/>
      <w:marBottom w:val="0"/>
      <w:divBdr>
        <w:top w:val="none" w:sz="0" w:space="0" w:color="auto"/>
        <w:left w:val="none" w:sz="0" w:space="0" w:color="auto"/>
        <w:bottom w:val="none" w:sz="0" w:space="0" w:color="auto"/>
        <w:right w:val="none" w:sz="0" w:space="0" w:color="auto"/>
      </w:divBdr>
    </w:div>
    <w:div w:id="1182359635">
      <w:bodyDiv w:val="1"/>
      <w:marLeft w:val="0"/>
      <w:marRight w:val="0"/>
      <w:marTop w:val="0"/>
      <w:marBottom w:val="0"/>
      <w:divBdr>
        <w:top w:val="none" w:sz="0" w:space="0" w:color="auto"/>
        <w:left w:val="none" w:sz="0" w:space="0" w:color="auto"/>
        <w:bottom w:val="none" w:sz="0" w:space="0" w:color="auto"/>
        <w:right w:val="none" w:sz="0" w:space="0" w:color="auto"/>
      </w:divBdr>
    </w:div>
    <w:div w:id="1182427966">
      <w:bodyDiv w:val="1"/>
      <w:marLeft w:val="0"/>
      <w:marRight w:val="0"/>
      <w:marTop w:val="0"/>
      <w:marBottom w:val="0"/>
      <w:divBdr>
        <w:top w:val="none" w:sz="0" w:space="0" w:color="auto"/>
        <w:left w:val="none" w:sz="0" w:space="0" w:color="auto"/>
        <w:bottom w:val="none" w:sz="0" w:space="0" w:color="auto"/>
        <w:right w:val="none" w:sz="0" w:space="0" w:color="auto"/>
      </w:divBdr>
    </w:div>
    <w:div w:id="1182470318">
      <w:bodyDiv w:val="1"/>
      <w:marLeft w:val="0"/>
      <w:marRight w:val="0"/>
      <w:marTop w:val="0"/>
      <w:marBottom w:val="0"/>
      <w:divBdr>
        <w:top w:val="none" w:sz="0" w:space="0" w:color="auto"/>
        <w:left w:val="none" w:sz="0" w:space="0" w:color="auto"/>
        <w:bottom w:val="none" w:sz="0" w:space="0" w:color="auto"/>
        <w:right w:val="none" w:sz="0" w:space="0" w:color="auto"/>
      </w:divBdr>
    </w:div>
    <w:div w:id="1182472646">
      <w:bodyDiv w:val="1"/>
      <w:marLeft w:val="0"/>
      <w:marRight w:val="0"/>
      <w:marTop w:val="0"/>
      <w:marBottom w:val="0"/>
      <w:divBdr>
        <w:top w:val="none" w:sz="0" w:space="0" w:color="auto"/>
        <w:left w:val="none" w:sz="0" w:space="0" w:color="auto"/>
        <w:bottom w:val="none" w:sz="0" w:space="0" w:color="auto"/>
        <w:right w:val="none" w:sz="0" w:space="0" w:color="auto"/>
      </w:divBdr>
    </w:div>
    <w:div w:id="1182475500">
      <w:bodyDiv w:val="1"/>
      <w:marLeft w:val="0"/>
      <w:marRight w:val="0"/>
      <w:marTop w:val="0"/>
      <w:marBottom w:val="0"/>
      <w:divBdr>
        <w:top w:val="none" w:sz="0" w:space="0" w:color="auto"/>
        <w:left w:val="none" w:sz="0" w:space="0" w:color="auto"/>
        <w:bottom w:val="none" w:sz="0" w:space="0" w:color="auto"/>
        <w:right w:val="none" w:sz="0" w:space="0" w:color="auto"/>
      </w:divBdr>
    </w:div>
    <w:div w:id="1182551485">
      <w:bodyDiv w:val="1"/>
      <w:marLeft w:val="0"/>
      <w:marRight w:val="0"/>
      <w:marTop w:val="0"/>
      <w:marBottom w:val="0"/>
      <w:divBdr>
        <w:top w:val="none" w:sz="0" w:space="0" w:color="auto"/>
        <w:left w:val="none" w:sz="0" w:space="0" w:color="auto"/>
        <w:bottom w:val="none" w:sz="0" w:space="0" w:color="auto"/>
        <w:right w:val="none" w:sz="0" w:space="0" w:color="auto"/>
      </w:divBdr>
    </w:div>
    <w:div w:id="1182551552">
      <w:bodyDiv w:val="1"/>
      <w:marLeft w:val="0"/>
      <w:marRight w:val="0"/>
      <w:marTop w:val="0"/>
      <w:marBottom w:val="0"/>
      <w:divBdr>
        <w:top w:val="none" w:sz="0" w:space="0" w:color="auto"/>
        <w:left w:val="none" w:sz="0" w:space="0" w:color="auto"/>
        <w:bottom w:val="none" w:sz="0" w:space="0" w:color="auto"/>
        <w:right w:val="none" w:sz="0" w:space="0" w:color="auto"/>
      </w:divBdr>
    </w:div>
    <w:div w:id="1182623293">
      <w:bodyDiv w:val="1"/>
      <w:marLeft w:val="0"/>
      <w:marRight w:val="0"/>
      <w:marTop w:val="0"/>
      <w:marBottom w:val="0"/>
      <w:divBdr>
        <w:top w:val="none" w:sz="0" w:space="0" w:color="auto"/>
        <w:left w:val="none" w:sz="0" w:space="0" w:color="auto"/>
        <w:bottom w:val="none" w:sz="0" w:space="0" w:color="auto"/>
        <w:right w:val="none" w:sz="0" w:space="0" w:color="auto"/>
      </w:divBdr>
    </w:div>
    <w:div w:id="1182623942">
      <w:bodyDiv w:val="1"/>
      <w:marLeft w:val="0"/>
      <w:marRight w:val="0"/>
      <w:marTop w:val="0"/>
      <w:marBottom w:val="0"/>
      <w:divBdr>
        <w:top w:val="none" w:sz="0" w:space="0" w:color="auto"/>
        <w:left w:val="none" w:sz="0" w:space="0" w:color="auto"/>
        <w:bottom w:val="none" w:sz="0" w:space="0" w:color="auto"/>
        <w:right w:val="none" w:sz="0" w:space="0" w:color="auto"/>
      </w:divBdr>
    </w:div>
    <w:div w:id="1182629031">
      <w:bodyDiv w:val="1"/>
      <w:marLeft w:val="0"/>
      <w:marRight w:val="0"/>
      <w:marTop w:val="0"/>
      <w:marBottom w:val="0"/>
      <w:divBdr>
        <w:top w:val="none" w:sz="0" w:space="0" w:color="auto"/>
        <w:left w:val="none" w:sz="0" w:space="0" w:color="auto"/>
        <w:bottom w:val="none" w:sz="0" w:space="0" w:color="auto"/>
        <w:right w:val="none" w:sz="0" w:space="0" w:color="auto"/>
      </w:divBdr>
    </w:div>
    <w:div w:id="1182667846">
      <w:bodyDiv w:val="1"/>
      <w:marLeft w:val="0"/>
      <w:marRight w:val="0"/>
      <w:marTop w:val="0"/>
      <w:marBottom w:val="0"/>
      <w:divBdr>
        <w:top w:val="none" w:sz="0" w:space="0" w:color="auto"/>
        <w:left w:val="none" w:sz="0" w:space="0" w:color="auto"/>
        <w:bottom w:val="none" w:sz="0" w:space="0" w:color="auto"/>
        <w:right w:val="none" w:sz="0" w:space="0" w:color="auto"/>
      </w:divBdr>
    </w:div>
    <w:div w:id="1182742761">
      <w:bodyDiv w:val="1"/>
      <w:marLeft w:val="0"/>
      <w:marRight w:val="0"/>
      <w:marTop w:val="0"/>
      <w:marBottom w:val="0"/>
      <w:divBdr>
        <w:top w:val="none" w:sz="0" w:space="0" w:color="auto"/>
        <w:left w:val="none" w:sz="0" w:space="0" w:color="auto"/>
        <w:bottom w:val="none" w:sz="0" w:space="0" w:color="auto"/>
        <w:right w:val="none" w:sz="0" w:space="0" w:color="auto"/>
      </w:divBdr>
    </w:div>
    <w:div w:id="1182819565">
      <w:bodyDiv w:val="1"/>
      <w:marLeft w:val="0"/>
      <w:marRight w:val="0"/>
      <w:marTop w:val="0"/>
      <w:marBottom w:val="0"/>
      <w:divBdr>
        <w:top w:val="none" w:sz="0" w:space="0" w:color="auto"/>
        <w:left w:val="none" w:sz="0" w:space="0" w:color="auto"/>
        <w:bottom w:val="none" w:sz="0" w:space="0" w:color="auto"/>
        <w:right w:val="none" w:sz="0" w:space="0" w:color="auto"/>
      </w:divBdr>
    </w:div>
    <w:div w:id="1182934095">
      <w:bodyDiv w:val="1"/>
      <w:marLeft w:val="0"/>
      <w:marRight w:val="0"/>
      <w:marTop w:val="0"/>
      <w:marBottom w:val="0"/>
      <w:divBdr>
        <w:top w:val="none" w:sz="0" w:space="0" w:color="auto"/>
        <w:left w:val="none" w:sz="0" w:space="0" w:color="auto"/>
        <w:bottom w:val="none" w:sz="0" w:space="0" w:color="auto"/>
        <w:right w:val="none" w:sz="0" w:space="0" w:color="auto"/>
      </w:divBdr>
    </w:div>
    <w:div w:id="1182936104">
      <w:bodyDiv w:val="1"/>
      <w:marLeft w:val="0"/>
      <w:marRight w:val="0"/>
      <w:marTop w:val="0"/>
      <w:marBottom w:val="0"/>
      <w:divBdr>
        <w:top w:val="none" w:sz="0" w:space="0" w:color="auto"/>
        <w:left w:val="none" w:sz="0" w:space="0" w:color="auto"/>
        <w:bottom w:val="none" w:sz="0" w:space="0" w:color="auto"/>
        <w:right w:val="none" w:sz="0" w:space="0" w:color="auto"/>
      </w:divBdr>
    </w:div>
    <w:div w:id="1182936439">
      <w:bodyDiv w:val="1"/>
      <w:marLeft w:val="0"/>
      <w:marRight w:val="0"/>
      <w:marTop w:val="0"/>
      <w:marBottom w:val="0"/>
      <w:divBdr>
        <w:top w:val="none" w:sz="0" w:space="0" w:color="auto"/>
        <w:left w:val="none" w:sz="0" w:space="0" w:color="auto"/>
        <w:bottom w:val="none" w:sz="0" w:space="0" w:color="auto"/>
        <w:right w:val="none" w:sz="0" w:space="0" w:color="auto"/>
      </w:divBdr>
    </w:div>
    <w:div w:id="1183015954">
      <w:bodyDiv w:val="1"/>
      <w:marLeft w:val="0"/>
      <w:marRight w:val="0"/>
      <w:marTop w:val="0"/>
      <w:marBottom w:val="0"/>
      <w:divBdr>
        <w:top w:val="none" w:sz="0" w:space="0" w:color="auto"/>
        <w:left w:val="none" w:sz="0" w:space="0" w:color="auto"/>
        <w:bottom w:val="none" w:sz="0" w:space="0" w:color="auto"/>
        <w:right w:val="none" w:sz="0" w:space="0" w:color="auto"/>
      </w:divBdr>
    </w:div>
    <w:div w:id="1183209511">
      <w:bodyDiv w:val="1"/>
      <w:marLeft w:val="0"/>
      <w:marRight w:val="0"/>
      <w:marTop w:val="0"/>
      <w:marBottom w:val="0"/>
      <w:divBdr>
        <w:top w:val="none" w:sz="0" w:space="0" w:color="auto"/>
        <w:left w:val="none" w:sz="0" w:space="0" w:color="auto"/>
        <w:bottom w:val="none" w:sz="0" w:space="0" w:color="auto"/>
        <w:right w:val="none" w:sz="0" w:space="0" w:color="auto"/>
      </w:divBdr>
    </w:div>
    <w:div w:id="1183278926">
      <w:bodyDiv w:val="1"/>
      <w:marLeft w:val="0"/>
      <w:marRight w:val="0"/>
      <w:marTop w:val="0"/>
      <w:marBottom w:val="0"/>
      <w:divBdr>
        <w:top w:val="none" w:sz="0" w:space="0" w:color="auto"/>
        <w:left w:val="none" w:sz="0" w:space="0" w:color="auto"/>
        <w:bottom w:val="none" w:sz="0" w:space="0" w:color="auto"/>
        <w:right w:val="none" w:sz="0" w:space="0" w:color="auto"/>
      </w:divBdr>
    </w:div>
    <w:div w:id="1183394967">
      <w:bodyDiv w:val="1"/>
      <w:marLeft w:val="0"/>
      <w:marRight w:val="0"/>
      <w:marTop w:val="0"/>
      <w:marBottom w:val="0"/>
      <w:divBdr>
        <w:top w:val="none" w:sz="0" w:space="0" w:color="auto"/>
        <w:left w:val="none" w:sz="0" w:space="0" w:color="auto"/>
        <w:bottom w:val="none" w:sz="0" w:space="0" w:color="auto"/>
        <w:right w:val="none" w:sz="0" w:space="0" w:color="auto"/>
      </w:divBdr>
    </w:div>
    <w:div w:id="1183397007">
      <w:bodyDiv w:val="1"/>
      <w:marLeft w:val="0"/>
      <w:marRight w:val="0"/>
      <w:marTop w:val="0"/>
      <w:marBottom w:val="0"/>
      <w:divBdr>
        <w:top w:val="none" w:sz="0" w:space="0" w:color="auto"/>
        <w:left w:val="none" w:sz="0" w:space="0" w:color="auto"/>
        <w:bottom w:val="none" w:sz="0" w:space="0" w:color="auto"/>
        <w:right w:val="none" w:sz="0" w:space="0" w:color="auto"/>
      </w:divBdr>
    </w:div>
    <w:div w:id="1183398132">
      <w:bodyDiv w:val="1"/>
      <w:marLeft w:val="0"/>
      <w:marRight w:val="0"/>
      <w:marTop w:val="0"/>
      <w:marBottom w:val="0"/>
      <w:divBdr>
        <w:top w:val="none" w:sz="0" w:space="0" w:color="auto"/>
        <w:left w:val="none" w:sz="0" w:space="0" w:color="auto"/>
        <w:bottom w:val="none" w:sz="0" w:space="0" w:color="auto"/>
        <w:right w:val="none" w:sz="0" w:space="0" w:color="auto"/>
      </w:divBdr>
    </w:div>
    <w:div w:id="1183472704">
      <w:bodyDiv w:val="1"/>
      <w:marLeft w:val="0"/>
      <w:marRight w:val="0"/>
      <w:marTop w:val="0"/>
      <w:marBottom w:val="0"/>
      <w:divBdr>
        <w:top w:val="none" w:sz="0" w:space="0" w:color="auto"/>
        <w:left w:val="none" w:sz="0" w:space="0" w:color="auto"/>
        <w:bottom w:val="none" w:sz="0" w:space="0" w:color="auto"/>
        <w:right w:val="none" w:sz="0" w:space="0" w:color="auto"/>
      </w:divBdr>
    </w:div>
    <w:div w:id="1183518459">
      <w:bodyDiv w:val="1"/>
      <w:marLeft w:val="0"/>
      <w:marRight w:val="0"/>
      <w:marTop w:val="0"/>
      <w:marBottom w:val="0"/>
      <w:divBdr>
        <w:top w:val="none" w:sz="0" w:space="0" w:color="auto"/>
        <w:left w:val="none" w:sz="0" w:space="0" w:color="auto"/>
        <w:bottom w:val="none" w:sz="0" w:space="0" w:color="auto"/>
        <w:right w:val="none" w:sz="0" w:space="0" w:color="auto"/>
      </w:divBdr>
    </w:div>
    <w:div w:id="1183589939">
      <w:bodyDiv w:val="1"/>
      <w:marLeft w:val="0"/>
      <w:marRight w:val="0"/>
      <w:marTop w:val="0"/>
      <w:marBottom w:val="0"/>
      <w:divBdr>
        <w:top w:val="none" w:sz="0" w:space="0" w:color="auto"/>
        <w:left w:val="none" w:sz="0" w:space="0" w:color="auto"/>
        <w:bottom w:val="none" w:sz="0" w:space="0" w:color="auto"/>
        <w:right w:val="none" w:sz="0" w:space="0" w:color="auto"/>
      </w:divBdr>
    </w:div>
    <w:div w:id="1183786971">
      <w:bodyDiv w:val="1"/>
      <w:marLeft w:val="0"/>
      <w:marRight w:val="0"/>
      <w:marTop w:val="0"/>
      <w:marBottom w:val="0"/>
      <w:divBdr>
        <w:top w:val="none" w:sz="0" w:space="0" w:color="auto"/>
        <w:left w:val="none" w:sz="0" w:space="0" w:color="auto"/>
        <w:bottom w:val="none" w:sz="0" w:space="0" w:color="auto"/>
        <w:right w:val="none" w:sz="0" w:space="0" w:color="auto"/>
      </w:divBdr>
    </w:div>
    <w:div w:id="1183856672">
      <w:bodyDiv w:val="1"/>
      <w:marLeft w:val="0"/>
      <w:marRight w:val="0"/>
      <w:marTop w:val="0"/>
      <w:marBottom w:val="0"/>
      <w:divBdr>
        <w:top w:val="none" w:sz="0" w:space="0" w:color="auto"/>
        <w:left w:val="none" w:sz="0" w:space="0" w:color="auto"/>
        <w:bottom w:val="none" w:sz="0" w:space="0" w:color="auto"/>
        <w:right w:val="none" w:sz="0" w:space="0" w:color="auto"/>
      </w:divBdr>
    </w:div>
    <w:div w:id="1184050280">
      <w:bodyDiv w:val="1"/>
      <w:marLeft w:val="0"/>
      <w:marRight w:val="0"/>
      <w:marTop w:val="0"/>
      <w:marBottom w:val="0"/>
      <w:divBdr>
        <w:top w:val="none" w:sz="0" w:space="0" w:color="auto"/>
        <w:left w:val="none" w:sz="0" w:space="0" w:color="auto"/>
        <w:bottom w:val="none" w:sz="0" w:space="0" w:color="auto"/>
        <w:right w:val="none" w:sz="0" w:space="0" w:color="auto"/>
      </w:divBdr>
    </w:div>
    <w:div w:id="1184052949">
      <w:bodyDiv w:val="1"/>
      <w:marLeft w:val="0"/>
      <w:marRight w:val="0"/>
      <w:marTop w:val="0"/>
      <w:marBottom w:val="0"/>
      <w:divBdr>
        <w:top w:val="none" w:sz="0" w:space="0" w:color="auto"/>
        <w:left w:val="none" w:sz="0" w:space="0" w:color="auto"/>
        <w:bottom w:val="none" w:sz="0" w:space="0" w:color="auto"/>
        <w:right w:val="none" w:sz="0" w:space="0" w:color="auto"/>
      </w:divBdr>
    </w:div>
    <w:div w:id="1184171158">
      <w:bodyDiv w:val="1"/>
      <w:marLeft w:val="0"/>
      <w:marRight w:val="0"/>
      <w:marTop w:val="0"/>
      <w:marBottom w:val="0"/>
      <w:divBdr>
        <w:top w:val="none" w:sz="0" w:space="0" w:color="auto"/>
        <w:left w:val="none" w:sz="0" w:space="0" w:color="auto"/>
        <w:bottom w:val="none" w:sz="0" w:space="0" w:color="auto"/>
        <w:right w:val="none" w:sz="0" w:space="0" w:color="auto"/>
      </w:divBdr>
    </w:div>
    <w:div w:id="1184242841">
      <w:bodyDiv w:val="1"/>
      <w:marLeft w:val="0"/>
      <w:marRight w:val="0"/>
      <w:marTop w:val="0"/>
      <w:marBottom w:val="0"/>
      <w:divBdr>
        <w:top w:val="none" w:sz="0" w:space="0" w:color="auto"/>
        <w:left w:val="none" w:sz="0" w:space="0" w:color="auto"/>
        <w:bottom w:val="none" w:sz="0" w:space="0" w:color="auto"/>
        <w:right w:val="none" w:sz="0" w:space="0" w:color="auto"/>
      </w:divBdr>
    </w:div>
    <w:div w:id="1184318214">
      <w:bodyDiv w:val="1"/>
      <w:marLeft w:val="0"/>
      <w:marRight w:val="0"/>
      <w:marTop w:val="0"/>
      <w:marBottom w:val="0"/>
      <w:divBdr>
        <w:top w:val="none" w:sz="0" w:space="0" w:color="auto"/>
        <w:left w:val="none" w:sz="0" w:space="0" w:color="auto"/>
        <w:bottom w:val="none" w:sz="0" w:space="0" w:color="auto"/>
        <w:right w:val="none" w:sz="0" w:space="0" w:color="auto"/>
      </w:divBdr>
    </w:div>
    <w:div w:id="1184440425">
      <w:bodyDiv w:val="1"/>
      <w:marLeft w:val="0"/>
      <w:marRight w:val="0"/>
      <w:marTop w:val="0"/>
      <w:marBottom w:val="0"/>
      <w:divBdr>
        <w:top w:val="none" w:sz="0" w:space="0" w:color="auto"/>
        <w:left w:val="none" w:sz="0" w:space="0" w:color="auto"/>
        <w:bottom w:val="none" w:sz="0" w:space="0" w:color="auto"/>
        <w:right w:val="none" w:sz="0" w:space="0" w:color="auto"/>
      </w:divBdr>
    </w:div>
    <w:div w:id="1184520275">
      <w:bodyDiv w:val="1"/>
      <w:marLeft w:val="0"/>
      <w:marRight w:val="0"/>
      <w:marTop w:val="0"/>
      <w:marBottom w:val="0"/>
      <w:divBdr>
        <w:top w:val="none" w:sz="0" w:space="0" w:color="auto"/>
        <w:left w:val="none" w:sz="0" w:space="0" w:color="auto"/>
        <w:bottom w:val="none" w:sz="0" w:space="0" w:color="auto"/>
        <w:right w:val="none" w:sz="0" w:space="0" w:color="auto"/>
      </w:divBdr>
    </w:div>
    <w:div w:id="1184590943">
      <w:bodyDiv w:val="1"/>
      <w:marLeft w:val="0"/>
      <w:marRight w:val="0"/>
      <w:marTop w:val="0"/>
      <w:marBottom w:val="0"/>
      <w:divBdr>
        <w:top w:val="none" w:sz="0" w:space="0" w:color="auto"/>
        <w:left w:val="none" w:sz="0" w:space="0" w:color="auto"/>
        <w:bottom w:val="none" w:sz="0" w:space="0" w:color="auto"/>
        <w:right w:val="none" w:sz="0" w:space="0" w:color="auto"/>
      </w:divBdr>
    </w:div>
    <w:div w:id="1184634162">
      <w:bodyDiv w:val="1"/>
      <w:marLeft w:val="0"/>
      <w:marRight w:val="0"/>
      <w:marTop w:val="0"/>
      <w:marBottom w:val="0"/>
      <w:divBdr>
        <w:top w:val="none" w:sz="0" w:space="0" w:color="auto"/>
        <w:left w:val="none" w:sz="0" w:space="0" w:color="auto"/>
        <w:bottom w:val="none" w:sz="0" w:space="0" w:color="auto"/>
        <w:right w:val="none" w:sz="0" w:space="0" w:color="auto"/>
      </w:divBdr>
    </w:div>
    <w:div w:id="1184635680">
      <w:bodyDiv w:val="1"/>
      <w:marLeft w:val="0"/>
      <w:marRight w:val="0"/>
      <w:marTop w:val="0"/>
      <w:marBottom w:val="0"/>
      <w:divBdr>
        <w:top w:val="none" w:sz="0" w:space="0" w:color="auto"/>
        <w:left w:val="none" w:sz="0" w:space="0" w:color="auto"/>
        <w:bottom w:val="none" w:sz="0" w:space="0" w:color="auto"/>
        <w:right w:val="none" w:sz="0" w:space="0" w:color="auto"/>
      </w:divBdr>
    </w:div>
    <w:div w:id="1184711467">
      <w:bodyDiv w:val="1"/>
      <w:marLeft w:val="0"/>
      <w:marRight w:val="0"/>
      <w:marTop w:val="0"/>
      <w:marBottom w:val="0"/>
      <w:divBdr>
        <w:top w:val="none" w:sz="0" w:space="0" w:color="auto"/>
        <w:left w:val="none" w:sz="0" w:space="0" w:color="auto"/>
        <w:bottom w:val="none" w:sz="0" w:space="0" w:color="auto"/>
        <w:right w:val="none" w:sz="0" w:space="0" w:color="auto"/>
      </w:divBdr>
    </w:div>
    <w:div w:id="1184779240">
      <w:bodyDiv w:val="1"/>
      <w:marLeft w:val="0"/>
      <w:marRight w:val="0"/>
      <w:marTop w:val="0"/>
      <w:marBottom w:val="0"/>
      <w:divBdr>
        <w:top w:val="none" w:sz="0" w:space="0" w:color="auto"/>
        <w:left w:val="none" w:sz="0" w:space="0" w:color="auto"/>
        <w:bottom w:val="none" w:sz="0" w:space="0" w:color="auto"/>
        <w:right w:val="none" w:sz="0" w:space="0" w:color="auto"/>
      </w:divBdr>
    </w:div>
    <w:div w:id="1184783702">
      <w:bodyDiv w:val="1"/>
      <w:marLeft w:val="0"/>
      <w:marRight w:val="0"/>
      <w:marTop w:val="0"/>
      <w:marBottom w:val="0"/>
      <w:divBdr>
        <w:top w:val="none" w:sz="0" w:space="0" w:color="auto"/>
        <w:left w:val="none" w:sz="0" w:space="0" w:color="auto"/>
        <w:bottom w:val="none" w:sz="0" w:space="0" w:color="auto"/>
        <w:right w:val="none" w:sz="0" w:space="0" w:color="auto"/>
      </w:divBdr>
    </w:div>
    <w:div w:id="1184786189">
      <w:bodyDiv w:val="1"/>
      <w:marLeft w:val="0"/>
      <w:marRight w:val="0"/>
      <w:marTop w:val="0"/>
      <w:marBottom w:val="0"/>
      <w:divBdr>
        <w:top w:val="none" w:sz="0" w:space="0" w:color="auto"/>
        <w:left w:val="none" w:sz="0" w:space="0" w:color="auto"/>
        <w:bottom w:val="none" w:sz="0" w:space="0" w:color="auto"/>
        <w:right w:val="none" w:sz="0" w:space="0" w:color="auto"/>
      </w:divBdr>
    </w:div>
    <w:div w:id="1184831422">
      <w:bodyDiv w:val="1"/>
      <w:marLeft w:val="0"/>
      <w:marRight w:val="0"/>
      <w:marTop w:val="0"/>
      <w:marBottom w:val="0"/>
      <w:divBdr>
        <w:top w:val="none" w:sz="0" w:space="0" w:color="auto"/>
        <w:left w:val="none" w:sz="0" w:space="0" w:color="auto"/>
        <w:bottom w:val="none" w:sz="0" w:space="0" w:color="auto"/>
        <w:right w:val="none" w:sz="0" w:space="0" w:color="auto"/>
      </w:divBdr>
    </w:div>
    <w:div w:id="1184854764">
      <w:bodyDiv w:val="1"/>
      <w:marLeft w:val="0"/>
      <w:marRight w:val="0"/>
      <w:marTop w:val="0"/>
      <w:marBottom w:val="0"/>
      <w:divBdr>
        <w:top w:val="none" w:sz="0" w:space="0" w:color="auto"/>
        <w:left w:val="none" w:sz="0" w:space="0" w:color="auto"/>
        <w:bottom w:val="none" w:sz="0" w:space="0" w:color="auto"/>
        <w:right w:val="none" w:sz="0" w:space="0" w:color="auto"/>
      </w:divBdr>
    </w:div>
    <w:div w:id="1184898024">
      <w:bodyDiv w:val="1"/>
      <w:marLeft w:val="0"/>
      <w:marRight w:val="0"/>
      <w:marTop w:val="0"/>
      <w:marBottom w:val="0"/>
      <w:divBdr>
        <w:top w:val="none" w:sz="0" w:space="0" w:color="auto"/>
        <w:left w:val="none" w:sz="0" w:space="0" w:color="auto"/>
        <w:bottom w:val="none" w:sz="0" w:space="0" w:color="auto"/>
        <w:right w:val="none" w:sz="0" w:space="0" w:color="auto"/>
      </w:divBdr>
    </w:div>
    <w:div w:id="1184900597">
      <w:bodyDiv w:val="1"/>
      <w:marLeft w:val="0"/>
      <w:marRight w:val="0"/>
      <w:marTop w:val="0"/>
      <w:marBottom w:val="0"/>
      <w:divBdr>
        <w:top w:val="none" w:sz="0" w:space="0" w:color="auto"/>
        <w:left w:val="none" w:sz="0" w:space="0" w:color="auto"/>
        <w:bottom w:val="none" w:sz="0" w:space="0" w:color="auto"/>
        <w:right w:val="none" w:sz="0" w:space="0" w:color="auto"/>
      </w:divBdr>
    </w:div>
    <w:div w:id="1185168503">
      <w:bodyDiv w:val="1"/>
      <w:marLeft w:val="0"/>
      <w:marRight w:val="0"/>
      <w:marTop w:val="0"/>
      <w:marBottom w:val="0"/>
      <w:divBdr>
        <w:top w:val="none" w:sz="0" w:space="0" w:color="auto"/>
        <w:left w:val="none" w:sz="0" w:space="0" w:color="auto"/>
        <w:bottom w:val="none" w:sz="0" w:space="0" w:color="auto"/>
        <w:right w:val="none" w:sz="0" w:space="0" w:color="auto"/>
      </w:divBdr>
    </w:div>
    <w:div w:id="1185169346">
      <w:bodyDiv w:val="1"/>
      <w:marLeft w:val="0"/>
      <w:marRight w:val="0"/>
      <w:marTop w:val="0"/>
      <w:marBottom w:val="0"/>
      <w:divBdr>
        <w:top w:val="none" w:sz="0" w:space="0" w:color="auto"/>
        <w:left w:val="none" w:sz="0" w:space="0" w:color="auto"/>
        <w:bottom w:val="none" w:sz="0" w:space="0" w:color="auto"/>
        <w:right w:val="none" w:sz="0" w:space="0" w:color="auto"/>
      </w:divBdr>
    </w:div>
    <w:div w:id="1185174581">
      <w:bodyDiv w:val="1"/>
      <w:marLeft w:val="0"/>
      <w:marRight w:val="0"/>
      <w:marTop w:val="0"/>
      <w:marBottom w:val="0"/>
      <w:divBdr>
        <w:top w:val="none" w:sz="0" w:space="0" w:color="auto"/>
        <w:left w:val="none" w:sz="0" w:space="0" w:color="auto"/>
        <w:bottom w:val="none" w:sz="0" w:space="0" w:color="auto"/>
        <w:right w:val="none" w:sz="0" w:space="0" w:color="auto"/>
      </w:divBdr>
    </w:div>
    <w:div w:id="1185291183">
      <w:bodyDiv w:val="1"/>
      <w:marLeft w:val="0"/>
      <w:marRight w:val="0"/>
      <w:marTop w:val="0"/>
      <w:marBottom w:val="0"/>
      <w:divBdr>
        <w:top w:val="none" w:sz="0" w:space="0" w:color="auto"/>
        <w:left w:val="none" w:sz="0" w:space="0" w:color="auto"/>
        <w:bottom w:val="none" w:sz="0" w:space="0" w:color="auto"/>
        <w:right w:val="none" w:sz="0" w:space="0" w:color="auto"/>
      </w:divBdr>
    </w:div>
    <w:div w:id="1185360140">
      <w:bodyDiv w:val="1"/>
      <w:marLeft w:val="0"/>
      <w:marRight w:val="0"/>
      <w:marTop w:val="0"/>
      <w:marBottom w:val="0"/>
      <w:divBdr>
        <w:top w:val="none" w:sz="0" w:space="0" w:color="auto"/>
        <w:left w:val="none" w:sz="0" w:space="0" w:color="auto"/>
        <w:bottom w:val="none" w:sz="0" w:space="0" w:color="auto"/>
        <w:right w:val="none" w:sz="0" w:space="0" w:color="auto"/>
      </w:divBdr>
    </w:div>
    <w:div w:id="1185365469">
      <w:bodyDiv w:val="1"/>
      <w:marLeft w:val="0"/>
      <w:marRight w:val="0"/>
      <w:marTop w:val="0"/>
      <w:marBottom w:val="0"/>
      <w:divBdr>
        <w:top w:val="none" w:sz="0" w:space="0" w:color="auto"/>
        <w:left w:val="none" w:sz="0" w:space="0" w:color="auto"/>
        <w:bottom w:val="none" w:sz="0" w:space="0" w:color="auto"/>
        <w:right w:val="none" w:sz="0" w:space="0" w:color="auto"/>
      </w:divBdr>
    </w:div>
    <w:div w:id="1185440062">
      <w:bodyDiv w:val="1"/>
      <w:marLeft w:val="0"/>
      <w:marRight w:val="0"/>
      <w:marTop w:val="0"/>
      <w:marBottom w:val="0"/>
      <w:divBdr>
        <w:top w:val="none" w:sz="0" w:space="0" w:color="auto"/>
        <w:left w:val="none" w:sz="0" w:space="0" w:color="auto"/>
        <w:bottom w:val="none" w:sz="0" w:space="0" w:color="auto"/>
        <w:right w:val="none" w:sz="0" w:space="0" w:color="auto"/>
      </w:divBdr>
    </w:div>
    <w:div w:id="1185483493">
      <w:bodyDiv w:val="1"/>
      <w:marLeft w:val="0"/>
      <w:marRight w:val="0"/>
      <w:marTop w:val="0"/>
      <w:marBottom w:val="0"/>
      <w:divBdr>
        <w:top w:val="none" w:sz="0" w:space="0" w:color="auto"/>
        <w:left w:val="none" w:sz="0" w:space="0" w:color="auto"/>
        <w:bottom w:val="none" w:sz="0" w:space="0" w:color="auto"/>
        <w:right w:val="none" w:sz="0" w:space="0" w:color="auto"/>
      </w:divBdr>
    </w:div>
    <w:div w:id="1185510474">
      <w:bodyDiv w:val="1"/>
      <w:marLeft w:val="0"/>
      <w:marRight w:val="0"/>
      <w:marTop w:val="0"/>
      <w:marBottom w:val="0"/>
      <w:divBdr>
        <w:top w:val="none" w:sz="0" w:space="0" w:color="auto"/>
        <w:left w:val="none" w:sz="0" w:space="0" w:color="auto"/>
        <w:bottom w:val="none" w:sz="0" w:space="0" w:color="auto"/>
        <w:right w:val="none" w:sz="0" w:space="0" w:color="auto"/>
      </w:divBdr>
    </w:div>
    <w:div w:id="1185556666">
      <w:bodyDiv w:val="1"/>
      <w:marLeft w:val="0"/>
      <w:marRight w:val="0"/>
      <w:marTop w:val="0"/>
      <w:marBottom w:val="0"/>
      <w:divBdr>
        <w:top w:val="none" w:sz="0" w:space="0" w:color="auto"/>
        <w:left w:val="none" w:sz="0" w:space="0" w:color="auto"/>
        <w:bottom w:val="none" w:sz="0" w:space="0" w:color="auto"/>
        <w:right w:val="none" w:sz="0" w:space="0" w:color="auto"/>
      </w:divBdr>
    </w:div>
    <w:div w:id="1185704696">
      <w:bodyDiv w:val="1"/>
      <w:marLeft w:val="0"/>
      <w:marRight w:val="0"/>
      <w:marTop w:val="0"/>
      <w:marBottom w:val="0"/>
      <w:divBdr>
        <w:top w:val="none" w:sz="0" w:space="0" w:color="auto"/>
        <w:left w:val="none" w:sz="0" w:space="0" w:color="auto"/>
        <w:bottom w:val="none" w:sz="0" w:space="0" w:color="auto"/>
        <w:right w:val="none" w:sz="0" w:space="0" w:color="auto"/>
      </w:divBdr>
    </w:div>
    <w:div w:id="1185708345">
      <w:bodyDiv w:val="1"/>
      <w:marLeft w:val="0"/>
      <w:marRight w:val="0"/>
      <w:marTop w:val="0"/>
      <w:marBottom w:val="0"/>
      <w:divBdr>
        <w:top w:val="none" w:sz="0" w:space="0" w:color="auto"/>
        <w:left w:val="none" w:sz="0" w:space="0" w:color="auto"/>
        <w:bottom w:val="none" w:sz="0" w:space="0" w:color="auto"/>
        <w:right w:val="none" w:sz="0" w:space="0" w:color="auto"/>
      </w:divBdr>
    </w:div>
    <w:div w:id="1185902316">
      <w:bodyDiv w:val="1"/>
      <w:marLeft w:val="0"/>
      <w:marRight w:val="0"/>
      <w:marTop w:val="0"/>
      <w:marBottom w:val="0"/>
      <w:divBdr>
        <w:top w:val="none" w:sz="0" w:space="0" w:color="auto"/>
        <w:left w:val="none" w:sz="0" w:space="0" w:color="auto"/>
        <w:bottom w:val="none" w:sz="0" w:space="0" w:color="auto"/>
        <w:right w:val="none" w:sz="0" w:space="0" w:color="auto"/>
      </w:divBdr>
    </w:div>
    <w:div w:id="1185905782">
      <w:bodyDiv w:val="1"/>
      <w:marLeft w:val="0"/>
      <w:marRight w:val="0"/>
      <w:marTop w:val="0"/>
      <w:marBottom w:val="0"/>
      <w:divBdr>
        <w:top w:val="none" w:sz="0" w:space="0" w:color="auto"/>
        <w:left w:val="none" w:sz="0" w:space="0" w:color="auto"/>
        <w:bottom w:val="none" w:sz="0" w:space="0" w:color="auto"/>
        <w:right w:val="none" w:sz="0" w:space="0" w:color="auto"/>
      </w:divBdr>
    </w:div>
    <w:div w:id="1185941416">
      <w:bodyDiv w:val="1"/>
      <w:marLeft w:val="0"/>
      <w:marRight w:val="0"/>
      <w:marTop w:val="0"/>
      <w:marBottom w:val="0"/>
      <w:divBdr>
        <w:top w:val="none" w:sz="0" w:space="0" w:color="auto"/>
        <w:left w:val="none" w:sz="0" w:space="0" w:color="auto"/>
        <w:bottom w:val="none" w:sz="0" w:space="0" w:color="auto"/>
        <w:right w:val="none" w:sz="0" w:space="0" w:color="auto"/>
      </w:divBdr>
    </w:div>
    <w:div w:id="1185942268">
      <w:bodyDiv w:val="1"/>
      <w:marLeft w:val="0"/>
      <w:marRight w:val="0"/>
      <w:marTop w:val="0"/>
      <w:marBottom w:val="0"/>
      <w:divBdr>
        <w:top w:val="none" w:sz="0" w:space="0" w:color="auto"/>
        <w:left w:val="none" w:sz="0" w:space="0" w:color="auto"/>
        <w:bottom w:val="none" w:sz="0" w:space="0" w:color="auto"/>
        <w:right w:val="none" w:sz="0" w:space="0" w:color="auto"/>
      </w:divBdr>
    </w:div>
    <w:div w:id="1186093621">
      <w:bodyDiv w:val="1"/>
      <w:marLeft w:val="0"/>
      <w:marRight w:val="0"/>
      <w:marTop w:val="0"/>
      <w:marBottom w:val="0"/>
      <w:divBdr>
        <w:top w:val="none" w:sz="0" w:space="0" w:color="auto"/>
        <w:left w:val="none" w:sz="0" w:space="0" w:color="auto"/>
        <w:bottom w:val="none" w:sz="0" w:space="0" w:color="auto"/>
        <w:right w:val="none" w:sz="0" w:space="0" w:color="auto"/>
      </w:divBdr>
    </w:div>
    <w:div w:id="1186210697">
      <w:bodyDiv w:val="1"/>
      <w:marLeft w:val="0"/>
      <w:marRight w:val="0"/>
      <w:marTop w:val="0"/>
      <w:marBottom w:val="0"/>
      <w:divBdr>
        <w:top w:val="none" w:sz="0" w:space="0" w:color="auto"/>
        <w:left w:val="none" w:sz="0" w:space="0" w:color="auto"/>
        <w:bottom w:val="none" w:sz="0" w:space="0" w:color="auto"/>
        <w:right w:val="none" w:sz="0" w:space="0" w:color="auto"/>
      </w:divBdr>
    </w:div>
    <w:div w:id="1186217111">
      <w:bodyDiv w:val="1"/>
      <w:marLeft w:val="0"/>
      <w:marRight w:val="0"/>
      <w:marTop w:val="0"/>
      <w:marBottom w:val="0"/>
      <w:divBdr>
        <w:top w:val="none" w:sz="0" w:space="0" w:color="auto"/>
        <w:left w:val="none" w:sz="0" w:space="0" w:color="auto"/>
        <w:bottom w:val="none" w:sz="0" w:space="0" w:color="auto"/>
        <w:right w:val="none" w:sz="0" w:space="0" w:color="auto"/>
      </w:divBdr>
    </w:div>
    <w:div w:id="1186750949">
      <w:bodyDiv w:val="1"/>
      <w:marLeft w:val="0"/>
      <w:marRight w:val="0"/>
      <w:marTop w:val="0"/>
      <w:marBottom w:val="0"/>
      <w:divBdr>
        <w:top w:val="none" w:sz="0" w:space="0" w:color="auto"/>
        <w:left w:val="none" w:sz="0" w:space="0" w:color="auto"/>
        <w:bottom w:val="none" w:sz="0" w:space="0" w:color="auto"/>
        <w:right w:val="none" w:sz="0" w:space="0" w:color="auto"/>
      </w:divBdr>
    </w:div>
    <w:div w:id="1186752994">
      <w:bodyDiv w:val="1"/>
      <w:marLeft w:val="0"/>
      <w:marRight w:val="0"/>
      <w:marTop w:val="0"/>
      <w:marBottom w:val="0"/>
      <w:divBdr>
        <w:top w:val="none" w:sz="0" w:space="0" w:color="auto"/>
        <w:left w:val="none" w:sz="0" w:space="0" w:color="auto"/>
        <w:bottom w:val="none" w:sz="0" w:space="0" w:color="auto"/>
        <w:right w:val="none" w:sz="0" w:space="0" w:color="auto"/>
      </w:divBdr>
    </w:div>
    <w:div w:id="1186753067">
      <w:bodyDiv w:val="1"/>
      <w:marLeft w:val="0"/>
      <w:marRight w:val="0"/>
      <w:marTop w:val="0"/>
      <w:marBottom w:val="0"/>
      <w:divBdr>
        <w:top w:val="none" w:sz="0" w:space="0" w:color="auto"/>
        <w:left w:val="none" w:sz="0" w:space="0" w:color="auto"/>
        <w:bottom w:val="none" w:sz="0" w:space="0" w:color="auto"/>
        <w:right w:val="none" w:sz="0" w:space="0" w:color="auto"/>
      </w:divBdr>
    </w:div>
    <w:div w:id="1186945754">
      <w:bodyDiv w:val="1"/>
      <w:marLeft w:val="0"/>
      <w:marRight w:val="0"/>
      <w:marTop w:val="0"/>
      <w:marBottom w:val="0"/>
      <w:divBdr>
        <w:top w:val="none" w:sz="0" w:space="0" w:color="auto"/>
        <w:left w:val="none" w:sz="0" w:space="0" w:color="auto"/>
        <w:bottom w:val="none" w:sz="0" w:space="0" w:color="auto"/>
        <w:right w:val="none" w:sz="0" w:space="0" w:color="auto"/>
      </w:divBdr>
    </w:div>
    <w:div w:id="1187017596">
      <w:bodyDiv w:val="1"/>
      <w:marLeft w:val="0"/>
      <w:marRight w:val="0"/>
      <w:marTop w:val="0"/>
      <w:marBottom w:val="0"/>
      <w:divBdr>
        <w:top w:val="none" w:sz="0" w:space="0" w:color="auto"/>
        <w:left w:val="none" w:sz="0" w:space="0" w:color="auto"/>
        <w:bottom w:val="none" w:sz="0" w:space="0" w:color="auto"/>
        <w:right w:val="none" w:sz="0" w:space="0" w:color="auto"/>
      </w:divBdr>
    </w:div>
    <w:div w:id="1187064770">
      <w:bodyDiv w:val="1"/>
      <w:marLeft w:val="0"/>
      <w:marRight w:val="0"/>
      <w:marTop w:val="0"/>
      <w:marBottom w:val="0"/>
      <w:divBdr>
        <w:top w:val="none" w:sz="0" w:space="0" w:color="auto"/>
        <w:left w:val="none" w:sz="0" w:space="0" w:color="auto"/>
        <w:bottom w:val="none" w:sz="0" w:space="0" w:color="auto"/>
        <w:right w:val="none" w:sz="0" w:space="0" w:color="auto"/>
      </w:divBdr>
    </w:div>
    <w:div w:id="1187213377">
      <w:bodyDiv w:val="1"/>
      <w:marLeft w:val="0"/>
      <w:marRight w:val="0"/>
      <w:marTop w:val="0"/>
      <w:marBottom w:val="0"/>
      <w:divBdr>
        <w:top w:val="none" w:sz="0" w:space="0" w:color="auto"/>
        <w:left w:val="none" w:sz="0" w:space="0" w:color="auto"/>
        <w:bottom w:val="none" w:sz="0" w:space="0" w:color="auto"/>
        <w:right w:val="none" w:sz="0" w:space="0" w:color="auto"/>
      </w:divBdr>
    </w:div>
    <w:div w:id="1187258064">
      <w:bodyDiv w:val="1"/>
      <w:marLeft w:val="0"/>
      <w:marRight w:val="0"/>
      <w:marTop w:val="0"/>
      <w:marBottom w:val="0"/>
      <w:divBdr>
        <w:top w:val="none" w:sz="0" w:space="0" w:color="auto"/>
        <w:left w:val="none" w:sz="0" w:space="0" w:color="auto"/>
        <w:bottom w:val="none" w:sz="0" w:space="0" w:color="auto"/>
        <w:right w:val="none" w:sz="0" w:space="0" w:color="auto"/>
      </w:divBdr>
    </w:div>
    <w:div w:id="1187333480">
      <w:bodyDiv w:val="1"/>
      <w:marLeft w:val="0"/>
      <w:marRight w:val="0"/>
      <w:marTop w:val="0"/>
      <w:marBottom w:val="0"/>
      <w:divBdr>
        <w:top w:val="none" w:sz="0" w:space="0" w:color="auto"/>
        <w:left w:val="none" w:sz="0" w:space="0" w:color="auto"/>
        <w:bottom w:val="none" w:sz="0" w:space="0" w:color="auto"/>
        <w:right w:val="none" w:sz="0" w:space="0" w:color="auto"/>
      </w:divBdr>
    </w:div>
    <w:div w:id="1187479535">
      <w:bodyDiv w:val="1"/>
      <w:marLeft w:val="0"/>
      <w:marRight w:val="0"/>
      <w:marTop w:val="0"/>
      <w:marBottom w:val="0"/>
      <w:divBdr>
        <w:top w:val="none" w:sz="0" w:space="0" w:color="auto"/>
        <w:left w:val="none" w:sz="0" w:space="0" w:color="auto"/>
        <w:bottom w:val="none" w:sz="0" w:space="0" w:color="auto"/>
        <w:right w:val="none" w:sz="0" w:space="0" w:color="auto"/>
      </w:divBdr>
    </w:div>
    <w:div w:id="1187594403">
      <w:bodyDiv w:val="1"/>
      <w:marLeft w:val="0"/>
      <w:marRight w:val="0"/>
      <w:marTop w:val="0"/>
      <w:marBottom w:val="0"/>
      <w:divBdr>
        <w:top w:val="none" w:sz="0" w:space="0" w:color="auto"/>
        <w:left w:val="none" w:sz="0" w:space="0" w:color="auto"/>
        <w:bottom w:val="none" w:sz="0" w:space="0" w:color="auto"/>
        <w:right w:val="none" w:sz="0" w:space="0" w:color="auto"/>
      </w:divBdr>
    </w:div>
    <w:div w:id="1187674593">
      <w:bodyDiv w:val="1"/>
      <w:marLeft w:val="0"/>
      <w:marRight w:val="0"/>
      <w:marTop w:val="0"/>
      <w:marBottom w:val="0"/>
      <w:divBdr>
        <w:top w:val="none" w:sz="0" w:space="0" w:color="auto"/>
        <w:left w:val="none" w:sz="0" w:space="0" w:color="auto"/>
        <w:bottom w:val="none" w:sz="0" w:space="0" w:color="auto"/>
        <w:right w:val="none" w:sz="0" w:space="0" w:color="auto"/>
      </w:divBdr>
    </w:div>
    <w:div w:id="1187864627">
      <w:bodyDiv w:val="1"/>
      <w:marLeft w:val="0"/>
      <w:marRight w:val="0"/>
      <w:marTop w:val="0"/>
      <w:marBottom w:val="0"/>
      <w:divBdr>
        <w:top w:val="none" w:sz="0" w:space="0" w:color="auto"/>
        <w:left w:val="none" w:sz="0" w:space="0" w:color="auto"/>
        <w:bottom w:val="none" w:sz="0" w:space="0" w:color="auto"/>
        <w:right w:val="none" w:sz="0" w:space="0" w:color="auto"/>
      </w:divBdr>
    </w:div>
    <w:div w:id="1187907455">
      <w:bodyDiv w:val="1"/>
      <w:marLeft w:val="0"/>
      <w:marRight w:val="0"/>
      <w:marTop w:val="0"/>
      <w:marBottom w:val="0"/>
      <w:divBdr>
        <w:top w:val="none" w:sz="0" w:space="0" w:color="auto"/>
        <w:left w:val="none" w:sz="0" w:space="0" w:color="auto"/>
        <w:bottom w:val="none" w:sz="0" w:space="0" w:color="auto"/>
        <w:right w:val="none" w:sz="0" w:space="0" w:color="auto"/>
      </w:divBdr>
    </w:div>
    <w:div w:id="1188063094">
      <w:bodyDiv w:val="1"/>
      <w:marLeft w:val="0"/>
      <w:marRight w:val="0"/>
      <w:marTop w:val="0"/>
      <w:marBottom w:val="0"/>
      <w:divBdr>
        <w:top w:val="none" w:sz="0" w:space="0" w:color="auto"/>
        <w:left w:val="none" w:sz="0" w:space="0" w:color="auto"/>
        <w:bottom w:val="none" w:sz="0" w:space="0" w:color="auto"/>
        <w:right w:val="none" w:sz="0" w:space="0" w:color="auto"/>
      </w:divBdr>
    </w:div>
    <w:div w:id="1188174724">
      <w:bodyDiv w:val="1"/>
      <w:marLeft w:val="0"/>
      <w:marRight w:val="0"/>
      <w:marTop w:val="0"/>
      <w:marBottom w:val="0"/>
      <w:divBdr>
        <w:top w:val="none" w:sz="0" w:space="0" w:color="auto"/>
        <w:left w:val="none" w:sz="0" w:space="0" w:color="auto"/>
        <w:bottom w:val="none" w:sz="0" w:space="0" w:color="auto"/>
        <w:right w:val="none" w:sz="0" w:space="0" w:color="auto"/>
      </w:divBdr>
    </w:div>
    <w:div w:id="1188329740">
      <w:bodyDiv w:val="1"/>
      <w:marLeft w:val="0"/>
      <w:marRight w:val="0"/>
      <w:marTop w:val="0"/>
      <w:marBottom w:val="0"/>
      <w:divBdr>
        <w:top w:val="none" w:sz="0" w:space="0" w:color="auto"/>
        <w:left w:val="none" w:sz="0" w:space="0" w:color="auto"/>
        <w:bottom w:val="none" w:sz="0" w:space="0" w:color="auto"/>
        <w:right w:val="none" w:sz="0" w:space="0" w:color="auto"/>
      </w:divBdr>
    </w:div>
    <w:div w:id="1188523975">
      <w:bodyDiv w:val="1"/>
      <w:marLeft w:val="0"/>
      <w:marRight w:val="0"/>
      <w:marTop w:val="0"/>
      <w:marBottom w:val="0"/>
      <w:divBdr>
        <w:top w:val="none" w:sz="0" w:space="0" w:color="auto"/>
        <w:left w:val="none" w:sz="0" w:space="0" w:color="auto"/>
        <w:bottom w:val="none" w:sz="0" w:space="0" w:color="auto"/>
        <w:right w:val="none" w:sz="0" w:space="0" w:color="auto"/>
      </w:divBdr>
    </w:div>
    <w:div w:id="1188525246">
      <w:bodyDiv w:val="1"/>
      <w:marLeft w:val="0"/>
      <w:marRight w:val="0"/>
      <w:marTop w:val="0"/>
      <w:marBottom w:val="0"/>
      <w:divBdr>
        <w:top w:val="none" w:sz="0" w:space="0" w:color="auto"/>
        <w:left w:val="none" w:sz="0" w:space="0" w:color="auto"/>
        <w:bottom w:val="none" w:sz="0" w:space="0" w:color="auto"/>
        <w:right w:val="none" w:sz="0" w:space="0" w:color="auto"/>
      </w:divBdr>
    </w:div>
    <w:div w:id="1188561457">
      <w:bodyDiv w:val="1"/>
      <w:marLeft w:val="0"/>
      <w:marRight w:val="0"/>
      <w:marTop w:val="0"/>
      <w:marBottom w:val="0"/>
      <w:divBdr>
        <w:top w:val="none" w:sz="0" w:space="0" w:color="auto"/>
        <w:left w:val="none" w:sz="0" w:space="0" w:color="auto"/>
        <w:bottom w:val="none" w:sz="0" w:space="0" w:color="auto"/>
        <w:right w:val="none" w:sz="0" w:space="0" w:color="auto"/>
      </w:divBdr>
    </w:div>
    <w:div w:id="1188593382">
      <w:bodyDiv w:val="1"/>
      <w:marLeft w:val="0"/>
      <w:marRight w:val="0"/>
      <w:marTop w:val="0"/>
      <w:marBottom w:val="0"/>
      <w:divBdr>
        <w:top w:val="none" w:sz="0" w:space="0" w:color="auto"/>
        <w:left w:val="none" w:sz="0" w:space="0" w:color="auto"/>
        <w:bottom w:val="none" w:sz="0" w:space="0" w:color="auto"/>
        <w:right w:val="none" w:sz="0" w:space="0" w:color="auto"/>
      </w:divBdr>
    </w:div>
    <w:div w:id="1188636086">
      <w:bodyDiv w:val="1"/>
      <w:marLeft w:val="0"/>
      <w:marRight w:val="0"/>
      <w:marTop w:val="0"/>
      <w:marBottom w:val="0"/>
      <w:divBdr>
        <w:top w:val="none" w:sz="0" w:space="0" w:color="auto"/>
        <w:left w:val="none" w:sz="0" w:space="0" w:color="auto"/>
        <w:bottom w:val="none" w:sz="0" w:space="0" w:color="auto"/>
        <w:right w:val="none" w:sz="0" w:space="0" w:color="auto"/>
      </w:divBdr>
    </w:div>
    <w:div w:id="1188637871">
      <w:bodyDiv w:val="1"/>
      <w:marLeft w:val="0"/>
      <w:marRight w:val="0"/>
      <w:marTop w:val="0"/>
      <w:marBottom w:val="0"/>
      <w:divBdr>
        <w:top w:val="none" w:sz="0" w:space="0" w:color="auto"/>
        <w:left w:val="none" w:sz="0" w:space="0" w:color="auto"/>
        <w:bottom w:val="none" w:sz="0" w:space="0" w:color="auto"/>
        <w:right w:val="none" w:sz="0" w:space="0" w:color="auto"/>
      </w:divBdr>
    </w:div>
    <w:div w:id="1188717453">
      <w:bodyDiv w:val="1"/>
      <w:marLeft w:val="0"/>
      <w:marRight w:val="0"/>
      <w:marTop w:val="0"/>
      <w:marBottom w:val="0"/>
      <w:divBdr>
        <w:top w:val="none" w:sz="0" w:space="0" w:color="auto"/>
        <w:left w:val="none" w:sz="0" w:space="0" w:color="auto"/>
        <w:bottom w:val="none" w:sz="0" w:space="0" w:color="auto"/>
        <w:right w:val="none" w:sz="0" w:space="0" w:color="auto"/>
      </w:divBdr>
    </w:div>
    <w:div w:id="1188790045">
      <w:bodyDiv w:val="1"/>
      <w:marLeft w:val="0"/>
      <w:marRight w:val="0"/>
      <w:marTop w:val="0"/>
      <w:marBottom w:val="0"/>
      <w:divBdr>
        <w:top w:val="none" w:sz="0" w:space="0" w:color="auto"/>
        <w:left w:val="none" w:sz="0" w:space="0" w:color="auto"/>
        <w:bottom w:val="none" w:sz="0" w:space="0" w:color="auto"/>
        <w:right w:val="none" w:sz="0" w:space="0" w:color="auto"/>
      </w:divBdr>
    </w:div>
    <w:div w:id="1188986620">
      <w:bodyDiv w:val="1"/>
      <w:marLeft w:val="0"/>
      <w:marRight w:val="0"/>
      <w:marTop w:val="0"/>
      <w:marBottom w:val="0"/>
      <w:divBdr>
        <w:top w:val="none" w:sz="0" w:space="0" w:color="auto"/>
        <w:left w:val="none" w:sz="0" w:space="0" w:color="auto"/>
        <w:bottom w:val="none" w:sz="0" w:space="0" w:color="auto"/>
        <w:right w:val="none" w:sz="0" w:space="0" w:color="auto"/>
      </w:divBdr>
    </w:div>
    <w:div w:id="1189027668">
      <w:bodyDiv w:val="1"/>
      <w:marLeft w:val="0"/>
      <w:marRight w:val="0"/>
      <w:marTop w:val="0"/>
      <w:marBottom w:val="0"/>
      <w:divBdr>
        <w:top w:val="none" w:sz="0" w:space="0" w:color="auto"/>
        <w:left w:val="none" w:sz="0" w:space="0" w:color="auto"/>
        <w:bottom w:val="none" w:sz="0" w:space="0" w:color="auto"/>
        <w:right w:val="none" w:sz="0" w:space="0" w:color="auto"/>
      </w:divBdr>
    </w:div>
    <w:div w:id="1189492157">
      <w:bodyDiv w:val="1"/>
      <w:marLeft w:val="0"/>
      <w:marRight w:val="0"/>
      <w:marTop w:val="0"/>
      <w:marBottom w:val="0"/>
      <w:divBdr>
        <w:top w:val="none" w:sz="0" w:space="0" w:color="auto"/>
        <w:left w:val="none" w:sz="0" w:space="0" w:color="auto"/>
        <w:bottom w:val="none" w:sz="0" w:space="0" w:color="auto"/>
        <w:right w:val="none" w:sz="0" w:space="0" w:color="auto"/>
      </w:divBdr>
    </w:div>
    <w:div w:id="1189682506">
      <w:bodyDiv w:val="1"/>
      <w:marLeft w:val="0"/>
      <w:marRight w:val="0"/>
      <w:marTop w:val="0"/>
      <w:marBottom w:val="0"/>
      <w:divBdr>
        <w:top w:val="none" w:sz="0" w:space="0" w:color="auto"/>
        <w:left w:val="none" w:sz="0" w:space="0" w:color="auto"/>
        <w:bottom w:val="none" w:sz="0" w:space="0" w:color="auto"/>
        <w:right w:val="none" w:sz="0" w:space="0" w:color="auto"/>
      </w:divBdr>
    </w:div>
    <w:div w:id="1189830845">
      <w:bodyDiv w:val="1"/>
      <w:marLeft w:val="0"/>
      <w:marRight w:val="0"/>
      <w:marTop w:val="0"/>
      <w:marBottom w:val="0"/>
      <w:divBdr>
        <w:top w:val="none" w:sz="0" w:space="0" w:color="auto"/>
        <w:left w:val="none" w:sz="0" w:space="0" w:color="auto"/>
        <w:bottom w:val="none" w:sz="0" w:space="0" w:color="auto"/>
        <w:right w:val="none" w:sz="0" w:space="0" w:color="auto"/>
      </w:divBdr>
    </w:div>
    <w:div w:id="1189833705">
      <w:bodyDiv w:val="1"/>
      <w:marLeft w:val="0"/>
      <w:marRight w:val="0"/>
      <w:marTop w:val="0"/>
      <w:marBottom w:val="0"/>
      <w:divBdr>
        <w:top w:val="none" w:sz="0" w:space="0" w:color="auto"/>
        <w:left w:val="none" w:sz="0" w:space="0" w:color="auto"/>
        <w:bottom w:val="none" w:sz="0" w:space="0" w:color="auto"/>
        <w:right w:val="none" w:sz="0" w:space="0" w:color="auto"/>
      </w:divBdr>
    </w:div>
    <w:div w:id="1189837279">
      <w:bodyDiv w:val="1"/>
      <w:marLeft w:val="0"/>
      <w:marRight w:val="0"/>
      <w:marTop w:val="0"/>
      <w:marBottom w:val="0"/>
      <w:divBdr>
        <w:top w:val="none" w:sz="0" w:space="0" w:color="auto"/>
        <w:left w:val="none" w:sz="0" w:space="0" w:color="auto"/>
        <w:bottom w:val="none" w:sz="0" w:space="0" w:color="auto"/>
        <w:right w:val="none" w:sz="0" w:space="0" w:color="auto"/>
      </w:divBdr>
    </w:div>
    <w:div w:id="1189953178">
      <w:bodyDiv w:val="1"/>
      <w:marLeft w:val="0"/>
      <w:marRight w:val="0"/>
      <w:marTop w:val="0"/>
      <w:marBottom w:val="0"/>
      <w:divBdr>
        <w:top w:val="none" w:sz="0" w:space="0" w:color="auto"/>
        <w:left w:val="none" w:sz="0" w:space="0" w:color="auto"/>
        <w:bottom w:val="none" w:sz="0" w:space="0" w:color="auto"/>
        <w:right w:val="none" w:sz="0" w:space="0" w:color="auto"/>
      </w:divBdr>
    </w:div>
    <w:div w:id="1190023745">
      <w:bodyDiv w:val="1"/>
      <w:marLeft w:val="0"/>
      <w:marRight w:val="0"/>
      <w:marTop w:val="0"/>
      <w:marBottom w:val="0"/>
      <w:divBdr>
        <w:top w:val="none" w:sz="0" w:space="0" w:color="auto"/>
        <w:left w:val="none" w:sz="0" w:space="0" w:color="auto"/>
        <w:bottom w:val="none" w:sz="0" w:space="0" w:color="auto"/>
        <w:right w:val="none" w:sz="0" w:space="0" w:color="auto"/>
      </w:divBdr>
    </w:div>
    <w:div w:id="1190026779">
      <w:bodyDiv w:val="1"/>
      <w:marLeft w:val="0"/>
      <w:marRight w:val="0"/>
      <w:marTop w:val="0"/>
      <w:marBottom w:val="0"/>
      <w:divBdr>
        <w:top w:val="none" w:sz="0" w:space="0" w:color="auto"/>
        <w:left w:val="none" w:sz="0" w:space="0" w:color="auto"/>
        <w:bottom w:val="none" w:sz="0" w:space="0" w:color="auto"/>
        <w:right w:val="none" w:sz="0" w:space="0" w:color="auto"/>
      </w:divBdr>
    </w:div>
    <w:div w:id="1190070600">
      <w:bodyDiv w:val="1"/>
      <w:marLeft w:val="0"/>
      <w:marRight w:val="0"/>
      <w:marTop w:val="0"/>
      <w:marBottom w:val="0"/>
      <w:divBdr>
        <w:top w:val="none" w:sz="0" w:space="0" w:color="auto"/>
        <w:left w:val="none" w:sz="0" w:space="0" w:color="auto"/>
        <w:bottom w:val="none" w:sz="0" w:space="0" w:color="auto"/>
        <w:right w:val="none" w:sz="0" w:space="0" w:color="auto"/>
      </w:divBdr>
    </w:div>
    <w:div w:id="1190073523">
      <w:bodyDiv w:val="1"/>
      <w:marLeft w:val="0"/>
      <w:marRight w:val="0"/>
      <w:marTop w:val="0"/>
      <w:marBottom w:val="0"/>
      <w:divBdr>
        <w:top w:val="none" w:sz="0" w:space="0" w:color="auto"/>
        <w:left w:val="none" w:sz="0" w:space="0" w:color="auto"/>
        <w:bottom w:val="none" w:sz="0" w:space="0" w:color="auto"/>
        <w:right w:val="none" w:sz="0" w:space="0" w:color="auto"/>
      </w:divBdr>
    </w:div>
    <w:div w:id="1190223196">
      <w:bodyDiv w:val="1"/>
      <w:marLeft w:val="0"/>
      <w:marRight w:val="0"/>
      <w:marTop w:val="0"/>
      <w:marBottom w:val="0"/>
      <w:divBdr>
        <w:top w:val="none" w:sz="0" w:space="0" w:color="auto"/>
        <w:left w:val="none" w:sz="0" w:space="0" w:color="auto"/>
        <w:bottom w:val="none" w:sz="0" w:space="0" w:color="auto"/>
        <w:right w:val="none" w:sz="0" w:space="0" w:color="auto"/>
      </w:divBdr>
    </w:div>
    <w:div w:id="1190297239">
      <w:bodyDiv w:val="1"/>
      <w:marLeft w:val="0"/>
      <w:marRight w:val="0"/>
      <w:marTop w:val="0"/>
      <w:marBottom w:val="0"/>
      <w:divBdr>
        <w:top w:val="none" w:sz="0" w:space="0" w:color="auto"/>
        <w:left w:val="none" w:sz="0" w:space="0" w:color="auto"/>
        <w:bottom w:val="none" w:sz="0" w:space="0" w:color="auto"/>
        <w:right w:val="none" w:sz="0" w:space="0" w:color="auto"/>
      </w:divBdr>
    </w:div>
    <w:div w:id="1190334878">
      <w:bodyDiv w:val="1"/>
      <w:marLeft w:val="0"/>
      <w:marRight w:val="0"/>
      <w:marTop w:val="0"/>
      <w:marBottom w:val="0"/>
      <w:divBdr>
        <w:top w:val="none" w:sz="0" w:space="0" w:color="auto"/>
        <w:left w:val="none" w:sz="0" w:space="0" w:color="auto"/>
        <w:bottom w:val="none" w:sz="0" w:space="0" w:color="auto"/>
        <w:right w:val="none" w:sz="0" w:space="0" w:color="auto"/>
      </w:divBdr>
    </w:div>
    <w:div w:id="1190413686">
      <w:bodyDiv w:val="1"/>
      <w:marLeft w:val="0"/>
      <w:marRight w:val="0"/>
      <w:marTop w:val="0"/>
      <w:marBottom w:val="0"/>
      <w:divBdr>
        <w:top w:val="none" w:sz="0" w:space="0" w:color="auto"/>
        <w:left w:val="none" w:sz="0" w:space="0" w:color="auto"/>
        <w:bottom w:val="none" w:sz="0" w:space="0" w:color="auto"/>
        <w:right w:val="none" w:sz="0" w:space="0" w:color="auto"/>
      </w:divBdr>
    </w:div>
    <w:div w:id="1190527004">
      <w:bodyDiv w:val="1"/>
      <w:marLeft w:val="0"/>
      <w:marRight w:val="0"/>
      <w:marTop w:val="0"/>
      <w:marBottom w:val="0"/>
      <w:divBdr>
        <w:top w:val="none" w:sz="0" w:space="0" w:color="auto"/>
        <w:left w:val="none" w:sz="0" w:space="0" w:color="auto"/>
        <w:bottom w:val="none" w:sz="0" w:space="0" w:color="auto"/>
        <w:right w:val="none" w:sz="0" w:space="0" w:color="auto"/>
      </w:divBdr>
    </w:div>
    <w:div w:id="1190527256">
      <w:bodyDiv w:val="1"/>
      <w:marLeft w:val="0"/>
      <w:marRight w:val="0"/>
      <w:marTop w:val="0"/>
      <w:marBottom w:val="0"/>
      <w:divBdr>
        <w:top w:val="none" w:sz="0" w:space="0" w:color="auto"/>
        <w:left w:val="none" w:sz="0" w:space="0" w:color="auto"/>
        <w:bottom w:val="none" w:sz="0" w:space="0" w:color="auto"/>
        <w:right w:val="none" w:sz="0" w:space="0" w:color="auto"/>
      </w:divBdr>
    </w:div>
    <w:div w:id="1190609427">
      <w:bodyDiv w:val="1"/>
      <w:marLeft w:val="0"/>
      <w:marRight w:val="0"/>
      <w:marTop w:val="0"/>
      <w:marBottom w:val="0"/>
      <w:divBdr>
        <w:top w:val="none" w:sz="0" w:space="0" w:color="auto"/>
        <w:left w:val="none" w:sz="0" w:space="0" w:color="auto"/>
        <w:bottom w:val="none" w:sz="0" w:space="0" w:color="auto"/>
        <w:right w:val="none" w:sz="0" w:space="0" w:color="auto"/>
      </w:divBdr>
    </w:div>
    <w:div w:id="1190683051">
      <w:bodyDiv w:val="1"/>
      <w:marLeft w:val="0"/>
      <w:marRight w:val="0"/>
      <w:marTop w:val="0"/>
      <w:marBottom w:val="0"/>
      <w:divBdr>
        <w:top w:val="none" w:sz="0" w:space="0" w:color="auto"/>
        <w:left w:val="none" w:sz="0" w:space="0" w:color="auto"/>
        <w:bottom w:val="none" w:sz="0" w:space="0" w:color="auto"/>
        <w:right w:val="none" w:sz="0" w:space="0" w:color="auto"/>
      </w:divBdr>
    </w:div>
    <w:div w:id="1190873785">
      <w:bodyDiv w:val="1"/>
      <w:marLeft w:val="0"/>
      <w:marRight w:val="0"/>
      <w:marTop w:val="0"/>
      <w:marBottom w:val="0"/>
      <w:divBdr>
        <w:top w:val="none" w:sz="0" w:space="0" w:color="auto"/>
        <w:left w:val="none" w:sz="0" w:space="0" w:color="auto"/>
        <w:bottom w:val="none" w:sz="0" w:space="0" w:color="auto"/>
        <w:right w:val="none" w:sz="0" w:space="0" w:color="auto"/>
      </w:divBdr>
    </w:div>
    <w:div w:id="1190875618">
      <w:bodyDiv w:val="1"/>
      <w:marLeft w:val="0"/>
      <w:marRight w:val="0"/>
      <w:marTop w:val="0"/>
      <w:marBottom w:val="0"/>
      <w:divBdr>
        <w:top w:val="none" w:sz="0" w:space="0" w:color="auto"/>
        <w:left w:val="none" w:sz="0" w:space="0" w:color="auto"/>
        <w:bottom w:val="none" w:sz="0" w:space="0" w:color="auto"/>
        <w:right w:val="none" w:sz="0" w:space="0" w:color="auto"/>
      </w:divBdr>
    </w:div>
    <w:div w:id="1191146854">
      <w:bodyDiv w:val="1"/>
      <w:marLeft w:val="0"/>
      <w:marRight w:val="0"/>
      <w:marTop w:val="0"/>
      <w:marBottom w:val="0"/>
      <w:divBdr>
        <w:top w:val="none" w:sz="0" w:space="0" w:color="auto"/>
        <w:left w:val="none" w:sz="0" w:space="0" w:color="auto"/>
        <w:bottom w:val="none" w:sz="0" w:space="0" w:color="auto"/>
        <w:right w:val="none" w:sz="0" w:space="0" w:color="auto"/>
      </w:divBdr>
    </w:div>
    <w:div w:id="1191258535">
      <w:bodyDiv w:val="1"/>
      <w:marLeft w:val="0"/>
      <w:marRight w:val="0"/>
      <w:marTop w:val="0"/>
      <w:marBottom w:val="0"/>
      <w:divBdr>
        <w:top w:val="none" w:sz="0" w:space="0" w:color="auto"/>
        <w:left w:val="none" w:sz="0" w:space="0" w:color="auto"/>
        <w:bottom w:val="none" w:sz="0" w:space="0" w:color="auto"/>
        <w:right w:val="none" w:sz="0" w:space="0" w:color="auto"/>
      </w:divBdr>
    </w:div>
    <w:div w:id="1191340836">
      <w:bodyDiv w:val="1"/>
      <w:marLeft w:val="0"/>
      <w:marRight w:val="0"/>
      <w:marTop w:val="0"/>
      <w:marBottom w:val="0"/>
      <w:divBdr>
        <w:top w:val="none" w:sz="0" w:space="0" w:color="auto"/>
        <w:left w:val="none" w:sz="0" w:space="0" w:color="auto"/>
        <w:bottom w:val="none" w:sz="0" w:space="0" w:color="auto"/>
        <w:right w:val="none" w:sz="0" w:space="0" w:color="auto"/>
      </w:divBdr>
    </w:div>
    <w:div w:id="1191380035">
      <w:bodyDiv w:val="1"/>
      <w:marLeft w:val="0"/>
      <w:marRight w:val="0"/>
      <w:marTop w:val="0"/>
      <w:marBottom w:val="0"/>
      <w:divBdr>
        <w:top w:val="none" w:sz="0" w:space="0" w:color="auto"/>
        <w:left w:val="none" w:sz="0" w:space="0" w:color="auto"/>
        <w:bottom w:val="none" w:sz="0" w:space="0" w:color="auto"/>
        <w:right w:val="none" w:sz="0" w:space="0" w:color="auto"/>
      </w:divBdr>
    </w:div>
    <w:div w:id="1191380390">
      <w:bodyDiv w:val="1"/>
      <w:marLeft w:val="0"/>
      <w:marRight w:val="0"/>
      <w:marTop w:val="0"/>
      <w:marBottom w:val="0"/>
      <w:divBdr>
        <w:top w:val="none" w:sz="0" w:space="0" w:color="auto"/>
        <w:left w:val="none" w:sz="0" w:space="0" w:color="auto"/>
        <w:bottom w:val="none" w:sz="0" w:space="0" w:color="auto"/>
        <w:right w:val="none" w:sz="0" w:space="0" w:color="auto"/>
      </w:divBdr>
    </w:div>
    <w:div w:id="1191451108">
      <w:bodyDiv w:val="1"/>
      <w:marLeft w:val="0"/>
      <w:marRight w:val="0"/>
      <w:marTop w:val="0"/>
      <w:marBottom w:val="0"/>
      <w:divBdr>
        <w:top w:val="none" w:sz="0" w:space="0" w:color="auto"/>
        <w:left w:val="none" w:sz="0" w:space="0" w:color="auto"/>
        <w:bottom w:val="none" w:sz="0" w:space="0" w:color="auto"/>
        <w:right w:val="none" w:sz="0" w:space="0" w:color="auto"/>
      </w:divBdr>
    </w:div>
    <w:div w:id="1191605917">
      <w:bodyDiv w:val="1"/>
      <w:marLeft w:val="0"/>
      <w:marRight w:val="0"/>
      <w:marTop w:val="0"/>
      <w:marBottom w:val="0"/>
      <w:divBdr>
        <w:top w:val="none" w:sz="0" w:space="0" w:color="auto"/>
        <w:left w:val="none" w:sz="0" w:space="0" w:color="auto"/>
        <w:bottom w:val="none" w:sz="0" w:space="0" w:color="auto"/>
        <w:right w:val="none" w:sz="0" w:space="0" w:color="auto"/>
      </w:divBdr>
    </w:div>
    <w:div w:id="1191646937">
      <w:bodyDiv w:val="1"/>
      <w:marLeft w:val="0"/>
      <w:marRight w:val="0"/>
      <w:marTop w:val="0"/>
      <w:marBottom w:val="0"/>
      <w:divBdr>
        <w:top w:val="none" w:sz="0" w:space="0" w:color="auto"/>
        <w:left w:val="none" w:sz="0" w:space="0" w:color="auto"/>
        <w:bottom w:val="none" w:sz="0" w:space="0" w:color="auto"/>
        <w:right w:val="none" w:sz="0" w:space="0" w:color="auto"/>
      </w:divBdr>
    </w:div>
    <w:div w:id="1191719318">
      <w:bodyDiv w:val="1"/>
      <w:marLeft w:val="0"/>
      <w:marRight w:val="0"/>
      <w:marTop w:val="0"/>
      <w:marBottom w:val="0"/>
      <w:divBdr>
        <w:top w:val="none" w:sz="0" w:space="0" w:color="auto"/>
        <w:left w:val="none" w:sz="0" w:space="0" w:color="auto"/>
        <w:bottom w:val="none" w:sz="0" w:space="0" w:color="auto"/>
        <w:right w:val="none" w:sz="0" w:space="0" w:color="auto"/>
      </w:divBdr>
    </w:div>
    <w:div w:id="1191796747">
      <w:bodyDiv w:val="1"/>
      <w:marLeft w:val="0"/>
      <w:marRight w:val="0"/>
      <w:marTop w:val="0"/>
      <w:marBottom w:val="0"/>
      <w:divBdr>
        <w:top w:val="none" w:sz="0" w:space="0" w:color="auto"/>
        <w:left w:val="none" w:sz="0" w:space="0" w:color="auto"/>
        <w:bottom w:val="none" w:sz="0" w:space="0" w:color="auto"/>
        <w:right w:val="none" w:sz="0" w:space="0" w:color="auto"/>
      </w:divBdr>
    </w:div>
    <w:div w:id="1191846109">
      <w:bodyDiv w:val="1"/>
      <w:marLeft w:val="0"/>
      <w:marRight w:val="0"/>
      <w:marTop w:val="0"/>
      <w:marBottom w:val="0"/>
      <w:divBdr>
        <w:top w:val="none" w:sz="0" w:space="0" w:color="auto"/>
        <w:left w:val="none" w:sz="0" w:space="0" w:color="auto"/>
        <w:bottom w:val="none" w:sz="0" w:space="0" w:color="auto"/>
        <w:right w:val="none" w:sz="0" w:space="0" w:color="auto"/>
      </w:divBdr>
    </w:div>
    <w:div w:id="1191917969">
      <w:bodyDiv w:val="1"/>
      <w:marLeft w:val="0"/>
      <w:marRight w:val="0"/>
      <w:marTop w:val="0"/>
      <w:marBottom w:val="0"/>
      <w:divBdr>
        <w:top w:val="none" w:sz="0" w:space="0" w:color="auto"/>
        <w:left w:val="none" w:sz="0" w:space="0" w:color="auto"/>
        <w:bottom w:val="none" w:sz="0" w:space="0" w:color="auto"/>
        <w:right w:val="none" w:sz="0" w:space="0" w:color="auto"/>
      </w:divBdr>
    </w:div>
    <w:div w:id="1191920368">
      <w:bodyDiv w:val="1"/>
      <w:marLeft w:val="0"/>
      <w:marRight w:val="0"/>
      <w:marTop w:val="0"/>
      <w:marBottom w:val="0"/>
      <w:divBdr>
        <w:top w:val="none" w:sz="0" w:space="0" w:color="auto"/>
        <w:left w:val="none" w:sz="0" w:space="0" w:color="auto"/>
        <w:bottom w:val="none" w:sz="0" w:space="0" w:color="auto"/>
        <w:right w:val="none" w:sz="0" w:space="0" w:color="auto"/>
      </w:divBdr>
    </w:div>
    <w:div w:id="1191987459">
      <w:bodyDiv w:val="1"/>
      <w:marLeft w:val="0"/>
      <w:marRight w:val="0"/>
      <w:marTop w:val="0"/>
      <w:marBottom w:val="0"/>
      <w:divBdr>
        <w:top w:val="none" w:sz="0" w:space="0" w:color="auto"/>
        <w:left w:val="none" w:sz="0" w:space="0" w:color="auto"/>
        <w:bottom w:val="none" w:sz="0" w:space="0" w:color="auto"/>
        <w:right w:val="none" w:sz="0" w:space="0" w:color="auto"/>
      </w:divBdr>
    </w:div>
    <w:div w:id="1191988343">
      <w:bodyDiv w:val="1"/>
      <w:marLeft w:val="0"/>
      <w:marRight w:val="0"/>
      <w:marTop w:val="0"/>
      <w:marBottom w:val="0"/>
      <w:divBdr>
        <w:top w:val="none" w:sz="0" w:space="0" w:color="auto"/>
        <w:left w:val="none" w:sz="0" w:space="0" w:color="auto"/>
        <w:bottom w:val="none" w:sz="0" w:space="0" w:color="auto"/>
        <w:right w:val="none" w:sz="0" w:space="0" w:color="auto"/>
      </w:divBdr>
    </w:div>
    <w:div w:id="1192189396">
      <w:bodyDiv w:val="1"/>
      <w:marLeft w:val="0"/>
      <w:marRight w:val="0"/>
      <w:marTop w:val="0"/>
      <w:marBottom w:val="0"/>
      <w:divBdr>
        <w:top w:val="none" w:sz="0" w:space="0" w:color="auto"/>
        <w:left w:val="none" w:sz="0" w:space="0" w:color="auto"/>
        <w:bottom w:val="none" w:sz="0" w:space="0" w:color="auto"/>
        <w:right w:val="none" w:sz="0" w:space="0" w:color="auto"/>
      </w:divBdr>
    </w:div>
    <w:div w:id="1192302887">
      <w:bodyDiv w:val="1"/>
      <w:marLeft w:val="0"/>
      <w:marRight w:val="0"/>
      <w:marTop w:val="0"/>
      <w:marBottom w:val="0"/>
      <w:divBdr>
        <w:top w:val="none" w:sz="0" w:space="0" w:color="auto"/>
        <w:left w:val="none" w:sz="0" w:space="0" w:color="auto"/>
        <w:bottom w:val="none" w:sz="0" w:space="0" w:color="auto"/>
        <w:right w:val="none" w:sz="0" w:space="0" w:color="auto"/>
      </w:divBdr>
    </w:div>
    <w:div w:id="1192500121">
      <w:bodyDiv w:val="1"/>
      <w:marLeft w:val="0"/>
      <w:marRight w:val="0"/>
      <w:marTop w:val="0"/>
      <w:marBottom w:val="0"/>
      <w:divBdr>
        <w:top w:val="none" w:sz="0" w:space="0" w:color="auto"/>
        <w:left w:val="none" w:sz="0" w:space="0" w:color="auto"/>
        <w:bottom w:val="none" w:sz="0" w:space="0" w:color="auto"/>
        <w:right w:val="none" w:sz="0" w:space="0" w:color="auto"/>
      </w:divBdr>
    </w:div>
    <w:div w:id="1192643383">
      <w:bodyDiv w:val="1"/>
      <w:marLeft w:val="0"/>
      <w:marRight w:val="0"/>
      <w:marTop w:val="0"/>
      <w:marBottom w:val="0"/>
      <w:divBdr>
        <w:top w:val="none" w:sz="0" w:space="0" w:color="auto"/>
        <w:left w:val="none" w:sz="0" w:space="0" w:color="auto"/>
        <w:bottom w:val="none" w:sz="0" w:space="0" w:color="auto"/>
        <w:right w:val="none" w:sz="0" w:space="0" w:color="auto"/>
      </w:divBdr>
    </w:div>
    <w:div w:id="1192647477">
      <w:bodyDiv w:val="1"/>
      <w:marLeft w:val="0"/>
      <w:marRight w:val="0"/>
      <w:marTop w:val="0"/>
      <w:marBottom w:val="0"/>
      <w:divBdr>
        <w:top w:val="none" w:sz="0" w:space="0" w:color="auto"/>
        <w:left w:val="none" w:sz="0" w:space="0" w:color="auto"/>
        <w:bottom w:val="none" w:sz="0" w:space="0" w:color="auto"/>
        <w:right w:val="none" w:sz="0" w:space="0" w:color="auto"/>
      </w:divBdr>
    </w:div>
    <w:div w:id="1192651003">
      <w:bodyDiv w:val="1"/>
      <w:marLeft w:val="0"/>
      <w:marRight w:val="0"/>
      <w:marTop w:val="0"/>
      <w:marBottom w:val="0"/>
      <w:divBdr>
        <w:top w:val="none" w:sz="0" w:space="0" w:color="auto"/>
        <w:left w:val="none" w:sz="0" w:space="0" w:color="auto"/>
        <w:bottom w:val="none" w:sz="0" w:space="0" w:color="auto"/>
        <w:right w:val="none" w:sz="0" w:space="0" w:color="auto"/>
      </w:divBdr>
    </w:div>
    <w:div w:id="1192761033">
      <w:bodyDiv w:val="1"/>
      <w:marLeft w:val="0"/>
      <w:marRight w:val="0"/>
      <w:marTop w:val="0"/>
      <w:marBottom w:val="0"/>
      <w:divBdr>
        <w:top w:val="none" w:sz="0" w:space="0" w:color="auto"/>
        <w:left w:val="none" w:sz="0" w:space="0" w:color="auto"/>
        <w:bottom w:val="none" w:sz="0" w:space="0" w:color="auto"/>
        <w:right w:val="none" w:sz="0" w:space="0" w:color="auto"/>
      </w:divBdr>
    </w:div>
    <w:div w:id="1192764238">
      <w:bodyDiv w:val="1"/>
      <w:marLeft w:val="0"/>
      <w:marRight w:val="0"/>
      <w:marTop w:val="0"/>
      <w:marBottom w:val="0"/>
      <w:divBdr>
        <w:top w:val="none" w:sz="0" w:space="0" w:color="auto"/>
        <w:left w:val="none" w:sz="0" w:space="0" w:color="auto"/>
        <w:bottom w:val="none" w:sz="0" w:space="0" w:color="auto"/>
        <w:right w:val="none" w:sz="0" w:space="0" w:color="auto"/>
      </w:divBdr>
    </w:div>
    <w:div w:id="1192838091">
      <w:bodyDiv w:val="1"/>
      <w:marLeft w:val="0"/>
      <w:marRight w:val="0"/>
      <w:marTop w:val="0"/>
      <w:marBottom w:val="0"/>
      <w:divBdr>
        <w:top w:val="none" w:sz="0" w:space="0" w:color="auto"/>
        <w:left w:val="none" w:sz="0" w:space="0" w:color="auto"/>
        <w:bottom w:val="none" w:sz="0" w:space="0" w:color="auto"/>
        <w:right w:val="none" w:sz="0" w:space="0" w:color="auto"/>
      </w:divBdr>
    </w:div>
    <w:div w:id="1192842646">
      <w:bodyDiv w:val="1"/>
      <w:marLeft w:val="0"/>
      <w:marRight w:val="0"/>
      <w:marTop w:val="0"/>
      <w:marBottom w:val="0"/>
      <w:divBdr>
        <w:top w:val="none" w:sz="0" w:space="0" w:color="auto"/>
        <w:left w:val="none" w:sz="0" w:space="0" w:color="auto"/>
        <w:bottom w:val="none" w:sz="0" w:space="0" w:color="auto"/>
        <w:right w:val="none" w:sz="0" w:space="0" w:color="auto"/>
      </w:divBdr>
    </w:div>
    <w:div w:id="1192845241">
      <w:bodyDiv w:val="1"/>
      <w:marLeft w:val="0"/>
      <w:marRight w:val="0"/>
      <w:marTop w:val="0"/>
      <w:marBottom w:val="0"/>
      <w:divBdr>
        <w:top w:val="none" w:sz="0" w:space="0" w:color="auto"/>
        <w:left w:val="none" w:sz="0" w:space="0" w:color="auto"/>
        <w:bottom w:val="none" w:sz="0" w:space="0" w:color="auto"/>
        <w:right w:val="none" w:sz="0" w:space="0" w:color="auto"/>
      </w:divBdr>
    </w:div>
    <w:div w:id="1192911077">
      <w:bodyDiv w:val="1"/>
      <w:marLeft w:val="0"/>
      <w:marRight w:val="0"/>
      <w:marTop w:val="0"/>
      <w:marBottom w:val="0"/>
      <w:divBdr>
        <w:top w:val="none" w:sz="0" w:space="0" w:color="auto"/>
        <w:left w:val="none" w:sz="0" w:space="0" w:color="auto"/>
        <w:bottom w:val="none" w:sz="0" w:space="0" w:color="auto"/>
        <w:right w:val="none" w:sz="0" w:space="0" w:color="auto"/>
      </w:divBdr>
    </w:div>
    <w:div w:id="1192912214">
      <w:bodyDiv w:val="1"/>
      <w:marLeft w:val="0"/>
      <w:marRight w:val="0"/>
      <w:marTop w:val="0"/>
      <w:marBottom w:val="0"/>
      <w:divBdr>
        <w:top w:val="none" w:sz="0" w:space="0" w:color="auto"/>
        <w:left w:val="none" w:sz="0" w:space="0" w:color="auto"/>
        <w:bottom w:val="none" w:sz="0" w:space="0" w:color="auto"/>
        <w:right w:val="none" w:sz="0" w:space="0" w:color="auto"/>
      </w:divBdr>
    </w:div>
    <w:div w:id="1192918714">
      <w:bodyDiv w:val="1"/>
      <w:marLeft w:val="0"/>
      <w:marRight w:val="0"/>
      <w:marTop w:val="0"/>
      <w:marBottom w:val="0"/>
      <w:divBdr>
        <w:top w:val="none" w:sz="0" w:space="0" w:color="auto"/>
        <w:left w:val="none" w:sz="0" w:space="0" w:color="auto"/>
        <w:bottom w:val="none" w:sz="0" w:space="0" w:color="auto"/>
        <w:right w:val="none" w:sz="0" w:space="0" w:color="auto"/>
      </w:divBdr>
    </w:div>
    <w:div w:id="1192958577">
      <w:bodyDiv w:val="1"/>
      <w:marLeft w:val="0"/>
      <w:marRight w:val="0"/>
      <w:marTop w:val="0"/>
      <w:marBottom w:val="0"/>
      <w:divBdr>
        <w:top w:val="none" w:sz="0" w:space="0" w:color="auto"/>
        <w:left w:val="none" w:sz="0" w:space="0" w:color="auto"/>
        <w:bottom w:val="none" w:sz="0" w:space="0" w:color="auto"/>
        <w:right w:val="none" w:sz="0" w:space="0" w:color="auto"/>
      </w:divBdr>
    </w:div>
    <w:div w:id="1193156677">
      <w:bodyDiv w:val="1"/>
      <w:marLeft w:val="0"/>
      <w:marRight w:val="0"/>
      <w:marTop w:val="0"/>
      <w:marBottom w:val="0"/>
      <w:divBdr>
        <w:top w:val="none" w:sz="0" w:space="0" w:color="auto"/>
        <w:left w:val="none" w:sz="0" w:space="0" w:color="auto"/>
        <w:bottom w:val="none" w:sz="0" w:space="0" w:color="auto"/>
        <w:right w:val="none" w:sz="0" w:space="0" w:color="auto"/>
      </w:divBdr>
    </w:div>
    <w:div w:id="1193297777">
      <w:bodyDiv w:val="1"/>
      <w:marLeft w:val="0"/>
      <w:marRight w:val="0"/>
      <w:marTop w:val="0"/>
      <w:marBottom w:val="0"/>
      <w:divBdr>
        <w:top w:val="none" w:sz="0" w:space="0" w:color="auto"/>
        <w:left w:val="none" w:sz="0" w:space="0" w:color="auto"/>
        <w:bottom w:val="none" w:sz="0" w:space="0" w:color="auto"/>
        <w:right w:val="none" w:sz="0" w:space="0" w:color="auto"/>
      </w:divBdr>
    </w:div>
    <w:div w:id="1193298661">
      <w:bodyDiv w:val="1"/>
      <w:marLeft w:val="0"/>
      <w:marRight w:val="0"/>
      <w:marTop w:val="0"/>
      <w:marBottom w:val="0"/>
      <w:divBdr>
        <w:top w:val="none" w:sz="0" w:space="0" w:color="auto"/>
        <w:left w:val="none" w:sz="0" w:space="0" w:color="auto"/>
        <w:bottom w:val="none" w:sz="0" w:space="0" w:color="auto"/>
        <w:right w:val="none" w:sz="0" w:space="0" w:color="auto"/>
      </w:divBdr>
    </w:div>
    <w:div w:id="1193374743">
      <w:bodyDiv w:val="1"/>
      <w:marLeft w:val="0"/>
      <w:marRight w:val="0"/>
      <w:marTop w:val="0"/>
      <w:marBottom w:val="0"/>
      <w:divBdr>
        <w:top w:val="none" w:sz="0" w:space="0" w:color="auto"/>
        <w:left w:val="none" w:sz="0" w:space="0" w:color="auto"/>
        <w:bottom w:val="none" w:sz="0" w:space="0" w:color="auto"/>
        <w:right w:val="none" w:sz="0" w:space="0" w:color="auto"/>
      </w:divBdr>
    </w:div>
    <w:div w:id="1193573392">
      <w:bodyDiv w:val="1"/>
      <w:marLeft w:val="0"/>
      <w:marRight w:val="0"/>
      <w:marTop w:val="0"/>
      <w:marBottom w:val="0"/>
      <w:divBdr>
        <w:top w:val="none" w:sz="0" w:space="0" w:color="auto"/>
        <w:left w:val="none" w:sz="0" w:space="0" w:color="auto"/>
        <w:bottom w:val="none" w:sz="0" w:space="0" w:color="auto"/>
        <w:right w:val="none" w:sz="0" w:space="0" w:color="auto"/>
      </w:divBdr>
    </w:div>
    <w:div w:id="1193613200">
      <w:bodyDiv w:val="1"/>
      <w:marLeft w:val="0"/>
      <w:marRight w:val="0"/>
      <w:marTop w:val="0"/>
      <w:marBottom w:val="0"/>
      <w:divBdr>
        <w:top w:val="none" w:sz="0" w:space="0" w:color="auto"/>
        <w:left w:val="none" w:sz="0" w:space="0" w:color="auto"/>
        <w:bottom w:val="none" w:sz="0" w:space="0" w:color="auto"/>
        <w:right w:val="none" w:sz="0" w:space="0" w:color="auto"/>
      </w:divBdr>
    </w:div>
    <w:div w:id="1193687377">
      <w:bodyDiv w:val="1"/>
      <w:marLeft w:val="0"/>
      <w:marRight w:val="0"/>
      <w:marTop w:val="0"/>
      <w:marBottom w:val="0"/>
      <w:divBdr>
        <w:top w:val="none" w:sz="0" w:space="0" w:color="auto"/>
        <w:left w:val="none" w:sz="0" w:space="0" w:color="auto"/>
        <w:bottom w:val="none" w:sz="0" w:space="0" w:color="auto"/>
        <w:right w:val="none" w:sz="0" w:space="0" w:color="auto"/>
      </w:divBdr>
    </w:div>
    <w:div w:id="1193687764">
      <w:bodyDiv w:val="1"/>
      <w:marLeft w:val="0"/>
      <w:marRight w:val="0"/>
      <w:marTop w:val="0"/>
      <w:marBottom w:val="0"/>
      <w:divBdr>
        <w:top w:val="none" w:sz="0" w:space="0" w:color="auto"/>
        <w:left w:val="none" w:sz="0" w:space="0" w:color="auto"/>
        <w:bottom w:val="none" w:sz="0" w:space="0" w:color="auto"/>
        <w:right w:val="none" w:sz="0" w:space="0" w:color="auto"/>
      </w:divBdr>
    </w:div>
    <w:div w:id="1193688088">
      <w:bodyDiv w:val="1"/>
      <w:marLeft w:val="0"/>
      <w:marRight w:val="0"/>
      <w:marTop w:val="0"/>
      <w:marBottom w:val="0"/>
      <w:divBdr>
        <w:top w:val="none" w:sz="0" w:space="0" w:color="auto"/>
        <w:left w:val="none" w:sz="0" w:space="0" w:color="auto"/>
        <w:bottom w:val="none" w:sz="0" w:space="0" w:color="auto"/>
        <w:right w:val="none" w:sz="0" w:space="0" w:color="auto"/>
      </w:divBdr>
    </w:div>
    <w:div w:id="1193835788">
      <w:bodyDiv w:val="1"/>
      <w:marLeft w:val="0"/>
      <w:marRight w:val="0"/>
      <w:marTop w:val="0"/>
      <w:marBottom w:val="0"/>
      <w:divBdr>
        <w:top w:val="none" w:sz="0" w:space="0" w:color="auto"/>
        <w:left w:val="none" w:sz="0" w:space="0" w:color="auto"/>
        <w:bottom w:val="none" w:sz="0" w:space="0" w:color="auto"/>
        <w:right w:val="none" w:sz="0" w:space="0" w:color="auto"/>
      </w:divBdr>
    </w:div>
    <w:div w:id="1193835936">
      <w:bodyDiv w:val="1"/>
      <w:marLeft w:val="0"/>
      <w:marRight w:val="0"/>
      <w:marTop w:val="0"/>
      <w:marBottom w:val="0"/>
      <w:divBdr>
        <w:top w:val="none" w:sz="0" w:space="0" w:color="auto"/>
        <w:left w:val="none" w:sz="0" w:space="0" w:color="auto"/>
        <w:bottom w:val="none" w:sz="0" w:space="0" w:color="auto"/>
        <w:right w:val="none" w:sz="0" w:space="0" w:color="auto"/>
      </w:divBdr>
    </w:div>
    <w:div w:id="1193955100">
      <w:bodyDiv w:val="1"/>
      <w:marLeft w:val="0"/>
      <w:marRight w:val="0"/>
      <w:marTop w:val="0"/>
      <w:marBottom w:val="0"/>
      <w:divBdr>
        <w:top w:val="none" w:sz="0" w:space="0" w:color="auto"/>
        <w:left w:val="none" w:sz="0" w:space="0" w:color="auto"/>
        <w:bottom w:val="none" w:sz="0" w:space="0" w:color="auto"/>
        <w:right w:val="none" w:sz="0" w:space="0" w:color="auto"/>
      </w:divBdr>
    </w:div>
    <w:div w:id="1193955837">
      <w:bodyDiv w:val="1"/>
      <w:marLeft w:val="0"/>
      <w:marRight w:val="0"/>
      <w:marTop w:val="0"/>
      <w:marBottom w:val="0"/>
      <w:divBdr>
        <w:top w:val="none" w:sz="0" w:space="0" w:color="auto"/>
        <w:left w:val="none" w:sz="0" w:space="0" w:color="auto"/>
        <w:bottom w:val="none" w:sz="0" w:space="0" w:color="auto"/>
        <w:right w:val="none" w:sz="0" w:space="0" w:color="auto"/>
      </w:divBdr>
    </w:div>
    <w:div w:id="1193955924">
      <w:bodyDiv w:val="1"/>
      <w:marLeft w:val="0"/>
      <w:marRight w:val="0"/>
      <w:marTop w:val="0"/>
      <w:marBottom w:val="0"/>
      <w:divBdr>
        <w:top w:val="none" w:sz="0" w:space="0" w:color="auto"/>
        <w:left w:val="none" w:sz="0" w:space="0" w:color="auto"/>
        <w:bottom w:val="none" w:sz="0" w:space="0" w:color="auto"/>
        <w:right w:val="none" w:sz="0" w:space="0" w:color="auto"/>
      </w:divBdr>
    </w:div>
    <w:div w:id="1194147170">
      <w:bodyDiv w:val="1"/>
      <w:marLeft w:val="0"/>
      <w:marRight w:val="0"/>
      <w:marTop w:val="0"/>
      <w:marBottom w:val="0"/>
      <w:divBdr>
        <w:top w:val="none" w:sz="0" w:space="0" w:color="auto"/>
        <w:left w:val="none" w:sz="0" w:space="0" w:color="auto"/>
        <w:bottom w:val="none" w:sz="0" w:space="0" w:color="auto"/>
        <w:right w:val="none" w:sz="0" w:space="0" w:color="auto"/>
      </w:divBdr>
    </w:div>
    <w:div w:id="1194268390">
      <w:bodyDiv w:val="1"/>
      <w:marLeft w:val="0"/>
      <w:marRight w:val="0"/>
      <w:marTop w:val="0"/>
      <w:marBottom w:val="0"/>
      <w:divBdr>
        <w:top w:val="none" w:sz="0" w:space="0" w:color="auto"/>
        <w:left w:val="none" w:sz="0" w:space="0" w:color="auto"/>
        <w:bottom w:val="none" w:sz="0" w:space="0" w:color="auto"/>
        <w:right w:val="none" w:sz="0" w:space="0" w:color="auto"/>
      </w:divBdr>
    </w:div>
    <w:div w:id="1194273777">
      <w:bodyDiv w:val="1"/>
      <w:marLeft w:val="0"/>
      <w:marRight w:val="0"/>
      <w:marTop w:val="0"/>
      <w:marBottom w:val="0"/>
      <w:divBdr>
        <w:top w:val="none" w:sz="0" w:space="0" w:color="auto"/>
        <w:left w:val="none" w:sz="0" w:space="0" w:color="auto"/>
        <w:bottom w:val="none" w:sz="0" w:space="0" w:color="auto"/>
        <w:right w:val="none" w:sz="0" w:space="0" w:color="auto"/>
      </w:divBdr>
    </w:div>
    <w:div w:id="1194464315">
      <w:bodyDiv w:val="1"/>
      <w:marLeft w:val="0"/>
      <w:marRight w:val="0"/>
      <w:marTop w:val="0"/>
      <w:marBottom w:val="0"/>
      <w:divBdr>
        <w:top w:val="none" w:sz="0" w:space="0" w:color="auto"/>
        <w:left w:val="none" w:sz="0" w:space="0" w:color="auto"/>
        <w:bottom w:val="none" w:sz="0" w:space="0" w:color="auto"/>
        <w:right w:val="none" w:sz="0" w:space="0" w:color="auto"/>
      </w:divBdr>
    </w:div>
    <w:div w:id="1194491111">
      <w:bodyDiv w:val="1"/>
      <w:marLeft w:val="0"/>
      <w:marRight w:val="0"/>
      <w:marTop w:val="0"/>
      <w:marBottom w:val="0"/>
      <w:divBdr>
        <w:top w:val="none" w:sz="0" w:space="0" w:color="auto"/>
        <w:left w:val="none" w:sz="0" w:space="0" w:color="auto"/>
        <w:bottom w:val="none" w:sz="0" w:space="0" w:color="auto"/>
        <w:right w:val="none" w:sz="0" w:space="0" w:color="auto"/>
      </w:divBdr>
    </w:div>
    <w:div w:id="1194610412">
      <w:bodyDiv w:val="1"/>
      <w:marLeft w:val="0"/>
      <w:marRight w:val="0"/>
      <w:marTop w:val="0"/>
      <w:marBottom w:val="0"/>
      <w:divBdr>
        <w:top w:val="none" w:sz="0" w:space="0" w:color="auto"/>
        <w:left w:val="none" w:sz="0" w:space="0" w:color="auto"/>
        <w:bottom w:val="none" w:sz="0" w:space="0" w:color="auto"/>
        <w:right w:val="none" w:sz="0" w:space="0" w:color="auto"/>
      </w:divBdr>
    </w:div>
    <w:div w:id="1194655906">
      <w:bodyDiv w:val="1"/>
      <w:marLeft w:val="0"/>
      <w:marRight w:val="0"/>
      <w:marTop w:val="0"/>
      <w:marBottom w:val="0"/>
      <w:divBdr>
        <w:top w:val="none" w:sz="0" w:space="0" w:color="auto"/>
        <w:left w:val="none" w:sz="0" w:space="0" w:color="auto"/>
        <w:bottom w:val="none" w:sz="0" w:space="0" w:color="auto"/>
        <w:right w:val="none" w:sz="0" w:space="0" w:color="auto"/>
      </w:divBdr>
    </w:div>
    <w:div w:id="1194882801">
      <w:bodyDiv w:val="1"/>
      <w:marLeft w:val="0"/>
      <w:marRight w:val="0"/>
      <w:marTop w:val="0"/>
      <w:marBottom w:val="0"/>
      <w:divBdr>
        <w:top w:val="none" w:sz="0" w:space="0" w:color="auto"/>
        <w:left w:val="none" w:sz="0" w:space="0" w:color="auto"/>
        <w:bottom w:val="none" w:sz="0" w:space="0" w:color="auto"/>
        <w:right w:val="none" w:sz="0" w:space="0" w:color="auto"/>
      </w:divBdr>
    </w:div>
    <w:div w:id="1194920824">
      <w:bodyDiv w:val="1"/>
      <w:marLeft w:val="0"/>
      <w:marRight w:val="0"/>
      <w:marTop w:val="0"/>
      <w:marBottom w:val="0"/>
      <w:divBdr>
        <w:top w:val="none" w:sz="0" w:space="0" w:color="auto"/>
        <w:left w:val="none" w:sz="0" w:space="0" w:color="auto"/>
        <w:bottom w:val="none" w:sz="0" w:space="0" w:color="auto"/>
        <w:right w:val="none" w:sz="0" w:space="0" w:color="auto"/>
      </w:divBdr>
    </w:div>
    <w:div w:id="1194925884">
      <w:bodyDiv w:val="1"/>
      <w:marLeft w:val="0"/>
      <w:marRight w:val="0"/>
      <w:marTop w:val="0"/>
      <w:marBottom w:val="0"/>
      <w:divBdr>
        <w:top w:val="none" w:sz="0" w:space="0" w:color="auto"/>
        <w:left w:val="none" w:sz="0" w:space="0" w:color="auto"/>
        <w:bottom w:val="none" w:sz="0" w:space="0" w:color="auto"/>
        <w:right w:val="none" w:sz="0" w:space="0" w:color="auto"/>
      </w:divBdr>
    </w:div>
    <w:div w:id="1195001040">
      <w:bodyDiv w:val="1"/>
      <w:marLeft w:val="0"/>
      <w:marRight w:val="0"/>
      <w:marTop w:val="0"/>
      <w:marBottom w:val="0"/>
      <w:divBdr>
        <w:top w:val="none" w:sz="0" w:space="0" w:color="auto"/>
        <w:left w:val="none" w:sz="0" w:space="0" w:color="auto"/>
        <w:bottom w:val="none" w:sz="0" w:space="0" w:color="auto"/>
        <w:right w:val="none" w:sz="0" w:space="0" w:color="auto"/>
      </w:divBdr>
    </w:div>
    <w:div w:id="1195003016">
      <w:bodyDiv w:val="1"/>
      <w:marLeft w:val="0"/>
      <w:marRight w:val="0"/>
      <w:marTop w:val="0"/>
      <w:marBottom w:val="0"/>
      <w:divBdr>
        <w:top w:val="none" w:sz="0" w:space="0" w:color="auto"/>
        <w:left w:val="none" w:sz="0" w:space="0" w:color="auto"/>
        <w:bottom w:val="none" w:sz="0" w:space="0" w:color="auto"/>
        <w:right w:val="none" w:sz="0" w:space="0" w:color="auto"/>
      </w:divBdr>
    </w:div>
    <w:div w:id="1195073556">
      <w:bodyDiv w:val="1"/>
      <w:marLeft w:val="0"/>
      <w:marRight w:val="0"/>
      <w:marTop w:val="0"/>
      <w:marBottom w:val="0"/>
      <w:divBdr>
        <w:top w:val="none" w:sz="0" w:space="0" w:color="auto"/>
        <w:left w:val="none" w:sz="0" w:space="0" w:color="auto"/>
        <w:bottom w:val="none" w:sz="0" w:space="0" w:color="auto"/>
        <w:right w:val="none" w:sz="0" w:space="0" w:color="auto"/>
      </w:divBdr>
    </w:div>
    <w:div w:id="1195074689">
      <w:bodyDiv w:val="1"/>
      <w:marLeft w:val="0"/>
      <w:marRight w:val="0"/>
      <w:marTop w:val="0"/>
      <w:marBottom w:val="0"/>
      <w:divBdr>
        <w:top w:val="none" w:sz="0" w:space="0" w:color="auto"/>
        <w:left w:val="none" w:sz="0" w:space="0" w:color="auto"/>
        <w:bottom w:val="none" w:sz="0" w:space="0" w:color="auto"/>
        <w:right w:val="none" w:sz="0" w:space="0" w:color="auto"/>
      </w:divBdr>
    </w:div>
    <w:div w:id="1195314444">
      <w:bodyDiv w:val="1"/>
      <w:marLeft w:val="0"/>
      <w:marRight w:val="0"/>
      <w:marTop w:val="0"/>
      <w:marBottom w:val="0"/>
      <w:divBdr>
        <w:top w:val="none" w:sz="0" w:space="0" w:color="auto"/>
        <w:left w:val="none" w:sz="0" w:space="0" w:color="auto"/>
        <w:bottom w:val="none" w:sz="0" w:space="0" w:color="auto"/>
        <w:right w:val="none" w:sz="0" w:space="0" w:color="auto"/>
      </w:divBdr>
    </w:div>
    <w:div w:id="1195537735">
      <w:bodyDiv w:val="1"/>
      <w:marLeft w:val="0"/>
      <w:marRight w:val="0"/>
      <w:marTop w:val="0"/>
      <w:marBottom w:val="0"/>
      <w:divBdr>
        <w:top w:val="none" w:sz="0" w:space="0" w:color="auto"/>
        <w:left w:val="none" w:sz="0" w:space="0" w:color="auto"/>
        <w:bottom w:val="none" w:sz="0" w:space="0" w:color="auto"/>
        <w:right w:val="none" w:sz="0" w:space="0" w:color="auto"/>
      </w:divBdr>
    </w:div>
    <w:div w:id="1195538818">
      <w:bodyDiv w:val="1"/>
      <w:marLeft w:val="0"/>
      <w:marRight w:val="0"/>
      <w:marTop w:val="0"/>
      <w:marBottom w:val="0"/>
      <w:divBdr>
        <w:top w:val="none" w:sz="0" w:space="0" w:color="auto"/>
        <w:left w:val="none" w:sz="0" w:space="0" w:color="auto"/>
        <w:bottom w:val="none" w:sz="0" w:space="0" w:color="auto"/>
        <w:right w:val="none" w:sz="0" w:space="0" w:color="auto"/>
      </w:divBdr>
    </w:div>
    <w:div w:id="1195654021">
      <w:bodyDiv w:val="1"/>
      <w:marLeft w:val="0"/>
      <w:marRight w:val="0"/>
      <w:marTop w:val="0"/>
      <w:marBottom w:val="0"/>
      <w:divBdr>
        <w:top w:val="none" w:sz="0" w:space="0" w:color="auto"/>
        <w:left w:val="none" w:sz="0" w:space="0" w:color="auto"/>
        <w:bottom w:val="none" w:sz="0" w:space="0" w:color="auto"/>
        <w:right w:val="none" w:sz="0" w:space="0" w:color="auto"/>
      </w:divBdr>
    </w:div>
    <w:div w:id="1195655232">
      <w:bodyDiv w:val="1"/>
      <w:marLeft w:val="0"/>
      <w:marRight w:val="0"/>
      <w:marTop w:val="0"/>
      <w:marBottom w:val="0"/>
      <w:divBdr>
        <w:top w:val="none" w:sz="0" w:space="0" w:color="auto"/>
        <w:left w:val="none" w:sz="0" w:space="0" w:color="auto"/>
        <w:bottom w:val="none" w:sz="0" w:space="0" w:color="auto"/>
        <w:right w:val="none" w:sz="0" w:space="0" w:color="auto"/>
      </w:divBdr>
    </w:div>
    <w:div w:id="1195772858">
      <w:bodyDiv w:val="1"/>
      <w:marLeft w:val="0"/>
      <w:marRight w:val="0"/>
      <w:marTop w:val="0"/>
      <w:marBottom w:val="0"/>
      <w:divBdr>
        <w:top w:val="none" w:sz="0" w:space="0" w:color="auto"/>
        <w:left w:val="none" w:sz="0" w:space="0" w:color="auto"/>
        <w:bottom w:val="none" w:sz="0" w:space="0" w:color="auto"/>
        <w:right w:val="none" w:sz="0" w:space="0" w:color="auto"/>
      </w:divBdr>
    </w:div>
    <w:div w:id="1195926266">
      <w:bodyDiv w:val="1"/>
      <w:marLeft w:val="0"/>
      <w:marRight w:val="0"/>
      <w:marTop w:val="0"/>
      <w:marBottom w:val="0"/>
      <w:divBdr>
        <w:top w:val="none" w:sz="0" w:space="0" w:color="auto"/>
        <w:left w:val="none" w:sz="0" w:space="0" w:color="auto"/>
        <w:bottom w:val="none" w:sz="0" w:space="0" w:color="auto"/>
        <w:right w:val="none" w:sz="0" w:space="0" w:color="auto"/>
      </w:divBdr>
    </w:div>
    <w:div w:id="1195997060">
      <w:bodyDiv w:val="1"/>
      <w:marLeft w:val="0"/>
      <w:marRight w:val="0"/>
      <w:marTop w:val="0"/>
      <w:marBottom w:val="0"/>
      <w:divBdr>
        <w:top w:val="none" w:sz="0" w:space="0" w:color="auto"/>
        <w:left w:val="none" w:sz="0" w:space="0" w:color="auto"/>
        <w:bottom w:val="none" w:sz="0" w:space="0" w:color="auto"/>
        <w:right w:val="none" w:sz="0" w:space="0" w:color="auto"/>
      </w:divBdr>
    </w:div>
    <w:div w:id="1195999069">
      <w:bodyDiv w:val="1"/>
      <w:marLeft w:val="0"/>
      <w:marRight w:val="0"/>
      <w:marTop w:val="0"/>
      <w:marBottom w:val="0"/>
      <w:divBdr>
        <w:top w:val="none" w:sz="0" w:space="0" w:color="auto"/>
        <w:left w:val="none" w:sz="0" w:space="0" w:color="auto"/>
        <w:bottom w:val="none" w:sz="0" w:space="0" w:color="auto"/>
        <w:right w:val="none" w:sz="0" w:space="0" w:color="auto"/>
      </w:divBdr>
    </w:div>
    <w:div w:id="1196307212">
      <w:bodyDiv w:val="1"/>
      <w:marLeft w:val="0"/>
      <w:marRight w:val="0"/>
      <w:marTop w:val="0"/>
      <w:marBottom w:val="0"/>
      <w:divBdr>
        <w:top w:val="none" w:sz="0" w:space="0" w:color="auto"/>
        <w:left w:val="none" w:sz="0" w:space="0" w:color="auto"/>
        <w:bottom w:val="none" w:sz="0" w:space="0" w:color="auto"/>
        <w:right w:val="none" w:sz="0" w:space="0" w:color="auto"/>
      </w:divBdr>
    </w:div>
    <w:div w:id="1196387711">
      <w:bodyDiv w:val="1"/>
      <w:marLeft w:val="0"/>
      <w:marRight w:val="0"/>
      <w:marTop w:val="0"/>
      <w:marBottom w:val="0"/>
      <w:divBdr>
        <w:top w:val="none" w:sz="0" w:space="0" w:color="auto"/>
        <w:left w:val="none" w:sz="0" w:space="0" w:color="auto"/>
        <w:bottom w:val="none" w:sz="0" w:space="0" w:color="auto"/>
        <w:right w:val="none" w:sz="0" w:space="0" w:color="auto"/>
      </w:divBdr>
    </w:div>
    <w:div w:id="1196506472">
      <w:bodyDiv w:val="1"/>
      <w:marLeft w:val="0"/>
      <w:marRight w:val="0"/>
      <w:marTop w:val="0"/>
      <w:marBottom w:val="0"/>
      <w:divBdr>
        <w:top w:val="none" w:sz="0" w:space="0" w:color="auto"/>
        <w:left w:val="none" w:sz="0" w:space="0" w:color="auto"/>
        <w:bottom w:val="none" w:sz="0" w:space="0" w:color="auto"/>
        <w:right w:val="none" w:sz="0" w:space="0" w:color="auto"/>
      </w:divBdr>
    </w:div>
    <w:div w:id="1196575093">
      <w:bodyDiv w:val="1"/>
      <w:marLeft w:val="0"/>
      <w:marRight w:val="0"/>
      <w:marTop w:val="0"/>
      <w:marBottom w:val="0"/>
      <w:divBdr>
        <w:top w:val="none" w:sz="0" w:space="0" w:color="auto"/>
        <w:left w:val="none" w:sz="0" w:space="0" w:color="auto"/>
        <w:bottom w:val="none" w:sz="0" w:space="0" w:color="auto"/>
        <w:right w:val="none" w:sz="0" w:space="0" w:color="auto"/>
      </w:divBdr>
    </w:div>
    <w:div w:id="1196622187">
      <w:bodyDiv w:val="1"/>
      <w:marLeft w:val="0"/>
      <w:marRight w:val="0"/>
      <w:marTop w:val="0"/>
      <w:marBottom w:val="0"/>
      <w:divBdr>
        <w:top w:val="none" w:sz="0" w:space="0" w:color="auto"/>
        <w:left w:val="none" w:sz="0" w:space="0" w:color="auto"/>
        <w:bottom w:val="none" w:sz="0" w:space="0" w:color="auto"/>
        <w:right w:val="none" w:sz="0" w:space="0" w:color="auto"/>
      </w:divBdr>
    </w:div>
    <w:div w:id="1196696677">
      <w:bodyDiv w:val="1"/>
      <w:marLeft w:val="0"/>
      <w:marRight w:val="0"/>
      <w:marTop w:val="0"/>
      <w:marBottom w:val="0"/>
      <w:divBdr>
        <w:top w:val="none" w:sz="0" w:space="0" w:color="auto"/>
        <w:left w:val="none" w:sz="0" w:space="0" w:color="auto"/>
        <w:bottom w:val="none" w:sz="0" w:space="0" w:color="auto"/>
        <w:right w:val="none" w:sz="0" w:space="0" w:color="auto"/>
      </w:divBdr>
    </w:div>
    <w:div w:id="1196969432">
      <w:bodyDiv w:val="1"/>
      <w:marLeft w:val="0"/>
      <w:marRight w:val="0"/>
      <w:marTop w:val="0"/>
      <w:marBottom w:val="0"/>
      <w:divBdr>
        <w:top w:val="none" w:sz="0" w:space="0" w:color="auto"/>
        <w:left w:val="none" w:sz="0" w:space="0" w:color="auto"/>
        <w:bottom w:val="none" w:sz="0" w:space="0" w:color="auto"/>
        <w:right w:val="none" w:sz="0" w:space="0" w:color="auto"/>
      </w:divBdr>
    </w:div>
    <w:div w:id="1197039682">
      <w:bodyDiv w:val="1"/>
      <w:marLeft w:val="0"/>
      <w:marRight w:val="0"/>
      <w:marTop w:val="0"/>
      <w:marBottom w:val="0"/>
      <w:divBdr>
        <w:top w:val="none" w:sz="0" w:space="0" w:color="auto"/>
        <w:left w:val="none" w:sz="0" w:space="0" w:color="auto"/>
        <w:bottom w:val="none" w:sz="0" w:space="0" w:color="auto"/>
        <w:right w:val="none" w:sz="0" w:space="0" w:color="auto"/>
      </w:divBdr>
    </w:div>
    <w:div w:id="1197043695">
      <w:bodyDiv w:val="1"/>
      <w:marLeft w:val="0"/>
      <w:marRight w:val="0"/>
      <w:marTop w:val="0"/>
      <w:marBottom w:val="0"/>
      <w:divBdr>
        <w:top w:val="none" w:sz="0" w:space="0" w:color="auto"/>
        <w:left w:val="none" w:sz="0" w:space="0" w:color="auto"/>
        <w:bottom w:val="none" w:sz="0" w:space="0" w:color="auto"/>
        <w:right w:val="none" w:sz="0" w:space="0" w:color="auto"/>
      </w:divBdr>
    </w:div>
    <w:div w:id="1197280075">
      <w:bodyDiv w:val="1"/>
      <w:marLeft w:val="0"/>
      <w:marRight w:val="0"/>
      <w:marTop w:val="0"/>
      <w:marBottom w:val="0"/>
      <w:divBdr>
        <w:top w:val="none" w:sz="0" w:space="0" w:color="auto"/>
        <w:left w:val="none" w:sz="0" w:space="0" w:color="auto"/>
        <w:bottom w:val="none" w:sz="0" w:space="0" w:color="auto"/>
        <w:right w:val="none" w:sz="0" w:space="0" w:color="auto"/>
      </w:divBdr>
    </w:div>
    <w:div w:id="1197304724">
      <w:bodyDiv w:val="1"/>
      <w:marLeft w:val="0"/>
      <w:marRight w:val="0"/>
      <w:marTop w:val="0"/>
      <w:marBottom w:val="0"/>
      <w:divBdr>
        <w:top w:val="none" w:sz="0" w:space="0" w:color="auto"/>
        <w:left w:val="none" w:sz="0" w:space="0" w:color="auto"/>
        <w:bottom w:val="none" w:sz="0" w:space="0" w:color="auto"/>
        <w:right w:val="none" w:sz="0" w:space="0" w:color="auto"/>
      </w:divBdr>
    </w:div>
    <w:div w:id="1197305330">
      <w:bodyDiv w:val="1"/>
      <w:marLeft w:val="0"/>
      <w:marRight w:val="0"/>
      <w:marTop w:val="0"/>
      <w:marBottom w:val="0"/>
      <w:divBdr>
        <w:top w:val="none" w:sz="0" w:space="0" w:color="auto"/>
        <w:left w:val="none" w:sz="0" w:space="0" w:color="auto"/>
        <w:bottom w:val="none" w:sz="0" w:space="0" w:color="auto"/>
        <w:right w:val="none" w:sz="0" w:space="0" w:color="auto"/>
      </w:divBdr>
    </w:div>
    <w:div w:id="1197356522">
      <w:bodyDiv w:val="1"/>
      <w:marLeft w:val="0"/>
      <w:marRight w:val="0"/>
      <w:marTop w:val="0"/>
      <w:marBottom w:val="0"/>
      <w:divBdr>
        <w:top w:val="none" w:sz="0" w:space="0" w:color="auto"/>
        <w:left w:val="none" w:sz="0" w:space="0" w:color="auto"/>
        <w:bottom w:val="none" w:sz="0" w:space="0" w:color="auto"/>
        <w:right w:val="none" w:sz="0" w:space="0" w:color="auto"/>
      </w:divBdr>
    </w:div>
    <w:div w:id="1197498017">
      <w:bodyDiv w:val="1"/>
      <w:marLeft w:val="0"/>
      <w:marRight w:val="0"/>
      <w:marTop w:val="0"/>
      <w:marBottom w:val="0"/>
      <w:divBdr>
        <w:top w:val="none" w:sz="0" w:space="0" w:color="auto"/>
        <w:left w:val="none" w:sz="0" w:space="0" w:color="auto"/>
        <w:bottom w:val="none" w:sz="0" w:space="0" w:color="auto"/>
        <w:right w:val="none" w:sz="0" w:space="0" w:color="auto"/>
      </w:divBdr>
    </w:div>
    <w:div w:id="1197545773">
      <w:bodyDiv w:val="1"/>
      <w:marLeft w:val="0"/>
      <w:marRight w:val="0"/>
      <w:marTop w:val="0"/>
      <w:marBottom w:val="0"/>
      <w:divBdr>
        <w:top w:val="none" w:sz="0" w:space="0" w:color="auto"/>
        <w:left w:val="none" w:sz="0" w:space="0" w:color="auto"/>
        <w:bottom w:val="none" w:sz="0" w:space="0" w:color="auto"/>
        <w:right w:val="none" w:sz="0" w:space="0" w:color="auto"/>
      </w:divBdr>
    </w:div>
    <w:div w:id="1197547682">
      <w:bodyDiv w:val="1"/>
      <w:marLeft w:val="0"/>
      <w:marRight w:val="0"/>
      <w:marTop w:val="0"/>
      <w:marBottom w:val="0"/>
      <w:divBdr>
        <w:top w:val="none" w:sz="0" w:space="0" w:color="auto"/>
        <w:left w:val="none" w:sz="0" w:space="0" w:color="auto"/>
        <w:bottom w:val="none" w:sz="0" w:space="0" w:color="auto"/>
        <w:right w:val="none" w:sz="0" w:space="0" w:color="auto"/>
      </w:divBdr>
    </w:div>
    <w:div w:id="1197548915">
      <w:bodyDiv w:val="1"/>
      <w:marLeft w:val="0"/>
      <w:marRight w:val="0"/>
      <w:marTop w:val="0"/>
      <w:marBottom w:val="0"/>
      <w:divBdr>
        <w:top w:val="none" w:sz="0" w:space="0" w:color="auto"/>
        <w:left w:val="none" w:sz="0" w:space="0" w:color="auto"/>
        <w:bottom w:val="none" w:sz="0" w:space="0" w:color="auto"/>
        <w:right w:val="none" w:sz="0" w:space="0" w:color="auto"/>
      </w:divBdr>
    </w:div>
    <w:div w:id="1197620098">
      <w:bodyDiv w:val="1"/>
      <w:marLeft w:val="0"/>
      <w:marRight w:val="0"/>
      <w:marTop w:val="0"/>
      <w:marBottom w:val="0"/>
      <w:divBdr>
        <w:top w:val="none" w:sz="0" w:space="0" w:color="auto"/>
        <w:left w:val="none" w:sz="0" w:space="0" w:color="auto"/>
        <w:bottom w:val="none" w:sz="0" w:space="0" w:color="auto"/>
        <w:right w:val="none" w:sz="0" w:space="0" w:color="auto"/>
      </w:divBdr>
    </w:div>
    <w:div w:id="1197623895">
      <w:bodyDiv w:val="1"/>
      <w:marLeft w:val="0"/>
      <w:marRight w:val="0"/>
      <w:marTop w:val="0"/>
      <w:marBottom w:val="0"/>
      <w:divBdr>
        <w:top w:val="none" w:sz="0" w:space="0" w:color="auto"/>
        <w:left w:val="none" w:sz="0" w:space="0" w:color="auto"/>
        <w:bottom w:val="none" w:sz="0" w:space="0" w:color="auto"/>
        <w:right w:val="none" w:sz="0" w:space="0" w:color="auto"/>
      </w:divBdr>
    </w:div>
    <w:div w:id="1197813810">
      <w:bodyDiv w:val="1"/>
      <w:marLeft w:val="0"/>
      <w:marRight w:val="0"/>
      <w:marTop w:val="0"/>
      <w:marBottom w:val="0"/>
      <w:divBdr>
        <w:top w:val="none" w:sz="0" w:space="0" w:color="auto"/>
        <w:left w:val="none" w:sz="0" w:space="0" w:color="auto"/>
        <w:bottom w:val="none" w:sz="0" w:space="0" w:color="auto"/>
        <w:right w:val="none" w:sz="0" w:space="0" w:color="auto"/>
      </w:divBdr>
    </w:div>
    <w:div w:id="1197885453">
      <w:bodyDiv w:val="1"/>
      <w:marLeft w:val="0"/>
      <w:marRight w:val="0"/>
      <w:marTop w:val="0"/>
      <w:marBottom w:val="0"/>
      <w:divBdr>
        <w:top w:val="none" w:sz="0" w:space="0" w:color="auto"/>
        <w:left w:val="none" w:sz="0" w:space="0" w:color="auto"/>
        <w:bottom w:val="none" w:sz="0" w:space="0" w:color="auto"/>
        <w:right w:val="none" w:sz="0" w:space="0" w:color="auto"/>
      </w:divBdr>
    </w:div>
    <w:div w:id="1197889962">
      <w:bodyDiv w:val="1"/>
      <w:marLeft w:val="0"/>
      <w:marRight w:val="0"/>
      <w:marTop w:val="0"/>
      <w:marBottom w:val="0"/>
      <w:divBdr>
        <w:top w:val="none" w:sz="0" w:space="0" w:color="auto"/>
        <w:left w:val="none" w:sz="0" w:space="0" w:color="auto"/>
        <w:bottom w:val="none" w:sz="0" w:space="0" w:color="auto"/>
        <w:right w:val="none" w:sz="0" w:space="0" w:color="auto"/>
      </w:divBdr>
    </w:div>
    <w:div w:id="1197935016">
      <w:bodyDiv w:val="1"/>
      <w:marLeft w:val="0"/>
      <w:marRight w:val="0"/>
      <w:marTop w:val="0"/>
      <w:marBottom w:val="0"/>
      <w:divBdr>
        <w:top w:val="none" w:sz="0" w:space="0" w:color="auto"/>
        <w:left w:val="none" w:sz="0" w:space="0" w:color="auto"/>
        <w:bottom w:val="none" w:sz="0" w:space="0" w:color="auto"/>
        <w:right w:val="none" w:sz="0" w:space="0" w:color="auto"/>
      </w:divBdr>
    </w:div>
    <w:div w:id="1198009105">
      <w:bodyDiv w:val="1"/>
      <w:marLeft w:val="0"/>
      <w:marRight w:val="0"/>
      <w:marTop w:val="0"/>
      <w:marBottom w:val="0"/>
      <w:divBdr>
        <w:top w:val="none" w:sz="0" w:space="0" w:color="auto"/>
        <w:left w:val="none" w:sz="0" w:space="0" w:color="auto"/>
        <w:bottom w:val="none" w:sz="0" w:space="0" w:color="auto"/>
        <w:right w:val="none" w:sz="0" w:space="0" w:color="auto"/>
      </w:divBdr>
    </w:div>
    <w:div w:id="1198082268">
      <w:bodyDiv w:val="1"/>
      <w:marLeft w:val="0"/>
      <w:marRight w:val="0"/>
      <w:marTop w:val="0"/>
      <w:marBottom w:val="0"/>
      <w:divBdr>
        <w:top w:val="none" w:sz="0" w:space="0" w:color="auto"/>
        <w:left w:val="none" w:sz="0" w:space="0" w:color="auto"/>
        <w:bottom w:val="none" w:sz="0" w:space="0" w:color="auto"/>
        <w:right w:val="none" w:sz="0" w:space="0" w:color="auto"/>
      </w:divBdr>
    </w:div>
    <w:div w:id="1198196737">
      <w:bodyDiv w:val="1"/>
      <w:marLeft w:val="0"/>
      <w:marRight w:val="0"/>
      <w:marTop w:val="0"/>
      <w:marBottom w:val="0"/>
      <w:divBdr>
        <w:top w:val="none" w:sz="0" w:space="0" w:color="auto"/>
        <w:left w:val="none" w:sz="0" w:space="0" w:color="auto"/>
        <w:bottom w:val="none" w:sz="0" w:space="0" w:color="auto"/>
        <w:right w:val="none" w:sz="0" w:space="0" w:color="auto"/>
      </w:divBdr>
    </w:div>
    <w:div w:id="1198271198">
      <w:bodyDiv w:val="1"/>
      <w:marLeft w:val="0"/>
      <w:marRight w:val="0"/>
      <w:marTop w:val="0"/>
      <w:marBottom w:val="0"/>
      <w:divBdr>
        <w:top w:val="none" w:sz="0" w:space="0" w:color="auto"/>
        <w:left w:val="none" w:sz="0" w:space="0" w:color="auto"/>
        <w:bottom w:val="none" w:sz="0" w:space="0" w:color="auto"/>
        <w:right w:val="none" w:sz="0" w:space="0" w:color="auto"/>
      </w:divBdr>
    </w:div>
    <w:div w:id="1198276633">
      <w:bodyDiv w:val="1"/>
      <w:marLeft w:val="0"/>
      <w:marRight w:val="0"/>
      <w:marTop w:val="0"/>
      <w:marBottom w:val="0"/>
      <w:divBdr>
        <w:top w:val="none" w:sz="0" w:space="0" w:color="auto"/>
        <w:left w:val="none" w:sz="0" w:space="0" w:color="auto"/>
        <w:bottom w:val="none" w:sz="0" w:space="0" w:color="auto"/>
        <w:right w:val="none" w:sz="0" w:space="0" w:color="auto"/>
      </w:divBdr>
    </w:div>
    <w:div w:id="1198394165">
      <w:bodyDiv w:val="1"/>
      <w:marLeft w:val="0"/>
      <w:marRight w:val="0"/>
      <w:marTop w:val="0"/>
      <w:marBottom w:val="0"/>
      <w:divBdr>
        <w:top w:val="none" w:sz="0" w:space="0" w:color="auto"/>
        <w:left w:val="none" w:sz="0" w:space="0" w:color="auto"/>
        <w:bottom w:val="none" w:sz="0" w:space="0" w:color="auto"/>
        <w:right w:val="none" w:sz="0" w:space="0" w:color="auto"/>
      </w:divBdr>
    </w:div>
    <w:div w:id="1198472010">
      <w:bodyDiv w:val="1"/>
      <w:marLeft w:val="0"/>
      <w:marRight w:val="0"/>
      <w:marTop w:val="0"/>
      <w:marBottom w:val="0"/>
      <w:divBdr>
        <w:top w:val="none" w:sz="0" w:space="0" w:color="auto"/>
        <w:left w:val="none" w:sz="0" w:space="0" w:color="auto"/>
        <w:bottom w:val="none" w:sz="0" w:space="0" w:color="auto"/>
        <w:right w:val="none" w:sz="0" w:space="0" w:color="auto"/>
      </w:divBdr>
    </w:div>
    <w:div w:id="1198739185">
      <w:bodyDiv w:val="1"/>
      <w:marLeft w:val="0"/>
      <w:marRight w:val="0"/>
      <w:marTop w:val="0"/>
      <w:marBottom w:val="0"/>
      <w:divBdr>
        <w:top w:val="none" w:sz="0" w:space="0" w:color="auto"/>
        <w:left w:val="none" w:sz="0" w:space="0" w:color="auto"/>
        <w:bottom w:val="none" w:sz="0" w:space="0" w:color="auto"/>
        <w:right w:val="none" w:sz="0" w:space="0" w:color="auto"/>
      </w:divBdr>
    </w:div>
    <w:div w:id="1198812447">
      <w:bodyDiv w:val="1"/>
      <w:marLeft w:val="0"/>
      <w:marRight w:val="0"/>
      <w:marTop w:val="0"/>
      <w:marBottom w:val="0"/>
      <w:divBdr>
        <w:top w:val="none" w:sz="0" w:space="0" w:color="auto"/>
        <w:left w:val="none" w:sz="0" w:space="0" w:color="auto"/>
        <w:bottom w:val="none" w:sz="0" w:space="0" w:color="auto"/>
        <w:right w:val="none" w:sz="0" w:space="0" w:color="auto"/>
      </w:divBdr>
    </w:div>
    <w:div w:id="1198932482">
      <w:bodyDiv w:val="1"/>
      <w:marLeft w:val="0"/>
      <w:marRight w:val="0"/>
      <w:marTop w:val="0"/>
      <w:marBottom w:val="0"/>
      <w:divBdr>
        <w:top w:val="none" w:sz="0" w:space="0" w:color="auto"/>
        <w:left w:val="none" w:sz="0" w:space="0" w:color="auto"/>
        <w:bottom w:val="none" w:sz="0" w:space="0" w:color="auto"/>
        <w:right w:val="none" w:sz="0" w:space="0" w:color="auto"/>
      </w:divBdr>
    </w:div>
    <w:div w:id="1199128184">
      <w:bodyDiv w:val="1"/>
      <w:marLeft w:val="0"/>
      <w:marRight w:val="0"/>
      <w:marTop w:val="0"/>
      <w:marBottom w:val="0"/>
      <w:divBdr>
        <w:top w:val="none" w:sz="0" w:space="0" w:color="auto"/>
        <w:left w:val="none" w:sz="0" w:space="0" w:color="auto"/>
        <w:bottom w:val="none" w:sz="0" w:space="0" w:color="auto"/>
        <w:right w:val="none" w:sz="0" w:space="0" w:color="auto"/>
      </w:divBdr>
    </w:div>
    <w:div w:id="1199322003">
      <w:bodyDiv w:val="1"/>
      <w:marLeft w:val="0"/>
      <w:marRight w:val="0"/>
      <w:marTop w:val="0"/>
      <w:marBottom w:val="0"/>
      <w:divBdr>
        <w:top w:val="none" w:sz="0" w:space="0" w:color="auto"/>
        <w:left w:val="none" w:sz="0" w:space="0" w:color="auto"/>
        <w:bottom w:val="none" w:sz="0" w:space="0" w:color="auto"/>
        <w:right w:val="none" w:sz="0" w:space="0" w:color="auto"/>
      </w:divBdr>
    </w:div>
    <w:div w:id="1199658552">
      <w:bodyDiv w:val="1"/>
      <w:marLeft w:val="0"/>
      <w:marRight w:val="0"/>
      <w:marTop w:val="0"/>
      <w:marBottom w:val="0"/>
      <w:divBdr>
        <w:top w:val="none" w:sz="0" w:space="0" w:color="auto"/>
        <w:left w:val="none" w:sz="0" w:space="0" w:color="auto"/>
        <w:bottom w:val="none" w:sz="0" w:space="0" w:color="auto"/>
        <w:right w:val="none" w:sz="0" w:space="0" w:color="auto"/>
      </w:divBdr>
    </w:div>
    <w:div w:id="1199702787">
      <w:bodyDiv w:val="1"/>
      <w:marLeft w:val="0"/>
      <w:marRight w:val="0"/>
      <w:marTop w:val="0"/>
      <w:marBottom w:val="0"/>
      <w:divBdr>
        <w:top w:val="none" w:sz="0" w:space="0" w:color="auto"/>
        <w:left w:val="none" w:sz="0" w:space="0" w:color="auto"/>
        <w:bottom w:val="none" w:sz="0" w:space="0" w:color="auto"/>
        <w:right w:val="none" w:sz="0" w:space="0" w:color="auto"/>
      </w:divBdr>
    </w:div>
    <w:div w:id="1199733671">
      <w:bodyDiv w:val="1"/>
      <w:marLeft w:val="0"/>
      <w:marRight w:val="0"/>
      <w:marTop w:val="0"/>
      <w:marBottom w:val="0"/>
      <w:divBdr>
        <w:top w:val="none" w:sz="0" w:space="0" w:color="auto"/>
        <w:left w:val="none" w:sz="0" w:space="0" w:color="auto"/>
        <w:bottom w:val="none" w:sz="0" w:space="0" w:color="auto"/>
        <w:right w:val="none" w:sz="0" w:space="0" w:color="auto"/>
      </w:divBdr>
    </w:div>
    <w:div w:id="1199856614">
      <w:bodyDiv w:val="1"/>
      <w:marLeft w:val="0"/>
      <w:marRight w:val="0"/>
      <w:marTop w:val="0"/>
      <w:marBottom w:val="0"/>
      <w:divBdr>
        <w:top w:val="none" w:sz="0" w:space="0" w:color="auto"/>
        <w:left w:val="none" w:sz="0" w:space="0" w:color="auto"/>
        <w:bottom w:val="none" w:sz="0" w:space="0" w:color="auto"/>
        <w:right w:val="none" w:sz="0" w:space="0" w:color="auto"/>
      </w:divBdr>
    </w:div>
    <w:div w:id="1199900345">
      <w:bodyDiv w:val="1"/>
      <w:marLeft w:val="0"/>
      <w:marRight w:val="0"/>
      <w:marTop w:val="0"/>
      <w:marBottom w:val="0"/>
      <w:divBdr>
        <w:top w:val="none" w:sz="0" w:space="0" w:color="auto"/>
        <w:left w:val="none" w:sz="0" w:space="0" w:color="auto"/>
        <w:bottom w:val="none" w:sz="0" w:space="0" w:color="auto"/>
        <w:right w:val="none" w:sz="0" w:space="0" w:color="auto"/>
      </w:divBdr>
    </w:div>
    <w:div w:id="1200240542">
      <w:bodyDiv w:val="1"/>
      <w:marLeft w:val="0"/>
      <w:marRight w:val="0"/>
      <w:marTop w:val="0"/>
      <w:marBottom w:val="0"/>
      <w:divBdr>
        <w:top w:val="none" w:sz="0" w:space="0" w:color="auto"/>
        <w:left w:val="none" w:sz="0" w:space="0" w:color="auto"/>
        <w:bottom w:val="none" w:sz="0" w:space="0" w:color="auto"/>
        <w:right w:val="none" w:sz="0" w:space="0" w:color="auto"/>
      </w:divBdr>
    </w:div>
    <w:div w:id="1200242160">
      <w:bodyDiv w:val="1"/>
      <w:marLeft w:val="0"/>
      <w:marRight w:val="0"/>
      <w:marTop w:val="0"/>
      <w:marBottom w:val="0"/>
      <w:divBdr>
        <w:top w:val="none" w:sz="0" w:space="0" w:color="auto"/>
        <w:left w:val="none" w:sz="0" w:space="0" w:color="auto"/>
        <w:bottom w:val="none" w:sz="0" w:space="0" w:color="auto"/>
        <w:right w:val="none" w:sz="0" w:space="0" w:color="auto"/>
      </w:divBdr>
    </w:div>
    <w:div w:id="1200387989">
      <w:bodyDiv w:val="1"/>
      <w:marLeft w:val="0"/>
      <w:marRight w:val="0"/>
      <w:marTop w:val="0"/>
      <w:marBottom w:val="0"/>
      <w:divBdr>
        <w:top w:val="none" w:sz="0" w:space="0" w:color="auto"/>
        <w:left w:val="none" w:sz="0" w:space="0" w:color="auto"/>
        <w:bottom w:val="none" w:sz="0" w:space="0" w:color="auto"/>
        <w:right w:val="none" w:sz="0" w:space="0" w:color="auto"/>
      </w:divBdr>
    </w:div>
    <w:div w:id="1200506821">
      <w:bodyDiv w:val="1"/>
      <w:marLeft w:val="0"/>
      <w:marRight w:val="0"/>
      <w:marTop w:val="0"/>
      <w:marBottom w:val="0"/>
      <w:divBdr>
        <w:top w:val="none" w:sz="0" w:space="0" w:color="auto"/>
        <w:left w:val="none" w:sz="0" w:space="0" w:color="auto"/>
        <w:bottom w:val="none" w:sz="0" w:space="0" w:color="auto"/>
        <w:right w:val="none" w:sz="0" w:space="0" w:color="auto"/>
      </w:divBdr>
    </w:div>
    <w:div w:id="1200508114">
      <w:bodyDiv w:val="1"/>
      <w:marLeft w:val="0"/>
      <w:marRight w:val="0"/>
      <w:marTop w:val="0"/>
      <w:marBottom w:val="0"/>
      <w:divBdr>
        <w:top w:val="none" w:sz="0" w:space="0" w:color="auto"/>
        <w:left w:val="none" w:sz="0" w:space="0" w:color="auto"/>
        <w:bottom w:val="none" w:sz="0" w:space="0" w:color="auto"/>
        <w:right w:val="none" w:sz="0" w:space="0" w:color="auto"/>
      </w:divBdr>
    </w:div>
    <w:div w:id="1200509371">
      <w:bodyDiv w:val="1"/>
      <w:marLeft w:val="0"/>
      <w:marRight w:val="0"/>
      <w:marTop w:val="0"/>
      <w:marBottom w:val="0"/>
      <w:divBdr>
        <w:top w:val="none" w:sz="0" w:space="0" w:color="auto"/>
        <w:left w:val="none" w:sz="0" w:space="0" w:color="auto"/>
        <w:bottom w:val="none" w:sz="0" w:space="0" w:color="auto"/>
        <w:right w:val="none" w:sz="0" w:space="0" w:color="auto"/>
      </w:divBdr>
    </w:div>
    <w:div w:id="1200628722">
      <w:bodyDiv w:val="1"/>
      <w:marLeft w:val="0"/>
      <w:marRight w:val="0"/>
      <w:marTop w:val="0"/>
      <w:marBottom w:val="0"/>
      <w:divBdr>
        <w:top w:val="none" w:sz="0" w:space="0" w:color="auto"/>
        <w:left w:val="none" w:sz="0" w:space="0" w:color="auto"/>
        <w:bottom w:val="none" w:sz="0" w:space="0" w:color="auto"/>
        <w:right w:val="none" w:sz="0" w:space="0" w:color="auto"/>
      </w:divBdr>
    </w:div>
    <w:div w:id="1200778663">
      <w:bodyDiv w:val="1"/>
      <w:marLeft w:val="0"/>
      <w:marRight w:val="0"/>
      <w:marTop w:val="0"/>
      <w:marBottom w:val="0"/>
      <w:divBdr>
        <w:top w:val="none" w:sz="0" w:space="0" w:color="auto"/>
        <w:left w:val="none" w:sz="0" w:space="0" w:color="auto"/>
        <w:bottom w:val="none" w:sz="0" w:space="0" w:color="auto"/>
        <w:right w:val="none" w:sz="0" w:space="0" w:color="auto"/>
      </w:divBdr>
    </w:div>
    <w:div w:id="1200820401">
      <w:bodyDiv w:val="1"/>
      <w:marLeft w:val="0"/>
      <w:marRight w:val="0"/>
      <w:marTop w:val="0"/>
      <w:marBottom w:val="0"/>
      <w:divBdr>
        <w:top w:val="none" w:sz="0" w:space="0" w:color="auto"/>
        <w:left w:val="none" w:sz="0" w:space="0" w:color="auto"/>
        <w:bottom w:val="none" w:sz="0" w:space="0" w:color="auto"/>
        <w:right w:val="none" w:sz="0" w:space="0" w:color="auto"/>
      </w:divBdr>
    </w:div>
    <w:div w:id="1200820829">
      <w:bodyDiv w:val="1"/>
      <w:marLeft w:val="0"/>
      <w:marRight w:val="0"/>
      <w:marTop w:val="0"/>
      <w:marBottom w:val="0"/>
      <w:divBdr>
        <w:top w:val="none" w:sz="0" w:space="0" w:color="auto"/>
        <w:left w:val="none" w:sz="0" w:space="0" w:color="auto"/>
        <w:bottom w:val="none" w:sz="0" w:space="0" w:color="auto"/>
        <w:right w:val="none" w:sz="0" w:space="0" w:color="auto"/>
      </w:divBdr>
    </w:div>
    <w:div w:id="1200894218">
      <w:bodyDiv w:val="1"/>
      <w:marLeft w:val="0"/>
      <w:marRight w:val="0"/>
      <w:marTop w:val="0"/>
      <w:marBottom w:val="0"/>
      <w:divBdr>
        <w:top w:val="none" w:sz="0" w:space="0" w:color="auto"/>
        <w:left w:val="none" w:sz="0" w:space="0" w:color="auto"/>
        <w:bottom w:val="none" w:sz="0" w:space="0" w:color="auto"/>
        <w:right w:val="none" w:sz="0" w:space="0" w:color="auto"/>
      </w:divBdr>
    </w:div>
    <w:div w:id="1201092585">
      <w:bodyDiv w:val="1"/>
      <w:marLeft w:val="0"/>
      <w:marRight w:val="0"/>
      <w:marTop w:val="0"/>
      <w:marBottom w:val="0"/>
      <w:divBdr>
        <w:top w:val="none" w:sz="0" w:space="0" w:color="auto"/>
        <w:left w:val="none" w:sz="0" w:space="0" w:color="auto"/>
        <w:bottom w:val="none" w:sz="0" w:space="0" w:color="auto"/>
        <w:right w:val="none" w:sz="0" w:space="0" w:color="auto"/>
      </w:divBdr>
    </w:div>
    <w:div w:id="1201092674">
      <w:bodyDiv w:val="1"/>
      <w:marLeft w:val="0"/>
      <w:marRight w:val="0"/>
      <w:marTop w:val="0"/>
      <w:marBottom w:val="0"/>
      <w:divBdr>
        <w:top w:val="none" w:sz="0" w:space="0" w:color="auto"/>
        <w:left w:val="none" w:sz="0" w:space="0" w:color="auto"/>
        <w:bottom w:val="none" w:sz="0" w:space="0" w:color="auto"/>
        <w:right w:val="none" w:sz="0" w:space="0" w:color="auto"/>
      </w:divBdr>
    </w:div>
    <w:div w:id="1201169707">
      <w:bodyDiv w:val="1"/>
      <w:marLeft w:val="0"/>
      <w:marRight w:val="0"/>
      <w:marTop w:val="0"/>
      <w:marBottom w:val="0"/>
      <w:divBdr>
        <w:top w:val="none" w:sz="0" w:space="0" w:color="auto"/>
        <w:left w:val="none" w:sz="0" w:space="0" w:color="auto"/>
        <w:bottom w:val="none" w:sz="0" w:space="0" w:color="auto"/>
        <w:right w:val="none" w:sz="0" w:space="0" w:color="auto"/>
      </w:divBdr>
    </w:div>
    <w:div w:id="1201360443">
      <w:bodyDiv w:val="1"/>
      <w:marLeft w:val="0"/>
      <w:marRight w:val="0"/>
      <w:marTop w:val="0"/>
      <w:marBottom w:val="0"/>
      <w:divBdr>
        <w:top w:val="none" w:sz="0" w:space="0" w:color="auto"/>
        <w:left w:val="none" w:sz="0" w:space="0" w:color="auto"/>
        <w:bottom w:val="none" w:sz="0" w:space="0" w:color="auto"/>
        <w:right w:val="none" w:sz="0" w:space="0" w:color="auto"/>
      </w:divBdr>
    </w:div>
    <w:div w:id="1201479966">
      <w:bodyDiv w:val="1"/>
      <w:marLeft w:val="0"/>
      <w:marRight w:val="0"/>
      <w:marTop w:val="0"/>
      <w:marBottom w:val="0"/>
      <w:divBdr>
        <w:top w:val="none" w:sz="0" w:space="0" w:color="auto"/>
        <w:left w:val="none" w:sz="0" w:space="0" w:color="auto"/>
        <w:bottom w:val="none" w:sz="0" w:space="0" w:color="auto"/>
        <w:right w:val="none" w:sz="0" w:space="0" w:color="auto"/>
      </w:divBdr>
    </w:div>
    <w:div w:id="1201556779">
      <w:bodyDiv w:val="1"/>
      <w:marLeft w:val="0"/>
      <w:marRight w:val="0"/>
      <w:marTop w:val="0"/>
      <w:marBottom w:val="0"/>
      <w:divBdr>
        <w:top w:val="none" w:sz="0" w:space="0" w:color="auto"/>
        <w:left w:val="none" w:sz="0" w:space="0" w:color="auto"/>
        <w:bottom w:val="none" w:sz="0" w:space="0" w:color="auto"/>
        <w:right w:val="none" w:sz="0" w:space="0" w:color="auto"/>
      </w:divBdr>
    </w:div>
    <w:div w:id="1201670108">
      <w:bodyDiv w:val="1"/>
      <w:marLeft w:val="0"/>
      <w:marRight w:val="0"/>
      <w:marTop w:val="0"/>
      <w:marBottom w:val="0"/>
      <w:divBdr>
        <w:top w:val="none" w:sz="0" w:space="0" w:color="auto"/>
        <w:left w:val="none" w:sz="0" w:space="0" w:color="auto"/>
        <w:bottom w:val="none" w:sz="0" w:space="0" w:color="auto"/>
        <w:right w:val="none" w:sz="0" w:space="0" w:color="auto"/>
      </w:divBdr>
    </w:div>
    <w:div w:id="1201699559">
      <w:bodyDiv w:val="1"/>
      <w:marLeft w:val="0"/>
      <w:marRight w:val="0"/>
      <w:marTop w:val="0"/>
      <w:marBottom w:val="0"/>
      <w:divBdr>
        <w:top w:val="none" w:sz="0" w:space="0" w:color="auto"/>
        <w:left w:val="none" w:sz="0" w:space="0" w:color="auto"/>
        <w:bottom w:val="none" w:sz="0" w:space="0" w:color="auto"/>
        <w:right w:val="none" w:sz="0" w:space="0" w:color="auto"/>
      </w:divBdr>
    </w:div>
    <w:div w:id="1201741641">
      <w:bodyDiv w:val="1"/>
      <w:marLeft w:val="0"/>
      <w:marRight w:val="0"/>
      <w:marTop w:val="0"/>
      <w:marBottom w:val="0"/>
      <w:divBdr>
        <w:top w:val="none" w:sz="0" w:space="0" w:color="auto"/>
        <w:left w:val="none" w:sz="0" w:space="0" w:color="auto"/>
        <w:bottom w:val="none" w:sz="0" w:space="0" w:color="auto"/>
        <w:right w:val="none" w:sz="0" w:space="0" w:color="auto"/>
      </w:divBdr>
    </w:div>
    <w:div w:id="1201744435">
      <w:bodyDiv w:val="1"/>
      <w:marLeft w:val="0"/>
      <w:marRight w:val="0"/>
      <w:marTop w:val="0"/>
      <w:marBottom w:val="0"/>
      <w:divBdr>
        <w:top w:val="none" w:sz="0" w:space="0" w:color="auto"/>
        <w:left w:val="none" w:sz="0" w:space="0" w:color="auto"/>
        <w:bottom w:val="none" w:sz="0" w:space="0" w:color="auto"/>
        <w:right w:val="none" w:sz="0" w:space="0" w:color="auto"/>
      </w:divBdr>
    </w:div>
    <w:div w:id="1201747690">
      <w:bodyDiv w:val="1"/>
      <w:marLeft w:val="0"/>
      <w:marRight w:val="0"/>
      <w:marTop w:val="0"/>
      <w:marBottom w:val="0"/>
      <w:divBdr>
        <w:top w:val="none" w:sz="0" w:space="0" w:color="auto"/>
        <w:left w:val="none" w:sz="0" w:space="0" w:color="auto"/>
        <w:bottom w:val="none" w:sz="0" w:space="0" w:color="auto"/>
        <w:right w:val="none" w:sz="0" w:space="0" w:color="auto"/>
      </w:divBdr>
    </w:div>
    <w:div w:id="1201749487">
      <w:bodyDiv w:val="1"/>
      <w:marLeft w:val="0"/>
      <w:marRight w:val="0"/>
      <w:marTop w:val="0"/>
      <w:marBottom w:val="0"/>
      <w:divBdr>
        <w:top w:val="none" w:sz="0" w:space="0" w:color="auto"/>
        <w:left w:val="none" w:sz="0" w:space="0" w:color="auto"/>
        <w:bottom w:val="none" w:sz="0" w:space="0" w:color="auto"/>
        <w:right w:val="none" w:sz="0" w:space="0" w:color="auto"/>
      </w:divBdr>
    </w:div>
    <w:div w:id="1201818086">
      <w:bodyDiv w:val="1"/>
      <w:marLeft w:val="0"/>
      <w:marRight w:val="0"/>
      <w:marTop w:val="0"/>
      <w:marBottom w:val="0"/>
      <w:divBdr>
        <w:top w:val="none" w:sz="0" w:space="0" w:color="auto"/>
        <w:left w:val="none" w:sz="0" w:space="0" w:color="auto"/>
        <w:bottom w:val="none" w:sz="0" w:space="0" w:color="auto"/>
        <w:right w:val="none" w:sz="0" w:space="0" w:color="auto"/>
      </w:divBdr>
    </w:div>
    <w:div w:id="1201822933">
      <w:bodyDiv w:val="1"/>
      <w:marLeft w:val="0"/>
      <w:marRight w:val="0"/>
      <w:marTop w:val="0"/>
      <w:marBottom w:val="0"/>
      <w:divBdr>
        <w:top w:val="none" w:sz="0" w:space="0" w:color="auto"/>
        <w:left w:val="none" w:sz="0" w:space="0" w:color="auto"/>
        <w:bottom w:val="none" w:sz="0" w:space="0" w:color="auto"/>
        <w:right w:val="none" w:sz="0" w:space="0" w:color="auto"/>
      </w:divBdr>
    </w:div>
    <w:div w:id="1201892554">
      <w:bodyDiv w:val="1"/>
      <w:marLeft w:val="0"/>
      <w:marRight w:val="0"/>
      <w:marTop w:val="0"/>
      <w:marBottom w:val="0"/>
      <w:divBdr>
        <w:top w:val="none" w:sz="0" w:space="0" w:color="auto"/>
        <w:left w:val="none" w:sz="0" w:space="0" w:color="auto"/>
        <w:bottom w:val="none" w:sz="0" w:space="0" w:color="auto"/>
        <w:right w:val="none" w:sz="0" w:space="0" w:color="auto"/>
      </w:divBdr>
    </w:div>
    <w:div w:id="1201894556">
      <w:bodyDiv w:val="1"/>
      <w:marLeft w:val="0"/>
      <w:marRight w:val="0"/>
      <w:marTop w:val="0"/>
      <w:marBottom w:val="0"/>
      <w:divBdr>
        <w:top w:val="none" w:sz="0" w:space="0" w:color="auto"/>
        <w:left w:val="none" w:sz="0" w:space="0" w:color="auto"/>
        <w:bottom w:val="none" w:sz="0" w:space="0" w:color="auto"/>
        <w:right w:val="none" w:sz="0" w:space="0" w:color="auto"/>
      </w:divBdr>
    </w:div>
    <w:div w:id="1202012479">
      <w:bodyDiv w:val="1"/>
      <w:marLeft w:val="0"/>
      <w:marRight w:val="0"/>
      <w:marTop w:val="0"/>
      <w:marBottom w:val="0"/>
      <w:divBdr>
        <w:top w:val="none" w:sz="0" w:space="0" w:color="auto"/>
        <w:left w:val="none" w:sz="0" w:space="0" w:color="auto"/>
        <w:bottom w:val="none" w:sz="0" w:space="0" w:color="auto"/>
        <w:right w:val="none" w:sz="0" w:space="0" w:color="auto"/>
      </w:divBdr>
    </w:div>
    <w:div w:id="1202091498">
      <w:bodyDiv w:val="1"/>
      <w:marLeft w:val="0"/>
      <w:marRight w:val="0"/>
      <w:marTop w:val="0"/>
      <w:marBottom w:val="0"/>
      <w:divBdr>
        <w:top w:val="none" w:sz="0" w:space="0" w:color="auto"/>
        <w:left w:val="none" w:sz="0" w:space="0" w:color="auto"/>
        <w:bottom w:val="none" w:sz="0" w:space="0" w:color="auto"/>
        <w:right w:val="none" w:sz="0" w:space="0" w:color="auto"/>
      </w:divBdr>
    </w:div>
    <w:div w:id="1202091837">
      <w:bodyDiv w:val="1"/>
      <w:marLeft w:val="0"/>
      <w:marRight w:val="0"/>
      <w:marTop w:val="0"/>
      <w:marBottom w:val="0"/>
      <w:divBdr>
        <w:top w:val="none" w:sz="0" w:space="0" w:color="auto"/>
        <w:left w:val="none" w:sz="0" w:space="0" w:color="auto"/>
        <w:bottom w:val="none" w:sz="0" w:space="0" w:color="auto"/>
        <w:right w:val="none" w:sz="0" w:space="0" w:color="auto"/>
      </w:divBdr>
    </w:div>
    <w:div w:id="1202202982">
      <w:bodyDiv w:val="1"/>
      <w:marLeft w:val="0"/>
      <w:marRight w:val="0"/>
      <w:marTop w:val="0"/>
      <w:marBottom w:val="0"/>
      <w:divBdr>
        <w:top w:val="none" w:sz="0" w:space="0" w:color="auto"/>
        <w:left w:val="none" w:sz="0" w:space="0" w:color="auto"/>
        <w:bottom w:val="none" w:sz="0" w:space="0" w:color="auto"/>
        <w:right w:val="none" w:sz="0" w:space="0" w:color="auto"/>
      </w:divBdr>
    </w:div>
    <w:div w:id="1202280385">
      <w:bodyDiv w:val="1"/>
      <w:marLeft w:val="0"/>
      <w:marRight w:val="0"/>
      <w:marTop w:val="0"/>
      <w:marBottom w:val="0"/>
      <w:divBdr>
        <w:top w:val="none" w:sz="0" w:space="0" w:color="auto"/>
        <w:left w:val="none" w:sz="0" w:space="0" w:color="auto"/>
        <w:bottom w:val="none" w:sz="0" w:space="0" w:color="auto"/>
        <w:right w:val="none" w:sz="0" w:space="0" w:color="auto"/>
      </w:divBdr>
    </w:div>
    <w:div w:id="1202325383">
      <w:bodyDiv w:val="1"/>
      <w:marLeft w:val="0"/>
      <w:marRight w:val="0"/>
      <w:marTop w:val="0"/>
      <w:marBottom w:val="0"/>
      <w:divBdr>
        <w:top w:val="none" w:sz="0" w:space="0" w:color="auto"/>
        <w:left w:val="none" w:sz="0" w:space="0" w:color="auto"/>
        <w:bottom w:val="none" w:sz="0" w:space="0" w:color="auto"/>
        <w:right w:val="none" w:sz="0" w:space="0" w:color="auto"/>
      </w:divBdr>
    </w:div>
    <w:div w:id="1202325633">
      <w:bodyDiv w:val="1"/>
      <w:marLeft w:val="0"/>
      <w:marRight w:val="0"/>
      <w:marTop w:val="0"/>
      <w:marBottom w:val="0"/>
      <w:divBdr>
        <w:top w:val="none" w:sz="0" w:space="0" w:color="auto"/>
        <w:left w:val="none" w:sz="0" w:space="0" w:color="auto"/>
        <w:bottom w:val="none" w:sz="0" w:space="0" w:color="auto"/>
        <w:right w:val="none" w:sz="0" w:space="0" w:color="auto"/>
      </w:divBdr>
    </w:div>
    <w:div w:id="1202402530">
      <w:bodyDiv w:val="1"/>
      <w:marLeft w:val="0"/>
      <w:marRight w:val="0"/>
      <w:marTop w:val="0"/>
      <w:marBottom w:val="0"/>
      <w:divBdr>
        <w:top w:val="none" w:sz="0" w:space="0" w:color="auto"/>
        <w:left w:val="none" w:sz="0" w:space="0" w:color="auto"/>
        <w:bottom w:val="none" w:sz="0" w:space="0" w:color="auto"/>
        <w:right w:val="none" w:sz="0" w:space="0" w:color="auto"/>
      </w:divBdr>
    </w:div>
    <w:div w:id="1202523536">
      <w:bodyDiv w:val="1"/>
      <w:marLeft w:val="0"/>
      <w:marRight w:val="0"/>
      <w:marTop w:val="0"/>
      <w:marBottom w:val="0"/>
      <w:divBdr>
        <w:top w:val="none" w:sz="0" w:space="0" w:color="auto"/>
        <w:left w:val="none" w:sz="0" w:space="0" w:color="auto"/>
        <w:bottom w:val="none" w:sz="0" w:space="0" w:color="auto"/>
        <w:right w:val="none" w:sz="0" w:space="0" w:color="auto"/>
      </w:divBdr>
    </w:div>
    <w:div w:id="1202593048">
      <w:bodyDiv w:val="1"/>
      <w:marLeft w:val="0"/>
      <w:marRight w:val="0"/>
      <w:marTop w:val="0"/>
      <w:marBottom w:val="0"/>
      <w:divBdr>
        <w:top w:val="none" w:sz="0" w:space="0" w:color="auto"/>
        <w:left w:val="none" w:sz="0" w:space="0" w:color="auto"/>
        <w:bottom w:val="none" w:sz="0" w:space="0" w:color="auto"/>
        <w:right w:val="none" w:sz="0" w:space="0" w:color="auto"/>
      </w:divBdr>
    </w:div>
    <w:div w:id="1202597262">
      <w:bodyDiv w:val="1"/>
      <w:marLeft w:val="0"/>
      <w:marRight w:val="0"/>
      <w:marTop w:val="0"/>
      <w:marBottom w:val="0"/>
      <w:divBdr>
        <w:top w:val="none" w:sz="0" w:space="0" w:color="auto"/>
        <w:left w:val="none" w:sz="0" w:space="0" w:color="auto"/>
        <w:bottom w:val="none" w:sz="0" w:space="0" w:color="auto"/>
        <w:right w:val="none" w:sz="0" w:space="0" w:color="auto"/>
      </w:divBdr>
    </w:div>
    <w:div w:id="1202742618">
      <w:bodyDiv w:val="1"/>
      <w:marLeft w:val="0"/>
      <w:marRight w:val="0"/>
      <w:marTop w:val="0"/>
      <w:marBottom w:val="0"/>
      <w:divBdr>
        <w:top w:val="none" w:sz="0" w:space="0" w:color="auto"/>
        <w:left w:val="none" w:sz="0" w:space="0" w:color="auto"/>
        <w:bottom w:val="none" w:sz="0" w:space="0" w:color="auto"/>
        <w:right w:val="none" w:sz="0" w:space="0" w:color="auto"/>
      </w:divBdr>
    </w:div>
    <w:div w:id="1202933946">
      <w:bodyDiv w:val="1"/>
      <w:marLeft w:val="0"/>
      <w:marRight w:val="0"/>
      <w:marTop w:val="0"/>
      <w:marBottom w:val="0"/>
      <w:divBdr>
        <w:top w:val="none" w:sz="0" w:space="0" w:color="auto"/>
        <w:left w:val="none" w:sz="0" w:space="0" w:color="auto"/>
        <w:bottom w:val="none" w:sz="0" w:space="0" w:color="auto"/>
        <w:right w:val="none" w:sz="0" w:space="0" w:color="auto"/>
      </w:divBdr>
    </w:div>
    <w:div w:id="1202983484">
      <w:bodyDiv w:val="1"/>
      <w:marLeft w:val="0"/>
      <w:marRight w:val="0"/>
      <w:marTop w:val="0"/>
      <w:marBottom w:val="0"/>
      <w:divBdr>
        <w:top w:val="none" w:sz="0" w:space="0" w:color="auto"/>
        <w:left w:val="none" w:sz="0" w:space="0" w:color="auto"/>
        <w:bottom w:val="none" w:sz="0" w:space="0" w:color="auto"/>
        <w:right w:val="none" w:sz="0" w:space="0" w:color="auto"/>
      </w:divBdr>
    </w:div>
    <w:div w:id="1202983700">
      <w:bodyDiv w:val="1"/>
      <w:marLeft w:val="0"/>
      <w:marRight w:val="0"/>
      <w:marTop w:val="0"/>
      <w:marBottom w:val="0"/>
      <w:divBdr>
        <w:top w:val="none" w:sz="0" w:space="0" w:color="auto"/>
        <w:left w:val="none" w:sz="0" w:space="0" w:color="auto"/>
        <w:bottom w:val="none" w:sz="0" w:space="0" w:color="auto"/>
        <w:right w:val="none" w:sz="0" w:space="0" w:color="auto"/>
      </w:divBdr>
    </w:div>
    <w:div w:id="1203057903">
      <w:bodyDiv w:val="1"/>
      <w:marLeft w:val="0"/>
      <w:marRight w:val="0"/>
      <w:marTop w:val="0"/>
      <w:marBottom w:val="0"/>
      <w:divBdr>
        <w:top w:val="none" w:sz="0" w:space="0" w:color="auto"/>
        <w:left w:val="none" w:sz="0" w:space="0" w:color="auto"/>
        <w:bottom w:val="none" w:sz="0" w:space="0" w:color="auto"/>
        <w:right w:val="none" w:sz="0" w:space="0" w:color="auto"/>
      </w:divBdr>
    </w:div>
    <w:div w:id="1203127986">
      <w:bodyDiv w:val="1"/>
      <w:marLeft w:val="0"/>
      <w:marRight w:val="0"/>
      <w:marTop w:val="0"/>
      <w:marBottom w:val="0"/>
      <w:divBdr>
        <w:top w:val="none" w:sz="0" w:space="0" w:color="auto"/>
        <w:left w:val="none" w:sz="0" w:space="0" w:color="auto"/>
        <w:bottom w:val="none" w:sz="0" w:space="0" w:color="auto"/>
        <w:right w:val="none" w:sz="0" w:space="0" w:color="auto"/>
      </w:divBdr>
    </w:div>
    <w:div w:id="1203327775">
      <w:bodyDiv w:val="1"/>
      <w:marLeft w:val="0"/>
      <w:marRight w:val="0"/>
      <w:marTop w:val="0"/>
      <w:marBottom w:val="0"/>
      <w:divBdr>
        <w:top w:val="none" w:sz="0" w:space="0" w:color="auto"/>
        <w:left w:val="none" w:sz="0" w:space="0" w:color="auto"/>
        <w:bottom w:val="none" w:sz="0" w:space="0" w:color="auto"/>
        <w:right w:val="none" w:sz="0" w:space="0" w:color="auto"/>
      </w:divBdr>
    </w:div>
    <w:div w:id="1203399846">
      <w:bodyDiv w:val="1"/>
      <w:marLeft w:val="0"/>
      <w:marRight w:val="0"/>
      <w:marTop w:val="0"/>
      <w:marBottom w:val="0"/>
      <w:divBdr>
        <w:top w:val="none" w:sz="0" w:space="0" w:color="auto"/>
        <w:left w:val="none" w:sz="0" w:space="0" w:color="auto"/>
        <w:bottom w:val="none" w:sz="0" w:space="0" w:color="auto"/>
        <w:right w:val="none" w:sz="0" w:space="0" w:color="auto"/>
      </w:divBdr>
    </w:div>
    <w:div w:id="1203592776">
      <w:bodyDiv w:val="1"/>
      <w:marLeft w:val="0"/>
      <w:marRight w:val="0"/>
      <w:marTop w:val="0"/>
      <w:marBottom w:val="0"/>
      <w:divBdr>
        <w:top w:val="none" w:sz="0" w:space="0" w:color="auto"/>
        <w:left w:val="none" w:sz="0" w:space="0" w:color="auto"/>
        <w:bottom w:val="none" w:sz="0" w:space="0" w:color="auto"/>
        <w:right w:val="none" w:sz="0" w:space="0" w:color="auto"/>
      </w:divBdr>
    </w:div>
    <w:div w:id="1203593758">
      <w:bodyDiv w:val="1"/>
      <w:marLeft w:val="0"/>
      <w:marRight w:val="0"/>
      <w:marTop w:val="0"/>
      <w:marBottom w:val="0"/>
      <w:divBdr>
        <w:top w:val="none" w:sz="0" w:space="0" w:color="auto"/>
        <w:left w:val="none" w:sz="0" w:space="0" w:color="auto"/>
        <w:bottom w:val="none" w:sz="0" w:space="0" w:color="auto"/>
        <w:right w:val="none" w:sz="0" w:space="0" w:color="auto"/>
      </w:divBdr>
    </w:div>
    <w:div w:id="1203706963">
      <w:bodyDiv w:val="1"/>
      <w:marLeft w:val="0"/>
      <w:marRight w:val="0"/>
      <w:marTop w:val="0"/>
      <w:marBottom w:val="0"/>
      <w:divBdr>
        <w:top w:val="none" w:sz="0" w:space="0" w:color="auto"/>
        <w:left w:val="none" w:sz="0" w:space="0" w:color="auto"/>
        <w:bottom w:val="none" w:sz="0" w:space="0" w:color="auto"/>
        <w:right w:val="none" w:sz="0" w:space="0" w:color="auto"/>
      </w:divBdr>
    </w:div>
    <w:div w:id="1203785461">
      <w:bodyDiv w:val="1"/>
      <w:marLeft w:val="0"/>
      <w:marRight w:val="0"/>
      <w:marTop w:val="0"/>
      <w:marBottom w:val="0"/>
      <w:divBdr>
        <w:top w:val="none" w:sz="0" w:space="0" w:color="auto"/>
        <w:left w:val="none" w:sz="0" w:space="0" w:color="auto"/>
        <w:bottom w:val="none" w:sz="0" w:space="0" w:color="auto"/>
        <w:right w:val="none" w:sz="0" w:space="0" w:color="auto"/>
      </w:divBdr>
    </w:div>
    <w:div w:id="1203900336">
      <w:bodyDiv w:val="1"/>
      <w:marLeft w:val="0"/>
      <w:marRight w:val="0"/>
      <w:marTop w:val="0"/>
      <w:marBottom w:val="0"/>
      <w:divBdr>
        <w:top w:val="none" w:sz="0" w:space="0" w:color="auto"/>
        <w:left w:val="none" w:sz="0" w:space="0" w:color="auto"/>
        <w:bottom w:val="none" w:sz="0" w:space="0" w:color="auto"/>
        <w:right w:val="none" w:sz="0" w:space="0" w:color="auto"/>
      </w:divBdr>
    </w:div>
    <w:div w:id="1204362754">
      <w:bodyDiv w:val="1"/>
      <w:marLeft w:val="0"/>
      <w:marRight w:val="0"/>
      <w:marTop w:val="0"/>
      <w:marBottom w:val="0"/>
      <w:divBdr>
        <w:top w:val="none" w:sz="0" w:space="0" w:color="auto"/>
        <w:left w:val="none" w:sz="0" w:space="0" w:color="auto"/>
        <w:bottom w:val="none" w:sz="0" w:space="0" w:color="auto"/>
        <w:right w:val="none" w:sz="0" w:space="0" w:color="auto"/>
      </w:divBdr>
    </w:div>
    <w:div w:id="1204363782">
      <w:bodyDiv w:val="1"/>
      <w:marLeft w:val="0"/>
      <w:marRight w:val="0"/>
      <w:marTop w:val="0"/>
      <w:marBottom w:val="0"/>
      <w:divBdr>
        <w:top w:val="none" w:sz="0" w:space="0" w:color="auto"/>
        <w:left w:val="none" w:sz="0" w:space="0" w:color="auto"/>
        <w:bottom w:val="none" w:sz="0" w:space="0" w:color="auto"/>
        <w:right w:val="none" w:sz="0" w:space="0" w:color="auto"/>
      </w:divBdr>
    </w:div>
    <w:div w:id="1204368310">
      <w:bodyDiv w:val="1"/>
      <w:marLeft w:val="0"/>
      <w:marRight w:val="0"/>
      <w:marTop w:val="0"/>
      <w:marBottom w:val="0"/>
      <w:divBdr>
        <w:top w:val="none" w:sz="0" w:space="0" w:color="auto"/>
        <w:left w:val="none" w:sz="0" w:space="0" w:color="auto"/>
        <w:bottom w:val="none" w:sz="0" w:space="0" w:color="auto"/>
        <w:right w:val="none" w:sz="0" w:space="0" w:color="auto"/>
      </w:divBdr>
    </w:div>
    <w:div w:id="1204446057">
      <w:bodyDiv w:val="1"/>
      <w:marLeft w:val="0"/>
      <w:marRight w:val="0"/>
      <w:marTop w:val="0"/>
      <w:marBottom w:val="0"/>
      <w:divBdr>
        <w:top w:val="none" w:sz="0" w:space="0" w:color="auto"/>
        <w:left w:val="none" w:sz="0" w:space="0" w:color="auto"/>
        <w:bottom w:val="none" w:sz="0" w:space="0" w:color="auto"/>
        <w:right w:val="none" w:sz="0" w:space="0" w:color="auto"/>
      </w:divBdr>
    </w:div>
    <w:div w:id="1204512745">
      <w:bodyDiv w:val="1"/>
      <w:marLeft w:val="0"/>
      <w:marRight w:val="0"/>
      <w:marTop w:val="0"/>
      <w:marBottom w:val="0"/>
      <w:divBdr>
        <w:top w:val="none" w:sz="0" w:space="0" w:color="auto"/>
        <w:left w:val="none" w:sz="0" w:space="0" w:color="auto"/>
        <w:bottom w:val="none" w:sz="0" w:space="0" w:color="auto"/>
        <w:right w:val="none" w:sz="0" w:space="0" w:color="auto"/>
      </w:divBdr>
    </w:div>
    <w:div w:id="1204631770">
      <w:bodyDiv w:val="1"/>
      <w:marLeft w:val="0"/>
      <w:marRight w:val="0"/>
      <w:marTop w:val="0"/>
      <w:marBottom w:val="0"/>
      <w:divBdr>
        <w:top w:val="none" w:sz="0" w:space="0" w:color="auto"/>
        <w:left w:val="none" w:sz="0" w:space="0" w:color="auto"/>
        <w:bottom w:val="none" w:sz="0" w:space="0" w:color="auto"/>
        <w:right w:val="none" w:sz="0" w:space="0" w:color="auto"/>
      </w:divBdr>
    </w:div>
    <w:div w:id="1204637702">
      <w:bodyDiv w:val="1"/>
      <w:marLeft w:val="0"/>
      <w:marRight w:val="0"/>
      <w:marTop w:val="0"/>
      <w:marBottom w:val="0"/>
      <w:divBdr>
        <w:top w:val="none" w:sz="0" w:space="0" w:color="auto"/>
        <w:left w:val="none" w:sz="0" w:space="0" w:color="auto"/>
        <w:bottom w:val="none" w:sz="0" w:space="0" w:color="auto"/>
        <w:right w:val="none" w:sz="0" w:space="0" w:color="auto"/>
      </w:divBdr>
    </w:div>
    <w:div w:id="1204824006">
      <w:bodyDiv w:val="1"/>
      <w:marLeft w:val="0"/>
      <w:marRight w:val="0"/>
      <w:marTop w:val="0"/>
      <w:marBottom w:val="0"/>
      <w:divBdr>
        <w:top w:val="none" w:sz="0" w:space="0" w:color="auto"/>
        <w:left w:val="none" w:sz="0" w:space="0" w:color="auto"/>
        <w:bottom w:val="none" w:sz="0" w:space="0" w:color="auto"/>
        <w:right w:val="none" w:sz="0" w:space="0" w:color="auto"/>
      </w:divBdr>
    </w:div>
    <w:div w:id="1204825563">
      <w:bodyDiv w:val="1"/>
      <w:marLeft w:val="0"/>
      <w:marRight w:val="0"/>
      <w:marTop w:val="0"/>
      <w:marBottom w:val="0"/>
      <w:divBdr>
        <w:top w:val="none" w:sz="0" w:space="0" w:color="auto"/>
        <w:left w:val="none" w:sz="0" w:space="0" w:color="auto"/>
        <w:bottom w:val="none" w:sz="0" w:space="0" w:color="auto"/>
        <w:right w:val="none" w:sz="0" w:space="0" w:color="auto"/>
      </w:divBdr>
    </w:div>
    <w:div w:id="1204825964">
      <w:bodyDiv w:val="1"/>
      <w:marLeft w:val="0"/>
      <w:marRight w:val="0"/>
      <w:marTop w:val="0"/>
      <w:marBottom w:val="0"/>
      <w:divBdr>
        <w:top w:val="none" w:sz="0" w:space="0" w:color="auto"/>
        <w:left w:val="none" w:sz="0" w:space="0" w:color="auto"/>
        <w:bottom w:val="none" w:sz="0" w:space="0" w:color="auto"/>
        <w:right w:val="none" w:sz="0" w:space="0" w:color="auto"/>
      </w:divBdr>
    </w:div>
    <w:div w:id="1205025353">
      <w:bodyDiv w:val="1"/>
      <w:marLeft w:val="0"/>
      <w:marRight w:val="0"/>
      <w:marTop w:val="0"/>
      <w:marBottom w:val="0"/>
      <w:divBdr>
        <w:top w:val="none" w:sz="0" w:space="0" w:color="auto"/>
        <w:left w:val="none" w:sz="0" w:space="0" w:color="auto"/>
        <w:bottom w:val="none" w:sz="0" w:space="0" w:color="auto"/>
        <w:right w:val="none" w:sz="0" w:space="0" w:color="auto"/>
      </w:divBdr>
    </w:div>
    <w:div w:id="1205169785">
      <w:bodyDiv w:val="1"/>
      <w:marLeft w:val="0"/>
      <w:marRight w:val="0"/>
      <w:marTop w:val="0"/>
      <w:marBottom w:val="0"/>
      <w:divBdr>
        <w:top w:val="none" w:sz="0" w:space="0" w:color="auto"/>
        <w:left w:val="none" w:sz="0" w:space="0" w:color="auto"/>
        <w:bottom w:val="none" w:sz="0" w:space="0" w:color="auto"/>
        <w:right w:val="none" w:sz="0" w:space="0" w:color="auto"/>
      </w:divBdr>
    </w:div>
    <w:div w:id="1205217079">
      <w:bodyDiv w:val="1"/>
      <w:marLeft w:val="0"/>
      <w:marRight w:val="0"/>
      <w:marTop w:val="0"/>
      <w:marBottom w:val="0"/>
      <w:divBdr>
        <w:top w:val="none" w:sz="0" w:space="0" w:color="auto"/>
        <w:left w:val="none" w:sz="0" w:space="0" w:color="auto"/>
        <w:bottom w:val="none" w:sz="0" w:space="0" w:color="auto"/>
        <w:right w:val="none" w:sz="0" w:space="0" w:color="auto"/>
      </w:divBdr>
    </w:div>
    <w:div w:id="1205219811">
      <w:bodyDiv w:val="1"/>
      <w:marLeft w:val="0"/>
      <w:marRight w:val="0"/>
      <w:marTop w:val="0"/>
      <w:marBottom w:val="0"/>
      <w:divBdr>
        <w:top w:val="none" w:sz="0" w:space="0" w:color="auto"/>
        <w:left w:val="none" w:sz="0" w:space="0" w:color="auto"/>
        <w:bottom w:val="none" w:sz="0" w:space="0" w:color="auto"/>
        <w:right w:val="none" w:sz="0" w:space="0" w:color="auto"/>
      </w:divBdr>
    </w:div>
    <w:div w:id="1205295421">
      <w:bodyDiv w:val="1"/>
      <w:marLeft w:val="0"/>
      <w:marRight w:val="0"/>
      <w:marTop w:val="0"/>
      <w:marBottom w:val="0"/>
      <w:divBdr>
        <w:top w:val="none" w:sz="0" w:space="0" w:color="auto"/>
        <w:left w:val="none" w:sz="0" w:space="0" w:color="auto"/>
        <w:bottom w:val="none" w:sz="0" w:space="0" w:color="auto"/>
        <w:right w:val="none" w:sz="0" w:space="0" w:color="auto"/>
      </w:divBdr>
    </w:div>
    <w:div w:id="1205368868">
      <w:bodyDiv w:val="1"/>
      <w:marLeft w:val="0"/>
      <w:marRight w:val="0"/>
      <w:marTop w:val="0"/>
      <w:marBottom w:val="0"/>
      <w:divBdr>
        <w:top w:val="none" w:sz="0" w:space="0" w:color="auto"/>
        <w:left w:val="none" w:sz="0" w:space="0" w:color="auto"/>
        <w:bottom w:val="none" w:sz="0" w:space="0" w:color="auto"/>
        <w:right w:val="none" w:sz="0" w:space="0" w:color="auto"/>
      </w:divBdr>
    </w:div>
    <w:div w:id="1205680803">
      <w:bodyDiv w:val="1"/>
      <w:marLeft w:val="0"/>
      <w:marRight w:val="0"/>
      <w:marTop w:val="0"/>
      <w:marBottom w:val="0"/>
      <w:divBdr>
        <w:top w:val="none" w:sz="0" w:space="0" w:color="auto"/>
        <w:left w:val="none" w:sz="0" w:space="0" w:color="auto"/>
        <w:bottom w:val="none" w:sz="0" w:space="0" w:color="auto"/>
        <w:right w:val="none" w:sz="0" w:space="0" w:color="auto"/>
      </w:divBdr>
    </w:div>
    <w:div w:id="1205751541">
      <w:bodyDiv w:val="1"/>
      <w:marLeft w:val="0"/>
      <w:marRight w:val="0"/>
      <w:marTop w:val="0"/>
      <w:marBottom w:val="0"/>
      <w:divBdr>
        <w:top w:val="none" w:sz="0" w:space="0" w:color="auto"/>
        <w:left w:val="none" w:sz="0" w:space="0" w:color="auto"/>
        <w:bottom w:val="none" w:sz="0" w:space="0" w:color="auto"/>
        <w:right w:val="none" w:sz="0" w:space="0" w:color="auto"/>
      </w:divBdr>
    </w:div>
    <w:div w:id="1205757250">
      <w:bodyDiv w:val="1"/>
      <w:marLeft w:val="0"/>
      <w:marRight w:val="0"/>
      <w:marTop w:val="0"/>
      <w:marBottom w:val="0"/>
      <w:divBdr>
        <w:top w:val="none" w:sz="0" w:space="0" w:color="auto"/>
        <w:left w:val="none" w:sz="0" w:space="0" w:color="auto"/>
        <w:bottom w:val="none" w:sz="0" w:space="0" w:color="auto"/>
        <w:right w:val="none" w:sz="0" w:space="0" w:color="auto"/>
      </w:divBdr>
    </w:div>
    <w:div w:id="1205798188">
      <w:bodyDiv w:val="1"/>
      <w:marLeft w:val="0"/>
      <w:marRight w:val="0"/>
      <w:marTop w:val="0"/>
      <w:marBottom w:val="0"/>
      <w:divBdr>
        <w:top w:val="none" w:sz="0" w:space="0" w:color="auto"/>
        <w:left w:val="none" w:sz="0" w:space="0" w:color="auto"/>
        <w:bottom w:val="none" w:sz="0" w:space="0" w:color="auto"/>
        <w:right w:val="none" w:sz="0" w:space="0" w:color="auto"/>
      </w:divBdr>
    </w:div>
    <w:div w:id="1205829128">
      <w:bodyDiv w:val="1"/>
      <w:marLeft w:val="0"/>
      <w:marRight w:val="0"/>
      <w:marTop w:val="0"/>
      <w:marBottom w:val="0"/>
      <w:divBdr>
        <w:top w:val="none" w:sz="0" w:space="0" w:color="auto"/>
        <w:left w:val="none" w:sz="0" w:space="0" w:color="auto"/>
        <w:bottom w:val="none" w:sz="0" w:space="0" w:color="auto"/>
        <w:right w:val="none" w:sz="0" w:space="0" w:color="auto"/>
      </w:divBdr>
    </w:div>
    <w:div w:id="1205829259">
      <w:bodyDiv w:val="1"/>
      <w:marLeft w:val="0"/>
      <w:marRight w:val="0"/>
      <w:marTop w:val="0"/>
      <w:marBottom w:val="0"/>
      <w:divBdr>
        <w:top w:val="none" w:sz="0" w:space="0" w:color="auto"/>
        <w:left w:val="none" w:sz="0" w:space="0" w:color="auto"/>
        <w:bottom w:val="none" w:sz="0" w:space="0" w:color="auto"/>
        <w:right w:val="none" w:sz="0" w:space="0" w:color="auto"/>
      </w:divBdr>
    </w:div>
    <w:div w:id="1205829601">
      <w:bodyDiv w:val="1"/>
      <w:marLeft w:val="0"/>
      <w:marRight w:val="0"/>
      <w:marTop w:val="0"/>
      <w:marBottom w:val="0"/>
      <w:divBdr>
        <w:top w:val="none" w:sz="0" w:space="0" w:color="auto"/>
        <w:left w:val="none" w:sz="0" w:space="0" w:color="auto"/>
        <w:bottom w:val="none" w:sz="0" w:space="0" w:color="auto"/>
        <w:right w:val="none" w:sz="0" w:space="0" w:color="auto"/>
      </w:divBdr>
    </w:div>
    <w:div w:id="1205866653">
      <w:bodyDiv w:val="1"/>
      <w:marLeft w:val="0"/>
      <w:marRight w:val="0"/>
      <w:marTop w:val="0"/>
      <w:marBottom w:val="0"/>
      <w:divBdr>
        <w:top w:val="none" w:sz="0" w:space="0" w:color="auto"/>
        <w:left w:val="none" w:sz="0" w:space="0" w:color="auto"/>
        <w:bottom w:val="none" w:sz="0" w:space="0" w:color="auto"/>
        <w:right w:val="none" w:sz="0" w:space="0" w:color="auto"/>
      </w:divBdr>
    </w:div>
    <w:div w:id="1205949083">
      <w:bodyDiv w:val="1"/>
      <w:marLeft w:val="0"/>
      <w:marRight w:val="0"/>
      <w:marTop w:val="0"/>
      <w:marBottom w:val="0"/>
      <w:divBdr>
        <w:top w:val="none" w:sz="0" w:space="0" w:color="auto"/>
        <w:left w:val="none" w:sz="0" w:space="0" w:color="auto"/>
        <w:bottom w:val="none" w:sz="0" w:space="0" w:color="auto"/>
        <w:right w:val="none" w:sz="0" w:space="0" w:color="auto"/>
      </w:divBdr>
    </w:div>
    <w:div w:id="1206023291">
      <w:bodyDiv w:val="1"/>
      <w:marLeft w:val="0"/>
      <w:marRight w:val="0"/>
      <w:marTop w:val="0"/>
      <w:marBottom w:val="0"/>
      <w:divBdr>
        <w:top w:val="none" w:sz="0" w:space="0" w:color="auto"/>
        <w:left w:val="none" w:sz="0" w:space="0" w:color="auto"/>
        <w:bottom w:val="none" w:sz="0" w:space="0" w:color="auto"/>
        <w:right w:val="none" w:sz="0" w:space="0" w:color="auto"/>
      </w:divBdr>
    </w:div>
    <w:div w:id="1206066848">
      <w:bodyDiv w:val="1"/>
      <w:marLeft w:val="0"/>
      <w:marRight w:val="0"/>
      <w:marTop w:val="0"/>
      <w:marBottom w:val="0"/>
      <w:divBdr>
        <w:top w:val="none" w:sz="0" w:space="0" w:color="auto"/>
        <w:left w:val="none" w:sz="0" w:space="0" w:color="auto"/>
        <w:bottom w:val="none" w:sz="0" w:space="0" w:color="auto"/>
        <w:right w:val="none" w:sz="0" w:space="0" w:color="auto"/>
      </w:divBdr>
    </w:div>
    <w:div w:id="1206136492">
      <w:bodyDiv w:val="1"/>
      <w:marLeft w:val="0"/>
      <w:marRight w:val="0"/>
      <w:marTop w:val="0"/>
      <w:marBottom w:val="0"/>
      <w:divBdr>
        <w:top w:val="none" w:sz="0" w:space="0" w:color="auto"/>
        <w:left w:val="none" w:sz="0" w:space="0" w:color="auto"/>
        <w:bottom w:val="none" w:sz="0" w:space="0" w:color="auto"/>
        <w:right w:val="none" w:sz="0" w:space="0" w:color="auto"/>
      </w:divBdr>
    </w:div>
    <w:div w:id="1206139182">
      <w:bodyDiv w:val="1"/>
      <w:marLeft w:val="0"/>
      <w:marRight w:val="0"/>
      <w:marTop w:val="0"/>
      <w:marBottom w:val="0"/>
      <w:divBdr>
        <w:top w:val="none" w:sz="0" w:space="0" w:color="auto"/>
        <w:left w:val="none" w:sz="0" w:space="0" w:color="auto"/>
        <w:bottom w:val="none" w:sz="0" w:space="0" w:color="auto"/>
        <w:right w:val="none" w:sz="0" w:space="0" w:color="auto"/>
      </w:divBdr>
    </w:div>
    <w:div w:id="1206139603">
      <w:bodyDiv w:val="1"/>
      <w:marLeft w:val="0"/>
      <w:marRight w:val="0"/>
      <w:marTop w:val="0"/>
      <w:marBottom w:val="0"/>
      <w:divBdr>
        <w:top w:val="none" w:sz="0" w:space="0" w:color="auto"/>
        <w:left w:val="none" w:sz="0" w:space="0" w:color="auto"/>
        <w:bottom w:val="none" w:sz="0" w:space="0" w:color="auto"/>
        <w:right w:val="none" w:sz="0" w:space="0" w:color="auto"/>
      </w:divBdr>
    </w:div>
    <w:div w:id="1206328030">
      <w:bodyDiv w:val="1"/>
      <w:marLeft w:val="0"/>
      <w:marRight w:val="0"/>
      <w:marTop w:val="0"/>
      <w:marBottom w:val="0"/>
      <w:divBdr>
        <w:top w:val="none" w:sz="0" w:space="0" w:color="auto"/>
        <w:left w:val="none" w:sz="0" w:space="0" w:color="auto"/>
        <w:bottom w:val="none" w:sz="0" w:space="0" w:color="auto"/>
        <w:right w:val="none" w:sz="0" w:space="0" w:color="auto"/>
      </w:divBdr>
    </w:div>
    <w:div w:id="1206403773">
      <w:bodyDiv w:val="1"/>
      <w:marLeft w:val="0"/>
      <w:marRight w:val="0"/>
      <w:marTop w:val="0"/>
      <w:marBottom w:val="0"/>
      <w:divBdr>
        <w:top w:val="none" w:sz="0" w:space="0" w:color="auto"/>
        <w:left w:val="none" w:sz="0" w:space="0" w:color="auto"/>
        <w:bottom w:val="none" w:sz="0" w:space="0" w:color="auto"/>
        <w:right w:val="none" w:sz="0" w:space="0" w:color="auto"/>
      </w:divBdr>
    </w:div>
    <w:div w:id="1206410200">
      <w:bodyDiv w:val="1"/>
      <w:marLeft w:val="0"/>
      <w:marRight w:val="0"/>
      <w:marTop w:val="0"/>
      <w:marBottom w:val="0"/>
      <w:divBdr>
        <w:top w:val="none" w:sz="0" w:space="0" w:color="auto"/>
        <w:left w:val="none" w:sz="0" w:space="0" w:color="auto"/>
        <w:bottom w:val="none" w:sz="0" w:space="0" w:color="auto"/>
        <w:right w:val="none" w:sz="0" w:space="0" w:color="auto"/>
      </w:divBdr>
    </w:div>
    <w:div w:id="1206454360">
      <w:bodyDiv w:val="1"/>
      <w:marLeft w:val="0"/>
      <w:marRight w:val="0"/>
      <w:marTop w:val="0"/>
      <w:marBottom w:val="0"/>
      <w:divBdr>
        <w:top w:val="none" w:sz="0" w:space="0" w:color="auto"/>
        <w:left w:val="none" w:sz="0" w:space="0" w:color="auto"/>
        <w:bottom w:val="none" w:sz="0" w:space="0" w:color="auto"/>
        <w:right w:val="none" w:sz="0" w:space="0" w:color="auto"/>
      </w:divBdr>
    </w:div>
    <w:div w:id="1206524751">
      <w:bodyDiv w:val="1"/>
      <w:marLeft w:val="0"/>
      <w:marRight w:val="0"/>
      <w:marTop w:val="0"/>
      <w:marBottom w:val="0"/>
      <w:divBdr>
        <w:top w:val="none" w:sz="0" w:space="0" w:color="auto"/>
        <w:left w:val="none" w:sz="0" w:space="0" w:color="auto"/>
        <w:bottom w:val="none" w:sz="0" w:space="0" w:color="auto"/>
        <w:right w:val="none" w:sz="0" w:space="0" w:color="auto"/>
      </w:divBdr>
    </w:div>
    <w:div w:id="1206716079">
      <w:bodyDiv w:val="1"/>
      <w:marLeft w:val="0"/>
      <w:marRight w:val="0"/>
      <w:marTop w:val="0"/>
      <w:marBottom w:val="0"/>
      <w:divBdr>
        <w:top w:val="none" w:sz="0" w:space="0" w:color="auto"/>
        <w:left w:val="none" w:sz="0" w:space="0" w:color="auto"/>
        <w:bottom w:val="none" w:sz="0" w:space="0" w:color="auto"/>
        <w:right w:val="none" w:sz="0" w:space="0" w:color="auto"/>
      </w:divBdr>
    </w:div>
    <w:div w:id="1206720757">
      <w:bodyDiv w:val="1"/>
      <w:marLeft w:val="0"/>
      <w:marRight w:val="0"/>
      <w:marTop w:val="0"/>
      <w:marBottom w:val="0"/>
      <w:divBdr>
        <w:top w:val="none" w:sz="0" w:space="0" w:color="auto"/>
        <w:left w:val="none" w:sz="0" w:space="0" w:color="auto"/>
        <w:bottom w:val="none" w:sz="0" w:space="0" w:color="auto"/>
        <w:right w:val="none" w:sz="0" w:space="0" w:color="auto"/>
      </w:divBdr>
    </w:div>
    <w:div w:id="1207134474">
      <w:bodyDiv w:val="1"/>
      <w:marLeft w:val="0"/>
      <w:marRight w:val="0"/>
      <w:marTop w:val="0"/>
      <w:marBottom w:val="0"/>
      <w:divBdr>
        <w:top w:val="none" w:sz="0" w:space="0" w:color="auto"/>
        <w:left w:val="none" w:sz="0" w:space="0" w:color="auto"/>
        <w:bottom w:val="none" w:sz="0" w:space="0" w:color="auto"/>
        <w:right w:val="none" w:sz="0" w:space="0" w:color="auto"/>
      </w:divBdr>
    </w:div>
    <w:div w:id="1207181947">
      <w:bodyDiv w:val="1"/>
      <w:marLeft w:val="0"/>
      <w:marRight w:val="0"/>
      <w:marTop w:val="0"/>
      <w:marBottom w:val="0"/>
      <w:divBdr>
        <w:top w:val="none" w:sz="0" w:space="0" w:color="auto"/>
        <w:left w:val="none" w:sz="0" w:space="0" w:color="auto"/>
        <w:bottom w:val="none" w:sz="0" w:space="0" w:color="auto"/>
        <w:right w:val="none" w:sz="0" w:space="0" w:color="auto"/>
      </w:divBdr>
    </w:div>
    <w:div w:id="1207253263">
      <w:bodyDiv w:val="1"/>
      <w:marLeft w:val="0"/>
      <w:marRight w:val="0"/>
      <w:marTop w:val="0"/>
      <w:marBottom w:val="0"/>
      <w:divBdr>
        <w:top w:val="none" w:sz="0" w:space="0" w:color="auto"/>
        <w:left w:val="none" w:sz="0" w:space="0" w:color="auto"/>
        <w:bottom w:val="none" w:sz="0" w:space="0" w:color="auto"/>
        <w:right w:val="none" w:sz="0" w:space="0" w:color="auto"/>
      </w:divBdr>
    </w:div>
    <w:div w:id="1207328806">
      <w:bodyDiv w:val="1"/>
      <w:marLeft w:val="0"/>
      <w:marRight w:val="0"/>
      <w:marTop w:val="0"/>
      <w:marBottom w:val="0"/>
      <w:divBdr>
        <w:top w:val="none" w:sz="0" w:space="0" w:color="auto"/>
        <w:left w:val="none" w:sz="0" w:space="0" w:color="auto"/>
        <w:bottom w:val="none" w:sz="0" w:space="0" w:color="auto"/>
        <w:right w:val="none" w:sz="0" w:space="0" w:color="auto"/>
      </w:divBdr>
    </w:div>
    <w:div w:id="1207369891">
      <w:bodyDiv w:val="1"/>
      <w:marLeft w:val="0"/>
      <w:marRight w:val="0"/>
      <w:marTop w:val="0"/>
      <w:marBottom w:val="0"/>
      <w:divBdr>
        <w:top w:val="none" w:sz="0" w:space="0" w:color="auto"/>
        <w:left w:val="none" w:sz="0" w:space="0" w:color="auto"/>
        <w:bottom w:val="none" w:sz="0" w:space="0" w:color="auto"/>
        <w:right w:val="none" w:sz="0" w:space="0" w:color="auto"/>
      </w:divBdr>
    </w:div>
    <w:div w:id="1207526559">
      <w:bodyDiv w:val="1"/>
      <w:marLeft w:val="0"/>
      <w:marRight w:val="0"/>
      <w:marTop w:val="0"/>
      <w:marBottom w:val="0"/>
      <w:divBdr>
        <w:top w:val="none" w:sz="0" w:space="0" w:color="auto"/>
        <w:left w:val="none" w:sz="0" w:space="0" w:color="auto"/>
        <w:bottom w:val="none" w:sz="0" w:space="0" w:color="auto"/>
        <w:right w:val="none" w:sz="0" w:space="0" w:color="auto"/>
      </w:divBdr>
    </w:div>
    <w:div w:id="1207529097">
      <w:bodyDiv w:val="1"/>
      <w:marLeft w:val="0"/>
      <w:marRight w:val="0"/>
      <w:marTop w:val="0"/>
      <w:marBottom w:val="0"/>
      <w:divBdr>
        <w:top w:val="none" w:sz="0" w:space="0" w:color="auto"/>
        <w:left w:val="none" w:sz="0" w:space="0" w:color="auto"/>
        <w:bottom w:val="none" w:sz="0" w:space="0" w:color="auto"/>
        <w:right w:val="none" w:sz="0" w:space="0" w:color="auto"/>
      </w:divBdr>
    </w:div>
    <w:div w:id="1207570584">
      <w:bodyDiv w:val="1"/>
      <w:marLeft w:val="0"/>
      <w:marRight w:val="0"/>
      <w:marTop w:val="0"/>
      <w:marBottom w:val="0"/>
      <w:divBdr>
        <w:top w:val="none" w:sz="0" w:space="0" w:color="auto"/>
        <w:left w:val="none" w:sz="0" w:space="0" w:color="auto"/>
        <w:bottom w:val="none" w:sz="0" w:space="0" w:color="auto"/>
        <w:right w:val="none" w:sz="0" w:space="0" w:color="auto"/>
      </w:divBdr>
    </w:div>
    <w:div w:id="1207597234">
      <w:bodyDiv w:val="1"/>
      <w:marLeft w:val="0"/>
      <w:marRight w:val="0"/>
      <w:marTop w:val="0"/>
      <w:marBottom w:val="0"/>
      <w:divBdr>
        <w:top w:val="none" w:sz="0" w:space="0" w:color="auto"/>
        <w:left w:val="none" w:sz="0" w:space="0" w:color="auto"/>
        <w:bottom w:val="none" w:sz="0" w:space="0" w:color="auto"/>
        <w:right w:val="none" w:sz="0" w:space="0" w:color="auto"/>
      </w:divBdr>
    </w:div>
    <w:div w:id="1207714924">
      <w:bodyDiv w:val="1"/>
      <w:marLeft w:val="0"/>
      <w:marRight w:val="0"/>
      <w:marTop w:val="0"/>
      <w:marBottom w:val="0"/>
      <w:divBdr>
        <w:top w:val="none" w:sz="0" w:space="0" w:color="auto"/>
        <w:left w:val="none" w:sz="0" w:space="0" w:color="auto"/>
        <w:bottom w:val="none" w:sz="0" w:space="0" w:color="auto"/>
        <w:right w:val="none" w:sz="0" w:space="0" w:color="auto"/>
      </w:divBdr>
    </w:div>
    <w:div w:id="1207717067">
      <w:bodyDiv w:val="1"/>
      <w:marLeft w:val="0"/>
      <w:marRight w:val="0"/>
      <w:marTop w:val="0"/>
      <w:marBottom w:val="0"/>
      <w:divBdr>
        <w:top w:val="none" w:sz="0" w:space="0" w:color="auto"/>
        <w:left w:val="none" w:sz="0" w:space="0" w:color="auto"/>
        <w:bottom w:val="none" w:sz="0" w:space="0" w:color="auto"/>
        <w:right w:val="none" w:sz="0" w:space="0" w:color="auto"/>
      </w:divBdr>
    </w:div>
    <w:div w:id="1207792205">
      <w:bodyDiv w:val="1"/>
      <w:marLeft w:val="0"/>
      <w:marRight w:val="0"/>
      <w:marTop w:val="0"/>
      <w:marBottom w:val="0"/>
      <w:divBdr>
        <w:top w:val="none" w:sz="0" w:space="0" w:color="auto"/>
        <w:left w:val="none" w:sz="0" w:space="0" w:color="auto"/>
        <w:bottom w:val="none" w:sz="0" w:space="0" w:color="auto"/>
        <w:right w:val="none" w:sz="0" w:space="0" w:color="auto"/>
      </w:divBdr>
    </w:div>
    <w:div w:id="1207908953">
      <w:bodyDiv w:val="1"/>
      <w:marLeft w:val="0"/>
      <w:marRight w:val="0"/>
      <w:marTop w:val="0"/>
      <w:marBottom w:val="0"/>
      <w:divBdr>
        <w:top w:val="none" w:sz="0" w:space="0" w:color="auto"/>
        <w:left w:val="none" w:sz="0" w:space="0" w:color="auto"/>
        <w:bottom w:val="none" w:sz="0" w:space="0" w:color="auto"/>
        <w:right w:val="none" w:sz="0" w:space="0" w:color="auto"/>
      </w:divBdr>
    </w:div>
    <w:div w:id="1207911667">
      <w:bodyDiv w:val="1"/>
      <w:marLeft w:val="0"/>
      <w:marRight w:val="0"/>
      <w:marTop w:val="0"/>
      <w:marBottom w:val="0"/>
      <w:divBdr>
        <w:top w:val="none" w:sz="0" w:space="0" w:color="auto"/>
        <w:left w:val="none" w:sz="0" w:space="0" w:color="auto"/>
        <w:bottom w:val="none" w:sz="0" w:space="0" w:color="auto"/>
        <w:right w:val="none" w:sz="0" w:space="0" w:color="auto"/>
      </w:divBdr>
    </w:div>
    <w:div w:id="1208026357">
      <w:bodyDiv w:val="1"/>
      <w:marLeft w:val="0"/>
      <w:marRight w:val="0"/>
      <w:marTop w:val="0"/>
      <w:marBottom w:val="0"/>
      <w:divBdr>
        <w:top w:val="none" w:sz="0" w:space="0" w:color="auto"/>
        <w:left w:val="none" w:sz="0" w:space="0" w:color="auto"/>
        <w:bottom w:val="none" w:sz="0" w:space="0" w:color="auto"/>
        <w:right w:val="none" w:sz="0" w:space="0" w:color="auto"/>
      </w:divBdr>
    </w:div>
    <w:div w:id="1208105823">
      <w:bodyDiv w:val="1"/>
      <w:marLeft w:val="0"/>
      <w:marRight w:val="0"/>
      <w:marTop w:val="0"/>
      <w:marBottom w:val="0"/>
      <w:divBdr>
        <w:top w:val="none" w:sz="0" w:space="0" w:color="auto"/>
        <w:left w:val="none" w:sz="0" w:space="0" w:color="auto"/>
        <w:bottom w:val="none" w:sz="0" w:space="0" w:color="auto"/>
        <w:right w:val="none" w:sz="0" w:space="0" w:color="auto"/>
      </w:divBdr>
    </w:div>
    <w:div w:id="1208179227">
      <w:bodyDiv w:val="1"/>
      <w:marLeft w:val="0"/>
      <w:marRight w:val="0"/>
      <w:marTop w:val="0"/>
      <w:marBottom w:val="0"/>
      <w:divBdr>
        <w:top w:val="none" w:sz="0" w:space="0" w:color="auto"/>
        <w:left w:val="none" w:sz="0" w:space="0" w:color="auto"/>
        <w:bottom w:val="none" w:sz="0" w:space="0" w:color="auto"/>
        <w:right w:val="none" w:sz="0" w:space="0" w:color="auto"/>
      </w:divBdr>
    </w:div>
    <w:div w:id="1208302527">
      <w:bodyDiv w:val="1"/>
      <w:marLeft w:val="0"/>
      <w:marRight w:val="0"/>
      <w:marTop w:val="0"/>
      <w:marBottom w:val="0"/>
      <w:divBdr>
        <w:top w:val="none" w:sz="0" w:space="0" w:color="auto"/>
        <w:left w:val="none" w:sz="0" w:space="0" w:color="auto"/>
        <w:bottom w:val="none" w:sz="0" w:space="0" w:color="auto"/>
        <w:right w:val="none" w:sz="0" w:space="0" w:color="auto"/>
      </w:divBdr>
    </w:div>
    <w:div w:id="1208420641">
      <w:bodyDiv w:val="1"/>
      <w:marLeft w:val="0"/>
      <w:marRight w:val="0"/>
      <w:marTop w:val="0"/>
      <w:marBottom w:val="0"/>
      <w:divBdr>
        <w:top w:val="none" w:sz="0" w:space="0" w:color="auto"/>
        <w:left w:val="none" w:sz="0" w:space="0" w:color="auto"/>
        <w:bottom w:val="none" w:sz="0" w:space="0" w:color="auto"/>
        <w:right w:val="none" w:sz="0" w:space="0" w:color="auto"/>
      </w:divBdr>
    </w:div>
    <w:div w:id="1208445725">
      <w:bodyDiv w:val="1"/>
      <w:marLeft w:val="0"/>
      <w:marRight w:val="0"/>
      <w:marTop w:val="0"/>
      <w:marBottom w:val="0"/>
      <w:divBdr>
        <w:top w:val="none" w:sz="0" w:space="0" w:color="auto"/>
        <w:left w:val="none" w:sz="0" w:space="0" w:color="auto"/>
        <w:bottom w:val="none" w:sz="0" w:space="0" w:color="auto"/>
        <w:right w:val="none" w:sz="0" w:space="0" w:color="auto"/>
      </w:divBdr>
    </w:div>
    <w:div w:id="1208487212">
      <w:bodyDiv w:val="1"/>
      <w:marLeft w:val="0"/>
      <w:marRight w:val="0"/>
      <w:marTop w:val="0"/>
      <w:marBottom w:val="0"/>
      <w:divBdr>
        <w:top w:val="none" w:sz="0" w:space="0" w:color="auto"/>
        <w:left w:val="none" w:sz="0" w:space="0" w:color="auto"/>
        <w:bottom w:val="none" w:sz="0" w:space="0" w:color="auto"/>
        <w:right w:val="none" w:sz="0" w:space="0" w:color="auto"/>
      </w:divBdr>
    </w:div>
    <w:div w:id="1208490889">
      <w:bodyDiv w:val="1"/>
      <w:marLeft w:val="0"/>
      <w:marRight w:val="0"/>
      <w:marTop w:val="0"/>
      <w:marBottom w:val="0"/>
      <w:divBdr>
        <w:top w:val="none" w:sz="0" w:space="0" w:color="auto"/>
        <w:left w:val="none" w:sz="0" w:space="0" w:color="auto"/>
        <w:bottom w:val="none" w:sz="0" w:space="0" w:color="auto"/>
        <w:right w:val="none" w:sz="0" w:space="0" w:color="auto"/>
      </w:divBdr>
    </w:div>
    <w:div w:id="1208493186">
      <w:bodyDiv w:val="1"/>
      <w:marLeft w:val="0"/>
      <w:marRight w:val="0"/>
      <w:marTop w:val="0"/>
      <w:marBottom w:val="0"/>
      <w:divBdr>
        <w:top w:val="none" w:sz="0" w:space="0" w:color="auto"/>
        <w:left w:val="none" w:sz="0" w:space="0" w:color="auto"/>
        <w:bottom w:val="none" w:sz="0" w:space="0" w:color="auto"/>
        <w:right w:val="none" w:sz="0" w:space="0" w:color="auto"/>
      </w:divBdr>
    </w:div>
    <w:div w:id="1208566970">
      <w:bodyDiv w:val="1"/>
      <w:marLeft w:val="0"/>
      <w:marRight w:val="0"/>
      <w:marTop w:val="0"/>
      <w:marBottom w:val="0"/>
      <w:divBdr>
        <w:top w:val="none" w:sz="0" w:space="0" w:color="auto"/>
        <w:left w:val="none" w:sz="0" w:space="0" w:color="auto"/>
        <w:bottom w:val="none" w:sz="0" w:space="0" w:color="auto"/>
        <w:right w:val="none" w:sz="0" w:space="0" w:color="auto"/>
      </w:divBdr>
    </w:div>
    <w:div w:id="1208641199">
      <w:bodyDiv w:val="1"/>
      <w:marLeft w:val="0"/>
      <w:marRight w:val="0"/>
      <w:marTop w:val="0"/>
      <w:marBottom w:val="0"/>
      <w:divBdr>
        <w:top w:val="none" w:sz="0" w:space="0" w:color="auto"/>
        <w:left w:val="none" w:sz="0" w:space="0" w:color="auto"/>
        <w:bottom w:val="none" w:sz="0" w:space="0" w:color="auto"/>
        <w:right w:val="none" w:sz="0" w:space="0" w:color="auto"/>
      </w:divBdr>
    </w:div>
    <w:div w:id="1208683050">
      <w:bodyDiv w:val="1"/>
      <w:marLeft w:val="0"/>
      <w:marRight w:val="0"/>
      <w:marTop w:val="0"/>
      <w:marBottom w:val="0"/>
      <w:divBdr>
        <w:top w:val="none" w:sz="0" w:space="0" w:color="auto"/>
        <w:left w:val="none" w:sz="0" w:space="0" w:color="auto"/>
        <w:bottom w:val="none" w:sz="0" w:space="0" w:color="auto"/>
        <w:right w:val="none" w:sz="0" w:space="0" w:color="auto"/>
      </w:divBdr>
    </w:div>
    <w:div w:id="1208687697">
      <w:bodyDiv w:val="1"/>
      <w:marLeft w:val="0"/>
      <w:marRight w:val="0"/>
      <w:marTop w:val="0"/>
      <w:marBottom w:val="0"/>
      <w:divBdr>
        <w:top w:val="none" w:sz="0" w:space="0" w:color="auto"/>
        <w:left w:val="none" w:sz="0" w:space="0" w:color="auto"/>
        <w:bottom w:val="none" w:sz="0" w:space="0" w:color="auto"/>
        <w:right w:val="none" w:sz="0" w:space="0" w:color="auto"/>
      </w:divBdr>
    </w:div>
    <w:div w:id="1208756827">
      <w:bodyDiv w:val="1"/>
      <w:marLeft w:val="0"/>
      <w:marRight w:val="0"/>
      <w:marTop w:val="0"/>
      <w:marBottom w:val="0"/>
      <w:divBdr>
        <w:top w:val="none" w:sz="0" w:space="0" w:color="auto"/>
        <w:left w:val="none" w:sz="0" w:space="0" w:color="auto"/>
        <w:bottom w:val="none" w:sz="0" w:space="0" w:color="auto"/>
        <w:right w:val="none" w:sz="0" w:space="0" w:color="auto"/>
      </w:divBdr>
    </w:div>
    <w:div w:id="1208759207">
      <w:bodyDiv w:val="1"/>
      <w:marLeft w:val="0"/>
      <w:marRight w:val="0"/>
      <w:marTop w:val="0"/>
      <w:marBottom w:val="0"/>
      <w:divBdr>
        <w:top w:val="none" w:sz="0" w:space="0" w:color="auto"/>
        <w:left w:val="none" w:sz="0" w:space="0" w:color="auto"/>
        <w:bottom w:val="none" w:sz="0" w:space="0" w:color="auto"/>
        <w:right w:val="none" w:sz="0" w:space="0" w:color="auto"/>
      </w:divBdr>
    </w:div>
    <w:div w:id="1208761670">
      <w:bodyDiv w:val="1"/>
      <w:marLeft w:val="0"/>
      <w:marRight w:val="0"/>
      <w:marTop w:val="0"/>
      <w:marBottom w:val="0"/>
      <w:divBdr>
        <w:top w:val="none" w:sz="0" w:space="0" w:color="auto"/>
        <w:left w:val="none" w:sz="0" w:space="0" w:color="auto"/>
        <w:bottom w:val="none" w:sz="0" w:space="0" w:color="auto"/>
        <w:right w:val="none" w:sz="0" w:space="0" w:color="auto"/>
      </w:divBdr>
    </w:div>
    <w:div w:id="1208762989">
      <w:bodyDiv w:val="1"/>
      <w:marLeft w:val="0"/>
      <w:marRight w:val="0"/>
      <w:marTop w:val="0"/>
      <w:marBottom w:val="0"/>
      <w:divBdr>
        <w:top w:val="none" w:sz="0" w:space="0" w:color="auto"/>
        <w:left w:val="none" w:sz="0" w:space="0" w:color="auto"/>
        <w:bottom w:val="none" w:sz="0" w:space="0" w:color="auto"/>
        <w:right w:val="none" w:sz="0" w:space="0" w:color="auto"/>
      </w:divBdr>
    </w:div>
    <w:div w:id="1208831393">
      <w:bodyDiv w:val="1"/>
      <w:marLeft w:val="0"/>
      <w:marRight w:val="0"/>
      <w:marTop w:val="0"/>
      <w:marBottom w:val="0"/>
      <w:divBdr>
        <w:top w:val="none" w:sz="0" w:space="0" w:color="auto"/>
        <w:left w:val="none" w:sz="0" w:space="0" w:color="auto"/>
        <w:bottom w:val="none" w:sz="0" w:space="0" w:color="auto"/>
        <w:right w:val="none" w:sz="0" w:space="0" w:color="auto"/>
      </w:divBdr>
    </w:div>
    <w:div w:id="1208906355">
      <w:bodyDiv w:val="1"/>
      <w:marLeft w:val="0"/>
      <w:marRight w:val="0"/>
      <w:marTop w:val="0"/>
      <w:marBottom w:val="0"/>
      <w:divBdr>
        <w:top w:val="none" w:sz="0" w:space="0" w:color="auto"/>
        <w:left w:val="none" w:sz="0" w:space="0" w:color="auto"/>
        <w:bottom w:val="none" w:sz="0" w:space="0" w:color="auto"/>
        <w:right w:val="none" w:sz="0" w:space="0" w:color="auto"/>
      </w:divBdr>
    </w:div>
    <w:div w:id="1208951393">
      <w:bodyDiv w:val="1"/>
      <w:marLeft w:val="0"/>
      <w:marRight w:val="0"/>
      <w:marTop w:val="0"/>
      <w:marBottom w:val="0"/>
      <w:divBdr>
        <w:top w:val="none" w:sz="0" w:space="0" w:color="auto"/>
        <w:left w:val="none" w:sz="0" w:space="0" w:color="auto"/>
        <w:bottom w:val="none" w:sz="0" w:space="0" w:color="auto"/>
        <w:right w:val="none" w:sz="0" w:space="0" w:color="auto"/>
      </w:divBdr>
    </w:div>
    <w:div w:id="1209033844">
      <w:bodyDiv w:val="1"/>
      <w:marLeft w:val="0"/>
      <w:marRight w:val="0"/>
      <w:marTop w:val="0"/>
      <w:marBottom w:val="0"/>
      <w:divBdr>
        <w:top w:val="none" w:sz="0" w:space="0" w:color="auto"/>
        <w:left w:val="none" w:sz="0" w:space="0" w:color="auto"/>
        <w:bottom w:val="none" w:sz="0" w:space="0" w:color="auto"/>
        <w:right w:val="none" w:sz="0" w:space="0" w:color="auto"/>
      </w:divBdr>
    </w:div>
    <w:div w:id="1209148486">
      <w:bodyDiv w:val="1"/>
      <w:marLeft w:val="0"/>
      <w:marRight w:val="0"/>
      <w:marTop w:val="0"/>
      <w:marBottom w:val="0"/>
      <w:divBdr>
        <w:top w:val="none" w:sz="0" w:space="0" w:color="auto"/>
        <w:left w:val="none" w:sz="0" w:space="0" w:color="auto"/>
        <w:bottom w:val="none" w:sz="0" w:space="0" w:color="auto"/>
        <w:right w:val="none" w:sz="0" w:space="0" w:color="auto"/>
      </w:divBdr>
    </w:div>
    <w:div w:id="1209225216">
      <w:bodyDiv w:val="1"/>
      <w:marLeft w:val="0"/>
      <w:marRight w:val="0"/>
      <w:marTop w:val="0"/>
      <w:marBottom w:val="0"/>
      <w:divBdr>
        <w:top w:val="none" w:sz="0" w:space="0" w:color="auto"/>
        <w:left w:val="none" w:sz="0" w:space="0" w:color="auto"/>
        <w:bottom w:val="none" w:sz="0" w:space="0" w:color="auto"/>
        <w:right w:val="none" w:sz="0" w:space="0" w:color="auto"/>
      </w:divBdr>
    </w:div>
    <w:div w:id="1209298075">
      <w:bodyDiv w:val="1"/>
      <w:marLeft w:val="0"/>
      <w:marRight w:val="0"/>
      <w:marTop w:val="0"/>
      <w:marBottom w:val="0"/>
      <w:divBdr>
        <w:top w:val="none" w:sz="0" w:space="0" w:color="auto"/>
        <w:left w:val="none" w:sz="0" w:space="0" w:color="auto"/>
        <w:bottom w:val="none" w:sz="0" w:space="0" w:color="auto"/>
        <w:right w:val="none" w:sz="0" w:space="0" w:color="auto"/>
      </w:divBdr>
    </w:div>
    <w:div w:id="1209343151">
      <w:bodyDiv w:val="1"/>
      <w:marLeft w:val="0"/>
      <w:marRight w:val="0"/>
      <w:marTop w:val="0"/>
      <w:marBottom w:val="0"/>
      <w:divBdr>
        <w:top w:val="none" w:sz="0" w:space="0" w:color="auto"/>
        <w:left w:val="none" w:sz="0" w:space="0" w:color="auto"/>
        <w:bottom w:val="none" w:sz="0" w:space="0" w:color="auto"/>
        <w:right w:val="none" w:sz="0" w:space="0" w:color="auto"/>
      </w:divBdr>
    </w:div>
    <w:div w:id="1209492654">
      <w:bodyDiv w:val="1"/>
      <w:marLeft w:val="0"/>
      <w:marRight w:val="0"/>
      <w:marTop w:val="0"/>
      <w:marBottom w:val="0"/>
      <w:divBdr>
        <w:top w:val="none" w:sz="0" w:space="0" w:color="auto"/>
        <w:left w:val="none" w:sz="0" w:space="0" w:color="auto"/>
        <w:bottom w:val="none" w:sz="0" w:space="0" w:color="auto"/>
        <w:right w:val="none" w:sz="0" w:space="0" w:color="auto"/>
      </w:divBdr>
    </w:div>
    <w:div w:id="1209561842">
      <w:bodyDiv w:val="1"/>
      <w:marLeft w:val="0"/>
      <w:marRight w:val="0"/>
      <w:marTop w:val="0"/>
      <w:marBottom w:val="0"/>
      <w:divBdr>
        <w:top w:val="none" w:sz="0" w:space="0" w:color="auto"/>
        <w:left w:val="none" w:sz="0" w:space="0" w:color="auto"/>
        <w:bottom w:val="none" w:sz="0" w:space="0" w:color="auto"/>
        <w:right w:val="none" w:sz="0" w:space="0" w:color="auto"/>
      </w:divBdr>
    </w:div>
    <w:div w:id="1209604307">
      <w:bodyDiv w:val="1"/>
      <w:marLeft w:val="0"/>
      <w:marRight w:val="0"/>
      <w:marTop w:val="0"/>
      <w:marBottom w:val="0"/>
      <w:divBdr>
        <w:top w:val="none" w:sz="0" w:space="0" w:color="auto"/>
        <w:left w:val="none" w:sz="0" w:space="0" w:color="auto"/>
        <w:bottom w:val="none" w:sz="0" w:space="0" w:color="auto"/>
        <w:right w:val="none" w:sz="0" w:space="0" w:color="auto"/>
      </w:divBdr>
    </w:div>
    <w:div w:id="1209611224">
      <w:bodyDiv w:val="1"/>
      <w:marLeft w:val="0"/>
      <w:marRight w:val="0"/>
      <w:marTop w:val="0"/>
      <w:marBottom w:val="0"/>
      <w:divBdr>
        <w:top w:val="none" w:sz="0" w:space="0" w:color="auto"/>
        <w:left w:val="none" w:sz="0" w:space="0" w:color="auto"/>
        <w:bottom w:val="none" w:sz="0" w:space="0" w:color="auto"/>
        <w:right w:val="none" w:sz="0" w:space="0" w:color="auto"/>
      </w:divBdr>
    </w:div>
    <w:div w:id="1209688727">
      <w:bodyDiv w:val="1"/>
      <w:marLeft w:val="0"/>
      <w:marRight w:val="0"/>
      <w:marTop w:val="0"/>
      <w:marBottom w:val="0"/>
      <w:divBdr>
        <w:top w:val="none" w:sz="0" w:space="0" w:color="auto"/>
        <w:left w:val="none" w:sz="0" w:space="0" w:color="auto"/>
        <w:bottom w:val="none" w:sz="0" w:space="0" w:color="auto"/>
        <w:right w:val="none" w:sz="0" w:space="0" w:color="auto"/>
      </w:divBdr>
    </w:div>
    <w:div w:id="1209882083">
      <w:bodyDiv w:val="1"/>
      <w:marLeft w:val="0"/>
      <w:marRight w:val="0"/>
      <w:marTop w:val="0"/>
      <w:marBottom w:val="0"/>
      <w:divBdr>
        <w:top w:val="none" w:sz="0" w:space="0" w:color="auto"/>
        <w:left w:val="none" w:sz="0" w:space="0" w:color="auto"/>
        <w:bottom w:val="none" w:sz="0" w:space="0" w:color="auto"/>
        <w:right w:val="none" w:sz="0" w:space="0" w:color="auto"/>
      </w:divBdr>
    </w:div>
    <w:div w:id="1209948675">
      <w:bodyDiv w:val="1"/>
      <w:marLeft w:val="0"/>
      <w:marRight w:val="0"/>
      <w:marTop w:val="0"/>
      <w:marBottom w:val="0"/>
      <w:divBdr>
        <w:top w:val="none" w:sz="0" w:space="0" w:color="auto"/>
        <w:left w:val="none" w:sz="0" w:space="0" w:color="auto"/>
        <w:bottom w:val="none" w:sz="0" w:space="0" w:color="auto"/>
        <w:right w:val="none" w:sz="0" w:space="0" w:color="auto"/>
      </w:divBdr>
    </w:div>
    <w:div w:id="1209950691">
      <w:bodyDiv w:val="1"/>
      <w:marLeft w:val="0"/>
      <w:marRight w:val="0"/>
      <w:marTop w:val="0"/>
      <w:marBottom w:val="0"/>
      <w:divBdr>
        <w:top w:val="none" w:sz="0" w:space="0" w:color="auto"/>
        <w:left w:val="none" w:sz="0" w:space="0" w:color="auto"/>
        <w:bottom w:val="none" w:sz="0" w:space="0" w:color="auto"/>
        <w:right w:val="none" w:sz="0" w:space="0" w:color="auto"/>
      </w:divBdr>
    </w:div>
    <w:div w:id="1209993077">
      <w:bodyDiv w:val="1"/>
      <w:marLeft w:val="0"/>
      <w:marRight w:val="0"/>
      <w:marTop w:val="0"/>
      <w:marBottom w:val="0"/>
      <w:divBdr>
        <w:top w:val="none" w:sz="0" w:space="0" w:color="auto"/>
        <w:left w:val="none" w:sz="0" w:space="0" w:color="auto"/>
        <w:bottom w:val="none" w:sz="0" w:space="0" w:color="auto"/>
        <w:right w:val="none" w:sz="0" w:space="0" w:color="auto"/>
      </w:divBdr>
    </w:div>
    <w:div w:id="1209994766">
      <w:bodyDiv w:val="1"/>
      <w:marLeft w:val="0"/>
      <w:marRight w:val="0"/>
      <w:marTop w:val="0"/>
      <w:marBottom w:val="0"/>
      <w:divBdr>
        <w:top w:val="none" w:sz="0" w:space="0" w:color="auto"/>
        <w:left w:val="none" w:sz="0" w:space="0" w:color="auto"/>
        <w:bottom w:val="none" w:sz="0" w:space="0" w:color="auto"/>
        <w:right w:val="none" w:sz="0" w:space="0" w:color="auto"/>
      </w:divBdr>
    </w:div>
    <w:div w:id="1209996087">
      <w:bodyDiv w:val="1"/>
      <w:marLeft w:val="0"/>
      <w:marRight w:val="0"/>
      <w:marTop w:val="0"/>
      <w:marBottom w:val="0"/>
      <w:divBdr>
        <w:top w:val="none" w:sz="0" w:space="0" w:color="auto"/>
        <w:left w:val="none" w:sz="0" w:space="0" w:color="auto"/>
        <w:bottom w:val="none" w:sz="0" w:space="0" w:color="auto"/>
        <w:right w:val="none" w:sz="0" w:space="0" w:color="auto"/>
      </w:divBdr>
    </w:div>
    <w:div w:id="1210071541">
      <w:bodyDiv w:val="1"/>
      <w:marLeft w:val="0"/>
      <w:marRight w:val="0"/>
      <w:marTop w:val="0"/>
      <w:marBottom w:val="0"/>
      <w:divBdr>
        <w:top w:val="none" w:sz="0" w:space="0" w:color="auto"/>
        <w:left w:val="none" w:sz="0" w:space="0" w:color="auto"/>
        <w:bottom w:val="none" w:sz="0" w:space="0" w:color="auto"/>
        <w:right w:val="none" w:sz="0" w:space="0" w:color="auto"/>
      </w:divBdr>
    </w:div>
    <w:div w:id="1210075772">
      <w:bodyDiv w:val="1"/>
      <w:marLeft w:val="0"/>
      <w:marRight w:val="0"/>
      <w:marTop w:val="0"/>
      <w:marBottom w:val="0"/>
      <w:divBdr>
        <w:top w:val="none" w:sz="0" w:space="0" w:color="auto"/>
        <w:left w:val="none" w:sz="0" w:space="0" w:color="auto"/>
        <w:bottom w:val="none" w:sz="0" w:space="0" w:color="auto"/>
        <w:right w:val="none" w:sz="0" w:space="0" w:color="auto"/>
      </w:divBdr>
    </w:div>
    <w:div w:id="1210145072">
      <w:bodyDiv w:val="1"/>
      <w:marLeft w:val="0"/>
      <w:marRight w:val="0"/>
      <w:marTop w:val="0"/>
      <w:marBottom w:val="0"/>
      <w:divBdr>
        <w:top w:val="none" w:sz="0" w:space="0" w:color="auto"/>
        <w:left w:val="none" w:sz="0" w:space="0" w:color="auto"/>
        <w:bottom w:val="none" w:sz="0" w:space="0" w:color="auto"/>
        <w:right w:val="none" w:sz="0" w:space="0" w:color="auto"/>
      </w:divBdr>
    </w:div>
    <w:div w:id="1210146747">
      <w:bodyDiv w:val="1"/>
      <w:marLeft w:val="0"/>
      <w:marRight w:val="0"/>
      <w:marTop w:val="0"/>
      <w:marBottom w:val="0"/>
      <w:divBdr>
        <w:top w:val="none" w:sz="0" w:space="0" w:color="auto"/>
        <w:left w:val="none" w:sz="0" w:space="0" w:color="auto"/>
        <w:bottom w:val="none" w:sz="0" w:space="0" w:color="auto"/>
        <w:right w:val="none" w:sz="0" w:space="0" w:color="auto"/>
      </w:divBdr>
    </w:div>
    <w:div w:id="1210193517">
      <w:bodyDiv w:val="1"/>
      <w:marLeft w:val="0"/>
      <w:marRight w:val="0"/>
      <w:marTop w:val="0"/>
      <w:marBottom w:val="0"/>
      <w:divBdr>
        <w:top w:val="none" w:sz="0" w:space="0" w:color="auto"/>
        <w:left w:val="none" w:sz="0" w:space="0" w:color="auto"/>
        <w:bottom w:val="none" w:sz="0" w:space="0" w:color="auto"/>
        <w:right w:val="none" w:sz="0" w:space="0" w:color="auto"/>
      </w:divBdr>
    </w:div>
    <w:div w:id="1210338641">
      <w:bodyDiv w:val="1"/>
      <w:marLeft w:val="0"/>
      <w:marRight w:val="0"/>
      <w:marTop w:val="0"/>
      <w:marBottom w:val="0"/>
      <w:divBdr>
        <w:top w:val="none" w:sz="0" w:space="0" w:color="auto"/>
        <w:left w:val="none" w:sz="0" w:space="0" w:color="auto"/>
        <w:bottom w:val="none" w:sz="0" w:space="0" w:color="auto"/>
        <w:right w:val="none" w:sz="0" w:space="0" w:color="auto"/>
      </w:divBdr>
    </w:div>
    <w:div w:id="1210344121">
      <w:bodyDiv w:val="1"/>
      <w:marLeft w:val="0"/>
      <w:marRight w:val="0"/>
      <w:marTop w:val="0"/>
      <w:marBottom w:val="0"/>
      <w:divBdr>
        <w:top w:val="none" w:sz="0" w:space="0" w:color="auto"/>
        <w:left w:val="none" w:sz="0" w:space="0" w:color="auto"/>
        <w:bottom w:val="none" w:sz="0" w:space="0" w:color="auto"/>
        <w:right w:val="none" w:sz="0" w:space="0" w:color="auto"/>
      </w:divBdr>
    </w:div>
    <w:div w:id="1210457570">
      <w:bodyDiv w:val="1"/>
      <w:marLeft w:val="0"/>
      <w:marRight w:val="0"/>
      <w:marTop w:val="0"/>
      <w:marBottom w:val="0"/>
      <w:divBdr>
        <w:top w:val="none" w:sz="0" w:space="0" w:color="auto"/>
        <w:left w:val="none" w:sz="0" w:space="0" w:color="auto"/>
        <w:bottom w:val="none" w:sz="0" w:space="0" w:color="auto"/>
        <w:right w:val="none" w:sz="0" w:space="0" w:color="auto"/>
      </w:divBdr>
    </w:div>
    <w:div w:id="1210846484">
      <w:bodyDiv w:val="1"/>
      <w:marLeft w:val="0"/>
      <w:marRight w:val="0"/>
      <w:marTop w:val="0"/>
      <w:marBottom w:val="0"/>
      <w:divBdr>
        <w:top w:val="none" w:sz="0" w:space="0" w:color="auto"/>
        <w:left w:val="none" w:sz="0" w:space="0" w:color="auto"/>
        <w:bottom w:val="none" w:sz="0" w:space="0" w:color="auto"/>
        <w:right w:val="none" w:sz="0" w:space="0" w:color="auto"/>
      </w:divBdr>
    </w:div>
    <w:div w:id="1210915331">
      <w:bodyDiv w:val="1"/>
      <w:marLeft w:val="0"/>
      <w:marRight w:val="0"/>
      <w:marTop w:val="0"/>
      <w:marBottom w:val="0"/>
      <w:divBdr>
        <w:top w:val="none" w:sz="0" w:space="0" w:color="auto"/>
        <w:left w:val="none" w:sz="0" w:space="0" w:color="auto"/>
        <w:bottom w:val="none" w:sz="0" w:space="0" w:color="auto"/>
        <w:right w:val="none" w:sz="0" w:space="0" w:color="auto"/>
      </w:divBdr>
    </w:div>
    <w:div w:id="1210919076">
      <w:bodyDiv w:val="1"/>
      <w:marLeft w:val="0"/>
      <w:marRight w:val="0"/>
      <w:marTop w:val="0"/>
      <w:marBottom w:val="0"/>
      <w:divBdr>
        <w:top w:val="none" w:sz="0" w:space="0" w:color="auto"/>
        <w:left w:val="none" w:sz="0" w:space="0" w:color="auto"/>
        <w:bottom w:val="none" w:sz="0" w:space="0" w:color="auto"/>
        <w:right w:val="none" w:sz="0" w:space="0" w:color="auto"/>
      </w:divBdr>
    </w:div>
    <w:div w:id="1211068866">
      <w:bodyDiv w:val="1"/>
      <w:marLeft w:val="0"/>
      <w:marRight w:val="0"/>
      <w:marTop w:val="0"/>
      <w:marBottom w:val="0"/>
      <w:divBdr>
        <w:top w:val="none" w:sz="0" w:space="0" w:color="auto"/>
        <w:left w:val="none" w:sz="0" w:space="0" w:color="auto"/>
        <w:bottom w:val="none" w:sz="0" w:space="0" w:color="auto"/>
        <w:right w:val="none" w:sz="0" w:space="0" w:color="auto"/>
      </w:divBdr>
    </w:div>
    <w:div w:id="1211069152">
      <w:bodyDiv w:val="1"/>
      <w:marLeft w:val="0"/>
      <w:marRight w:val="0"/>
      <w:marTop w:val="0"/>
      <w:marBottom w:val="0"/>
      <w:divBdr>
        <w:top w:val="none" w:sz="0" w:space="0" w:color="auto"/>
        <w:left w:val="none" w:sz="0" w:space="0" w:color="auto"/>
        <w:bottom w:val="none" w:sz="0" w:space="0" w:color="auto"/>
        <w:right w:val="none" w:sz="0" w:space="0" w:color="auto"/>
      </w:divBdr>
    </w:div>
    <w:div w:id="1211117596">
      <w:bodyDiv w:val="1"/>
      <w:marLeft w:val="0"/>
      <w:marRight w:val="0"/>
      <w:marTop w:val="0"/>
      <w:marBottom w:val="0"/>
      <w:divBdr>
        <w:top w:val="none" w:sz="0" w:space="0" w:color="auto"/>
        <w:left w:val="none" w:sz="0" w:space="0" w:color="auto"/>
        <w:bottom w:val="none" w:sz="0" w:space="0" w:color="auto"/>
        <w:right w:val="none" w:sz="0" w:space="0" w:color="auto"/>
      </w:divBdr>
    </w:div>
    <w:div w:id="1211304836">
      <w:bodyDiv w:val="1"/>
      <w:marLeft w:val="0"/>
      <w:marRight w:val="0"/>
      <w:marTop w:val="0"/>
      <w:marBottom w:val="0"/>
      <w:divBdr>
        <w:top w:val="none" w:sz="0" w:space="0" w:color="auto"/>
        <w:left w:val="none" w:sz="0" w:space="0" w:color="auto"/>
        <w:bottom w:val="none" w:sz="0" w:space="0" w:color="auto"/>
        <w:right w:val="none" w:sz="0" w:space="0" w:color="auto"/>
      </w:divBdr>
    </w:div>
    <w:div w:id="1211385693">
      <w:bodyDiv w:val="1"/>
      <w:marLeft w:val="0"/>
      <w:marRight w:val="0"/>
      <w:marTop w:val="0"/>
      <w:marBottom w:val="0"/>
      <w:divBdr>
        <w:top w:val="none" w:sz="0" w:space="0" w:color="auto"/>
        <w:left w:val="none" w:sz="0" w:space="0" w:color="auto"/>
        <w:bottom w:val="none" w:sz="0" w:space="0" w:color="auto"/>
        <w:right w:val="none" w:sz="0" w:space="0" w:color="auto"/>
      </w:divBdr>
    </w:div>
    <w:div w:id="1211458905">
      <w:bodyDiv w:val="1"/>
      <w:marLeft w:val="0"/>
      <w:marRight w:val="0"/>
      <w:marTop w:val="0"/>
      <w:marBottom w:val="0"/>
      <w:divBdr>
        <w:top w:val="none" w:sz="0" w:space="0" w:color="auto"/>
        <w:left w:val="none" w:sz="0" w:space="0" w:color="auto"/>
        <w:bottom w:val="none" w:sz="0" w:space="0" w:color="auto"/>
        <w:right w:val="none" w:sz="0" w:space="0" w:color="auto"/>
      </w:divBdr>
    </w:div>
    <w:div w:id="1211499767">
      <w:bodyDiv w:val="1"/>
      <w:marLeft w:val="0"/>
      <w:marRight w:val="0"/>
      <w:marTop w:val="0"/>
      <w:marBottom w:val="0"/>
      <w:divBdr>
        <w:top w:val="none" w:sz="0" w:space="0" w:color="auto"/>
        <w:left w:val="none" w:sz="0" w:space="0" w:color="auto"/>
        <w:bottom w:val="none" w:sz="0" w:space="0" w:color="auto"/>
        <w:right w:val="none" w:sz="0" w:space="0" w:color="auto"/>
      </w:divBdr>
    </w:div>
    <w:div w:id="1211578802">
      <w:bodyDiv w:val="1"/>
      <w:marLeft w:val="0"/>
      <w:marRight w:val="0"/>
      <w:marTop w:val="0"/>
      <w:marBottom w:val="0"/>
      <w:divBdr>
        <w:top w:val="none" w:sz="0" w:space="0" w:color="auto"/>
        <w:left w:val="none" w:sz="0" w:space="0" w:color="auto"/>
        <w:bottom w:val="none" w:sz="0" w:space="0" w:color="auto"/>
        <w:right w:val="none" w:sz="0" w:space="0" w:color="auto"/>
      </w:divBdr>
    </w:div>
    <w:div w:id="1211651102">
      <w:bodyDiv w:val="1"/>
      <w:marLeft w:val="0"/>
      <w:marRight w:val="0"/>
      <w:marTop w:val="0"/>
      <w:marBottom w:val="0"/>
      <w:divBdr>
        <w:top w:val="none" w:sz="0" w:space="0" w:color="auto"/>
        <w:left w:val="none" w:sz="0" w:space="0" w:color="auto"/>
        <w:bottom w:val="none" w:sz="0" w:space="0" w:color="auto"/>
        <w:right w:val="none" w:sz="0" w:space="0" w:color="auto"/>
      </w:divBdr>
    </w:div>
    <w:div w:id="1211918356">
      <w:bodyDiv w:val="1"/>
      <w:marLeft w:val="0"/>
      <w:marRight w:val="0"/>
      <w:marTop w:val="0"/>
      <w:marBottom w:val="0"/>
      <w:divBdr>
        <w:top w:val="none" w:sz="0" w:space="0" w:color="auto"/>
        <w:left w:val="none" w:sz="0" w:space="0" w:color="auto"/>
        <w:bottom w:val="none" w:sz="0" w:space="0" w:color="auto"/>
        <w:right w:val="none" w:sz="0" w:space="0" w:color="auto"/>
      </w:divBdr>
    </w:div>
    <w:div w:id="1211920469">
      <w:bodyDiv w:val="1"/>
      <w:marLeft w:val="0"/>
      <w:marRight w:val="0"/>
      <w:marTop w:val="0"/>
      <w:marBottom w:val="0"/>
      <w:divBdr>
        <w:top w:val="none" w:sz="0" w:space="0" w:color="auto"/>
        <w:left w:val="none" w:sz="0" w:space="0" w:color="auto"/>
        <w:bottom w:val="none" w:sz="0" w:space="0" w:color="auto"/>
        <w:right w:val="none" w:sz="0" w:space="0" w:color="auto"/>
      </w:divBdr>
    </w:div>
    <w:div w:id="1211960600">
      <w:bodyDiv w:val="1"/>
      <w:marLeft w:val="0"/>
      <w:marRight w:val="0"/>
      <w:marTop w:val="0"/>
      <w:marBottom w:val="0"/>
      <w:divBdr>
        <w:top w:val="none" w:sz="0" w:space="0" w:color="auto"/>
        <w:left w:val="none" w:sz="0" w:space="0" w:color="auto"/>
        <w:bottom w:val="none" w:sz="0" w:space="0" w:color="auto"/>
        <w:right w:val="none" w:sz="0" w:space="0" w:color="auto"/>
      </w:divBdr>
    </w:div>
    <w:div w:id="1211965611">
      <w:bodyDiv w:val="1"/>
      <w:marLeft w:val="0"/>
      <w:marRight w:val="0"/>
      <w:marTop w:val="0"/>
      <w:marBottom w:val="0"/>
      <w:divBdr>
        <w:top w:val="none" w:sz="0" w:space="0" w:color="auto"/>
        <w:left w:val="none" w:sz="0" w:space="0" w:color="auto"/>
        <w:bottom w:val="none" w:sz="0" w:space="0" w:color="auto"/>
        <w:right w:val="none" w:sz="0" w:space="0" w:color="auto"/>
      </w:divBdr>
    </w:div>
    <w:div w:id="1212033839">
      <w:bodyDiv w:val="1"/>
      <w:marLeft w:val="0"/>
      <w:marRight w:val="0"/>
      <w:marTop w:val="0"/>
      <w:marBottom w:val="0"/>
      <w:divBdr>
        <w:top w:val="none" w:sz="0" w:space="0" w:color="auto"/>
        <w:left w:val="none" w:sz="0" w:space="0" w:color="auto"/>
        <w:bottom w:val="none" w:sz="0" w:space="0" w:color="auto"/>
        <w:right w:val="none" w:sz="0" w:space="0" w:color="auto"/>
      </w:divBdr>
    </w:div>
    <w:div w:id="1212038647">
      <w:bodyDiv w:val="1"/>
      <w:marLeft w:val="0"/>
      <w:marRight w:val="0"/>
      <w:marTop w:val="0"/>
      <w:marBottom w:val="0"/>
      <w:divBdr>
        <w:top w:val="none" w:sz="0" w:space="0" w:color="auto"/>
        <w:left w:val="none" w:sz="0" w:space="0" w:color="auto"/>
        <w:bottom w:val="none" w:sz="0" w:space="0" w:color="auto"/>
        <w:right w:val="none" w:sz="0" w:space="0" w:color="auto"/>
      </w:divBdr>
    </w:div>
    <w:div w:id="1212158437">
      <w:bodyDiv w:val="1"/>
      <w:marLeft w:val="0"/>
      <w:marRight w:val="0"/>
      <w:marTop w:val="0"/>
      <w:marBottom w:val="0"/>
      <w:divBdr>
        <w:top w:val="none" w:sz="0" w:space="0" w:color="auto"/>
        <w:left w:val="none" w:sz="0" w:space="0" w:color="auto"/>
        <w:bottom w:val="none" w:sz="0" w:space="0" w:color="auto"/>
        <w:right w:val="none" w:sz="0" w:space="0" w:color="auto"/>
      </w:divBdr>
    </w:div>
    <w:div w:id="1212228102">
      <w:bodyDiv w:val="1"/>
      <w:marLeft w:val="0"/>
      <w:marRight w:val="0"/>
      <w:marTop w:val="0"/>
      <w:marBottom w:val="0"/>
      <w:divBdr>
        <w:top w:val="none" w:sz="0" w:space="0" w:color="auto"/>
        <w:left w:val="none" w:sz="0" w:space="0" w:color="auto"/>
        <w:bottom w:val="none" w:sz="0" w:space="0" w:color="auto"/>
        <w:right w:val="none" w:sz="0" w:space="0" w:color="auto"/>
      </w:divBdr>
    </w:div>
    <w:div w:id="1212228971">
      <w:bodyDiv w:val="1"/>
      <w:marLeft w:val="0"/>
      <w:marRight w:val="0"/>
      <w:marTop w:val="0"/>
      <w:marBottom w:val="0"/>
      <w:divBdr>
        <w:top w:val="none" w:sz="0" w:space="0" w:color="auto"/>
        <w:left w:val="none" w:sz="0" w:space="0" w:color="auto"/>
        <w:bottom w:val="none" w:sz="0" w:space="0" w:color="auto"/>
        <w:right w:val="none" w:sz="0" w:space="0" w:color="auto"/>
      </w:divBdr>
    </w:div>
    <w:div w:id="1212307941">
      <w:bodyDiv w:val="1"/>
      <w:marLeft w:val="0"/>
      <w:marRight w:val="0"/>
      <w:marTop w:val="0"/>
      <w:marBottom w:val="0"/>
      <w:divBdr>
        <w:top w:val="none" w:sz="0" w:space="0" w:color="auto"/>
        <w:left w:val="none" w:sz="0" w:space="0" w:color="auto"/>
        <w:bottom w:val="none" w:sz="0" w:space="0" w:color="auto"/>
        <w:right w:val="none" w:sz="0" w:space="0" w:color="auto"/>
      </w:divBdr>
    </w:div>
    <w:div w:id="1212351736">
      <w:bodyDiv w:val="1"/>
      <w:marLeft w:val="0"/>
      <w:marRight w:val="0"/>
      <w:marTop w:val="0"/>
      <w:marBottom w:val="0"/>
      <w:divBdr>
        <w:top w:val="none" w:sz="0" w:space="0" w:color="auto"/>
        <w:left w:val="none" w:sz="0" w:space="0" w:color="auto"/>
        <w:bottom w:val="none" w:sz="0" w:space="0" w:color="auto"/>
        <w:right w:val="none" w:sz="0" w:space="0" w:color="auto"/>
      </w:divBdr>
    </w:div>
    <w:div w:id="1212379186">
      <w:bodyDiv w:val="1"/>
      <w:marLeft w:val="0"/>
      <w:marRight w:val="0"/>
      <w:marTop w:val="0"/>
      <w:marBottom w:val="0"/>
      <w:divBdr>
        <w:top w:val="none" w:sz="0" w:space="0" w:color="auto"/>
        <w:left w:val="none" w:sz="0" w:space="0" w:color="auto"/>
        <w:bottom w:val="none" w:sz="0" w:space="0" w:color="auto"/>
        <w:right w:val="none" w:sz="0" w:space="0" w:color="auto"/>
      </w:divBdr>
    </w:div>
    <w:div w:id="1212380527">
      <w:bodyDiv w:val="1"/>
      <w:marLeft w:val="0"/>
      <w:marRight w:val="0"/>
      <w:marTop w:val="0"/>
      <w:marBottom w:val="0"/>
      <w:divBdr>
        <w:top w:val="none" w:sz="0" w:space="0" w:color="auto"/>
        <w:left w:val="none" w:sz="0" w:space="0" w:color="auto"/>
        <w:bottom w:val="none" w:sz="0" w:space="0" w:color="auto"/>
        <w:right w:val="none" w:sz="0" w:space="0" w:color="auto"/>
      </w:divBdr>
    </w:div>
    <w:div w:id="1212421858">
      <w:bodyDiv w:val="1"/>
      <w:marLeft w:val="0"/>
      <w:marRight w:val="0"/>
      <w:marTop w:val="0"/>
      <w:marBottom w:val="0"/>
      <w:divBdr>
        <w:top w:val="none" w:sz="0" w:space="0" w:color="auto"/>
        <w:left w:val="none" w:sz="0" w:space="0" w:color="auto"/>
        <w:bottom w:val="none" w:sz="0" w:space="0" w:color="auto"/>
        <w:right w:val="none" w:sz="0" w:space="0" w:color="auto"/>
      </w:divBdr>
    </w:div>
    <w:div w:id="1212575588">
      <w:bodyDiv w:val="1"/>
      <w:marLeft w:val="0"/>
      <w:marRight w:val="0"/>
      <w:marTop w:val="0"/>
      <w:marBottom w:val="0"/>
      <w:divBdr>
        <w:top w:val="none" w:sz="0" w:space="0" w:color="auto"/>
        <w:left w:val="none" w:sz="0" w:space="0" w:color="auto"/>
        <w:bottom w:val="none" w:sz="0" w:space="0" w:color="auto"/>
        <w:right w:val="none" w:sz="0" w:space="0" w:color="auto"/>
      </w:divBdr>
    </w:div>
    <w:div w:id="1212620805">
      <w:bodyDiv w:val="1"/>
      <w:marLeft w:val="0"/>
      <w:marRight w:val="0"/>
      <w:marTop w:val="0"/>
      <w:marBottom w:val="0"/>
      <w:divBdr>
        <w:top w:val="none" w:sz="0" w:space="0" w:color="auto"/>
        <w:left w:val="none" w:sz="0" w:space="0" w:color="auto"/>
        <w:bottom w:val="none" w:sz="0" w:space="0" w:color="auto"/>
        <w:right w:val="none" w:sz="0" w:space="0" w:color="auto"/>
      </w:divBdr>
    </w:div>
    <w:div w:id="1212764260">
      <w:bodyDiv w:val="1"/>
      <w:marLeft w:val="0"/>
      <w:marRight w:val="0"/>
      <w:marTop w:val="0"/>
      <w:marBottom w:val="0"/>
      <w:divBdr>
        <w:top w:val="none" w:sz="0" w:space="0" w:color="auto"/>
        <w:left w:val="none" w:sz="0" w:space="0" w:color="auto"/>
        <w:bottom w:val="none" w:sz="0" w:space="0" w:color="auto"/>
        <w:right w:val="none" w:sz="0" w:space="0" w:color="auto"/>
      </w:divBdr>
    </w:div>
    <w:div w:id="1212887332">
      <w:bodyDiv w:val="1"/>
      <w:marLeft w:val="0"/>
      <w:marRight w:val="0"/>
      <w:marTop w:val="0"/>
      <w:marBottom w:val="0"/>
      <w:divBdr>
        <w:top w:val="none" w:sz="0" w:space="0" w:color="auto"/>
        <w:left w:val="none" w:sz="0" w:space="0" w:color="auto"/>
        <w:bottom w:val="none" w:sz="0" w:space="0" w:color="auto"/>
        <w:right w:val="none" w:sz="0" w:space="0" w:color="auto"/>
      </w:divBdr>
    </w:div>
    <w:div w:id="1212961967">
      <w:bodyDiv w:val="1"/>
      <w:marLeft w:val="0"/>
      <w:marRight w:val="0"/>
      <w:marTop w:val="0"/>
      <w:marBottom w:val="0"/>
      <w:divBdr>
        <w:top w:val="none" w:sz="0" w:space="0" w:color="auto"/>
        <w:left w:val="none" w:sz="0" w:space="0" w:color="auto"/>
        <w:bottom w:val="none" w:sz="0" w:space="0" w:color="auto"/>
        <w:right w:val="none" w:sz="0" w:space="0" w:color="auto"/>
      </w:divBdr>
    </w:div>
    <w:div w:id="1213037832">
      <w:bodyDiv w:val="1"/>
      <w:marLeft w:val="0"/>
      <w:marRight w:val="0"/>
      <w:marTop w:val="0"/>
      <w:marBottom w:val="0"/>
      <w:divBdr>
        <w:top w:val="none" w:sz="0" w:space="0" w:color="auto"/>
        <w:left w:val="none" w:sz="0" w:space="0" w:color="auto"/>
        <w:bottom w:val="none" w:sz="0" w:space="0" w:color="auto"/>
        <w:right w:val="none" w:sz="0" w:space="0" w:color="auto"/>
      </w:divBdr>
    </w:div>
    <w:div w:id="1213076156">
      <w:bodyDiv w:val="1"/>
      <w:marLeft w:val="0"/>
      <w:marRight w:val="0"/>
      <w:marTop w:val="0"/>
      <w:marBottom w:val="0"/>
      <w:divBdr>
        <w:top w:val="none" w:sz="0" w:space="0" w:color="auto"/>
        <w:left w:val="none" w:sz="0" w:space="0" w:color="auto"/>
        <w:bottom w:val="none" w:sz="0" w:space="0" w:color="auto"/>
        <w:right w:val="none" w:sz="0" w:space="0" w:color="auto"/>
      </w:divBdr>
    </w:div>
    <w:div w:id="1213232265">
      <w:bodyDiv w:val="1"/>
      <w:marLeft w:val="0"/>
      <w:marRight w:val="0"/>
      <w:marTop w:val="0"/>
      <w:marBottom w:val="0"/>
      <w:divBdr>
        <w:top w:val="none" w:sz="0" w:space="0" w:color="auto"/>
        <w:left w:val="none" w:sz="0" w:space="0" w:color="auto"/>
        <w:bottom w:val="none" w:sz="0" w:space="0" w:color="auto"/>
        <w:right w:val="none" w:sz="0" w:space="0" w:color="auto"/>
      </w:divBdr>
    </w:div>
    <w:div w:id="1213232858">
      <w:bodyDiv w:val="1"/>
      <w:marLeft w:val="0"/>
      <w:marRight w:val="0"/>
      <w:marTop w:val="0"/>
      <w:marBottom w:val="0"/>
      <w:divBdr>
        <w:top w:val="none" w:sz="0" w:space="0" w:color="auto"/>
        <w:left w:val="none" w:sz="0" w:space="0" w:color="auto"/>
        <w:bottom w:val="none" w:sz="0" w:space="0" w:color="auto"/>
        <w:right w:val="none" w:sz="0" w:space="0" w:color="auto"/>
      </w:divBdr>
    </w:div>
    <w:div w:id="1213233379">
      <w:bodyDiv w:val="1"/>
      <w:marLeft w:val="0"/>
      <w:marRight w:val="0"/>
      <w:marTop w:val="0"/>
      <w:marBottom w:val="0"/>
      <w:divBdr>
        <w:top w:val="none" w:sz="0" w:space="0" w:color="auto"/>
        <w:left w:val="none" w:sz="0" w:space="0" w:color="auto"/>
        <w:bottom w:val="none" w:sz="0" w:space="0" w:color="auto"/>
        <w:right w:val="none" w:sz="0" w:space="0" w:color="auto"/>
      </w:divBdr>
    </w:div>
    <w:div w:id="1213346579">
      <w:bodyDiv w:val="1"/>
      <w:marLeft w:val="0"/>
      <w:marRight w:val="0"/>
      <w:marTop w:val="0"/>
      <w:marBottom w:val="0"/>
      <w:divBdr>
        <w:top w:val="none" w:sz="0" w:space="0" w:color="auto"/>
        <w:left w:val="none" w:sz="0" w:space="0" w:color="auto"/>
        <w:bottom w:val="none" w:sz="0" w:space="0" w:color="auto"/>
        <w:right w:val="none" w:sz="0" w:space="0" w:color="auto"/>
      </w:divBdr>
    </w:div>
    <w:div w:id="1213731078">
      <w:bodyDiv w:val="1"/>
      <w:marLeft w:val="0"/>
      <w:marRight w:val="0"/>
      <w:marTop w:val="0"/>
      <w:marBottom w:val="0"/>
      <w:divBdr>
        <w:top w:val="none" w:sz="0" w:space="0" w:color="auto"/>
        <w:left w:val="none" w:sz="0" w:space="0" w:color="auto"/>
        <w:bottom w:val="none" w:sz="0" w:space="0" w:color="auto"/>
        <w:right w:val="none" w:sz="0" w:space="0" w:color="auto"/>
      </w:divBdr>
    </w:div>
    <w:div w:id="1213732901">
      <w:bodyDiv w:val="1"/>
      <w:marLeft w:val="0"/>
      <w:marRight w:val="0"/>
      <w:marTop w:val="0"/>
      <w:marBottom w:val="0"/>
      <w:divBdr>
        <w:top w:val="none" w:sz="0" w:space="0" w:color="auto"/>
        <w:left w:val="none" w:sz="0" w:space="0" w:color="auto"/>
        <w:bottom w:val="none" w:sz="0" w:space="0" w:color="auto"/>
        <w:right w:val="none" w:sz="0" w:space="0" w:color="auto"/>
      </w:divBdr>
    </w:div>
    <w:div w:id="1213734227">
      <w:bodyDiv w:val="1"/>
      <w:marLeft w:val="0"/>
      <w:marRight w:val="0"/>
      <w:marTop w:val="0"/>
      <w:marBottom w:val="0"/>
      <w:divBdr>
        <w:top w:val="none" w:sz="0" w:space="0" w:color="auto"/>
        <w:left w:val="none" w:sz="0" w:space="0" w:color="auto"/>
        <w:bottom w:val="none" w:sz="0" w:space="0" w:color="auto"/>
        <w:right w:val="none" w:sz="0" w:space="0" w:color="auto"/>
      </w:divBdr>
    </w:div>
    <w:div w:id="1213735524">
      <w:bodyDiv w:val="1"/>
      <w:marLeft w:val="0"/>
      <w:marRight w:val="0"/>
      <w:marTop w:val="0"/>
      <w:marBottom w:val="0"/>
      <w:divBdr>
        <w:top w:val="none" w:sz="0" w:space="0" w:color="auto"/>
        <w:left w:val="none" w:sz="0" w:space="0" w:color="auto"/>
        <w:bottom w:val="none" w:sz="0" w:space="0" w:color="auto"/>
        <w:right w:val="none" w:sz="0" w:space="0" w:color="auto"/>
      </w:divBdr>
    </w:div>
    <w:div w:id="1213923871">
      <w:bodyDiv w:val="1"/>
      <w:marLeft w:val="0"/>
      <w:marRight w:val="0"/>
      <w:marTop w:val="0"/>
      <w:marBottom w:val="0"/>
      <w:divBdr>
        <w:top w:val="none" w:sz="0" w:space="0" w:color="auto"/>
        <w:left w:val="none" w:sz="0" w:space="0" w:color="auto"/>
        <w:bottom w:val="none" w:sz="0" w:space="0" w:color="auto"/>
        <w:right w:val="none" w:sz="0" w:space="0" w:color="auto"/>
      </w:divBdr>
    </w:div>
    <w:div w:id="1213955623">
      <w:bodyDiv w:val="1"/>
      <w:marLeft w:val="0"/>
      <w:marRight w:val="0"/>
      <w:marTop w:val="0"/>
      <w:marBottom w:val="0"/>
      <w:divBdr>
        <w:top w:val="none" w:sz="0" w:space="0" w:color="auto"/>
        <w:left w:val="none" w:sz="0" w:space="0" w:color="auto"/>
        <w:bottom w:val="none" w:sz="0" w:space="0" w:color="auto"/>
        <w:right w:val="none" w:sz="0" w:space="0" w:color="auto"/>
      </w:divBdr>
    </w:div>
    <w:div w:id="1213998050">
      <w:bodyDiv w:val="1"/>
      <w:marLeft w:val="0"/>
      <w:marRight w:val="0"/>
      <w:marTop w:val="0"/>
      <w:marBottom w:val="0"/>
      <w:divBdr>
        <w:top w:val="none" w:sz="0" w:space="0" w:color="auto"/>
        <w:left w:val="none" w:sz="0" w:space="0" w:color="auto"/>
        <w:bottom w:val="none" w:sz="0" w:space="0" w:color="auto"/>
        <w:right w:val="none" w:sz="0" w:space="0" w:color="auto"/>
      </w:divBdr>
    </w:div>
    <w:div w:id="1214081314">
      <w:bodyDiv w:val="1"/>
      <w:marLeft w:val="0"/>
      <w:marRight w:val="0"/>
      <w:marTop w:val="0"/>
      <w:marBottom w:val="0"/>
      <w:divBdr>
        <w:top w:val="none" w:sz="0" w:space="0" w:color="auto"/>
        <w:left w:val="none" w:sz="0" w:space="0" w:color="auto"/>
        <w:bottom w:val="none" w:sz="0" w:space="0" w:color="auto"/>
        <w:right w:val="none" w:sz="0" w:space="0" w:color="auto"/>
      </w:divBdr>
    </w:div>
    <w:div w:id="1214120513">
      <w:bodyDiv w:val="1"/>
      <w:marLeft w:val="0"/>
      <w:marRight w:val="0"/>
      <w:marTop w:val="0"/>
      <w:marBottom w:val="0"/>
      <w:divBdr>
        <w:top w:val="none" w:sz="0" w:space="0" w:color="auto"/>
        <w:left w:val="none" w:sz="0" w:space="0" w:color="auto"/>
        <w:bottom w:val="none" w:sz="0" w:space="0" w:color="auto"/>
        <w:right w:val="none" w:sz="0" w:space="0" w:color="auto"/>
      </w:divBdr>
    </w:div>
    <w:div w:id="1214151917">
      <w:bodyDiv w:val="1"/>
      <w:marLeft w:val="0"/>
      <w:marRight w:val="0"/>
      <w:marTop w:val="0"/>
      <w:marBottom w:val="0"/>
      <w:divBdr>
        <w:top w:val="none" w:sz="0" w:space="0" w:color="auto"/>
        <w:left w:val="none" w:sz="0" w:space="0" w:color="auto"/>
        <w:bottom w:val="none" w:sz="0" w:space="0" w:color="auto"/>
        <w:right w:val="none" w:sz="0" w:space="0" w:color="auto"/>
      </w:divBdr>
    </w:div>
    <w:div w:id="1214196331">
      <w:bodyDiv w:val="1"/>
      <w:marLeft w:val="0"/>
      <w:marRight w:val="0"/>
      <w:marTop w:val="0"/>
      <w:marBottom w:val="0"/>
      <w:divBdr>
        <w:top w:val="none" w:sz="0" w:space="0" w:color="auto"/>
        <w:left w:val="none" w:sz="0" w:space="0" w:color="auto"/>
        <w:bottom w:val="none" w:sz="0" w:space="0" w:color="auto"/>
        <w:right w:val="none" w:sz="0" w:space="0" w:color="auto"/>
      </w:divBdr>
    </w:div>
    <w:div w:id="1214269997">
      <w:bodyDiv w:val="1"/>
      <w:marLeft w:val="0"/>
      <w:marRight w:val="0"/>
      <w:marTop w:val="0"/>
      <w:marBottom w:val="0"/>
      <w:divBdr>
        <w:top w:val="none" w:sz="0" w:space="0" w:color="auto"/>
        <w:left w:val="none" w:sz="0" w:space="0" w:color="auto"/>
        <w:bottom w:val="none" w:sz="0" w:space="0" w:color="auto"/>
        <w:right w:val="none" w:sz="0" w:space="0" w:color="auto"/>
      </w:divBdr>
    </w:div>
    <w:div w:id="1214343846">
      <w:bodyDiv w:val="1"/>
      <w:marLeft w:val="0"/>
      <w:marRight w:val="0"/>
      <w:marTop w:val="0"/>
      <w:marBottom w:val="0"/>
      <w:divBdr>
        <w:top w:val="none" w:sz="0" w:space="0" w:color="auto"/>
        <w:left w:val="none" w:sz="0" w:space="0" w:color="auto"/>
        <w:bottom w:val="none" w:sz="0" w:space="0" w:color="auto"/>
        <w:right w:val="none" w:sz="0" w:space="0" w:color="auto"/>
      </w:divBdr>
    </w:div>
    <w:div w:id="1214586600">
      <w:bodyDiv w:val="1"/>
      <w:marLeft w:val="0"/>
      <w:marRight w:val="0"/>
      <w:marTop w:val="0"/>
      <w:marBottom w:val="0"/>
      <w:divBdr>
        <w:top w:val="none" w:sz="0" w:space="0" w:color="auto"/>
        <w:left w:val="none" w:sz="0" w:space="0" w:color="auto"/>
        <w:bottom w:val="none" w:sz="0" w:space="0" w:color="auto"/>
        <w:right w:val="none" w:sz="0" w:space="0" w:color="auto"/>
      </w:divBdr>
    </w:div>
    <w:div w:id="1214731994">
      <w:bodyDiv w:val="1"/>
      <w:marLeft w:val="0"/>
      <w:marRight w:val="0"/>
      <w:marTop w:val="0"/>
      <w:marBottom w:val="0"/>
      <w:divBdr>
        <w:top w:val="none" w:sz="0" w:space="0" w:color="auto"/>
        <w:left w:val="none" w:sz="0" w:space="0" w:color="auto"/>
        <w:bottom w:val="none" w:sz="0" w:space="0" w:color="auto"/>
        <w:right w:val="none" w:sz="0" w:space="0" w:color="auto"/>
      </w:divBdr>
    </w:div>
    <w:div w:id="1214732081">
      <w:bodyDiv w:val="1"/>
      <w:marLeft w:val="0"/>
      <w:marRight w:val="0"/>
      <w:marTop w:val="0"/>
      <w:marBottom w:val="0"/>
      <w:divBdr>
        <w:top w:val="none" w:sz="0" w:space="0" w:color="auto"/>
        <w:left w:val="none" w:sz="0" w:space="0" w:color="auto"/>
        <w:bottom w:val="none" w:sz="0" w:space="0" w:color="auto"/>
        <w:right w:val="none" w:sz="0" w:space="0" w:color="auto"/>
      </w:divBdr>
    </w:div>
    <w:div w:id="1214732212">
      <w:bodyDiv w:val="1"/>
      <w:marLeft w:val="0"/>
      <w:marRight w:val="0"/>
      <w:marTop w:val="0"/>
      <w:marBottom w:val="0"/>
      <w:divBdr>
        <w:top w:val="none" w:sz="0" w:space="0" w:color="auto"/>
        <w:left w:val="none" w:sz="0" w:space="0" w:color="auto"/>
        <w:bottom w:val="none" w:sz="0" w:space="0" w:color="auto"/>
        <w:right w:val="none" w:sz="0" w:space="0" w:color="auto"/>
      </w:divBdr>
    </w:div>
    <w:div w:id="1214778128">
      <w:bodyDiv w:val="1"/>
      <w:marLeft w:val="0"/>
      <w:marRight w:val="0"/>
      <w:marTop w:val="0"/>
      <w:marBottom w:val="0"/>
      <w:divBdr>
        <w:top w:val="none" w:sz="0" w:space="0" w:color="auto"/>
        <w:left w:val="none" w:sz="0" w:space="0" w:color="auto"/>
        <w:bottom w:val="none" w:sz="0" w:space="0" w:color="auto"/>
        <w:right w:val="none" w:sz="0" w:space="0" w:color="auto"/>
      </w:divBdr>
    </w:div>
    <w:div w:id="1214807410">
      <w:bodyDiv w:val="1"/>
      <w:marLeft w:val="0"/>
      <w:marRight w:val="0"/>
      <w:marTop w:val="0"/>
      <w:marBottom w:val="0"/>
      <w:divBdr>
        <w:top w:val="none" w:sz="0" w:space="0" w:color="auto"/>
        <w:left w:val="none" w:sz="0" w:space="0" w:color="auto"/>
        <w:bottom w:val="none" w:sz="0" w:space="0" w:color="auto"/>
        <w:right w:val="none" w:sz="0" w:space="0" w:color="auto"/>
      </w:divBdr>
    </w:div>
    <w:div w:id="1214850041">
      <w:bodyDiv w:val="1"/>
      <w:marLeft w:val="0"/>
      <w:marRight w:val="0"/>
      <w:marTop w:val="0"/>
      <w:marBottom w:val="0"/>
      <w:divBdr>
        <w:top w:val="none" w:sz="0" w:space="0" w:color="auto"/>
        <w:left w:val="none" w:sz="0" w:space="0" w:color="auto"/>
        <w:bottom w:val="none" w:sz="0" w:space="0" w:color="auto"/>
        <w:right w:val="none" w:sz="0" w:space="0" w:color="auto"/>
      </w:divBdr>
    </w:div>
    <w:div w:id="1214925239">
      <w:bodyDiv w:val="1"/>
      <w:marLeft w:val="0"/>
      <w:marRight w:val="0"/>
      <w:marTop w:val="0"/>
      <w:marBottom w:val="0"/>
      <w:divBdr>
        <w:top w:val="none" w:sz="0" w:space="0" w:color="auto"/>
        <w:left w:val="none" w:sz="0" w:space="0" w:color="auto"/>
        <w:bottom w:val="none" w:sz="0" w:space="0" w:color="auto"/>
        <w:right w:val="none" w:sz="0" w:space="0" w:color="auto"/>
      </w:divBdr>
    </w:div>
    <w:div w:id="1215040405">
      <w:bodyDiv w:val="1"/>
      <w:marLeft w:val="0"/>
      <w:marRight w:val="0"/>
      <w:marTop w:val="0"/>
      <w:marBottom w:val="0"/>
      <w:divBdr>
        <w:top w:val="none" w:sz="0" w:space="0" w:color="auto"/>
        <w:left w:val="none" w:sz="0" w:space="0" w:color="auto"/>
        <w:bottom w:val="none" w:sz="0" w:space="0" w:color="auto"/>
        <w:right w:val="none" w:sz="0" w:space="0" w:color="auto"/>
      </w:divBdr>
    </w:div>
    <w:div w:id="1215040600">
      <w:bodyDiv w:val="1"/>
      <w:marLeft w:val="0"/>
      <w:marRight w:val="0"/>
      <w:marTop w:val="0"/>
      <w:marBottom w:val="0"/>
      <w:divBdr>
        <w:top w:val="none" w:sz="0" w:space="0" w:color="auto"/>
        <w:left w:val="none" w:sz="0" w:space="0" w:color="auto"/>
        <w:bottom w:val="none" w:sz="0" w:space="0" w:color="auto"/>
        <w:right w:val="none" w:sz="0" w:space="0" w:color="auto"/>
      </w:divBdr>
    </w:div>
    <w:div w:id="1215046759">
      <w:bodyDiv w:val="1"/>
      <w:marLeft w:val="0"/>
      <w:marRight w:val="0"/>
      <w:marTop w:val="0"/>
      <w:marBottom w:val="0"/>
      <w:divBdr>
        <w:top w:val="none" w:sz="0" w:space="0" w:color="auto"/>
        <w:left w:val="none" w:sz="0" w:space="0" w:color="auto"/>
        <w:bottom w:val="none" w:sz="0" w:space="0" w:color="auto"/>
        <w:right w:val="none" w:sz="0" w:space="0" w:color="auto"/>
      </w:divBdr>
    </w:div>
    <w:div w:id="1215199322">
      <w:bodyDiv w:val="1"/>
      <w:marLeft w:val="0"/>
      <w:marRight w:val="0"/>
      <w:marTop w:val="0"/>
      <w:marBottom w:val="0"/>
      <w:divBdr>
        <w:top w:val="none" w:sz="0" w:space="0" w:color="auto"/>
        <w:left w:val="none" w:sz="0" w:space="0" w:color="auto"/>
        <w:bottom w:val="none" w:sz="0" w:space="0" w:color="auto"/>
        <w:right w:val="none" w:sz="0" w:space="0" w:color="auto"/>
      </w:divBdr>
    </w:div>
    <w:div w:id="1215242544">
      <w:bodyDiv w:val="1"/>
      <w:marLeft w:val="0"/>
      <w:marRight w:val="0"/>
      <w:marTop w:val="0"/>
      <w:marBottom w:val="0"/>
      <w:divBdr>
        <w:top w:val="none" w:sz="0" w:space="0" w:color="auto"/>
        <w:left w:val="none" w:sz="0" w:space="0" w:color="auto"/>
        <w:bottom w:val="none" w:sz="0" w:space="0" w:color="auto"/>
        <w:right w:val="none" w:sz="0" w:space="0" w:color="auto"/>
      </w:divBdr>
    </w:div>
    <w:div w:id="1215384607">
      <w:bodyDiv w:val="1"/>
      <w:marLeft w:val="0"/>
      <w:marRight w:val="0"/>
      <w:marTop w:val="0"/>
      <w:marBottom w:val="0"/>
      <w:divBdr>
        <w:top w:val="none" w:sz="0" w:space="0" w:color="auto"/>
        <w:left w:val="none" w:sz="0" w:space="0" w:color="auto"/>
        <w:bottom w:val="none" w:sz="0" w:space="0" w:color="auto"/>
        <w:right w:val="none" w:sz="0" w:space="0" w:color="auto"/>
      </w:divBdr>
    </w:div>
    <w:div w:id="1215391368">
      <w:bodyDiv w:val="1"/>
      <w:marLeft w:val="0"/>
      <w:marRight w:val="0"/>
      <w:marTop w:val="0"/>
      <w:marBottom w:val="0"/>
      <w:divBdr>
        <w:top w:val="none" w:sz="0" w:space="0" w:color="auto"/>
        <w:left w:val="none" w:sz="0" w:space="0" w:color="auto"/>
        <w:bottom w:val="none" w:sz="0" w:space="0" w:color="auto"/>
        <w:right w:val="none" w:sz="0" w:space="0" w:color="auto"/>
      </w:divBdr>
    </w:div>
    <w:div w:id="1215435022">
      <w:bodyDiv w:val="1"/>
      <w:marLeft w:val="0"/>
      <w:marRight w:val="0"/>
      <w:marTop w:val="0"/>
      <w:marBottom w:val="0"/>
      <w:divBdr>
        <w:top w:val="none" w:sz="0" w:space="0" w:color="auto"/>
        <w:left w:val="none" w:sz="0" w:space="0" w:color="auto"/>
        <w:bottom w:val="none" w:sz="0" w:space="0" w:color="auto"/>
        <w:right w:val="none" w:sz="0" w:space="0" w:color="auto"/>
      </w:divBdr>
    </w:div>
    <w:div w:id="1215459783">
      <w:bodyDiv w:val="1"/>
      <w:marLeft w:val="0"/>
      <w:marRight w:val="0"/>
      <w:marTop w:val="0"/>
      <w:marBottom w:val="0"/>
      <w:divBdr>
        <w:top w:val="none" w:sz="0" w:space="0" w:color="auto"/>
        <w:left w:val="none" w:sz="0" w:space="0" w:color="auto"/>
        <w:bottom w:val="none" w:sz="0" w:space="0" w:color="auto"/>
        <w:right w:val="none" w:sz="0" w:space="0" w:color="auto"/>
      </w:divBdr>
    </w:div>
    <w:div w:id="1215703079">
      <w:bodyDiv w:val="1"/>
      <w:marLeft w:val="0"/>
      <w:marRight w:val="0"/>
      <w:marTop w:val="0"/>
      <w:marBottom w:val="0"/>
      <w:divBdr>
        <w:top w:val="none" w:sz="0" w:space="0" w:color="auto"/>
        <w:left w:val="none" w:sz="0" w:space="0" w:color="auto"/>
        <w:bottom w:val="none" w:sz="0" w:space="0" w:color="auto"/>
        <w:right w:val="none" w:sz="0" w:space="0" w:color="auto"/>
      </w:divBdr>
    </w:div>
    <w:div w:id="1215846115">
      <w:bodyDiv w:val="1"/>
      <w:marLeft w:val="0"/>
      <w:marRight w:val="0"/>
      <w:marTop w:val="0"/>
      <w:marBottom w:val="0"/>
      <w:divBdr>
        <w:top w:val="none" w:sz="0" w:space="0" w:color="auto"/>
        <w:left w:val="none" w:sz="0" w:space="0" w:color="auto"/>
        <w:bottom w:val="none" w:sz="0" w:space="0" w:color="auto"/>
        <w:right w:val="none" w:sz="0" w:space="0" w:color="auto"/>
      </w:divBdr>
    </w:div>
    <w:div w:id="1215847136">
      <w:bodyDiv w:val="1"/>
      <w:marLeft w:val="0"/>
      <w:marRight w:val="0"/>
      <w:marTop w:val="0"/>
      <w:marBottom w:val="0"/>
      <w:divBdr>
        <w:top w:val="none" w:sz="0" w:space="0" w:color="auto"/>
        <w:left w:val="none" w:sz="0" w:space="0" w:color="auto"/>
        <w:bottom w:val="none" w:sz="0" w:space="0" w:color="auto"/>
        <w:right w:val="none" w:sz="0" w:space="0" w:color="auto"/>
      </w:divBdr>
    </w:div>
    <w:div w:id="1215850195">
      <w:bodyDiv w:val="1"/>
      <w:marLeft w:val="0"/>
      <w:marRight w:val="0"/>
      <w:marTop w:val="0"/>
      <w:marBottom w:val="0"/>
      <w:divBdr>
        <w:top w:val="none" w:sz="0" w:space="0" w:color="auto"/>
        <w:left w:val="none" w:sz="0" w:space="0" w:color="auto"/>
        <w:bottom w:val="none" w:sz="0" w:space="0" w:color="auto"/>
        <w:right w:val="none" w:sz="0" w:space="0" w:color="auto"/>
      </w:divBdr>
    </w:div>
    <w:div w:id="1216157343">
      <w:bodyDiv w:val="1"/>
      <w:marLeft w:val="0"/>
      <w:marRight w:val="0"/>
      <w:marTop w:val="0"/>
      <w:marBottom w:val="0"/>
      <w:divBdr>
        <w:top w:val="none" w:sz="0" w:space="0" w:color="auto"/>
        <w:left w:val="none" w:sz="0" w:space="0" w:color="auto"/>
        <w:bottom w:val="none" w:sz="0" w:space="0" w:color="auto"/>
        <w:right w:val="none" w:sz="0" w:space="0" w:color="auto"/>
      </w:divBdr>
    </w:div>
    <w:div w:id="1216163940">
      <w:bodyDiv w:val="1"/>
      <w:marLeft w:val="0"/>
      <w:marRight w:val="0"/>
      <w:marTop w:val="0"/>
      <w:marBottom w:val="0"/>
      <w:divBdr>
        <w:top w:val="none" w:sz="0" w:space="0" w:color="auto"/>
        <w:left w:val="none" w:sz="0" w:space="0" w:color="auto"/>
        <w:bottom w:val="none" w:sz="0" w:space="0" w:color="auto"/>
        <w:right w:val="none" w:sz="0" w:space="0" w:color="auto"/>
      </w:divBdr>
    </w:div>
    <w:div w:id="1216166322">
      <w:bodyDiv w:val="1"/>
      <w:marLeft w:val="0"/>
      <w:marRight w:val="0"/>
      <w:marTop w:val="0"/>
      <w:marBottom w:val="0"/>
      <w:divBdr>
        <w:top w:val="none" w:sz="0" w:space="0" w:color="auto"/>
        <w:left w:val="none" w:sz="0" w:space="0" w:color="auto"/>
        <w:bottom w:val="none" w:sz="0" w:space="0" w:color="auto"/>
        <w:right w:val="none" w:sz="0" w:space="0" w:color="auto"/>
      </w:divBdr>
    </w:div>
    <w:div w:id="1216238275">
      <w:bodyDiv w:val="1"/>
      <w:marLeft w:val="0"/>
      <w:marRight w:val="0"/>
      <w:marTop w:val="0"/>
      <w:marBottom w:val="0"/>
      <w:divBdr>
        <w:top w:val="none" w:sz="0" w:space="0" w:color="auto"/>
        <w:left w:val="none" w:sz="0" w:space="0" w:color="auto"/>
        <w:bottom w:val="none" w:sz="0" w:space="0" w:color="auto"/>
        <w:right w:val="none" w:sz="0" w:space="0" w:color="auto"/>
      </w:divBdr>
    </w:div>
    <w:div w:id="1216352556">
      <w:bodyDiv w:val="1"/>
      <w:marLeft w:val="0"/>
      <w:marRight w:val="0"/>
      <w:marTop w:val="0"/>
      <w:marBottom w:val="0"/>
      <w:divBdr>
        <w:top w:val="none" w:sz="0" w:space="0" w:color="auto"/>
        <w:left w:val="none" w:sz="0" w:space="0" w:color="auto"/>
        <w:bottom w:val="none" w:sz="0" w:space="0" w:color="auto"/>
        <w:right w:val="none" w:sz="0" w:space="0" w:color="auto"/>
      </w:divBdr>
    </w:div>
    <w:div w:id="1216547177">
      <w:bodyDiv w:val="1"/>
      <w:marLeft w:val="0"/>
      <w:marRight w:val="0"/>
      <w:marTop w:val="0"/>
      <w:marBottom w:val="0"/>
      <w:divBdr>
        <w:top w:val="none" w:sz="0" w:space="0" w:color="auto"/>
        <w:left w:val="none" w:sz="0" w:space="0" w:color="auto"/>
        <w:bottom w:val="none" w:sz="0" w:space="0" w:color="auto"/>
        <w:right w:val="none" w:sz="0" w:space="0" w:color="auto"/>
      </w:divBdr>
    </w:div>
    <w:div w:id="1216547272">
      <w:bodyDiv w:val="1"/>
      <w:marLeft w:val="0"/>
      <w:marRight w:val="0"/>
      <w:marTop w:val="0"/>
      <w:marBottom w:val="0"/>
      <w:divBdr>
        <w:top w:val="none" w:sz="0" w:space="0" w:color="auto"/>
        <w:left w:val="none" w:sz="0" w:space="0" w:color="auto"/>
        <w:bottom w:val="none" w:sz="0" w:space="0" w:color="auto"/>
        <w:right w:val="none" w:sz="0" w:space="0" w:color="auto"/>
      </w:divBdr>
    </w:div>
    <w:div w:id="1216624659">
      <w:bodyDiv w:val="1"/>
      <w:marLeft w:val="0"/>
      <w:marRight w:val="0"/>
      <w:marTop w:val="0"/>
      <w:marBottom w:val="0"/>
      <w:divBdr>
        <w:top w:val="none" w:sz="0" w:space="0" w:color="auto"/>
        <w:left w:val="none" w:sz="0" w:space="0" w:color="auto"/>
        <w:bottom w:val="none" w:sz="0" w:space="0" w:color="auto"/>
        <w:right w:val="none" w:sz="0" w:space="0" w:color="auto"/>
      </w:divBdr>
    </w:div>
    <w:div w:id="1216891176">
      <w:bodyDiv w:val="1"/>
      <w:marLeft w:val="0"/>
      <w:marRight w:val="0"/>
      <w:marTop w:val="0"/>
      <w:marBottom w:val="0"/>
      <w:divBdr>
        <w:top w:val="none" w:sz="0" w:space="0" w:color="auto"/>
        <w:left w:val="none" w:sz="0" w:space="0" w:color="auto"/>
        <w:bottom w:val="none" w:sz="0" w:space="0" w:color="auto"/>
        <w:right w:val="none" w:sz="0" w:space="0" w:color="auto"/>
      </w:divBdr>
    </w:div>
    <w:div w:id="1216896675">
      <w:bodyDiv w:val="1"/>
      <w:marLeft w:val="0"/>
      <w:marRight w:val="0"/>
      <w:marTop w:val="0"/>
      <w:marBottom w:val="0"/>
      <w:divBdr>
        <w:top w:val="none" w:sz="0" w:space="0" w:color="auto"/>
        <w:left w:val="none" w:sz="0" w:space="0" w:color="auto"/>
        <w:bottom w:val="none" w:sz="0" w:space="0" w:color="auto"/>
        <w:right w:val="none" w:sz="0" w:space="0" w:color="auto"/>
      </w:divBdr>
    </w:div>
    <w:div w:id="1216964653">
      <w:bodyDiv w:val="1"/>
      <w:marLeft w:val="0"/>
      <w:marRight w:val="0"/>
      <w:marTop w:val="0"/>
      <w:marBottom w:val="0"/>
      <w:divBdr>
        <w:top w:val="none" w:sz="0" w:space="0" w:color="auto"/>
        <w:left w:val="none" w:sz="0" w:space="0" w:color="auto"/>
        <w:bottom w:val="none" w:sz="0" w:space="0" w:color="auto"/>
        <w:right w:val="none" w:sz="0" w:space="0" w:color="auto"/>
      </w:divBdr>
    </w:div>
    <w:div w:id="1217279174">
      <w:bodyDiv w:val="1"/>
      <w:marLeft w:val="0"/>
      <w:marRight w:val="0"/>
      <w:marTop w:val="0"/>
      <w:marBottom w:val="0"/>
      <w:divBdr>
        <w:top w:val="none" w:sz="0" w:space="0" w:color="auto"/>
        <w:left w:val="none" w:sz="0" w:space="0" w:color="auto"/>
        <w:bottom w:val="none" w:sz="0" w:space="0" w:color="auto"/>
        <w:right w:val="none" w:sz="0" w:space="0" w:color="auto"/>
      </w:divBdr>
    </w:div>
    <w:div w:id="1217426217">
      <w:bodyDiv w:val="1"/>
      <w:marLeft w:val="0"/>
      <w:marRight w:val="0"/>
      <w:marTop w:val="0"/>
      <w:marBottom w:val="0"/>
      <w:divBdr>
        <w:top w:val="none" w:sz="0" w:space="0" w:color="auto"/>
        <w:left w:val="none" w:sz="0" w:space="0" w:color="auto"/>
        <w:bottom w:val="none" w:sz="0" w:space="0" w:color="auto"/>
        <w:right w:val="none" w:sz="0" w:space="0" w:color="auto"/>
      </w:divBdr>
    </w:div>
    <w:div w:id="1217550166">
      <w:bodyDiv w:val="1"/>
      <w:marLeft w:val="0"/>
      <w:marRight w:val="0"/>
      <w:marTop w:val="0"/>
      <w:marBottom w:val="0"/>
      <w:divBdr>
        <w:top w:val="none" w:sz="0" w:space="0" w:color="auto"/>
        <w:left w:val="none" w:sz="0" w:space="0" w:color="auto"/>
        <w:bottom w:val="none" w:sz="0" w:space="0" w:color="auto"/>
        <w:right w:val="none" w:sz="0" w:space="0" w:color="auto"/>
      </w:divBdr>
    </w:div>
    <w:div w:id="1217812732">
      <w:bodyDiv w:val="1"/>
      <w:marLeft w:val="0"/>
      <w:marRight w:val="0"/>
      <w:marTop w:val="0"/>
      <w:marBottom w:val="0"/>
      <w:divBdr>
        <w:top w:val="none" w:sz="0" w:space="0" w:color="auto"/>
        <w:left w:val="none" w:sz="0" w:space="0" w:color="auto"/>
        <w:bottom w:val="none" w:sz="0" w:space="0" w:color="auto"/>
        <w:right w:val="none" w:sz="0" w:space="0" w:color="auto"/>
      </w:divBdr>
    </w:div>
    <w:div w:id="1217933022">
      <w:bodyDiv w:val="1"/>
      <w:marLeft w:val="0"/>
      <w:marRight w:val="0"/>
      <w:marTop w:val="0"/>
      <w:marBottom w:val="0"/>
      <w:divBdr>
        <w:top w:val="none" w:sz="0" w:space="0" w:color="auto"/>
        <w:left w:val="none" w:sz="0" w:space="0" w:color="auto"/>
        <w:bottom w:val="none" w:sz="0" w:space="0" w:color="auto"/>
        <w:right w:val="none" w:sz="0" w:space="0" w:color="auto"/>
      </w:divBdr>
    </w:div>
    <w:div w:id="1218014117">
      <w:bodyDiv w:val="1"/>
      <w:marLeft w:val="0"/>
      <w:marRight w:val="0"/>
      <w:marTop w:val="0"/>
      <w:marBottom w:val="0"/>
      <w:divBdr>
        <w:top w:val="none" w:sz="0" w:space="0" w:color="auto"/>
        <w:left w:val="none" w:sz="0" w:space="0" w:color="auto"/>
        <w:bottom w:val="none" w:sz="0" w:space="0" w:color="auto"/>
        <w:right w:val="none" w:sz="0" w:space="0" w:color="auto"/>
      </w:divBdr>
    </w:div>
    <w:div w:id="1218130643">
      <w:bodyDiv w:val="1"/>
      <w:marLeft w:val="0"/>
      <w:marRight w:val="0"/>
      <w:marTop w:val="0"/>
      <w:marBottom w:val="0"/>
      <w:divBdr>
        <w:top w:val="none" w:sz="0" w:space="0" w:color="auto"/>
        <w:left w:val="none" w:sz="0" w:space="0" w:color="auto"/>
        <w:bottom w:val="none" w:sz="0" w:space="0" w:color="auto"/>
        <w:right w:val="none" w:sz="0" w:space="0" w:color="auto"/>
      </w:divBdr>
    </w:div>
    <w:div w:id="1218277358">
      <w:bodyDiv w:val="1"/>
      <w:marLeft w:val="0"/>
      <w:marRight w:val="0"/>
      <w:marTop w:val="0"/>
      <w:marBottom w:val="0"/>
      <w:divBdr>
        <w:top w:val="none" w:sz="0" w:space="0" w:color="auto"/>
        <w:left w:val="none" w:sz="0" w:space="0" w:color="auto"/>
        <w:bottom w:val="none" w:sz="0" w:space="0" w:color="auto"/>
        <w:right w:val="none" w:sz="0" w:space="0" w:color="auto"/>
      </w:divBdr>
    </w:div>
    <w:div w:id="1218278675">
      <w:bodyDiv w:val="1"/>
      <w:marLeft w:val="0"/>
      <w:marRight w:val="0"/>
      <w:marTop w:val="0"/>
      <w:marBottom w:val="0"/>
      <w:divBdr>
        <w:top w:val="none" w:sz="0" w:space="0" w:color="auto"/>
        <w:left w:val="none" w:sz="0" w:space="0" w:color="auto"/>
        <w:bottom w:val="none" w:sz="0" w:space="0" w:color="auto"/>
        <w:right w:val="none" w:sz="0" w:space="0" w:color="auto"/>
      </w:divBdr>
    </w:div>
    <w:div w:id="1218316942">
      <w:bodyDiv w:val="1"/>
      <w:marLeft w:val="0"/>
      <w:marRight w:val="0"/>
      <w:marTop w:val="0"/>
      <w:marBottom w:val="0"/>
      <w:divBdr>
        <w:top w:val="none" w:sz="0" w:space="0" w:color="auto"/>
        <w:left w:val="none" w:sz="0" w:space="0" w:color="auto"/>
        <w:bottom w:val="none" w:sz="0" w:space="0" w:color="auto"/>
        <w:right w:val="none" w:sz="0" w:space="0" w:color="auto"/>
      </w:divBdr>
    </w:div>
    <w:div w:id="1218392229">
      <w:bodyDiv w:val="1"/>
      <w:marLeft w:val="0"/>
      <w:marRight w:val="0"/>
      <w:marTop w:val="0"/>
      <w:marBottom w:val="0"/>
      <w:divBdr>
        <w:top w:val="none" w:sz="0" w:space="0" w:color="auto"/>
        <w:left w:val="none" w:sz="0" w:space="0" w:color="auto"/>
        <w:bottom w:val="none" w:sz="0" w:space="0" w:color="auto"/>
        <w:right w:val="none" w:sz="0" w:space="0" w:color="auto"/>
      </w:divBdr>
    </w:div>
    <w:div w:id="1218395686">
      <w:bodyDiv w:val="1"/>
      <w:marLeft w:val="0"/>
      <w:marRight w:val="0"/>
      <w:marTop w:val="0"/>
      <w:marBottom w:val="0"/>
      <w:divBdr>
        <w:top w:val="none" w:sz="0" w:space="0" w:color="auto"/>
        <w:left w:val="none" w:sz="0" w:space="0" w:color="auto"/>
        <w:bottom w:val="none" w:sz="0" w:space="0" w:color="auto"/>
        <w:right w:val="none" w:sz="0" w:space="0" w:color="auto"/>
      </w:divBdr>
    </w:div>
    <w:div w:id="1218471941">
      <w:bodyDiv w:val="1"/>
      <w:marLeft w:val="0"/>
      <w:marRight w:val="0"/>
      <w:marTop w:val="0"/>
      <w:marBottom w:val="0"/>
      <w:divBdr>
        <w:top w:val="none" w:sz="0" w:space="0" w:color="auto"/>
        <w:left w:val="none" w:sz="0" w:space="0" w:color="auto"/>
        <w:bottom w:val="none" w:sz="0" w:space="0" w:color="auto"/>
        <w:right w:val="none" w:sz="0" w:space="0" w:color="auto"/>
      </w:divBdr>
    </w:div>
    <w:div w:id="1218542839">
      <w:bodyDiv w:val="1"/>
      <w:marLeft w:val="0"/>
      <w:marRight w:val="0"/>
      <w:marTop w:val="0"/>
      <w:marBottom w:val="0"/>
      <w:divBdr>
        <w:top w:val="none" w:sz="0" w:space="0" w:color="auto"/>
        <w:left w:val="none" w:sz="0" w:space="0" w:color="auto"/>
        <w:bottom w:val="none" w:sz="0" w:space="0" w:color="auto"/>
        <w:right w:val="none" w:sz="0" w:space="0" w:color="auto"/>
      </w:divBdr>
    </w:div>
    <w:div w:id="1218592028">
      <w:bodyDiv w:val="1"/>
      <w:marLeft w:val="0"/>
      <w:marRight w:val="0"/>
      <w:marTop w:val="0"/>
      <w:marBottom w:val="0"/>
      <w:divBdr>
        <w:top w:val="none" w:sz="0" w:space="0" w:color="auto"/>
        <w:left w:val="none" w:sz="0" w:space="0" w:color="auto"/>
        <w:bottom w:val="none" w:sz="0" w:space="0" w:color="auto"/>
        <w:right w:val="none" w:sz="0" w:space="0" w:color="auto"/>
      </w:divBdr>
    </w:div>
    <w:div w:id="1218661481">
      <w:bodyDiv w:val="1"/>
      <w:marLeft w:val="0"/>
      <w:marRight w:val="0"/>
      <w:marTop w:val="0"/>
      <w:marBottom w:val="0"/>
      <w:divBdr>
        <w:top w:val="none" w:sz="0" w:space="0" w:color="auto"/>
        <w:left w:val="none" w:sz="0" w:space="0" w:color="auto"/>
        <w:bottom w:val="none" w:sz="0" w:space="0" w:color="auto"/>
        <w:right w:val="none" w:sz="0" w:space="0" w:color="auto"/>
      </w:divBdr>
    </w:div>
    <w:div w:id="1218712174">
      <w:bodyDiv w:val="1"/>
      <w:marLeft w:val="0"/>
      <w:marRight w:val="0"/>
      <w:marTop w:val="0"/>
      <w:marBottom w:val="0"/>
      <w:divBdr>
        <w:top w:val="none" w:sz="0" w:space="0" w:color="auto"/>
        <w:left w:val="none" w:sz="0" w:space="0" w:color="auto"/>
        <w:bottom w:val="none" w:sz="0" w:space="0" w:color="auto"/>
        <w:right w:val="none" w:sz="0" w:space="0" w:color="auto"/>
      </w:divBdr>
    </w:div>
    <w:div w:id="1218787541">
      <w:bodyDiv w:val="1"/>
      <w:marLeft w:val="0"/>
      <w:marRight w:val="0"/>
      <w:marTop w:val="0"/>
      <w:marBottom w:val="0"/>
      <w:divBdr>
        <w:top w:val="none" w:sz="0" w:space="0" w:color="auto"/>
        <w:left w:val="none" w:sz="0" w:space="0" w:color="auto"/>
        <w:bottom w:val="none" w:sz="0" w:space="0" w:color="auto"/>
        <w:right w:val="none" w:sz="0" w:space="0" w:color="auto"/>
      </w:divBdr>
    </w:div>
    <w:div w:id="1218932789">
      <w:bodyDiv w:val="1"/>
      <w:marLeft w:val="0"/>
      <w:marRight w:val="0"/>
      <w:marTop w:val="0"/>
      <w:marBottom w:val="0"/>
      <w:divBdr>
        <w:top w:val="none" w:sz="0" w:space="0" w:color="auto"/>
        <w:left w:val="none" w:sz="0" w:space="0" w:color="auto"/>
        <w:bottom w:val="none" w:sz="0" w:space="0" w:color="auto"/>
        <w:right w:val="none" w:sz="0" w:space="0" w:color="auto"/>
      </w:divBdr>
    </w:div>
    <w:div w:id="1218980521">
      <w:bodyDiv w:val="1"/>
      <w:marLeft w:val="0"/>
      <w:marRight w:val="0"/>
      <w:marTop w:val="0"/>
      <w:marBottom w:val="0"/>
      <w:divBdr>
        <w:top w:val="none" w:sz="0" w:space="0" w:color="auto"/>
        <w:left w:val="none" w:sz="0" w:space="0" w:color="auto"/>
        <w:bottom w:val="none" w:sz="0" w:space="0" w:color="auto"/>
        <w:right w:val="none" w:sz="0" w:space="0" w:color="auto"/>
      </w:divBdr>
    </w:div>
    <w:div w:id="1219046794">
      <w:bodyDiv w:val="1"/>
      <w:marLeft w:val="0"/>
      <w:marRight w:val="0"/>
      <w:marTop w:val="0"/>
      <w:marBottom w:val="0"/>
      <w:divBdr>
        <w:top w:val="none" w:sz="0" w:space="0" w:color="auto"/>
        <w:left w:val="none" w:sz="0" w:space="0" w:color="auto"/>
        <w:bottom w:val="none" w:sz="0" w:space="0" w:color="auto"/>
        <w:right w:val="none" w:sz="0" w:space="0" w:color="auto"/>
      </w:divBdr>
    </w:div>
    <w:div w:id="1219049558">
      <w:bodyDiv w:val="1"/>
      <w:marLeft w:val="0"/>
      <w:marRight w:val="0"/>
      <w:marTop w:val="0"/>
      <w:marBottom w:val="0"/>
      <w:divBdr>
        <w:top w:val="none" w:sz="0" w:space="0" w:color="auto"/>
        <w:left w:val="none" w:sz="0" w:space="0" w:color="auto"/>
        <w:bottom w:val="none" w:sz="0" w:space="0" w:color="auto"/>
        <w:right w:val="none" w:sz="0" w:space="0" w:color="auto"/>
      </w:divBdr>
    </w:div>
    <w:div w:id="1219173198">
      <w:bodyDiv w:val="1"/>
      <w:marLeft w:val="0"/>
      <w:marRight w:val="0"/>
      <w:marTop w:val="0"/>
      <w:marBottom w:val="0"/>
      <w:divBdr>
        <w:top w:val="none" w:sz="0" w:space="0" w:color="auto"/>
        <w:left w:val="none" w:sz="0" w:space="0" w:color="auto"/>
        <w:bottom w:val="none" w:sz="0" w:space="0" w:color="auto"/>
        <w:right w:val="none" w:sz="0" w:space="0" w:color="auto"/>
      </w:divBdr>
    </w:div>
    <w:div w:id="1219198541">
      <w:bodyDiv w:val="1"/>
      <w:marLeft w:val="0"/>
      <w:marRight w:val="0"/>
      <w:marTop w:val="0"/>
      <w:marBottom w:val="0"/>
      <w:divBdr>
        <w:top w:val="none" w:sz="0" w:space="0" w:color="auto"/>
        <w:left w:val="none" w:sz="0" w:space="0" w:color="auto"/>
        <w:bottom w:val="none" w:sz="0" w:space="0" w:color="auto"/>
        <w:right w:val="none" w:sz="0" w:space="0" w:color="auto"/>
      </w:divBdr>
    </w:div>
    <w:div w:id="1219241867">
      <w:bodyDiv w:val="1"/>
      <w:marLeft w:val="0"/>
      <w:marRight w:val="0"/>
      <w:marTop w:val="0"/>
      <w:marBottom w:val="0"/>
      <w:divBdr>
        <w:top w:val="none" w:sz="0" w:space="0" w:color="auto"/>
        <w:left w:val="none" w:sz="0" w:space="0" w:color="auto"/>
        <w:bottom w:val="none" w:sz="0" w:space="0" w:color="auto"/>
        <w:right w:val="none" w:sz="0" w:space="0" w:color="auto"/>
      </w:divBdr>
    </w:div>
    <w:div w:id="1219243394">
      <w:bodyDiv w:val="1"/>
      <w:marLeft w:val="0"/>
      <w:marRight w:val="0"/>
      <w:marTop w:val="0"/>
      <w:marBottom w:val="0"/>
      <w:divBdr>
        <w:top w:val="none" w:sz="0" w:space="0" w:color="auto"/>
        <w:left w:val="none" w:sz="0" w:space="0" w:color="auto"/>
        <w:bottom w:val="none" w:sz="0" w:space="0" w:color="auto"/>
        <w:right w:val="none" w:sz="0" w:space="0" w:color="auto"/>
      </w:divBdr>
    </w:div>
    <w:div w:id="1219244216">
      <w:bodyDiv w:val="1"/>
      <w:marLeft w:val="0"/>
      <w:marRight w:val="0"/>
      <w:marTop w:val="0"/>
      <w:marBottom w:val="0"/>
      <w:divBdr>
        <w:top w:val="none" w:sz="0" w:space="0" w:color="auto"/>
        <w:left w:val="none" w:sz="0" w:space="0" w:color="auto"/>
        <w:bottom w:val="none" w:sz="0" w:space="0" w:color="auto"/>
        <w:right w:val="none" w:sz="0" w:space="0" w:color="auto"/>
      </w:divBdr>
    </w:div>
    <w:div w:id="1219317553">
      <w:bodyDiv w:val="1"/>
      <w:marLeft w:val="0"/>
      <w:marRight w:val="0"/>
      <w:marTop w:val="0"/>
      <w:marBottom w:val="0"/>
      <w:divBdr>
        <w:top w:val="none" w:sz="0" w:space="0" w:color="auto"/>
        <w:left w:val="none" w:sz="0" w:space="0" w:color="auto"/>
        <w:bottom w:val="none" w:sz="0" w:space="0" w:color="auto"/>
        <w:right w:val="none" w:sz="0" w:space="0" w:color="auto"/>
      </w:divBdr>
    </w:div>
    <w:div w:id="1219441836">
      <w:bodyDiv w:val="1"/>
      <w:marLeft w:val="0"/>
      <w:marRight w:val="0"/>
      <w:marTop w:val="0"/>
      <w:marBottom w:val="0"/>
      <w:divBdr>
        <w:top w:val="none" w:sz="0" w:space="0" w:color="auto"/>
        <w:left w:val="none" w:sz="0" w:space="0" w:color="auto"/>
        <w:bottom w:val="none" w:sz="0" w:space="0" w:color="auto"/>
        <w:right w:val="none" w:sz="0" w:space="0" w:color="auto"/>
      </w:divBdr>
    </w:div>
    <w:div w:id="1219513087">
      <w:bodyDiv w:val="1"/>
      <w:marLeft w:val="0"/>
      <w:marRight w:val="0"/>
      <w:marTop w:val="0"/>
      <w:marBottom w:val="0"/>
      <w:divBdr>
        <w:top w:val="none" w:sz="0" w:space="0" w:color="auto"/>
        <w:left w:val="none" w:sz="0" w:space="0" w:color="auto"/>
        <w:bottom w:val="none" w:sz="0" w:space="0" w:color="auto"/>
        <w:right w:val="none" w:sz="0" w:space="0" w:color="auto"/>
      </w:divBdr>
    </w:div>
    <w:div w:id="1219583957">
      <w:bodyDiv w:val="1"/>
      <w:marLeft w:val="0"/>
      <w:marRight w:val="0"/>
      <w:marTop w:val="0"/>
      <w:marBottom w:val="0"/>
      <w:divBdr>
        <w:top w:val="none" w:sz="0" w:space="0" w:color="auto"/>
        <w:left w:val="none" w:sz="0" w:space="0" w:color="auto"/>
        <w:bottom w:val="none" w:sz="0" w:space="0" w:color="auto"/>
        <w:right w:val="none" w:sz="0" w:space="0" w:color="auto"/>
      </w:divBdr>
    </w:div>
    <w:div w:id="1219586002">
      <w:bodyDiv w:val="1"/>
      <w:marLeft w:val="0"/>
      <w:marRight w:val="0"/>
      <w:marTop w:val="0"/>
      <w:marBottom w:val="0"/>
      <w:divBdr>
        <w:top w:val="none" w:sz="0" w:space="0" w:color="auto"/>
        <w:left w:val="none" w:sz="0" w:space="0" w:color="auto"/>
        <w:bottom w:val="none" w:sz="0" w:space="0" w:color="auto"/>
        <w:right w:val="none" w:sz="0" w:space="0" w:color="auto"/>
      </w:divBdr>
    </w:div>
    <w:div w:id="1219706919">
      <w:bodyDiv w:val="1"/>
      <w:marLeft w:val="0"/>
      <w:marRight w:val="0"/>
      <w:marTop w:val="0"/>
      <w:marBottom w:val="0"/>
      <w:divBdr>
        <w:top w:val="none" w:sz="0" w:space="0" w:color="auto"/>
        <w:left w:val="none" w:sz="0" w:space="0" w:color="auto"/>
        <w:bottom w:val="none" w:sz="0" w:space="0" w:color="auto"/>
        <w:right w:val="none" w:sz="0" w:space="0" w:color="auto"/>
      </w:divBdr>
    </w:div>
    <w:div w:id="1219708578">
      <w:bodyDiv w:val="1"/>
      <w:marLeft w:val="0"/>
      <w:marRight w:val="0"/>
      <w:marTop w:val="0"/>
      <w:marBottom w:val="0"/>
      <w:divBdr>
        <w:top w:val="none" w:sz="0" w:space="0" w:color="auto"/>
        <w:left w:val="none" w:sz="0" w:space="0" w:color="auto"/>
        <w:bottom w:val="none" w:sz="0" w:space="0" w:color="auto"/>
        <w:right w:val="none" w:sz="0" w:space="0" w:color="auto"/>
      </w:divBdr>
    </w:div>
    <w:div w:id="1219779451">
      <w:bodyDiv w:val="1"/>
      <w:marLeft w:val="0"/>
      <w:marRight w:val="0"/>
      <w:marTop w:val="0"/>
      <w:marBottom w:val="0"/>
      <w:divBdr>
        <w:top w:val="none" w:sz="0" w:space="0" w:color="auto"/>
        <w:left w:val="none" w:sz="0" w:space="0" w:color="auto"/>
        <w:bottom w:val="none" w:sz="0" w:space="0" w:color="auto"/>
        <w:right w:val="none" w:sz="0" w:space="0" w:color="auto"/>
      </w:divBdr>
    </w:div>
    <w:div w:id="1219781772">
      <w:bodyDiv w:val="1"/>
      <w:marLeft w:val="0"/>
      <w:marRight w:val="0"/>
      <w:marTop w:val="0"/>
      <w:marBottom w:val="0"/>
      <w:divBdr>
        <w:top w:val="none" w:sz="0" w:space="0" w:color="auto"/>
        <w:left w:val="none" w:sz="0" w:space="0" w:color="auto"/>
        <w:bottom w:val="none" w:sz="0" w:space="0" w:color="auto"/>
        <w:right w:val="none" w:sz="0" w:space="0" w:color="auto"/>
      </w:divBdr>
    </w:div>
    <w:div w:id="1219786831">
      <w:bodyDiv w:val="1"/>
      <w:marLeft w:val="0"/>
      <w:marRight w:val="0"/>
      <w:marTop w:val="0"/>
      <w:marBottom w:val="0"/>
      <w:divBdr>
        <w:top w:val="none" w:sz="0" w:space="0" w:color="auto"/>
        <w:left w:val="none" w:sz="0" w:space="0" w:color="auto"/>
        <w:bottom w:val="none" w:sz="0" w:space="0" w:color="auto"/>
        <w:right w:val="none" w:sz="0" w:space="0" w:color="auto"/>
      </w:divBdr>
    </w:div>
    <w:div w:id="1219827192">
      <w:bodyDiv w:val="1"/>
      <w:marLeft w:val="0"/>
      <w:marRight w:val="0"/>
      <w:marTop w:val="0"/>
      <w:marBottom w:val="0"/>
      <w:divBdr>
        <w:top w:val="none" w:sz="0" w:space="0" w:color="auto"/>
        <w:left w:val="none" w:sz="0" w:space="0" w:color="auto"/>
        <w:bottom w:val="none" w:sz="0" w:space="0" w:color="auto"/>
        <w:right w:val="none" w:sz="0" w:space="0" w:color="auto"/>
      </w:divBdr>
    </w:div>
    <w:div w:id="1219897062">
      <w:bodyDiv w:val="1"/>
      <w:marLeft w:val="0"/>
      <w:marRight w:val="0"/>
      <w:marTop w:val="0"/>
      <w:marBottom w:val="0"/>
      <w:divBdr>
        <w:top w:val="none" w:sz="0" w:space="0" w:color="auto"/>
        <w:left w:val="none" w:sz="0" w:space="0" w:color="auto"/>
        <w:bottom w:val="none" w:sz="0" w:space="0" w:color="auto"/>
        <w:right w:val="none" w:sz="0" w:space="0" w:color="auto"/>
      </w:divBdr>
    </w:div>
    <w:div w:id="1219899750">
      <w:bodyDiv w:val="1"/>
      <w:marLeft w:val="0"/>
      <w:marRight w:val="0"/>
      <w:marTop w:val="0"/>
      <w:marBottom w:val="0"/>
      <w:divBdr>
        <w:top w:val="none" w:sz="0" w:space="0" w:color="auto"/>
        <w:left w:val="none" w:sz="0" w:space="0" w:color="auto"/>
        <w:bottom w:val="none" w:sz="0" w:space="0" w:color="auto"/>
        <w:right w:val="none" w:sz="0" w:space="0" w:color="auto"/>
      </w:divBdr>
    </w:div>
    <w:div w:id="1220050144">
      <w:bodyDiv w:val="1"/>
      <w:marLeft w:val="0"/>
      <w:marRight w:val="0"/>
      <w:marTop w:val="0"/>
      <w:marBottom w:val="0"/>
      <w:divBdr>
        <w:top w:val="none" w:sz="0" w:space="0" w:color="auto"/>
        <w:left w:val="none" w:sz="0" w:space="0" w:color="auto"/>
        <w:bottom w:val="none" w:sz="0" w:space="0" w:color="auto"/>
        <w:right w:val="none" w:sz="0" w:space="0" w:color="auto"/>
      </w:divBdr>
    </w:div>
    <w:div w:id="1220171347">
      <w:bodyDiv w:val="1"/>
      <w:marLeft w:val="0"/>
      <w:marRight w:val="0"/>
      <w:marTop w:val="0"/>
      <w:marBottom w:val="0"/>
      <w:divBdr>
        <w:top w:val="none" w:sz="0" w:space="0" w:color="auto"/>
        <w:left w:val="none" w:sz="0" w:space="0" w:color="auto"/>
        <w:bottom w:val="none" w:sz="0" w:space="0" w:color="auto"/>
        <w:right w:val="none" w:sz="0" w:space="0" w:color="auto"/>
      </w:divBdr>
    </w:div>
    <w:div w:id="1220245090">
      <w:bodyDiv w:val="1"/>
      <w:marLeft w:val="0"/>
      <w:marRight w:val="0"/>
      <w:marTop w:val="0"/>
      <w:marBottom w:val="0"/>
      <w:divBdr>
        <w:top w:val="none" w:sz="0" w:space="0" w:color="auto"/>
        <w:left w:val="none" w:sz="0" w:space="0" w:color="auto"/>
        <w:bottom w:val="none" w:sz="0" w:space="0" w:color="auto"/>
        <w:right w:val="none" w:sz="0" w:space="0" w:color="auto"/>
      </w:divBdr>
    </w:div>
    <w:div w:id="1220245320">
      <w:bodyDiv w:val="1"/>
      <w:marLeft w:val="0"/>
      <w:marRight w:val="0"/>
      <w:marTop w:val="0"/>
      <w:marBottom w:val="0"/>
      <w:divBdr>
        <w:top w:val="none" w:sz="0" w:space="0" w:color="auto"/>
        <w:left w:val="none" w:sz="0" w:space="0" w:color="auto"/>
        <w:bottom w:val="none" w:sz="0" w:space="0" w:color="auto"/>
        <w:right w:val="none" w:sz="0" w:space="0" w:color="auto"/>
      </w:divBdr>
    </w:div>
    <w:div w:id="1220360592">
      <w:bodyDiv w:val="1"/>
      <w:marLeft w:val="0"/>
      <w:marRight w:val="0"/>
      <w:marTop w:val="0"/>
      <w:marBottom w:val="0"/>
      <w:divBdr>
        <w:top w:val="none" w:sz="0" w:space="0" w:color="auto"/>
        <w:left w:val="none" w:sz="0" w:space="0" w:color="auto"/>
        <w:bottom w:val="none" w:sz="0" w:space="0" w:color="auto"/>
        <w:right w:val="none" w:sz="0" w:space="0" w:color="auto"/>
      </w:divBdr>
    </w:div>
    <w:div w:id="1220440052">
      <w:bodyDiv w:val="1"/>
      <w:marLeft w:val="0"/>
      <w:marRight w:val="0"/>
      <w:marTop w:val="0"/>
      <w:marBottom w:val="0"/>
      <w:divBdr>
        <w:top w:val="none" w:sz="0" w:space="0" w:color="auto"/>
        <w:left w:val="none" w:sz="0" w:space="0" w:color="auto"/>
        <w:bottom w:val="none" w:sz="0" w:space="0" w:color="auto"/>
        <w:right w:val="none" w:sz="0" w:space="0" w:color="auto"/>
      </w:divBdr>
    </w:div>
    <w:div w:id="1220747512">
      <w:bodyDiv w:val="1"/>
      <w:marLeft w:val="0"/>
      <w:marRight w:val="0"/>
      <w:marTop w:val="0"/>
      <w:marBottom w:val="0"/>
      <w:divBdr>
        <w:top w:val="none" w:sz="0" w:space="0" w:color="auto"/>
        <w:left w:val="none" w:sz="0" w:space="0" w:color="auto"/>
        <w:bottom w:val="none" w:sz="0" w:space="0" w:color="auto"/>
        <w:right w:val="none" w:sz="0" w:space="0" w:color="auto"/>
      </w:divBdr>
    </w:div>
    <w:div w:id="1220820386">
      <w:bodyDiv w:val="1"/>
      <w:marLeft w:val="0"/>
      <w:marRight w:val="0"/>
      <w:marTop w:val="0"/>
      <w:marBottom w:val="0"/>
      <w:divBdr>
        <w:top w:val="none" w:sz="0" w:space="0" w:color="auto"/>
        <w:left w:val="none" w:sz="0" w:space="0" w:color="auto"/>
        <w:bottom w:val="none" w:sz="0" w:space="0" w:color="auto"/>
        <w:right w:val="none" w:sz="0" w:space="0" w:color="auto"/>
      </w:divBdr>
    </w:div>
    <w:div w:id="1220899854">
      <w:bodyDiv w:val="1"/>
      <w:marLeft w:val="0"/>
      <w:marRight w:val="0"/>
      <w:marTop w:val="0"/>
      <w:marBottom w:val="0"/>
      <w:divBdr>
        <w:top w:val="none" w:sz="0" w:space="0" w:color="auto"/>
        <w:left w:val="none" w:sz="0" w:space="0" w:color="auto"/>
        <w:bottom w:val="none" w:sz="0" w:space="0" w:color="auto"/>
        <w:right w:val="none" w:sz="0" w:space="0" w:color="auto"/>
      </w:divBdr>
    </w:div>
    <w:div w:id="1221283255">
      <w:bodyDiv w:val="1"/>
      <w:marLeft w:val="0"/>
      <w:marRight w:val="0"/>
      <w:marTop w:val="0"/>
      <w:marBottom w:val="0"/>
      <w:divBdr>
        <w:top w:val="none" w:sz="0" w:space="0" w:color="auto"/>
        <w:left w:val="none" w:sz="0" w:space="0" w:color="auto"/>
        <w:bottom w:val="none" w:sz="0" w:space="0" w:color="auto"/>
        <w:right w:val="none" w:sz="0" w:space="0" w:color="auto"/>
      </w:divBdr>
    </w:div>
    <w:div w:id="1221285342">
      <w:bodyDiv w:val="1"/>
      <w:marLeft w:val="0"/>
      <w:marRight w:val="0"/>
      <w:marTop w:val="0"/>
      <w:marBottom w:val="0"/>
      <w:divBdr>
        <w:top w:val="none" w:sz="0" w:space="0" w:color="auto"/>
        <w:left w:val="none" w:sz="0" w:space="0" w:color="auto"/>
        <w:bottom w:val="none" w:sz="0" w:space="0" w:color="auto"/>
        <w:right w:val="none" w:sz="0" w:space="0" w:color="auto"/>
      </w:divBdr>
    </w:div>
    <w:div w:id="1221554959">
      <w:bodyDiv w:val="1"/>
      <w:marLeft w:val="0"/>
      <w:marRight w:val="0"/>
      <w:marTop w:val="0"/>
      <w:marBottom w:val="0"/>
      <w:divBdr>
        <w:top w:val="none" w:sz="0" w:space="0" w:color="auto"/>
        <w:left w:val="none" w:sz="0" w:space="0" w:color="auto"/>
        <w:bottom w:val="none" w:sz="0" w:space="0" w:color="auto"/>
        <w:right w:val="none" w:sz="0" w:space="0" w:color="auto"/>
      </w:divBdr>
    </w:div>
    <w:div w:id="1221670953">
      <w:bodyDiv w:val="1"/>
      <w:marLeft w:val="0"/>
      <w:marRight w:val="0"/>
      <w:marTop w:val="0"/>
      <w:marBottom w:val="0"/>
      <w:divBdr>
        <w:top w:val="none" w:sz="0" w:space="0" w:color="auto"/>
        <w:left w:val="none" w:sz="0" w:space="0" w:color="auto"/>
        <w:bottom w:val="none" w:sz="0" w:space="0" w:color="auto"/>
        <w:right w:val="none" w:sz="0" w:space="0" w:color="auto"/>
      </w:divBdr>
    </w:div>
    <w:div w:id="1221746150">
      <w:bodyDiv w:val="1"/>
      <w:marLeft w:val="0"/>
      <w:marRight w:val="0"/>
      <w:marTop w:val="0"/>
      <w:marBottom w:val="0"/>
      <w:divBdr>
        <w:top w:val="none" w:sz="0" w:space="0" w:color="auto"/>
        <w:left w:val="none" w:sz="0" w:space="0" w:color="auto"/>
        <w:bottom w:val="none" w:sz="0" w:space="0" w:color="auto"/>
        <w:right w:val="none" w:sz="0" w:space="0" w:color="auto"/>
      </w:divBdr>
    </w:div>
    <w:div w:id="1221747810">
      <w:bodyDiv w:val="1"/>
      <w:marLeft w:val="0"/>
      <w:marRight w:val="0"/>
      <w:marTop w:val="0"/>
      <w:marBottom w:val="0"/>
      <w:divBdr>
        <w:top w:val="none" w:sz="0" w:space="0" w:color="auto"/>
        <w:left w:val="none" w:sz="0" w:space="0" w:color="auto"/>
        <w:bottom w:val="none" w:sz="0" w:space="0" w:color="auto"/>
        <w:right w:val="none" w:sz="0" w:space="0" w:color="auto"/>
      </w:divBdr>
    </w:div>
    <w:div w:id="1221794821">
      <w:bodyDiv w:val="1"/>
      <w:marLeft w:val="0"/>
      <w:marRight w:val="0"/>
      <w:marTop w:val="0"/>
      <w:marBottom w:val="0"/>
      <w:divBdr>
        <w:top w:val="none" w:sz="0" w:space="0" w:color="auto"/>
        <w:left w:val="none" w:sz="0" w:space="0" w:color="auto"/>
        <w:bottom w:val="none" w:sz="0" w:space="0" w:color="auto"/>
        <w:right w:val="none" w:sz="0" w:space="0" w:color="auto"/>
      </w:divBdr>
    </w:div>
    <w:div w:id="1221938506">
      <w:bodyDiv w:val="1"/>
      <w:marLeft w:val="0"/>
      <w:marRight w:val="0"/>
      <w:marTop w:val="0"/>
      <w:marBottom w:val="0"/>
      <w:divBdr>
        <w:top w:val="none" w:sz="0" w:space="0" w:color="auto"/>
        <w:left w:val="none" w:sz="0" w:space="0" w:color="auto"/>
        <w:bottom w:val="none" w:sz="0" w:space="0" w:color="auto"/>
        <w:right w:val="none" w:sz="0" w:space="0" w:color="auto"/>
      </w:divBdr>
    </w:div>
    <w:div w:id="1221941162">
      <w:bodyDiv w:val="1"/>
      <w:marLeft w:val="0"/>
      <w:marRight w:val="0"/>
      <w:marTop w:val="0"/>
      <w:marBottom w:val="0"/>
      <w:divBdr>
        <w:top w:val="none" w:sz="0" w:space="0" w:color="auto"/>
        <w:left w:val="none" w:sz="0" w:space="0" w:color="auto"/>
        <w:bottom w:val="none" w:sz="0" w:space="0" w:color="auto"/>
        <w:right w:val="none" w:sz="0" w:space="0" w:color="auto"/>
      </w:divBdr>
    </w:div>
    <w:div w:id="1221944722">
      <w:bodyDiv w:val="1"/>
      <w:marLeft w:val="0"/>
      <w:marRight w:val="0"/>
      <w:marTop w:val="0"/>
      <w:marBottom w:val="0"/>
      <w:divBdr>
        <w:top w:val="none" w:sz="0" w:space="0" w:color="auto"/>
        <w:left w:val="none" w:sz="0" w:space="0" w:color="auto"/>
        <w:bottom w:val="none" w:sz="0" w:space="0" w:color="auto"/>
        <w:right w:val="none" w:sz="0" w:space="0" w:color="auto"/>
      </w:divBdr>
    </w:div>
    <w:div w:id="1222015723">
      <w:bodyDiv w:val="1"/>
      <w:marLeft w:val="0"/>
      <w:marRight w:val="0"/>
      <w:marTop w:val="0"/>
      <w:marBottom w:val="0"/>
      <w:divBdr>
        <w:top w:val="none" w:sz="0" w:space="0" w:color="auto"/>
        <w:left w:val="none" w:sz="0" w:space="0" w:color="auto"/>
        <w:bottom w:val="none" w:sz="0" w:space="0" w:color="auto"/>
        <w:right w:val="none" w:sz="0" w:space="0" w:color="auto"/>
      </w:divBdr>
    </w:div>
    <w:div w:id="1222135538">
      <w:bodyDiv w:val="1"/>
      <w:marLeft w:val="0"/>
      <w:marRight w:val="0"/>
      <w:marTop w:val="0"/>
      <w:marBottom w:val="0"/>
      <w:divBdr>
        <w:top w:val="none" w:sz="0" w:space="0" w:color="auto"/>
        <w:left w:val="none" w:sz="0" w:space="0" w:color="auto"/>
        <w:bottom w:val="none" w:sz="0" w:space="0" w:color="auto"/>
        <w:right w:val="none" w:sz="0" w:space="0" w:color="auto"/>
      </w:divBdr>
    </w:div>
    <w:div w:id="1222253732">
      <w:bodyDiv w:val="1"/>
      <w:marLeft w:val="0"/>
      <w:marRight w:val="0"/>
      <w:marTop w:val="0"/>
      <w:marBottom w:val="0"/>
      <w:divBdr>
        <w:top w:val="none" w:sz="0" w:space="0" w:color="auto"/>
        <w:left w:val="none" w:sz="0" w:space="0" w:color="auto"/>
        <w:bottom w:val="none" w:sz="0" w:space="0" w:color="auto"/>
        <w:right w:val="none" w:sz="0" w:space="0" w:color="auto"/>
      </w:divBdr>
    </w:div>
    <w:div w:id="1222255155">
      <w:bodyDiv w:val="1"/>
      <w:marLeft w:val="0"/>
      <w:marRight w:val="0"/>
      <w:marTop w:val="0"/>
      <w:marBottom w:val="0"/>
      <w:divBdr>
        <w:top w:val="none" w:sz="0" w:space="0" w:color="auto"/>
        <w:left w:val="none" w:sz="0" w:space="0" w:color="auto"/>
        <w:bottom w:val="none" w:sz="0" w:space="0" w:color="auto"/>
        <w:right w:val="none" w:sz="0" w:space="0" w:color="auto"/>
      </w:divBdr>
    </w:div>
    <w:div w:id="1222255877">
      <w:bodyDiv w:val="1"/>
      <w:marLeft w:val="0"/>
      <w:marRight w:val="0"/>
      <w:marTop w:val="0"/>
      <w:marBottom w:val="0"/>
      <w:divBdr>
        <w:top w:val="none" w:sz="0" w:space="0" w:color="auto"/>
        <w:left w:val="none" w:sz="0" w:space="0" w:color="auto"/>
        <w:bottom w:val="none" w:sz="0" w:space="0" w:color="auto"/>
        <w:right w:val="none" w:sz="0" w:space="0" w:color="auto"/>
      </w:divBdr>
    </w:div>
    <w:div w:id="1222326349">
      <w:bodyDiv w:val="1"/>
      <w:marLeft w:val="0"/>
      <w:marRight w:val="0"/>
      <w:marTop w:val="0"/>
      <w:marBottom w:val="0"/>
      <w:divBdr>
        <w:top w:val="none" w:sz="0" w:space="0" w:color="auto"/>
        <w:left w:val="none" w:sz="0" w:space="0" w:color="auto"/>
        <w:bottom w:val="none" w:sz="0" w:space="0" w:color="auto"/>
        <w:right w:val="none" w:sz="0" w:space="0" w:color="auto"/>
      </w:divBdr>
    </w:div>
    <w:div w:id="1222329338">
      <w:bodyDiv w:val="1"/>
      <w:marLeft w:val="0"/>
      <w:marRight w:val="0"/>
      <w:marTop w:val="0"/>
      <w:marBottom w:val="0"/>
      <w:divBdr>
        <w:top w:val="none" w:sz="0" w:space="0" w:color="auto"/>
        <w:left w:val="none" w:sz="0" w:space="0" w:color="auto"/>
        <w:bottom w:val="none" w:sz="0" w:space="0" w:color="auto"/>
        <w:right w:val="none" w:sz="0" w:space="0" w:color="auto"/>
      </w:divBdr>
    </w:div>
    <w:div w:id="1222516626">
      <w:bodyDiv w:val="1"/>
      <w:marLeft w:val="0"/>
      <w:marRight w:val="0"/>
      <w:marTop w:val="0"/>
      <w:marBottom w:val="0"/>
      <w:divBdr>
        <w:top w:val="none" w:sz="0" w:space="0" w:color="auto"/>
        <w:left w:val="none" w:sz="0" w:space="0" w:color="auto"/>
        <w:bottom w:val="none" w:sz="0" w:space="0" w:color="auto"/>
        <w:right w:val="none" w:sz="0" w:space="0" w:color="auto"/>
      </w:divBdr>
    </w:div>
    <w:div w:id="1222524552">
      <w:bodyDiv w:val="1"/>
      <w:marLeft w:val="0"/>
      <w:marRight w:val="0"/>
      <w:marTop w:val="0"/>
      <w:marBottom w:val="0"/>
      <w:divBdr>
        <w:top w:val="none" w:sz="0" w:space="0" w:color="auto"/>
        <w:left w:val="none" w:sz="0" w:space="0" w:color="auto"/>
        <w:bottom w:val="none" w:sz="0" w:space="0" w:color="auto"/>
        <w:right w:val="none" w:sz="0" w:space="0" w:color="auto"/>
      </w:divBdr>
    </w:div>
    <w:div w:id="1222596705">
      <w:bodyDiv w:val="1"/>
      <w:marLeft w:val="0"/>
      <w:marRight w:val="0"/>
      <w:marTop w:val="0"/>
      <w:marBottom w:val="0"/>
      <w:divBdr>
        <w:top w:val="none" w:sz="0" w:space="0" w:color="auto"/>
        <w:left w:val="none" w:sz="0" w:space="0" w:color="auto"/>
        <w:bottom w:val="none" w:sz="0" w:space="0" w:color="auto"/>
        <w:right w:val="none" w:sz="0" w:space="0" w:color="auto"/>
      </w:divBdr>
    </w:div>
    <w:div w:id="1222640898">
      <w:bodyDiv w:val="1"/>
      <w:marLeft w:val="0"/>
      <w:marRight w:val="0"/>
      <w:marTop w:val="0"/>
      <w:marBottom w:val="0"/>
      <w:divBdr>
        <w:top w:val="none" w:sz="0" w:space="0" w:color="auto"/>
        <w:left w:val="none" w:sz="0" w:space="0" w:color="auto"/>
        <w:bottom w:val="none" w:sz="0" w:space="0" w:color="auto"/>
        <w:right w:val="none" w:sz="0" w:space="0" w:color="auto"/>
      </w:divBdr>
    </w:div>
    <w:div w:id="1222666850">
      <w:bodyDiv w:val="1"/>
      <w:marLeft w:val="0"/>
      <w:marRight w:val="0"/>
      <w:marTop w:val="0"/>
      <w:marBottom w:val="0"/>
      <w:divBdr>
        <w:top w:val="none" w:sz="0" w:space="0" w:color="auto"/>
        <w:left w:val="none" w:sz="0" w:space="0" w:color="auto"/>
        <w:bottom w:val="none" w:sz="0" w:space="0" w:color="auto"/>
        <w:right w:val="none" w:sz="0" w:space="0" w:color="auto"/>
      </w:divBdr>
    </w:div>
    <w:div w:id="1222667536">
      <w:bodyDiv w:val="1"/>
      <w:marLeft w:val="0"/>
      <w:marRight w:val="0"/>
      <w:marTop w:val="0"/>
      <w:marBottom w:val="0"/>
      <w:divBdr>
        <w:top w:val="none" w:sz="0" w:space="0" w:color="auto"/>
        <w:left w:val="none" w:sz="0" w:space="0" w:color="auto"/>
        <w:bottom w:val="none" w:sz="0" w:space="0" w:color="auto"/>
        <w:right w:val="none" w:sz="0" w:space="0" w:color="auto"/>
      </w:divBdr>
    </w:div>
    <w:div w:id="1222668752">
      <w:bodyDiv w:val="1"/>
      <w:marLeft w:val="0"/>
      <w:marRight w:val="0"/>
      <w:marTop w:val="0"/>
      <w:marBottom w:val="0"/>
      <w:divBdr>
        <w:top w:val="none" w:sz="0" w:space="0" w:color="auto"/>
        <w:left w:val="none" w:sz="0" w:space="0" w:color="auto"/>
        <w:bottom w:val="none" w:sz="0" w:space="0" w:color="auto"/>
        <w:right w:val="none" w:sz="0" w:space="0" w:color="auto"/>
      </w:divBdr>
    </w:div>
    <w:div w:id="1222719014">
      <w:bodyDiv w:val="1"/>
      <w:marLeft w:val="0"/>
      <w:marRight w:val="0"/>
      <w:marTop w:val="0"/>
      <w:marBottom w:val="0"/>
      <w:divBdr>
        <w:top w:val="none" w:sz="0" w:space="0" w:color="auto"/>
        <w:left w:val="none" w:sz="0" w:space="0" w:color="auto"/>
        <w:bottom w:val="none" w:sz="0" w:space="0" w:color="auto"/>
        <w:right w:val="none" w:sz="0" w:space="0" w:color="auto"/>
      </w:divBdr>
    </w:div>
    <w:div w:id="1222864895">
      <w:bodyDiv w:val="1"/>
      <w:marLeft w:val="0"/>
      <w:marRight w:val="0"/>
      <w:marTop w:val="0"/>
      <w:marBottom w:val="0"/>
      <w:divBdr>
        <w:top w:val="none" w:sz="0" w:space="0" w:color="auto"/>
        <w:left w:val="none" w:sz="0" w:space="0" w:color="auto"/>
        <w:bottom w:val="none" w:sz="0" w:space="0" w:color="auto"/>
        <w:right w:val="none" w:sz="0" w:space="0" w:color="auto"/>
      </w:divBdr>
    </w:div>
    <w:div w:id="1222866120">
      <w:bodyDiv w:val="1"/>
      <w:marLeft w:val="0"/>
      <w:marRight w:val="0"/>
      <w:marTop w:val="0"/>
      <w:marBottom w:val="0"/>
      <w:divBdr>
        <w:top w:val="none" w:sz="0" w:space="0" w:color="auto"/>
        <w:left w:val="none" w:sz="0" w:space="0" w:color="auto"/>
        <w:bottom w:val="none" w:sz="0" w:space="0" w:color="auto"/>
        <w:right w:val="none" w:sz="0" w:space="0" w:color="auto"/>
      </w:divBdr>
    </w:div>
    <w:div w:id="1222907189">
      <w:bodyDiv w:val="1"/>
      <w:marLeft w:val="0"/>
      <w:marRight w:val="0"/>
      <w:marTop w:val="0"/>
      <w:marBottom w:val="0"/>
      <w:divBdr>
        <w:top w:val="none" w:sz="0" w:space="0" w:color="auto"/>
        <w:left w:val="none" w:sz="0" w:space="0" w:color="auto"/>
        <w:bottom w:val="none" w:sz="0" w:space="0" w:color="auto"/>
        <w:right w:val="none" w:sz="0" w:space="0" w:color="auto"/>
      </w:divBdr>
    </w:div>
    <w:div w:id="1222911215">
      <w:bodyDiv w:val="1"/>
      <w:marLeft w:val="0"/>
      <w:marRight w:val="0"/>
      <w:marTop w:val="0"/>
      <w:marBottom w:val="0"/>
      <w:divBdr>
        <w:top w:val="none" w:sz="0" w:space="0" w:color="auto"/>
        <w:left w:val="none" w:sz="0" w:space="0" w:color="auto"/>
        <w:bottom w:val="none" w:sz="0" w:space="0" w:color="auto"/>
        <w:right w:val="none" w:sz="0" w:space="0" w:color="auto"/>
      </w:divBdr>
    </w:div>
    <w:div w:id="1223058986">
      <w:bodyDiv w:val="1"/>
      <w:marLeft w:val="0"/>
      <w:marRight w:val="0"/>
      <w:marTop w:val="0"/>
      <w:marBottom w:val="0"/>
      <w:divBdr>
        <w:top w:val="none" w:sz="0" w:space="0" w:color="auto"/>
        <w:left w:val="none" w:sz="0" w:space="0" w:color="auto"/>
        <w:bottom w:val="none" w:sz="0" w:space="0" w:color="auto"/>
        <w:right w:val="none" w:sz="0" w:space="0" w:color="auto"/>
      </w:divBdr>
    </w:div>
    <w:div w:id="1223059634">
      <w:bodyDiv w:val="1"/>
      <w:marLeft w:val="0"/>
      <w:marRight w:val="0"/>
      <w:marTop w:val="0"/>
      <w:marBottom w:val="0"/>
      <w:divBdr>
        <w:top w:val="none" w:sz="0" w:space="0" w:color="auto"/>
        <w:left w:val="none" w:sz="0" w:space="0" w:color="auto"/>
        <w:bottom w:val="none" w:sz="0" w:space="0" w:color="auto"/>
        <w:right w:val="none" w:sz="0" w:space="0" w:color="auto"/>
      </w:divBdr>
    </w:div>
    <w:div w:id="1223098738">
      <w:bodyDiv w:val="1"/>
      <w:marLeft w:val="0"/>
      <w:marRight w:val="0"/>
      <w:marTop w:val="0"/>
      <w:marBottom w:val="0"/>
      <w:divBdr>
        <w:top w:val="none" w:sz="0" w:space="0" w:color="auto"/>
        <w:left w:val="none" w:sz="0" w:space="0" w:color="auto"/>
        <w:bottom w:val="none" w:sz="0" w:space="0" w:color="auto"/>
        <w:right w:val="none" w:sz="0" w:space="0" w:color="auto"/>
      </w:divBdr>
    </w:div>
    <w:div w:id="1223254533">
      <w:bodyDiv w:val="1"/>
      <w:marLeft w:val="0"/>
      <w:marRight w:val="0"/>
      <w:marTop w:val="0"/>
      <w:marBottom w:val="0"/>
      <w:divBdr>
        <w:top w:val="none" w:sz="0" w:space="0" w:color="auto"/>
        <w:left w:val="none" w:sz="0" w:space="0" w:color="auto"/>
        <w:bottom w:val="none" w:sz="0" w:space="0" w:color="auto"/>
        <w:right w:val="none" w:sz="0" w:space="0" w:color="auto"/>
      </w:divBdr>
    </w:div>
    <w:div w:id="1223322243">
      <w:bodyDiv w:val="1"/>
      <w:marLeft w:val="0"/>
      <w:marRight w:val="0"/>
      <w:marTop w:val="0"/>
      <w:marBottom w:val="0"/>
      <w:divBdr>
        <w:top w:val="none" w:sz="0" w:space="0" w:color="auto"/>
        <w:left w:val="none" w:sz="0" w:space="0" w:color="auto"/>
        <w:bottom w:val="none" w:sz="0" w:space="0" w:color="auto"/>
        <w:right w:val="none" w:sz="0" w:space="0" w:color="auto"/>
      </w:divBdr>
    </w:div>
    <w:div w:id="1223365587">
      <w:bodyDiv w:val="1"/>
      <w:marLeft w:val="0"/>
      <w:marRight w:val="0"/>
      <w:marTop w:val="0"/>
      <w:marBottom w:val="0"/>
      <w:divBdr>
        <w:top w:val="none" w:sz="0" w:space="0" w:color="auto"/>
        <w:left w:val="none" w:sz="0" w:space="0" w:color="auto"/>
        <w:bottom w:val="none" w:sz="0" w:space="0" w:color="auto"/>
        <w:right w:val="none" w:sz="0" w:space="0" w:color="auto"/>
      </w:divBdr>
    </w:div>
    <w:div w:id="1223563718">
      <w:bodyDiv w:val="1"/>
      <w:marLeft w:val="0"/>
      <w:marRight w:val="0"/>
      <w:marTop w:val="0"/>
      <w:marBottom w:val="0"/>
      <w:divBdr>
        <w:top w:val="none" w:sz="0" w:space="0" w:color="auto"/>
        <w:left w:val="none" w:sz="0" w:space="0" w:color="auto"/>
        <w:bottom w:val="none" w:sz="0" w:space="0" w:color="auto"/>
        <w:right w:val="none" w:sz="0" w:space="0" w:color="auto"/>
      </w:divBdr>
    </w:div>
    <w:div w:id="1223634316">
      <w:bodyDiv w:val="1"/>
      <w:marLeft w:val="0"/>
      <w:marRight w:val="0"/>
      <w:marTop w:val="0"/>
      <w:marBottom w:val="0"/>
      <w:divBdr>
        <w:top w:val="none" w:sz="0" w:space="0" w:color="auto"/>
        <w:left w:val="none" w:sz="0" w:space="0" w:color="auto"/>
        <w:bottom w:val="none" w:sz="0" w:space="0" w:color="auto"/>
        <w:right w:val="none" w:sz="0" w:space="0" w:color="auto"/>
      </w:divBdr>
    </w:div>
    <w:div w:id="1223636298">
      <w:bodyDiv w:val="1"/>
      <w:marLeft w:val="0"/>
      <w:marRight w:val="0"/>
      <w:marTop w:val="0"/>
      <w:marBottom w:val="0"/>
      <w:divBdr>
        <w:top w:val="none" w:sz="0" w:space="0" w:color="auto"/>
        <w:left w:val="none" w:sz="0" w:space="0" w:color="auto"/>
        <w:bottom w:val="none" w:sz="0" w:space="0" w:color="auto"/>
        <w:right w:val="none" w:sz="0" w:space="0" w:color="auto"/>
      </w:divBdr>
    </w:div>
    <w:div w:id="1223710276">
      <w:bodyDiv w:val="1"/>
      <w:marLeft w:val="0"/>
      <w:marRight w:val="0"/>
      <w:marTop w:val="0"/>
      <w:marBottom w:val="0"/>
      <w:divBdr>
        <w:top w:val="none" w:sz="0" w:space="0" w:color="auto"/>
        <w:left w:val="none" w:sz="0" w:space="0" w:color="auto"/>
        <w:bottom w:val="none" w:sz="0" w:space="0" w:color="auto"/>
        <w:right w:val="none" w:sz="0" w:space="0" w:color="auto"/>
      </w:divBdr>
    </w:div>
    <w:div w:id="1223760818">
      <w:bodyDiv w:val="1"/>
      <w:marLeft w:val="0"/>
      <w:marRight w:val="0"/>
      <w:marTop w:val="0"/>
      <w:marBottom w:val="0"/>
      <w:divBdr>
        <w:top w:val="none" w:sz="0" w:space="0" w:color="auto"/>
        <w:left w:val="none" w:sz="0" w:space="0" w:color="auto"/>
        <w:bottom w:val="none" w:sz="0" w:space="0" w:color="auto"/>
        <w:right w:val="none" w:sz="0" w:space="0" w:color="auto"/>
      </w:divBdr>
    </w:div>
    <w:div w:id="1223828211">
      <w:bodyDiv w:val="1"/>
      <w:marLeft w:val="0"/>
      <w:marRight w:val="0"/>
      <w:marTop w:val="0"/>
      <w:marBottom w:val="0"/>
      <w:divBdr>
        <w:top w:val="none" w:sz="0" w:space="0" w:color="auto"/>
        <w:left w:val="none" w:sz="0" w:space="0" w:color="auto"/>
        <w:bottom w:val="none" w:sz="0" w:space="0" w:color="auto"/>
        <w:right w:val="none" w:sz="0" w:space="0" w:color="auto"/>
      </w:divBdr>
    </w:div>
    <w:div w:id="1223981475">
      <w:bodyDiv w:val="1"/>
      <w:marLeft w:val="0"/>
      <w:marRight w:val="0"/>
      <w:marTop w:val="0"/>
      <w:marBottom w:val="0"/>
      <w:divBdr>
        <w:top w:val="none" w:sz="0" w:space="0" w:color="auto"/>
        <w:left w:val="none" w:sz="0" w:space="0" w:color="auto"/>
        <w:bottom w:val="none" w:sz="0" w:space="0" w:color="auto"/>
        <w:right w:val="none" w:sz="0" w:space="0" w:color="auto"/>
      </w:divBdr>
    </w:div>
    <w:div w:id="1224021040">
      <w:bodyDiv w:val="1"/>
      <w:marLeft w:val="0"/>
      <w:marRight w:val="0"/>
      <w:marTop w:val="0"/>
      <w:marBottom w:val="0"/>
      <w:divBdr>
        <w:top w:val="none" w:sz="0" w:space="0" w:color="auto"/>
        <w:left w:val="none" w:sz="0" w:space="0" w:color="auto"/>
        <w:bottom w:val="none" w:sz="0" w:space="0" w:color="auto"/>
        <w:right w:val="none" w:sz="0" w:space="0" w:color="auto"/>
      </w:divBdr>
    </w:div>
    <w:div w:id="1224027761">
      <w:bodyDiv w:val="1"/>
      <w:marLeft w:val="0"/>
      <w:marRight w:val="0"/>
      <w:marTop w:val="0"/>
      <w:marBottom w:val="0"/>
      <w:divBdr>
        <w:top w:val="none" w:sz="0" w:space="0" w:color="auto"/>
        <w:left w:val="none" w:sz="0" w:space="0" w:color="auto"/>
        <w:bottom w:val="none" w:sz="0" w:space="0" w:color="auto"/>
        <w:right w:val="none" w:sz="0" w:space="0" w:color="auto"/>
      </w:divBdr>
    </w:div>
    <w:div w:id="1224103514">
      <w:bodyDiv w:val="1"/>
      <w:marLeft w:val="0"/>
      <w:marRight w:val="0"/>
      <w:marTop w:val="0"/>
      <w:marBottom w:val="0"/>
      <w:divBdr>
        <w:top w:val="none" w:sz="0" w:space="0" w:color="auto"/>
        <w:left w:val="none" w:sz="0" w:space="0" w:color="auto"/>
        <w:bottom w:val="none" w:sz="0" w:space="0" w:color="auto"/>
        <w:right w:val="none" w:sz="0" w:space="0" w:color="auto"/>
      </w:divBdr>
    </w:div>
    <w:div w:id="1224104747">
      <w:bodyDiv w:val="1"/>
      <w:marLeft w:val="0"/>
      <w:marRight w:val="0"/>
      <w:marTop w:val="0"/>
      <w:marBottom w:val="0"/>
      <w:divBdr>
        <w:top w:val="none" w:sz="0" w:space="0" w:color="auto"/>
        <w:left w:val="none" w:sz="0" w:space="0" w:color="auto"/>
        <w:bottom w:val="none" w:sz="0" w:space="0" w:color="auto"/>
        <w:right w:val="none" w:sz="0" w:space="0" w:color="auto"/>
      </w:divBdr>
    </w:div>
    <w:div w:id="1224173310">
      <w:bodyDiv w:val="1"/>
      <w:marLeft w:val="0"/>
      <w:marRight w:val="0"/>
      <w:marTop w:val="0"/>
      <w:marBottom w:val="0"/>
      <w:divBdr>
        <w:top w:val="none" w:sz="0" w:space="0" w:color="auto"/>
        <w:left w:val="none" w:sz="0" w:space="0" w:color="auto"/>
        <w:bottom w:val="none" w:sz="0" w:space="0" w:color="auto"/>
        <w:right w:val="none" w:sz="0" w:space="0" w:color="auto"/>
      </w:divBdr>
    </w:div>
    <w:div w:id="1224222848">
      <w:bodyDiv w:val="1"/>
      <w:marLeft w:val="0"/>
      <w:marRight w:val="0"/>
      <w:marTop w:val="0"/>
      <w:marBottom w:val="0"/>
      <w:divBdr>
        <w:top w:val="none" w:sz="0" w:space="0" w:color="auto"/>
        <w:left w:val="none" w:sz="0" w:space="0" w:color="auto"/>
        <w:bottom w:val="none" w:sz="0" w:space="0" w:color="auto"/>
        <w:right w:val="none" w:sz="0" w:space="0" w:color="auto"/>
      </w:divBdr>
    </w:div>
    <w:div w:id="1224293986">
      <w:bodyDiv w:val="1"/>
      <w:marLeft w:val="0"/>
      <w:marRight w:val="0"/>
      <w:marTop w:val="0"/>
      <w:marBottom w:val="0"/>
      <w:divBdr>
        <w:top w:val="none" w:sz="0" w:space="0" w:color="auto"/>
        <w:left w:val="none" w:sz="0" w:space="0" w:color="auto"/>
        <w:bottom w:val="none" w:sz="0" w:space="0" w:color="auto"/>
        <w:right w:val="none" w:sz="0" w:space="0" w:color="auto"/>
      </w:divBdr>
    </w:div>
    <w:div w:id="1224296078">
      <w:bodyDiv w:val="1"/>
      <w:marLeft w:val="0"/>
      <w:marRight w:val="0"/>
      <w:marTop w:val="0"/>
      <w:marBottom w:val="0"/>
      <w:divBdr>
        <w:top w:val="none" w:sz="0" w:space="0" w:color="auto"/>
        <w:left w:val="none" w:sz="0" w:space="0" w:color="auto"/>
        <w:bottom w:val="none" w:sz="0" w:space="0" w:color="auto"/>
        <w:right w:val="none" w:sz="0" w:space="0" w:color="auto"/>
      </w:divBdr>
    </w:div>
    <w:div w:id="1224365458">
      <w:bodyDiv w:val="1"/>
      <w:marLeft w:val="0"/>
      <w:marRight w:val="0"/>
      <w:marTop w:val="0"/>
      <w:marBottom w:val="0"/>
      <w:divBdr>
        <w:top w:val="none" w:sz="0" w:space="0" w:color="auto"/>
        <w:left w:val="none" w:sz="0" w:space="0" w:color="auto"/>
        <w:bottom w:val="none" w:sz="0" w:space="0" w:color="auto"/>
        <w:right w:val="none" w:sz="0" w:space="0" w:color="auto"/>
      </w:divBdr>
    </w:div>
    <w:div w:id="1224565731">
      <w:bodyDiv w:val="1"/>
      <w:marLeft w:val="0"/>
      <w:marRight w:val="0"/>
      <w:marTop w:val="0"/>
      <w:marBottom w:val="0"/>
      <w:divBdr>
        <w:top w:val="none" w:sz="0" w:space="0" w:color="auto"/>
        <w:left w:val="none" w:sz="0" w:space="0" w:color="auto"/>
        <w:bottom w:val="none" w:sz="0" w:space="0" w:color="auto"/>
        <w:right w:val="none" w:sz="0" w:space="0" w:color="auto"/>
      </w:divBdr>
    </w:div>
    <w:div w:id="1224607385">
      <w:bodyDiv w:val="1"/>
      <w:marLeft w:val="0"/>
      <w:marRight w:val="0"/>
      <w:marTop w:val="0"/>
      <w:marBottom w:val="0"/>
      <w:divBdr>
        <w:top w:val="none" w:sz="0" w:space="0" w:color="auto"/>
        <w:left w:val="none" w:sz="0" w:space="0" w:color="auto"/>
        <w:bottom w:val="none" w:sz="0" w:space="0" w:color="auto"/>
        <w:right w:val="none" w:sz="0" w:space="0" w:color="auto"/>
      </w:divBdr>
    </w:div>
    <w:div w:id="1224676674">
      <w:bodyDiv w:val="1"/>
      <w:marLeft w:val="0"/>
      <w:marRight w:val="0"/>
      <w:marTop w:val="0"/>
      <w:marBottom w:val="0"/>
      <w:divBdr>
        <w:top w:val="none" w:sz="0" w:space="0" w:color="auto"/>
        <w:left w:val="none" w:sz="0" w:space="0" w:color="auto"/>
        <w:bottom w:val="none" w:sz="0" w:space="0" w:color="auto"/>
        <w:right w:val="none" w:sz="0" w:space="0" w:color="auto"/>
      </w:divBdr>
    </w:div>
    <w:div w:id="1224679215">
      <w:bodyDiv w:val="1"/>
      <w:marLeft w:val="0"/>
      <w:marRight w:val="0"/>
      <w:marTop w:val="0"/>
      <w:marBottom w:val="0"/>
      <w:divBdr>
        <w:top w:val="none" w:sz="0" w:space="0" w:color="auto"/>
        <w:left w:val="none" w:sz="0" w:space="0" w:color="auto"/>
        <w:bottom w:val="none" w:sz="0" w:space="0" w:color="auto"/>
        <w:right w:val="none" w:sz="0" w:space="0" w:color="auto"/>
      </w:divBdr>
    </w:div>
    <w:div w:id="1224757599">
      <w:bodyDiv w:val="1"/>
      <w:marLeft w:val="0"/>
      <w:marRight w:val="0"/>
      <w:marTop w:val="0"/>
      <w:marBottom w:val="0"/>
      <w:divBdr>
        <w:top w:val="none" w:sz="0" w:space="0" w:color="auto"/>
        <w:left w:val="none" w:sz="0" w:space="0" w:color="auto"/>
        <w:bottom w:val="none" w:sz="0" w:space="0" w:color="auto"/>
        <w:right w:val="none" w:sz="0" w:space="0" w:color="auto"/>
      </w:divBdr>
    </w:div>
    <w:div w:id="1224759625">
      <w:bodyDiv w:val="1"/>
      <w:marLeft w:val="0"/>
      <w:marRight w:val="0"/>
      <w:marTop w:val="0"/>
      <w:marBottom w:val="0"/>
      <w:divBdr>
        <w:top w:val="none" w:sz="0" w:space="0" w:color="auto"/>
        <w:left w:val="none" w:sz="0" w:space="0" w:color="auto"/>
        <w:bottom w:val="none" w:sz="0" w:space="0" w:color="auto"/>
        <w:right w:val="none" w:sz="0" w:space="0" w:color="auto"/>
      </w:divBdr>
    </w:div>
    <w:div w:id="1224827799">
      <w:bodyDiv w:val="1"/>
      <w:marLeft w:val="0"/>
      <w:marRight w:val="0"/>
      <w:marTop w:val="0"/>
      <w:marBottom w:val="0"/>
      <w:divBdr>
        <w:top w:val="none" w:sz="0" w:space="0" w:color="auto"/>
        <w:left w:val="none" w:sz="0" w:space="0" w:color="auto"/>
        <w:bottom w:val="none" w:sz="0" w:space="0" w:color="auto"/>
        <w:right w:val="none" w:sz="0" w:space="0" w:color="auto"/>
      </w:divBdr>
    </w:div>
    <w:div w:id="1224945577">
      <w:bodyDiv w:val="1"/>
      <w:marLeft w:val="0"/>
      <w:marRight w:val="0"/>
      <w:marTop w:val="0"/>
      <w:marBottom w:val="0"/>
      <w:divBdr>
        <w:top w:val="none" w:sz="0" w:space="0" w:color="auto"/>
        <w:left w:val="none" w:sz="0" w:space="0" w:color="auto"/>
        <w:bottom w:val="none" w:sz="0" w:space="0" w:color="auto"/>
        <w:right w:val="none" w:sz="0" w:space="0" w:color="auto"/>
      </w:divBdr>
    </w:div>
    <w:div w:id="1224947481">
      <w:bodyDiv w:val="1"/>
      <w:marLeft w:val="0"/>
      <w:marRight w:val="0"/>
      <w:marTop w:val="0"/>
      <w:marBottom w:val="0"/>
      <w:divBdr>
        <w:top w:val="none" w:sz="0" w:space="0" w:color="auto"/>
        <w:left w:val="none" w:sz="0" w:space="0" w:color="auto"/>
        <w:bottom w:val="none" w:sz="0" w:space="0" w:color="auto"/>
        <w:right w:val="none" w:sz="0" w:space="0" w:color="auto"/>
      </w:divBdr>
    </w:div>
    <w:div w:id="1224947759">
      <w:bodyDiv w:val="1"/>
      <w:marLeft w:val="0"/>
      <w:marRight w:val="0"/>
      <w:marTop w:val="0"/>
      <w:marBottom w:val="0"/>
      <w:divBdr>
        <w:top w:val="none" w:sz="0" w:space="0" w:color="auto"/>
        <w:left w:val="none" w:sz="0" w:space="0" w:color="auto"/>
        <w:bottom w:val="none" w:sz="0" w:space="0" w:color="auto"/>
        <w:right w:val="none" w:sz="0" w:space="0" w:color="auto"/>
      </w:divBdr>
    </w:div>
    <w:div w:id="1225026798">
      <w:bodyDiv w:val="1"/>
      <w:marLeft w:val="0"/>
      <w:marRight w:val="0"/>
      <w:marTop w:val="0"/>
      <w:marBottom w:val="0"/>
      <w:divBdr>
        <w:top w:val="none" w:sz="0" w:space="0" w:color="auto"/>
        <w:left w:val="none" w:sz="0" w:space="0" w:color="auto"/>
        <w:bottom w:val="none" w:sz="0" w:space="0" w:color="auto"/>
        <w:right w:val="none" w:sz="0" w:space="0" w:color="auto"/>
      </w:divBdr>
    </w:div>
    <w:div w:id="1225137471">
      <w:bodyDiv w:val="1"/>
      <w:marLeft w:val="0"/>
      <w:marRight w:val="0"/>
      <w:marTop w:val="0"/>
      <w:marBottom w:val="0"/>
      <w:divBdr>
        <w:top w:val="none" w:sz="0" w:space="0" w:color="auto"/>
        <w:left w:val="none" w:sz="0" w:space="0" w:color="auto"/>
        <w:bottom w:val="none" w:sz="0" w:space="0" w:color="auto"/>
        <w:right w:val="none" w:sz="0" w:space="0" w:color="auto"/>
      </w:divBdr>
    </w:div>
    <w:div w:id="1225212712">
      <w:bodyDiv w:val="1"/>
      <w:marLeft w:val="0"/>
      <w:marRight w:val="0"/>
      <w:marTop w:val="0"/>
      <w:marBottom w:val="0"/>
      <w:divBdr>
        <w:top w:val="none" w:sz="0" w:space="0" w:color="auto"/>
        <w:left w:val="none" w:sz="0" w:space="0" w:color="auto"/>
        <w:bottom w:val="none" w:sz="0" w:space="0" w:color="auto"/>
        <w:right w:val="none" w:sz="0" w:space="0" w:color="auto"/>
      </w:divBdr>
    </w:div>
    <w:div w:id="1225335222">
      <w:bodyDiv w:val="1"/>
      <w:marLeft w:val="0"/>
      <w:marRight w:val="0"/>
      <w:marTop w:val="0"/>
      <w:marBottom w:val="0"/>
      <w:divBdr>
        <w:top w:val="none" w:sz="0" w:space="0" w:color="auto"/>
        <w:left w:val="none" w:sz="0" w:space="0" w:color="auto"/>
        <w:bottom w:val="none" w:sz="0" w:space="0" w:color="auto"/>
        <w:right w:val="none" w:sz="0" w:space="0" w:color="auto"/>
      </w:divBdr>
    </w:div>
    <w:div w:id="1225411580">
      <w:bodyDiv w:val="1"/>
      <w:marLeft w:val="0"/>
      <w:marRight w:val="0"/>
      <w:marTop w:val="0"/>
      <w:marBottom w:val="0"/>
      <w:divBdr>
        <w:top w:val="none" w:sz="0" w:space="0" w:color="auto"/>
        <w:left w:val="none" w:sz="0" w:space="0" w:color="auto"/>
        <w:bottom w:val="none" w:sz="0" w:space="0" w:color="auto"/>
        <w:right w:val="none" w:sz="0" w:space="0" w:color="auto"/>
      </w:divBdr>
    </w:div>
    <w:div w:id="1225483014">
      <w:bodyDiv w:val="1"/>
      <w:marLeft w:val="0"/>
      <w:marRight w:val="0"/>
      <w:marTop w:val="0"/>
      <w:marBottom w:val="0"/>
      <w:divBdr>
        <w:top w:val="none" w:sz="0" w:space="0" w:color="auto"/>
        <w:left w:val="none" w:sz="0" w:space="0" w:color="auto"/>
        <w:bottom w:val="none" w:sz="0" w:space="0" w:color="auto"/>
        <w:right w:val="none" w:sz="0" w:space="0" w:color="auto"/>
      </w:divBdr>
    </w:div>
    <w:div w:id="1225487295">
      <w:bodyDiv w:val="1"/>
      <w:marLeft w:val="0"/>
      <w:marRight w:val="0"/>
      <w:marTop w:val="0"/>
      <w:marBottom w:val="0"/>
      <w:divBdr>
        <w:top w:val="none" w:sz="0" w:space="0" w:color="auto"/>
        <w:left w:val="none" w:sz="0" w:space="0" w:color="auto"/>
        <w:bottom w:val="none" w:sz="0" w:space="0" w:color="auto"/>
        <w:right w:val="none" w:sz="0" w:space="0" w:color="auto"/>
      </w:divBdr>
    </w:div>
    <w:div w:id="1225675586">
      <w:bodyDiv w:val="1"/>
      <w:marLeft w:val="0"/>
      <w:marRight w:val="0"/>
      <w:marTop w:val="0"/>
      <w:marBottom w:val="0"/>
      <w:divBdr>
        <w:top w:val="none" w:sz="0" w:space="0" w:color="auto"/>
        <w:left w:val="none" w:sz="0" w:space="0" w:color="auto"/>
        <w:bottom w:val="none" w:sz="0" w:space="0" w:color="auto"/>
        <w:right w:val="none" w:sz="0" w:space="0" w:color="auto"/>
      </w:divBdr>
    </w:div>
    <w:div w:id="1225677517">
      <w:bodyDiv w:val="1"/>
      <w:marLeft w:val="0"/>
      <w:marRight w:val="0"/>
      <w:marTop w:val="0"/>
      <w:marBottom w:val="0"/>
      <w:divBdr>
        <w:top w:val="none" w:sz="0" w:space="0" w:color="auto"/>
        <w:left w:val="none" w:sz="0" w:space="0" w:color="auto"/>
        <w:bottom w:val="none" w:sz="0" w:space="0" w:color="auto"/>
        <w:right w:val="none" w:sz="0" w:space="0" w:color="auto"/>
      </w:divBdr>
    </w:div>
    <w:div w:id="1225750190">
      <w:bodyDiv w:val="1"/>
      <w:marLeft w:val="0"/>
      <w:marRight w:val="0"/>
      <w:marTop w:val="0"/>
      <w:marBottom w:val="0"/>
      <w:divBdr>
        <w:top w:val="none" w:sz="0" w:space="0" w:color="auto"/>
        <w:left w:val="none" w:sz="0" w:space="0" w:color="auto"/>
        <w:bottom w:val="none" w:sz="0" w:space="0" w:color="auto"/>
        <w:right w:val="none" w:sz="0" w:space="0" w:color="auto"/>
      </w:divBdr>
    </w:div>
    <w:div w:id="1225796923">
      <w:bodyDiv w:val="1"/>
      <w:marLeft w:val="0"/>
      <w:marRight w:val="0"/>
      <w:marTop w:val="0"/>
      <w:marBottom w:val="0"/>
      <w:divBdr>
        <w:top w:val="none" w:sz="0" w:space="0" w:color="auto"/>
        <w:left w:val="none" w:sz="0" w:space="0" w:color="auto"/>
        <w:bottom w:val="none" w:sz="0" w:space="0" w:color="auto"/>
        <w:right w:val="none" w:sz="0" w:space="0" w:color="auto"/>
      </w:divBdr>
    </w:div>
    <w:div w:id="1225870930">
      <w:bodyDiv w:val="1"/>
      <w:marLeft w:val="0"/>
      <w:marRight w:val="0"/>
      <w:marTop w:val="0"/>
      <w:marBottom w:val="0"/>
      <w:divBdr>
        <w:top w:val="none" w:sz="0" w:space="0" w:color="auto"/>
        <w:left w:val="none" w:sz="0" w:space="0" w:color="auto"/>
        <w:bottom w:val="none" w:sz="0" w:space="0" w:color="auto"/>
        <w:right w:val="none" w:sz="0" w:space="0" w:color="auto"/>
      </w:divBdr>
    </w:div>
    <w:div w:id="1225875723">
      <w:bodyDiv w:val="1"/>
      <w:marLeft w:val="0"/>
      <w:marRight w:val="0"/>
      <w:marTop w:val="0"/>
      <w:marBottom w:val="0"/>
      <w:divBdr>
        <w:top w:val="none" w:sz="0" w:space="0" w:color="auto"/>
        <w:left w:val="none" w:sz="0" w:space="0" w:color="auto"/>
        <w:bottom w:val="none" w:sz="0" w:space="0" w:color="auto"/>
        <w:right w:val="none" w:sz="0" w:space="0" w:color="auto"/>
      </w:divBdr>
    </w:div>
    <w:div w:id="1225916855">
      <w:bodyDiv w:val="1"/>
      <w:marLeft w:val="0"/>
      <w:marRight w:val="0"/>
      <w:marTop w:val="0"/>
      <w:marBottom w:val="0"/>
      <w:divBdr>
        <w:top w:val="none" w:sz="0" w:space="0" w:color="auto"/>
        <w:left w:val="none" w:sz="0" w:space="0" w:color="auto"/>
        <w:bottom w:val="none" w:sz="0" w:space="0" w:color="auto"/>
        <w:right w:val="none" w:sz="0" w:space="0" w:color="auto"/>
      </w:divBdr>
    </w:div>
    <w:div w:id="1226067756">
      <w:bodyDiv w:val="1"/>
      <w:marLeft w:val="0"/>
      <w:marRight w:val="0"/>
      <w:marTop w:val="0"/>
      <w:marBottom w:val="0"/>
      <w:divBdr>
        <w:top w:val="none" w:sz="0" w:space="0" w:color="auto"/>
        <w:left w:val="none" w:sz="0" w:space="0" w:color="auto"/>
        <w:bottom w:val="none" w:sz="0" w:space="0" w:color="auto"/>
        <w:right w:val="none" w:sz="0" w:space="0" w:color="auto"/>
      </w:divBdr>
    </w:div>
    <w:div w:id="1226137821">
      <w:bodyDiv w:val="1"/>
      <w:marLeft w:val="0"/>
      <w:marRight w:val="0"/>
      <w:marTop w:val="0"/>
      <w:marBottom w:val="0"/>
      <w:divBdr>
        <w:top w:val="none" w:sz="0" w:space="0" w:color="auto"/>
        <w:left w:val="none" w:sz="0" w:space="0" w:color="auto"/>
        <w:bottom w:val="none" w:sz="0" w:space="0" w:color="auto"/>
        <w:right w:val="none" w:sz="0" w:space="0" w:color="auto"/>
      </w:divBdr>
    </w:div>
    <w:div w:id="1226141942">
      <w:bodyDiv w:val="1"/>
      <w:marLeft w:val="0"/>
      <w:marRight w:val="0"/>
      <w:marTop w:val="0"/>
      <w:marBottom w:val="0"/>
      <w:divBdr>
        <w:top w:val="none" w:sz="0" w:space="0" w:color="auto"/>
        <w:left w:val="none" w:sz="0" w:space="0" w:color="auto"/>
        <w:bottom w:val="none" w:sz="0" w:space="0" w:color="auto"/>
        <w:right w:val="none" w:sz="0" w:space="0" w:color="auto"/>
      </w:divBdr>
    </w:div>
    <w:div w:id="1226142058">
      <w:bodyDiv w:val="1"/>
      <w:marLeft w:val="0"/>
      <w:marRight w:val="0"/>
      <w:marTop w:val="0"/>
      <w:marBottom w:val="0"/>
      <w:divBdr>
        <w:top w:val="none" w:sz="0" w:space="0" w:color="auto"/>
        <w:left w:val="none" w:sz="0" w:space="0" w:color="auto"/>
        <w:bottom w:val="none" w:sz="0" w:space="0" w:color="auto"/>
        <w:right w:val="none" w:sz="0" w:space="0" w:color="auto"/>
      </w:divBdr>
    </w:div>
    <w:div w:id="1226185948">
      <w:bodyDiv w:val="1"/>
      <w:marLeft w:val="0"/>
      <w:marRight w:val="0"/>
      <w:marTop w:val="0"/>
      <w:marBottom w:val="0"/>
      <w:divBdr>
        <w:top w:val="none" w:sz="0" w:space="0" w:color="auto"/>
        <w:left w:val="none" w:sz="0" w:space="0" w:color="auto"/>
        <w:bottom w:val="none" w:sz="0" w:space="0" w:color="auto"/>
        <w:right w:val="none" w:sz="0" w:space="0" w:color="auto"/>
      </w:divBdr>
    </w:div>
    <w:div w:id="1226187137">
      <w:bodyDiv w:val="1"/>
      <w:marLeft w:val="0"/>
      <w:marRight w:val="0"/>
      <w:marTop w:val="0"/>
      <w:marBottom w:val="0"/>
      <w:divBdr>
        <w:top w:val="none" w:sz="0" w:space="0" w:color="auto"/>
        <w:left w:val="none" w:sz="0" w:space="0" w:color="auto"/>
        <w:bottom w:val="none" w:sz="0" w:space="0" w:color="auto"/>
        <w:right w:val="none" w:sz="0" w:space="0" w:color="auto"/>
      </w:divBdr>
    </w:div>
    <w:div w:id="1226262698">
      <w:bodyDiv w:val="1"/>
      <w:marLeft w:val="0"/>
      <w:marRight w:val="0"/>
      <w:marTop w:val="0"/>
      <w:marBottom w:val="0"/>
      <w:divBdr>
        <w:top w:val="none" w:sz="0" w:space="0" w:color="auto"/>
        <w:left w:val="none" w:sz="0" w:space="0" w:color="auto"/>
        <w:bottom w:val="none" w:sz="0" w:space="0" w:color="auto"/>
        <w:right w:val="none" w:sz="0" w:space="0" w:color="auto"/>
      </w:divBdr>
    </w:div>
    <w:div w:id="1226382174">
      <w:bodyDiv w:val="1"/>
      <w:marLeft w:val="0"/>
      <w:marRight w:val="0"/>
      <w:marTop w:val="0"/>
      <w:marBottom w:val="0"/>
      <w:divBdr>
        <w:top w:val="none" w:sz="0" w:space="0" w:color="auto"/>
        <w:left w:val="none" w:sz="0" w:space="0" w:color="auto"/>
        <w:bottom w:val="none" w:sz="0" w:space="0" w:color="auto"/>
        <w:right w:val="none" w:sz="0" w:space="0" w:color="auto"/>
      </w:divBdr>
    </w:div>
    <w:div w:id="1226405778">
      <w:bodyDiv w:val="1"/>
      <w:marLeft w:val="0"/>
      <w:marRight w:val="0"/>
      <w:marTop w:val="0"/>
      <w:marBottom w:val="0"/>
      <w:divBdr>
        <w:top w:val="none" w:sz="0" w:space="0" w:color="auto"/>
        <w:left w:val="none" w:sz="0" w:space="0" w:color="auto"/>
        <w:bottom w:val="none" w:sz="0" w:space="0" w:color="auto"/>
        <w:right w:val="none" w:sz="0" w:space="0" w:color="auto"/>
      </w:divBdr>
    </w:div>
    <w:div w:id="1226448086">
      <w:bodyDiv w:val="1"/>
      <w:marLeft w:val="0"/>
      <w:marRight w:val="0"/>
      <w:marTop w:val="0"/>
      <w:marBottom w:val="0"/>
      <w:divBdr>
        <w:top w:val="none" w:sz="0" w:space="0" w:color="auto"/>
        <w:left w:val="none" w:sz="0" w:space="0" w:color="auto"/>
        <w:bottom w:val="none" w:sz="0" w:space="0" w:color="auto"/>
        <w:right w:val="none" w:sz="0" w:space="0" w:color="auto"/>
      </w:divBdr>
    </w:div>
    <w:div w:id="1226449016">
      <w:bodyDiv w:val="1"/>
      <w:marLeft w:val="0"/>
      <w:marRight w:val="0"/>
      <w:marTop w:val="0"/>
      <w:marBottom w:val="0"/>
      <w:divBdr>
        <w:top w:val="none" w:sz="0" w:space="0" w:color="auto"/>
        <w:left w:val="none" w:sz="0" w:space="0" w:color="auto"/>
        <w:bottom w:val="none" w:sz="0" w:space="0" w:color="auto"/>
        <w:right w:val="none" w:sz="0" w:space="0" w:color="auto"/>
      </w:divBdr>
    </w:div>
    <w:div w:id="1226455471">
      <w:bodyDiv w:val="1"/>
      <w:marLeft w:val="0"/>
      <w:marRight w:val="0"/>
      <w:marTop w:val="0"/>
      <w:marBottom w:val="0"/>
      <w:divBdr>
        <w:top w:val="none" w:sz="0" w:space="0" w:color="auto"/>
        <w:left w:val="none" w:sz="0" w:space="0" w:color="auto"/>
        <w:bottom w:val="none" w:sz="0" w:space="0" w:color="auto"/>
        <w:right w:val="none" w:sz="0" w:space="0" w:color="auto"/>
      </w:divBdr>
    </w:div>
    <w:div w:id="1226528657">
      <w:bodyDiv w:val="1"/>
      <w:marLeft w:val="0"/>
      <w:marRight w:val="0"/>
      <w:marTop w:val="0"/>
      <w:marBottom w:val="0"/>
      <w:divBdr>
        <w:top w:val="none" w:sz="0" w:space="0" w:color="auto"/>
        <w:left w:val="none" w:sz="0" w:space="0" w:color="auto"/>
        <w:bottom w:val="none" w:sz="0" w:space="0" w:color="auto"/>
        <w:right w:val="none" w:sz="0" w:space="0" w:color="auto"/>
      </w:divBdr>
    </w:div>
    <w:div w:id="1226574357">
      <w:bodyDiv w:val="1"/>
      <w:marLeft w:val="0"/>
      <w:marRight w:val="0"/>
      <w:marTop w:val="0"/>
      <w:marBottom w:val="0"/>
      <w:divBdr>
        <w:top w:val="none" w:sz="0" w:space="0" w:color="auto"/>
        <w:left w:val="none" w:sz="0" w:space="0" w:color="auto"/>
        <w:bottom w:val="none" w:sz="0" w:space="0" w:color="auto"/>
        <w:right w:val="none" w:sz="0" w:space="0" w:color="auto"/>
      </w:divBdr>
    </w:div>
    <w:div w:id="1226599995">
      <w:bodyDiv w:val="1"/>
      <w:marLeft w:val="0"/>
      <w:marRight w:val="0"/>
      <w:marTop w:val="0"/>
      <w:marBottom w:val="0"/>
      <w:divBdr>
        <w:top w:val="none" w:sz="0" w:space="0" w:color="auto"/>
        <w:left w:val="none" w:sz="0" w:space="0" w:color="auto"/>
        <w:bottom w:val="none" w:sz="0" w:space="0" w:color="auto"/>
        <w:right w:val="none" w:sz="0" w:space="0" w:color="auto"/>
      </w:divBdr>
    </w:div>
    <w:div w:id="1226647492">
      <w:bodyDiv w:val="1"/>
      <w:marLeft w:val="0"/>
      <w:marRight w:val="0"/>
      <w:marTop w:val="0"/>
      <w:marBottom w:val="0"/>
      <w:divBdr>
        <w:top w:val="none" w:sz="0" w:space="0" w:color="auto"/>
        <w:left w:val="none" w:sz="0" w:space="0" w:color="auto"/>
        <w:bottom w:val="none" w:sz="0" w:space="0" w:color="auto"/>
        <w:right w:val="none" w:sz="0" w:space="0" w:color="auto"/>
      </w:divBdr>
    </w:div>
    <w:div w:id="1226718198">
      <w:bodyDiv w:val="1"/>
      <w:marLeft w:val="0"/>
      <w:marRight w:val="0"/>
      <w:marTop w:val="0"/>
      <w:marBottom w:val="0"/>
      <w:divBdr>
        <w:top w:val="none" w:sz="0" w:space="0" w:color="auto"/>
        <w:left w:val="none" w:sz="0" w:space="0" w:color="auto"/>
        <w:bottom w:val="none" w:sz="0" w:space="0" w:color="auto"/>
        <w:right w:val="none" w:sz="0" w:space="0" w:color="auto"/>
      </w:divBdr>
    </w:div>
    <w:div w:id="1226718850">
      <w:bodyDiv w:val="1"/>
      <w:marLeft w:val="0"/>
      <w:marRight w:val="0"/>
      <w:marTop w:val="0"/>
      <w:marBottom w:val="0"/>
      <w:divBdr>
        <w:top w:val="none" w:sz="0" w:space="0" w:color="auto"/>
        <w:left w:val="none" w:sz="0" w:space="0" w:color="auto"/>
        <w:bottom w:val="none" w:sz="0" w:space="0" w:color="auto"/>
        <w:right w:val="none" w:sz="0" w:space="0" w:color="auto"/>
      </w:divBdr>
    </w:div>
    <w:div w:id="1226791932">
      <w:bodyDiv w:val="1"/>
      <w:marLeft w:val="0"/>
      <w:marRight w:val="0"/>
      <w:marTop w:val="0"/>
      <w:marBottom w:val="0"/>
      <w:divBdr>
        <w:top w:val="none" w:sz="0" w:space="0" w:color="auto"/>
        <w:left w:val="none" w:sz="0" w:space="0" w:color="auto"/>
        <w:bottom w:val="none" w:sz="0" w:space="0" w:color="auto"/>
        <w:right w:val="none" w:sz="0" w:space="0" w:color="auto"/>
      </w:divBdr>
    </w:div>
    <w:div w:id="1226792020">
      <w:bodyDiv w:val="1"/>
      <w:marLeft w:val="0"/>
      <w:marRight w:val="0"/>
      <w:marTop w:val="0"/>
      <w:marBottom w:val="0"/>
      <w:divBdr>
        <w:top w:val="none" w:sz="0" w:space="0" w:color="auto"/>
        <w:left w:val="none" w:sz="0" w:space="0" w:color="auto"/>
        <w:bottom w:val="none" w:sz="0" w:space="0" w:color="auto"/>
        <w:right w:val="none" w:sz="0" w:space="0" w:color="auto"/>
      </w:divBdr>
    </w:div>
    <w:div w:id="1226794192">
      <w:bodyDiv w:val="1"/>
      <w:marLeft w:val="0"/>
      <w:marRight w:val="0"/>
      <w:marTop w:val="0"/>
      <w:marBottom w:val="0"/>
      <w:divBdr>
        <w:top w:val="none" w:sz="0" w:space="0" w:color="auto"/>
        <w:left w:val="none" w:sz="0" w:space="0" w:color="auto"/>
        <w:bottom w:val="none" w:sz="0" w:space="0" w:color="auto"/>
        <w:right w:val="none" w:sz="0" w:space="0" w:color="auto"/>
      </w:divBdr>
    </w:div>
    <w:div w:id="1226798244">
      <w:bodyDiv w:val="1"/>
      <w:marLeft w:val="0"/>
      <w:marRight w:val="0"/>
      <w:marTop w:val="0"/>
      <w:marBottom w:val="0"/>
      <w:divBdr>
        <w:top w:val="none" w:sz="0" w:space="0" w:color="auto"/>
        <w:left w:val="none" w:sz="0" w:space="0" w:color="auto"/>
        <w:bottom w:val="none" w:sz="0" w:space="0" w:color="auto"/>
        <w:right w:val="none" w:sz="0" w:space="0" w:color="auto"/>
      </w:divBdr>
    </w:div>
    <w:div w:id="1226912879">
      <w:bodyDiv w:val="1"/>
      <w:marLeft w:val="0"/>
      <w:marRight w:val="0"/>
      <w:marTop w:val="0"/>
      <w:marBottom w:val="0"/>
      <w:divBdr>
        <w:top w:val="none" w:sz="0" w:space="0" w:color="auto"/>
        <w:left w:val="none" w:sz="0" w:space="0" w:color="auto"/>
        <w:bottom w:val="none" w:sz="0" w:space="0" w:color="auto"/>
        <w:right w:val="none" w:sz="0" w:space="0" w:color="auto"/>
      </w:divBdr>
    </w:div>
    <w:div w:id="1226915126">
      <w:bodyDiv w:val="1"/>
      <w:marLeft w:val="0"/>
      <w:marRight w:val="0"/>
      <w:marTop w:val="0"/>
      <w:marBottom w:val="0"/>
      <w:divBdr>
        <w:top w:val="none" w:sz="0" w:space="0" w:color="auto"/>
        <w:left w:val="none" w:sz="0" w:space="0" w:color="auto"/>
        <w:bottom w:val="none" w:sz="0" w:space="0" w:color="auto"/>
        <w:right w:val="none" w:sz="0" w:space="0" w:color="auto"/>
      </w:divBdr>
    </w:div>
    <w:div w:id="1226915866">
      <w:bodyDiv w:val="1"/>
      <w:marLeft w:val="0"/>
      <w:marRight w:val="0"/>
      <w:marTop w:val="0"/>
      <w:marBottom w:val="0"/>
      <w:divBdr>
        <w:top w:val="none" w:sz="0" w:space="0" w:color="auto"/>
        <w:left w:val="none" w:sz="0" w:space="0" w:color="auto"/>
        <w:bottom w:val="none" w:sz="0" w:space="0" w:color="auto"/>
        <w:right w:val="none" w:sz="0" w:space="0" w:color="auto"/>
      </w:divBdr>
    </w:div>
    <w:div w:id="1226990845">
      <w:bodyDiv w:val="1"/>
      <w:marLeft w:val="0"/>
      <w:marRight w:val="0"/>
      <w:marTop w:val="0"/>
      <w:marBottom w:val="0"/>
      <w:divBdr>
        <w:top w:val="none" w:sz="0" w:space="0" w:color="auto"/>
        <w:left w:val="none" w:sz="0" w:space="0" w:color="auto"/>
        <w:bottom w:val="none" w:sz="0" w:space="0" w:color="auto"/>
        <w:right w:val="none" w:sz="0" w:space="0" w:color="auto"/>
      </w:divBdr>
    </w:div>
    <w:div w:id="1227179034">
      <w:bodyDiv w:val="1"/>
      <w:marLeft w:val="0"/>
      <w:marRight w:val="0"/>
      <w:marTop w:val="0"/>
      <w:marBottom w:val="0"/>
      <w:divBdr>
        <w:top w:val="none" w:sz="0" w:space="0" w:color="auto"/>
        <w:left w:val="none" w:sz="0" w:space="0" w:color="auto"/>
        <w:bottom w:val="none" w:sz="0" w:space="0" w:color="auto"/>
        <w:right w:val="none" w:sz="0" w:space="0" w:color="auto"/>
      </w:divBdr>
    </w:div>
    <w:div w:id="1227228329">
      <w:bodyDiv w:val="1"/>
      <w:marLeft w:val="0"/>
      <w:marRight w:val="0"/>
      <w:marTop w:val="0"/>
      <w:marBottom w:val="0"/>
      <w:divBdr>
        <w:top w:val="none" w:sz="0" w:space="0" w:color="auto"/>
        <w:left w:val="none" w:sz="0" w:space="0" w:color="auto"/>
        <w:bottom w:val="none" w:sz="0" w:space="0" w:color="auto"/>
        <w:right w:val="none" w:sz="0" w:space="0" w:color="auto"/>
      </w:divBdr>
    </w:div>
    <w:div w:id="1227297748">
      <w:bodyDiv w:val="1"/>
      <w:marLeft w:val="0"/>
      <w:marRight w:val="0"/>
      <w:marTop w:val="0"/>
      <w:marBottom w:val="0"/>
      <w:divBdr>
        <w:top w:val="none" w:sz="0" w:space="0" w:color="auto"/>
        <w:left w:val="none" w:sz="0" w:space="0" w:color="auto"/>
        <w:bottom w:val="none" w:sz="0" w:space="0" w:color="auto"/>
        <w:right w:val="none" w:sz="0" w:space="0" w:color="auto"/>
      </w:divBdr>
    </w:div>
    <w:div w:id="1227299990">
      <w:bodyDiv w:val="1"/>
      <w:marLeft w:val="0"/>
      <w:marRight w:val="0"/>
      <w:marTop w:val="0"/>
      <w:marBottom w:val="0"/>
      <w:divBdr>
        <w:top w:val="none" w:sz="0" w:space="0" w:color="auto"/>
        <w:left w:val="none" w:sz="0" w:space="0" w:color="auto"/>
        <w:bottom w:val="none" w:sz="0" w:space="0" w:color="auto"/>
        <w:right w:val="none" w:sz="0" w:space="0" w:color="auto"/>
      </w:divBdr>
    </w:div>
    <w:div w:id="1227375789">
      <w:bodyDiv w:val="1"/>
      <w:marLeft w:val="0"/>
      <w:marRight w:val="0"/>
      <w:marTop w:val="0"/>
      <w:marBottom w:val="0"/>
      <w:divBdr>
        <w:top w:val="none" w:sz="0" w:space="0" w:color="auto"/>
        <w:left w:val="none" w:sz="0" w:space="0" w:color="auto"/>
        <w:bottom w:val="none" w:sz="0" w:space="0" w:color="auto"/>
        <w:right w:val="none" w:sz="0" w:space="0" w:color="auto"/>
      </w:divBdr>
    </w:div>
    <w:div w:id="1227569221">
      <w:bodyDiv w:val="1"/>
      <w:marLeft w:val="0"/>
      <w:marRight w:val="0"/>
      <w:marTop w:val="0"/>
      <w:marBottom w:val="0"/>
      <w:divBdr>
        <w:top w:val="none" w:sz="0" w:space="0" w:color="auto"/>
        <w:left w:val="none" w:sz="0" w:space="0" w:color="auto"/>
        <w:bottom w:val="none" w:sz="0" w:space="0" w:color="auto"/>
        <w:right w:val="none" w:sz="0" w:space="0" w:color="auto"/>
      </w:divBdr>
    </w:div>
    <w:div w:id="1227641649">
      <w:bodyDiv w:val="1"/>
      <w:marLeft w:val="0"/>
      <w:marRight w:val="0"/>
      <w:marTop w:val="0"/>
      <w:marBottom w:val="0"/>
      <w:divBdr>
        <w:top w:val="none" w:sz="0" w:space="0" w:color="auto"/>
        <w:left w:val="none" w:sz="0" w:space="0" w:color="auto"/>
        <w:bottom w:val="none" w:sz="0" w:space="0" w:color="auto"/>
        <w:right w:val="none" w:sz="0" w:space="0" w:color="auto"/>
      </w:divBdr>
    </w:div>
    <w:div w:id="1227645225">
      <w:bodyDiv w:val="1"/>
      <w:marLeft w:val="0"/>
      <w:marRight w:val="0"/>
      <w:marTop w:val="0"/>
      <w:marBottom w:val="0"/>
      <w:divBdr>
        <w:top w:val="none" w:sz="0" w:space="0" w:color="auto"/>
        <w:left w:val="none" w:sz="0" w:space="0" w:color="auto"/>
        <w:bottom w:val="none" w:sz="0" w:space="0" w:color="auto"/>
        <w:right w:val="none" w:sz="0" w:space="0" w:color="auto"/>
      </w:divBdr>
    </w:div>
    <w:div w:id="1227835001">
      <w:bodyDiv w:val="1"/>
      <w:marLeft w:val="0"/>
      <w:marRight w:val="0"/>
      <w:marTop w:val="0"/>
      <w:marBottom w:val="0"/>
      <w:divBdr>
        <w:top w:val="none" w:sz="0" w:space="0" w:color="auto"/>
        <w:left w:val="none" w:sz="0" w:space="0" w:color="auto"/>
        <w:bottom w:val="none" w:sz="0" w:space="0" w:color="auto"/>
        <w:right w:val="none" w:sz="0" w:space="0" w:color="auto"/>
      </w:divBdr>
    </w:div>
    <w:div w:id="1228026930">
      <w:bodyDiv w:val="1"/>
      <w:marLeft w:val="0"/>
      <w:marRight w:val="0"/>
      <w:marTop w:val="0"/>
      <w:marBottom w:val="0"/>
      <w:divBdr>
        <w:top w:val="none" w:sz="0" w:space="0" w:color="auto"/>
        <w:left w:val="none" w:sz="0" w:space="0" w:color="auto"/>
        <w:bottom w:val="none" w:sz="0" w:space="0" w:color="auto"/>
        <w:right w:val="none" w:sz="0" w:space="0" w:color="auto"/>
      </w:divBdr>
    </w:div>
    <w:div w:id="1228152851">
      <w:bodyDiv w:val="1"/>
      <w:marLeft w:val="0"/>
      <w:marRight w:val="0"/>
      <w:marTop w:val="0"/>
      <w:marBottom w:val="0"/>
      <w:divBdr>
        <w:top w:val="none" w:sz="0" w:space="0" w:color="auto"/>
        <w:left w:val="none" w:sz="0" w:space="0" w:color="auto"/>
        <w:bottom w:val="none" w:sz="0" w:space="0" w:color="auto"/>
        <w:right w:val="none" w:sz="0" w:space="0" w:color="auto"/>
      </w:divBdr>
    </w:div>
    <w:div w:id="1228154252">
      <w:bodyDiv w:val="1"/>
      <w:marLeft w:val="0"/>
      <w:marRight w:val="0"/>
      <w:marTop w:val="0"/>
      <w:marBottom w:val="0"/>
      <w:divBdr>
        <w:top w:val="none" w:sz="0" w:space="0" w:color="auto"/>
        <w:left w:val="none" w:sz="0" w:space="0" w:color="auto"/>
        <w:bottom w:val="none" w:sz="0" w:space="0" w:color="auto"/>
        <w:right w:val="none" w:sz="0" w:space="0" w:color="auto"/>
      </w:divBdr>
    </w:div>
    <w:div w:id="1228227645">
      <w:bodyDiv w:val="1"/>
      <w:marLeft w:val="0"/>
      <w:marRight w:val="0"/>
      <w:marTop w:val="0"/>
      <w:marBottom w:val="0"/>
      <w:divBdr>
        <w:top w:val="none" w:sz="0" w:space="0" w:color="auto"/>
        <w:left w:val="none" w:sz="0" w:space="0" w:color="auto"/>
        <w:bottom w:val="none" w:sz="0" w:space="0" w:color="auto"/>
        <w:right w:val="none" w:sz="0" w:space="0" w:color="auto"/>
      </w:divBdr>
    </w:div>
    <w:div w:id="1228371008">
      <w:bodyDiv w:val="1"/>
      <w:marLeft w:val="0"/>
      <w:marRight w:val="0"/>
      <w:marTop w:val="0"/>
      <w:marBottom w:val="0"/>
      <w:divBdr>
        <w:top w:val="none" w:sz="0" w:space="0" w:color="auto"/>
        <w:left w:val="none" w:sz="0" w:space="0" w:color="auto"/>
        <w:bottom w:val="none" w:sz="0" w:space="0" w:color="auto"/>
        <w:right w:val="none" w:sz="0" w:space="0" w:color="auto"/>
      </w:divBdr>
    </w:div>
    <w:div w:id="1228418021">
      <w:bodyDiv w:val="1"/>
      <w:marLeft w:val="0"/>
      <w:marRight w:val="0"/>
      <w:marTop w:val="0"/>
      <w:marBottom w:val="0"/>
      <w:divBdr>
        <w:top w:val="none" w:sz="0" w:space="0" w:color="auto"/>
        <w:left w:val="none" w:sz="0" w:space="0" w:color="auto"/>
        <w:bottom w:val="none" w:sz="0" w:space="0" w:color="auto"/>
        <w:right w:val="none" w:sz="0" w:space="0" w:color="auto"/>
      </w:divBdr>
    </w:div>
    <w:div w:id="1228418129">
      <w:bodyDiv w:val="1"/>
      <w:marLeft w:val="0"/>
      <w:marRight w:val="0"/>
      <w:marTop w:val="0"/>
      <w:marBottom w:val="0"/>
      <w:divBdr>
        <w:top w:val="none" w:sz="0" w:space="0" w:color="auto"/>
        <w:left w:val="none" w:sz="0" w:space="0" w:color="auto"/>
        <w:bottom w:val="none" w:sz="0" w:space="0" w:color="auto"/>
        <w:right w:val="none" w:sz="0" w:space="0" w:color="auto"/>
      </w:divBdr>
    </w:div>
    <w:div w:id="1228570498">
      <w:bodyDiv w:val="1"/>
      <w:marLeft w:val="0"/>
      <w:marRight w:val="0"/>
      <w:marTop w:val="0"/>
      <w:marBottom w:val="0"/>
      <w:divBdr>
        <w:top w:val="none" w:sz="0" w:space="0" w:color="auto"/>
        <w:left w:val="none" w:sz="0" w:space="0" w:color="auto"/>
        <w:bottom w:val="none" w:sz="0" w:space="0" w:color="auto"/>
        <w:right w:val="none" w:sz="0" w:space="0" w:color="auto"/>
      </w:divBdr>
    </w:div>
    <w:div w:id="1228614046">
      <w:bodyDiv w:val="1"/>
      <w:marLeft w:val="0"/>
      <w:marRight w:val="0"/>
      <w:marTop w:val="0"/>
      <w:marBottom w:val="0"/>
      <w:divBdr>
        <w:top w:val="none" w:sz="0" w:space="0" w:color="auto"/>
        <w:left w:val="none" w:sz="0" w:space="0" w:color="auto"/>
        <w:bottom w:val="none" w:sz="0" w:space="0" w:color="auto"/>
        <w:right w:val="none" w:sz="0" w:space="0" w:color="auto"/>
      </w:divBdr>
    </w:div>
    <w:div w:id="1228685990">
      <w:bodyDiv w:val="1"/>
      <w:marLeft w:val="0"/>
      <w:marRight w:val="0"/>
      <w:marTop w:val="0"/>
      <w:marBottom w:val="0"/>
      <w:divBdr>
        <w:top w:val="none" w:sz="0" w:space="0" w:color="auto"/>
        <w:left w:val="none" w:sz="0" w:space="0" w:color="auto"/>
        <w:bottom w:val="none" w:sz="0" w:space="0" w:color="auto"/>
        <w:right w:val="none" w:sz="0" w:space="0" w:color="auto"/>
      </w:divBdr>
    </w:div>
    <w:div w:id="1228760776">
      <w:bodyDiv w:val="1"/>
      <w:marLeft w:val="0"/>
      <w:marRight w:val="0"/>
      <w:marTop w:val="0"/>
      <w:marBottom w:val="0"/>
      <w:divBdr>
        <w:top w:val="none" w:sz="0" w:space="0" w:color="auto"/>
        <w:left w:val="none" w:sz="0" w:space="0" w:color="auto"/>
        <w:bottom w:val="none" w:sz="0" w:space="0" w:color="auto"/>
        <w:right w:val="none" w:sz="0" w:space="0" w:color="auto"/>
      </w:divBdr>
    </w:div>
    <w:div w:id="1228809530">
      <w:bodyDiv w:val="1"/>
      <w:marLeft w:val="0"/>
      <w:marRight w:val="0"/>
      <w:marTop w:val="0"/>
      <w:marBottom w:val="0"/>
      <w:divBdr>
        <w:top w:val="none" w:sz="0" w:space="0" w:color="auto"/>
        <w:left w:val="none" w:sz="0" w:space="0" w:color="auto"/>
        <w:bottom w:val="none" w:sz="0" w:space="0" w:color="auto"/>
        <w:right w:val="none" w:sz="0" w:space="0" w:color="auto"/>
      </w:divBdr>
    </w:div>
    <w:div w:id="1228957797">
      <w:bodyDiv w:val="1"/>
      <w:marLeft w:val="0"/>
      <w:marRight w:val="0"/>
      <w:marTop w:val="0"/>
      <w:marBottom w:val="0"/>
      <w:divBdr>
        <w:top w:val="none" w:sz="0" w:space="0" w:color="auto"/>
        <w:left w:val="none" w:sz="0" w:space="0" w:color="auto"/>
        <w:bottom w:val="none" w:sz="0" w:space="0" w:color="auto"/>
        <w:right w:val="none" w:sz="0" w:space="0" w:color="auto"/>
      </w:divBdr>
    </w:div>
    <w:div w:id="1229194265">
      <w:bodyDiv w:val="1"/>
      <w:marLeft w:val="0"/>
      <w:marRight w:val="0"/>
      <w:marTop w:val="0"/>
      <w:marBottom w:val="0"/>
      <w:divBdr>
        <w:top w:val="none" w:sz="0" w:space="0" w:color="auto"/>
        <w:left w:val="none" w:sz="0" w:space="0" w:color="auto"/>
        <w:bottom w:val="none" w:sz="0" w:space="0" w:color="auto"/>
        <w:right w:val="none" w:sz="0" w:space="0" w:color="auto"/>
      </w:divBdr>
    </w:div>
    <w:div w:id="1229270668">
      <w:bodyDiv w:val="1"/>
      <w:marLeft w:val="0"/>
      <w:marRight w:val="0"/>
      <w:marTop w:val="0"/>
      <w:marBottom w:val="0"/>
      <w:divBdr>
        <w:top w:val="none" w:sz="0" w:space="0" w:color="auto"/>
        <w:left w:val="none" w:sz="0" w:space="0" w:color="auto"/>
        <w:bottom w:val="none" w:sz="0" w:space="0" w:color="auto"/>
        <w:right w:val="none" w:sz="0" w:space="0" w:color="auto"/>
      </w:divBdr>
    </w:div>
    <w:div w:id="1229271813">
      <w:bodyDiv w:val="1"/>
      <w:marLeft w:val="0"/>
      <w:marRight w:val="0"/>
      <w:marTop w:val="0"/>
      <w:marBottom w:val="0"/>
      <w:divBdr>
        <w:top w:val="none" w:sz="0" w:space="0" w:color="auto"/>
        <w:left w:val="none" w:sz="0" w:space="0" w:color="auto"/>
        <w:bottom w:val="none" w:sz="0" w:space="0" w:color="auto"/>
        <w:right w:val="none" w:sz="0" w:space="0" w:color="auto"/>
      </w:divBdr>
    </w:div>
    <w:div w:id="1229419678">
      <w:bodyDiv w:val="1"/>
      <w:marLeft w:val="0"/>
      <w:marRight w:val="0"/>
      <w:marTop w:val="0"/>
      <w:marBottom w:val="0"/>
      <w:divBdr>
        <w:top w:val="none" w:sz="0" w:space="0" w:color="auto"/>
        <w:left w:val="none" w:sz="0" w:space="0" w:color="auto"/>
        <w:bottom w:val="none" w:sz="0" w:space="0" w:color="auto"/>
        <w:right w:val="none" w:sz="0" w:space="0" w:color="auto"/>
      </w:divBdr>
    </w:div>
    <w:div w:id="1229422128">
      <w:bodyDiv w:val="1"/>
      <w:marLeft w:val="0"/>
      <w:marRight w:val="0"/>
      <w:marTop w:val="0"/>
      <w:marBottom w:val="0"/>
      <w:divBdr>
        <w:top w:val="none" w:sz="0" w:space="0" w:color="auto"/>
        <w:left w:val="none" w:sz="0" w:space="0" w:color="auto"/>
        <w:bottom w:val="none" w:sz="0" w:space="0" w:color="auto"/>
        <w:right w:val="none" w:sz="0" w:space="0" w:color="auto"/>
      </w:divBdr>
    </w:div>
    <w:div w:id="1229456006">
      <w:bodyDiv w:val="1"/>
      <w:marLeft w:val="0"/>
      <w:marRight w:val="0"/>
      <w:marTop w:val="0"/>
      <w:marBottom w:val="0"/>
      <w:divBdr>
        <w:top w:val="none" w:sz="0" w:space="0" w:color="auto"/>
        <w:left w:val="none" w:sz="0" w:space="0" w:color="auto"/>
        <w:bottom w:val="none" w:sz="0" w:space="0" w:color="auto"/>
        <w:right w:val="none" w:sz="0" w:space="0" w:color="auto"/>
      </w:divBdr>
    </w:div>
    <w:div w:id="1229536478">
      <w:bodyDiv w:val="1"/>
      <w:marLeft w:val="0"/>
      <w:marRight w:val="0"/>
      <w:marTop w:val="0"/>
      <w:marBottom w:val="0"/>
      <w:divBdr>
        <w:top w:val="none" w:sz="0" w:space="0" w:color="auto"/>
        <w:left w:val="none" w:sz="0" w:space="0" w:color="auto"/>
        <w:bottom w:val="none" w:sz="0" w:space="0" w:color="auto"/>
        <w:right w:val="none" w:sz="0" w:space="0" w:color="auto"/>
      </w:divBdr>
    </w:div>
    <w:div w:id="1229607171">
      <w:bodyDiv w:val="1"/>
      <w:marLeft w:val="0"/>
      <w:marRight w:val="0"/>
      <w:marTop w:val="0"/>
      <w:marBottom w:val="0"/>
      <w:divBdr>
        <w:top w:val="none" w:sz="0" w:space="0" w:color="auto"/>
        <w:left w:val="none" w:sz="0" w:space="0" w:color="auto"/>
        <w:bottom w:val="none" w:sz="0" w:space="0" w:color="auto"/>
        <w:right w:val="none" w:sz="0" w:space="0" w:color="auto"/>
      </w:divBdr>
    </w:div>
    <w:div w:id="1229615629">
      <w:bodyDiv w:val="1"/>
      <w:marLeft w:val="0"/>
      <w:marRight w:val="0"/>
      <w:marTop w:val="0"/>
      <w:marBottom w:val="0"/>
      <w:divBdr>
        <w:top w:val="none" w:sz="0" w:space="0" w:color="auto"/>
        <w:left w:val="none" w:sz="0" w:space="0" w:color="auto"/>
        <w:bottom w:val="none" w:sz="0" w:space="0" w:color="auto"/>
        <w:right w:val="none" w:sz="0" w:space="0" w:color="auto"/>
      </w:divBdr>
    </w:div>
    <w:div w:id="1229652604">
      <w:bodyDiv w:val="1"/>
      <w:marLeft w:val="0"/>
      <w:marRight w:val="0"/>
      <w:marTop w:val="0"/>
      <w:marBottom w:val="0"/>
      <w:divBdr>
        <w:top w:val="none" w:sz="0" w:space="0" w:color="auto"/>
        <w:left w:val="none" w:sz="0" w:space="0" w:color="auto"/>
        <w:bottom w:val="none" w:sz="0" w:space="0" w:color="auto"/>
        <w:right w:val="none" w:sz="0" w:space="0" w:color="auto"/>
      </w:divBdr>
    </w:div>
    <w:div w:id="1229727698">
      <w:bodyDiv w:val="1"/>
      <w:marLeft w:val="0"/>
      <w:marRight w:val="0"/>
      <w:marTop w:val="0"/>
      <w:marBottom w:val="0"/>
      <w:divBdr>
        <w:top w:val="none" w:sz="0" w:space="0" w:color="auto"/>
        <w:left w:val="none" w:sz="0" w:space="0" w:color="auto"/>
        <w:bottom w:val="none" w:sz="0" w:space="0" w:color="auto"/>
        <w:right w:val="none" w:sz="0" w:space="0" w:color="auto"/>
      </w:divBdr>
    </w:div>
    <w:div w:id="1229925621">
      <w:bodyDiv w:val="1"/>
      <w:marLeft w:val="0"/>
      <w:marRight w:val="0"/>
      <w:marTop w:val="0"/>
      <w:marBottom w:val="0"/>
      <w:divBdr>
        <w:top w:val="none" w:sz="0" w:space="0" w:color="auto"/>
        <w:left w:val="none" w:sz="0" w:space="0" w:color="auto"/>
        <w:bottom w:val="none" w:sz="0" w:space="0" w:color="auto"/>
        <w:right w:val="none" w:sz="0" w:space="0" w:color="auto"/>
      </w:divBdr>
    </w:div>
    <w:div w:id="1229994014">
      <w:bodyDiv w:val="1"/>
      <w:marLeft w:val="0"/>
      <w:marRight w:val="0"/>
      <w:marTop w:val="0"/>
      <w:marBottom w:val="0"/>
      <w:divBdr>
        <w:top w:val="none" w:sz="0" w:space="0" w:color="auto"/>
        <w:left w:val="none" w:sz="0" w:space="0" w:color="auto"/>
        <w:bottom w:val="none" w:sz="0" w:space="0" w:color="auto"/>
        <w:right w:val="none" w:sz="0" w:space="0" w:color="auto"/>
      </w:divBdr>
    </w:div>
    <w:div w:id="1229996370">
      <w:bodyDiv w:val="1"/>
      <w:marLeft w:val="0"/>
      <w:marRight w:val="0"/>
      <w:marTop w:val="0"/>
      <w:marBottom w:val="0"/>
      <w:divBdr>
        <w:top w:val="none" w:sz="0" w:space="0" w:color="auto"/>
        <w:left w:val="none" w:sz="0" w:space="0" w:color="auto"/>
        <w:bottom w:val="none" w:sz="0" w:space="0" w:color="auto"/>
        <w:right w:val="none" w:sz="0" w:space="0" w:color="auto"/>
      </w:divBdr>
    </w:div>
    <w:div w:id="1230111599">
      <w:bodyDiv w:val="1"/>
      <w:marLeft w:val="0"/>
      <w:marRight w:val="0"/>
      <w:marTop w:val="0"/>
      <w:marBottom w:val="0"/>
      <w:divBdr>
        <w:top w:val="none" w:sz="0" w:space="0" w:color="auto"/>
        <w:left w:val="none" w:sz="0" w:space="0" w:color="auto"/>
        <w:bottom w:val="none" w:sz="0" w:space="0" w:color="auto"/>
        <w:right w:val="none" w:sz="0" w:space="0" w:color="auto"/>
      </w:divBdr>
    </w:div>
    <w:div w:id="1230264910">
      <w:bodyDiv w:val="1"/>
      <w:marLeft w:val="0"/>
      <w:marRight w:val="0"/>
      <w:marTop w:val="0"/>
      <w:marBottom w:val="0"/>
      <w:divBdr>
        <w:top w:val="none" w:sz="0" w:space="0" w:color="auto"/>
        <w:left w:val="none" w:sz="0" w:space="0" w:color="auto"/>
        <w:bottom w:val="none" w:sz="0" w:space="0" w:color="auto"/>
        <w:right w:val="none" w:sz="0" w:space="0" w:color="auto"/>
      </w:divBdr>
    </w:div>
    <w:div w:id="1230266916">
      <w:bodyDiv w:val="1"/>
      <w:marLeft w:val="0"/>
      <w:marRight w:val="0"/>
      <w:marTop w:val="0"/>
      <w:marBottom w:val="0"/>
      <w:divBdr>
        <w:top w:val="none" w:sz="0" w:space="0" w:color="auto"/>
        <w:left w:val="none" w:sz="0" w:space="0" w:color="auto"/>
        <w:bottom w:val="none" w:sz="0" w:space="0" w:color="auto"/>
        <w:right w:val="none" w:sz="0" w:space="0" w:color="auto"/>
      </w:divBdr>
    </w:div>
    <w:div w:id="1230269173">
      <w:bodyDiv w:val="1"/>
      <w:marLeft w:val="0"/>
      <w:marRight w:val="0"/>
      <w:marTop w:val="0"/>
      <w:marBottom w:val="0"/>
      <w:divBdr>
        <w:top w:val="none" w:sz="0" w:space="0" w:color="auto"/>
        <w:left w:val="none" w:sz="0" w:space="0" w:color="auto"/>
        <w:bottom w:val="none" w:sz="0" w:space="0" w:color="auto"/>
        <w:right w:val="none" w:sz="0" w:space="0" w:color="auto"/>
      </w:divBdr>
    </w:div>
    <w:div w:id="1230379755">
      <w:bodyDiv w:val="1"/>
      <w:marLeft w:val="0"/>
      <w:marRight w:val="0"/>
      <w:marTop w:val="0"/>
      <w:marBottom w:val="0"/>
      <w:divBdr>
        <w:top w:val="none" w:sz="0" w:space="0" w:color="auto"/>
        <w:left w:val="none" w:sz="0" w:space="0" w:color="auto"/>
        <w:bottom w:val="none" w:sz="0" w:space="0" w:color="auto"/>
        <w:right w:val="none" w:sz="0" w:space="0" w:color="auto"/>
      </w:divBdr>
    </w:div>
    <w:div w:id="1230381673">
      <w:bodyDiv w:val="1"/>
      <w:marLeft w:val="0"/>
      <w:marRight w:val="0"/>
      <w:marTop w:val="0"/>
      <w:marBottom w:val="0"/>
      <w:divBdr>
        <w:top w:val="none" w:sz="0" w:space="0" w:color="auto"/>
        <w:left w:val="none" w:sz="0" w:space="0" w:color="auto"/>
        <w:bottom w:val="none" w:sz="0" w:space="0" w:color="auto"/>
        <w:right w:val="none" w:sz="0" w:space="0" w:color="auto"/>
      </w:divBdr>
    </w:div>
    <w:div w:id="1230383652">
      <w:bodyDiv w:val="1"/>
      <w:marLeft w:val="0"/>
      <w:marRight w:val="0"/>
      <w:marTop w:val="0"/>
      <w:marBottom w:val="0"/>
      <w:divBdr>
        <w:top w:val="none" w:sz="0" w:space="0" w:color="auto"/>
        <w:left w:val="none" w:sz="0" w:space="0" w:color="auto"/>
        <w:bottom w:val="none" w:sz="0" w:space="0" w:color="auto"/>
        <w:right w:val="none" w:sz="0" w:space="0" w:color="auto"/>
      </w:divBdr>
    </w:div>
    <w:div w:id="1230457074">
      <w:bodyDiv w:val="1"/>
      <w:marLeft w:val="0"/>
      <w:marRight w:val="0"/>
      <w:marTop w:val="0"/>
      <w:marBottom w:val="0"/>
      <w:divBdr>
        <w:top w:val="none" w:sz="0" w:space="0" w:color="auto"/>
        <w:left w:val="none" w:sz="0" w:space="0" w:color="auto"/>
        <w:bottom w:val="none" w:sz="0" w:space="0" w:color="auto"/>
        <w:right w:val="none" w:sz="0" w:space="0" w:color="auto"/>
      </w:divBdr>
    </w:div>
    <w:div w:id="1230530366">
      <w:bodyDiv w:val="1"/>
      <w:marLeft w:val="0"/>
      <w:marRight w:val="0"/>
      <w:marTop w:val="0"/>
      <w:marBottom w:val="0"/>
      <w:divBdr>
        <w:top w:val="none" w:sz="0" w:space="0" w:color="auto"/>
        <w:left w:val="none" w:sz="0" w:space="0" w:color="auto"/>
        <w:bottom w:val="none" w:sz="0" w:space="0" w:color="auto"/>
        <w:right w:val="none" w:sz="0" w:space="0" w:color="auto"/>
      </w:divBdr>
    </w:div>
    <w:div w:id="1230536393">
      <w:bodyDiv w:val="1"/>
      <w:marLeft w:val="0"/>
      <w:marRight w:val="0"/>
      <w:marTop w:val="0"/>
      <w:marBottom w:val="0"/>
      <w:divBdr>
        <w:top w:val="none" w:sz="0" w:space="0" w:color="auto"/>
        <w:left w:val="none" w:sz="0" w:space="0" w:color="auto"/>
        <w:bottom w:val="none" w:sz="0" w:space="0" w:color="auto"/>
        <w:right w:val="none" w:sz="0" w:space="0" w:color="auto"/>
      </w:divBdr>
    </w:div>
    <w:div w:id="1230575267">
      <w:bodyDiv w:val="1"/>
      <w:marLeft w:val="0"/>
      <w:marRight w:val="0"/>
      <w:marTop w:val="0"/>
      <w:marBottom w:val="0"/>
      <w:divBdr>
        <w:top w:val="none" w:sz="0" w:space="0" w:color="auto"/>
        <w:left w:val="none" w:sz="0" w:space="0" w:color="auto"/>
        <w:bottom w:val="none" w:sz="0" w:space="0" w:color="auto"/>
        <w:right w:val="none" w:sz="0" w:space="0" w:color="auto"/>
      </w:divBdr>
    </w:div>
    <w:div w:id="1230730491">
      <w:bodyDiv w:val="1"/>
      <w:marLeft w:val="0"/>
      <w:marRight w:val="0"/>
      <w:marTop w:val="0"/>
      <w:marBottom w:val="0"/>
      <w:divBdr>
        <w:top w:val="none" w:sz="0" w:space="0" w:color="auto"/>
        <w:left w:val="none" w:sz="0" w:space="0" w:color="auto"/>
        <w:bottom w:val="none" w:sz="0" w:space="0" w:color="auto"/>
        <w:right w:val="none" w:sz="0" w:space="0" w:color="auto"/>
      </w:divBdr>
    </w:div>
    <w:div w:id="1230730930">
      <w:bodyDiv w:val="1"/>
      <w:marLeft w:val="0"/>
      <w:marRight w:val="0"/>
      <w:marTop w:val="0"/>
      <w:marBottom w:val="0"/>
      <w:divBdr>
        <w:top w:val="none" w:sz="0" w:space="0" w:color="auto"/>
        <w:left w:val="none" w:sz="0" w:space="0" w:color="auto"/>
        <w:bottom w:val="none" w:sz="0" w:space="0" w:color="auto"/>
        <w:right w:val="none" w:sz="0" w:space="0" w:color="auto"/>
      </w:divBdr>
    </w:div>
    <w:div w:id="1230965823">
      <w:bodyDiv w:val="1"/>
      <w:marLeft w:val="0"/>
      <w:marRight w:val="0"/>
      <w:marTop w:val="0"/>
      <w:marBottom w:val="0"/>
      <w:divBdr>
        <w:top w:val="none" w:sz="0" w:space="0" w:color="auto"/>
        <w:left w:val="none" w:sz="0" w:space="0" w:color="auto"/>
        <w:bottom w:val="none" w:sz="0" w:space="0" w:color="auto"/>
        <w:right w:val="none" w:sz="0" w:space="0" w:color="auto"/>
      </w:divBdr>
    </w:div>
    <w:div w:id="1231043853">
      <w:bodyDiv w:val="1"/>
      <w:marLeft w:val="0"/>
      <w:marRight w:val="0"/>
      <w:marTop w:val="0"/>
      <w:marBottom w:val="0"/>
      <w:divBdr>
        <w:top w:val="none" w:sz="0" w:space="0" w:color="auto"/>
        <w:left w:val="none" w:sz="0" w:space="0" w:color="auto"/>
        <w:bottom w:val="none" w:sz="0" w:space="0" w:color="auto"/>
        <w:right w:val="none" w:sz="0" w:space="0" w:color="auto"/>
      </w:divBdr>
    </w:div>
    <w:div w:id="1231303627">
      <w:bodyDiv w:val="1"/>
      <w:marLeft w:val="0"/>
      <w:marRight w:val="0"/>
      <w:marTop w:val="0"/>
      <w:marBottom w:val="0"/>
      <w:divBdr>
        <w:top w:val="none" w:sz="0" w:space="0" w:color="auto"/>
        <w:left w:val="none" w:sz="0" w:space="0" w:color="auto"/>
        <w:bottom w:val="none" w:sz="0" w:space="0" w:color="auto"/>
        <w:right w:val="none" w:sz="0" w:space="0" w:color="auto"/>
      </w:divBdr>
    </w:div>
    <w:div w:id="1231382837">
      <w:bodyDiv w:val="1"/>
      <w:marLeft w:val="0"/>
      <w:marRight w:val="0"/>
      <w:marTop w:val="0"/>
      <w:marBottom w:val="0"/>
      <w:divBdr>
        <w:top w:val="none" w:sz="0" w:space="0" w:color="auto"/>
        <w:left w:val="none" w:sz="0" w:space="0" w:color="auto"/>
        <w:bottom w:val="none" w:sz="0" w:space="0" w:color="auto"/>
        <w:right w:val="none" w:sz="0" w:space="0" w:color="auto"/>
      </w:divBdr>
    </w:div>
    <w:div w:id="1231388385">
      <w:bodyDiv w:val="1"/>
      <w:marLeft w:val="0"/>
      <w:marRight w:val="0"/>
      <w:marTop w:val="0"/>
      <w:marBottom w:val="0"/>
      <w:divBdr>
        <w:top w:val="none" w:sz="0" w:space="0" w:color="auto"/>
        <w:left w:val="none" w:sz="0" w:space="0" w:color="auto"/>
        <w:bottom w:val="none" w:sz="0" w:space="0" w:color="auto"/>
        <w:right w:val="none" w:sz="0" w:space="0" w:color="auto"/>
      </w:divBdr>
    </w:div>
    <w:div w:id="1231499239">
      <w:bodyDiv w:val="1"/>
      <w:marLeft w:val="0"/>
      <w:marRight w:val="0"/>
      <w:marTop w:val="0"/>
      <w:marBottom w:val="0"/>
      <w:divBdr>
        <w:top w:val="none" w:sz="0" w:space="0" w:color="auto"/>
        <w:left w:val="none" w:sz="0" w:space="0" w:color="auto"/>
        <w:bottom w:val="none" w:sz="0" w:space="0" w:color="auto"/>
        <w:right w:val="none" w:sz="0" w:space="0" w:color="auto"/>
      </w:divBdr>
    </w:div>
    <w:div w:id="1231506029">
      <w:bodyDiv w:val="1"/>
      <w:marLeft w:val="0"/>
      <w:marRight w:val="0"/>
      <w:marTop w:val="0"/>
      <w:marBottom w:val="0"/>
      <w:divBdr>
        <w:top w:val="none" w:sz="0" w:space="0" w:color="auto"/>
        <w:left w:val="none" w:sz="0" w:space="0" w:color="auto"/>
        <w:bottom w:val="none" w:sz="0" w:space="0" w:color="auto"/>
        <w:right w:val="none" w:sz="0" w:space="0" w:color="auto"/>
      </w:divBdr>
    </w:div>
    <w:div w:id="1231572868">
      <w:bodyDiv w:val="1"/>
      <w:marLeft w:val="0"/>
      <w:marRight w:val="0"/>
      <w:marTop w:val="0"/>
      <w:marBottom w:val="0"/>
      <w:divBdr>
        <w:top w:val="none" w:sz="0" w:space="0" w:color="auto"/>
        <w:left w:val="none" w:sz="0" w:space="0" w:color="auto"/>
        <w:bottom w:val="none" w:sz="0" w:space="0" w:color="auto"/>
        <w:right w:val="none" w:sz="0" w:space="0" w:color="auto"/>
      </w:divBdr>
    </w:div>
    <w:div w:id="1231576561">
      <w:bodyDiv w:val="1"/>
      <w:marLeft w:val="0"/>
      <w:marRight w:val="0"/>
      <w:marTop w:val="0"/>
      <w:marBottom w:val="0"/>
      <w:divBdr>
        <w:top w:val="none" w:sz="0" w:space="0" w:color="auto"/>
        <w:left w:val="none" w:sz="0" w:space="0" w:color="auto"/>
        <w:bottom w:val="none" w:sz="0" w:space="0" w:color="auto"/>
        <w:right w:val="none" w:sz="0" w:space="0" w:color="auto"/>
      </w:divBdr>
    </w:div>
    <w:div w:id="1231772728">
      <w:bodyDiv w:val="1"/>
      <w:marLeft w:val="0"/>
      <w:marRight w:val="0"/>
      <w:marTop w:val="0"/>
      <w:marBottom w:val="0"/>
      <w:divBdr>
        <w:top w:val="none" w:sz="0" w:space="0" w:color="auto"/>
        <w:left w:val="none" w:sz="0" w:space="0" w:color="auto"/>
        <w:bottom w:val="none" w:sz="0" w:space="0" w:color="auto"/>
        <w:right w:val="none" w:sz="0" w:space="0" w:color="auto"/>
      </w:divBdr>
    </w:div>
    <w:div w:id="1231772775">
      <w:bodyDiv w:val="1"/>
      <w:marLeft w:val="0"/>
      <w:marRight w:val="0"/>
      <w:marTop w:val="0"/>
      <w:marBottom w:val="0"/>
      <w:divBdr>
        <w:top w:val="none" w:sz="0" w:space="0" w:color="auto"/>
        <w:left w:val="none" w:sz="0" w:space="0" w:color="auto"/>
        <w:bottom w:val="none" w:sz="0" w:space="0" w:color="auto"/>
        <w:right w:val="none" w:sz="0" w:space="0" w:color="auto"/>
      </w:divBdr>
    </w:div>
    <w:div w:id="1231846048">
      <w:bodyDiv w:val="1"/>
      <w:marLeft w:val="0"/>
      <w:marRight w:val="0"/>
      <w:marTop w:val="0"/>
      <w:marBottom w:val="0"/>
      <w:divBdr>
        <w:top w:val="none" w:sz="0" w:space="0" w:color="auto"/>
        <w:left w:val="none" w:sz="0" w:space="0" w:color="auto"/>
        <w:bottom w:val="none" w:sz="0" w:space="0" w:color="auto"/>
        <w:right w:val="none" w:sz="0" w:space="0" w:color="auto"/>
      </w:divBdr>
    </w:div>
    <w:div w:id="1231883603">
      <w:bodyDiv w:val="1"/>
      <w:marLeft w:val="0"/>
      <w:marRight w:val="0"/>
      <w:marTop w:val="0"/>
      <w:marBottom w:val="0"/>
      <w:divBdr>
        <w:top w:val="none" w:sz="0" w:space="0" w:color="auto"/>
        <w:left w:val="none" w:sz="0" w:space="0" w:color="auto"/>
        <w:bottom w:val="none" w:sz="0" w:space="0" w:color="auto"/>
        <w:right w:val="none" w:sz="0" w:space="0" w:color="auto"/>
      </w:divBdr>
    </w:div>
    <w:div w:id="1231884852">
      <w:bodyDiv w:val="1"/>
      <w:marLeft w:val="0"/>
      <w:marRight w:val="0"/>
      <w:marTop w:val="0"/>
      <w:marBottom w:val="0"/>
      <w:divBdr>
        <w:top w:val="none" w:sz="0" w:space="0" w:color="auto"/>
        <w:left w:val="none" w:sz="0" w:space="0" w:color="auto"/>
        <w:bottom w:val="none" w:sz="0" w:space="0" w:color="auto"/>
        <w:right w:val="none" w:sz="0" w:space="0" w:color="auto"/>
      </w:divBdr>
    </w:div>
    <w:div w:id="1231885132">
      <w:bodyDiv w:val="1"/>
      <w:marLeft w:val="0"/>
      <w:marRight w:val="0"/>
      <w:marTop w:val="0"/>
      <w:marBottom w:val="0"/>
      <w:divBdr>
        <w:top w:val="none" w:sz="0" w:space="0" w:color="auto"/>
        <w:left w:val="none" w:sz="0" w:space="0" w:color="auto"/>
        <w:bottom w:val="none" w:sz="0" w:space="0" w:color="auto"/>
        <w:right w:val="none" w:sz="0" w:space="0" w:color="auto"/>
      </w:divBdr>
    </w:div>
    <w:div w:id="1231889306">
      <w:bodyDiv w:val="1"/>
      <w:marLeft w:val="0"/>
      <w:marRight w:val="0"/>
      <w:marTop w:val="0"/>
      <w:marBottom w:val="0"/>
      <w:divBdr>
        <w:top w:val="none" w:sz="0" w:space="0" w:color="auto"/>
        <w:left w:val="none" w:sz="0" w:space="0" w:color="auto"/>
        <w:bottom w:val="none" w:sz="0" w:space="0" w:color="auto"/>
        <w:right w:val="none" w:sz="0" w:space="0" w:color="auto"/>
      </w:divBdr>
    </w:div>
    <w:div w:id="1231964891">
      <w:bodyDiv w:val="1"/>
      <w:marLeft w:val="0"/>
      <w:marRight w:val="0"/>
      <w:marTop w:val="0"/>
      <w:marBottom w:val="0"/>
      <w:divBdr>
        <w:top w:val="none" w:sz="0" w:space="0" w:color="auto"/>
        <w:left w:val="none" w:sz="0" w:space="0" w:color="auto"/>
        <w:bottom w:val="none" w:sz="0" w:space="0" w:color="auto"/>
        <w:right w:val="none" w:sz="0" w:space="0" w:color="auto"/>
      </w:divBdr>
    </w:div>
    <w:div w:id="1232083392">
      <w:bodyDiv w:val="1"/>
      <w:marLeft w:val="0"/>
      <w:marRight w:val="0"/>
      <w:marTop w:val="0"/>
      <w:marBottom w:val="0"/>
      <w:divBdr>
        <w:top w:val="none" w:sz="0" w:space="0" w:color="auto"/>
        <w:left w:val="none" w:sz="0" w:space="0" w:color="auto"/>
        <w:bottom w:val="none" w:sz="0" w:space="0" w:color="auto"/>
        <w:right w:val="none" w:sz="0" w:space="0" w:color="auto"/>
      </w:divBdr>
    </w:div>
    <w:div w:id="1232155201">
      <w:bodyDiv w:val="1"/>
      <w:marLeft w:val="0"/>
      <w:marRight w:val="0"/>
      <w:marTop w:val="0"/>
      <w:marBottom w:val="0"/>
      <w:divBdr>
        <w:top w:val="none" w:sz="0" w:space="0" w:color="auto"/>
        <w:left w:val="none" w:sz="0" w:space="0" w:color="auto"/>
        <w:bottom w:val="none" w:sz="0" w:space="0" w:color="auto"/>
        <w:right w:val="none" w:sz="0" w:space="0" w:color="auto"/>
      </w:divBdr>
    </w:div>
    <w:div w:id="1232345723">
      <w:bodyDiv w:val="1"/>
      <w:marLeft w:val="0"/>
      <w:marRight w:val="0"/>
      <w:marTop w:val="0"/>
      <w:marBottom w:val="0"/>
      <w:divBdr>
        <w:top w:val="none" w:sz="0" w:space="0" w:color="auto"/>
        <w:left w:val="none" w:sz="0" w:space="0" w:color="auto"/>
        <w:bottom w:val="none" w:sz="0" w:space="0" w:color="auto"/>
        <w:right w:val="none" w:sz="0" w:space="0" w:color="auto"/>
      </w:divBdr>
    </w:div>
    <w:div w:id="1232351519">
      <w:bodyDiv w:val="1"/>
      <w:marLeft w:val="0"/>
      <w:marRight w:val="0"/>
      <w:marTop w:val="0"/>
      <w:marBottom w:val="0"/>
      <w:divBdr>
        <w:top w:val="none" w:sz="0" w:space="0" w:color="auto"/>
        <w:left w:val="none" w:sz="0" w:space="0" w:color="auto"/>
        <w:bottom w:val="none" w:sz="0" w:space="0" w:color="auto"/>
        <w:right w:val="none" w:sz="0" w:space="0" w:color="auto"/>
      </w:divBdr>
    </w:div>
    <w:div w:id="1232352262">
      <w:bodyDiv w:val="1"/>
      <w:marLeft w:val="0"/>
      <w:marRight w:val="0"/>
      <w:marTop w:val="0"/>
      <w:marBottom w:val="0"/>
      <w:divBdr>
        <w:top w:val="none" w:sz="0" w:space="0" w:color="auto"/>
        <w:left w:val="none" w:sz="0" w:space="0" w:color="auto"/>
        <w:bottom w:val="none" w:sz="0" w:space="0" w:color="auto"/>
        <w:right w:val="none" w:sz="0" w:space="0" w:color="auto"/>
      </w:divBdr>
    </w:div>
    <w:div w:id="1232420505">
      <w:bodyDiv w:val="1"/>
      <w:marLeft w:val="0"/>
      <w:marRight w:val="0"/>
      <w:marTop w:val="0"/>
      <w:marBottom w:val="0"/>
      <w:divBdr>
        <w:top w:val="none" w:sz="0" w:space="0" w:color="auto"/>
        <w:left w:val="none" w:sz="0" w:space="0" w:color="auto"/>
        <w:bottom w:val="none" w:sz="0" w:space="0" w:color="auto"/>
        <w:right w:val="none" w:sz="0" w:space="0" w:color="auto"/>
      </w:divBdr>
    </w:div>
    <w:div w:id="1232426402">
      <w:bodyDiv w:val="1"/>
      <w:marLeft w:val="0"/>
      <w:marRight w:val="0"/>
      <w:marTop w:val="0"/>
      <w:marBottom w:val="0"/>
      <w:divBdr>
        <w:top w:val="none" w:sz="0" w:space="0" w:color="auto"/>
        <w:left w:val="none" w:sz="0" w:space="0" w:color="auto"/>
        <w:bottom w:val="none" w:sz="0" w:space="0" w:color="auto"/>
        <w:right w:val="none" w:sz="0" w:space="0" w:color="auto"/>
      </w:divBdr>
    </w:div>
    <w:div w:id="1232502297">
      <w:bodyDiv w:val="1"/>
      <w:marLeft w:val="0"/>
      <w:marRight w:val="0"/>
      <w:marTop w:val="0"/>
      <w:marBottom w:val="0"/>
      <w:divBdr>
        <w:top w:val="none" w:sz="0" w:space="0" w:color="auto"/>
        <w:left w:val="none" w:sz="0" w:space="0" w:color="auto"/>
        <w:bottom w:val="none" w:sz="0" w:space="0" w:color="auto"/>
        <w:right w:val="none" w:sz="0" w:space="0" w:color="auto"/>
      </w:divBdr>
    </w:div>
    <w:div w:id="1232541326">
      <w:bodyDiv w:val="1"/>
      <w:marLeft w:val="0"/>
      <w:marRight w:val="0"/>
      <w:marTop w:val="0"/>
      <w:marBottom w:val="0"/>
      <w:divBdr>
        <w:top w:val="none" w:sz="0" w:space="0" w:color="auto"/>
        <w:left w:val="none" w:sz="0" w:space="0" w:color="auto"/>
        <w:bottom w:val="none" w:sz="0" w:space="0" w:color="auto"/>
        <w:right w:val="none" w:sz="0" w:space="0" w:color="auto"/>
      </w:divBdr>
    </w:div>
    <w:div w:id="1232544189">
      <w:bodyDiv w:val="1"/>
      <w:marLeft w:val="0"/>
      <w:marRight w:val="0"/>
      <w:marTop w:val="0"/>
      <w:marBottom w:val="0"/>
      <w:divBdr>
        <w:top w:val="none" w:sz="0" w:space="0" w:color="auto"/>
        <w:left w:val="none" w:sz="0" w:space="0" w:color="auto"/>
        <w:bottom w:val="none" w:sz="0" w:space="0" w:color="auto"/>
        <w:right w:val="none" w:sz="0" w:space="0" w:color="auto"/>
      </w:divBdr>
    </w:div>
    <w:div w:id="1232544563">
      <w:bodyDiv w:val="1"/>
      <w:marLeft w:val="0"/>
      <w:marRight w:val="0"/>
      <w:marTop w:val="0"/>
      <w:marBottom w:val="0"/>
      <w:divBdr>
        <w:top w:val="none" w:sz="0" w:space="0" w:color="auto"/>
        <w:left w:val="none" w:sz="0" w:space="0" w:color="auto"/>
        <w:bottom w:val="none" w:sz="0" w:space="0" w:color="auto"/>
        <w:right w:val="none" w:sz="0" w:space="0" w:color="auto"/>
      </w:divBdr>
    </w:div>
    <w:div w:id="1232620862">
      <w:bodyDiv w:val="1"/>
      <w:marLeft w:val="0"/>
      <w:marRight w:val="0"/>
      <w:marTop w:val="0"/>
      <w:marBottom w:val="0"/>
      <w:divBdr>
        <w:top w:val="none" w:sz="0" w:space="0" w:color="auto"/>
        <w:left w:val="none" w:sz="0" w:space="0" w:color="auto"/>
        <w:bottom w:val="none" w:sz="0" w:space="0" w:color="auto"/>
        <w:right w:val="none" w:sz="0" w:space="0" w:color="auto"/>
      </w:divBdr>
    </w:div>
    <w:div w:id="1232697382">
      <w:bodyDiv w:val="1"/>
      <w:marLeft w:val="0"/>
      <w:marRight w:val="0"/>
      <w:marTop w:val="0"/>
      <w:marBottom w:val="0"/>
      <w:divBdr>
        <w:top w:val="none" w:sz="0" w:space="0" w:color="auto"/>
        <w:left w:val="none" w:sz="0" w:space="0" w:color="auto"/>
        <w:bottom w:val="none" w:sz="0" w:space="0" w:color="auto"/>
        <w:right w:val="none" w:sz="0" w:space="0" w:color="auto"/>
      </w:divBdr>
    </w:div>
    <w:div w:id="1232808038">
      <w:bodyDiv w:val="1"/>
      <w:marLeft w:val="0"/>
      <w:marRight w:val="0"/>
      <w:marTop w:val="0"/>
      <w:marBottom w:val="0"/>
      <w:divBdr>
        <w:top w:val="none" w:sz="0" w:space="0" w:color="auto"/>
        <w:left w:val="none" w:sz="0" w:space="0" w:color="auto"/>
        <w:bottom w:val="none" w:sz="0" w:space="0" w:color="auto"/>
        <w:right w:val="none" w:sz="0" w:space="0" w:color="auto"/>
      </w:divBdr>
    </w:div>
    <w:div w:id="1232812989">
      <w:bodyDiv w:val="1"/>
      <w:marLeft w:val="0"/>
      <w:marRight w:val="0"/>
      <w:marTop w:val="0"/>
      <w:marBottom w:val="0"/>
      <w:divBdr>
        <w:top w:val="none" w:sz="0" w:space="0" w:color="auto"/>
        <w:left w:val="none" w:sz="0" w:space="0" w:color="auto"/>
        <w:bottom w:val="none" w:sz="0" w:space="0" w:color="auto"/>
        <w:right w:val="none" w:sz="0" w:space="0" w:color="auto"/>
      </w:divBdr>
    </w:div>
    <w:div w:id="1232813281">
      <w:bodyDiv w:val="1"/>
      <w:marLeft w:val="0"/>
      <w:marRight w:val="0"/>
      <w:marTop w:val="0"/>
      <w:marBottom w:val="0"/>
      <w:divBdr>
        <w:top w:val="none" w:sz="0" w:space="0" w:color="auto"/>
        <w:left w:val="none" w:sz="0" w:space="0" w:color="auto"/>
        <w:bottom w:val="none" w:sz="0" w:space="0" w:color="auto"/>
        <w:right w:val="none" w:sz="0" w:space="0" w:color="auto"/>
      </w:divBdr>
    </w:div>
    <w:div w:id="1232813552">
      <w:bodyDiv w:val="1"/>
      <w:marLeft w:val="0"/>
      <w:marRight w:val="0"/>
      <w:marTop w:val="0"/>
      <w:marBottom w:val="0"/>
      <w:divBdr>
        <w:top w:val="none" w:sz="0" w:space="0" w:color="auto"/>
        <w:left w:val="none" w:sz="0" w:space="0" w:color="auto"/>
        <w:bottom w:val="none" w:sz="0" w:space="0" w:color="auto"/>
        <w:right w:val="none" w:sz="0" w:space="0" w:color="auto"/>
      </w:divBdr>
    </w:div>
    <w:div w:id="1232928849">
      <w:bodyDiv w:val="1"/>
      <w:marLeft w:val="0"/>
      <w:marRight w:val="0"/>
      <w:marTop w:val="0"/>
      <w:marBottom w:val="0"/>
      <w:divBdr>
        <w:top w:val="none" w:sz="0" w:space="0" w:color="auto"/>
        <w:left w:val="none" w:sz="0" w:space="0" w:color="auto"/>
        <w:bottom w:val="none" w:sz="0" w:space="0" w:color="auto"/>
        <w:right w:val="none" w:sz="0" w:space="0" w:color="auto"/>
      </w:divBdr>
    </w:div>
    <w:div w:id="1232932627">
      <w:bodyDiv w:val="1"/>
      <w:marLeft w:val="0"/>
      <w:marRight w:val="0"/>
      <w:marTop w:val="0"/>
      <w:marBottom w:val="0"/>
      <w:divBdr>
        <w:top w:val="none" w:sz="0" w:space="0" w:color="auto"/>
        <w:left w:val="none" w:sz="0" w:space="0" w:color="auto"/>
        <w:bottom w:val="none" w:sz="0" w:space="0" w:color="auto"/>
        <w:right w:val="none" w:sz="0" w:space="0" w:color="auto"/>
      </w:divBdr>
    </w:div>
    <w:div w:id="1232959387">
      <w:bodyDiv w:val="1"/>
      <w:marLeft w:val="0"/>
      <w:marRight w:val="0"/>
      <w:marTop w:val="0"/>
      <w:marBottom w:val="0"/>
      <w:divBdr>
        <w:top w:val="none" w:sz="0" w:space="0" w:color="auto"/>
        <w:left w:val="none" w:sz="0" w:space="0" w:color="auto"/>
        <w:bottom w:val="none" w:sz="0" w:space="0" w:color="auto"/>
        <w:right w:val="none" w:sz="0" w:space="0" w:color="auto"/>
      </w:divBdr>
    </w:div>
    <w:div w:id="1233078628">
      <w:bodyDiv w:val="1"/>
      <w:marLeft w:val="0"/>
      <w:marRight w:val="0"/>
      <w:marTop w:val="0"/>
      <w:marBottom w:val="0"/>
      <w:divBdr>
        <w:top w:val="none" w:sz="0" w:space="0" w:color="auto"/>
        <w:left w:val="none" w:sz="0" w:space="0" w:color="auto"/>
        <w:bottom w:val="none" w:sz="0" w:space="0" w:color="auto"/>
        <w:right w:val="none" w:sz="0" w:space="0" w:color="auto"/>
      </w:divBdr>
    </w:div>
    <w:div w:id="1233272229">
      <w:bodyDiv w:val="1"/>
      <w:marLeft w:val="0"/>
      <w:marRight w:val="0"/>
      <w:marTop w:val="0"/>
      <w:marBottom w:val="0"/>
      <w:divBdr>
        <w:top w:val="none" w:sz="0" w:space="0" w:color="auto"/>
        <w:left w:val="none" w:sz="0" w:space="0" w:color="auto"/>
        <w:bottom w:val="none" w:sz="0" w:space="0" w:color="auto"/>
        <w:right w:val="none" w:sz="0" w:space="0" w:color="auto"/>
      </w:divBdr>
    </w:div>
    <w:div w:id="1233388194">
      <w:bodyDiv w:val="1"/>
      <w:marLeft w:val="0"/>
      <w:marRight w:val="0"/>
      <w:marTop w:val="0"/>
      <w:marBottom w:val="0"/>
      <w:divBdr>
        <w:top w:val="none" w:sz="0" w:space="0" w:color="auto"/>
        <w:left w:val="none" w:sz="0" w:space="0" w:color="auto"/>
        <w:bottom w:val="none" w:sz="0" w:space="0" w:color="auto"/>
        <w:right w:val="none" w:sz="0" w:space="0" w:color="auto"/>
      </w:divBdr>
    </w:div>
    <w:div w:id="1233390194">
      <w:bodyDiv w:val="1"/>
      <w:marLeft w:val="0"/>
      <w:marRight w:val="0"/>
      <w:marTop w:val="0"/>
      <w:marBottom w:val="0"/>
      <w:divBdr>
        <w:top w:val="none" w:sz="0" w:space="0" w:color="auto"/>
        <w:left w:val="none" w:sz="0" w:space="0" w:color="auto"/>
        <w:bottom w:val="none" w:sz="0" w:space="0" w:color="auto"/>
        <w:right w:val="none" w:sz="0" w:space="0" w:color="auto"/>
      </w:divBdr>
    </w:div>
    <w:div w:id="1233390524">
      <w:bodyDiv w:val="1"/>
      <w:marLeft w:val="0"/>
      <w:marRight w:val="0"/>
      <w:marTop w:val="0"/>
      <w:marBottom w:val="0"/>
      <w:divBdr>
        <w:top w:val="none" w:sz="0" w:space="0" w:color="auto"/>
        <w:left w:val="none" w:sz="0" w:space="0" w:color="auto"/>
        <w:bottom w:val="none" w:sz="0" w:space="0" w:color="auto"/>
        <w:right w:val="none" w:sz="0" w:space="0" w:color="auto"/>
      </w:divBdr>
    </w:div>
    <w:div w:id="1233464480">
      <w:bodyDiv w:val="1"/>
      <w:marLeft w:val="0"/>
      <w:marRight w:val="0"/>
      <w:marTop w:val="0"/>
      <w:marBottom w:val="0"/>
      <w:divBdr>
        <w:top w:val="none" w:sz="0" w:space="0" w:color="auto"/>
        <w:left w:val="none" w:sz="0" w:space="0" w:color="auto"/>
        <w:bottom w:val="none" w:sz="0" w:space="0" w:color="auto"/>
        <w:right w:val="none" w:sz="0" w:space="0" w:color="auto"/>
      </w:divBdr>
    </w:div>
    <w:div w:id="1233546480">
      <w:bodyDiv w:val="1"/>
      <w:marLeft w:val="0"/>
      <w:marRight w:val="0"/>
      <w:marTop w:val="0"/>
      <w:marBottom w:val="0"/>
      <w:divBdr>
        <w:top w:val="none" w:sz="0" w:space="0" w:color="auto"/>
        <w:left w:val="none" w:sz="0" w:space="0" w:color="auto"/>
        <w:bottom w:val="none" w:sz="0" w:space="0" w:color="auto"/>
        <w:right w:val="none" w:sz="0" w:space="0" w:color="auto"/>
      </w:divBdr>
    </w:div>
    <w:div w:id="1233586843">
      <w:bodyDiv w:val="1"/>
      <w:marLeft w:val="0"/>
      <w:marRight w:val="0"/>
      <w:marTop w:val="0"/>
      <w:marBottom w:val="0"/>
      <w:divBdr>
        <w:top w:val="none" w:sz="0" w:space="0" w:color="auto"/>
        <w:left w:val="none" w:sz="0" w:space="0" w:color="auto"/>
        <w:bottom w:val="none" w:sz="0" w:space="0" w:color="auto"/>
        <w:right w:val="none" w:sz="0" w:space="0" w:color="auto"/>
      </w:divBdr>
    </w:div>
    <w:div w:id="1233589517">
      <w:bodyDiv w:val="1"/>
      <w:marLeft w:val="0"/>
      <w:marRight w:val="0"/>
      <w:marTop w:val="0"/>
      <w:marBottom w:val="0"/>
      <w:divBdr>
        <w:top w:val="none" w:sz="0" w:space="0" w:color="auto"/>
        <w:left w:val="none" w:sz="0" w:space="0" w:color="auto"/>
        <w:bottom w:val="none" w:sz="0" w:space="0" w:color="auto"/>
        <w:right w:val="none" w:sz="0" w:space="0" w:color="auto"/>
      </w:divBdr>
    </w:div>
    <w:div w:id="1233665177">
      <w:bodyDiv w:val="1"/>
      <w:marLeft w:val="0"/>
      <w:marRight w:val="0"/>
      <w:marTop w:val="0"/>
      <w:marBottom w:val="0"/>
      <w:divBdr>
        <w:top w:val="none" w:sz="0" w:space="0" w:color="auto"/>
        <w:left w:val="none" w:sz="0" w:space="0" w:color="auto"/>
        <w:bottom w:val="none" w:sz="0" w:space="0" w:color="auto"/>
        <w:right w:val="none" w:sz="0" w:space="0" w:color="auto"/>
      </w:divBdr>
    </w:div>
    <w:div w:id="1233739298">
      <w:bodyDiv w:val="1"/>
      <w:marLeft w:val="0"/>
      <w:marRight w:val="0"/>
      <w:marTop w:val="0"/>
      <w:marBottom w:val="0"/>
      <w:divBdr>
        <w:top w:val="none" w:sz="0" w:space="0" w:color="auto"/>
        <w:left w:val="none" w:sz="0" w:space="0" w:color="auto"/>
        <w:bottom w:val="none" w:sz="0" w:space="0" w:color="auto"/>
        <w:right w:val="none" w:sz="0" w:space="0" w:color="auto"/>
      </w:divBdr>
    </w:div>
    <w:div w:id="1233857424">
      <w:bodyDiv w:val="1"/>
      <w:marLeft w:val="0"/>
      <w:marRight w:val="0"/>
      <w:marTop w:val="0"/>
      <w:marBottom w:val="0"/>
      <w:divBdr>
        <w:top w:val="none" w:sz="0" w:space="0" w:color="auto"/>
        <w:left w:val="none" w:sz="0" w:space="0" w:color="auto"/>
        <w:bottom w:val="none" w:sz="0" w:space="0" w:color="auto"/>
        <w:right w:val="none" w:sz="0" w:space="0" w:color="auto"/>
      </w:divBdr>
    </w:div>
    <w:div w:id="1233924480">
      <w:bodyDiv w:val="1"/>
      <w:marLeft w:val="0"/>
      <w:marRight w:val="0"/>
      <w:marTop w:val="0"/>
      <w:marBottom w:val="0"/>
      <w:divBdr>
        <w:top w:val="none" w:sz="0" w:space="0" w:color="auto"/>
        <w:left w:val="none" w:sz="0" w:space="0" w:color="auto"/>
        <w:bottom w:val="none" w:sz="0" w:space="0" w:color="auto"/>
        <w:right w:val="none" w:sz="0" w:space="0" w:color="auto"/>
      </w:divBdr>
    </w:div>
    <w:div w:id="1233931859">
      <w:bodyDiv w:val="1"/>
      <w:marLeft w:val="0"/>
      <w:marRight w:val="0"/>
      <w:marTop w:val="0"/>
      <w:marBottom w:val="0"/>
      <w:divBdr>
        <w:top w:val="none" w:sz="0" w:space="0" w:color="auto"/>
        <w:left w:val="none" w:sz="0" w:space="0" w:color="auto"/>
        <w:bottom w:val="none" w:sz="0" w:space="0" w:color="auto"/>
        <w:right w:val="none" w:sz="0" w:space="0" w:color="auto"/>
      </w:divBdr>
    </w:div>
    <w:div w:id="1234193555">
      <w:bodyDiv w:val="1"/>
      <w:marLeft w:val="0"/>
      <w:marRight w:val="0"/>
      <w:marTop w:val="0"/>
      <w:marBottom w:val="0"/>
      <w:divBdr>
        <w:top w:val="none" w:sz="0" w:space="0" w:color="auto"/>
        <w:left w:val="none" w:sz="0" w:space="0" w:color="auto"/>
        <w:bottom w:val="none" w:sz="0" w:space="0" w:color="auto"/>
        <w:right w:val="none" w:sz="0" w:space="0" w:color="auto"/>
      </w:divBdr>
    </w:div>
    <w:div w:id="1234199312">
      <w:bodyDiv w:val="1"/>
      <w:marLeft w:val="0"/>
      <w:marRight w:val="0"/>
      <w:marTop w:val="0"/>
      <w:marBottom w:val="0"/>
      <w:divBdr>
        <w:top w:val="none" w:sz="0" w:space="0" w:color="auto"/>
        <w:left w:val="none" w:sz="0" w:space="0" w:color="auto"/>
        <w:bottom w:val="none" w:sz="0" w:space="0" w:color="auto"/>
        <w:right w:val="none" w:sz="0" w:space="0" w:color="auto"/>
      </w:divBdr>
    </w:div>
    <w:div w:id="1234268875">
      <w:bodyDiv w:val="1"/>
      <w:marLeft w:val="0"/>
      <w:marRight w:val="0"/>
      <w:marTop w:val="0"/>
      <w:marBottom w:val="0"/>
      <w:divBdr>
        <w:top w:val="none" w:sz="0" w:space="0" w:color="auto"/>
        <w:left w:val="none" w:sz="0" w:space="0" w:color="auto"/>
        <w:bottom w:val="none" w:sz="0" w:space="0" w:color="auto"/>
        <w:right w:val="none" w:sz="0" w:space="0" w:color="auto"/>
      </w:divBdr>
    </w:div>
    <w:div w:id="1234319214">
      <w:bodyDiv w:val="1"/>
      <w:marLeft w:val="0"/>
      <w:marRight w:val="0"/>
      <w:marTop w:val="0"/>
      <w:marBottom w:val="0"/>
      <w:divBdr>
        <w:top w:val="none" w:sz="0" w:space="0" w:color="auto"/>
        <w:left w:val="none" w:sz="0" w:space="0" w:color="auto"/>
        <w:bottom w:val="none" w:sz="0" w:space="0" w:color="auto"/>
        <w:right w:val="none" w:sz="0" w:space="0" w:color="auto"/>
      </w:divBdr>
    </w:div>
    <w:div w:id="1234437231">
      <w:bodyDiv w:val="1"/>
      <w:marLeft w:val="0"/>
      <w:marRight w:val="0"/>
      <w:marTop w:val="0"/>
      <w:marBottom w:val="0"/>
      <w:divBdr>
        <w:top w:val="none" w:sz="0" w:space="0" w:color="auto"/>
        <w:left w:val="none" w:sz="0" w:space="0" w:color="auto"/>
        <w:bottom w:val="none" w:sz="0" w:space="0" w:color="auto"/>
        <w:right w:val="none" w:sz="0" w:space="0" w:color="auto"/>
      </w:divBdr>
    </w:div>
    <w:div w:id="1234704346">
      <w:bodyDiv w:val="1"/>
      <w:marLeft w:val="0"/>
      <w:marRight w:val="0"/>
      <w:marTop w:val="0"/>
      <w:marBottom w:val="0"/>
      <w:divBdr>
        <w:top w:val="none" w:sz="0" w:space="0" w:color="auto"/>
        <w:left w:val="none" w:sz="0" w:space="0" w:color="auto"/>
        <w:bottom w:val="none" w:sz="0" w:space="0" w:color="auto"/>
        <w:right w:val="none" w:sz="0" w:space="0" w:color="auto"/>
      </w:divBdr>
    </w:div>
    <w:div w:id="1234705633">
      <w:bodyDiv w:val="1"/>
      <w:marLeft w:val="0"/>
      <w:marRight w:val="0"/>
      <w:marTop w:val="0"/>
      <w:marBottom w:val="0"/>
      <w:divBdr>
        <w:top w:val="none" w:sz="0" w:space="0" w:color="auto"/>
        <w:left w:val="none" w:sz="0" w:space="0" w:color="auto"/>
        <w:bottom w:val="none" w:sz="0" w:space="0" w:color="auto"/>
        <w:right w:val="none" w:sz="0" w:space="0" w:color="auto"/>
      </w:divBdr>
    </w:div>
    <w:div w:id="1234968254">
      <w:bodyDiv w:val="1"/>
      <w:marLeft w:val="0"/>
      <w:marRight w:val="0"/>
      <w:marTop w:val="0"/>
      <w:marBottom w:val="0"/>
      <w:divBdr>
        <w:top w:val="none" w:sz="0" w:space="0" w:color="auto"/>
        <w:left w:val="none" w:sz="0" w:space="0" w:color="auto"/>
        <w:bottom w:val="none" w:sz="0" w:space="0" w:color="auto"/>
        <w:right w:val="none" w:sz="0" w:space="0" w:color="auto"/>
      </w:divBdr>
    </w:div>
    <w:div w:id="1234975054">
      <w:bodyDiv w:val="1"/>
      <w:marLeft w:val="0"/>
      <w:marRight w:val="0"/>
      <w:marTop w:val="0"/>
      <w:marBottom w:val="0"/>
      <w:divBdr>
        <w:top w:val="none" w:sz="0" w:space="0" w:color="auto"/>
        <w:left w:val="none" w:sz="0" w:space="0" w:color="auto"/>
        <w:bottom w:val="none" w:sz="0" w:space="0" w:color="auto"/>
        <w:right w:val="none" w:sz="0" w:space="0" w:color="auto"/>
      </w:divBdr>
    </w:div>
    <w:div w:id="1235042753">
      <w:bodyDiv w:val="1"/>
      <w:marLeft w:val="0"/>
      <w:marRight w:val="0"/>
      <w:marTop w:val="0"/>
      <w:marBottom w:val="0"/>
      <w:divBdr>
        <w:top w:val="none" w:sz="0" w:space="0" w:color="auto"/>
        <w:left w:val="none" w:sz="0" w:space="0" w:color="auto"/>
        <w:bottom w:val="none" w:sz="0" w:space="0" w:color="auto"/>
        <w:right w:val="none" w:sz="0" w:space="0" w:color="auto"/>
      </w:divBdr>
    </w:div>
    <w:div w:id="1235160669">
      <w:bodyDiv w:val="1"/>
      <w:marLeft w:val="0"/>
      <w:marRight w:val="0"/>
      <w:marTop w:val="0"/>
      <w:marBottom w:val="0"/>
      <w:divBdr>
        <w:top w:val="none" w:sz="0" w:space="0" w:color="auto"/>
        <w:left w:val="none" w:sz="0" w:space="0" w:color="auto"/>
        <w:bottom w:val="none" w:sz="0" w:space="0" w:color="auto"/>
        <w:right w:val="none" w:sz="0" w:space="0" w:color="auto"/>
      </w:divBdr>
    </w:div>
    <w:div w:id="1235311337">
      <w:bodyDiv w:val="1"/>
      <w:marLeft w:val="0"/>
      <w:marRight w:val="0"/>
      <w:marTop w:val="0"/>
      <w:marBottom w:val="0"/>
      <w:divBdr>
        <w:top w:val="none" w:sz="0" w:space="0" w:color="auto"/>
        <w:left w:val="none" w:sz="0" w:space="0" w:color="auto"/>
        <w:bottom w:val="none" w:sz="0" w:space="0" w:color="auto"/>
        <w:right w:val="none" w:sz="0" w:space="0" w:color="auto"/>
      </w:divBdr>
    </w:div>
    <w:div w:id="1235313844">
      <w:bodyDiv w:val="1"/>
      <w:marLeft w:val="0"/>
      <w:marRight w:val="0"/>
      <w:marTop w:val="0"/>
      <w:marBottom w:val="0"/>
      <w:divBdr>
        <w:top w:val="none" w:sz="0" w:space="0" w:color="auto"/>
        <w:left w:val="none" w:sz="0" w:space="0" w:color="auto"/>
        <w:bottom w:val="none" w:sz="0" w:space="0" w:color="auto"/>
        <w:right w:val="none" w:sz="0" w:space="0" w:color="auto"/>
      </w:divBdr>
    </w:div>
    <w:div w:id="1235429897">
      <w:bodyDiv w:val="1"/>
      <w:marLeft w:val="0"/>
      <w:marRight w:val="0"/>
      <w:marTop w:val="0"/>
      <w:marBottom w:val="0"/>
      <w:divBdr>
        <w:top w:val="none" w:sz="0" w:space="0" w:color="auto"/>
        <w:left w:val="none" w:sz="0" w:space="0" w:color="auto"/>
        <w:bottom w:val="none" w:sz="0" w:space="0" w:color="auto"/>
        <w:right w:val="none" w:sz="0" w:space="0" w:color="auto"/>
      </w:divBdr>
    </w:div>
    <w:div w:id="1235434166">
      <w:bodyDiv w:val="1"/>
      <w:marLeft w:val="0"/>
      <w:marRight w:val="0"/>
      <w:marTop w:val="0"/>
      <w:marBottom w:val="0"/>
      <w:divBdr>
        <w:top w:val="none" w:sz="0" w:space="0" w:color="auto"/>
        <w:left w:val="none" w:sz="0" w:space="0" w:color="auto"/>
        <w:bottom w:val="none" w:sz="0" w:space="0" w:color="auto"/>
        <w:right w:val="none" w:sz="0" w:space="0" w:color="auto"/>
      </w:divBdr>
    </w:div>
    <w:div w:id="1235512171">
      <w:bodyDiv w:val="1"/>
      <w:marLeft w:val="0"/>
      <w:marRight w:val="0"/>
      <w:marTop w:val="0"/>
      <w:marBottom w:val="0"/>
      <w:divBdr>
        <w:top w:val="none" w:sz="0" w:space="0" w:color="auto"/>
        <w:left w:val="none" w:sz="0" w:space="0" w:color="auto"/>
        <w:bottom w:val="none" w:sz="0" w:space="0" w:color="auto"/>
        <w:right w:val="none" w:sz="0" w:space="0" w:color="auto"/>
      </w:divBdr>
    </w:div>
    <w:div w:id="1235630255">
      <w:bodyDiv w:val="1"/>
      <w:marLeft w:val="0"/>
      <w:marRight w:val="0"/>
      <w:marTop w:val="0"/>
      <w:marBottom w:val="0"/>
      <w:divBdr>
        <w:top w:val="none" w:sz="0" w:space="0" w:color="auto"/>
        <w:left w:val="none" w:sz="0" w:space="0" w:color="auto"/>
        <w:bottom w:val="none" w:sz="0" w:space="0" w:color="auto"/>
        <w:right w:val="none" w:sz="0" w:space="0" w:color="auto"/>
      </w:divBdr>
    </w:div>
    <w:div w:id="1235699422">
      <w:bodyDiv w:val="1"/>
      <w:marLeft w:val="0"/>
      <w:marRight w:val="0"/>
      <w:marTop w:val="0"/>
      <w:marBottom w:val="0"/>
      <w:divBdr>
        <w:top w:val="none" w:sz="0" w:space="0" w:color="auto"/>
        <w:left w:val="none" w:sz="0" w:space="0" w:color="auto"/>
        <w:bottom w:val="none" w:sz="0" w:space="0" w:color="auto"/>
        <w:right w:val="none" w:sz="0" w:space="0" w:color="auto"/>
      </w:divBdr>
    </w:div>
    <w:div w:id="1235778097">
      <w:bodyDiv w:val="1"/>
      <w:marLeft w:val="0"/>
      <w:marRight w:val="0"/>
      <w:marTop w:val="0"/>
      <w:marBottom w:val="0"/>
      <w:divBdr>
        <w:top w:val="none" w:sz="0" w:space="0" w:color="auto"/>
        <w:left w:val="none" w:sz="0" w:space="0" w:color="auto"/>
        <w:bottom w:val="none" w:sz="0" w:space="0" w:color="auto"/>
        <w:right w:val="none" w:sz="0" w:space="0" w:color="auto"/>
      </w:divBdr>
    </w:div>
    <w:div w:id="1235969411">
      <w:bodyDiv w:val="1"/>
      <w:marLeft w:val="0"/>
      <w:marRight w:val="0"/>
      <w:marTop w:val="0"/>
      <w:marBottom w:val="0"/>
      <w:divBdr>
        <w:top w:val="none" w:sz="0" w:space="0" w:color="auto"/>
        <w:left w:val="none" w:sz="0" w:space="0" w:color="auto"/>
        <w:bottom w:val="none" w:sz="0" w:space="0" w:color="auto"/>
        <w:right w:val="none" w:sz="0" w:space="0" w:color="auto"/>
      </w:divBdr>
    </w:div>
    <w:div w:id="1236012041">
      <w:bodyDiv w:val="1"/>
      <w:marLeft w:val="0"/>
      <w:marRight w:val="0"/>
      <w:marTop w:val="0"/>
      <w:marBottom w:val="0"/>
      <w:divBdr>
        <w:top w:val="none" w:sz="0" w:space="0" w:color="auto"/>
        <w:left w:val="none" w:sz="0" w:space="0" w:color="auto"/>
        <w:bottom w:val="none" w:sz="0" w:space="0" w:color="auto"/>
        <w:right w:val="none" w:sz="0" w:space="0" w:color="auto"/>
      </w:divBdr>
    </w:div>
    <w:div w:id="1236089962">
      <w:bodyDiv w:val="1"/>
      <w:marLeft w:val="0"/>
      <w:marRight w:val="0"/>
      <w:marTop w:val="0"/>
      <w:marBottom w:val="0"/>
      <w:divBdr>
        <w:top w:val="none" w:sz="0" w:space="0" w:color="auto"/>
        <w:left w:val="none" w:sz="0" w:space="0" w:color="auto"/>
        <w:bottom w:val="none" w:sz="0" w:space="0" w:color="auto"/>
        <w:right w:val="none" w:sz="0" w:space="0" w:color="auto"/>
      </w:divBdr>
    </w:div>
    <w:div w:id="1236165363">
      <w:bodyDiv w:val="1"/>
      <w:marLeft w:val="0"/>
      <w:marRight w:val="0"/>
      <w:marTop w:val="0"/>
      <w:marBottom w:val="0"/>
      <w:divBdr>
        <w:top w:val="none" w:sz="0" w:space="0" w:color="auto"/>
        <w:left w:val="none" w:sz="0" w:space="0" w:color="auto"/>
        <w:bottom w:val="none" w:sz="0" w:space="0" w:color="auto"/>
        <w:right w:val="none" w:sz="0" w:space="0" w:color="auto"/>
      </w:divBdr>
    </w:div>
    <w:div w:id="1236166968">
      <w:bodyDiv w:val="1"/>
      <w:marLeft w:val="0"/>
      <w:marRight w:val="0"/>
      <w:marTop w:val="0"/>
      <w:marBottom w:val="0"/>
      <w:divBdr>
        <w:top w:val="none" w:sz="0" w:space="0" w:color="auto"/>
        <w:left w:val="none" w:sz="0" w:space="0" w:color="auto"/>
        <w:bottom w:val="none" w:sz="0" w:space="0" w:color="auto"/>
        <w:right w:val="none" w:sz="0" w:space="0" w:color="auto"/>
      </w:divBdr>
    </w:div>
    <w:div w:id="1236205729">
      <w:bodyDiv w:val="1"/>
      <w:marLeft w:val="0"/>
      <w:marRight w:val="0"/>
      <w:marTop w:val="0"/>
      <w:marBottom w:val="0"/>
      <w:divBdr>
        <w:top w:val="none" w:sz="0" w:space="0" w:color="auto"/>
        <w:left w:val="none" w:sz="0" w:space="0" w:color="auto"/>
        <w:bottom w:val="none" w:sz="0" w:space="0" w:color="auto"/>
        <w:right w:val="none" w:sz="0" w:space="0" w:color="auto"/>
      </w:divBdr>
    </w:div>
    <w:div w:id="1236281102">
      <w:bodyDiv w:val="1"/>
      <w:marLeft w:val="0"/>
      <w:marRight w:val="0"/>
      <w:marTop w:val="0"/>
      <w:marBottom w:val="0"/>
      <w:divBdr>
        <w:top w:val="none" w:sz="0" w:space="0" w:color="auto"/>
        <w:left w:val="none" w:sz="0" w:space="0" w:color="auto"/>
        <w:bottom w:val="none" w:sz="0" w:space="0" w:color="auto"/>
        <w:right w:val="none" w:sz="0" w:space="0" w:color="auto"/>
      </w:divBdr>
    </w:div>
    <w:div w:id="1236352644">
      <w:bodyDiv w:val="1"/>
      <w:marLeft w:val="0"/>
      <w:marRight w:val="0"/>
      <w:marTop w:val="0"/>
      <w:marBottom w:val="0"/>
      <w:divBdr>
        <w:top w:val="none" w:sz="0" w:space="0" w:color="auto"/>
        <w:left w:val="none" w:sz="0" w:space="0" w:color="auto"/>
        <w:bottom w:val="none" w:sz="0" w:space="0" w:color="auto"/>
        <w:right w:val="none" w:sz="0" w:space="0" w:color="auto"/>
      </w:divBdr>
    </w:div>
    <w:div w:id="1236430978">
      <w:bodyDiv w:val="1"/>
      <w:marLeft w:val="0"/>
      <w:marRight w:val="0"/>
      <w:marTop w:val="0"/>
      <w:marBottom w:val="0"/>
      <w:divBdr>
        <w:top w:val="none" w:sz="0" w:space="0" w:color="auto"/>
        <w:left w:val="none" w:sz="0" w:space="0" w:color="auto"/>
        <w:bottom w:val="none" w:sz="0" w:space="0" w:color="auto"/>
        <w:right w:val="none" w:sz="0" w:space="0" w:color="auto"/>
      </w:divBdr>
    </w:div>
    <w:div w:id="1236472297">
      <w:bodyDiv w:val="1"/>
      <w:marLeft w:val="0"/>
      <w:marRight w:val="0"/>
      <w:marTop w:val="0"/>
      <w:marBottom w:val="0"/>
      <w:divBdr>
        <w:top w:val="none" w:sz="0" w:space="0" w:color="auto"/>
        <w:left w:val="none" w:sz="0" w:space="0" w:color="auto"/>
        <w:bottom w:val="none" w:sz="0" w:space="0" w:color="auto"/>
        <w:right w:val="none" w:sz="0" w:space="0" w:color="auto"/>
      </w:divBdr>
    </w:div>
    <w:div w:id="1236479738">
      <w:bodyDiv w:val="1"/>
      <w:marLeft w:val="0"/>
      <w:marRight w:val="0"/>
      <w:marTop w:val="0"/>
      <w:marBottom w:val="0"/>
      <w:divBdr>
        <w:top w:val="none" w:sz="0" w:space="0" w:color="auto"/>
        <w:left w:val="none" w:sz="0" w:space="0" w:color="auto"/>
        <w:bottom w:val="none" w:sz="0" w:space="0" w:color="auto"/>
        <w:right w:val="none" w:sz="0" w:space="0" w:color="auto"/>
      </w:divBdr>
    </w:div>
    <w:div w:id="1236861072">
      <w:bodyDiv w:val="1"/>
      <w:marLeft w:val="0"/>
      <w:marRight w:val="0"/>
      <w:marTop w:val="0"/>
      <w:marBottom w:val="0"/>
      <w:divBdr>
        <w:top w:val="none" w:sz="0" w:space="0" w:color="auto"/>
        <w:left w:val="none" w:sz="0" w:space="0" w:color="auto"/>
        <w:bottom w:val="none" w:sz="0" w:space="0" w:color="auto"/>
        <w:right w:val="none" w:sz="0" w:space="0" w:color="auto"/>
      </w:divBdr>
    </w:div>
    <w:div w:id="1236933326">
      <w:bodyDiv w:val="1"/>
      <w:marLeft w:val="0"/>
      <w:marRight w:val="0"/>
      <w:marTop w:val="0"/>
      <w:marBottom w:val="0"/>
      <w:divBdr>
        <w:top w:val="none" w:sz="0" w:space="0" w:color="auto"/>
        <w:left w:val="none" w:sz="0" w:space="0" w:color="auto"/>
        <w:bottom w:val="none" w:sz="0" w:space="0" w:color="auto"/>
        <w:right w:val="none" w:sz="0" w:space="0" w:color="auto"/>
      </w:divBdr>
    </w:div>
    <w:div w:id="1237008901">
      <w:bodyDiv w:val="1"/>
      <w:marLeft w:val="0"/>
      <w:marRight w:val="0"/>
      <w:marTop w:val="0"/>
      <w:marBottom w:val="0"/>
      <w:divBdr>
        <w:top w:val="none" w:sz="0" w:space="0" w:color="auto"/>
        <w:left w:val="none" w:sz="0" w:space="0" w:color="auto"/>
        <w:bottom w:val="none" w:sz="0" w:space="0" w:color="auto"/>
        <w:right w:val="none" w:sz="0" w:space="0" w:color="auto"/>
      </w:divBdr>
    </w:div>
    <w:div w:id="1237088477">
      <w:bodyDiv w:val="1"/>
      <w:marLeft w:val="0"/>
      <w:marRight w:val="0"/>
      <w:marTop w:val="0"/>
      <w:marBottom w:val="0"/>
      <w:divBdr>
        <w:top w:val="none" w:sz="0" w:space="0" w:color="auto"/>
        <w:left w:val="none" w:sz="0" w:space="0" w:color="auto"/>
        <w:bottom w:val="none" w:sz="0" w:space="0" w:color="auto"/>
        <w:right w:val="none" w:sz="0" w:space="0" w:color="auto"/>
      </w:divBdr>
    </w:div>
    <w:div w:id="1237201303">
      <w:bodyDiv w:val="1"/>
      <w:marLeft w:val="0"/>
      <w:marRight w:val="0"/>
      <w:marTop w:val="0"/>
      <w:marBottom w:val="0"/>
      <w:divBdr>
        <w:top w:val="none" w:sz="0" w:space="0" w:color="auto"/>
        <w:left w:val="none" w:sz="0" w:space="0" w:color="auto"/>
        <w:bottom w:val="none" w:sz="0" w:space="0" w:color="auto"/>
        <w:right w:val="none" w:sz="0" w:space="0" w:color="auto"/>
      </w:divBdr>
    </w:div>
    <w:div w:id="1237283115">
      <w:bodyDiv w:val="1"/>
      <w:marLeft w:val="0"/>
      <w:marRight w:val="0"/>
      <w:marTop w:val="0"/>
      <w:marBottom w:val="0"/>
      <w:divBdr>
        <w:top w:val="none" w:sz="0" w:space="0" w:color="auto"/>
        <w:left w:val="none" w:sz="0" w:space="0" w:color="auto"/>
        <w:bottom w:val="none" w:sz="0" w:space="0" w:color="auto"/>
        <w:right w:val="none" w:sz="0" w:space="0" w:color="auto"/>
      </w:divBdr>
    </w:div>
    <w:div w:id="1237669729">
      <w:bodyDiv w:val="1"/>
      <w:marLeft w:val="0"/>
      <w:marRight w:val="0"/>
      <w:marTop w:val="0"/>
      <w:marBottom w:val="0"/>
      <w:divBdr>
        <w:top w:val="none" w:sz="0" w:space="0" w:color="auto"/>
        <w:left w:val="none" w:sz="0" w:space="0" w:color="auto"/>
        <w:bottom w:val="none" w:sz="0" w:space="0" w:color="auto"/>
        <w:right w:val="none" w:sz="0" w:space="0" w:color="auto"/>
      </w:divBdr>
    </w:div>
    <w:div w:id="1237713913">
      <w:bodyDiv w:val="1"/>
      <w:marLeft w:val="0"/>
      <w:marRight w:val="0"/>
      <w:marTop w:val="0"/>
      <w:marBottom w:val="0"/>
      <w:divBdr>
        <w:top w:val="none" w:sz="0" w:space="0" w:color="auto"/>
        <w:left w:val="none" w:sz="0" w:space="0" w:color="auto"/>
        <w:bottom w:val="none" w:sz="0" w:space="0" w:color="auto"/>
        <w:right w:val="none" w:sz="0" w:space="0" w:color="auto"/>
      </w:divBdr>
    </w:div>
    <w:div w:id="1237739360">
      <w:bodyDiv w:val="1"/>
      <w:marLeft w:val="0"/>
      <w:marRight w:val="0"/>
      <w:marTop w:val="0"/>
      <w:marBottom w:val="0"/>
      <w:divBdr>
        <w:top w:val="none" w:sz="0" w:space="0" w:color="auto"/>
        <w:left w:val="none" w:sz="0" w:space="0" w:color="auto"/>
        <w:bottom w:val="none" w:sz="0" w:space="0" w:color="auto"/>
        <w:right w:val="none" w:sz="0" w:space="0" w:color="auto"/>
      </w:divBdr>
    </w:div>
    <w:div w:id="1237981297">
      <w:bodyDiv w:val="1"/>
      <w:marLeft w:val="0"/>
      <w:marRight w:val="0"/>
      <w:marTop w:val="0"/>
      <w:marBottom w:val="0"/>
      <w:divBdr>
        <w:top w:val="none" w:sz="0" w:space="0" w:color="auto"/>
        <w:left w:val="none" w:sz="0" w:space="0" w:color="auto"/>
        <w:bottom w:val="none" w:sz="0" w:space="0" w:color="auto"/>
        <w:right w:val="none" w:sz="0" w:space="0" w:color="auto"/>
      </w:divBdr>
    </w:div>
    <w:div w:id="1237982122">
      <w:bodyDiv w:val="1"/>
      <w:marLeft w:val="0"/>
      <w:marRight w:val="0"/>
      <w:marTop w:val="0"/>
      <w:marBottom w:val="0"/>
      <w:divBdr>
        <w:top w:val="none" w:sz="0" w:space="0" w:color="auto"/>
        <w:left w:val="none" w:sz="0" w:space="0" w:color="auto"/>
        <w:bottom w:val="none" w:sz="0" w:space="0" w:color="auto"/>
        <w:right w:val="none" w:sz="0" w:space="0" w:color="auto"/>
      </w:divBdr>
    </w:div>
    <w:div w:id="1238058656">
      <w:bodyDiv w:val="1"/>
      <w:marLeft w:val="0"/>
      <w:marRight w:val="0"/>
      <w:marTop w:val="0"/>
      <w:marBottom w:val="0"/>
      <w:divBdr>
        <w:top w:val="none" w:sz="0" w:space="0" w:color="auto"/>
        <w:left w:val="none" w:sz="0" w:space="0" w:color="auto"/>
        <w:bottom w:val="none" w:sz="0" w:space="0" w:color="auto"/>
        <w:right w:val="none" w:sz="0" w:space="0" w:color="auto"/>
      </w:divBdr>
    </w:div>
    <w:div w:id="1238172710">
      <w:bodyDiv w:val="1"/>
      <w:marLeft w:val="0"/>
      <w:marRight w:val="0"/>
      <w:marTop w:val="0"/>
      <w:marBottom w:val="0"/>
      <w:divBdr>
        <w:top w:val="none" w:sz="0" w:space="0" w:color="auto"/>
        <w:left w:val="none" w:sz="0" w:space="0" w:color="auto"/>
        <w:bottom w:val="none" w:sz="0" w:space="0" w:color="auto"/>
        <w:right w:val="none" w:sz="0" w:space="0" w:color="auto"/>
      </w:divBdr>
    </w:div>
    <w:div w:id="1238202274">
      <w:bodyDiv w:val="1"/>
      <w:marLeft w:val="0"/>
      <w:marRight w:val="0"/>
      <w:marTop w:val="0"/>
      <w:marBottom w:val="0"/>
      <w:divBdr>
        <w:top w:val="none" w:sz="0" w:space="0" w:color="auto"/>
        <w:left w:val="none" w:sz="0" w:space="0" w:color="auto"/>
        <w:bottom w:val="none" w:sz="0" w:space="0" w:color="auto"/>
        <w:right w:val="none" w:sz="0" w:space="0" w:color="auto"/>
      </w:divBdr>
    </w:div>
    <w:div w:id="1238203884">
      <w:bodyDiv w:val="1"/>
      <w:marLeft w:val="0"/>
      <w:marRight w:val="0"/>
      <w:marTop w:val="0"/>
      <w:marBottom w:val="0"/>
      <w:divBdr>
        <w:top w:val="none" w:sz="0" w:space="0" w:color="auto"/>
        <w:left w:val="none" w:sz="0" w:space="0" w:color="auto"/>
        <w:bottom w:val="none" w:sz="0" w:space="0" w:color="auto"/>
        <w:right w:val="none" w:sz="0" w:space="0" w:color="auto"/>
      </w:divBdr>
    </w:div>
    <w:div w:id="1238321959">
      <w:bodyDiv w:val="1"/>
      <w:marLeft w:val="0"/>
      <w:marRight w:val="0"/>
      <w:marTop w:val="0"/>
      <w:marBottom w:val="0"/>
      <w:divBdr>
        <w:top w:val="none" w:sz="0" w:space="0" w:color="auto"/>
        <w:left w:val="none" w:sz="0" w:space="0" w:color="auto"/>
        <w:bottom w:val="none" w:sz="0" w:space="0" w:color="auto"/>
        <w:right w:val="none" w:sz="0" w:space="0" w:color="auto"/>
      </w:divBdr>
    </w:div>
    <w:div w:id="1238442649">
      <w:bodyDiv w:val="1"/>
      <w:marLeft w:val="0"/>
      <w:marRight w:val="0"/>
      <w:marTop w:val="0"/>
      <w:marBottom w:val="0"/>
      <w:divBdr>
        <w:top w:val="none" w:sz="0" w:space="0" w:color="auto"/>
        <w:left w:val="none" w:sz="0" w:space="0" w:color="auto"/>
        <w:bottom w:val="none" w:sz="0" w:space="0" w:color="auto"/>
        <w:right w:val="none" w:sz="0" w:space="0" w:color="auto"/>
      </w:divBdr>
    </w:div>
    <w:div w:id="1238588689">
      <w:bodyDiv w:val="1"/>
      <w:marLeft w:val="0"/>
      <w:marRight w:val="0"/>
      <w:marTop w:val="0"/>
      <w:marBottom w:val="0"/>
      <w:divBdr>
        <w:top w:val="none" w:sz="0" w:space="0" w:color="auto"/>
        <w:left w:val="none" w:sz="0" w:space="0" w:color="auto"/>
        <w:bottom w:val="none" w:sz="0" w:space="0" w:color="auto"/>
        <w:right w:val="none" w:sz="0" w:space="0" w:color="auto"/>
      </w:divBdr>
    </w:div>
    <w:div w:id="1238706981">
      <w:bodyDiv w:val="1"/>
      <w:marLeft w:val="0"/>
      <w:marRight w:val="0"/>
      <w:marTop w:val="0"/>
      <w:marBottom w:val="0"/>
      <w:divBdr>
        <w:top w:val="none" w:sz="0" w:space="0" w:color="auto"/>
        <w:left w:val="none" w:sz="0" w:space="0" w:color="auto"/>
        <w:bottom w:val="none" w:sz="0" w:space="0" w:color="auto"/>
        <w:right w:val="none" w:sz="0" w:space="0" w:color="auto"/>
      </w:divBdr>
    </w:div>
    <w:div w:id="1238709247">
      <w:bodyDiv w:val="1"/>
      <w:marLeft w:val="0"/>
      <w:marRight w:val="0"/>
      <w:marTop w:val="0"/>
      <w:marBottom w:val="0"/>
      <w:divBdr>
        <w:top w:val="none" w:sz="0" w:space="0" w:color="auto"/>
        <w:left w:val="none" w:sz="0" w:space="0" w:color="auto"/>
        <w:bottom w:val="none" w:sz="0" w:space="0" w:color="auto"/>
        <w:right w:val="none" w:sz="0" w:space="0" w:color="auto"/>
      </w:divBdr>
    </w:div>
    <w:div w:id="1238710523">
      <w:bodyDiv w:val="1"/>
      <w:marLeft w:val="0"/>
      <w:marRight w:val="0"/>
      <w:marTop w:val="0"/>
      <w:marBottom w:val="0"/>
      <w:divBdr>
        <w:top w:val="none" w:sz="0" w:space="0" w:color="auto"/>
        <w:left w:val="none" w:sz="0" w:space="0" w:color="auto"/>
        <w:bottom w:val="none" w:sz="0" w:space="0" w:color="auto"/>
        <w:right w:val="none" w:sz="0" w:space="0" w:color="auto"/>
      </w:divBdr>
    </w:div>
    <w:div w:id="1238828322">
      <w:bodyDiv w:val="1"/>
      <w:marLeft w:val="0"/>
      <w:marRight w:val="0"/>
      <w:marTop w:val="0"/>
      <w:marBottom w:val="0"/>
      <w:divBdr>
        <w:top w:val="none" w:sz="0" w:space="0" w:color="auto"/>
        <w:left w:val="none" w:sz="0" w:space="0" w:color="auto"/>
        <w:bottom w:val="none" w:sz="0" w:space="0" w:color="auto"/>
        <w:right w:val="none" w:sz="0" w:space="0" w:color="auto"/>
      </w:divBdr>
    </w:div>
    <w:div w:id="1238900837">
      <w:bodyDiv w:val="1"/>
      <w:marLeft w:val="0"/>
      <w:marRight w:val="0"/>
      <w:marTop w:val="0"/>
      <w:marBottom w:val="0"/>
      <w:divBdr>
        <w:top w:val="none" w:sz="0" w:space="0" w:color="auto"/>
        <w:left w:val="none" w:sz="0" w:space="0" w:color="auto"/>
        <w:bottom w:val="none" w:sz="0" w:space="0" w:color="auto"/>
        <w:right w:val="none" w:sz="0" w:space="0" w:color="auto"/>
      </w:divBdr>
    </w:div>
    <w:div w:id="1239098864">
      <w:bodyDiv w:val="1"/>
      <w:marLeft w:val="0"/>
      <w:marRight w:val="0"/>
      <w:marTop w:val="0"/>
      <w:marBottom w:val="0"/>
      <w:divBdr>
        <w:top w:val="none" w:sz="0" w:space="0" w:color="auto"/>
        <w:left w:val="none" w:sz="0" w:space="0" w:color="auto"/>
        <w:bottom w:val="none" w:sz="0" w:space="0" w:color="auto"/>
        <w:right w:val="none" w:sz="0" w:space="0" w:color="auto"/>
      </w:divBdr>
    </w:div>
    <w:div w:id="1239099058">
      <w:bodyDiv w:val="1"/>
      <w:marLeft w:val="0"/>
      <w:marRight w:val="0"/>
      <w:marTop w:val="0"/>
      <w:marBottom w:val="0"/>
      <w:divBdr>
        <w:top w:val="none" w:sz="0" w:space="0" w:color="auto"/>
        <w:left w:val="none" w:sz="0" w:space="0" w:color="auto"/>
        <w:bottom w:val="none" w:sz="0" w:space="0" w:color="auto"/>
        <w:right w:val="none" w:sz="0" w:space="0" w:color="auto"/>
      </w:divBdr>
    </w:div>
    <w:div w:id="1239168943">
      <w:bodyDiv w:val="1"/>
      <w:marLeft w:val="0"/>
      <w:marRight w:val="0"/>
      <w:marTop w:val="0"/>
      <w:marBottom w:val="0"/>
      <w:divBdr>
        <w:top w:val="none" w:sz="0" w:space="0" w:color="auto"/>
        <w:left w:val="none" w:sz="0" w:space="0" w:color="auto"/>
        <w:bottom w:val="none" w:sz="0" w:space="0" w:color="auto"/>
        <w:right w:val="none" w:sz="0" w:space="0" w:color="auto"/>
      </w:divBdr>
    </w:div>
    <w:div w:id="1239173295">
      <w:bodyDiv w:val="1"/>
      <w:marLeft w:val="0"/>
      <w:marRight w:val="0"/>
      <w:marTop w:val="0"/>
      <w:marBottom w:val="0"/>
      <w:divBdr>
        <w:top w:val="none" w:sz="0" w:space="0" w:color="auto"/>
        <w:left w:val="none" w:sz="0" w:space="0" w:color="auto"/>
        <w:bottom w:val="none" w:sz="0" w:space="0" w:color="auto"/>
        <w:right w:val="none" w:sz="0" w:space="0" w:color="auto"/>
      </w:divBdr>
    </w:div>
    <w:div w:id="1239365203">
      <w:bodyDiv w:val="1"/>
      <w:marLeft w:val="0"/>
      <w:marRight w:val="0"/>
      <w:marTop w:val="0"/>
      <w:marBottom w:val="0"/>
      <w:divBdr>
        <w:top w:val="none" w:sz="0" w:space="0" w:color="auto"/>
        <w:left w:val="none" w:sz="0" w:space="0" w:color="auto"/>
        <w:bottom w:val="none" w:sz="0" w:space="0" w:color="auto"/>
        <w:right w:val="none" w:sz="0" w:space="0" w:color="auto"/>
      </w:divBdr>
    </w:div>
    <w:div w:id="1239441507">
      <w:bodyDiv w:val="1"/>
      <w:marLeft w:val="0"/>
      <w:marRight w:val="0"/>
      <w:marTop w:val="0"/>
      <w:marBottom w:val="0"/>
      <w:divBdr>
        <w:top w:val="none" w:sz="0" w:space="0" w:color="auto"/>
        <w:left w:val="none" w:sz="0" w:space="0" w:color="auto"/>
        <w:bottom w:val="none" w:sz="0" w:space="0" w:color="auto"/>
        <w:right w:val="none" w:sz="0" w:space="0" w:color="auto"/>
      </w:divBdr>
    </w:div>
    <w:div w:id="1239511948">
      <w:bodyDiv w:val="1"/>
      <w:marLeft w:val="0"/>
      <w:marRight w:val="0"/>
      <w:marTop w:val="0"/>
      <w:marBottom w:val="0"/>
      <w:divBdr>
        <w:top w:val="none" w:sz="0" w:space="0" w:color="auto"/>
        <w:left w:val="none" w:sz="0" w:space="0" w:color="auto"/>
        <w:bottom w:val="none" w:sz="0" w:space="0" w:color="auto"/>
        <w:right w:val="none" w:sz="0" w:space="0" w:color="auto"/>
      </w:divBdr>
    </w:div>
    <w:div w:id="1239512606">
      <w:bodyDiv w:val="1"/>
      <w:marLeft w:val="0"/>
      <w:marRight w:val="0"/>
      <w:marTop w:val="0"/>
      <w:marBottom w:val="0"/>
      <w:divBdr>
        <w:top w:val="none" w:sz="0" w:space="0" w:color="auto"/>
        <w:left w:val="none" w:sz="0" w:space="0" w:color="auto"/>
        <w:bottom w:val="none" w:sz="0" w:space="0" w:color="auto"/>
        <w:right w:val="none" w:sz="0" w:space="0" w:color="auto"/>
      </w:divBdr>
    </w:div>
    <w:div w:id="1239555634">
      <w:bodyDiv w:val="1"/>
      <w:marLeft w:val="0"/>
      <w:marRight w:val="0"/>
      <w:marTop w:val="0"/>
      <w:marBottom w:val="0"/>
      <w:divBdr>
        <w:top w:val="none" w:sz="0" w:space="0" w:color="auto"/>
        <w:left w:val="none" w:sz="0" w:space="0" w:color="auto"/>
        <w:bottom w:val="none" w:sz="0" w:space="0" w:color="auto"/>
        <w:right w:val="none" w:sz="0" w:space="0" w:color="auto"/>
      </w:divBdr>
    </w:div>
    <w:div w:id="1239637325">
      <w:bodyDiv w:val="1"/>
      <w:marLeft w:val="0"/>
      <w:marRight w:val="0"/>
      <w:marTop w:val="0"/>
      <w:marBottom w:val="0"/>
      <w:divBdr>
        <w:top w:val="none" w:sz="0" w:space="0" w:color="auto"/>
        <w:left w:val="none" w:sz="0" w:space="0" w:color="auto"/>
        <w:bottom w:val="none" w:sz="0" w:space="0" w:color="auto"/>
        <w:right w:val="none" w:sz="0" w:space="0" w:color="auto"/>
      </w:divBdr>
    </w:div>
    <w:div w:id="1239637554">
      <w:bodyDiv w:val="1"/>
      <w:marLeft w:val="0"/>
      <w:marRight w:val="0"/>
      <w:marTop w:val="0"/>
      <w:marBottom w:val="0"/>
      <w:divBdr>
        <w:top w:val="none" w:sz="0" w:space="0" w:color="auto"/>
        <w:left w:val="none" w:sz="0" w:space="0" w:color="auto"/>
        <w:bottom w:val="none" w:sz="0" w:space="0" w:color="auto"/>
        <w:right w:val="none" w:sz="0" w:space="0" w:color="auto"/>
      </w:divBdr>
    </w:div>
    <w:div w:id="1239831145">
      <w:bodyDiv w:val="1"/>
      <w:marLeft w:val="0"/>
      <w:marRight w:val="0"/>
      <w:marTop w:val="0"/>
      <w:marBottom w:val="0"/>
      <w:divBdr>
        <w:top w:val="none" w:sz="0" w:space="0" w:color="auto"/>
        <w:left w:val="none" w:sz="0" w:space="0" w:color="auto"/>
        <w:bottom w:val="none" w:sz="0" w:space="0" w:color="auto"/>
        <w:right w:val="none" w:sz="0" w:space="0" w:color="auto"/>
      </w:divBdr>
    </w:div>
    <w:div w:id="1240020975">
      <w:bodyDiv w:val="1"/>
      <w:marLeft w:val="0"/>
      <w:marRight w:val="0"/>
      <w:marTop w:val="0"/>
      <w:marBottom w:val="0"/>
      <w:divBdr>
        <w:top w:val="none" w:sz="0" w:space="0" w:color="auto"/>
        <w:left w:val="none" w:sz="0" w:space="0" w:color="auto"/>
        <w:bottom w:val="none" w:sz="0" w:space="0" w:color="auto"/>
        <w:right w:val="none" w:sz="0" w:space="0" w:color="auto"/>
      </w:divBdr>
    </w:div>
    <w:div w:id="1240021816">
      <w:bodyDiv w:val="1"/>
      <w:marLeft w:val="0"/>
      <w:marRight w:val="0"/>
      <w:marTop w:val="0"/>
      <w:marBottom w:val="0"/>
      <w:divBdr>
        <w:top w:val="none" w:sz="0" w:space="0" w:color="auto"/>
        <w:left w:val="none" w:sz="0" w:space="0" w:color="auto"/>
        <w:bottom w:val="none" w:sz="0" w:space="0" w:color="auto"/>
        <w:right w:val="none" w:sz="0" w:space="0" w:color="auto"/>
      </w:divBdr>
    </w:div>
    <w:div w:id="1240099136">
      <w:bodyDiv w:val="1"/>
      <w:marLeft w:val="0"/>
      <w:marRight w:val="0"/>
      <w:marTop w:val="0"/>
      <w:marBottom w:val="0"/>
      <w:divBdr>
        <w:top w:val="none" w:sz="0" w:space="0" w:color="auto"/>
        <w:left w:val="none" w:sz="0" w:space="0" w:color="auto"/>
        <w:bottom w:val="none" w:sz="0" w:space="0" w:color="auto"/>
        <w:right w:val="none" w:sz="0" w:space="0" w:color="auto"/>
      </w:divBdr>
    </w:div>
    <w:div w:id="1240142440">
      <w:bodyDiv w:val="1"/>
      <w:marLeft w:val="0"/>
      <w:marRight w:val="0"/>
      <w:marTop w:val="0"/>
      <w:marBottom w:val="0"/>
      <w:divBdr>
        <w:top w:val="none" w:sz="0" w:space="0" w:color="auto"/>
        <w:left w:val="none" w:sz="0" w:space="0" w:color="auto"/>
        <w:bottom w:val="none" w:sz="0" w:space="0" w:color="auto"/>
        <w:right w:val="none" w:sz="0" w:space="0" w:color="auto"/>
      </w:divBdr>
    </w:div>
    <w:div w:id="1240210975">
      <w:bodyDiv w:val="1"/>
      <w:marLeft w:val="0"/>
      <w:marRight w:val="0"/>
      <w:marTop w:val="0"/>
      <w:marBottom w:val="0"/>
      <w:divBdr>
        <w:top w:val="none" w:sz="0" w:space="0" w:color="auto"/>
        <w:left w:val="none" w:sz="0" w:space="0" w:color="auto"/>
        <w:bottom w:val="none" w:sz="0" w:space="0" w:color="auto"/>
        <w:right w:val="none" w:sz="0" w:space="0" w:color="auto"/>
      </w:divBdr>
    </w:div>
    <w:div w:id="1240402616">
      <w:bodyDiv w:val="1"/>
      <w:marLeft w:val="0"/>
      <w:marRight w:val="0"/>
      <w:marTop w:val="0"/>
      <w:marBottom w:val="0"/>
      <w:divBdr>
        <w:top w:val="none" w:sz="0" w:space="0" w:color="auto"/>
        <w:left w:val="none" w:sz="0" w:space="0" w:color="auto"/>
        <w:bottom w:val="none" w:sz="0" w:space="0" w:color="auto"/>
        <w:right w:val="none" w:sz="0" w:space="0" w:color="auto"/>
      </w:divBdr>
    </w:div>
    <w:div w:id="1240554748">
      <w:bodyDiv w:val="1"/>
      <w:marLeft w:val="0"/>
      <w:marRight w:val="0"/>
      <w:marTop w:val="0"/>
      <w:marBottom w:val="0"/>
      <w:divBdr>
        <w:top w:val="none" w:sz="0" w:space="0" w:color="auto"/>
        <w:left w:val="none" w:sz="0" w:space="0" w:color="auto"/>
        <w:bottom w:val="none" w:sz="0" w:space="0" w:color="auto"/>
        <w:right w:val="none" w:sz="0" w:space="0" w:color="auto"/>
      </w:divBdr>
    </w:div>
    <w:div w:id="1240673977">
      <w:bodyDiv w:val="1"/>
      <w:marLeft w:val="0"/>
      <w:marRight w:val="0"/>
      <w:marTop w:val="0"/>
      <w:marBottom w:val="0"/>
      <w:divBdr>
        <w:top w:val="none" w:sz="0" w:space="0" w:color="auto"/>
        <w:left w:val="none" w:sz="0" w:space="0" w:color="auto"/>
        <w:bottom w:val="none" w:sz="0" w:space="0" w:color="auto"/>
        <w:right w:val="none" w:sz="0" w:space="0" w:color="auto"/>
      </w:divBdr>
    </w:div>
    <w:div w:id="1240794286">
      <w:bodyDiv w:val="1"/>
      <w:marLeft w:val="0"/>
      <w:marRight w:val="0"/>
      <w:marTop w:val="0"/>
      <w:marBottom w:val="0"/>
      <w:divBdr>
        <w:top w:val="none" w:sz="0" w:space="0" w:color="auto"/>
        <w:left w:val="none" w:sz="0" w:space="0" w:color="auto"/>
        <w:bottom w:val="none" w:sz="0" w:space="0" w:color="auto"/>
        <w:right w:val="none" w:sz="0" w:space="0" w:color="auto"/>
      </w:divBdr>
    </w:div>
    <w:div w:id="1240944298">
      <w:bodyDiv w:val="1"/>
      <w:marLeft w:val="0"/>
      <w:marRight w:val="0"/>
      <w:marTop w:val="0"/>
      <w:marBottom w:val="0"/>
      <w:divBdr>
        <w:top w:val="none" w:sz="0" w:space="0" w:color="auto"/>
        <w:left w:val="none" w:sz="0" w:space="0" w:color="auto"/>
        <w:bottom w:val="none" w:sz="0" w:space="0" w:color="auto"/>
        <w:right w:val="none" w:sz="0" w:space="0" w:color="auto"/>
      </w:divBdr>
    </w:div>
    <w:div w:id="1240947077">
      <w:bodyDiv w:val="1"/>
      <w:marLeft w:val="0"/>
      <w:marRight w:val="0"/>
      <w:marTop w:val="0"/>
      <w:marBottom w:val="0"/>
      <w:divBdr>
        <w:top w:val="none" w:sz="0" w:space="0" w:color="auto"/>
        <w:left w:val="none" w:sz="0" w:space="0" w:color="auto"/>
        <w:bottom w:val="none" w:sz="0" w:space="0" w:color="auto"/>
        <w:right w:val="none" w:sz="0" w:space="0" w:color="auto"/>
      </w:divBdr>
    </w:div>
    <w:div w:id="1241020255">
      <w:bodyDiv w:val="1"/>
      <w:marLeft w:val="0"/>
      <w:marRight w:val="0"/>
      <w:marTop w:val="0"/>
      <w:marBottom w:val="0"/>
      <w:divBdr>
        <w:top w:val="none" w:sz="0" w:space="0" w:color="auto"/>
        <w:left w:val="none" w:sz="0" w:space="0" w:color="auto"/>
        <w:bottom w:val="none" w:sz="0" w:space="0" w:color="auto"/>
        <w:right w:val="none" w:sz="0" w:space="0" w:color="auto"/>
      </w:divBdr>
    </w:div>
    <w:div w:id="1241020581">
      <w:bodyDiv w:val="1"/>
      <w:marLeft w:val="0"/>
      <w:marRight w:val="0"/>
      <w:marTop w:val="0"/>
      <w:marBottom w:val="0"/>
      <w:divBdr>
        <w:top w:val="none" w:sz="0" w:space="0" w:color="auto"/>
        <w:left w:val="none" w:sz="0" w:space="0" w:color="auto"/>
        <w:bottom w:val="none" w:sz="0" w:space="0" w:color="auto"/>
        <w:right w:val="none" w:sz="0" w:space="0" w:color="auto"/>
      </w:divBdr>
    </w:div>
    <w:div w:id="1241216742">
      <w:bodyDiv w:val="1"/>
      <w:marLeft w:val="0"/>
      <w:marRight w:val="0"/>
      <w:marTop w:val="0"/>
      <w:marBottom w:val="0"/>
      <w:divBdr>
        <w:top w:val="none" w:sz="0" w:space="0" w:color="auto"/>
        <w:left w:val="none" w:sz="0" w:space="0" w:color="auto"/>
        <w:bottom w:val="none" w:sz="0" w:space="0" w:color="auto"/>
        <w:right w:val="none" w:sz="0" w:space="0" w:color="auto"/>
      </w:divBdr>
    </w:div>
    <w:div w:id="1241256361">
      <w:bodyDiv w:val="1"/>
      <w:marLeft w:val="0"/>
      <w:marRight w:val="0"/>
      <w:marTop w:val="0"/>
      <w:marBottom w:val="0"/>
      <w:divBdr>
        <w:top w:val="none" w:sz="0" w:space="0" w:color="auto"/>
        <w:left w:val="none" w:sz="0" w:space="0" w:color="auto"/>
        <w:bottom w:val="none" w:sz="0" w:space="0" w:color="auto"/>
        <w:right w:val="none" w:sz="0" w:space="0" w:color="auto"/>
      </w:divBdr>
    </w:div>
    <w:div w:id="1241259960">
      <w:bodyDiv w:val="1"/>
      <w:marLeft w:val="0"/>
      <w:marRight w:val="0"/>
      <w:marTop w:val="0"/>
      <w:marBottom w:val="0"/>
      <w:divBdr>
        <w:top w:val="none" w:sz="0" w:space="0" w:color="auto"/>
        <w:left w:val="none" w:sz="0" w:space="0" w:color="auto"/>
        <w:bottom w:val="none" w:sz="0" w:space="0" w:color="auto"/>
        <w:right w:val="none" w:sz="0" w:space="0" w:color="auto"/>
      </w:divBdr>
    </w:div>
    <w:div w:id="1241520230">
      <w:bodyDiv w:val="1"/>
      <w:marLeft w:val="0"/>
      <w:marRight w:val="0"/>
      <w:marTop w:val="0"/>
      <w:marBottom w:val="0"/>
      <w:divBdr>
        <w:top w:val="none" w:sz="0" w:space="0" w:color="auto"/>
        <w:left w:val="none" w:sz="0" w:space="0" w:color="auto"/>
        <w:bottom w:val="none" w:sz="0" w:space="0" w:color="auto"/>
        <w:right w:val="none" w:sz="0" w:space="0" w:color="auto"/>
      </w:divBdr>
    </w:div>
    <w:div w:id="1241527762">
      <w:bodyDiv w:val="1"/>
      <w:marLeft w:val="0"/>
      <w:marRight w:val="0"/>
      <w:marTop w:val="0"/>
      <w:marBottom w:val="0"/>
      <w:divBdr>
        <w:top w:val="none" w:sz="0" w:space="0" w:color="auto"/>
        <w:left w:val="none" w:sz="0" w:space="0" w:color="auto"/>
        <w:bottom w:val="none" w:sz="0" w:space="0" w:color="auto"/>
        <w:right w:val="none" w:sz="0" w:space="0" w:color="auto"/>
      </w:divBdr>
    </w:div>
    <w:div w:id="1241594784">
      <w:bodyDiv w:val="1"/>
      <w:marLeft w:val="0"/>
      <w:marRight w:val="0"/>
      <w:marTop w:val="0"/>
      <w:marBottom w:val="0"/>
      <w:divBdr>
        <w:top w:val="none" w:sz="0" w:space="0" w:color="auto"/>
        <w:left w:val="none" w:sz="0" w:space="0" w:color="auto"/>
        <w:bottom w:val="none" w:sz="0" w:space="0" w:color="auto"/>
        <w:right w:val="none" w:sz="0" w:space="0" w:color="auto"/>
      </w:divBdr>
    </w:div>
    <w:div w:id="1241719722">
      <w:bodyDiv w:val="1"/>
      <w:marLeft w:val="0"/>
      <w:marRight w:val="0"/>
      <w:marTop w:val="0"/>
      <w:marBottom w:val="0"/>
      <w:divBdr>
        <w:top w:val="none" w:sz="0" w:space="0" w:color="auto"/>
        <w:left w:val="none" w:sz="0" w:space="0" w:color="auto"/>
        <w:bottom w:val="none" w:sz="0" w:space="0" w:color="auto"/>
        <w:right w:val="none" w:sz="0" w:space="0" w:color="auto"/>
      </w:divBdr>
    </w:div>
    <w:div w:id="1241909920">
      <w:bodyDiv w:val="1"/>
      <w:marLeft w:val="0"/>
      <w:marRight w:val="0"/>
      <w:marTop w:val="0"/>
      <w:marBottom w:val="0"/>
      <w:divBdr>
        <w:top w:val="none" w:sz="0" w:space="0" w:color="auto"/>
        <w:left w:val="none" w:sz="0" w:space="0" w:color="auto"/>
        <w:bottom w:val="none" w:sz="0" w:space="0" w:color="auto"/>
        <w:right w:val="none" w:sz="0" w:space="0" w:color="auto"/>
      </w:divBdr>
    </w:div>
    <w:div w:id="1241988455">
      <w:bodyDiv w:val="1"/>
      <w:marLeft w:val="0"/>
      <w:marRight w:val="0"/>
      <w:marTop w:val="0"/>
      <w:marBottom w:val="0"/>
      <w:divBdr>
        <w:top w:val="none" w:sz="0" w:space="0" w:color="auto"/>
        <w:left w:val="none" w:sz="0" w:space="0" w:color="auto"/>
        <w:bottom w:val="none" w:sz="0" w:space="0" w:color="auto"/>
        <w:right w:val="none" w:sz="0" w:space="0" w:color="auto"/>
      </w:divBdr>
    </w:div>
    <w:div w:id="1242059762">
      <w:bodyDiv w:val="1"/>
      <w:marLeft w:val="0"/>
      <w:marRight w:val="0"/>
      <w:marTop w:val="0"/>
      <w:marBottom w:val="0"/>
      <w:divBdr>
        <w:top w:val="none" w:sz="0" w:space="0" w:color="auto"/>
        <w:left w:val="none" w:sz="0" w:space="0" w:color="auto"/>
        <w:bottom w:val="none" w:sz="0" w:space="0" w:color="auto"/>
        <w:right w:val="none" w:sz="0" w:space="0" w:color="auto"/>
      </w:divBdr>
    </w:div>
    <w:div w:id="1242136372">
      <w:bodyDiv w:val="1"/>
      <w:marLeft w:val="0"/>
      <w:marRight w:val="0"/>
      <w:marTop w:val="0"/>
      <w:marBottom w:val="0"/>
      <w:divBdr>
        <w:top w:val="none" w:sz="0" w:space="0" w:color="auto"/>
        <w:left w:val="none" w:sz="0" w:space="0" w:color="auto"/>
        <w:bottom w:val="none" w:sz="0" w:space="0" w:color="auto"/>
        <w:right w:val="none" w:sz="0" w:space="0" w:color="auto"/>
      </w:divBdr>
    </w:div>
    <w:div w:id="1242254384">
      <w:bodyDiv w:val="1"/>
      <w:marLeft w:val="0"/>
      <w:marRight w:val="0"/>
      <w:marTop w:val="0"/>
      <w:marBottom w:val="0"/>
      <w:divBdr>
        <w:top w:val="none" w:sz="0" w:space="0" w:color="auto"/>
        <w:left w:val="none" w:sz="0" w:space="0" w:color="auto"/>
        <w:bottom w:val="none" w:sz="0" w:space="0" w:color="auto"/>
        <w:right w:val="none" w:sz="0" w:space="0" w:color="auto"/>
      </w:divBdr>
    </w:div>
    <w:div w:id="1242329175">
      <w:bodyDiv w:val="1"/>
      <w:marLeft w:val="0"/>
      <w:marRight w:val="0"/>
      <w:marTop w:val="0"/>
      <w:marBottom w:val="0"/>
      <w:divBdr>
        <w:top w:val="none" w:sz="0" w:space="0" w:color="auto"/>
        <w:left w:val="none" w:sz="0" w:space="0" w:color="auto"/>
        <w:bottom w:val="none" w:sz="0" w:space="0" w:color="auto"/>
        <w:right w:val="none" w:sz="0" w:space="0" w:color="auto"/>
      </w:divBdr>
    </w:div>
    <w:div w:id="1242368072">
      <w:bodyDiv w:val="1"/>
      <w:marLeft w:val="0"/>
      <w:marRight w:val="0"/>
      <w:marTop w:val="0"/>
      <w:marBottom w:val="0"/>
      <w:divBdr>
        <w:top w:val="none" w:sz="0" w:space="0" w:color="auto"/>
        <w:left w:val="none" w:sz="0" w:space="0" w:color="auto"/>
        <w:bottom w:val="none" w:sz="0" w:space="0" w:color="auto"/>
        <w:right w:val="none" w:sz="0" w:space="0" w:color="auto"/>
      </w:divBdr>
    </w:div>
    <w:div w:id="1242377064">
      <w:bodyDiv w:val="1"/>
      <w:marLeft w:val="0"/>
      <w:marRight w:val="0"/>
      <w:marTop w:val="0"/>
      <w:marBottom w:val="0"/>
      <w:divBdr>
        <w:top w:val="none" w:sz="0" w:space="0" w:color="auto"/>
        <w:left w:val="none" w:sz="0" w:space="0" w:color="auto"/>
        <w:bottom w:val="none" w:sz="0" w:space="0" w:color="auto"/>
        <w:right w:val="none" w:sz="0" w:space="0" w:color="auto"/>
      </w:divBdr>
    </w:div>
    <w:div w:id="1242448208">
      <w:bodyDiv w:val="1"/>
      <w:marLeft w:val="0"/>
      <w:marRight w:val="0"/>
      <w:marTop w:val="0"/>
      <w:marBottom w:val="0"/>
      <w:divBdr>
        <w:top w:val="none" w:sz="0" w:space="0" w:color="auto"/>
        <w:left w:val="none" w:sz="0" w:space="0" w:color="auto"/>
        <w:bottom w:val="none" w:sz="0" w:space="0" w:color="auto"/>
        <w:right w:val="none" w:sz="0" w:space="0" w:color="auto"/>
      </w:divBdr>
    </w:div>
    <w:div w:id="1242450734">
      <w:bodyDiv w:val="1"/>
      <w:marLeft w:val="0"/>
      <w:marRight w:val="0"/>
      <w:marTop w:val="0"/>
      <w:marBottom w:val="0"/>
      <w:divBdr>
        <w:top w:val="none" w:sz="0" w:space="0" w:color="auto"/>
        <w:left w:val="none" w:sz="0" w:space="0" w:color="auto"/>
        <w:bottom w:val="none" w:sz="0" w:space="0" w:color="auto"/>
        <w:right w:val="none" w:sz="0" w:space="0" w:color="auto"/>
      </w:divBdr>
    </w:div>
    <w:div w:id="1242518433">
      <w:bodyDiv w:val="1"/>
      <w:marLeft w:val="0"/>
      <w:marRight w:val="0"/>
      <w:marTop w:val="0"/>
      <w:marBottom w:val="0"/>
      <w:divBdr>
        <w:top w:val="none" w:sz="0" w:space="0" w:color="auto"/>
        <w:left w:val="none" w:sz="0" w:space="0" w:color="auto"/>
        <w:bottom w:val="none" w:sz="0" w:space="0" w:color="auto"/>
        <w:right w:val="none" w:sz="0" w:space="0" w:color="auto"/>
      </w:divBdr>
    </w:div>
    <w:div w:id="1242521946">
      <w:bodyDiv w:val="1"/>
      <w:marLeft w:val="0"/>
      <w:marRight w:val="0"/>
      <w:marTop w:val="0"/>
      <w:marBottom w:val="0"/>
      <w:divBdr>
        <w:top w:val="none" w:sz="0" w:space="0" w:color="auto"/>
        <w:left w:val="none" w:sz="0" w:space="0" w:color="auto"/>
        <w:bottom w:val="none" w:sz="0" w:space="0" w:color="auto"/>
        <w:right w:val="none" w:sz="0" w:space="0" w:color="auto"/>
      </w:divBdr>
    </w:div>
    <w:div w:id="1242563156">
      <w:bodyDiv w:val="1"/>
      <w:marLeft w:val="0"/>
      <w:marRight w:val="0"/>
      <w:marTop w:val="0"/>
      <w:marBottom w:val="0"/>
      <w:divBdr>
        <w:top w:val="none" w:sz="0" w:space="0" w:color="auto"/>
        <w:left w:val="none" w:sz="0" w:space="0" w:color="auto"/>
        <w:bottom w:val="none" w:sz="0" w:space="0" w:color="auto"/>
        <w:right w:val="none" w:sz="0" w:space="0" w:color="auto"/>
      </w:divBdr>
    </w:div>
    <w:div w:id="1242642194">
      <w:bodyDiv w:val="1"/>
      <w:marLeft w:val="0"/>
      <w:marRight w:val="0"/>
      <w:marTop w:val="0"/>
      <w:marBottom w:val="0"/>
      <w:divBdr>
        <w:top w:val="none" w:sz="0" w:space="0" w:color="auto"/>
        <w:left w:val="none" w:sz="0" w:space="0" w:color="auto"/>
        <w:bottom w:val="none" w:sz="0" w:space="0" w:color="auto"/>
        <w:right w:val="none" w:sz="0" w:space="0" w:color="auto"/>
      </w:divBdr>
    </w:div>
    <w:div w:id="1242642669">
      <w:bodyDiv w:val="1"/>
      <w:marLeft w:val="0"/>
      <w:marRight w:val="0"/>
      <w:marTop w:val="0"/>
      <w:marBottom w:val="0"/>
      <w:divBdr>
        <w:top w:val="none" w:sz="0" w:space="0" w:color="auto"/>
        <w:left w:val="none" w:sz="0" w:space="0" w:color="auto"/>
        <w:bottom w:val="none" w:sz="0" w:space="0" w:color="auto"/>
        <w:right w:val="none" w:sz="0" w:space="0" w:color="auto"/>
      </w:divBdr>
    </w:div>
    <w:div w:id="1242712363">
      <w:bodyDiv w:val="1"/>
      <w:marLeft w:val="0"/>
      <w:marRight w:val="0"/>
      <w:marTop w:val="0"/>
      <w:marBottom w:val="0"/>
      <w:divBdr>
        <w:top w:val="none" w:sz="0" w:space="0" w:color="auto"/>
        <w:left w:val="none" w:sz="0" w:space="0" w:color="auto"/>
        <w:bottom w:val="none" w:sz="0" w:space="0" w:color="auto"/>
        <w:right w:val="none" w:sz="0" w:space="0" w:color="auto"/>
      </w:divBdr>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
    <w:div w:id="1242787500">
      <w:bodyDiv w:val="1"/>
      <w:marLeft w:val="0"/>
      <w:marRight w:val="0"/>
      <w:marTop w:val="0"/>
      <w:marBottom w:val="0"/>
      <w:divBdr>
        <w:top w:val="none" w:sz="0" w:space="0" w:color="auto"/>
        <w:left w:val="none" w:sz="0" w:space="0" w:color="auto"/>
        <w:bottom w:val="none" w:sz="0" w:space="0" w:color="auto"/>
        <w:right w:val="none" w:sz="0" w:space="0" w:color="auto"/>
      </w:divBdr>
    </w:div>
    <w:div w:id="1242791103">
      <w:bodyDiv w:val="1"/>
      <w:marLeft w:val="0"/>
      <w:marRight w:val="0"/>
      <w:marTop w:val="0"/>
      <w:marBottom w:val="0"/>
      <w:divBdr>
        <w:top w:val="none" w:sz="0" w:space="0" w:color="auto"/>
        <w:left w:val="none" w:sz="0" w:space="0" w:color="auto"/>
        <w:bottom w:val="none" w:sz="0" w:space="0" w:color="auto"/>
        <w:right w:val="none" w:sz="0" w:space="0" w:color="auto"/>
      </w:divBdr>
    </w:div>
    <w:div w:id="1242836727">
      <w:bodyDiv w:val="1"/>
      <w:marLeft w:val="0"/>
      <w:marRight w:val="0"/>
      <w:marTop w:val="0"/>
      <w:marBottom w:val="0"/>
      <w:divBdr>
        <w:top w:val="none" w:sz="0" w:space="0" w:color="auto"/>
        <w:left w:val="none" w:sz="0" w:space="0" w:color="auto"/>
        <w:bottom w:val="none" w:sz="0" w:space="0" w:color="auto"/>
        <w:right w:val="none" w:sz="0" w:space="0" w:color="auto"/>
      </w:divBdr>
    </w:div>
    <w:div w:id="1242838983">
      <w:bodyDiv w:val="1"/>
      <w:marLeft w:val="0"/>
      <w:marRight w:val="0"/>
      <w:marTop w:val="0"/>
      <w:marBottom w:val="0"/>
      <w:divBdr>
        <w:top w:val="none" w:sz="0" w:space="0" w:color="auto"/>
        <w:left w:val="none" w:sz="0" w:space="0" w:color="auto"/>
        <w:bottom w:val="none" w:sz="0" w:space="0" w:color="auto"/>
        <w:right w:val="none" w:sz="0" w:space="0" w:color="auto"/>
      </w:divBdr>
    </w:div>
    <w:div w:id="1242982487">
      <w:bodyDiv w:val="1"/>
      <w:marLeft w:val="0"/>
      <w:marRight w:val="0"/>
      <w:marTop w:val="0"/>
      <w:marBottom w:val="0"/>
      <w:divBdr>
        <w:top w:val="none" w:sz="0" w:space="0" w:color="auto"/>
        <w:left w:val="none" w:sz="0" w:space="0" w:color="auto"/>
        <w:bottom w:val="none" w:sz="0" w:space="0" w:color="auto"/>
        <w:right w:val="none" w:sz="0" w:space="0" w:color="auto"/>
      </w:divBdr>
    </w:div>
    <w:div w:id="1243027732">
      <w:bodyDiv w:val="1"/>
      <w:marLeft w:val="0"/>
      <w:marRight w:val="0"/>
      <w:marTop w:val="0"/>
      <w:marBottom w:val="0"/>
      <w:divBdr>
        <w:top w:val="none" w:sz="0" w:space="0" w:color="auto"/>
        <w:left w:val="none" w:sz="0" w:space="0" w:color="auto"/>
        <w:bottom w:val="none" w:sz="0" w:space="0" w:color="auto"/>
        <w:right w:val="none" w:sz="0" w:space="0" w:color="auto"/>
      </w:divBdr>
    </w:div>
    <w:div w:id="1243032102">
      <w:bodyDiv w:val="1"/>
      <w:marLeft w:val="0"/>
      <w:marRight w:val="0"/>
      <w:marTop w:val="0"/>
      <w:marBottom w:val="0"/>
      <w:divBdr>
        <w:top w:val="none" w:sz="0" w:space="0" w:color="auto"/>
        <w:left w:val="none" w:sz="0" w:space="0" w:color="auto"/>
        <w:bottom w:val="none" w:sz="0" w:space="0" w:color="auto"/>
        <w:right w:val="none" w:sz="0" w:space="0" w:color="auto"/>
      </w:divBdr>
    </w:div>
    <w:div w:id="1243103494">
      <w:bodyDiv w:val="1"/>
      <w:marLeft w:val="0"/>
      <w:marRight w:val="0"/>
      <w:marTop w:val="0"/>
      <w:marBottom w:val="0"/>
      <w:divBdr>
        <w:top w:val="none" w:sz="0" w:space="0" w:color="auto"/>
        <w:left w:val="none" w:sz="0" w:space="0" w:color="auto"/>
        <w:bottom w:val="none" w:sz="0" w:space="0" w:color="auto"/>
        <w:right w:val="none" w:sz="0" w:space="0" w:color="auto"/>
      </w:divBdr>
    </w:div>
    <w:div w:id="1243219789">
      <w:bodyDiv w:val="1"/>
      <w:marLeft w:val="0"/>
      <w:marRight w:val="0"/>
      <w:marTop w:val="0"/>
      <w:marBottom w:val="0"/>
      <w:divBdr>
        <w:top w:val="none" w:sz="0" w:space="0" w:color="auto"/>
        <w:left w:val="none" w:sz="0" w:space="0" w:color="auto"/>
        <w:bottom w:val="none" w:sz="0" w:space="0" w:color="auto"/>
        <w:right w:val="none" w:sz="0" w:space="0" w:color="auto"/>
      </w:divBdr>
    </w:div>
    <w:div w:id="1243415028">
      <w:bodyDiv w:val="1"/>
      <w:marLeft w:val="0"/>
      <w:marRight w:val="0"/>
      <w:marTop w:val="0"/>
      <w:marBottom w:val="0"/>
      <w:divBdr>
        <w:top w:val="none" w:sz="0" w:space="0" w:color="auto"/>
        <w:left w:val="none" w:sz="0" w:space="0" w:color="auto"/>
        <w:bottom w:val="none" w:sz="0" w:space="0" w:color="auto"/>
        <w:right w:val="none" w:sz="0" w:space="0" w:color="auto"/>
      </w:divBdr>
    </w:div>
    <w:div w:id="1243415790">
      <w:bodyDiv w:val="1"/>
      <w:marLeft w:val="0"/>
      <w:marRight w:val="0"/>
      <w:marTop w:val="0"/>
      <w:marBottom w:val="0"/>
      <w:divBdr>
        <w:top w:val="none" w:sz="0" w:space="0" w:color="auto"/>
        <w:left w:val="none" w:sz="0" w:space="0" w:color="auto"/>
        <w:bottom w:val="none" w:sz="0" w:space="0" w:color="auto"/>
        <w:right w:val="none" w:sz="0" w:space="0" w:color="auto"/>
      </w:divBdr>
    </w:div>
    <w:div w:id="1243484936">
      <w:bodyDiv w:val="1"/>
      <w:marLeft w:val="0"/>
      <w:marRight w:val="0"/>
      <w:marTop w:val="0"/>
      <w:marBottom w:val="0"/>
      <w:divBdr>
        <w:top w:val="none" w:sz="0" w:space="0" w:color="auto"/>
        <w:left w:val="none" w:sz="0" w:space="0" w:color="auto"/>
        <w:bottom w:val="none" w:sz="0" w:space="0" w:color="auto"/>
        <w:right w:val="none" w:sz="0" w:space="0" w:color="auto"/>
      </w:divBdr>
    </w:div>
    <w:div w:id="1243562348">
      <w:bodyDiv w:val="1"/>
      <w:marLeft w:val="0"/>
      <w:marRight w:val="0"/>
      <w:marTop w:val="0"/>
      <w:marBottom w:val="0"/>
      <w:divBdr>
        <w:top w:val="none" w:sz="0" w:space="0" w:color="auto"/>
        <w:left w:val="none" w:sz="0" w:space="0" w:color="auto"/>
        <w:bottom w:val="none" w:sz="0" w:space="0" w:color="auto"/>
        <w:right w:val="none" w:sz="0" w:space="0" w:color="auto"/>
      </w:divBdr>
    </w:div>
    <w:div w:id="1243564405">
      <w:bodyDiv w:val="1"/>
      <w:marLeft w:val="0"/>
      <w:marRight w:val="0"/>
      <w:marTop w:val="0"/>
      <w:marBottom w:val="0"/>
      <w:divBdr>
        <w:top w:val="none" w:sz="0" w:space="0" w:color="auto"/>
        <w:left w:val="none" w:sz="0" w:space="0" w:color="auto"/>
        <w:bottom w:val="none" w:sz="0" w:space="0" w:color="auto"/>
        <w:right w:val="none" w:sz="0" w:space="0" w:color="auto"/>
      </w:divBdr>
    </w:div>
    <w:div w:id="1243567239">
      <w:bodyDiv w:val="1"/>
      <w:marLeft w:val="0"/>
      <w:marRight w:val="0"/>
      <w:marTop w:val="0"/>
      <w:marBottom w:val="0"/>
      <w:divBdr>
        <w:top w:val="none" w:sz="0" w:space="0" w:color="auto"/>
        <w:left w:val="none" w:sz="0" w:space="0" w:color="auto"/>
        <w:bottom w:val="none" w:sz="0" w:space="0" w:color="auto"/>
        <w:right w:val="none" w:sz="0" w:space="0" w:color="auto"/>
      </w:divBdr>
    </w:div>
    <w:div w:id="1243569593">
      <w:bodyDiv w:val="1"/>
      <w:marLeft w:val="0"/>
      <w:marRight w:val="0"/>
      <w:marTop w:val="0"/>
      <w:marBottom w:val="0"/>
      <w:divBdr>
        <w:top w:val="none" w:sz="0" w:space="0" w:color="auto"/>
        <w:left w:val="none" w:sz="0" w:space="0" w:color="auto"/>
        <w:bottom w:val="none" w:sz="0" w:space="0" w:color="auto"/>
        <w:right w:val="none" w:sz="0" w:space="0" w:color="auto"/>
      </w:divBdr>
    </w:div>
    <w:div w:id="1243754582">
      <w:bodyDiv w:val="1"/>
      <w:marLeft w:val="0"/>
      <w:marRight w:val="0"/>
      <w:marTop w:val="0"/>
      <w:marBottom w:val="0"/>
      <w:divBdr>
        <w:top w:val="none" w:sz="0" w:space="0" w:color="auto"/>
        <w:left w:val="none" w:sz="0" w:space="0" w:color="auto"/>
        <w:bottom w:val="none" w:sz="0" w:space="0" w:color="auto"/>
        <w:right w:val="none" w:sz="0" w:space="0" w:color="auto"/>
      </w:divBdr>
    </w:div>
    <w:div w:id="1243947420">
      <w:bodyDiv w:val="1"/>
      <w:marLeft w:val="0"/>
      <w:marRight w:val="0"/>
      <w:marTop w:val="0"/>
      <w:marBottom w:val="0"/>
      <w:divBdr>
        <w:top w:val="none" w:sz="0" w:space="0" w:color="auto"/>
        <w:left w:val="none" w:sz="0" w:space="0" w:color="auto"/>
        <w:bottom w:val="none" w:sz="0" w:space="0" w:color="auto"/>
        <w:right w:val="none" w:sz="0" w:space="0" w:color="auto"/>
      </w:divBdr>
    </w:div>
    <w:div w:id="1243947946">
      <w:bodyDiv w:val="1"/>
      <w:marLeft w:val="0"/>
      <w:marRight w:val="0"/>
      <w:marTop w:val="0"/>
      <w:marBottom w:val="0"/>
      <w:divBdr>
        <w:top w:val="none" w:sz="0" w:space="0" w:color="auto"/>
        <w:left w:val="none" w:sz="0" w:space="0" w:color="auto"/>
        <w:bottom w:val="none" w:sz="0" w:space="0" w:color="auto"/>
        <w:right w:val="none" w:sz="0" w:space="0" w:color="auto"/>
      </w:divBdr>
    </w:div>
    <w:div w:id="1244026643">
      <w:bodyDiv w:val="1"/>
      <w:marLeft w:val="0"/>
      <w:marRight w:val="0"/>
      <w:marTop w:val="0"/>
      <w:marBottom w:val="0"/>
      <w:divBdr>
        <w:top w:val="none" w:sz="0" w:space="0" w:color="auto"/>
        <w:left w:val="none" w:sz="0" w:space="0" w:color="auto"/>
        <w:bottom w:val="none" w:sz="0" w:space="0" w:color="auto"/>
        <w:right w:val="none" w:sz="0" w:space="0" w:color="auto"/>
      </w:divBdr>
    </w:div>
    <w:div w:id="1244142406">
      <w:bodyDiv w:val="1"/>
      <w:marLeft w:val="0"/>
      <w:marRight w:val="0"/>
      <w:marTop w:val="0"/>
      <w:marBottom w:val="0"/>
      <w:divBdr>
        <w:top w:val="none" w:sz="0" w:space="0" w:color="auto"/>
        <w:left w:val="none" w:sz="0" w:space="0" w:color="auto"/>
        <w:bottom w:val="none" w:sz="0" w:space="0" w:color="auto"/>
        <w:right w:val="none" w:sz="0" w:space="0" w:color="auto"/>
      </w:divBdr>
    </w:div>
    <w:div w:id="1244217689">
      <w:bodyDiv w:val="1"/>
      <w:marLeft w:val="0"/>
      <w:marRight w:val="0"/>
      <w:marTop w:val="0"/>
      <w:marBottom w:val="0"/>
      <w:divBdr>
        <w:top w:val="none" w:sz="0" w:space="0" w:color="auto"/>
        <w:left w:val="none" w:sz="0" w:space="0" w:color="auto"/>
        <w:bottom w:val="none" w:sz="0" w:space="0" w:color="auto"/>
        <w:right w:val="none" w:sz="0" w:space="0" w:color="auto"/>
      </w:divBdr>
    </w:div>
    <w:div w:id="1244224626">
      <w:bodyDiv w:val="1"/>
      <w:marLeft w:val="0"/>
      <w:marRight w:val="0"/>
      <w:marTop w:val="0"/>
      <w:marBottom w:val="0"/>
      <w:divBdr>
        <w:top w:val="none" w:sz="0" w:space="0" w:color="auto"/>
        <w:left w:val="none" w:sz="0" w:space="0" w:color="auto"/>
        <w:bottom w:val="none" w:sz="0" w:space="0" w:color="auto"/>
        <w:right w:val="none" w:sz="0" w:space="0" w:color="auto"/>
      </w:divBdr>
    </w:div>
    <w:div w:id="1244292397">
      <w:bodyDiv w:val="1"/>
      <w:marLeft w:val="0"/>
      <w:marRight w:val="0"/>
      <w:marTop w:val="0"/>
      <w:marBottom w:val="0"/>
      <w:divBdr>
        <w:top w:val="none" w:sz="0" w:space="0" w:color="auto"/>
        <w:left w:val="none" w:sz="0" w:space="0" w:color="auto"/>
        <w:bottom w:val="none" w:sz="0" w:space="0" w:color="auto"/>
        <w:right w:val="none" w:sz="0" w:space="0" w:color="auto"/>
      </w:divBdr>
    </w:div>
    <w:div w:id="1244485785">
      <w:bodyDiv w:val="1"/>
      <w:marLeft w:val="0"/>
      <w:marRight w:val="0"/>
      <w:marTop w:val="0"/>
      <w:marBottom w:val="0"/>
      <w:divBdr>
        <w:top w:val="none" w:sz="0" w:space="0" w:color="auto"/>
        <w:left w:val="none" w:sz="0" w:space="0" w:color="auto"/>
        <w:bottom w:val="none" w:sz="0" w:space="0" w:color="auto"/>
        <w:right w:val="none" w:sz="0" w:space="0" w:color="auto"/>
      </w:divBdr>
    </w:div>
    <w:div w:id="1244490634">
      <w:bodyDiv w:val="1"/>
      <w:marLeft w:val="0"/>
      <w:marRight w:val="0"/>
      <w:marTop w:val="0"/>
      <w:marBottom w:val="0"/>
      <w:divBdr>
        <w:top w:val="none" w:sz="0" w:space="0" w:color="auto"/>
        <w:left w:val="none" w:sz="0" w:space="0" w:color="auto"/>
        <w:bottom w:val="none" w:sz="0" w:space="0" w:color="auto"/>
        <w:right w:val="none" w:sz="0" w:space="0" w:color="auto"/>
      </w:divBdr>
    </w:div>
    <w:div w:id="1244608013">
      <w:bodyDiv w:val="1"/>
      <w:marLeft w:val="0"/>
      <w:marRight w:val="0"/>
      <w:marTop w:val="0"/>
      <w:marBottom w:val="0"/>
      <w:divBdr>
        <w:top w:val="none" w:sz="0" w:space="0" w:color="auto"/>
        <w:left w:val="none" w:sz="0" w:space="0" w:color="auto"/>
        <w:bottom w:val="none" w:sz="0" w:space="0" w:color="auto"/>
        <w:right w:val="none" w:sz="0" w:space="0" w:color="auto"/>
      </w:divBdr>
    </w:div>
    <w:div w:id="1244610404">
      <w:bodyDiv w:val="1"/>
      <w:marLeft w:val="0"/>
      <w:marRight w:val="0"/>
      <w:marTop w:val="0"/>
      <w:marBottom w:val="0"/>
      <w:divBdr>
        <w:top w:val="none" w:sz="0" w:space="0" w:color="auto"/>
        <w:left w:val="none" w:sz="0" w:space="0" w:color="auto"/>
        <w:bottom w:val="none" w:sz="0" w:space="0" w:color="auto"/>
        <w:right w:val="none" w:sz="0" w:space="0" w:color="auto"/>
      </w:divBdr>
    </w:div>
    <w:div w:id="1244683673">
      <w:bodyDiv w:val="1"/>
      <w:marLeft w:val="0"/>
      <w:marRight w:val="0"/>
      <w:marTop w:val="0"/>
      <w:marBottom w:val="0"/>
      <w:divBdr>
        <w:top w:val="none" w:sz="0" w:space="0" w:color="auto"/>
        <w:left w:val="none" w:sz="0" w:space="0" w:color="auto"/>
        <w:bottom w:val="none" w:sz="0" w:space="0" w:color="auto"/>
        <w:right w:val="none" w:sz="0" w:space="0" w:color="auto"/>
      </w:divBdr>
    </w:div>
    <w:div w:id="1244875693">
      <w:bodyDiv w:val="1"/>
      <w:marLeft w:val="0"/>
      <w:marRight w:val="0"/>
      <w:marTop w:val="0"/>
      <w:marBottom w:val="0"/>
      <w:divBdr>
        <w:top w:val="none" w:sz="0" w:space="0" w:color="auto"/>
        <w:left w:val="none" w:sz="0" w:space="0" w:color="auto"/>
        <w:bottom w:val="none" w:sz="0" w:space="0" w:color="auto"/>
        <w:right w:val="none" w:sz="0" w:space="0" w:color="auto"/>
      </w:divBdr>
    </w:div>
    <w:div w:id="1244989163">
      <w:bodyDiv w:val="1"/>
      <w:marLeft w:val="0"/>
      <w:marRight w:val="0"/>
      <w:marTop w:val="0"/>
      <w:marBottom w:val="0"/>
      <w:divBdr>
        <w:top w:val="none" w:sz="0" w:space="0" w:color="auto"/>
        <w:left w:val="none" w:sz="0" w:space="0" w:color="auto"/>
        <w:bottom w:val="none" w:sz="0" w:space="0" w:color="auto"/>
        <w:right w:val="none" w:sz="0" w:space="0" w:color="auto"/>
      </w:divBdr>
    </w:div>
    <w:div w:id="1244991857">
      <w:bodyDiv w:val="1"/>
      <w:marLeft w:val="0"/>
      <w:marRight w:val="0"/>
      <w:marTop w:val="0"/>
      <w:marBottom w:val="0"/>
      <w:divBdr>
        <w:top w:val="none" w:sz="0" w:space="0" w:color="auto"/>
        <w:left w:val="none" w:sz="0" w:space="0" w:color="auto"/>
        <w:bottom w:val="none" w:sz="0" w:space="0" w:color="auto"/>
        <w:right w:val="none" w:sz="0" w:space="0" w:color="auto"/>
      </w:divBdr>
    </w:div>
    <w:div w:id="1244992373">
      <w:bodyDiv w:val="1"/>
      <w:marLeft w:val="0"/>
      <w:marRight w:val="0"/>
      <w:marTop w:val="0"/>
      <w:marBottom w:val="0"/>
      <w:divBdr>
        <w:top w:val="none" w:sz="0" w:space="0" w:color="auto"/>
        <w:left w:val="none" w:sz="0" w:space="0" w:color="auto"/>
        <w:bottom w:val="none" w:sz="0" w:space="0" w:color="auto"/>
        <w:right w:val="none" w:sz="0" w:space="0" w:color="auto"/>
      </w:divBdr>
    </w:div>
    <w:div w:id="1245066512">
      <w:bodyDiv w:val="1"/>
      <w:marLeft w:val="0"/>
      <w:marRight w:val="0"/>
      <w:marTop w:val="0"/>
      <w:marBottom w:val="0"/>
      <w:divBdr>
        <w:top w:val="none" w:sz="0" w:space="0" w:color="auto"/>
        <w:left w:val="none" w:sz="0" w:space="0" w:color="auto"/>
        <w:bottom w:val="none" w:sz="0" w:space="0" w:color="auto"/>
        <w:right w:val="none" w:sz="0" w:space="0" w:color="auto"/>
      </w:divBdr>
    </w:div>
    <w:div w:id="1245067505">
      <w:bodyDiv w:val="1"/>
      <w:marLeft w:val="0"/>
      <w:marRight w:val="0"/>
      <w:marTop w:val="0"/>
      <w:marBottom w:val="0"/>
      <w:divBdr>
        <w:top w:val="none" w:sz="0" w:space="0" w:color="auto"/>
        <w:left w:val="none" w:sz="0" w:space="0" w:color="auto"/>
        <w:bottom w:val="none" w:sz="0" w:space="0" w:color="auto"/>
        <w:right w:val="none" w:sz="0" w:space="0" w:color="auto"/>
      </w:divBdr>
    </w:div>
    <w:div w:id="1245186042">
      <w:bodyDiv w:val="1"/>
      <w:marLeft w:val="0"/>
      <w:marRight w:val="0"/>
      <w:marTop w:val="0"/>
      <w:marBottom w:val="0"/>
      <w:divBdr>
        <w:top w:val="none" w:sz="0" w:space="0" w:color="auto"/>
        <w:left w:val="none" w:sz="0" w:space="0" w:color="auto"/>
        <w:bottom w:val="none" w:sz="0" w:space="0" w:color="auto"/>
        <w:right w:val="none" w:sz="0" w:space="0" w:color="auto"/>
      </w:divBdr>
    </w:div>
    <w:div w:id="1245257846">
      <w:bodyDiv w:val="1"/>
      <w:marLeft w:val="0"/>
      <w:marRight w:val="0"/>
      <w:marTop w:val="0"/>
      <w:marBottom w:val="0"/>
      <w:divBdr>
        <w:top w:val="none" w:sz="0" w:space="0" w:color="auto"/>
        <w:left w:val="none" w:sz="0" w:space="0" w:color="auto"/>
        <w:bottom w:val="none" w:sz="0" w:space="0" w:color="auto"/>
        <w:right w:val="none" w:sz="0" w:space="0" w:color="auto"/>
      </w:divBdr>
    </w:div>
    <w:div w:id="1245258659">
      <w:bodyDiv w:val="1"/>
      <w:marLeft w:val="0"/>
      <w:marRight w:val="0"/>
      <w:marTop w:val="0"/>
      <w:marBottom w:val="0"/>
      <w:divBdr>
        <w:top w:val="none" w:sz="0" w:space="0" w:color="auto"/>
        <w:left w:val="none" w:sz="0" w:space="0" w:color="auto"/>
        <w:bottom w:val="none" w:sz="0" w:space="0" w:color="auto"/>
        <w:right w:val="none" w:sz="0" w:space="0" w:color="auto"/>
      </w:divBdr>
    </w:div>
    <w:div w:id="1245535090">
      <w:bodyDiv w:val="1"/>
      <w:marLeft w:val="0"/>
      <w:marRight w:val="0"/>
      <w:marTop w:val="0"/>
      <w:marBottom w:val="0"/>
      <w:divBdr>
        <w:top w:val="none" w:sz="0" w:space="0" w:color="auto"/>
        <w:left w:val="none" w:sz="0" w:space="0" w:color="auto"/>
        <w:bottom w:val="none" w:sz="0" w:space="0" w:color="auto"/>
        <w:right w:val="none" w:sz="0" w:space="0" w:color="auto"/>
      </w:divBdr>
    </w:div>
    <w:div w:id="1245604961">
      <w:bodyDiv w:val="1"/>
      <w:marLeft w:val="0"/>
      <w:marRight w:val="0"/>
      <w:marTop w:val="0"/>
      <w:marBottom w:val="0"/>
      <w:divBdr>
        <w:top w:val="none" w:sz="0" w:space="0" w:color="auto"/>
        <w:left w:val="none" w:sz="0" w:space="0" w:color="auto"/>
        <w:bottom w:val="none" w:sz="0" w:space="0" w:color="auto"/>
        <w:right w:val="none" w:sz="0" w:space="0" w:color="auto"/>
      </w:divBdr>
    </w:div>
    <w:div w:id="1245605538">
      <w:bodyDiv w:val="1"/>
      <w:marLeft w:val="0"/>
      <w:marRight w:val="0"/>
      <w:marTop w:val="0"/>
      <w:marBottom w:val="0"/>
      <w:divBdr>
        <w:top w:val="none" w:sz="0" w:space="0" w:color="auto"/>
        <w:left w:val="none" w:sz="0" w:space="0" w:color="auto"/>
        <w:bottom w:val="none" w:sz="0" w:space="0" w:color="auto"/>
        <w:right w:val="none" w:sz="0" w:space="0" w:color="auto"/>
      </w:divBdr>
    </w:div>
    <w:div w:id="1245608180">
      <w:bodyDiv w:val="1"/>
      <w:marLeft w:val="0"/>
      <w:marRight w:val="0"/>
      <w:marTop w:val="0"/>
      <w:marBottom w:val="0"/>
      <w:divBdr>
        <w:top w:val="none" w:sz="0" w:space="0" w:color="auto"/>
        <w:left w:val="none" w:sz="0" w:space="0" w:color="auto"/>
        <w:bottom w:val="none" w:sz="0" w:space="0" w:color="auto"/>
        <w:right w:val="none" w:sz="0" w:space="0" w:color="auto"/>
      </w:divBdr>
    </w:div>
    <w:div w:id="1245988310">
      <w:bodyDiv w:val="1"/>
      <w:marLeft w:val="0"/>
      <w:marRight w:val="0"/>
      <w:marTop w:val="0"/>
      <w:marBottom w:val="0"/>
      <w:divBdr>
        <w:top w:val="none" w:sz="0" w:space="0" w:color="auto"/>
        <w:left w:val="none" w:sz="0" w:space="0" w:color="auto"/>
        <w:bottom w:val="none" w:sz="0" w:space="0" w:color="auto"/>
        <w:right w:val="none" w:sz="0" w:space="0" w:color="auto"/>
      </w:divBdr>
    </w:div>
    <w:div w:id="1245989710">
      <w:bodyDiv w:val="1"/>
      <w:marLeft w:val="0"/>
      <w:marRight w:val="0"/>
      <w:marTop w:val="0"/>
      <w:marBottom w:val="0"/>
      <w:divBdr>
        <w:top w:val="none" w:sz="0" w:space="0" w:color="auto"/>
        <w:left w:val="none" w:sz="0" w:space="0" w:color="auto"/>
        <w:bottom w:val="none" w:sz="0" w:space="0" w:color="auto"/>
        <w:right w:val="none" w:sz="0" w:space="0" w:color="auto"/>
      </w:divBdr>
    </w:div>
    <w:div w:id="1246039527">
      <w:bodyDiv w:val="1"/>
      <w:marLeft w:val="0"/>
      <w:marRight w:val="0"/>
      <w:marTop w:val="0"/>
      <w:marBottom w:val="0"/>
      <w:divBdr>
        <w:top w:val="none" w:sz="0" w:space="0" w:color="auto"/>
        <w:left w:val="none" w:sz="0" w:space="0" w:color="auto"/>
        <w:bottom w:val="none" w:sz="0" w:space="0" w:color="auto"/>
        <w:right w:val="none" w:sz="0" w:space="0" w:color="auto"/>
      </w:divBdr>
    </w:div>
    <w:div w:id="1246109507">
      <w:bodyDiv w:val="1"/>
      <w:marLeft w:val="0"/>
      <w:marRight w:val="0"/>
      <w:marTop w:val="0"/>
      <w:marBottom w:val="0"/>
      <w:divBdr>
        <w:top w:val="none" w:sz="0" w:space="0" w:color="auto"/>
        <w:left w:val="none" w:sz="0" w:space="0" w:color="auto"/>
        <w:bottom w:val="none" w:sz="0" w:space="0" w:color="auto"/>
        <w:right w:val="none" w:sz="0" w:space="0" w:color="auto"/>
      </w:divBdr>
    </w:div>
    <w:div w:id="1246189519">
      <w:bodyDiv w:val="1"/>
      <w:marLeft w:val="0"/>
      <w:marRight w:val="0"/>
      <w:marTop w:val="0"/>
      <w:marBottom w:val="0"/>
      <w:divBdr>
        <w:top w:val="none" w:sz="0" w:space="0" w:color="auto"/>
        <w:left w:val="none" w:sz="0" w:space="0" w:color="auto"/>
        <w:bottom w:val="none" w:sz="0" w:space="0" w:color="auto"/>
        <w:right w:val="none" w:sz="0" w:space="0" w:color="auto"/>
      </w:divBdr>
    </w:div>
    <w:div w:id="1246190206">
      <w:bodyDiv w:val="1"/>
      <w:marLeft w:val="0"/>
      <w:marRight w:val="0"/>
      <w:marTop w:val="0"/>
      <w:marBottom w:val="0"/>
      <w:divBdr>
        <w:top w:val="none" w:sz="0" w:space="0" w:color="auto"/>
        <w:left w:val="none" w:sz="0" w:space="0" w:color="auto"/>
        <w:bottom w:val="none" w:sz="0" w:space="0" w:color="auto"/>
        <w:right w:val="none" w:sz="0" w:space="0" w:color="auto"/>
      </w:divBdr>
    </w:div>
    <w:div w:id="1246233392">
      <w:bodyDiv w:val="1"/>
      <w:marLeft w:val="0"/>
      <w:marRight w:val="0"/>
      <w:marTop w:val="0"/>
      <w:marBottom w:val="0"/>
      <w:divBdr>
        <w:top w:val="none" w:sz="0" w:space="0" w:color="auto"/>
        <w:left w:val="none" w:sz="0" w:space="0" w:color="auto"/>
        <w:bottom w:val="none" w:sz="0" w:space="0" w:color="auto"/>
        <w:right w:val="none" w:sz="0" w:space="0" w:color="auto"/>
      </w:divBdr>
    </w:div>
    <w:div w:id="1246306103">
      <w:bodyDiv w:val="1"/>
      <w:marLeft w:val="0"/>
      <w:marRight w:val="0"/>
      <w:marTop w:val="0"/>
      <w:marBottom w:val="0"/>
      <w:divBdr>
        <w:top w:val="none" w:sz="0" w:space="0" w:color="auto"/>
        <w:left w:val="none" w:sz="0" w:space="0" w:color="auto"/>
        <w:bottom w:val="none" w:sz="0" w:space="0" w:color="auto"/>
        <w:right w:val="none" w:sz="0" w:space="0" w:color="auto"/>
      </w:divBdr>
    </w:div>
    <w:div w:id="1246380528">
      <w:bodyDiv w:val="1"/>
      <w:marLeft w:val="0"/>
      <w:marRight w:val="0"/>
      <w:marTop w:val="0"/>
      <w:marBottom w:val="0"/>
      <w:divBdr>
        <w:top w:val="none" w:sz="0" w:space="0" w:color="auto"/>
        <w:left w:val="none" w:sz="0" w:space="0" w:color="auto"/>
        <w:bottom w:val="none" w:sz="0" w:space="0" w:color="auto"/>
        <w:right w:val="none" w:sz="0" w:space="0" w:color="auto"/>
      </w:divBdr>
    </w:div>
    <w:div w:id="1246455486">
      <w:bodyDiv w:val="1"/>
      <w:marLeft w:val="0"/>
      <w:marRight w:val="0"/>
      <w:marTop w:val="0"/>
      <w:marBottom w:val="0"/>
      <w:divBdr>
        <w:top w:val="none" w:sz="0" w:space="0" w:color="auto"/>
        <w:left w:val="none" w:sz="0" w:space="0" w:color="auto"/>
        <w:bottom w:val="none" w:sz="0" w:space="0" w:color="auto"/>
        <w:right w:val="none" w:sz="0" w:space="0" w:color="auto"/>
      </w:divBdr>
    </w:div>
    <w:div w:id="1246525605">
      <w:bodyDiv w:val="1"/>
      <w:marLeft w:val="0"/>
      <w:marRight w:val="0"/>
      <w:marTop w:val="0"/>
      <w:marBottom w:val="0"/>
      <w:divBdr>
        <w:top w:val="none" w:sz="0" w:space="0" w:color="auto"/>
        <w:left w:val="none" w:sz="0" w:space="0" w:color="auto"/>
        <w:bottom w:val="none" w:sz="0" w:space="0" w:color="auto"/>
        <w:right w:val="none" w:sz="0" w:space="0" w:color="auto"/>
      </w:divBdr>
    </w:div>
    <w:div w:id="1246691587">
      <w:bodyDiv w:val="1"/>
      <w:marLeft w:val="0"/>
      <w:marRight w:val="0"/>
      <w:marTop w:val="0"/>
      <w:marBottom w:val="0"/>
      <w:divBdr>
        <w:top w:val="none" w:sz="0" w:space="0" w:color="auto"/>
        <w:left w:val="none" w:sz="0" w:space="0" w:color="auto"/>
        <w:bottom w:val="none" w:sz="0" w:space="0" w:color="auto"/>
        <w:right w:val="none" w:sz="0" w:space="0" w:color="auto"/>
      </w:divBdr>
    </w:div>
    <w:div w:id="1246692685">
      <w:bodyDiv w:val="1"/>
      <w:marLeft w:val="0"/>
      <w:marRight w:val="0"/>
      <w:marTop w:val="0"/>
      <w:marBottom w:val="0"/>
      <w:divBdr>
        <w:top w:val="none" w:sz="0" w:space="0" w:color="auto"/>
        <w:left w:val="none" w:sz="0" w:space="0" w:color="auto"/>
        <w:bottom w:val="none" w:sz="0" w:space="0" w:color="auto"/>
        <w:right w:val="none" w:sz="0" w:space="0" w:color="auto"/>
      </w:divBdr>
    </w:div>
    <w:div w:id="1246719414">
      <w:bodyDiv w:val="1"/>
      <w:marLeft w:val="0"/>
      <w:marRight w:val="0"/>
      <w:marTop w:val="0"/>
      <w:marBottom w:val="0"/>
      <w:divBdr>
        <w:top w:val="none" w:sz="0" w:space="0" w:color="auto"/>
        <w:left w:val="none" w:sz="0" w:space="0" w:color="auto"/>
        <w:bottom w:val="none" w:sz="0" w:space="0" w:color="auto"/>
        <w:right w:val="none" w:sz="0" w:space="0" w:color="auto"/>
      </w:divBdr>
    </w:div>
    <w:div w:id="1246914153">
      <w:bodyDiv w:val="1"/>
      <w:marLeft w:val="0"/>
      <w:marRight w:val="0"/>
      <w:marTop w:val="0"/>
      <w:marBottom w:val="0"/>
      <w:divBdr>
        <w:top w:val="none" w:sz="0" w:space="0" w:color="auto"/>
        <w:left w:val="none" w:sz="0" w:space="0" w:color="auto"/>
        <w:bottom w:val="none" w:sz="0" w:space="0" w:color="auto"/>
        <w:right w:val="none" w:sz="0" w:space="0" w:color="auto"/>
      </w:divBdr>
    </w:div>
    <w:div w:id="1247038983">
      <w:bodyDiv w:val="1"/>
      <w:marLeft w:val="0"/>
      <w:marRight w:val="0"/>
      <w:marTop w:val="0"/>
      <w:marBottom w:val="0"/>
      <w:divBdr>
        <w:top w:val="none" w:sz="0" w:space="0" w:color="auto"/>
        <w:left w:val="none" w:sz="0" w:space="0" w:color="auto"/>
        <w:bottom w:val="none" w:sz="0" w:space="0" w:color="auto"/>
        <w:right w:val="none" w:sz="0" w:space="0" w:color="auto"/>
      </w:divBdr>
    </w:div>
    <w:div w:id="1247039192">
      <w:bodyDiv w:val="1"/>
      <w:marLeft w:val="0"/>
      <w:marRight w:val="0"/>
      <w:marTop w:val="0"/>
      <w:marBottom w:val="0"/>
      <w:divBdr>
        <w:top w:val="none" w:sz="0" w:space="0" w:color="auto"/>
        <w:left w:val="none" w:sz="0" w:space="0" w:color="auto"/>
        <w:bottom w:val="none" w:sz="0" w:space="0" w:color="auto"/>
        <w:right w:val="none" w:sz="0" w:space="0" w:color="auto"/>
      </w:divBdr>
    </w:div>
    <w:div w:id="1247108002">
      <w:bodyDiv w:val="1"/>
      <w:marLeft w:val="0"/>
      <w:marRight w:val="0"/>
      <w:marTop w:val="0"/>
      <w:marBottom w:val="0"/>
      <w:divBdr>
        <w:top w:val="none" w:sz="0" w:space="0" w:color="auto"/>
        <w:left w:val="none" w:sz="0" w:space="0" w:color="auto"/>
        <w:bottom w:val="none" w:sz="0" w:space="0" w:color="auto"/>
        <w:right w:val="none" w:sz="0" w:space="0" w:color="auto"/>
      </w:divBdr>
    </w:div>
    <w:div w:id="1247113445">
      <w:bodyDiv w:val="1"/>
      <w:marLeft w:val="0"/>
      <w:marRight w:val="0"/>
      <w:marTop w:val="0"/>
      <w:marBottom w:val="0"/>
      <w:divBdr>
        <w:top w:val="none" w:sz="0" w:space="0" w:color="auto"/>
        <w:left w:val="none" w:sz="0" w:space="0" w:color="auto"/>
        <w:bottom w:val="none" w:sz="0" w:space="0" w:color="auto"/>
        <w:right w:val="none" w:sz="0" w:space="0" w:color="auto"/>
      </w:divBdr>
    </w:div>
    <w:div w:id="1247114474">
      <w:bodyDiv w:val="1"/>
      <w:marLeft w:val="0"/>
      <w:marRight w:val="0"/>
      <w:marTop w:val="0"/>
      <w:marBottom w:val="0"/>
      <w:divBdr>
        <w:top w:val="none" w:sz="0" w:space="0" w:color="auto"/>
        <w:left w:val="none" w:sz="0" w:space="0" w:color="auto"/>
        <w:bottom w:val="none" w:sz="0" w:space="0" w:color="auto"/>
        <w:right w:val="none" w:sz="0" w:space="0" w:color="auto"/>
      </w:divBdr>
    </w:div>
    <w:div w:id="1247182012">
      <w:bodyDiv w:val="1"/>
      <w:marLeft w:val="0"/>
      <w:marRight w:val="0"/>
      <w:marTop w:val="0"/>
      <w:marBottom w:val="0"/>
      <w:divBdr>
        <w:top w:val="none" w:sz="0" w:space="0" w:color="auto"/>
        <w:left w:val="none" w:sz="0" w:space="0" w:color="auto"/>
        <w:bottom w:val="none" w:sz="0" w:space="0" w:color="auto"/>
        <w:right w:val="none" w:sz="0" w:space="0" w:color="auto"/>
      </w:divBdr>
    </w:div>
    <w:div w:id="1247224861">
      <w:bodyDiv w:val="1"/>
      <w:marLeft w:val="0"/>
      <w:marRight w:val="0"/>
      <w:marTop w:val="0"/>
      <w:marBottom w:val="0"/>
      <w:divBdr>
        <w:top w:val="none" w:sz="0" w:space="0" w:color="auto"/>
        <w:left w:val="none" w:sz="0" w:space="0" w:color="auto"/>
        <w:bottom w:val="none" w:sz="0" w:space="0" w:color="auto"/>
        <w:right w:val="none" w:sz="0" w:space="0" w:color="auto"/>
      </w:divBdr>
    </w:div>
    <w:div w:id="1247303172">
      <w:bodyDiv w:val="1"/>
      <w:marLeft w:val="0"/>
      <w:marRight w:val="0"/>
      <w:marTop w:val="0"/>
      <w:marBottom w:val="0"/>
      <w:divBdr>
        <w:top w:val="none" w:sz="0" w:space="0" w:color="auto"/>
        <w:left w:val="none" w:sz="0" w:space="0" w:color="auto"/>
        <w:bottom w:val="none" w:sz="0" w:space="0" w:color="auto"/>
        <w:right w:val="none" w:sz="0" w:space="0" w:color="auto"/>
      </w:divBdr>
    </w:div>
    <w:div w:id="1247374483">
      <w:bodyDiv w:val="1"/>
      <w:marLeft w:val="0"/>
      <w:marRight w:val="0"/>
      <w:marTop w:val="0"/>
      <w:marBottom w:val="0"/>
      <w:divBdr>
        <w:top w:val="none" w:sz="0" w:space="0" w:color="auto"/>
        <w:left w:val="none" w:sz="0" w:space="0" w:color="auto"/>
        <w:bottom w:val="none" w:sz="0" w:space="0" w:color="auto"/>
        <w:right w:val="none" w:sz="0" w:space="0" w:color="auto"/>
      </w:divBdr>
    </w:div>
    <w:div w:id="1247421913">
      <w:bodyDiv w:val="1"/>
      <w:marLeft w:val="0"/>
      <w:marRight w:val="0"/>
      <w:marTop w:val="0"/>
      <w:marBottom w:val="0"/>
      <w:divBdr>
        <w:top w:val="none" w:sz="0" w:space="0" w:color="auto"/>
        <w:left w:val="none" w:sz="0" w:space="0" w:color="auto"/>
        <w:bottom w:val="none" w:sz="0" w:space="0" w:color="auto"/>
        <w:right w:val="none" w:sz="0" w:space="0" w:color="auto"/>
      </w:divBdr>
    </w:div>
    <w:div w:id="1247423112">
      <w:bodyDiv w:val="1"/>
      <w:marLeft w:val="0"/>
      <w:marRight w:val="0"/>
      <w:marTop w:val="0"/>
      <w:marBottom w:val="0"/>
      <w:divBdr>
        <w:top w:val="none" w:sz="0" w:space="0" w:color="auto"/>
        <w:left w:val="none" w:sz="0" w:space="0" w:color="auto"/>
        <w:bottom w:val="none" w:sz="0" w:space="0" w:color="auto"/>
        <w:right w:val="none" w:sz="0" w:space="0" w:color="auto"/>
      </w:divBdr>
    </w:div>
    <w:div w:id="1247424588">
      <w:bodyDiv w:val="1"/>
      <w:marLeft w:val="0"/>
      <w:marRight w:val="0"/>
      <w:marTop w:val="0"/>
      <w:marBottom w:val="0"/>
      <w:divBdr>
        <w:top w:val="none" w:sz="0" w:space="0" w:color="auto"/>
        <w:left w:val="none" w:sz="0" w:space="0" w:color="auto"/>
        <w:bottom w:val="none" w:sz="0" w:space="0" w:color="auto"/>
        <w:right w:val="none" w:sz="0" w:space="0" w:color="auto"/>
      </w:divBdr>
    </w:div>
    <w:div w:id="1247500961">
      <w:bodyDiv w:val="1"/>
      <w:marLeft w:val="0"/>
      <w:marRight w:val="0"/>
      <w:marTop w:val="0"/>
      <w:marBottom w:val="0"/>
      <w:divBdr>
        <w:top w:val="none" w:sz="0" w:space="0" w:color="auto"/>
        <w:left w:val="none" w:sz="0" w:space="0" w:color="auto"/>
        <w:bottom w:val="none" w:sz="0" w:space="0" w:color="auto"/>
        <w:right w:val="none" w:sz="0" w:space="0" w:color="auto"/>
      </w:divBdr>
    </w:div>
    <w:div w:id="1247543402">
      <w:bodyDiv w:val="1"/>
      <w:marLeft w:val="0"/>
      <w:marRight w:val="0"/>
      <w:marTop w:val="0"/>
      <w:marBottom w:val="0"/>
      <w:divBdr>
        <w:top w:val="none" w:sz="0" w:space="0" w:color="auto"/>
        <w:left w:val="none" w:sz="0" w:space="0" w:color="auto"/>
        <w:bottom w:val="none" w:sz="0" w:space="0" w:color="auto"/>
        <w:right w:val="none" w:sz="0" w:space="0" w:color="auto"/>
      </w:divBdr>
    </w:div>
    <w:div w:id="1247614705">
      <w:bodyDiv w:val="1"/>
      <w:marLeft w:val="0"/>
      <w:marRight w:val="0"/>
      <w:marTop w:val="0"/>
      <w:marBottom w:val="0"/>
      <w:divBdr>
        <w:top w:val="none" w:sz="0" w:space="0" w:color="auto"/>
        <w:left w:val="none" w:sz="0" w:space="0" w:color="auto"/>
        <w:bottom w:val="none" w:sz="0" w:space="0" w:color="auto"/>
        <w:right w:val="none" w:sz="0" w:space="0" w:color="auto"/>
      </w:divBdr>
    </w:div>
    <w:div w:id="1247687784">
      <w:bodyDiv w:val="1"/>
      <w:marLeft w:val="0"/>
      <w:marRight w:val="0"/>
      <w:marTop w:val="0"/>
      <w:marBottom w:val="0"/>
      <w:divBdr>
        <w:top w:val="none" w:sz="0" w:space="0" w:color="auto"/>
        <w:left w:val="none" w:sz="0" w:space="0" w:color="auto"/>
        <w:bottom w:val="none" w:sz="0" w:space="0" w:color="auto"/>
        <w:right w:val="none" w:sz="0" w:space="0" w:color="auto"/>
      </w:divBdr>
    </w:div>
    <w:div w:id="1247837096">
      <w:bodyDiv w:val="1"/>
      <w:marLeft w:val="0"/>
      <w:marRight w:val="0"/>
      <w:marTop w:val="0"/>
      <w:marBottom w:val="0"/>
      <w:divBdr>
        <w:top w:val="none" w:sz="0" w:space="0" w:color="auto"/>
        <w:left w:val="none" w:sz="0" w:space="0" w:color="auto"/>
        <w:bottom w:val="none" w:sz="0" w:space="0" w:color="auto"/>
        <w:right w:val="none" w:sz="0" w:space="0" w:color="auto"/>
      </w:divBdr>
    </w:div>
    <w:div w:id="1248003269">
      <w:bodyDiv w:val="1"/>
      <w:marLeft w:val="0"/>
      <w:marRight w:val="0"/>
      <w:marTop w:val="0"/>
      <w:marBottom w:val="0"/>
      <w:divBdr>
        <w:top w:val="none" w:sz="0" w:space="0" w:color="auto"/>
        <w:left w:val="none" w:sz="0" w:space="0" w:color="auto"/>
        <w:bottom w:val="none" w:sz="0" w:space="0" w:color="auto"/>
        <w:right w:val="none" w:sz="0" w:space="0" w:color="auto"/>
      </w:divBdr>
    </w:div>
    <w:div w:id="1248080534">
      <w:bodyDiv w:val="1"/>
      <w:marLeft w:val="0"/>
      <w:marRight w:val="0"/>
      <w:marTop w:val="0"/>
      <w:marBottom w:val="0"/>
      <w:divBdr>
        <w:top w:val="none" w:sz="0" w:space="0" w:color="auto"/>
        <w:left w:val="none" w:sz="0" w:space="0" w:color="auto"/>
        <w:bottom w:val="none" w:sz="0" w:space="0" w:color="auto"/>
        <w:right w:val="none" w:sz="0" w:space="0" w:color="auto"/>
      </w:divBdr>
    </w:div>
    <w:div w:id="1248344446">
      <w:bodyDiv w:val="1"/>
      <w:marLeft w:val="0"/>
      <w:marRight w:val="0"/>
      <w:marTop w:val="0"/>
      <w:marBottom w:val="0"/>
      <w:divBdr>
        <w:top w:val="none" w:sz="0" w:space="0" w:color="auto"/>
        <w:left w:val="none" w:sz="0" w:space="0" w:color="auto"/>
        <w:bottom w:val="none" w:sz="0" w:space="0" w:color="auto"/>
        <w:right w:val="none" w:sz="0" w:space="0" w:color="auto"/>
      </w:divBdr>
    </w:div>
    <w:div w:id="1248347038">
      <w:bodyDiv w:val="1"/>
      <w:marLeft w:val="0"/>
      <w:marRight w:val="0"/>
      <w:marTop w:val="0"/>
      <w:marBottom w:val="0"/>
      <w:divBdr>
        <w:top w:val="none" w:sz="0" w:space="0" w:color="auto"/>
        <w:left w:val="none" w:sz="0" w:space="0" w:color="auto"/>
        <w:bottom w:val="none" w:sz="0" w:space="0" w:color="auto"/>
        <w:right w:val="none" w:sz="0" w:space="0" w:color="auto"/>
      </w:divBdr>
    </w:div>
    <w:div w:id="1248348373">
      <w:bodyDiv w:val="1"/>
      <w:marLeft w:val="0"/>
      <w:marRight w:val="0"/>
      <w:marTop w:val="0"/>
      <w:marBottom w:val="0"/>
      <w:divBdr>
        <w:top w:val="none" w:sz="0" w:space="0" w:color="auto"/>
        <w:left w:val="none" w:sz="0" w:space="0" w:color="auto"/>
        <w:bottom w:val="none" w:sz="0" w:space="0" w:color="auto"/>
        <w:right w:val="none" w:sz="0" w:space="0" w:color="auto"/>
      </w:divBdr>
    </w:div>
    <w:div w:id="1248533651">
      <w:bodyDiv w:val="1"/>
      <w:marLeft w:val="0"/>
      <w:marRight w:val="0"/>
      <w:marTop w:val="0"/>
      <w:marBottom w:val="0"/>
      <w:divBdr>
        <w:top w:val="none" w:sz="0" w:space="0" w:color="auto"/>
        <w:left w:val="none" w:sz="0" w:space="0" w:color="auto"/>
        <w:bottom w:val="none" w:sz="0" w:space="0" w:color="auto"/>
        <w:right w:val="none" w:sz="0" w:space="0" w:color="auto"/>
      </w:divBdr>
    </w:div>
    <w:div w:id="1248535772">
      <w:bodyDiv w:val="1"/>
      <w:marLeft w:val="0"/>
      <w:marRight w:val="0"/>
      <w:marTop w:val="0"/>
      <w:marBottom w:val="0"/>
      <w:divBdr>
        <w:top w:val="none" w:sz="0" w:space="0" w:color="auto"/>
        <w:left w:val="none" w:sz="0" w:space="0" w:color="auto"/>
        <w:bottom w:val="none" w:sz="0" w:space="0" w:color="auto"/>
        <w:right w:val="none" w:sz="0" w:space="0" w:color="auto"/>
      </w:divBdr>
    </w:div>
    <w:div w:id="1248614824">
      <w:bodyDiv w:val="1"/>
      <w:marLeft w:val="0"/>
      <w:marRight w:val="0"/>
      <w:marTop w:val="0"/>
      <w:marBottom w:val="0"/>
      <w:divBdr>
        <w:top w:val="none" w:sz="0" w:space="0" w:color="auto"/>
        <w:left w:val="none" w:sz="0" w:space="0" w:color="auto"/>
        <w:bottom w:val="none" w:sz="0" w:space="0" w:color="auto"/>
        <w:right w:val="none" w:sz="0" w:space="0" w:color="auto"/>
      </w:divBdr>
    </w:div>
    <w:div w:id="1248811920">
      <w:bodyDiv w:val="1"/>
      <w:marLeft w:val="0"/>
      <w:marRight w:val="0"/>
      <w:marTop w:val="0"/>
      <w:marBottom w:val="0"/>
      <w:divBdr>
        <w:top w:val="none" w:sz="0" w:space="0" w:color="auto"/>
        <w:left w:val="none" w:sz="0" w:space="0" w:color="auto"/>
        <w:bottom w:val="none" w:sz="0" w:space="0" w:color="auto"/>
        <w:right w:val="none" w:sz="0" w:space="0" w:color="auto"/>
      </w:divBdr>
    </w:div>
    <w:div w:id="1248924331">
      <w:bodyDiv w:val="1"/>
      <w:marLeft w:val="0"/>
      <w:marRight w:val="0"/>
      <w:marTop w:val="0"/>
      <w:marBottom w:val="0"/>
      <w:divBdr>
        <w:top w:val="none" w:sz="0" w:space="0" w:color="auto"/>
        <w:left w:val="none" w:sz="0" w:space="0" w:color="auto"/>
        <w:bottom w:val="none" w:sz="0" w:space="0" w:color="auto"/>
        <w:right w:val="none" w:sz="0" w:space="0" w:color="auto"/>
      </w:divBdr>
    </w:div>
    <w:div w:id="1249118035">
      <w:bodyDiv w:val="1"/>
      <w:marLeft w:val="0"/>
      <w:marRight w:val="0"/>
      <w:marTop w:val="0"/>
      <w:marBottom w:val="0"/>
      <w:divBdr>
        <w:top w:val="none" w:sz="0" w:space="0" w:color="auto"/>
        <w:left w:val="none" w:sz="0" w:space="0" w:color="auto"/>
        <w:bottom w:val="none" w:sz="0" w:space="0" w:color="auto"/>
        <w:right w:val="none" w:sz="0" w:space="0" w:color="auto"/>
      </w:divBdr>
    </w:div>
    <w:div w:id="1249344638">
      <w:bodyDiv w:val="1"/>
      <w:marLeft w:val="0"/>
      <w:marRight w:val="0"/>
      <w:marTop w:val="0"/>
      <w:marBottom w:val="0"/>
      <w:divBdr>
        <w:top w:val="none" w:sz="0" w:space="0" w:color="auto"/>
        <w:left w:val="none" w:sz="0" w:space="0" w:color="auto"/>
        <w:bottom w:val="none" w:sz="0" w:space="0" w:color="auto"/>
        <w:right w:val="none" w:sz="0" w:space="0" w:color="auto"/>
      </w:divBdr>
    </w:div>
    <w:div w:id="1249728343">
      <w:bodyDiv w:val="1"/>
      <w:marLeft w:val="0"/>
      <w:marRight w:val="0"/>
      <w:marTop w:val="0"/>
      <w:marBottom w:val="0"/>
      <w:divBdr>
        <w:top w:val="none" w:sz="0" w:space="0" w:color="auto"/>
        <w:left w:val="none" w:sz="0" w:space="0" w:color="auto"/>
        <w:bottom w:val="none" w:sz="0" w:space="0" w:color="auto"/>
        <w:right w:val="none" w:sz="0" w:space="0" w:color="auto"/>
      </w:divBdr>
    </w:div>
    <w:div w:id="1249775142">
      <w:bodyDiv w:val="1"/>
      <w:marLeft w:val="0"/>
      <w:marRight w:val="0"/>
      <w:marTop w:val="0"/>
      <w:marBottom w:val="0"/>
      <w:divBdr>
        <w:top w:val="none" w:sz="0" w:space="0" w:color="auto"/>
        <w:left w:val="none" w:sz="0" w:space="0" w:color="auto"/>
        <w:bottom w:val="none" w:sz="0" w:space="0" w:color="auto"/>
        <w:right w:val="none" w:sz="0" w:space="0" w:color="auto"/>
      </w:divBdr>
    </w:div>
    <w:div w:id="1249777091">
      <w:bodyDiv w:val="1"/>
      <w:marLeft w:val="0"/>
      <w:marRight w:val="0"/>
      <w:marTop w:val="0"/>
      <w:marBottom w:val="0"/>
      <w:divBdr>
        <w:top w:val="none" w:sz="0" w:space="0" w:color="auto"/>
        <w:left w:val="none" w:sz="0" w:space="0" w:color="auto"/>
        <w:bottom w:val="none" w:sz="0" w:space="0" w:color="auto"/>
        <w:right w:val="none" w:sz="0" w:space="0" w:color="auto"/>
      </w:divBdr>
    </w:div>
    <w:div w:id="1249777227">
      <w:bodyDiv w:val="1"/>
      <w:marLeft w:val="0"/>
      <w:marRight w:val="0"/>
      <w:marTop w:val="0"/>
      <w:marBottom w:val="0"/>
      <w:divBdr>
        <w:top w:val="none" w:sz="0" w:space="0" w:color="auto"/>
        <w:left w:val="none" w:sz="0" w:space="0" w:color="auto"/>
        <w:bottom w:val="none" w:sz="0" w:space="0" w:color="auto"/>
        <w:right w:val="none" w:sz="0" w:space="0" w:color="auto"/>
      </w:divBdr>
    </w:div>
    <w:div w:id="1249803331">
      <w:bodyDiv w:val="1"/>
      <w:marLeft w:val="0"/>
      <w:marRight w:val="0"/>
      <w:marTop w:val="0"/>
      <w:marBottom w:val="0"/>
      <w:divBdr>
        <w:top w:val="none" w:sz="0" w:space="0" w:color="auto"/>
        <w:left w:val="none" w:sz="0" w:space="0" w:color="auto"/>
        <w:bottom w:val="none" w:sz="0" w:space="0" w:color="auto"/>
        <w:right w:val="none" w:sz="0" w:space="0" w:color="auto"/>
      </w:divBdr>
    </w:div>
    <w:div w:id="1249924482">
      <w:bodyDiv w:val="1"/>
      <w:marLeft w:val="0"/>
      <w:marRight w:val="0"/>
      <w:marTop w:val="0"/>
      <w:marBottom w:val="0"/>
      <w:divBdr>
        <w:top w:val="none" w:sz="0" w:space="0" w:color="auto"/>
        <w:left w:val="none" w:sz="0" w:space="0" w:color="auto"/>
        <w:bottom w:val="none" w:sz="0" w:space="0" w:color="auto"/>
        <w:right w:val="none" w:sz="0" w:space="0" w:color="auto"/>
      </w:divBdr>
    </w:div>
    <w:div w:id="1249924534">
      <w:bodyDiv w:val="1"/>
      <w:marLeft w:val="0"/>
      <w:marRight w:val="0"/>
      <w:marTop w:val="0"/>
      <w:marBottom w:val="0"/>
      <w:divBdr>
        <w:top w:val="none" w:sz="0" w:space="0" w:color="auto"/>
        <w:left w:val="none" w:sz="0" w:space="0" w:color="auto"/>
        <w:bottom w:val="none" w:sz="0" w:space="0" w:color="auto"/>
        <w:right w:val="none" w:sz="0" w:space="0" w:color="auto"/>
      </w:divBdr>
    </w:div>
    <w:div w:id="1250044650">
      <w:bodyDiv w:val="1"/>
      <w:marLeft w:val="0"/>
      <w:marRight w:val="0"/>
      <w:marTop w:val="0"/>
      <w:marBottom w:val="0"/>
      <w:divBdr>
        <w:top w:val="none" w:sz="0" w:space="0" w:color="auto"/>
        <w:left w:val="none" w:sz="0" w:space="0" w:color="auto"/>
        <w:bottom w:val="none" w:sz="0" w:space="0" w:color="auto"/>
        <w:right w:val="none" w:sz="0" w:space="0" w:color="auto"/>
      </w:divBdr>
    </w:div>
    <w:div w:id="1250117462">
      <w:bodyDiv w:val="1"/>
      <w:marLeft w:val="0"/>
      <w:marRight w:val="0"/>
      <w:marTop w:val="0"/>
      <w:marBottom w:val="0"/>
      <w:divBdr>
        <w:top w:val="none" w:sz="0" w:space="0" w:color="auto"/>
        <w:left w:val="none" w:sz="0" w:space="0" w:color="auto"/>
        <w:bottom w:val="none" w:sz="0" w:space="0" w:color="auto"/>
        <w:right w:val="none" w:sz="0" w:space="0" w:color="auto"/>
      </w:divBdr>
    </w:div>
    <w:div w:id="1250122137">
      <w:bodyDiv w:val="1"/>
      <w:marLeft w:val="0"/>
      <w:marRight w:val="0"/>
      <w:marTop w:val="0"/>
      <w:marBottom w:val="0"/>
      <w:divBdr>
        <w:top w:val="none" w:sz="0" w:space="0" w:color="auto"/>
        <w:left w:val="none" w:sz="0" w:space="0" w:color="auto"/>
        <w:bottom w:val="none" w:sz="0" w:space="0" w:color="auto"/>
        <w:right w:val="none" w:sz="0" w:space="0" w:color="auto"/>
      </w:divBdr>
    </w:div>
    <w:div w:id="1250431285">
      <w:bodyDiv w:val="1"/>
      <w:marLeft w:val="0"/>
      <w:marRight w:val="0"/>
      <w:marTop w:val="0"/>
      <w:marBottom w:val="0"/>
      <w:divBdr>
        <w:top w:val="none" w:sz="0" w:space="0" w:color="auto"/>
        <w:left w:val="none" w:sz="0" w:space="0" w:color="auto"/>
        <w:bottom w:val="none" w:sz="0" w:space="0" w:color="auto"/>
        <w:right w:val="none" w:sz="0" w:space="0" w:color="auto"/>
      </w:divBdr>
    </w:div>
    <w:div w:id="1250505290">
      <w:bodyDiv w:val="1"/>
      <w:marLeft w:val="0"/>
      <w:marRight w:val="0"/>
      <w:marTop w:val="0"/>
      <w:marBottom w:val="0"/>
      <w:divBdr>
        <w:top w:val="none" w:sz="0" w:space="0" w:color="auto"/>
        <w:left w:val="none" w:sz="0" w:space="0" w:color="auto"/>
        <w:bottom w:val="none" w:sz="0" w:space="0" w:color="auto"/>
        <w:right w:val="none" w:sz="0" w:space="0" w:color="auto"/>
      </w:divBdr>
    </w:div>
    <w:div w:id="1250507023">
      <w:bodyDiv w:val="1"/>
      <w:marLeft w:val="0"/>
      <w:marRight w:val="0"/>
      <w:marTop w:val="0"/>
      <w:marBottom w:val="0"/>
      <w:divBdr>
        <w:top w:val="none" w:sz="0" w:space="0" w:color="auto"/>
        <w:left w:val="none" w:sz="0" w:space="0" w:color="auto"/>
        <w:bottom w:val="none" w:sz="0" w:space="0" w:color="auto"/>
        <w:right w:val="none" w:sz="0" w:space="0" w:color="auto"/>
      </w:divBdr>
    </w:div>
    <w:div w:id="1250508340">
      <w:bodyDiv w:val="1"/>
      <w:marLeft w:val="0"/>
      <w:marRight w:val="0"/>
      <w:marTop w:val="0"/>
      <w:marBottom w:val="0"/>
      <w:divBdr>
        <w:top w:val="none" w:sz="0" w:space="0" w:color="auto"/>
        <w:left w:val="none" w:sz="0" w:space="0" w:color="auto"/>
        <w:bottom w:val="none" w:sz="0" w:space="0" w:color="auto"/>
        <w:right w:val="none" w:sz="0" w:space="0" w:color="auto"/>
      </w:divBdr>
    </w:div>
    <w:div w:id="1250509092">
      <w:bodyDiv w:val="1"/>
      <w:marLeft w:val="0"/>
      <w:marRight w:val="0"/>
      <w:marTop w:val="0"/>
      <w:marBottom w:val="0"/>
      <w:divBdr>
        <w:top w:val="none" w:sz="0" w:space="0" w:color="auto"/>
        <w:left w:val="none" w:sz="0" w:space="0" w:color="auto"/>
        <w:bottom w:val="none" w:sz="0" w:space="0" w:color="auto"/>
        <w:right w:val="none" w:sz="0" w:space="0" w:color="auto"/>
      </w:divBdr>
    </w:div>
    <w:div w:id="1250575842">
      <w:bodyDiv w:val="1"/>
      <w:marLeft w:val="0"/>
      <w:marRight w:val="0"/>
      <w:marTop w:val="0"/>
      <w:marBottom w:val="0"/>
      <w:divBdr>
        <w:top w:val="none" w:sz="0" w:space="0" w:color="auto"/>
        <w:left w:val="none" w:sz="0" w:space="0" w:color="auto"/>
        <w:bottom w:val="none" w:sz="0" w:space="0" w:color="auto"/>
        <w:right w:val="none" w:sz="0" w:space="0" w:color="auto"/>
      </w:divBdr>
    </w:div>
    <w:div w:id="1250577640">
      <w:bodyDiv w:val="1"/>
      <w:marLeft w:val="0"/>
      <w:marRight w:val="0"/>
      <w:marTop w:val="0"/>
      <w:marBottom w:val="0"/>
      <w:divBdr>
        <w:top w:val="none" w:sz="0" w:space="0" w:color="auto"/>
        <w:left w:val="none" w:sz="0" w:space="0" w:color="auto"/>
        <w:bottom w:val="none" w:sz="0" w:space="0" w:color="auto"/>
        <w:right w:val="none" w:sz="0" w:space="0" w:color="auto"/>
      </w:divBdr>
    </w:div>
    <w:div w:id="1250654911">
      <w:bodyDiv w:val="1"/>
      <w:marLeft w:val="0"/>
      <w:marRight w:val="0"/>
      <w:marTop w:val="0"/>
      <w:marBottom w:val="0"/>
      <w:divBdr>
        <w:top w:val="none" w:sz="0" w:space="0" w:color="auto"/>
        <w:left w:val="none" w:sz="0" w:space="0" w:color="auto"/>
        <w:bottom w:val="none" w:sz="0" w:space="0" w:color="auto"/>
        <w:right w:val="none" w:sz="0" w:space="0" w:color="auto"/>
      </w:divBdr>
    </w:div>
    <w:div w:id="1250774273">
      <w:bodyDiv w:val="1"/>
      <w:marLeft w:val="0"/>
      <w:marRight w:val="0"/>
      <w:marTop w:val="0"/>
      <w:marBottom w:val="0"/>
      <w:divBdr>
        <w:top w:val="none" w:sz="0" w:space="0" w:color="auto"/>
        <w:left w:val="none" w:sz="0" w:space="0" w:color="auto"/>
        <w:bottom w:val="none" w:sz="0" w:space="0" w:color="auto"/>
        <w:right w:val="none" w:sz="0" w:space="0" w:color="auto"/>
      </w:divBdr>
    </w:div>
    <w:div w:id="1250850879">
      <w:bodyDiv w:val="1"/>
      <w:marLeft w:val="0"/>
      <w:marRight w:val="0"/>
      <w:marTop w:val="0"/>
      <w:marBottom w:val="0"/>
      <w:divBdr>
        <w:top w:val="none" w:sz="0" w:space="0" w:color="auto"/>
        <w:left w:val="none" w:sz="0" w:space="0" w:color="auto"/>
        <w:bottom w:val="none" w:sz="0" w:space="0" w:color="auto"/>
        <w:right w:val="none" w:sz="0" w:space="0" w:color="auto"/>
      </w:divBdr>
    </w:div>
    <w:div w:id="1251041185">
      <w:bodyDiv w:val="1"/>
      <w:marLeft w:val="0"/>
      <w:marRight w:val="0"/>
      <w:marTop w:val="0"/>
      <w:marBottom w:val="0"/>
      <w:divBdr>
        <w:top w:val="none" w:sz="0" w:space="0" w:color="auto"/>
        <w:left w:val="none" w:sz="0" w:space="0" w:color="auto"/>
        <w:bottom w:val="none" w:sz="0" w:space="0" w:color="auto"/>
        <w:right w:val="none" w:sz="0" w:space="0" w:color="auto"/>
      </w:divBdr>
    </w:div>
    <w:div w:id="1251044281">
      <w:bodyDiv w:val="1"/>
      <w:marLeft w:val="0"/>
      <w:marRight w:val="0"/>
      <w:marTop w:val="0"/>
      <w:marBottom w:val="0"/>
      <w:divBdr>
        <w:top w:val="none" w:sz="0" w:space="0" w:color="auto"/>
        <w:left w:val="none" w:sz="0" w:space="0" w:color="auto"/>
        <w:bottom w:val="none" w:sz="0" w:space="0" w:color="auto"/>
        <w:right w:val="none" w:sz="0" w:space="0" w:color="auto"/>
      </w:divBdr>
    </w:div>
    <w:div w:id="1251162191">
      <w:bodyDiv w:val="1"/>
      <w:marLeft w:val="0"/>
      <w:marRight w:val="0"/>
      <w:marTop w:val="0"/>
      <w:marBottom w:val="0"/>
      <w:divBdr>
        <w:top w:val="none" w:sz="0" w:space="0" w:color="auto"/>
        <w:left w:val="none" w:sz="0" w:space="0" w:color="auto"/>
        <w:bottom w:val="none" w:sz="0" w:space="0" w:color="auto"/>
        <w:right w:val="none" w:sz="0" w:space="0" w:color="auto"/>
      </w:divBdr>
    </w:div>
    <w:div w:id="1251279867">
      <w:bodyDiv w:val="1"/>
      <w:marLeft w:val="0"/>
      <w:marRight w:val="0"/>
      <w:marTop w:val="0"/>
      <w:marBottom w:val="0"/>
      <w:divBdr>
        <w:top w:val="none" w:sz="0" w:space="0" w:color="auto"/>
        <w:left w:val="none" w:sz="0" w:space="0" w:color="auto"/>
        <w:bottom w:val="none" w:sz="0" w:space="0" w:color="auto"/>
        <w:right w:val="none" w:sz="0" w:space="0" w:color="auto"/>
      </w:divBdr>
    </w:div>
    <w:div w:id="1251502701">
      <w:bodyDiv w:val="1"/>
      <w:marLeft w:val="0"/>
      <w:marRight w:val="0"/>
      <w:marTop w:val="0"/>
      <w:marBottom w:val="0"/>
      <w:divBdr>
        <w:top w:val="none" w:sz="0" w:space="0" w:color="auto"/>
        <w:left w:val="none" w:sz="0" w:space="0" w:color="auto"/>
        <w:bottom w:val="none" w:sz="0" w:space="0" w:color="auto"/>
        <w:right w:val="none" w:sz="0" w:space="0" w:color="auto"/>
      </w:divBdr>
    </w:div>
    <w:div w:id="1251617945">
      <w:bodyDiv w:val="1"/>
      <w:marLeft w:val="0"/>
      <w:marRight w:val="0"/>
      <w:marTop w:val="0"/>
      <w:marBottom w:val="0"/>
      <w:divBdr>
        <w:top w:val="none" w:sz="0" w:space="0" w:color="auto"/>
        <w:left w:val="none" w:sz="0" w:space="0" w:color="auto"/>
        <w:bottom w:val="none" w:sz="0" w:space="0" w:color="auto"/>
        <w:right w:val="none" w:sz="0" w:space="0" w:color="auto"/>
      </w:divBdr>
    </w:div>
    <w:div w:id="1251693814">
      <w:bodyDiv w:val="1"/>
      <w:marLeft w:val="0"/>
      <w:marRight w:val="0"/>
      <w:marTop w:val="0"/>
      <w:marBottom w:val="0"/>
      <w:divBdr>
        <w:top w:val="none" w:sz="0" w:space="0" w:color="auto"/>
        <w:left w:val="none" w:sz="0" w:space="0" w:color="auto"/>
        <w:bottom w:val="none" w:sz="0" w:space="0" w:color="auto"/>
        <w:right w:val="none" w:sz="0" w:space="0" w:color="auto"/>
      </w:divBdr>
    </w:div>
    <w:div w:id="1251769867">
      <w:bodyDiv w:val="1"/>
      <w:marLeft w:val="0"/>
      <w:marRight w:val="0"/>
      <w:marTop w:val="0"/>
      <w:marBottom w:val="0"/>
      <w:divBdr>
        <w:top w:val="none" w:sz="0" w:space="0" w:color="auto"/>
        <w:left w:val="none" w:sz="0" w:space="0" w:color="auto"/>
        <w:bottom w:val="none" w:sz="0" w:space="0" w:color="auto"/>
        <w:right w:val="none" w:sz="0" w:space="0" w:color="auto"/>
      </w:divBdr>
    </w:div>
    <w:div w:id="1251810712">
      <w:bodyDiv w:val="1"/>
      <w:marLeft w:val="0"/>
      <w:marRight w:val="0"/>
      <w:marTop w:val="0"/>
      <w:marBottom w:val="0"/>
      <w:divBdr>
        <w:top w:val="none" w:sz="0" w:space="0" w:color="auto"/>
        <w:left w:val="none" w:sz="0" w:space="0" w:color="auto"/>
        <w:bottom w:val="none" w:sz="0" w:space="0" w:color="auto"/>
        <w:right w:val="none" w:sz="0" w:space="0" w:color="auto"/>
      </w:divBdr>
    </w:div>
    <w:div w:id="1251892515">
      <w:bodyDiv w:val="1"/>
      <w:marLeft w:val="0"/>
      <w:marRight w:val="0"/>
      <w:marTop w:val="0"/>
      <w:marBottom w:val="0"/>
      <w:divBdr>
        <w:top w:val="none" w:sz="0" w:space="0" w:color="auto"/>
        <w:left w:val="none" w:sz="0" w:space="0" w:color="auto"/>
        <w:bottom w:val="none" w:sz="0" w:space="0" w:color="auto"/>
        <w:right w:val="none" w:sz="0" w:space="0" w:color="auto"/>
      </w:divBdr>
    </w:div>
    <w:div w:id="1251934517">
      <w:bodyDiv w:val="1"/>
      <w:marLeft w:val="0"/>
      <w:marRight w:val="0"/>
      <w:marTop w:val="0"/>
      <w:marBottom w:val="0"/>
      <w:divBdr>
        <w:top w:val="none" w:sz="0" w:space="0" w:color="auto"/>
        <w:left w:val="none" w:sz="0" w:space="0" w:color="auto"/>
        <w:bottom w:val="none" w:sz="0" w:space="0" w:color="auto"/>
        <w:right w:val="none" w:sz="0" w:space="0" w:color="auto"/>
      </w:divBdr>
    </w:div>
    <w:div w:id="1252003774">
      <w:bodyDiv w:val="1"/>
      <w:marLeft w:val="0"/>
      <w:marRight w:val="0"/>
      <w:marTop w:val="0"/>
      <w:marBottom w:val="0"/>
      <w:divBdr>
        <w:top w:val="none" w:sz="0" w:space="0" w:color="auto"/>
        <w:left w:val="none" w:sz="0" w:space="0" w:color="auto"/>
        <w:bottom w:val="none" w:sz="0" w:space="0" w:color="auto"/>
        <w:right w:val="none" w:sz="0" w:space="0" w:color="auto"/>
      </w:divBdr>
    </w:div>
    <w:div w:id="1252010440">
      <w:bodyDiv w:val="1"/>
      <w:marLeft w:val="0"/>
      <w:marRight w:val="0"/>
      <w:marTop w:val="0"/>
      <w:marBottom w:val="0"/>
      <w:divBdr>
        <w:top w:val="none" w:sz="0" w:space="0" w:color="auto"/>
        <w:left w:val="none" w:sz="0" w:space="0" w:color="auto"/>
        <w:bottom w:val="none" w:sz="0" w:space="0" w:color="auto"/>
        <w:right w:val="none" w:sz="0" w:space="0" w:color="auto"/>
      </w:divBdr>
    </w:div>
    <w:div w:id="1252162175">
      <w:bodyDiv w:val="1"/>
      <w:marLeft w:val="0"/>
      <w:marRight w:val="0"/>
      <w:marTop w:val="0"/>
      <w:marBottom w:val="0"/>
      <w:divBdr>
        <w:top w:val="none" w:sz="0" w:space="0" w:color="auto"/>
        <w:left w:val="none" w:sz="0" w:space="0" w:color="auto"/>
        <w:bottom w:val="none" w:sz="0" w:space="0" w:color="auto"/>
        <w:right w:val="none" w:sz="0" w:space="0" w:color="auto"/>
      </w:divBdr>
    </w:div>
    <w:div w:id="1252199289">
      <w:bodyDiv w:val="1"/>
      <w:marLeft w:val="0"/>
      <w:marRight w:val="0"/>
      <w:marTop w:val="0"/>
      <w:marBottom w:val="0"/>
      <w:divBdr>
        <w:top w:val="none" w:sz="0" w:space="0" w:color="auto"/>
        <w:left w:val="none" w:sz="0" w:space="0" w:color="auto"/>
        <w:bottom w:val="none" w:sz="0" w:space="0" w:color="auto"/>
        <w:right w:val="none" w:sz="0" w:space="0" w:color="auto"/>
      </w:divBdr>
    </w:div>
    <w:div w:id="1252274067">
      <w:bodyDiv w:val="1"/>
      <w:marLeft w:val="0"/>
      <w:marRight w:val="0"/>
      <w:marTop w:val="0"/>
      <w:marBottom w:val="0"/>
      <w:divBdr>
        <w:top w:val="none" w:sz="0" w:space="0" w:color="auto"/>
        <w:left w:val="none" w:sz="0" w:space="0" w:color="auto"/>
        <w:bottom w:val="none" w:sz="0" w:space="0" w:color="auto"/>
        <w:right w:val="none" w:sz="0" w:space="0" w:color="auto"/>
      </w:divBdr>
    </w:div>
    <w:div w:id="1252347290">
      <w:bodyDiv w:val="1"/>
      <w:marLeft w:val="0"/>
      <w:marRight w:val="0"/>
      <w:marTop w:val="0"/>
      <w:marBottom w:val="0"/>
      <w:divBdr>
        <w:top w:val="none" w:sz="0" w:space="0" w:color="auto"/>
        <w:left w:val="none" w:sz="0" w:space="0" w:color="auto"/>
        <w:bottom w:val="none" w:sz="0" w:space="0" w:color="auto"/>
        <w:right w:val="none" w:sz="0" w:space="0" w:color="auto"/>
      </w:divBdr>
    </w:div>
    <w:div w:id="1252425141">
      <w:bodyDiv w:val="1"/>
      <w:marLeft w:val="0"/>
      <w:marRight w:val="0"/>
      <w:marTop w:val="0"/>
      <w:marBottom w:val="0"/>
      <w:divBdr>
        <w:top w:val="none" w:sz="0" w:space="0" w:color="auto"/>
        <w:left w:val="none" w:sz="0" w:space="0" w:color="auto"/>
        <w:bottom w:val="none" w:sz="0" w:space="0" w:color="auto"/>
        <w:right w:val="none" w:sz="0" w:space="0" w:color="auto"/>
      </w:divBdr>
    </w:div>
    <w:div w:id="1252467564">
      <w:bodyDiv w:val="1"/>
      <w:marLeft w:val="0"/>
      <w:marRight w:val="0"/>
      <w:marTop w:val="0"/>
      <w:marBottom w:val="0"/>
      <w:divBdr>
        <w:top w:val="none" w:sz="0" w:space="0" w:color="auto"/>
        <w:left w:val="none" w:sz="0" w:space="0" w:color="auto"/>
        <w:bottom w:val="none" w:sz="0" w:space="0" w:color="auto"/>
        <w:right w:val="none" w:sz="0" w:space="0" w:color="auto"/>
      </w:divBdr>
    </w:div>
    <w:div w:id="1252470217">
      <w:bodyDiv w:val="1"/>
      <w:marLeft w:val="0"/>
      <w:marRight w:val="0"/>
      <w:marTop w:val="0"/>
      <w:marBottom w:val="0"/>
      <w:divBdr>
        <w:top w:val="none" w:sz="0" w:space="0" w:color="auto"/>
        <w:left w:val="none" w:sz="0" w:space="0" w:color="auto"/>
        <w:bottom w:val="none" w:sz="0" w:space="0" w:color="auto"/>
        <w:right w:val="none" w:sz="0" w:space="0" w:color="auto"/>
      </w:divBdr>
    </w:div>
    <w:div w:id="1252545967">
      <w:bodyDiv w:val="1"/>
      <w:marLeft w:val="0"/>
      <w:marRight w:val="0"/>
      <w:marTop w:val="0"/>
      <w:marBottom w:val="0"/>
      <w:divBdr>
        <w:top w:val="none" w:sz="0" w:space="0" w:color="auto"/>
        <w:left w:val="none" w:sz="0" w:space="0" w:color="auto"/>
        <w:bottom w:val="none" w:sz="0" w:space="0" w:color="auto"/>
        <w:right w:val="none" w:sz="0" w:space="0" w:color="auto"/>
      </w:divBdr>
    </w:div>
    <w:div w:id="1252547830">
      <w:bodyDiv w:val="1"/>
      <w:marLeft w:val="0"/>
      <w:marRight w:val="0"/>
      <w:marTop w:val="0"/>
      <w:marBottom w:val="0"/>
      <w:divBdr>
        <w:top w:val="none" w:sz="0" w:space="0" w:color="auto"/>
        <w:left w:val="none" w:sz="0" w:space="0" w:color="auto"/>
        <w:bottom w:val="none" w:sz="0" w:space="0" w:color="auto"/>
        <w:right w:val="none" w:sz="0" w:space="0" w:color="auto"/>
      </w:divBdr>
    </w:div>
    <w:div w:id="1252549428">
      <w:bodyDiv w:val="1"/>
      <w:marLeft w:val="0"/>
      <w:marRight w:val="0"/>
      <w:marTop w:val="0"/>
      <w:marBottom w:val="0"/>
      <w:divBdr>
        <w:top w:val="none" w:sz="0" w:space="0" w:color="auto"/>
        <w:left w:val="none" w:sz="0" w:space="0" w:color="auto"/>
        <w:bottom w:val="none" w:sz="0" w:space="0" w:color="auto"/>
        <w:right w:val="none" w:sz="0" w:space="0" w:color="auto"/>
      </w:divBdr>
    </w:div>
    <w:div w:id="1252621430">
      <w:bodyDiv w:val="1"/>
      <w:marLeft w:val="0"/>
      <w:marRight w:val="0"/>
      <w:marTop w:val="0"/>
      <w:marBottom w:val="0"/>
      <w:divBdr>
        <w:top w:val="none" w:sz="0" w:space="0" w:color="auto"/>
        <w:left w:val="none" w:sz="0" w:space="0" w:color="auto"/>
        <w:bottom w:val="none" w:sz="0" w:space="0" w:color="auto"/>
        <w:right w:val="none" w:sz="0" w:space="0" w:color="auto"/>
      </w:divBdr>
    </w:div>
    <w:div w:id="1252660532">
      <w:bodyDiv w:val="1"/>
      <w:marLeft w:val="0"/>
      <w:marRight w:val="0"/>
      <w:marTop w:val="0"/>
      <w:marBottom w:val="0"/>
      <w:divBdr>
        <w:top w:val="none" w:sz="0" w:space="0" w:color="auto"/>
        <w:left w:val="none" w:sz="0" w:space="0" w:color="auto"/>
        <w:bottom w:val="none" w:sz="0" w:space="0" w:color="auto"/>
        <w:right w:val="none" w:sz="0" w:space="0" w:color="auto"/>
      </w:divBdr>
    </w:div>
    <w:div w:id="1252739573">
      <w:bodyDiv w:val="1"/>
      <w:marLeft w:val="0"/>
      <w:marRight w:val="0"/>
      <w:marTop w:val="0"/>
      <w:marBottom w:val="0"/>
      <w:divBdr>
        <w:top w:val="none" w:sz="0" w:space="0" w:color="auto"/>
        <w:left w:val="none" w:sz="0" w:space="0" w:color="auto"/>
        <w:bottom w:val="none" w:sz="0" w:space="0" w:color="auto"/>
        <w:right w:val="none" w:sz="0" w:space="0" w:color="auto"/>
      </w:divBdr>
    </w:div>
    <w:div w:id="1252742547">
      <w:bodyDiv w:val="1"/>
      <w:marLeft w:val="0"/>
      <w:marRight w:val="0"/>
      <w:marTop w:val="0"/>
      <w:marBottom w:val="0"/>
      <w:divBdr>
        <w:top w:val="none" w:sz="0" w:space="0" w:color="auto"/>
        <w:left w:val="none" w:sz="0" w:space="0" w:color="auto"/>
        <w:bottom w:val="none" w:sz="0" w:space="0" w:color="auto"/>
        <w:right w:val="none" w:sz="0" w:space="0" w:color="auto"/>
      </w:divBdr>
    </w:div>
    <w:div w:id="1252816587">
      <w:bodyDiv w:val="1"/>
      <w:marLeft w:val="0"/>
      <w:marRight w:val="0"/>
      <w:marTop w:val="0"/>
      <w:marBottom w:val="0"/>
      <w:divBdr>
        <w:top w:val="none" w:sz="0" w:space="0" w:color="auto"/>
        <w:left w:val="none" w:sz="0" w:space="0" w:color="auto"/>
        <w:bottom w:val="none" w:sz="0" w:space="0" w:color="auto"/>
        <w:right w:val="none" w:sz="0" w:space="0" w:color="auto"/>
      </w:divBdr>
    </w:div>
    <w:div w:id="1252928203">
      <w:bodyDiv w:val="1"/>
      <w:marLeft w:val="0"/>
      <w:marRight w:val="0"/>
      <w:marTop w:val="0"/>
      <w:marBottom w:val="0"/>
      <w:divBdr>
        <w:top w:val="none" w:sz="0" w:space="0" w:color="auto"/>
        <w:left w:val="none" w:sz="0" w:space="0" w:color="auto"/>
        <w:bottom w:val="none" w:sz="0" w:space="0" w:color="auto"/>
        <w:right w:val="none" w:sz="0" w:space="0" w:color="auto"/>
      </w:divBdr>
    </w:div>
    <w:div w:id="1252935983">
      <w:bodyDiv w:val="1"/>
      <w:marLeft w:val="0"/>
      <w:marRight w:val="0"/>
      <w:marTop w:val="0"/>
      <w:marBottom w:val="0"/>
      <w:divBdr>
        <w:top w:val="none" w:sz="0" w:space="0" w:color="auto"/>
        <w:left w:val="none" w:sz="0" w:space="0" w:color="auto"/>
        <w:bottom w:val="none" w:sz="0" w:space="0" w:color="auto"/>
        <w:right w:val="none" w:sz="0" w:space="0" w:color="auto"/>
      </w:divBdr>
    </w:div>
    <w:div w:id="1253002742">
      <w:bodyDiv w:val="1"/>
      <w:marLeft w:val="0"/>
      <w:marRight w:val="0"/>
      <w:marTop w:val="0"/>
      <w:marBottom w:val="0"/>
      <w:divBdr>
        <w:top w:val="none" w:sz="0" w:space="0" w:color="auto"/>
        <w:left w:val="none" w:sz="0" w:space="0" w:color="auto"/>
        <w:bottom w:val="none" w:sz="0" w:space="0" w:color="auto"/>
        <w:right w:val="none" w:sz="0" w:space="0" w:color="auto"/>
      </w:divBdr>
    </w:div>
    <w:div w:id="1253128303">
      <w:bodyDiv w:val="1"/>
      <w:marLeft w:val="0"/>
      <w:marRight w:val="0"/>
      <w:marTop w:val="0"/>
      <w:marBottom w:val="0"/>
      <w:divBdr>
        <w:top w:val="none" w:sz="0" w:space="0" w:color="auto"/>
        <w:left w:val="none" w:sz="0" w:space="0" w:color="auto"/>
        <w:bottom w:val="none" w:sz="0" w:space="0" w:color="auto"/>
        <w:right w:val="none" w:sz="0" w:space="0" w:color="auto"/>
      </w:divBdr>
    </w:div>
    <w:div w:id="1253196994">
      <w:bodyDiv w:val="1"/>
      <w:marLeft w:val="0"/>
      <w:marRight w:val="0"/>
      <w:marTop w:val="0"/>
      <w:marBottom w:val="0"/>
      <w:divBdr>
        <w:top w:val="none" w:sz="0" w:space="0" w:color="auto"/>
        <w:left w:val="none" w:sz="0" w:space="0" w:color="auto"/>
        <w:bottom w:val="none" w:sz="0" w:space="0" w:color="auto"/>
        <w:right w:val="none" w:sz="0" w:space="0" w:color="auto"/>
      </w:divBdr>
    </w:div>
    <w:div w:id="1253271177">
      <w:bodyDiv w:val="1"/>
      <w:marLeft w:val="0"/>
      <w:marRight w:val="0"/>
      <w:marTop w:val="0"/>
      <w:marBottom w:val="0"/>
      <w:divBdr>
        <w:top w:val="none" w:sz="0" w:space="0" w:color="auto"/>
        <w:left w:val="none" w:sz="0" w:space="0" w:color="auto"/>
        <w:bottom w:val="none" w:sz="0" w:space="0" w:color="auto"/>
        <w:right w:val="none" w:sz="0" w:space="0" w:color="auto"/>
      </w:divBdr>
    </w:div>
    <w:div w:id="1253319802">
      <w:bodyDiv w:val="1"/>
      <w:marLeft w:val="0"/>
      <w:marRight w:val="0"/>
      <w:marTop w:val="0"/>
      <w:marBottom w:val="0"/>
      <w:divBdr>
        <w:top w:val="none" w:sz="0" w:space="0" w:color="auto"/>
        <w:left w:val="none" w:sz="0" w:space="0" w:color="auto"/>
        <w:bottom w:val="none" w:sz="0" w:space="0" w:color="auto"/>
        <w:right w:val="none" w:sz="0" w:space="0" w:color="auto"/>
      </w:divBdr>
    </w:div>
    <w:div w:id="1253391999">
      <w:bodyDiv w:val="1"/>
      <w:marLeft w:val="0"/>
      <w:marRight w:val="0"/>
      <w:marTop w:val="0"/>
      <w:marBottom w:val="0"/>
      <w:divBdr>
        <w:top w:val="none" w:sz="0" w:space="0" w:color="auto"/>
        <w:left w:val="none" w:sz="0" w:space="0" w:color="auto"/>
        <w:bottom w:val="none" w:sz="0" w:space="0" w:color="auto"/>
        <w:right w:val="none" w:sz="0" w:space="0" w:color="auto"/>
      </w:divBdr>
    </w:div>
    <w:div w:id="1253468256">
      <w:bodyDiv w:val="1"/>
      <w:marLeft w:val="0"/>
      <w:marRight w:val="0"/>
      <w:marTop w:val="0"/>
      <w:marBottom w:val="0"/>
      <w:divBdr>
        <w:top w:val="none" w:sz="0" w:space="0" w:color="auto"/>
        <w:left w:val="none" w:sz="0" w:space="0" w:color="auto"/>
        <w:bottom w:val="none" w:sz="0" w:space="0" w:color="auto"/>
        <w:right w:val="none" w:sz="0" w:space="0" w:color="auto"/>
      </w:divBdr>
    </w:div>
    <w:div w:id="1253468319">
      <w:bodyDiv w:val="1"/>
      <w:marLeft w:val="0"/>
      <w:marRight w:val="0"/>
      <w:marTop w:val="0"/>
      <w:marBottom w:val="0"/>
      <w:divBdr>
        <w:top w:val="none" w:sz="0" w:space="0" w:color="auto"/>
        <w:left w:val="none" w:sz="0" w:space="0" w:color="auto"/>
        <w:bottom w:val="none" w:sz="0" w:space="0" w:color="auto"/>
        <w:right w:val="none" w:sz="0" w:space="0" w:color="auto"/>
      </w:divBdr>
    </w:div>
    <w:div w:id="1253781676">
      <w:bodyDiv w:val="1"/>
      <w:marLeft w:val="0"/>
      <w:marRight w:val="0"/>
      <w:marTop w:val="0"/>
      <w:marBottom w:val="0"/>
      <w:divBdr>
        <w:top w:val="none" w:sz="0" w:space="0" w:color="auto"/>
        <w:left w:val="none" w:sz="0" w:space="0" w:color="auto"/>
        <w:bottom w:val="none" w:sz="0" w:space="0" w:color="auto"/>
        <w:right w:val="none" w:sz="0" w:space="0" w:color="auto"/>
      </w:divBdr>
    </w:div>
    <w:div w:id="1253858389">
      <w:bodyDiv w:val="1"/>
      <w:marLeft w:val="0"/>
      <w:marRight w:val="0"/>
      <w:marTop w:val="0"/>
      <w:marBottom w:val="0"/>
      <w:divBdr>
        <w:top w:val="none" w:sz="0" w:space="0" w:color="auto"/>
        <w:left w:val="none" w:sz="0" w:space="0" w:color="auto"/>
        <w:bottom w:val="none" w:sz="0" w:space="0" w:color="auto"/>
        <w:right w:val="none" w:sz="0" w:space="0" w:color="auto"/>
      </w:divBdr>
    </w:div>
    <w:div w:id="1254125811">
      <w:bodyDiv w:val="1"/>
      <w:marLeft w:val="0"/>
      <w:marRight w:val="0"/>
      <w:marTop w:val="0"/>
      <w:marBottom w:val="0"/>
      <w:divBdr>
        <w:top w:val="none" w:sz="0" w:space="0" w:color="auto"/>
        <w:left w:val="none" w:sz="0" w:space="0" w:color="auto"/>
        <w:bottom w:val="none" w:sz="0" w:space="0" w:color="auto"/>
        <w:right w:val="none" w:sz="0" w:space="0" w:color="auto"/>
      </w:divBdr>
    </w:div>
    <w:div w:id="1254165522">
      <w:bodyDiv w:val="1"/>
      <w:marLeft w:val="0"/>
      <w:marRight w:val="0"/>
      <w:marTop w:val="0"/>
      <w:marBottom w:val="0"/>
      <w:divBdr>
        <w:top w:val="none" w:sz="0" w:space="0" w:color="auto"/>
        <w:left w:val="none" w:sz="0" w:space="0" w:color="auto"/>
        <w:bottom w:val="none" w:sz="0" w:space="0" w:color="auto"/>
        <w:right w:val="none" w:sz="0" w:space="0" w:color="auto"/>
      </w:divBdr>
    </w:div>
    <w:div w:id="1254168575">
      <w:bodyDiv w:val="1"/>
      <w:marLeft w:val="0"/>
      <w:marRight w:val="0"/>
      <w:marTop w:val="0"/>
      <w:marBottom w:val="0"/>
      <w:divBdr>
        <w:top w:val="none" w:sz="0" w:space="0" w:color="auto"/>
        <w:left w:val="none" w:sz="0" w:space="0" w:color="auto"/>
        <w:bottom w:val="none" w:sz="0" w:space="0" w:color="auto"/>
        <w:right w:val="none" w:sz="0" w:space="0" w:color="auto"/>
      </w:divBdr>
    </w:div>
    <w:div w:id="1254171135">
      <w:bodyDiv w:val="1"/>
      <w:marLeft w:val="0"/>
      <w:marRight w:val="0"/>
      <w:marTop w:val="0"/>
      <w:marBottom w:val="0"/>
      <w:divBdr>
        <w:top w:val="none" w:sz="0" w:space="0" w:color="auto"/>
        <w:left w:val="none" w:sz="0" w:space="0" w:color="auto"/>
        <w:bottom w:val="none" w:sz="0" w:space="0" w:color="auto"/>
        <w:right w:val="none" w:sz="0" w:space="0" w:color="auto"/>
      </w:divBdr>
    </w:div>
    <w:div w:id="1254243387">
      <w:bodyDiv w:val="1"/>
      <w:marLeft w:val="0"/>
      <w:marRight w:val="0"/>
      <w:marTop w:val="0"/>
      <w:marBottom w:val="0"/>
      <w:divBdr>
        <w:top w:val="none" w:sz="0" w:space="0" w:color="auto"/>
        <w:left w:val="none" w:sz="0" w:space="0" w:color="auto"/>
        <w:bottom w:val="none" w:sz="0" w:space="0" w:color="auto"/>
        <w:right w:val="none" w:sz="0" w:space="0" w:color="auto"/>
      </w:divBdr>
    </w:div>
    <w:div w:id="1254246147">
      <w:bodyDiv w:val="1"/>
      <w:marLeft w:val="0"/>
      <w:marRight w:val="0"/>
      <w:marTop w:val="0"/>
      <w:marBottom w:val="0"/>
      <w:divBdr>
        <w:top w:val="none" w:sz="0" w:space="0" w:color="auto"/>
        <w:left w:val="none" w:sz="0" w:space="0" w:color="auto"/>
        <w:bottom w:val="none" w:sz="0" w:space="0" w:color="auto"/>
        <w:right w:val="none" w:sz="0" w:space="0" w:color="auto"/>
      </w:divBdr>
    </w:div>
    <w:div w:id="1254364923">
      <w:bodyDiv w:val="1"/>
      <w:marLeft w:val="0"/>
      <w:marRight w:val="0"/>
      <w:marTop w:val="0"/>
      <w:marBottom w:val="0"/>
      <w:divBdr>
        <w:top w:val="none" w:sz="0" w:space="0" w:color="auto"/>
        <w:left w:val="none" w:sz="0" w:space="0" w:color="auto"/>
        <w:bottom w:val="none" w:sz="0" w:space="0" w:color="auto"/>
        <w:right w:val="none" w:sz="0" w:space="0" w:color="auto"/>
      </w:divBdr>
    </w:div>
    <w:div w:id="1254365370">
      <w:bodyDiv w:val="1"/>
      <w:marLeft w:val="0"/>
      <w:marRight w:val="0"/>
      <w:marTop w:val="0"/>
      <w:marBottom w:val="0"/>
      <w:divBdr>
        <w:top w:val="none" w:sz="0" w:space="0" w:color="auto"/>
        <w:left w:val="none" w:sz="0" w:space="0" w:color="auto"/>
        <w:bottom w:val="none" w:sz="0" w:space="0" w:color="auto"/>
        <w:right w:val="none" w:sz="0" w:space="0" w:color="auto"/>
      </w:divBdr>
    </w:div>
    <w:div w:id="1254510294">
      <w:bodyDiv w:val="1"/>
      <w:marLeft w:val="0"/>
      <w:marRight w:val="0"/>
      <w:marTop w:val="0"/>
      <w:marBottom w:val="0"/>
      <w:divBdr>
        <w:top w:val="none" w:sz="0" w:space="0" w:color="auto"/>
        <w:left w:val="none" w:sz="0" w:space="0" w:color="auto"/>
        <w:bottom w:val="none" w:sz="0" w:space="0" w:color="auto"/>
        <w:right w:val="none" w:sz="0" w:space="0" w:color="auto"/>
      </w:divBdr>
    </w:div>
    <w:div w:id="1254585020">
      <w:bodyDiv w:val="1"/>
      <w:marLeft w:val="0"/>
      <w:marRight w:val="0"/>
      <w:marTop w:val="0"/>
      <w:marBottom w:val="0"/>
      <w:divBdr>
        <w:top w:val="none" w:sz="0" w:space="0" w:color="auto"/>
        <w:left w:val="none" w:sz="0" w:space="0" w:color="auto"/>
        <w:bottom w:val="none" w:sz="0" w:space="0" w:color="auto"/>
        <w:right w:val="none" w:sz="0" w:space="0" w:color="auto"/>
      </w:divBdr>
    </w:div>
    <w:div w:id="1254586454">
      <w:bodyDiv w:val="1"/>
      <w:marLeft w:val="0"/>
      <w:marRight w:val="0"/>
      <w:marTop w:val="0"/>
      <w:marBottom w:val="0"/>
      <w:divBdr>
        <w:top w:val="none" w:sz="0" w:space="0" w:color="auto"/>
        <w:left w:val="none" w:sz="0" w:space="0" w:color="auto"/>
        <w:bottom w:val="none" w:sz="0" w:space="0" w:color="auto"/>
        <w:right w:val="none" w:sz="0" w:space="0" w:color="auto"/>
      </w:divBdr>
    </w:div>
    <w:div w:id="1254700048">
      <w:bodyDiv w:val="1"/>
      <w:marLeft w:val="0"/>
      <w:marRight w:val="0"/>
      <w:marTop w:val="0"/>
      <w:marBottom w:val="0"/>
      <w:divBdr>
        <w:top w:val="none" w:sz="0" w:space="0" w:color="auto"/>
        <w:left w:val="none" w:sz="0" w:space="0" w:color="auto"/>
        <w:bottom w:val="none" w:sz="0" w:space="0" w:color="auto"/>
        <w:right w:val="none" w:sz="0" w:space="0" w:color="auto"/>
      </w:divBdr>
    </w:div>
    <w:div w:id="1254706578">
      <w:bodyDiv w:val="1"/>
      <w:marLeft w:val="0"/>
      <w:marRight w:val="0"/>
      <w:marTop w:val="0"/>
      <w:marBottom w:val="0"/>
      <w:divBdr>
        <w:top w:val="none" w:sz="0" w:space="0" w:color="auto"/>
        <w:left w:val="none" w:sz="0" w:space="0" w:color="auto"/>
        <w:bottom w:val="none" w:sz="0" w:space="0" w:color="auto"/>
        <w:right w:val="none" w:sz="0" w:space="0" w:color="auto"/>
      </w:divBdr>
    </w:div>
    <w:div w:id="1254783203">
      <w:bodyDiv w:val="1"/>
      <w:marLeft w:val="0"/>
      <w:marRight w:val="0"/>
      <w:marTop w:val="0"/>
      <w:marBottom w:val="0"/>
      <w:divBdr>
        <w:top w:val="none" w:sz="0" w:space="0" w:color="auto"/>
        <w:left w:val="none" w:sz="0" w:space="0" w:color="auto"/>
        <w:bottom w:val="none" w:sz="0" w:space="0" w:color="auto"/>
        <w:right w:val="none" w:sz="0" w:space="0" w:color="auto"/>
      </w:divBdr>
    </w:div>
    <w:div w:id="1255165714">
      <w:bodyDiv w:val="1"/>
      <w:marLeft w:val="0"/>
      <w:marRight w:val="0"/>
      <w:marTop w:val="0"/>
      <w:marBottom w:val="0"/>
      <w:divBdr>
        <w:top w:val="none" w:sz="0" w:space="0" w:color="auto"/>
        <w:left w:val="none" w:sz="0" w:space="0" w:color="auto"/>
        <w:bottom w:val="none" w:sz="0" w:space="0" w:color="auto"/>
        <w:right w:val="none" w:sz="0" w:space="0" w:color="auto"/>
      </w:divBdr>
    </w:div>
    <w:div w:id="1255166094">
      <w:bodyDiv w:val="1"/>
      <w:marLeft w:val="0"/>
      <w:marRight w:val="0"/>
      <w:marTop w:val="0"/>
      <w:marBottom w:val="0"/>
      <w:divBdr>
        <w:top w:val="none" w:sz="0" w:space="0" w:color="auto"/>
        <w:left w:val="none" w:sz="0" w:space="0" w:color="auto"/>
        <w:bottom w:val="none" w:sz="0" w:space="0" w:color="auto"/>
        <w:right w:val="none" w:sz="0" w:space="0" w:color="auto"/>
      </w:divBdr>
    </w:div>
    <w:div w:id="1255554792">
      <w:bodyDiv w:val="1"/>
      <w:marLeft w:val="0"/>
      <w:marRight w:val="0"/>
      <w:marTop w:val="0"/>
      <w:marBottom w:val="0"/>
      <w:divBdr>
        <w:top w:val="none" w:sz="0" w:space="0" w:color="auto"/>
        <w:left w:val="none" w:sz="0" w:space="0" w:color="auto"/>
        <w:bottom w:val="none" w:sz="0" w:space="0" w:color="auto"/>
        <w:right w:val="none" w:sz="0" w:space="0" w:color="auto"/>
      </w:divBdr>
    </w:div>
    <w:div w:id="1255628417">
      <w:bodyDiv w:val="1"/>
      <w:marLeft w:val="0"/>
      <w:marRight w:val="0"/>
      <w:marTop w:val="0"/>
      <w:marBottom w:val="0"/>
      <w:divBdr>
        <w:top w:val="none" w:sz="0" w:space="0" w:color="auto"/>
        <w:left w:val="none" w:sz="0" w:space="0" w:color="auto"/>
        <w:bottom w:val="none" w:sz="0" w:space="0" w:color="auto"/>
        <w:right w:val="none" w:sz="0" w:space="0" w:color="auto"/>
      </w:divBdr>
    </w:div>
    <w:div w:id="1255822058">
      <w:bodyDiv w:val="1"/>
      <w:marLeft w:val="0"/>
      <w:marRight w:val="0"/>
      <w:marTop w:val="0"/>
      <w:marBottom w:val="0"/>
      <w:divBdr>
        <w:top w:val="none" w:sz="0" w:space="0" w:color="auto"/>
        <w:left w:val="none" w:sz="0" w:space="0" w:color="auto"/>
        <w:bottom w:val="none" w:sz="0" w:space="0" w:color="auto"/>
        <w:right w:val="none" w:sz="0" w:space="0" w:color="auto"/>
      </w:divBdr>
    </w:div>
    <w:div w:id="1255892262">
      <w:bodyDiv w:val="1"/>
      <w:marLeft w:val="0"/>
      <w:marRight w:val="0"/>
      <w:marTop w:val="0"/>
      <w:marBottom w:val="0"/>
      <w:divBdr>
        <w:top w:val="none" w:sz="0" w:space="0" w:color="auto"/>
        <w:left w:val="none" w:sz="0" w:space="0" w:color="auto"/>
        <w:bottom w:val="none" w:sz="0" w:space="0" w:color="auto"/>
        <w:right w:val="none" w:sz="0" w:space="0" w:color="auto"/>
      </w:divBdr>
    </w:div>
    <w:div w:id="1255939057">
      <w:bodyDiv w:val="1"/>
      <w:marLeft w:val="0"/>
      <w:marRight w:val="0"/>
      <w:marTop w:val="0"/>
      <w:marBottom w:val="0"/>
      <w:divBdr>
        <w:top w:val="none" w:sz="0" w:space="0" w:color="auto"/>
        <w:left w:val="none" w:sz="0" w:space="0" w:color="auto"/>
        <w:bottom w:val="none" w:sz="0" w:space="0" w:color="auto"/>
        <w:right w:val="none" w:sz="0" w:space="0" w:color="auto"/>
      </w:divBdr>
    </w:div>
    <w:div w:id="1256137085">
      <w:bodyDiv w:val="1"/>
      <w:marLeft w:val="0"/>
      <w:marRight w:val="0"/>
      <w:marTop w:val="0"/>
      <w:marBottom w:val="0"/>
      <w:divBdr>
        <w:top w:val="none" w:sz="0" w:space="0" w:color="auto"/>
        <w:left w:val="none" w:sz="0" w:space="0" w:color="auto"/>
        <w:bottom w:val="none" w:sz="0" w:space="0" w:color="auto"/>
        <w:right w:val="none" w:sz="0" w:space="0" w:color="auto"/>
      </w:divBdr>
    </w:div>
    <w:div w:id="1256203736">
      <w:bodyDiv w:val="1"/>
      <w:marLeft w:val="0"/>
      <w:marRight w:val="0"/>
      <w:marTop w:val="0"/>
      <w:marBottom w:val="0"/>
      <w:divBdr>
        <w:top w:val="none" w:sz="0" w:space="0" w:color="auto"/>
        <w:left w:val="none" w:sz="0" w:space="0" w:color="auto"/>
        <w:bottom w:val="none" w:sz="0" w:space="0" w:color="auto"/>
        <w:right w:val="none" w:sz="0" w:space="0" w:color="auto"/>
      </w:divBdr>
    </w:div>
    <w:div w:id="1256287978">
      <w:bodyDiv w:val="1"/>
      <w:marLeft w:val="0"/>
      <w:marRight w:val="0"/>
      <w:marTop w:val="0"/>
      <w:marBottom w:val="0"/>
      <w:divBdr>
        <w:top w:val="none" w:sz="0" w:space="0" w:color="auto"/>
        <w:left w:val="none" w:sz="0" w:space="0" w:color="auto"/>
        <w:bottom w:val="none" w:sz="0" w:space="0" w:color="auto"/>
        <w:right w:val="none" w:sz="0" w:space="0" w:color="auto"/>
      </w:divBdr>
    </w:div>
    <w:div w:id="1256329610">
      <w:bodyDiv w:val="1"/>
      <w:marLeft w:val="0"/>
      <w:marRight w:val="0"/>
      <w:marTop w:val="0"/>
      <w:marBottom w:val="0"/>
      <w:divBdr>
        <w:top w:val="none" w:sz="0" w:space="0" w:color="auto"/>
        <w:left w:val="none" w:sz="0" w:space="0" w:color="auto"/>
        <w:bottom w:val="none" w:sz="0" w:space="0" w:color="auto"/>
        <w:right w:val="none" w:sz="0" w:space="0" w:color="auto"/>
      </w:divBdr>
    </w:div>
    <w:div w:id="1256330026">
      <w:bodyDiv w:val="1"/>
      <w:marLeft w:val="0"/>
      <w:marRight w:val="0"/>
      <w:marTop w:val="0"/>
      <w:marBottom w:val="0"/>
      <w:divBdr>
        <w:top w:val="none" w:sz="0" w:space="0" w:color="auto"/>
        <w:left w:val="none" w:sz="0" w:space="0" w:color="auto"/>
        <w:bottom w:val="none" w:sz="0" w:space="0" w:color="auto"/>
        <w:right w:val="none" w:sz="0" w:space="0" w:color="auto"/>
      </w:divBdr>
    </w:div>
    <w:div w:id="1256521735">
      <w:bodyDiv w:val="1"/>
      <w:marLeft w:val="0"/>
      <w:marRight w:val="0"/>
      <w:marTop w:val="0"/>
      <w:marBottom w:val="0"/>
      <w:divBdr>
        <w:top w:val="none" w:sz="0" w:space="0" w:color="auto"/>
        <w:left w:val="none" w:sz="0" w:space="0" w:color="auto"/>
        <w:bottom w:val="none" w:sz="0" w:space="0" w:color="auto"/>
        <w:right w:val="none" w:sz="0" w:space="0" w:color="auto"/>
      </w:divBdr>
    </w:div>
    <w:div w:id="1256524441">
      <w:bodyDiv w:val="1"/>
      <w:marLeft w:val="0"/>
      <w:marRight w:val="0"/>
      <w:marTop w:val="0"/>
      <w:marBottom w:val="0"/>
      <w:divBdr>
        <w:top w:val="none" w:sz="0" w:space="0" w:color="auto"/>
        <w:left w:val="none" w:sz="0" w:space="0" w:color="auto"/>
        <w:bottom w:val="none" w:sz="0" w:space="0" w:color="auto"/>
        <w:right w:val="none" w:sz="0" w:space="0" w:color="auto"/>
      </w:divBdr>
    </w:div>
    <w:div w:id="1256547835">
      <w:bodyDiv w:val="1"/>
      <w:marLeft w:val="0"/>
      <w:marRight w:val="0"/>
      <w:marTop w:val="0"/>
      <w:marBottom w:val="0"/>
      <w:divBdr>
        <w:top w:val="none" w:sz="0" w:space="0" w:color="auto"/>
        <w:left w:val="none" w:sz="0" w:space="0" w:color="auto"/>
        <w:bottom w:val="none" w:sz="0" w:space="0" w:color="auto"/>
        <w:right w:val="none" w:sz="0" w:space="0" w:color="auto"/>
      </w:divBdr>
    </w:div>
    <w:div w:id="1256549543">
      <w:bodyDiv w:val="1"/>
      <w:marLeft w:val="0"/>
      <w:marRight w:val="0"/>
      <w:marTop w:val="0"/>
      <w:marBottom w:val="0"/>
      <w:divBdr>
        <w:top w:val="none" w:sz="0" w:space="0" w:color="auto"/>
        <w:left w:val="none" w:sz="0" w:space="0" w:color="auto"/>
        <w:bottom w:val="none" w:sz="0" w:space="0" w:color="auto"/>
        <w:right w:val="none" w:sz="0" w:space="0" w:color="auto"/>
      </w:divBdr>
    </w:div>
    <w:div w:id="1256551876">
      <w:bodyDiv w:val="1"/>
      <w:marLeft w:val="0"/>
      <w:marRight w:val="0"/>
      <w:marTop w:val="0"/>
      <w:marBottom w:val="0"/>
      <w:divBdr>
        <w:top w:val="none" w:sz="0" w:space="0" w:color="auto"/>
        <w:left w:val="none" w:sz="0" w:space="0" w:color="auto"/>
        <w:bottom w:val="none" w:sz="0" w:space="0" w:color="auto"/>
        <w:right w:val="none" w:sz="0" w:space="0" w:color="auto"/>
      </w:divBdr>
    </w:div>
    <w:div w:id="1256861795">
      <w:bodyDiv w:val="1"/>
      <w:marLeft w:val="0"/>
      <w:marRight w:val="0"/>
      <w:marTop w:val="0"/>
      <w:marBottom w:val="0"/>
      <w:divBdr>
        <w:top w:val="none" w:sz="0" w:space="0" w:color="auto"/>
        <w:left w:val="none" w:sz="0" w:space="0" w:color="auto"/>
        <w:bottom w:val="none" w:sz="0" w:space="0" w:color="auto"/>
        <w:right w:val="none" w:sz="0" w:space="0" w:color="auto"/>
      </w:divBdr>
    </w:div>
    <w:div w:id="1256865376">
      <w:bodyDiv w:val="1"/>
      <w:marLeft w:val="0"/>
      <w:marRight w:val="0"/>
      <w:marTop w:val="0"/>
      <w:marBottom w:val="0"/>
      <w:divBdr>
        <w:top w:val="none" w:sz="0" w:space="0" w:color="auto"/>
        <w:left w:val="none" w:sz="0" w:space="0" w:color="auto"/>
        <w:bottom w:val="none" w:sz="0" w:space="0" w:color="auto"/>
        <w:right w:val="none" w:sz="0" w:space="0" w:color="auto"/>
      </w:divBdr>
    </w:div>
    <w:div w:id="1256939205">
      <w:bodyDiv w:val="1"/>
      <w:marLeft w:val="0"/>
      <w:marRight w:val="0"/>
      <w:marTop w:val="0"/>
      <w:marBottom w:val="0"/>
      <w:divBdr>
        <w:top w:val="none" w:sz="0" w:space="0" w:color="auto"/>
        <w:left w:val="none" w:sz="0" w:space="0" w:color="auto"/>
        <w:bottom w:val="none" w:sz="0" w:space="0" w:color="auto"/>
        <w:right w:val="none" w:sz="0" w:space="0" w:color="auto"/>
      </w:divBdr>
    </w:div>
    <w:div w:id="1256981916">
      <w:bodyDiv w:val="1"/>
      <w:marLeft w:val="0"/>
      <w:marRight w:val="0"/>
      <w:marTop w:val="0"/>
      <w:marBottom w:val="0"/>
      <w:divBdr>
        <w:top w:val="none" w:sz="0" w:space="0" w:color="auto"/>
        <w:left w:val="none" w:sz="0" w:space="0" w:color="auto"/>
        <w:bottom w:val="none" w:sz="0" w:space="0" w:color="auto"/>
        <w:right w:val="none" w:sz="0" w:space="0" w:color="auto"/>
      </w:divBdr>
    </w:div>
    <w:div w:id="1257131553">
      <w:bodyDiv w:val="1"/>
      <w:marLeft w:val="0"/>
      <w:marRight w:val="0"/>
      <w:marTop w:val="0"/>
      <w:marBottom w:val="0"/>
      <w:divBdr>
        <w:top w:val="none" w:sz="0" w:space="0" w:color="auto"/>
        <w:left w:val="none" w:sz="0" w:space="0" w:color="auto"/>
        <w:bottom w:val="none" w:sz="0" w:space="0" w:color="auto"/>
        <w:right w:val="none" w:sz="0" w:space="0" w:color="auto"/>
      </w:divBdr>
    </w:div>
    <w:div w:id="1257135883">
      <w:bodyDiv w:val="1"/>
      <w:marLeft w:val="0"/>
      <w:marRight w:val="0"/>
      <w:marTop w:val="0"/>
      <w:marBottom w:val="0"/>
      <w:divBdr>
        <w:top w:val="none" w:sz="0" w:space="0" w:color="auto"/>
        <w:left w:val="none" w:sz="0" w:space="0" w:color="auto"/>
        <w:bottom w:val="none" w:sz="0" w:space="0" w:color="auto"/>
        <w:right w:val="none" w:sz="0" w:space="0" w:color="auto"/>
      </w:divBdr>
    </w:div>
    <w:div w:id="1257137231">
      <w:bodyDiv w:val="1"/>
      <w:marLeft w:val="0"/>
      <w:marRight w:val="0"/>
      <w:marTop w:val="0"/>
      <w:marBottom w:val="0"/>
      <w:divBdr>
        <w:top w:val="none" w:sz="0" w:space="0" w:color="auto"/>
        <w:left w:val="none" w:sz="0" w:space="0" w:color="auto"/>
        <w:bottom w:val="none" w:sz="0" w:space="0" w:color="auto"/>
        <w:right w:val="none" w:sz="0" w:space="0" w:color="auto"/>
      </w:divBdr>
    </w:div>
    <w:div w:id="1257179027">
      <w:bodyDiv w:val="1"/>
      <w:marLeft w:val="0"/>
      <w:marRight w:val="0"/>
      <w:marTop w:val="0"/>
      <w:marBottom w:val="0"/>
      <w:divBdr>
        <w:top w:val="none" w:sz="0" w:space="0" w:color="auto"/>
        <w:left w:val="none" w:sz="0" w:space="0" w:color="auto"/>
        <w:bottom w:val="none" w:sz="0" w:space="0" w:color="auto"/>
        <w:right w:val="none" w:sz="0" w:space="0" w:color="auto"/>
      </w:divBdr>
    </w:div>
    <w:div w:id="1257204441">
      <w:bodyDiv w:val="1"/>
      <w:marLeft w:val="0"/>
      <w:marRight w:val="0"/>
      <w:marTop w:val="0"/>
      <w:marBottom w:val="0"/>
      <w:divBdr>
        <w:top w:val="none" w:sz="0" w:space="0" w:color="auto"/>
        <w:left w:val="none" w:sz="0" w:space="0" w:color="auto"/>
        <w:bottom w:val="none" w:sz="0" w:space="0" w:color="auto"/>
        <w:right w:val="none" w:sz="0" w:space="0" w:color="auto"/>
      </w:divBdr>
    </w:div>
    <w:div w:id="1257397368">
      <w:bodyDiv w:val="1"/>
      <w:marLeft w:val="0"/>
      <w:marRight w:val="0"/>
      <w:marTop w:val="0"/>
      <w:marBottom w:val="0"/>
      <w:divBdr>
        <w:top w:val="none" w:sz="0" w:space="0" w:color="auto"/>
        <w:left w:val="none" w:sz="0" w:space="0" w:color="auto"/>
        <w:bottom w:val="none" w:sz="0" w:space="0" w:color="auto"/>
        <w:right w:val="none" w:sz="0" w:space="0" w:color="auto"/>
      </w:divBdr>
    </w:div>
    <w:div w:id="1257516957">
      <w:bodyDiv w:val="1"/>
      <w:marLeft w:val="0"/>
      <w:marRight w:val="0"/>
      <w:marTop w:val="0"/>
      <w:marBottom w:val="0"/>
      <w:divBdr>
        <w:top w:val="none" w:sz="0" w:space="0" w:color="auto"/>
        <w:left w:val="none" w:sz="0" w:space="0" w:color="auto"/>
        <w:bottom w:val="none" w:sz="0" w:space="0" w:color="auto"/>
        <w:right w:val="none" w:sz="0" w:space="0" w:color="auto"/>
      </w:divBdr>
    </w:div>
    <w:div w:id="1257592858">
      <w:bodyDiv w:val="1"/>
      <w:marLeft w:val="0"/>
      <w:marRight w:val="0"/>
      <w:marTop w:val="0"/>
      <w:marBottom w:val="0"/>
      <w:divBdr>
        <w:top w:val="none" w:sz="0" w:space="0" w:color="auto"/>
        <w:left w:val="none" w:sz="0" w:space="0" w:color="auto"/>
        <w:bottom w:val="none" w:sz="0" w:space="0" w:color="auto"/>
        <w:right w:val="none" w:sz="0" w:space="0" w:color="auto"/>
      </w:divBdr>
    </w:div>
    <w:div w:id="1257636128">
      <w:bodyDiv w:val="1"/>
      <w:marLeft w:val="0"/>
      <w:marRight w:val="0"/>
      <w:marTop w:val="0"/>
      <w:marBottom w:val="0"/>
      <w:divBdr>
        <w:top w:val="none" w:sz="0" w:space="0" w:color="auto"/>
        <w:left w:val="none" w:sz="0" w:space="0" w:color="auto"/>
        <w:bottom w:val="none" w:sz="0" w:space="0" w:color="auto"/>
        <w:right w:val="none" w:sz="0" w:space="0" w:color="auto"/>
      </w:divBdr>
    </w:div>
    <w:div w:id="1257638820">
      <w:bodyDiv w:val="1"/>
      <w:marLeft w:val="0"/>
      <w:marRight w:val="0"/>
      <w:marTop w:val="0"/>
      <w:marBottom w:val="0"/>
      <w:divBdr>
        <w:top w:val="none" w:sz="0" w:space="0" w:color="auto"/>
        <w:left w:val="none" w:sz="0" w:space="0" w:color="auto"/>
        <w:bottom w:val="none" w:sz="0" w:space="0" w:color="auto"/>
        <w:right w:val="none" w:sz="0" w:space="0" w:color="auto"/>
      </w:divBdr>
    </w:div>
    <w:div w:id="1257640740">
      <w:bodyDiv w:val="1"/>
      <w:marLeft w:val="0"/>
      <w:marRight w:val="0"/>
      <w:marTop w:val="0"/>
      <w:marBottom w:val="0"/>
      <w:divBdr>
        <w:top w:val="none" w:sz="0" w:space="0" w:color="auto"/>
        <w:left w:val="none" w:sz="0" w:space="0" w:color="auto"/>
        <w:bottom w:val="none" w:sz="0" w:space="0" w:color="auto"/>
        <w:right w:val="none" w:sz="0" w:space="0" w:color="auto"/>
      </w:divBdr>
    </w:div>
    <w:div w:id="1257791564">
      <w:bodyDiv w:val="1"/>
      <w:marLeft w:val="0"/>
      <w:marRight w:val="0"/>
      <w:marTop w:val="0"/>
      <w:marBottom w:val="0"/>
      <w:divBdr>
        <w:top w:val="none" w:sz="0" w:space="0" w:color="auto"/>
        <w:left w:val="none" w:sz="0" w:space="0" w:color="auto"/>
        <w:bottom w:val="none" w:sz="0" w:space="0" w:color="auto"/>
        <w:right w:val="none" w:sz="0" w:space="0" w:color="auto"/>
      </w:divBdr>
    </w:div>
    <w:div w:id="1257858704">
      <w:bodyDiv w:val="1"/>
      <w:marLeft w:val="0"/>
      <w:marRight w:val="0"/>
      <w:marTop w:val="0"/>
      <w:marBottom w:val="0"/>
      <w:divBdr>
        <w:top w:val="none" w:sz="0" w:space="0" w:color="auto"/>
        <w:left w:val="none" w:sz="0" w:space="0" w:color="auto"/>
        <w:bottom w:val="none" w:sz="0" w:space="0" w:color="auto"/>
        <w:right w:val="none" w:sz="0" w:space="0" w:color="auto"/>
      </w:divBdr>
    </w:div>
    <w:div w:id="1257859878">
      <w:bodyDiv w:val="1"/>
      <w:marLeft w:val="0"/>
      <w:marRight w:val="0"/>
      <w:marTop w:val="0"/>
      <w:marBottom w:val="0"/>
      <w:divBdr>
        <w:top w:val="none" w:sz="0" w:space="0" w:color="auto"/>
        <w:left w:val="none" w:sz="0" w:space="0" w:color="auto"/>
        <w:bottom w:val="none" w:sz="0" w:space="0" w:color="auto"/>
        <w:right w:val="none" w:sz="0" w:space="0" w:color="auto"/>
      </w:divBdr>
    </w:div>
    <w:div w:id="1257903575">
      <w:bodyDiv w:val="1"/>
      <w:marLeft w:val="0"/>
      <w:marRight w:val="0"/>
      <w:marTop w:val="0"/>
      <w:marBottom w:val="0"/>
      <w:divBdr>
        <w:top w:val="none" w:sz="0" w:space="0" w:color="auto"/>
        <w:left w:val="none" w:sz="0" w:space="0" w:color="auto"/>
        <w:bottom w:val="none" w:sz="0" w:space="0" w:color="auto"/>
        <w:right w:val="none" w:sz="0" w:space="0" w:color="auto"/>
      </w:divBdr>
    </w:div>
    <w:div w:id="1257903659">
      <w:bodyDiv w:val="1"/>
      <w:marLeft w:val="0"/>
      <w:marRight w:val="0"/>
      <w:marTop w:val="0"/>
      <w:marBottom w:val="0"/>
      <w:divBdr>
        <w:top w:val="none" w:sz="0" w:space="0" w:color="auto"/>
        <w:left w:val="none" w:sz="0" w:space="0" w:color="auto"/>
        <w:bottom w:val="none" w:sz="0" w:space="0" w:color="auto"/>
        <w:right w:val="none" w:sz="0" w:space="0" w:color="auto"/>
      </w:divBdr>
    </w:div>
    <w:div w:id="1257903881">
      <w:bodyDiv w:val="1"/>
      <w:marLeft w:val="0"/>
      <w:marRight w:val="0"/>
      <w:marTop w:val="0"/>
      <w:marBottom w:val="0"/>
      <w:divBdr>
        <w:top w:val="none" w:sz="0" w:space="0" w:color="auto"/>
        <w:left w:val="none" w:sz="0" w:space="0" w:color="auto"/>
        <w:bottom w:val="none" w:sz="0" w:space="0" w:color="auto"/>
        <w:right w:val="none" w:sz="0" w:space="0" w:color="auto"/>
      </w:divBdr>
    </w:div>
    <w:div w:id="1257977563">
      <w:bodyDiv w:val="1"/>
      <w:marLeft w:val="0"/>
      <w:marRight w:val="0"/>
      <w:marTop w:val="0"/>
      <w:marBottom w:val="0"/>
      <w:divBdr>
        <w:top w:val="none" w:sz="0" w:space="0" w:color="auto"/>
        <w:left w:val="none" w:sz="0" w:space="0" w:color="auto"/>
        <w:bottom w:val="none" w:sz="0" w:space="0" w:color="auto"/>
        <w:right w:val="none" w:sz="0" w:space="0" w:color="auto"/>
      </w:divBdr>
    </w:div>
    <w:div w:id="1257978379">
      <w:bodyDiv w:val="1"/>
      <w:marLeft w:val="0"/>
      <w:marRight w:val="0"/>
      <w:marTop w:val="0"/>
      <w:marBottom w:val="0"/>
      <w:divBdr>
        <w:top w:val="none" w:sz="0" w:space="0" w:color="auto"/>
        <w:left w:val="none" w:sz="0" w:space="0" w:color="auto"/>
        <w:bottom w:val="none" w:sz="0" w:space="0" w:color="auto"/>
        <w:right w:val="none" w:sz="0" w:space="0" w:color="auto"/>
      </w:divBdr>
    </w:div>
    <w:div w:id="1258101347">
      <w:bodyDiv w:val="1"/>
      <w:marLeft w:val="0"/>
      <w:marRight w:val="0"/>
      <w:marTop w:val="0"/>
      <w:marBottom w:val="0"/>
      <w:divBdr>
        <w:top w:val="none" w:sz="0" w:space="0" w:color="auto"/>
        <w:left w:val="none" w:sz="0" w:space="0" w:color="auto"/>
        <w:bottom w:val="none" w:sz="0" w:space="0" w:color="auto"/>
        <w:right w:val="none" w:sz="0" w:space="0" w:color="auto"/>
      </w:divBdr>
    </w:div>
    <w:div w:id="1258169318">
      <w:bodyDiv w:val="1"/>
      <w:marLeft w:val="0"/>
      <w:marRight w:val="0"/>
      <w:marTop w:val="0"/>
      <w:marBottom w:val="0"/>
      <w:divBdr>
        <w:top w:val="none" w:sz="0" w:space="0" w:color="auto"/>
        <w:left w:val="none" w:sz="0" w:space="0" w:color="auto"/>
        <w:bottom w:val="none" w:sz="0" w:space="0" w:color="auto"/>
        <w:right w:val="none" w:sz="0" w:space="0" w:color="auto"/>
      </w:divBdr>
    </w:div>
    <w:div w:id="1258245966">
      <w:bodyDiv w:val="1"/>
      <w:marLeft w:val="0"/>
      <w:marRight w:val="0"/>
      <w:marTop w:val="0"/>
      <w:marBottom w:val="0"/>
      <w:divBdr>
        <w:top w:val="none" w:sz="0" w:space="0" w:color="auto"/>
        <w:left w:val="none" w:sz="0" w:space="0" w:color="auto"/>
        <w:bottom w:val="none" w:sz="0" w:space="0" w:color="auto"/>
        <w:right w:val="none" w:sz="0" w:space="0" w:color="auto"/>
      </w:divBdr>
    </w:div>
    <w:div w:id="1258246112">
      <w:bodyDiv w:val="1"/>
      <w:marLeft w:val="0"/>
      <w:marRight w:val="0"/>
      <w:marTop w:val="0"/>
      <w:marBottom w:val="0"/>
      <w:divBdr>
        <w:top w:val="none" w:sz="0" w:space="0" w:color="auto"/>
        <w:left w:val="none" w:sz="0" w:space="0" w:color="auto"/>
        <w:bottom w:val="none" w:sz="0" w:space="0" w:color="auto"/>
        <w:right w:val="none" w:sz="0" w:space="0" w:color="auto"/>
      </w:divBdr>
    </w:div>
    <w:div w:id="1258252899">
      <w:bodyDiv w:val="1"/>
      <w:marLeft w:val="0"/>
      <w:marRight w:val="0"/>
      <w:marTop w:val="0"/>
      <w:marBottom w:val="0"/>
      <w:divBdr>
        <w:top w:val="none" w:sz="0" w:space="0" w:color="auto"/>
        <w:left w:val="none" w:sz="0" w:space="0" w:color="auto"/>
        <w:bottom w:val="none" w:sz="0" w:space="0" w:color="auto"/>
        <w:right w:val="none" w:sz="0" w:space="0" w:color="auto"/>
      </w:divBdr>
    </w:div>
    <w:div w:id="1258291901">
      <w:bodyDiv w:val="1"/>
      <w:marLeft w:val="0"/>
      <w:marRight w:val="0"/>
      <w:marTop w:val="0"/>
      <w:marBottom w:val="0"/>
      <w:divBdr>
        <w:top w:val="none" w:sz="0" w:space="0" w:color="auto"/>
        <w:left w:val="none" w:sz="0" w:space="0" w:color="auto"/>
        <w:bottom w:val="none" w:sz="0" w:space="0" w:color="auto"/>
        <w:right w:val="none" w:sz="0" w:space="0" w:color="auto"/>
      </w:divBdr>
    </w:div>
    <w:div w:id="1258296559">
      <w:bodyDiv w:val="1"/>
      <w:marLeft w:val="0"/>
      <w:marRight w:val="0"/>
      <w:marTop w:val="0"/>
      <w:marBottom w:val="0"/>
      <w:divBdr>
        <w:top w:val="none" w:sz="0" w:space="0" w:color="auto"/>
        <w:left w:val="none" w:sz="0" w:space="0" w:color="auto"/>
        <w:bottom w:val="none" w:sz="0" w:space="0" w:color="auto"/>
        <w:right w:val="none" w:sz="0" w:space="0" w:color="auto"/>
      </w:divBdr>
    </w:div>
    <w:div w:id="1258513476">
      <w:bodyDiv w:val="1"/>
      <w:marLeft w:val="0"/>
      <w:marRight w:val="0"/>
      <w:marTop w:val="0"/>
      <w:marBottom w:val="0"/>
      <w:divBdr>
        <w:top w:val="none" w:sz="0" w:space="0" w:color="auto"/>
        <w:left w:val="none" w:sz="0" w:space="0" w:color="auto"/>
        <w:bottom w:val="none" w:sz="0" w:space="0" w:color="auto"/>
        <w:right w:val="none" w:sz="0" w:space="0" w:color="auto"/>
      </w:divBdr>
    </w:div>
    <w:div w:id="1258707901">
      <w:bodyDiv w:val="1"/>
      <w:marLeft w:val="0"/>
      <w:marRight w:val="0"/>
      <w:marTop w:val="0"/>
      <w:marBottom w:val="0"/>
      <w:divBdr>
        <w:top w:val="none" w:sz="0" w:space="0" w:color="auto"/>
        <w:left w:val="none" w:sz="0" w:space="0" w:color="auto"/>
        <w:bottom w:val="none" w:sz="0" w:space="0" w:color="auto"/>
        <w:right w:val="none" w:sz="0" w:space="0" w:color="auto"/>
      </w:divBdr>
    </w:div>
    <w:div w:id="1258758056">
      <w:bodyDiv w:val="1"/>
      <w:marLeft w:val="0"/>
      <w:marRight w:val="0"/>
      <w:marTop w:val="0"/>
      <w:marBottom w:val="0"/>
      <w:divBdr>
        <w:top w:val="none" w:sz="0" w:space="0" w:color="auto"/>
        <w:left w:val="none" w:sz="0" w:space="0" w:color="auto"/>
        <w:bottom w:val="none" w:sz="0" w:space="0" w:color="auto"/>
        <w:right w:val="none" w:sz="0" w:space="0" w:color="auto"/>
      </w:divBdr>
    </w:div>
    <w:div w:id="1258758764">
      <w:bodyDiv w:val="1"/>
      <w:marLeft w:val="0"/>
      <w:marRight w:val="0"/>
      <w:marTop w:val="0"/>
      <w:marBottom w:val="0"/>
      <w:divBdr>
        <w:top w:val="none" w:sz="0" w:space="0" w:color="auto"/>
        <w:left w:val="none" w:sz="0" w:space="0" w:color="auto"/>
        <w:bottom w:val="none" w:sz="0" w:space="0" w:color="auto"/>
        <w:right w:val="none" w:sz="0" w:space="0" w:color="auto"/>
      </w:divBdr>
    </w:div>
    <w:div w:id="1258826097">
      <w:bodyDiv w:val="1"/>
      <w:marLeft w:val="0"/>
      <w:marRight w:val="0"/>
      <w:marTop w:val="0"/>
      <w:marBottom w:val="0"/>
      <w:divBdr>
        <w:top w:val="none" w:sz="0" w:space="0" w:color="auto"/>
        <w:left w:val="none" w:sz="0" w:space="0" w:color="auto"/>
        <w:bottom w:val="none" w:sz="0" w:space="0" w:color="auto"/>
        <w:right w:val="none" w:sz="0" w:space="0" w:color="auto"/>
      </w:divBdr>
    </w:div>
    <w:div w:id="1258832883">
      <w:bodyDiv w:val="1"/>
      <w:marLeft w:val="0"/>
      <w:marRight w:val="0"/>
      <w:marTop w:val="0"/>
      <w:marBottom w:val="0"/>
      <w:divBdr>
        <w:top w:val="none" w:sz="0" w:space="0" w:color="auto"/>
        <w:left w:val="none" w:sz="0" w:space="0" w:color="auto"/>
        <w:bottom w:val="none" w:sz="0" w:space="0" w:color="auto"/>
        <w:right w:val="none" w:sz="0" w:space="0" w:color="auto"/>
      </w:divBdr>
    </w:div>
    <w:div w:id="1259023567">
      <w:bodyDiv w:val="1"/>
      <w:marLeft w:val="0"/>
      <w:marRight w:val="0"/>
      <w:marTop w:val="0"/>
      <w:marBottom w:val="0"/>
      <w:divBdr>
        <w:top w:val="none" w:sz="0" w:space="0" w:color="auto"/>
        <w:left w:val="none" w:sz="0" w:space="0" w:color="auto"/>
        <w:bottom w:val="none" w:sz="0" w:space="0" w:color="auto"/>
        <w:right w:val="none" w:sz="0" w:space="0" w:color="auto"/>
      </w:divBdr>
    </w:div>
    <w:div w:id="1259102779">
      <w:bodyDiv w:val="1"/>
      <w:marLeft w:val="0"/>
      <w:marRight w:val="0"/>
      <w:marTop w:val="0"/>
      <w:marBottom w:val="0"/>
      <w:divBdr>
        <w:top w:val="none" w:sz="0" w:space="0" w:color="auto"/>
        <w:left w:val="none" w:sz="0" w:space="0" w:color="auto"/>
        <w:bottom w:val="none" w:sz="0" w:space="0" w:color="auto"/>
        <w:right w:val="none" w:sz="0" w:space="0" w:color="auto"/>
      </w:divBdr>
    </w:div>
    <w:div w:id="1259144135">
      <w:bodyDiv w:val="1"/>
      <w:marLeft w:val="0"/>
      <w:marRight w:val="0"/>
      <w:marTop w:val="0"/>
      <w:marBottom w:val="0"/>
      <w:divBdr>
        <w:top w:val="none" w:sz="0" w:space="0" w:color="auto"/>
        <w:left w:val="none" w:sz="0" w:space="0" w:color="auto"/>
        <w:bottom w:val="none" w:sz="0" w:space="0" w:color="auto"/>
        <w:right w:val="none" w:sz="0" w:space="0" w:color="auto"/>
      </w:divBdr>
    </w:div>
    <w:div w:id="1259171380">
      <w:bodyDiv w:val="1"/>
      <w:marLeft w:val="0"/>
      <w:marRight w:val="0"/>
      <w:marTop w:val="0"/>
      <w:marBottom w:val="0"/>
      <w:divBdr>
        <w:top w:val="none" w:sz="0" w:space="0" w:color="auto"/>
        <w:left w:val="none" w:sz="0" w:space="0" w:color="auto"/>
        <w:bottom w:val="none" w:sz="0" w:space="0" w:color="auto"/>
        <w:right w:val="none" w:sz="0" w:space="0" w:color="auto"/>
      </w:divBdr>
    </w:div>
    <w:div w:id="1259173328">
      <w:bodyDiv w:val="1"/>
      <w:marLeft w:val="0"/>
      <w:marRight w:val="0"/>
      <w:marTop w:val="0"/>
      <w:marBottom w:val="0"/>
      <w:divBdr>
        <w:top w:val="none" w:sz="0" w:space="0" w:color="auto"/>
        <w:left w:val="none" w:sz="0" w:space="0" w:color="auto"/>
        <w:bottom w:val="none" w:sz="0" w:space="0" w:color="auto"/>
        <w:right w:val="none" w:sz="0" w:space="0" w:color="auto"/>
      </w:divBdr>
    </w:div>
    <w:div w:id="1259295571">
      <w:bodyDiv w:val="1"/>
      <w:marLeft w:val="0"/>
      <w:marRight w:val="0"/>
      <w:marTop w:val="0"/>
      <w:marBottom w:val="0"/>
      <w:divBdr>
        <w:top w:val="none" w:sz="0" w:space="0" w:color="auto"/>
        <w:left w:val="none" w:sz="0" w:space="0" w:color="auto"/>
        <w:bottom w:val="none" w:sz="0" w:space="0" w:color="auto"/>
        <w:right w:val="none" w:sz="0" w:space="0" w:color="auto"/>
      </w:divBdr>
    </w:div>
    <w:div w:id="1259366327">
      <w:bodyDiv w:val="1"/>
      <w:marLeft w:val="0"/>
      <w:marRight w:val="0"/>
      <w:marTop w:val="0"/>
      <w:marBottom w:val="0"/>
      <w:divBdr>
        <w:top w:val="none" w:sz="0" w:space="0" w:color="auto"/>
        <w:left w:val="none" w:sz="0" w:space="0" w:color="auto"/>
        <w:bottom w:val="none" w:sz="0" w:space="0" w:color="auto"/>
        <w:right w:val="none" w:sz="0" w:space="0" w:color="auto"/>
      </w:divBdr>
    </w:div>
    <w:div w:id="1259486727">
      <w:bodyDiv w:val="1"/>
      <w:marLeft w:val="0"/>
      <w:marRight w:val="0"/>
      <w:marTop w:val="0"/>
      <w:marBottom w:val="0"/>
      <w:divBdr>
        <w:top w:val="none" w:sz="0" w:space="0" w:color="auto"/>
        <w:left w:val="none" w:sz="0" w:space="0" w:color="auto"/>
        <w:bottom w:val="none" w:sz="0" w:space="0" w:color="auto"/>
        <w:right w:val="none" w:sz="0" w:space="0" w:color="auto"/>
      </w:divBdr>
    </w:div>
    <w:div w:id="1259555572">
      <w:bodyDiv w:val="1"/>
      <w:marLeft w:val="0"/>
      <w:marRight w:val="0"/>
      <w:marTop w:val="0"/>
      <w:marBottom w:val="0"/>
      <w:divBdr>
        <w:top w:val="none" w:sz="0" w:space="0" w:color="auto"/>
        <w:left w:val="none" w:sz="0" w:space="0" w:color="auto"/>
        <w:bottom w:val="none" w:sz="0" w:space="0" w:color="auto"/>
        <w:right w:val="none" w:sz="0" w:space="0" w:color="auto"/>
      </w:divBdr>
    </w:div>
    <w:div w:id="1259556702">
      <w:bodyDiv w:val="1"/>
      <w:marLeft w:val="0"/>
      <w:marRight w:val="0"/>
      <w:marTop w:val="0"/>
      <w:marBottom w:val="0"/>
      <w:divBdr>
        <w:top w:val="none" w:sz="0" w:space="0" w:color="auto"/>
        <w:left w:val="none" w:sz="0" w:space="0" w:color="auto"/>
        <w:bottom w:val="none" w:sz="0" w:space="0" w:color="auto"/>
        <w:right w:val="none" w:sz="0" w:space="0" w:color="auto"/>
      </w:divBdr>
    </w:div>
    <w:div w:id="1259561120">
      <w:bodyDiv w:val="1"/>
      <w:marLeft w:val="0"/>
      <w:marRight w:val="0"/>
      <w:marTop w:val="0"/>
      <w:marBottom w:val="0"/>
      <w:divBdr>
        <w:top w:val="none" w:sz="0" w:space="0" w:color="auto"/>
        <w:left w:val="none" w:sz="0" w:space="0" w:color="auto"/>
        <w:bottom w:val="none" w:sz="0" w:space="0" w:color="auto"/>
        <w:right w:val="none" w:sz="0" w:space="0" w:color="auto"/>
      </w:divBdr>
    </w:div>
    <w:div w:id="1259748560">
      <w:bodyDiv w:val="1"/>
      <w:marLeft w:val="0"/>
      <w:marRight w:val="0"/>
      <w:marTop w:val="0"/>
      <w:marBottom w:val="0"/>
      <w:divBdr>
        <w:top w:val="none" w:sz="0" w:space="0" w:color="auto"/>
        <w:left w:val="none" w:sz="0" w:space="0" w:color="auto"/>
        <w:bottom w:val="none" w:sz="0" w:space="0" w:color="auto"/>
        <w:right w:val="none" w:sz="0" w:space="0" w:color="auto"/>
      </w:divBdr>
    </w:div>
    <w:div w:id="1259945804">
      <w:bodyDiv w:val="1"/>
      <w:marLeft w:val="0"/>
      <w:marRight w:val="0"/>
      <w:marTop w:val="0"/>
      <w:marBottom w:val="0"/>
      <w:divBdr>
        <w:top w:val="none" w:sz="0" w:space="0" w:color="auto"/>
        <w:left w:val="none" w:sz="0" w:space="0" w:color="auto"/>
        <w:bottom w:val="none" w:sz="0" w:space="0" w:color="auto"/>
        <w:right w:val="none" w:sz="0" w:space="0" w:color="auto"/>
      </w:divBdr>
    </w:div>
    <w:div w:id="1260020305">
      <w:bodyDiv w:val="1"/>
      <w:marLeft w:val="0"/>
      <w:marRight w:val="0"/>
      <w:marTop w:val="0"/>
      <w:marBottom w:val="0"/>
      <w:divBdr>
        <w:top w:val="none" w:sz="0" w:space="0" w:color="auto"/>
        <w:left w:val="none" w:sz="0" w:space="0" w:color="auto"/>
        <w:bottom w:val="none" w:sz="0" w:space="0" w:color="auto"/>
        <w:right w:val="none" w:sz="0" w:space="0" w:color="auto"/>
      </w:divBdr>
    </w:div>
    <w:div w:id="1260066899">
      <w:bodyDiv w:val="1"/>
      <w:marLeft w:val="0"/>
      <w:marRight w:val="0"/>
      <w:marTop w:val="0"/>
      <w:marBottom w:val="0"/>
      <w:divBdr>
        <w:top w:val="none" w:sz="0" w:space="0" w:color="auto"/>
        <w:left w:val="none" w:sz="0" w:space="0" w:color="auto"/>
        <w:bottom w:val="none" w:sz="0" w:space="0" w:color="auto"/>
        <w:right w:val="none" w:sz="0" w:space="0" w:color="auto"/>
      </w:divBdr>
    </w:div>
    <w:div w:id="1260285928">
      <w:bodyDiv w:val="1"/>
      <w:marLeft w:val="0"/>
      <w:marRight w:val="0"/>
      <w:marTop w:val="0"/>
      <w:marBottom w:val="0"/>
      <w:divBdr>
        <w:top w:val="none" w:sz="0" w:space="0" w:color="auto"/>
        <w:left w:val="none" w:sz="0" w:space="0" w:color="auto"/>
        <w:bottom w:val="none" w:sz="0" w:space="0" w:color="auto"/>
        <w:right w:val="none" w:sz="0" w:space="0" w:color="auto"/>
      </w:divBdr>
    </w:div>
    <w:div w:id="1260288810">
      <w:bodyDiv w:val="1"/>
      <w:marLeft w:val="0"/>
      <w:marRight w:val="0"/>
      <w:marTop w:val="0"/>
      <w:marBottom w:val="0"/>
      <w:divBdr>
        <w:top w:val="none" w:sz="0" w:space="0" w:color="auto"/>
        <w:left w:val="none" w:sz="0" w:space="0" w:color="auto"/>
        <w:bottom w:val="none" w:sz="0" w:space="0" w:color="auto"/>
        <w:right w:val="none" w:sz="0" w:space="0" w:color="auto"/>
      </w:divBdr>
    </w:div>
    <w:div w:id="1260410053">
      <w:bodyDiv w:val="1"/>
      <w:marLeft w:val="0"/>
      <w:marRight w:val="0"/>
      <w:marTop w:val="0"/>
      <w:marBottom w:val="0"/>
      <w:divBdr>
        <w:top w:val="none" w:sz="0" w:space="0" w:color="auto"/>
        <w:left w:val="none" w:sz="0" w:space="0" w:color="auto"/>
        <w:bottom w:val="none" w:sz="0" w:space="0" w:color="auto"/>
        <w:right w:val="none" w:sz="0" w:space="0" w:color="auto"/>
      </w:divBdr>
    </w:div>
    <w:div w:id="1260531220">
      <w:bodyDiv w:val="1"/>
      <w:marLeft w:val="0"/>
      <w:marRight w:val="0"/>
      <w:marTop w:val="0"/>
      <w:marBottom w:val="0"/>
      <w:divBdr>
        <w:top w:val="none" w:sz="0" w:space="0" w:color="auto"/>
        <w:left w:val="none" w:sz="0" w:space="0" w:color="auto"/>
        <w:bottom w:val="none" w:sz="0" w:space="0" w:color="auto"/>
        <w:right w:val="none" w:sz="0" w:space="0" w:color="auto"/>
      </w:divBdr>
    </w:div>
    <w:div w:id="1260721530">
      <w:bodyDiv w:val="1"/>
      <w:marLeft w:val="0"/>
      <w:marRight w:val="0"/>
      <w:marTop w:val="0"/>
      <w:marBottom w:val="0"/>
      <w:divBdr>
        <w:top w:val="none" w:sz="0" w:space="0" w:color="auto"/>
        <w:left w:val="none" w:sz="0" w:space="0" w:color="auto"/>
        <w:bottom w:val="none" w:sz="0" w:space="0" w:color="auto"/>
        <w:right w:val="none" w:sz="0" w:space="0" w:color="auto"/>
      </w:divBdr>
    </w:div>
    <w:div w:id="1260747827">
      <w:bodyDiv w:val="1"/>
      <w:marLeft w:val="0"/>
      <w:marRight w:val="0"/>
      <w:marTop w:val="0"/>
      <w:marBottom w:val="0"/>
      <w:divBdr>
        <w:top w:val="none" w:sz="0" w:space="0" w:color="auto"/>
        <w:left w:val="none" w:sz="0" w:space="0" w:color="auto"/>
        <w:bottom w:val="none" w:sz="0" w:space="0" w:color="auto"/>
        <w:right w:val="none" w:sz="0" w:space="0" w:color="auto"/>
      </w:divBdr>
    </w:div>
    <w:div w:id="1260991921">
      <w:bodyDiv w:val="1"/>
      <w:marLeft w:val="0"/>
      <w:marRight w:val="0"/>
      <w:marTop w:val="0"/>
      <w:marBottom w:val="0"/>
      <w:divBdr>
        <w:top w:val="none" w:sz="0" w:space="0" w:color="auto"/>
        <w:left w:val="none" w:sz="0" w:space="0" w:color="auto"/>
        <w:bottom w:val="none" w:sz="0" w:space="0" w:color="auto"/>
        <w:right w:val="none" w:sz="0" w:space="0" w:color="auto"/>
      </w:divBdr>
    </w:div>
    <w:div w:id="1261178748">
      <w:bodyDiv w:val="1"/>
      <w:marLeft w:val="0"/>
      <w:marRight w:val="0"/>
      <w:marTop w:val="0"/>
      <w:marBottom w:val="0"/>
      <w:divBdr>
        <w:top w:val="none" w:sz="0" w:space="0" w:color="auto"/>
        <w:left w:val="none" w:sz="0" w:space="0" w:color="auto"/>
        <w:bottom w:val="none" w:sz="0" w:space="0" w:color="auto"/>
        <w:right w:val="none" w:sz="0" w:space="0" w:color="auto"/>
      </w:divBdr>
    </w:div>
    <w:div w:id="1261258951">
      <w:bodyDiv w:val="1"/>
      <w:marLeft w:val="0"/>
      <w:marRight w:val="0"/>
      <w:marTop w:val="0"/>
      <w:marBottom w:val="0"/>
      <w:divBdr>
        <w:top w:val="none" w:sz="0" w:space="0" w:color="auto"/>
        <w:left w:val="none" w:sz="0" w:space="0" w:color="auto"/>
        <w:bottom w:val="none" w:sz="0" w:space="0" w:color="auto"/>
        <w:right w:val="none" w:sz="0" w:space="0" w:color="auto"/>
      </w:divBdr>
    </w:div>
    <w:div w:id="1261329185">
      <w:bodyDiv w:val="1"/>
      <w:marLeft w:val="0"/>
      <w:marRight w:val="0"/>
      <w:marTop w:val="0"/>
      <w:marBottom w:val="0"/>
      <w:divBdr>
        <w:top w:val="none" w:sz="0" w:space="0" w:color="auto"/>
        <w:left w:val="none" w:sz="0" w:space="0" w:color="auto"/>
        <w:bottom w:val="none" w:sz="0" w:space="0" w:color="auto"/>
        <w:right w:val="none" w:sz="0" w:space="0" w:color="auto"/>
      </w:divBdr>
    </w:div>
    <w:div w:id="1261378104">
      <w:bodyDiv w:val="1"/>
      <w:marLeft w:val="0"/>
      <w:marRight w:val="0"/>
      <w:marTop w:val="0"/>
      <w:marBottom w:val="0"/>
      <w:divBdr>
        <w:top w:val="none" w:sz="0" w:space="0" w:color="auto"/>
        <w:left w:val="none" w:sz="0" w:space="0" w:color="auto"/>
        <w:bottom w:val="none" w:sz="0" w:space="0" w:color="auto"/>
        <w:right w:val="none" w:sz="0" w:space="0" w:color="auto"/>
      </w:divBdr>
    </w:div>
    <w:div w:id="1261446777">
      <w:bodyDiv w:val="1"/>
      <w:marLeft w:val="0"/>
      <w:marRight w:val="0"/>
      <w:marTop w:val="0"/>
      <w:marBottom w:val="0"/>
      <w:divBdr>
        <w:top w:val="none" w:sz="0" w:space="0" w:color="auto"/>
        <w:left w:val="none" w:sz="0" w:space="0" w:color="auto"/>
        <w:bottom w:val="none" w:sz="0" w:space="0" w:color="auto"/>
        <w:right w:val="none" w:sz="0" w:space="0" w:color="auto"/>
      </w:divBdr>
    </w:div>
    <w:div w:id="1261568166">
      <w:bodyDiv w:val="1"/>
      <w:marLeft w:val="0"/>
      <w:marRight w:val="0"/>
      <w:marTop w:val="0"/>
      <w:marBottom w:val="0"/>
      <w:divBdr>
        <w:top w:val="none" w:sz="0" w:space="0" w:color="auto"/>
        <w:left w:val="none" w:sz="0" w:space="0" w:color="auto"/>
        <w:bottom w:val="none" w:sz="0" w:space="0" w:color="auto"/>
        <w:right w:val="none" w:sz="0" w:space="0" w:color="auto"/>
      </w:divBdr>
    </w:div>
    <w:div w:id="1261715835">
      <w:bodyDiv w:val="1"/>
      <w:marLeft w:val="0"/>
      <w:marRight w:val="0"/>
      <w:marTop w:val="0"/>
      <w:marBottom w:val="0"/>
      <w:divBdr>
        <w:top w:val="none" w:sz="0" w:space="0" w:color="auto"/>
        <w:left w:val="none" w:sz="0" w:space="0" w:color="auto"/>
        <w:bottom w:val="none" w:sz="0" w:space="0" w:color="auto"/>
        <w:right w:val="none" w:sz="0" w:space="0" w:color="auto"/>
      </w:divBdr>
    </w:div>
    <w:div w:id="1261715948">
      <w:bodyDiv w:val="1"/>
      <w:marLeft w:val="0"/>
      <w:marRight w:val="0"/>
      <w:marTop w:val="0"/>
      <w:marBottom w:val="0"/>
      <w:divBdr>
        <w:top w:val="none" w:sz="0" w:space="0" w:color="auto"/>
        <w:left w:val="none" w:sz="0" w:space="0" w:color="auto"/>
        <w:bottom w:val="none" w:sz="0" w:space="0" w:color="auto"/>
        <w:right w:val="none" w:sz="0" w:space="0" w:color="auto"/>
      </w:divBdr>
    </w:div>
    <w:div w:id="1261721261">
      <w:bodyDiv w:val="1"/>
      <w:marLeft w:val="0"/>
      <w:marRight w:val="0"/>
      <w:marTop w:val="0"/>
      <w:marBottom w:val="0"/>
      <w:divBdr>
        <w:top w:val="none" w:sz="0" w:space="0" w:color="auto"/>
        <w:left w:val="none" w:sz="0" w:space="0" w:color="auto"/>
        <w:bottom w:val="none" w:sz="0" w:space="0" w:color="auto"/>
        <w:right w:val="none" w:sz="0" w:space="0" w:color="auto"/>
      </w:divBdr>
    </w:div>
    <w:div w:id="1261791040">
      <w:bodyDiv w:val="1"/>
      <w:marLeft w:val="0"/>
      <w:marRight w:val="0"/>
      <w:marTop w:val="0"/>
      <w:marBottom w:val="0"/>
      <w:divBdr>
        <w:top w:val="none" w:sz="0" w:space="0" w:color="auto"/>
        <w:left w:val="none" w:sz="0" w:space="0" w:color="auto"/>
        <w:bottom w:val="none" w:sz="0" w:space="0" w:color="auto"/>
        <w:right w:val="none" w:sz="0" w:space="0" w:color="auto"/>
      </w:divBdr>
    </w:div>
    <w:div w:id="1261792393">
      <w:bodyDiv w:val="1"/>
      <w:marLeft w:val="0"/>
      <w:marRight w:val="0"/>
      <w:marTop w:val="0"/>
      <w:marBottom w:val="0"/>
      <w:divBdr>
        <w:top w:val="none" w:sz="0" w:space="0" w:color="auto"/>
        <w:left w:val="none" w:sz="0" w:space="0" w:color="auto"/>
        <w:bottom w:val="none" w:sz="0" w:space="0" w:color="auto"/>
        <w:right w:val="none" w:sz="0" w:space="0" w:color="auto"/>
      </w:divBdr>
    </w:div>
    <w:div w:id="1261833516">
      <w:bodyDiv w:val="1"/>
      <w:marLeft w:val="0"/>
      <w:marRight w:val="0"/>
      <w:marTop w:val="0"/>
      <w:marBottom w:val="0"/>
      <w:divBdr>
        <w:top w:val="none" w:sz="0" w:space="0" w:color="auto"/>
        <w:left w:val="none" w:sz="0" w:space="0" w:color="auto"/>
        <w:bottom w:val="none" w:sz="0" w:space="0" w:color="auto"/>
        <w:right w:val="none" w:sz="0" w:space="0" w:color="auto"/>
      </w:divBdr>
    </w:div>
    <w:div w:id="1261914077">
      <w:bodyDiv w:val="1"/>
      <w:marLeft w:val="0"/>
      <w:marRight w:val="0"/>
      <w:marTop w:val="0"/>
      <w:marBottom w:val="0"/>
      <w:divBdr>
        <w:top w:val="none" w:sz="0" w:space="0" w:color="auto"/>
        <w:left w:val="none" w:sz="0" w:space="0" w:color="auto"/>
        <w:bottom w:val="none" w:sz="0" w:space="0" w:color="auto"/>
        <w:right w:val="none" w:sz="0" w:space="0" w:color="auto"/>
      </w:divBdr>
    </w:div>
    <w:div w:id="1262031786">
      <w:bodyDiv w:val="1"/>
      <w:marLeft w:val="0"/>
      <w:marRight w:val="0"/>
      <w:marTop w:val="0"/>
      <w:marBottom w:val="0"/>
      <w:divBdr>
        <w:top w:val="none" w:sz="0" w:space="0" w:color="auto"/>
        <w:left w:val="none" w:sz="0" w:space="0" w:color="auto"/>
        <w:bottom w:val="none" w:sz="0" w:space="0" w:color="auto"/>
        <w:right w:val="none" w:sz="0" w:space="0" w:color="auto"/>
      </w:divBdr>
    </w:div>
    <w:div w:id="1262058998">
      <w:bodyDiv w:val="1"/>
      <w:marLeft w:val="0"/>
      <w:marRight w:val="0"/>
      <w:marTop w:val="0"/>
      <w:marBottom w:val="0"/>
      <w:divBdr>
        <w:top w:val="none" w:sz="0" w:space="0" w:color="auto"/>
        <w:left w:val="none" w:sz="0" w:space="0" w:color="auto"/>
        <w:bottom w:val="none" w:sz="0" w:space="0" w:color="auto"/>
        <w:right w:val="none" w:sz="0" w:space="0" w:color="auto"/>
      </w:divBdr>
    </w:div>
    <w:div w:id="1262103757">
      <w:bodyDiv w:val="1"/>
      <w:marLeft w:val="0"/>
      <w:marRight w:val="0"/>
      <w:marTop w:val="0"/>
      <w:marBottom w:val="0"/>
      <w:divBdr>
        <w:top w:val="none" w:sz="0" w:space="0" w:color="auto"/>
        <w:left w:val="none" w:sz="0" w:space="0" w:color="auto"/>
        <w:bottom w:val="none" w:sz="0" w:space="0" w:color="auto"/>
        <w:right w:val="none" w:sz="0" w:space="0" w:color="auto"/>
      </w:divBdr>
    </w:div>
    <w:div w:id="1262297419">
      <w:bodyDiv w:val="1"/>
      <w:marLeft w:val="0"/>
      <w:marRight w:val="0"/>
      <w:marTop w:val="0"/>
      <w:marBottom w:val="0"/>
      <w:divBdr>
        <w:top w:val="none" w:sz="0" w:space="0" w:color="auto"/>
        <w:left w:val="none" w:sz="0" w:space="0" w:color="auto"/>
        <w:bottom w:val="none" w:sz="0" w:space="0" w:color="auto"/>
        <w:right w:val="none" w:sz="0" w:space="0" w:color="auto"/>
      </w:divBdr>
    </w:div>
    <w:div w:id="1262300783">
      <w:bodyDiv w:val="1"/>
      <w:marLeft w:val="0"/>
      <w:marRight w:val="0"/>
      <w:marTop w:val="0"/>
      <w:marBottom w:val="0"/>
      <w:divBdr>
        <w:top w:val="none" w:sz="0" w:space="0" w:color="auto"/>
        <w:left w:val="none" w:sz="0" w:space="0" w:color="auto"/>
        <w:bottom w:val="none" w:sz="0" w:space="0" w:color="auto"/>
        <w:right w:val="none" w:sz="0" w:space="0" w:color="auto"/>
      </w:divBdr>
    </w:div>
    <w:div w:id="1262303891">
      <w:bodyDiv w:val="1"/>
      <w:marLeft w:val="0"/>
      <w:marRight w:val="0"/>
      <w:marTop w:val="0"/>
      <w:marBottom w:val="0"/>
      <w:divBdr>
        <w:top w:val="none" w:sz="0" w:space="0" w:color="auto"/>
        <w:left w:val="none" w:sz="0" w:space="0" w:color="auto"/>
        <w:bottom w:val="none" w:sz="0" w:space="0" w:color="auto"/>
        <w:right w:val="none" w:sz="0" w:space="0" w:color="auto"/>
      </w:divBdr>
    </w:div>
    <w:div w:id="1262491400">
      <w:bodyDiv w:val="1"/>
      <w:marLeft w:val="0"/>
      <w:marRight w:val="0"/>
      <w:marTop w:val="0"/>
      <w:marBottom w:val="0"/>
      <w:divBdr>
        <w:top w:val="none" w:sz="0" w:space="0" w:color="auto"/>
        <w:left w:val="none" w:sz="0" w:space="0" w:color="auto"/>
        <w:bottom w:val="none" w:sz="0" w:space="0" w:color="auto"/>
        <w:right w:val="none" w:sz="0" w:space="0" w:color="auto"/>
      </w:divBdr>
    </w:div>
    <w:div w:id="1262564555">
      <w:bodyDiv w:val="1"/>
      <w:marLeft w:val="0"/>
      <w:marRight w:val="0"/>
      <w:marTop w:val="0"/>
      <w:marBottom w:val="0"/>
      <w:divBdr>
        <w:top w:val="none" w:sz="0" w:space="0" w:color="auto"/>
        <w:left w:val="none" w:sz="0" w:space="0" w:color="auto"/>
        <w:bottom w:val="none" w:sz="0" w:space="0" w:color="auto"/>
        <w:right w:val="none" w:sz="0" w:space="0" w:color="auto"/>
      </w:divBdr>
    </w:div>
    <w:div w:id="1262568832">
      <w:bodyDiv w:val="1"/>
      <w:marLeft w:val="0"/>
      <w:marRight w:val="0"/>
      <w:marTop w:val="0"/>
      <w:marBottom w:val="0"/>
      <w:divBdr>
        <w:top w:val="none" w:sz="0" w:space="0" w:color="auto"/>
        <w:left w:val="none" w:sz="0" w:space="0" w:color="auto"/>
        <w:bottom w:val="none" w:sz="0" w:space="0" w:color="auto"/>
        <w:right w:val="none" w:sz="0" w:space="0" w:color="auto"/>
      </w:divBdr>
    </w:div>
    <w:div w:id="1262834132">
      <w:bodyDiv w:val="1"/>
      <w:marLeft w:val="0"/>
      <w:marRight w:val="0"/>
      <w:marTop w:val="0"/>
      <w:marBottom w:val="0"/>
      <w:divBdr>
        <w:top w:val="none" w:sz="0" w:space="0" w:color="auto"/>
        <w:left w:val="none" w:sz="0" w:space="0" w:color="auto"/>
        <w:bottom w:val="none" w:sz="0" w:space="0" w:color="auto"/>
        <w:right w:val="none" w:sz="0" w:space="0" w:color="auto"/>
      </w:divBdr>
    </w:div>
    <w:div w:id="1262882066">
      <w:bodyDiv w:val="1"/>
      <w:marLeft w:val="0"/>
      <w:marRight w:val="0"/>
      <w:marTop w:val="0"/>
      <w:marBottom w:val="0"/>
      <w:divBdr>
        <w:top w:val="none" w:sz="0" w:space="0" w:color="auto"/>
        <w:left w:val="none" w:sz="0" w:space="0" w:color="auto"/>
        <w:bottom w:val="none" w:sz="0" w:space="0" w:color="auto"/>
        <w:right w:val="none" w:sz="0" w:space="0" w:color="auto"/>
      </w:divBdr>
    </w:div>
    <w:div w:id="1263076831">
      <w:bodyDiv w:val="1"/>
      <w:marLeft w:val="0"/>
      <w:marRight w:val="0"/>
      <w:marTop w:val="0"/>
      <w:marBottom w:val="0"/>
      <w:divBdr>
        <w:top w:val="none" w:sz="0" w:space="0" w:color="auto"/>
        <w:left w:val="none" w:sz="0" w:space="0" w:color="auto"/>
        <w:bottom w:val="none" w:sz="0" w:space="0" w:color="auto"/>
        <w:right w:val="none" w:sz="0" w:space="0" w:color="auto"/>
      </w:divBdr>
    </w:div>
    <w:div w:id="1263143336">
      <w:bodyDiv w:val="1"/>
      <w:marLeft w:val="0"/>
      <w:marRight w:val="0"/>
      <w:marTop w:val="0"/>
      <w:marBottom w:val="0"/>
      <w:divBdr>
        <w:top w:val="none" w:sz="0" w:space="0" w:color="auto"/>
        <w:left w:val="none" w:sz="0" w:space="0" w:color="auto"/>
        <w:bottom w:val="none" w:sz="0" w:space="0" w:color="auto"/>
        <w:right w:val="none" w:sz="0" w:space="0" w:color="auto"/>
      </w:divBdr>
    </w:div>
    <w:div w:id="1263150746">
      <w:bodyDiv w:val="1"/>
      <w:marLeft w:val="0"/>
      <w:marRight w:val="0"/>
      <w:marTop w:val="0"/>
      <w:marBottom w:val="0"/>
      <w:divBdr>
        <w:top w:val="none" w:sz="0" w:space="0" w:color="auto"/>
        <w:left w:val="none" w:sz="0" w:space="0" w:color="auto"/>
        <w:bottom w:val="none" w:sz="0" w:space="0" w:color="auto"/>
        <w:right w:val="none" w:sz="0" w:space="0" w:color="auto"/>
      </w:divBdr>
    </w:div>
    <w:div w:id="1263218163">
      <w:bodyDiv w:val="1"/>
      <w:marLeft w:val="0"/>
      <w:marRight w:val="0"/>
      <w:marTop w:val="0"/>
      <w:marBottom w:val="0"/>
      <w:divBdr>
        <w:top w:val="none" w:sz="0" w:space="0" w:color="auto"/>
        <w:left w:val="none" w:sz="0" w:space="0" w:color="auto"/>
        <w:bottom w:val="none" w:sz="0" w:space="0" w:color="auto"/>
        <w:right w:val="none" w:sz="0" w:space="0" w:color="auto"/>
      </w:divBdr>
    </w:div>
    <w:div w:id="1263227734">
      <w:bodyDiv w:val="1"/>
      <w:marLeft w:val="0"/>
      <w:marRight w:val="0"/>
      <w:marTop w:val="0"/>
      <w:marBottom w:val="0"/>
      <w:divBdr>
        <w:top w:val="none" w:sz="0" w:space="0" w:color="auto"/>
        <w:left w:val="none" w:sz="0" w:space="0" w:color="auto"/>
        <w:bottom w:val="none" w:sz="0" w:space="0" w:color="auto"/>
        <w:right w:val="none" w:sz="0" w:space="0" w:color="auto"/>
      </w:divBdr>
    </w:div>
    <w:div w:id="1263413919">
      <w:bodyDiv w:val="1"/>
      <w:marLeft w:val="0"/>
      <w:marRight w:val="0"/>
      <w:marTop w:val="0"/>
      <w:marBottom w:val="0"/>
      <w:divBdr>
        <w:top w:val="none" w:sz="0" w:space="0" w:color="auto"/>
        <w:left w:val="none" w:sz="0" w:space="0" w:color="auto"/>
        <w:bottom w:val="none" w:sz="0" w:space="0" w:color="auto"/>
        <w:right w:val="none" w:sz="0" w:space="0" w:color="auto"/>
      </w:divBdr>
    </w:div>
    <w:div w:id="1263606630">
      <w:bodyDiv w:val="1"/>
      <w:marLeft w:val="0"/>
      <w:marRight w:val="0"/>
      <w:marTop w:val="0"/>
      <w:marBottom w:val="0"/>
      <w:divBdr>
        <w:top w:val="none" w:sz="0" w:space="0" w:color="auto"/>
        <w:left w:val="none" w:sz="0" w:space="0" w:color="auto"/>
        <w:bottom w:val="none" w:sz="0" w:space="0" w:color="auto"/>
        <w:right w:val="none" w:sz="0" w:space="0" w:color="auto"/>
      </w:divBdr>
    </w:div>
    <w:div w:id="1263611050">
      <w:bodyDiv w:val="1"/>
      <w:marLeft w:val="0"/>
      <w:marRight w:val="0"/>
      <w:marTop w:val="0"/>
      <w:marBottom w:val="0"/>
      <w:divBdr>
        <w:top w:val="none" w:sz="0" w:space="0" w:color="auto"/>
        <w:left w:val="none" w:sz="0" w:space="0" w:color="auto"/>
        <w:bottom w:val="none" w:sz="0" w:space="0" w:color="auto"/>
        <w:right w:val="none" w:sz="0" w:space="0" w:color="auto"/>
      </w:divBdr>
    </w:div>
    <w:div w:id="1263730896">
      <w:bodyDiv w:val="1"/>
      <w:marLeft w:val="0"/>
      <w:marRight w:val="0"/>
      <w:marTop w:val="0"/>
      <w:marBottom w:val="0"/>
      <w:divBdr>
        <w:top w:val="none" w:sz="0" w:space="0" w:color="auto"/>
        <w:left w:val="none" w:sz="0" w:space="0" w:color="auto"/>
        <w:bottom w:val="none" w:sz="0" w:space="0" w:color="auto"/>
        <w:right w:val="none" w:sz="0" w:space="0" w:color="auto"/>
      </w:divBdr>
    </w:div>
    <w:div w:id="1263758418">
      <w:bodyDiv w:val="1"/>
      <w:marLeft w:val="0"/>
      <w:marRight w:val="0"/>
      <w:marTop w:val="0"/>
      <w:marBottom w:val="0"/>
      <w:divBdr>
        <w:top w:val="none" w:sz="0" w:space="0" w:color="auto"/>
        <w:left w:val="none" w:sz="0" w:space="0" w:color="auto"/>
        <w:bottom w:val="none" w:sz="0" w:space="0" w:color="auto"/>
        <w:right w:val="none" w:sz="0" w:space="0" w:color="auto"/>
      </w:divBdr>
    </w:div>
    <w:div w:id="1263759350">
      <w:bodyDiv w:val="1"/>
      <w:marLeft w:val="0"/>
      <w:marRight w:val="0"/>
      <w:marTop w:val="0"/>
      <w:marBottom w:val="0"/>
      <w:divBdr>
        <w:top w:val="none" w:sz="0" w:space="0" w:color="auto"/>
        <w:left w:val="none" w:sz="0" w:space="0" w:color="auto"/>
        <w:bottom w:val="none" w:sz="0" w:space="0" w:color="auto"/>
        <w:right w:val="none" w:sz="0" w:space="0" w:color="auto"/>
      </w:divBdr>
    </w:div>
    <w:div w:id="1263798399">
      <w:bodyDiv w:val="1"/>
      <w:marLeft w:val="0"/>
      <w:marRight w:val="0"/>
      <w:marTop w:val="0"/>
      <w:marBottom w:val="0"/>
      <w:divBdr>
        <w:top w:val="none" w:sz="0" w:space="0" w:color="auto"/>
        <w:left w:val="none" w:sz="0" w:space="0" w:color="auto"/>
        <w:bottom w:val="none" w:sz="0" w:space="0" w:color="auto"/>
        <w:right w:val="none" w:sz="0" w:space="0" w:color="auto"/>
      </w:divBdr>
    </w:div>
    <w:div w:id="1263799444">
      <w:bodyDiv w:val="1"/>
      <w:marLeft w:val="0"/>
      <w:marRight w:val="0"/>
      <w:marTop w:val="0"/>
      <w:marBottom w:val="0"/>
      <w:divBdr>
        <w:top w:val="none" w:sz="0" w:space="0" w:color="auto"/>
        <w:left w:val="none" w:sz="0" w:space="0" w:color="auto"/>
        <w:bottom w:val="none" w:sz="0" w:space="0" w:color="auto"/>
        <w:right w:val="none" w:sz="0" w:space="0" w:color="auto"/>
      </w:divBdr>
    </w:div>
    <w:div w:id="1263876587">
      <w:bodyDiv w:val="1"/>
      <w:marLeft w:val="0"/>
      <w:marRight w:val="0"/>
      <w:marTop w:val="0"/>
      <w:marBottom w:val="0"/>
      <w:divBdr>
        <w:top w:val="none" w:sz="0" w:space="0" w:color="auto"/>
        <w:left w:val="none" w:sz="0" w:space="0" w:color="auto"/>
        <w:bottom w:val="none" w:sz="0" w:space="0" w:color="auto"/>
        <w:right w:val="none" w:sz="0" w:space="0" w:color="auto"/>
      </w:divBdr>
    </w:div>
    <w:div w:id="1264070682">
      <w:bodyDiv w:val="1"/>
      <w:marLeft w:val="0"/>
      <w:marRight w:val="0"/>
      <w:marTop w:val="0"/>
      <w:marBottom w:val="0"/>
      <w:divBdr>
        <w:top w:val="none" w:sz="0" w:space="0" w:color="auto"/>
        <w:left w:val="none" w:sz="0" w:space="0" w:color="auto"/>
        <w:bottom w:val="none" w:sz="0" w:space="0" w:color="auto"/>
        <w:right w:val="none" w:sz="0" w:space="0" w:color="auto"/>
      </w:divBdr>
    </w:div>
    <w:div w:id="1264217985">
      <w:bodyDiv w:val="1"/>
      <w:marLeft w:val="0"/>
      <w:marRight w:val="0"/>
      <w:marTop w:val="0"/>
      <w:marBottom w:val="0"/>
      <w:divBdr>
        <w:top w:val="none" w:sz="0" w:space="0" w:color="auto"/>
        <w:left w:val="none" w:sz="0" w:space="0" w:color="auto"/>
        <w:bottom w:val="none" w:sz="0" w:space="0" w:color="auto"/>
        <w:right w:val="none" w:sz="0" w:space="0" w:color="auto"/>
      </w:divBdr>
    </w:div>
    <w:div w:id="1264221981">
      <w:bodyDiv w:val="1"/>
      <w:marLeft w:val="0"/>
      <w:marRight w:val="0"/>
      <w:marTop w:val="0"/>
      <w:marBottom w:val="0"/>
      <w:divBdr>
        <w:top w:val="none" w:sz="0" w:space="0" w:color="auto"/>
        <w:left w:val="none" w:sz="0" w:space="0" w:color="auto"/>
        <w:bottom w:val="none" w:sz="0" w:space="0" w:color="auto"/>
        <w:right w:val="none" w:sz="0" w:space="0" w:color="auto"/>
      </w:divBdr>
    </w:div>
    <w:div w:id="1264268325">
      <w:bodyDiv w:val="1"/>
      <w:marLeft w:val="0"/>
      <w:marRight w:val="0"/>
      <w:marTop w:val="0"/>
      <w:marBottom w:val="0"/>
      <w:divBdr>
        <w:top w:val="none" w:sz="0" w:space="0" w:color="auto"/>
        <w:left w:val="none" w:sz="0" w:space="0" w:color="auto"/>
        <w:bottom w:val="none" w:sz="0" w:space="0" w:color="auto"/>
        <w:right w:val="none" w:sz="0" w:space="0" w:color="auto"/>
      </w:divBdr>
    </w:div>
    <w:div w:id="1264411089">
      <w:bodyDiv w:val="1"/>
      <w:marLeft w:val="0"/>
      <w:marRight w:val="0"/>
      <w:marTop w:val="0"/>
      <w:marBottom w:val="0"/>
      <w:divBdr>
        <w:top w:val="none" w:sz="0" w:space="0" w:color="auto"/>
        <w:left w:val="none" w:sz="0" w:space="0" w:color="auto"/>
        <w:bottom w:val="none" w:sz="0" w:space="0" w:color="auto"/>
        <w:right w:val="none" w:sz="0" w:space="0" w:color="auto"/>
      </w:divBdr>
    </w:div>
    <w:div w:id="1264453910">
      <w:bodyDiv w:val="1"/>
      <w:marLeft w:val="0"/>
      <w:marRight w:val="0"/>
      <w:marTop w:val="0"/>
      <w:marBottom w:val="0"/>
      <w:divBdr>
        <w:top w:val="none" w:sz="0" w:space="0" w:color="auto"/>
        <w:left w:val="none" w:sz="0" w:space="0" w:color="auto"/>
        <w:bottom w:val="none" w:sz="0" w:space="0" w:color="auto"/>
        <w:right w:val="none" w:sz="0" w:space="0" w:color="auto"/>
      </w:divBdr>
    </w:div>
    <w:div w:id="1264454827">
      <w:bodyDiv w:val="1"/>
      <w:marLeft w:val="0"/>
      <w:marRight w:val="0"/>
      <w:marTop w:val="0"/>
      <w:marBottom w:val="0"/>
      <w:divBdr>
        <w:top w:val="none" w:sz="0" w:space="0" w:color="auto"/>
        <w:left w:val="none" w:sz="0" w:space="0" w:color="auto"/>
        <w:bottom w:val="none" w:sz="0" w:space="0" w:color="auto"/>
        <w:right w:val="none" w:sz="0" w:space="0" w:color="auto"/>
      </w:divBdr>
    </w:div>
    <w:div w:id="1264530336">
      <w:bodyDiv w:val="1"/>
      <w:marLeft w:val="0"/>
      <w:marRight w:val="0"/>
      <w:marTop w:val="0"/>
      <w:marBottom w:val="0"/>
      <w:divBdr>
        <w:top w:val="none" w:sz="0" w:space="0" w:color="auto"/>
        <w:left w:val="none" w:sz="0" w:space="0" w:color="auto"/>
        <w:bottom w:val="none" w:sz="0" w:space="0" w:color="auto"/>
        <w:right w:val="none" w:sz="0" w:space="0" w:color="auto"/>
      </w:divBdr>
    </w:div>
    <w:div w:id="1264532896">
      <w:bodyDiv w:val="1"/>
      <w:marLeft w:val="0"/>
      <w:marRight w:val="0"/>
      <w:marTop w:val="0"/>
      <w:marBottom w:val="0"/>
      <w:divBdr>
        <w:top w:val="none" w:sz="0" w:space="0" w:color="auto"/>
        <w:left w:val="none" w:sz="0" w:space="0" w:color="auto"/>
        <w:bottom w:val="none" w:sz="0" w:space="0" w:color="auto"/>
        <w:right w:val="none" w:sz="0" w:space="0" w:color="auto"/>
      </w:divBdr>
    </w:div>
    <w:div w:id="1264649115">
      <w:bodyDiv w:val="1"/>
      <w:marLeft w:val="0"/>
      <w:marRight w:val="0"/>
      <w:marTop w:val="0"/>
      <w:marBottom w:val="0"/>
      <w:divBdr>
        <w:top w:val="none" w:sz="0" w:space="0" w:color="auto"/>
        <w:left w:val="none" w:sz="0" w:space="0" w:color="auto"/>
        <w:bottom w:val="none" w:sz="0" w:space="0" w:color="auto"/>
        <w:right w:val="none" w:sz="0" w:space="0" w:color="auto"/>
      </w:divBdr>
    </w:div>
    <w:div w:id="1264650073">
      <w:bodyDiv w:val="1"/>
      <w:marLeft w:val="0"/>
      <w:marRight w:val="0"/>
      <w:marTop w:val="0"/>
      <w:marBottom w:val="0"/>
      <w:divBdr>
        <w:top w:val="none" w:sz="0" w:space="0" w:color="auto"/>
        <w:left w:val="none" w:sz="0" w:space="0" w:color="auto"/>
        <w:bottom w:val="none" w:sz="0" w:space="0" w:color="auto"/>
        <w:right w:val="none" w:sz="0" w:space="0" w:color="auto"/>
      </w:divBdr>
    </w:div>
    <w:div w:id="1264656260">
      <w:bodyDiv w:val="1"/>
      <w:marLeft w:val="0"/>
      <w:marRight w:val="0"/>
      <w:marTop w:val="0"/>
      <w:marBottom w:val="0"/>
      <w:divBdr>
        <w:top w:val="none" w:sz="0" w:space="0" w:color="auto"/>
        <w:left w:val="none" w:sz="0" w:space="0" w:color="auto"/>
        <w:bottom w:val="none" w:sz="0" w:space="0" w:color="auto"/>
        <w:right w:val="none" w:sz="0" w:space="0" w:color="auto"/>
      </w:divBdr>
    </w:div>
    <w:div w:id="1264679514">
      <w:bodyDiv w:val="1"/>
      <w:marLeft w:val="0"/>
      <w:marRight w:val="0"/>
      <w:marTop w:val="0"/>
      <w:marBottom w:val="0"/>
      <w:divBdr>
        <w:top w:val="none" w:sz="0" w:space="0" w:color="auto"/>
        <w:left w:val="none" w:sz="0" w:space="0" w:color="auto"/>
        <w:bottom w:val="none" w:sz="0" w:space="0" w:color="auto"/>
        <w:right w:val="none" w:sz="0" w:space="0" w:color="auto"/>
      </w:divBdr>
    </w:div>
    <w:div w:id="1264804950">
      <w:bodyDiv w:val="1"/>
      <w:marLeft w:val="0"/>
      <w:marRight w:val="0"/>
      <w:marTop w:val="0"/>
      <w:marBottom w:val="0"/>
      <w:divBdr>
        <w:top w:val="none" w:sz="0" w:space="0" w:color="auto"/>
        <w:left w:val="none" w:sz="0" w:space="0" w:color="auto"/>
        <w:bottom w:val="none" w:sz="0" w:space="0" w:color="auto"/>
        <w:right w:val="none" w:sz="0" w:space="0" w:color="auto"/>
      </w:divBdr>
    </w:div>
    <w:div w:id="1264806155">
      <w:bodyDiv w:val="1"/>
      <w:marLeft w:val="0"/>
      <w:marRight w:val="0"/>
      <w:marTop w:val="0"/>
      <w:marBottom w:val="0"/>
      <w:divBdr>
        <w:top w:val="none" w:sz="0" w:space="0" w:color="auto"/>
        <w:left w:val="none" w:sz="0" w:space="0" w:color="auto"/>
        <w:bottom w:val="none" w:sz="0" w:space="0" w:color="auto"/>
        <w:right w:val="none" w:sz="0" w:space="0" w:color="auto"/>
      </w:divBdr>
    </w:div>
    <w:div w:id="1264915473">
      <w:bodyDiv w:val="1"/>
      <w:marLeft w:val="0"/>
      <w:marRight w:val="0"/>
      <w:marTop w:val="0"/>
      <w:marBottom w:val="0"/>
      <w:divBdr>
        <w:top w:val="none" w:sz="0" w:space="0" w:color="auto"/>
        <w:left w:val="none" w:sz="0" w:space="0" w:color="auto"/>
        <w:bottom w:val="none" w:sz="0" w:space="0" w:color="auto"/>
        <w:right w:val="none" w:sz="0" w:space="0" w:color="auto"/>
      </w:divBdr>
    </w:div>
    <w:div w:id="1264919476">
      <w:bodyDiv w:val="1"/>
      <w:marLeft w:val="0"/>
      <w:marRight w:val="0"/>
      <w:marTop w:val="0"/>
      <w:marBottom w:val="0"/>
      <w:divBdr>
        <w:top w:val="none" w:sz="0" w:space="0" w:color="auto"/>
        <w:left w:val="none" w:sz="0" w:space="0" w:color="auto"/>
        <w:bottom w:val="none" w:sz="0" w:space="0" w:color="auto"/>
        <w:right w:val="none" w:sz="0" w:space="0" w:color="auto"/>
      </w:divBdr>
    </w:div>
    <w:div w:id="1264993945">
      <w:bodyDiv w:val="1"/>
      <w:marLeft w:val="0"/>
      <w:marRight w:val="0"/>
      <w:marTop w:val="0"/>
      <w:marBottom w:val="0"/>
      <w:divBdr>
        <w:top w:val="none" w:sz="0" w:space="0" w:color="auto"/>
        <w:left w:val="none" w:sz="0" w:space="0" w:color="auto"/>
        <w:bottom w:val="none" w:sz="0" w:space="0" w:color="auto"/>
        <w:right w:val="none" w:sz="0" w:space="0" w:color="auto"/>
      </w:divBdr>
    </w:div>
    <w:div w:id="1264994548">
      <w:bodyDiv w:val="1"/>
      <w:marLeft w:val="0"/>
      <w:marRight w:val="0"/>
      <w:marTop w:val="0"/>
      <w:marBottom w:val="0"/>
      <w:divBdr>
        <w:top w:val="none" w:sz="0" w:space="0" w:color="auto"/>
        <w:left w:val="none" w:sz="0" w:space="0" w:color="auto"/>
        <w:bottom w:val="none" w:sz="0" w:space="0" w:color="auto"/>
        <w:right w:val="none" w:sz="0" w:space="0" w:color="auto"/>
      </w:divBdr>
    </w:div>
    <w:div w:id="1265066638">
      <w:bodyDiv w:val="1"/>
      <w:marLeft w:val="0"/>
      <w:marRight w:val="0"/>
      <w:marTop w:val="0"/>
      <w:marBottom w:val="0"/>
      <w:divBdr>
        <w:top w:val="none" w:sz="0" w:space="0" w:color="auto"/>
        <w:left w:val="none" w:sz="0" w:space="0" w:color="auto"/>
        <w:bottom w:val="none" w:sz="0" w:space="0" w:color="auto"/>
        <w:right w:val="none" w:sz="0" w:space="0" w:color="auto"/>
      </w:divBdr>
    </w:div>
    <w:div w:id="1265112298">
      <w:bodyDiv w:val="1"/>
      <w:marLeft w:val="0"/>
      <w:marRight w:val="0"/>
      <w:marTop w:val="0"/>
      <w:marBottom w:val="0"/>
      <w:divBdr>
        <w:top w:val="none" w:sz="0" w:space="0" w:color="auto"/>
        <w:left w:val="none" w:sz="0" w:space="0" w:color="auto"/>
        <w:bottom w:val="none" w:sz="0" w:space="0" w:color="auto"/>
        <w:right w:val="none" w:sz="0" w:space="0" w:color="auto"/>
      </w:divBdr>
    </w:div>
    <w:div w:id="1265114250">
      <w:bodyDiv w:val="1"/>
      <w:marLeft w:val="0"/>
      <w:marRight w:val="0"/>
      <w:marTop w:val="0"/>
      <w:marBottom w:val="0"/>
      <w:divBdr>
        <w:top w:val="none" w:sz="0" w:space="0" w:color="auto"/>
        <w:left w:val="none" w:sz="0" w:space="0" w:color="auto"/>
        <w:bottom w:val="none" w:sz="0" w:space="0" w:color="auto"/>
        <w:right w:val="none" w:sz="0" w:space="0" w:color="auto"/>
      </w:divBdr>
    </w:div>
    <w:div w:id="1265265655">
      <w:bodyDiv w:val="1"/>
      <w:marLeft w:val="0"/>
      <w:marRight w:val="0"/>
      <w:marTop w:val="0"/>
      <w:marBottom w:val="0"/>
      <w:divBdr>
        <w:top w:val="none" w:sz="0" w:space="0" w:color="auto"/>
        <w:left w:val="none" w:sz="0" w:space="0" w:color="auto"/>
        <w:bottom w:val="none" w:sz="0" w:space="0" w:color="auto"/>
        <w:right w:val="none" w:sz="0" w:space="0" w:color="auto"/>
      </w:divBdr>
    </w:div>
    <w:div w:id="1265458129">
      <w:bodyDiv w:val="1"/>
      <w:marLeft w:val="0"/>
      <w:marRight w:val="0"/>
      <w:marTop w:val="0"/>
      <w:marBottom w:val="0"/>
      <w:divBdr>
        <w:top w:val="none" w:sz="0" w:space="0" w:color="auto"/>
        <w:left w:val="none" w:sz="0" w:space="0" w:color="auto"/>
        <w:bottom w:val="none" w:sz="0" w:space="0" w:color="auto"/>
        <w:right w:val="none" w:sz="0" w:space="0" w:color="auto"/>
      </w:divBdr>
    </w:div>
    <w:div w:id="1265502350">
      <w:bodyDiv w:val="1"/>
      <w:marLeft w:val="0"/>
      <w:marRight w:val="0"/>
      <w:marTop w:val="0"/>
      <w:marBottom w:val="0"/>
      <w:divBdr>
        <w:top w:val="none" w:sz="0" w:space="0" w:color="auto"/>
        <w:left w:val="none" w:sz="0" w:space="0" w:color="auto"/>
        <w:bottom w:val="none" w:sz="0" w:space="0" w:color="auto"/>
        <w:right w:val="none" w:sz="0" w:space="0" w:color="auto"/>
      </w:divBdr>
    </w:div>
    <w:div w:id="1265574421">
      <w:bodyDiv w:val="1"/>
      <w:marLeft w:val="0"/>
      <w:marRight w:val="0"/>
      <w:marTop w:val="0"/>
      <w:marBottom w:val="0"/>
      <w:divBdr>
        <w:top w:val="none" w:sz="0" w:space="0" w:color="auto"/>
        <w:left w:val="none" w:sz="0" w:space="0" w:color="auto"/>
        <w:bottom w:val="none" w:sz="0" w:space="0" w:color="auto"/>
        <w:right w:val="none" w:sz="0" w:space="0" w:color="auto"/>
      </w:divBdr>
    </w:div>
    <w:div w:id="1265841439">
      <w:bodyDiv w:val="1"/>
      <w:marLeft w:val="0"/>
      <w:marRight w:val="0"/>
      <w:marTop w:val="0"/>
      <w:marBottom w:val="0"/>
      <w:divBdr>
        <w:top w:val="none" w:sz="0" w:space="0" w:color="auto"/>
        <w:left w:val="none" w:sz="0" w:space="0" w:color="auto"/>
        <w:bottom w:val="none" w:sz="0" w:space="0" w:color="auto"/>
        <w:right w:val="none" w:sz="0" w:space="0" w:color="auto"/>
      </w:divBdr>
    </w:div>
    <w:div w:id="1265846218">
      <w:bodyDiv w:val="1"/>
      <w:marLeft w:val="0"/>
      <w:marRight w:val="0"/>
      <w:marTop w:val="0"/>
      <w:marBottom w:val="0"/>
      <w:divBdr>
        <w:top w:val="none" w:sz="0" w:space="0" w:color="auto"/>
        <w:left w:val="none" w:sz="0" w:space="0" w:color="auto"/>
        <w:bottom w:val="none" w:sz="0" w:space="0" w:color="auto"/>
        <w:right w:val="none" w:sz="0" w:space="0" w:color="auto"/>
      </w:divBdr>
    </w:div>
    <w:div w:id="1265917540">
      <w:bodyDiv w:val="1"/>
      <w:marLeft w:val="0"/>
      <w:marRight w:val="0"/>
      <w:marTop w:val="0"/>
      <w:marBottom w:val="0"/>
      <w:divBdr>
        <w:top w:val="none" w:sz="0" w:space="0" w:color="auto"/>
        <w:left w:val="none" w:sz="0" w:space="0" w:color="auto"/>
        <w:bottom w:val="none" w:sz="0" w:space="0" w:color="auto"/>
        <w:right w:val="none" w:sz="0" w:space="0" w:color="auto"/>
      </w:divBdr>
    </w:div>
    <w:div w:id="1265961228">
      <w:bodyDiv w:val="1"/>
      <w:marLeft w:val="0"/>
      <w:marRight w:val="0"/>
      <w:marTop w:val="0"/>
      <w:marBottom w:val="0"/>
      <w:divBdr>
        <w:top w:val="none" w:sz="0" w:space="0" w:color="auto"/>
        <w:left w:val="none" w:sz="0" w:space="0" w:color="auto"/>
        <w:bottom w:val="none" w:sz="0" w:space="0" w:color="auto"/>
        <w:right w:val="none" w:sz="0" w:space="0" w:color="auto"/>
      </w:divBdr>
    </w:div>
    <w:div w:id="1265961792">
      <w:bodyDiv w:val="1"/>
      <w:marLeft w:val="0"/>
      <w:marRight w:val="0"/>
      <w:marTop w:val="0"/>
      <w:marBottom w:val="0"/>
      <w:divBdr>
        <w:top w:val="none" w:sz="0" w:space="0" w:color="auto"/>
        <w:left w:val="none" w:sz="0" w:space="0" w:color="auto"/>
        <w:bottom w:val="none" w:sz="0" w:space="0" w:color="auto"/>
        <w:right w:val="none" w:sz="0" w:space="0" w:color="auto"/>
      </w:divBdr>
    </w:div>
    <w:div w:id="1265991089">
      <w:bodyDiv w:val="1"/>
      <w:marLeft w:val="0"/>
      <w:marRight w:val="0"/>
      <w:marTop w:val="0"/>
      <w:marBottom w:val="0"/>
      <w:divBdr>
        <w:top w:val="none" w:sz="0" w:space="0" w:color="auto"/>
        <w:left w:val="none" w:sz="0" w:space="0" w:color="auto"/>
        <w:bottom w:val="none" w:sz="0" w:space="0" w:color="auto"/>
        <w:right w:val="none" w:sz="0" w:space="0" w:color="auto"/>
      </w:divBdr>
    </w:div>
    <w:div w:id="1266185347">
      <w:bodyDiv w:val="1"/>
      <w:marLeft w:val="0"/>
      <w:marRight w:val="0"/>
      <w:marTop w:val="0"/>
      <w:marBottom w:val="0"/>
      <w:divBdr>
        <w:top w:val="none" w:sz="0" w:space="0" w:color="auto"/>
        <w:left w:val="none" w:sz="0" w:space="0" w:color="auto"/>
        <w:bottom w:val="none" w:sz="0" w:space="0" w:color="auto"/>
        <w:right w:val="none" w:sz="0" w:space="0" w:color="auto"/>
      </w:divBdr>
    </w:div>
    <w:div w:id="1266185924">
      <w:bodyDiv w:val="1"/>
      <w:marLeft w:val="0"/>
      <w:marRight w:val="0"/>
      <w:marTop w:val="0"/>
      <w:marBottom w:val="0"/>
      <w:divBdr>
        <w:top w:val="none" w:sz="0" w:space="0" w:color="auto"/>
        <w:left w:val="none" w:sz="0" w:space="0" w:color="auto"/>
        <w:bottom w:val="none" w:sz="0" w:space="0" w:color="auto"/>
        <w:right w:val="none" w:sz="0" w:space="0" w:color="auto"/>
      </w:divBdr>
    </w:div>
    <w:div w:id="1266186709">
      <w:bodyDiv w:val="1"/>
      <w:marLeft w:val="0"/>
      <w:marRight w:val="0"/>
      <w:marTop w:val="0"/>
      <w:marBottom w:val="0"/>
      <w:divBdr>
        <w:top w:val="none" w:sz="0" w:space="0" w:color="auto"/>
        <w:left w:val="none" w:sz="0" w:space="0" w:color="auto"/>
        <w:bottom w:val="none" w:sz="0" w:space="0" w:color="auto"/>
        <w:right w:val="none" w:sz="0" w:space="0" w:color="auto"/>
      </w:divBdr>
    </w:div>
    <w:div w:id="1266423756">
      <w:bodyDiv w:val="1"/>
      <w:marLeft w:val="0"/>
      <w:marRight w:val="0"/>
      <w:marTop w:val="0"/>
      <w:marBottom w:val="0"/>
      <w:divBdr>
        <w:top w:val="none" w:sz="0" w:space="0" w:color="auto"/>
        <w:left w:val="none" w:sz="0" w:space="0" w:color="auto"/>
        <w:bottom w:val="none" w:sz="0" w:space="0" w:color="auto"/>
        <w:right w:val="none" w:sz="0" w:space="0" w:color="auto"/>
      </w:divBdr>
    </w:div>
    <w:div w:id="1266574956">
      <w:bodyDiv w:val="1"/>
      <w:marLeft w:val="0"/>
      <w:marRight w:val="0"/>
      <w:marTop w:val="0"/>
      <w:marBottom w:val="0"/>
      <w:divBdr>
        <w:top w:val="none" w:sz="0" w:space="0" w:color="auto"/>
        <w:left w:val="none" w:sz="0" w:space="0" w:color="auto"/>
        <w:bottom w:val="none" w:sz="0" w:space="0" w:color="auto"/>
        <w:right w:val="none" w:sz="0" w:space="0" w:color="auto"/>
      </w:divBdr>
    </w:div>
    <w:div w:id="1266839839">
      <w:bodyDiv w:val="1"/>
      <w:marLeft w:val="0"/>
      <w:marRight w:val="0"/>
      <w:marTop w:val="0"/>
      <w:marBottom w:val="0"/>
      <w:divBdr>
        <w:top w:val="none" w:sz="0" w:space="0" w:color="auto"/>
        <w:left w:val="none" w:sz="0" w:space="0" w:color="auto"/>
        <w:bottom w:val="none" w:sz="0" w:space="0" w:color="auto"/>
        <w:right w:val="none" w:sz="0" w:space="0" w:color="auto"/>
      </w:divBdr>
    </w:div>
    <w:div w:id="1266960664">
      <w:bodyDiv w:val="1"/>
      <w:marLeft w:val="0"/>
      <w:marRight w:val="0"/>
      <w:marTop w:val="0"/>
      <w:marBottom w:val="0"/>
      <w:divBdr>
        <w:top w:val="none" w:sz="0" w:space="0" w:color="auto"/>
        <w:left w:val="none" w:sz="0" w:space="0" w:color="auto"/>
        <w:bottom w:val="none" w:sz="0" w:space="0" w:color="auto"/>
        <w:right w:val="none" w:sz="0" w:space="0" w:color="auto"/>
      </w:divBdr>
    </w:div>
    <w:div w:id="1267035714">
      <w:bodyDiv w:val="1"/>
      <w:marLeft w:val="0"/>
      <w:marRight w:val="0"/>
      <w:marTop w:val="0"/>
      <w:marBottom w:val="0"/>
      <w:divBdr>
        <w:top w:val="none" w:sz="0" w:space="0" w:color="auto"/>
        <w:left w:val="none" w:sz="0" w:space="0" w:color="auto"/>
        <w:bottom w:val="none" w:sz="0" w:space="0" w:color="auto"/>
        <w:right w:val="none" w:sz="0" w:space="0" w:color="auto"/>
      </w:divBdr>
    </w:div>
    <w:div w:id="1267039394">
      <w:bodyDiv w:val="1"/>
      <w:marLeft w:val="0"/>
      <w:marRight w:val="0"/>
      <w:marTop w:val="0"/>
      <w:marBottom w:val="0"/>
      <w:divBdr>
        <w:top w:val="none" w:sz="0" w:space="0" w:color="auto"/>
        <w:left w:val="none" w:sz="0" w:space="0" w:color="auto"/>
        <w:bottom w:val="none" w:sz="0" w:space="0" w:color="auto"/>
        <w:right w:val="none" w:sz="0" w:space="0" w:color="auto"/>
      </w:divBdr>
    </w:div>
    <w:div w:id="1267075003">
      <w:bodyDiv w:val="1"/>
      <w:marLeft w:val="0"/>
      <w:marRight w:val="0"/>
      <w:marTop w:val="0"/>
      <w:marBottom w:val="0"/>
      <w:divBdr>
        <w:top w:val="none" w:sz="0" w:space="0" w:color="auto"/>
        <w:left w:val="none" w:sz="0" w:space="0" w:color="auto"/>
        <w:bottom w:val="none" w:sz="0" w:space="0" w:color="auto"/>
        <w:right w:val="none" w:sz="0" w:space="0" w:color="auto"/>
      </w:divBdr>
    </w:div>
    <w:div w:id="1267155941">
      <w:bodyDiv w:val="1"/>
      <w:marLeft w:val="0"/>
      <w:marRight w:val="0"/>
      <w:marTop w:val="0"/>
      <w:marBottom w:val="0"/>
      <w:divBdr>
        <w:top w:val="none" w:sz="0" w:space="0" w:color="auto"/>
        <w:left w:val="none" w:sz="0" w:space="0" w:color="auto"/>
        <w:bottom w:val="none" w:sz="0" w:space="0" w:color="auto"/>
        <w:right w:val="none" w:sz="0" w:space="0" w:color="auto"/>
      </w:divBdr>
    </w:div>
    <w:div w:id="1267233176">
      <w:bodyDiv w:val="1"/>
      <w:marLeft w:val="0"/>
      <w:marRight w:val="0"/>
      <w:marTop w:val="0"/>
      <w:marBottom w:val="0"/>
      <w:divBdr>
        <w:top w:val="none" w:sz="0" w:space="0" w:color="auto"/>
        <w:left w:val="none" w:sz="0" w:space="0" w:color="auto"/>
        <w:bottom w:val="none" w:sz="0" w:space="0" w:color="auto"/>
        <w:right w:val="none" w:sz="0" w:space="0" w:color="auto"/>
      </w:divBdr>
    </w:div>
    <w:div w:id="1267273693">
      <w:bodyDiv w:val="1"/>
      <w:marLeft w:val="0"/>
      <w:marRight w:val="0"/>
      <w:marTop w:val="0"/>
      <w:marBottom w:val="0"/>
      <w:divBdr>
        <w:top w:val="none" w:sz="0" w:space="0" w:color="auto"/>
        <w:left w:val="none" w:sz="0" w:space="0" w:color="auto"/>
        <w:bottom w:val="none" w:sz="0" w:space="0" w:color="auto"/>
        <w:right w:val="none" w:sz="0" w:space="0" w:color="auto"/>
      </w:divBdr>
    </w:div>
    <w:div w:id="1267346623">
      <w:bodyDiv w:val="1"/>
      <w:marLeft w:val="0"/>
      <w:marRight w:val="0"/>
      <w:marTop w:val="0"/>
      <w:marBottom w:val="0"/>
      <w:divBdr>
        <w:top w:val="none" w:sz="0" w:space="0" w:color="auto"/>
        <w:left w:val="none" w:sz="0" w:space="0" w:color="auto"/>
        <w:bottom w:val="none" w:sz="0" w:space="0" w:color="auto"/>
        <w:right w:val="none" w:sz="0" w:space="0" w:color="auto"/>
      </w:divBdr>
    </w:div>
    <w:div w:id="1267419003">
      <w:bodyDiv w:val="1"/>
      <w:marLeft w:val="0"/>
      <w:marRight w:val="0"/>
      <w:marTop w:val="0"/>
      <w:marBottom w:val="0"/>
      <w:divBdr>
        <w:top w:val="none" w:sz="0" w:space="0" w:color="auto"/>
        <w:left w:val="none" w:sz="0" w:space="0" w:color="auto"/>
        <w:bottom w:val="none" w:sz="0" w:space="0" w:color="auto"/>
        <w:right w:val="none" w:sz="0" w:space="0" w:color="auto"/>
      </w:divBdr>
    </w:div>
    <w:div w:id="1267425463">
      <w:bodyDiv w:val="1"/>
      <w:marLeft w:val="0"/>
      <w:marRight w:val="0"/>
      <w:marTop w:val="0"/>
      <w:marBottom w:val="0"/>
      <w:divBdr>
        <w:top w:val="none" w:sz="0" w:space="0" w:color="auto"/>
        <w:left w:val="none" w:sz="0" w:space="0" w:color="auto"/>
        <w:bottom w:val="none" w:sz="0" w:space="0" w:color="auto"/>
        <w:right w:val="none" w:sz="0" w:space="0" w:color="auto"/>
      </w:divBdr>
    </w:div>
    <w:div w:id="1267467769">
      <w:bodyDiv w:val="1"/>
      <w:marLeft w:val="0"/>
      <w:marRight w:val="0"/>
      <w:marTop w:val="0"/>
      <w:marBottom w:val="0"/>
      <w:divBdr>
        <w:top w:val="none" w:sz="0" w:space="0" w:color="auto"/>
        <w:left w:val="none" w:sz="0" w:space="0" w:color="auto"/>
        <w:bottom w:val="none" w:sz="0" w:space="0" w:color="auto"/>
        <w:right w:val="none" w:sz="0" w:space="0" w:color="auto"/>
      </w:divBdr>
    </w:div>
    <w:div w:id="1267494110">
      <w:bodyDiv w:val="1"/>
      <w:marLeft w:val="0"/>
      <w:marRight w:val="0"/>
      <w:marTop w:val="0"/>
      <w:marBottom w:val="0"/>
      <w:divBdr>
        <w:top w:val="none" w:sz="0" w:space="0" w:color="auto"/>
        <w:left w:val="none" w:sz="0" w:space="0" w:color="auto"/>
        <w:bottom w:val="none" w:sz="0" w:space="0" w:color="auto"/>
        <w:right w:val="none" w:sz="0" w:space="0" w:color="auto"/>
      </w:divBdr>
    </w:div>
    <w:div w:id="1267494639">
      <w:bodyDiv w:val="1"/>
      <w:marLeft w:val="0"/>
      <w:marRight w:val="0"/>
      <w:marTop w:val="0"/>
      <w:marBottom w:val="0"/>
      <w:divBdr>
        <w:top w:val="none" w:sz="0" w:space="0" w:color="auto"/>
        <w:left w:val="none" w:sz="0" w:space="0" w:color="auto"/>
        <w:bottom w:val="none" w:sz="0" w:space="0" w:color="auto"/>
        <w:right w:val="none" w:sz="0" w:space="0" w:color="auto"/>
      </w:divBdr>
    </w:div>
    <w:div w:id="1267536583">
      <w:bodyDiv w:val="1"/>
      <w:marLeft w:val="0"/>
      <w:marRight w:val="0"/>
      <w:marTop w:val="0"/>
      <w:marBottom w:val="0"/>
      <w:divBdr>
        <w:top w:val="none" w:sz="0" w:space="0" w:color="auto"/>
        <w:left w:val="none" w:sz="0" w:space="0" w:color="auto"/>
        <w:bottom w:val="none" w:sz="0" w:space="0" w:color="auto"/>
        <w:right w:val="none" w:sz="0" w:space="0" w:color="auto"/>
      </w:divBdr>
    </w:div>
    <w:div w:id="1267538655">
      <w:bodyDiv w:val="1"/>
      <w:marLeft w:val="0"/>
      <w:marRight w:val="0"/>
      <w:marTop w:val="0"/>
      <w:marBottom w:val="0"/>
      <w:divBdr>
        <w:top w:val="none" w:sz="0" w:space="0" w:color="auto"/>
        <w:left w:val="none" w:sz="0" w:space="0" w:color="auto"/>
        <w:bottom w:val="none" w:sz="0" w:space="0" w:color="auto"/>
        <w:right w:val="none" w:sz="0" w:space="0" w:color="auto"/>
      </w:divBdr>
    </w:div>
    <w:div w:id="1267694260">
      <w:bodyDiv w:val="1"/>
      <w:marLeft w:val="0"/>
      <w:marRight w:val="0"/>
      <w:marTop w:val="0"/>
      <w:marBottom w:val="0"/>
      <w:divBdr>
        <w:top w:val="none" w:sz="0" w:space="0" w:color="auto"/>
        <w:left w:val="none" w:sz="0" w:space="0" w:color="auto"/>
        <w:bottom w:val="none" w:sz="0" w:space="0" w:color="auto"/>
        <w:right w:val="none" w:sz="0" w:space="0" w:color="auto"/>
      </w:divBdr>
    </w:div>
    <w:div w:id="1267813217">
      <w:bodyDiv w:val="1"/>
      <w:marLeft w:val="0"/>
      <w:marRight w:val="0"/>
      <w:marTop w:val="0"/>
      <w:marBottom w:val="0"/>
      <w:divBdr>
        <w:top w:val="none" w:sz="0" w:space="0" w:color="auto"/>
        <w:left w:val="none" w:sz="0" w:space="0" w:color="auto"/>
        <w:bottom w:val="none" w:sz="0" w:space="0" w:color="auto"/>
        <w:right w:val="none" w:sz="0" w:space="0" w:color="auto"/>
      </w:divBdr>
    </w:div>
    <w:div w:id="1267931512">
      <w:bodyDiv w:val="1"/>
      <w:marLeft w:val="0"/>
      <w:marRight w:val="0"/>
      <w:marTop w:val="0"/>
      <w:marBottom w:val="0"/>
      <w:divBdr>
        <w:top w:val="none" w:sz="0" w:space="0" w:color="auto"/>
        <w:left w:val="none" w:sz="0" w:space="0" w:color="auto"/>
        <w:bottom w:val="none" w:sz="0" w:space="0" w:color="auto"/>
        <w:right w:val="none" w:sz="0" w:space="0" w:color="auto"/>
      </w:divBdr>
    </w:div>
    <w:div w:id="1267931969">
      <w:bodyDiv w:val="1"/>
      <w:marLeft w:val="0"/>
      <w:marRight w:val="0"/>
      <w:marTop w:val="0"/>
      <w:marBottom w:val="0"/>
      <w:divBdr>
        <w:top w:val="none" w:sz="0" w:space="0" w:color="auto"/>
        <w:left w:val="none" w:sz="0" w:space="0" w:color="auto"/>
        <w:bottom w:val="none" w:sz="0" w:space="0" w:color="auto"/>
        <w:right w:val="none" w:sz="0" w:space="0" w:color="auto"/>
      </w:divBdr>
    </w:div>
    <w:div w:id="1267932514">
      <w:bodyDiv w:val="1"/>
      <w:marLeft w:val="0"/>
      <w:marRight w:val="0"/>
      <w:marTop w:val="0"/>
      <w:marBottom w:val="0"/>
      <w:divBdr>
        <w:top w:val="none" w:sz="0" w:space="0" w:color="auto"/>
        <w:left w:val="none" w:sz="0" w:space="0" w:color="auto"/>
        <w:bottom w:val="none" w:sz="0" w:space="0" w:color="auto"/>
        <w:right w:val="none" w:sz="0" w:space="0" w:color="auto"/>
      </w:divBdr>
    </w:div>
    <w:div w:id="1268006467">
      <w:bodyDiv w:val="1"/>
      <w:marLeft w:val="0"/>
      <w:marRight w:val="0"/>
      <w:marTop w:val="0"/>
      <w:marBottom w:val="0"/>
      <w:divBdr>
        <w:top w:val="none" w:sz="0" w:space="0" w:color="auto"/>
        <w:left w:val="none" w:sz="0" w:space="0" w:color="auto"/>
        <w:bottom w:val="none" w:sz="0" w:space="0" w:color="auto"/>
        <w:right w:val="none" w:sz="0" w:space="0" w:color="auto"/>
      </w:divBdr>
    </w:div>
    <w:div w:id="1268151586">
      <w:bodyDiv w:val="1"/>
      <w:marLeft w:val="0"/>
      <w:marRight w:val="0"/>
      <w:marTop w:val="0"/>
      <w:marBottom w:val="0"/>
      <w:divBdr>
        <w:top w:val="none" w:sz="0" w:space="0" w:color="auto"/>
        <w:left w:val="none" w:sz="0" w:space="0" w:color="auto"/>
        <w:bottom w:val="none" w:sz="0" w:space="0" w:color="auto"/>
        <w:right w:val="none" w:sz="0" w:space="0" w:color="auto"/>
      </w:divBdr>
    </w:div>
    <w:div w:id="1268195673">
      <w:bodyDiv w:val="1"/>
      <w:marLeft w:val="0"/>
      <w:marRight w:val="0"/>
      <w:marTop w:val="0"/>
      <w:marBottom w:val="0"/>
      <w:divBdr>
        <w:top w:val="none" w:sz="0" w:space="0" w:color="auto"/>
        <w:left w:val="none" w:sz="0" w:space="0" w:color="auto"/>
        <w:bottom w:val="none" w:sz="0" w:space="0" w:color="auto"/>
        <w:right w:val="none" w:sz="0" w:space="0" w:color="auto"/>
      </w:divBdr>
    </w:div>
    <w:div w:id="1268385988">
      <w:bodyDiv w:val="1"/>
      <w:marLeft w:val="0"/>
      <w:marRight w:val="0"/>
      <w:marTop w:val="0"/>
      <w:marBottom w:val="0"/>
      <w:divBdr>
        <w:top w:val="none" w:sz="0" w:space="0" w:color="auto"/>
        <w:left w:val="none" w:sz="0" w:space="0" w:color="auto"/>
        <w:bottom w:val="none" w:sz="0" w:space="0" w:color="auto"/>
        <w:right w:val="none" w:sz="0" w:space="0" w:color="auto"/>
      </w:divBdr>
    </w:div>
    <w:div w:id="1268463418">
      <w:bodyDiv w:val="1"/>
      <w:marLeft w:val="0"/>
      <w:marRight w:val="0"/>
      <w:marTop w:val="0"/>
      <w:marBottom w:val="0"/>
      <w:divBdr>
        <w:top w:val="none" w:sz="0" w:space="0" w:color="auto"/>
        <w:left w:val="none" w:sz="0" w:space="0" w:color="auto"/>
        <w:bottom w:val="none" w:sz="0" w:space="0" w:color="auto"/>
        <w:right w:val="none" w:sz="0" w:space="0" w:color="auto"/>
      </w:divBdr>
    </w:div>
    <w:div w:id="1268544714">
      <w:bodyDiv w:val="1"/>
      <w:marLeft w:val="0"/>
      <w:marRight w:val="0"/>
      <w:marTop w:val="0"/>
      <w:marBottom w:val="0"/>
      <w:divBdr>
        <w:top w:val="none" w:sz="0" w:space="0" w:color="auto"/>
        <w:left w:val="none" w:sz="0" w:space="0" w:color="auto"/>
        <w:bottom w:val="none" w:sz="0" w:space="0" w:color="auto"/>
        <w:right w:val="none" w:sz="0" w:space="0" w:color="auto"/>
      </w:divBdr>
    </w:div>
    <w:div w:id="1268925355">
      <w:bodyDiv w:val="1"/>
      <w:marLeft w:val="0"/>
      <w:marRight w:val="0"/>
      <w:marTop w:val="0"/>
      <w:marBottom w:val="0"/>
      <w:divBdr>
        <w:top w:val="none" w:sz="0" w:space="0" w:color="auto"/>
        <w:left w:val="none" w:sz="0" w:space="0" w:color="auto"/>
        <w:bottom w:val="none" w:sz="0" w:space="0" w:color="auto"/>
        <w:right w:val="none" w:sz="0" w:space="0" w:color="auto"/>
      </w:divBdr>
    </w:div>
    <w:div w:id="1269005681">
      <w:bodyDiv w:val="1"/>
      <w:marLeft w:val="0"/>
      <w:marRight w:val="0"/>
      <w:marTop w:val="0"/>
      <w:marBottom w:val="0"/>
      <w:divBdr>
        <w:top w:val="none" w:sz="0" w:space="0" w:color="auto"/>
        <w:left w:val="none" w:sz="0" w:space="0" w:color="auto"/>
        <w:bottom w:val="none" w:sz="0" w:space="0" w:color="auto"/>
        <w:right w:val="none" w:sz="0" w:space="0" w:color="auto"/>
      </w:divBdr>
    </w:div>
    <w:div w:id="1269049347">
      <w:bodyDiv w:val="1"/>
      <w:marLeft w:val="0"/>
      <w:marRight w:val="0"/>
      <w:marTop w:val="0"/>
      <w:marBottom w:val="0"/>
      <w:divBdr>
        <w:top w:val="none" w:sz="0" w:space="0" w:color="auto"/>
        <w:left w:val="none" w:sz="0" w:space="0" w:color="auto"/>
        <w:bottom w:val="none" w:sz="0" w:space="0" w:color="auto"/>
        <w:right w:val="none" w:sz="0" w:space="0" w:color="auto"/>
      </w:divBdr>
    </w:div>
    <w:div w:id="1269117927">
      <w:bodyDiv w:val="1"/>
      <w:marLeft w:val="0"/>
      <w:marRight w:val="0"/>
      <w:marTop w:val="0"/>
      <w:marBottom w:val="0"/>
      <w:divBdr>
        <w:top w:val="none" w:sz="0" w:space="0" w:color="auto"/>
        <w:left w:val="none" w:sz="0" w:space="0" w:color="auto"/>
        <w:bottom w:val="none" w:sz="0" w:space="0" w:color="auto"/>
        <w:right w:val="none" w:sz="0" w:space="0" w:color="auto"/>
      </w:divBdr>
    </w:div>
    <w:div w:id="1269124011">
      <w:bodyDiv w:val="1"/>
      <w:marLeft w:val="0"/>
      <w:marRight w:val="0"/>
      <w:marTop w:val="0"/>
      <w:marBottom w:val="0"/>
      <w:divBdr>
        <w:top w:val="none" w:sz="0" w:space="0" w:color="auto"/>
        <w:left w:val="none" w:sz="0" w:space="0" w:color="auto"/>
        <w:bottom w:val="none" w:sz="0" w:space="0" w:color="auto"/>
        <w:right w:val="none" w:sz="0" w:space="0" w:color="auto"/>
      </w:divBdr>
    </w:div>
    <w:div w:id="1269242183">
      <w:bodyDiv w:val="1"/>
      <w:marLeft w:val="0"/>
      <w:marRight w:val="0"/>
      <w:marTop w:val="0"/>
      <w:marBottom w:val="0"/>
      <w:divBdr>
        <w:top w:val="none" w:sz="0" w:space="0" w:color="auto"/>
        <w:left w:val="none" w:sz="0" w:space="0" w:color="auto"/>
        <w:bottom w:val="none" w:sz="0" w:space="0" w:color="auto"/>
        <w:right w:val="none" w:sz="0" w:space="0" w:color="auto"/>
      </w:divBdr>
    </w:div>
    <w:div w:id="1269266443">
      <w:bodyDiv w:val="1"/>
      <w:marLeft w:val="0"/>
      <w:marRight w:val="0"/>
      <w:marTop w:val="0"/>
      <w:marBottom w:val="0"/>
      <w:divBdr>
        <w:top w:val="none" w:sz="0" w:space="0" w:color="auto"/>
        <w:left w:val="none" w:sz="0" w:space="0" w:color="auto"/>
        <w:bottom w:val="none" w:sz="0" w:space="0" w:color="auto"/>
        <w:right w:val="none" w:sz="0" w:space="0" w:color="auto"/>
      </w:divBdr>
    </w:div>
    <w:div w:id="1269460738">
      <w:bodyDiv w:val="1"/>
      <w:marLeft w:val="0"/>
      <w:marRight w:val="0"/>
      <w:marTop w:val="0"/>
      <w:marBottom w:val="0"/>
      <w:divBdr>
        <w:top w:val="none" w:sz="0" w:space="0" w:color="auto"/>
        <w:left w:val="none" w:sz="0" w:space="0" w:color="auto"/>
        <w:bottom w:val="none" w:sz="0" w:space="0" w:color="auto"/>
        <w:right w:val="none" w:sz="0" w:space="0" w:color="auto"/>
      </w:divBdr>
    </w:div>
    <w:div w:id="1269510900">
      <w:bodyDiv w:val="1"/>
      <w:marLeft w:val="0"/>
      <w:marRight w:val="0"/>
      <w:marTop w:val="0"/>
      <w:marBottom w:val="0"/>
      <w:divBdr>
        <w:top w:val="none" w:sz="0" w:space="0" w:color="auto"/>
        <w:left w:val="none" w:sz="0" w:space="0" w:color="auto"/>
        <w:bottom w:val="none" w:sz="0" w:space="0" w:color="auto"/>
        <w:right w:val="none" w:sz="0" w:space="0" w:color="auto"/>
      </w:divBdr>
    </w:div>
    <w:div w:id="1269583341">
      <w:bodyDiv w:val="1"/>
      <w:marLeft w:val="0"/>
      <w:marRight w:val="0"/>
      <w:marTop w:val="0"/>
      <w:marBottom w:val="0"/>
      <w:divBdr>
        <w:top w:val="none" w:sz="0" w:space="0" w:color="auto"/>
        <w:left w:val="none" w:sz="0" w:space="0" w:color="auto"/>
        <w:bottom w:val="none" w:sz="0" w:space="0" w:color="auto"/>
        <w:right w:val="none" w:sz="0" w:space="0" w:color="auto"/>
      </w:divBdr>
    </w:div>
    <w:div w:id="1269583409">
      <w:bodyDiv w:val="1"/>
      <w:marLeft w:val="0"/>
      <w:marRight w:val="0"/>
      <w:marTop w:val="0"/>
      <w:marBottom w:val="0"/>
      <w:divBdr>
        <w:top w:val="none" w:sz="0" w:space="0" w:color="auto"/>
        <w:left w:val="none" w:sz="0" w:space="0" w:color="auto"/>
        <w:bottom w:val="none" w:sz="0" w:space="0" w:color="auto"/>
        <w:right w:val="none" w:sz="0" w:space="0" w:color="auto"/>
      </w:divBdr>
    </w:div>
    <w:div w:id="1269584585">
      <w:bodyDiv w:val="1"/>
      <w:marLeft w:val="0"/>
      <w:marRight w:val="0"/>
      <w:marTop w:val="0"/>
      <w:marBottom w:val="0"/>
      <w:divBdr>
        <w:top w:val="none" w:sz="0" w:space="0" w:color="auto"/>
        <w:left w:val="none" w:sz="0" w:space="0" w:color="auto"/>
        <w:bottom w:val="none" w:sz="0" w:space="0" w:color="auto"/>
        <w:right w:val="none" w:sz="0" w:space="0" w:color="auto"/>
      </w:divBdr>
    </w:div>
    <w:div w:id="1269659195">
      <w:bodyDiv w:val="1"/>
      <w:marLeft w:val="0"/>
      <w:marRight w:val="0"/>
      <w:marTop w:val="0"/>
      <w:marBottom w:val="0"/>
      <w:divBdr>
        <w:top w:val="none" w:sz="0" w:space="0" w:color="auto"/>
        <w:left w:val="none" w:sz="0" w:space="0" w:color="auto"/>
        <w:bottom w:val="none" w:sz="0" w:space="0" w:color="auto"/>
        <w:right w:val="none" w:sz="0" w:space="0" w:color="auto"/>
      </w:divBdr>
    </w:div>
    <w:div w:id="1269660625">
      <w:bodyDiv w:val="1"/>
      <w:marLeft w:val="0"/>
      <w:marRight w:val="0"/>
      <w:marTop w:val="0"/>
      <w:marBottom w:val="0"/>
      <w:divBdr>
        <w:top w:val="none" w:sz="0" w:space="0" w:color="auto"/>
        <w:left w:val="none" w:sz="0" w:space="0" w:color="auto"/>
        <w:bottom w:val="none" w:sz="0" w:space="0" w:color="auto"/>
        <w:right w:val="none" w:sz="0" w:space="0" w:color="auto"/>
      </w:divBdr>
    </w:div>
    <w:div w:id="1269704946">
      <w:bodyDiv w:val="1"/>
      <w:marLeft w:val="0"/>
      <w:marRight w:val="0"/>
      <w:marTop w:val="0"/>
      <w:marBottom w:val="0"/>
      <w:divBdr>
        <w:top w:val="none" w:sz="0" w:space="0" w:color="auto"/>
        <w:left w:val="none" w:sz="0" w:space="0" w:color="auto"/>
        <w:bottom w:val="none" w:sz="0" w:space="0" w:color="auto"/>
        <w:right w:val="none" w:sz="0" w:space="0" w:color="auto"/>
      </w:divBdr>
    </w:div>
    <w:div w:id="1269773592">
      <w:bodyDiv w:val="1"/>
      <w:marLeft w:val="0"/>
      <w:marRight w:val="0"/>
      <w:marTop w:val="0"/>
      <w:marBottom w:val="0"/>
      <w:divBdr>
        <w:top w:val="none" w:sz="0" w:space="0" w:color="auto"/>
        <w:left w:val="none" w:sz="0" w:space="0" w:color="auto"/>
        <w:bottom w:val="none" w:sz="0" w:space="0" w:color="auto"/>
        <w:right w:val="none" w:sz="0" w:space="0" w:color="auto"/>
      </w:divBdr>
    </w:div>
    <w:div w:id="1269897382">
      <w:bodyDiv w:val="1"/>
      <w:marLeft w:val="0"/>
      <w:marRight w:val="0"/>
      <w:marTop w:val="0"/>
      <w:marBottom w:val="0"/>
      <w:divBdr>
        <w:top w:val="none" w:sz="0" w:space="0" w:color="auto"/>
        <w:left w:val="none" w:sz="0" w:space="0" w:color="auto"/>
        <w:bottom w:val="none" w:sz="0" w:space="0" w:color="auto"/>
        <w:right w:val="none" w:sz="0" w:space="0" w:color="auto"/>
      </w:divBdr>
    </w:div>
    <w:div w:id="1269967937">
      <w:bodyDiv w:val="1"/>
      <w:marLeft w:val="0"/>
      <w:marRight w:val="0"/>
      <w:marTop w:val="0"/>
      <w:marBottom w:val="0"/>
      <w:divBdr>
        <w:top w:val="none" w:sz="0" w:space="0" w:color="auto"/>
        <w:left w:val="none" w:sz="0" w:space="0" w:color="auto"/>
        <w:bottom w:val="none" w:sz="0" w:space="0" w:color="auto"/>
        <w:right w:val="none" w:sz="0" w:space="0" w:color="auto"/>
      </w:divBdr>
    </w:div>
    <w:div w:id="1269971982">
      <w:bodyDiv w:val="1"/>
      <w:marLeft w:val="0"/>
      <w:marRight w:val="0"/>
      <w:marTop w:val="0"/>
      <w:marBottom w:val="0"/>
      <w:divBdr>
        <w:top w:val="none" w:sz="0" w:space="0" w:color="auto"/>
        <w:left w:val="none" w:sz="0" w:space="0" w:color="auto"/>
        <w:bottom w:val="none" w:sz="0" w:space="0" w:color="auto"/>
        <w:right w:val="none" w:sz="0" w:space="0" w:color="auto"/>
      </w:divBdr>
    </w:div>
    <w:div w:id="1270042019">
      <w:bodyDiv w:val="1"/>
      <w:marLeft w:val="0"/>
      <w:marRight w:val="0"/>
      <w:marTop w:val="0"/>
      <w:marBottom w:val="0"/>
      <w:divBdr>
        <w:top w:val="none" w:sz="0" w:space="0" w:color="auto"/>
        <w:left w:val="none" w:sz="0" w:space="0" w:color="auto"/>
        <w:bottom w:val="none" w:sz="0" w:space="0" w:color="auto"/>
        <w:right w:val="none" w:sz="0" w:space="0" w:color="auto"/>
      </w:divBdr>
    </w:div>
    <w:div w:id="1270091302">
      <w:bodyDiv w:val="1"/>
      <w:marLeft w:val="0"/>
      <w:marRight w:val="0"/>
      <w:marTop w:val="0"/>
      <w:marBottom w:val="0"/>
      <w:divBdr>
        <w:top w:val="none" w:sz="0" w:space="0" w:color="auto"/>
        <w:left w:val="none" w:sz="0" w:space="0" w:color="auto"/>
        <w:bottom w:val="none" w:sz="0" w:space="0" w:color="auto"/>
        <w:right w:val="none" w:sz="0" w:space="0" w:color="auto"/>
      </w:divBdr>
    </w:div>
    <w:div w:id="1270163497">
      <w:bodyDiv w:val="1"/>
      <w:marLeft w:val="0"/>
      <w:marRight w:val="0"/>
      <w:marTop w:val="0"/>
      <w:marBottom w:val="0"/>
      <w:divBdr>
        <w:top w:val="none" w:sz="0" w:space="0" w:color="auto"/>
        <w:left w:val="none" w:sz="0" w:space="0" w:color="auto"/>
        <w:bottom w:val="none" w:sz="0" w:space="0" w:color="auto"/>
        <w:right w:val="none" w:sz="0" w:space="0" w:color="auto"/>
      </w:divBdr>
    </w:div>
    <w:div w:id="1270310457">
      <w:bodyDiv w:val="1"/>
      <w:marLeft w:val="0"/>
      <w:marRight w:val="0"/>
      <w:marTop w:val="0"/>
      <w:marBottom w:val="0"/>
      <w:divBdr>
        <w:top w:val="none" w:sz="0" w:space="0" w:color="auto"/>
        <w:left w:val="none" w:sz="0" w:space="0" w:color="auto"/>
        <w:bottom w:val="none" w:sz="0" w:space="0" w:color="auto"/>
        <w:right w:val="none" w:sz="0" w:space="0" w:color="auto"/>
      </w:divBdr>
    </w:div>
    <w:div w:id="1270433101">
      <w:bodyDiv w:val="1"/>
      <w:marLeft w:val="0"/>
      <w:marRight w:val="0"/>
      <w:marTop w:val="0"/>
      <w:marBottom w:val="0"/>
      <w:divBdr>
        <w:top w:val="none" w:sz="0" w:space="0" w:color="auto"/>
        <w:left w:val="none" w:sz="0" w:space="0" w:color="auto"/>
        <w:bottom w:val="none" w:sz="0" w:space="0" w:color="auto"/>
        <w:right w:val="none" w:sz="0" w:space="0" w:color="auto"/>
      </w:divBdr>
    </w:div>
    <w:div w:id="1270433360">
      <w:bodyDiv w:val="1"/>
      <w:marLeft w:val="0"/>
      <w:marRight w:val="0"/>
      <w:marTop w:val="0"/>
      <w:marBottom w:val="0"/>
      <w:divBdr>
        <w:top w:val="none" w:sz="0" w:space="0" w:color="auto"/>
        <w:left w:val="none" w:sz="0" w:space="0" w:color="auto"/>
        <w:bottom w:val="none" w:sz="0" w:space="0" w:color="auto"/>
        <w:right w:val="none" w:sz="0" w:space="0" w:color="auto"/>
      </w:divBdr>
    </w:div>
    <w:div w:id="1270549613">
      <w:bodyDiv w:val="1"/>
      <w:marLeft w:val="0"/>
      <w:marRight w:val="0"/>
      <w:marTop w:val="0"/>
      <w:marBottom w:val="0"/>
      <w:divBdr>
        <w:top w:val="none" w:sz="0" w:space="0" w:color="auto"/>
        <w:left w:val="none" w:sz="0" w:space="0" w:color="auto"/>
        <w:bottom w:val="none" w:sz="0" w:space="0" w:color="auto"/>
        <w:right w:val="none" w:sz="0" w:space="0" w:color="auto"/>
      </w:divBdr>
    </w:div>
    <w:div w:id="1270550920">
      <w:bodyDiv w:val="1"/>
      <w:marLeft w:val="0"/>
      <w:marRight w:val="0"/>
      <w:marTop w:val="0"/>
      <w:marBottom w:val="0"/>
      <w:divBdr>
        <w:top w:val="none" w:sz="0" w:space="0" w:color="auto"/>
        <w:left w:val="none" w:sz="0" w:space="0" w:color="auto"/>
        <w:bottom w:val="none" w:sz="0" w:space="0" w:color="auto"/>
        <w:right w:val="none" w:sz="0" w:space="0" w:color="auto"/>
      </w:divBdr>
    </w:div>
    <w:div w:id="1270745119">
      <w:bodyDiv w:val="1"/>
      <w:marLeft w:val="0"/>
      <w:marRight w:val="0"/>
      <w:marTop w:val="0"/>
      <w:marBottom w:val="0"/>
      <w:divBdr>
        <w:top w:val="none" w:sz="0" w:space="0" w:color="auto"/>
        <w:left w:val="none" w:sz="0" w:space="0" w:color="auto"/>
        <w:bottom w:val="none" w:sz="0" w:space="0" w:color="auto"/>
        <w:right w:val="none" w:sz="0" w:space="0" w:color="auto"/>
      </w:divBdr>
    </w:div>
    <w:div w:id="1270818757">
      <w:bodyDiv w:val="1"/>
      <w:marLeft w:val="0"/>
      <w:marRight w:val="0"/>
      <w:marTop w:val="0"/>
      <w:marBottom w:val="0"/>
      <w:divBdr>
        <w:top w:val="none" w:sz="0" w:space="0" w:color="auto"/>
        <w:left w:val="none" w:sz="0" w:space="0" w:color="auto"/>
        <w:bottom w:val="none" w:sz="0" w:space="0" w:color="auto"/>
        <w:right w:val="none" w:sz="0" w:space="0" w:color="auto"/>
      </w:divBdr>
    </w:div>
    <w:div w:id="1270820669">
      <w:bodyDiv w:val="1"/>
      <w:marLeft w:val="0"/>
      <w:marRight w:val="0"/>
      <w:marTop w:val="0"/>
      <w:marBottom w:val="0"/>
      <w:divBdr>
        <w:top w:val="none" w:sz="0" w:space="0" w:color="auto"/>
        <w:left w:val="none" w:sz="0" w:space="0" w:color="auto"/>
        <w:bottom w:val="none" w:sz="0" w:space="0" w:color="auto"/>
        <w:right w:val="none" w:sz="0" w:space="0" w:color="auto"/>
      </w:divBdr>
    </w:div>
    <w:div w:id="1270888811">
      <w:bodyDiv w:val="1"/>
      <w:marLeft w:val="0"/>
      <w:marRight w:val="0"/>
      <w:marTop w:val="0"/>
      <w:marBottom w:val="0"/>
      <w:divBdr>
        <w:top w:val="none" w:sz="0" w:space="0" w:color="auto"/>
        <w:left w:val="none" w:sz="0" w:space="0" w:color="auto"/>
        <w:bottom w:val="none" w:sz="0" w:space="0" w:color="auto"/>
        <w:right w:val="none" w:sz="0" w:space="0" w:color="auto"/>
      </w:divBdr>
    </w:div>
    <w:div w:id="1270966204">
      <w:bodyDiv w:val="1"/>
      <w:marLeft w:val="0"/>
      <w:marRight w:val="0"/>
      <w:marTop w:val="0"/>
      <w:marBottom w:val="0"/>
      <w:divBdr>
        <w:top w:val="none" w:sz="0" w:space="0" w:color="auto"/>
        <w:left w:val="none" w:sz="0" w:space="0" w:color="auto"/>
        <w:bottom w:val="none" w:sz="0" w:space="0" w:color="auto"/>
        <w:right w:val="none" w:sz="0" w:space="0" w:color="auto"/>
      </w:divBdr>
    </w:div>
    <w:div w:id="1270966951">
      <w:bodyDiv w:val="1"/>
      <w:marLeft w:val="0"/>
      <w:marRight w:val="0"/>
      <w:marTop w:val="0"/>
      <w:marBottom w:val="0"/>
      <w:divBdr>
        <w:top w:val="none" w:sz="0" w:space="0" w:color="auto"/>
        <w:left w:val="none" w:sz="0" w:space="0" w:color="auto"/>
        <w:bottom w:val="none" w:sz="0" w:space="0" w:color="auto"/>
        <w:right w:val="none" w:sz="0" w:space="0" w:color="auto"/>
      </w:divBdr>
    </w:div>
    <w:div w:id="1270972249">
      <w:bodyDiv w:val="1"/>
      <w:marLeft w:val="0"/>
      <w:marRight w:val="0"/>
      <w:marTop w:val="0"/>
      <w:marBottom w:val="0"/>
      <w:divBdr>
        <w:top w:val="none" w:sz="0" w:space="0" w:color="auto"/>
        <w:left w:val="none" w:sz="0" w:space="0" w:color="auto"/>
        <w:bottom w:val="none" w:sz="0" w:space="0" w:color="auto"/>
        <w:right w:val="none" w:sz="0" w:space="0" w:color="auto"/>
      </w:divBdr>
    </w:div>
    <w:div w:id="1271013621">
      <w:bodyDiv w:val="1"/>
      <w:marLeft w:val="0"/>
      <w:marRight w:val="0"/>
      <w:marTop w:val="0"/>
      <w:marBottom w:val="0"/>
      <w:divBdr>
        <w:top w:val="none" w:sz="0" w:space="0" w:color="auto"/>
        <w:left w:val="none" w:sz="0" w:space="0" w:color="auto"/>
        <w:bottom w:val="none" w:sz="0" w:space="0" w:color="auto"/>
        <w:right w:val="none" w:sz="0" w:space="0" w:color="auto"/>
      </w:divBdr>
    </w:div>
    <w:div w:id="1271014503">
      <w:bodyDiv w:val="1"/>
      <w:marLeft w:val="0"/>
      <w:marRight w:val="0"/>
      <w:marTop w:val="0"/>
      <w:marBottom w:val="0"/>
      <w:divBdr>
        <w:top w:val="none" w:sz="0" w:space="0" w:color="auto"/>
        <w:left w:val="none" w:sz="0" w:space="0" w:color="auto"/>
        <w:bottom w:val="none" w:sz="0" w:space="0" w:color="auto"/>
        <w:right w:val="none" w:sz="0" w:space="0" w:color="auto"/>
      </w:divBdr>
    </w:div>
    <w:div w:id="1271203249">
      <w:bodyDiv w:val="1"/>
      <w:marLeft w:val="0"/>
      <w:marRight w:val="0"/>
      <w:marTop w:val="0"/>
      <w:marBottom w:val="0"/>
      <w:divBdr>
        <w:top w:val="none" w:sz="0" w:space="0" w:color="auto"/>
        <w:left w:val="none" w:sz="0" w:space="0" w:color="auto"/>
        <w:bottom w:val="none" w:sz="0" w:space="0" w:color="auto"/>
        <w:right w:val="none" w:sz="0" w:space="0" w:color="auto"/>
      </w:divBdr>
    </w:div>
    <w:div w:id="1271356539">
      <w:bodyDiv w:val="1"/>
      <w:marLeft w:val="0"/>
      <w:marRight w:val="0"/>
      <w:marTop w:val="0"/>
      <w:marBottom w:val="0"/>
      <w:divBdr>
        <w:top w:val="none" w:sz="0" w:space="0" w:color="auto"/>
        <w:left w:val="none" w:sz="0" w:space="0" w:color="auto"/>
        <w:bottom w:val="none" w:sz="0" w:space="0" w:color="auto"/>
        <w:right w:val="none" w:sz="0" w:space="0" w:color="auto"/>
      </w:divBdr>
    </w:div>
    <w:div w:id="1271400162">
      <w:bodyDiv w:val="1"/>
      <w:marLeft w:val="0"/>
      <w:marRight w:val="0"/>
      <w:marTop w:val="0"/>
      <w:marBottom w:val="0"/>
      <w:divBdr>
        <w:top w:val="none" w:sz="0" w:space="0" w:color="auto"/>
        <w:left w:val="none" w:sz="0" w:space="0" w:color="auto"/>
        <w:bottom w:val="none" w:sz="0" w:space="0" w:color="auto"/>
        <w:right w:val="none" w:sz="0" w:space="0" w:color="auto"/>
      </w:divBdr>
    </w:div>
    <w:div w:id="1271619875">
      <w:bodyDiv w:val="1"/>
      <w:marLeft w:val="0"/>
      <w:marRight w:val="0"/>
      <w:marTop w:val="0"/>
      <w:marBottom w:val="0"/>
      <w:divBdr>
        <w:top w:val="none" w:sz="0" w:space="0" w:color="auto"/>
        <w:left w:val="none" w:sz="0" w:space="0" w:color="auto"/>
        <w:bottom w:val="none" w:sz="0" w:space="0" w:color="auto"/>
        <w:right w:val="none" w:sz="0" w:space="0" w:color="auto"/>
      </w:divBdr>
    </w:div>
    <w:div w:id="1271819595">
      <w:bodyDiv w:val="1"/>
      <w:marLeft w:val="0"/>
      <w:marRight w:val="0"/>
      <w:marTop w:val="0"/>
      <w:marBottom w:val="0"/>
      <w:divBdr>
        <w:top w:val="none" w:sz="0" w:space="0" w:color="auto"/>
        <w:left w:val="none" w:sz="0" w:space="0" w:color="auto"/>
        <w:bottom w:val="none" w:sz="0" w:space="0" w:color="auto"/>
        <w:right w:val="none" w:sz="0" w:space="0" w:color="auto"/>
      </w:divBdr>
    </w:div>
    <w:div w:id="1271934488">
      <w:bodyDiv w:val="1"/>
      <w:marLeft w:val="0"/>
      <w:marRight w:val="0"/>
      <w:marTop w:val="0"/>
      <w:marBottom w:val="0"/>
      <w:divBdr>
        <w:top w:val="none" w:sz="0" w:space="0" w:color="auto"/>
        <w:left w:val="none" w:sz="0" w:space="0" w:color="auto"/>
        <w:bottom w:val="none" w:sz="0" w:space="0" w:color="auto"/>
        <w:right w:val="none" w:sz="0" w:space="0" w:color="auto"/>
      </w:divBdr>
    </w:div>
    <w:div w:id="1272057357">
      <w:bodyDiv w:val="1"/>
      <w:marLeft w:val="0"/>
      <w:marRight w:val="0"/>
      <w:marTop w:val="0"/>
      <w:marBottom w:val="0"/>
      <w:divBdr>
        <w:top w:val="none" w:sz="0" w:space="0" w:color="auto"/>
        <w:left w:val="none" w:sz="0" w:space="0" w:color="auto"/>
        <w:bottom w:val="none" w:sz="0" w:space="0" w:color="auto"/>
        <w:right w:val="none" w:sz="0" w:space="0" w:color="auto"/>
      </w:divBdr>
    </w:div>
    <w:div w:id="1272129253">
      <w:bodyDiv w:val="1"/>
      <w:marLeft w:val="0"/>
      <w:marRight w:val="0"/>
      <w:marTop w:val="0"/>
      <w:marBottom w:val="0"/>
      <w:divBdr>
        <w:top w:val="none" w:sz="0" w:space="0" w:color="auto"/>
        <w:left w:val="none" w:sz="0" w:space="0" w:color="auto"/>
        <w:bottom w:val="none" w:sz="0" w:space="0" w:color="auto"/>
        <w:right w:val="none" w:sz="0" w:space="0" w:color="auto"/>
      </w:divBdr>
    </w:div>
    <w:div w:id="1272132833">
      <w:bodyDiv w:val="1"/>
      <w:marLeft w:val="0"/>
      <w:marRight w:val="0"/>
      <w:marTop w:val="0"/>
      <w:marBottom w:val="0"/>
      <w:divBdr>
        <w:top w:val="none" w:sz="0" w:space="0" w:color="auto"/>
        <w:left w:val="none" w:sz="0" w:space="0" w:color="auto"/>
        <w:bottom w:val="none" w:sz="0" w:space="0" w:color="auto"/>
        <w:right w:val="none" w:sz="0" w:space="0" w:color="auto"/>
      </w:divBdr>
    </w:div>
    <w:div w:id="1272206943">
      <w:bodyDiv w:val="1"/>
      <w:marLeft w:val="0"/>
      <w:marRight w:val="0"/>
      <w:marTop w:val="0"/>
      <w:marBottom w:val="0"/>
      <w:divBdr>
        <w:top w:val="none" w:sz="0" w:space="0" w:color="auto"/>
        <w:left w:val="none" w:sz="0" w:space="0" w:color="auto"/>
        <w:bottom w:val="none" w:sz="0" w:space="0" w:color="auto"/>
        <w:right w:val="none" w:sz="0" w:space="0" w:color="auto"/>
      </w:divBdr>
    </w:div>
    <w:div w:id="1272276355">
      <w:bodyDiv w:val="1"/>
      <w:marLeft w:val="0"/>
      <w:marRight w:val="0"/>
      <w:marTop w:val="0"/>
      <w:marBottom w:val="0"/>
      <w:divBdr>
        <w:top w:val="none" w:sz="0" w:space="0" w:color="auto"/>
        <w:left w:val="none" w:sz="0" w:space="0" w:color="auto"/>
        <w:bottom w:val="none" w:sz="0" w:space="0" w:color="auto"/>
        <w:right w:val="none" w:sz="0" w:space="0" w:color="auto"/>
      </w:divBdr>
    </w:div>
    <w:div w:id="1272323596">
      <w:bodyDiv w:val="1"/>
      <w:marLeft w:val="0"/>
      <w:marRight w:val="0"/>
      <w:marTop w:val="0"/>
      <w:marBottom w:val="0"/>
      <w:divBdr>
        <w:top w:val="none" w:sz="0" w:space="0" w:color="auto"/>
        <w:left w:val="none" w:sz="0" w:space="0" w:color="auto"/>
        <w:bottom w:val="none" w:sz="0" w:space="0" w:color="auto"/>
        <w:right w:val="none" w:sz="0" w:space="0" w:color="auto"/>
      </w:divBdr>
    </w:div>
    <w:div w:id="1272467706">
      <w:bodyDiv w:val="1"/>
      <w:marLeft w:val="0"/>
      <w:marRight w:val="0"/>
      <w:marTop w:val="0"/>
      <w:marBottom w:val="0"/>
      <w:divBdr>
        <w:top w:val="none" w:sz="0" w:space="0" w:color="auto"/>
        <w:left w:val="none" w:sz="0" w:space="0" w:color="auto"/>
        <w:bottom w:val="none" w:sz="0" w:space="0" w:color="auto"/>
        <w:right w:val="none" w:sz="0" w:space="0" w:color="auto"/>
      </w:divBdr>
    </w:div>
    <w:div w:id="1272469836">
      <w:bodyDiv w:val="1"/>
      <w:marLeft w:val="0"/>
      <w:marRight w:val="0"/>
      <w:marTop w:val="0"/>
      <w:marBottom w:val="0"/>
      <w:divBdr>
        <w:top w:val="none" w:sz="0" w:space="0" w:color="auto"/>
        <w:left w:val="none" w:sz="0" w:space="0" w:color="auto"/>
        <w:bottom w:val="none" w:sz="0" w:space="0" w:color="auto"/>
        <w:right w:val="none" w:sz="0" w:space="0" w:color="auto"/>
      </w:divBdr>
    </w:div>
    <w:div w:id="1272513346">
      <w:bodyDiv w:val="1"/>
      <w:marLeft w:val="0"/>
      <w:marRight w:val="0"/>
      <w:marTop w:val="0"/>
      <w:marBottom w:val="0"/>
      <w:divBdr>
        <w:top w:val="none" w:sz="0" w:space="0" w:color="auto"/>
        <w:left w:val="none" w:sz="0" w:space="0" w:color="auto"/>
        <w:bottom w:val="none" w:sz="0" w:space="0" w:color="auto"/>
        <w:right w:val="none" w:sz="0" w:space="0" w:color="auto"/>
      </w:divBdr>
    </w:div>
    <w:div w:id="1272712902">
      <w:bodyDiv w:val="1"/>
      <w:marLeft w:val="0"/>
      <w:marRight w:val="0"/>
      <w:marTop w:val="0"/>
      <w:marBottom w:val="0"/>
      <w:divBdr>
        <w:top w:val="none" w:sz="0" w:space="0" w:color="auto"/>
        <w:left w:val="none" w:sz="0" w:space="0" w:color="auto"/>
        <w:bottom w:val="none" w:sz="0" w:space="0" w:color="auto"/>
        <w:right w:val="none" w:sz="0" w:space="0" w:color="auto"/>
      </w:divBdr>
    </w:div>
    <w:div w:id="1272934532">
      <w:bodyDiv w:val="1"/>
      <w:marLeft w:val="0"/>
      <w:marRight w:val="0"/>
      <w:marTop w:val="0"/>
      <w:marBottom w:val="0"/>
      <w:divBdr>
        <w:top w:val="none" w:sz="0" w:space="0" w:color="auto"/>
        <w:left w:val="none" w:sz="0" w:space="0" w:color="auto"/>
        <w:bottom w:val="none" w:sz="0" w:space="0" w:color="auto"/>
        <w:right w:val="none" w:sz="0" w:space="0" w:color="auto"/>
      </w:divBdr>
    </w:div>
    <w:div w:id="1272979082">
      <w:bodyDiv w:val="1"/>
      <w:marLeft w:val="0"/>
      <w:marRight w:val="0"/>
      <w:marTop w:val="0"/>
      <w:marBottom w:val="0"/>
      <w:divBdr>
        <w:top w:val="none" w:sz="0" w:space="0" w:color="auto"/>
        <w:left w:val="none" w:sz="0" w:space="0" w:color="auto"/>
        <w:bottom w:val="none" w:sz="0" w:space="0" w:color="auto"/>
        <w:right w:val="none" w:sz="0" w:space="0" w:color="auto"/>
      </w:divBdr>
    </w:div>
    <w:div w:id="1273047832">
      <w:bodyDiv w:val="1"/>
      <w:marLeft w:val="0"/>
      <w:marRight w:val="0"/>
      <w:marTop w:val="0"/>
      <w:marBottom w:val="0"/>
      <w:divBdr>
        <w:top w:val="none" w:sz="0" w:space="0" w:color="auto"/>
        <w:left w:val="none" w:sz="0" w:space="0" w:color="auto"/>
        <w:bottom w:val="none" w:sz="0" w:space="0" w:color="auto"/>
        <w:right w:val="none" w:sz="0" w:space="0" w:color="auto"/>
      </w:divBdr>
    </w:div>
    <w:div w:id="1273124805">
      <w:bodyDiv w:val="1"/>
      <w:marLeft w:val="0"/>
      <w:marRight w:val="0"/>
      <w:marTop w:val="0"/>
      <w:marBottom w:val="0"/>
      <w:divBdr>
        <w:top w:val="none" w:sz="0" w:space="0" w:color="auto"/>
        <w:left w:val="none" w:sz="0" w:space="0" w:color="auto"/>
        <w:bottom w:val="none" w:sz="0" w:space="0" w:color="auto"/>
        <w:right w:val="none" w:sz="0" w:space="0" w:color="auto"/>
      </w:divBdr>
    </w:div>
    <w:div w:id="1273319359">
      <w:bodyDiv w:val="1"/>
      <w:marLeft w:val="0"/>
      <w:marRight w:val="0"/>
      <w:marTop w:val="0"/>
      <w:marBottom w:val="0"/>
      <w:divBdr>
        <w:top w:val="none" w:sz="0" w:space="0" w:color="auto"/>
        <w:left w:val="none" w:sz="0" w:space="0" w:color="auto"/>
        <w:bottom w:val="none" w:sz="0" w:space="0" w:color="auto"/>
        <w:right w:val="none" w:sz="0" w:space="0" w:color="auto"/>
      </w:divBdr>
    </w:div>
    <w:div w:id="1273323216">
      <w:bodyDiv w:val="1"/>
      <w:marLeft w:val="0"/>
      <w:marRight w:val="0"/>
      <w:marTop w:val="0"/>
      <w:marBottom w:val="0"/>
      <w:divBdr>
        <w:top w:val="none" w:sz="0" w:space="0" w:color="auto"/>
        <w:left w:val="none" w:sz="0" w:space="0" w:color="auto"/>
        <w:bottom w:val="none" w:sz="0" w:space="0" w:color="auto"/>
        <w:right w:val="none" w:sz="0" w:space="0" w:color="auto"/>
      </w:divBdr>
    </w:div>
    <w:div w:id="1273517236">
      <w:bodyDiv w:val="1"/>
      <w:marLeft w:val="0"/>
      <w:marRight w:val="0"/>
      <w:marTop w:val="0"/>
      <w:marBottom w:val="0"/>
      <w:divBdr>
        <w:top w:val="none" w:sz="0" w:space="0" w:color="auto"/>
        <w:left w:val="none" w:sz="0" w:space="0" w:color="auto"/>
        <w:bottom w:val="none" w:sz="0" w:space="0" w:color="auto"/>
        <w:right w:val="none" w:sz="0" w:space="0" w:color="auto"/>
      </w:divBdr>
    </w:div>
    <w:div w:id="1273585744">
      <w:bodyDiv w:val="1"/>
      <w:marLeft w:val="0"/>
      <w:marRight w:val="0"/>
      <w:marTop w:val="0"/>
      <w:marBottom w:val="0"/>
      <w:divBdr>
        <w:top w:val="none" w:sz="0" w:space="0" w:color="auto"/>
        <w:left w:val="none" w:sz="0" w:space="0" w:color="auto"/>
        <w:bottom w:val="none" w:sz="0" w:space="0" w:color="auto"/>
        <w:right w:val="none" w:sz="0" w:space="0" w:color="auto"/>
      </w:divBdr>
    </w:div>
    <w:div w:id="1273708362">
      <w:bodyDiv w:val="1"/>
      <w:marLeft w:val="0"/>
      <w:marRight w:val="0"/>
      <w:marTop w:val="0"/>
      <w:marBottom w:val="0"/>
      <w:divBdr>
        <w:top w:val="none" w:sz="0" w:space="0" w:color="auto"/>
        <w:left w:val="none" w:sz="0" w:space="0" w:color="auto"/>
        <w:bottom w:val="none" w:sz="0" w:space="0" w:color="auto"/>
        <w:right w:val="none" w:sz="0" w:space="0" w:color="auto"/>
      </w:divBdr>
    </w:div>
    <w:div w:id="1273827521">
      <w:bodyDiv w:val="1"/>
      <w:marLeft w:val="0"/>
      <w:marRight w:val="0"/>
      <w:marTop w:val="0"/>
      <w:marBottom w:val="0"/>
      <w:divBdr>
        <w:top w:val="none" w:sz="0" w:space="0" w:color="auto"/>
        <w:left w:val="none" w:sz="0" w:space="0" w:color="auto"/>
        <w:bottom w:val="none" w:sz="0" w:space="0" w:color="auto"/>
        <w:right w:val="none" w:sz="0" w:space="0" w:color="auto"/>
      </w:divBdr>
    </w:div>
    <w:div w:id="1273975755">
      <w:bodyDiv w:val="1"/>
      <w:marLeft w:val="0"/>
      <w:marRight w:val="0"/>
      <w:marTop w:val="0"/>
      <w:marBottom w:val="0"/>
      <w:divBdr>
        <w:top w:val="none" w:sz="0" w:space="0" w:color="auto"/>
        <w:left w:val="none" w:sz="0" w:space="0" w:color="auto"/>
        <w:bottom w:val="none" w:sz="0" w:space="0" w:color="auto"/>
        <w:right w:val="none" w:sz="0" w:space="0" w:color="auto"/>
      </w:divBdr>
    </w:div>
    <w:div w:id="1273979887">
      <w:bodyDiv w:val="1"/>
      <w:marLeft w:val="0"/>
      <w:marRight w:val="0"/>
      <w:marTop w:val="0"/>
      <w:marBottom w:val="0"/>
      <w:divBdr>
        <w:top w:val="none" w:sz="0" w:space="0" w:color="auto"/>
        <w:left w:val="none" w:sz="0" w:space="0" w:color="auto"/>
        <w:bottom w:val="none" w:sz="0" w:space="0" w:color="auto"/>
        <w:right w:val="none" w:sz="0" w:space="0" w:color="auto"/>
      </w:divBdr>
    </w:div>
    <w:div w:id="1274165660">
      <w:bodyDiv w:val="1"/>
      <w:marLeft w:val="0"/>
      <w:marRight w:val="0"/>
      <w:marTop w:val="0"/>
      <w:marBottom w:val="0"/>
      <w:divBdr>
        <w:top w:val="none" w:sz="0" w:space="0" w:color="auto"/>
        <w:left w:val="none" w:sz="0" w:space="0" w:color="auto"/>
        <w:bottom w:val="none" w:sz="0" w:space="0" w:color="auto"/>
        <w:right w:val="none" w:sz="0" w:space="0" w:color="auto"/>
      </w:divBdr>
    </w:div>
    <w:div w:id="1274244199">
      <w:bodyDiv w:val="1"/>
      <w:marLeft w:val="0"/>
      <w:marRight w:val="0"/>
      <w:marTop w:val="0"/>
      <w:marBottom w:val="0"/>
      <w:divBdr>
        <w:top w:val="none" w:sz="0" w:space="0" w:color="auto"/>
        <w:left w:val="none" w:sz="0" w:space="0" w:color="auto"/>
        <w:bottom w:val="none" w:sz="0" w:space="0" w:color="auto"/>
        <w:right w:val="none" w:sz="0" w:space="0" w:color="auto"/>
      </w:divBdr>
    </w:div>
    <w:div w:id="1274286494">
      <w:bodyDiv w:val="1"/>
      <w:marLeft w:val="0"/>
      <w:marRight w:val="0"/>
      <w:marTop w:val="0"/>
      <w:marBottom w:val="0"/>
      <w:divBdr>
        <w:top w:val="none" w:sz="0" w:space="0" w:color="auto"/>
        <w:left w:val="none" w:sz="0" w:space="0" w:color="auto"/>
        <w:bottom w:val="none" w:sz="0" w:space="0" w:color="auto"/>
        <w:right w:val="none" w:sz="0" w:space="0" w:color="auto"/>
      </w:divBdr>
    </w:div>
    <w:div w:id="1274288865">
      <w:bodyDiv w:val="1"/>
      <w:marLeft w:val="0"/>
      <w:marRight w:val="0"/>
      <w:marTop w:val="0"/>
      <w:marBottom w:val="0"/>
      <w:divBdr>
        <w:top w:val="none" w:sz="0" w:space="0" w:color="auto"/>
        <w:left w:val="none" w:sz="0" w:space="0" w:color="auto"/>
        <w:bottom w:val="none" w:sz="0" w:space="0" w:color="auto"/>
        <w:right w:val="none" w:sz="0" w:space="0" w:color="auto"/>
      </w:divBdr>
    </w:div>
    <w:div w:id="1274291741">
      <w:bodyDiv w:val="1"/>
      <w:marLeft w:val="0"/>
      <w:marRight w:val="0"/>
      <w:marTop w:val="0"/>
      <w:marBottom w:val="0"/>
      <w:divBdr>
        <w:top w:val="none" w:sz="0" w:space="0" w:color="auto"/>
        <w:left w:val="none" w:sz="0" w:space="0" w:color="auto"/>
        <w:bottom w:val="none" w:sz="0" w:space="0" w:color="auto"/>
        <w:right w:val="none" w:sz="0" w:space="0" w:color="auto"/>
      </w:divBdr>
    </w:div>
    <w:div w:id="1274433277">
      <w:bodyDiv w:val="1"/>
      <w:marLeft w:val="0"/>
      <w:marRight w:val="0"/>
      <w:marTop w:val="0"/>
      <w:marBottom w:val="0"/>
      <w:divBdr>
        <w:top w:val="none" w:sz="0" w:space="0" w:color="auto"/>
        <w:left w:val="none" w:sz="0" w:space="0" w:color="auto"/>
        <w:bottom w:val="none" w:sz="0" w:space="0" w:color="auto"/>
        <w:right w:val="none" w:sz="0" w:space="0" w:color="auto"/>
      </w:divBdr>
    </w:div>
    <w:div w:id="1274480026">
      <w:bodyDiv w:val="1"/>
      <w:marLeft w:val="0"/>
      <w:marRight w:val="0"/>
      <w:marTop w:val="0"/>
      <w:marBottom w:val="0"/>
      <w:divBdr>
        <w:top w:val="none" w:sz="0" w:space="0" w:color="auto"/>
        <w:left w:val="none" w:sz="0" w:space="0" w:color="auto"/>
        <w:bottom w:val="none" w:sz="0" w:space="0" w:color="auto"/>
        <w:right w:val="none" w:sz="0" w:space="0" w:color="auto"/>
      </w:divBdr>
    </w:div>
    <w:div w:id="1274703731">
      <w:bodyDiv w:val="1"/>
      <w:marLeft w:val="0"/>
      <w:marRight w:val="0"/>
      <w:marTop w:val="0"/>
      <w:marBottom w:val="0"/>
      <w:divBdr>
        <w:top w:val="none" w:sz="0" w:space="0" w:color="auto"/>
        <w:left w:val="none" w:sz="0" w:space="0" w:color="auto"/>
        <w:bottom w:val="none" w:sz="0" w:space="0" w:color="auto"/>
        <w:right w:val="none" w:sz="0" w:space="0" w:color="auto"/>
      </w:divBdr>
    </w:div>
    <w:div w:id="1274745183">
      <w:bodyDiv w:val="1"/>
      <w:marLeft w:val="0"/>
      <w:marRight w:val="0"/>
      <w:marTop w:val="0"/>
      <w:marBottom w:val="0"/>
      <w:divBdr>
        <w:top w:val="none" w:sz="0" w:space="0" w:color="auto"/>
        <w:left w:val="none" w:sz="0" w:space="0" w:color="auto"/>
        <w:bottom w:val="none" w:sz="0" w:space="0" w:color="auto"/>
        <w:right w:val="none" w:sz="0" w:space="0" w:color="auto"/>
      </w:divBdr>
    </w:div>
    <w:div w:id="1274746923">
      <w:bodyDiv w:val="1"/>
      <w:marLeft w:val="0"/>
      <w:marRight w:val="0"/>
      <w:marTop w:val="0"/>
      <w:marBottom w:val="0"/>
      <w:divBdr>
        <w:top w:val="none" w:sz="0" w:space="0" w:color="auto"/>
        <w:left w:val="none" w:sz="0" w:space="0" w:color="auto"/>
        <w:bottom w:val="none" w:sz="0" w:space="0" w:color="auto"/>
        <w:right w:val="none" w:sz="0" w:space="0" w:color="auto"/>
      </w:divBdr>
    </w:div>
    <w:div w:id="1274823235">
      <w:bodyDiv w:val="1"/>
      <w:marLeft w:val="0"/>
      <w:marRight w:val="0"/>
      <w:marTop w:val="0"/>
      <w:marBottom w:val="0"/>
      <w:divBdr>
        <w:top w:val="none" w:sz="0" w:space="0" w:color="auto"/>
        <w:left w:val="none" w:sz="0" w:space="0" w:color="auto"/>
        <w:bottom w:val="none" w:sz="0" w:space="0" w:color="auto"/>
        <w:right w:val="none" w:sz="0" w:space="0" w:color="auto"/>
      </w:divBdr>
    </w:div>
    <w:div w:id="1274900067">
      <w:bodyDiv w:val="1"/>
      <w:marLeft w:val="0"/>
      <w:marRight w:val="0"/>
      <w:marTop w:val="0"/>
      <w:marBottom w:val="0"/>
      <w:divBdr>
        <w:top w:val="none" w:sz="0" w:space="0" w:color="auto"/>
        <w:left w:val="none" w:sz="0" w:space="0" w:color="auto"/>
        <w:bottom w:val="none" w:sz="0" w:space="0" w:color="auto"/>
        <w:right w:val="none" w:sz="0" w:space="0" w:color="auto"/>
      </w:divBdr>
    </w:div>
    <w:div w:id="1274940141">
      <w:bodyDiv w:val="1"/>
      <w:marLeft w:val="0"/>
      <w:marRight w:val="0"/>
      <w:marTop w:val="0"/>
      <w:marBottom w:val="0"/>
      <w:divBdr>
        <w:top w:val="none" w:sz="0" w:space="0" w:color="auto"/>
        <w:left w:val="none" w:sz="0" w:space="0" w:color="auto"/>
        <w:bottom w:val="none" w:sz="0" w:space="0" w:color="auto"/>
        <w:right w:val="none" w:sz="0" w:space="0" w:color="auto"/>
      </w:divBdr>
    </w:div>
    <w:div w:id="1274940411">
      <w:bodyDiv w:val="1"/>
      <w:marLeft w:val="0"/>
      <w:marRight w:val="0"/>
      <w:marTop w:val="0"/>
      <w:marBottom w:val="0"/>
      <w:divBdr>
        <w:top w:val="none" w:sz="0" w:space="0" w:color="auto"/>
        <w:left w:val="none" w:sz="0" w:space="0" w:color="auto"/>
        <w:bottom w:val="none" w:sz="0" w:space="0" w:color="auto"/>
        <w:right w:val="none" w:sz="0" w:space="0" w:color="auto"/>
      </w:divBdr>
    </w:div>
    <w:div w:id="1274940593">
      <w:bodyDiv w:val="1"/>
      <w:marLeft w:val="0"/>
      <w:marRight w:val="0"/>
      <w:marTop w:val="0"/>
      <w:marBottom w:val="0"/>
      <w:divBdr>
        <w:top w:val="none" w:sz="0" w:space="0" w:color="auto"/>
        <w:left w:val="none" w:sz="0" w:space="0" w:color="auto"/>
        <w:bottom w:val="none" w:sz="0" w:space="0" w:color="auto"/>
        <w:right w:val="none" w:sz="0" w:space="0" w:color="auto"/>
      </w:divBdr>
    </w:div>
    <w:div w:id="1274940678">
      <w:bodyDiv w:val="1"/>
      <w:marLeft w:val="0"/>
      <w:marRight w:val="0"/>
      <w:marTop w:val="0"/>
      <w:marBottom w:val="0"/>
      <w:divBdr>
        <w:top w:val="none" w:sz="0" w:space="0" w:color="auto"/>
        <w:left w:val="none" w:sz="0" w:space="0" w:color="auto"/>
        <w:bottom w:val="none" w:sz="0" w:space="0" w:color="auto"/>
        <w:right w:val="none" w:sz="0" w:space="0" w:color="auto"/>
      </w:divBdr>
    </w:div>
    <w:div w:id="1274946248">
      <w:bodyDiv w:val="1"/>
      <w:marLeft w:val="0"/>
      <w:marRight w:val="0"/>
      <w:marTop w:val="0"/>
      <w:marBottom w:val="0"/>
      <w:divBdr>
        <w:top w:val="none" w:sz="0" w:space="0" w:color="auto"/>
        <w:left w:val="none" w:sz="0" w:space="0" w:color="auto"/>
        <w:bottom w:val="none" w:sz="0" w:space="0" w:color="auto"/>
        <w:right w:val="none" w:sz="0" w:space="0" w:color="auto"/>
      </w:divBdr>
    </w:div>
    <w:div w:id="1275019196">
      <w:bodyDiv w:val="1"/>
      <w:marLeft w:val="0"/>
      <w:marRight w:val="0"/>
      <w:marTop w:val="0"/>
      <w:marBottom w:val="0"/>
      <w:divBdr>
        <w:top w:val="none" w:sz="0" w:space="0" w:color="auto"/>
        <w:left w:val="none" w:sz="0" w:space="0" w:color="auto"/>
        <w:bottom w:val="none" w:sz="0" w:space="0" w:color="auto"/>
        <w:right w:val="none" w:sz="0" w:space="0" w:color="auto"/>
      </w:divBdr>
    </w:div>
    <w:div w:id="1275089036">
      <w:bodyDiv w:val="1"/>
      <w:marLeft w:val="0"/>
      <w:marRight w:val="0"/>
      <w:marTop w:val="0"/>
      <w:marBottom w:val="0"/>
      <w:divBdr>
        <w:top w:val="none" w:sz="0" w:space="0" w:color="auto"/>
        <w:left w:val="none" w:sz="0" w:space="0" w:color="auto"/>
        <w:bottom w:val="none" w:sz="0" w:space="0" w:color="auto"/>
        <w:right w:val="none" w:sz="0" w:space="0" w:color="auto"/>
      </w:divBdr>
    </w:div>
    <w:div w:id="1275134196">
      <w:bodyDiv w:val="1"/>
      <w:marLeft w:val="0"/>
      <w:marRight w:val="0"/>
      <w:marTop w:val="0"/>
      <w:marBottom w:val="0"/>
      <w:divBdr>
        <w:top w:val="none" w:sz="0" w:space="0" w:color="auto"/>
        <w:left w:val="none" w:sz="0" w:space="0" w:color="auto"/>
        <w:bottom w:val="none" w:sz="0" w:space="0" w:color="auto"/>
        <w:right w:val="none" w:sz="0" w:space="0" w:color="auto"/>
      </w:divBdr>
    </w:div>
    <w:div w:id="1275478360">
      <w:bodyDiv w:val="1"/>
      <w:marLeft w:val="0"/>
      <w:marRight w:val="0"/>
      <w:marTop w:val="0"/>
      <w:marBottom w:val="0"/>
      <w:divBdr>
        <w:top w:val="none" w:sz="0" w:space="0" w:color="auto"/>
        <w:left w:val="none" w:sz="0" w:space="0" w:color="auto"/>
        <w:bottom w:val="none" w:sz="0" w:space="0" w:color="auto"/>
        <w:right w:val="none" w:sz="0" w:space="0" w:color="auto"/>
      </w:divBdr>
    </w:div>
    <w:div w:id="1275480789">
      <w:bodyDiv w:val="1"/>
      <w:marLeft w:val="0"/>
      <w:marRight w:val="0"/>
      <w:marTop w:val="0"/>
      <w:marBottom w:val="0"/>
      <w:divBdr>
        <w:top w:val="none" w:sz="0" w:space="0" w:color="auto"/>
        <w:left w:val="none" w:sz="0" w:space="0" w:color="auto"/>
        <w:bottom w:val="none" w:sz="0" w:space="0" w:color="auto"/>
        <w:right w:val="none" w:sz="0" w:space="0" w:color="auto"/>
      </w:divBdr>
    </w:div>
    <w:div w:id="1275594266">
      <w:bodyDiv w:val="1"/>
      <w:marLeft w:val="0"/>
      <w:marRight w:val="0"/>
      <w:marTop w:val="0"/>
      <w:marBottom w:val="0"/>
      <w:divBdr>
        <w:top w:val="none" w:sz="0" w:space="0" w:color="auto"/>
        <w:left w:val="none" w:sz="0" w:space="0" w:color="auto"/>
        <w:bottom w:val="none" w:sz="0" w:space="0" w:color="auto"/>
        <w:right w:val="none" w:sz="0" w:space="0" w:color="auto"/>
      </w:divBdr>
    </w:div>
    <w:div w:id="1275600867">
      <w:bodyDiv w:val="1"/>
      <w:marLeft w:val="0"/>
      <w:marRight w:val="0"/>
      <w:marTop w:val="0"/>
      <w:marBottom w:val="0"/>
      <w:divBdr>
        <w:top w:val="none" w:sz="0" w:space="0" w:color="auto"/>
        <w:left w:val="none" w:sz="0" w:space="0" w:color="auto"/>
        <w:bottom w:val="none" w:sz="0" w:space="0" w:color="auto"/>
        <w:right w:val="none" w:sz="0" w:space="0" w:color="auto"/>
      </w:divBdr>
    </w:div>
    <w:div w:id="1275601169">
      <w:bodyDiv w:val="1"/>
      <w:marLeft w:val="0"/>
      <w:marRight w:val="0"/>
      <w:marTop w:val="0"/>
      <w:marBottom w:val="0"/>
      <w:divBdr>
        <w:top w:val="none" w:sz="0" w:space="0" w:color="auto"/>
        <w:left w:val="none" w:sz="0" w:space="0" w:color="auto"/>
        <w:bottom w:val="none" w:sz="0" w:space="0" w:color="auto"/>
        <w:right w:val="none" w:sz="0" w:space="0" w:color="auto"/>
      </w:divBdr>
    </w:div>
    <w:div w:id="1275675962">
      <w:bodyDiv w:val="1"/>
      <w:marLeft w:val="0"/>
      <w:marRight w:val="0"/>
      <w:marTop w:val="0"/>
      <w:marBottom w:val="0"/>
      <w:divBdr>
        <w:top w:val="none" w:sz="0" w:space="0" w:color="auto"/>
        <w:left w:val="none" w:sz="0" w:space="0" w:color="auto"/>
        <w:bottom w:val="none" w:sz="0" w:space="0" w:color="auto"/>
        <w:right w:val="none" w:sz="0" w:space="0" w:color="auto"/>
      </w:divBdr>
    </w:div>
    <w:div w:id="1275752406">
      <w:bodyDiv w:val="1"/>
      <w:marLeft w:val="0"/>
      <w:marRight w:val="0"/>
      <w:marTop w:val="0"/>
      <w:marBottom w:val="0"/>
      <w:divBdr>
        <w:top w:val="none" w:sz="0" w:space="0" w:color="auto"/>
        <w:left w:val="none" w:sz="0" w:space="0" w:color="auto"/>
        <w:bottom w:val="none" w:sz="0" w:space="0" w:color="auto"/>
        <w:right w:val="none" w:sz="0" w:space="0" w:color="auto"/>
      </w:divBdr>
    </w:div>
    <w:div w:id="1275944271">
      <w:bodyDiv w:val="1"/>
      <w:marLeft w:val="0"/>
      <w:marRight w:val="0"/>
      <w:marTop w:val="0"/>
      <w:marBottom w:val="0"/>
      <w:divBdr>
        <w:top w:val="none" w:sz="0" w:space="0" w:color="auto"/>
        <w:left w:val="none" w:sz="0" w:space="0" w:color="auto"/>
        <w:bottom w:val="none" w:sz="0" w:space="0" w:color="auto"/>
        <w:right w:val="none" w:sz="0" w:space="0" w:color="auto"/>
      </w:divBdr>
    </w:div>
    <w:div w:id="1276057049">
      <w:bodyDiv w:val="1"/>
      <w:marLeft w:val="0"/>
      <w:marRight w:val="0"/>
      <w:marTop w:val="0"/>
      <w:marBottom w:val="0"/>
      <w:divBdr>
        <w:top w:val="none" w:sz="0" w:space="0" w:color="auto"/>
        <w:left w:val="none" w:sz="0" w:space="0" w:color="auto"/>
        <w:bottom w:val="none" w:sz="0" w:space="0" w:color="auto"/>
        <w:right w:val="none" w:sz="0" w:space="0" w:color="auto"/>
      </w:divBdr>
    </w:div>
    <w:div w:id="1276131543">
      <w:bodyDiv w:val="1"/>
      <w:marLeft w:val="0"/>
      <w:marRight w:val="0"/>
      <w:marTop w:val="0"/>
      <w:marBottom w:val="0"/>
      <w:divBdr>
        <w:top w:val="none" w:sz="0" w:space="0" w:color="auto"/>
        <w:left w:val="none" w:sz="0" w:space="0" w:color="auto"/>
        <w:bottom w:val="none" w:sz="0" w:space="0" w:color="auto"/>
        <w:right w:val="none" w:sz="0" w:space="0" w:color="auto"/>
      </w:divBdr>
    </w:div>
    <w:div w:id="1276399680">
      <w:bodyDiv w:val="1"/>
      <w:marLeft w:val="0"/>
      <w:marRight w:val="0"/>
      <w:marTop w:val="0"/>
      <w:marBottom w:val="0"/>
      <w:divBdr>
        <w:top w:val="none" w:sz="0" w:space="0" w:color="auto"/>
        <w:left w:val="none" w:sz="0" w:space="0" w:color="auto"/>
        <w:bottom w:val="none" w:sz="0" w:space="0" w:color="auto"/>
        <w:right w:val="none" w:sz="0" w:space="0" w:color="auto"/>
      </w:divBdr>
    </w:div>
    <w:div w:id="1276400867">
      <w:bodyDiv w:val="1"/>
      <w:marLeft w:val="0"/>
      <w:marRight w:val="0"/>
      <w:marTop w:val="0"/>
      <w:marBottom w:val="0"/>
      <w:divBdr>
        <w:top w:val="none" w:sz="0" w:space="0" w:color="auto"/>
        <w:left w:val="none" w:sz="0" w:space="0" w:color="auto"/>
        <w:bottom w:val="none" w:sz="0" w:space="0" w:color="auto"/>
        <w:right w:val="none" w:sz="0" w:space="0" w:color="auto"/>
      </w:divBdr>
    </w:div>
    <w:div w:id="1276445642">
      <w:bodyDiv w:val="1"/>
      <w:marLeft w:val="0"/>
      <w:marRight w:val="0"/>
      <w:marTop w:val="0"/>
      <w:marBottom w:val="0"/>
      <w:divBdr>
        <w:top w:val="none" w:sz="0" w:space="0" w:color="auto"/>
        <w:left w:val="none" w:sz="0" w:space="0" w:color="auto"/>
        <w:bottom w:val="none" w:sz="0" w:space="0" w:color="auto"/>
        <w:right w:val="none" w:sz="0" w:space="0" w:color="auto"/>
      </w:divBdr>
    </w:div>
    <w:div w:id="1276475736">
      <w:bodyDiv w:val="1"/>
      <w:marLeft w:val="0"/>
      <w:marRight w:val="0"/>
      <w:marTop w:val="0"/>
      <w:marBottom w:val="0"/>
      <w:divBdr>
        <w:top w:val="none" w:sz="0" w:space="0" w:color="auto"/>
        <w:left w:val="none" w:sz="0" w:space="0" w:color="auto"/>
        <w:bottom w:val="none" w:sz="0" w:space="0" w:color="auto"/>
        <w:right w:val="none" w:sz="0" w:space="0" w:color="auto"/>
      </w:divBdr>
    </w:div>
    <w:div w:id="1276521587">
      <w:bodyDiv w:val="1"/>
      <w:marLeft w:val="0"/>
      <w:marRight w:val="0"/>
      <w:marTop w:val="0"/>
      <w:marBottom w:val="0"/>
      <w:divBdr>
        <w:top w:val="none" w:sz="0" w:space="0" w:color="auto"/>
        <w:left w:val="none" w:sz="0" w:space="0" w:color="auto"/>
        <w:bottom w:val="none" w:sz="0" w:space="0" w:color="auto"/>
        <w:right w:val="none" w:sz="0" w:space="0" w:color="auto"/>
      </w:divBdr>
    </w:div>
    <w:div w:id="1276523981">
      <w:bodyDiv w:val="1"/>
      <w:marLeft w:val="0"/>
      <w:marRight w:val="0"/>
      <w:marTop w:val="0"/>
      <w:marBottom w:val="0"/>
      <w:divBdr>
        <w:top w:val="none" w:sz="0" w:space="0" w:color="auto"/>
        <w:left w:val="none" w:sz="0" w:space="0" w:color="auto"/>
        <w:bottom w:val="none" w:sz="0" w:space="0" w:color="auto"/>
        <w:right w:val="none" w:sz="0" w:space="0" w:color="auto"/>
      </w:divBdr>
    </w:div>
    <w:div w:id="1276592762">
      <w:bodyDiv w:val="1"/>
      <w:marLeft w:val="0"/>
      <w:marRight w:val="0"/>
      <w:marTop w:val="0"/>
      <w:marBottom w:val="0"/>
      <w:divBdr>
        <w:top w:val="none" w:sz="0" w:space="0" w:color="auto"/>
        <w:left w:val="none" w:sz="0" w:space="0" w:color="auto"/>
        <w:bottom w:val="none" w:sz="0" w:space="0" w:color="auto"/>
        <w:right w:val="none" w:sz="0" w:space="0" w:color="auto"/>
      </w:divBdr>
    </w:div>
    <w:div w:id="1276715819">
      <w:bodyDiv w:val="1"/>
      <w:marLeft w:val="0"/>
      <w:marRight w:val="0"/>
      <w:marTop w:val="0"/>
      <w:marBottom w:val="0"/>
      <w:divBdr>
        <w:top w:val="none" w:sz="0" w:space="0" w:color="auto"/>
        <w:left w:val="none" w:sz="0" w:space="0" w:color="auto"/>
        <w:bottom w:val="none" w:sz="0" w:space="0" w:color="auto"/>
        <w:right w:val="none" w:sz="0" w:space="0" w:color="auto"/>
      </w:divBdr>
    </w:div>
    <w:div w:id="1276786561">
      <w:bodyDiv w:val="1"/>
      <w:marLeft w:val="0"/>
      <w:marRight w:val="0"/>
      <w:marTop w:val="0"/>
      <w:marBottom w:val="0"/>
      <w:divBdr>
        <w:top w:val="none" w:sz="0" w:space="0" w:color="auto"/>
        <w:left w:val="none" w:sz="0" w:space="0" w:color="auto"/>
        <w:bottom w:val="none" w:sz="0" w:space="0" w:color="auto"/>
        <w:right w:val="none" w:sz="0" w:space="0" w:color="auto"/>
      </w:divBdr>
    </w:div>
    <w:div w:id="1276794630">
      <w:bodyDiv w:val="1"/>
      <w:marLeft w:val="0"/>
      <w:marRight w:val="0"/>
      <w:marTop w:val="0"/>
      <w:marBottom w:val="0"/>
      <w:divBdr>
        <w:top w:val="none" w:sz="0" w:space="0" w:color="auto"/>
        <w:left w:val="none" w:sz="0" w:space="0" w:color="auto"/>
        <w:bottom w:val="none" w:sz="0" w:space="0" w:color="auto"/>
        <w:right w:val="none" w:sz="0" w:space="0" w:color="auto"/>
      </w:divBdr>
    </w:div>
    <w:div w:id="1276870314">
      <w:bodyDiv w:val="1"/>
      <w:marLeft w:val="0"/>
      <w:marRight w:val="0"/>
      <w:marTop w:val="0"/>
      <w:marBottom w:val="0"/>
      <w:divBdr>
        <w:top w:val="none" w:sz="0" w:space="0" w:color="auto"/>
        <w:left w:val="none" w:sz="0" w:space="0" w:color="auto"/>
        <w:bottom w:val="none" w:sz="0" w:space="0" w:color="auto"/>
        <w:right w:val="none" w:sz="0" w:space="0" w:color="auto"/>
      </w:divBdr>
    </w:div>
    <w:div w:id="1276985497">
      <w:bodyDiv w:val="1"/>
      <w:marLeft w:val="0"/>
      <w:marRight w:val="0"/>
      <w:marTop w:val="0"/>
      <w:marBottom w:val="0"/>
      <w:divBdr>
        <w:top w:val="none" w:sz="0" w:space="0" w:color="auto"/>
        <w:left w:val="none" w:sz="0" w:space="0" w:color="auto"/>
        <w:bottom w:val="none" w:sz="0" w:space="0" w:color="auto"/>
        <w:right w:val="none" w:sz="0" w:space="0" w:color="auto"/>
      </w:divBdr>
    </w:div>
    <w:div w:id="1276986298">
      <w:bodyDiv w:val="1"/>
      <w:marLeft w:val="0"/>
      <w:marRight w:val="0"/>
      <w:marTop w:val="0"/>
      <w:marBottom w:val="0"/>
      <w:divBdr>
        <w:top w:val="none" w:sz="0" w:space="0" w:color="auto"/>
        <w:left w:val="none" w:sz="0" w:space="0" w:color="auto"/>
        <w:bottom w:val="none" w:sz="0" w:space="0" w:color="auto"/>
        <w:right w:val="none" w:sz="0" w:space="0" w:color="auto"/>
      </w:divBdr>
    </w:div>
    <w:div w:id="1277100699">
      <w:bodyDiv w:val="1"/>
      <w:marLeft w:val="0"/>
      <w:marRight w:val="0"/>
      <w:marTop w:val="0"/>
      <w:marBottom w:val="0"/>
      <w:divBdr>
        <w:top w:val="none" w:sz="0" w:space="0" w:color="auto"/>
        <w:left w:val="none" w:sz="0" w:space="0" w:color="auto"/>
        <w:bottom w:val="none" w:sz="0" w:space="0" w:color="auto"/>
        <w:right w:val="none" w:sz="0" w:space="0" w:color="auto"/>
      </w:divBdr>
    </w:div>
    <w:div w:id="1277101578">
      <w:bodyDiv w:val="1"/>
      <w:marLeft w:val="0"/>
      <w:marRight w:val="0"/>
      <w:marTop w:val="0"/>
      <w:marBottom w:val="0"/>
      <w:divBdr>
        <w:top w:val="none" w:sz="0" w:space="0" w:color="auto"/>
        <w:left w:val="none" w:sz="0" w:space="0" w:color="auto"/>
        <w:bottom w:val="none" w:sz="0" w:space="0" w:color="auto"/>
        <w:right w:val="none" w:sz="0" w:space="0" w:color="auto"/>
      </w:divBdr>
    </w:div>
    <w:div w:id="1277250173">
      <w:bodyDiv w:val="1"/>
      <w:marLeft w:val="0"/>
      <w:marRight w:val="0"/>
      <w:marTop w:val="0"/>
      <w:marBottom w:val="0"/>
      <w:divBdr>
        <w:top w:val="none" w:sz="0" w:space="0" w:color="auto"/>
        <w:left w:val="none" w:sz="0" w:space="0" w:color="auto"/>
        <w:bottom w:val="none" w:sz="0" w:space="0" w:color="auto"/>
        <w:right w:val="none" w:sz="0" w:space="0" w:color="auto"/>
      </w:divBdr>
    </w:div>
    <w:div w:id="1277253881">
      <w:bodyDiv w:val="1"/>
      <w:marLeft w:val="0"/>
      <w:marRight w:val="0"/>
      <w:marTop w:val="0"/>
      <w:marBottom w:val="0"/>
      <w:divBdr>
        <w:top w:val="none" w:sz="0" w:space="0" w:color="auto"/>
        <w:left w:val="none" w:sz="0" w:space="0" w:color="auto"/>
        <w:bottom w:val="none" w:sz="0" w:space="0" w:color="auto"/>
        <w:right w:val="none" w:sz="0" w:space="0" w:color="auto"/>
      </w:divBdr>
    </w:div>
    <w:div w:id="1277328801">
      <w:bodyDiv w:val="1"/>
      <w:marLeft w:val="0"/>
      <w:marRight w:val="0"/>
      <w:marTop w:val="0"/>
      <w:marBottom w:val="0"/>
      <w:divBdr>
        <w:top w:val="none" w:sz="0" w:space="0" w:color="auto"/>
        <w:left w:val="none" w:sz="0" w:space="0" w:color="auto"/>
        <w:bottom w:val="none" w:sz="0" w:space="0" w:color="auto"/>
        <w:right w:val="none" w:sz="0" w:space="0" w:color="auto"/>
      </w:divBdr>
    </w:div>
    <w:div w:id="1277368731">
      <w:bodyDiv w:val="1"/>
      <w:marLeft w:val="0"/>
      <w:marRight w:val="0"/>
      <w:marTop w:val="0"/>
      <w:marBottom w:val="0"/>
      <w:divBdr>
        <w:top w:val="none" w:sz="0" w:space="0" w:color="auto"/>
        <w:left w:val="none" w:sz="0" w:space="0" w:color="auto"/>
        <w:bottom w:val="none" w:sz="0" w:space="0" w:color="auto"/>
        <w:right w:val="none" w:sz="0" w:space="0" w:color="auto"/>
      </w:divBdr>
    </w:div>
    <w:div w:id="1277374320">
      <w:bodyDiv w:val="1"/>
      <w:marLeft w:val="0"/>
      <w:marRight w:val="0"/>
      <w:marTop w:val="0"/>
      <w:marBottom w:val="0"/>
      <w:divBdr>
        <w:top w:val="none" w:sz="0" w:space="0" w:color="auto"/>
        <w:left w:val="none" w:sz="0" w:space="0" w:color="auto"/>
        <w:bottom w:val="none" w:sz="0" w:space="0" w:color="auto"/>
        <w:right w:val="none" w:sz="0" w:space="0" w:color="auto"/>
      </w:divBdr>
    </w:div>
    <w:div w:id="1277521358">
      <w:bodyDiv w:val="1"/>
      <w:marLeft w:val="0"/>
      <w:marRight w:val="0"/>
      <w:marTop w:val="0"/>
      <w:marBottom w:val="0"/>
      <w:divBdr>
        <w:top w:val="none" w:sz="0" w:space="0" w:color="auto"/>
        <w:left w:val="none" w:sz="0" w:space="0" w:color="auto"/>
        <w:bottom w:val="none" w:sz="0" w:space="0" w:color="auto"/>
        <w:right w:val="none" w:sz="0" w:space="0" w:color="auto"/>
      </w:divBdr>
    </w:div>
    <w:div w:id="1277523324">
      <w:bodyDiv w:val="1"/>
      <w:marLeft w:val="0"/>
      <w:marRight w:val="0"/>
      <w:marTop w:val="0"/>
      <w:marBottom w:val="0"/>
      <w:divBdr>
        <w:top w:val="none" w:sz="0" w:space="0" w:color="auto"/>
        <w:left w:val="none" w:sz="0" w:space="0" w:color="auto"/>
        <w:bottom w:val="none" w:sz="0" w:space="0" w:color="auto"/>
        <w:right w:val="none" w:sz="0" w:space="0" w:color="auto"/>
      </w:divBdr>
    </w:div>
    <w:div w:id="1277524069">
      <w:bodyDiv w:val="1"/>
      <w:marLeft w:val="0"/>
      <w:marRight w:val="0"/>
      <w:marTop w:val="0"/>
      <w:marBottom w:val="0"/>
      <w:divBdr>
        <w:top w:val="none" w:sz="0" w:space="0" w:color="auto"/>
        <w:left w:val="none" w:sz="0" w:space="0" w:color="auto"/>
        <w:bottom w:val="none" w:sz="0" w:space="0" w:color="auto"/>
        <w:right w:val="none" w:sz="0" w:space="0" w:color="auto"/>
      </w:divBdr>
    </w:div>
    <w:div w:id="1277757766">
      <w:bodyDiv w:val="1"/>
      <w:marLeft w:val="0"/>
      <w:marRight w:val="0"/>
      <w:marTop w:val="0"/>
      <w:marBottom w:val="0"/>
      <w:divBdr>
        <w:top w:val="none" w:sz="0" w:space="0" w:color="auto"/>
        <w:left w:val="none" w:sz="0" w:space="0" w:color="auto"/>
        <w:bottom w:val="none" w:sz="0" w:space="0" w:color="auto"/>
        <w:right w:val="none" w:sz="0" w:space="0" w:color="auto"/>
      </w:divBdr>
    </w:div>
    <w:div w:id="1277903959">
      <w:bodyDiv w:val="1"/>
      <w:marLeft w:val="0"/>
      <w:marRight w:val="0"/>
      <w:marTop w:val="0"/>
      <w:marBottom w:val="0"/>
      <w:divBdr>
        <w:top w:val="none" w:sz="0" w:space="0" w:color="auto"/>
        <w:left w:val="none" w:sz="0" w:space="0" w:color="auto"/>
        <w:bottom w:val="none" w:sz="0" w:space="0" w:color="auto"/>
        <w:right w:val="none" w:sz="0" w:space="0" w:color="auto"/>
      </w:divBdr>
    </w:div>
    <w:div w:id="1277910064">
      <w:bodyDiv w:val="1"/>
      <w:marLeft w:val="0"/>
      <w:marRight w:val="0"/>
      <w:marTop w:val="0"/>
      <w:marBottom w:val="0"/>
      <w:divBdr>
        <w:top w:val="none" w:sz="0" w:space="0" w:color="auto"/>
        <w:left w:val="none" w:sz="0" w:space="0" w:color="auto"/>
        <w:bottom w:val="none" w:sz="0" w:space="0" w:color="auto"/>
        <w:right w:val="none" w:sz="0" w:space="0" w:color="auto"/>
      </w:divBdr>
    </w:div>
    <w:div w:id="1278222704">
      <w:bodyDiv w:val="1"/>
      <w:marLeft w:val="0"/>
      <w:marRight w:val="0"/>
      <w:marTop w:val="0"/>
      <w:marBottom w:val="0"/>
      <w:divBdr>
        <w:top w:val="none" w:sz="0" w:space="0" w:color="auto"/>
        <w:left w:val="none" w:sz="0" w:space="0" w:color="auto"/>
        <w:bottom w:val="none" w:sz="0" w:space="0" w:color="auto"/>
        <w:right w:val="none" w:sz="0" w:space="0" w:color="auto"/>
      </w:divBdr>
    </w:div>
    <w:div w:id="1278490817">
      <w:bodyDiv w:val="1"/>
      <w:marLeft w:val="0"/>
      <w:marRight w:val="0"/>
      <w:marTop w:val="0"/>
      <w:marBottom w:val="0"/>
      <w:divBdr>
        <w:top w:val="none" w:sz="0" w:space="0" w:color="auto"/>
        <w:left w:val="none" w:sz="0" w:space="0" w:color="auto"/>
        <w:bottom w:val="none" w:sz="0" w:space="0" w:color="auto"/>
        <w:right w:val="none" w:sz="0" w:space="0" w:color="auto"/>
      </w:divBdr>
    </w:div>
    <w:div w:id="1278637212">
      <w:bodyDiv w:val="1"/>
      <w:marLeft w:val="0"/>
      <w:marRight w:val="0"/>
      <w:marTop w:val="0"/>
      <w:marBottom w:val="0"/>
      <w:divBdr>
        <w:top w:val="none" w:sz="0" w:space="0" w:color="auto"/>
        <w:left w:val="none" w:sz="0" w:space="0" w:color="auto"/>
        <w:bottom w:val="none" w:sz="0" w:space="0" w:color="auto"/>
        <w:right w:val="none" w:sz="0" w:space="0" w:color="auto"/>
      </w:divBdr>
    </w:div>
    <w:div w:id="1278680564">
      <w:bodyDiv w:val="1"/>
      <w:marLeft w:val="0"/>
      <w:marRight w:val="0"/>
      <w:marTop w:val="0"/>
      <w:marBottom w:val="0"/>
      <w:divBdr>
        <w:top w:val="none" w:sz="0" w:space="0" w:color="auto"/>
        <w:left w:val="none" w:sz="0" w:space="0" w:color="auto"/>
        <w:bottom w:val="none" w:sz="0" w:space="0" w:color="auto"/>
        <w:right w:val="none" w:sz="0" w:space="0" w:color="auto"/>
      </w:divBdr>
    </w:div>
    <w:div w:id="1278834870">
      <w:bodyDiv w:val="1"/>
      <w:marLeft w:val="0"/>
      <w:marRight w:val="0"/>
      <w:marTop w:val="0"/>
      <w:marBottom w:val="0"/>
      <w:divBdr>
        <w:top w:val="none" w:sz="0" w:space="0" w:color="auto"/>
        <w:left w:val="none" w:sz="0" w:space="0" w:color="auto"/>
        <w:bottom w:val="none" w:sz="0" w:space="0" w:color="auto"/>
        <w:right w:val="none" w:sz="0" w:space="0" w:color="auto"/>
      </w:divBdr>
    </w:div>
    <w:div w:id="1278870240">
      <w:bodyDiv w:val="1"/>
      <w:marLeft w:val="0"/>
      <w:marRight w:val="0"/>
      <w:marTop w:val="0"/>
      <w:marBottom w:val="0"/>
      <w:divBdr>
        <w:top w:val="none" w:sz="0" w:space="0" w:color="auto"/>
        <w:left w:val="none" w:sz="0" w:space="0" w:color="auto"/>
        <w:bottom w:val="none" w:sz="0" w:space="0" w:color="auto"/>
        <w:right w:val="none" w:sz="0" w:space="0" w:color="auto"/>
      </w:divBdr>
    </w:div>
    <w:div w:id="1278876097">
      <w:bodyDiv w:val="1"/>
      <w:marLeft w:val="0"/>
      <w:marRight w:val="0"/>
      <w:marTop w:val="0"/>
      <w:marBottom w:val="0"/>
      <w:divBdr>
        <w:top w:val="none" w:sz="0" w:space="0" w:color="auto"/>
        <w:left w:val="none" w:sz="0" w:space="0" w:color="auto"/>
        <w:bottom w:val="none" w:sz="0" w:space="0" w:color="auto"/>
        <w:right w:val="none" w:sz="0" w:space="0" w:color="auto"/>
      </w:divBdr>
    </w:div>
    <w:div w:id="1278877211">
      <w:bodyDiv w:val="1"/>
      <w:marLeft w:val="0"/>
      <w:marRight w:val="0"/>
      <w:marTop w:val="0"/>
      <w:marBottom w:val="0"/>
      <w:divBdr>
        <w:top w:val="none" w:sz="0" w:space="0" w:color="auto"/>
        <w:left w:val="none" w:sz="0" w:space="0" w:color="auto"/>
        <w:bottom w:val="none" w:sz="0" w:space="0" w:color="auto"/>
        <w:right w:val="none" w:sz="0" w:space="0" w:color="auto"/>
      </w:divBdr>
    </w:div>
    <w:div w:id="1278946526">
      <w:bodyDiv w:val="1"/>
      <w:marLeft w:val="0"/>
      <w:marRight w:val="0"/>
      <w:marTop w:val="0"/>
      <w:marBottom w:val="0"/>
      <w:divBdr>
        <w:top w:val="none" w:sz="0" w:space="0" w:color="auto"/>
        <w:left w:val="none" w:sz="0" w:space="0" w:color="auto"/>
        <w:bottom w:val="none" w:sz="0" w:space="0" w:color="auto"/>
        <w:right w:val="none" w:sz="0" w:space="0" w:color="auto"/>
      </w:divBdr>
    </w:div>
    <w:div w:id="1279095783">
      <w:bodyDiv w:val="1"/>
      <w:marLeft w:val="0"/>
      <w:marRight w:val="0"/>
      <w:marTop w:val="0"/>
      <w:marBottom w:val="0"/>
      <w:divBdr>
        <w:top w:val="none" w:sz="0" w:space="0" w:color="auto"/>
        <w:left w:val="none" w:sz="0" w:space="0" w:color="auto"/>
        <w:bottom w:val="none" w:sz="0" w:space="0" w:color="auto"/>
        <w:right w:val="none" w:sz="0" w:space="0" w:color="auto"/>
      </w:divBdr>
    </w:div>
    <w:div w:id="1279145581">
      <w:bodyDiv w:val="1"/>
      <w:marLeft w:val="0"/>
      <w:marRight w:val="0"/>
      <w:marTop w:val="0"/>
      <w:marBottom w:val="0"/>
      <w:divBdr>
        <w:top w:val="none" w:sz="0" w:space="0" w:color="auto"/>
        <w:left w:val="none" w:sz="0" w:space="0" w:color="auto"/>
        <w:bottom w:val="none" w:sz="0" w:space="0" w:color="auto"/>
        <w:right w:val="none" w:sz="0" w:space="0" w:color="auto"/>
      </w:divBdr>
    </w:div>
    <w:div w:id="1279293030">
      <w:bodyDiv w:val="1"/>
      <w:marLeft w:val="0"/>
      <w:marRight w:val="0"/>
      <w:marTop w:val="0"/>
      <w:marBottom w:val="0"/>
      <w:divBdr>
        <w:top w:val="none" w:sz="0" w:space="0" w:color="auto"/>
        <w:left w:val="none" w:sz="0" w:space="0" w:color="auto"/>
        <w:bottom w:val="none" w:sz="0" w:space="0" w:color="auto"/>
        <w:right w:val="none" w:sz="0" w:space="0" w:color="auto"/>
      </w:divBdr>
    </w:div>
    <w:div w:id="1279413774">
      <w:bodyDiv w:val="1"/>
      <w:marLeft w:val="0"/>
      <w:marRight w:val="0"/>
      <w:marTop w:val="0"/>
      <w:marBottom w:val="0"/>
      <w:divBdr>
        <w:top w:val="none" w:sz="0" w:space="0" w:color="auto"/>
        <w:left w:val="none" w:sz="0" w:space="0" w:color="auto"/>
        <w:bottom w:val="none" w:sz="0" w:space="0" w:color="auto"/>
        <w:right w:val="none" w:sz="0" w:space="0" w:color="auto"/>
      </w:divBdr>
    </w:div>
    <w:div w:id="1279414992">
      <w:bodyDiv w:val="1"/>
      <w:marLeft w:val="0"/>
      <w:marRight w:val="0"/>
      <w:marTop w:val="0"/>
      <w:marBottom w:val="0"/>
      <w:divBdr>
        <w:top w:val="none" w:sz="0" w:space="0" w:color="auto"/>
        <w:left w:val="none" w:sz="0" w:space="0" w:color="auto"/>
        <w:bottom w:val="none" w:sz="0" w:space="0" w:color="auto"/>
        <w:right w:val="none" w:sz="0" w:space="0" w:color="auto"/>
      </w:divBdr>
    </w:div>
    <w:div w:id="1279482812">
      <w:bodyDiv w:val="1"/>
      <w:marLeft w:val="0"/>
      <w:marRight w:val="0"/>
      <w:marTop w:val="0"/>
      <w:marBottom w:val="0"/>
      <w:divBdr>
        <w:top w:val="none" w:sz="0" w:space="0" w:color="auto"/>
        <w:left w:val="none" w:sz="0" w:space="0" w:color="auto"/>
        <w:bottom w:val="none" w:sz="0" w:space="0" w:color="auto"/>
        <w:right w:val="none" w:sz="0" w:space="0" w:color="auto"/>
      </w:divBdr>
    </w:div>
    <w:div w:id="1279530024">
      <w:bodyDiv w:val="1"/>
      <w:marLeft w:val="0"/>
      <w:marRight w:val="0"/>
      <w:marTop w:val="0"/>
      <w:marBottom w:val="0"/>
      <w:divBdr>
        <w:top w:val="none" w:sz="0" w:space="0" w:color="auto"/>
        <w:left w:val="none" w:sz="0" w:space="0" w:color="auto"/>
        <w:bottom w:val="none" w:sz="0" w:space="0" w:color="auto"/>
        <w:right w:val="none" w:sz="0" w:space="0" w:color="auto"/>
      </w:divBdr>
    </w:div>
    <w:div w:id="1279608081">
      <w:bodyDiv w:val="1"/>
      <w:marLeft w:val="0"/>
      <w:marRight w:val="0"/>
      <w:marTop w:val="0"/>
      <w:marBottom w:val="0"/>
      <w:divBdr>
        <w:top w:val="none" w:sz="0" w:space="0" w:color="auto"/>
        <w:left w:val="none" w:sz="0" w:space="0" w:color="auto"/>
        <w:bottom w:val="none" w:sz="0" w:space="0" w:color="auto"/>
        <w:right w:val="none" w:sz="0" w:space="0" w:color="auto"/>
      </w:divBdr>
    </w:div>
    <w:div w:id="1279796325">
      <w:bodyDiv w:val="1"/>
      <w:marLeft w:val="0"/>
      <w:marRight w:val="0"/>
      <w:marTop w:val="0"/>
      <w:marBottom w:val="0"/>
      <w:divBdr>
        <w:top w:val="none" w:sz="0" w:space="0" w:color="auto"/>
        <w:left w:val="none" w:sz="0" w:space="0" w:color="auto"/>
        <w:bottom w:val="none" w:sz="0" w:space="0" w:color="auto"/>
        <w:right w:val="none" w:sz="0" w:space="0" w:color="auto"/>
      </w:divBdr>
    </w:div>
    <w:div w:id="1279918835">
      <w:bodyDiv w:val="1"/>
      <w:marLeft w:val="0"/>
      <w:marRight w:val="0"/>
      <w:marTop w:val="0"/>
      <w:marBottom w:val="0"/>
      <w:divBdr>
        <w:top w:val="none" w:sz="0" w:space="0" w:color="auto"/>
        <w:left w:val="none" w:sz="0" w:space="0" w:color="auto"/>
        <w:bottom w:val="none" w:sz="0" w:space="0" w:color="auto"/>
        <w:right w:val="none" w:sz="0" w:space="0" w:color="auto"/>
      </w:divBdr>
    </w:div>
    <w:div w:id="1280066252">
      <w:bodyDiv w:val="1"/>
      <w:marLeft w:val="0"/>
      <w:marRight w:val="0"/>
      <w:marTop w:val="0"/>
      <w:marBottom w:val="0"/>
      <w:divBdr>
        <w:top w:val="none" w:sz="0" w:space="0" w:color="auto"/>
        <w:left w:val="none" w:sz="0" w:space="0" w:color="auto"/>
        <w:bottom w:val="none" w:sz="0" w:space="0" w:color="auto"/>
        <w:right w:val="none" w:sz="0" w:space="0" w:color="auto"/>
      </w:divBdr>
    </w:div>
    <w:div w:id="1280070043">
      <w:bodyDiv w:val="1"/>
      <w:marLeft w:val="0"/>
      <w:marRight w:val="0"/>
      <w:marTop w:val="0"/>
      <w:marBottom w:val="0"/>
      <w:divBdr>
        <w:top w:val="none" w:sz="0" w:space="0" w:color="auto"/>
        <w:left w:val="none" w:sz="0" w:space="0" w:color="auto"/>
        <w:bottom w:val="none" w:sz="0" w:space="0" w:color="auto"/>
        <w:right w:val="none" w:sz="0" w:space="0" w:color="auto"/>
      </w:divBdr>
    </w:div>
    <w:div w:id="1280147008">
      <w:bodyDiv w:val="1"/>
      <w:marLeft w:val="0"/>
      <w:marRight w:val="0"/>
      <w:marTop w:val="0"/>
      <w:marBottom w:val="0"/>
      <w:divBdr>
        <w:top w:val="none" w:sz="0" w:space="0" w:color="auto"/>
        <w:left w:val="none" w:sz="0" w:space="0" w:color="auto"/>
        <w:bottom w:val="none" w:sz="0" w:space="0" w:color="auto"/>
        <w:right w:val="none" w:sz="0" w:space="0" w:color="auto"/>
      </w:divBdr>
    </w:div>
    <w:div w:id="1280186144">
      <w:bodyDiv w:val="1"/>
      <w:marLeft w:val="0"/>
      <w:marRight w:val="0"/>
      <w:marTop w:val="0"/>
      <w:marBottom w:val="0"/>
      <w:divBdr>
        <w:top w:val="none" w:sz="0" w:space="0" w:color="auto"/>
        <w:left w:val="none" w:sz="0" w:space="0" w:color="auto"/>
        <w:bottom w:val="none" w:sz="0" w:space="0" w:color="auto"/>
        <w:right w:val="none" w:sz="0" w:space="0" w:color="auto"/>
      </w:divBdr>
    </w:div>
    <w:div w:id="1280380070">
      <w:bodyDiv w:val="1"/>
      <w:marLeft w:val="0"/>
      <w:marRight w:val="0"/>
      <w:marTop w:val="0"/>
      <w:marBottom w:val="0"/>
      <w:divBdr>
        <w:top w:val="none" w:sz="0" w:space="0" w:color="auto"/>
        <w:left w:val="none" w:sz="0" w:space="0" w:color="auto"/>
        <w:bottom w:val="none" w:sz="0" w:space="0" w:color="auto"/>
        <w:right w:val="none" w:sz="0" w:space="0" w:color="auto"/>
      </w:divBdr>
    </w:div>
    <w:div w:id="1280451383">
      <w:bodyDiv w:val="1"/>
      <w:marLeft w:val="0"/>
      <w:marRight w:val="0"/>
      <w:marTop w:val="0"/>
      <w:marBottom w:val="0"/>
      <w:divBdr>
        <w:top w:val="none" w:sz="0" w:space="0" w:color="auto"/>
        <w:left w:val="none" w:sz="0" w:space="0" w:color="auto"/>
        <w:bottom w:val="none" w:sz="0" w:space="0" w:color="auto"/>
        <w:right w:val="none" w:sz="0" w:space="0" w:color="auto"/>
      </w:divBdr>
    </w:div>
    <w:div w:id="1280458242">
      <w:bodyDiv w:val="1"/>
      <w:marLeft w:val="0"/>
      <w:marRight w:val="0"/>
      <w:marTop w:val="0"/>
      <w:marBottom w:val="0"/>
      <w:divBdr>
        <w:top w:val="none" w:sz="0" w:space="0" w:color="auto"/>
        <w:left w:val="none" w:sz="0" w:space="0" w:color="auto"/>
        <w:bottom w:val="none" w:sz="0" w:space="0" w:color="auto"/>
        <w:right w:val="none" w:sz="0" w:space="0" w:color="auto"/>
      </w:divBdr>
    </w:div>
    <w:div w:id="1280574019">
      <w:bodyDiv w:val="1"/>
      <w:marLeft w:val="0"/>
      <w:marRight w:val="0"/>
      <w:marTop w:val="0"/>
      <w:marBottom w:val="0"/>
      <w:divBdr>
        <w:top w:val="none" w:sz="0" w:space="0" w:color="auto"/>
        <w:left w:val="none" w:sz="0" w:space="0" w:color="auto"/>
        <w:bottom w:val="none" w:sz="0" w:space="0" w:color="auto"/>
        <w:right w:val="none" w:sz="0" w:space="0" w:color="auto"/>
      </w:divBdr>
    </w:div>
    <w:div w:id="1280718784">
      <w:bodyDiv w:val="1"/>
      <w:marLeft w:val="0"/>
      <w:marRight w:val="0"/>
      <w:marTop w:val="0"/>
      <w:marBottom w:val="0"/>
      <w:divBdr>
        <w:top w:val="none" w:sz="0" w:space="0" w:color="auto"/>
        <w:left w:val="none" w:sz="0" w:space="0" w:color="auto"/>
        <w:bottom w:val="none" w:sz="0" w:space="0" w:color="auto"/>
        <w:right w:val="none" w:sz="0" w:space="0" w:color="auto"/>
      </w:divBdr>
    </w:div>
    <w:div w:id="1280721698">
      <w:bodyDiv w:val="1"/>
      <w:marLeft w:val="0"/>
      <w:marRight w:val="0"/>
      <w:marTop w:val="0"/>
      <w:marBottom w:val="0"/>
      <w:divBdr>
        <w:top w:val="none" w:sz="0" w:space="0" w:color="auto"/>
        <w:left w:val="none" w:sz="0" w:space="0" w:color="auto"/>
        <w:bottom w:val="none" w:sz="0" w:space="0" w:color="auto"/>
        <w:right w:val="none" w:sz="0" w:space="0" w:color="auto"/>
      </w:divBdr>
    </w:div>
    <w:div w:id="1280800229">
      <w:bodyDiv w:val="1"/>
      <w:marLeft w:val="0"/>
      <w:marRight w:val="0"/>
      <w:marTop w:val="0"/>
      <w:marBottom w:val="0"/>
      <w:divBdr>
        <w:top w:val="none" w:sz="0" w:space="0" w:color="auto"/>
        <w:left w:val="none" w:sz="0" w:space="0" w:color="auto"/>
        <w:bottom w:val="none" w:sz="0" w:space="0" w:color="auto"/>
        <w:right w:val="none" w:sz="0" w:space="0" w:color="auto"/>
      </w:divBdr>
    </w:div>
    <w:div w:id="1280800530">
      <w:bodyDiv w:val="1"/>
      <w:marLeft w:val="0"/>
      <w:marRight w:val="0"/>
      <w:marTop w:val="0"/>
      <w:marBottom w:val="0"/>
      <w:divBdr>
        <w:top w:val="none" w:sz="0" w:space="0" w:color="auto"/>
        <w:left w:val="none" w:sz="0" w:space="0" w:color="auto"/>
        <w:bottom w:val="none" w:sz="0" w:space="0" w:color="auto"/>
        <w:right w:val="none" w:sz="0" w:space="0" w:color="auto"/>
      </w:divBdr>
    </w:div>
    <w:div w:id="1280912746">
      <w:bodyDiv w:val="1"/>
      <w:marLeft w:val="0"/>
      <w:marRight w:val="0"/>
      <w:marTop w:val="0"/>
      <w:marBottom w:val="0"/>
      <w:divBdr>
        <w:top w:val="none" w:sz="0" w:space="0" w:color="auto"/>
        <w:left w:val="none" w:sz="0" w:space="0" w:color="auto"/>
        <w:bottom w:val="none" w:sz="0" w:space="0" w:color="auto"/>
        <w:right w:val="none" w:sz="0" w:space="0" w:color="auto"/>
      </w:divBdr>
    </w:div>
    <w:div w:id="1280986961">
      <w:bodyDiv w:val="1"/>
      <w:marLeft w:val="0"/>
      <w:marRight w:val="0"/>
      <w:marTop w:val="0"/>
      <w:marBottom w:val="0"/>
      <w:divBdr>
        <w:top w:val="none" w:sz="0" w:space="0" w:color="auto"/>
        <w:left w:val="none" w:sz="0" w:space="0" w:color="auto"/>
        <w:bottom w:val="none" w:sz="0" w:space="0" w:color="auto"/>
        <w:right w:val="none" w:sz="0" w:space="0" w:color="auto"/>
      </w:divBdr>
    </w:div>
    <w:div w:id="1280989489">
      <w:bodyDiv w:val="1"/>
      <w:marLeft w:val="0"/>
      <w:marRight w:val="0"/>
      <w:marTop w:val="0"/>
      <w:marBottom w:val="0"/>
      <w:divBdr>
        <w:top w:val="none" w:sz="0" w:space="0" w:color="auto"/>
        <w:left w:val="none" w:sz="0" w:space="0" w:color="auto"/>
        <w:bottom w:val="none" w:sz="0" w:space="0" w:color="auto"/>
        <w:right w:val="none" w:sz="0" w:space="0" w:color="auto"/>
      </w:divBdr>
    </w:div>
    <w:div w:id="1280994110">
      <w:bodyDiv w:val="1"/>
      <w:marLeft w:val="0"/>
      <w:marRight w:val="0"/>
      <w:marTop w:val="0"/>
      <w:marBottom w:val="0"/>
      <w:divBdr>
        <w:top w:val="none" w:sz="0" w:space="0" w:color="auto"/>
        <w:left w:val="none" w:sz="0" w:space="0" w:color="auto"/>
        <w:bottom w:val="none" w:sz="0" w:space="0" w:color="auto"/>
        <w:right w:val="none" w:sz="0" w:space="0" w:color="auto"/>
      </w:divBdr>
    </w:div>
    <w:div w:id="1281300796">
      <w:bodyDiv w:val="1"/>
      <w:marLeft w:val="0"/>
      <w:marRight w:val="0"/>
      <w:marTop w:val="0"/>
      <w:marBottom w:val="0"/>
      <w:divBdr>
        <w:top w:val="none" w:sz="0" w:space="0" w:color="auto"/>
        <w:left w:val="none" w:sz="0" w:space="0" w:color="auto"/>
        <w:bottom w:val="none" w:sz="0" w:space="0" w:color="auto"/>
        <w:right w:val="none" w:sz="0" w:space="0" w:color="auto"/>
      </w:divBdr>
    </w:div>
    <w:div w:id="1281375696">
      <w:bodyDiv w:val="1"/>
      <w:marLeft w:val="0"/>
      <w:marRight w:val="0"/>
      <w:marTop w:val="0"/>
      <w:marBottom w:val="0"/>
      <w:divBdr>
        <w:top w:val="none" w:sz="0" w:space="0" w:color="auto"/>
        <w:left w:val="none" w:sz="0" w:space="0" w:color="auto"/>
        <w:bottom w:val="none" w:sz="0" w:space="0" w:color="auto"/>
        <w:right w:val="none" w:sz="0" w:space="0" w:color="auto"/>
      </w:divBdr>
    </w:div>
    <w:div w:id="1281381156">
      <w:bodyDiv w:val="1"/>
      <w:marLeft w:val="0"/>
      <w:marRight w:val="0"/>
      <w:marTop w:val="0"/>
      <w:marBottom w:val="0"/>
      <w:divBdr>
        <w:top w:val="none" w:sz="0" w:space="0" w:color="auto"/>
        <w:left w:val="none" w:sz="0" w:space="0" w:color="auto"/>
        <w:bottom w:val="none" w:sz="0" w:space="0" w:color="auto"/>
        <w:right w:val="none" w:sz="0" w:space="0" w:color="auto"/>
      </w:divBdr>
    </w:div>
    <w:div w:id="1281381692">
      <w:bodyDiv w:val="1"/>
      <w:marLeft w:val="0"/>
      <w:marRight w:val="0"/>
      <w:marTop w:val="0"/>
      <w:marBottom w:val="0"/>
      <w:divBdr>
        <w:top w:val="none" w:sz="0" w:space="0" w:color="auto"/>
        <w:left w:val="none" w:sz="0" w:space="0" w:color="auto"/>
        <w:bottom w:val="none" w:sz="0" w:space="0" w:color="auto"/>
        <w:right w:val="none" w:sz="0" w:space="0" w:color="auto"/>
      </w:divBdr>
    </w:div>
    <w:div w:id="1281495774">
      <w:bodyDiv w:val="1"/>
      <w:marLeft w:val="0"/>
      <w:marRight w:val="0"/>
      <w:marTop w:val="0"/>
      <w:marBottom w:val="0"/>
      <w:divBdr>
        <w:top w:val="none" w:sz="0" w:space="0" w:color="auto"/>
        <w:left w:val="none" w:sz="0" w:space="0" w:color="auto"/>
        <w:bottom w:val="none" w:sz="0" w:space="0" w:color="auto"/>
        <w:right w:val="none" w:sz="0" w:space="0" w:color="auto"/>
      </w:divBdr>
    </w:div>
    <w:div w:id="1281497698">
      <w:bodyDiv w:val="1"/>
      <w:marLeft w:val="0"/>
      <w:marRight w:val="0"/>
      <w:marTop w:val="0"/>
      <w:marBottom w:val="0"/>
      <w:divBdr>
        <w:top w:val="none" w:sz="0" w:space="0" w:color="auto"/>
        <w:left w:val="none" w:sz="0" w:space="0" w:color="auto"/>
        <w:bottom w:val="none" w:sz="0" w:space="0" w:color="auto"/>
        <w:right w:val="none" w:sz="0" w:space="0" w:color="auto"/>
      </w:divBdr>
    </w:div>
    <w:div w:id="1281499416">
      <w:bodyDiv w:val="1"/>
      <w:marLeft w:val="0"/>
      <w:marRight w:val="0"/>
      <w:marTop w:val="0"/>
      <w:marBottom w:val="0"/>
      <w:divBdr>
        <w:top w:val="none" w:sz="0" w:space="0" w:color="auto"/>
        <w:left w:val="none" w:sz="0" w:space="0" w:color="auto"/>
        <w:bottom w:val="none" w:sz="0" w:space="0" w:color="auto"/>
        <w:right w:val="none" w:sz="0" w:space="0" w:color="auto"/>
      </w:divBdr>
    </w:div>
    <w:div w:id="1281569523">
      <w:bodyDiv w:val="1"/>
      <w:marLeft w:val="0"/>
      <w:marRight w:val="0"/>
      <w:marTop w:val="0"/>
      <w:marBottom w:val="0"/>
      <w:divBdr>
        <w:top w:val="none" w:sz="0" w:space="0" w:color="auto"/>
        <w:left w:val="none" w:sz="0" w:space="0" w:color="auto"/>
        <w:bottom w:val="none" w:sz="0" w:space="0" w:color="auto"/>
        <w:right w:val="none" w:sz="0" w:space="0" w:color="auto"/>
      </w:divBdr>
    </w:div>
    <w:div w:id="1281716733">
      <w:bodyDiv w:val="1"/>
      <w:marLeft w:val="0"/>
      <w:marRight w:val="0"/>
      <w:marTop w:val="0"/>
      <w:marBottom w:val="0"/>
      <w:divBdr>
        <w:top w:val="none" w:sz="0" w:space="0" w:color="auto"/>
        <w:left w:val="none" w:sz="0" w:space="0" w:color="auto"/>
        <w:bottom w:val="none" w:sz="0" w:space="0" w:color="auto"/>
        <w:right w:val="none" w:sz="0" w:space="0" w:color="auto"/>
      </w:divBdr>
    </w:div>
    <w:div w:id="1281718880">
      <w:bodyDiv w:val="1"/>
      <w:marLeft w:val="0"/>
      <w:marRight w:val="0"/>
      <w:marTop w:val="0"/>
      <w:marBottom w:val="0"/>
      <w:divBdr>
        <w:top w:val="none" w:sz="0" w:space="0" w:color="auto"/>
        <w:left w:val="none" w:sz="0" w:space="0" w:color="auto"/>
        <w:bottom w:val="none" w:sz="0" w:space="0" w:color="auto"/>
        <w:right w:val="none" w:sz="0" w:space="0" w:color="auto"/>
      </w:divBdr>
    </w:div>
    <w:div w:id="1281767481">
      <w:bodyDiv w:val="1"/>
      <w:marLeft w:val="0"/>
      <w:marRight w:val="0"/>
      <w:marTop w:val="0"/>
      <w:marBottom w:val="0"/>
      <w:divBdr>
        <w:top w:val="none" w:sz="0" w:space="0" w:color="auto"/>
        <w:left w:val="none" w:sz="0" w:space="0" w:color="auto"/>
        <w:bottom w:val="none" w:sz="0" w:space="0" w:color="auto"/>
        <w:right w:val="none" w:sz="0" w:space="0" w:color="auto"/>
      </w:divBdr>
    </w:div>
    <w:div w:id="1281840696">
      <w:bodyDiv w:val="1"/>
      <w:marLeft w:val="0"/>
      <w:marRight w:val="0"/>
      <w:marTop w:val="0"/>
      <w:marBottom w:val="0"/>
      <w:divBdr>
        <w:top w:val="none" w:sz="0" w:space="0" w:color="auto"/>
        <w:left w:val="none" w:sz="0" w:space="0" w:color="auto"/>
        <w:bottom w:val="none" w:sz="0" w:space="0" w:color="auto"/>
        <w:right w:val="none" w:sz="0" w:space="0" w:color="auto"/>
      </w:divBdr>
    </w:div>
    <w:div w:id="1281885867">
      <w:bodyDiv w:val="1"/>
      <w:marLeft w:val="0"/>
      <w:marRight w:val="0"/>
      <w:marTop w:val="0"/>
      <w:marBottom w:val="0"/>
      <w:divBdr>
        <w:top w:val="none" w:sz="0" w:space="0" w:color="auto"/>
        <w:left w:val="none" w:sz="0" w:space="0" w:color="auto"/>
        <w:bottom w:val="none" w:sz="0" w:space="0" w:color="auto"/>
        <w:right w:val="none" w:sz="0" w:space="0" w:color="auto"/>
      </w:divBdr>
    </w:div>
    <w:div w:id="1281959688">
      <w:bodyDiv w:val="1"/>
      <w:marLeft w:val="0"/>
      <w:marRight w:val="0"/>
      <w:marTop w:val="0"/>
      <w:marBottom w:val="0"/>
      <w:divBdr>
        <w:top w:val="none" w:sz="0" w:space="0" w:color="auto"/>
        <w:left w:val="none" w:sz="0" w:space="0" w:color="auto"/>
        <w:bottom w:val="none" w:sz="0" w:space="0" w:color="auto"/>
        <w:right w:val="none" w:sz="0" w:space="0" w:color="auto"/>
      </w:divBdr>
    </w:div>
    <w:div w:id="1282035002">
      <w:bodyDiv w:val="1"/>
      <w:marLeft w:val="0"/>
      <w:marRight w:val="0"/>
      <w:marTop w:val="0"/>
      <w:marBottom w:val="0"/>
      <w:divBdr>
        <w:top w:val="none" w:sz="0" w:space="0" w:color="auto"/>
        <w:left w:val="none" w:sz="0" w:space="0" w:color="auto"/>
        <w:bottom w:val="none" w:sz="0" w:space="0" w:color="auto"/>
        <w:right w:val="none" w:sz="0" w:space="0" w:color="auto"/>
      </w:divBdr>
    </w:div>
    <w:div w:id="1282152302">
      <w:bodyDiv w:val="1"/>
      <w:marLeft w:val="0"/>
      <w:marRight w:val="0"/>
      <w:marTop w:val="0"/>
      <w:marBottom w:val="0"/>
      <w:divBdr>
        <w:top w:val="none" w:sz="0" w:space="0" w:color="auto"/>
        <w:left w:val="none" w:sz="0" w:space="0" w:color="auto"/>
        <w:bottom w:val="none" w:sz="0" w:space="0" w:color="auto"/>
        <w:right w:val="none" w:sz="0" w:space="0" w:color="auto"/>
      </w:divBdr>
    </w:div>
    <w:div w:id="1282225157">
      <w:bodyDiv w:val="1"/>
      <w:marLeft w:val="0"/>
      <w:marRight w:val="0"/>
      <w:marTop w:val="0"/>
      <w:marBottom w:val="0"/>
      <w:divBdr>
        <w:top w:val="none" w:sz="0" w:space="0" w:color="auto"/>
        <w:left w:val="none" w:sz="0" w:space="0" w:color="auto"/>
        <w:bottom w:val="none" w:sz="0" w:space="0" w:color="auto"/>
        <w:right w:val="none" w:sz="0" w:space="0" w:color="auto"/>
      </w:divBdr>
    </w:div>
    <w:div w:id="1282346767">
      <w:bodyDiv w:val="1"/>
      <w:marLeft w:val="0"/>
      <w:marRight w:val="0"/>
      <w:marTop w:val="0"/>
      <w:marBottom w:val="0"/>
      <w:divBdr>
        <w:top w:val="none" w:sz="0" w:space="0" w:color="auto"/>
        <w:left w:val="none" w:sz="0" w:space="0" w:color="auto"/>
        <w:bottom w:val="none" w:sz="0" w:space="0" w:color="auto"/>
        <w:right w:val="none" w:sz="0" w:space="0" w:color="auto"/>
      </w:divBdr>
    </w:div>
    <w:div w:id="1282375363">
      <w:bodyDiv w:val="1"/>
      <w:marLeft w:val="0"/>
      <w:marRight w:val="0"/>
      <w:marTop w:val="0"/>
      <w:marBottom w:val="0"/>
      <w:divBdr>
        <w:top w:val="none" w:sz="0" w:space="0" w:color="auto"/>
        <w:left w:val="none" w:sz="0" w:space="0" w:color="auto"/>
        <w:bottom w:val="none" w:sz="0" w:space="0" w:color="auto"/>
        <w:right w:val="none" w:sz="0" w:space="0" w:color="auto"/>
      </w:divBdr>
    </w:div>
    <w:div w:id="1282570553">
      <w:bodyDiv w:val="1"/>
      <w:marLeft w:val="0"/>
      <w:marRight w:val="0"/>
      <w:marTop w:val="0"/>
      <w:marBottom w:val="0"/>
      <w:divBdr>
        <w:top w:val="none" w:sz="0" w:space="0" w:color="auto"/>
        <w:left w:val="none" w:sz="0" w:space="0" w:color="auto"/>
        <w:bottom w:val="none" w:sz="0" w:space="0" w:color="auto"/>
        <w:right w:val="none" w:sz="0" w:space="0" w:color="auto"/>
      </w:divBdr>
    </w:div>
    <w:div w:id="1282687219">
      <w:bodyDiv w:val="1"/>
      <w:marLeft w:val="0"/>
      <w:marRight w:val="0"/>
      <w:marTop w:val="0"/>
      <w:marBottom w:val="0"/>
      <w:divBdr>
        <w:top w:val="none" w:sz="0" w:space="0" w:color="auto"/>
        <w:left w:val="none" w:sz="0" w:space="0" w:color="auto"/>
        <w:bottom w:val="none" w:sz="0" w:space="0" w:color="auto"/>
        <w:right w:val="none" w:sz="0" w:space="0" w:color="auto"/>
      </w:divBdr>
    </w:div>
    <w:div w:id="1282687516">
      <w:bodyDiv w:val="1"/>
      <w:marLeft w:val="0"/>
      <w:marRight w:val="0"/>
      <w:marTop w:val="0"/>
      <w:marBottom w:val="0"/>
      <w:divBdr>
        <w:top w:val="none" w:sz="0" w:space="0" w:color="auto"/>
        <w:left w:val="none" w:sz="0" w:space="0" w:color="auto"/>
        <w:bottom w:val="none" w:sz="0" w:space="0" w:color="auto"/>
        <w:right w:val="none" w:sz="0" w:space="0" w:color="auto"/>
      </w:divBdr>
    </w:div>
    <w:div w:id="1282761088">
      <w:bodyDiv w:val="1"/>
      <w:marLeft w:val="0"/>
      <w:marRight w:val="0"/>
      <w:marTop w:val="0"/>
      <w:marBottom w:val="0"/>
      <w:divBdr>
        <w:top w:val="none" w:sz="0" w:space="0" w:color="auto"/>
        <w:left w:val="none" w:sz="0" w:space="0" w:color="auto"/>
        <w:bottom w:val="none" w:sz="0" w:space="0" w:color="auto"/>
        <w:right w:val="none" w:sz="0" w:space="0" w:color="auto"/>
      </w:divBdr>
    </w:div>
    <w:div w:id="1282807757">
      <w:bodyDiv w:val="1"/>
      <w:marLeft w:val="0"/>
      <w:marRight w:val="0"/>
      <w:marTop w:val="0"/>
      <w:marBottom w:val="0"/>
      <w:divBdr>
        <w:top w:val="none" w:sz="0" w:space="0" w:color="auto"/>
        <w:left w:val="none" w:sz="0" w:space="0" w:color="auto"/>
        <w:bottom w:val="none" w:sz="0" w:space="0" w:color="auto"/>
        <w:right w:val="none" w:sz="0" w:space="0" w:color="auto"/>
      </w:divBdr>
    </w:div>
    <w:div w:id="1282956893">
      <w:bodyDiv w:val="1"/>
      <w:marLeft w:val="0"/>
      <w:marRight w:val="0"/>
      <w:marTop w:val="0"/>
      <w:marBottom w:val="0"/>
      <w:divBdr>
        <w:top w:val="none" w:sz="0" w:space="0" w:color="auto"/>
        <w:left w:val="none" w:sz="0" w:space="0" w:color="auto"/>
        <w:bottom w:val="none" w:sz="0" w:space="0" w:color="auto"/>
        <w:right w:val="none" w:sz="0" w:space="0" w:color="auto"/>
      </w:divBdr>
    </w:div>
    <w:div w:id="1283075564">
      <w:bodyDiv w:val="1"/>
      <w:marLeft w:val="0"/>
      <w:marRight w:val="0"/>
      <w:marTop w:val="0"/>
      <w:marBottom w:val="0"/>
      <w:divBdr>
        <w:top w:val="none" w:sz="0" w:space="0" w:color="auto"/>
        <w:left w:val="none" w:sz="0" w:space="0" w:color="auto"/>
        <w:bottom w:val="none" w:sz="0" w:space="0" w:color="auto"/>
        <w:right w:val="none" w:sz="0" w:space="0" w:color="auto"/>
      </w:divBdr>
    </w:div>
    <w:div w:id="1283077250">
      <w:bodyDiv w:val="1"/>
      <w:marLeft w:val="0"/>
      <w:marRight w:val="0"/>
      <w:marTop w:val="0"/>
      <w:marBottom w:val="0"/>
      <w:divBdr>
        <w:top w:val="none" w:sz="0" w:space="0" w:color="auto"/>
        <w:left w:val="none" w:sz="0" w:space="0" w:color="auto"/>
        <w:bottom w:val="none" w:sz="0" w:space="0" w:color="auto"/>
        <w:right w:val="none" w:sz="0" w:space="0" w:color="auto"/>
      </w:divBdr>
    </w:div>
    <w:div w:id="1283153299">
      <w:bodyDiv w:val="1"/>
      <w:marLeft w:val="0"/>
      <w:marRight w:val="0"/>
      <w:marTop w:val="0"/>
      <w:marBottom w:val="0"/>
      <w:divBdr>
        <w:top w:val="none" w:sz="0" w:space="0" w:color="auto"/>
        <w:left w:val="none" w:sz="0" w:space="0" w:color="auto"/>
        <w:bottom w:val="none" w:sz="0" w:space="0" w:color="auto"/>
        <w:right w:val="none" w:sz="0" w:space="0" w:color="auto"/>
      </w:divBdr>
    </w:div>
    <w:div w:id="1283195148">
      <w:bodyDiv w:val="1"/>
      <w:marLeft w:val="0"/>
      <w:marRight w:val="0"/>
      <w:marTop w:val="0"/>
      <w:marBottom w:val="0"/>
      <w:divBdr>
        <w:top w:val="none" w:sz="0" w:space="0" w:color="auto"/>
        <w:left w:val="none" w:sz="0" w:space="0" w:color="auto"/>
        <w:bottom w:val="none" w:sz="0" w:space="0" w:color="auto"/>
        <w:right w:val="none" w:sz="0" w:space="0" w:color="auto"/>
      </w:divBdr>
    </w:div>
    <w:div w:id="1283221599">
      <w:bodyDiv w:val="1"/>
      <w:marLeft w:val="0"/>
      <w:marRight w:val="0"/>
      <w:marTop w:val="0"/>
      <w:marBottom w:val="0"/>
      <w:divBdr>
        <w:top w:val="none" w:sz="0" w:space="0" w:color="auto"/>
        <w:left w:val="none" w:sz="0" w:space="0" w:color="auto"/>
        <w:bottom w:val="none" w:sz="0" w:space="0" w:color="auto"/>
        <w:right w:val="none" w:sz="0" w:space="0" w:color="auto"/>
      </w:divBdr>
    </w:div>
    <w:div w:id="1283226914">
      <w:bodyDiv w:val="1"/>
      <w:marLeft w:val="0"/>
      <w:marRight w:val="0"/>
      <w:marTop w:val="0"/>
      <w:marBottom w:val="0"/>
      <w:divBdr>
        <w:top w:val="none" w:sz="0" w:space="0" w:color="auto"/>
        <w:left w:val="none" w:sz="0" w:space="0" w:color="auto"/>
        <w:bottom w:val="none" w:sz="0" w:space="0" w:color="auto"/>
        <w:right w:val="none" w:sz="0" w:space="0" w:color="auto"/>
      </w:divBdr>
    </w:div>
    <w:div w:id="1283263919">
      <w:bodyDiv w:val="1"/>
      <w:marLeft w:val="0"/>
      <w:marRight w:val="0"/>
      <w:marTop w:val="0"/>
      <w:marBottom w:val="0"/>
      <w:divBdr>
        <w:top w:val="none" w:sz="0" w:space="0" w:color="auto"/>
        <w:left w:val="none" w:sz="0" w:space="0" w:color="auto"/>
        <w:bottom w:val="none" w:sz="0" w:space="0" w:color="auto"/>
        <w:right w:val="none" w:sz="0" w:space="0" w:color="auto"/>
      </w:divBdr>
    </w:div>
    <w:div w:id="1283271839">
      <w:bodyDiv w:val="1"/>
      <w:marLeft w:val="0"/>
      <w:marRight w:val="0"/>
      <w:marTop w:val="0"/>
      <w:marBottom w:val="0"/>
      <w:divBdr>
        <w:top w:val="none" w:sz="0" w:space="0" w:color="auto"/>
        <w:left w:val="none" w:sz="0" w:space="0" w:color="auto"/>
        <w:bottom w:val="none" w:sz="0" w:space="0" w:color="auto"/>
        <w:right w:val="none" w:sz="0" w:space="0" w:color="auto"/>
      </w:divBdr>
    </w:div>
    <w:div w:id="1283457325">
      <w:bodyDiv w:val="1"/>
      <w:marLeft w:val="0"/>
      <w:marRight w:val="0"/>
      <w:marTop w:val="0"/>
      <w:marBottom w:val="0"/>
      <w:divBdr>
        <w:top w:val="none" w:sz="0" w:space="0" w:color="auto"/>
        <w:left w:val="none" w:sz="0" w:space="0" w:color="auto"/>
        <w:bottom w:val="none" w:sz="0" w:space="0" w:color="auto"/>
        <w:right w:val="none" w:sz="0" w:space="0" w:color="auto"/>
      </w:divBdr>
    </w:div>
    <w:div w:id="1283539474">
      <w:bodyDiv w:val="1"/>
      <w:marLeft w:val="0"/>
      <w:marRight w:val="0"/>
      <w:marTop w:val="0"/>
      <w:marBottom w:val="0"/>
      <w:divBdr>
        <w:top w:val="none" w:sz="0" w:space="0" w:color="auto"/>
        <w:left w:val="none" w:sz="0" w:space="0" w:color="auto"/>
        <w:bottom w:val="none" w:sz="0" w:space="0" w:color="auto"/>
        <w:right w:val="none" w:sz="0" w:space="0" w:color="auto"/>
      </w:divBdr>
    </w:div>
    <w:div w:id="1283611677">
      <w:bodyDiv w:val="1"/>
      <w:marLeft w:val="0"/>
      <w:marRight w:val="0"/>
      <w:marTop w:val="0"/>
      <w:marBottom w:val="0"/>
      <w:divBdr>
        <w:top w:val="none" w:sz="0" w:space="0" w:color="auto"/>
        <w:left w:val="none" w:sz="0" w:space="0" w:color="auto"/>
        <w:bottom w:val="none" w:sz="0" w:space="0" w:color="auto"/>
        <w:right w:val="none" w:sz="0" w:space="0" w:color="auto"/>
      </w:divBdr>
    </w:div>
    <w:div w:id="1283683976">
      <w:bodyDiv w:val="1"/>
      <w:marLeft w:val="0"/>
      <w:marRight w:val="0"/>
      <w:marTop w:val="0"/>
      <w:marBottom w:val="0"/>
      <w:divBdr>
        <w:top w:val="none" w:sz="0" w:space="0" w:color="auto"/>
        <w:left w:val="none" w:sz="0" w:space="0" w:color="auto"/>
        <w:bottom w:val="none" w:sz="0" w:space="0" w:color="auto"/>
        <w:right w:val="none" w:sz="0" w:space="0" w:color="auto"/>
      </w:divBdr>
    </w:div>
    <w:div w:id="1283725082">
      <w:bodyDiv w:val="1"/>
      <w:marLeft w:val="0"/>
      <w:marRight w:val="0"/>
      <w:marTop w:val="0"/>
      <w:marBottom w:val="0"/>
      <w:divBdr>
        <w:top w:val="none" w:sz="0" w:space="0" w:color="auto"/>
        <w:left w:val="none" w:sz="0" w:space="0" w:color="auto"/>
        <w:bottom w:val="none" w:sz="0" w:space="0" w:color="auto"/>
        <w:right w:val="none" w:sz="0" w:space="0" w:color="auto"/>
      </w:divBdr>
    </w:div>
    <w:div w:id="1283726961">
      <w:bodyDiv w:val="1"/>
      <w:marLeft w:val="0"/>
      <w:marRight w:val="0"/>
      <w:marTop w:val="0"/>
      <w:marBottom w:val="0"/>
      <w:divBdr>
        <w:top w:val="none" w:sz="0" w:space="0" w:color="auto"/>
        <w:left w:val="none" w:sz="0" w:space="0" w:color="auto"/>
        <w:bottom w:val="none" w:sz="0" w:space="0" w:color="auto"/>
        <w:right w:val="none" w:sz="0" w:space="0" w:color="auto"/>
      </w:divBdr>
    </w:div>
    <w:div w:id="1283801116">
      <w:bodyDiv w:val="1"/>
      <w:marLeft w:val="0"/>
      <w:marRight w:val="0"/>
      <w:marTop w:val="0"/>
      <w:marBottom w:val="0"/>
      <w:divBdr>
        <w:top w:val="none" w:sz="0" w:space="0" w:color="auto"/>
        <w:left w:val="none" w:sz="0" w:space="0" w:color="auto"/>
        <w:bottom w:val="none" w:sz="0" w:space="0" w:color="auto"/>
        <w:right w:val="none" w:sz="0" w:space="0" w:color="auto"/>
      </w:divBdr>
    </w:div>
    <w:div w:id="1283803765">
      <w:bodyDiv w:val="1"/>
      <w:marLeft w:val="0"/>
      <w:marRight w:val="0"/>
      <w:marTop w:val="0"/>
      <w:marBottom w:val="0"/>
      <w:divBdr>
        <w:top w:val="none" w:sz="0" w:space="0" w:color="auto"/>
        <w:left w:val="none" w:sz="0" w:space="0" w:color="auto"/>
        <w:bottom w:val="none" w:sz="0" w:space="0" w:color="auto"/>
        <w:right w:val="none" w:sz="0" w:space="0" w:color="auto"/>
      </w:divBdr>
    </w:div>
    <w:div w:id="1283877789">
      <w:bodyDiv w:val="1"/>
      <w:marLeft w:val="0"/>
      <w:marRight w:val="0"/>
      <w:marTop w:val="0"/>
      <w:marBottom w:val="0"/>
      <w:divBdr>
        <w:top w:val="none" w:sz="0" w:space="0" w:color="auto"/>
        <w:left w:val="none" w:sz="0" w:space="0" w:color="auto"/>
        <w:bottom w:val="none" w:sz="0" w:space="0" w:color="auto"/>
        <w:right w:val="none" w:sz="0" w:space="0" w:color="auto"/>
      </w:divBdr>
    </w:div>
    <w:div w:id="1283920693">
      <w:bodyDiv w:val="1"/>
      <w:marLeft w:val="0"/>
      <w:marRight w:val="0"/>
      <w:marTop w:val="0"/>
      <w:marBottom w:val="0"/>
      <w:divBdr>
        <w:top w:val="none" w:sz="0" w:space="0" w:color="auto"/>
        <w:left w:val="none" w:sz="0" w:space="0" w:color="auto"/>
        <w:bottom w:val="none" w:sz="0" w:space="0" w:color="auto"/>
        <w:right w:val="none" w:sz="0" w:space="0" w:color="auto"/>
      </w:divBdr>
    </w:div>
    <w:div w:id="1283924621">
      <w:bodyDiv w:val="1"/>
      <w:marLeft w:val="0"/>
      <w:marRight w:val="0"/>
      <w:marTop w:val="0"/>
      <w:marBottom w:val="0"/>
      <w:divBdr>
        <w:top w:val="none" w:sz="0" w:space="0" w:color="auto"/>
        <w:left w:val="none" w:sz="0" w:space="0" w:color="auto"/>
        <w:bottom w:val="none" w:sz="0" w:space="0" w:color="auto"/>
        <w:right w:val="none" w:sz="0" w:space="0" w:color="auto"/>
      </w:divBdr>
    </w:div>
    <w:div w:id="1283925552">
      <w:bodyDiv w:val="1"/>
      <w:marLeft w:val="0"/>
      <w:marRight w:val="0"/>
      <w:marTop w:val="0"/>
      <w:marBottom w:val="0"/>
      <w:divBdr>
        <w:top w:val="none" w:sz="0" w:space="0" w:color="auto"/>
        <w:left w:val="none" w:sz="0" w:space="0" w:color="auto"/>
        <w:bottom w:val="none" w:sz="0" w:space="0" w:color="auto"/>
        <w:right w:val="none" w:sz="0" w:space="0" w:color="auto"/>
      </w:divBdr>
    </w:div>
    <w:div w:id="1284116470">
      <w:bodyDiv w:val="1"/>
      <w:marLeft w:val="0"/>
      <w:marRight w:val="0"/>
      <w:marTop w:val="0"/>
      <w:marBottom w:val="0"/>
      <w:divBdr>
        <w:top w:val="none" w:sz="0" w:space="0" w:color="auto"/>
        <w:left w:val="none" w:sz="0" w:space="0" w:color="auto"/>
        <w:bottom w:val="none" w:sz="0" w:space="0" w:color="auto"/>
        <w:right w:val="none" w:sz="0" w:space="0" w:color="auto"/>
      </w:divBdr>
    </w:div>
    <w:div w:id="1284116482">
      <w:bodyDiv w:val="1"/>
      <w:marLeft w:val="0"/>
      <w:marRight w:val="0"/>
      <w:marTop w:val="0"/>
      <w:marBottom w:val="0"/>
      <w:divBdr>
        <w:top w:val="none" w:sz="0" w:space="0" w:color="auto"/>
        <w:left w:val="none" w:sz="0" w:space="0" w:color="auto"/>
        <w:bottom w:val="none" w:sz="0" w:space="0" w:color="auto"/>
        <w:right w:val="none" w:sz="0" w:space="0" w:color="auto"/>
      </w:divBdr>
    </w:div>
    <w:div w:id="1284192440">
      <w:bodyDiv w:val="1"/>
      <w:marLeft w:val="0"/>
      <w:marRight w:val="0"/>
      <w:marTop w:val="0"/>
      <w:marBottom w:val="0"/>
      <w:divBdr>
        <w:top w:val="none" w:sz="0" w:space="0" w:color="auto"/>
        <w:left w:val="none" w:sz="0" w:space="0" w:color="auto"/>
        <w:bottom w:val="none" w:sz="0" w:space="0" w:color="auto"/>
        <w:right w:val="none" w:sz="0" w:space="0" w:color="auto"/>
      </w:divBdr>
    </w:div>
    <w:div w:id="1284194128">
      <w:bodyDiv w:val="1"/>
      <w:marLeft w:val="0"/>
      <w:marRight w:val="0"/>
      <w:marTop w:val="0"/>
      <w:marBottom w:val="0"/>
      <w:divBdr>
        <w:top w:val="none" w:sz="0" w:space="0" w:color="auto"/>
        <w:left w:val="none" w:sz="0" w:space="0" w:color="auto"/>
        <w:bottom w:val="none" w:sz="0" w:space="0" w:color="auto"/>
        <w:right w:val="none" w:sz="0" w:space="0" w:color="auto"/>
      </w:divBdr>
    </w:div>
    <w:div w:id="1284195773">
      <w:bodyDiv w:val="1"/>
      <w:marLeft w:val="0"/>
      <w:marRight w:val="0"/>
      <w:marTop w:val="0"/>
      <w:marBottom w:val="0"/>
      <w:divBdr>
        <w:top w:val="none" w:sz="0" w:space="0" w:color="auto"/>
        <w:left w:val="none" w:sz="0" w:space="0" w:color="auto"/>
        <w:bottom w:val="none" w:sz="0" w:space="0" w:color="auto"/>
        <w:right w:val="none" w:sz="0" w:space="0" w:color="auto"/>
      </w:divBdr>
    </w:div>
    <w:div w:id="1284269248">
      <w:bodyDiv w:val="1"/>
      <w:marLeft w:val="0"/>
      <w:marRight w:val="0"/>
      <w:marTop w:val="0"/>
      <w:marBottom w:val="0"/>
      <w:divBdr>
        <w:top w:val="none" w:sz="0" w:space="0" w:color="auto"/>
        <w:left w:val="none" w:sz="0" w:space="0" w:color="auto"/>
        <w:bottom w:val="none" w:sz="0" w:space="0" w:color="auto"/>
        <w:right w:val="none" w:sz="0" w:space="0" w:color="auto"/>
      </w:divBdr>
    </w:div>
    <w:div w:id="1284313581">
      <w:bodyDiv w:val="1"/>
      <w:marLeft w:val="0"/>
      <w:marRight w:val="0"/>
      <w:marTop w:val="0"/>
      <w:marBottom w:val="0"/>
      <w:divBdr>
        <w:top w:val="none" w:sz="0" w:space="0" w:color="auto"/>
        <w:left w:val="none" w:sz="0" w:space="0" w:color="auto"/>
        <w:bottom w:val="none" w:sz="0" w:space="0" w:color="auto"/>
        <w:right w:val="none" w:sz="0" w:space="0" w:color="auto"/>
      </w:divBdr>
    </w:div>
    <w:div w:id="1284383045">
      <w:bodyDiv w:val="1"/>
      <w:marLeft w:val="0"/>
      <w:marRight w:val="0"/>
      <w:marTop w:val="0"/>
      <w:marBottom w:val="0"/>
      <w:divBdr>
        <w:top w:val="none" w:sz="0" w:space="0" w:color="auto"/>
        <w:left w:val="none" w:sz="0" w:space="0" w:color="auto"/>
        <w:bottom w:val="none" w:sz="0" w:space="0" w:color="auto"/>
        <w:right w:val="none" w:sz="0" w:space="0" w:color="auto"/>
      </w:divBdr>
    </w:div>
    <w:div w:id="1284384525">
      <w:bodyDiv w:val="1"/>
      <w:marLeft w:val="0"/>
      <w:marRight w:val="0"/>
      <w:marTop w:val="0"/>
      <w:marBottom w:val="0"/>
      <w:divBdr>
        <w:top w:val="none" w:sz="0" w:space="0" w:color="auto"/>
        <w:left w:val="none" w:sz="0" w:space="0" w:color="auto"/>
        <w:bottom w:val="none" w:sz="0" w:space="0" w:color="auto"/>
        <w:right w:val="none" w:sz="0" w:space="0" w:color="auto"/>
      </w:divBdr>
    </w:div>
    <w:div w:id="1284506077">
      <w:bodyDiv w:val="1"/>
      <w:marLeft w:val="0"/>
      <w:marRight w:val="0"/>
      <w:marTop w:val="0"/>
      <w:marBottom w:val="0"/>
      <w:divBdr>
        <w:top w:val="none" w:sz="0" w:space="0" w:color="auto"/>
        <w:left w:val="none" w:sz="0" w:space="0" w:color="auto"/>
        <w:bottom w:val="none" w:sz="0" w:space="0" w:color="auto"/>
        <w:right w:val="none" w:sz="0" w:space="0" w:color="auto"/>
      </w:divBdr>
    </w:div>
    <w:div w:id="1284733226">
      <w:bodyDiv w:val="1"/>
      <w:marLeft w:val="0"/>
      <w:marRight w:val="0"/>
      <w:marTop w:val="0"/>
      <w:marBottom w:val="0"/>
      <w:divBdr>
        <w:top w:val="none" w:sz="0" w:space="0" w:color="auto"/>
        <w:left w:val="none" w:sz="0" w:space="0" w:color="auto"/>
        <w:bottom w:val="none" w:sz="0" w:space="0" w:color="auto"/>
        <w:right w:val="none" w:sz="0" w:space="0" w:color="auto"/>
      </w:divBdr>
    </w:div>
    <w:div w:id="1284923588">
      <w:bodyDiv w:val="1"/>
      <w:marLeft w:val="0"/>
      <w:marRight w:val="0"/>
      <w:marTop w:val="0"/>
      <w:marBottom w:val="0"/>
      <w:divBdr>
        <w:top w:val="none" w:sz="0" w:space="0" w:color="auto"/>
        <w:left w:val="none" w:sz="0" w:space="0" w:color="auto"/>
        <w:bottom w:val="none" w:sz="0" w:space="0" w:color="auto"/>
        <w:right w:val="none" w:sz="0" w:space="0" w:color="auto"/>
      </w:divBdr>
    </w:div>
    <w:div w:id="1285192551">
      <w:bodyDiv w:val="1"/>
      <w:marLeft w:val="0"/>
      <w:marRight w:val="0"/>
      <w:marTop w:val="0"/>
      <w:marBottom w:val="0"/>
      <w:divBdr>
        <w:top w:val="none" w:sz="0" w:space="0" w:color="auto"/>
        <w:left w:val="none" w:sz="0" w:space="0" w:color="auto"/>
        <w:bottom w:val="none" w:sz="0" w:space="0" w:color="auto"/>
        <w:right w:val="none" w:sz="0" w:space="0" w:color="auto"/>
      </w:divBdr>
    </w:div>
    <w:div w:id="1285193722">
      <w:bodyDiv w:val="1"/>
      <w:marLeft w:val="0"/>
      <w:marRight w:val="0"/>
      <w:marTop w:val="0"/>
      <w:marBottom w:val="0"/>
      <w:divBdr>
        <w:top w:val="none" w:sz="0" w:space="0" w:color="auto"/>
        <w:left w:val="none" w:sz="0" w:space="0" w:color="auto"/>
        <w:bottom w:val="none" w:sz="0" w:space="0" w:color="auto"/>
        <w:right w:val="none" w:sz="0" w:space="0" w:color="auto"/>
      </w:divBdr>
    </w:div>
    <w:div w:id="1285234163">
      <w:bodyDiv w:val="1"/>
      <w:marLeft w:val="0"/>
      <w:marRight w:val="0"/>
      <w:marTop w:val="0"/>
      <w:marBottom w:val="0"/>
      <w:divBdr>
        <w:top w:val="none" w:sz="0" w:space="0" w:color="auto"/>
        <w:left w:val="none" w:sz="0" w:space="0" w:color="auto"/>
        <w:bottom w:val="none" w:sz="0" w:space="0" w:color="auto"/>
        <w:right w:val="none" w:sz="0" w:space="0" w:color="auto"/>
      </w:divBdr>
    </w:div>
    <w:div w:id="1285308283">
      <w:bodyDiv w:val="1"/>
      <w:marLeft w:val="0"/>
      <w:marRight w:val="0"/>
      <w:marTop w:val="0"/>
      <w:marBottom w:val="0"/>
      <w:divBdr>
        <w:top w:val="none" w:sz="0" w:space="0" w:color="auto"/>
        <w:left w:val="none" w:sz="0" w:space="0" w:color="auto"/>
        <w:bottom w:val="none" w:sz="0" w:space="0" w:color="auto"/>
        <w:right w:val="none" w:sz="0" w:space="0" w:color="auto"/>
      </w:divBdr>
    </w:div>
    <w:div w:id="1285313044">
      <w:bodyDiv w:val="1"/>
      <w:marLeft w:val="0"/>
      <w:marRight w:val="0"/>
      <w:marTop w:val="0"/>
      <w:marBottom w:val="0"/>
      <w:divBdr>
        <w:top w:val="none" w:sz="0" w:space="0" w:color="auto"/>
        <w:left w:val="none" w:sz="0" w:space="0" w:color="auto"/>
        <w:bottom w:val="none" w:sz="0" w:space="0" w:color="auto"/>
        <w:right w:val="none" w:sz="0" w:space="0" w:color="auto"/>
      </w:divBdr>
    </w:div>
    <w:div w:id="1285387870">
      <w:bodyDiv w:val="1"/>
      <w:marLeft w:val="0"/>
      <w:marRight w:val="0"/>
      <w:marTop w:val="0"/>
      <w:marBottom w:val="0"/>
      <w:divBdr>
        <w:top w:val="none" w:sz="0" w:space="0" w:color="auto"/>
        <w:left w:val="none" w:sz="0" w:space="0" w:color="auto"/>
        <w:bottom w:val="none" w:sz="0" w:space="0" w:color="auto"/>
        <w:right w:val="none" w:sz="0" w:space="0" w:color="auto"/>
      </w:divBdr>
    </w:div>
    <w:div w:id="1285425070">
      <w:bodyDiv w:val="1"/>
      <w:marLeft w:val="0"/>
      <w:marRight w:val="0"/>
      <w:marTop w:val="0"/>
      <w:marBottom w:val="0"/>
      <w:divBdr>
        <w:top w:val="none" w:sz="0" w:space="0" w:color="auto"/>
        <w:left w:val="none" w:sz="0" w:space="0" w:color="auto"/>
        <w:bottom w:val="none" w:sz="0" w:space="0" w:color="auto"/>
        <w:right w:val="none" w:sz="0" w:space="0" w:color="auto"/>
      </w:divBdr>
    </w:div>
    <w:div w:id="1285425725">
      <w:bodyDiv w:val="1"/>
      <w:marLeft w:val="0"/>
      <w:marRight w:val="0"/>
      <w:marTop w:val="0"/>
      <w:marBottom w:val="0"/>
      <w:divBdr>
        <w:top w:val="none" w:sz="0" w:space="0" w:color="auto"/>
        <w:left w:val="none" w:sz="0" w:space="0" w:color="auto"/>
        <w:bottom w:val="none" w:sz="0" w:space="0" w:color="auto"/>
        <w:right w:val="none" w:sz="0" w:space="0" w:color="auto"/>
      </w:divBdr>
    </w:div>
    <w:div w:id="1285428616">
      <w:bodyDiv w:val="1"/>
      <w:marLeft w:val="0"/>
      <w:marRight w:val="0"/>
      <w:marTop w:val="0"/>
      <w:marBottom w:val="0"/>
      <w:divBdr>
        <w:top w:val="none" w:sz="0" w:space="0" w:color="auto"/>
        <w:left w:val="none" w:sz="0" w:space="0" w:color="auto"/>
        <w:bottom w:val="none" w:sz="0" w:space="0" w:color="auto"/>
        <w:right w:val="none" w:sz="0" w:space="0" w:color="auto"/>
      </w:divBdr>
    </w:div>
    <w:div w:id="1285498240">
      <w:bodyDiv w:val="1"/>
      <w:marLeft w:val="0"/>
      <w:marRight w:val="0"/>
      <w:marTop w:val="0"/>
      <w:marBottom w:val="0"/>
      <w:divBdr>
        <w:top w:val="none" w:sz="0" w:space="0" w:color="auto"/>
        <w:left w:val="none" w:sz="0" w:space="0" w:color="auto"/>
        <w:bottom w:val="none" w:sz="0" w:space="0" w:color="auto"/>
        <w:right w:val="none" w:sz="0" w:space="0" w:color="auto"/>
      </w:divBdr>
    </w:div>
    <w:div w:id="1285499967">
      <w:bodyDiv w:val="1"/>
      <w:marLeft w:val="0"/>
      <w:marRight w:val="0"/>
      <w:marTop w:val="0"/>
      <w:marBottom w:val="0"/>
      <w:divBdr>
        <w:top w:val="none" w:sz="0" w:space="0" w:color="auto"/>
        <w:left w:val="none" w:sz="0" w:space="0" w:color="auto"/>
        <w:bottom w:val="none" w:sz="0" w:space="0" w:color="auto"/>
        <w:right w:val="none" w:sz="0" w:space="0" w:color="auto"/>
      </w:divBdr>
    </w:div>
    <w:div w:id="1285580317">
      <w:bodyDiv w:val="1"/>
      <w:marLeft w:val="0"/>
      <w:marRight w:val="0"/>
      <w:marTop w:val="0"/>
      <w:marBottom w:val="0"/>
      <w:divBdr>
        <w:top w:val="none" w:sz="0" w:space="0" w:color="auto"/>
        <w:left w:val="none" w:sz="0" w:space="0" w:color="auto"/>
        <w:bottom w:val="none" w:sz="0" w:space="0" w:color="auto"/>
        <w:right w:val="none" w:sz="0" w:space="0" w:color="auto"/>
      </w:divBdr>
    </w:div>
    <w:div w:id="1285622897">
      <w:bodyDiv w:val="1"/>
      <w:marLeft w:val="0"/>
      <w:marRight w:val="0"/>
      <w:marTop w:val="0"/>
      <w:marBottom w:val="0"/>
      <w:divBdr>
        <w:top w:val="none" w:sz="0" w:space="0" w:color="auto"/>
        <w:left w:val="none" w:sz="0" w:space="0" w:color="auto"/>
        <w:bottom w:val="none" w:sz="0" w:space="0" w:color="auto"/>
        <w:right w:val="none" w:sz="0" w:space="0" w:color="auto"/>
      </w:divBdr>
    </w:div>
    <w:div w:id="1285696721">
      <w:bodyDiv w:val="1"/>
      <w:marLeft w:val="0"/>
      <w:marRight w:val="0"/>
      <w:marTop w:val="0"/>
      <w:marBottom w:val="0"/>
      <w:divBdr>
        <w:top w:val="none" w:sz="0" w:space="0" w:color="auto"/>
        <w:left w:val="none" w:sz="0" w:space="0" w:color="auto"/>
        <w:bottom w:val="none" w:sz="0" w:space="0" w:color="auto"/>
        <w:right w:val="none" w:sz="0" w:space="0" w:color="auto"/>
      </w:divBdr>
    </w:div>
    <w:div w:id="1285884747">
      <w:bodyDiv w:val="1"/>
      <w:marLeft w:val="0"/>
      <w:marRight w:val="0"/>
      <w:marTop w:val="0"/>
      <w:marBottom w:val="0"/>
      <w:divBdr>
        <w:top w:val="none" w:sz="0" w:space="0" w:color="auto"/>
        <w:left w:val="none" w:sz="0" w:space="0" w:color="auto"/>
        <w:bottom w:val="none" w:sz="0" w:space="0" w:color="auto"/>
        <w:right w:val="none" w:sz="0" w:space="0" w:color="auto"/>
      </w:divBdr>
    </w:div>
    <w:div w:id="1285887792">
      <w:bodyDiv w:val="1"/>
      <w:marLeft w:val="0"/>
      <w:marRight w:val="0"/>
      <w:marTop w:val="0"/>
      <w:marBottom w:val="0"/>
      <w:divBdr>
        <w:top w:val="none" w:sz="0" w:space="0" w:color="auto"/>
        <w:left w:val="none" w:sz="0" w:space="0" w:color="auto"/>
        <w:bottom w:val="none" w:sz="0" w:space="0" w:color="auto"/>
        <w:right w:val="none" w:sz="0" w:space="0" w:color="auto"/>
      </w:divBdr>
    </w:div>
    <w:div w:id="1285888712">
      <w:bodyDiv w:val="1"/>
      <w:marLeft w:val="0"/>
      <w:marRight w:val="0"/>
      <w:marTop w:val="0"/>
      <w:marBottom w:val="0"/>
      <w:divBdr>
        <w:top w:val="none" w:sz="0" w:space="0" w:color="auto"/>
        <w:left w:val="none" w:sz="0" w:space="0" w:color="auto"/>
        <w:bottom w:val="none" w:sz="0" w:space="0" w:color="auto"/>
        <w:right w:val="none" w:sz="0" w:space="0" w:color="auto"/>
      </w:divBdr>
    </w:div>
    <w:div w:id="1286034752">
      <w:bodyDiv w:val="1"/>
      <w:marLeft w:val="0"/>
      <w:marRight w:val="0"/>
      <w:marTop w:val="0"/>
      <w:marBottom w:val="0"/>
      <w:divBdr>
        <w:top w:val="none" w:sz="0" w:space="0" w:color="auto"/>
        <w:left w:val="none" w:sz="0" w:space="0" w:color="auto"/>
        <w:bottom w:val="none" w:sz="0" w:space="0" w:color="auto"/>
        <w:right w:val="none" w:sz="0" w:space="0" w:color="auto"/>
      </w:divBdr>
    </w:div>
    <w:div w:id="1286084550">
      <w:bodyDiv w:val="1"/>
      <w:marLeft w:val="0"/>
      <w:marRight w:val="0"/>
      <w:marTop w:val="0"/>
      <w:marBottom w:val="0"/>
      <w:divBdr>
        <w:top w:val="none" w:sz="0" w:space="0" w:color="auto"/>
        <w:left w:val="none" w:sz="0" w:space="0" w:color="auto"/>
        <w:bottom w:val="none" w:sz="0" w:space="0" w:color="auto"/>
        <w:right w:val="none" w:sz="0" w:space="0" w:color="auto"/>
      </w:divBdr>
    </w:div>
    <w:div w:id="1286152890">
      <w:bodyDiv w:val="1"/>
      <w:marLeft w:val="0"/>
      <w:marRight w:val="0"/>
      <w:marTop w:val="0"/>
      <w:marBottom w:val="0"/>
      <w:divBdr>
        <w:top w:val="none" w:sz="0" w:space="0" w:color="auto"/>
        <w:left w:val="none" w:sz="0" w:space="0" w:color="auto"/>
        <w:bottom w:val="none" w:sz="0" w:space="0" w:color="auto"/>
        <w:right w:val="none" w:sz="0" w:space="0" w:color="auto"/>
      </w:divBdr>
    </w:div>
    <w:div w:id="1286160211">
      <w:bodyDiv w:val="1"/>
      <w:marLeft w:val="0"/>
      <w:marRight w:val="0"/>
      <w:marTop w:val="0"/>
      <w:marBottom w:val="0"/>
      <w:divBdr>
        <w:top w:val="none" w:sz="0" w:space="0" w:color="auto"/>
        <w:left w:val="none" w:sz="0" w:space="0" w:color="auto"/>
        <w:bottom w:val="none" w:sz="0" w:space="0" w:color="auto"/>
        <w:right w:val="none" w:sz="0" w:space="0" w:color="auto"/>
      </w:divBdr>
    </w:div>
    <w:div w:id="1286228762">
      <w:bodyDiv w:val="1"/>
      <w:marLeft w:val="0"/>
      <w:marRight w:val="0"/>
      <w:marTop w:val="0"/>
      <w:marBottom w:val="0"/>
      <w:divBdr>
        <w:top w:val="none" w:sz="0" w:space="0" w:color="auto"/>
        <w:left w:val="none" w:sz="0" w:space="0" w:color="auto"/>
        <w:bottom w:val="none" w:sz="0" w:space="0" w:color="auto"/>
        <w:right w:val="none" w:sz="0" w:space="0" w:color="auto"/>
      </w:divBdr>
    </w:div>
    <w:div w:id="1286277929">
      <w:bodyDiv w:val="1"/>
      <w:marLeft w:val="0"/>
      <w:marRight w:val="0"/>
      <w:marTop w:val="0"/>
      <w:marBottom w:val="0"/>
      <w:divBdr>
        <w:top w:val="none" w:sz="0" w:space="0" w:color="auto"/>
        <w:left w:val="none" w:sz="0" w:space="0" w:color="auto"/>
        <w:bottom w:val="none" w:sz="0" w:space="0" w:color="auto"/>
        <w:right w:val="none" w:sz="0" w:space="0" w:color="auto"/>
      </w:divBdr>
    </w:div>
    <w:div w:id="1286279403">
      <w:bodyDiv w:val="1"/>
      <w:marLeft w:val="0"/>
      <w:marRight w:val="0"/>
      <w:marTop w:val="0"/>
      <w:marBottom w:val="0"/>
      <w:divBdr>
        <w:top w:val="none" w:sz="0" w:space="0" w:color="auto"/>
        <w:left w:val="none" w:sz="0" w:space="0" w:color="auto"/>
        <w:bottom w:val="none" w:sz="0" w:space="0" w:color="auto"/>
        <w:right w:val="none" w:sz="0" w:space="0" w:color="auto"/>
      </w:divBdr>
    </w:div>
    <w:div w:id="1286501211">
      <w:bodyDiv w:val="1"/>
      <w:marLeft w:val="0"/>
      <w:marRight w:val="0"/>
      <w:marTop w:val="0"/>
      <w:marBottom w:val="0"/>
      <w:divBdr>
        <w:top w:val="none" w:sz="0" w:space="0" w:color="auto"/>
        <w:left w:val="none" w:sz="0" w:space="0" w:color="auto"/>
        <w:bottom w:val="none" w:sz="0" w:space="0" w:color="auto"/>
        <w:right w:val="none" w:sz="0" w:space="0" w:color="auto"/>
      </w:divBdr>
    </w:div>
    <w:div w:id="1286542295">
      <w:bodyDiv w:val="1"/>
      <w:marLeft w:val="0"/>
      <w:marRight w:val="0"/>
      <w:marTop w:val="0"/>
      <w:marBottom w:val="0"/>
      <w:divBdr>
        <w:top w:val="none" w:sz="0" w:space="0" w:color="auto"/>
        <w:left w:val="none" w:sz="0" w:space="0" w:color="auto"/>
        <w:bottom w:val="none" w:sz="0" w:space="0" w:color="auto"/>
        <w:right w:val="none" w:sz="0" w:space="0" w:color="auto"/>
      </w:divBdr>
    </w:div>
    <w:div w:id="1286622458">
      <w:bodyDiv w:val="1"/>
      <w:marLeft w:val="0"/>
      <w:marRight w:val="0"/>
      <w:marTop w:val="0"/>
      <w:marBottom w:val="0"/>
      <w:divBdr>
        <w:top w:val="none" w:sz="0" w:space="0" w:color="auto"/>
        <w:left w:val="none" w:sz="0" w:space="0" w:color="auto"/>
        <w:bottom w:val="none" w:sz="0" w:space="0" w:color="auto"/>
        <w:right w:val="none" w:sz="0" w:space="0" w:color="auto"/>
      </w:divBdr>
    </w:div>
    <w:div w:id="1286694091">
      <w:bodyDiv w:val="1"/>
      <w:marLeft w:val="0"/>
      <w:marRight w:val="0"/>
      <w:marTop w:val="0"/>
      <w:marBottom w:val="0"/>
      <w:divBdr>
        <w:top w:val="none" w:sz="0" w:space="0" w:color="auto"/>
        <w:left w:val="none" w:sz="0" w:space="0" w:color="auto"/>
        <w:bottom w:val="none" w:sz="0" w:space="0" w:color="auto"/>
        <w:right w:val="none" w:sz="0" w:space="0" w:color="auto"/>
      </w:divBdr>
    </w:div>
    <w:div w:id="1286695918">
      <w:bodyDiv w:val="1"/>
      <w:marLeft w:val="0"/>
      <w:marRight w:val="0"/>
      <w:marTop w:val="0"/>
      <w:marBottom w:val="0"/>
      <w:divBdr>
        <w:top w:val="none" w:sz="0" w:space="0" w:color="auto"/>
        <w:left w:val="none" w:sz="0" w:space="0" w:color="auto"/>
        <w:bottom w:val="none" w:sz="0" w:space="0" w:color="auto"/>
        <w:right w:val="none" w:sz="0" w:space="0" w:color="auto"/>
      </w:divBdr>
    </w:div>
    <w:div w:id="1286699339">
      <w:bodyDiv w:val="1"/>
      <w:marLeft w:val="0"/>
      <w:marRight w:val="0"/>
      <w:marTop w:val="0"/>
      <w:marBottom w:val="0"/>
      <w:divBdr>
        <w:top w:val="none" w:sz="0" w:space="0" w:color="auto"/>
        <w:left w:val="none" w:sz="0" w:space="0" w:color="auto"/>
        <w:bottom w:val="none" w:sz="0" w:space="0" w:color="auto"/>
        <w:right w:val="none" w:sz="0" w:space="0" w:color="auto"/>
      </w:divBdr>
    </w:div>
    <w:div w:id="1286884327">
      <w:bodyDiv w:val="1"/>
      <w:marLeft w:val="0"/>
      <w:marRight w:val="0"/>
      <w:marTop w:val="0"/>
      <w:marBottom w:val="0"/>
      <w:divBdr>
        <w:top w:val="none" w:sz="0" w:space="0" w:color="auto"/>
        <w:left w:val="none" w:sz="0" w:space="0" w:color="auto"/>
        <w:bottom w:val="none" w:sz="0" w:space="0" w:color="auto"/>
        <w:right w:val="none" w:sz="0" w:space="0" w:color="auto"/>
      </w:divBdr>
    </w:div>
    <w:div w:id="1286884757">
      <w:bodyDiv w:val="1"/>
      <w:marLeft w:val="0"/>
      <w:marRight w:val="0"/>
      <w:marTop w:val="0"/>
      <w:marBottom w:val="0"/>
      <w:divBdr>
        <w:top w:val="none" w:sz="0" w:space="0" w:color="auto"/>
        <w:left w:val="none" w:sz="0" w:space="0" w:color="auto"/>
        <w:bottom w:val="none" w:sz="0" w:space="0" w:color="auto"/>
        <w:right w:val="none" w:sz="0" w:space="0" w:color="auto"/>
      </w:divBdr>
    </w:div>
    <w:div w:id="1287153134">
      <w:bodyDiv w:val="1"/>
      <w:marLeft w:val="0"/>
      <w:marRight w:val="0"/>
      <w:marTop w:val="0"/>
      <w:marBottom w:val="0"/>
      <w:divBdr>
        <w:top w:val="none" w:sz="0" w:space="0" w:color="auto"/>
        <w:left w:val="none" w:sz="0" w:space="0" w:color="auto"/>
        <w:bottom w:val="none" w:sz="0" w:space="0" w:color="auto"/>
        <w:right w:val="none" w:sz="0" w:space="0" w:color="auto"/>
      </w:divBdr>
    </w:div>
    <w:div w:id="1287156472">
      <w:bodyDiv w:val="1"/>
      <w:marLeft w:val="0"/>
      <w:marRight w:val="0"/>
      <w:marTop w:val="0"/>
      <w:marBottom w:val="0"/>
      <w:divBdr>
        <w:top w:val="none" w:sz="0" w:space="0" w:color="auto"/>
        <w:left w:val="none" w:sz="0" w:space="0" w:color="auto"/>
        <w:bottom w:val="none" w:sz="0" w:space="0" w:color="auto"/>
        <w:right w:val="none" w:sz="0" w:space="0" w:color="auto"/>
      </w:divBdr>
    </w:div>
    <w:div w:id="1287194569">
      <w:bodyDiv w:val="1"/>
      <w:marLeft w:val="0"/>
      <w:marRight w:val="0"/>
      <w:marTop w:val="0"/>
      <w:marBottom w:val="0"/>
      <w:divBdr>
        <w:top w:val="none" w:sz="0" w:space="0" w:color="auto"/>
        <w:left w:val="none" w:sz="0" w:space="0" w:color="auto"/>
        <w:bottom w:val="none" w:sz="0" w:space="0" w:color="auto"/>
        <w:right w:val="none" w:sz="0" w:space="0" w:color="auto"/>
      </w:divBdr>
    </w:div>
    <w:div w:id="1287390702">
      <w:bodyDiv w:val="1"/>
      <w:marLeft w:val="0"/>
      <w:marRight w:val="0"/>
      <w:marTop w:val="0"/>
      <w:marBottom w:val="0"/>
      <w:divBdr>
        <w:top w:val="none" w:sz="0" w:space="0" w:color="auto"/>
        <w:left w:val="none" w:sz="0" w:space="0" w:color="auto"/>
        <w:bottom w:val="none" w:sz="0" w:space="0" w:color="auto"/>
        <w:right w:val="none" w:sz="0" w:space="0" w:color="auto"/>
      </w:divBdr>
    </w:div>
    <w:div w:id="1287395843">
      <w:bodyDiv w:val="1"/>
      <w:marLeft w:val="0"/>
      <w:marRight w:val="0"/>
      <w:marTop w:val="0"/>
      <w:marBottom w:val="0"/>
      <w:divBdr>
        <w:top w:val="none" w:sz="0" w:space="0" w:color="auto"/>
        <w:left w:val="none" w:sz="0" w:space="0" w:color="auto"/>
        <w:bottom w:val="none" w:sz="0" w:space="0" w:color="auto"/>
        <w:right w:val="none" w:sz="0" w:space="0" w:color="auto"/>
      </w:divBdr>
    </w:div>
    <w:div w:id="1287547848">
      <w:bodyDiv w:val="1"/>
      <w:marLeft w:val="0"/>
      <w:marRight w:val="0"/>
      <w:marTop w:val="0"/>
      <w:marBottom w:val="0"/>
      <w:divBdr>
        <w:top w:val="none" w:sz="0" w:space="0" w:color="auto"/>
        <w:left w:val="none" w:sz="0" w:space="0" w:color="auto"/>
        <w:bottom w:val="none" w:sz="0" w:space="0" w:color="auto"/>
        <w:right w:val="none" w:sz="0" w:space="0" w:color="auto"/>
      </w:divBdr>
    </w:div>
    <w:div w:id="1287617556">
      <w:bodyDiv w:val="1"/>
      <w:marLeft w:val="0"/>
      <w:marRight w:val="0"/>
      <w:marTop w:val="0"/>
      <w:marBottom w:val="0"/>
      <w:divBdr>
        <w:top w:val="none" w:sz="0" w:space="0" w:color="auto"/>
        <w:left w:val="none" w:sz="0" w:space="0" w:color="auto"/>
        <w:bottom w:val="none" w:sz="0" w:space="0" w:color="auto"/>
        <w:right w:val="none" w:sz="0" w:space="0" w:color="auto"/>
      </w:divBdr>
    </w:div>
    <w:div w:id="1287926430">
      <w:bodyDiv w:val="1"/>
      <w:marLeft w:val="0"/>
      <w:marRight w:val="0"/>
      <w:marTop w:val="0"/>
      <w:marBottom w:val="0"/>
      <w:divBdr>
        <w:top w:val="none" w:sz="0" w:space="0" w:color="auto"/>
        <w:left w:val="none" w:sz="0" w:space="0" w:color="auto"/>
        <w:bottom w:val="none" w:sz="0" w:space="0" w:color="auto"/>
        <w:right w:val="none" w:sz="0" w:space="0" w:color="auto"/>
      </w:divBdr>
    </w:div>
    <w:div w:id="1288052725">
      <w:bodyDiv w:val="1"/>
      <w:marLeft w:val="0"/>
      <w:marRight w:val="0"/>
      <w:marTop w:val="0"/>
      <w:marBottom w:val="0"/>
      <w:divBdr>
        <w:top w:val="none" w:sz="0" w:space="0" w:color="auto"/>
        <w:left w:val="none" w:sz="0" w:space="0" w:color="auto"/>
        <w:bottom w:val="none" w:sz="0" w:space="0" w:color="auto"/>
        <w:right w:val="none" w:sz="0" w:space="0" w:color="auto"/>
      </w:divBdr>
    </w:div>
    <w:div w:id="1288076720">
      <w:bodyDiv w:val="1"/>
      <w:marLeft w:val="0"/>
      <w:marRight w:val="0"/>
      <w:marTop w:val="0"/>
      <w:marBottom w:val="0"/>
      <w:divBdr>
        <w:top w:val="none" w:sz="0" w:space="0" w:color="auto"/>
        <w:left w:val="none" w:sz="0" w:space="0" w:color="auto"/>
        <w:bottom w:val="none" w:sz="0" w:space="0" w:color="auto"/>
        <w:right w:val="none" w:sz="0" w:space="0" w:color="auto"/>
      </w:divBdr>
    </w:div>
    <w:div w:id="1288121827">
      <w:bodyDiv w:val="1"/>
      <w:marLeft w:val="0"/>
      <w:marRight w:val="0"/>
      <w:marTop w:val="0"/>
      <w:marBottom w:val="0"/>
      <w:divBdr>
        <w:top w:val="none" w:sz="0" w:space="0" w:color="auto"/>
        <w:left w:val="none" w:sz="0" w:space="0" w:color="auto"/>
        <w:bottom w:val="none" w:sz="0" w:space="0" w:color="auto"/>
        <w:right w:val="none" w:sz="0" w:space="0" w:color="auto"/>
      </w:divBdr>
    </w:div>
    <w:div w:id="1288195164">
      <w:bodyDiv w:val="1"/>
      <w:marLeft w:val="0"/>
      <w:marRight w:val="0"/>
      <w:marTop w:val="0"/>
      <w:marBottom w:val="0"/>
      <w:divBdr>
        <w:top w:val="none" w:sz="0" w:space="0" w:color="auto"/>
        <w:left w:val="none" w:sz="0" w:space="0" w:color="auto"/>
        <w:bottom w:val="none" w:sz="0" w:space="0" w:color="auto"/>
        <w:right w:val="none" w:sz="0" w:space="0" w:color="auto"/>
      </w:divBdr>
    </w:div>
    <w:div w:id="1288201957">
      <w:bodyDiv w:val="1"/>
      <w:marLeft w:val="0"/>
      <w:marRight w:val="0"/>
      <w:marTop w:val="0"/>
      <w:marBottom w:val="0"/>
      <w:divBdr>
        <w:top w:val="none" w:sz="0" w:space="0" w:color="auto"/>
        <w:left w:val="none" w:sz="0" w:space="0" w:color="auto"/>
        <w:bottom w:val="none" w:sz="0" w:space="0" w:color="auto"/>
        <w:right w:val="none" w:sz="0" w:space="0" w:color="auto"/>
      </w:divBdr>
    </w:div>
    <w:div w:id="1288390710">
      <w:bodyDiv w:val="1"/>
      <w:marLeft w:val="0"/>
      <w:marRight w:val="0"/>
      <w:marTop w:val="0"/>
      <w:marBottom w:val="0"/>
      <w:divBdr>
        <w:top w:val="none" w:sz="0" w:space="0" w:color="auto"/>
        <w:left w:val="none" w:sz="0" w:space="0" w:color="auto"/>
        <w:bottom w:val="none" w:sz="0" w:space="0" w:color="auto"/>
        <w:right w:val="none" w:sz="0" w:space="0" w:color="auto"/>
      </w:divBdr>
    </w:div>
    <w:div w:id="1288469147">
      <w:bodyDiv w:val="1"/>
      <w:marLeft w:val="0"/>
      <w:marRight w:val="0"/>
      <w:marTop w:val="0"/>
      <w:marBottom w:val="0"/>
      <w:divBdr>
        <w:top w:val="none" w:sz="0" w:space="0" w:color="auto"/>
        <w:left w:val="none" w:sz="0" w:space="0" w:color="auto"/>
        <w:bottom w:val="none" w:sz="0" w:space="0" w:color="auto"/>
        <w:right w:val="none" w:sz="0" w:space="0" w:color="auto"/>
      </w:divBdr>
    </w:div>
    <w:div w:id="1288583883">
      <w:bodyDiv w:val="1"/>
      <w:marLeft w:val="0"/>
      <w:marRight w:val="0"/>
      <w:marTop w:val="0"/>
      <w:marBottom w:val="0"/>
      <w:divBdr>
        <w:top w:val="none" w:sz="0" w:space="0" w:color="auto"/>
        <w:left w:val="none" w:sz="0" w:space="0" w:color="auto"/>
        <w:bottom w:val="none" w:sz="0" w:space="0" w:color="auto"/>
        <w:right w:val="none" w:sz="0" w:space="0" w:color="auto"/>
      </w:divBdr>
    </w:div>
    <w:div w:id="1288704555">
      <w:bodyDiv w:val="1"/>
      <w:marLeft w:val="0"/>
      <w:marRight w:val="0"/>
      <w:marTop w:val="0"/>
      <w:marBottom w:val="0"/>
      <w:divBdr>
        <w:top w:val="none" w:sz="0" w:space="0" w:color="auto"/>
        <w:left w:val="none" w:sz="0" w:space="0" w:color="auto"/>
        <w:bottom w:val="none" w:sz="0" w:space="0" w:color="auto"/>
        <w:right w:val="none" w:sz="0" w:space="0" w:color="auto"/>
      </w:divBdr>
    </w:div>
    <w:div w:id="1288707974">
      <w:bodyDiv w:val="1"/>
      <w:marLeft w:val="0"/>
      <w:marRight w:val="0"/>
      <w:marTop w:val="0"/>
      <w:marBottom w:val="0"/>
      <w:divBdr>
        <w:top w:val="none" w:sz="0" w:space="0" w:color="auto"/>
        <w:left w:val="none" w:sz="0" w:space="0" w:color="auto"/>
        <w:bottom w:val="none" w:sz="0" w:space="0" w:color="auto"/>
        <w:right w:val="none" w:sz="0" w:space="0" w:color="auto"/>
      </w:divBdr>
    </w:div>
    <w:div w:id="1288777522">
      <w:bodyDiv w:val="1"/>
      <w:marLeft w:val="0"/>
      <w:marRight w:val="0"/>
      <w:marTop w:val="0"/>
      <w:marBottom w:val="0"/>
      <w:divBdr>
        <w:top w:val="none" w:sz="0" w:space="0" w:color="auto"/>
        <w:left w:val="none" w:sz="0" w:space="0" w:color="auto"/>
        <w:bottom w:val="none" w:sz="0" w:space="0" w:color="auto"/>
        <w:right w:val="none" w:sz="0" w:space="0" w:color="auto"/>
      </w:divBdr>
    </w:div>
    <w:div w:id="1288777778">
      <w:bodyDiv w:val="1"/>
      <w:marLeft w:val="0"/>
      <w:marRight w:val="0"/>
      <w:marTop w:val="0"/>
      <w:marBottom w:val="0"/>
      <w:divBdr>
        <w:top w:val="none" w:sz="0" w:space="0" w:color="auto"/>
        <w:left w:val="none" w:sz="0" w:space="0" w:color="auto"/>
        <w:bottom w:val="none" w:sz="0" w:space="0" w:color="auto"/>
        <w:right w:val="none" w:sz="0" w:space="0" w:color="auto"/>
      </w:divBdr>
    </w:div>
    <w:div w:id="1288855617">
      <w:bodyDiv w:val="1"/>
      <w:marLeft w:val="0"/>
      <w:marRight w:val="0"/>
      <w:marTop w:val="0"/>
      <w:marBottom w:val="0"/>
      <w:divBdr>
        <w:top w:val="none" w:sz="0" w:space="0" w:color="auto"/>
        <w:left w:val="none" w:sz="0" w:space="0" w:color="auto"/>
        <w:bottom w:val="none" w:sz="0" w:space="0" w:color="auto"/>
        <w:right w:val="none" w:sz="0" w:space="0" w:color="auto"/>
      </w:divBdr>
    </w:div>
    <w:div w:id="1288969944">
      <w:bodyDiv w:val="1"/>
      <w:marLeft w:val="0"/>
      <w:marRight w:val="0"/>
      <w:marTop w:val="0"/>
      <w:marBottom w:val="0"/>
      <w:divBdr>
        <w:top w:val="none" w:sz="0" w:space="0" w:color="auto"/>
        <w:left w:val="none" w:sz="0" w:space="0" w:color="auto"/>
        <w:bottom w:val="none" w:sz="0" w:space="0" w:color="auto"/>
        <w:right w:val="none" w:sz="0" w:space="0" w:color="auto"/>
      </w:divBdr>
    </w:div>
    <w:div w:id="1288972234">
      <w:bodyDiv w:val="1"/>
      <w:marLeft w:val="0"/>
      <w:marRight w:val="0"/>
      <w:marTop w:val="0"/>
      <w:marBottom w:val="0"/>
      <w:divBdr>
        <w:top w:val="none" w:sz="0" w:space="0" w:color="auto"/>
        <w:left w:val="none" w:sz="0" w:space="0" w:color="auto"/>
        <w:bottom w:val="none" w:sz="0" w:space="0" w:color="auto"/>
        <w:right w:val="none" w:sz="0" w:space="0" w:color="auto"/>
      </w:divBdr>
    </w:div>
    <w:div w:id="1289048986">
      <w:bodyDiv w:val="1"/>
      <w:marLeft w:val="0"/>
      <w:marRight w:val="0"/>
      <w:marTop w:val="0"/>
      <w:marBottom w:val="0"/>
      <w:divBdr>
        <w:top w:val="none" w:sz="0" w:space="0" w:color="auto"/>
        <w:left w:val="none" w:sz="0" w:space="0" w:color="auto"/>
        <w:bottom w:val="none" w:sz="0" w:space="0" w:color="auto"/>
        <w:right w:val="none" w:sz="0" w:space="0" w:color="auto"/>
      </w:divBdr>
    </w:div>
    <w:div w:id="1289121647">
      <w:bodyDiv w:val="1"/>
      <w:marLeft w:val="0"/>
      <w:marRight w:val="0"/>
      <w:marTop w:val="0"/>
      <w:marBottom w:val="0"/>
      <w:divBdr>
        <w:top w:val="none" w:sz="0" w:space="0" w:color="auto"/>
        <w:left w:val="none" w:sz="0" w:space="0" w:color="auto"/>
        <w:bottom w:val="none" w:sz="0" w:space="0" w:color="auto"/>
        <w:right w:val="none" w:sz="0" w:space="0" w:color="auto"/>
      </w:divBdr>
    </w:div>
    <w:div w:id="1289242778">
      <w:bodyDiv w:val="1"/>
      <w:marLeft w:val="0"/>
      <w:marRight w:val="0"/>
      <w:marTop w:val="0"/>
      <w:marBottom w:val="0"/>
      <w:divBdr>
        <w:top w:val="none" w:sz="0" w:space="0" w:color="auto"/>
        <w:left w:val="none" w:sz="0" w:space="0" w:color="auto"/>
        <w:bottom w:val="none" w:sz="0" w:space="0" w:color="auto"/>
        <w:right w:val="none" w:sz="0" w:space="0" w:color="auto"/>
      </w:divBdr>
    </w:div>
    <w:div w:id="1289244034">
      <w:bodyDiv w:val="1"/>
      <w:marLeft w:val="0"/>
      <w:marRight w:val="0"/>
      <w:marTop w:val="0"/>
      <w:marBottom w:val="0"/>
      <w:divBdr>
        <w:top w:val="none" w:sz="0" w:space="0" w:color="auto"/>
        <w:left w:val="none" w:sz="0" w:space="0" w:color="auto"/>
        <w:bottom w:val="none" w:sz="0" w:space="0" w:color="auto"/>
        <w:right w:val="none" w:sz="0" w:space="0" w:color="auto"/>
      </w:divBdr>
    </w:div>
    <w:div w:id="1289313793">
      <w:bodyDiv w:val="1"/>
      <w:marLeft w:val="0"/>
      <w:marRight w:val="0"/>
      <w:marTop w:val="0"/>
      <w:marBottom w:val="0"/>
      <w:divBdr>
        <w:top w:val="none" w:sz="0" w:space="0" w:color="auto"/>
        <w:left w:val="none" w:sz="0" w:space="0" w:color="auto"/>
        <w:bottom w:val="none" w:sz="0" w:space="0" w:color="auto"/>
        <w:right w:val="none" w:sz="0" w:space="0" w:color="auto"/>
      </w:divBdr>
    </w:div>
    <w:div w:id="1289318707">
      <w:bodyDiv w:val="1"/>
      <w:marLeft w:val="0"/>
      <w:marRight w:val="0"/>
      <w:marTop w:val="0"/>
      <w:marBottom w:val="0"/>
      <w:divBdr>
        <w:top w:val="none" w:sz="0" w:space="0" w:color="auto"/>
        <w:left w:val="none" w:sz="0" w:space="0" w:color="auto"/>
        <w:bottom w:val="none" w:sz="0" w:space="0" w:color="auto"/>
        <w:right w:val="none" w:sz="0" w:space="0" w:color="auto"/>
      </w:divBdr>
    </w:div>
    <w:div w:id="1289319738">
      <w:bodyDiv w:val="1"/>
      <w:marLeft w:val="0"/>
      <w:marRight w:val="0"/>
      <w:marTop w:val="0"/>
      <w:marBottom w:val="0"/>
      <w:divBdr>
        <w:top w:val="none" w:sz="0" w:space="0" w:color="auto"/>
        <w:left w:val="none" w:sz="0" w:space="0" w:color="auto"/>
        <w:bottom w:val="none" w:sz="0" w:space="0" w:color="auto"/>
        <w:right w:val="none" w:sz="0" w:space="0" w:color="auto"/>
      </w:divBdr>
    </w:div>
    <w:div w:id="1289362912">
      <w:bodyDiv w:val="1"/>
      <w:marLeft w:val="0"/>
      <w:marRight w:val="0"/>
      <w:marTop w:val="0"/>
      <w:marBottom w:val="0"/>
      <w:divBdr>
        <w:top w:val="none" w:sz="0" w:space="0" w:color="auto"/>
        <w:left w:val="none" w:sz="0" w:space="0" w:color="auto"/>
        <w:bottom w:val="none" w:sz="0" w:space="0" w:color="auto"/>
        <w:right w:val="none" w:sz="0" w:space="0" w:color="auto"/>
      </w:divBdr>
    </w:div>
    <w:div w:id="1289510082">
      <w:bodyDiv w:val="1"/>
      <w:marLeft w:val="0"/>
      <w:marRight w:val="0"/>
      <w:marTop w:val="0"/>
      <w:marBottom w:val="0"/>
      <w:divBdr>
        <w:top w:val="none" w:sz="0" w:space="0" w:color="auto"/>
        <w:left w:val="none" w:sz="0" w:space="0" w:color="auto"/>
        <w:bottom w:val="none" w:sz="0" w:space="0" w:color="auto"/>
        <w:right w:val="none" w:sz="0" w:space="0" w:color="auto"/>
      </w:divBdr>
    </w:div>
    <w:div w:id="1289700980">
      <w:bodyDiv w:val="1"/>
      <w:marLeft w:val="0"/>
      <w:marRight w:val="0"/>
      <w:marTop w:val="0"/>
      <w:marBottom w:val="0"/>
      <w:divBdr>
        <w:top w:val="none" w:sz="0" w:space="0" w:color="auto"/>
        <w:left w:val="none" w:sz="0" w:space="0" w:color="auto"/>
        <w:bottom w:val="none" w:sz="0" w:space="0" w:color="auto"/>
        <w:right w:val="none" w:sz="0" w:space="0" w:color="auto"/>
      </w:divBdr>
    </w:div>
    <w:div w:id="1289821604">
      <w:bodyDiv w:val="1"/>
      <w:marLeft w:val="0"/>
      <w:marRight w:val="0"/>
      <w:marTop w:val="0"/>
      <w:marBottom w:val="0"/>
      <w:divBdr>
        <w:top w:val="none" w:sz="0" w:space="0" w:color="auto"/>
        <w:left w:val="none" w:sz="0" w:space="0" w:color="auto"/>
        <w:bottom w:val="none" w:sz="0" w:space="0" w:color="auto"/>
        <w:right w:val="none" w:sz="0" w:space="0" w:color="auto"/>
      </w:divBdr>
    </w:div>
    <w:div w:id="1290211303">
      <w:bodyDiv w:val="1"/>
      <w:marLeft w:val="0"/>
      <w:marRight w:val="0"/>
      <w:marTop w:val="0"/>
      <w:marBottom w:val="0"/>
      <w:divBdr>
        <w:top w:val="none" w:sz="0" w:space="0" w:color="auto"/>
        <w:left w:val="none" w:sz="0" w:space="0" w:color="auto"/>
        <w:bottom w:val="none" w:sz="0" w:space="0" w:color="auto"/>
        <w:right w:val="none" w:sz="0" w:space="0" w:color="auto"/>
      </w:divBdr>
    </w:div>
    <w:div w:id="1290277524">
      <w:bodyDiv w:val="1"/>
      <w:marLeft w:val="0"/>
      <w:marRight w:val="0"/>
      <w:marTop w:val="0"/>
      <w:marBottom w:val="0"/>
      <w:divBdr>
        <w:top w:val="none" w:sz="0" w:space="0" w:color="auto"/>
        <w:left w:val="none" w:sz="0" w:space="0" w:color="auto"/>
        <w:bottom w:val="none" w:sz="0" w:space="0" w:color="auto"/>
        <w:right w:val="none" w:sz="0" w:space="0" w:color="auto"/>
      </w:divBdr>
    </w:div>
    <w:div w:id="1290279974">
      <w:bodyDiv w:val="1"/>
      <w:marLeft w:val="0"/>
      <w:marRight w:val="0"/>
      <w:marTop w:val="0"/>
      <w:marBottom w:val="0"/>
      <w:divBdr>
        <w:top w:val="none" w:sz="0" w:space="0" w:color="auto"/>
        <w:left w:val="none" w:sz="0" w:space="0" w:color="auto"/>
        <w:bottom w:val="none" w:sz="0" w:space="0" w:color="auto"/>
        <w:right w:val="none" w:sz="0" w:space="0" w:color="auto"/>
      </w:divBdr>
    </w:div>
    <w:div w:id="1290357171">
      <w:bodyDiv w:val="1"/>
      <w:marLeft w:val="0"/>
      <w:marRight w:val="0"/>
      <w:marTop w:val="0"/>
      <w:marBottom w:val="0"/>
      <w:divBdr>
        <w:top w:val="none" w:sz="0" w:space="0" w:color="auto"/>
        <w:left w:val="none" w:sz="0" w:space="0" w:color="auto"/>
        <w:bottom w:val="none" w:sz="0" w:space="0" w:color="auto"/>
        <w:right w:val="none" w:sz="0" w:space="0" w:color="auto"/>
      </w:divBdr>
    </w:div>
    <w:div w:id="1290358967">
      <w:bodyDiv w:val="1"/>
      <w:marLeft w:val="0"/>
      <w:marRight w:val="0"/>
      <w:marTop w:val="0"/>
      <w:marBottom w:val="0"/>
      <w:divBdr>
        <w:top w:val="none" w:sz="0" w:space="0" w:color="auto"/>
        <w:left w:val="none" w:sz="0" w:space="0" w:color="auto"/>
        <w:bottom w:val="none" w:sz="0" w:space="0" w:color="auto"/>
        <w:right w:val="none" w:sz="0" w:space="0" w:color="auto"/>
      </w:divBdr>
    </w:div>
    <w:div w:id="1290361221">
      <w:bodyDiv w:val="1"/>
      <w:marLeft w:val="0"/>
      <w:marRight w:val="0"/>
      <w:marTop w:val="0"/>
      <w:marBottom w:val="0"/>
      <w:divBdr>
        <w:top w:val="none" w:sz="0" w:space="0" w:color="auto"/>
        <w:left w:val="none" w:sz="0" w:space="0" w:color="auto"/>
        <w:bottom w:val="none" w:sz="0" w:space="0" w:color="auto"/>
        <w:right w:val="none" w:sz="0" w:space="0" w:color="auto"/>
      </w:divBdr>
    </w:div>
    <w:div w:id="1290429403">
      <w:bodyDiv w:val="1"/>
      <w:marLeft w:val="0"/>
      <w:marRight w:val="0"/>
      <w:marTop w:val="0"/>
      <w:marBottom w:val="0"/>
      <w:divBdr>
        <w:top w:val="none" w:sz="0" w:space="0" w:color="auto"/>
        <w:left w:val="none" w:sz="0" w:space="0" w:color="auto"/>
        <w:bottom w:val="none" w:sz="0" w:space="0" w:color="auto"/>
        <w:right w:val="none" w:sz="0" w:space="0" w:color="auto"/>
      </w:divBdr>
    </w:div>
    <w:div w:id="1290436351">
      <w:bodyDiv w:val="1"/>
      <w:marLeft w:val="0"/>
      <w:marRight w:val="0"/>
      <w:marTop w:val="0"/>
      <w:marBottom w:val="0"/>
      <w:divBdr>
        <w:top w:val="none" w:sz="0" w:space="0" w:color="auto"/>
        <w:left w:val="none" w:sz="0" w:space="0" w:color="auto"/>
        <w:bottom w:val="none" w:sz="0" w:space="0" w:color="auto"/>
        <w:right w:val="none" w:sz="0" w:space="0" w:color="auto"/>
      </w:divBdr>
    </w:div>
    <w:div w:id="1290475387">
      <w:bodyDiv w:val="1"/>
      <w:marLeft w:val="0"/>
      <w:marRight w:val="0"/>
      <w:marTop w:val="0"/>
      <w:marBottom w:val="0"/>
      <w:divBdr>
        <w:top w:val="none" w:sz="0" w:space="0" w:color="auto"/>
        <w:left w:val="none" w:sz="0" w:space="0" w:color="auto"/>
        <w:bottom w:val="none" w:sz="0" w:space="0" w:color="auto"/>
        <w:right w:val="none" w:sz="0" w:space="0" w:color="auto"/>
      </w:divBdr>
    </w:div>
    <w:div w:id="1290672308">
      <w:bodyDiv w:val="1"/>
      <w:marLeft w:val="0"/>
      <w:marRight w:val="0"/>
      <w:marTop w:val="0"/>
      <w:marBottom w:val="0"/>
      <w:divBdr>
        <w:top w:val="none" w:sz="0" w:space="0" w:color="auto"/>
        <w:left w:val="none" w:sz="0" w:space="0" w:color="auto"/>
        <w:bottom w:val="none" w:sz="0" w:space="0" w:color="auto"/>
        <w:right w:val="none" w:sz="0" w:space="0" w:color="auto"/>
      </w:divBdr>
    </w:div>
    <w:div w:id="1290672366">
      <w:bodyDiv w:val="1"/>
      <w:marLeft w:val="0"/>
      <w:marRight w:val="0"/>
      <w:marTop w:val="0"/>
      <w:marBottom w:val="0"/>
      <w:divBdr>
        <w:top w:val="none" w:sz="0" w:space="0" w:color="auto"/>
        <w:left w:val="none" w:sz="0" w:space="0" w:color="auto"/>
        <w:bottom w:val="none" w:sz="0" w:space="0" w:color="auto"/>
        <w:right w:val="none" w:sz="0" w:space="0" w:color="auto"/>
      </w:divBdr>
    </w:div>
    <w:div w:id="1290744480">
      <w:bodyDiv w:val="1"/>
      <w:marLeft w:val="0"/>
      <w:marRight w:val="0"/>
      <w:marTop w:val="0"/>
      <w:marBottom w:val="0"/>
      <w:divBdr>
        <w:top w:val="none" w:sz="0" w:space="0" w:color="auto"/>
        <w:left w:val="none" w:sz="0" w:space="0" w:color="auto"/>
        <w:bottom w:val="none" w:sz="0" w:space="0" w:color="auto"/>
        <w:right w:val="none" w:sz="0" w:space="0" w:color="auto"/>
      </w:divBdr>
    </w:div>
    <w:div w:id="1290745232">
      <w:bodyDiv w:val="1"/>
      <w:marLeft w:val="0"/>
      <w:marRight w:val="0"/>
      <w:marTop w:val="0"/>
      <w:marBottom w:val="0"/>
      <w:divBdr>
        <w:top w:val="none" w:sz="0" w:space="0" w:color="auto"/>
        <w:left w:val="none" w:sz="0" w:space="0" w:color="auto"/>
        <w:bottom w:val="none" w:sz="0" w:space="0" w:color="auto"/>
        <w:right w:val="none" w:sz="0" w:space="0" w:color="auto"/>
      </w:divBdr>
    </w:div>
    <w:div w:id="1290864408">
      <w:bodyDiv w:val="1"/>
      <w:marLeft w:val="0"/>
      <w:marRight w:val="0"/>
      <w:marTop w:val="0"/>
      <w:marBottom w:val="0"/>
      <w:divBdr>
        <w:top w:val="none" w:sz="0" w:space="0" w:color="auto"/>
        <w:left w:val="none" w:sz="0" w:space="0" w:color="auto"/>
        <w:bottom w:val="none" w:sz="0" w:space="0" w:color="auto"/>
        <w:right w:val="none" w:sz="0" w:space="0" w:color="auto"/>
      </w:divBdr>
    </w:div>
    <w:div w:id="1290865664">
      <w:bodyDiv w:val="1"/>
      <w:marLeft w:val="0"/>
      <w:marRight w:val="0"/>
      <w:marTop w:val="0"/>
      <w:marBottom w:val="0"/>
      <w:divBdr>
        <w:top w:val="none" w:sz="0" w:space="0" w:color="auto"/>
        <w:left w:val="none" w:sz="0" w:space="0" w:color="auto"/>
        <w:bottom w:val="none" w:sz="0" w:space="0" w:color="auto"/>
        <w:right w:val="none" w:sz="0" w:space="0" w:color="auto"/>
      </w:divBdr>
    </w:div>
    <w:div w:id="1290895159">
      <w:bodyDiv w:val="1"/>
      <w:marLeft w:val="0"/>
      <w:marRight w:val="0"/>
      <w:marTop w:val="0"/>
      <w:marBottom w:val="0"/>
      <w:divBdr>
        <w:top w:val="none" w:sz="0" w:space="0" w:color="auto"/>
        <w:left w:val="none" w:sz="0" w:space="0" w:color="auto"/>
        <w:bottom w:val="none" w:sz="0" w:space="0" w:color="auto"/>
        <w:right w:val="none" w:sz="0" w:space="0" w:color="auto"/>
      </w:divBdr>
    </w:div>
    <w:div w:id="1291013180">
      <w:bodyDiv w:val="1"/>
      <w:marLeft w:val="0"/>
      <w:marRight w:val="0"/>
      <w:marTop w:val="0"/>
      <w:marBottom w:val="0"/>
      <w:divBdr>
        <w:top w:val="none" w:sz="0" w:space="0" w:color="auto"/>
        <w:left w:val="none" w:sz="0" w:space="0" w:color="auto"/>
        <w:bottom w:val="none" w:sz="0" w:space="0" w:color="auto"/>
        <w:right w:val="none" w:sz="0" w:space="0" w:color="auto"/>
      </w:divBdr>
    </w:div>
    <w:div w:id="1291129936">
      <w:bodyDiv w:val="1"/>
      <w:marLeft w:val="0"/>
      <w:marRight w:val="0"/>
      <w:marTop w:val="0"/>
      <w:marBottom w:val="0"/>
      <w:divBdr>
        <w:top w:val="none" w:sz="0" w:space="0" w:color="auto"/>
        <w:left w:val="none" w:sz="0" w:space="0" w:color="auto"/>
        <w:bottom w:val="none" w:sz="0" w:space="0" w:color="auto"/>
        <w:right w:val="none" w:sz="0" w:space="0" w:color="auto"/>
      </w:divBdr>
    </w:div>
    <w:div w:id="1291130407">
      <w:bodyDiv w:val="1"/>
      <w:marLeft w:val="0"/>
      <w:marRight w:val="0"/>
      <w:marTop w:val="0"/>
      <w:marBottom w:val="0"/>
      <w:divBdr>
        <w:top w:val="none" w:sz="0" w:space="0" w:color="auto"/>
        <w:left w:val="none" w:sz="0" w:space="0" w:color="auto"/>
        <w:bottom w:val="none" w:sz="0" w:space="0" w:color="auto"/>
        <w:right w:val="none" w:sz="0" w:space="0" w:color="auto"/>
      </w:divBdr>
    </w:div>
    <w:div w:id="1291203911">
      <w:bodyDiv w:val="1"/>
      <w:marLeft w:val="0"/>
      <w:marRight w:val="0"/>
      <w:marTop w:val="0"/>
      <w:marBottom w:val="0"/>
      <w:divBdr>
        <w:top w:val="none" w:sz="0" w:space="0" w:color="auto"/>
        <w:left w:val="none" w:sz="0" w:space="0" w:color="auto"/>
        <w:bottom w:val="none" w:sz="0" w:space="0" w:color="auto"/>
        <w:right w:val="none" w:sz="0" w:space="0" w:color="auto"/>
      </w:divBdr>
    </w:div>
    <w:div w:id="1291209156">
      <w:bodyDiv w:val="1"/>
      <w:marLeft w:val="0"/>
      <w:marRight w:val="0"/>
      <w:marTop w:val="0"/>
      <w:marBottom w:val="0"/>
      <w:divBdr>
        <w:top w:val="none" w:sz="0" w:space="0" w:color="auto"/>
        <w:left w:val="none" w:sz="0" w:space="0" w:color="auto"/>
        <w:bottom w:val="none" w:sz="0" w:space="0" w:color="auto"/>
        <w:right w:val="none" w:sz="0" w:space="0" w:color="auto"/>
      </w:divBdr>
    </w:div>
    <w:div w:id="1291209915">
      <w:bodyDiv w:val="1"/>
      <w:marLeft w:val="0"/>
      <w:marRight w:val="0"/>
      <w:marTop w:val="0"/>
      <w:marBottom w:val="0"/>
      <w:divBdr>
        <w:top w:val="none" w:sz="0" w:space="0" w:color="auto"/>
        <w:left w:val="none" w:sz="0" w:space="0" w:color="auto"/>
        <w:bottom w:val="none" w:sz="0" w:space="0" w:color="auto"/>
        <w:right w:val="none" w:sz="0" w:space="0" w:color="auto"/>
      </w:divBdr>
    </w:div>
    <w:div w:id="1291321672">
      <w:bodyDiv w:val="1"/>
      <w:marLeft w:val="0"/>
      <w:marRight w:val="0"/>
      <w:marTop w:val="0"/>
      <w:marBottom w:val="0"/>
      <w:divBdr>
        <w:top w:val="none" w:sz="0" w:space="0" w:color="auto"/>
        <w:left w:val="none" w:sz="0" w:space="0" w:color="auto"/>
        <w:bottom w:val="none" w:sz="0" w:space="0" w:color="auto"/>
        <w:right w:val="none" w:sz="0" w:space="0" w:color="auto"/>
      </w:divBdr>
    </w:div>
    <w:div w:id="1291401078">
      <w:bodyDiv w:val="1"/>
      <w:marLeft w:val="0"/>
      <w:marRight w:val="0"/>
      <w:marTop w:val="0"/>
      <w:marBottom w:val="0"/>
      <w:divBdr>
        <w:top w:val="none" w:sz="0" w:space="0" w:color="auto"/>
        <w:left w:val="none" w:sz="0" w:space="0" w:color="auto"/>
        <w:bottom w:val="none" w:sz="0" w:space="0" w:color="auto"/>
        <w:right w:val="none" w:sz="0" w:space="0" w:color="auto"/>
      </w:divBdr>
    </w:div>
    <w:div w:id="1291401139">
      <w:bodyDiv w:val="1"/>
      <w:marLeft w:val="0"/>
      <w:marRight w:val="0"/>
      <w:marTop w:val="0"/>
      <w:marBottom w:val="0"/>
      <w:divBdr>
        <w:top w:val="none" w:sz="0" w:space="0" w:color="auto"/>
        <w:left w:val="none" w:sz="0" w:space="0" w:color="auto"/>
        <w:bottom w:val="none" w:sz="0" w:space="0" w:color="auto"/>
        <w:right w:val="none" w:sz="0" w:space="0" w:color="auto"/>
      </w:divBdr>
    </w:div>
    <w:div w:id="1291401711">
      <w:bodyDiv w:val="1"/>
      <w:marLeft w:val="0"/>
      <w:marRight w:val="0"/>
      <w:marTop w:val="0"/>
      <w:marBottom w:val="0"/>
      <w:divBdr>
        <w:top w:val="none" w:sz="0" w:space="0" w:color="auto"/>
        <w:left w:val="none" w:sz="0" w:space="0" w:color="auto"/>
        <w:bottom w:val="none" w:sz="0" w:space="0" w:color="auto"/>
        <w:right w:val="none" w:sz="0" w:space="0" w:color="auto"/>
      </w:divBdr>
    </w:div>
    <w:div w:id="1291473934">
      <w:bodyDiv w:val="1"/>
      <w:marLeft w:val="0"/>
      <w:marRight w:val="0"/>
      <w:marTop w:val="0"/>
      <w:marBottom w:val="0"/>
      <w:divBdr>
        <w:top w:val="none" w:sz="0" w:space="0" w:color="auto"/>
        <w:left w:val="none" w:sz="0" w:space="0" w:color="auto"/>
        <w:bottom w:val="none" w:sz="0" w:space="0" w:color="auto"/>
        <w:right w:val="none" w:sz="0" w:space="0" w:color="auto"/>
      </w:divBdr>
    </w:div>
    <w:div w:id="1291476550">
      <w:bodyDiv w:val="1"/>
      <w:marLeft w:val="0"/>
      <w:marRight w:val="0"/>
      <w:marTop w:val="0"/>
      <w:marBottom w:val="0"/>
      <w:divBdr>
        <w:top w:val="none" w:sz="0" w:space="0" w:color="auto"/>
        <w:left w:val="none" w:sz="0" w:space="0" w:color="auto"/>
        <w:bottom w:val="none" w:sz="0" w:space="0" w:color="auto"/>
        <w:right w:val="none" w:sz="0" w:space="0" w:color="auto"/>
      </w:divBdr>
    </w:div>
    <w:div w:id="1291478612">
      <w:bodyDiv w:val="1"/>
      <w:marLeft w:val="0"/>
      <w:marRight w:val="0"/>
      <w:marTop w:val="0"/>
      <w:marBottom w:val="0"/>
      <w:divBdr>
        <w:top w:val="none" w:sz="0" w:space="0" w:color="auto"/>
        <w:left w:val="none" w:sz="0" w:space="0" w:color="auto"/>
        <w:bottom w:val="none" w:sz="0" w:space="0" w:color="auto"/>
        <w:right w:val="none" w:sz="0" w:space="0" w:color="auto"/>
      </w:divBdr>
    </w:div>
    <w:div w:id="1291592434">
      <w:bodyDiv w:val="1"/>
      <w:marLeft w:val="0"/>
      <w:marRight w:val="0"/>
      <w:marTop w:val="0"/>
      <w:marBottom w:val="0"/>
      <w:divBdr>
        <w:top w:val="none" w:sz="0" w:space="0" w:color="auto"/>
        <w:left w:val="none" w:sz="0" w:space="0" w:color="auto"/>
        <w:bottom w:val="none" w:sz="0" w:space="0" w:color="auto"/>
        <w:right w:val="none" w:sz="0" w:space="0" w:color="auto"/>
      </w:divBdr>
    </w:div>
    <w:div w:id="1291592696">
      <w:bodyDiv w:val="1"/>
      <w:marLeft w:val="0"/>
      <w:marRight w:val="0"/>
      <w:marTop w:val="0"/>
      <w:marBottom w:val="0"/>
      <w:divBdr>
        <w:top w:val="none" w:sz="0" w:space="0" w:color="auto"/>
        <w:left w:val="none" w:sz="0" w:space="0" w:color="auto"/>
        <w:bottom w:val="none" w:sz="0" w:space="0" w:color="auto"/>
        <w:right w:val="none" w:sz="0" w:space="0" w:color="auto"/>
      </w:divBdr>
    </w:div>
    <w:div w:id="1291593821">
      <w:bodyDiv w:val="1"/>
      <w:marLeft w:val="0"/>
      <w:marRight w:val="0"/>
      <w:marTop w:val="0"/>
      <w:marBottom w:val="0"/>
      <w:divBdr>
        <w:top w:val="none" w:sz="0" w:space="0" w:color="auto"/>
        <w:left w:val="none" w:sz="0" w:space="0" w:color="auto"/>
        <w:bottom w:val="none" w:sz="0" w:space="0" w:color="auto"/>
        <w:right w:val="none" w:sz="0" w:space="0" w:color="auto"/>
      </w:divBdr>
    </w:div>
    <w:div w:id="1291595503">
      <w:bodyDiv w:val="1"/>
      <w:marLeft w:val="0"/>
      <w:marRight w:val="0"/>
      <w:marTop w:val="0"/>
      <w:marBottom w:val="0"/>
      <w:divBdr>
        <w:top w:val="none" w:sz="0" w:space="0" w:color="auto"/>
        <w:left w:val="none" w:sz="0" w:space="0" w:color="auto"/>
        <w:bottom w:val="none" w:sz="0" w:space="0" w:color="auto"/>
        <w:right w:val="none" w:sz="0" w:space="0" w:color="auto"/>
      </w:divBdr>
    </w:div>
    <w:div w:id="1291663463">
      <w:bodyDiv w:val="1"/>
      <w:marLeft w:val="0"/>
      <w:marRight w:val="0"/>
      <w:marTop w:val="0"/>
      <w:marBottom w:val="0"/>
      <w:divBdr>
        <w:top w:val="none" w:sz="0" w:space="0" w:color="auto"/>
        <w:left w:val="none" w:sz="0" w:space="0" w:color="auto"/>
        <w:bottom w:val="none" w:sz="0" w:space="0" w:color="auto"/>
        <w:right w:val="none" w:sz="0" w:space="0" w:color="auto"/>
      </w:divBdr>
    </w:div>
    <w:div w:id="1291740203">
      <w:bodyDiv w:val="1"/>
      <w:marLeft w:val="0"/>
      <w:marRight w:val="0"/>
      <w:marTop w:val="0"/>
      <w:marBottom w:val="0"/>
      <w:divBdr>
        <w:top w:val="none" w:sz="0" w:space="0" w:color="auto"/>
        <w:left w:val="none" w:sz="0" w:space="0" w:color="auto"/>
        <w:bottom w:val="none" w:sz="0" w:space="0" w:color="auto"/>
        <w:right w:val="none" w:sz="0" w:space="0" w:color="auto"/>
      </w:divBdr>
    </w:div>
    <w:div w:id="1291782773">
      <w:bodyDiv w:val="1"/>
      <w:marLeft w:val="0"/>
      <w:marRight w:val="0"/>
      <w:marTop w:val="0"/>
      <w:marBottom w:val="0"/>
      <w:divBdr>
        <w:top w:val="none" w:sz="0" w:space="0" w:color="auto"/>
        <w:left w:val="none" w:sz="0" w:space="0" w:color="auto"/>
        <w:bottom w:val="none" w:sz="0" w:space="0" w:color="auto"/>
        <w:right w:val="none" w:sz="0" w:space="0" w:color="auto"/>
      </w:divBdr>
    </w:div>
    <w:div w:id="1292059607">
      <w:bodyDiv w:val="1"/>
      <w:marLeft w:val="0"/>
      <w:marRight w:val="0"/>
      <w:marTop w:val="0"/>
      <w:marBottom w:val="0"/>
      <w:divBdr>
        <w:top w:val="none" w:sz="0" w:space="0" w:color="auto"/>
        <w:left w:val="none" w:sz="0" w:space="0" w:color="auto"/>
        <w:bottom w:val="none" w:sz="0" w:space="0" w:color="auto"/>
        <w:right w:val="none" w:sz="0" w:space="0" w:color="auto"/>
      </w:divBdr>
    </w:div>
    <w:div w:id="1292174811">
      <w:bodyDiv w:val="1"/>
      <w:marLeft w:val="0"/>
      <w:marRight w:val="0"/>
      <w:marTop w:val="0"/>
      <w:marBottom w:val="0"/>
      <w:divBdr>
        <w:top w:val="none" w:sz="0" w:space="0" w:color="auto"/>
        <w:left w:val="none" w:sz="0" w:space="0" w:color="auto"/>
        <w:bottom w:val="none" w:sz="0" w:space="0" w:color="auto"/>
        <w:right w:val="none" w:sz="0" w:space="0" w:color="auto"/>
      </w:divBdr>
    </w:div>
    <w:div w:id="1292202044">
      <w:bodyDiv w:val="1"/>
      <w:marLeft w:val="0"/>
      <w:marRight w:val="0"/>
      <w:marTop w:val="0"/>
      <w:marBottom w:val="0"/>
      <w:divBdr>
        <w:top w:val="none" w:sz="0" w:space="0" w:color="auto"/>
        <w:left w:val="none" w:sz="0" w:space="0" w:color="auto"/>
        <w:bottom w:val="none" w:sz="0" w:space="0" w:color="auto"/>
        <w:right w:val="none" w:sz="0" w:space="0" w:color="auto"/>
      </w:divBdr>
    </w:div>
    <w:div w:id="1292248656">
      <w:bodyDiv w:val="1"/>
      <w:marLeft w:val="0"/>
      <w:marRight w:val="0"/>
      <w:marTop w:val="0"/>
      <w:marBottom w:val="0"/>
      <w:divBdr>
        <w:top w:val="none" w:sz="0" w:space="0" w:color="auto"/>
        <w:left w:val="none" w:sz="0" w:space="0" w:color="auto"/>
        <w:bottom w:val="none" w:sz="0" w:space="0" w:color="auto"/>
        <w:right w:val="none" w:sz="0" w:space="0" w:color="auto"/>
      </w:divBdr>
    </w:div>
    <w:div w:id="1292596293">
      <w:bodyDiv w:val="1"/>
      <w:marLeft w:val="0"/>
      <w:marRight w:val="0"/>
      <w:marTop w:val="0"/>
      <w:marBottom w:val="0"/>
      <w:divBdr>
        <w:top w:val="none" w:sz="0" w:space="0" w:color="auto"/>
        <w:left w:val="none" w:sz="0" w:space="0" w:color="auto"/>
        <w:bottom w:val="none" w:sz="0" w:space="0" w:color="auto"/>
        <w:right w:val="none" w:sz="0" w:space="0" w:color="auto"/>
      </w:divBdr>
    </w:div>
    <w:div w:id="1292662950">
      <w:bodyDiv w:val="1"/>
      <w:marLeft w:val="0"/>
      <w:marRight w:val="0"/>
      <w:marTop w:val="0"/>
      <w:marBottom w:val="0"/>
      <w:divBdr>
        <w:top w:val="none" w:sz="0" w:space="0" w:color="auto"/>
        <w:left w:val="none" w:sz="0" w:space="0" w:color="auto"/>
        <w:bottom w:val="none" w:sz="0" w:space="0" w:color="auto"/>
        <w:right w:val="none" w:sz="0" w:space="0" w:color="auto"/>
      </w:divBdr>
    </w:div>
    <w:div w:id="1292712297">
      <w:bodyDiv w:val="1"/>
      <w:marLeft w:val="0"/>
      <w:marRight w:val="0"/>
      <w:marTop w:val="0"/>
      <w:marBottom w:val="0"/>
      <w:divBdr>
        <w:top w:val="none" w:sz="0" w:space="0" w:color="auto"/>
        <w:left w:val="none" w:sz="0" w:space="0" w:color="auto"/>
        <w:bottom w:val="none" w:sz="0" w:space="0" w:color="auto"/>
        <w:right w:val="none" w:sz="0" w:space="0" w:color="auto"/>
      </w:divBdr>
    </w:div>
    <w:div w:id="1292714795">
      <w:bodyDiv w:val="1"/>
      <w:marLeft w:val="0"/>
      <w:marRight w:val="0"/>
      <w:marTop w:val="0"/>
      <w:marBottom w:val="0"/>
      <w:divBdr>
        <w:top w:val="none" w:sz="0" w:space="0" w:color="auto"/>
        <w:left w:val="none" w:sz="0" w:space="0" w:color="auto"/>
        <w:bottom w:val="none" w:sz="0" w:space="0" w:color="auto"/>
        <w:right w:val="none" w:sz="0" w:space="0" w:color="auto"/>
      </w:divBdr>
    </w:div>
    <w:div w:id="1292784887">
      <w:bodyDiv w:val="1"/>
      <w:marLeft w:val="0"/>
      <w:marRight w:val="0"/>
      <w:marTop w:val="0"/>
      <w:marBottom w:val="0"/>
      <w:divBdr>
        <w:top w:val="none" w:sz="0" w:space="0" w:color="auto"/>
        <w:left w:val="none" w:sz="0" w:space="0" w:color="auto"/>
        <w:bottom w:val="none" w:sz="0" w:space="0" w:color="auto"/>
        <w:right w:val="none" w:sz="0" w:space="0" w:color="auto"/>
      </w:divBdr>
    </w:div>
    <w:div w:id="1292790398">
      <w:bodyDiv w:val="1"/>
      <w:marLeft w:val="0"/>
      <w:marRight w:val="0"/>
      <w:marTop w:val="0"/>
      <w:marBottom w:val="0"/>
      <w:divBdr>
        <w:top w:val="none" w:sz="0" w:space="0" w:color="auto"/>
        <w:left w:val="none" w:sz="0" w:space="0" w:color="auto"/>
        <w:bottom w:val="none" w:sz="0" w:space="0" w:color="auto"/>
        <w:right w:val="none" w:sz="0" w:space="0" w:color="auto"/>
      </w:divBdr>
    </w:div>
    <w:div w:id="1292899131">
      <w:bodyDiv w:val="1"/>
      <w:marLeft w:val="0"/>
      <w:marRight w:val="0"/>
      <w:marTop w:val="0"/>
      <w:marBottom w:val="0"/>
      <w:divBdr>
        <w:top w:val="none" w:sz="0" w:space="0" w:color="auto"/>
        <w:left w:val="none" w:sz="0" w:space="0" w:color="auto"/>
        <w:bottom w:val="none" w:sz="0" w:space="0" w:color="auto"/>
        <w:right w:val="none" w:sz="0" w:space="0" w:color="auto"/>
      </w:divBdr>
    </w:div>
    <w:div w:id="1293057174">
      <w:bodyDiv w:val="1"/>
      <w:marLeft w:val="0"/>
      <w:marRight w:val="0"/>
      <w:marTop w:val="0"/>
      <w:marBottom w:val="0"/>
      <w:divBdr>
        <w:top w:val="none" w:sz="0" w:space="0" w:color="auto"/>
        <w:left w:val="none" w:sz="0" w:space="0" w:color="auto"/>
        <w:bottom w:val="none" w:sz="0" w:space="0" w:color="auto"/>
        <w:right w:val="none" w:sz="0" w:space="0" w:color="auto"/>
      </w:divBdr>
    </w:div>
    <w:div w:id="1293244305">
      <w:bodyDiv w:val="1"/>
      <w:marLeft w:val="0"/>
      <w:marRight w:val="0"/>
      <w:marTop w:val="0"/>
      <w:marBottom w:val="0"/>
      <w:divBdr>
        <w:top w:val="none" w:sz="0" w:space="0" w:color="auto"/>
        <w:left w:val="none" w:sz="0" w:space="0" w:color="auto"/>
        <w:bottom w:val="none" w:sz="0" w:space="0" w:color="auto"/>
        <w:right w:val="none" w:sz="0" w:space="0" w:color="auto"/>
      </w:divBdr>
    </w:div>
    <w:div w:id="1293287863">
      <w:bodyDiv w:val="1"/>
      <w:marLeft w:val="0"/>
      <w:marRight w:val="0"/>
      <w:marTop w:val="0"/>
      <w:marBottom w:val="0"/>
      <w:divBdr>
        <w:top w:val="none" w:sz="0" w:space="0" w:color="auto"/>
        <w:left w:val="none" w:sz="0" w:space="0" w:color="auto"/>
        <w:bottom w:val="none" w:sz="0" w:space="0" w:color="auto"/>
        <w:right w:val="none" w:sz="0" w:space="0" w:color="auto"/>
      </w:divBdr>
    </w:div>
    <w:div w:id="1293288447">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293362896">
      <w:bodyDiv w:val="1"/>
      <w:marLeft w:val="0"/>
      <w:marRight w:val="0"/>
      <w:marTop w:val="0"/>
      <w:marBottom w:val="0"/>
      <w:divBdr>
        <w:top w:val="none" w:sz="0" w:space="0" w:color="auto"/>
        <w:left w:val="none" w:sz="0" w:space="0" w:color="auto"/>
        <w:bottom w:val="none" w:sz="0" w:space="0" w:color="auto"/>
        <w:right w:val="none" w:sz="0" w:space="0" w:color="auto"/>
      </w:divBdr>
    </w:div>
    <w:div w:id="1293516143">
      <w:bodyDiv w:val="1"/>
      <w:marLeft w:val="0"/>
      <w:marRight w:val="0"/>
      <w:marTop w:val="0"/>
      <w:marBottom w:val="0"/>
      <w:divBdr>
        <w:top w:val="none" w:sz="0" w:space="0" w:color="auto"/>
        <w:left w:val="none" w:sz="0" w:space="0" w:color="auto"/>
        <w:bottom w:val="none" w:sz="0" w:space="0" w:color="auto"/>
        <w:right w:val="none" w:sz="0" w:space="0" w:color="auto"/>
      </w:divBdr>
    </w:div>
    <w:div w:id="1293634773">
      <w:bodyDiv w:val="1"/>
      <w:marLeft w:val="0"/>
      <w:marRight w:val="0"/>
      <w:marTop w:val="0"/>
      <w:marBottom w:val="0"/>
      <w:divBdr>
        <w:top w:val="none" w:sz="0" w:space="0" w:color="auto"/>
        <w:left w:val="none" w:sz="0" w:space="0" w:color="auto"/>
        <w:bottom w:val="none" w:sz="0" w:space="0" w:color="auto"/>
        <w:right w:val="none" w:sz="0" w:space="0" w:color="auto"/>
      </w:divBdr>
    </w:div>
    <w:div w:id="1293712422">
      <w:bodyDiv w:val="1"/>
      <w:marLeft w:val="0"/>
      <w:marRight w:val="0"/>
      <w:marTop w:val="0"/>
      <w:marBottom w:val="0"/>
      <w:divBdr>
        <w:top w:val="none" w:sz="0" w:space="0" w:color="auto"/>
        <w:left w:val="none" w:sz="0" w:space="0" w:color="auto"/>
        <w:bottom w:val="none" w:sz="0" w:space="0" w:color="auto"/>
        <w:right w:val="none" w:sz="0" w:space="0" w:color="auto"/>
      </w:divBdr>
    </w:div>
    <w:div w:id="1293946043">
      <w:bodyDiv w:val="1"/>
      <w:marLeft w:val="0"/>
      <w:marRight w:val="0"/>
      <w:marTop w:val="0"/>
      <w:marBottom w:val="0"/>
      <w:divBdr>
        <w:top w:val="none" w:sz="0" w:space="0" w:color="auto"/>
        <w:left w:val="none" w:sz="0" w:space="0" w:color="auto"/>
        <w:bottom w:val="none" w:sz="0" w:space="0" w:color="auto"/>
        <w:right w:val="none" w:sz="0" w:space="0" w:color="auto"/>
      </w:divBdr>
    </w:div>
    <w:div w:id="1294023248">
      <w:bodyDiv w:val="1"/>
      <w:marLeft w:val="0"/>
      <w:marRight w:val="0"/>
      <w:marTop w:val="0"/>
      <w:marBottom w:val="0"/>
      <w:divBdr>
        <w:top w:val="none" w:sz="0" w:space="0" w:color="auto"/>
        <w:left w:val="none" w:sz="0" w:space="0" w:color="auto"/>
        <w:bottom w:val="none" w:sz="0" w:space="0" w:color="auto"/>
        <w:right w:val="none" w:sz="0" w:space="0" w:color="auto"/>
      </w:divBdr>
    </w:div>
    <w:div w:id="1294023793">
      <w:bodyDiv w:val="1"/>
      <w:marLeft w:val="0"/>
      <w:marRight w:val="0"/>
      <w:marTop w:val="0"/>
      <w:marBottom w:val="0"/>
      <w:divBdr>
        <w:top w:val="none" w:sz="0" w:space="0" w:color="auto"/>
        <w:left w:val="none" w:sz="0" w:space="0" w:color="auto"/>
        <w:bottom w:val="none" w:sz="0" w:space="0" w:color="auto"/>
        <w:right w:val="none" w:sz="0" w:space="0" w:color="auto"/>
      </w:divBdr>
    </w:div>
    <w:div w:id="1294024886">
      <w:bodyDiv w:val="1"/>
      <w:marLeft w:val="0"/>
      <w:marRight w:val="0"/>
      <w:marTop w:val="0"/>
      <w:marBottom w:val="0"/>
      <w:divBdr>
        <w:top w:val="none" w:sz="0" w:space="0" w:color="auto"/>
        <w:left w:val="none" w:sz="0" w:space="0" w:color="auto"/>
        <w:bottom w:val="none" w:sz="0" w:space="0" w:color="auto"/>
        <w:right w:val="none" w:sz="0" w:space="0" w:color="auto"/>
      </w:divBdr>
    </w:div>
    <w:div w:id="1294360411">
      <w:bodyDiv w:val="1"/>
      <w:marLeft w:val="0"/>
      <w:marRight w:val="0"/>
      <w:marTop w:val="0"/>
      <w:marBottom w:val="0"/>
      <w:divBdr>
        <w:top w:val="none" w:sz="0" w:space="0" w:color="auto"/>
        <w:left w:val="none" w:sz="0" w:space="0" w:color="auto"/>
        <w:bottom w:val="none" w:sz="0" w:space="0" w:color="auto"/>
        <w:right w:val="none" w:sz="0" w:space="0" w:color="auto"/>
      </w:divBdr>
    </w:div>
    <w:div w:id="1294477754">
      <w:bodyDiv w:val="1"/>
      <w:marLeft w:val="0"/>
      <w:marRight w:val="0"/>
      <w:marTop w:val="0"/>
      <w:marBottom w:val="0"/>
      <w:divBdr>
        <w:top w:val="none" w:sz="0" w:space="0" w:color="auto"/>
        <w:left w:val="none" w:sz="0" w:space="0" w:color="auto"/>
        <w:bottom w:val="none" w:sz="0" w:space="0" w:color="auto"/>
        <w:right w:val="none" w:sz="0" w:space="0" w:color="auto"/>
      </w:divBdr>
    </w:div>
    <w:div w:id="1294481750">
      <w:bodyDiv w:val="1"/>
      <w:marLeft w:val="0"/>
      <w:marRight w:val="0"/>
      <w:marTop w:val="0"/>
      <w:marBottom w:val="0"/>
      <w:divBdr>
        <w:top w:val="none" w:sz="0" w:space="0" w:color="auto"/>
        <w:left w:val="none" w:sz="0" w:space="0" w:color="auto"/>
        <w:bottom w:val="none" w:sz="0" w:space="0" w:color="auto"/>
        <w:right w:val="none" w:sz="0" w:space="0" w:color="auto"/>
      </w:divBdr>
    </w:div>
    <w:div w:id="1294481888">
      <w:bodyDiv w:val="1"/>
      <w:marLeft w:val="0"/>
      <w:marRight w:val="0"/>
      <w:marTop w:val="0"/>
      <w:marBottom w:val="0"/>
      <w:divBdr>
        <w:top w:val="none" w:sz="0" w:space="0" w:color="auto"/>
        <w:left w:val="none" w:sz="0" w:space="0" w:color="auto"/>
        <w:bottom w:val="none" w:sz="0" w:space="0" w:color="auto"/>
        <w:right w:val="none" w:sz="0" w:space="0" w:color="auto"/>
      </w:divBdr>
    </w:div>
    <w:div w:id="1294483795">
      <w:bodyDiv w:val="1"/>
      <w:marLeft w:val="0"/>
      <w:marRight w:val="0"/>
      <w:marTop w:val="0"/>
      <w:marBottom w:val="0"/>
      <w:divBdr>
        <w:top w:val="none" w:sz="0" w:space="0" w:color="auto"/>
        <w:left w:val="none" w:sz="0" w:space="0" w:color="auto"/>
        <w:bottom w:val="none" w:sz="0" w:space="0" w:color="auto"/>
        <w:right w:val="none" w:sz="0" w:space="0" w:color="auto"/>
      </w:divBdr>
    </w:div>
    <w:div w:id="1294484494">
      <w:bodyDiv w:val="1"/>
      <w:marLeft w:val="0"/>
      <w:marRight w:val="0"/>
      <w:marTop w:val="0"/>
      <w:marBottom w:val="0"/>
      <w:divBdr>
        <w:top w:val="none" w:sz="0" w:space="0" w:color="auto"/>
        <w:left w:val="none" w:sz="0" w:space="0" w:color="auto"/>
        <w:bottom w:val="none" w:sz="0" w:space="0" w:color="auto"/>
        <w:right w:val="none" w:sz="0" w:space="0" w:color="auto"/>
      </w:divBdr>
    </w:div>
    <w:div w:id="1294558211">
      <w:bodyDiv w:val="1"/>
      <w:marLeft w:val="0"/>
      <w:marRight w:val="0"/>
      <w:marTop w:val="0"/>
      <w:marBottom w:val="0"/>
      <w:divBdr>
        <w:top w:val="none" w:sz="0" w:space="0" w:color="auto"/>
        <w:left w:val="none" w:sz="0" w:space="0" w:color="auto"/>
        <w:bottom w:val="none" w:sz="0" w:space="0" w:color="auto"/>
        <w:right w:val="none" w:sz="0" w:space="0" w:color="auto"/>
      </w:divBdr>
    </w:div>
    <w:div w:id="1294750427">
      <w:bodyDiv w:val="1"/>
      <w:marLeft w:val="0"/>
      <w:marRight w:val="0"/>
      <w:marTop w:val="0"/>
      <w:marBottom w:val="0"/>
      <w:divBdr>
        <w:top w:val="none" w:sz="0" w:space="0" w:color="auto"/>
        <w:left w:val="none" w:sz="0" w:space="0" w:color="auto"/>
        <w:bottom w:val="none" w:sz="0" w:space="0" w:color="auto"/>
        <w:right w:val="none" w:sz="0" w:space="0" w:color="auto"/>
      </w:divBdr>
    </w:div>
    <w:div w:id="1294872875">
      <w:bodyDiv w:val="1"/>
      <w:marLeft w:val="0"/>
      <w:marRight w:val="0"/>
      <w:marTop w:val="0"/>
      <w:marBottom w:val="0"/>
      <w:divBdr>
        <w:top w:val="none" w:sz="0" w:space="0" w:color="auto"/>
        <w:left w:val="none" w:sz="0" w:space="0" w:color="auto"/>
        <w:bottom w:val="none" w:sz="0" w:space="0" w:color="auto"/>
        <w:right w:val="none" w:sz="0" w:space="0" w:color="auto"/>
      </w:divBdr>
    </w:div>
    <w:div w:id="1294942447">
      <w:bodyDiv w:val="1"/>
      <w:marLeft w:val="0"/>
      <w:marRight w:val="0"/>
      <w:marTop w:val="0"/>
      <w:marBottom w:val="0"/>
      <w:divBdr>
        <w:top w:val="none" w:sz="0" w:space="0" w:color="auto"/>
        <w:left w:val="none" w:sz="0" w:space="0" w:color="auto"/>
        <w:bottom w:val="none" w:sz="0" w:space="0" w:color="auto"/>
        <w:right w:val="none" w:sz="0" w:space="0" w:color="auto"/>
      </w:divBdr>
    </w:div>
    <w:div w:id="1294946812">
      <w:bodyDiv w:val="1"/>
      <w:marLeft w:val="0"/>
      <w:marRight w:val="0"/>
      <w:marTop w:val="0"/>
      <w:marBottom w:val="0"/>
      <w:divBdr>
        <w:top w:val="none" w:sz="0" w:space="0" w:color="auto"/>
        <w:left w:val="none" w:sz="0" w:space="0" w:color="auto"/>
        <w:bottom w:val="none" w:sz="0" w:space="0" w:color="auto"/>
        <w:right w:val="none" w:sz="0" w:space="0" w:color="auto"/>
      </w:divBdr>
    </w:div>
    <w:div w:id="1295017817">
      <w:bodyDiv w:val="1"/>
      <w:marLeft w:val="0"/>
      <w:marRight w:val="0"/>
      <w:marTop w:val="0"/>
      <w:marBottom w:val="0"/>
      <w:divBdr>
        <w:top w:val="none" w:sz="0" w:space="0" w:color="auto"/>
        <w:left w:val="none" w:sz="0" w:space="0" w:color="auto"/>
        <w:bottom w:val="none" w:sz="0" w:space="0" w:color="auto"/>
        <w:right w:val="none" w:sz="0" w:space="0" w:color="auto"/>
      </w:divBdr>
    </w:div>
    <w:div w:id="1295061749">
      <w:bodyDiv w:val="1"/>
      <w:marLeft w:val="0"/>
      <w:marRight w:val="0"/>
      <w:marTop w:val="0"/>
      <w:marBottom w:val="0"/>
      <w:divBdr>
        <w:top w:val="none" w:sz="0" w:space="0" w:color="auto"/>
        <w:left w:val="none" w:sz="0" w:space="0" w:color="auto"/>
        <w:bottom w:val="none" w:sz="0" w:space="0" w:color="auto"/>
        <w:right w:val="none" w:sz="0" w:space="0" w:color="auto"/>
      </w:divBdr>
    </w:div>
    <w:div w:id="1295134482">
      <w:bodyDiv w:val="1"/>
      <w:marLeft w:val="0"/>
      <w:marRight w:val="0"/>
      <w:marTop w:val="0"/>
      <w:marBottom w:val="0"/>
      <w:divBdr>
        <w:top w:val="none" w:sz="0" w:space="0" w:color="auto"/>
        <w:left w:val="none" w:sz="0" w:space="0" w:color="auto"/>
        <w:bottom w:val="none" w:sz="0" w:space="0" w:color="auto"/>
        <w:right w:val="none" w:sz="0" w:space="0" w:color="auto"/>
      </w:divBdr>
    </w:div>
    <w:div w:id="1295524113">
      <w:bodyDiv w:val="1"/>
      <w:marLeft w:val="0"/>
      <w:marRight w:val="0"/>
      <w:marTop w:val="0"/>
      <w:marBottom w:val="0"/>
      <w:divBdr>
        <w:top w:val="none" w:sz="0" w:space="0" w:color="auto"/>
        <w:left w:val="none" w:sz="0" w:space="0" w:color="auto"/>
        <w:bottom w:val="none" w:sz="0" w:space="0" w:color="auto"/>
        <w:right w:val="none" w:sz="0" w:space="0" w:color="auto"/>
      </w:divBdr>
    </w:div>
    <w:div w:id="1295526407">
      <w:bodyDiv w:val="1"/>
      <w:marLeft w:val="0"/>
      <w:marRight w:val="0"/>
      <w:marTop w:val="0"/>
      <w:marBottom w:val="0"/>
      <w:divBdr>
        <w:top w:val="none" w:sz="0" w:space="0" w:color="auto"/>
        <w:left w:val="none" w:sz="0" w:space="0" w:color="auto"/>
        <w:bottom w:val="none" w:sz="0" w:space="0" w:color="auto"/>
        <w:right w:val="none" w:sz="0" w:space="0" w:color="auto"/>
      </w:divBdr>
    </w:div>
    <w:div w:id="1295910831">
      <w:bodyDiv w:val="1"/>
      <w:marLeft w:val="0"/>
      <w:marRight w:val="0"/>
      <w:marTop w:val="0"/>
      <w:marBottom w:val="0"/>
      <w:divBdr>
        <w:top w:val="none" w:sz="0" w:space="0" w:color="auto"/>
        <w:left w:val="none" w:sz="0" w:space="0" w:color="auto"/>
        <w:bottom w:val="none" w:sz="0" w:space="0" w:color="auto"/>
        <w:right w:val="none" w:sz="0" w:space="0" w:color="auto"/>
      </w:divBdr>
    </w:div>
    <w:div w:id="1295988541">
      <w:bodyDiv w:val="1"/>
      <w:marLeft w:val="0"/>
      <w:marRight w:val="0"/>
      <w:marTop w:val="0"/>
      <w:marBottom w:val="0"/>
      <w:divBdr>
        <w:top w:val="none" w:sz="0" w:space="0" w:color="auto"/>
        <w:left w:val="none" w:sz="0" w:space="0" w:color="auto"/>
        <w:bottom w:val="none" w:sz="0" w:space="0" w:color="auto"/>
        <w:right w:val="none" w:sz="0" w:space="0" w:color="auto"/>
      </w:divBdr>
    </w:div>
    <w:div w:id="1296064322">
      <w:bodyDiv w:val="1"/>
      <w:marLeft w:val="0"/>
      <w:marRight w:val="0"/>
      <w:marTop w:val="0"/>
      <w:marBottom w:val="0"/>
      <w:divBdr>
        <w:top w:val="none" w:sz="0" w:space="0" w:color="auto"/>
        <w:left w:val="none" w:sz="0" w:space="0" w:color="auto"/>
        <w:bottom w:val="none" w:sz="0" w:space="0" w:color="auto"/>
        <w:right w:val="none" w:sz="0" w:space="0" w:color="auto"/>
      </w:divBdr>
    </w:div>
    <w:div w:id="1296176765">
      <w:bodyDiv w:val="1"/>
      <w:marLeft w:val="0"/>
      <w:marRight w:val="0"/>
      <w:marTop w:val="0"/>
      <w:marBottom w:val="0"/>
      <w:divBdr>
        <w:top w:val="none" w:sz="0" w:space="0" w:color="auto"/>
        <w:left w:val="none" w:sz="0" w:space="0" w:color="auto"/>
        <w:bottom w:val="none" w:sz="0" w:space="0" w:color="auto"/>
        <w:right w:val="none" w:sz="0" w:space="0" w:color="auto"/>
      </w:divBdr>
    </w:div>
    <w:div w:id="1296251817">
      <w:bodyDiv w:val="1"/>
      <w:marLeft w:val="0"/>
      <w:marRight w:val="0"/>
      <w:marTop w:val="0"/>
      <w:marBottom w:val="0"/>
      <w:divBdr>
        <w:top w:val="none" w:sz="0" w:space="0" w:color="auto"/>
        <w:left w:val="none" w:sz="0" w:space="0" w:color="auto"/>
        <w:bottom w:val="none" w:sz="0" w:space="0" w:color="auto"/>
        <w:right w:val="none" w:sz="0" w:space="0" w:color="auto"/>
      </w:divBdr>
    </w:div>
    <w:div w:id="1296252276">
      <w:bodyDiv w:val="1"/>
      <w:marLeft w:val="0"/>
      <w:marRight w:val="0"/>
      <w:marTop w:val="0"/>
      <w:marBottom w:val="0"/>
      <w:divBdr>
        <w:top w:val="none" w:sz="0" w:space="0" w:color="auto"/>
        <w:left w:val="none" w:sz="0" w:space="0" w:color="auto"/>
        <w:bottom w:val="none" w:sz="0" w:space="0" w:color="auto"/>
        <w:right w:val="none" w:sz="0" w:space="0" w:color="auto"/>
      </w:divBdr>
    </w:div>
    <w:div w:id="1296330212">
      <w:bodyDiv w:val="1"/>
      <w:marLeft w:val="0"/>
      <w:marRight w:val="0"/>
      <w:marTop w:val="0"/>
      <w:marBottom w:val="0"/>
      <w:divBdr>
        <w:top w:val="none" w:sz="0" w:space="0" w:color="auto"/>
        <w:left w:val="none" w:sz="0" w:space="0" w:color="auto"/>
        <w:bottom w:val="none" w:sz="0" w:space="0" w:color="auto"/>
        <w:right w:val="none" w:sz="0" w:space="0" w:color="auto"/>
      </w:divBdr>
    </w:div>
    <w:div w:id="1296524914">
      <w:bodyDiv w:val="1"/>
      <w:marLeft w:val="0"/>
      <w:marRight w:val="0"/>
      <w:marTop w:val="0"/>
      <w:marBottom w:val="0"/>
      <w:divBdr>
        <w:top w:val="none" w:sz="0" w:space="0" w:color="auto"/>
        <w:left w:val="none" w:sz="0" w:space="0" w:color="auto"/>
        <w:bottom w:val="none" w:sz="0" w:space="0" w:color="auto"/>
        <w:right w:val="none" w:sz="0" w:space="0" w:color="auto"/>
      </w:divBdr>
    </w:div>
    <w:div w:id="1296525110">
      <w:bodyDiv w:val="1"/>
      <w:marLeft w:val="0"/>
      <w:marRight w:val="0"/>
      <w:marTop w:val="0"/>
      <w:marBottom w:val="0"/>
      <w:divBdr>
        <w:top w:val="none" w:sz="0" w:space="0" w:color="auto"/>
        <w:left w:val="none" w:sz="0" w:space="0" w:color="auto"/>
        <w:bottom w:val="none" w:sz="0" w:space="0" w:color="auto"/>
        <w:right w:val="none" w:sz="0" w:space="0" w:color="auto"/>
      </w:divBdr>
    </w:div>
    <w:div w:id="1296565349">
      <w:bodyDiv w:val="1"/>
      <w:marLeft w:val="0"/>
      <w:marRight w:val="0"/>
      <w:marTop w:val="0"/>
      <w:marBottom w:val="0"/>
      <w:divBdr>
        <w:top w:val="none" w:sz="0" w:space="0" w:color="auto"/>
        <w:left w:val="none" w:sz="0" w:space="0" w:color="auto"/>
        <w:bottom w:val="none" w:sz="0" w:space="0" w:color="auto"/>
        <w:right w:val="none" w:sz="0" w:space="0" w:color="auto"/>
      </w:divBdr>
    </w:div>
    <w:div w:id="1296789983">
      <w:bodyDiv w:val="1"/>
      <w:marLeft w:val="0"/>
      <w:marRight w:val="0"/>
      <w:marTop w:val="0"/>
      <w:marBottom w:val="0"/>
      <w:divBdr>
        <w:top w:val="none" w:sz="0" w:space="0" w:color="auto"/>
        <w:left w:val="none" w:sz="0" w:space="0" w:color="auto"/>
        <w:bottom w:val="none" w:sz="0" w:space="0" w:color="auto"/>
        <w:right w:val="none" w:sz="0" w:space="0" w:color="auto"/>
      </w:divBdr>
    </w:div>
    <w:div w:id="1296790281">
      <w:bodyDiv w:val="1"/>
      <w:marLeft w:val="0"/>
      <w:marRight w:val="0"/>
      <w:marTop w:val="0"/>
      <w:marBottom w:val="0"/>
      <w:divBdr>
        <w:top w:val="none" w:sz="0" w:space="0" w:color="auto"/>
        <w:left w:val="none" w:sz="0" w:space="0" w:color="auto"/>
        <w:bottom w:val="none" w:sz="0" w:space="0" w:color="auto"/>
        <w:right w:val="none" w:sz="0" w:space="0" w:color="auto"/>
      </w:divBdr>
    </w:div>
    <w:div w:id="1297179099">
      <w:bodyDiv w:val="1"/>
      <w:marLeft w:val="0"/>
      <w:marRight w:val="0"/>
      <w:marTop w:val="0"/>
      <w:marBottom w:val="0"/>
      <w:divBdr>
        <w:top w:val="none" w:sz="0" w:space="0" w:color="auto"/>
        <w:left w:val="none" w:sz="0" w:space="0" w:color="auto"/>
        <w:bottom w:val="none" w:sz="0" w:space="0" w:color="auto"/>
        <w:right w:val="none" w:sz="0" w:space="0" w:color="auto"/>
      </w:divBdr>
    </w:div>
    <w:div w:id="1297181201">
      <w:bodyDiv w:val="1"/>
      <w:marLeft w:val="0"/>
      <w:marRight w:val="0"/>
      <w:marTop w:val="0"/>
      <w:marBottom w:val="0"/>
      <w:divBdr>
        <w:top w:val="none" w:sz="0" w:space="0" w:color="auto"/>
        <w:left w:val="none" w:sz="0" w:space="0" w:color="auto"/>
        <w:bottom w:val="none" w:sz="0" w:space="0" w:color="auto"/>
        <w:right w:val="none" w:sz="0" w:space="0" w:color="auto"/>
      </w:divBdr>
    </w:div>
    <w:div w:id="1297292565">
      <w:bodyDiv w:val="1"/>
      <w:marLeft w:val="0"/>
      <w:marRight w:val="0"/>
      <w:marTop w:val="0"/>
      <w:marBottom w:val="0"/>
      <w:divBdr>
        <w:top w:val="none" w:sz="0" w:space="0" w:color="auto"/>
        <w:left w:val="none" w:sz="0" w:space="0" w:color="auto"/>
        <w:bottom w:val="none" w:sz="0" w:space="0" w:color="auto"/>
        <w:right w:val="none" w:sz="0" w:space="0" w:color="auto"/>
      </w:divBdr>
    </w:div>
    <w:div w:id="1297299385">
      <w:bodyDiv w:val="1"/>
      <w:marLeft w:val="0"/>
      <w:marRight w:val="0"/>
      <w:marTop w:val="0"/>
      <w:marBottom w:val="0"/>
      <w:divBdr>
        <w:top w:val="none" w:sz="0" w:space="0" w:color="auto"/>
        <w:left w:val="none" w:sz="0" w:space="0" w:color="auto"/>
        <w:bottom w:val="none" w:sz="0" w:space="0" w:color="auto"/>
        <w:right w:val="none" w:sz="0" w:space="0" w:color="auto"/>
      </w:divBdr>
    </w:div>
    <w:div w:id="1297417306">
      <w:bodyDiv w:val="1"/>
      <w:marLeft w:val="0"/>
      <w:marRight w:val="0"/>
      <w:marTop w:val="0"/>
      <w:marBottom w:val="0"/>
      <w:divBdr>
        <w:top w:val="none" w:sz="0" w:space="0" w:color="auto"/>
        <w:left w:val="none" w:sz="0" w:space="0" w:color="auto"/>
        <w:bottom w:val="none" w:sz="0" w:space="0" w:color="auto"/>
        <w:right w:val="none" w:sz="0" w:space="0" w:color="auto"/>
      </w:divBdr>
    </w:div>
    <w:div w:id="1297493487">
      <w:bodyDiv w:val="1"/>
      <w:marLeft w:val="0"/>
      <w:marRight w:val="0"/>
      <w:marTop w:val="0"/>
      <w:marBottom w:val="0"/>
      <w:divBdr>
        <w:top w:val="none" w:sz="0" w:space="0" w:color="auto"/>
        <w:left w:val="none" w:sz="0" w:space="0" w:color="auto"/>
        <w:bottom w:val="none" w:sz="0" w:space="0" w:color="auto"/>
        <w:right w:val="none" w:sz="0" w:space="0" w:color="auto"/>
      </w:divBdr>
    </w:div>
    <w:div w:id="1297561750">
      <w:bodyDiv w:val="1"/>
      <w:marLeft w:val="0"/>
      <w:marRight w:val="0"/>
      <w:marTop w:val="0"/>
      <w:marBottom w:val="0"/>
      <w:divBdr>
        <w:top w:val="none" w:sz="0" w:space="0" w:color="auto"/>
        <w:left w:val="none" w:sz="0" w:space="0" w:color="auto"/>
        <w:bottom w:val="none" w:sz="0" w:space="0" w:color="auto"/>
        <w:right w:val="none" w:sz="0" w:space="0" w:color="auto"/>
      </w:divBdr>
    </w:div>
    <w:div w:id="1297567085">
      <w:bodyDiv w:val="1"/>
      <w:marLeft w:val="0"/>
      <w:marRight w:val="0"/>
      <w:marTop w:val="0"/>
      <w:marBottom w:val="0"/>
      <w:divBdr>
        <w:top w:val="none" w:sz="0" w:space="0" w:color="auto"/>
        <w:left w:val="none" w:sz="0" w:space="0" w:color="auto"/>
        <w:bottom w:val="none" w:sz="0" w:space="0" w:color="auto"/>
        <w:right w:val="none" w:sz="0" w:space="0" w:color="auto"/>
      </w:divBdr>
    </w:div>
    <w:div w:id="1297637627">
      <w:bodyDiv w:val="1"/>
      <w:marLeft w:val="0"/>
      <w:marRight w:val="0"/>
      <w:marTop w:val="0"/>
      <w:marBottom w:val="0"/>
      <w:divBdr>
        <w:top w:val="none" w:sz="0" w:space="0" w:color="auto"/>
        <w:left w:val="none" w:sz="0" w:space="0" w:color="auto"/>
        <w:bottom w:val="none" w:sz="0" w:space="0" w:color="auto"/>
        <w:right w:val="none" w:sz="0" w:space="0" w:color="auto"/>
      </w:divBdr>
    </w:div>
    <w:div w:id="1297762705">
      <w:bodyDiv w:val="1"/>
      <w:marLeft w:val="0"/>
      <w:marRight w:val="0"/>
      <w:marTop w:val="0"/>
      <w:marBottom w:val="0"/>
      <w:divBdr>
        <w:top w:val="none" w:sz="0" w:space="0" w:color="auto"/>
        <w:left w:val="none" w:sz="0" w:space="0" w:color="auto"/>
        <w:bottom w:val="none" w:sz="0" w:space="0" w:color="auto"/>
        <w:right w:val="none" w:sz="0" w:space="0" w:color="auto"/>
      </w:divBdr>
    </w:div>
    <w:div w:id="1297875807">
      <w:bodyDiv w:val="1"/>
      <w:marLeft w:val="0"/>
      <w:marRight w:val="0"/>
      <w:marTop w:val="0"/>
      <w:marBottom w:val="0"/>
      <w:divBdr>
        <w:top w:val="none" w:sz="0" w:space="0" w:color="auto"/>
        <w:left w:val="none" w:sz="0" w:space="0" w:color="auto"/>
        <w:bottom w:val="none" w:sz="0" w:space="0" w:color="auto"/>
        <w:right w:val="none" w:sz="0" w:space="0" w:color="auto"/>
      </w:divBdr>
    </w:div>
    <w:div w:id="1298142529">
      <w:bodyDiv w:val="1"/>
      <w:marLeft w:val="0"/>
      <w:marRight w:val="0"/>
      <w:marTop w:val="0"/>
      <w:marBottom w:val="0"/>
      <w:divBdr>
        <w:top w:val="none" w:sz="0" w:space="0" w:color="auto"/>
        <w:left w:val="none" w:sz="0" w:space="0" w:color="auto"/>
        <w:bottom w:val="none" w:sz="0" w:space="0" w:color="auto"/>
        <w:right w:val="none" w:sz="0" w:space="0" w:color="auto"/>
      </w:divBdr>
    </w:div>
    <w:div w:id="1298143135">
      <w:bodyDiv w:val="1"/>
      <w:marLeft w:val="0"/>
      <w:marRight w:val="0"/>
      <w:marTop w:val="0"/>
      <w:marBottom w:val="0"/>
      <w:divBdr>
        <w:top w:val="none" w:sz="0" w:space="0" w:color="auto"/>
        <w:left w:val="none" w:sz="0" w:space="0" w:color="auto"/>
        <w:bottom w:val="none" w:sz="0" w:space="0" w:color="auto"/>
        <w:right w:val="none" w:sz="0" w:space="0" w:color="auto"/>
      </w:divBdr>
    </w:div>
    <w:div w:id="1298296380">
      <w:bodyDiv w:val="1"/>
      <w:marLeft w:val="0"/>
      <w:marRight w:val="0"/>
      <w:marTop w:val="0"/>
      <w:marBottom w:val="0"/>
      <w:divBdr>
        <w:top w:val="none" w:sz="0" w:space="0" w:color="auto"/>
        <w:left w:val="none" w:sz="0" w:space="0" w:color="auto"/>
        <w:bottom w:val="none" w:sz="0" w:space="0" w:color="auto"/>
        <w:right w:val="none" w:sz="0" w:space="0" w:color="auto"/>
      </w:divBdr>
    </w:div>
    <w:div w:id="1298340206">
      <w:bodyDiv w:val="1"/>
      <w:marLeft w:val="0"/>
      <w:marRight w:val="0"/>
      <w:marTop w:val="0"/>
      <w:marBottom w:val="0"/>
      <w:divBdr>
        <w:top w:val="none" w:sz="0" w:space="0" w:color="auto"/>
        <w:left w:val="none" w:sz="0" w:space="0" w:color="auto"/>
        <w:bottom w:val="none" w:sz="0" w:space="0" w:color="auto"/>
        <w:right w:val="none" w:sz="0" w:space="0" w:color="auto"/>
      </w:divBdr>
    </w:div>
    <w:div w:id="1298489635">
      <w:bodyDiv w:val="1"/>
      <w:marLeft w:val="0"/>
      <w:marRight w:val="0"/>
      <w:marTop w:val="0"/>
      <w:marBottom w:val="0"/>
      <w:divBdr>
        <w:top w:val="none" w:sz="0" w:space="0" w:color="auto"/>
        <w:left w:val="none" w:sz="0" w:space="0" w:color="auto"/>
        <w:bottom w:val="none" w:sz="0" w:space="0" w:color="auto"/>
        <w:right w:val="none" w:sz="0" w:space="0" w:color="auto"/>
      </w:divBdr>
    </w:div>
    <w:div w:id="1298536642">
      <w:bodyDiv w:val="1"/>
      <w:marLeft w:val="0"/>
      <w:marRight w:val="0"/>
      <w:marTop w:val="0"/>
      <w:marBottom w:val="0"/>
      <w:divBdr>
        <w:top w:val="none" w:sz="0" w:space="0" w:color="auto"/>
        <w:left w:val="none" w:sz="0" w:space="0" w:color="auto"/>
        <w:bottom w:val="none" w:sz="0" w:space="0" w:color="auto"/>
        <w:right w:val="none" w:sz="0" w:space="0" w:color="auto"/>
      </w:divBdr>
    </w:div>
    <w:div w:id="1298678679">
      <w:bodyDiv w:val="1"/>
      <w:marLeft w:val="0"/>
      <w:marRight w:val="0"/>
      <w:marTop w:val="0"/>
      <w:marBottom w:val="0"/>
      <w:divBdr>
        <w:top w:val="none" w:sz="0" w:space="0" w:color="auto"/>
        <w:left w:val="none" w:sz="0" w:space="0" w:color="auto"/>
        <w:bottom w:val="none" w:sz="0" w:space="0" w:color="auto"/>
        <w:right w:val="none" w:sz="0" w:space="0" w:color="auto"/>
      </w:divBdr>
    </w:div>
    <w:div w:id="1298686882">
      <w:bodyDiv w:val="1"/>
      <w:marLeft w:val="0"/>
      <w:marRight w:val="0"/>
      <w:marTop w:val="0"/>
      <w:marBottom w:val="0"/>
      <w:divBdr>
        <w:top w:val="none" w:sz="0" w:space="0" w:color="auto"/>
        <w:left w:val="none" w:sz="0" w:space="0" w:color="auto"/>
        <w:bottom w:val="none" w:sz="0" w:space="0" w:color="auto"/>
        <w:right w:val="none" w:sz="0" w:space="0" w:color="auto"/>
      </w:divBdr>
    </w:div>
    <w:div w:id="1298729142">
      <w:bodyDiv w:val="1"/>
      <w:marLeft w:val="0"/>
      <w:marRight w:val="0"/>
      <w:marTop w:val="0"/>
      <w:marBottom w:val="0"/>
      <w:divBdr>
        <w:top w:val="none" w:sz="0" w:space="0" w:color="auto"/>
        <w:left w:val="none" w:sz="0" w:space="0" w:color="auto"/>
        <w:bottom w:val="none" w:sz="0" w:space="0" w:color="auto"/>
        <w:right w:val="none" w:sz="0" w:space="0" w:color="auto"/>
      </w:divBdr>
    </w:div>
    <w:div w:id="1298797772">
      <w:bodyDiv w:val="1"/>
      <w:marLeft w:val="0"/>
      <w:marRight w:val="0"/>
      <w:marTop w:val="0"/>
      <w:marBottom w:val="0"/>
      <w:divBdr>
        <w:top w:val="none" w:sz="0" w:space="0" w:color="auto"/>
        <w:left w:val="none" w:sz="0" w:space="0" w:color="auto"/>
        <w:bottom w:val="none" w:sz="0" w:space="0" w:color="auto"/>
        <w:right w:val="none" w:sz="0" w:space="0" w:color="auto"/>
      </w:divBdr>
    </w:div>
    <w:div w:id="1298803413">
      <w:bodyDiv w:val="1"/>
      <w:marLeft w:val="0"/>
      <w:marRight w:val="0"/>
      <w:marTop w:val="0"/>
      <w:marBottom w:val="0"/>
      <w:divBdr>
        <w:top w:val="none" w:sz="0" w:space="0" w:color="auto"/>
        <w:left w:val="none" w:sz="0" w:space="0" w:color="auto"/>
        <w:bottom w:val="none" w:sz="0" w:space="0" w:color="auto"/>
        <w:right w:val="none" w:sz="0" w:space="0" w:color="auto"/>
      </w:divBdr>
    </w:div>
    <w:div w:id="1298804980">
      <w:bodyDiv w:val="1"/>
      <w:marLeft w:val="0"/>
      <w:marRight w:val="0"/>
      <w:marTop w:val="0"/>
      <w:marBottom w:val="0"/>
      <w:divBdr>
        <w:top w:val="none" w:sz="0" w:space="0" w:color="auto"/>
        <w:left w:val="none" w:sz="0" w:space="0" w:color="auto"/>
        <w:bottom w:val="none" w:sz="0" w:space="0" w:color="auto"/>
        <w:right w:val="none" w:sz="0" w:space="0" w:color="auto"/>
      </w:divBdr>
    </w:div>
    <w:div w:id="1298872061">
      <w:bodyDiv w:val="1"/>
      <w:marLeft w:val="0"/>
      <w:marRight w:val="0"/>
      <w:marTop w:val="0"/>
      <w:marBottom w:val="0"/>
      <w:divBdr>
        <w:top w:val="none" w:sz="0" w:space="0" w:color="auto"/>
        <w:left w:val="none" w:sz="0" w:space="0" w:color="auto"/>
        <w:bottom w:val="none" w:sz="0" w:space="0" w:color="auto"/>
        <w:right w:val="none" w:sz="0" w:space="0" w:color="auto"/>
      </w:divBdr>
    </w:div>
    <w:div w:id="1298949363">
      <w:bodyDiv w:val="1"/>
      <w:marLeft w:val="0"/>
      <w:marRight w:val="0"/>
      <w:marTop w:val="0"/>
      <w:marBottom w:val="0"/>
      <w:divBdr>
        <w:top w:val="none" w:sz="0" w:space="0" w:color="auto"/>
        <w:left w:val="none" w:sz="0" w:space="0" w:color="auto"/>
        <w:bottom w:val="none" w:sz="0" w:space="0" w:color="auto"/>
        <w:right w:val="none" w:sz="0" w:space="0" w:color="auto"/>
      </w:divBdr>
    </w:div>
    <w:div w:id="1298991457">
      <w:bodyDiv w:val="1"/>
      <w:marLeft w:val="0"/>
      <w:marRight w:val="0"/>
      <w:marTop w:val="0"/>
      <w:marBottom w:val="0"/>
      <w:divBdr>
        <w:top w:val="none" w:sz="0" w:space="0" w:color="auto"/>
        <w:left w:val="none" w:sz="0" w:space="0" w:color="auto"/>
        <w:bottom w:val="none" w:sz="0" w:space="0" w:color="auto"/>
        <w:right w:val="none" w:sz="0" w:space="0" w:color="auto"/>
      </w:divBdr>
    </w:div>
    <w:div w:id="1298997730">
      <w:bodyDiv w:val="1"/>
      <w:marLeft w:val="0"/>
      <w:marRight w:val="0"/>
      <w:marTop w:val="0"/>
      <w:marBottom w:val="0"/>
      <w:divBdr>
        <w:top w:val="none" w:sz="0" w:space="0" w:color="auto"/>
        <w:left w:val="none" w:sz="0" w:space="0" w:color="auto"/>
        <w:bottom w:val="none" w:sz="0" w:space="0" w:color="auto"/>
        <w:right w:val="none" w:sz="0" w:space="0" w:color="auto"/>
      </w:divBdr>
    </w:div>
    <w:div w:id="1299217566">
      <w:bodyDiv w:val="1"/>
      <w:marLeft w:val="0"/>
      <w:marRight w:val="0"/>
      <w:marTop w:val="0"/>
      <w:marBottom w:val="0"/>
      <w:divBdr>
        <w:top w:val="none" w:sz="0" w:space="0" w:color="auto"/>
        <w:left w:val="none" w:sz="0" w:space="0" w:color="auto"/>
        <w:bottom w:val="none" w:sz="0" w:space="0" w:color="auto"/>
        <w:right w:val="none" w:sz="0" w:space="0" w:color="auto"/>
      </w:divBdr>
    </w:div>
    <w:div w:id="1299217977">
      <w:bodyDiv w:val="1"/>
      <w:marLeft w:val="0"/>
      <w:marRight w:val="0"/>
      <w:marTop w:val="0"/>
      <w:marBottom w:val="0"/>
      <w:divBdr>
        <w:top w:val="none" w:sz="0" w:space="0" w:color="auto"/>
        <w:left w:val="none" w:sz="0" w:space="0" w:color="auto"/>
        <w:bottom w:val="none" w:sz="0" w:space="0" w:color="auto"/>
        <w:right w:val="none" w:sz="0" w:space="0" w:color="auto"/>
      </w:divBdr>
    </w:div>
    <w:div w:id="1299336788">
      <w:bodyDiv w:val="1"/>
      <w:marLeft w:val="0"/>
      <w:marRight w:val="0"/>
      <w:marTop w:val="0"/>
      <w:marBottom w:val="0"/>
      <w:divBdr>
        <w:top w:val="none" w:sz="0" w:space="0" w:color="auto"/>
        <w:left w:val="none" w:sz="0" w:space="0" w:color="auto"/>
        <w:bottom w:val="none" w:sz="0" w:space="0" w:color="auto"/>
        <w:right w:val="none" w:sz="0" w:space="0" w:color="auto"/>
      </w:divBdr>
    </w:div>
    <w:div w:id="1299337432">
      <w:bodyDiv w:val="1"/>
      <w:marLeft w:val="0"/>
      <w:marRight w:val="0"/>
      <w:marTop w:val="0"/>
      <w:marBottom w:val="0"/>
      <w:divBdr>
        <w:top w:val="none" w:sz="0" w:space="0" w:color="auto"/>
        <w:left w:val="none" w:sz="0" w:space="0" w:color="auto"/>
        <w:bottom w:val="none" w:sz="0" w:space="0" w:color="auto"/>
        <w:right w:val="none" w:sz="0" w:space="0" w:color="auto"/>
      </w:divBdr>
    </w:div>
    <w:div w:id="1299341602">
      <w:bodyDiv w:val="1"/>
      <w:marLeft w:val="0"/>
      <w:marRight w:val="0"/>
      <w:marTop w:val="0"/>
      <w:marBottom w:val="0"/>
      <w:divBdr>
        <w:top w:val="none" w:sz="0" w:space="0" w:color="auto"/>
        <w:left w:val="none" w:sz="0" w:space="0" w:color="auto"/>
        <w:bottom w:val="none" w:sz="0" w:space="0" w:color="auto"/>
        <w:right w:val="none" w:sz="0" w:space="0" w:color="auto"/>
      </w:divBdr>
    </w:div>
    <w:div w:id="1299527233">
      <w:bodyDiv w:val="1"/>
      <w:marLeft w:val="0"/>
      <w:marRight w:val="0"/>
      <w:marTop w:val="0"/>
      <w:marBottom w:val="0"/>
      <w:divBdr>
        <w:top w:val="none" w:sz="0" w:space="0" w:color="auto"/>
        <w:left w:val="none" w:sz="0" w:space="0" w:color="auto"/>
        <w:bottom w:val="none" w:sz="0" w:space="0" w:color="auto"/>
        <w:right w:val="none" w:sz="0" w:space="0" w:color="auto"/>
      </w:divBdr>
    </w:div>
    <w:div w:id="1299578909">
      <w:bodyDiv w:val="1"/>
      <w:marLeft w:val="0"/>
      <w:marRight w:val="0"/>
      <w:marTop w:val="0"/>
      <w:marBottom w:val="0"/>
      <w:divBdr>
        <w:top w:val="none" w:sz="0" w:space="0" w:color="auto"/>
        <w:left w:val="none" w:sz="0" w:space="0" w:color="auto"/>
        <w:bottom w:val="none" w:sz="0" w:space="0" w:color="auto"/>
        <w:right w:val="none" w:sz="0" w:space="0" w:color="auto"/>
      </w:divBdr>
    </w:div>
    <w:div w:id="1299646780">
      <w:bodyDiv w:val="1"/>
      <w:marLeft w:val="0"/>
      <w:marRight w:val="0"/>
      <w:marTop w:val="0"/>
      <w:marBottom w:val="0"/>
      <w:divBdr>
        <w:top w:val="none" w:sz="0" w:space="0" w:color="auto"/>
        <w:left w:val="none" w:sz="0" w:space="0" w:color="auto"/>
        <w:bottom w:val="none" w:sz="0" w:space="0" w:color="auto"/>
        <w:right w:val="none" w:sz="0" w:space="0" w:color="auto"/>
      </w:divBdr>
    </w:div>
    <w:div w:id="1299721534">
      <w:bodyDiv w:val="1"/>
      <w:marLeft w:val="0"/>
      <w:marRight w:val="0"/>
      <w:marTop w:val="0"/>
      <w:marBottom w:val="0"/>
      <w:divBdr>
        <w:top w:val="none" w:sz="0" w:space="0" w:color="auto"/>
        <w:left w:val="none" w:sz="0" w:space="0" w:color="auto"/>
        <w:bottom w:val="none" w:sz="0" w:space="0" w:color="auto"/>
        <w:right w:val="none" w:sz="0" w:space="0" w:color="auto"/>
      </w:divBdr>
    </w:div>
    <w:div w:id="1299804753">
      <w:bodyDiv w:val="1"/>
      <w:marLeft w:val="0"/>
      <w:marRight w:val="0"/>
      <w:marTop w:val="0"/>
      <w:marBottom w:val="0"/>
      <w:divBdr>
        <w:top w:val="none" w:sz="0" w:space="0" w:color="auto"/>
        <w:left w:val="none" w:sz="0" w:space="0" w:color="auto"/>
        <w:bottom w:val="none" w:sz="0" w:space="0" w:color="auto"/>
        <w:right w:val="none" w:sz="0" w:space="0" w:color="auto"/>
      </w:divBdr>
    </w:div>
    <w:div w:id="1299914567">
      <w:bodyDiv w:val="1"/>
      <w:marLeft w:val="0"/>
      <w:marRight w:val="0"/>
      <w:marTop w:val="0"/>
      <w:marBottom w:val="0"/>
      <w:divBdr>
        <w:top w:val="none" w:sz="0" w:space="0" w:color="auto"/>
        <w:left w:val="none" w:sz="0" w:space="0" w:color="auto"/>
        <w:bottom w:val="none" w:sz="0" w:space="0" w:color="auto"/>
        <w:right w:val="none" w:sz="0" w:space="0" w:color="auto"/>
      </w:divBdr>
    </w:div>
    <w:div w:id="1299990934">
      <w:bodyDiv w:val="1"/>
      <w:marLeft w:val="0"/>
      <w:marRight w:val="0"/>
      <w:marTop w:val="0"/>
      <w:marBottom w:val="0"/>
      <w:divBdr>
        <w:top w:val="none" w:sz="0" w:space="0" w:color="auto"/>
        <w:left w:val="none" w:sz="0" w:space="0" w:color="auto"/>
        <w:bottom w:val="none" w:sz="0" w:space="0" w:color="auto"/>
        <w:right w:val="none" w:sz="0" w:space="0" w:color="auto"/>
      </w:divBdr>
    </w:div>
    <w:div w:id="1299996787">
      <w:bodyDiv w:val="1"/>
      <w:marLeft w:val="0"/>
      <w:marRight w:val="0"/>
      <w:marTop w:val="0"/>
      <w:marBottom w:val="0"/>
      <w:divBdr>
        <w:top w:val="none" w:sz="0" w:space="0" w:color="auto"/>
        <w:left w:val="none" w:sz="0" w:space="0" w:color="auto"/>
        <w:bottom w:val="none" w:sz="0" w:space="0" w:color="auto"/>
        <w:right w:val="none" w:sz="0" w:space="0" w:color="auto"/>
      </w:divBdr>
    </w:div>
    <w:div w:id="1300064860">
      <w:bodyDiv w:val="1"/>
      <w:marLeft w:val="0"/>
      <w:marRight w:val="0"/>
      <w:marTop w:val="0"/>
      <w:marBottom w:val="0"/>
      <w:divBdr>
        <w:top w:val="none" w:sz="0" w:space="0" w:color="auto"/>
        <w:left w:val="none" w:sz="0" w:space="0" w:color="auto"/>
        <w:bottom w:val="none" w:sz="0" w:space="0" w:color="auto"/>
        <w:right w:val="none" w:sz="0" w:space="0" w:color="auto"/>
      </w:divBdr>
    </w:div>
    <w:div w:id="1300182303">
      <w:bodyDiv w:val="1"/>
      <w:marLeft w:val="0"/>
      <w:marRight w:val="0"/>
      <w:marTop w:val="0"/>
      <w:marBottom w:val="0"/>
      <w:divBdr>
        <w:top w:val="none" w:sz="0" w:space="0" w:color="auto"/>
        <w:left w:val="none" w:sz="0" w:space="0" w:color="auto"/>
        <w:bottom w:val="none" w:sz="0" w:space="0" w:color="auto"/>
        <w:right w:val="none" w:sz="0" w:space="0" w:color="auto"/>
      </w:divBdr>
    </w:div>
    <w:div w:id="1300263202">
      <w:bodyDiv w:val="1"/>
      <w:marLeft w:val="0"/>
      <w:marRight w:val="0"/>
      <w:marTop w:val="0"/>
      <w:marBottom w:val="0"/>
      <w:divBdr>
        <w:top w:val="none" w:sz="0" w:space="0" w:color="auto"/>
        <w:left w:val="none" w:sz="0" w:space="0" w:color="auto"/>
        <w:bottom w:val="none" w:sz="0" w:space="0" w:color="auto"/>
        <w:right w:val="none" w:sz="0" w:space="0" w:color="auto"/>
      </w:divBdr>
    </w:div>
    <w:div w:id="1300263791">
      <w:bodyDiv w:val="1"/>
      <w:marLeft w:val="0"/>
      <w:marRight w:val="0"/>
      <w:marTop w:val="0"/>
      <w:marBottom w:val="0"/>
      <w:divBdr>
        <w:top w:val="none" w:sz="0" w:space="0" w:color="auto"/>
        <w:left w:val="none" w:sz="0" w:space="0" w:color="auto"/>
        <w:bottom w:val="none" w:sz="0" w:space="0" w:color="auto"/>
        <w:right w:val="none" w:sz="0" w:space="0" w:color="auto"/>
      </w:divBdr>
    </w:div>
    <w:div w:id="1300569543">
      <w:bodyDiv w:val="1"/>
      <w:marLeft w:val="0"/>
      <w:marRight w:val="0"/>
      <w:marTop w:val="0"/>
      <w:marBottom w:val="0"/>
      <w:divBdr>
        <w:top w:val="none" w:sz="0" w:space="0" w:color="auto"/>
        <w:left w:val="none" w:sz="0" w:space="0" w:color="auto"/>
        <w:bottom w:val="none" w:sz="0" w:space="0" w:color="auto"/>
        <w:right w:val="none" w:sz="0" w:space="0" w:color="auto"/>
      </w:divBdr>
    </w:div>
    <w:div w:id="1300648394">
      <w:bodyDiv w:val="1"/>
      <w:marLeft w:val="0"/>
      <w:marRight w:val="0"/>
      <w:marTop w:val="0"/>
      <w:marBottom w:val="0"/>
      <w:divBdr>
        <w:top w:val="none" w:sz="0" w:space="0" w:color="auto"/>
        <w:left w:val="none" w:sz="0" w:space="0" w:color="auto"/>
        <w:bottom w:val="none" w:sz="0" w:space="0" w:color="auto"/>
        <w:right w:val="none" w:sz="0" w:space="0" w:color="auto"/>
      </w:divBdr>
    </w:div>
    <w:div w:id="1300693560">
      <w:bodyDiv w:val="1"/>
      <w:marLeft w:val="0"/>
      <w:marRight w:val="0"/>
      <w:marTop w:val="0"/>
      <w:marBottom w:val="0"/>
      <w:divBdr>
        <w:top w:val="none" w:sz="0" w:space="0" w:color="auto"/>
        <w:left w:val="none" w:sz="0" w:space="0" w:color="auto"/>
        <w:bottom w:val="none" w:sz="0" w:space="0" w:color="auto"/>
        <w:right w:val="none" w:sz="0" w:space="0" w:color="auto"/>
      </w:divBdr>
    </w:div>
    <w:div w:id="1300695148">
      <w:bodyDiv w:val="1"/>
      <w:marLeft w:val="0"/>
      <w:marRight w:val="0"/>
      <w:marTop w:val="0"/>
      <w:marBottom w:val="0"/>
      <w:divBdr>
        <w:top w:val="none" w:sz="0" w:space="0" w:color="auto"/>
        <w:left w:val="none" w:sz="0" w:space="0" w:color="auto"/>
        <w:bottom w:val="none" w:sz="0" w:space="0" w:color="auto"/>
        <w:right w:val="none" w:sz="0" w:space="0" w:color="auto"/>
      </w:divBdr>
    </w:div>
    <w:div w:id="1300724658">
      <w:bodyDiv w:val="1"/>
      <w:marLeft w:val="0"/>
      <w:marRight w:val="0"/>
      <w:marTop w:val="0"/>
      <w:marBottom w:val="0"/>
      <w:divBdr>
        <w:top w:val="none" w:sz="0" w:space="0" w:color="auto"/>
        <w:left w:val="none" w:sz="0" w:space="0" w:color="auto"/>
        <w:bottom w:val="none" w:sz="0" w:space="0" w:color="auto"/>
        <w:right w:val="none" w:sz="0" w:space="0" w:color="auto"/>
      </w:divBdr>
    </w:div>
    <w:div w:id="1300762620">
      <w:bodyDiv w:val="1"/>
      <w:marLeft w:val="0"/>
      <w:marRight w:val="0"/>
      <w:marTop w:val="0"/>
      <w:marBottom w:val="0"/>
      <w:divBdr>
        <w:top w:val="none" w:sz="0" w:space="0" w:color="auto"/>
        <w:left w:val="none" w:sz="0" w:space="0" w:color="auto"/>
        <w:bottom w:val="none" w:sz="0" w:space="0" w:color="auto"/>
        <w:right w:val="none" w:sz="0" w:space="0" w:color="auto"/>
      </w:divBdr>
    </w:div>
    <w:div w:id="1300915559">
      <w:bodyDiv w:val="1"/>
      <w:marLeft w:val="0"/>
      <w:marRight w:val="0"/>
      <w:marTop w:val="0"/>
      <w:marBottom w:val="0"/>
      <w:divBdr>
        <w:top w:val="none" w:sz="0" w:space="0" w:color="auto"/>
        <w:left w:val="none" w:sz="0" w:space="0" w:color="auto"/>
        <w:bottom w:val="none" w:sz="0" w:space="0" w:color="auto"/>
        <w:right w:val="none" w:sz="0" w:space="0" w:color="auto"/>
      </w:divBdr>
    </w:div>
    <w:div w:id="1300919484">
      <w:bodyDiv w:val="1"/>
      <w:marLeft w:val="0"/>
      <w:marRight w:val="0"/>
      <w:marTop w:val="0"/>
      <w:marBottom w:val="0"/>
      <w:divBdr>
        <w:top w:val="none" w:sz="0" w:space="0" w:color="auto"/>
        <w:left w:val="none" w:sz="0" w:space="0" w:color="auto"/>
        <w:bottom w:val="none" w:sz="0" w:space="0" w:color="auto"/>
        <w:right w:val="none" w:sz="0" w:space="0" w:color="auto"/>
      </w:divBdr>
    </w:div>
    <w:div w:id="1300963514">
      <w:bodyDiv w:val="1"/>
      <w:marLeft w:val="0"/>
      <w:marRight w:val="0"/>
      <w:marTop w:val="0"/>
      <w:marBottom w:val="0"/>
      <w:divBdr>
        <w:top w:val="none" w:sz="0" w:space="0" w:color="auto"/>
        <w:left w:val="none" w:sz="0" w:space="0" w:color="auto"/>
        <w:bottom w:val="none" w:sz="0" w:space="0" w:color="auto"/>
        <w:right w:val="none" w:sz="0" w:space="0" w:color="auto"/>
      </w:divBdr>
    </w:div>
    <w:div w:id="1301032571">
      <w:bodyDiv w:val="1"/>
      <w:marLeft w:val="0"/>
      <w:marRight w:val="0"/>
      <w:marTop w:val="0"/>
      <w:marBottom w:val="0"/>
      <w:divBdr>
        <w:top w:val="none" w:sz="0" w:space="0" w:color="auto"/>
        <w:left w:val="none" w:sz="0" w:space="0" w:color="auto"/>
        <w:bottom w:val="none" w:sz="0" w:space="0" w:color="auto"/>
        <w:right w:val="none" w:sz="0" w:space="0" w:color="auto"/>
      </w:divBdr>
    </w:div>
    <w:div w:id="1301033499">
      <w:bodyDiv w:val="1"/>
      <w:marLeft w:val="0"/>
      <w:marRight w:val="0"/>
      <w:marTop w:val="0"/>
      <w:marBottom w:val="0"/>
      <w:divBdr>
        <w:top w:val="none" w:sz="0" w:space="0" w:color="auto"/>
        <w:left w:val="none" w:sz="0" w:space="0" w:color="auto"/>
        <w:bottom w:val="none" w:sz="0" w:space="0" w:color="auto"/>
        <w:right w:val="none" w:sz="0" w:space="0" w:color="auto"/>
      </w:divBdr>
    </w:div>
    <w:div w:id="1301039130">
      <w:bodyDiv w:val="1"/>
      <w:marLeft w:val="0"/>
      <w:marRight w:val="0"/>
      <w:marTop w:val="0"/>
      <w:marBottom w:val="0"/>
      <w:divBdr>
        <w:top w:val="none" w:sz="0" w:space="0" w:color="auto"/>
        <w:left w:val="none" w:sz="0" w:space="0" w:color="auto"/>
        <w:bottom w:val="none" w:sz="0" w:space="0" w:color="auto"/>
        <w:right w:val="none" w:sz="0" w:space="0" w:color="auto"/>
      </w:divBdr>
    </w:div>
    <w:div w:id="1301110424">
      <w:bodyDiv w:val="1"/>
      <w:marLeft w:val="0"/>
      <w:marRight w:val="0"/>
      <w:marTop w:val="0"/>
      <w:marBottom w:val="0"/>
      <w:divBdr>
        <w:top w:val="none" w:sz="0" w:space="0" w:color="auto"/>
        <w:left w:val="none" w:sz="0" w:space="0" w:color="auto"/>
        <w:bottom w:val="none" w:sz="0" w:space="0" w:color="auto"/>
        <w:right w:val="none" w:sz="0" w:space="0" w:color="auto"/>
      </w:divBdr>
    </w:div>
    <w:div w:id="1301114937">
      <w:bodyDiv w:val="1"/>
      <w:marLeft w:val="0"/>
      <w:marRight w:val="0"/>
      <w:marTop w:val="0"/>
      <w:marBottom w:val="0"/>
      <w:divBdr>
        <w:top w:val="none" w:sz="0" w:space="0" w:color="auto"/>
        <w:left w:val="none" w:sz="0" w:space="0" w:color="auto"/>
        <w:bottom w:val="none" w:sz="0" w:space="0" w:color="auto"/>
        <w:right w:val="none" w:sz="0" w:space="0" w:color="auto"/>
      </w:divBdr>
    </w:div>
    <w:div w:id="1301152037">
      <w:bodyDiv w:val="1"/>
      <w:marLeft w:val="0"/>
      <w:marRight w:val="0"/>
      <w:marTop w:val="0"/>
      <w:marBottom w:val="0"/>
      <w:divBdr>
        <w:top w:val="none" w:sz="0" w:space="0" w:color="auto"/>
        <w:left w:val="none" w:sz="0" w:space="0" w:color="auto"/>
        <w:bottom w:val="none" w:sz="0" w:space="0" w:color="auto"/>
        <w:right w:val="none" w:sz="0" w:space="0" w:color="auto"/>
      </w:divBdr>
    </w:div>
    <w:div w:id="1301152700">
      <w:bodyDiv w:val="1"/>
      <w:marLeft w:val="0"/>
      <w:marRight w:val="0"/>
      <w:marTop w:val="0"/>
      <w:marBottom w:val="0"/>
      <w:divBdr>
        <w:top w:val="none" w:sz="0" w:space="0" w:color="auto"/>
        <w:left w:val="none" w:sz="0" w:space="0" w:color="auto"/>
        <w:bottom w:val="none" w:sz="0" w:space="0" w:color="auto"/>
        <w:right w:val="none" w:sz="0" w:space="0" w:color="auto"/>
      </w:divBdr>
    </w:div>
    <w:div w:id="1301155576">
      <w:bodyDiv w:val="1"/>
      <w:marLeft w:val="0"/>
      <w:marRight w:val="0"/>
      <w:marTop w:val="0"/>
      <w:marBottom w:val="0"/>
      <w:divBdr>
        <w:top w:val="none" w:sz="0" w:space="0" w:color="auto"/>
        <w:left w:val="none" w:sz="0" w:space="0" w:color="auto"/>
        <w:bottom w:val="none" w:sz="0" w:space="0" w:color="auto"/>
        <w:right w:val="none" w:sz="0" w:space="0" w:color="auto"/>
      </w:divBdr>
    </w:div>
    <w:div w:id="1301181976">
      <w:bodyDiv w:val="1"/>
      <w:marLeft w:val="0"/>
      <w:marRight w:val="0"/>
      <w:marTop w:val="0"/>
      <w:marBottom w:val="0"/>
      <w:divBdr>
        <w:top w:val="none" w:sz="0" w:space="0" w:color="auto"/>
        <w:left w:val="none" w:sz="0" w:space="0" w:color="auto"/>
        <w:bottom w:val="none" w:sz="0" w:space="0" w:color="auto"/>
        <w:right w:val="none" w:sz="0" w:space="0" w:color="auto"/>
      </w:divBdr>
    </w:div>
    <w:div w:id="1301300053">
      <w:bodyDiv w:val="1"/>
      <w:marLeft w:val="0"/>
      <w:marRight w:val="0"/>
      <w:marTop w:val="0"/>
      <w:marBottom w:val="0"/>
      <w:divBdr>
        <w:top w:val="none" w:sz="0" w:space="0" w:color="auto"/>
        <w:left w:val="none" w:sz="0" w:space="0" w:color="auto"/>
        <w:bottom w:val="none" w:sz="0" w:space="0" w:color="auto"/>
        <w:right w:val="none" w:sz="0" w:space="0" w:color="auto"/>
      </w:divBdr>
    </w:div>
    <w:div w:id="1301305032">
      <w:bodyDiv w:val="1"/>
      <w:marLeft w:val="0"/>
      <w:marRight w:val="0"/>
      <w:marTop w:val="0"/>
      <w:marBottom w:val="0"/>
      <w:divBdr>
        <w:top w:val="none" w:sz="0" w:space="0" w:color="auto"/>
        <w:left w:val="none" w:sz="0" w:space="0" w:color="auto"/>
        <w:bottom w:val="none" w:sz="0" w:space="0" w:color="auto"/>
        <w:right w:val="none" w:sz="0" w:space="0" w:color="auto"/>
      </w:divBdr>
    </w:div>
    <w:div w:id="1301568645">
      <w:bodyDiv w:val="1"/>
      <w:marLeft w:val="0"/>
      <w:marRight w:val="0"/>
      <w:marTop w:val="0"/>
      <w:marBottom w:val="0"/>
      <w:divBdr>
        <w:top w:val="none" w:sz="0" w:space="0" w:color="auto"/>
        <w:left w:val="none" w:sz="0" w:space="0" w:color="auto"/>
        <w:bottom w:val="none" w:sz="0" w:space="0" w:color="auto"/>
        <w:right w:val="none" w:sz="0" w:space="0" w:color="auto"/>
      </w:divBdr>
    </w:div>
    <w:div w:id="1301572115">
      <w:bodyDiv w:val="1"/>
      <w:marLeft w:val="0"/>
      <w:marRight w:val="0"/>
      <w:marTop w:val="0"/>
      <w:marBottom w:val="0"/>
      <w:divBdr>
        <w:top w:val="none" w:sz="0" w:space="0" w:color="auto"/>
        <w:left w:val="none" w:sz="0" w:space="0" w:color="auto"/>
        <w:bottom w:val="none" w:sz="0" w:space="0" w:color="auto"/>
        <w:right w:val="none" w:sz="0" w:space="0" w:color="auto"/>
      </w:divBdr>
    </w:div>
    <w:div w:id="1301617989">
      <w:bodyDiv w:val="1"/>
      <w:marLeft w:val="0"/>
      <w:marRight w:val="0"/>
      <w:marTop w:val="0"/>
      <w:marBottom w:val="0"/>
      <w:divBdr>
        <w:top w:val="none" w:sz="0" w:space="0" w:color="auto"/>
        <w:left w:val="none" w:sz="0" w:space="0" w:color="auto"/>
        <w:bottom w:val="none" w:sz="0" w:space="0" w:color="auto"/>
        <w:right w:val="none" w:sz="0" w:space="0" w:color="auto"/>
      </w:divBdr>
    </w:div>
    <w:div w:id="1301618153">
      <w:bodyDiv w:val="1"/>
      <w:marLeft w:val="0"/>
      <w:marRight w:val="0"/>
      <w:marTop w:val="0"/>
      <w:marBottom w:val="0"/>
      <w:divBdr>
        <w:top w:val="none" w:sz="0" w:space="0" w:color="auto"/>
        <w:left w:val="none" w:sz="0" w:space="0" w:color="auto"/>
        <w:bottom w:val="none" w:sz="0" w:space="0" w:color="auto"/>
        <w:right w:val="none" w:sz="0" w:space="0" w:color="auto"/>
      </w:divBdr>
    </w:div>
    <w:div w:id="1301693886">
      <w:bodyDiv w:val="1"/>
      <w:marLeft w:val="0"/>
      <w:marRight w:val="0"/>
      <w:marTop w:val="0"/>
      <w:marBottom w:val="0"/>
      <w:divBdr>
        <w:top w:val="none" w:sz="0" w:space="0" w:color="auto"/>
        <w:left w:val="none" w:sz="0" w:space="0" w:color="auto"/>
        <w:bottom w:val="none" w:sz="0" w:space="0" w:color="auto"/>
        <w:right w:val="none" w:sz="0" w:space="0" w:color="auto"/>
      </w:divBdr>
    </w:div>
    <w:div w:id="1301770751">
      <w:bodyDiv w:val="1"/>
      <w:marLeft w:val="0"/>
      <w:marRight w:val="0"/>
      <w:marTop w:val="0"/>
      <w:marBottom w:val="0"/>
      <w:divBdr>
        <w:top w:val="none" w:sz="0" w:space="0" w:color="auto"/>
        <w:left w:val="none" w:sz="0" w:space="0" w:color="auto"/>
        <w:bottom w:val="none" w:sz="0" w:space="0" w:color="auto"/>
        <w:right w:val="none" w:sz="0" w:space="0" w:color="auto"/>
      </w:divBdr>
    </w:div>
    <w:div w:id="1301836908">
      <w:bodyDiv w:val="1"/>
      <w:marLeft w:val="0"/>
      <w:marRight w:val="0"/>
      <w:marTop w:val="0"/>
      <w:marBottom w:val="0"/>
      <w:divBdr>
        <w:top w:val="none" w:sz="0" w:space="0" w:color="auto"/>
        <w:left w:val="none" w:sz="0" w:space="0" w:color="auto"/>
        <w:bottom w:val="none" w:sz="0" w:space="0" w:color="auto"/>
        <w:right w:val="none" w:sz="0" w:space="0" w:color="auto"/>
      </w:divBdr>
    </w:div>
    <w:div w:id="1302004901">
      <w:bodyDiv w:val="1"/>
      <w:marLeft w:val="0"/>
      <w:marRight w:val="0"/>
      <w:marTop w:val="0"/>
      <w:marBottom w:val="0"/>
      <w:divBdr>
        <w:top w:val="none" w:sz="0" w:space="0" w:color="auto"/>
        <w:left w:val="none" w:sz="0" w:space="0" w:color="auto"/>
        <w:bottom w:val="none" w:sz="0" w:space="0" w:color="auto"/>
        <w:right w:val="none" w:sz="0" w:space="0" w:color="auto"/>
      </w:divBdr>
    </w:div>
    <w:div w:id="1302031267">
      <w:bodyDiv w:val="1"/>
      <w:marLeft w:val="0"/>
      <w:marRight w:val="0"/>
      <w:marTop w:val="0"/>
      <w:marBottom w:val="0"/>
      <w:divBdr>
        <w:top w:val="none" w:sz="0" w:space="0" w:color="auto"/>
        <w:left w:val="none" w:sz="0" w:space="0" w:color="auto"/>
        <w:bottom w:val="none" w:sz="0" w:space="0" w:color="auto"/>
        <w:right w:val="none" w:sz="0" w:space="0" w:color="auto"/>
      </w:divBdr>
    </w:div>
    <w:div w:id="1302081828">
      <w:bodyDiv w:val="1"/>
      <w:marLeft w:val="0"/>
      <w:marRight w:val="0"/>
      <w:marTop w:val="0"/>
      <w:marBottom w:val="0"/>
      <w:divBdr>
        <w:top w:val="none" w:sz="0" w:space="0" w:color="auto"/>
        <w:left w:val="none" w:sz="0" w:space="0" w:color="auto"/>
        <w:bottom w:val="none" w:sz="0" w:space="0" w:color="auto"/>
        <w:right w:val="none" w:sz="0" w:space="0" w:color="auto"/>
      </w:divBdr>
    </w:div>
    <w:div w:id="1302224084">
      <w:bodyDiv w:val="1"/>
      <w:marLeft w:val="0"/>
      <w:marRight w:val="0"/>
      <w:marTop w:val="0"/>
      <w:marBottom w:val="0"/>
      <w:divBdr>
        <w:top w:val="none" w:sz="0" w:space="0" w:color="auto"/>
        <w:left w:val="none" w:sz="0" w:space="0" w:color="auto"/>
        <w:bottom w:val="none" w:sz="0" w:space="0" w:color="auto"/>
        <w:right w:val="none" w:sz="0" w:space="0" w:color="auto"/>
      </w:divBdr>
    </w:div>
    <w:div w:id="1302231590">
      <w:bodyDiv w:val="1"/>
      <w:marLeft w:val="0"/>
      <w:marRight w:val="0"/>
      <w:marTop w:val="0"/>
      <w:marBottom w:val="0"/>
      <w:divBdr>
        <w:top w:val="none" w:sz="0" w:space="0" w:color="auto"/>
        <w:left w:val="none" w:sz="0" w:space="0" w:color="auto"/>
        <w:bottom w:val="none" w:sz="0" w:space="0" w:color="auto"/>
        <w:right w:val="none" w:sz="0" w:space="0" w:color="auto"/>
      </w:divBdr>
    </w:div>
    <w:div w:id="1302348965">
      <w:bodyDiv w:val="1"/>
      <w:marLeft w:val="0"/>
      <w:marRight w:val="0"/>
      <w:marTop w:val="0"/>
      <w:marBottom w:val="0"/>
      <w:divBdr>
        <w:top w:val="none" w:sz="0" w:space="0" w:color="auto"/>
        <w:left w:val="none" w:sz="0" w:space="0" w:color="auto"/>
        <w:bottom w:val="none" w:sz="0" w:space="0" w:color="auto"/>
        <w:right w:val="none" w:sz="0" w:space="0" w:color="auto"/>
      </w:divBdr>
    </w:div>
    <w:div w:id="1302420249">
      <w:bodyDiv w:val="1"/>
      <w:marLeft w:val="0"/>
      <w:marRight w:val="0"/>
      <w:marTop w:val="0"/>
      <w:marBottom w:val="0"/>
      <w:divBdr>
        <w:top w:val="none" w:sz="0" w:space="0" w:color="auto"/>
        <w:left w:val="none" w:sz="0" w:space="0" w:color="auto"/>
        <w:bottom w:val="none" w:sz="0" w:space="0" w:color="auto"/>
        <w:right w:val="none" w:sz="0" w:space="0" w:color="auto"/>
      </w:divBdr>
    </w:div>
    <w:div w:id="1302466025">
      <w:bodyDiv w:val="1"/>
      <w:marLeft w:val="0"/>
      <w:marRight w:val="0"/>
      <w:marTop w:val="0"/>
      <w:marBottom w:val="0"/>
      <w:divBdr>
        <w:top w:val="none" w:sz="0" w:space="0" w:color="auto"/>
        <w:left w:val="none" w:sz="0" w:space="0" w:color="auto"/>
        <w:bottom w:val="none" w:sz="0" w:space="0" w:color="auto"/>
        <w:right w:val="none" w:sz="0" w:space="0" w:color="auto"/>
      </w:divBdr>
    </w:div>
    <w:div w:id="1302685047">
      <w:bodyDiv w:val="1"/>
      <w:marLeft w:val="0"/>
      <w:marRight w:val="0"/>
      <w:marTop w:val="0"/>
      <w:marBottom w:val="0"/>
      <w:divBdr>
        <w:top w:val="none" w:sz="0" w:space="0" w:color="auto"/>
        <w:left w:val="none" w:sz="0" w:space="0" w:color="auto"/>
        <w:bottom w:val="none" w:sz="0" w:space="0" w:color="auto"/>
        <w:right w:val="none" w:sz="0" w:space="0" w:color="auto"/>
      </w:divBdr>
    </w:div>
    <w:div w:id="1302729795">
      <w:bodyDiv w:val="1"/>
      <w:marLeft w:val="0"/>
      <w:marRight w:val="0"/>
      <w:marTop w:val="0"/>
      <w:marBottom w:val="0"/>
      <w:divBdr>
        <w:top w:val="none" w:sz="0" w:space="0" w:color="auto"/>
        <w:left w:val="none" w:sz="0" w:space="0" w:color="auto"/>
        <w:bottom w:val="none" w:sz="0" w:space="0" w:color="auto"/>
        <w:right w:val="none" w:sz="0" w:space="0" w:color="auto"/>
      </w:divBdr>
    </w:div>
    <w:div w:id="1302734043">
      <w:bodyDiv w:val="1"/>
      <w:marLeft w:val="0"/>
      <w:marRight w:val="0"/>
      <w:marTop w:val="0"/>
      <w:marBottom w:val="0"/>
      <w:divBdr>
        <w:top w:val="none" w:sz="0" w:space="0" w:color="auto"/>
        <w:left w:val="none" w:sz="0" w:space="0" w:color="auto"/>
        <w:bottom w:val="none" w:sz="0" w:space="0" w:color="auto"/>
        <w:right w:val="none" w:sz="0" w:space="0" w:color="auto"/>
      </w:divBdr>
    </w:div>
    <w:div w:id="1302736988">
      <w:bodyDiv w:val="1"/>
      <w:marLeft w:val="0"/>
      <w:marRight w:val="0"/>
      <w:marTop w:val="0"/>
      <w:marBottom w:val="0"/>
      <w:divBdr>
        <w:top w:val="none" w:sz="0" w:space="0" w:color="auto"/>
        <w:left w:val="none" w:sz="0" w:space="0" w:color="auto"/>
        <w:bottom w:val="none" w:sz="0" w:space="0" w:color="auto"/>
        <w:right w:val="none" w:sz="0" w:space="0" w:color="auto"/>
      </w:divBdr>
    </w:div>
    <w:div w:id="1302887763">
      <w:bodyDiv w:val="1"/>
      <w:marLeft w:val="0"/>
      <w:marRight w:val="0"/>
      <w:marTop w:val="0"/>
      <w:marBottom w:val="0"/>
      <w:divBdr>
        <w:top w:val="none" w:sz="0" w:space="0" w:color="auto"/>
        <w:left w:val="none" w:sz="0" w:space="0" w:color="auto"/>
        <w:bottom w:val="none" w:sz="0" w:space="0" w:color="auto"/>
        <w:right w:val="none" w:sz="0" w:space="0" w:color="auto"/>
      </w:divBdr>
    </w:div>
    <w:div w:id="1302926985">
      <w:bodyDiv w:val="1"/>
      <w:marLeft w:val="0"/>
      <w:marRight w:val="0"/>
      <w:marTop w:val="0"/>
      <w:marBottom w:val="0"/>
      <w:divBdr>
        <w:top w:val="none" w:sz="0" w:space="0" w:color="auto"/>
        <w:left w:val="none" w:sz="0" w:space="0" w:color="auto"/>
        <w:bottom w:val="none" w:sz="0" w:space="0" w:color="auto"/>
        <w:right w:val="none" w:sz="0" w:space="0" w:color="auto"/>
      </w:divBdr>
    </w:div>
    <w:div w:id="1302929102">
      <w:bodyDiv w:val="1"/>
      <w:marLeft w:val="0"/>
      <w:marRight w:val="0"/>
      <w:marTop w:val="0"/>
      <w:marBottom w:val="0"/>
      <w:divBdr>
        <w:top w:val="none" w:sz="0" w:space="0" w:color="auto"/>
        <w:left w:val="none" w:sz="0" w:space="0" w:color="auto"/>
        <w:bottom w:val="none" w:sz="0" w:space="0" w:color="auto"/>
        <w:right w:val="none" w:sz="0" w:space="0" w:color="auto"/>
      </w:divBdr>
    </w:div>
    <w:div w:id="1303120724">
      <w:bodyDiv w:val="1"/>
      <w:marLeft w:val="0"/>
      <w:marRight w:val="0"/>
      <w:marTop w:val="0"/>
      <w:marBottom w:val="0"/>
      <w:divBdr>
        <w:top w:val="none" w:sz="0" w:space="0" w:color="auto"/>
        <w:left w:val="none" w:sz="0" w:space="0" w:color="auto"/>
        <w:bottom w:val="none" w:sz="0" w:space="0" w:color="auto"/>
        <w:right w:val="none" w:sz="0" w:space="0" w:color="auto"/>
      </w:divBdr>
    </w:div>
    <w:div w:id="1303194849">
      <w:bodyDiv w:val="1"/>
      <w:marLeft w:val="0"/>
      <w:marRight w:val="0"/>
      <w:marTop w:val="0"/>
      <w:marBottom w:val="0"/>
      <w:divBdr>
        <w:top w:val="none" w:sz="0" w:space="0" w:color="auto"/>
        <w:left w:val="none" w:sz="0" w:space="0" w:color="auto"/>
        <w:bottom w:val="none" w:sz="0" w:space="0" w:color="auto"/>
        <w:right w:val="none" w:sz="0" w:space="0" w:color="auto"/>
      </w:divBdr>
    </w:div>
    <w:div w:id="1303534378">
      <w:bodyDiv w:val="1"/>
      <w:marLeft w:val="0"/>
      <w:marRight w:val="0"/>
      <w:marTop w:val="0"/>
      <w:marBottom w:val="0"/>
      <w:divBdr>
        <w:top w:val="none" w:sz="0" w:space="0" w:color="auto"/>
        <w:left w:val="none" w:sz="0" w:space="0" w:color="auto"/>
        <w:bottom w:val="none" w:sz="0" w:space="0" w:color="auto"/>
        <w:right w:val="none" w:sz="0" w:space="0" w:color="auto"/>
      </w:divBdr>
    </w:div>
    <w:div w:id="1303578343">
      <w:bodyDiv w:val="1"/>
      <w:marLeft w:val="0"/>
      <w:marRight w:val="0"/>
      <w:marTop w:val="0"/>
      <w:marBottom w:val="0"/>
      <w:divBdr>
        <w:top w:val="none" w:sz="0" w:space="0" w:color="auto"/>
        <w:left w:val="none" w:sz="0" w:space="0" w:color="auto"/>
        <w:bottom w:val="none" w:sz="0" w:space="0" w:color="auto"/>
        <w:right w:val="none" w:sz="0" w:space="0" w:color="auto"/>
      </w:divBdr>
    </w:div>
    <w:div w:id="1303581832">
      <w:bodyDiv w:val="1"/>
      <w:marLeft w:val="0"/>
      <w:marRight w:val="0"/>
      <w:marTop w:val="0"/>
      <w:marBottom w:val="0"/>
      <w:divBdr>
        <w:top w:val="none" w:sz="0" w:space="0" w:color="auto"/>
        <w:left w:val="none" w:sz="0" w:space="0" w:color="auto"/>
        <w:bottom w:val="none" w:sz="0" w:space="0" w:color="auto"/>
        <w:right w:val="none" w:sz="0" w:space="0" w:color="auto"/>
      </w:divBdr>
    </w:div>
    <w:div w:id="1303585873">
      <w:bodyDiv w:val="1"/>
      <w:marLeft w:val="0"/>
      <w:marRight w:val="0"/>
      <w:marTop w:val="0"/>
      <w:marBottom w:val="0"/>
      <w:divBdr>
        <w:top w:val="none" w:sz="0" w:space="0" w:color="auto"/>
        <w:left w:val="none" w:sz="0" w:space="0" w:color="auto"/>
        <w:bottom w:val="none" w:sz="0" w:space="0" w:color="auto"/>
        <w:right w:val="none" w:sz="0" w:space="0" w:color="auto"/>
      </w:divBdr>
    </w:div>
    <w:div w:id="1303660567">
      <w:bodyDiv w:val="1"/>
      <w:marLeft w:val="0"/>
      <w:marRight w:val="0"/>
      <w:marTop w:val="0"/>
      <w:marBottom w:val="0"/>
      <w:divBdr>
        <w:top w:val="none" w:sz="0" w:space="0" w:color="auto"/>
        <w:left w:val="none" w:sz="0" w:space="0" w:color="auto"/>
        <w:bottom w:val="none" w:sz="0" w:space="0" w:color="auto"/>
        <w:right w:val="none" w:sz="0" w:space="0" w:color="auto"/>
      </w:divBdr>
    </w:div>
    <w:div w:id="1303846394">
      <w:bodyDiv w:val="1"/>
      <w:marLeft w:val="0"/>
      <w:marRight w:val="0"/>
      <w:marTop w:val="0"/>
      <w:marBottom w:val="0"/>
      <w:divBdr>
        <w:top w:val="none" w:sz="0" w:space="0" w:color="auto"/>
        <w:left w:val="none" w:sz="0" w:space="0" w:color="auto"/>
        <w:bottom w:val="none" w:sz="0" w:space="0" w:color="auto"/>
        <w:right w:val="none" w:sz="0" w:space="0" w:color="auto"/>
      </w:divBdr>
    </w:div>
    <w:div w:id="1303846576">
      <w:bodyDiv w:val="1"/>
      <w:marLeft w:val="0"/>
      <w:marRight w:val="0"/>
      <w:marTop w:val="0"/>
      <w:marBottom w:val="0"/>
      <w:divBdr>
        <w:top w:val="none" w:sz="0" w:space="0" w:color="auto"/>
        <w:left w:val="none" w:sz="0" w:space="0" w:color="auto"/>
        <w:bottom w:val="none" w:sz="0" w:space="0" w:color="auto"/>
        <w:right w:val="none" w:sz="0" w:space="0" w:color="auto"/>
      </w:divBdr>
    </w:div>
    <w:div w:id="1303923089">
      <w:bodyDiv w:val="1"/>
      <w:marLeft w:val="0"/>
      <w:marRight w:val="0"/>
      <w:marTop w:val="0"/>
      <w:marBottom w:val="0"/>
      <w:divBdr>
        <w:top w:val="none" w:sz="0" w:space="0" w:color="auto"/>
        <w:left w:val="none" w:sz="0" w:space="0" w:color="auto"/>
        <w:bottom w:val="none" w:sz="0" w:space="0" w:color="auto"/>
        <w:right w:val="none" w:sz="0" w:space="0" w:color="auto"/>
      </w:divBdr>
    </w:div>
    <w:div w:id="1304191678">
      <w:bodyDiv w:val="1"/>
      <w:marLeft w:val="0"/>
      <w:marRight w:val="0"/>
      <w:marTop w:val="0"/>
      <w:marBottom w:val="0"/>
      <w:divBdr>
        <w:top w:val="none" w:sz="0" w:space="0" w:color="auto"/>
        <w:left w:val="none" w:sz="0" w:space="0" w:color="auto"/>
        <w:bottom w:val="none" w:sz="0" w:space="0" w:color="auto"/>
        <w:right w:val="none" w:sz="0" w:space="0" w:color="auto"/>
      </w:divBdr>
    </w:div>
    <w:div w:id="1304196114">
      <w:bodyDiv w:val="1"/>
      <w:marLeft w:val="0"/>
      <w:marRight w:val="0"/>
      <w:marTop w:val="0"/>
      <w:marBottom w:val="0"/>
      <w:divBdr>
        <w:top w:val="none" w:sz="0" w:space="0" w:color="auto"/>
        <w:left w:val="none" w:sz="0" w:space="0" w:color="auto"/>
        <w:bottom w:val="none" w:sz="0" w:space="0" w:color="auto"/>
        <w:right w:val="none" w:sz="0" w:space="0" w:color="auto"/>
      </w:divBdr>
    </w:div>
    <w:div w:id="1304308363">
      <w:bodyDiv w:val="1"/>
      <w:marLeft w:val="0"/>
      <w:marRight w:val="0"/>
      <w:marTop w:val="0"/>
      <w:marBottom w:val="0"/>
      <w:divBdr>
        <w:top w:val="none" w:sz="0" w:space="0" w:color="auto"/>
        <w:left w:val="none" w:sz="0" w:space="0" w:color="auto"/>
        <w:bottom w:val="none" w:sz="0" w:space="0" w:color="auto"/>
        <w:right w:val="none" w:sz="0" w:space="0" w:color="auto"/>
      </w:divBdr>
    </w:div>
    <w:div w:id="1304311835">
      <w:bodyDiv w:val="1"/>
      <w:marLeft w:val="0"/>
      <w:marRight w:val="0"/>
      <w:marTop w:val="0"/>
      <w:marBottom w:val="0"/>
      <w:divBdr>
        <w:top w:val="none" w:sz="0" w:space="0" w:color="auto"/>
        <w:left w:val="none" w:sz="0" w:space="0" w:color="auto"/>
        <w:bottom w:val="none" w:sz="0" w:space="0" w:color="auto"/>
        <w:right w:val="none" w:sz="0" w:space="0" w:color="auto"/>
      </w:divBdr>
    </w:div>
    <w:div w:id="1304627578">
      <w:bodyDiv w:val="1"/>
      <w:marLeft w:val="0"/>
      <w:marRight w:val="0"/>
      <w:marTop w:val="0"/>
      <w:marBottom w:val="0"/>
      <w:divBdr>
        <w:top w:val="none" w:sz="0" w:space="0" w:color="auto"/>
        <w:left w:val="none" w:sz="0" w:space="0" w:color="auto"/>
        <w:bottom w:val="none" w:sz="0" w:space="0" w:color="auto"/>
        <w:right w:val="none" w:sz="0" w:space="0" w:color="auto"/>
      </w:divBdr>
    </w:div>
    <w:div w:id="1304769149">
      <w:bodyDiv w:val="1"/>
      <w:marLeft w:val="0"/>
      <w:marRight w:val="0"/>
      <w:marTop w:val="0"/>
      <w:marBottom w:val="0"/>
      <w:divBdr>
        <w:top w:val="none" w:sz="0" w:space="0" w:color="auto"/>
        <w:left w:val="none" w:sz="0" w:space="0" w:color="auto"/>
        <w:bottom w:val="none" w:sz="0" w:space="0" w:color="auto"/>
        <w:right w:val="none" w:sz="0" w:space="0" w:color="auto"/>
      </w:divBdr>
    </w:div>
    <w:div w:id="1304776529">
      <w:bodyDiv w:val="1"/>
      <w:marLeft w:val="0"/>
      <w:marRight w:val="0"/>
      <w:marTop w:val="0"/>
      <w:marBottom w:val="0"/>
      <w:divBdr>
        <w:top w:val="none" w:sz="0" w:space="0" w:color="auto"/>
        <w:left w:val="none" w:sz="0" w:space="0" w:color="auto"/>
        <w:bottom w:val="none" w:sz="0" w:space="0" w:color="auto"/>
        <w:right w:val="none" w:sz="0" w:space="0" w:color="auto"/>
      </w:divBdr>
    </w:div>
    <w:div w:id="1304894098">
      <w:bodyDiv w:val="1"/>
      <w:marLeft w:val="0"/>
      <w:marRight w:val="0"/>
      <w:marTop w:val="0"/>
      <w:marBottom w:val="0"/>
      <w:divBdr>
        <w:top w:val="none" w:sz="0" w:space="0" w:color="auto"/>
        <w:left w:val="none" w:sz="0" w:space="0" w:color="auto"/>
        <w:bottom w:val="none" w:sz="0" w:space="0" w:color="auto"/>
        <w:right w:val="none" w:sz="0" w:space="0" w:color="auto"/>
      </w:divBdr>
    </w:div>
    <w:div w:id="1305040197">
      <w:bodyDiv w:val="1"/>
      <w:marLeft w:val="0"/>
      <w:marRight w:val="0"/>
      <w:marTop w:val="0"/>
      <w:marBottom w:val="0"/>
      <w:divBdr>
        <w:top w:val="none" w:sz="0" w:space="0" w:color="auto"/>
        <w:left w:val="none" w:sz="0" w:space="0" w:color="auto"/>
        <w:bottom w:val="none" w:sz="0" w:space="0" w:color="auto"/>
        <w:right w:val="none" w:sz="0" w:space="0" w:color="auto"/>
      </w:divBdr>
    </w:div>
    <w:div w:id="1305087041">
      <w:bodyDiv w:val="1"/>
      <w:marLeft w:val="0"/>
      <w:marRight w:val="0"/>
      <w:marTop w:val="0"/>
      <w:marBottom w:val="0"/>
      <w:divBdr>
        <w:top w:val="none" w:sz="0" w:space="0" w:color="auto"/>
        <w:left w:val="none" w:sz="0" w:space="0" w:color="auto"/>
        <w:bottom w:val="none" w:sz="0" w:space="0" w:color="auto"/>
        <w:right w:val="none" w:sz="0" w:space="0" w:color="auto"/>
      </w:divBdr>
    </w:div>
    <w:div w:id="1305088421">
      <w:bodyDiv w:val="1"/>
      <w:marLeft w:val="0"/>
      <w:marRight w:val="0"/>
      <w:marTop w:val="0"/>
      <w:marBottom w:val="0"/>
      <w:divBdr>
        <w:top w:val="none" w:sz="0" w:space="0" w:color="auto"/>
        <w:left w:val="none" w:sz="0" w:space="0" w:color="auto"/>
        <w:bottom w:val="none" w:sz="0" w:space="0" w:color="auto"/>
        <w:right w:val="none" w:sz="0" w:space="0" w:color="auto"/>
      </w:divBdr>
    </w:div>
    <w:div w:id="1305163968">
      <w:bodyDiv w:val="1"/>
      <w:marLeft w:val="0"/>
      <w:marRight w:val="0"/>
      <w:marTop w:val="0"/>
      <w:marBottom w:val="0"/>
      <w:divBdr>
        <w:top w:val="none" w:sz="0" w:space="0" w:color="auto"/>
        <w:left w:val="none" w:sz="0" w:space="0" w:color="auto"/>
        <w:bottom w:val="none" w:sz="0" w:space="0" w:color="auto"/>
        <w:right w:val="none" w:sz="0" w:space="0" w:color="auto"/>
      </w:divBdr>
    </w:div>
    <w:div w:id="1305165174">
      <w:bodyDiv w:val="1"/>
      <w:marLeft w:val="0"/>
      <w:marRight w:val="0"/>
      <w:marTop w:val="0"/>
      <w:marBottom w:val="0"/>
      <w:divBdr>
        <w:top w:val="none" w:sz="0" w:space="0" w:color="auto"/>
        <w:left w:val="none" w:sz="0" w:space="0" w:color="auto"/>
        <w:bottom w:val="none" w:sz="0" w:space="0" w:color="auto"/>
        <w:right w:val="none" w:sz="0" w:space="0" w:color="auto"/>
      </w:divBdr>
    </w:div>
    <w:div w:id="1305231263">
      <w:bodyDiv w:val="1"/>
      <w:marLeft w:val="0"/>
      <w:marRight w:val="0"/>
      <w:marTop w:val="0"/>
      <w:marBottom w:val="0"/>
      <w:divBdr>
        <w:top w:val="none" w:sz="0" w:space="0" w:color="auto"/>
        <w:left w:val="none" w:sz="0" w:space="0" w:color="auto"/>
        <w:bottom w:val="none" w:sz="0" w:space="0" w:color="auto"/>
        <w:right w:val="none" w:sz="0" w:space="0" w:color="auto"/>
      </w:divBdr>
    </w:div>
    <w:div w:id="1305308468">
      <w:bodyDiv w:val="1"/>
      <w:marLeft w:val="0"/>
      <w:marRight w:val="0"/>
      <w:marTop w:val="0"/>
      <w:marBottom w:val="0"/>
      <w:divBdr>
        <w:top w:val="none" w:sz="0" w:space="0" w:color="auto"/>
        <w:left w:val="none" w:sz="0" w:space="0" w:color="auto"/>
        <w:bottom w:val="none" w:sz="0" w:space="0" w:color="auto"/>
        <w:right w:val="none" w:sz="0" w:space="0" w:color="auto"/>
      </w:divBdr>
    </w:div>
    <w:div w:id="1305424497">
      <w:bodyDiv w:val="1"/>
      <w:marLeft w:val="0"/>
      <w:marRight w:val="0"/>
      <w:marTop w:val="0"/>
      <w:marBottom w:val="0"/>
      <w:divBdr>
        <w:top w:val="none" w:sz="0" w:space="0" w:color="auto"/>
        <w:left w:val="none" w:sz="0" w:space="0" w:color="auto"/>
        <w:bottom w:val="none" w:sz="0" w:space="0" w:color="auto"/>
        <w:right w:val="none" w:sz="0" w:space="0" w:color="auto"/>
      </w:divBdr>
    </w:div>
    <w:div w:id="1305431939">
      <w:bodyDiv w:val="1"/>
      <w:marLeft w:val="0"/>
      <w:marRight w:val="0"/>
      <w:marTop w:val="0"/>
      <w:marBottom w:val="0"/>
      <w:divBdr>
        <w:top w:val="none" w:sz="0" w:space="0" w:color="auto"/>
        <w:left w:val="none" w:sz="0" w:space="0" w:color="auto"/>
        <w:bottom w:val="none" w:sz="0" w:space="0" w:color="auto"/>
        <w:right w:val="none" w:sz="0" w:space="0" w:color="auto"/>
      </w:divBdr>
    </w:div>
    <w:div w:id="1305499786">
      <w:bodyDiv w:val="1"/>
      <w:marLeft w:val="0"/>
      <w:marRight w:val="0"/>
      <w:marTop w:val="0"/>
      <w:marBottom w:val="0"/>
      <w:divBdr>
        <w:top w:val="none" w:sz="0" w:space="0" w:color="auto"/>
        <w:left w:val="none" w:sz="0" w:space="0" w:color="auto"/>
        <w:bottom w:val="none" w:sz="0" w:space="0" w:color="auto"/>
        <w:right w:val="none" w:sz="0" w:space="0" w:color="auto"/>
      </w:divBdr>
    </w:div>
    <w:div w:id="1305500586">
      <w:bodyDiv w:val="1"/>
      <w:marLeft w:val="0"/>
      <w:marRight w:val="0"/>
      <w:marTop w:val="0"/>
      <w:marBottom w:val="0"/>
      <w:divBdr>
        <w:top w:val="none" w:sz="0" w:space="0" w:color="auto"/>
        <w:left w:val="none" w:sz="0" w:space="0" w:color="auto"/>
        <w:bottom w:val="none" w:sz="0" w:space="0" w:color="auto"/>
        <w:right w:val="none" w:sz="0" w:space="0" w:color="auto"/>
      </w:divBdr>
    </w:div>
    <w:div w:id="1305505854">
      <w:bodyDiv w:val="1"/>
      <w:marLeft w:val="0"/>
      <w:marRight w:val="0"/>
      <w:marTop w:val="0"/>
      <w:marBottom w:val="0"/>
      <w:divBdr>
        <w:top w:val="none" w:sz="0" w:space="0" w:color="auto"/>
        <w:left w:val="none" w:sz="0" w:space="0" w:color="auto"/>
        <w:bottom w:val="none" w:sz="0" w:space="0" w:color="auto"/>
        <w:right w:val="none" w:sz="0" w:space="0" w:color="auto"/>
      </w:divBdr>
    </w:div>
    <w:div w:id="1305506918">
      <w:bodyDiv w:val="1"/>
      <w:marLeft w:val="0"/>
      <w:marRight w:val="0"/>
      <w:marTop w:val="0"/>
      <w:marBottom w:val="0"/>
      <w:divBdr>
        <w:top w:val="none" w:sz="0" w:space="0" w:color="auto"/>
        <w:left w:val="none" w:sz="0" w:space="0" w:color="auto"/>
        <w:bottom w:val="none" w:sz="0" w:space="0" w:color="auto"/>
        <w:right w:val="none" w:sz="0" w:space="0" w:color="auto"/>
      </w:divBdr>
    </w:div>
    <w:div w:id="1305620076">
      <w:bodyDiv w:val="1"/>
      <w:marLeft w:val="0"/>
      <w:marRight w:val="0"/>
      <w:marTop w:val="0"/>
      <w:marBottom w:val="0"/>
      <w:divBdr>
        <w:top w:val="none" w:sz="0" w:space="0" w:color="auto"/>
        <w:left w:val="none" w:sz="0" w:space="0" w:color="auto"/>
        <w:bottom w:val="none" w:sz="0" w:space="0" w:color="auto"/>
        <w:right w:val="none" w:sz="0" w:space="0" w:color="auto"/>
      </w:divBdr>
    </w:div>
    <w:div w:id="1305627036">
      <w:bodyDiv w:val="1"/>
      <w:marLeft w:val="0"/>
      <w:marRight w:val="0"/>
      <w:marTop w:val="0"/>
      <w:marBottom w:val="0"/>
      <w:divBdr>
        <w:top w:val="none" w:sz="0" w:space="0" w:color="auto"/>
        <w:left w:val="none" w:sz="0" w:space="0" w:color="auto"/>
        <w:bottom w:val="none" w:sz="0" w:space="0" w:color="auto"/>
        <w:right w:val="none" w:sz="0" w:space="0" w:color="auto"/>
      </w:divBdr>
    </w:div>
    <w:div w:id="1305695319">
      <w:bodyDiv w:val="1"/>
      <w:marLeft w:val="0"/>
      <w:marRight w:val="0"/>
      <w:marTop w:val="0"/>
      <w:marBottom w:val="0"/>
      <w:divBdr>
        <w:top w:val="none" w:sz="0" w:space="0" w:color="auto"/>
        <w:left w:val="none" w:sz="0" w:space="0" w:color="auto"/>
        <w:bottom w:val="none" w:sz="0" w:space="0" w:color="auto"/>
        <w:right w:val="none" w:sz="0" w:space="0" w:color="auto"/>
      </w:divBdr>
    </w:div>
    <w:div w:id="1305812789">
      <w:bodyDiv w:val="1"/>
      <w:marLeft w:val="0"/>
      <w:marRight w:val="0"/>
      <w:marTop w:val="0"/>
      <w:marBottom w:val="0"/>
      <w:divBdr>
        <w:top w:val="none" w:sz="0" w:space="0" w:color="auto"/>
        <w:left w:val="none" w:sz="0" w:space="0" w:color="auto"/>
        <w:bottom w:val="none" w:sz="0" w:space="0" w:color="auto"/>
        <w:right w:val="none" w:sz="0" w:space="0" w:color="auto"/>
      </w:divBdr>
    </w:div>
    <w:div w:id="1305815597">
      <w:bodyDiv w:val="1"/>
      <w:marLeft w:val="0"/>
      <w:marRight w:val="0"/>
      <w:marTop w:val="0"/>
      <w:marBottom w:val="0"/>
      <w:divBdr>
        <w:top w:val="none" w:sz="0" w:space="0" w:color="auto"/>
        <w:left w:val="none" w:sz="0" w:space="0" w:color="auto"/>
        <w:bottom w:val="none" w:sz="0" w:space="0" w:color="auto"/>
        <w:right w:val="none" w:sz="0" w:space="0" w:color="auto"/>
      </w:divBdr>
    </w:div>
    <w:div w:id="1306087712">
      <w:bodyDiv w:val="1"/>
      <w:marLeft w:val="0"/>
      <w:marRight w:val="0"/>
      <w:marTop w:val="0"/>
      <w:marBottom w:val="0"/>
      <w:divBdr>
        <w:top w:val="none" w:sz="0" w:space="0" w:color="auto"/>
        <w:left w:val="none" w:sz="0" w:space="0" w:color="auto"/>
        <w:bottom w:val="none" w:sz="0" w:space="0" w:color="auto"/>
        <w:right w:val="none" w:sz="0" w:space="0" w:color="auto"/>
      </w:divBdr>
    </w:div>
    <w:div w:id="1306160389">
      <w:bodyDiv w:val="1"/>
      <w:marLeft w:val="0"/>
      <w:marRight w:val="0"/>
      <w:marTop w:val="0"/>
      <w:marBottom w:val="0"/>
      <w:divBdr>
        <w:top w:val="none" w:sz="0" w:space="0" w:color="auto"/>
        <w:left w:val="none" w:sz="0" w:space="0" w:color="auto"/>
        <w:bottom w:val="none" w:sz="0" w:space="0" w:color="auto"/>
        <w:right w:val="none" w:sz="0" w:space="0" w:color="auto"/>
      </w:divBdr>
    </w:div>
    <w:div w:id="1306205255">
      <w:bodyDiv w:val="1"/>
      <w:marLeft w:val="0"/>
      <w:marRight w:val="0"/>
      <w:marTop w:val="0"/>
      <w:marBottom w:val="0"/>
      <w:divBdr>
        <w:top w:val="none" w:sz="0" w:space="0" w:color="auto"/>
        <w:left w:val="none" w:sz="0" w:space="0" w:color="auto"/>
        <w:bottom w:val="none" w:sz="0" w:space="0" w:color="auto"/>
        <w:right w:val="none" w:sz="0" w:space="0" w:color="auto"/>
      </w:divBdr>
    </w:div>
    <w:div w:id="1306230696">
      <w:bodyDiv w:val="1"/>
      <w:marLeft w:val="0"/>
      <w:marRight w:val="0"/>
      <w:marTop w:val="0"/>
      <w:marBottom w:val="0"/>
      <w:divBdr>
        <w:top w:val="none" w:sz="0" w:space="0" w:color="auto"/>
        <w:left w:val="none" w:sz="0" w:space="0" w:color="auto"/>
        <w:bottom w:val="none" w:sz="0" w:space="0" w:color="auto"/>
        <w:right w:val="none" w:sz="0" w:space="0" w:color="auto"/>
      </w:divBdr>
    </w:div>
    <w:div w:id="1306278007">
      <w:bodyDiv w:val="1"/>
      <w:marLeft w:val="0"/>
      <w:marRight w:val="0"/>
      <w:marTop w:val="0"/>
      <w:marBottom w:val="0"/>
      <w:divBdr>
        <w:top w:val="none" w:sz="0" w:space="0" w:color="auto"/>
        <w:left w:val="none" w:sz="0" w:space="0" w:color="auto"/>
        <w:bottom w:val="none" w:sz="0" w:space="0" w:color="auto"/>
        <w:right w:val="none" w:sz="0" w:space="0" w:color="auto"/>
      </w:divBdr>
    </w:div>
    <w:div w:id="1306396736">
      <w:bodyDiv w:val="1"/>
      <w:marLeft w:val="0"/>
      <w:marRight w:val="0"/>
      <w:marTop w:val="0"/>
      <w:marBottom w:val="0"/>
      <w:divBdr>
        <w:top w:val="none" w:sz="0" w:space="0" w:color="auto"/>
        <w:left w:val="none" w:sz="0" w:space="0" w:color="auto"/>
        <w:bottom w:val="none" w:sz="0" w:space="0" w:color="auto"/>
        <w:right w:val="none" w:sz="0" w:space="0" w:color="auto"/>
      </w:divBdr>
    </w:div>
    <w:div w:id="1306468679">
      <w:bodyDiv w:val="1"/>
      <w:marLeft w:val="0"/>
      <w:marRight w:val="0"/>
      <w:marTop w:val="0"/>
      <w:marBottom w:val="0"/>
      <w:divBdr>
        <w:top w:val="none" w:sz="0" w:space="0" w:color="auto"/>
        <w:left w:val="none" w:sz="0" w:space="0" w:color="auto"/>
        <w:bottom w:val="none" w:sz="0" w:space="0" w:color="auto"/>
        <w:right w:val="none" w:sz="0" w:space="0" w:color="auto"/>
      </w:divBdr>
    </w:div>
    <w:div w:id="1306542421">
      <w:bodyDiv w:val="1"/>
      <w:marLeft w:val="0"/>
      <w:marRight w:val="0"/>
      <w:marTop w:val="0"/>
      <w:marBottom w:val="0"/>
      <w:divBdr>
        <w:top w:val="none" w:sz="0" w:space="0" w:color="auto"/>
        <w:left w:val="none" w:sz="0" w:space="0" w:color="auto"/>
        <w:bottom w:val="none" w:sz="0" w:space="0" w:color="auto"/>
        <w:right w:val="none" w:sz="0" w:space="0" w:color="auto"/>
      </w:divBdr>
    </w:div>
    <w:div w:id="1306621858">
      <w:bodyDiv w:val="1"/>
      <w:marLeft w:val="0"/>
      <w:marRight w:val="0"/>
      <w:marTop w:val="0"/>
      <w:marBottom w:val="0"/>
      <w:divBdr>
        <w:top w:val="none" w:sz="0" w:space="0" w:color="auto"/>
        <w:left w:val="none" w:sz="0" w:space="0" w:color="auto"/>
        <w:bottom w:val="none" w:sz="0" w:space="0" w:color="auto"/>
        <w:right w:val="none" w:sz="0" w:space="0" w:color="auto"/>
      </w:divBdr>
    </w:div>
    <w:div w:id="1306663104">
      <w:bodyDiv w:val="1"/>
      <w:marLeft w:val="0"/>
      <w:marRight w:val="0"/>
      <w:marTop w:val="0"/>
      <w:marBottom w:val="0"/>
      <w:divBdr>
        <w:top w:val="none" w:sz="0" w:space="0" w:color="auto"/>
        <w:left w:val="none" w:sz="0" w:space="0" w:color="auto"/>
        <w:bottom w:val="none" w:sz="0" w:space="0" w:color="auto"/>
        <w:right w:val="none" w:sz="0" w:space="0" w:color="auto"/>
      </w:divBdr>
    </w:div>
    <w:div w:id="1306811678">
      <w:bodyDiv w:val="1"/>
      <w:marLeft w:val="0"/>
      <w:marRight w:val="0"/>
      <w:marTop w:val="0"/>
      <w:marBottom w:val="0"/>
      <w:divBdr>
        <w:top w:val="none" w:sz="0" w:space="0" w:color="auto"/>
        <w:left w:val="none" w:sz="0" w:space="0" w:color="auto"/>
        <w:bottom w:val="none" w:sz="0" w:space="0" w:color="auto"/>
        <w:right w:val="none" w:sz="0" w:space="0" w:color="auto"/>
      </w:divBdr>
    </w:div>
    <w:div w:id="1306933571">
      <w:bodyDiv w:val="1"/>
      <w:marLeft w:val="0"/>
      <w:marRight w:val="0"/>
      <w:marTop w:val="0"/>
      <w:marBottom w:val="0"/>
      <w:divBdr>
        <w:top w:val="none" w:sz="0" w:space="0" w:color="auto"/>
        <w:left w:val="none" w:sz="0" w:space="0" w:color="auto"/>
        <w:bottom w:val="none" w:sz="0" w:space="0" w:color="auto"/>
        <w:right w:val="none" w:sz="0" w:space="0" w:color="auto"/>
      </w:divBdr>
    </w:div>
    <w:div w:id="1307009780">
      <w:bodyDiv w:val="1"/>
      <w:marLeft w:val="0"/>
      <w:marRight w:val="0"/>
      <w:marTop w:val="0"/>
      <w:marBottom w:val="0"/>
      <w:divBdr>
        <w:top w:val="none" w:sz="0" w:space="0" w:color="auto"/>
        <w:left w:val="none" w:sz="0" w:space="0" w:color="auto"/>
        <w:bottom w:val="none" w:sz="0" w:space="0" w:color="auto"/>
        <w:right w:val="none" w:sz="0" w:space="0" w:color="auto"/>
      </w:divBdr>
    </w:div>
    <w:div w:id="1307011251">
      <w:bodyDiv w:val="1"/>
      <w:marLeft w:val="0"/>
      <w:marRight w:val="0"/>
      <w:marTop w:val="0"/>
      <w:marBottom w:val="0"/>
      <w:divBdr>
        <w:top w:val="none" w:sz="0" w:space="0" w:color="auto"/>
        <w:left w:val="none" w:sz="0" w:space="0" w:color="auto"/>
        <w:bottom w:val="none" w:sz="0" w:space="0" w:color="auto"/>
        <w:right w:val="none" w:sz="0" w:space="0" w:color="auto"/>
      </w:divBdr>
    </w:div>
    <w:div w:id="1307126987">
      <w:bodyDiv w:val="1"/>
      <w:marLeft w:val="0"/>
      <w:marRight w:val="0"/>
      <w:marTop w:val="0"/>
      <w:marBottom w:val="0"/>
      <w:divBdr>
        <w:top w:val="none" w:sz="0" w:space="0" w:color="auto"/>
        <w:left w:val="none" w:sz="0" w:space="0" w:color="auto"/>
        <w:bottom w:val="none" w:sz="0" w:space="0" w:color="auto"/>
        <w:right w:val="none" w:sz="0" w:space="0" w:color="auto"/>
      </w:divBdr>
    </w:div>
    <w:div w:id="1307129972">
      <w:bodyDiv w:val="1"/>
      <w:marLeft w:val="0"/>
      <w:marRight w:val="0"/>
      <w:marTop w:val="0"/>
      <w:marBottom w:val="0"/>
      <w:divBdr>
        <w:top w:val="none" w:sz="0" w:space="0" w:color="auto"/>
        <w:left w:val="none" w:sz="0" w:space="0" w:color="auto"/>
        <w:bottom w:val="none" w:sz="0" w:space="0" w:color="auto"/>
        <w:right w:val="none" w:sz="0" w:space="0" w:color="auto"/>
      </w:divBdr>
    </w:div>
    <w:div w:id="1307206086">
      <w:bodyDiv w:val="1"/>
      <w:marLeft w:val="0"/>
      <w:marRight w:val="0"/>
      <w:marTop w:val="0"/>
      <w:marBottom w:val="0"/>
      <w:divBdr>
        <w:top w:val="none" w:sz="0" w:space="0" w:color="auto"/>
        <w:left w:val="none" w:sz="0" w:space="0" w:color="auto"/>
        <w:bottom w:val="none" w:sz="0" w:space="0" w:color="auto"/>
        <w:right w:val="none" w:sz="0" w:space="0" w:color="auto"/>
      </w:divBdr>
    </w:div>
    <w:div w:id="1307389956">
      <w:bodyDiv w:val="1"/>
      <w:marLeft w:val="0"/>
      <w:marRight w:val="0"/>
      <w:marTop w:val="0"/>
      <w:marBottom w:val="0"/>
      <w:divBdr>
        <w:top w:val="none" w:sz="0" w:space="0" w:color="auto"/>
        <w:left w:val="none" w:sz="0" w:space="0" w:color="auto"/>
        <w:bottom w:val="none" w:sz="0" w:space="0" w:color="auto"/>
        <w:right w:val="none" w:sz="0" w:space="0" w:color="auto"/>
      </w:divBdr>
    </w:div>
    <w:div w:id="1307393686">
      <w:bodyDiv w:val="1"/>
      <w:marLeft w:val="0"/>
      <w:marRight w:val="0"/>
      <w:marTop w:val="0"/>
      <w:marBottom w:val="0"/>
      <w:divBdr>
        <w:top w:val="none" w:sz="0" w:space="0" w:color="auto"/>
        <w:left w:val="none" w:sz="0" w:space="0" w:color="auto"/>
        <w:bottom w:val="none" w:sz="0" w:space="0" w:color="auto"/>
        <w:right w:val="none" w:sz="0" w:space="0" w:color="auto"/>
      </w:divBdr>
    </w:div>
    <w:div w:id="1307399415">
      <w:bodyDiv w:val="1"/>
      <w:marLeft w:val="0"/>
      <w:marRight w:val="0"/>
      <w:marTop w:val="0"/>
      <w:marBottom w:val="0"/>
      <w:divBdr>
        <w:top w:val="none" w:sz="0" w:space="0" w:color="auto"/>
        <w:left w:val="none" w:sz="0" w:space="0" w:color="auto"/>
        <w:bottom w:val="none" w:sz="0" w:space="0" w:color="auto"/>
        <w:right w:val="none" w:sz="0" w:space="0" w:color="auto"/>
      </w:divBdr>
    </w:div>
    <w:div w:id="1307511418">
      <w:bodyDiv w:val="1"/>
      <w:marLeft w:val="0"/>
      <w:marRight w:val="0"/>
      <w:marTop w:val="0"/>
      <w:marBottom w:val="0"/>
      <w:divBdr>
        <w:top w:val="none" w:sz="0" w:space="0" w:color="auto"/>
        <w:left w:val="none" w:sz="0" w:space="0" w:color="auto"/>
        <w:bottom w:val="none" w:sz="0" w:space="0" w:color="auto"/>
        <w:right w:val="none" w:sz="0" w:space="0" w:color="auto"/>
      </w:divBdr>
    </w:div>
    <w:div w:id="1307540638">
      <w:bodyDiv w:val="1"/>
      <w:marLeft w:val="0"/>
      <w:marRight w:val="0"/>
      <w:marTop w:val="0"/>
      <w:marBottom w:val="0"/>
      <w:divBdr>
        <w:top w:val="none" w:sz="0" w:space="0" w:color="auto"/>
        <w:left w:val="none" w:sz="0" w:space="0" w:color="auto"/>
        <w:bottom w:val="none" w:sz="0" w:space="0" w:color="auto"/>
        <w:right w:val="none" w:sz="0" w:space="0" w:color="auto"/>
      </w:divBdr>
    </w:div>
    <w:div w:id="1307589040">
      <w:bodyDiv w:val="1"/>
      <w:marLeft w:val="0"/>
      <w:marRight w:val="0"/>
      <w:marTop w:val="0"/>
      <w:marBottom w:val="0"/>
      <w:divBdr>
        <w:top w:val="none" w:sz="0" w:space="0" w:color="auto"/>
        <w:left w:val="none" w:sz="0" w:space="0" w:color="auto"/>
        <w:bottom w:val="none" w:sz="0" w:space="0" w:color="auto"/>
        <w:right w:val="none" w:sz="0" w:space="0" w:color="auto"/>
      </w:divBdr>
    </w:div>
    <w:div w:id="1307591128">
      <w:bodyDiv w:val="1"/>
      <w:marLeft w:val="0"/>
      <w:marRight w:val="0"/>
      <w:marTop w:val="0"/>
      <w:marBottom w:val="0"/>
      <w:divBdr>
        <w:top w:val="none" w:sz="0" w:space="0" w:color="auto"/>
        <w:left w:val="none" w:sz="0" w:space="0" w:color="auto"/>
        <w:bottom w:val="none" w:sz="0" w:space="0" w:color="auto"/>
        <w:right w:val="none" w:sz="0" w:space="0" w:color="auto"/>
      </w:divBdr>
    </w:div>
    <w:div w:id="1307737459">
      <w:bodyDiv w:val="1"/>
      <w:marLeft w:val="0"/>
      <w:marRight w:val="0"/>
      <w:marTop w:val="0"/>
      <w:marBottom w:val="0"/>
      <w:divBdr>
        <w:top w:val="none" w:sz="0" w:space="0" w:color="auto"/>
        <w:left w:val="none" w:sz="0" w:space="0" w:color="auto"/>
        <w:bottom w:val="none" w:sz="0" w:space="0" w:color="auto"/>
        <w:right w:val="none" w:sz="0" w:space="0" w:color="auto"/>
      </w:divBdr>
    </w:div>
    <w:div w:id="1307785765">
      <w:bodyDiv w:val="1"/>
      <w:marLeft w:val="0"/>
      <w:marRight w:val="0"/>
      <w:marTop w:val="0"/>
      <w:marBottom w:val="0"/>
      <w:divBdr>
        <w:top w:val="none" w:sz="0" w:space="0" w:color="auto"/>
        <w:left w:val="none" w:sz="0" w:space="0" w:color="auto"/>
        <w:bottom w:val="none" w:sz="0" w:space="0" w:color="auto"/>
        <w:right w:val="none" w:sz="0" w:space="0" w:color="auto"/>
      </w:divBdr>
    </w:div>
    <w:div w:id="1307852962">
      <w:bodyDiv w:val="1"/>
      <w:marLeft w:val="0"/>
      <w:marRight w:val="0"/>
      <w:marTop w:val="0"/>
      <w:marBottom w:val="0"/>
      <w:divBdr>
        <w:top w:val="none" w:sz="0" w:space="0" w:color="auto"/>
        <w:left w:val="none" w:sz="0" w:space="0" w:color="auto"/>
        <w:bottom w:val="none" w:sz="0" w:space="0" w:color="auto"/>
        <w:right w:val="none" w:sz="0" w:space="0" w:color="auto"/>
      </w:divBdr>
    </w:div>
    <w:div w:id="1307853151">
      <w:bodyDiv w:val="1"/>
      <w:marLeft w:val="0"/>
      <w:marRight w:val="0"/>
      <w:marTop w:val="0"/>
      <w:marBottom w:val="0"/>
      <w:divBdr>
        <w:top w:val="none" w:sz="0" w:space="0" w:color="auto"/>
        <w:left w:val="none" w:sz="0" w:space="0" w:color="auto"/>
        <w:bottom w:val="none" w:sz="0" w:space="0" w:color="auto"/>
        <w:right w:val="none" w:sz="0" w:space="0" w:color="auto"/>
      </w:divBdr>
    </w:div>
    <w:div w:id="1307929729">
      <w:bodyDiv w:val="1"/>
      <w:marLeft w:val="0"/>
      <w:marRight w:val="0"/>
      <w:marTop w:val="0"/>
      <w:marBottom w:val="0"/>
      <w:divBdr>
        <w:top w:val="none" w:sz="0" w:space="0" w:color="auto"/>
        <w:left w:val="none" w:sz="0" w:space="0" w:color="auto"/>
        <w:bottom w:val="none" w:sz="0" w:space="0" w:color="auto"/>
        <w:right w:val="none" w:sz="0" w:space="0" w:color="auto"/>
      </w:divBdr>
    </w:div>
    <w:div w:id="1307970561">
      <w:bodyDiv w:val="1"/>
      <w:marLeft w:val="0"/>
      <w:marRight w:val="0"/>
      <w:marTop w:val="0"/>
      <w:marBottom w:val="0"/>
      <w:divBdr>
        <w:top w:val="none" w:sz="0" w:space="0" w:color="auto"/>
        <w:left w:val="none" w:sz="0" w:space="0" w:color="auto"/>
        <w:bottom w:val="none" w:sz="0" w:space="0" w:color="auto"/>
        <w:right w:val="none" w:sz="0" w:space="0" w:color="auto"/>
      </w:divBdr>
    </w:div>
    <w:div w:id="1308047833">
      <w:bodyDiv w:val="1"/>
      <w:marLeft w:val="0"/>
      <w:marRight w:val="0"/>
      <w:marTop w:val="0"/>
      <w:marBottom w:val="0"/>
      <w:divBdr>
        <w:top w:val="none" w:sz="0" w:space="0" w:color="auto"/>
        <w:left w:val="none" w:sz="0" w:space="0" w:color="auto"/>
        <w:bottom w:val="none" w:sz="0" w:space="0" w:color="auto"/>
        <w:right w:val="none" w:sz="0" w:space="0" w:color="auto"/>
      </w:divBdr>
    </w:div>
    <w:div w:id="1308047964">
      <w:bodyDiv w:val="1"/>
      <w:marLeft w:val="0"/>
      <w:marRight w:val="0"/>
      <w:marTop w:val="0"/>
      <w:marBottom w:val="0"/>
      <w:divBdr>
        <w:top w:val="none" w:sz="0" w:space="0" w:color="auto"/>
        <w:left w:val="none" w:sz="0" w:space="0" w:color="auto"/>
        <w:bottom w:val="none" w:sz="0" w:space="0" w:color="auto"/>
        <w:right w:val="none" w:sz="0" w:space="0" w:color="auto"/>
      </w:divBdr>
    </w:div>
    <w:div w:id="1308361980">
      <w:bodyDiv w:val="1"/>
      <w:marLeft w:val="0"/>
      <w:marRight w:val="0"/>
      <w:marTop w:val="0"/>
      <w:marBottom w:val="0"/>
      <w:divBdr>
        <w:top w:val="none" w:sz="0" w:space="0" w:color="auto"/>
        <w:left w:val="none" w:sz="0" w:space="0" w:color="auto"/>
        <w:bottom w:val="none" w:sz="0" w:space="0" w:color="auto"/>
        <w:right w:val="none" w:sz="0" w:space="0" w:color="auto"/>
      </w:divBdr>
    </w:div>
    <w:div w:id="1308390613">
      <w:bodyDiv w:val="1"/>
      <w:marLeft w:val="0"/>
      <w:marRight w:val="0"/>
      <w:marTop w:val="0"/>
      <w:marBottom w:val="0"/>
      <w:divBdr>
        <w:top w:val="none" w:sz="0" w:space="0" w:color="auto"/>
        <w:left w:val="none" w:sz="0" w:space="0" w:color="auto"/>
        <w:bottom w:val="none" w:sz="0" w:space="0" w:color="auto"/>
        <w:right w:val="none" w:sz="0" w:space="0" w:color="auto"/>
      </w:divBdr>
    </w:div>
    <w:div w:id="1308514953">
      <w:bodyDiv w:val="1"/>
      <w:marLeft w:val="0"/>
      <w:marRight w:val="0"/>
      <w:marTop w:val="0"/>
      <w:marBottom w:val="0"/>
      <w:divBdr>
        <w:top w:val="none" w:sz="0" w:space="0" w:color="auto"/>
        <w:left w:val="none" w:sz="0" w:space="0" w:color="auto"/>
        <w:bottom w:val="none" w:sz="0" w:space="0" w:color="auto"/>
        <w:right w:val="none" w:sz="0" w:space="0" w:color="auto"/>
      </w:divBdr>
    </w:div>
    <w:div w:id="1308558028">
      <w:bodyDiv w:val="1"/>
      <w:marLeft w:val="0"/>
      <w:marRight w:val="0"/>
      <w:marTop w:val="0"/>
      <w:marBottom w:val="0"/>
      <w:divBdr>
        <w:top w:val="none" w:sz="0" w:space="0" w:color="auto"/>
        <w:left w:val="none" w:sz="0" w:space="0" w:color="auto"/>
        <w:bottom w:val="none" w:sz="0" w:space="0" w:color="auto"/>
        <w:right w:val="none" w:sz="0" w:space="0" w:color="auto"/>
      </w:divBdr>
    </w:div>
    <w:div w:id="1308625710">
      <w:bodyDiv w:val="1"/>
      <w:marLeft w:val="0"/>
      <w:marRight w:val="0"/>
      <w:marTop w:val="0"/>
      <w:marBottom w:val="0"/>
      <w:divBdr>
        <w:top w:val="none" w:sz="0" w:space="0" w:color="auto"/>
        <w:left w:val="none" w:sz="0" w:space="0" w:color="auto"/>
        <w:bottom w:val="none" w:sz="0" w:space="0" w:color="auto"/>
        <w:right w:val="none" w:sz="0" w:space="0" w:color="auto"/>
      </w:divBdr>
    </w:div>
    <w:div w:id="1308634733">
      <w:bodyDiv w:val="1"/>
      <w:marLeft w:val="0"/>
      <w:marRight w:val="0"/>
      <w:marTop w:val="0"/>
      <w:marBottom w:val="0"/>
      <w:divBdr>
        <w:top w:val="none" w:sz="0" w:space="0" w:color="auto"/>
        <w:left w:val="none" w:sz="0" w:space="0" w:color="auto"/>
        <w:bottom w:val="none" w:sz="0" w:space="0" w:color="auto"/>
        <w:right w:val="none" w:sz="0" w:space="0" w:color="auto"/>
      </w:divBdr>
    </w:div>
    <w:div w:id="1308701126">
      <w:bodyDiv w:val="1"/>
      <w:marLeft w:val="0"/>
      <w:marRight w:val="0"/>
      <w:marTop w:val="0"/>
      <w:marBottom w:val="0"/>
      <w:divBdr>
        <w:top w:val="none" w:sz="0" w:space="0" w:color="auto"/>
        <w:left w:val="none" w:sz="0" w:space="0" w:color="auto"/>
        <w:bottom w:val="none" w:sz="0" w:space="0" w:color="auto"/>
        <w:right w:val="none" w:sz="0" w:space="0" w:color="auto"/>
      </w:divBdr>
    </w:div>
    <w:div w:id="1308819922">
      <w:bodyDiv w:val="1"/>
      <w:marLeft w:val="0"/>
      <w:marRight w:val="0"/>
      <w:marTop w:val="0"/>
      <w:marBottom w:val="0"/>
      <w:divBdr>
        <w:top w:val="none" w:sz="0" w:space="0" w:color="auto"/>
        <w:left w:val="none" w:sz="0" w:space="0" w:color="auto"/>
        <w:bottom w:val="none" w:sz="0" w:space="0" w:color="auto"/>
        <w:right w:val="none" w:sz="0" w:space="0" w:color="auto"/>
      </w:divBdr>
    </w:div>
    <w:div w:id="1308820093">
      <w:bodyDiv w:val="1"/>
      <w:marLeft w:val="0"/>
      <w:marRight w:val="0"/>
      <w:marTop w:val="0"/>
      <w:marBottom w:val="0"/>
      <w:divBdr>
        <w:top w:val="none" w:sz="0" w:space="0" w:color="auto"/>
        <w:left w:val="none" w:sz="0" w:space="0" w:color="auto"/>
        <w:bottom w:val="none" w:sz="0" w:space="0" w:color="auto"/>
        <w:right w:val="none" w:sz="0" w:space="0" w:color="auto"/>
      </w:divBdr>
    </w:div>
    <w:div w:id="1309046667">
      <w:bodyDiv w:val="1"/>
      <w:marLeft w:val="0"/>
      <w:marRight w:val="0"/>
      <w:marTop w:val="0"/>
      <w:marBottom w:val="0"/>
      <w:divBdr>
        <w:top w:val="none" w:sz="0" w:space="0" w:color="auto"/>
        <w:left w:val="none" w:sz="0" w:space="0" w:color="auto"/>
        <w:bottom w:val="none" w:sz="0" w:space="0" w:color="auto"/>
        <w:right w:val="none" w:sz="0" w:space="0" w:color="auto"/>
      </w:divBdr>
    </w:div>
    <w:div w:id="1309091789">
      <w:bodyDiv w:val="1"/>
      <w:marLeft w:val="0"/>
      <w:marRight w:val="0"/>
      <w:marTop w:val="0"/>
      <w:marBottom w:val="0"/>
      <w:divBdr>
        <w:top w:val="none" w:sz="0" w:space="0" w:color="auto"/>
        <w:left w:val="none" w:sz="0" w:space="0" w:color="auto"/>
        <w:bottom w:val="none" w:sz="0" w:space="0" w:color="auto"/>
        <w:right w:val="none" w:sz="0" w:space="0" w:color="auto"/>
      </w:divBdr>
    </w:div>
    <w:div w:id="1309094319">
      <w:bodyDiv w:val="1"/>
      <w:marLeft w:val="0"/>
      <w:marRight w:val="0"/>
      <w:marTop w:val="0"/>
      <w:marBottom w:val="0"/>
      <w:divBdr>
        <w:top w:val="none" w:sz="0" w:space="0" w:color="auto"/>
        <w:left w:val="none" w:sz="0" w:space="0" w:color="auto"/>
        <w:bottom w:val="none" w:sz="0" w:space="0" w:color="auto"/>
        <w:right w:val="none" w:sz="0" w:space="0" w:color="auto"/>
      </w:divBdr>
    </w:div>
    <w:div w:id="1309166447">
      <w:bodyDiv w:val="1"/>
      <w:marLeft w:val="0"/>
      <w:marRight w:val="0"/>
      <w:marTop w:val="0"/>
      <w:marBottom w:val="0"/>
      <w:divBdr>
        <w:top w:val="none" w:sz="0" w:space="0" w:color="auto"/>
        <w:left w:val="none" w:sz="0" w:space="0" w:color="auto"/>
        <w:bottom w:val="none" w:sz="0" w:space="0" w:color="auto"/>
        <w:right w:val="none" w:sz="0" w:space="0" w:color="auto"/>
      </w:divBdr>
    </w:div>
    <w:div w:id="1309166930">
      <w:bodyDiv w:val="1"/>
      <w:marLeft w:val="0"/>
      <w:marRight w:val="0"/>
      <w:marTop w:val="0"/>
      <w:marBottom w:val="0"/>
      <w:divBdr>
        <w:top w:val="none" w:sz="0" w:space="0" w:color="auto"/>
        <w:left w:val="none" w:sz="0" w:space="0" w:color="auto"/>
        <w:bottom w:val="none" w:sz="0" w:space="0" w:color="auto"/>
        <w:right w:val="none" w:sz="0" w:space="0" w:color="auto"/>
      </w:divBdr>
    </w:div>
    <w:div w:id="1309169402">
      <w:bodyDiv w:val="1"/>
      <w:marLeft w:val="0"/>
      <w:marRight w:val="0"/>
      <w:marTop w:val="0"/>
      <w:marBottom w:val="0"/>
      <w:divBdr>
        <w:top w:val="none" w:sz="0" w:space="0" w:color="auto"/>
        <w:left w:val="none" w:sz="0" w:space="0" w:color="auto"/>
        <w:bottom w:val="none" w:sz="0" w:space="0" w:color="auto"/>
        <w:right w:val="none" w:sz="0" w:space="0" w:color="auto"/>
      </w:divBdr>
    </w:div>
    <w:div w:id="1309238366">
      <w:bodyDiv w:val="1"/>
      <w:marLeft w:val="0"/>
      <w:marRight w:val="0"/>
      <w:marTop w:val="0"/>
      <w:marBottom w:val="0"/>
      <w:divBdr>
        <w:top w:val="none" w:sz="0" w:space="0" w:color="auto"/>
        <w:left w:val="none" w:sz="0" w:space="0" w:color="auto"/>
        <w:bottom w:val="none" w:sz="0" w:space="0" w:color="auto"/>
        <w:right w:val="none" w:sz="0" w:space="0" w:color="auto"/>
      </w:divBdr>
    </w:div>
    <w:div w:id="1309506473">
      <w:bodyDiv w:val="1"/>
      <w:marLeft w:val="0"/>
      <w:marRight w:val="0"/>
      <w:marTop w:val="0"/>
      <w:marBottom w:val="0"/>
      <w:divBdr>
        <w:top w:val="none" w:sz="0" w:space="0" w:color="auto"/>
        <w:left w:val="none" w:sz="0" w:space="0" w:color="auto"/>
        <w:bottom w:val="none" w:sz="0" w:space="0" w:color="auto"/>
        <w:right w:val="none" w:sz="0" w:space="0" w:color="auto"/>
      </w:divBdr>
    </w:div>
    <w:div w:id="1309549776">
      <w:bodyDiv w:val="1"/>
      <w:marLeft w:val="0"/>
      <w:marRight w:val="0"/>
      <w:marTop w:val="0"/>
      <w:marBottom w:val="0"/>
      <w:divBdr>
        <w:top w:val="none" w:sz="0" w:space="0" w:color="auto"/>
        <w:left w:val="none" w:sz="0" w:space="0" w:color="auto"/>
        <w:bottom w:val="none" w:sz="0" w:space="0" w:color="auto"/>
        <w:right w:val="none" w:sz="0" w:space="0" w:color="auto"/>
      </w:divBdr>
    </w:div>
    <w:div w:id="1309673205">
      <w:bodyDiv w:val="1"/>
      <w:marLeft w:val="0"/>
      <w:marRight w:val="0"/>
      <w:marTop w:val="0"/>
      <w:marBottom w:val="0"/>
      <w:divBdr>
        <w:top w:val="none" w:sz="0" w:space="0" w:color="auto"/>
        <w:left w:val="none" w:sz="0" w:space="0" w:color="auto"/>
        <w:bottom w:val="none" w:sz="0" w:space="0" w:color="auto"/>
        <w:right w:val="none" w:sz="0" w:space="0" w:color="auto"/>
      </w:divBdr>
    </w:div>
    <w:div w:id="1310091299">
      <w:bodyDiv w:val="1"/>
      <w:marLeft w:val="0"/>
      <w:marRight w:val="0"/>
      <w:marTop w:val="0"/>
      <w:marBottom w:val="0"/>
      <w:divBdr>
        <w:top w:val="none" w:sz="0" w:space="0" w:color="auto"/>
        <w:left w:val="none" w:sz="0" w:space="0" w:color="auto"/>
        <w:bottom w:val="none" w:sz="0" w:space="0" w:color="auto"/>
        <w:right w:val="none" w:sz="0" w:space="0" w:color="auto"/>
      </w:divBdr>
    </w:div>
    <w:div w:id="1310209031">
      <w:bodyDiv w:val="1"/>
      <w:marLeft w:val="0"/>
      <w:marRight w:val="0"/>
      <w:marTop w:val="0"/>
      <w:marBottom w:val="0"/>
      <w:divBdr>
        <w:top w:val="none" w:sz="0" w:space="0" w:color="auto"/>
        <w:left w:val="none" w:sz="0" w:space="0" w:color="auto"/>
        <w:bottom w:val="none" w:sz="0" w:space="0" w:color="auto"/>
        <w:right w:val="none" w:sz="0" w:space="0" w:color="auto"/>
      </w:divBdr>
    </w:div>
    <w:div w:id="1310211474">
      <w:bodyDiv w:val="1"/>
      <w:marLeft w:val="0"/>
      <w:marRight w:val="0"/>
      <w:marTop w:val="0"/>
      <w:marBottom w:val="0"/>
      <w:divBdr>
        <w:top w:val="none" w:sz="0" w:space="0" w:color="auto"/>
        <w:left w:val="none" w:sz="0" w:space="0" w:color="auto"/>
        <w:bottom w:val="none" w:sz="0" w:space="0" w:color="auto"/>
        <w:right w:val="none" w:sz="0" w:space="0" w:color="auto"/>
      </w:divBdr>
    </w:div>
    <w:div w:id="1310282384">
      <w:bodyDiv w:val="1"/>
      <w:marLeft w:val="0"/>
      <w:marRight w:val="0"/>
      <w:marTop w:val="0"/>
      <w:marBottom w:val="0"/>
      <w:divBdr>
        <w:top w:val="none" w:sz="0" w:space="0" w:color="auto"/>
        <w:left w:val="none" w:sz="0" w:space="0" w:color="auto"/>
        <w:bottom w:val="none" w:sz="0" w:space="0" w:color="auto"/>
        <w:right w:val="none" w:sz="0" w:space="0" w:color="auto"/>
      </w:divBdr>
    </w:div>
    <w:div w:id="1310286885">
      <w:bodyDiv w:val="1"/>
      <w:marLeft w:val="0"/>
      <w:marRight w:val="0"/>
      <w:marTop w:val="0"/>
      <w:marBottom w:val="0"/>
      <w:divBdr>
        <w:top w:val="none" w:sz="0" w:space="0" w:color="auto"/>
        <w:left w:val="none" w:sz="0" w:space="0" w:color="auto"/>
        <w:bottom w:val="none" w:sz="0" w:space="0" w:color="auto"/>
        <w:right w:val="none" w:sz="0" w:space="0" w:color="auto"/>
      </w:divBdr>
    </w:div>
    <w:div w:id="1310355086">
      <w:bodyDiv w:val="1"/>
      <w:marLeft w:val="0"/>
      <w:marRight w:val="0"/>
      <w:marTop w:val="0"/>
      <w:marBottom w:val="0"/>
      <w:divBdr>
        <w:top w:val="none" w:sz="0" w:space="0" w:color="auto"/>
        <w:left w:val="none" w:sz="0" w:space="0" w:color="auto"/>
        <w:bottom w:val="none" w:sz="0" w:space="0" w:color="auto"/>
        <w:right w:val="none" w:sz="0" w:space="0" w:color="auto"/>
      </w:divBdr>
    </w:div>
    <w:div w:id="1310595513">
      <w:bodyDiv w:val="1"/>
      <w:marLeft w:val="0"/>
      <w:marRight w:val="0"/>
      <w:marTop w:val="0"/>
      <w:marBottom w:val="0"/>
      <w:divBdr>
        <w:top w:val="none" w:sz="0" w:space="0" w:color="auto"/>
        <w:left w:val="none" w:sz="0" w:space="0" w:color="auto"/>
        <w:bottom w:val="none" w:sz="0" w:space="0" w:color="auto"/>
        <w:right w:val="none" w:sz="0" w:space="0" w:color="auto"/>
      </w:divBdr>
    </w:div>
    <w:div w:id="1310668308">
      <w:bodyDiv w:val="1"/>
      <w:marLeft w:val="0"/>
      <w:marRight w:val="0"/>
      <w:marTop w:val="0"/>
      <w:marBottom w:val="0"/>
      <w:divBdr>
        <w:top w:val="none" w:sz="0" w:space="0" w:color="auto"/>
        <w:left w:val="none" w:sz="0" w:space="0" w:color="auto"/>
        <w:bottom w:val="none" w:sz="0" w:space="0" w:color="auto"/>
        <w:right w:val="none" w:sz="0" w:space="0" w:color="auto"/>
      </w:divBdr>
    </w:div>
    <w:div w:id="1310670208">
      <w:bodyDiv w:val="1"/>
      <w:marLeft w:val="0"/>
      <w:marRight w:val="0"/>
      <w:marTop w:val="0"/>
      <w:marBottom w:val="0"/>
      <w:divBdr>
        <w:top w:val="none" w:sz="0" w:space="0" w:color="auto"/>
        <w:left w:val="none" w:sz="0" w:space="0" w:color="auto"/>
        <w:bottom w:val="none" w:sz="0" w:space="0" w:color="auto"/>
        <w:right w:val="none" w:sz="0" w:space="0" w:color="auto"/>
      </w:divBdr>
    </w:div>
    <w:div w:id="1310745716">
      <w:bodyDiv w:val="1"/>
      <w:marLeft w:val="0"/>
      <w:marRight w:val="0"/>
      <w:marTop w:val="0"/>
      <w:marBottom w:val="0"/>
      <w:divBdr>
        <w:top w:val="none" w:sz="0" w:space="0" w:color="auto"/>
        <w:left w:val="none" w:sz="0" w:space="0" w:color="auto"/>
        <w:bottom w:val="none" w:sz="0" w:space="0" w:color="auto"/>
        <w:right w:val="none" w:sz="0" w:space="0" w:color="auto"/>
      </w:divBdr>
    </w:div>
    <w:div w:id="1310751289">
      <w:bodyDiv w:val="1"/>
      <w:marLeft w:val="0"/>
      <w:marRight w:val="0"/>
      <w:marTop w:val="0"/>
      <w:marBottom w:val="0"/>
      <w:divBdr>
        <w:top w:val="none" w:sz="0" w:space="0" w:color="auto"/>
        <w:left w:val="none" w:sz="0" w:space="0" w:color="auto"/>
        <w:bottom w:val="none" w:sz="0" w:space="0" w:color="auto"/>
        <w:right w:val="none" w:sz="0" w:space="0" w:color="auto"/>
      </w:divBdr>
    </w:div>
    <w:div w:id="1310940429">
      <w:bodyDiv w:val="1"/>
      <w:marLeft w:val="0"/>
      <w:marRight w:val="0"/>
      <w:marTop w:val="0"/>
      <w:marBottom w:val="0"/>
      <w:divBdr>
        <w:top w:val="none" w:sz="0" w:space="0" w:color="auto"/>
        <w:left w:val="none" w:sz="0" w:space="0" w:color="auto"/>
        <w:bottom w:val="none" w:sz="0" w:space="0" w:color="auto"/>
        <w:right w:val="none" w:sz="0" w:space="0" w:color="auto"/>
      </w:divBdr>
    </w:div>
    <w:div w:id="1311058696">
      <w:bodyDiv w:val="1"/>
      <w:marLeft w:val="0"/>
      <w:marRight w:val="0"/>
      <w:marTop w:val="0"/>
      <w:marBottom w:val="0"/>
      <w:divBdr>
        <w:top w:val="none" w:sz="0" w:space="0" w:color="auto"/>
        <w:left w:val="none" w:sz="0" w:space="0" w:color="auto"/>
        <w:bottom w:val="none" w:sz="0" w:space="0" w:color="auto"/>
        <w:right w:val="none" w:sz="0" w:space="0" w:color="auto"/>
      </w:divBdr>
    </w:div>
    <w:div w:id="1311133302">
      <w:bodyDiv w:val="1"/>
      <w:marLeft w:val="0"/>
      <w:marRight w:val="0"/>
      <w:marTop w:val="0"/>
      <w:marBottom w:val="0"/>
      <w:divBdr>
        <w:top w:val="none" w:sz="0" w:space="0" w:color="auto"/>
        <w:left w:val="none" w:sz="0" w:space="0" w:color="auto"/>
        <w:bottom w:val="none" w:sz="0" w:space="0" w:color="auto"/>
        <w:right w:val="none" w:sz="0" w:space="0" w:color="auto"/>
      </w:divBdr>
    </w:div>
    <w:div w:id="1311251376">
      <w:bodyDiv w:val="1"/>
      <w:marLeft w:val="0"/>
      <w:marRight w:val="0"/>
      <w:marTop w:val="0"/>
      <w:marBottom w:val="0"/>
      <w:divBdr>
        <w:top w:val="none" w:sz="0" w:space="0" w:color="auto"/>
        <w:left w:val="none" w:sz="0" w:space="0" w:color="auto"/>
        <w:bottom w:val="none" w:sz="0" w:space="0" w:color="auto"/>
        <w:right w:val="none" w:sz="0" w:space="0" w:color="auto"/>
      </w:divBdr>
    </w:div>
    <w:div w:id="1311251556">
      <w:bodyDiv w:val="1"/>
      <w:marLeft w:val="0"/>
      <w:marRight w:val="0"/>
      <w:marTop w:val="0"/>
      <w:marBottom w:val="0"/>
      <w:divBdr>
        <w:top w:val="none" w:sz="0" w:space="0" w:color="auto"/>
        <w:left w:val="none" w:sz="0" w:space="0" w:color="auto"/>
        <w:bottom w:val="none" w:sz="0" w:space="0" w:color="auto"/>
        <w:right w:val="none" w:sz="0" w:space="0" w:color="auto"/>
      </w:divBdr>
    </w:div>
    <w:div w:id="1311252102">
      <w:bodyDiv w:val="1"/>
      <w:marLeft w:val="0"/>
      <w:marRight w:val="0"/>
      <w:marTop w:val="0"/>
      <w:marBottom w:val="0"/>
      <w:divBdr>
        <w:top w:val="none" w:sz="0" w:space="0" w:color="auto"/>
        <w:left w:val="none" w:sz="0" w:space="0" w:color="auto"/>
        <w:bottom w:val="none" w:sz="0" w:space="0" w:color="auto"/>
        <w:right w:val="none" w:sz="0" w:space="0" w:color="auto"/>
      </w:divBdr>
    </w:div>
    <w:div w:id="1311255499">
      <w:bodyDiv w:val="1"/>
      <w:marLeft w:val="0"/>
      <w:marRight w:val="0"/>
      <w:marTop w:val="0"/>
      <w:marBottom w:val="0"/>
      <w:divBdr>
        <w:top w:val="none" w:sz="0" w:space="0" w:color="auto"/>
        <w:left w:val="none" w:sz="0" w:space="0" w:color="auto"/>
        <w:bottom w:val="none" w:sz="0" w:space="0" w:color="auto"/>
        <w:right w:val="none" w:sz="0" w:space="0" w:color="auto"/>
      </w:divBdr>
    </w:div>
    <w:div w:id="1311325786">
      <w:bodyDiv w:val="1"/>
      <w:marLeft w:val="0"/>
      <w:marRight w:val="0"/>
      <w:marTop w:val="0"/>
      <w:marBottom w:val="0"/>
      <w:divBdr>
        <w:top w:val="none" w:sz="0" w:space="0" w:color="auto"/>
        <w:left w:val="none" w:sz="0" w:space="0" w:color="auto"/>
        <w:bottom w:val="none" w:sz="0" w:space="0" w:color="auto"/>
        <w:right w:val="none" w:sz="0" w:space="0" w:color="auto"/>
      </w:divBdr>
    </w:div>
    <w:div w:id="1311444339">
      <w:bodyDiv w:val="1"/>
      <w:marLeft w:val="0"/>
      <w:marRight w:val="0"/>
      <w:marTop w:val="0"/>
      <w:marBottom w:val="0"/>
      <w:divBdr>
        <w:top w:val="none" w:sz="0" w:space="0" w:color="auto"/>
        <w:left w:val="none" w:sz="0" w:space="0" w:color="auto"/>
        <w:bottom w:val="none" w:sz="0" w:space="0" w:color="auto"/>
        <w:right w:val="none" w:sz="0" w:space="0" w:color="auto"/>
      </w:divBdr>
    </w:div>
    <w:div w:id="1311514821">
      <w:bodyDiv w:val="1"/>
      <w:marLeft w:val="0"/>
      <w:marRight w:val="0"/>
      <w:marTop w:val="0"/>
      <w:marBottom w:val="0"/>
      <w:divBdr>
        <w:top w:val="none" w:sz="0" w:space="0" w:color="auto"/>
        <w:left w:val="none" w:sz="0" w:space="0" w:color="auto"/>
        <w:bottom w:val="none" w:sz="0" w:space="0" w:color="auto"/>
        <w:right w:val="none" w:sz="0" w:space="0" w:color="auto"/>
      </w:divBdr>
    </w:div>
    <w:div w:id="1311788694">
      <w:bodyDiv w:val="1"/>
      <w:marLeft w:val="0"/>
      <w:marRight w:val="0"/>
      <w:marTop w:val="0"/>
      <w:marBottom w:val="0"/>
      <w:divBdr>
        <w:top w:val="none" w:sz="0" w:space="0" w:color="auto"/>
        <w:left w:val="none" w:sz="0" w:space="0" w:color="auto"/>
        <w:bottom w:val="none" w:sz="0" w:space="0" w:color="auto"/>
        <w:right w:val="none" w:sz="0" w:space="0" w:color="auto"/>
      </w:divBdr>
    </w:div>
    <w:div w:id="1311866385">
      <w:bodyDiv w:val="1"/>
      <w:marLeft w:val="0"/>
      <w:marRight w:val="0"/>
      <w:marTop w:val="0"/>
      <w:marBottom w:val="0"/>
      <w:divBdr>
        <w:top w:val="none" w:sz="0" w:space="0" w:color="auto"/>
        <w:left w:val="none" w:sz="0" w:space="0" w:color="auto"/>
        <w:bottom w:val="none" w:sz="0" w:space="0" w:color="auto"/>
        <w:right w:val="none" w:sz="0" w:space="0" w:color="auto"/>
      </w:divBdr>
    </w:div>
    <w:div w:id="1311907264">
      <w:bodyDiv w:val="1"/>
      <w:marLeft w:val="0"/>
      <w:marRight w:val="0"/>
      <w:marTop w:val="0"/>
      <w:marBottom w:val="0"/>
      <w:divBdr>
        <w:top w:val="none" w:sz="0" w:space="0" w:color="auto"/>
        <w:left w:val="none" w:sz="0" w:space="0" w:color="auto"/>
        <w:bottom w:val="none" w:sz="0" w:space="0" w:color="auto"/>
        <w:right w:val="none" w:sz="0" w:space="0" w:color="auto"/>
      </w:divBdr>
    </w:div>
    <w:div w:id="1312058338">
      <w:bodyDiv w:val="1"/>
      <w:marLeft w:val="0"/>
      <w:marRight w:val="0"/>
      <w:marTop w:val="0"/>
      <w:marBottom w:val="0"/>
      <w:divBdr>
        <w:top w:val="none" w:sz="0" w:space="0" w:color="auto"/>
        <w:left w:val="none" w:sz="0" w:space="0" w:color="auto"/>
        <w:bottom w:val="none" w:sz="0" w:space="0" w:color="auto"/>
        <w:right w:val="none" w:sz="0" w:space="0" w:color="auto"/>
      </w:divBdr>
    </w:div>
    <w:div w:id="1312059393">
      <w:bodyDiv w:val="1"/>
      <w:marLeft w:val="0"/>
      <w:marRight w:val="0"/>
      <w:marTop w:val="0"/>
      <w:marBottom w:val="0"/>
      <w:divBdr>
        <w:top w:val="none" w:sz="0" w:space="0" w:color="auto"/>
        <w:left w:val="none" w:sz="0" w:space="0" w:color="auto"/>
        <w:bottom w:val="none" w:sz="0" w:space="0" w:color="auto"/>
        <w:right w:val="none" w:sz="0" w:space="0" w:color="auto"/>
      </w:divBdr>
    </w:div>
    <w:div w:id="1312098167">
      <w:bodyDiv w:val="1"/>
      <w:marLeft w:val="0"/>
      <w:marRight w:val="0"/>
      <w:marTop w:val="0"/>
      <w:marBottom w:val="0"/>
      <w:divBdr>
        <w:top w:val="none" w:sz="0" w:space="0" w:color="auto"/>
        <w:left w:val="none" w:sz="0" w:space="0" w:color="auto"/>
        <w:bottom w:val="none" w:sz="0" w:space="0" w:color="auto"/>
        <w:right w:val="none" w:sz="0" w:space="0" w:color="auto"/>
      </w:divBdr>
    </w:div>
    <w:div w:id="1312248437">
      <w:bodyDiv w:val="1"/>
      <w:marLeft w:val="0"/>
      <w:marRight w:val="0"/>
      <w:marTop w:val="0"/>
      <w:marBottom w:val="0"/>
      <w:divBdr>
        <w:top w:val="none" w:sz="0" w:space="0" w:color="auto"/>
        <w:left w:val="none" w:sz="0" w:space="0" w:color="auto"/>
        <w:bottom w:val="none" w:sz="0" w:space="0" w:color="auto"/>
        <w:right w:val="none" w:sz="0" w:space="0" w:color="auto"/>
      </w:divBdr>
    </w:div>
    <w:div w:id="1312446186">
      <w:bodyDiv w:val="1"/>
      <w:marLeft w:val="0"/>
      <w:marRight w:val="0"/>
      <w:marTop w:val="0"/>
      <w:marBottom w:val="0"/>
      <w:divBdr>
        <w:top w:val="none" w:sz="0" w:space="0" w:color="auto"/>
        <w:left w:val="none" w:sz="0" w:space="0" w:color="auto"/>
        <w:bottom w:val="none" w:sz="0" w:space="0" w:color="auto"/>
        <w:right w:val="none" w:sz="0" w:space="0" w:color="auto"/>
      </w:divBdr>
    </w:div>
    <w:div w:id="1312560683">
      <w:bodyDiv w:val="1"/>
      <w:marLeft w:val="0"/>
      <w:marRight w:val="0"/>
      <w:marTop w:val="0"/>
      <w:marBottom w:val="0"/>
      <w:divBdr>
        <w:top w:val="none" w:sz="0" w:space="0" w:color="auto"/>
        <w:left w:val="none" w:sz="0" w:space="0" w:color="auto"/>
        <w:bottom w:val="none" w:sz="0" w:space="0" w:color="auto"/>
        <w:right w:val="none" w:sz="0" w:space="0" w:color="auto"/>
      </w:divBdr>
    </w:div>
    <w:div w:id="1312716495">
      <w:bodyDiv w:val="1"/>
      <w:marLeft w:val="0"/>
      <w:marRight w:val="0"/>
      <w:marTop w:val="0"/>
      <w:marBottom w:val="0"/>
      <w:divBdr>
        <w:top w:val="none" w:sz="0" w:space="0" w:color="auto"/>
        <w:left w:val="none" w:sz="0" w:space="0" w:color="auto"/>
        <w:bottom w:val="none" w:sz="0" w:space="0" w:color="auto"/>
        <w:right w:val="none" w:sz="0" w:space="0" w:color="auto"/>
      </w:divBdr>
    </w:div>
    <w:div w:id="1312758943">
      <w:bodyDiv w:val="1"/>
      <w:marLeft w:val="0"/>
      <w:marRight w:val="0"/>
      <w:marTop w:val="0"/>
      <w:marBottom w:val="0"/>
      <w:divBdr>
        <w:top w:val="none" w:sz="0" w:space="0" w:color="auto"/>
        <w:left w:val="none" w:sz="0" w:space="0" w:color="auto"/>
        <w:bottom w:val="none" w:sz="0" w:space="0" w:color="auto"/>
        <w:right w:val="none" w:sz="0" w:space="0" w:color="auto"/>
      </w:divBdr>
    </w:div>
    <w:div w:id="1312825663">
      <w:bodyDiv w:val="1"/>
      <w:marLeft w:val="0"/>
      <w:marRight w:val="0"/>
      <w:marTop w:val="0"/>
      <w:marBottom w:val="0"/>
      <w:divBdr>
        <w:top w:val="none" w:sz="0" w:space="0" w:color="auto"/>
        <w:left w:val="none" w:sz="0" w:space="0" w:color="auto"/>
        <w:bottom w:val="none" w:sz="0" w:space="0" w:color="auto"/>
        <w:right w:val="none" w:sz="0" w:space="0" w:color="auto"/>
      </w:divBdr>
    </w:div>
    <w:div w:id="1312828739">
      <w:bodyDiv w:val="1"/>
      <w:marLeft w:val="0"/>
      <w:marRight w:val="0"/>
      <w:marTop w:val="0"/>
      <w:marBottom w:val="0"/>
      <w:divBdr>
        <w:top w:val="none" w:sz="0" w:space="0" w:color="auto"/>
        <w:left w:val="none" w:sz="0" w:space="0" w:color="auto"/>
        <w:bottom w:val="none" w:sz="0" w:space="0" w:color="auto"/>
        <w:right w:val="none" w:sz="0" w:space="0" w:color="auto"/>
      </w:divBdr>
    </w:div>
    <w:div w:id="1313144983">
      <w:bodyDiv w:val="1"/>
      <w:marLeft w:val="0"/>
      <w:marRight w:val="0"/>
      <w:marTop w:val="0"/>
      <w:marBottom w:val="0"/>
      <w:divBdr>
        <w:top w:val="none" w:sz="0" w:space="0" w:color="auto"/>
        <w:left w:val="none" w:sz="0" w:space="0" w:color="auto"/>
        <w:bottom w:val="none" w:sz="0" w:space="0" w:color="auto"/>
        <w:right w:val="none" w:sz="0" w:space="0" w:color="auto"/>
      </w:divBdr>
    </w:div>
    <w:div w:id="1313145659">
      <w:bodyDiv w:val="1"/>
      <w:marLeft w:val="0"/>
      <w:marRight w:val="0"/>
      <w:marTop w:val="0"/>
      <w:marBottom w:val="0"/>
      <w:divBdr>
        <w:top w:val="none" w:sz="0" w:space="0" w:color="auto"/>
        <w:left w:val="none" w:sz="0" w:space="0" w:color="auto"/>
        <w:bottom w:val="none" w:sz="0" w:space="0" w:color="auto"/>
        <w:right w:val="none" w:sz="0" w:space="0" w:color="auto"/>
      </w:divBdr>
    </w:div>
    <w:div w:id="1313169852">
      <w:bodyDiv w:val="1"/>
      <w:marLeft w:val="0"/>
      <w:marRight w:val="0"/>
      <w:marTop w:val="0"/>
      <w:marBottom w:val="0"/>
      <w:divBdr>
        <w:top w:val="none" w:sz="0" w:space="0" w:color="auto"/>
        <w:left w:val="none" w:sz="0" w:space="0" w:color="auto"/>
        <w:bottom w:val="none" w:sz="0" w:space="0" w:color="auto"/>
        <w:right w:val="none" w:sz="0" w:space="0" w:color="auto"/>
      </w:divBdr>
    </w:div>
    <w:div w:id="1313175356">
      <w:bodyDiv w:val="1"/>
      <w:marLeft w:val="0"/>
      <w:marRight w:val="0"/>
      <w:marTop w:val="0"/>
      <w:marBottom w:val="0"/>
      <w:divBdr>
        <w:top w:val="none" w:sz="0" w:space="0" w:color="auto"/>
        <w:left w:val="none" w:sz="0" w:space="0" w:color="auto"/>
        <w:bottom w:val="none" w:sz="0" w:space="0" w:color="auto"/>
        <w:right w:val="none" w:sz="0" w:space="0" w:color="auto"/>
      </w:divBdr>
    </w:div>
    <w:div w:id="1313220193">
      <w:bodyDiv w:val="1"/>
      <w:marLeft w:val="0"/>
      <w:marRight w:val="0"/>
      <w:marTop w:val="0"/>
      <w:marBottom w:val="0"/>
      <w:divBdr>
        <w:top w:val="none" w:sz="0" w:space="0" w:color="auto"/>
        <w:left w:val="none" w:sz="0" w:space="0" w:color="auto"/>
        <w:bottom w:val="none" w:sz="0" w:space="0" w:color="auto"/>
        <w:right w:val="none" w:sz="0" w:space="0" w:color="auto"/>
      </w:divBdr>
    </w:div>
    <w:div w:id="1313290191">
      <w:bodyDiv w:val="1"/>
      <w:marLeft w:val="0"/>
      <w:marRight w:val="0"/>
      <w:marTop w:val="0"/>
      <w:marBottom w:val="0"/>
      <w:divBdr>
        <w:top w:val="none" w:sz="0" w:space="0" w:color="auto"/>
        <w:left w:val="none" w:sz="0" w:space="0" w:color="auto"/>
        <w:bottom w:val="none" w:sz="0" w:space="0" w:color="auto"/>
        <w:right w:val="none" w:sz="0" w:space="0" w:color="auto"/>
      </w:divBdr>
    </w:div>
    <w:div w:id="1313290493">
      <w:bodyDiv w:val="1"/>
      <w:marLeft w:val="0"/>
      <w:marRight w:val="0"/>
      <w:marTop w:val="0"/>
      <w:marBottom w:val="0"/>
      <w:divBdr>
        <w:top w:val="none" w:sz="0" w:space="0" w:color="auto"/>
        <w:left w:val="none" w:sz="0" w:space="0" w:color="auto"/>
        <w:bottom w:val="none" w:sz="0" w:space="0" w:color="auto"/>
        <w:right w:val="none" w:sz="0" w:space="0" w:color="auto"/>
      </w:divBdr>
    </w:div>
    <w:div w:id="1313414272">
      <w:bodyDiv w:val="1"/>
      <w:marLeft w:val="0"/>
      <w:marRight w:val="0"/>
      <w:marTop w:val="0"/>
      <w:marBottom w:val="0"/>
      <w:divBdr>
        <w:top w:val="none" w:sz="0" w:space="0" w:color="auto"/>
        <w:left w:val="none" w:sz="0" w:space="0" w:color="auto"/>
        <w:bottom w:val="none" w:sz="0" w:space="0" w:color="auto"/>
        <w:right w:val="none" w:sz="0" w:space="0" w:color="auto"/>
      </w:divBdr>
    </w:div>
    <w:div w:id="1313559532">
      <w:bodyDiv w:val="1"/>
      <w:marLeft w:val="0"/>
      <w:marRight w:val="0"/>
      <w:marTop w:val="0"/>
      <w:marBottom w:val="0"/>
      <w:divBdr>
        <w:top w:val="none" w:sz="0" w:space="0" w:color="auto"/>
        <w:left w:val="none" w:sz="0" w:space="0" w:color="auto"/>
        <w:bottom w:val="none" w:sz="0" w:space="0" w:color="auto"/>
        <w:right w:val="none" w:sz="0" w:space="0" w:color="auto"/>
      </w:divBdr>
    </w:div>
    <w:div w:id="1313680205">
      <w:bodyDiv w:val="1"/>
      <w:marLeft w:val="0"/>
      <w:marRight w:val="0"/>
      <w:marTop w:val="0"/>
      <w:marBottom w:val="0"/>
      <w:divBdr>
        <w:top w:val="none" w:sz="0" w:space="0" w:color="auto"/>
        <w:left w:val="none" w:sz="0" w:space="0" w:color="auto"/>
        <w:bottom w:val="none" w:sz="0" w:space="0" w:color="auto"/>
        <w:right w:val="none" w:sz="0" w:space="0" w:color="auto"/>
      </w:divBdr>
    </w:div>
    <w:div w:id="1313681489">
      <w:bodyDiv w:val="1"/>
      <w:marLeft w:val="0"/>
      <w:marRight w:val="0"/>
      <w:marTop w:val="0"/>
      <w:marBottom w:val="0"/>
      <w:divBdr>
        <w:top w:val="none" w:sz="0" w:space="0" w:color="auto"/>
        <w:left w:val="none" w:sz="0" w:space="0" w:color="auto"/>
        <w:bottom w:val="none" w:sz="0" w:space="0" w:color="auto"/>
        <w:right w:val="none" w:sz="0" w:space="0" w:color="auto"/>
      </w:divBdr>
    </w:div>
    <w:div w:id="1313867792">
      <w:bodyDiv w:val="1"/>
      <w:marLeft w:val="0"/>
      <w:marRight w:val="0"/>
      <w:marTop w:val="0"/>
      <w:marBottom w:val="0"/>
      <w:divBdr>
        <w:top w:val="none" w:sz="0" w:space="0" w:color="auto"/>
        <w:left w:val="none" w:sz="0" w:space="0" w:color="auto"/>
        <w:bottom w:val="none" w:sz="0" w:space="0" w:color="auto"/>
        <w:right w:val="none" w:sz="0" w:space="0" w:color="auto"/>
      </w:divBdr>
    </w:div>
    <w:div w:id="1313873414">
      <w:bodyDiv w:val="1"/>
      <w:marLeft w:val="0"/>
      <w:marRight w:val="0"/>
      <w:marTop w:val="0"/>
      <w:marBottom w:val="0"/>
      <w:divBdr>
        <w:top w:val="none" w:sz="0" w:space="0" w:color="auto"/>
        <w:left w:val="none" w:sz="0" w:space="0" w:color="auto"/>
        <w:bottom w:val="none" w:sz="0" w:space="0" w:color="auto"/>
        <w:right w:val="none" w:sz="0" w:space="0" w:color="auto"/>
      </w:divBdr>
    </w:div>
    <w:div w:id="1313942729">
      <w:bodyDiv w:val="1"/>
      <w:marLeft w:val="0"/>
      <w:marRight w:val="0"/>
      <w:marTop w:val="0"/>
      <w:marBottom w:val="0"/>
      <w:divBdr>
        <w:top w:val="none" w:sz="0" w:space="0" w:color="auto"/>
        <w:left w:val="none" w:sz="0" w:space="0" w:color="auto"/>
        <w:bottom w:val="none" w:sz="0" w:space="0" w:color="auto"/>
        <w:right w:val="none" w:sz="0" w:space="0" w:color="auto"/>
      </w:divBdr>
    </w:div>
    <w:div w:id="1313949523">
      <w:bodyDiv w:val="1"/>
      <w:marLeft w:val="0"/>
      <w:marRight w:val="0"/>
      <w:marTop w:val="0"/>
      <w:marBottom w:val="0"/>
      <w:divBdr>
        <w:top w:val="none" w:sz="0" w:space="0" w:color="auto"/>
        <w:left w:val="none" w:sz="0" w:space="0" w:color="auto"/>
        <w:bottom w:val="none" w:sz="0" w:space="0" w:color="auto"/>
        <w:right w:val="none" w:sz="0" w:space="0" w:color="auto"/>
      </w:divBdr>
    </w:div>
    <w:div w:id="1314024030">
      <w:bodyDiv w:val="1"/>
      <w:marLeft w:val="0"/>
      <w:marRight w:val="0"/>
      <w:marTop w:val="0"/>
      <w:marBottom w:val="0"/>
      <w:divBdr>
        <w:top w:val="none" w:sz="0" w:space="0" w:color="auto"/>
        <w:left w:val="none" w:sz="0" w:space="0" w:color="auto"/>
        <w:bottom w:val="none" w:sz="0" w:space="0" w:color="auto"/>
        <w:right w:val="none" w:sz="0" w:space="0" w:color="auto"/>
      </w:divBdr>
    </w:div>
    <w:div w:id="1314066486">
      <w:bodyDiv w:val="1"/>
      <w:marLeft w:val="0"/>
      <w:marRight w:val="0"/>
      <w:marTop w:val="0"/>
      <w:marBottom w:val="0"/>
      <w:divBdr>
        <w:top w:val="none" w:sz="0" w:space="0" w:color="auto"/>
        <w:left w:val="none" w:sz="0" w:space="0" w:color="auto"/>
        <w:bottom w:val="none" w:sz="0" w:space="0" w:color="auto"/>
        <w:right w:val="none" w:sz="0" w:space="0" w:color="auto"/>
      </w:divBdr>
    </w:div>
    <w:div w:id="1314217665">
      <w:bodyDiv w:val="1"/>
      <w:marLeft w:val="0"/>
      <w:marRight w:val="0"/>
      <w:marTop w:val="0"/>
      <w:marBottom w:val="0"/>
      <w:divBdr>
        <w:top w:val="none" w:sz="0" w:space="0" w:color="auto"/>
        <w:left w:val="none" w:sz="0" w:space="0" w:color="auto"/>
        <w:bottom w:val="none" w:sz="0" w:space="0" w:color="auto"/>
        <w:right w:val="none" w:sz="0" w:space="0" w:color="auto"/>
      </w:divBdr>
    </w:div>
    <w:div w:id="1314220008">
      <w:bodyDiv w:val="1"/>
      <w:marLeft w:val="0"/>
      <w:marRight w:val="0"/>
      <w:marTop w:val="0"/>
      <w:marBottom w:val="0"/>
      <w:divBdr>
        <w:top w:val="none" w:sz="0" w:space="0" w:color="auto"/>
        <w:left w:val="none" w:sz="0" w:space="0" w:color="auto"/>
        <w:bottom w:val="none" w:sz="0" w:space="0" w:color="auto"/>
        <w:right w:val="none" w:sz="0" w:space="0" w:color="auto"/>
      </w:divBdr>
    </w:div>
    <w:div w:id="1314260965">
      <w:bodyDiv w:val="1"/>
      <w:marLeft w:val="0"/>
      <w:marRight w:val="0"/>
      <w:marTop w:val="0"/>
      <w:marBottom w:val="0"/>
      <w:divBdr>
        <w:top w:val="none" w:sz="0" w:space="0" w:color="auto"/>
        <w:left w:val="none" w:sz="0" w:space="0" w:color="auto"/>
        <w:bottom w:val="none" w:sz="0" w:space="0" w:color="auto"/>
        <w:right w:val="none" w:sz="0" w:space="0" w:color="auto"/>
      </w:divBdr>
    </w:div>
    <w:div w:id="1314524133">
      <w:bodyDiv w:val="1"/>
      <w:marLeft w:val="0"/>
      <w:marRight w:val="0"/>
      <w:marTop w:val="0"/>
      <w:marBottom w:val="0"/>
      <w:divBdr>
        <w:top w:val="none" w:sz="0" w:space="0" w:color="auto"/>
        <w:left w:val="none" w:sz="0" w:space="0" w:color="auto"/>
        <w:bottom w:val="none" w:sz="0" w:space="0" w:color="auto"/>
        <w:right w:val="none" w:sz="0" w:space="0" w:color="auto"/>
      </w:divBdr>
    </w:div>
    <w:div w:id="1314675577">
      <w:bodyDiv w:val="1"/>
      <w:marLeft w:val="0"/>
      <w:marRight w:val="0"/>
      <w:marTop w:val="0"/>
      <w:marBottom w:val="0"/>
      <w:divBdr>
        <w:top w:val="none" w:sz="0" w:space="0" w:color="auto"/>
        <w:left w:val="none" w:sz="0" w:space="0" w:color="auto"/>
        <w:bottom w:val="none" w:sz="0" w:space="0" w:color="auto"/>
        <w:right w:val="none" w:sz="0" w:space="0" w:color="auto"/>
      </w:divBdr>
    </w:div>
    <w:div w:id="1314676268">
      <w:bodyDiv w:val="1"/>
      <w:marLeft w:val="0"/>
      <w:marRight w:val="0"/>
      <w:marTop w:val="0"/>
      <w:marBottom w:val="0"/>
      <w:divBdr>
        <w:top w:val="none" w:sz="0" w:space="0" w:color="auto"/>
        <w:left w:val="none" w:sz="0" w:space="0" w:color="auto"/>
        <w:bottom w:val="none" w:sz="0" w:space="0" w:color="auto"/>
        <w:right w:val="none" w:sz="0" w:space="0" w:color="auto"/>
      </w:divBdr>
    </w:div>
    <w:div w:id="1314719848">
      <w:bodyDiv w:val="1"/>
      <w:marLeft w:val="0"/>
      <w:marRight w:val="0"/>
      <w:marTop w:val="0"/>
      <w:marBottom w:val="0"/>
      <w:divBdr>
        <w:top w:val="none" w:sz="0" w:space="0" w:color="auto"/>
        <w:left w:val="none" w:sz="0" w:space="0" w:color="auto"/>
        <w:bottom w:val="none" w:sz="0" w:space="0" w:color="auto"/>
        <w:right w:val="none" w:sz="0" w:space="0" w:color="auto"/>
      </w:divBdr>
    </w:div>
    <w:div w:id="1314797053">
      <w:bodyDiv w:val="1"/>
      <w:marLeft w:val="0"/>
      <w:marRight w:val="0"/>
      <w:marTop w:val="0"/>
      <w:marBottom w:val="0"/>
      <w:divBdr>
        <w:top w:val="none" w:sz="0" w:space="0" w:color="auto"/>
        <w:left w:val="none" w:sz="0" w:space="0" w:color="auto"/>
        <w:bottom w:val="none" w:sz="0" w:space="0" w:color="auto"/>
        <w:right w:val="none" w:sz="0" w:space="0" w:color="auto"/>
      </w:divBdr>
    </w:div>
    <w:div w:id="1314988509">
      <w:bodyDiv w:val="1"/>
      <w:marLeft w:val="0"/>
      <w:marRight w:val="0"/>
      <w:marTop w:val="0"/>
      <w:marBottom w:val="0"/>
      <w:divBdr>
        <w:top w:val="none" w:sz="0" w:space="0" w:color="auto"/>
        <w:left w:val="none" w:sz="0" w:space="0" w:color="auto"/>
        <w:bottom w:val="none" w:sz="0" w:space="0" w:color="auto"/>
        <w:right w:val="none" w:sz="0" w:space="0" w:color="auto"/>
      </w:divBdr>
    </w:div>
    <w:div w:id="1314993152">
      <w:bodyDiv w:val="1"/>
      <w:marLeft w:val="0"/>
      <w:marRight w:val="0"/>
      <w:marTop w:val="0"/>
      <w:marBottom w:val="0"/>
      <w:divBdr>
        <w:top w:val="none" w:sz="0" w:space="0" w:color="auto"/>
        <w:left w:val="none" w:sz="0" w:space="0" w:color="auto"/>
        <w:bottom w:val="none" w:sz="0" w:space="0" w:color="auto"/>
        <w:right w:val="none" w:sz="0" w:space="0" w:color="auto"/>
      </w:divBdr>
    </w:div>
    <w:div w:id="1315060075">
      <w:bodyDiv w:val="1"/>
      <w:marLeft w:val="0"/>
      <w:marRight w:val="0"/>
      <w:marTop w:val="0"/>
      <w:marBottom w:val="0"/>
      <w:divBdr>
        <w:top w:val="none" w:sz="0" w:space="0" w:color="auto"/>
        <w:left w:val="none" w:sz="0" w:space="0" w:color="auto"/>
        <w:bottom w:val="none" w:sz="0" w:space="0" w:color="auto"/>
        <w:right w:val="none" w:sz="0" w:space="0" w:color="auto"/>
      </w:divBdr>
    </w:div>
    <w:div w:id="1315142158">
      <w:bodyDiv w:val="1"/>
      <w:marLeft w:val="0"/>
      <w:marRight w:val="0"/>
      <w:marTop w:val="0"/>
      <w:marBottom w:val="0"/>
      <w:divBdr>
        <w:top w:val="none" w:sz="0" w:space="0" w:color="auto"/>
        <w:left w:val="none" w:sz="0" w:space="0" w:color="auto"/>
        <w:bottom w:val="none" w:sz="0" w:space="0" w:color="auto"/>
        <w:right w:val="none" w:sz="0" w:space="0" w:color="auto"/>
      </w:divBdr>
    </w:div>
    <w:div w:id="1315254625">
      <w:bodyDiv w:val="1"/>
      <w:marLeft w:val="0"/>
      <w:marRight w:val="0"/>
      <w:marTop w:val="0"/>
      <w:marBottom w:val="0"/>
      <w:divBdr>
        <w:top w:val="none" w:sz="0" w:space="0" w:color="auto"/>
        <w:left w:val="none" w:sz="0" w:space="0" w:color="auto"/>
        <w:bottom w:val="none" w:sz="0" w:space="0" w:color="auto"/>
        <w:right w:val="none" w:sz="0" w:space="0" w:color="auto"/>
      </w:divBdr>
    </w:div>
    <w:div w:id="1315261326">
      <w:bodyDiv w:val="1"/>
      <w:marLeft w:val="0"/>
      <w:marRight w:val="0"/>
      <w:marTop w:val="0"/>
      <w:marBottom w:val="0"/>
      <w:divBdr>
        <w:top w:val="none" w:sz="0" w:space="0" w:color="auto"/>
        <w:left w:val="none" w:sz="0" w:space="0" w:color="auto"/>
        <w:bottom w:val="none" w:sz="0" w:space="0" w:color="auto"/>
        <w:right w:val="none" w:sz="0" w:space="0" w:color="auto"/>
      </w:divBdr>
    </w:div>
    <w:div w:id="1315379084">
      <w:bodyDiv w:val="1"/>
      <w:marLeft w:val="0"/>
      <w:marRight w:val="0"/>
      <w:marTop w:val="0"/>
      <w:marBottom w:val="0"/>
      <w:divBdr>
        <w:top w:val="none" w:sz="0" w:space="0" w:color="auto"/>
        <w:left w:val="none" w:sz="0" w:space="0" w:color="auto"/>
        <w:bottom w:val="none" w:sz="0" w:space="0" w:color="auto"/>
        <w:right w:val="none" w:sz="0" w:space="0" w:color="auto"/>
      </w:divBdr>
    </w:div>
    <w:div w:id="1315450500">
      <w:bodyDiv w:val="1"/>
      <w:marLeft w:val="0"/>
      <w:marRight w:val="0"/>
      <w:marTop w:val="0"/>
      <w:marBottom w:val="0"/>
      <w:divBdr>
        <w:top w:val="none" w:sz="0" w:space="0" w:color="auto"/>
        <w:left w:val="none" w:sz="0" w:space="0" w:color="auto"/>
        <w:bottom w:val="none" w:sz="0" w:space="0" w:color="auto"/>
        <w:right w:val="none" w:sz="0" w:space="0" w:color="auto"/>
      </w:divBdr>
    </w:div>
    <w:div w:id="1315452195">
      <w:bodyDiv w:val="1"/>
      <w:marLeft w:val="0"/>
      <w:marRight w:val="0"/>
      <w:marTop w:val="0"/>
      <w:marBottom w:val="0"/>
      <w:divBdr>
        <w:top w:val="none" w:sz="0" w:space="0" w:color="auto"/>
        <w:left w:val="none" w:sz="0" w:space="0" w:color="auto"/>
        <w:bottom w:val="none" w:sz="0" w:space="0" w:color="auto"/>
        <w:right w:val="none" w:sz="0" w:space="0" w:color="auto"/>
      </w:divBdr>
    </w:div>
    <w:div w:id="1315522030">
      <w:bodyDiv w:val="1"/>
      <w:marLeft w:val="0"/>
      <w:marRight w:val="0"/>
      <w:marTop w:val="0"/>
      <w:marBottom w:val="0"/>
      <w:divBdr>
        <w:top w:val="none" w:sz="0" w:space="0" w:color="auto"/>
        <w:left w:val="none" w:sz="0" w:space="0" w:color="auto"/>
        <w:bottom w:val="none" w:sz="0" w:space="0" w:color="auto"/>
        <w:right w:val="none" w:sz="0" w:space="0" w:color="auto"/>
      </w:divBdr>
    </w:div>
    <w:div w:id="1315569854">
      <w:bodyDiv w:val="1"/>
      <w:marLeft w:val="0"/>
      <w:marRight w:val="0"/>
      <w:marTop w:val="0"/>
      <w:marBottom w:val="0"/>
      <w:divBdr>
        <w:top w:val="none" w:sz="0" w:space="0" w:color="auto"/>
        <w:left w:val="none" w:sz="0" w:space="0" w:color="auto"/>
        <w:bottom w:val="none" w:sz="0" w:space="0" w:color="auto"/>
        <w:right w:val="none" w:sz="0" w:space="0" w:color="auto"/>
      </w:divBdr>
    </w:div>
    <w:div w:id="1315642945">
      <w:bodyDiv w:val="1"/>
      <w:marLeft w:val="0"/>
      <w:marRight w:val="0"/>
      <w:marTop w:val="0"/>
      <w:marBottom w:val="0"/>
      <w:divBdr>
        <w:top w:val="none" w:sz="0" w:space="0" w:color="auto"/>
        <w:left w:val="none" w:sz="0" w:space="0" w:color="auto"/>
        <w:bottom w:val="none" w:sz="0" w:space="0" w:color="auto"/>
        <w:right w:val="none" w:sz="0" w:space="0" w:color="auto"/>
      </w:divBdr>
    </w:div>
    <w:div w:id="1315794206">
      <w:bodyDiv w:val="1"/>
      <w:marLeft w:val="0"/>
      <w:marRight w:val="0"/>
      <w:marTop w:val="0"/>
      <w:marBottom w:val="0"/>
      <w:divBdr>
        <w:top w:val="none" w:sz="0" w:space="0" w:color="auto"/>
        <w:left w:val="none" w:sz="0" w:space="0" w:color="auto"/>
        <w:bottom w:val="none" w:sz="0" w:space="0" w:color="auto"/>
        <w:right w:val="none" w:sz="0" w:space="0" w:color="auto"/>
      </w:divBdr>
    </w:div>
    <w:div w:id="1315795734">
      <w:bodyDiv w:val="1"/>
      <w:marLeft w:val="0"/>
      <w:marRight w:val="0"/>
      <w:marTop w:val="0"/>
      <w:marBottom w:val="0"/>
      <w:divBdr>
        <w:top w:val="none" w:sz="0" w:space="0" w:color="auto"/>
        <w:left w:val="none" w:sz="0" w:space="0" w:color="auto"/>
        <w:bottom w:val="none" w:sz="0" w:space="0" w:color="auto"/>
        <w:right w:val="none" w:sz="0" w:space="0" w:color="auto"/>
      </w:divBdr>
    </w:div>
    <w:div w:id="1315915063">
      <w:bodyDiv w:val="1"/>
      <w:marLeft w:val="0"/>
      <w:marRight w:val="0"/>
      <w:marTop w:val="0"/>
      <w:marBottom w:val="0"/>
      <w:divBdr>
        <w:top w:val="none" w:sz="0" w:space="0" w:color="auto"/>
        <w:left w:val="none" w:sz="0" w:space="0" w:color="auto"/>
        <w:bottom w:val="none" w:sz="0" w:space="0" w:color="auto"/>
        <w:right w:val="none" w:sz="0" w:space="0" w:color="auto"/>
      </w:divBdr>
    </w:div>
    <w:div w:id="1315985577">
      <w:bodyDiv w:val="1"/>
      <w:marLeft w:val="0"/>
      <w:marRight w:val="0"/>
      <w:marTop w:val="0"/>
      <w:marBottom w:val="0"/>
      <w:divBdr>
        <w:top w:val="none" w:sz="0" w:space="0" w:color="auto"/>
        <w:left w:val="none" w:sz="0" w:space="0" w:color="auto"/>
        <w:bottom w:val="none" w:sz="0" w:space="0" w:color="auto"/>
        <w:right w:val="none" w:sz="0" w:space="0" w:color="auto"/>
      </w:divBdr>
    </w:div>
    <w:div w:id="1316060089">
      <w:bodyDiv w:val="1"/>
      <w:marLeft w:val="0"/>
      <w:marRight w:val="0"/>
      <w:marTop w:val="0"/>
      <w:marBottom w:val="0"/>
      <w:divBdr>
        <w:top w:val="none" w:sz="0" w:space="0" w:color="auto"/>
        <w:left w:val="none" w:sz="0" w:space="0" w:color="auto"/>
        <w:bottom w:val="none" w:sz="0" w:space="0" w:color="auto"/>
        <w:right w:val="none" w:sz="0" w:space="0" w:color="auto"/>
      </w:divBdr>
    </w:div>
    <w:div w:id="1316182786">
      <w:bodyDiv w:val="1"/>
      <w:marLeft w:val="0"/>
      <w:marRight w:val="0"/>
      <w:marTop w:val="0"/>
      <w:marBottom w:val="0"/>
      <w:divBdr>
        <w:top w:val="none" w:sz="0" w:space="0" w:color="auto"/>
        <w:left w:val="none" w:sz="0" w:space="0" w:color="auto"/>
        <w:bottom w:val="none" w:sz="0" w:space="0" w:color="auto"/>
        <w:right w:val="none" w:sz="0" w:space="0" w:color="auto"/>
      </w:divBdr>
    </w:div>
    <w:div w:id="1316228971">
      <w:bodyDiv w:val="1"/>
      <w:marLeft w:val="0"/>
      <w:marRight w:val="0"/>
      <w:marTop w:val="0"/>
      <w:marBottom w:val="0"/>
      <w:divBdr>
        <w:top w:val="none" w:sz="0" w:space="0" w:color="auto"/>
        <w:left w:val="none" w:sz="0" w:space="0" w:color="auto"/>
        <w:bottom w:val="none" w:sz="0" w:space="0" w:color="auto"/>
        <w:right w:val="none" w:sz="0" w:space="0" w:color="auto"/>
      </w:divBdr>
    </w:div>
    <w:div w:id="1316304151">
      <w:bodyDiv w:val="1"/>
      <w:marLeft w:val="0"/>
      <w:marRight w:val="0"/>
      <w:marTop w:val="0"/>
      <w:marBottom w:val="0"/>
      <w:divBdr>
        <w:top w:val="none" w:sz="0" w:space="0" w:color="auto"/>
        <w:left w:val="none" w:sz="0" w:space="0" w:color="auto"/>
        <w:bottom w:val="none" w:sz="0" w:space="0" w:color="auto"/>
        <w:right w:val="none" w:sz="0" w:space="0" w:color="auto"/>
      </w:divBdr>
    </w:div>
    <w:div w:id="1316377016">
      <w:bodyDiv w:val="1"/>
      <w:marLeft w:val="0"/>
      <w:marRight w:val="0"/>
      <w:marTop w:val="0"/>
      <w:marBottom w:val="0"/>
      <w:divBdr>
        <w:top w:val="none" w:sz="0" w:space="0" w:color="auto"/>
        <w:left w:val="none" w:sz="0" w:space="0" w:color="auto"/>
        <w:bottom w:val="none" w:sz="0" w:space="0" w:color="auto"/>
        <w:right w:val="none" w:sz="0" w:space="0" w:color="auto"/>
      </w:divBdr>
    </w:div>
    <w:div w:id="1316379578">
      <w:bodyDiv w:val="1"/>
      <w:marLeft w:val="0"/>
      <w:marRight w:val="0"/>
      <w:marTop w:val="0"/>
      <w:marBottom w:val="0"/>
      <w:divBdr>
        <w:top w:val="none" w:sz="0" w:space="0" w:color="auto"/>
        <w:left w:val="none" w:sz="0" w:space="0" w:color="auto"/>
        <w:bottom w:val="none" w:sz="0" w:space="0" w:color="auto"/>
        <w:right w:val="none" w:sz="0" w:space="0" w:color="auto"/>
      </w:divBdr>
    </w:div>
    <w:div w:id="1316422137">
      <w:bodyDiv w:val="1"/>
      <w:marLeft w:val="0"/>
      <w:marRight w:val="0"/>
      <w:marTop w:val="0"/>
      <w:marBottom w:val="0"/>
      <w:divBdr>
        <w:top w:val="none" w:sz="0" w:space="0" w:color="auto"/>
        <w:left w:val="none" w:sz="0" w:space="0" w:color="auto"/>
        <w:bottom w:val="none" w:sz="0" w:space="0" w:color="auto"/>
        <w:right w:val="none" w:sz="0" w:space="0" w:color="auto"/>
      </w:divBdr>
    </w:div>
    <w:div w:id="1316451450">
      <w:bodyDiv w:val="1"/>
      <w:marLeft w:val="0"/>
      <w:marRight w:val="0"/>
      <w:marTop w:val="0"/>
      <w:marBottom w:val="0"/>
      <w:divBdr>
        <w:top w:val="none" w:sz="0" w:space="0" w:color="auto"/>
        <w:left w:val="none" w:sz="0" w:space="0" w:color="auto"/>
        <w:bottom w:val="none" w:sz="0" w:space="0" w:color="auto"/>
        <w:right w:val="none" w:sz="0" w:space="0" w:color="auto"/>
      </w:divBdr>
    </w:div>
    <w:div w:id="1316572708">
      <w:bodyDiv w:val="1"/>
      <w:marLeft w:val="0"/>
      <w:marRight w:val="0"/>
      <w:marTop w:val="0"/>
      <w:marBottom w:val="0"/>
      <w:divBdr>
        <w:top w:val="none" w:sz="0" w:space="0" w:color="auto"/>
        <w:left w:val="none" w:sz="0" w:space="0" w:color="auto"/>
        <w:bottom w:val="none" w:sz="0" w:space="0" w:color="auto"/>
        <w:right w:val="none" w:sz="0" w:space="0" w:color="auto"/>
      </w:divBdr>
    </w:div>
    <w:div w:id="1316642284">
      <w:bodyDiv w:val="1"/>
      <w:marLeft w:val="0"/>
      <w:marRight w:val="0"/>
      <w:marTop w:val="0"/>
      <w:marBottom w:val="0"/>
      <w:divBdr>
        <w:top w:val="none" w:sz="0" w:space="0" w:color="auto"/>
        <w:left w:val="none" w:sz="0" w:space="0" w:color="auto"/>
        <w:bottom w:val="none" w:sz="0" w:space="0" w:color="auto"/>
        <w:right w:val="none" w:sz="0" w:space="0" w:color="auto"/>
      </w:divBdr>
    </w:div>
    <w:div w:id="1316644503">
      <w:bodyDiv w:val="1"/>
      <w:marLeft w:val="0"/>
      <w:marRight w:val="0"/>
      <w:marTop w:val="0"/>
      <w:marBottom w:val="0"/>
      <w:divBdr>
        <w:top w:val="none" w:sz="0" w:space="0" w:color="auto"/>
        <w:left w:val="none" w:sz="0" w:space="0" w:color="auto"/>
        <w:bottom w:val="none" w:sz="0" w:space="0" w:color="auto"/>
        <w:right w:val="none" w:sz="0" w:space="0" w:color="auto"/>
      </w:divBdr>
    </w:div>
    <w:div w:id="1316952231">
      <w:bodyDiv w:val="1"/>
      <w:marLeft w:val="0"/>
      <w:marRight w:val="0"/>
      <w:marTop w:val="0"/>
      <w:marBottom w:val="0"/>
      <w:divBdr>
        <w:top w:val="none" w:sz="0" w:space="0" w:color="auto"/>
        <w:left w:val="none" w:sz="0" w:space="0" w:color="auto"/>
        <w:bottom w:val="none" w:sz="0" w:space="0" w:color="auto"/>
        <w:right w:val="none" w:sz="0" w:space="0" w:color="auto"/>
      </w:divBdr>
    </w:div>
    <w:div w:id="1316958878">
      <w:bodyDiv w:val="1"/>
      <w:marLeft w:val="0"/>
      <w:marRight w:val="0"/>
      <w:marTop w:val="0"/>
      <w:marBottom w:val="0"/>
      <w:divBdr>
        <w:top w:val="none" w:sz="0" w:space="0" w:color="auto"/>
        <w:left w:val="none" w:sz="0" w:space="0" w:color="auto"/>
        <w:bottom w:val="none" w:sz="0" w:space="0" w:color="auto"/>
        <w:right w:val="none" w:sz="0" w:space="0" w:color="auto"/>
      </w:divBdr>
    </w:div>
    <w:div w:id="1317153290">
      <w:bodyDiv w:val="1"/>
      <w:marLeft w:val="0"/>
      <w:marRight w:val="0"/>
      <w:marTop w:val="0"/>
      <w:marBottom w:val="0"/>
      <w:divBdr>
        <w:top w:val="none" w:sz="0" w:space="0" w:color="auto"/>
        <w:left w:val="none" w:sz="0" w:space="0" w:color="auto"/>
        <w:bottom w:val="none" w:sz="0" w:space="0" w:color="auto"/>
        <w:right w:val="none" w:sz="0" w:space="0" w:color="auto"/>
      </w:divBdr>
    </w:div>
    <w:div w:id="1317219195">
      <w:bodyDiv w:val="1"/>
      <w:marLeft w:val="0"/>
      <w:marRight w:val="0"/>
      <w:marTop w:val="0"/>
      <w:marBottom w:val="0"/>
      <w:divBdr>
        <w:top w:val="none" w:sz="0" w:space="0" w:color="auto"/>
        <w:left w:val="none" w:sz="0" w:space="0" w:color="auto"/>
        <w:bottom w:val="none" w:sz="0" w:space="0" w:color="auto"/>
        <w:right w:val="none" w:sz="0" w:space="0" w:color="auto"/>
      </w:divBdr>
    </w:div>
    <w:div w:id="1317295702">
      <w:bodyDiv w:val="1"/>
      <w:marLeft w:val="0"/>
      <w:marRight w:val="0"/>
      <w:marTop w:val="0"/>
      <w:marBottom w:val="0"/>
      <w:divBdr>
        <w:top w:val="none" w:sz="0" w:space="0" w:color="auto"/>
        <w:left w:val="none" w:sz="0" w:space="0" w:color="auto"/>
        <w:bottom w:val="none" w:sz="0" w:space="0" w:color="auto"/>
        <w:right w:val="none" w:sz="0" w:space="0" w:color="auto"/>
      </w:divBdr>
    </w:div>
    <w:div w:id="1317563264">
      <w:bodyDiv w:val="1"/>
      <w:marLeft w:val="0"/>
      <w:marRight w:val="0"/>
      <w:marTop w:val="0"/>
      <w:marBottom w:val="0"/>
      <w:divBdr>
        <w:top w:val="none" w:sz="0" w:space="0" w:color="auto"/>
        <w:left w:val="none" w:sz="0" w:space="0" w:color="auto"/>
        <w:bottom w:val="none" w:sz="0" w:space="0" w:color="auto"/>
        <w:right w:val="none" w:sz="0" w:space="0" w:color="auto"/>
      </w:divBdr>
    </w:div>
    <w:div w:id="1317609106">
      <w:bodyDiv w:val="1"/>
      <w:marLeft w:val="0"/>
      <w:marRight w:val="0"/>
      <w:marTop w:val="0"/>
      <w:marBottom w:val="0"/>
      <w:divBdr>
        <w:top w:val="none" w:sz="0" w:space="0" w:color="auto"/>
        <w:left w:val="none" w:sz="0" w:space="0" w:color="auto"/>
        <w:bottom w:val="none" w:sz="0" w:space="0" w:color="auto"/>
        <w:right w:val="none" w:sz="0" w:space="0" w:color="auto"/>
      </w:divBdr>
    </w:div>
    <w:div w:id="1317682006">
      <w:bodyDiv w:val="1"/>
      <w:marLeft w:val="0"/>
      <w:marRight w:val="0"/>
      <w:marTop w:val="0"/>
      <w:marBottom w:val="0"/>
      <w:divBdr>
        <w:top w:val="none" w:sz="0" w:space="0" w:color="auto"/>
        <w:left w:val="none" w:sz="0" w:space="0" w:color="auto"/>
        <w:bottom w:val="none" w:sz="0" w:space="0" w:color="auto"/>
        <w:right w:val="none" w:sz="0" w:space="0" w:color="auto"/>
      </w:divBdr>
    </w:div>
    <w:div w:id="1317880137">
      <w:bodyDiv w:val="1"/>
      <w:marLeft w:val="0"/>
      <w:marRight w:val="0"/>
      <w:marTop w:val="0"/>
      <w:marBottom w:val="0"/>
      <w:divBdr>
        <w:top w:val="none" w:sz="0" w:space="0" w:color="auto"/>
        <w:left w:val="none" w:sz="0" w:space="0" w:color="auto"/>
        <w:bottom w:val="none" w:sz="0" w:space="0" w:color="auto"/>
        <w:right w:val="none" w:sz="0" w:space="0" w:color="auto"/>
      </w:divBdr>
    </w:div>
    <w:div w:id="1317882285">
      <w:bodyDiv w:val="1"/>
      <w:marLeft w:val="0"/>
      <w:marRight w:val="0"/>
      <w:marTop w:val="0"/>
      <w:marBottom w:val="0"/>
      <w:divBdr>
        <w:top w:val="none" w:sz="0" w:space="0" w:color="auto"/>
        <w:left w:val="none" w:sz="0" w:space="0" w:color="auto"/>
        <w:bottom w:val="none" w:sz="0" w:space="0" w:color="auto"/>
        <w:right w:val="none" w:sz="0" w:space="0" w:color="auto"/>
      </w:divBdr>
    </w:div>
    <w:div w:id="1317883531">
      <w:bodyDiv w:val="1"/>
      <w:marLeft w:val="0"/>
      <w:marRight w:val="0"/>
      <w:marTop w:val="0"/>
      <w:marBottom w:val="0"/>
      <w:divBdr>
        <w:top w:val="none" w:sz="0" w:space="0" w:color="auto"/>
        <w:left w:val="none" w:sz="0" w:space="0" w:color="auto"/>
        <w:bottom w:val="none" w:sz="0" w:space="0" w:color="auto"/>
        <w:right w:val="none" w:sz="0" w:space="0" w:color="auto"/>
      </w:divBdr>
    </w:div>
    <w:div w:id="1317952889">
      <w:bodyDiv w:val="1"/>
      <w:marLeft w:val="0"/>
      <w:marRight w:val="0"/>
      <w:marTop w:val="0"/>
      <w:marBottom w:val="0"/>
      <w:divBdr>
        <w:top w:val="none" w:sz="0" w:space="0" w:color="auto"/>
        <w:left w:val="none" w:sz="0" w:space="0" w:color="auto"/>
        <w:bottom w:val="none" w:sz="0" w:space="0" w:color="auto"/>
        <w:right w:val="none" w:sz="0" w:space="0" w:color="auto"/>
      </w:divBdr>
    </w:div>
    <w:div w:id="1318000272">
      <w:bodyDiv w:val="1"/>
      <w:marLeft w:val="0"/>
      <w:marRight w:val="0"/>
      <w:marTop w:val="0"/>
      <w:marBottom w:val="0"/>
      <w:divBdr>
        <w:top w:val="none" w:sz="0" w:space="0" w:color="auto"/>
        <w:left w:val="none" w:sz="0" w:space="0" w:color="auto"/>
        <w:bottom w:val="none" w:sz="0" w:space="0" w:color="auto"/>
        <w:right w:val="none" w:sz="0" w:space="0" w:color="auto"/>
      </w:divBdr>
    </w:div>
    <w:div w:id="1318076605">
      <w:bodyDiv w:val="1"/>
      <w:marLeft w:val="0"/>
      <w:marRight w:val="0"/>
      <w:marTop w:val="0"/>
      <w:marBottom w:val="0"/>
      <w:divBdr>
        <w:top w:val="none" w:sz="0" w:space="0" w:color="auto"/>
        <w:left w:val="none" w:sz="0" w:space="0" w:color="auto"/>
        <w:bottom w:val="none" w:sz="0" w:space="0" w:color="auto"/>
        <w:right w:val="none" w:sz="0" w:space="0" w:color="auto"/>
      </w:divBdr>
    </w:div>
    <w:div w:id="1318146010">
      <w:bodyDiv w:val="1"/>
      <w:marLeft w:val="0"/>
      <w:marRight w:val="0"/>
      <w:marTop w:val="0"/>
      <w:marBottom w:val="0"/>
      <w:divBdr>
        <w:top w:val="none" w:sz="0" w:space="0" w:color="auto"/>
        <w:left w:val="none" w:sz="0" w:space="0" w:color="auto"/>
        <w:bottom w:val="none" w:sz="0" w:space="0" w:color="auto"/>
        <w:right w:val="none" w:sz="0" w:space="0" w:color="auto"/>
      </w:divBdr>
    </w:div>
    <w:div w:id="1318146753">
      <w:bodyDiv w:val="1"/>
      <w:marLeft w:val="0"/>
      <w:marRight w:val="0"/>
      <w:marTop w:val="0"/>
      <w:marBottom w:val="0"/>
      <w:divBdr>
        <w:top w:val="none" w:sz="0" w:space="0" w:color="auto"/>
        <w:left w:val="none" w:sz="0" w:space="0" w:color="auto"/>
        <w:bottom w:val="none" w:sz="0" w:space="0" w:color="auto"/>
        <w:right w:val="none" w:sz="0" w:space="0" w:color="auto"/>
      </w:divBdr>
    </w:div>
    <w:div w:id="1318149850">
      <w:bodyDiv w:val="1"/>
      <w:marLeft w:val="0"/>
      <w:marRight w:val="0"/>
      <w:marTop w:val="0"/>
      <w:marBottom w:val="0"/>
      <w:divBdr>
        <w:top w:val="none" w:sz="0" w:space="0" w:color="auto"/>
        <w:left w:val="none" w:sz="0" w:space="0" w:color="auto"/>
        <w:bottom w:val="none" w:sz="0" w:space="0" w:color="auto"/>
        <w:right w:val="none" w:sz="0" w:space="0" w:color="auto"/>
      </w:divBdr>
    </w:div>
    <w:div w:id="1318192233">
      <w:bodyDiv w:val="1"/>
      <w:marLeft w:val="0"/>
      <w:marRight w:val="0"/>
      <w:marTop w:val="0"/>
      <w:marBottom w:val="0"/>
      <w:divBdr>
        <w:top w:val="none" w:sz="0" w:space="0" w:color="auto"/>
        <w:left w:val="none" w:sz="0" w:space="0" w:color="auto"/>
        <w:bottom w:val="none" w:sz="0" w:space="0" w:color="auto"/>
        <w:right w:val="none" w:sz="0" w:space="0" w:color="auto"/>
      </w:divBdr>
    </w:div>
    <w:div w:id="1318223233">
      <w:bodyDiv w:val="1"/>
      <w:marLeft w:val="0"/>
      <w:marRight w:val="0"/>
      <w:marTop w:val="0"/>
      <w:marBottom w:val="0"/>
      <w:divBdr>
        <w:top w:val="none" w:sz="0" w:space="0" w:color="auto"/>
        <w:left w:val="none" w:sz="0" w:space="0" w:color="auto"/>
        <w:bottom w:val="none" w:sz="0" w:space="0" w:color="auto"/>
        <w:right w:val="none" w:sz="0" w:space="0" w:color="auto"/>
      </w:divBdr>
    </w:div>
    <w:div w:id="1318337725">
      <w:bodyDiv w:val="1"/>
      <w:marLeft w:val="0"/>
      <w:marRight w:val="0"/>
      <w:marTop w:val="0"/>
      <w:marBottom w:val="0"/>
      <w:divBdr>
        <w:top w:val="none" w:sz="0" w:space="0" w:color="auto"/>
        <w:left w:val="none" w:sz="0" w:space="0" w:color="auto"/>
        <w:bottom w:val="none" w:sz="0" w:space="0" w:color="auto"/>
        <w:right w:val="none" w:sz="0" w:space="0" w:color="auto"/>
      </w:divBdr>
    </w:div>
    <w:div w:id="1318340365">
      <w:bodyDiv w:val="1"/>
      <w:marLeft w:val="0"/>
      <w:marRight w:val="0"/>
      <w:marTop w:val="0"/>
      <w:marBottom w:val="0"/>
      <w:divBdr>
        <w:top w:val="none" w:sz="0" w:space="0" w:color="auto"/>
        <w:left w:val="none" w:sz="0" w:space="0" w:color="auto"/>
        <w:bottom w:val="none" w:sz="0" w:space="0" w:color="auto"/>
        <w:right w:val="none" w:sz="0" w:space="0" w:color="auto"/>
      </w:divBdr>
    </w:div>
    <w:div w:id="1318340959">
      <w:bodyDiv w:val="1"/>
      <w:marLeft w:val="0"/>
      <w:marRight w:val="0"/>
      <w:marTop w:val="0"/>
      <w:marBottom w:val="0"/>
      <w:divBdr>
        <w:top w:val="none" w:sz="0" w:space="0" w:color="auto"/>
        <w:left w:val="none" w:sz="0" w:space="0" w:color="auto"/>
        <w:bottom w:val="none" w:sz="0" w:space="0" w:color="auto"/>
        <w:right w:val="none" w:sz="0" w:space="0" w:color="auto"/>
      </w:divBdr>
    </w:div>
    <w:div w:id="1318461555">
      <w:bodyDiv w:val="1"/>
      <w:marLeft w:val="0"/>
      <w:marRight w:val="0"/>
      <w:marTop w:val="0"/>
      <w:marBottom w:val="0"/>
      <w:divBdr>
        <w:top w:val="none" w:sz="0" w:space="0" w:color="auto"/>
        <w:left w:val="none" w:sz="0" w:space="0" w:color="auto"/>
        <w:bottom w:val="none" w:sz="0" w:space="0" w:color="auto"/>
        <w:right w:val="none" w:sz="0" w:space="0" w:color="auto"/>
      </w:divBdr>
    </w:div>
    <w:div w:id="1318604853">
      <w:bodyDiv w:val="1"/>
      <w:marLeft w:val="0"/>
      <w:marRight w:val="0"/>
      <w:marTop w:val="0"/>
      <w:marBottom w:val="0"/>
      <w:divBdr>
        <w:top w:val="none" w:sz="0" w:space="0" w:color="auto"/>
        <w:left w:val="none" w:sz="0" w:space="0" w:color="auto"/>
        <w:bottom w:val="none" w:sz="0" w:space="0" w:color="auto"/>
        <w:right w:val="none" w:sz="0" w:space="0" w:color="auto"/>
      </w:divBdr>
    </w:div>
    <w:div w:id="1318605106">
      <w:bodyDiv w:val="1"/>
      <w:marLeft w:val="0"/>
      <w:marRight w:val="0"/>
      <w:marTop w:val="0"/>
      <w:marBottom w:val="0"/>
      <w:divBdr>
        <w:top w:val="none" w:sz="0" w:space="0" w:color="auto"/>
        <w:left w:val="none" w:sz="0" w:space="0" w:color="auto"/>
        <w:bottom w:val="none" w:sz="0" w:space="0" w:color="auto"/>
        <w:right w:val="none" w:sz="0" w:space="0" w:color="auto"/>
      </w:divBdr>
    </w:div>
    <w:div w:id="1318605993">
      <w:bodyDiv w:val="1"/>
      <w:marLeft w:val="0"/>
      <w:marRight w:val="0"/>
      <w:marTop w:val="0"/>
      <w:marBottom w:val="0"/>
      <w:divBdr>
        <w:top w:val="none" w:sz="0" w:space="0" w:color="auto"/>
        <w:left w:val="none" w:sz="0" w:space="0" w:color="auto"/>
        <w:bottom w:val="none" w:sz="0" w:space="0" w:color="auto"/>
        <w:right w:val="none" w:sz="0" w:space="0" w:color="auto"/>
      </w:divBdr>
    </w:div>
    <w:div w:id="1318656914">
      <w:bodyDiv w:val="1"/>
      <w:marLeft w:val="0"/>
      <w:marRight w:val="0"/>
      <w:marTop w:val="0"/>
      <w:marBottom w:val="0"/>
      <w:divBdr>
        <w:top w:val="none" w:sz="0" w:space="0" w:color="auto"/>
        <w:left w:val="none" w:sz="0" w:space="0" w:color="auto"/>
        <w:bottom w:val="none" w:sz="0" w:space="0" w:color="auto"/>
        <w:right w:val="none" w:sz="0" w:space="0" w:color="auto"/>
      </w:divBdr>
    </w:div>
    <w:div w:id="1318731561">
      <w:bodyDiv w:val="1"/>
      <w:marLeft w:val="0"/>
      <w:marRight w:val="0"/>
      <w:marTop w:val="0"/>
      <w:marBottom w:val="0"/>
      <w:divBdr>
        <w:top w:val="none" w:sz="0" w:space="0" w:color="auto"/>
        <w:left w:val="none" w:sz="0" w:space="0" w:color="auto"/>
        <w:bottom w:val="none" w:sz="0" w:space="0" w:color="auto"/>
        <w:right w:val="none" w:sz="0" w:space="0" w:color="auto"/>
      </w:divBdr>
    </w:div>
    <w:div w:id="1318873675">
      <w:bodyDiv w:val="1"/>
      <w:marLeft w:val="0"/>
      <w:marRight w:val="0"/>
      <w:marTop w:val="0"/>
      <w:marBottom w:val="0"/>
      <w:divBdr>
        <w:top w:val="none" w:sz="0" w:space="0" w:color="auto"/>
        <w:left w:val="none" w:sz="0" w:space="0" w:color="auto"/>
        <w:bottom w:val="none" w:sz="0" w:space="0" w:color="auto"/>
        <w:right w:val="none" w:sz="0" w:space="0" w:color="auto"/>
      </w:divBdr>
    </w:div>
    <w:div w:id="1319072184">
      <w:bodyDiv w:val="1"/>
      <w:marLeft w:val="0"/>
      <w:marRight w:val="0"/>
      <w:marTop w:val="0"/>
      <w:marBottom w:val="0"/>
      <w:divBdr>
        <w:top w:val="none" w:sz="0" w:space="0" w:color="auto"/>
        <w:left w:val="none" w:sz="0" w:space="0" w:color="auto"/>
        <w:bottom w:val="none" w:sz="0" w:space="0" w:color="auto"/>
        <w:right w:val="none" w:sz="0" w:space="0" w:color="auto"/>
      </w:divBdr>
    </w:div>
    <w:div w:id="1319112991">
      <w:bodyDiv w:val="1"/>
      <w:marLeft w:val="0"/>
      <w:marRight w:val="0"/>
      <w:marTop w:val="0"/>
      <w:marBottom w:val="0"/>
      <w:divBdr>
        <w:top w:val="none" w:sz="0" w:space="0" w:color="auto"/>
        <w:left w:val="none" w:sz="0" w:space="0" w:color="auto"/>
        <w:bottom w:val="none" w:sz="0" w:space="0" w:color="auto"/>
        <w:right w:val="none" w:sz="0" w:space="0" w:color="auto"/>
      </w:divBdr>
    </w:div>
    <w:div w:id="1319186449">
      <w:bodyDiv w:val="1"/>
      <w:marLeft w:val="0"/>
      <w:marRight w:val="0"/>
      <w:marTop w:val="0"/>
      <w:marBottom w:val="0"/>
      <w:divBdr>
        <w:top w:val="none" w:sz="0" w:space="0" w:color="auto"/>
        <w:left w:val="none" w:sz="0" w:space="0" w:color="auto"/>
        <w:bottom w:val="none" w:sz="0" w:space="0" w:color="auto"/>
        <w:right w:val="none" w:sz="0" w:space="0" w:color="auto"/>
      </w:divBdr>
    </w:div>
    <w:div w:id="1319268417">
      <w:bodyDiv w:val="1"/>
      <w:marLeft w:val="0"/>
      <w:marRight w:val="0"/>
      <w:marTop w:val="0"/>
      <w:marBottom w:val="0"/>
      <w:divBdr>
        <w:top w:val="none" w:sz="0" w:space="0" w:color="auto"/>
        <w:left w:val="none" w:sz="0" w:space="0" w:color="auto"/>
        <w:bottom w:val="none" w:sz="0" w:space="0" w:color="auto"/>
        <w:right w:val="none" w:sz="0" w:space="0" w:color="auto"/>
      </w:divBdr>
    </w:div>
    <w:div w:id="1319461686">
      <w:bodyDiv w:val="1"/>
      <w:marLeft w:val="0"/>
      <w:marRight w:val="0"/>
      <w:marTop w:val="0"/>
      <w:marBottom w:val="0"/>
      <w:divBdr>
        <w:top w:val="none" w:sz="0" w:space="0" w:color="auto"/>
        <w:left w:val="none" w:sz="0" w:space="0" w:color="auto"/>
        <w:bottom w:val="none" w:sz="0" w:space="0" w:color="auto"/>
        <w:right w:val="none" w:sz="0" w:space="0" w:color="auto"/>
      </w:divBdr>
    </w:div>
    <w:div w:id="1319534068">
      <w:bodyDiv w:val="1"/>
      <w:marLeft w:val="0"/>
      <w:marRight w:val="0"/>
      <w:marTop w:val="0"/>
      <w:marBottom w:val="0"/>
      <w:divBdr>
        <w:top w:val="none" w:sz="0" w:space="0" w:color="auto"/>
        <w:left w:val="none" w:sz="0" w:space="0" w:color="auto"/>
        <w:bottom w:val="none" w:sz="0" w:space="0" w:color="auto"/>
        <w:right w:val="none" w:sz="0" w:space="0" w:color="auto"/>
      </w:divBdr>
    </w:div>
    <w:div w:id="1319728206">
      <w:bodyDiv w:val="1"/>
      <w:marLeft w:val="0"/>
      <w:marRight w:val="0"/>
      <w:marTop w:val="0"/>
      <w:marBottom w:val="0"/>
      <w:divBdr>
        <w:top w:val="none" w:sz="0" w:space="0" w:color="auto"/>
        <w:left w:val="none" w:sz="0" w:space="0" w:color="auto"/>
        <w:bottom w:val="none" w:sz="0" w:space="0" w:color="auto"/>
        <w:right w:val="none" w:sz="0" w:space="0" w:color="auto"/>
      </w:divBdr>
    </w:div>
    <w:div w:id="1319765300">
      <w:bodyDiv w:val="1"/>
      <w:marLeft w:val="0"/>
      <w:marRight w:val="0"/>
      <w:marTop w:val="0"/>
      <w:marBottom w:val="0"/>
      <w:divBdr>
        <w:top w:val="none" w:sz="0" w:space="0" w:color="auto"/>
        <w:left w:val="none" w:sz="0" w:space="0" w:color="auto"/>
        <w:bottom w:val="none" w:sz="0" w:space="0" w:color="auto"/>
        <w:right w:val="none" w:sz="0" w:space="0" w:color="auto"/>
      </w:divBdr>
    </w:div>
    <w:div w:id="1319766096">
      <w:bodyDiv w:val="1"/>
      <w:marLeft w:val="0"/>
      <w:marRight w:val="0"/>
      <w:marTop w:val="0"/>
      <w:marBottom w:val="0"/>
      <w:divBdr>
        <w:top w:val="none" w:sz="0" w:space="0" w:color="auto"/>
        <w:left w:val="none" w:sz="0" w:space="0" w:color="auto"/>
        <w:bottom w:val="none" w:sz="0" w:space="0" w:color="auto"/>
        <w:right w:val="none" w:sz="0" w:space="0" w:color="auto"/>
      </w:divBdr>
    </w:div>
    <w:div w:id="1319845077">
      <w:bodyDiv w:val="1"/>
      <w:marLeft w:val="0"/>
      <w:marRight w:val="0"/>
      <w:marTop w:val="0"/>
      <w:marBottom w:val="0"/>
      <w:divBdr>
        <w:top w:val="none" w:sz="0" w:space="0" w:color="auto"/>
        <w:left w:val="none" w:sz="0" w:space="0" w:color="auto"/>
        <w:bottom w:val="none" w:sz="0" w:space="0" w:color="auto"/>
        <w:right w:val="none" w:sz="0" w:space="0" w:color="auto"/>
      </w:divBdr>
    </w:div>
    <w:div w:id="1319916728">
      <w:bodyDiv w:val="1"/>
      <w:marLeft w:val="0"/>
      <w:marRight w:val="0"/>
      <w:marTop w:val="0"/>
      <w:marBottom w:val="0"/>
      <w:divBdr>
        <w:top w:val="none" w:sz="0" w:space="0" w:color="auto"/>
        <w:left w:val="none" w:sz="0" w:space="0" w:color="auto"/>
        <w:bottom w:val="none" w:sz="0" w:space="0" w:color="auto"/>
        <w:right w:val="none" w:sz="0" w:space="0" w:color="auto"/>
      </w:divBdr>
    </w:div>
    <w:div w:id="1319991952">
      <w:bodyDiv w:val="1"/>
      <w:marLeft w:val="0"/>
      <w:marRight w:val="0"/>
      <w:marTop w:val="0"/>
      <w:marBottom w:val="0"/>
      <w:divBdr>
        <w:top w:val="none" w:sz="0" w:space="0" w:color="auto"/>
        <w:left w:val="none" w:sz="0" w:space="0" w:color="auto"/>
        <w:bottom w:val="none" w:sz="0" w:space="0" w:color="auto"/>
        <w:right w:val="none" w:sz="0" w:space="0" w:color="auto"/>
      </w:divBdr>
    </w:div>
    <w:div w:id="1320111593">
      <w:bodyDiv w:val="1"/>
      <w:marLeft w:val="0"/>
      <w:marRight w:val="0"/>
      <w:marTop w:val="0"/>
      <w:marBottom w:val="0"/>
      <w:divBdr>
        <w:top w:val="none" w:sz="0" w:space="0" w:color="auto"/>
        <w:left w:val="none" w:sz="0" w:space="0" w:color="auto"/>
        <w:bottom w:val="none" w:sz="0" w:space="0" w:color="auto"/>
        <w:right w:val="none" w:sz="0" w:space="0" w:color="auto"/>
      </w:divBdr>
    </w:div>
    <w:div w:id="1320116007">
      <w:bodyDiv w:val="1"/>
      <w:marLeft w:val="0"/>
      <w:marRight w:val="0"/>
      <w:marTop w:val="0"/>
      <w:marBottom w:val="0"/>
      <w:divBdr>
        <w:top w:val="none" w:sz="0" w:space="0" w:color="auto"/>
        <w:left w:val="none" w:sz="0" w:space="0" w:color="auto"/>
        <w:bottom w:val="none" w:sz="0" w:space="0" w:color="auto"/>
        <w:right w:val="none" w:sz="0" w:space="0" w:color="auto"/>
      </w:divBdr>
    </w:div>
    <w:div w:id="1320116881">
      <w:bodyDiv w:val="1"/>
      <w:marLeft w:val="0"/>
      <w:marRight w:val="0"/>
      <w:marTop w:val="0"/>
      <w:marBottom w:val="0"/>
      <w:divBdr>
        <w:top w:val="none" w:sz="0" w:space="0" w:color="auto"/>
        <w:left w:val="none" w:sz="0" w:space="0" w:color="auto"/>
        <w:bottom w:val="none" w:sz="0" w:space="0" w:color="auto"/>
        <w:right w:val="none" w:sz="0" w:space="0" w:color="auto"/>
      </w:divBdr>
    </w:div>
    <w:div w:id="1320117219">
      <w:bodyDiv w:val="1"/>
      <w:marLeft w:val="0"/>
      <w:marRight w:val="0"/>
      <w:marTop w:val="0"/>
      <w:marBottom w:val="0"/>
      <w:divBdr>
        <w:top w:val="none" w:sz="0" w:space="0" w:color="auto"/>
        <w:left w:val="none" w:sz="0" w:space="0" w:color="auto"/>
        <w:bottom w:val="none" w:sz="0" w:space="0" w:color="auto"/>
        <w:right w:val="none" w:sz="0" w:space="0" w:color="auto"/>
      </w:divBdr>
    </w:div>
    <w:div w:id="1320117290">
      <w:bodyDiv w:val="1"/>
      <w:marLeft w:val="0"/>
      <w:marRight w:val="0"/>
      <w:marTop w:val="0"/>
      <w:marBottom w:val="0"/>
      <w:divBdr>
        <w:top w:val="none" w:sz="0" w:space="0" w:color="auto"/>
        <w:left w:val="none" w:sz="0" w:space="0" w:color="auto"/>
        <w:bottom w:val="none" w:sz="0" w:space="0" w:color="auto"/>
        <w:right w:val="none" w:sz="0" w:space="0" w:color="auto"/>
      </w:divBdr>
    </w:div>
    <w:div w:id="1320228875">
      <w:bodyDiv w:val="1"/>
      <w:marLeft w:val="0"/>
      <w:marRight w:val="0"/>
      <w:marTop w:val="0"/>
      <w:marBottom w:val="0"/>
      <w:divBdr>
        <w:top w:val="none" w:sz="0" w:space="0" w:color="auto"/>
        <w:left w:val="none" w:sz="0" w:space="0" w:color="auto"/>
        <w:bottom w:val="none" w:sz="0" w:space="0" w:color="auto"/>
        <w:right w:val="none" w:sz="0" w:space="0" w:color="auto"/>
      </w:divBdr>
    </w:div>
    <w:div w:id="1320232507">
      <w:bodyDiv w:val="1"/>
      <w:marLeft w:val="0"/>
      <w:marRight w:val="0"/>
      <w:marTop w:val="0"/>
      <w:marBottom w:val="0"/>
      <w:divBdr>
        <w:top w:val="none" w:sz="0" w:space="0" w:color="auto"/>
        <w:left w:val="none" w:sz="0" w:space="0" w:color="auto"/>
        <w:bottom w:val="none" w:sz="0" w:space="0" w:color="auto"/>
        <w:right w:val="none" w:sz="0" w:space="0" w:color="auto"/>
      </w:divBdr>
    </w:div>
    <w:div w:id="1320236048">
      <w:bodyDiv w:val="1"/>
      <w:marLeft w:val="0"/>
      <w:marRight w:val="0"/>
      <w:marTop w:val="0"/>
      <w:marBottom w:val="0"/>
      <w:divBdr>
        <w:top w:val="none" w:sz="0" w:space="0" w:color="auto"/>
        <w:left w:val="none" w:sz="0" w:space="0" w:color="auto"/>
        <w:bottom w:val="none" w:sz="0" w:space="0" w:color="auto"/>
        <w:right w:val="none" w:sz="0" w:space="0" w:color="auto"/>
      </w:divBdr>
    </w:div>
    <w:div w:id="1320386106">
      <w:bodyDiv w:val="1"/>
      <w:marLeft w:val="0"/>
      <w:marRight w:val="0"/>
      <w:marTop w:val="0"/>
      <w:marBottom w:val="0"/>
      <w:divBdr>
        <w:top w:val="none" w:sz="0" w:space="0" w:color="auto"/>
        <w:left w:val="none" w:sz="0" w:space="0" w:color="auto"/>
        <w:bottom w:val="none" w:sz="0" w:space="0" w:color="auto"/>
        <w:right w:val="none" w:sz="0" w:space="0" w:color="auto"/>
      </w:divBdr>
    </w:div>
    <w:div w:id="1320426369">
      <w:bodyDiv w:val="1"/>
      <w:marLeft w:val="0"/>
      <w:marRight w:val="0"/>
      <w:marTop w:val="0"/>
      <w:marBottom w:val="0"/>
      <w:divBdr>
        <w:top w:val="none" w:sz="0" w:space="0" w:color="auto"/>
        <w:left w:val="none" w:sz="0" w:space="0" w:color="auto"/>
        <w:bottom w:val="none" w:sz="0" w:space="0" w:color="auto"/>
        <w:right w:val="none" w:sz="0" w:space="0" w:color="auto"/>
      </w:divBdr>
    </w:div>
    <w:div w:id="1320500999">
      <w:bodyDiv w:val="1"/>
      <w:marLeft w:val="0"/>
      <w:marRight w:val="0"/>
      <w:marTop w:val="0"/>
      <w:marBottom w:val="0"/>
      <w:divBdr>
        <w:top w:val="none" w:sz="0" w:space="0" w:color="auto"/>
        <w:left w:val="none" w:sz="0" w:space="0" w:color="auto"/>
        <w:bottom w:val="none" w:sz="0" w:space="0" w:color="auto"/>
        <w:right w:val="none" w:sz="0" w:space="0" w:color="auto"/>
      </w:divBdr>
    </w:div>
    <w:div w:id="1320504762">
      <w:bodyDiv w:val="1"/>
      <w:marLeft w:val="0"/>
      <w:marRight w:val="0"/>
      <w:marTop w:val="0"/>
      <w:marBottom w:val="0"/>
      <w:divBdr>
        <w:top w:val="none" w:sz="0" w:space="0" w:color="auto"/>
        <w:left w:val="none" w:sz="0" w:space="0" w:color="auto"/>
        <w:bottom w:val="none" w:sz="0" w:space="0" w:color="auto"/>
        <w:right w:val="none" w:sz="0" w:space="0" w:color="auto"/>
      </w:divBdr>
    </w:div>
    <w:div w:id="1320965908">
      <w:bodyDiv w:val="1"/>
      <w:marLeft w:val="0"/>
      <w:marRight w:val="0"/>
      <w:marTop w:val="0"/>
      <w:marBottom w:val="0"/>
      <w:divBdr>
        <w:top w:val="none" w:sz="0" w:space="0" w:color="auto"/>
        <w:left w:val="none" w:sz="0" w:space="0" w:color="auto"/>
        <w:bottom w:val="none" w:sz="0" w:space="0" w:color="auto"/>
        <w:right w:val="none" w:sz="0" w:space="0" w:color="auto"/>
      </w:divBdr>
    </w:div>
    <w:div w:id="1321038808">
      <w:bodyDiv w:val="1"/>
      <w:marLeft w:val="0"/>
      <w:marRight w:val="0"/>
      <w:marTop w:val="0"/>
      <w:marBottom w:val="0"/>
      <w:divBdr>
        <w:top w:val="none" w:sz="0" w:space="0" w:color="auto"/>
        <w:left w:val="none" w:sz="0" w:space="0" w:color="auto"/>
        <w:bottom w:val="none" w:sz="0" w:space="0" w:color="auto"/>
        <w:right w:val="none" w:sz="0" w:space="0" w:color="auto"/>
      </w:divBdr>
    </w:div>
    <w:div w:id="1321077476">
      <w:bodyDiv w:val="1"/>
      <w:marLeft w:val="0"/>
      <w:marRight w:val="0"/>
      <w:marTop w:val="0"/>
      <w:marBottom w:val="0"/>
      <w:divBdr>
        <w:top w:val="none" w:sz="0" w:space="0" w:color="auto"/>
        <w:left w:val="none" w:sz="0" w:space="0" w:color="auto"/>
        <w:bottom w:val="none" w:sz="0" w:space="0" w:color="auto"/>
        <w:right w:val="none" w:sz="0" w:space="0" w:color="auto"/>
      </w:divBdr>
    </w:div>
    <w:div w:id="1321153647">
      <w:bodyDiv w:val="1"/>
      <w:marLeft w:val="0"/>
      <w:marRight w:val="0"/>
      <w:marTop w:val="0"/>
      <w:marBottom w:val="0"/>
      <w:divBdr>
        <w:top w:val="none" w:sz="0" w:space="0" w:color="auto"/>
        <w:left w:val="none" w:sz="0" w:space="0" w:color="auto"/>
        <w:bottom w:val="none" w:sz="0" w:space="0" w:color="auto"/>
        <w:right w:val="none" w:sz="0" w:space="0" w:color="auto"/>
      </w:divBdr>
    </w:div>
    <w:div w:id="1321155215">
      <w:bodyDiv w:val="1"/>
      <w:marLeft w:val="0"/>
      <w:marRight w:val="0"/>
      <w:marTop w:val="0"/>
      <w:marBottom w:val="0"/>
      <w:divBdr>
        <w:top w:val="none" w:sz="0" w:space="0" w:color="auto"/>
        <w:left w:val="none" w:sz="0" w:space="0" w:color="auto"/>
        <w:bottom w:val="none" w:sz="0" w:space="0" w:color="auto"/>
        <w:right w:val="none" w:sz="0" w:space="0" w:color="auto"/>
      </w:divBdr>
    </w:div>
    <w:div w:id="1321159924">
      <w:bodyDiv w:val="1"/>
      <w:marLeft w:val="0"/>
      <w:marRight w:val="0"/>
      <w:marTop w:val="0"/>
      <w:marBottom w:val="0"/>
      <w:divBdr>
        <w:top w:val="none" w:sz="0" w:space="0" w:color="auto"/>
        <w:left w:val="none" w:sz="0" w:space="0" w:color="auto"/>
        <w:bottom w:val="none" w:sz="0" w:space="0" w:color="auto"/>
        <w:right w:val="none" w:sz="0" w:space="0" w:color="auto"/>
      </w:divBdr>
    </w:div>
    <w:div w:id="1321271366">
      <w:bodyDiv w:val="1"/>
      <w:marLeft w:val="0"/>
      <w:marRight w:val="0"/>
      <w:marTop w:val="0"/>
      <w:marBottom w:val="0"/>
      <w:divBdr>
        <w:top w:val="none" w:sz="0" w:space="0" w:color="auto"/>
        <w:left w:val="none" w:sz="0" w:space="0" w:color="auto"/>
        <w:bottom w:val="none" w:sz="0" w:space="0" w:color="auto"/>
        <w:right w:val="none" w:sz="0" w:space="0" w:color="auto"/>
      </w:divBdr>
    </w:div>
    <w:div w:id="1321275744">
      <w:bodyDiv w:val="1"/>
      <w:marLeft w:val="0"/>
      <w:marRight w:val="0"/>
      <w:marTop w:val="0"/>
      <w:marBottom w:val="0"/>
      <w:divBdr>
        <w:top w:val="none" w:sz="0" w:space="0" w:color="auto"/>
        <w:left w:val="none" w:sz="0" w:space="0" w:color="auto"/>
        <w:bottom w:val="none" w:sz="0" w:space="0" w:color="auto"/>
        <w:right w:val="none" w:sz="0" w:space="0" w:color="auto"/>
      </w:divBdr>
    </w:div>
    <w:div w:id="1321468878">
      <w:bodyDiv w:val="1"/>
      <w:marLeft w:val="0"/>
      <w:marRight w:val="0"/>
      <w:marTop w:val="0"/>
      <w:marBottom w:val="0"/>
      <w:divBdr>
        <w:top w:val="none" w:sz="0" w:space="0" w:color="auto"/>
        <w:left w:val="none" w:sz="0" w:space="0" w:color="auto"/>
        <w:bottom w:val="none" w:sz="0" w:space="0" w:color="auto"/>
        <w:right w:val="none" w:sz="0" w:space="0" w:color="auto"/>
      </w:divBdr>
    </w:div>
    <w:div w:id="1321540314">
      <w:bodyDiv w:val="1"/>
      <w:marLeft w:val="0"/>
      <w:marRight w:val="0"/>
      <w:marTop w:val="0"/>
      <w:marBottom w:val="0"/>
      <w:divBdr>
        <w:top w:val="none" w:sz="0" w:space="0" w:color="auto"/>
        <w:left w:val="none" w:sz="0" w:space="0" w:color="auto"/>
        <w:bottom w:val="none" w:sz="0" w:space="0" w:color="auto"/>
        <w:right w:val="none" w:sz="0" w:space="0" w:color="auto"/>
      </w:divBdr>
    </w:div>
    <w:div w:id="1321734700">
      <w:bodyDiv w:val="1"/>
      <w:marLeft w:val="0"/>
      <w:marRight w:val="0"/>
      <w:marTop w:val="0"/>
      <w:marBottom w:val="0"/>
      <w:divBdr>
        <w:top w:val="none" w:sz="0" w:space="0" w:color="auto"/>
        <w:left w:val="none" w:sz="0" w:space="0" w:color="auto"/>
        <w:bottom w:val="none" w:sz="0" w:space="0" w:color="auto"/>
        <w:right w:val="none" w:sz="0" w:space="0" w:color="auto"/>
      </w:divBdr>
    </w:div>
    <w:div w:id="1321806689">
      <w:bodyDiv w:val="1"/>
      <w:marLeft w:val="0"/>
      <w:marRight w:val="0"/>
      <w:marTop w:val="0"/>
      <w:marBottom w:val="0"/>
      <w:divBdr>
        <w:top w:val="none" w:sz="0" w:space="0" w:color="auto"/>
        <w:left w:val="none" w:sz="0" w:space="0" w:color="auto"/>
        <w:bottom w:val="none" w:sz="0" w:space="0" w:color="auto"/>
        <w:right w:val="none" w:sz="0" w:space="0" w:color="auto"/>
      </w:divBdr>
    </w:div>
    <w:div w:id="1321813023">
      <w:bodyDiv w:val="1"/>
      <w:marLeft w:val="0"/>
      <w:marRight w:val="0"/>
      <w:marTop w:val="0"/>
      <w:marBottom w:val="0"/>
      <w:divBdr>
        <w:top w:val="none" w:sz="0" w:space="0" w:color="auto"/>
        <w:left w:val="none" w:sz="0" w:space="0" w:color="auto"/>
        <w:bottom w:val="none" w:sz="0" w:space="0" w:color="auto"/>
        <w:right w:val="none" w:sz="0" w:space="0" w:color="auto"/>
      </w:divBdr>
    </w:div>
    <w:div w:id="1321929984">
      <w:bodyDiv w:val="1"/>
      <w:marLeft w:val="0"/>
      <w:marRight w:val="0"/>
      <w:marTop w:val="0"/>
      <w:marBottom w:val="0"/>
      <w:divBdr>
        <w:top w:val="none" w:sz="0" w:space="0" w:color="auto"/>
        <w:left w:val="none" w:sz="0" w:space="0" w:color="auto"/>
        <w:bottom w:val="none" w:sz="0" w:space="0" w:color="auto"/>
        <w:right w:val="none" w:sz="0" w:space="0" w:color="auto"/>
      </w:divBdr>
    </w:div>
    <w:div w:id="1321958750">
      <w:bodyDiv w:val="1"/>
      <w:marLeft w:val="0"/>
      <w:marRight w:val="0"/>
      <w:marTop w:val="0"/>
      <w:marBottom w:val="0"/>
      <w:divBdr>
        <w:top w:val="none" w:sz="0" w:space="0" w:color="auto"/>
        <w:left w:val="none" w:sz="0" w:space="0" w:color="auto"/>
        <w:bottom w:val="none" w:sz="0" w:space="0" w:color="auto"/>
        <w:right w:val="none" w:sz="0" w:space="0" w:color="auto"/>
      </w:divBdr>
    </w:div>
    <w:div w:id="1322000271">
      <w:bodyDiv w:val="1"/>
      <w:marLeft w:val="0"/>
      <w:marRight w:val="0"/>
      <w:marTop w:val="0"/>
      <w:marBottom w:val="0"/>
      <w:divBdr>
        <w:top w:val="none" w:sz="0" w:space="0" w:color="auto"/>
        <w:left w:val="none" w:sz="0" w:space="0" w:color="auto"/>
        <w:bottom w:val="none" w:sz="0" w:space="0" w:color="auto"/>
        <w:right w:val="none" w:sz="0" w:space="0" w:color="auto"/>
      </w:divBdr>
    </w:div>
    <w:div w:id="1322075587">
      <w:bodyDiv w:val="1"/>
      <w:marLeft w:val="0"/>
      <w:marRight w:val="0"/>
      <w:marTop w:val="0"/>
      <w:marBottom w:val="0"/>
      <w:divBdr>
        <w:top w:val="none" w:sz="0" w:space="0" w:color="auto"/>
        <w:left w:val="none" w:sz="0" w:space="0" w:color="auto"/>
        <w:bottom w:val="none" w:sz="0" w:space="0" w:color="auto"/>
        <w:right w:val="none" w:sz="0" w:space="0" w:color="auto"/>
      </w:divBdr>
    </w:div>
    <w:div w:id="1322079646">
      <w:bodyDiv w:val="1"/>
      <w:marLeft w:val="0"/>
      <w:marRight w:val="0"/>
      <w:marTop w:val="0"/>
      <w:marBottom w:val="0"/>
      <w:divBdr>
        <w:top w:val="none" w:sz="0" w:space="0" w:color="auto"/>
        <w:left w:val="none" w:sz="0" w:space="0" w:color="auto"/>
        <w:bottom w:val="none" w:sz="0" w:space="0" w:color="auto"/>
        <w:right w:val="none" w:sz="0" w:space="0" w:color="auto"/>
      </w:divBdr>
    </w:div>
    <w:div w:id="1322152560">
      <w:bodyDiv w:val="1"/>
      <w:marLeft w:val="0"/>
      <w:marRight w:val="0"/>
      <w:marTop w:val="0"/>
      <w:marBottom w:val="0"/>
      <w:divBdr>
        <w:top w:val="none" w:sz="0" w:space="0" w:color="auto"/>
        <w:left w:val="none" w:sz="0" w:space="0" w:color="auto"/>
        <w:bottom w:val="none" w:sz="0" w:space="0" w:color="auto"/>
        <w:right w:val="none" w:sz="0" w:space="0" w:color="auto"/>
      </w:divBdr>
    </w:div>
    <w:div w:id="1322152984">
      <w:bodyDiv w:val="1"/>
      <w:marLeft w:val="0"/>
      <w:marRight w:val="0"/>
      <w:marTop w:val="0"/>
      <w:marBottom w:val="0"/>
      <w:divBdr>
        <w:top w:val="none" w:sz="0" w:space="0" w:color="auto"/>
        <w:left w:val="none" w:sz="0" w:space="0" w:color="auto"/>
        <w:bottom w:val="none" w:sz="0" w:space="0" w:color="auto"/>
        <w:right w:val="none" w:sz="0" w:space="0" w:color="auto"/>
      </w:divBdr>
    </w:div>
    <w:div w:id="1322197682">
      <w:bodyDiv w:val="1"/>
      <w:marLeft w:val="0"/>
      <w:marRight w:val="0"/>
      <w:marTop w:val="0"/>
      <w:marBottom w:val="0"/>
      <w:divBdr>
        <w:top w:val="none" w:sz="0" w:space="0" w:color="auto"/>
        <w:left w:val="none" w:sz="0" w:space="0" w:color="auto"/>
        <w:bottom w:val="none" w:sz="0" w:space="0" w:color="auto"/>
        <w:right w:val="none" w:sz="0" w:space="0" w:color="auto"/>
      </w:divBdr>
    </w:div>
    <w:div w:id="1322200253">
      <w:bodyDiv w:val="1"/>
      <w:marLeft w:val="0"/>
      <w:marRight w:val="0"/>
      <w:marTop w:val="0"/>
      <w:marBottom w:val="0"/>
      <w:divBdr>
        <w:top w:val="none" w:sz="0" w:space="0" w:color="auto"/>
        <w:left w:val="none" w:sz="0" w:space="0" w:color="auto"/>
        <w:bottom w:val="none" w:sz="0" w:space="0" w:color="auto"/>
        <w:right w:val="none" w:sz="0" w:space="0" w:color="auto"/>
      </w:divBdr>
    </w:div>
    <w:div w:id="1322274608">
      <w:bodyDiv w:val="1"/>
      <w:marLeft w:val="0"/>
      <w:marRight w:val="0"/>
      <w:marTop w:val="0"/>
      <w:marBottom w:val="0"/>
      <w:divBdr>
        <w:top w:val="none" w:sz="0" w:space="0" w:color="auto"/>
        <w:left w:val="none" w:sz="0" w:space="0" w:color="auto"/>
        <w:bottom w:val="none" w:sz="0" w:space="0" w:color="auto"/>
        <w:right w:val="none" w:sz="0" w:space="0" w:color="auto"/>
      </w:divBdr>
    </w:div>
    <w:div w:id="1322463369">
      <w:bodyDiv w:val="1"/>
      <w:marLeft w:val="0"/>
      <w:marRight w:val="0"/>
      <w:marTop w:val="0"/>
      <w:marBottom w:val="0"/>
      <w:divBdr>
        <w:top w:val="none" w:sz="0" w:space="0" w:color="auto"/>
        <w:left w:val="none" w:sz="0" w:space="0" w:color="auto"/>
        <w:bottom w:val="none" w:sz="0" w:space="0" w:color="auto"/>
        <w:right w:val="none" w:sz="0" w:space="0" w:color="auto"/>
      </w:divBdr>
    </w:div>
    <w:div w:id="1322467447">
      <w:bodyDiv w:val="1"/>
      <w:marLeft w:val="0"/>
      <w:marRight w:val="0"/>
      <w:marTop w:val="0"/>
      <w:marBottom w:val="0"/>
      <w:divBdr>
        <w:top w:val="none" w:sz="0" w:space="0" w:color="auto"/>
        <w:left w:val="none" w:sz="0" w:space="0" w:color="auto"/>
        <w:bottom w:val="none" w:sz="0" w:space="0" w:color="auto"/>
        <w:right w:val="none" w:sz="0" w:space="0" w:color="auto"/>
      </w:divBdr>
    </w:div>
    <w:div w:id="1322469000">
      <w:bodyDiv w:val="1"/>
      <w:marLeft w:val="0"/>
      <w:marRight w:val="0"/>
      <w:marTop w:val="0"/>
      <w:marBottom w:val="0"/>
      <w:divBdr>
        <w:top w:val="none" w:sz="0" w:space="0" w:color="auto"/>
        <w:left w:val="none" w:sz="0" w:space="0" w:color="auto"/>
        <w:bottom w:val="none" w:sz="0" w:space="0" w:color="auto"/>
        <w:right w:val="none" w:sz="0" w:space="0" w:color="auto"/>
      </w:divBdr>
    </w:div>
    <w:div w:id="1322544414">
      <w:bodyDiv w:val="1"/>
      <w:marLeft w:val="0"/>
      <w:marRight w:val="0"/>
      <w:marTop w:val="0"/>
      <w:marBottom w:val="0"/>
      <w:divBdr>
        <w:top w:val="none" w:sz="0" w:space="0" w:color="auto"/>
        <w:left w:val="none" w:sz="0" w:space="0" w:color="auto"/>
        <w:bottom w:val="none" w:sz="0" w:space="0" w:color="auto"/>
        <w:right w:val="none" w:sz="0" w:space="0" w:color="auto"/>
      </w:divBdr>
    </w:div>
    <w:div w:id="1322586018">
      <w:bodyDiv w:val="1"/>
      <w:marLeft w:val="0"/>
      <w:marRight w:val="0"/>
      <w:marTop w:val="0"/>
      <w:marBottom w:val="0"/>
      <w:divBdr>
        <w:top w:val="none" w:sz="0" w:space="0" w:color="auto"/>
        <w:left w:val="none" w:sz="0" w:space="0" w:color="auto"/>
        <w:bottom w:val="none" w:sz="0" w:space="0" w:color="auto"/>
        <w:right w:val="none" w:sz="0" w:space="0" w:color="auto"/>
      </w:divBdr>
    </w:div>
    <w:div w:id="1322736469">
      <w:bodyDiv w:val="1"/>
      <w:marLeft w:val="0"/>
      <w:marRight w:val="0"/>
      <w:marTop w:val="0"/>
      <w:marBottom w:val="0"/>
      <w:divBdr>
        <w:top w:val="none" w:sz="0" w:space="0" w:color="auto"/>
        <w:left w:val="none" w:sz="0" w:space="0" w:color="auto"/>
        <w:bottom w:val="none" w:sz="0" w:space="0" w:color="auto"/>
        <w:right w:val="none" w:sz="0" w:space="0" w:color="auto"/>
      </w:divBdr>
    </w:div>
    <w:div w:id="1322736597">
      <w:bodyDiv w:val="1"/>
      <w:marLeft w:val="0"/>
      <w:marRight w:val="0"/>
      <w:marTop w:val="0"/>
      <w:marBottom w:val="0"/>
      <w:divBdr>
        <w:top w:val="none" w:sz="0" w:space="0" w:color="auto"/>
        <w:left w:val="none" w:sz="0" w:space="0" w:color="auto"/>
        <w:bottom w:val="none" w:sz="0" w:space="0" w:color="auto"/>
        <w:right w:val="none" w:sz="0" w:space="0" w:color="auto"/>
      </w:divBdr>
    </w:div>
    <w:div w:id="1322780331">
      <w:bodyDiv w:val="1"/>
      <w:marLeft w:val="0"/>
      <w:marRight w:val="0"/>
      <w:marTop w:val="0"/>
      <w:marBottom w:val="0"/>
      <w:divBdr>
        <w:top w:val="none" w:sz="0" w:space="0" w:color="auto"/>
        <w:left w:val="none" w:sz="0" w:space="0" w:color="auto"/>
        <w:bottom w:val="none" w:sz="0" w:space="0" w:color="auto"/>
        <w:right w:val="none" w:sz="0" w:space="0" w:color="auto"/>
      </w:divBdr>
    </w:div>
    <w:div w:id="1322780808">
      <w:bodyDiv w:val="1"/>
      <w:marLeft w:val="0"/>
      <w:marRight w:val="0"/>
      <w:marTop w:val="0"/>
      <w:marBottom w:val="0"/>
      <w:divBdr>
        <w:top w:val="none" w:sz="0" w:space="0" w:color="auto"/>
        <w:left w:val="none" w:sz="0" w:space="0" w:color="auto"/>
        <w:bottom w:val="none" w:sz="0" w:space="0" w:color="auto"/>
        <w:right w:val="none" w:sz="0" w:space="0" w:color="auto"/>
      </w:divBdr>
    </w:div>
    <w:div w:id="1322856657">
      <w:bodyDiv w:val="1"/>
      <w:marLeft w:val="0"/>
      <w:marRight w:val="0"/>
      <w:marTop w:val="0"/>
      <w:marBottom w:val="0"/>
      <w:divBdr>
        <w:top w:val="none" w:sz="0" w:space="0" w:color="auto"/>
        <w:left w:val="none" w:sz="0" w:space="0" w:color="auto"/>
        <w:bottom w:val="none" w:sz="0" w:space="0" w:color="auto"/>
        <w:right w:val="none" w:sz="0" w:space="0" w:color="auto"/>
      </w:divBdr>
    </w:div>
    <w:div w:id="1323046320">
      <w:bodyDiv w:val="1"/>
      <w:marLeft w:val="0"/>
      <w:marRight w:val="0"/>
      <w:marTop w:val="0"/>
      <w:marBottom w:val="0"/>
      <w:divBdr>
        <w:top w:val="none" w:sz="0" w:space="0" w:color="auto"/>
        <w:left w:val="none" w:sz="0" w:space="0" w:color="auto"/>
        <w:bottom w:val="none" w:sz="0" w:space="0" w:color="auto"/>
        <w:right w:val="none" w:sz="0" w:space="0" w:color="auto"/>
      </w:divBdr>
    </w:div>
    <w:div w:id="1323119625">
      <w:bodyDiv w:val="1"/>
      <w:marLeft w:val="0"/>
      <w:marRight w:val="0"/>
      <w:marTop w:val="0"/>
      <w:marBottom w:val="0"/>
      <w:divBdr>
        <w:top w:val="none" w:sz="0" w:space="0" w:color="auto"/>
        <w:left w:val="none" w:sz="0" w:space="0" w:color="auto"/>
        <w:bottom w:val="none" w:sz="0" w:space="0" w:color="auto"/>
        <w:right w:val="none" w:sz="0" w:space="0" w:color="auto"/>
      </w:divBdr>
    </w:div>
    <w:div w:id="1323194902">
      <w:bodyDiv w:val="1"/>
      <w:marLeft w:val="0"/>
      <w:marRight w:val="0"/>
      <w:marTop w:val="0"/>
      <w:marBottom w:val="0"/>
      <w:divBdr>
        <w:top w:val="none" w:sz="0" w:space="0" w:color="auto"/>
        <w:left w:val="none" w:sz="0" w:space="0" w:color="auto"/>
        <w:bottom w:val="none" w:sz="0" w:space="0" w:color="auto"/>
        <w:right w:val="none" w:sz="0" w:space="0" w:color="auto"/>
      </w:divBdr>
    </w:div>
    <w:div w:id="1323242082">
      <w:bodyDiv w:val="1"/>
      <w:marLeft w:val="0"/>
      <w:marRight w:val="0"/>
      <w:marTop w:val="0"/>
      <w:marBottom w:val="0"/>
      <w:divBdr>
        <w:top w:val="none" w:sz="0" w:space="0" w:color="auto"/>
        <w:left w:val="none" w:sz="0" w:space="0" w:color="auto"/>
        <w:bottom w:val="none" w:sz="0" w:space="0" w:color="auto"/>
        <w:right w:val="none" w:sz="0" w:space="0" w:color="auto"/>
      </w:divBdr>
    </w:div>
    <w:div w:id="1323242120">
      <w:bodyDiv w:val="1"/>
      <w:marLeft w:val="0"/>
      <w:marRight w:val="0"/>
      <w:marTop w:val="0"/>
      <w:marBottom w:val="0"/>
      <w:divBdr>
        <w:top w:val="none" w:sz="0" w:space="0" w:color="auto"/>
        <w:left w:val="none" w:sz="0" w:space="0" w:color="auto"/>
        <w:bottom w:val="none" w:sz="0" w:space="0" w:color="auto"/>
        <w:right w:val="none" w:sz="0" w:space="0" w:color="auto"/>
      </w:divBdr>
    </w:div>
    <w:div w:id="1323309675">
      <w:bodyDiv w:val="1"/>
      <w:marLeft w:val="0"/>
      <w:marRight w:val="0"/>
      <w:marTop w:val="0"/>
      <w:marBottom w:val="0"/>
      <w:divBdr>
        <w:top w:val="none" w:sz="0" w:space="0" w:color="auto"/>
        <w:left w:val="none" w:sz="0" w:space="0" w:color="auto"/>
        <w:bottom w:val="none" w:sz="0" w:space="0" w:color="auto"/>
        <w:right w:val="none" w:sz="0" w:space="0" w:color="auto"/>
      </w:divBdr>
    </w:div>
    <w:div w:id="1323315908">
      <w:bodyDiv w:val="1"/>
      <w:marLeft w:val="0"/>
      <w:marRight w:val="0"/>
      <w:marTop w:val="0"/>
      <w:marBottom w:val="0"/>
      <w:divBdr>
        <w:top w:val="none" w:sz="0" w:space="0" w:color="auto"/>
        <w:left w:val="none" w:sz="0" w:space="0" w:color="auto"/>
        <w:bottom w:val="none" w:sz="0" w:space="0" w:color="auto"/>
        <w:right w:val="none" w:sz="0" w:space="0" w:color="auto"/>
      </w:divBdr>
    </w:div>
    <w:div w:id="1323393205">
      <w:bodyDiv w:val="1"/>
      <w:marLeft w:val="0"/>
      <w:marRight w:val="0"/>
      <w:marTop w:val="0"/>
      <w:marBottom w:val="0"/>
      <w:divBdr>
        <w:top w:val="none" w:sz="0" w:space="0" w:color="auto"/>
        <w:left w:val="none" w:sz="0" w:space="0" w:color="auto"/>
        <w:bottom w:val="none" w:sz="0" w:space="0" w:color="auto"/>
        <w:right w:val="none" w:sz="0" w:space="0" w:color="auto"/>
      </w:divBdr>
    </w:div>
    <w:div w:id="1323461604">
      <w:bodyDiv w:val="1"/>
      <w:marLeft w:val="0"/>
      <w:marRight w:val="0"/>
      <w:marTop w:val="0"/>
      <w:marBottom w:val="0"/>
      <w:divBdr>
        <w:top w:val="none" w:sz="0" w:space="0" w:color="auto"/>
        <w:left w:val="none" w:sz="0" w:space="0" w:color="auto"/>
        <w:bottom w:val="none" w:sz="0" w:space="0" w:color="auto"/>
        <w:right w:val="none" w:sz="0" w:space="0" w:color="auto"/>
      </w:divBdr>
    </w:div>
    <w:div w:id="1323462490">
      <w:bodyDiv w:val="1"/>
      <w:marLeft w:val="0"/>
      <w:marRight w:val="0"/>
      <w:marTop w:val="0"/>
      <w:marBottom w:val="0"/>
      <w:divBdr>
        <w:top w:val="none" w:sz="0" w:space="0" w:color="auto"/>
        <w:left w:val="none" w:sz="0" w:space="0" w:color="auto"/>
        <w:bottom w:val="none" w:sz="0" w:space="0" w:color="auto"/>
        <w:right w:val="none" w:sz="0" w:space="0" w:color="auto"/>
      </w:divBdr>
    </w:div>
    <w:div w:id="1323463684">
      <w:bodyDiv w:val="1"/>
      <w:marLeft w:val="0"/>
      <w:marRight w:val="0"/>
      <w:marTop w:val="0"/>
      <w:marBottom w:val="0"/>
      <w:divBdr>
        <w:top w:val="none" w:sz="0" w:space="0" w:color="auto"/>
        <w:left w:val="none" w:sz="0" w:space="0" w:color="auto"/>
        <w:bottom w:val="none" w:sz="0" w:space="0" w:color="auto"/>
        <w:right w:val="none" w:sz="0" w:space="0" w:color="auto"/>
      </w:divBdr>
    </w:div>
    <w:div w:id="1323512322">
      <w:bodyDiv w:val="1"/>
      <w:marLeft w:val="0"/>
      <w:marRight w:val="0"/>
      <w:marTop w:val="0"/>
      <w:marBottom w:val="0"/>
      <w:divBdr>
        <w:top w:val="none" w:sz="0" w:space="0" w:color="auto"/>
        <w:left w:val="none" w:sz="0" w:space="0" w:color="auto"/>
        <w:bottom w:val="none" w:sz="0" w:space="0" w:color="auto"/>
        <w:right w:val="none" w:sz="0" w:space="0" w:color="auto"/>
      </w:divBdr>
    </w:div>
    <w:div w:id="1323583782">
      <w:bodyDiv w:val="1"/>
      <w:marLeft w:val="0"/>
      <w:marRight w:val="0"/>
      <w:marTop w:val="0"/>
      <w:marBottom w:val="0"/>
      <w:divBdr>
        <w:top w:val="none" w:sz="0" w:space="0" w:color="auto"/>
        <w:left w:val="none" w:sz="0" w:space="0" w:color="auto"/>
        <w:bottom w:val="none" w:sz="0" w:space="0" w:color="auto"/>
        <w:right w:val="none" w:sz="0" w:space="0" w:color="auto"/>
      </w:divBdr>
    </w:div>
    <w:div w:id="1323923313">
      <w:bodyDiv w:val="1"/>
      <w:marLeft w:val="0"/>
      <w:marRight w:val="0"/>
      <w:marTop w:val="0"/>
      <w:marBottom w:val="0"/>
      <w:divBdr>
        <w:top w:val="none" w:sz="0" w:space="0" w:color="auto"/>
        <w:left w:val="none" w:sz="0" w:space="0" w:color="auto"/>
        <w:bottom w:val="none" w:sz="0" w:space="0" w:color="auto"/>
        <w:right w:val="none" w:sz="0" w:space="0" w:color="auto"/>
      </w:divBdr>
    </w:div>
    <w:div w:id="1324163046">
      <w:bodyDiv w:val="1"/>
      <w:marLeft w:val="0"/>
      <w:marRight w:val="0"/>
      <w:marTop w:val="0"/>
      <w:marBottom w:val="0"/>
      <w:divBdr>
        <w:top w:val="none" w:sz="0" w:space="0" w:color="auto"/>
        <w:left w:val="none" w:sz="0" w:space="0" w:color="auto"/>
        <w:bottom w:val="none" w:sz="0" w:space="0" w:color="auto"/>
        <w:right w:val="none" w:sz="0" w:space="0" w:color="auto"/>
      </w:divBdr>
    </w:div>
    <w:div w:id="1324239582">
      <w:bodyDiv w:val="1"/>
      <w:marLeft w:val="0"/>
      <w:marRight w:val="0"/>
      <w:marTop w:val="0"/>
      <w:marBottom w:val="0"/>
      <w:divBdr>
        <w:top w:val="none" w:sz="0" w:space="0" w:color="auto"/>
        <w:left w:val="none" w:sz="0" w:space="0" w:color="auto"/>
        <w:bottom w:val="none" w:sz="0" w:space="0" w:color="auto"/>
        <w:right w:val="none" w:sz="0" w:space="0" w:color="auto"/>
      </w:divBdr>
    </w:div>
    <w:div w:id="1324309305">
      <w:bodyDiv w:val="1"/>
      <w:marLeft w:val="0"/>
      <w:marRight w:val="0"/>
      <w:marTop w:val="0"/>
      <w:marBottom w:val="0"/>
      <w:divBdr>
        <w:top w:val="none" w:sz="0" w:space="0" w:color="auto"/>
        <w:left w:val="none" w:sz="0" w:space="0" w:color="auto"/>
        <w:bottom w:val="none" w:sz="0" w:space="0" w:color="auto"/>
        <w:right w:val="none" w:sz="0" w:space="0" w:color="auto"/>
      </w:divBdr>
    </w:div>
    <w:div w:id="1324310873">
      <w:bodyDiv w:val="1"/>
      <w:marLeft w:val="0"/>
      <w:marRight w:val="0"/>
      <w:marTop w:val="0"/>
      <w:marBottom w:val="0"/>
      <w:divBdr>
        <w:top w:val="none" w:sz="0" w:space="0" w:color="auto"/>
        <w:left w:val="none" w:sz="0" w:space="0" w:color="auto"/>
        <w:bottom w:val="none" w:sz="0" w:space="0" w:color="auto"/>
        <w:right w:val="none" w:sz="0" w:space="0" w:color="auto"/>
      </w:divBdr>
    </w:div>
    <w:div w:id="1324355911">
      <w:bodyDiv w:val="1"/>
      <w:marLeft w:val="0"/>
      <w:marRight w:val="0"/>
      <w:marTop w:val="0"/>
      <w:marBottom w:val="0"/>
      <w:divBdr>
        <w:top w:val="none" w:sz="0" w:space="0" w:color="auto"/>
        <w:left w:val="none" w:sz="0" w:space="0" w:color="auto"/>
        <w:bottom w:val="none" w:sz="0" w:space="0" w:color="auto"/>
        <w:right w:val="none" w:sz="0" w:space="0" w:color="auto"/>
      </w:divBdr>
    </w:div>
    <w:div w:id="1324357561">
      <w:bodyDiv w:val="1"/>
      <w:marLeft w:val="0"/>
      <w:marRight w:val="0"/>
      <w:marTop w:val="0"/>
      <w:marBottom w:val="0"/>
      <w:divBdr>
        <w:top w:val="none" w:sz="0" w:space="0" w:color="auto"/>
        <w:left w:val="none" w:sz="0" w:space="0" w:color="auto"/>
        <w:bottom w:val="none" w:sz="0" w:space="0" w:color="auto"/>
        <w:right w:val="none" w:sz="0" w:space="0" w:color="auto"/>
      </w:divBdr>
    </w:div>
    <w:div w:id="1324629199">
      <w:bodyDiv w:val="1"/>
      <w:marLeft w:val="0"/>
      <w:marRight w:val="0"/>
      <w:marTop w:val="0"/>
      <w:marBottom w:val="0"/>
      <w:divBdr>
        <w:top w:val="none" w:sz="0" w:space="0" w:color="auto"/>
        <w:left w:val="none" w:sz="0" w:space="0" w:color="auto"/>
        <w:bottom w:val="none" w:sz="0" w:space="0" w:color="auto"/>
        <w:right w:val="none" w:sz="0" w:space="0" w:color="auto"/>
      </w:divBdr>
    </w:div>
    <w:div w:id="1324696254">
      <w:bodyDiv w:val="1"/>
      <w:marLeft w:val="0"/>
      <w:marRight w:val="0"/>
      <w:marTop w:val="0"/>
      <w:marBottom w:val="0"/>
      <w:divBdr>
        <w:top w:val="none" w:sz="0" w:space="0" w:color="auto"/>
        <w:left w:val="none" w:sz="0" w:space="0" w:color="auto"/>
        <w:bottom w:val="none" w:sz="0" w:space="0" w:color="auto"/>
        <w:right w:val="none" w:sz="0" w:space="0" w:color="auto"/>
      </w:divBdr>
    </w:div>
    <w:div w:id="1324697957">
      <w:bodyDiv w:val="1"/>
      <w:marLeft w:val="0"/>
      <w:marRight w:val="0"/>
      <w:marTop w:val="0"/>
      <w:marBottom w:val="0"/>
      <w:divBdr>
        <w:top w:val="none" w:sz="0" w:space="0" w:color="auto"/>
        <w:left w:val="none" w:sz="0" w:space="0" w:color="auto"/>
        <w:bottom w:val="none" w:sz="0" w:space="0" w:color="auto"/>
        <w:right w:val="none" w:sz="0" w:space="0" w:color="auto"/>
      </w:divBdr>
    </w:div>
    <w:div w:id="1324971883">
      <w:bodyDiv w:val="1"/>
      <w:marLeft w:val="0"/>
      <w:marRight w:val="0"/>
      <w:marTop w:val="0"/>
      <w:marBottom w:val="0"/>
      <w:divBdr>
        <w:top w:val="none" w:sz="0" w:space="0" w:color="auto"/>
        <w:left w:val="none" w:sz="0" w:space="0" w:color="auto"/>
        <w:bottom w:val="none" w:sz="0" w:space="0" w:color="auto"/>
        <w:right w:val="none" w:sz="0" w:space="0" w:color="auto"/>
      </w:divBdr>
    </w:div>
    <w:div w:id="1325016051">
      <w:bodyDiv w:val="1"/>
      <w:marLeft w:val="0"/>
      <w:marRight w:val="0"/>
      <w:marTop w:val="0"/>
      <w:marBottom w:val="0"/>
      <w:divBdr>
        <w:top w:val="none" w:sz="0" w:space="0" w:color="auto"/>
        <w:left w:val="none" w:sz="0" w:space="0" w:color="auto"/>
        <w:bottom w:val="none" w:sz="0" w:space="0" w:color="auto"/>
        <w:right w:val="none" w:sz="0" w:space="0" w:color="auto"/>
      </w:divBdr>
    </w:div>
    <w:div w:id="1325085457">
      <w:bodyDiv w:val="1"/>
      <w:marLeft w:val="0"/>
      <w:marRight w:val="0"/>
      <w:marTop w:val="0"/>
      <w:marBottom w:val="0"/>
      <w:divBdr>
        <w:top w:val="none" w:sz="0" w:space="0" w:color="auto"/>
        <w:left w:val="none" w:sz="0" w:space="0" w:color="auto"/>
        <w:bottom w:val="none" w:sz="0" w:space="0" w:color="auto"/>
        <w:right w:val="none" w:sz="0" w:space="0" w:color="auto"/>
      </w:divBdr>
    </w:div>
    <w:div w:id="1325085696">
      <w:bodyDiv w:val="1"/>
      <w:marLeft w:val="0"/>
      <w:marRight w:val="0"/>
      <w:marTop w:val="0"/>
      <w:marBottom w:val="0"/>
      <w:divBdr>
        <w:top w:val="none" w:sz="0" w:space="0" w:color="auto"/>
        <w:left w:val="none" w:sz="0" w:space="0" w:color="auto"/>
        <w:bottom w:val="none" w:sz="0" w:space="0" w:color="auto"/>
        <w:right w:val="none" w:sz="0" w:space="0" w:color="auto"/>
      </w:divBdr>
    </w:div>
    <w:div w:id="1325089996">
      <w:bodyDiv w:val="1"/>
      <w:marLeft w:val="0"/>
      <w:marRight w:val="0"/>
      <w:marTop w:val="0"/>
      <w:marBottom w:val="0"/>
      <w:divBdr>
        <w:top w:val="none" w:sz="0" w:space="0" w:color="auto"/>
        <w:left w:val="none" w:sz="0" w:space="0" w:color="auto"/>
        <w:bottom w:val="none" w:sz="0" w:space="0" w:color="auto"/>
        <w:right w:val="none" w:sz="0" w:space="0" w:color="auto"/>
      </w:divBdr>
    </w:div>
    <w:div w:id="1325158406">
      <w:bodyDiv w:val="1"/>
      <w:marLeft w:val="0"/>
      <w:marRight w:val="0"/>
      <w:marTop w:val="0"/>
      <w:marBottom w:val="0"/>
      <w:divBdr>
        <w:top w:val="none" w:sz="0" w:space="0" w:color="auto"/>
        <w:left w:val="none" w:sz="0" w:space="0" w:color="auto"/>
        <w:bottom w:val="none" w:sz="0" w:space="0" w:color="auto"/>
        <w:right w:val="none" w:sz="0" w:space="0" w:color="auto"/>
      </w:divBdr>
    </w:div>
    <w:div w:id="1325166646">
      <w:bodyDiv w:val="1"/>
      <w:marLeft w:val="0"/>
      <w:marRight w:val="0"/>
      <w:marTop w:val="0"/>
      <w:marBottom w:val="0"/>
      <w:divBdr>
        <w:top w:val="none" w:sz="0" w:space="0" w:color="auto"/>
        <w:left w:val="none" w:sz="0" w:space="0" w:color="auto"/>
        <w:bottom w:val="none" w:sz="0" w:space="0" w:color="auto"/>
        <w:right w:val="none" w:sz="0" w:space="0" w:color="auto"/>
      </w:divBdr>
    </w:div>
    <w:div w:id="1325166990">
      <w:bodyDiv w:val="1"/>
      <w:marLeft w:val="0"/>
      <w:marRight w:val="0"/>
      <w:marTop w:val="0"/>
      <w:marBottom w:val="0"/>
      <w:divBdr>
        <w:top w:val="none" w:sz="0" w:space="0" w:color="auto"/>
        <w:left w:val="none" w:sz="0" w:space="0" w:color="auto"/>
        <w:bottom w:val="none" w:sz="0" w:space="0" w:color="auto"/>
        <w:right w:val="none" w:sz="0" w:space="0" w:color="auto"/>
      </w:divBdr>
    </w:div>
    <w:div w:id="1325352888">
      <w:bodyDiv w:val="1"/>
      <w:marLeft w:val="0"/>
      <w:marRight w:val="0"/>
      <w:marTop w:val="0"/>
      <w:marBottom w:val="0"/>
      <w:divBdr>
        <w:top w:val="none" w:sz="0" w:space="0" w:color="auto"/>
        <w:left w:val="none" w:sz="0" w:space="0" w:color="auto"/>
        <w:bottom w:val="none" w:sz="0" w:space="0" w:color="auto"/>
        <w:right w:val="none" w:sz="0" w:space="0" w:color="auto"/>
      </w:divBdr>
    </w:div>
    <w:div w:id="1325356002">
      <w:bodyDiv w:val="1"/>
      <w:marLeft w:val="0"/>
      <w:marRight w:val="0"/>
      <w:marTop w:val="0"/>
      <w:marBottom w:val="0"/>
      <w:divBdr>
        <w:top w:val="none" w:sz="0" w:space="0" w:color="auto"/>
        <w:left w:val="none" w:sz="0" w:space="0" w:color="auto"/>
        <w:bottom w:val="none" w:sz="0" w:space="0" w:color="auto"/>
        <w:right w:val="none" w:sz="0" w:space="0" w:color="auto"/>
      </w:divBdr>
    </w:div>
    <w:div w:id="1325472273">
      <w:bodyDiv w:val="1"/>
      <w:marLeft w:val="0"/>
      <w:marRight w:val="0"/>
      <w:marTop w:val="0"/>
      <w:marBottom w:val="0"/>
      <w:divBdr>
        <w:top w:val="none" w:sz="0" w:space="0" w:color="auto"/>
        <w:left w:val="none" w:sz="0" w:space="0" w:color="auto"/>
        <w:bottom w:val="none" w:sz="0" w:space="0" w:color="auto"/>
        <w:right w:val="none" w:sz="0" w:space="0" w:color="auto"/>
      </w:divBdr>
    </w:div>
    <w:div w:id="1325550556">
      <w:bodyDiv w:val="1"/>
      <w:marLeft w:val="0"/>
      <w:marRight w:val="0"/>
      <w:marTop w:val="0"/>
      <w:marBottom w:val="0"/>
      <w:divBdr>
        <w:top w:val="none" w:sz="0" w:space="0" w:color="auto"/>
        <w:left w:val="none" w:sz="0" w:space="0" w:color="auto"/>
        <w:bottom w:val="none" w:sz="0" w:space="0" w:color="auto"/>
        <w:right w:val="none" w:sz="0" w:space="0" w:color="auto"/>
      </w:divBdr>
    </w:div>
    <w:div w:id="1325551762">
      <w:bodyDiv w:val="1"/>
      <w:marLeft w:val="0"/>
      <w:marRight w:val="0"/>
      <w:marTop w:val="0"/>
      <w:marBottom w:val="0"/>
      <w:divBdr>
        <w:top w:val="none" w:sz="0" w:space="0" w:color="auto"/>
        <w:left w:val="none" w:sz="0" w:space="0" w:color="auto"/>
        <w:bottom w:val="none" w:sz="0" w:space="0" w:color="auto"/>
        <w:right w:val="none" w:sz="0" w:space="0" w:color="auto"/>
      </w:divBdr>
    </w:div>
    <w:div w:id="1325619872">
      <w:bodyDiv w:val="1"/>
      <w:marLeft w:val="0"/>
      <w:marRight w:val="0"/>
      <w:marTop w:val="0"/>
      <w:marBottom w:val="0"/>
      <w:divBdr>
        <w:top w:val="none" w:sz="0" w:space="0" w:color="auto"/>
        <w:left w:val="none" w:sz="0" w:space="0" w:color="auto"/>
        <w:bottom w:val="none" w:sz="0" w:space="0" w:color="auto"/>
        <w:right w:val="none" w:sz="0" w:space="0" w:color="auto"/>
      </w:divBdr>
    </w:div>
    <w:div w:id="1325862243">
      <w:bodyDiv w:val="1"/>
      <w:marLeft w:val="0"/>
      <w:marRight w:val="0"/>
      <w:marTop w:val="0"/>
      <w:marBottom w:val="0"/>
      <w:divBdr>
        <w:top w:val="none" w:sz="0" w:space="0" w:color="auto"/>
        <w:left w:val="none" w:sz="0" w:space="0" w:color="auto"/>
        <w:bottom w:val="none" w:sz="0" w:space="0" w:color="auto"/>
        <w:right w:val="none" w:sz="0" w:space="0" w:color="auto"/>
      </w:divBdr>
    </w:div>
    <w:div w:id="1325940086">
      <w:bodyDiv w:val="1"/>
      <w:marLeft w:val="0"/>
      <w:marRight w:val="0"/>
      <w:marTop w:val="0"/>
      <w:marBottom w:val="0"/>
      <w:divBdr>
        <w:top w:val="none" w:sz="0" w:space="0" w:color="auto"/>
        <w:left w:val="none" w:sz="0" w:space="0" w:color="auto"/>
        <w:bottom w:val="none" w:sz="0" w:space="0" w:color="auto"/>
        <w:right w:val="none" w:sz="0" w:space="0" w:color="auto"/>
      </w:divBdr>
    </w:div>
    <w:div w:id="1326055879">
      <w:bodyDiv w:val="1"/>
      <w:marLeft w:val="0"/>
      <w:marRight w:val="0"/>
      <w:marTop w:val="0"/>
      <w:marBottom w:val="0"/>
      <w:divBdr>
        <w:top w:val="none" w:sz="0" w:space="0" w:color="auto"/>
        <w:left w:val="none" w:sz="0" w:space="0" w:color="auto"/>
        <w:bottom w:val="none" w:sz="0" w:space="0" w:color="auto"/>
        <w:right w:val="none" w:sz="0" w:space="0" w:color="auto"/>
      </w:divBdr>
    </w:div>
    <w:div w:id="1326087000">
      <w:bodyDiv w:val="1"/>
      <w:marLeft w:val="0"/>
      <w:marRight w:val="0"/>
      <w:marTop w:val="0"/>
      <w:marBottom w:val="0"/>
      <w:divBdr>
        <w:top w:val="none" w:sz="0" w:space="0" w:color="auto"/>
        <w:left w:val="none" w:sz="0" w:space="0" w:color="auto"/>
        <w:bottom w:val="none" w:sz="0" w:space="0" w:color="auto"/>
        <w:right w:val="none" w:sz="0" w:space="0" w:color="auto"/>
      </w:divBdr>
    </w:div>
    <w:div w:id="1326087045">
      <w:bodyDiv w:val="1"/>
      <w:marLeft w:val="0"/>
      <w:marRight w:val="0"/>
      <w:marTop w:val="0"/>
      <w:marBottom w:val="0"/>
      <w:divBdr>
        <w:top w:val="none" w:sz="0" w:space="0" w:color="auto"/>
        <w:left w:val="none" w:sz="0" w:space="0" w:color="auto"/>
        <w:bottom w:val="none" w:sz="0" w:space="0" w:color="auto"/>
        <w:right w:val="none" w:sz="0" w:space="0" w:color="auto"/>
      </w:divBdr>
    </w:div>
    <w:div w:id="1326206089">
      <w:bodyDiv w:val="1"/>
      <w:marLeft w:val="0"/>
      <w:marRight w:val="0"/>
      <w:marTop w:val="0"/>
      <w:marBottom w:val="0"/>
      <w:divBdr>
        <w:top w:val="none" w:sz="0" w:space="0" w:color="auto"/>
        <w:left w:val="none" w:sz="0" w:space="0" w:color="auto"/>
        <w:bottom w:val="none" w:sz="0" w:space="0" w:color="auto"/>
        <w:right w:val="none" w:sz="0" w:space="0" w:color="auto"/>
      </w:divBdr>
    </w:div>
    <w:div w:id="1326278219">
      <w:bodyDiv w:val="1"/>
      <w:marLeft w:val="0"/>
      <w:marRight w:val="0"/>
      <w:marTop w:val="0"/>
      <w:marBottom w:val="0"/>
      <w:divBdr>
        <w:top w:val="none" w:sz="0" w:space="0" w:color="auto"/>
        <w:left w:val="none" w:sz="0" w:space="0" w:color="auto"/>
        <w:bottom w:val="none" w:sz="0" w:space="0" w:color="auto"/>
        <w:right w:val="none" w:sz="0" w:space="0" w:color="auto"/>
      </w:divBdr>
    </w:div>
    <w:div w:id="1326284219">
      <w:bodyDiv w:val="1"/>
      <w:marLeft w:val="0"/>
      <w:marRight w:val="0"/>
      <w:marTop w:val="0"/>
      <w:marBottom w:val="0"/>
      <w:divBdr>
        <w:top w:val="none" w:sz="0" w:space="0" w:color="auto"/>
        <w:left w:val="none" w:sz="0" w:space="0" w:color="auto"/>
        <w:bottom w:val="none" w:sz="0" w:space="0" w:color="auto"/>
        <w:right w:val="none" w:sz="0" w:space="0" w:color="auto"/>
      </w:divBdr>
    </w:div>
    <w:div w:id="1326319694">
      <w:bodyDiv w:val="1"/>
      <w:marLeft w:val="0"/>
      <w:marRight w:val="0"/>
      <w:marTop w:val="0"/>
      <w:marBottom w:val="0"/>
      <w:divBdr>
        <w:top w:val="none" w:sz="0" w:space="0" w:color="auto"/>
        <w:left w:val="none" w:sz="0" w:space="0" w:color="auto"/>
        <w:bottom w:val="none" w:sz="0" w:space="0" w:color="auto"/>
        <w:right w:val="none" w:sz="0" w:space="0" w:color="auto"/>
      </w:divBdr>
    </w:div>
    <w:div w:id="1326397718">
      <w:bodyDiv w:val="1"/>
      <w:marLeft w:val="0"/>
      <w:marRight w:val="0"/>
      <w:marTop w:val="0"/>
      <w:marBottom w:val="0"/>
      <w:divBdr>
        <w:top w:val="none" w:sz="0" w:space="0" w:color="auto"/>
        <w:left w:val="none" w:sz="0" w:space="0" w:color="auto"/>
        <w:bottom w:val="none" w:sz="0" w:space="0" w:color="auto"/>
        <w:right w:val="none" w:sz="0" w:space="0" w:color="auto"/>
      </w:divBdr>
    </w:div>
    <w:div w:id="1326399127">
      <w:bodyDiv w:val="1"/>
      <w:marLeft w:val="0"/>
      <w:marRight w:val="0"/>
      <w:marTop w:val="0"/>
      <w:marBottom w:val="0"/>
      <w:divBdr>
        <w:top w:val="none" w:sz="0" w:space="0" w:color="auto"/>
        <w:left w:val="none" w:sz="0" w:space="0" w:color="auto"/>
        <w:bottom w:val="none" w:sz="0" w:space="0" w:color="auto"/>
        <w:right w:val="none" w:sz="0" w:space="0" w:color="auto"/>
      </w:divBdr>
    </w:div>
    <w:div w:id="1326401373">
      <w:bodyDiv w:val="1"/>
      <w:marLeft w:val="0"/>
      <w:marRight w:val="0"/>
      <w:marTop w:val="0"/>
      <w:marBottom w:val="0"/>
      <w:divBdr>
        <w:top w:val="none" w:sz="0" w:space="0" w:color="auto"/>
        <w:left w:val="none" w:sz="0" w:space="0" w:color="auto"/>
        <w:bottom w:val="none" w:sz="0" w:space="0" w:color="auto"/>
        <w:right w:val="none" w:sz="0" w:space="0" w:color="auto"/>
      </w:divBdr>
    </w:div>
    <w:div w:id="1326472672">
      <w:bodyDiv w:val="1"/>
      <w:marLeft w:val="0"/>
      <w:marRight w:val="0"/>
      <w:marTop w:val="0"/>
      <w:marBottom w:val="0"/>
      <w:divBdr>
        <w:top w:val="none" w:sz="0" w:space="0" w:color="auto"/>
        <w:left w:val="none" w:sz="0" w:space="0" w:color="auto"/>
        <w:bottom w:val="none" w:sz="0" w:space="0" w:color="auto"/>
        <w:right w:val="none" w:sz="0" w:space="0" w:color="auto"/>
      </w:divBdr>
    </w:div>
    <w:div w:id="1326515388">
      <w:bodyDiv w:val="1"/>
      <w:marLeft w:val="0"/>
      <w:marRight w:val="0"/>
      <w:marTop w:val="0"/>
      <w:marBottom w:val="0"/>
      <w:divBdr>
        <w:top w:val="none" w:sz="0" w:space="0" w:color="auto"/>
        <w:left w:val="none" w:sz="0" w:space="0" w:color="auto"/>
        <w:bottom w:val="none" w:sz="0" w:space="0" w:color="auto"/>
        <w:right w:val="none" w:sz="0" w:space="0" w:color="auto"/>
      </w:divBdr>
    </w:div>
    <w:div w:id="1326588020">
      <w:bodyDiv w:val="1"/>
      <w:marLeft w:val="0"/>
      <w:marRight w:val="0"/>
      <w:marTop w:val="0"/>
      <w:marBottom w:val="0"/>
      <w:divBdr>
        <w:top w:val="none" w:sz="0" w:space="0" w:color="auto"/>
        <w:left w:val="none" w:sz="0" w:space="0" w:color="auto"/>
        <w:bottom w:val="none" w:sz="0" w:space="0" w:color="auto"/>
        <w:right w:val="none" w:sz="0" w:space="0" w:color="auto"/>
      </w:divBdr>
    </w:div>
    <w:div w:id="1326667635">
      <w:bodyDiv w:val="1"/>
      <w:marLeft w:val="0"/>
      <w:marRight w:val="0"/>
      <w:marTop w:val="0"/>
      <w:marBottom w:val="0"/>
      <w:divBdr>
        <w:top w:val="none" w:sz="0" w:space="0" w:color="auto"/>
        <w:left w:val="none" w:sz="0" w:space="0" w:color="auto"/>
        <w:bottom w:val="none" w:sz="0" w:space="0" w:color="auto"/>
        <w:right w:val="none" w:sz="0" w:space="0" w:color="auto"/>
      </w:divBdr>
    </w:div>
    <w:div w:id="1326743235">
      <w:bodyDiv w:val="1"/>
      <w:marLeft w:val="0"/>
      <w:marRight w:val="0"/>
      <w:marTop w:val="0"/>
      <w:marBottom w:val="0"/>
      <w:divBdr>
        <w:top w:val="none" w:sz="0" w:space="0" w:color="auto"/>
        <w:left w:val="none" w:sz="0" w:space="0" w:color="auto"/>
        <w:bottom w:val="none" w:sz="0" w:space="0" w:color="auto"/>
        <w:right w:val="none" w:sz="0" w:space="0" w:color="auto"/>
      </w:divBdr>
    </w:div>
    <w:div w:id="1326786935">
      <w:bodyDiv w:val="1"/>
      <w:marLeft w:val="0"/>
      <w:marRight w:val="0"/>
      <w:marTop w:val="0"/>
      <w:marBottom w:val="0"/>
      <w:divBdr>
        <w:top w:val="none" w:sz="0" w:space="0" w:color="auto"/>
        <w:left w:val="none" w:sz="0" w:space="0" w:color="auto"/>
        <w:bottom w:val="none" w:sz="0" w:space="0" w:color="auto"/>
        <w:right w:val="none" w:sz="0" w:space="0" w:color="auto"/>
      </w:divBdr>
    </w:div>
    <w:div w:id="1326974651">
      <w:bodyDiv w:val="1"/>
      <w:marLeft w:val="0"/>
      <w:marRight w:val="0"/>
      <w:marTop w:val="0"/>
      <w:marBottom w:val="0"/>
      <w:divBdr>
        <w:top w:val="none" w:sz="0" w:space="0" w:color="auto"/>
        <w:left w:val="none" w:sz="0" w:space="0" w:color="auto"/>
        <w:bottom w:val="none" w:sz="0" w:space="0" w:color="auto"/>
        <w:right w:val="none" w:sz="0" w:space="0" w:color="auto"/>
      </w:divBdr>
    </w:div>
    <w:div w:id="1326978966">
      <w:bodyDiv w:val="1"/>
      <w:marLeft w:val="0"/>
      <w:marRight w:val="0"/>
      <w:marTop w:val="0"/>
      <w:marBottom w:val="0"/>
      <w:divBdr>
        <w:top w:val="none" w:sz="0" w:space="0" w:color="auto"/>
        <w:left w:val="none" w:sz="0" w:space="0" w:color="auto"/>
        <w:bottom w:val="none" w:sz="0" w:space="0" w:color="auto"/>
        <w:right w:val="none" w:sz="0" w:space="0" w:color="auto"/>
      </w:divBdr>
    </w:div>
    <w:div w:id="1327048339">
      <w:bodyDiv w:val="1"/>
      <w:marLeft w:val="0"/>
      <w:marRight w:val="0"/>
      <w:marTop w:val="0"/>
      <w:marBottom w:val="0"/>
      <w:divBdr>
        <w:top w:val="none" w:sz="0" w:space="0" w:color="auto"/>
        <w:left w:val="none" w:sz="0" w:space="0" w:color="auto"/>
        <w:bottom w:val="none" w:sz="0" w:space="0" w:color="auto"/>
        <w:right w:val="none" w:sz="0" w:space="0" w:color="auto"/>
      </w:divBdr>
    </w:div>
    <w:div w:id="1327053377">
      <w:bodyDiv w:val="1"/>
      <w:marLeft w:val="0"/>
      <w:marRight w:val="0"/>
      <w:marTop w:val="0"/>
      <w:marBottom w:val="0"/>
      <w:divBdr>
        <w:top w:val="none" w:sz="0" w:space="0" w:color="auto"/>
        <w:left w:val="none" w:sz="0" w:space="0" w:color="auto"/>
        <w:bottom w:val="none" w:sz="0" w:space="0" w:color="auto"/>
        <w:right w:val="none" w:sz="0" w:space="0" w:color="auto"/>
      </w:divBdr>
    </w:div>
    <w:div w:id="1327055581">
      <w:bodyDiv w:val="1"/>
      <w:marLeft w:val="0"/>
      <w:marRight w:val="0"/>
      <w:marTop w:val="0"/>
      <w:marBottom w:val="0"/>
      <w:divBdr>
        <w:top w:val="none" w:sz="0" w:space="0" w:color="auto"/>
        <w:left w:val="none" w:sz="0" w:space="0" w:color="auto"/>
        <w:bottom w:val="none" w:sz="0" w:space="0" w:color="auto"/>
        <w:right w:val="none" w:sz="0" w:space="0" w:color="auto"/>
      </w:divBdr>
    </w:div>
    <w:div w:id="1327056896">
      <w:bodyDiv w:val="1"/>
      <w:marLeft w:val="0"/>
      <w:marRight w:val="0"/>
      <w:marTop w:val="0"/>
      <w:marBottom w:val="0"/>
      <w:divBdr>
        <w:top w:val="none" w:sz="0" w:space="0" w:color="auto"/>
        <w:left w:val="none" w:sz="0" w:space="0" w:color="auto"/>
        <w:bottom w:val="none" w:sz="0" w:space="0" w:color="auto"/>
        <w:right w:val="none" w:sz="0" w:space="0" w:color="auto"/>
      </w:divBdr>
    </w:div>
    <w:div w:id="1327126100">
      <w:bodyDiv w:val="1"/>
      <w:marLeft w:val="0"/>
      <w:marRight w:val="0"/>
      <w:marTop w:val="0"/>
      <w:marBottom w:val="0"/>
      <w:divBdr>
        <w:top w:val="none" w:sz="0" w:space="0" w:color="auto"/>
        <w:left w:val="none" w:sz="0" w:space="0" w:color="auto"/>
        <w:bottom w:val="none" w:sz="0" w:space="0" w:color="auto"/>
        <w:right w:val="none" w:sz="0" w:space="0" w:color="auto"/>
      </w:divBdr>
    </w:div>
    <w:div w:id="1327199961">
      <w:bodyDiv w:val="1"/>
      <w:marLeft w:val="0"/>
      <w:marRight w:val="0"/>
      <w:marTop w:val="0"/>
      <w:marBottom w:val="0"/>
      <w:divBdr>
        <w:top w:val="none" w:sz="0" w:space="0" w:color="auto"/>
        <w:left w:val="none" w:sz="0" w:space="0" w:color="auto"/>
        <w:bottom w:val="none" w:sz="0" w:space="0" w:color="auto"/>
        <w:right w:val="none" w:sz="0" w:space="0" w:color="auto"/>
      </w:divBdr>
    </w:div>
    <w:div w:id="1327243722">
      <w:bodyDiv w:val="1"/>
      <w:marLeft w:val="0"/>
      <w:marRight w:val="0"/>
      <w:marTop w:val="0"/>
      <w:marBottom w:val="0"/>
      <w:divBdr>
        <w:top w:val="none" w:sz="0" w:space="0" w:color="auto"/>
        <w:left w:val="none" w:sz="0" w:space="0" w:color="auto"/>
        <w:bottom w:val="none" w:sz="0" w:space="0" w:color="auto"/>
        <w:right w:val="none" w:sz="0" w:space="0" w:color="auto"/>
      </w:divBdr>
    </w:div>
    <w:div w:id="1327316841">
      <w:bodyDiv w:val="1"/>
      <w:marLeft w:val="0"/>
      <w:marRight w:val="0"/>
      <w:marTop w:val="0"/>
      <w:marBottom w:val="0"/>
      <w:divBdr>
        <w:top w:val="none" w:sz="0" w:space="0" w:color="auto"/>
        <w:left w:val="none" w:sz="0" w:space="0" w:color="auto"/>
        <w:bottom w:val="none" w:sz="0" w:space="0" w:color="auto"/>
        <w:right w:val="none" w:sz="0" w:space="0" w:color="auto"/>
      </w:divBdr>
    </w:div>
    <w:div w:id="1327393327">
      <w:bodyDiv w:val="1"/>
      <w:marLeft w:val="0"/>
      <w:marRight w:val="0"/>
      <w:marTop w:val="0"/>
      <w:marBottom w:val="0"/>
      <w:divBdr>
        <w:top w:val="none" w:sz="0" w:space="0" w:color="auto"/>
        <w:left w:val="none" w:sz="0" w:space="0" w:color="auto"/>
        <w:bottom w:val="none" w:sz="0" w:space="0" w:color="auto"/>
        <w:right w:val="none" w:sz="0" w:space="0" w:color="auto"/>
      </w:divBdr>
    </w:div>
    <w:div w:id="1327517903">
      <w:bodyDiv w:val="1"/>
      <w:marLeft w:val="0"/>
      <w:marRight w:val="0"/>
      <w:marTop w:val="0"/>
      <w:marBottom w:val="0"/>
      <w:divBdr>
        <w:top w:val="none" w:sz="0" w:space="0" w:color="auto"/>
        <w:left w:val="none" w:sz="0" w:space="0" w:color="auto"/>
        <w:bottom w:val="none" w:sz="0" w:space="0" w:color="auto"/>
        <w:right w:val="none" w:sz="0" w:space="0" w:color="auto"/>
      </w:divBdr>
    </w:div>
    <w:div w:id="1327660647">
      <w:bodyDiv w:val="1"/>
      <w:marLeft w:val="0"/>
      <w:marRight w:val="0"/>
      <w:marTop w:val="0"/>
      <w:marBottom w:val="0"/>
      <w:divBdr>
        <w:top w:val="none" w:sz="0" w:space="0" w:color="auto"/>
        <w:left w:val="none" w:sz="0" w:space="0" w:color="auto"/>
        <w:bottom w:val="none" w:sz="0" w:space="0" w:color="auto"/>
        <w:right w:val="none" w:sz="0" w:space="0" w:color="auto"/>
      </w:divBdr>
    </w:div>
    <w:div w:id="1327709624">
      <w:bodyDiv w:val="1"/>
      <w:marLeft w:val="0"/>
      <w:marRight w:val="0"/>
      <w:marTop w:val="0"/>
      <w:marBottom w:val="0"/>
      <w:divBdr>
        <w:top w:val="none" w:sz="0" w:space="0" w:color="auto"/>
        <w:left w:val="none" w:sz="0" w:space="0" w:color="auto"/>
        <w:bottom w:val="none" w:sz="0" w:space="0" w:color="auto"/>
        <w:right w:val="none" w:sz="0" w:space="0" w:color="auto"/>
      </w:divBdr>
    </w:div>
    <w:div w:id="1327827082">
      <w:bodyDiv w:val="1"/>
      <w:marLeft w:val="0"/>
      <w:marRight w:val="0"/>
      <w:marTop w:val="0"/>
      <w:marBottom w:val="0"/>
      <w:divBdr>
        <w:top w:val="none" w:sz="0" w:space="0" w:color="auto"/>
        <w:left w:val="none" w:sz="0" w:space="0" w:color="auto"/>
        <w:bottom w:val="none" w:sz="0" w:space="0" w:color="auto"/>
        <w:right w:val="none" w:sz="0" w:space="0" w:color="auto"/>
      </w:divBdr>
    </w:div>
    <w:div w:id="1327978272">
      <w:bodyDiv w:val="1"/>
      <w:marLeft w:val="0"/>
      <w:marRight w:val="0"/>
      <w:marTop w:val="0"/>
      <w:marBottom w:val="0"/>
      <w:divBdr>
        <w:top w:val="none" w:sz="0" w:space="0" w:color="auto"/>
        <w:left w:val="none" w:sz="0" w:space="0" w:color="auto"/>
        <w:bottom w:val="none" w:sz="0" w:space="0" w:color="auto"/>
        <w:right w:val="none" w:sz="0" w:space="0" w:color="auto"/>
      </w:divBdr>
    </w:div>
    <w:div w:id="1328022902">
      <w:bodyDiv w:val="1"/>
      <w:marLeft w:val="0"/>
      <w:marRight w:val="0"/>
      <w:marTop w:val="0"/>
      <w:marBottom w:val="0"/>
      <w:divBdr>
        <w:top w:val="none" w:sz="0" w:space="0" w:color="auto"/>
        <w:left w:val="none" w:sz="0" w:space="0" w:color="auto"/>
        <w:bottom w:val="none" w:sz="0" w:space="0" w:color="auto"/>
        <w:right w:val="none" w:sz="0" w:space="0" w:color="auto"/>
      </w:divBdr>
    </w:div>
    <w:div w:id="1328167085">
      <w:bodyDiv w:val="1"/>
      <w:marLeft w:val="0"/>
      <w:marRight w:val="0"/>
      <w:marTop w:val="0"/>
      <w:marBottom w:val="0"/>
      <w:divBdr>
        <w:top w:val="none" w:sz="0" w:space="0" w:color="auto"/>
        <w:left w:val="none" w:sz="0" w:space="0" w:color="auto"/>
        <w:bottom w:val="none" w:sz="0" w:space="0" w:color="auto"/>
        <w:right w:val="none" w:sz="0" w:space="0" w:color="auto"/>
      </w:divBdr>
    </w:div>
    <w:div w:id="1328173146">
      <w:bodyDiv w:val="1"/>
      <w:marLeft w:val="0"/>
      <w:marRight w:val="0"/>
      <w:marTop w:val="0"/>
      <w:marBottom w:val="0"/>
      <w:divBdr>
        <w:top w:val="none" w:sz="0" w:space="0" w:color="auto"/>
        <w:left w:val="none" w:sz="0" w:space="0" w:color="auto"/>
        <w:bottom w:val="none" w:sz="0" w:space="0" w:color="auto"/>
        <w:right w:val="none" w:sz="0" w:space="0" w:color="auto"/>
      </w:divBdr>
    </w:div>
    <w:div w:id="1328247596">
      <w:bodyDiv w:val="1"/>
      <w:marLeft w:val="0"/>
      <w:marRight w:val="0"/>
      <w:marTop w:val="0"/>
      <w:marBottom w:val="0"/>
      <w:divBdr>
        <w:top w:val="none" w:sz="0" w:space="0" w:color="auto"/>
        <w:left w:val="none" w:sz="0" w:space="0" w:color="auto"/>
        <w:bottom w:val="none" w:sz="0" w:space="0" w:color="auto"/>
        <w:right w:val="none" w:sz="0" w:space="0" w:color="auto"/>
      </w:divBdr>
    </w:div>
    <w:div w:id="1328247752">
      <w:bodyDiv w:val="1"/>
      <w:marLeft w:val="0"/>
      <w:marRight w:val="0"/>
      <w:marTop w:val="0"/>
      <w:marBottom w:val="0"/>
      <w:divBdr>
        <w:top w:val="none" w:sz="0" w:space="0" w:color="auto"/>
        <w:left w:val="none" w:sz="0" w:space="0" w:color="auto"/>
        <w:bottom w:val="none" w:sz="0" w:space="0" w:color="auto"/>
        <w:right w:val="none" w:sz="0" w:space="0" w:color="auto"/>
      </w:divBdr>
    </w:div>
    <w:div w:id="1328287972">
      <w:bodyDiv w:val="1"/>
      <w:marLeft w:val="0"/>
      <w:marRight w:val="0"/>
      <w:marTop w:val="0"/>
      <w:marBottom w:val="0"/>
      <w:divBdr>
        <w:top w:val="none" w:sz="0" w:space="0" w:color="auto"/>
        <w:left w:val="none" w:sz="0" w:space="0" w:color="auto"/>
        <w:bottom w:val="none" w:sz="0" w:space="0" w:color="auto"/>
        <w:right w:val="none" w:sz="0" w:space="0" w:color="auto"/>
      </w:divBdr>
    </w:div>
    <w:div w:id="1328316109">
      <w:bodyDiv w:val="1"/>
      <w:marLeft w:val="0"/>
      <w:marRight w:val="0"/>
      <w:marTop w:val="0"/>
      <w:marBottom w:val="0"/>
      <w:divBdr>
        <w:top w:val="none" w:sz="0" w:space="0" w:color="auto"/>
        <w:left w:val="none" w:sz="0" w:space="0" w:color="auto"/>
        <w:bottom w:val="none" w:sz="0" w:space="0" w:color="auto"/>
        <w:right w:val="none" w:sz="0" w:space="0" w:color="auto"/>
      </w:divBdr>
    </w:div>
    <w:div w:id="1328361726">
      <w:bodyDiv w:val="1"/>
      <w:marLeft w:val="0"/>
      <w:marRight w:val="0"/>
      <w:marTop w:val="0"/>
      <w:marBottom w:val="0"/>
      <w:divBdr>
        <w:top w:val="none" w:sz="0" w:space="0" w:color="auto"/>
        <w:left w:val="none" w:sz="0" w:space="0" w:color="auto"/>
        <w:bottom w:val="none" w:sz="0" w:space="0" w:color="auto"/>
        <w:right w:val="none" w:sz="0" w:space="0" w:color="auto"/>
      </w:divBdr>
    </w:div>
    <w:div w:id="1328440979">
      <w:bodyDiv w:val="1"/>
      <w:marLeft w:val="0"/>
      <w:marRight w:val="0"/>
      <w:marTop w:val="0"/>
      <w:marBottom w:val="0"/>
      <w:divBdr>
        <w:top w:val="none" w:sz="0" w:space="0" w:color="auto"/>
        <w:left w:val="none" w:sz="0" w:space="0" w:color="auto"/>
        <w:bottom w:val="none" w:sz="0" w:space="0" w:color="auto"/>
        <w:right w:val="none" w:sz="0" w:space="0" w:color="auto"/>
      </w:divBdr>
    </w:div>
    <w:div w:id="1328441527">
      <w:bodyDiv w:val="1"/>
      <w:marLeft w:val="0"/>
      <w:marRight w:val="0"/>
      <w:marTop w:val="0"/>
      <w:marBottom w:val="0"/>
      <w:divBdr>
        <w:top w:val="none" w:sz="0" w:space="0" w:color="auto"/>
        <w:left w:val="none" w:sz="0" w:space="0" w:color="auto"/>
        <w:bottom w:val="none" w:sz="0" w:space="0" w:color="auto"/>
        <w:right w:val="none" w:sz="0" w:space="0" w:color="auto"/>
      </w:divBdr>
    </w:div>
    <w:div w:id="1328632111">
      <w:bodyDiv w:val="1"/>
      <w:marLeft w:val="0"/>
      <w:marRight w:val="0"/>
      <w:marTop w:val="0"/>
      <w:marBottom w:val="0"/>
      <w:divBdr>
        <w:top w:val="none" w:sz="0" w:space="0" w:color="auto"/>
        <w:left w:val="none" w:sz="0" w:space="0" w:color="auto"/>
        <w:bottom w:val="none" w:sz="0" w:space="0" w:color="auto"/>
        <w:right w:val="none" w:sz="0" w:space="0" w:color="auto"/>
      </w:divBdr>
    </w:div>
    <w:div w:id="1328749423">
      <w:bodyDiv w:val="1"/>
      <w:marLeft w:val="0"/>
      <w:marRight w:val="0"/>
      <w:marTop w:val="0"/>
      <w:marBottom w:val="0"/>
      <w:divBdr>
        <w:top w:val="none" w:sz="0" w:space="0" w:color="auto"/>
        <w:left w:val="none" w:sz="0" w:space="0" w:color="auto"/>
        <w:bottom w:val="none" w:sz="0" w:space="0" w:color="auto"/>
        <w:right w:val="none" w:sz="0" w:space="0" w:color="auto"/>
      </w:divBdr>
    </w:div>
    <w:div w:id="1328896417">
      <w:bodyDiv w:val="1"/>
      <w:marLeft w:val="0"/>
      <w:marRight w:val="0"/>
      <w:marTop w:val="0"/>
      <w:marBottom w:val="0"/>
      <w:divBdr>
        <w:top w:val="none" w:sz="0" w:space="0" w:color="auto"/>
        <w:left w:val="none" w:sz="0" w:space="0" w:color="auto"/>
        <w:bottom w:val="none" w:sz="0" w:space="0" w:color="auto"/>
        <w:right w:val="none" w:sz="0" w:space="0" w:color="auto"/>
      </w:divBdr>
    </w:div>
    <w:div w:id="1328904650">
      <w:bodyDiv w:val="1"/>
      <w:marLeft w:val="0"/>
      <w:marRight w:val="0"/>
      <w:marTop w:val="0"/>
      <w:marBottom w:val="0"/>
      <w:divBdr>
        <w:top w:val="none" w:sz="0" w:space="0" w:color="auto"/>
        <w:left w:val="none" w:sz="0" w:space="0" w:color="auto"/>
        <w:bottom w:val="none" w:sz="0" w:space="0" w:color="auto"/>
        <w:right w:val="none" w:sz="0" w:space="0" w:color="auto"/>
      </w:divBdr>
    </w:div>
    <w:div w:id="1329094720">
      <w:bodyDiv w:val="1"/>
      <w:marLeft w:val="0"/>
      <w:marRight w:val="0"/>
      <w:marTop w:val="0"/>
      <w:marBottom w:val="0"/>
      <w:divBdr>
        <w:top w:val="none" w:sz="0" w:space="0" w:color="auto"/>
        <w:left w:val="none" w:sz="0" w:space="0" w:color="auto"/>
        <w:bottom w:val="none" w:sz="0" w:space="0" w:color="auto"/>
        <w:right w:val="none" w:sz="0" w:space="0" w:color="auto"/>
      </w:divBdr>
    </w:div>
    <w:div w:id="1329097066">
      <w:bodyDiv w:val="1"/>
      <w:marLeft w:val="0"/>
      <w:marRight w:val="0"/>
      <w:marTop w:val="0"/>
      <w:marBottom w:val="0"/>
      <w:divBdr>
        <w:top w:val="none" w:sz="0" w:space="0" w:color="auto"/>
        <w:left w:val="none" w:sz="0" w:space="0" w:color="auto"/>
        <w:bottom w:val="none" w:sz="0" w:space="0" w:color="auto"/>
        <w:right w:val="none" w:sz="0" w:space="0" w:color="auto"/>
      </w:divBdr>
    </w:div>
    <w:div w:id="1329138568">
      <w:bodyDiv w:val="1"/>
      <w:marLeft w:val="0"/>
      <w:marRight w:val="0"/>
      <w:marTop w:val="0"/>
      <w:marBottom w:val="0"/>
      <w:divBdr>
        <w:top w:val="none" w:sz="0" w:space="0" w:color="auto"/>
        <w:left w:val="none" w:sz="0" w:space="0" w:color="auto"/>
        <w:bottom w:val="none" w:sz="0" w:space="0" w:color="auto"/>
        <w:right w:val="none" w:sz="0" w:space="0" w:color="auto"/>
      </w:divBdr>
    </w:div>
    <w:div w:id="1329139577">
      <w:bodyDiv w:val="1"/>
      <w:marLeft w:val="0"/>
      <w:marRight w:val="0"/>
      <w:marTop w:val="0"/>
      <w:marBottom w:val="0"/>
      <w:divBdr>
        <w:top w:val="none" w:sz="0" w:space="0" w:color="auto"/>
        <w:left w:val="none" w:sz="0" w:space="0" w:color="auto"/>
        <w:bottom w:val="none" w:sz="0" w:space="0" w:color="auto"/>
        <w:right w:val="none" w:sz="0" w:space="0" w:color="auto"/>
      </w:divBdr>
    </w:div>
    <w:div w:id="1329167015">
      <w:bodyDiv w:val="1"/>
      <w:marLeft w:val="0"/>
      <w:marRight w:val="0"/>
      <w:marTop w:val="0"/>
      <w:marBottom w:val="0"/>
      <w:divBdr>
        <w:top w:val="none" w:sz="0" w:space="0" w:color="auto"/>
        <w:left w:val="none" w:sz="0" w:space="0" w:color="auto"/>
        <w:bottom w:val="none" w:sz="0" w:space="0" w:color="auto"/>
        <w:right w:val="none" w:sz="0" w:space="0" w:color="auto"/>
      </w:divBdr>
    </w:div>
    <w:div w:id="1329282652">
      <w:bodyDiv w:val="1"/>
      <w:marLeft w:val="0"/>
      <w:marRight w:val="0"/>
      <w:marTop w:val="0"/>
      <w:marBottom w:val="0"/>
      <w:divBdr>
        <w:top w:val="none" w:sz="0" w:space="0" w:color="auto"/>
        <w:left w:val="none" w:sz="0" w:space="0" w:color="auto"/>
        <w:bottom w:val="none" w:sz="0" w:space="0" w:color="auto"/>
        <w:right w:val="none" w:sz="0" w:space="0" w:color="auto"/>
      </w:divBdr>
    </w:div>
    <w:div w:id="1329400540">
      <w:bodyDiv w:val="1"/>
      <w:marLeft w:val="0"/>
      <w:marRight w:val="0"/>
      <w:marTop w:val="0"/>
      <w:marBottom w:val="0"/>
      <w:divBdr>
        <w:top w:val="none" w:sz="0" w:space="0" w:color="auto"/>
        <w:left w:val="none" w:sz="0" w:space="0" w:color="auto"/>
        <w:bottom w:val="none" w:sz="0" w:space="0" w:color="auto"/>
        <w:right w:val="none" w:sz="0" w:space="0" w:color="auto"/>
      </w:divBdr>
    </w:div>
    <w:div w:id="1329405840">
      <w:bodyDiv w:val="1"/>
      <w:marLeft w:val="0"/>
      <w:marRight w:val="0"/>
      <w:marTop w:val="0"/>
      <w:marBottom w:val="0"/>
      <w:divBdr>
        <w:top w:val="none" w:sz="0" w:space="0" w:color="auto"/>
        <w:left w:val="none" w:sz="0" w:space="0" w:color="auto"/>
        <w:bottom w:val="none" w:sz="0" w:space="0" w:color="auto"/>
        <w:right w:val="none" w:sz="0" w:space="0" w:color="auto"/>
      </w:divBdr>
    </w:div>
    <w:div w:id="1329408771">
      <w:bodyDiv w:val="1"/>
      <w:marLeft w:val="0"/>
      <w:marRight w:val="0"/>
      <w:marTop w:val="0"/>
      <w:marBottom w:val="0"/>
      <w:divBdr>
        <w:top w:val="none" w:sz="0" w:space="0" w:color="auto"/>
        <w:left w:val="none" w:sz="0" w:space="0" w:color="auto"/>
        <w:bottom w:val="none" w:sz="0" w:space="0" w:color="auto"/>
        <w:right w:val="none" w:sz="0" w:space="0" w:color="auto"/>
      </w:divBdr>
    </w:div>
    <w:div w:id="1329477118">
      <w:bodyDiv w:val="1"/>
      <w:marLeft w:val="0"/>
      <w:marRight w:val="0"/>
      <w:marTop w:val="0"/>
      <w:marBottom w:val="0"/>
      <w:divBdr>
        <w:top w:val="none" w:sz="0" w:space="0" w:color="auto"/>
        <w:left w:val="none" w:sz="0" w:space="0" w:color="auto"/>
        <w:bottom w:val="none" w:sz="0" w:space="0" w:color="auto"/>
        <w:right w:val="none" w:sz="0" w:space="0" w:color="auto"/>
      </w:divBdr>
    </w:div>
    <w:div w:id="1329481681">
      <w:bodyDiv w:val="1"/>
      <w:marLeft w:val="0"/>
      <w:marRight w:val="0"/>
      <w:marTop w:val="0"/>
      <w:marBottom w:val="0"/>
      <w:divBdr>
        <w:top w:val="none" w:sz="0" w:space="0" w:color="auto"/>
        <w:left w:val="none" w:sz="0" w:space="0" w:color="auto"/>
        <w:bottom w:val="none" w:sz="0" w:space="0" w:color="auto"/>
        <w:right w:val="none" w:sz="0" w:space="0" w:color="auto"/>
      </w:divBdr>
    </w:div>
    <w:div w:id="1329485348">
      <w:bodyDiv w:val="1"/>
      <w:marLeft w:val="0"/>
      <w:marRight w:val="0"/>
      <w:marTop w:val="0"/>
      <w:marBottom w:val="0"/>
      <w:divBdr>
        <w:top w:val="none" w:sz="0" w:space="0" w:color="auto"/>
        <w:left w:val="none" w:sz="0" w:space="0" w:color="auto"/>
        <w:bottom w:val="none" w:sz="0" w:space="0" w:color="auto"/>
        <w:right w:val="none" w:sz="0" w:space="0" w:color="auto"/>
      </w:divBdr>
    </w:div>
    <w:div w:id="1329554552">
      <w:bodyDiv w:val="1"/>
      <w:marLeft w:val="0"/>
      <w:marRight w:val="0"/>
      <w:marTop w:val="0"/>
      <w:marBottom w:val="0"/>
      <w:divBdr>
        <w:top w:val="none" w:sz="0" w:space="0" w:color="auto"/>
        <w:left w:val="none" w:sz="0" w:space="0" w:color="auto"/>
        <w:bottom w:val="none" w:sz="0" w:space="0" w:color="auto"/>
        <w:right w:val="none" w:sz="0" w:space="0" w:color="auto"/>
      </w:divBdr>
    </w:div>
    <w:div w:id="1329750423">
      <w:bodyDiv w:val="1"/>
      <w:marLeft w:val="0"/>
      <w:marRight w:val="0"/>
      <w:marTop w:val="0"/>
      <w:marBottom w:val="0"/>
      <w:divBdr>
        <w:top w:val="none" w:sz="0" w:space="0" w:color="auto"/>
        <w:left w:val="none" w:sz="0" w:space="0" w:color="auto"/>
        <w:bottom w:val="none" w:sz="0" w:space="0" w:color="auto"/>
        <w:right w:val="none" w:sz="0" w:space="0" w:color="auto"/>
      </w:divBdr>
    </w:div>
    <w:div w:id="1329820512">
      <w:bodyDiv w:val="1"/>
      <w:marLeft w:val="0"/>
      <w:marRight w:val="0"/>
      <w:marTop w:val="0"/>
      <w:marBottom w:val="0"/>
      <w:divBdr>
        <w:top w:val="none" w:sz="0" w:space="0" w:color="auto"/>
        <w:left w:val="none" w:sz="0" w:space="0" w:color="auto"/>
        <w:bottom w:val="none" w:sz="0" w:space="0" w:color="auto"/>
        <w:right w:val="none" w:sz="0" w:space="0" w:color="auto"/>
      </w:divBdr>
    </w:div>
    <w:div w:id="1329866511">
      <w:bodyDiv w:val="1"/>
      <w:marLeft w:val="0"/>
      <w:marRight w:val="0"/>
      <w:marTop w:val="0"/>
      <w:marBottom w:val="0"/>
      <w:divBdr>
        <w:top w:val="none" w:sz="0" w:space="0" w:color="auto"/>
        <w:left w:val="none" w:sz="0" w:space="0" w:color="auto"/>
        <w:bottom w:val="none" w:sz="0" w:space="0" w:color="auto"/>
        <w:right w:val="none" w:sz="0" w:space="0" w:color="auto"/>
      </w:divBdr>
    </w:div>
    <w:div w:id="1329869427">
      <w:bodyDiv w:val="1"/>
      <w:marLeft w:val="0"/>
      <w:marRight w:val="0"/>
      <w:marTop w:val="0"/>
      <w:marBottom w:val="0"/>
      <w:divBdr>
        <w:top w:val="none" w:sz="0" w:space="0" w:color="auto"/>
        <w:left w:val="none" w:sz="0" w:space="0" w:color="auto"/>
        <w:bottom w:val="none" w:sz="0" w:space="0" w:color="auto"/>
        <w:right w:val="none" w:sz="0" w:space="0" w:color="auto"/>
      </w:divBdr>
    </w:div>
    <w:div w:id="1330062137">
      <w:bodyDiv w:val="1"/>
      <w:marLeft w:val="0"/>
      <w:marRight w:val="0"/>
      <w:marTop w:val="0"/>
      <w:marBottom w:val="0"/>
      <w:divBdr>
        <w:top w:val="none" w:sz="0" w:space="0" w:color="auto"/>
        <w:left w:val="none" w:sz="0" w:space="0" w:color="auto"/>
        <w:bottom w:val="none" w:sz="0" w:space="0" w:color="auto"/>
        <w:right w:val="none" w:sz="0" w:space="0" w:color="auto"/>
      </w:divBdr>
    </w:div>
    <w:div w:id="1330131097">
      <w:bodyDiv w:val="1"/>
      <w:marLeft w:val="0"/>
      <w:marRight w:val="0"/>
      <w:marTop w:val="0"/>
      <w:marBottom w:val="0"/>
      <w:divBdr>
        <w:top w:val="none" w:sz="0" w:space="0" w:color="auto"/>
        <w:left w:val="none" w:sz="0" w:space="0" w:color="auto"/>
        <w:bottom w:val="none" w:sz="0" w:space="0" w:color="auto"/>
        <w:right w:val="none" w:sz="0" w:space="0" w:color="auto"/>
      </w:divBdr>
    </w:div>
    <w:div w:id="1330209286">
      <w:bodyDiv w:val="1"/>
      <w:marLeft w:val="0"/>
      <w:marRight w:val="0"/>
      <w:marTop w:val="0"/>
      <w:marBottom w:val="0"/>
      <w:divBdr>
        <w:top w:val="none" w:sz="0" w:space="0" w:color="auto"/>
        <w:left w:val="none" w:sz="0" w:space="0" w:color="auto"/>
        <w:bottom w:val="none" w:sz="0" w:space="0" w:color="auto"/>
        <w:right w:val="none" w:sz="0" w:space="0" w:color="auto"/>
      </w:divBdr>
    </w:div>
    <w:div w:id="1330252908">
      <w:bodyDiv w:val="1"/>
      <w:marLeft w:val="0"/>
      <w:marRight w:val="0"/>
      <w:marTop w:val="0"/>
      <w:marBottom w:val="0"/>
      <w:divBdr>
        <w:top w:val="none" w:sz="0" w:space="0" w:color="auto"/>
        <w:left w:val="none" w:sz="0" w:space="0" w:color="auto"/>
        <w:bottom w:val="none" w:sz="0" w:space="0" w:color="auto"/>
        <w:right w:val="none" w:sz="0" w:space="0" w:color="auto"/>
      </w:divBdr>
    </w:div>
    <w:div w:id="1330256013">
      <w:bodyDiv w:val="1"/>
      <w:marLeft w:val="0"/>
      <w:marRight w:val="0"/>
      <w:marTop w:val="0"/>
      <w:marBottom w:val="0"/>
      <w:divBdr>
        <w:top w:val="none" w:sz="0" w:space="0" w:color="auto"/>
        <w:left w:val="none" w:sz="0" w:space="0" w:color="auto"/>
        <w:bottom w:val="none" w:sz="0" w:space="0" w:color="auto"/>
        <w:right w:val="none" w:sz="0" w:space="0" w:color="auto"/>
      </w:divBdr>
    </w:div>
    <w:div w:id="1330328987">
      <w:bodyDiv w:val="1"/>
      <w:marLeft w:val="0"/>
      <w:marRight w:val="0"/>
      <w:marTop w:val="0"/>
      <w:marBottom w:val="0"/>
      <w:divBdr>
        <w:top w:val="none" w:sz="0" w:space="0" w:color="auto"/>
        <w:left w:val="none" w:sz="0" w:space="0" w:color="auto"/>
        <w:bottom w:val="none" w:sz="0" w:space="0" w:color="auto"/>
        <w:right w:val="none" w:sz="0" w:space="0" w:color="auto"/>
      </w:divBdr>
    </w:div>
    <w:div w:id="1330477368">
      <w:bodyDiv w:val="1"/>
      <w:marLeft w:val="0"/>
      <w:marRight w:val="0"/>
      <w:marTop w:val="0"/>
      <w:marBottom w:val="0"/>
      <w:divBdr>
        <w:top w:val="none" w:sz="0" w:space="0" w:color="auto"/>
        <w:left w:val="none" w:sz="0" w:space="0" w:color="auto"/>
        <w:bottom w:val="none" w:sz="0" w:space="0" w:color="auto"/>
        <w:right w:val="none" w:sz="0" w:space="0" w:color="auto"/>
      </w:divBdr>
    </w:div>
    <w:div w:id="1330669064">
      <w:bodyDiv w:val="1"/>
      <w:marLeft w:val="0"/>
      <w:marRight w:val="0"/>
      <w:marTop w:val="0"/>
      <w:marBottom w:val="0"/>
      <w:divBdr>
        <w:top w:val="none" w:sz="0" w:space="0" w:color="auto"/>
        <w:left w:val="none" w:sz="0" w:space="0" w:color="auto"/>
        <w:bottom w:val="none" w:sz="0" w:space="0" w:color="auto"/>
        <w:right w:val="none" w:sz="0" w:space="0" w:color="auto"/>
      </w:divBdr>
    </w:div>
    <w:div w:id="1330716868">
      <w:bodyDiv w:val="1"/>
      <w:marLeft w:val="0"/>
      <w:marRight w:val="0"/>
      <w:marTop w:val="0"/>
      <w:marBottom w:val="0"/>
      <w:divBdr>
        <w:top w:val="none" w:sz="0" w:space="0" w:color="auto"/>
        <w:left w:val="none" w:sz="0" w:space="0" w:color="auto"/>
        <w:bottom w:val="none" w:sz="0" w:space="0" w:color="auto"/>
        <w:right w:val="none" w:sz="0" w:space="0" w:color="auto"/>
      </w:divBdr>
    </w:div>
    <w:div w:id="1330789224">
      <w:bodyDiv w:val="1"/>
      <w:marLeft w:val="0"/>
      <w:marRight w:val="0"/>
      <w:marTop w:val="0"/>
      <w:marBottom w:val="0"/>
      <w:divBdr>
        <w:top w:val="none" w:sz="0" w:space="0" w:color="auto"/>
        <w:left w:val="none" w:sz="0" w:space="0" w:color="auto"/>
        <w:bottom w:val="none" w:sz="0" w:space="0" w:color="auto"/>
        <w:right w:val="none" w:sz="0" w:space="0" w:color="auto"/>
      </w:divBdr>
    </w:div>
    <w:div w:id="1330986353">
      <w:bodyDiv w:val="1"/>
      <w:marLeft w:val="0"/>
      <w:marRight w:val="0"/>
      <w:marTop w:val="0"/>
      <w:marBottom w:val="0"/>
      <w:divBdr>
        <w:top w:val="none" w:sz="0" w:space="0" w:color="auto"/>
        <w:left w:val="none" w:sz="0" w:space="0" w:color="auto"/>
        <w:bottom w:val="none" w:sz="0" w:space="0" w:color="auto"/>
        <w:right w:val="none" w:sz="0" w:space="0" w:color="auto"/>
      </w:divBdr>
    </w:div>
    <w:div w:id="1331173789">
      <w:bodyDiv w:val="1"/>
      <w:marLeft w:val="0"/>
      <w:marRight w:val="0"/>
      <w:marTop w:val="0"/>
      <w:marBottom w:val="0"/>
      <w:divBdr>
        <w:top w:val="none" w:sz="0" w:space="0" w:color="auto"/>
        <w:left w:val="none" w:sz="0" w:space="0" w:color="auto"/>
        <w:bottom w:val="none" w:sz="0" w:space="0" w:color="auto"/>
        <w:right w:val="none" w:sz="0" w:space="0" w:color="auto"/>
      </w:divBdr>
    </w:div>
    <w:div w:id="1331174069">
      <w:bodyDiv w:val="1"/>
      <w:marLeft w:val="0"/>
      <w:marRight w:val="0"/>
      <w:marTop w:val="0"/>
      <w:marBottom w:val="0"/>
      <w:divBdr>
        <w:top w:val="none" w:sz="0" w:space="0" w:color="auto"/>
        <w:left w:val="none" w:sz="0" w:space="0" w:color="auto"/>
        <w:bottom w:val="none" w:sz="0" w:space="0" w:color="auto"/>
        <w:right w:val="none" w:sz="0" w:space="0" w:color="auto"/>
      </w:divBdr>
    </w:div>
    <w:div w:id="1331177864">
      <w:bodyDiv w:val="1"/>
      <w:marLeft w:val="0"/>
      <w:marRight w:val="0"/>
      <w:marTop w:val="0"/>
      <w:marBottom w:val="0"/>
      <w:divBdr>
        <w:top w:val="none" w:sz="0" w:space="0" w:color="auto"/>
        <w:left w:val="none" w:sz="0" w:space="0" w:color="auto"/>
        <w:bottom w:val="none" w:sz="0" w:space="0" w:color="auto"/>
        <w:right w:val="none" w:sz="0" w:space="0" w:color="auto"/>
      </w:divBdr>
    </w:div>
    <w:div w:id="1331181241">
      <w:bodyDiv w:val="1"/>
      <w:marLeft w:val="0"/>
      <w:marRight w:val="0"/>
      <w:marTop w:val="0"/>
      <w:marBottom w:val="0"/>
      <w:divBdr>
        <w:top w:val="none" w:sz="0" w:space="0" w:color="auto"/>
        <w:left w:val="none" w:sz="0" w:space="0" w:color="auto"/>
        <w:bottom w:val="none" w:sz="0" w:space="0" w:color="auto"/>
        <w:right w:val="none" w:sz="0" w:space="0" w:color="auto"/>
      </w:divBdr>
    </w:div>
    <w:div w:id="1331252715">
      <w:bodyDiv w:val="1"/>
      <w:marLeft w:val="0"/>
      <w:marRight w:val="0"/>
      <w:marTop w:val="0"/>
      <w:marBottom w:val="0"/>
      <w:divBdr>
        <w:top w:val="none" w:sz="0" w:space="0" w:color="auto"/>
        <w:left w:val="none" w:sz="0" w:space="0" w:color="auto"/>
        <w:bottom w:val="none" w:sz="0" w:space="0" w:color="auto"/>
        <w:right w:val="none" w:sz="0" w:space="0" w:color="auto"/>
      </w:divBdr>
    </w:div>
    <w:div w:id="1331372484">
      <w:bodyDiv w:val="1"/>
      <w:marLeft w:val="0"/>
      <w:marRight w:val="0"/>
      <w:marTop w:val="0"/>
      <w:marBottom w:val="0"/>
      <w:divBdr>
        <w:top w:val="none" w:sz="0" w:space="0" w:color="auto"/>
        <w:left w:val="none" w:sz="0" w:space="0" w:color="auto"/>
        <w:bottom w:val="none" w:sz="0" w:space="0" w:color="auto"/>
        <w:right w:val="none" w:sz="0" w:space="0" w:color="auto"/>
      </w:divBdr>
    </w:div>
    <w:div w:id="1331445546">
      <w:bodyDiv w:val="1"/>
      <w:marLeft w:val="0"/>
      <w:marRight w:val="0"/>
      <w:marTop w:val="0"/>
      <w:marBottom w:val="0"/>
      <w:divBdr>
        <w:top w:val="none" w:sz="0" w:space="0" w:color="auto"/>
        <w:left w:val="none" w:sz="0" w:space="0" w:color="auto"/>
        <w:bottom w:val="none" w:sz="0" w:space="0" w:color="auto"/>
        <w:right w:val="none" w:sz="0" w:space="0" w:color="auto"/>
      </w:divBdr>
    </w:div>
    <w:div w:id="1331450660">
      <w:bodyDiv w:val="1"/>
      <w:marLeft w:val="0"/>
      <w:marRight w:val="0"/>
      <w:marTop w:val="0"/>
      <w:marBottom w:val="0"/>
      <w:divBdr>
        <w:top w:val="none" w:sz="0" w:space="0" w:color="auto"/>
        <w:left w:val="none" w:sz="0" w:space="0" w:color="auto"/>
        <w:bottom w:val="none" w:sz="0" w:space="0" w:color="auto"/>
        <w:right w:val="none" w:sz="0" w:space="0" w:color="auto"/>
      </w:divBdr>
    </w:div>
    <w:div w:id="1331450860">
      <w:bodyDiv w:val="1"/>
      <w:marLeft w:val="0"/>
      <w:marRight w:val="0"/>
      <w:marTop w:val="0"/>
      <w:marBottom w:val="0"/>
      <w:divBdr>
        <w:top w:val="none" w:sz="0" w:space="0" w:color="auto"/>
        <w:left w:val="none" w:sz="0" w:space="0" w:color="auto"/>
        <w:bottom w:val="none" w:sz="0" w:space="0" w:color="auto"/>
        <w:right w:val="none" w:sz="0" w:space="0" w:color="auto"/>
      </w:divBdr>
    </w:div>
    <w:div w:id="1331518977">
      <w:bodyDiv w:val="1"/>
      <w:marLeft w:val="0"/>
      <w:marRight w:val="0"/>
      <w:marTop w:val="0"/>
      <w:marBottom w:val="0"/>
      <w:divBdr>
        <w:top w:val="none" w:sz="0" w:space="0" w:color="auto"/>
        <w:left w:val="none" w:sz="0" w:space="0" w:color="auto"/>
        <w:bottom w:val="none" w:sz="0" w:space="0" w:color="auto"/>
        <w:right w:val="none" w:sz="0" w:space="0" w:color="auto"/>
      </w:divBdr>
    </w:div>
    <w:div w:id="1331760906">
      <w:bodyDiv w:val="1"/>
      <w:marLeft w:val="0"/>
      <w:marRight w:val="0"/>
      <w:marTop w:val="0"/>
      <w:marBottom w:val="0"/>
      <w:divBdr>
        <w:top w:val="none" w:sz="0" w:space="0" w:color="auto"/>
        <w:left w:val="none" w:sz="0" w:space="0" w:color="auto"/>
        <w:bottom w:val="none" w:sz="0" w:space="0" w:color="auto"/>
        <w:right w:val="none" w:sz="0" w:space="0" w:color="auto"/>
      </w:divBdr>
    </w:div>
    <w:div w:id="1331762150">
      <w:bodyDiv w:val="1"/>
      <w:marLeft w:val="0"/>
      <w:marRight w:val="0"/>
      <w:marTop w:val="0"/>
      <w:marBottom w:val="0"/>
      <w:divBdr>
        <w:top w:val="none" w:sz="0" w:space="0" w:color="auto"/>
        <w:left w:val="none" w:sz="0" w:space="0" w:color="auto"/>
        <w:bottom w:val="none" w:sz="0" w:space="0" w:color="auto"/>
        <w:right w:val="none" w:sz="0" w:space="0" w:color="auto"/>
      </w:divBdr>
    </w:div>
    <w:div w:id="1331954363">
      <w:bodyDiv w:val="1"/>
      <w:marLeft w:val="0"/>
      <w:marRight w:val="0"/>
      <w:marTop w:val="0"/>
      <w:marBottom w:val="0"/>
      <w:divBdr>
        <w:top w:val="none" w:sz="0" w:space="0" w:color="auto"/>
        <w:left w:val="none" w:sz="0" w:space="0" w:color="auto"/>
        <w:bottom w:val="none" w:sz="0" w:space="0" w:color="auto"/>
        <w:right w:val="none" w:sz="0" w:space="0" w:color="auto"/>
      </w:divBdr>
    </w:div>
    <w:div w:id="1331979125">
      <w:bodyDiv w:val="1"/>
      <w:marLeft w:val="0"/>
      <w:marRight w:val="0"/>
      <w:marTop w:val="0"/>
      <w:marBottom w:val="0"/>
      <w:divBdr>
        <w:top w:val="none" w:sz="0" w:space="0" w:color="auto"/>
        <w:left w:val="none" w:sz="0" w:space="0" w:color="auto"/>
        <w:bottom w:val="none" w:sz="0" w:space="0" w:color="auto"/>
        <w:right w:val="none" w:sz="0" w:space="0" w:color="auto"/>
      </w:divBdr>
    </w:div>
    <w:div w:id="1331979964">
      <w:bodyDiv w:val="1"/>
      <w:marLeft w:val="0"/>
      <w:marRight w:val="0"/>
      <w:marTop w:val="0"/>
      <w:marBottom w:val="0"/>
      <w:divBdr>
        <w:top w:val="none" w:sz="0" w:space="0" w:color="auto"/>
        <w:left w:val="none" w:sz="0" w:space="0" w:color="auto"/>
        <w:bottom w:val="none" w:sz="0" w:space="0" w:color="auto"/>
        <w:right w:val="none" w:sz="0" w:space="0" w:color="auto"/>
      </w:divBdr>
    </w:div>
    <w:div w:id="1331982509">
      <w:bodyDiv w:val="1"/>
      <w:marLeft w:val="0"/>
      <w:marRight w:val="0"/>
      <w:marTop w:val="0"/>
      <w:marBottom w:val="0"/>
      <w:divBdr>
        <w:top w:val="none" w:sz="0" w:space="0" w:color="auto"/>
        <w:left w:val="none" w:sz="0" w:space="0" w:color="auto"/>
        <w:bottom w:val="none" w:sz="0" w:space="0" w:color="auto"/>
        <w:right w:val="none" w:sz="0" w:space="0" w:color="auto"/>
      </w:divBdr>
    </w:div>
    <w:div w:id="1332098574">
      <w:bodyDiv w:val="1"/>
      <w:marLeft w:val="0"/>
      <w:marRight w:val="0"/>
      <w:marTop w:val="0"/>
      <w:marBottom w:val="0"/>
      <w:divBdr>
        <w:top w:val="none" w:sz="0" w:space="0" w:color="auto"/>
        <w:left w:val="none" w:sz="0" w:space="0" w:color="auto"/>
        <w:bottom w:val="none" w:sz="0" w:space="0" w:color="auto"/>
        <w:right w:val="none" w:sz="0" w:space="0" w:color="auto"/>
      </w:divBdr>
    </w:div>
    <w:div w:id="1332179311">
      <w:bodyDiv w:val="1"/>
      <w:marLeft w:val="0"/>
      <w:marRight w:val="0"/>
      <w:marTop w:val="0"/>
      <w:marBottom w:val="0"/>
      <w:divBdr>
        <w:top w:val="none" w:sz="0" w:space="0" w:color="auto"/>
        <w:left w:val="none" w:sz="0" w:space="0" w:color="auto"/>
        <w:bottom w:val="none" w:sz="0" w:space="0" w:color="auto"/>
        <w:right w:val="none" w:sz="0" w:space="0" w:color="auto"/>
      </w:divBdr>
    </w:div>
    <w:div w:id="1332224487">
      <w:bodyDiv w:val="1"/>
      <w:marLeft w:val="0"/>
      <w:marRight w:val="0"/>
      <w:marTop w:val="0"/>
      <w:marBottom w:val="0"/>
      <w:divBdr>
        <w:top w:val="none" w:sz="0" w:space="0" w:color="auto"/>
        <w:left w:val="none" w:sz="0" w:space="0" w:color="auto"/>
        <w:bottom w:val="none" w:sz="0" w:space="0" w:color="auto"/>
        <w:right w:val="none" w:sz="0" w:space="0" w:color="auto"/>
      </w:divBdr>
    </w:div>
    <w:div w:id="1332371703">
      <w:bodyDiv w:val="1"/>
      <w:marLeft w:val="0"/>
      <w:marRight w:val="0"/>
      <w:marTop w:val="0"/>
      <w:marBottom w:val="0"/>
      <w:divBdr>
        <w:top w:val="none" w:sz="0" w:space="0" w:color="auto"/>
        <w:left w:val="none" w:sz="0" w:space="0" w:color="auto"/>
        <w:bottom w:val="none" w:sz="0" w:space="0" w:color="auto"/>
        <w:right w:val="none" w:sz="0" w:space="0" w:color="auto"/>
      </w:divBdr>
    </w:div>
    <w:div w:id="1332372608">
      <w:bodyDiv w:val="1"/>
      <w:marLeft w:val="0"/>
      <w:marRight w:val="0"/>
      <w:marTop w:val="0"/>
      <w:marBottom w:val="0"/>
      <w:divBdr>
        <w:top w:val="none" w:sz="0" w:space="0" w:color="auto"/>
        <w:left w:val="none" w:sz="0" w:space="0" w:color="auto"/>
        <w:bottom w:val="none" w:sz="0" w:space="0" w:color="auto"/>
        <w:right w:val="none" w:sz="0" w:space="0" w:color="auto"/>
      </w:divBdr>
    </w:div>
    <w:div w:id="1332442596">
      <w:bodyDiv w:val="1"/>
      <w:marLeft w:val="0"/>
      <w:marRight w:val="0"/>
      <w:marTop w:val="0"/>
      <w:marBottom w:val="0"/>
      <w:divBdr>
        <w:top w:val="none" w:sz="0" w:space="0" w:color="auto"/>
        <w:left w:val="none" w:sz="0" w:space="0" w:color="auto"/>
        <w:bottom w:val="none" w:sz="0" w:space="0" w:color="auto"/>
        <w:right w:val="none" w:sz="0" w:space="0" w:color="auto"/>
      </w:divBdr>
    </w:div>
    <w:div w:id="1332442797">
      <w:bodyDiv w:val="1"/>
      <w:marLeft w:val="0"/>
      <w:marRight w:val="0"/>
      <w:marTop w:val="0"/>
      <w:marBottom w:val="0"/>
      <w:divBdr>
        <w:top w:val="none" w:sz="0" w:space="0" w:color="auto"/>
        <w:left w:val="none" w:sz="0" w:space="0" w:color="auto"/>
        <w:bottom w:val="none" w:sz="0" w:space="0" w:color="auto"/>
        <w:right w:val="none" w:sz="0" w:space="0" w:color="auto"/>
      </w:divBdr>
    </w:div>
    <w:div w:id="1332568087">
      <w:bodyDiv w:val="1"/>
      <w:marLeft w:val="0"/>
      <w:marRight w:val="0"/>
      <w:marTop w:val="0"/>
      <w:marBottom w:val="0"/>
      <w:divBdr>
        <w:top w:val="none" w:sz="0" w:space="0" w:color="auto"/>
        <w:left w:val="none" w:sz="0" w:space="0" w:color="auto"/>
        <w:bottom w:val="none" w:sz="0" w:space="0" w:color="auto"/>
        <w:right w:val="none" w:sz="0" w:space="0" w:color="auto"/>
      </w:divBdr>
    </w:div>
    <w:div w:id="1332680428">
      <w:bodyDiv w:val="1"/>
      <w:marLeft w:val="0"/>
      <w:marRight w:val="0"/>
      <w:marTop w:val="0"/>
      <w:marBottom w:val="0"/>
      <w:divBdr>
        <w:top w:val="none" w:sz="0" w:space="0" w:color="auto"/>
        <w:left w:val="none" w:sz="0" w:space="0" w:color="auto"/>
        <w:bottom w:val="none" w:sz="0" w:space="0" w:color="auto"/>
        <w:right w:val="none" w:sz="0" w:space="0" w:color="auto"/>
      </w:divBdr>
    </w:div>
    <w:div w:id="1332755338">
      <w:bodyDiv w:val="1"/>
      <w:marLeft w:val="0"/>
      <w:marRight w:val="0"/>
      <w:marTop w:val="0"/>
      <w:marBottom w:val="0"/>
      <w:divBdr>
        <w:top w:val="none" w:sz="0" w:space="0" w:color="auto"/>
        <w:left w:val="none" w:sz="0" w:space="0" w:color="auto"/>
        <w:bottom w:val="none" w:sz="0" w:space="0" w:color="auto"/>
        <w:right w:val="none" w:sz="0" w:space="0" w:color="auto"/>
      </w:divBdr>
    </w:div>
    <w:div w:id="1332756275">
      <w:bodyDiv w:val="1"/>
      <w:marLeft w:val="0"/>
      <w:marRight w:val="0"/>
      <w:marTop w:val="0"/>
      <w:marBottom w:val="0"/>
      <w:divBdr>
        <w:top w:val="none" w:sz="0" w:space="0" w:color="auto"/>
        <w:left w:val="none" w:sz="0" w:space="0" w:color="auto"/>
        <w:bottom w:val="none" w:sz="0" w:space="0" w:color="auto"/>
        <w:right w:val="none" w:sz="0" w:space="0" w:color="auto"/>
      </w:divBdr>
    </w:div>
    <w:div w:id="1332760621">
      <w:bodyDiv w:val="1"/>
      <w:marLeft w:val="0"/>
      <w:marRight w:val="0"/>
      <w:marTop w:val="0"/>
      <w:marBottom w:val="0"/>
      <w:divBdr>
        <w:top w:val="none" w:sz="0" w:space="0" w:color="auto"/>
        <w:left w:val="none" w:sz="0" w:space="0" w:color="auto"/>
        <w:bottom w:val="none" w:sz="0" w:space="0" w:color="auto"/>
        <w:right w:val="none" w:sz="0" w:space="0" w:color="auto"/>
      </w:divBdr>
    </w:div>
    <w:div w:id="1332761409">
      <w:bodyDiv w:val="1"/>
      <w:marLeft w:val="0"/>
      <w:marRight w:val="0"/>
      <w:marTop w:val="0"/>
      <w:marBottom w:val="0"/>
      <w:divBdr>
        <w:top w:val="none" w:sz="0" w:space="0" w:color="auto"/>
        <w:left w:val="none" w:sz="0" w:space="0" w:color="auto"/>
        <w:bottom w:val="none" w:sz="0" w:space="0" w:color="auto"/>
        <w:right w:val="none" w:sz="0" w:space="0" w:color="auto"/>
      </w:divBdr>
    </w:div>
    <w:div w:id="1332877666">
      <w:bodyDiv w:val="1"/>
      <w:marLeft w:val="0"/>
      <w:marRight w:val="0"/>
      <w:marTop w:val="0"/>
      <w:marBottom w:val="0"/>
      <w:divBdr>
        <w:top w:val="none" w:sz="0" w:space="0" w:color="auto"/>
        <w:left w:val="none" w:sz="0" w:space="0" w:color="auto"/>
        <w:bottom w:val="none" w:sz="0" w:space="0" w:color="auto"/>
        <w:right w:val="none" w:sz="0" w:space="0" w:color="auto"/>
      </w:divBdr>
    </w:div>
    <w:div w:id="1332948889">
      <w:bodyDiv w:val="1"/>
      <w:marLeft w:val="0"/>
      <w:marRight w:val="0"/>
      <w:marTop w:val="0"/>
      <w:marBottom w:val="0"/>
      <w:divBdr>
        <w:top w:val="none" w:sz="0" w:space="0" w:color="auto"/>
        <w:left w:val="none" w:sz="0" w:space="0" w:color="auto"/>
        <w:bottom w:val="none" w:sz="0" w:space="0" w:color="auto"/>
        <w:right w:val="none" w:sz="0" w:space="0" w:color="auto"/>
      </w:divBdr>
    </w:div>
    <w:div w:id="1332949315">
      <w:bodyDiv w:val="1"/>
      <w:marLeft w:val="0"/>
      <w:marRight w:val="0"/>
      <w:marTop w:val="0"/>
      <w:marBottom w:val="0"/>
      <w:divBdr>
        <w:top w:val="none" w:sz="0" w:space="0" w:color="auto"/>
        <w:left w:val="none" w:sz="0" w:space="0" w:color="auto"/>
        <w:bottom w:val="none" w:sz="0" w:space="0" w:color="auto"/>
        <w:right w:val="none" w:sz="0" w:space="0" w:color="auto"/>
      </w:divBdr>
    </w:div>
    <w:div w:id="1332952833">
      <w:bodyDiv w:val="1"/>
      <w:marLeft w:val="0"/>
      <w:marRight w:val="0"/>
      <w:marTop w:val="0"/>
      <w:marBottom w:val="0"/>
      <w:divBdr>
        <w:top w:val="none" w:sz="0" w:space="0" w:color="auto"/>
        <w:left w:val="none" w:sz="0" w:space="0" w:color="auto"/>
        <w:bottom w:val="none" w:sz="0" w:space="0" w:color="auto"/>
        <w:right w:val="none" w:sz="0" w:space="0" w:color="auto"/>
      </w:divBdr>
    </w:div>
    <w:div w:id="1333021132">
      <w:bodyDiv w:val="1"/>
      <w:marLeft w:val="0"/>
      <w:marRight w:val="0"/>
      <w:marTop w:val="0"/>
      <w:marBottom w:val="0"/>
      <w:divBdr>
        <w:top w:val="none" w:sz="0" w:space="0" w:color="auto"/>
        <w:left w:val="none" w:sz="0" w:space="0" w:color="auto"/>
        <w:bottom w:val="none" w:sz="0" w:space="0" w:color="auto"/>
        <w:right w:val="none" w:sz="0" w:space="0" w:color="auto"/>
      </w:divBdr>
    </w:div>
    <w:div w:id="1333023003">
      <w:bodyDiv w:val="1"/>
      <w:marLeft w:val="0"/>
      <w:marRight w:val="0"/>
      <w:marTop w:val="0"/>
      <w:marBottom w:val="0"/>
      <w:divBdr>
        <w:top w:val="none" w:sz="0" w:space="0" w:color="auto"/>
        <w:left w:val="none" w:sz="0" w:space="0" w:color="auto"/>
        <w:bottom w:val="none" w:sz="0" w:space="0" w:color="auto"/>
        <w:right w:val="none" w:sz="0" w:space="0" w:color="auto"/>
      </w:divBdr>
    </w:div>
    <w:div w:id="1333264637">
      <w:bodyDiv w:val="1"/>
      <w:marLeft w:val="0"/>
      <w:marRight w:val="0"/>
      <w:marTop w:val="0"/>
      <w:marBottom w:val="0"/>
      <w:divBdr>
        <w:top w:val="none" w:sz="0" w:space="0" w:color="auto"/>
        <w:left w:val="none" w:sz="0" w:space="0" w:color="auto"/>
        <w:bottom w:val="none" w:sz="0" w:space="0" w:color="auto"/>
        <w:right w:val="none" w:sz="0" w:space="0" w:color="auto"/>
      </w:divBdr>
    </w:div>
    <w:div w:id="1333489854">
      <w:bodyDiv w:val="1"/>
      <w:marLeft w:val="0"/>
      <w:marRight w:val="0"/>
      <w:marTop w:val="0"/>
      <w:marBottom w:val="0"/>
      <w:divBdr>
        <w:top w:val="none" w:sz="0" w:space="0" w:color="auto"/>
        <w:left w:val="none" w:sz="0" w:space="0" w:color="auto"/>
        <w:bottom w:val="none" w:sz="0" w:space="0" w:color="auto"/>
        <w:right w:val="none" w:sz="0" w:space="0" w:color="auto"/>
      </w:divBdr>
    </w:div>
    <w:div w:id="1333526826">
      <w:bodyDiv w:val="1"/>
      <w:marLeft w:val="0"/>
      <w:marRight w:val="0"/>
      <w:marTop w:val="0"/>
      <w:marBottom w:val="0"/>
      <w:divBdr>
        <w:top w:val="none" w:sz="0" w:space="0" w:color="auto"/>
        <w:left w:val="none" w:sz="0" w:space="0" w:color="auto"/>
        <w:bottom w:val="none" w:sz="0" w:space="0" w:color="auto"/>
        <w:right w:val="none" w:sz="0" w:space="0" w:color="auto"/>
      </w:divBdr>
    </w:div>
    <w:div w:id="1333532899">
      <w:bodyDiv w:val="1"/>
      <w:marLeft w:val="0"/>
      <w:marRight w:val="0"/>
      <w:marTop w:val="0"/>
      <w:marBottom w:val="0"/>
      <w:divBdr>
        <w:top w:val="none" w:sz="0" w:space="0" w:color="auto"/>
        <w:left w:val="none" w:sz="0" w:space="0" w:color="auto"/>
        <w:bottom w:val="none" w:sz="0" w:space="0" w:color="auto"/>
        <w:right w:val="none" w:sz="0" w:space="0" w:color="auto"/>
      </w:divBdr>
    </w:div>
    <w:div w:id="1333606250">
      <w:bodyDiv w:val="1"/>
      <w:marLeft w:val="0"/>
      <w:marRight w:val="0"/>
      <w:marTop w:val="0"/>
      <w:marBottom w:val="0"/>
      <w:divBdr>
        <w:top w:val="none" w:sz="0" w:space="0" w:color="auto"/>
        <w:left w:val="none" w:sz="0" w:space="0" w:color="auto"/>
        <w:bottom w:val="none" w:sz="0" w:space="0" w:color="auto"/>
        <w:right w:val="none" w:sz="0" w:space="0" w:color="auto"/>
      </w:divBdr>
    </w:div>
    <w:div w:id="1333801080">
      <w:bodyDiv w:val="1"/>
      <w:marLeft w:val="0"/>
      <w:marRight w:val="0"/>
      <w:marTop w:val="0"/>
      <w:marBottom w:val="0"/>
      <w:divBdr>
        <w:top w:val="none" w:sz="0" w:space="0" w:color="auto"/>
        <w:left w:val="none" w:sz="0" w:space="0" w:color="auto"/>
        <w:bottom w:val="none" w:sz="0" w:space="0" w:color="auto"/>
        <w:right w:val="none" w:sz="0" w:space="0" w:color="auto"/>
      </w:divBdr>
    </w:div>
    <w:div w:id="1333802808">
      <w:bodyDiv w:val="1"/>
      <w:marLeft w:val="0"/>
      <w:marRight w:val="0"/>
      <w:marTop w:val="0"/>
      <w:marBottom w:val="0"/>
      <w:divBdr>
        <w:top w:val="none" w:sz="0" w:space="0" w:color="auto"/>
        <w:left w:val="none" w:sz="0" w:space="0" w:color="auto"/>
        <w:bottom w:val="none" w:sz="0" w:space="0" w:color="auto"/>
        <w:right w:val="none" w:sz="0" w:space="0" w:color="auto"/>
      </w:divBdr>
    </w:div>
    <w:div w:id="1333803450">
      <w:bodyDiv w:val="1"/>
      <w:marLeft w:val="0"/>
      <w:marRight w:val="0"/>
      <w:marTop w:val="0"/>
      <w:marBottom w:val="0"/>
      <w:divBdr>
        <w:top w:val="none" w:sz="0" w:space="0" w:color="auto"/>
        <w:left w:val="none" w:sz="0" w:space="0" w:color="auto"/>
        <w:bottom w:val="none" w:sz="0" w:space="0" w:color="auto"/>
        <w:right w:val="none" w:sz="0" w:space="0" w:color="auto"/>
      </w:divBdr>
    </w:div>
    <w:div w:id="1333872061">
      <w:bodyDiv w:val="1"/>
      <w:marLeft w:val="0"/>
      <w:marRight w:val="0"/>
      <w:marTop w:val="0"/>
      <w:marBottom w:val="0"/>
      <w:divBdr>
        <w:top w:val="none" w:sz="0" w:space="0" w:color="auto"/>
        <w:left w:val="none" w:sz="0" w:space="0" w:color="auto"/>
        <w:bottom w:val="none" w:sz="0" w:space="0" w:color="auto"/>
        <w:right w:val="none" w:sz="0" w:space="0" w:color="auto"/>
      </w:divBdr>
    </w:div>
    <w:div w:id="1333996552">
      <w:bodyDiv w:val="1"/>
      <w:marLeft w:val="0"/>
      <w:marRight w:val="0"/>
      <w:marTop w:val="0"/>
      <w:marBottom w:val="0"/>
      <w:divBdr>
        <w:top w:val="none" w:sz="0" w:space="0" w:color="auto"/>
        <w:left w:val="none" w:sz="0" w:space="0" w:color="auto"/>
        <w:bottom w:val="none" w:sz="0" w:space="0" w:color="auto"/>
        <w:right w:val="none" w:sz="0" w:space="0" w:color="auto"/>
      </w:divBdr>
    </w:div>
    <w:div w:id="1334063801">
      <w:bodyDiv w:val="1"/>
      <w:marLeft w:val="0"/>
      <w:marRight w:val="0"/>
      <w:marTop w:val="0"/>
      <w:marBottom w:val="0"/>
      <w:divBdr>
        <w:top w:val="none" w:sz="0" w:space="0" w:color="auto"/>
        <w:left w:val="none" w:sz="0" w:space="0" w:color="auto"/>
        <w:bottom w:val="none" w:sz="0" w:space="0" w:color="auto"/>
        <w:right w:val="none" w:sz="0" w:space="0" w:color="auto"/>
      </w:divBdr>
    </w:div>
    <w:div w:id="1334340389">
      <w:bodyDiv w:val="1"/>
      <w:marLeft w:val="0"/>
      <w:marRight w:val="0"/>
      <w:marTop w:val="0"/>
      <w:marBottom w:val="0"/>
      <w:divBdr>
        <w:top w:val="none" w:sz="0" w:space="0" w:color="auto"/>
        <w:left w:val="none" w:sz="0" w:space="0" w:color="auto"/>
        <w:bottom w:val="none" w:sz="0" w:space="0" w:color="auto"/>
        <w:right w:val="none" w:sz="0" w:space="0" w:color="auto"/>
      </w:divBdr>
    </w:div>
    <w:div w:id="1334378793">
      <w:bodyDiv w:val="1"/>
      <w:marLeft w:val="0"/>
      <w:marRight w:val="0"/>
      <w:marTop w:val="0"/>
      <w:marBottom w:val="0"/>
      <w:divBdr>
        <w:top w:val="none" w:sz="0" w:space="0" w:color="auto"/>
        <w:left w:val="none" w:sz="0" w:space="0" w:color="auto"/>
        <w:bottom w:val="none" w:sz="0" w:space="0" w:color="auto"/>
        <w:right w:val="none" w:sz="0" w:space="0" w:color="auto"/>
      </w:divBdr>
    </w:div>
    <w:div w:id="1334450447">
      <w:bodyDiv w:val="1"/>
      <w:marLeft w:val="0"/>
      <w:marRight w:val="0"/>
      <w:marTop w:val="0"/>
      <w:marBottom w:val="0"/>
      <w:divBdr>
        <w:top w:val="none" w:sz="0" w:space="0" w:color="auto"/>
        <w:left w:val="none" w:sz="0" w:space="0" w:color="auto"/>
        <w:bottom w:val="none" w:sz="0" w:space="0" w:color="auto"/>
        <w:right w:val="none" w:sz="0" w:space="0" w:color="auto"/>
      </w:divBdr>
    </w:div>
    <w:div w:id="1334651512">
      <w:bodyDiv w:val="1"/>
      <w:marLeft w:val="0"/>
      <w:marRight w:val="0"/>
      <w:marTop w:val="0"/>
      <w:marBottom w:val="0"/>
      <w:divBdr>
        <w:top w:val="none" w:sz="0" w:space="0" w:color="auto"/>
        <w:left w:val="none" w:sz="0" w:space="0" w:color="auto"/>
        <w:bottom w:val="none" w:sz="0" w:space="0" w:color="auto"/>
        <w:right w:val="none" w:sz="0" w:space="0" w:color="auto"/>
      </w:divBdr>
    </w:div>
    <w:div w:id="1334721184">
      <w:bodyDiv w:val="1"/>
      <w:marLeft w:val="0"/>
      <w:marRight w:val="0"/>
      <w:marTop w:val="0"/>
      <w:marBottom w:val="0"/>
      <w:divBdr>
        <w:top w:val="none" w:sz="0" w:space="0" w:color="auto"/>
        <w:left w:val="none" w:sz="0" w:space="0" w:color="auto"/>
        <w:bottom w:val="none" w:sz="0" w:space="0" w:color="auto"/>
        <w:right w:val="none" w:sz="0" w:space="0" w:color="auto"/>
      </w:divBdr>
    </w:div>
    <w:div w:id="1334722676">
      <w:bodyDiv w:val="1"/>
      <w:marLeft w:val="0"/>
      <w:marRight w:val="0"/>
      <w:marTop w:val="0"/>
      <w:marBottom w:val="0"/>
      <w:divBdr>
        <w:top w:val="none" w:sz="0" w:space="0" w:color="auto"/>
        <w:left w:val="none" w:sz="0" w:space="0" w:color="auto"/>
        <w:bottom w:val="none" w:sz="0" w:space="0" w:color="auto"/>
        <w:right w:val="none" w:sz="0" w:space="0" w:color="auto"/>
      </w:divBdr>
    </w:div>
    <w:div w:id="1334800112">
      <w:bodyDiv w:val="1"/>
      <w:marLeft w:val="0"/>
      <w:marRight w:val="0"/>
      <w:marTop w:val="0"/>
      <w:marBottom w:val="0"/>
      <w:divBdr>
        <w:top w:val="none" w:sz="0" w:space="0" w:color="auto"/>
        <w:left w:val="none" w:sz="0" w:space="0" w:color="auto"/>
        <w:bottom w:val="none" w:sz="0" w:space="0" w:color="auto"/>
        <w:right w:val="none" w:sz="0" w:space="0" w:color="auto"/>
      </w:divBdr>
    </w:div>
    <w:div w:id="1334839993">
      <w:bodyDiv w:val="1"/>
      <w:marLeft w:val="0"/>
      <w:marRight w:val="0"/>
      <w:marTop w:val="0"/>
      <w:marBottom w:val="0"/>
      <w:divBdr>
        <w:top w:val="none" w:sz="0" w:space="0" w:color="auto"/>
        <w:left w:val="none" w:sz="0" w:space="0" w:color="auto"/>
        <w:bottom w:val="none" w:sz="0" w:space="0" w:color="auto"/>
        <w:right w:val="none" w:sz="0" w:space="0" w:color="auto"/>
      </w:divBdr>
    </w:div>
    <w:div w:id="1334841238">
      <w:bodyDiv w:val="1"/>
      <w:marLeft w:val="0"/>
      <w:marRight w:val="0"/>
      <w:marTop w:val="0"/>
      <w:marBottom w:val="0"/>
      <w:divBdr>
        <w:top w:val="none" w:sz="0" w:space="0" w:color="auto"/>
        <w:left w:val="none" w:sz="0" w:space="0" w:color="auto"/>
        <w:bottom w:val="none" w:sz="0" w:space="0" w:color="auto"/>
        <w:right w:val="none" w:sz="0" w:space="0" w:color="auto"/>
      </w:divBdr>
    </w:div>
    <w:div w:id="1334869121">
      <w:bodyDiv w:val="1"/>
      <w:marLeft w:val="0"/>
      <w:marRight w:val="0"/>
      <w:marTop w:val="0"/>
      <w:marBottom w:val="0"/>
      <w:divBdr>
        <w:top w:val="none" w:sz="0" w:space="0" w:color="auto"/>
        <w:left w:val="none" w:sz="0" w:space="0" w:color="auto"/>
        <w:bottom w:val="none" w:sz="0" w:space="0" w:color="auto"/>
        <w:right w:val="none" w:sz="0" w:space="0" w:color="auto"/>
      </w:divBdr>
    </w:div>
    <w:div w:id="1334917590">
      <w:bodyDiv w:val="1"/>
      <w:marLeft w:val="0"/>
      <w:marRight w:val="0"/>
      <w:marTop w:val="0"/>
      <w:marBottom w:val="0"/>
      <w:divBdr>
        <w:top w:val="none" w:sz="0" w:space="0" w:color="auto"/>
        <w:left w:val="none" w:sz="0" w:space="0" w:color="auto"/>
        <w:bottom w:val="none" w:sz="0" w:space="0" w:color="auto"/>
        <w:right w:val="none" w:sz="0" w:space="0" w:color="auto"/>
      </w:divBdr>
    </w:div>
    <w:div w:id="1334992322">
      <w:bodyDiv w:val="1"/>
      <w:marLeft w:val="0"/>
      <w:marRight w:val="0"/>
      <w:marTop w:val="0"/>
      <w:marBottom w:val="0"/>
      <w:divBdr>
        <w:top w:val="none" w:sz="0" w:space="0" w:color="auto"/>
        <w:left w:val="none" w:sz="0" w:space="0" w:color="auto"/>
        <w:bottom w:val="none" w:sz="0" w:space="0" w:color="auto"/>
        <w:right w:val="none" w:sz="0" w:space="0" w:color="auto"/>
      </w:divBdr>
    </w:div>
    <w:div w:id="1335035358">
      <w:bodyDiv w:val="1"/>
      <w:marLeft w:val="0"/>
      <w:marRight w:val="0"/>
      <w:marTop w:val="0"/>
      <w:marBottom w:val="0"/>
      <w:divBdr>
        <w:top w:val="none" w:sz="0" w:space="0" w:color="auto"/>
        <w:left w:val="none" w:sz="0" w:space="0" w:color="auto"/>
        <w:bottom w:val="none" w:sz="0" w:space="0" w:color="auto"/>
        <w:right w:val="none" w:sz="0" w:space="0" w:color="auto"/>
      </w:divBdr>
    </w:div>
    <w:div w:id="1335107786">
      <w:bodyDiv w:val="1"/>
      <w:marLeft w:val="0"/>
      <w:marRight w:val="0"/>
      <w:marTop w:val="0"/>
      <w:marBottom w:val="0"/>
      <w:divBdr>
        <w:top w:val="none" w:sz="0" w:space="0" w:color="auto"/>
        <w:left w:val="none" w:sz="0" w:space="0" w:color="auto"/>
        <w:bottom w:val="none" w:sz="0" w:space="0" w:color="auto"/>
        <w:right w:val="none" w:sz="0" w:space="0" w:color="auto"/>
      </w:divBdr>
    </w:div>
    <w:div w:id="1335111239">
      <w:bodyDiv w:val="1"/>
      <w:marLeft w:val="0"/>
      <w:marRight w:val="0"/>
      <w:marTop w:val="0"/>
      <w:marBottom w:val="0"/>
      <w:divBdr>
        <w:top w:val="none" w:sz="0" w:space="0" w:color="auto"/>
        <w:left w:val="none" w:sz="0" w:space="0" w:color="auto"/>
        <w:bottom w:val="none" w:sz="0" w:space="0" w:color="auto"/>
        <w:right w:val="none" w:sz="0" w:space="0" w:color="auto"/>
      </w:divBdr>
    </w:div>
    <w:div w:id="1335111760">
      <w:bodyDiv w:val="1"/>
      <w:marLeft w:val="0"/>
      <w:marRight w:val="0"/>
      <w:marTop w:val="0"/>
      <w:marBottom w:val="0"/>
      <w:divBdr>
        <w:top w:val="none" w:sz="0" w:space="0" w:color="auto"/>
        <w:left w:val="none" w:sz="0" w:space="0" w:color="auto"/>
        <w:bottom w:val="none" w:sz="0" w:space="0" w:color="auto"/>
        <w:right w:val="none" w:sz="0" w:space="0" w:color="auto"/>
      </w:divBdr>
    </w:div>
    <w:div w:id="1335182434">
      <w:bodyDiv w:val="1"/>
      <w:marLeft w:val="0"/>
      <w:marRight w:val="0"/>
      <w:marTop w:val="0"/>
      <w:marBottom w:val="0"/>
      <w:divBdr>
        <w:top w:val="none" w:sz="0" w:space="0" w:color="auto"/>
        <w:left w:val="none" w:sz="0" w:space="0" w:color="auto"/>
        <w:bottom w:val="none" w:sz="0" w:space="0" w:color="auto"/>
        <w:right w:val="none" w:sz="0" w:space="0" w:color="auto"/>
      </w:divBdr>
    </w:div>
    <w:div w:id="1335183511">
      <w:bodyDiv w:val="1"/>
      <w:marLeft w:val="0"/>
      <w:marRight w:val="0"/>
      <w:marTop w:val="0"/>
      <w:marBottom w:val="0"/>
      <w:divBdr>
        <w:top w:val="none" w:sz="0" w:space="0" w:color="auto"/>
        <w:left w:val="none" w:sz="0" w:space="0" w:color="auto"/>
        <w:bottom w:val="none" w:sz="0" w:space="0" w:color="auto"/>
        <w:right w:val="none" w:sz="0" w:space="0" w:color="auto"/>
      </w:divBdr>
    </w:div>
    <w:div w:id="1335231741">
      <w:bodyDiv w:val="1"/>
      <w:marLeft w:val="0"/>
      <w:marRight w:val="0"/>
      <w:marTop w:val="0"/>
      <w:marBottom w:val="0"/>
      <w:divBdr>
        <w:top w:val="none" w:sz="0" w:space="0" w:color="auto"/>
        <w:left w:val="none" w:sz="0" w:space="0" w:color="auto"/>
        <w:bottom w:val="none" w:sz="0" w:space="0" w:color="auto"/>
        <w:right w:val="none" w:sz="0" w:space="0" w:color="auto"/>
      </w:divBdr>
    </w:div>
    <w:div w:id="1335260488">
      <w:bodyDiv w:val="1"/>
      <w:marLeft w:val="0"/>
      <w:marRight w:val="0"/>
      <w:marTop w:val="0"/>
      <w:marBottom w:val="0"/>
      <w:divBdr>
        <w:top w:val="none" w:sz="0" w:space="0" w:color="auto"/>
        <w:left w:val="none" w:sz="0" w:space="0" w:color="auto"/>
        <w:bottom w:val="none" w:sz="0" w:space="0" w:color="auto"/>
        <w:right w:val="none" w:sz="0" w:space="0" w:color="auto"/>
      </w:divBdr>
    </w:div>
    <w:div w:id="1335374826">
      <w:bodyDiv w:val="1"/>
      <w:marLeft w:val="0"/>
      <w:marRight w:val="0"/>
      <w:marTop w:val="0"/>
      <w:marBottom w:val="0"/>
      <w:divBdr>
        <w:top w:val="none" w:sz="0" w:space="0" w:color="auto"/>
        <w:left w:val="none" w:sz="0" w:space="0" w:color="auto"/>
        <w:bottom w:val="none" w:sz="0" w:space="0" w:color="auto"/>
        <w:right w:val="none" w:sz="0" w:space="0" w:color="auto"/>
      </w:divBdr>
    </w:div>
    <w:div w:id="1335380732">
      <w:bodyDiv w:val="1"/>
      <w:marLeft w:val="0"/>
      <w:marRight w:val="0"/>
      <w:marTop w:val="0"/>
      <w:marBottom w:val="0"/>
      <w:divBdr>
        <w:top w:val="none" w:sz="0" w:space="0" w:color="auto"/>
        <w:left w:val="none" w:sz="0" w:space="0" w:color="auto"/>
        <w:bottom w:val="none" w:sz="0" w:space="0" w:color="auto"/>
        <w:right w:val="none" w:sz="0" w:space="0" w:color="auto"/>
      </w:divBdr>
    </w:div>
    <w:div w:id="1335524033">
      <w:bodyDiv w:val="1"/>
      <w:marLeft w:val="0"/>
      <w:marRight w:val="0"/>
      <w:marTop w:val="0"/>
      <w:marBottom w:val="0"/>
      <w:divBdr>
        <w:top w:val="none" w:sz="0" w:space="0" w:color="auto"/>
        <w:left w:val="none" w:sz="0" w:space="0" w:color="auto"/>
        <w:bottom w:val="none" w:sz="0" w:space="0" w:color="auto"/>
        <w:right w:val="none" w:sz="0" w:space="0" w:color="auto"/>
      </w:divBdr>
    </w:div>
    <w:div w:id="1335567096">
      <w:bodyDiv w:val="1"/>
      <w:marLeft w:val="0"/>
      <w:marRight w:val="0"/>
      <w:marTop w:val="0"/>
      <w:marBottom w:val="0"/>
      <w:divBdr>
        <w:top w:val="none" w:sz="0" w:space="0" w:color="auto"/>
        <w:left w:val="none" w:sz="0" w:space="0" w:color="auto"/>
        <w:bottom w:val="none" w:sz="0" w:space="0" w:color="auto"/>
        <w:right w:val="none" w:sz="0" w:space="0" w:color="auto"/>
      </w:divBdr>
    </w:div>
    <w:div w:id="1335575453">
      <w:bodyDiv w:val="1"/>
      <w:marLeft w:val="0"/>
      <w:marRight w:val="0"/>
      <w:marTop w:val="0"/>
      <w:marBottom w:val="0"/>
      <w:divBdr>
        <w:top w:val="none" w:sz="0" w:space="0" w:color="auto"/>
        <w:left w:val="none" w:sz="0" w:space="0" w:color="auto"/>
        <w:bottom w:val="none" w:sz="0" w:space="0" w:color="auto"/>
        <w:right w:val="none" w:sz="0" w:space="0" w:color="auto"/>
      </w:divBdr>
    </w:div>
    <w:div w:id="1335761197">
      <w:bodyDiv w:val="1"/>
      <w:marLeft w:val="0"/>
      <w:marRight w:val="0"/>
      <w:marTop w:val="0"/>
      <w:marBottom w:val="0"/>
      <w:divBdr>
        <w:top w:val="none" w:sz="0" w:space="0" w:color="auto"/>
        <w:left w:val="none" w:sz="0" w:space="0" w:color="auto"/>
        <w:bottom w:val="none" w:sz="0" w:space="0" w:color="auto"/>
        <w:right w:val="none" w:sz="0" w:space="0" w:color="auto"/>
      </w:divBdr>
    </w:div>
    <w:div w:id="1336105819">
      <w:bodyDiv w:val="1"/>
      <w:marLeft w:val="0"/>
      <w:marRight w:val="0"/>
      <w:marTop w:val="0"/>
      <w:marBottom w:val="0"/>
      <w:divBdr>
        <w:top w:val="none" w:sz="0" w:space="0" w:color="auto"/>
        <w:left w:val="none" w:sz="0" w:space="0" w:color="auto"/>
        <w:bottom w:val="none" w:sz="0" w:space="0" w:color="auto"/>
        <w:right w:val="none" w:sz="0" w:space="0" w:color="auto"/>
      </w:divBdr>
    </w:div>
    <w:div w:id="1336111264">
      <w:bodyDiv w:val="1"/>
      <w:marLeft w:val="0"/>
      <w:marRight w:val="0"/>
      <w:marTop w:val="0"/>
      <w:marBottom w:val="0"/>
      <w:divBdr>
        <w:top w:val="none" w:sz="0" w:space="0" w:color="auto"/>
        <w:left w:val="none" w:sz="0" w:space="0" w:color="auto"/>
        <w:bottom w:val="none" w:sz="0" w:space="0" w:color="auto"/>
        <w:right w:val="none" w:sz="0" w:space="0" w:color="auto"/>
      </w:divBdr>
    </w:div>
    <w:div w:id="1336113123">
      <w:bodyDiv w:val="1"/>
      <w:marLeft w:val="0"/>
      <w:marRight w:val="0"/>
      <w:marTop w:val="0"/>
      <w:marBottom w:val="0"/>
      <w:divBdr>
        <w:top w:val="none" w:sz="0" w:space="0" w:color="auto"/>
        <w:left w:val="none" w:sz="0" w:space="0" w:color="auto"/>
        <w:bottom w:val="none" w:sz="0" w:space="0" w:color="auto"/>
        <w:right w:val="none" w:sz="0" w:space="0" w:color="auto"/>
      </w:divBdr>
    </w:div>
    <w:div w:id="1336152008">
      <w:bodyDiv w:val="1"/>
      <w:marLeft w:val="0"/>
      <w:marRight w:val="0"/>
      <w:marTop w:val="0"/>
      <w:marBottom w:val="0"/>
      <w:divBdr>
        <w:top w:val="none" w:sz="0" w:space="0" w:color="auto"/>
        <w:left w:val="none" w:sz="0" w:space="0" w:color="auto"/>
        <w:bottom w:val="none" w:sz="0" w:space="0" w:color="auto"/>
        <w:right w:val="none" w:sz="0" w:space="0" w:color="auto"/>
      </w:divBdr>
    </w:div>
    <w:div w:id="1336306416">
      <w:bodyDiv w:val="1"/>
      <w:marLeft w:val="0"/>
      <w:marRight w:val="0"/>
      <w:marTop w:val="0"/>
      <w:marBottom w:val="0"/>
      <w:divBdr>
        <w:top w:val="none" w:sz="0" w:space="0" w:color="auto"/>
        <w:left w:val="none" w:sz="0" w:space="0" w:color="auto"/>
        <w:bottom w:val="none" w:sz="0" w:space="0" w:color="auto"/>
        <w:right w:val="none" w:sz="0" w:space="0" w:color="auto"/>
      </w:divBdr>
    </w:div>
    <w:div w:id="1336495396">
      <w:bodyDiv w:val="1"/>
      <w:marLeft w:val="0"/>
      <w:marRight w:val="0"/>
      <w:marTop w:val="0"/>
      <w:marBottom w:val="0"/>
      <w:divBdr>
        <w:top w:val="none" w:sz="0" w:space="0" w:color="auto"/>
        <w:left w:val="none" w:sz="0" w:space="0" w:color="auto"/>
        <w:bottom w:val="none" w:sz="0" w:space="0" w:color="auto"/>
        <w:right w:val="none" w:sz="0" w:space="0" w:color="auto"/>
      </w:divBdr>
    </w:div>
    <w:div w:id="1336568892">
      <w:bodyDiv w:val="1"/>
      <w:marLeft w:val="0"/>
      <w:marRight w:val="0"/>
      <w:marTop w:val="0"/>
      <w:marBottom w:val="0"/>
      <w:divBdr>
        <w:top w:val="none" w:sz="0" w:space="0" w:color="auto"/>
        <w:left w:val="none" w:sz="0" w:space="0" w:color="auto"/>
        <w:bottom w:val="none" w:sz="0" w:space="0" w:color="auto"/>
        <w:right w:val="none" w:sz="0" w:space="0" w:color="auto"/>
      </w:divBdr>
    </w:div>
    <w:div w:id="1336571546">
      <w:bodyDiv w:val="1"/>
      <w:marLeft w:val="0"/>
      <w:marRight w:val="0"/>
      <w:marTop w:val="0"/>
      <w:marBottom w:val="0"/>
      <w:divBdr>
        <w:top w:val="none" w:sz="0" w:space="0" w:color="auto"/>
        <w:left w:val="none" w:sz="0" w:space="0" w:color="auto"/>
        <w:bottom w:val="none" w:sz="0" w:space="0" w:color="auto"/>
        <w:right w:val="none" w:sz="0" w:space="0" w:color="auto"/>
      </w:divBdr>
    </w:div>
    <w:div w:id="1336612265">
      <w:bodyDiv w:val="1"/>
      <w:marLeft w:val="0"/>
      <w:marRight w:val="0"/>
      <w:marTop w:val="0"/>
      <w:marBottom w:val="0"/>
      <w:divBdr>
        <w:top w:val="none" w:sz="0" w:space="0" w:color="auto"/>
        <w:left w:val="none" w:sz="0" w:space="0" w:color="auto"/>
        <w:bottom w:val="none" w:sz="0" w:space="0" w:color="auto"/>
        <w:right w:val="none" w:sz="0" w:space="0" w:color="auto"/>
      </w:divBdr>
    </w:div>
    <w:div w:id="1336690219">
      <w:bodyDiv w:val="1"/>
      <w:marLeft w:val="0"/>
      <w:marRight w:val="0"/>
      <w:marTop w:val="0"/>
      <w:marBottom w:val="0"/>
      <w:divBdr>
        <w:top w:val="none" w:sz="0" w:space="0" w:color="auto"/>
        <w:left w:val="none" w:sz="0" w:space="0" w:color="auto"/>
        <w:bottom w:val="none" w:sz="0" w:space="0" w:color="auto"/>
        <w:right w:val="none" w:sz="0" w:space="0" w:color="auto"/>
      </w:divBdr>
    </w:div>
    <w:div w:id="1336767153">
      <w:bodyDiv w:val="1"/>
      <w:marLeft w:val="0"/>
      <w:marRight w:val="0"/>
      <w:marTop w:val="0"/>
      <w:marBottom w:val="0"/>
      <w:divBdr>
        <w:top w:val="none" w:sz="0" w:space="0" w:color="auto"/>
        <w:left w:val="none" w:sz="0" w:space="0" w:color="auto"/>
        <w:bottom w:val="none" w:sz="0" w:space="0" w:color="auto"/>
        <w:right w:val="none" w:sz="0" w:space="0" w:color="auto"/>
      </w:divBdr>
    </w:div>
    <w:div w:id="1336810945">
      <w:bodyDiv w:val="1"/>
      <w:marLeft w:val="0"/>
      <w:marRight w:val="0"/>
      <w:marTop w:val="0"/>
      <w:marBottom w:val="0"/>
      <w:divBdr>
        <w:top w:val="none" w:sz="0" w:space="0" w:color="auto"/>
        <w:left w:val="none" w:sz="0" w:space="0" w:color="auto"/>
        <w:bottom w:val="none" w:sz="0" w:space="0" w:color="auto"/>
        <w:right w:val="none" w:sz="0" w:space="0" w:color="auto"/>
      </w:divBdr>
    </w:div>
    <w:div w:id="1336877202">
      <w:bodyDiv w:val="1"/>
      <w:marLeft w:val="0"/>
      <w:marRight w:val="0"/>
      <w:marTop w:val="0"/>
      <w:marBottom w:val="0"/>
      <w:divBdr>
        <w:top w:val="none" w:sz="0" w:space="0" w:color="auto"/>
        <w:left w:val="none" w:sz="0" w:space="0" w:color="auto"/>
        <w:bottom w:val="none" w:sz="0" w:space="0" w:color="auto"/>
        <w:right w:val="none" w:sz="0" w:space="0" w:color="auto"/>
      </w:divBdr>
    </w:div>
    <w:div w:id="1336879951">
      <w:bodyDiv w:val="1"/>
      <w:marLeft w:val="0"/>
      <w:marRight w:val="0"/>
      <w:marTop w:val="0"/>
      <w:marBottom w:val="0"/>
      <w:divBdr>
        <w:top w:val="none" w:sz="0" w:space="0" w:color="auto"/>
        <w:left w:val="none" w:sz="0" w:space="0" w:color="auto"/>
        <w:bottom w:val="none" w:sz="0" w:space="0" w:color="auto"/>
        <w:right w:val="none" w:sz="0" w:space="0" w:color="auto"/>
      </w:divBdr>
    </w:div>
    <w:div w:id="1336885154">
      <w:bodyDiv w:val="1"/>
      <w:marLeft w:val="0"/>
      <w:marRight w:val="0"/>
      <w:marTop w:val="0"/>
      <w:marBottom w:val="0"/>
      <w:divBdr>
        <w:top w:val="none" w:sz="0" w:space="0" w:color="auto"/>
        <w:left w:val="none" w:sz="0" w:space="0" w:color="auto"/>
        <w:bottom w:val="none" w:sz="0" w:space="0" w:color="auto"/>
        <w:right w:val="none" w:sz="0" w:space="0" w:color="auto"/>
      </w:divBdr>
    </w:div>
    <w:div w:id="1336958424">
      <w:bodyDiv w:val="1"/>
      <w:marLeft w:val="0"/>
      <w:marRight w:val="0"/>
      <w:marTop w:val="0"/>
      <w:marBottom w:val="0"/>
      <w:divBdr>
        <w:top w:val="none" w:sz="0" w:space="0" w:color="auto"/>
        <w:left w:val="none" w:sz="0" w:space="0" w:color="auto"/>
        <w:bottom w:val="none" w:sz="0" w:space="0" w:color="auto"/>
        <w:right w:val="none" w:sz="0" w:space="0" w:color="auto"/>
      </w:divBdr>
    </w:div>
    <w:div w:id="1337032162">
      <w:bodyDiv w:val="1"/>
      <w:marLeft w:val="0"/>
      <w:marRight w:val="0"/>
      <w:marTop w:val="0"/>
      <w:marBottom w:val="0"/>
      <w:divBdr>
        <w:top w:val="none" w:sz="0" w:space="0" w:color="auto"/>
        <w:left w:val="none" w:sz="0" w:space="0" w:color="auto"/>
        <w:bottom w:val="none" w:sz="0" w:space="0" w:color="auto"/>
        <w:right w:val="none" w:sz="0" w:space="0" w:color="auto"/>
      </w:divBdr>
    </w:div>
    <w:div w:id="1337075909">
      <w:bodyDiv w:val="1"/>
      <w:marLeft w:val="0"/>
      <w:marRight w:val="0"/>
      <w:marTop w:val="0"/>
      <w:marBottom w:val="0"/>
      <w:divBdr>
        <w:top w:val="none" w:sz="0" w:space="0" w:color="auto"/>
        <w:left w:val="none" w:sz="0" w:space="0" w:color="auto"/>
        <w:bottom w:val="none" w:sz="0" w:space="0" w:color="auto"/>
        <w:right w:val="none" w:sz="0" w:space="0" w:color="auto"/>
      </w:divBdr>
    </w:div>
    <w:div w:id="1337076802">
      <w:bodyDiv w:val="1"/>
      <w:marLeft w:val="0"/>
      <w:marRight w:val="0"/>
      <w:marTop w:val="0"/>
      <w:marBottom w:val="0"/>
      <w:divBdr>
        <w:top w:val="none" w:sz="0" w:space="0" w:color="auto"/>
        <w:left w:val="none" w:sz="0" w:space="0" w:color="auto"/>
        <w:bottom w:val="none" w:sz="0" w:space="0" w:color="auto"/>
        <w:right w:val="none" w:sz="0" w:space="0" w:color="auto"/>
      </w:divBdr>
    </w:div>
    <w:div w:id="1337264614">
      <w:bodyDiv w:val="1"/>
      <w:marLeft w:val="0"/>
      <w:marRight w:val="0"/>
      <w:marTop w:val="0"/>
      <w:marBottom w:val="0"/>
      <w:divBdr>
        <w:top w:val="none" w:sz="0" w:space="0" w:color="auto"/>
        <w:left w:val="none" w:sz="0" w:space="0" w:color="auto"/>
        <w:bottom w:val="none" w:sz="0" w:space="0" w:color="auto"/>
        <w:right w:val="none" w:sz="0" w:space="0" w:color="auto"/>
      </w:divBdr>
    </w:div>
    <w:div w:id="1337268074">
      <w:bodyDiv w:val="1"/>
      <w:marLeft w:val="0"/>
      <w:marRight w:val="0"/>
      <w:marTop w:val="0"/>
      <w:marBottom w:val="0"/>
      <w:divBdr>
        <w:top w:val="none" w:sz="0" w:space="0" w:color="auto"/>
        <w:left w:val="none" w:sz="0" w:space="0" w:color="auto"/>
        <w:bottom w:val="none" w:sz="0" w:space="0" w:color="auto"/>
        <w:right w:val="none" w:sz="0" w:space="0" w:color="auto"/>
      </w:divBdr>
    </w:div>
    <w:div w:id="1337269197">
      <w:bodyDiv w:val="1"/>
      <w:marLeft w:val="0"/>
      <w:marRight w:val="0"/>
      <w:marTop w:val="0"/>
      <w:marBottom w:val="0"/>
      <w:divBdr>
        <w:top w:val="none" w:sz="0" w:space="0" w:color="auto"/>
        <w:left w:val="none" w:sz="0" w:space="0" w:color="auto"/>
        <w:bottom w:val="none" w:sz="0" w:space="0" w:color="auto"/>
        <w:right w:val="none" w:sz="0" w:space="0" w:color="auto"/>
      </w:divBdr>
    </w:div>
    <w:div w:id="1337345368">
      <w:bodyDiv w:val="1"/>
      <w:marLeft w:val="0"/>
      <w:marRight w:val="0"/>
      <w:marTop w:val="0"/>
      <w:marBottom w:val="0"/>
      <w:divBdr>
        <w:top w:val="none" w:sz="0" w:space="0" w:color="auto"/>
        <w:left w:val="none" w:sz="0" w:space="0" w:color="auto"/>
        <w:bottom w:val="none" w:sz="0" w:space="0" w:color="auto"/>
        <w:right w:val="none" w:sz="0" w:space="0" w:color="auto"/>
      </w:divBdr>
    </w:div>
    <w:div w:id="1337416708">
      <w:bodyDiv w:val="1"/>
      <w:marLeft w:val="0"/>
      <w:marRight w:val="0"/>
      <w:marTop w:val="0"/>
      <w:marBottom w:val="0"/>
      <w:divBdr>
        <w:top w:val="none" w:sz="0" w:space="0" w:color="auto"/>
        <w:left w:val="none" w:sz="0" w:space="0" w:color="auto"/>
        <w:bottom w:val="none" w:sz="0" w:space="0" w:color="auto"/>
        <w:right w:val="none" w:sz="0" w:space="0" w:color="auto"/>
      </w:divBdr>
    </w:div>
    <w:div w:id="1337421644">
      <w:bodyDiv w:val="1"/>
      <w:marLeft w:val="0"/>
      <w:marRight w:val="0"/>
      <w:marTop w:val="0"/>
      <w:marBottom w:val="0"/>
      <w:divBdr>
        <w:top w:val="none" w:sz="0" w:space="0" w:color="auto"/>
        <w:left w:val="none" w:sz="0" w:space="0" w:color="auto"/>
        <w:bottom w:val="none" w:sz="0" w:space="0" w:color="auto"/>
        <w:right w:val="none" w:sz="0" w:space="0" w:color="auto"/>
      </w:divBdr>
    </w:div>
    <w:div w:id="1337462959">
      <w:bodyDiv w:val="1"/>
      <w:marLeft w:val="0"/>
      <w:marRight w:val="0"/>
      <w:marTop w:val="0"/>
      <w:marBottom w:val="0"/>
      <w:divBdr>
        <w:top w:val="none" w:sz="0" w:space="0" w:color="auto"/>
        <w:left w:val="none" w:sz="0" w:space="0" w:color="auto"/>
        <w:bottom w:val="none" w:sz="0" w:space="0" w:color="auto"/>
        <w:right w:val="none" w:sz="0" w:space="0" w:color="auto"/>
      </w:divBdr>
    </w:div>
    <w:div w:id="1337612093">
      <w:bodyDiv w:val="1"/>
      <w:marLeft w:val="0"/>
      <w:marRight w:val="0"/>
      <w:marTop w:val="0"/>
      <w:marBottom w:val="0"/>
      <w:divBdr>
        <w:top w:val="none" w:sz="0" w:space="0" w:color="auto"/>
        <w:left w:val="none" w:sz="0" w:space="0" w:color="auto"/>
        <w:bottom w:val="none" w:sz="0" w:space="0" w:color="auto"/>
        <w:right w:val="none" w:sz="0" w:space="0" w:color="auto"/>
      </w:divBdr>
    </w:div>
    <w:div w:id="1337659302">
      <w:bodyDiv w:val="1"/>
      <w:marLeft w:val="0"/>
      <w:marRight w:val="0"/>
      <w:marTop w:val="0"/>
      <w:marBottom w:val="0"/>
      <w:divBdr>
        <w:top w:val="none" w:sz="0" w:space="0" w:color="auto"/>
        <w:left w:val="none" w:sz="0" w:space="0" w:color="auto"/>
        <w:bottom w:val="none" w:sz="0" w:space="0" w:color="auto"/>
        <w:right w:val="none" w:sz="0" w:space="0" w:color="auto"/>
      </w:divBdr>
    </w:div>
    <w:div w:id="1337730448">
      <w:bodyDiv w:val="1"/>
      <w:marLeft w:val="0"/>
      <w:marRight w:val="0"/>
      <w:marTop w:val="0"/>
      <w:marBottom w:val="0"/>
      <w:divBdr>
        <w:top w:val="none" w:sz="0" w:space="0" w:color="auto"/>
        <w:left w:val="none" w:sz="0" w:space="0" w:color="auto"/>
        <w:bottom w:val="none" w:sz="0" w:space="0" w:color="auto"/>
        <w:right w:val="none" w:sz="0" w:space="0" w:color="auto"/>
      </w:divBdr>
    </w:div>
    <w:div w:id="1337925392">
      <w:bodyDiv w:val="1"/>
      <w:marLeft w:val="0"/>
      <w:marRight w:val="0"/>
      <w:marTop w:val="0"/>
      <w:marBottom w:val="0"/>
      <w:divBdr>
        <w:top w:val="none" w:sz="0" w:space="0" w:color="auto"/>
        <w:left w:val="none" w:sz="0" w:space="0" w:color="auto"/>
        <w:bottom w:val="none" w:sz="0" w:space="0" w:color="auto"/>
        <w:right w:val="none" w:sz="0" w:space="0" w:color="auto"/>
      </w:divBdr>
    </w:div>
    <w:div w:id="1338079048">
      <w:bodyDiv w:val="1"/>
      <w:marLeft w:val="0"/>
      <w:marRight w:val="0"/>
      <w:marTop w:val="0"/>
      <w:marBottom w:val="0"/>
      <w:divBdr>
        <w:top w:val="none" w:sz="0" w:space="0" w:color="auto"/>
        <w:left w:val="none" w:sz="0" w:space="0" w:color="auto"/>
        <w:bottom w:val="none" w:sz="0" w:space="0" w:color="auto"/>
        <w:right w:val="none" w:sz="0" w:space="0" w:color="auto"/>
      </w:divBdr>
    </w:div>
    <w:div w:id="1338115064">
      <w:bodyDiv w:val="1"/>
      <w:marLeft w:val="0"/>
      <w:marRight w:val="0"/>
      <w:marTop w:val="0"/>
      <w:marBottom w:val="0"/>
      <w:divBdr>
        <w:top w:val="none" w:sz="0" w:space="0" w:color="auto"/>
        <w:left w:val="none" w:sz="0" w:space="0" w:color="auto"/>
        <w:bottom w:val="none" w:sz="0" w:space="0" w:color="auto"/>
        <w:right w:val="none" w:sz="0" w:space="0" w:color="auto"/>
      </w:divBdr>
    </w:div>
    <w:div w:id="1338119340">
      <w:bodyDiv w:val="1"/>
      <w:marLeft w:val="0"/>
      <w:marRight w:val="0"/>
      <w:marTop w:val="0"/>
      <w:marBottom w:val="0"/>
      <w:divBdr>
        <w:top w:val="none" w:sz="0" w:space="0" w:color="auto"/>
        <w:left w:val="none" w:sz="0" w:space="0" w:color="auto"/>
        <w:bottom w:val="none" w:sz="0" w:space="0" w:color="auto"/>
        <w:right w:val="none" w:sz="0" w:space="0" w:color="auto"/>
      </w:divBdr>
    </w:div>
    <w:div w:id="1338263715">
      <w:bodyDiv w:val="1"/>
      <w:marLeft w:val="0"/>
      <w:marRight w:val="0"/>
      <w:marTop w:val="0"/>
      <w:marBottom w:val="0"/>
      <w:divBdr>
        <w:top w:val="none" w:sz="0" w:space="0" w:color="auto"/>
        <w:left w:val="none" w:sz="0" w:space="0" w:color="auto"/>
        <w:bottom w:val="none" w:sz="0" w:space="0" w:color="auto"/>
        <w:right w:val="none" w:sz="0" w:space="0" w:color="auto"/>
      </w:divBdr>
    </w:div>
    <w:div w:id="1338267912">
      <w:bodyDiv w:val="1"/>
      <w:marLeft w:val="0"/>
      <w:marRight w:val="0"/>
      <w:marTop w:val="0"/>
      <w:marBottom w:val="0"/>
      <w:divBdr>
        <w:top w:val="none" w:sz="0" w:space="0" w:color="auto"/>
        <w:left w:val="none" w:sz="0" w:space="0" w:color="auto"/>
        <w:bottom w:val="none" w:sz="0" w:space="0" w:color="auto"/>
        <w:right w:val="none" w:sz="0" w:space="0" w:color="auto"/>
      </w:divBdr>
    </w:div>
    <w:div w:id="1338269813">
      <w:bodyDiv w:val="1"/>
      <w:marLeft w:val="0"/>
      <w:marRight w:val="0"/>
      <w:marTop w:val="0"/>
      <w:marBottom w:val="0"/>
      <w:divBdr>
        <w:top w:val="none" w:sz="0" w:space="0" w:color="auto"/>
        <w:left w:val="none" w:sz="0" w:space="0" w:color="auto"/>
        <w:bottom w:val="none" w:sz="0" w:space="0" w:color="auto"/>
        <w:right w:val="none" w:sz="0" w:space="0" w:color="auto"/>
      </w:divBdr>
    </w:div>
    <w:div w:id="1338339764">
      <w:bodyDiv w:val="1"/>
      <w:marLeft w:val="0"/>
      <w:marRight w:val="0"/>
      <w:marTop w:val="0"/>
      <w:marBottom w:val="0"/>
      <w:divBdr>
        <w:top w:val="none" w:sz="0" w:space="0" w:color="auto"/>
        <w:left w:val="none" w:sz="0" w:space="0" w:color="auto"/>
        <w:bottom w:val="none" w:sz="0" w:space="0" w:color="auto"/>
        <w:right w:val="none" w:sz="0" w:space="0" w:color="auto"/>
      </w:divBdr>
    </w:div>
    <w:div w:id="1338507356">
      <w:bodyDiv w:val="1"/>
      <w:marLeft w:val="0"/>
      <w:marRight w:val="0"/>
      <w:marTop w:val="0"/>
      <w:marBottom w:val="0"/>
      <w:divBdr>
        <w:top w:val="none" w:sz="0" w:space="0" w:color="auto"/>
        <w:left w:val="none" w:sz="0" w:space="0" w:color="auto"/>
        <w:bottom w:val="none" w:sz="0" w:space="0" w:color="auto"/>
        <w:right w:val="none" w:sz="0" w:space="0" w:color="auto"/>
      </w:divBdr>
    </w:div>
    <w:div w:id="1338730961">
      <w:bodyDiv w:val="1"/>
      <w:marLeft w:val="0"/>
      <w:marRight w:val="0"/>
      <w:marTop w:val="0"/>
      <w:marBottom w:val="0"/>
      <w:divBdr>
        <w:top w:val="none" w:sz="0" w:space="0" w:color="auto"/>
        <w:left w:val="none" w:sz="0" w:space="0" w:color="auto"/>
        <w:bottom w:val="none" w:sz="0" w:space="0" w:color="auto"/>
        <w:right w:val="none" w:sz="0" w:space="0" w:color="auto"/>
      </w:divBdr>
    </w:div>
    <w:div w:id="1338923033">
      <w:bodyDiv w:val="1"/>
      <w:marLeft w:val="0"/>
      <w:marRight w:val="0"/>
      <w:marTop w:val="0"/>
      <w:marBottom w:val="0"/>
      <w:divBdr>
        <w:top w:val="none" w:sz="0" w:space="0" w:color="auto"/>
        <w:left w:val="none" w:sz="0" w:space="0" w:color="auto"/>
        <w:bottom w:val="none" w:sz="0" w:space="0" w:color="auto"/>
        <w:right w:val="none" w:sz="0" w:space="0" w:color="auto"/>
      </w:divBdr>
    </w:div>
    <w:div w:id="1338967586">
      <w:bodyDiv w:val="1"/>
      <w:marLeft w:val="0"/>
      <w:marRight w:val="0"/>
      <w:marTop w:val="0"/>
      <w:marBottom w:val="0"/>
      <w:divBdr>
        <w:top w:val="none" w:sz="0" w:space="0" w:color="auto"/>
        <w:left w:val="none" w:sz="0" w:space="0" w:color="auto"/>
        <w:bottom w:val="none" w:sz="0" w:space="0" w:color="auto"/>
        <w:right w:val="none" w:sz="0" w:space="0" w:color="auto"/>
      </w:divBdr>
    </w:div>
    <w:div w:id="1339039052">
      <w:bodyDiv w:val="1"/>
      <w:marLeft w:val="0"/>
      <w:marRight w:val="0"/>
      <w:marTop w:val="0"/>
      <w:marBottom w:val="0"/>
      <w:divBdr>
        <w:top w:val="none" w:sz="0" w:space="0" w:color="auto"/>
        <w:left w:val="none" w:sz="0" w:space="0" w:color="auto"/>
        <w:bottom w:val="none" w:sz="0" w:space="0" w:color="auto"/>
        <w:right w:val="none" w:sz="0" w:space="0" w:color="auto"/>
      </w:divBdr>
    </w:div>
    <w:div w:id="1339232199">
      <w:bodyDiv w:val="1"/>
      <w:marLeft w:val="0"/>
      <w:marRight w:val="0"/>
      <w:marTop w:val="0"/>
      <w:marBottom w:val="0"/>
      <w:divBdr>
        <w:top w:val="none" w:sz="0" w:space="0" w:color="auto"/>
        <w:left w:val="none" w:sz="0" w:space="0" w:color="auto"/>
        <w:bottom w:val="none" w:sz="0" w:space="0" w:color="auto"/>
        <w:right w:val="none" w:sz="0" w:space="0" w:color="auto"/>
      </w:divBdr>
    </w:div>
    <w:div w:id="1339380121">
      <w:bodyDiv w:val="1"/>
      <w:marLeft w:val="0"/>
      <w:marRight w:val="0"/>
      <w:marTop w:val="0"/>
      <w:marBottom w:val="0"/>
      <w:divBdr>
        <w:top w:val="none" w:sz="0" w:space="0" w:color="auto"/>
        <w:left w:val="none" w:sz="0" w:space="0" w:color="auto"/>
        <w:bottom w:val="none" w:sz="0" w:space="0" w:color="auto"/>
        <w:right w:val="none" w:sz="0" w:space="0" w:color="auto"/>
      </w:divBdr>
    </w:div>
    <w:div w:id="1339430027">
      <w:bodyDiv w:val="1"/>
      <w:marLeft w:val="0"/>
      <w:marRight w:val="0"/>
      <w:marTop w:val="0"/>
      <w:marBottom w:val="0"/>
      <w:divBdr>
        <w:top w:val="none" w:sz="0" w:space="0" w:color="auto"/>
        <w:left w:val="none" w:sz="0" w:space="0" w:color="auto"/>
        <w:bottom w:val="none" w:sz="0" w:space="0" w:color="auto"/>
        <w:right w:val="none" w:sz="0" w:space="0" w:color="auto"/>
      </w:divBdr>
    </w:div>
    <w:div w:id="1339579912">
      <w:bodyDiv w:val="1"/>
      <w:marLeft w:val="0"/>
      <w:marRight w:val="0"/>
      <w:marTop w:val="0"/>
      <w:marBottom w:val="0"/>
      <w:divBdr>
        <w:top w:val="none" w:sz="0" w:space="0" w:color="auto"/>
        <w:left w:val="none" w:sz="0" w:space="0" w:color="auto"/>
        <w:bottom w:val="none" w:sz="0" w:space="0" w:color="auto"/>
        <w:right w:val="none" w:sz="0" w:space="0" w:color="auto"/>
      </w:divBdr>
    </w:div>
    <w:div w:id="1339581014">
      <w:bodyDiv w:val="1"/>
      <w:marLeft w:val="0"/>
      <w:marRight w:val="0"/>
      <w:marTop w:val="0"/>
      <w:marBottom w:val="0"/>
      <w:divBdr>
        <w:top w:val="none" w:sz="0" w:space="0" w:color="auto"/>
        <w:left w:val="none" w:sz="0" w:space="0" w:color="auto"/>
        <w:bottom w:val="none" w:sz="0" w:space="0" w:color="auto"/>
        <w:right w:val="none" w:sz="0" w:space="0" w:color="auto"/>
      </w:divBdr>
    </w:div>
    <w:div w:id="1339582311">
      <w:bodyDiv w:val="1"/>
      <w:marLeft w:val="0"/>
      <w:marRight w:val="0"/>
      <w:marTop w:val="0"/>
      <w:marBottom w:val="0"/>
      <w:divBdr>
        <w:top w:val="none" w:sz="0" w:space="0" w:color="auto"/>
        <w:left w:val="none" w:sz="0" w:space="0" w:color="auto"/>
        <w:bottom w:val="none" w:sz="0" w:space="0" w:color="auto"/>
        <w:right w:val="none" w:sz="0" w:space="0" w:color="auto"/>
      </w:divBdr>
    </w:div>
    <w:div w:id="1339652132">
      <w:bodyDiv w:val="1"/>
      <w:marLeft w:val="0"/>
      <w:marRight w:val="0"/>
      <w:marTop w:val="0"/>
      <w:marBottom w:val="0"/>
      <w:divBdr>
        <w:top w:val="none" w:sz="0" w:space="0" w:color="auto"/>
        <w:left w:val="none" w:sz="0" w:space="0" w:color="auto"/>
        <w:bottom w:val="none" w:sz="0" w:space="0" w:color="auto"/>
        <w:right w:val="none" w:sz="0" w:space="0" w:color="auto"/>
      </w:divBdr>
    </w:div>
    <w:div w:id="1339699522">
      <w:bodyDiv w:val="1"/>
      <w:marLeft w:val="0"/>
      <w:marRight w:val="0"/>
      <w:marTop w:val="0"/>
      <w:marBottom w:val="0"/>
      <w:divBdr>
        <w:top w:val="none" w:sz="0" w:space="0" w:color="auto"/>
        <w:left w:val="none" w:sz="0" w:space="0" w:color="auto"/>
        <w:bottom w:val="none" w:sz="0" w:space="0" w:color="auto"/>
        <w:right w:val="none" w:sz="0" w:space="0" w:color="auto"/>
      </w:divBdr>
    </w:div>
    <w:div w:id="1339767211">
      <w:bodyDiv w:val="1"/>
      <w:marLeft w:val="0"/>
      <w:marRight w:val="0"/>
      <w:marTop w:val="0"/>
      <w:marBottom w:val="0"/>
      <w:divBdr>
        <w:top w:val="none" w:sz="0" w:space="0" w:color="auto"/>
        <w:left w:val="none" w:sz="0" w:space="0" w:color="auto"/>
        <w:bottom w:val="none" w:sz="0" w:space="0" w:color="auto"/>
        <w:right w:val="none" w:sz="0" w:space="0" w:color="auto"/>
      </w:divBdr>
    </w:div>
    <w:div w:id="1339775158">
      <w:bodyDiv w:val="1"/>
      <w:marLeft w:val="0"/>
      <w:marRight w:val="0"/>
      <w:marTop w:val="0"/>
      <w:marBottom w:val="0"/>
      <w:divBdr>
        <w:top w:val="none" w:sz="0" w:space="0" w:color="auto"/>
        <w:left w:val="none" w:sz="0" w:space="0" w:color="auto"/>
        <w:bottom w:val="none" w:sz="0" w:space="0" w:color="auto"/>
        <w:right w:val="none" w:sz="0" w:space="0" w:color="auto"/>
      </w:divBdr>
    </w:div>
    <w:div w:id="1339960817">
      <w:bodyDiv w:val="1"/>
      <w:marLeft w:val="0"/>
      <w:marRight w:val="0"/>
      <w:marTop w:val="0"/>
      <w:marBottom w:val="0"/>
      <w:divBdr>
        <w:top w:val="none" w:sz="0" w:space="0" w:color="auto"/>
        <w:left w:val="none" w:sz="0" w:space="0" w:color="auto"/>
        <w:bottom w:val="none" w:sz="0" w:space="0" w:color="auto"/>
        <w:right w:val="none" w:sz="0" w:space="0" w:color="auto"/>
      </w:divBdr>
    </w:div>
    <w:div w:id="1339969105">
      <w:bodyDiv w:val="1"/>
      <w:marLeft w:val="0"/>
      <w:marRight w:val="0"/>
      <w:marTop w:val="0"/>
      <w:marBottom w:val="0"/>
      <w:divBdr>
        <w:top w:val="none" w:sz="0" w:space="0" w:color="auto"/>
        <w:left w:val="none" w:sz="0" w:space="0" w:color="auto"/>
        <w:bottom w:val="none" w:sz="0" w:space="0" w:color="auto"/>
        <w:right w:val="none" w:sz="0" w:space="0" w:color="auto"/>
      </w:divBdr>
    </w:div>
    <w:div w:id="1340080474">
      <w:bodyDiv w:val="1"/>
      <w:marLeft w:val="0"/>
      <w:marRight w:val="0"/>
      <w:marTop w:val="0"/>
      <w:marBottom w:val="0"/>
      <w:divBdr>
        <w:top w:val="none" w:sz="0" w:space="0" w:color="auto"/>
        <w:left w:val="none" w:sz="0" w:space="0" w:color="auto"/>
        <w:bottom w:val="none" w:sz="0" w:space="0" w:color="auto"/>
        <w:right w:val="none" w:sz="0" w:space="0" w:color="auto"/>
      </w:divBdr>
    </w:div>
    <w:div w:id="1340084254">
      <w:bodyDiv w:val="1"/>
      <w:marLeft w:val="0"/>
      <w:marRight w:val="0"/>
      <w:marTop w:val="0"/>
      <w:marBottom w:val="0"/>
      <w:divBdr>
        <w:top w:val="none" w:sz="0" w:space="0" w:color="auto"/>
        <w:left w:val="none" w:sz="0" w:space="0" w:color="auto"/>
        <w:bottom w:val="none" w:sz="0" w:space="0" w:color="auto"/>
        <w:right w:val="none" w:sz="0" w:space="0" w:color="auto"/>
      </w:divBdr>
    </w:div>
    <w:div w:id="1340158727">
      <w:bodyDiv w:val="1"/>
      <w:marLeft w:val="0"/>
      <w:marRight w:val="0"/>
      <w:marTop w:val="0"/>
      <w:marBottom w:val="0"/>
      <w:divBdr>
        <w:top w:val="none" w:sz="0" w:space="0" w:color="auto"/>
        <w:left w:val="none" w:sz="0" w:space="0" w:color="auto"/>
        <w:bottom w:val="none" w:sz="0" w:space="0" w:color="auto"/>
        <w:right w:val="none" w:sz="0" w:space="0" w:color="auto"/>
      </w:divBdr>
    </w:div>
    <w:div w:id="1340235878">
      <w:bodyDiv w:val="1"/>
      <w:marLeft w:val="0"/>
      <w:marRight w:val="0"/>
      <w:marTop w:val="0"/>
      <w:marBottom w:val="0"/>
      <w:divBdr>
        <w:top w:val="none" w:sz="0" w:space="0" w:color="auto"/>
        <w:left w:val="none" w:sz="0" w:space="0" w:color="auto"/>
        <w:bottom w:val="none" w:sz="0" w:space="0" w:color="auto"/>
        <w:right w:val="none" w:sz="0" w:space="0" w:color="auto"/>
      </w:divBdr>
    </w:div>
    <w:div w:id="1340280272">
      <w:bodyDiv w:val="1"/>
      <w:marLeft w:val="0"/>
      <w:marRight w:val="0"/>
      <w:marTop w:val="0"/>
      <w:marBottom w:val="0"/>
      <w:divBdr>
        <w:top w:val="none" w:sz="0" w:space="0" w:color="auto"/>
        <w:left w:val="none" w:sz="0" w:space="0" w:color="auto"/>
        <w:bottom w:val="none" w:sz="0" w:space="0" w:color="auto"/>
        <w:right w:val="none" w:sz="0" w:space="0" w:color="auto"/>
      </w:divBdr>
    </w:div>
    <w:div w:id="1340280802">
      <w:bodyDiv w:val="1"/>
      <w:marLeft w:val="0"/>
      <w:marRight w:val="0"/>
      <w:marTop w:val="0"/>
      <w:marBottom w:val="0"/>
      <w:divBdr>
        <w:top w:val="none" w:sz="0" w:space="0" w:color="auto"/>
        <w:left w:val="none" w:sz="0" w:space="0" w:color="auto"/>
        <w:bottom w:val="none" w:sz="0" w:space="0" w:color="auto"/>
        <w:right w:val="none" w:sz="0" w:space="0" w:color="auto"/>
      </w:divBdr>
    </w:div>
    <w:div w:id="1340505807">
      <w:bodyDiv w:val="1"/>
      <w:marLeft w:val="0"/>
      <w:marRight w:val="0"/>
      <w:marTop w:val="0"/>
      <w:marBottom w:val="0"/>
      <w:divBdr>
        <w:top w:val="none" w:sz="0" w:space="0" w:color="auto"/>
        <w:left w:val="none" w:sz="0" w:space="0" w:color="auto"/>
        <w:bottom w:val="none" w:sz="0" w:space="0" w:color="auto"/>
        <w:right w:val="none" w:sz="0" w:space="0" w:color="auto"/>
      </w:divBdr>
    </w:div>
    <w:div w:id="1340547755">
      <w:bodyDiv w:val="1"/>
      <w:marLeft w:val="0"/>
      <w:marRight w:val="0"/>
      <w:marTop w:val="0"/>
      <w:marBottom w:val="0"/>
      <w:divBdr>
        <w:top w:val="none" w:sz="0" w:space="0" w:color="auto"/>
        <w:left w:val="none" w:sz="0" w:space="0" w:color="auto"/>
        <w:bottom w:val="none" w:sz="0" w:space="0" w:color="auto"/>
        <w:right w:val="none" w:sz="0" w:space="0" w:color="auto"/>
      </w:divBdr>
    </w:div>
    <w:div w:id="1340692661">
      <w:bodyDiv w:val="1"/>
      <w:marLeft w:val="0"/>
      <w:marRight w:val="0"/>
      <w:marTop w:val="0"/>
      <w:marBottom w:val="0"/>
      <w:divBdr>
        <w:top w:val="none" w:sz="0" w:space="0" w:color="auto"/>
        <w:left w:val="none" w:sz="0" w:space="0" w:color="auto"/>
        <w:bottom w:val="none" w:sz="0" w:space="0" w:color="auto"/>
        <w:right w:val="none" w:sz="0" w:space="0" w:color="auto"/>
      </w:divBdr>
    </w:div>
    <w:div w:id="1340736690">
      <w:bodyDiv w:val="1"/>
      <w:marLeft w:val="0"/>
      <w:marRight w:val="0"/>
      <w:marTop w:val="0"/>
      <w:marBottom w:val="0"/>
      <w:divBdr>
        <w:top w:val="none" w:sz="0" w:space="0" w:color="auto"/>
        <w:left w:val="none" w:sz="0" w:space="0" w:color="auto"/>
        <w:bottom w:val="none" w:sz="0" w:space="0" w:color="auto"/>
        <w:right w:val="none" w:sz="0" w:space="0" w:color="auto"/>
      </w:divBdr>
    </w:div>
    <w:div w:id="1340810315">
      <w:bodyDiv w:val="1"/>
      <w:marLeft w:val="0"/>
      <w:marRight w:val="0"/>
      <w:marTop w:val="0"/>
      <w:marBottom w:val="0"/>
      <w:divBdr>
        <w:top w:val="none" w:sz="0" w:space="0" w:color="auto"/>
        <w:left w:val="none" w:sz="0" w:space="0" w:color="auto"/>
        <w:bottom w:val="none" w:sz="0" w:space="0" w:color="auto"/>
        <w:right w:val="none" w:sz="0" w:space="0" w:color="auto"/>
      </w:divBdr>
    </w:div>
    <w:div w:id="1340934229">
      <w:bodyDiv w:val="1"/>
      <w:marLeft w:val="0"/>
      <w:marRight w:val="0"/>
      <w:marTop w:val="0"/>
      <w:marBottom w:val="0"/>
      <w:divBdr>
        <w:top w:val="none" w:sz="0" w:space="0" w:color="auto"/>
        <w:left w:val="none" w:sz="0" w:space="0" w:color="auto"/>
        <w:bottom w:val="none" w:sz="0" w:space="0" w:color="auto"/>
        <w:right w:val="none" w:sz="0" w:space="0" w:color="auto"/>
      </w:divBdr>
    </w:div>
    <w:div w:id="1340936013">
      <w:bodyDiv w:val="1"/>
      <w:marLeft w:val="0"/>
      <w:marRight w:val="0"/>
      <w:marTop w:val="0"/>
      <w:marBottom w:val="0"/>
      <w:divBdr>
        <w:top w:val="none" w:sz="0" w:space="0" w:color="auto"/>
        <w:left w:val="none" w:sz="0" w:space="0" w:color="auto"/>
        <w:bottom w:val="none" w:sz="0" w:space="0" w:color="auto"/>
        <w:right w:val="none" w:sz="0" w:space="0" w:color="auto"/>
      </w:divBdr>
    </w:div>
    <w:div w:id="1341204758">
      <w:bodyDiv w:val="1"/>
      <w:marLeft w:val="0"/>
      <w:marRight w:val="0"/>
      <w:marTop w:val="0"/>
      <w:marBottom w:val="0"/>
      <w:divBdr>
        <w:top w:val="none" w:sz="0" w:space="0" w:color="auto"/>
        <w:left w:val="none" w:sz="0" w:space="0" w:color="auto"/>
        <w:bottom w:val="none" w:sz="0" w:space="0" w:color="auto"/>
        <w:right w:val="none" w:sz="0" w:space="0" w:color="auto"/>
      </w:divBdr>
    </w:div>
    <w:div w:id="1341395827">
      <w:bodyDiv w:val="1"/>
      <w:marLeft w:val="0"/>
      <w:marRight w:val="0"/>
      <w:marTop w:val="0"/>
      <w:marBottom w:val="0"/>
      <w:divBdr>
        <w:top w:val="none" w:sz="0" w:space="0" w:color="auto"/>
        <w:left w:val="none" w:sz="0" w:space="0" w:color="auto"/>
        <w:bottom w:val="none" w:sz="0" w:space="0" w:color="auto"/>
        <w:right w:val="none" w:sz="0" w:space="0" w:color="auto"/>
      </w:divBdr>
    </w:div>
    <w:div w:id="1341423348">
      <w:bodyDiv w:val="1"/>
      <w:marLeft w:val="0"/>
      <w:marRight w:val="0"/>
      <w:marTop w:val="0"/>
      <w:marBottom w:val="0"/>
      <w:divBdr>
        <w:top w:val="none" w:sz="0" w:space="0" w:color="auto"/>
        <w:left w:val="none" w:sz="0" w:space="0" w:color="auto"/>
        <w:bottom w:val="none" w:sz="0" w:space="0" w:color="auto"/>
        <w:right w:val="none" w:sz="0" w:space="0" w:color="auto"/>
      </w:divBdr>
    </w:div>
    <w:div w:id="1341472031">
      <w:bodyDiv w:val="1"/>
      <w:marLeft w:val="0"/>
      <w:marRight w:val="0"/>
      <w:marTop w:val="0"/>
      <w:marBottom w:val="0"/>
      <w:divBdr>
        <w:top w:val="none" w:sz="0" w:space="0" w:color="auto"/>
        <w:left w:val="none" w:sz="0" w:space="0" w:color="auto"/>
        <w:bottom w:val="none" w:sz="0" w:space="0" w:color="auto"/>
        <w:right w:val="none" w:sz="0" w:space="0" w:color="auto"/>
      </w:divBdr>
    </w:div>
    <w:div w:id="1341542271">
      <w:bodyDiv w:val="1"/>
      <w:marLeft w:val="0"/>
      <w:marRight w:val="0"/>
      <w:marTop w:val="0"/>
      <w:marBottom w:val="0"/>
      <w:divBdr>
        <w:top w:val="none" w:sz="0" w:space="0" w:color="auto"/>
        <w:left w:val="none" w:sz="0" w:space="0" w:color="auto"/>
        <w:bottom w:val="none" w:sz="0" w:space="0" w:color="auto"/>
        <w:right w:val="none" w:sz="0" w:space="0" w:color="auto"/>
      </w:divBdr>
    </w:div>
    <w:div w:id="1341657354">
      <w:bodyDiv w:val="1"/>
      <w:marLeft w:val="0"/>
      <w:marRight w:val="0"/>
      <w:marTop w:val="0"/>
      <w:marBottom w:val="0"/>
      <w:divBdr>
        <w:top w:val="none" w:sz="0" w:space="0" w:color="auto"/>
        <w:left w:val="none" w:sz="0" w:space="0" w:color="auto"/>
        <w:bottom w:val="none" w:sz="0" w:space="0" w:color="auto"/>
        <w:right w:val="none" w:sz="0" w:space="0" w:color="auto"/>
      </w:divBdr>
    </w:div>
    <w:div w:id="1341742049">
      <w:bodyDiv w:val="1"/>
      <w:marLeft w:val="0"/>
      <w:marRight w:val="0"/>
      <w:marTop w:val="0"/>
      <w:marBottom w:val="0"/>
      <w:divBdr>
        <w:top w:val="none" w:sz="0" w:space="0" w:color="auto"/>
        <w:left w:val="none" w:sz="0" w:space="0" w:color="auto"/>
        <w:bottom w:val="none" w:sz="0" w:space="0" w:color="auto"/>
        <w:right w:val="none" w:sz="0" w:space="0" w:color="auto"/>
      </w:divBdr>
    </w:div>
    <w:div w:id="1341859135">
      <w:bodyDiv w:val="1"/>
      <w:marLeft w:val="0"/>
      <w:marRight w:val="0"/>
      <w:marTop w:val="0"/>
      <w:marBottom w:val="0"/>
      <w:divBdr>
        <w:top w:val="none" w:sz="0" w:space="0" w:color="auto"/>
        <w:left w:val="none" w:sz="0" w:space="0" w:color="auto"/>
        <w:bottom w:val="none" w:sz="0" w:space="0" w:color="auto"/>
        <w:right w:val="none" w:sz="0" w:space="0" w:color="auto"/>
      </w:divBdr>
    </w:div>
    <w:div w:id="1341929822">
      <w:bodyDiv w:val="1"/>
      <w:marLeft w:val="0"/>
      <w:marRight w:val="0"/>
      <w:marTop w:val="0"/>
      <w:marBottom w:val="0"/>
      <w:divBdr>
        <w:top w:val="none" w:sz="0" w:space="0" w:color="auto"/>
        <w:left w:val="none" w:sz="0" w:space="0" w:color="auto"/>
        <w:bottom w:val="none" w:sz="0" w:space="0" w:color="auto"/>
        <w:right w:val="none" w:sz="0" w:space="0" w:color="auto"/>
      </w:divBdr>
    </w:div>
    <w:div w:id="1342001783">
      <w:bodyDiv w:val="1"/>
      <w:marLeft w:val="0"/>
      <w:marRight w:val="0"/>
      <w:marTop w:val="0"/>
      <w:marBottom w:val="0"/>
      <w:divBdr>
        <w:top w:val="none" w:sz="0" w:space="0" w:color="auto"/>
        <w:left w:val="none" w:sz="0" w:space="0" w:color="auto"/>
        <w:bottom w:val="none" w:sz="0" w:space="0" w:color="auto"/>
        <w:right w:val="none" w:sz="0" w:space="0" w:color="auto"/>
      </w:divBdr>
    </w:div>
    <w:div w:id="1342046871">
      <w:bodyDiv w:val="1"/>
      <w:marLeft w:val="0"/>
      <w:marRight w:val="0"/>
      <w:marTop w:val="0"/>
      <w:marBottom w:val="0"/>
      <w:divBdr>
        <w:top w:val="none" w:sz="0" w:space="0" w:color="auto"/>
        <w:left w:val="none" w:sz="0" w:space="0" w:color="auto"/>
        <w:bottom w:val="none" w:sz="0" w:space="0" w:color="auto"/>
        <w:right w:val="none" w:sz="0" w:space="0" w:color="auto"/>
      </w:divBdr>
    </w:div>
    <w:div w:id="1342047737">
      <w:bodyDiv w:val="1"/>
      <w:marLeft w:val="0"/>
      <w:marRight w:val="0"/>
      <w:marTop w:val="0"/>
      <w:marBottom w:val="0"/>
      <w:divBdr>
        <w:top w:val="none" w:sz="0" w:space="0" w:color="auto"/>
        <w:left w:val="none" w:sz="0" w:space="0" w:color="auto"/>
        <w:bottom w:val="none" w:sz="0" w:space="0" w:color="auto"/>
        <w:right w:val="none" w:sz="0" w:space="0" w:color="auto"/>
      </w:divBdr>
    </w:div>
    <w:div w:id="1342125870">
      <w:bodyDiv w:val="1"/>
      <w:marLeft w:val="0"/>
      <w:marRight w:val="0"/>
      <w:marTop w:val="0"/>
      <w:marBottom w:val="0"/>
      <w:divBdr>
        <w:top w:val="none" w:sz="0" w:space="0" w:color="auto"/>
        <w:left w:val="none" w:sz="0" w:space="0" w:color="auto"/>
        <w:bottom w:val="none" w:sz="0" w:space="0" w:color="auto"/>
        <w:right w:val="none" w:sz="0" w:space="0" w:color="auto"/>
      </w:divBdr>
    </w:div>
    <w:div w:id="1342390476">
      <w:bodyDiv w:val="1"/>
      <w:marLeft w:val="0"/>
      <w:marRight w:val="0"/>
      <w:marTop w:val="0"/>
      <w:marBottom w:val="0"/>
      <w:divBdr>
        <w:top w:val="none" w:sz="0" w:space="0" w:color="auto"/>
        <w:left w:val="none" w:sz="0" w:space="0" w:color="auto"/>
        <w:bottom w:val="none" w:sz="0" w:space="0" w:color="auto"/>
        <w:right w:val="none" w:sz="0" w:space="0" w:color="auto"/>
      </w:divBdr>
    </w:div>
    <w:div w:id="1342397232">
      <w:bodyDiv w:val="1"/>
      <w:marLeft w:val="0"/>
      <w:marRight w:val="0"/>
      <w:marTop w:val="0"/>
      <w:marBottom w:val="0"/>
      <w:divBdr>
        <w:top w:val="none" w:sz="0" w:space="0" w:color="auto"/>
        <w:left w:val="none" w:sz="0" w:space="0" w:color="auto"/>
        <w:bottom w:val="none" w:sz="0" w:space="0" w:color="auto"/>
        <w:right w:val="none" w:sz="0" w:space="0" w:color="auto"/>
      </w:divBdr>
    </w:div>
    <w:div w:id="1342512715">
      <w:bodyDiv w:val="1"/>
      <w:marLeft w:val="0"/>
      <w:marRight w:val="0"/>
      <w:marTop w:val="0"/>
      <w:marBottom w:val="0"/>
      <w:divBdr>
        <w:top w:val="none" w:sz="0" w:space="0" w:color="auto"/>
        <w:left w:val="none" w:sz="0" w:space="0" w:color="auto"/>
        <w:bottom w:val="none" w:sz="0" w:space="0" w:color="auto"/>
        <w:right w:val="none" w:sz="0" w:space="0" w:color="auto"/>
      </w:divBdr>
    </w:div>
    <w:div w:id="1342701847">
      <w:bodyDiv w:val="1"/>
      <w:marLeft w:val="0"/>
      <w:marRight w:val="0"/>
      <w:marTop w:val="0"/>
      <w:marBottom w:val="0"/>
      <w:divBdr>
        <w:top w:val="none" w:sz="0" w:space="0" w:color="auto"/>
        <w:left w:val="none" w:sz="0" w:space="0" w:color="auto"/>
        <w:bottom w:val="none" w:sz="0" w:space="0" w:color="auto"/>
        <w:right w:val="none" w:sz="0" w:space="0" w:color="auto"/>
      </w:divBdr>
    </w:div>
    <w:div w:id="1342900989">
      <w:bodyDiv w:val="1"/>
      <w:marLeft w:val="0"/>
      <w:marRight w:val="0"/>
      <w:marTop w:val="0"/>
      <w:marBottom w:val="0"/>
      <w:divBdr>
        <w:top w:val="none" w:sz="0" w:space="0" w:color="auto"/>
        <w:left w:val="none" w:sz="0" w:space="0" w:color="auto"/>
        <w:bottom w:val="none" w:sz="0" w:space="0" w:color="auto"/>
        <w:right w:val="none" w:sz="0" w:space="0" w:color="auto"/>
      </w:divBdr>
    </w:div>
    <w:div w:id="1342928479">
      <w:bodyDiv w:val="1"/>
      <w:marLeft w:val="0"/>
      <w:marRight w:val="0"/>
      <w:marTop w:val="0"/>
      <w:marBottom w:val="0"/>
      <w:divBdr>
        <w:top w:val="none" w:sz="0" w:space="0" w:color="auto"/>
        <w:left w:val="none" w:sz="0" w:space="0" w:color="auto"/>
        <w:bottom w:val="none" w:sz="0" w:space="0" w:color="auto"/>
        <w:right w:val="none" w:sz="0" w:space="0" w:color="auto"/>
      </w:divBdr>
    </w:div>
    <w:div w:id="1342969463">
      <w:bodyDiv w:val="1"/>
      <w:marLeft w:val="0"/>
      <w:marRight w:val="0"/>
      <w:marTop w:val="0"/>
      <w:marBottom w:val="0"/>
      <w:divBdr>
        <w:top w:val="none" w:sz="0" w:space="0" w:color="auto"/>
        <w:left w:val="none" w:sz="0" w:space="0" w:color="auto"/>
        <w:bottom w:val="none" w:sz="0" w:space="0" w:color="auto"/>
        <w:right w:val="none" w:sz="0" w:space="0" w:color="auto"/>
      </w:divBdr>
    </w:div>
    <w:div w:id="1342973079">
      <w:bodyDiv w:val="1"/>
      <w:marLeft w:val="0"/>
      <w:marRight w:val="0"/>
      <w:marTop w:val="0"/>
      <w:marBottom w:val="0"/>
      <w:divBdr>
        <w:top w:val="none" w:sz="0" w:space="0" w:color="auto"/>
        <w:left w:val="none" w:sz="0" w:space="0" w:color="auto"/>
        <w:bottom w:val="none" w:sz="0" w:space="0" w:color="auto"/>
        <w:right w:val="none" w:sz="0" w:space="0" w:color="auto"/>
      </w:divBdr>
    </w:div>
    <w:div w:id="1343121175">
      <w:bodyDiv w:val="1"/>
      <w:marLeft w:val="0"/>
      <w:marRight w:val="0"/>
      <w:marTop w:val="0"/>
      <w:marBottom w:val="0"/>
      <w:divBdr>
        <w:top w:val="none" w:sz="0" w:space="0" w:color="auto"/>
        <w:left w:val="none" w:sz="0" w:space="0" w:color="auto"/>
        <w:bottom w:val="none" w:sz="0" w:space="0" w:color="auto"/>
        <w:right w:val="none" w:sz="0" w:space="0" w:color="auto"/>
      </w:divBdr>
    </w:div>
    <w:div w:id="1343240863">
      <w:bodyDiv w:val="1"/>
      <w:marLeft w:val="0"/>
      <w:marRight w:val="0"/>
      <w:marTop w:val="0"/>
      <w:marBottom w:val="0"/>
      <w:divBdr>
        <w:top w:val="none" w:sz="0" w:space="0" w:color="auto"/>
        <w:left w:val="none" w:sz="0" w:space="0" w:color="auto"/>
        <w:bottom w:val="none" w:sz="0" w:space="0" w:color="auto"/>
        <w:right w:val="none" w:sz="0" w:space="0" w:color="auto"/>
      </w:divBdr>
    </w:div>
    <w:div w:id="1344092988">
      <w:bodyDiv w:val="1"/>
      <w:marLeft w:val="0"/>
      <w:marRight w:val="0"/>
      <w:marTop w:val="0"/>
      <w:marBottom w:val="0"/>
      <w:divBdr>
        <w:top w:val="none" w:sz="0" w:space="0" w:color="auto"/>
        <w:left w:val="none" w:sz="0" w:space="0" w:color="auto"/>
        <w:bottom w:val="none" w:sz="0" w:space="0" w:color="auto"/>
        <w:right w:val="none" w:sz="0" w:space="0" w:color="auto"/>
      </w:divBdr>
    </w:div>
    <w:div w:id="1344165574">
      <w:bodyDiv w:val="1"/>
      <w:marLeft w:val="0"/>
      <w:marRight w:val="0"/>
      <w:marTop w:val="0"/>
      <w:marBottom w:val="0"/>
      <w:divBdr>
        <w:top w:val="none" w:sz="0" w:space="0" w:color="auto"/>
        <w:left w:val="none" w:sz="0" w:space="0" w:color="auto"/>
        <w:bottom w:val="none" w:sz="0" w:space="0" w:color="auto"/>
        <w:right w:val="none" w:sz="0" w:space="0" w:color="auto"/>
      </w:divBdr>
    </w:div>
    <w:div w:id="1344167382">
      <w:bodyDiv w:val="1"/>
      <w:marLeft w:val="0"/>
      <w:marRight w:val="0"/>
      <w:marTop w:val="0"/>
      <w:marBottom w:val="0"/>
      <w:divBdr>
        <w:top w:val="none" w:sz="0" w:space="0" w:color="auto"/>
        <w:left w:val="none" w:sz="0" w:space="0" w:color="auto"/>
        <w:bottom w:val="none" w:sz="0" w:space="0" w:color="auto"/>
        <w:right w:val="none" w:sz="0" w:space="0" w:color="auto"/>
      </w:divBdr>
    </w:div>
    <w:div w:id="1344360805">
      <w:bodyDiv w:val="1"/>
      <w:marLeft w:val="0"/>
      <w:marRight w:val="0"/>
      <w:marTop w:val="0"/>
      <w:marBottom w:val="0"/>
      <w:divBdr>
        <w:top w:val="none" w:sz="0" w:space="0" w:color="auto"/>
        <w:left w:val="none" w:sz="0" w:space="0" w:color="auto"/>
        <w:bottom w:val="none" w:sz="0" w:space="0" w:color="auto"/>
        <w:right w:val="none" w:sz="0" w:space="0" w:color="auto"/>
      </w:divBdr>
    </w:div>
    <w:div w:id="1344430768">
      <w:bodyDiv w:val="1"/>
      <w:marLeft w:val="0"/>
      <w:marRight w:val="0"/>
      <w:marTop w:val="0"/>
      <w:marBottom w:val="0"/>
      <w:divBdr>
        <w:top w:val="none" w:sz="0" w:space="0" w:color="auto"/>
        <w:left w:val="none" w:sz="0" w:space="0" w:color="auto"/>
        <w:bottom w:val="none" w:sz="0" w:space="0" w:color="auto"/>
        <w:right w:val="none" w:sz="0" w:space="0" w:color="auto"/>
      </w:divBdr>
    </w:div>
    <w:div w:id="1344475169">
      <w:bodyDiv w:val="1"/>
      <w:marLeft w:val="0"/>
      <w:marRight w:val="0"/>
      <w:marTop w:val="0"/>
      <w:marBottom w:val="0"/>
      <w:divBdr>
        <w:top w:val="none" w:sz="0" w:space="0" w:color="auto"/>
        <w:left w:val="none" w:sz="0" w:space="0" w:color="auto"/>
        <w:bottom w:val="none" w:sz="0" w:space="0" w:color="auto"/>
        <w:right w:val="none" w:sz="0" w:space="0" w:color="auto"/>
      </w:divBdr>
    </w:div>
    <w:div w:id="1344555457">
      <w:bodyDiv w:val="1"/>
      <w:marLeft w:val="0"/>
      <w:marRight w:val="0"/>
      <w:marTop w:val="0"/>
      <w:marBottom w:val="0"/>
      <w:divBdr>
        <w:top w:val="none" w:sz="0" w:space="0" w:color="auto"/>
        <w:left w:val="none" w:sz="0" w:space="0" w:color="auto"/>
        <w:bottom w:val="none" w:sz="0" w:space="0" w:color="auto"/>
        <w:right w:val="none" w:sz="0" w:space="0" w:color="auto"/>
      </w:divBdr>
    </w:div>
    <w:div w:id="1344623283">
      <w:bodyDiv w:val="1"/>
      <w:marLeft w:val="0"/>
      <w:marRight w:val="0"/>
      <w:marTop w:val="0"/>
      <w:marBottom w:val="0"/>
      <w:divBdr>
        <w:top w:val="none" w:sz="0" w:space="0" w:color="auto"/>
        <w:left w:val="none" w:sz="0" w:space="0" w:color="auto"/>
        <w:bottom w:val="none" w:sz="0" w:space="0" w:color="auto"/>
        <w:right w:val="none" w:sz="0" w:space="0" w:color="auto"/>
      </w:divBdr>
    </w:div>
    <w:div w:id="1344744386">
      <w:bodyDiv w:val="1"/>
      <w:marLeft w:val="0"/>
      <w:marRight w:val="0"/>
      <w:marTop w:val="0"/>
      <w:marBottom w:val="0"/>
      <w:divBdr>
        <w:top w:val="none" w:sz="0" w:space="0" w:color="auto"/>
        <w:left w:val="none" w:sz="0" w:space="0" w:color="auto"/>
        <w:bottom w:val="none" w:sz="0" w:space="0" w:color="auto"/>
        <w:right w:val="none" w:sz="0" w:space="0" w:color="auto"/>
      </w:divBdr>
    </w:div>
    <w:div w:id="1344745428">
      <w:bodyDiv w:val="1"/>
      <w:marLeft w:val="0"/>
      <w:marRight w:val="0"/>
      <w:marTop w:val="0"/>
      <w:marBottom w:val="0"/>
      <w:divBdr>
        <w:top w:val="none" w:sz="0" w:space="0" w:color="auto"/>
        <w:left w:val="none" w:sz="0" w:space="0" w:color="auto"/>
        <w:bottom w:val="none" w:sz="0" w:space="0" w:color="auto"/>
        <w:right w:val="none" w:sz="0" w:space="0" w:color="auto"/>
      </w:divBdr>
    </w:div>
    <w:div w:id="1344749282">
      <w:bodyDiv w:val="1"/>
      <w:marLeft w:val="0"/>
      <w:marRight w:val="0"/>
      <w:marTop w:val="0"/>
      <w:marBottom w:val="0"/>
      <w:divBdr>
        <w:top w:val="none" w:sz="0" w:space="0" w:color="auto"/>
        <w:left w:val="none" w:sz="0" w:space="0" w:color="auto"/>
        <w:bottom w:val="none" w:sz="0" w:space="0" w:color="auto"/>
        <w:right w:val="none" w:sz="0" w:space="0" w:color="auto"/>
      </w:divBdr>
    </w:div>
    <w:div w:id="1344817508">
      <w:bodyDiv w:val="1"/>
      <w:marLeft w:val="0"/>
      <w:marRight w:val="0"/>
      <w:marTop w:val="0"/>
      <w:marBottom w:val="0"/>
      <w:divBdr>
        <w:top w:val="none" w:sz="0" w:space="0" w:color="auto"/>
        <w:left w:val="none" w:sz="0" w:space="0" w:color="auto"/>
        <w:bottom w:val="none" w:sz="0" w:space="0" w:color="auto"/>
        <w:right w:val="none" w:sz="0" w:space="0" w:color="auto"/>
      </w:divBdr>
    </w:div>
    <w:div w:id="1344821380">
      <w:bodyDiv w:val="1"/>
      <w:marLeft w:val="0"/>
      <w:marRight w:val="0"/>
      <w:marTop w:val="0"/>
      <w:marBottom w:val="0"/>
      <w:divBdr>
        <w:top w:val="none" w:sz="0" w:space="0" w:color="auto"/>
        <w:left w:val="none" w:sz="0" w:space="0" w:color="auto"/>
        <w:bottom w:val="none" w:sz="0" w:space="0" w:color="auto"/>
        <w:right w:val="none" w:sz="0" w:space="0" w:color="auto"/>
      </w:divBdr>
    </w:div>
    <w:div w:id="1344823208">
      <w:bodyDiv w:val="1"/>
      <w:marLeft w:val="0"/>
      <w:marRight w:val="0"/>
      <w:marTop w:val="0"/>
      <w:marBottom w:val="0"/>
      <w:divBdr>
        <w:top w:val="none" w:sz="0" w:space="0" w:color="auto"/>
        <w:left w:val="none" w:sz="0" w:space="0" w:color="auto"/>
        <w:bottom w:val="none" w:sz="0" w:space="0" w:color="auto"/>
        <w:right w:val="none" w:sz="0" w:space="0" w:color="auto"/>
      </w:divBdr>
    </w:div>
    <w:div w:id="1344935602">
      <w:bodyDiv w:val="1"/>
      <w:marLeft w:val="0"/>
      <w:marRight w:val="0"/>
      <w:marTop w:val="0"/>
      <w:marBottom w:val="0"/>
      <w:divBdr>
        <w:top w:val="none" w:sz="0" w:space="0" w:color="auto"/>
        <w:left w:val="none" w:sz="0" w:space="0" w:color="auto"/>
        <w:bottom w:val="none" w:sz="0" w:space="0" w:color="auto"/>
        <w:right w:val="none" w:sz="0" w:space="0" w:color="auto"/>
      </w:divBdr>
    </w:div>
    <w:div w:id="1345012993">
      <w:bodyDiv w:val="1"/>
      <w:marLeft w:val="0"/>
      <w:marRight w:val="0"/>
      <w:marTop w:val="0"/>
      <w:marBottom w:val="0"/>
      <w:divBdr>
        <w:top w:val="none" w:sz="0" w:space="0" w:color="auto"/>
        <w:left w:val="none" w:sz="0" w:space="0" w:color="auto"/>
        <w:bottom w:val="none" w:sz="0" w:space="0" w:color="auto"/>
        <w:right w:val="none" w:sz="0" w:space="0" w:color="auto"/>
      </w:divBdr>
    </w:div>
    <w:div w:id="1345013839">
      <w:bodyDiv w:val="1"/>
      <w:marLeft w:val="0"/>
      <w:marRight w:val="0"/>
      <w:marTop w:val="0"/>
      <w:marBottom w:val="0"/>
      <w:divBdr>
        <w:top w:val="none" w:sz="0" w:space="0" w:color="auto"/>
        <w:left w:val="none" w:sz="0" w:space="0" w:color="auto"/>
        <w:bottom w:val="none" w:sz="0" w:space="0" w:color="auto"/>
        <w:right w:val="none" w:sz="0" w:space="0" w:color="auto"/>
      </w:divBdr>
    </w:div>
    <w:div w:id="1345086754">
      <w:bodyDiv w:val="1"/>
      <w:marLeft w:val="0"/>
      <w:marRight w:val="0"/>
      <w:marTop w:val="0"/>
      <w:marBottom w:val="0"/>
      <w:divBdr>
        <w:top w:val="none" w:sz="0" w:space="0" w:color="auto"/>
        <w:left w:val="none" w:sz="0" w:space="0" w:color="auto"/>
        <w:bottom w:val="none" w:sz="0" w:space="0" w:color="auto"/>
        <w:right w:val="none" w:sz="0" w:space="0" w:color="auto"/>
      </w:divBdr>
    </w:div>
    <w:div w:id="1345133512">
      <w:bodyDiv w:val="1"/>
      <w:marLeft w:val="0"/>
      <w:marRight w:val="0"/>
      <w:marTop w:val="0"/>
      <w:marBottom w:val="0"/>
      <w:divBdr>
        <w:top w:val="none" w:sz="0" w:space="0" w:color="auto"/>
        <w:left w:val="none" w:sz="0" w:space="0" w:color="auto"/>
        <w:bottom w:val="none" w:sz="0" w:space="0" w:color="auto"/>
        <w:right w:val="none" w:sz="0" w:space="0" w:color="auto"/>
      </w:divBdr>
    </w:div>
    <w:div w:id="1345277819">
      <w:bodyDiv w:val="1"/>
      <w:marLeft w:val="0"/>
      <w:marRight w:val="0"/>
      <w:marTop w:val="0"/>
      <w:marBottom w:val="0"/>
      <w:divBdr>
        <w:top w:val="none" w:sz="0" w:space="0" w:color="auto"/>
        <w:left w:val="none" w:sz="0" w:space="0" w:color="auto"/>
        <w:bottom w:val="none" w:sz="0" w:space="0" w:color="auto"/>
        <w:right w:val="none" w:sz="0" w:space="0" w:color="auto"/>
      </w:divBdr>
    </w:div>
    <w:div w:id="1345324012">
      <w:bodyDiv w:val="1"/>
      <w:marLeft w:val="0"/>
      <w:marRight w:val="0"/>
      <w:marTop w:val="0"/>
      <w:marBottom w:val="0"/>
      <w:divBdr>
        <w:top w:val="none" w:sz="0" w:space="0" w:color="auto"/>
        <w:left w:val="none" w:sz="0" w:space="0" w:color="auto"/>
        <w:bottom w:val="none" w:sz="0" w:space="0" w:color="auto"/>
        <w:right w:val="none" w:sz="0" w:space="0" w:color="auto"/>
      </w:divBdr>
    </w:div>
    <w:div w:id="1345325298">
      <w:bodyDiv w:val="1"/>
      <w:marLeft w:val="0"/>
      <w:marRight w:val="0"/>
      <w:marTop w:val="0"/>
      <w:marBottom w:val="0"/>
      <w:divBdr>
        <w:top w:val="none" w:sz="0" w:space="0" w:color="auto"/>
        <w:left w:val="none" w:sz="0" w:space="0" w:color="auto"/>
        <w:bottom w:val="none" w:sz="0" w:space="0" w:color="auto"/>
        <w:right w:val="none" w:sz="0" w:space="0" w:color="auto"/>
      </w:divBdr>
    </w:div>
    <w:div w:id="1345549290">
      <w:bodyDiv w:val="1"/>
      <w:marLeft w:val="0"/>
      <w:marRight w:val="0"/>
      <w:marTop w:val="0"/>
      <w:marBottom w:val="0"/>
      <w:divBdr>
        <w:top w:val="none" w:sz="0" w:space="0" w:color="auto"/>
        <w:left w:val="none" w:sz="0" w:space="0" w:color="auto"/>
        <w:bottom w:val="none" w:sz="0" w:space="0" w:color="auto"/>
        <w:right w:val="none" w:sz="0" w:space="0" w:color="auto"/>
      </w:divBdr>
    </w:div>
    <w:div w:id="1345861150">
      <w:bodyDiv w:val="1"/>
      <w:marLeft w:val="0"/>
      <w:marRight w:val="0"/>
      <w:marTop w:val="0"/>
      <w:marBottom w:val="0"/>
      <w:divBdr>
        <w:top w:val="none" w:sz="0" w:space="0" w:color="auto"/>
        <w:left w:val="none" w:sz="0" w:space="0" w:color="auto"/>
        <w:bottom w:val="none" w:sz="0" w:space="0" w:color="auto"/>
        <w:right w:val="none" w:sz="0" w:space="0" w:color="auto"/>
      </w:divBdr>
    </w:div>
    <w:div w:id="1345936529">
      <w:bodyDiv w:val="1"/>
      <w:marLeft w:val="0"/>
      <w:marRight w:val="0"/>
      <w:marTop w:val="0"/>
      <w:marBottom w:val="0"/>
      <w:divBdr>
        <w:top w:val="none" w:sz="0" w:space="0" w:color="auto"/>
        <w:left w:val="none" w:sz="0" w:space="0" w:color="auto"/>
        <w:bottom w:val="none" w:sz="0" w:space="0" w:color="auto"/>
        <w:right w:val="none" w:sz="0" w:space="0" w:color="auto"/>
      </w:divBdr>
    </w:div>
    <w:div w:id="1346057147">
      <w:bodyDiv w:val="1"/>
      <w:marLeft w:val="0"/>
      <w:marRight w:val="0"/>
      <w:marTop w:val="0"/>
      <w:marBottom w:val="0"/>
      <w:divBdr>
        <w:top w:val="none" w:sz="0" w:space="0" w:color="auto"/>
        <w:left w:val="none" w:sz="0" w:space="0" w:color="auto"/>
        <w:bottom w:val="none" w:sz="0" w:space="0" w:color="auto"/>
        <w:right w:val="none" w:sz="0" w:space="0" w:color="auto"/>
      </w:divBdr>
    </w:div>
    <w:div w:id="1346204287">
      <w:bodyDiv w:val="1"/>
      <w:marLeft w:val="0"/>
      <w:marRight w:val="0"/>
      <w:marTop w:val="0"/>
      <w:marBottom w:val="0"/>
      <w:divBdr>
        <w:top w:val="none" w:sz="0" w:space="0" w:color="auto"/>
        <w:left w:val="none" w:sz="0" w:space="0" w:color="auto"/>
        <w:bottom w:val="none" w:sz="0" w:space="0" w:color="auto"/>
        <w:right w:val="none" w:sz="0" w:space="0" w:color="auto"/>
      </w:divBdr>
    </w:div>
    <w:div w:id="1346248315">
      <w:bodyDiv w:val="1"/>
      <w:marLeft w:val="0"/>
      <w:marRight w:val="0"/>
      <w:marTop w:val="0"/>
      <w:marBottom w:val="0"/>
      <w:divBdr>
        <w:top w:val="none" w:sz="0" w:space="0" w:color="auto"/>
        <w:left w:val="none" w:sz="0" w:space="0" w:color="auto"/>
        <w:bottom w:val="none" w:sz="0" w:space="0" w:color="auto"/>
        <w:right w:val="none" w:sz="0" w:space="0" w:color="auto"/>
      </w:divBdr>
    </w:div>
    <w:div w:id="1346329041">
      <w:bodyDiv w:val="1"/>
      <w:marLeft w:val="0"/>
      <w:marRight w:val="0"/>
      <w:marTop w:val="0"/>
      <w:marBottom w:val="0"/>
      <w:divBdr>
        <w:top w:val="none" w:sz="0" w:space="0" w:color="auto"/>
        <w:left w:val="none" w:sz="0" w:space="0" w:color="auto"/>
        <w:bottom w:val="none" w:sz="0" w:space="0" w:color="auto"/>
        <w:right w:val="none" w:sz="0" w:space="0" w:color="auto"/>
      </w:divBdr>
    </w:div>
    <w:div w:id="1346441844">
      <w:bodyDiv w:val="1"/>
      <w:marLeft w:val="0"/>
      <w:marRight w:val="0"/>
      <w:marTop w:val="0"/>
      <w:marBottom w:val="0"/>
      <w:divBdr>
        <w:top w:val="none" w:sz="0" w:space="0" w:color="auto"/>
        <w:left w:val="none" w:sz="0" w:space="0" w:color="auto"/>
        <w:bottom w:val="none" w:sz="0" w:space="0" w:color="auto"/>
        <w:right w:val="none" w:sz="0" w:space="0" w:color="auto"/>
      </w:divBdr>
    </w:div>
    <w:div w:id="1346446499">
      <w:bodyDiv w:val="1"/>
      <w:marLeft w:val="0"/>
      <w:marRight w:val="0"/>
      <w:marTop w:val="0"/>
      <w:marBottom w:val="0"/>
      <w:divBdr>
        <w:top w:val="none" w:sz="0" w:space="0" w:color="auto"/>
        <w:left w:val="none" w:sz="0" w:space="0" w:color="auto"/>
        <w:bottom w:val="none" w:sz="0" w:space="0" w:color="auto"/>
        <w:right w:val="none" w:sz="0" w:space="0" w:color="auto"/>
      </w:divBdr>
    </w:div>
    <w:div w:id="1346589291">
      <w:bodyDiv w:val="1"/>
      <w:marLeft w:val="0"/>
      <w:marRight w:val="0"/>
      <w:marTop w:val="0"/>
      <w:marBottom w:val="0"/>
      <w:divBdr>
        <w:top w:val="none" w:sz="0" w:space="0" w:color="auto"/>
        <w:left w:val="none" w:sz="0" w:space="0" w:color="auto"/>
        <w:bottom w:val="none" w:sz="0" w:space="0" w:color="auto"/>
        <w:right w:val="none" w:sz="0" w:space="0" w:color="auto"/>
      </w:divBdr>
    </w:div>
    <w:div w:id="1346831214">
      <w:bodyDiv w:val="1"/>
      <w:marLeft w:val="0"/>
      <w:marRight w:val="0"/>
      <w:marTop w:val="0"/>
      <w:marBottom w:val="0"/>
      <w:divBdr>
        <w:top w:val="none" w:sz="0" w:space="0" w:color="auto"/>
        <w:left w:val="none" w:sz="0" w:space="0" w:color="auto"/>
        <w:bottom w:val="none" w:sz="0" w:space="0" w:color="auto"/>
        <w:right w:val="none" w:sz="0" w:space="0" w:color="auto"/>
      </w:divBdr>
    </w:div>
    <w:div w:id="1346908272">
      <w:bodyDiv w:val="1"/>
      <w:marLeft w:val="0"/>
      <w:marRight w:val="0"/>
      <w:marTop w:val="0"/>
      <w:marBottom w:val="0"/>
      <w:divBdr>
        <w:top w:val="none" w:sz="0" w:space="0" w:color="auto"/>
        <w:left w:val="none" w:sz="0" w:space="0" w:color="auto"/>
        <w:bottom w:val="none" w:sz="0" w:space="0" w:color="auto"/>
        <w:right w:val="none" w:sz="0" w:space="0" w:color="auto"/>
      </w:divBdr>
    </w:div>
    <w:div w:id="1347054935">
      <w:bodyDiv w:val="1"/>
      <w:marLeft w:val="0"/>
      <w:marRight w:val="0"/>
      <w:marTop w:val="0"/>
      <w:marBottom w:val="0"/>
      <w:divBdr>
        <w:top w:val="none" w:sz="0" w:space="0" w:color="auto"/>
        <w:left w:val="none" w:sz="0" w:space="0" w:color="auto"/>
        <w:bottom w:val="none" w:sz="0" w:space="0" w:color="auto"/>
        <w:right w:val="none" w:sz="0" w:space="0" w:color="auto"/>
      </w:divBdr>
    </w:div>
    <w:div w:id="1347055766">
      <w:bodyDiv w:val="1"/>
      <w:marLeft w:val="0"/>
      <w:marRight w:val="0"/>
      <w:marTop w:val="0"/>
      <w:marBottom w:val="0"/>
      <w:divBdr>
        <w:top w:val="none" w:sz="0" w:space="0" w:color="auto"/>
        <w:left w:val="none" w:sz="0" w:space="0" w:color="auto"/>
        <w:bottom w:val="none" w:sz="0" w:space="0" w:color="auto"/>
        <w:right w:val="none" w:sz="0" w:space="0" w:color="auto"/>
      </w:divBdr>
    </w:div>
    <w:div w:id="1347361306">
      <w:bodyDiv w:val="1"/>
      <w:marLeft w:val="0"/>
      <w:marRight w:val="0"/>
      <w:marTop w:val="0"/>
      <w:marBottom w:val="0"/>
      <w:divBdr>
        <w:top w:val="none" w:sz="0" w:space="0" w:color="auto"/>
        <w:left w:val="none" w:sz="0" w:space="0" w:color="auto"/>
        <w:bottom w:val="none" w:sz="0" w:space="0" w:color="auto"/>
        <w:right w:val="none" w:sz="0" w:space="0" w:color="auto"/>
      </w:divBdr>
    </w:div>
    <w:div w:id="1347437443">
      <w:bodyDiv w:val="1"/>
      <w:marLeft w:val="0"/>
      <w:marRight w:val="0"/>
      <w:marTop w:val="0"/>
      <w:marBottom w:val="0"/>
      <w:divBdr>
        <w:top w:val="none" w:sz="0" w:space="0" w:color="auto"/>
        <w:left w:val="none" w:sz="0" w:space="0" w:color="auto"/>
        <w:bottom w:val="none" w:sz="0" w:space="0" w:color="auto"/>
        <w:right w:val="none" w:sz="0" w:space="0" w:color="auto"/>
      </w:divBdr>
    </w:div>
    <w:div w:id="1347634591">
      <w:bodyDiv w:val="1"/>
      <w:marLeft w:val="0"/>
      <w:marRight w:val="0"/>
      <w:marTop w:val="0"/>
      <w:marBottom w:val="0"/>
      <w:divBdr>
        <w:top w:val="none" w:sz="0" w:space="0" w:color="auto"/>
        <w:left w:val="none" w:sz="0" w:space="0" w:color="auto"/>
        <w:bottom w:val="none" w:sz="0" w:space="0" w:color="auto"/>
        <w:right w:val="none" w:sz="0" w:space="0" w:color="auto"/>
      </w:divBdr>
    </w:div>
    <w:div w:id="1347706818">
      <w:bodyDiv w:val="1"/>
      <w:marLeft w:val="0"/>
      <w:marRight w:val="0"/>
      <w:marTop w:val="0"/>
      <w:marBottom w:val="0"/>
      <w:divBdr>
        <w:top w:val="none" w:sz="0" w:space="0" w:color="auto"/>
        <w:left w:val="none" w:sz="0" w:space="0" w:color="auto"/>
        <w:bottom w:val="none" w:sz="0" w:space="0" w:color="auto"/>
        <w:right w:val="none" w:sz="0" w:space="0" w:color="auto"/>
      </w:divBdr>
    </w:div>
    <w:div w:id="1347714487">
      <w:bodyDiv w:val="1"/>
      <w:marLeft w:val="0"/>
      <w:marRight w:val="0"/>
      <w:marTop w:val="0"/>
      <w:marBottom w:val="0"/>
      <w:divBdr>
        <w:top w:val="none" w:sz="0" w:space="0" w:color="auto"/>
        <w:left w:val="none" w:sz="0" w:space="0" w:color="auto"/>
        <w:bottom w:val="none" w:sz="0" w:space="0" w:color="auto"/>
        <w:right w:val="none" w:sz="0" w:space="0" w:color="auto"/>
      </w:divBdr>
    </w:div>
    <w:div w:id="1347908301">
      <w:bodyDiv w:val="1"/>
      <w:marLeft w:val="0"/>
      <w:marRight w:val="0"/>
      <w:marTop w:val="0"/>
      <w:marBottom w:val="0"/>
      <w:divBdr>
        <w:top w:val="none" w:sz="0" w:space="0" w:color="auto"/>
        <w:left w:val="none" w:sz="0" w:space="0" w:color="auto"/>
        <w:bottom w:val="none" w:sz="0" w:space="0" w:color="auto"/>
        <w:right w:val="none" w:sz="0" w:space="0" w:color="auto"/>
      </w:divBdr>
    </w:div>
    <w:div w:id="1348099508">
      <w:bodyDiv w:val="1"/>
      <w:marLeft w:val="0"/>
      <w:marRight w:val="0"/>
      <w:marTop w:val="0"/>
      <w:marBottom w:val="0"/>
      <w:divBdr>
        <w:top w:val="none" w:sz="0" w:space="0" w:color="auto"/>
        <w:left w:val="none" w:sz="0" w:space="0" w:color="auto"/>
        <w:bottom w:val="none" w:sz="0" w:space="0" w:color="auto"/>
        <w:right w:val="none" w:sz="0" w:space="0" w:color="auto"/>
      </w:divBdr>
    </w:div>
    <w:div w:id="1348101516">
      <w:bodyDiv w:val="1"/>
      <w:marLeft w:val="0"/>
      <w:marRight w:val="0"/>
      <w:marTop w:val="0"/>
      <w:marBottom w:val="0"/>
      <w:divBdr>
        <w:top w:val="none" w:sz="0" w:space="0" w:color="auto"/>
        <w:left w:val="none" w:sz="0" w:space="0" w:color="auto"/>
        <w:bottom w:val="none" w:sz="0" w:space="0" w:color="auto"/>
        <w:right w:val="none" w:sz="0" w:space="0" w:color="auto"/>
      </w:divBdr>
    </w:div>
    <w:div w:id="1348411349">
      <w:bodyDiv w:val="1"/>
      <w:marLeft w:val="0"/>
      <w:marRight w:val="0"/>
      <w:marTop w:val="0"/>
      <w:marBottom w:val="0"/>
      <w:divBdr>
        <w:top w:val="none" w:sz="0" w:space="0" w:color="auto"/>
        <w:left w:val="none" w:sz="0" w:space="0" w:color="auto"/>
        <w:bottom w:val="none" w:sz="0" w:space="0" w:color="auto"/>
        <w:right w:val="none" w:sz="0" w:space="0" w:color="auto"/>
      </w:divBdr>
    </w:div>
    <w:div w:id="1348411609">
      <w:bodyDiv w:val="1"/>
      <w:marLeft w:val="0"/>
      <w:marRight w:val="0"/>
      <w:marTop w:val="0"/>
      <w:marBottom w:val="0"/>
      <w:divBdr>
        <w:top w:val="none" w:sz="0" w:space="0" w:color="auto"/>
        <w:left w:val="none" w:sz="0" w:space="0" w:color="auto"/>
        <w:bottom w:val="none" w:sz="0" w:space="0" w:color="auto"/>
        <w:right w:val="none" w:sz="0" w:space="0" w:color="auto"/>
      </w:divBdr>
    </w:div>
    <w:div w:id="1348484562">
      <w:bodyDiv w:val="1"/>
      <w:marLeft w:val="0"/>
      <w:marRight w:val="0"/>
      <w:marTop w:val="0"/>
      <w:marBottom w:val="0"/>
      <w:divBdr>
        <w:top w:val="none" w:sz="0" w:space="0" w:color="auto"/>
        <w:left w:val="none" w:sz="0" w:space="0" w:color="auto"/>
        <w:bottom w:val="none" w:sz="0" w:space="0" w:color="auto"/>
        <w:right w:val="none" w:sz="0" w:space="0" w:color="auto"/>
      </w:divBdr>
    </w:div>
    <w:div w:id="1348560857">
      <w:bodyDiv w:val="1"/>
      <w:marLeft w:val="0"/>
      <w:marRight w:val="0"/>
      <w:marTop w:val="0"/>
      <w:marBottom w:val="0"/>
      <w:divBdr>
        <w:top w:val="none" w:sz="0" w:space="0" w:color="auto"/>
        <w:left w:val="none" w:sz="0" w:space="0" w:color="auto"/>
        <w:bottom w:val="none" w:sz="0" w:space="0" w:color="auto"/>
        <w:right w:val="none" w:sz="0" w:space="0" w:color="auto"/>
      </w:divBdr>
    </w:div>
    <w:div w:id="1348599984">
      <w:bodyDiv w:val="1"/>
      <w:marLeft w:val="0"/>
      <w:marRight w:val="0"/>
      <w:marTop w:val="0"/>
      <w:marBottom w:val="0"/>
      <w:divBdr>
        <w:top w:val="none" w:sz="0" w:space="0" w:color="auto"/>
        <w:left w:val="none" w:sz="0" w:space="0" w:color="auto"/>
        <w:bottom w:val="none" w:sz="0" w:space="0" w:color="auto"/>
        <w:right w:val="none" w:sz="0" w:space="0" w:color="auto"/>
      </w:divBdr>
    </w:div>
    <w:div w:id="1348756451">
      <w:bodyDiv w:val="1"/>
      <w:marLeft w:val="0"/>
      <w:marRight w:val="0"/>
      <w:marTop w:val="0"/>
      <w:marBottom w:val="0"/>
      <w:divBdr>
        <w:top w:val="none" w:sz="0" w:space="0" w:color="auto"/>
        <w:left w:val="none" w:sz="0" w:space="0" w:color="auto"/>
        <w:bottom w:val="none" w:sz="0" w:space="0" w:color="auto"/>
        <w:right w:val="none" w:sz="0" w:space="0" w:color="auto"/>
      </w:divBdr>
    </w:div>
    <w:div w:id="1348756509">
      <w:bodyDiv w:val="1"/>
      <w:marLeft w:val="0"/>
      <w:marRight w:val="0"/>
      <w:marTop w:val="0"/>
      <w:marBottom w:val="0"/>
      <w:divBdr>
        <w:top w:val="none" w:sz="0" w:space="0" w:color="auto"/>
        <w:left w:val="none" w:sz="0" w:space="0" w:color="auto"/>
        <w:bottom w:val="none" w:sz="0" w:space="0" w:color="auto"/>
        <w:right w:val="none" w:sz="0" w:space="0" w:color="auto"/>
      </w:divBdr>
    </w:div>
    <w:div w:id="1348823375">
      <w:bodyDiv w:val="1"/>
      <w:marLeft w:val="0"/>
      <w:marRight w:val="0"/>
      <w:marTop w:val="0"/>
      <w:marBottom w:val="0"/>
      <w:divBdr>
        <w:top w:val="none" w:sz="0" w:space="0" w:color="auto"/>
        <w:left w:val="none" w:sz="0" w:space="0" w:color="auto"/>
        <w:bottom w:val="none" w:sz="0" w:space="0" w:color="auto"/>
        <w:right w:val="none" w:sz="0" w:space="0" w:color="auto"/>
      </w:divBdr>
    </w:div>
    <w:div w:id="1348866512">
      <w:bodyDiv w:val="1"/>
      <w:marLeft w:val="0"/>
      <w:marRight w:val="0"/>
      <w:marTop w:val="0"/>
      <w:marBottom w:val="0"/>
      <w:divBdr>
        <w:top w:val="none" w:sz="0" w:space="0" w:color="auto"/>
        <w:left w:val="none" w:sz="0" w:space="0" w:color="auto"/>
        <w:bottom w:val="none" w:sz="0" w:space="0" w:color="auto"/>
        <w:right w:val="none" w:sz="0" w:space="0" w:color="auto"/>
      </w:divBdr>
    </w:div>
    <w:div w:id="1348867188">
      <w:bodyDiv w:val="1"/>
      <w:marLeft w:val="0"/>
      <w:marRight w:val="0"/>
      <w:marTop w:val="0"/>
      <w:marBottom w:val="0"/>
      <w:divBdr>
        <w:top w:val="none" w:sz="0" w:space="0" w:color="auto"/>
        <w:left w:val="none" w:sz="0" w:space="0" w:color="auto"/>
        <w:bottom w:val="none" w:sz="0" w:space="0" w:color="auto"/>
        <w:right w:val="none" w:sz="0" w:space="0" w:color="auto"/>
      </w:divBdr>
    </w:div>
    <w:div w:id="1348870582">
      <w:bodyDiv w:val="1"/>
      <w:marLeft w:val="0"/>
      <w:marRight w:val="0"/>
      <w:marTop w:val="0"/>
      <w:marBottom w:val="0"/>
      <w:divBdr>
        <w:top w:val="none" w:sz="0" w:space="0" w:color="auto"/>
        <w:left w:val="none" w:sz="0" w:space="0" w:color="auto"/>
        <w:bottom w:val="none" w:sz="0" w:space="0" w:color="auto"/>
        <w:right w:val="none" w:sz="0" w:space="0" w:color="auto"/>
      </w:divBdr>
    </w:div>
    <w:div w:id="1348940698">
      <w:bodyDiv w:val="1"/>
      <w:marLeft w:val="0"/>
      <w:marRight w:val="0"/>
      <w:marTop w:val="0"/>
      <w:marBottom w:val="0"/>
      <w:divBdr>
        <w:top w:val="none" w:sz="0" w:space="0" w:color="auto"/>
        <w:left w:val="none" w:sz="0" w:space="0" w:color="auto"/>
        <w:bottom w:val="none" w:sz="0" w:space="0" w:color="auto"/>
        <w:right w:val="none" w:sz="0" w:space="0" w:color="auto"/>
      </w:divBdr>
    </w:div>
    <w:div w:id="1348942107">
      <w:bodyDiv w:val="1"/>
      <w:marLeft w:val="0"/>
      <w:marRight w:val="0"/>
      <w:marTop w:val="0"/>
      <w:marBottom w:val="0"/>
      <w:divBdr>
        <w:top w:val="none" w:sz="0" w:space="0" w:color="auto"/>
        <w:left w:val="none" w:sz="0" w:space="0" w:color="auto"/>
        <w:bottom w:val="none" w:sz="0" w:space="0" w:color="auto"/>
        <w:right w:val="none" w:sz="0" w:space="0" w:color="auto"/>
      </w:divBdr>
    </w:div>
    <w:div w:id="1348947179">
      <w:bodyDiv w:val="1"/>
      <w:marLeft w:val="0"/>
      <w:marRight w:val="0"/>
      <w:marTop w:val="0"/>
      <w:marBottom w:val="0"/>
      <w:divBdr>
        <w:top w:val="none" w:sz="0" w:space="0" w:color="auto"/>
        <w:left w:val="none" w:sz="0" w:space="0" w:color="auto"/>
        <w:bottom w:val="none" w:sz="0" w:space="0" w:color="auto"/>
        <w:right w:val="none" w:sz="0" w:space="0" w:color="auto"/>
      </w:divBdr>
    </w:div>
    <w:div w:id="1348947774">
      <w:bodyDiv w:val="1"/>
      <w:marLeft w:val="0"/>
      <w:marRight w:val="0"/>
      <w:marTop w:val="0"/>
      <w:marBottom w:val="0"/>
      <w:divBdr>
        <w:top w:val="none" w:sz="0" w:space="0" w:color="auto"/>
        <w:left w:val="none" w:sz="0" w:space="0" w:color="auto"/>
        <w:bottom w:val="none" w:sz="0" w:space="0" w:color="auto"/>
        <w:right w:val="none" w:sz="0" w:space="0" w:color="auto"/>
      </w:divBdr>
    </w:div>
    <w:div w:id="1349019568">
      <w:bodyDiv w:val="1"/>
      <w:marLeft w:val="0"/>
      <w:marRight w:val="0"/>
      <w:marTop w:val="0"/>
      <w:marBottom w:val="0"/>
      <w:divBdr>
        <w:top w:val="none" w:sz="0" w:space="0" w:color="auto"/>
        <w:left w:val="none" w:sz="0" w:space="0" w:color="auto"/>
        <w:bottom w:val="none" w:sz="0" w:space="0" w:color="auto"/>
        <w:right w:val="none" w:sz="0" w:space="0" w:color="auto"/>
      </w:divBdr>
    </w:div>
    <w:div w:id="1349022142">
      <w:bodyDiv w:val="1"/>
      <w:marLeft w:val="0"/>
      <w:marRight w:val="0"/>
      <w:marTop w:val="0"/>
      <w:marBottom w:val="0"/>
      <w:divBdr>
        <w:top w:val="none" w:sz="0" w:space="0" w:color="auto"/>
        <w:left w:val="none" w:sz="0" w:space="0" w:color="auto"/>
        <w:bottom w:val="none" w:sz="0" w:space="0" w:color="auto"/>
        <w:right w:val="none" w:sz="0" w:space="0" w:color="auto"/>
      </w:divBdr>
    </w:div>
    <w:div w:id="1349059942">
      <w:bodyDiv w:val="1"/>
      <w:marLeft w:val="0"/>
      <w:marRight w:val="0"/>
      <w:marTop w:val="0"/>
      <w:marBottom w:val="0"/>
      <w:divBdr>
        <w:top w:val="none" w:sz="0" w:space="0" w:color="auto"/>
        <w:left w:val="none" w:sz="0" w:space="0" w:color="auto"/>
        <w:bottom w:val="none" w:sz="0" w:space="0" w:color="auto"/>
        <w:right w:val="none" w:sz="0" w:space="0" w:color="auto"/>
      </w:divBdr>
    </w:div>
    <w:div w:id="1349210591">
      <w:bodyDiv w:val="1"/>
      <w:marLeft w:val="0"/>
      <w:marRight w:val="0"/>
      <w:marTop w:val="0"/>
      <w:marBottom w:val="0"/>
      <w:divBdr>
        <w:top w:val="none" w:sz="0" w:space="0" w:color="auto"/>
        <w:left w:val="none" w:sz="0" w:space="0" w:color="auto"/>
        <w:bottom w:val="none" w:sz="0" w:space="0" w:color="auto"/>
        <w:right w:val="none" w:sz="0" w:space="0" w:color="auto"/>
      </w:divBdr>
    </w:div>
    <w:div w:id="1349255222">
      <w:bodyDiv w:val="1"/>
      <w:marLeft w:val="0"/>
      <w:marRight w:val="0"/>
      <w:marTop w:val="0"/>
      <w:marBottom w:val="0"/>
      <w:divBdr>
        <w:top w:val="none" w:sz="0" w:space="0" w:color="auto"/>
        <w:left w:val="none" w:sz="0" w:space="0" w:color="auto"/>
        <w:bottom w:val="none" w:sz="0" w:space="0" w:color="auto"/>
        <w:right w:val="none" w:sz="0" w:space="0" w:color="auto"/>
      </w:divBdr>
    </w:div>
    <w:div w:id="1349257770">
      <w:bodyDiv w:val="1"/>
      <w:marLeft w:val="0"/>
      <w:marRight w:val="0"/>
      <w:marTop w:val="0"/>
      <w:marBottom w:val="0"/>
      <w:divBdr>
        <w:top w:val="none" w:sz="0" w:space="0" w:color="auto"/>
        <w:left w:val="none" w:sz="0" w:space="0" w:color="auto"/>
        <w:bottom w:val="none" w:sz="0" w:space="0" w:color="auto"/>
        <w:right w:val="none" w:sz="0" w:space="0" w:color="auto"/>
      </w:divBdr>
    </w:div>
    <w:div w:id="1349453451">
      <w:bodyDiv w:val="1"/>
      <w:marLeft w:val="0"/>
      <w:marRight w:val="0"/>
      <w:marTop w:val="0"/>
      <w:marBottom w:val="0"/>
      <w:divBdr>
        <w:top w:val="none" w:sz="0" w:space="0" w:color="auto"/>
        <w:left w:val="none" w:sz="0" w:space="0" w:color="auto"/>
        <w:bottom w:val="none" w:sz="0" w:space="0" w:color="auto"/>
        <w:right w:val="none" w:sz="0" w:space="0" w:color="auto"/>
      </w:divBdr>
    </w:div>
    <w:div w:id="1349598129">
      <w:bodyDiv w:val="1"/>
      <w:marLeft w:val="0"/>
      <w:marRight w:val="0"/>
      <w:marTop w:val="0"/>
      <w:marBottom w:val="0"/>
      <w:divBdr>
        <w:top w:val="none" w:sz="0" w:space="0" w:color="auto"/>
        <w:left w:val="none" w:sz="0" w:space="0" w:color="auto"/>
        <w:bottom w:val="none" w:sz="0" w:space="0" w:color="auto"/>
        <w:right w:val="none" w:sz="0" w:space="0" w:color="auto"/>
      </w:divBdr>
    </w:div>
    <w:div w:id="1349793460">
      <w:bodyDiv w:val="1"/>
      <w:marLeft w:val="0"/>
      <w:marRight w:val="0"/>
      <w:marTop w:val="0"/>
      <w:marBottom w:val="0"/>
      <w:divBdr>
        <w:top w:val="none" w:sz="0" w:space="0" w:color="auto"/>
        <w:left w:val="none" w:sz="0" w:space="0" w:color="auto"/>
        <w:bottom w:val="none" w:sz="0" w:space="0" w:color="auto"/>
        <w:right w:val="none" w:sz="0" w:space="0" w:color="auto"/>
      </w:divBdr>
    </w:div>
    <w:div w:id="1349794876">
      <w:bodyDiv w:val="1"/>
      <w:marLeft w:val="0"/>
      <w:marRight w:val="0"/>
      <w:marTop w:val="0"/>
      <w:marBottom w:val="0"/>
      <w:divBdr>
        <w:top w:val="none" w:sz="0" w:space="0" w:color="auto"/>
        <w:left w:val="none" w:sz="0" w:space="0" w:color="auto"/>
        <w:bottom w:val="none" w:sz="0" w:space="0" w:color="auto"/>
        <w:right w:val="none" w:sz="0" w:space="0" w:color="auto"/>
      </w:divBdr>
    </w:div>
    <w:div w:id="1349870013">
      <w:bodyDiv w:val="1"/>
      <w:marLeft w:val="0"/>
      <w:marRight w:val="0"/>
      <w:marTop w:val="0"/>
      <w:marBottom w:val="0"/>
      <w:divBdr>
        <w:top w:val="none" w:sz="0" w:space="0" w:color="auto"/>
        <w:left w:val="none" w:sz="0" w:space="0" w:color="auto"/>
        <w:bottom w:val="none" w:sz="0" w:space="0" w:color="auto"/>
        <w:right w:val="none" w:sz="0" w:space="0" w:color="auto"/>
      </w:divBdr>
    </w:div>
    <w:div w:id="1349988562">
      <w:bodyDiv w:val="1"/>
      <w:marLeft w:val="0"/>
      <w:marRight w:val="0"/>
      <w:marTop w:val="0"/>
      <w:marBottom w:val="0"/>
      <w:divBdr>
        <w:top w:val="none" w:sz="0" w:space="0" w:color="auto"/>
        <w:left w:val="none" w:sz="0" w:space="0" w:color="auto"/>
        <w:bottom w:val="none" w:sz="0" w:space="0" w:color="auto"/>
        <w:right w:val="none" w:sz="0" w:space="0" w:color="auto"/>
      </w:divBdr>
    </w:div>
    <w:div w:id="1349991222">
      <w:bodyDiv w:val="1"/>
      <w:marLeft w:val="0"/>
      <w:marRight w:val="0"/>
      <w:marTop w:val="0"/>
      <w:marBottom w:val="0"/>
      <w:divBdr>
        <w:top w:val="none" w:sz="0" w:space="0" w:color="auto"/>
        <w:left w:val="none" w:sz="0" w:space="0" w:color="auto"/>
        <w:bottom w:val="none" w:sz="0" w:space="0" w:color="auto"/>
        <w:right w:val="none" w:sz="0" w:space="0" w:color="auto"/>
      </w:divBdr>
    </w:div>
    <w:div w:id="1350326880">
      <w:bodyDiv w:val="1"/>
      <w:marLeft w:val="0"/>
      <w:marRight w:val="0"/>
      <w:marTop w:val="0"/>
      <w:marBottom w:val="0"/>
      <w:divBdr>
        <w:top w:val="none" w:sz="0" w:space="0" w:color="auto"/>
        <w:left w:val="none" w:sz="0" w:space="0" w:color="auto"/>
        <w:bottom w:val="none" w:sz="0" w:space="0" w:color="auto"/>
        <w:right w:val="none" w:sz="0" w:space="0" w:color="auto"/>
      </w:divBdr>
    </w:div>
    <w:div w:id="1350373029">
      <w:bodyDiv w:val="1"/>
      <w:marLeft w:val="0"/>
      <w:marRight w:val="0"/>
      <w:marTop w:val="0"/>
      <w:marBottom w:val="0"/>
      <w:divBdr>
        <w:top w:val="none" w:sz="0" w:space="0" w:color="auto"/>
        <w:left w:val="none" w:sz="0" w:space="0" w:color="auto"/>
        <w:bottom w:val="none" w:sz="0" w:space="0" w:color="auto"/>
        <w:right w:val="none" w:sz="0" w:space="0" w:color="auto"/>
      </w:divBdr>
    </w:div>
    <w:div w:id="1350376111">
      <w:bodyDiv w:val="1"/>
      <w:marLeft w:val="0"/>
      <w:marRight w:val="0"/>
      <w:marTop w:val="0"/>
      <w:marBottom w:val="0"/>
      <w:divBdr>
        <w:top w:val="none" w:sz="0" w:space="0" w:color="auto"/>
        <w:left w:val="none" w:sz="0" w:space="0" w:color="auto"/>
        <w:bottom w:val="none" w:sz="0" w:space="0" w:color="auto"/>
        <w:right w:val="none" w:sz="0" w:space="0" w:color="auto"/>
      </w:divBdr>
    </w:div>
    <w:div w:id="1350446004">
      <w:bodyDiv w:val="1"/>
      <w:marLeft w:val="0"/>
      <w:marRight w:val="0"/>
      <w:marTop w:val="0"/>
      <w:marBottom w:val="0"/>
      <w:divBdr>
        <w:top w:val="none" w:sz="0" w:space="0" w:color="auto"/>
        <w:left w:val="none" w:sz="0" w:space="0" w:color="auto"/>
        <w:bottom w:val="none" w:sz="0" w:space="0" w:color="auto"/>
        <w:right w:val="none" w:sz="0" w:space="0" w:color="auto"/>
      </w:divBdr>
    </w:div>
    <w:div w:id="1350451500">
      <w:bodyDiv w:val="1"/>
      <w:marLeft w:val="0"/>
      <w:marRight w:val="0"/>
      <w:marTop w:val="0"/>
      <w:marBottom w:val="0"/>
      <w:divBdr>
        <w:top w:val="none" w:sz="0" w:space="0" w:color="auto"/>
        <w:left w:val="none" w:sz="0" w:space="0" w:color="auto"/>
        <w:bottom w:val="none" w:sz="0" w:space="0" w:color="auto"/>
        <w:right w:val="none" w:sz="0" w:space="0" w:color="auto"/>
      </w:divBdr>
    </w:div>
    <w:div w:id="1350526536">
      <w:bodyDiv w:val="1"/>
      <w:marLeft w:val="0"/>
      <w:marRight w:val="0"/>
      <w:marTop w:val="0"/>
      <w:marBottom w:val="0"/>
      <w:divBdr>
        <w:top w:val="none" w:sz="0" w:space="0" w:color="auto"/>
        <w:left w:val="none" w:sz="0" w:space="0" w:color="auto"/>
        <w:bottom w:val="none" w:sz="0" w:space="0" w:color="auto"/>
        <w:right w:val="none" w:sz="0" w:space="0" w:color="auto"/>
      </w:divBdr>
    </w:div>
    <w:div w:id="1350570281">
      <w:bodyDiv w:val="1"/>
      <w:marLeft w:val="0"/>
      <w:marRight w:val="0"/>
      <w:marTop w:val="0"/>
      <w:marBottom w:val="0"/>
      <w:divBdr>
        <w:top w:val="none" w:sz="0" w:space="0" w:color="auto"/>
        <w:left w:val="none" w:sz="0" w:space="0" w:color="auto"/>
        <w:bottom w:val="none" w:sz="0" w:space="0" w:color="auto"/>
        <w:right w:val="none" w:sz="0" w:space="0" w:color="auto"/>
      </w:divBdr>
    </w:div>
    <w:div w:id="1350719416">
      <w:bodyDiv w:val="1"/>
      <w:marLeft w:val="0"/>
      <w:marRight w:val="0"/>
      <w:marTop w:val="0"/>
      <w:marBottom w:val="0"/>
      <w:divBdr>
        <w:top w:val="none" w:sz="0" w:space="0" w:color="auto"/>
        <w:left w:val="none" w:sz="0" w:space="0" w:color="auto"/>
        <w:bottom w:val="none" w:sz="0" w:space="0" w:color="auto"/>
        <w:right w:val="none" w:sz="0" w:space="0" w:color="auto"/>
      </w:divBdr>
    </w:div>
    <w:div w:id="1350721954">
      <w:bodyDiv w:val="1"/>
      <w:marLeft w:val="0"/>
      <w:marRight w:val="0"/>
      <w:marTop w:val="0"/>
      <w:marBottom w:val="0"/>
      <w:divBdr>
        <w:top w:val="none" w:sz="0" w:space="0" w:color="auto"/>
        <w:left w:val="none" w:sz="0" w:space="0" w:color="auto"/>
        <w:bottom w:val="none" w:sz="0" w:space="0" w:color="auto"/>
        <w:right w:val="none" w:sz="0" w:space="0" w:color="auto"/>
      </w:divBdr>
    </w:div>
    <w:div w:id="1350793726">
      <w:bodyDiv w:val="1"/>
      <w:marLeft w:val="0"/>
      <w:marRight w:val="0"/>
      <w:marTop w:val="0"/>
      <w:marBottom w:val="0"/>
      <w:divBdr>
        <w:top w:val="none" w:sz="0" w:space="0" w:color="auto"/>
        <w:left w:val="none" w:sz="0" w:space="0" w:color="auto"/>
        <w:bottom w:val="none" w:sz="0" w:space="0" w:color="auto"/>
        <w:right w:val="none" w:sz="0" w:space="0" w:color="auto"/>
      </w:divBdr>
    </w:div>
    <w:div w:id="1350831040">
      <w:bodyDiv w:val="1"/>
      <w:marLeft w:val="0"/>
      <w:marRight w:val="0"/>
      <w:marTop w:val="0"/>
      <w:marBottom w:val="0"/>
      <w:divBdr>
        <w:top w:val="none" w:sz="0" w:space="0" w:color="auto"/>
        <w:left w:val="none" w:sz="0" w:space="0" w:color="auto"/>
        <w:bottom w:val="none" w:sz="0" w:space="0" w:color="auto"/>
        <w:right w:val="none" w:sz="0" w:space="0" w:color="auto"/>
      </w:divBdr>
    </w:div>
    <w:div w:id="1350835538">
      <w:bodyDiv w:val="1"/>
      <w:marLeft w:val="0"/>
      <w:marRight w:val="0"/>
      <w:marTop w:val="0"/>
      <w:marBottom w:val="0"/>
      <w:divBdr>
        <w:top w:val="none" w:sz="0" w:space="0" w:color="auto"/>
        <w:left w:val="none" w:sz="0" w:space="0" w:color="auto"/>
        <w:bottom w:val="none" w:sz="0" w:space="0" w:color="auto"/>
        <w:right w:val="none" w:sz="0" w:space="0" w:color="auto"/>
      </w:divBdr>
    </w:div>
    <w:div w:id="1350840390">
      <w:bodyDiv w:val="1"/>
      <w:marLeft w:val="0"/>
      <w:marRight w:val="0"/>
      <w:marTop w:val="0"/>
      <w:marBottom w:val="0"/>
      <w:divBdr>
        <w:top w:val="none" w:sz="0" w:space="0" w:color="auto"/>
        <w:left w:val="none" w:sz="0" w:space="0" w:color="auto"/>
        <w:bottom w:val="none" w:sz="0" w:space="0" w:color="auto"/>
        <w:right w:val="none" w:sz="0" w:space="0" w:color="auto"/>
      </w:divBdr>
    </w:div>
    <w:div w:id="1350908156">
      <w:bodyDiv w:val="1"/>
      <w:marLeft w:val="0"/>
      <w:marRight w:val="0"/>
      <w:marTop w:val="0"/>
      <w:marBottom w:val="0"/>
      <w:divBdr>
        <w:top w:val="none" w:sz="0" w:space="0" w:color="auto"/>
        <w:left w:val="none" w:sz="0" w:space="0" w:color="auto"/>
        <w:bottom w:val="none" w:sz="0" w:space="0" w:color="auto"/>
        <w:right w:val="none" w:sz="0" w:space="0" w:color="auto"/>
      </w:divBdr>
    </w:div>
    <w:div w:id="1350989566">
      <w:bodyDiv w:val="1"/>
      <w:marLeft w:val="0"/>
      <w:marRight w:val="0"/>
      <w:marTop w:val="0"/>
      <w:marBottom w:val="0"/>
      <w:divBdr>
        <w:top w:val="none" w:sz="0" w:space="0" w:color="auto"/>
        <w:left w:val="none" w:sz="0" w:space="0" w:color="auto"/>
        <w:bottom w:val="none" w:sz="0" w:space="0" w:color="auto"/>
        <w:right w:val="none" w:sz="0" w:space="0" w:color="auto"/>
      </w:divBdr>
    </w:div>
    <w:div w:id="1351030278">
      <w:bodyDiv w:val="1"/>
      <w:marLeft w:val="0"/>
      <w:marRight w:val="0"/>
      <w:marTop w:val="0"/>
      <w:marBottom w:val="0"/>
      <w:divBdr>
        <w:top w:val="none" w:sz="0" w:space="0" w:color="auto"/>
        <w:left w:val="none" w:sz="0" w:space="0" w:color="auto"/>
        <w:bottom w:val="none" w:sz="0" w:space="0" w:color="auto"/>
        <w:right w:val="none" w:sz="0" w:space="0" w:color="auto"/>
      </w:divBdr>
    </w:div>
    <w:div w:id="1351033866">
      <w:bodyDiv w:val="1"/>
      <w:marLeft w:val="0"/>
      <w:marRight w:val="0"/>
      <w:marTop w:val="0"/>
      <w:marBottom w:val="0"/>
      <w:divBdr>
        <w:top w:val="none" w:sz="0" w:space="0" w:color="auto"/>
        <w:left w:val="none" w:sz="0" w:space="0" w:color="auto"/>
        <w:bottom w:val="none" w:sz="0" w:space="0" w:color="auto"/>
        <w:right w:val="none" w:sz="0" w:space="0" w:color="auto"/>
      </w:divBdr>
    </w:div>
    <w:div w:id="1351099655">
      <w:bodyDiv w:val="1"/>
      <w:marLeft w:val="0"/>
      <w:marRight w:val="0"/>
      <w:marTop w:val="0"/>
      <w:marBottom w:val="0"/>
      <w:divBdr>
        <w:top w:val="none" w:sz="0" w:space="0" w:color="auto"/>
        <w:left w:val="none" w:sz="0" w:space="0" w:color="auto"/>
        <w:bottom w:val="none" w:sz="0" w:space="0" w:color="auto"/>
        <w:right w:val="none" w:sz="0" w:space="0" w:color="auto"/>
      </w:divBdr>
    </w:div>
    <w:div w:id="1351178408">
      <w:bodyDiv w:val="1"/>
      <w:marLeft w:val="0"/>
      <w:marRight w:val="0"/>
      <w:marTop w:val="0"/>
      <w:marBottom w:val="0"/>
      <w:divBdr>
        <w:top w:val="none" w:sz="0" w:space="0" w:color="auto"/>
        <w:left w:val="none" w:sz="0" w:space="0" w:color="auto"/>
        <w:bottom w:val="none" w:sz="0" w:space="0" w:color="auto"/>
        <w:right w:val="none" w:sz="0" w:space="0" w:color="auto"/>
      </w:divBdr>
    </w:div>
    <w:div w:id="1351251820">
      <w:bodyDiv w:val="1"/>
      <w:marLeft w:val="0"/>
      <w:marRight w:val="0"/>
      <w:marTop w:val="0"/>
      <w:marBottom w:val="0"/>
      <w:divBdr>
        <w:top w:val="none" w:sz="0" w:space="0" w:color="auto"/>
        <w:left w:val="none" w:sz="0" w:space="0" w:color="auto"/>
        <w:bottom w:val="none" w:sz="0" w:space="0" w:color="auto"/>
        <w:right w:val="none" w:sz="0" w:space="0" w:color="auto"/>
      </w:divBdr>
    </w:div>
    <w:div w:id="1351294563">
      <w:bodyDiv w:val="1"/>
      <w:marLeft w:val="0"/>
      <w:marRight w:val="0"/>
      <w:marTop w:val="0"/>
      <w:marBottom w:val="0"/>
      <w:divBdr>
        <w:top w:val="none" w:sz="0" w:space="0" w:color="auto"/>
        <w:left w:val="none" w:sz="0" w:space="0" w:color="auto"/>
        <w:bottom w:val="none" w:sz="0" w:space="0" w:color="auto"/>
        <w:right w:val="none" w:sz="0" w:space="0" w:color="auto"/>
      </w:divBdr>
    </w:div>
    <w:div w:id="1351372219">
      <w:bodyDiv w:val="1"/>
      <w:marLeft w:val="0"/>
      <w:marRight w:val="0"/>
      <w:marTop w:val="0"/>
      <w:marBottom w:val="0"/>
      <w:divBdr>
        <w:top w:val="none" w:sz="0" w:space="0" w:color="auto"/>
        <w:left w:val="none" w:sz="0" w:space="0" w:color="auto"/>
        <w:bottom w:val="none" w:sz="0" w:space="0" w:color="auto"/>
        <w:right w:val="none" w:sz="0" w:space="0" w:color="auto"/>
      </w:divBdr>
    </w:div>
    <w:div w:id="1351372313">
      <w:bodyDiv w:val="1"/>
      <w:marLeft w:val="0"/>
      <w:marRight w:val="0"/>
      <w:marTop w:val="0"/>
      <w:marBottom w:val="0"/>
      <w:divBdr>
        <w:top w:val="none" w:sz="0" w:space="0" w:color="auto"/>
        <w:left w:val="none" w:sz="0" w:space="0" w:color="auto"/>
        <w:bottom w:val="none" w:sz="0" w:space="0" w:color="auto"/>
        <w:right w:val="none" w:sz="0" w:space="0" w:color="auto"/>
      </w:divBdr>
    </w:div>
    <w:div w:id="1351372732">
      <w:bodyDiv w:val="1"/>
      <w:marLeft w:val="0"/>
      <w:marRight w:val="0"/>
      <w:marTop w:val="0"/>
      <w:marBottom w:val="0"/>
      <w:divBdr>
        <w:top w:val="none" w:sz="0" w:space="0" w:color="auto"/>
        <w:left w:val="none" w:sz="0" w:space="0" w:color="auto"/>
        <w:bottom w:val="none" w:sz="0" w:space="0" w:color="auto"/>
        <w:right w:val="none" w:sz="0" w:space="0" w:color="auto"/>
      </w:divBdr>
    </w:div>
    <w:div w:id="1351450047">
      <w:bodyDiv w:val="1"/>
      <w:marLeft w:val="0"/>
      <w:marRight w:val="0"/>
      <w:marTop w:val="0"/>
      <w:marBottom w:val="0"/>
      <w:divBdr>
        <w:top w:val="none" w:sz="0" w:space="0" w:color="auto"/>
        <w:left w:val="none" w:sz="0" w:space="0" w:color="auto"/>
        <w:bottom w:val="none" w:sz="0" w:space="0" w:color="auto"/>
        <w:right w:val="none" w:sz="0" w:space="0" w:color="auto"/>
      </w:divBdr>
    </w:div>
    <w:div w:id="1351490386">
      <w:bodyDiv w:val="1"/>
      <w:marLeft w:val="0"/>
      <w:marRight w:val="0"/>
      <w:marTop w:val="0"/>
      <w:marBottom w:val="0"/>
      <w:divBdr>
        <w:top w:val="none" w:sz="0" w:space="0" w:color="auto"/>
        <w:left w:val="none" w:sz="0" w:space="0" w:color="auto"/>
        <w:bottom w:val="none" w:sz="0" w:space="0" w:color="auto"/>
        <w:right w:val="none" w:sz="0" w:space="0" w:color="auto"/>
      </w:divBdr>
    </w:div>
    <w:div w:id="1351758017">
      <w:bodyDiv w:val="1"/>
      <w:marLeft w:val="0"/>
      <w:marRight w:val="0"/>
      <w:marTop w:val="0"/>
      <w:marBottom w:val="0"/>
      <w:divBdr>
        <w:top w:val="none" w:sz="0" w:space="0" w:color="auto"/>
        <w:left w:val="none" w:sz="0" w:space="0" w:color="auto"/>
        <w:bottom w:val="none" w:sz="0" w:space="0" w:color="auto"/>
        <w:right w:val="none" w:sz="0" w:space="0" w:color="auto"/>
      </w:divBdr>
    </w:div>
    <w:div w:id="1351834427">
      <w:bodyDiv w:val="1"/>
      <w:marLeft w:val="0"/>
      <w:marRight w:val="0"/>
      <w:marTop w:val="0"/>
      <w:marBottom w:val="0"/>
      <w:divBdr>
        <w:top w:val="none" w:sz="0" w:space="0" w:color="auto"/>
        <w:left w:val="none" w:sz="0" w:space="0" w:color="auto"/>
        <w:bottom w:val="none" w:sz="0" w:space="0" w:color="auto"/>
        <w:right w:val="none" w:sz="0" w:space="0" w:color="auto"/>
      </w:divBdr>
    </w:div>
    <w:div w:id="1351878826">
      <w:bodyDiv w:val="1"/>
      <w:marLeft w:val="0"/>
      <w:marRight w:val="0"/>
      <w:marTop w:val="0"/>
      <w:marBottom w:val="0"/>
      <w:divBdr>
        <w:top w:val="none" w:sz="0" w:space="0" w:color="auto"/>
        <w:left w:val="none" w:sz="0" w:space="0" w:color="auto"/>
        <w:bottom w:val="none" w:sz="0" w:space="0" w:color="auto"/>
        <w:right w:val="none" w:sz="0" w:space="0" w:color="auto"/>
      </w:divBdr>
    </w:div>
    <w:div w:id="1351956352">
      <w:bodyDiv w:val="1"/>
      <w:marLeft w:val="0"/>
      <w:marRight w:val="0"/>
      <w:marTop w:val="0"/>
      <w:marBottom w:val="0"/>
      <w:divBdr>
        <w:top w:val="none" w:sz="0" w:space="0" w:color="auto"/>
        <w:left w:val="none" w:sz="0" w:space="0" w:color="auto"/>
        <w:bottom w:val="none" w:sz="0" w:space="0" w:color="auto"/>
        <w:right w:val="none" w:sz="0" w:space="0" w:color="auto"/>
      </w:divBdr>
    </w:div>
    <w:div w:id="1351956892">
      <w:bodyDiv w:val="1"/>
      <w:marLeft w:val="0"/>
      <w:marRight w:val="0"/>
      <w:marTop w:val="0"/>
      <w:marBottom w:val="0"/>
      <w:divBdr>
        <w:top w:val="none" w:sz="0" w:space="0" w:color="auto"/>
        <w:left w:val="none" w:sz="0" w:space="0" w:color="auto"/>
        <w:bottom w:val="none" w:sz="0" w:space="0" w:color="auto"/>
        <w:right w:val="none" w:sz="0" w:space="0" w:color="auto"/>
      </w:divBdr>
    </w:div>
    <w:div w:id="1352031392">
      <w:bodyDiv w:val="1"/>
      <w:marLeft w:val="0"/>
      <w:marRight w:val="0"/>
      <w:marTop w:val="0"/>
      <w:marBottom w:val="0"/>
      <w:divBdr>
        <w:top w:val="none" w:sz="0" w:space="0" w:color="auto"/>
        <w:left w:val="none" w:sz="0" w:space="0" w:color="auto"/>
        <w:bottom w:val="none" w:sz="0" w:space="0" w:color="auto"/>
        <w:right w:val="none" w:sz="0" w:space="0" w:color="auto"/>
      </w:divBdr>
    </w:div>
    <w:div w:id="1352101514">
      <w:bodyDiv w:val="1"/>
      <w:marLeft w:val="0"/>
      <w:marRight w:val="0"/>
      <w:marTop w:val="0"/>
      <w:marBottom w:val="0"/>
      <w:divBdr>
        <w:top w:val="none" w:sz="0" w:space="0" w:color="auto"/>
        <w:left w:val="none" w:sz="0" w:space="0" w:color="auto"/>
        <w:bottom w:val="none" w:sz="0" w:space="0" w:color="auto"/>
        <w:right w:val="none" w:sz="0" w:space="0" w:color="auto"/>
      </w:divBdr>
    </w:div>
    <w:div w:id="1352103113">
      <w:bodyDiv w:val="1"/>
      <w:marLeft w:val="0"/>
      <w:marRight w:val="0"/>
      <w:marTop w:val="0"/>
      <w:marBottom w:val="0"/>
      <w:divBdr>
        <w:top w:val="none" w:sz="0" w:space="0" w:color="auto"/>
        <w:left w:val="none" w:sz="0" w:space="0" w:color="auto"/>
        <w:bottom w:val="none" w:sz="0" w:space="0" w:color="auto"/>
        <w:right w:val="none" w:sz="0" w:space="0" w:color="auto"/>
      </w:divBdr>
    </w:div>
    <w:div w:id="1352105428">
      <w:bodyDiv w:val="1"/>
      <w:marLeft w:val="0"/>
      <w:marRight w:val="0"/>
      <w:marTop w:val="0"/>
      <w:marBottom w:val="0"/>
      <w:divBdr>
        <w:top w:val="none" w:sz="0" w:space="0" w:color="auto"/>
        <w:left w:val="none" w:sz="0" w:space="0" w:color="auto"/>
        <w:bottom w:val="none" w:sz="0" w:space="0" w:color="auto"/>
        <w:right w:val="none" w:sz="0" w:space="0" w:color="auto"/>
      </w:divBdr>
    </w:div>
    <w:div w:id="1352150584">
      <w:bodyDiv w:val="1"/>
      <w:marLeft w:val="0"/>
      <w:marRight w:val="0"/>
      <w:marTop w:val="0"/>
      <w:marBottom w:val="0"/>
      <w:divBdr>
        <w:top w:val="none" w:sz="0" w:space="0" w:color="auto"/>
        <w:left w:val="none" w:sz="0" w:space="0" w:color="auto"/>
        <w:bottom w:val="none" w:sz="0" w:space="0" w:color="auto"/>
        <w:right w:val="none" w:sz="0" w:space="0" w:color="auto"/>
      </w:divBdr>
    </w:div>
    <w:div w:id="1352221597">
      <w:bodyDiv w:val="1"/>
      <w:marLeft w:val="0"/>
      <w:marRight w:val="0"/>
      <w:marTop w:val="0"/>
      <w:marBottom w:val="0"/>
      <w:divBdr>
        <w:top w:val="none" w:sz="0" w:space="0" w:color="auto"/>
        <w:left w:val="none" w:sz="0" w:space="0" w:color="auto"/>
        <w:bottom w:val="none" w:sz="0" w:space="0" w:color="auto"/>
        <w:right w:val="none" w:sz="0" w:space="0" w:color="auto"/>
      </w:divBdr>
    </w:div>
    <w:div w:id="1352487892">
      <w:bodyDiv w:val="1"/>
      <w:marLeft w:val="0"/>
      <w:marRight w:val="0"/>
      <w:marTop w:val="0"/>
      <w:marBottom w:val="0"/>
      <w:divBdr>
        <w:top w:val="none" w:sz="0" w:space="0" w:color="auto"/>
        <w:left w:val="none" w:sz="0" w:space="0" w:color="auto"/>
        <w:bottom w:val="none" w:sz="0" w:space="0" w:color="auto"/>
        <w:right w:val="none" w:sz="0" w:space="0" w:color="auto"/>
      </w:divBdr>
    </w:div>
    <w:div w:id="1352492428">
      <w:bodyDiv w:val="1"/>
      <w:marLeft w:val="0"/>
      <w:marRight w:val="0"/>
      <w:marTop w:val="0"/>
      <w:marBottom w:val="0"/>
      <w:divBdr>
        <w:top w:val="none" w:sz="0" w:space="0" w:color="auto"/>
        <w:left w:val="none" w:sz="0" w:space="0" w:color="auto"/>
        <w:bottom w:val="none" w:sz="0" w:space="0" w:color="auto"/>
        <w:right w:val="none" w:sz="0" w:space="0" w:color="auto"/>
      </w:divBdr>
    </w:div>
    <w:div w:id="1352562822">
      <w:bodyDiv w:val="1"/>
      <w:marLeft w:val="0"/>
      <w:marRight w:val="0"/>
      <w:marTop w:val="0"/>
      <w:marBottom w:val="0"/>
      <w:divBdr>
        <w:top w:val="none" w:sz="0" w:space="0" w:color="auto"/>
        <w:left w:val="none" w:sz="0" w:space="0" w:color="auto"/>
        <w:bottom w:val="none" w:sz="0" w:space="0" w:color="auto"/>
        <w:right w:val="none" w:sz="0" w:space="0" w:color="auto"/>
      </w:divBdr>
    </w:div>
    <w:div w:id="1352729068">
      <w:bodyDiv w:val="1"/>
      <w:marLeft w:val="0"/>
      <w:marRight w:val="0"/>
      <w:marTop w:val="0"/>
      <w:marBottom w:val="0"/>
      <w:divBdr>
        <w:top w:val="none" w:sz="0" w:space="0" w:color="auto"/>
        <w:left w:val="none" w:sz="0" w:space="0" w:color="auto"/>
        <w:bottom w:val="none" w:sz="0" w:space="0" w:color="auto"/>
        <w:right w:val="none" w:sz="0" w:space="0" w:color="auto"/>
      </w:divBdr>
    </w:div>
    <w:div w:id="1352872483">
      <w:bodyDiv w:val="1"/>
      <w:marLeft w:val="0"/>
      <w:marRight w:val="0"/>
      <w:marTop w:val="0"/>
      <w:marBottom w:val="0"/>
      <w:divBdr>
        <w:top w:val="none" w:sz="0" w:space="0" w:color="auto"/>
        <w:left w:val="none" w:sz="0" w:space="0" w:color="auto"/>
        <w:bottom w:val="none" w:sz="0" w:space="0" w:color="auto"/>
        <w:right w:val="none" w:sz="0" w:space="0" w:color="auto"/>
      </w:divBdr>
    </w:div>
    <w:div w:id="1352877674">
      <w:bodyDiv w:val="1"/>
      <w:marLeft w:val="0"/>
      <w:marRight w:val="0"/>
      <w:marTop w:val="0"/>
      <w:marBottom w:val="0"/>
      <w:divBdr>
        <w:top w:val="none" w:sz="0" w:space="0" w:color="auto"/>
        <w:left w:val="none" w:sz="0" w:space="0" w:color="auto"/>
        <w:bottom w:val="none" w:sz="0" w:space="0" w:color="auto"/>
        <w:right w:val="none" w:sz="0" w:space="0" w:color="auto"/>
      </w:divBdr>
    </w:div>
    <w:div w:id="1352880690">
      <w:bodyDiv w:val="1"/>
      <w:marLeft w:val="0"/>
      <w:marRight w:val="0"/>
      <w:marTop w:val="0"/>
      <w:marBottom w:val="0"/>
      <w:divBdr>
        <w:top w:val="none" w:sz="0" w:space="0" w:color="auto"/>
        <w:left w:val="none" w:sz="0" w:space="0" w:color="auto"/>
        <w:bottom w:val="none" w:sz="0" w:space="0" w:color="auto"/>
        <w:right w:val="none" w:sz="0" w:space="0" w:color="auto"/>
      </w:divBdr>
    </w:div>
    <w:div w:id="1352950447">
      <w:bodyDiv w:val="1"/>
      <w:marLeft w:val="0"/>
      <w:marRight w:val="0"/>
      <w:marTop w:val="0"/>
      <w:marBottom w:val="0"/>
      <w:divBdr>
        <w:top w:val="none" w:sz="0" w:space="0" w:color="auto"/>
        <w:left w:val="none" w:sz="0" w:space="0" w:color="auto"/>
        <w:bottom w:val="none" w:sz="0" w:space="0" w:color="auto"/>
        <w:right w:val="none" w:sz="0" w:space="0" w:color="auto"/>
      </w:divBdr>
    </w:div>
    <w:div w:id="1353069209">
      <w:bodyDiv w:val="1"/>
      <w:marLeft w:val="0"/>
      <w:marRight w:val="0"/>
      <w:marTop w:val="0"/>
      <w:marBottom w:val="0"/>
      <w:divBdr>
        <w:top w:val="none" w:sz="0" w:space="0" w:color="auto"/>
        <w:left w:val="none" w:sz="0" w:space="0" w:color="auto"/>
        <w:bottom w:val="none" w:sz="0" w:space="0" w:color="auto"/>
        <w:right w:val="none" w:sz="0" w:space="0" w:color="auto"/>
      </w:divBdr>
    </w:div>
    <w:div w:id="1353149890">
      <w:bodyDiv w:val="1"/>
      <w:marLeft w:val="0"/>
      <w:marRight w:val="0"/>
      <w:marTop w:val="0"/>
      <w:marBottom w:val="0"/>
      <w:divBdr>
        <w:top w:val="none" w:sz="0" w:space="0" w:color="auto"/>
        <w:left w:val="none" w:sz="0" w:space="0" w:color="auto"/>
        <w:bottom w:val="none" w:sz="0" w:space="0" w:color="auto"/>
        <w:right w:val="none" w:sz="0" w:space="0" w:color="auto"/>
      </w:divBdr>
    </w:div>
    <w:div w:id="1353416164">
      <w:bodyDiv w:val="1"/>
      <w:marLeft w:val="0"/>
      <w:marRight w:val="0"/>
      <w:marTop w:val="0"/>
      <w:marBottom w:val="0"/>
      <w:divBdr>
        <w:top w:val="none" w:sz="0" w:space="0" w:color="auto"/>
        <w:left w:val="none" w:sz="0" w:space="0" w:color="auto"/>
        <w:bottom w:val="none" w:sz="0" w:space="0" w:color="auto"/>
        <w:right w:val="none" w:sz="0" w:space="0" w:color="auto"/>
      </w:divBdr>
    </w:div>
    <w:div w:id="1353459216">
      <w:bodyDiv w:val="1"/>
      <w:marLeft w:val="0"/>
      <w:marRight w:val="0"/>
      <w:marTop w:val="0"/>
      <w:marBottom w:val="0"/>
      <w:divBdr>
        <w:top w:val="none" w:sz="0" w:space="0" w:color="auto"/>
        <w:left w:val="none" w:sz="0" w:space="0" w:color="auto"/>
        <w:bottom w:val="none" w:sz="0" w:space="0" w:color="auto"/>
        <w:right w:val="none" w:sz="0" w:space="0" w:color="auto"/>
      </w:divBdr>
    </w:div>
    <w:div w:id="1353528128">
      <w:bodyDiv w:val="1"/>
      <w:marLeft w:val="0"/>
      <w:marRight w:val="0"/>
      <w:marTop w:val="0"/>
      <w:marBottom w:val="0"/>
      <w:divBdr>
        <w:top w:val="none" w:sz="0" w:space="0" w:color="auto"/>
        <w:left w:val="none" w:sz="0" w:space="0" w:color="auto"/>
        <w:bottom w:val="none" w:sz="0" w:space="0" w:color="auto"/>
        <w:right w:val="none" w:sz="0" w:space="0" w:color="auto"/>
      </w:divBdr>
    </w:div>
    <w:div w:id="1353605831">
      <w:bodyDiv w:val="1"/>
      <w:marLeft w:val="0"/>
      <w:marRight w:val="0"/>
      <w:marTop w:val="0"/>
      <w:marBottom w:val="0"/>
      <w:divBdr>
        <w:top w:val="none" w:sz="0" w:space="0" w:color="auto"/>
        <w:left w:val="none" w:sz="0" w:space="0" w:color="auto"/>
        <w:bottom w:val="none" w:sz="0" w:space="0" w:color="auto"/>
        <w:right w:val="none" w:sz="0" w:space="0" w:color="auto"/>
      </w:divBdr>
    </w:div>
    <w:div w:id="1353610084">
      <w:bodyDiv w:val="1"/>
      <w:marLeft w:val="0"/>
      <w:marRight w:val="0"/>
      <w:marTop w:val="0"/>
      <w:marBottom w:val="0"/>
      <w:divBdr>
        <w:top w:val="none" w:sz="0" w:space="0" w:color="auto"/>
        <w:left w:val="none" w:sz="0" w:space="0" w:color="auto"/>
        <w:bottom w:val="none" w:sz="0" w:space="0" w:color="auto"/>
        <w:right w:val="none" w:sz="0" w:space="0" w:color="auto"/>
      </w:divBdr>
    </w:div>
    <w:div w:id="1353612236">
      <w:bodyDiv w:val="1"/>
      <w:marLeft w:val="0"/>
      <w:marRight w:val="0"/>
      <w:marTop w:val="0"/>
      <w:marBottom w:val="0"/>
      <w:divBdr>
        <w:top w:val="none" w:sz="0" w:space="0" w:color="auto"/>
        <w:left w:val="none" w:sz="0" w:space="0" w:color="auto"/>
        <w:bottom w:val="none" w:sz="0" w:space="0" w:color="auto"/>
        <w:right w:val="none" w:sz="0" w:space="0" w:color="auto"/>
      </w:divBdr>
    </w:div>
    <w:div w:id="1353648594">
      <w:bodyDiv w:val="1"/>
      <w:marLeft w:val="0"/>
      <w:marRight w:val="0"/>
      <w:marTop w:val="0"/>
      <w:marBottom w:val="0"/>
      <w:divBdr>
        <w:top w:val="none" w:sz="0" w:space="0" w:color="auto"/>
        <w:left w:val="none" w:sz="0" w:space="0" w:color="auto"/>
        <w:bottom w:val="none" w:sz="0" w:space="0" w:color="auto"/>
        <w:right w:val="none" w:sz="0" w:space="0" w:color="auto"/>
      </w:divBdr>
    </w:div>
    <w:div w:id="1353650258">
      <w:bodyDiv w:val="1"/>
      <w:marLeft w:val="0"/>
      <w:marRight w:val="0"/>
      <w:marTop w:val="0"/>
      <w:marBottom w:val="0"/>
      <w:divBdr>
        <w:top w:val="none" w:sz="0" w:space="0" w:color="auto"/>
        <w:left w:val="none" w:sz="0" w:space="0" w:color="auto"/>
        <w:bottom w:val="none" w:sz="0" w:space="0" w:color="auto"/>
        <w:right w:val="none" w:sz="0" w:space="0" w:color="auto"/>
      </w:divBdr>
    </w:div>
    <w:div w:id="1353651423">
      <w:bodyDiv w:val="1"/>
      <w:marLeft w:val="0"/>
      <w:marRight w:val="0"/>
      <w:marTop w:val="0"/>
      <w:marBottom w:val="0"/>
      <w:divBdr>
        <w:top w:val="none" w:sz="0" w:space="0" w:color="auto"/>
        <w:left w:val="none" w:sz="0" w:space="0" w:color="auto"/>
        <w:bottom w:val="none" w:sz="0" w:space="0" w:color="auto"/>
        <w:right w:val="none" w:sz="0" w:space="0" w:color="auto"/>
      </w:divBdr>
    </w:div>
    <w:div w:id="1353723389">
      <w:bodyDiv w:val="1"/>
      <w:marLeft w:val="0"/>
      <w:marRight w:val="0"/>
      <w:marTop w:val="0"/>
      <w:marBottom w:val="0"/>
      <w:divBdr>
        <w:top w:val="none" w:sz="0" w:space="0" w:color="auto"/>
        <w:left w:val="none" w:sz="0" w:space="0" w:color="auto"/>
        <w:bottom w:val="none" w:sz="0" w:space="0" w:color="auto"/>
        <w:right w:val="none" w:sz="0" w:space="0" w:color="auto"/>
      </w:divBdr>
    </w:div>
    <w:div w:id="1353843885">
      <w:bodyDiv w:val="1"/>
      <w:marLeft w:val="0"/>
      <w:marRight w:val="0"/>
      <w:marTop w:val="0"/>
      <w:marBottom w:val="0"/>
      <w:divBdr>
        <w:top w:val="none" w:sz="0" w:space="0" w:color="auto"/>
        <w:left w:val="none" w:sz="0" w:space="0" w:color="auto"/>
        <w:bottom w:val="none" w:sz="0" w:space="0" w:color="auto"/>
        <w:right w:val="none" w:sz="0" w:space="0" w:color="auto"/>
      </w:divBdr>
    </w:div>
    <w:div w:id="1353846610">
      <w:bodyDiv w:val="1"/>
      <w:marLeft w:val="0"/>
      <w:marRight w:val="0"/>
      <w:marTop w:val="0"/>
      <w:marBottom w:val="0"/>
      <w:divBdr>
        <w:top w:val="none" w:sz="0" w:space="0" w:color="auto"/>
        <w:left w:val="none" w:sz="0" w:space="0" w:color="auto"/>
        <w:bottom w:val="none" w:sz="0" w:space="0" w:color="auto"/>
        <w:right w:val="none" w:sz="0" w:space="0" w:color="auto"/>
      </w:divBdr>
    </w:div>
    <w:div w:id="1353847315">
      <w:bodyDiv w:val="1"/>
      <w:marLeft w:val="0"/>
      <w:marRight w:val="0"/>
      <w:marTop w:val="0"/>
      <w:marBottom w:val="0"/>
      <w:divBdr>
        <w:top w:val="none" w:sz="0" w:space="0" w:color="auto"/>
        <w:left w:val="none" w:sz="0" w:space="0" w:color="auto"/>
        <w:bottom w:val="none" w:sz="0" w:space="0" w:color="auto"/>
        <w:right w:val="none" w:sz="0" w:space="0" w:color="auto"/>
      </w:divBdr>
    </w:div>
    <w:div w:id="1353916277">
      <w:bodyDiv w:val="1"/>
      <w:marLeft w:val="0"/>
      <w:marRight w:val="0"/>
      <w:marTop w:val="0"/>
      <w:marBottom w:val="0"/>
      <w:divBdr>
        <w:top w:val="none" w:sz="0" w:space="0" w:color="auto"/>
        <w:left w:val="none" w:sz="0" w:space="0" w:color="auto"/>
        <w:bottom w:val="none" w:sz="0" w:space="0" w:color="auto"/>
        <w:right w:val="none" w:sz="0" w:space="0" w:color="auto"/>
      </w:divBdr>
    </w:div>
    <w:div w:id="1353993684">
      <w:bodyDiv w:val="1"/>
      <w:marLeft w:val="0"/>
      <w:marRight w:val="0"/>
      <w:marTop w:val="0"/>
      <w:marBottom w:val="0"/>
      <w:divBdr>
        <w:top w:val="none" w:sz="0" w:space="0" w:color="auto"/>
        <w:left w:val="none" w:sz="0" w:space="0" w:color="auto"/>
        <w:bottom w:val="none" w:sz="0" w:space="0" w:color="auto"/>
        <w:right w:val="none" w:sz="0" w:space="0" w:color="auto"/>
      </w:divBdr>
    </w:div>
    <w:div w:id="1354041247">
      <w:bodyDiv w:val="1"/>
      <w:marLeft w:val="0"/>
      <w:marRight w:val="0"/>
      <w:marTop w:val="0"/>
      <w:marBottom w:val="0"/>
      <w:divBdr>
        <w:top w:val="none" w:sz="0" w:space="0" w:color="auto"/>
        <w:left w:val="none" w:sz="0" w:space="0" w:color="auto"/>
        <w:bottom w:val="none" w:sz="0" w:space="0" w:color="auto"/>
        <w:right w:val="none" w:sz="0" w:space="0" w:color="auto"/>
      </w:divBdr>
    </w:div>
    <w:div w:id="1354065111">
      <w:bodyDiv w:val="1"/>
      <w:marLeft w:val="0"/>
      <w:marRight w:val="0"/>
      <w:marTop w:val="0"/>
      <w:marBottom w:val="0"/>
      <w:divBdr>
        <w:top w:val="none" w:sz="0" w:space="0" w:color="auto"/>
        <w:left w:val="none" w:sz="0" w:space="0" w:color="auto"/>
        <w:bottom w:val="none" w:sz="0" w:space="0" w:color="auto"/>
        <w:right w:val="none" w:sz="0" w:space="0" w:color="auto"/>
      </w:divBdr>
    </w:div>
    <w:div w:id="1354112977">
      <w:bodyDiv w:val="1"/>
      <w:marLeft w:val="0"/>
      <w:marRight w:val="0"/>
      <w:marTop w:val="0"/>
      <w:marBottom w:val="0"/>
      <w:divBdr>
        <w:top w:val="none" w:sz="0" w:space="0" w:color="auto"/>
        <w:left w:val="none" w:sz="0" w:space="0" w:color="auto"/>
        <w:bottom w:val="none" w:sz="0" w:space="0" w:color="auto"/>
        <w:right w:val="none" w:sz="0" w:space="0" w:color="auto"/>
      </w:divBdr>
    </w:div>
    <w:div w:id="1354185715">
      <w:bodyDiv w:val="1"/>
      <w:marLeft w:val="0"/>
      <w:marRight w:val="0"/>
      <w:marTop w:val="0"/>
      <w:marBottom w:val="0"/>
      <w:divBdr>
        <w:top w:val="none" w:sz="0" w:space="0" w:color="auto"/>
        <w:left w:val="none" w:sz="0" w:space="0" w:color="auto"/>
        <w:bottom w:val="none" w:sz="0" w:space="0" w:color="auto"/>
        <w:right w:val="none" w:sz="0" w:space="0" w:color="auto"/>
      </w:divBdr>
    </w:div>
    <w:div w:id="1354186819">
      <w:bodyDiv w:val="1"/>
      <w:marLeft w:val="0"/>
      <w:marRight w:val="0"/>
      <w:marTop w:val="0"/>
      <w:marBottom w:val="0"/>
      <w:divBdr>
        <w:top w:val="none" w:sz="0" w:space="0" w:color="auto"/>
        <w:left w:val="none" w:sz="0" w:space="0" w:color="auto"/>
        <w:bottom w:val="none" w:sz="0" w:space="0" w:color="auto"/>
        <w:right w:val="none" w:sz="0" w:space="0" w:color="auto"/>
      </w:divBdr>
    </w:div>
    <w:div w:id="1354305247">
      <w:bodyDiv w:val="1"/>
      <w:marLeft w:val="0"/>
      <w:marRight w:val="0"/>
      <w:marTop w:val="0"/>
      <w:marBottom w:val="0"/>
      <w:divBdr>
        <w:top w:val="none" w:sz="0" w:space="0" w:color="auto"/>
        <w:left w:val="none" w:sz="0" w:space="0" w:color="auto"/>
        <w:bottom w:val="none" w:sz="0" w:space="0" w:color="auto"/>
        <w:right w:val="none" w:sz="0" w:space="0" w:color="auto"/>
      </w:divBdr>
    </w:div>
    <w:div w:id="1354456774">
      <w:bodyDiv w:val="1"/>
      <w:marLeft w:val="0"/>
      <w:marRight w:val="0"/>
      <w:marTop w:val="0"/>
      <w:marBottom w:val="0"/>
      <w:divBdr>
        <w:top w:val="none" w:sz="0" w:space="0" w:color="auto"/>
        <w:left w:val="none" w:sz="0" w:space="0" w:color="auto"/>
        <w:bottom w:val="none" w:sz="0" w:space="0" w:color="auto"/>
        <w:right w:val="none" w:sz="0" w:space="0" w:color="auto"/>
      </w:divBdr>
    </w:div>
    <w:div w:id="1354498532">
      <w:bodyDiv w:val="1"/>
      <w:marLeft w:val="0"/>
      <w:marRight w:val="0"/>
      <w:marTop w:val="0"/>
      <w:marBottom w:val="0"/>
      <w:divBdr>
        <w:top w:val="none" w:sz="0" w:space="0" w:color="auto"/>
        <w:left w:val="none" w:sz="0" w:space="0" w:color="auto"/>
        <w:bottom w:val="none" w:sz="0" w:space="0" w:color="auto"/>
        <w:right w:val="none" w:sz="0" w:space="0" w:color="auto"/>
      </w:divBdr>
    </w:div>
    <w:div w:id="1354501733">
      <w:bodyDiv w:val="1"/>
      <w:marLeft w:val="0"/>
      <w:marRight w:val="0"/>
      <w:marTop w:val="0"/>
      <w:marBottom w:val="0"/>
      <w:divBdr>
        <w:top w:val="none" w:sz="0" w:space="0" w:color="auto"/>
        <w:left w:val="none" w:sz="0" w:space="0" w:color="auto"/>
        <w:bottom w:val="none" w:sz="0" w:space="0" w:color="auto"/>
        <w:right w:val="none" w:sz="0" w:space="0" w:color="auto"/>
      </w:divBdr>
    </w:div>
    <w:div w:id="1354766563">
      <w:bodyDiv w:val="1"/>
      <w:marLeft w:val="0"/>
      <w:marRight w:val="0"/>
      <w:marTop w:val="0"/>
      <w:marBottom w:val="0"/>
      <w:divBdr>
        <w:top w:val="none" w:sz="0" w:space="0" w:color="auto"/>
        <w:left w:val="none" w:sz="0" w:space="0" w:color="auto"/>
        <w:bottom w:val="none" w:sz="0" w:space="0" w:color="auto"/>
        <w:right w:val="none" w:sz="0" w:space="0" w:color="auto"/>
      </w:divBdr>
    </w:div>
    <w:div w:id="1355040588">
      <w:bodyDiv w:val="1"/>
      <w:marLeft w:val="0"/>
      <w:marRight w:val="0"/>
      <w:marTop w:val="0"/>
      <w:marBottom w:val="0"/>
      <w:divBdr>
        <w:top w:val="none" w:sz="0" w:space="0" w:color="auto"/>
        <w:left w:val="none" w:sz="0" w:space="0" w:color="auto"/>
        <w:bottom w:val="none" w:sz="0" w:space="0" w:color="auto"/>
        <w:right w:val="none" w:sz="0" w:space="0" w:color="auto"/>
      </w:divBdr>
    </w:div>
    <w:div w:id="1355154324">
      <w:bodyDiv w:val="1"/>
      <w:marLeft w:val="0"/>
      <w:marRight w:val="0"/>
      <w:marTop w:val="0"/>
      <w:marBottom w:val="0"/>
      <w:divBdr>
        <w:top w:val="none" w:sz="0" w:space="0" w:color="auto"/>
        <w:left w:val="none" w:sz="0" w:space="0" w:color="auto"/>
        <w:bottom w:val="none" w:sz="0" w:space="0" w:color="auto"/>
        <w:right w:val="none" w:sz="0" w:space="0" w:color="auto"/>
      </w:divBdr>
    </w:div>
    <w:div w:id="1355155024">
      <w:bodyDiv w:val="1"/>
      <w:marLeft w:val="0"/>
      <w:marRight w:val="0"/>
      <w:marTop w:val="0"/>
      <w:marBottom w:val="0"/>
      <w:divBdr>
        <w:top w:val="none" w:sz="0" w:space="0" w:color="auto"/>
        <w:left w:val="none" w:sz="0" w:space="0" w:color="auto"/>
        <w:bottom w:val="none" w:sz="0" w:space="0" w:color="auto"/>
        <w:right w:val="none" w:sz="0" w:space="0" w:color="auto"/>
      </w:divBdr>
    </w:div>
    <w:div w:id="1355158904">
      <w:bodyDiv w:val="1"/>
      <w:marLeft w:val="0"/>
      <w:marRight w:val="0"/>
      <w:marTop w:val="0"/>
      <w:marBottom w:val="0"/>
      <w:divBdr>
        <w:top w:val="none" w:sz="0" w:space="0" w:color="auto"/>
        <w:left w:val="none" w:sz="0" w:space="0" w:color="auto"/>
        <w:bottom w:val="none" w:sz="0" w:space="0" w:color="auto"/>
        <w:right w:val="none" w:sz="0" w:space="0" w:color="auto"/>
      </w:divBdr>
    </w:div>
    <w:div w:id="1355229638">
      <w:bodyDiv w:val="1"/>
      <w:marLeft w:val="0"/>
      <w:marRight w:val="0"/>
      <w:marTop w:val="0"/>
      <w:marBottom w:val="0"/>
      <w:divBdr>
        <w:top w:val="none" w:sz="0" w:space="0" w:color="auto"/>
        <w:left w:val="none" w:sz="0" w:space="0" w:color="auto"/>
        <w:bottom w:val="none" w:sz="0" w:space="0" w:color="auto"/>
        <w:right w:val="none" w:sz="0" w:space="0" w:color="auto"/>
      </w:divBdr>
    </w:div>
    <w:div w:id="1355232847">
      <w:bodyDiv w:val="1"/>
      <w:marLeft w:val="0"/>
      <w:marRight w:val="0"/>
      <w:marTop w:val="0"/>
      <w:marBottom w:val="0"/>
      <w:divBdr>
        <w:top w:val="none" w:sz="0" w:space="0" w:color="auto"/>
        <w:left w:val="none" w:sz="0" w:space="0" w:color="auto"/>
        <w:bottom w:val="none" w:sz="0" w:space="0" w:color="auto"/>
        <w:right w:val="none" w:sz="0" w:space="0" w:color="auto"/>
      </w:divBdr>
    </w:div>
    <w:div w:id="1355614110">
      <w:bodyDiv w:val="1"/>
      <w:marLeft w:val="0"/>
      <w:marRight w:val="0"/>
      <w:marTop w:val="0"/>
      <w:marBottom w:val="0"/>
      <w:divBdr>
        <w:top w:val="none" w:sz="0" w:space="0" w:color="auto"/>
        <w:left w:val="none" w:sz="0" w:space="0" w:color="auto"/>
        <w:bottom w:val="none" w:sz="0" w:space="0" w:color="auto"/>
        <w:right w:val="none" w:sz="0" w:space="0" w:color="auto"/>
      </w:divBdr>
    </w:div>
    <w:div w:id="1355764062">
      <w:bodyDiv w:val="1"/>
      <w:marLeft w:val="0"/>
      <w:marRight w:val="0"/>
      <w:marTop w:val="0"/>
      <w:marBottom w:val="0"/>
      <w:divBdr>
        <w:top w:val="none" w:sz="0" w:space="0" w:color="auto"/>
        <w:left w:val="none" w:sz="0" w:space="0" w:color="auto"/>
        <w:bottom w:val="none" w:sz="0" w:space="0" w:color="auto"/>
        <w:right w:val="none" w:sz="0" w:space="0" w:color="auto"/>
      </w:divBdr>
    </w:div>
    <w:div w:id="1355766218">
      <w:bodyDiv w:val="1"/>
      <w:marLeft w:val="0"/>
      <w:marRight w:val="0"/>
      <w:marTop w:val="0"/>
      <w:marBottom w:val="0"/>
      <w:divBdr>
        <w:top w:val="none" w:sz="0" w:space="0" w:color="auto"/>
        <w:left w:val="none" w:sz="0" w:space="0" w:color="auto"/>
        <w:bottom w:val="none" w:sz="0" w:space="0" w:color="auto"/>
        <w:right w:val="none" w:sz="0" w:space="0" w:color="auto"/>
      </w:divBdr>
    </w:div>
    <w:div w:id="1355771117">
      <w:bodyDiv w:val="1"/>
      <w:marLeft w:val="0"/>
      <w:marRight w:val="0"/>
      <w:marTop w:val="0"/>
      <w:marBottom w:val="0"/>
      <w:divBdr>
        <w:top w:val="none" w:sz="0" w:space="0" w:color="auto"/>
        <w:left w:val="none" w:sz="0" w:space="0" w:color="auto"/>
        <w:bottom w:val="none" w:sz="0" w:space="0" w:color="auto"/>
        <w:right w:val="none" w:sz="0" w:space="0" w:color="auto"/>
      </w:divBdr>
    </w:div>
    <w:div w:id="1355839374">
      <w:bodyDiv w:val="1"/>
      <w:marLeft w:val="0"/>
      <w:marRight w:val="0"/>
      <w:marTop w:val="0"/>
      <w:marBottom w:val="0"/>
      <w:divBdr>
        <w:top w:val="none" w:sz="0" w:space="0" w:color="auto"/>
        <w:left w:val="none" w:sz="0" w:space="0" w:color="auto"/>
        <w:bottom w:val="none" w:sz="0" w:space="0" w:color="auto"/>
        <w:right w:val="none" w:sz="0" w:space="0" w:color="auto"/>
      </w:divBdr>
    </w:div>
    <w:div w:id="1355956344">
      <w:bodyDiv w:val="1"/>
      <w:marLeft w:val="0"/>
      <w:marRight w:val="0"/>
      <w:marTop w:val="0"/>
      <w:marBottom w:val="0"/>
      <w:divBdr>
        <w:top w:val="none" w:sz="0" w:space="0" w:color="auto"/>
        <w:left w:val="none" w:sz="0" w:space="0" w:color="auto"/>
        <w:bottom w:val="none" w:sz="0" w:space="0" w:color="auto"/>
        <w:right w:val="none" w:sz="0" w:space="0" w:color="auto"/>
      </w:divBdr>
    </w:div>
    <w:div w:id="1356034640">
      <w:bodyDiv w:val="1"/>
      <w:marLeft w:val="0"/>
      <w:marRight w:val="0"/>
      <w:marTop w:val="0"/>
      <w:marBottom w:val="0"/>
      <w:divBdr>
        <w:top w:val="none" w:sz="0" w:space="0" w:color="auto"/>
        <w:left w:val="none" w:sz="0" w:space="0" w:color="auto"/>
        <w:bottom w:val="none" w:sz="0" w:space="0" w:color="auto"/>
        <w:right w:val="none" w:sz="0" w:space="0" w:color="auto"/>
      </w:divBdr>
    </w:div>
    <w:div w:id="1356073971">
      <w:bodyDiv w:val="1"/>
      <w:marLeft w:val="0"/>
      <w:marRight w:val="0"/>
      <w:marTop w:val="0"/>
      <w:marBottom w:val="0"/>
      <w:divBdr>
        <w:top w:val="none" w:sz="0" w:space="0" w:color="auto"/>
        <w:left w:val="none" w:sz="0" w:space="0" w:color="auto"/>
        <w:bottom w:val="none" w:sz="0" w:space="0" w:color="auto"/>
        <w:right w:val="none" w:sz="0" w:space="0" w:color="auto"/>
      </w:divBdr>
    </w:div>
    <w:div w:id="1356152641">
      <w:bodyDiv w:val="1"/>
      <w:marLeft w:val="0"/>
      <w:marRight w:val="0"/>
      <w:marTop w:val="0"/>
      <w:marBottom w:val="0"/>
      <w:divBdr>
        <w:top w:val="none" w:sz="0" w:space="0" w:color="auto"/>
        <w:left w:val="none" w:sz="0" w:space="0" w:color="auto"/>
        <w:bottom w:val="none" w:sz="0" w:space="0" w:color="auto"/>
        <w:right w:val="none" w:sz="0" w:space="0" w:color="auto"/>
      </w:divBdr>
    </w:div>
    <w:div w:id="1356227007">
      <w:bodyDiv w:val="1"/>
      <w:marLeft w:val="0"/>
      <w:marRight w:val="0"/>
      <w:marTop w:val="0"/>
      <w:marBottom w:val="0"/>
      <w:divBdr>
        <w:top w:val="none" w:sz="0" w:space="0" w:color="auto"/>
        <w:left w:val="none" w:sz="0" w:space="0" w:color="auto"/>
        <w:bottom w:val="none" w:sz="0" w:space="0" w:color="auto"/>
        <w:right w:val="none" w:sz="0" w:space="0" w:color="auto"/>
      </w:divBdr>
    </w:div>
    <w:div w:id="1356232424">
      <w:bodyDiv w:val="1"/>
      <w:marLeft w:val="0"/>
      <w:marRight w:val="0"/>
      <w:marTop w:val="0"/>
      <w:marBottom w:val="0"/>
      <w:divBdr>
        <w:top w:val="none" w:sz="0" w:space="0" w:color="auto"/>
        <w:left w:val="none" w:sz="0" w:space="0" w:color="auto"/>
        <w:bottom w:val="none" w:sz="0" w:space="0" w:color="auto"/>
        <w:right w:val="none" w:sz="0" w:space="0" w:color="auto"/>
      </w:divBdr>
    </w:div>
    <w:div w:id="1356267676">
      <w:bodyDiv w:val="1"/>
      <w:marLeft w:val="0"/>
      <w:marRight w:val="0"/>
      <w:marTop w:val="0"/>
      <w:marBottom w:val="0"/>
      <w:divBdr>
        <w:top w:val="none" w:sz="0" w:space="0" w:color="auto"/>
        <w:left w:val="none" w:sz="0" w:space="0" w:color="auto"/>
        <w:bottom w:val="none" w:sz="0" w:space="0" w:color="auto"/>
        <w:right w:val="none" w:sz="0" w:space="0" w:color="auto"/>
      </w:divBdr>
    </w:div>
    <w:div w:id="1356350493">
      <w:bodyDiv w:val="1"/>
      <w:marLeft w:val="0"/>
      <w:marRight w:val="0"/>
      <w:marTop w:val="0"/>
      <w:marBottom w:val="0"/>
      <w:divBdr>
        <w:top w:val="none" w:sz="0" w:space="0" w:color="auto"/>
        <w:left w:val="none" w:sz="0" w:space="0" w:color="auto"/>
        <w:bottom w:val="none" w:sz="0" w:space="0" w:color="auto"/>
        <w:right w:val="none" w:sz="0" w:space="0" w:color="auto"/>
      </w:divBdr>
    </w:div>
    <w:div w:id="1356423205">
      <w:bodyDiv w:val="1"/>
      <w:marLeft w:val="0"/>
      <w:marRight w:val="0"/>
      <w:marTop w:val="0"/>
      <w:marBottom w:val="0"/>
      <w:divBdr>
        <w:top w:val="none" w:sz="0" w:space="0" w:color="auto"/>
        <w:left w:val="none" w:sz="0" w:space="0" w:color="auto"/>
        <w:bottom w:val="none" w:sz="0" w:space="0" w:color="auto"/>
        <w:right w:val="none" w:sz="0" w:space="0" w:color="auto"/>
      </w:divBdr>
    </w:div>
    <w:div w:id="1356493839">
      <w:bodyDiv w:val="1"/>
      <w:marLeft w:val="0"/>
      <w:marRight w:val="0"/>
      <w:marTop w:val="0"/>
      <w:marBottom w:val="0"/>
      <w:divBdr>
        <w:top w:val="none" w:sz="0" w:space="0" w:color="auto"/>
        <w:left w:val="none" w:sz="0" w:space="0" w:color="auto"/>
        <w:bottom w:val="none" w:sz="0" w:space="0" w:color="auto"/>
        <w:right w:val="none" w:sz="0" w:space="0" w:color="auto"/>
      </w:divBdr>
    </w:div>
    <w:div w:id="1356537456">
      <w:bodyDiv w:val="1"/>
      <w:marLeft w:val="0"/>
      <w:marRight w:val="0"/>
      <w:marTop w:val="0"/>
      <w:marBottom w:val="0"/>
      <w:divBdr>
        <w:top w:val="none" w:sz="0" w:space="0" w:color="auto"/>
        <w:left w:val="none" w:sz="0" w:space="0" w:color="auto"/>
        <w:bottom w:val="none" w:sz="0" w:space="0" w:color="auto"/>
        <w:right w:val="none" w:sz="0" w:space="0" w:color="auto"/>
      </w:divBdr>
    </w:div>
    <w:div w:id="1356541806">
      <w:bodyDiv w:val="1"/>
      <w:marLeft w:val="0"/>
      <w:marRight w:val="0"/>
      <w:marTop w:val="0"/>
      <w:marBottom w:val="0"/>
      <w:divBdr>
        <w:top w:val="none" w:sz="0" w:space="0" w:color="auto"/>
        <w:left w:val="none" w:sz="0" w:space="0" w:color="auto"/>
        <w:bottom w:val="none" w:sz="0" w:space="0" w:color="auto"/>
        <w:right w:val="none" w:sz="0" w:space="0" w:color="auto"/>
      </w:divBdr>
    </w:div>
    <w:div w:id="1356542668">
      <w:bodyDiv w:val="1"/>
      <w:marLeft w:val="0"/>
      <w:marRight w:val="0"/>
      <w:marTop w:val="0"/>
      <w:marBottom w:val="0"/>
      <w:divBdr>
        <w:top w:val="none" w:sz="0" w:space="0" w:color="auto"/>
        <w:left w:val="none" w:sz="0" w:space="0" w:color="auto"/>
        <w:bottom w:val="none" w:sz="0" w:space="0" w:color="auto"/>
        <w:right w:val="none" w:sz="0" w:space="0" w:color="auto"/>
      </w:divBdr>
    </w:div>
    <w:div w:id="1356734090">
      <w:bodyDiv w:val="1"/>
      <w:marLeft w:val="0"/>
      <w:marRight w:val="0"/>
      <w:marTop w:val="0"/>
      <w:marBottom w:val="0"/>
      <w:divBdr>
        <w:top w:val="none" w:sz="0" w:space="0" w:color="auto"/>
        <w:left w:val="none" w:sz="0" w:space="0" w:color="auto"/>
        <w:bottom w:val="none" w:sz="0" w:space="0" w:color="auto"/>
        <w:right w:val="none" w:sz="0" w:space="0" w:color="auto"/>
      </w:divBdr>
    </w:div>
    <w:div w:id="1356805018">
      <w:bodyDiv w:val="1"/>
      <w:marLeft w:val="0"/>
      <w:marRight w:val="0"/>
      <w:marTop w:val="0"/>
      <w:marBottom w:val="0"/>
      <w:divBdr>
        <w:top w:val="none" w:sz="0" w:space="0" w:color="auto"/>
        <w:left w:val="none" w:sz="0" w:space="0" w:color="auto"/>
        <w:bottom w:val="none" w:sz="0" w:space="0" w:color="auto"/>
        <w:right w:val="none" w:sz="0" w:space="0" w:color="auto"/>
      </w:divBdr>
    </w:div>
    <w:div w:id="1356805616">
      <w:bodyDiv w:val="1"/>
      <w:marLeft w:val="0"/>
      <w:marRight w:val="0"/>
      <w:marTop w:val="0"/>
      <w:marBottom w:val="0"/>
      <w:divBdr>
        <w:top w:val="none" w:sz="0" w:space="0" w:color="auto"/>
        <w:left w:val="none" w:sz="0" w:space="0" w:color="auto"/>
        <w:bottom w:val="none" w:sz="0" w:space="0" w:color="auto"/>
        <w:right w:val="none" w:sz="0" w:space="0" w:color="auto"/>
      </w:divBdr>
    </w:div>
    <w:div w:id="1356882255">
      <w:bodyDiv w:val="1"/>
      <w:marLeft w:val="0"/>
      <w:marRight w:val="0"/>
      <w:marTop w:val="0"/>
      <w:marBottom w:val="0"/>
      <w:divBdr>
        <w:top w:val="none" w:sz="0" w:space="0" w:color="auto"/>
        <w:left w:val="none" w:sz="0" w:space="0" w:color="auto"/>
        <w:bottom w:val="none" w:sz="0" w:space="0" w:color="auto"/>
        <w:right w:val="none" w:sz="0" w:space="0" w:color="auto"/>
      </w:divBdr>
    </w:div>
    <w:div w:id="1356927944">
      <w:bodyDiv w:val="1"/>
      <w:marLeft w:val="0"/>
      <w:marRight w:val="0"/>
      <w:marTop w:val="0"/>
      <w:marBottom w:val="0"/>
      <w:divBdr>
        <w:top w:val="none" w:sz="0" w:space="0" w:color="auto"/>
        <w:left w:val="none" w:sz="0" w:space="0" w:color="auto"/>
        <w:bottom w:val="none" w:sz="0" w:space="0" w:color="auto"/>
        <w:right w:val="none" w:sz="0" w:space="0" w:color="auto"/>
      </w:divBdr>
    </w:div>
    <w:div w:id="1356955410">
      <w:bodyDiv w:val="1"/>
      <w:marLeft w:val="0"/>
      <w:marRight w:val="0"/>
      <w:marTop w:val="0"/>
      <w:marBottom w:val="0"/>
      <w:divBdr>
        <w:top w:val="none" w:sz="0" w:space="0" w:color="auto"/>
        <w:left w:val="none" w:sz="0" w:space="0" w:color="auto"/>
        <w:bottom w:val="none" w:sz="0" w:space="0" w:color="auto"/>
        <w:right w:val="none" w:sz="0" w:space="0" w:color="auto"/>
      </w:divBdr>
    </w:div>
    <w:div w:id="1357074371">
      <w:bodyDiv w:val="1"/>
      <w:marLeft w:val="0"/>
      <w:marRight w:val="0"/>
      <w:marTop w:val="0"/>
      <w:marBottom w:val="0"/>
      <w:divBdr>
        <w:top w:val="none" w:sz="0" w:space="0" w:color="auto"/>
        <w:left w:val="none" w:sz="0" w:space="0" w:color="auto"/>
        <w:bottom w:val="none" w:sz="0" w:space="0" w:color="auto"/>
        <w:right w:val="none" w:sz="0" w:space="0" w:color="auto"/>
      </w:divBdr>
    </w:div>
    <w:div w:id="1357124638">
      <w:bodyDiv w:val="1"/>
      <w:marLeft w:val="0"/>
      <w:marRight w:val="0"/>
      <w:marTop w:val="0"/>
      <w:marBottom w:val="0"/>
      <w:divBdr>
        <w:top w:val="none" w:sz="0" w:space="0" w:color="auto"/>
        <w:left w:val="none" w:sz="0" w:space="0" w:color="auto"/>
        <w:bottom w:val="none" w:sz="0" w:space="0" w:color="auto"/>
        <w:right w:val="none" w:sz="0" w:space="0" w:color="auto"/>
      </w:divBdr>
    </w:div>
    <w:div w:id="1357190920">
      <w:bodyDiv w:val="1"/>
      <w:marLeft w:val="0"/>
      <w:marRight w:val="0"/>
      <w:marTop w:val="0"/>
      <w:marBottom w:val="0"/>
      <w:divBdr>
        <w:top w:val="none" w:sz="0" w:space="0" w:color="auto"/>
        <w:left w:val="none" w:sz="0" w:space="0" w:color="auto"/>
        <w:bottom w:val="none" w:sz="0" w:space="0" w:color="auto"/>
        <w:right w:val="none" w:sz="0" w:space="0" w:color="auto"/>
      </w:divBdr>
    </w:div>
    <w:div w:id="1357268597">
      <w:bodyDiv w:val="1"/>
      <w:marLeft w:val="0"/>
      <w:marRight w:val="0"/>
      <w:marTop w:val="0"/>
      <w:marBottom w:val="0"/>
      <w:divBdr>
        <w:top w:val="none" w:sz="0" w:space="0" w:color="auto"/>
        <w:left w:val="none" w:sz="0" w:space="0" w:color="auto"/>
        <w:bottom w:val="none" w:sz="0" w:space="0" w:color="auto"/>
        <w:right w:val="none" w:sz="0" w:space="0" w:color="auto"/>
      </w:divBdr>
    </w:div>
    <w:div w:id="1357347833">
      <w:bodyDiv w:val="1"/>
      <w:marLeft w:val="0"/>
      <w:marRight w:val="0"/>
      <w:marTop w:val="0"/>
      <w:marBottom w:val="0"/>
      <w:divBdr>
        <w:top w:val="none" w:sz="0" w:space="0" w:color="auto"/>
        <w:left w:val="none" w:sz="0" w:space="0" w:color="auto"/>
        <w:bottom w:val="none" w:sz="0" w:space="0" w:color="auto"/>
        <w:right w:val="none" w:sz="0" w:space="0" w:color="auto"/>
      </w:divBdr>
    </w:div>
    <w:div w:id="1357544009">
      <w:bodyDiv w:val="1"/>
      <w:marLeft w:val="0"/>
      <w:marRight w:val="0"/>
      <w:marTop w:val="0"/>
      <w:marBottom w:val="0"/>
      <w:divBdr>
        <w:top w:val="none" w:sz="0" w:space="0" w:color="auto"/>
        <w:left w:val="none" w:sz="0" w:space="0" w:color="auto"/>
        <w:bottom w:val="none" w:sz="0" w:space="0" w:color="auto"/>
        <w:right w:val="none" w:sz="0" w:space="0" w:color="auto"/>
      </w:divBdr>
    </w:div>
    <w:div w:id="1357776119">
      <w:bodyDiv w:val="1"/>
      <w:marLeft w:val="0"/>
      <w:marRight w:val="0"/>
      <w:marTop w:val="0"/>
      <w:marBottom w:val="0"/>
      <w:divBdr>
        <w:top w:val="none" w:sz="0" w:space="0" w:color="auto"/>
        <w:left w:val="none" w:sz="0" w:space="0" w:color="auto"/>
        <w:bottom w:val="none" w:sz="0" w:space="0" w:color="auto"/>
        <w:right w:val="none" w:sz="0" w:space="0" w:color="auto"/>
      </w:divBdr>
    </w:div>
    <w:div w:id="1357806007">
      <w:bodyDiv w:val="1"/>
      <w:marLeft w:val="0"/>
      <w:marRight w:val="0"/>
      <w:marTop w:val="0"/>
      <w:marBottom w:val="0"/>
      <w:divBdr>
        <w:top w:val="none" w:sz="0" w:space="0" w:color="auto"/>
        <w:left w:val="none" w:sz="0" w:space="0" w:color="auto"/>
        <w:bottom w:val="none" w:sz="0" w:space="0" w:color="auto"/>
        <w:right w:val="none" w:sz="0" w:space="0" w:color="auto"/>
      </w:divBdr>
    </w:div>
    <w:div w:id="1358042252">
      <w:bodyDiv w:val="1"/>
      <w:marLeft w:val="0"/>
      <w:marRight w:val="0"/>
      <w:marTop w:val="0"/>
      <w:marBottom w:val="0"/>
      <w:divBdr>
        <w:top w:val="none" w:sz="0" w:space="0" w:color="auto"/>
        <w:left w:val="none" w:sz="0" w:space="0" w:color="auto"/>
        <w:bottom w:val="none" w:sz="0" w:space="0" w:color="auto"/>
        <w:right w:val="none" w:sz="0" w:space="0" w:color="auto"/>
      </w:divBdr>
    </w:div>
    <w:div w:id="1358233822">
      <w:bodyDiv w:val="1"/>
      <w:marLeft w:val="0"/>
      <w:marRight w:val="0"/>
      <w:marTop w:val="0"/>
      <w:marBottom w:val="0"/>
      <w:divBdr>
        <w:top w:val="none" w:sz="0" w:space="0" w:color="auto"/>
        <w:left w:val="none" w:sz="0" w:space="0" w:color="auto"/>
        <w:bottom w:val="none" w:sz="0" w:space="0" w:color="auto"/>
        <w:right w:val="none" w:sz="0" w:space="0" w:color="auto"/>
      </w:divBdr>
    </w:div>
    <w:div w:id="1358504388">
      <w:bodyDiv w:val="1"/>
      <w:marLeft w:val="0"/>
      <w:marRight w:val="0"/>
      <w:marTop w:val="0"/>
      <w:marBottom w:val="0"/>
      <w:divBdr>
        <w:top w:val="none" w:sz="0" w:space="0" w:color="auto"/>
        <w:left w:val="none" w:sz="0" w:space="0" w:color="auto"/>
        <w:bottom w:val="none" w:sz="0" w:space="0" w:color="auto"/>
        <w:right w:val="none" w:sz="0" w:space="0" w:color="auto"/>
      </w:divBdr>
    </w:div>
    <w:div w:id="1358698744">
      <w:bodyDiv w:val="1"/>
      <w:marLeft w:val="0"/>
      <w:marRight w:val="0"/>
      <w:marTop w:val="0"/>
      <w:marBottom w:val="0"/>
      <w:divBdr>
        <w:top w:val="none" w:sz="0" w:space="0" w:color="auto"/>
        <w:left w:val="none" w:sz="0" w:space="0" w:color="auto"/>
        <w:bottom w:val="none" w:sz="0" w:space="0" w:color="auto"/>
        <w:right w:val="none" w:sz="0" w:space="0" w:color="auto"/>
      </w:divBdr>
    </w:div>
    <w:div w:id="1358700759">
      <w:bodyDiv w:val="1"/>
      <w:marLeft w:val="0"/>
      <w:marRight w:val="0"/>
      <w:marTop w:val="0"/>
      <w:marBottom w:val="0"/>
      <w:divBdr>
        <w:top w:val="none" w:sz="0" w:space="0" w:color="auto"/>
        <w:left w:val="none" w:sz="0" w:space="0" w:color="auto"/>
        <w:bottom w:val="none" w:sz="0" w:space="0" w:color="auto"/>
        <w:right w:val="none" w:sz="0" w:space="0" w:color="auto"/>
      </w:divBdr>
    </w:div>
    <w:div w:id="1358776681">
      <w:bodyDiv w:val="1"/>
      <w:marLeft w:val="0"/>
      <w:marRight w:val="0"/>
      <w:marTop w:val="0"/>
      <w:marBottom w:val="0"/>
      <w:divBdr>
        <w:top w:val="none" w:sz="0" w:space="0" w:color="auto"/>
        <w:left w:val="none" w:sz="0" w:space="0" w:color="auto"/>
        <w:bottom w:val="none" w:sz="0" w:space="0" w:color="auto"/>
        <w:right w:val="none" w:sz="0" w:space="0" w:color="auto"/>
      </w:divBdr>
    </w:div>
    <w:div w:id="1358847250">
      <w:bodyDiv w:val="1"/>
      <w:marLeft w:val="0"/>
      <w:marRight w:val="0"/>
      <w:marTop w:val="0"/>
      <w:marBottom w:val="0"/>
      <w:divBdr>
        <w:top w:val="none" w:sz="0" w:space="0" w:color="auto"/>
        <w:left w:val="none" w:sz="0" w:space="0" w:color="auto"/>
        <w:bottom w:val="none" w:sz="0" w:space="0" w:color="auto"/>
        <w:right w:val="none" w:sz="0" w:space="0" w:color="auto"/>
      </w:divBdr>
    </w:div>
    <w:div w:id="1359432865">
      <w:bodyDiv w:val="1"/>
      <w:marLeft w:val="0"/>
      <w:marRight w:val="0"/>
      <w:marTop w:val="0"/>
      <w:marBottom w:val="0"/>
      <w:divBdr>
        <w:top w:val="none" w:sz="0" w:space="0" w:color="auto"/>
        <w:left w:val="none" w:sz="0" w:space="0" w:color="auto"/>
        <w:bottom w:val="none" w:sz="0" w:space="0" w:color="auto"/>
        <w:right w:val="none" w:sz="0" w:space="0" w:color="auto"/>
      </w:divBdr>
    </w:div>
    <w:div w:id="1359507904">
      <w:bodyDiv w:val="1"/>
      <w:marLeft w:val="0"/>
      <w:marRight w:val="0"/>
      <w:marTop w:val="0"/>
      <w:marBottom w:val="0"/>
      <w:divBdr>
        <w:top w:val="none" w:sz="0" w:space="0" w:color="auto"/>
        <w:left w:val="none" w:sz="0" w:space="0" w:color="auto"/>
        <w:bottom w:val="none" w:sz="0" w:space="0" w:color="auto"/>
        <w:right w:val="none" w:sz="0" w:space="0" w:color="auto"/>
      </w:divBdr>
    </w:div>
    <w:div w:id="1359702948">
      <w:bodyDiv w:val="1"/>
      <w:marLeft w:val="0"/>
      <w:marRight w:val="0"/>
      <w:marTop w:val="0"/>
      <w:marBottom w:val="0"/>
      <w:divBdr>
        <w:top w:val="none" w:sz="0" w:space="0" w:color="auto"/>
        <w:left w:val="none" w:sz="0" w:space="0" w:color="auto"/>
        <w:bottom w:val="none" w:sz="0" w:space="0" w:color="auto"/>
        <w:right w:val="none" w:sz="0" w:space="0" w:color="auto"/>
      </w:divBdr>
    </w:div>
    <w:div w:id="1359893952">
      <w:bodyDiv w:val="1"/>
      <w:marLeft w:val="0"/>
      <w:marRight w:val="0"/>
      <w:marTop w:val="0"/>
      <w:marBottom w:val="0"/>
      <w:divBdr>
        <w:top w:val="none" w:sz="0" w:space="0" w:color="auto"/>
        <w:left w:val="none" w:sz="0" w:space="0" w:color="auto"/>
        <w:bottom w:val="none" w:sz="0" w:space="0" w:color="auto"/>
        <w:right w:val="none" w:sz="0" w:space="0" w:color="auto"/>
      </w:divBdr>
    </w:div>
    <w:div w:id="1359894804">
      <w:bodyDiv w:val="1"/>
      <w:marLeft w:val="0"/>
      <w:marRight w:val="0"/>
      <w:marTop w:val="0"/>
      <w:marBottom w:val="0"/>
      <w:divBdr>
        <w:top w:val="none" w:sz="0" w:space="0" w:color="auto"/>
        <w:left w:val="none" w:sz="0" w:space="0" w:color="auto"/>
        <w:bottom w:val="none" w:sz="0" w:space="0" w:color="auto"/>
        <w:right w:val="none" w:sz="0" w:space="0" w:color="auto"/>
      </w:divBdr>
    </w:div>
    <w:div w:id="1359937581">
      <w:bodyDiv w:val="1"/>
      <w:marLeft w:val="0"/>
      <w:marRight w:val="0"/>
      <w:marTop w:val="0"/>
      <w:marBottom w:val="0"/>
      <w:divBdr>
        <w:top w:val="none" w:sz="0" w:space="0" w:color="auto"/>
        <w:left w:val="none" w:sz="0" w:space="0" w:color="auto"/>
        <w:bottom w:val="none" w:sz="0" w:space="0" w:color="auto"/>
        <w:right w:val="none" w:sz="0" w:space="0" w:color="auto"/>
      </w:divBdr>
    </w:div>
    <w:div w:id="1360007130">
      <w:bodyDiv w:val="1"/>
      <w:marLeft w:val="0"/>
      <w:marRight w:val="0"/>
      <w:marTop w:val="0"/>
      <w:marBottom w:val="0"/>
      <w:divBdr>
        <w:top w:val="none" w:sz="0" w:space="0" w:color="auto"/>
        <w:left w:val="none" w:sz="0" w:space="0" w:color="auto"/>
        <w:bottom w:val="none" w:sz="0" w:space="0" w:color="auto"/>
        <w:right w:val="none" w:sz="0" w:space="0" w:color="auto"/>
      </w:divBdr>
    </w:div>
    <w:div w:id="1360007920">
      <w:bodyDiv w:val="1"/>
      <w:marLeft w:val="0"/>
      <w:marRight w:val="0"/>
      <w:marTop w:val="0"/>
      <w:marBottom w:val="0"/>
      <w:divBdr>
        <w:top w:val="none" w:sz="0" w:space="0" w:color="auto"/>
        <w:left w:val="none" w:sz="0" w:space="0" w:color="auto"/>
        <w:bottom w:val="none" w:sz="0" w:space="0" w:color="auto"/>
        <w:right w:val="none" w:sz="0" w:space="0" w:color="auto"/>
      </w:divBdr>
    </w:div>
    <w:div w:id="1360013694">
      <w:bodyDiv w:val="1"/>
      <w:marLeft w:val="0"/>
      <w:marRight w:val="0"/>
      <w:marTop w:val="0"/>
      <w:marBottom w:val="0"/>
      <w:divBdr>
        <w:top w:val="none" w:sz="0" w:space="0" w:color="auto"/>
        <w:left w:val="none" w:sz="0" w:space="0" w:color="auto"/>
        <w:bottom w:val="none" w:sz="0" w:space="0" w:color="auto"/>
        <w:right w:val="none" w:sz="0" w:space="0" w:color="auto"/>
      </w:divBdr>
    </w:div>
    <w:div w:id="1360085557">
      <w:bodyDiv w:val="1"/>
      <w:marLeft w:val="0"/>
      <w:marRight w:val="0"/>
      <w:marTop w:val="0"/>
      <w:marBottom w:val="0"/>
      <w:divBdr>
        <w:top w:val="none" w:sz="0" w:space="0" w:color="auto"/>
        <w:left w:val="none" w:sz="0" w:space="0" w:color="auto"/>
        <w:bottom w:val="none" w:sz="0" w:space="0" w:color="auto"/>
        <w:right w:val="none" w:sz="0" w:space="0" w:color="auto"/>
      </w:divBdr>
    </w:div>
    <w:div w:id="1360280744">
      <w:bodyDiv w:val="1"/>
      <w:marLeft w:val="0"/>
      <w:marRight w:val="0"/>
      <w:marTop w:val="0"/>
      <w:marBottom w:val="0"/>
      <w:divBdr>
        <w:top w:val="none" w:sz="0" w:space="0" w:color="auto"/>
        <w:left w:val="none" w:sz="0" w:space="0" w:color="auto"/>
        <w:bottom w:val="none" w:sz="0" w:space="0" w:color="auto"/>
        <w:right w:val="none" w:sz="0" w:space="0" w:color="auto"/>
      </w:divBdr>
    </w:div>
    <w:div w:id="1360282745">
      <w:bodyDiv w:val="1"/>
      <w:marLeft w:val="0"/>
      <w:marRight w:val="0"/>
      <w:marTop w:val="0"/>
      <w:marBottom w:val="0"/>
      <w:divBdr>
        <w:top w:val="none" w:sz="0" w:space="0" w:color="auto"/>
        <w:left w:val="none" w:sz="0" w:space="0" w:color="auto"/>
        <w:bottom w:val="none" w:sz="0" w:space="0" w:color="auto"/>
        <w:right w:val="none" w:sz="0" w:space="0" w:color="auto"/>
      </w:divBdr>
    </w:div>
    <w:div w:id="1360396920">
      <w:bodyDiv w:val="1"/>
      <w:marLeft w:val="0"/>
      <w:marRight w:val="0"/>
      <w:marTop w:val="0"/>
      <w:marBottom w:val="0"/>
      <w:divBdr>
        <w:top w:val="none" w:sz="0" w:space="0" w:color="auto"/>
        <w:left w:val="none" w:sz="0" w:space="0" w:color="auto"/>
        <w:bottom w:val="none" w:sz="0" w:space="0" w:color="auto"/>
        <w:right w:val="none" w:sz="0" w:space="0" w:color="auto"/>
      </w:divBdr>
    </w:div>
    <w:div w:id="1360398416">
      <w:bodyDiv w:val="1"/>
      <w:marLeft w:val="0"/>
      <w:marRight w:val="0"/>
      <w:marTop w:val="0"/>
      <w:marBottom w:val="0"/>
      <w:divBdr>
        <w:top w:val="none" w:sz="0" w:space="0" w:color="auto"/>
        <w:left w:val="none" w:sz="0" w:space="0" w:color="auto"/>
        <w:bottom w:val="none" w:sz="0" w:space="0" w:color="auto"/>
        <w:right w:val="none" w:sz="0" w:space="0" w:color="auto"/>
      </w:divBdr>
    </w:div>
    <w:div w:id="1360426012">
      <w:bodyDiv w:val="1"/>
      <w:marLeft w:val="0"/>
      <w:marRight w:val="0"/>
      <w:marTop w:val="0"/>
      <w:marBottom w:val="0"/>
      <w:divBdr>
        <w:top w:val="none" w:sz="0" w:space="0" w:color="auto"/>
        <w:left w:val="none" w:sz="0" w:space="0" w:color="auto"/>
        <w:bottom w:val="none" w:sz="0" w:space="0" w:color="auto"/>
        <w:right w:val="none" w:sz="0" w:space="0" w:color="auto"/>
      </w:divBdr>
    </w:div>
    <w:div w:id="1360545226">
      <w:bodyDiv w:val="1"/>
      <w:marLeft w:val="0"/>
      <w:marRight w:val="0"/>
      <w:marTop w:val="0"/>
      <w:marBottom w:val="0"/>
      <w:divBdr>
        <w:top w:val="none" w:sz="0" w:space="0" w:color="auto"/>
        <w:left w:val="none" w:sz="0" w:space="0" w:color="auto"/>
        <w:bottom w:val="none" w:sz="0" w:space="0" w:color="auto"/>
        <w:right w:val="none" w:sz="0" w:space="0" w:color="auto"/>
      </w:divBdr>
    </w:div>
    <w:div w:id="1360546702">
      <w:bodyDiv w:val="1"/>
      <w:marLeft w:val="0"/>
      <w:marRight w:val="0"/>
      <w:marTop w:val="0"/>
      <w:marBottom w:val="0"/>
      <w:divBdr>
        <w:top w:val="none" w:sz="0" w:space="0" w:color="auto"/>
        <w:left w:val="none" w:sz="0" w:space="0" w:color="auto"/>
        <w:bottom w:val="none" w:sz="0" w:space="0" w:color="auto"/>
        <w:right w:val="none" w:sz="0" w:space="0" w:color="auto"/>
      </w:divBdr>
    </w:div>
    <w:div w:id="1360593084">
      <w:bodyDiv w:val="1"/>
      <w:marLeft w:val="0"/>
      <w:marRight w:val="0"/>
      <w:marTop w:val="0"/>
      <w:marBottom w:val="0"/>
      <w:divBdr>
        <w:top w:val="none" w:sz="0" w:space="0" w:color="auto"/>
        <w:left w:val="none" w:sz="0" w:space="0" w:color="auto"/>
        <w:bottom w:val="none" w:sz="0" w:space="0" w:color="auto"/>
        <w:right w:val="none" w:sz="0" w:space="0" w:color="auto"/>
      </w:divBdr>
    </w:div>
    <w:div w:id="1360625038">
      <w:bodyDiv w:val="1"/>
      <w:marLeft w:val="0"/>
      <w:marRight w:val="0"/>
      <w:marTop w:val="0"/>
      <w:marBottom w:val="0"/>
      <w:divBdr>
        <w:top w:val="none" w:sz="0" w:space="0" w:color="auto"/>
        <w:left w:val="none" w:sz="0" w:space="0" w:color="auto"/>
        <w:bottom w:val="none" w:sz="0" w:space="0" w:color="auto"/>
        <w:right w:val="none" w:sz="0" w:space="0" w:color="auto"/>
      </w:divBdr>
    </w:div>
    <w:div w:id="1361008550">
      <w:bodyDiv w:val="1"/>
      <w:marLeft w:val="0"/>
      <w:marRight w:val="0"/>
      <w:marTop w:val="0"/>
      <w:marBottom w:val="0"/>
      <w:divBdr>
        <w:top w:val="none" w:sz="0" w:space="0" w:color="auto"/>
        <w:left w:val="none" w:sz="0" w:space="0" w:color="auto"/>
        <w:bottom w:val="none" w:sz="0" w:space="0" w:color="auto"/>
        <w:right w:val="none" w:sz="0" w:space="0" w:color="auto"/>
      </w:divBdr>
    </w:div>
    <w:div w:id="1361124841">
      <w:bodyDiv w:val="1"/>
      <w:marLeft w:val="0"/>
      <w:marRight w:val="0"/>
      <w:marTop w:val="0"/>
      <w:marBottom w:val="0"/>
      <w:divBdr>
        <w:top w:val="none" w:sz="0" w:space="0" w:color="auto"/>
        <w:left w:val="none" w:sz="0" w:space="0" w:color="auto"/>
        <w:bottom w:val="none" w:sz="0" w:space="0" w:color="auto"/>
        <w:right w:val="none" w:sz="0" w:space="0" w:color="auto"/>
      </w:divBdr>
    </w:div>
    <w:div w:id="1361200144">
      <w:bodyDiv w:val="1"/>
      <w:marLeft w:val="0"/>
      <w:marRight w:val="0"/>
      <w:marTop w:val="0"/>
      <w:marBottom w:val="0"/>
      <w:divBdr>
        <w:top w:val="none" w:sz="0" w:space="0" w:color="auto"/>
        <w:left w:val="none" w:sz="0" w:space="0" w:color="auto"/>
        <w:bottom w:val="none" w:sz="0" w:space="0" w:color="auto"/>
        <w:right w:val="none" w:sz="0" w:space="0" w:color="auto"/>
      </w:divBdr>
    </w:div>
    <w:div w:id="1361249192">
      <w:bodyDiv w:val="1"/>
      <w:marLeft w:val="0"/>
      <w:marRight w:val="0"/>
      <w:marTop w:val="0"/>
      <w:marBottom w:val="0"/>
      <w:divBdr>
        <w:top w:val="none" w:sz="0" w:space="0" w:color="auto"/>
        <w:left w:val="none" w:sz="0" w:space="0" w:color="auto"/>
        <w:bottom w:val="none" w:sz="0" w:space="0" w:color="auto"/>
        <w:right w:val="none" w:sz="0" w:space="0" w:color="auto"/>
      </w:divBdr>
    </w:div>
    <w:div w:id="1361318216">
      <w:bodyDiv w:val="1"/>
      <w:marLeft w:val="0"/>
      <w:marRight w:val="0"/>
      <w:marTop w:val="0"/>
      <w:marBottom w:val="0"/>
      <w:divBdr>
        <w:top w:val="none" w:sz="0" w:space="0" w:color="auto"/>
        <w:left w:val="none" w:sz="0" w:space="0" w:color="auto"/>
        <w:bottom w:val="none" w:sz="0" w:space="0" w:color="auto"/>
        <w:right w:val="none" w:sz="0" w:space="0" w:color="auto"/>
      </w:divBdr>
    </w:div>
    <w:div w:id="1361319986">
      <w:bodyDiv w:val="1"/>
      <w:marLeft w:val="0"/>
      <w:marRight w:val="0"/>
      <w:marTop w:val="0"/>
      <w:marBottom w:val="0"/>
      <w:divBdr>
        <w:top w:val="none" w:sz="0" w:space="0" w:color="auto"/>
        <w:left w:val="none" w:sz="0" w:space="0" w:color="auto"/>
        <w:bottom w:val="none" w:sz="0" w:space="0" w:color="auto"/>
        <w:right w:val="none" w:sz="0" w:space="0" w:color="auto"/>
      </w:divBdr>
    </w:div>
    <w:div w:id="1361514069">
      <w:bodyDiv w:val="1"/>
      <w:marLeft w:val="0"/>
      <w:marRight w:val="0"/>
      <w:marTop w:val="0"/>
      <w:marBottom w:val="0"/>
      <w:divBdr>
        <w:top w:val="none" w:sz="0" w:space="0" w:color="auto"/>
        <w:left w:val="none" w:sz="0" w:space="0" w:color="auto"/>
        <w:bottom w:val="none" w:sz="0" w:space="0" w:color="auto"/>
        <w:right w:val="none" w:sz="0" w:space="0" w:color="auto"/>
      </w:divBdr>
    </w:div>
    <w:div w:id="1361590073">
      <w:bodyDiv w:val="1"/>
      <w:marLeft w:val="0"/>
      <w:marRight w:val="0"/>
      <w:marTop w:val="0"/>
      <w:marBottom w:val="0"/>
      <w:divBdr>
        <w:top w:val="none" w:sz="0" w:space="0" w:color="auto"/>
        <w:left w:val="none" w:sz="0" w:space="0" w:color="auto"/>
        <w:bottom w:val="none" w:sz="0" w:space="0" w:color="auto"/>
        <w:right w:val="none" w:sz="0" w:space="0" w:color="auto"/>
      </w:divBdr>
    </w:div>
    <w:div w:id="1361786835">
      <w:bodyDiv w:val="1"/>
      <w:marLeft w:val="0"/>
      <w:marRight w:val="0"/>
      <w:marTop w:val="0"/>
      <w:marBottom w:val="0"/>
      <w:divBdr>
        <w:top w:val="none" w:sz="0" w:space="0" w:color="auto"/>
        <w:left w:val="none" w:sz="0" w:space="0" w:color="auto"/>
        <w:bottom w:val="none" w:sz="0" w:space="0" w:color="auto"/>
        <w:right w:val="none" w:sz="0" w:space="0" w:color="auto"/>
      </w:divBdr>
    </w:div>
    <w:div w:id="1361928070">
      <w:bodyDiv w:val="1"/>
      <w:marLeft w:val="0"/>
      <w:marRight w:val="0"/>
      <w:marTop w:val="0"/>
      <w:marBottom w:val="0"/>
      <w:divBdr>
        <w:top w:val="none" w:sz="0" w:space="0" w:color="auto"/>
        <w:left w:val="none" w:sz="0" w:space="0" w:color="auto"/>
        <w:bottom w:val="none" w:sz="0" w:space="0" w:color="auto"/>
        <w:right w:val="none" w:sz="0" w:space="0" w:color="auto"/>
      </w:divBdr>
    </w:div>
    <w:div w:id="1362129155">
      <w:bodyDiv w:val="1"/>
      <w:marLeft w:val="0"/>
      <w:marRight w:val="0"/>
      <w:marTop w:val="0"/>
      <w:marBottom w:val="0"/>
      <w:divBdr>
        <w:top w:val="none" w:sz="0" w:space="0" w:color="auto"/>
        <w:left w:val="none" w:sz="0" w:space="0" w:color="auto"/>
        <w:bottom w:val="none" w:sz="0" w:space="0" w:color="auto"/>
        <w:right w:val="none" w:sz="0" w:space="0" w:color="auto"/>
      </w:divBdr>
    </w:div>
    <w:div w:id="1362318325">
      <w:bodyDiv w:val="1"/>
      <w:marLeft w:val="0"/>
      <w:marRight w:val="0"/>
      <w:marTop w:val="0"/>
      <w:marBottom w:val="0"/>
      <w:divBdr>
        <w:top w:val="none" w:sz="0" w:space="0" w:color="auto"/>
        <w:left w:val="none" w:sz="0" w:space="0" w:color="auto"/>
        <w:bottom w:val="none" w:sz="0" w:space="0" w:color="auto"/>
        <w:right w:val="none" w:sz="0" w:space="0" w:color="auto"/>
      </w:divBdr>
    </w:div>
    <w:div w:id="1362433905">
      <w:bodyDiv w:val="1"/>
      <w:marLeft w:val="0"/>
      <w:marRight w:val="0"/>
      <w:marTop w:val="0"/>
      <w:marBottom w:val="0"/>
      <w:divBdr>
        <w:top w:val="none" w:sz="0" w:space="0" w:color="auto"/>
        <w:left w:val="none" w:sz="0" w:space="0" w:color="auto"/>
        <w:bottom w:val="none" w:sz="0" w:space="0" w:color="auto"/>
        <w:right w:val="none" w:sz="0" w:space="0" w:color="auto"/>
      </w:divBdr>
    </w:div>
    <w:div w:id="1362629414">
      <w:bodyDiv w:val="1"/>
      <w:marLeft w:val="0"/>
      <w:marRight w:val="0"/>
      <w:marTop w:val="0"/>
      <w:marBottom w:val="0"/>
      <w:divBdr>
        <w:top w:val="none" w:sz="0" w:space="0" w:color="auto"/>
        <w:left w:val="none" w:sz="0" w:space="0" w:color="auto"/>
        <w:bottom w:val="none" w:sz="0" w:space="0" w:color="auto"/>
        <w:right w:val="none" w:sz="0" w:space="0" w:color="auto"/>
      </w:divBdr>
    </w:div>
    <w:div w:id="1362632538">
      <w:bodyDiv w:val="1"/>
      <w:marLeft w:val="0"/>
      <w:marRight w:val="0"/>
      <w:marTop w:val="0"/>
      <w:marBottom w:val="0"/>
      <w:divBdr>
        <w:top w:val="none" w:sz="0" w:space="0" w:color="auto"/>
        <w:left w:val="none" w:sz="0" w:space="0" w:color="auto"/>
        <w:bottom w:val="none" w:sz="0" w:space="0" w:color="auto"/>
        <w:right w:val="none" w:sz="0" w:space="0" w:color="auto"/>
      </w:divBdr>
    </w:div>
    <w:div w:id="1362705593">
      <w:bodyDiv w:val="1"/>
      <w:marLeft w:val="0"/>
      <w:marRight w:val="0"/>
      <w:marTop w:val="0"/>
      <w:marBottom w:val="0"/>
      <w:divBdr>
        <w:top w:val="none" w:sz="0" w:space="0" w:color="auto"/>
        <w:left w:val="none" w:sz="0" w:space="0" w:color="auto"/>
        <w:bottom w:val="none" w:sz="0" w:space="0" w:color="auto"/>
        <w:right w:val="none" w:sz="0" w:space="0" w:color="auto"/>
      </w:divBdr>
    </w:div>
    <w:div w:id="1362780849">
      <w:bodyDiv w:val="1"/>
      <w:marLeft w:val="0"/>
      <w:marRight w:val="0"/>
      <w:marTop w:val="0"/>
      <w:marBottom w:val="0"/>
      <w:divBdr>
        <w:top w:val="none" w:sz="0" w:space="0" w:color="auto"/>
        <w:left w:val="none" w:sz="0" w:space="0" w:color="auto"/>
        <w:bottom w:val="none" w:sz="0" w:space="0" w:color="auto"/>
        <w:right w:val="none" w:sz="0" w:space="0" w:color="auto"/>
      </w:divBdr>
    </w:div>
    <w:div w:id="1362824701">
      <w:bodyDiv w:val="1"/>
      <w:marLeft w:val="0"/>
      <w:marRight w:val="0"/>
      <w:marTop w:val="0"/>
      <w:marBottom w:val="0"/>
      <w:divBdr>
        <w:top w:val="none" w:sz="0" w:space="0" w:color="auto"/>
        <w:left w:val="none" w:sz="0" w:space="0" w:color="auto"/>
        <w:bottom w:val="none" w:sz="0" w:space="0" w:color="auto"/>
        <w:right w:val="none" w:sz="0" w:space="0" w:color="auto"/>
      </w:divBdr>
    </w:div>
    <w:div w:id="1362824720">
      <w:bodyDiv w:val="1"/>
      <w:marLeft w:val="0"/>
      <w:marRight w:val="0"/>
      <w:marTop w:val="0"/>
      <w:marBottom w:val="0"/>
      <w:divBdr>
        <w:top w:val="none" w:sz="0" w:space="0" w:color="auto"/>
        <w:left w:val="none" w:sz="0" w:space="0" w:color="auto"/>
        <w:bottom w:val="none" w:sz="0" w:space="0" w:color="auto"/>
        <w:right w:val="none" w:sz="0" w:space="0" w:color="auto"/>
      </w:divBdr>
    </w:div>
    <w:div w:id="1362824937">
      <w:bodyDiv w:val="1"/>
      <w:marLeft w:val="0"/>
      <w:marRight w:val="0"/>
      <w:marTop w:val="0"/>
      <w:marBottom w:val="0"/>
      <w:divBdr>
        <w:top w:val="none" w:sz="0" w:space="0" w:color="auto"/>
        <w:left w:val="none" w:sz="0" w:space="0" w:color="auto"/>
        <w:bottom w:val="none" w:sz="0" w:space="0" w:color="auto"/>
        <w:right w:val="none" w:sz="0" w:space="0" w:color="auto"/>
      </w:divBdr>
    </w:div>
    <w:div w:id="1362826622">
      <w:bodyDiv w:val="1"/>
      <w:marLeft w:val="0"/>
      <w:marRight w:val="0"/>
      <w:marTop w:val="0"/>
      <w:marBottom w:val="0"/>
      <w:divBdr>
        <w:top w:val="none" w:sz="0" w:space="0" w:color="auto"/>
        <w:left w:val="none" w:sz="0" w:space="0" w:color="auto"/>
        <w:bottom w:val="none" w:sz="0" w:space="0" w:color="auto"/>
        <w:right w:val="none" w:sz="0" w:space="0" w:color="auto"/>
      </w:divBdr>
    </w:div>
    <w:div w:id="1362902317">
      <w:bodyDiv w:val="1"/>
      <w:marLeft w:val="0"/>
      <w:marRight w:val="0"/>
      <w:marTop w:val="0"/>
      <w:marBottom w:val="0"/>
      <w:divBdr>
        <w:top w:val="none" w:sz="0" w:space="0" w:color="auto"/>
        <w:left w:val="none" w:sz="0" w:space="0" w:color="auto"/>
        <w:bottom w:val="none" w:sz="0" w:space="0" w:color="auto"/>
        <w:right w:val="none" w:sz="0" w:space="0" w:color="auto"/>
      </w:divBdr>
    </w:div>
    <w:div w:id="1363048291">
      <w:bodyDiv w:val="1"/>
      <w:marLeft w:val="0"/>
      <w:marRight w:val="0"/>
      <w:marTop w:val="0"/>
      <w:marBottom w:val="0"/>
      <w:divBdr>
        <w:top w:val="none" w:sz="0" w:space="0" w:color="auto"/>
        <w:left w:val="none" w:sz="0" w:space="0" w:color="auto"/>
        <w:bottom w:val="none" w:sz="0" w:space="0" w:color="auto"/>
        <w:right w:val="none" w:sz="0" w:space="0" w:color="auto"/>
      </w:divBdr>
    </w:div>
    <w:div w:id="1363093056">
      <w:bodyDiv w:val="1"/>
      <w:marLeft w:val="0"/>
      <w:marRight w:val="0"/>
      <w:marTop w:val="0"/>
      <w:marBottom w:val="0"/>
      <w:divBdr>
        <w:top w:val="none" w:sz="0" w:space="0" w:color="auto"/>
        <w:left w:val="none" w:sz="0" w:space="0" w:color="auto"/>
        <w:bottom w:val="none" w:sz="0" w:space="0" w:color="auto"/>
        <w:right w:val="none" w:sz="0" w:space="0" w:color="auto"/>
      </w:divBdr>
    </w:div>
    <w:div w:id="1363555537">
      <w:bodyDiv w:val="1"/>
      <w:marLeft w:val="0"/>
      <w:marRight w:val="0"/>
      <w:marTop w:val="0"/>
      <w:marBottom w:val="0"/>
      <w:divBdr>
        <w:top w:val="none" w:sz="0" w:space="0" w:color="auto"/>
        <w:left w:val="none" w:sz="0" w:space="0" w:color="auto"/>
        <w:bottom w:val="none" w:sz="0" w:space="0" w:color="auto"/>
        <w:right w:val="none" w:sz="0" w:space="0" w:color="auto"/>
      </w:divBdr>
    </w:div>
    <w:div w:id="1363673433">
      <w:bodyDiv w:val="1"/>
      <w:marLeft w:val="0"/>
      <w:marRight w:val="0"/>
      <w:marTop w:val="0"/>
      <w:marBottom w:val="0"/>
      <w:divBdr>
        <w:top w:val="none" w:sz="0" w:space="0" w:color="auto"/>
        <w:left w:val="none" w:sz="0" w:space="0" w:color="auto"/>
        <w:bottom w:val="none" w:sz="0" w:space="0" w:color="auto"/>
        <w:right w:val="none" w:sz="0" w:space="0" w:color="auto"/>
      </w:divBdr>
    </w:div>
    <w:div w:id="1363701364">
      <w:bodyDiv w:val="1"/>
      <w:marLeft w:val="0"/>
      <w:marRight w:val="0"/>
      <w:marTop w:val="0"/>
      <w:marBottom w:val="0"/>
      <w:divBdr>
        <w:top w:val="none" w:sz="0" w:space="0" w:color="auto"/>
        <w:left w:val="none" w:sz="0" w:space="0" w:color="auto"/>
        <w:bottom w:val="none" w:sz="0" w:space="0" w:color="auto"/>
        <w:right w:val="none" w:sz="0" w:space="0" w:color="auto"/>
      </w:divBdr>
    </w:div>
    <w:div w:id="1363703761">
      <w:bodyDiv w:val="1"/>
      <w:marLeft w:val="0"/>
      <w:marRight w:val="0"/>
      <w:marTop w:val="0"/>
      <w:marBottom w:val="0"/>
      <w:divBdr>
        <w:top w:val="none" w:sz="0" w:space="0" w:color="auto"/>
        <w:left w:val="none" w:sz="0" w:space="0" w:color="auto"/>
        <w:bottom w:val="none" w:sz="0" w:space="0" w:color="auto"/>
        <w:right w:val="none" w:sz="0" w:space="0" w:color="auto"/>
      </w:divBdr>
    </w:div>
    <w:div w:id="1363746825">
      <w:bodyDiv w:val="1"/>
      <w:marLeft w:val="0"/>
      <w:marRight w:val="0"/>
      <w:marTop w:val="0"/>
      <w:marBottom w:val="0"/>
      <w:divBdr>
        <w:top w:val="none" w:sz="0" w:space="0" w:color="auto"/>
        <w:left w:val="none" w:sz="0" w:space="0" w:color="auto"/>
        <w:bottom w:val="none" w:sz="0" w:space="0" w:color="auto"/>
        <w:right w:val="none" w:sz="0" w:space="0" w:color="auto"/>
      </w:divBdr>
    </w:div>
    <w:div w:id="1363748371">
      <w:bodyDiv w:val="1"/>
      <w:marLeft w:val="0"/>
      <w:marRight w:val="0"/>
      <w:marTop w:val="0"/>
      <w:marBottom w:val="0"/>
      <w:divBdr>
        <w:top w:val="none" w:sz="0" w:space="0" w:color="auto"/>
        <w:left w:val="none" w:sz="0" w:space="0" w:color="auto"/>
        <w:bottom w:val="none" w:sz="0" w:space="0" w:color="auto"/>
        <w:right w:val="none" w:sz="0" w:space="0" w:color="auto"/>
      </w:divBdr>
    </w:div>
    <w:div w:id="1363894218">
      <w:bodyDiv w:val="1"/>
      <w:marLeft w:val="0"/>
      <w:marRight w:val="0"/>
      <w:marTop w:val="0"/>
      <w:marBottom w:val="0"/>
      <w:divBdr>
        <w:top w:val="none" w:sz="0" w:space="0" w:color="auto"/>
        <w:left w:val="none" w:sz="0" w:space="0" w:color="auto"/>
        <w:bottom w:val="none" w:sz="0" w:space="0" w:color="auto"/>
        <w:right w:val="none" w:sz="0" w:space="0" w:color="auto"/>
      </w:divBdr>
    </w:div>
    <w:div w:id="1363897468">
      <w:bodyDiv w:val="1"/>
      <w:marLeft w:val="0"/>
      <w:marRight w:val="0"/>
      <w:marTop w:val="0"/>
      <w:marBottom w:val="0"/>
      <w:divBdr>
        <w:top w:val="none" w:sz="0" w:space="0" w:color="auto"/>
        <w:left w:val="none" w:sz="0" w:space="0" w:color="auto"/>
        <w:bottom w:val="none" w:sz="0" w:space="0" w:color="auto"/>
        <w:right w:val="none" w:sz="0" w:space="0" w:color="auto"/>
      </w:divBdr>
    </w:div>
    <w:div w:id="1363944076">
      <w:bodyDiv w:val="1"/>
      <w:marLeft w:val="0"/>
      <w:marRight w:val="0"/>
      <w:marTop w:val="0"/>
      <w:marBottom w:val="0"/>
      <w:divBdr>
        <w:top w:val="none" w:sz="0" w:space="0" w:color="auto"/>
        <w:left w:val="none" w:sz="0" w:space="0" w:color="auto"/>
        <w:bottom w:val="none" w:sz="0" w:space="0" w:color="auto"/>
        <w:right w:val="none" w:sz="0" w:space="0" w:color="auto"/>
      </w:divBdr>
    </w:div>
    <w:div w:id="1364087265">
      <w:bodyDiv w:val="1"/>
      <w:marLeft w:val="0"/>
      <w:marRight w:val="0"/>
      <w:marTop w:val="0"/>
      <w:marBottom w:val="0"/>
      <w:divBdr>
        <w:top w:val="none" w:sz="0" w:space="0" w:color="auto"/>
        <w:left w:val="none" w:sz="0" w:space="0" w:color="auto"/>
        <w:bottom w:val="none" w:sz="0" w:space="0" w:color="auto"/>
        <w:right w:val="none" w:sz="0" w:space="0" w:color="auto"/>
      </w:divBdr>
    </w:div>
    <w:div w:id="1364087314">
      <w:bodyDiv w:val="1"/>
      <w:marLeft w:val="0"/>
      <w:marRight w:val="0"/>
      <w:marTop w:val="0"/>
      <w:marBottom w:val="0"/>
      <w:divBdr>
        <w:top w:val="none" w:sz="0" w:space="0" w:color="auto"/>
        <w:left w:val="none" w:sz="0" w:space="0" w:color="auto"/>
        <w:bottom w:val="none" w:sz="0" w:space="0" w:color="auto"/>
        <w:right w:val="none" w:sz="0" w:space="0" w:color="auto"/>
      </w:divBdr>
    </w:div>
    <w:div w:id="1364088082">
      <w:bodyDiv w:val="1"/>
      <w:marLeft w:val="0"/>
      <w:marRight w:val="0"/>
      <w:marTop w:val="0"/>
      <w:marBottom w:val="0"/>
      <w:divBdr>
        <w:top w:val="none" w:sz="0" w:space="0" w:color="auto"/>
        <w:left w:val="none" w:sz="0" w:space="0" w:color="auto"/>
        <w:bottom w:val="none" w:sz="0" w:space="0" w:color="auto"/>
        <w:right w:val="none" w:sz="0" w:space="0" w:color="auto"/>
      </w:divBdr>
    </w:div>
    <w:div w:id="1364092773">
      <w:bodyDiv w:val="1"/>
      <w:marLeft w:val="0"/>
      <w:marRight w:val="0"/>
      <w:marTop w:val="0"/>
      <w:marBottom w:val="0"/>
      <w:divBdr>
        <w:top w:val="none" w:sz="0" w:space="0" w:color="auto"/>
        <w:left w:val="none" w:sz="0" w:space="0" w:color="auto"/>
        <w:bottom w:val="none" w:sz="0" w:space="0" w:color="auto"/>
        <w:right w:val="none" w:sz="0" w:space="0" w:color="auto"/>
      </w:divBdr>
    </w:div>
    <w:div w:id="1364134276">
      <w:bodyDiv w:val="1"/>
      <w:marLeft w:val="0"/>
      <w:marRight w:val="0"/>
      <w:marTop w:val="0"/>
      <w:marBottom w:val="0"/>
      <w:divBdr>
        <w:top w:val="none" w:sz="0" w:space="0" w:color="auto"/>
        <w:left w:val="none" w:sz="0" w:space="0" w:color="auto"/>
        <w:bottom w:val="none" w:sz="0" w:space="0" w:color="auto"/>
        <w:right w:val="none" w:sz="0" w:space="0" w:color="auto"/>
      </w:divBdr>
    </w:div>
    <w:div w:id="1364209867">
      <w:bodyDiv w:val="1"/>
      <w:marLeft w:val="0"/>
      <w:marRight w:val="0"/>
      <w:marTop w:val="0"/>
      <w:marBottom w:val="0"/>
      <w:divBdr>
        <w:top w:val="none" w:sz="0" w:space="0" w:color="auto"/>
        <w:left w:val="none" w:sz="0" w:space="0" w:color="auto"/>
        <w:bottom w:val="none" w:sz="0" w:space="0" w:color="auto"/>
        <w:right w:val="none" w:sz="0" w:space="0" w:color="auto"/>
      </w:divBdr>
    </w:div>
    <w:div w:id="1364281005">
      <w:bodyDiv w:val="1"/>
      <w:marLeft w:val="0"/>
      <w:marRight w:val="0"/>
      <w:marTop w:val="0"/>
      <w:marBottom w:val="0"/>
      <w:divBdr>
        <w:top w:val="none" w:sz="0" w:space="0" w:color="auto"/>
        <w:left w:val="none" w:sz="0" w:space="0" w:color="auto"/>
        <w:bottom w:val="none" w:sz="0" w:space="0" w:color="auto"/>
        <w:right w:val="none" w:sz="0" w:space="0" w:color="auto"/>
      </w:divBdr>
    </w:div>
    <w:div w:id="1364282588">
      <w:bodyDiv w:val="1"/>
      <w:marLeft w:val="0"/>
      <w:marRight w:val="0"/>
      <w:marTop w:val="0"/>
      <w:marBottom w:val="0"/>
      <w:divBdr>
        <w:top w:val="none" w:sz="0" w:space="0" w:color="auto"/>
        <w:left w:val="none" w:sz="0" w:space="0" w:color="auto"/>
        <w:bottom w:val="none" w:sz="0" w:space="0" w:color="auto"/>
        <w:right w:val="none" w:sz="0" w:space="0" w:color="auto"/>
      </w:divBdr>
    </w:div>
    <w:div w:id="1364670238">
      <w:bodyDiv w:val="1"/>
      <w:marLeft w:val="0"/>
      <w:marRight w:val="0"/>
      <w:marTop w:val="0"/>
      <w:marBottom w:val="0"/>
      <w:divBdr>
        <w:top w:val="none" w:sz="0" w:space="0" w:color="auto"/>
        <w:left w:val="none" w:sz="0" w:space="0" w:color="auto"/>
        <w:bottom w:val="none" w:sz="0" w:space="0" w:color="auto"/>
        <w:right w:val="none" w:sz="0" w:space="0" w:color="auto"/>
      </w:divBdr>
    </w:div>
    <w:div w:id="1364869558">
      <w:bodyDiv w:val="1"/>
      <w:marLeft w:val="0"/>
      <w:marRight w:val="0"/>
      <w:marTop w:val="0"/>
      <w:marBottom w:val="0"/>
      <w:divBdr>
        <w:top w:val="none" w:sz="0" w:space="0" w:color="auto"/>
        <w:left w:val="none" w:sz="0" w:space="0" w:color="auto"/>
        <w:bottom w:val="none" w:sz="0" w:space="0" w:color="auto"/>
        <w:right w:val="none" w:sz="0" w:space="0" w:color="auto"/>
      </w:divBdr>
    </w:div>
    <w:div w:id="1364942630">
      <w:bodyDiv w:val="1"/>
      <w:marLeft w:val="0"/>
      <w:marRight w:val="0"/>
      <w:marTop w:val="0"/>
      <w:marBottom w:val="0"/>
      <w:divBdr>
        <w:top w:val="none" w:sz="0" w:space="0" w:color="auto"/>
        <w:left w:val="none" w:sz="0" w:space="0" w:color="auto"/>
        <w:bottom w:val="none" w:sz="0" w:space="0" w:color="auto"/>
        <w:right w:val="none" w:sz="0" w:space="0" w:color="auto"/>
      </w:divBdr>
    </w:div>
    <w:div w:id="1365250712">
      <w:bodyDiv w:val="1"/>
      <w:marLeft w:val="0"/>
      <w:marRight w:val="0"/>
      <w:marTop w:val="0"/>
      <w:marBottom w:val="0"/>
      <w:divBdr>
        <w:top w:val="none" w:sz="0" w:space="0" w:color="auto"/>
        <w:left w:val="none" w:sz="0" w:space="0" w:color="auto"/>
        <w:bottom w:val="none" w:sz="0" w:space="0" w:color="auto"/>
        <w:right w:val="none" w:sz="0" w:space="0" w:color="auto"/>
      </w:divBdr>
    </w:div>
    <w:div w:id="1365404549">
      <w:bodyDiv w:val="1"/>
      <w:marLeft w:val="0"/>
      <w:marRight w:val="0"/>
      <w:marTop w:val="0"/>
      <w:marBottom w:val="0"/>
      <w:divBdr>
        <w:top w:val="none" w:sz="0" w:space="0" w:color="auto"/>
        <w:left w:val="none" w:sz="0" w:space="0" w:color="auto"/>
        <w:bottom w:val="none" w:sz="0" w:space="0" w:color="auto"/>
        <w:right w:val="none" w:sz="0" w:space="0" w:color="auto"/>
      </w:divBdr>
    </w:div>
    <w:div w:id="1365521241">
      <w:bodyDiv w:val="1"/>
      <w:marLeft w:val="0"/>
      <w:marRight w:val="0"/>
      <w:marTop w:val="0"/>
      <w:marBottom w:val="0"/>
      <w:divBdr>
        <w:top w:val="none" w:sz="0" w:space="0" w:color="auto"/>
        <w:left w:val="none" w:sz="0" w:space="0" w:color="auto"/>
        <w:bottom w:val="none" w:sz="0" w:space="0" w:color="auto"/>
        <w:right w:val="none" w:sz="0" w:space="0" w:color="auto"/>
      </w:divBdr>
    </w:div>
    <w:div w:id="1365595591">
      <w:bodyDiv w:val="1"/>
      <w:marLeft w:val="0"/>
      <w:marRight w:val="0"/>
      <w:marTop w:val="0"/>
      <w:marBottom w:val="0"/>
      <w:divBdr>
        <w:top w:val="none" w:sz="0" w:space="0" w:color="auto"/>
        <w:left w:val="none" w:sz="0" w:space="0" w:color="auto"/>
        <w:bottom w:val="none" w:sz="0" w:space="0" w:color="auto"/>
        <w:right w:val="none" w:sz="0" w:space="0" w:color="auto"/>
      </w:divBdr>
    </w:div>
    <w:div w:id="1365595781">
      <w:bodyDiv w:val="1"/>
      <w:marLeft w:val="0"/>
      <w:marRight w:val="0"/>
      <w:marTop w:val="0"/>
      <w:marBottom w:val="0"/>
      <w:divBdr>
        <w:top w:val="none" w:sz="0" w:space="0" w:color="auto"/>
        <w:left w:val="none" w:sz="0" w:space="0" w:color="auto"/>
        <w:bottom w:val="none" w:sz="0" w:space="0" w:color="auto"/>
        <w:right w:val="none" w:sz="0" w:space="0" w:color="auto"/>
      </w:divBdr>
    </w:div>
    <w:div w:id="1365709097">
      <w:bodyDiv w:val="1"/>
      <w:marLeft w:val="0"/>
      <w:marRight w:val="0"/>
      <w:marTop w:val="0"/>
      <w:marBottom w:val="0"/>
      <w:divBdr>
        <w:top w:val="none" w:sz="0" w:space="0" w:color="auto"/>
        <w:left w:val="none" w:sz="0" w:space="0" w:color="auto"/>
        <w:bottom w:val="none" w:sz="0" w:space="0" w:color="auto"/>
        <w:right w:val="none" w:sz="0" w:space="0" w:color="auto"/>
      </w:divBdr>
    </w:div>
    <w:div w:id="1365717980">
      <w:bodyDiv w:val="1"/>
      <w:marLeft w:val="0"/>
      <w:marRight w:val="0"/>
      <w:marTop w:val="0"/>
      <w:marBottom w:val="0"/>
      <w:divBdr>
        <w:top w:val="none" w:sz="0" w:space="0" w:color="auto"/>
        <w:left w:val="none" w:sz="0" w:space="0" w:color="auto"/>
        <w:bottom w:val="none" w:sz="0" w:space="0" w:color="auto"/>
        <w:right w:val="none" w:sz="0" w:space="0" w:color="auto"/>
      </w:divBdr>
    </w:div>
    <w:div w:id="1365790499">
      <w:bodyDiv w:val="1"/>
      <w:marLeft w:val="0"/>
      <w:marRight w:val="0"/>
      <w:marTop w:val="0"/>
      <w:marBottom w:val="0"/>
      <w:divBdr>
        <w:top w:val="none" w:sz="0" w:space="0" w:color="auto"/>
        <w:left w:val="none" w:sz="0" w:space="0" w:color="auto"/>
        <w:bottom w:val="none" w:sz="0" w:space="0" w:color="auto"/>
        <w:right w:val="none" w:sz="0" w:space="0" w:color="auto"/>
      </w:divBdr>
    </w:div>
    <w:div w:id="1365860814">
      <w:bodyDiv w:val="1"/>
      <w:marLeft w:val="0"/>
      <w:marRight w:val="0"/>
      <w:marTop w:val="0"/>
      <w:marBottom w:val="0"/>
      <w:divBdr>
        <w:top w:val="none" w:sz="0" w:space="0" w:color="auto"/>
        <w:left w:val="none" w:sz="0" w:space="0" w:color="auto"/>
        <w:bottom w:val="none" w:sz="0" w:space="0" w:color="auto"/>
        <w:right w:val="none" w:sz="0" w:space="0" w:color="auto"/>
      </w:divBdr>
    </w:div>
    <w:div w:id="1365908202">
      <w:bodyDiv w:val="1"/>
      <w:marLeft w:val="0"/>
      <w:marRight w:val="0"/>
      <w:marTop w:val="0"/>
      <w:marBottom w:val="0"/>
      <w:divBdr>
        <w:top w:val="none" w:sz="0" w:space="0" w:color="auto"/>
        <w:left w:val="none" w:sz="0" w:space="0" w:color="auto"/>
        <w:bottom w:val="none" w:sz="0" w:space="0" w:color="auto"/>
        <w:right w:val="none" w:sz="0" w:space="0" w:color="auto"/>
      </w:divBdr>
    </w:div>
    <w:div w:id="1366062400">
      <w:bodyDiv w:val="1"/>
      <w:marLeft w:val="0"/>
      <w:marRight w:val="0"/>
      <w:marTop w:val="0"/>
      <w:marBottom w:val="0"/>
      <w:divBdr>
        <w:top w:val="none" w:sz="0" w:space="0" w:color="auto"/>
        <w:left w:val="none" w:sz="0" w:space="0" w:color="auto"/>
        <w:bottom w:val="none" w:sz="0" w:space="0" w:color="auto"/>
        <w:right w:val="none" w:sz="0" w:space="0" w:color="auto"/>
      </w:divBdr>
    </w:div>
    <w:div w:id="1366099478">
      <w:bodyDiv w:val="1"/>
      <w:marLeft w:val="0"/>
      <w:marRight w:val="0"/>
      <w:marTop w:val="0"/>
      <w:marBottom w:val="0"/>
      <w:divBdr>
        <w:top w:val="none" w:sz="0" w:space="0" w:color="auto"/>
        <w:left w:val="none" w:sz="0" w:space="0" w:color="auto"/>
        <w:bottom w:val="none" w:sz="0" w:space="0" w:color="auto"/>
        <w:right w:val="none" w:sz="0" w:space="0" w:color="auto"/>
      </w:divBdr>
    </w:div>
    <w:div w:id="1366128832">
      <w:bodyDiv w:val="1"/>
      <w:marLeft w:val="0"/>
      <w:marRight w:val="0"/>
      <w:marTop w:val="0"/>
      <w:marBottom w:val="0"/>
      <w:divBdr>
        <w:top w:val="none" w:sz="0" w:space="0" w:color="auto"/>
        <w:left w:val="none" w:sz="0" w:space="0" w:color="auto"/>
        <w:bottom w:val="none" w:sz="0" w:space="0" w:color="auto"/>
        <w:right w:val="none" w:sz="0" w:space="0" w:color="auto"/>
      </w:divBdr>
    </w:div>
    <w:div w:id="1366173583">
      <w:bodyDiv w:val="1"/>
      <w:marLeft w:val="0"/>
      <w:marRight w:val="0"/>
      <w:marTop w:val="0"/>
      <w:marBottom w:val="0"/>
      <w:divBdr>
        <w:top w:val="none" w:sz="0" w:space="0" w:color="auto"/>
        <w:left w:val="none" w:sz="0" w:space="0" w:color="auto"/>
        <w:bottom w:val="none" w:sz="0" w:space="0" w:color="auto"/>
        <w:right w:val="none" w:sz="0" w:space="0" w:color="auto"/>
      </w:divBdr>
    </w:div>
    <w:div w:id="1366523418">
      <w:bodyDiv w:val="1"/>
      <w:marLeft w:val="0"/>
      <w:marRight w:val="0"/>
      <w:marTop w:val="0"/>
      <w:marBottom w:val="0"/>
      <w:divBdr>
        <w:top w:val="none" w:sz="0" w:space="0" w:color="auto"/>
        <w:left w:val="none" w:sz="0" w:space="0" w:color="auto"/>
        <w:bottom w:val="none" w:sz="0" w:space="0" w:color="auto"/>
        <w:right w:val="none" w:sz="0" w:space="0" w:color="auto"/>
      </w:divBdr>
    </w:div>
    <w:div w:id="1366638939">
      <w:bodyDiv w:val="1"/>
      <w:marLeft w:val="0"/>
      <w:marRight w:val="0"/>
      <w:marTop w:val="0"/>
      <w:marBottom w:val="0"/>
      <w:divBdr>
        <w:top w:val="none" w:sz="0" w:space="0" w:color="auto"/>
        <w:left w:val="none" w:sz="0" w:space="0" w:color="auto"/>
        <w:bottom w:val="none" w:sz="0" w:space="0" w:color="auto"/>
        <w:right w:val="none" w:sz="0" w:space="0" w:color="auto"/>
      </w:divBdr>
    </w:div>
    <w:div w:id="1366709313">
      <w:bodyDiv w:val="1"/>
      <w:marLeft w:val="0"/>
      <w:marRight w:val="0"/>
      <w:marTop w:val="0"/>
      <w:marBottom w:val="0"/>
      <w:divBdr>
        <w:top w:val="none" w:sz="0" w:space="0" w:color="auto"/>
        <w:left w:val="none" w:sz="0" w:space="0" w:color="auto"/>
        <w:bottom w:val="none" w:sz="0" w:space="0" w:color="auto"/>
        <w:right w:val="none" w:sz="0" w:space="0" w:color="auto"/>
      </w:divBdr>
    </w:div>
    <w:div w:id="1366709839">
      <w:bodyDiv w:val="1"/>
      <w:marLeft w:val="0"/>
      <w:marRight w:val="0"/>
      <w:marTop w:val="0"/>
      <w:marBottom w:val="0"/>
      <w:divBdr>
        <w:top w:val="none" w:sz="0" w:space="0" w:color="auto"/>
        <w:left w:val="none" w:sz="0" w:space="0" w:color="auto"/>
        <w:bottom w:val="none" w:sz="0" w:space="0" w:color="auto"/>
        <w:right w:val="none" w:sz="0" w:space="0" w:color="auto"/>
      </w:divBdr>
    </w:div>
    <w:div w:id="1366953372">
      <w:bodyDiv w:val="1"/>
      <w:marLeft w:val="0"/>
      <w:marRight w:val="0"/>
      <w:marTop w:val="0"/>
      <w:marBottom w:val="0"/>
      <w:divBdr>
        <w:top w:val="none" w:sz="0" w:space="0" w:color="auto"/>
        <w:left w:val="none" w:sz="0" w:space="0" w:color="auto"/>
        <w:bottom w:val="none" w:sz="0" w:space="0" w:color="auto"/>
        <w:right w:val="none" w:sz="0" w:space="0" w:color="auto"/>
      </w:divBdr>
    </w:div>
    <w:div w:id="1367024382">
      <w:bodyDiv w:val="1"/>
      <w:marLeft w:val="0"/>
      <w:marRight w:val="0"/>
      <w:marTop w:val="0"/>
      <w:marBottom w:val="0"/>
      <w:divBdr>
        <w:top w:val="none" w:sz="0" w:space="0" w:color="auto"/>
        <w:left w:val="none" w:sz="0" w:space="0" w:color="auto"/>
        <w:bottom w:val="none" w:sz="0" w:space="0" w:color="auto"/>
        <w:right w:val="none" w:sz="0" w:space="0" w:color="auto"/>
      </w:divBdr>
    </w:div>
    <w:div w:id="1367028013">
      <w:bodyDiv w:val="1"/>
      <w:marLeft w:val="0"/>
      <w:marRight w:val="0"/>
      <w:marTop w:val="0"/>
      <w:marBottom w:val="0"/>
      <w:divBdr>
        <w:top w:val="none" w:sz="0" w:space="0" w:color="auto"/>
        <w:left w:val="none" w:sz="0" w:space="0" w:color="auto"/>
        <w:bottom w:val="none" w:sz="0" w:space="0" w:color="auto"/>
        <w:right w:val="none" w:sz="0" w:space="0" w:color="auto"/>
      </w:divBdr>
    </w:div>
    <w:div w:id="1367095294">
      <w:bodyDiv w:val="1"/>
      <w:marLeft w:val="0"/>
      <w:marRight w:val="0"/>
      <w:marTop w:val="0"/>
      <w:marBottom w:val="0"/>
      <w:divBdr>
        <w:top w:val="none" w:sz="0" w:space="0" w:color="auto"/>
        <w:left w:val="none" w:sz="0" w:space="0" w:color="auto"/>
        <w:bottom w:val="none" w:sz="0" w:space="0" w:color="auto"/>
        <w:right w:val="none" w:sz="0" w:space="0" w:color="auto"/>
      </w:divBdr>
    </w:div>
    <w:div w:id="1367102511">
      <w:bodyDiv w:val="1"/>
      <w:marLeft w:val="0"/>
      <w:marRight w:val="0"/>
      <w:marTop w:val="0"/>
      <w:marBottom w:val="0"/>
      <w:divBdr>
        <w:top w:val="none" w:sz="0" w:space="0" w:color="auto"/>
        <w:left w:val="none" w:sz="0" w:space="0" w:color="auto"/>
        <w:bottom w:val="none" w:sz="0" w:space="0" w:color="auto"/>
        <w:right w:val="none" w:sz="0" w:space="0" w:color="auto"/>
      </w:divBdr>
    </w:div>
    <w:div w:id="1367102630">
      <w:bodyDiv w:val="1"/>
      <w:marLeft w:val="0"/>
      <w:marRight w:val="0"/>
      <w:marTop w:val="0"/>
      <w:marBottom w:val="0"/>
      <w:divBdr>
        <w:top w:val="none" w:sz="0" w:space="0" w:color="auto"/>
        <w:left w:val="none" w:sz="0" w:space="0" w:color="auto"/>
        <w:bottom w:val="none" w:sz="0" w:space="0" w:color="auto"/>
        <w:right w:val="none" w:sz="0" w:space="0" w:color="auto"/>
      </w:divBdr>
    </w:div>
    <w:div w:id="1367367228">
      <w:bodyDiv w:val="1"/>
      <w:marLeft w:val="0"/>
      <w:marRight w:val="0"/>
      <w:marTop w:val="0"/>
      <w:marBottom w:val="0"/>
      <w:divBdr>
        <w:top w:val="none" w:sz="0" w:space="0" w:color="auto"/>
        <w:left w:val="none" w:sz="0" w:space="0" w:color="auto"/>
        <w:bottom w:val="none" w:sz="0" w:space="0" w:color="auto"/>
        <w:right w:val="none" w:sz="0" w:space="0" w:color="auto"/>
      </w:divBdr>
    </w:div>
    <w:div w:id="1367369460">
      <w:bodyDiv w:val="1"/>
      <w:marLeft w:val="0"/>
      <w:marRight w:val="0"/>
      <w:marTop w:val="0"/>
      <w:marBottom w:val="0"/>
      <w:divBdr>
        <w:top w:val="none" w:sz="0" w:space="0" w:color="auto"/>
        <w:left w:val="none" w:sz="0" w:space="0" w:color="auto"/>
        <w:bottom w:val="none" w:sz="0" w:space="0" w:color="auto"/>
        <w:right w:val="none" w:sz="0" w:space="0" w:color="auto"/>
      </w:divBdr>
    </w:div>
    <w:div w:id="1367635654">
      <w:bodyDiv w:val="1"/>
      <w:marLeft w:val="0"/>
      <w:marRight w:val="0"/>
      <w:marTop w:val="0"/>
      <w:marBottom w:val="0"/>
      <w:divBdr>
        <w:top w:val="none" w:sz="0" w:space="0" w:color="auto"/>
        <w:left w:val="none" w:sz="0" w:space="0" w:color="auto"/>
        <w:bottom w:val="none" w:sz="0" w:space="0" w:color="auto"/>
        <w:right w:val="none" w:sz="0" w:space="0" w:color="auto"/>
      </w:divBdr>
    </w:div>
    <w:div w:id="1367677601">
      <w:bodyDiv w:val="1"/>
      <w:marLeft w:val="0"/>
      <w:marRight w:val="0"/>
      <w:marTop w:val="0"/>
      <w:marBottom w:val="0"/>
      <w:divBdr>
        <w:top w:val="none" w:sz="0" w:space="0" w:color="auto"/>
        <w:left w:val="none" w:sz="0" w:space="0" w:color="auto"/>
        <w:bottom w:val="none" w:sz="0" w:space="0" w:color="auto"/>
        <w:right w:val="none" w:sz="0" w:space="0" w:color="auto"/>
      </w:divBdr>
    </w:div>
    <w:div w:id="1368019984">
      <w:bodyDiv w:val="1"/>
      <w:marLeft w:val="0"/>
      <w:marRight w:val="0"/>
      <w:marTop w:val="0"/>
      <w:marBottom w:val="0"/>
      <w:divBdr>
        <w:top w:val="none" w:sz="0" w:space="0" w:color="auto"/>
        <w:left w:val="none" w:sz="0" w:space="0" w:color="auto"/>
        <w:bottom w:val="none" w:sz="0" w:space="0" w:color="auto"/>
        <w:right w:val="none" w:sz="0" w:space="0" w:color="auto"/>
      </w:divBdr>
    </w:div>
    <w:div w:id="1368025094">
      <w:bodyDiv w:val="1"/>
      <w:marLeft w:val="0"/>
      <w:marRight w:val="0"/>
      <w:marTop w:val="0"/>
      <w:marBottom w:val="0"/>
      <w:divBdr>
        <w:top w:val="none" w:sz="0" w:space="0" w:color="auto"/>
        <w:left w:val="none" w:sz="0" w:space="0" w:color="auto"/>
        <w:bottom w:val="none" w:sz="0" w:space="0" w:color="auto"/>
        <w:right w:val="none" w:sz="0" w:space="0" w:color="auto"/>
      </w:divBdr>
    </w:div>
    <w:div w:id="1368066053">
      <w:bodyDiv w:val="1"/>
      <w:marLeft w:val="0"/>
      <w:marRight w:val="0"/>
      <w:marTop w:val="0"/>
      <w:marBottom w:val="0"/>
      <w:divBdr>
        <w:top w:val="none" w:sz="0" w:space="0" w:color="auto"/>
        <w:left w:val="none" w:sz="0" w:space="0" w:color="auto"/>
        <w:bottom w:val="none" w:sz="0" w:space="0" w:color="auto"/>
        <w:right w:val="none" w:sz="0" w:space="0" w:color="auto"/>
      </w:divBdr>
    </w:div>
    <w:div w:id="1368290726">
      <w:bodyDiv w:val="1"/>
      <w:marLeft w:val="0"/>
      <w:marRight w:val="0"/>
      <w:marTop w:val="0"/>
      <w:marBottom w:val="0"/>
      <w:divBdr>
        <w:top w:val="none" w:sz="0" w:space="0" w:color="auto"/>
        <w:left w:val="none" w:sz="0" w:space="0" w:color="auto"/>
        <w:bottom w:val="none" w:sz="0" w:space="0" w:color="auto"/>
        <w:right w:val="none" w:sz="0" w:space="0" w:color="auto"/>
      </w:divBdr>
    </w:div>
    <w:div w:id="1368291859">
      <w:bodyDiv w:val="1"/>
      <w:marLeft w:val="0"/>
      <w:marRight w:val="0"/>
      <w:marTop w:val="0"/>
      <w:marBottom w:val="0"/>
      <w:divBdr>
        <w:top w:val="none" w:sz="0" w:space="0" w:color="auto"/>
        <w:left w:val="none" w:sz="0" w:space="0" w:color="auto"/>
        <w:bottom w:val="none" w:sz="0" w:space="0" w:color="auto"/>
        <w:right w:val="none" w:sz="0" w:space="0" w:color="auto"/>
      </w:divBdr>
    </w:div>
    <w:div w:id="1368330456">
      <w:bodyDiv w:val="1"/>
      <w:marLeft w:val="0"/>
      <w:marRight w:val="0"/>
      <w:marTop w:val="0"/>
      <w:marBottom w:val="0"/>
      <w:divBdr>
        <w:top w:val="none" w:sz="0" w:space="0" w:color="auto"/>
        <w:left w:val="none" w:sz="0" w:space="0" w:color="auto"/>
        <w:bottom w:val="none" w:sz="0" w:space="0" w:color="auto"/>
        <w:right w:val="none" w:sz="0" w:space="0" w:color="auto"/>
      </w:divBdr>
    </w:div>
    <w:div w:id="1368333724">
      <w:bodyDiv w:val="1"/>
      <w:marLeft w:val="0"/>
      <w:marRight w:val="0"/>
      <w:marTop w:val="0"/>
      <w:marBottom w:val="0"/>
      <w:divBdr>
        <w:top w:val="none" w:sz="0" w:space="0" w:color="auto"/>
        <w:left w:val="none" w:sz="0" w:space="0" w:color="auto"/>
        <w:bottom w:val="none" w:sz="0" w:space="0" w:color="auto"/>
        <w:right w:val="none" w:sz="0" w:space="0" w:color="auto"/>
      </w:divBdr>
    </w:div>
    <w:div w:id="1368338439">
      <w:bodyDiv w:val="1"/>
      <w:marLeft w:val="0"/>
      <w:marRight w:val="0"/>
      <w:marTop w:val="0"/>
      <w:marBottom w:val="0"/>
      <w:divBdr>
        <w:top w:val="none" w:sz="0" w:space="0" w:color="auto"/>
        <w:left w:val="none" w:sz="0" w:space="0" w:color="auto"/>
        <w:bottom w:val="none" w:sz="0" w:space="0" w:color="auto"/>
        <w:right w:val="none" w:sz="0" w:space="0" w:color="auto"/>
      </w:divBdr>
    </w:div>
    <w:div w:id="1368603271">
      <w:bodyDiv w:val="1"/>
      <w:marLeft w:val="0"/>
      <w:marRight w:val="0"/>
      <w:marTop w:val="0"/>
      <w:marBottom w:val="0"/>
      <w:divBdr>
        <w:top w:val="none" w:sz="0" w:space="0" w:color="auto"/>
        <w:left w:val="none" w:sz="0" w:space="0" w:color="auto"/>
        <w:bottom w:val="none" w:sz="0" w:space="0" w:color="auto"/>
        <w:right w:val="none" w:sz="0" w:space="0" w:color="auto"/>
      </w:divBdr>
    </w:div>
    <w:div w:id="1368606389">
      <w:bodyDiv w:val="1"/>
      <w:marLeft w:val="0"/>
      <w:marRight w:val="0"/>
      <w:marTop w:val="0"/>
      <w:marBottom w:val="0"/>
      <w:divBdr>
        <w:top w:val="none" w:sz="0" w:space="0" w:color="auto"/>
        <w:left w:val="none" w:sz="0" w:space="0" w:color="auto"/>
        <w:bottom w:val="none" w:sz="0" w:space="0" w:color="auto"/>
        <w:right w:val="none" w:sz="0" w:space="0" w:color="auto"/>
      </w:divBdr>
    </w:div>
    <w:div w:id="1368679671">
      <w:bodyDiv w:val="1"/>
      <w:marLeft w:val="0"/>
      <w:marRight w:val="0"/>
      <w:marTop w:val="0"/>
      <w:marBottom w:val="0"/>
      <w:divBdr>
        <w:top w:val="none" w:sz="0" w:space="0" w:color="auto"/>
        <w:left w:val="none" w:sz="0" w:space="0" w:color="auto"/>
        <w:bottom w:val="none" w:sz="0" w:space="0" w:color="auto"/>
        <w:right w:val="none" w:sz="0" w:space="0" w:color="auto"/>
      </w:divBdr>
    </w:div>
    <w:div w:id="1368724528">
      <w:bodyDiv w:val="1"/>
      <w:marLeft w:val="0"/>
      <w:marRight w:val="0"/>
      <w:marTop w:val="0"/>
      <w:marBottom w:val="0"/>
      <w:divBdr>
        <w:top w:val="none" w:sz="0" w:space="0" w:color="auto"/>
        <w:left w:val="none" w:sz="0" w:space="0" w:color="auto"/>
        <w:bottom w:val="none" w:sz="0" w:space="0" w:color="auto"/>
        <w:right w:val="none" w:sz="0" w:space="0" w:color="auto"/>
      </w:divBdr>
    </w:div>
    <w:div w:id="1368724738">
      <w:bodyDiv w:val="1"/>
      <w:marLeft w:val="0"/>
      <w:marRight w:val="0"/>
      <w:marTop w:val="0"/>
      <w:marBottom w:val="0"/>
      <w:divBdr>
        <w:top w:val="none" w:sz="0" w:space="0" w:color="auto"/>
        <w:left w:val="none" w:sz="0" w:space="0" w:color="auto"/>
        <w:bottom w:val="none" w:sz="0" w:space="0" w:color="auto"/>
        <w:right w:val="none" w:sz="0" w:space="0" w:color="auto"/>
      </w:divBdr>
    </w:div>
    <w:div w:id="1368752004">
      <w:bodyDiv w:val="1"/>
      <w:marLeft w:val="0"/>
      <w:marRight w:val="0"/>
      <w:marTop w:val="0"/>
      <w:marBottom w:val="0"/>
      <w:divBdr>
        <w:top w:val="none" w:sz="0" w:space="0" w:color="auto"/>
        <w:left w:val="none" w:sz="0" w:space="0" w:color="auto"/>
        <w:bottom w:val="none" w:sz="0" w:space="0" w:color="auto"/>
        <w:right w:val="none" w:sz="0" w:space="0" w:color="auto"/>
      </w:divBdr>
    </w:div>
    <w:div w:id="1368918303">
      <w:bodyDiv w:val="1"/>
      <w:marLeft w:val="0"/>
      <w:marRight w:val="0"/>
      <w:marTop w:val="0"/>
      <w:marBottom w:val="0"/>
      <w:divBdr>
        <w:top w:val="none" w:sz="0" w:space="0" w:color="auto"/>
        <w:left w:val="none" w:sz="0" w:space="0" w:color="auto"/>
        <w:bottom w:val="none" w:sz="0" w:space="0" w:color="auto"/>
        <w:right w:val="none" w:sz="0" w:space="0" w:color="auto"/>
      </w:divBdr>
    </w:div>
    <w:div w:id="1368944798">
      <w:bodyDiv w:val="1"/>
      <w:marLeft w:val="0"/>
      <w:marRight w:val="0"/>
      <w:marTop w:val="0"/>
      <w:marBottom w:val="0"/>
      <w:divBdr>
        <w:top w:val="none" w:sz="0" w:space="0" w:color="auto"/>
        <w:left w:val="none" w:sz="0" w:space="0" w:color="auto"/>
        <w:bottom w:val="none" w:sz="0" w:space="0" w:color="auto"/>
        <w:right w:val="none" w:sz="0" w:space="0" w:color="auto"/>
      </w:divBdr>
    </w:div>
    <w:div w:id="1368987110">
      <w:bodyDiv w:val="1"/>
      <w:marLeft w:val="0"/>
      <w:marRight w:val="0"/>
      <w:marTop w:val="0"/>
      <w:marBottom w:val="0"/>
      <w:divBdr>
        <w:top w:val="none" w:sz="0" w:space="0" w:color="auto"/>
        <w:left w:val="none" w:sz="0" w:space="0" w:color="auto"/>
        <w:bottom w:val="none" w:sz="0" w:space="0" w:color="auto"/>
        <w:right w:val="none" w:sz="0" w:space="0" w:color="auto"/>
      </w:divBdr>
    </w:div>
    <w:div w:id="1368989500">
      <w:bodyDiv w:val="1"/>
      <w:marLeft w:val="0"/>
      <w:marRight w:val="0"/>
      <w:marTop w:val="0"/>
      <w:marBottom w:val="0"/>
      <w:divBdr>
        <w:top w:val="none" w:sz="0" w:space="0" w:color="auto"/>
        <w:left w:val="none" w:sz="0" w:space="0" w:color="auto"/>
        <w:bottom w:val="none" w:sz="0" w:space="0" w:color="auto"/>
        <w:right w:val="none" w:sz="0" w:space="0" w:color="auto"/>
      </w:divBdr>
    </w:div>
    <w:div w:id="1369063522">
      <w:bodyDiv w:val="1"/>
      <w:marLeft w:val="0"/>
      <w:marRight w:val="0"/>
      <w:marTop w:val="0"/>
      <w:marBottom w:val="0"/>
      <w:divBdr>
        <w:top w:val="none" w:sz="0" w:space="0" w:color="auto"/>
        <w:left w:val="none" w:sz="0" w:space="0" w:color="auto"/>
        <w:bottom w:val="none" w:sz="0" w:space="0" w:color="auto"/>
        <w:right w:val="none" w:sz="0" w:space="0" w:color="auto"/>
      </w:divBdr>
    </w:div>
    <w:div w:id="1369142811">
      <w:bodyDiv w:val="1"/>
      <w:marLeft w:val="0"/>
      <w:marRight w:val="0"/>
      <w:marTop w:val="0"/>
      <w:marBottom w:val="0"/>
      <w:divBdr>
        <w:top w:val="none" w:sz="0" w:space="0" w:color="auto"/>
        <w:left w:val="none" w:sz="0" w:space="0" w:color="auto"/>
        <w:bottom w:val="none" w:sz="0" w:space="0" w:color="auto"/>
        <w:right w:val="none" w:sz="0" w:space="0" w:color="auto"/>
      </w:divBdr>
    </w:div>
    <w:div w:id="1369182204">
      <w:bodyDiv w:val="1"/>
      <w:marLeft w:val="0"/>
      <w:marRight w:val="0"/>
      <w:marTop w:val="0"/>
      <w:marBottom w:val="0"/>
      <w:divBdr>
        <w:top w:val="none" w:sz="0" w:space="0" w:color="auto"/>
        <w:left w:val="none" w:sz="0" w:space="0" w:color="auto"/>
        <w:bottom w:val="none" w:sz="0" w:space="0" w:color="auto"/>
        <w:right w:val="none" w:sz="0" w:space="0" w:color="auto"/>
      </w:divBdr>
    </w:div>
    <w:div w:id="1369330380">
      <w:bodyDiv w:val="1"/>
      <w:marLeft w:val="0"/>
      <w:marRight w:val="0"/>
      <w:marTop w:val="0"/>
      <w:marBottom w:val="0"/>
      <w:divBdr>
        <w:top w:val="none" w:sz="0" w:space="0" w:color="auto"/>
        <w:left w:val="none" w:sz="0" w:space="0" w:color="auto"/>
        <w:bottom w:val="none" w:sz="0" w:space="0" w:color="auto"/>
        <w:right w:val="none" w:sz="0" w:space="0" w:color="auto"/>
      </w:divBdr>
    </w:div>
    <w:div w:id="1369448454">
      <w:bodyDiv w:val="1"/>
      <w:marLeft w:val="0"/>
      <w:marRight w:val="0"/>
      <w:marTop w:val="0"/>
      <w:marBottom w:val="0"/>
      <w:divBdr>
        <w:top w:val="none" w:sz="0" w:space="0" w:color="auto"/>
        <w:left w:val="none" w:sz="0" w:space="0" w:color="auto"/>
        <w:bottom w:val="none" w:sz="0" w:space="0" w:color="auto"/>
        <w:right w:val="none" w:sz="0" w:space="0" w:color="auto"/>
      </w:divBdr>
    </w:div>
    <w:div w:id="1369523310">
      <w:bodyDiv w:val="1"/>
      <w:marLeft w:val="0"/>
      <w:marRight w:val="0"/>
      <w:marTop w:val="0"/>
      <w:marBottom w:val="0"/>
      <w:divBdr>
        <w:top w:val="none" w:sz="0" w:space="0" w:color="auto"/>
        <w:left w:val="none" w:sz="0" w:space="0" w:color="auto"/>
        <w:bottom w:val="none" w:sz="0" w:space="0" w:color="auto"/>
        <w:right w:val="none" w:sz="0" w:space="0" w:color="auto"/>
      </w:divBdr>
    </w:div>
    <w:div w:id="1369529528">
      <w:bodyDiv w:val="1"/>
      <w:marLeft w:val="0"/>
      <w:marRight w:val="0"/>
      <w:marTop w:val="0"/>
      <w:marBottom w:val="0"/>
      <w:divBdr>
        <w:top w:val="none" w:sz="0" w:space="0" w:color="auto"/>
        <w:left w:val="none" w:sz="0" w:space="0" w:color="auto"/>
        <w:bottom w:val="none" w:sz="0" w:space="0" w:color="auto"/>
        <w:right w:val="none" w:sz="0" w:space="0" w:color="auto"/>
      </w:divBdr>
    </w:div>
    <w:div w:id="1369573532">
      <w:bodyDiv w:val="1"/>
      <w:marLeft w:val="0"/>
      <w:marRight w:val="0"/>
      <w:marTop w:val="0"/>
      <w:marBottom w:val="0"/>
      <w:divBdr>
        <w:top w:val="none" w:sz="0" w:space="0" w:color="auto"/>
        <w:left w:val="none" w:sz="0" w:space="0" w:color="auto"/>
        <w:bottom w:val="none" w:sz="0" w:space="0" w:color="auto"/>
        <w:right w:val="none" w:sz="0" w:space="0" w:color="auto"/>
      </w:divBdr>
    </w:div>
    <w:div w:id="1369601926">
      <w:bodyDiv w:val="1"/>
      <w:marLeft w:val="0"/>
      <w:marRight w:val="0"/>
      <w:marTop w:val="0"/>
      <w:marBottom w:val="0"/>
      <w:divBdr>
        <w:top w:val="none" w:sz="0" w:space="0" w:color="auto"/>
        <w:left w:val="none" w:sz="0" w:space="0" w:color="auto"/>
        <w:bottom w:val="none" w:sz="0" w:space="0" w:color="auto"/>
        <w:right w:val="none" w:sz="0" w:space="0" w:color="auto"/>
      </w:divBdr>
    </w:div>
    <w:div w:id="1369642917">
      <w:bodyDiv w:val="1"/>
      <w:marLeft w:val="0"/>
      <w:marRight w:val="0"/>
      <w:marTop w:val="0"/>
      <w:marBottom w:val="0"/>
      <w:divBdr>
        <w:top w:val="none" w:sz="0" w:space="0" w:color="auto"/>
        <w:left w:val="none" w:sz="0" w:space="0" w:color="auto"/>
        <w:bottom w:val="none" w:sz="0" w:space="0" w:color="auto"/>
        <w:right w:val="none" w:sz="0" w:space="0" w:color="auto"/>
      </w:divBdr>
    </w:div>
    <w:div w:id="1369649927">
      <w:bodyDiv w:val="1"/>
      <w:marLeft w:val="0"/>
      <w:marRight w:val="0"/>
      <w:marTop w:val="0"/>
      <w:marBottom w:val="0"/>
      <w:divBdr>
        <w:top w:val="none" w:sz="0" w:space="0" w:color="auto"/>
        <w:left w:val="none" w:sz="0" w:space="0" w:color="auto"/>
        <w:bottom w:val="none" w:sz="0" w:space="0" w:color="auto"/>
        <w:right w:val="none" w:sz="0" w:space="0" w:color="auto"/>
      </w:divBdr>
    </w:div>
    <w:div w:id="1369721334">
      <w:bodyDiv w:val="1"/>
      <w:marLeft w:val="0"/>
      <w:marRight w:val="0"/>
      <w:marTop w:val="0"/>
      <w:marBottom w:val="0"/>
      <w:divBdr>
        <w:top w:val="none" w:sz="0" w:space="0" w:color="auto"/>
        <w:left w:val="none" w:sz="0" w:space="0" w:color="auto"/>
        <w:bottom w:val="none" w:sz="0" w:space="0" w:color="auto"/>
        <w:right w:val="none" w:sz="0" w:space="0" w:color="auto"/>
      </w:divBdr>
    </w:div>
    <w:div w:id="1369835348">
      <w:bodyDiv w:val="1"/>
      <w:marLeft w:val="0"/>
      <w:marRight w:val="0"/>
      <w:marTop w:val="0"/>
      <w:marBottom w:val="0"/>
      <w:divBdr>
        <w:top w:val="none" w:sz="0" w:space="0" w:color="auto"/>
        <w:left w:val="none" w:sz="0" w:space="0" w:color="auto"/>
        <w:bottom w:val="none" w:sz="0" w:space="0" w:color="auto"/>
        <w:right w:val="none" w:sz="0" w:space="0" w:color="auto"/>
      </w:divBdr>
    </w:div>
    <w:div w:id="1369843008">
      <w:bodyDiv w:val="1"/>
      <w:marLeft w:val="0"/>
      <w:marRight w:val="0"/>
      <w:marTop w:val="0"/>
      <w:marBottom w:val="0"/>
      <w:divBdr>
        <w:top w:val="none" w:sz="0" w:space="0" w:color="auto"/>
        <w:left w:val="none" w:sz="0" w:space="0" w:color="auto"/>
        <w:bottom w:val="none" w:sz="0" w:space="0" w:color="auto"/>
        <w:right w:val="none" w:sz="0" w:space="0" w:color="auto"/>
      </w:divBdr>
    </w:div>
    <w:div w:id="1369918122">
      <w:bodyDiv w:val="1"/>
      <w:marLeft w:val="0"/>
      <w:marRight w:val="0"/>
      <w:marTop w:val="0"/>
      <w:marBottom w:val="0"/>
      <w:divBdr>
        <w:top w:val="none" w:sz="0" w:space="0" w:color="auto"/>
        <w:left w:val="none" w:sz="0" w:space="0" w:color="auto"/>
        <w:bottom w:val="none" w:sz="0" w:space="0" w:color="auto"/>
        <w:right w:val="none" w:sz="0" w:space="0" w:color="auto"/>
      </w:divBdr>
    </w:div>
    <w:div w:id="1369988409">
      <w:bodyDiv w:val="1"/>
      <w:marLeft w:val="0"/>
      <w:marRight w:val="0"/>
      <w:marTop w:val="0"/>
      <w:marBottom w:val="0"/>
      <w:divBdr>
        <w:top w:val="none" w:sz="0" w:space="0" w:color="auto"/>
        <w:left w:val="none" w:sz="0" w:space="0" w:color="auto"/>
        <w:bottom w:val="none" w:sz="0" w:space="0" w:color="auto"/>
        <w:right w:val="none" w:sz="0" w:space="0" w:color="auto"/>
      </w:divBdr>
    </w:div>
    <w:div w:id="1370111835">
      <w:bodyDiv w:val="1"/>
      <w:marLeft w:val="0"/>
      <w:marRight w:val="0"/>
      <w:marTop w:val="0"/>
      <w:marBottom w:val="0"/>
      <w:divBdr>
        <w:top w:val="none" w:sz="0" w:space="0" w:color="auto"/>
        <w:left w:val="none" w:sz="0" w:space="0" w:color="auto"/>
        <w:bottom w:val="none" w:sz="0" w:space="0" w:color="auto"/>
        <w:right w:val="none" w:sz="0" w:space="0" w:color="auto"/>
      </w:divBdr>
    </w:div>
    <w:div w:id="1370180735">
      <w:bodyDiv w:val="1"/>
      <w:marLeft w:val="0"/>
      <w:marRight w:val="0"/>
      <w:marTop w:val="0"/>
      <w:marBottom w:val="0"/>
      <w:divBdr>
        <w:top w:val="none" w:sz="0" w:space="0" w:color="auto"/>
        <w:left w:val="none" w:sz="0" w:space="0" w:color="auto"/>
        <w:bottom w:val="none" w:sz="0" w:space="0" w:color="auto"/>
        <w:right w:val="none" w:sz="0" w:space="0" w:color="auto"/>
      </w:divBdr>
    </w:div>
    <w:div w:id="1370374938">
      <w:bodyDiv w:val="1"/>
      <w:marLeft w:val="0"/>
      <w:marRight w:val="0"/>
      <w:marTop w:val="0"/>
      <w:marBottom w:val="0"/>
      <w:divBdr>
        <w:top w:val="none" w:sz="0" w:space="0" w:color="auto"/>
        <w:left w:val="none" w:sz="0" w:space="0" w:color="auto"/>
        <w:bottom w:val="none" w:sz="0" w:space="0" w:color="auto"/>
        <w:right w:val="none" w:sz="0" w:space="0" w:color="auto"/>
      </w:divBdr>
    </w:div>
    <w:div w:id="1370377938">
      <w:bodyDiv w:val="1"/>
      <w:marLeft w:val="0"/>
      <w:marRight w:val="0"/>
      <w:marTop w:val="0"/>
      <w:marBottom w:val="0"/>
      <w:divBdr>
        <w:top w:val="none" w:sz="0" w:space="0" w:color="auto"/>
        <w:left w:val="none" w:sz="0" w:space="0" w:color="auto"/>
        <w:bottom w:val="none" w:sz="0" w:space="0" w:color="auto"/>
        <w:right w:val="none" w:sz="0" w:space="0" w:color="auto"/>
      </w:divBdr>
    </w:div>
    <w:div w:id="1370495365">
      <w:bodyDiv w:val="1"/>
      <w:marLeft w:val="0"/>
      <w:marRight w:val="0"/>
      <w:marTop w:val="0"/>
      <w:marBottom w:val="0"/>
      <w:divBdr>
        <w:top w:val="none" w:sz="0" w:space="0" w:color="auto"/>
        <w:left w:val="none" w:sz="0" w:space="0" w:color="auto"/>
        <w:bottom w:val="none" w:sz="0" w:space="0" w:color="auto"/>
        <w:right w:val="none" w:sz="0" w:space="0" w:color="auto"/>
      </w:divBdr>
    </w:div>
    <w:div w:id="1370496125">
      <w:bodyDiv w:val="1"/>
      <w:marLeft w:val="0"/>
      <w:marRight w:val="0"/>
      <w:marTop w:val="0"/>
      <w:marBottom w:val="0"/>
      <w:divBdr>
        <w:top w:val="none" w:sz="0" w:space="0" w:color="auto"/>
        <w:left w:val="none" w:sz="0" w:space="0" w:color="auto"/>
        <w:bottom w:val="none" w:sz="0" w:space="0" w:color="auto"/>
        <w:right w:val="none" w:sz="0" w:space="0" w:color="auto"/>
      </w:divBdr>
    </w:div>
    <w:div w:id="1370641761">
      <w:bodyDiv w:val="1"/>
      <w:marLeft w:val="0"/>
      <w:marRight w:val="0"/>
      <w:marTop w:val="0"/>
      <w:marBottom w:val="0"/>
      <w:divBdr>
        <w:top w:val="none" w:sz="0" w:space="0" w:color="auto"/>
        <w:left w:val="none" w:sz="0" w:space="0" w:color="auto"/>
        <w:bottom w:val="none" w:sz="0" w:space="0" w:color="auto"/>
        <w:right w:val="none" w:sz="0" w:space="0" w:color="auto"/>
      </w:divBdr>
    </w:div>
    <w:div w:id="1370715384">
      <w:bodyDiv w:val="1"/>
      <w:marLeft w:val="0"/>
      <w:marRight w:val="0"/>
      <w:marTop w:val="0"/>
      <w:marBottom w:val="0"/>
      <w:divBdr>
        <w:top w:val="none" w:sz="0" w:space="0" w:color="auto"/>
        <w:left w:val="none" w:sz="0" w:space="0" w:color="auto"/>
        <w:bottom w:val="none" w:sz="0" w:space="0" w:color="auto"/>
        <w:right w:val="none" w:sz="0" w:space="0" w:color="auto"/>
      </w:divBdr>
    </w:div>
    <w:div w:id="1370951274">
      <w:bodyDiv w:val="1"/>
      <w:marLeft w:val="0"/>
      <w:marRight w:val="0"/>
      <w:marTop w:val="0"/>
      <w:marBottom w:val="0"/>
      <w:divBdr>
        <w:top w:val="none" w:sz="0" w:space="0" w:color="auto"/>
        <w:left w:val="none" w:sz="0" w:space="0" w:color="auto"/>
        <w:bottom w:val="none" w:sz="0" w:space="0" w:color="auto"/>
        <w:right w:val="none" w:sz="0" w:space="0" w:color="auto"/>
      </w:divBdr>
    </w:div>
    <w:div w:id="1370958851">
      <w:bodyDiv w:val="1"/>
      <w:marLeft w:val="0"/>
      <w:marRight w:val="0"/>
      <w:marTop w:val="0"/>
      <w:marBottom w:val="0"/>
      <w:divBdr>
        <w:top w:val="none" w:sz="0" w:space="0" w:color="auto"/>
        <w:left w:val="none" w:sz="0" w:space="0" w:color="auto"/>
        <w:bottom w:val="none" w:sz="0" w:space="0" w:color="auto"/>
        <w:right w:val="none" w:sz="0" w:space="0" w:color="auto"/>
      </w:divBdr>
    </w:div>
    <w:div w:id="1371028800">
      <w:bodyDiv w:val="1"/>
      <w:marLeft w:val="0"/>
      <w:marRight w:val="0"/>
      <w:marTop w:val="0"/>
      <w:marBottom w:val="0"/>
      <w:divBdr>
        <w:top w:val="none" w:sz="0" w:space="0" w:color="auto"/>
        <w:left w:val="none" w:sz="0" w:space="0" w:color="auto"/>
        <w:bottom w:val="none" w:sz="0" w:space="0" w:color="auto"/>
        <w:right w:val="none" w:sz="0" w:space="0" w:color="auto"/>
      </w:divBdr>
    </w:div>
    <w:div w:id="1371103842">
      <w:bodyDiv w:val="1"/>
      <w:marLeft w:val="0"/>
      <w:marRight w:val="0"/>
      <w:marTop w:val="0"/>
      <w:marBottom w:val="0"/>
      <w:divBdr>
        <w:top w:val="none" w:sz="0" w:space="0" w:color="auto"/>
        <w:left w:val="none" w:sz="0" w:space="0" w:color="auto"/>
        <w:bottom w:val="none" w:sz="0" w:space="0" w:color="auto"/>
        <w:right w:val="none" w:sz="0" w:space="0" w:color="auto"/>
      </w:divBdr>
    </w:div>
    <w:div w:id="1371105764">
      <w:bodyDiv w:val="1"/>
      <w:marLeft w:val="0"/>
      <w:marRight w:val="0"/>
      <w:marTop w:val="0"/>
      <w:marBottom w:val="0"/>
      <w:divBdr>
        <w:top w:val="none" w:sz="0" w:space="0" w:color="auto"/>
        <w:left w:val="none" w:sz="0" w:space="0" w:color="auto"/>
        <w:bottom w:val="none" w:sz="0" w:space="0" w:color="auto"/>
        <w:right w:val="none" w:sz="0" w:space="0" w:color="auto"/>
      </w:divBdr>
    </w:div>
    <w:div w:id="1371222789">
      <w:bodyDiv w:val="1"/>
      <w:marLeft w:val="0"/>
      <w:marRight w:val="0"/>
      <w:marTop w:val="0"/>
      <w:marBottom w:val="0"/>
      <w:divBdr>
        <w:top w:val="none" w:sz="0" w:space="0" w:color="auto"/>
        <w:left w:val="none" w:sz="0" w:space="0" w:color="auto"/>
        <w:bottom w:val="none" w:sz="0" w:space="0" w:color="auto"/>
        <w:right w:val="none" w:sz="0" w:space="0" w:color="auto"/>
      </w:divBdr>
    </w:div>
    <w:div w:id="1371227477">
      <w:bodyDiv w:val="1"/>
      <w:marLeft w:val="0"/>
      <w:marRight w:val="0"/>
      <w:marTop w:val="0"/>
      <w:marBottom w:val="0"/>
      <w:divBdr>
        <w:top w:val="none" w:sz="0" w:space="0" w:color="auto"/>
        <w:left w:val="none" w:sz="0" w:space="0" w:color="auto"/>
        <w:bottom w:val="none" w:sz="0" w:space="0" w:color="auto"/>
        <w:right w:val="none" w:sz="0" w:space="0" w:color="auto"/>
      </w:divBdr>
    </w:div>
    <w:div w:id="1371302514">
      <w:bodyDiv w:val="1"/>
      <w:marLeft w:val="0"/>
      <w:marRight w:val="0"/>
      <w:marTop w:val="0"/>
      <w:marBottom w:val="0"/>
      <w:divBdr>
        <w:top w:val="none" w:sz="0" w:space="0" w:color="auto"/>
        <w:left w:val="none" w:sz="0" w:space="0" w:color="auto"/>
        <w:bottom w:val="none" w:sz="0" w:space="0" w:color="auto"/>
        <w:right w:val="none" w:sz="0" w:space="0" w:color="auto"/>
      </w:divBdr>
    </w:div>
    <w:div w:id="1371303540">
      <w:bodyDiv w:val="1"/>
      <w:marLeft w:val="0"/>
      <w:marRight w:val="0"/>
      <w:marTop w:val="0"/>
      <w:marBottom w:val="0"/>
      <w:divBdr>
        <w:top w:val="none" w:sz="0" w:space="0" w:color="auto"/>
        <w:left w:val="none" w:sz="0" w:space="0" w:color="auto"/>
        <w:bottom w:val="none" w:sz="0" w:space="0" w:color="auto"/>
        <w:right w:val="none" w:sz="0" w:space="0" w:color="auto"/>
      </w:divBdr>
    </w:div>
    <w:div w:id="1371422365">
      <w:bodyDiv w:val="1"/>
      <w:marLeft w:val="0"/>
      <w:marRight w:val="0"/>
      <w:marTop w:val="0"/>
      <w:marBottom w:val="0"/>
      <w:divBdr>
        <w:top w:val="none" w:sz="0" w:space="0" w:color="auto"/>
        <w:left w:val="none" w:sz="0" w:space="0" w:color="auto"/>
        <w:bottom w:val="none" w:sz="0" w:space="0" w:color="auto"/>
        <w:right w:val="none" w:sz="0" w:space="0" w:color="auto"/>
      </w:divBdr>
    </w:div>
    <w:div w:id="1371491189">
      <w:bodyDiv w:val="1"/>
      <w:marLeft w:val="0"/>
      <w:marRight w:val="0"/>
      <w:marTop w:val="0"/>
      <w:marBottom w:val="0"/>
      <w:divBdr>
        <w:top w:val="none" w:sz="0" w:space="0" w:color="auto"/>
        <w:left w:val="none" w:sz="0" w:space="0" w:color="auto"/>
        <w:bottom w:val="none" w:sz="0" w:space="0" w:color="auto"/>
        <w:right w:val="none" w:sz="0" w:space="0" w:color="auto"/>
      </w:divBdr>
    </w:div>
    <w:div w:id="1371539966">
      <w:bodyDiv w:val="1"/>
      <w:marLeft w:val="0"/>
      <w:marRight w:val="0"/>
      <w:marTop w:val="0"/>
      <w:marBottom w:val="0"/>
      <w:divBdr>
        <w:top w:val="none" w:sz="0" w:space="0" w:color="auto"/>
        <w:left w:val="none" w:sz="0" w:space="0" w:color="auto"/>
        <w:bottom w:val="none" w:sz="0" w:space="0" w:color="auto"/>
        <w:right w:val="none" w:sz="0" w:space="0" w:color="auto"/>
      </w:divBdr>
    </w:div>
    <w:div w:id="1371565158">
      <w:bodyDiv w:val="1"/>
      <w:marLeft w:val="0"/>
      <w:marRight w:val="0"/>
      <w:marTop w:val="0"/>
      <w:marBottom w:val="0"/>
      <w:divBdr>
        <w:top w:val="none" w:sz="0" w:space="0" w:color="auto"/>
        <w:left w:val="none" w:sz="0" w:space="0" w:color="auto"/>
        <w:bottom w:val="none" w:sz="0" w:space="0" w:color="auto"/>
        <w:right w:val="none" w:sz="0" w:space="0" w:color="auto"/>
      </w:divBdr>
    </w:div>
    <w:div w:id="1371565391">
      <w:bodyDiv w:val="1"/>
      <w:marLeft w:val="0"/>
      <w:marRight w:val="0"/>
      <w:marTop w:val="0"/>
      <w:marBottom w:val="0"/>
      <w:divBdr>
        <w:top w:val="none" w:sz="0" w:space="0" w:color="auto"/>
        <w:left w:val="none" w:sz="0" w:space="0" w:color="auto"/>
        <w:bottom w:val="none" w:sz="0" w:space="0" w:color="auto"/>
        <w:right w:val="none" w:sz="0" w:space="0" w:color="auto"/>
      </w:divBdr>
    </w:div>
    <w:div w:id="1371611072">
      <w:bodyDiv w:val="1"/>
      <w:marLeft w:val="0"/>
      <w:marRight w:val="0"/>
      <w:marTop w:val="0"/>
      <w:marBottom w:val="0"/>
      <w:divBdr>
        <w:top w:val="none" w:sz="0" w:space="0" w:color="auto"/>
        <w:left w:val="none" w:sz="0" w:space="0" w:color="auto"/>
        <w:bottom w:val="none" w:sz="0" w:space="0" w:color="auto"/>
        <w:right w:val="none" w:sz="0" w:space="0" w:color="auto"/>
      </w:divBdr>
    </w:div>
    <w:div w:id="1371801329">
      <w:bodyDiv w:val="1"/>
      <w:marLeft w:val="0"/>
      <w:marRight w:val="0"/>
      <w:marTop w:val="0"/>
      <w:marBottom w:val="0"/>
      <w:divBdr>
        <w:top w:val="none" w:sz="0" w:space="0" w:color="auto"/>
        <w:left w:val="none" w:sz="0" w:space="0" w:color="auto"/>
        <w:bottom w:val="none" w:sz="0" w:space="0" w:color="auto"/>
        <w:right w:val="none" w:sz="0" w:space="0" w:color="auto"/>
      </w:divBdr>
    </w:div>
    <w:div w:id="1371998209">
      <w:bodyDiv w:val="1"/>
      <w:marLeft w:val="0"/>
      <w:marRight w:val="0"/>
      <w:marTop w:val="0"/>
      <w:marBottom w:val="0"/>
      <w:divBdr>
        <w:top w:val="none" w:sz="0" w:space="0" w:color="auto"/>
        <w:left w:val="none" w:sz="0" w:space="0" w:color="auto"/>
        <w:bottom w:val="none" w:sz="0" w:space="0" w:color="auto"/>
        <w:right w:val="none" w:sz="0" w:space="0" w:color="auto"/>
      </w:divBdr>
    </w:div>
    <w:div w:id="1372152591">
      <w:bodyDiv w:val="1"/>
      <w:marLeft w:val="0"/>
      <w:marRight w:val="0"/>
      <w:marTop w:val="0"/>
      <w:marBottom w:val="0"/>
      <w:divBdr>
        <w:top w:val="none" w:sz="0" w:space="0" w:color="auto"/>
        <w:left w:val="none" w:sz="0" w:space="0" w:color="auto"/>
        <w:bottom w:val="none" w:sz="0" w:space="0" w:color="auto"/>
        <w:right w:val="none" w:sz="0" w:space="0" w:color="auto"/>
      </w:divBdr>
    </w:div>
    <w:div w:id="1372418732">
      <w:bodyDiv w:val="1"/>
      <w:marLeft w:val="0"/>
      <w:marRight w:val="0"/>
      <w:marTop w:val="0"/>
      <w:marBottom w:val="0"/>
      <w:divBdr>
        <w:top w:val="none" w:sz="0" w:space="0" w:color="auto"/>
        <w:left w:val="none" w:sz="0" w:space="0" w:color="auto"/>
        <w:bottom w:val="none" w:sz="0" w:space="0" w:color="auto"/>
        <w:right w:val="none" w:sz="0" w:space="0" w:color="auto"/>
      </w:divBdr>
    </w:div>
    <w:div w:id="1372419082">
      <w:bodyDiv w:val="1"/>
      <w:marLeft w:val="0"/>
      <w:marRight w:val="0"/>
      <w:marTop w:val="0"/>
      <w:marBottom w:val="0"/>
      <w:divBdr>
        <w:top w:val="none" w:sz="0" w:space="0" w:color="auto"/>
        <w:left w:val="none" w:sz="0" w:space="0" w:color="auto"/>
        <w:bottom w:val="none" w:sz="0" w:space="0" w:color="auto"/>
        <w:right w:val="none" w:sz="0" w:space="0" w:color="auto"/>
      </w:divBdr>
    </w:div>
    <w:div w:id="1372461201">
      <w:bodyDiv w:val="1"/>
      <w:marLeft w:val="0"/>
      <w:marRight w:val="0"/>
      <w:marTop w:val="0"/>
      <w:marBottom w:val="0"/>
      <w:divBdr>
        <w:top w:val="none" w:sz="0" w:space="0" w:color="auto"/>
        <w:left w:val="none" w:sz="0" w:space="0" w:color="auto"/>
        <w:bottom w:val="none" w:sz="0" w:space="0" w:color="auto"/>
        <w:right w:val="none" w:sz="0" w:space="0" w:color="auto"/>
      </w:divBdr>
    </w:div>
    <w:div w:id="1372461594">
      <w:bodyDiv w:val="1"/>
      <w:marLeft w:val="0"/>
      <w:marRight w:val="0"/>
      <w:marTop w:val="0"/>
      <w:marBottom w:val="0"/>
      <w:divBdr>
        <w:top w:val="none" w:sz="0" w:space="0" w:color="auto"/>
        <w:left w:val="none" w:sz="0" w:space="0" w:color="auto"/>
        <w:bottom w:val="none" w:sz="0" w:space="0" w:color="auto"/>
        <w:right w:val="none" w:sz="0" w:space="0" w:color="auto"/>
      </w:divBdr>
    </w:div>
    <w:div w:id="1372533248">
      <w:bodyDiv w:val="1"/>
      <w:marLeft w:val="0"/>
      <w:marRight w:val="0"/>
      <w:marTop w:val="0"/>
      <w:marBottom w:val="0"/>
      <w:divBdr>
        <w:top w:val="none" w:sz="0" w:space="0" w:color="auto"/>
        <w:left w:val="none" w:sz="0" w:space="0" w:color="auto"/>
        <w:bottom w:val="none" w:sz="0" w:space="0" w:color="auto"/>
        <w:right w:val="none" w:sz="0" w:space="0" w:color="auto"/>
      </w:divBdr>
    </w:div>
    <w:div w:id="1372539714">
      <w:bodyDiv w:val="1"/>
      <w:marLeft w:val="0"/>
      <w:marRight w:val="0"/>
      <w:marTop w:val="0"/>
      <w:marBottom w:val="0"/>
      <w:divBdr>
        <w:top w:val="none" w:sz="0" w:space="0" w:color="auto"/>
        <w:left w:val="none" w:sz="0" w:space="0" w:color="auto"/>
        <w:bottom w:val="none" w:sz="0" w:space="0" w:color="auto"/>
        <w:right w:val="none" w:sz="0" w:space="0" w:color="auto"/>
      </w:divBdr>
    </w:div>
    <w:div w:id="1372609862">
      <w:bodyDiv w:val="1"/>
      <w:marLeft w:val="0"/>
      <w:marRight w:val="0"/>
      <w:marTop w:val="0"/>
      <w:marBottom w:val="0"/>
      <w:divBdr>
        <w:top w:val="none" w:sz="0" w:space="0" w:color="auto"/>
        <w:left w:val="none" w:sz="0" w:space="0" w:color="auto"/>
        <w:bottom w:val="none" w:sz="0" w:space="0" w:color="auto"/>
        <w:right w:val="none" w:sz="0" w:space="0" w:color="auto"/>
      </w:divBdr>
    </w:div>
    <w:div w:id="1372611344">
      <w:bodyDiv w:val="1"/>
      <w:marLeft w:val="0"/>
      <w:marRight w:val="0"/>
      <w:marTop w:val="0"/>
      <w:marBottom w:val="0"/>
      <w:divBdr>
        <w:top w:val="none" w:sz="0" w:space="0" w:color="auto"/>
        <w:left w:val="none" w:sz="0" w:space="0" w:color="auto"/>
        <w:bottom w:val="none" w:sz="0" w:space="0" w:color="auto"/>
        <w:right w:val="none" w:sz="0" w:space="0" w:color="auto"/>
      </w:divBdr>
    </w:div>
    <w:div w:id="1372808238">
      <w:bodyDiv w:val="1"/>
      <w:marLeft w:val="0"/>
      <w:marRight w:val="0"/>
      <w:marTop w:val="0"/>
      <w:marBottom w:val="0"/>
      <w:divBdr>
        <w:top w:val="none" w:sz="0" w:space="0" w:color="auto"/>
        <w:left w:val="none" w:sz="0" w:space="0" w:color="auto"/>
        <w:bottom w:val="none" w:sz="0" w:space="0" w:color="auto"/>
        <w:right w:val="none" w:sz="0" w:space="0" w:color="auto"/>
      </w:divBdr>
    </w:div>
    <w:div w:id="1372921988">
      <w:bodyDiv w:val="1"/>
      <w:marLeft w:val="0"/>
      <w:marRight w:val="0"/>
      <w:marTop w:val="0"/>
      <w:marBottom w:val="0"/>
      <w:divBdr>
        <w:top w:val="none" w:sz="0" w:space="0" w:color="auto"/>
        <w:left w:val="none" w:sz="0" w:space="0" w:color="auto"/>
        <w:bottom w:val="none" w:sz="0" w:space="0" w:color="auto"/>
        <w:right w:val="none" w:sz="0" w:space="0" w:color="auto"/>
      </w:divBdr>
    </w:div>
    <w:div w:id="1372997637">
      <w:bodyDiv w:val="1"/>
      <w:marLeft w:val="0"/>
      <w:marRight w:val="0"/>
      <w:marTop w:val="0"/>
      <w:marBottom w:val="0"/>
      <w:divBdr>
        <w:top w:val="none" w:sz="0" w:space="0" w:color="auto"/>
        <w:left w:val="none" w:sz="0" w:space="0" w:color="auto"/>
        <w:bottom w:val="none" w:sz="0" w:space="0" w:color="auto"/>
        <w:right w:val="none" w:sz="0" w:space="0" w:color="auto"/>
      </w:divBdr>
    </w:div>
    <w:div w:id="1372998439">
      <w:bodyDiv w:val="1"/>
      <w:marLeft w:val="0"/>
      <w:marRight w:val="0"/>
      <w:marTop w:val="0"/>
      <w:marBottom w:val="0"/>
      <w:divBdr>
        <w:top w:val="none" w:sz="0" w:space="0" w:color="auto"/>
        <w:left w:val="none" w:sz="0" w:space="0" w:color="auto"/>
        <w:bottom w:val="none" w:sz="0" w:space="0" w:color="auto"/>
        <w:right w:val="none" w:sz="0" w:space="0" w:color="auto"/>
      </w:divBdr>
    </w:div>
    <w:div w:id="1373076116">
      <w:bodyDiv w:val="1"/>
      <w:marLeft w:val="0"/>
      <w:marRight w:val="0"/>
      <w:marTop w:val="0"/>
      <w:marBottom w:val="0"/>
      <w:divBdr>
        <w:top w:val="none" w:sz="0" w:space="0" w:color="auto"/>
        <w:left w:val="none" w:sz="0" w:space="0" w:color="auto"/>
        <w:bottom w:val="none" w:sz="0" w:space="0" w:color="auto"/>
        <w:right w:val="none" w:sz="0" w:space="0" w:color="auto"/>
      </w:divBdr>
    </w:div>
    <w:div w:id="1373112372">
      <w:bodyDiv w:val="1"/>
      <w:marLeft w:val="0"/>
      <w:marRight w:val="0"/>
      <w:marTop w:val="0"/>
      <w:marBottom w:val="0"/>
      <w:divBdr>
        <w:top w:val="none" w:sz="0" w:space="0" w:color="auto"/>
        <w:left w:val="none" w:sz="0" w:space="0" w:color="auto"/>
        <w:bottom w:val="none" w:sz="0" w:space="0" w:color="auto"/>
        <w:right w:val="none" w:sz="0" w:space="0" w:color="auto"/>
      </w:divBdr>
    </w:div>
    <w:div w:id="1373194926">
      <w:bodyDiv w:val="1"/>
      <w:marLeft w:val="0"/>
      <w:marRight w:val="0"/>
      <w:marTop w:val="0"/>
      <w:marBottom w:val="0"/>
      <w:divBdr>
        <w:top w:val="none" w:sz="0" w:space="0" w:color="auto"/>
        <w:left w:val="none" w:sz="0" w:space="0" w:color="auto"/>
        <w:bottom w:val="none" w:sz="0" w:space="0" w:color="auto"/>
        <w:right w:val="none" w:sz="0" w:space="0" w:color="auto"/>
      </w:divBdr>
    </w:div>
    <w:div w:id="1373262714">
      <w:bodyDiv w:val="1"/>
      <w:marLeft w:val="0"/>
      <w:marRight w:val="0"/>
      <w:marTop w:val="0"/>
      <w:marBottom w:val="0"/>
      <w:divBdr>
        <w:top w:val="none" w:sz="0" w:space="0" w:color="auto"/>
        <w:left w:val="none" w:sz="0" w:space="0" w:color="auto"/>
        <w:bottom w:val="none" w:sz="0" w:space="0" w:color="auto"/>
        <w:right w:val="none" w:sz="0" w:space="0" w:color="auto"/>
      </w:divBdr>
    </w:div>
    <w:div w:id="1373387805">
      <w:bodyDiv w:val="1"/>
      <w:marLeft w:val="0"/>
      <w:marRight w:val="0"/>
      <w:marTop w:val="0"/>
      <w:marBottom w:val="0"/>
      <w:divBdr>
        <w:top w:val="none" w:sz="0" w:space="0" w:color="auto"/>
        <w:left w:val="none" w:sz="0" w:space="0" w:color="auto"/>
        <w:bottom w:val="none" w:sz="0" w:space="0" w:color="auto"/>
        <w:right w:val="none" w:sz="0" w:space="0" w:color="auto"/>
      </w:divBdr>
    </w:div>
    <w:div w:id="1373462805">
      <w:bodyDiv w:val="1"/>
      <w:marLeft w:val="0"/>
      <w:marRight w:val="0"/>
      <w:marTop w:val="0"/>
      <w:marBottom w:val="0"/>
      <w:divBdr>
        <w:top w:val="none" w:sz="0" w:space="0" w:color="auto"/>
        <w:left w:val="none" w:sz="0" w:space="0" w:color="auto"/>
        <w:bottom w:val="none" w:sz="0" w:space="0" w:color="auto"/>
        <w:right w:val="none" w:sz="0" w:space="0" w:color="auto"/>
      </w:divBdr>
    </w:div>
    <w:div w:id="1373572106">
      <w:bodyDiv w:val="1"/>
      <w:marLeft w:val="0"/>
      <w:marRight w:val="0"/>
      <w:marTop w:val="0"/>
      <w:marBottom w:val="0"/>
      <w:divBdr>
        <w:top w:val="none" w:sz="0" w:space="0" w:color="auto"/>
        <w:left w:val="none" w:sz="0" w:space="0" w:color="auto"/>
        <w:bottom w:val="none" w:sz="0" w:space="0" w:color="auto"/>
        <w:right w:val="none" w:sz="0" w:space="0" w:color="auto"/>
      </w:divBdr>
    </w:div>
    <w:div w:id="1373723676">
      <w:bodyDiv w:val="1"/>
      <w:marLeft w:val="0"/>
      <w:marRight w:val="0"/>
      <w:marTop w:val="0"/>
      <w:marBottom w:val="0"/>
      <w:divBdr>
        <w:top w:val="none" w:sz="0" w:space="0" w:color="auto"/>
        <w:left w:val="none" w:sz="0" w:space="0" w:color="auto"/>
        <w:bottom w:val="none" w:sz="0" w:space="0" w:color="auto"/>
        <w:right w:val="none" w:sz="0" w:space="0" w:color="auto"/>
      </w:divBdr>
    </w:div>
    <w:div w:id="1373728209">
      <w:bodyDiv w:val="1"/>
      <w:marLeft w:val="0"/>
      <w:marRight w:val="0"/>
      <w:marTop w:val="0"/>
      <w:marBottom w:val="0"/>
      <w:divBdr>
        <w:top w:val="none" w:sz="0" w:space="0" w:color="auto"/>
        <w:left w:val="none" w:sz="0" w:space="0" w:color="auto"/>
        <w:bottom w:val="none" w:sz="0" w:space="0" w:color="auto"/>
        <w:right w:val="none" w:sz="0" w:space="0" w:color="auto"/>
      </w:divBdr>
    </w:div>
    <w:div w:id="1373769183">
      <w:bodyDiv w:val="1"/>
      <w:marLeft w:val="0"/>
      <w:marRight w:val="0"/>
      <w:marTop w:val="0"/>
      <w:marBottom w:val="0"/>
      <w:divBdr>
        <w:top w:val="none" w:sz="0" w:space="0" w:color="auto"/>
        <w:left w:val="none" w:sz="0" w:space="0" w:color="auto"/>
        <w:bottom w:val="none" w:sz="0" w:space="0" w:color="auto"/>
        <w:right w:val="none" w:sz="0" w:space="0" w:color="auto"/>
      </w:divBdr>
    </w:div>
    <w:div w:id="1373992628">
      <w:bodyDiv w:val="1"/>
      <w:marLeft w:val="0"/>
      <w:marRight w:val="0"/>
      <w:marTop w:val="0"/>
      <w:marBottom w:val="0"/>
      <w:divBdr>
        <w:top w:val="none" w:sz="0" w:space="0" w:color="auto"/>
        <w:left w:val="none" w:sz="0" w:space="0" w:color="auto"/>
        <w:bottom w:val="none" w:sz="0" w:space="0" w:color="auto"/>
        <w:right w:val="none" w:sz="0" w:space="0" w:color="auto"/>
      </w:divBdr>
    </w:div>
    <w:div w:id="1373993869">
      <w:bodyDiv w:val="1"/>
      <w:marLeft w:val="0"/>
      <w:marRight w:val="0"/>
      <w:marTop w:val="0"/>
      <w:marBottom w:val="0"/>
      <w:divBdr>
        <w:top w:val="none" w:sz="0" w:space="0" w:color="auto"/>
        <w:left w:val="none" w:sz="0" w:space="0" w:color="auto"/>
        <w:bottom w:val="none" w:sz="0" w:space="0" w:color="auto"/>
        <w:right w:val="none" w:sz="0" w:space="0" w:color="auto"/>
      </w:divBdr>
    </w:div>
    <w:div w:id="1374034472">
      <w:bodyDiv w:val="1"/>
      <w:marLeft w:val="0"/>
      <w:marRight w:val="0"/>
      <w:marTop w:val="0"/>
      <w:marBottom w:val="0"/>
      <w:divBdr>
        <w:top w:val="none" w:sz="0" w:space="0" w:color="auto"/>
        <w:left w:val="none" w:sz="0" w:space="0" w:color="auto"/>
        <w:bottom w:val="none" w:sz="0" w:space="0" w:color="auto"/>
        <w:right w:val="none" w:sz="0" w:space="0" w:color="auto"/>
      </w:divBdr>
    </w:div>
    <w:div w:id="1374035531">
      <w:bodyDiv w:val="1"/>
      <w:marLeft w:val="0"/>
      <w:marRight w:val="0"/>
      <w:marTop w:val="0"/>
      <w:marBottom w:val="0"/>
      <w:divBdr>
        <w:top w:val="none" w:sz="0" w:space="0" w:color="auto"/>
        <w:left w:val="none" w:sz="0" w:space="0" w:color="auto"/>
        <w:bottom w:val="none" w:sz="0" w:space="0" w:color="auto"/>
        <w:right w:val="none" w:sz="0" w:space="0" w:color="auto"/>
      </w:divBdr>
    </w:div>
    <w:div w:id="1374038228">
      <w:bodyDiv w:val="1"/>
      <w:marLeft w:val="0"/>
      <w:marRight w:val="0"/>
      <w:marTop w:val="0"/>
      <w:marBottom w:val="0"/>
      <w:divBdr>
        <w:top w:val="none" w:sz="0" w:space="0" w:color="auto"/>
        <w:left w:val="none" w:sz="0" w:space="0" w:color="auto"/>
        <w:bottom w:val="none" w:sz="0" w:space="0" w:color="auto"/>
        <w:right w:val="none" w:sz="0" w:space="0" w:color="auto"/>
      </w:divBdr>
    </w:div>
    <w:div w:id="1374041914">
      <w:bodyDiv w:val="1"/>
      <w:marLeft w:val="0"/>
      <w:marRight w:val="0"/>
      <w:marTop w:val="0"/>
      <w:marBottom w:val="0"/>
      <w:divBdr>
        <w:top w:val="none" w:sz="0" w:space="0" w:color="auto"/>
        <w:left w:val="none" w:sz="0" w:space="0" w:color="auto"/>
        <w:bottom w:val="none" w:sz="0" w:space="0" w:color="auto"/>
        <w:right w:val="none" w:sz="0" w:space="0" w:color="auto"/>
      </w:divBdr>
    </w:div>
    <w:div w:id="1374231305">
      <w:bodyDiv w:val="1"/>
      <w:marLeft w:val="0"/>
      <w:marRight w:val="0"/>
      <w:marTop w:val="0"/>
      <w:marBottom w:val="0"/>
      <w:divBdr>
        <w:top w:val="none" w:sz="0" w:space="0" w:color="auto"/>
        <w:left w:val="none" w:sz="0" w:space="0" w:color="auto"/>
        <w:bottom w:val="none" w:sz="0" w:space="0" w:color="auto"/>
        <w:right w:val="none" w:sz="0" w:space="0" w:color="auto"/>
      </w:divBdr>
    </w:div>
    <w:div w:id="1374235887">
      <w:bodyDiv w:val="1"/>
      <w:marLeft w:val="0"/>
      <w:marRight w:val="0"/>
      <w:marTop w:val="0"/>
      <w:marBottom w:val="0"/>
      <w:divBdr>
        <w:top w:val="none" w:sz="0" w:space="0" w:color="auto"/>
        <w:left w:val="none" w:sz="0" w:space="0" w:color="auto"/>
        <w:bottom w:val="none" w:sz="0" w:space="0" w:color="auto"/>
        <w:right w:val="none" w:sz="0" w:space="0" w:color="auto"/>
      </w:divBdr>
    </w:div>
    <w:div w:id="1374380290">
      <w:bodyDiv w:val="1"/>
      <w:marLeft w:val="0"/>
      <w:marRight w:val="0"/>
      <w:marTop w:val="0"/>
      <w:marBottom w:val="0"/>
      <w:divBdr>
        <w:top w:val="none" w:sz="0" w:space="0" w:color="auto"/>
        <w:left w:val="none" w:sz="0" w:space="0" w:color="auto"/>
        <w:bottom w:val="none" w:sz="0" w:space="0" w:color="auto"/>
        <w:right w:val="none" w:sz="0" w:space="0" w:color="auto"/>
      </w:divBdr>
    </w:div>
    <w:div w:id="1374380484">
      <w:bodyDiv w:val="1"/>
      <w:marLeft w:val="0"/>
      <w:marRight w:val="0"/>
      <w:marTop w:val="0"/>
      <w:marBottom w:val="0"/>
      <w:divBdr>
        <w:top w:val="none" w:sz="0" w:space="0" w:color="auto"/>
        <w:left w:val="none" w:sz="0" w:space="0" w:color="auto"/>
        <w:bottom w:val="none" w:sz="0" w:space="0" w:color="auto"/>
        <w:right w:val="none" w:sz="0" w:space="0" w:color="auto"/>
      </w:divBdr>
    </w:div>
    <w:div w:id="1374425479">
      <w:bodyDiv w:val="1"/>
      <w:marLeft w:val="0"/>
      <w:marRight w:val="0"/>
      <w:marTop w:val="0"/>
      <w:marBottom w:val="0"/>
      <w:divBdr>
        <w:top w:val="none" w:sz="0" w:space="0" w:color="auto"/>
        <w:left w:val="none" w:sz="0" w:space="0" w:color="auto"/>
        <w:bottom w:val="none" w:sz="0" w:space="0" w:color="auto"/>
        <w:right w:val="none" w:sz="0" w:space="0" w:color="auto"/>
      </w:divBdr>
    </w:div>
    <w:div w:id="1374428581">
      <w:bodyDiv w:val="1"/>
      <w:marLeft w:val="0"/>
      <w:marRight w:val="0"/>
      <w:marTop w:val="0"/>
      <w:marBottom w:val="0"/>
      <w:divBdr>
        <w:top w:val="none" w:sz="0" w:space="0" w:color="auto"/>
        <w:left w:val="none" w:sz="0" w:space="0" w:color="auto"/>
        <w:bottom w:val="none" w:sz="0" w:space="0" w:color="auto"/>
        <w:right w:val="none" w:sz="0" w:space="0" w:color="auto"/>
      </w:divBdr>
    </w:div>
    <w:div w:id="1374496782">
      <w:bodyDiv w:val="1"/>
      <w:marLeft w:val="0"/>
      <w:marRight w:val="0"/>
      <w:marTop w:val="0"/>
      <w:marBottom w:val="0"/>
      <w:divBdr>
        <w:top w:val="none" w:sz="0" w:space="0" w:color="auto"/>
        <w:left w:val="none" w:sz="0" w:space="0" w:color="auto"/>
        <w:bottom w:val="none" w:sz="0" w:space="0" w:color="auto"/>
        <w:right w:val="none" w:sz="0" w:space="0" w:color="auto"/>
      </w:divBdr>
    </w:div>
    <w:div w:id="1374497265">
      <w:bodyDiv w:val="1"/>
      <w:marLeft w:val="0"/>
      <w:marRight w:val="0"/>
      <w:marTop w:val="0"/>
      <w:marBottom w:val="0"/>
      <w:divBdr>
        <w:top w:val="none" w:sz="0" w:space="0" w:color="auto"/>
        <w:left w:val="none" w:sz="0" w:space="0" w:color="auto"/>
        <w:bottom w:val="none" w:sz="0" w:space="0" w:color="auto"/>
        <w:right w:val="none" w:sz="0" w:space="0" w:color="auto"/>
      </w:divBdr>
    </w:div>
    <w:div w:id="1374501663">
      <w:bodyDiv w:val="1"/>
      <w:marLeft w:val="0"/>
      <w:marRight w:val="0"/>
      <w:marTop w:val="0"/>
      <w:marBottom w:val="0"/>
      <w:divBdr>
        <w:top w:val="none" w:sz="0" w:space="0" w:color="auto"/>
        <w:left w:val="none" w:sz="0" w:space="0" w:color="auto"/>
        <w:bottom w:val="none" w:sz="0" w:space="0" w:color="auto"/>
        <w:right w:val="none" w:sz="0" w:space="0" w:color="auto"/>
      </w:divBdr>
    </w:div>
    <w:div w:id="1374571961">
      <w:bodyDiv w:val="1"/>
      <w:marLeft w:val="0"/>
      <w:marRight w:val="0"/>
      <w:marTop w:val="0"/>
      <w:marBottom w:val="0"/>
      <w:divBdr>
        <w:top w:val="none" w:sz="0" w:space="0" w:color="auto"/>
        <w:left w:val="none" w:sz="0" w:space="0" w:color="auto"/>
        <w:bottom w:val="none" w:sz="0" w:space="0" w:color="auto"/>
        <w:right w:val="none" w:sz="0" w:space="0" w:color="auto"/>
      </w:divBdr>
    </w:div>
    <w:div w:id="1374692860">
      <w:bodyDiv w:val="1"/>
      <w:marLeft w:val="0"/>
      <w:marRight w:val="0"/>
      <w:marTop w:val="0"/>
      <w:marBottom w:val="0"/>
      <w:divBdr>
        <w:top w:val="none" w:sz="0" w:space="0" w:color="auto"/>
        <w:left w:val="none" w:sz="0" w:space="0" w:color="auto"/>
        <w:bottom w:val="none" w:sz="0" w:space="0" w:color="auto"/>
        <w:right w:val="none" w:sz="0" w:space="0" w:color="auto"/>
      </w:divBdr>
    </w:div>
    <w:div w:id="1374697021">
      <w:bodyDiv w:val="1"/>
      <w:marLeft w:val="0"/>
      <w:marRight w:val="0"/>
      <w:marTop w:val="0"/>
      <w:marBottom w:val="0"/>
      <w:divBdr>
        <w:top w:val="none" w:sz="0" w:space="0" w:color="auto"/>
        <w:left w:val="none" w:sz="0" w:space="0" w:color="auto"/>
        <w:bottom w:val="none" w:sz="0" w:space="0" w:color="auto"/>
        <w:right w:val="none" w:sz="0" w:space="0" w:color="auto"/>
      </w:divBdr>
    </w:div>
    <w:div w:id="1374961502">
      <w:bodyDiv w:val="1"/>
      <w:marLeft w:val="0"/>
      <w:marRight w:val="0"/>
      <w:marTop w:val="0"/>
      <w:marBottom w:val="0"/>
      <w:divBdr>
        <w:top w:val="none" w:sz="0" w:space="0" w:color="auto"/>
        <w:left w:val="none" w:sz="0" w:space="0" w:color="auto"/>
        <w:bottom w:val="none" w:sz="0" w:space="0" w:color="auto"/>
        <w:right w:val="none" w:sz="0" w:space="0" w:color="auto"/>
      </w:divBdr>
    </w:div>
    <w:div w:id="1375039410">
      <w:bodyDiv w:val="1"/>
      <w:marLeft w:val="0"/>
      <w:marRight w:val="0"/>
      <w:marTop w:val="0"/>
      <w:marBottom w:val="0"/>
      <w:divBdr>
        <w:top w:val="none" w:sz="0" w:space="0" w:color="auto"/>
        <w:left w:val="none" w:sz="0" w:space="0" w:color="auto"/>
        <w:bottom w:val="none" w:sz="0" w:space="0" w:color="auto"/>
        <w:right w:val="none" w:sz="0" w:space="0" w:color="auto"/>
      </w:divBdr>
    </w:div>
    <w:div w:id="1375039823">
      <w:bodyDiv w:val="1"/>
      <w:marLeft w:val="0"/>
      <w:marRight w:val="0"/>
      <w:marTop w:val="0"/>
      <w:marBottom w:val="0"/>
      <w:divBdr>
        <w:top w:val="none" w:sz="0" w:space="0" w:color="auto"/>
        <w:left w:val="none" w:sz="0" w:space="0" w:color="auto"/>
        <w:bottom w:val="none" w:sz="0" w:space="0" w:color="auto"/>
        <w:right w:val="none" w:sz="0" w:space="0" w:color="auto"/>
      </w:divBdr>
    </w:div>
    <w:div w:id="1375423758">
      <w:bodyDiv w:val="1"/>
      <w:marLeft w:val="0"/>
      <w:marRight w:val="0"/>
      <w:marTop w:val="0"/>
      <w:marBottom w:val="0"/>
      <w:divBdr>
        <w:top w:val="none" w:sz="0" w:space="0" w:color="auto"/>
        <w:left w:val="none" w:sz="0" w:space="0" w:color="auto"/>
        <w:bottom w:val="none" w:sz="0" w:space="0" w:color="auto"/>
        <w:right w:val="none" w:sz="0" w:space="0" w:color="auto"/>
      </w:divBdr>
    </w:div>
    <w:div w:id="1375495427">
      <w:bodyDiv w:val="1"/>
      <w:marLeft w:val="0"/>
      <w:marRight w:val="0"/>
      <w:marTop w:val="0"/>
      <w:marBottom w:val="0"/>
      <w:divBdr>
        <w:top w:val="none" w:sz="0" w:space="0" w:color="auto"/>
        <w:left w:val="none" w:sz="0" w:space="0" w:color="auto"/>
        <w:bottom w:val="none" w:sz="0" w:space="0" w:color="auto"/>
        <w:right w:val="none" w:sz="0" w:space="0" w:color="auto"/>
      </w:divBdr>
    </w:div>
    <w:div w:id="1375538921">
      <w:bodyDiv w:val="1"/>
      <w:marLeft w:val="0"/>
      <w:marRight w:val="0"/>
      <w:marTop w:val="0"/>
      <w:marBottom w:val="0"/>
      <w:divBdr>
        <w:top w:val="none" w:sz="0" w:space="0" w:color="auto"/>
        <w:left w:val="none" w:sz="0" w:space="0" w:color="auto"/>
        <w:bottom w:val="none" w:sz="0" w:space="0" w:color="auto"/>
        <w:right w:val="none" w:sz="0" w:space="0" w:color="auto"/>
      </w:divBdr>
    </w:div>
    <w:div w:id="1375540674">
      <w:bodyDiv w:val="1"/>
      <w:marLeft w:val="0"/>
      <w:marRight w:val="0"/>
      <w:marTop w:val="0"/>
      <w:marBottom w:val="0"/>
      <w:divBdr>
        <w:top w:val="none" w:sz="0" w:space="0" w:color="auto"/>
        <w:left w:val="none" w:sz="0" w:space="0" w:color="auto"/>
        <w:bottom w:val="none" w:sz="0" w:space="0" w:color="auto"/>
        <w:right w:val="none" w:sz="0" w:space="0" w:color="auto"/>
      </w:divBdr>
    </w:div>
    <w:div w:id="1375620885">
      <w:bodyDiv w:val="1"/>
      <w:marLeft w:val="0"/>
      <w:marRight w:val="0"/>
      <w:marTop w:val="0"/>
      <w:marBottom w:val="0"/>
      <w:divBdr>
        <w:top w:val="none" w:sz="0" w:space="0" w:color="auto"/>
        <w:left w:val="none" w:sz="0" w:space="0" w:color="auto"/>
        <w:bottom w:val="none" w:sz="0" w:space="0" w:color="auto"/>
        <w:right w:val="none" w:sz="0" w:space="0" w:color="auto"/>
      </w:divBdr>
    </w:div>
    <w:div w:id="1375690844">
      <w:bodyDiv w:val="1"/>
      <w:marLeft w:val="0"/>
      <w:marRight w:val="0"/>
      <w:marTop w:val="0"/>
      <w:marBottom w:val="0"/>
      <w:divBdr>
        <w:top w:val="none" w:sz="0" w:space="0" w:color="auto"/>
        <w:left w:val="none" w:sz="0" w:space="0" w:color="auto"/>
        <w:bottom w:val="none" w:sz="0" w:space="0" w:color="auto"/>
        <w:right w:val="none" w:sz="0" w:space="0" w:color="auto"/>
      </w:divBdr>
    </w:div>
    <w:div w:id="1375695247">
      <w:bodyDiv w:val="1"/>
      <w:marLeft w:val="0"/>
      <w:marRight w:val="0"/>
      <w:marTop w:val="0"/>
      <w:marBottom w:val="0"/>
      <w:divBdr>
        <w:top w:val="none" w:sz="0" w:space="0" w:color="auto"/>
        <w:left w:val="none" w:sz="0" w:space="0" w:color="auto"/>
        <w:bottom w:val="none" w:sz="0" w:space="0" w:color="auto"/>
        <w:right w:val="none" w:sz="0" w:space="0" w:color="auto"/>
      </w:divBdr>
    </w:div>
    <w:div w:id="1375695506">
      <w:bodyDiv w:val="1"/>
      <w:marLeft w:val="0"/>
      <w:marRight w:val="0"/>
      <w:marTop w:val="0"/>
      <w:marBottom w:val="0"/>
      <w:divBdr>
        <w:top w:val="none" w:sz="0" w:space="0" w:color="auto"/>
        <w:left w:val="none" w:sz="0" w:space="0" w:color="auto"/>
        <w:bottom w:val="none" w:sz="0" w:space="0" w:color="auto"/>
        <w:right w:val="none" w:sz="0" w:space="0" w:color="auto"/>
      </w:divBdr>
    </w:div>
    <w:div w:id="1375735348">
      <w:bodyDiv w:val="1"/>
      <w:marLeft w:val="0"/>
      <w:marRight w:val="0"/>
      <w:marTop w:val="0"/>
      <w:marBottom w:val="0"/>
      <w:divBdr>
        <w:top w:val="none" w:sz="0" w:space="0" w:color="auto"/>
        <w:left w:val="none" w:sz="0" w:space="0" w:color="auto"/>
        <w:bottom w:val="none" w:sz="0" w:space="0" w:color="auto"/>
        <w:right w:val="none" w:sz="0" w:space="0" w:color="auto"/>
      </w:divBdr>
    </w:div>
    <w:div w:id="1375737459">
      <w:bodyDiv w:val="1"/>
      <w:marLeft w:val="0"/>
      <w:marRight w:val="0"/>
      <w:marTop w:val="0"/>
      <w:marBottom w:val="0"/>
      <w:divBdr>
        <w:top w:val="none" w:sz="0" w:space="0" w:color="auto"/>
        <w:left w:val="none" w:sz="0" w:space="0" w:color="auto"/>
        <w:bottom w:val="none" w:sz="0" w:space="0" w:color="auto"/>
        <w:right w:val="none" w:sz="0" w:space="0" w:color="auto"/>
      </w:divBdr>
    </w:div>
    <w:div w:id="1375809493">
      <w:bodyDiv w:val="1"/>
      <w:marLeft w:val="0"/>
      <w:marRight w:val="0"/>
      <w:marTop w:val="0"/>
      <w:marBottom w:val="0"/>
      <w:divBdr>
        <w:top w:val="none" w:sz="0" w:space="0" w:color="auto"/>
        <w:left w:val="none" w:sz="0" w:space="0" w:color="auto"/>
        <w:bottom w:val="none" w:sz="0" w:space="0" w:color="auto"/>
        <w:right w:val="none" w:sz="0" w:space="0" w:color="auto"/>
      </w:divBdr>
    </w:div>
    <w:div w:id="1375811486">
      <w:bodyDiv w:val="1"/>
      <w:marLeft w:val="0"/>
      <w:marRight w:val="0"/>
      <w:marTop w:val="0"/>
      <w:marBottom w:val="0"/>
      <w:divBdr>
        <w:top w:val="none" w:sz="0" w:space="0" w:color="auto"/>
        <w:left w:val="none" w:sz="0" w:space="0" w:color="auto"/>
        <w:bottom w:val="none" w:sz="0" w:space="0" w:color="auto"/>
        <w:right w:val="none" w:sz="0" w:space="0" w:color="auto"/>
      </w:divBdr>
    </w:div>
    <w:div w:id="1376081640">
      <w:bodyDiv w:val="1"/>
      <w:marLeft w:val="0"/>
      <w:marRight w:val="0"/>
      <w:marTop w:val="0"/>
      <w:marBottom w:val="0"/>
      <w:divBdr>
        <w:top w:val="none" w:sz="0" w:space="0" w:color="auto"/>
        <w:left w:val="none" w:sz="0" w:space="0" w:color="auto"/>
        <w:bottom w:val="none" w:sz="0" w:space="0" w:color="auto"/>
        <w:right w:val="none" w:sz="0" w:space="0" w:color="auto"/>
      </w:divBdr>
    </w:div>
    <w:div w:id="1376152833">
      <w:bodyDiv w:val="1"/>
      <w:marLeft w:val="0"/>
      <w:marRight w:val="0"/>
      <w:marTop w:val="0"/>
      <w:marBottom w:val="0"/>
      <w:divBdr>
        <w:top w:val="none" w:sz="0" w:space="0" w:color="auto"/>
        <w:left w:val="none" w:sz="0" w:space="0" w:color="auto"/>
        <w:bottom w:val="none" w:sz="0" w:space="0" w:color="auto"/>
        <w:right w:val="none" w:sz="0" w:space="0" w:color="auto"/>
      </w:divBdr>
    </w:div>
    <w:div w:id="1376201090">
      <w:bodyDiv w:val="1"/>
      <w:marLeft w:val="0"/>
      <w:marRight w:val="0"/>
      <w:marTop w:val="0"/>
      <w:marBottom w:val="0"/>
      <w:divBdr>
        <w:top w:val="none" w:sz="0" w:space="0" w:color="auto"/>
        <w:left w:val="none" w:sz="0" w:space="0" w:color="auto"/>
        <w:bottom w:val="none" w:sz="0" w:space="0" w:color="auto"/>
        <w:right w:val="none" w:sz="0" w:space="0" w:color="auto"/>
      </w:divBdr>
    </w:div>
    <w:div w:id="1376345233">
      <w:bodyDiv w:val="1"/>
      <w:marLeft w:val="0"/>
      <w:marRight w:val="0"/>
      <w:marTop w:val="0"/>
      <w:marBottom w:val="0"/>
      <w:divBdr>
        <w:top w:val="none" w:sz="0" w:space="0" w:color="auto"/>
        <w:left w:val="none" w:sz="0" w:space="0" w:color="auto"/>
        <w:bottom w:val="none" w:sz="0" w:space="0" w:color="auto"/>
        <w:right w:val="none" w:sz="0" w:space="0" w:color="auto"/>
      </w:divBdr>
    </w:div>
    <w:div w:id="1376353313">
      <w:bodyDiv w:val="1"/>
      <w:marLeft w:val="0"/>
      <w:marRight w:val="0"/>
      <w:marTop w:val="0"/>
      <w:marBottom w:val="0"/>
      <w:divBdr>
        <w:top w:val="none" w:sz="0" w:space="0" w:color="auto"/>
        <w:left w:val="none" w:sz="0" w:space="0" w:color="auto"/>
        <w:bottom w:val="none" w:sz="0" w:space="0" w:color="auto"/>
        <w:right w:val="none" w:sz="0" w:space="0" w:color="auto"/>
      </w:divBdr>
    </w:div>
    <w:div w:id="1376467132">
      <w:bodyDiv w:val="1"/>
      <w:marLeft w:val="0"/>
      <w:marRight w:val="0"/>
      <w:marTop w:val="0"/>
      <w:marBottom w:val="0"/>
      <w:divBdr>
        <w:top w:val="none" w:sz="0" w:space="0" w:color="auto"/>
        <w:left w:val="none" w:sz="0" w:space="0" w:color="auto"/>
        <w:bottom w:val="none" w:sz="0" w:space="0" w:color="auto"/>
        <w:right w:val="none" w:sz="0" w:space="0" w:color="auto"/>
      </w:divBdr>
    </w:div>
    <w:div w:id="1376615911">
      <w:bodyDiv w:val="1"/>
      <w:marLeft w:val="0"/>
      <w:marRight w:val="0"/>
      <w:marTop w:val="0"/>
      <w:marBottom w:val="0"/>
      <w:divBdr>
        <w:top w:val="none" w:sz="0" w:space="0" w:color="auto"/>
        <w:left w:val="none" w:sz="0" w:space="0" w:color="auto"/>
        <w:bottom w:val="none" w:sz="0" w:space="0" w:color="auto"/>
        <w:right w:val="none" w:sz="0" w:space="0" w:color="auto"/>
      </w:divBdr>
    </w:div>
    <w:div w:id="1376663063">
      <w:bodyDiv w:val="1"/>
      <w:marLeft w:val="0"/>
      <w:marRight w:val="0"/>
      <w:marTop w:val="0"/>
      <w:marBottom w:val="0"/>
      <w:divBdr>
        <w:top w:val="none" w:sz="0" w:space="0" w:color="auto"/>
        <w:left w:val="none" w:sz="0" w:space="0" w:color="auto"/>
        <w:bottom w:val="none" w:sz="0" w:space="0" w:color="auto"/>
        <w:right w:val="none" w:sz="0" w:space="0" w:color="auto"/>
      </w:divBdr>
    </w:div>
    <w:div w:id="1376849284">
      <w:bodyDiv w:val="1"/>
      <w:marLeft w:val="0"/>
      <w:marRight w:val="0"/>
      <w:marTop w:val="0"/>
      <w:marBottom w:val="0"/>
      <w:divBdr>
        <w:top w:val="none" w:sz="0" w:space="0" w:color="auto"/>
        <w:left w:val="none" w:sz="0" w:space="0" w:color="auto"/>
        <w:bottom w:val="none" w:sz="0" w:space="0" w:color="auto"/>
        <w:right w:val="none" w:sz="0" w:space="0" w:color="auto"/>
      </w:divBdr>
    </w:div>
    <w:div w:id="1376853596">
      <w:bodyDiv w:val="1"/>
      <w:marLeft w:val="0"/>
      <w:marRight w:val="0"/>
      <w:marTop w:val="0"/>
      <w:marBottom w:val="0"/>
      <w:divBdr>
        <w:top w:val="none" w:sz="0" w:space="0" w:color="auto"/>
        <w:left w:val="none" w:sz="0" w:space="0" w:color="auto"/>
        <w:bottom w:val="none" w:sz="0" w:space="0" w:color="auto"/>
        <w:right w:val="none" w:sz="0" w:space="0" w:color="auto"/>
      </w:divBdr>
    </w:div>
    <w:div w:id="1376856765">
      <w:bodyDiv w:val="1"/>
      <w:marLeft w:val="0"/>
      <w:marRight w:val="0"/>
      <w:marTop w:val="0"/>
      <w:marBottom w:val="0"/>
      <w:divBdr>
        <w:top w:val="none" w:sz="0" w:space="0" w:color="auto"/>
        <w:left w:val="none" w:sz="0" w:space="0" w:color="auto"/>
        <w:bottom w:val="none" w:sz="0" w:space="0" w:color="auto"/>
        <w:right w:val="none" w:sz="0" w:space="0" w:color="auto"/>
      </w:divBdr>
    </w:div>
    <w:div w:id="1376929832">
      <w:bodyDiv w:val="1"/>
      <w:marLeft w:val="0"/>
      <w:marRight w:val="0"/>
      <w:marTop w:val="0"/>
      <w:marBottom w:val="0"/>
      <w:divBdr>
        <w:top w:val="none" w:sz="0" w:space="0" w:color="auto"/>
        <w:left w:val="none" w:sz="0" w:space="0" w:color="auto"/>
        <w:bottom w:val="none" w:sz="0" w:space="0" w:color="auto"/>
        <w:right w:val="none" w:sz="0" w:space="0" w:color="auto"/>
      </w:divBdr>
    </w:div>
    <w:div w:id="1377047774">
      <w:bodyDiv w:val="1"/>
      <w:marLeft w:val="0"/>
      <w:marRight w:val="0"/>
      <w:marTop w:val="0"/>
      <w:marBottom w:val="0"/>
      <w:divBdr>
        <w:top w:val="none" w:sz="0" w:space="0" w:color="auto"/>
        <w:left w:val="none" w:sz="0" w:space="0" w:color="auto"/>
        <w:bottom w:val="none" w:sz="0" w:space="0" w:color="auto"/>
        <w:right w:val="none" w:sz="0" w:space="0" w:color="auto"/>
      </w:divBdr>
    </w:div>
    <w:div w:id="1377119468">
      <w:bodyDiv w:val="1"/>
      <w:marLeft w:val="0"/>
      <w:marRight w:val="0"/>
      <w:marTop w:val="0"/>
      <w:marBottom w:val="0"/>
      <w:divBdr>
        <w:top w:val="none" w:sz="0" w:space="0" w:color="auto"/>
        <w:left w:val="none" w:sz="0" w:space="0" w:color="auto"/>
        <w:bottom w:val="none" w:sz="0" w:space="0" w:color="auto"/>
        <w:right w:val="none" w:sz="0" w:space="0" w:color="auto"/>
      </w:divBdr>
    </w:div>
    <w:div w:id="1377192568">
      <w:bodyDiv w:val="1"/>
      <w:marLeft w:val="0"/>
      <w:marRight w:val="0"/>
      <w:marTop w:val="0"/>
      <w:marBottom w:val="0"/>
      <w:divBdr>
        <w:top w:val="none" w:sz="0" w:space="0" w:color="auto"/>
        <w:left w:val="none" w:sz="0" w:space="0" w:color="auto"/>
        <w:bottom w:val="none" w:sz="0" w:space="0" w:color="auto"/>
        <w:right w:val="none" w:sz="0" w:space="0" w:color="auto"/>
      </w:divBdr>
    </w:div>
    <w:div w:id="1377268746">
      <w:bodyDiv w:val="1"/>
      <w:marLeft w:val="0"/>
      <w:marRight w:val="0"/>
      <w:marTop w:val="0"/>
      <w:marBottom w:val="0"/>
      <w:divBdr>
        <w:top w:val="none" w:sz="0" w:space="0" w:color="auto"/>
        <w:left w:val="none" w:sz="0" w:space="0" w:color="auto"/>
        <w:bottom w:val="none" w:sz="0" w:space="0" w:color="auto"/>
        <w:right w:val="none" w:sz="0" w:space="0" w:color="auto"/>
      </w:divBdr>
    </w:div>
    <w:div w:id="1377390456">
      <w:bodyDiv w:val="1"/>
      <w:marLeft w:val="0"/>
      <w:marRight w:val="0"/>
      <w:marTop w:val="0"/>
      <w:marBottom w:val="0"/>
      <w:divBdr>
        <w:top w:val="none" w:sz="0" w:space="0" w:color="auto"/>
        <w:left w:val="none" w:sz="0" w:space="0" w:color="auto"/>
        <w:bottom w:val="none" w:sz="0" w:space="0" w:color="auto"/>
        <w:right w:val="none" w:sz="0" w:space="0" w:color="auto"/>
      </w:divBdr>
    </w:div>
    <w:div w:id="1377464647">
      <w:bodyDiv w:val="1"/>
      <w:marLeft w:val="0"/>
      <w:marRight w:val="0"/>
      <w:marTop w:val="0"/>
      <w:marBottom w:val="0"/>
      <w:divBdr>
        <w:top w:val="none" w:sz="0" w:space="0" w:color="auto"/>
        <w:left w:val="none" w:sz="0" w:space="0" w:color="auto"/>
        <w:bottom w:val="none" w:sz="0" w:space="0" w:color="auto"/>
        <w:right w:val="none" w:sz="0" w:space="0" w:color="auto"/>
      </w:divBdr>
    </w:div>
    <w:div w:id="1377508222">
      <w:bodyDiv w:val="1"/>
      <w:marLeft w:val="0"/>
      <w:marRight w:val="0"/>
      <w:marTop w:val="0"/>
      <w:marBottom w:val="0"/>
      <w:divBdr>
        <w:top w:val="none" w:sz="0" w:space="0" w:color="auto"/>
        <w:left w:val="none" w:sz="0" w:space="0" w:color="auto"/>
        <w:bottom w:val="none" w:sz="0" w:space="0" w:color="auto"/>
        <w:right w:val="none" w:sz="0" w:space="0" w:color="auto"/>
      </w:divBdr>
    </w:div>
    <w:div w:id="1377659400">
      <w:bodyDiv w:val="1"/>
      <w:marLeft w:val="0"/>
      <w:marRight w:val="0"/>
      <w:marTop w:val="0"/>
      <w:marBottom w:val="0"/>
      <w:divBdr>
        <w:top w:val="none" w:sz="0" w:space="0" w:color="auto"/>
        <w:left w:val="none" w:sz="0" w:space="0" w:color="auto"/>
        <w:bottom w:val="none" w:sz="0" w:space="0" w:color="auto"/>
        <w:right w:val="none" w:sz="0" w:space="0" w:color="auto"/>
      </w:divBdr>
    </w:div>
    <w:div w:id="1377706057">
      <w:bodyDiv w:val="1"/>
      <w:marLeft w:val="0"/>
      <w:marRight w:val="0"/>
      <w:marTop w:val="0"/>
      <w:marBottom w:val="0"/>
      <w:divBdr>
        <w:top w:val="none" w:sz="0" w:space="0" w:color="auto"/>
        <w:left w:val="none" w:sz="0" w:space="0" w:color="auto"/>
        <w:bottom w:val="none" w:sz="0" w:space="0" w:color="auto"/>
        <w:right w:val="none" w:sz="0" w:space="0" w:color="auto"/>
      </w:divBdr>
    </w:div>
    <w:div w:id="1377776825">
      <w:bodyDiv w:val="1"/>
      <w:marLeft w:val="0"/>
      <w:marRight w:val="0"/>
      <w:marTop w:val="0"/>
      <w:marBottom w:val="0"/>
      <w:divBdr>
        <w:top w:val="none" w:sz="0" w:space="0" w:color="auto"/>
        <w:left w:val="none" w:sz="0" w:space="0" w:color="auto"/>
        <w:bottom w:val="none" w:sz="0" w:space="0" w:color="auto"/>
        <w:right w:val="none" w:sz="0" w:space="0" w:color="auto"/>
      </w:divBdr>
    </w:div>
    <w:div w:id="1377848238">
      <w:bodyDiv w:val="1"/>
      <w:marLeft w:val="0"/>
      <w:marRight w:val="0"/>
      <w:marTop w:val="0"/>
      <w:marBottom w:val="0"/>
      <w:divBdr>
        <w:top w:val="none" w:sz="0" w:space="0" w:color="auto"/>
        <w:left w:val="none" w:sz="0" w:space="0" w:color="auto"/>
        <w:bottom w:val="none" w:sz="0" w:space="0" w:color="auto"/>
        <w:right w:val="none" w:sz="0" w:space="0" w:color="auto"/>
      </w:divBdr>
    </w:div>
    <w:div w:id="1377923175">
      <w:bodyDiv w:val="1"/>
      <w:marLeft w:val="0"/>
      <w:marRight w:val="0"/>
      <w:marTop w:val="0"/>
      <w:marBottom w:val="0"/>
      <w:divBdr>
        <w:top w:val="none" w:sz="0" w:space="0" w:color="auto"/>
        <w:left w:val="none" w:sz="0" w:space="0" w:color="auto"/>
        <w:bottom w:val="none" w:sz="0" w:space="0" w:color="auto"/>
        <w:right w:val="none" w:sz="0" w:space="0" w:color="auto"/>
      </w:divBdr>
    </w:div>
    <w:div w:id="1377925255">
      <w:bodyDiv w:val="1"/>
      <w:marLeft w:val="0"/>
      <w:marRight w:val="0"/>
      <w:marTop w:val="0"/>
      <w:marBottom w:val="0"/>
      <w:divBdr>
        <w:top w:val="none" w:sz="0" w:space="0" w:color="auto"/>
        <w:left w:val="none" w:sz="0" w:space="0" w:color="auto"/>
        <w:bottom w:val="none" w:sz="0" w:space="0" w:color="auto"/>
        <w:right w:val="none" w:sz="0" w:space="0" w:color="auto"/>
      </w:divBdr>
    </w:div>
    <w:div w:id="1377966547">
      <w:bodyDiv w:val="1"/>
      <w:marLeft w:val="0"/>
      <w:marRight w:val="0"/>
      <w:marTop w:val="0"/>
      <w:marBottom w:val="0"/>
      <w:divBdr>
        <w:top w:val="none" w:sz="0" w:space="0" w:color="auto"/>
        <w:left w:val="none" w:sz="0" w:space="0" w:color="auto"/>
        <w:bottom w:val="none" w:sz="0" w:space="0" w:color="auto"/>
        <w:right w:val="none" w:sz="0" w:space="0" w:color="auto"/>
      </w:divBdr>
    </w:div>
    <w:div w:id="1378166338">
      <w:bodyDiv w:val="1"/>
      <w:marLeft w:val="0"/>
      <w:marRight w:val="0"/>
      <w:marTop w:val="0"/>
      <w:marBottom w:val="0"/>
      <w:divBdr>
        <w:top w:val="none" w:sz="0" w:space="0" w:color="auto"/>
        <w:left w:val="none" w:sz="0" w:space="0" w:color="auto"/>
        <w:bottom w:val="none" w:sz="0" w:space="0" w:color="auto"/>
        <w:right w:val="none" w:sz="0" w:space="0" w:color="auto"/>
      </w:divBdr>
    </w:div>
    <w:div w:id="1378234643">
      <w:bodyDiv w:val="1"/>
      <w:marLeft w:val="0"/>
      <w:marRight w:val="0"/>
      <w:marTop w:val="0"/>
      <w:marBottom w:val="0"/>
      <w:divBdr>
        <w:top w:val="none" w:sz="0" w:space="0" w:color="auto"/>
        <w:left w:val="none" w:sz="0" w:space="0" w:color="auto"/>
        <w:bottom w:val="none" w:sz="0" w:space="0" w:color="auto"/>
        <w:right w:val="none" w:sz="0" w:space="0" w:color="auto"/>
      </w:divBdr>
    </w:div>
    <w:div w:id="1378237072">
      <w:bodyDiv w:val="1"/>
      <w:marLeft w:val="0"/>
      <w:marRight w:val="0"/>
      <w:marTop w:val="0"/>
      <w:marBottom w:val="0"/>
      <w:divBdr>
        <w:top w:val="none" w:sz="0" w:space="0" w:color="auto"/>
        <w:left w:val="none" w:sz="0" w:space="0" w:color="auto"/>
        <w:bottom w:val="none" w:sz="0" w:space="0" w:color="auto"/>
        <w:right w:val="none" w:sz="0" w:space="0" w:color="auto"/>
      </w:divBdr>
    </w:div>
    <w:div w:id="1378318304">
      <w:bodyDiv w:val="1"/>
      <w:marLeft w:val="0"/>
      <w:marRight w:val="0"/>
      <w:marTop w:val="0"/>
      <w:marBottom w:val="0"/>
      <w:divBdr>
        <w:top w:val="none" w:sz="0" w:space="0" w:color="auto"/>
        <w:left w:val="none" w:sz="0" w:space="0" w:color="auto"/>
        <w:bottom w:val="none" w:sz="0" w:space="0" w:color="auto"/>
        <w:right w:val="none" w:sz="0" w:space="0" w:color="auto"/>
      </w:divBdr>
    </w:div>
    <w:div w:id="1378433320">
      <w:bodyDiv w:val="1"/>
      <w:marLeft w:val="0"/>
      <w:marRight w:val="0"/>
      <w:marTop w:val="0"/>
      <w:marBottom w:val="0"/>
      <w:divBdr>
        <w:top w:val="none" w:sz="0" w:space="0" w:color="auto"/>
        <w:left w:val="none" w:sz="0" w:space="0" w:color="auto"/>
        <w:bottom w:val="none" w:sz="0" w:space="0" w:color="auto"/>
        <w:right w:val="none" w:sz="0" w:space="0" w:color="auto"/>
      </w:divBdr>
    </w:div>
    <w:div w:id="1378774905">
      <w:bodyDiv w:val="1"/>
      <w:marLeft w:val="0"/>
      <w:marRight w:val="0"/>
      <w:marTop w:val="0"/>
      <w:marBottom w:val="0"/>
      <w:divBdr>
        <w:top w:val="none" w:sz="0" w:space="0" w:color="auto"/>
        <w:left w:val="none" w:sz="0" w:space="0" w:color="auto"/>
        <w:bottom w:val="none" w:sz="0" w:space="0" w:color="auto"/>
        <w:right w:val="none" w:sz="0" w:space="0" w:color="auto"/>
      </w:divBdr>
    </w:div>
    <w:div w:id="1378821410">
      <w:bodyDiv w:val="1"/>
      <w:marLeft w:val="0"/>
      <w:marRight w:val="0"/>
      <w:marTop w:val="0"/>
      <w:marBottom w:val="0"/>
      <w:divBdr>
        <w:top w:val="none" w:sz="0" w:space="0" w:color="auto"/>
        <w:left w:val="none" w:sz="0" w:space="0" w:color="auto"/>
        <w:bottom w:val="none" w:sz="0" w:space="0" w:color="auto"/>
        <w:right w:val="none" w:sz="0" w:space="0" w:color="auto"/>
      </w:divBdr>
    </w:div>
    <w:div w:id="1378965849">
      <w:bodyDiv w:val="1"/>
      <w:marLeft w:val="0"/>
      <w:marRight w:val="0"/>
      <w:marTop w:val="0"/>
      <w:marBottom w:val="0"/>
      <w:divBdr>
        <w:top w:val="none" w:sz="0" w:space="0" w:color="auto"/>
        <w:left w:val="none" w:sz="0" w:space="0" w:color="auto"/>
        <w:bottom w:val="none" w:sz="0" w:space="0" w:color="auto"/>
        <w:right w:val="none" w:sz="0" w:space="0" w:color="auto"/>
      </w:divBdr>
    </w:div>
    <w:div w:id="1378967328">
      <w:bodyDiv w:val="1"/>
      <w:marLeft w:val="0"/>
      <w:marRight w:val="0"/>
      <w:marTop w:val="0"/>
      <w:marBottom w:val="0"/>
      <w:divBdr>
        <w:top w:val="none" w:sz="0" w:space="0" w:color="auto"/>
        <w:left w:val="none" w:sz="0" w:space="0" w:color="auto"/>
        <w:bottom w:val="none" w:sz="0" w:space="0" w:color="auto"/>
        <w:right w:val="none" w:sz="0" w:space="0" w:color="auto"/>
      </w:divBdr>
    </w:div>
    <w:div w:id="1379091064">
      <w:bodyDiv w:val="1"/>
      <w:marLeft w:val="0"/>
      <w:marRight w:val="0"/>
      <w:marTop w:val="0"/>
      <w:marBottom w:val="0"/>
      <w:divBdr>
        <w:top w:val="none" w:sz="0" w:space="0" w:color="auto"/>
        <w:left w:val="none" w:sz="0" w:space="0" w:color="auto"/>
        <w:bottom w:val="none" w:sz="0" w:space="0" w:color="auto"/>
        <w:right w:val="none" w:sz="0" w:space="0" w:color="auto"/>
      </w:divBdr>
    </w:div>
    <w:div w:id="1379160450">
      <w:bodyDiv w:val="1"/>
      <w:marLeft w:val="0"/>
      <w:marRight w:val="0"/>
      <w:marTop w:val="0"/>
      <w:marBottom w:val="0"/>
      <w:divBdr>
        <w:top w:val="none" w:sz="0" w:space="0" w:color="auto"/>
        <w:left w:val="none" w:sz="0" w:space="0" w:color="auto"/>
        <w:bottom w:val="none" w:sz="0" w:space="0" w:color="auto"/>
        <w:right w:val="none" w:sz="0" w:space="0" w:color="auto"/>
      </w:divBdr>
    </w:div>
    <w:div w:id="1379359736">
      <w:bodyDiv w:val="1"/>
      <w:marLeft w:val="0"/>
      <w:marRight w:val="0"/>
      <w:marTop w:val="0"/>
      <w:marBottom w:val="0"/>
      <w:divBdr>
        <w:top w:val="none" w:sz="0" w:space="0" w:color="auto"/>
        <w:left w:val="none" w:sz="0" w:space="0" w:color="auto"/>
        <w:bottom w:val="none" w:sz="0" w:space="0" w:color="auto"/>
        <w:right w:val="none" w:sz="0" w:space="0" w:color="auto"/>
      </w:divBdr>
    </w:div>
    <w:div w:id="1379478153">
      <w:bodyDiv w:val="1"/>
      <w:marLeft w:val="0"/>
      <w:marRight w:val="0"/>
      <w:marTop w:val="0"/>
      <w:marBottom w:val="0"/>
      <w:divBdr>
        <w:top w:val="none" w:sz="0" w:space="0" w:color="auto"/>
        <w:left w:val="none" w:sz="0" w:space="0" w:color="auto"/>
        <w:bottom w:val="none" w:sz="0" w:space="0" w:color="auto"/>
        <w:right w:val="none" w:sz="0" w:space="0" w:color="auto"/>
      </w:divBdr>
    </w:div>
    <w:div w:id="1379625884">
      <w:bodyDiv w:val="1"/>
      <w:marLeft w:val="0"/>
      <w:marRight w:val="0"/>
      <w:marTop w:val="0"/>
      <w:marBottom w:val="0"/>
      <w:divBdr>
        <w:top w:val="none" w:sz="0" w:space="0" w:color="auto"/>
        <w:left w:val="none" w:sz="0" w:space="0" w:color="auto"/>
        <w:bottom w:val="none" w:sz="0" w:space="0" w:color="auto"/>
        <w:right w:val="none" w:sz="0" w:space="0" w:color="auto"/>
      </w:divBdr>
    </w:div>
    <w:div w:id="1379671271">
      <w:bodyDiv w:val="1"/>
      <w:marLeft w:val="0"/>
      <w:marRight w:val="0"/>
      <w:marTop w:val="0"/>
      <w:marBottom w:val="0"/>
      <w:divBdr>
        <w:top w:val="none" w:sz="0" w:space="0" w:color="auto"/>
        <w:left w:val="none" w:sz="0" w:space="0" w:color="auto"/>
        <w:bottom w:val="none" w:sz="0" w:space="0" w:color="auto"/>
        <w:right w:val="none" w:sz="0" w:space="0" w:color="auto"/>
      </w:divBdr>
    </w:div>
    <w:div w:id="1379671902">
      <w:bodyDiv w:val="1"/>
      <w:marLeft w:val="0"/>
      <w:marRight w:val="0"/>
      <w:marTop w:val="0"/>
      <w:marBottom w:val="0"/>
      <w:divBdr>
        <w:top w:val="none" w:sz="0" w:space="0" w:color="auto"/>
        <w:left w:val="none" w:sz="0" w:space="0" w:color="auto"/>
        <w:bottom w:val="none" w:sz="0" w:space="0" w:color="auto"/>
        <w:right w:val="none" w:sz="0" w:space="0" w:color="auto"/>
      </w:divBdr>
    </w:div>
    <w:div w:id="1379696158">
      <w:bodyDiv w:val="1"/>
      <w:marLeft w:val="0"/>
      <w:marRight w:val="0"/>
      <w:marTop w:val="0"/>
      <w:marBottom w:val="0"/>
      <w:divBdr>
        <w:top w:val="none" w:sz="0" w:space="0" w:color="auto"/>
        <w:left w:val="none" w:sz="0" w:space="0" w:color="auto"/>
        <w:bottom w:val="none" w:sz="0" w:space="0" w:color="auto"/>
        <w:right w:val="none" w:sz="0" w:space="0" w:color="auto"/>
      </w:divBdr>
    </w:div>
    <w:div w:id="1379746564">
      <w:bodyDiv w:val="1"/>
      <w:marLeft w:val="0"/>
      <w:marRight w:val="0"/>
      <w:marTop w:val="0"/>
      <w:marBottom w:val="0"/>
      <w:divBdr>
        <w:top w:val="none" w:sz="0" w:space="0" w:color="auto"/>
        <w:left w:val="none" w:sz="0" w:space="0" w:color="auto"/>
        <w:bottom w:val="none" w:sz="0" w:space="0" w:color="auto"/>
        <w:right w:val="none" w:sz="0" w:space="0" w:color="auto"/>
      </w:divBdr>
    </w:div>
    <w:div w:id="1379939724">
      <w:bodyDiv w:val="1"/>
      <w:marLeft w:val="0"/>
      <w:marRight w:val="0"/>
      <w:marTop w:val="0"/>
      <w:marBottom w:val="0"/>
      <w:divBdr>
        <w:top w:val="none" w:sz="0" w:space="0" w:color="auto"/>
        <w:left w:val="none" w:sz="0" w:space="0" w:color="auto"/>
        <w:bottom w:val="none" w:sz="0" w:space="0" w:color="auto"/>
        <w:right w:val="none" w:sz="0" w:space="0" w:color="auto"/>
      </w:divBdr>
    </w:div>
    <w:div w:id="1380008517">
      <w:bodyDiv w:val="1"/>
      <w:marLeft w:val="0"/>
      <w:marRight w:val="0"/>
      <w:marTop w:val="0"/>
      <w:marBottom w:val="0"/>
      <w:divBdr>
        <w:top w:val="none" w:sz="0" w:space="0" w:color="auto"/>
        <w:left w:val="none" w:sz="0" w:space="0" w:color="auto"/>
        <w:bottom w:val="none" w:sz="0" w:space="0" w:color="auto"/>
        <w:right w:val="none" w:sz="0" w:space="0" w:color="auto"/>
      </w:divBdr>
    </w:div>
    <w:div w:id="1380012339">
      <w:bodyDiv w:val="1"/>
      <w:marLeft w:val="0"/>
      <w:marRight w:val="0"/>
      <w:marTop w:val="0"/>
      <w:marBottom w:val="0"/>
      <w:divBdr>
        <w:top w:val="none" w:sz="0" w:space="0" w:color="auto"/>
        <w:left w:val="none" w:sz="0" w:space="0" w:color="auto"/>
        <w:bottom w:val="none" w:sz="0" w:space="0" w:color="auto"/>
        <w:right w:val="none" w:sz="0" w:space="0" w:color="auto"/>
      </w:divBdr>
    </w:div>
    <w:div w:id="1380014433">
      <w:bodyDiv w:val="1"/>
      <w:marLeft w:val="0"/>
      <w:marRight w:val="0"/>
      <w:marTop w:val="0"/>
      <w:marBottom w:val="0"/>
      <w:divBdr>
        <w:top w:val="none" w:sz="0" w:space="0" w:color="auto"/>
        <w:left w:val="none" w:sz="0" w:space="0" w:color="auto"/>
        <w:bottom w:val="none" w:sz="0" w:space="0" w:color="auto"/>
        <w:right w:val="none" w:sz="0" w:space="0" w:color="auto"/>
      </w:divBdr>
    </w:div>
    <w:div w:id="1380088836">
      <w:bodyDiv w:val="1"/>
      <w:marLeft w:val="0"/>
      <w:marRight w:val="0"/>
      <w:marTop w:val="0"/>
      <w:marBottom w:val="0"/>
      <w:divBdr>
        <w:top w:val="none" w:sz="0" w:space="0" w:color="auto"/>
        <w:left w:val="none" w:sz="0" w:space="0" w:color="auto"/>
        <w:bottom w:val="none" w:sz="0" w:space="0" w:color="auto"/>
        <w:right w:val="none" w:sz="0" w:space="0" w:color="auto"/>
      </w:divBdr>
    </w:div>
    <w:div w:id="1380130071">
      <w:bodyDiv w:val="1"/>
      <w:marLeft w:val="0"/>
      <w:marRight w:val="0"/>
      <w:marTop w:val="0"/>
      <w:marBottom w:val="0"/>
      <w:divBdr>
        <w:top w:val="none" w:sz="0" w:space="0" w:color="auto"/>
        <w:left w:val="none" w:sz="0" w:space="0" w:color="auto"/>
        <w:bottom w:val="none" w:sz="0" w:space="0" w:color="auto"/>
        <w:right w:val="none" w:sz="0" w:space="0" w:color="auto"/>
      </w:divBdr>
    </w:div>
    <w:div w:id="1380207509">
      <w:bodyDiv w:val="1"/>
      <w:marLeft w:val="0"/>
      <w:marRight w:val="0"/>
      <w:marTop w:val="0"/>
      <w:marBottom w:val="0"/>
      <w:divBdr>
        <w:top w:val="none" w:sz="0" w:space="0" w:color="auto"/>
        <w:left w:val="none" w:sz="0" w:space="0" w:color="auto"/>
        <w:bottom w:val="none" w:sz="0" w:space="0" w:color="auto"/>
        <w:right w:val="none" w:sz="0" w:space="0" w:color="auto"/>
      </w:divBdr>
    </w:div>
    <w:div w:id="1380280153">
      <w:bodyDiv w:val="1"/>
      <w:marLeft w:val="0"/>
      <w:marRight w:val="0"/>
      <w:marTop w:val="0"/>
      <w:marBottom w:val="0"/>
      <w:divBdr>
        <w:top w:val="none" w:sz="0" w:space="0" w:color="auto"/>
        <w:left w:val="none" w:sz="0" w:space="0" w:color="auto"/>
        <w:bottom w:val="none" w:sz="0" w:space="0" w:color="auto"/>
        <w:right w:val="none" w:sz="0" w:space="0" w:color="auto"/>
      </w:divBdr>
    </w:div>
    <w:div w:id="1380397049">
      <w:bodyDiv w:val="1"/>
      <w:marLeft w:val="0"/>
      <w:marRight w:val="0"/>
      <w:marTop w:val="0"/>
      <w:marBottom w:val="0"/>
      <w:divBdr>
        <w:top w:val="none" w:sz="0" w:space="0" w:color="auto"/>
        <w:left w:val="none" w:sz="0" w:space="0" w:color="auto"/>
        <w:bottom w:val="none" w:sz="0" w:space="0" w:color="auto"/>
        <w:right w:val="none" w:sz="0" w:space="0" w:color="auto"/>
      </w:divBdr>
    </w:div>
    <w:div w:id="1380402364">
      <w:bodyDiv w:val="1"/>
      <w:marLeft w:val="0"/>
      <w:marRight w:val="0"/>
      <w:marTop w:val="0"/>
      <w:marBottom w:val="0"/>
      <w:divBdr>
        <w:top w:val="none" w:sz="0" w:space="0" w:color="auto"/>
        <w:left w:val="none" w:sz="0" w:space="0" w:color="auto"/>
        <w:bottom w:val="none" w:sz="0" w:space="0" w:color="auto"/>
        <w:right w:val="none" w:sz="0" w:space="0" w:color="auto"/>
      </w:divBdr>
    </w:div>
    <w:div w:id="1380595455">
      <w:bodyDiv w:val="1"/>
      <w:marLeft w:val="0"/>
      <w:marRight w:val="0"/>
      <w:marTop w:val="0"/>
      <w:marBottom w:val="0"/>
      <w:divBdr>
        <w:top w:val="none" w:sz="0" w:space="0" w:color="auto"/>
        <w:left w:val="none" w:sz="0" w:space="0" w:color="auto"/>
        <w:bottom w:val="none" w:sz="0" w:space="0" w:color="auto"/>
        <w:right w:val="none" w:sz="0" w:space="0" w:color="auto"/>
      </w:divBdr>
    </w:div>
    <w:div w:id="1380737419">
      <w:bodyDiv w:val="1"/>
      <w:marLeft w:val="0"/>
      <w:marRight w:val="0"/>
      <w:marTop w:val="0"/>
      <w:marBottom w:val="0"/>
      <w:divBdr>
        <w:top w:val="none" w:sz="0" w:space="0" w:color="auto"/>
        <w:left w:val="none" w:sz="0" w:space="0" w:color="auto"/>
        <w:bottom w:val="none" w:sz="0" w:space="0" w:color="auto"/>
        <w:right w:val="none" w:sz="0" w:space="0" w:color="auto"/>
      </w:divBdr>
    </w:div>
    <w:div w:id="1380739939">
      <w:bodyDiv w:val="1"/>
      <w:marLeft w:val="0"/>
      <w:marRight w:val="0"/>
      <w:marTop w:val="0"/>
      <w:marBottom w:val="0"/>
      <w:divBdr>
        <w:top w:val="none" w:sz="0" w:space="0" w:color="auto"/>
        <w:left w:val="none" w:sz="0" w:space="0" w:color="auto"/>
        <w:bottom w:val="none" w:sz="0" w:space="0" w:color="auto"/>
        <w:right w:val="none" w:sz="0" w:space="0" w:color="auto"/>
      </w:divBdr>
    </w:div>
    <w:div w:id="1380783920">
      <w:bodyDiv w:val="1"/>
      <w:marLeft w:val="0"/>
      <w:marRight w:val="0"/>
      <w:marTop w:val="0"/>
      <w:marBottom w:val="0"/>
      <w:divBdr>
        <w:top w:val="none" w:sz="0" w:space="0" w:color="auto"/>
        <w:left w:val="none" w:sz="0" w:space="0" w:color="auto"/>
        <w:bottom w:val="none" w:sz="0" w:space="0" w:color="auto"/>
        <w:right w:val="none" w:sz="0" w:space="0" w:color="auto"/>
      </w:divBdr>
    </w:div>
    <w:div w:id="1380978005">
      <w:bodyDiv w:val="1"/>
      <w:marLeft w:val="0"/>
      <w:marRight w:val="0"/>
      <w:marTop w:val="0"/>
      <w:marBottom w:val="0"/>
      <w:divBdr>
        <w:top w:val="none" w:sz="0" w:space="0" w:color="auto"/>
        <w:left w:val="none" w:sz="0" w:space="0" w:color="auto"/>
        <w:bottom w:val="none" w:sz="0" w:space="0" w:color="auto"/>
        <w:right w:val="none" w:sz="0" w:space="0" w:color="auto"/>
      </w:divBdr>
    </w:div>
    <w:div w:id="1381125510">
      <w:bodyDiv w:val="1"/>
      <w:marLeft w:val="0"/>
      <w:marRight w:val="0"/>
      <w:marTop w:val="0"/>
      <w:marBottom w:val="0"/>
      <w:divBdr>
        <w:top w:val="none" w:sz="0" w:space="0" w:color="auto"/>
        <w:left w:val="none" w:sz="0" w:space="0" w:color="auto"/>
        <w:bottom w:val="none" w:sz="0" w:space="0" w:color="auto"/>
        <w:right w:val="none" w:sz="0" w:space="0" w:color="auto"/>
      </w:divBdr>
    </w:div>
    <w:div w:id="1381126040">
      <w:bodyDiv w:val="1"/>
      <w:marLeft w:val="0"/>
      <w:marRight w:val="0"/>
      <w:marTop w:val="0"/>
      <w:marBottom w:val="0"/>
      <w:divBdr>
        <w:top w:val="none" w:sz="0" w:space="0" w:color="auto"/>
        <w:left w:val="none" w:sz="0" w:space="0" w:color="auto"/>
        <w:bottom w:val="none" w:sz="0" w:space="0" w:color="auto"/>
        <w:right w:val="none" w:sz="0" w:space="0" w:color="auto"/>
      </w:divBdr>
    </w:div>
    <w:div w:id="1381246194">
      <w:bodyDiv w:val="1"/>
      <w:marLeft w:val="0"/>
      <w:marRight w:val="0"/>
      <w:marTop w:val="0"/>
      <w:marBottom w:val="0"/>
      <w:divBdr>
        <w:top w:val="none" w:sz="0" w:space="0" w:color="auto"/>
        <w:left w:val="none" w:sz="0" w:space="0" w:color="auto"/>
        <w:bottom w:val="none" w:sz="0" w:space="0" w:color="auto"/>
        <w:right w:val="none" w:sz="0" w:space="0" w:color="auto"/>
      </w:divBdr>
    </w:div>
    <w:div w:id="1381321671">
      <w:bodyDiv w:val="1"/>
      <w:marLeft w:val="0"/>
      <w:marRight w:val="0"/>
      <w:marTop w:val="0"/>
      <w:marBottom w:val="0"/>
      <w:divBdr>
        <w:top w:val="none" w:sz="0" w:space="0" w:color="auto"/>
        <w:left w:val="none" w:sz="0" w:space="0" w:color="auto"/>
        <w:bottom w:val="none" w:sz="0" w:space="0" w:color="auto"/>
        <w:right w:val="none" w:sz="0" w:space="0" w:color="auto"/>
      </w:divBdr>
    </w:div>
    <w:div w:id="1381396191">
      <w:bodyDiv w:val="1"/>
      <w:marLeft w:val="0"/>
      <w:marRight w:val="0"/>
      <w:marTop w:val="0"/>
      <w:marBottom w:val="0"/>
      <w:divBdr>
        <w:top w:val="none" w:sz="0" w:space="0" w:color="auto"/>
        <w:left w:val="none" w:sz="0" w:space="0" w:color="auto"/>
        <w:bottom w:val="none" w:sz="0" w:space="0" w:color="auto"/>
        <w:right w:val="none" w:sz="0" w:space="0" w:color="auto"/>
      </w:divBdr>
    </w:div>
    <w:div w:id="1381585989">
      <w:bodyDiv w:val="1"/>
      <w:marLeft w:val="0"/>
      <w:marRight w:val="0"/>
      <w:marTop w:val="0"/>
      <w:marBottom w:val="0"/>
      <w:divBdr>
        <w:top w:val="none" w:sz="0" w:space="0" w:color="auto"/>
        <w:left w:val="none" w:sz="0" w:space="0" w:color="auto"/>
        <w:bottom w:val="none" w:sz="0" w:space="0" w:color="auto"/>
        <w:right w:val="none" w:sz="0" w:space="0" w:color="auto"/>
      </w:divBdr>
    </w:div>
    <w:div w:id="1381592491">
      <w:bodyDiv w:val="1"/>
      <w:marLeft w:val="0"/>
      <w:marRight w:val="0"/>
      <w:marTop w:val="0"/>
      <w:marBottom w:val="0"/>
      <w:divBdr>
        <w:top w:val="none" w:sz="0" w:space="0" w:color="auto"/>
        <w:left w:val="none" w:sz="0" w:space="0" w:color="auto"/>
        <w:bottom w:val="none" w:sz="0" w:space="0" w:color="auto"/>
        <w:right w:val="none" w:sz="0" w:space="0" w:color="auto"/>
      </w:divBdr>
    </w:div>
    <w:div w:id="1381594765">
      <w:bodyDiv w:val="1"/>
      <w:marLeft w:val="0"/>
      <w:marRight w:val="0"/>
      <w:marTop w:val="0"/>
      <w:marBottom w:val="0"/>
      <w:divBdr>
        <w:top w:val="none" w:sz="0" w:space="0" w:color="auto"/>
        <w:left w:val="none" w:sz="0" w:space="0" w:color="auto"/>
        <w:bottom w:val="none" w:sz="0" w:space="0" w:color="auto"/>
        <w:right w:val="none" w:sz="0" w:space="0" w:color="auto"/>
      </w:divBdr>
    </w:div>
    <w:div w:id="1381632448">
      <w:bodyDiv w:val="1"/>
      <w:marLeft w:val="0"/>
      <w:marRight w:val="0"/>
      <w:marTop w:val="0"/>
      <w:marBottom w:val="0"/>
      <w:divBdr>
        <w:top w:val="none" w:sz="0" w:space="0" w:color="auto"/>
        <w:left w:val="none" w:sz="0" w:space="0" w:color="auto"/>
        <w:bottom w:val="none" w:sz="0" w:space="0" w:color="auto"/>
        <w:right w:val="none" w:sz="0" w:space="0" w:color="auto"/>
      </w:divBdr>
    </w:div>
    <w:div w:id="1381828306">
      <w:bodyDiv w:val="1"/>
      <w:marLeft w:val="0"/>
      <w:marRight w:val="0"/>
      <w:marTop w:val="0"/>
      <w:marBottom w:val="0"/>
      <w:divBdr>
        <w:top w:val="none" w:sz="0" w:space="0" w:color="auto"/>
        <w:left w:val="none" w:sz="0" w:space="0" w:color="auto"/>
        <w:bottom w:val="none" w:sz="0" w:space="0" w:color="auto"/>
        <w:right w:val="none" w:sz="0" w:space="0" w:color="auto"/>
      </w:divBdr>
    </w:div>
    <w:div w:id="1382097775">
      <w:bodyDiv w:val="1"/>
      <w:marLeft w:val="0"/>
      <w:marRight w:val="0"/>
      <w:marTop w:val="0"/>
      <w:marBottom w:val="0"/>
      <w:divBdr>
        <w:top w:val="none" w:sz="0" w:space="0" w:color="auto"/>
        <w:left w:val="none" w:sz="0" w:space="0" w:color="auto"/>
        <w:bottom w:val="none" w:sz="0" w:space="0" w:color="auto"/>
        <w:right w:val="none" w:sz="0" w:space="0" w:color="auto"/>
      </w:divBdr>
    </w:div>
    <w:div w:id="1382247820">
      <w:bodyDiv w:val="1"/>
      <w:marLeft w:val="0"/>
      <w:marRight w:val="0"/>
      <w:marTop w:val="0"/>
      <w:marBottom w:val="0"/>
      <w:divBdr>
        <w:top w:val="none" w:sz="0" w:space="0" w:color="auto"/>
        <w:left w:val="none" w:sz="0" w:space="0" w:color="auto"/>
        <w:bottom w:val="none" w:sz="0" w:space="0" w:color="auto"/>
        <w:right w:val="none" w:sz="0" w:space="0" w:color="auto"/>
      </w:divBdr>
    </w:div>
    <w:div w:id="1382293500">
      <w:bodyDiv w:val="1"/>
      <w:marLeft w:val="0"/>
      <w:marRight w:val="0"/>
      <w:marTop w:val="0"/>
      <w:marBottom w:val="0"/>
      <w:divBdr>
        <w:top w:val="none" w:sz="0" w:space="0" w:color="auto"/>
        <w:left w:val="none" w:sz="0" w:space="0" w:color="auto"/>
        <w:bottom w:val="none" w:sz="0" w:space="0" w:color="auto"/>
        <w:right w:val="none" w:sz="0" w:space="0" w:color="auto"/>
      </w:divBdr>
    </w:div>
    <w:div w:id="1382830764">
      <w:bodyDiv w:val="1"/>
      <w:marLeft w:val="0"/>
      <w:marRight w:val="0"/>
      <w:marTop w:val="0"/>
      <w:marBottom w:val="0"/>
      <w:divBdr>
        <w:top w:val="none" w:sz="0" w:space="0" w:color="auto"/>
        <w:left w:val="none" w:sz="0" w:space="0" w:color="auto"/>
        <w:bottom w:val="none" w:sz="0" w:space="0" w:color="auto"/>
        <w:right w:val="none" w:sz="0" w:space="0" w:color="auto"/>
      </w:divBdr>
    </w:div>
    <w:div w:id="1382972087">
      <w:bodyDiv w:val="1"/>
      <w:marLeft w:val="0"/>
      <w:marRight w:val="0"/>
      <w:marTop w:val="0"/>
      <w:marBottom w:val="0"/>
      <w:divBdr>
        <w:top w:val="none" w:sz="0" w:space="0" w:color="auto"/>
        <w:left w:val="none" w:sz="0" w:space="0" w:color="auto"/>
        <w:bottom w:val="none" w:sz="0" w:space="0" w:color="auto"/>
        <w:right w:val="none" w:sz="0" w:space="0" w:color="auto"/>
      </w:divBdr>
    </w:div>
    <w:div w:id="1383019398">
      <w:bodyDiv w:val="1"/>
      <w:marLeft w:val="0"/>
      <w:marRight w:val="0"/>
      <w:marTop w:val="0"/>
      <w:marBottom w:val="0"/>
      <w:divBdr>
        <w:top w:val="none" w:sz="0" w:space="0" w:color="auto"/>
        <w:left w:val="none" w:sz="0" w:space="0" w:color="auto"/>
        <w:bottom w:val="none" w:sz="0" w:space="0" w:color="auto"/>
        <w:right w:val="none" w:sz="0" w:space="0" w:color="auto"/>
      </w:divBdr>
    </w:div>
    <w:div w:id="1383022471">
      <w:bodyDiv w:val="1"/>
      <w:marLeft w:val="0"/>
      <w:marRight w:val="0"/>
      <w:marTop w:val="0"/>
      <w:marBottom w:val="0"/>
      <w:divBdr>
        <w:top w:val="none" w:sz="0" w:space="0" w:color="auto"/>
        <w:left w:val="none" w:sz="0" w:space="0" w:color="auto"/>
        <w:bottom w:val="none" w:sz="0" w:space="0" w:color="auto"/>
        <w:right w:val="none" w:sz="0" w:space="0" w:color="auto"/>
      </w:divBdr>
    </w:div>
    <w:div w:id="1383090380">
      <w:bodyDiv w:val="1"/>
      <w:marLeft w:val="0"/>
      <w:marRight w:val="0"/>
      <w:marTop w:val="0"/>
      <w:marBottom w:val="0"/>
      <w:divBdr>
        <w:top w:val="none" w:sz="0" w:space="0" w:color="auto"/>
        <w:left w:val="none" w:sz="0" w:space="0" w:color="auto"/>
        <w:bottom w:val="none" w:sz="0" w:space="0" w:color="auto"/>
        <w:right w:val="none" w:sz="0" w:space="0" w:color="auto"/>
      </w:divBdr>
    </w:div>
    <w:div w:id="1383095076">
      <w:bodyDiv w:val="1"/>
      <w:marLeft w:val="0"/>
      <w:marRight w:val="0"/>
      <w:marTop w:val="0"/>
      <w:marBottom w:val="0"/>
      <w:divBdr>
        <w:top w:val="none" w:sz="0" w:space="0" w:color="auto"/>
        <w:left w:val="none" w:sz="0" w:space="0" w:color="auto"/>
        <w:bottom w:val="none" w:sz="0" w:space="0" w:color="auto"/>
        <w:right w:val="none" w:sz="0" w:space="0" w:color="auto"/>
      </w:divBdr>
    </w:div>
    <w:div w:id="1383098625">
      <w:bodyDiv w:val="1"/>
      <w:marLeft w:val="0"/>
      <w:marRight w:val="0"/>
      <w:marTop w:val="0"/>
      <w:marBottom w:val="0"/>
      <w:divBdr>
        <w:top w:val="none" w:sz="0" w:space="0" w:color="auto"/>
        <w:left w:val="none" w:sz="0" w:space="0" w:color="auto"/>
        <w:bottom w:val="none" w:sz="0" w:space="0" w:color="auto"/>
        <w:right w:val="none" w:sz="0" w:space="0" w:color="auto"/>
      </w:divBdr>
    </w:div>
    <w:div w:id="1383166241">
      <w:bodyDiv w:val="1"/>
      <w:marLeft w:val="0"/>
      <w:marRight w:val="0"/>
      <w:marTop w:val="0"/>
      <w:marBottom w:val="0"/>
      <w:divBdr>
        <w:top w:val="none" w:sz="0" w:space="0" w:color="auto"/>
        <w:left w:val="none" w:sz="0" w:space="0" w:color="auto"/>
        <w:bottom w:val="none" w:sz="0" w:space="0" w:color="auto"/>
        <w:right w:val="none" w:sz="0" w:space="0" w:color="auto"/>
      </w:divBdr>
    </w:div>
    <w:div w:id="1383288593">
      <w:bodyDiv w:val="1"/>
      <w:marLeft w:val="0"/>
      <w:marRight w:val="0"/>
      <w:marTop w:val="0"/>
      <w:marBottom w:val="0"/>
      <w:divBdr>
        <w:top w:val="none" w:sz="0" w:space="0" w:color="auto"/>
        <w:left w:val="none" w:sz="0" w:space="0" w:color="auto"/>
        <w:bottom w:val="none" w:sz="0" w:space="0" w:color="auto"/>
        <w:right w:val="none" w:sz="0" w:space="0" w:color="auto"/>
      </w:divBdr>
    </w:div>
    <w:div w:id="1383407094">
      <w:bodyDiv w:val="1"/>
      <w:marLeft w:val="0"/>
      <w:marRight w:val="0"/>
      <w:marTop w:val="0"/>
      <w:marBottom w:val="0"/>
      <w:divBdr>
        <w:top w:val="none" w:sz="0" w:space="0" w:color="auto"/>
        <w:left w:val="none" w:sz="0" w:space="0" w:color="auto"/>
        <w:bottom w:val="none" w:sz="0" w:space="0" w:color="auto"/>
        <w:right w:val="none" w:sz="0" w:space="0" w:color="auto"/>
      </w:divBdr>
    </w:div>
    <w:div w:id="1383477591">
      <w:bodyDiv w:val="1"/>
      <w:marLeft w:val="0"/>
      <w:marRight w:val="0"/>
      <w:marTop w:val="0"/>
      <w:marBottom w:val="0"/>
      <w:divBdr>
        <w:top w:val="none" w:sz="0" w:space="0" w:color="auto"/>
        <w:left w:val="none" w:sz="0" w:space="0" w:color="auto"/>
        <w:bottom w:val="none" w:sz="0" w:space="0" w:color="auto"/>
        <w:right w:val="none" w:sz="0" w:space="0" w:color="auto"/>
      </w:divBdr>
    </w:div>
    <w:div w:id="1383552751">
      <w:bodyDiv w:val="1"/>
      <w:marLeft w:val="0"/>
      <w:marRight w:val="0"/>
      <w:marTop w:val="0"/>
      <w:marBottom w:val="0"/>
      <w:divBdr>
        <w:top w:val="none" w:sz="0" w:space="0" w:color="auto"/>
        <w:left w:val="none" w:sz="0" w:space="0" w:color="auto"/>
        <w:bottom w:val="none" w:sz="0" w:space="0" w:color="auto"/>
        <w:right w:val="none" w:sz="0" w:space="0" w:color="auto"/>
      </w:divBdr>
    </w:div>
    <w:div w:id="1383754057">
      <w:bodyDiv w:val="1"/>
      <w:marLeft w:val="0"/>
      <w:marRight w:val="0"/>
      <w:marTop w:val="0"/>
      <w:marBottom w:val="0"/>
      <w:divBdr>
        <w:top w:val="none" w:sz="0" w:space="0" w:color="auto"/>
        <w:left w:val="none" w:sz="0" w:space="0" w:color="auto"/>
        <w:bottom w:val="none" w:sz="0" w:space="0" w:color="auto"/>
        <w:right w:val="none" w:sz="0" w:space="0" w:color="auto"/>
      </w:divBdr>
    </w:div>
    <w:div w:id="1384021111">
      <w:bodyDiv w:val="1"/>
      <w:marLeft w:val="0"/>
      <w:marRight w:val="0"/>
      <w:marTop w:val="0"/>
      <w:marBottom w:val="0"/>
      <w:divBdr>
        <w:top w:val="none" w:sz="0" w:space="0" w:color="auto"/>
        <w:left w:val="none" w:sz="0" w:space="0" w:color="auto"/>
        <w:bottom w:val="none" w:sz="0" w:space="0" w:color="auto"/>
        <w:right w:val="none" w:sz="0" w:space="0" w:color="auto"/>
      </w:divBdr>
    </w:div>
    <w:div w:id="1384136346">
      <w:bodyDiv w:val="1"/>
      <w:marLeft w:val="0"/>
      <w:marRight w:val="0"/>
      <w:marTop w:val="0"/>
      <w:marBottom w:val="0"/>
      <w:divBdr>
        <w:top w:val="none" w:sz="0" w:space="0" w:color="auto"/>
        <w:left w:val="none" w:sz="0" w:space="0" w:color="auto"/>
        <w:bottom w:val="none" w:sz="0" w:space="0" w:color="auto"/>
        <w:right w:val="none" w:sz="0" w:space="0" w:color="auto"/>
      </w:divBdr>
    </w:div>
    <w:div w:id="1384282981">
      <w:bodyDiv w:val="1"/>
      <w:marLeft w:val="0"/>
      <w:marRight w:val="0"/>
      <w:marTop w:val="0"/>
      <w:marBottom w:val="0"/>
      <w:divBdr>
        <w:top w:val="none" w:sz="0" w:space="0" w:color="auto"/>
        <w:left w:val="none" w:sz="0" w:space="0" w:color="auto"/>
        <w:bottom w:val="none" w:sz="0" w:space="0" w:color="auto"/>
        <w:right w:val="none" w:sz="0" w:space="0" w:color="auto"/>
      </w:divBdr>
    </w:div>
    <w:div w:id="1384594271">
      <w:bodyDiv w:val="1"/>
      <w:marLeft w:val="0"/>
      <w:marRight w:val="0"/>
      <w:marTop w:val="0"/>
      <w:marBottom w:val="0"/>
      <w:divBdr>
        <w:top w:val="none" w:sz="0" w:space="0" w:color="auto"/>
        <w:left w:val="none" w:sz="0" w:space="0" w:color="auto"/>
        <w:bottom w:val="none" w:sz="0" w:space="0" w:color="auto"/>
        <w:right w:val="none" w:sz="0" w:space="0" w:color="auto"/>
      </w:divBdr>
    </w:div>
    <w:div w:id="1384715833">
      <w:bodyDiv w:val="1"/>
      <w:marLeft w:val="0"/>
      <w:marRight w:val="0"/>
      <w:marTop w:val="0"/>
      <w:marBottom w:val="0"/>
      <w:divBdr>
        <w:top w:val="none" w:sz="0" w:space="0" w:color="auto"/>
        <w:left w:val="none" w:sz="0" w:space="0" w:color="auto"/>
        <w:bottom w:val="none" w:sz="0" w:space="0" w:color="auto"/>
        <w:right w:val="none" w:sz="0" w:space="0" w:color="auto"/>
      </w:divBdr>
    </w:div>
    <w:div w:id="1384718341">
      <w:bodyDiv w:val="1"/>
      <w:marLeft w:val="0"/>
      <w:marRight w:val="0"/>
      <w:marTop w:val="0"/>
      <w:marBottom w:val="0"/>
      <w:divBdr>
        <w:top w:val="none" w:sz="0" w:space="0" w:color="auto"/>
        <w:left w:val="none" w:sz="0" w:space="0" w:color="auto"/>
        <w:bottom w:val="none" w:sz="0" w:space="0" w:color="auto"/>
        <w:right w:val="none" w:sz="0" w:space="0" w:color="auto"/>
      </w:divBdr>
    </w:div>
    <w:div w:id="1384788529">
      <w:bodyDiv w:val="1"/>
      <w:marLeft w:val="0"/>
      <w:marRight w:val="0"/>
      <w:marTop w:val="0"/>
      <w:marBottom w:val="0"/>
      <w:divBdr>
        <w:top w:val="none" w:sz="0" w:space="0" w:color="auto"/>
        <w:left w:val="none" w:sz="0" w:space="0" w:color="auto"/>
        <w:bottom w:val="none" w:sz="0" w:space="0" w:color="auto"/>
        <w:right w:val="none" w:sz="0" w:space="0" w:color="auto"/>
      </w:divBdr>
    </w:div>
    <w:div w:id="1385061468">
      <w:bodyDiv w:val="1"/>
      <w:marLeft w:val="0"/>
      <w:marRight w:val="0"/>
      <w:marTop w:val="0"/>
      <w:marBottom w:val="0"/>
      <w:divBdr>
        <w:top w:val="none" w:sz="0" w:space="0" w:color="auto"/>
        <w:left w:val="none" w:sz="0" w:space="0" w:color="auto"/>
        <w:bottom w:val="none" w:sz="0" w:space="0" w:color="auto"/>
        <w:right w:val="none" w:sz="0" w:space="0" w:color="auto"/>
      </w:divBdr>
    </w:div>
    <w:div w:id="1385179818">
      <w:bodyDiv w:val="1"/>
      <w:marLeft w:val="0"/>
      <w:marRight w:val="0"/>
      <w:marTop w:val="0"/>
      <w:marBottom w:val="0"/>
      <w:divBdr>
        <w:top w:val="none" w:sz="0" w:space="0" w:color="auto"/>
        <w:left w:val="none" w:sz="0" w:space="0" w:color="auto"/>
        <w:bottom w:val="none" w:sz="0" w:space="0" w:color="auto"/>
        <w:right w:val="none" w:sz="0" w:space="0" w:color="auto"/>
      </w:divBdr>
    </w:div>
    <w:div w:id="1385182905">
      <w:bodyDiv w:val="1"/>
      <w:marLeft w:val="0"/>
      <w:marRight w:val="0"/>
      <w:marTop w:val="0"/>
      <w:marBottom w:val="0"/>
      <w:divBdr>
        <w:top w:val="none" w:sz="0" w:space="0" w:color="auto"/>
        <w:left w:val="none" w:sz="0" w:space="0" w:color="auto"/>
        <w:bottom w:val="none" w:sz="0" w:space="0" w:color="auto"/>
        <w:right w:val="none" w:sz="0" w:space="0" w:color="auto"/>
      </w:divBdr>
    </w:div>
    <w:div w:id="1385251965">
      <w:bodyDiv w:val="1"/>
      <w:marLeft w:val="0"/>
      <w:marRight w:val="0"/>
      <w:marTop w:val="0"/>
      <w:marBottom w:val="0"/>
      <w:divBdr>
        <w:top w:val="none" w:sz="0" w:space="0" w:color="auto"/>
        <w:left w:val="none" w:sz="0" w:space="0" w:color="auto"/>
        <w:bottom w:val="none" w:sz="0" w:space="0" w:color="auto"/>
        <w:right w:val="none" w:sz="0" w:space="0" w:color="auto"/>
      </w:divBdr>
    </w:div>
    <w:div w:id="1385256348">
      <w:bodyDiv w:val="1"/>
      <w:marLeft w:val="0"/>
      <w:marRight w:val="0"/>
      <w:marTop w:val="0"/>
      <w:marBottom w:val="0"/>
      <w:divBdr>
        <w:top w:val="none" w:sz="0" w:space="0" w:color="auto"/>
        <w:left w:val="none" w:sz="0" w:space="0" w:color="auto"/>
        <w:bottom w:val="none" w:sz="0" w:space="0" w:color="auto"/>
        <w:right w:val="none" w:sz="0" w:space="0" w:color="auto"/>
      </w:divBdr>
    </w:div>
    <w:div w:id="1385301266">
      <w:bodyDiv w:val="1"/>
      <w:marLeft w:val="0"/>
      <w:marRight w:val="0"/>
      <w:marTop w:val="0"/>
      <w:marBottom w:val="0"/>
      <w:divBdr>
        <w:top w:val="none" w:sz="0" w:space="0" w:color="auto"/>
        <w:left w:val="none" w:sz="0" w:space="0" w:color="auto"/>
        <w:bottom w:val="none" w:sz="0" w:space="0" w:color="auto"/>
        <w:right w:val="none" w:sz="0" w:space="0" w:color="auto"/>
      </w:divBdr>
    </w:div>
    <w:div w:id="1385374238">
      <w:bodyDiv w:val="1"/>
      <w:marLeft w:val="0"/>
      <w:marRight w:val="0"/>
      <w:marTop w:val="0"/>
      <w:marBottom w:val="0"/>
      <w:divBdr>
        <w:top w:val="none" w:sz="0" w:space="0" w:color="auto"/>
        <w:left w:val="none" w:sz="0" w:space="0" w:color="auto"/>
        <w:bottom w:val="none" w:sz="0" w:space="0" w:color="auto"/>
        <w:right w:val="none" w:sz="0" w:space="0" w:color="auto"/>
      </w:divBdr>
    </w:div>
    <w:div w:id="1385519956">
      <w:bodyDiv w:val="1"/>
      <w:marLeft w:val="0"/>
      <w:marRight w:val="0"/>
      <w:marTop w:val="0"/>
      <w:marBottom w:val="0"/>
      <w:divBdr>
        <w:top w:val="none" w:sz="0" w:space="0" w:color="auto"/>
        <w:left w:val="none" w:sz="0" w:space="0" w:color="auto"/>
        <w:bottom w:val="none" w:sz="0" w:space="0" w:color="auto"/>
        <w:right w:val="none" w:sz="0" w:space="0" w:color="auto"/>
      </w:divBdr>
    </w:div>
    <w:div w:id="1385562939">
      <w:bodyDiv w:val="1"/>
      <w:marLeft w:val="0"/>
      <w:marRight w:val="0"/>
      <w:marTop w:val="0"/>
      <w:marBottom w:val="0"/>
      <w:divBdr>
        <w:top w:val="none" w:sz="0" w:space="0" w:color="auto"/>
        <w:left w:val="none" w:sz="0" w:space="0" w:color="auto"/>
        <w:bottom w:val="none" w:sz="0" w:space="0" w:color="auto"/>
        <w:right w:val="none" w:sz="0" w:space="0" w:color="auto"/>
      </w:divBdr>
    </w:div>
    <w:div w:id="1385564769">
      <w:bodyDiv w:val="1"/>
      <w:marLeft w:val="0"/>
      <w:marRight w:val="0"/>
      <w:marTop w:val="0"/>
      <w:marBottom w:val="0"/>
      <w:divBdr>
        <w:top w:val="none" w:sz="0" w:space="0" w:color="auto"/>
        <w:left w:val="none" w:sz="0" w:space="0" w:color="auto"/>
        <w:bottom w:val="none" w:sz="0" w:space="0" w:color="auto"/>
        <w:right w:val="none" w:sz="0" w:space="0" w:color="auto"/>
      </w:divBdr>
    </w:div>
    <w:div w:id="1385637273">
      <w:bodyDiv w:val="1"/>
      <w:marLeft w:val="0"/>
      <w:marRight w:val="0"/>
      <w:marTop w:val="0"/>
      <w:marBottom w:val="0"/>
      <w:divBdr>
        <w:top w:val="none" w:sz="0" w:space="0" w:color="auto"/>
        <w:left w:val="none" w:sz="0" w:space="0" w:color="auto"/>
        <w:bottom w:val="none" w:sz="0" w:space="0" w:color="auto"/>
        <w:right w:val="none" w:sz="0" w:space="0" w:color="auto"/>
      </w:divBdr>
    </w:div>
    <w:div w:id="1385716601">
      <w:bodyDiv w:val="1"/>
      <w:marLeft w:val="0"/>
      <w:marRight w:val="0"/>
      <w:marTop w:val="0"/>
      <w:marBottom w:val="0"/>
      <w:divBdr>
        <w:top w:val="none" w:sz="0" w:space="0" w:color="auto"/>
        <w:left w:val="none" w:sz="0" w:space="0" w:color="auto"/>
        <w:bottom w:val="none" w:sz="0" w:space="0" w:color="auto"/>
        <w:right w:val="none" w:sz="0" w:space="0" w:color="auto"/>
      </w:divBdr>
    </w:div>
    <w:div w:id="1385717542">
      <w:bodyDiv w:val="1"/>
      <w:marLeft w:val="0"/>
      <w:marRight w:val="0"/>
      <w:marTop w:val="0"/>
      <w:marBottom w:val="0"/>
      <w:divBdr>
        <w:top w:val="none" w:sz="0" w:space="0" w:color="auto"/>
        <w:left w:val="none" w:sz="0" w:space="0" w:color="auto"/>
        <w:bottom w:val="none" w:sz="0" w:space="0" w:color="auto"/>
        <w:right w:val="none" w:sz="0" w:space="0" w:color="auto"/>
      </w:divBdr>
    </w:div>
    <w:div w:id="1385762036">
      <w:bodyDiv w:val="1"/>
      <w:marLeft w:val="0"/>
      <w:marRight w:val="0"/>
      <w:marTop w:val="0"/>
      <w:marBottom w:val="0"/>
      <w:divBdr>
        <w:top w:val="none" w:sz="0" w:space="0" w:color="auto"/>
        <w:left w:val="none" w:sz="0" w:space="0" w:color="auto"/>
        <w:bottom w:val="none" w:sz="0" w:space="0" w:color="auto"/>
        <w:right w:val="none" w:sz="0" w:space="0" w:color="auto"/>
      </w:divBdr>
    </w:div>
    <w:div w:id="1385906709">
      <w:bodyDiv w:val="1"/>
      <w:marLeft w:val="0"/>
      <w:marRight w:val="0"/>
      <w:marTop w:val="0"/>
      <w:marBottom w:val="0"/>
      <w:divBdr>
        <w:top w:val="none" w:sz="0" w:space="0" w:color="auto"/>
        <w:left w:val="none" w:sz="0" w:space="0" w:color="auto"/>
        <w:bottom w:val="none" w:sz="0" w:space="0" w:color="auto"/>
        <w:right w:val="none" w:sz="0" w:space="0" w:color="auto"/>
      </w:divBdr>
    </w:div>
    <w:div w:id="1386611338">
      <w:bodyDiv w:val="1"/>
      <w:marLeft w:val="0"/>
      <w:marRight w:val="0"/>
      <w:marTop w:val="0"/>
      <w:marBottom w:val="0"/>
      <w:divBdr>
        <w:top w:val="none" w:sz="0" w:space="0" w:color="auto"/>
        <w:left w:val="none" w:sz="0" w:space="0" w:color="auto"/>
        <w:bottom w:val="none" w:sz="0" w:space="0" w:color="auto"/>
        <w:right w:val="none" w:sz="0" w:space="0" w:color="auto"/>
      </w:divBdr>
    </w:div>
    <w:div w:id="1386762449">
      <w:bodyDiv w:val="1"/>
      <w:marLeft w:val="0"/>
      <w:marRight w:val="0"/>
      <w:marTop w:val="0"/>
      <w:marBottom w:val="0"/>
      <w:divBdr>
        <w:top w:val="none" w:sz="0" w:space="0" w:color="auto"/>
        <w:left w:val="none" w:sz="0" w:space="0" w:color="auto"/>
        <w:bottom w:val="none" w:sz="0" w:space="0" w:color="auto"/>
        <w:right w:val="none" w:sz="0" w:space="0" w:color="auto"/>
      </w:divBdr>
    </w:div>
    <w:div w:id="1386830698">
      <w:bodyDiv w:val="1"/>
      <w:marLeft w:val="0"/>
      <w:marRight w:val="0"/>
      <w:marTop w:val="0"/>
      <w:marBottom w:val="0"/>
      <w:divBdr>
        <w:top w:val="none" w:sz="0" w:space="0" w:color="auto"/>
        <w:left w:val="none" w:sz="0" w:space="0" w:color="auto"/>
        <w:bottom w:val="none" w:sz="0" w:space="0" w:color="auto"/>
        <w:right w:val="none" w:sz="0" w:space="0" w:color="auto"/>
      </w:divBdr>
    </w:div>
    <w:div w:id="1386830987">
      <w:bodyDiv w:val="1"/>
      <w:marLeft w:val="0"/>
      <w:marRight w:val="0"/>
      <w:marTop w:val="0"/>
      <w:marBottom w:val="0"/>
      <w:divBdr>
        <w:top w:val="none" w:sz="0" w:space="0" w:color="auto"/>
        <w:left w:val="none" w:sz="0" w:space="0" w:color="auto"/>
        <w:bottom w:val="none" w:sz="0" w:space="0" w:color="auto"/>
        <w:right w:val="none" w:sz="0" w:space="0" w:color="auto"/>
      </w:divBdr>
    </w:div>
    <w:div w:id="1386954441">
      <w:bodyDiv w:val="1"/>
      <w:marLeft w:val="0"/>
      <w:marRight w:val="0"/>
      <w:marTop w:val="0"/>
      <w:marBottom w:val="0"/>
      <w:divBdr>
        <w:top w:val="none" w:sz="0" w:space="0" w:color="auto"/>
        <w:left w:val="none" w:sz="0" w:space="0" w:color="auto"/>
        <w:bottom w:val="none" w:sz="0" w:space="0" w:color="auto"/>
        <w:right w:val="none" w:sz="0" w:space="0" w:color="auto"/>
      </w:divBdr>
    </w:div>
    <w:div w:id="1387030221">
      <w:bodyDiv w:val="1"/>
      <w:marLeft w:val="0"/>
      <w:marRight w:val="0"/>
      <w:marTop w:val="0"/>
      <w:marBottom w:val="0"/>
      <w:divBdr>
        <w:top w:val="none" w:sz="0" w:space="0" w:color="auto"/>
        <w:left w:val="none" w:sz="0" w:space="0" w:color="auto"/>
        <w:bottom w:val="none" w:sz="0" w:space="0" w:color="auto"/>
        <w:right w:val="none" w:sz="0" w:space="0" w:color="auto"/>
      </w:divBdr>
    </w:div>
    <w:div w:id="1387101392">
      <w:bodyDiv w:val="1"/>
      <w:marLeft w:val="0"/>
      <w:marRight w:val="0"/>
      <w:marTop w:val="0"/>
      <w:marBottom w:val="0"/>
      <w:divBdr>
        <w:top w:val="none" w:sz="0" w:space="0" w:color="auto"/>
        <w:left w:val="none" w:sz="0" w:space="0" w:color="auto"/>
        <w:bottom w:val="none" w:sz="0" w:space="0" w:color="auto"/>
        <w:right w:val="none" w:sz="0" w:space="0" w:color="auto"/>
      </w:divBdr>
    </w:div>
    <w:div w:id="1387147918">
      <w:bodyDiv w:val="1"/>
      <w:marLeft w:val="0"/>
      <w:marRight w:val="0"/>
      <w:marTop w:val="0"/>
      <w:marBottom w:val="0"/>
      <w:divBdr>
        <w:top w:val="none" w:sz="0" w:space="0" w:color="auto"/>
        <w:left w:val="none" w:sz="0" w:space="0" w:color="auto"/>
        <w:bottom w:val="none" w:sz="0" w:space="0" w:color="auto"/>
        <w:right w:val="none" w:sz="0" w:space="0" w:color="auto"/>
      </w:divBdr>
    </w:div>
    <w:div w:id="1387149046">
      <w:bodyDiv w:val="1"/>
      <w:marLeft w:val="0"/>
      <w:marRight w:val="0"/>
      <w:marTop w:val="0"/>
      <w:marBottom w:val="0"/>
      <w:divBdr>
        <w:top w:val="none" w:sz="0" w:space="0" w:color="auto"/>
        <w:left w:val="none" w:sz="0" w:space="0" w:color="auto"/>
        <w:bottom w:val="none" w:sz="0" w:space="0" w:color="auto"/>
        <w:right w:val="none" w:sz="0" w:space="0" w:color="auto"/>
      </w:divBdr>
    </w:div>
    <w:div w:id="1387218185">
      <w:bodyDiv w:val="1"/>
      <w:marLeft w:val="0"/>
      <w:marRight w:val="0"/>
      <w:marTop w:val="0"/>
      <w:marBottom w:val="0"/>
      <w:divBdr>
        <w:top w:val="none" w:sz="0" w:space="0" w:color="auto"/>
        <w:left w:val="none" w:sz="0" w:space="0" w:color="auto"/>
        <w:bottom w:val="none" w:sz="0" w:space="0" w:color="auto"/>
        <w:right w:val="none" w:sz="0" w:space="0" w:color="auto"/>
      </w:divBdr>
    </w:div>
    <w:div w:id="1387334792">
      <w:bodyDiv w:val="1"/>
      <w:marLeft w:val="0"/>
      <w:marRight w:val="0"/>
      <w:marTop w:val="0"/>
      <w:marBottom w:val="0"/>
      <w:divBdr>
        <w:top w:val="none" w:sz="0" w:space="0" w:color="auto"/>
        <w:left w:val="none" w:sz="0" w:space="0" w:color="auto"/>
        <w:bottom w:val="none" w:sz="0" w:space="0" w:color="auto"/>
        <w:right w:val="none" w:sz="0" w:space="0" w:color="auto"/>
      </w:divBdr>
    </w:div>
    <w:div w:id="1387414285">
      <w:bodyDiv w:val="1"/>
      <w:marLeft w:val="0"/>
      <w:marRight w:val="0"/>
      <w:marTop w:val="0"/>
      <w:marBottom w:val="0"/>
      <w:divBdr>
        <w:top w:val="none" w:sz="0" w:space="0" w:color="auto"/>
        <w:left w:val="none" w:sz="0" w:space="0" w:color="auto"/>
        <w:bottom w:val="none" w:sz="0" w:space="0" w:color="auto"/>
        <w:right w:val="none" w:sz="0" w:space="0" w:color="auto"/>
      </w:divBdr>
    </w:div>
    <w:div w:id="1387487526">
      <w:bodyDiv w:val="1"/>
      <w:marLeft w:val="0"/>
      <w:marRight w:val="0"/>
      <w:marTop w:val="0"/>
      <w:marBottom w:val="0"/>
      <w:divBdr>
        <w:top w:val="none" w:sz="0" w:space="0" w:color="auto"/>
        <w:left w:val="none" w:sz="0" w:space="0" w:color="auto"/>
        <w:bottom w:val="none" w:sz="0" w:space="0" w:color="auto"/>
        <w:right w:val="none" w:sz="0" w:space="0" w:color="auto"/>
      </w:divBdr>
    </w:div>
    <w:div w:id="1387488395">
      <w:bodyDiv w:val="1"/>
      <w:marLeft w:val="0"/>
      <w:marRight w:val="0"/>
      <w:marTop w:val="0"/>
      <w:marBottom w:val="0"/>
      <w:divBdr>
        <w:top w:val="none" w:sz="0" w:space="0" w:color="auto"/>
        <w:left w:val="none" w:sz="0" w:space="0" w:color="auto"/>
        <w:bottom w:val="none" w:sz="0" w:space="0" w:color="auto"/>
        <w:right w:val="none" w:sz="0" w:space="0" w:color="auto"/>
      </w:divBdr>
    </w:div>
    <w:div w:id="1387601330">
      <w:bodyDiv w:val="1"/>
      <w:marLeft w:val="0"/>
      <w:marRight w:val="0"/>
      <w:marTop w:val="0"/>
      <w:marBottom w:val="0"/>
      <w:divBdr>
        <w:top w:val="none" w:sz="0" w:space="0" w:color="auto"/>
        <w:left w:val="none" w:sz="0" w:space="0" w:color="auto"/>
        <w:bottom w:val="none" w:sz="0" w:space="0" w:color="auto"/>
        <w:right w:val="none" w:sz="0" w:space="0" w:color="auto"/>
      </w:divBdr>
    </w:div>
    <w:div w:id="1387681452">
      <w:bodyDiv w:val="1"/>
      <w:marLeft w:val="0"/>
      <w:marRight w:val="0"/>
      <w:marTop w:val="0"/>
      <w:marBottom w:val="0"/>
      <w:divBdr>
        <w:top w:val="none" w:sz="0" w:space="0" w:color="auto"/>
        <w:left w:val="none" w:sz="0" w:space="0" w:color="auto"/>
        <w:bottom w:val="none" w:sz="0" w:space="0" w:color="auto"/>
        <w:right w:val="none" w:sz="0" w:space="0" w:color="auto"/>
      </w:divBdr>
    </w:div>
    <w:div w:id="1387685175">
      <w:bodyDiv w:val="1"/>
      <w:marLeft w:val="0"/>
      <w:marRight w:val="0"/>
      <w:marTop w:val="0"/>
      <w:marBottom w:val="0"/>
      <w:divBdr>
        <w:top w:val="none" w:sz="0" w:space="0" w:color="auto"/>
        <w:left w:val="none" w:sz="0" w:space="0" w:color="auto"/>
        <w:bottom w:val="none" w:sz="0" w:space="0" w:color="auto"/>
        <w:right w:val="none" w:sz="0" w:space="0" w:color="auto"/>
      </w:divBdr>
    </w:div>
    <w:div w:id="1387755737">
      <w:bodyDiv w:val="1"/>
      <w:marLeft w:val="0"/>
      <w:marRight w:val="0"/>
      <w:marTop w:val="0"/>
      <w:marBottom w:val="0"/>
      <w:divBdr>
        <w:top w:val="none" w:sz="0" w:space="0" w:color="auto"/>
        <w:left w:val="none" w:sz="0" w:space="0" w:color="auto"/>
        <w:bottom w:val="none" w:sz="0" w:space="0" w:color="auto"/>
        <w:right w:val="none" w:sz="0" w:space="0" w:color="auto"/>
      </w:divBdr>
    </w:div>
    <w:div w:id="1387756955">
      <w:bodyDiv w:val="1"/>
      <w:marLeft w:val="0"/>
      <w:marRight w:val="0"/>
      <w:marTop w:val="0"/>
      <w:marBottom w:val="0"/>
      <w:divBdr>
        <w:top w:val="none" w:sz="0" w:space="0" w:color="auto"/>
        <w:left w:val="none" w:sz="0" w:space="0" w:color="auto"/>
        <w:bottom w:val="none" w:sz="0" w:space="0" w:color="auto"/>
        <w:right w:val="none" w:sz="0" w:space="0" w:color="auto"/>
      </w:divBdr>
    </w:div>
    <w:div w:id="1387989134">
      <w:bodyDiv w:val="1"/>
      <w:marLeft w:val="0"/>
      <w:marRight w:val="0"/>
      <w:marTop w:val="0"/>
      <w:marBottom w:val="0"/>
      <w:divBdr>
        <w:top w:val="none" w:sz="0" w:space="0" w:color="auto"/>
        <w:left w:val="none" w:sz="0" w:space="0" w:color="auto"/>
        <w:bottom w:val="none" w:sz="0" w:space="0" w:color="auto"/>
        <w:right w:val="none" w:sz="0" w:space="0" w:color="auto"/>
      </w:divBdr>
    </w:div>
    <w:div w:id="1388065434">
      <w:bodyDiv w:val="1"/>
      <w:marLeft w:val="0"/>
      <w:marRight w:val="0"/>
      <w:marTop w:val="0"/>
      <w:marBottom w:val="0"/>
      <w:divBdr>
        <w:top w:val="none" w:sz="0" w:space="0" w:color="auto"/>
        <w:left w:val="none" w:sz="0" w:space="0" w:color="auto"/>
        <w:bottom w:val="none" w:sz="0" w:space="0" w:color="auto"/>
        <w:right w:val="none" w:sz="0" w:space="0" w:color="auto"/>
      </w:divBdr>
    </w:div>
    <w:div w:id="1388382942">
      <w:bodyDiv w:val="1"/>
      <w:marLeft w:val="0"/>
      <w:marRight w:val="0"/>
      <w:marTop w:val="0"/>
      <w:marBottom w:val="0"/>
      <w:divBdr>
        <w:top w:val="none" w:sz="0" w:space="0" w:color="auto"/>
        <w:left w:val="none" w:sz="0" w:space="0" w:color="auto"/>
        <w:bottom w:val="none" w:sz="0" w:space="0" w:color="auto"/>
        <w:right w:val="none" w:sz="0" w:space="0" w:color="auto"/>
      </w:divBdr>
    </w:div>
    <w:div w:id="1388383781">
      <w:bodyDiv w:val="1"/>
      <w:marLeft w:val="0"/>
      <w:marRight w:val="0"/>
      <w:marTop w:val="0"/>
      <w:marBottom w:val="0"/>
      <w:divBdr>
        <w:top w:val="none" w:sz="0" w:space="0" w:color="auto"/>
        <w:left w:val="none" w:sz="0" w:space="0" w:color="auto"/>
        <w:bottom w:val="none" w:sz="0" w:space="0" w:color="auto"/>
        <w:right w:val="none" w:sz="0" w:space="0" w:color="auto"/>
      </w:divBdr>
    </w:div>
    <w:div w:id="1388457411">
      <w:bodyDiv w:val="1"/>
      <w:marLeft w:val="0"/>
      <w:marRight w:val="0"/>
      <w:marTop w:val="0"/>
      <w:marBottom w:val="0"/>
      <w:divBdr>
        <w:top w:val="none" w:sz="0" w:space="0" w:color="auto"/>
        <w:left w:val="none" w:sz="0" w:space="0" w:color="auto"/>
        <w:bottom w:val="none" w:sz="0" w:space="0" w:color="auto"/>
        <w:right w:val="none" w:sz="0" w:space="0" w:color="auto"/>
      </w:divBdr>
    </w:div>
    <w:div w:id="1388458486">
      <w:bodyDiv w:val="1"/>
      <w:marLeft w:val="0"/>
      <w:marRight w:val="0"/>
      <w:marTop w:val="0"/>
      <w:marBottom w:val="0"/>
      <w:divBdr>
        <w:top w:val="none" w:sz="0" w:space="0" w:color="auto"/>
        <w:left w:val="none" w:sz="0" w:space="0" w:color="auto"/>
        <w:bottom w:val="none" w:sz="0" w:space="0" w:color="auto"/>
        <w:right w:val="none" w:sz="0" w:space="0" w:color="auto"/>
      </w:divBdr>
    </w:div>
    <w:div w:id="1388527481">
      <w:bodyDiv w:val="1"/>
      <w:marLeft w:val="0"/>
      <w:marRight w:val="0"/>
      <w:marTop w:val="0"/>
      <w:marBottom w:val="0"/>
      <w:divBdr>
        <w:top w:val="none" w:sz="0" w:space="0" w:color="auto"/>
        <w:left w:val="none" w:sz="0" w:space="0" w:color="auto"/>
        <w:bottom w:val="none" w:sz="0" w:space="0" w:color="auto"/>
        <w:right w:val="none" w:sz="0" w:space="0" w:color="auto"/>
      </w:divBdr>
    </w:div>
    <w:div w:id="1388600594">
      <w:bodyDiv w:val="1"/>
      <w:marLeft w:val="0"/>
      <w:marRight w:val="0"/>
      <w:marTop w:val="0"/>
      <w:marBottom w:val="0"/>
      <w:divBdr>
        <w:top w:val="none" w:sz="0" w:space="0" w:color="auto"/>
        <w:left w:val="none" w:sz="0" w:space="0" w:color="auto"/>
        <w:bottom w:val="none" w:sz="0" w:space="0" w:color="auto"/>
        <w:right w:val="none" w:sz="0" w:space="0" w:color="auto"/>
      </w:divBdr>
    </w:div>
    <w:div w:id="1388604181">
      <w:bodyDiv w:val="1"/>
      <w:marLeft w:val="0"/>
      <w:marRight w:val="0"/>
      <w:marTop w:val="0"/>
      <w:marBottom w:val="0"/>
      <w:divBdr>
        <w:top w:val="none" w:sz="0" w:space="0" w:color="auto"/>
        <w:left w:val="none" w:sz="0" w:space="0" w:color="auto"/>
        <w:bottom w:val="none" w:sz="0" w:space="0" w:color="auto"/>
        <w:right w:val="none" w:sz="0" w:space="0" w:color="auto"/>
      </w:divBdr>
    </w:div>
    <w:div w:id="1388649038">
      <w:bodyDiv w:val="1"/>
      <w:marLeft w:val="0"/>
      <w:marRight w:val="0"/>
      <w:marTop w:val="0"/>
      <w:marBottom w:val="0"/>
      <w:divBdr>
        <w:top w:val="none" w:sz="0" w:space="0" w:color="auto"/>
        <w:left w:val="none" w:sz="0" w:space="0" w:color="auto"/>
        <w:bottom w:val="none" w:sz="0" w:space="0" w:color="auto"/>
        <w:right w:val="none" w:sz="0" w:space="0" w:color="auto"/>
      </w:divBdr>
    </w:div>
    <w:div w:id="1388649699">
      <w:bodyDiv w:val="1"/>
      <w:marLeft w:val="0"/>
      <w:marRight w:val="0"/>
      <w:marTop w:val="0"/>
      <w:marBottom w:val="0"/>
      <w:divBdr>
        <w:top w:val="none" w:sz="0" w:space="0" w:color="auto"/>
        <w:left w:val="none" w:sz="0" w:space="0" w:color="auto"/>
        <w:bottom w:val="none" w:sz="0" w:space="0" w:color="auto"/>
        <w:right w:val="none" w:sz="0" w:space="0" w:color="auto"/>
      </w:divBdr>
    </w:div>
    <w:div w:id="1388795436">
      <w:bodyDiv w:val="1"/>
      <w:marLeft w:val="0"/>
      <w:marRight w:val="0"/>
      <w:marTop w:val="0"/>
      <w:marBottom w:val="0"/>
      <w:divBdr>
        <w:top w:val="none" w:sz="0" w:space="0" w:color="auto"/>
        <w:left w:val="none" w:sz="0" w:space="0" w:color="auto"/>
        <w:bottom w:val="none" w:sz="0" w:space="0" w:color="auto"/>
        <w:right w:val="none" w:sz="0" w:space="0" w:color="auto"/>
      </w:divBdr>
    </w:div>
    <w:div w:id="1388802489">
      <w:bodyDiv w:val="1"/>
      <w:marLeft w:val="0"/>
      <w:marRight w:val="0"/>
      <w:marTop w:val="0"/>
      <w:marBottom w:val="0"/>
      <w:divBdr>
        <w:top w:val="none" w:sz="0" w:space="0" w:color="auto"/>
        <w:left w:val="none" w:sz="0" w:space="0" w:color="auto"/>
        <w:bottom w:val="none" w:sz="0" w:space="0" w:color="auto"/>
        <w:right w:val="none" w:sz="0" w:space="0" w:color="auto"/>
      </w:divBdr>
    </w:div>
    <w:div w:id="1388802757">
      <w:bodyDiv w:val="1"/>
      <w:marLeft w:val="0"/>
      <w:marRight w:val="0"/>
      <w:marTop w:val="0"/>
      <w:marBottom w:val="0"/>
      <w:divBdr>
        <w:top w:val="none" w:sz="0" w:space="0" w:color="auto"/>
        <w:left w:val="none" w:sz="0" w:space="0" w:color="auto"/>
        <w:bottom w:val="none" w:sz="0" w:space="0" w:color="auto"/>
        <w:right w:val="none" w:sz="0" w:space="0" w:color="auto"/>
      </w:divBdr>
    </w:div>
    <w:div w:id="1389066554">
      <w:bodyDiv w:val="1"/>
      <w:marLeft w:val="0"/>
      <w:marRight w:val="0"/>
      <w:marTop w:val="0"/>
      <w:marBottom w:val="0"/>
      <w:divBdr>
        <w:top w:val="none" w:sz="0" w:space="0" w:color="auto"/>
        <w:left w:val="none" w:sz="0" w:space="0" w:color="auto"/>
        <w:bottom w:val="none" w:sz="0" w:space="0" w:color="auto"/>
        <w:right w:val="none" w:sz="0" w:space="0" w:color="auto"/>
      </w:divBdr>
    </w:div>
    <w:div w:id="1389181040">
      <w:bodyDiv w:val="1"/>
      <w:marLeft w:val="0"/>
      <w:marRight w:val="0"/>
      <w:marTop w:val="0"/>
      <w:marBottom w:val="0"/>
      <w:divBdr>
        <w:top w:val="none" w:sz="0" w:space="0" w:color="auto"/>
        <w:left w:val="none" w:sz="0" w:space="0" w:color="auto"/>
        <w:bottom w:val="none" w:sz="0" w:space="0" w:color="auto"/>
        <w:right w:val="none" w:sz="0" w:space="0" w:color="auto"/>
      </w:divBdr>
    </w:div>
    <w:div w:id="1389187161">
      <w:bodyDiv w:val="1"/>
      <w:marLeft w:val="0"/>
      <w:marRight w:val="0"/>
      <w:marTop w:val="0"/>
      <w:marBottom w:val="0"/>
      <w:divBdr>
        <w:top w:val="none" w:sz="0" w:space="0" w:color="auto"/>
        <w:left w:val="none" w:sz="0" w:space="0" w:color="auto"/>
        <w:bottom w:val="none" w:sz="0" w:space="0" w:color="auto"/>
        <w:right w:val="none" w:sz="0" w:space="0" w:color="auto"/>
      </w:divBdr>
    </w:div>
    <w:div w:id="1389187239">
      <w:bodyDiv w:val="1"/>
      <w:marLeft w:val="0"/>
      <w:marRight w:val="0"/>
      <w:marTop w:val="0"/>
      <w:marBottom w:val="0"/>
      <w:divBdr>
        <w:top w:val="none" w:sz="0" w:space="0" w:color="auto"/>
        <w:left w:val="none" w:sz="0" w:space="0" w:color="auto"/>
        <w:bottom w:val="none" w:sz="0" w:space="0" w:color="auto"/>
        <w:right w:val="none" w:sz="0" w:space="0" w:color="auto"/>
      </w:divBdr>
    </w:div>
    <w:div w:id="1389256854">
      <w:bodyDiv w:val="1"/>
      <w:marLeft w:val="0"/>
      <w:marRight w:val="0"/>
      <w:marTop w:val="0"/>
      <w:marBottom w:val="0"/>
      <w:divBdr>
        <w:top w:val="none" w:sz="0" w:space="0" w:color="auto"/>
        <w:left w:val="none" w:sz="0" w:space="0" w:color="auto"/>
        <w:bottom w:val="none" w:sz="0" w:space="0" w:color="auto"/>
        <w:right w:val="none" w:sz="0" w:space="0" w:color="auto"/>
      </w:divBdr>
    </w:div>
    <w:div w:id="1389301375">
      <w:bodyDiv w:val="1"/>
      <w:marLeft w:val="0"/>
      <w:marRight w:val="0"/>
      <w:marTop w:val="0"/>
      <w:marBottom w:val="0"/>
      <w:divBdr>
        <w:top w:val="none" w:sz="0" w:space="0" w:color="auto"/>
        <w:left w:val="none" w:sz="0" w:space="0" w:color="auto"/>
        <w:bottom w:val="none" w:sz="0" w:space="0" w:color="auto"/>
        <w:right w:val="none" w:sz="0" w:space="0" w:color="auto"/>
      </w:divBdr>
    </w:div>
    <w:div w:id="1389306488">
      <w:bodyDiv w:val="1"/>
      <w:marLeft w:val="0"/>
      <w:marRight w:val="0"/>
      <w:marTop w:val="0"/>
      <w:marBottom w:val="0"/>
      <w:divBdr>
        <w:top w:val="none" w:sz="0" w:space="0" w:color="auto"/>
        <w:left w:val="none" w:sz="0" w:space="0" w:color="auto"/>
        <w:bottom w:val="none" w:sz="0" w:space="0" w:color="auto"/>
        <w:right w:val="none" w:sz="0" w:space="0" w:color="auto"/>
      </w:divBdr>
    </w:div>
    <w:div w:id="1389381752">
      <w:bodyDiv w:val="1"/>
      <w:marLeft w:val="0"/>
      <w:marRight w:val="0"/>
      <w:marTop w:val="0"/>
      <w:marBottom w:val="0"/>
      <w:divBdr>
        <w:top w:val="none" w:sz="0" w:space="0" w:color="auto"/>
        <w:left w:val="none" w:sz="0" w:space="0" w:color="auto"/>
        <w:bottom w:val="none" w:sz="0" w:space="0" w:color="auto"/>
        <w:right w:val="none" w:sz="0" w:space="0" w:color="auto"/>
      </w:divBdr>
    </w:div>
    <w:div w:id="1389457110">
      <w:bodyDiv w:val="1"/>
      <w:marLeft w:val="0"/>
      <w:marRight w:val="0"/>
      <w:marTop w:val="0"/>
      <w:marBottom w:val="0"/>
      <w:divBdr>
        <w:top w:val="none" w:sz="0" w:space="0" w:color="auto"/>
        <w:left w:val="none" w:sz="0" w:space="0" w:color="auto"/>
        <w:bottom w:val="none" w:sz="0" w:space="0" w:color="auto"/>
        <w:right w:val="none" w:sz="0" w:space="0" w:color="auto"/>
      </w:divBdr>
    </w:div>
    <w:div w:id="1389501477">
      <w:bodyDiv w:val="1"/>
      <w:marLeft w:val="0"/>
      <w:marRight w:val="0"/>
      <w:marTop w:val="0"/>
      <w:marBottom w:val="0"/>
      <w:divBdr>
        <w:top w:val="none" w:sz="0" w:space="0" w:color="auto"/>
        <w:left w:val="none" w:sz="0" w:space="0" w:color="auto"/>
        <w:bottom w:val="none" w:sz="0" w:space="0" w:color="auto"/>
        <w:right w:val="none" w:sz="0" w:space="0" w:color="auto"/>
      </w:divBdr>
    </w:div>
    <w:div w:id="1389567765">
      <w:bodyDiv w:val="1"/>
      <w:marLeft w:val="0"/>
      <w:marRight w:val="0"/>
      <w:marTop w:val="0"/>
      <w:marBottom w:val="0"/>
      <w:divBdr>
        <w:top w:val="none" w:sz="0" w:space="0" w:color="auto"/>
        <w:left w:val="none" w:sz="0" w:space="0" w:color="auto"/>
        <w:bottom w:val="none" w:sz="0" w:space="0" w:color="auto"/>
        <w:right w:val="none" w:sz="0" w:space="0" w:color="auto"/>
      </w:divBdr>
    </w:div>
    <w:div w:id="1389574217">
      <w:bodyDiv w:val="1"/>
      <w:marLeft w:val="0"/>
      <w:marRight w:val="0"/>
      <w:marTop w:val="0"/>
      <w:marBottom w:val="0"/>
      <w:divBdr>
        <w:top w:val="none" w:sz="0" w:space="0" w:color="auto"/>
        <w:left w:val="none" w:sz="0" w:space="0" w:color="auto"/>
        <w:bottom w:val="none" w:sz="0" w:space="0" w:color="auto"/>
        <w:right w:val="none" w:sz="0" w:space="0" w:color="auto"/>
      </w:divBdr>
    </w:div>
    <w:div w:id="1389643184">
      <w:bodyDiv w:val="1"/>
      <w:marLeft w:val="0"/>
      <w:marRight w:val="0"/>
      <w:marTop w:val="0"/>
      <w:marBottom w:val="0"/>
      <w:divBdr>
        <w:top w:val="none" w:sz="0" w:space="0" w:color="auto"/>
        <w:left w:val="none" w:sz="0" w:space="0" w:color="auto"/>
        <w:bottom w:val="none" w:sz="0" w:space="0" w:color="auto"/>
        <w:right w:val="none" w:sz="0" w:space="0" w:color="auto"/>
      </w:divBdr>
    </w:div>
    <w:div w:id="1389836309">
      <w:bodyDiv w:val="1"/>
      <w:marLeft w:val="0"/>
      <w:marRight w:val="0"/>
      <w:marTop w:val="0"/>
      <w:marBottom w:val="0"/>
      <w:divBdr>
        <w:top w:val="none" w:sz="0" w:space="0" w:color="auto"/>
        <w:left w:val="none" w:sz="0" w:space="0" w:color="auto"/>
        <w:bottom w:val="none" w:sz="0" w:space="0" w:color="auto"/>
        <w:right w:val="none" w:sz="0" w:space="0" w:color="auto"/>
      </w:divBdr>
    </w:div>
    <w:div w:id="1389911670">
      <w:bodyDiv w:val="1"/>
      <w:marLeft w:val="0"/>
      <w:marRight w:val="0"/>
      <w:marTop w:val="0"/>
      <w:marBottom w:val="0"/>
      <w:divBdr>
        <w:top w:val="none" w:sz="0" w:space="0" w:color="auto"/>
        <w:left w:val="none" w:sz="0" w:space="0" w:color="auto"/>
        <w:bottom w:val="none" w:sz="0" w:space="0" w:color="auto"/>
        <w:right w:val="none" w:sz="0" w:space="0" w:color="auto"/>
      </w:divBdr>
    </w:div>
    <w:div w:id="1389915626">
      <w:bodyDiv w:val="1"/>
      <w:marLeft w:val="0"/>
      <w:marRight w:val="0"/>
      <w:marTop w:val="0"/>
      <w:marBottom w:val="0"/>
      <w:divBdr>
        <w:top w:val="none" w:sz="0" w:space="0" w:color="auto"/>
        <w:left w:val="none" w:sz="0" w:space="0" w:color="auto"/>
        <w:bottom w:val="none" w:sz="0" w:space="0" w:color="auto"/>
        <w:right w:val="none" w:sz="0" w:space="0" w:color="auto"/>
      </w:divBdr>
    </w:div>
    <w:div w:id="1389957826">
      <w:bodyDiv w:val="1"/>
      <w:marLeft w:val="0"/>
      <w:marRight w:val="0"/>
      <w:marTop w:val="0"/>
      <w:marBottom w:val="0"/>
      <w:divBdr>
        <w:top w:val="none" w:sz="0" w:space="0" w:color="auto"/>
        <w:left w:val="none" w:sz="0" w:space="0" w:color="auto"/>
        <w:bottom w:val="none" w:sz="0" w:space="0" w:color="auto"/>
        <w:right w:val="none" w:sz="0" w:space="0" w:color="auto"/>
      </w:divBdr>
    </w:div>
    <w:div w:id="1390109434">
      <w:bodyDiv w:val="1"/>
      <w:marLeft w:val="0"/>
      <w:marRight w:val="0"/>
      <w:marTop w:val="0"/>
      <w:marBottom w:val="0"/>
      <w:divBdr>
        <w:top w:val="none" w:sz="0" w:space="0" w:color="auto"/>
        <w:left w:val="none" w:sz="0" w:space="0" w:color="auto"/>
        <w:bottom w:val="none" w:sz="0" w:space="0" w:color="auto"/>
        <w:right w:val="none" w:sz="0" w:space="0" w:color="auto"/>
      </w:divBdr>
    </w:div>
    <w:div w:id="1390179967">
      <w:bodyDiv w:val="1"/>
      <w:marLeft w:val="0"/>
      <w:marRight w:val="0"/>
      <w:marTop w:val="0"/>
      <w:marBottom w:val="0"/>
      <w:divBdr>
        <w:top w:val="none" w:sz="0" w:space="0" w:color="auto"/>
        <w:left w:val="none" w:sz="0" w:space="0" w:color="auto"/>
        <w:bottom w:val="none" w:sz="0" w:space="0" w:color="auto"/>
        <w:right w:val="none" w:sz="0" w:space="0" w:color="auto"/>
      </w:divBdr>
    </w:div>
    <w:div w:id="1390223400">
      <w:bodyDiv w:val="1"/>
      <w:marLeft w:val="0"/>
      <w:marRight w:val="0"/>
      <w:marTop w:val="0"/>
      <w:marBottom w:val="0"/>
      <w:divBdr>
        <w:top w:val="none" w:sz="0" w:space="0" w:color="auto"/>
        <w:left w:val="none" w:sz="0" w:space="0" w:color="auto"/>
        <w:bottom w:val="none" w:sz="0" w:space="0" w:color="auto"/>
        <w:right w:val="none" w:sz="0" w:space="0" w:color="auto"/>
      </w:divBdr>
    </w:div>
    <w:div w:id="1390227126">
      <w:bodyDiv w:val="1"/>
      <w:marLeft w:val="0"/>
      <w:marRight w:val="0"/>
      <w:marTop w:val="0"/>
      <w:marBottom w:val="0"/>
      <w:divBdr>
        <w:top w:val="none" w:sz="0" w:space="0" w:color="auto"/>
        <w:left w:val="none" w:sz="0" w:space="0" w:color="auto"/>
        <w:bottom w:val="none" w:sz="0" w:space="0" w:color="auto"/>
        <w:right w:val="none" w:sz="0" w:space="0" w:color="auto"/>
      </w:divBdr>
    </w:div>
    <w:div w:id="1390230955">
      <w:bodyDiv w:val="1"/>
      <w:marLeft w:val="0"/>
      <w:marRight w:val="0"/>
      <w:marTop w:val="0"/>
      <w:marBottom w:val="0"/>
      <w:divBdr>
        <w:top w:val="none" w:sz="0" w:space="0" w:color="auto"/>
        <w:left w:val="none" w:sz="0" w:space="0" w:color="auto"/>
        <w:bottom w:val="none" w:sz="0" w:space="0" w:color="auto"/>
        <w:right w:val="none" w:sz="0" w:space="0" w:color="auto"/>
      </w:divBdr>
    </w:div>
    <w:div w:id="1390299641">
      <w:bodyDiv w:val="1"/>
      <w:marLeft w:val="0"/>
      <w:marRight w:val="0"/>
      <w:marTop w:val="0"/>
      <w:marBottom w:val="0"/>
      <w:divBdr>
        <w:top w:val="none" w:sz="0" w:space="0" w:color="auto"/>
        <w:left w:val="none" w:sz="0" w:space="0" w:color="auto"/>
        <w:bottom w:val="none" w:sz="0" w:space="0" w:color="auto"/>
        <w:right w:val="none" w:sz="0" w:space="0" w:color="auto"/>
      </w:divBdr>
    </w:div>
    <w:div w:id="1390299837">
      <w:bodyDiv w:val="1"/>
      <w:marLeft w:val="0"/>
      <w:marRight w:val="0"/>
      <w:marTop w:val="0"/>
      <w:marBottom w:val="0"/>
      <w:divBdr>
        <w:top w:val="none" w:sz="0" w:space="0" w:color="auto"/>
        <w:left w:val="none" w:sz="0" w:space="0" w:color="auto"/>
        <w:bottom w:val="none" w:sz="0" w:space="0" w:color="auto"/>
        <w:right w:val="none" w:sz="0" w:space="0" w:color="auto"/>
      </w:divBdr>
    </w:div>
    <w:div w:id="1390374647">
      <w:bodyDiv w:val="1"/>
      <w:marLeft w:val="0"/>
      <w:marRight w:val="0"/>
      <w:marTop w:val="0"/>
      <w:marBottom w:val="0"/>
      <w:divBdr>
        <w:top w:val="none" w:sz="0" w:space="0" w:color="auto"/>
        <w:left w:val="none" w:sz="0" w:space="0" w:color="auto"/>
        <w:bottom w:val="none" w:sz="0" w:space="0" w:color="auto"/>
        <w:right w:val="none" w:sz="0" w:space="0" w:color="auto"/>
      </w:divBdr>
    </w:div>
    <w:div w:id="1390375662">
      <w:bodyDiv w:val="1"/>
      <w:marLeft w:val="0"/>
      <w:marRight w:val="0"/>
      <w:marTop w:val="0"/>
      <w:marBottom w:val="0"/>
      <w:divBdr>
        <w:top w:val="none" w:sz="0" w:space="0" w:color="auto"/>
        <w:left w:val="none" w:sz="0" w:space="0" w:color="auto"/>
        <w:bottom w:val="none" w:sz="0" w:space="0" w:color="auto"/>
        <w:right w:val="none" w:sz="0" w:space="0" w:color="auto"/>
      </w:divBdr>
    </w:div>
    <w:div w:id="1390420265">
      <w:bodyDiv w:val="1"/>
      <w:marLeft w:val="0"/>
      <w:marRight w:val="0"/>
      <w:marTop w:val="0"/>
      <w:marBottom w:val="0"/>
      <w:divBdr>
        <w:top w:val="none" w:sz="0" w:space="0" w:color="auto"/>
        <w:left w:val="none" w:sz="0" w:space="0" w:color="auto"/>
        <w:bottom w:val="none" w:sz="0" w:space="0" w:color="auto"/>
        <w:right w:val="none" w:sz="0" w:space="0" w:color="auto"/>
      </w:divBdr>
    </w:div>
    <w:div w:id="1390616322">
      <w:bodyDiv w:val="1"/>
      <w:marLeft w:val="0"/>
      <w:marRight w:val="0"/>
      <w:marTop w:val="0"/>
      <w:marBottom w:val="0"/>
      <w:divBdr>
        <w:top w:val="none" w:sz="0" w:space="0" w:color="auto"/>
        <w:left w:val="none" w:sz="0" w:space="0" w:color="auto"/>
        <w:bottom w:val="none" w:sz="0" w:space="0" w:color="auto"/>
        <w:right w:val="none" w:sz="0" w:space="0" w:color="auto"/>
      </w:divBdr>
    </w:div>
    <w:div w:id="1390835075">
      <w:bodyDiv w:val="1"/>
      <w:marLeft w:val="0"/>
      <w:marRight w:val="0"/>
      <w:marTop w:val="0"/>
      <w:marBottom w:val="0"/>
      <w:divBdr>
        <w:top w:val="none" w:sz="0" w:space="0" w:color="auto"/>
        <w:left w:val="none" w:sz="0" w:space="0" w:color="auto"/>
        <w:bottom w:val="none" w:sz="0" w:space="0" w:color="auto"/>
        <w:right w:val="none" w:sz="0" w:space="0" w:color="auto"/>
      </w:divBdr>
    </w:div>
    <w:div w:id="1390835773">
      <w:bodyDiv w:val="1"/>
      <w:marLeft w:val="0"/>
      <w:marRight w:val="0"/>
      <w:marTop w:val="0"/>
      <w:marBottom w:val="0"/>
      <w:divBdr>
        <w:top w:val="none" w:sz="0" w:space="0" w:color="auto"/>
        <w:left w:val="none" w:sz="0" w:space="0" w:color="auto"/>
        <w:bottom w:val="none" w:sz="0" w:space="0" w:color="auto"/>
        <w:right w:val="none" w:sz="0" w:space="0" w:color="auto"/>
      </w:divBdr>
    </w:div>
    <w:div w:id="1390881872">
      <w:bodyDiv w:val="1"/>
      <w:marLeft w:val="0"/>
      <w:marRight w:val="0"/>
      <w:marTop w:val="0"/>
      <w:marBottom w:val="0"/>
      <w:divBdr>
        <w:top w:val="none" w:sz="0" w:space="0" w:color="auto"/>
        <w:left w:val="none" w:sz="0" w:space="0" w:color="auto"/>
        <w:bottom w:val="none" w:sz="0" w:space="0" w:color="auto"/>
        <w:right w:val="none" w:sz="0" w:space="0" w:color="auto"/>
      </w:divBdr>
    </w:div>
    <w:div w:id="1390956044">
      <w:bodyDiv w:val="1"/>
      <w:marLeft w:val="0"/>
      <w:marRight w:val="0"/>
      <w:marTop w:val="0"/>
      <w:marBottom w:val="0"/>
      <w:divBdr>
        <w:top w:val="none" w:sz="0" w:space="0" w:color="auto"/>
        <w:left w:val="none" w:sz="0" w:space="0" w:color="auto"/>
        <w:bottom w:val="none" w:sz="0" w:space="0" w:color="auto"/>
        <w:right w:val="none" w:sz="0" w:space="0" w:color="auto"/>
      </w:divBdr>
    </w:div>
    <w:div w:id="1391072322">
      <w:bodyDiv w:val="1"/>
      <w:marLeft w:val="0"/>
      <w:marRight w:val="0"/>
      <w:marTop w:val="0"/>
      <w:marBottom w:val="0"/>
      <w:divBdr>
        <w:top w:val="none" w:sz="0" w:space="0" w:color="auto"/>
        <w:left w:val="none" w:sz="0" w:space="0" w:color="auto"/>
        <w:bottom w:val="none" w:sz="0" w:space="0" w:color="auto"/>
        <w:right w:val="none" w:sz="0" w:space="0" w:color="auto"/>
      </w:divBdr>
    </w:div>
    <w:div w:id="1391074767">
      <w:bodyDiv w:val="1"/>
      <w:marLeft w:val="0"/>
      <w:marRight w:val="0"/>
      <w:marTop w:val="0"/>
      <w:marBottom w:val="0"/>
      <w:divBdr>
        <w:top w:val="none" w:sz="0" w:space="0" w:color="auto"/>
        <w:left w:val="none" w:sz="0" w:space="0" w:color="auto"/>
        <w:bottom w:val="none" w:sz="0" w:space="0" w:color="auto"/>
        <w:right w:val="none" w:sz="0" w:space="0" w:color="auto"/>
      </w:divBdr>
    </w:div>
    <w:div w:id="1391078524">
      <w:bodyDiv w:val="1"/>
      <w:marLeft w:val="0"/>
      <w:marRight w:val="0"/>
      <w:marTop w:val="0"/>
      <w:marBottom w:val="0"/>
      <w:divBdr>
        <w:top w:val="none" w:sz="0" w:space="0" w:color="auto"/>
        <w:left w:val="none" w:sz="0" w:space="0" w:color="auto"/>
        <w:bottom w:val="none" w:sz="0" w:space="0" w:color="auto"/>
        <w:right w:val="none" w:sz="0" w:space="0" w:color="auto"/>
      </w:divBdr>
    </w:div>
    <w:div w:id="1391155893">
      <w:bodyDiv w:val="1"/>
      <w:marLeft w:val="0"/>
      <w:marRight w:val="0"/>
      <w:marTop w:val="0"/>
      <w:marBottom w:val="0"/>
      <w:divBdr>
        <w:top w:val="none" w:sz="0" w:space="0" w:color="auto"/>
        <w:left w:val="none" w:sz="0" w:space="0" w:color="auto"/>
        <w:bottom w:val="none" w:sz="0" w:space="0" w:color="auto"/>
        <w:right w:val="none" w:sz="0" w:space="0" w:color="auto"/>
      </w:divBdr>
    </w:div>
    <w:div w:id="1391155915">
      <w:bodyDiv w:val="1"/>
      <w:marLeft w:val="0"/>
      <w:marRight w:val="0"/>
      <w:marTop w:val="0"/>
      <w:marBottom w:val="0"/>
      <w:divBdr>
        <w:top w:val="none" w:sz="0" w:space="0" w:color="auto"/>
        <w:left w:val="none" w:sz="0" w:space="0" w:color="auto"/>
        <w:bottom w:val="none" w:sz="0" w:space="0" w:color="auto"/>
        <w:right w:val="none" w:sz="0" w:space="0" w:color="auto"/>
      </w:divBdr>
    </w:div>
    <w:div w:id="1391230841">
      <w:bodyDiv w:val="1"/>
      <w:marLeft w:val="0"/>
      <w:marRight w:val="0"/>
      <w:marTop w:val="0"/>
      <w:marBottom w:val="0"/>
      <w:divBdr>
        <w:top w:val="none" w:sz="0" w:space="0" w:color="auto"/>
        <w:left w:val="none" w:sz="0" w:space="0" w:color="auto"/>
        <w:bottom w:val="none" w:sz="0" w:space="0" w:color="auto"/>
        <w:right w:val="none" w:sz="0" w:space="0" w:color="auto"/>
      </w:divBdr>
    </w:div>
    <w:div w:id="1391415677">
      <w:bodyDiv w:val="1"/>
      <w:marLeft w:val="0"/>
      <w:marRight w:val="0"/>
      <w:marTop w:val="0"/>
      <w:marBottom w:val="0"/>
      <w:divBdr>
        <w:top w:val="none" w:sz="0" w:space="0" w:color="auto"/>
        <w:left w:val="none" w:sz="0" w:space="0" w:color="auto"/>
        <w:bottom w:val="none" w:sz="0" w:space="0" w:color="auto"/>
        <w:right w:val="none" w:sz="0" w:space="0" w:color="auto"/>
      </w:divBdr>
    </w:div>
    <w:div w:id="1391419772">
      <w:bodyDiv w:val="1"/>
      <w:marLeft w:val="0"/>
      <w:marRight w:val="0"/>
      <w:marTop w:val="0"/>
      <w:marBottom w:val="0"/>
      <w:divBdr>
        <w:top w:val="none" w:sz="0" w:space="0" w:color="auto"/>
        <w:left w:val="none" w:sz="0" w:space="0" w:color="auto"/>
        <w:bottom w:val="none" w:sz="0" w:space="0" w:color="auto"/>
        <w:right w:val="none" w:sz="0" w:space="0" w:color="auto"/>
      </w:divBdr>
    </w:div>
    <w:div w:id="1391462499">
      <w:bodyDiv w:val="1"/>
      <w:marLeft w:val="0"/>
      <w:marRight w:val="0"/>
      <w:marTop w:val="0"/>
      <w:marBottom w:val="0"/>
      <w:divBdr>
        <w:top w:val="none" w:sz="0" w:space="0" w:color="auto"/>
        <w:left w:val="none" w:sz="0" w:space="0" w:color="auto"/>
        <w:bottom w:val="none" w:sz="0" w:space="0" w:color="auto"/>
        <w:right w:val="none" w:sz="0" w:space="0" w:color="auto"/>
      </w:divBdr>
    </w:div>
    <w:div w:id="1391540659">
      <w:bodyDiv w:val="1"/>
      <w:marLeft w:val="0"/>
      <w:marRight w:val="0"/>
      <w:marTop w:val="0"/>
      <w:marBottom w:val="0"/>
      <w:divBdr>
        <w:top w:val="none" w:sz="0" w:space="0" w:color="auto"/>
        <w:left w:val="none" w:sz="0" w:space="0" w:color="auto"/>
        <w:bottom w:val="none" w:sz="0" w:space="0" w:color="auto"/>
        <w:right w:val="none" w:sz="0" w:space="0" w:color="auto"/>
      </w:divBdr>
    </w:div>
    <w:div w:id="1391658101">
      <w:bodyDiv w:val="1"/>
      <w:marLeft w:val="0"/>
      <w:marRight w:val="0"/>
      <w:marTop w:val="0"/>
      <w:marBottom w:val="0"/>
      <w:divBdr>
        <w:top w:val="none" w:sz="0" w:space="0" w:color="auto"/>
        <w:left w:val="none" w:sz="0" w:space="0" w:color="auto"/>
        <w:bottom w:val="none" w:sz="0" w:space="0" w:color="auto"/>
        <w:right w:val="none" w:sz="0" w:space="0" w:color="auto"/>
      </w:divBdr>
    </w:div>
    <w:div w:id="1391879505">
      <w:bodyDiv w:val="1"/>
      <w:marLeft w:val="0"/>
      <w:marRight w:val="0"/>
      <w:marTop w:val="0"/>
      <w:marBottom w:val="0"/>
      <w:divBdr>
        <w:top w:val="none" w:sz="0" w:space="0" w:color="auto"/>
        <w:left w:val="none" w:sz="0" w:space="0" w:color="auto"/>
        <w:bottom w:val="none" w:sz="0" w:space="0" w:color="auto"/>
        <w:right w:val="none" w:sz="0" w:space="0" w:color="auto"/>
      </w:divBdr>
    </w:div>
    <w:div w:id="1391922674">
      <w:bodyDiv w:val="1"/>
      <w:marLeft w:val="0"/>
      <w:marRight w:val="0"/>
      <w:marTop w:val="0"/>
      <w:marBottom w:val="0"/>
      <w:divBdr>
        <w:top w:val="none" w:sz="0" w:space="0" w:color="auto"/>
        <w:left w:val="none" w:sz="0" w:space="0" w:color="auto"/>
        <w:bottom w:val="none" w:sz="0" w:space="0" w:color="auto"/>
        <w:right w:val="none" w:sz="0" w:space="0" w:color="auto"/>
      </w:divBdr>
    </w:div>
    <w:div w:id="1391926409">
      <w:bodyDiv w:val="1"/>
      <w:marLeft w:val="0"/>
      <w:marRight w:val="0"/>
      <w:marTop w:val="0"/>
      <w:marBottom w:val="0"/>
      <w:divBdr>
        <w:top w:val="none" w:sz="0" w:space="0" w:color="auto"/>
        <w:left w:val="none" w:sz="0" w:space="0" w:color="auto"/>
        <w:bottom w:val="none" w:sz="0" w:space="0" w:color="auto"/>
        <w:right w:val="none" w:sz="0" w:space="0" w:color="auto"/>
      </w:divBdr>
    </w:div>
    <w:div w:id="1392079931">
      <w:bodyDiv w:val="1"/>
      <w:marLeft w:val="0"/>
      <w:marRight w:val="0"/>
      <w:marTop w:val="0"/>
      <w:marBottom w:val="0"/>
      <w:divBdr>
        <w:top w:val="none" w:sz="0" w:space="0" w:color="auto"/>
        <w:left w:val="none" w:sz="0" w:space="0" w:color="auto"/>
        <w:bottom w:val="none" w:sz="0" w:space="0" w:color="auto"/>
        <w:right w:val="none" w:sz="0" w:space="0" w:color="auto"/>
      </w:divBdr>
    </w:div>
    <w:div w:id="1392119088">
      <w:bodyDiv w:val="1"/>
      <w:marLeft w:val="0"/>
      <w:marRight w:val="0"/>
      <w:marTop w:val="0"/>
      <w:marBottom w:val="0"/>
      <w:divBdr>
        <w:top w:val="none" w:sz="0" w:space="0" w:color="auto"/>
        <w:left w:val="none" w:sz="0" w:space="0" w:color="auto"/>
        <w:bottom w:val="none" w:sz="0" w:space="0" w:color="auto"/>
        <w:right w:val="none" w:sz="0" w:space="0" w:color="auto"/>
      </w:divBdr>
    </w:div>
    <w:div w:id="1392342888">
      <w:bodyDiv w:val="1"/>
      <w:marLeft w:val="0"/>
      <w:marRight w:val="0"/>
      <w:marTop w:val="0"/>
      <w:marBottom w:val="0"/>
      <w:divBdr>
        <w:top w:val="none" w:sz="0" w:space="0" w:color="auto"/>
        <w:left w:val="none" w:sz="0" w:space="0" w:color="auto"/>
        <w:bottom w:val="none" w:sz="0" w:space="0" w:color="auto"/>
        <w:right w:val="none" w:sz="0" w:space="0" w:color="auto"/>
      </w:divBdr>
    </w:div>
    <w:div w:id="1392343214">
      <w:bodyDiv w:val="1"/>
      <w:marLeft w:val="0"/>
      <w:marRight w:val="0"/>
      <w:marTop w:val="0"/>
      <w:marBottom w:val="0"/>
      <w:divBdr>
        <w:top w:val="none" w:sz="0" w:space="0" w:color="auto"/>
        <w:left w:val="none" w:sz="0" w:space="0" w:color="auto"/>
        <w:bottom w:val="none" w:sz="0" w:space="0" w:color="auto"/>
        <w:right w:val="none" w:sz="0" w:space="0" w:color="auto"/>
      </w:divBdr>
    </w:div>
    <w:div w:id="1392343288">
      <w:bodyDiv w:val="1"/>
      <w:marLeft w:val="0"/>
      <w:marRight w:val="0"/>
      <w:marTop w:val="0"/>
      <w:marBottom w:val="0"/>
      <w:divBdr>
        <w:top w:val="none" w:sz="0" w:space="0" w:color="auto"/>
        <w:left w:val="none" w:sz="0" w:space="0" w:color="auto"/>
        <w:bottom w:val="none" w:sz="0" w:space="0" w:color="auto"/>
        <w:right w:val="none" w:sz="0" w:space="0" w:color="auto"/>
      </w:divBdr>
    </w:div>
    <w:div w:id="1392534743">
      <w:bodyDiv w:val="1"/>
      <w:marLeft w:val="0"/>
      <w:marRight w:val="0"/>
      <w:marTop w:val="0"/>
      <w:marBottom w:val="0"/>
      <w:divBdr>
        <w:top w:val="none" w:sz="0" w:space="0" w:color="auto"/>
        <w:left w:val="none" w:sz="0" w:space="0" w:color="auto"/>
        <w:bottom w:val="none" w:sz="0" w:space="0" w:color="auto"/>
        <w:right w:val="none" w:sz="0" w:space="0" w:color="auto"/>
      </w:divBdr>
    </w:div>
    <w:div w:id="1392777918">
      <w:bodyDiv w:val="1"/>
      <w:marLeft w:val="0"/>
      <w:marRight w:val="0"/>
      <w:marTop w:val="0"/>
      <w:marBottom w:val="0"/>
      <w:divBdr>
        <w:top w:val="none" w:sz="0" w:space="0" w:color="auto"/>
        <w:left w:val="none" w:sz="0" w:space="0" w:color="auto"/>
        <w:bottom w:val="none" w:sz="0" w:space="0" w:color="auto"/>
        <w:right w:val="none" w:sz="0" w:space="0" w:color="auto"/>
      </w:divBdr>
    </w:div>
    <w:div w:id="1392802195">
      <w:bodyDiv w:val="1"/>
      <w:marLeft w:val="0"/>
      <w:marRight w:val="0"/>
      <w:marTop w:val="0"/>
      <w:marBottom w:val="0"/>
      <w:divBdr>
        <w:top w:val="none" w:sz="0" w:space="0" w:color="auto"/>
        <w:left w:val="none" w:sz="0" w:space="0" w:color="auto"/>
        <w:bottom w:val="none" w:sz="0" w:space="0" w:color="auto"/>
        <w:right w:val="none" w:sz="0" w:space="0" w:color="auto"/>
      </w:divBdr>
    </w:div>
    <w:div w:id="1392847208">
      <w:bodyDiv w:val="1"/>
      <w:marLeft w:val="0"/>
      <w:marRight w:val="0"/>
      <w:marTop w:val="0"/>
      <w:marBottom w:val="0"/>
      <w:divBdr>
        <w:top w:val="none" w:sz="0" w:space="0" w:color="auto"/>
        <w:left w:val="none" w:sz="0" w:space="0" w:color="auto"/>
        <w:bottom w:val="none" w:sz="0" w:space="0" w:color="auto"/>
        <w:right w:val="none" w:sz="0" w:space="0" w:color="auto"/>
      </w:divBdr>
    </w:div>
    <w:div w:id="1392848703">
      <w:bodyDiv w:val="1"/>
      <w:marLeft w:val="0"/>
      <w:marRight w:val="0"/>
      <w:marTop w:val="0"/>
      <w:marBottom w:val="0"/>
      <w:divBdr>
        <w:top w:val="none" w:sz="0" w:space="0" w:color="auto"/>
        <w:left w:val="none" w:sz="0" w:space="0" w:color="auto"/>
        <w:bottom w:val="none" w:sz="0" w:space="0" w:color="auto"/>
        <w:right w:val="none" w:sz="0" w:space="0" w:color="auto"/>
      </w:divBdr>
    </w:div>
    <w:div w:id="1392924622">
      <w:bodyDiv w:val="1"/>
      <w:marLeft w:val="0"/>
      <w:marRight w:val="0"/>
      <w:marTop w:val="0"/>
      <w:marBottom w:val="0"/>
      <w:divBdr>
        <w:top w:val="none" w:sz="0" w:space="0" w:color="auto"/>
        <w:left w:val="none" w:sz="0" w:space="0" w:color="auto"/>
        <w:bottom w:val="none" w:sz="0" w:space="0" w:color="auto"/>
        <w:right w:val="none" w:sz="0" w:space="0" w:color="auto"/>
      </w:divBdr>
    </w:div>
    <w:div w:id="1392970248">
      <w:bodyDiv w:val="1"/>
      <w:marLeft w:val="0"/>
      <w:marRight w:val="0"/>
      <w:marTop w:val="0"/>
      <w:marBottom w:val="0"/>
      <w:divBdr>
        <w:top w:val="none" w:sz="0" w:space="0" w:color="auto"/>
        <w:left w:val="none" w:sz="0" w:space="0" w:color="auto"/>
        <w:bottom w:val="none" w:sz="0" w:space="0" w:color="auto"/>
        <w:right w:val="none" w:sz="0" w:space="0" w:color="auto"/>
      </w:divBdr>
    </w:div>
    <w:div w:id="1393042508">
      <w:bodyDiv w:val="1"/>
      <w:marLeft w:val="0"/>
      <w:marRight w:val="0"/>
      <w:marTop w:val="0"/>
      <w:marBottom w:val="0"/>
      <w:divBdr>
        <w:top w:val="none" w:sz="0" w:space="0" w:color="auto"/>
        <w:left w:val="none" w:sz="0" w:space="0" w:color="auto"/>
        <w:bottom w:val="none" w:sz="0" w:space="0" w:color="auto"/>
        <w:right w:val="none" w:sz="0" w:space="0" w:color="auto"/>
      </w:divBdr>
    </w:div>
    <w:div w:id="1393042775">
      <w:bodyDiv w:val="1"/>
      <w:marLeft w:val="0"/>
      <w:marRight w:val="0"/>
      <w:marTop w:val="0"/>
      <w:marBottom w:val="0"/>
      <w:divBdr>
        <w:top w:val="none" w:sz="0" w:space="0" w:color="auto"/>
        <w:left w:val="none" w:sz="0" w:space="0" w:color="auto"/>
        <w:bottom w:val="none" w:sz="0" w:space="0" w:color="auto"/>
        <w:right w:val="none" w:sz="0" w:space="0" w:color="auto"/>
      </w:divBdr>
    </w:div>
    <w:div w:id="1393311602">
      <w:bodyDiv w:val="1"/>
      <w:marLeft w:val="0"/>
      <w:marRight w:val="0"/>
      <w:marTop w:val="0"/>
      <w:marBottom w:val="0"/>
      <w:divBdr>
        <w:top w:val="none" w:sz="0" w:space="0" w:color="auto"/>
        <w:left w:val="none" w:sz="0" w:space="0" w:color="auto"/>
        <w:bottom w:val="none" w:sz="0" w:space="0" w:color="auto"/>
        <w:right w:val="none" w:sz="0" w:space="0" w:color="auto"/>
      </w:divBdr>
    </w:div>
    <w:div w:id="1393314124">
      <w:bodyDiv w:val="1"/>
      <w:marLeft w:val="0"/>
      <w:marRight w:val="0"/>
      <w:marTop w:val="0"/>
      <w:marBottom w:val="0"/>
      <w:divBdr>
        <w:top w:val="none" w:sz="0" w:space="0" w:color="auto"/>
        <w:left w:val="none" w:sz="0" w:space="0" w:color="auto"/>
        <w:bottom w:val="none" w:sz="0" w:space="0" w:color="auto"/>
        <w:right w:val="none" w:sz="0" w:space="0" w:color="auto"/>
      </w:divBdr>
    </w:div>
    <w:div w:id="1393382225">
      <w:bodyDiv w:val="1"/>
      <w:marLeft w:val="0"/>
      <w:marRight w:val="0"/>
      <w:marTop w:val="0"/>
      <w:marBottom w:val="0"/>
      <w:divBdr>
        <w:top w:val="none" w:sz="0" w:space="0" w:color="auto"/>
        <w:left w:val="none" w:sz="0" w:space="0" w:color="auto"/>
        <w:bottom w:val="none" w:sz="0" w:space="0" w:color="auto"/>
        <w:right w:val="none" w:sz="0" w:space="0" w:color="auto"/>
      </w:divBdr>
    </w:div>
    <w:div w:id="1393383447">
      <w:bodyDiv w:val="1"/>
      <w:marLeft w:val="0"/>
      <w:marRight w:val="0"/>
      <w:marTop w:val="0"/>
      <w:marBottom w:val="0"/>
      <w:divBdr>
        <w:top w:val="none" w:sz="0" w:space="0" w:color="auto"/>
        <w:left w:val="none" w:sz="0" w:space="0" w:color="auto"/>
        <w:bottom w:val="none" w:sz="0" w:space="0" w:color="auto"/>
        <w:right w:val="none" w:sz="0" w:space="0" w:color="auto"/>
      </w:divBdr>
    </w:div>
    <w:div w:id="1393383801">
      <w:bodyDiv w:val="1"/>
      <w:marLeft w:val="0"/>
      <w:marRight w:val="0"/>
      <w:marTop w:val="0"/>
      <w:marBottom w:val="0"/>
      <w:divBdr>
        <w:top w:val="none" w:sz="0" w:space="0" w:color="auto"/>
        <w:left w:val="none" w:sz="0" w:space="0" w:color="auto"/>
        <w:bottom w:val="none" w:sz="0" w:space="0" w:color="auto"/>
        <w:right w:val="none" w:sz="0" w:space="0" w:color="auto"/>
      </w:divBdr>
    </w:div>
    <w:div w:id="1393431576">
      <w:bodyDiv w:val="1"/>
      <w:marLeft w:val="0"/>
      <w:marRight w:val="0"/>
      <w:marTop w:val="0"/>
      <w:marBottom w:val="0"/>
      <w:divBdr>
        <w:top w:val="none" w:sz="0" w:space="0" w:color="auto"/>
        <w:left w:val="none" w:sz="0" w:space="0" w:color="auto"/>
        <w:bottom w:val="none" w:sz="0" w:space="0" w:color="auto"/>
        <w:right w:val="none" w:sz="0" w:space="0" w:color="auto"/>
      </w:divBdr>
    </w:div>
    <w:div w:id="1393575079">
      <w:bodyDiv w:val="1"/>
      <w:marLeft w:val="0"/>
      <w:marRight w:val="0"/>
      <w:marTop w:val="0"/>
      <w:marBottom w:val="0"/>
      <w:divBdr>
        <w:top w:val="none" w:sz="0" w:space="0" w:color="auto"/>
        <w:left w:val="none" w:sz="0" w:space="0" w:color="auto"/>
        <w:bottom w:val="none" w:sz="0" w:space="0" w:color="auto"/>
        <w:right w:val="none" w:sz="0" w:space="0" w:color="auto"/>
      </w:divBdr>
    </w:div>
    <w:div w:id="1393575249">
      <w:bodyDiv w:val="1"/>
      <w:marLeft w:val="0"/>
      <w:marRight w:val="0"/>
      <w:marTop w:val="0"/>
      <w:marBottom w:val="0"/>
      <w:divBdr>
        <w:top w:val="none" w:sz="0" w:space="0" w:color="auto"/>
        <w:left w:val="none" w:sz="0" w:space="0" w:color="auto"/>
        <w:bottom w:val="none" w:sz="0" w:space="0" w:color="auto"/>
        <w:right w:val="none" w:sz="0" w:space="0" w:color="auto"/>
      </w:divBdr>
    </w:div>
    <w:div w:id="1393582222">
      <w:bodyDiv w:val="1"/>
      <w:marLeft w:val="0"/>
      <w:marRight w:val="0"/>
      <w:marTop w:val="0"/>
      <w:marBottom w:val="0"/>
      <w:divBdr>
        <w:top w:val="none" w:sz="0" w:space="0" w:color="auto"/>
        <w:left w:val="none" w:sz="0" w:space="0" w:color="auto"/>
        <w:bottom w:val="none" w:sz="0" w:space="0" w:color="auto"/>
        <w:right w:val="none" w:sz="0" w:space="0" w:color="auto"/>
      </w:divBdr>
    </w:div>
    <w:div w:id="1393694520">
      <w:bodyDiv w:val="1"/>
      <w:marLeft w:val="0"/>
      <w:marRight w:val="0"/>
      <w:marTop w:val="0"/>
      <w:marBottom w:val="0"/>
      <w:divBdr>
        <w:top w:val="none" w:sz="0" w:space="0" w:color="auto"/>
        <w:left w:val="none" w:sz="0" w:space="0" w:color="auto"/>
        <w:bottom w:val="none" w:sz="0" w:space="0" w:color="auto"/>
        <w:right w:val="none" w:sz="0" w:space="0" w:color="auto"/>
      </w:divBdr>
    </w:div>
    <w:div w:id="1393770241">
      <w:bodyDiv w:val="1"/>
      <w:marLeft w:val="0"/>
      <w:marRight w:val="0"/>
      <w:marTop w:val="0"/>
      <w:marBottom w:val="0"/>
      <w:divBdr>
        <w:top w:val="none" w:sz="0" w:space="0" w:color="auto"/>
        <w:left w:val="none" w:sz="0" w:space="0" w:color="auto"/>
        <w:bottom w:val="none" w:sz="0" w:space="0" w:color="auto"/>
        <w:right w:val="none" w:sz="0" w:space="0" w:color="auto"/>
      </w:divBdr>
    </w:div>
    <w:div w:id="1393772441">
      <w:bodyDiv w:val="1"/>
      <w:marLeft w:val="0"/>
      <w:marRight w:val="0"/>
      <w:marTop w:val="0"/>
      <w:marBottom w:val="0"/>
      <w:divBdr>
        <w:top w:val="none" w:sz="0" w:space="0" w:color="auto"/>
        <w:left w:val="none" w:sz="0" w:space="0" w:color="auto"/>
        <w:bottom w:val="none" w:sz="0" w:space="0" w:color="auto"/>
        <w:right w:val="none" w:sz="0" w:space="0" w:color="auto"/>
      </w:divBdr>
    </w:div>
    <w:div w:id="1393774547">
      <w:bodyDiv w:val="1"/>
      <w:marLeft w:val="0"/>
      <w:marRight w:val="0"/>
      <w:marTop w:val="0"/>
      <w:marBottom w:val="0"/>
      <w:divBdr>
        <w:top w:val="none" w:sz="0" w:space="0" w:color="auto"/>
        <w:left w:val="none" w:sz="0" w:space="0" w:color="auto"/>
        <w:bottom w:val="none" w:sz="0" w:space="0" w:color="auto"/>
        <w:right w:val="none" w:sz="0" w:space="0" w:color="auto"/>
      </w:divBdr>
    </w:div>
    <w:div w:id="1393776709">
      <w:bodyDiv w:val="1"/>
      <w:marLeft w:val="0"/>
      <w:marRight w:val="0"/>
      <w:marTop w:val="0"/>
      <w:marBottom w:val="0"/>
      <w:divBdr>
        <w:top w:val="none" w:sz="0" w:space="0" w:color="auto"/>
        <w:left w:val="none" w:sz="0" w:space="0" w:color="auto"/>
        <w:bottom w:val="none" w:sz="0" w:space="0" w:color="auto"/>
        <w:right w:val="none" w:sz="0" w:space="0" w:color="auto"/>
      </w:divBdr>
    </w:div>
    <w:div w:id="1393843361">
      <w:bodyDiv w:val="1"/>
      <w:marLeft w:val="0"/>
      <w:marRight w:val="0"/>
      <w:marTop w:val="0"/>
      <w:marBottom w:val="0"/>
      <w:divBdr>
        <w:top w:val="none" w:sz="0" w:space="0" w:color="auto"/>
        <w:left w:val="none" w:sz="0" w:space="0" w:color="auto"/>
        <w:bottom w:val="none" w:sz="0" w:space="0" w:color="auto"/>
        <w:right w:val="none" w:sz="0" w:space="0" w:color="auto"/>
      </w:divBdr>
    </w:div>
    <w:div w:id="1394111613">
      <w:bodyDiv w:val="1"/>
      <w:marLeft w:val="0"/>
      <w:marRight w:val="0"/>
      <w:marTop w:val="0"/>
      <w:marBottom w:val="0"/>
      <w:divBdr>
        <w:top w:val="none" w:sz="0" w:space="0" w:color="auto"/>
        <w:left w:val="none" w:sz="0" w:space="0" w:color="auto"/>
        <w:bottom w:val="none" w:sz="0" w:space="0" w:color="auto"/>
        <w:right w:val="none" w:sz="0" w:space="0" w:color="auto"/>
      </w:divBdr>
    </w:div>
    <w:div w:id="1394238521">
      <w:bodyDiv w:val="1"/>
      <w:marLeft w:val="0"/>
      <w:marRight w:val="0"/>
      <w:marTop w:val="0"/>
      <w:marBottom w:val="0"/>
      <w:divBdr>
        <w:top w:val="none" w:sz="0" w:space="0" w:color="auto"/>
        <w:left w:val="none" w:sz="0" w:space="0" w:color="auto"/>
        <w:bottom w:val="none" w:sz="0" w:space="0" w:color="auto"/>
        <w:right w:val="none" w:sz="0" w:space="0" w:color="auto"/>
      </w:divBdr>
    </w:div>
    <w:div w:id="1394695329">
      <w:bodyDiv w:val="1"/>
      <w:marLeft w:val="0"/>
      <w:marRight w:val="0"/>
      <w:marTop w:val="0"/>
      <w:marBottom w:val="0"/>
      <w:divBdr>
        <w:top w:val="none" w:sz="0" w:space="0" w:color="auto"/>
        <w:left w:val="none" w:sz="0" w:space="0" w:color="auto"/>
        <w:bottom w:val="none" w:sz="0" w:space="0" w:color="auto"/>
        <w:right w:val="none" w:sz="0" w:space="0" w:color="auto"/>
      </w:divBdr>
    </w:div>
    <w:div w:id="1395153985">
      <w:bodyDiv w:val="1"/>
      <w:marLeft w:val="0"/>
      <w:marRight w:val="0"/>
      <w:marTop w:val="0"/>
      <w:marBottom w:val="0"/>
      <w:divBdr>
        <w:top w:val="none" w:sz="0" w:space="0" w:color="auto"/>
        <w:left w:val="none" w:sz="0" w:space="0" w:color="auto"/>
        <w:bottom w:val="none" w:sz="0" w:space="0" w:color="auto"/>
        <w:right w:val="none" w:sz="0" w:space="0" w:color="auto"/>
      </w:divBdr>
    </w:div>
    <w:div w:id="1395348105">
      <w:bodyDiv w:val="1"/>
      <w:marLeft w:val="0"/>
      <w:marRight w:val="0"/>
      <w:marTop w:val="0"/>
      <w:marBottom w:val="0"/>
      <w:divBdr>
        <w:top w:val="none" w:sz="0" w:space="0" w:color="auto"/>
        <w:left w:val="none" w:sz="0" w:space="0" w:color="auto"/>
        <w:bottom w:val="none" w:sz="0" w:space="0" w:color="auto"/>
        <w:right w:val="none" w:sz="0" w:space="0" w:color="auto"/>
      </w:divBdr>
    </w:div>
    <w:div w:id="1395348972">
      <w:bodyDiv w:val="1"/>
      <w:marLeft w:val="0"/>
      <w:marRight w:val="0"/>
      <w:marTop w:val="0"/>
      <w:marBottom w:val="0"/>
      <w:divBdr>
        <w:top w:val="none" w:sz="0" w:space="0" w:color="auto"/>
        <w:left w:val="none" w:sz="0" w:space="0" w:color="auto"/>
        <w:bottom w:val="none" w:sz="0" w:space="0" w:color="auto"/>
        <w:right w:val="none" w:sz="0" w:space="0" w:color="auto"/>
      </w:divBdr>
    </w:div>
    <w:div w:id="1395351914">
      <w:bodyDiv w:val="1"/>
      <w:marLeft w:val="0"/>
      <w:marRight w:val="0"/>
      <w:marTop w:val="0"/>
      <w:marBottom w:val="0"/>
      <w:divBdr>
        <w:top w:val="none" w:sz="0" w:space="0" w:color="auto"/>
        <w:left w:val="none" w:sz="0" w:space="0" w:color="auto"/>
        <w:bottom w:val="none" w:sz="0" w:space="0" w:color="auto"/>
        <w:right w:val="none" w:sz="0" w:space="0" w:color="auto"/>
      </w:divBdr>
    </w:div>
    <w:div w:id="1395393611">
      <w:bodyDiv w:val="1"/>
      <w:marLeft w:val="0"/>
      <w:marRight w:val="0"/>
      <w:marTop w:val="0"/>
      <w:marBottom w:val="0"/>
      <w:divBdr>
        <w:top w:val="none" w:sz="0" w:space="0" w:color="auto"/>
        <w:left w:val="none" w:sz="0" w:space="0" w:color="auto"/>
        <w:bottom w:val="none" w:sz="0" w:space="0" w:color="auto"/>
        <w:right w:val="none" w:sz="0" w:space="0" w:color="auto"/>
      </w:divBdr>
    </w:div>
    <w:div w:id="1395663142">
      <w:bodyDiv w:val="1"/>
      <w:marLeft w:val="0"/>
      <w:marRight w:val="0"/>
      <w:marTop w:val="0"/>
      <w:marBottom w:val="0"/>
      <w:divBdr>
        <w:top w:val="none" w:sz="0" w:space="0" w:color="auto"/>
        <w:left w:val="none" w:sz="0" w:space="0" w:color="auto"/>
        <w:bottom w:val="none" w:sz="0" w:space="0" w:color="auto"/>
        <w:right w:val="none" w:sz="0" w:space="0" w:color="auto"/>
      </w:divBdr>
    </w:div>
    <w:div w:id="1395734105">
      <w:bodyDiv w:val="1"/>
      <w:marLeft w:val="0"/>
      <w:marRight w:val="0"/>
      <w:marTop w:val="0"/>
      <w:marBottom w:val="0"/>
      <w:divBdr>
        <w:top w:val="none" w:sz="0" w:space="0" w:color="auto"/>
        <w:left w:val="none" w:sz="0" w:space="0" w:color="auto"/>
        <w:bottom w:val="none" w:sz="0" w:space="0" w:color="auto"/>
        <w:right w:val="none" w:sz="0" w:space="0" w:color="auto"/>
      </w:divBdr>
    </w:div>
    <w:div w:id="1395734405">
      <w:bodyDiv w:val="1"/>
      <w:marLeft w:val="0"/>
      <w:marRight w:val="0"/>
      <w:marTop w:val="0"/>
      <w:marBottom w:val="0"/>
      <w:divBdr>
        <w:top w:val="none" w:sz="0" w:space="0" w:color="auto"/>
        <w:left w:val="none" w:sz="0" w:space="0" w:color="auto"/>
        <w:bottom w:val="none" w:sz="0" w:space="0" w:color="auto"/>
        <w:right w:val="none" w:sz="0" w:space="0" w:color="auto"/>
      </w:divBdr>
    </w:div>
    <w:div w:id="1395933749">
      <w:bodyDiv w:val="1"/>
      <w:marLeft w:val="0"/>
      <w:marRight w:val="0"/>
      <w:marTop w:val="0"/>
      <w:marBottom w:val="0"/>
      <w:divBdr>
        <w:top w:val="none" w:sz="0" w:space="0" w:color="auto"/>
        <w:left w:val="none" w:sz="0" w:space="0" w:color="auto"/>
        <w:bottom w:val="none" w:sz="0" w:space="0" w:color="auto"/>
        <w:right w:val="none" w:sz="0" w:space="0" w:color="auto"/>
      </w:divBdr>
    </w:div>
    <w:div w:id="1395934111">
      <w:bodyDiv w:val="1"/>
      <w:marLeft w:val="0"/>
      <w:marRight w:val="0"/>
      <w:marTop w:val="0"/>
      <w:marBottom w:val="0"/>
      <w:divBdr>
        <w:top w:val="none" w:sz="0" w:space="0" w:color="auto"/>
        <w:left w:val="none" w:sz="0" w:space="0" w:color="auto"/>
        <w:bottom w:val="none" w:sz="0" w:space="0" w:color="auto"/>
        <w:right w:val="none" w:sz="0" w:space="0" w:color="auto"/>
      </w:divBdr>
    </w:div>
    <w:div w:id="1396009509">
      <w:bodyDiv w:val="1"/>
      <w:marLeft w:val="0"/>
      <w:marRight w:val="0"/>
      <w:marTop w:val="0"/>
      <w:marBottom w:val="0"/>
      <w:divBdr>
        <w:top w:val="none" w:sz="0" w:space="0" w:color="auto"/>
        <w:left w:val="none" w:sz="0" w:space="0" w:color="auto"/>
        <w:bottom w:val="none" w:sz="0" w:space="0" w:color="auto"/>
        <w:right w:val="none" w:sz="0" w:space="0" w:color="auto"/>
      </w:divBdr>
    </w:div>
    <w:div w:id="1396009915">
      <w:bodyDiv w:val="1"/>
      <w:marLeft w:val="0"/>
      <w:marRight w:val="0"/>
      <w:marTop w:val="0"/>
      <w:marBottom w:val="0"/>
      <w:divBdr>
        <w:top w:val="none" w:sz="0" w:space="0" w:color="auto"/>
        <w:left w:val="none" w:sz="0" w:space="0" w:color="auto"/>
        <w:bottom w:val="none" w:sz="0" w:space="0" w:color="auto"/>
        <w:right w:val="none" w:sz="0" w:space="0" w:color="auto"/>
      </w:divBdr>
    </w:div>
    <w:div w:id="1396389425">
      <w:bodyDiv w:val="1"/>
      <w:marLeft w:val="0"/>
      <w:marRight w:val="0"/>
      <w:marTop w:val="0"/>
      <w:marBottom w:val="0"/>
      <w:divBdr>
        <w:top w:val="none" w:sz="0" w:space="0" w:color="auto"/>
        <w:left w:val="none" w:sz="0" w:space="0" w:color="auto"/>
        <w:bottom w:val="none" w:sz="0" w:space="0" w:color="auto"/>
        <w:right w:val="none" w:sz="0" w:space="0" w:color="auto"/>
      </w:divBdr>
    </w:div>
    <w:div w:id="1396393184">
      <w:bodyDiv w:val="1"/>
      <w:marLeft w:val="0"/>
      <w:marRight w:val="0"/>
      <w:marTop w:val="0"/>
      <w:marBottom w:val="0"/>
      <w:divBdr>
        <w:top w:val="none" w:sz="0" w:space="0" w:color="auto"/>
        <w:left w:val="none" w:sz="0" w:space="0" w:color="auto"/>
        <w:bottom w:val="none" w:sz="0" w:space="0" w:color="auto"/>
        <w:right w:val="none" w:sz="0" w:space="0" w:color="auto"/>
      </w:divBdr>
    </w:div>
    <w:div w:id="1396735772">
      <w:bodyDiv w:val="1"/>
      <w:marLeft w:val="0"/>
      <w:marRight w:val="0"/>
      <w:marTop w:val="0"/>
      <w:marBottom w:val="0"/>
      <w:divBdr>
        <w:top w:val="none" w:sz="0" w:space="0" w:color="auto"/>
        <w:left w:val="none" w:sz="0" w:space="0" w:color="auto"/>
        <w:bottom w:val="none" w:sz="0" w:space="0" w:color="auto"/>
        <w:right w:val="none" w:sz="0" w:space="0" w:color="auto"/>
      </w:divBdr>
    </w:div>
    <w:div w:id="1396971900">
      <w:bodyDiv w:val="1"/>
      <w:marLeft w:val="0"/>
      <w:marRight w:val="0"/>
      <w:marTop w:val="0"/>
      <w:marBottom w:val="0"/>
      <w:divBdr>
        <w:top w:val="none" w:sz="0" w:space="0" w:color="auto"/>
        <w:left w:val="none" w:sz="0" w:space="0" w:color="auto"/>
        <w:bottom w:val="none" w:sz="0" w:space="0" w:color="auto"/>
        <w:right w:val="none" w:sz="0" w:space="0" w:color="auto"/>
      </w:divBdr>
    </w:div>
    <w:div w:id="1397051050">
      <w:bodyDiv w:val="1"/>
      <w:marLeft w:val="0"/>
      <w:marRight w:val="0"/>
      <w:marTop w:val="0"/>
      <w:marBottom w:val="0"/>
      <w:divBdr>
        <w:top w:val="none" w:sz="0" w:space="0" w:color="auto"/>
        <w:left w:val="none" w:sz="0" w:space="0" w:color="auto"/>
        <w:bottom w:val="none" w:sz="0" w:space="0" w:color="auto"/>
        <w:right w:val="none" w:sz="0" w:space="0" w:color="auto"/>
      </w:divBdr>
    </w:div>
    <w:div w:id="1397126974">
      <w:bodyDiv w:val="1"/>
      <w:marLeft w:val="0"/>
      <w:marRight w:val="0"/>
      <w:marTop w:val="0"/>
      <w:marBottom w:val="0"/>
      <w:divBdr>
        <w:top w:val="none" w:sz="0" w:space="0" w:color="auto"/>
        <w:left w:val="none" w:sz="0" w:space="0" w:color="auto"/>
        <w:bottom w:val="none" w:sz="0" w:space="0" w:color="auto"/>
        <w:right w:val="none" w:sz="0" w:space="0" w:color="auto"/>
      </w:divBdr>
    </w:div>
    <w:div w:id="1397166988">
      <w:bodyDiv w:val="1"/>
      <w:marLeft w:val="0"/>
      <w:marRight w:val="0"/>
      <w:marTop w:val="0"/>
      <w:marBottom w:val="0"/>
      <w:divBdr>
        <w:top w:val="none" w:sz="0" w:space="0" w:color="auto"/>
        <w:left w:val="none" w:sz="0" w:space="0" w:color="auto"/>
        <w:bottom w:val="none" w:sz="0" w:space="0" w:color="auto"/>
        <w:right w:val="none" w:sz="0" w:space="0" w:color="auto"/>
      </w:divBdr>
    </w:div>
    <w:div w:id="1397246753">
      <w:bodyDiv w:val="1"/>
      <w:marLeft w:val="0"/>
      <w:marRight w:val="0"/>
      <w:marTop w:val="0"/>
      <w:marBottom w:val="0"/>
      <w:divBdr>
        <w:top w:val="none" w:sz="0" w:space="0" w:color="auto"/>
        <w:left w:val="none" w:sz="0" w:space="0" w:color="auto"/>
        <w:bottom w:val="none" w:sz="0" w:space="0" w:color="auto"/>
        <w:right w:val="none" w:sz="0" w:space="0" w:color="auto"/>
      </w:divBdr>
    </w:div>
    <w:div w:id="1397434960">
      <w:bodyDiv w:val="1"/>
      <w:marLeft w:val="0"/>
      <w:marRight w:val="0"/>
      <w:marTop w:val="0"/>
      <w:marBottom w:val="0"/>
      <w:divBdr>
        <w:top w:val="none" w:sz="0" w:space="0" w:color="auto"/>
        <w:left w:val="none" w:sz="0" w:space="0" w:color="auto"/>
        <w:bottom w:val="none" w:sz="0" w:space="0" w:color="auto"/>
        <w:right w:val="none" w:sz="0" w:space="0" w:color="auto"/>
      </w:divBdr>
    </w:div>
    <w:div w:id="1397506225">
      <w:bodyDiv w:val="1"/>
      <w:marLeft w:val="0"/>
      <w:marRight w:val="0"/>
      <w:marTop w:val="0"/>
      <w:marBottom w:val="0"/>
      <w:divBdr>
        <w:top w:val="none" w:sz="0" w:space="0" w:color="auto"/>
        <w:left w:val="none" w:sz="0" w:space="0" w:color="auto"/>
        <w:bottom w:val="none" w:sz="0" w:space="0" w:color="auto"/>
        <w:right w:val="none" w:sz="0" w:space="0" w:color="auto"/>
      </w:divBdr>
    </w:div>
    <w:div w:id="1397514912">
      <w:bodyDiv w:val="1"/>
      <w:marLeft w:val="0"/>
      <w:marRight w:val="0"/>
      <w:marTop w:val="0"/>
      <w:marBottom w:val="0"/>
      <w:divBdr>
        <w:top w:val="none" w:sz="0" w:space="0" w:color="auto"/>
        <w:left w:val="none" w:sz="0" w:space="0" w:color="auto"/>
        <w:bottom w:val="none" w:sz="0" w:space="0" w:color="auto"/>
        <w:right w:val="none" w:sz="0" w:space="0" w:color="auto"/>
      </w:divBdr>
    </w:div>
    <w:div w:id="1397968327">
      <w:bodyDiv w:val="1"/>
      <w:marLeft w:val="0"/>
      <w:marRight w:val="0"/>
      <w:marTop w:val="0"/>
      <w:marBottom w:val="0"/>
      <w:divBdr>
        <w:top w:val="none" w:sz="0" w:space="0" w:color="auto"/>
        <w:left w:val="none" w:sz="0" w:space="0" w:color="auto"/>
        <w:bottom w:val="none" w:sz="0" w:space="0" w:color="auto"/>
        <w:right w:val="none" w:sz="0" w:space="0" w:color="auto"/>
      </w:divBdr>
    </w:div>
    <w:div w:id="1398895808">
      <w:bodyDiv w:val="1"/>
      <w:marLeft w:val="0"/>
      <w:marRight w:val="0"/>
      <w:marTop w:val="0"/>
      <w:marBottom w:val="0"/>
      <w:divBdr>
        <w:top w:val="none" w:sz="0" w:space="0" w:color="auto"/>
        <w:left w:val="none" w:sz="0" w:space="0" w:color="auto"/>
        <w:bottom w:val="none" w:sz="0" w:space="0" w:color="auto"/>
        <w:right w:val="none" w:sz="0" w:space="0" w:color="auto"/>
      </w:divBdr>
    </w:div>
    <w:div w:id="1398897148">
      <w:bodyDiv w:val="1"/>
      <w:marLeft w:val="0"/>
      <w:marRight w:val="0"/>
      <w:marTop w:val="0"/>
      <w:marBottom w:val="0"/>
      <w:divBdr>
        <w:top w:val="none" w:sz="0" w:space="0" w:color="auto"/>
        <w:left w:val="none" w:sz="0" w:space="0" w:color="auto"/>
        <w:bottom w:val="none" w:sz="0" w:space="0" w:color="auto"/>
        <w:right w:val="none" w:sz="0" w:space="0" w:color="auto"/>
      </w:divBdr>
    </w:div>
    <w:div w:id="1398938650">
      <w:bodyDiv w:val="1"/>
      <w:marLeft w:val="0"/>
      <w:marRight w:val="0"/>
      <w:marTop w:val="0"/>
      <w:marBottom w:val="0"/>
      <w:divBdr>
        <w:top w:val="none" w:sz="0" w:space="0" w:color="auto"/>
        <w:left w:val="none" w:sz="0" w:space="0" w:color="auto"/>
        <w:bottom w:val="none" w:sz="0" w:space="0" w:color="auto"/>
        <w:right w:val="none" w:sz="0" w:space="0" w:color="auto"/>
      </w:divBdr>
    </w:div>
    <w:div w:id="1399132920">
      <w:bodyDiv w:val="1"/>
      <w:marLeft w:val="0"/>
      <w:marRight w:val="0"/>
      <w:marTop w:val="0"/>
      <w:marBottom w:val="0"/>
      <w:divBdr>
        <w:top w:val="none" w:sz="0" w:space="0" w:color="auto"/>
        <w:left w:val="none" w:sz="0" w:space="0" w:color="auto"/>
        <w:bottom w:val="none" w:sz="0" w:space="0" w:color="auto"/>
        <w:right w:val="none" w:sz="0" w:space="0" w:color="auto"/>
      </w:divBdr>
    </w:div>
    <w:div w:id="1399283751">
      <w:bodyDiv w:val="1"/>
      <w:marLeft w:val="0"/>
      <w:marRight w:val="0"/>
      <w:marTop w:val="0"/>
      <w:marBottom w:val="0"/>
      <w:divBdr>
        <w:top w:val="none" w:sz="0" w:space="0" w:color="auto"/>
        <w:left w:val="none" w:sz="0" w:space="0" w:color="auto"/>
        <w:bottom w:val="none" w:sz="0" w:space="0" w:color="auto"/>
        <w:right w:val="none" w:sz="0" w:space="0" w:color="auto"/>
      </w:divBdr>
    </w:div>
    <w:div w:id="1399475146">
      <w:bodyDiv w:val="1"/>
      <w:marLeft w:val="0"/>
      <w:marRight w:val="0"/>
      <w:marTop w:val="0"/>
      <w:marBottom w:val="0"/>
      <w:divBdr>
        <w:top w:val="none" w:sz="0" w:space="0" w:color="auto"/>
        <w:left w:val="none" w:sz="0" w:space="0" w:color="auto"/>
        <w:bottom w:val="none" w:sz="0" w:space="0" w:color="auto"/>
        <w:right w:val="none" w:sz="0" w:space="0" w:color="auto"/>
      </w:divBdr>
    </w:div>
    <w:div w:id="1399551316">
      <w:bodyDiv w:val="1"/>
      <w:marLeft w:val="0"/>
      <w:marRight w:val="0"/>
      <w:marTop w:val="0"/>
      <w:marBottom w:val="0"/>
      <w:divBdr>
        <w:top w:val="none" w:sz="0" w:space="0" w:color="auto"/>
        <w:left w:val="none" w:sz="0" w:space="0" w:color="auto"/>
        <w:bottom w:val="none" w:sz="0" w:space="0" w:color="auto"/>
        <w:right w:val="none" w:sz="0" w:space="0" w:color="auto"/>
      </w:divBdr>
    </w:div>
    <w:div w:id="1399594001">
      <w:bodyDiv w:val="1"/>
      <w:marLeft w:val="0"/>
      <w:marRight w:val="0"/>
      <w:marTop w:val="0"/>
      <w:marBottom w:val="0"/>
      <w:divBdr>
        <w:top w:val="none" w:sz="0" w:space="0" w:color="auto"/>
        <w:left w:val="none" w:sz="0" w:space="0" w:color="auto"/>
        <w:bottom w:val="none" w:sz="0" w:space="0" w:color="auto"/>
        <w:right w:val="none" w:sz="0" w:space="0" w:color="auto"/>
      </w:divBdr>
    </w:div>
    <w:div w:id="1399594112">
      <w:bodyDiv w:val="1"/>
      <w:marLeft w:val="0"/>
      <w:marRight w:val="0"/>
      <w:marTop w:val="0"/>
      <w:marBottom w:val="0"/>
      <w:divBdr>
        <w:top w:val="none" w:sz="0" w:space="0" w:color="auto"/>
        <w:left w:val="none" w:sz="0" w:space="0" w:color="auto"/>
        <w:bottom w:val="none" w:sz="0" w:space="0" w:color="auto"/>
        <w:right w:val="none" w:sz="0" w:space="0" w:color="auto"/>
      </w:divBdr>
    </w:div>
    <w:div w:id="1399594679">
      <w:bodyDiv w:val="1"/>
      <w:marLeft w:val="0"/>
      <w:marRight w:val="0"/>
      <w:marTop w:val="0"/>
      <w:marBottom w:val="0"/>
      <w:divBdr>
        <w:top w:val="none" w:sz="0" w:space="0" w:color="auto"/>
        <w:left w:val="none" w:sz="0" w:space="0" w:color="auto"/>
        <w:bottom w:val="none" w:sz="0" w:space="0" w:color="auto"/>
        <w:right w:val="none" w:sz="0" w:space="0" w:color="auto"/>
      </w:divBdr>
    </w:div>
    <w:div w:id="1399597515">
      <w:bodyDiv w:val="1"/>
      <w:marLeft w:val="0"/>
      <w:marRight w:val="0"/>
      <w:marTop w:val="0"/>
      <w:marBottom w:val="0"/>
      <w:divBdr>
        <w:top w:val="none" w:sz="0" w:space="0" w:color="auto"/>
        <w:left w:val="none" w:sz="0" w:space="0" w:color="auto"/>
        <w:bottom w:val="none" w:sz="0" w:space="0" w:color="auto"/>
        <w:right w:val="none" w:sz="0" w:space="0" w:color="auto"/>
      </w:divBdr>
    </w:div>
    <w:div w:id="1399599110">
      <w:bodyDiv w:val="1"/>
      <w:marLeft w:val="0"/>
      <w:marRight w:val="0"/>
      <w:marTop w:val="0"/>
      <w:marBottom w:val="0"/>
      <w:divBdr>
        <w:top w:val="none" w:sz="0" w:space="0" w:color="auto"/>
        <w:left w:val="none" w:sz="0" w:space="0" w:color="auto"/>
        <w:bottom w:val="none" w:sz="0" w:space="0" w:color="auto"/>
        <w:right w:val="none" w:sz="0" w:space="0" w:color="auto"/>
      </w:divBdr>
    </w:div>
    <w:div w:id="1399665766">
      <w:bodyDiv w:val="1"/>
      <w:marLeft w:val="0"/>
      <w:marRight w:val="0"/>
      <w:marTop w:val="0"/>
      <w:marBottom w:val="0"/>
      <w:divBdr>
        <w:top w:val="none" w:sz="0" w:space="0" w:color="auto"/>
        <w:left w:val="none" w:sz="0" w:space="0" w:color="auto"/>
        <w:bottom w:val="none" w:sz="0" w:space="0" w:color="auto"/>
        <w:right w:val="none" w:sz="0" w:space="0" w:color="auto"/>
      </w:divBdr>
    </w:div>
    <w:div w:id="1399667296">
      <w:bodyDiv w:val="1"/>
      <w:marLeft w:val="0"/>
      <w:marRight w:val="0"/>
      <w:marTop w:val="0"/>
      <w:marBottom w:val="0"/>
      <w:divBdr>
        <w:top w:val="none" w:sz="0" w:space="0" w:color="auto"/>
        <w:left w:val="none" w:sz="0" w:space="0" w:color="auto"/>
        <w:bottom w:val="none" w:sz="0" w:space="0" w:color="auto"/>
        <w:right w:val="none" w:sz="0" w:space="0" w:color="auto"/>
      </w:divBdr>
    </w:div>
    <w:div w:id="1399670012">
      <w:bodyDiv w:val="1"/>
      <w:marLeft w:val="0"/>
      <w:marRight w:val="0"/>
      <w:marTop w:val="0"/>
      <w:marBottom w:val="0"/>
      <w:divBdr>
        <w:top w:val="none" w:sz="0" w:space="0" w:color="auto"/>
        <w:left w:val="none" w:sz="0" w:space="0" w:color="auto"/>
        <w:bottom w:val="none" w:sz="0" w:space="0" w:color="auto"/>
        <w:right w:val="none" w:sz="0" w:space="0" w:color="auto"/>
      </w:divBdr>
    </w:div>
    <w:div w:id="1399742734">
      <w:bodyDiv w:val="1"/>
      <w:marLeft w:val="0"/>
      <w:marRight w:val="0"/>
      <w:marTop w:val="0"/>
      <w:marBottom w:val="0"/>
      <w:divBdr>
        <w:top w:val="none" w:sz="0" w:space="0" w:color="auto"/>
        <w:left w:val="none" w:sz="0" w:space="0" w:color="auto"/>
        <w:bottom w:val="none" w:sz="0" w:space="0" w:color="auto"/>
        <w:right w:val="none" w:sz="0" w:space="0" w:color="auto"/>
      </w:divBdr>
    </w:div>
    <w:div w:id="1399747768">
      <w:bodyDiv w:val="1"/>
      <w:marLeft w:val="0"/>
      <w:marRight w:val="0"/>
      <w:marTop w:val="0"/>
      <w:marBottom w:val="0"/>
      <w:divBdr>
        <w:top w:val="none" w:sz="0" w:space="0" w:color="auto"/>
        <w:left w:val="none" w:sz="0" w:space="0" w:color="auto"/>
        <w:bottom w:val="none" w:sz="0" w:space="0" w:color="auto"/>
        <w:right w:val="none" w:sz="0" w:space="0" w:color="auto"/>
      </w:divBdr>
    </w:div>
    <w:div w:id="1399790204">
      <w:bodyDiv w:val="1"/>
      <w:marLeft w:val="0"/>
      <w:marRight w:val="0"/>
      <w:marTop w:val="0"/>
      <w:marBottom w:val="0"/>
      <w:divBdr>
        <w:top w:val="none" w:sz="0" w:space="0" w:color="auto"/>
        <w:left w:val="none" w:sz="0" w:space="0" w:color="auto"/>
        <w:bottom w:val="none" w:sz="0" w:space="0" w:color="auto"/>
        <w:right w:val="none" w:sz="0" w:space="0" w:color="auto"/>
      </w:divBdr>
    </w:div>
    <w:div w:id="1399862763">
      <w:bodyDiv w:val="1"/>
      <w:marLeft w:val="0"/>
      <w:marRight w:val="0"/>
      <w:marTop w:val="0"/>
      <w:marBottom w:val="0"/>
      <w:divBdr>
        <w:top w:val="none" w:sz="0" w:space="0" w:color="auto"/>
        <w:left w:val="none" w:sz="0" w:space="0" w:color="auto"/>
        <w:bottom w:val="none" w:sz="0" w:space="0" w:color="auto"/>
        <w:right w:val="none" w:sz="0" w:space="0" w:color="auto"/>
      </w:divBdr>
    </w:div>
    <w:div w:id="1399933578">
      <w:bodyDiv w:val="1"/>
      <w:marLeft w:val="0"/>
      <w:marRight w:val="0"/>
      <w:marTop w:val="0"/>
      <w:marBottom w:val="0"/>
      <w:divBdr>
        <w:top w:val="none" w:sz="0" w:space="0" w:color="auto"/>
        <w:left w:val="none" w:sz="0" w:space="0" w:color="auto"/>
        <w:bottom w:val="none" w:sz="0" w:space="0" w:color="auto"/>
        <w:right w:val="none" w:sz="0" w:space="0" w:color="auto"/>
      </w:divBdr>
    </w:div>
    <w:div w:id="1400127217">
      <w:bodyDiv w:val="1"/>
      <w:marLeft w:val="0"/>
      <w:marRight w:val="0"/>
      <w:marTop w:val="0"/>
      <w:marBottom w:val="0"/>
      <w:divBdr>
        <w:top w:val="none" w:sz="0" w:space="0" w:color="auto"/>
        <w:left w:val="none" w:sz="0" w:space="0" w:color="auto"/>
        <w:bottom w:val="none" w:sz="0" w:space="0" w:color="auto"/>
        <w:right w:val="none" w:sz="0" w:space="0" w:color="auto"/>
      </w:divBdr>
    </w:div>
    <w:div w:id="1400327219">
      <w:bodyDiv w:val="1"/>
      <w:marLeft w:val="0"/>
      <w:marRight w:val="0"/>
      <w:marTop w:val="0"/>
      <w:marBottom w:val="0"/>
      <w:divBdr>
        <w:top w:val="none" w:sz="0" w:space="0" w:color="auto"/>
        <w:left w:val="none" w:sz="0" w:space="0" w:color="auto"/>
        <w:bottom w:val="none" w:sz="0" w:space="0" w:color="auto"/>
        <w:right w:val="none" w:sz="0" w:space="0" w:color="auto"/>
      </w:divBdr>
    </w:div>
    <w:div w:id="1400401769">
      <w:bodyDiv w:val="1"/>
      <w:marLeft w:val="0"/>
      <w:marRight w:val="0"/>
      <w:marTop w:val="0"/>
      <w:marBottom w:val="0"/>
      <w:divBdr>
        <w:top w:val="none" w:sz="0" w:space="0" w:color="auto"/>
        <w:left w:val="none" w:sz="0" w:space="0" w:color="auto"/>
        <w:bottom w:val="none" w:sz="0" w:space="0" w:color="auto"/>
        <w:right w:val="none" w:sz="0" w:space="0" w:color="auto"/>
      </w:divBdr>
    </w:div>
    <w:div w:id="1400403201">
      <w:bodyDiv w:val="1"/>
      <w:marLeft w:val="0"/>
      <w:marRight w:val="0"/>
      <w:marTop w:val="0"/>
      <w:marBottom w:val="0"/>
      <w:divBdr>
        <w:top w:val="none" w:sz="0" w:space="0" w:color="auto"/>
        <w:left w:val="none" w:sz="0" w:space="0" w:color="auto"/>
        <w:bottom w:val="none" w:sz="0" w:space="0" w:color="auto"/>
        <w:right w:val="none" w:sz="0" w:space="0" w:color="auto"/>
      </w:divBdr>
    </w:div>
    <w:div w:id="1400471050">
      <w:bodyDiv w:val="1"/>
      <w:marLeft w:val="0"/>
      <w:marRight w:val="0"/>
      <w:marTop w:val="0"/>
      <w:marBottom w:val="0"/>
      <w:divBdr>
        <w:top w:val="none" w:sz="0" w:space="0" w:color="auto"/>
        <w:left w:val="none" w:sz="0" w:space="0" w:color="auto"/>
        <w:bottom w:val="none" w:sz="0" w:space="0" w:color="auto"/>
        <w:right w:val="none" w:sz="0" w:space="0" w:color="auto"/>
      </w:divBdr>
    </w:div>
    <w:div w:id="1400471510">
      <w:bodyDiv w:val="1"/>
      <w:marLeft w:val="0"/>
      <w:marRight w:val="0"/>
      <w:marTop w:val="0"/>
      <w:marBottom w:val="0"/>
      <w:divBdr>
        <w:top w:val="none" w:sz="0" w:space="0" w:color="auto"/>
        <w:left w:val="none" w:sz="0" w:space="0" w:color="auto"/>
        <w:bottom w:val="none" w:sz="0" w:space="0" w:color="auto"/>
        <w:right w:val="none" w:sz="0" w:space="0" w:color="auto"/>
      </w:divBdr>
    </w:div>
    <w:div w:id="1400515709">
      <w:bodyDiv w:val="1"/>
      <w:marLeft w:val="0"/>
      <w:marRight w:val="0"/>
      <w:marTop w:val="0"/>
      <w:marBottom w:val="0"/>
      <w:divBdr>
        <w:top w:val="none" w:sz="0" w:space="0" w:color="auto"/>
        <w:left w:val="none" w:sz="0" w:space="0" w:color="auto"/>
        <w:bottom w:val="none" w:sz="0" w:space="0" w:color="auto"/>
        <w:right w:val="none" w:sz="0" w:space="0" w:color="auto"/>
      </w:divBdr>
    </w:div>
    <w:div w:id="1400597803">
      <w:bodyDiv w:val="1"/>
      <w:marLeft w:val="0"/>
      <w:marRight w:val="0"/>
      <w:marTop w:val="0"/>
      <w:marBottom w:val="0"/>
      <w:divBdr>
        <w:top w:val="none" w:sz="0" w:space="0" w:color="auto"/>
        <w:left w:val="none" w:sz="0" w:space="0" w:color="auto"/>
        <w:bottom w:val="none" w:sz="0" w:space="0" w:color="auto"/>
        <w:right w:val="none" w:sz="0" w:space="0" w:color="auto"/>
      </w:divBdr>
    </w:div>
    <w:div w:id="1400637078">
      <w:bodyDiv w:val="1"/>
      <w:marLeft w:val="0"/>
      <w:marRight w:val="0"/>
      <w:marTop w:val="0"/>
      <w:marBottom w:val="0"/>
      <w:divBdr>
        <w:top w:val="none" w:sz="0" w:space="0" w:color="auto"/>
        <w:left w:val="none" w:sz="0" w:space="0" w:color="auto"/>
        <w:bottom w:val="none" w:sz="0" w:space="0" w:color="auto"/>
        <w:right w:val="none" w:sz="0" w:space="0" w:color="auto"/>
      </w:divBdr>
    </w:div>
    <w:div w:id="1400789363">
      <w:bodyDiv w:val="1"/>
      <w:marLeft w:val="0"/>
      <w:marRight w:val="0"/>
      <w:marTop w:val="0"/>
      <w:marBottom w:val="0"/>
      <w:divBdr>
        <w:top w:val="none" w:sz="0" w:space="0" w:color="auto"/>
        <w:left w:val="none" w:sz="0" w:space="0" w:color="auto"/>
        <w:bottom w:val="none" w:sz="0" w:space="0" w:color="auto"/>
        <w:right w:val="none" w:sz="0" w:space="0" w:color="auto"/>
      </w:divBdr>
    </w:div>
    <w:div w:id="1400902438">
      <w:bodyDiv w:val="1"/>
      <w:marLeft w:val="0"/>
      <w:marRight w:val="0"/>
      <w:marTop w:val="0"/>
      <w:marBottom w:val="0"/>
      <w:divBdr>
        <w:top w:val="none" w:sz="0" w:space="0" w:color="auto"/>
        <w:left w:val="none" w:sz="0" w:space="0" w:color="auto"/>
        <w:bottom w:val="none" w:sz="0" w:space="0" w:color="auto"/>
        <w:right w:val="none" w:sz="0" w:space="0" w:color="auto"/>
      </w:divBdr>
    </w:div>
    <w:div w:id="1400903481">
      <w:bodyDiv w:val="1"/>
      <w:marLeft w:val="0"/>
      <w:marRight w:val="0"/>
      <w:marTop w:val="0"/>
      <w:marBottom w:val="0"/>
      <w:divBdr>
        <w:top w:val="none" w:sz="0" w:space="0" w:color="auto"/>
        <w:left w:val="none" w:sz="0" w:space="0" w:color="auto"/>
        <w:bottom w:val="none" w:sz="0" w:space="0" w:color="auto"/>
        <w:right w:val="none" w:sz="0" w:space="0" w:color="auto"/>
      </w:divBdr>
    </w:div>
    <w:div w:id="1400908121">
      <w:bodyDiv w:val="1"/>
      <w:marLeft w:val="0"/>
      <w:marRight w:val="0"/>
      <w:marTop w:val="0"/>
      <w:marBottom w:val="0"/>
      <w:divBdr>
        <w:top w:val="none" w:sz="0" w:space="0" w:color="auto"/>
        <w:left w:val="none" w:sz="0" w:space="0" w:color="auto"/>
        <w:bottom w:val="none" w:sz="0" w:space="0" w:color="auto"/>
        <w:right w:val="none" w:sz="0" w:space="0" w:color="auto"/>
      </w:divBdr>
    </w:div>
    <w:div w:id="1400976665">
      <w:bodyDiv w:val="1"/>
      <w:marLeft w:val="0"/>
      <w:marRight w:val="0"/>
      <w:marTop w:val="0"/>
      <w:marBottom w:val="0"/>
      <w:divBdr>
        <w:top w:val="none" w:sz="0" w:space="0" w:color="auto"/>
        <w:left w:val="none" w:sz="0" w:space="0" w:color="auto"/>
        <w:bottom w:val="none" w:sz="0" w:space="0" w:color="auto"/>
        <w:right w:val="none" w:sz="0" w:space="0" w:color="auto"/>
      </w:divBdr>
    </w:div>
    <w:div w:id="1401057383">
      <w:bodyDiv w:val="1"/>
      <w:marLeft w:val="0"/>
      <w:marRight w:val="0"/>
      <w:marTop w:val="0"/>
      <w:marBottom w:val="0"/>
      <w:divBdr>
        <w:top w:val="none" w:sz="0" w:space="0" w:color="auto"/>
        <w:left w:val="none" w:sz="0" w:space="0" w:color="auto"/>
        <w:bottom w:val="none" w:sz="0" w:space="0" w:color="auto"/>
        <w:right w:val="none" w:sz="0" w:space="0" w:color="auto"/>
      </w:divBdr>
    </w:div>
    <w:div w:id="1401174879">
      <w:bodyDiv w:val="1"/>
      <w:marLeft w:val="0"/>
      <w:marRight w:val="0"/>
      <w:marTop w:val="0"/>
      <w:marBottom w:val="0"/>
      <w:divBdr>
        <w:top w:val="none" w:sz="0" w:space="0" w:color="auto"/>
        <w:left w:val="none" w:sz="0" w:space="0" w:color="auto"/>
        <w:bottom w:val="none" w:sz="0" w:space="0" w:color="auto"/>
        <w:right w:val="none" w:sz="0" w:space="0" w:color="auto"/>
      </w:divBdr>
    </w:div>
    <w:div w:id="1401447021">
      <w:bodyDiv w:val="1"/>
      <w:marLeft w:val="0"/>
      <w:marRight w:val="0"/>
      <w:marTop w:val="0"/>
      <w:marBottom w:val="0"/>
      <w:divBdr>
        <w:top w:val="none" w:sz="0" w:space="0" w:color="auto"/>
        <w:left w:val="none" w:sz="0" w:space="0" w:color="auto"/>
        <w:bottom w:val="none" w:sz="0" w:space="0" w:color="auto"/>
        <w:right w:val="none" w:sz="0" w:space="0" w:color="auto"/>
      </w:divBdr>
    </w:div>
    <w:div w:id="1401561086">
      <w:bodyDiv w:val="1"/>
      <w:marLeft w:val="0"/>
      <w:marRight w:val="0"/>
      <w:marTop w:val="0"/>
      <w:marBottom w:val="0"/>
      <w:divBdr>
        <w:top w:val="none" w:sz="0" w:space="0" w:color="auto"/>
        <w:left w:val="none" w:sz="0" w:space="0" w:color="auto"/>
        <w:bottom w:val="none" w:sz="0" w:space="0" w:color="auto"/>
        <w:right w:val="none" w:sz="0" w:space="0" w:color="auto"/>
      </w:divBdr>
    </w:div>
    <w:div w:id="1401634250">
      <w:bodyDiv w:val="1"/>
      <w:marLeft w:val="0"/>
      <w:marRight w:val="0"/>
      <w:marTop w:val="0"/>
      <w:marBottom w:val="0"/>
      <w:divBdr>
        <w:top w:val="none" w:sz="0" w:space="0" w:color="auto"/>
        <w:left w:val="none" w:sz="0" w:space="0" w:color="auto"/>
        <w:bottom w:val="none" w:sz="0" w:space="0" w:color="auto"/>
        <w:right w:val="none" w:sz="0" w:space="0" w:color="auto"/>
      </w:divBdr>
    </w:div>
    <w:div w:id="1401638099">
      <w:bodyDiv w:val="1"/>
      <w:marLeft w:val="0"/>
      <w:marRight w:val="0"/>
      <w:marTop w:val="0"/>
      <w:marBottom w:val="0"/>
      <w:divBdr>
        <w:top w:val="none" w:sz="0" w:space="0" w:color="auto"/>
        <w:left w:val="none" w:sz="0" w:space="0" w:color="auto"/>
        <w:bottom w:val="none" w:sz="0" w:space="0" w:color="auto"/>
        <w:right w:val="none" w:sz="0" w:space="0" w:color="auto"/>
      </w:divBdr>
    </w:div>
    <w:div w:id="1401713915">
      <w:bodyDiv w:val="1"/>
      <w:marLeft w:val="0"/>
      <w:marRight w:val="0"/>
      <w:marTop w:val="0"/>
      <w:marBottom w:val="0"/>
      <w:divBdr>
        <w:top w:val="none" w:sz="0" w:space="0" w:color="auto"/>
        <w:left w:val="none" w:sz="0" w:space="0" w:color="auto"/>
        <w:bottom w:val="none" w:sz="0" w:space="0" w:color="auto"/>
        <w:right w:val="none" w:sz="0" w:space="0" w:color="auto"/>
      </w:divBdr>
    </w:div>
    <w:div w:id="1401976303">
      <w:bodyDiv w:val="1"/>
      <w:marLeft w:val="0"/>
      <w:marRight w:val="0"/>
      <w:marTop w:val="0"/>
      <w:marBottom w:val="0"/>
      <w:divBdr>
        <w:top w:val="none" w:sz="0" w:space="0" w:color="auto"/>
        <w:left w:val="none" w:sz="0" w:space="0" w:color="auto"/>
        <w:bottom w:val="none" w:sz="0" w:space="0" w:color="auto"/>
        <w:right w:val="none" w:sz="0" w:space="0" w:color="auto"/>
      </w:divBdr>
    </w:div>
    <w:div w:id="1402093877">
      <w:bodyDiv w:val="1"/>
      <w:marLeft w:val="0"/>
      <w:marRight w:val="0"/>
      <w:marTop w:val="0"/>
      <w:marBottom w:val="0"/>
      <w:divBdr>
        <w:top w:val="none" w:sz="0" w:space="0" w:color="auto"/>
        <w:left w:val="none" w:sz="0" w:space="0" w:color="auto"/>
        <w:bottom w:val="none" w:sz="0" w:space="0" w:color="auto"/>
        <w:right w:val="none" w:sz="0" w:space="0" w:color="auto"/>
      </w:divBdr>
    </w:div>
    <w:div w:id="1402172502">
      <w:bodyDiv w:val="1"/>
      <w:marLeft w:val="0"/>
      <w:marRight w:val="0"/>
      <w:marTop w:val="0"/>
      <w:marBottom w:val="0"/>
      <w:divBdr>
        <w:top w:val="none" w:sz="0" w:space="0" w:color="auto"/>
        <w:left w:val="none" w:sz="0" w:space="0" w:color="auto"/>
        <w:bottom w:val="none" w:sz="0" w:space="0" w:color="auto"/>
        <w:right w:val="none" w:sz="0" w:space="0" w:color="auto"/>
      </w:divBdr>
    </w:div>
    <w:div w:id="1402174161">
      <w:bodyDiv w:val="1"/>
      <w:marLeft w:val="0"/>
      <w:marRight w:val="0"/>
      <w:marTop w:val="0"/>
      <w:marBottom w:val="0"/>
      <w:divBdr>
        <w:top w:val="none" w:sz="0" w:space="0" w:color="auto"/>
        <w:left w:val="none" w:sz="0" w:space="0" w:color="auto"/>
        <w:bottom w:val="none" w:sz="0" w:space="0" w:color="auto"/>
        <w:right w:val="none" w:sz="0" w:space="0" w:color="auto"/>
      </w:divBdr>
    </w:div>
    <w:div w:id="1402215218">
      <w:bodyDiv w:val="1"/>
      <w:marLeft w:val="0"/>
      <w:marRight w:val="0"/>
      <w:marTop w:val="0"/>
      <w:marBottom w:val="0"/>
      <w:divBdr>
        <w:top w:val="none" w:sz="0" w:space="0" w:color="auto"/>
        <w:left w:val="none" w:sz="0" w:space="0" w:color="auto"/>
        <w:bottom w:val="none" w:sz="0" w:space="0" w:color="auto"/>
        <w:right w:val="none" w:sz="0" w:space="0" w:color="auto"/>
      </w:divBdr>
    </w:div>
    <w:div w:id="1402217002">
      <w:bodyDiv w:val="1"/>
      <w:marLeft w:val="0"/>
      <w:marRight w:val="0"/>
      <w:marTop w:val="0"/>
      <w:marBottom w:val="0"/>
      <w:divBdr>
        <w:top w:val="none" w:sz="0" w:space="0" w:color="auto"/>
        <w:left w:val="none" w:sz="0" w:space="0" w:color="auto"/>
        <w:bottom w:val="none" w:sz="0" w:space="0" w:color="auto"/>
        <w:right w:val="none" w:sz="0" w:space="0" w:color="auto"/>
      </w:divBdr>
    </w:div>
    <w:div w:id="1402365940">
      <w:bodyDiv w:val="1"/>
      <w:marLeft w:val="0"/>
      <w:marRight w:val="0"/>
      <w:marTop w:val="0"/>
      <w:marBottom w:val="0"/>
      <w:divBdr>
        <w:top w:val="none" w:sz="0" w:space="0" w:color="auto"/>
        <w:left w:val="none" w:sz="0" w:space="0" w:color="auto"/>
        <w:bottom w:val="none" w:sz="0" w:space="0" w:color="auto"/>
        <w:right w:val="none" w:sz="0" w:space="0" w:color="auto"/>
      </w:divBdr>
    </w:div>
    <w:div w:id="1402405438">
      <w:bodyDiv w:val="1"/>
      <w:marLeft w:val="0"/>
      <w:marRight w:val="0"/>
      <w:marTop w:val="0"/>
      <w:marBottom w:val="0"/>
      <w:divBdr>
        <w:top w:val="none" w:sz="0" w:space="0" w:color="auto"/>
        <w:left w:val="none" w:sz="0" w:space="0" w:color="auto"/>
        <w:bottom w:val="none" w:sz="0" w:space="0" w:color="auto"/>
        <w:right w:val="none" w:sz="0" w:space="0" w:color="auto"/>
      </w:divBdr>
    </w:div>
    <w:div w:id="1402405515">
      <w:bodyDiv w:val="1"/>
      <w:marLeft w:val="0"/>
      <w:marRight w:val="0"/>
      <w:marTop w:val="0"/>
      <w:marBottom w:val="0"/>
      <w:divBdr>
        <w:top w:val="none" w:sz="0" w:space="0" w:color="auto"/>
        <w:left w:val="none" w:sz="0" w:space="0" w:color="auto"/>
        <w:bottom w:val="none" w:sz="0" w:space="0" w:color="auto"/>
        <w:right w:val="none" w:sz="0" w:space="0" w:color="auto"/>
      </w:divBdr>
    </w:div>
    <w:div w:id="1402411890">
      <w:bodyDiv w:val="1"/>
      <w:marLeft w:val="0"/>
      <w:marRight w:val="0"/>
      <w:marTop w:val="0"/>
      <w:marBottom w:val="0"/>
      <w:divBdr>
        <w:top w:val="none" w:sz="0" w:space="0" w:color="auto"/>
        <w:left w:val="none" w:sz="0" w:space="0" w:color="auto"/>
        <w:bottom w:val="none" w:sz="0" w:space="0" w:color="auto"/>
        <w:right w:val="none" w:sz="0" w:space="0" w:color="auto"/>
      </w:divBdr>
    </w:div>
    <w:div w:id="1402412955">
      <w:bodyDiv w:val="1"/>
      <w:marLeft w:val="0"/>
      <w:marRight w:val="0"/>
      <w:marTop w:val="0"/>
      <w:marBottom w:val="0"/>
      <w:divBdr>
        <w:top w:val="none" w:sz="0" w:space="0" w:color="auto"/>
        <w:left w:val="none" w:sz="0" w:space="0" w:color="auto"/>
        <w:bottom w:val="none" w:sz="0" w:space="0" w:color="auto"/>
        <w:right w:val="none" w:sz="0" w:space="0" w:color="auto"/>
      </w:divBdr>
    </w:div>
    <w:div w:id="1402563426">
      <w:bodyDiv w:val="1"/>
      <w:marLeft w:val="0"/>
      <w:marRight w:val="0"/>
      <w:marTop w:val="0"/>
      <w:marBottom w:val="0"/>
      <w:divBdr>
        <w:top w:val="none" w:sz="0" w:space="0" w:color="auto"/>
        <w:left w:val="none" w:sz="0" w:space="0" w:color="auto"/>
        <w:bottom w:val="none" w:sz="0" w:space="0" w:color="auto"/>
        <w:right w:val="none" w:sz="0" w:space="0" w:color="auto"/>
      </w:divBdr>
    </w:div>
    <w:div w:id="1402604946">
      <w:bodyDiv w:val="1"/>
      <w:marLeft w:val="0"/>
      <w:marRight w:val="0"/>
      <w:marTop w:val="0"/>
      <w:marBottom w:val="0"/>
      <w:divBdr>
        <w:top w:val="none" w:sz="0" w:space="0" w:color="auto"/>
        <w:left w:val="none" w:sz="0" w:space="0" w:color="auto"/>
        <w:bottom w:val="none" w:sz="0" w:space="0" w:color="auto"/>
        <w:right w:val="none" w:sz="0" w:space="0" w:color="auto"/>
      </w:divBdr>
    </w:div>
    <w:div w:id="1402606747">
      <w:bodyDiv w:val="1"/>
      <w:marLeft w:val="0"/>
      <w:marRight w:val="0"/>
      <w:marTop w:val="0"/>
      <w:marBottom w:val="0"/>
      <w:divBdr>
        <w:top w:val="none" w:sz="0" w:space="0" w:color="auto"/>
        <w:left w:val="none" w:sz="0" w:space="0" w:color="auto"/>
        <w:bottom w:val="none" w:sz="0" w:space="0" w:color="auto"/>
        <w:right w:val="none" w:sz="0" w:space="0" w:color="auto"/>
      </w:divBdr>
    </w:div>
    <w:div w:id="1402675301">
      <w:bodyDiv w:val="1"/>
      <w:marLeft w:val="0"/>
      <w:marRight w:val="0"/>
      <w:marTop w:val="0"/>
      <w:marBottom w:val="0"/>
      <w:divBdr>
        <w:top w:val="none" w:sz="0" w:space="0" w:color="auto"/>
        <w:left w:val="none" w:sz="0" w:space="0" w:color="auto"/>
        <w:bottom w:val="none" w:sz="0" w:space="0" w:color="auto"/>
        <w:right w:val="none" w:sz="0" w:space="0" w:color="auto"/>
      </w:divBdr>
    </w:div>
    <w:div w:id="1402866980">
      <w:bodyDiv w:val="1"/>
      <w:marLeft w:val="0"/>
      <w:marRight w:val="0"/>
      <w:marTop w:val="0"/>
      <w:marBottom w:val="0"/>
      <w:divBdr>
        <w:top w:val="none" w:sz="0" w:space="0" w:color="auto"/>
        <w:left w:val="none" w:sz="0" w:space="0" w:color="auto"/>
        <w:bottom w:val="none" w:sz="0" w:space="0" w:color="auto"/>
        <w:right w:val="none" w:sz="0" w:space="0" w:color="auto"/>
      </w:divBdr>
    </w:div>
    <w:div w:id="1402868096">
      <w:bodyDiv w:val="1"/>
      <w:marLeft w:val="0"/>
      <w:marRight w:val="0"/>
      <w:marTop w:val="0"/>
      <w:marBottom w:val="0"/>
      <w:divBdr>
        <w:top w:val="none" w:sz="0" w:space="0" w:color="auto"/>
        <w:left w:val="none" w:sz="0" w:space="0" w:color="auto"/>
        <w:bottom w:val="none" w:sz="0" w:space="0" w:color="auto"/>
        <w:right w:val="none" w:sz="0" w:space="0" w:color="auto"/>
      </w:divBdr>
    </w:div>
    <w:div w:id="1402871501">
      <w:bodyDiv w:val="1"/>
      <w:marLeft w:val="0"/>
      <w:marRight w:val="0"/>
      <w:marTop w:val="0"/>
      <w:marBottom w:val="0"/>
      <w:divBdr>
        <w:top w:val="none" w:sz="0" w:space="0" w:color="auto"/>
        <w:left w:val="none" w:sz="0" w:space="0" w:color="auto"/>
        <w:bottom w:val="none" w:sz="0" w:space="0" w:color="auto"/>
        <w:right w:val="none" w:sz="0" w:space="0" w:color="auto"/>
      </w:divBdr>
    </w:div>
    <w:div w:id="1402942649">
      <w:bodyDiv w:val="1"/>
      <w:marLeft w:val="0"/>
      <w:marRight w:val="0"/>
      <w:marTop w:val="0"/>
      <w:marBottom w:val="0"/>
      <w:divBdr>
        <w:top w:val="none" w:sz="0" w:space="0" w:color="auto"/>
        <w:left w:val="none" w:sz="0" w:space="0" w:color="auto"/>
        <w:bottom w:val="none" w:sz="0" w:space="0" w:color="auto"/>
        <w:right w:val="none" w:sz="0" w:space="0" w:color="auto"/>
      </w:divBdr>
    </w:div>
    <w:div w:id="1402945756">
      <w:bodyDiv w:val="1"/>
      <w:marLeft w:val="0"/>
      <w:marRight w:val="0"/>
      <w:marTop w:val="0"/>
      <w:marBottom w:val="0"/>
      <w:divBdr>
        <w:top w:val="none" w:sz="0" w:space="0" w:color="auto"/>
        <w:left w:val="none" w:sz="0" w:space="0" w:color="auto"/>
        <w:bottom w:val="none" w:sz="0" w:space="0" w:color="auto"/>
        <w:right w:val="none" w:sz="0" w:space="0" w:color="auto"/>
      </w:divBdr>
    </w:div>
    <w:div w:id="1403016758">
      <w:bodyDiv w:val="1"/>
      <w:marLeft w:val="0"/>
      <w:marRight w:val="0"/>
      <w:marTop w:val="0"/>
      <w:marBottom w:val="0"/>
      <w:divBdr>
        <w:top w:val="none" w:sz="0" w:space="0" w:color="auto"/>
        <w:left w:val="none" w:sz="0" w:space="0" w:color="auto"/>
        <w:bottom w:val="none" w:sz="0" w:space="0" w:color="auto"/>
        <w:right w:val="none" w:sz="0" w:space="0" w:color="auto"/>
      </w:divBdr>
    </w:div>
    <w:div w:id="1403141514">
      <w:bodyDiv w:val="1"/>
      <w:marLeft w:val="0"/>
      <w:marRight w:val="0"/>
      <w:marTop w:val="0"/>
      <w:marBottom w:val="0"/>
      <w:divBdr>
        <w:top w:val="none" w:sz="0" w:space="0" w:color="auto"/>
        <w:left w:val="none" w:sz="0" w:space="0" w:color="auto"/>
        <w:bottom w:val="none" w:sz="0" w:space="0" w:color="auto"/>
        <w:right w:val="none" w:sz="0" w:space="0" w:color="auto"/>
      </w:divBdr>
    </w:div>
    <w:div w:id="1403142363">
      <w:bodyDiv w:val="1"/>
      <w:marLeft w:val="0"/>
      <w:marRight w:val="0"/>
      <w:marTop w:val="0"/>
      <w:marBottom w:val="0"/>
      <w:divBdr>
        <w:top w:val="none" w:sz="0" w:space="0" w:color="auto"/>
        <w:left w:val="none" w:sz="0" w:space="0" w:color="auto"/>
        <w:bottom w:val="none" w:sz="0" w:space="0" w:color="auto"/>
        <w:right w:val="none" w:sz="0" w:space="0" w:color="auto"/>
      </w:divBdr>
    </w:div>
    <w:div w:id="1403144197">
      <w:bodyDiv w:val="1"/>
      <w:marLeft w:val="0"/>
      <w:marRight w:val="0"/>
      <w:marTop w:val="0"/>
      <w:marBottom w:val="0"/>
      <w:divBdr>
        <w:top w:val="none" w:sz="0" w:space="0" w:color="auto"/>
        <w:left w:val="none" w:sz="0" w:space="0" w:color="auto"/>
        <w:bottom w:val="none" w:sz="0" w:space="0" w:color="auto"/>
        <w:right w:val="none" w:sz="0" w:space="0" w:color="auto"/>
      </w:divBdr>
    </w:div>
    <w:div w:id="1403260924">
      <w:bodyDiv w:val="1"/>
      <w:marLeft w:val="0"/>
      <w:marRight w:val="0"/>
      <w:marTop w:val="0"/>
      <w:marBottom w:val="0"/>
      <w:divBdr>
        <w:top w:val="none" w:sz="0" w:space="0" w:color="auto"/>
        <w:left w:val="none" w:sz="0" w:space="0" w:color="auto"/>
        <w:bottom w:val="none" w:sz="0" w:space="0" w:color="auto"/>
        <w:right w:val="none" w:sz="0" w:space="0" w:color="auto"/>
      </w:divBdr>
    </w:div>
    <w:div w:id="1403287649">
      <w:bodyDiv w:val="1"/>
      <w:marLeft w:val="0"/>
      <w:marRight w:val="0"/>
      <w:marTop w:val="0"/>
      <w:marBottom w:val="0"/>
      <w:divBdr>
        <w:top w:val="none" w:sz="0" w:space="0" w:color="auto"/>
        <w:left w:val="none" w:sz="0" w:space="0" w:color="auto"/>
        <w:bottom w:val="none" w:sz="0" w:space="0" w:color="auto"/>
        <w:right w:val="none" w:sz="0" w:space="0" w:color="auto"/>
      </w:divBdr>
    </w:div>
    <w:div w:id="1403328287">
      <w:bodyDiv w:val="1"/>
      <w:marLeft w:val="0"/>
      <w:marRight w:val="0"/>
      <w:marTop w:val="0"/>
      <w:marBottom w:val="0"/>
      <w:divBdr>
        <w:top w:val="none" w:sz="0" w:space="0" w:color="auto"/>
        <w:left w:val="none" w:sz="0" w:space="0" w:color="auto"/>
        <w:bottom w:val="none" w:sz="0" w:space="0" w:color="auto"/>
        <w:right w:val="none" w:sz="0" w:space="0" w:color="auto"/>
      </w:divBdr>
    </w:div>
    <w:div w:id="1403332337">
      <w:bodyDiv w:val="1"/>
      <w:marLeft w:val="0"/>
      <w:marRight w:val="0"/>
      <w:marTop w:val="0"/>
      <w:marBottom w:val="0"/>
      <w:divBdr>
        <w:top w:val="none" w:sz="0" w:space="0" w:color="auto"/>
        <w:left w:val="none" w:sz="0" w:space="0" w:color="auto"/>
        <w:bottom w:val="none" w:sz="0" w:space="0" w:color="auto"/>
        <w:right w:val="none" w:sz="0" w:space="0" w:color="auto"/>
      </w:divBdr>
    </w:div>
    <w:div w:id="1403409118">
      <w:bodyDiv w:val="1"/>
      <w:marLeft w:val="0"/>
      <w:marRight w:val="0"/>
      <w:marTop w:val="0"/>
      <w:marBottom w:val="0"/>
      <w:divBdr>
        <w:top w:val="none" w:sz="0" w:space="0" w:color="auto"/>
        <w:left w:val="none" w:sz="0" w:space="0" w:color="auto"/>
        <w:bottom w:val="none" w:sz="0" w:space="0" w:color="auto"/>
        <w:right w:val="none" w:sz="0" w:space="0" w:color="auto"/>
      </w:divBdr>
    </w:div>
    <w:div w:id="1403527691">
      <w:bodyDiv w:val="1"/>
      <w:marLeft w:val="0"/>
      <w:marRight w:val="0"/>
      <w:marTop w:val="0"/>
      <w:marBottom w:val="0"/>
      <w:divBdr>
        <w:top w:val="none" w:sz="0" w:space="0" w:color="auto"/>
        <w:left w:val="none" w:sz="0" w:space="0" w:color="auto"/>
        <w:bottom w:val="none" w:sz="0" w:space="0" w:color="auto"/>
        <w:right w:val="none" w:sz="0" w:space="0" w:color="auto"/>
      </w:divBdr>
    </w:div>
    <w:div w:id="1403596468">
      <w:bodyDiv w:val="1"/>
      <w:marLeft w:val="0"/>
      <w:marRight w:val="0"/>
      <w:marTop w:val="0"/>
      <w:marBottom w:val="0"/>
      <w:divBdr>
        <w:top w:val="none" w:sz="0" w:space="0" w:color="auto"/>
        <w:left w:val="none" w:sz="0" w:space="0" w:color="auto"/>
        <w:bottom w:val="none" w:sz="0" w:space="0" w:color="auto"/>
        <w:right w:val="none" w:sz="0" w:space="0" w:color="auto"/>
      </w:divBdr>
    </w:div>
    <w:div w:id="1403672333">
      <w:bodyDiv w:val="1"/>
      <w:marLeft w:val="0"/>
      <w:marRight w:val="0"/>
      <w:marTop w:val="0"/>
      <w:marBottom w:val="0"/>
      <w:divBdr>
        <w:top w:val="none" w:sz="0" w:space="0" w:color="auto"/>
        <w:left w:val="none" w:sz="0" w:space="0" w:color="auto"/>
        <w:bottom w:val="none" w:sz="0" w:space="0" w:color="auto"/>
        <w:right w:val="none" w:sz="0" w:space="0" w:color="auto"/>
      </w:divBdr>
    </w:div>
    <w:div w:id="1404061355">
      <w:bodyDiv w:val="1"/>
      <w:marLeft w:val="0"/>
      <w:marRight w:val="0"/>
      <w:marTop w:val="0"/>
      <w:marBottom w:val="0"/>
      <w:divBdr>
        <w:top w:val="none" w:sz="0" w:space="0" w:color="auto"/>
        <w:left w:val="none" w:sz="0" w:space="0" w:color="auto"/>
        <w:bottom w:val="none" w:sz="0" w:space="0" w:color="auto"/>
        <w:right w:val="none" w:sz="0" w:space="0" w:color="auto"/>
      </w:divBdr>
    </w:div>
    <w:div w:id="1404184929">
      <w:bodyDiv w:val="1"/>
      <w:marLeft w:val="0"/>
      <w:marRight w:val="0"/>
      <w:marTop w:val="0"/>
      <w:marBottom w:val="0"/>
      <w:divBdr>
        <w:top w:val="none" w:sz="0" w:space="0" w:color="auto"/>
        <w:left w:val="none" w:sz="0" w:space="0" w:color="auto"/>
        <w:bottom w:val="none" w:sz="0" w:space="0" w:color="auto"/>
        <w:right w:val="none" w:sz="0" w:space="0" w:color="auto"/>
      </w:divBdr>
    </w:div>
    <w:div w:id="1404252318">
      <w:bodyDiv w:val="1"/>
      <w:marLeft w:val="0"/>
      <w:marRight w:val="0"/>
      <w:marTop w:val="0"/>
      <w:marBottom w:val="0"/>
      <w:divBdr>
        <w:top w:val="none" w:sz="0" w:space="0" w:color="auto"/>
        <w:left w:val="none" w:sz="0" w:space="0" w:color="auto"/>
        <w:bottom w:val="none" w:sz="0" w:space="0" w:color="auto"/>
        <w:right w:val="none" w:sz="0" w:space="0" w:color="auto"/>
      </w:divBdr>
    </w:div>
    <w:div w:id="1404332407">
      <w:bodyDiv w:val="1"/>
      <w:marLeft w:val="0"/>
      <w:marRight w:val="0"/>
      <w:marTop w:val="0"/>
      <w:marBottom w:val="0"/>
      <w:divBdr>
        <w:top w:val="none" w:sz="0" w:space="0" w:color="auto"/>
        <w:left w:val="none" w:sz="0" w:space="0" w:color="auto"/>
        <w:bottom w:val="none" w:sz="0" w:space="0" w:color="auto"/>
        <w:right w:val="none" w:sz="0" w:space="0" w:color="auto"/>
      </w:divBdr>
    </w:div>
    <w:div w:id="1404402565">
      <w:bodyDiv w:val="1"/>
      <w:marLeft w:val="0"/>
      <w:marRight w:val="0"/>
      <w:marTop w:val="0"/>
      <w:marBottom w:val="0"/>
      <w:divBdr>
        <w:top w:val="none" w:sz="0" w:space="0" w:color="auto"/>
        <w:left w:val="none" w:sz="0" w:space="0" w:color="auto"/>
        <w:bottom w:val="none" w:sz="0" w:space="0" w:color="auto"/>
        <w:right w:val="none" w:sz="0" w:space="0" w:color="auto"/>
      </w:divBdr>
    </w:div>
    <w:div w:id="1404523959">
      <w:bodyDiv w:val="1"/>
      <w:marLeft w:val="0"/>
      <w:marRight w:val="0"/>
      <w:marTop w:val="0"/>
      <w:marBottom w:val="0"/>
      <w:divBdr>
        <w:top w:val="none" w:sz="0" w:space="0" w:color="auto"/>
        <w:left w:val="none" w:sz="0" w:space="0" w:color="auto"/>
        <w:bottom w:val="none" w:sz="0" w:space="0" w:color="auto"/>
        <w:right w:val="none" w:sz="0" w:space="0" w:color="auto"/>
      </w:divBdr>
    </w:div>
    <w:div w:id="1404715734">
      <w:bodyDiv w:val="1"/>
      <w:marLeft w:val="0"/>
      <w:marRight w:val="0"/>
      <w:marTop w:val="0"/>
      <w:marBottom w:val="0"/>
      <w:divBdr>
        <w:top w:val="none" w:sz="0" w:space="0" w:color="auto"/>
        <w:left w:val="none" w:sz="0" w:space="0" w:color="auto"/>
        <w:bottom w:val="none" w:sz="0" w:space="0" w:color="auto"/>
        <w:right w:val="none" w:sz="0" w:space="0" w:color="auto"/>
      </w:divBdr>
    </w:div>
    <w:div w:id="1404984150">
      <w:bodyDiv w:val="1"/>
      <w:marLeft w:val="0"/>
      <w:marRight w:val="0"/>
      <w:marTop w:val="0"/>
      <w:marBottom w:val="0"/>
      <w:divBdr>
        <w:top w:val="none" w:sz="0" w:space="0" w:color="auto"/>
        <w:left w:val="none" w:sz="0" w:space="0" w:color="auto"/>
        <w:bottom w:val="none" w:sz="0" w:space="0" w:color="auto"/>
        <w:right w:val="none" w:sz="0" w:space="0" w:color="auto"/>
      </w:divBdr>
    </w:div>
    <w:div w:id="1404991102">
      <w:bodyDiv w:val="1"/>
      <w:marLeft w:val="0"/>
      <w:marRight w:val="0"/>
      <w:marTop w:val="0"/>
      <w:marBottom w:val="0"/>
      <w:divBdr>
        <w:top w:val="none" w:sz="0" w:space="0" w:color="auto"/>
        <w:left w:val="none" w:sz="0" w:space="0" w:color="auto"/>
        <w:bottom w:val="none" w:sz="0" w:space="0" w:color="auto"/>
        <w:right w:val="none" w:sz="0" w:space="0" w:color="auto"/>
      </w:divBdr>
    </w:div>
    <w:div w:id="1405057999">
      <w:bodyDiv w:val="1"/>
      <w:marLeft w:val="0"/>
      <w:marRight w:val="0"/>
      <w:marTop w:val="0"/>
      <w:marBottom w:val="0"/>
      <w:divBdr>
        <w:top w:val="none" w:sz="0" w:space="0" w:color="auto"/>
        <w:left w:val="none" w:sz="0" w:space="0" w:color="auto"/>
        <w:bottom w:val="none" w:sz="0" w:space="0" w:color="auto"/>
        <w:right w:val="none" w:sz="0" w:space="0" w:color="auto"/>
      </w:divBdr>
    </w:div>
    <w:div w:id="1405101452">
      <w:bodyDiv w:val="1"/>
      <w:marLeft w:val="0"/>
      <w:marRight w:val="0"/>
      <w:marTop w:val="0"/>
      <w:marBottom w:val="0"/>
      <w:divBdr>
        <w:top w:val="none" w:sz="0" w:space="0" w:color="auto"/>
        <w:left w:val="none" w:sz="0" w:space="0" w:color="auto"/>
        <w:bottom w:val="none" w:sz="0" w:space="0" w:color="auto"/>
        <w:right w:val="none" w:sz="0" w:space="0" w:color="auto"/>
      </w:divBdr>
    </w:div>
    <w:div w:id="1405102876">
      <w:bodyDiv w:val="1"/>
      <w:marLeft w:val="0"/>
      <w:marRight w:val="0"/>
      <w:marTop w:val="0"/>
      <w:marBottom w:val="0"/>
      <w:divBdr>
        <w:top w:val="none" w:sz="0" w:space="0" w:color="auto"/>
        <w:left w:val="none" w:sz="0" w:space="0" w:color="auto"/>
        <w:bottom w:val="none" w:sz="0" w:space="0" w:color="auto"/>
        <w:right w:val="none" w:sz="0" w:space="0" w:color="auto"/>
      </w:divBdr>
    </w:div>
    <w:div w:id="1405182726">
      <w:bodyDiv w:val="1"/>
      <w:marLeft w:val="0"/>
      <w:marRight w:val="0"/>
      <w:marTop w:val="0"/>
      <w:marBottom w:val="0"/>
      <w:divBdr>
        <w:top w:val="none" w:sz="0" w:space="0" w:color="auto"/>
        <w:left w:val="none" w:sz="0" w:space="0" w:color="auto"/>
        <w:bottom w:val="none" w:sz="0" w:space="0" w:color="auto"/>
        <w:right w:val="none" w:sz="0" w:space="0" w:color="auto"/>
      </w:divBdr>
    </w:div>
    <w:div w:id="1405251099">
      <w:bodyDiv w:val="1"/>
      <w:marLeft w:val="0"/>
      <w:marRight w:val="0"/>
      <w:marTop w:val="0"/>
      <w:marBottom w:val="0"/>
      <w:divBdr>
        <w:top w:val="none" w:sz="0" w:space="0" w:color="auto"/>
        <w:left w:val="none" w:sz="0" w:space="0" w:color="auto"/>
        <w:bottom w:val="none" w:sz="0" w:space="0" w:color="auto"/>
        <w:right w:val="none" w:sz="0" w:space="0" w:color="auto"/>
      </w:divBdr>
    </w:div>
    <w:div w:id="1405253529">
      <w:bodyDiv w:val="1"/>
      <w:marLeft w:val="0"/>
      <w:marRight w:val="0"/>
      <w:marTop w:val="0"/>
      <w:marBottom w:val="0"/>
      <w:divBdr>
        <w:top w:val="none" w:sz="0" w:space="0" w:color="auto"/>
        <w:left w:val="none" w:sz="0" w:space="0" w:color="auto"/>
        <w:bottom w:val="none" w:sz="0" w:space="0" w:color="auto"/>
        <w:right w:val="none" w:sz="0" w:space="0" w:color="auto"/>
      </w:divBdr>
    </w:div>
    <w:div w:id="1405300687">
      <w:bodyDiv w:val="1"/>
      <w:marLeft w:val="0"/>
      <w:marRight w:val="0"/>
      <w:marTop w:val="0"/>
      <w:marBottom w:val="0"/>
      <w:divBdr>
        <w:top w:val="none" w:sz="0" w:space="0" w:color="auto"/>
        <w:left w:val="none" w:sz="0" w:space="0" w:color="auto"/>
        <w:bottom w:val="none" w:sz="0" w:space="0" w:color="auto"/>
        <w:right w:val="none" w:sz="0" w:space="0" w:color="auto"/>
      </w:divBdr>
    </w:div>
    <w:div w:id="1405300887">
      <w:bodyDiv w:val="1"/>
      <w:marLeft w:val="0"/>
      <w:marRight w:val="0"/>
      <w:marTop w:val="0"/>
      <w:marBottom w:val="0"/>
      <w:divBdr>
        <w:top w:val="none" w:sz="0" w:space="0" w:color="auto"/>
        <w:left w:val="none" w:sz="0" w:space="0" w:color="auto"/>
        <w:bottom w:val="none" w:sz="0" w:space="0" w:color="auto"/>
        <w:right w:val="none" w:sz="0" w:space="0" w:color="auto"/>
      </w:divBdr>
    </w:div>
    <w:div w:id="1405487277">
      <w:bodyDiv w:val="1"/>
      <w:marLeft w:val="0"/>
      <w:marRight w:val="0"/>
      <w:marTop w:val="0"/>
      <w:marBottom w:val="0"/>
      <w:divBdr>
        <w:top w:val="none" w:sz="0" w:space="0" w:color="auto"/>
        <w:left w:val="none" w:sz="0" w:space="0" w:color="auto"/>
        <w:bottom w:val="none" w:sz="0" w:space="0" w:color="auto"/>
        <w:right w:val="none" w:sz="0" w:space="0" w:color="auto"/>
      </w:divBdr>
    </w:div>
    <w:div w:id="1405491696">
      <w:bodyDiv w:val="1"/>
      <w:marLeft w:val="0"/>
      <w:marRight w:val="0"/>
      <w:marTop w:val="0"/>
      <w:marBottom w:val="0"/>
      <w:divBdr>
        <w:top w:val="none" w:sz="0" w:space="0" w:color="auto"/>
        <w:left w:val="none" w:sz="0" w:space="0" w:color="auto"/>
        <w:bottom w:val="none" w:sz="0" w:space="0" w:color="auto"/>
        <w:right w:val="none" w:sz="0" w:space="0" w:color="auto"/>
      </w:divBdr>
    </w:div>
    <w:div w:id="1405571839">
      <w:bodyDiv w:val="1"/>
      <w:marLeft w:val="0"/>
      <w:marRight w:val="0"/>
      <w:marTop w:val="0"/>
      <w:marBottom w:val="0"/>
      <w:divBdr>
        <w:top w:val="none" w:sz="0" w:space="0" w:color="auto"/>
        <w:left w:val="none" w:sz="0" w:space="0" w:color="auto"/>
        <w:bottom w:val="none" w:sz="0" w:space="0" w:color="auto"/>
        <w:right w:val="none" w:sz="0" w:space="0" w:color="auto"/>
      </w:divBdr>
    </w:div>
    <w:div w:id="1405760894">
      <w:bodyDiv w:val="1"/>
      <w:marLeft w:val="0"/>
      <w:marRight w:val="0"/>
      <w:marTop w:val="0"/>
      <w:marBottom w:val="0"/>
      <w:divBdr>
        <w:top w:val="none" w:sz="0" w:space="0" w:color="auto"/>
        <w:left w:val="none" w:sz="0" w:space="0" w:color="auto"/>
        <w:bottom w:val="none" w:sz="0" w:space="0" w:color="auto"/>
        <w:right w:val="none" w:sz="0" w:space="0" w:color="auto"/>
      </w:divBdr>
    </w:div>
    <w:div w:id="1405835804">
      <w:bodyDiv w:val="1"/>
      <w:marLeft w:val="0"/>
      <w:marRight w:val="0"/>
      <w:marTop w:val="0"/>
      <w:marBottom w:val="0"/>
      <w:divBdr>
        <w:top w:val="none" w:sz="0" w:space="0" w:color="auto"/>
        <w:left w:val="none" w:sz="0" w:space="0" w:color="auto"/>
        <w:bottom w:val="none" w:sz="0" w:space="0" w:color="auto"/>
        <w:right w:val="none" w:sz="0" w:space="0" w:color="auto"/>
      </w:divBdr>
    </w:div>
    <w:div w:id="1405839242">
      <w:bodyDiv w:val="1"/>
      <w:marLeft w:val="0"/>
      <w:marRight w:val="0"/>
      <w:marTop w:val="0"/>
      <w:marBottom w:val="0"/>
      <w:divBdr>
        <w:top w:val="none" w:sz="0" w:space="0" w:color="auto"/>
        <w:left w:val="none" w:sz="0" w:space="0" w:color="auto"/>
        <w:bottom w:val="none" w:sz="0" w:space="0" w:color="auto"/>
        <w:right w:val="none" w:sz="0" w:space="0" w:color="auto"/>
      </w:divBdr>
    </w:div>
    <w:div w:id="1405958535">
      <w:bodyDiv w:val="1"/>
      <w:marLeft w:val="0"/>
      <w:marRight w:val="0"/>
      <w:marTop w:val="0"/>
      <w:marBottom w:val="0"/>
      <w:divBdr>
        <w:top w:val="none" w:sz="0" w:space="0" w:color="auto"/>
        <w:left w:val="none" w:sz="0" w:space="0" w:color="auto"/>
        <w:bottom w:val="none" w:sz="0" w:space="0" w:color="auto"/>
        <w:right w:val="none" w:sz="0" w:space="0" w:color="auto"/>
      </w:divBdr>
    </w:div>
    <w:div w:id="1406029447">
      <w:bodyDiv w:val="1"/>
      <w:marLeft w:val="0"/>
      <w:marRight w:val="0"/>
      <w:marTop w:val="0"/>
      <w:marBottom w:val="0"/>
      <w:divBdr>
        <w:top w:val="none" w:sz="0" w:space="0" w:color="auto"/>
        <w:left w:val="none" w:sz="0" w:space="0" w:color="auto"/>
        <w:bottom w:val="none" w:sz="0" w:space="0" w:color="auto"/>
        <w:right w:val="none" w:sz="0" w:space="0" w:color="auto"/>
      </w:divBdr>
    </w:div>
    <w:div w:id="1406104033">
      <w:bodyDiv w:val="1"/>
      <w:marLeft w:val="0"/>
      <w:marRight w:val="0"/>
      <w:marTop w:val="0"/>
      <w:marBottom w:val="0"/>
      <w:divBdr>
        <w:top w:val="none" w:sz="0" w:space="0" w:color="auto"/>
        <w:left w:val="none" w:sz="0" w:space="0" w:color="auto"/>
        <w:bottom w:val="none" w:sz="0" w:space="0" w:color="auto"/>
        <w:right w:val="none" w:sz="0" w:space="0" w:color="auto"/>
      </w:divBdr>
    </w:div>
    <w:div w:id="1406224385">
      <w:bodyDiv w:val="1"/>
      <w:marLeft w:val="0"/>
      <w:marRight w:val="0"/>
      <w:marTop w:val="0"/>
      <w:marBottom w:val="0"/>
      <w:divBdr>
        <w:top w:val="none" w:sz="0" w:space="0" w:color="auto"/>
        <w:left w:val="none" w:sz="0" w:space="0" w:color="auto"/>
        <w:bottom w:val="none" w:sz="0" w:space="0" w:color="auto"/>
        <w:right w:val="none" w:sz="0" w:space="0" w:color="auto"/>
      </w:divBdr>
    </w:div>
    <w:div w:id="1406225605">
      <w:bodyDiv w:val="1"/>
      <w:marLeft w:val="0"/>
      <w:marRight w:val="0"/>
      <w:marTop w:val="0"/>
      <w:marBottom w:val="0"/>
      <w:divBdr>
        <w:top w:val="none" w:sz="0" w:space="0" w:color="auto"/>
        <w:left w:val="none" w:sz="0" w:space="0" w:color="auto"/>
        <w:bottom w:val="none" w:sz="0" w:space="0" w:color="auto"/>
        <w:right w:val="none" w:sz="0" w:space="0" w:color="auto"/>
      </w:divBdr>
    </w:div>
    <w:div w:id="1406294661">
      <w:bodyDiv w:val="1"/>
      <w:marLeft w:val="0"/>
      <w:marRight w:val="0"/>
      <w:marTop w:val="0"/>
      <w:marBottom w:val="0"/>
      <w:divBdr>
        <w:top w:val="none" w:sz="0" w:space="0" w:color="auto"/>
        <w:left w:val="none" w:sz="0" w:space="0" w:color="auto"/>
        <w:bottom w:val="none" w:sz="0" w:space="0" w:color="auto"/>
        <w:right w:val="none" w:sz="0" w:space="0" w:color="auto"/>
      </w:divBdr>
    </w:div>
    <w:div w:id="1406299090">
      <w:bodyDiv w:val="1"/>
      <w:marLeft w:val="0"/>
      <w:marRight w:val="0"/>
      <w:marTop w:val="0"/>
      <w:marBottom w:val="0"/>
      <w:divBdr>
        <w:top w:val="none" w:sz="0" w:space="0" w:color="auto"/>
        <w:left w:val="none" w:sz="0" w:space="0" w:color="auto"/>
        <w:bottom w:val="none" w:sz="0" w:space="0" w:color="auto"/>
        <w:right w:val="none" w:sz="0" w:space="0" w:color="auto"/>
      </w:divBdr>
    </w:div>
    <w:div w:id="1406342165">
      <w:bodyDiv w:val="1"/>
      <w:marLeft w:val="0"/>
      <w:marRight w:val="0"/>
      <w:marTop w:val="0"/>
      <w:marBottom w:val="0"/>
      <w:divBdr>
        <w:top w:val="none" w:sz="0" w:space="0" w:color="auto"/>
        <w:left w:val="none" w:sz="0" w:space="0" w:color="auto"/>
        <w:bottom w:val="none" w:sz="0" w:space="0" w:color="auto"/>
        <w:right w:val="none" w:sz="0" w:space="0" w:color="auto"/>
      </w:divBdr>
    </w:div>
    <w:div w:id="1406411948">
      <w:bodyDiv w:val="1"/>
      <w:marLeft w:val="0"/>
      <w:marRight w:val="0"/>
      <w:marTop w:val="0"/>
      <w:marBottom w:val="0"/>
      <w:divBdr>
        <w:top w:val="none" w:sz="0" w:space="0" w:color="auto"/>
        <w:left w:val="none" w:sz="0" w:space="0" w:color="auto"/>
        <w:bottom w:val="none" w:sz="0" w:space="0" w:color="auto"/>
        <w:right w:val="none" w:sz="0" w:space="0" w:color="auto"/>
      </w:divBdr>
    </w:div>
    <w:div w:id="1406492657">
      <w:bodyDiv w:val="1"/>
      <w:marLeft w:val="0"/>
      <w:marRight w:val="0"/>
      <w:marTop w:val="0"/>
      <w:marBottom w:val="0"/>
      <w:divBdr>
        <w:top w:val="none" w:sz="0" w:space="0" w:color="auto"/>
        <w:left w:val="none" w:sz="0" w:space="0" w:color="auto"/>
        <w:bottom w:val="none" w:sz="0" w:space="0" w:color="auto"/>
        <w:right w:val="none" w:sz="0" w:space="0" w:color="auto"/>
      </w:divBdr>
    </w:div>
    <w:div w:id="1406534393">
      <w:bodyDiv w:val="1"/>
      <w:marLeft w:val="0"/>
      <w:marRight w:val="0"/>
      <w:marTop w:val="0"/>
      <w:marBottom w:val="0"/>
      <w:divBdr>
        <w:top w:val="none" w:sz="0" w:space="0" w:color="auto"/>
        <w:left w:val="none" w:sz="0" w:space="0" w:color="auto"/>
        <w:bottom w:val="none" w:sz="0" w:space="0" w:color="auto"/>
        <w:right w:val="none" w:sz="0" w:space="0" w:color="auto"/>
      </w:divBdr>
    </w:div>
    <w:div w:id="1406562966">
      <w:bodyDiv w:val="1"/>
      <w:marLeft w:val="0"/>
      <w:marRight w:val="0"/>
      <w:marTop w:val="0"/>
      <w:marBottom w:val="0"/>
      <w:divBdr>
        <w:top w:val="none" w:sz="0" w:space="0" w:color="auto"/>
        <w:left w:val="none" w:sz="0" w:space="0" w:color="auto"/>
        <w:bottom w:val="none" w:sz="0" w:space="0" w:color="auto"/>
        <w:right w:val="none" w:sz="0" w:space="0" w:color="auto"/>
      </w:divBdr>
    </w:div>
    <w:div w:id="1406604676">
      <w:bodyDiv w:val="1"/>
      <w:marLeft w:val="0"/>
      <w:marRight w:val="0"/>
      <w:marTop w:val="0"/>
      <w:marBottom w:val="0"/>
      <w:divBdr>
        <w:top w:val="none" w:sz="0" w:space="0" w:color="auto"/>
        <w:left w:val="none" w:sz="0" w:space="0" w:color="auto"/>
        <w:bottom w:val="none" w:sz="0" w:space="0" w:color="auto"/>
        <w:right w:val="none" w:sz="0" w:space="0" w:color="auto"/>
      </w:divBdr>
    </w:div>
    <w:div w:id="1406612014">
      <w:bodyDiv w:val="1"/>
      <w:marLeft w:val="0"/>
      <w:marRight w:val="0"/>
      <w:marTop w:val="0"/>
      <w:marBottom w:val="0"/>
      <w:divBdr>
        <w:top w:val="none" w:sz="0" w:space="0" w:color="auto"/>
        <w:left w:val="none" w:sz="0" w:space="0" w:color="auto"/>
        <w:bottom w:val="none" w:sz="0" w:space="0" w:color="auto"/>
        <w:right w:val="none" w:sz="0" w:space="0" w:color="auto"/>
      </w:divBdr>
    </w:div>
    <w:div w:id="1406612338">
      <w:bodyDiv w:val="1"/>
      <w:marLeft w:val="0"/>
      <w:marRight w:val="0"/>
      <w:marTop w:val="0"/>
      <w:marBottom w:val="0"/>
      <w:divBdr>
        <w:top w:val="none" w:sz="0" w:space="0" w:color="auto"/>
        <w:left w:val="none" w:sz="0" w:space="0" w:color="auto"/>
        <w:bottom w:val="none" w:sz="0" w:space="0" w:color="auto"/>
        <w:right w:val="none" w:sz="0" w:space="0" w:color="auto"/>
      </w:divBdr>
    </w:div>
    <w:div w:id="1406682204">
      <w:bodyDiv w:val="1"/>
      <w:marLeft w:val="0"/>
      <w:marRight w:val="0"/>
      <w:marTop w:val="0"/>
      <w:marBottom w:val="0"/>
      <w:divBdr>
        <w:top w:val="none" w:sz="0" w:space="0" w:color="auto"/>
        <w:left w:val="none" w:sz="0" w:space="0" w:color="auto"/>
        <w:bottom w:val="none" w:sz="0" w:space="0" w:color="auto"/>
        <w:right w:val="none" w:sz="0" w:space="0" w:color="auto"/>
      </w:divBdr>
    </w:div>
    <w:div w:id="1406682749">
      <w:bodyDiv w:val="1"/>
      <w:marLeft w:val="0"/>
      <w:marRight w:val="0"/>
      <w:marTop w:val="0"/>
      <w:marBottom w:val="0"/>
      <w:divBdr>
        <w:top w:val="none" w:sz="0" w:space="0" w:color="auto"/>
        <w:left w:val="none" w:sz="0" w:space="0" w:color="auto"/>
        <w:bottom w:val="none" w:sz="0" w:space="0" w:color="auto"/>
        <w:right w:val="none" w:sz="0" w:space="0" w:color="auto"/>
      </w:divBdr>
    </w:div>
    <w:div w:id="1406687707">
      <w:bodyDiv w:val="1"/>
      <w:marLeft w:val="0"/>
      <w:marRight w:val="0"/>
      <w:marTop w:val="0"/>
      <w:marBottom w:val="0"/>
      <w:divBdr>
        <w:top w:val="none" w:sz="0" w:space="0" w:color="auto"/>
        <w:left w:val="none" w:sz="0" w:space="0" w:color="auto"/>
        <w:bottom w:val="none" w:sz="0" w:space="0" w:color="auto"/>
        <w:right w:val="none" w:sz="0" w:space="0" w:color="auto"/>
      </w:divBdr>
    </w:div>
    <w:div w:id="1406799169">
      <w:bodyDiv w:val="1"/>
      <w:marLeft w:val="0"/>
      <w:marRight w:val="0"/>
      <w:marTop w:val="0"/>
      <w:marBottom w:val="0"/>
      <w:divBdr>
        <w:top w:val="none" w:sz="0" w:space="0" w:color="auto"/>
        <w:left w:val="none" w:sz="0" w:space="0" w:color="auto"/>
        <w:bottom w:val="none" w:sz="0" w:space="0" w:color="auto"/>
        <w:right w:val="none" w:sz="0" w:space="0" w:color="auto"/>
      </w:divBdr>
    </w:div>
    <w:div w:id="1406801148">
      <w:bodyDiv w:val="1"/>
      <w:marLeft w:val="0"/>
      <w:marRight w:val="0"/>
      <w:marTop w:val="0"/>
      <w:marBottom w:val="0"/>
      <w:divBdr>
        <w:top w:val="none" w:sz="0" w:space="0" w:color="auto"/>
        <w:left w:val="none" w:sz="0" w:space="0" w:color="auto"/>
        <w:bottom w:val="none" w:sz="0" w:space="0" w:color="auto"/>
        <w:right w:val="none" w:sz="0" w:space="0" w:color="auto"/>
      </w:divBdr>
    </w:div>
    <w:div w:id="1406804345">
      <w:bodyDiv w:val="1"/>
      <w:marLeft w:val="0"/>
      <w:marRight w:val="0"/>
      <w:marTop w:val="0"/>
      <w:marBottom w:val="0"/>
      <w:divBdr>
        <w:top w:val="none" w:sz="0" w:space="0" w:color="auto"/>
        <w:left w:val="none" w:sz="0" w:space="0" w:color="auto"/>
        <w:bottom w:val="none" w:sz="0" w:space="0" w:color="auto"/>
        <w:right w:val="none" w:sz="0" w:space="0" w:color="auto"/>
      </w:divBdr>
    </w:div>
    <w:div w:id="1406804916">
      <w:bodyDiv w:val="1"/>
      <w:marLeft w:val="0"/>
      <w:marRight w:val="0"/>
      <w:marTop w:val="0"/>
      <w:marBottom w:val="0"/>
      <w:divBdr>
        <w:top w:val="none" w:sz="0" w:space="0" w:color="auto"/>
        <w:left w:val="none" w:sz="0" w:space="0" w:color="auto"/>
        <w:bottom w:val="none" w:sz="0" w:space="0" w:color="auto"/>
        <w:right w:val="none" w:sz="0" w:space="0" w:color="auto"/>
      </w:divBdr>
    </w:div>
    <w:div w:id="1406806563">
      <w:bodyDiv w:val="1"/>
      <w:marLeft w:val="0"/>
      <w:marRight w:val="0"/>
      <w:marTop w:val="0"/>
      <w:marBottom w:val="0"/>
      <w:divBdr>
        <w:top w:val="none" w:sz="0" w:space="0" w:color="auto"/>
        <w:left w:val="none" w:sz="0" w:space="0" w:color="auto"/>
        <w:bottom w:val="none" w:sz="0" w:space="0" w:color="auto"/>
        <w:right w:val="none" w:sz="0" w:space="0" w:color="auto"/>
      </w:divBdr>
    </w:div>
    <w:div w:id="1407000205">
      <w:bodyDiv w:val="1"/>
      <w:marLeft w:val="0"/>
      <w:marRight w:val="0"/>
      <w:marTop w:val="0"/>
      <w:marBottom w:val="0"/>
      <w:divBdr>
        <w:top w:val="none" w:sz="0" w:space="0" w:color="auto"/>
        <w:left w:val="none" w:sz="0" w:space="0" w:color="auto"/>
        <w:bottom w:val="none" w:sz="0" w:space="0" w:color="auto"/>
        <w:right w:val="none" w:sz="0" w:space="0" w:color="auto"/>
      </w:divBdr>
    </w:div>
    <w:div w:id="1407530277">
      <w:bodyDiv w:val="1"/>
      <w:marLeft w:val="0"/>
      <w:marRight w:val="0"/>
      <w:marTop w:val="0"/>
      <w:marBottom w:val="0"/>
      <w:divBdr>
        <w:top w:val="none" w:sz="0" w:space="0" w:color="auto"/>
        <w:left w:val="none" w:sz="0" w:space="0" w:color="auto"/>
        <w:bottom w:val="none" w:sz="0" w:space="0" w:color="auto"/>
        <w:right w:val="none" w:sz="0" w:space="0" w:color="auto"/>
      </w:divBdr>
    </w:div>
    <w:div w:id="1407612997">
      <w:bodyDiv w:val="1"/>
      <w:marLeft w:val="0"/>
      <w:marRight w:val="0"/>
      <w:marTop w:val="0"/>
      <w:marBottom w:val="0"/>
      <w:divBdr>
        <w:top w:val="none" w:sz="0" w:space="0" w:color="auto"/>
        <w:left w:val="none" w:sz="0" w:space="0" w:color="auto"/>
        <w:bottom w:val="none" w:sz="0" w:space="0" w:color="auto"/>
        <w:right w:val="none" w:sz="0" w:space="0" w:color="auto"/>
      </w:divBdr>
    </w:div>
    <w:div w:id="1407655504">
      <w:bodyDiv w:val="1"/>
      <w:marLeft w:val="0"/>
      <w:marRight w:val="0"/>
      <w:marTop w:val="0"/>
      <w:marBottom w:val="0"/>
      <w:divBdr>
        <w:top w:val="none" w:sz="0" w:space="0" w:color="auto"/>
        <w:left w:val="none" w:sz="0" w:space="0" w:color="auto"/>
        <w:bottom w:val="none" w:sz="0" w:space="0" w:color="auto"/>
        <w:right w:val="none" w:sz="0" w:space="0" w:color="auto"/>
      </w:divBdr>
    </w:div>
    <w:div w:id="1407802629">
      <w:bodyDiv w:val="1"/>
      <w:marLeft w:val="0"/>
      <w:marRight w:val="0"/>
      <w:marTop w:val="0"/>
      <w:marBottom w:val="0"/>
      <w:divBdr>
        <w:top w:val="none" w:sz="0" w:space="0" w:color="auto"/>
        <w:left w:val="none" w:sz="0" w:space="0" w:color="auto"/>
        <w:bottom w:val="none" w:sz="0" w:space="0" w:color="auto"/>
        <w:right w:val="none" w:sz="0" w:space="0" w:color="auto"/>
      </w:divBdr>
    </w:div>
    <w:div w:id="1408265718">
      <w:bodyDiv w:val="1"/>
      <w:marLeft w:val="0"/>
      <w:marRight w:val="0"/>
      <w:marTop w:val="0"/>
      <w:marBottom w:val="0"/>
      <w:divBdr>
        <w:top w:val="none" w:sz="0" w:space="0" w:color="auto"/>
        <w:left w:val="none" w:sz="0" w:space="0" w:color="auto"/>
        <w:bottom w:val="none" w:sz="0" w:space="0" w:color="auto"/>
        <w:right w:val="none" w:sz="0" w:space="0" w:color="auto"/>
      </w:divBdr>
    </w:div>
    <w:div w:id="1408309016">
      <w:bodyDiv w:val="1"/>
      <w:marLeft w:val="0"/>
      <w:marRight w:val="0"/>
      <w:marTop w:val="0"/>
      <w:marBottom w:val="0"/>
      <w:divBdr>
        <w:top w:val="none" w:sz="0" w:space="0" w:color="auto"/>
        <w:left w:val="none" w:sz="0" w:space="0" w:color="auto"/>
        <w:bottom w:val="none" w:sz="0" w:space="0" w:color="auto"/>
        <w:right w:val="none" w:sz="0" w:space="0" w:color="auto"/>
      </w:divBdr>
    </w:div>
    <w:div w:id="1408335382">
      <w:bodyDiv w:val="1"/>
      <w:marLeft w:val="0"/>
      <w:marRight w:val="0"/>
      <w:marTop w:val="0"/>
      <w:marBottom w:val="0"/>
      <w:divBdr>
        <w:top w:val="none" w:sz="0" w:space="0" w:color="auto"/>
        <w:left w:val="none" w:sz="0" w:space="0" w:color="auto"/>
        <w:bottom w:val="none" w:sz="0" w:space="0" w:color="auto"/>
        <w:right w:val="none" w:sz="0" w:space="0" w:color="auto"/>
      </w:divBdr>
    </w:div>
    <w:div w:id="1408384834">
      <w:bodyDiv w:val="1"/>
      <w:marLeft w:val="0"/>
      <w:marRight w:val="0"/>
      <w:marTop w:val="0"/>
      <w:marBottom w:val="0"/>
      <w:divBdr>
        <w:top w:val="none" w:sz="0" w:space="0" w:color="auto"/>
        <w:left w:val="none" w:sz="0" w:space="0" w:color="auto"/>
        <w:bottom w:val="none" w:sz="0" w:space="0" w:color="auto"/>
        <w:right w:val="none" w:sz="0" w:space="0" w:color="auto"/>
      </w:divBdr>
    </w:div>
    <w:div w:id="1408531196">
      <w:bodyDiv w:val="1"/>
      <w:marLeft w:val="0"/>
      <w:marRight w:val="0"/>
      <w:marTop w:val="0"/>
      <w:marBottom w:val="0"/>
      <w:divBdr>
        <w:top w:val="none" w:sz="0" w:space="0" w:color="auto"/>
        <w:left w:val="none" w:sz="0" w:space="0" w:color="auto"/>
        <w:bottom w:val="none" w:sz="0" w:space="0" w:color="auto"/>
        <w:right w:val="none" w:sz="0" w:space="0" w:color="auto"/>
      </w:divBdr>
    </w:div>
    <w:div w:id="1408570963">
      <w:bodyDiv w:val="1"/>
      <w:marLeft w:val="0"/>
      <w:marRight w:val="0"/>
      <w:marTop w:val="0"/>
      <w:marBottom w:val="0"/>
      <w:divBdr>
        <w:top w:val="none" w:sz="0" w:space="0" w:color="auto"/>
        <w:left w:val="none" w:sz="0" w:space="0" w:color="auto"/>
        <w:bottom w:val="none" w:sz="0" w:space="0" w:color="auto"/>
        <w:right w:val="none" w:sz="0" w:space="0" w:color="auto"/>
      </w:divBdr>
    </w:div>
    <w:div w:id="1408571269">
      <w:bodyDiv w:val="1"/>
      <w:marLeft w:val="0"/>
      <w:marRight w:val="0"/>
      <w:marTop w:val="0"/>
      <w:marBottom w:val="0"/>
      <w:divBdr>
        <w:top w:val="none" w:sz="0" w:space="0" w:color="auto"/>
        <w:left w:val="none" w:sz="0" w:space="0" w:color="auto"/>
        <w:bottom w:val="none" w:sz="0" w:space="0" w:color="auto"/>
        <w:right w:val="none" w:sz="0" w:space="0" w:color="auto"/>
      </w:divBdr>
    </w:div>
    <w:div w:id="1408579175">
      <w:bodyDiv w:val="1"/>
      <w:marLeft w:val="0"/>
      <w:marRight w:val="0"/>
      <w:marTop w:val="0"/>
      <w:marBottom w:val="0"/>
      <w:divBdr>
        <w:top w:val="none" w:sz="0" w:space="0" w:color="auto"/>
        <w:left w:val="none" w:sz="0" w:space="0" w:color="auto"/>
        <w:bottom w:val="none" w:sz="0" w:space="0" w:color="auto"/>
        <w:right w:val="none" w:sz="0" w:space="0" w:color="auto"/>
      </w:divBdr>
    </w:div>
    <w:div w:id="140883989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5308">
      <w:bodyDiv w:val="1"/>
      <w:marLeft w:val="0"/>
      <w:marRight w:val="0"/>
      <w:marTop w:val="0"/>
      <w:marBottom w:val="0"/>
      <w:divBdr>
        <w:top w:val="none" w:sz="0" w:space="0" w:color="auto"/>
        <w:left w:val="none" w:sz="0" w:space="0" w:color="auto"/>
        <w:bottom w:val="none" w:sz="0" w:space="0" w:color="auto"/>
        <w:right w:val="none" w:sz="0" w:space="0" w:color="auto"/>
      </w:divBdr>
    </w:div>
    <w:div w:id="1408919174">
      <w:bodyDiv w:val="1"/>
      <w:marLeft w:val="0"/>
      <w:marRight w:val="0"/>
      <w:marTop w:val="0"/>
      <w:marBottom w:val="0"/>
      <w:divBdr>
        <w:top w:val="none" w:sz="0" w:space="0" w:color="auto"/>
        <w:left w:val="none" w:sz="0" w:space="0" w:color="auto"/>
        <w:bottom w:val="none" w:sz="0" w:space="0" w:color="auto"/>
        <w:right w:val="none" w:sz="0" w:space="0" w:color="auto"/>
      </w:divBdr>
    </w:div>
    <w:div w:id="1408963388">
      <w:bodyDiv w:val="1"/>
      <w:marLeft w:val="0"/>
      <w:marRight w:val="0"/>
      <w:marTop w:val="0"/>
      <w:marBottom w:val="0"/>
      <w:divBdr>
        <w:top w:val="none" w:sz="0" w:space="0" w:color="auto"/>
        <w:left w:val="none" w:sz="0" w:space="0" w:color="auto"/>
        <w:bottom w:val="none" w:sz="0" w:space="0" w:color="auto"/>
        <w:right w:val="none" w:sz="0" w:space="0" w:color="auto"/>
      </w:divBdr>
    </w:div>
    <w:div w:id="1408963648">
      <w:bodyDiv w:val="1"/>
      <w:marLeft w:val="0"/>
      <w:marRight w:val="0"/>
      <w:marTop w:val="0"/>
      <w:marBottom w:val="0"/>
      <w:divBdr>
        <w:top w:val="none" w:sz="0" w:space="0" w:color="auto"/>
        <w:left w:val="none" w:sz="0" w:space="0" w:color="auto"/>
        <w:bottom w:val="none" w:sz="0" w:space="0" w:color="auto"/>
        <w:right w:val="none" w:sz="0" w:space="0" w:color="auto"/>
      </w:divBdr>
    </w:div>
    <w:div w:id="1409108803">
      <w:bodyDiv w:val="1"/>
      <w:marLeft w:val="0"/>
      <w:marRight w:val="0"/>
      <w:marTop w:val="0"/>
      <w:marBottom w:val="0"/>
      <w:divBdr>
        <w:top w:val="none" w:sz="0" w:space="0" w:color="auto"/>
        <w:left w:val="none" w:sz="0" w:space="0" w:color="auto"/>
        <w:bottom w:val="none" w:sz="0" w:space="0" w:color="auto"/>
        <w:right w:val="none" w:sz="0" w:space="0" w:color="auto"/>
      </w:divBdr>
    </w:div>
    <w:div w:id="1409182944">
      <w:bodyDiv w:val="1"/>
      <w:marLeft w:val="0"/>
      <w:marRight w:val="0"/>
      <w:marTop w:val="0"/>
      <w:marBottom w:val="0"/>
      <w:divBdr>
        <w:top w:val="none" w:sz="0" w:space="0" w:color="auto"/>
        <w:left w:val="none" w:sz="0" w:space="0" w:color="auto"/>
        <w:bottom w:val="none" w:sz="0" w:space="0" w:color="auto"/>
        <w:right w:val="none" w:sz="0" w:space="0" w:color="auto"/>
      </w:divBdr>
    </w:div>
    <w:div w:id="1409227339">
      <w:bodyDiv w:val="1"/>
      <w:marLeft w:val="0"/>
      <w:marRight w:val="0"/>
      <w:marTop w:val="0"/>
      <w:marBottom w:val="0"/>
      <w:divBdr>
        <w:top w:val="none" w:sz="0" w:space="0" w:color="auto"/>
        <w:left w:val="none" w:sz="0" w:space="0" w:color="auto"/>
        <w:bottom w:val="none" w:sz="0" w:space="0" w:color="auto"/>
        <w:right w:val="none" w:sz="0" w:space="0" w:color="auto"/>
      </w:divBdr>
    </w:div>
    <w:div w:id="1409303641">
      <w:bodyDiv w:val="1"/>
      <w:marLeft w:val="0"/>
      <w:marRight w:val="0"/>
      <w:marTop w:val="0"/>
      <w:marBottom w:val="0"/>
      <w:divBdr>
        <w:top w:val="none" w:sz="0" w:space="0" w:color="auto"/>
        <w:left w:val="none" w:sz="0" w:space="0" w:color="auto"/>
        <w:bottom w:val="none" w:sz="0" w:space="0" w:color="auto"/>
        <w:right w:val="none" w:sz="0" w:space="0" w:color="auto"/>
      </w:divBdr>
    </w:div>
    <w:div w:id="1409307778">
      <w:bodyDiv w:val="1"/>
      <w:marLeft w:val="0"/>
      <w:marRight w:val="0"/>
      <w:marTop w:val="0"/>
      <w:marBottom w:val="0"/>
      <w:divBdr>
        <w:top w:val="none" w:sz="0" w:space="0" w:color="auto"/>
        <w:left w:val="none" w:sz="0" w:space="0" w:color="auto"/>
        <w:bottom w:val="none" w:sz="0" w:space="0" w:color="auto"/>
        <w:right w:val="none" w:sz="0" w:space="0" w:color="auto"/>
      </w:divBdr>
    </w:div>
    <w:div w:id="1409380932">
      <w:bodyDiv w:val="1"/>
      <w:marLeft w:val="0"/>
      <w:marRight w:val="0"/>
      <w:marTop w:val="0"/>
      <w:marBottom w:val="0"/>
      <w:divBdr>
        <w:top w:val="none" w:sz="0" w:space="0" w:color="auto"/>
        <w:left w:val="none" w:sz="0" w:space="0" w:color="auto"/>
        <w:bottom w:val="none" w:sz="0" w:space="0" w:color="auto"/>
        <w:right w:val="none" w:sz="0" w:space="0" w:color="auto"/>
      </w:divBdr>
    </w:div>
    <w:div w:id="1409503403">
      <w:bodyDiv w:val="1"/>
      <w:marLeft w:val="0"/>
      <w:marRight w:val="0"/>
      <w:marTop w:val="0"/>
      <w:marBottom w:val="0"/>
      <w:divBdr>
        <w:top w:val="none" w:sz="0" w:space="0" w:color="auto"/>
        <w:left w:val="none" w:sz="0" w:space="0" w:color="auto"/>
        <w:bottom w:val="none" w:sz="0" w:space="0" w:color="auto"/>
        <w:right w:val="none" w:sz="0" w:space="0" w:color="auto"/>
      </w:divBdr>
    </w:div>
    <w:div w:id="1409886452">
      <w:bodyDiv w:val="1"/>
      <w:marLeft w:val="0"/>
      <w:marRight w:val="0"/>
      <w:marTop w:val="0"/>
      <w:marBottom w:val="0"/>
      <w:divBdr>
        <w:top w:val="none" w:sz="0" w:space="0" w:color="auto"/>
        <w:left w:val="none" w:sz="0" w:space="0" w:color="auto"/>
        <w:bottom w:val="none" w:sz="0" w:space="0" w:color="auto"/>
        <w:right w:val="none" w:sz="0" w:space="0" w:color="auto"/>
      </w:divBdr>
    </w:div>
    <w:div w:id="1410037887">
      <w:bodyDiv w:val="1"/>
      <w:marLeft w:val="0"/>
      <w:marRight w:val="0"/>
      <w:marTop w:val="0"/>
      <w:marBottom w:val="0"/>
      <w:divBdr>
        <w:top w:val="none" w:sz="0" w:space="0" w:color="auto"/>
        <w:left w:val="none" w:sz="0" w:space="0" w:color="auto"/>
        <w:bottom w:val="none" w:sz="0" w:space="0" w:color="auto"/>
        <w:right w:val="none" w:sz="0" w:space="0" w:color="auto"/>
      </w:divBdr>
    </w:div>
    <w:div w:id="1410273925">
      <w:bodyDiv w:val="1"/>
      <w:marLeft w:val="0"/>
      <w:marRight w:val="0"/>
      <w:marTop w:val="0"/>
      <w:marBottom w:val="0"/>
      <w:divBdr>
        <w:top w:val="none" w:sz="0" w:space="0" w:color="auto"/>
        <w:left w:val="none" w:sz="0" w:space="0" w:color="auto"/>
        <w:bottom w:val="none" w:sz="0" w:space="0" w:color="auto"/>
        <w:right w:val="none" w:sz="0" w:space="0" w:color="auto"/>
      </w:divBdr>
    </w:div>
    <w:div w:id="1410342583">
      <w:bodyDiv w:val="1"/>
      <w:marLeft w:val="0"/>
      <w:marRight w:val="0"/>
      <w:marTop w:val="0"/>
      <w:marBottom w:val="0"/>
      <w:divBdr>
        <w:top w:val="none" w:sz="0" w:space="0" w:color="auto"/>
        <w:left w:val="none" w:sz="0" w:space="0" w:color="auto"/>
        <w:bottom w:val="none" w:sz="0" w:space="0" w:color="auto"/>
        <w:right w:val="none" w:sz="0" w:space="0" w:color="auto"/>
      </w:divBdr>
    </w:div>
    <w:div w:id="1410467228">
      <w:bodyDiv w:val="1"/>
      <w:marLeft w:val="0"/>
      <w:marRight w:val="0"/>
      <w:marTop w:val="0"/>
      <w:marBottom w:val="0"/>
      <w:divBdr>
        <w:top w:val="none" w:sz="0" w:space="0" w:color="auto"/>
        <w:left w:val="none" w:sz="0" w:space="0" w:color="auto"/>
        <w:bottom w:val="none" w:sz="0" w:space="0" w:color="auto"/>
        <w:right w:val="none" w:sz="0" w:space="0" w:color="auto"/>
      </w:divBdr>
    </w:div>
    <w:div w:id="1410688485">
      <w:bodyDiv w:val="1"/>
      <w:marLeft w:val="0"/>
      <w:marRight w:val="0"/>
      <w:marTop w:val="0"/>
      <w:marBottom w:val="0"/>
      <w:divBdr>
        <w:top w:val="none" w:sz="0" w:space="0" w:color="auto"/>
        <w:left w:val="none" w:sz="0" w:space="0" w:color="auto"/>
        <w:bottom w:val="none" w:sz="0" w:space="0" w:color="auto"/>
        <w:right w:val="none" w:sz="0" w:space="0" w:color="auto"/>
      </w:divBdr>
    </w:div>
    <w:div w:id="1410737126">
      <w:bodyDiv w:val="1"/>
      <w:marLeft w:val="0"/>
      <w:marRight w:val="0"/>
      <w:marTop w:val="0"/>
      <w:marBottom w:val="0"/>
      <w:divBdr>
        <w:top w:val="none" w:sz="0" w:space="0" w:color="auto"/>
        <w:left w:val="none" w:sz="0" w:space="0" w:color="auto"/>
        <w:bottom w:val="none" w:sz="0" w:space="0" w:color="auto"/>
        <w:right w:val="none" w:sz="0" w:space="0" w:color="auto"/>
      </w:divBdr>
    </w:div>
    <w:div w:id="1410955179">
      <w:bodyDiv w:val="1"/>
      <w:marLeft w:val="0"/>
      <w:marRight w:val="0"/>
      <w:marTop w:val="0"/>
      <w:marBottom w:val="0"/>
      <w:divBdr>
        <w:top w:val="none" w:sz="0" w:space="0" w:color="auto"/>
        <w:left w:val="none" w:sz="0" w:space="0" w:color="auto"/>
        <w:bottom w:val="none" w:sz="0" w:space="0" w:color="auto"/>
        <w:right w:val="none" w:sz="0" w:space="0" w:color="auto"/>
      </w:divBdr>
    </w:div>
    <w:div w:id="1411080332">
      <w:bodyDiv w:val="1"/>
      <w:marLeft w:val="0"/>
      <w:marRight w:val="0"/>
      <w:marTop w:val="0"/>
      <w:marBottom w:val="0"/>
      <w:divBdr>
        <w:top w:val="none" w:sz="0" w:space="0" w:color="auto"/>
        <w:left w:val="none" w:sz="0" w:space="0" w:color="auto"/>
        <w:bottom w:val="none" w:sz="0" w:space="0" w:color="auto"/>
        <w:right w:val="none" w:sz="0" w:space="0" w:color="auto"/>
      </w:divBdr>
    </w:div>
    <w:div w:id="1411149538">
      <w:bodyDiv w:val="1"/>
      <w:marLeft w:val="0"/>
      <w:marRight w:val="0"/>
      <w:marTop w:val="0"/>
      <w:marBottom w:val="0"/>
      <w:divBdr>
        <w:top w:val="none" w:sz="0" w:space="0" w:color="auto"/>
        <w:left w:val="none" w:sz="0" w:space="0" w:color="auto"/>
        <w:bottom w:val="none" w:sz="0" w:space="0" w:color="auto"/>
        <w:right w:val="none" w:sz="0" w:space="0" w:color="auto"/>
      </w:divBdr>
    </w:div>
    <w:div w:id="1411271695">
      <w:bodyDiv w:val="1"/>
      <w:marLeft w:val="0"/>
      <w:marRight w:val="0"/>
      <w:marTop w:val="0"/>
      <w:marBottom w:val="0"/>
      <w:divBdr>
        <w:top w:val="none" w:sz="0" w:space="0" w:color="auto"/>
        <w:left w:val="none" w:sz="0" w:space="0" w:color="auto"/>
        <w:bottom w:val="none" w:sz="0" w:space="0" w:color="auto"/>
        <w:right w:val="none" w:sz="0" w:space="0" w:color="auto"/>
      </w:divBdr>
    </w:div>
    <w:div w:id="1411275297">
      <w:bodyDiv w:val="1"/>
      <w:marLeft w:val="0"/>
      <w:marRight w:val="0"/>
      <w:marTop w:val="0"/>
      <w:marBottom w:val="0"/>
      <w:divBdr>
        <w:top w:val="none" w:sz="0" w:space="0" w:color="auto"/>
        <w:left w:val="none" w:sz="0" w:space="0" w:color="auto"/>
        <w:bottom w:val="none" w:sz="0" w:space="0" w:color="auto"/>
        <w:right w:val="none" w:sz="0" w:space="0" w:color="auto"/>
      </w:divBdr>
    </w:div>
    <w:div w:id="1411384431">
      <w:bodyDiv w:val="1"/>
      <w:marLeft w:val="0"/>
      <w:marRight w:val="0"/>
      <w:marTop w:val="0"/>
      <w:marBottom w:val="0"/>
      <w:divBdr>
        <w:top w:val="none" w:sz="0" w:space="0" w:color="auto"/>
        <w:left w:val="none" w:sz="0" w:space="0" w:color="auto"/>
        <w:bottom w:val="none" w:sz="0" w:space="0" w:color="auto"/>
        <w:right w:val="none" w:sz="0" w:space="0" w:color="auto"/>
      </w:divBdr>
    </w:div>
    <w:div w:id="1411390434">
      <w:bodyDiv w:val="1"/>
      <w:marLeft w:val="0"/>
      <w:marRight w:val="0"/>
      <w:marTop w:val="0"/>
      <w:marBottom w:val="0"/>
      <w:divBdr>
        <w:top w:val="none" w:sz="0" w:space="0" w:color="auto"/>
        <w:left w:val="none" w:sz="0" w:space="0" w:color="auto"/>
        <w:bottom w:val="none" w:sz="0" w:space="0" w:color="auto"/>
        <w:right w:val="none" w:sz="0" w:space="0" w:color="auto"/>
      </w:divBdr>
    </w:div>
    <w:div w:id="1411580779">
      <w:bodyDiv w:val="1"/>
      <w:marLeft w:val="0"/>
      <w:marRight w:val="0"/>
      <w:marTop w:val="0"/>
      <w:marBottom w:val="0"/>
      <w:divBdr>
        <w:top w:val="none" w:sz="0" w:space="0" w:color="auto"/>
        <w:left w:val="none" w:sz="0" w:space="0" w:color="auto"/>
        <w:bottom w:val="none" w:sz="0" w:space="0" w:color="auto"/>
        <w:right w:val="none" w:sz="0" w:space="0" w:color="auto"/>
      </w:divBdr>
    </w:div>
    <w:div w:id="1411737671">
      <w:bodyDiv w:val="1"/>
      <w:marLeft w:val="0"/>
      <w:marRight w:val="0"/>
      <w:marTop w:val="0"/>
      <w:marBottom w:val="0"/>
      <w:divBdr>
        <w:top w:val="none" w:sz="0" w:space="0" w:color="auto"/>
        <w:left w:val="none" w:sz="0" w:space="0" w:color="auto"/>
        <w:bottom w:val="none" w:sz="0" w:space="0" w:color="auto"/>
        <w:right w:val="none" w:sz="0" w:space="0" w:color="auto"/>
      </w:divBdr>
    </w:div>
    <w:div w:id="1411849829">
      <w:bodyDiv w:val="1"/>
      <w:marLeft w:val="0"/>
      <w:marRight w:val="0"/>
      <w:marTop w:val="0"/>
      <w:marBottom w:val="0"/>
      <w:divBdr>
        <w:top w:val="none" w:sz="0" w:space="0" w:color="auto"/>
        <w:left w:val="none" w:sz="0" w:space="0" w:color="auto"/>
        <w:bottom w:val="none" w:sz="0" w:space="0" w:color="auto"/>
        <w:right w:val="none" w:sz="0" w:space="0" w:color="auto"/>
      </w:divBdr>
    </w:div>
    <w:div w:id="1411854298">
      <w:bodyDiv w:val="1"/>
      <w:marLeft w:val="0"/>
      <w:marRight w:val="0"/>
      <w:marTop w:val="0"/>
      <w:marBottom w:val="0"/>
      <w:divBdr>
        <w:top w:val="none" w:sz="0" w:space="0" w:color="auto"/>
        <w:left w:val="none" w:sz="0" w:space="0" w:color="auto"/>
        <w:bottom w:val="none" w:sz="0" w:space="0" w:color="auto"/>
        <w:right w:val="none" w:sz="0" w:space="0" w:color="auto"/>
      </w:divBdr>
    </w:div>
    <w:div w:id="1411854436">
      <w:bodyDiv w:val="1"/>
      <w:marLeft w:val="0"/>
      <w:marRight w:val="0"/>
      <w:marTop w:val="0"/>
      <w:marBottom w:val="0"/>
      <w:divBdr>
        <w:top w:val="none" w:sz="0" w:space="0" w:color="auto"/>
        <w:left w:val="none" w:sz="0" w:space="0" w:color="auto"/>
        <w:bottom w:val="none" w:sz="0" w:space="0" w:color="auto"/>
        <w:right w:val="none" w:sz="0" w:space="0" w:color="auto"/>
      </w:divBdr>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11999876">
      <w:bodyDiv w:val="1"/>
      <w:marLeft w:val="0"/>
      <w:marRight w:val="0"/>
      <w:marTop w:val="0"/>
      <w:marBottom w:val="0"/>
      <w:divBdr>
        <w:top w:val="none" w:sz="0" w:space="0" w:color="auto"/>
        <w:left w:val="none" w:sz="0" w:space="0" w:color="auto"/>
        <w:bottom w:val="none" w:sz="0" w:space="0" w:color="auto"/>
        <w:right w:val="none" w:sz="0" w:space="0" w:color="auto"/>
      </w:divBdr>
    </w:div>
    <w:div w:id="1412044688">
      <w:bodyDiv w:val="1"/>
      <w:marLeft w:val="0"/>
      <w:marRight w:val="0"/>
      <w:marTop w:val="0"/>
      <w:marBottom w:val="0"/>
      <w:divBdr>
        <w:top w:val="none" w:sz="0" w:space="0" w:color="auto"/>
        <w:left w:val="none" w:sz="0" w:space="0" w:color="auto"/>
        <w:bottom w:val="none" w:sz="0" w:space="0" w:color="auto"/>
        <w:right w:val="none" w:sz="0" w:space="0" w:color="auto"/>
      </w:divBdr>
    </w:div>
    <w:div w:id="1412046626">
      <w:bodyDiv w:val="1"/>
      <w:marLeft w:val="0"/>
      <w:marRight w:val="0"/>
      <w:marTop w:val="0"/>
      <w:marBottom w:val="0"/>
      <w:divBdr>
        <w:top w:val="none" w:sz="0" w:space="0" w:color="auto"/>
        <w:left w:val="none" w:sz="0" w:space="0" w:color="auto"/>
        <w:bottom w:val="none" w:sz="0" w:space="0" w:color="auto"/>
        <w:right w:val="none" w:sz="0" w:space="0" w:color="auto"/>
      </w:divBdr>
    </w:div>
    <w:div w:id="1412122478">
      <w:bodyDiv w:val="1"/>
      <w:marLeft w:val="0"/>
      <w:marRight w:val="0"/>
      <w:marTop w:val="0"/>
      <w:marBottom w:val="0"/>
      <w:divBdr>
        <w:top w:val="none" w:sz="0" w:space="0" w:color="auto"/>
        <w:left w:val="none" w:sz="0" w:space="0" w:color="auto"/>
        <w:bottom w:val="none" w:sz="0" w:space="0" w:color="auto"/>
        <w:right w:val="none" w:sz="0" w:space="0" w:color="auto"/>
      </w:divBdr>
    </w:div>
    <w:div w:id="1412195214">
      <w:bodyDiv w:val="1"/>
      <w:marLeft w:val="0"/>
      <w:marRight w:val="0"/>
      <w:marTop w:val="0"/>
      <w:marBottom w:val="0"/>
      <w:divBdr>
        <w:top w:val="none" w:sz="0" w:space="0" w:color="auto"/>
        <w:left w:val="none" w:sz="0" w:space="0" w:color="auto"/>
        <w:bottom w:val="none" w:sz="0" w:space="0" w:color="auto"/>
        <w:right w:val="none" w:sz="0" w:space="0" w:color="auto"/>
      </w:divBdr>
    </w:div>
    <w:div w:id="1412265867">
      <w:bodyDiv w:val="1"/>
      <w:marLeft w:val="0"/>
      <w:marRight w:val="0"/>
      <w:marTop w:val="0"/>
      <w:marBottom w:val="0"/>
      <w:divBdr>
        <w:top w:val="none" w:sz="0" w:space="0" w:color="auto"/>
        <w:left w:val="none" w:sz="0" w:space="0" w:color="auto"/>
        <w:bottom w:val="none" w:sz="0" w:space="0" w:color="auto"/>
        <w:right w:val="none" w:sz="0" w:space="0" w:color="auto"/>
      </w:divBdr>
    </w:div>
    <w:div w:id="1412310072">
      <w:bodyDiv w:val="1"/>
      <w:marLeft w:val="0"/>
      <w:marRight w:val="0"/>
      <w:marTop w:val="0"/>
      <w:marBottom w:val="0"/>
      <w:divBdr>
        <w:top w:val="none" w:sz="0" w:space="0" w:color="auto"/>
        <w:left w:val="none" w:sz="0" w:space="0" w:color="auto"/>
        <w:bottom w:val="none" w:sz="0" w:space="0" w:color="auto"/>
        <w:right w:val="none" w:sz="0" w:space="0" w:color="auto"/>
      </w:divBdr>
    </w:div>
    <w:div w:id="1412317135">
      <w:bodyDiv w:val="1"/>
      <w:marLeft w:val="0"/>
      <w:marRight w:val="0"/>
      <w:marTop w:val="0"/>
      <w:marBottom w:val="0"/>
      <w:divBdr>
        <w:top w:val="none" w:sz="0" w:space="0" w:color="auto"/>
        <w:left w:val="none" w:sz="0" w:space="0" w:color="auto"/>
        <w:bottom w:val="none" w:sz="0" w:space="0" w:color="auto"/>
        <w:right w:val="none" w:sz="0" w:space="0" w:color="auto"/>
      </w:divBdr>
    </w:div>
    <w:div w:id="1412460487">
      <w:bodyDiv w:val="1"/>
      <w:marLeft w:val="0"/>
      <w:marRight w:val="0"/>
      <w:marTop w:val="0"/>
      <w:marBottom w:val="0"/>
      <w:divBdr>
        <w:top w:val="none" w:sz="0" w:space="0" w:color="auto"/>
        <w:left w:val="none" w:sz="0" w:space="0" w:color="auto"/>
        <w:bottom w:val="none" w:sz="0" w:space="0" w:color="auto"/>
        <w:right w:val="none" w:sz="0" w:space="0" w:color="auto"/>
      </w:divBdr>
    </w:div>
    <w:div w:id="1412464362">
      <w:bodyDiv w:val="1"/>
      <w:marLeft w:val="0"/>
      <w:marRight w:val="0"/>
      <w:marTop w:val="0"/>
      <w:marBottom w:val="0"/>
      <w:divBdr>
        <w:top w:val="none" w:sz="0" w:space="0" w:color="auto"/>
        <w:left w:val="none" w:sz="0" w:space="0" w:color="auto"/>
        <w:bottom w:val="none" w:sz="0" w:space="0" w:color="auto"/>
        <w:right w:val="none" w:sz="0" w:space="0" w:color="auto"/>
      </w:divBdr>
    </w:div>
    <w:div w:id="1412771130">
      <w:bodyDiv w:val="1"/>
      <w:marLeft w:val="0"/>
      <w:marRight w:val="0"/>
      <w:marTop w:val="0"/>
      <w:marBottom w:val="0"/>
      <w:divBdr>
        <w:top w:val="none" w:sz="0" w:space="0" w:color="auto"/>
        <w:left w:val="none" w:sz="0" w:space="0" w:color="auto"/>
        <w:bottom w:val="none" w:sz="0" w:space="0" w:color="auto"/>
        <w:right w:val="none" w:sz="0" w:space="0" w:color="auto"/>
      </w:divBdr>
    </w:div>
    <w:div w:id="1412895175">
      <w:bodyDiv w:val="1"/>
      <w:marLeft w:val="0"/>
      <w:marRight w:val="0"/>
      <w:marTop w:val="0"/>
      <w:marBottom w:val="0"/>
      <w:divBdr>
        <w:top w:val="none" w:sz="0" w:space="0" w:color="auto"/>
        <w:left w:val="none" w:sz="0" w:space="0" w:color="auto"/>
        <w:bottom w:val="none" w:sz="0" w:space="0" w:color="auto"/>
        <w:right w:val="none" w:sz="0" w:space="0" w:color="auto"/>
      </w:divBdr>
    </w:div>
    <w:div w:id="1412895790">
      <w:bodyDiv w:val="1"/>
      <w:marLeft w:val="0"/>
      <w:marRight w:val="0"/>
      <w:marTop w:val="0"/>
      <w:marBottom w:val="0"/>
      <w:divBdr>
        <w:top w:val="none" w:sz="0" w:space="0" w:color="auto"/>
        <w:left w:val="none" w:sz="0" w:space="0" w:color="auto"/>
        <w:bottom w:val="none" w:sz="0" w:space="0" w:color="auto"/>
        <w:right w:val="none" w:sz="0" w:space="0" w:color="auto"/>
      </w:divBdr>
    </w:div>
    <w:div w:id="1412970834">
      <w:bodyDiv w:val="1"/>
      <w:marLeft w:val="0"/>
      <w:marRight w:val="0"/>
      <w:marTop w:val="0"/>
      <w:marBottom w:val="0"/>
      <w:divBdr>
        <w:top w:val="none" w:sz="0" w:space="0" w:color="auto"/>
        <w:left w:val="none" w:sz="0" w:space="0" w:color="auto"/>
        <w:bottom w:val="none" w:sz="0" w:space="0" w:color="auto"/>
        <w:right w:val="none" w:sz="0" w:space="0" w:color="auto"/>
      </w:divBdr>
    </w:div>
    <w:div w:id="1413044548">
      <w:bodyDiv w:val="1"/>
      <w:marLeft w:val="0"/>
      <w:marRight w:val="0"/>
      <w:marTop w:val="0"/>
      <w:marBottom w:val="0"/>
      <w:divBdr>
        <w:top w:val="none" w:sz="0" w:space="0" w:color="auto"/>
        <w:left w:val="none" w:sz="0" w:space="0" w:color="auto"/>
        <w:bottom w:val="none" w:sz="0" w:space="0" w:color="auto"/>
        <w:right w:val="none" w:sz="0" w:space="0" w:color="auto"/>
      </w:divBdr>
    </w:div>
    <w:div w:id="1413048111">
      <w:bodyDiv w:val="1"/>
      <w:marLeft w:val="0"/>
      <w:marRight w:val="0"/>
      <w:marTop w:val="0"/>
      <w:marBottom w:val="0"/>
      <w:divBdr>
        <w:top w:val="none" w:sz="0" w:space="0" w:color="auto"/>
        <w:left w:val="none" w:sz="0" w:space="0" w:color="auto"/>
        <w:bottom w:val="none" w:sz="0" w:space="0" w:color="auto"/>
        <w:right w:val="none" w:sz="0" w:space="0" w:color="auto"/>
      </w:divBdr>
    </w:div>
    <w:div w:id="1413114255">
      <w:bodyDiv w:val="1"/>
      <w:marLeft w:val="0"/>
      <w:marRight w:val="0"/>
      <w:marTop w:val="0"/>
      <w:marBottom w:val="0"/>
      <w:divBdr>
        <w:top w:val="none" w:sz="0" w:space="0" w:color="auto"/>
        <w:left w:val="none" w:sz="0" w:space="0" w:color="auto"/>
        <w:bottom w:val="none" w:sz="0" w:space="0" w:color="auto"/>
        <w:right w:val="none" w:sz="0" w:space="0" w:color="auto"/>
      </w:divBdr>
    </w:div>
    <w:div w:id="1413119333">
      <w:bodyDiv w:val="1"/>
      <w:marLeft w:val="0"/>
      <w:marRight w:val="0"/>
      <w:marTop w:val="0"/>
      <w:marBottom w:val="0"/>
      <w:divBdr>
        <w:top w:val="none" w:sz="0" w:space="0" w:color="auto"/>
        <w:left w:val="none" w:sz="0" w:space="0" w:color="auto"/>
        <w:bottom w:val="none" w:sz="0" w:space="0" w:color="auto"/>
        <w:right w:val="none" w:sz="0" w:space="0" w:color="auto"/>
      </w:divBdr>
    </w:div>
    <w:div w:id="1413159668">
      <w:bodyDiv w:val="1"/>
      <w:marLeft w:val="0"/>
      <w:marRight w:val="0"/>
      <w:marTop w:val="0"/>
      <w:marBottom w:val="0"/>
      <w:divBdr>
        <w:top w:val="none" w:sz="0" w:space="0" w:color="auto"/>
        <w:left w:val="none" w:sz="0" w:space="0" w:color="auto"/>
        <w:bottom w:val="none" w:sz="0" w:space="0" w:color="auto"/>
        <w:right w:val="none" w:sz="0" w:space="0" w:color="auto"/>
      </w:divBdr>
    </w:div>
    <w:div w:id="1413160585">
      <w:bodyDiv w:val="1"/>
      <w:marLeft w:val="0"/>
      <w:marRight w:val="0"/>
      <w:marTop w:val="0"/>
      <w:marBottom w:val="0"/>
      <w:divBdr>
        <w:top w:val="none" w:sz="0" w:space="0" w:color="auto"/>
        <w:left w:val="none" w:sz="0" w:space="0" w:color="auto"/>
        <w:bottom w:val="none" w:sz="0" w:space="0" w:color="auto"/>
        <w:right w:val="none" w:sz="0" w:space="0" w:color="auto"/>
      </w:divBdr>
    </w:div>
    <w:div w:id="1413316569">
      <w:bodyDiv w:val="1"/>
      <w:marLeft w:val="0"/>
      <w:marRight w:val="0"/>
      <w:marTop w:val="0"/>
      <w:marBottom w:val="0"/>
      <w:divBdr>
        <w:top w:val="none" w:sz="0" w:space="0" w:color="auto"/>
        <w:left w:val="none" w:sz="0" w:space="0" w:color="auto"/>
        <w:bottom w:val="none" w:sz="0" w:space="0" w:color="auto"/>
        <w:right w:val="none" w:sz="0" w:space="0" w:color="auto"/>
      </w:divBdr>
    </w:div>
    <w:div w:id="1413350843">
      <w:bodyDiv w:val="1"/>
      <w:marLeft w:val="0"/>
      <w:marRight w:val="0"/>
      <w:marTop w:val="0"/>
      <w:marBottom w:val="0"/>
      <w:divBdr>
        <w:top w:val="none" w:sz="0" w:space="0" w:color="auto"/>
        <w:left w:val="none" w:sz="0" w:space="0" w:color="auto"/>
        <w:bottom w:val="none" w:sz="0" w:space="0" w:color="auto"/>
        <w:right w:val="none" w:sz="0" w:space="0" w:color="auto"/>
      </w:divBdr>
    </w:div>
    <w:div w:id="1413428908">
      <w:bodyDiv w:val="1"/>
      <w:marLeft w:val="0"/>
      <w:marRight w:val="0"/>
      <w:marTop w:val="0"/>
      <w:marBottom w:val="0"/>
      <w:divBdr>
        <w:top w:val="none" w:sz="0" w:space="0" w:color="auto"/>
        <w:left w:val="none" w:sz="0" w:space="0" w:color="auto"/>
        <w:bottom w:val="none" w:sz="0" w:space="0" w:color="auto"/>
        <w:right w:val="none" w:sz="0" w:space="0" w:color="auto"/>
      </w:divBdr>
    </w:div>
    <w:div w:id="1413547715">
      <w:bodyDiv w:val="1"/>
      <w:marLeft w:val="0"/>
      <w:marRight w:val="0"/>
      <w:marTop w:val="0"/>
      <w:marBottom w:val="0"/>
      <w:divBdr>
        <w:top w:val="none" w:sz="0" w:space="0" w:color="auto"/>
        <w:left w:val="none" w:sz="0" w:space="0" w:color="auto"/>
        <w:bottom w:val="none" w:sz="0" w:space="0" w:color="auto"/>
        <w:right w:val="none" w:sz="0" w:space="0" w:color="auto"/>
      </w:divBdr>
    </w:div>
    <w:div w:id="1413551014">
      <w:bodyDiv w:val="1"/>
      <w:marLeft w:val="0"/>
      <w:marRight w:val="0"/>
      <w:marTop w:val="0"/>
      <w:marBottom w:val="0"/>
      <w:divBdr>
        <w:top w:val="none" w:sz="0" w:space="0" w:color="auto"/>
        <w:left w:val="none" w:sz="0" w:space="0" w:color="auto"/>
        <w:bottom w:val="none" w:sz="0" w:space="0" w:color="auto"/>
        <w:right w:val="none" w:sz="0" w:space="0" w:color="auto"/>
      </w:divBdr>
    </w:div>
    <w:div w:id="1413621793">
      <w:bodyDiv w:val="1"/>
      <w:marLeft w:val="0"/>
      <w:marRight w:val="0"/>
      <w:marTop w:val="0"/>
      <w:marBottom w:val="0"/>
      <w:divBdr>
        <w:top w:val="none" w:sz="0" w:space="0" w:color="auto"/>
        <w:left w:val="none" w:sz="0" w:space="0" w:color="auto"/>
        <w:bottom w:val="none" w:sz="0" w:space="0" w:color="auto"/>
        <w:right w:val="none" w:sz="0" w:space="0" w:color="auto"/>
      </w:divBdr>
    </w:div>
    <w:div w:id="1413745457">
      <w:bodyDiv w:val="1"/>
      <w:marLeft w:val="0"/>
      <w:marRight w:val="0"/>
      <w:marTop w:val="0"/>
      <w:marBottom w:val="0"/>
      <w:divBdr>
        <w:top w:val="none" w:sz="0" w:space="0" w:color="auto"/>
        <w:left w:val="none" w:sz="0" w:space="0" w:color="auto"/>
        <w:bottom w:val="none" w:sz="0" w:space="0" w:color="auto"/>
        <w:right w:val="none" w:sz="0" w:space="0" w:color="auto"/>
      </w:divBdr>
    </w:div>
    <w:div w:id="1413774422">
      <w:bodyDiv w:val="1"/>
      <w:marLeft w:val="0"/>
      <w:marRight w:val="0"/>
      <w:marTop w:val="0"/>
      <w:marBottom w:val="0"/>
      <w:divBdr>
        <w:top w:val="none" w:sz="0" w:space="0" w:color="auto"/>
        <w:left w:val="none" w:sz="0" w:space="0" w:color="auto"/>
        <w:bottom w:val="none" w:sz="0" w:space="0" w:color="auto"/>
        <w:right w:val="none" w:sz="0" w:space="0" w:color="auto"/>
      </w:divBdr>
    </w:div>
    <w:div w:id="1413816766">
      <w:bodyDiv w:val="1"/>
      <w:marLeft w:val="0"/>
      <w:marRight w:val="0"/>
      <w:marTop w:val="0"/>
      <w:marBottom w:val="0"/>
      <w:divBdr>
        <w:top w:val="none" w:sz="0" w:space="0" w:color="auto"/>
        <w:left w:val="none" w:sz="0" w:space="0" w:color="auto"/>
        <w:bottom w:val="none" w:sz="0" w:space="0" w:color="auto"/>
        <w:right w:val="none" w:sz="0" w:space="0" w:color="auto"/>
      </w:divBdr>
    </w:div>
    <w:div w:id="1413964127">
      <w:bodyDiv w:val="1"/>
      <w:marLeft w:val="0"/>
      <w:marRight w:val="0"/>
      <w:marTop w:val="0"/>
      <w:marBottom w:val="0"/>
      <w:divBdr>
        <w:top w:val="none" w:sz="0" w:space="0" w:color="auto"/>
        <w:left w:val="none" w:sz="0" w:space="0" w:color="auto"/>
        <w:bottom w:val="none" w:sz="0" w:space="0" w:color="auto"/>
        <w:right w:val="none" w:sz="0" w:space="0" w:color="auto"/>
      </w:divBdr>
    </w:div>
    <w:div w:id="1413971150">
      <w:bodyDiv w:val="1"/>
      <w:marLeft w:val="0"/>
      <w:marRight w:val="0"/>
      <w:marTop w:val="0"/>
      <w:marBottom w:val="0"/>
      <w:divBdr>
        <w:top w:val="none" w:sz="0" w:space="0" w:color="auto"/>
        <w:left w:val="none" w:sz="0" w:space="0" w:color="auto"/>
        <w:bottom w:val="none" w:sz="0" w:space="0" w:color="auto"/>
        <w:right w:val="none" w:sz="0" w:space="0" w:color="auto"/>
      </w:divBdr>
    </w:div>
    <w:div w:id="1414007462">
      <w:bodyDiv w:val="1"/>
      <w:marLeft w:val="0"/>
      <w:marRight w:val="0"/>
      <w:marTop w:val="0"/>
      <w:marBottom w:val="0"/>
      <w:divBdr>
        <w:top w:val="none" w:sz="0" w:space="0" w:color="auto"/>
        <w:left w:val="none" w:sz="0" w:space="0" w:color="auto"/>
        <w:bottom w:val="none" w:sz="0" w:space="0" w:color="auto"/>
        <w:right w:val="none" w:sz="0" w:space="0" w:color="auto"/>
      </w:divBdr>
    </w:div>
    <w:div w:id="1414007965">
      <w:bodyDiv w:val="1"/>
      <w:marLeft w:val="0"/>
      <w:marRight w:val="0"/>
      <w:marTop w:val="0"/>
      <w:marBottom w:val="0"/>
      <w:divBdr>
        <w:top w:val="none" w:sz="0" w:space="0" w:color="auto"/>
        <w:left w:val="none" w:sz="0" w:space="0" w:color="auto"/>
        <w:bottom w:val="none" w:sz="0" w:space="0" w:color="auto"/>
        <w:right w:val="none" w:sz="0" w:space="0" w:color="auto"/>
      </w:divBdr>
    </w:div>
    <w:div w:id="1414163224">
      <w:bodyDiv w:val="1"/>
      <w:marLeft w:val="0"/>
      <w:marRight w:val="0"/>
      <w:marTop w:val="0"/>
      <w:marBottom w:val="0"/>
      <w:divBdr>
        <w:top w:val="none" w:sz="0" w:space="0" w:color="auto"/>
        <w:left w:val="none" w:sz="0" w:space="0" w:color="auto"/>
        <w:bottom w:val="none" w:sz="0" w:space="0" w:color="auto"/>
        <w:right w:val="none" w:sz="0" w:space="0" w:color="auto"/>
      </w:divBdr>
    </w:div>
    <w:div w:id="1414206123">
      <w:bodyDiv w:val="1"/>
      <w:marLeft w:val="0"/>
      <w:marRight w:val="0"/>
      <w:marTop w:val="0"/>
      <w:marBottom w:val="0"/>
      <w:divBdr>
        <w:top w:val="none" w:sz="0" w:space="0" w:color="auto"/>
        <w:left w:val="none" w:sz="0" w:space="0" w:color="auto"/>
        <w:bottom w:val="none" w:sz="0" w:space="0" w:color="auto"/>
        <w:right w:val="none" w:sz="0" w:space="0" w:color="auto"/>
      </w:divBdr>
    </w:div>
    <w:div w:id="1414352325">
      <w:bodyDiv w:val="1"/>
      <w:marLeft w:val="0"/>
      <w:marRight w:val="0"/>
      <w:marTop w:val="0"/>
      <w:marBottom w:val="0"/>
      <w:divBdr>
        <w:top w:val="none" w:sz="0" w:space="0" w:color="auto"/>
        <w:left w:val="none" w:sz="0" w:space="0" w:color="auto"/>
        <w:bottom w:val="none" w:sz="0" w:space="0" w:color="auto"/>
        <w:right w:val="none" w:sz="0" w:space="0" w:color="auto"/>
      </w:divBdr>
    </w:div>
    <w:div w:id="1414358340">
      <w:bodyDiv w:val="1"/>
      <w:marLeft w:val="0"/>
      <w:marRight w:val="0"/>
      <w:marTop w:val="0"/>
      <w:marBottom w:val="0"/>
      <w:divBdr>
        <w:top w:val="none" w:sz="0" w:space="0" w:color="auto"/>
        <w:left w:val="none" w:sz="0" w:space="0" w:color="auto"/>
        <w:bottom w:val="none" w:sz="0" w:space="0" w:color="auto"/>
        <w:right w:val="none" w:sz="0" w:space="0" w:color="auto"/>
      </w:divBdr>
    </w:div>
    <w:div w:id="1414398701">
      <w:bodyDiv w:val="1"/>
      <w:marLeft w:val="0"/>
      <w:marRight w:val="0"/>
      <w:marTop w:val="0"/>
      <w:marBottom w:val="0"/>
      <w:divBdr>
        <w:top w:val="none" w:sz="0" w:space="0" w:color="auto"/>
        <w:left w:val="none" w:sz="0" w:space="0" w:color="auto"/>
        <w:bottom w:val="none" w:sz="0" w:space="0" w:color="auto"/>
        <w:right w:val="none" w:sz="0" w:space="0" w:color="auto"/>
      </w:divBdr>
    </w:div>
    <w:div w:id="1414468887">
      <w:bodyDiv w:val="1"/>
      <w:marLeft w:val="0"/>
      <w:marRight w:val="0"/>
      <w:marTop w:val="0"/>
      <w:marBottom w:val="0"/>
      <w:divBdr>
        <w:top w:val="none" w:sz="0" w:space="0" w:color="auto"/>
        <w:left w:val="none" w:sz="0" w:space="0" w:color="auto"/>
        <w:bottom w:val="none" w:sz="0" w:space="0" w:color="auto"/>
        <w:right w:val="none" w:sz="0" w:space="0" w:color="auto"/>
      </w:divBdr>
    </w:div>
    <w:div w:id="1414622593">
      <w:bodyDiv w:val="1"/>
      <w:marLeft w:val="0"/>
      <w:marRight w:val="0"/>
      <w:marTop w:val="0"/>
      <w:marBottom w:val="0"/>
      <w:divBdr>
        <w:top w:val="none" w:sz="0" w:space="0" w:color="auto"/>
        <w:left w:val="none" w:sz="0" w:space="0" w:color="auto"/>
        <w:bottom w:val="none" w:sz="0" w:space="0" w:color="auto"/>
        <w:right w:val="none" w:sz="0" w:space="0" w:color="auto"/>
      </w:divBdr>
    </w:div>
    <w:div w:id="1414625563">
      <w:bodyDiv w:val="1"/>
      <w:marLeft w:val="0"/>
      <w:marRight w:val="0"/>
      <w:marTop w:val="0"/>
      <w:marBottom w:val="0"/>
      <w:divBdr>
        <w:top w:val="none" w:sz="0" w:space="0" w:color="auto"/>
        <w:left w:val="none" w:sz="0" w:space="0" w:color="auto"/>
        <w:bottom w:val="none" w:sz="0" w:space="0" w:color="auto"/>
        <w:right w:val="none" w:sz="0" w:space="0" w:color="auto"/>
      </w:divBdr>
    </w:div>
    <w:div w:id="1415006625">
      <w:bodyDiv w:val="1"/>
      <w:marLeft w:val="0"/>
      <w:marRight w:val="0"/>
      <w:marTop w:val="0"/>
      <w:marBottom w:val="0"/>
      <w:divBdr>
        <w:top w:val="none" w:sz="0" w:space="0" w:color="auto"/>
        <w:left w:val="none" w:sz="0" w:space="0" w:color="auto"/>
        <w:bottom w:val="none" w:sz="0" w:space="0" w:color="auto"/>
        <w:right w:val="none" w:sz="0" w:space="0" w:color="auto"/>
      </w:divBdr>
    </w:div>
    <w:div w:id="1415080778">
      <w:bodyDiv w:val="1"/>
      <w:marLeft w:val="0"/>
      <w:marRight w:val="0"/>
      <w:marTop w:val="0"/>
      <w:marBottom w:val="0"/>
      <w:divBdr>
        <w:top w:val="none" w:sz="0" w:space="0" w:color="auto"/>
        <w:left w:val="none" w:sz="0" w:space="0" w:color="auto"/>
        <w:bottom w:val="none" w:sz="0" w:space="0" w:color="auto"/>
        <w:right w:val="none" w:sz="0" w:space="0" w:color="auto"/>
      </w:divBdr>
    </w:div>
    <w:div w:id="1415122709">
      <w:bodyDiv w:val="1"/>
      <w:marLeft w:val="0"/>
      <w:marRight w:val="0"/>
      <w:marTop w:val="0"/>
      <w:marBottom w:val="0"/>
      <w:divBdr>
        <w:top w:val="none" w:sz="0" w:space="0" w:color="auto"/>
        <w:left w:val="none" w:sz="0" w:space="0" w:color="auto"/>
        <w:bottom w:val="none" w:sz="0" w:space="0" w:color="auto"/>
        <w:right w:val="none" w:sz="0" w:space="0" w:color="auto"/>
      </w:divBdr>
    </w:div>
    <w:div w:id="1415129005">
      <w:bodyDiv w:val="1"/>
      <w:marLeft w:val="0"/>
      <w:marRight w:val="0"/>
      <w:marTop w:val="0"/>
      <w:marBottom w:val="0"/>
      <w:divBdr>
        <w:top w:val="none" w:sz="0" w:space="0" w:color="auto"/>
        <w:left w:val="none" w:sz="0" w:space="0" w:color="auto"/>
        <w:bottom w:val="none" w:sz="0" w:space="0" w:color="auto"/>
        <w:right w:val="none" w:sz="0" w:space="0" w:color="auto"/>
      </w:divBdr>
    </w:div>
    <w:div w:id="1415203468">
      <w:bodyDiv w:val="1"/>
      <w:marLeft w:val="0"/>
      <w:marRight w:val="0"/>
      <w:marTop w:val="0"/>
      <w:marBottom w:val="0"/>
      <w:divBdr>
        <w:top w:val="none" w:sz="0" w:space="0" w:color="auto"/>
        <w:left w:val="none" w:sz="0" w:space="0" w:color="auto"/>
        <w:bottom w:val="none" w:sz="0" w:space="0" w:color="auto"/>
        <w:right w:val="none" w:sz="0" w:space="0" w:color="auto"/>
      </w:divBdr>
    </w:div>
    <w:div w:id="1415391687">
      <w:bodyDiv w:val="1"/>
      <w:marLeft w:val="0"/>
      <w:marRight w:val="0"/>
      <w:marTop w:val="0"/>
      <w:marBottom w:val="0"/>
      <w:divBdr>
        <w:top w:val="none" w:sz="0" w:space="0" w:color="auto"/>
        <w:left w:val="none" w:sz="0" w:space="0" w:color="auto"/>
        <w:bottom w:val="none" w:sz="0" w:space="0" w:color="auto"/>
        <w:right w:val="none" w:sz="0" w:space="0" w:color="auto"/>
      </w:divBdr>
    </w:div>
    <w:div w:id="1415397559">
      <w:bodyDiv w:val="1"/>
      <w:marLeft w:val="0"/>
      <w:marRight w:val="0"/>
      <w:marTop w:val="0"/>
      <w:marBottom w:val="0"/>
      <w:divBdr>
        <w:top w:val="none" w:sz="0" w:space="0" w:color="auto"/>
        <w:left w:val="none" w:sz="0" w:space="0" w:color="auto"/>
        <w:bottom w:val="none" w:sz="0" w:space="0" w:color="auto"/>
        <w:right w:val="none" w:sz="0" w:space="0" w:color="auto"/>
      </w:divBdr>
    </w:div>
    <w:div w:id="1415543195">
      <w:bodyDiv w:val="1"/>
      <w:marLeft w:val="0"/>
      <w:marRight w:val="0"/>
      <w:marTop w:val="0"/>
      <w:marBottom w:val="0"/>
      <w:divBdr>
        <w:top w:val="none" w:sz="0" w:space="0" w:color="auto"/>
        <w:left w:val="none" w:sz="0" w:space="0" w:color="auto"/>
        <w:bottom w:val="none" w:sz="0" w:space="0" w:color="auto"/>
        <w:right w:val="none" w:sz="0" w:space="0" w:color="auto"/>
      </w:divBdr>
    </w:div>
    <w:div w:id="1415663172">
      <w:bodyDiv w:val="1"/>
      <w:marLeft w:val="0"/>
      <w:marRight w:val="0"/>
      <w:marTop w:val="0"/>
      <w:marBottom w:val="0"/>
      <w:divBdr>
        <w:top w:val="none" w:sz="0" w:space="0" w:color="auto"/>
        <w:left w:val="none" w:sz="0" w:space="0" w:color="auto"/>
        <w:bottom w:val="none" w:sz="0" w:space="0" w:color="auto"/>
        <w:right w:val="none" w:sz="0" w:space="0" w:color="auto"/>
      </w:divBdr>
    </w:div>
    <w:div w:id="1415735518">
      <w:bodyDiv w:val="1"/>
      <w:marLeft w:val="0"/>
      <w:marRight w:val="0"/>
      <w:marTop w:val="0"/>
      <w:marBottom w:val="0"/>
      <w:divBdr>
        <w:top w:val="none" w:sz="0" w:space="0" w:color="auto"/>
        <w:left w:val="none" w:sz="0" w:space="0" w:color="auto"/>
        <w:bottom w:val="none" w:sz="0" w:space="0" w:color="auto"/>
        <w:right w:val="none" w:sz="0" w:space="0" w:color="auto"/>
      </w:divBdr>
    </w:div>
    <w:div w:id="1415778193">
      <w:bodyDiv w:val="1"/>
      <w:marLeft w:val="0"/>
      <w:marRight w:val="0"/>
      <w:marTop w:val="0"/>
      <w:marBottom w:val="0"/>
      <w:divBdr>
        <w:top w:val="none" w:sz="0" w:space="0" w:color="auto"/>
        <w:left w:val="none" w:sz="0" w:space="0" w:color="auto"/>
        <w:bottom w:val="none" w:sz="0" w:space="0" w:color="auto"/>
        <w:right w:val="none" w:sz="0" w:space="0" w:color="auto"/>
      </w:divBdr>
    </w:div>
    <w:div w:id="1415857644">
      <w:bodyDiv w:val="1"/>
      <w:marLeft w:val="0"/>
      <w:marRight w:val="0"/>
      <w:marTop w:val="0"/>
      <w:marBottom w:val="0"/>
      <w:divBdr>
        <w:top w:val="none" w:sz="0" w:space="0" w:color="auto"/>
        <w:left w:val="none" w:sz="0" w:space="0" w:color="auto"/>
        <w:bottom w:val="none" w:sz="0" w:space="0" w:color="auto"/>
        <w:right w:val="none" w:sz="0" w:space="0" w:color="auto"/>
      </w:divBdr>
    </w:div>
    <w:div w:id="1415858436">
      <w:bodyDiv w:val="1"/>
      <w:marLeft w:val="0"/>
      <w:marRight w:val="0"/>
      <w:marTop w:val="0"/>
      <w:marBottom w:val="0"/>
      <w:divBdr>
        <w:top w:val="none" w:sz="0" w:space="0" w:color="auto"/>
        <w:left w:val="none" w:sz="0" w:space="0" w:color="auto"/>
        <w:bottom w:val="none" w:sz="0" w:space="0" w:color="auto"/>
        <w:right w:val="none" w:sz="0" w:space="0" w:color="auto"/>
      </w:divBdr>
    </w:div>
    <w:div w:id="1415858987">
      <w:bodyDiv w:val="1"/>
      <w:marLeft w:val="0"/>
      <w:marRight w:val="0"/>
      <w:marTop w:val="0"/>
      <w:marBottom w:val="0"/>
      <w:divBdr>
        <w:top w:val="none" w:sz="0" w:space="0" w:color="auto"/>
        <w:left w:val="none" w:sz="0" w:space="0" w:color="auto"/>
        <w:bottom w:val="none" w:sz="0" w:space="0" w:color="auto"/>
        <w:right w:val="none" w:sz="0" w:space="0" w:color="auto"/>
      </w:divBdr>
    </w:div>
    <w:div w:id="1415861866">
      <w:bodyDiv w:val="1"/>
      <w:marLeft w:val="0"/>
      <w:marRight w:val="0"/>
      <w:marTop w:val="0"/>
      <w:marBottom w:val="0"/>
      <w:divBdr>
        <w:top w:val="none" w:sz="0" w:space="0" w:color="auto"/>
        <w:left w:val="none" w:sz="0" w:space="0" w:color="auto"/>
        <w:bottom w:val="none" w:sz="0" w:space="0" w:color="auto"/>
        <w:right w:val="none" w:sz="0" w:space="0" w:color="auto"/>
      </w:divBdr>
    </w:div>
    <w:div w:id="1415976155">
      <w:bodyDiv w:val="1"/>
      <w:marLeft w:val="0"/>
      <w:marRight w:val="0"/>
      <w:marTop w:val="0"/>
      <w:marBottom w:val="0"/>
      <w:divBdr>
        <w:top w:val="none" w:sz="0" w:space="0" w:color="auto"/>
        <w:left w:val="none" w:sz="0" w:space="0" w:color="auto"/>
        <w:bottom w:val="none" w:sz="0" w:space="0" w:color="auto"/>
        <w:right w:val="none" w:sz="0" w:space="0" w:color="auto"/>
      </w:divBdr>
    </w:div>
    <w:div w:id="1416122488">
      <w:bodyDiv w:val="1"/>
      <w:marLeft w:val="0"/>
      <w:marRight w:val="0"/>
      <w:marTop w:val="0"/>
      <w:marBottom w:val="0"/>
      <w:divBdr>
        <w:top w:val="none" w:sz="0" w:space="0" w:color="auto"/>
        <w:left w:val="none" w:sz="0" w:space="0" w:color="auto"/>
        <w:bottom w:val="none" w:sz="0" w:space="0" w:color="auto"/>
        <w:right w:val="none" w:sz="0" w:space="0" w:color="auto"/>
      </w:divBdr>
    </w:div>
    <w:div w:id="1416127318">
      <w:bodyDiv w:val="1"/>
      <w:marLeft w:val="0"/>
      <w:marRight w:val="0"/>
      <w:marTop w:val="0"/>
      <w:marBottom w:val="0"/>
      <w:divBdr>
        <w:top w:val="none" w:sz="0" w:space="0" w:color="auto"/>
        <w:left w:val="none" w:sz="0" w:space="0" w:color="auto"/>
        <w:bottom w:val="none" w:sz="0" w:space="0" w:color="auto"/>
        <w:right w:val="none" w:sz="0" w:space="0" w:color="auto"/>
      </w:divBdr>
    </w:div>
    <w:div w:id="1416168234">
      <w:bodyDiv w:val="1"/>
      <w:marLeft w:val="0"/>
      <w:marRight w:val="0"/>
      <w:marTop w:val="0"/>
      <w:marBottom w:val="0"/>
      <w:divBdr>
        <w:top w:val="none" w:sz="0" w:space="0" w:color="auto"/>
        <w:left w:val="none" w:sz="0" w:space="0" w:color="auto"/>
        <w:bottom w:val="none" w:sz="0" w:space="0" w:color="auto"/>
        <w:right w:val="none" w:sz="0" w:space="0" w:color="auto"/>
      </w:divBdr>
    </w:div>
    <w:div w:id="1416321225">
      <w:bodyDiv w:val="1"/>
      <w:marLeft w:val="0"/>
      <w:marRight w:val="0"/>
      <w:marTop w:val="0"/>
      <w:marBottom w:val="0"/>
      <w:divBdr>
        <w:top w:val="none" w:sz="0" w:space="0" w:color="auto"/>
        <w:left w:val="none" w:sz="0" w:space="0" w:color="auto"/>
        <w:bottom w:val="none" w:sz="0" w:space="0" w:color="auto"/>
        <w:right w:val="none" w:sz="0" w:space="0" w:color="auto"/>
      </w:divBdr>
    </w:div>
    <w:div w:id="1416321410">
      <w:bodyDiv w:val="1"/>
      <w:marLeft w:val="0"/>
      <w:marRight w:val="0"/>
      <w:marTop w:val="0"/>
      <w:marBottom w:val="0"/>
      <w:divBdr>
        <w:top w:val="none" w:sz="0" w:space="0" w:color="auto"/>
        <w:left w:val="none" w:sz="0" w:space="0" w:color="auto"/>
        <w:bottom w:val="none" w:sz="0" w:space="0" w:color="auto"/>
        <w:right w:val="none" w:sz="0" w:space="0" w:color="auto"/>
      </w:divBdr>
    </w:div>
    <w:div w:id="1416394126">
      <w:bodyDiv w:val="1"/>
      <w:marLeft w:val="0"/>
      <w:marRight w:val="0"/>
      <w:marTop w:val="0"/>
      <w:marBottom w:val="0"/>
      <w:divBdr>
        <w:top w:val="none" w:sz="0" w:space="0" w:color="auto"/>
        <w:left w:val="none" w:sz="0" w:space="0" w:color="auto"/>
        <w:bottom w:val="none" w:sz="0" w:space="0" w:color="auto"/>
        <w:right w:val="none" w:sz="0" w:space="0" w:color="auto"/>
      </w:divBdr>
    </w:div>
    <w:div w:id="1416395920">
      <w:bodyDiv w:val="1"/>
      <w:marLeft w:val="0"/>
      <w:marRight w:val="0"/>
      <w:marTop w:val="0"/>
      <w:marBottom w:val="0"/>
      <w:divBdr>
        <w:top w:val="none" w:sz="0" w:space="0" w:color="auto"/>
        <w:left w:val="none" w:sz="0" w:space="0" w:color="auto"/>
        <w:bottom w:val="none" w:sz="0" w:space="0" w:color="auto"/>
        <w:right w:val="none" w:sz="0" w:space="0" w:color="auto"/>
      </w:divBdr>
    </w:div>
    <w:div w:id="1416593063">
      <w:bodyDiv w:val="1"/>
      <w:marLeft w:val="0"/>
      <w:marRight w:val="0"/>
      <w:marTop w:val="0"/>
      <w:marBottom w:val="0"/>
      <w:divBdr>
        <w:top w:val="none" w:sz="0" w:space="0" w:color="auto"/>
        <w:left w:val="none" w:sz="0" w:space="0" w:color="auto"/>
        <w:bottom w:val="none" w:sz="0" w:space="0" w:color="auto"/>
        <w:right w:val="none" w:sz="0" w:space="0" w:color="auto"/>
      </w:divBdr>
    </w:div>
    <w:div w:id="1416627507">
      <w:bodyDiv w:val="1"/>
      <w:marLeft w:val="0"/>
      <w:marRight w:val="0"/>
      <w:marTop w:val="0"/>
      <w:marBottom w:val="0"/>
      <w:divBdr>
        <w:top w:val="none" w:sz="0" w:space="0" w:color="auto"/>
        <w:left w:val="none" w:sz="0" w:space="0" w:color="auto"/>
        <w:bottom w:val="none" w:sz="0" w:space="0" w:color="auto"/>
        <w:right w:val="none" w:sz="0" w:space="0" w:color="auto"/>
      </w:divBdr>
    </w:div>
    <w:div w:id="1416705768">
      <w:bodyDiv w:val="1"/>
      <w:marLeft w:val="0"/>
      <w:marRight w:val="0"/>
      <w:marTop w:val="0"/>
      <w:marBottom w:val="0"/>
      <w:divBdr>
        <w:top w:val="none" w:sz="0" w:space="0" w:color="auto"/>
        <w:left w:val="none" w:sz="0" w:space="0" w:color="auto"/>
        <w:bottom w:val="none" w:sz="0" w:space="0" w:color="auto"/>
        <w:right w:val="none" w:sz="0" w:space="0" w:color="auto"/>
      </w:divBdr>
    </w:div>
    <w:div w:id="1416708447">
      <w:bodyDiv w:val="1"/>
      <w:marLeft w:val="0"/>
      <w:marRight w:val="0"/>
      <w:marTop w:val="0"/>
      <w:marBottom w:val="0"/>
      <w:divBdr>
        <w:top w:val="none" w:sz="0" w:space="0" w:color="auto"/>
        <w:left w:val="none" w:sz="0" w:space="0" w:color="auto"/>
        <w:bottom w:val="none" w:sz="0" w:space="0" w:color="auto"/>
        <w:right w:val="none" w:sz="0" w:space="0" w:color="auto"/>
      </w:divBdr>
    </w:div>
    <w:div w:id="1416901549">
      <w:bodyDiv w:val="1"/>
      <w:marLeft w:val="0"/>
      <w:marRight w:val="0"/>
      <w:marTop w:val="0"/>
      <w:marBottom w:val="0"/>
      <w:divBdr>
        <w:top w:val="none" w:sz="0" w:space="0" w:color="auto"/>
        <w:left w:val="none" w:sz="0" w:space="0" w:color="auto"/>
        <w:bottom w:val="none" w:sz="0" w:space="0" w:color="auto"/>
        <w:right w:val="none" w:sz="0" w:space="0" w:color="auto"/>
      </w:divBdr>
    </w:div>
    <w:div w:id="1416977078">
      <w:bodyDiv w:val="1"/>
      <w:marLeft w:val="0"/>
      <w:marRight w:val="0"/>
      <w:marTop w:val="0"/>
      <w:marBottom w:val="0"/>
      <w:divBdr>
        <w:top w:val="none" w:sz="0" w:space="0" w:color="auto"/>
        <w:left w:val="none" w:sz="0" w:space="0" w:color="auto"/>
        <w:bottom w:val="none" w:sz="0" w:space="0" w:color="auto"/>
        <w:right w:val="none" w:sz="0" w:space="0" w:color="auto"/>
      </w:divBdr>
    </w:div>
    <w:div w:id="1417021963">
      <w:bodyDiv w:val="1"/>
      <w:marLeft w:val="0"/>
      <w:marRight w:val="0"/>
      <w:marTop w:val="0"/>
      <w:marBottom w:val="0"/>
      <w:divBdr>
        <w:top w:val="none" w:sz="0" w:space="0" w:color="auto"/>
        <w:left w:val="none" w:sz="0" w:space="0" w:color="auto"/>
        <w:bottom w:val="none" w:sz="0" w:space="0" w:color="auto"/>
        <w:right w:val="none" w:sz="0" w:space="0" w:color="auto"/>
      </w:divBdr>
    </w:div>
    <w:div w:id="1417051890">
      <w:bodyDiv w:val="1"/>
      <w:marLeft w:val="0"/>
      <w:marRight w:val="0"/>
      <w:marTop w:val="0"/>
      <w:marBottom w:val="0"/>
      <w:divBdr>
        <w:top w:val="none" w:sz="0" w:space="0" w:color="auto"/>
        <w:left w:val="none" w:sz="0" w:space="0" w:color="auto"/>
        <w:bottom w:val="none" w:sz="0" w:space="0" w:color="auto"/>
        <w:right w:val="none" w:sz="0" w:space="0" w:color="auto"/>
      </w:divBdr>
    </w:div>
    <w:div w:id="1417169444">
      <w:bodyDiv w:val="1"/>
      <w:marLeft w:val="0"/>
      <w:marRight w:val="0"/>
      <w:marTop w:val="0"/>
      <w:marBottom w:val="0"/>
      <w:divBdr>
        <w:top w:val="none" w:sz="0" w:space="0" w:color="auto"/>
        <w:left w:val="none" w:sz="0" w:space="0" w:color="auto"/>
        <w:bottom w:val="none" w:sz="0" w:space="0" w:color="auto"/>
        <w:right w:val="none" w:sz="0" w:space="0" w:color="auto"/>
      </w:divBdr>
    </w:div>
    <w:div w:id="1417244853">
      <w:bodyDiv w:val="1"/>
      <w:marLeft w:val="0"/>
      <w:marRight w:val="0"/>
      <w:marTop w:val="0"/>
      <w:marBottom w:val="0"/>
      <w:divBdr>
        <w:top w:val="none" w:sz="0" w:space="0" w:color="auto"/>
        <w:left w:val="none" w:sz="0" w:space="0" w:color="auto"/>
        <w:bottom w:val="none" w:sz="0" w:space="0" w:color="auto"/>
        <w:right w:val="none" w:sz="0" w:space="0" w:color="auto"/>
      </w:divBdr>
    </w:div>
    <w:div w:id="1417287008">
      <w:bodyDiv w:val="1"/>
      <w:marLeft w:val="0"/>
      <w:marRight w:val="0"/>
      <w:marTop w:val="0"/>
      <w:marBottom w:val="0"/>
      <w:divBdr>
        <w:top w:val="none" w:sz="0" w:space="0" w:color="auto"/>
        <w:left w:val="none" w:sz="0" w:space="0" w:color="auto"/>
        <w:bottom w:val="none" w:sz="0" w:space="0" w:color="auto"/>
        <w:right w:val="none" w:sz="0" w:space="0" w:color="auto"/>
      </w:divBdr>
    </w:div>
    <w:div w:id="1417361445">
      <w:bodyDiv w:val="1"/>
      <w:marLeft w:val="0"/>
      <w:marRight w:val="0"/>
      <w:marTop w:val="0"/>
      <w:marBottom w:val="0"/>
      <w:divBdr>
        <w:top w:val="none" w:sz="0" w:space="0" w:color="auto"/>
        <w:left w:val="none" w:sz="0" w:space="0" w:color="auto"/>
        <w:bottom w:val="none" w:sz="0" w:space="0" w:color="auto"/>
        <w:right w:val="none" w:sz="0" w:space="0" w:color="auto"/>
      </w:divBdr>
    </w:div>
    <w:div w:id="1417366858">
      <w:bodyDiv w:val="1"/>
      <w:marLeft w:val="0"/>
      <w:marRight w:val="0"/>
      <w:marTop w:val="0"/>
      <w:marBottom w:val="0"/>
      <w:divBdr>
        <w:top w:val="none" w:sz="0" w:space="0" w:color="auto"/>
        <w:left w:val="none" w:sz="0" w:space="0" w:color="auto"/>
        <w:bottom w:val="none" w:sz="0" w:space="0" w:color="auto"/>
        <w:right w:val="none" w:sz="0" w:space="0" w:color="auto"/>
      </w:divBdr>
    </w:div>
    <w:div w:id="1417441654">
      <w:bodyDiv w:val="1"/>
      <w:marLeft w:val="0"/>
      <w:marRight w:val="0"/>
      <w:marTop w:val="0"/>
      <w:marBottom w:val="0"/>
      <w:divBdr>
        <w:top w:val="none" w:sz="0" w:space="0" w:color="auto"/>
        <w:left w:val="none" w:sz="0" w:space="0" w:color="auto"/>
        <w:bottom w:val="none" w:sz="0" w:space="0" w:color="auto"/>
        <w:right w:val="none" w:sz="0" w:space="0" w:color="auto"/>
      </w:divBdr>
    </w:div>
    <w:div w:id="1417478834">
      <w:bodyDiv w:val="1"/>
      <w:marLeft w:val="0"/>
      <w:marRight w:val="0"/>
      <w:marTop w:val="0"/>
      <w:marBottom w:val="0"/>
      <w:divBdr>
        <w:top w:val="none" w:sz="0" w:space="0" w:color="auto"/>
        <w:left w:val="none" w:sz="0" w:space="0" w:color="auto"/>
        <w:bottom w:val="none" w:sz="0" w:space="0" w:color="auto"/>
        <w:right w:val="none" w:sz="0" w:space="0" w:color="auto"/>
      </w:divBdr>
    </w:div>
    <w:div w:id="1417553359">
      <w:bodyDiv w:val="1"/>
      <w:marLeft w:val="0"/>
      <w:marRight w:val="0"/>
      <w:marTop w:val="0"/>
      <w:marBottom w:val="0"/>
      <w:divBdr>
        <w:top w:val="none" w:sz="0" w:space="0" w:color="auto"/>
        <w:left w:val="none" w:sz="0" w:space="0" w:color="auto"/>
        <w:bottom w:val="none" w:sz="0" w:space="0" w:color="auto"/>
        <w:right w:val="none" w:sz="0" w:space="0" w:color="auto"/>
      </w:divBdr>
    </w:div>
    <w:div w:id="1417556356">
      <w:bodyDiv w:val="1"/>
      <w:marLeft w:val="0"/>
      <w:marRight w:val="0"/>
      <w:marTop w:val="0"/>
      <w:marBottom w:val="0"/>
      <w:divBdr>
        <w:top w:val="none" w:sz="0" w:space="0" w:color="auto"/>
        <w:left w:val="none" w:sz="0" w:space="0" w:color="auto"/>
        <w:bottom w:val="none" w:sz="0" w:space="0" w:color="auto"/>
        <w:right w:val="none" w:sz="0" w:space="0" w:color="auto"/>
      </w:divBdr>
    </w:div>
    <w:div w:id="1417745486">
      <w:bodyDiv w:val="1"/>
      <w:marLeft w:val="0"/>
      <w:marRight w:val="0"/>
      <w:marTop w:val="0"/>
      <w:marBottom w:val="0"/>
      <w:divBdr>
        <w:top w:val="none" w:sz="0" w:space="0" w:color="auto"/>
        <w:left w:val="none" w:sz="0" w:space="0" w:color="auto"/>
        <w:bottom w:val="none" w:sz="0" w:space="0" w:color="auto"/>
        <w:right w:val="none" w:sz="0" w:space="0" w:color="auto"/>
      </w:divBdr>
    </w:div>
    <w:div w:id="1417827546">
      <w:bodyDiv w:val="1"/>
      <w:marLeft w:val="0"/>
      <w:marRight w:val="0"/>
      <w:marTop w:val="0"/>
      <w:marBottom w:val="0"/>
      <w:divBdr>
        <w:top w:val="none" w:sz="0" w:space="0" w:color="auto"/>
        <w:left w:val="none" w:sz="0" w:space="0" w:color="auto"/>
        <w:bottom w:val="none" w:sz="0" w:space="0" w:color="auto"/>
        <w:right w:val="none" w:sz="0" w:space="0" w:color="auto"/>
      </w:divBdr>
    </w:div>
    <w:div w:id="1417894814">
      <w:bodyDiv w:val="1"/>
      <w:marLeft w:val="0"/>
      <w:marRight w:val="0"/>
      <w:marTop w:val="0"/>
      <w:marBottom w:val="0"/>
      <w:divBdr>
        <w:top w:val="none" w:sz="0" w:space="0" w:color="auto"/>
        <w:left w:val="none" w:sz="0" w:space="0" w:color="auto"/>
        <w:bottom w:val="none" w:sz="0" w:space="0" w:color="auto"/>
        <w:right w:val="none" w:sz="0" w:space="0" w:color="auto"/>
      </w:divBdr>
    </w:div>
    <w:div w:id="1418090897">
      <w:bodyDiv w:val="1"/>
      <w:marLeft w:val="0"/>
      <w:marRight w:val="0"/>
      <w:marTop w:val="0"/>
      <w:marBottom w:val="0"/>
      <w:divBdr>
        <w:top w:val="none" w:sz="0" w:space="0" w:color="auto"/>
        <w:left w:val="none" w:sz="0" w:space="0" w:color="auto"/>
        <w:bottom w:val="none" w:sz="0" w:space="0" w:color="auto"/>
        <w:right w:val="none" w:sz="0" w:space="0" w:color="auto"/>
      </w:divBdr>
    </w:div>
    <w:div w:id="1418091090">
      <w:bodyDiv w:val="1"/>
      <w:marLeft w:val="0"/>
      <w:marRight w:val="0"/>
      <w:marTop w:val="0"/>
      <w:marBottom w:val="0"/>
      <w:divBdr>
        <w:top w:val="none" w:sz="0" w:space="0" w:color="auto"/>
        <w:left w:val="none" w:sz="0" w:space="0" w:color="auto"/>
        <w:bottom w:val="none" w:sz="0" w:space="0" w:color="auto"/>
        <w:right w:val="none" w:sz="0" w:space="0" w:color="auto"/>
      </w:divBdr>
    </w:div>
    <w:div w:id="1418136248">
      <w:bodyDiv w:val="1"/>
      <w:marLeft w:val="0"/>
      <w:marRight w:val="0"/>
      <w:marTop w:val="0"/>
      <w:marBottom w:val="0"/>
      <w:divBdr>
        <w:top w:val="none" w:sz="0" w:space="0" w:color="auto"/>
        <w:left w:val="none" w:sz="0" w:space="0" w:color="auto"/>
        <w:bottom w:val="none" w:sz="0" w:space="0" w:color="auto"/>
        <w:right w:val="none" w:sz="0" w:space="0" w:color="auto"/>
      </w:divBdr>
    </w:div>
    <w:div w:id="1418207867">
      <w:bodyDiv w:val="1"/>
      <w:marLeft w:val="0"/>
      <w:marRight w:val="0"/>
      <w:marTop w:val="0"/>
      <w:marBottom w:val="0"/>
      <w:divBdr>
        <w:top w:val="none" w:sz="0" w:space="0" w:color="auto"/>
        <w:left w:val="none" w:sz="0" w:space="0" w:color="auto"/>
        <w:bottom w:val="none" w:sz="0" w:space="0" w:color="auto"/>
        <w:right w:val="none" w:sz="0" w:space="0" w:color="auto"/>
      </w:divBdr>
    </w:div>
    <w:div w:id="1418550516">
      <w:bodyDiv w:val="1"/>
      <w:marLeft w:val="0"/>
      <w:marRight w:val="0"/>
      <w:marTop w:val="0"/>
      <w:marBottom w:val="0"/>
      <w:divBdr>
        <w:top w:val="none" w:sz="0" w:space="0" w:color="auto"/>
        <w:left w:val="none" w:sz="0" w:space="0" w:color="auto"/>
        <w:bottom w:val="none" w:sz="0" w:space="0" w:color="auto"/>
        <w:right w:val="none" w:sz="0" w:space="0" w:color="auto"/>
      </w:divBdr>
    </w:div>
    <w:div w:id="1418750637">
      <w:bodyDiv w:val="1"/>
      <w:marLeft w:val="0"/>
      <w:marRight w:val="0"/>
      <w:marTop w:val="0"/>
      <w:marBottom w:val="0"/>
      <w:divBdr>
        <w:top w:val="none" w:sz="0" w:space="0" w:color="auto"/>
        <w:left w:val="none" w:sz="0" w:space="0" w:color="auto"/>
        <w:bottom w:val="none" w:sz="0" w:space="0" w:color="auto"/>
        <w:right w:val="none" w:sz="0" w:space="0" w:color="auto"/>
      </w:divBdr>
    </w:div>
    <w:div w:id="1418794135">
      <w:bodyDiv w:val="1"/>
      <w:marLeft w:val="0"/>
      <w:marRight w:val="0"/>
      <w:marTop w:val="0"/>
      <w:marBottom w:val="0"/>
      <w:divBdr>
        <w:top w:val="none" w:sz="0" w:space="0" w:color="auto"/>
        <w:left w:val="none" w:sz="0" w:space="0" w:color="auto"/>
        <w:bottom w:val="none" w:sz="0" w:space="0" w:color="auto"/>
        <w:right w:val="none" w:sz="0" w:space="0" w:color="auto"/>
      </w:divBdr>
    </w:div>
    <w:div w:id="1419014461">
      <w:bodyDiv w:val="1"/>
      <w:marLeft w:val="0"/>
      <w:marRight w:val="0"/>
      <w:marTop w:val="0"/>
      <w:marBottom w:val="0"/>
      <w:divBdr>
        <w:top w:val="none" w:sz="0" w:space="0" w:color="auto"/>
        <w:left w:val="none" w:sz="0" w:space="0" w:color="auto"/>
        <w:bottom w:val="none" w:sz="0" w:space="0" w:color="auto"/>
        <w:right w:val="none" w:sz="0" w:space="0" w:color="auto"/>
      </w:divBdr>
    </w:div>
    <w:div w:id="1419213215">
      <w:bodyDiv w:val="1"/>
      <w:marLeft w:val="0"/>
      <w:marRight w:val="0"/>
      <w:marTop w:val="0"/>
      <w:marBottom w:val="0"/>
      <w:divBdr>
        <w:top w:val="none" w:sz="0" w:space="0" w:color="auto"/>
        <w:left w:val="none" w:sz="0" w:space="0" w:color="auto"/>
        <w:bottom w:val="none" w:sz="0" w:space="0" w:color="auto"/>
        <w:right w:val="none" w:sz="0" w:space="0" w:color="auto"/>
      </w:divBdr>
    </w:div>
    <w:div w:id="1419253331">
      <w:bodyDiv w:val="1"/>
      <w:marLeft w:val="0"/>
      <w:marRight w:val="0"/>
      <w:marTop w:val="0"/>
      <w:marBottom w:val="0"/>
      <w:divBdr>
        <w:top w:val="none" w:sz="0" w:space="0" w:color="auto"/>
        <w:left w:val="none" w:sz="0" w:space="0" w:color="auto"/>
        <w:bottom w:val="none" w:sz="0" w:space="0" w:color="auto"/>
        <w:right w:val="none" w:sz="0" w:space="0" w:color="auto"/>
      </w:divBdr>
    </w:div>
    <w:div w:id="1419254595">
      <w:bodyDiv w:val="1"/>
      <w:marLeft w:val="0"/>
      <w:marRight w:val="0"/>
      <w:marTop w:val="0"/>
      <w:marBottom w:val="0"/>
      <w:divBdr>
        <w:top w:val="none" w:sz="0" w:space="0" w:color="auto"/>
        <w:left w:val="none" w:sz="0" w:space="0" w:color="auto"/>
        <w:bottom w:val="none" w:sz="0" w:space="0" w:color="auto"/>
        <w:right w:val="none" w:sz="0" w:space="0" w:color="auto"/>
      </w:divBdr>
    </w:div>
    <w:div w:id="1419325505">
      <w:bodyDiv w:val="1"/>
      <w:marLeft w:val="0"/>
      <w:marRight w:val="0"/>
      <w:marTop w:val="0"/>
      <w:marBottom w:val="0"/>
      <w:divBdr>
        <w:top w:val="none" w:sz="0" w:space="0" w:color="auto"/>
        <w:left w:val="none" w:sz="0" w:space="0" w:color="auto"/>
        <w:bottom w:val="none" w:sz="0" w:space="0" w:color="auto"/>
        <w:right w:val="none" w:sz="0" w:space="0" w:color="auto"/>
      </w:divBdr>
    </w:div>
    <w:div w:id="1419328955">
      <w:bodyDiv w:val="1"/>
      <w:marLeft w:val="0"/>
      <w:marRight w:val="0"/>
      <w:marTop w:val="0"/>
      <w:marBottom w:val="0"/>
      <w:divBdr>
        <w:top w:val="none" w:sz="0" w:space="0" w:color="auto"/>
        <w:left w:val="none" w:sz="0" w:space="0" w:color="auto"/>
        <w:bottom w:val="none" w:sz="0" w:space="0" w:color="auto"/>
        <w:right w:val="none" w:sz="0" w:space="0" w:color="auto"/>
      </w:divBdr>
    </w:div>
    <w:div w:id="1419331870">
      <w:bodyDiv w:val="1"/>
      <w:marLeft w:val="0"/>
      <w:marRight w:val="0"/>
      <w:marTop w:val="0"/>
      <w:marBottom w:val="0"/>
      <w:divBdr>
        <w:top w:val="none" w:sz="0" w:space="0" w:color="auto"/>
        <w:left w:val="none" w:sz="0" w:space="0" w:color="auto"/>
        <w:bottom w:val="none" w:sz="0" w:space="0" w:color="auto"/>
        <w:right w:val="none" w:sz="0" w:space="0" w:color="auto"/>
      </w:divBdr>
    </w:div>
    <w:div w:id="1419399926">
      <w:bodyDiv w:val="1"/>
      <w:marLeft w:val="0"/>
      <w:marRight w:val="0"/>
      <w:marTop w:val="0"/>
      <w:marBottom w:val="0"/>
      <w:divBdr>
        <w:top w:val="none" w:sz="0" w:space="0" w:color="auto"/>
        <w:left w:val="none" w:sz="0" w:space="0" w:color="auto"/>
        <w:bottom w:val="none" w:sz="0" w:space="0" w:color="auto"/>
        <w:right w:val="none" w:sz="0" w:space="0" w:color="auto"/>
      </w:divBdr>
    </w:div>
    <w:div w:id="1419448212">
      <w:bodyDiv w:val="1"/>
      <w:marLeft w:val="0"/>
      <w:marRight w:val="0"/>
      <w:marTop w:val="0"/>
      <w:marBottom w:val="0"/>
      <w:divBdr>
        <w:top w:val="none" w:sz="0" w:space="0" w:color="auto"/>
        <w:left w:val="none" w:sz="0" w:space="0" w:color="auto"/>
        <w:bottom w:val="none" w:sz="0" w:space="0" w:color="auto"/>
        <w:right w:val="none" w:sz="0" w:space="0" w:color="auto"/>
      </w:divBdr>
    </w:div>
    <w:div w:id="1419450257">
      <w:bodyDiv w:val="1"/>
      <w:marLeft w:val="0"/>
      <w:marRight w:val="0"/>
      <w:marTop w:val="0"/>
      <w:marBottom w:val="0"/>
      <w:divBdr>
        <w:top w:val="none" w:sz="0" w:space="0" w:color="auto"/>
        <w:left w:val="none" w:sz="0" w:space="0" w:color="auto"/>
        <w:bottom w:val="none" w:sz="0" w:space="0" w:color="auto"/>
        <w:right w:val="none" w:sz="0" w:space="0" w:color="auto"/>
      </w:divBdr>
    </w:div>
    <w:div w:id="1419525131">
      <w:bodyDiv w:val="1"/>
      <w:marLeft w:val="0"/>
      <w:marRight w:val="0"/>
      <w:marTop w:val="0"/>
      <w:marBottom w:val="0"/>
      <w:divBdr>
        <w:top w:val="none" w:sz="0" w:space="0" w:color="auto"/>
        <w:left w:val="none" w:sz="0" w:space="0" w:color="auto"/>
        <w:bottom w:val="none" w:sz="0" w:space="0" w:color="auto"/>
        <w:right w:val="none" w:sz="0" w:space="0" w:color="auto"/>
      </w:divBdr>
    </w:div>
    <w:div w:id="1419525404">
      <w:bodyDiv w:val="1"/>
      <w:marLeft w:val="0"/>
      <w:marRight w:val="0"/>
      <w:marTop w:val="0"/>
      <w:marBottom w:val="0"/>
      <w:divBdr>
        <w:top w:val="none" w:sz="0" w:space="0" w:color="auto"/>
        <w:left w:val="none" w:sz="0" w:space="0" w:color="auto"/>
        <w:bottom w:val="none" w:sz="0" w:space="0" w:color="auto"/>
        <w:right w:val="none" w:sz="0" w:space="0" w:color="auto"/>
      </w:divBdr>
    </w:div>
    <w:div w:id="1419669868">
      <w:bodyDiv w:val="1"/>
      <w:marLeft w:val="0"/>
      <w:marRight w:val="0"/>
      <w:marTop w:val="0"/>
      <w:marBottom w:val="0"/>
      <w:divBdr>
        <w:top w:val="none" w:sz="0" w:space="0" w:color="auto"/>
        <w:left w:val="none" w:sz="0" w:space="0" w:color="auto"/>
        <w:bottom w:val="none" w:sz="0" w:space="0" w:color="auto"/>
        <w:right w:val="none" w:sz="0" w:space="0" w:color="auto"/>
      </w:divBdr>
    </w:div>
    <w:div w:id="1419785919">
      <w:bodyDiv w:val="1"/>
      <w:marLeft w:val="0"/>
      <w:marRight w:val="0"/>
      <w:marTop w:val="0"/>
      <w:marBottom w:val="0"/>
      <w:divBdr>
        <w:top w:val="none" w:sz="0" w:space="0" w:color="auto"/>
        <w:left w:val="none" w:sz="0" w:space="0" w:color="auto"/>
        <w:bottom w:val="none" w:sz="0" w:space="0" w:color="auto"/>
        <w:right w:val="none" w:sz="0" w:space="0" w:color="auto"/>
      </w:divBdr>
    </w:div>
    <w:div w:id="1419862126">
      <w:bodyDiv w:val="1"/>
      <w:marLeft w:val="0"/>
      <w:marRight w:val="0"/>
      <w:marTop w:val="0"/>
      <w:marBottom w:val="0"/>
      <w:divBdr>
        <w:top w:val="none" w:sz="0" w:space="0" w:color="auto"/>
        <w:left w:val="none" w:sz="0" w:space="0" w:color="auto"/>
        <w:bottom w:val="none" w:sz="0" w:space="0" w:color="auto"/>
        <w:right w:val="none" w:sz="0" w:space="0" w:color="auto"/>
      </w:divBdr>
    </w:div>
    <w:div w:id="1419905350">
      <w:bodyDiv w:val="1"/>
      <w:marLeft w:val="0"/>
      <w:marRight w:val="0"/>
      <w:marTop w:val="0"/>
      <w:marBottom w:val="0"/>
      <w:divBdr>
        <w:top w:val="none" w:sz="0" w:space="0" w:color="auto"/>
        <w:left w:val="none" w:sz="0" w:space="0" w:color="auto"/>
        <w:bottom w:val="none" w:sz="0" w:space="0" w:color="auto"/>
        <w:right w:val="none" w:sz="0" w:space="0" w:color="auto"/>
      </w:divBdr>
    </w:div>
    <w:div w:id="1419980797">
      <w:bodyDiv w:val="1"/>
      <w:marLeft w:val="0"/>
      <w:marRight w:val="0"/>
      <w:marTop w:val="0"/>
      <w:marBottom w:val="0"/>
      <w:divBdr>
        <w:top w:val="none" w:sz="0" w:space="0" w:color="auto"/>
        <w:left w:val="none" w:sz="0" w:space="0" w:color="auto"/>
        <w:bottom w:val="none" w:sz="0" w:space="0" w:color="auto"/>
        <w:right w:val="none" w:sz="0" w:space="0" w:color="auto"/>
      </w:divBdr>
    </w:div>
    <w:div w:id="1419987900">
      <w:bodyDiv w:val="1"/>
      <w:marLeft w:val="0"/>
      <w:marRight w:val="0"/>
      <w:marTop w:val="0"/>
      <w:marBottom w:val="0"/>
      <w:divBdr>
        <w:top w:val="none" w:sz="0" w:space="0" w:color="auto"/>
        <w:left w:val="none" w:sz="0" w:space="0" w:color="auto"/>
        <w:bottom w:val="none" w:sz="0" w:space="0" w:color="auto"/>
        <w:right w:val="none" w:sz="0" w:space="0" w:color="auto"/>
      </w:divBdr>
    </w:div>
    <w:div w:id="1420055265">
      <w:bodyDiv w:val="1"/>
      <w:marLeft w:val="0"/>
      <w:marRight w:val="0"/>
      <w:marTop w:val="0"/>
      <w:marBottom w:val="0"/>
      <w:divBdr>
        <w:top w:val="none" w:sz="0" w:space="0" w:color="auto"/>
        <w:left w:val="none" w:sz="0" w:space="0" w:color="auto"/>
        <w:bottom w:val="none" w:sz="0" w:space="0" w:color="auto"/>
        <w:right w:val="none" w:sz="0" w:space="0" w:color="auto"/>
      </w:divBdr>
    </w:div>
    <w:div w:id="1420061287">
      <w:bodyDiv w:val="1"/>
      <w:marLeft w:val="0"/>
      <w:marRight w:val="0"/>
      <w:marTop w:val="0"/>
      <w:marBottom w:val="0"/>
      <w:divBdr>
        <w:top w:val="none" w:sz="0" w:space="0" w:color="auto"/>
        <w:left w:val="none" w:sz="0" w:space="0" w:color="auto"/>
        <w:bottom w:val="none" w:sz="0" w:space="0" w:color="auto"/>
        <w:right w:val="none" w:sz="0" w:space="0" w:color="auto"/>
      </w:divBdr>
    </w:div>
    <w:div w:id="1420103240">
      <w:bodyDiv w:val="1"/>
      <w:marLeft w:val="0"/>
      <w:marRight w:val="0"/>
      <w:marTop w:val="0"/>
      <w:marBottom w:val="0"/>
      <w:divBdr>
        <w:top w:val="none" w:sz="0" w:space="0" w:color="auto"/>
        <w:left w:val="none" w:sz="0" w:space="0" w:color="auto"/>
        <w:bottom w:val="none" w:sz="0" w:space="0" w:color="auto"/>
        <w:right w:val="none" w:sz="0" w:space="0" w:color="auto"/>
      </w:divBdr>
    </w:div>
    <w:div w:id="1420129382">
      <w:bodyDiv w:val="1"/>
      <w:marLeft w:val="0"/>
      <w:marRight w:val="0"/>
      <w:marTop w:val="0"/>
      <w:marBottom w:val="0"/>
      <w:divBdr>
        <w:top w:val="none" w:sz="0" w:space="0" w:color="auto"/>
        <w:left w:val="none" w:sz="0" w:space="0" w:color="auto"/>
        <w:bottom w:val="none" w:sz="0" w:space="0" w:color="auto"/>
        <w:right w:val="none" w:sz="0" w:space="0" w:color="auto"/>
      </w:divBdr>
    </w:div>
    <w:div w:id="1420443593">
      <w:bodyDiv w:val="1"/>
      <w:marLeft w:val="0"/>
      <w:marRight w:val="0"/>
      <w:marTop w:val="0"/>
      <w:marBottom w:val="0"/>
      <w:divBdr>
        <w:top w:val="none" w:sz="0" w:space="0" w:color="auto"/>
        <w:left w:val="none" w:sz="0" w:space="0" w:color="auto"/>
        <w:bottom w:val="none" w:sz="0" w:space="0" w:color="auto"/>
        <w:right w:val="none" w:sz="0" w:space="0" w:color="auto"/>
      </w:divBdr>
    </w:div>
    <w:div w:id="1420517211">
      <w:bodyDiv w:val="1"/>
      <w:marLeft w:val="0"/>
      <w:marRight w:val="0"/>
      <w:marTop w:val="0"/>
      <w:marBottom w:val="0"/>
      <w:divBdr>
        <w:top w:val="none" w:sz="0" w:space="0" w:color="auto"/>
        <w:left w:val="none" w:sz="0" w:space="0" w:color="auto"/>
        <w:bottom w:val="none" w:sz="0" w:space="0" w:color="auto"/>
        <w:right w:val="none" w:sz="0" w:space="0" w:color="auto"/>
      </w:divBdr>
    </w:div>
    <w:div w:id="1420522407">
      <w:bodyDiv w:val="1"/>
      <w:marLeft w:val="0"/>
      <w:marRight w:val="0"/>
      <w:marTop w:val="0"/>
      <w:marBottom w:val="0"/>
      <w:divBdr>
        <w:top w:val="none" w:sz="0" w:space="0" w:color="auto"/>
        <w:left w:val="none" w:sz="0" w:space="0" w:color="auto"/>
        <w:bottom w:val="none" w:sz="0" w:space="0" w:color="auto"/>
        <w:right w:val="none" w:sz="0" w:space="0" w:color="auto"/>
      </w:divBdr>
    </w:div>
    <w:div w:id="1420636598">
      <w:bodyDiv w:val="1"/>
      <w:marLeft w:val="0"/>
      <w:marRight w:val="0"/>
      <w:marTop w:val="0"/>
      <w:marBottom w:val="0"/>
      <w:divBdr>
        <w:top w:val="none" w:sz="0" w:space="0" w:color="auto"/>
        <w:left w:val="none" w:sz="0" w:space="0" w:color="auto"/>
        <w:bottom w:val="none" w:sz="0" w:space="0" w:color="auto"/>
        <w:right w:val="none" w:sz="0" w:space="0" w:color="auto"/>
      </w:divBdr>
    </w:div>
    <w:div w:id="1420716662">
      <w:bodyDiv w:val="1"/>
      <w:marLeft w:val="0"/>
      <w:marRight w:val="0"/>
      <w:marTop w:val="0"/>
      <w:marBottom w:val="0"/>
      <w:divBdr>
        <w:top w:val="none" w:sz="0" w:space="0" w:color="auto"/>
        <w:left w:val="none" w:sz="0" w:space="0" w:color="auto"/>
        <w:bottom w:val="none" w:sz="0" w:space="0" w:color="auto"/>
        <w:right w:val="none" w:sz="0" w:space="0" w:color="auto"/>
      </w:divBdr>
    </w:div>
    <w:div w:id="1420718180">
      <w:bodyDiv w:val="1"/>
      <w:marLeft w:val="0"/>
      <w:marRight w:val="0"/>
      <w:marTop w:val="0"/>
      <w:marBottom w:val="0"/>
      <w:divBdr>
        <w:top w:val="none" w:sz="0" w:space="0" w:color="auto"/>
        <w:left w:val="none" w:sz="0" w:space="0" w:color="auto"/>
        <w:bottom w:val="none" w:sz="0" w:space="0" w:color="auto"/>
        <w:right w:val="none" w:sz="0" w:space="0" w:color="auto"/>
      </w:divBdr>
    </w:div>
    <w:div w:id="1420787346">
      <w:bodyDiv w:val="1"/>
      <w:marLeft w:val="0"/>
      <w:marRight w:val="0"/>
      <w:marTop w:val="0"/>
      <w:marBottom w:val="0"/>
      <w:divBdr>
        <w:top w:val="none" w:sz="0" w:space="0" w:color="auto"/>
        <w:left w:val="none" w:sz="0" w:space="0" w:color="auto"/>
        <w:bottom w:val="none" w:sz="0" w:space="0" w:color="auto"/>
        <w:right w:val="none" w:sz="0" w:space="0" w:color="auto"/>
      </w:divBdr>
    </w:div>
    <w:div w:id="1421022933">
      <w:bodyDiv w:val="1"/>
      <w:marLeft w:val="0"/>
      <w:marRight w:val="0"/>
      <w:marTop w:val="0"/>
      <w:marBottom w:val="0"/>
      <w:divBdr>
        <w:top w:val="none" w:sz="0" w:space="0" w:color="auto"/>
        <w:left w:val="none" w:sz="0" w:space="0" w:color="auto"/>
        <w:bottom w:val="none" w:sz="0" w:space="0" w:color="auto"/>
        <w:right w:val="none" w:sz="0" w:space="0" w:color="auto"/>
      </w:divBdr>
    </w:div>
    <w:div w:id="1421023307">
      <w:bodyDiv w:val="1"/>
      <w:marLeft w:val="0"/>
      <w:marRight w:val="0"/>
      <w:marTop w:val="0"/>
      <w:marBottom w:val="0"/>
      <w:divBdr>
        <w:top w:val="none" w:sz="0" w:space="0" w:color="auto"/>
        <w:left w:val="none" w:sz="0" w:space="0" w:color="auto"/>
        <w:bottom w:val="none" w:sz="0" w:space="0" w:color="auto"/>
        <w:right w:val="none" w:sz="0" w:space="0" w:color="auto"/>
      </w:divBdr>
    </w:div>
    <w:div w:id="1421027001">
      <w:bodyDiv w:val="1"/>
      <w:marLeft w:val="0"/>
      <w:marRight w:val="0"/>
      <w:marTop w:val="0"/>
      <w:marBottom w:val="0"/>
      <w:divBdr>
        <w:top w:val="none" w:sz="0" w:space="0" w:color="auto"/>
        <w:left w:val="none" w:sz="0" w:space="0" w:color="auto"/>
        <w:bottom w:val="none" w:sz="0" w:space="0" w:color="auto"/>
        <w:right w:val="none" w:sz="0" w:space="0" w:color="auto"/>
      </w:divBdr>
    </w:div>
    <w:div w:id="1421179564">
      <w:bodyDiv w:val="1"/>
      <w:marLeft w:val="0"/>
      <w:marRight w:val="0"/>
      <w:marTop w:val="0"/>
      <w:marBottom w:val="0"/>
      <w:divBdr>
        <w:top w:val="none" w:sz="0" w:space="0" w:color="auto"/>
        <w:left w:val="none" w:sz="0" w:space="0" w:color="auto"/>
        <w:bottom w:val="none" w:sz="0" w:space="0" w:color="auto"/>
        <w:right w:val="none" w:sz="0" w:space="0" w:color="auto"/>
      </w:divBdr>
    </w:div>
    <w:div w:id="1421216655">
      <w:bodyDiv w:val="1"/>
      <w:marLeft w:val="0"/>
      <w:marRight w:val="0"/>
      <w:marTop w:val="0"/>
      <w:marBottom w:val="0"/>
      <w:divBdr>
        <w:top w:val="none" w:sz="0" w:space="0" w:color="auto"/>
        <w:left w:val="none" w:sz="0" w:space="0" w:color="auto"/>
        <w:bottom w:val="none" w:sz="0" w:space="0" w:color="auto"/>
        <w:right w:val="none" w:sz="0" w:space="0" w:color="auto"/>
      </w:divBdr>
    </w:div>
    <w:div w:id="1421288967">
      <w:bodyDiv w:val="1"/>
      <w:marLeft w:val="0"/>
      <w:marRight w:val="0"/>
      <w:marTop w:val="0"/>
      <w:marBottom w:val="0"/>
      <w:divBdr>
        <w:top w:val="none" w:sz="0" w:space="0" w:color="auto"/>
        <w:left w:val="none" w:sz="0" w:space="0" w:color="auto"/>
        <w:bottom w:val="none" w:sz="0" w:space="0" w:color="auto"/>
        <w:right w:val="none" w:sz="0" w:space="0" w:color="auto"/>
      </w:divBdr>
    </w:div>
    <w:div w:id="1421291197">
      <w:bodyDiv w:val="1"/>
      <w:marLeft w:val="0"/>
      <w:marRight w:val="0"/>
      <w:marTop w:val="0"/>
      <w:marBottom w:val="0"/>
      <w:divBdr>
        <w:top w:val="none" w:sz="0" w:space="0" w:color="auto"/>
        <w:left w:val="none" w:sz="0" w:space="0" w:color="auto"/>
        <w:bottom w:val="none" w:sz="0" w:space="0" w:color="auto"/>
        <w:right w:val="none" w:sz="0" w:space="0" w:color="auto"/>
      </w:divBdr>
    </w:div>
    <w:div w:id="1421440755">
      <w:bodyDiv w:val="1"/>
      <w:marLeft w:val="0"/>
      <w:marRight w:val="0"/>
      <w:marTop w:val="0"/>
      <w:marBottom w:val="0"/>
      <w:divBdr>
        <w:top w:val="none" w:sz="0" w:space="0" w:color="auto"/>
        <w:left w:val="none" w:sz="0" w:space="0" w:color="auto"/>
        <w:bottom w:val="none" w:sz="0" w:space="0" w:color="auto"/>
        <w:right w:val="none" w:sz="0" w:space="0" w:color="auto"/>
      </w:divBdr>
    </w:div>
    <w:div w:id="1421560461">
      <w:bodyDiv w:val="1"/>
      <w:marLeft w:val="0"/>
      <w:marRight w:val="0"/>
      <w:marTop w:val="0"/>
      <w:marBottom w:val="0"/>
      <w:divBdr>
        <w:top w:val="none" w:sz="0" w:space="0" w:color="auto"/>
        <w:left w:val="none" w:sz="0" w:space="0" w:color="auto"/>
        <w:bottom w:val="none" w:sz="0" w:space="0" w:color="auto"/>
        <w:right w:val="none" w:sz="0" w:space="0" w:color="auto"/>
      </w:divBdr>
    </w:div>
    <w:div w:id="1421635328">
      <w:bodyDiv w:val="1"/>
      <w:marLeft w:val="0"/>
      <w:marRight w:val="0"/>
      <w:marTop w:val="0"/>
      <w:marBottom w:val="0"/>
      <w:divBdr>
        <w:top w:val="none" w:sz="0" w:space="0" w:color="auto"/>
        <w:left w:val="none" w:sz="0" w:space="0" w:color="auto"/>
        <w:bottom w:val="none" w:sz="0" w:space="0" w:color="auto"/>
        <w:right w:val="none" w:sz="0" w:space="0" w:color="auto"/>
      </w:divBdr>
    </w:div>
    <w:div w:id="1421681892">
      <w:bodyDiv w:val="1"/>
      <w:marLeft w:val="0"/>
      <w:marRight w:val="0"/>
      <w:marTop w:val="0"/>
      <w:marBottom w:val="0"/>
      <w:divBdr>
        <w:top w:val="none" w:sz="0" w:space="0" w:color="auto"/>
        <w:left w:val="none" w:sz="0" w:space="0" w:color="auto"/>
        <w:bottom w:val="none" w:sz="0" w:space="0" w:color="auto"/>
        <w:right w:val="none" w:sz="0" w:space="0" w:color="auto"/>
      </w:divBdr>
    </w:div>
    <w:div w:id="1421684613">
      <w:bodyDiv w:val="1"/>
      <w:marLeft w:val="0"/>
      <w:marRight w:val="0"/>
      <w:marTop w:val="0"/>
      <w:marBottom w:val="0"/>
      <w:divBdr>
        <w:top w:val="none" w:sz="0" w:space="0" w:color="auto"/>
        <w:left w:val="none" w:sz="0" w:space="0" w:color="auto"/>
        <w:bottom w:val="none" w:sz="0" w:space="0" w:color="auto"/>
        <w:right w:val="none" w:sz="0" w:space="0" w:color="auto"/>
      </w:divBdr>
    </w:div>
    <w:div w:id="1421753554">
      <w:bodyDiv w:val="1"/>
      <w:marLeft w:val="0"/>
      <w:marRight w:val="0"/>
      <w:marTop w:val="0"/>
      <w:marBottom w:val="0"/>
      <w:divBdr>
        <w:top w:val="none" w:sz="0" w:space="0" w:color="auto"/>
        <w:left w:val="none" w:sz="0" w:space="0" w:color="auto"/>
        <w:bottom w:val="none" w:sz="0" w:space="0" w:color="auto"/>
        <w:right w:val="none" w:sz="0" w:space="0" w:color="auto"/>
      </w:divBdr>
    </w:div>
    <w:div w:id="1421876653">
      <w:bodyDiv w:val="1"/>
      <w:marLeft w:val="0"/>
      <w:marRight w:val="0"/>
      <w:marTop w:val="0"/>
      <w:marBottom w:val="0"/>
      <w:divBdr>
        <w:top w:val="none" w:sz="0" w:space="0" w:color="auto"/>
        <w:left w:val="none" w:sz="0" w:space="0" w:color="auto"/>
        <w:bottom w:val="none" w:sz="0" w:space="0" w:color="auto"/>
        <w:right w:val="none" w:sz="0" w:space="0" w:color="auto"/>
      </w:divBdr>
    </w:div>
    <w:div w:id="1421944450">
      <w:bodyDiv w:val="1"/>
      <w:marLeft w:val="0"/>
      <w:marRight w:val="0"/>
      <w:marTop w:val="0"/>
      <w:marBottom w:val="0"/>
      <w:divBdr>
        <w:top w:val="none" w:sz="0" w:space="0" w:color="auto"/>
        <w:left w:val="none" w:sz="0" w:space="0" w:color="auto"/>
        <w:bottom w:val="none" w:sz="0" w:space="0" w:color="auto"/>
        <w:right w:val="none" w:sz="0" w:space="0" w:color="auto"/>
      </w:divBdr>
    </w:div>
    <w:div w:id="1421948793">
      <w:bodyDiv w:val="1"/>
      <w:marLeft w:val="0"/>
      <w:marRight w:val="0"/>
      <w:marTop w:val="0"/>
      <w:marBottom w:val="0"/>
      <w:divBdr>
        <w:top w:val="none" w:sz="0" w:space="0" w:color="auto"/>
        <w:left w:val="none" w:sz="0" w:space="0" w:color="auto"/>
        <w:bottom w:val="none" w:sz="0" w:space="0" w:color="auto"/>
        <w:right w:val="none" w:sz="0" w:space="0" w:color="auto"/>
      </w:divBdr>
    </w:div>
    <w:div w:id="1422026981">
      <w:bodyDiv w:val="1"/>
      <w:marLeft w:val="0"/>
      <w:marRight w:val="0"/>
      <w:marTop w:val="0"/>
      <w:marBottom w:val="0"/>
      <w:divBdr>
        <w:top w:val="none" w:sz="0" w:space="0" w:color="auto"/>
        <w:left w:val="none" w:sz="0" w:space="0" w:color="auto"/>
        <w:bottom w:val="none" w:sz="0" w:space="0" w:color="auto"/>
        <w:right w:val="none" w:sz="0" w:space="0" w:color="auto"/>
      </w:divBdr>
    </w:div>
    <w:div w:id="1422143729">
      <w:bodyDiv w:val="1"/>
      <w:marLeft w:val="0"/>
      <w:marRight w:val="0"/>
      <w:marTop w:val="0"/>
      <w:marBottom w:val="0"/>
      <w:divBdr>
        <w:top w:val="none" w:sz="0" w:space="0" w:color="auto"/>
        <w:left w:val="none" w:sz="0" w:space="0" w:color="auto"/>
        <w:bottom w:val="none" w:sz="0" w:space="0" w:color="auto"/>
        <w:right w:val="none" w:sz="0" w:space="0" w:color="auto"/>
      </w:divBdr>
    </w:div>
    <w:div w:id="1422290928">
      <w:bodyDiv w:val="1"/>
      <w:marLeft w:val="0"/>
      <w:marRight w:val="0"/>
      <w:marTop w:val="0"/>
      <w:marBottom w:val="0"/>
      <w:divBdr>
        <w:top w:val="none" w:sz="0" w:space="0" w:color="auto"/>
        <w:left w:val="none" w:sz="0" w:space="0" w:color="auto"/>
        <w:bottom w:val="none" w:sz="0" w:space="0" w:color="auto"/>
        <w:right w:val="none" w:sz="0" w:space="0" w:color="auto"/>
      </w:divBdr>
    </w:div>
    <w:div w:id="1422411675">
      <w:bodyDiv w:val="1"/>
      <w:marLeft w:val="0"/>
      <w:marRight w:val="0"/>
      <w:marTop w:val="0"/>
      <w:marBottom w:val="0"/>
      <w:divBdr>
        <w:top w:val="none" w:sz="0" w:space="0" w:color="auto"/>
        <w:left w:val="none" w:sz="0" w:space="0" w:color="auto"/>
        <w:bottom w:val="none" w:sz="0" w:space="0" w:color="auto"/>
        <w:right w:val="none" w:sz="0" w:space="0" w:color="auto"/>
      </w:divBdr>
    </w:div>
    <w:div w:id="1422485902">
      <w:bodyDiv w:val="1"/>
      <w:marLeft w:val="0"/>
      <w:marRight w:val="0"/>
      <w:marTop w:val="0"/>
      <w:marBottom w:val="0"/>
      <w:divBdr>
        <w:top w:val="none" w:sz="0" w:space="0" w:color="auto"/>
        <w:left w:val="none" w:sz="0" w:space="0" w:color="auto"/>
        <w:bottom w:val="none" w:sz="0" w:space="0" w:color="auto"/>
        <w:right w:val="none" w:sz="0" w:space="0" w:color="auto"/>
      </w:divBdr>
    </w:div>
    <w:div w:id="1422792621">
      <w:bodyDiv w:val="1"/>
      <w:marLeft w:val="0"/>
      <w:marRight w:val="0"/>
      <w:marTop w:val="0"/>
      <w:marBottom w:val="0"/>
      <w:divBdr>
        <w:top w:val="none" w:sz="0" w:space="0" w:color="auto"/>
        <w:left w:val="none" w:sz="0" w:space="0" w:color="auto"/>
        <w:bottom w:val="none" w:sz="0" w:space="0" w:color="auto"/>
        <w:right w:val="none" w:sz="0" w:space="0" w:color="auto"/>
      </w:divBdr>
    </w:div>
    <w:div w:id="1422797733">
      <w:bodyDiv w:val="1"/>
      <w:marLeft w:val="0"/>
      <w:marRight w:val="0"/>
      <w:marTop w:val="0"/>
      <w:marBottom w:val="0"/>
      <w:divBdr>
        <w:top w:val="none" w:sz="0" w:space="0" w:color="auto"/>
        <w:left w:val="none" w:sz="0" w:space="0" w:color="auto"/>
        <w:bottom w:val="none" w:sz="0" w:space="0" w:color="auto"/>
        <w:right w:val="none" w:sz="0" w:space="0" w:color="auto"/>
      </w:divBdr>
    </w:div>
    <w:div w:id="1422877479">
      <w:bodyDiv w:val="1"/>
      <w:marLeft w:val="0"/>
      <w:marRight w:val="0"/>
      <w:marTop w:val="0"/>
      <w:marBottom w:val="0"/>
      <w:divBdr>
        <w:top w:val="none" w:sz="0" w:space="0" w:color="auto"/>
        <w:left w:val="none" w:sz="0" w:space="0" w:color="auto"/>
        <w:bottom w:val="none" w:sz="0" w:space="0" w:color="auto"/>
        <w:right w:val="none" w:sz="0" w:space="0" w:color="auto"/>
      </w:divBdr>
    </w:div>
    <w:div w:id="1422943853">
      <w:bodyDiv w:val="1"/>
      <w:marLeft w:val="0"/>
      <w:marRight w:val="0"/>
      <w:marTop w:val="0"/>
      <w:marBottom w:val="0"/>
      <w:divBdr>
        <w:top w:val="none" w:sz="0" w:space="0" w:color="auto"/>
        <w:left w:val="none" w:sz="0" w:space="0" w:color="auto"/>
        <w:bottom w:val="none" w:sz="0" w:space="0" w:color="auto"/>
        <w:right w:val="none" w:sz="0" w:space="0" w:color="auto"/>
      </w:divBdr>
    </w:div>
    <w:div w:id="1422949311">
      <w:bodyDiv w:val="1"/>
      <w:marLeft w:val="0"/>
      <w:marRight w:val="0"/>
      <w:marTop w:val="0"/>
      <w:marBottom w:val="0"/>
      <w:divBdr>
        <w:top w:val="none" w:sz="0" w:space="0" w:color="auto"/>
        <w:left w:val="none" w:sz="0" w:space="0" w:color="auto"/>
        <w:bottom w:val="none" w:sz="0" w:space="0" w:color="auto"/>
        <w:right w:val="none" w:sz="0" w:space="0" w:color="auto"/>
      </w:divBdr>
    </w:div>
    <w:div w:id="1423180725">
      <w:bodyDiv w:val="1"/>
      <w:marLeft w:val="0"/>
      <w:marRight w:val="0"/>
      <w:marTop w:val="0"/>
      <w:marBottom w:val="0"/>
      <w:divBdr>
        <w:top w:val="none" w:sz="0" w:space="0" w:color="auto"/>
        <w:left w:val="none" w:sz="0" w:space="0" w:color="auto"/>
        <w:bottom w:val="none" w:sz="0" w:space="0" w:color="auto"/>
        <w:right w:val="none" w:sz="0" w:space="0" w:color="auto"/>
      </w:divBdr>
    </w:div>
    <w:div w:id="1423337996">
      <w:bodyDiv w:val="1"/>
      <w:marLeft w:val="0"/>
      <w:marRight w:val="0"/>
      <w:marTop w:val="0"/>
      <w:marBottom w:val="0"/>
      <w:divBdr>
        <w:top w:val="none" w:sz="0" w:space="0" w:color="auto"/>
        <w:left w:val="none" w:sz="0" w:space="0" w:color="auto"/>
        <w:bottom w:val="none" w:sz="0" w:space="0" w:color="auto"/>
        <w:right w:val="none" w:sz="0" w:space="0" w:color="auto"/>
      </w:divBdr>
    </w:div>
    <w:div w:id="1423449326">
      <w:bodyDiv w:val="1"/>
      <w:marLeft w:val="0"/>
      <w:marRight w:val="0"/>
      <w:marTop w:val="0"/>
      <w:marBottom w:val="0"/>
      <w:divBdr>
        <w:top w:val="none" w:sz="0" w:space="0" w:color="auto"/>
        <w:left w:val="none" w:sz="0" w:space="0" w:color="auto"/>
        <w:bottom w:val="none" w:sz="0" w:space="0" w:color="auto"/>
        <w:right w:val="none" w:sz="0" w:space="0" w:color="auto"/>
      </w:divBdr>
    </w:div>
    <w:div w:id="1423450995">
      <w:bodyDiv w:val="1"/>
      <w:marLeft w:val="0"/>
      <w:marRight w:val="0"/>
      <w:marTop w:val="0"/>
      <w:marBottom w:val="0"/>
      <w:divBdr>
        <w:top w:val="none" w:sz="0" w:space="0" w:color="auto"/>
        <w:left w:val="none" w:sz="0" w:space="0" w:color="auto"/>
        <w:bottom w:val="none" w:sz="0" w:space="0" w:color="auto"/>
        <w:right w:val="none" w:sz="0" w:space="0" w:color="auto"/>
      </w:divBdr>
    </w:div>
    <w:div w:id="1423602726">
      <w:bodyDiv w:val="1"/>
      <w:marLeft w:val="0"/>
      <w:marRight w:val="0"/>
      <w:marTop w:val="0"/>
      <w:marBottom w:val="0"/>
      <w:divBdr>
        <w:top w:val="none" w:sz="0" w:space="0" w:color="auto"/>
        <w:left w:val="none" w:sz="0" w:space="0" w:color="auto"/>
        <w:bottom w:val="none" w:sz="0" w:space="0" w:color="auto"/>
        <w:right w:val="none" w:sz="0" w:space="0" w:color="auto"/>
      </w:divBdr>
    </w:div>
    <w:div w:id="1423641191">
      <w:bodyDiv w:val="1"/>
      <w:marLeft w:val="0"/>
      <w:marRight w:val="0"/>
      <w:marTop w:val="0"/>
      <w:marBottom w:val="0"/>
      <w:divBdr>
        <w:top w:val="none" w:sz="0" w:space="0" w:color="auto"/>
        <w:left w:val="none" w:sz="0" w:space="0" w:color="auto"/>
        <w:bottom w:val="none" w:sz="0" w:space="0" w:color="auto"/>
        <w:right w:val="none" w:sz="0" w:space="0" w:color="auto"/>
      </w:divBdr>
    </w:div>
    <w:div w:id="1423645188">
      <w:bodyDiv w:val="1"/>
      <w:marLeft w:val="0"/>
      <w:marRight w:val="0"/>
      <w:marTop w:val="0"/>
      <w:marBottom w:val="0"/>
      <w:divBdr>
        <w:top w:val="none" w:sz="0" w:space="0" w:color="auto"/>
        <w:left w:val="none" w:sz="0" w:space="0" w:color="auto"/>
        <w:bottom w:val="none" w:sz="0" w:space="0" w:color="auto"/>
        <w:right w:val="none" w:sz="0" w:space="0" w:color="auto"/>
      </w:divBdr>
    </w:div>
    <w:div w:id="1423843272">
      <w:bodyDiv w:val="1"/>
      <w:marLeft w:val="0"/>
      <w:marRight w:val="0"/>
      <w:marTop w:val="0"/>
      <w:marBottom w:val="0"/>
      <w:divBdr>
        <w:top w:val="none" w:sz="0" w:space="0" w:color="auto"/>
        <w:left w:val="none" w:sz="0" w:space="0" w:color="auto"/>
        <w:bottom w:val="none" w:sz="0" w:space="0" w:color="auto"/>
        <w:right w:val="none" w:sz="0" w:space="0" w:color="auto"/>
      </w:divBdr>
    </w:div>
    <w:div w:id="1423916568">
      <w:bodyDiv w:val="1"/>
      <w:marLeft w:val="0"/>
      <w:marRight w:val="0"/>
      <w:marTop w:val="0"/>
      <w:marBottom w:val="0"/>
      <w:divBdr>
        <w:top w:val="none" w:sz="0" w:space="0" w:color="auto"/>
        <w:left w:val="none" w:sz="0" w:space="0" w:color="auto"/>
        <w:bottom w:val="none" w:sz="0" w:space="0" w:color="auto"/>
        <w:right w:val="none" w:sz="0" w:space="0" w:color="auto"/>
      </w:divBdr>
    </w:div>
    <w:div w:id="1423990533">
      <w:bodyDiv w:val="1"/>
      <w:marLeft w:val="0"/>
      <w:marRight w:val="0"/>
      <w:marTop w:val="0"/>
      <w:marBottom w:val="0"/>
      <w:divBdr>
        <w:top w:val="none" w:sz="0" w:space="0" w:color="auto"/>
        <w:left w:val="none" w:sz="0" w:space="0" w:color="auto"/>
        <w:bottom w:val="none" w:sz="0" w:space="0" w:color="auto"/>
        <w:right w:val="none" w:sz="0" w:space="0" w:color="auto"/>
      </w:divBdr>
    </w:div>
    <w:div w:id="1423991989">
      <w:bodyDiv w:val="1"/>
      <w:marLeft w:val="0"/>
      <w:marRight w:val="0"/>
      <w:marTop w:val="0"/>
      <w:marBottom w:val="0"/>
      <w:divBdr>
        <w:top w:val="none" w:sz="0" w:space="0" w:color="auto"/>
        <w:left w:val="none" w:sz="0" w:space="0" w:color="auto"/>
        <w:bottom w:val="none" w:sz="0" w:space="0" w:color="auto"/>
        <w:right w:val="none" w:sz="0" w:space="0" w:color="auto"/>
      </w:divBdr>
    </w:div>
    <w:div w:id="1423994356">
      <w:bodyDiv w:val="1"/>
      <w:marLeft w:val="0"/>
      <w:marRight w:val="0"/>
      <w:marTop w:val="0"/>
      <w:marBottom w:val="0"/>
      <w:divBdr>
        <w:top w:val="none" w:sz="0" w:space="0" w:color="auto"/>
        <w:left w:val="none" w:sz="0" w:space="0" w:color="auto"/>
        <w:bottom w:val="none" w:sz="0" w:space="0" w:color="auto"/>
        <w:right w:val="none" w:sz="0" w:space="0" w:color="auto"/>
      </w:divBdr>
    </w:div>
    <w:div w:id="1424036225">
      <w:bodyDiv w:val="1"/>
      <w:marLeft w:val="0"/>
      <w:marRight w:val="0"/>
      <w:marTop w:val="0"/>
      <w:marBottom w:val="0"/>
      <w:divBdr>
        <w:top w:val="none" w:sz="0" w:space="0" w:color="auto"/>
        <w:left w:val="none" w:sz="0" w:space="0" w:color="auto"/>
        <w:bottom w:val="none" w:sz="0" w:space="0" w:color="auto"/>
        <w:right w:val="none" w:sz="0" w:space="0" w:color="auto"/>
      </w:divBdr>
    </w:div>
    <w:div w:id="1424103637">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24180356">
      <w:bodyDiv w:val="1"/>
      <w:marLeft w:val="0"/>
      <w:marRight w:val="0"/>
      <w:marTop w:val="0"/>
      <w:marBottom w:val="0"/>
      <w:divBdr>
        <w:top w:val="none" w:sz="0" w:space="0" w:color="auto"/>
        <w:left w:val="none" w:sz="0" w:space="0" w:color="auto"/>
        <w:bottom w:val="none" w:sz="0" w:space="0" w:color="auto"/>
        <w:right w:val="none" w:sz="0" w:space="0" w:color="auto"/>
      </w:divBdr>
    </w:div>
    <w:div w:id="1424182029">
      <w:bodyDiv w:val="1"/>
      <w:marLeft w:val="0"/>
      <w:marRight w:val="0"/>
      <w:marTop w:val="0"/>
      <w:marBottom w:val="0"/>
      <w:divBdr>
        <w:top w:val="none" w:sz="0" w:space="0" w:color="auto"/>
        <w:left w:val="none" w:sz="0" w:space="0" w:color="auto"/>
        <w:bottom w:val="none" w:sz="0" w:space="0" w:color="auto"/>
        <w:right w:val="none" w:sz="0" w:space="0" w:color="auto"/>
      </w:divBdr>
    </w:div>
    <w:div w:id="1424182895">
      <w:bodyDiv w:val="1"/>
      <w:marLeft w:val="0"/>
      <w:marRight w:val="0"/>
      <w:marTop w:val="0"/>
      <w:marBottom w:val="0"/>
      <w:divBdr>
        <w:top w:val="none" w:sz="0" w:space="0" w:color="auto"/>
        <w:left w:val="none" w:sz="0" w:space="0" w:color="auto"/>
        <w:bottom w:val="none" w:sz="0" w:space="0" w:color="auto"/>
        <w:right w:val="none" w:sz="0" w:space="0" w:color="auto"/>
      </w:divBdr>
    </w:div>
    <w:div w:id="1424229499">
      <w:bodyDiv w:val="1"/>
      <w:marLeft w:val="0"/>
      <w:marRight w:val="0"/>
      <w:marTop w:val="0"/>
      <w:marBottom w:val="0"/>
      <w:divBdr>
        <w:top w:val="none" w:sz="0" w:space="0" w:color="auto"/>
        <w:left w:val="none" w:sz="0" w:space="0" w:color="auto"/>
        <w:bottom w:val="none" w:sz="0" w:space="0" w:color="auto"/>
        <w:right w:val="none" w:sz="0" w:space="0" w:color="auto"/>
      </w:divBdr>
    </w:div>
    <w:div w:id="1424258350">
      <w:bodyDiv w:val="1"/>
      <w:marLeft w:val="0"/>
      <w:marRight w:val="0"/>
      <w:marTop w:val="0"/>
      <w:marBottom w:val="0"/>
      <w:divBdr>
        <w:top w:val="none" w:sz="0" w:space="0" w:color="auto"/>
        <w:left w:val="none" w:sz="0" w:space="0" w:color="auto"/>
        <w:bottom w:val="none" w:sz="0" w:space="0" w:color="auto"/>
        <w:right w:val="none" w:sz="0" w:space="0" w:color="auto"/>
      </w:divBdr>
    </w:div>
    <w:div w:id="1424297939">
      <w:bodyDiv w:val="1"/>
      <w:marLeft w:val="0"/>
      <w:marRight w:val="0"/>
      <w:marTop w:val="0"/>
      <w:marBottom w:val="0"/>
      <w:divBdr>
        <w:top w:val="none" w:sz="0" w:space="0" w:color="auto"/>
        <w:left w:val="none" w:sz="0" w:space="0" w:color="auto"/>
        <w:bottom w:val="none" w:sz="0" w:space="0" w:color="auto"/>
        <w:right w:val="none" w:sz="0" w:space="0" w:color="auto"/>
      </w:divBdr>
    </w:div>
    <w:div w:id="1424301386">
      <w:bodyDiv w:val="1"/>
      <w:marLeft w:val="0"/>
      <w:marRight w:val="0"/>
      <w:marTop w:val="0"/>
      <w:marBottom w:val="0"/>
      <w:divBdr>
        <w:top w:val="none" w:sz="0" w:space="0" w:color="auto"/>
        <w:left w:val="none" w:sz="0" w:space="0" w:color="auto"/>
        <w:bottom w:val="none" w:sz="0" w:space="0" w:color="auto"/>
        <w:right w:val="none" w:sz="0" w:space="0" w:color="auto"/>
      </w:divBdr>
    </w:div>
    <w:div w:id="1424302255">
      <w:bodyDiv w:val="1"/>
      <w:marLeft w:val="0"/>
      <w:marRight w:val="0"/>
      <w:marTop w:val="0"/>
      <w:marBottom w:val="0"/>
      <w:divBdr>
        <w:top w:val="none" w:sz="0" w:space="0" w:color="auto"/>
        <w:left w:val="none" w:sz="0" w:space="0" w:color="auto"/>
        <w:bottom w:val="none" w:sz="0" w:space="0" w:color="auto"/>
        <w:right w:val="none" w:sz="0" w:space="0" w:color="auto"/>
      </w:divBdr>
    </w:div>
    <w:div w:id="1424303140">
      <w:bodyDiv w:val="1"/>
      <w:marLeft w:val="0"/>
      <w:marRight w:val="0"/>
      <w:marTop w:val="0"/>
      <w:marBottom w:val="0"/>
      <w:divBdr>
        <w:top w:val="none" w:sz="0" w:space="0" w:color="auto"/>
        <w:left w:val="none" w:sz="0" w:space="0" w:color="auto"/>
        <w:bottom w:val="none" w:sz="0" w:space="0" w:color="auto"/>
        <w:right w:val="none" w:sz="0" w:space="0" w:color="auto"/>
      </w:divBdr>
    </w:div>
    <w:div w:id="1424305022">
      <w:bodyDiv w:val="1"/>
      <w:marLeft w:val="0"/>
      <w:marRight w:val="0"/>
      <w:marTop w:val="0"/>
      <w:marBottom w:val="0"/>
      <w:divBdr>
        <w:top w:val="none" w:sz="0" w:space="0" w:color="auto"/>
        <w:left w:val="none" w:sz="0" w:space="0" w:color="auto"/>
        <w:bottom w:val="none" w:sz="0" w:space="0" w:color="auto"/>
        <w:right w:val="none" w:sz="0" w:space="0" w:color="auto"/>
      </w:divBdr>
    </w:div>
    <w:div w:id="1424377985">
      <w:bodyDiv w:val="1"/>
      <w:marLeft w:val="0"/>
      <w:marRight w:val="0"/>
      <w:marTop w:val="0"/>
      <w:marBottom w:val="0"/>
      <w:divBdr>
        <w:top w:val="none" w:sz="0" w:space="0" w:color="auto"/>
        <w:left w:val="none" w:sz="0" w:space="0" w:color="auto"/>
        <w:bottom w:val="none" w:sz="0" w:space="0" w:color="auto"/>
        <w:right w:val="none" w:sz="0" w:space="0" w:color="auto"/>
      </w:divBdr>
    </w:div>
    <w:div w:id="1424491326">
      <w:bodyDiv w:val="1"/>
      <w:marLeft w:val="0"/>
      <w:marRight w:val="0"/>
      <w:marTop w:val="0"/>
      <w:marBottom w:val="0"/>
      <w:divBdr>
        <w:top w:val="none" w:sz="0" w:space="0" w:color="auto"/>
        <w:left w:val="none" w:sz="0" w:space="0" w:color="auto"/>
        <w:bottom w:val="none" w:sz="0" w:space="0" w:color="auto"/>
        <w:right w:val="none" w:sz="0" w:space="0" w:color="auto"/>
      </w:divBdr>
    </w:div>
    <w:div w:id="1424493687">
      <w:bodyDiv w:val="1"/>
      <w:marLeft w:val="0"/>
      <w:marRight w:val="0"/>
      <w:marTop w:val="0"/>
      <w:marBottom w:val="0"/>
      <w:divBdr>
        <w:top w:val="none" w:sz="0" w:space="0" w:color="auto"/>
        <w:left w:val="none" w:sz="0" w:space="0" w:color="auto"/>
        <w:bottom w:val="none" w:sz="0" w:space="0" w:color="auto"/>
        <w:right w:val="none" w:sz="0" w:space="0" w:color="auto"/>
      </w:divBdr>
    </w:div>
    <w:div w:id="1424493983">
      <w:bodyDiv w:val="1"/>
      <w:marLeft w:val="0"/>
      <w:marRight w:val="0"/>
      <w:marTop w:val="0"/>
      <w:marBottom w:val="0"/>
      <w:divBdr>
        <w:top w:val="none" w:sz="0" w:space="0" w:color="auto"/>
        <w:left w:val="none" w:sz="0" w:space="0" w:color="auto"/>
        <w:bottom w:val="none" w:sz="0" w:space="0" w:color="auto"/>
        <w:right w:val="none" w:sz="0" w:space="0" w:color="auto"/>
      </w:divBdr>
    </w:div>
    <w:div w:id="1424498944">
      <w:bodyDiv w:val="1"/>
      <w:marLeft w:val="0"/>
      <w:marRight w:val="0"/>
      <w:marTop w:val="0"/>
      <w:marBottom w:val="0"/>
      <w:divBdr>
        <w:top w:val="none" w:sz="0" w:space="0" w:color="auto"/>
        <w:left w:val="none" w:sz="0" w:space="0" w:color="auto"/>
        <w:bottom w:val="none" w:sz="0" w:space="0" w:color="auto"/>
        <w:right w:val="none" w:sz="0" w:space="0" w:color="auto"/>
      </w:divBdr>
    </w:div>
    <w:div w:id="1424570289">
      <w:bodyDiv w:val="1"/>
      <w:marLeft w:val="0"/>
      <w:marRight w:val="0"/>
      <w:marTop w:val="0"/>
      <w:marBottom w:val="0"/>
      <w:divBdr>
        <w:top w:val="none" w:sz="0" w:space="0" w:color="auto"/>
        <w:left w:val="none" w:sz="0" w:space="0" w:color="auto"/>
        <w:bottom w:val="none" w:sz="0" w:space="0" w:color="auto"/>
        <w:right w:val="none" w:sz="0" w:space="0" w:color="auto"/>
      </w:divBdr>
    </w:div>
    <w:div w:id="1424644873">
      <w:bodyDiv w:val="1"/>
      <w:marLeft w:val="0"/>
      <w:marRight w:val="0"/>
      <w:marTop w:val="0"/>
      <w:marBottom w:val="0"/>
      <w:divBdr>
        <w:top w:val="none" w:sz="0" w:space="0" w:color="auto"/>
        <w:left w:val="none" w:sz="0" w:space="0" w:color="auto"/>
        <w:bottom w:val="none" w:sz="0" w:space="0" w:color="auto"/>
        <w:right w:val="none" w:sz="0" w:space="0" w:color="auto"/>
      </w:divBdr>
    </w:div>
    <w:div w:id="1424687869">
      <w:bodyDiv w:val="1"/>
      <w:marLeft w:val="0"/>
      <w:marRight w:val="0"/>
      <w:marTop w:val="0"/>
      <w:marBottom w:val="0"/>
      <w:divBdr>
        <w:top w:val="none" w:sz="0" w:space="0" w:color="auto"/>
        <w:left w:val="none" w:sz="0" w:space="0" w:color="auto"/>
        <w:bottom w:val="none" w:sz="0" w:space="0" w:color="auto"/>
        <w:right w:val="none" w:sz="0" w:space="0" w:color="auto"/>
      </w:divBdr>
    </w:div>
    <w:div w:id="1424835425">
      <w:bodyDiv w:val="1"/>
      <w:marLeft w:val="0"/>
      <w:marRight w:val="0"/>
      <w:marTop w:val="0"/>
      <w:marBottom w:val="0"/>
      <w:divBdr>
        <w:top w:val="none" w:sz="0" w:space="0" w:color="auto"/>
        <w:left w:val="none" w:sz="0" w:space="0" w:color="auto"/>
        <w:bottom w:val="none" w:sz="0" w:space="0" w:color="auto"/>
        <w:right w:val="none" w:sz="0" w:space="0" w:color="auto"/>
      </w:divBdr>
    </w:div>
    <w:div w:id="1425105364">
      <w:bodyDiv w:val="1"/>
      <w:marLeft w:val="0"/>
      <w:marRight w:val="0"/>
      <w:marTop w:val="0"/>
      <w:marBottom w:val="0"/>
      <w:divBdr>
        <w:top w:val="none" w:sz="0" w:space="0" w:color="auto"/>
        <w:left w:val="none" w:sz="0" w:space="0" w:color="auto"/>
        <w:bottom w:val="none" w:sz="0" w:space="0" w:color="auto"/>
        <w:right w:val="none" w:sz="0" w:space="0" w:color="auto"/>
      </w:divBdr>
    </w:div>
    <w:div w:id="1425226400">
      <w:bodyDiv w:val="1"/>
      <w:marLeft w:val="0"/>
      <w:marRight w:val="0"/>
      <w:marTop w:val="0"/>
      <w:marBottom w:val="0"/>
      <w:divBdr>
        <w:top w:val="none" w:sz="0" w:space="0" w:color="auto"/>
        <w:left w:val="none" w:sz="0" w:space="0" w:color="auto"/>
        <w:bottom w:val="none" w:sz="0" w:space="0" w:color="auto"/>
        <w:right w:val="none" w:sz="0" w:space="0" w:color="auto"/>
      </w:divBdr>
    </w:div>
    <w:div w:id="1425299770">
      <w:bodyDiv w:val="1"/>
      <w:marLeft w:val="0"/>
      <w:marRight w:val="0"/>
      <w:marTop w:val="0"/>
      <w:marBottom w:val="0"/>
      <w:divBdr>
        <w:top w:val="none" w:sz="0" w:space="0" w:color="auto"/>
        <w:left w:val="none" w:sz="0" w:space="0" w:color="auto"/>
        <w:bottom w:val="none" w:sz="0" w:space="0" w:color="auto"/>
        <w:right w:val="none" w:sz="0" w:space="0" w:color="auto"/>
      </w:divBdr>
    </w:div>
    <w:div w:id="1425304655">
      <w:bodyDiv w:val="1"/>
      <w:marLeft w:val="0"/>
      <w:marRight w:val="0"/>
      <w:marTop w:val="0"/>
      <w:marBottom w:val="0"/>
      <w:divBdr>
        <w:top w:val="none" w:sz="0" w:space="0" w:color="auto"/>
        <w:left w:val="none" w:sz="0" w:space="0" w:color="auto"/>
        <w:bottom w:val="none" w:sz="0" w:space="0" w:color="auto"/>
        <w:right w:val="none" w:sz="0" w:space="0" w:color="auto"/>
      </w:divBdr>
    </w:div>
    <w:div w:id="1425344184">
      <w:bodyDiv w:val="1"/>
      <w:marLeft w:val="0"/>
      <w:marRight w:val="0"/>
      <w:marTop w:val="0"/>
      <w:marBottom w:val="0"/>
      <w:divBdr>
        <w:top w:val="none" w:sz="0" w:space="0" w:color="auto"/>
        <w:left w:val="none" w:sz="0" w:space="0" w:color="auto"/>
        <w:bottom w:val="none" w:sz="0" w:space="0" w:color="auto"/>
        <w:right w:val="none" w:sz="0" w:space="0" w:color="auto"/>
      </w:divBdr>
    </w:div>
    <w:div w:id="1425375080">
      <w:bodyDiv w:val="1"/>
      <w:marLeft w:val="0"/>
      <w:marRight w:val="0"/>
      <w:marTop w:val="0"/>
      <w:marBottom w:val="0"/>
      <w:divBdr>
        <w:top w:val="none" w:sz="0" w:space="0" w:color="auto"/>
        <w:left w:val="none" w:sz="0" w:space="0" w:color="auto"/>
        <w:bottom w:val="none" w:sz="0" w:space="0" w:color="auto"/>
        <w:right w:val="none" w:sz="0" w:space="0" w:color="auto"/>
      </w:divBdr>
    </w:div>
    <w:div w:id="1425496189">
      <w:bodyDiv w:val="1"/>
      <w:marLeft w:val="0"/>
      <w:marRight w:val="0"/>
      <w:marTop w:val="0"/>
      <w:marBottom w:val="0"/>
      <w:divBdr>
        <w:top w:val="none" w:sz="0" w:space="0" w:color="auto"/>
        <w:left w:val="none" w:sz="0" w:space="0" w:color="auto"/>
        <w:bottom w:val="none" w:sz="0" w:space="0" w:color="auto"/>
        <w:right w:val="none" w:sz="0" w:space="0" w:color="auto"/>
      </w:divBdr>
    </w:div>
    <w:div w:id="1425566257">
      <w:bodyDiv w:val="1"/>
      <w:marLeft w:val="0"/>
      <w:marRight w:val="0"/>
      <w:marTop w:val="0"/>
      <w:marBottom w:val="0"/>
      <w:divBdr>
        <w:top w:val="none" w:sz="0" w:space="0" w:color="auto"/>
        <w:left w:val="none" w:sz="0" w:space="0" w:color="auto"/>
        <w:bottom w:val="none" w:sz="0" w:space="0" w:color="auto"/>
        <w:right w:val="none" w:sz="0" w:space="0" w:color="auto"/>
      </w:divBdr>
    </w:div>
    <w:div w:id="1425809657">
      <w:bodyDiv w:val="1"/>
      <w:marLeft w:val="0"/>
      <w:marRight w:val="0"/>
      <w:marTop w:val="0"/>
      <w:marBottom w:val="0"/>
      <w:divBdr>
        <w:top w:val="none" w:sz="0" w:space="0" w:color="auto"/>
        <w:left w:val="none" w:sz="0" w:space="0" w:color="auto"/>
        <w:bottom w:val="none" w:sz="0" w:space="0" w:color="auto"/>
        <w:right w:val="none" w:sz="0" w:space="0" w:color="auto"/>
      </w:divBdr>
    </w:div>
    <w:div w:id="1425880465">
      <w:bodyDiv w:val="1"/>
      <w:marLeft w:val="0"/>
      <w:marRight w:val="0"/>
      <w:marTop w:val="0"/>
      <w:marBottom w:val="0"/>
      <w:divBdr>
        <w:top w:val="none" w:sz="0" w:space="0" w:color="auto"/>
        <w:left w:val="none" w:sz="0" w:space="0" w:color="auto"/>
        <w:bottom w:val="none" w:sz="0" w:space="0" w:color="auto"/>
        <w:right w:val="none" w:sz="0" w:space="0" w:color="auto"/>
      </w:divBdr>
    </w:div>
    <w:div w:id="1425882932">
      <w:bodyDiv w:val="1"/>
      <w:marLeft w:val="0"/>
      <w:marRight w:val="0"/>
      <w:marTop w:val="0"/>
      <w:marBottom w:val="0"/>
      <w:divBdr>
        <w:top w:val="none" w:sz="0" w:space="0" w:color="auto"/>
        <w:left w:val="none" w:sz="0" w:space="0" w:color="auto"/>
        <w:bottom w:val="none" w:sz="0" w:space="0" w:color="auto"/>
        <w:right w:val="none" w:sz="0" w:space="0" w:color="auto"/>
      </w:divBdr>
    </w:div>
    <w:div w:id="1425957804">
      <w:bodyDiv w:val="1"/>
      <w:marLeft w:val="0"/>
      <w:marRight w:val="0"/>
      <w:marTop w:val="0"/>
      <w:marBottom w:val="0"/>
      <w:divBdr>
        <w:top w:val="none" w:sz="0" w:space="0" w:color="auto"/>
        <w:left w:val="none" w:sz="0" w:space="0" w:color="auto"/>
        <w:bottom w:val="none" w:sz="0" w:space="0" w:color="auto"/>
        <w:right w:val="none" w:sz="0" w:space="0" w:color="auto"/>
      </w:divBdr>
    </w:div>
    <w:div w:id="1425958046">
      <w:bodyDiv w:val="1"/>
      <w:marLeft w:val="0"/>
      <w:marRight w:val="0"/>
      <w:marTop w:val="0"/>
      <w:marBottom w:val="0"/>
      <w:divBdr>
        <w:top w:val="none" w:sz="0" w:space="0" w:color="auto"/>
        <w:left w:val="none" w:sz="0" w:space="0" w:color="auto"/>
        <w:bottom w:val="none" w:sz="0" w:space="0" w:color="auto"/>
        <w:right w:val="none" w:sz="0" w:space="0" w:color="auto"/>
      </w:divBdr>
    </w:div>
    <w:div w:id="1426028938">
      <w:bodyDiv w:val="1"/>
      <w:marLeft w:val="0"/>
      <w:marRight w:val="0"/>
      <w:marTop w:val="0"/>
      <w:marBottom w:val="0"/>
      <w:divBdr>
        <w:top w:val="none" w:sz="0" w:space="0" w:color="auto"/>
        <w:left w:val="none" w:sz="0" w:space="0" w:color="auto"/>
        <w:bottom w:val="none" w:sz="0" w:space="0" w:color="auto"/>
        <w:right w:val="none" w:sz="0" w:space="0" w:color="auto"/>
      </w:divBdr>
    </w:div>
    <w:div w:id="1426074711">
      <w:bodyDiv w:val="1"/>
      <w:marLeft w:val="0"/>
      <w:marRight w:val="0"/>
      <w:marTop w:val="0"/>
      <w:marBottom w:val="0"/>
      <w:divBdr>
        <w:top w:val="none" w:sz="0" w:space="0" w:color="auto"/>
        <w:left w:val="none" w:sz="0" w:space="0" w:color="auto"/>
        <w:bottom w:val="none" w:sz="0" w:space="0" w:color="auto"/>
        <w:right w:val="none" w:sz="0" w:space="0" w:color="auto"/>
      </w:divBdr>
    </w:div>
    <w:div w:id="1426146737">
      <w:bodyDiv w:val="1"/>
      <w:marLeft w:val="0"/>
      <w:marRight w:val="0"/>
      <w:marTop w:val="0"/>
      <w:marBottom w:val="0"/>
      <w:divBdr>
        <w:top w:val="none" w:sz="0" w:space="0" w:color="auto"/>
        <w:left w:val="none" w:sz="0" w:space="0" w:color="auto"/>
        <w:bottom w:val="none" w:sz="0" w:space="0" w:color="auto"/>
        <w:right w:val="none" w:sz="0" w:space="0" w:color="auto"/>
      </w:divBdr>
    </w:div>
    <w:div w:id="1426152616">
      <w:bodyDiv w:val="1"/>
      <w:marLeft w:val="0"/>
      <w:marRight w:val="0"/>
      <w:marTop w:val="0"/>
      <w:marBottom w:val="0"/>
      <w:divBdr>
        <w:top w:val="none" w:sz="0" w:space="0" w:color="auto"/>
        <w:left w:val="none" w:sz="0" w:space="0" w:color="auto"/>
        <w:bottom w:val="none" w:sz="0" w:space="0" w:color="auto"/>
        <w:right w:val="none" w:sz="0" w:space="0" w:color="auto"/>
      </w:divBdr>
    </w:div>
    <w:div w:id="1426414578">
      <w:bodyDiv w:val="1"/>
      <w:marLeft w:val="0"/>
      <w:marRight w:val="0"/>
      <w:marTop w:val="0"/>
      <w:marBottom w:val="0"/>
      <w:divBdr>
        <w:top w:val="none" w:sz="0" w:space="0" w:color="auto"/>
        <w:left w:val="none" w:sz="0" w:space="0" w:color="auto"/>
        <w:bottom w:val="none" w:sz="0" w:space="0" w:color="auto"/>
        <w:right w:val="none" w:sz="0" w:space="0" w:color="auto"/>
      </w:divBdr>
    </w:div>
    <w:div w:id="1426418795">
      <w:bodyDiv w:val="1"/>
      <w:marLeft w:val="0"/>
      <w:marRight w:val="0"/>
      <w:marTop w:val="0"/>
      <w:marBottom w:val="0"/>
      <w:divBdr>
        <w:top w:val="none" w:sz="0" w:space="0" w:color="auto"/>
        <w:left w:val="none" w:sz="0" w:space="0" w:color="auto"/>
        <w:bottom w:val="none" w:sz="0" w:space="0" w:color="auto"/>
        <w:right w:val="none" w:sz="0" w:space="0" w:color="auto"/>
      </w:divBdr>
    </w:div>
    <w:div w:id="1426459981">
      <w:bodyDiv w:val="1"/>
      <w:marLeft w:val="0"/>
      <w:marRight w:val="0"/>
      <w:marTop w:val="0"/>
      <w:marBottom w:val="0"/>
      <w:divBdr>
        <w:top w:val="none" w:sz="0" w:space="0" w:color="auto"/>
        <w:left w:val="none" w:sz="0" w:space="0" w:color="auto"/>
        <w:bottom w:val="none" w:sz="0" w:space="0" w:color="auto"/>
        <w:right w:val="none" w:sz="0" w:space="0" w:color="auto"/>
      </w:divBdr>
    </w:div>
    <w:div w:id="1426612086">
      <w:bodyDiv w:val="1"/>
      <w:marLeft w:val="0"/>
      <w:marRight w:val="0"/>
      <w:marTop w:val="0"/>
      <w:marBottom w:val="0"/>
      <w:divBdr>
        <w:top w:val="none" w:sz="0" w:space="0" w:color="auto"/>
        <w:left w:val="none" w:sz="0" w:space="0" w:color="auto"/>
        <w:bottom w:val="none" w:sz="0" w:space="0" w:color="auto"/>
        <w:right w:val="none" w:sz="0" w:space="0" w:color="auto"/>
      </w:divBdr>
    </w:div>
    <w:div w:id="1426876646">
      <w:bodyDiv w:val="1"/>
      <w:marLeft w:val="0"/>
      <w:marRight w:val="0"/>
      <w:marTop w:val="0"/>
      <w:marBottom w:val="0"/>
      <w:divBdr>
        <w:top w:val="none" w:sz="0" w:space="0" w:color="auto"/>
        <w:left w:val="none" w:sz="0" w:space="0" w:color="auto"/>
        <w:bottom w:val="none" w:sz="0" w:space="0" w:color="auto"/>
        <w:right w:val="none" w:sz="0" w:space="0" w:color="auto"/>
      </w:divBdr>
    </w:div>
    <w:div w:id="1426879513">
      <w:bodyDiv w:val="1"/>
      <w:marLeft w:val="0"/>
      <w:marRight w:val="0"/>
      <w:marTop w:val="0"/>
      <w:marBottom w:val="0"/>
      <w:divBdr>
        <w:top w:val="none" w:sz="0" w:space="0" w:color="auto"/>
        <w:left w:val="none" w:sz="0" w:space="0" w:color="auto"/>
        <w:bottom w:val="none" w:sz="0" w:space="0" w:color="auto"/>
        <w:right w:val="none" w:sz="0" w:space="0" w:color="auto"/>
      </w:divBdr>
    </w:div>
    <w:div w:id="1426922510">
      <w:bodyDiv w:val="1"/>
      <w:marLeft w:val="0"/>
      <w:marRight w:val="0"/>
      <w:marTop w:val="0"/>
      <w:marBottom w:val="0"/>
      <w:divBdr>
        <w:top w:val="none" w:sz="0" w:space="0" w:color="auto"/>
        <w:left w:val="none" w:sz="0" w:space="0" w:color="auto"/>
        <w:bottom w:val="none" w:sz="0" w:space="0" w:color="auto"/>
        <w:right w:val="none" w:sz="0" w:space="0" w:color="auto"/>
      </w:divBdr>
    </w:div>
    <w:div w:id="1426993642">
      <w:bodyDiv w:val="1"/>
      <w:marLeft w:val="0"/>
      <w:marRight w:val="0"/>
      <w:marTop w:val="0"/>
      <w:marBottom w:val="0"/>
      <w:divBdr>
        <w:top w:val="none" w:sz="0" w:space="0" w:color="auto"/>
        <w:left w:val="none" w:sz="0" w:space="0" w:color="auto"/>
        <w:bottom w:val="none" w:sz="0" w:space="0" w:color="auto"/>
        <w:right w:val="none" w:sz="0" w:space="0" w:color="auto"/>
      </w:divBdr>
    </w:div>
    <w:div w:id="1426996307">
      <w:bodyDiv w:val="1"/>
      <w:marLeft w:val="0"/>
      <w:marRight w:val="0"/>
      <w:marTop w:val="0"/>
      <w:marBottom w:val="0"/>
      <w:divBdr>
        <w:top w:val="none" w:sz="0" w:space="0" w:color="auto"/>
        <w:left w:val="none" w:sz="0" w:space="0" w:color="auto"/>
        <w:bottom w:val="none" w:sz="0" w:space="0" w:color="auto"/>
        <w:right w:val="none" w:sz="0" w:space="0" w:color="auto"/>
      </w:divBdr>
    </w:div>
    <w:div w:id="1426999374">
      <w:bodyDiv w:val="1"/>
      <w:marLeft w:val="0"/>
      <w:marRight w:val="0"/>
      <w:marTop w:val="0"/>
      <w:marBottom w:val="0"/>
      <w:divBdr>
        <w:top w:val="none" w:sz="0" w:space="0" w:color="auto"/>
        <w:left w:val="none" w:sz="0" w:space="0" w:color="auto"/>
        <w:bottom w:val="none" w:sz="0" w:space="0" w:color="auto"/>
        <w:right w:val="none" w:sz="0" w:space="0" w:color="auto"/>
      </w:divBdr>
    </w:div>
    <w:div w:id="1427072552">
      <w:bodyDiv w:val="1"/>
      <w:marLeft w:val="0"/>
      <w:marRight w:val="0"/>
      <w:marTop w:val="0"/>
      <w:marBottom w:val="0"/>
      <w:divBdr>
        <w:top w:val="none" w:sz="0" w:space="0" w:color="auto"/>
        <w:left w:val="none" w:sz="0" w:space="0" w:color="auto"/>
        <w:bottom w:val="none" w:sz="0" w:space="0" w:color="auto"/>
        <w:right w:val="none" w:sz="0" w:space="0" w:color="auto"/>
      </w:divBdr>
    </w:div>
    <w:div w:id="1427075718">
      <w:bodyDiv w:val="1"/>
      <w:marLeft w:val="0"/>
      <w:marRight w:val="0"/>
      <w:marTop w:val="0"/>
      <w:marBottom w:val="0"/>
      <w:divBdr>
        <w:top w:val="none" w:sz="0" w:space="0" w:color="auto"/>
        <w:left w:val="none" w:sz="0" w:space="0" w:color="auto"/>
        <w:bottom w:val="none" w:sz="0" w:space="0" w:color="auto"/>
        <w:right w:val="none" w:sz="0" w:space="0" w:color="auto"/>
      </w:divBdr>
    </w:div>
    <w:div w:id="1427118096">
      <w:bodyDiv w:val="1"/>
      <w:marLeft w:val="0"/>
      <w:marRight w:val="0"/>
      <w:marTop w:val="0"/>
      <w:marBottom w:val="0"/>
      <w:divBdr>
        <w:top w:val="none" w:sz="0" w:space="0" w:color="auto"/>
        <w:left w:val="none" w:sz="0" w:space="0" w:color="auto"/>
        <w:bottom w:val="none" w:sz="0" w:space="0" w:color="auto"/>
        <w:right w:val="none" w:sz="0" w:space="0" w:color="auto"/>
      </w:divBdr>
    </w:div>
    <w:div w:id="1427193735">
      <w:bodyDiv w:val="1"/>
      <w:marLeft w:val="0"/>
      <w:marRight w:val="0"/>
      <w:marTop w:val="0"/>
      <w:marBottom w:val="0"/>
      <w:divBdr>
        <w:top w:val="none" w:sz="0" w:space="0" w:color="auto"/>
        <w:left w:val="none" w:sz="0" w:space="0" w:color="auto"/>
        <w:bottom w:val="none" w:sz="0" w:space="0" w:color="auto"/>
        <w:right w:val="none" w:sz="0" w:space="0" w:color="auto"/>
      </w:divBdr>
    </w:div>
    <w:div w:id="1427262420">
      <w:bodyDiv w:val="1"/>
      <w:marLeft w:val="0"/>
      <w:marRight w:val="0"/>
      <w:marTop w:val="0"/>
      <w:marBottom w:val="0"/>
      <w:divBdr>
        <w:top w:val="none" w:sz="0" w:space="0" w:color="auto"/>
        <w:left w:val="none" w:sz="0" w:space="0" w:color="auto"/>
        <w:bottom w:val="none" w:sz="0" w:space="0" w:color="auto"/>
        <w:right w:val="none" w:sz="0" w:space="0" w:color="auto"/>
      </w:divBdr>
    </w:div>
    <w:div w:id="1427264766">
      <w:bodyDiv w:val="1"/>
      <w:marLeft w:val="0"/>
      <w:marRight w:val="0"/>
      <w:marTop w:val="0"/>
      <w:marBottom w:val="0"/>
      <w:divBdr>
        <w:top w:val="none" w:sz="0" w:space="0" w:color="auto"/>
        <w:left w:val="none" w:sz="0" w:space="0" w:color="auto"/>
        <w:bottom w:val="none" w:sz="0" w:space="0" w:color="auto"/>
        <w:right w:val="none" w:sz="0" w:space="0" w:color="auto"/>
      </w:divBdr>
    </w:div>
    <w:div w:id="1427382281">
      <w:bodyDiv w:val="1"/>
      <w:marLeft w:val="0"/>
      <w:marRight w:val="0"/>
      <w:marTop w:val="0"/>
      <w:marBottom w:val="0"/>
      <w:divBdr>
        <w:top w:val="none" w:sz="0" w:space="0" w:color="auto"/>
        <w:left w:val="none" w:sz="0" w:space="0" w:color="auto"/>
        <w:bottom w:val="none" w:sz="0" w:space="0" w:color="auto"/>
        <w:right w:val="none" w:sz="0" w:space="0" w:color="auto"/>
      </w:divBdr>
    </w:div>
    <w:div w:id="1427388701">
      <w:bodyDiv w:val="1"/>
      <w:marLeft w:val="0"/>
      <w:marRight w:val="0"/>
      <w:marTop w:val="0"/>
      <w:marBottom w:val="0"/>
      <w:divBdr>
        <w:top w:val="none" w:sz="0" w:space="0" w:color="auto"/>
        <w:left w:val="none" w:sz="0" w:space="0" w:color="auto"/>
        <w:bottom w:val="none" w:sz="0" w:space="0" w:color="auto"/>
        <w:right w:val="none" w:sz="0" w:space="0" w:color="auto"/>
      </w:divBdr>
    </w:div>
    <w:div w:id="1427456459">
      <w:bodyDiv w:val="1"/>
      <w:marLeft w:val="0"/>
      <w:marRight w:val="0"/>
      <w:marTop w:val="0"/>
      <w:marBottom w:val="0"/>
      <w:divBdr>
        <w:top w:val="none" w:sz="0" w:space="0" w:color="auto"/>
        <w:left w:val="none" w:sz="0" w:space="0" w:color="auto"/>
        <w:bottom w:val="none" w:sz="0" w:space="0" w:color="auto"/>
        <w:right w:val="none" w:sz="0" w:space="0" w:color="auto"/>
      </w:divBdr>
    </w:div>
    <w:div w:id="1427458345">
      <w:bodyDiv w:val="1"/>
      <w:marLeft w:val="0"/>
      <w:marRight w:val="0"/>
      <w:marTop w:val="0"/>
      <w:marBottom w:val="0"/>
      <w:divBdr>
        <w:top w:val="none" w:sz="0" w:space="0" w:color="auto"/>
        <w:left w:val="none" w:sz="0" w:space="0" w:color="auto"/>
        <w:bottom w:val="none" w:sz="0" w:space="0" w:color="auto"/>
        <w:right w:val="none" w:sz="0" w:space="0" w:color="auto"/>
      </w:divBdr>
    </w:div>
    <w:div w:id="1427459198">
      <w:bodyDiv w:val="1"/>
      <w:marLeft w:val="0"/>
      <w:marRight w:val="0"/>
      <w:marTop w:val="0"/>
      <w:marBottom w:val="0"/>
      <w:divBdr>
        <w:top w:val="none" w:sz="0" w:space="0" w:color="auto"/>
        <w:left w:val="none" w:sz="0" w:space="0" w:color="auto"/>
        <w:bottom w:val="none" w:sz="0" w:space="0" w:color="auto"/>
        <w:right w:val="none" w:sz="0" w:space="0" w:color="auto"/>
      </w:divBdr>
    </w:div>
    <w:div w:id="1427505664">
      <w:bodyDiv w:val="1"/>
      <w:marLeft w:val="0"/>
      <w:marRight w:val="0"/>
      <w:marTop w:val="0"/>
      <w:marBottom w:val="0"/>
      <w:divBdr>
        <w:top w:val="none" w:sz="0" w:space="0" w:color="auto"/>
        <w:left w:val="none" w:sz="0" w:space="0" w:color="auto"/>
        <w:bottom w:val="none" w:sz="0" w:space="0" w:color="auto"/>
        <w:right w:val="none" w:sz="0" w:space="0" w:color="auto"/>
      </w:divBdr>
    </w:div>
    <w:div w:id="1427573841">
      <w:bodyDiv w:val="1"/>
      <w:marLeft w:val="0"/>
      <w:marRight w:val="0"/>
      <w:marTop w:val="0"/>
      <w:marBottom w:val="0"/>
      <w:divBdr>
        <w:top w:val="none" w:sz="0" w:space="0" w:color="auto"/>
        <w:left w:val="none" w:sz="0" w:space="0" w:color="auto"/>
        <w:bottom w:val="none" w:sz="0" w:space="0" w:color="auto"/>
        <w:right w:val="none" w:sz="0" w:space="0" w:color="auto"/>
      </w:divBdr>
    </w:div>
    <w:div w:id="1427575332">
      <w:bodyDiv w:val="1"/>
      <w:marLeft w:val="0"/>
      <w:marRight w:val="0"/>
      <w:marTop w:val="0"/>
      <w:marBottom w:val="0"/>
      <w:divBdr>
        <w:top w:val="none" w:sz="0" w:space="0" w:color="auto"/>
        <w:left w:val="none" w:sz="0" w:space="0" w:color="auto"/>
        <w:bottom w:val="none" w:sz="0" w:space="0" w:color="auto"/>
        <w:right w:val="none" w:sz="0" w:space="0" w:color="auto"/>
      </w:divBdr>
    </w:div>
    <w:div w:id="1427581772">
      <w:bodyDiv w:val="1"/>
      <w:marLeft w:val="0"/>
      <w:marRight w:val="0"/>
      <w:marTop w:val="0"/>
      <w:marBottom w:val="0"/>
      <w:divBdr>
        <w:top w:val="none" w:sz="0" w:space="0" w:color="auto"/>
        <w:left w:val="none" w:sz="0" w:space="0" w:color="auto"/>
        <w:bottom w:val="none" w:sz="0" w:space="0" w:color="auto"/>
        <w:right w:val="none" w:sz="0" w:space="0" w:color="auto"/>
      </w:divBdr>
    </w:div>
    <w:div w:id="1427657396">
      <w:bodyDiv w:val="1"/>
      <w:marLeft w:val="0"/>
      <w:marRight w:val="0"/>
      <w:marTop w:val="0"/>
      <w:marBottom w:val="0"/>
      <w:divBdr>
        <w:top w:val="none" w:sz="0" w:space="0" w:color="auto"/>
        <w:left w:val="none" w:sz="0" w:space="0" w:color="auto"/>
        <w:bottom w:val="none" w:sz="0" w:space="0" w:color="auto"/>
        <w:right w:val="none" w:sz="0" w:space="0" w:color="auto"/>
      </w:divBdr>
    </w:div>
    <w:div w:id="1427731673">
      <w:bodyDiv w:val="1"/>
      <w:marLeft w:val="0"/>
      <w:marRight w:val="0"/>
      <w:marTop w:val="0"/>
      <w:marBottom w:val="0"/>
      <w:divBdr>
        <w:top w:val="none" w:sz="0" w:space="0" w:color="auto"/>
        <w:left w:val="none" w:sz="0" w:space="0" w:color="auto"/>
        <w:bottom w:val="none" w:sz="0" w:space="0" w:color="auto"/>
        <w:right w:val="none" w:sz="0" w:space="0" w:color="auto"/>
      </w:divBdr>
    </w:div>
    <w:div w:id="1427771296">
      <w:bodyDiv w:val="1"/>
      <w:marLeft w:val="0"/>
      <w:marRight w:val="0"/>
      <w:marTop w:val="0"/>
      <w:marBottom w:val="0"/>
      <w:divBdr>
        <w:top w:val="none" w:sz="0" w:space="0" w:color="auto"/>
        <w:left w:val="none" w:sz="0" w:space="0" w:color="auto"/>
        <w:bottom w:val="none" w:sz="0" w:space="0" w:color="auto"/>
        <w:right w:val="none" w:sz="0" w:space="0" w:color="auto"/>
      </w:divBdr>
    </w:div>
    <w:div w:id="1427774411">
      <w:bodyDiv w:val="1"/>
      <w:marLeft w:val="0"/>
      <w:marRight w:val="0"/>
      <w:marTop w:val="0"/>
      <w:marBottom w:val="0"/>
      <w:divBdr>
        <w:top w:val="none" w:sz="0" w:space="0" w:color="auto"/>
        <w:left w:val="none" w:sz="0" w:space="0" w:color="auto"/>
        <w:bottom w:val="none" w:sz="0" w:space="0" w:color="auto"/>
        <w:right w:val="none" w:sz="0" w:space="0" w:color="auto"/>
      </w:divBdr>
    </w:div>
    <w:div w:id="1427841549">
      <w:bodyDiv w:val="1"/>
      <w:marLeft w:val="0"/>
      <w:marRight w:val="0"/>
      <w:marTop w:val="0"/>
      <w:marBottom w:val="0"/>
      <w:divBdr>
        <w:top w:val="none" w:sz="0" w:space="0" w:color="auto"/>
        <w:left w:val="none" w:sz="0" w:space="0" w:color="auto"/>
        <w:bottom w:val="none" w:sz="0" w:space="0" w:color="auto"/>
        <w:right w:val="none" w:sz="0" w:space="0" w:color="auto"/>
      </w:divBdr>
    </w:div>
    <w:div w:id="1427844826">
      <w:bodyDiv w:val="1"/>
      <w:marLeft w:val="0"/>
      <w:marRight w:val="0"/>
      <w:marTop w:val="0"/>
      <w:marBottom w:val="0"/>
      <w:divBdr>
        <w:top w:val="none" w:sz="0" w:space="0" w:color="auto"/>
        <w:left w:val="none" w:sz="0" w:space="0" w:color="auto"/>
        <w:bottom w:val="none" w:sz="0" w:space="0" w:color="auto"/>
        <w:right w:val="none" w:sz="0" w:space="0" w:color="auto"/>
      </w:divBdr>
    </w:div>
    <w:div w:id="1427846935">
      <w:bodyDiv w:val="1"/>
      <w:marLeft w:val="0"/>
      <w:marRight w:val="0"/>
      <w:marTop w:val="0"/>
      <w:marBottom w:val="0"/>
      <w:divBdr>
        <w:top w:val="none" w:sz="0" w:space="0" w:color="auto"/>
        <w:left w:val="none" w:sz="0" w:space="0" w:color="auto"/>
        <w:bottom w:val="none" w:sz="0" w:space="0" w:color="auto"/>
        <w:right w:val="none" w:sz="0" w:space="0" w:color="auto"/>
      </w:divBdr>
    </w:div>
    <w:div w:id="1427920351">
      <w:bodyDiv w:val="1"/>
      <w:marLeft w:val="0"/>
      <w:marRight w:val="0"/>
      <w:marTop w:val="0"/>
      <w:marBottom w:val="0"/>
      <w:divBdr>
        <w:top w:val="none" w:sz="0" w:space="0" w:color="auto"/>
        <w:left w:val="none" w:sz="0" w:space="0" w:color="auto"/>
        <w:bottom w:val="none" w:sz="0" w:space="0" w:color="auto"/>
        <w:right w:val="none" w:sz="0" w:space="0" w:color="auto"/>
      </w:divBdr>
    </w:div>
    <w:div w:id="1427964802">
      <w:bodyDiv w:val="1"/>
      <w:marLeft w:val="0"/>
      <w:marRight w:val="0"/>
      <w:marTop w:val="0"/>
      <w:marBottom w:val="0"/>
      <w:divBdr>
        <w:top w:val="none" w:sz="0" w:space="0" w:color="auto"/>
        <w:left w:val="none" w:sz="0" w:space="0" w:color="auto"/>
        <w:bottom w:val="none" w:sz="0" w:space="0" w:color="auto"/>
        <w:right w:val="none" w:sz="0" w:space="0" w:color="auto"/>
      </w:divBdr>
    </w:div>
    <w:div w:id="1428043234">
      <w:bodyDiv w:val="1"/>
      <w:marLeft w:val="0"/>
      <w:marRight w:val="0"/>
      <w:marTop w:val="0"/>
      <w:marBottom w:val="0"/>
      <w:divBdr>
        <w:top w:val="none" w:sz="0" w:space="0" w:color="auto"/>
        <w:left w:val="none" w:sz="0" w:space="0" w:color="auto"/>
        <w:bottom w:val="none" w:sz="0" w:space="0" w:color="auto"/>
        <w:right w:val="none" w:sz="0" w:space="0" w:color="auto"/>
      </w:divBdr>
    </w:div>
    <w:div w:id="1428232124">
      <w:bodyDiv w:val="1"/>
      <w:marLeft w:val="0"/>
      <w:marRight w:val="0"/>
      <w:marTop w:val="0"/>
      <w:marBottom w:val="0"/>
      <w:divBdr>
        <w:top w:val="none" w:sz="0" w:space="0" w:color="auto"/>
        <w:left w:val="none" w:sz="0" w:space="0" w:color="auto"/>
        <w:bottom w:val="none" w:sz="0" w:space="0" w:color="auto"/>
        <w:right w:val="none" w:sz="0" w:space="0" w:color="auto"/>
      </w:divBdr>
    </w:div>
    <w:div w:id="1428235629">
      <w:bodyDiv w:val="1"/>
      <w:marLeft w:val="0"/>
      <w:marRight w:val="0"/>
      <w:marTop w:val="0"/>
      <w:marBottom w:val="0"/>
      <w:divBdr>
        <w:top w:val="none" w:sz="0" w:space="0" w:color="auto"/>
        <w:left w:val="none" w:sz="0" w:space="0" w:color="auto"/>
        <w:bottom w:val="none" w:sz="0" w:space="0" w:color="auto"/>
        <w:right w:val="none" w:sz="0" w:space="0" w:color="auto"/>
      </w:divBdr>
    </w:div>
    <w:div w:id="1428309324">
      <w:bodyDiv w:val="1"/>
      <w:marLeft w:val="0"/>
      <w:marRight w:val="0"/>
      <w:marTop w:val="0"/>
      <w:marBottom w:val="0"/>
      <w:divBdr>
        <w:top w:val="none" w:sz="0" w:space="0" w:color="auto"/>
        <w:left w:val="none" w:sz="0" w:space="0" w:color="auto"/>
        <w:bottom w:val="none" w:sz="0" w:space="0" w:color="auto"/>
        <w:right w:val="none" w:sz="0" w:space="0" w:color="auto"/>
      </w:divBdr>
    </w:div>
    <w:div w:id="1428382635">
      <w:bodyDiv w:val="1"/>
      <w:marLeft w:val="0"/>
      <w:marRight w:val="0"/>
      <w:marTop w:val="0"/>
      <w:marBottom w:val="0"/>
      <w:divBdr>
        <w:top w:val="none" w:sz="0" w:space="0" w:color="auto"/>
        <w:left w:val="none" w:sz="0" w:space="0" w:color="auto"/>
        <w:bottom w:val="none" w:sz="0" w:space="0" w:color="auto"/>
        <w:right w:val="none" w:sz="0" w:space="0" w:color="auto"/>
      </w:divBdr>
    </w:div>
    <w:div w:id="1428385664">
      <w:bodyDiv w:val="1"/>
      <w:marLeft w:val="0"/>
      <w:marRight w:val="0"/>
      <w:marTop w:val="0"/>
      <w:marBottom w:val="0"/>
      <w:divBdr>
        <w:top w:val="none" w:sz="0" w:space="0" w:color="auto"/>
        <w:left w:val="none" w:sz="0" w:space="0" w:color="auto"/>
        <w:bottom w:val="none" w:sz="0" w:space="0" w:color="auto"/>
        <w:right w:val="none" w:sz="0" w:space="0" w:color="auto"/>
      </w:divBdr>
    </w:div>
    <w:div w:id="1428385814">
      <w:bodyDiv w:val="1"/>
      <w:marLeft w:val="0"/>
      <w:marRight w:val="0"/>
      <w:marTop w:val="0"/>
      <w:marBottom w:val="0"/>
      <w:divBdr>
        <w:top w:val="none" w:sz="0" w:space="0" w:color="auto"/>
        <w:left w:val="none" w:sz="0" w:space="0" w:color="auto"/>
        <w:bottom w:val="none" w:sz="0" w:space="0" w:color="auto"/>
        <w:right w:val="none" w:sz="0" w:space="0" w:color="auto"/>
      </w:divBdr>
    </w:div>
    <w:div w:id="1428423286">
      <w:bodyDiv w:val="1"/>
      <w:marLeft w:val="0"/>
      <w:marRight w:val="0"/>
      <w:marTop w:val="0"/>
      <w:marBottom w:val="0"/>
      <w:divBdr>
        <w:top w:val="none" w:sz="0" w:space="0" w:color="auto"/>
        <w:left w:val="none" w:sz="0" w:space="0" w:color="auto"/>
        <w:bottom w:val="none" w:sz="0" w:space="0" w:color="auto"/>
        <w:right w:val="none" w:sz="0" w:space="0" w:color="auto"/>
      </w:divBdr>
    </w:div>
    <w:div w:id="1428455408">
      <w:bodyDiv w:val="1"/>
      <w:marLeft w:val="0"/>
      <w:marRight w:val="0"/>
      <w:marTop w:val="0"/>
      <w:marBottom w:val="0"/>
      <w:divBdr>
        <w:top w:val="none" w:sz="0" w:space="0" w:color="auto"/>
        <w:left w:val="none" w:sz="0" w:space="0" w:color="auto"/>
        <w:bottom w:val="none" w:sz="0" w:space="0" w:color="auto"/>
        <w:right w:val="none" w:sz="0" w:space="0" w:color="auto"/>
      </w:divBdr>
    </w:div>
    <w:div w:id="1428497552">
      <w:bodyDiv w:val="1"/>
      <w:marLeft w:val="0"/>
      <w:marRight w:val="0"/>
      <w:marTop w:val="0"/>
      <w:marBottom w:val="0"/>
      <w:divBdr>
        <w:top w:val="none" w:sz="0" w:space="0" w:color="auto"/>
        <w:left w:val="none" w:sz="0" w:space="0" w:color="auto"/>
        <w:bottom w:val="none" w:sz="0" w:space="0" w:color="auto"/>
        <w:right w:val="none" w:sz="0" w:space="0" w:color="auto"/>
      </w:divBdr>
    </w:div>
    <w:div w:id="1428501042">
      <w:bodyDiv w:val="1"/>
      <w:marLeft w:val="0"/>
      <w:marRight w:val="0"/>
      <w:marTop w:val="0"/>
      <w:marBottom w:val="0"/>
      <w:divBdr>
        <w:top w:val="none" w:sz="0" w:space="0" w:color="auto"/>
        <w:left w:val="none" w:sz="0" w:space="0" w:color="auto"/>
        <w:bottom w:val="none" w:sz="0" w:space="0" w:color="auto"/>
        <w:right w:val="none" w:sz="0" w:space="0" w:color="auto"/>
      </w:divBdr>
    </w:div>
    <w:div w:id="1428501830">
      <w:bodyDiv w:val="1"/>
      <w:marLeft w:val="0"/>
      <w:marRight w:val="0"/>
      <w:marTop w:val="0"/>
      <w:marBottom w:val="0"/>
      <w:divBdr>
        <w:top w:val="none" w:sz="0" w:space="0" w:color="auto"/>
        <w:left w:val="none" w:sz="0" w:space="0" w:color="auto"/>
        <w:bottom w:val="none" w:sz="0" w:space="0" w:color="auto"/>
        <w:right w:val="none" w:sz="0" w:space="0" w:color="auto"/>
      </w:divBdr>
    </w:div>
    <w:div w:id="1428572915">
      <w:bodyDiv w:val="1"/>
      <w:marLeft w:val="0"/>
      <w:marRight w:val="0"/>
      <w:marTop w:val="0"/>
      <w:marBottom w:val="0"/>
      <w:divBdr>
        <w:top w:val="none" w:sz="0" w:space="0" w:color="auto"/>
        <w:left w:val="none" w:sz="0" w:space="0" w:color="auto"/>
        <w:bottom w:val="none" w:sz="0" w:space="0" w:color="auto"/>
        <w:right w:val="none" w:sz="0" w:space="0" w:color="auto"/>
      </w:divBdr>
    </w:div>
    <w:div w:id="1428576480">
      <w:bodyDiv w:val="1"/>
      <w:marLeft w:val="0"/>
      <w:marRight w:val="0"/>
      <w:marTop w:val="0"/>
      <w:marBottom w:val="0"/>
      <w:divBdr>
        <w:top w:val="none" w:sz="0" w:space="0" w:color="auto"/>
        <w:left w:val="none" w:sz="0" w:space="0" w:color="auto"/>
        <w:bottom w:val="none" w:sz="0" w:space="0" w:color="auto"/>
        <w:right w:val="none" w:sz="0" w:space="0" w:color="auto"/>
      </w:divBdr>
    </w:div>
    <w:div w:id="1428581429">
      <w:bodyDiv w:val="1"/>
      <w:marLeft w:val="0"/>
      <w:marRight w:val="0"/>
      <w:marTop w:val="0"/>
      <w:marBottom w:val="0"/>
      <w:divBdr>
        <w:top w:val="none" w:sz="0" w:space="0" w:color="auto"/>
        <w:left w:val="none" w:sz="0" w:space="0" w:color="auto"/>
        <w:bottom w:val="none" w:sz="0" w:space="0" w:color="auto"/>
        <w:right w:val="none" w:sz="0" w:space="0" w:color="auto"/>
      </w:divBdr>
    </w:div>
    <w:div w:id="1428771695">
      <w:bodyDiv w:val="1"/>
      <w:marLeft w:val="0"/>
      <w:marRight w:val="0"/>
      <w:marTop w:val="0"/>
      <w:marBottom w:val="0"/>
      <w:divBdr>
        <w:top w:val="none" w:sz="0" w:space="0" w:color="auto"/>
        <w:left w:val="none" w:sz="0" w:space="0" w:color="auto"/>
        <w:bottom w:val="none" w:sz="0" w:space="0" w:color="auto"/>
        <w:right w:val="none" w:sz="0" w:space="0" w:color="auto"/>
      </w:divBdr>
    </w:div>
    <w:div w:id="1428772145">
      <w:bodyDiv w:val="1"/>
      <w:marLeft w:val="0"/>
      <w:marRight w:val="0"/>
      <w:marTop w:val="0"/>
      <w:marBottom w:val="0"/>
      <w:divBdr>
        <w:top w:val="none" w:sz="0" w:space="0" w:color="auto"/>
        <w:left w:val="none" w:sz="0" w:space="0" w:color="auto"/>
        <w:bottom w:val="none" w:sz="0" w:space="0" w:color="auto"/>
        <w:right w:val="none" w:sz="0" w:space="0" w:color="auto"/>
      </w:divBdr>
    </w:div>
    <w:div w:id="1429152469">
      <w:bodyDiv w:val="1"/>
      <w:marLeft w:val="0"/>
      <w:marRight w:val="0"/>
      <w:marTop w:val="0"/>
      <w:marBottom w:val="0"/>
      <w:divBdr>
        <w:top w:val="none" w:sz="0" w:space="0" w:color="auto"/>
        <w:left w:val="none" w:sz="0" w:space="0" w:color="auto"/>
        <w:bottom w:val="none" w:sz="0" w:space="0" w:color="auto"/>
        <w:right w:val="none" w:sz="0" w:space="0" w:color="auto"/>
      </w:divBdr>
    </w:div>
    <w:div w:id="1429227376">
      <w:bodyDiv w:val="1"/>
      <w:marLeft w:val="0"/>
      <w:marRight w:val="0"/>
      <w:marTop w:val="0"/>
      <w:marBottom w:val="0"/>
      <w:divBdr>
        <w:top w:val="none" w:sz="0" w:space="0" w:color="auto"/>
        <w:left w:val="none" w:sz="0" w:space="0" w:color="auto"/>
        <w:bottom w:val="none" w:sz="0" w:space="0" w:color="auto"/>
        <w:right w:val="none" w:sz="0" w:space="0" w:color="auto"/>
      </w:divBdr>
    </w:div>
    <w:div w:id="1429279205">
      <w:bodyDiv w:val="1"/>
      <w:marLeft w:val="0"/>
      <w:marRight w:val="0"/>
      <w:marTop w:val="0"/>
      <w:marBottom w:val="0"/>
      <w:divBdr>
        <w:top w:val="none" w:sz="0" w:space="0" w:color="auto"/>
        <w:left w:val="none" w:sz="0" w:space="0" w:color="auto"/>
        <w:bottom w:val="none" w:sz="0" w:space="0" w:color="auto"/>
        <w:right w:val="none" w:sz="0" w:space="0" w:color="auto"/>
      </w:divBdr>
    </w:div>
    <w:div w:id="1429306898">
      <w:bodyDiv w:val="1"/>
      <w:marLeft w:val="0"/>
      <w:marRight w:val="0"/>
      <w:marTop w:val="0"/>
      <w:marBottom w:val="0"/>
      <w:divBdr>
        <w:top w:val="none" w:sz="0" w:space="0" w:color="auto"/>
        <w:left w:val="none" w:sz="0" w:space="0" w:color="auto"/>
        <w:bottom w:val="none" w:sz="0" w:space="0" w:color="auto"/>
        <w:right w:val="none" w:sz="0" w:space="0" w:color="auto"/>
      </w:divBdr>
    </w:div>
    <w:div w:id="1429345440">
      <w:bodyDiv w:val="1"/>
      <w:marLeft w:val="0"/>
      <w:marRight w:val="0"/>
      <w:marTop w:val="0"/>
      <w:marBottom w:val="0"/>
      <w:divBdr>
        <w:top w:val="none" w:sz="0" w:space="0" w:color="auto"/>
        <w:left w:val="none" w:sz="0" w:space="0" w:color="auto"/>
        <w:bottom w:val="none" w:sz="0" w:space="0" w:color="auto"/>
        <w:right w:val="none" w:sz="0" w:space="0" w:color="auto"/>
      </w:divBdr>
    </w:div>
    <w:div w:id="1429351156">
      <w:bodyDiv w:val="1"/>
      <w:marLeft w:val="0"/>
      <w:marRight w:val="0"/>
      <w:marTop w:val="0"/>
      <w:marBottom w:val="0"/>
      <w:divBdr>
        <w:top w:val="none" w:sz="0" w:space="0" w:color="auto"/>
        <w:left w:val="none" w:sz="0" w:space="0" w:color="auto"/>
        <w:bottom w:val="none" w:sz="0" w:space="0" w:color="auto"/>
        <w:right w:val="none" w:sz="0" w:space="0" w:color="auto"/>
      </w:divBdr>
    </w:div>
    <w:div w:id="1429425375">
      <w:bodyDiv w:val="1"/>
      <w:marLeft w:val="0"/>
      <w:marRight w:val="0"/>
      <w:marTop w:val="0"/>
      <w:marBottom w:val="0"/>
      <w:divBdr>
        <w:top w:val="none" w:sz="0" w:space="0" w:color="auto"/>
        <w:left w:val="none" w:sz="0" w:space="0" w:color="auto"/>
        <w:bottom w:val="none" w:sz="0" w:space="0" w:color="auto"/>
        <w:right w:val="none" w:sz="0" w:space="0" w:color="auto"/>
      </w:divBdr>
    </w:div>
    <w:div w:id="1429619180">
      <w:bodyDiv w:val="1"/>
      <w:marLeft w:val="0"/>
      <w:marRight w:val="0"/>
      <w:marTop w:val="0"/>
      <w:marBottom w:val="0"/>
      <w:divBdr>
        <w:top w:val="none" w:sz="0" w:space="0" w:color="auto"/>
        <w:left w:val="none" w:sz="0" w:space="0" w:color="auto"/>
        <w:bottom w:val="none" w:sz="0" w:space="0" w:color="auto"/>
        <w:right w:val="none" w:sz="0" w:space="0" w:color="auto"/>
      </w:divBdr>
    </w:div>
    <w:div w:id="1429691172">
      <w:bodyDiv w:val="1"/>
      <w:marLeft w:val="0"/>
      <w:marRight w:val="0"/>
      <w:marTop w:val="0"/>
      <w:marBottom w:val="0"/>
      <w:divBdr>
        <w:top w:val="none" w:sz="0" w:space="0" w:color="auto"/>
        <w:left w:val="none" w:sz="0" w:space="0" w:color="auto"/>
        <w:bottom w:val="none" w:sz="0" w:space="0" w:color="auto"/>
        <w:right w:val="none" w:sz="0" w:space="0" w:color="auto"/>
      </w:divBdr>
    </w:div>
    <w:div w:id="1429814164">
      <w:bodyDiv w:val="1"/>
      <w:marLeft w:val="0"/>
      <w:marRight w:val="0"/>
      <w:marTop w:val="0"/>
      <w:marBottom w:val="0"/>
      <w:divBdr>
        <w:top w:val="none" w:sz="0" w:space="0" w:color="auto"/>
        <w:left w:val="none" w:sz="0" w:space="0" w:color="auto"/>
        <w:bottom w:val="none" w:sz="0" w:space="0" w:color="auto"/>
        <w:right w:val="none" w:sz="0" w:space="0" w:color="auto"/>
      </w:divBdr>
    </w:div>
    <w:div w:id="1429933412">
      <w:bodyDiv w:val="1"/>
      <w:marLeft w:val="0"/>
      <w:marRight w:val="0"/>
      <w:marTop w:val="0"/>
      <w:marBottom w:val="0"/>
      <w:divBdr>
        <w:top w:val="none" w:sz="0" w:space="0" w:color="auto"/>
        <w:left w:val="none" w:sz="0" w:space="0" w:color="auto"/>
        <w:bottom w:val="none" w:sz="0" w:space="0" w:color="auto"/>
        <w:right w:val="none" w:sz="0" w:space="0" w:color="auto"/>
      </w:divBdr>
    </w:div>
    <w:div w:id="1430078451">
      <w:bodyDiv w:val="1"/>
      <w:marLeft w:val="0"/>
      <w:marRight w:val="0"/>
      <w:marTop w:val="0"/>
      <w:marBottom w:val="0"/>
      <w:divBdr>
        <w:top w:val="none" w:sz="0" w:space="0" w:color="auto"/>
        <w:left w:val="none" w:sz="0" w:space="0" w:color="auto"/>
        <w:bottom w:val="none" w:sz="0" w:space="0" w:color="auto"/>
        <w:right w:val="none" w:sz="0" w:space="0" w:color="auto"/>
      </w:divBdr>
    </w:div>
    <w:div w:id="1430084584">
      <w:bodyDiv w:val="1"/>
      <w:marLeft w:val="0"/>
      <w:marRight w:val="0"/>
      <w:marTop w:val="0"/>
      <w:marBottom w:val="0"/>
      <w:divBdr>
        <w:top w:val="none" w:sz="0" w:space="0" w:color="auto"/>
        <w:left w:val="none" w:sz="0" w:space="0" w:color="auto"/>
        <w:bottom w:val="none" w:sz="0" w:space="0" w:color="auto"/>
        <w:right w:val="none" w:sz="0" w:space="0" w:color="auto"/>
      </w:divBdr>
    </w:div>
    <w:div w:id="1430153781">
      <w:bodyDiv w:val="1"/>
      <w:marLeft w:val="0"/>
      <w:marRight w:val="0"/>
      <w:marTop w:val="0"/>
      <w:marBottom w:val="0"/>
      <w:divBdr>
        <w:top w:val="none" w:sz="0" w:space="0" w:color="auto"/>
        <w:left w:val="none" w:sz="0" w:space="0" w:color="auto"/>
        <w:bottom w:val="none" w:sz="0" w:space="0" w:color="auto"/>
        <w:right w:val="none" w:sz="0" w:space="0" w:color="auto"/>
      </w:divBdr>
    </w:div>
    <w:div w:id="1430156831">
      <w:bodyDiv w:val="1"/>
      <w:marLeft w:val="0"/>
      <w:marRight w:val="0"/>
      <w:marTop w:val="0"/>
      <w:marBottom w:val="0"/>
      <w:divBdr>
        <w:top w:val="none" w:sz="0" w:space="0" w:color="auto"/>
        <w:left w:val="none" w:sz="0" w:space="0" w:color="auto"/>
        <w:bottom w:val="none" w:sz="0" w:space="0" w:color="auto"/>
        <w:right w:val="none" w:sz="0" w:space="0" w:color="auto"/>
      </w:divBdr>
    </w:div>
    <w:div w:id="1430389741">
      <w:bodyDiv w:val="1"/>
      <w:marLeft w:val="0"/>
      <w:marRight w:val="0"/>
      <w:marTop w:val="0"/>
      <w:marBottom w:val="0"/>
      <w:divBdr>
        <w:top w:val="none" w:sz="0" w:space="0" w:color="auto"/>
        <w:left w:val="none" w:sz="0" w:space="0" w:color="auto"/>
        <w:bottom w:val="none" w:sz="0" w:space="0" w:color="auto"/>
        <w:right w:val="none" w:sz="0" w:space="0" w:color="auto"/>
      </w:divBdr>
    </w:div>
    <w:div w:id="1430545076">
      <w:bodyDiv w:val="1"/>
      <w:marLeft w:val="0"/>
      <w:marRight w:val="0"/>
      <w:marTop w:val="0"/>
      <w:marBottom w:val="0"/>
      <w:divBdr>
        <w:top w:val="none" w:sz="0" w:space="0" w:color="auto"/>
        <w:left w:val="none" w:sz="0" w:space="0" w:color="auto"/>
        <w:bottom w:val="none" w:sz="0" w:space="0" w:color="auto"/>
        <w:right w:val="none" w:sz="0" w:space="0" w:color="auto"/>
      </w:divBdr>
    </w:div>
    <w:div w:id="1430586073">
      <w:bodyDiv w:val="1"/>
      <w:marLeft w:val="0"/>
      <w:marRight w:val="0"/>
      <w:marTop w:val="0"/>
      <w:marBottom w:val="0"/>
      <w:divBdr>
        <w:top w:val="none" w:sz="0" w:space="0" w:color="auto"/>
        <w:left w:val="none" w:sz="0" w:space="0" w:color="auto"/>
        <w:bottom w:val="none" w:sz="0" w:space="0" w:color="auto"/>
        <w:right w:val="none" w:sz="0" w:space="0" w:color="auto"/>
      </w:divBdr>
    </w:div>
    <w:div w:id="1430616428">
      <w:bodyDiv w:val="1"/>
      <w:marLeft w:val="0"/>
      <w:marRight w:val="0"/>
      <w:marTop w:val="0"/>
      <w:marBottom w:val="0"/>
      <w:divBdr>
        <w:top w:val="none" w:sz="0" w:space="0" w:color="auto"/>
        <w:left w:val="none" w:sz="0" w:space="0" w:color="auto"/>
        <w:bottom w:val="none" w:sz="0" w:space="0" w:color="auto"/>
        <w:right w:val="none" w:sz="0" w:space="0" w:color="auto"/>
      </w:divBdr>
    </w:div>
    <w:div w:id="1430738033">
      <w:bodyDiv w:val="1"/>
      <w:marLeft w:val="0"/>
      <w:marRight w:val="0"/>
      <w:marTop w:val="0"/>
      <w:marBottom w:val="0"/>
      <w:divBdr>
        <w:top w:val="none" w:sz="0" w:space="0" w:color="auto"/>
        <w:left w:val="none" w:sz="0" w:space="0" w:color="auto"/>
        <w:bottom w:val="none" w:sz="0" w:space="0" w:color="auto"/>
        <w:right w:val="none" w:sz="0" w:space="0" w:color="auto"/>
      </w:divBdr>
    </w:div>
    <w:div w:id="1430738331">
      <w:bodyDiv w:val="1"/>
      <w:marLeft w:val="0"/>
      <w:marRight w:val="0"/>
      <w:marTop w:val="0"/>
      <w:marBottom w:val="0"/>
      <w:divBdr>
        <w:top w:val="none" w:sz="0" w:space="0" w:color="auto"/>
        <w:left w:val="none" w:sz="0" w:space="0" w:color="auto"/>
        <w:bottom w:val="none" w:sz="0" w:space="0" w:color="auto"/>
        <w:right w:val="none" w:sz="0" w:space="0" w:color="auto"/>
      </w:divBdr>
    </w:div>
    <w:div w:id="1430807788">
      <w:bodyDiv w:val="1"/>
      <w:marLeft w:val="0"/>
      <w:marRight w:val="0"/>
      <w:marTop w:val="0"/>
      <w:marBottom w:val="0"/>
      <w:divBdr>
        <w:top w:val="none" w:sz="0" w:space="0" w:color="auto"/>
        <w:left w:val="none" w:sz="0" w:space="0" w:color="auto"/>
        <w:bottom w:val="none" w:sz="0" w:space="0" w:color="auto"/>
        <w:right w:val="none" w:sz="0" w:space="0" w:color="auto"/>
      </w:divBdr>
    </w:div>
    <w:div w:id="1430809566">
      <w:bodyDiv w:val="1"/>
      <w:marLeft w:val="0"/>
      <w:marRight w:val="0"/>
      <w:marTop w:val="0"/>
      <w:marBottom w:val="0"/>
      <w:divBdr>
        <w:top w:val="none" w:sz="0" w:space="0" w:color="auto"/>
        <w:left w:val="none" w:sz="0" w:space="0" w:color="auto"/>
        <w:bottom w:val="none" w:sz="0" w:space="0" w:color="auto"/>
        <w:right w:val="none" w:sz="0" w:space="0" w:color="auto"/>
      </w:divBdr>
    </w:div>
    <w:div w:id="1430853404">
      <w:bodyDiv w:val="1"/>
      <w:marLeft w:val="0"/>
      <w:marRight w:val="0"/>
      <w:marTop w:val="0"/>
      <w:marBottom w:val="0"/>
      <w:divBdr>
        <w:top w:val="none" w:sz="0" w:space="0" w:color="auto"/>
        <w:left w:val="none" w:sz="0" w:space="0" w:color="auto"/>
        <w:bottom w:val="none" w:sz="0" w:space="0" w:color="auto"/>
        <w:right w:val="none" w:sz="0" w:space="0" w:color="auto"/>
      </w:divBdr>
    </w:div>
    <w:div w:id="1430855293">
      <w:bodyDiv w:val="1"/>
      <w:marLeft w:val="0"/>
      <w:marRight w:val="0"/>
      <w:marTop w:val="0"/>
      <w:marBottom w:val="0"/>
      <w:divBdr>
        <w:top w:val="none" w:sz="0" w:space="0" w:color="auto"/>
        <w:left w:val="none" w:sz="0" w:space="0" w:color="auto"/>
        <w:bottom w:val="none" w:sz="0" w:space="0" w:color="auto"/>
        <w:right w:val="none" w:sz="0" w:space="0" w:color="auto"/>
      </w:divBdr>
    </w:div>
    <w:div w:id="1431046572">
      <w:bodyDiv w:val="1"/>
      <w:marLeft w:val="0"/>
      <w:marRight w:val="0"/>
      <w:marTop w:val="0"/>
      <w:marBottom w:val="0"/>
      <w:divBdr>
        <w:top w:val="none" w:sz="0" w:space="0" w:color="auto"/>
        <w:left w:val="none" w:sz="0" w:space="0" w:color="auto"/>
        <w:bottom w:val="none" w:sz="0" w:space="0" w:color="auto"/>
        <w:right w:val="none" w:sz="0" w:space="0" w:color="auto"/>
      </w:divBdr>
    </w:div>
    <w:div w:id="1431048762">
      <w:bodyDiv w:val="1"/>
      <w:marLeft w:val="0"/>
      <w:marRight w:val="0"/>
      <w:marTop w:val="0"/>
      <w:marBottom w:val="0"/>
      <w:divBdr>
        <w:top w:val="none" w:sz="0" w:space="0" w:color="auto"/>
        <w:left w:val="none" w:sz="0" w:space="0" w:color="auto"/>
        <w:bottom w:val="none" w:sz="0" w:space="0" w:color="auto"/>
        <w:right w:val="none" w:sz="0" w:space="0" w:color="auto"/>
      </w:divBdr>
    </w:div>
    <w:div w:id="1431119939">
      <w:bodyDiv w:val="1"/>
      <w:marLeft w:val="0"/>
      <w:marRight w:val="0"/>
      <w:marTop w:val="0"/>
      <w:marBottom w:val="0"/>
      <w:divBdr>
        <w:top w:val="none" w:sz="0" w:space="0" w:color="auto"/>
        <w:left w:val="none" w:sz="0" w:space="0" w:color="auto"/>
        <w:bottom w:val="none" w:sz="0" w:space="0" w:color="auto"/>
        <w:right w:val="none" w:sz="0" w:space="0" w:color="auto"/>
      </w:divBdr>
    </w:div>
    <w:div w:id="1431193103">
      <w:bodyDiv w:val="1"/>
      <w:marLeft w:val="0"/>
      <w:marRight w:val="0"/>
      <w:marTop w:val="0"/>
      <w:marBottom w:val="0"/>
      <w:divBdr>
        <w:top w:val="none" w:sz="0" w:space="0" w:color="auto"/>
        <w:left w:val="none" w:sz="0" w:space="0" w:color="auto"/>
        <w:bottom w:val="none" w:sz="0" w:space="0" w:color="auto"/>
        <w:right w:val="none" w:sz="0" w:space="0" w:color="auto"/>
      </w:divBdr>
    </w:div>
    <w:div w:id="1431194270">
      <w:bodyDiv w:val="1"/>
      <w:marLeft w:val="0"/>
      <w:marRight w:val="0"/>
      <w:marTop w:val="0"/>
      <w:marBottom w:val="0"/>
      <w:divBdr>
        <w:top w:val="none" w:sz="0" w:space="0" w:color="auto"/>
        <w:left w:val="none" w:sz="0" w:space="0" w:color="auto"/>
        <w:bottom w:val="none" w:sz="0" w:space="0" w:color="auto"/>
        <w:right w:val="none" w:sz="0" w:space="0" w:color="auto"/>
      </w:divBdr>
    </w:div>
    <w:div w:id="1431241952">
      <w:bodyDiv w:val="1"/>
      <w:marLeft w:val="0"/>
      <w:marRight w:val="0"/>
      <w:marTop w:val="0"/>
      <w:marBottom w:val="0"/>
      <w:divBdr>
        <w:top w:val="none" w:sz="0" w:space="0" w:color="auto"/>
        <w:left w:val="none" w:sz="0" w:space="0" w:color="auto"/>
        <w:bottom w:val="none" w:sz="0" w:space="0" w:color="auto"/>
        <w:right w:val="none" w:sz="0" w:space="0" w:color="auto"/>
      </w:divBdr>
    </w:div>
    <w:div w:id="1431386753">
      <w:bodyDiv w:val="1"/>
      <w:marLeft w:val="0"/>
      <w:marRight w:val="0"/>
      <w:marTop w:val="0"/>
      <w:marBottom w:val="0"/>
      <w:divBdr>
        <w:top w:val="none" w:sz="0" w:space="0" w:color="auto"/>
        <w:left w:val="none" w:sz="0" w:space="0" w:color="auto"/>
        <w:bottom w:val="none" w:sz="0" w:space="0" w:color="auto"/>
        <w:right w:val="none" w:sz="0" w:space="0" w:color="auto"/>
      </w:divBdr>
    </w:div>
    <w:div w:id="1431508024">
      <w:bodyDiv w:val="1"/>
      <w:marLeft w:val="0"/>
      <w:marRight w:val="0"/>
      <w:marTop w:val="0"/>
      <w:marBottom w:val="0"/>
      <w:divBdr>
        <w:top w:val="none" w:sz="0" w:space="0" w:color="auto"/>
        <w:left w:val="none" w:sz="0" w:space="0" w:color="auto"/>
        <w:bottom w:val="none" w:sz="0" w:space="0" w:color="auto"/>
        <w:right w:val="none" w:sz="0" w:space="0" w:color="auto"/>
      </w:divBdr>
    </w:div>
    <w:div w:id="1431513405">
      <w:bodyDiv w:val="1"/>
      <w:marLeft w:val="0"/>
      <w:marRight w:val="0"/>
      <w:marTop w:val="0"/>
      <w:marBottom w:val="0"/>
      <w:divBdr>
        <w:top w:val="none" w:sz="0" w:space="0" w:color="auto"/>
        <w:left w:val="none" w:sz="0" w:space="0" w:color="auto"/>
        <w:bottom w:val="none" w:sz="0" w:space="0" w:color="auto"/>
        <w:right w:val="none" w:sz="0" w:space="0" w:color="auto"/>
      </w:divBdr>
    </w:div>
    <w:div w:id="1431664647">
      <w:bodyDiv w:val="1"/>
      <w:marLeft w:val="0"/>
      <w:marRight w:val="0"/>
      <w:marTop w:val="0"/>
      <w:marBottom w:val="0"/>
      <w:divBdr>
        <w:top w:val="none" w:sz="0" w:space="0" w:color="auto"/>
        <w:left w:val="none" w:sz="0" w:space="0" w:color="auto"/>
        <w:bottom w:val="none" w:sz="0" w:space="0" w:color="auto"/>
        <w:right w:val="none" w:sz="0" w:space="0" w:color="auto"/>
      </w:divBdr>
    </w:div>
    <w:div w:id="1431699549">
      <w:bodyDiv w:val="1"/>
      <w:marLeft w:val="0"/>
      <w:marRight w:val="0"/>
      <w:marTop w:val="0"/>
      <w:marBottom w:val="0"/>
      <w:divBdr>
        <w:top w:val="none" w:sz="0" w:space="0" w:color="auto"/>
        <w:left w:val="none" w:sz="0" w:space="0" w:color="auto"/>
        <w:bottom w:val="none" w:sz="0" w:space="0" w:color="auto"/>
        <w:right w:val="none" w:sz="0" w:space="0" w:color="auto"/>
      </w:divBdr>
    </w:div>
    <w:div w:id="1431776798">
      <w:bodyDiv w:val="1"/>
      <w:marLeft w:val="0"/>
      <w:marRight w:val="0"/>
      <w:marTop w:val="0"/>
      <w:marBottom w:val="0"/>
      <w:divBdr>
        <w:top w:val="none" w:sz="0" w:space="0" w:color="auto"/>
        <w:left w:val="none" w:sz="0" w:space="0" w:color="auto"/>
        <w:bottom w:val="none" w:sz="0" w:space="0" w:color="auto"/>
        <w:right w:val="none" w:sz="0" w:space="0" w:color="auto"/>
      </w:divBdr>
    </w:div>
    <w:div w:id="1431777517">
      <w:bodyDiv w:val="1"/>
      <w:marLeft w:val="0"/>
      <w:marRight w:val="0"/>
      <w:marTop w:val="0"/>
      <w:marBottom w:val="0"/>
      <w:divBdr>
        <w:top w:val="none" w:sz="0" w:space="0" w:color="auto"/>
        <w:left w:val="none" w:sz="0" w:space="0" w:color="auto"/>
        <w:bottom w:val="none" w:sz="0" w:space="0" w:color="auto"/>
        <w:right w:val="none" w:sz="0" w:space="0" w:color="auto"/>
      </w:divBdr>
    </w:div>
    <w:div w:id="1432042409">
      <w:bodyDiv w:val="1"/>
      <w:marLeft w:val="0"/>
      <w:marRight w:val="0"/>
      <w:marTop w:val="0"/>
      <w:marBottom w:val="0"/>
      <w:divBdr>
        <w:top w:val="none" w:sz="0" w:space="0" w:color="auto"/>
        <w:left w:val="none" w:sz="0" w:space="0" w:color="auto"/>
        <w:bottom w:val="none" w:sz="0" w:space="0" w:color="auto"/>
        <w:right w:val="none" w:sz="0" w:space="0" w:color="auto"/>
      </w:divBdr>
    </w:div>
    <w:div w:id="1432047447">
      <w:bodyDiv w:val="1"/>
      <w:marLeft w:val="0"/>
      <w:marRight w:val="0"/>
      <w:marTop w:val="0"/>
      <w:marBottom w:val="0"/>
      <w:divBdr>
        <w:top w:val="none" w:sz="0" w:space="0" w:color="auto"/>
        <w:left w:val="none" w:sz="0" w:space="0" w:color="auto"/>
        <w:bottom w:val="none" w:sz="0" w:space="0" w:color="auto"/>
        <w:right w:val="none" w:sz="0" w:space="0" w:color="auto"/>
      </w:divBdr>
    </w:div>
    <w:div w:id="1432361235">
      <w:bodyDiv w:val="1"/>
      <w:marLeft w:val="0"/>
      <w:marRight w:val="0"/>
      <w:marTop w:val="0"/>
      <w:marBottom w:val="0"/>
      <w:divBdr>
        <w:top w:val="none" w:sz="0" w:space="0" w:color="auto"/>
        <w:left w:val="none" w:sz="0" w:space="0" w:color="auto"/>
        <w:bottom w:val="none" w:sz="0" w:space="0" w:color="auto"/>
        <w:right w:val="none" w:sz="0" w:space="0" w:color="auto"/>
      </w:divBdr>
    </w:div>
    <w:div w:id="1432386258">
      <w:bodyDiv w:val="1"/>
      <w:marLeft w:val="0"/>
      <w:marRight w:val="0"/>
      <w:marTop w:val="0"/>
      <w:marBottom w:val="0"/>
      <w:divBdr>
        <w:top w:val="none" w:sz="0" w:space="0" w:color="auto"/>
        <w:left w:val="none" w:sz="0" w:space="0" w:color="auto"/>
        <w:bottom w:val="none" w:sz="0" w:space="0" w:color="auto"/>
        <w:right w:val="none" w:sz="0" w:space="0" w:color="auto"/>
      </w:divBdr>
    </w:div>
    <w:div w:id="1432580951">
      <w:bodyDiv w:val="1"/>
      <w:marLeft w:val="0"/>
      <w:marRight w:val="0"/>
      <w:marTop w:val="0"/>
      <w:marBottom w:val="0"/>
      <w:divBdr>
        <w:top w:val="none" w:sz="0" w:space="0" w:color="auto"/>
        <w:left w:val="none" w:sz="0" w:space="0" w:color="auto"/>
        <w:bottom w:val="none" w:sz="0" w:space="0" w:color="auto"/>
        <w:right w:val="none" w:sz="0" w:space="0" w:color="auto"/>
      </w:divBdr>
    </w:div>
    <w:div w:id="1432581293">
      <w:bodyDiv w:val="1"/>
      <w:marLeft w:val="0"/>
      <w:marRight w:val="0"/>
      <w:marTop w:val="0"/>
      <w:marBottom w:val="0"/>
      <w:divBdr>
        <w:top w:val="none" w:sz="0" w:space="0" w:color="auto"/>
        <w:left w:val="none" w:sz="0" w:space="0" w:color="auto"/>
        <w:bottom w:val="none" w:sz="0" w:space="0" w:color="auto"/>
        <w:right w:val="none" w:sz="0" w:space="0" w:color="auto"/>
      </w:divBdr>
    </w:div>
    <w:div w:id="1432583862">
      <w:bodyDiv w:val="1"/>
      <w:marLeft w:val="0"/>
      <w:marRight w:val="0"/>
      <w:marTop w:val="0"/>
      <w:marBottom w:val="0"/>
      <w:divBdr>
        <w:top w:val="none" w:sz="0" w:space="0" w:color="auto"/>
        <w:left w:val="none" w:sz="0" w:space="0" w:color="auto"/>
        <w:bottom w:val="none" w:sz="0" w:space="0" w:color="auto"/>
        <w:right w:val="none" w:sz="0" w:space="0" w:color="auto"/>
      </w:divBdr>
    </w:div>
    <w:div w:id="1432748461">
      <w:bodyDiv w:val="1"/>
      <w:marLeft w:val="0"/>
      <w:marRight w:val="0"/>
      <w:marTop w:val="0"/>
      <w:marBottom w:val="0"/>
      <w:divBdr>
        <w:top w:val="none" w:sz="0" w:space="0" w:color="auto"/>
        <w:left w:val="none" w:sz="0" w:space="0" w:color="auto"/>
        <w:bottom w:val="none" w:sz="0" w:space="0" w:color="auto"/>
        <w:right w:val="none" w:sz="0" w:space="0" w:color="auto"/>
      </w:divBdr>
    </w:div>
    <w:div w:id="1432819162">
      <w:bodyDiv w:val="1"/>
      <w:marLeft w:val="0"/>
      <w:marRight w:val="0"/>
      <w:marTop w:val="0"/>
      <w:marBottom w:val="0"/>
      <w:divBdr>
        <w:top w:val="none" w:sz="0" w:space="0" w:color="auto"/>
        <w:left w:val="none" w:sz="0" w:space="0" w:color="auto"/>
        <w:bottom w:val="none" w:sz="0" w:space="0" w:color="auto"/>
        <w:right w:val="none" w:sz="0" w:space="0" w:color="auto"/>
      </w:divBdr>
    </w:div>
    <w:div w:id="1432819549">
      <w:bodyDiv w:val="1"/>
      <w:marLeft w:val="0"/>
      <w:marRight w:val="0"/>
      <w:marTop w:val="0"/>
      <w:marBottom w:val="0"/>
      <w:divBdr>
        <w:top w:val="none" w:sz="0" w:space="0" w:color="auto"/>
        <w:left w:val="none" w:sz="0" w:space="0" w:color="auto"/>
        <w:bottom w:val="none" w:sz="0" w:space="0" w:color="auto"/>
        <w:right w:val="none" w:sz="0" w:space="0" w:color="auto"/>
      </w:divBdr>
    </w:div>
    <w:div w:id="1432891793">
      <w:bodyDiv w:val="1"/>
      <w:marLeft w:val="0"/>
      <w:marRight w:val="0"/>
      <w:marTop w:val="0"/>
      <w:marBottom w:val="0"/>
      <w:divBdr>
        <w:top w:val="none" w:sz="0" w:space="0" w:color="auto"/>
        <w:left w:val="none" w:sz="0" w:space="0" w:color="auto"/>
        <w:bottom w:val="none" w:sz="0" w:space="0" w:color="auto"/>
        <w:right w:val="none" w:sz="0" w:space="0" w:color="auto"/>
      </w:divBdr>
    </w:div>
    <w:div w:id="1432894659">
      <w:bodyDiv w:val="1"/>
      <w:marLeft w:val="0"/>
      <w:marRight w:val="0"/>
      <w:marTop w:val="0"/>
      <w:marBottom w:val="0"/>
      <w:divBdr>
        <w:top w:val="none" w:sz="0" w:space="0" w:color="auto"/>
        <w:left w:val="none" w:sz="0" w:space="0" w:color="auto"/>
        <w:bottom w:val="none" w:sz="0" w:space="0" w:color="auto"/>
        <w:right w:val="none" w:sz="0" w:space="0" w:color="auto"/>
      </w:divBdr>
    </w:div>
    <w:div w:id="1432972349">
      <w:bodyDiv w:val="1"/>
      <w:marLeft w:val="0"/>
      <w:marRight w:val="0"/>
      <w:marTop w:val="0"/>
      <w:marBottom w:val="0"/>
      <w:divBdr>
        <w:top w:val="none" w:sz="0" w:space="0" w:color="auto"/>
        <w:left w:val="none" w:sz="0" w:space="0" w:color="auto"/>
        <w:bottom w:val="none" w:sz="0" w:space="0" w:color="auto"/>
        <w:right w:val="none" w:sz="0" w:space="0" w:color="auto"/>
      </w:divBdr>
    </w:div>
    <w:div w:id="1433089193">
      <w:bodyDiv w:val="1"/>
      <w:marLeft w:val="0"/>
      <w:marRight w:val="0"/>
      <w:marTop w:val="0"/>
      <w:marBottom w:val="0"/>
      <w:divBdr>
        <w:top w:val="none" w:sz="0" w:space="0" w:color="auto"/>
        <w:left w:val="none" w:sz="0" w:space="0" w:color="auto"/>
        <w:bottom w:val="none" w:sz="0" w:space="0" w:color="auto"/>
        <w:right w:val="none" w:sz="0" w:space="0" w:color="auto"/>
      </w:divBdr>
    </w:div>
    <w:div w:id="1433355517">
      <w:bodyDiv w:val="1"/>
      <w:marLeft w:val="0"/>
      <w:marRight w:val="0"/>
      <w:marTop w:val="0"/>
      <w:marBottom w:val="0"/>
      <w:divBdr>
        <w:top w:val="none" w:sz="0" w:space="0" w:color="auto"/>
        <w:left w:val="none" w:sz="0" w:space="0" w:color="auto"/>
        <w:bottom w:val="none" w:sz="0" w:space="0" w:color="auto"/>
        <w:right w:val="none" w:sz="0" w:space="0" w:color="auto"/>
      </w:divBdr>
    </w:div>
    <w:div w:id="1433356007">
      <w:bodyDiv w:val="1"/>
      <w:marLeft w:val="0"/>
      <w:marRight w:val="0"/>
      <w:marTop w:val="0"/>
      <w:marBottom w:val="0"/>
      <w:divBdr>
        <w:top w:val="none" w:sz="0" w:space="0" w:color="auto"/>
        <w:left w:val="none" w:sz="0" w:space="0" w:color="auto"/>
        <w:bottom w:val="none" w:sz="0" w:space="0" w:color="auto"/>
        <w:right w:val="none" w:sz="0" w:space="0" w:color="auto"/>
      </w:divBdr>
    </w:div>
    <w:div w:id="1433357527">
      <w:bodyDiv w:val="1"/>
      <w:marLeft w:val="0"/>
      <w:marRight w:val="0"/>
      <w:marTop w:val="0"/>
      <w:marBottom w:val="0"/>
      <w:divBdr>
        <w:top w:val="none" w:sz="0" w:space="0" w:color="auto"/>
        <w:left w:val="none" w:sz="0" w:space="0" w:color="auto"/>
        <w:bottom w:val="none" w:sz="0" w:space="0" w:color="auto"/>
        <w:right w:val="none" w:sz="0" w:space="0" w:color="auto"/>
      </w:divBdr>
    </w:div>
    <w:div w:id="1433470425">
      <w:bodyDiv w:val="1"/>
      <w:marLeft w:val="0"/>
      <w:marRight w:val="0"/>
      <w:marTop w:val="0"/>
      <w:marBottom w:val="0"/>
      <w:divBdr>
        <w:top w:val="none" w:sz="0" w:space="0" w:color="auto"/>
        <w:left w:val="none" w:sz="0" w:space="0" w:color="auto"/>
        <w:bottom w:val="none" w:sz="0" w:space="0" w:color="auto"/>
        <w:right w:val="none" w:sz="0" w:space="0" w:color="auto"/>
      </w:divBdr>
    </w:div>
    <w:div w:id="1433477976">
      <w:bodyDiv w:val="1"/>
      <w:marLeft w:val="0"/>
      <w:marRight w:val="0"/>
      <w:marTop w:val="0"/>
      <w:marBottom w:val="0"/>
      <w:divBdr>
        <w:top w:val="none" w:sz="0" w:space="0" w:color="auto"/>
        <w:left w:val="none" w:sz="0" w:space="0" w:color="auto"/>
        <w:bottom w:val="none" w:sz="0" w:space="0" w:color="auto"/>
        <w:right w:val="none" w:sz="0" w:space="0" w:color="auto"/>
      </w:divBdr>
    </w:div>
    <w:div w:id="1433478733">
      <w:bodyDiv w:val="1"/>
      <w:marLeft w:val="0"/>
      <w:marRight w:val="0"/>
      <w:marTop w:val="0"/>
      <w:marBottom w:val="0"/>
      <w:divBdr>
        <w:top w:val="none" w:sz="0" w:space="0" w:color="auto"/>
        <w:left w:val="none" w:sz="0" w:space="0" w:color="auto"/>
        <w:bottom w:val="none" w:sz="0" w:space="0" w:color="auto"/>
        <w:right w:val="none" w:sz="0" w:space="0" w:color="auto"/>
      </w:divBdr>
    </w:div>
    <w:div w:id="1433548899">
      <w:bodyDiv w:val="1"/>
      <w:marLeft w:val="0"/>
      <w:marRight w:val="0"/>
      <w:marTop w:val="0"/>
      <w:marBottom w:val="0"/>
      <w:divBdr>
        <w:top w:val="none" w:sz="0" w:space="0" w:color="auto"/>
        <w:left w:val="none" w:sz="0" w:space="0" w:color="auto"/>
        <w:bottom w:val="none" w:sz="0" w:space="0" w:color="auto"/>
        <w:right w:val="none" w:sz="0" w:space="0" w:color="auto"/>
      </w:divBdr>
    </w:div>
    <w:div w:id="1433627201">
      <w:bodyDiv w:val="1"/>
      <w:marLeft w:val="0"/>
      <w:marRight w:val="0"/>
      <w:marTop w:val="0"/>
      <w:marBottom w:val="0"/>
      <w:divBdr>
        <w:top w:val="none" w:sz="0" w:space="0" w:color="auto"/>
        <w:left w:val="none" w:sz="0" w:space="0" w:color="auto"/>
        <w:bottom w:val="none" w:sz="0" w:space="0" w:color="auto"/>
        <w:right w:val="none" w:sz="0" w:space="0" w:color="auto"/>
      </w:divBdr>
    </w:div>
    <w:div w:id="1433668909">
      <w:bodyDiv w:val="1"/>
      <w:marLeft w:val="0"/>
      <w:marRight w:val="0"/>
      <w:marTop w:val="0"/>
      <w:marBottom w:val="0"/>
      <w:divBdr>
        <w:top w:val="none" w:sz="0" w:space="0" w:color="auto"/>
        <w:left w:val="none" w:sz="0" w:space="0" w:color="auto"/>
        <w:bottom w:val="none" w:sz="0" w:space="0" w:color="auto"/>
        <w:right w:val="none" w:sz="0" w:space="0" w:color="auto"/>
      </w:divBdr>
    </w:div>
    <w:div w:id="1433669631">
      <w:bodyDiv w:val="1"/>
      <w:marLeft w:val="0"/>
      <w:marRight w:val="0"/>
      <w:marTop w:val="0"/>
      <w:marBottom w:val="0"/>
      <w:divBdr>
        <w:top w:val="none" w:sz="0" w:space="0" w:color="auto"/>
        <w:left w:val="none" w:sz="0" w:space="0" w:color="auto"/>
        <w:bottom w:val="none" w:sz="0" w:space="0" w:color="auto"/>
        <w:right w:val="none" w:sz="0" w:space="0" w:color="auto"/>
      </w:divBdr>
    </w:div>
    <w:div w:id="1433697801">
      <w:bodyDiv w:val="1"/>
      <w:marLeft w:val="0"/>
      <w:marRight w:val="0"/>
      <w:marTop w:val="0"/>
      <w:marBottom w:val="0"/>
      <w:divBdr>
        <w:top w:val="none" w:sz="0" w:space="0" w:color="auto"/>
        <w:left w:val="none" w:sz="0" w:space="0" w:color="auto"/>
        <w:bottom w:val="none" w:sz="0" w:space="0" w:color="auto"/>
        <w:right w:val="none" w:sz="0" w:space="0" w:color="auto"/>
      </w:divBdr>
    </w:div>
    <w:div w:id="1433862308">
      <w:bodyDiv w:val="1"/>
      <w:marLeft w:val="0"/>
      <w:marRight w:val="0"/>
      <w:marTop w:val="0"/>
      <w:marBottom w:val="0"/>
      <w:divBdr>
        <w:top w:val="none" w:sz="0" w:space="0" w:color="auto"/>
        <w:left w:val="none" w:sz="0" w:space="0" w:color="auto"/>
        <w:bottom w:val="none" w:sz="0" w:space="0" w:color="auto"/>
        <w:right w:val="none" w:sz="0" w:space="0" w:color="auto"/>
      </w:divBdr>
    </w:div>
    <w:div w:id="1433864745">
      <w:bodyDiv w:val="1"/>
      <w:marLeft w:val="0"/>
      <w:marRight w:val="0"/>
      <w:marTop w:val="0"/>
      <w:marBottom w:val="0"/>
      <w:divBdr>
        <w:top w:val="none" w:sz="0" w:space="0" w:color="auto"/>
        <w:left w:val="none" w:sz="0" w:space="0" w:color="auto"/>
        <w:bottom w:val="none" w:sz="0" w:space="0" w:color="auto"/>
        <w:right w:val="none" w:sz="0" w:space="0" w:color="auto"/>
      </w:divBdr>
    </w:div>
    <w:div w:id="1433865540">
      <w:bodyDiv w:val="1"/>
      <w:marLeft w:val="0"/>
      <w:marRight w:val="0"/>
      <w:marTop w:val="0"/>
      <w:marBottom w:val="0"/>
      <w:divBdr>
        <w:top w:val="none" w:sz="0" w:space="0" w:color="auto"/>
        <w:left w:val="none" w:sz="0" w:space="0" w:color="auto"/>
        <w:bottom w:val="none" w:sz="0" w:space="0" w:color="auto"/>
        <w:right w:val="none" w:sz="0" w:space="0" w:color="auto"/>
      </w:divBdr>
    </w:div>
    <w:div w:id="1433935268">
      <w:bodyDiv w:val="1"/>
      <w:marLeft w:val="0"/>
      <w:marRight w:val="0"/>
      <w:marTop w:val="0"/>
      <w:marBottom w:val="0"/>
      <w:divBdr>
        <w:top w:val="none" w:sz="0" w:space="0" w:color="auto"/>
        <w:left w:val="none" w:sz="0" w:space="0" w:color="auto"/>
        <w:bottom w:val="none" w:sz="0" w:space="0" w:color="auto"/>
        <w:right w:val="none" w:sz="0" w:space="0" w:color="auto"/>
      </w:divBdr>
    </w:div>
    <w:div w:id="1434133198">
      <w:bodyDiv w:val="1"/>
      <w:marLeft w:val="0"/>
      <w:marRight w:val="0"/>
      <w:marTop w:val="0"/>
      <w:marBottom w:val="0"/>
      <w:divBdr>
        <w:top w:val="none" w:sz="0" w:space="0" w:color="auto"/>
        <w:left w:val="none" w:sz="0" w:space="0" w:color="auto"/>
        <w:bottom w:val="none" w:sz="0" w:space="0" w:color="auto"/>
        <w:right w:val="none" w:sz="0" w:space="0" w:color="auto"/>
      </w:divBdr>
    </w:div>
    <w:div w:id="1434200769">
      <w:bodyDiv w:val="1"/>
      <w:marLeft w:val="0"/>
      <w:marRight w:val="0"/>
      <w:marTop w:val="0"/>
      <w:marBottom w:val="0"/>
      <w:divBdr>
        <w:top w:val="none" w:sz="0" w:space="0" w:color="auto"/>
        <w:left w:val="none" w:sz="0" w:space="0" w:color="auto"/>
        <w:bottom w:val="none" w:sz="0" w:space="0" w:color="auto"/>
        <w:right w:val="none" w:sz="0" w:space="0" w:color="auto"/>
      </w:divBdr>
    </w:div>
    <w:div w:id="1434280848">
      <w:bodyDiv w:val="1"/>
      <w:marLeft w:val="0"/>
      <w:marRight w:val="0"/>
      <w:marTop w:val="0"/>
      <w:marBottom w:val="0"/>
      <w:divBdr>
        <w:top w:val="none" w:sz="0" w:space="0" w:color="auto"/>
        <w:left w:val="none" w:sz="0" w:space="0" w:color="auto"/>
        <w:bottom w:val="none" w:sz="0" w:space="0" w:color="auto"/>
        <w:right w:val="none" w:sz="0" w:space="0" w:color="auto"/>
      </w:divBdr>
    </w:div>
    <w:div w:id="1434325124">
      <w:bodyDiv w:val="1"/>
      <w:marLeft w:val="0"/>
      <w:marRight w:val="0"/>
      <w:marTop w:val="0"/>
      <w:marBottom w:val="0"/>
      <w:divBdr>
        <w:top w:val="none" w:sz="0" w:space="0" w:color="auto"/>
        <w:left w:val="none" w:sz="0" w:space="0" w:color="auto"/>
        <w:bottom w:val="none" w:sz="0" w:space="0" w:color="auto"/>
        <w:right w:val="none" w:sz="0" w:space="0" w:color="auto"/>
      </w:divBdr>
    </w:div>
    <w:div w:id="1434395780">
      <w:bodyDiv w:val="1"/>
      <w:marLeft w:val="0"/>
      <w:marRight w:val="0"/>
      <w:marTop w:val="0"/>
      <w:marBottom w:val="0"/>
      <w:divBdr>
        <w:top w:val="none" w:sz="0" w:space="0" w:color="auto"/>
        <w:left w:val="none" w:sz="0" w:space="0" w:color="auto"/>
        <w:bottom w:val="none" w:sz="0" w:space="0" w:color="auto"/>
        <w:right w:val="none" w:sz="0" w:space="0" w:color="auto"/>
      </w:divBdr>
    </w:div>
    <w:div w:id="1434596550">
      <w:bodyDiv w:val="1"/>
      <w:marLeft w:val="0"/>
      <w:marRight w:val="0"/>
      <w:marTop w:val="0"/>
      <w:marBottom w:val="0"/>
      <w:divBdr>
        <w:top w:val="none" w:sz="0" w:space="0" w:color="auto"/>
        <w:left w:val="none" w:sz="0" w:space="0" w:color="auto"/>
        <w:bottom w:val="none" w:sz="0" w:space="0" w:color="auto"/>
        <w:right w:val="none" w:sz="0" w:space="0" w:color="auto"/>
      </w:divBdr>
    </w:div>
    <w:div w:id="1434670631">
      <w:bodyDiv w:val="1"/>
      <w:marLeft w:val="0"/>
      <w:marRight w:val="0"/>
      <w:marTop w:val="0"/>
      <w:marBottom w:val="0"/>
      <w:divBdr>
        <w:top w:val="none" w:sz="0" w:space="0" w:color="auto"/>
        <w:left w:val="none" w:sz="0" w:space="0" w:color="auto"/>
        <w:bottom w:val="none" w:sz="0" w:space="0" w:color="auto"/>
        <w:right w:val="none" w:sz="0" w:space="0" w:color="auto"/>
      </w:divBdr>
    </w:div>
    <w:div w:id="1434739013">
      <w:bodyDiv w:val="1"/>
      <w:marLeft w:val="0"/>
      <w:marRight w:val="0"/>
      <w:marTop w:val="0"/>
      <w:marBottom w:val="0"/>
      <w:divBdr>
        <w:top w:val="none" w:sz="0" w:space="0" w:color="auto"/>
        <w:left w:val="none" w:sz="0" w:space="0" w:color="auto"/>
        <w:bottom w:val="none" w:sz="0" w:space="0" w:color="auto"/>
        <w:right w:val="none" w:sz="0" w:space="0" w:color="auto"/>
      </w:divBdr>
    </w:div>
    <w:div w:id="1434743805">
      <w:bodyDiv w:val="1"/>
      <w:marLeft w:val="0"/>
      <w:marRight w:val="0"/>
      <w:marTop w:val="0"/>
      <w:marBottom w:val="0"/>
      <w:divBdr>
        <w:top w:val="none" w:sz="0" w:space="0" w:color="auto"/>
        <w:left w:val="none" w:sz="0" w:space="0" w:color="auto"/>
        <w:bottom w:val="none" w:sz="0" w:space="0" w:color="auto"/>
        <w:right w:val="none" w:sz="0" w:space="0" w:color="auto"/>
      </w:divBdr>
    </w:div>
    <w:div w:id="1434781755">
      <w:bodyDiv w:val="1"/>
      <w:marLeft w:val="0"/>
      <w:marRight w:val="0"/>
      <w:marTop w:val="0"/>
      <w:marBottom w:val="0"/>
      <w:divBdr>
        <w:top w:val="none" w:sz="0" w:space="0" w:color="auto"/>
        <w:left w:val="none" w:sz="0" w:space="0" w:color="auto"/>
        <w:bottom w:val="none" w:sz="0" w:space="0" w:color="auto"/>
        <w:right w:val="none" w:sz="0" w:space="0" w:color="auto"/>
      </w:divBdr>
    </w:div>
    <w:div w:id="1434782252">
      <w:bodyDiv w:val="1"/>
      <w:marLeft w:val="0"/>
      <w:marRight w:val="0"/>
      <w:marTop w:val="0"/>
      <w:marBottom w:val="0"/>
      <w:divBdr>
        <w:top w:val="none" w:sz="0" w:space="0" w:color="auto"/>
        <w:left w:val="none" w:sz="0" w:space="0" w:color="auto"/>
        <w:bottom w:val="none" w:sz="0" w:space="0" w:color="auto"/>
        <w:right w:val="none" w:sz="0" w:space="0" w:color="auto"/>
      </w:divBdr>
    </w:div>
    <w:div w:id="1434932672">
      <w:bodyDiv w:val="1"/>
      <w:marLeft w:val="0"/>
      <w:marRight w:val="0"/>
      <w:marTop w:val="0"/>
      <w:marBottom w:val="0"/>
      <w:divBdr>
        <w:top w:val="none" w:sz="0" w:space="0" w:color="auto"/>
        <w:left w:val="none" w:sz="0" w:space="0" w:color="auto"/>
        <w:bottom w:val="none" w:sz="0" w:space="0" w:color="auto"/>
        <w:right w:val="none" w:sz="0" w:space="0" w:color="auto"/>
      </w:divBdr>
    </w:div>
    <w:div w:id="1435049943">
      <w:bodyDiv w:val="1"/>
      <w:marLeft w:val="0"/>
      <w:marRight w:val="0"/>
      <w:marTop w:val="0"/>
      <w:marBottom w:val="0"/>
      <w:divBdr>
        <w:top w:val="none" w:sz="0" w:space="0" w:color="auto"/>
        <w:left w:val="none" w:sz="0" w:space="0" w:color="auto"/>
        <w:bottom w:val="none" w:sz="0" w:space="0" w:color="auto"/>
        <w:right w:val="none" w:sz="0" w:space="0" w:color="auto"/>
      </w:divBdr>
    </w:div>
    <w:div w:id="1435057203">
      <w:bodyDiv w:val="1"/>
      <w:marLeft w:val="0"/>
      <w:marRight w:val="0"/>
      <w:marTop w:val="0"/>
      <w:marBottom w:val="0"/>
      <w:divBdr>
        <w:top w:val="none" w:sz="0" w:space="0" w:color="auto"/>
        <w:left w:val="none" w:sz="0" w:space="0" w:color="auto"/>
        <w:bottom w:val="none" w:sz="0" w:space="0" w:color="auto"/>
        <w:right w:val="none" w:sz="0" w:space="0" w:color="auto"/>
      </w:divBdr>
    </w:div>
    <w:div w:id="1435127160">
      <w:bodyDiv w:val="1"/>
      <w:marLeft w:val="0"/>
      <w:marRight w:val="0"/>
      <w:marTop w:val="0"/>
      <w:marBottom w:val="0"/>
      <w:divBdr>
        <w:top w:val="none" w:sz="0" w:space="0" w:color="auto"/>
        <w:left w:val="none" w:sz="0" w:space="0" w:color="auto"/>
        <w:bottom w:val="none" w:sz="0" w:space="0" w:color="auto"/>
        <w:right w:val="none" w:sz="0" w:space="0" w:color="auto"/>
      </w:divBdr>
    </w:div>
    <w:div w:id="1435130495">
      <w:bodyDiv w:val="1"/>
      <w:marLeft w:val="0"/>
      <w:marRight w:val="0"/>
      <w:marTop w:val="0"/>
      <w:marBottom w:val="0"/>
      <w:divBdr>
        <w:top w:val="none" w:sz="0" w:space="0" w:color="auto"/>
        <w:left w:val="none" w:sz="0" w:space="0" w:color="auto"/>
        <w:bottom w:val="none" w:sz="0" w:space="0" w:color="auto"/>
        <w:right w:val="none" w:sz="0" w:space="0" w:color="auto"/>
      </w:divBdr>
    </w:div>
    <w:div w:id="1435176084">
      <w:bodyDiv w:val="1"/>
      <w:marLeft w:val="0"/>
      <w:marRight w:val="0"/>
      <w:marTop w:val="0"/>
      <w:marBottom w:val="0"/>
      <w:divBdr>
        <w:top w:val="none" w:sz="0" w:space="0" w:color="auto"/>
        <w:left w:val="none" w:sz="0" w:space="0" w:color="auto"/>
        <w:bottom w:val="none" w:sz="0" w:space="0" w:color="auto"/>
        <w:right w:val="none" w:sz="0" w:space="0" w:color="auto"/>
      </w:divBdr>
    </w:div>
    <w:div w:id="1435247363">
      <w:bodyDiv w:val="1"/>
      <w:marLeft w:val="0"/>
      <w:marRight w:val="0"/>
      <w:marTop w:val="0"/>
      <w:marBottom w:val="0"/>
      <w:divBdr>
        <w:top w:val="none" w:sz="0" w:space="0" w:color="auto"/>
        <w:left w:val="none" w:sz="0" w:space="0" w:color="auto"/>
        <w:bottom w:val="none" w:sz="0" w:space="0" w:color="auto"/>
        <w:right w:val="none" w:sz="0" w:space="0" w:color="auto"/>
      </w:divBdr>
    </w:div>
    <w:div w:id="1435247560">
      <w:bodyDiv w:val="1"/>
      <w:marLeft w:val="0"/>
      <w:marRight w:val="0"/>
      <w:marTop w:val="0"/>
      <w:marBottom w:val="0"/>
      <w:divBdr>
        <w:top w:val="none" w:sz="0" w:space="0" w:color="auto"/>
        <w:left w:val="none" w:sz="0" w:space="0" w:color="auto"/>
        <w:bottom w:val="none" w:sz="0" w:space="0" w:color="auto"/>
        <w:right w:val="none" w:sz="0" w:space="0" w:color="auto"/>
      </w:divBdr>
    </w:div>
    <w:div w:id="1435319233">
      <w:bodyDiv w:val="1"/>
      <w:marLeft w:val="0"/>
      <w:marRight w:val="0"/>
      <w:marTop w:val="0"/>
      <w:marBottom w:val="0"/>
      <w:divBdr>
        <w:top w:val="none" w:sz="0" w:space="0" w:color="auto"/>
        <w:left w:val="none" w:sz="0" w:space="0" w:color="auto"/>
        <w:bottom w:val="none" w:sz="0" w:space="0" w:color="auto"/>
        <w:right w:val="none" w:sz="0" w:space="0" w:color="auto"/>
      </w:divBdr>
    </w:div>
    <w:div w:id="1435439448">
      <w:bodyDiv w:val="1"/>
      <w:marLeft w:val="0"/>
      <w:marRight w:val="0"/>
      <w:marTop w:val="0"/>
      <w:marBottom w:val="0"/>
      <w:divBdr>
        <w:top w:val="none" w:sz="0" w:space="0" w:color="auto"/>
        <w:left w:val="none" w:sz="0" w:space="0" w:color="auto"/>
        <w:bottom w:val="none" w:sz="0" w:space="0" w:color="auto"/>
        <w:right w:val="none" w:sz="0" w:space="0" w:color="auto"/>
      </w:divBdr>
    </w:div>
    <w:div w:id="1435632982">
      <w:bodyDiv w:val="1"/>
      <w:marLeft w:val="0"/>
      <w:marRight w:val="0"/>
      <w:marTop w:val="0"/>
      <w:marBottom w:val="0"/>
      <w:divBdr>
        <w:top w:val="none" w:sz="0" w:space="0" w:color="auto"/>
        <w:left w:val="none" w:sz="0" w:space="0" w:color="auto"/>
        <w:bottom w:val="none" w:sz="0" w:space="0" w:color="auto"/>
        <w:right w:val="none" w:sz="0" w:space="0" w:color="auto"/>
      </w:divBdr>
    </w:div>
    <w:div w:id="1435662288">
      <w:bodyDiv w:val="1"/>
      <w:marLeft w:val="0"/>
      <w:marRight w:val="0"/>
      <w:marTop w:val="0"/>
      <w:marBottom w:val="0"/>
      <w:divBdr>
        <w:top w:val="none" w:sz="0" w:space="0" w:color="auto"/>
        <w:left w:val="none" w:sz="0" w:space="0" w:color="auto"/>
        <w:bottom w:val="none" w:sz="0" w:space="0" w:color="auto"/>
        <w:right w:val="none" w:sz="0" w:space="0" w:color="auto"/>
      </w:divBdr>
    </w:div>
    <w:div w:id="1435785829">
      <w:bodyDiv w:val="1"/>
      <w:marLeft w:val="0"/>
      <w:marRight w:val="0"/>
      <w:marTop w:val="0"/>
      <w:marBottom w:val="0"/>
      <w:divBdr>
        <w:top w:val="none" w:sz="0" w:space="0" w:color="auto"/>
        <w:left w:val="none" w:sz="0" w:space="0" w:color="auto"/>
        <w:bottom w:val="none" w:sz="0" w:space="0" w:color="auto"/>
        <w:right w:val="none" w:sz="0" w:space="0" w:color="auto"/>
      </w:divBdr>
    </w:div>
    <w:div w:id="1436091734">
      <w:bodyDiv w:val="1"/>
      <w:marLeft w:val="0"/>
      <w:marRight w:val="0"/>
      <w:marTop w:val="0"/>
      <w:marBottom w:val="0"/>
      <w:divBdr>
        <w:top w:val="none" w:sz="0" w:space="0" w:color="auto"/>
        <w:left w:val="none" w:sz="0" w:space="0" w:color="auto"/>
        <w:bottom w:val="none" w:sz="0" w:space="0" w:color="auto"/>
        <w:right w:val="none" w:sz="0" w:space="0" w:color="auto"/>
      </w:divBdr>
    </w:div>
    <w:div w:id="1436168543">
      <w:bodyDiv w:val="1"/>
      <w:marLeft w:val="0"/>
      <w:marRight w:val="0"/>
      <w:marTop w:val="0"/>
      <w:marBottom w:val="0"/>
      <w:divBdr>
        <w:top w:val="none" w:sz="0" w:space="0" w:color="auto"/>
        <w:left w:val="none" w:sz="0" w:space="0" w:color="auto"/>
        <w:bottom w:val="none" w:sz="0" w:space="0" w:color="auto"/>
        <w:right w:val="none" w:sz="0" w:space="0" w:color="auto"/>
      </w:divBdr>
    </w:div>
    <w:div w:id="1436436129">
      <w:bodyDiv w:val="1"/>
      <w:marLeft w:val="0"/>
      <w:marRight w:val="0"/>
      <w:marTop w:val="0"/>
      <w:marBottom w:val="0"/>
      <w:divBdr>
        <w:top w:val="none" w:sz="0" w:space="0" w:color="auto"/>
        <w:left w:val="none" w:sz="0" w:space="0" w:color="auto"/>
        <w:bottom w:val="none" w:sz="0" w:space="0" w:color="auto"/>
        <w:right w:val="none" w:sz="0" w:space="0" w:color="auto"/>
      </w:divBdr>
    </w:div>
    <w:div w:id="1436436356">
      <w:bodyDiv w:val="1"/>
      <w:marLeft w:val="0"/>
      <w:marRight w:val="0"/>
      <w:marTop w:val="0"/>
      <w:marBottom w:val="0"/>
      <w:divBdr>
        <w:top w:val="none" w:sz="0" w:space="0" w:color="auto"/>
        <w:left w:val="none" w:sz="0" w:space="0" w:color="auto"/>
        <w:bottom w:val="none" w:sz="0" w:space="0" w:color="auto"/>
        <w:right w:val="none" w:sz="0" w:space="0" w:color="auto"/>
      </w:divBdr>
    </w:div>
    <w:div w:id="1436554267">
      <w:bodyDiv w:val="1"/>
      <w:marLeft w:val="0"/>
      <w:marRight w:val="0"/>
      <w:marTop w:val="0"/>
      <w:marBottom w:val="0"/>
      <w:divBdr>
        <w:top w:val="none" w:sz="0" w:space="0" w:color="auto"/>
        <w:left w:val="none" w:sz="0" w:space="0" w:color="auto"/>
        <w:bottom w:val="none" w:sz="0" w:space="0" w:color="auto"/>
        <w:right w:val="none" w:sz="0" w:space="0" w:color="auto"/>
      </w:divBdr>
    </w:div>
    <w:div w:id="1436555567">
      <w:bodyDiv w:val="1"/>
      <w:marLeft w:val="0"/>
      <w:marRight w:val="0"/>
      <w:marTop w:val="0"/>
      <w:marBottom w:val="0"/>
      <w:divBdr>
        <w:top w:val="none" w:sz="0" w:space="0" w:color="auto"/>
        <w:left w:val="none" w:sz="0" w:space="0" w:color="auto"/>
        <w:bottom w:val="none" w:sz="0" w:space="0" w:color="auto"/>
        <w:right w:val="none" w:sz="0" w:space="0" w:color="auto"/>
      </w:divBdr>
    </w:div>
    <w:div w:id="1436561561">
      <w:bodyDiv w:val="1"/>
      <w:marLeft w:val="0"/>
      <w:marRight w:val="0"/>
      <w:marTop w:val="0"/>
      <w:marBottom w:val="0"/>
      <w:divBdr>
        <w:top w:val="none" w:sz="0" w:space="0" w:color="auto"/>
        <w:left w:val="none" w:sz="0" w:space="0" w:color="auto"/>
        <w:bottom w:val="none" w:sz="0" w:space="0" w:color="auto"/>
        <w:right w:val="none" w:sz="0" w:space="0" w:color="auto"/>
      </w:divBdr>
    </w:div>
    <w:div w:id="1436562610">
      <w:bodyDiv w:val="1"/>
      <w:marLeft w:val="0"/>
      <w:marRight w:val="0"/>
      <w:marTop w:val="0"/>
      <w:marBottom w:val="0"/>
      <w:divBdr>
        <w:top w:val="none" w:sz="0" w:space="0" w:color="auto"/>
        <w:left w:val="none" w:sz="0" w:space="0" w:color="auto"/>
        <w:bottom w:val="none" w:sz="0" w:space="0" w:color="auto"/>
        <w:right w:val="none" w:sz="0" w:space="0" w:color="auto"/>
      </w:divBdr>
    </w:div>
    <w:div w:id="1436635779">
      <w:bodyDiv w:val="1"/>
      <w:marLeft w:val="0"/>
      <w:marRight w:val="0"/>
      <w:marTop w:val="0"/>
      <w:marBottom w:val="0"/>
      <w:divBdr>
        <w:top w:val="none" w:sz="0" w:space="0" w:color="auto"/>
        <w:left w:val="none" w:sz="0" w:space="0" w:color="auto"/>
        <w:bottom w:val="none" w:sz="0" w:space="0" w:color="auto"/>
        <w:right w:val="none" w:sz="0" w:space="0" w:color="auto"/>
      </w:divBdr>
    </w:div>
    <w:div w:id="1436637603">
      <w:bodyDiv w:val="1"/>
      <w:marLeft w:val="0"/>
      <w:marRight w:val="0"/>
      <w:marTop w:val="0"/>
      <w:marBottom w:val="0"/>
      <w:divBdr>
        <w:top w:val="none" w:sz="0" w:space="0" w:color="auto"/>
        <w:left w:val="none" w:sz="0" w:space="0" w:color="auto"/>
        <w:bottom w:val="none" w:sz="0" w:space="0" w:color="auto"/>
        <w:right w:val="none" w:sz="0" w:space="0" w:color="auto"/>
      </w:divBdr>
    </w:div>
    <w:div w:id="1436680333">
      <w:bodyDiv w:val="1"/>
      <w:marLeft w:val="0"/>
      <w:marRight w:val="0"/>
      <w:marTop w:val="0"/>
      <w:marBottom w:val="0"/>
      <w:divBdr>
        <w:top w:val="none" w:sz="0" w:space="0" w:color="auto"/>
        <w:left w:val="none" w:sz="0" w:space="0" w:color="auto"/>
        <w:bottom w:val="none" w:sz="0" w:space="0" w:color="auto"/>
        <w:right w:val="none" w:sz="0" w:space="0" w:color="auto"/>
      </w:divBdr>
    </w:div>
    <w:div w:id="1436708266">
      <w:bodyDiv w:val="1"/>
      <w:marLeft w:val="0"/>
      <w:marRight w:val="0"/>
      <w:marTop w:val="0"/>
      <w:marBottom w:val="0"/>
      <w:divBdr>
        <w:top w:val="none" w:sz="0" w:space="0" w:color="auto"/>
        <w:left w:val="none" w:sz="0" w:space="0" w:color="auto"/>
        <w:bottom w:val="none" w:sz="0" w:space="0" w:color="auto"/>
        <w:right w:val="none" w:sz="0" w:space="0" w:color="auto"/>
      </w:divBdr>
    </w:div>
    <w:div w:id="1436899651">
      <w:bodyDiv w:val="1"/>
      <w:marLeft w:val="0"/>
      <w:marRight w:val="0"/>
      <w:marTop w:val="0"/>
      <w:marBottom w:val="0"/>
      <w:divBdr>
        <w:top w:val="none" w:sz="0" w:space="0" w:color="auto"/>
        <w:left w:val="none" w:sz="0" w:space="0" w:color="auto"/>
        <w:bottom w:val="none" w:sz="0" w:space="0" w:color="auto"/>
        <w:right w:val="none" w:sz="0" w:space="0" w:color="auto"/>
      </w:divBdr>
    </w:div>
    <w:div w:id="1436944857">
      <w:bodyDiv w:val="1"/>
      <w:marLeft w:val="0"/>
      <w:marRight w:val="0"/>
      <w:marTop w:val="0"/>
      <w:marBottom w:val="0"/>
      <w:divBdr>
        <w:top w:val="none" w:sz="0" w:space="0" w:color="auto"/>
        <w:left w:val="none" w:sz="0" w:space="0" w:color="auto"/>
        <w:bottom w:val="none" w:sz="0" w:space="0" w:color="auto"/>
        <w:right w:val="none" w:sz="0" w:space="0" w:color="auto"/>
      </w:divBdr>
    </w:div>
    <w:div w:id="1437018181">
      <w:bodyDiv w:val="1"/>
      <w:marLeft w:val="0"/>
      <w:marRight w:val="0"/>
      <w:marTop w:val="0"/>
      <w:marBottom w:val="0"/>
      <w:divBdr>
        <w:top w:val="none" w:sz="0" w:space="0" w:color="auto"/>
        <w:left w:val="none" w:sz="0" w:space="0" w:color="auto"/>
        <w:bottom w:val="none" w:sz="0" w:space="0" w:color="auto"/>
        <w:right w:val="none" w:sz="0" w:space="0" w:color="auto"/>
      </w:divBdr>
    </w:div>
    <w:div w:id="1437096564">
      <w:bodyDiv w:val="1"/>
      <w:marLeft w:val="0"/>
      <w:marRight w:val="0"/>
      <w:marTop w:val="0"/>
      <w:marBottom w:val="0"/>
      <w:divBdr>
        <w:top w:val="none" w:sz="0" w:space="0" w:color="auto"/>
        <w:left w:val="none" w:sz="0" w:space="0" w:color="auto"/>
        <w:bottom w:val="none" w:sz="0" w:space="0" w:color="auto"/>
        <w:right w:val="none" w:sz="0" w:space="0" w:color="auto"/>
      </w:divBdr>
    </w:div>
    <w:div w:id="1437140172">
      <w:bodyDiv w:val="1"/>
      <w:marLeft w:val="0"/>
      <w:marRight w:val="0"/>
      <w:marTop w:val="0"/>
      <w:marBottom w:val="0"/>
      <w:divBdr>
        <w:top w:val="none" w:sz="0" w:space="0" w:color="auto"/>
        <w:left w:val="none" w:sz="0" w:space="0" w:color="auto"/>
        <w:bottom w:val="none" w:sz="0" w:space="0" w:color="auto"/>
        <w:right w:val="none" w:sz="0" w:space="0" w:color="auto"/>
      </w:divBdr>
    </w:div>
    <w:div w:id="1437406365">
      <w:bodyDiv w:val="1"/>
      <w:marLeft w:val="0"/>
      <w:marRight w:val="0"/>
      <w:marTop w:val="0"/>
      <w:marBottom w:val="0"/>
      <w:divBdr>
        <w:top w:val="none" w:sz="0" w:space="0" w:color="auto"/>
        <w:left w:val="none" w:sz="0" w:space="0" w:color="auto"/>
        <w:bottom w:val="none" w:sz="0" w:space="0" w:color="auto"/>
        <w:right w:val="none" w:sz="0" w:space="0" w:color="auto"/>
      </w:divBdr>
    </w:div>
    <w:div w:id="1437407480">
      <w:bodyDiv w:val="1"/>
      <w:marLeft w:val="0"/>
      <w:marRight w:val="0"/>
      <w:marTop w:val="0"/>
      <w:marBottom w:val="0"/>
      <w:divBdr>
        <w:top w:val="none" w:sz="0" w:space="0" w:color="auto"/>
        <w:left w:val="none" w:sz="0" w:space="0" w:color="auto"/>
        <w:bottom w:val="none" w:sz="0" w:space="0" w:color="auto"/>
        <w:right w:val="none" w:sz="0" w:space="0" w:color="auto"/>
      </w:divBdr>
    </w:div>
    <w:div w:id="1437598572">
      <w:bodyDiv w:val="1"/>
      <w:marLeft w:val="0"/>
      <w:marRight w:val="0"/>
      <w:marTop w:val="0"/>
      <w:marBottom w:val="0"/>
      <w:divBdr>
        <w:top w:val="none" w:sz="0" w:space="0" w:color="auto"/>
        <w:left w:val="none" w:sz="0" w:space="0" w:color="auto"/>
        <w:bottom w:val="none" w:sz="0" w:space="0" w:color="auto"/>
        <w:right w:val="none" w:sz="0" w:space="0" w:color="auto"/>
      </w:divBdr>
    </w:div>
    <w:div w:id="1437749783">
      <w:bodyDiv w:val="1"/>
      <w:marLeft w:val="0"/>
      <w:marRight w:val="0"/>
      <w:marTop w:val="0"/>
      <w:marBottom w:val="0"/>
      <w:divBdr>
        <w:top w:val="none" w:sz="0" w:space="0" w:color="auto"/>
        <w:left w:val="none" w:sz="0" w:space="0" w:color="auto"/>
        <w:bottom w:val="none" w:sz="0" w:space="0" w:color="auto"/>
        <w:right w:val="none" w:sz="0" w:space="0" w:color="auto"/>
      </w:divBdr>
    </w:div>
    <w:div w:id="1437754670">
      <w:bodyDiv w:val="1"/>
      <w:marLeft w:val="0"/>
      <w:marRight w:val="0"/>
      <w:marTop w:val="0"/>
      <w:marBottom w:val="0"/>
      <w:divBdr>
        <w:top w:val="none" w:sz="0" w:space="0" w:color="auto"/>
        <w:left w:val="none" w:sz="0" w:space="0" w:color="auto"/>
        <w:bottom w:val="none" w:sz="0" w:space="0" w:color="auto"/>
        <w:right w:val="none" w:sz="0" w:space="0" w:color="auto"/>
      </w:divBdr>
    </w:div>
    <w:div w:id="1438139084">
      <w:bodyDiv w:val="1"/>
      <w:marLeft w:val="0"/>
      <w:marRight w:val="0"/>
      <w:marTop w:val="0"/>
      <w:marBottom w:val="0"/>
      <w:divBdr>
        <w:top w:val="none" w:sz="0" w:space="0" w:color="auto"/>
        <w:left w:val="none" w:sz="0" w:space="0" w:color="auto"/>
        <w:bottom w:val="none" w:sz="0" w:space="0" w:color="auto"/>
        <w:right w:val="none" w:sz="0" w:space="0" w:color="auto"/>
      </w:divBdr>
    </w:div>
    <w:div w:id="1438210976">
      <w:bodyDiv w:val="1"/>
      <w:marLeft w:val="0"/>
      <w:marRight w:val="0"/>
      <w:marTop w:val="0"/>
      <w:marBottom w:val="0"/>
      <w:divBdr>
        <w:top w:val="none" w:sz="0" w:space="0" w:color="auto"/>
        <w:left w:val="none" w:sz="0" w:space="0" w:color="auto"/>
        <w:bottom w:val="none" w:sz="0" w:space="0" w:color="auto"/>
        <w:right w:val="none" w:sz="0" w:space="0" w:color="auto"/>
      </w:divBdr>
    </w:div>
    <w:div w:id="1438216170">
      <w:bodyDiv w:val="1"/>
      <w:marLeft w:val="0"/>
      <w:marRight w:val="0"/>
      <w:marTop w:val="0"/>
      <w:marBottom w:val="0"/>
      <w:divBdr>
        <w:top w:val="none" w:sz="0" w:space="0" w:color="auto"/>
        <w:left w:val="none" w:sz="0" w:space="0" w:color="auto"/>
        <w:bottom w:val="none" w:sz="0" w:space="0" w:color="auto"/>
        <w:right w:val="none" w:sz="0" w:space="0" w:color="auto"/>
      </w:divBdr>
    </w:div>
    <w:div w:id="1438256758">
      <w:bodyDiv w:val="1"/>
      <w:marLeft w:val="0"/>
      <w:marRight w:val="0"/>
      <w:marTop w:val="0"/>
      <w:marBottom w:val="0"/>
      <w:divBdr>
        <w:top w:val="none" w:sz="0" w:space="0" w:color="auto"/>
        <w:left w:val="none" w:sz="0" w:space="0" w:color="auto"/>
        <w:bottom w:val="none" w:sz="0" w:space="0" w:color="auto"/>
        <w:right w:val="none" w:sz="0" w:space="0" w:color="auto"/>
      </w:divBdr>
    </w:div>
    <w:div w:id="1438333163">
      <w:bodyDiv w:val="1"/>
      <w:marLeft w:val="0"/>
      <w:marRight w:val="0"/>
      <w:marTop w:val="0"/>
      <w:marBottom w:val="0"/>
      <w:divBdr>
        <w:top w:val="none" w:sz="0" w:space="0" w:color="auto"/>
        <w:left w:val="none" w:sz="0" w:space="0" w:color="auto"/>
        <w:bottom w:val="none" w:sz="0" w:space="0" w:color="auto"/>
        <w:right w:val="none" w:sz="0" w:space="0" w:color="auto"/>
      </w:divBdr>
    </w:div>
    <w:div w:id="1438452604">
      <w:bodyDiv w:val="1"/>
      <w:marLeft w:val="0"/>
      <w:marRight w:val="0"/>
      <w:marTop w:val="0"/>
      <w:marBottom w:val="0"/>
      <w:divBdr>
        <w:top w:val="none" w:sz="0" w:space="0" w:color="auto"/>
        <w:left w:val="none" w:sz="0" w:space="0" w:color="auto"/>
        <w:bottom w:val="none" w:sz="0" w:space="0" w:color="auto"/>
        <w:right w:val="none" w:sz="0" w:space="0" w:color="auto"/>
      </w:divBdr>
    </w:div>
    <w:div w:id="1438522926">
      <w:bodyDiv w:val="1"/>
      <w:marLeft w:val="0"/>
      <w:marRight w:val="0"/>
      <w:marTop w:val="0"/>
      <w:marBottom w:val="0"/>
      <w:divBdr>
        <w:top w:val="none" w:sz="0" w:space="0" w:color="auto"/>
        <w:left w:val="none" w:sz="0" w:space="0" w:color="auto"/>
        <w:bottom w:val="none" w:sz="0" w:space="0" w:color="auto"/>
        <w:right w:val="none" w:sz="0" w:space="0" w:color="auto"/>
      </w:divBdr>
    </w:div>
    <w:div w:id="1438715220">
      <w:bodyDiv w:val="1"/>
      <w:marLeft w:val="0"/>
      <w:marRight w:val="0"/>
      <w:marTop w:val="0"/>
      <w:marBottom w:val="0"/>
      <w:divBdr>
        <w:top w:val="none" w:sz="0" w:space="0" w:color="auto"/>
        <w:left w:val="none" w:sz="0" w:space="0" w:color="auto"/>
        <w:bottom w:val="none" w:sz="0" w:space="0" w:color="auto"/>
        <w:right w:val="none" w:sz="0" w:space="0" w:color="auto"/>
      </w:divBdr>
    </w:div>
    <w:div w:id="1438716938">
      <w:bodyDiv w:val="1"/>
      <w:marLeft w:val="0"/>
      <w:marRight w:val="0"/>
      <w:marTop w:val="0"/>
      <w:marBottom w:val="0"/>
      <w:divBdr>
        <w:top w:val="none" w:sz="0" w:space="0" w:color="auto"/>
        <w:left w:val="none" w:sz="0" w:space="0" w:color="auto"/>
        <w:bottom w:val="none" w:sz="0" w:space="0" w:color="auto"/>
        <w:right w:val="none" w:sz="0" w:space="0" w:color="auto"/>
      </w:divBdr>
    </w:div>
    <w:div w:id="1438911479">
      <w:bodyDiv w:val="1"/>
      <w:marLeft w:val="0"/>
      <w:marRight w:val="0"/>
      <w:marTop w:val="0"/>
      <w:marBottom w:val="0"/>
      <w:divBdr>
        <w:top w:val="none" w:sz="0" w:space="0" w:color="auto"/>
        <w:left w:val="none" w:sz="0" w:space="0" w:color="auto"/>
        <w:bottom w:val="none" w:sz="0" w:space="0" w:color="auto"/>
        <w:right w:val="none" w:sz="0" w:space="0" w:color="auto"/>
      </w:divBdr>
    </w:div>
    <w:div w:id="1439062399">
      <w:bodyDiv w:val="1"/>
      <w:marLeft w:val="0"/>
      <w:marRight w:val="0"/>
      <w:marTop w:val="0"/>
      <w:marBottom w:val="0"/>
      <w:divBdr>
        <w:top w:val="none" w:sz="0" w:space="0" w:color="auto"/>
        <w:left w:val="none" w:sz="0" w:space="0" w:color="auto"/>
        <w:bottom w:val="none" w:sz="0" w:space="0" w:color="auto"/>
        <w:right w:val="none" w:sz="0" w:space="0" w:color="auto"/>
      </w:divBdr>
    </w:div>
    <w:div w:id="1439108174">
      <w:bodyDiv w:val="1"/>
      <w:marLeft w:val="0"/>
      <w:marRight w:val="0"/>
      <w:marTop w:val="0"/>
      <w:marBottom w:val="0"/>
      <w:divBdr>
        <w:top w:val="none" w:sz="0" w:space="0" w:color="auto"/>
        <w:left w:val="none" w:sz="0" w:space="0" w:color="auto"/>
        <w:bottom w:val="none" w:sz="0" w:space="0" w:color="auto"/>
        <w:right w:val="none" w:sz="0" w:space="0" w:color="auto"/>
      </w:divBdr>
    </w:div>
    <w:div w:id="1439176675">
      <w:bodyDiv w:val="1"/>
      <w:marLeft w:val="0"/>
      <w:marRight w:val="0"/>
      <w:marTop w:val="0"/>
      <w:marBottom w:val="0"/>
      <w:divBdr>
        <w:top w:val="none" w:sz="0" w:space="0" w:color="auto"/>
        <w:left w:val="none" w:sz="0" w:space="0" w:color="auto"/>
        <w:bottom w:val="none" w:sz="0" w:space="0" w:color="auto"/>
        <w:right w:val="none" w:sz="0" w:space="0" w:color="auto"/>
      </w:divBdr>
    </w:div>
    <w:div w:id="1439177666">
      <w:bodyDiv w:val="1"/>
      <w:marLeft w:val="0"/>
      <w:marRight w:val="0"/>
      <w:marTop w:val="0"/>
      <w:marBottom w:val="0"/>
      <w:divBdr>
        <w:top w:val="none" w:sz="0" w:space="0" w:color="auto"/>
        <w:left w:val="none" w:sz="0" w:space="0" w:color="auto"/>
        <w:bottom w:val="none" w:sz="0" w:space="0" w:color="auto"/>
        <w:right w:val="none" w:sz="0" w:space="0" w:color="auto"/>
      </w:divBdr>
    </w:div>
    <w:div w:id="1439258693">
      <w:bodyDiv w:val="1"/>
      <w:marLeft w:val="0"/>
      <w:marRight w:val="0"/>
      <w:marTop w:val="0"/>
      <w:marBottom w:val="0"/>
      <w:divBdr>
        <w:top w:val="none" w:sz="0" w:space="0" w:color="auto"/>
        <w:left w:val="none" w:sz="0" w:space="0" w:color="auto"/>
        <w:bottom w:val="none" w:sz="0" w:space="0" w:color="auto"/>
        <w:right w:val="none" w:sz="0" w:space="0" w:color="auto"/>
      </w:divBdr>
    </w:div>
    <w:div w:id="1439372385">
      <w:bodyDiv w:val="1"/>
      <w:marLeft w:val="0"/>
      <w:marRight w:val="0"/>
      <w:marTop w:val="0"/>
      <w:marBottom w:val="0"/>
      <w:divBdr>
        <w:top w:val="none" w:sz="0" w:space="0" w:color="auto"/>
        <w:left w:val="none" w:sz="0" w:space="0" w:color="auto"/>
        <w:bottom w:val="none" w:sz="0" w:space="0" w:color="auto"/>
        <w:right w:val="none" w:sz="0" w:space="0" w:color="auto"/>
      </w:divBdr>
    </w:div>
    <w:div w:id="1439450383">
      <w:bodyDiv w:val="1"/>
      <w:marLeft w:val="0"/>
      <w:marRight w:val="0"/>
      <w:marTop w:val="0"/>
      <w:marBottom w:val="0"/>
      <w:divBdr>
        <w:top w:val="none" w:sz="0" w:space="0" w:color="auto"/>
        <w:left w:val="none" w:sz="0" w:space="0" w:color="auto"/>
        <w:bottom w:val="none" w:sz="0" w:space="0" w:color="auto"/>
        <w:right w:val="none" w:sz="0" w:space="0" w:color="auto"/>
      </w:divBdr>
    </w:div>
    <w:div w:id="1439520855">
      <w:bodyDiv w:val="1"/>
      <w:marLeft w:val="0"/>
      <w:marRight w:val="0"/>
      <w:marTop w:val="0"/>
      <w:marBottom w:val="0"/>
      <w:divBdr>
        <w:top w:val="none" w:sz="0" w:space="0" w:color="auto"/>
        <w:left w:val="none" w:sz="0" w:space="0" w:color="auto"/>
        <w:bottom w:val="none" w:sz="0" w:space="0" w:color="auto"/>
        <w:right w:val="none" w:sz="0" w:space="0" w:color="auto"/>
      </w:divBdr>
    </w:div>
    <w:div w:id="1439525671">
      <w:bodyDiv w:val="1"/>
      <w:marLeft w:val="0"/>
      <w:marRight w:val="0"/>
      <w:marTop w:val="0"/>
      <w:marBottom w:val="0"/>
      <w:divBdr>
        <w:top w:val="none" w:sz="0" w:space="0" w:color="auto"/>
        <w:left w:val="none" w:sz="0" w:space="0" w:color="auto"/>
        <w:bottom w:val="none" w:sz="0" w:space="0" w:color="auto"/>
        <w:right w:val="none" w:sz="0" w:space="0" w:color="auto"/>
      </w:divBdr>
    </w:div>
    <w:div w:id="1439525859">
      <w:bodyDiv w:val="1"/>
      <w:marLeft w:val="0"/>
      <w:marRight w:val="0"/>
      <w:marTop w:val="0"/>
      <w:marBottom w:val="0"/>
      <w:divBdr>
        <w:top w:val="none" w:sz="0" w:space="0" w:color="auto"/>
        <w:left w:val="none" w:sz="0" w:space="0" w:color="auto"/>
        <w:bottom w:val="none" w:sz="0" w:space="0" w:color="auto"/>
        <w:right w:val="none" w:sz="0" w:space="0" w:color="auto"/>
      </w:divBdr>
    </w:div>
    <w:div w:id="1439594688">
      <w:bodyDiv w:val="1"/>
      <w:marLeft w:val="0"/>
      <w:marRight w:val="0"/>
      <w:marTop w:val="0"/>
      <w:marBottom w:val="0"/>
      <w:divBdr>
        <w:top w:val="none" w:sz="0" w:space="0" w:color="auto"/>
        <w:left w:val="none" w:sz="0" w:space="0" w:color="auto"/>
        <w:bottom w:val="none" w:sz="0" w:space="0" w:color="auto"/>
        <w:right w:val="none" w:sz="0" w:space="0" w:color="auto"/>
      </w:divBdr>
    </w:div>
    <w:div w:id="1439638200">
      <w:bodyDiv w:val="1"/>
      <w:marLeft w:val="0"/>
      <w:marRight w:val="0"/>
      <w:marTop w:val="0"/>
      <w:marBottom w:val="0"/>
      <w:divBdr>
        <w:top w:val="none" w:sz="0" w:space="0" w:color="auto"/>
        <w:left w:val="none" w:sz="0" w:space="0" w:color="auto"/>
        <w:bottom w:val="none" w:sz="0" w:space="0" w:color="auto"/>
        <w:right w:val="none" w:sz="0" w:space="0" w:color="auto"/>
      </w:divBdr>
    </w:div>
    <w:div w:id="1439839097">
      <w:bodyDiv w:val="1"/>
      <w:marLeft w:val="0"/>
      <w:marRight w:val="0"/>
      <w:marTop w:val="0"/>
      <w:marBottom w:val="0"/>
      <w:divBdr>
        <w:top w:val="none" w:sz="0" w:space="0" w:color="auto"/>
        <w:left w:val="none" w:sz="0" w:space="0" w:color="auto"/>
        <w:bottom w:val="none" w:sz="0" w:space="0" w:color="auto"/>
        <w:right w:val="none" w:sz="0" w:space="0" w:color="auto"/>
      </w:divBdr>
    </w:div>
    <w:div w:id="1439914057">
      <w:bodyDiv w:val="1"/>
      <w:marLeft w:val="0"/>
      <w:marRight w:val="0"/>
      <w:marTop w:val="0"/>
      <w:marBottom w:val="0"/>
      <w:divBdr>
        <w:top w:val="none" w:sz="0" w:space="0" w:color="auto"/>
        <w:left w:val="none" w:sz="0" w:space="0" w:color="auto"/>
        <w:bottom w:val="none" w:sz="0" w:space="0" w:color="auto"/>
        <w:right w:val="none" w:sz="0" w:space="0" w:color="auto"/>
      </w:divBdr>
    </w:div>
    <w:div w:id="1440031422">
      <w:bodyDiv w:val="1"/>
      <w:marLeft w:val="0"/>
      <w:marRight w:val="0"/>
      <w:marTop w:val="0"/>
      <w:marBottom w:val="0"/>
      <w:divBdr>
        <w:top w:val="none" w:sz="0" w:space="0" w:color="auto"/>
        <w:left w:val="none" w:sz="0" w:space="0" w:color="auto"/>
        <w:bottom w:val="none" w:sz="0" w:space="0" w:color="auto"/>
        <w:right w:val="none" w:sz="0" w:space="0" w:color="auto"/>
      </w:divBdr>
    </w:div>
    <w:div w:id="1440219557">
      <w:bodyDiv w:val="1"/>
      <w:marLeft w:val="0"/>
      <w:marRight w:val="0"/>
      <w:marTop w:val="0"/>
      <w:marBottom w:val="0"/>
      <w:divBdr>
        <w:top w:val="none" w:sz="0" w:space="0" w:color="auto"/>
        <w:left w:val="none" w:sz="0" w:space="0" w:color="auto"/>
        <w:bottom w:val="none" w:sz="0" w:space="0" w:color="auto"/>
        <w:right w:val="none" w:sz="0" w:space="0" w:color="auto"/>
      </w:divBdr>
    </w:div>
    <w:div w:id="1440298153">
      <w:bodyDiv w:val="1"/>
      <w:marLeft w:val="0"/>
      <w:marRight w:val="0"/>
      <w:marTop w:val="0"/>
      <w:marBottom w:val="0"/>
      <w:divBdr>
        <w:top w:val="none" w:sz="0" w:space="0" w:color="auto"/>
        <w:left w:val="none" w:sz="0" w:space="0" w:color="auto"/>
        <w:bottom w:val="none" w:sz="0" w:space="0" w:color="auto"/>
        <w:right w:val="none" w:sz="0" w:space="0" w:color="auto"/>
      </w:divBdr>
    </w:div>
    <w:div w:id="1440370011">
      <w:bodyDiv w:val="1"/>
      <w:marLeft w:val="0"/>
      <w:marRight w:val="0"/>
      <w:marTop w:val="0"/>
      <w:marBottom w:val="0"/>
      <w:divBdr>
        <w:top w:val="none" w:sz="0" w:space="0" w:color="auto"/>
        <w:left w:val="none" w:sz="0" w:space="0" w:color="auto"/>
        <w:bottom w:val="none" w:sz="0" w:space="0" w:color="auto"/>
        <w:right w:val="none" w:sz="0" w:space="0" w:color="auto"/>
      </w:divBdr>
    </w:div>
    <w:div w:id="1440418133">
      <w:bodyDiv w:val="1"/>
      <w:marLeft w:val="0"/>
      <w:marRight w:val="0"/>
      <w:marTop w:val="0"/>
      <w:marBottom w:val="0"/>
      <w:divBdr>
        <w:top w:val="none" w:sz="0" w:space="0" w:color="auto"/>
        <w:left w:val="none" w:sz="0" w:space="0" w:color="auto"/>
        <w:bottom w:val="none" w:sz="0" w:space="0" w:color="auto"/>
        <w:right w:val="none" w:sz="0" w:space="0" w:color="auto"/>
      </w:divBdr>
    </w:div>
    <w:div w:id="1440418397">
      <w:bodyDiv w:val="1"/>
      <w:marLeft w:val="0"/>
      <w:marRight w:val="0"/>
      <w:marTop w:val="0"/>
      <w:marBottom w:val="0"/>
      <w:divBdr>
        <w:top w:val="none" w:sz="0" w:space="0" w:color="auto"/>
        <w:left w:val="none" w:sz="0" w:space="0" w:color="auto"/>
        <w:bottom w:val="none" w:sz="0" w:space="0" w:color="auto"/>
        <w:right w:val="none" w:sz="0" w:space="0" w:color="auto"/>
      </w:divBdr>
    </w:div>
    <w:div w:id="1440445064">
      <w:bodyDiv w:val="1"/>
      <w:marLeft w:val="0"/>
      <w:marRight w:val="0"/>
      <w:marTop w:val="0"/>
      <w:marBottom w:val="0"/>
      <w:divBdr>
        <w:top w:val="none" w:sz="0" w:space="0" w:color="auto"/>
        <w:left w:val="none" w:sz="0" w:space="0" w:color="auto"/>
        <w:bottom w:val="none" w:sz="0" w:space="0" w:color="auto"/>
        <w:right w:val="none" w:sz="0" w:space="0" w:color="auto"/>
      </w:divBdr>
    </w:div>
    <w:div w:id="1440485991">
      <w:bodyDiv w:val="1"/>
      <w:marLeft w:val="0"/>
      <w:marRight w:val="0"/>
      <w:marTop w:val="0"/>
      <w:marBottom w:val="0"/>
      <w:divBdr>
        <w:top w:val="none" w:sz="0" w:space="0" w:color="auto"/>
        <w:left w:val="none" w:sz="0" w:space="0" w:color="auto"/>
        <w:bottom w:val="none" w:sz="0" w:space="0" w:color="auto"/>
        <w:right w:val="none" w:sz="0" w:space="0" w:color="auto"/>
      </w:divBdr>
    </w:div>
    <w:div w:id="144063932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05631">
      <w:bodyDiv w:val="1"/>
      <w:marLeft w:val="0"/>
      <w:marRight w:val="0"/>
      <w:marTop w:val="0"/>
      <w:marBottom w:val="0"/>
      <w:divBdr>
        <w:top w:val="none" w:sz="0" w:space="0" w:color="auto"/>
        <w:left w:val="none" w:sz="0" w:space="0" w:color="auto"/>
        <w:bottom w:val="none" w:sz="0" w:space="0" w:color="auto"/>
        <w:right w:val="none" w:sz="0" w:space="0" w:color="auto"/>
      </w:divBdr>
    </w:div>
    <w:div w:id="1440952122">
      <w:bodyDiv w:val="1"/>
      <w:marLeft w:val="0"/>
      <w:marRight w:val="0"/>
      <w:marTop w:val="0"/>
      <w:marBottom w:val="0"/>
      <w:divBdr>
        <w:top w:val="none" w:sz="0" w:space="0" w:color="auto"/>
        <w:left w:val="none" w:sz="0" w:space="0" w:color="auto"/>
        <w:bottom w:val="none" w:sz="0" w:space="0" w:color="auto"/>
        <w:right w:val="none" w:sz="0" w:space="0" w:color="auto"/>
      </w:divBdr>
    </w:div>
    <w:div w:id="1441101746">
      <w:bodyDiv w:val="1"/>
      <w:marLeft w:val="0"/>
      <w:marRight w:val="0"/>
      <w:marTop w:val="0"/>
      <w:marBottom w:val="0"/>
      <w:divBdr>
        <w:top w:val="none" w:sz="0" w:space="0" w:color="auto"/>
        <w:left w:val="none" w:sz="0" w:space="0" w:color="auto"/>
        <w:bottom w:val="none" w:sz="0" w:space="0" w:color="auto"/>
        <w:right w:val="none" w:sz="0" w:space="0" w:color="auto"/>
      </w:divBdr>
    </w:div>
    <w:div w:id="1441215803">
      <w:bodyDiv w:val="1"/>
      <w:marLeft w:val="0"/>
      <w:marRight w:val="0"/>
      <w:marTop w:val="0"/>
      <w:marBottom w:val="0"/>
      <w:divBdr>
        <w:top w:val="none" w:sz="0" w:space="0" w:color="auto"/>
        <w:left w:val="none" w:sz="0" w:space="0" w:color="auto"/>
        <w:bottom w:val="none" w:sz="0" w:space="0" w:color="auto"/>
        <w:right w:val="none" w:sz="0" w:space="0" w:color="auto"/>
      </w:divBdr>
    </w:div>
    <w:div w:id="1441219917">
      <w:bodyDiv w:val="1"/>
      <w:marLeft w:val="0"/>
      <w:marRight w:val="0"/>
      <w:marTop w:val="0"/>
      <w:marBottom w:val="0"/>
      <w:divBdr>
        <w:top w:val="none" w:sz="0" w:space="0" w:color="auto"/>
        <w:left w:val="none" w:sz="0" w:space="0" w:color="auto"/>
        <w:bottom w:val="none" w:sz="0" w:space="0" w:color="auto"/>
        <w:right w:val="none" w:sz="0" w:space="0" w:color="auto"/>
      </w:divBdr>
    </w:div>
    <w:div w:id="1441224335">
      <w:bodyDiv w:val="1"/>
      <w:marLeft w:val="0"/>
      <w:marRight w:val="0"/>
      <w:marTop w:val="0"/>
      <w:marBottom w:val="0"/>
      <w:divBdr>
        <w:top w:val="none" w:sz="0" w:space="0" w:color="auto"/>
        <w:left w:val="none" w:sz="0" w:space="0" w:color="auto"/>
        <w:bottom w:val="none" w:sz="0" w:space="0" w:color="auto"/>
        <w:right w:val="none" w:sz="0" w:space="0" w:color="auto"/>
      </w:divBdr>
    </w:div>
    <w:div w:id="1441336297">
      <w:bodyDiv w:val="1"/>
      <w:marLeft w:val="0"/>
      <w:marRight w:val="0"/>
      <w:marTop w:val="0"/>
      <w:marBottom w:val="0"/>
      <w:divBdr>
        <w:top w:val="none" w:sz="0" w:space="0" w:color="auto"/>
        <w:left w:val="none" w:sz="0" w:space="0" w:color="auto"/>
        <w:bottom w:val="none" w:sz="0" w:space="0" w:color="auto"/>
        <w:right w:val="none" w:sz="0" w:space="0" w:color="auto"/>
      </w:divBdr>
    </w:div>
    <w:div w:id="1441409988">
      <w:bodyDiv w:val="1"/>
      <w:marLeft w:val="0"/>
      <w:marRight w:val="0"/>
      <w:marTop w:val="0"/>
      <w:marBottom w:val="0"/>
      <w:divBdr>
        <w:top w:val="none" w:sz="0" w:space="0" w:color="auto"/>
        <w:left w:val="none" w:sz="0" w:space="0" w:color="auto"/>
        <w:bottom w:val="none" w:sz="0" w:space="0" w:color="auto"/>
        <w:right w:val="none" w:sz="0" w:space="0" w:color="auto"/>
      </w:divBdr>
    </w:div>
    <w:div w:id="1441417809">
      <w:bodyDiv w:val="1"/>
      <w:marLeft w:val="0"/>
      <w:marRight w:val="0"/>
      <w:marTop w:val="0"/>
      <w:marBottom w:val="0"/>
      <w:divBdr>
        <w:top w:val="none" w:sz="0" w:space="0" w:color="auto"/>
        <w:left w:val="none" w:sz="0" w:space="0" w:color="auto"/>
        <w:bottom w:val="none" w:sz="0" w:space="0" w:color="auto"/>
        <w:right w:val="none" w:sz="0" w:space="0" w:color="auto"/>
      </w:divBdr>
    </w:div>
    <w:div w:id="1441560405">
      <w:bodyDiv w:val="1"/>
      <w:marLeft w:val="0"/>
      <w:marRight w:val="0"/>
      <w:marTop w:val="0"/>
      <w:marBottom w:val="0"/>
      <w:divBdr>
        <w:top w:val="none" w:sz="0" w:space="0" w:color="auto"/>
        <w:left w:val="none" w:sz="0" w:space="0" w:color="auto"/>
        <w:bottom w:val="none" w:sz="0" w:space="0" w:color="auto"/>
        <w:right w:val="none" w:sz="0" w:space="0" w:color="auto"/>
      </w:divBdr>
    </w:div>
    <w:div w:id="1441606859">
      <w:bodyDiv w:val="1"/>
      <w:marLeft w:val="0"/>
      <w:marRight w:val="0"/>
      <w:marTop w:val="0"/>
      <w:marBottom w:val="0"/>
      <w:divBdr>
        <w:top w:val="none" w:sz="0" w:space="0" w:color="auto"/>
        <w:left w:val="none" w:sz="0" w:space="0" w:color="auto"/>
        <w:bottom w:val="none" w:sz="0" w:space="0" w:color="auto"/>
        <w:right w:val="none" w:sz="0" w:space="0" w:color="auto"/>
      </w:divBdr>
    </w:div>
    <w:div w:id="1441608368">
      <w:bodyDiv w:val="1"/>
      <w:marLeft w:val="0"/>
      <w:marRight w:val="0"/>
      <w:marTop w:val="0"/>
      <w:marBottom w:val="0"/>
      <w:divBdr>
        <w:top w:val="none" w:sz="0" w:space="0" w:color="auto"/>
        <w:left w:val="none" w:sz="0" w:space="0" w:color="auto"/>
        <w:bottom w:val="none" w:sz="0" w:space="0" w:color="auto"/>
        <w:right w:val="none" w:sz="0" w:space="0" w:color="auto"/>
      </w:divBdr>
    </w:div>
    <w:div w:id="1441610139">
      <w:bodyDiv w:val="1"/>
      <w:marLeft w:val="0"/>
      <w:marRight w:val="0"/>
      <w:marTop w:val="0"/>
      <w:marBottom w:val="0"/>
      <w:divBdr>
        <w:top w:val="none" w:sz="0" w:space="0" w:color="auto"/>
        <w:left w:val="none" w:sz="0" w:space="0" w:color="auto"/>
        <w:bottom w:val="none" w:sz="0" w:space="0" w:color="auto"/>
        <w:right w:val="none" w:sz="0" w:space="0" w:color="auto"/>
      </w:divBdr>
    </w:div>
    <w:div w:id="1441870724">
      <w:bodyDiv w:val="1"/>
      <w:marLeft w:val="0"/>
      <w:marRight w:val="0"/>
      <w:marTop w:val="0"/>
      <w:marBottom w:val="0"/>
      <w:divBdr>
        <w:top w:val="none" w:sz="0" w:space="0" w:color="auto"/>
        <w:left w:val="none" w:sz="0" w:space="0" w:color="auto"/>
        <w:bottom w:val="none" w:sz="0" w:space="0" w:color="auto"/>
        <w:right w:val="none" w:sz="0" w:space="0" w:color="auto"/>
      </w:divBdr>
    </w:div>
    <w:div w:id="1441873308">
      <w:bodyDiv w:val="1"/>
      <w:marLeft w:val="0"/>
      <w:marRight w:val="0"/>
      <w:marTop w:val="0"/>
      <w:marBottom w:val="0"/>
      <w:divBdr>
        <w:top w:val="none" w:sz="0" w:space="0" w:color="auto"/>
        <w:left w:val="none" w:sz="0" w:space="0" w:color="auto"/>
        <w:bottom w:val="none" w:sz="0" w:space="0" w:color="auto"/>
        <w:right w:val="none" w:sz="0" w:space="0" w:color="auto"/>
      </w:divBdr>
    </w:div>
    <w:div w:id="1441952457">
      <w:bodyDiv w:val="1"/>
      <w:marLeft w:val="0"/>
      <w:marRight w:val="0"/>
      <w:marTop w:val="0"/>
      <w:marBottom w:val="0"/>
      <w:divBdr>
        <w:top w:val="none" w:sz="0" w:space="0" w:color="auto"/>
        <w:left w:val="none" w:sz="0" w:space="0" w:color="auto"/>
        <w:bottom w:val="none" w:sz="0" w:space="0" w:color="auto"/>
        <w:right w:val="none" w:sz="0" w:space="0" w:color="auto"/>
      </w:divBdr>
    </w:div>
    <w:div w:id="1442072922">
      <w:bodyDiv w:val="1"/>
      <w:marLeft w:val="0"/>
      <w:marRight w:val="0"/>
      <w:marTop w:val="0"/>
      <w:marBottom w:val="0"/>
      <w:divBdr>
        <w:top w:val="none" w:sz="0" w:space="0" w:color="auto"/>
        <w:left w:val="none" w:sz="0" w:space="0" w:color="auto"/>
        <w:bottom w:val="none" w:sz="0" w:space="0" w:color="auto"/>
        <w:right w:val="none" w:sz="0" w:space="0" w:color="auto"/>
      </w:divBdr>
    </w:div>
    <w:div w:id="1442141500">
      <w:bodyDiv w:val="1"/>
      <w:marLeft w:val="0"/>
      <w:marRight w:val="0"/>
      <w:marTop w:val="0"/>
      <w:marBottom w:val="0"/>
      <w:divBdr>
        <w:top w:val="none" w:sz="0" w:space="0" w:color="auto"/>
        <w:left w:val="none" w:sz="0" w:space="0" w:color="auto"/>
        <w:bottom w:val="none" w:sz="0" w:space="0" w:color="auto"/>
        <w:right w:val="none" w:sz="0" w:space="0" w:color="auto"/>
      </w:divBdr>
    </w:div>
    <w:div w:id="1442186503">
      <w:bodyDiv w:val="1"/>
      <w:marLeft w:val="0"/>
      <w:marRight w:val="0"/>
      <w:marTop w:val="0"/>
      <w:marBottom w:val="0"/>
      <w:divBdr>
        <w:top w:val="none" w:sz="0" w:space="0" w:color="auto"/>
        <w:left w:val="none" w:sz="0" w:space="0" w:color="auto"/>
        <w:bottom w:val="none" w:sz="0" w:space="0" w:color="auto"/>
        <w:right w:val="none" w:sz="0" w:space="0" w:color="auto"/>
      </w:divBdr>
    </w:div>
    <w:div w:id="1442189545">
      <w:bodyDiv w:val="1"/>
      <w:marLeft w:val="0"/>
      <w:marRight w:val="0"/>
      <w:marTop w:val="0"/>
      <w:marBottom w:val="0"/>
      <w:divBdr>
        <w:top w:val="none" w:sz="0" w:space="0" w:color="auto"/>
        <w:left w:val="none" w:sz="0" w:space="0" w:color="auto"/>
        <w:bottom w:val="none" w:sz="0" w:space="0" w:color="auto"/>
        <w:right w:val="none" w:sz="0" w:space="0" w:color="auto"/>
      </w:divBdr>
    </w:div>
    <w:div w:id="1442190268">
      <w:bodyDiv w:val="1"/>
      <w:marLeft w:val="0"/>
      <w:marRight w:val="0"/>
      <w:marTop w:val="0"/>
      <w:marBottom w:val="0"/>
      <w:divBdr>
        <w:top w:val="none" w:sz="0" w:space="0" w:color="auto"/>
        <w:left w:val="none" w:sz="0" w:space="0" w:color="auto"/>
        <w:bottom w:val="none" w:sz="0" w:space="0" w:color="auto"/>
        <w:right w:val="none" w:sz="0" w:space="0" w:color="auto"/>
      </w:divBdr>
    </w:div>
    <w:div w:id="1442259604">
      <w:bodyDiv w:val="1"/>
      <w:marLeft w:val="0"/>
      <w:marRight w:val="0"/>
      <w:marTop w:val="0"/>
      <w:marBottom w:val="0"/>
      <w:divBdr>
        <w:top w:val="none" w:sz="0" w:space="0" w:color="auto"/>
        <w:left w:val="none" w:sz="0" w:space="0" w:color="auto"/>
        <w:bottom w:val="none" w:sz="0" w:space="0" w:color="auto"/>
        <w:right w:val="none" w:sz="0" w:space="0" w:color="auto"/>
      </w:divBdr>
    </w:div>
    <w:div w:id="1442453378">
      <w:bodyDiv w:val="1"/>
      <w:marLeft w:val="0"/>
      <w:marRight w:val="0"/>
      <w:marTop w:val="0"/>
      <w:marBottom w:val="0"/>
      <w:divBdr>
        <w:top w:val="none" w:sz="0" w:space="0" w:color="auto"/>
        <w:left w:val="none" w:sz="0" w:space="0" w:color="auto"/>
        <w:bottom w:val="none" w:sz="0" w:space="0" w:color="auto"/>
        <w:right w:val="none" w:sz="0" w:space="0" w:color="auto"/>
      </w:divBdr>
    </w:div>
    <w:div w:id="1442534629">
      <w:bodyDiv w:val="1"/>
      <w:marLeft w:val="0"/>
      <w:marRight w:val="0"/>
      <w:marTop w:val="0"/>
      <w:marBottom w:val="0"/>
      <w:divBdr>
        <w:top w:val="none" w:sz="0" w:space="0" w:color="auto"/>
        <w:left w:val="none" w:sz="0" w:space="0" w:color="auto"/>
        <w:bottom w:val="none" w:sz="0" w:space="0" w:color="auto"/>
        <w:right w:val="none" w:sz="0" w:space="0" w:color="auto"/>
      </w:divBdr>
    </w:div>
    <w:div w:id="1442726883">
      <w:bodyDiv w:val="1"/>
      <w:marLeft w:val="0"/>
      <w:marRight w:val="0"/>
      <w:marTop w:val="0"/>
      <w:marBottom w:val="0"/>
      <w:divBdr>
        <w:top w:val="none" w:sz="0" w:space="0" w:color="auto"/>
        <w:left w:val="none" w:sz="0" w:space="0" w:color="auto"/>
        <w:bottom w:val="none" w:sz="0" w:space="0" w:color="auto"/>
        <w:right w:val="none" w:sz="0" w:space="0" w:color="auto"/>
      </w:divBdr>
    </w:div>
    <w:div w:id="1442800418">
      <w:bodyDiv w:val="1"/>
      <w:marLeft w:val="0"/>
      <w:marRight w:val="0"/>
      <w:marTop w:val="0"/>
      <w:marBottom w:val="0"/>
      <w:divBdr>
        <w:top w:val="none" w:sz="0" w:space="0" w:color="auto"/>
        <w:left w:val="none" w:sz="0" w:space="0" w:color="auto"/>
        <w:bottom w:val="none" w:sz="0" w:space="0" w:color="auto"/>
        <w:right w:val="none" w:sz="0" w:space="0" w:color="auto"/>
      </w:divBdr>
    </w:div>
    <w:div w:id="1442872789">
      <w:bodyDiv w:val="1"/>
      <w:marLeft w:val="0"/>
      <w:marRight w:val="0"/>
      <w:marTop w:val="0"/>
      <w:marBottom w:val="0"/>
      <w:divBdr>
        <w:top w:val="none" w:sz="0" w:space="0" w:color="auto"/>
        <w:left w:val="none" w:sz="0" w:space="0" w:color="auto"/>
        <w:bottom w:val="none" w:sz="0" w:space="0" w:color="auto"/>
        <w:right w:val="none" w:sz="0" w:space="0" w:color="auto"/>
      </w:divBdr>
    </w:div>
    <w:div w:id="1442914534">
      <w:bodyDiv w:val="1"/>
      <w:marLeft w:val="0"/>
      <w:marRight w:val="0"/>
      <w:marTop w:val="0"/>
      <w:marBottom w:val="0"/>
      <w:divBdr>
        <w:top w:val="none" w:sz="0" w:space="0" w:color="auto"/>
        <w:left w:val="none" w:sz="0" w:space="0" w:color="auto"/>
        <w:bottom w:val="none" w:sz="0" w:space="0" w:color="auto"/>
        <w:right w:val="none" w:sz="0" w:space="0" w:color="auto"/>
      </w:divBdr>
    </w:div>
    <w:div w:id="1443186472">
      <w:bodyDiv w:val="1"/>
      <w:marLeft w:val="0"/>
      <w:marRight w:val="0"/>
      <w:marTop w:val="0"/>
      <w:marBottom w:val="0"/>
      <w:divBdr>
        <w:top w:val="none" w:sz="0" w:space="0" w:color="auto"/>
        <w:left w:val="none" w:sz="0" w:space="0" w:color="auto"/>
        <w:bottom w:val="none" w:sz="0" w:space="0" w:color="auto"/>
        <w:right w:val="none" w:sz="0" w:space="0" w:color="auto"/>
      </w:divBdr>
    </w:div>
    <w:div w:id="1443188944">
      <w:bodyDiv w:val="1"/>
      <w:marLeft w:val="0"/>
      <w:marRight w:val="0"/>
      <w:marTop w:val="0"/>
      <w:marBottom w:val="0"/>
      <w:divBdr>
        <w:top w:val="none" w:sz="0" w:space="0" w:color="auto"/>
        <w:left w:val="none" w:sz="0" w:space="0" w:color="auto"/>
        <w:bottom w:val="none" w:sz="0" w:space="0" w:color="auto"/>
        <w:right w:val="none" w:sz="0" w:space="0" w:color="auto"/>
      </w:divBdr>
    </w:div>
    <w:div w:id="1443261475">
      <w:bodyDiv w:val="1"/>
      <w:marLeft w:val="0"/>
      <w:marRight w:val="0"/>
      <w:marTop w:val="0"/>
      <w:marBottom w:val="0"/>
      <w:divBdr>
        <w:top w:val="none" w:sz="0" w:space="0" w:color="auto"/>
        <w:left w:val="none" w:sz="0" w:space="0" w:color="auto"/>
        <w:bottom w:val="none" w:sz="0" w:space="0" w:color="auto"/>
        <w:right w:val="none" w:sz="0" w:space="0" w:color="auto"/>
      </w:divBdr>
    </w:div>
    <w:div w:id="1443378341">
      <w:bodyDiv w:val="1"/>
      <w:marLeft w:val="0"/>
      <w:marRight w:val="0"/>
      <w:marTop w:val="0"/>
      <w:marBottom w:val="0"/>
      <w:divBdr>
        <w:top w:val="none" w:sz="0" w:space="0" w:color="auto"/>
        <w:left w:val="none" w:sz="0" w:space="0" w:color="auto"/>
        <w:bottom w:val="none" w:sz="0" w:space="0" w:color="auto"/>
        <w:right w:val="none" w:sz="0" w:space="0" w:color="auto"/>
      </w:divBdr>
    </w:div>
    <w:div w:id="1443458129">
      <w:bodyDiv w:val="1"/>
      <w:marLeft w:val="0"/>
      <w:marRight w:val="0"/>
      <w:marTop w:val="0"/>
      <w:marBottom w:val="0"/>
      <w:divBdr>
        <w:top w:val="none" w:sz="0" w:space="0" w:color="auto"/>
        <w:left w:val="none" w:sz="0" w:space="0" w:color="auto"/>
        <w:bottom w:val="none" w:sz="0" w:space="0" w:color="auto"/>
        <w:right w:val="none" w:sz="0" w:space="0" w:color="auto"/>
      </w:divBdr>
    </w:div>
    <w:div w:id="1443499354">
      <w:bodyDiv w:val="1"/>
      <w:marLeft w:val="0"/>
      <w:marRight w:val="0"/>
      <w:marTop w:val="0"/>
      <w:marBottom w:val="0"/>
      <w:divBdr>
        <w:top w:val="none" w:sz="0" w:space="0" w:color="auto"/>
        <w:left w:val="none" w:sz="0" w:space="0" w:color="auto"/>
        <w:bottom w:val="none" w:sz="0" w:space="0" w:color="auto"/>
        <w:right w:val="none" w:sz="0" w:space="0" w:color="auto"/>
      </w:divBdr>
    </w:div>
    <w:div w:id="1443527759">
      <w:bodyDiv w:val="1"/>
      <w:marLeft w:val="0"/>
      <w:marRight w:val="0"/>
      <w:marTop w:val="0"/>
      <w:marBottom w:val="0"/>
      <w:divBdr>
        <w:top w:val="none" w:sz="0" w:space="0" w:color="auto"/>
        <w:left w:val="none" w:sz="0" w:space="0" w:color="auto"/>
        <w:bottom w:val="none" w:sz="0" w:space="0" w:color="auto"/>
        <w:right w:val="none" w:sz="0" w:space="0" w:color="auto"/>
      </w:divBdr>
    </w:div>
    <w:div w:id="1443650579">
      <w:bodyDiv w:val="1"/>
      <w:marLeft w:val="0"/>
      <w:marRight w:val="0"/>
      <w:marTop w:val="0"/>
      <w:marBottom w:val="0"/>
      <w:divBdr>
        <w:top w:val="none" w:sz="0" w:space="0" w:color="auto"/>
        <w:left w:val="none" w:sz="0" w:space="0" w:color="auto"/>
        <w:bottom w:val="none" w:sz="0" w:space="0" w:color="auto"/>
        <w:right w:val="none" w:sz="0" w:space="0" w:color="auto"/>
      </w:divBdr>
    </w:div>
    <w:div w:id="1444152631">
      <w:bodyDiv w:val="1"/>
      <w:marLeft w:val="0"/>
      <w:marRight w:val="0"/>
      <w:marTop w:val="0"/>
      <w:marBottom w:val="0"/>
      <w:divBdr>
        <w:top w:val="none" w:sz="0" w:space="0" w:color="auto"/>
        <w:left w:val="none" w:sz="0" w:space="0" w:color="auto"/>
        <w:bottom w:val="none" w:sz="0" w:space="0" w:color="auto"/>
        <w:right w:val="none" w:sz="0" w:space="0" w:color="auto"/>
      </w:divBdr>
    </w:div>
    <w:div w:id="1444226812">
      <w:bodyDiv w:val="1"/>
      <w:marLeft w:val="0"/>
      <w:marRight w:val="0"/>
      <w:marTop w:val="0"/>
      <w:marBottom w:val="0"/>
      <w:divBdr>
        <w:top w:val="none" w:sz="0" w:space="0" w:color="auto"/>
        <w:left w:val="none" w:sz="0" w:space="0" w:color="auto"/>
        <w:bottom w:val="none" w:sz="0" w:space="0" w:color="auto"/>
        <w:right w:val="none" w:sz="0" w:space="0" w:color="auto"/>
      </w:divBdr>
    </w:div>
    <w:div w:id="1444301723">
      <w:bodyDiv w:val="1"/>
      <w:marLeft w:val="0"/>
      <w:marRight w:val="0"/>
      <w:marTop w:val="0"/>
      <w:marBottom w:val="0"/>
      <w:divBdr>
        <w:top w:val="none" w:sz="0" w:space="0" w:color="auto"/>
        <w:left w:val="none" w:sz="0" w:space="0" w:color="auto"/>
        <w:bottom w:val="none" w:sz="0" w:space="0" w:color="auto"/>
        <w:right w:val="none" w:sz="0" w:space="0" w:color="auto"/>
      </w:divBdr>
    </w:div>
    <w:div w:id="1444491975">
      <w:bodyDiv w:val="1"/>
      <w:marLeft w:val="0"/>
      <w:marRight w:val="0"/>
      <w:marTop w:val="0"/>
      <w:marBottom w:val="0"/>
      <w:divBdr>
        <w:top w:val="none" w:sz="0" w:space="0" w:color="auto"/>
        <w:left w:val="none" w:sz="0" w:space="0" w:color="auto"/>
        <w:bottom w:val="none" w:sz="0" w:space="0" w:color="auto"/>
        <w:right w:val="none" w:sz="0" w:space="0" w:color="auto"/>
      </w:divBdr>
    </w:div>
    <w:div w:id="1444498115">
      <w:bodyDiv w:val="1"/>
      <w:marLeft w:val="0"/>
      <w:marRight w:val="0"/>
      <w:marTop w:val="0"/>
      <w:marBottom w:val="0"/>
      <w:divBdr>
        <w:top w:val="none" w:sz="0" w:space="0" w:color="auto"/>
        <w:left w:val="none" w:sz="0" w:space="0" w:color="auto"/>
        <w:bottom w:val="none" w:sz="0" w:space="0" w:color="auto"/>
        <w:right w:val="none" w:sz="0" w:space="0" w:color="auto"/>
      </w:divBdr>
    </w:div>
    <w:div w:id="1444569301">
      <w:bodyDiv w:val="1"/>
      <w:marLeft w:val="0"/>
      <w:marRight w:val="0"/>
      <w:marTop w:val="0"/>
      <w:marBottom w:val="0"/>
      <w:divBdr>
        <w:top w:val="none" w:sz="0" w:space="0" w:color="auto"/>
        <w:left w:val="none" w:sz="0" w:space="0" w:color="auto"/>
        <w:bottom w:val="none" w:sz="0" w:space="0" w:color="auto"/>
        <w:right w:val="none" w:sz="0" w:space="0" w:color="auto"/>
      </w:divBdr>
    </w:div>
    <w:div w:id="1444570388">
      <w:bodyDiv w:val="1"/>
      <w:marLeft w:val="0"/>
      <w:marRight w:val="0"/>
      <w:marTop w:val="0"/>
      <w:marBottom w:val="0"/>
      <w:divBdr>
        <w:top w:val="none" w:sz="0" w:space="0" w:color="auto"/>
        <w:left w:val="none" w:sz="0" w:space="0" w:color="auto"/>
        <w:bottom w:val="none" w:sz="0" w:space="0" w:color="auto"/>
        <w:right w:val="none" w:sz="0" w:space="0" w:color="auto"/>
      </w:divBdr>
    </w:div>
    <w:div w:id="1444575577">
      <w:bodyDiv w:val="1"/>
      <w:marLeft w:val="0"/>
      <w:marRight w:val="0"/>
      <w:marTop w:val="0"/>
      <w:marBottom w:val="0"/>
      <w:divBdr>
        <w:top w:val="none" w:sz="0" w:space="0" w:color="auto"/>
        <w:left w:val="none" w:sz="0" w:space="0" w:color="auto"/>
        <w:bottom w:val="none" w:sz="0" w:space="0" w:color="auto"/>
        <w:right w:val="none" w:sz="0" w:space="0" w:color="auto"/>
      </w:divBdr>
    </w:div>
    <w:div w:id="1444576215">
      <w:bodyDiv w:val="1"/>
      <w:marLeft w:val="0"/>
      <w:marRight w:val="0"/>
      <w:marTop w:val="0"/>
      <w:marBottom w:val="0"/>
      <w:divBdr>
        <w:top w:val="none" w:sz="0" w:space="0" w:color="auto"/>
        <w:left w:val="none" w:sz="0" w:space="0" w:color="auto"/>
        <w:bottom w:val="none" w:sz="0" w:space="0" w:color="auto"/>
        <w:right w:val="none" w:sz="0" w:space="0" w:color="auto"/>
      </w:divBdr>
    </w:div>
    <w:div w:id="1444692478">
      <w:bodyDiv w:val="1"/>
      <w:marLeft w:val="0"/>
      <w:marRight w:val="0"/>
      <w:marTop w:val="0"/>
      <w:marBottom w:val="0"/>
      <w:divBdr>
        <w:top w:val="none" w:sz="0" w:space="0" w:color="auto"/>
        <w:left w:val="none" w:sz="0" w:space="0" w:color="auto"/>
        <w:bottom w:val="none" w:sz="0" w:space="0" w:color="auto"/>
        <w:right w:val="none" w:sz="0" w:space="0" w:color="auto"/>
      </w:divBdr>
    </w:div>
    <w:div w:id="1444760663">
      <w:bodyDiv w:val="1"/>
      <w:marLeft w:val="0"/>
      <w:marRight w:val="0"/>
      <w:marTop w:val="0"/>
      <w:marBottom w:val="0"/>
      <w:divBdr>
        <w:top w:val="none" w:sz="0" w:space="0" w:color="auto"/>
        <w:left w:val="none" w:sz="0" w:space="0" w:color="auto"/>
        <w:bottom w:val="none" w:sz="0" w:space="0" w:color="auto"/>
        <w:right w:val="none" w:sz="0" w:space="0" w:color="auto"/>
      </w:divBdr>
    </w:div>
    <w:div w:id="1444763173">
      <w:bodyDiv w:val="1"/>
      <w:marLeft w:val="0"/>
      <w:marRight w:val="0"/>
      <w:marTop w:val="0"/>
      <w:marBottom w:val="0"/>
      <w:divBdr>
        <w:top w:val="none" w:sz="0" w:space="0" w:color="auto"/>
        <w:left w:val="none" w:sz="0" w:space="0" w:color="auto"/>
        <w:bottom w:val="none" w:sz="0" w:space="0" w:color="auto"/>
        <w:right w:val="none" w:sz="0" w:space="0" w:color="auto"/>
      </w:divBdr>
    </w:div>
    <w:div w:id="1444838382">
      <w:bodyDiv w:val="1"/>
      <w:marLeft w:val="0"/>
      <w:marRight w:val="0"/>
      <w:marTop w:val="0"/>
      <w:marBottom w:val="0"/>
      <w:divBdr>
        <w:top w:val="none" w:sz="0" w:space="0" w:color="auto"/>
        <w:left w:val="none" w:sz="0" w:space="0" w:color="auto"/>
        <w:bottom w:val="none" w:sz="0" w:space="0" w:color="auto"/>
        <w:right w:val="none" w:sz="0" w:space="0" w:color="auto"/>
      </w:divBdr>
    </w:div>
    <w:div w:id="1444959810">
      <w:bodyDiv w:val="1"/>
      <w:marLeft w:val="0"/>
      <w:marRight w:val="0"/>
      <w:marTop w:val="0"/>
      <w:marBottom w:val="0"/>
      <w:divBdr>
        <w:top w:val="none" w:sz="0" w:space="0" w:color="auto"/>
        <w:left w:val="none" w:sz="0" w:space="0" w:color="auto"/>
        <w:bottom w:val="none" w:sz="0" w:space="0" w:color="auto"/>
        <w:right w:val="none" w:sz="0" w:space="0" w:color="auto"/>
      </w:divBdr>
    </w:div>
    <w:div w:id="1445029670">
      <w:bodyDiv w:val="1"/>
      <w:marLeft w:val="0"/>
      <w:marRight w:val="0"/>
      <w:marTop w:val="0"/>
      <w:marBottom w:val="0"/>
      <w:divBdr>
        <w:top w:val="none" w:sz="0" w:space="0" w:color="auto"/>
        <w:left w:val="none" w:sz="0" w:space="0" w:color="auto"/>
        <w:bottom w:val="none" w:sz="0" w:space="0" w:color="auto"/>
        <w:right w:val="none" w:sz="0" w:space="0" w:color="auto"/>
      </w:divBdr>
    </w:div>
    <w:div w:id="1445075967">
      <w:bodyDiv w:val="1"/>
      <w:marLeft w:val="0"/>
      <w:marRight w:val="0"/>
      <w:marTop w:val="0"/>
      <w:marBottom w:val="0"/>
      <w:divBdr>
        <w:top w:val="none" w:sz="0" w:space="0" w:color="auto"/>
        <w:left w:val="none" w:sz="0" w:space="0" w:color="auto"/>
        <w:bottom w:val="none" w:sz="0" w:space="0" w:color="auto"/>
        <w:right w:val="none" w:sz="0" w:space="0" w:color="auto"/>
      </w:divBdr>
    </w:div>
    <w:div w:id="1445081065">
      <w:bodyDiv w:val="1"/>
      <w:marLeft w:val="0"/>
      <w:marRight w:val="0"/>
      <w:marTop w:val="0"/>
      <w:marBottom w:val="0"/>
      <w:divBdr>
        <w:top w:val="none" w:sz="0" w:space="0" w:color="auto"/>
        <w:left w:val="none" w:sz="0" w:space="0" w:color="auto"/>
        <w:bottom w:val="none" w:sz="0" w:space="0" w:color="auto"/>
        <w:right w:val="none" w:sz="0" w:space="0" w:color="auto"/>
      </w:divBdr>
    </w:div>
    <w:div w:id="1445147432">
      <w:bodyDiv w:val="1"/>
      <w:marLeft w:val="0"/>
      <w:marRight w:val="0"/>
      <w:marTop w:val="0"/>
      <w:marBottom w:val="0"/>
      <w:divBdr>
        <w:top w:val="none" w:sz="0" w:space="0" w:color="auto"/>
        <w:left w:val="none" w:sz="0" w:space="0" w:color="auto"/>
        <w:bottom w:val="none" w:sz="0" w:space="0" w:color="auto"/>
        <w:right w:val="none" w:sz="0" w:space="0" w:color="auto"/>
      </w:divBdr>
    </w:div>
    <w:div w:id="1445422406">
      <w:bodyDiv w:val="1"/>
      <w:marLeft w:val="0"/>
      <w:marRight w:val="0"/>
      <w:marTop w:val="0"/>
      <w:marBottom w:val="0"/>
      <w:divBdr>
        <w:top w:val="none" w:sz="0" w:space="0" w:color="auto"/>
        <w:left w:val="none" w:sz="0" w:space="0" w:color="auto"/>
        <w:bottom w:val="none" w:sz="0" w:space="0" w:color="auto"/>
        <w:right w:val="none" w:sz="0" w:space="0" w:color="auto"/>
      </w:divBdr>
    </w:div>
    <w:div w:id="1445491665">
      <w:bodyDiv w:val="1"/>
      <w:marLeft w:val="0"/>
      <w:marRight w:val="0"/>
      <w:marTop w:val="0"/>
      <w:marBottom w:val="0"/>
      <w:divBdr>
        <w:top w:val="none" w:sz="0" w:space="0" w:color="auto"/>
        <w:left w:val="none" w:sz="0" w:space="0" w:color="auto"/>
        <w:bottom w:val="none" w:sz="0" w:space="0" w:color="auto"/>
        <w:right w:val="none" w:sz="0" w:space="0" w:color="auto"/>
      </w:divBdr>
    </w:div>
    <w:div w:id="1445493617">
      <w:bodyDiv w:val="1"/>
      <w:marLeft w:val="0"/>
      <w:marRight w:val="0"/>
      <w:marTop w:val="0"/>
      <w:marBottom w:val="0"/>
      <w:divBdr>
        <w:top w:val="none" w:sz="0" w:space="0" w:color="auto"/>
        <w:left w:val="none" w:sz="0" w:space="0" w:color="auto"/>
        <w:bottom w:val="none" w:sz="0" w:space="0" w:color="auto"/>
        <w:right w:val="none" w:sz="0" w:space="0" w:color="auto"/>
      </w:divBdr>
    </w:div>
    <w:div w:id="1445686040">
      <w:bodyDiv w:val="1"/>
      <w:marLeft w:val="0"/>
      <w:marRight w:val="0"/>
      <w:marTop w:val="0"/>
      <w:marBottom w:val="0"/>
      <w:divBdr>
        <w:top w:val="none" w:sz="0" w:space="0" w:color="auto"/>
        <w:left w:val="none" w:sz="0" w:space="0" w:color="auto"/>
        <w:bottom w:val="none" w:sz="0" w:space="0" w:color="auto"/>
        <w:right w:val="none" w:sz="0" w:space="0" w:color="auto"/>
      </w:divBdr>
    </w:div>
    <w:div w:id="1445803134">
      <w:bodyDiv w:val="1"/>
      <w:marLeft w:val="0"/>
      <w:marRight w:val="0"/>
      <w:marTop w:val="0"/>
      <w:marBottom w:val="0"/>
      <w:divBdr>
        <w:top w:val="none" w:sz="0" w:space="0" w:color="auto"/>
        <w:left w:val="none" w:sz="0" w:space="0" w:color="auto"/>
        <w:bottom w:val="none" w:sz="0" w:space="0" w:color="auto"/>
        <w:right w:val="none" w:sz="0" w:space="0" w:color="auto"/>
      </w:divBdr>
    </w:div>
    <w:div w:id="1445808192">
      <w:bodyDiv w:val="1"/>
      <w:marLeft w:val="0"/>
      <w:marRight w:val="0"/>
      <w:marTop w:val="0"/>
      <w:marBottom w:val="0"/>
      <w:divBdr>
        <w:top w:val="none" w:sz="0" w:space="0" w:color="auto"/>
        <w:left w:val="none" w:sz="0" w:space="0" w:color="auto"/>
        <w:bottom w:val="none" w:sz="0" w:space="0" w:color="auto"/>
        <w:right w:val="none" w:sz="0" w:space="0" w:color="auto"/>
      </w:divBdr>
    </w:div>
    <w:div w:id="1445887372">
      <w:bodyDiv w:val="1"/>
      <w:marLeft w:val="0"/>
      <w:marRight w:val="0"/>
      <w:marTop w:val="0"/>
      <w:marBottom w:val="0"/>
      <w:divBdr>
        <w:top w:val="none" w:sz="0" w:space="0" w:color="auto"/>
        <w:left w:val="none" w:sz="0" w:space="0" w:color="auto"/>
        <w:bottom w:val="none" w:sz="0" w:space="0" w:color="auto"/>
        <w:right w:val="none" w:sz="0" w:space="0" w:color="auto"/>
      </w:divBdr>
    </w:div>
    <w:div w:id="1445997798">
      <w:bodyDiv w:val="1"/>
      <w:marLeft w:val="0"/>
      <w:marRight w:val="0"/>
      <w:marTop w:val="0"/>
      <w:marBottom w:val="0"/>
      <w:divBdr>
        <w:top w:val="none" w:sz="0" w:space="0" w:color="auto"/>
        <w:left w:val="none" w:sz="0" w:space="0" w:color="auto"/>
        <w:bottom w:val="none" w:sz="0" w:space="0" w:color="auto"/>
        <w:right w:val="none" w:sz="0" w:space="0" w:color="auto"/>
      </w:divBdr>
    </w:div>
    <w:div w:id="1446077863">
      <w:bodyDiv w:val="1"/>
      <w:marLeft w:val="0"/>
      <w:marRight w:val="0"/>
      <w:marTop w:val="0"/>
      <w:marBottom w:val="0"/>
      <w:divBdr>
        <w:top w:val="none" w:sz="0" w:space="0" w:color="auto"/>
        <w:left w:val="none" w:sz="0" w:space="0" w:color="auto"/>
        <w:bottom w:val="none" w:sz="0" w:space="0" w:color="auto"/>
        <w:right w:val="none" w:sz="0" w:space="0" w:color="auto"/>
      </w:divBdr>
    </w:div>
    <w:div w:id="1446078899">
      <w:bodyDiv w:val="1"/>
      <w:marLeft w:val="0"/>
      <w:marRight w:val="0"/>
      <w:marTop w:val="0"/>
      <w:marBottom w:val="0"/>
      <w:divBdr>
        <w:top w:val="none" w:sz="0" w:space="0" w:color="auto"/>
        <w:left w:val="none" w:sz="0" w:space="0" w:color="auto"/>
        <w:bottom w:val="none" w:sz="0" w:space="0" w:color="auto"/>
        <w:right w:val="none" w:sz="0" w:space="0" w:color="auto"/>
      </w:divBdr>
    </w:div>
    <w:div w:id="1446118491">
      <w:bodyDiv w:val="1"/>
      <w:marLeft w:val="0"/>
      <w:marRight w:val="0"/>
      <w:marTop w:val="0"/>
      <w:marBottom w:val="0"/>
      <w:divBdr>
        <w:top w:val="none" w:sz="0" w:space="0" w:color="auto"/>
        <w:left w:val="none" w:sz="0" w:space="0" w:color="auto"/>
        <w:bottom w:val="none" w:sz="0" w:space="0" w:color="auto"/>
        <w:right w:val="none" w:sz="0" w:space="0" w:color="auto"/>
      </w:divBdr>
    </w:div>
    <w:div w:id="1446190221">
      <w:bodyDiv w:val="1"/>
      <w:marLeft w:val="0"/>
      <w:marRight w:val="0"/>
      <w:marTop w:val="0"/>
      <w:marBottom w:val="0"/>
      <w:divBdr>
        <w:top w:val="none" w:sz="0" w:space="0" w:color="auto"/>
        <w:left w:val="none" w:sz="0" w:space="0" w:color="auto"/>
        <w:bottom w:val="none" w:sz="0" w:space="0" w:color="auto"/>
        <w:right w:val="none" w:sz="0" w:space="0" w:color="auto"/>
      </w:divBdr>
    </w:div>
    <w:div w:id="1446190843">
      <w:bodyDiv w:val="1"/>
      <w:marLeft w:val="0"/>
      <w:marRight w:val="0"/>
      <w:marTop w:val="0"/>
      <w:marBottom w:val="0"/>
      <w:divBdr>
        <w:top w:val="none" w:sz="0" w:space="0" w:color="auto"/>
        <w:left w:val="none" w:sz="0" w:space="0" w:color="auto"/>
        <w:bottom w:val="none" w:sz="0" w:space="0" w:color="auto"/>
        <w:right w:val="none" w:sz="0" w:space="0" w:color="auto"/>
      </w:divBdr>
    </w:div>
    <w:div w:id="1446271329">
      <w:bodyDiv w:val="1"/>
      <w:marLeft w:val="0"/>
      <w:marRight w:val="0"/>
      <w:marTop w:val="0"/>
      <w:marBottom w:val="0"/>
      <w:divBdr>
        <w:top w:val="none" w:sz="0" w:space="0" w:color="auto"/>
        <w:left w:val="none" w:sz="0" w:space="0" w:color="auto"/>
        <w:bottom w:val="none" w:sz="0" w:space="0" w:color="auto"/>
        <w:right w:val="none" w:sz="0" w:space="0" w:color="auto"/>
      </w:divBdr>
    </w:div>
    <w:div w:id="1446343663">
      <w:bodyDiv w:val="1"/>
      <w:marLeft w:val="0"/>
      <w:marRight w:val="0"/>
      <w:marTop w:val="0"/>
      <w:marBottom w:val="0"/>
      <w:divBdr>
        <w:top w:val="none" w:sz="0" w:space="0" w:color="auto"/>
        <w:left w:val="none" w:sz="0" w:space="0" w:color="auto"/>
        <w:bottom w:val="none" w:sz="0" w:space="0" w:color="auto"/>
        <w:right w:val="none" w:sz="0" w:space="0" w:color="auto"/>
      </w:divBdr>
    </w:div>
    <w:div w:id="1446464183">
      <w:bodyDiv w:val="1"/>
      <w:marLeft w:val="0"/>
      <w:marRight w:val="0"/>
      <w:marTop w:val="0"/>
      <w:marBottom w:val="0"/>
      <w:divBdr>
        <w:top w:val="none" w:sz="0" w:space="0" w:color="auto"/>
        <w:left w:val="none" w:sz="0" w:space="0" w:color="auto"/>
        <w:bottom w:val="none" w:sz="0" w:space="0" w:color="auto"/>
        <w:right w:val="none" w:sz="0" w:space="0" w:color="auto"/>
      </w:divBdr>
    </w:div>
    <w:div w:id="1446467159">
      <w:bodyDiv w:val="1"/>
      <w:marLeft w:val="0"/>
      <w:marRight w:val="0"/>
      <w:marTop w:val="0"/>
      <w:marBottom w:val="0"/>
      <w:divBdr>
        <w:top w:val="none" w:sz="0" w:space="0" w:color="auto"/>
        <w:left w:val="none" w:sz="0" w:space="0" w:color="auto"/>
        <w:bottom w:val="none" w:sz="0" w:space="0" w:color="auto"/>
        <w:right w:val="none" w:sz="0" w:space="0" w:color="auto"/>
      </w:divBdr>
    </w:div>
    <w:div w:id="1446539023">
      <w:bodyDiv w:val="1"/>
      <w:marLeft w:val="0"/>
      <w:marRight w:val="0"/>
      <w:marTop w:val="0"/>
      <w:marBottom w:val="0"/>
      <w:divBdr>
        <w:top w:val="none" w:sz="0" w:space="0" w:color="auto"/>
        <w:left w:val="none" w:sz="0" w:space="0" w:color="auto"/>
        <w:bottom w:val="none" w:sz="0" w:space="0" w:color="auto"/>
        <w:right w:val="none" w:sz="0" w:space="0" w:color="auto"/>
      </w:divBdr>
    </w:div>
    <w:div w:id="1446582484">
      <w:bodyDiv w:val="1"/>
      <w:marLeft w:val="0"/>
      <w:marRight w:val="0"/>
      <w:marTop w:val="0"/>
      <w:marBottom w:val="0"/>
      <w:divBdr>
        <w:top w:val="none" w:sz="0" w:space="0" w:color="auto"/>
        <w:left w:val="none" w:sz="0" w:space="0" w:color="auto"/>
        <w:bottom w:val="none" w:sz="0" w:space="0" w:color="auto"/>
        <w:right w:val="none" w:sz="0" w:space="0" w:color="auto"/>
      </w:divBdr>
    </w:div>
    <w:div w:id="1446583659">
      <w:bodyDiv w:val="1"/>
      <w:marLeft w:val="0"/>
      <w:marRight w:val="0"/>
      <w:marTop w:val="0"/>
      <w:marBottom w:val="0"/>
      <w:divBdr>
        <w:top w:val="none" w:sz="0" w:space="0" w:color="auto"/>
        <w:left w:val="none" w:sz="0" w:space="0" w:color="auto"/>
        <w:bottom w:val="none" w:sz="0" w:space="0" w:color="auto"/>
        <w:right w:val="none" w:sz="0" w:space="0" w:color="auto"/>
      </w:divBdr>
    </w:div>
    <w:div w:id="1446651005">
      <w:bodyDiv w:val="1"/>
      <w:marLeft w:val="0"/>
      <w:marRight w:val="0"/>
      <w:marTop w:val="0"/>
      <w:marBottom w:val="0"/>
      <w:divBdr>
        <w:top w:val="none" w:sz="0" w:space="0" w:color="auto"/>
        <w:left w:val="none" w:sz="0" w:space="0" w:color="auto"/>
        <w:bottom w:val="none" w:sz="0" w:space="0" w:color="auto"/>
        <w:right w:val="none" w:sz="0" w:space="0" w:color="auto"/>
      </w:divBdr>
    </w:div>
    <w:div w:id="1446651909">
      <w:bodyDiv w:val="1"/>
      <w:marLeft w:val="0"/>
      <w:marRight w:val="0"/>
      <w:marTop w:val="0"/>
      <w:marBottom w:val="0"/>
      <w:divBdr>
        <w:top w:val="none" w:sz="0" w:space="0" w:color="auto"/>
        <w:left w:val="none" w:sz="0" w:space="0" w:color="auto"/>
        <w:bottom w:val="none" w:sz="0" w:space="0" w:color="auto"/>
        <w:right w:val="none" w:sz="0" w:space="0" w:color="auto"/>
      </w:divBdr>
    </w:div>
    <w:div w:id="1446656394">
      <w:bodyDiv w:val="1"/>
      <w:marLeft w:val="0"/>
      <w:marRight w:val="0"/>
      <w:marTop w:val="0"/>
      <w:marBottom w:val="0"/>
      <w:divBdr>
        <w:top w:val="none" w:sz="0" w:space="0" w:color="auto"/>
        <w:left w:val="none" w:sz="0" w:space="0" w:color="auto"/>
        <w:bottom w:val="none" w:sz="0" w:space="0" w:color="auto"/>
        <w:right w:val="none" w:sz="0" w:space="0" w:color="auto"/>
      </w:divBdr>
    </w:div>
    <w:div w:id="1446734315">
      <w:bodyDiv w:val="1"/>
      <w:marLeft w:val="0"/>
      <w:marRight w:val="0"/>
      <w:marTop w:val="0"/>
      <w:marBottom w:val="0"/>
      <w:divBdr>
        <w:top w:val="none" w:sz="0" w:space="0" w:color="auto"/>
        <w:left w:val="none" w:sz="0" w:space="0" w:color="auto"/>
        <w:bottom w:val="none" w:sz="0" w:space="0" w:color="auto"/>
        <w:right w:val="none" w:sz="0" w:space="0" w:color="auto"/>
      </w:divBdr>
    </w:div>
    <w:div w:id="1446845186">
      <w:bodyDiv w:val="1"/>
      <w:marLeft w:val="0"/>
      <w:marRight w:val="0"/>
      <w:marTop w:val="0"/>
      <w:marBottom w:val="0"/>
      <w:divBdr>
        <w:top w:val="none" w:sz="0" w:space="0" w:color="auto"/>
        <w:left w:val="none" w:sz="0" w:space="0" w:color="auto"/>
        <w:bottom w:val="none" w:sz="0" w:space="0" w:color="auto"/>
        <w:right w:val="none" w:sz="0" w:space="0" w:color="auto"/>
      </w:divBdr>
    </w:div>
    <w:div w:id="1446924424">
      <w:bodyDiv w:val="1"/>
      <w:marLeft w:val="0"/>
      <w:marRight w:val="0"/>
      <w:marTop w:val="0"/>
      <w:marBottom w:val="0"/>
      <w:divBdr>
        <w:top w:val="none" w:sz="0" w:space="0" w:color="auto"/>
        <w:left w:val="none" w:sz="0" w:space="0" w:color="auto"/>
        <w:bottom w:val="none" w:sz="0" w:space="0" w:color="auto"/>
        <w:right w:val="none" w:sz="0" w:space="0" w:color="auto"/>
      </w:divBdr>
    </w:div>
    <w:div w:id="1447043934">
      <w:bodyDiv w:val="1"/>
      <w:marLeft w:val="0"/>
      <w:marRight w:val="0"/>
      <w:marTop w:val="0"/>
      <w:marBottom w:val="0"/>
      <w:divBdr>
        <w:top w:val="none" w:sz="0" w:space="0" w:color="auto"/>
        <w:left w:val="none" w:sz="0" w:space="0" w:color="auto"/>
        <w:bottom w:val="none" w:sz="0" w:space="0" w:color="auto"/>
        <w:right w:val="none" w:sz="0" w:space="0" w:color="auto"/>
      </w:divBdr>
    </w:div>
    <w:div w:id="1447120097">
      <w:bodyDiv w:val="1"/>
      <w:marLeft w:val="0"/>
      <w:marRight w:val="0"/>
      <w:marTop w:val="0"/>
      <w:marBottom w:val="0"/>
      <w:divBdr>
        <w:top w:val="none" w:sz="0" w:space="0" w:color="auto"/>
        <w:left w:val="none" w:sz="0" w:space="0" w:color="auto"/>
        <w:bottom w:val="none" w:sz="0" w:space="0" w:color="auto"/>
        <w:right w:val="none" w:sz="0" w:space="0" w:color="auto"/>
      </w:divBdr>
    </w:div>
    <w:div w:id="1447120678">
      <w:bodyDiv w:val="1"/>
      <w:marLeft w:val="0"/>
      <w:marRight w:val="0"/>
      <w:marTop w:val="0"/>
      <w:marBottom w:val="0"/>
      <w:divBdr>
        <w:top w:val="none" w:sz="0" w:space="0" w:color="auto"/>
        <w:left w:val="none" w:sz="0" w:space="0" w:color="auto"/>
        <w:bottom w:val="none" w:sz="0" w:space="0" w:color="auto"/>
        <w:right w:val="none" w:sz="0" w:space="0" w:color="auto"/>
      </w:divBdr>
    </w:div>
    <w:div w:id="1447189762">
      <w:bodyDiv w:val="1"/>
      <w:marLeft w:val="0"/>
      <w:marRight w:val="0"/>
      <w:marTop w:val="0"/>
      <w:marBottom w:val="0"/>
      <w:divBdr>
        <w:top w:val="none" w:sz="0" w:space="0" w:color="auto"/>
        <w:left w:val="none" w:sz="0" w:space="0" w:color="auto"/>
        <w:bottom w:val="none" w:sz="0" w:space="0" w:color="auto"/>
        <w:right w:val="none" w:sz="0" w:space="0" w:color="auto"/>
      </w:divBdr>
    </w:div>
    <w:div w:id="1447192426">
      <w:bodyDiv w:val="1"/>
      <w:marLeft w:val="0"/>
      <w:marRight w:val="0"/>
      <w:marTop w:val="0"/>
      <w:marBottom w:val="0"/>
      <w:divBdr>
        <w:top w:val="none" w:sz="0" w:space="0" w:color="auto"/>
        <w:left w:val="none" w:sz="0" w:space="0" w:color="auto"/>
        <w:bottom w:val="none" w:sz="0" w:space="0" w:color="auto"/>
        <w:right w:val="none" w:sz="0" w:space="0" w:color="auto"/>
      </w:divBdr>
    </w:div>
    <w:div w:id="1447231718">
      <w:bodyDiv w:val="1"/>
      <w:marLeft w:val="0"/>
      <w:marRight w:val="0"/>
      <w:marTop w:val="0"/>
      <w:marBottom w:val="0"/>
      <w:divBdr>
        <w:top w:val="none" w:sz="0" w:space="0" w:color="auto"/>
        <w:left w:val="none" w:sz="0" w:space="0" w:color="auto"/>
        <w:bottom w:val="none" w:sz="0" w:space="0" w:color="auto"/>
        <w:right w:val="none" w:sz="0" w:space="0" w:color="auto"/>
      </w:divBdr>
    </w:div>
    <w:div w:id="1447315064">
      <w:bodyDiv w:val="1"/>
      <w:marLeft w:val="0"/>
      <w:marRight w:val="0"/>
      <w:marTop w:val="0"/>
      <w:marBottom w:val="0"/>
      <w:divBdr>
        <w:top w:val="none" w:sz="0" w:space="0" w:color="auto"/>
        <w:left w:val="none" w:sz="0" w:space="0" w:color="auto"/>
        <w:bottom w:val="none" w:sz="0" w:space="0" w:color="auto"/>
        <w:right w:val="none" w:sz="0" w:space="0" w:color="auto"/>
      </w:divBdr>
    </w:div>
    <w:div w:id="1447500632">
      <w:bodyDiv w:val="1"/>
      <w:marLeft w:val="0"/>
      <w:marRight w:val="0"/>
      <w:marTop w:val="0"/>
      <w:marBottom w:val="0"/>
      <w:divBdr>
        <w:top w:val="none" w:sz="0" w:space="0" w:color="auto"/>
        <w:left w:val="none" w:sz="0" w:space="0" w:color="auto"/>
        <w:bottom w:val="none" w:sz="0" w:space="0" w:color="auto"/>
        <w:right w:val="none" w:sz="0" w:space="0" w:color="auto"/>
      </w:divBdr>
    </w:div>
    <w:div w:id="1447502267">
      <w:bodyDiv w:val="1"/>
      <w:marLeft w:val="0"/>
      <w:marRight w:val="0"/>
      <w:marTop w:val="0"/>
      <w:marBottom w:val="0"/>
      <w:divBdr>
        <w:top w:val="none" w:sz="0" w:space="0" w:color="auto"/>
        <w:left w:val="none" w:sz="0" w:space="0" w:color="auto"/>
        <w:bottom w:val="none" w:sz="0" w:space="0" w:color="auto"/>
        <w:right w:val="none" w:sz="0" w:space="0" w:color="auto"/>
      </w:divBdr>
    </w:div>
    <w:div w:id="1447625974">
      <w:bodyDiv w:val="1"/>
      <w:marLeft w:val="0"/>
      <w:marRight w:val="0"/>
      <w:marTop w:val="0"/>
      <w:marBottom w:val="0"/>
      <w:divBdr>
        <w:top w:val="none" w:sz="0" w:space="0" w:color="auto"/>
        <w:left w:val="none" w:sz="0" w:space="0" w:color="auto"/>
        <w:bottom w:val="none" w:sz="0" w:space="0" w:color="auto"/>
        <w:right w:val="none" w:sz="0" w:space="0" w:color="auto"/>
      </w:divBdr>
    </w:div>
    <w:div w:id="1447694616">
      <w:bodyDiv w:val="1"/>
      <w:marLeft w:val="0"/>
      <w:marRight w:val="0"/>
      <w:marTop w:val="0"/>
      <w:marBottom w:val="0"/>
      <w:divBdr>
        <w:top w:val="none" w:sz="0" w:space="0" w:color="auto"/>
        <w:left w:val="none" w:sz="0" w:space="0" w:color="auto"/>
        <w:bottom w:val="none" w:sz="0" w:space="0" w:color="auto"/>
        <w:right w:val="none" w:sz="0" w:space="0" w:color="auto"/>
      </w:divBdr>
    </w:div>
    <w:div w:id="1447697156">
      <w:bodyDiv w:val="1"/>
      <w:marLeft w:val="0"/>
      <w:marRight w:val="0"/>
      <w:marTop w:val="0"/>
      <w:marBottom w:val="0"/>
      <w:divBdr>
        <w:top w:val="none" w:sz="0" w:space="0" w:color="auto"/>
        <w:left w:val="none" w:sz="0" w:space="0" w:color="auto"/>
        <w:bottom w:val="none" w:sz="0" w:space="0" w:color="auto"/>
        <w:right w:val="none" w:sz="0" w:space="0" w:color="auto"/>
      </w:divBdr>
    </w:div>
    <w:div w:id="1447770625">
      <w:bodyDiv w:val="1"/>
      <w:marLeft w:val="0"/>
      <w:marRight w:val="0"/>
      <w:marTop w:val="0"/>
      <w:marBottom w:val="0"/>
      <w:divBdr>
        <w:top w:val="none" w:sz="0" w:space="0" w:color="auto"/>
        <w:left w:val="none" w:sz="0" w:space="0" w:color="auto"/>
        <w:bottom w:val="none" w:sz="0" w:space="0" w:color="auto"/>
        <w:right w:val="none" w:sz="0" w:space="0" w:color="auto"/>
      </w:divBdr>
    </w:div>
    <w:div w:id="1447772756">
      <w:bodyDiv w:val="1"/>
      <w:marLeft w:val="0"/>
      <w:marRight w:val="0"/>
      <w:marTop w:val="0"/>
      <w:marBottom w:val="0"/>
      <w:divBdr>
        <w:top w:val="none" w:sz="0" w:space="0" w:color="auto"/>
        <w:left w:val="none" w:sz="0" w:space="0" w:color="auto"/>
        <w:bottom w:val="none" w:sz="0" w:space="0" w:color="auto"/>
        <w:right w:val="none" w:sz="0" w:space="0" w:color="auto"/>
      </w:divBdr>
    </w:div>
    <w:div w:id="1447846764">
      <w:bodyDiv w:val="1"/>
      <w:marLeft w:val="0"/>
      <w:marRight w:val="0"/>
      <w:marTop w:val="0"/>
      <w:marBottom w:val="0"/>
      <w:divBdr>
        <w:top w:val="none" w:sz="0" w:space="0" w:color="auto"/>
        <w:left w:val="none" w:sz="0" w:space="0" w:color="auto"/>
        <w:bottom w:val="none" w:sz="0" w:space="0" w:color="auto"/>
        <w:right w:val="none" w:sz="0" w:space="0" w:color="auto"/>
      </w:divBdr>
    </w:div>
    <w:div w:id="1447848950">
      <w:bodyDiv w:val="1"/>
      <w:marLeft w:val="0"/>
      <w:marRight w:val="0"/>
      <w:marTop w:val="0"/>
      <w:marBottom w:val="0"/>
      <w:divBdr>
        <w:top w:val="none" w:sz="0" w:space="0" w:color="auto"/>
        <w:left w:val="none" w:sz="0" w:space="0" w:color="auto"/>
        <w:bottom w:val="none" w:sz="0" w:space="0" w:color="auto"/>
        <w:right w:val="none" w:sz="0" w:space="0" w:color="auto"/>
      </w:divBdr>
    </w:div>
    <w:div w:id="1447964011">
      <w:bodyDiv w:val="1"/>
      <w:marLeft w:val="0"/>
      <w:marRight w:val="0"/>
      <w:marTop w:val="0"/>
      <w:marBottom w:val="0"/>
      <w:divBdr>
        <w:top w:val="none" w:sz="0" w:space="0" w:color="auto"/>
        <w:left w:val="none" w:sz="0" w:space="0" w:color="auto"/>
        <w:bottom w:val="none" w:sz="0" w:space="0" w:color="auto"/>
        <w:right w:val="none" w:sz="0" w:space="0" w:color="auto"/>
      </w:divBdr>
    </w:div>
    <w:div w:id="1448044769">
      <w:bodyDiv w:val="1"/>
      <w:marLeft w:val="0"/>
      <w:marRight w:val="0"/>
      <w:marTop w:val="0"/>
      <w:marBottom w:val="0"/>
      <w:divBdr>
        <w:top w:val="none" w:sz="0" w:space="0" w:color="auto"/>
        <w:left w:val="none" w:sz="0" w:space="0" w:color="auto"/>
        <w:bottom w:val="none" w:sz="0" w:space="0" w:color="auto"/>
        <w:right w:val="none" w:sz="0" w:space="0" w:color="auto"/>
      </w:divBdr>
    </w:div>
    <w:div w:id="1448114034">
      <w:bodyDiv w:val="1"/>
      <w:marLeft w:val="0"/>
      <w:marRight w:val="0"/>
      <w:marTop w:val="0"/>
      <w:marBottom w:val="0"/>
      <w:divBdr>
        <w:top w:val="none" w:sz="0" w:space="0" w:color="auto"/>
        <w:left w:val="none" w:sz="0" w:space="0" w:color="auto"/>
        <w:bottom w:val="none" w:sz="0" w:space="0" w:color="auto"/>
        <w:right w:val="none" w:sz="0" w:space="0" w:color="auto"/>
      </w:divBdr>
    </w:div>
    <w:div w:id="1448163387">
      <w:bodyDiv w:val="1"/>
      <w:marLeft w:val="0"/>
      <w:marRight w:val="0"/>
      <w:marTop w:val="0"/>
      <w:marBottom w:val="0"/>
      <w:divBdr>
        <w:top w:val="none" w:sz="0" w:space="0" w:color="auto"/>
        <w:left w:val="none" w:sz="0" w:space="0" w:color="auto"/>
        <w:bottom w:val="none" w:sz="0" w:space="0" w:color="auto"/>
        <w:right w:val="none" w:sz="0" w:space="0" w:color="auto"/>
      </w:divBdr>
    </w:div>
    <w:div w:id="1448232770">
      <w:bodyDiv w:val="1"/>
      <w:marLeft w:val="0"/>
      <w:marRight w:val="0"/>
      <w:marTop w:val="0"/>
      <w:marBottom w:val="0"/>
      <w:divBdr>
        <w:top w:val="none" w:sz="0" w:space="0" w:color="auto"/>
        <w:left w:val="none" w:sz="0" w:space="0" w:color="auto"/>
        <w:bottom w:val="none" w:sz="0" w:space="0" w:color="auto"/>
        <w:right w:val="none" w:sz="0" w:space="0" w:color="auto"/>
      </w:divBdr>
    </w:div>
    <w:div w:id="1448348032">
      <w:bodyDiv w:val="1"/>
      <w:marLeft w:val="0"/>
      <w:marRight w:val="0"/>
      <w:marTop w:val="0"/>
      <w:marBottom w:val="0"/>
      <w:divBdr>
        <w:top w:val="none" w:sz="0" w:space="0" w:color="auto"/>
        <w:left w:val="none" w:sz="0" w:space="0" w:color="auto"/>
        <w:bottom w:val="none" w:sz="0" w:space="0" w:color="auto"/>
        <w:right w:val="none" w:sz="0" w:space="0" w:color="auto"/>
      </w:divBdr>
    </w:div>
    <w:div w:id="1448348830">
      <w:bodyDiv w:val="1"/>
      <w:marLeft w:val="0"/>
      <w:marRight w:val="0"/>
      <w:marTop w:val="0"/>
      <w:marBottom w:val="0"/>
      <w:divBdr>
        <w:top w:val="none" w:sz="0" w:space="0" w:color="auto"/>
        <w:left w:val="none" w:sz="0" w:space="0" w:color="auto"/>
        <w:bottom w:val="none" w:sz="0" w:space="0" w:color="auto"/>
        <w:right w:val="none" w:sz="0" w:space="0" w:color="auto"/>
      </w:divBdr>
    </w:div>
    <w:div w:id="1448428565">
      <w:bodyDiv w:val="1"/>
      <w:marLeft w:val="0"/>
      <w:marRight w:val="0"/>
      <w:marTop w:val="0"/>
      <w:marBottom w:val="0"/>
      <w:divBdr>
        <w:top w:val="none" w:sz="0" w:space="0" w:color="auto"/>
        <w:left w:val="none" w:sz="0" w:space="0" w:color="auto"/>
        <w:bottom w:val="none" w:sz="0" w:space="0" w:color="auto"/>
        <w:right w:val="none" w:sz="0" w:space="0" w:color="auto"/>
      </w:divBdr>
    </w:div>
    <w:div w:id="1448429293">
      <w:bodyDiv w:val="1"/>
      <w:marLeft w:val="0"/>
      <w:marRight w:val="0"/>
      <w:marTop w:val="0"/>
      <w:marBottom w:val="0"/>
      <w:divBdr>
        <w:top w:val="none" w:sz="0" w:space="0" w:color="auto"/>
        <w:left w:val="none" w:sz="0" w:space="0" w:color="auto"/>
        <w:bottom w:val="none" w:sz="0" w:space="0" w:color="auto"/>
        <w:right w:val="none" w:sz="0" w:space="0" w:color="auto"/>
      </w:divBdr>
    </w:div>
    <w:div w:id="1448430746">
      <w:bodyDiv w:val="1"/>
      <w:marLeft w:val="0"/>
      <w:marRight w:val="0"/>
      <w:marTop w:val="0"/>
      <w:marBottom w:val="0"/>
      <w:divBdr>
        <w:top w:val="none" w:sz="0" w:space="0" w:color="auto"/>
        <w:left w:val="none" w:sz="0" w:space="0" w:color="auto"/>
        <w:bottom w:val="none" w:sz="0" w:space="0" w:color="auto"/>
        <w:right w:val="none" w:sz="0" w:space="0" w:color="auto"/>
      </w:divBdr>
    </w:div>
    <w:div w:id="1448432198">
      <w:bodyDiv w:val="1"/>
      <w:marLeft w:val="0"/>
      <w:marRight w:val="0"/>
      <w:marTop w:val="0"/>
      <w:marBottom w:val="0"/>
      <w:divBdr>
        <w:top w:val="none" w:sz="0" w:space="0" w:color="auto"/>
        <w:left w:val="none" w:sz="0" w:space="0" w:color="auto"/>
        <w:bottom w:val="none" w:sz="0" w:space="0" w:color="auto"/>
        <w:right w:val="none" w:sz="0" w:space="0" w:color="auto"/>
      </w:divBdr>
    </w:div>
    <w:div w:id="1448504056">
      <w:bodyDiv w:val="1"/>
      <w:marLeft w:val="0"/>
      <w:marRight w:val="0"/>
      <w:marTop w:val="0"/>
      <w:marBottom w:val="0"/>
      <w:divBdr>
        <w:top w:val="none" w:sz="0" w:space="0" w:color="auto"/>
        <w:left w:val="none" w:sz="0" w:space="0" w:color="auto"/>
        <w:bottom w:val="none" w:sz="0" w:space="0" w:color="auto"/>
        <w:right w:val="none" w:sz="0" w:space="0" w:color="auto"/>
      </w:divBdr>
    </w:div>
    <w:div w:id="1448694427">
      <w:bodyDiv w:val="1"/>
      <w:marLeft w:val="0"/>
      <w:marRight w:val="0"/>
      <w:marTop w:val="0"/>
      <w:marBottom w:val="0"/>
      <w:divBdr>
        <w:top w:val="none" w:sz="0" w:space="0" w:color="auto"/>
        <w:left w:val="none" w:sz="0" w:space="0" w:color="auto"/>
        <w:bottom w:val="none" w:sz="0" w:space="0" w:color="auto"/>
        <w:right w:val="none" w:sz="0" w:space="0" w:color="auto"/>
      </w:divBdr>
    </w:div>
    <w:div w:id="1448696674">
      <w:bodyDiv w:val="1"/>
      <w:marLeft w:val="0"/>
      <w:marRight w:val="0"/>
      <w:marTop w:val="0"/>
      <w:marBottom w:val="0"/>
      <w:divBdr>
        <w:top w:val="none" w:sz="0" w:space="0" w:color="auto"/>
        <w:left w:val="none" w:sz="0" w:space="0" w:color="auto"/>
        <w:bottom w:val="none" w:sz="0" w:space="0" w:color="auto"/>
        <w:right w:val="none" w:sz="0" w:space="0" w:color="auto"/>
      </w:divBdr>
    </w:div>
    <w:div w:id="1448738886">
      <w:bodyDiv w:val="1"/>
      <w:marLeft w:val="0"/>
      <w:marRight w:val="0"/>
      <w:marTop w:val="0"/>
      <w:marBottom w:val="0"/>
      <w:divBdr>
        <w:top w:val="none" w:sz="0" w:space="0" w:color="auto"/>
        <w:left w:val="none" w:sz="0" w:space="0" w:color="auto"/>
        <w:bottom w:val="none" w:sz="0" w:space="0" w:color="auto"/>
        <w:right w:val="none" w:sz="0" w:space="0" w:color="auto"/>
      </w:divBdr>
    </w:div>
    <w:div w:id="1448889123">
      <w:bodyDiv w:val="1"/>
      <w:marLeft w:val="0"/>
      <w:marRight w:val="0"/>
      <w:marTop w:val="0"/>
      <w:marBottom w:val="0"/>
      <w:divBdr>
        <w:top w:val="none" w:sz="0" w:space="0" w:color="auto"/>
        <w:left w:val="none" w:sz="0" w:space="0" w:color="auto"/>
        <w:bottom w:val="none" w:sz="0" w:space="0" w:color="auto"/>
        <w:right w:val="none" w:sz="0" w:space="0" w:color="auto"/>
      </w:divBdr>
    </w:div>
    <w:div w:id="1449010864">
      <w:bodyDiv w:val="1"/>
      <w:marLeft w:val="0"/>
      <w:marRight w:val="0"/>
      <w:marTop w:val="0"/>
      <w:marBottom w:val="0"/>
      <w:divBdr>
        <w:top w:val="none" w:sz="0" w:space="0" w:color="auto"/>
        <w:left w:val="none" w:sz="0" w:space="0" w:color="auto"/>
        <w:bottom w:val="none" w:sz="0" w:space="0" w:color="auto"/>
        <w:right w:val="none" w:sz="0" w:space="0" w:color="auto"/>
      </w:divBdr>
    </w:div>
    <w:div w:id="1449161277">
      <w:bodyDiv w:val="1"/>
      <w:marLeft w:val="0"/>
      <w:marRight w:val="0"/>
      <w:marTop w:val="0"/>
      <w:marBottom w:val="0"/>
      <w:divBdr>
        <w:top w:val="none" w:sz="0" w:space="0" w:color="auto"/>
        <w:left w:val="none" w:sz="0" w:space="0" w:color="auto"/>
        <w:bottom w:val="none" w:sz="0" w:space="0" w:color="auto"/>
        <w:right w:val="none" w:sz="0" w:space="0" w:color="auto"/>
      </w:divBdr>
    </w:div>
    <w:div w:id="1449199299">
      <w:bodyDiv w:val="1"/>
      <w:marLeft w:val="0"/>
      <w:marRight w:val="0"/>
      <w:marTop w:val="0"/>
      <w:marBottom w:val="0"/>
      <w:divBdr>
        <w:top w:val="none" w:sz="0" w:space="0" w:color="auto"/>
        <w:left w:val="none" w:sz="0" w:space="0" w:color="auto"/>
        <w:bottom w:val="none" w:sz="0" w:space="0" w:color="auto"/>
        <w:right w:val="none" w:sz="0" w:space="0" w:color="auto"/>
      </w:divBdr>
    </w:div>
    <w:div w:id="1449347370">
      <w:bodyDiv w:val="1"/>
      <w:marLeft w:val="0"/>
      <w:marRight w:val="0"/>
      <w:marTop w:val="0"/>
      <w:marBottom w:val="0"/>
      <w:divBdr>
        <w:top w:val="none" w:sz="0" w:space="0" w:color="auto"/>
        <w:left w:val="none" w:sz="0" w:space="0" w:color="auto"/>
        <w:bottom w:val="none" w:sz="0" w:space="0" w:color="auto"/>
        <w:right w:val="none" w:sz="0" w:space="0" w:color="auto"/>
      </w:divBdr>
    </w:div>
    <w:div w:id="1449347398">
      <w:bodyDiv w:val="1"/>
      <w:marLeft w:val="0"/>
      <w:marRight w:val="0"/>
      <w:marTop w:val="0"/>
      <w:marBottom w:val="0"/>
      <w:divBdr>
        <w:top w:val="none" w:sz="0" w:space="0" w:color="auto"/>
        <w:left w:val="none" w:sz="0" w:space="0" w:color="auto"/>
        <w:bottom w:val="none" w:sz="0" w:space="0" w:color="auto"/>
        <w:right w:val="none" w:sz="0" w:space="0" w:color="auto"/>
      </w:divBdr>
    </w:div>
    <w:div w:id="1449348014">
      <w:bodyDiv w:val="1"/>
      <w:marLeft w:val="0"/>
      <w:marRight w:val="0"/>
      <w:marTop w:val="0"/>
      <w:marBottom w:val="0"/>
      <w:divBdr>
        <w:top w:val="none" w:sz="0" w:space="0" w:color="auto"/>
        <w:left w:val="none" w:sz="0" w:space="0" w:color="auto"/>
        <w:bottom w:val="none" w:sz="0" w:space="0" w:color="auto"/>
        <w:right w:val="none" w:sz="0" w:space="0" w:color="auto"/>
      </w:divBdr>
    </w:div>
    <w:div w:id="1449350556">
      <w:bodyDiv w:val="1"/>
      <w:marLeft w:val="0"/>
      <w:marRight w:val="0"/>
      <w:marTop w:val="0"/>
      <w:marBottom w:val="0"/>
      <w:divBdr>
        <w:top w:val="none" w:sz="0" w:space="0" w:color="auto"/>
        <w:left w:val="none" w:sz="0" w:space="0" w:color="auto"/>
        <w:bottom w:val="none" w:sz="0" w:space="0" w:color="auto"/>
        <w:right w:val="none" w:sz="0" w:space="0" w:color="auto"/>
      </w:divBdr>
    </w:div>
    <w:div w:id="1449353944">
      <w:bodyDiv w:val="1"/>
      <w:marLeft w:val="0"/>
      <w:marRight w:val="0"/>
      <w:marTop w:val="0"/>
      <w:marBottom w:val="0"/>
      <w:divBdr>
        <w:top w:val="none" w:sz="0" w:space="0" w:color="auto"/>
        <w:left w:val="none" w:sz="0" w:space="0" w:color="auto"/>
        <w:bottom w:val="none" w:sz="0" w:space="0" w:color="auto"/>
        <w:right w:val="none" w:sz="0" w:space="0" w:color="auto"/>
      </w:divBdr>
    </w:div>
    <w:div w:id="1449394477">
      <w:bodyDiv w:val="1"/>
      <w:marLeft w:val="0"/>
      <w:marRight w:val="0"/>
      <w:marTop w:val="0"/>
      <w:marBottom w:val="0"/>
      <w:divBdr>
        <w:top w:val="none" w:sz="0" w:space="0" w:color="auto"/>
        <w:left w:val="none" w:sz="0" w:space="0" w:color="auto"/>
        <w:bottom w:val="none" w:sz="0" w:space="0" w:color="auto"/>
        <w:right w:val="none" w:sz="0" w:space="0" w:color="auto"/>
      </w:divBdr>
    </w:div>
    <w:div w:id="1449661924">
      <w:bodyDiv w:val="1"/>
      <w:marLeft w:val="0"/>
      <w:marRight w:val="0"/>
      <w:marTop w:val="0"/>
      <w:marBottom w:val="0"/>
      <w:divBdr>
        <w:top w:val="none" w:sz="0" w:space="0" w:color="auto"/>
        <w:left w:val="none" w:sz="0" w:space="0" w:color="auto"/>
        <w:bottom w:val="none" w:sz="0" w:space="0" w:color="auto"/>
        <w:right w:val="none" w:sz="0" w:space="0" w:color="auto"/>
      </w:divBdr>
    </w:div>
    <w:div w:id="1449736086">
      <w:bodyDiv w:val="1"/>
      <w:marLeft w:val="0"/>
      <w:marRight w:val="0"/>
      <w:marTop w:val="0"/>
      <w:marBottom w:val="0"/>
      <w:divBdr>
        <w:top w:val="none" w:sz="0" w:space="0" w:color="auto"/>
        <w:left w:val="none" w:sz="0" w:space="0" w:color="auto"/>
        <w:bottom w:val="none" w:sz="0" w:space="0" w:color="auto"/>
        <w:right w:val="none" w:sz="0" w:space="0" w:color="auto"/>
      </w:divBdr>
    </w:div>
    <w:div w:id="1449931431">
      <w:bodyDiv w:val="1"/>
      <w:marLeft w:val="0"/>
      <w:marRight w:val="0"/>
      <w:marTop w:val="0"/>
      <w:marBottom w:val="0"/>
      <w:divBdr>
        <w:top w:val="none" w:sz="0" w:space="0" w:color="auto"/>
        <w:left w:val="none" w:sz="0" w:space="0" w:color="auto"/>
        <w:bottom w:val="none" w:sz="0" w:space="0" w:color="auto"/>
        <w:right w:val="none" w:sz="0" w:space="0" w:color="auto"/>
      </w:divBdr>
    </w:div>
    <w:div w:id="1450003365">
      <w:bodyDiv w:val="1"/>
      <w:marLeft w:val="0"/>
      <w:marRight w:val="0"/>
      <w:marTop w:val="0"/>
      <w:marBottom w:val="0"/>
      <w:divBdr>
        <w:top w:val="none" w:sz="0" w:space="0" w:color="auto"/>
        <w:left w:val="none" w:sz="0" w:space="0" w:color="auto"/>
        <w:bottom w:val="none" w:sz="0" w:space="0" w:color="auto"/>
        <w:right w:val="none" w:sz="0" w:space="0" w:color="auto"/>
      </w:divBdr>
    </w:div>
    <w:div w:id="1450051761">
      <w:bodyDiv w:val="1"/>
      <w:marLeft w:val="0"/>
      <w:marRight w:val="0"/>
      <w:marTop w:val="0"/>
      <w:marBottom w:val="0"/>
      <w:divBdr>
        <w:top w:val="none" w:sz="0" w:space="0" w:color="auto"/>
        <w:left w:val="none" w:sz="0" w:space="0" w:color="auto"/>
        <w:bottom w:val="none" w:sz="0" w:space="0" w:color="auto"/>
        <w:right w:val="none" w:sz="0" w:space="0" w:color="auto"/>
      </w:divBdr>
    </w:div>
    <w:div w:id="1450203275">
      <w:bodyDiv w:val="1"/>
      <w:marLeft w:val="0"/>
      <w:marRight w:val="0"/>
      <w:marTop w:val="0"/>
      <w:marBottom w:val="0"/>
      <w:divBdr>
        <w:top w:val="none" w:sz="0" w:space="0" w:color="auto"/>
        <w:left w:val="none" w:sz="0" w:space="0" w:color="auto"/>
        <w:bottom w:val="none" w:sz="0" w:space="0" w:color="auto"/>
        <w:right w:val="none" w:sz="0" w:space="0" w:color="auto"/>
      </w:divBdr>
    </w:div>
    <w:div w:id="1450272043">
      <w:bodyDiv w:val="1"/>
      <w:marLeft w:val="0"/>
      <w:marRight w:val="0"/>
      <w:marTop w:val="0"/>
      <w:marBottom w:val="0"/>
      <w:divBdr>
        <w:top w:val="none" w:sz="0" w:space="0" w:color="auto"/>
        <w:left w:val="none" w:sz="0" w:space="0" w:color="auto"/>
        <w:bottom w:val="none" w:sz="0" w:space="0" w:color="auto"/>
        <w:right w:val="none" w:sz="0" w:space="0" w:color="auto"/>
      </w:divBdr>
    </w:div>
    <w:div w:id="1450273596">
      <w:bodyDiv w:val="1"/>
      <w:marLeft w:val="0"/>
      <w:marRight w:val="0"/>
      <w:marTop w:val="0"/>
      <w:marBottom w:val="0"/>
      <w:divBdr>
        <w:top w:val="none" w:sz="0" w:space="0" w:color="auto"/>
        <w:left w:val="none" w:sz="0" w:space="0" w:color="auto"/>
        <w:bottom w:val="none" w:sz="0" w:space="0" w:color="auto"/>
        <w:right w:val="none" w:sz="0" w:space="0" w:color="auto"/>
      </w:divBdr>
    </w:div>
    <w:div w:id="1450276458">
      <w:bodyDiv w:val="1"/>
      <w:marLeft w:val="0"/>
      <w:marRight w:val="0"/>
      <w:marTop w:val="0"/>
      <w:marBottom w:val="0"/>
      <w:divBdr>
        <w:top w:val="none" w:sz="0" w:space="0" w:color="auto"/>
        <w:left w:val="none" w:sz="0" w:space="0" w:color="auto"/>
        <w:bottom w:val="none" w:sz="0" w:space="0" w:color="auto"/>
        <w:right w:val="none" w:sz="0" w:space="0" w:color="auto"/>
      </w:divBdr>
    </w:div>
    <w:div w:id="1450276544">
      <w:bodyDiv w:val="1"/>
      <w:marLeft w:val="0"/>
      <w:marRight w:val="0"/>
      <w:marTop w:val="0"/>
      <w:marBottom w:val="0"/>
      <w:divBdr>
        <w:top w:val="none" w:sz="0" w:space="0" w:color="auto"/>
        <w:left w:val="none" w:sz="0" w:space="0" w:color="auto"/>
        <w:bottom w:val="none" w:sz="0" w:space="0" w:color="auto"/>
        <w:right w:val="none" w:sz="0" w:space="0" w:color="auto"/>
      </w:divBdr>
    </w:div>
    <w:div w:id="1450323168">
      <w:bodyDiv w:val="1"/>
      <w:marLeft w:val="0"/>
      <w:marRight w:val="0"/>
      <w:marTop w:val="0"/>
      <w:marBottom w:val="0"/>
      <w:divBdr>
        <w:top w:val="none" w:sz="0" w:space="0" w:color="auto"/>
        <w:left w:val="none" w:sz="0" w:space="0" w:color="auto"/>
        <w:bottom w:val="none" w:sz="0" w:space="0" w:color="auto"/>
        <w:right w:val="none" w:sz="0" w:space="0" w:color="auto"/>
      </w:divBdr>
    </w:div>
    <w:div w:id="1450396492">
      <w:bodyDiv w:val="1"/>
      <w:marLeft w:val="0"/>
      <w:marRight w:val="0"/>
      <w:marTop w:val="0"/>
      <w:marBottom w:val="0"/>
      <w:divBdr>
        <w:top w:val="none" w:sz="0" w:space="0" w:color="auto"/>
        <w:left w:val="none" w:sz="0" w:space="0" w:color="auto"/>
        <w:bottom w:val="none" w:sz="0" w:space="0" w:color="auto"/>
        <w:right w:val="none" w:sz="0" w:space="0" w:color="auto"/>
      </w:divBdr>
    </w:div>
    <w:div w:id="1450587513">
      <w:bodyDiv w:val="1"/>
      <w:marLeft w:val="0"/>
      <w:marRight w:val="0"/>
      <w:marTop w:val="0"/>
      <w:marBottom w:val="0"/>
      <w:divBdr>
        <w:top w:val="none" w:sz="0" w:space="0" w:color="auto"/>
        <w:left w:val="none" w:sz="0" w:space="0" w:color="auto"/>
        <w:bottom w:val="none" w:sz="0" w:space="0" w:color="auto"/>
        <w:right w:val="none" w:sz="0" w:space="0" w:color="auto"/>
      </w:divBdr>
    </w:div>
    <w:div w:id="1450858671">
      <w:bodyDiv w:val="1"/>
      <w:marLeft w:val="0"/>
      <w:marRight w:val="0"/>
      <w:marTop w:val="0"/>
      <w:marBottom w:val="0"/>
      <w:divBdr>
        <w:top w:val="none" w:sz="0" w:space="0" w:color="auto"/>
        <w:left w:val="none" w:sz="0" w:space="0" w:color="auto"/>
        <w:bottom w:val="none" w:sz="0" w:space="0" w:color="auto"/>
        <w:right w:val="none" w:sz="0" w:space="0" w:color="auto"/>
      </w:divBdr>
    </w:div>
    <w:div w:id="1450970766">
      <w:bodyDiv w:val="1"/>
      <w:marLeft w:val="0"/>
      <w:marRight w:val="0"/>
      <w:marTop w:val="0"/>
      <w:marBottom w:val="0"/>
      <w:divBdr>
        <w:top w:val="none" w:sz="0" w:space="0" w:color="auto"/>
        <w:left w:val="none" w:sz="0" w:space="0" w:color="auto"/>
        <w:bottom w:val="none" w:sz="0" w:space="0" w:color="auto"/>
        <w:right w:val="none" w:sz="0" w:space="0" w:color="auto"/>
      </w:divBdr>
    </w:div>
    <w:div w:id="1450971416">
      <w:bodyDiv w:val="1"/>
      <w:marLeft w:val="0"/>
      <w:marRight w:val="0"/>
      <w:marTop w:val="0"/>
      <w:marBottom w:val="0"/>
      <w:divBdr>
        <w:top w:val="none" w:sz="0" w:space="0" w:color="auto"/>
        <w:left w:val="none" w:sz="0" w:space="0" w:color="auto"/>
        <w:bottom w:val="none" w:sz="0" w:space="0" w:color="auto"/>
        <w:right w:val="none" w:sz="0" w:space="0" w:color="auto"/>
      </w:divBdr>
    </w:div>
    <w:div w:id="1450978031">
      <w:bodyDiv w:val="1"/>
      <w:marLeft w:val="0"/>
      <w:marRight w:val="0"/>
      <w:marTop w:val="0"/>
      <w:marBottom w:val="0"/>
      <w:divBdr>
        <w:top w:val="none" w:sz="0" w:space="0" w:color="auto"/>
        <w:left w:val="none" w:sz="0" w:space="0" w:color="auto"/>
        <w:bottom w:val="none" w:sz="0" w:space="0" w:color="auto"/>
        <w:right w:val="none" w:sz="0" w:space="0" w:color="auto"/>
      </w:divBdr>
    </w:div>
    <w:div w:id="1451122174">
      <w:bodyDiv w:val="1"/>
      <w:marLeft w:val="0"/>
      <w:marRight w:val="0"/>
      <w:marTop w:val="0"/>
      <w:marBottom w:val="0"/>
      <w:divBdr>
        <w:top w:val="none" w:sz="0" w:space="0" w:color="auto"/>
        <w:left w:val="none" w:sz="0" w:space="0" w:color="auto"/>
        <w:bottom w:val="none" w:sz="0" w:space="0" w:color="auto"/>
        <w:right w:val="none" w:sz="0" w:space="0" w:color="auto"/>
      </w:divBdr>
    </w:div>
    <w:div w:id="1451127128">
      <w:bodyDiv w:val="1"/>
      <w:marLeft w:val="0"/>
      <w:marRight w:val="0"/>
      <w:marTop w:val="0"/>
      <w:marBottom w:val="0"/>
      <w:divBdr>
        <w:top w:val="none" w:sz="0" w:space="0" w:color="auto"/>
        <w:left w:val="none" w:sz="0" w:space="0" w:color="auto"/>
        <w:bottom w:val="none" w:sz="0" w:space="0" w:color="auto"/>
        <w:right w:val="none" w:sz="0" w:space="0" w:color="auto"/>
      </w:divBdr>
    </w:div>
    <w:div w:id="1451241284">
      <w:bodyDiv w:val="1"/>
      <w:marLeft w:val="0"/>
      <w:marRight w:val="0"/>
      <w:marTop w:val="0"/>
      <w:marBottom w:val="0"/>
      <w:divBdr>
        <w:top w:val="none" w:sz="0" w:space="0" w:color="auto"/>
        <w:left w:val="none" w:sz="0" w:space="0" w:color="auto"/>
        <w:bottom w:val="none" w:sz="0" w:space="0" w:color="auto"/>
        <w:right w:val="none" w:sz="0" w:space="0" w:color="auto"/>
      </w:divBdr>
    </w:div>
    <w:div w:id="1451245708">
      <w:bodyDiv w:val="1"/>
      <w:marLeft w:val="0"/>
      <w:marRight w:val="0"/>
      <w:marTop w:val="0"/>
      <w:marBottom w:val="0"/>
      <w:divBdr>
        <w:top w:val="none" w:sz="0" w:space="0" w:color="auto"/>
        <w:left w:val="none" w:sz="0" w:space="0" w:color="auto"/>
        <w:bottom w:val="none" w:sz="0" w:space="0" w:color="auto"/>
        <w:right w:val="none" w:sz="0" w:space="0" w:color="auto"/>
      </w:divBdr>
    </w:div>
    <w:div w:id="1451313407">
      <w:bodyDiv w:val="1"/>
      <w:marLeft w:val="0"/>
      <w:marRight w:val="0"/>
      <w:marTop w:val="0"/>
      <w:marBottom w:val="0"/>
      <w:divBdr>
        <w:top w:val="none" w:sz="0" w:space="0" w:color="auto"/>
        <w:left w:val="none" w:sz="0" w:space="0" w:color="auto"/>
        <w:bottom w:val="none" w:sz="0" w:space="0" w:color="auto"/>
        <w:right w:val="none" w:sz="0" w:space="0" w:color="auto"/>
      </w:divBdr>
    </w:div>
    <w:div w:id="1451320345">
      <w:bodyDiv w:val="1"/>
      <w:marLeft w:val="0"/>
      <w:marRight w:val="0"/>
      <w:marTop w:val="0"/>
      <w:marBottom w:val="0"/>
      <w:divBdr>
        <w:top w:val="none" w:sz="0" w:space="0" w:color="auto"/>
        <w:left w:val="none" w:sz="0" w:space="0" w:color="auto"/>
        <w:bottom w:val="none" w:sz="0" w:space="0" w:color="auto"/>
        <w:right w:val="none" w:sz="0" w:space="0" w:color="auto"/>
      </w:divBdr>
    </w:div>
    <w:div w:id="1451322529">
      <w:bodyDiv w:val="1"/>
      <w:marLeft w:val="0"/>
      <w:marRight w:val="0"/>
      <w:marTop w:val="0"/>
      <w:marBottom w:val="0"/>
      <w:divBdr>
        <w:top w:val="none" w:sz="0" w:space="0" w:color="auto"/>
        <w:left w:val="none" w:sz="0" w:space="0" w:color="auto"/>
        <w:bottom w:val="none" w:sz="0" w:space="0" w:color="auto"/>
        <w:right w:val="none" w:sz="0" w:space="0" w:color="auto"/>
      </w:divBdr>
    </w:div>
    <w:div w:id="1451390254">
      <w:bodyDiv w:val="1"/>
      <w:marLeft w:val="0"/>
      <w:marRight w:val="0"/>
      <w:marTop w:val="0"/>
      <w:marBottom w:val="0"/>
      <w:divBdr>
        <w:top w:val="none" w:sz="0" w:space="0" w:color="auto"/>
        <w:left w:val="none" w:sz="0" w:space="0" w:color="auto"/>
        <w:bottom w:val="none" w:sz="0" w:space="0" w:color="auto"/>
        <w:right w:val="none" w:sz="0" w:space="0" w:color="auto"/>
      </w:divBdr>
    </w:div>
    <w:div w:id="1451391638">
      <w:bodyDiv w:val="1"/>
      <w:marLeft w:val="0"/>
      <w:marRight w:val="0"/>
      <w:marTop w:val="0"/>
      <w:marBottom w:val="0"/>
      <w:divBdr>
        <w:top w:val="none" w:sz="0" w:space="0" w:color="auto"/>
        <w:left w:val="none" w:sz="0" w:space="0" w:color="auto"/>
        <w:bottom w:val="none" w:sz="0" w:space="0" w:color="auto"/>
        <w:right w:val="none" w:sz="0" w:space="0" w:color="auto"/>
      </w:divBdr>
    </w:div>
    <w:div w:id="1451581918">
      <w:bodyDiv w:val="1"/>
      <w:marLeft w:val="0"/>
      <w:marRight w:val="0"/>
      <w:marTop w:val="0"/>
      <w:marBottom w:val="0"/>
      <w:divBdr>
        <w:top w:val="none" w:sz="0" w:space="0" w:color="auto"/>
        <w:left w:val="none" w:sz="0" w:space="0" w:color="auto"/>
        <w:bottom w:val="none" w:sz="0" w:space="0" w:color="auto"/>
        <w:right w:val="none" w:sz="0" w:space="0" w:color="auto"/>
      </w:divBdr>
    </w:div>
    <w:div w:id="1451780486">
      <w:bodyDiv w:val="1"/>
      <w:marLeft w:val="0"/>
      <w:marRight w:val="0"/>
      <w:marTop w:val="0"/>
      <w:marBottom w:val="0"/>
      <w:divBdr>
        <w:top w:val="none" w:sz="0" w:space="0" w:color="auto"/>
        <w:left w:val="none" w:sz="0" w:space="0" w:color="auto"/>
        <w:bottom w:val="none" w:sz="0" w:space="0" w:color="auto"/>
        <w:right w:val="none" w:sz="0" w:space="0" w:color="auto"/>
      </w:divBdr>
    </w:div>
    <w:div w:id="1452093561">
      <w:bodyDiv w:val="1"/>
      <w:marLeft w:val="0"/>
      <w:marRight w:val="0"/>
      <w:marTop w:val="0"/>
      <w:marBottom w:val="0"/>
      <w:divBdr>
        <w:top w:val="none" w:sz="0" w:space="0" w:color="auto"/>
        <w:left w:val="none" w:sz="0" w:space="0" w:color="auto"/>
        <w:bottom w:val="none" w:sz="0" w:space="0" w:color="auto"/>
        <w:right w:val="none" w:sz="0" w:space="0" w:color="auto"/>
      </w:divBdr>
    </w:div>
    <w:div w:id="1452167803">
      <w:bodyDiv w:val="1"/>
      <w:marLeft w:val="0"/>
      <w:marRight w:val="0"/>
      <w:marTop w:val="0"/>
      <w:marBottom w:val="0"/>
      <w:divBdr>
        <w:top w:val="none" w:sz="0" w:space="0" w:color="auto"/>
        <w:left w:val="none" w:sz="0" w:space="0" w:color="auto"/>
        <w:bottom w:val="none" w:sz="0" w:space="0" w:color="auto"/>
        <w:right w:val="none" w:sz="0" w:space="0" w:color="auto"/>
      </w:divBdr>
    </w:div>
    <w:div w:id="1452238757">
      <w:bodyDiv w:val="1"/>
      <w:marLeft w:val="0"/>
      <w:marRight w:val="0"/>
      <w:marTop w:val="0"/>
      <w:marBottom w:val="0"/>
      <w:divBdr>
        <w:top w:val="none" w:sz="0" w:space="0" w:color="auto"/>
        <w:left w:val="none" w:sz="0" w:space="0" w:color="auto"/>
        <w:bottom w:val="none" w:sz="0" w:space="0" w:color="auto"/>
        <w:right w:val="none" w:sz="0" w:space="0" w:color="auto"/>
      </w:divBdr>
    </w:div>
    <w:div w:id="1452242949">
      <w:bodyDiv w:val="1"/>
      <w:marLeft w:val="0"/>
      <w:marRight w:val="0"/>
      <w:marTop w:val="0"/>
      <w:marBottom w:val="0"/>
      <w:divBdr>
        <w:top w:val="none" w:sz="0" w:space="0" w:color="auto"/>
        <w:left w:val="none" w:sz="0" w:space="0" w:color="auto"/>
        <w:bottom w:val="none" w:sz="0" w:space="0" w:color="auto"/>
        <w:right w:val="none" w:sz="0" w:space="0" w:color="auto"/>
      </w:divBdr>
    </w:div>
    <w:div w:id="1452282290">
      <w:bodyDiv w:val="1"/>
      <w:marLeft w:val="0"/>
      <w:marRight w:val="0"/>
      <w:marTop w:val="0"/>
      <w:marBottom w:val="0"/>
      <w:divBdr>
        <w:top w:val="none" w:sz="0" w:space="0" w:color="auto"/>
        <w:left w:val="none" w:sz="0" w:space="0" w:color="auto"/>
        <w:bottom w:val="none" w:sz="0" w:space="0" w:color="auto"/>
        <w:right w:val="none" w:sz="0" w:space="0" w:color="auto"/>
      </w:divBdr>
    </w:div>
    <w:div w:id="1452435889">
      <w:bodyDiv w:val="1"/>
      <w:marLeft w:val="0"/>
      <w:marRight w:val="0"/>
      <w:marTop w:val="0"/>
      <w:marBottom w:val="0"/>
      <w:divBdr>
        <w:top w:val="none" w:sz="0" w:space="0" w:color="auto"/>
        <w:left w:val="none" w:sz="0" w:space="0" w:color="auto"/>
        <w:bottom w:val="none" w:sz="0" w:space="0" w:color="auto"/>
        <w:right w:val="none" w:sz="0" w:space="0" w:color="auto"/>
      </w:divBdr>
    </w:div>
    <w:div w:id="1452436777">
      <w:bodyDiv w:val="1"/>
      <w:marLeft w:val="0"/>
      <w:marRight w:val="0"/>
      <w:marTop w:val="0"/>
      <w:marBottom w:val="0"/>
      <w:divBdr>
        <w:top w:val="none" w:sz="0" w:space="0" w:color="auto"/>
        <w:left w:val="none" w:sz="0" w:space="0" w:color="auto"/>
        <w:bottom w:val="none" w:sz="0" w:space="0" w:color="auto"/>
        <w:right w:val="none" w:sz="0" w:space="0" w:color="auto"/>
      </w:divBdr>
    </w:div>
    <w:div w:id="1452552977">
      <w:bodyDiv w:val="1"/>
      <w:marLeft w:val="0"/>
      <w:marRight w:val="0"/>
      <w:marTop w:val="0"/>
      <w:marBottom w:val="0"/>
      <w:divBdr>
        <w:top w:val="none" w:sz="0" w:space="0" w:color="auto"/>
        <w:left w:val="none" w:sz="0" w:space="0" w:color="auto"/>
        <w:bottom w:val="none" w:sz="0" w:space="0" w:color="auto"/>
        <w:right w:val="none" w:sz="0" w:space="0" w:color="auto"/>
      </w:divBdr>
    </w:div>
    <w:div w:id="1452626510">
      <w:bodyDiv w:val="1"/>
      <w:marLeft w:val="0"/>
      <w:marRight w:val="0"/>
      <w:marTop w:val="0"/>
      <w:marBottom w:val="0"/>
      <w:divBdr>
        <w:top w:val="none" w:sz="0" w:space="0" w:color="auto"/>
        <w:left w:val="none" w:sz="0" w:space="0" w:color="auto"/>
        <w:bottom w:val="none" w:sz="0" w:space="0" w:color="auto"/>
        <w:right w:val="none" w:sz="0" w:space="0" w:color="auto"/>
      </w:divBdr>
    </w:div>
    <w:div w:id="1452628748">
      <w:bodyDiv w:val="1"/>
      <w:marLeft w:val="0"/>
      <w:marRight w:val="0"/>
      <w:marTop w:val="0"/>
      <w:marBottom w:val="0"/>
      <w:divBdr>
        <w:top w:val="none" w:sz="0" w:space="0" w:color="auto"/>
        <w:left w:val="none" w:sz="0" w:space="0" w:color="auto"/>
        <w:bottom w:val="none" w:sz="0" w:space="0" w:color="auto"/>
        <w:right w:val="none" w:sz="0" w:space="0" w:color="auto"/>
      </w:divBdr>
    </w:div>
    <w:div w:id="1452702120">
      <w:bodyDiv w:val="1"/>
      <w:marLeft w:val="0"/>
      <w:marRight w:val="0"/>
      <w:marTop w:val="0"/>
      <w:marBottom w:val="0"/>
      <w:divBdr>
        <w:top w:val="none" w:sz="0" w:space="0" w:color="auto"/>
        <w:left w:val="none" w:sz="0" w:space="0" w:color="auto"/>
        <w:bottom w:val="none" w:sz="0" w:space="0" w:color="auto"/>
        <w:right w:val="none" w:sz="0" w:space="0" w:color="auto"/>
      </w:divBdr>
    </w:div>
    <w:div w:id="1452751305">
      <w:bodyDiv w:val="1"/>
      <w:marLeft w:val="0"/>
      <w:marRight w:val="0"/>
      <w:marTop w:val="0"/>
      <w:marBottom w:val="0"/>
      <w:divBdr>
        <w:top w:val="none" w:sz="0" w:space="0" w:color="auto"/>
        <w:left w:val="none" w:sz="0" w:space="0" w:color="auto"/>
        <w:bottom w:val="none" w:sz="0" w:space="0" w:color="auto"/>
        <w:right w:val="none" w:sz="0" w:space="0" w:color="auto"/>
      </w:divBdr>
    </w:div>
    <w:div w:id="1452817289">
      <w:bodyDiv w:val="1"/>
      <w:marLeft w:val="0"/>
      <w:marRight w:val="0"/>
      <w:marTop w:val="0"/>
      <w:marBottom w:val="0"/>
      <w:divBdr>
        <w:top w:val="none" w:sz="0" w:space="0" w:color="auto"/>
        <w:left w:val="none" w:sz="0" w:space="0" w:color="auto"/>
        <w:bottom w:val="none" w:sz="0" w:space="0" w:color="auto"/>
        <w:right w:val="none" w:sz="0" w:space="0" w:color="auto"/>
      </w:divBdr>
    </w:div>
    <w:div w:id="1452935667">
      <w:bodyDiv w:val="1"/>
      <w:marLeft w:val="0"/>
      <w:marRight w:val="0"/>
      <w:marTop w:val="0"/>
      <w:marBottom w:val="0"/>
      <w:divBdr>
        <w:top w:val="none" w:sz="0" w:space="0" w:color="auto"/>
        <w:left w:val="none" w:sz="0" w:space="0" w:color="auto"/>
        <w:bottom w:val="none" w:sz="0" w:space="0" w:color="auto"/>
        <w:right w:val="none" w:sz="0" w:space="0" w:color="auto"/>
      </w:divBdr>
    </w:div>
    <w:div w:id="1452942075">
      <w:bodyDiv w:val="1"/>
      <w:marLeft w:val="0"/>
      <w:marRight w:val="0"/>
      <w:marTop w:val="0"/>
      <w:marBottom w:val="0"/>
      <w:divBdr>
        <w:top w:val="none" w:sz="0" w:space="0" w:color="auto"/>
        <w:left w:val="none" w:sz="0" w:space="0" w:color="auto"/>
        <w:bottom w:val="none" w:sz="0" w:space="0" w:color="auto"/>
        <w:right w:val="none" w:sz="0" w:space="0" w:color="auto"/>
      </w:divBdr>
    </w:div>
    <w:div w:id="1453132309">
      <w:bodyDiv w:val="1"/>
      <w:marLeft w:val="0"/>
      <w:marRight w:val="0"/>
      <w:marTop w:val="0"/>
      <w:marBottom w:val="0"/>
      <w:divBdr>
        <w:top w:val="none" w:sz="0" w:space="0" w:color="auto"/>
        <w:left w:val="none" w:sz="0" w:space="0" w:color="auto"/>
        <w:bottom w:val="none" w:sz="0" w:space="0" w:color="auto"/>
        <w:right w:val="none" w:sz="0" w:space="0" w:color="auto"/>
      </w:divBdr>
    </w:div>
    <w:div w:id="1453133650">
      <w:bodyDiv w:val="1"/>
      <w:marLeft w:val="0"/>
      <w:marRight w:val="0"/>
      <w:marTop w:val="0"/>
      <w:marBottom w:val="0"/>
      <w:divBdr>
        <w:top w:val="none" w:sz="0" w:space="0" w:color="auto"/>
        <w:left w:val="none" w:sz="0" w:space="0" w:color="auto"/>
        <w:bottom w:val="none" w:sz="0" w:space="0" w:color="auto"/>
        <w:right w:val="none" w:sz="0" w:space="0" w:color="auto"/>
      </w:divBdr>
    </w:div>
    <w:div w:id="1453136071">
      <w:bodyDiv w:val="1"/>
      <w:marLeft w:val="0"/>
      <w:marRight w:val="0"/>
      <w:marTop w:val="0"/>
      <w:marBottom w:val="0"/>
      <w:divBdr>
        <w:top w:val="none" w:sz="0" w:space="0" w:color="auto"/>
        <w:left w:val="none" w:sz="0" w:space="0" w:color="auto"/>
        <w:bottom w:val="none" w:sz="0" w:space="0" w:color="auto"/>
        <w:right w:val="none" w:sz="0" w:space="0" w:color="auto"/>
      </w:divBdr>
    </w:div>
    <w:div w:id="1453282149">
      <w:bodyDiv w:val="1"/>
      <w:marLeft w:val="0"/>
      <w:marRight w:val="0"/>
      <w:marTop w:val="0"/>
      <w:marBottom w:val="0"/>
      <w:divBdr>
        <w:top w:val="none" w:sz="0" w:space="0" w:color="auto"/>
        <w:left w:val="none" w:sz="0" w:space="0" w:color="auto"/>
        <w:bottom w:val="none" w:sz="0" w:space="0" w:color="auto"/>
        <w:right w:val="none" w:sz="0" w:space="0" w:color="auto"/>
      </w:divBdr>
    </w:div>
    <w:div w:id="1453398474">
      <w:bodyDiv w:val="1"/>
      <w:marLeft w:val="0"/>
      <w:marRight w:val="0"/>
      <w:marTop w:val="0"/>
      <w:marBottom w:val="0"/>
      <w:divBdr>
        <w:top w:val="none" w:sz="0" w:space="0" w:color="auto"/>
        <w:left w:val="none" w:sz="0" w:space="0" w:color="auto"/>
        <w:bottom w:val="none" w:sz="0" w:space="0" w:color="auto"/>
        <w:right w:val="none" w:sz="0" w:space="0" w:color="auto"/>
      </w:divBdr>
    </w:div>
    <w:div w:id="1453399213">
      <w:bodyDiv w:val="1"/>
      <w:marLeft w:val="0"/>
      <w:marRight w:val="0"/>
      <w:marTop w:val="0"/>
      <w:marBottom w:val="0"/>
      <w:divBdr>
        <w:top w:val="none" w:sz="0" w:space="0" w:color="auto"/>
        <w:left w:val="none" w:sz="0" w:space="0" w:color="auto"/>
        <w:bottom w:val="none" w:sz="0" w:space="0" w:color="auto"/>
        <w:right w:val="none" w:sz="0" w:space="0" w:color="auto"/>
      </w:divBdr>
    </w:div>
    <w:div w:id="1453475370">
      <w:bodyDiv w:val="1"/>
      <w:marLeft w:val="0"/>
      <w:marRight w:val="0"/>
      <w:marTop w:val="0"/>
      <w:marBottom w:val="0"/>
      <w:divBdr>
        <w:top w:val="none" w:sz="0" w:space="0" w:color="auto"/>
        <w:left w:val="none" w:sz="0" w:space="0" w:color="auto"/>
        <w:bottom w:val="none" w:sz="0" w:space="0" w:color="auto"/>
        <w:right w:val="none" w:sz="0" w:space="0" w:color="auto"/>
      </w:divBdr>
    </w:div>
    <w:div w:id="1453480887">
      <w:bodyDiv w:val="1"/>
      <w:marLeft w:val="0"/>
      <w:marRight w:val="0"/>
      <w:marTop w:val="0"/>
      <w:marBottom w:val="0"/>
      <w:divBdr>
        <w:top w:val="none" w:sz="0" w:space="0" w:color="auto"/>
        <w:left w:val="none" w:sz="0" w:space="0" w:color="auto"/>
        <w:bottom w:val="none" w:sz="0" w:space="0" w:color="auto"/>
        <w:right w:val="none" w:sz="0" w:space="0" w:color="auto"/>
      </w:divBdr>
    </w:div>
    <w:div w:id="1453549175">
      <w:bodyDiv w:val="1"/>
      <w:marLeft w:val="0"/>
      <w:marRight w:val="0"/>
      <w:marTop w:val="0"/>
      <w:marBottom w:val="0"/>
      <w:divBdr>
        <w:top w:val="none" w:sz="0" w:space="0" w:color="auto"/>
        <w:left w:val="none" w:sz="0" w:space="0" w:color="auto"/>
        <w:bottom w:val="none" w:sz="0" w:space="0" w:color="auto"/>
        <w:right w:val="none" w:sz="0" w:space="0" w:color="auto"/>
      </w:divBdr>
    </w:div>
    <w:div w:id="1453550727">
      <w:bodyDiv w:val="1"/>
      <w:marLeft w:val="0"/>
      <w:marRight w:val="0"/>
      <w:marTop w:val="0"/>
      <w:marBottom w:val="0"/>
      <w:divBdr>
        <w:top w:val="none" w:sz="0" w:space="0" w:color="auto"/>
        <w:left w:val="none" w:sz="0" w:space="0" w:color="auto"/>
        <w:bottom w:val="none" w:sz="0" w:space="0" w:color="auto"/>
        <w:right w:val="none" w:sz="0" w:space="0" w:color="auto"/>
      </w:divBdr>
    </w:div>
    <w:div w:id="1453551883">
      <w:bodyDiv w:val="1"/>
      <w:marLeft w:val="0"/>
      <w:marRight w:val="0"/>
      <w:marTop w:val="0"/>
      <w:marBottom w:val="0"/>
      <w:divBdr>
        <w:top w:val="none" w:sz="0" w:space="0" w:color="auto"/>
        <w:left w:val="none" w:sz="0" w:space="0" w:color="auto"/>
        <w:bottom w:val="none" w:sz="0" w:space="0" w:color="auto"/>
        <w:right w:val="none" w:sz="0" w:space="0" w:color="auto"/>
      </w:divBdr>
    </w:div>
    <w:div w:id="1453668847">
      <w:bodyDiv w:val="1"/>
      <w:marLeft w:val="0"/>
      <w:marRight w:val="0"/>
      <w:marTop w:val="0"/>
      <w:marBottom w:val="0"/>
      <w:divBdr>
        <w:top w:val="none" w:sz="0" w:space="0" w:color="auto"/>
        <w:left w:val="none" w:sz="0" w:space="0" w:color="auto"/>
        <w:bottom w:val="none" w:sz="0" w:space="0" w:color="auto"/>
        <w:right w:val="none" w:sz="0" w:space="0" w:color="auto"/>
      </w:divBdr>
    </w:div>
    <w:div w:id="1453787976">
      <w:bodyDiv w:val="1"/>
      <w:marLeft w:val="0"/>
      <w:marRight w:val="0"/>
      <w:marTop w:val="0"/>
      <w:marBottom w:val="0"/>
      <w:divBdr>
        <w:top w:val="none" w:sz="0" w:space="0" w:color="auto"/>
        <w:left w:val="none" w:sz="0" w:space="0" w:color="auto"/>
        <w:bottom w:val="none" w:sz="0" w:space="0" w:color="auto"/>
        <w:right w:val="none" w:sz="0" w:space="0" w:color="auto"/>
      </w:divBdr>
    </w:div>
    <w:div w:id="1453789552">
      <w:bodyDiv w:val="1"/>
      <w:marLeft w:val="0"/>
      <w:marRight w:val="0"/>
      <w:marTop w:val="0"/>
      <w:marBottom w:val="0"/>
      <w:divBdr>
        <w:top w:val="none" w:sz="0" w:space="0" w:color="auto"/>
        <w:left w:val="none" w:sz="0" w:space="0" w:color="auto"/>
        <w:bottom w:val="none" w:sz="0" w:space="0" w:color="auto"/>
        <w:right w:val="none" w:sz="0" w:space="0" w:color="auto"/>
      </w:divBdr>
    </w:div>
    <w:div w:id="1453937829">
      <w:bodyDiv w:val="1"/>
      <w:marLeft w:val="0"/>
      <w:marRight w:val="0"/>
      <w:marTop w:val="0"/>
      <w:marBottom w:val="0"/>
      <w:divBdr>
        <w:top w:val="none" w:sz="0" w:space="0" w:color="auto"/>
        <w:left w:val="none" w:sz="0" w:space="0" w:color="auto"/>
        <w:bottom w:val="none" w:sz="0" w:space="0" w:color="auto"/>
        <w:right w:val="none" w:sz="0" w:space="0" w:color="auto"/>
      </w:divBdr>
    </w:div>
    <w:div w:id="1454131452">
      <w:bodyDiv w:val="1"/>
      <w:marLeft w:val="0"/>
      <w:marRight w:val="0"/>
      <w:marTop w:val="0"/>
      <w:marBottom w:val="0"/>
      <w:divBdr>
        <w:top w:val="none" w:sz="0" w:space="0" w:color="auto"/>
        <w:left w:val="none" w:sz="0" w:space="0" w:color="auto"/>
        <w:bottom w:val="none" w:sz="0" w:space="0" w:color="auto"/>
        <w:right w:val="none" w:sz="0" w:space="0" w:color="auto"/>
      </w:divBdr>
    </w:div>
    <w:div w:id="1454135614">
      <w:bodyDiv w:val="1"/>
      <w:marLeft w:val="0"/>
      <w:marRight w:val="0"/>
      <w:marTop w:val="0"/>
      <w:marBottom w:val="0"/>
      <w:divBdr>
        <w:top w:val="none" w:sz="0" w:space="0" w:color="auto"/>
        <w:left w:val="none" w:sz="0" w:space="0" w:color="auto"/>
        <w:bottom w:val="none" w:sz="0" w:space="0" w:color="auto"/>
        <w:right w:val="none" w:sz="0" w:space="0" w:color="auto"/>
      </w:divBdr>
    </w:div>
    <w:div w:id="1454203167">
      <w:bodyDiv w:val="1"/>
      <w:marLeft w:val="0"/>
      <w:marRight w:val="0"/>
      <w:marTop w:val="0"/>
      <w:marBottom w:val="0"/>
      <w:divBdr>
        <w:top w:val="none" w:sz="0" w:space="0" w:color="auto"/>
        <w:left w:val="none" w:sz="0" w:space="0" w:color="auto"/>
        <w:bottom w:val="none" w:sz="0" w:space="0" w:color="auto"/>
        <w:right w:val="none" w:sz="0" w:space="0" w:color="auto"/>
      </w:divBdr>
    </w:div>
    <w:div w:id="1454207218">
      <w:bodyDiv w:val="1"/>
      <w:marLeft w:val="0"/>
      <w:marRight w:val="0"/>
      <w:marTop w:val="0"/>
      <w:marBottom w:val="0"/>
      <w:divBdr>
        <w:top w:val="none" w:sz="0" w:space="0" w:color="auto"/>
        <w:left w:val="none" w:sz="0" w:space="0" w:color="auto"/>
        <w:bottom w:val="none" w:sz="0" w:space="0" w:color="auto"/>
        <w:right w:val="none" w:sz="0" w:space="0" w:color="auto"/>
      </w:divBdr>
    </w:div>
    <w:div w:id="1454207605">
      <w:bodyDiv w:val="1"/>
      <w:marLeft w:val="0"/>
      <w:marRight w:val="0"/>
      <w:marTop w:val="0"/>
      <w:marBottom w:val="0"/>
      <w:divBdr>
        <w:top w:val="none" w:sz="0" w:space="0" w:color="auto"/>
        <w:left w:val="none" w:sz="0" w:space="0" w:color="auto"/>
        <w:bottom w:val="none" w:sz="0" w:space="0" w:color="auto"/>
        <w:right w:val="none" w:sz="0" w:space="0" w:color="auto"/>
      </w:divBdr>
    </w:div>
    <w:div w:id="1454208104">
      <w:bodyDiv w:val="1"/>
      <w:marLeft w:val="0"/>
      <w:marRight w:val="0"/>
      <w:marTop w:val="0"/>
      <w:marBottom w:val="0"/>
      <w:divBdr>
        <w:top w:val="none" w:sz="0" w:space="0" w:color="auto"/>
        <w:left w:val="none" w:sz="0" w:space="0" w:color="auto"/>
        <w:bottom w:val="none" w:sz="0" w:space="0" w:color="auto"/>
        <w:right w:val="none" w:sz="0" w:space="0" w:color="auto"/>
      </w:divBdr>
    </w:div>
    <w:div w:id="1454254881">
      <w:bodyDiv w:val="1"/>
      <w:marLeft w:val="0"/>
      <w:marRight w:val="0"/>
      <w:marTop w:val="0"/>
      <w:marBottom w:val="0"/>
      <w:divBdr>
        <w:top w:val="none" w:sz="0" w:space="0" w:color="auto"/>
        <w:left w:val="none" w:sz="0" w:space="0" w:color="auto"/>
        <w:bottom w:val="none" w:sz="0" w:space="0" w:color="auto"/>
        <w:right w:val="none" w:sz="0" w:space="0" w:color="auto"/>
      </w:divBdr>
    </w:div>
    <w:div w:id="1454322537">
      <w:bodyDiv w:val="1"/>
      <w:marLeft w:val="0"/>
      <w:marRight w:val="0"/>
      <w:marTop w:val="0"/>
      <w:marBottom w:val="0"/>
      <w:divBdr>
        <w:top w:val="none" w:sz="0" w:space="0" w:color="auto"/>
        <w:left w:val="none" w:sz="0" w:space="0" w:color="auto"/>
        <w:bottom w:val="none" w:sz="0" w:space="0" w:color="auto"/>
        <w:right w:val="none" w:sz="0" w:space="0" w:color="auto"/>
      </w:divBdr>
    </w:div>
    <w:div w:id="1454325698">
      <w:bodyDiv w:val="1"/>
      <w:marLeft w:val="0"/>
      <w:marRight w:val="0"/>
      <w:marTop w:val="0"/>
      <w:marBottom w:val="0"/>
      <w:divBdr>
        <w:top w:val="none" w:sz="0" w:space="0" w:color="auto"/>
        <w:left w:val="none" w:sz="0" w:space="0" w:color="auto"/>
        <w:bottom w:val="none" w:sz="0" w:space="0" w:color="auto"/>
        <w:right w:val="none" w:sz="0" w:space="0" w:color="auto"/>
      </w:divBdr>
    </w:div>
    <w:div w:id="1454516929">
      <w:bodyDiv w:val="1"/>
      <w:marLeft w:val="0"/>
      <w:marRight w:val="0"/>
      <w:marTop w:val="0"/>
      <w:marBottom w:val="0"/>
      <w:divBdr>
        <w:top w:val="none" w:sz="0" w:space="0" w:color="auto"/>
        <w:left w:val="none" w:sz="0" w:space="0" w:color="auto"/>
        <w:bottom w:val="none" w:sz="0" w:space="0" w:color="auto"/>
        <w:right w:val="none" w:sz="0" w:space="0" w:color="auto"/>
      </w:divBdr>
    </w:div>
    <w:div w:id="1454596953">
      <w:bodyDiv w:val="1"/>
      <w:marLeft w:val="0"/>
      <w:marRight w:val="0"/>
      <w:marTop w:val="0"/>
      <w:marBottom w:val="0"/>
      <w:divBdr>
        <w:top w:val="none" w:sz="0" w:space="0" w:color="auto"/>
        <w:left w:val="none" w:sz="0" w:space="0" w:color="auto"/>
        <w:bottom w:val="none" w:sz="0" w:space="0" w:color="auto"/>
        <w:right w:val="none" w:sz="0" w:space="0" w:color="auto"/>
      </w:divBdr>
    </w:div>
    <w:div w:id="1454637683">
      <w:bodyDiv w:val="1"/>
      <w:marLeft w:val="0"/>
      <w:marRight w:val="0"/>
      <w:marTop w:val="0"/>
      <w:marBottom w:val="0"/>
      <w:divBdr>
        <w:top w:val="none" w:sz="0" w:space="0" w:color="auto"/>
        <w:left w:val="none" w:sz="0" w:space="0" w:color="auto"/>
        <w:bottom w:val="none" w:sz="0" w:space="0" w:color="auto"/>
        <w:right w:val="none" w:sz="0" w:space="0" w:color="auto"/>
      </w:divBdr>
    </w:div>
    <w:div w:id="1454638829">
      <w:bodyDiv w:val="1"/>
      <w:marLeft w:val="0"/>
      <w:marRight w:val="0"/>
      <w:marTop w:val="0"/>
      <w:marBottom w:val="0"/>
      <w:divBdr>
        <w:top w:val="none" w:sz="0" w:space="0" w:color="auto"/>
        <w:left w:val="none" w:sz="0" w:space="0" w:color="auto"/>
        <w:bottom w:val="none" w:sz="0" w:space="0" w:color="auto"/>
        <w:right w:val="none" w:sz="0" w:space="0" w:color="auto"/>
      </w:divBdr>
    </w:div>
    <w:div w:id="1454668882">
      <w:bodyDiv w:val="1"/>
      <w:marLeft w:val="0"/>
      <w:marRight w:val="0"/>
      <w:marTop w:val="0"/>
      <w:marBottom w:val="0"/>
      <w:divBdr>
        <w:top w:val="none" w:sz="0" w:space="0" w:color="auto"/>
        <w:left w:val="none" w:sz="0" w:space="0" w:color="auto"/>
        <w:bottom w:val="none" w:sz="0" w:space="0" w:color="auto"/>
        <w:right w:val="none" w:sz="0" w:space="0" w:color="auto"/>
      </w:divBdr>
    </w:div>
    <w:div w:id="1454714913">
      <w:bodyDiv w:val="1"/>
      <w:marLeft w:val="0"/>
      <w:marRight w:val="0"/>
      <w:marTop w:val="0"/>
      <w:marBottom w:val="0"/>
      <w:divBdr>
        <w:top w:val="none" w:sz="0" w:space="0" w:color="auto"/>
        <w:left w:val="none" w:sz="0" w:space="0" w:color="auto"/>
        <w:bottom w:val="none" w:sz="0" w:space="0" w:color="auto"/>
        <w:right w:val="none" w:sz="0" w:space="0" w:color="auto"/>
      </w:divBdr>
    </w:div>
    <w:div w:id="1454900852">
      <w:bodyDiv w:val="1"/>
      <w:marLeft w:val="0"/>
      <w:marRight w:val="0"/>
      <w:marTop w:val="0"/>
      <w:marBottom w:val="0"/>
      <w:divBdr>
        <w:top w:val="none" w:sz="0" w:space="0" w:color="auto"/>
        <w:left w:val="none" w:sz="0" w:space="0" w:color="auto"/>
        <w:bottom w:val="none" w:sz="0" w:space="0" w:color="auto"/>
        <w:right w:val="none" w:sz="0" w:space="0" w:color="auto"/>
      </w:divBdr>
    </w:div>
    <w:div w:id="1455057863">
      <w:bodyDiv w:val="1"/>
      <w:marLeft w:val="0"/>
      <w:marRight w:val="0"/>
      <w:marTop w:val="0"/>
      <w:marBottom w:val="0"/>
      <w:divBdr>
        <w:top w:val="none" w:sz="0" w:space="0" w:color="auto"/>
        <w:left w:val="none" w:sz="0" w:space="0" w:color="auto"/>
        <w:bottom w:val="none" w:sz="0" w:space="0" w:color="auto"/>
        <w:right w:val="none" w:sz="0" w:space="0" w:color="auto"/>
      </w:divBdr>
    </w:div>
    <w:div w:id="1455170596">
      <w:bodyDiv w:val="1"/>
      <w:marLeft w:val="0"/>
      <w:marRight w:val="0"/>
      <w:marTop w:val="0"/>
      <w:marBottom w:val="0"/>
      <w:divBdr>
        <w:top w:val="none" w:sz="0" w:space="0" w:color="auto"/>
        <w:left w:val="none" w:sz="0" w:space="0" w:color="auto"/>
        <w:bottom w:val="none" w:sz="0" w:space="0" w:color="auto"/>
        <w:right w:val="none" w:sz="0" w:space="0" w:color="auto"/>
      </w:divBdr>
    </w:div>
    <w:div w:id="1455173747">
      <w:bodyDiv w:val="1"/>
      <w:marLeft w:val="0"/>
      <w:marRight w:val="0"/>
      <w:marTop w:val="0"/>
      <w:marBottom w:val="0"/>
      <w:divBdr>
        <w:top w:val="none" w:sz="0" w:space="0" w:color="auto"/>
        <w:left w:val="none" w:sz="0" w:space="0" w:color="auto"/>
        <w:bottom w:val="none" w:sz="0" w:space="0" w:color="auto"/>
        <w:right w:val="none" w:sz="0" w:space="0" w:color="auto"/>
      </w:divBdr>
    </w:div>
    <w:div w:id="1455519579">
      <w:bodyDiv w:val="1"/>
      <w:marLeft w:val="0"/>
      <w:marRight w:val="0"/>
      <w:marTop w:val="0"/>
      <w:marBottom w:val="0"/>
      <w:divBdr>
        <w:top w:val="none" w:sz="0" w:space="0" w:color="auto"/>
        <w:left w:val="none" w:sz="0" w:space="0" w:color="auto"/>
        <w:bottom w:val="none" w:sz="0" w:space="0" w:color="auto"/>
        <w:right w:val="none" w:sz="0" w:space="0" w:color="auto"/>
      </w:divBdr>
    </w:div>
    <w:div w:id="1455519901">
      <w:bodyDiv w:val="1"/>
      <w:marLeft w:val="0"/>
      <w:marRight w:val="0"/>
      <w:marTop w:val="0"/>
      <w:marBottom w:val="0"/>
      <w:divBdr>
        <w:top w:val="none" w:sz="0" w:space="0" w:color="auto"/>
        <w:left w:val="none" w:sz="0" w:space="0" w:color="auto"/>
        <w:bottom w:val="none" w:sz="0" w:space="0" w:color="auto"/>
        <w:right w:val="none" w:sz="0" w:space="0" w:color="auto"/>
      </w:divBdr>
    </w:div>
    <w:div w:id="1455561645">
      <w:bodyDiv w:val="1"/>
      <w:marLeft w:val="0"/>
      <w:marRight w:val="0"/>
      <w:marTop w:val="0"/>
      <w:marBottom w:val="0"/>
      <w:divBdr>
        <w:top w:val="none" w:sz="0" w:space="0" w:color="auto"/>
        <w:left w:val="none" w:sz="0" w:space="0" w:color="auto"/>
        <w:bottom w:val="none" w:sz="0" w:space="0" w:color="auto"/>
        <w:right w:val="none" w:sz="0" w:space="0" w:color="auto"/>
      </w:divBdr>
    </w:div>
    <w:div w:id="1455637774">
      <w:bodyDiv w:val="1"/>
      <w:marLeft w:val="0"/>
      <w:marRight w:val="0"/>
      <w:marTop w:val="0"/>
      <w:marBottom w:val="0"/>
      <w:divBdr>
        <w:top w:val="none" w:sz="0" w:space="0" w:color="auto"/>
        <w:left w:val="none" w:sz="0" w:space="0" w:color="auto"/>
        <w:bottom w:val="none" w:sz="0" w:space="0" w:color="auto"/>
        <w:right w:val="none" w:sz="0" w:space="0" w:color="auto"/>
      </w:divBdr>
    </w:div>
    <w:div w:id="1455707078">
      <w:bodyDiv w:val="1"/>
      <w:marLeft w:val="0"/>
      <w:marRight w:val="0"/>
      <w:marTop w:val="0"/>
      <w:marBottom w:val="0"/>
      <w:divBdr>
        <w:top w:val="none" w:sz="0" w:space="0" w:color="auto"/>
        <w:left w:val="none" w:sz="0" w:space="0" w:color="auto"/>
        <w:bottom w:val="none" w:sz="0" w:space="0" w:color="auto"/>
        <w:right w:val="none" w:sz="0" w:space="0" w:color="auto"/>
      </w:divBdr>
    </w:div>
    <w:div w:id="1455715468">
      <w:bodyDiv w:val="1"/>
      <w:marLeft w:val="0"/>
      <w:marRight w:val="0"/>
      <w:marTop w:val="0"/>
      <w:marBottom w:val="0"/>
      <w:divBdr>
        <w:top w:val="none" w:sz="0" w:space="0" w:color="auto"/>
        <w:left w:val="none" w:sz="0" w:space="0" w:color="auto"/>
        <w:bottom w:val="none" w:sz="0" w:space="0" w:color="auto"/>
        <w:right w:val="none" w:sz="0" w:space="0" w:color="auto"/>
      </w:divBdr>
    </w:div>
    <w:div w:id="1455783046">
      <w:bodyDiv w:val="1"/>
      <w:marLeft w:val="0"/>
      <w:marRight w:val="0"/>
      <w:marTop w:val="0"/>
      <w:marBottom w:val="0"/>
      <w:divBdr>
        <w:top w:val="none" w:sz="0" w:space="0" w:color="auto"/>
        <w:left w:val="none" w:sz="0" w:space="0" w:color="auto"/>
        <w:bottom w:val="none" w:sz="0" w:space="0" w:color="auto"/>
        <w:right w:val="none" w:sz="0" w:space="0" w:color="auto"/>
      </w:divBdr>
    </w:div>
    <w:div w:id="1455830900">
      <w:bodyDiv w:val="1"/>
      <w:marLeft w:val="0"/>
      <w:marRight w:val="0"/>
      <w:marTop w:val="0"/>
      <w:marBottom w:val="0"/>
      <w:divBdr>
        <w:top w:val="none" w:sz="0" w:space="0" w:color="auto"/>
        <w:left w:val="none" w:sz="0" w:space="0" w:color="auto"/>
        <w:bottom w:val="none" w:sz="0" w:space="0" w:color="auto"/>
        <w:right w:val="none" w:sz="0" w:space="0" w:color="auto"/>
      </w:divBdr>
    </w:div>
    <w:div w:id="1455902513">
      <w:bodyDiv w:val="1"/>
      <w:marLeft w:val="0"/>
      <w:marRight w:val="0"/>
      <w:marTop w:val="0"/>
      <w:marBottom w:val="0"/>
      <w:divBdr>
        <w:top w:val="none" w:sz="0" w:space="0" w:color="auto"/>
        <w:left w:val="none" w:sz="0" w:space="0" w:color="auto"/>
        <w:bottom w:val="none" w:sz="0" w:space="0" w:color="auto"/>
        <w:right w:val="none" w:sz="0" w:space="0" w:color="auto"/>
      </w:divBdr>
    </w:div>
    <w:div w:id="1455904656">
      <w:bodyDiv w:val="1"/>
      <w:marLeft w:val="0"/>
      <w:marRight w:val="0"/>
      <w:marTop w:val="0"/>
      <w:marBottom w:val="0"/>
      <w:divBdr>
        <w:top w:val="none" w:sz="0" w:space="0" w:color="auto"/>
        <w:left w:val="none" w:sz="0" w:space="0" w:color="auto"/>
        <w:bottom w:val="none" w:sz="0" w:space="0" w:color="auto"/>
        <w:right w:val="none" w:sz="0" w:space="0" w:color="auto"/>
      </w:divBdr>
    </w:div>
    <w:div w:id="1456019228">
      <w:bodyDiv w:val="1"/>
      <w:marLeft w:val="0"/>
      <w:marRight w:val="0"/>
      <w:marTop w:val="0"/>
      <w:marBottom w:val="0"/>
      <w:divBdr>
        <w:top w:val="none" w:sz="0" w:space="0" w:color="auto"/>
        <w:left w:val="none" w:sz="0" w:space="0" w:color="auto"/>
        <w:bottom w:val="none" w:sz="0" w:space="0" w:color="auto"/>
        <w:right w:val="none" w:sz="0" w:space="0" w:color="auto"/>
      </w:divBdr>
    </w:div>
    <w:div w:id="1456022730">
      <w:bodyDiv w:val="1"/>
      <w:marLeft w:val="0"/>
      <w:marRight w:val="0"/>
      <w:marTop w:val="0"/>
      <w:marBottom w:val="0"/>
      <w:divBdr>
        <w:top w:val="none" w:sz="0" w:space="0" w:color="auto"/>
        <w:left w:val="none" w:sz="0" w:space="0" w:color="auto"/>
        <w:bottom w:val="none" w:sz="0" w:space="0" w:color="auto"/>
        <w:right w:val="none" w:sz="0" w:space="0" w:color="auto"/>
      </w:divBdr>
    </w:div>
    <w:div w:id="1456023778">
      <w:bodyDiv w:val="1"/>
      <w:marLeft w:val="0"/>
      <w:marRight w:val="0"/>
      <w:marTop w:val="0"/>
      <w:marBottom w:val="0"/>
      <w:divBdr>
        <w:top w:val="none" w:sz="0" w:space="0" w:color="auto"/>
        <w:left w:val="none" w:sz="0" w:space="0" w:color="auto"/>
        <w:bottom w:val="none" w:sz="0" w:space="0" w:color="auto"/>
        <w:right w:val="none" w:sz="0" w:space="0" w:color="auto"/>
      </w:divBdr>
    </w:div>
    <w:div w:id="1456174300">
      <w:bodyDiv w:val="1"/>
      <w:marLeft w:val="0"/>
      <w:marRight w:val="0"/>
      <w:marTop w:val="0"/>
      <w:marBottom w:val="0"/>
      <w:divBdr>
        <w:top w:val="none" w:sz="0" w:space="0" w:color="auto"/>
        <w:left w:val="none" w:sz="0" w:space="0" w:color="auto"/>
        <w:bottom w:val="none" w:sz="0" w:space="0" w:color="auto"/>
        <w:right w:val="none" w:sz="0" w:space="0" w:color="auto"/>
      </w:divBdr>
    </w:div>
    <w:div w:id="1456176370">
      <w:bodyDiv w:val="1"/>
      <w:marLeft w:val="0"/>
      <w:marRight w:val="0"/>
      <w:marTop w:val="0"/>
      <w:marBottom w:val="0"/>
      <w:divBdr>
        <w:top w:val="none" w:sz="0" w:space="0" w:color="auto"/>
        <w:left w:val="none" w:sz="0" w:space="0" w:color="auto"/>
        <w:bottom w:val="none" w:sz="0" w:space="0" w:color="auto"/>
        <w:right w:val="none" w:sz="0" w:space="0" w:color="auto"/>
      </w:divBdr>
    </w:div>
    <w:div w:id="1456408816">
      <w:bodyDiv w:val="1"/>
      <w:marLeft w:val="0"/>
      <w:marRight w:val="0"/>
      <w:marTop w:val="0"/>
      <w:marBottom w:val="0"/>
      <w:divBdr>
        <w:top w:val="none" w:sz="0" w:space="0" w:color="auto"/>
        <w:left w:val="none" w:sz="0" w:space="0" w:color="auto"/>
        <w:bottom w:val="none" w:sz="0" w:space="0" w:color="auto"/>
        <w:right w:val="none" w:sz="0" w:space="0" w:color="auto"/>
      </w:divBdr>
    </w:div>
    <w:div w:id="1456409200">
      <w:bodyDiv w:val="1"/>
      <w:marLeft w:val="0"/>
      <w:marRight w:val="0"/>
      <w:marTop w:val="0"/>
      <w:marBottom w:val="0"/>
      <w:divBdr>
        <w:top w:val="none" w:sz="0" w:space="0" w:color="auto"/>
        <w:left w:val="none" w:sz="0" w:space="0" w:color="auto"/>
        <w:bottom w:val="none" w:sz="0" w:space="0" w:color="auto"/>
        <w:right w:val="none" w:sz="0" w:space="0" w:color="auto"/>
      </w:divBdr>
    </w:div>
    <w:div w:id="1456412615">
      <w:bodyDiv w:val="1"/>
      <w:marLeft w:val="0"/>
      <w:marRight w:val="0"/>
      <w:marTop w:val="0"/>
      <w:marBottom w:val="0"/>
      <w:divBdr>
        <w:top w:val="none" w:sz="0" w:space="0" w:color="auto"/>
        <w:left w:val="none" w:sz="0" w:space="0" w:color="auto"/>
        <w:bottom w:val="none" w:sz="0" w:space="0" w:color="auto"/>
        <w:right w:val="none" w:sz="0" w:space="0" w:color="auto"/>
      </w:divBdr>
    </w:div>
    <w:div w:id="1456482003">
      <w:bodyDiv w:val="1"/>
      <w:marLeft w:val="0"/>
      <w:marRight w:val="0"/>
      <w:marTop w:val="0"/>
      <w:marBottom w:val="0"/>
      <w:divBdr>
        <w:top w:val="none" w:sz="0" w:space="0" w:color="auto"/>
        <w:left w:val="none" w:sz="0" w:space="0" w:color="auto"/>
        <w:bottom w:val="none" w:sz="0" w:space="0" w:color="auto"/>
        <w:right w:val="none" w:sz="0" w:space="0" w:color="auto"/>
      </w:divBdr>
    </w:div>
    <w:div w:id="1456483955">
      <w:bodyDiv w:val="1"/>
      <w:marLeft w:val="0"/>
      <w:marRight w:val="0"/>
      <w:marTop w:val="0"/>
      <w:marBottom w:val="0"/>
      <w:divBdr>
        <w:top w:val="none" w:sz="0" w:space="0" w:color="auto"/>
        <w:left w:val="none" w:sz="0" w:space="0" w:color="auto"/>
        <w:bottom w:val="none" w:sz="0" w:space="0" w:color="auto"/>
        <w:right w:val="none" w:sz="0" w:space="0" w:color="auto"/>
      </w:divBdr>
    </w:div>
    <w:div w:id="1456488834">
      <w:bodyDiv w:val="1"/>
      <w:marLeft w:val="0"/>
      <w:marRight w:val="0"/>
      <w:marTop w:val="0"/>
      <w:marBottom w:val="0"/>
      <w:divBdr>
        <w:top w:val="none" w:sz="0" w:space="0" w:color="auto"/>
        <w:left w:val="none" w:sz="0" w:space="0" w:color="auto"/>
        <w:bottom w:val="none" w:sz="0" w:space="0" w:color="auto"/>
        <w:right w:val="none" w:sz="0" w:space="0" w:color="auto"/>
      </w:divBdr>
    </w:div>
    <w:div w:id="1456488986">
      <w:bodyDiv w:val="1"/>
      <w:marLeft w:val="0"/>
      <w:marRight w:val="0"/>
      <w:marTop w:val="0"/>
      <w:marBottom w:val="0"/>
      <w:divBdr>
        <w:top w:val="none" w:sz="0" w:space="0" w:color="auto"/>
        <w:left w:val="none" w:sz="0" w:space="0" w:color="auto"/>
        <w:bottom w:val="none" w:sz="0" w:space="0" w:color="auto"/>
        <w:right w:val="none" w:sz="0" w:space="0" w:color="auto"/>
      </w:divBdr>
    </w:div>
    <w:div w:id="1456607269">
      <w:bodyDiv w:val="1"/>
      <w:marLeft w:val="0"/>
      <w:marRight w:val="0"/>
      <w:marTop w:val="0"/>
      <w:marBottom w:val="0"/>
      <w:divBdr>
        <w:top w:val="none" w:sz="0" w:space="0" w:color="auto"/>
        <w:left w:val="none" w:sz="0" w:space="0" w:color="auto"/>
        <w:bottom w:val="none" w:sz="0" w:space="0" w:color="auto"/>
        <w:right w:val="none" w:sz="0" w:space="0" w:color="auto"/>
      </w:divBdr>
    </w:div>
    <w:div w:id="1456633247">
      <w:bodyDiv w:val="1"/>
      <w:marLeft w:val="0"/>
      <w:marRight w:val="0"/>
      <w:marTop w:val="0"/>
      <w:marBottom w:val="0"/>
      <w:divBdr>
        <w:top w:val="none" w:sz="0" w:space="0" w:color="auto"/>
        <w:left w:val="none" w:sz="0" w:space="0" w:color="auto"/>
        <w:bottom w:val="none" w:sz="0" w:space="0" w:color="auto"/>
        <w:right w:val="none" w:sz="0" w:space="0" w:color="auto"/>
      </w:divBdr>
    </w:div>
    <w:div w:id="1456677725">
      <w:bodyDiv w:val="1"/>
      <w:marLeft w:val="0"/>
      <w:marRight w:val="0"/>
      <w:marTop w:val="0"/>
      <w:marBottom w:val="0"/>
      <w:divBdr>
        <w:top w:val="none" w:sz="0" w:space="0" w:color="auto"/>
        <w:left w:val="none" w:sz="0" w:space="0" w:color="auto"/>
        <w:bottom w:val="none" w:sz="0" w:space="0" w:color="auto"/>
        <w:right w:val="none" w:sz="0" w:space="0" w:color="auto"/>
      </w:divBdr>
    </w:div>
    <w:div w:id="1456751977">
      <w:bodyDiv w:val="1"/>
      <w:marLeft w:val="0"/>
      <w:marRight w:val="0"/>
      <w:marTop w:val="0"/>
      <w:marBottom w:val="0"/>
      <w:divBdr>
        <w:top w:val="none" w:sz="0" w:space="0" w:color="auto"/>
        <w:left w:val="none" w:sz="0" w:space="0" w:color="auto"/>
        <w:bottom w:val="none" w:sz="0" w:space="0" w:color="auto"/>
        <w:right w:val="none" w:sz="0" w:space="0" w:color="auto"/>
      </w:divBdr>
    </w:div>
    <w:div w:id="1456754877">
      <w:bodyDiv w:val="1"/>
      <w:marLeft w:val="0"/>
      <w:marRight w:val="0"/>
      <w:marTop w:val="0"/>
      <w:marBottom w:val="0"/>
      <w:divBdr>
        <w:top w:val="none" w:sz="0" w:space="0" w:color="auto"/>
        <w:left w:val="none" w:sz="0" w:space="0" w:color="auto"/>
        <w:bottom w:val="none" w:sz="0" w:space="0" w:color="auto"/>
        <w:right w:val="none" w:sz="0" w:space="0" w:color="auto"/>
      </w:divBdr>
    </w:div>
    <w:div w:id="1456830686">
      <w:bodyDiv w:val="1"/>
      <w:marLeft w:val="0"/>
      <w:marRight w:val="0"/>
      <w:marTop w:val="0"/>
      <w:marBottom w:val="0"/>
      <w:divBdr>
        <w:top w:val="none" w:sz="0" w:space="0" w:color="auto"/>
        <w:left w:val="none" w:sz="0" w:space="0" w:color="auto"/>
        <w:bottom w:val="none" w:sz="0" w:space="0" w:color="auto"/>
        <w:right w:val="none" w:sz="0" w:space="0" w:color="auto"/>
      </w:divBdr>
    </w:div>
    <w:div w:id="1457019105">
      <w:bodyDiv w:val="1"/>
      <w:marLeft w:val="0"/>
      <w:marRight w:val="0"/>
      <w:marTop w:val="0"/>
      <w:marBottom w:val="0"/>
      <w:divBdr>
        <w:top w:val="none" w:sz="0" w:space="0" w:color="auto"/>
        <w:left w:val="none" w:sz="0" w:space="0" w:color="auto"/>
        <w:bottom w:val="none" w:sz="0" w:space="0" w:color="auto"/>
        <w:right w:val="none" w:sz="0" w:space="0" w:color="auto"/>
      </w:divBdr>
    </w:div>
    <w:div w:id="1457139152">
      <w:bodyDiv w:val="1"/>
      <w:marLeft w:val="0"/>
      <w:marRight w:val="0"/>
      <w:marTop w:val="0"/>
      <w:marBottom w:val="0"/>
      <w:divBdr>
        <w:top w:val="none" w:sz="0" w:space="0" w:color="auto"/>
        <w:left w:val="none" w:sz="0" w:space="0" w:color="auto"/>
        <w:bottom w:val="none" w:sz="0" w:space="0" w:color="auto"/>
        <w:right w:val="none" w:sz="0" w:space="0" w:color="auto"/>
      </w:divBdr>
    </w:div>
    <w:div w:id="1457214421">
      <w:bodyDiv w:val="1"/>
      <w:marLeft w:val="0"/>
      <w:marRight w:val="0"/>
      <w:marTop w:val="0"/>
      <w:marBottom w:val="0"/>
      <w:divBdr>
        <w:top w:val="none" w:sz="0" w:space="0" w:color="auto"/>
        <w:left w:val="none" w:sz="0" w:space="0" w:color="auto"/>
        <w:bottom w:val="none" w:sz="0" w:space="0" w:color="auto"/>
        <w:right w:val="none" w:sz="0" w:space="0" w:color="auto"/>
      </w:divBdr>
    </w:div>
    <w:div w:id="1457330502">
      <w:bodyDiv w:val="1"/>
      <w:marLeft w:val="0"/>
      <w:marRight w:val="0"/>
      <w:marTop w:val="0"/>
      <w:marBottom w:val="0"/>
      <w:divBdr>
        <w:top w:val="none" w:sz="0" w:space="0" w:color="auto"/>
        <w:left w:val="none" w:sz="0" w:space="0" w:color="auto"/>
        <w:bottom w:val="none" w:sz="0" w:space="0" w:color="auto"/>
        <w:right w:val="none" w:sz="0" w:space="0" w:color="auto"/>
      </w:divBdr>
    </w:div>
    <w:div w:id="1457404435">
      <w:bodyDiv w:val="1"/>
      <w:marLeft w:val="0"/>
      <w:marRight w:val="0"/>
      <w:marTop w:val="0"/>
      <w:marBottom w:val="0"/>
      <w:divBdr>
        <w:top w:val="none" w:sz="0" w:space="0" w:color="auto"/>
        <w:left w:val="none" w:sz="0" w:space="0" w:color="auto"/>
        <w:bottom w:val="none" w:sz="0" w:space="0" w:color="auto"/>
        <w:right w:val="none" w:sz="0" w:space="0" w:color="auto"/>
      </w:divBdr>
    </w:div>
    <w:div w:id="1457405829">
      <w:bodyDiv w:val="1"/>
      <w:marLeft w:val="0"/>
      <w:marRight w:val="0"/>
      <w:marTop w:val="0"/>
      <w:marBottom w:val="0"/>
      <w:divBdr>
        <w:top w:val="none" w:sz="0" w:space="0" w:color="auto"/>
        <w:left w:val="none" w:sz="0" w:space="0" w:color="auto"/>
        <w:bottom w:val="none" w:sz="0" w:space="0" w:color="auto"/>
        <w:right w:val="none" w:sz="0" w:space="0" w:color="auto"/>
      </w:divBdr>
    </w:div>
    <w:div w:id="1457528059">
      <w:bodyDiv w:val="1"/>
      <w:marLeft w:val="0"/>
      <w:marRight w:val="0"/>
      <w:marTop w:val="0"/>
      <w:marBottom w:val="0"/>
      <w:divBdr>
        <w:top w:val="none" w:sz="0" w:space="0" w:color="auto"/>
        <w:left w:val="none" w:sz="0" w:space="0" w:color="auto"/>
        <w:bottom w:val="none" w:sz="0" w:space="0" w:color="auto"/>
        <w:right w:val="none" w:sz="0" w:space="0" w:color="auto"/>
      </w:divBdr>
    </w:div>
    <w:div w:id="1457529921">
      <w:bodyDiv w:val="1"/>
      <w:marLeft w:val="0"/>
      <w:marRight w:val="0"/>
      <w:marTop w:val="0"/>
      <w:marBottom w:val="0"/>
      <w:divBdr>
        <w:top w:val="none" w:sz="0" w:space="0" w:color="auto"/>
        <w:left w:val="none" w:sz="0" w:space="0" w:color="auto"/>
        <w:bottom w:val="none" w:sz="0" w:space="0" w:color="auto"/>
        <w:right w:val="none" w:sz="0" w:space="0" w:color="auto"/>
      </w:divBdr>
    </w:div>
    <w:div w:id="1457597638">
      <w:bodyDiv w:val="1"/>
      <w:marLeft w:val="0"/>
      <w:marRight w:val="0"/>
      <w:marTop w:val="0"/>
      <w:marBottom w:val="0"/>
      <w:divBdr>
        <w:top w:val="none" w:sz="0" w:space="0" w:color="auto"/>
        <w:left w:val="none" w:sz="0" w:space="0" w:color="auto"/>
        <w:bottom w:val="none" w:sz="0" w:space="0" w:color="auto"/>
        <w:right w:val="none" w:sz="0" w:space="0" w:color="auto"/>
      </w:divBdr>
    </w:div>
    <w:div w:id="1457601397">
      <w:bodyDiv w:val="1"/>
      <w:marLeft w:val="0"/>
      <w:marRight w:val="0"/>
      <w:marTop w:val="0"/>
      <w:marBottom w:val="0"/>
      <w:divBdr>
        <w:top w:val="none" w:sz="0" w:space="0" w:color="auto"/>
        <w:left w:val="none" w:sz="0" w:space="0" w:color="auto"/>
        <w:bottom w:val="none" w:sz="0" w:space="0" w:color="auto"/>
        <w:right w:val="none" w:sz="0" w:space="0" w:color="auto"/>
      </w:divBdr>
    </w:div>
    <w:div w:id="1457601631">
      <w:bodyDiv w:val="1"/>
      <w:marLeft w:val="0"/>
      <w:marRight w:val="0"/>
      <w:marTop w:val="0"/>
      <w:marBottom w:val="0"/>
      <w:divBdr>
        <w:top w:val="none" w:sz="0" w:space="0" w:color="auto"/>
        <w:left w:val="none" w:sz="0" w:space="0" w:color="auto"/>
        <w:bottom w:val="none" w:sz="0" w:space="0" w:color="auto"/>
        <w:right w:val="none" w:sz="0" w:space="0" w:color="auto"/>
      </w:divBdr>
    </w:div>
    <w:div w:id="1457720386">
      <w:bodyDiv w:val="1"/>
      <w:marLeft w:val="0"/>
      <w:marRight w:val="0"/>
      <w:marTop w:val="0"/>
      <w:marBottom w:val="0"/>
      <w:divBdr>
        <w:top w:val="none" w:sz="0" w:space="0" w:color="auto"/>
        <w:left w:val="none" w:sz="0" w:space="0" w:color="auto"/>
        <w:bottom w:val="none" w:sz="0" w:space="0" w:color="auto"/>
        <w:right w:val="none" w:sz="0" w:space="0" w:color="auto"/>
      </w:divBdr>
    </w:div>
    <w:div w:id="1457720552">
      <w:bodyDiv w:val="1"/>
      <w:marLeft w:val="0"/>
      <w:marRight w:val="0"/>
      <w:marTop w:val="0"/>
      <w:marBottom w:val="0"/>
      <w:divBdr>
        <w:top w:val="none" w:sz="0" w:space="0" w:color="auto"/>
        <w:left w:val="none" w:sz="0" w:space="0" w:color="auto"/>
        <w:bottom w:val="none" w:sz="0" w:space="0" w:color="auto"/>
        <w:right w:val="none" w:sz="0" w:space="0" w:color="auto"/>
      </w:divBdr>
    </w:div>
    <w:div w:id="1457721467">
      <w:bodyDiv w:val="1"/>
      <w:marLeft w:val="0"/>
      <w:marRight w:val="0"/>
      <w:marTop w:val="0"/>
      <w:marBottom w:val="0"/>
      <w:divBdr>
        <w:top w:val="none" w:sz="0" w:space="0" w:color="auto"/>
        <w:left w:val="none" w:sz="0" w:space="0" w:color="auto"/>
        <w:bottom w:val="none" w:sz="0" w:space="0" w:color="auto"/>
        <w:right w:val="none" w:sz="0" w:space="0" w:color="auto"/>
      </w:divBdr>
    </w:div>
    <w:div w:id="1457874013">
      <w:bodyDiv w:val="1"/>
      <w:marLeft w:val="0"/>
      <w:marRight w:val="0"/>
      <w:marTop w:val="0"/>
      <w:marBottom w:val="0"/>
      <w:divBdr>
        <w:top w:val="none" w:sz="0" w:space="0" w:color="auto"/>
        <w:left w:val="none" w:sz="0" w:space="0" w:color="auto"/>
        <w:bottom w:val="none" w:sz="0" w:space="0" w:color="auto"/>
        <w:right w:val="none" w:sz="0" w:space="0" w:color="auto"/>
      </w:divBdr>
    </w:div>
    <w:div w:id="1458182867">
      <w:bodyDiv w:val="1"/>
      <w:marLeft w:val="0"/>
      <w:marRight w:val="0"/>
      <w:marTop w:val="0"/>
      <w:marBottom w:val="0"/>
      <w:divBdr>
        <w:top w:val="none" w:sz="0" w:space="0" w:color="auto"/>
        <w:left w:val="none" w:sz="0" w:space="0" w:color="auto"/>
        <w:bottom w:val="none" w:sz="0" w:space="0" w:color="auto"/>
        <w:right w:val="none" w:sz="0" w:space="0" w:color="auto"/>
      </w:divBdr>
    </w:div>
    <w:div w:id="1458446348">
      <w:bodyDiv w:val="1"/>
      <w:marLeft w:val="0"/>
      <w:marRight w:val="0"/>
      <w:marTop w:val="0"/>
      <w:marBottom w:val="0"/>
      <w:divBdr>
        <w:top w:val="none" w:sz="0" w:space="0" w:color="auto"/>
        <w:left w:val="none" w:sz="0" w:space="0" w:color="auto"/>
        <w:bottom w:val="none" w:sz="0" w:space="0" w:color="auto"/>
        <w:right w:val="none" w:sz="0" w:space="0" w:color="auto"/>
      </w:divBdr>
    </w:div>
    <w:div w:id="1458571419">
      <w:bodyDiv w:val="1"/>
      <w:marLeft w:val="0"/>
      <w:marRight w:val="0"/>
      <w:marTop w:val="0"/>
      <w:marBottom w:val="0"/>
      <w:divBdr>
        <w:top w:val="none" w:sz="0" w:space="0" w:color="auto"/>
        <w:left w:val="none" w:sz="0" w:space="0" w:color="auto"/>
        <w:bottom w:val="none" w:sz="0" w:space="0" w:color="auto"/>
        <w:right w:val="none" w:sz="0" w:space="0" w:color="auto"/>
      </w:divBdr>
    </w:div>
    <w:div w:id="1458600926">
      <w:bodyDiv w:val="1"/>
      <w:marLeft w:val="0"/>
      <w:marRight w:val="0"/>
      <w:marTop w:val="0"/>
      <w:marBottom w:val="0"/>
      <w:divBdr>
        <w:top w:val="none" w:sz="0" w:space="0" w:color="auto"/>
        <w:left w:val="none" w:sz="0" w:space="0" w:color="auto"/>
        <w:bottom w:val="none" w:sz="0" w:space="0" w:color="auto"/>
        <w:right w:val="none" w:sz="0" w:space="0" w:color="auto"/>
      </w:divBdr>
    </w:div>
    <w:div w:id="1458600976">
      <w:bodyDiv w:val="1"/>
      <w:marLeft w:val="0"/>
      <w:marRight w:val="0"/>
      <w:marTop w:val="0"/>
      <w:marBottom w:val="0"/>
      <w:divBdr>
        <w:top w:val="none" w:sz="0" w:space="0" w:color="auto"/>
        <w:left w:val="none" w:sz="0" w:space="0" w:color="auto"/>
        <w:bottom w:val="none" w:sz="0" w:space="0" w:color="auto"/>
        <w:right w:val="none" w:sz="0" w:space="0" w:color="auto"/>
      </w:divBdr>
    </w:div>
    <w:div w:id="1458642761">
      <w:bodyDiv w:val="1"/>
      <w:marLeft w:val="0"/>
      <w:marRight w:val="0"/>
      <w:marTop w:val="0"/>
      <w:marBottom w:val="0"/>
      <w:divBdr>
        <w:top w:val="none" w:sz="0" w:space="0" w:color="auto"/>
        <w:left w:val="none" w:sz="0" w:space="0" w:color="auto"/>
        <w:bottom w:val="none" w:sz="0" w:space="0" w:color="auto"/>
        <w:right w:val="none" w:sz="0" w:space="0" w:color="auto"/>
      </w:divBdr>
    </w:div>
    <w:div w:id="1458647992">
      <w:bodyDiv w:val="1"/>
      <w:marLeft w:val="0"/>
      <w:marRight w:val="0"/>
      <w:marTop w:val="0"/>
      <w:marBottom w:val="0"/>
      <w:divBdr>
        <w:top w:val="none" w:sz="0" w:space="0" w:color="auto"/>
        <w:left w:val="none" w:sz="0" w:space="0" w:color="auto"/>
        <w:bottom w:val="none" w:sz="0" w:space="0" w:color="auto"/>
        <w:right w:val="none" w:sz="0" w:space="0" w:color="auto"/>
      </w:divBdr>
    </w:div>
    <w:div w:id="1458791476">
      <w:bodyDiv w:val="1"/>
      <w:marLeft w:val="0"/>
      <w:marRight w:val="0"/>
      <w:marTop w:val="0"/>
      <w:marBottom w:val="0"/>
      <w:divBdr>
        <w:top w:val="none" w:sz="0" w:space="0" w:color="auto"/>
        <w:left w:val="none" w:sz="0" w:space="0" w:color="auto"/>
        <w:bottom w:val="none" w:sz="0" w:space="0" w:color="auto"/>
        <w:right w:val="none" w:sz="0" w:space="0" w:color="auto"/>
      </w:divBdr>
    </w:div>
    <w:div w:id="1458834036">
      <w:bodyDiv w:val="1"/>
      <w:marLeft w:val="0"/>
      <w:marRight w:val="0"/>
      <w:marTop w:val="0"/>
      <w:marBottom w:val="0"/>
      <w:divBdr>
        <w:top w:val="none" w:sz="0" w:space="0" w:color="auto"/>
        <w:left w:val="none" w:sz="0" w:space="0" w:color="auto"/>
        <w:bottom w:val="none" w:sz="0" w:space="0" w:color="auto"/>
        <w:right w:val="none" w:sz="0" w:space="0" w:color="auto"/>
      </w:divBdr>
    </w:div>
    <w:div w:id="1458837026">
      <w:bodyDiv w:val="1"/>
      <w:marLeft w:val="0"/>
      <w:marRight w:val="0"/>
      <w:marTop w:val="0"/>
      <w:marBottom w:val="0"/>
      <w:divBdr>
        <w:top w:val="none" w:sz="0" w:space="0" w:color="auto"/>
        <w:left w:val="none" w:sz="0" w:space="0" w:color="auto"/>
        <w:bottom w:val="none" w:sz="0" w:space="0" w:color="auto"/>
        <w:right w:val="none" w:sz="0" w:space="0" w:color="auto"/>
      </w:divBdr>
    </w:div>
    <w:div w:id="1458912092">
      <w:bodyDiv w:val="1"/>
      <w:marLeft w:val="0"/>
      <w:marRight w:val="0"/>
      <w:marTop w:val="0"/>
      <w:marBottom w:val="0"/>
      <w:divBdr>
        <w:top w:val="none" w:sz="0" w:space="0" w:color="auto"/>
        <w:left w:val="none" w:sz="0" w:space="0" w:color="auto"/>
        <w:bottom w:val="none" w:sz="0" w:space="0" w:color="auto"/>
        <w:right w:val="none" w:sz="0" w:space="0" w:color="auto"/>
      </w:divBdr>
    </w:div>
    <w:div w:id="1458916307">
      <w:bodyDiv w:val="1"/>
      <w:marLeft w:val="0"/>
      <w:marRight w:val="0"/>
      <w:marTop w:val="0"/>
      <w:marBottom w:val="0"/>
      <w:divBdr>
        <w:top w:val="none" w:sz="0" w:space="0" w:color="auto"/>
        <w:left w:val="none" w:sz="0" w:space="0" w:color="auto"/>
        <w:bottom w:val="none" w:sz="0" w:space="0" w:color="auto"/>
        <w:right w:val="none" w:sz="0" w:space="0" w:color="auto"/>
      </w:divBdr>
    </w:div>
    <w:div w:id="1458986636">
      <w:bodyDiv w:val="1"/>
      <w:marLeft w:val="0"/>
      <w:marRight w:val="0"/>
      <w:marTop w:val="0"/>
      <w:marBottom w:val="0"/>
      <w:divBdr>
        <w:top w:val="none" w:sz="0" w:space="0" w:color="auto"/>
        <w:left w:val="none" w:sz="0" w:space="0" w:color="auto"/>
        <w:bottom w:val="none" w:sz="0" w:space="0" w:color="auto"/>
        <w:right w:val="none" w:sz="0" w:space="0" w:color="auto"/>
      </w:divBdr>
    </w:div>
    <w:div w:id="1459110248">
      <w:bodyDiv w:val="1"/>
      <w:marLeft w:val="0"/>
      <w:marRight w:val="0"/>
      <w:marTop w:val="0"/>
      <w:marBottom w:val="0"/>
      <w:divBdr>
        <w:top w:val="none" w:sz="0" w:space="0" w:color="auto"/>
        <w:left w:val="none" w:sz="0" w:space="0" w:color="auto"/>
        <w:bottom w:val="none" w:sz="0" w:space="0" w:color="auto"/>
        <w:right w:val="none" w:sz="0" w:space="0" w:color="auto"/>
      </w:divBdr>
    </w:div>
    <w:div w:id="1459302871">
      <w:bodyDiv w:val="1"/>
      <w:marLeft w:val="0"/>
      <w:marRight w:val="0"/>
      <w:marTop w:val="0"/>
      <w:marBottom w:val="0"/>
      <w:divBdr>
        <w:top w:val="none" w:sz="0" w:space="0" w:color="auto"/>
        <w:left w:val="none" w:sz="0" w:space="0" w:color="auto"/>
        <w:bottom w:val="none" w:sz="0" w:space="0" w:color="auto"/>
        <w:right w:val="none" w:sz="0" w:space="0" w:color="auto"/>
      </w:divBdr>
    </w:div>
    <w:div w:id="1459303888">
      <w:bodyDiv w:val="1"/>
      <w:marLeft w:val="0"/>
      <w:marRight w:val="0"/>
      <w:marTop w:val="0"/>
      <w:marBottom w:val="0"/>
      <w:divBdr>
        <w:top w:val="none" w:sz="0" w:space="0" w:color="auto"/>
        <w:left w:val="none" w:sz="0" w:space="0" w:color="auto"/>
        <w:bottom w:val="none" w:sz="0" w:space="0" w:color="auto"/>
        <w:right w:val="none" w:sz="0" w:space="0" w:color="auto"/>
      </w:divBdr>
    </w:div>
    <w:div w:id="1459375972">
      <w:bodyDiv w:val="1"/>
      <w:marLeft w:val="0"/>
      <w:marRight w:val="0"/>
      <w:marTop w:val="0"/>
      <w:marBottom w:val="0"/>
      <w:divBdr>
        <w:top w:val="none" w:sz="0" w:space="0" w:color="auto"/>
        <w:left w:val="none" w:sz="0" w:space="0" w:color="auto"/>
        <w:bottom w:val="none" w:sz="0" w:space="0" w:color="auto"/>
        <w:right w:val="none" w:sz="0" w:space="0" w:color="auto"/>
      </w:divBdr>
    </w:div>
    <w:div w:id="1459446425">
      <w:bodyDiv w:val="1"/>
      <w:marLeft w:val="0"/>
      <w:marRight w:val="0"/>
      <w:marTop w:val="0"/>
      <w:marBottom w:val="0"/>
      <w:divBdr>
        <w:top w:val="none" w:sz="0" w:space="0" w:color="auto"/>
        <w:left w:val="none" w:sz="0" w:space="0" w:color="auto"/>
        <w:bottom w:val="none" w:sz="0" w:space="0" w:color="auto"/>
        <w:right w:val="none" w:sz="0" w:space="0" w:color="auto"/>
      </w:divBdr>
    </w:div>
    <w:div w:id="1459490991">
      <w:bodyDiv w:val="1"/>
      <w:marLeft w:val="0"/>
      <w:marRight w:val="0"/>
      <w:marTop w:val="0"/>
      <w:marBottom w:val="0"/>
      <w:divBdr>
        <w:top w:val="none" w:sz="0" w:space="0" w:color="auto"/>
        <w:left w:val="none" w:sz="0" w:space="0" w:color="auto"/>
        <w:bottom w:val="none" w:sz="0" w:space="0" w:color="auto"/>
        <w:right w:val="none" w:sz="0" w:space="0" w:color="auto"/>
      </w:divBdr>
    </w:div>
    <w:div w:id="1459491533">
      <w:bodyDiv w:val="1"/>
      <w:marLeft w:val="0"/>
      <w:marRight w:val="0"/>
      <w:marTop w:val="0"/>
      <w:marBottom w:val="0"/>
      <w:divBdr>
        <w:top w:val="none" w:sz="0" w:space="0" w:color="auto"/>
        <w:left w:val="none" w:sz="0" w:space="0" w:color="auto"/>
        <w:bottom w:val="none" w:sz="0" w:space="0" w:color="auto"/>
        <w:right w:val="none" w:sz="0" w:space="0" w:color="auto"/>
      </w:divBdr>
    </w:div>
    <w:div w:id="1459570959">
      <w:bodyDiv w:val="1"/>
      <w:marLeft w:val="0"/>
      <w:marRight w:val="0"/>
      <w:marTop w:val="0"/>
      <w:marBottom w:val="0"/>
      <w:divBdr>
        <w:top w:val="none" w:sz="0" w:space="0" w:color="auto"/>
        <w:left w:val="none" w:sz="0" w:space="0" w:color="auto"/>
        <w:bottom w:val="none" w:sz="0" w:space="0" w:color="auto"/>
        <w:right w:val="none" w:sz="0" w:space="0" w:color="auto"/>
      </w:divBdr>
    </w:div>
    <w:div w:id="1459645330">
      <w:bodyDiv w:val="1"/>
      <w:marLeft w:val="0"/>
      <w:marRight w:val="0"/>
      <w:marTop w:val="0"/>
      <w:marBottom w:val="0"/>
      <w:divBdr>
        <w:top w:val="none" w:sz="0" w:space="0" w:color="auto"/>
        <w:left w:val="none" w:sz="0" w:space="0" w:color="auto"/>
        <w:bottom w:val="none" w:sz="0" w:space="0" w:color="auto"/>
        <w:right w:val="none" w:sz="0" w:space="0" w:color="auto"/>
      </w:divBdr>
    </w:div>
    <w:div w:id="1459684921">
      <w:bodyDiv w:val="1"/>
      <w:marLeft w:val="0"/>
      <w:marRight w:val="0"/>
      <w:marTop w:val="0"/>
      <w:marBottom w:val="0"/>
      <w:divBdr>
        <w:top w:val="none" w:sz="0" w:space="0" w:color="auto"/>
        <w:left w:val="none" w:sz="0" w:space="0" w:color="auto"/>
        <w:bottom w:val="none" w:sz="0" w:space="0" w:color="auto"/>
        <w:right w:val="none" w:sz="0" w:space="0" w:color="auto"/>
      </w:divBdr>
    </w:div>
    <w:div w:id="1459759449">
      <w:bodyDiv w:val="1"/>
      <w:marLeft w:val="0"/>
      <w:marRight w:val="0"/>
      <w:marTop w:val="0"/>
      <w:marBottom w:val="0"/>
      <w:divBdr>
        <w:top w:val="none" w:sz="0" w:space="0" w:color="auto"/>
        <w:left w:val="none" w:sz="0" w:space="0" w:color="auto"/>
        <w:bottom w:val="none" w:sz="0" w:space="0" w:color="auto"/>
        <w:right w:val="none" w:sz="0" w:space="0" w:color="auto"/>
      </w:divBdr>
    </w:div>
    <w:div w:id="1459761387">
      <w:bodyDiv w:val="1"/>
      <w:marLeft w:val="0"/>
      <w:marRight w:val="0"/>
      <w:marTop w:val="0"/>
      <w:marBottom w:val="0"/>
      <w:divBdr>
        <w:top w:val="none" w:sz="0" w:space="0" w:color="auto"/>
        <w:left w:val="none" w:sz="0" w:space="0" w:color="auto"/>
        <w:bottom w:val="none" w:sz="0" w:space="0" w:color="auto"/>
        <w:right w:val="none" w:sz="0" w:space="0" w:color="auto"/>
      </w:divBdr>
    </w:div>
    <w:div w:id="1459763823">
      <w:bodyDiv w:val="1"/>
      <w:marLeft w:val="0"/>
      <w:marRight w:val="0"/>
      <w:marTop w:val="0"/>
      <w:marBottom w:val="0"/>
      <w:divBdr>
        <w:top w:val="none" w:sz="0" w:space="0" w:color="auto"/>
        <w:left w:val="none" w:sz="0" w:space="0" w:color="auto"/>
        <w:bottom w:val="none" w:sz="0" w:space="0" w:color="auto"/>
        <w:right w:val="none" w:sz="0" w:space="0" w:color="auto"/>
      </w:divBdr>
    </w:div>
    <w:div w:id="1459831955">
      <w:bodyDiv w:val="1"/>
      <w:marLeft w:val="0"/>
      <w:marRight w:val="0"/>
      <w:marTop w:val="0"/>
      <w:marBottom w:val="0"/>
      <w:divBdr>
        <w:top w:val="none" w:sz="0" w:space="0" w:color="auto"/>
        <w:left w:val="none" w:sz="0" w:space="0" w:color="auto"/>
        <w:bottom w:val="none" w:sz="0" w:space="0" w:color="auto"/>
        <w:right w:val="none" w:sz="0" w:space="0" w:color="auto"/>
      </w:divBdr>
    </w:div>
    <w:div w:id="1459832302">
      <w:bodyDiv w:val="1"/>
      <w:marLeft w:val="0"/>
      <w:marRight w:val="0"/>
      <w:marTop w:val="0"/>
      <w:marBottom w:val="0"/>
      <w:divBdr>
        <w:top w:val="none" w:sz="0" w:space="0" w:color="auto"/>
        <w:left w:val="none" w:sz="0" w:space="0" w:color="auto"/>
        <w:bottom w:val="none" w:sz="0" w:space="0" w:color="auto"/>
        <w:right w:val="none" w:sz="0" w:space="0" w:color="auto"/>
      </w:divBdr>
    </w:div>
    <w:div w:id="1459835191">
      <w:bodyDiv w:val="1"/>
      <w:marLeft w:val="0"/>
      <w:marRight w:val="0"/>
      <w:marTop w:val="0"/>
      <w:marBottom w:val="0"/>
      <w:divBdr>
        <w:top w:val="none" w:sz="0" w:space="0" w:color="auto"/>
        <w:left w:val="none" w:sz="0" w:space="0" w:color="auto"/>
        <w:bottom w:val="none" w:sz="0" w:space="0" w:color="auto"/>
        <w:right w:val="none" w:sz="0" w:space="0" w:color="auto"/>
      </w:divBdr>
    </w:div>
    <w:div w:id="1459907943">
      <w:bodyDiv w:val="1"/>
      <w:marLeft w:val="0"/>
      <w:marRight w:val="0"/>
      <w:marTop w:val="0"/>
      <w:marBottom w:val="0"/>
      <w:divBdr>
        <w:top w:val="none" w:sz="0" w:space="0" w:color="auto"/>
        <w:left w:val="none" w:sz="0" w:space="0" w:color="auto"/>
        <w:bottom w:val="none" w:sz="0" w:space="0" w:color="auto"/>
        <w:right w:val="none" w:sz="0" w:space="0" w:color="auto"/>
      </w:divBdr>
    </w:div>
    <w:div w:id="1459908594">
      <w:bodyDiv w:val="1"/>
      <w:marLeft w:val="0"/>
      <w:marRight w:val="0"/>
      <w:marTop w:val="0"/>
      <w:marBottom w:val="0"/>
      <w:divBdr>
        <w:top w:val="none" w:sz="0" w:space="0" w:color="auto"/>
        <w:left w:val="none" w:sz="0" w:space="0" w:color="auto"/>
        <w:bottom w:val="none" w:sz="0" w:space="0" w:color="auto"/>
        <w:right w:val="none" w:sz="0" w:space="0" w:color="auto"/>
      </w:divBdr>
    </w:div>
    <w:div w:id="1459912044">
      <w:bodyDiv w:val="1"/>
      <w:marLeft w:val="0"/>
      <w:marRight w:val="0"/>
      <w:marTop w:val="0"/>
      <w:marBottom w:val="0"/>
      <w:divBdr>
        <w:top w:val="none" w:sz="0" w:space="0" w:color="auto"/>
        <w:left w:val="none" w:sz="0" w:space="0" w:color="auto"/>
        <w:bottom w:val="none" w:sz="0" w:space="0" w:color="auto"/>
        <w:right w:val="none" w:sz="0" w:space="0" w:color="auto"/>
      </w:divBdr>
    </w:div>
    <w:div w:id="1459952358">
      <w:bodyDiv w:val="1"/>
      <w:marLeft w:val="0"/>
      <w:marRight w:val="0"/>
      <w:marTop w:val="0"/>
      <w:marBottom w:val="0"/>
      <w:divBdr>
        <w:top w:val="none" w:sz="0" w:space="0" w:color="auto"/>
        <w:left w:val="none" w:sz="0" w:space="0" w:color="auto"/>
        <w:bottom w:val="none" w:sz="0" w:space="0" w:color="auto"/>
        <w:right w:val="none" w:sz="0" w:space="0" w:color="auto"/>
      </w:divBdr>
    </w:div>
    <w:div w:id="1460101616">
      <w:bodyDiv w:val="1"/>
      <w:marLeft w:val="0"/>
      <w:marRight w:val="0"/>
      <w:marTop w:val="0"/>
      <w:marBottom w:val="0"/>
      <w:divBdr>
        <w:top w:val="none" w:sz="0" w:space="0" w:color="auto"/>
        <w:left w:val="none" w:sz="0" w:space="0" w:color="auto"/>
        <w:bottom w:val="none" w:sz="0" w:space="0" w:color="auto"/>
        <w:right w:val="none" w:sz="0" w:space="0" w:color="auto"/>
      </w:divBdr>
    </w:div>
    <w:div w:id="1460220234">
      <w:bodyDiv w:val="1"/>
      <w:marLeft w:val="0"/>
      <w:marRight w:val="0"/>
      <w:marTop w:val="0"/>
      <w:marBottom w:val="0"/>
      <w:divBdr>
        <w:top w:val="none" w:sz="0" w:space="0" w:color="auto"/>
        <w:left w:val="none" w:sz="0" w:space="0" w:color="auto"/>
        <w:bottom w:val="none" w:sz="0" w:space="0" w:color="auto"/>
        <w:right w:val="none" w:sz="0" w:space="0" w:color="auto"/>
      </w:divBdr>
    </w:div>
    <w:div w:id="1460300964">
      <w:bodyDiv w:val="1"/>
      <w:marLeft w:val="0"/>
      <w:marRight w:val="0"/>
      <w:marTop w:val="0"/>
      <w:marBottom w:val="0"/>
      <w:divBdr>
        <w:top w:val="none" w:sz="0" w:space="0" w:color="auto"/>
        <w:left w:val="none" w:sz="0" w:space="0" w:color="auto"/>
        <w:bottom w:val="none" w:sz="0" w:space="0" w:color="auto"/>
        <w:right w:val="none" w:sz="0" w:space="0" w:color="auto"/>
      </w:divBdr>
    </w:div>
    <w:div w:id="1460342809">
      <w:bodyDiv w:val="1"/>
      <w:marLeft w:val="0"/>
      <w:marRight w:val="0"/>
      <w:marTop w:val="0"/>
      <w:marBottom w:val="0"/>
      <w:divBdr>
        <w:top w:val="none" w:sz="0" w:space="0" w:color="auto"/>
        <w:left w:val="none" w:sz="0" w:space="0" w:color="auto"/>
        <w:bottom w:val="none" w:sz="0" w:space="0" w:color="auto"/>
        <w:right w:val="none" w:sz="0" w:space="0" w:color="auto"/>
      </w:divBdr>
    </w:div>
    <w:div w:id="1460416422">
      <w:bodyDiv w:val="1"/>
      <w:marLeft w:val="0"/>
      <w:marRight w:val="0"/>
      <w:marTop w:val="0"/>
      <w:marBottom w:val="0"/>
      <w:divBdr>
        <w:top w:val="none" w:sz="0" w:space="0" w:color="auto"/>
        <w:left w:val="none" w:sz="0" w:space="0" w:color="auto"/>
        <w:bottom w:val="none" w:sz="0" w:space="0" w:color="auto"/>
        <w:right w:val="none" w:sz="0" w:space="0" w:color="auto"/>
      </w:divBdr>
    </w:div>
    <w:div w:id="1460418814">
      <w:bodyDiv w:val="1"/>
      <w:marLeft w:val="0"/>
      <w:marRight w:val="0"/>
      <w:marTop w:val="0"/>
      <w:marBottom w:val="0"/>
      <w:divBdr>
        <w:top w:val="none" w:sz="0" w:space="0" w:color="auto"/>
        <w:left w:val="none" w:sz="0" w:space="0" w:color="auto"/>
        <w:bottom w:val="none" w:sz="0" w:space="0" w:color="auto"/>
        <w:right w:val="none" w:sz="0" w:space="0" w:color="auto"/>
      </w:divBdr>
    </w:div>
    <w:div w:id="1460419665">
      <w:bodyDiv w:val="1"/>
      <w:marLeft w:val="0"/>
      <w:marRight w:val="0"/>
      <w:marTop w:val="0"/>
      <w:marBottom w:val="0"/>
      <w:divBdr>
        <w:top w:val="none" w:sz="0" w:space="0" w:color="auto"/>
        <w:left w:val="none" w:sz="0" w:space="0" w:color="auto"/>
        <w:bottom w:val="none" w:sz="0" w:space="0" w:color="auto"/>
        <w:right w:val="none" w:sz="0" w:space="0" w:color="auto"/>
      </w:divBdr>
    </w:div>
    <w:div w:id="1460566174">
      <w:bodyDiv w:val="1"/>
      <w:marLeft w:val="0"/>
      <w:marRight w:val="0"/>
      <w:marTop w:val="0"/>
      <w:marBottom w:val="0"/>
      <w:divBdr>
        <w:top w:val="none" w:sz="0" w:space="0" w:color="auto"/>
        <w:left w:val="none" w:sz="0" w:space="0" w:color="auto"/>
        <w:bottom w:val="none" w:sz="0" w:space="0" w:color="auto"/>
        <w:right w:val="none" w:sz="0" w:space="0" w:color="auto"/>
      </w:divBdr>
    </w:div>
    <w:div w:id="1460680897">
      <w:bodyDiv w:val="1"/>
      <w:marLeft w:val="0"/>
      <w:marRight w:val="0"/>
      <w:marTop w:val="0"/>
      <w:marBottom w:val="0"/>
      <w:divBdr>
        <w:top w:val="none" w:sz="0" w:space="0" w:color="auto"/>
        <w:left w:val="none" w:sz="0" w:space="0" w:color="auto"/>
        <w:bottom w:val="none" w:sz="0" w:space="0" w:color="auto"/>
        <w:right w:val="none" w:sz="0" w:space="0" w:color="auto"/>
      </w:divBdr>
    </w:div>
    <w:div w:id="1460685364">
      <w:bodyDiv w:val="1"/>
      <w:marLeft w:val="0"/>
      <w:marRight w:val="0"/>
      <w:marTop w:val="0"/>
      <w:marBottom w:val="0"/>
      <w:divBdr>
        <w:top w:val="none" w:sz="0" w:space="0" w:color="auto"/>
        <w:left w:val="none" w:sz="0" w:space="0" w:color="auto"/>
        <w:bottom w:val="none" w:sz="0" w:space="0" w:color="auto"/>
        <w:right w:val="none" w:sz="0" w:space="0" w:color="auto"/>
      </w:divBdr>
    </w:div>
    <w:div w:id="1460688148">
      <w:bodyDiv w:val="1"/>
      <w:marLeft w:val="0"/>
      <w:marRight w:val="0"/>
      <w:marTop w:val="0"/>
      <w:marBottom w:val="0"/>
      <w:divBdr>
        <w:top w:val="none" w:sz="0" w:space="0" w:color="auto"/>
        <w:left w:val="none" w:sz="0" w:space="0" w:color="auto"/>
        <w:bottom w:val="none" w:sz="0" w:space="0" w:color="auto"/>
        <w:right w:val="none" w:sz="0" w:space="0" w:color="auto"/>
      </w:divBdr>
    </w:div>
    <w:div w:id="1460758068">
      <w:bodyDiv w:val="1"/>
      <w:marLeft w:val="0"/>
      <w:marRight w:val="0"/>
      <w:marTop w:val="0"/>
      <w:marBottom w:val="0"/>
      <w:divBdr>
        <w:top w:val="none" w:sz="0" w:space="0" w:color="auto"/>
        <w:left w:val="none" w:sz="0" w:space="0" w:color="auto"/>
        <w:bottom w:val="none" w:sz="0" w:space="0" w:color="auto"/>
        <w:right w:val="none" w:sz="0" w:space="0" w:color="auto"/>
      </w:divBdr>
    </w:div>
    <w:div w:id="1460760980">
      <w:bodyDiv w:val="1"/>
      <w:marLeft w:val="0"/>
      <w:marRight w:val="0"/>
      <w:marTop w:val="0"/>
      <w:marBottom w:val="0"/>
      <w:divBdr>
        <w:top w:val="none" w:sz="0" w:space="0" w:color="auto"/>
        <w:left w:val="none" w:sz="0" w:space="0" w:color="auto"/>
        <w:bottom w:val="none" w:sz="0" w:space="0" w:color="auto"/>
        <w:right w:val="none" w:sz="0" w:space="0" w:color="auto"/>
      </w:divBdr>
    </w:div>
    <w:div w:id="1460798162">
      <w:bodyDiv w:val="1"/>
      <w:marLeft w:val="0"/>
      <w:marRight w:val="0"/>
      <w:marTop w:val="0"/>
      <w:marBottom w:val="0"/>
      <w:divBdr>
        <w:top w:val="none" w:sz="0" w:space="0" w:color="auto"/>
        <w:left w:val="none" w:sz="0" w:space="0" w:color="auto"/>
        <w:bottom w:val="none" w:sz="0" w:space="0" w:color="auto"/>
        <w:right w:val="none" w:sz="0" w:space="0" w:color="auto"/>
      </w:divBdr>
    </w:div>
    <w:div w:id="1461076294">
      <w:bodyDiv w:val="1"/>
      <w:marLeft w:val="0"/>
      <w:marRight w:val="0"/>
      <w:marTop w:val="0"/>
      <w:marBottom w:val="0"/>
      <w:divBdr>
        <w:top w:val="none" w:sz="0" w:space="0" w:color="auto"/>
        <w:left w:val="none" w:sz="0" w:space="0" w:color="auto"/>
        <w:bottom w:val="none" w:sz="0" w:space="0" w:color="auto"/>
        <w:right w:val="none" w:sz="0" w:space="0" w:color="auto"/>
      </w:divBdr>
    </w:div>
    <w:div w:id="1461148193">
      <w:bodyDiv w:val="1"/>
      <w:marLeft w:val="0"/>
      <w:marRight w:val="0"/>
      <w:marTop w:val="0"/>
      <w:marBottom w:val="0"/>
      <w:divBdr>
        <w:top w:val="none" w:sz="0" w:space="0" w:color="auto"/>
        <w:left w:val="none" w:sz="0" w:space="0" w:color="auto"/>
        <w:bottom w:val="none" w:sz="0" w:space="0" w:color="auto"/>
        <w:right w:val="none" w:sz="0" w:space="0" w:color="auto"/>
      </w:divBdr>
    </w:div>
    <w:div w:id="1461454296">
      <w:bodyDiv w:val="1"/>
      <w:marLeft w:val="0"/>
      <w:marRight w:val="0"/>
      <w:marTop w:val="0"/>
      <w:marBottom w:val="0"/>
      <w:divBdr>
        <w:top w:val="none" w:sz="0" w:space="0" w:color="auto"/>
        <w:left w:val="none" w:sz="0" w:space="0" w:color="auto"/>
        <w:bottom w:val="none" w:sz="0" w:space="0" w:color="auto"/>
        <w:right w:val="none" w:sz="0" w:space="0" w:color="auto"/>
      </w:divBdr>
    </w:div>
    <w:div w:id="1461458510">
      <w:bodyDiv w:val="1"/>
      <w:marLeft w:val="0"/>
      <w:marRight w:val="0"/>
      <w:marTop w:val="0"/>
      <w:marBottom w:val="0"/>
      <w:divBdr>
        <w:top w:val="none" w:sz="0" w:space="0" w:color="auto"/>
        <w:left w:val="none" w:sz="0" w:space="0" w:color="auto"/>
        <w:bottom w:val="none" w:sz="0" w:space="0" w:color="auto"/>
        <w:right w:val="none" w:sz="0" w:space="0" w:color="auto"/>
      </w:divBdr>
    </w:div>
    <w:div w:id="1461459818">
      <w:bodyDiv w:val="1"/>
      <w:marLeft w:val="0"/>
      <w:marRight w:val="0"/>
      <w:marTop w:val="0"/>
      <w:marBottom w:val="0"/>
      <w:divBdr>
        <w:top w:val="none" w:sz="0" w:space="0" w:color="auto"/>
        <w:left w:val="none" w:sz="0" w:space="0" w:color="auto"/>
        <w:bottom w:val="none" w:sz="0" w:space="0" w:color="auto"/>
        <w:right w:val="none" w:sz="0" w:space="0" w:color="auto"/>
      </w:divBdr>
    </w:div>
    <w:div w:id="1461531677">
      <w:bodyDiv w:val="1"/>
      <w:marLeft w:val="0"/>
      <w:marRight w:val="0"/>
      <w:marTop w:val="0"/>
      <w:marBottom w:val="0"/>
      <w:divBdr>
        <w:top w:val="none" w:sz="0" w:space="0" w:color="auto"/>
        <w:left w:val="none" w:sz="0" w:space="0" w:color="auto"/>
        <w:bottom w:val="none" w:sz="0" w:space="0" w:color="auto"/>
        <w:right w:val="none" w:sz="0" w:space="0" w:color="auto"/>
      </w:divBdr>
    </w:div>
    <w:div w:id="1461531712">
      <w:bodyDiv w:val="1"/>
      <w:marLeft w:val="0"/>
      <w:marRight w:val="0"/>
      <w:marTop w:val="0"/>
      <w:marBottom w:val="0"/>
      <w:divBdr>
        <w:top w:val="none" w:sz="0" w:space="0" w:color="auto"/>
        <w:left w:val="none" w:sz="0" w:space="0" w:color="auto"/>
        <w:bottom w:val="none" w:sz="0" w:space="0" w:color="auto"/>
        <w:right w:val="none" w:sz="0" w:space="0" w:color="auto"/>
      </w:divBdr>
    </w:div>
    <w:div w:id="1461651502">
      <w:bodyDiv w:val="1"/>
      <w:marLeft w:val="0"/>
      <w:marRight w:val="0"/>
      <w:marTop w:val="0"/>
      <w:marBottom w:val="0"/>
      <w:divBdr>
        <w:top w:val="none" w:sz="0" w:space="0" w:color="auto"/>
        <w:left w:val="none" w:sz="0" w:space="0" w:color="auto"/>
        <w:bottom w:val="none" w:sz="0" w:space="0" w:color="auto"/>
        <w:right w:val="none" w:sz="0" w:space="0" w:color="auto"/>
      </w:divBdr>
    </w:div>
    <w:div w:id="1461922727">
      <w:bodyDiv w:val="1"/>
      <w:marLeft w:val="0"/>
      <w:marRight w:val="0"/>
      <w:marTop w:val="0"/>
      <w:marBottom w:val="0"/>
      <w:divBdr>
        <w:top w:val="none" w:sz="0" w:space="0" w:color="auto"/>
        <w:left w:val="none" w:sz="0" w:space="0" w:color="auto"/>
        <w:bottom w:val="none" w:sz="0" w:space="0" w:color="auto"/>
        <w:right w:val="none" w:sz="0" w:space="0" w:color="auto"/>
      </w:divBdr>
    </w:div>
    <w:div w:id="1461997080">
      <w:bodyDiv w:val="1"/>
      <w:marLeft w:val="0"/>
      <w:marRight w:val="0"/>
      <w:marTop w:val="0"/>
      <w:marBottom w:val="0"/>
      <w:divBdr>
        <w:top w:val="none" w:sz="0" w:space="0" w:color="auto"/>
        <w:left w:val="none" w:sz="0" w:space="0" w:color="auto"/>
        <w:bottom w:val="none" w:sz="0" w:space="0" w:color="auto"/>
        <w:right w:val="none" w:sz="0" w:space="0" w:color="auto"/>
      </w:divBdr>
    </w:div>
    <w:div w:id="1461998042">
      <w:bodyDiv w:val="1"/>
      <w:marLeft w:val="0"/>
      <w:marRight w:val="0"/>
      <w:marTop w:val="0"/>
      <w:marBottom w:val="0"/>
      <w:divBdr>
        <w:top w:val="none" w:sz="0" w:space="0" w:color="auto"/>
        <w:left w:val="none" w:sz="0" w:space="0" w:color="auto"/>
        <w:bottom w:val="none" w:sz="0" w:space="0" w:color="auto"/>
        <w:right w:val="none" w:sz="0" w:space="0" w:color="auto"/>
      </w:divBdr>
    </w:div>
    <w:div w:id="1462110920">
      <w:bodyDiv w:val="1"/>
      <w:marLeft w:val="0"/>
      <w:marRight w:val="0"/>
      <w:marTop w:val="0"/>
      <w:marBottom w:val="0"/>
      <w:divBdr>
        <w:top w:val="none" w:sz="0" w:space="0" w:color="auto"/>
        <w:left w:val="none" w:sz="0" w:space="0" w:color="auto"/>
        <w:bottom w:val="none" w:sz="0" w:space="0" w:color="auto"/>
        <w:right w:val="none" w:sz="0" w:space="0" w:color="auto"/>
      </w:divBdr>
    </w:div>
    <w:div w:id="1462118201">
      <w:bodyDiv w:val="1"/>
      <w:marLeft w:val="0"/>
      <w:marRight w:val="0"/>
      <w:marTop w:val="0"/>
      <w:marBottom w:val="0"/>
      <w:divBdr>
        <w:top w:val="none" w:sz="0" w:space="0" w:color="auto"/>
        <w:left w:val="none" w:sz="0" w:space="0" w:color="auto"/>
        <w:bottom w:val="none" w:sz="0" w:space="0" w:color="auto"/>
        <w:right w:val="none" w:sz="0" w:space="0" w:color="auto"/>
      </w:divBdr>
    </w:div>
    <w:div w:id="1462262981">
      <w:bodyDiv w:val="1"/>
      <w:marLeft w:val="0"/>
      <w:marRight w:val="0"/>
      <w:marTop w:val="0"/>
      <w:marBottom w:val="0"/>
      <w:divBdr>
        <w:top w:val="none" w:sz="0" w:space="0" w:color="auto"/>
        <w:left w:val="none" w:sz="0" w:space="0" w:color="auto"/>
        <w:bottom w:val="none" w:sz="0" w:space="0" w:color="auto"/>
        <w:right w:val="none" w:sz="0" w:space="0" w:color="auto"/>
      </w:divBdr>
    </w:div>
    <w:div w:id="1462267767">
      <w:bodyDiv w:val="1"/>
      <w:marLeft w:val="0"/>
      <w:marRight w:val="0"/>
      <w:marTop w:val="0"/>
      <w:marBottom w:val="0"/>
      <w:divBdr>
        <w:top w:val="none" w:sz="0" w:space="0" w:color="auto"/>
        <w:left w:val="none" w:sz="0" w:space="0" w:color="auto"/>
        <w:bottom w:val="none" w:sz="0" w:space="0" w:color="auto"/>
        <w:right w:val="none" w:sz="0" w:space="0" w:color="auto"/>
      </w:divBdr>
    </w:div>
    <w:div w:id="1462379700">
      <w:bodyDiv w:val="1"/>
      <w:marLeft w:val="0"/>
      <w:marRight w:val="0"/>
      <w:marTop w:val="0"/>
      <w:marBottom w:val="0"/>
      <w:divBdr>
        <w:top w:val="none" w:sz="0" w:space="0" w:color="auto"/>
        <w:left w:val="none" w:sz="0" w:space="0" w:color="auto"/>
        <w:bottom w:val="none" w:sz="0" w:space="0" w:color="auto"/>
        <w:right w:val="none" w:sz="0" w:space="0" w:color="auto"/>
      </w:divBdr>
    </w:div>
    <w:div w:id="1462649657">
      <w:bodyDiv w:val="1"/>
      <w:marLeft w:val="0"/>
      <w:marRight w:val="0"/>
      <w:marTop w:val="0"/>
      <w:marBottom w:val="0"/>
      <w:divBdr>
        <w:top w:val="none" w:sz="0" w:space="0" w:color="auto"/>
        <w:left w:val="none" w:sz="0" w:space="0" w:color="auto"/>
        <w:bottom w:val="none" w:sz="0" w:space="0" w:color="auto"/>
        <w:right w:val="none" w:sz="0" w:space="0" w:color="auto"/>
      </w:divBdr>
    </w:div>
    <w:div w:id="1462698140">
      <w:bodyDiv w:val="1"/>
      <w:marLeft w:val="0"/>
      <w:marRight w:val="0"/>
      <w:marTop w:val="0"/>
      <w:marBottom w:val="0"/>
      <w:divBdr>
        <w:top w:val="none" w:sz="0" w:space="0" w:color="auto"/>
        <w:left w:val="none" w:sz="0" w:space="0" w:color="auto"/>
        <w:bottom w:val="none" w:sz="0" w:space="0" w:color="auto"/>
        <w:right w:val="none" w:sz="0" w:space="0" w:color="auto"/>
      </w:divBdr>
    </w:div>
    <w:div w:id="1462727001">
      <w:bodyDiv w:val="1"/>
      <w:marLeft w:val="0"/>
      <w:marRight w:val="0"/>
      <w:marTop w:val="0"/>
      <w:marBottom w:val="0"/>
      <w:divBdr>
        <w:top w:val="none" w:sz="0" w:space="0" w:color="auto"/>
        <w:left w:val="none" w:sz="0" w:space="0" w:color="auto"/>
        <w:bottom w:val="none" w:sz="0" w:space="0" w:color="auto"/>
        <w:right w:val="none" w:sz="0" w:space="0" w:color="auto"/>
      </w:divBdr>
    </w:div>
    <w:div w:id="1463035252">
      <w:bodyDiv w:val="1"/>
      <w:marLeft w:val="0"/>
      <w:marRight w:val="0"/>
      <w:marTop w:val="0"/>
      <w:marBottom w:val="0"/>
      <w:divBdr>
        <w:top w:val="none" w:sz="0" w:space="0" w:color="auto"/>
        <w:left w:val="none" w:sz="0" w:space="0" w:color="auto"/>
        <w:bottom w:val="none" w:sz="0" w:space="0" w:color="auto"/>
        <w:right w:val="none" w:sz="0" w:space="0" w:color="auto"/>
      </w:divBdr>
    </w:div>
    <w:div w:id="1463036566">
      <w:bodyDiv w:val="1"/>
      <w:marLeft w:val="0"/>
      <w:marRight w:val="0"/>
      <w:marTop w:val="0"/>
      <w:marBottom w:val="0"/>
      <w:divBdr>
        <w:top w:val="none" w:sz="0" w:space="0" w:color="auto"/>
        <w:left w:val="none" w:sz="0" w:space="0" w:color="auto"/>
        <w:bottom w:val="none" w:sz="0" w:space="0" w:color="auto"/>
        <w:right w:val="none" w:sz="0" w:space="0" w:color="auto"/>
      </w:divBdr>
    </w:div>
    <w:div w:id="1463114097">
      <w:bodyDiv w:val="1"/>
      <w:marLeft w:val="0"/>
      <w:marRight w:val="0"/>
      <w:marTop w:val="0"/>
      <w:marBottom w:val="0"/>
      <w:divBdr>
        <w:top w:val="none" w:sz="0" w:space="0" w:color="auto"/>
        <w:left w:val="none" w:sz="0" w:space="0" w:color="auto"/>
        <w:bottom w:val="none" w:sz="0" w:space="0" w:color="auto"/>
        <w:right w:val="none" w:sz="0" w:space="0" w:color="auto"/>
      </w:divBdr>
    </w:div>
    <w:div w:id="1463187922">
      <w:bodyDiv w:val="1"/>
      <w:marLeft w:val="0"/>
      <w:marRight w:val="0"/>
      <w:marTop w:val="0"/>
      <w:marBottom w:val="0"/>
      <w:divBdr>
        <w:top w:val="none" w:sz="0" w:space="0" w:color="auto"/>
        <w:left w:val="none" w:sz="0" w:space="0" w:color="auto"/>
        <w:bottom w:val="none" w:sz="0" w:space="0" w:color="auto"/>
        <w:right w:val="none" w:sz="0" w:space="0" w:color="auto"/>
      </w:divBdr>
    </w:div>
    <w:div w:id="1463234462">
      <w:bodyDiv w:val="1"/>
      <w:marLeft w:val="0"/>
      <w:marRight w:val="0"/>
      <w:marTop w:val="0"/>
      <w:marBottom w:val="0"/>
      <w:divBdr>
        <w:top w:val="none" w:sz="0" w:space="0" w:color="auto"/>
        <w:left w:val="none" w:sz="0" w:space="0" w:color="auto"/>
        <w:bottom w:val="none" w:sz="0" w:space="0" w:color="auto"/>
        <w:right w:val="none" w:sz="0" w:space="0" w:color="auto"/>
      </w:divBdr>
    </w:div>
    <w:div w:id="1463308619">
      <w:bodyDiv w:val="1"/>
      <w:marLeft w:val="0"/>
      <w:marRight w:val="0"/>
      <w:marTop w:val="0"/>
      <w:marBottom w:val="0"/>
      <w:divBdr>
        <w:top w:val="none" w:sz="0" w:space="0" w:color="auto"/>
        <w:left w:val="none" w:sz="0" w:space="0" w:color="auto"/>
        <w:bottom w:val="none" w:sz="0" w:space="0" w:color="auto"/>
        <w:right w:val="none" w:sz="0" w:space="0" w:color="auto"/>
      </w:divBdr>
    </w:div>
    <w:div w:id="1463310577">
      <w:bodyDiv w:val="1"/>
      <w:marLeft w:val="0"/>
      <w:marRight w:val="0"/>
      <w:marTop w:val="0"/>
      <w:marBottom w:val="0"/>
      <w:divBdr>
        <w:top w:val="none" w:sz="0" w:space="0" w:color="auto"/>
        <w:left w:val="none" w:sz="0" w:space="0" w:color="auto"/>
        <w:bottom w:val="none" w:sz="0" w:space="0" w:color="auto"/>
        <w:right w:val="none" w:sz="0" w:space="0" w:color="auto"/>
      </w:divBdr>
    </w:div>
    <w:div w:id="1463422743">
      <w:bodyDiv w:val="1"/>
      <w:marLeft w:val="0"/>
      <w:marRight w:val="0"/>
      <w:marTop w:val="0"/>
      <w:marBottom w:val="0"/>
      <w:divBdr>
        <w:top w:val="none" w:sz="0" w:space="0" w:color="auto"/>
        <w:left w:val="none" w:sz="0" w:space="0" w:color="auto"/>
        <w:bottom w:val="none" w:sz="0" w:space="0" w:color="auto"/>
        <w:right w:val="none" w:sz="0" w:space="0" w:color="auto"/>
      </w:divBdr>
    </w:div>
    <w:div w:id="1463423407">
      <w:bodyDiv w:val="1"/>
      <w:marLeft w:val="0"/>
      <w:marRight w:val="0"/>
      <w:marTop w:val="0"/>
      <w:marBottom w:val="0"/>
      <w:divBdr>
        <w:top w:val="none" w:sz="0" w:space="0" w:color="auto"/>
        <w:left w:val="none" w:sz="0" w:space="0" w:color="auto"/>
        <w:bottom w:val="none" w:sz="0" w:space="0" w:color="auto"/>
        <w:right w:val="none" w:sz="0" w:space="0" w:color="auto"/>
      </w:divBdr>
    </w:div>
    <w:div w:id="1463503303">
      <w:bodyDiv w:val="1"/>
      <w:marLeft w:val="0"/>
      <w:marRight w:val="0"/>
      <w:marTop w:val="0"/>
      <w:marBottom w:val="0"/>
      <w:divBdr>
        <w:top w:val="none" w:sz="0" w:space="0" w:color="auto"/>
        <w:left w:val="none" w:sz="0" w:space="0" w:color="auto"/>
        <w:bottom w:val="none" w:sz="0" w:space="0" w:color="auto"/>
        <w:right w:val="none" w:sz="0" w:space="0" w:color="auto"/>
      </w:divBdr>
    </w:div>
    <w:div w:id="1463577603">
      <w:bodyDiv w:val="1"/>
      <w:marLeft w:val="0"/>
      <w:marRight w:val="0"/>
      <w:marTop w:val="0"/>
      <w:marBottom w:val="0"/>
      <w:divBdr>
        <w:top w:val="none" w:sz="0" w:space="0" w:color="auto"/>
        <w:left w:val="none" w:sz="0" w:space="0" w:color="auto"/>
        <w:bottom w:val="none" w:sz="0" w:space="0" w:color="auto"/>
        <w:right w:val="none" w:sz="0" w:space="0" w:color="auto"/>
      </w:divBdr>
    </w:div>
    <w:div w:id="1463578872">
      <w:bodyDiv w:val="1"/>
      <w:marLeft w:val="0"/>
      <w:marRight w:val="0"/>
      <w:marTop w:val="0"/>
      <w:marBottom w:val="0"/>
      <w:divBdr>
        <w:top w:val="none" w:sz="0" w:space="0" w:color="auto"/>
        <w:left w:val="none" w:sz="0" w:space="0" w:color="auto"/>
        <w:bottom w:val="none" w:sz="0" w:space="0" w:color="auto"/>
        <w:right w:val="none" w:sz="0" w:space="0" w:color="auto"/>
      </w:divBdr>
    </w:div>
    <w:div w:id="1463620378">
      <w:bodyDiv w:val="1"/>
      <w:marLeft w:val="0"/>
      <w:marRight w:val="0"/>
      <w:marTop w:val="0"/>
      <w:marBottom w:val="0"/>
      <w:divBdr>
        <w:top w:val="none" w:sz="0" w:space="0" w:color="auto"/>
        <w:left w:val="none" w:sz="0" w:space="0" w:color="auto"/>
        <w:bottom w:val="none" w:sz="0" w:space="0" w:color="auto"/>
        <w:right w:val="none" w:sz="0" w:space="0" w:color="auto"/>
      </w:divBdr>
    </w:div>
    <w:div w:id="1463695988">
      <w:bodyDiv w:val="1"/>
      <w:marLeft w:val="0"/>
      <w:marRight w:val="0"/>
      <w:marTop w:val="0"/>
      <w:marBottom w:val="0"/>
      <w:divBdr>
        <w:top w:val="none" w:sz="0" w:space="0" w:color="auto"/>
        <w:left w:val="none" w:sz="0" w:space="0" w:color="auto"/>
        <w:bottom w:val="none" w:sz="0" w:space="0" w:color="auto"/>
        <w:right w:val="none" w:sz="0" w:space="0" w:color="auto"/>
      </w:divBdr>
    </w:div>
    <w:div w:id="1463770527">
      <w:bodyDiv w:val="1"/>
      <w:marLeft w:val="0"/>
      <w:marRight w:val="0"/>
      <w:marTop w:val="0"/>
      <w:marBottom w:val="0"/>
      <w:divBdr>
        <w:top w:val="none" w:sz="0" w:space="0" w:color="auto"/>
        <w:left w:val="none" w:sz="0" w:space="0" w:color="auto"/>
        <w:bottom w:val="none" w:sz="0" w:space="0" w:color="auto"/>
        <w:right w:val="none" w:sz="0" w:space="0" w:color="auto"/>
      </w:divBdr>
    </w:div>
    <w:div w:id="1463771375">
      <w:bodyDiv w:val="1"/>
      <w:marLeft w:val="0"/>
      <w:marRight w:val="0"/>
      <w:marTop w:val="0"/>
      <w:marBottom w:val="0"/>
      <w:divBdr>
        <w:top w:val="none" w:sz="0" w:space="0" w:color="auto"/>
        <w:left w:val="none" w:sz="0" w:space="0" w:color="auto"/>
        <w:bottom w:val="none" w:sz="0" w:space="0" w:color="auto"/>
        <w:right w:val="none" w:sz="0" w:space="0" w:color="auto"/>
      </w:divBdr>
    </w:div>
    <w:div w:id="1463814606">
      <w:bodyDiv w:val="1"/>
      <w:marLeft w:val="0"/>
      <w:marRight w:val="0"/>
      <w:marTop w:val="0"/>
      <w:marBottom w:val="0"/>
      <w:divBdr>
        <w:top w:val="none" w:sz="0" w:space="0" w:color="auto"/>
        <w:left w:val="none" w:sz="0" w:space="0" w:color="auto"/>
        <w:bottom w:val="none" w:sz="0" w:space="0" w:color="auto"/>
        <w:right w:val="none" w:sz="0" w:space="0" w:color="auto"/>
      </w:divBdr>
    </w:div>
    <w:div w:id="1463962200">
      <w:bodyDiv w:val="1"/>
      <w:marLeft w:val="0"/>
      <w:marRight w:val="0"/>
      <w:marTop w:val="0"/>
      <w:marBottom w:val="0"/>
      <w:divBdr>
        <w:top w:val="none" w:sz="0" w:space="0" w:color="auto"/>
        <w:left w:val="none" w:sz="0" w:space="0" w:color="auto"/>
        <w:bottom w:val="none" w:sz="0" w:space="0" w:color="auto"/>
        <w:right w:val="none" w:sz="0" w:space="0" w:color="auto"/>
      </w:divBdr>
    </w:div>
    <w:div w:id="1464157701">
      <w:bodyDiv w:val="1"/>
      <w:marLeft w:val="0"/>
      <w:marRight w:val="0"/>
      <w:marTop w:val="0"/>
      <w:marBottom w:val="0"/>
      <w:divBdr>
        <w:top w:val="none" w:sz="0" w:space="0" w:color="auto"/>
        <w:left w:val="none" w:sz="0" w:space="0" w:color="auto"/>
        <w:bottom w:val="none" w:sz="0" w:space="0" w:color="auto"/>
        <w:right w:val="none" w:sz="0" w:space="0" w:color="auto"/>
      </w:divBdr>
    </w:div>
    <w:div w:id="1464300598">
      <w:bodyDiv w:val="1"/>
      <w:marLeft w:val="0"/>
      <w:marRight w:val="0"/>
      <w:marTop w:val="0"/>
      <w:marBottom w:val="0"/>
      <w:divBdr>
        <w:top w:val="none" w:sz="0" w:space="0" w:color="auto"/>
        <w:left w:val="none" w:sz="0" w:space="0" w:color="auto"/>
        <w:bottom w:val="none" w:sz="0" w:space="0" w:color="auto"/>
        <w:right w:val="none" w:sz="0" w:space="0" w:color="auto"/>
      </w:divBdr>
    </w:div>
    <w:div w:id="1464302959">
      <w:bodyDiv w:val="1"/>
      <w:marLeft w:val="0"/>
      <w:marRight w:val="0"/>
      <w:marTop w:val="0"/>
      <w:marBottom w:val="0"/>
      <w:divBdr>
        <w:top w:val="none" w:sz="0" w:space="0" w:color="auto"/>
        <w:left w:val="none" w:sz="0" w:space="0" w:color="auto"/>
        <w:bottom w:val="none" w:sz="0" w:space="0" w:color="auto"/>
        <w:right w:val="none" w:sz="0" w:space="0" w:color="auto"/>
      </w:divBdr>
    </w:div>
    <w:div w:id="1464303107">
      <w:bodyDiv w:val="1"/>
      <w:marLeft w:val="0"/>
      <w:marRight w:val="0"/>
      <w:marTop w:val="0"/>
      <w:marBottom w:val="0"/>
      <w:divBdr>
        <w:top w:val="none" w:sz="0" w:space="0" w:color="auto"/>
        <w:left w:val="none" w:sz="0" w:space="0" w:color="auto"/>
        <w:bottom w:val="none" w:sz="0" w:space="0" w:color="auto"/>
        <w:right w:val="none" w:sz="0" w:space="0" w:color="auto"/>
      </w:divBdr>
    </w:div>
    <w:div w:id="1464537986">
      <w:bodyDiv w:val="1"/>
      <w:marLeft w:val="0"/>
      <w:marRight w:val="0"/>
      <w:marTop w:val="0"/>
      <w:marBottom w:val="0"/>
      <w:divBdr>
        <w:top w:val="none" w:sz="0" w:space="0" w:color="auto"/>
        <w:left w:val="none" w:sz="0" w:space="0" w:color="auto"/>
        <w:bottom w:val="none" w:sz="0" w:space="0" w:color="auto"/>
        <w:right w:val="none" w:sz="0" w:space="0" w:color="auto"/>
      </w:divBdr>
    </w:div>
    <w:div w:id="1464882712">
      <w:bodyDiv w:val="1"/>
      <w:marLeft w:val="0"/>
      <w:marRight w:val="0"/>
      <w:marTop w:val="0"/>
      <w:marBottom w:val="0"/>
      <w:divBdr>
        <w:top w:val="none" w:sz="0" w:space="0" w:color="auto"/>
        <w:left w:val="none" w:sz="0" w:space="0" w:color="auto"/>
        <w:bottom w:val="none" w:sz="0" w:space="0" w:color="auto"/>
        <w:right w:val="none" w:sz="0" w:space="0" w:color="auto"/>
      </w:divBdr>
    </w:div>
    <w:div w:id="1465004993">
      <w:bodyDiv w:val="1"/>
      <w:marLeft w:val="0"/>
      <w:marRight w:val="0"/>
      <w:marTop w:val="0"/>
      <w:marBottom w:val="0"/>
      <w:divBdr>
        <w:top w:val="none" w:sz="0" w:space="0" w:color="auto"/>
        <w:left w:val="none" w:sz="0" w:space="0" w:color="auto"/>
        <w:bottom w:val="none" w:sz="0" w:space="0" w:color="auto"/>
        <w:right w:val="none" w:sz="0" w:space="0" w:color="auto"/>
      </w:divBdr>
    </w:div>
    <w:div w:id="1465076275">
      <w:bodyDiv w:val="1"/>
      <w:marLeft w:val="0"/>
      <w:marRight w:val="0"/>
      <w:marTop w:val="0"/>
      <w:marBottom w:val="0"/>
      <w:divBdr>
        <w:top w:val="none" w:sz="0" w:space="0" w:color="auto"/>
        <w:left w:val="none" w:sz="0" w:space="0" w:color="auto"/>
        <w:bottom w:val="none" w:sz="0" w:space="0" w:color="auto"/>
        <w:right w:val="none" w:sz="0" w:space="0" w:color="auto"/>
      </w:divBdr>
    </w:div>
    <w:div w:id="1465079262">
      <w:bodyDiv w:val="1"/>
      <w:marLeft w:val="0"/>
      <w:marRight w:val="0"/>
      <w:marTop w:val="0"/>
      <w:marBottom w:val="0"/>
      <w:divBdr>
        <w:top w:val="none" w:sz="0" w:space="0" w:color="auto"/>
        <w:left w:val="none" w:sz="0" w:space="0" w:color="auto"/>
        <w:bottom w:val="none" w:sz="0" w:space="0" w:color="auto"/>
        <w:right w:val="none" w:sz="0" w:space="0" w:color="auto"/>
      </w:divBdr>
    </w:div>
    <w:div w:id="1465582800">
      <w:bodyDiv w:val="1"/>
      <w:marLeft w:val="0"/>
      <w:marRight w:val="0"/>
      <w:marTop w:val="0"/>
      <w:marBottom w:val="0"/>
      <w:divBdr>
        <w:top w:val="none" w:sz="0" w:space="0" w:color="auto"/>
        <w:left w:val="none" w:sz="0" w:space="0" w:color="auto"/>
        <w:bottom w:val="none" w:sz="0" w:space="0" w:color="auto"/>
        <w:right w:val="none" w:sz="0" w:space="0" w:color="auto"/>
      </w:divBdr>
    </w:div>
    <w:div w:id="1465583632">
      <w:bodyDiv w:val="1"/>
      <w:marLeft w:val="0"/>
      <w:marRight w:val="0"/>
      <w:marTop w:val="0"/>
      <w:marBottom w:val="0"/>
      <w:divBdr>
        <w:top w:val="none" w:sz="0" w:space="0" w:color="auto"/>
        <w:left w:val="none" w:sz="0" w:space="0" w:color="auto"/>
        <w:bottom w:val="none" w:sz="0" w:space="0" w:color="auto"/>
        <w:right w:val="none" w:sz="0" w:space="0" w:color="auto"/>
      </w:divBdr>
    </w:div>
    <w:div w:id="1465587105">
      <w:bodyDiv w:val="1"/>
      <w:marLeft w:val="0"/>
      <w:marRight w:val="0"/>
      <w:marTop w:val="0"/>
      <w:marBottom w:val="0"/>
      <w:divBdr>
        <w:top w:val="none" w:sz="0" w:space="0" w:color="auto"/>
        <w:left w:val="none" w:sz="0" w:space="0" w:color="auto"/>
        <w:bottom w:val="none" w:sz="0" w:space="0" w:color="auto"/>
        <w:right w:val="none" w:sz="0" w:space="0" w:color="auto"/>
      </w:divBdr>
    </w:div>
    <w:div w:id="1465587890">
      <w:bodyDiv w:val="1"/>
      <w:marLeft w:val="0"/>
      <w:marRight w:val="0"/>
      <w:marTop w:val="0"/>
      <w:marBottom w:val="0"/>
      <w:divBdr>
        <w:top w:val="none" w:sz="0" w:space="0" w:color="auto"/>
        <w:left w:val="none" w:sz="0" w:space="0" w:color="auto"/>
        <w:bottom w:val="none" w:sz="0" w:space="0" w:color="auto"/>
        <w:right w:val="none" w:sz="0" w:space="0" w:color="auto"/>
      </w:divBdr>
    </w:div>
    <w:div w:id="1465662621">
      <w:bodyDiv w:val="1"/>
      <w:marLeft w:val="0"/>
      <w:marRight w:val="0"/>
      <w:marTop w:val="0"/>
      <w:marBottom w:val="0"/>
      <w:divBdr>
        <w:top w:val="none" w:sz="0" w:space="0" w:color="auto"/>
        <w:left w:val="none" w:sz="0" w:space="0" w:color="auto"/>
        <w:bottom w:val="none" w:sz="0" w:space="0" w:color="auto"/>
        <w:right w:val="none" w:sz="0" w:space="0" w:color="auto"/>
      </w:divBdr>
    </w:div>
    <w:div w:id="1465730572">
      <w:bodyDiv w:val="1"/>
      <w:marLeft w:val="0"/>
      <w:marRight w:val="0"/>
      <w:marTop w:val="0"/>
      <w:marBottom w:val="0"/>
      <w:divBdr>
        <w:top w:val="none" w:sz="0" w:space="0" w:color="auto"/>
        <w:left w:val="none" w:sz="0" w:space="0" w:color="auto"/>
        <w:bottom w:val="none" w:sz="0" w:space="0" w:color="auto"/>
        <w:right w:val="none" w:sz="0" w:space="0" w:color="auto"/>
      </w:divBdr>
    </w:div>
    <w:div w:id="1465778672">
      <w:bodyDiv w:val="1"/>
      <w:marLeft w:val="0"/>
      <w:marRight w:val="0"/>
      <w:marTop w:val="0"/>
      <w:marBottom w:val="0"/>
      <w:divBdr>
        <w:top w:val="none" w:sz="0" w:space="0" w:color="auto"/>
        <w:left w:val="none" w:sz="0" w:space="0" w:color="auto"/>
        <w:bottom w:val="none" w:sz="0" w:space="0" w:color="auto"/>
        <w:right w:val="none" w:sz="0" w:space="0" w:color="auto"/>
      </w:divBdr>
    </w:div>
    <w:div w:id="1465780815">
      <w:bodyDiv w:val="1"/>
      <w:marLeft w:val="0"/>
      <w:marRight w:val="0"/>
      <w:marTop w:val="0"/>
      <w:marBottom w:val="0"/>
      <w:divBdr>
        <w:top w:val="none" w:sz="0" w:space="0" w:color="auto"/>
        <w:left w:val="none" w:sz="0" w:space="0" w:color="auto"/>
        <w:bottom w:val="none" w:sz="0" w:space="0" w:color="auto"/>
        <w:right w:val="none" w:sz="0" w:space="0" w:color="auto"/>
      </w:divBdr>
    </w:div>
    <w:div w:id="1465849747">
      <w:bodyDiv w:val="1"/>
      <w:marLeft w:val="0"/>
      <w:marRight w:val="0"/>
      <w:marTop w:val="0"/>
      <w:marBottom w:val="0"/>
      <w:divBdr>
        <w:top w:val="none" w:sz="0" w:space="0" w:color="auto"/>
        <w:left w:val="none" w:sz="0" w:space="0" w:color="auto"/>
        <w:bottom w:val="none" w:sz="0" w:space="0" w:color="auto"/>
        <w:right w:val="none" w:sz="0" w:space="0" w:color="auto"/>
      </w:divBdr>
    </w:div>
    <w:div w:id="1465927777">
      <w:bodyDiv w:val="1"/>
      <w:marLeft w:val="0"/>
      <w:marRight w:val="0"/>
      <w:marTop w:val="0"/>
      <w:marBottom w:val="0"/>
      <w:divBdr>
        <w:top w:val="none" w:sz="0" w:space="0" w:color="auto"/>
        <w:left w:val="none" w:sz="0" w:space="0" w:color="auto"/>
        <w:bottom w:val="none" w:sz="0" w:space="0" w:color="auto"/>
        <w:right w:val="none" w:sz="0" w:space="0" w:color="auto"/>
      </w:divBdr>
    </w:div>
    <w:div w:id="1465999396">
      <w:bodyDiv w:val="1"/>
      <w:marLeft w:val="0"/>
      <w:marRight w:val="0"/>
      <w:marTop w:val="0"/>
      <w:marBottom w:val="0"/>
      <w:divBdr>
        <w:top w:val="none" w:sz="0" w:space="0" w:color="auto"/>
        <w:left w:val="none" w:sz="0" w:space="0" w:color="auto"/>
        <w:bottom w:val="none" w:sz="0" w:space="0" w:color="auto"/>
        <w:right w:val="none" w:sz="0" w:space="0" w:color="auto"/>
      </w:divBdr>
    </w:div>
    <w:div w:id="1466002475">
      <w:bodyDiv w:val="1"/>
      <w:marLeft w:val="0"/>
      <w:marRight w:val="0"/>
      <w:marTop w:val="0"/>
      <w:marBottom w:val="0"/>
      <w:divBdr>
        <w:top w:val="none" w:sz="0" w:space="0" w:color="auto"/>
        <w:left w:val="none" w:sz="0" w:space="0" w:color="auto"/>
        <w:bottom w:val="none" w:sz="0" w:space="0" w:color="auto"/>
        <w:right w:val="none" w:sz="0" w:space="0" w:color="auto"/>
      </w:divBdr>
    </w:div>
    <w:div w:id="1466040865">
      <w:bodyDiv w:val="1"/>
      <w:marLeft w:val="0"/>
      <w:marRight w:val="0"/>
      <w:marTop w:val="0"/>
      <w:marBottom w:val="0"/>
      <w:divBdr>
        <w:top w:val="none" w:sz="0" w:space="0" w:color="auto"/>
        <w:left w:val="none" w:sz="0" w:space="0" w:color="auto"/>
        <w:bottom w:val="none" w:sz="0" w:space="0" w:color="auto"/>
        <w:right w:val="none" w:sz="0" w:space="0" w:color="auto"/>
      </w:divBdr>
    </w:div>
    <w:div w:id="1466121576">
      <w:bodyDiv w:val="1"/>
      <w:marLeft w:val="0"/>
      <w:marRight w:val="0"/>
      <w:marTop w:val="0"/>
      <w:marBottom w:val="0"/>
      <w:divBdr>
        <w:top w:val="none" w:sz="0" w:space="0" w:color="auto"/>
        <w:left w:val="none" w:sz="0" w:space="0" w:color="auto"/>
        <w:bottom w:val="none" w:sz="0" w:space="0" w:color="auto"/>
        <w:right w:val="none" w:sz="0" w:space="0" w:color="auto"/>
      </w:divBdr>
    </w:div>
    <w:div w:id="1466121793">
      <w:bodyDiv w:val="1"/>
      <w:marLeft w:val="0"/>
      <w:marRight w:val="0"/>
      <w:marTop w:val="0"/>
      <w:marBottom w:val="0"/>
      <w:divBdr>
        <w:top w:val="none" w:sz="0" w:space="0" w:color="auto"/>
        <w:left w:val="none" w:sz="0" w:space="0" w:color="auto"/>
        <w:bottom w:val="none" w:sz="0" w:space="0" w:color="auto"/>
        <w:right w:val="none" w:sz="0" w:space="0" w:color="auto"/>
      </w:divBdr>
    </w:div>
    <w:div w:id="1466123352">
      <w:bodyDiv w:val="1"/>
      <w:marLeft w:val="0"/>
      <w:marRight w:val="0"/>
      <w:marTop w:val="0"/>
      <w:marBottom w:val="0"/>
      <w:divBdr>
        <w:top w:val="none" w:sz="0" w:space="0" w:color="auto"/>
        <w:left w:val="none" w:sz="0" w:space="0" w:color="auto"/>
        <w:bottom w:val="none" w:sz="0" w:space="0" w:color="auto"/>
        <w:right w:val="none" w:sz="0" w:space="0" w:color="auto"/>
      </w:divBdr>
    </w:div>
    <w:div w:id="1466318157">
      <w:bodyDiv w:val="1"/>
      <w:marLeft w:val="0"/>
      <w:marRight w:val="0"/>
      <w:marTop w:val="0"/>
      <w:marBottom w:val="0"/>
      <w:divBdr>
        <w:top w:val="none" w:sz="0" w:space="0" w:color="auto"/>
        <w:left w:val="none" w:sz="0" w:space="0" w:color="auto"/>
        <w:bottom w:val="none" w:sz="0" w:space="0" w:color="auto"/>
        <w:right w:val="none" w:sz="0" w:space="0" w:color="auto"/>
      </w:divBdr>
    </w:div>
    <w:div w:id="1466435416">
      <w:bodyDiv w:val="1"/>
      <w:marLeft w:val="0"/>
      <w:marRight w:val="0"/>
      <w:marTop w:val="0"/>
      <w:marBottom w:val="0"/>
      <w:divBdr>
        <w:top w:val="none" w:sz="0" w:space="0" w:color="auto"/>
        <w:left w:val="none" w:sz="0" w:space="0" w:color="auto"/>
        <w:bottom w:val="none" w:sz="0" w:space="0" w:color="auto"/>
        <w:right w:val="none" w:sz="0" w:space="0" w:color="auto"/>
      </w:divBdr>
    </w:div>
    <w:div w:id="1466460145">
      <w:bodyDiv w:val="1"/>
      <w:marLeft w:val="0"/>
      <w:marRight w:val="0"/>
      <w:marTop w:val="0"/>
      <w:marBottom w:val="0"/>
      <w:divBdr>
        <w:top w:val="none" w:sz="0" w:space="0" w:color="auto"/>
        <w:left w:val="none" w:sz="0" w:space="0" w:color="auto"/>
        <w:bottom w:val="none" w:sz="0" w:space="0" w:color="auto"/>
        <w:right w:val="none" w:sz="0" w:space="0" w:color="auto"/>
      </w:divBdr>
    </w:div>
    <w:div w:id="1466504019">
      <w:bodyDiv w:val="1"/>
      <w:marLeft w:val="0"/>
      <w:marRight w:val="0"/>
      <w:marTop w:val="0"/>
      <w:marBottom w:val="0"/>
      <w:divBdr>
        <w:top w:val="none" w:sz="0" w:space="0" w:color="auto"/>
        <w:left w:val="none" w:sz="0" w:space="0" w:color="auto"/>
        <w:bottom w:val="none" w:sz="0" w:space="0" w:color="auto"/>
        <w:right w:val="none" w:sz="0" w:space="0" w:color="auto"/>
      </w:divBdr>
    </w:div>
    <w:div w:id="1466509761">
      <w:bodyDiv w:val="1"/>
      <w:marLeft w:val="0"/>
      <w:marRight w:val="0"/>
      <w:marTop w:val="0"/>
      <w:marBottom w:val="0"/>
      <w:divBdr>
        <w:top w:val="none" w:sz="0" w:space="0" w:color="auto"/>
        <w:left w:val="none" w:sz="0" w:space="0" w:color="auto"/>
        <w:bottom w:val="none" w:sz="0" w:space="0" w:color="auto"/>
        <w:right w:val="none" w:sz="0" w:space="0" w:color="auto"/>
      </w:divBdr>
    </w:div>
    <w:div w:id="1466655418">
      <w:bodyDiv w:val="1"/>
      <w:marLeft w:val="0"/>
      <w:marRight w:val="0"/>
      <w:marTop w:val="0"/>
      <w:marBottom w:val="0"/>
      <w:divBdr>
        <w:top w:val="none" w:sz="0" w:space="0" w:color="auto"/>
        <w:left w:val="none" w:sz="0" w:space="0" w:color="auto"/>
        <w:bottom w:val="none" w:sz="0" w:space="0" w:color="auto"/>
        <w:right w:val="none" w:sz="0" w:space="0" w:color="auto"/>
      </w:divBdr>
    </w:div>
    <w:div w:id="1466697390">
      <w:bodyDiv w:val="1"/>
      <w:marLeft w:val="0"/>
      <w:marRight w:val="0"/>
      <w:marTop w:val="0"/>
      <w:marBottom w:val="0"/>
      <w:divBdr>
        <w:top w:val="none" w:sz="0" w:space="0" w:color="auto"/>
        <w:left w:val="none" w:sz="0" w:space="0" w:color="auto"/>
        <w:bottom w:val="none" w:sz="0" w:space="0" w:color="auto"/>
        <w:right w:val="none" w:sz="0" w:space="0" w:color="auto"/>
      </w:divBdr>
    </w:div>
    <w:div w:id="1466846441">
      <w:bodyDiv w:val="1"/>
      <w:marLeft w:val="0"/>
      <w:marRight w:val="0"/>
      <w:marTop w:val="0"/>
      <w:marBottom w:val="0"/>
      <w:divBdr>
        <w:top w:val="none" w:sz="0" w:space="0" w:color="auto"/>
        <w:left w:val="none" w:sz="0" w:space="0" w:color="auto"/>
        <w:bottom w:val="none" w:sz="0" w:space="0" w:color="auto"/>
        <w:right w:val="none" w:sz="0" w:space="0" w:color="auto"/>
      </w:divBdr>
    </w:div>
    <w:div w:id="1466849232">
      <w:bodyDiv w:val="1"/>
      <w:marLeft w:val="0"/>
      <w:marRight w:val="0"/>
      <w:marTop w:val="0"/>
      <w:marBottom w:val="0"/>
      <w:divBdr>
        <w:top w:val="none" w:sz="0" w:space="0" w:color="auto"/>
        <w:left w:val="none" w:sz="0" w:space="0" w:color="auto"/>
        <w:bottom w:val="none" w:sz="0" w:space="0" w:color="auto"/>
        <w:right w:val="none" w:sz="0" w:space="0" w:color="auto"/>
      </w:divBdr>
    </w:div>
    <w:div w:id="1467042114">
      <w:bodyDiv w:val="1"/>
      <w:marLeft w:val="0"/>
      <w:marRight w:val="0"/>
      <w:marTop w:val="0"/>
      <w:marBottom w:val="0"/>
      <w:divBdr>
        <w:top w:val="none" w:sz="0" w:space="0" w:color="auto"/>
        <w:left w:val="none" w:sz="0" w:space="0" w:color="auto"/>
        <w:bottom w:val="none" w:sz="0" w:space="0" w:color="auto"/>
        <w:right w:val="none" w:sz="0" w:space="0" w:color="auto"/>
      </w:divBdr>
    </w:div>
    <w:div w:id="1467237197">
      <w:bodyDiv w:val="1"/>
      <w:marLeft w:val="0"/>
      <w:marRight w:val="0"/>
      <w:marTop w:val="0"/>
      <w:marBottom w:val="0"/>
      <w:divBdr>
        <w:top w:val="none" w:sz="0" w:space="0" w:color="auto"/>
        <w:left w:val="none" w:sz="0" w:space="0" w:color="auto"/>
        <w:bottom w:val="none" w:sz="0" w:space="0" w:color="auto"/>
        <w:right w:val="none" w:sz="0" w:space="0" w:color="auto"/>
      </w:divBdr>
    </w:div>
    <w:div w:id="1467242088">
      <w:bodyDiv w:val="1"/>
      <w:marLeft w:val="0"/>
      <w:marRight w:val="0"/>
      <w:marTop w:val="0"/>
      <w:marBottom w:val="0"/>
      <w:divBdr>
        <w:top w:val="none" w:sz="0" w:space="0" w:color="auto"/>
        <w:left w:val="none" w:sz="0" w:space="0" w:color="auto"/>
        <w:bottom w:val="none" w:sz="0" w:space="0" w:color="auto"/>
        <w:right w:val="none" w:sz="0" w:space="0" w:color="auto"/>
      </w:divBdr>
    </w:div>
    <w:div w:id="1467309333">
      <w:bodyDiv w:val="1"/>
      <w:marLeft w:val="0"/>
      <w:marRight w:val="0"/>
      <w:marTop w:val="0"/>
      <w:marBottom w:val="0"/>
      <w:divBdr>
        <w:top w:val="none" w:sz="0" w:space="0" w:color="auto"/>
        <w:left w:val="none" w:sz="0" w:space="0" w:color="auto"/>
        <w:bottom w:val="none" w:sz="0" w:space="0" w:color="auto"/>
        <w:right w:val="none" w:sz="0" w:space="0" w:color="auto"/>
      </w:divBdr>
    </w:div>
    <w:div w:id="1467311855">
      <w:bodyDiv w:val="1"/>
      <w:marLeft w:val="0"/>
      <w:marRight w:val="0"/>
      <w:marTop w:val="0"/>
      <w:marBottom w:val="0"/>
      <w:divBdr>
        <w:top w:val="none" w:sz="0" w:space="0" w:color="auto"/>
        <w:left w:val="none" w:sz="0" w:space="0" w:color="auto"/>
        <w:bottom w:val="none" w:sz="0" w:space="0" w:color="auto"/>
        <w:right w:val="none" w:sz="0" w:space="0" w:color="auto"/>
      </w:divBdr>
    </w:div>
    <w:div w:id="1467621175">
      <w:bodyDiv w:val="1"/>
      <w:marLeft w:val="0"/>
      <w:marRight w:val="0"/>
      <w:marTop w:val="0"/>
      <w:marBottom w:val="0"/>
      <w:divBdr>
        <w:top w:val="none" w:sz="0" w:space="0" w:color="auto"/>
        <w:left w:val="none" w:sz="0" w:space="0" w:color="auto"/>
        <w:bottom w:val="none" w:sz="0" w:space="0" w:color="auto"/>
        <w:right w:val="none" w:sz="0" w:space="0" w:color="auto"/>
      </w:divBdr>
    </w:div>
    <w:div w:id="1467622261">
      <w:bodyDiv w:val="1"/>
      <w:marLeft w:val="0"/>
      <w:marRight w:val="0"/>
      <w:marTop w:val="0"/>
      <w:marBottom w:val="0"/>
      <w:divBdr>
        <w:top w:val="none" w:sz="0" w:space="0" w:color="auto"/>
        <w:left w:val="none" w:sz="0" w:space="0" w:color="auto"/>
        <w:bottom w:val="none" w:sz="0" w:space="0" w:color="auto"/>
        <w:right w:val="none" w:sz="0" w:space="0" w:color="auto"/>
      </w:divBdr>
    </w:div>
    <w:div w:id="1467624734">
      <w:bodyDiv w:val="1"/>
      <w:marLeft w:val="0"/>
      <w:marRight w:val="0"/>
      <w:marTop w:val="0"/>
      <w:marBottom w:val="0"/>
      <w:divBdr>
        <w:top w:val="none" w:sz="0" w:space="0" w:color="auto"/>
        <w:left w:val="none" w:sz="0" w:space="0" w:color="auto"/>
        <w:bottom w:val="none" w:sz="0" w:space="0" w:color="auto"/>
        <w:right w:val="none" w:sz="0" w:space="0" w:color="auto"/>
      </w:divBdr>
    </w:div>
    <w:div w:id="1467774700">
      <w:bodyDiv w:val="1"/>
      <w:marLeft w:val="0"/>
      <w:marRight w:val="0"/>
      <w:marTop w:val="0"/>
      <w:marBottom w:val="0"/>
      <w:divBdr>
        <w:top w:val="none" w:sz="0" w:space="0" w:color="auto"/>
        <w:left w:val="none" w:sz="0" w:space="0" w:color="auto"/>
        <w:bottom w:val="none" w:sz="0" w:space="0" w:color="auto"/>
        <w:right w:val="none" w:sz="0" w:space="0" w:color="auto"/>
      </w:divBdr>
    </w:div>
    <w:div w:id="1467888587">
      <w:bodyDiv w:val="1"/>
      <w:marLeft w:val="0"/>
      <w:marRight w:val="0"/>
      <w:marTop w:val="0"/>
      <w:marBottom w:val="0"/>
      <w:divBdr>
        <w:top w:val="none" w:sz="0" w:space="0" w:color="auto"/>
        <w:left w:val="none" w:sz="0" w:space="0" w:color="auto"/>
        <w:bottom w:val="none" w:sz="0" w:space="0" w:color="auto"/>
        <w:right w:val="none" w:sz="0" w:space="0" w:color="auto"/>
      </w:divBdr>
    </w:div>
    <w:div w:id="1467890794">
      <w:bodyDiv w:val="1"/>
      <w:marLeft w:val="0"/>
      <w:marRight w:val="0"/>
      <w:marTop w:val="0"/>
      <w:marBottom w:val="0"/>
      <w:divBdr>
        <w:top w:val="none" w:sz="0" w:space="0" w:color="auto"/>
        <w:left w:val="none" w:sz="0" w:space="0" w:color="auto"/>
        <w:bottom w:val="none" w:sz="0" w:space="0" w:color="auto"/>
        <w:right w:val="none" w:sz="0" w:space="0" w:color="auto"/>
      </w:divBdr>
    </w:div>
    <w:div w:id="1467968750">
      <w:bodyDiv w:val="1"/>
      <w:marLeft w:val="0"/>
      <w:marRight w:val="0"/>
      <w:marTop w:val="0"/>
      <w:marBottom w:val="0"/>
      <w:divBdr>
        <w:top w:val="none" w:sz="0" w:space="0" w:color="auto"/>
        <w:left w:val="none" w:sz="0" w:space="0" w:color="auto"/>
        <w:bottom w:val="none" w:sz="0" w:space="0" w:color="auto"/>
        <w:right w:val="none" w:sz="0" w:space="0" w:color="auto"/>
      </w:divBdr>
    </w:div>
    <w:div w:id="1468012981">
      <w:bodyDiv w:val="1"/>
      <w:marLeft w:val="0"/>
      <w:marRight w:val="0"/>
      <w:marTop w:val="0"/>
      <w:marBottom w:val="0"/>
      <w:divBdr>
        <w:top w:val="none" w:sz="0" w:space="0" w:color="auto"/>
        <w:left w:val="none" w:sz="0" w:space="0" w:color="auto"/>
        <w:bottom w:val="none" w:sz="0" w:space="0" w:color="auto"/>
        <w:right w:val="none" w:sz="0" w:space="0" w:color="auto"/>
      </w:divBdr>
    </w:div>
    <w:div w:id="1468158047">
      <w:bodyDiv w:val="1"/>
      <w:marLeft w:val="0"/>
      <w:marRight w:val="0"/>
      <w:marTop w:val="0"/>
      <w:marBottom w:val="0"/>
      <w:divBdr>
        <w:top w:val="none" w:sz="0" w:space="0" w:color="auto"/>
        <w:left w:val="none" w:sz="0" w:space="0" w:color="auto"/>
        <w:bottom w:val="none" w:sz="0" w:space="0" w:color="auto"/>
        <w:right w:val="none" w:sz="0" w:space="0" w:color="auto"/>
      </w:divBdr>
    </w:div>
    <w:div w:id="1468275320">
      <w:bodyDiv w:val="1"/>
      <w:marLeft w:val="0"/>
      <w:marRight w:val="0"/>
      <w:marTop w:val="0"/>
      <w:marBottom w:val="0"/>
      <w:divBdr>
        <w:top w:val="none" w:sz="0" w:space="0" w:color="auto"/>
        <w:left w:val="none" w:sz="0" w:space="0" w:color="auto"/>
        <w:bottom w:val="none" w:sz="0" w:space="0" w:color="auto"/>
        <w:right w:val="none" w:sz="0" w:space="0" w:color="auto"/>
      </w:divBdr>
    </w:div>
    <w:div w:id="1468355563">
      <w:bodyDiv w:val="1"/>
      <w:marLeft w:val="0"/>
      <w:marRight w:val="0"/>
      <w:marTop w:val="0"/>
      <w:marBottom w:val="0"/>
      <w:divBdr>
        <w:top w:val="none" w:sz="0" w:space="0" w:color="auto"/>
        <w:left w:val="none" w:sz="0" w:space="0" w:color="auto"/>
        <w:bottom w:val="none" w:sz="0" w:space="0" w:color="auto"/>
        <w:right w:val="none" w:sz="0" w:space="0" w:color="auto"/>
      </w:divBdr>
    </w:div>
    <w:div w:id="1468358870">
      <w:bodyDiv w:val="1"/>
      <w:marLeft w:val="0"/>
      <w:marRight w:val="0"/>
      <w:marTop w:val="0"/>
      <w:marBottom w:val="0"/>
      <w:divBdr>
        <w:top w:val="none" w:sz="0" w:space="0" w:color="auto"/>
        <w:left w:val="none" w:sz="0" w:space="0" w:color="auto"/>
        <w:bottom w:val="none" w:sz="0" w:space="0" w:color="auto"/>
        <w:right w:val="none" w:sz="0" w:space="0" w:color="auto"/>
      </w:divBdr>
    </w:div>
    <w:div w:id="1468737736">
      <w:bodyDiv w:val="1"/>
      <w:marLeft w:val="0"/>
      <w:marRight w:val="0"/>
      <w:marTop w:val="0"/>
      <w:marBottom w:val="0"/>
      <w:divBdr>
        <w:top w:val="none" w:sz="0" w:space="0" w:color="auto"/>
        <w:left w:val="none" w:sz="0" w:space="0" w:color="auto"/>
        <w:bottom w:val="none" w:sz="0" w:space="0" w:color="auto"/>
        <w:right w:val="none" w:sz="0" w:space="0" w:color="auto"/>
      </w:divBdr>
    </w:div>
    <w:div w:id="1468812088">
      <w:bodyDiv w:val="1"/>
      <w:marLeft w:val="0"/>
      <w:marRight w:val="0"/>
      <w:marTop w:val="0"/>
      <w:marBottom w:val="0"/>
      <w:divBdr>
        <w:top w:val="none" w:sz="0" w:space="0" w:color="auto"/>
        <w:left w:val="none" w:sz="0" w:space="0" w:color="auto"/>
        <w:bottom w:val="none" w:sz="0" w:space="0" w:color="auto"/>
        <w:right w:val="none" w:sz="0" w:space="0" w:color="auto"/>
      </w:divBdr>
    </w:div>
    <w:div w:id="1468858831">
      <w:bodyDiv w:val="1"/>
      <w:marLeft w:val="0"/>
      <w:marRight w:val="0"/>
      <w:marTop w:val="0"/>
      <w:marBottom w:val="0"/>
      <w:divBdr>
        <w:top w:val="none" w:sz="0" w:space="0" w:color="auto"/>
        <w:left w:val="none" w:sz="0" w:space="0" w:color="auto"/>
        <w:bottom w:val="none" w:sz="0" w:space="0" w:color="auto"/>
        <w:right w:val="none" w:sz="0" w:space="0" w:color="auto"/>
      </w:divBdr>
    </w:div>
    <w:div w:id="1468934962">
      <w:bodyDiv w:val="1"/>
      <w:marLeft w:val="0"/>
      <w:marRight w:val="0"/>
      <w:marTop w:val="0"/>
      <w:marBottom w:val="0"/>
      <w:divBdr>
        <w:top w:val="none" w:sz="0" w:space="0" w:color="auto"/>
        <w:left w:val="none" w:sz="0" w:space="0" w:color="auto"/>
        <w:bottom w:val="none" w:sz="0" w:space="0" w:color="auto"/>
        <w:right w:val="none" w:sz="0" w:space="0" w:color="auto"/>
      </w:divBdr>
    </w:div>
    <w:div w:id="1468935278">
      <w:bodyDiv w:val="1"/>
      <w:marLeft w:val="0"/>
      <w:marRight w:val="0"/>
      <w:marTop w:val="0"/>
      <w:marBottom w:val="0"/>
      <w:divBdr>
        <w:top w:val="none" w:sz="0" w:space="0" w:color="auto"/>
        <w:left w:val="none" w:sz="0" w:space="0" w:color="auto"/>
        <w:bottom w:val="none" w:sz="0" w:space="0" w:color="auto"/>
        <w:right w:val="none" w:sz="0" w:space="0" w:color="auto"/>
      </w:divBdr>
    </w:div>
    <w:div w:id="1469202816">
      <w:bodyDiv w:val="1"/>
      <w:marLeft w:val="0"/>
      <w:marRight w:val="0"/>
      <w:marTop w:val="0"/>
      <w:marBottom w:val="0"/>
      <w:divBdr>
        <w:top w:val="none" w:sz="0" w:space="0" w:color="auto"/>
        <w:left w:val="none" w:sz="0" w:space="0" w:color="auto"/>
        <w:bottom w:val="none" w:sz="0" w:space="0" w:color="auto"/>
        <w:right w:val="none" w:sz="0" w:space="0" w:color="auto"/>
      </w:divBdr>
    </w:div>
    <w:div w:id="1469204966">
      <w:bodyDiv w:val="1"/>
      <w:marLeft w:val="0"/>
      <w:marRight w:val="0"/>
      <w:marTop w:val="0"/>
      <w:marBottom w:val="0"/>
      <w:divBdr>
        <w:top w:val="none" w:sz="0" w:space="0" w:color="auto"/>
        <w:left w:val="none" w:sz="0" w:space="0" w:color="auto"/>
        <w:bottom w:val="none" w:sz="0" w:space="0" w:color="auto"/>
        <w:right w:val="none" w:sz="0" w:space="0" w:color="auto"/>
      </w:divBdr>
    </w:div>
    <w:div w:id="1469275540">
      <w:bodyDiv w:val="1"/>
      <w:marLeft w:val="0"/>
      <w:marRight w:val="0"/>
      <w:marTop w:val="0"/>
      <w:marBottom w:val="0"/>
      <w:divBdr>
        <w:top w:val="none" w:sz="0" w:space="0" w:color="auto"/>
        <w:left w:val="none" w:sz="0" w:space="0" w:color="auto"/>
        <w:bottom w:val="none" w:sz="0" w:space="0" w:color="auto"/>
        <w:right w:val="none" w:sz="0" w:space="0" w:color="auto"/>
      </w:divBdr>
    </w:div>
    <w:div w:id="1469349596">
      <w:bodyDiv w:val="1"/>
      <w:marLeft w:val="0"/>
      <w:marRight w:val="0"/>
      <w:marTop w:val="0"/>
      <w:marBottom w:val="0"/>
      <w:divBdr>
        <w:top w:val="none" w:sz="0" w:space="0" w:color="auto"/>
        <w:left w:val="none" w:sz="0" w:space="0" w:color="auto"/>
        <w:bottom w:val="none" w:sz="0" w:space="0" w:color="auto"/>
        <w:right w:val="none" w:sz="0" w:space="0" w:color="auto"/>
      </w:divBdr>
    </w:div>
    <w:div w:id="1469394995">
      <w:bodyDiv w:val="1"/>
      <w:marLeft w:val="0"/>
      <w:marRight w:val="0"/>
      <w:marTop w:val="0"/>
      <w:marBottom w:val="0"/>
      <w:divBdr>
        <w:top w:val="none" w:sz="0" w:space="0" w:color="auto"/>
        <w:left w:val="none" w:sz="0" w:space="0" w:color="auto"/>
        <w:bottom w:val="none" w:sz="0" w:space="0" w:color="auto"/>
        <w:right w:val="none" w:sz="0" w:space="0" w:color="auto"/>
      </w:divBdr>
    </w:div>
    <w:div w:id="1469515947">
      <w:bodyDiv w:val="1"/>
      <w:marLeft w:val="0"/>
      <w:marRight w:val="0"/>
      <w:marTop w:val="0"/>
      <w:marBottom w:val="0"/>
      <w:divBdr>
        <w:top w:val="none" w:sz="0" w:space="0" w:color="auto"/>
        <w:left w:val="none" w:sz="0" w:space="0" w:color="auto"/>
        <w:bottom w:val="none" w:sz="0" w:space="0" w:color="auto"/>
        <w:right w:val="none" w:sz="0" w:space="0" w:color="auto"/>
      </w:divBdr>
    </w:div>
    <w:div w:id="1469519165">
      <w:bodyDiv w:val="1"/>
      <w:marLeft w:val="0"/>
      <w:marRight w:val="0"/>
      <w:marTop w:val="0"/>
      <w:marBottom w:val="0"/>
      <w:divBdr>
        <w:top w:val="none" w:sz="0" w:space="0" w:color="auto"/>
        <w:left w:val="none" w:sz="0" w:space="0" w:color="auto"/>
        <w:bottom w:val="none" w:sz="0" w:space="0" w:color="auto"/>
        <w:right w:val="none" w:sz="0" w:space="0" w:color="auto"/>
      </w:divBdr>
    </w:div>
    <w:div w:id="1469667772">
      <w:bodyDiv w:val="1"/>
      <w:marLeft w:val="0"/>
      <w:marRight w:val="0"/>
      <w:marTop w:val="0"/>
      <w:marBottom w:val="0"/>
      <w:divBdr>
        <w:top w:val="none" w:sz="0" w:space="0" w:color="auto"/>
        <w:left w:val="none" w:sz="0" w:space="0" w:color="auto"/>
        <w:bottom w:val="none" w:sz="0" w:space="0" w:color="auto"/>
        <w:right w:val="none" w:sz="0" w:space="0" w:color="auto"/>
      </w:divBdr>
    </w:div>
    <w:div w:id="1469668735">
      <w:bodyDiv w:val="1"/>
      <w:marLeft w:val="0"/>
      <w:marRight w:val="0"/>
      <w:marTop w:val="0"/>
      <w:marBottom w:val="0"/>
      <w:divBdr>
        <w:top w:val="none" w:sz="0" w:space="0" w:color="auto"/>
        <w:left w:val="none" w:sz="0" w:space="0" w:color="auto"/>
        <w:bottom w:val="none" w:sz="0" w:space="0" w:color="auto"/>
        <w:right w:val="none" w:sz="0" w:space="0" w:color="auto"/>
      </w:divBdr>
    </w:div>
    <w:div w:id="1469737172">
      <w:bodyDiv w:val="1"/>
      <w:marLeft w:val="0"/>
      <w:marRight w:val="0"/>
      <w:marTop w:val="0"/>
      <w:marBottom w:val="0"/>
      <w:divBdr>
        <w:top w:val="none" w:sz="0" w:space="0" w:color="auto"/>
        <w:left w:val="none" w:sz="0" w:space="0" w:color="auto"/>
        <w:bottom w:val="none" w:sz="0" w:space="0" w:color="auto"/>
        <w:right w:val="none" w:sz="0" w:space="0" w:color="auto"/>
      </w:divBdr>
    </w:div>
    <w:div w:id="1469782518">
      <w:bodyDiv w:val="1"/>
      <w:marLeft w:val="0"/>
      <w:marRight w:val="0"/>
      <w:marTop w:val="0"/>
      <w:marBottom w:val="0"/>
      <w:divBdr>
        <w:top w:val="none" w:sz="0" w:space="0" w:color="auto"/>
        <w:left w:val="none" w:sz="0" w:space="0" w:color="auto"/>
        <w:bottom w:val="none" w:sz="0" w:space="0" w:color="auto"/>
        <w:right w:val="none" w:sz="0" w:space="0" w:color="auto"/>
      </w:divBdr>
    </w:div>
    <w:div w:id="1469785119">
      <w:bodyDiv w:val="1"/>
      <w:marLeft w:val="0"/>
      <w:marRight w:val="0"/>
      <w:marTop w:val="0"/>
      <w:marBottom w:val="0"/>
      <w:divBdr>
        <w:top w:val="none" w:sz="0" w:space="0" w:color="auto"/>
        <w:left w:val="none" w:sz="0" w:space="0" w:color="auto"/>
        <w:bottom w:val="none" w:sz="0" w:space="0" w:color="auto"/>
        <w:right w:val="none" w:sz="0" w:space="0" w:color="auto"/>
      </w:divBdr>
    </w:div>
    <w:div w:id="1469862037">
      <w:bodyDiv w:val="1"/>
      <w:marLeft w:val="0"/>
      <w:marRight w:val="0"/>
      <w:marTop w:val="0"/>
      <w:marBottom w:val="0"/>
      <w:divBdr>
        <w:top w:val="none" w:sz="0" w:space="0" w:color="auto"/>
        <w:left w:val="none" w:sz="0" w:space="0" w:color="auto"/>
        <w:bottom w:val="none" w:sz="0" w:space="0" w:color="auto"/>
        <w:right w:val="none" w:sz="0" w:space="0" w:color="auto"/>
      </w:divBdr>
    </w:div>
    <w:div w:id="1469939102">
      <w:bodyDiv w:val="1"/>
      <w:marLeft w:val="0"/>
      <w:marRight w:val="0"/>
      <w:marTop w:val="0"/>
      <w:marBottom w:val="0"/>
      <w:divBdr>
        <w:top w:val="none" w:sz="0" w:space="0" w:color="auto"/>
        <w:left w:val="none" w:sz="0" w:space="0" w:color="auto"/>
        <w:bottom w:val="none" w:sz="0" w:space="0" w:color="auto"/>
        <w:right w:val="none" w:sz="0" w:space="0" w:color="auto"/>
      </w:divBdr>
    </w:div>
    <w:div w:id="1469973242">
      <w:bodyDiv w:val="1"/>
      <w:marLeft w:val="0"/>
      <w:marRight w:val="0"/>
      <w:marTop w:val="0"/>
      <w:marBottom w:val="0"/>
      <w:divBdr>
        <w:top w:val="none" w:sz="0" w:space="0" w:color="auto"/>
        <w:left w:val="none" w:sz="0" w:space="0" w:color="auto"/>
        <w:bottom w:val="none" w:sz="0" w:space="0" w:color="auto"/>
        <w:right w:val="none" w:sz="0" w:space="0" w:color="auto"/>
      </w:divBdr>
    </w:div>
    <w:div w:id="1469975346">
      <w:bodyDiv w:val="1"/>
      <w:marLeft w:val="0"/>
      <w:marRight w:val="0"/>
      <w:marTop w:val="0"/>
      <w:marBottom w:val="0"/>
      <w:divBdr>
        <w:top w:val="none" w:sz="0" w:space="0" w:color="auto"/>
        <w:left w:val="none" w:sz="0" w:space="0" w:color="auto"/>
        <w:bottom w:val="none" w:sz="0" w:space="0" w:color="auto"/>
        <w:right w:val="none" w:sz="0" w:space="0" w:color="auto"/>
      </w:divBdr>
    </w:div>
    <w:div w:id="1470126156">
      <w:bodyDiv w:val="1"/>
      <w:marLeft w:val="0"/>
      <w:marRight w:val="0"/>
      <w:marTop w:val="0"/>
      <w:marBottom w:val="0"/>
      <w:divBdr>
        <w:top w:val="none" w:sz="0" w:space="0" w:color="auto"/>
        <w:left w:val="none" w:sz="0" w:space="0" w:color="auto"/>
        <w:bottom w:val="none" w:sz="0" w:space="0" w:color="auto"/>
        <w:right w:val="none" w:sz="0" w:space="0" w:color="auto"/>
      </w:divBdr>
    </w:div>
    <w:div w:id="1470244693">
      <w:bodyDiv w:val="1"/>
      <w:marLeft w:val="0"/>
      <w:marRight w:val="0"/>
      <w:marTop w:val="0"/>
      <w:marBottom w:val="0"/>
      <w:divBdr>
        <w:top w:val="none" w:sz="0" w:space="0" w:color="auto"/>
        <w:left w:val="none" w:sz="0" w:space="0" w:color="auto"/>
        <w:bottom w:val="none" w:sz="0" w:space="0" w:color="auto"/>
        <w:right w:val="none" w:sz="0" w:space="0" w:color="auto"/>
      </w:divBdr>
    </w:div>
    <w:div w:id="1470247698">
      <w:bodyDiv w:val="1"/>
      <w:marLeft w:val="0"/>
      <w:marRight w:val="0"/>
      <w:marTop w:val="0"/>
      <w:marBottom w:val="0"/>
      <w:divBdr>
        <w:top w:val="none" w:sz="0" w:space="0" w:color="auto"/>
        <w:left w:val="none" w:sz="0" w:space="0" w:color="auto"/>
        <w:bottom w:val="none" w:sz="0" w:space="0" w:color="auto"/>
        <w:right w:val="none" w:sz="0" w:space="0" w:color="auto"/>
      </w:divBdr>
    </w:div>
    <w:div w:id="1470247783">
      <w:bodyDiv w:val="1"/>
      <w:marLeft w:val="0"/>
      <w:marRight w:val="0"/>
      <w:marTop w:val="0"/>
      <w:marBottom w:val="0"/>
      <w:divBdr>
        <w:top w:val="none" w:sz="0" w:space="0" w:color="auto"/>
        <w:left w:val="none" w:sz="0" w:space="0" w:color="auto"/>
        <w:bottom w:val="none" w:sz="0" w:space="0" w:color="auto"/>
        <w:right w:val="none" w:sz="0" w:space="0" w:color="auto"/>
      </w:divBdr>
    </w:div>
    <w:div w:id="1470248456">
      <w:bodyDiv w:val="1"/>
      <w:marLeft w:val="0"/>
      <w:marRight w:val="0"/>
      <w:marTop w:val="0"/>
      <w:marBottom w:val="0"/>
      <w:divBdr>
        <w:top w:val="none" w:sz="0" w:space="0" w:color="auto"/>
        <w:left w:val="none" w:sz="0" w:space="0" w:color="auto"/>
        <w:bottom w:val="none" w:sz="0" w:space="0" w:color="auto"/>
        <w:right w:val="none" w:sz="0" w:space="0" w:color="auto"/>
      </w:divBdr>
    </w:div>
    <w:div w:id="1470317638">
      <w:bodyDiv w:val="1"/>
      <w:marLeft w:val="0"/>
      <w:marRight w:val="0"/>
      <w:marTop w:val="0"/>
      <w:marBottom w:val="0"/>
      <w:divBdr>
        <w:top w:val="none" w:sz="0" w:space="0" w:color="auto"/>
        <w:left w:val="none" w:sz="0" w:space="0" w:color="auto"/>
        <w:bottom w:val="none" w:sz="0" w:space="0" w:color="auto"/>
        <w:right w:val="none" w:sz="0" w:space="0" w:color="auto"/>
      </w:divBdr>
    </w:div>
    <w:div w:id="1470320537">
      <w:bodyDiv w:val="1"/>
      <w:marLeft w:val="0"/>
      <w:marRight w:val="0"/>
      <w:marTop w:val="0"/>
      <w:marBottom w:val="0"/>
      <w:divBdr>
        <w:top w:val="none" w:sz="0" w:space="0" w:color="auto"/>
        <w:left w:val="none" w:sz="0" w:space="0" w:color="auto"/>
        <w:bottom w:val="none" w:sz="0" w:space="0" w:color="auto"/>
        <w:right w:val="none" w:sz="0" w:space="0" w:color="auto"/>
      </w:divBdr>
    </w:div>
    <w:div w:id="1470393310">
      <w:bodyDiv w:val="1"/>
      <w:marLeft w:val="0"/>
      <w:marRight w:val="0"/>
      <w:marTop w:val="0"/>
      <w:marBottom w:val="0"/>
      <w:divBdr>
        <w:top w:val="none" w:sz="0" w:space="0" w:color="auto"/>
        <w:left w:val="none" w:sz="0" w:space="0" w:color="auto"/>
        <w:bottom w:val="none" w:sz="0" w:space="0" w:color="auto"/>
        <w:right w:val="none" w:sz="0" w:space="0" w:color="auto"/>
      </w:divBdr>
    </w:div>
    <w:div w:id="1470396114">
      <w:bodyDiv w:val="1"/>
      <w:marLeft w:val="0"/>
      <w:marRight w:val="0"/>
      <w:marTop w:val="0"/>
      <w:marBottom w:val="0"/>
      <w:divBdr>
        <w:top w:val="none" w:sz="0" w:space="0" w:color="auto"/>
        <w:left w:val="none" w:sz="0" w:space="0" w:color="auto"/>
        <w:bottom w:val="none" w:sz="0" w:space="0" w:color="auto"/>
        <w:right w:val="none" w:sz="0" w:space="0" w:color="auto"/>
      </w:divBdr>
    </w:div>
    <w:div w:id="1470512963">
      <w:bodyDiv w:val="1"/>
      <w:marLeft w:val="0"/>
      <w:marRight w:val="0"/>
      <w:marTop w:val="0"/>
      <w:marBottom w:val="0"/>
      <w:divBdr>
        <w:top w:val="none" w:sz="0" w:space="0" w:color="auto"/>
        <w:left w:val="none" w:sz="0" w:space="0" w:color="auto"/>
        <w:bottom w:val="none" w:sz="0" w:space="0" w:color="auto"/>
        <w:right w:val="none" w:sz="0" w:space="0" w:color="auto"/>
      </w:divBdr>
    </w:div>
    <w:div w:id="1470826236">
      <w:bodyDiv w:val="1"/>
      <w:marLeft w:val="0"/>
      <w:marRight w:val="0"/>
      <w:marTop w:val="0"/>
      <w:marBottom w:val="0"/>
      <w:divBdr>
        <w:top w:val="none" w:sz="0" w:space="0" w:color="auto"/>
        <w:left w:val="none" w:sz="0" w:space="0" w:color="auto"/>
        <w:bottom w:val="none" w:sz="0" w:space="0" w:color="auto"/>
        <w:right w:val="none" w:sz="0" w:space="0" w:color="auto"/>
      </w:divBdr>
    </w:div>
    <w:div w:id="1470828124">
      <w:bodyDiv w:val="1"/>
      <w:marLeft w:val="0"/>
      <w:marRight w:val="0"/>
      <w:marTop w:val="0"/>
      <w:marBottom w:val="0"/>
      <w:divBdr>
        <w:top w:val="none" w:sz="0" w:space="0" w:color="auto"/>
        <w:left w:val="none" w:sz="0" w:space="0" w:color="auto"/>
        <w:bottom w:val="none" w:sz="0" w:space="0" w:color="auto"/>
        <w:right w:val="none" w:sz="0" w:space="0" w:color="auto"/>
      </w:divBdr>
    </w:div>
    <w:div w:id="1470857152">
      <w:bodyDiv w:val="1"/>
      <w:marLeft w:val="0"/>
      <w:marRight w:val="0"/>
      <w:marTop w:val="0"/>
      <w:marBottom w:val="0"/>
      <w:divBdr>
        <w:top w:val="none" w:sz="0" w:space="0" w:color="auto"/>
        <w:left w:val="none" w:sz="0" w:space="0" w:color="auto"/>
        <w:bottom w:val="none" w:sz="0" w:space="0" w:color="auto"/>
        <w:right w:val="none" w:sz="0" w:space="0" w:color="auto"/>
      </w:divBdr>
    </w:div>
    <w:div w:id="1470898726">
      <w:bodyDiv w:val="1"/>
      <w:marLeft w:val="0"/>
      <w:marRight w:val="0"/>
      <w:marTop w:val="0"/>
      <w:marBottom w:val="0"/>
      <w:divBdr>
        <w:top w:val="none" w:sz="0" w:space="0" w:color="auto"/>
        <w:left w:val="none" w:sz="0" w:space="0" w:color="auto"/>
        <w:bottom w:val="none" w:sz="0" w:space="0" w:color="auto"/>
        <w:right w:val="none" w:sz="0" w:space="0" w:color="auto"/>
      </w:divBdr>
    </w:div>
    <w:div w:id="1470903539">
      <w:bodyDiv w:val="1"/>
      <w:marLeft w:val="0"/>
      <w:marRight w:val="0"/>
      <w:marTop w:val="0"/>
      <w:marBottom w:val="0"/>
      <w:divBdr>
        <w:top w:val="none" w:sz="0" w:space="0" w:color="auto"/>
        <w:left w:val="none" w:sz="0" w:space="0" w:color="auto"/>
        <w:bottom w:val="none" w:sz="0" w:space="0" w:color="auto"/>
        <w:right w:val="none" w:sz="0" w:space="0" w:color="auto"/>
      </w:divBdr>
    </w:div>
    <w:div w:id="1471021605">
      <w:bodyDiv w:val="1"/>
      <w:marLeft w:val="0"/>
      <w:marRight w:val="0"/>
      <w:marTop w:val="0"/>
      <w:marBottom w:val="0"/>
      <w:divBdr>
        <w:top w:val="none" w:sz="0" w:space="0" w:color="auto"/>
        <w:left w:val="none" w:sz="0" w:space="0" w:color="auto"/>
        <w:bottom w:val="none" w:sz="0" w:space="0" w:color="auto"/>
        <w:right w:val="none" w:sz="0" w:space="0" w:color="auto"/>
      </w:divBdr>
    </w:div>
    <w:div w:id="1471048691">
      <w:bodyDiv w:val="1"/>
      <w:marLeft w:val="0"/>
      <w:marRight w:val="0"/>
      <w:marTop w:val="0"/>
      <w:marBottom w:val="0"/>
      <w:divBdr>
        <w:top w:val="none" w:sz="0" w:space="0" w:color="auto"/>
        <w:left w:val="none" w:sz="0" w:space="0" w:color="auto"/>
        <w:bottom w:val="none" w:sz="0" w:space="0" w:color="auto"/>
        <w:right w:val="none" w:sz="0" w:space="0" w:color="auto"/>
      </w:divBdr>
    </w:div>
    <w:div w:id="1471051174">
      <w:bodyDiv w:val="1"/>
      <w:marLeft w:val="0"/>
      <w:marRight w:val="0"/>
      <w:marTop w:val="0"/>
      <w:marBottom w:val="0"/>
      <w:divBdr>
        <w:top w:val="none" w:sz="0" w:space="0" w:color="auto"/>
        <w:left w:val="none" w:sz="0" w:space="0" w:color="auto"/>
        <w:bottom w:val="none" w:sz="0" w:space="0" w:color="auto"/>
        <w:right w:val="none" w:sz="0" w:space="0" w:color="auto"/>
      </w:divBdr>
    </w:div>
    <w:div w:id="1471095879">
      <w:bodyDiv w:val="1"/>
      <w:marLeft w:val="0"/>
      <w:marRight w:val="0"/>
      <w:marTop w:val="0"/>
      <w:marBottom w:val="0"/>
      <w:divBdr>
        <w:top w:val="none" w:sz="0" w:space="0" w:color="auto"/>
        <w:left w:val="none" w:sz="0" w:space="0" w:color="auto"/>
        <w:bottom w:val="none" w:sz="0" w:space="0" w:color="auto"/>
        <w:right w:val="none" w:sz="0" w:space="0" w:color="auto"/>
      </w:divBdr>
    </w:div>
    <w:div w:id="1471174206">
      <w:bodyDiv w:val="1"/>
      <w:marLeft w:val="0"/>
      <w:marRight w:val="0"/>
      <w:marTop w:val="0"/>
      <w:marBottom w:val="0"/>
      <w:divBdr>
        <w:top w:val="none" w:sz="0" w:space="0" w:color="auto"/>
        <w:left w:val="none" w:sz="0" w:space="0" w:color="auto"/>
        <w:bottom w:val="none" w:sz="0" w:space="0" w:color="auto"/>
        <w:right w:val="none" w:sz="0" w:space="0" w:color="auto"/>
      </w:divBdr>
    </w:div>
    <w:div w:id="1471287351">
      <w:bodyDiv w:val="1"/>
      <w:marLeft w:val="0"/>
      <w:marRight w:val="0"/>
      <w:marTop w:val="0"/>
      <w:marBottom w:val="0"/>
      <w:divBdr>
        <w:top w:val="none" w:sz="0" w:space="0" w:color="auto"/>
        <w:left w:val="none" w:sz="0" w:space="0" w:color="auto"/>
        <w:bottom w:val="none" w:sz="0" w:space="0" w:color="auto"/>
        <w:right w:val="none" w:sz="0" w:space="0" w:color="auto"/>
      </w:divBdr>
    </w:div>
    <w:div w:id="1471482324">
      <w:bodyDiv w:val="1"/>
      <w:marLeft w:val="0"/>
      <w:marRight w:val="0"/>
      <w:marTop w:val="0"/>
      <w:marBottom w:val="0"/>
      <w:divBdr>
        <w:top w:val="none" w:sz="0" w:space="0" w:color="auto"/>
        <w:left w:val="none" w:sz="0" w:space="0" w:color="auto"/>
        <w:bottom w:val="none" w:sz="0" w:space="0" w:color="auto"/>
        <w:right w:val="none" w:sz="0" w:space="0" w:color="auto"/>
      </w:divBdr>
    </w:div>
    <w:div w:id="1471552214">
      <w:bodyDiv w:val="1"/>
      <w:marLeft w:val="0"/>
      <w:marRight w:val="0"/>
      <w:marTop w:val="0"/>
      <w:marBottom w:val="0"/>
      <w:divBdr>
        <w:top w:val="none" w:sz="0" w:space="0" w:color="auto"/>
        <w:left w:val="none" w:sz="0" w:space="0" w:color="auto"/>
        <w:bottom w:val="none" w:sz="0" w:space="0" w:color="auto"/>
        <w:right w:val="none" w:sz="0" w:space="0" w:color="auto"/>
      </w:divBdr>
    </w:div>
    <w:div w:id="1471556489">
      <w:bodyDiv w:val="1"/>
      <w:marLeft w:val="0"/>
      <w:marRight w:val="0"/>
      <w:marTop w:val="0"/>
      <w:marBottom w:val="0"/>
      <w:divBdr>
        <w:top w:val="none" w:sz="0" w:space="0" w:color="auto"/>
        <w:left w:val="none" w:sz="0" w:space="0" w:color="auto"/>
        <w:bottom w:val="none" w:sz="0" w:space="0" w:color="auto"/>
        <w:right w:val="none" w:sz="0" w:space="0" w:color="auto"/>
      </w:divBdr>
    </w:div>
    <w:div w:id="1471702009">
      <w:bodyDiv w:val="1"/>
      <w:marLeft w:val="0"/>
      <w:marRight w:val="0"/>
      <w:marTop w:val="0"/>
      <w:marBottom w:val="0"/>
      <w:divBdr>
        <w:top w:val="none" w:sz="0" w:space="0" w:color="auto"/>
        <w:left w:val="none" w:sz="0" w:space="0" w:color="auto"/>
        <w:bottom w:val="none" w:sz="0" w:space="0" w:color="auto"/>
        <w:right w:val="none" w:sz="0" w:space="0" w:color="auto"/>
      </w:divBdr>
    </w:div>
    <w:div w:id="1471705004">
      <w:bodyDiv w:val="1"/>
      <w:marLeft w:val="0"/>
      <w:marRight w:val="0"/>
      <w:marTop w:val="0"/>
      <w:marBottom w:val="0"/>
      <w:divBdr>
        <w:top w:val="none" w:sz="0" w:space="0" w:color="auto"/>
        <w:left w:val="none" w:sz="0" w:space="0" w:color="auto"/>
        <w:bottom w:val="none" w:sz="0" w:space="0" w:color="auto"/>
        <w:right w:val="none" w:sz="0" w:space="0" w:color="auto"/>
      </w:divBdr>
    </w:div>
    <w:div w:id="1471746974">
      <w:bodyDiv w:val="1"/>
      <w:marLeft w:val="0"/>
      <w:marRight w:val="0"/>
      <w:marTop w:val="0"/>
      <w:marBottom w:val="0"/>
      <w:divBdr>
        <w:top w:val="none" w:sz="0" w:space="0" w:color="auto"/>
        <w:left w:val="none" w:sz="0" w:space="0" w:color="auto"/>
        <w:bottom w:val="none" w:sz="0" w:space="0" w:color="auto"/>
        <w:right w:val="none" w:sz="0" w:space="0" w:color="auto"/>
      </w:divBdr>
    </w:div>
    <w:div w:id="1471747849">
      <w:bodyDiv w:val="1"/>
      <w:marLeft w:val="0"/>
      <w:marRight w:val="0"/>
      <w:marTop w:val="0"/>
      <w:marBottom w:val="0"/>
      <w:divBdr>
        <w:top w:val="none" w:sz="0" w:space="0" w:color="auto"/>
        <w:left w:val="none" w:sz="0" w:space="0" w:color="auto"/>
        <w:bottom w:val="none" w:sz="0" w:space="0" w:color="auto"/>
        <w:right w:val="none" w:sz="0" w:space="0" w:color="auto"/>
      </w:divBdr>
    </w:div>
    <w:div w:id="1471749956">
      <w:bodyDiv w:val="1"/>
      <w:marLeft w:val="0"/>
      <w:marRight w:val="0"/>
      <w:marTop w:val="0"/>
      <w:marBottom w:val="0"/>
      <w:divBdr>
        <w:top w:val="none" w:sz="0" w:space="0" w:color="auto"/>
        <w:left w:val="none" w:sz="0" w:space="0" w:color="auto"/>
        <w:bottom w:val="none" w:sz="0" w:space="0" w:color="auto"/>
        <w:right w:val="none" w:sz="0" w:space="0" w:color="auto"/>
      </w:divBdr>
    </w:div>
    <w:div w:id="1472017976">
      <w:bodyDiv w:val="1"/>
      <w:marLeft w:val="0"/>
      <w:marRight w:val="0"/>
      <w:marTop w:val="0"/>
      <w:marBottom w:val="0"/>
      <w:divBdr>
        <w:top w:val="none" w:sz="0" w:space="0" w:color="auto"/>
        <w:left w:val="none" w:sz="0" w:space="0" w:color="auto"/>
        <w:bottom w:val="none" w:sz="0" w:space="0" w:color="auto"/>
        <w:right w:val="none" w:sz="0" w:space="0" w:color="auto"/>
      </w:divBdr>
    </w:div>
    <w:div w:id="1472091904">
      <w:bodyDiv w:val="1"/>
      <w:marLeft w:val="0"/>
      <w:marRight w:val="0"/>
      <w:marTop w:val="0"/>
      <w:marBottom w:val="0"/>
      <w:divBdr>
        <w:top w:val="none" w:sz="0" w:space="0" w:color="auto"/>
        <w:left w:val="none" w:sz="0" w:space="0" w:color="auto"/>
        <w:bottom w:val="none" w:sz="0" w:space="0" w:color="auto"/>
        <w:right w:val="none" w:sz="0" w:space="0" w:color="auto"/>
      </w:divBdr>
    </w:div>
    <w:div w:id="1472164735">
      <w:bodyDiv w:val="1"/>
      <w:marLeft w:val="0"/>
      <w:marRight w:val="0"/>
      <w:marTop w:val="0"/>
      <w:marBottom w:val="0"/>
      <w:divBdr>
        <w:top w:val="none" w:sz="0" w:space="0" w:color="auto"/>
        <w:left w:val="none" w:sz="0" w:space="0" w:color="auto"/>
        <w:bottom w:val="none" w:sz="0" w:space="0" w:color="auto"/>
        <w:right w:val="none" w:sz="0" w:space="0" w:color="auto"/>
      </w:divBdr>
    </w:div>
    <w:div w:id="1472206664">
      <w:bodyDiv w:val="1"/>
      <w:marLeft w:val="0"/>
      <w:marRight w:val="0"/>
      <w:marTop w:val="0"/>
      <w:marBottom w:val="0"/>
      <w:divBdr>
        <w:top w:val="none" w:sz="0" w:space="0" w:color="auto"/>
        <w:left w:val="none" w:sz="0" w:space="0" w:color="auto"/>
        <w:bottom w:val="none" w:sz="0" w:space="0" w:color="auto"/>
        <w:right w:val="none" w:sz="0" w:space="0" w:color="auto"/>
      </w:divBdr>
    </w:div>
    <w:div w:id="1472207459">
      <w:bodyDiv w:val="1"/>
      <w:marLeft w:val="0"/>
      <w:marRight w:val="0"/>
      <w:marTop w:val="0"/>
      <w:marBottom w:val="0"/>
      <w:divBdr>
        <w:top w:val="none" w:sz="0" w:space="0" w:color="auto"/>
        <w:left w:val="none" w:sz="0" w:space="0" w:color="auto"/>
        <w:bottom w:val="none" w:sz="0" w:space="0" w:color="auto"/>
        <w:right w:val="none" w:sz="0" w:space="0" w:color="auto"/>
      </w:divBdr>
    </w:div>
    <w:div w:id="1472282557">
      <w:bodyDiv w:val="1"/>
      <w:marLeft w:val="0"/>
      <w:marRight w:val="0"/>
      <w:marTop w:val="0"/>
      <w:marBottom w:val="0"/>
      <w:divBdr>
        <w:top w:val="none" w:sz="0" w:space="0" w:color="auto"/>
        <w:left w:val="none" w:sz="0" w:space="0" w:color="auto"/>
        <w:bottom w:val="none" w:sz="0" w:space="0" w:color="auto"/>
        <w:right w:val="none" w:sz="0" w:space="0" w:color="auto"/>
      </w:divBdr>
    </w:div>
    <w:div w:id="1472407922">
      <w:bodyDiv w:val="1"/>
      <w:marLeft w:val="0"/>
      <w:marRight w:val="0"/>
      <w:marTop w:val="0"/>
      <w:marBottom w:val="0"/>
      <w:divBdr>
        <w:top w:val="none" w:sz="0" w:space="0" w:color="auto"/>
        <w:left w:val="none" w:sz="0" w:space="0" w:color="auto"/>
        <w:bottom w:val="none" w:sz="0" w:space="0" w:color="auto"/>
        <w:right w:val="none" w:sz="0" w:space="0" w:color="auto"/>
      </w:divBdr>
    </w:div>
    <w:div w:id="1472551858">
      <w:bodyDiv w:val="1"/>
      <w:marLeft w:val="0"/>
      <w:marRight w:val="0"/>
      <w:marTop w:val="0"/>
      <w:marBottom w:val="0"/>
      <w:divBdr>
        <w:top w:val="none" w:sz="0" w:space="0" w:color="auto"/>
        <w:left w:val="none" w:sz="0" w:space="0" w:color="auto"/>
        <w:bottom w:val="none" w:sz="0" w:space="0" w:color="auto"/>
        <w:right w:val="none" w:sz="0" w:space="0" w:color="auto"/>
      </w:divBdr>
    </w:div>
    <w:div w:id="1472554515">
      <w:bodyDiv w:val="1"/>
      <w:marLeft w:val="0"/>
      <w:marRight w:val="0"/>
      <w:marTop w:val="0"/>
      <w:marBottom w:val="0"/>
      <w:divBdr>
        <w:top w:val="none" w:sz="0" w:space="0" w:color="auto"/>
        <w:left w:val="none" w:sz="0" w:space="0" w:color="auto"/>
        <w:bottom w:val="none" w:sz="0" w:space="0" w:color="auto"/>
        <w:right w:val="none" w:sz="0" w:space="0" w:color="auto"/>
      </w:divBdr>
    </w:div>
    <w:div w:id="1472675530">
      <w:bodyDiv w:val="1"/>
      <w:marLeft w:val="0"/>
      <w:marRight w:val="0"/>
      <w:marTop w:val="0"/>
      <w:marBottom w:val="0"/>
      <w:divBdr>
        <w:top w:val="none" w:sz="0" w:space="0" w:color="auto"/>
        <w:left w:val="none" w:sz="0" w:space="0" w:color="auto"/>
        <w:bottom w:val="none" w:sz="0" w:space="0" w:color="auto"/>
        <w:right w:val="none" w:sz="0" w:space="0" w:color="auto"/>
      </w:divBdr>
    </w:div>
    <w:div w:id="1472675605">
      <w:bodyDiv w:val="1"/>
      <w:marLeft w:val="0"/>
      <w:marRight w:val="0"/>
      <w:marTop w:val="0"/>
      <w:marBottom w:val="0"/>
      <w:divBdr>
        <w:top w:val="none" w:sz="0" w:space="0" w:color="auto"/>
        <w:left w:val="none" w:sz="0" w:space="0" w:color="auto"/>
        <w:bottom w:val="none" w:sz="0" w:space="0" w:color="auto"/>
        <w:right w:val="none" w:sz="0" w:space="0" w:color="auto"/>
      </w:divBdr>
    </w:div>
    <w:div w:id="1472677270">
      <w:bodyDiv w:val="1"/>
      <w:marLeft w:val="0"/>
      <w:marRight w:val="0"/>
      <w:marTop w:val="0"/>
      <w:marBottom w:val="0"/>
      <w:divBdr>
        <w:top w:val="none" w:sz="0" w:space="0" w:color="auto"/>
        <w:left w:val="none" w:sz="0" w:space="0" w:color="auto"/>
        <w:bottom w:val="none" w:sz="0" w:space="0" w:color="auto"/>
        <w:right w:val="none" w:sz="0" w:space="0" w:color="auto"/>
      </w:divBdr>
    </w:div>
    <w:div w:id="1472677826">
      <w:bodyDiv w:val="1"/>
      <w:marLeft w:val="0"/>
      <w:marRight w:val="0"/>
      <w:marTop w:val="0"/>
      <w:marBottom w:val="0"/>
      <w:divBdr>
        <w:top w:val="none" w:sz="0" w:space="0" w:color="auto"/>
        <w:left w:val="none" w:sz="0" w:space="0" w:color="auto"/>
        <w:bottom w:val="none" w:sz="0" w:space="0" w:color="auto"/>
        <w:right w:val="none" w:sz="0" w:space="0" w:color="auto"/>
      </w:divBdr>
    </w:div>
    <w:div w:id="1472862805">
      <w:bodyDiv w:val="1"/>
      <w:marLeft w:val="0"/>
      <w:marRight w:val="0"/>
      <w:marTop w:val="0"/>
      <w:marBottom w:val="0"/>
      <w:divBdr>
        <w:top w:val="none" w:sz="0" w:space="0" w:color="auto"/>
        <w:left w:val="none" w:sz="0" w:space="0" w:color="auto"/>
        <w:bottom w:val="none" w:sz="0" w:space="0" w:color="auto"/>
        <w:right w:val="none" w:sz="0" w:space="0" w:color="auto"/>
      </w:divBdr>
    </w:div>
    <w:div w:id="1473013146">
      <w:bodyDiv w:val="1"/>
      <w:marLeft w:val="0"/>
      <w:marRight w:val="0"/>
      <w:marTop w:val="0"/>
      <w:marBottom w:val="0"/>
      <w:divBdr>
        <w:top w:val="none" w:sz="0" w:space="0" w:color="auto"/>
        <w:left w:val="none" w:sz="0" w:space="0" w:color="auto"/>
        <w:bottom w:val="none" w:sz="0" w:space="0" w:color="auto"/>
        <w:right w:val="none" w:sz="0" w:space="0" w:color="auto"/>
      </w:divBdr>
    </w:div>
    <w:div w:id="1473013864">
      <w:bodyDiv w:val="1"/>
      <w:marLeft w:val="0"/>
      <w:marRight w:val="0"/>
      <w:marTop w:val="0"/>
      <w:marBottom w:val="0"/>
      <w:divBdr>
        <w:top w:val="none" w:sz="0" w:space="0" w:color="auto"/>
        <w:left w:val="none" w:sz="0" w:space="0" w:color="auto"/>
        <w:bottom w:val="none" w:sz="0" w:space="0" w:color="auto"/>
        <w:right w:val="none" w:sz="0" w:space="0" w:color="auto"/>
      </w:divBdr>
    </w:div>
    <w:div w:id="1473058234">
      <w:bodyDiv w:val="1"/>
      <w:marLeft w:val="0"/>
      <w:marRight w:val="0"/>
      <w:marTop w:val="0"/>
      <w:marBottom w:val="0"/>
      <w:divBdr>
        <w:top w:val="none" w:sz="0" w:space="0" w:color="auto"/>
        <w:left w:val="none" w:sz="0" w:space="0" w:color="auto"/>
        <w:bottom w:val="none" w:sz="0" w:space="0" w:color="auto"/>
        <w:right w:val="none" w:sz="0" w:space="0" w:color="auto"/>
      </w:divBdr>
    </w:div>
    <w:div w:id="1473061452">
      <w:bodyDiv w:val="1"/>
      <w:marLeft w:val="0"/>
      <w:marRight w:val="0"/>
      <w:marTop w:val="0"/>
      <w:marBottom w:val="0"/>
      <w:divBdr>
        <w:top w:val="none" w:sz="0" w:space="0" w:color="auto"/>
        <w:left w:val="none" w:sz="0" w:space="0" w:color="auto"/>
        <w:bottom w:val="none" w:sz="0" w:space="0" w:color="auto"/>
        <w:right w:val="none" w:sz="0" w:space="0" w:color="auto"/>
      </w:divBdr>
    </w:div>
    <w:div w:id="1473133475">
      <w:bodyDiv w:val="1"/>
      <w:marLeft w:val="0"/>
      <w:marRight w:val="0"/>
      <w:marTop w:val="0"/>
      <w:marBottom w:val="0"/>
      <w:divBdr>
        <w:top w:val="none" w:sz="0" w:space="0" w:color="auto"/>
        <w:left w:val="none" w:sz="0" w:space="0" w:color="auto"/>
        <w:bottom w:val="none" w:sz="0" w:space="0" w:color="auto"/>
        <w:right w:val="none" w:sz="0" w:space="0" w:color="auto"/>
      </w:divBdr>
    </w:div>
    <w:div w:id="1473210285">
      <w:bodyDiv w:val="1"/>
      <w:marLeft w:val="0"/>
      <w:marRight w:val="0"/>
      <w:marTop w:val="0"/>
      <w:marBottom w:val="0"/>
      <w:divBdr>
        <w:top w:val="none" w:sz="0" w:space="0" w:color="auto"/>
        <w:left w:val="none" w:sz="0" w:space="0" w:color="auto"/>
        <w:bottom w:val="none" w:sz="0" w:space="0" w:color="auto"/>
        <w:right w:val="none" w:sz="0" w:space="0" w:color="auto"/>
      </w:divBdr>
    </w:div>
    <w:div w:id="1473256464">
      <w:bodyDiv w:val="1"/>
      <w:marLeft w:val="0"/>
      <w:marRight w:val="0"/>
      <w:marTop w:val="0"/>
      <w:marBottom w:val="0"/>
      <w:divBdr>
        <w:top w:val="none" w:sz="0" w:space="0" w:color="auto"/>
        <w:left w:val="none" w:sz="0" w:space="0" w:color="auto"/>
        <w:bottom w:val="none" w:sz="0" w:space="0" w:color="auto"/>
        <w:right w:val="none" w:sz="0" w:space="0" w:color="auto"/>
      </w:divBdr>
    </w:div>
    <w:div w:id="1473400690">
      <w:bodyDiv w:val="1"/>
      <w:marLeft w:val="0"/>
      <w:marRight w:val="0"/>
      <w:marTop w:val="0"/>
      <w:marBottom w:val="0"/>
      <w:divBdr>
        <w:top w:val="none" w:sz="0" w:space="0" w:color="auto"/>
        <w:left w:val="none" w:sz="0" w:space="0" w:color="auto"/>
        <w:bottom w:val="none" w:sz="0" w:space="0" w:color="auto"/>
        <w:right w:val="none" w:sz="0" w:space="0" w:color="auto"/>
      </w:divBdr>
    </w:div>
    <w:div w:id="1473712243">
      <w:bodyDiv w:val="1"/>
      <w:marLeft w:val="0"/>
      <w:marRight w:val="0"/>
      <w:marTop w:val="0"/>
      <w:marBottom w:val="0"/>
      <w:divBdr>
        <w:top w:val="none" w:sz="0" w:space="0" w:color="auto"/>
        <w:left w:val="none" w:sz="0" w:space="0" w:color="auto"/>
        <w:bottom w:val="none" w:sz="0" w:space="0" w:color="auto"/>
        <w:right w:val="none" w:sz="0" w:space="0" w:color="auto"/>
      </w:divBdr>
    </w:div>
    <w:div w:id="1473719156">
      <w:bodyDiv w:val="1"/>
      <w:marLeft w:val="0"/>
      <w:marRight w:val="0"/>
      <w:marTop w:val="0"/>
      <w:marBottom w:val="0"/>
      <w:divBdr>
        <w:top w:val="none" w:sz="0" w:space="0" w:color="auto"/>
        <w:left w:val="none" w:sz="0" w:space="0" w:color="auto"/>
        <w:bottom w:val="none" w:sz="0" w:space="0" w:color="auto"/>
        <w:right w:val="none" w:sz="0" w:space="0" w:color="auto"/>
      </w:divBdr>
    </w:div>
    <w:div w:id="1473792045">
      <w:bodyDiv w:val="1"/>
      <w:marLeft w:val="0"/>
      <w:marRight w:val="0"/>
      <w:marTop w:val="0"/>
      <w:marBottom w:val="0"/>
      <w:divBdr>
        <w:top w:val="none" w:sz="0" w:space="0" w:color="auto"/>
        <w:left w:val="none" w:sz="0" w:space="0" w:color="auto"/>
        <w:bottom w:val="none" w:sz="0" w:space="0" w:color="auto"/>
        <w:right w:val="none" w:sz="0" w:space="0" w:color="auto"/>
      </w:divBdr>
    </w:div>
    <w:div w:id="1473865710">
      <w:bodyDiv w:val="1"/>
      <w:marLeft w:val="0"/>
      <w:marRight w:val="0"/>
      <w:marTop w:val="0"/>
      <w:marBottom w:val="0"/>
      <w:divBdr>
        <w:top w:val="none" w:sz="0" w:space="0" w:color="auto"/>
        <w:left w:val="none" w:sz="0" w:space="0" w:color="auto"/>
        <w:bottom w:val="none" w:sz="0" w:space="0" w:color="auto"/>
        <w:right w:val="none" w:sz="0" w:space="0" w:color="auto"/>
      </w:divBdr>
    </w:div>
    <w:div w:id="1474057094">
      <w:bodyDiv w:val="1"/>
      <w:marLeft w:val="0"/>
      <w:marRight w:val="0"/>
      <w:marTop w:val="0"/>
      <w:marBottom w:val="0"/>
      <w:divBdr>
        <w:top w:val="none" w:sz="0" w:space="0" w:color="auto"/>
        <w:left w:val="none" w:sz="0" w:space="0" w:color="auto"/>
        <w:bottom w:val="none" w:sz="0" w:space="0" w:color="auto"/>
        <w:right w:val="none" w:sz="0" w:space="0" w:color="auto"/>
      </w:divBdr>
    </w:div>
    <w:div w:id="1474058987">
      <w:bodyDiv w:val="1"/>
      <w:marLeft w:val="0"/>
      <w:marRight w:val="0"/>
      <w:marTop w:val="0"/>
      <w:marBottom w:val="0"/>
      <w:divBdr>
        <w:top w:val="none" w:sz="0" w:space="0" w:color="auto"/>
        <w:left w:val="none" w:sz="0" w:space="0" w:color="auto"/>
        <w:bottom w:val="none" w:sz="0" w:space="0" w:color="auto"/>
        <w:right w:val="none" w:sz="0" w:space="0" w:color="auto"/>
      </w:divBdr>
    </w:div>
    <w:div w:id="1474177994">
      <w:bodyDiv w:val="1"/>
      <w:marLeft w:val="0"/>
      <w:marRight w:val="0"/>
      <w:marTop w:val="0"/>
      <w:marBottom w:val="0"/>
      <w:divBdr>
        <w:top w:val="none" w:sz="0" w:space="0" w:color="auto"/>
        <w:left w:val="none" w:sz="0" w:space="0" w:color="auto"/>
        <w:bottom w:val="none" w:sz="0" w:space="0" w:color="auto"/>
        <w:right w:val="none" w:sz="0" w:space="0" w:color="auto"/>
      </w:divBdr>
    </w:div>
    <w:div w:id="1474298630">
      <w:bodyDiv w:val="1"/>
      <w:marLeft w:val="0"/>
      <w:marRight w:val="0"/>
      <w:marTop w:val="0"/>
      <w:marBottom w:val="0"/>
      <w:divBdr>
        <w:top w:val="none" w:sz="0" w:space="0" w:color="auto"/>
        <w:left w:val="none" w:sz="0" w:space="0" w:color="auto"/>
        <w:bottom w:val="none" w:sz="0" w:space="0" w:color="auto"/>
        <w:right w:val="none" w:sz="0" w:space="0" w:color="auto"/>
      </w:divBdr>
    </w:div>
    <w:div w:id="1474369158">
      <w:bodyDiv w:val="1"/>
      <w:marLeft w:val="0"/>
      <w:marRight w:val="0"/>
      <w:marTop w:val="0"/>
      <w:marBottom w:val="0"/>
      <w:divBdr>
        <w:top w:val="none" w:sz="0" w:space="0" w:color="auto"/>
        <w:left w:val="none" w:sz="0" w:space="0" w:color="auto"/>
        <w:bottom w:val="none" w:sz="0" w:space="0" w:color="auto"/>
        <w:right w:val="none" w:sz="0" w:space="0" w:color="auto"/>
      </w:divBdr>
    </w:div>
    <w:div w:id="1474374196">
      <w:bodyDiv w:val="1"/>
      <w:marLeft w:val="0"/>
      <w:marRight w:val="0"/>
      <w:marTop w:val="0"/>
      <w:marBottom w:val="0"/>
      <w:divBdr>
        <w:top w:val="none" w:sz="0" w:space="0" w:color="auto"/>
        <w:left w:val="none" w:sz="0" w:space="0" w:color="auto"/>
        <w:bottom w:val="none" w:sz="0" w:space="0" w:color="auto"/>
        <w:right w:val="none" w:sz="0" w:space="0" w:color="auto"/>
      </w:divBdr>
    </w:div>
    <w:div w:id="1474374540">
      <w:bodyDiv w:val="1"/>
      <w:marLeft w:val="0"/>
      <w:marRight w:val="0"/>
      <w:marTop w:val="0"/>
      <w:marBottom w:val="0"/>
      <w:divBdr>
        <w:top w:val="none" w:sz="0" w:space="0" w:color="auto"/>
        <w:left w:val="none" w:sz="0" w:space="0" w:color="auto"/>
        <w:bottom w:val="none" w:sz="0" w:space="0" w:color="auto"/>
        <w:right w:val="none" w:sz="0" w:space="0" w:color="auto"/>
      </w:divBdr>
    </w:div>
    <w:div w:id="1474519299">
      <w:bodyDiv w:val="1"/>
      <w:marLeft w:val="0"/>
      <w:marRight w:val="0"/>
      <w:marTop w:val="0"/>
      <w:marBottom w:val="0"/>
      <w:divBdr>
        <w:top w:val="none" w:sz="0" w:space="0" w:color="auto"/>
        <w:left w:val="none" w:sz="0" w:space="0" w:color="auto"/>
        <w:bottom w:val="none" w:sz="0" w:space="0" w:color="auto"/>
        <w:right w:val="none" w:sz="0" w:space="0" w:color="auto"/>
      </w:divBdr>
    </w:div>
    <w:div w:id="1474522988">
      <w:bodyDiv w:val="1"/>
      <w:marLeft w:val="0"/>
      <w:marRight w:val="0"/>
      <w:marTop w:val="0"/>
      <w:marBottom w:val="0"/>
      <w:divBdr>
        <w:top w:val="none" w:sz="0" w:space="0" w:color="auto"/>
        <w:left w:val="none" w:sz="0" w:space="0" w:color="auto"/>
        <w:bottom w:val="none" w:sz="0" w:space="0" w:color="auto"/>
        <w:right w:val="none" w:sz="0" w:space="0" w:color="auto"/>
      </w:divBdr>
    </w:div>
    <w:div w:id="1474562911">
      <w:bodyDiv w:val="1"/>
      <w:marLeft w:val="0"/>
      <w:marRight w:val="0"/>
      <w:marTop w:val="0"/>
      <w:marBottom w:val="0"/>
      <w:divBdr>
        <w:top w:val="none" w:sz="0" w:space="0" w:color="auto"/>
        <w:left w:val="none" w:sz="0" w:space="0" w:color="auto"/>
        <w:bottom w:val="none" w:sz="0" w:space="0" w:color="auto"/>
        <w:right w:val="none" w:sz="0" w:space="0" w:color="auto"/>
      </w:divBdr>
    </w:div>
    <w:div w:id="1474638567">
      <w:bodyDiv w:val="1"/>
      <w:marLeft w:val="0"/>
      <w:marRight w:val="0"/>
      <w:marTop w:val="0"/>
      <w:marBottom w:val="0"/>
      <w:divBdr>
        <w:top w:val="none" w:sz="0" w:space="0" w:color="auto"/>
        <w:left w:val="none" w:sz="0" w:space="0" w:color="auto"/>
        <w:bottom w:val="none" w:sz="0" w:space="0" w:color="auto"/>
        <w:right w:val="none" w:sz="0" w:space="0" w:color="auto"/>
      </w:divBdr>
    </w:div>
    <w:div w:id="1474757194">
      <w:bodyDiv w:val="1"/>
      <w:marLeft w:val="0"/>
      <w:marRight w:val="0"/>
      <w:marTop w:val="0"/>
      <w:marBottom w:val="0"/>
      <w:divBdr>
        <w:top w:val="none" w:sz="0" w:space="0" w:color="auto"/>
        <w:left w:val="none" w:sz="0" w:space="0" w:color="auto"/>
        <w:bottom w:val="none" w:sz="0" w:space="0" w:color="auto"/>
        <w:right w:val="none" w:sz="0" w:space="0" w:color="auto"/>
      </w:divBdr>
    </w:div>
    <w:div w:id="1474833319">
      <w:bodyDiv w:val="1"/>
      <w:marLeft w:val="0"/>
      <w:marRight w:val="0"/>
      <w:marTop w:val="0"/>
      <w:marBottom w:val="0"/>
      <w:divBdr>
        <w:top w:val="none" w:sz="0" w:space="0" w:color="auto"/>
        <w:left w:val="none" w:sz="0" w:space="0" w:color="auto"/>
        <w:bottom w:val="none" w:sz="0" w:space="0" w:color="auto"/>
        <w:right w:val="none" w:sz="0" w:space="0" w:color="auto"/>
      </w:divBdr>
    </w:div>
    <w:div w:id="1474836880">
      <w:bodyDiv w:val="1"/>
      <w:marLeft w:val="0"/>
      <w:marRight w:val="0"/>
      <w:marTop w:val="0"/>
      <w:marBottom w:val="0"/>
      <w:divBdr>
        <w:top w:val="none" w:sz="0" w:space="0" w:color="auto"/>
        <w:left w:val="none" w:sz="0" w:space="0" w:color="auto"/>
        <w:bottom w:val="none" w:sz="0" w:space="0" w:color="auto"/>
        <w:right w:val="none" w:sz="0" w:space="0" w:color="auto"/>
      </w:divBdr>
    </w:div>
    <w:div w:id="1475029344">
      <w:bodyDiv w:val="1"/>
      <w:marLeft w:val="0"/>
      <w:marRight w:val="0"/>
      <w:marTop w:val="0"/>
      <w:marBottom w:val="0"/>
      <w:divBdr>
        <w:top w:val="none" w:sz="0" w:space="0" w:color="auto"/>
        <w:left w:val="none" w:sz="0" w:space="0" w:color="auto"/>
        <w:bottom w:val="none" w:sz="0" w:space="0" w:color="auto"/>
        <w:right w:val="none" w:sz="0" w:space="0" w:color="auto"/>
      </w:divBdr>
    </w:div>
    <w:div w:id="1475097743">
      <w:bodyDiv w:val="1"/>
      <w:marLeft w:val="0"/>
      <w:marRight w:val="0"/>
      <w:marTop w:val="0"/>
      <w:marBottom w:val="0"/>
      <w:divBdr>
        <w:top w:val="none" w:sz="0" w:space="0" w:color="auto"/>
        <w:left w:val="none" w:sz="0" w:space="0" w:color="auto"/>
        <w:bottom w:val="none" w:sz="0" w:space="0" w:color="auto"/>
        <w:right w:val="none" w:sz="0" w:space="0" w:color="auto"/>
      </w:divBdr>
    </w:div>
    <w:div w:id="1475103067">
      <w:bodyDiv w:val="1"/>
      <w:marLeft w:val="0"/>
      <w:marRight w:val="0"/>
      <w:marTop w:val="0"/>
      <w:marBottom w:val="0"/>
      <w:divBdr>
        <w:top w:val="none" w:sz="0" w:space="0" w:color="auto"/>
        <w:left w:val="none" w:sz="0" w:space="0" w:color="auto"/>
        <w:bottom w:val="none" w:sz="0" w:space="0" w:color="auto"/>
        <w:right w:val="none" w:sz="0" w:space="0" w:color="auto"/>
      </w:divBdr>
    </w:div>
    <w:div w:id="1475105784">
      <w:bodyDiv w:val="1"/>
      <w:marLeft w:val="0"/>
      <w:marRight w:val="0"/>
      <w:marTop w:val="0"/>
      <w:marBottom w:val="0"/>
      <w:divBdr>
        <w:top w:val="none" w:sz="0" w:space="0" w:color="auto"/>
        <w:left w:val="none" w:sz="0" w:space="0" w:color="auto"/>
        <w:bottom w:val="none" w:sz="0" w:space="0" w:color="auto"/>
        <w:right w:val="none" w:sz="0" w:space="0" w:color="auto"/>
      </w:divBdr>
    </w:div>
    <w:div w:id="1475219460">
      <w:bodyDiv w:val="1"/>
      <w:marLeft w:val="0"/>
      <w:marRight w:val="0"/>
      <w:marTop w:val="0"/>
      <w:marBottom w:val="0"/>
      <w:divBdr>
        <w:top w:val="none" w:sz="0" w:space="0" w:color="auto"/>
        <w:left w:val="none" w:sz="0" w:space="0" w:color="auto"/>
        <w:bottom w:val="none" w:sz="0" w:space="0" w:color="auto"/>
        <w:right w:val="none" w:sz="0" w:space="0" w:color="auto"/>
      </w:divBdr>
    </w:div>
    <w:div w:id="1475223433">
      <w:bodyDiv w:val="1"/>
      <w:marLeft w:val="0"/>
      <w:marRight w:val="0"/>
      <w:marTop w:val="0"/>
      <w:marBottom w:val="0"/>
      <w:divBdr>
        <w:top w:val="none" w:sz="0" w:space="0" w:color="auto"/>
        <w:left w:val="none" w:sz="0" w:space="0" w:color="auto"/>
        <w:bottom w:val="none" w:sz="0" w:space="0" w:color="auto"/>
        <w:right w:val="none" w:sz="0" w:space="0" w:color="auto"/>
      </w:divBdr>
    </w:div>
    <w:div w:id="1475636566">
      <w:bodyDiv w:val="1"/>
      <w:marLeft w:val="0"/>
      <w:marRight w:val="0"/>
      <w:marTop w:val="0"/>
      <w:marBottom w:val="0"/>
      <w:divBdr>
        <w:top w:val="none" w:sz="0" w:space="0" w:color="auto"/>
        <w:left w:val="none" w:sz="0" w:space="0" w:color="auto"/>
        <w:bottom w:val="none" w:sz="0" w:space="0" w:color="auto"/>
        <w:right w:val="none" w:sz="0" w:space="0" w:color="auto"/>
      </w:divBdr>
    </w:div>
    <w:div w:id="1475639241">
      <w:bodyDiv w:val="1"/>
      <w:marLeft w:val="0"/>
      <w:marRight w:val="0"/>
      <w:marTop w:val="0"/>
      <w:marBottom w:val="0"/>
      <w:divBdr>
        <w:top w:val="none" w:sz="0" w:space="0" w:color="auto"/>
        <w:left w:val="none" w:sz="0" w:space="0" w:color="auto"/>
        <w:bottom w:val="none" w:sz="0" w:space="0" w:color="auto"/>
        <w:right w:val="none" w:sz="0" w:space="0" w:color="auto"/>
      </w:divBdr>
    </w:div>
    <w:div w:id="1475757488">
      <w:bodyDiv w:val="1"/>
      <w:marLeft w:val="0"/>
      <w:marRight w:val="0"/>
      <w:marTop w:val="0"/>
      <w:marBottom w:val="0"/>
      <w:divBdr>
        <w:top w:val="none" w:sz="0" w:space="0" w:color="auto"/>
        <w:left w:val="none" w:sz="0" w:space="0" w:color="auto"/>
        <w:bottom w:val="none" w:sz="0" w:space="0" w:color="auto"/>
        <w:right w:val="none" w:sz="0" w:space="0" w:color="auto"/>
      </w:divBdr>
    </w:div>
    <w:div w:id="1476072297">
      <w:bodyDiv w:val="1"/>
      <w:marLeft w:val="0"/>
      <w:marRight w:val="0"/>
      <w:marTop w:val="0"/>
      <w:marBottom w:val="0"/>
      <w:divBdr>
        <w:top w:val="none" w:sz="0" w:space="0" w:color="auto"/>
        <w:left w:val="none" w:sz="0" w:space="0" w:color="auto"/>
        <w:bottom w:val="none" w:sz="0" w:space="0" w:color="auto"/>
        <w:right w:val="none" w:sz="0" w:space="0" w:color="auto"/>
      </w:divBdr>
    </w:div>
    <w:div w:id="1476290963">
      <w:bodyDiv w:val="1"/>
      <w:marLeft w:val="0"/>
      <w:marRight w:val="0"/>
      <w:marTop w:val="0"/>
      <w:marBottom w:val="0"/>
      <w:divBdr>
        <w:top w:val="none" w:sz="0" w:space="0" w:color="auto"/>
        <w:left w:val="none" w:sz="0" w:space="0" w:color="auto"/>
        <w:bottom w:val="none" w:sz="0" w:space="0" w:color="auto"/>
        <w:right w:val="none" w:sz="0" w:space="0" w:color="auto"/>
      </w:divBdr>
    </w:div>
    <w:div w:id="1476676970">
      <w:bodyDiv w:val="1"/>
      <w:marLeft w:val="0"/>
      <w:marRight w:val="0"/>
      <w:marTop w:val="0"/>
      <w:marBottom w:val="0"/>
      <w:divBdr>
        <w:top w:val="none" w:sz="0" w:space="0" w:color="auto"/>
        <w:left w:val="none" w:sz="0" w:space="0" w:color="auto"/>
        <w:bottom w:val="none" w:sz="0" w:space="0" w:color="auto"/>
        <w:right w:val="none" w:sz="0" w:space="0" w:color="auto"/>
      </w:divBdr>
    </w:div>
    <w:div w:id="1476723934">
      <w:bodyDiv w:val="1"/>
      <w:marLeft w:val="0"/>
      <w:marRight w:val="0"/>
      <w:marTop w:val="0"/>
      <w:marBottom w:val="0"/>
      <w:divBdr>
        <w:top w:val="none" w:sz="0" w:space="0" w:color="auto"/>
        <w:left w:val="none" w:sz="0" w:space="0" w:color="auto"/>
        <w:bottom w:val="none" w:sz="0" w:space="0" w:color="auto"/>
        <w:right w:val="none" w:sz="0" w:space="0" w:color="auto"/>
      </w:divBdr>
    </w:div>
    <w:div w:id="1476872897">
      <w:bodyDiv w:val="1"/>
      <w:marLeft w:val="0"/>
      <w:marRight w:val="0"/>
      <w:marTop w:val="0"/>
      <w:marBottom w:val="0"/>
      <w:divBdr>
        <w:top w:val="none" w:sz="0" w:space="0" w:color="auto"/>
        <w:left w:val="none" w:sz="0" w:space="0" w:color="auto"/>
        <w:bottom w:val="none" w:sz="0" w:space="0" w:color="auto"/>
        <w:right w:val="none" w:sz="0" w:space="0" w:color="auto"/>
      </w:divBdr>
    </w:div>
    <w:div w:id="1476874582">
      <w:bodyDiv w:val="1"/>
      <w:marLeft w:val="0"/>
      <w:marRight w:val="0"/>
      <w:marTop w:val="0"/>
      <w:marBottom w:val="0"/>
      <w:divBdr>
        <w:top w:val="none" w:sz="0" w:space="0" w:color="auto"/>
        <w:left w:val="none" w:sz="0" w:space="0" w:color="auto"/>
        <w:bottom w:val="none" w:sz="0" w:space="0" w:color="auto"/>
        <w:right w:val="none" w:sz="0" w:space="0" w:color="auto"/>
      </w:divBdr>
    </w:div>
    <w:div w:id="1477141656">
      <w:bodyDiv w:val="1"/>
      <w:marLeft w:val="0"/>
      <w:marRight w:val="0"/>
      <w:marTop w:val="0"/>
      <w:marBottom w:val="0"/>
      <w:divBdr>
        <w:top w:val="none" w:sz="0" w:space="0" w:color="auto"/>
        <w:left w:val="none" w:sz="0" w:space="0" w:color="auto"/>
        <w:bottom w:val="none" w:sz="0" w:space="0" w:color="auto"/>
        <w:right w:val="none" w:sz="0" w:space="0" w:color="auto"/>
      </w:divBdr>
    </w:div>
    <w:div w:id="1477141719">
      <w:bodyDiv w:val="1"/>
      <w:marLeft w:val="0"/>
      <w:marRight w:val="0"/>
      <w:marTop w:val="0"/>
      <w:marBottom w:val="0"/>
      <w:divBdr>
        <w:top w:val="none" w:sz="0" w:space="0" w:color="auto"/>
        <w:left w:val="none" w:sz="0" w:space="0" w:color="auto"/>
        <w:bottom w:val="none" w:sz="0" w:space="0" w:color="auto"/>
        <w:right w:val="none" w:sz="0" w:space="0" w:color="auto"/>
      </w:divBdr>
    </w:div>
    <w:div w:id="1477213189">
      <w:bodyDiv w:val="1"/>
      <w:marLeft w:val="0"/>
      <w:marRight w:val="0"/>
      <w:marTop w:val="0"/>
      <w:marBottom w:val="0"/>
      <w:divBdr>
        <w:top w:val="none" w:sz="0" w:space="0" w:color="auto"/>
        <w:left w:val="none" w:sz="0" w:space="0" w:color="auto"/>
        <w:bottom w:val="none" w:sz="0" w:space="0" w:color="auto"/>
        <w:right w:val="none" w:sz="0" w:space="0" w:color="auto"/>
      </w:divBdr>
    </w:div>
    <w:div w:id="1477261252">
      <w:bodyDiv w:val="1"/>
      <w:marLeft w:val="0"/>
      <w:marRight w:val="0"/>
      <w:marTop w:val="0"/>
      <w:marBottom w:val="0"/>
      <w:divBdr>
        <w:top w:val="none" w:sz="0" w:space="0" w:color="auto"/>
        <w:left w:val="none" w:sz="0" w:space="0" w:color="auto"/>
        <w:bottom w:val="none" w:sz="0" w:space="0" w:color="auto"/>
        <w:right w:val="none" w:sz="0" w:space="0" w:color="auto"/>
      </w:divBdr>
    </w:div>
    <w:div w:id="1477264907">
      <w:bodyDiv w:val="1"/>
      <w:marLeft w:val="0"/>
      <w:marRight w:val="0"/>
      <w:marTop w:val="0"/>
      <w:marBottom w:val="0"/>
      <w:divBdr>
        <w:top w:val="none" w:sz="0" w:space="0" w:color="auto"/>
        <w:left w:val="none" w:sz="0" w:space="0" w:color="auto"/>
        <w:bottom w:val="none" w:sz="0" w:space="0" w:color="auto"/>
        <w:right w:val="none" w:sz="0" w:space="0" w:color="auto"/>
      </w:divBdr>
    </w:div>
    <w:div w:id="1477331793">
      <w:bodyDiv w:val="1"/>
      <w:marLeft w:val="0"/>
      <w:marRight w:val="0"/>
      <w:marTop w:val="0"/>
      <w:marBottom w:val="0"/>
      <w:divBdr>
        <w:top w:val="none" w:sz="0" w:space="0" w:color="auto"/>
        <w:left w:val="none" w:sz="0" w:space="0" w:color="auto"/>
        <w:bottom w:val="none" w:sz="0" w:space="0" w:color="auto"/>
        <w:right w:val="none" w:sz="0" w:space="0" w:color="auto"/>
      </w:divBdr>
    </w:div>
    <w:div w:id="1477337716">
      <w:bodyDiv w:val="1"/>
      <w:marLeft w:val="0"/>
      <w:marRight w:val="0"/>
      <w:marTop w:val="0"/>
      <w:marBottom w:val="0"/>
      <w:divBdr>
        <w:top w:val="none" w:sz="0" w:space="0" w:color="auto"/>
        <w:left w:val="none" w:sz="0" w:space="0" w:color="auto"/>
        <w:bottom w:val="none" w:sz="0" w:space="0" w:color="auto"/>
        <w:right w:val="none" w:sz="0" w:space="0" w:color="auto"/>
      </w:divBdr>
    </w:div>
    <w:div w:id="1477382503">
      <w:bodyDiv w:val="1"/>
      <w:marLeft w:val="0"/>
      <w:marRight w:val="0"/>
      <w:marTop w:val="0"/>
      <w:marBottom w:val="0"/>
      <w:divBdr>
        <w:top w:val="none" w:sz="0" w:space="0" w:color="auto"/>
        <w:left w:val="none" w:sz="0" w:space="0" w:color="auto"/>
        <w:bottom w:val="none" w:sz="0" w:space="0" w:color="auto"/>
        <w:right w:val="none" w:sz="0" w:space="0" w:color="auto"/>
      </w:divBdr>
    </w:div>
    <w:div w:id="1477382677">
      <w:bodyDiv w:val="1"/>
      <w:marLeft w:val="0"/>
      <w:marRight w:val="0"/>
      <w:marTop w:val="0"/>
      <w:marBottom w:val="0"/>
      <w:divBdr>
        <w:top w:val="none" w:sz="0" w:space="0" w:color="auto"/>
        <w:left w:val="none" w:sz="0" w:space="0" w:color="auto"/>
        <w:bottom w:val="none" w:sz="0" w:space="0" w:color="auto"/>
        <w:right w:val="none" w:sz="0" w:space="0" w:color="auto"/>
      </w:divBdr>
    </w:div>
    <w:div w:id="1477453393">
      <w:bodyDiv w:val="1"/>
      <w:marLeft w:val="0"/>
      <w:marRight w:val="0"/>
      <w:marTop w:val="0"/>
      <w:marBottom w:val="0"/>
      <w:divBdr>
        <w:top w:val="none" w:sz="0" w:space="0" w:color="auto"/>
        <w:left w:val="none" w:sz="0" w:space="0" w:color="auto"/>
        <w:bottom w:val="none" w:sz="0" w:space="0" w:color="auto"/>
        <w:right w:val="none" w:sz="0" w:space="0" w:color="auto"/>
      </w:divBdr>
    </w:div>
    <w:div w:id="1477526896">
      <w:bodyDiv w:val="1"/>
      <w:marLeft w:val="0"/>
      <w:marRight w:val="0"/>
      <w:marTop w:val="0"/>
      <w:marBottom w:val="0"/>
      <w:divBdr>
        <w:top w:val="none" w:sz="0" w:space="0" w:color="auto"/>
        <w:left w:val="none" w:sz="0" w:space="0" w:color="auto"/>
        <w:bottom w:val="none" w:sz="0" w:space="0" w:color="auto"/>
        <w:right w:val="none" w:sz="0" w:space="0" w:color="auto"/>
      </w:divBdr>
    </w:div>
    <w:div w:id="1477533419">
      <w:bodyDiv w:val="1"/>
      <w:marLeft w:val="0"/>
      <w:marRight w:val="0"/>
      <w:marTop w:val="0"/>
      <w:marBottom w:val="0"/>
      <w:divBdr>
        <w:top w:val="none" w:sz="0" w:space="0" w:color="auto"/>
        <w:left w:val="none" w:sz="0" w:space="0" w:color="auto"/>
        <w:bottom w:val="none" w:sz="0" w:space="0" w:color="auto"/>
        <w:right w:val="none" w:sz="0" w:space="0" w:color="auto"/>
      </w:divBdr>
    </w:div>
    <w:div w:id="1477722739">
      <w:bodyDiv w:val="1"/>
      <w:marLeft w:val="0"/>
      <w:marRight w:val="0"/>
      <w:marTop w:val="0"/>
      <w:marBottom w:val="0"/>
      <w:divBdr>
        <w:top w:val="none" w:sz="0" w:space="0" w:color="auto"/>
        <w:left w:val="none" w:sz="0" w:space="0" w:color="auto"/>
        <w:bottom w:val="none" w:sz="0" w:space="0" w:color="auto"/>
        <w:right w:val="none" w:sz="0" w:space="0" w:color="auto"/>
      </w:divBdr>
    </w:div>
    <w:div w:id="1477725831">
      <w:bodyDiv w:val="1"/>
      <w:marLeft w:val="0"/>
      <w:marRight w:val="0"/>
      <w:marTop w:val="0"/>
      <w:marBottom w:val="0"/>
      <w:divBdr>
        <w:top w:val="none" w:sz="0" w:space="0" w:color="auto"/>
        <w:left w:val="none" w:sz="0" w:space="0" w:color="auto"/>
        <w:bottom w:val="none" w:sz="0" w:space="0" w:color="auto"/>
        <w:right w:val="none" w:sz="0" w:space="0" w:color="auto"/>
      </w:divBdr>
    </w:div>
    <w:div w:id="1477800827">
      <w:bodyDiv w:val="1"/>
      <w:marLeft w:val="0"/>
      <w:marRight w:val="0"/>
      <w:marTop w:val="0"/>
      <w:marBottom w:val="0"/>
      <w:divBdr>
        <w:top w:val="none" w:sz="0" w:space="0" w:color="auto"/>
        <w:left w:val="none" w:sz="0" w:space="0" w:color="auto"/>
        <w:bottom w:val="none" w:sz="0" w:space="0" w:color="auto"/>
        <w:right w:val="none" w:sz="0" w:space="0" w:color="auto"/>
      </w:divBdr>
    </w:div>
    <w:div w:id="1477840729">
      <w:bodyDiv w:val="1"/>
      <w:marLeft w:val="0"/>
      <w:marRight w:val="0"/>
      <w:marTop w:val="0"/>
      <w:marBottom w:val="0"/>
      <w:divBdr>
        <w:top w:val="none" w:sz="0" w:space="0" w:color="auto"/>
        <w:left w:val="none" w:sz="0" w:space="0" w:color="auto"/>
        <w:bottom w:val="none" w:sz="0" w:space="0" w:color="auto"/>
        <w:right w:val="none" w:sz="0" w:space="0" w:color="auto"/>
      </w:divBdr>
    </w:div>
    <w:div w:id="1477843808">
      <w:bodyDiv w:val="1"/>
      <w:marLeft w:val="0"/>
      <w:marRight w:val="0"/>
      <w:marTop w:val="0"/>
      <w:marBottom w:val="0"/>
      <w:divBdr>
        <w:top w:val="none" w:sz="0" w:space="0" w:color="auto"/>
        <w:left w:val="none" w:sz="0" w:space="0" w:color="auto"/>
        <w:bottom w:val="none" w:sz="0" w:space="0" w:color="auto"/>
        <w:right w:val="none" w:sz="0" w:space="0" w:color="auto"/>
      </w:divBdr>
    </w:div>
    <w:div w:id="1477913579">
      <w:bodyDiv w:val="1"/>
      <w:marLeft w:val="0"/>
      <w:marRight w:val="0"/>
      <w:marTop w:val="0"/>
      <w:marBottom w:val="0"/>
      <w:divBdr>
        <w:top w:val="none" w:sz="0" w:space="0" w:color="auto"/>
        <w:left w:val="none" w:sz="0" w:space="0" w:color="auto"/>
        <w:bottom w:val="none" w:sz="0" w:space="0" w:color="auto"/>
        <w:right w:val="none" w:sz="0" w:space="0" w:color="auto"/>
      </w:divBdr>
    </w:div>
    <w:div w:id="1477915180">
      <w:bodyDiv w:val="1"/>
      <w:marLeft w:val="0"/>
      <w:marRight w:val="0"/>
      <w:marTop w:val="0"/>
      <w:marBottom w:val="0"/>
      <w:divBdr>
        <w:top w:val="none" w:sz="0" w:space="0" w:color="auto"/>
        <w:left w:val="none" w:sz="0" w:space="0" w:color="auto"/>
        <w:bottom w:val="none" w:sz="0" w:space="0" w:color="auto"/>
        <w:right w:val="none" w:sz="0" w:space="0" w:color="auto"/>
      </w:divBdr>
    </w:div>
    <w:div w:id="1477917635">
      <w:bodyDiv w:val="1"/>
      <w:marLeft w:val="0"/>
      <w:marRight w:val="0"/>
      <w:marTop w:val="0"/>
      <w:marBottom w:val="0"/>
      <w:divBdr>
        <w:top w:val="none" w:sz="0" w:space="0" w:color="auto"/>
        <w:left w:val="none" w:sz="0" w:space="0" w:color="auto"/>
        <w:bottom w:val="none" w:sz="0" w:space="0" w:color="auto"/>
        <w:right w:val="none" w:sz="0" w:space="0" w:color="auto"/>
      </w:divBdr>
    </w:div>
    <w:div w:id="1477987413">
      <w:bodyDiv w:val="1"/>
      <w:marLeft w:val="0"/>
      <w:marRight w:val="0"/>
      <w:marTop w:val="0"/>
      <w:marBottom w:val="0"/>
      <w:divBdr>
        <w:top w:val="none" w:sz="0" w:space="0" w:color="auto"/>
        <w:left w:val="none" w:sz="0" w:space="0" w:color="auto"/>
        <w:bottom w:val="none" w:sz="0" w:space="0" w:color="auto"/>
        <w:right w:val="none" w:sz="0" w:space="0" w:color="auto"/>
      </w:divBdr>
    </w:div>
    <w:div w:id="1477995552">
      <w:bodyDiv w:val="1"/>
      <w:marLeft w:val="0"/>
      <w:marRight w:val="0"/>
      <w:marTop w:val="0"/>
      <w:marBottom w:val="0"/>
      <w:divBdr>
        <w:top w:val="none" w:sz="0" w:space="0" w:color="auto"/>
        <w:left w:val="none" w:sz="0" w:space="0" w:color="auto"/>
        <w:bottom w:val="none" w:sz="0" w:space="0" w:color="auto"/>
        <w:right w:val="none" w:sz="0" w:space="0" w:color="auto"/>
      </w:divBdr>
    </w:div>
    <w:div w:id="1478065350">
      <w:bodyDiv w:val="1"/>
      <w:marLeft w:val="0"/>
      <w:marRight w:val="0"/>
      <w:marTop w:val="0"/>
      <w:marBottom w:val="0"/>
      <w:divBdr>
        <w:top w:val="none" w:sz="0" w:space="0" w:color="auto"/>
        <w:left w:val="none" w:sz="0" w:space="0" w:color="auto"/>
        <w:bottom w:val="none" w:sz="0" w:space="0" w:color="auto"/>
        <w:right w:val="none" w:sz="0" w:space="0" w:color="auto"/>
      </w:divBdr>
    </w:div>
    <w:div w:id="1478182650">
      <w:bodyDiv w:val="1"/>
      <w:marLeft w:val="0"/>
      <w:marRight w:val="0"/>
      <w:marTop w:val="0"/>
      <w:marBottom w:val="0"/>
      <w:divBdr>
        <w:top w:val="none" w:sz="0" w:space="0" w:color="auto"/>
        <w:left w:val="none" w:sz="0" w:space="0" w:color="auto"/>
        <w:bottom w:val="none" w:sz="0" w:space="0" w:color="auto"/>
        <w:right w:val="none" w:sz="0" w:space="0" w:color="auto"/>
      </w:divBdr>
    </w:div>
    <w:div w:id="1478182846">
      <w:bodyDiv w:val="1"/>
      <w:marLeft w:val="0"/>
      <w:marRight w:val="0"/>
      <w:marTop w:val="0"/>
      <w:marBottom w:val="0"/>
      <w:divBdr>
        <w:top w:val="none" w:sz="0" w:space="0" w:color="auto"/>
        <w:left w:val="none" w:sz="0" w:space="0" w:color="auto"/>
        <w:bottom w:val="none" w:sz="0" w:space="0" w:color="auto"/>
        <w:right w:val="none" w:sz="0" w:space="0" w:color="auto"/>
      </w:divBdr>
    </w:div>
    <w:div w:id="1478184476">
      <w:bodyDiv w:val="1"/>
      <w:marLeft w:val="0"/>
      <w:marRight w:val="0"/>
      <w:marTop w:val="0"/>
      <w:marBottom w:val="0"/>
      <w:divBdr>
        <w:top w:val="none" w:sz="0" w:space="0" w:color="auto"/>
        <w:left w:val="none" w:sz="0" w:space="0" w:color="auto"/>
        <w:bottom w:val="none" w:sz="0" w:space="0" w:color="auto"/>
        <w:right w:val="none" w:sz="0" w:space="0" w:color="auto"/>
      </w:divBdr>
    </w:div>
    <w:div w:id="1478374699">
      <w:bodyDiv w:val="1"/>
      <w:marLeft w:val="0"/>
      <w:marRight w:val="0"/>
      <w:marTop w:val="0"/>
      <w:marBottom w:val="0"/>
      <w:divBdr>
        <w:top w:val="none" w:sz="0" w:space="0" w:color="auto"/>
        <w:left w:val="none" w:sz="0" w:space="0" w:color="auto"/>
        <w:bottom w:val="none" w:sz="0" w:space="0" w:color="auto"/>
        <w:right w:val="none" w:sz="0" w:space="0" w:color="auto"/>
      </w:divBdr>
    </w:div>
    <w:div w:id="1478452536">
      <w:bodyDiv w:val="1"/>
      <w:marLeft w:val="0"/>
      <w:marRight w:val="0"/>
      <w:marTop w:val="0"/>
      <w:marBottom w:val="0"/>
      <w:divBdr>
        <w:top w:val="none" w:sz="0" w:space="0" w:color="auto"/>
        <w:left w:val="none" w:sz="0" w:space="0" w:color="auto"/>
        <w:bottom w:val="none" w:sz="0" w:space="0" w:color="auto"/>
        <w:right w:val="none" w:sz="0" w:space="0" w:color="auto"/>
      </w:divBdr>
    </w:div>
    <w:div w:id="1478453675">
      <w:bodyDiv w:val="1"/>
      <w:marLeft w:val="0"/>
      <w:marRight w:val="0"/>
      <w:marTop w:val="0"/>
      <w:marBottom w:val="0"/>
      <w:divBdr>
        <w:top w:val="none" w:sz="0" w:space="0" w:color="auto"/>
        <w:left w:val="none" w:sz="0" w:space="0" w:color="auto"/>
        <w:bottom w:val="none" w:sz="0" w:space="0" w:color="auto"/>
        <w:right w:val="none" w:sz="0" w:space="0" w:color="auto"/>
      </w:divBdr>
    </w:div>
    <w:div w:id="1478647429">
      <w:bodyDiv w:val="1"/>
      <w:marLeft w:val="0"/>
      <w:marRight w:val="0"/>
      <w:marTop w:val="0"/>
      <w:marBottom w:val="0"/>
      <w:divBdr>
        <w:top w:val="none" w:sz="0" w:space="0" w:color="auto"/>
        <w:left w:val="none" w:sz="0" w:space="0" w:color="auto"/>
        <w:bottom w:val="none" w:sz="0" w:space="0" w:color="auto"/>
        <w:right w:val="none" w:sz="0" w:space="0" w:color="auto"/>
      </w:divBdr>
    </w:div>
    <w:div w:id="1478952503">
      <w:bodyDiv w:val="1"/>
      <w:marLeft w:val="0"/>
      <w:marRight w:val="0"/>
      <w:marTop w:val="0"/>
      <w:marBottom w:val="0"/>
      <w:divBdr>
        <w:top w:val="none" w:sz="0" w:space="0" w:color="auto"/>
        <w:left w:val="none" w:sz="0" w:space="0" w:color="auto"/>
        <w:bottom w:val="none" w:sz="0" w:space="0" w:color="auto"/>
        <w:right w:val="none" w:sz="0" w:space="0" w:color="auto"/>
      </w:divBdr>
    </w:div>
    <w:div w:id="1479033216">
      <w:bodyDiv w:val="1"/>
      <w:marLeft w:val="0"/>
      <w:marRight w:val="0"/>
      <w:marTop w:val="0"/>
      <w:marBottom w:val="0"/>
      <w:divBdr>
        <w:top w:val="none" w:sz="0" w:space="0" w:color="auto"/>
        <w:left w:val="none" w:sz="0" w:space="0" w:color="auto"/>
        <w:bottom w:val="none" w:sz="0" w:space="0" w:color="auto"/>
        <w:right w:val="none" w:sz="0" w:space="0" w:color="auto"/>
      </w:divBdr>
    </w:div>
    <w:div w:id="1479106401">
      <w:bodyDiv w:val="1"/>
      <w:marLeft w:val="0"/>
      <w:marRight w:val="0"/>
      <w:marTop w:val="0"/>
      <w:marBottom w:val="0"/>
      <w:divBdr>
        <w:top w:val="none" w:sz="0" w:space="0" w:color="auto"/>
        <w:left w:val="none" w:sz="0" w:space="0" w:color="auto"/>
        <w:bottom w:val="none" w:sz="0" w:space="0" w:color="auto"/>
        <w:right w:val="none" w:sz="0" w:space="0" w:color="auto"/>
      </w:divBdr>
    </w:div>
    <w:div w:id="1479305195">
      <w:bodyDiv w:val="1"/>
      <w:marLeft w:val="0"/>
      <w:marRight w:val="0"/>
      <w:marTop w:val="0"/>
      <w:marBottom w:val="0"/>
      <w:divBdr>
        <w:top w:val="none" w:sz="0" w:space="0" w:color="auto"/>
        <w:left w:val="none" w:sz="0" w:space="0" w:color="auto"/>
        <w:bottom w:val="none" w:sz="0" w:space="0" w:color="auto"/>
        <w:right w:val="none" w:sz="0" w:space="0" w:color="auto"/>
      </w:divBdr>
    </w:div>
    <w:div w:id="1479346603">
      <w:bodyDiv w:val="1"/>
      <w:marLeft w:val="0"/>
      <w:marRight w:val="0"/>
      <w:marTop w:val="0"/>
      <w:marBottom w:val="0"/>
      <w:divBdr>
        <w:top w:val="none" w:sz="0" w:space="0" w:color="auto"/>
        <w:left w:val="none" w:sz="0" w:space="0" w:color="auto"/>
        <w:bottom w:val="none" w:sz="0" w:space="0" w:color="auto"/>
        <w:right w:val="none" w:sz="0" w:space="0" w:color="auto"/>
      </w:divBdr>
    </w:div>
    <w:div w:id="1479571437">
      <w:bodyDiv w:val="1"/>
      <w:marLeft w:val="0"/>
      <w:marRight w:val="0"/>
      <w:marTop w:val="0"/>
      <w:marBottom w:val="0"/>
      <w:divBdr>
        <w:top w:val="none" w:sz="0" w:space="0" w:color="auto"/>
        <w:left w:val="none" w:sz="0" w:space="0" w:color="auto"/>
        <w:bottom w:val="none" w:sz="0" w:space="0" w:color="auto"/>
        <w:right w:val="none" w:sz="0" w:space="0" w:color="auto"/>
      </w:divBdr>
    </w:div>
    <w:div w:id="1479691215">
      <w:bodyDiv w:val="1"/>
      <w:marLeft w:val="0"/>
      <w:marRight w:val="0"/>
      <w:marTop w:val="0"/>
      <w:marBottom w:val="0"/>
      <w:divBdr>
        <w:top w:val="none" w:sz="0" w:space="0" w:color="auto"/>
        <w:left w:val="none" w:sz="0" w:space="0" w:color="auto"/>
        <w:bottom w:val="none" w:sz="0" w:space="0" w:color="auto"/>
        <w:right w:val="none" w:sz="0" w:space="0" w:color="auto"/>
      </w:divBdr>
    </w:div>
    <w:div w:id="1479809460">
      <w:bodyDiv w:val="1"/>
      <w:marLeft w:val="0"/>
      <w:marRight w:val="0"/>
      <w:marTop w:val="0"/>
      <w:marBottom w:val="0"/>
      <w:divBdr>
        <w:top w:val="none" w:sz="0" w:space="0" w:color="auto"/>
        <w:left w:val="none" w:sz="0" w:space="0" w:color="auto"/>
        <w:bottom w:val="none" w:sz="0" w:space="0" w:color="auto"/>
        <w:right w:val="none" w:sz="0" w:space="0" w:color="auto"/>
      </w:divBdr>
    </w:div>
    <w:div w:id="1479834058">
      <w:bodyDiv w:val="1"/>
      <w:marLeft w:val="0"/>
      <w:marRight w:val="0"/>
      <w:marTop w:val="0"/>
      <w:marBottom w:val="0"/>
      <w:divBdr>
        <w:top w:val="none" w:sz="0" w:space="0" w:color="auto"/>
        <w:left w:val="none" w:sz="0" w:space="0" w:color="auto"/>
        <w:bottom w:val="none" w:sz="0" w:space="0" w:color="auto"/>
        <w:right w:val="none" w:sz="0" w:space="0" w:color="auto"/>
      </w:divBdr>
    </w:div>
    <w:div w:id="1479959187">
      <w:bodyDiv w:val="1"/>
      <w:marLeft w:val="0"/>
      <w:marRight w:val="0"/>
      <w:marTop w:val="0"/>
      <w:marBottom w:val="0"/>
      <w:divBdr>
        <w:top w:val="none" w:sz="0" w:space="0" w:color="auto"/>
        <w:left w:val="none" w:sz="0" w:space="0" w:color="auto"/>
        <w:bottom w:val="none" w:sz="0" w:space="0" w:color="auto"/>
        <w:right w:val="none" w:sz="0" w:space="0" w:color="auto"/>
      </w:divBdr>
    </w:div>
    <w:div w:id="1480079250">
      <w:bodyDiv w:val="1"/>
      <w:marLeft w:val="0"/>
      <w:marRight w:val="0"/>
      <w:marTop w:val="0"/>
      <w:marBottom w:val="0"/>
      <w:divBdr>
        <w:top w:val="none" w:sz="0" w:space="0" w:color="auto"/>
        <w:left w:val="none" w:sz="0" w:space="0" w:color="auto"/>
        <w:bottom w:val="none" w:sz="0" w:space="0" w:color="auto"/>
        <w:right w:val="none" w:sz="0" w:space="0" w:color="auto"/>
      </w:divBdr>
    </w:div>
    <w:div w:id="1480153749">
      <w:bodyDiv w:val="1"/>
      <w:marLeft w:val="0"/>
      <w:marRight w:val="0"/>
      <w:marTop w:val="0"/>
      <w:marBottom w:val="0"/>
      <w:divBdr>
        <w:top w:val="none" w:sz="0" w:space="0" w:color="auto"/>
        <w:left w:val="none" w:sz="0" w:space="0" w:color="auto"/>
        <w:bottom w:val="none" w:sz="0" w:space="0" w:color="auto"/>
        <w:right w:val="none" w:sz="0" w:space="0" w:color="auto"/>
      </w:divBdr>
    </w:div>
    <w:div w:id="1480271484">
      <w:bodyDiv w:val="1"/>
      <w:marLeft w:val="0"/>
      <w:marRight w:val="0"/>
      <w:marTop w:val="0"/>
      <w:marBottom w:val="0"/>
      <w:divBdr>
        <w:top w:val="none" w:sz="0" w:space="0" w:color="auto"/>
        <w:left w:val="none" w:sz="0" w:space="0" w:color="auto"/>
        <w:bottom w:val="none" w:sz="0" w:space="0" w:color="auto"/>
        <w:right w:val="none" w:sz="0" w:space="0" w:color="auto"/>
      </w:divBdr>
    </w:div>
    <w:div w:id="1480340101">
      <w:bodyDiv w:val="1"/>
      <w:marLeft w:val="0"/>
      <w:marRight w:val="0"/>
      <w:marTop w:val="0"/>
      <w:marBottom w:val="0"/>
      <w:divBdr>
        <w:top w:val="none" w:sz="0" w:space="0" w:color="auto"/>
        <w:left w:val="none" w:sz="0" w:space="0" w:color="auto"/>
        <w:bottom w:val="none" w:sz="0" w:space="0" w:color="auto"/>
        <w:right w:val="none" w:sz="0" w:space="0" w:color="auto"/>
      </w:divBdr>
    </w:div>
    <w:div w:id="1480341993">
      <w:bodyDiv w:val="1"/>
      <w:marLeft w:val="0"/>
      <w:marRight w:val="0"/>
      <w:marTop w:val="0"/>
      <w:marBottom w:val="0"/>
      <w:divBdr>
        <w:top w:val="none" w:sz="0" w:space="0" w:color="auto"/>
        <w:left w:val="none" w:sz="0" w:space="0" w:color="auto"/>
        <w:bottom w:val="none" w:sz="0" w:space="0" w:color="auto"/>
        <w:right w:val="none" w:sz="0" w:space="0" w:color="auto"/>
      </w:divBdr>
    </w:div>
    <w:div w:id="1480346406">
      <w:bodyDiv w:val="1"/>
      <w:marLeft w:val="0"/>
      <w:marRight w:val="0"/>
      <w:marTop w:val="0"/>
      <w:marBottom w:val="0"/>
      <w:divBdr>
        <w:top w:val="none" w:sz="0" w:space="0" w:color="auto"/>
        <w:left w:val="none" w:sz="0" w:space="0" w:color="auto"/>
        <w:bottom w:val="none" w:sz="0" w:space="0" w:color="auto"/>
        <w:right w:val="none" w:sz="0" w:space="0" w:color="auto"/>
      </w:divBdr>
    </w:div>
    <w:div w:id="1480414219">
      <w:bodyDiv w:val="1"/>
      <w:marLeft w:val="0"/>
      <w:marRight w:val="0"/>
      <w:marTop w:val="0"/>
      <w:marBottom w:val="0"/>
      <w:divBdr>
        <w:top w:val="none" w:sz="0" w:space="0" w:color="auto"/>
        <w:left w:val="none" w:sz="0" w:space="0" w:color="auto"/>
        <w:bottom w:val="none" w:sz="0" w:space="0" w:color="auto"/>
        <w:right w:val="none" w:sz="0" w:space="0" w:color="auto"/>
      </w:divBdr>
    </w:div>
    <w:div w:id="1480490871">
      <w:bodyDiv w:val="1"/>
      <w:marLeft w:val="0"/>
      <w:marRight w:val="0"/>
      <w:marTop w:val="0"/>
      <w:marBottom w:val="0"/>
      <w:divBdr>
        <w:top w:val="none" w:sz="0" w:space="0" w:color="auto"/>
        <w:left w:val="none" w:sz="0" w:space="0" w:color="auto"/>
        <w:bottom w:val="none" w:sz="0" w:space="0" w:color="auto"/>
        <w:right w:val="none" w:sz="0" w:space="0" w:color="auto"/>
      </w:divBdr>
    </w:div>
    <w:div w:id="1480612988">
      <w:bodyDiv w:val="1"/>
      <w:marLeft w:val="0"/>
      <w:marRight w:val="0"/>
      <w:marTop w:val="0"/>
      <w:marBottom w:val="0"/>
      <w:divBdr>
        <w:top w:val="none" w:sz="0" w:space="0" w:color="auto"/>
        <w:left w:val="none" w:sz="0" w:space="0" w:color="auto"/>
        <w:bottom w:val="none" w:sz="0" w:space="0" w:color="auto"/>
        <w:right w:val="none" w:sz="0" w:space="0" w:color="auto"/>
      </w:divBdr>
    </w:div>
    <w:div w:id="1480732270">
      <w:bodyDiv w:val="1"/>
      <w:marLeft w:val="0"/>
      <w:marRight w:val="0"/>
      <w:marTop w:val="0"/>
      <w:marBottom w:val="0"/>
      <w:divBdr>
        <w:top w:val="none" w:sz="0" w:space="0" w:color="auto"/>
        <w:left w:val="none" w:sz="0" w:space="0" w:color="auto"/>
        <w:bottom w:val="none" w:sz="0" w:space="0" w:color="auto"/>
        <w:right w:val="none" w:sz="0" w:space="0" w:color="auto"/>
      </w:divBdr>
    </w:div>
    <w:div w:id="1480881234">
      <w:bodyDiv w:val="1"/>
      <w:marLeft w:val="0"/>
      <w:marRight w:val="0"/>
      <w:marTop w:val="0"/>
      <w:marBottom w:val="0"/>
      <w:divBdr>
        <w:top w:val="none" w:sz="0" w:space="0" w:color="auto"/>
        <w:left w:val="none" w:sz="0" w:space="0" w:color="auto"/>
        <w:bottom w:val="none" w:sz="0" w:space="0" w:color="auto"/>
        <w:right w:val="none" w:sz="0" w:space="0" w:color="auto"/>
      </w:divBdr>
    </w:div>
    <w:div w:id="1480882832">
      <w:bodyDiv w:val="1"/>
      <w:marLeft w:val="0"/>
      <w:marRight w:val="0"/>
      <w:marTop w:val="0"/>
      <w:marBottom w:val="0"/>
      <w:divBdr>
        <w:top w:val="none" w:sz="0" w:space="0" w:color="auto"/>
        <w:left w:val="none" w:sz="0" w:space="0" w:color="auto"/>
        <w:bottom w:val="none" w:sz="0" w:space="0" w:color="auto"/>
        <w:right w:val="none" w:sz="0" w:space="0" w:color="auto"/>
      </w:divBdr>
    </w:div>
    <w:div w:id="1481000315">
      <w:bodyDiv w:val="1"/>
      <w:marLeft w:val="0"/>
      <w:marRight w:val="0"/>
      <w:marTop w:val="0"/>
      <w:marBottom w:val="0"/>
      <w:divBdr>
        <w:top w:val="none" w:sz="0" w:space="0" w:color="auto"/>
        <w:left w:val="none" w:sz="0" w:space="0" w:color="auto"/>
        <w:bottom w:val="none" w:sz="0" w:space="0" w:color="auto"/>
        <w:right w:val="none" w:sz="0" w:space="0" w:color="auto"/>
      </w:divBdr>
    </w:div>
    <w:div w:id="1481003163">
      <w:bodyDiv w:val="1"/>
      <w:marLeft w:val="0"/>
      <w:marRight w:val="0"/>
      <w:marTop w:val="0"/>
      <w:marBottom w:val="0"/>
      <w:divBdr>
        <w:top w:val="none" w:sz="0" w:space="0" w:color="auto"/>
        <w:left w:val="none" w:sz="0" w:space="0" w:color="auto"/>
        <w:bottom w:val="none" w:sz="0" w:space="0" w:color="auto"/>
        <w:right w:val="none" w:sz="0" w:space="0" w:color="auto"/>
      </w:divBdr>
    </w:div>
    <w:div w:id="1481189082">
      <w:bodyDiv w:val="1"/>
      <w:marLeft w:val="0"/>
      <w:marRight w:val="0"/>
      <w:marTop w:val="0"/>
      <w:marBottom w:val="0"/>
      <w:divBdr>
        <w:top w:val="none" w:sz="0" w:space="0" w:color="auto"/>
        <w:left w:val="none" w:sz="0" w:space="0" w:color="auto"/>
        <w:bottom w:val="none" w:sz="0" w:space="0" w:color="auto"/>
        <w:right w:val="none" w:sz="0" w:space="0" w:color="auto"/>
      </w:divBdr>
    </w:div>
    <w:div w:id="1481381554">
      <w:bodyDiv w:val="1"/>
      <w:marLeft w:val="0"/>
      <w:marRight w:val="0"/>
      <w:marTop w:val="0"/>
      <w:marBottom w:val="0"/>
      <w:divBdr>
        <w:top w:val="none" w:sz="0" w:space="0" w:color="auto"/>
        <w:left w:val="none" w:sz="0" w:space="0" w:color="auto"/>
        <w:bottom w:val="none" w:sz="0" w:space="0" w:color="auto"/>
        <w:right w:val="none" w:sz="0" w:space="0" w:color="auto"/>
      </w:divBdr>
    </w:div>
    <w:div w:id="1481385306">
      <w:bodyDiv w:val="1"/>
      <w:marLeft w:val="0"/>
      <w:marRight w:val="0"/>
      <w:marTop w:val="0"/>
      <w:marBottom w:val="0"/>
      <w:divBdr>
        <w:top w:val="none" w:sz="0" w:space="0" w:color="auto"/>
        <w:left w:val="none" w:sz="0" w:space="0" w:color="auto"/>
        <w:bottom w:val="none" w:sz="0" w:space="0" w:color="auto"/>
        <w:right w:val="none" w:sz="0" w:space="0" w:color="auto"/>
      </w:divBdr>
    </w:div>
    <w:div w:id="1481531812">
      <w:bodyDiv w:val="1"/>
      <w:marLeft w:val="0"/>
      <w:marRight w:val="0"/>
      <w:marTop w:val="0"/>
      <w:marBottom w:val="0"/>
      <w:divBdr>
        <w:top w:val="none" w:sz="0" w:space="0" w:color="auto"/>
        <w:left w:val="none" w:sz="0" w:space="0" w:color="auto"/>
        <w:bottom w:val="none" w:sz="0" w:space="0" w:color="auto"/>
        <w:right w:val="none" w:sz="0" w:space="0" w:color="auto"/>
      </w:divBdr>
    </w:div>
    <w:div w:id="1481574261">
      <w:bodyDiv w:val="1"/>
      <w:marLeft w:val="0"/>
      <w:marRight w:val="0"/>
      <w:marTop w:val="0"/>
      <w:marBottom w:val="0"/>
      <w:divBdr>
        <w:top w:val="none" w:sz="0" w:space="0" w:color="auto"/>
        <w:left w:val="none" w:sz="0" w:space="0" w:color="auto"/>
        <w:bottom w:val="none" w:sz="0" w:space="0" w:color="auto"/>
        <w:right w:val="none" w:sz="0" w:space="0" w:color="auto"/>
      </w:divBdr>
    </w:div>
    <w:div w:id="1481577050">
      <w:bodyDiv w:val="1"/>
      <w:marLeft w:val="0"/>
      <w:marRight w:val="0"/>
      <w:marTop w:val="0"/>
      <w:marBottom w:val="0"/>
      <w:divBdr>
        <w:top w:val="none" w:sz="0" w:space="0" w:color="auto"/>
        <w:left w:val="none" w:sz="0" w:space="0" w:color="auto"/>
        <w:bottom w:val="none" w:sz="0" w:space="0" w:color="auto"/>
        <w:right w:val="none" w:sz="0" w:space="0" w:color="auto"/>
      </w:divBdr>
    </w:div>
    <w:div w:id="1481729169">
      <w:bodyDiv w:val="1"/>
      <w:marLeft w:val="0"/>
      <w:marRight w:val="0"/>
      <w:marTop w:val="0"/>
      <w:marBottom w:val="0"/>
      <w:divBdr>
        <w:top w:val="none" w:sz="0" w:space="0" w:color="auto"/>
        <w:left w:val="none" w:sz="0" w:space="0" w:color="auto"/>
        <w:bottom w:val="none" w:sz="0" w:space="0" w:color="auto"/>
        <w:right w:val="none" w:sz="0" w:space="0" w:color="auto"/>
      </w:divBdr>
    </w:div>
    <w:div w:id="1481775222">
      <w:bodyDiv w:val="1"/>
      <w:marLeft w:val="0"/>
      <w:marRight w:val="0"/>
      <w:marTop w:val="0"/>
      <w:marBottom w:val="0"/>
      <w:divBdr>
        <w:top w:val="none" w:sz="0" w:space="0" w:color="auto"/>
        <w:left w:val="none" w:sz="0" w:space="0" w:color="auto"/>
        <w:bottom w:val="none" w:sz="0" w:space="0" w:color="auto"/>
        <w:right w:val="none" w:sz="0" w:space="0" w:color="auto"/>
      </w:divBdr>
    </w:div>
    <w:div w:id="1482038291">
      <w:bodyDiv w:val="1"/>
      <w:marLeft w:val="0"/>
      <w:marRight w:val="0"/>
      <w:marTop w:val="0"/>
      <w:marBottom w:val="0"/>
      <w:divBdr>
        <w:top w:val="none" w:sz="0" w:space="0" w:color="auto"/>
        <w:left w:val="none" w:sz="0" w:space="0" w:color="auto"/>
        <w:bottom w:val="none" w:sz="0" w:space="0" w:color="auto"/>
        <w:right w:val="none" w:sz="0" w:space="0" w:color="auto"/>
      </w:divBdr>
    </w:div>
    <w:div w:id="1482191969">
      <w:bodyDiv w:val="1"/>
      <w:marLeft w:val="0"/>
      <w:marRight w:val="0"/>
      <w:marTop w:val="0"/>
      <w:marBottom w:val="0"/>
      <w:divBdr>
        <w:top w:val="none" w:sz="0" w:space="0" w:color="auto"/>
        <w:left w:val="none" w:sz="0" w:space="0" w:color="auto"/>
        <w:bottom w:val="none" w:sz="0" w:space="0" w:color="auto"/>
        <w:right w:val="none" w:sz="0" w:space="0" w:color="auto"/>
      </w:divBdr>
    </w:div>
    <w:div w:id="1482233510">
      <w:bodyDiv w:val="1"/>
      <w:marLeft w:val="0"/>
      <w:marRight w:val="0"/>
      <w:marTop w:val="0"/>
      <w:marBottom w:val="0"/>
      <w:divBdr>
        <w:top w:val="none" w:sz="0" w:space="0" w:color="auto"/>
        <w:left w:val="none" w:sz="0" w:space="0" w:color="auto"/>
        <w:bottom w:val="none" w:sz="0" w:space="0" w:color="auto"/>
        <w:right w:val="none" w:sz="0" w:space="0" w:color="auto"/>
      </w:divBdr>
    </w:div>
    <w:div w:id="1482306118">
      <w:bodyDiv w:val="1"/>
      <w:marLeft w:val="0"/>
      <w:marRight w:val="0"/>
      <w:marTop w:val="0"/>
      <w:marBottom w:val="0"/>
      <w:divBdr>
        <w:top w:val="none" w:sz="0" w:space="0" w:color="auto"/>
        <w:left w:val="none" w:sz="0" w:space="0" w:color="auto"/>
        <w:bottom w:val="none" w:sz="0" w:space="0" w:color="auto"/>
        <w:right w:val="none" w:sz="0" w:space="0" w:color="auto"/>
      </w:divBdr>
    </w:div>
    <w:div w:id="1482499886">
      <w:bodyDiv w:val="1"/>
      <w:marLeft w:val="0"/>
      <w:marRight w:val="0"/>
      <w:marTop w:val="0"/>
      <w:marBottom w:val="0"/>
      <w:divBdr>
        <w:top w:val="none" w:sz="0" w:space="0" w:color="auto"/>
        <w:left w:val="none" w:sz="0" w:space="0" w:color="auto"/>
        <w:bottom w:val="none" w:sz="0" w:space="0" w:color="auto"/>
        <w:right w:val="none" w:sz="0" w:space="0" w:color="auto"/>
      </w:divBdr>
    </w:div>
    <w:div w:id="1482573895">
      <w:bodyDiv w:val="1"/>
      <w:marLeft w:val="0"/>
      <w:marRight w:val="0"/>
      <w:marTop w:val="0"/>
      <w:marBottom w:val="0"/>
      <w:divBdr>
        <w:top w:val="none" w:sz="0" w:space="0" w:color="auto"/>
        <w:left w:val="none" w:sz="0" w:space="0" w:color="auto"/>
        <w:bottom w:val="none" w:sz="0" w:space="0" w:color="auto"/>
        <w:right w:val="none" w:sz="0" w:space="0" w:color="auto"/>
      </w:divBdr>
    </w:div>
    <w:div w:id="1482577794">
      <w:bodyDiv w:val="1"/>
      <w:marLeft w:val="0"/>
      <w:marRight w:val="0"/>
      <w:marTop w:val="0"/>
      <w:marBottom w:val="0"/>
      <w:divBdr>
        <w:top w:val="none" w:sz="0" w:space="0" w:color="auto"/>
        <w:left w:val="none" w:sz="0" w:space="0" w:color="auto"/>
        <w:bottom w:val="none" w:sz="0" w:space="0" w:color="auto"/>
        <w:right w:val="none" w:sz="0" w:space="0" w:color="auto"/>
      </w:divBdr>
    </w:div>
    <w:div w:id="1482581803">
      <w:bodyDiv w:val="1"/>
      <w:marLeft w:val="0"/>
      <w:marRight w:val="0"/>
      <w:marTop w:val="0"/>
      <w:marBottom w:val="0"/>
      <w:divBdr>
        <w:top w:val="none" w:sz="0" w:space="0" w:color="auto"/>
        <w:left w:val="none" w:sz="0" w:space="0" w:color="auto"/>
        <w:bottom w:val="none" w:sz="0" w:space="0" w:color="auto"/>
        <w:right w:val="none" w:sz="0" w:space="0" w:color="auto"/>
      </w:divBdr>
    </w:div>
    <w:div w:id="1482650459">
      <w:bodyDiv w:val="1"/>
      <w:marLeft w:val="0"/>
      <w:marRight w:val="0"/>
      <w:marTop w:val="0"/>
      <w:marBottom w:val="0"/>
      <w:divBdr>
        <w:top w:val="none" w:sz="0" w:space="0" w:color="auto"/>
        <w:left w:val="none" w:sz="0" w:space="0" w:color="auto"/>
        <w:bottom w:val="none" w:sz="0" w:space="0" w:color="auto"/>
        <w:right w:val="none" w:sz="0" w:space="0" w:color="auto"/>
      </w:divBdr>
    </w:div>
    <w:div w:id="1482697370">
      <w:bodyDiv w:val="1"/>
      <w:marLeft w:val="0"/>
      <w:marRight w:val="0"/>
      <w:marTop w:val="0"/>
      <w:marBottom w:val="0"/>
      <w:divBdr>
        <w:top w:val="none" w:sz="0" w:space="0" w:color="auto"/>
        <w:left w:val="none" w:sz="0" w:space="0" w:color="auto"/>
        <w:bottom w:val="none" w:sz="0" w:space="0" w:color="auto"/>
        <w:right w:val="none" w:sz="0" w:space="0" w:color="auto"/>
      </w:divBdr>
    </w:div>
    <w:div w:id="1482699167">
      <w:bodyDiv w:val="1"/>
      <w:marLeft w:val="0"/>
      <w:marRight w:val="0"/>
      <w:marTop w:val="0"/>
      <w:marBottom w:val="0"/>
      <w:divBdr>
        <w:top w:val="none" w:sz="0" w:space="0" w:color="auto"/>
        <w:left w:val="none" w:sz="0" w:space="0" w:color="auto"/>
        <w:bottom w:val="none" w:sz="0" w:space="0" w:color="auto"/>
        <w:right w:val="none" w:sz="0" w:space="0" w:color="auto"/>
      </w:divBdr>
    </w:div>
    <w:div w:id="1482846404">
      <w:bodyDiv w:val="1"/>
      <w:marLeft w:val="0"/>
      <w:marRight w:val="0"/>
      <w:marTop w:val="0"/>
      <w:marBottom w:val="0"/>
      <w:divBdr>
        <w:top w:val="none" w:sz="0" w:space="0" w:color="auto"/>
        <w:left w:val="none" w:sz="0" w:space="0" w:color="auto"/>
        <w:bottom w:val="none" w:sz="0" w:space="0" w:color="auto"/>
        <w:right w:val="none" w:sz="0" w:space="0" w:color="auto"/>
      </w:divBdr>
    </w:div>
    <w:div w:id="1482888575">
      <w:bodyDiv w:val="1"/>
      <w:marLeft w:val="0"/>
      <w:marRight w:val="0"/>
      <w:marTop w:val="0"/>
      <w:marBottom w:val="0"/>
      <w:divBdr>
        <w:top w:val="none" w:sz="0" w:space="0" w:color="auto"/>
        <w:left w:val="none" w:sz="0" w:space="0" w:color="auto"/>
        <w:bottom w:val="none" w:sz="0" w:space="0" w:color="auto"/>
        <w:right w:val="none" w:sz="0" w:space="0" w:color="auto"/>
      </w:divBdr>
    </w:div>
    <w:div w:id="1482889017">
      <w:bodyDiv w:val="1"/>
      <w:marLeft w:val="0"/>
      <w:marRight w:val="0"/>
      <w:marTop w:val="0"/>
      <w:marBottom w:val="0"/>
      <w:divBdr>
        <w:top w:val="none" w:sz="0" w:space="0" w:color="auto"/>
        <w:left w:val="none" w:sz="0" w:space="0" w:color="auto"/>
        <w:bottom w:val="none" w:sz="0" w:space="0" w:color="auto"/>
        <w:right w:val="none" w:sz="0" w:space="0" w:color="auto"/>
      </w:divBdr>
    </w:div>
    <w:div w:id="1482966296">
      <w:bodyDiv w:val="1"/>
      <w:marLeft w:val="0"/>
      <w:marRight w:val="0"/>
      <w:marTop w:val="0"/>
      <w:marBottom w:val="0"/>
      <w:divBdr>
        <w:top w:val="none" w:sz="0" w:space="0" w:color="auto"/>
        <w:left w:val="none" w:sz="0" w:space="0" w:color="auto"/>
        <w:bottom w:val="none" w:sz="0" w:space="0" w:color="auto"/>
        <w:right w:val="none" w:sz="0" w:space="0" w:color="auto"/>
      </w:divBdr>
    </w:div>
    <w:div w:id="1482968126">
      <w:bodyDiv w:val="1"/>
      <w:marLeft w:val="0"/>
      <w:marRight w:val="0"/>
      <w:marTop w:val="0"/>
      <w:marBottom w:val="0"/>
      <w:divBdr>
        <w:top w:val="none" w:sz="0" w:space="0" w:color="auto"/>
        <w:left w:val="none" w:sz="0" w:space="0" w:color="auto"/>
        <w:bottom w:val="none" w:sz="0" w:space="0" w:color="auto"/>
        <w:right w:val="none" w:sz="0" w:space="0" w:color="auto"/>
      </w:divBdr>
    </w:div>
    <w:div w:id="1483043363">
      <w:bodyDiv w:val="1"/>
      <w:marLeft w:val="0"/>
      <w:marRight w:val="0"/>
      <w:marTop w:val="0"/>
      <w:marBottom w:val="0"/>
      <w:divBdr>
        <w:top w:val="none" w:sz="0" w:space="0" w:color="auto"/>
        <w:left w:val="none" w:sz="0" w:space="0" w:color="auto"/>
        <w:bottom w:val="none" w:sz="0" w:space="0" w:color="auto"/>
        <w:right w:val="none" w:sz="0" w:space="0" w:color="auto"/>
      </w:divBdr>
    </w:div>
    <w:div w:id="1483158950">
      <w:bodyDiv w:val="1"/>
      <w:marLeft w:val="0"/>
      <w:marRight w:val="0"/>
      <w:marTop w:val="0"/>
      <w:marBottom w:val="0"/>
      <w:divBdr>
        <w:top w:val="none" w:sz="0" w:space="0" w:color="auto"/>
        <w:left w:val="none" w:sz="0" w:space="0" w:color="auto"/>
        <w:bottom w:val="none" w:sz="0" w:space="0" w:color="auto"/>
        <w:right w:val="none" w:sz="0" w:space="0" w:color="auto"/>
      </w:divBdr>
    </w:div>
    <w:div w:id="1483355430">
      <w:bodyDiv w:val="1"/>
      <w:marLeft w:val="0"/>
      <w:marRight w:val="0"/>
      <w:marTop w:val="0"/>
      <w:marBottom w:val="0"/>
      <w:divBdr>
        <w:top w:val="none" w:sz="0" w:space="0" w:color="auto"/>
        <w:left w:val="none" w:sz="0" w:space="0" w:color="auto"/>
        <w:bottom w:val="none" w:sz="0" w:space="0" w:color="auto"/>
        <w:right w:val="none" w:sz="0" w:space="0" w:color="auto"/>
      </w:divBdr>
    </w:div>
    <w:div w:id="1483503895">
      <w:bodyDiv w:val="1"/>
      <w:marLeft w:val="0"/>
      <w:marRight w:val="0"/>
      <w:marTop w:val="0"/>
      <w:marBottom w:val="0"/>
      <w:divBdr>
        <w:top w:val="none" w:sz="0" w:space="0" w:color="auto"/>
        <w:left w:val="none" w:sz="0" w:space="0" w:color="auto"/>
        <w:bottom w:val="none" w:sz="0" w:space="0" w:color="auto"/>
        <w:right w:val="none" w:sz="0" w:space="0" w:color="auto"/>
      </w:divBdr>
    </w:div>
    <w:div w:id="1483540869">
      <w:bodyDiv w:val="1"/>
      <w:marLeft w:val="0"/>
      <w:marRight w:val="0"/>
      <w:marTop w:val="0"/>
      <w:marBottom w:val="0"/>
      <w:divBdr>
        <w:top w:val="none" w:sz="0" w:space="0" w:color="auto"/>
        <w:left w:val="none" w:sz="0" w:space="0" w:color="auto"/>
        <w:bottom w:val="none" w:sz="0" w:space="0" w:color="auto"/>
        <w:right w:val="none" w:sz="0" w:space="0" w:color="auto"/>
      </w:divBdr>
    </w:div>
    <w:div w:id="1483544740">
      <w:bodyDiv w:val="1"/>
      <w:marLeft w:val="0"/>
      <w:marRight w:val="0"/>
      <w:marTop w:val="0"/>
      <w:marBottom w:val="0"/>
      <w:divBdr>
        <w:top w:val="none" w:sz="0" w:space="0" w:color="auto"/>
        <w:left w:val="none" w:sz="0" w:space="0" w:color="auto"/>
        <w:bottom w:val="none" w:sz="0" w:space="0" w:color="auto"/>
        <w:right w:val="none" w:sz="0" w:space="0" w:color="auto"/>
      </w:divBdr>
    </w:div>
    <w:div w:id="1483623792">
      <w:bodyDiv w:val="1"/>
      <w:marLeft w:val="0"/>
      <w:marRight w:val="0"/>
      <w:marTop w:val="0"/>
      <w:marBottom w:val="0"/>
      <w:divBdr>
        <w:top w:val="none" w:sz="0" w:space="0" w:color="auto"/>
        <w:left w:val="none" w:sz="0" w:space="0" w:color="auto"/>
        <w:bottom w:val="none" w:sz="0" w:space="0" w:color="auto"/>
        <w:right w:val="none" w:sz="0" w:space="0" w:color="auto"/>
      </w:divBdr>
    </w:div>
    <w:div w:id="1483961002">
      <w:bodyDiv w:val="1"/>
      <w:marLeft w:val="0"/>
      <w:marRight w:val="0"/>
      <w:marTop w:val="0"/>
      <w:marBottom w:val="0"/>
      <w:divBdr>
        <w:top w:val="none" w:sz="0" w:space="0" w:color="auto"/>
        <w:left w:val="none" w:sz="0" w:space="0" w:color="auto"/>
        <w:bottom w:val="none" w:sz="0" w:space="0" w:color="auto"/>
        <w:right w:val="none" w:sz="0" w:space="0" w:color="auto"/>
      </w:divBdr>
    </w:div>
    <w:div w:id="1484005615">
      <w:bodyDiv w:val="1"/>
      <w:marLeft w:val="0"/>
      <w:marRight w:val="0"/>
      <w:marTop w:val="0"/>
      <w:marBottom w:val="0"/>
      <w:divBdr>
        <w:top w:val="none" w:sz="0" w:space="0" w:color="auto"/>
        <w:left w:val="none" w:sz="0" w:space="0" w:color="auto"/>
        <w:bottom w:val="none" w:sz="0" w:space="0" w:color="auto"/>
        <w:right w:val="none" w:sz="0" w:space="0" w:color="auto"/>
      </w:divBdr>
    </w:div>
    <w:div w:id="1484005838">
      <w:bodyDiv w:val="1"/>
      <w:marLeft w:val="0"/>
      <w:marRight w:val="0"/>
      <w:marTop w:val="0"/>
      <w:marBottom w:val="0"/>
      <w:divBdr>
        <w:top w:val="none" w:sz="0" w:space="0" w:color="auto"/>
        <w:left w:val="none" w:sz="0" w:space="0" w:color="auto"/>
        <w:bottom w:val="none" w:sz="0" w:space="0" w:color="auto"/>
        <w:right w:val="none" w:sz="0" w:space="0" w:color="auto"/>
      </w:divBdr>
    </w:div>
    <w:div w:id="1484008242">
      <w:bodyDiv w:val="1"/>
      <w:marLeft w:val="0"/>
      <w:marRight w:val="0"/>
      <w:marTop w:val="0"/>
      <w:marBottom w:val="0"/>
      <w:divBdr>
        <w:top w:val="none" w:sz="0" w:space="0" w:color="auto"/>
        <w:left w:val="none" w:sz="0" w:space="0" w:color="auto"/>
        <w:bottom w:val="none" w:sz="0" w:space="0" w:color="auto"/>
        <w:right w:val="none" w:sz="0" w:space="0" w:color="auto"/>
      </w:divBdr>
    </w:div>
    <w:div w:id="1484084818">
      <w:bodyDiv w:val="1"/>
      <w:marLeft w:val="0"/>
      <w:marRight w:val="0"/>
      <w:marTop w:val="0"/>
      <w:marBottom w:val="0"/>
      <w:divBdr>
        <w:top w:val="none" w:sz="0" w:space="0" w:color="auto"/>
        <w:left w:val="none" w:sz="0" w:space="0" w:color="auto"/>
        <w:bottom w:val="none" w:sz="0" w:space="0" w:color="auto"/>
        <w:right w:val="none" w:sz="0" w:space="0" w:color="auto"/>
      </w:divBdr>
    </w:div>
    <w:div w:id="1484152276">
      <w:bodyDiv w:val="1"/>
      <w:marLeft w:val="0"/>
      <w:marRight w:val="0"/>
      <w:marTop w:val="0"/>
      <w:marBottom w:val="0"/>
      <w:divBdr>
        <w:top w:val="none" w:sz="0" w:space="0" w:color="auto"/>
        <w:left w:val="none" w:sz="0" w:space="0" w:color="auto"/>
        <w:bottom w:val="none" w:sz="0" w:space="0" w:color="auto"/>
        <w:right w:val="none" w:sz="0" w:space="0" w:color="auto"/>
      </w:divBdr>
    </w:div>
    <w:div w:id="1484273248">
      <w:bodyDiv w:val="1"/>
      <w:marLeft w:val="0"/>
      <w:marRight w:val="0"/>
      <w:marTop w:val="0"/>
      <w:marBottom w:val="0"/>
      <w:divBdr>
        <w:top w:val="none" w:sz="0" w:space="0" w:color="auto"/>
        <w:left w:val="none" w:sz="0" w:space="0" w:color="auto"/>
        <w:bottom w:val="none" w:sz="0" w:space="0" w:color="auto"/>
        <w:right w:val="none" w:sz="0" w:space="0" w:color="auto"/>
      </w:divBdr>
    </w:div>
    <w:div w:id="1484392878">
      <w:bodyDiv w:val="1"/>
      <w:marLeft w:val="0"/>
      <w:marRight w:val="0"/>
      <w:marTop w:val="0"/>
      <w:marBottom w:val="0"/>
      <w:divBdr>
        <w:top w:val="none" w:sz="0" w:space="0" w:color="auto"/>
        <w:left w:val="none" w:sz="0" w:space="0" w:color="auto"/>
        <w:bottom w:val="none" w:sz="0" w:space="0" w:color="auto"/>
        <w:right w:val="none" w:sz="0" w:space="0" w:color="auto"/>
      </w:divBdr>
    </w:div>
    <w:div w:id="1484422478">
      <w:bodyDiv w:val="1"/>
      <w:marLeft w:val="0"/>
      <w:marRight w:val="0"/>
      <w:marTop w:val="0"/>
      <w:marBottom w:val="0"/>
      <w:divBdr>
        <w:top w:val="none" w:sz="0" w:space="0" w:color="auto"/>
        <w:left w:val="none" w:sz="0" w:space="0" w:color="auto"/>
        <w:bottom w:val="none" w:sz="0" w:space="0" w:color="auto"/>
        <w:right w:val="none" w:sz="0" w:space="0" w:color="auto"/>
      </w:divBdr>
    </w:div>
    <w:div w:id="1484466770">
      <w:bodyDiv w:val="1"/>
      <w:marLeft w:val="0"/>
      <w:marRight w:val="0"/>
      <w:marTop w:val="0"/>
      <w:marBottom w:val="0"/>
      <w:divBdr>
        <w:top w:val="none" w:sz="0" w:space="0" w:color="auto"/>
        <w:left w:val="none" w:sz="0" w:space="0" w:color="auto"/>
        <w:bottom w:val="none" w:sz="0" w:space="0" w:color="auto"/>
        <w:right w:val="none" w:sz="0" w:space="0" w:color="auto"/>
      </w:divBdr>
    </w:div>
    <w:div w:id="1484467184">
      <w:bodyDiv w:val="1"/>
      <w:marLeft w:val="0"/>
      <w:marRight w:val="0"/>
      <w:marTop w:val="0"/>
      <w:marBottom w:val="0"/>
      <w:divBdr>
        <w:top w:val="none" w:sz="0" w:space="0" w:color="auto"/>
        <w:left w:val="none" w:sz="0" w:space="0" w:color="auto"/>
        <w:bottom w:val="none" w:sz="0" w:space="0" w:color="auto"/>
        <w:right w:val="none" w:sz="0" w:space="0" w:color="auto"/>
      </w:divBdr>
    </w:div>
    <w:div w:id="1484589917">
      <w:bodyDiv w:val="1"/>
      <w:marLeft w:val="0"/>
      <w:marRight w:val="0"/>
      <w:marTop w:val="0"/>
      <w:marBottom w:val="0"/>
      <w:divBdr>
        <w:top w:val="none" w:sz="0" w:space="0" w:color="auto"/>
        <w:left w:val="none" w:sz="0" w:space="0" w:color="auto"/>
        <w:bottom w:val="none" w:sz="0" w:space="0" w:color="auto"/>
        <w:right w:val="none" w:sz="0" w:space="0" w:color="auto"/>
      </w:divBdr>
    </w:div>
    <w:div w:id="1484666043">
      <w:bodyDiv w:val="1"/>
      <w:marLeft w:val="0"/>
      <w:marRight w:val="0"/>
      <w:marTop w:val="0"/>
      <w:marBottom w:val="0"/>
      <w:divBdr>
        <w:top w:val="none" w:sz="0" w:space="0" w:color="auto"/>
        <w:left w:val="none" w:sz="0" w:space="0" w:color="auto"/>
        <w:bottom w:val="none" w:sz="0" w:space="0" w:color="auto"/>
        <w:right w:val="none" w:sz="0" w:space="0" w:color="auto"/>
      </w:divBdr>
    </w:div>
    <w:div w:id="1484666220">
      <w:bodyDiv w:val="1"/>
      <w:marLeft w:val="0"/>
      <w:marRight w:val="0"/>
      <w:marTop w:val="0"/>
      <w:marBottom w:val="0"/>
      <w:divBdr>
        <w:top w:val="none" w:sz="0" w:space="0" w:color="auto"/>
        <w:left w:val="none" w:sz="0" w:space="0" w:color="auto"/>
        <w:bottom w:val="none" w:sz="0" w:space="0" w:color="auto"/>
        <w:right w:val="none" w:sz="0" w:space="0" w:color="auto"/>
      </w:divBdr>
    </w:div>
    <w:div w:id="1484811300">
      <w:bodyDiv w:val="1"/>
      <w:marLeft w:val="0"/>
      <w:marRight w:val="0"/>
      <w:marTop w:val="0"/>
      <w:marBottom w:val="0"/>
      <w:divBdr>
        <w:top w:val="none" w:sz="0" w:space="0" w:color="auto"/>
        <w:left w:val="none" w:sz="0" w:space="0" w:color="auto"/>
        <w:bottom w:val="none" w:sz="0" w:space="0" w:color="auto"/>
        <w:right w:val="none" w:sz="0" w:space="0" w:color="auto"/>
      </w:divBdr>
    </w:div>
    <w:div w:id="1484852499">
      <w:bodyDiv w:val="1"/>
      <w:marLeft w:val="0"/>
      <w:marRight w:val="0"/>
      <w:marTop w:val="0"/>
      <w:marBottom w:val="0"/>
      <w:divBdr>
        <w:top w:val="none" w:sz="0" w:space="0" w:color="auto"/>
        <w:left w:val="none" w:sz="0" w:space="0" w:color="auto"/>
        <w:bottom w:val="none" w:sz="0" w:space="0" w:color="auto"/>
        <w:right w:val="none" w:sz="0" w:space="0" w:color="auto"/>
      </w:divBdr>
    </w:div>
    <w:div w:id="1484855391">
      <w:bodyDiv w:val="1"/>
      <w:marLeft w:val="0"/>
      <w:marRight w:val="0"/>
      <w:marTop w:val="0"/>
      <w:marBottom w:val="0"/>
      <w:divBdr>
        <w:top w:val="none" w:sz="0" w:space="0" w:color="auto"/>
        <w:left w:val="none" w:sz="0" w:space="0" w:color="auto"/>
        <w:bottom w:val="none" w:sz="0" w:space="0" w:color="auto"/>
        <w:right w:val="none" w:sz="0" w:space="0" w:color="auto"/>
      </w:divBdr>
    </w:div>
    <w:div w:id="1484926910">
      <w:bodyDiv w:val="1"/>
      <w:marLeft w:val="0"/>
      <w:marRight w:val="0"/>
      <w:marTop w:val="0"/>
      <w:marBottom w:val="0"/>
      <w:divBdr>
        <w:top w:val="none" w:sz="0" w:space="0" w:color="auto"/>
        <w:left w:val="none" w:sz="0" w:space="0" w:color="auto"/>
        <w:bottom w:val="none" w:sz="0" w:space="0" w:color="auto"/>
        <w:right w:val="none" w:sz="0" w:space="0" w:color="auto"/>
      </w:divBdr>
    </w:div>
    <w:div w:id="1484927219">
      <w:bodyDiv w:val="1"/>
      <w:marLeft w:val="0"/>
      <w:marRight w:val="0"/>
      <w:marTop w:val="0"/>
      <w:marBottom w:val="0"/>
      <w:divBdr>
        <w:top w:val="none" w:sz="0" w:space="0" w:color="auto"/>
        <w:left w:val="none" w:sz="0" w:space="0" w:color="auto"/>
        <w:bottom w:val="none" w:sz="0" w:space="0" w:color="auto"/>
        <w:right w:val="none" w:sz="0" w:space="0" w:color="auto"/>
      </w:divBdr>
    </w:div>
    <w:div w:id="1484928896">
      <w:bodyDiv w:val="1"/>
      <w:marLeft w:val="0"/>
      <w:marRight w:val="0"/>
      <w:marTop w:val="0"/>
      <w:marBottom w:val="0"/>
      <w:divBdr>
        <w:top w:val="none" w:sz="0" w:space="0" w:color="auto"/>
        <w:left w:val="none" w:sz="0" w:space="0" w:color="auto"/>
        <w:bottom w:val="none" w:sz="0" w:space="0" w:color="auto"/>
        <w:right w:val="none" w:sz="0" w:space="0" w:color="auto"/>
      </w:divBdr>
    </w:div>
    <w:div w:id="1485003783">
      <w:bodyDiv w:val="1"/>
      <w:marLeft w:val="0"/>
      <w:marRight w:val="0"/>
      <w:marTop w:val="0"/>
      <w:marBottom w:val="0"/>
      <w:divBdr>
        <w:top w:val="none" w:sz="0" w:space="0" w:color="auto"/>
        <w:left w:val="none" w:sz="0" w:space="0" w:color="auto"/>
        <w:bottom w:val="none" w:sz="0" w:space="0" w:color="auto"/>
        <w:right w:val="none" w:sz="0" w:space="0" w:color="auto"/>
      </w:divBdr>
    </w:div>
    <w:div w:id="1485049003">
      <w:bodyDiv w:val="1"/>
      <w:marLeft w:val="0"/>
      <w:marRight w:val="0"/>
      <w:marTop w:val="0"/>
      <w:marBottom w:val="0"/>
      <w:divBdr>
        <w:top w:val="none" w:sz="0" w:space="0" w:color="auto"/>
        <w:left w:val="none" w:sz="0" w:space="0" w:color="auto"/>
        <w:bottom w:val="none" w:sz="0" w:space="0" w:color="auto"/>
        <w:right w:val="none" w:sz="0" w:space="0" w:color="auto"/>
      </w:divBdr>
    </w:div>
    <w:div w:id="1485122362">
      <w:bodyDiv w:val="1"/>
      <w:marLeft w:val="0"/>
      <w:marRight w:val="0"/>
      <w:marTop w:val="0"/>
      <w:marBottom w:val="0"/>
      <w:divBdr>
        <w:top w:val="none" w:sz="0" w:space="0" w:color="auto"/>
        <w:left w:val="none" w:sz="0" w:space="0" w:color="auto"/>
        <w:bottom w:val="none" w:sz="0" w:space="0" w:color="auto"/>
        <w:right w:val="none" w:sz="0" w:space="0" w:color="auto"/>
      </w:divBdr>
    </w:div>
    <w:div w:id="1485199161">
      <w:bodyDiv w:val="1"/>
      <w:marLeft w:val="0"/>
      <w:marRight w:val="0"/>
      <w:marTop w:val="0"/>
      <w:marBottom w:val="0"/>
      <w:divBdr>
        <w:top w:val="none" w:sz="0" w:space="0" w:color="auto"/>
        <w:left w:val="none" w:sz="0" w:space="0" w:color="auto"/>
        <w:bottom w:val="none" w:sz="0" w:space="0" w:color="auto"/>
        <w:right w:val="none" w:sz="0" w:space="0" w:color="auto"/>
      </w:divBdr>
    </w:div>
    <w:div w:id="1485274236">
      <w:bodyDiv w:val="1"/>
      <w:marLeft w:val="0"/>
      <w:marRight w:val="0"/>
      <w:marTop w:val="0"/>
      <w:marBottom w:val="0"/>
      <w:divBdr>
        <w:top w:val="none" w:sz="0" w:space="0" w:color="auto"/>
        <w:left w:val="none" w:sz="0" w:space="0" w:color="auto"/>
        <w:bottom w:val="none" w:sz="0" w:space="0" w:color="auto"/>
        <w:right w:val="none" w:sz="0" w:space="0" w:color="auto"/>
      </w:divBdr>
    </w:div>
    <w:div w:id="1485390484">
      <w:bodyDiv w:val="1"/>
      <w:marLeft w:val="0"/>
      <w:marRight w:val="0"/>
      <w:marTop w:val="0"/>
      <w:marBottom w:val="0"/>
      <w:divBdr>
        <w:top w:val="none" w:sz="0" w:space="0" w:color="auto"/>
        <w:left w:val="none" w:sz="0" w:space="0" w:color="auto"/>
        <w:bottom w:val="none" w:sz="0" w:space="0" w:color="auto"/>
        <w:right w:val="none" w:sz="0" w:space="0" w:color="auto"/>
      </w:divBdr>
    </w:div>
    <w:div w:id="1485469653">
      <w:bodyDiv w:val="1"/>
      <w:marLeft w:val="0"/>
      <w:marRight w:val="0"/>
      <w:marTop w:val="0"/>
      <w:marBottom w:val="0"/>
      <w:divBdr>
        <w:top w:val="none" w:sz="0" w:space="0" w:color="auto"/>
        <w:left w:val="none" w:sz="0" w:space="0" w:color="auto"/>
        <w:bottom w:val="none" w:sz="0" w:space="0" w:color="auto"/>
        <w:right w:val="none" w:sz="0" w:space="0" w:color="auto"/>
      </w:divBdr>
    </w:div>
    <w:div w:id="1485664533">
      <w:bodyDiv w:val="1"/>
      <w:marLeft w:val="0"/>
      <w:marRight w:val="0"/>
      <w:marTop w:val="0"/>
      <w:marBottom w:val="0"/>
      <w:divBdr>
        <w:top w:val="none" w:sz="0" w:space="0" w:color="auto"/>
        <w:left w:val="none" w:sz="0" w:space="0" w:color="auto"/>
        <w:bottom w:val="none" w:sz="0" w:space="0" w:color="auto"/>
        <w:right w:val="none" w:sz="0" w:space="0" w:color="auto"/>
      </w:divBdr>
    </w:div>
    <w:div w:id="1485704032">
      <w:bodyDiv w:val="1"/>
      <w:marLeft w:val="0"/>
      <w:marRight w:val="0"/>
      <w:marTop w:val="0"/>
      <w:marBottom w:val="0"/>
      <w:divBdr>
        <w:top w:val="none" w:sz="0" w:space="0" w:color="auto"/>
        <w:left w:val="none" w:sz="0" w:space="0" w:color="auto"/>
        <w:bottom w:val="none" w:sz="0" w:space="0" w:color="auto"/>
        <w:right w:val="none" w:sz="0" w:space="0" w:color="auto"/>
      </w:divBdr>
    </w:div>
    <w:div w:id="1485732069">
      <w:bodyDiv w:val="1"/>
      <w:marLeft w:val="0"/>
      <w:marRight w:val="0"/>
      <w:marTop w:val="0"/>
      <w:marBottom w:val="0"/>
      <w:divBdr>
        <w:top w:val="none" w:sz="0" w:space="0" w:color="auto"/>
        <w:left w:val="none" w:sz="0" w:space="0" w:color="auto"/>
        <w:bottom w:val="none" w:sz="0" w:space="0" w:color="auto"/>
        <w:right w:val="none" w:sz="0" w:space="0" w:color="auto"/>
      </w:divBdr>
    </w:div>
    <w:div w:id="1485899782">
      <w:bodyDiv w:val="1"/>
      <w:marLeft w:val="0"/>
      <w:marRight w:val="0"/>
      <w:marTop w:val="0"/>
      <w:marBottom w:val="0"/>
      <w:divBdr>
        <w:top w:val="none" w:sz="0" w:space="0" w:color="auto"/>
        <w:left w:val="none" w:sz="0" w:space="0" w:color="auto"/>
        <w:bottom w:val="none" w:sz="0" w:space="0" w:color="auto"/>
        <w:right w:val="none" w:sz="0" w:space="0" w:color="auto"/>
      </w:divBdr>
    </w:div>
    <w:div w:id="1485900940">
      <w:bodyDiv w:val="1"/>
      <w:marLeft w:val="0"/>
      <w:marRight w:val="0"/>
      <w:marTop w:val="0"/>
      <w:marBottom w:val="0"/>
      <w:divBdr>
        <w:top w:val="none" w:sz="0" w:space="0" w:color="auto"/>
        <w:left w:val="none" w:sz="0" w:space="0" w:color="auto"/>
        <w:bottom w:val="none" w:sz="0" w:space="0" w:color="auto"/>
        <w:right w:val="none" w:sz="0" w:space="0" w:color="auto"/>
      </w:divBdr>
    </w:div>
    <w:div w:id="1486042464">
      <w:bodyDiv w:val="1"/>
      <w:marLeft w:val="0"/>
      <w:marRight w:val="0"/>
      <w:marTop w:val="0"/>
      <w:marBottom w:val="0"/>
      <w:divBdr>
        <w:top w:val="none" w:sz="0" w:space="0" w:color="auto"/>
        <w:left w:val="none" w:sz="0" w:space="0" w:color="auto"/>
        <w:bottom w:val="none" w:sz="0" w:space="0" w:color="auto"/>
        <w:right w:val="none" w:sz="0" w:space="0" w:color="auto"/>
      </w:divBdr>
    </w:div>
    <w:div w:id="1486169660">
      <w:bodyDiv w:val="1"/>
      <w:marLeft w:val="0"/>
      <w:marRight w:val="0"/>
      <w:marTop w:val="0"/>
      <w:marBottom w:val="0"/>
      <w:divBdr>
        <w:top w:val="none" w:sz="0" w:space="0" w:color="auto"/>
        <w:left w:val="none" w:sz="0" w:space="0" w:color="auto"/>
        <w:bottom w:val="none" w:sz="0" w:space="0" w:color="auto"/>
        <w:right w:val="none" w:sz="0" w:space="0" w:color="auto"/>
      </w:divBdr>
    </w:div>
    <w:div w:id="1486238559">
      <w:bodyDiv w:val="1"/>
      <w:marLeft w:val="0"/>
      <w:marRight w:val="0"/>
      <w:marTop w:val="0"/>
      <w:marBottom w:val="0"/>
      <w:divBdr>
        <w:top w:val="none" w:sz="0" w:space="0" w:color="auto"/>
        <w:left w:val="none" w:sz="0" w:space="0" w:color="auto"/>
        <w:bottom w:val="none" w:sz="0" w:space="0" w:color="auto"/>
        <w:right w:val="none" w:sz="0" w:space="0" w:color="auto"/>
      </w:divBdr>
    </w:div>
    <w:div w:id="1486240576">
      <w:bodyDiv w:val="1"/>
      <w:marLeft w:val="0"/>
      <w:marRight w:val="0"/>
      <w:marTop w:val="0"/>
      <w:marBottom w:val="0"/>
      <w:divBdr>
        <w:top w:val="none" w:sz="0" w:space="0" w:color="auto"/>
        <w:left w:val="none" w:sz="0" w:space="0" w:color="auto"/>
        <w:bottom w:val="none" w:sz="0" w:space="0" w:color="auto"/>
        <w:right w:val="none" w:sz="0" w:space="0" w:color="auto"/>
      </w:divBdr>
    </w:div>
    <w:div w:id="1486319589">
      <w:bodyDiv w:val="1"/>
      <w:marLeft w:val="0"/>
      <w:marRight w:val="0"/>
      <w:marTop w:val="0"/>
      <w:marBottom w:val="0"/>
      <w:divBdr>
        <w:top w:val="none" w:sz="0" w:space="0" w:color="auto"/>
        <w:left w:val="none" w:sz="0" w:space="0" w:color="auto"/>
        <w:bottom w:val="none" w:sz="0" w:space="0" w:color="auto"/>
        <w:right w:val="none" w:sz="0" w:space="0" w:color="auto"/>
      </w:divBdr>
    </w:div>
    <w:div w:id="1486357728">
      <w:bodyDiv w:val="1"/>
      <w:marLeft w:val="0"/>
      <w:marRight w:val="0"/>
      <w:marTop w:val="0"/>
      <w:marBottom w:val="0"/>
      <w:divBdr>
        <w:top w:val="none" w:sz="0" w:space="0" w:color="auto"/>
        <w:left w:val="none" w:sz="0" w:space="0" w:color="auto"/>
        <w:bottom w:val="none" w:sz="0" w:space="0" w:color="auto"/>
        <w:right w:val="none" w:sz="0" w:space="0" w:color="auto"/>
      </w:divBdr>
    </w:div>
    <w:div w:id="1486430691">
      <w:bodyDiv w:val="1"/>
      <w:marLeft w:val="0"/>
      <w:marRight w:val="0"/>
      <w:marTop w:val="0"/>
      <w:marBottom w:val="0"/>
      <w:divBdr>
        <w:top w:val="none" w:sz="0" w:space="0" w:color="auto"/>
        <w:left w:val="none" w:sz="0" w:space="0" w:color="auto"/>
        <w:bottom w:val="none" w:sz="0" w:space="0" w:color="auto"/>
        <w:right w:val="none" w:sz="0" w:space="0" w:color="auto"/>
      </w:divBdr>
    </w:div>
    <w:div w:id="1486436070">
      <w:bodyDiv w:val="1"/>
      <w:marLeft w:val="0"/>
      <w:marRight w:val="0"/>
      <w:marTop w:val="0"/>
      <w:marBottom w:val="0"/>
      <w:divBdr>
        <w:top w:val="none" w:sz="0" w:space="0" w:color="auto"/>
        <w:left w:val="none" w:sz="0" w:space="0" w:color="auto"/>
        <w:bottom w:val="none" w:sz="0" w:space="0" w:color="auto"/>
        <w:right w:val="none" w:sz="0" w:space="0" w:color="auto"/>
      </w:divBdr>
    </w:div>
    <w:div w:id="1486510344">
      <w:bodyDiv w:val="1"/>
      <w:marLeft w:val="0"/>
      <w:marRight w:val="0"/>
      <w:marTop w:val="0"/>
      <w:marBottom w:val="0"/>
      <w:divBdr>
        <w:top w:val="none" w:sz="0" w:space="0" w:color="auto"/>
        <w:left w:val="none" w:sz="0" w:space="0" w:color="auto"/>
        <w:bottom w:val="none" w:sz="0" w:space="0" w:color="auto"/>
        <w:right w:val="none" w:sz="0" w:space="0" w:color="auto"/>
      </w:divBdr>
    </w:div>
    <w:div w:id="1486698482">
      <w:bodyDiv w:val="1"/>
      <w:marLeft w:val="0"/>
      <w:marRight w:val="0"/>
      <w:marTop w:val="0"/>
      <w:marBottom w:val="0"/>
      <w:divBdr>
        <w:top w:val="none" w:sz="0" w:space="0" w:color="auto"/>
        <w:left w:val="none" w:sz="0" w:space="0" w:color="auto"/>
        <w:bottom w:val="none" w:sz="0" w:space="0" w:color="auto"/>
        <w:right w:val="none" w:sz="0" w:space="0" w:color="auto"/>
      </w:divBdr>
    </w:div>
    <w:div w:id="1486707341">
      <w:bodyDiv w:val="1"/>
      <w:marLeft w:val="0"/>
      <w:marRight w:val="0"/>
      <w:marTop w:val="0"/>
      <w:marBottom w:val="0"/>
      <w:divBdr>
        <w:top w:val="none" w:sz="0" w:space="0" w:color="auto"/>
        <w:left w:val="none" w:sz="0" w:space="0" w:color="auto"/>
        <w:bottom w:val="none" w:sz="0" w:space="0" w:color="auto"/>
        <w:right w:val="none" w:sz="0" w:space="0" w:color="auto"/>
      </w:divBdr>
    </w:div>
    <w:div w:id="1486774961">
      <w:bodyDiv w:val="1"/>
      <w:marLeft w:val="0"/>
      <w:marRight w:val="0"/>
      <w:marTop w:val="0"/>
      <w:marBottom w:val="0"/>
      <w:divBdr>
        <w:top w:val="none" w:sz="0" w:space="0" w:color="auto"/>
        <w:left w:val="none" w:sz="0" w:space="0" w:color="auto"/>
        <w:bottom w:val="none" w:sz="0" w:space="0" w:color="auto"/>
        <w:right w:val="none" w:sz="0" w:space="0" w:color="auto"/>
      </w:divBdr>
    </w:div>
    <w:div w:id="1486820206">
      <w:bodyDiv w:val="1"/>
      <w:marLeft w:val="0"/>
      <w:marRight w:val="0"/>
      <w:marTop w:val="0"/>
      <w:marBottom w:val="0"/>
      <w:divBdr>
        <w:top w:val="none" w:sz="0" w:space="0" w:color="auto"/>
        <w:left w:val="none" w:sz="0" w:space="0" w:color="auto"/>
        <w:bottom w:val="none" w:sz="0" w:space="0" w:color="auto"/>
        <w:right w:val="none" w:sz="0" w:space="0" w:color="auto"/>
      </w:divBdr>
    </w:div>
    <w:div w:id="1487042725">
      <w:bodyDiv w:val="1"/>
      <w:marLeft w:val="0"/>
      <w:marRight w:val="0"/>
      <w:marTop w:val="0"/>
      <w:marBottom w:val="0"/>
      <w:divBdr>
        <w:top w:val="none" w:sz="0" w:space="0" w:color="auto"/>
        <w:left w:val="none" w:sz="0" w:space="0" w:color="auto"/>
        <w:bottom w:val="none" w:sz="0" w:space="0" w:color="auto"/>
        <w:right w:val="none" w:sz="0" w:space="0" w:color="auto"/>
      </w:divBdr>
    </w:div>
    <w:div w:id="1487356998">
      <w:bodyDiv w:val="1"/>
      <w:marLeft w:val="0"/>
      <w:marRight w:val="0"/>
      <w:marTop w:val="0"/>
      <w:marBottom w:val="0"/>
      <w:divBdr>
        <w:top w:val="none" w:sz="0" w:space="0" w:color="auto"/>
        <w:left w:val="none" w:sz="0" w:space="0" w:color="auto"/>
        <w:bottom w:val="none" w:sz="0" w:space="0" w:color="auto"/>
        <w:right w:val="none" w:sz="0" w:space="0" w:color="auto"/>
      </w:divBdr>
    </w:div>
    <w:div w:id="1487357032">
      <w:bodyDiv w:val="1"/>
      <w:marLeft w:val="0"/>
      <w:marRight w:val="0"/>
      <w:marTop w:val="0"/>
      <w:marBottom w:val="0"/>
      <w:divBdr>
        <w:top w:val="none" w:sz="0" w:space="0" w:color="auto"/>
        <w:left w:val="none" w:sz="0" w:space="0" w:color="auto"/>
        <w:bottom w:val="none" w:sz="0" w:space="0" w:color="auto"/>
        <w:right w:val="none" w:sz="0" w:space="0" w:color="auto"/>
      </w:divBdr>
    </w:div>
    <w:div w:id="1487433803">
      <w:bodyDiv w:val="1"/>
      <w:marLeft w:val="0"/>
      <w:marRight w:val="0"/>
      <w:marTop w:val="0"/>
      <w:marBottom w:val="0"/>
      <w:divBdr>
        <w:top w:val="none" w:sz="0" w:space="0" w:color="auto"/>
        <w:left w:val="none" w:sz="0" w:space="0" w:color="auto"/>
        <w:bottom w:val="none" w:sz="0" w:space="0" w:color="auto"/>
        <w:right w:val="none" w:sz="0" w:space="0" w:color="auto"/>
      </w:divBdr>
    </w:div>
    <w:div w:id="1487436601">
      <w:bodyDiv w:val="1"/>
      <w:marLeft w:val="0"/>
      <w:marRight w:val="0"/>
      <w:marTop w:val="0"/>
      <w:marBottom w:val="0"/>
      <w:divBdr>
        <w:top w:val="none" w:sz="0" w:space="0" w:color="auto"/>
        <w:left w:val="none" w:sz="0" w:space="0" w:color="auto"/>
        <w:bottom w:val="none" w:sz="0" w:space="0" w:color="auto"/>
        <w:right w:val="none" w:sz="0" w:space="0" w:color="auto"/>
      </w:divBdr>
    </w:div>
    <w:div w:id="1487476815">
      <w:bodyDiv w:val="1"/>
      <w:marLeft w:val="0"/>
      <w:marRight w:val="0"/>
      <w:marTop w:val="0"/>
      <w:marBottom w:val="0"/>
      <w:divBdr>
        <w:top w:val="none" w:sz="0" w:space="0" w:color="auto"/>
        <w:left w:val="none" w:sz="0" w:space="0" w:color="auto"/>
        <w:bottom w:val="none" w:sz="0" w:space="0" w:color="auto"/>
        <w:right w:val="none" w:sz="0" w:space="0" w:color="auto"/>
      </w:divBdr>
    </w:div>
    <w:div w:id="1487628208">
      <w:bodyDiv w:val="1"/>
      <w:marLeft w:val="0"/>
      <w:marRight w:val="0"/>
      <w:marTop w:val="0"/>
      <w:marBottom w:val="0"/>
      <w:divBdr>
        <w:top w:val="none" w:sz="0" w:space="0" w:color="auto"/>
        <w:left w:val="none" w:sz="0" w:space="0" w:color="auto"/>
        <w:bottom w:val="none" w:sz="0" w:space="0" w:color="auto"/>
        <w:right w:val="none" w:sz="0" w:space="0" w:color="auto"/>
      </w:divBdr>
    </w:div>
    <w:div w:id="1487747110">
      <w:bodyDiv w:val="1"/>
      <w:marLeft w:val="0"/>
      <w:marRight w:val="0"/>
      <w:marTop w:val="0"/>
      <w:marBottom w:val="0"/>
      <w:divBdr>
        <w:top w:val="none" w:sz="0" w:space="0" w:color="auto"/>
        <w:left w:val="none" w:sz="0" w:space="0" w:color="auto"/>
        <w:bottom w:val="none" w:sz="0" w:space="0" w:color="auto"/>
        <w:right w:val="none" w:sz="0" w:space="0" w:color="auto"/>
      </w:divBdr>
    </w:div>
    <w:div w:id="1487892746">
      <w:bodyDiv w:val="1"/>
      <w:marLeft w:val="0"/>
      <w:marRight w:val="0"/>
      <w:marTop w:val="0"/>
      <w:marBottom w:val="0"/>
      <w:divBdr>
        <w:top w:val="none" w:sz="0" w:space="0" w:color="auto"/>
        <w:left w:val="none" w:sz="0" w:space="0" w:color="auto"/>
        <w:bottom w:val="none" w:sz="0" w:space="0" w:color="auto"/>
        <w:right w:val="none" w:sz="0" w:space="0" w:color="auto"/>
      </w:divBdr>
    </w:div>
    <w:div w:id="1488010726">
      <w:bodyDiv w:val="1"/>
      <w:marLeft w:val="0"/>
      <w:marRight w:val="0"/>
      <w:marTop w:val="0"/>
      <w:marBottom w:val="0"/>
      <w:divBdr>
        <w:top w:val="none" w:sz="0" w:space="0" w:color="auto"/>
        <w:left w:val="none" w:sz="0" w:space="0" w:color="auto"/>
        <w:bottom w:val="none" w:sz="0" w:space="0" w:color="auto"/>
        <w:right w:val="none" w:sz="0" w:space="0" w:color="auto"/>
      </w:divBdr>
    </w:div>
    <w:div w:id="1488012113">
      <w:bodyDiv w:val="1"/>
      <w:marLeft w:val="0"/>
      <w:marRight w:val="0"/>
      <w:marTop w:val="0"/>
      <w:marBottom w:val="0"/>
      <w:divBdr>
        <w:top w:val="none" w:sz="0" w:space="0" w:color="auto"/>
        <w:left w:val="none" w:sz="0" w:space="0" w:color="auto"/>
        <w:bottom w:val="none" w:sz="0" w:space="0" w:color="auto"/>
        <w:right w:val="none" w:sz="0" w:space="0" w:color="auto"/>
      </w:divBdr>
    </w:div>
    <w:div w:id="1488133190">
      <w:bodyDiv w:val="1"/>
      <w:marLeft w:val="0"/>
      <w:marRight w:val="0"/>
      <w:marTop w:val="0"/>
      <w:marBottom w:val="0"/>
      <w:divBdr>
        <w:top w:val="none" w:sz="0" w:space="0" w:color="auto"/>
        <w:left w:val="none" w:sz="0" w:space="0" w:color="auto"/>
        <w:bottom w:val="none" w:sz="0" w:space="0" w:color="auto"/>
        <w:right w:val="none" w:sz="0" w:space="0" w:color="auto"/>
      </w:divBdr>
    </w:div>
    <w:div w:id="1488396941">
      <w:bodyDiv w:val="1"/>
      <w:marLeft w:val="0"/>
      <w:marRight w:val="0"/>
      <w:marTop w:val="0"/>
      <w:marBottom w:val="0"/>
      <w:divBdr>
        <w:top w:val="none" w:sz="0" w:space="0" w:color="auto"/>
        <w:left w:val="none" w:sz="0" w:space="0" w:color="auto"/>
        <w:bottom w:val="none" w:sz="0" w:space="0" w:color="auto"/>
        <w:right w:val="none" w:sz="0" w:space="0" w:color="auto"/>
      </w:divBdr>
    </w:div>
    <w:div w:id="1488476770">
      <w:bodyDiv w:val="1"/>
      <w:marLeft w:val="0"/>
      <w:marRight w:val="0"/>
      <w:marTop w:val="0"/>
      <w:marBottom w:val="0"/>
      <w:divBdr>
        <w:top w:val="none" w:sz="0" w:space="0" w:color="auto"/>
        <w:left w:val="none" w:sz="0" w:space="0" w:color="auto"/>
        <w:bottom w:val="none" w:sz="0" w:space="0" w:color="auto"/>
        <w:right w:val="none" w:sz="0" w:space="0" w:color="auto"/>
      </w:divBdr>
    </w:div>
    <w:div w:id="1488477573">
      <w:bodyDiv w:val="1"/>
      <w:marLeft w:val="0"/>
      <w:marRight w:val="0"/>
      <w:marTop w:val="0"/>
      <w:marBottom w:val="0"/>
      <w:divBdr>
        <w:top w:val="none" w:sz="0" w:space="0" w:color="auto"/>
        <w:left w:val="none" w:sz="0" w:space="0" w:color="auto"/>
        <w:bottom w:val="none" w:sz="0" w:space="0" w:color="auto"/>
        <w:right w:val="none" w:sz="0" w:space="0" w:color="auto"/>
      </w:divBdr>
    </w:div>
    <w:div w:id="1488549231">
      <w:bodyDiv w:val="1"/>
      <w:marLeft w:val="0"/>
      <w:marRight w:val="0"/>
      <w:marTop w:val="0"/>
      <w:marBottom w:val="0"/>
      <w:divBdr>
        <w:top w:val="none" w:sz="0" w:space="0" w:color="auto"/>
        <w:left w:val="none" w:sz="0" w:space="0" w:color="auto"/>
        <w:bottom w:val="none" w:sz="0" w:space="0" w:color="auto"/>
        <w:right w:val="none" w:sz="0" w:space="0" w:color="auto"/>
      </w:divBdr>
    </w:div>
    <w:div w:id="1488591559">
      <w:bodyDiv w:val="1"/>
      <w:marLeft w:val="0"/>
      <w:marRight w:val="0"/>
      <w:marTop w:val="0"/>
      <w:marBottom w:val="0"/>
      <w:divBdr>
        <w:top w:val="none" w:sz="0" w:space="0" w:color="auto"/>
        <w:left w:val="none" w:sz="0" w:space="0" w:color="auto"/>
        <w:bottom w:val="none" w:sz="0" w:space="0" w:color="auto"/>
        <w:right w:val="none" w:sz="0" w:space="0" w:color="auto"/>
      </w:divBdr>
    </w:div>
    <w:div w:id="1488858589">
      <w:bodyDiv w:val="1"/>
      <w:marLeft w:val="0"/>
      <w:marRight w:val="0"/>
      <w:marTop w:val="0"/>
      <w:marBottom w:val="0"/>
      <w:divBdr>
        <w:top w:val="none" w:sz="0" w:space="0" w:color="auto"/>
        <w:left w:val="none" w:sz="0" w:space="0" w:color="auto"/>
        <w:bottom w:val="none" w:sz="0" w:space="0" w:color="auto"/>
        <w:right w:val="none" w:sz="0" w:space="0" w:color="auto"/>
      </w:divBdr>
    </w:div>
    <w:div w:id="1488859170">
      <w:bodyDiv w:val="1"/>
      <w:marLeft w:val="0"/>
      <w:marRight w:val="0"/>
      <w:marTop w:val="0"/>
      <w:marBottom w:val="0"/>
      <w:divBdr>
        <w:top w:val="none" w:sz="0" w:space="0" w:color="auto"/>
        <w:left w:val="none" w:sz="0" w:space="0" w:color="auto"/>
        <w:bottom w:val="none" w:sz="0" w:space="0" w:color="auto"/>
        <w:right w:val="none" w:sz="0" w:space="0" w:color="auto"/>
      </w:divBdr>
    </w:div>
    <w:div w:id="1488939778">
      <w:bodyDiv w:val="1"/>
      <w:marLeft w:val="0"/>
      <w:marRight w:val="0"/>
      <w:marTop w:val="0"/>
      <w:marBottom w:val="0"/>
      <w:divBdr>
        <w:top w:val="none" w:sz="0" w:space="0" w:color="auto"/>
        <w:left w:val="none" w:sz="0" w:space="0" w:color="auto"/>
        <w:bottom w:val="none" w:sz="0" w:space="0" w:color="auto"/>
        <w:right w:val="none" w:sz="0" w:space="0" w:color="auto"/>
      </w:divBdr>
    </w:div>
    <w:div w:id="1488981770">
      <w:bodyDiv w:val="1"/>
      <w:marLeft w:val="0"/>
      <w:marRight w:val="0"/>
      <w:marTop w:val="0"/>
      <w:marBottom w:val="0"/>
      <w:divBdr>
        <w:top w:val="none" w:sz="0" w:space="0" w:color="auto"/>
        <w:left w:val="none" w:sz="0" w:space="0" w:color="auto"/>
        <w:bottom w:val="none" w:sz="0" w:space="0" w:color="auto"/>
        <w:right w:val="none" w:sz="0" w:space="0" w:color="auto"/>
      </w:divBdr>
    </w:div>
    <w:div w:id="1489054746">
      <w:bodyDiv w:val="1"/>
      <w:marLeft w:val="0"/>
      <w:marRight w:val="0"/>
      <w:marTop w:val="0"/>
      <w:marBottom w:val="0"/>
      <w:divBdr>
        <w:top w:val="none" w:sz="0" w:space="0" w:color="auto"/>
        <w:left w:val="none" w:sz="0" w:space="0" w:color="auto"/>
        <w:bottom w:val="none" w:sz="0" w:space="0" w:color="auto"/>
        <w:right w:val="none" w:sz="0" w:space="0" w:color="auto"/>
      </w:divBdr>
    </w:div>
    <w:div w:id="1489127462">
      <w:bodyDiv w:val="1"/>
      <w:marLeft w:val="0"/>
      <w:marRight w:val="0"/>
      <w:marTop w:val="0"/>
      <w:marBottom w:val="0"/>
      <w:divBdr>
        <w:top w:val="none" w:sz="0" w:space="0" w:color="auto"/>
        <w:left w:val="none" w:sz="0" w:space="0" w:color="auto"/>
        <w:bottom w:val="none" w:sz="0" w:space="0" w:color="auto"/>
        <w:right w:val="none" w:sz="0" w:space="0" w:color="auto"/>
      </w:divBdr>
    </w:div>
    <w:div w:id="1489128098">
      <w:bodyDiv w:val="1"/>
      <w:marLeft w:val="0"/>
      <w:marRight w:val="0"/>
      <w:marTop w:val="0"/>
      <w:marBottom w:val="0"/>
      <w:divBdr>
        <w:top w:val="none" w:sz="0" w:space="0" w:color="auto"/>
        <w:left w:val="none" w:sz="0" w:space="0" w:color="auto"/>
        <w:bottom w:val="none" w:sz="0" w:space="0" w:color="auto"/>
        <w:right w:val="none" w:sz="0" w:space="0" w:color="auto"/>
      </w:divBdr>
    </w:div>
    <w:div w:id="1489201539">
      <w:bodyDiv w:val="1"/>
      <w:marLeft w:val="0"/>
      <w:marRight w:val="0"/>
      <w:marTop w:val="0"/>
      <w:marBottom w:val="0"/>
      <w:divBdr>
        <w:top w:val="none" w:sz="0" w:space="0" w:color="auto"/>
        <w:left w:val="none" w:sz="0" w:space="0" w:color="auto"/>
        <w:bottom w:val="none" w:sz="0" w:space="0" w:color="auto"/>
        <w:right w:val="none" w:sz="0" w:space="0" w:color="auto"/>
      </w:divBdr>
    </w:div>
    <w:div w:id="1489202855">
      <w:bodyDiv w:val="1"/>
      <w:marLeft w:val="0"/>
      <w:marRight w:val="0"/>
      <w:marTop w:val="0"/>
      <w:marBottom w:val="0"/>
      <w:divBdr>
        <w:top w:val="none" w:sz="0" w:space="0" w:color="auto"/>
        <w:left w:val="none" w:sz="0" w:space="0" w:color="auto"/>
        <w:bottom w:val="none" w:sz="0" w:space="0" w:color="auto"/>
        <w:right w:val="none" w:sz="0" w:space="0" w:color="auto"/>
      </w:divBdr>
    </w:div>
    <w:div w:id="1489319919">
      <w:bodyDiv w:val="1"/>
      <w:marLeft w:val="0"/>
      <w:marRight w:val="0"/>
      <w:marTop w:val="0"/>
      <w:marBottom w:val="0"/>
      <w:divBdr>
        <w:top w:val="none" w:sz="0" w:space="0" w:color="auto"/>
        <w:left w:val="none" w:sz="0" w:space="0" w:color="auto"/>
        <w:bottom w:val="none" w:sz="0" w:space="0" w:color="auto"/>
        <w:right w:val="none" w:sz="0" w:space="0" w:color="auto"/>
      </w:divBdr>
    </w:div>
    <w:div w:id="1489321754">
      <w:bodyDiv w:val="1"/>
      <w:marLeft w:val="0"/>
      <w:marRight w:val="0"/>
      <w:marTop w:val="0"/>
      <w:marBottom w:val="0"/>
      <w:divBdr>
        <w:top w:val="none" w:sz="0" w:space="0" w:color="auto"/>
        <w:left w:val="none" w:sz="0" w:space="0" w:color="auto"/>
        <w:bottom w:val="none" w:sz="0" w:space="0" w:color="auto"/>
        <w:right w:val="none" w:sz="0" w:space="0" w:color="auto"/>
      </w:divBdr>
    </w:div>
    <w:div w:id="1489324475">
      <w:bodyDiv w:val="1"/>
      <w:marLeft w:val="0"/>
      <w:marRight w:val="0"/>
      <w:marTop w:val="0"/>
      <w:marBottom w:val="0"/>
      <w:divBdr>
        <w:top w:val="none" w:sz="0" w:space="0" w:color="auto"/>
        <w:left w:val="none" w:sz="0" w:space="0" w:color="auto"/>
        <w:bottom w:val="none" w:sz="0" w:space="0" w:color="auto"/>
        <w:right w:val="none" w:sz="0" w:space="0" w:color="auto"/>
      </w:divBdr>
    </w:div>
    <w:div w:id="1489400503">
      <w:bodyDiv w:val="1"/>
      <w:marLeft w:val="0"/>
      <w:marRight w:val="0"/>
      <w:marTop w:val="0"/>
      <w:marBottom w:val="0"/>
      <w:divBdr>
        <w:top w:val="none" w:sz="0" w:space="0" w:color="auto"/>
        <w:left w:val="none" w:sz="0" w:space="0" w:color="auto"/>
        <w:bottom w:val="none" w:sz="0" w:space="0" w:color="auto"/>
        <w:right w:val="none" w:sz="0" w:space="0" w:color="auto"/>
      </w:divBdr>
    </w:div>
    <w:div w:id="1489441503">
      <w:bodyDiv w:val="1"/>
      <w:marLeft w:val="0"/>
      <w:marRight w:val="0"/>
      <w:marTop w:val="0"/>
      <w:marBottom w:val="0"/>
      <w:divBdr>
        <w:top w:val="none" w:sz="0" w:space="0" w:color="auto"/>
        <w:left w:val="none" w:sz="0" w:space="0" w:color="auto"/>
        <w:bottom w:val="none" w:sz="0" w:space="0" w:color="auto"/>
        <w:right w:val="none" w:sz="0" w:space="0" w:color="auto"/>
      </w:divBdr>
    </w:div>
    <w:div w:id="1489444900">
      <w:bodyDiv w:val="1"/>
      <w:marLeft w:val="0"/>
      <w:marRight w:val="0"/>
      <w:marTop w:val="0"/>
      <w:marBottom w:val="0"/>
      <w:divBdr>
        <w:top w:val="none" w:sz="0" w:space="0" w:color="auto"/>
        <w:left w:val="none" w:sz="0" w:space="0" w:color="auto"/>
        <w:bottom w:val="none" w:sz="0" w:space="0" w:color="auto"/>
        <w:right w:val="none" w:sz="0" w:space="0" w:color="auto"/>
      </w:divBdr>
    </w:div>
    <w:div w:id="1489637993">
      <w:bodyDiv w:val="1"/>
      <w:marLeft w:val="0"/>
      <w:marRight w:val="0"/>
      <w:marTop w:val="0"/>
      <w:marBottom w:val="0"/>
      <w:divBdr>
        <w:top w:val="none" w:sz="0" w:space="0" w:color="auto"/>
        <w:left w:val="none" w:sz="0" w:space="0" w:color="auto"/>
        <w:bottom w:val="none" w:sz="0" w:space="0" w:color="auto"/>
        <w:right w:val="none" w:sz="0" w:space="0" w:color="auto"/>
      </w:divBdr>
    </w:div>
    <w:div w:id="1489711390">
      <w:bodyDiv w:val="1"/>
      <w:marLeft w:val="0"/>
      <w:marRight w:val="0"/>
      <w:marTop w:val="0"/>
      <w:marBottom w:val="0"/>
      <w:divBdr>
        <w:top w:val="none" w:sz="0" w:space="0" w:color="auto"/>
        <w:left w:val="none" w:sz="0" w:space="0" w:color="auto"/>
        <w:bottom w:val="none" w:sz="0" w:space="0" w:color="auto"/>
        <w:right w:val="none" w:sz="0" w:space="0" w:color="auto"/>
      </w:divBdr>
    </w:div>
    <w:div w:id="1489788601">
      <w:bodyDiv w:val="1"/>
      <w:marLeft w:val="0"/>
      <w:marRight w:val="0"/>
      <w:marTop w:val="0"/>
      <w:marBottom w:val="0"/>
      <w:divBdr>
        <w:top w:val="none" w:sz="0" w:space="0" w:color="auto"/>
        <w:left w:val="none" w:sz="0" w:space="0" w:color="auto"/>
        <w:bottom w:val="none" w:sz="0" w:space="0" w:color="auto"/>
        <w:right w:val="none" w:sz="0" w:space="0" w:color="auto"/>
      </w:divBdr>
    </w:div>
    <w:div w:id="1489832434">
      <w:bodyDiv w:val="1"/>
      <w:marLeft w:val="0"/>
      <w:marRight w:val="0"/>
      <w:marTop w:val="0"/>
      <w:marBottom w:val="0"/>
      <w:divBdr>
        <w:top w:val="none" w:sz="0" w:space="0" w:color="auto"/>
        <w:left w:val="none" w:sz="0" w:space="0" w:color="auto"/>
        <w:bottom w:val="none" w:sz="0" w:space="0" w:color="auto"/>
        <w:right w:val="none" w:sz="0" w:space="0" w:color="auto"/>
      </w:divBdr>
    </w:div>
    <w:div w:id="1489862545">
      <w:bodyDiv w:val="1"/>
      <w:marLeft w:val="0"/>
      <w:marRight w:val="0"/>
      <w:marTop w:val="0"/>
      <w:marBottom w:val="0"/>
      <w:divBdr>
        <w:top w:val="none" w:sz="0" w:space="0" w:color="auto"/>
        <w:left w:val="none" w:sz="0" w:space="0" w:color="auto"/>
        <w:bottom w:val="none" w:sz="0" w:space="0" w:color="auto"/>
        <w:right w:val="none" w:sz="0" w:space="0" w:color="auto"/>
      </w:divBdr>
    </w:div>
    <w:div w:id="1489900347">
      <w:bodyDiv w:val="1"/>
      <w:marLeft w:val="0"/>
      <w:marRight w:val="0"/>
      <w:marTop w:val="0"/>
      <w:marBottom w:val="0"/>
      <w:divBdr>
        <w:top w:val="none" w:sz="0" w:space="0" w:color="auto"/>
        <w:left w:val="none" w:sz="0" w:space="0" w:color="auto"/>
        <w:bottom w:val="none" w:sz="0" w:space="0" w:color="auto"/>
        <w:right w:val="none" w:sz="0" w:space="0" w:color="auto"/>
      </w:divBdr>
    </w:div>
    <w:div w:id="1489980742">
      <w:bodyDiv w:val="1"/>
      <w:marLeft w:val="0"/>
      <w:marRight w:val="0"/>
      <w:marTop w:val="0"/>
      <w:marBottom w:val="0"/>
      <w:divBdr>
        <w:top w:val="none" w:sz="0" w:space="0" w:color="auto"/>
        <w:left w:val="none" w:sz="0" w:space="0" w:color="auto"/>
        <w:bottom w:val="none" w:sz="0" w:space="0" w:color="auto"/>
        <w:right w:val="none" w:sz="0" w:space="0" w:color="auto"/>
      </w:divBdr>
    </w:div>
    <w:div w:id="1489980885">
      <w:bodyDiv w:val="1"/>
      <w:marLeft w:val="0"/>
      <w:marRight w:val="0"/>
      <w:marTop w:val="0"/>
      <w:marBottom w:val="0"/>
      <w:divBdr>
        <w:top w:val="none" w:sz="0" w:space="0" w:color="auto"/>
        <w:left w:val="none" w:sz="0" w:space="0" w:color="auto"/>
        <w:bottom w:val="none" w:sz="0" w:space="0" w:color="auto"/>
        <w:right w:val="none" w:sz="0" w:space="0" w:color="auto"/>
      </w:divBdr>
    </w:div>
    <w:div w:id="1490093414">
      <w:bodyDiv w:val="1"/>
      <w:marLeft w:val="0"/>
      <w:marRight w:val="0"/>
      <w:marTop w:val="0"/>
      <w:marBottom w:val="0"/>
      <w:divBdr>
        <w:top w:val="none" w:sz="0" w:space="0" w:color="auto"/>
        <w:left w:val="none" w:sz="0" w:space="0" w:color="auto"/>
        <w:bottom w:val="none" w:sz="0" w:space="0" w:color="auto"/>
        <w:right w:val="none" w:sz="0" w:space="0" w:color="auto"/>
      </w:divBdr>
    </w:div>
    <w:div w:id="1490099372">
      <w:bodyDiv w:val="1"/>
      <w:marLeft w:val="0"/>
      <w:marRight w:val="0"/>
      <w:marTop w:val="0"/>
      <w:marBottom w:val="0"/>
      <w:divBdr>
        <w:top w:val="none" w:sz="0" w:space="0" w:color="auto"/>
        <w:left w:val="none" w:sz="0" w:space="0" w:color="auto"/>
        <w:bottom w:val="none" w:sz="0" w:space="0" w:color="auto"/>
        <w:right w:val="none" w:sz="0" w:space="0" w:color="auto"/>
      </w:divBdr>
    </w:div>
    <w:div w:id="1490101025">
      <w:bodyDiv w:val="1"/>
      <w:marLeft w:val="0"/>
      <w:marRight w:val="0"/>
      <w:marTop w:val="0"/>
      <w:marBottom w:val="0"/>
      <w:divBdr>
        <w:top w:val="none" w:sz="0" w:space="0" w:color="auto"/>
        <w:left w:val="none" w:sz="0" w:space="0" w:color="auto"/>
        <w:bottom w:val="none" w:sz="0" w:space="0" w:color="auto"/>
        <w:right w:val="none" w:sz="0" w:space="0" w:color="auto"/>
      </w:divBdr>
    </w:div>
    <w:div w:id="1490171358">
      <w:bodyDiv w:val="1"/>
      <w:marLeft w:val="0"/>
      <w:marRight w:val="0"/>
      <w:marTop w:val="0"/>
      <w:marBottom w:val="0"/>
      <w:divBdr>
        <w:top w:val="none" w:sz="0" w:space="0" w:color="auto"/>
        <w:left w:val="none" w:sz="0" w:space="0" w:color="auto"/>
        <w:bottom w:val="none" w:sz="0" w:space="0" w:color="auto"/>
        <w:right w:val="none" w:sz="0" w:space="0" w:color="auto"/>
      </w:divBdr>
    </w:div>
    <w:div w:id="1490290285">
      <w:bodyDiv w:val="1"/>
      <w:marLeft w:val="0"/>
      <w:marRight w:val="0"/>
      <w:marTop w:val="0"/>
      <w:marBottom w:val="0"/>
      <w:divBdr>
        <w:top w:val="none" w:sz="0" w:space="0" w:color="auto"/>
        <w:left w:val="none" w:sz="0" w:space="0" w:color="auto"/>
        <w:bottom w:val="none" w:sz="0" w:space="0" w:color="auto"/>
        <w:right w:val="none" w:sz="0" w:space="0" w:color="auto"/>
      </w:divBdr>
    </w:div>
    <w:div w:id="1490362127">
      <w:bodyDiv w:val="1"/>
      <w:marLeft w:val="0"/>
      <w:marRight w:val="0"/>
      <w:marTop w:val="0"/>
      <w:marBottom w:val="0"/>
      <w:divBdr>
        <w:top w:val="none" w:sz="0" w:space="0" w:color="auto"/>
        <w:left w:val="none" w:sz="0" w:space="0" w:color="auto"/>
        <w:bottom w:val="none" w:sz="0" w:space="0" w:color="auto"/>
        <w:right w:val="none" w:sz="0" w:space="0" w:color="auto"/>
      </w:divBdr>
    </w:div>
    <w:div w:id="1490367843">
      <w:bodyDiv w:val="1"/>
      <w:marLeft w:val="0"/>
      <w:marRight w:val="0"/>
      <w:marTop w:val="0"/>
      <w:marBottom w:val="0"/>
      <w:divBdr>
        <w:top w:val="none" w:sz="0" w:space="0" w:color="auto"/>
        <w:left w:val="none" w:sz="0" w:space="0" w:color="auto"/>
        <w:bottom w:val="none" w:sz="0" w:space="0" w:color="auto"/>
        <w:right w:val="none" w:sz="0" w:space="0" w:color="auto"/>
      </w:divBdr>
    </w:div>
    <w:div w:id="1490443275">
      <w:bodyDiv w:val="1"/>
      <w:marLeft w:val="0"/>
      <w:marRight w:val="0"/>
      <w:marTop w:val="0"/>
      <w:marBottom w:val="0"/>
      <w:divBdr>
        <w:top w:val="none" w:sz="0" w:space="0" w:color="auto"/>
        <w:left w:val="none" w:sz="0" w:space="0" w:color="auto"/>
        <w:bottom w:val="none" w:sz="0" w:space="0" w:color="auto"/>
        <w:right w:val="none" w:sz="0" w:space="0" w:color="auto"/>
      </w:divBdr>
    </w:div>
    <w:div w:id="1490714085">
      <w:bodyDiv w:val="1"/>
      <w:marLeft w:val="0"/>
      <w:marRight w:val="0"/>
      <w:marTop w:val="0"/>
      <w:marBottom w:val="0"/>
      <w:divBdr>
        <w:top w:val="none" w:sz="0" w:space="0" w:color="auto"/>
        <w:left w:val="none" w:sz="0" w:space="0" w:color="auto"/>
        <w:bottom w:val="none" w:sz="0" w:space="0" w:color="auto"/>
        <w:right w:val="none" w:sz="0" w:space="0" w:color="auto"/>
      </w:divBdr>
    </w:div>
    <w:div w:id="1490826615">
      <w:bodyDiv w:val="1"/>
      <w:marLeft w:val="0"/>
      <w:marRight w:val="0"/>
      <w:marTop w:val="0"/>
      <w:marBottom w:val="0"/>
      <w:divBdr>
        <w:top w:val="none" w:sz="0" w:space="0" w:color="auto"/>
        <w:left w:val="none" w:sz="0" w:space="0" w:color="auto"/>
        <w:bottom w:val="none" w:sz="0" w:space="0" w:color="auto"/>
        <w:right w:val="none" w:sz="0" w:space="0" w:color="auto"/>
      </w:divBdr>
    </w:div>
    <w:div w:id="1490902189">
      <w:bodyDiv w:val="1"/>
      <w:marLeft w:val="0"/>
      <w:marRight w:val="0"/>
      <w:marTop w:val="0"/>
      <w:marBottom w:val="0"/>
      <w:divBdr>
        <w:top w:val="none" w:sz="0" w:space="0" w:color="auto"/>
        <w:left w:val="none" w:sz="0" w:space="0" w:color="auto"/>
        <w:bottom w:val="none" w:sz="0" w:space="0" w:color="auto"/>
        <w:right w:val="none" w:sz="0" w:space="0" w:color="auto"/>
      </w:divBdr>
    </w:div>
    <w:div w:id="1490902632">
      <w:bodyDiv w:val="1"/>
      <w:marLeft w:val="0"/>
      <w:marRight w:val="0"/>
      <w:marTop w:val="0"/>
      <w:marBottom w:val="0"/>
      <w:divBdr>
        <w:top w:val="none" w:sz="0" w:space="0" w:color="auto"/>
        <w:left w:val="none" w:sz="0" w:space="0" w:color="auto"/>
        <w:bottom w:val="none" w:sz="0" w:space="0" w:color="auto"/>
        <w:right w:val="none" w:sz="0" w:space="0" w:color="auto"/>
      </w:divBdr>
    </w:div>
    <w:div w:id="1490904653">
      <w:bodyDiv w:val="1"/>
      <w:marLeft w:val="0"/>
      <w:marRight w:val="0"/>
      <w:marTop w:val="0"/>
      <w:marBottom w:val="0"/>
      <w:divBdr>
        <w:top w:val="none" w:sz="0" w:space="0" w:color="auto"/>
        <w:left w:val="none" w:sz="0" w:space="0" w:color="auto"/>
        <w:bottom w:val="none" w:sz="0" w:space="0" w:color="auto"/>
        <w:right w:val="none" w:sz="0" w:space="0" w:color="auto"/>
      </w:divBdr>
    </w:div>
    <w:div w:id="1490949641">
      <w:bodyDiv w:val="1"/>
      <w:marLeft w:val="0"/>
      <w:marRight w:val="0"/>
      <w:marTop w:val="0"/>
      <w:marBottom w:val="0"/>
      <w:divBdr>
        <w:top w:val="none" w:sz="0" w:space="0" w:color="auto"/>
        <w:left w:val="none" w:sz="0" w:space="0" w:color="auto"/>
        <w:bottom w:val="none" w:sz="0" w:space="0" w:color="auto"/>
        <w:right w:val="none" w:sz="0" w:space="0" w:color="auto"/>
      </w:divBdr>
    </w:div>
    <w:div w:id="1491100774">
      <w:bodyDiv w:val="1"/>
      <w:marLeft w:val="0"/>
      <w:marRight w:val="0"/>
      <w:marTop w:val="0"/>
      <w:marBottom w:val="0"/>
      <w:divBdr>
        <w:top w:val="none" w:sz="0" w:space="0" w:color="auto"/>
        <w:left w:val="none" w:sz="0" w:space="0" w:color="auto"/>
        <w:bottom w:val="none" w:sz="0" w:space="0" w:color="auto"/>
        <w:right w:val="none" w:sz="0" w:space="0" w:color="auto"/>
      </w:divBdr>
    </w:div>
    <w:div w:id="1491215958">
      <w:bodyDiv w:val="1"/>
      <w:marLeft w:val="0"/>
      <w:marRight w:val="0"/>
      <w:marTop w:val="0"/>
      <w:marBottom w:val="0"/>
      <w:divBdr>
        <w:top w:val="none" w:sz="0" w:space="0" w:color="auto"/>
        <w:left w:val="none" w:sz="0" w:space="0" w:color="auto"/>
        <w:bottom w:val="none" w:sz="0" w:space="0" w:color="auto"/>
        <w:right w:val="none" w:sz="0" w:space="0" w:color="auto"/>
      </w:divBdr>
    </w:div>
    <w:div w:id="1491217993">
      <w:bodyDiv w:val="1"/>
      <w:marLeft w:val="0"/>
      <w:marRight w:val="0"/>
      <w:marTop w:val="0"/>
      <w:marBottom w:val="0"/>
      <w:divBdr>
        <w:top w:val="none" w:sz="0" w:space="0" w:color="auto"/>
        <w:left w:val="none" w:sz="0" w:space="0" w:color="auto"/>
        <w:bottom w:val="none" w:sz="0" w:space="0" w:color="auto"/>
        <w:right w:val="none" w:sz="0" w:space="0" w:color="auto"/>
      </w:divBdr>
    </w:div>
    <w:div w:id="1491287431">
      <w:bodyDiv w:val="1"/>
      <w:marLeft w:val="0"/>
      <w:marRight w:val="0"/>
      <w:marTop w:val="0"/>
      <w:marBottom w:val="0"/>
      <w:divBdr>
        <w:top w:val="none" w:sz="0" w:space="0" w:color="auto"/>
        <w:left w:val="none" w:sz="0" w:space="0" w:color="auto"/>
        <w:bottom w:val="none" w:sz="0" w:space="0" w:color="auto"/>
        <w:right w:val="none" w:sz="0" w:space="0" w:color="auto"/>
      </w:divBdr>
    </w:div>
    <w:div w:id="1491293948">
      <w:bodyDiv w:val="1"/>
      <w:marLeft w:val="0"/>
      <w:marRight w:val="0"/>
      <w:marTop w:val="0"/>
      <w:marBottom w:val="0"/>
      <w:divBdr>
        <w:top w:val="none" w:sz="0" w:space="0" w:color="auto"/>
        <w:left w:val="none" w:sz="0" w:space="0" w:color="auto"/>
        <w:bottom w:val="none" w:sz="0" w:space="0" w:color="auto"/>
        <w:right w:val="none" w:sz="0" w:space="0" w:color="auto"/>
      </w:divBdr>
    </w:div>
    <w:div w:id="1491556218">
      <w:bodyDiv w:val="1"/>
      <w:marLeft w:val="0"/>
      <w:marRight w:val="0"/>
      <w:marTop w:val="0"/>
      <w:marBottom w:val="0"/>
      <w:divBdr>
        <w:top w:val="none" w:sz="0" w:space="0" w:color="auto"/>
        <w:left w:val="none" w:sz="0" w:space="0" w:color="auto"/>
        <w:bottom w:val="none" w:sz="0" w:space="0" w:color="auto"/>
        <w:right w:val="none" w:sz="0" w:space="0" w:color="auto"/>
      </w:divBdr>
    </w:div>
    <w:div w:id="1491599522">
      <w:bodyDiv w:val="1"/>
      <w:marLeft w:val="0"/>
      <w:marRight w:val="0"/>
      <w:marTop w:val="0"/>
      <w:marBottom w:val="0"/>
      <w:divBdr>
        <w:top w:val="none" w:sz="0" w:space="0" w:color="auto"/>
        <w:left w:val="none" w:sz="0" w:space="0" w:color="auto"/>
        <w:bottom w:val="none" w:sz="0" w:space="0" w:color="auto"/>
        <w:right w:val="none" w:sz="0" w:space="0" w:color="auto"/>
      </w:divBdr>
    </w:div>
    <w:div w:id="1491630212">
      <w:bodyDiv w:val="1"/>
      <w:marLeft w:val="0"/>
      <w:marRight w:val="0"/>
      <w:marTop w:val="0"/>
      <w:marBottom w:val="0"/>
      <w:divBdr>
        <w:top w:val="none" w:sz="0" w:space="0" w:color="auto"/>
        <w:left w:val="none" w:sz="0" w:space="0" w:color="auto"/>
        <w:bottom w:val="none" w:sz="0" w:space="0" w:color="auto"/>
        <w:right w:val="none" w:sz="0" w:space="0" w:color="auto"/>
      </w:divBdr>
    </w:div>
    <w:div w:id="1491631283">
      <w:bodyDiv w:val="1"/>
      <w:marLeft w:val="0"/>
      <w:marRight w:val="0"/>
      <w:marTop w:val="0"/>
      <w:marBottom w:val="0"/>
      <w:divBdr>
        <w:top w:val="none" w:sz="0" w:space="0" w:color="auto"/>
        <w:left w:val="none" w:sz="0" w:space="0" w:color="auto"/>
        <w:bottom w:val="none" w:sz="0" w:space="0" w:color="auto"/>
        <w:right w:val="none" w:sz="0" w:space="0" w:color="auto"/>
      </w:divBdr>
    </w:div>
    <w:div w:id="1491822080">
      <w:bodyDiv w:val="1"/>
      <w:marLeft w:val="0"/>
      <w:marRight w:val="0"/>
      <w:marTop w:val="0"/>
      <w:marBottom w:val="0"/>
      <w:divBdr>
        <w:top w:val="none" w:sz="0" w:space="0" w:color="auto"/>
        <w:left w:val="none" w:sz="0" w:space="0" w:color="auto"/>
        <w:bottom w:val="none" w:sz="0" w:space="0" w:color="auto"/>
        <w:right w:val="none" w:sz="0" w:space="0" w:color="auto"/>
      </w:divBdr>
    </w:div>
    <w:div w:id="1491822560">
      <w:bodyDiv w:val="1"/>
      <w:marLeft w:val="0"/>
      <w:marRight w:val="0"/>
      <w:marTop w:val="0"/>
      <w:marBottom w:val="0"/>
      <w:divBdr>
        <w:top w:val="none" w:sz="0" w:space="0" w:color="auto"/>
        <w:left w:val="none" w:sz="0" w:space="0" w:color="auto"/>
        <w:bottom w:val="none" w:sz="0" w:space="0" w:color="auto"/>
        <w:right w:val="none" w:sz="0" w:space="0" w:color="auto"/>
      </w:divBdr>
    </w:div>
    <w:div w:id="1491945471">
      <w:bodyDiv w:val="1"/>
      <w:marLeft w:val="0"/>
      <w:marRight w:val="0"/>
      <w:marTop w:val="0"/>
      <w:marBottom w:val="0"/>
      <w:divBdr>
        <w:top w:val="none" w:sz="0" w:space="0" w:color="auto"/>
        <w:left w:val="none" w:sz="0" w:space="0" w:color="auto"/>
        <w:bottom w:val="none" w:sz="0" w:space="0" w:color="auto"/>
        <w:right w:val="none" w:sz="0" w:space="0" w:color="auto"/>
      </w:divBdr>
    </w:div>
    <w:div w:id="1492063577">
      <w:bodyDiv w:val="1"/>
      <w:marLeft w:val="0"/>
      <w:marRight w:val="0"/>
      <w:marTop w:val="0"/>
      <w:marBottom w:val="0"/>
      <w:divBdr>
        <w:top w:val="none" w:sz="0" w:space="0" w:color="auto"/>
        <w:left w:val="none" w:sz="0" w:space="0" w:color="auto"/>
        <w:bottom w:val="none" w:sz="0" w:space="0" w:color="auto"/>
        <w:right w:val="none" w:sz="0" w:space="0" w:color="auto"/>
      </w:divBdr>
    </w:div>
    <w:div w:id="1492210646">
      <w:bodyDiv w:val="1"/>
      <w:marLeft w:val="0"/>
      <w:marRight w:val="0"/>
      <w:marTop w:val="0"/>
      <w:marBottom w:val="0"/>
      <w:divBdr>
        <w:top w:val="none" w:sz="0" w:space="0" w:color="auto"/>
        <w:left w:val="none" w:sz="0" w:space="0" w:color="auto"/>
        <w:bottom w:val="none" w:sz="0" w:space="0" w:color="auto"/>
        <w:right w:val="none" w:sz="0" w:space="0" w:color="auto"/>
      </w:divBdr>
    </w:div>
    <w:div w:id="1492211404">
      <w:bodyDiv w:val="1"/>
      <w:marLeft w:val="0"/>
      <w:marRight w:val="0"/>
      <w:marTop w:val="0"/>
      <w:marBottom w:val="0"/>
      <w:divBdr>
        <w:top w:val="none" w:sz="0" w:space="0" w:color="auto"/>
        <w:left w:val="none" w:sz="0" w:space="0" w:color="auto"/>
        <w:bottom w:val="none" w:sz="0" w:space="0" w:color="auto"/>
        <w:right w:val="none" w:sz="0" w:space="0" w:color="auto"/>
      </w:divBdr>
    </w:div>
    <w:div w:id="1492258343">
      <w:bodyDiv w:val="1"/>
      <w:marLeft w:val="0"/>
      <w:marRight w:val="0"/>
      <w:marTop w:val="0"/>
      <w:marBottom w:val="0"/>
      <w:divBdr>
        <w:top w:val="none" w:sz="0" w:space="0" w:color="auto"/>
        <w:left w:val="none" w:sz="0" w:space="0" w:color="auto"/>
        <w:bottom w:val="none" w:sz="0" w:space="0" w:color="auto"/>
        <w:right w:val="none" w:sz="0" w:space="0" w:color="auto"/>
      </w:divBdr>
    </w:div>
    <w:div w:id="1492332136">
      <w:bodyDiv w:val="1"/>
      <w:marLeft w:val="0"/>
      <w:marRight w:val="0"/>
      <w:marTop w:val="0"/>
      <w:marBottom w:val="0"/>
      <w:divBdr>
        <w:top w:val="none" w:sz="0" w:space="0" w:color="auto"/>
        <w:left w:val="none" w:sz="0" w:space="0" w:color="auto"/>
        <w:bottom w:val="none" w:sz="0" w:space="0" w:color="auto"/>
        <w:right w:val="none" w:sz="0" w:space="0" w:color="auto"/>
      </w:divBdr>
    </w:div>
    <w:div w:id="1492402170">
      <w:bodyDiv w:val="1"/>
      <w:marLeft w:val="0"/>
      <w:marRight w:val="0"/>
      <w:marTop w:val="0"/>
      <w:marBottom w:val="0"/>
      <w:divBdr>
        <w:top w:val="none" w:sz="0" w:space="0" w:color="auto"/>
        <w:left w:val="none" w:sz="0" w:space="0" w:color="auto"/>
        <w:bottom w:val="none" w:sz="0" w:space="0" w:color="auto"/>
        <w:right w:val="none" w:sz="0" w:space="0" w:color="auto"/>
      </w:divBdr>
    </w:div>
    <w:div w:id="1492482793">
      <w:bodyDiv w:val="1"/>
      <w:marLeft w:val="0"/>
      <w:marRight w:val="0"/>
      <w:marTop w:val="0"/>
      <w:marBottom w:val="0"/>
      <w:divBdr>
        <w:top w:val="none" w:sz="0" w:space="0" w:color="auto"/>
        <w:left w:val="none" w:sz="0" w:space="0" w:color="auto"/>
        <w:bottom w:val="none" w:sz="0" w:space="0" w:color="auto"/>
        <w:right w:val="none" w:sz="0" w:space="0" w:color="auto"/>
      </w:divBdr>
    </w:div>
    <w:div w:id="1492672504">
      <w:bodyDiv w:val="1"/>
      <w:marLeft w:val="0"/>
      <w:marRight w:val="0"/>
      <w:marTop w:val="0"/>
      <w:marBottom w:val="0"/>
      <w:divBdr>
        <w:top w:val="none" w:sz="0" w:space="0" w:color="auto"/>
        <w:left w:val="none" w:sz="0" w:space="0" w:color="auto"/>
        <w:bottom w:val="none" w:sz="0" w:space="0" w:color="auto"/>
        <w:right w:val="none" w:sz="0" w:space="0" w:color="auto"/>
      </w:divBdr>
    </w:div>
    <w:div w:id="1492675644">
      <w:bodyDiv w:val="1"/>
      <w:marLeft w:val="0"/>
      <w:marRight w:val="0"/>
      <w:marTop w:val="0"/>
      <w:marBottom w:val="0"/>
      <w:divBdr>
        <w:top w:val="none" w:sz="0" w:space="0" w:color="auto"/>
        <w:left w:val="none" w:sz="0" w:space="0" w:color="auto"/>
        <w:bottom w:val="none" w:sz="0" w:space="0" w:color="auto"/>
        <w:right w:val="none" w:sz="0" w:space="0" w:color="auto"/>
      </w:divBdr>
    </w:div>
    <w:div w:id="1492678542">
      <w:bodyDiv w:val="1"/>
      <w:marLeft w:val="0"/>
      <w:marRight w:val="0"/>
      <w:marTop w:val="0"/>
      <w:marBottom w:val="0"/>
      <w:divBdr>
        <w:top w:val="none" w:sz="0" w:space="0" w:color="auto"/>
        <w:left w:val="none" w:sz="0" w:space="0" w:color="auto"/>
        <w:bottom w:val="none" w:sz="0" w:space="0" w:color="auto"/>
        <w:right w:val="none" w:sz="0" w:space="0" w:color="auto"/>
      </w:divBdr>
    </w:div>
    <w:div w:id="1492871421">
      <w:bodyDiv w:val="1"/>
      <w:marLeft w:val="0"/>
      <w:marRight w:val="0"/>
      <w:marTop w:val="0"/>
      <w:marBottom w:val="0"/>
      <w:divBdr>
        <w:top w:val="none" w:sz="0" w:space="0" w:color="auto"/>
        <w:left w:val="none" w:sz="0" w:space="0" w:color="auto"/>
        <w:bottom w:val="none" w:sz="0" w:space="0" w:color="auto"/>
        <w:right w:val="none" w:sz="0" w:space="0" w:color="auto"/>
      </w:divBdr>
    </w:div>
    <w:div w:id="1492985761">
      <w:bodyDiv w:val="1"/>
      <w:marLeft w:val="0"/>
      <w:marRight w:val="0"/>
      <w:marTop w:val="0"/>
      <w:marBottom w:val="0"/>
      <w:divBdr>
        <w:top w:val="none" w:sz="0" w:space="0" w:color="auto"/>
        <w:left w:val="none" w:sz="0" w:space="0" w:color="auto"/>
        <w:bottom w:val="none" w:sz="0" w:space="0" w:color="auto"/>
        <w:right w:val="none" w:sz="0" w:space="0" w:color="auto"/>
      </w:divBdr>
    </w:div>
    <w:div w:id="1492986442">
      <w:bodyDiv w:val="1"/>
      <w:marLeft w:val="0"/>
      <w:marRight w:val="0"/>
      <w:marTop w:val="0"/>
      <w:marBottom w:val="0"/>
      <w:divBdr>
        <w:top w:val="none" w:sz="0" w:space="0" w:color="auto"/>
        <w:left w:val="none" w:sz="0" w:space="0" w:color="auto"/>
        <w:bottom w:val="none" w:sz="0" w:space="0" w:color="auto"/>
        <w:right w:val="none" w:sz="0" w:space="0" w:color="auto"/>
      </w:divBdr>
    </w:div>
    <w:div w:id="1493138208">
      <w:bodyDiv w:val="1"/>
      <w:marLeft w:val="0"/>
      <w:marRight w:val="0"/>
      <w:marTop w:val="0"/>
      <w:marBottom w:val="0"/>
      <w:divBdr>
        <w:top w:val="none" w:sz="0" w:space="0" w:color="auto"/>
        <w:left w:val="none" w:sz="0" w:space="0" w:color="auto"/>
        <w:bottom w:val="none" w:sz="0" w:space="0" w:color="auto"/>
        <w:right w:val="none" w:sz="0" w:space="0" w:color="auto"/>
      </w:divBdr>
    </w:div>
    <w:div w:id="1493175533">
      <w:bodyDiv w:val="1"/>
      <w:marLeft w:val="0"/>
      <w:marRight w:val="0"/>
      <w:marTop w:val="0"/>
      <w:marBottom w:val="0"/>
      <w:divBdr>
        <w:top w:val="none" w:sz="0" w:space="0" w:color="auto"/>
        <w:left w:val="none" w:sz="0" w:space="0" w:color="auto"/>
        <w:bottom w:val="none" w:sz="0" w:space="0" w:color="auto"/>
        <w:right w:val="none" w:sz="0" w:space="0" w:color="auto"/>
      </w:divBdr>
    </w:div>
    <w:div w:id="1493177401">
      <w:bodyDiv w:val="1"/>
      <w:marLeft w:val="0"/>
      <w:marRight w:val="0"/>
      <w:marTop w:val="0"/>
      <w:marBottom w:val="0"/>
      <w:divBdr>
        <w:top w:val="none" w:sz="0" w:space="0" w:color="auto"/>
        <w:left w:val="none" w:sz="0" w:space="0" w:color="auto"/>
        <w:bottom w:val="none" w:sz="0" w:space="0" w:color="auto"/>
        <w:right w:val="none" w:sz="0" w:space="0" w:color="auto"/>
      </w:divBdr>
    </w:div>
    <w:div w:id="1493252879">
      <w:bodyDiv w:val="1"/>
      <w:marLeft w:val="0"/>
      <w:marRight w:val="0"/>
      <w:marTop w:val="0"/>
      <w:marBottom w:val="0"/>
      <w:divBdr>
        <w:top w:val="none" w:sz="0" w:space="0" w:color="auto"/>
        <w:left w:val="none" w:sz="0" w:space="0" w:color="auto"/>
        <w:bottom w:val="none" w:sz="0" w:space="0" w:color="auto"/>
        <w:right w:val="none" w:sz="0" w:space="0" w:color="auto"/>
      </w:divBdr>
    </w:div>
    <w:div w:id="1493330231">
      <w:bodyDiv w:val="1"/>
      <w:marLeft w:val="0"/>
      <w:marRight w:val="0"/>
      <w:marTop w:val="0"/>
      <w:marBottom w:val="0"/>
      <w:divBdr>
        <w:top w:val="none" w:sz="0" w:space="0" w:color="auto"/>
        <w:left w:val="none" w:sz="0" w:space="0" w:color="auto"/>
        <w:bottom w:val="none" w:sz="0" w:space="0" w:color="auto"/>
        <w:right w:val="none" w:sz="0" w:space="0" w:color="auto"/>
      </w:divBdr>
    </w:div>
    <w:div w:id="1493373758">
      <w:bodyDiv w:val="1"/>
      <w:marLeft w:val="0"/>
      <w:marRight w:val="0"/>
      <w:marTop w:val="0"/>
      <w:marBottom w:val="0"/>
      <w:divBdr>
        <w:top w:val="none" w:sz="0" w:space="0" w:color="auto"/>
        <w:left w:val="none" w:sz="0" w:space="0" w:color="auto"/>
        <w:bottom w:val="none" w:sz="0" w:space="0" w:color="auto"/>
        <w:right w:val="none" w:sz="0" w:space="0" w:color="auto"/>
      </w:divBdr>
    </w:div>
    <w:div w:id="1493446997">
      <w:bodyDiv w:val="1"/>
      <w:marLeft w:val="0"/>
      <w:marRight w:val="0"/>
      <w:marTop w:val="0"/>
      <w:marBottom w:val="0"/>
      <w:divBdr>
        <w:top w:val="none" w:sz="0" w:space="0" w:color="auto"/>
        <w:left w:val="none" w:sz="0" w:space="0" w:color="auto"/>
        <w:bottom w:val="none" w:sz="0" w:space="0" w:color="auto"/>
        <w:right w:val="none" w:sz="0" w:space="0" w:color="auto"/>
      </w:divBdr>
    </w:div>
    <w:div w:id="1493568699">
      <w:bodyDiv w:val="1"/>
      <w:marLeft w:val="0"/>
      <w:marRight w:val="0"/>
      <w:marTop w:val="0"/>
      <w:marBottom w:val="0"/>
      <w:divBdr>
        <w:top w:val="none" w:sz="0" w:space="0" w:color="auto"/>
        <w:left w:val="none" w:sz="0" w:space="0" w:color="auto"/>
        <w:bottom w:val="none" w:sz="0" w:space="0" w:color="auto"/>
        <w:right w:val="none" w:sz="0" w:space="0" w:color="auto"/>
      </w:divBdr>
    </w:div>
    <w:div w:id="1493831346">
      <w:bodyDiv w:val="1"/>
      <w:marLeft w:val="0"/>
      <w:marRight w:val="0"/>
      <w:marTop w:val="0"/>
      <w:marBottom w:val="0"/>
      <w:divBdr>
        <w:top w:val="none" w:sz="0" w:space="0" w:color="auto"/>
        <w:left w:val="none" w:sz="0" w:space="0" w:color="auto"/>
        <w:bottom w:val="none" w:sz="0" w:space="0" w:color="auto"/>
        <w:right w:val="none" w:sz="0" w:space="0" w:color="auto"/>
      </w:divBdr>
    </w:div>
    <w:div w:id="1493835155">
      <w:bodyDiv w:val="1"/>
      <w:marLeft w:val="0"/>
      <w:marRight w:val="0"/>
      <w:marTop w:val="0"/>
      <w:marBottom w:val="0"/>
      <w:divBdr>
        <w:top w:val="none" w:sz="0" w:space="0" w:color="auto"/>
        <w:left w:val="none" w:sz="0" w:space="0" w:color="auto"/>
        <w:bottom w:val="none" w:sz="0" w:space="0" w:color="auto"/>
        <w:right w:val="none" w:sz="0" w:space="0" w:color="auto"/>
      </w:divBdr>
    </w:div>
    <w:div w:id="1494026436">
      <w:bodyDiv w:val="1"/>
      <w:marLeft w:val="0"/>
      <w:marRight w:val="0"/>
      <w:marTop w:val="0"/>
      <w:marBottom w:val="0"/>
      <w:divBdr>
        <w:top w:val="none" w:sz="0" w:space="0" w:color="auto"/>
        <w:left w:val="none" w:sz="0" w:space="0" w:color="auto"/>
        <w:bottom w:val="none" w:sz="0" w:space="0" w:color="auto"/>
        <w:right w:val="none" w:sz="0" w:space="0" w:color="auto"/>
      </w:divBdr>
    </w:div>
    <w:div w:id="1494104753">
      <w:bodyDiv w:val="1"/>
      <w:marLeft w:val="0"/>
      <w:marRight w:val="0"/>
      <w:marTop w:val="0"/>
      <w:marBottom w:val="0"/>
      <w:divBdr>
        <w:top w:val="none" w:sz="0" w:space="0" w:color="auto"/>
        <w:left w:val="none" w:sz="0" w:space="0" w:color="auto"/>
        <w:bottom w:val="none" w:sz="0" w:space="0" w:color="auto"/>
        <w:right w:val="none" w:sz="0" w:space="0" w:color="auto"/>
      </w:divBdr>
    </w:div>
    <w:div w:id="1494298428">
      <w:bodyDiv w:val="1"/>
      <w:marLeft w:val="0"/>
      <w:marRight w:val="0"/>
      <w:marTop w:val="0"/>
      <w:marBottom w:val="0"/>
      <w:divBdr>
        <w:top w:val="none" w:sz="0" w:space="0" w:color="auto"/>
        <w:left w:val="none" w:sz="0" w:space="0" w:color="auto"/>
        <w:bottom w:val="none" w:sz="0" w:space="0" w:color="auto"/>
        <w:right w:val="none" w:sz="0" w:space="0" w:color="auto"/>
      </w:divBdr>
    </w:div>
    <w:div w:id="1494566247">
      <w:bodyDiv w:val="1"/>
      <w:marLeft w:val="0"/>
      <w:marRight w:val="0"/>
      <w:marTop w:val="0"/>
      <w:marBottom w:val="0"/>
      <w:divBdr>
        <w:top w:val="none" w:sz="0" w:space="0" w:color="auto"/>
        <w:left w:val="none" w:sz="0" w:space="0" w:color="auto"/>
        <w:bottom w:val="none" w:sz="0" w:space="0" w:color="auto"/>
        <w:right w:val="none" w:sz="0" w:space="0" w:color="auto"/>
      </w:divBdr>
    </w:div>
    <w:div w:id="1494639190">
      <w:bodyDiv w:val="1"/>
      <w:marLeft w:val="0"/>
      <w:marRight w:val="0"/>
      <w:marTop w:val="0"/>
      <w:marBottom w:val="0"/>
      <w:divBdr>
        <w:top w:val="none" w:sz="0" w:space="0" w:color="auto"/>
        <w:left w:val="none" w:sz="0" w:space="0" w:color="auto"/>
        <w:bottom w:val="none" w:sz="0" w:space="0" w:color="auto"/>
        <w:right w:val="none" w:sz="0" w:space="0" w:color="auto"/>
      </w:divBdr>
    </w:div>
    <w:div w:id="1494641668">
      <w:bodyDiv w:val="1"/>
      <w:marLeft w:val="0"/>
      <w:marRight w:val="0"/>
      <w:marTop w:val="0"/>
      <w:marBottom w:val="0"/>
      <w:divBdr>
        <w:top w:val="none" w:sz="0" w:space="0" w:color="auto"/>
        <w:left w:val="none" w:sz="0" w:space="0" w:color="auto"/>
        <w:bottom w:val="none" w:sz="0" w:space="0" w:color="auto"/>
        <w:right w:val="none" w:sz="0" w:space="0" w:color="auto"/>
      </w:divBdr>
    </w:div>
    <w:div w:id="1494756502">
      <w:bodyDiv w:val="1"/>
      <w:marLeft w:val="0"/>
      <w:marRight w:val="0"/>
      <w:marTop w:val="0"/>
      <w:marBottom w:val="0"/>
      <w:divBdr>
        <w:top w:val="none" w:sz="0" w:space="0" w:color="auto"/>
        <w:left w:val="none" w:sz="0" w:space="0" w:color="auto"/>
        <w:bottom w:val="none" w:sz="0" w:space="0" w:color="auto"/>
        <w:right w:val="none" w:sz="0" w:space="0" w:color="auto"/>
      </w:divBdr>
    </w:div>
    <w:div w:id="1494762669">
      <w:bodyDiv w:val="1"/>
      <w:marLeft w:val="0"/>
      <w:marRight w:val="0"/>
      <w:marTop w:val="0"/>
      <w:marBottom w:val="0"/>
      <w:divBdr>
        <w:top w:val="none" w:sz="0" w:space="0" w:color="auto"/>
        <w:left w:val="none" w:sz="0" w:space="0" w:color="auto"/>
        <w:bottom w:val="none" w:sz="0" w:space="0" w:color="auto"/>
        <w:right w:val="none" w:sz="0" w:space="0" w:color="auto"/>
      </w:divBdr>
    </w:div>
    <w:div w:id="1494833155">
      <w:bodyDiv w:val="1"/>
      <w:marLeft w:val="0"/>
      <w:marRight w:val="0"/>
      <w:marTop w:val="0"/>
      <w:marBottom w:val="0"/>
      <w:divBdr>
        <w:top w:val="none" w:sz="0" w:space="0" w:color="auto"/>
        <w:left w:val="none" w:sz="0" w:space="0" w:color="auto"/>
        <w:bottom w:val="none" w:sz="0" w:space="0" w:color="auto"/>
        <w:right w:val="none" w:sz="0" w:space="0" w:color="auto"/>
      </w:divBdr>
    </w:div>
    <w:div w:id="1494907383">
      <w:bodyDiv w:val="1"/>
      <w:marLeft w:val="0"/>
      <w:marRight w:val="0"/>
      <w:marTop w:val="0"/>
      <w:marBottom w:val="0"/>
      <w:divBdr>
        <w:top w:val="none" w:sz="0" w:space="0" w:color="auto"/>
        <w:left w:val="none" w:sz="0" w:space="0" w:color="auto"/>
        <w:bottom w:val="none" w:sz="0" w:space="0" w:color="auto"/>
        <w:right w:val="none" w:sz="0" w:space="0" w:color="auto"/>
      </w:divBdr>
    </w:div>
    <w:div w:id="1495074461">
      <w:bodyDiv w:val="1"/>
      <w:marLeft w:val="0"/>
      <w:marRight w:val="0"/>
      <w:marTop w:val="0"/>
      <w:marBottom w:val="0"/>
      <w:divBdr>
        <w:top w:val="none" w:sz="0" w:space="0" w:color="auto"/>
        <w:left w:val="none" w:sz="0" w:space="0" w:color="auto"/>
        <w:bottom w:val="none" w:sz="0" w:space="0" w:color="auto"/>
        <w:right w:val="none" w:sz="0" w:space="0" w:color="auto"/>
      </w:divBdr>
    </w:div>
    <w:div w:id="1495143039">
      <w:bodyDiv w:val="1"/>
      <w:marLeft w:val="0"/>
      <w:marRight w:val="0"/>
      <w:marTop w:val="0"/>
      <w:marBottom w:val="0"/>
      <w:divBdr>
        <w:top w:val="none" w:sz="0" w:space="0" w:color="auto"/>
        <w:left w:val="none" w:sz="0" w:space="0" w:color="auto"/>
        <w:bottom w:val="none" w:sz="0" w:space="0" w:color="auto"/>
        <w:right w:val="none" w:sz="0" w:space="0" w:color="auto"/>
      </w:divBdr>
    </w:div>
    <w:div w:id="1495218944">
      <w:bodyDiv w:val="1"/>
      <w:marLeft w:val="0"/>
      <w:marRight w:val="0"/>
      <w:marTop w:val="0"/>
      <w:marBottom w:val="0"/>
      <w:divBdr>
        <w:top w:val="none" w:sz="0" w:space="0" w:color="auto"/>
        <w:left w:val="none" w:sz="0" w:space="0" w:color="auto"/>
        <w:bottom w:val="none" w:sz="0" w:space="0" w:color="auto"/>
        <w:right w:val="none" w:sz="0" w:space="0" w:color="auto"/>
      </w:divBdr>
    </w:div>
    <w:div w:id="1495222482">
      <w:bodyDiv w:val="1"/>
      <w:marLeft w:val="0"/>
      <w:marRight w:val="0"/>
      <w:marTop w:val="0"/>
      <w:marBottom w:val="0"/>
      <w:divBdr>
        <w:top w:val="none" w:sz="0" w:space="0" w:color="auto"/>
        <w:left w:val="none" w:sz="0" w:space="0" w:color="auto"/>
        <w:bottom w:val="none" w:sz="0" w:space="0" w:color="auto"/>
        <w:right w:val="none" w:sz="0" w:space="0" w:color="auto"/>
      </w:divBdr>
    </w:div>
    <w:div w:id="1495224503">
      <w:bodyDiv w:val="1"/>
      <w:marLeft w:val="0"/>
      <w:marRight w:val="0"/>
      <w:marTop w:val="0"/>
      <w:marBottom w:val="0"/>
      <w:divBdr>
        <w:top w:val="none" w:sz="0" w:space="0" w:color="auto"/>
        <w:left w:val="none" w:sz="0" w:space="0" w:color="auto"/>
        <w:bottom w:val="none" w:sz="0" w:space="0" w:color="auto"/>
        <w:right w:val="none" w:sz="0" w:space="0" w:color="auto"/>
      </w:divBdr>
    </w:div>
    <w:div w:id="1495411511">
      <w:bodyDiv w:val="1"/>
      <w:marLeft w:val="0"/>
      <w:marRight w:val="0"/>
      <w:marTop w:val="0"/>
      <w:marBottom w:val="0"/>
      <w:divBdr>
        <w:top w:val="none" w:sz="0" w:space="0" w:color="auto"/>
        <w:left w:val="none" w:sz="0" w:space="0" w:color="auto"/>
        <w:bottom w:val="none" w:sz="0" w:space="0" w:color="auto"/>
        <w:right w:val="none" w:sz="0" w:space="0" w:color="auto"/>
      </w:divBdr>
    </w:div>
    <w:div w:id="1495411825">
      <w:bodyDiv w:val="1"/>
      <w:marLeft w:val="0"/>
      <w:marRight w:val="0"/>
      <w:marTop w:val="0"/>
      <w:marBottom w:val="0"/>
      <w:divBdr>
        <w:top w:val="none" w:sz="0" w:space="0" w:color="auto"/>
        <w:left w:val="none" w:sz="0" w:space="0" w:color="auto"/>
        <w:bottom w:val="none" w:sz="0" w:space="0" w:color="auto"/>
        <w:right w:val="none" w:sz="0" w:space="0" w:color="auto"/>
      </w:divBdr>
    </w:div>
    <w:div w:id="1495418835">
      <w:bodyDiv w:val="1"/>
      <w:marLeft w:val="0"/>
      <w:marRight w:val="0"/>
      <w:marTop w:val="0"/>
      <w:marBottom w:val="0"/>
      <w:divBdr>
        <w:top w:val="none" w:sz="0" w:space="0" w:color="auto"/>
        <w:left w:val="none" w:sz="0" w:space="0" w:color="auto"/>
        <w:bottom w:val="none" w:sz="0" w:space="0" w:color="auto"/>
        <w:right w:val="none" w:sz="0" w:space="0" w:color="auto"/>
      </w:divBdr>
    </w:div>
    <w:div w:id="1495532728">
      <w:bodyDiv w:val="1"/>
      <w:marLeft w:val="0"/>
      <w:marRight w:val="0"/>
      <w:marTop w:val="0"/>
      <w:marBottom w:val="0"/>
      <w:divBdr>
        <w:top w:val="none" w:sz="0" w:space="0" w:color="auto"/>
        <w:left w:val="none" w:sz="0" w:space="0" w:color="auto"/>
        <w:bottom w:val="none" w:sz="0" w:space="0" w:color="auto"/>
        <w:right w:val="none" w:sz="0" w:space="0" w:color="auto"/>
      </w:divBdr>
    </w:div>
    <w:div w:id="1495535372">
      <w:bodyDiv w:val="1"/>
      <w:marLeft w:val="0"/>
      <w:marRight w:val="0"/>
      <w:marTop w:val="0"/>
      <w:marBottom w:val="0"/>
      <w:divBdr>
        <w:top w:val="none" w:sz="0" w:space="0" w:color="auto"/>
        <w:left w:val="none" w:sz="0" w:space="0" w:color="auto"/>
        <w:bottom w:val="none" w:sz="0" w:space="0" w:color="auto"/>
        <w:right w:val="none" w:sz="0" w:space="0" w:color="auto"/>
      </w:divBdr>
    </w:div>
    <w:div w:id="1495603656">
      <w:bodyDiv w:val="1"/>
      <w:marLeft w:val="0"/>
      <w:marRight w:val="0"/>
      <w:marTop w:val="0"/>
      <w:marBottom w:val="0"/>
      <w:divBdr>
        <w:top w:val="none" w:sz="0" w:space="0" w:color="auto"/>
        <w:left w:val="none" w:sz="0" w:space="0" w:color="auto"/>
        <w:bottom w:val="none" w:sz="0" w:space="0" w:color="auto"/>
        <w:right w:val="none" w:sz="0" w:space="0" w:color="auto"/>
      </w:divBdr>
    </w:div>
    <w:div w:id="1495683820">
      <w:bodyDiv w:val="1"/>
      <w:marLeft w:val="0"/>
      <w:marRight w:val="0"/>
      <w:marTop w:val="0"/>
      <w:marBottom w:val="0"/>
      <w:divBdr>
        <w:top w:val="none" w:sz="0" w:space="0" w:color="auto"/>
        <w:left w:val="none" w:sz="0" w:space="0" w:color="auto"/>
        <w:bottom w:val="none" w:sz="0" w:space="0" w:color="auto"/>
        <w:right w:val="none" w:sz="0" w:space="0" w:color="auto"/>
      </w:divBdr>
    </w:div>
    <w:div w:id="1495798862">
      <w:bodyDiv w:val="1"/>
      <w:marLeft w:val="0"/>
      <w:marRight w:val="0"/>
      <w:marTop w:val="0"/>
      <w:marBottom w:val="0"/>
      <w:divBdr>
        <w:top w:val="none" w:sz="0" w:space="0" w:color="auto"/>
        <w:left w:val="none" w:sz="0" w:space="0" w:color="auto"/>
        <w:bottom w:val="none" w:sz="0" w:space="0" w:color="auto"/>
        <w:right w:val="none" w:sz="0" w:space="0" w:color="auto"/>
      </w:divBdr>
    </w:div>
    <w:div w:id="1496064868">
      <w:bodyDiv w:val="1"/>
      <w:marLeft w:val="0"/>
      <w:marRight w:val="0"/>
      <w:marTop w:val="0"/>
      <w:marBottom w:val="0"/>
      <w:divBdr>
        <w:top w:val="none" w:sz="0" w:space="0" w:color="auto"/>
        <w:left w:val="none" w:sz="0" w:space="0" w:color="auto"/>
        <w:bottom w:val="none" w:sz="0" w:space="0" w:color="auto"/>
        <w:right w:val="none" w:sz="0" w:space="0" w:color="auto"/>
      </w:divBdr>
    </w:div>
    <w:div w:id="1496146094">
      <w:bodyDiv w:val="1"/>
      <w:marLeft w:val="0"/>
      <w:marRight w:val="0"/>
      <w:marTop w:val="0"/>
      <w:marBottom w:val="0"/>
      <w:divBdr>
        <w:top w:val="none" w:sz="0" w:space="0" w:color="auto"/>
        <w:left w:val="none" w:sz="0" w:space="0" w:color="auto"/>
        <w:bottom w:val="none" w:sz="0" w:space="0" w:color="auto"/>
        <w:right w:val="none" w:sz="0" w:space="0" w:color="auto"/>
      </w:divBdr>
    </w:div>
    <w:div w:id="1496188899">
      <w:bodyDiv w:val="1"/>
      <w:marLeft w:val="0"/>
      <w:marRight w:val="0"/>
      <w:marTop w:val="0"/>
      <w:marBottom w:val="0"/>
      <w:divBdr>
        <w:top w:val="none" w:sz="0" w:space="0" w:color="auto"/>
        <w:left w:val="none" w:sz="0" w:space="0" w:color="auto"/>
        <w:bottom w:val="none" w:sz="0" w:space="0" w:color="auto"/>
        <w:right w:val="none" w:sz="0" w:space="0" w:color="auto"/>
      </w:divBdr>
    </w:div>
    <w:div w:id="1496216704">
      <w:bodyDiv w:val="1"/>
      <w:marLeft w:val="0"/>
      <w:marRight w:val="0"/>
      <w:marTop w:val="0"/>
      <w:marBottom w:val="0"/>
      <w:divBdr>
        <w:top w:val="none" w:sz="0" w:space="0" w:color="auto"/>
        <w:left w:val="none" w:sz="0" w:space="0" w:color="auto"/>
        <w:bottom w:val="none" w:sz="0" w:space="0" w:color="auto"/>
        <w:right w:val="none" w:sz="0" w:space="0" w:color="auto"/>
      </w:divBdr>
    </w:div>
    <w:div w:id="1496258424">
      <w:bodyDiv w:val="1"/>
      <w:marLeft w:val="0"/>
      <w:marRight w:val="0"/>
      <w:marTop w:val="0"/>
      <w:marBottom w:val="0"/>
      <w:divBdr>
        <w:top w:val="none" w:sz="0" w:space="0" w:color="auto"/>
        <w:left w:val="none" w:sz="0" w:space="0" w:color="auto"/>
        <w:bottom w:val="none" w:sz="0" w:space="0" w:color="auto"/>
        <w:right w:val="none" w:sz="0" w:space="0" w:color="auto"/>
      </w:divBdr>
    </w:div>
    <w:div w:id="1496263867">
      <w:bodyDiv w:val="1"/>
      <w:marLeft w:val="0"/>
      <w:marRight w:val="0"/>
      <w:marTop w:val="0"/>
      <w:marBottom w:val="0"/>
      <w:divBdr>
        <w:top w:val="none" w:sz="0" w:space="0" w:color="auto"/>
        <w:left w:val="none" w:sz="0" w:space="0" w:color="auto"/>
        <w:bottom w:val="none" w:sz="0" w:space="0" w:color="auto"/>
        <w:right w:val="none" w:sz="0" w:space="0" w:color="auto"/>
      </w:divBdr>
    </w:div>
    <w:div w:id="1496264910">
      <w:bodyDiv w:val="1"/>
      <w:marLeft w:val="0"/>
      <w:marRight w:val="0"/>
      <w:marTop w:val="0"/>
      <w:marBottom w:val="0"/>
      <w:divBdr>
        <w:top w:val="none" w:sz="0" w:space="0" w:color="auto"/>
        <w:left w:val="none" w:sz="0" w:space="0" w:color="auto"/>
        <w:bottom w:val="none" w:sz="0" w:space="0" w:color="auto"/>
        <w:right w:val="none" w:sz="0" w:space="0" w:color="auto"/>
      </w:divBdr>
    </w:div>
    <w:div w:id="1496336439">
      <w:bodyDiv w:val="1"/>
      <w:marLeft w:val="0"/>
      <w:marRight w:val="0"/>
      <w:marTop w:val="0"/>
      <w:marBottom w:val="0"/>
      <w:divBdr>
        <w:top w:val="none" w:sz="0" w:space="0" w:color="auto"/>
        <w:left w:val="none" w:sz="0" w:space="0" w:color="auto"/>
        <w:bottom w:val="none" w:sz="0" w:space="0" w:color="auto"/>
        <w:right w:val="none" w:sz="0" w:space="0" w:color="auto"/>
      </w:divBdr>
    </w:div>
    <w:div w:id="1496452485">
      <w:bodyDiv w:val="1"/>
      <w:marLeft w:val="0"/>
      <w:marRight w:val="0"/>
      <w:marTop w:val="0"/>
      <w:marBottom w:val="0"/>
      <w:divBdr>
        <w:top w:val="none" w:sz="0" w:space="0" w:color="auto"/>
        <w:left w:val="none" w:sz="0" w:space="0" w:color="auto"/>
        <w:bottom w:val="none" w:sz="0" w:space="0" w:color="auto"/>
        <w:right w:val="none" w:sz="0" w:space="0" w:color="auto"/>
      </w:divBdr>
    </w:div>
    <w:div w:id="1496536006">
      <w:bodyDiv w:val="1"/>
      <w:marLeft w:val="0"/>
      <w:marRight w:val="0"/>
      <w:marTop w:val="0"/>
      <w:marBottom w:val="0"/>
      <w:divBdr>
        <w:top w:val="none" w:sz="0" w:space="0" w:color="auto"/>
        <w:left w:val="none" w:sz="0" w:space="0" w:color="auto"/>
        <w:bottom w:val="none" w:sz="0" w:space="0" w:color="auto"/>
        <w:right w:val="none" w:sz="0" w:space="0" w:color="auto"/>
      </w:divBdr>
    </w:div>
    <w:div w:id="1496726310">
      <w:bodyDiv w:val="1"/>
      <w:marLeft w:val="0"/>
      <w:marRight w:val="0"/>
      <w:marTop w:val="0"/>
      <w:marBottom w:val="0"/>
      <w:divBdr>
        <w:top w:val="none" w:sz="0" w:space="0" w:color="auto"/>
        <w:left w:val="none" w:sz="0" w:space="0" w:color="auto"/>
        <w:bottom w:val="none" w:sz="0" w:space="0" w:color="auto"/>
        <w:right w:val="none" w:sz="0" w:space="0" w:color="auto"/>
      </w:divBdr>
    </w:div>
    <w:div w:id="1496803334">
      <w:bodyDiv w:val="1"/>
      <w:marLeft w:val="0"/>
      <w:marRight w:val="0"/>
      <w:marTop w:val="0"/>
      <w:marBottom w:val="0"/>
      <w:divBdr>
        <w:top w:val="none" w:sz="0" w:space="0" w:color="auto"/>
        <w:left w:val="none" w:sz="0" w:space="0" w:color="auto"/>
        <w:bottom w:val="none" w:sz="0" w:space="0" w:color="auto"/>
        <w:right w:val="none" w:sz="0" w:space="0" w:color="auto"/>
      </w:divBdr>
    </w:div>
    <w:div w:id="1496914561">
      <w:bodyDiv w:val="1"/>
      <w:marLeft w:val="0"/>
      <w:marRight w:val="0"/>
      <w:marTop w:val="0"/>
      <w:marBottom w:val="0"/>
      <w:divBdr>
        <w:top w:val="none" w:sz="0" w:space="0" w:color="auto"/>
        <w:left w:val="none" w:sz="0" w:space="0" w:color="auto"/>
        <w:bottom w:val="none" w:sz="0" w:space="0" w:color="auto"/>
        <w:right w:val="none" w:sz="0" w:space="0" w:color="auto"/>
      </w:divBdr>
    </w:div>
    <w:div w:id="1496918458">
      <w:bodyDiv w:val="1"/>
      <w:marLeft w:val="0"/>
      <w:marRight w:val="0"/>
      <w:marTop w:val="0"/>
      <w:marBottom w:val="0"/>
      <w:divBdr>
        <w:top w:val="none" w:sz="0" w:space="0" w:color="auto"/>
        <w:left w:val="none" w:sz="0" w:space="0" w:color="auto"/>
        <w:bottom w:val="none" w:sz="0" w:space="0" w:color="auto"/>
        <w:right w:val="none" w:sz="0" w:space="0" w:color="auto"/>
      </w:divBdr>
    </w:div>
    <w:div w:id="1496995814">
      <w:bodyDiv w:val="1"/>
      <w:marLeft w:val="0"/>
      <w:marRight w:val="0"/>
      <w:marTop w:val="0"/>
      <w:marBottom w:val="0"/>
      <w:divBdr>
        <w:top w:val="none" w:sz="0" w:space="0" w:color="auto"/>
        <w:left w:val="none" w:sz="0" w:space="0" w:color="auto"/>
        <w:bottom w:val="none" w:sz="0" w:space="0" w:color="auto"/>
        <w:right w:val="none" w:sz="0" w:space="0" w:color="auto"/>
      </w:divBdr>
    </w:div>
    <w:div w:id="1497064604">
      <w:bodyDiv w:val="1"/>
      <w:marLeft w:val="0"/>
      <w:marRight w:val="0"/>
      <w:marTop w:val="0"/>
      <w:marBottom w:val="0"/>
      <w:divBdr>
        <w:top w:val="none" w:sz="0" w:space="0" w:color="auto"/>
        <w:left w:val="none" w:sz="0" w:space="0" w:color="auto"/>
        <w:bottom w:val="none" w:sz="0" w:space="0" w:color="auto"/>
        <w:right w:val="none" w:sz="0" w:space="0" w:color="auto"/>
      </w:divBdr>
    </w:div>
    <w:div w:id="1497108166">
      <w:bodyDiv w:val="1"/>
      <w:marLeft w:val="0"/>
      <w:marRight w:val="0"/>
      <w:marTop w:val="0"/>
      <w:marBottom w:val="0"/>
      <w:divBdr>
        <w:top w:val="none" w:sz="0" w:space="0" w:color="auto"/>
        <w:left w:val="none" w:sz="0" w:space="0" w:color="auto"/>
        <w:bottom w:val="none" w:sz="0" w:space="0" w:color="auto"/>
        <w:right w:val="none" w:sz="0" w:space="0" w:color="auto"/>
      </w:divBdr>
    </w:div>
    <w:div w:id="1497259591">
      <w:bodyDiv w:val="1"/>
      <w:marLeft w:val="0"/>
      <w:marRight w:val="0"/>
      <w:marTop w:val="0"/>
      <w:marBottom w:val="0"/>
      <w:divBdr>
        <w:top w:val="none" w:sz="0" w:space="0" w:color="auto"/>
        <w:left w:val="none" w:sz="0" w:space="0" w:color="auto"/>
        <w:bottom w:val="none" w:sz="0" w:space="0" w:color="auto"/>
        <w:right w:val="none" w:sz="0" w:space="0" w:color="auto"/>
      </w:divBdr>
    </w:div>
    <w:div w:id="1497266841">
      <w:bodyDiv w:val="1"/>
      <w:marLeft w:val="0"/>
      <w:marRight w:val="0"/>
      <w:marTop w:val="0"/>
      <w:marBottom w:val="0"/>
      <w:divBdr>
        <w:top w:val="none" w:sz="0" w:space="0" w:color="auto"/>
        <w:left w:val="none" w:sz="0" w:space="0" w:color="auto"/>
        <w:bottom w:val="none" w:sz="0" w:space="0" w:color="auto"/>
        <w:right w:val="none" w:sz="0" w:space="0" w:color="auto"/>
      </w:divBdr>
    </w:div>
    <w:div w:id="1497303097">
      <w:bodyDiv w:val="1"/>
      <w:marLeft w:val="0"/>
      <w:marRight w:val="0"/>
      <w:marTop w:val="0"/>
      <w:marBottom w:val="0"/>
      <w:divBdr>
        <w:top w:val="none" w:sz="0" w:space="0" w:color="auto"/>
        <w:left w:val="none" w:sz="0" w:space="0" w:color="auto"/>
        <w:bottom w:val="none" w:sz="0" w:space="0" w:color="auto"/>
        <w:right w:val="none" w:sz="0" w:space="0" w:color="auto"/>
      </w:divBdr>
    </w:div>
    <w:div w:id="1497382225">
      <w:bodyDiv w:val="1"/>
      <w:marLeft w:val="0"/>
      <w:marRight w:val="0"/>
      <w:marTop w:val="0"/>
      <w:marBottom w:val="0"/>
      <w:divBdr>
        <w:top w:val="none" w:sz="0" w:space="0" w:color="auto"/>
        <w:left w:val="none" w:sz="0" w:space="0" w:color="auto"/>
        <w:bottom w:val="none" w:sz="0" w:space="0" w:color="auto"/>
        <w:right w:val="none" w:sz="0" w:space="0" w:color="auto"/>
      </w:divBdr>
    </w:div>
    <w:div w:id="1497502987">
      <w:bodyDiv w:val="1"/>
      <w:marLeft w:val="0"/>
      <w:marRight w:val="0"/>
      <w:marTop w:val="0"/>
      <w:marBottom w:val="0"/>
      <w:divBdr>
        <w:top w:val="none" w:sz="0" w:space="0" w:color="auto"/>
        <w:left w:val="none" w:sz="0" w:space="0" w:color="auto"/>
        <w:bottom w:val="none" w:sz="0" w:space="0" w:color="auto"/>
        <w:right w:val="none" w:sz="0" w:space="0" w:color="auto"/>
      </w:divBdr>
    </w:div>
    <w:div w:id="1497644030">
      <w:bodyDiv w:val="1"/>
      <w:marLeft w:val="0"/>
      <w:marRight w:val="0"/>
      <w:marTop w:val="0"/>
      <w:marBottom w:val="0"/>
      <w:divBdr>
        <w:top w:val="none" w:sz="0" w:space="0" w:color="auto"/>
        <w:left w:val="none" w:sz="0" w:space="0" w:color="auto"/>
        <w:bottom w:val="none" w:sz="0" w:space="0" w:color="auto"/>
        <w:right w:val="none" w:sz="0" w:space="0" w:color="auto"/>
      </w:divBdr>
    </w:div>
    <w:div w:id="1497653268">
      <w:bodyDiv w:val="1"/>
      <w:marLeft w:val="0"/>
      <w:marRight w:val="0"/>
      <w:marTop w:val="0"/>
      <w:marBottom w:val="0"/>
      <w:divBdr>
        <w:top w:val="none" w:sz="0" w:space="0" w:color="auto"/>
        <w:left w:val="none" w:sz="0" w:space="0" w:color="auto"/>
        <w:bottom w:val="none" w:sz="0" w:space="0" w:color="auto"/>
        <w:right w:val="none" w:sz="0" w:space="0" w:color="auto"/>
      </w:divBdr>
    </w:div>
    <w:div w:id="1497720138">
      <w:bodyDiv w:val="1"/>
      <w:marLeft w:val="0"/>
      <w:marRight w:val="0"/>
      <w:marTop w:val="0"/>
      <w:marBottom w:val="0"/>
      <w:divBdr>
        <w:top w:val="none" w:sz="0" w:space="0" w:color="auto"/>
        <w:left w:val="none" w:sz="0" w:space="0" w:color="auto"/>
        <w:bottom w:val="none" w:sz="0" w:space="0" w:color="auto"/>
        <w:right w:val="none" w:sz="0" w:space="0" w:color="auto"/>
      </w:divBdr>
    </w:div>
    <w:div w:id="1497724790">
      <w:bodyDiv w:val="1"/>
      <w:marLeft w:val="0"/>
      <w:marRight w:val="0"/>
      <w:marTop w:val="0"/>
      <w:marBottom w:val="0"/>
      <w:divBdr>
        <w:top w:val="none" w:sz="0" w:space="0" w:color="auto"/>
        <w:left w:val="none" w:sz="0" w:space="0" w:color="auto"/>
        <w:bottom w:val="none" w:sz="0" w:space="0" w:color="auto"/>
        <w:right w:val="none" w:sz="0" w:space="0" w:color="auto"/>
      </w:divBdr>
    </w:div>
    <w:div w:id="1497761881">
      <w:bodyDiv w:val="1"/>
      <w:marLeft w:val="0"/>
      <w:marRight w:val="0"/>
      <w:marTop w:val="0"/>
      <w:marBottom w:val="0"/>
      <w:divBdr>
        <w:top w:val="none" w:sz="0" w:space="0" w:color="auto"/>
        <w:left w:val="none" w:sz="0" w:space="0" w:color="auto"/>
        <w:bottom w:val="none" w:sz="0" w:space="0" w:color="auto"/>
        <w:right w:val="none" w:sz="0" w:space="0" w:color="auto"/>
      </w:divBdr>
    </w:div>
    <w:div w:id="1497844072">
      <w:bodyDiv w:val="1"/>
      <w:marLeft w:val="0"/>
      <w:marRight w:val="0"/>
      <w:marTop w:val="0"/>
      <w:marBottom w:val="0"/>
      <w:divBdr>
        <w:top w:val="none" w:sz="0" w:space="0" w:color="auto"/>
        <w:left w:val="none" w:sz="0" w:space="0" w:color="auto"/>
        <w:bottom w:val="none" w:sz="0" w:space="0" w:color="auto"/>
        <w:right w:val="none" w:sz="0" w:space="0" w:color="auto"/>
      </w:divBdr>
    </w:div>
    <w:div w:id="1498308766">
      <w:bodyDiv w:val="1"/>
      <w:marLeft w:val="0"/>
      <w:marRight w:val="0"/>
      <w:marTop w:val="0"/>
      <w:marBottom w:val="0"/>
      <w:divBdr>
        <w:top w:val="none" w:sz="0" w:space="0" w:color="auto"/>
        <w:left w:val="none" w:sz="0" w:space="0" w:color="auto"/>
        <w:bottom w:val="none" w:sz="0" w:space="0" w:color="auto"/>
        <w:right w:val="none" w:sz="0" w:space="0" w:color="auto"/>
      </w:divBdr>
    </w:div>
    <w:div w:id="1498350226">
      <w:bodyDiv w:val="1"/>
      <w:marLeft w:val="0"/>
      <w:marRight w:val="0"/>
      <w:marTop w:val="0"/>
      <w:marBottom w:val="0"/>
      <w:divBdr>
        <w:top w:val="none" w:sz="0" w:space="0" w:color="auto"/>
        <w:left w:val="none" w:sz="0" w:space="0" w:color="auto"/>
        <w:bottom w:val="none" w:sz="0" w:space="0" w:color="auto"/>
        <w:right w:val="none" w:sz="0" w:space="0" w:color="auto"/>
      </w:divBdr>
    </w:div>
    <w:div w:id="1498424085">
      <w:bodyDiv w:val="1"/>
      <w:marLeft w:val="0"/>
      <w:marRight w:val="0"/>
      <w:marTop w:val="0"/>
      <w:marBottom w:val="0"/>
      <w:divBdr>
        <w:top w:val="none" w:sz="0" w:space="0" w:color="auto"/>
        <w:left w:val="none" w:sz="0" w:space="0" w:color="auto"/>
        <w:bottom w:val="none" w:sz="0" w:space="0" w:color="auto"/>
        <w:right w:val="none" w:sz="0" w:space="0" w:color="auto"/>
      </w:divBdr>
    </w:div>
    <w:div w:id="1498499432">
      <w:bodyDiv w:val="1"/>
      <w:marLeft w:val="0"/>
      <w:marRight w:val="0"/>
      <w:marTop w:val="0"/>
      <w:marBottom w:val="0"/>
      <w:divBdr>
        <w:top w:val="none" w:sz="0" w:space="0" w:color="auto"/>
        <w:left w:val="none" w:sz="0" w:space="0" w:color="auto"/>
        <w:bottom w:val="none" w:sz="0" w:space="0" w:color="auto"/>
        <w:right w:val="none" w:sz="0" w:space="0" w:color="auto"/>
      </w:divBdr>
    </w:div>
    <w:div w:id="1498611827">
      <w:bodyDiv w:val="1"/>
      <w:marLeft w:val="0"/>
      <w:marRight w:val="0"/>
      <w:marTop w:val="0"/>
      <w:marBottom w:val="0"/>
      <w:divBdr>
        <w:top w:val="none" w:sz="0" w:space="0" w:color="auto"/>
        <w:left w:val="none" w:sz="0" w:space="0" w:color="auto"/>
        <w:bottom w:val="none" w:sz="0" w:space="0" w:color="auto"/>
        <w:right w:val="none" w:sz="0" w:space="0" w:color="auto"/>
      </w:divBdr>
    </w:div>
    <w:div w:id="1498614957">
      <w:bodyDiv w:val="1"/>
      <w:marLeft w:val="0"/>
      <w:marRight w:val="0"/>
      <w:marTop w:val="0"/>
      <w:marBottom w:val="0"/>
      <w:divBdr>
        <w:top w:val="none" w:sz="0" w:space="0" w:color="auto"/>
        <w:left w:val="none" w:sz="0" w:space="0" w:color="auto"/>
        <w:bottom w:val="none" w:sz="0" w:space="0" w:color="auto"/>
        <w:right w:val="none" w:sz="0" w:space="0" w:color="auto"/>
      </w:divBdr>
    </w:div>
    <w:div w:id="1498692262">
      <w:bodyDiv w:val="1"/>
      <w:marLeft w:val="0"/>
      <w:marRight w:val="0"/>
      <w:marTop w:val="0"/>
      <w:marBottom w:val="0"/>
      <w:divBdr>
        <w:top w:val="none" w:sz="0" w:space="0" w:color="auto"/>
        <w:left w:val="none" w:sz="0" w:space="0" w:color="auto"/>
        <w:bottom w:val="none" w:sz="0" w:space="0" w:color="auto"/>
        <w:right w:val="none" w:sz="0" w:space="0" w:color="auto"/>
      </w:divBdr>
    </w:div>
    <w:div w:id="1498693306">
      <w:bodyDiv w:val="1"/>
      <w:marLeft w:val="0"/>
      <w:marRight w:val="0"/>
      <w:marTop w:val="0"/>
      <w:marBottom w:val="0"/>
      <w:divBdr>
        <w:top w:val="none" w:sz="0" w:space="0" w:color="auto"/>
        <w:left w:val="none" w:sz="0" w:space="0" w:color="auto"/>
        <w:bottom w:val="none" w:sz="0" w:space="0" w:color="auto"/>
        <w:right w:val="none" w:sz="0" w:space="0" w:color="auto"/>
      </w:divBdr>
    </w:div>
    <w:div w:id="1498881415">
      <w:bodyDiv w:val="1"/>
      <w:marLeft w:val="0"/>
      <w:marRight w:val="0"/>
      <w:marTop w:val="0"/>
      <w:marBottom w:val="0"/>
      <w:divBdr>
        <w:top w:val="none" w:sz="0" w:space="0" w:color="auto"/>
        <w:left w:val="none" w:sz="0" w:space="0" w:color="auto"/>
        <w:bottom w:val="none" w:sz="0" w:space="0" w:color="auto"/>
        <w:right w:val="none" w:sz="0" w:space="0" w:color="auto"/>
      </w:divBdr>
    </w:div>
    <w:div w:id="1499005724">
      <w:bodyDiv w:val="1"/>
      <w:marLeft w:val="0"/>
      <w:marRight w:val="0"/>
      <w:marTop w:val="0"/>
      <w:marBottom w:val="0"/>
      <w:divBdr>
        <w:top w:val="none" w:sz="0" w:space="0" w:color="auto"/>
        <w:left w:val="none" w:sz="0" w:space="0" w:color="auto"/>
        <w:bottom w:val="none" w:sz="0" w:space="0" w:color="auto"/>
        <w:right w:val="none" w:sz="0" w:space="0" w:color="auto"/>
      </w:divBdr>
    </w:div>
    <w:div w:id="1499224508">
      <w:bodyDiv w:val="1"/>
      <w:marLeft w:val="0"/>
      <w:marRight w:val="0"/>
      <w:marTop w:val="0"/>
      <w:marBottom w:val="0"/>
      <w:divBdr>
        <w:top w:val="none" w:sz="0" w:space="0" w:color="auto"/>
        <w:left w:val="none" w:sz="0" w:space="0" w:color="auto"/>
        <w:bottom w:val="none" w:sz="0" w:space="0" w:color="auto"/>
        <w:right w:val="none" w:sz="0" w:space="0" w:color="auto"/>
      </w:divBdr>
    </w:div>
    <w:div w:id="1499274440">
      <w:bodyDiv w:val="1"/>
      <w:marLeft w:val="0"/>
      <w:marRight w:val="0"/>
      <w:marTop w:val="0"/>
      <w:marBottom w:val="0"/>
      <w:divBdr>
        <w:top w:val="none" w:sz="0" w:space="0" w:color="auto"/>
        <w:left w:val="none" w:sz="0" w:space="0" w:color="auto"/>
        <w:bottom w:val="none" w:sz="0" w:space="0" w:color="auto"/>
        <w:right w:val="none" w:sz="0" w:space="0" w:color="auto"/>
      </w:divBdr>
    </w:div>
    <w:div w:id="1499343133">
      <w:bodyDiv w:val="1"/>
      <w:marLeft w:val="0"/>
      <w:marRight w:val="0"/>
      <w:marTop w:val="0"/>
      <w:marBottom w:val="0"/>
      <w:divBdr>
        <w:top w:val="none" w:sz="0" w:space="0" w:color="auto"/>
        <w:left w:val="none" w:sz="0" w:space="0" w:color="auto"/>
        <w:bottom w:val="none" w:sz="0" w:space="0" w:color="auto"/>
        <w:right w:val="none" w:sz="0" w:space="0" w:color="auto"/>
      </w:divBdr>
    </w:div>
    <w:div w:id="1499421645">
      <w:bodyDiv w:val="1"/>
      <w:marLeft w:val="0"/>
      <w:marRight w:val="0"/>
      <w:marTop w:val="0"/>
      <w:marBottom w:val="0"/>
      <w:divBdr>
        <w:top w:val="none" w:sz="0" w:space="0" w:color="auto"/>
        <w:left w:val="none" w:sz="0" w:space="0" w:color="auto"/>
        <w:bottom w:val="none" w:sz="0" w:space="0" w:color="auto"/>
        <w:right w:val="none" w:sz="0" w:space="0" w:color="auto"/>
      </w:divBdr>
    </w:div>
    <w:div w:id="1499539523">
      <w:bodyDiv w:val="1"/>
      <w:marLeft w:val="0"/>
      <w:marRight w:val="0"/>
      <w:marTop w:val="0"/>
      <w:marBottom w:val="0"/>
      <w:divBdr>
        <w:top w:val="none" w:sz="0" w:space="0" w:color="auto"/>
        <w:left w:val="none" w:sz="0" w:space="0" w:color="auto"/>
        <w:bottom w:val="none" w:sz="0" w:space="0" w:color="auto"/>
        <w:right w:val="none" w:sz="0" w:space="0" w:color="auto"/>
      </w:divBdr>
    </w:div>
    <w:div w:id="1499541592">
      <w:bodyDiv w:val="1"/>
      <w:marLeft w:val="0"/>
      <w:marRight w:val="0"/>
      <w:marTop w:val="0"/>
      <w:marBottom w:val="0"/>
      <w:divBdr>
        <w:top w:val="none" w:sz="0" w:space="0" w:color="auto"/>
        <w:left w:val="none" w:sz="0" w:space="0" w:color="auto"/>
        <w:bottom w:val="none" w:sz="0" w:space="0" w:color="auto"/>
        <w:right w:val="none" w:sz="0" w:space="0" w:color="auto"/>
      </w:divBdr>
    </w:div>
    <w:div w:id="1499614760">
      <w:bodyDiv w:val="1"/>
      <w:marLeft w:val="0"/>
      <w:marRight w:val="0"/>
      <w:marTop w:val="0"/>
      <w:marBottom w:val="0"/>
      <w:divBdr>
        <w:top w:val="none" w:sz="0" w:space="0" w:color="auto"/>
        <w:left w:val="none" w:sz="0" w:space="0" w:color="auto"/>
        <w:bottom w:val="none" w:sz="0" w:space="0" w:color="auto"/>
        <w:right w:val="none" w:sz="0" w:space="0" w:color="auto"/>
      </w:divBdr>
    </w:div>
    <w:div w:id="1499730659">
      <w:bodyDiv w:val="1"/>
      <w:marLeft w:val="0"/>
      <w:marRight w:val="0"/>
      <w:marTop w:val="0"/>
      <w:marBottom w:val="0"/>
      <w:divBdr>
        <w:top w:val="none" w:sz="0" w:space="0" w:color="auto"/>
        <w:left w:val="none" w:sz="0" w:space="0" w:color="auto"/>
        <w:bottom w:val="none" w:sz="0" w:space="0" w:color="auto"/>
        <w:right w:val="none" w:sz="0" w:space="0" w:color="auto"/>
      </w:divBdr>
    </w:div>
    <w:div w:id="1499731679">
      <w:bodyDiv w:val="1"/>
      <w:marLeft w:val="0"/>
      <w:marRight w:val="0"/>
      <w:marTop w:val="0"/>
      <w:marBottom w:val="0"/>
      <w:divBdr>
        <w:top w:val="none" w:sz="0" w:space="0" w:color="auto"/>
        <w:left w:val="none" w:sz="0" w:space="0" w:color="auto"/>
        <w:bottom w:val="none" w:sz="0" w:space="0" w:color="auto"/>
        <w:right w:val="none" w:sz="0" w:space="0" w:color="auto"/>
      </w:divBdr>
    </w:div>
    <w:div w:id="1499732802">
      <w:bodyDiv w:val="1"/>
      <w:marLeft w:val="0"/>
      <w:marRight w:val="0"/>
      <w:marTop w:val="0"/>
      <w:marBottom w:val="0"/>
      <w:divBdr>
        <w:top w:val="none" w:sz="0" w:space="0" w:color="auto"/>
        <w:left w:val="none" w:sz="0" w:space="0" w:color="auto"/>
        <w:bottom w:val="none" w:sz="0" w:space="0" w:color="auto"/>
        <w:right w:val="none" w:sz="0" w:space="0" w:color="auto"/>
      </w:divBdr>
    </w:div>
    <w:div w:id="1499883102">
      <w:bodyDiv w:val="1"/>
      <w:marLeft w:val="0"/>
      <w:marRight w:val="0"/>
      <w:marTop w:val="0"/>
      <w:marBottom w:val="0"/>
      <w:divBdr>
        <w:top w:val="none" w:sz="0" w:space="0" w:color="auto"/>
        <w:left w:val="none" w:sz="0" w:space="0" w:color="auto"/>
        <w:bottom w:val="none" w:sz="0" w:space="0" w:color="auto"/>
        <w:right w:val="none" w:sz="0" w:space="0" w:color="auto"/>
      </w:divBdr>
    </w:div>
    <w:div w:id="1499923391">
      <w:bodyDiv w:val="1"/>
      <w:marLeft w:val="0"/>
      <w:marRight w:val="0"/>
      <w:marTop w:val="0"/>
      <w:marBottom w:val="0"/>
      <w:divBdr>
        <w:top w:val="none" w:sz="0" w:space="0" w:color="auto"/>
        <w:left w:val="none" w:sz="0" w:space="0" w:color="auto"/>
        <w:bottom w:val="none" w:sz="0" w:space="0" w:color="auto"/>
        <w:right w:val="none" w:sz="0" w:space="0" w:color="auto"/>
      </w:divBdr>
    </w:div>
    <w:div w:id="1499924145">
      <w:bodyDiv w:val="1"/>
      <w:marLeft w:val="0"/>
      <w:marRight w:val="0"/>
      <w:marTop w:val="0"/>
      <w:marBottom w:val="0"/>
      <w:divBdr>
        <w:top w:val="none" w:sz="0" w:space="0" w:color="auto"/>
        <w:left w:val="none" w:sz="0" w:space="0" w:color="auto"/>
        <w:bottom w:val="none" w:sz="0" w:space="0" w:color="auto"/>
        <w:right w:val="none" w:sz="0" w:space="0" w:color="auto"/>
      </w:divBdr>
    </w:div>
    <w:div w:id="1499955091">
      <w:bodyDiv w:val="1"/>
      <w:marLeft w:val="0"/>
      <w:marRight w:val="0"/>
      <w:marTop w:val="0"/>
      <w:marBottom w:val="0"/>
      <w:divBdr>
        <w:top w:val="none" w:sz="0" w:space="0" w:color="auto"/>
        <w:left w:val="none" w:sz="0" w:space="0" w:color="auto"/>
        <w:bottom w:val="none" w:sz="0" w:space="0" w:color="auto"/>
        <w:right w:val="none" w:sz="0" w:space="0" w:color="auto"/>
      </w:divBdr>
    </w:div>
    <w:div w:id="1500080723">
      <w:bodyDiv w:val="1"/>
      <w:marLeft w:val="0"/>
      <w:marRight w:val="0"/>
      <w:marTop w:val="0"/>
      <w:marBottom w:val="0"/>
      <w:divBdr>
        <w:top w:val="none" w:sz="0" w:space="0" w:color="auto"/>
        <w:left w:val="none" w:sz="0" w:space="0" w:color="auto"/>
        <w:bottom w:val="none" w:sz="0" w:space="0" w:color="auto"/>
        <w:right w:val="none" w:sz="0" w:space="0" w:color="auto"/>
      </w:divBdr>
    </w:div>
    <w:div w:id="1500266035">
      <w:bodyDiv w:val="1"/>
      <w:marLeft w:val="0"/>
      <w:marRight w:val="0"/>
      <w:marTop w:val="0"/>
      <w:marBottom w:val="0"/>
      <w:divBdr>
        <w:top w:val="none" w:sz="0" w:space="0" w:color="auto"/>
        <w:left w:val="none" w:sz="0" w:space="0" w:color="auto"/>
        <w:bottom w:val="none" w:sz="0" w:space="0" w:color="auto"/>
        <w:right w:val="none" w:sz="0" w:space="0" w:color="auto"/>
      </w:divBdr>
    </w:div>
    <w:div w:id="1500343940">
      <w:bodyDiv w:val="1"/>
      <w:marLeft w:val="0"/>
      <w:marRight w:val="0"/>
      <w:marTop w:val="0"/>
      <w:marBottom w:val="0"/>
      <w:divBdr>
        <w:top w:val="none" w:sz="0" w:space="0" w:color="auto"/>
        <w:left w:val="none" w:sz="0" w:space="0" w:color="auto"/>
        <w:bottom w:val="none" w:sz="0" w:space="0" w:color="auto"/>
        <w:right w:val="none" w:sz="0" w:space="0" w:color="auto"/>
      </w:divBdr>
    </w:div>
    <w:div w:id="1500384923">
      <w:bodyDiv w:val="1"/>
      <w:marLeft w:val="0"/>
      <w:marRight w:val="0"/>
      <w:marTop w:val="0"/>
      <w:marBottom w:val="0"/>
      <w:divBdr>
        <w:top w:val="none" w:sz="0" w:space="0" w:color="auto"/>
        <w:left w:val="none" w:sz="0" w:space="0" w:color="auto"/>
        <w:bottom w:val="none" w:sz="0" w:space="0" w:color="auto"/>
        <w:right w:val="none" w:sz="0" w:space="0" w:color="auto"/>
      </w:divBdr>
    </w:div>
    <w:div w:id="1500385911">
      <w:bodyDiv w:val="1"/>
      <w:marLeft w:val="0"/>
      <w:marRight w:val="0"/>
      <w:marTop w:val="0"/>
      <w:marBottom w:val="0"/>
      <w:divBdr>
        <w:top w:val="none" w:sz="0" w:space="0" w:color="auto"/>
        <w:left w:val="none" w:sz="0" w:space="0" w:color="auto"/>
        <w:bottom w:val="none" w:sz="0" w:space="0" w:color="auto"/>
        <w:right w:val="none" w:sz="0" w:space="0" w:color="auto"/>
      </w:divBdr>
    </w:div>
    <w:div w:id="1500656304">
      <w:bodyDiv w:val="1"/>
      <w:marLeft w:val="0"/>
      <w:marRight w:val="0"/>
      <w:marTop w:val="0"/>
      <w:marBottom w:val="0"/>
      <w:divBdr>
        <w:top w:val="none" w:sz="0" w:space="0" w:color="auto"/>
        <w:left w:val="none" w:sz="0" w:space="0" w:color="auto"/>
        <w:bottom w:val="none" w:sz="0" w:space="0" w:color="auto"/>
        <w:right w:val="none" w:sz="0" w:space="0" w:color="auto"/>
      </w:divBdr>
    </w:div>
    <w:div w:id="1500656789">
      <w:bodyDiv w:val="1"/>
      <w:marLeft w:val="0"/>
      <w:marRight w:val="0"/>
      <w:marTop w:val="0"/>
      <w:marBottom w:val="0"/>
      <w:divBdr>
        <w:top w:val="none" w:sz="0" w:space="0" w:color="auto"/>
        <w:left w:val="none" w:sz="0" w:space="0" w:color="auto"/>
        <w:bottom w:val="none" w:sz="0" w:space="0" w:color="auto"/>
        <w:right w:val="none" w:sz="0" w:space="0" w:color="auto"/>
      </w:divBdr>
    </w:div>
    <w:div w:id="1500852359">
      <w:bodyDiv w:val="1"/>
      <w:marLeft w:val="0"/>
      <w:marRight w:val="0"/>
      <w:marTop w:val="0"/>
      <w:marBottom w:val="0"/>
      <w:divBdr>
        <w:top w:val="none" w:sz="0" w:space="0" w:color="auto"/>
        <w:left w:val="none" w:sz="0" w:space="0" w:color="auto"/>
        <w:bottom w:val="none" w:sz="0" w:space="0" w:color="auto"/>
        <w:right w:val="none" w:sz="0" w:space="0" w:color="auto"/>
      </w:divBdr>
    </w:div>
    <w:div w:id="1500929280">
      <w:bodyDiv w:val="1"/>
      <w:marLeft w:val="0"/>
      <w:marRight w:val="0"/>
      <w:marTop w:val="0"/>
      <w:marBottom w:val="0"/>
      <w:divBdr>
        <w:top w:val="none" w:sz="0" w:space="0" w:color="auto"/>
        <w:left w:val="none" w:sz="0" w:space="0" w:color="auto"/>
        <w:bottom w:val="none" w:sz="0" w:space="0" w:color="auto"/>
        <w:right w:val="none" w:sz="0" w:space="0" w:color="auto"/>
      </w:divBdr>
    </w:div>
    <w:div w:id="1500999281">
      <w:bodyDiv w:val="1"/>
      <w:marLeft w:val="0"/>
      <w:marRight w:val="0"/>
      <w:marTop w:val="0"/>
      <w:marBottom w:val="0"/>
      <w:divBdr>
        <w:top w:val="none" w:sz="0" w:space="0" w:color="auto"/>
        <w:left w:val="none" w:sz="0" w:space="0" w:color="auto"/>
        <w:bottom w:val="none" w:sz="0" w:space="0" w:color="auto"/>
        <w:right w:val="none" w:sz="0" w:space="0" w:color="auto"/>
      </w:divBdr>
    </w:div>
    <w:div w:id="1501040215">
      <w:bodyDiv w:val="1"/>
      <w:marLeft w:val="0"/>
      <w:marRight w:val="0"/>
      <w:marTop w:val="0"/>
      <w:marBottom w:val="0"/>
      <w:divBdr>
        <w:top w:val="none" w:sz="0" w:space="0" w:color="auto"/>
        <w:left w:val="none" w:sz="0" w:space="0" w:color="auto"/>
        <w:bottom w:val="none" w:sz="0" w:space="0" w:color="auto"/>
        <w:right w:val="none" w:sz="0" w:space="0" w:color="auto"/>
      </w:divBdr>
    </w:div>
    <w:div w:id="1501042891">
      <w:bodyDiv w:val="1"/>
      <w:marLeft w:val="0"/>
      <w:marRight w:val="0"/>
      <w:marTop w:val="0"/>
      <w:marBottom w:val="0"/>
      <w:divBdr>
        <w:top w:val="none" w:sz="0" w:space="0" w:color="auto"/>
        <w:left w:val="none" w:sz="0" w:space="0" w:color="auto"/>
        <w:bottom w:val="none" w:sz="0" w:space="0" w:color="auto"/>
        <w:right w:val="none" w:sz="0" w:space="0" w:color="auto"/>
      </w:divBdr>
    </w:div>
    <w:div w:id="1501114966">
      <w:bodyDiv w:val="1"/>
      <w:marLeft w:val="0"/>
      <w:marRight w:val="0"/>
      <w:marTop w:val="0"/>
      <w:marBottom w:val="0"/>
      <w:divBdr>
        <w:top w:val="none" w:sz="0" w:space="0" w:color="auto"/>
        <w:left w:val="none" w:sz="0" w:space="0" w:color="auto"/>
        <w:bottom w:val="none" w:sz="0" w:space="0" w:color="auto"/>
        <w:right w:val="none" w:sz="0" w:space="0" w:color="auto"/>
      </w:divBdr>
    </w:div>
    <w:div w:id="1501189539">
      <w:bodyDiv w:val="1"/>
      <w:marLeft w:val="0"/>
      <w:marRight w:val="0"/>
      <w:marTop w:val="0"/>
      <w:marBottom w:val="0"/>
      <w:divBdr>
        <w:top w:val="none" w:sz="0" w:space="0" w:color="auto"/>
        <w:left w:val="none" w:sz="0" w:space="0" w:color="auto"/>
        <w:bottom w:val="none" w:sz="0" w:space="0" w:color="auto"/>
        <w:right w:val="none" w:sz="0" w:space="0" w:color="auto"/>
      </w:divBdr>
    </w:div>
    <w:div w:id="1501190423">
      <w:bodyDiv w:val="1"/>
      <w:marLeft w:val="0"/>
      <w:marRight w:val="0"/>
      <w:marTop w:val="0"/>
      <w:marBottom w:val="0"/>
      <w:divBdr>
        <w:top w:val="none" w:sz="0" w:space="0" w:color="auto"/>
        <w:left w:val="none" w:sz="0" w:space="0" w:color="auto"/>
        <w:bottom w:val="none" w:sz="0" w:space="0" w:color="auto"/>
        <w:right w:val="none" w:sz="0" w:space="0" w:color="auto"/>
      </w:divBdr>
    </w:div>
    <w:div w:id="1501310204">
      <w:bodyDiv w:val="1"/>
      <w:marLeft w:val="0"/>
      <w:marRight w:val="0"/>
      <w:marTop w:val="0"/>
      <w:marBottom w:val="0"/>
      <w:divBdr>
        <w:top w:val="none" w:sz="0" w:space="0" w:color="auto"/>
        <w:left w:val="none" w:sz="0" w:space="0" w:color="auto"/>
        <w:bottom w:val="none" w:sz="0" w:space="0" w:color="auto"/>
        <w:right w:val="none" w:sz="0" w:space="0" w:color="auto"/>
      </w:divBdr>
    </w:div>
    <w:div w:id="1501383070">
      <w:bodyDiv w:val="1"/>
      <w:marLeft w:val="0"/>
      <w:marRight w:val="0"/>
      <w:marTop w:val="0"/>
      <w:marBottom w:val="0"/>
      <w:divBdr>
        <w:top w:val="none" w:sz="0" w:space="0" w:color="auto"/>
        <w:left w:val="none" w:sz="0" w:space="0" w:color="auto"/>
        <w:bottom w:val="none" w:sz="0" w:space="0" w:color="auto"/>
        <w:right w:val="none" w:sz="0" w:space="0" w:color="auto"/>
      </w:divBdr>
    </w:div>
    <w:div w:id="1501387539">
      <w:bodyDiv w:val="1"/>
      <w:marLeft w:val="0"/>
      <w:marRight w:val="0"/>
      <w:marTop w:val="0"/>
      <w:marBottom w:val="0"/>
      <w:divBdr>
        <w:top w:val="none" w:sz="0" w:space="0" w:color="auto"/>
        <w:left w:val="none" w:sz="0" w:space="0" w:color="auto"/>
        <w:bottom w:val="none" w:sz="0" w:space="0" w:color="auto"/>
        <w:right w:val="none" w:sz="0" w:space="0" w:color="auto"/>
      </w:divBdr>
    </w:div>
    <w:div w:id="1501502248">
      <w:bodyDiv w:val="1"/>
      <w:marLeft w:val="0"/>
      <w:marRight w:val="0"/>
      <w:marTop w:val="0"/>
      <w:marBottom w:val="0"/>
      <w:divBdr>
        <w:top w:val="none" w:sz="0" w:space="0" w:color="auto"/>
        <w:left w:val="none" w:sz="0" w:space="0" w:color="auto"/>
        <w:bottom w:val="none" w:sz="0" w:space="0" w:color="auto"/>
        <w:right w:val="none" w:sz="0" w:space="0" w:color="auto"/>
      </w:divBdr>
    </w:div>
    <w:div w:id="1501578793">
      <w:bodyDiv w:val="1"/>
      <w:marLeft w:val="0"/>
      <w:marRight w:val="0"/>
      <w:marTop w:val="0"/>
      <w:marBottom w:val="0"/>
      <w:divBdr>
        <w:top w:val="none" w:sz="0" w:space="0" w:color="auto"/>
        <w:left w:val="none" w:sz="0" w:space="0" w:color="auto"/>
        <w:bottom w:val="none" w:sz="0" w:space="0" w:color="auto"/>
        <w:right w:val="none" w:sz="0" w:space="0" w:color="auto"/>
      </w:divBdr>
    </w:div>
    <w:div w:id="1501695596">
      <w:bodyDiv w:val="1"/>
      <w:marLeft w:val="0"/>
      <w:marRight w:val="0"/>
      <w:marTop w:val="0"/>
      <w:marBottom w:val="0"/>
      <w:divBdr>
        <w:top w:val="none" w:sz="0" w:space="0" w:color="auto"/>
        <w:left w:val="none" w:sz="0" w:space="0" w:color="auto"/>
        <w:bottom w:val="none" w:sz="0" w:space="0" w:color="auto"/>
        <w:right w:val="none" w:sz="0" w:space="0" w:color="auto"/>
      </w:divBdr>
    </w:div>
    <w:div w:id="1501697336">
      <w:bodyDiv w:val="1"/>
      <w:marLeft w:val="0"/>
      <w:marRight w:val="0"/>
      <w:marTop w:val="0"/>
      <w:marBottom w:val="0"/>
      <w:divBdr>
        <w:top w:val="none" w:sz="0" w:space="0" w:color="auto"/>
        <w:left w:val="none" w:sz="0" w:space="0" w:color="auto"/>
        <w:bottom w:val="none" w:sz="0" w:space="0" w:color="auto"/>
        <w:right w:val="none" w:sz="0" w:space="0" w:color="auto"/>
      </w:divBdr>
    </w:div>
    <w:div w:id="1501701760">
      <w:bodyDiv w:val="1"/>
      <w:marLeft w:val="0"/>
      <w:marRight w:val="0"/>
      <w:marTop w:val="0"/>
      <w:marBottom w:val="0"/>
      <w:divBdr>
        <w:top w:val="none" w:sz="0" w:space="0" w:color="auto"/>
        <w:left w:val="none" w:sz="0" w:space="0" w:color="auto"/>
        <w:bottom w:val="none" w:sz="0" w:space="0" w:color="auto"/>
        <w:right w:val="none" w:sz="0" w:space="0" w:color="auto"/>
      </w:divBdr>
    </w:div>
    <w:div w:id="1501775066">
      <w:bodyDiv w:val="1"/>
      <w:marLeft w:val="0"/>
      <w:marRight w:val="0"/>
      <w:marTop w:val="0"/>
      <w:marBottom w:val="0"/>
      <w:divBdr>
        <w:top w:val="none" w:sz="0" w:space="0" w:color="auto"/>
        <w:left w:val="none" w:sz="0" w:space="0" w:color="auto"/>
        <w:bottom w:val="none" w:sz="0" w:space="0" w:color="auto"/>
        <w:right w:val="none" w:sz="0" w:space="0" w:color="auto"/>
      </w:divBdr>
    </w:div>
    <w:div w:id="1501919632">
      <w:bodyDiv w:val="1"/>
      <w:marLeft w:val="0"/>
      <w:marRight w:val="0"/>
      <w:marTop w:val="0"/>
      <w:marBottom w:val="0"/>
      <w:divBdr>
        <w:top w:val="none" w:sz="0" w:space="0" w:color="auto"/>
        <w:left w:val="none" w:sz="0" w:space="0" w:color="auto"/>
        <w:bottom w:val="none" w:sz="0" w:space="0" w:color="auto"/>
        <w:right w:val="none" w:sz="0" w:space="0" w:color="auto"/>
      </w:divBdr>
    </w:div>
    <w:div w:id="1501962571">
      <w:bodyDiv w:val="1"/>
      <w:marLeft w:val="0"/>
      <w:marRight w:val="0"/>
      <w:marTop w:val="0"/>
      <w:marBottom w:val="0"/>
      <w:divBdr>
        <w:top w:val="none" w:sz="0" w:space="0" w:color="auto"/>
        <w:left w:val="none" w:sz="0" w:space="0" w:color="auto"/>
        <w:bottom w:val="none" w:sz="0" w:space="0" w:color="auto"/>
        <w:right w:val="none" w:sz="0" w:space="0" w:color="auto"/>
      </w:divBdr>
    </w:div>
    <w:div w:id="1501964052">
      <w:bodyDiv w:val="1"/>
      <w:marLeft w:val="0"/>
      <w:marRight w:val="0"/>
      <w:marTop w:val="0"/>
      <w:marBottom w:val="0"/>
      <w:divBdr>
        <w:top w:val="none" w:sz="0" w:space="0" w:color="auto"/>
        <w:left w:val="none" w:sz="0" w:space="0" w:color="auto"/>
        <w:bottom w:val="none" w:sz="0" w:space="0" w:color="auto"/>
        <w:right w:val="none" w:sz="0" w:space="0" w:color="auto"/>
      </w:divBdr>
    </w:div>
    <w:div w:id="1501970751">
      <w:bodyDiv w:val="1"/>
      <w:marLeft w:val="0"/>
      <w:marRight w:val="0"/>
      <w:marTop w:val="0"/>
      <w:marBottom w:val="0"/>
      <w:divBdr>
        <w:top w:val="none" w:sz="0" w:space="0" w:color="auto"/>
        <w:left w:val="none" w:sz="0" w:space="0" w:color="auto"/>
        <w:bottom w:val="none" w:sz="0" w:space="0" w:color="auto"/>
        <w:right w:val="none" w:sz="0" w:space="0" w:color="auto"/>
      </w:divBdr>
    </w:div>
    <w:div w:id="1502308636">
      <w:bodyDiv w:val="1"/>
      <w:marLeft w:val="0"/>
      <w:marRight w:val="0"/>
      <w:marTop w:val="0"/>
      <w:marBottom w:val="0"/>
      <w:divBdr>
        <w:top w:val="none" w:sz="0" w:space="0" w:color="auto"/>
        <w:left w:val="none" w:sz="0" w:space="0" w:color="auto"/>
        <w:bottom w:val="none" w:sz="0" w:space="0" w:color="auto"/>
        <w:right w:val="none" w:sz="0" w:space="0" w:color="auto"/>
      </w:divBdr>
    </w:div>
    <w:div w:id="1502312606">
      <w:bodyDiv w:val="1"/>
      <w:marLeft w:val="0"/>
      <w:marRight w:val="0"/>
      <w:marTop w:val="0"/>
      <w:marBottom w:val="0"/>
      <w:divBdr>
        <w:top w:val="none" w:sz="0" w:space="0" w:color="auto"/>
        <w:left w:val="none" w:sz="0" w:space="0" w:color="auto"/>
        <w:bottom w:val="none" w:sz="0" w:space="0" w:color="auto"/>
        <w:right w:val="none" w:sz="0" w:space="0" w:color="auto"/>
      </w:divBdr>
    </w:div>
    <w:div w:id="1502357130">
      <w:bodyDiv w:val="1"/>
      <w:marLeft w:val="0"/>
      <w:marRight w:val="0"/>
      <w:marTop w:val="0"/>
      <w:marBottom w:val="0"/>
      <w:divBdr>
        <w:top w:val="none" w:sz="0" w:space="0" w:color="auto"/>
        <w:left w:val="none" w:sz="0" w:space="0" w:color="auto"/>
        <w:bottom w:val="none" w:sz="0" w:space="0" w:color="auto"/>
        <w:right w:val="none" w:sz="0" w:space="0" w:color="auto"/>
      </w:divBdr>
    </w:div>
    <w:div w:id="1502426945">
      <w:bodyDiv w:val="1"/>
      <w:marLeft w:val="0"/>
      <w:marRight w:val="0"/>
      <w:marTop w:val="0"/>
      <w:marBottom w:val="0"/>
      <w:divBdr>
        <w:top w:val="none" w:sz="0" w:space="0" w:color="auto"/>
        <w:left w:val="none" w:sz="0" w:space="0" w:color="auto"/>
        <w:bottom w:val="none" w:sz="0" w:space="0" w:color="auto"/>
        <w:right w:val="none" w:sz="0" w:space="0" w:color="auto"/>
      </w:divBdr>
    </w:div>
    <w:div w:id="1502428088">
      <w:bodyDiv w:val="1"/>
      <w:marLeft w:val="0"/>
      <w:marRight w:val="0"/>
      <w:marTop w:val="0"/>
      <w:marBottom w:val="0"/>
      <w:divBdr>
        <w:top w:val="none" w:sz="0" w:space="0" w:color="auto"/>
        <w:left w:val="none" w:sz="0" w:space="0" w:color="auto"/>
        <w:bottom w:val="none" w:sz="0" w:space="0" w:color="auto"/>
        <w:right w:val="none" w:sz="0" w:space="0" w:color="auto"/>
      </w:divBdr>
    </w:div>
    <w:div w:id="1502431607">
      <w:bodyDiv w:val="1"/>
      <w:marLeft w:val="0"/>
      <w:marRight w:val="0"/>
      <w:marTop w:val="0"/>
      <w:marBottom w:val="0"/>
      <w:divBdr>
        <w:top w:val="none" w:sz="0" w:space="0" w:color="auto"/>
        <w:left w:val="none" w:sz="0" w:space="0" w:color="auto"/>
        <w:bottom w:val="none" w:sz="0" w:space="0" w:color="auto"/>
        <w:right w:val="none" w:sz="0" w:space="0" w:color="auto"/>
      </w:divBdr>
    </w:div>
    <w:div w:id="1502694118">
      <w:bodyDiv w:val="1"/>
      <w:marLeft w:val="0"/>
      <w:marRight w:val="0"/>
      <w:marTop w:val="0"/>
      <w:marBottom w:val="0"/>
      <w:divBdr>
        <w:top w:val="none" w:sz="0" w:space="0" w:color="auto"/>
        <w:left w:val="none" w:sz="0" w:space="0" w:color="auto"/>
        <w:bottom w:val="none" w:sz="0" w:space="0" w:color="auto"/>
        <w:right w:val="none" w:sz="0" w:space="0" w:color="auto"/>
      </w:divBdr>
    </w:div>
    <w:div w:id="1502697540">
      <w:bodyDiv w:val="1"/>
      <w:marLeft w:val="0"/>
      <w:marRight w:val="0"/>
      <w:marTop w:val="0"/>
      <w:marBottom w:val="0"/>
      <w:divBdr>
        <w:top w:val="none" w:sz="0" w:space="0" w:color="auto"/>
        <w:left w:val="none" w:sz="0" w:space="0" w:color="auto"/>
        <w:bottom w:val="none" w:sz="0" w:space="0" w:color="auto"/>
        <w:right w:val="none" w:sz="0" w:space="0" w:color="auto"/>
      </w:divBdr>
    </w:div>
    <w:div w:id="1502697581">
      <w:bodyDiv w:val="1"/>
      <w:marLeft w:val="0"/>
      <w:marRight w:val="0"/>
      <w:marTop w:val="0"/>
      <w:marBottom w:val="0"/>
      <w:divBdr>
        <w:top w:val="none" w:sz="0" w:space="0" w:color="auto"/>
        <w:left w:val="none" w:sz="0" w:space="0" w:color="auto"/>
        <w:bottom w:val="none" w:sz="0" w:space="0" w:color="auto"/>
        <w:right w:val="none" w:sz="0" w:space="0" w:color="auto"/>
      </w:divBdr>
    </w:div>
    <w:div w:id="1502740564">
      <w:bodyDiv w:val="1"/>
      <w:marLeft w:val="0"/>
      <w:marRight w:val="0"/>
      <w:marTop w:val="0"/>
      <w:marBottom w:val="0"/>
      <w:divBdr>
        <w:top w:val="none" w:sz="0" w:space="0" w:color="auto"/>
        <w:left w:val="none" w:sz="0" w:space="0" w:color="auto"/>
        <w:bottom w:val="none" w:sz="0" w:space="0" w:color="auto"/>
        <w:right w:val="none" w:sz="0" w:space="0" w:color="auto"/>
      </w:divBdr>
    </w:div>
    <w:div w:id="1502889906">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03013332">
      <w:bodyDiv w:val="1"/>
      <w:marLeft w:val="0"/>
      <w:marRight w:val="0"/>
      <w:marTop w:val="0"/>
      <w:marBottom w:val="0"/>
      <w:divBdr>
        <w:top w:val="none" w:sz="0" w:space="0" w:color="auto"/>
        <w:left w:val="none" w:sz="0" w:space="0" w:color="auto"/>
        <w:bottom w:val="none" w:sz="0" w:space="0" w:color="auto"/>
        <w:right w:val="none" w:sz="0" w:space="0" w:color="auto"/>
      </w:divBdr>
    </w:div>
    <w:div w:id="1503081590">
      <w:bodyDiv w:val="1"/>
      <w:marLeft w:val="0"/>
      <w:marRight w:val="0"/>
      <w:marTop w:val="0"/>
      <w:marBottom w:val="0"/>
      <w:divBdr>
        <w:top w:val="none" w:sz="0" w:space="0" w:color="auto"/>
        <w:left w:val="none" w:sz="0" w:space="0" w:color="auto"/>
        <w:bottom w:val="none" w:sz="0" w:space="0" w:color="auto"/>
        <w:right w:val="none" w:sz="0" w:space="0" w:color="auto"/>
      </w:divBdr>
    </w:div>
    <w:div w:id="1503155420">
      <w:bodyDiv w:val="1"/>
      <w:marLeft w:val="0"/>
      <w:marRight w:val="0"/>
      <w:marTop w:val="0"/>
      <w:marBottom w:val="0"/>
      <w:divBdr>
        <w:top w:val="none" w:sz="0" w:space="0" w:color="auto"/>
        <w:left w:val="none" w:sz="0" w:space="0" w:color="auto"/>
        <w:bottom w:val="none" w:sz="0" w:space="0" w:color="auto"/>
        <w:right w:val="none" w:sz="0" w:space="0" w:color="auto"/>
      </w:divBdr>
    </w:div>
    <w:div w:id="1503206942">
      <w:bodyDiv w:val="1"/>
      <w:marLeft w:val="0"/>
      <w:marRight w:val="0"/>
      <w:marTop w:val="0"/>
      <w:marBottom w:val="0"/>
      <w:divBdr>
        <w:top w:val="none" w:sz="0" w:space="0" w:color="auto"/>
        <w:left w:val="none" w:sz="0" w:space="0" w:color="auto"/>
        <w:bottom w:val="none" w:sz="0" w:space="0" w:color="auto"/>
        <w:right w:val="none" w:sz="0" w:space="0" w:color="auto"/>
      </w:divBdr>
    </w:div>
    <w:div w:id="1503470495">
      <w:bodyDiv w:val="1"/>
      <w:marLeft w:val="0"/>
      <w:marRight w:val="0"/>
      <w:marTop w:val="0"/>
      <w:marBottom w:val="0"/>
      <w:divBdr>
        <w:top w:val="none" w:sz="0" w:space="0" w:color="auto"/>
        <w:left w:val="none" w:sz="0" w:space="0" w:color="auto"/>
        <w:bottom w:val="none" w:sz="0" w:space="0" w:color="auto"/>
        <w:right w:val="none" w:sz="0" w:space="0" w:color="auto"/>
      </w:divBdr>
    </w:div>
    <w:div w:id="1503666117">
      <w:bodyDiv w:val="1"/>
      <w:marLeft w:val="0"/>
      <w:marRight w:val="0"/>
      <w:marTop w:val="0"/>
      <w:marBottom w:val="0"/>
      <w:divBdr>
        <w:top w:val="none" w:sz="0" w:space="0" w:color="auto"/>
        <w:left w:val="none" w:sz="0" w:space="0" w:color="auto"/>
        <w:bottom w:val="none" w:sz="0" w:space="0" w:color="auto"/>
        <w:right w:val="none" w:sz="0" w:space="0" w:color="auto"/>
      </w:divBdr>
    </w:div>
    <w:div w:id="1503742260">
      <w:bodyDiv w:val="1"/>
      <w:marLeft w:val="0"/>
      <w:marRight w:val="0"/>
      <w:marTop w:val="0"/>
      <w:marBottom w:val="0"/>
      <w:divBdr>
        <w:top w:val="none" w:sz="0" w:space="0" w:color="auto"/>
        <w:left w:val="none" w:sz="0" w:space="0" w:color="auto"/>
        <w:bottom w:val="none" w:sz="0" w:space="0" w:color="auto"/>
        <w:right w:val="none" w:sz="0" w:space="0" w:color="auto"/>
      </w:divBdr>
    </w:div>
    <w:div w:id="1503742998">
      <w:bodyDiv w:val="1"/>
      <w:marLeft w:val="0"/>
      <w:marRight w:val="0"/>
      <w:marTop w:val="0"/>
      <w:marBottom w:val="0"/>
      <w:divBdr>
        <w:top w:val="none" w:sz="0" w:space="0" w:color="auto"/>
        <w:left w:val="none" w:sz="0" w:space="0" w:color="auto"/>
        <w:bottom w:val="none" w:sz="0" w:space="0" w:color="auto"/>
        <w:right w:val="none" w:sz="0" w:space="0" w:color="auto"/>
      </w:divBdr>
    </w:div>
    <w:div w:id="1503812644">
      <w:bodyDiv w:val="1"/>
      <w:marLeft w:val="0"/>
      <w:marRight w:val="0"/>
      <w:marTop w:val="0"/>
      <w:marBottom w:val="0"/>
      <w:divBdr>
        <w:top w:val="none" w:sz="0" w:space="0" w:color="auto"/>
        <w:left w:val="none" w:sz="0" w:space="0" w:color="auto"/>
        <w:bottom w:val="none" w:sz="0" w:space="0" w:color="auto"/>
        <w:right w:val="none" w:sz="0" w:space="0" w:color="auto"/>
      </w:divBdr>
    </w:div>
    <w:div w:id="1503816506">
      <w:bodyDiv w:val="1"/>
      <w:marLeft w:val="0"/>
      <w:marRight w:val="0"/>
      <w:marTop w:val="0"/>
      <w:marBottom w:val="0"/>
      <w:divBdr>
        <w:top w:val="none" w:sz="0" w:space="0" w:color="auto"/>
        <w:left w:val="none" w:sz="0" w:space="0" w:color="auto"/>
        <w:bottom w:val="none" w:sz="0" w:space="0" w:color="auto"/>
        <w:right w:val="none" w:sz="0" w:space="0" w:color="auto"/>
      </w:divBdr>
    </w:div>
    <w:div w:id="1503858307">
      <w:bodyDiv w:val="1"/>
      <w:marLeft w:val="0"/>
      <w:marRight w:val="0"/>
      <w:marTop w:val="0"/>
      <w:marBottom w:val="0"/>
      <w:divBdr>
        <w:top w:val="none" w:sz="0" w:space="0" w:color="auto"/>
        <w:left w:val="none" w:sz="0" w:space="0" w:color="auto"/>
        <w:bottom w:val="none" w:sz="0" w:space="0" w:color="auto"/>
        <w:right w:val="none" w:sz="0" w:space="0" w:color="auto"/>
      </w:divBdr>
    </w:div>
    <w:div w:id="1503859356">
      <w:bodyDiv w:val="1"/>
      <w:marLeft w:val="0"/>
      <w:marRight w:val="0"/>
      <w:marTop w:val="0"/>
      <w:marBottom w:val="0"/>
      <w:divBdr>
        <w:top w:val="none" w:sz="0" w:space="0" w:color="auto"/>
        <w:left w:val="none" w:sz="0" w:space="0" w:color="auto"/>
        <w:bottom w:val="none" w:sz="0" w:space="0" w:color="auto"/>
        <w:right w:val="none" w:sz="0" w:space="0" w:color="auto"/>
      </w:divBdr>
    </w:div>
    <w:div w:id="1503929418">
      <w:bodyDiv w:val="1"/>
      <w:marLeft w:val="0"/>
      <w:marRight w:val="0"/>
      <w:marTop w:val="0"/>
      <w:marBottom w:val="0"/>
      <w:divBdr>
        <w:top w:val="none" w:sz="0" w:space="0" w:color="auto"/>
        <w:left w:val="none" w:sz="0" w:space="0" w:color="auto"/>
        <w:bottom w:val="none" w:sz="0" w:space="0" w:color="auto"/>
        <w:right w:val="none" w:sz="0" w:space="0" w:color="auto"/>
      </w:divBdr>
    </w:div>
    <w:div w:id="1503933653">
      <w:bodyDiv w:val="1"/>
      <w:marLeft w:val="0"/>
      <w:marRight w:val="0"/>
      <w:marTop w:val="0"/>
      <w:marBottom w:val="0"/>
      <w:divBdr>
        <w:top w:val="none" w:sz="0" w:space="0" w:color="auto"/>
        <w:left w:val="none" w:sz="0" w:space="0" w:color="auto"/>
        <w:bottom w:val="none" w:sz="0" w:space="0" w:color="auto"/>
        <w:right w:val="none" w:sz="0" w:space="0" w:color="auto"/>
      </w:divBdr>
    </w:div>
    <w:div w:id="1504008279">
      <w:bodyDiv w:val="1"/>
      <w:marLeft w:val="0"/>
      <w:marRight w:val="0"/>
      <w:marTop w:val="0"/>
      <w:marBottom w:val="0"/>
      <w:divBdr>
        <w:top w:val="none" w:sz="0" w:space="0" w:color="auto"/>
        <w:left w:val="none" w:sz="0" w:space="0" w:color="auto"/>
        <w:bottom w:val="none" w:sz="0" w:space="0" w:color="auto"/>
        <w:right w:val="none" w:sz="0" w:space="0" w:color="auto"/>
      </w:divBdr>
    </w:div>
    <w:div w:id="1504009647">
      <w:bodyDiv w:val="1"/>
      <w:marLeft w:val="0"/>
      <w:marRight w:val="0"/>
      <w:marTop w:val="0"/>
      <w:marBottom w:val="0"/>
      <w:divBdr>
        <w:top w:val="none" w:sz="0" w:space="0" w:color="auto"/>
        <w:left w:val="none" w:sz="0" w:space="0" w:color="auto"/>
        <w:bottom w:val="none" w:sz="0" w:space="0" w:color="auto"/>
        <w:right w:val="none" w:sz="0" w:space="0" w:color="auto"/>
      </w:divBdr>
    </w:div>
    <w:div w:id="1504127986">
      <w:bodyDiv w:val="1"/>
      <w:marLeft w:val="0"/>
      <w:marRight w:val="0"/>
      <w:marTop w:val="0"/>
      <w:marBottom w:val="0"/>
      <w:divBdr>
        <w:top w:val="none" w:sz="0" w:space="0" w:color="auto"/>
        <w:left w:val="none" w:sz="0" w:space="0" w:color="auto"/>
        <w:bottom w:val="none" w:sz="0" w:space="0" w:color="auto"/>
        <w:right w:val="none" w:sz="0" w:space="0" w:color="auto"/>
      </w:divBdr>
    </w:div>
    <w:div w:id="1504129434">
      <w:bodyDiv w:val="1"/>
      <w:marLeft w:val="0"/>
      <w:marRight w:val="0"/>
      <w:marTop w:val="0"/>
      <w:marBottom w:val="0"/>
      <w:divBdr>
        <w:top w:val="none" w:sz="0" w:space="0" w:color="auto"/>
        <w:left w:val="none" w:sz="0" w:space="0" w:color="auto"/>
        <w:bottom w:val="none" w:sz="0" w:space="0" w:color="auto"/>
        <w:right w:val="none" w:sz="0" w:space="0" w:color="auto"/>
      </w:divBdr>
    </w:div>
    <w:div w:id="1504129597">
      <w:bodyDiv w:val="1"/>
      <w:marLeft w:val="0"/>
      <w:marRight w:val="0"/>
      <w:marTop w:val="0"/>
      <w:marBottom w:val="0"/>
      <w:divBdr>
        <w:top w:val="none" w:sz="0" w:space="0" w:color="auto"/>
        <w:left w:val="none" w:sz="0" w:space="0" w:color="auto"/>
        <w:bottom w:val="none" w:sz="0" w:space="0" w:color="auto"/>
        <w:right w:val="none" w:sz="0" w:space="0" w:color="auto"/>
      </w:divBdr>
    </w:div>
    <w:div w:id="1504202814">
      <w:bodyDiv w:val="1"/>
      <w:marLeft w:val="0"/>
      <w:marRight w:val="0"/>
      <w:marTop w:val="0"/>
      <w:marBottom w:val="0"/>
      <w:divBdr>
        <w:top w:val="none" w:sz="0" w:space="0" w:color="auto"/>
        <w:left w:val="none" w:sz="0" w:space="0" w:color="auto"/>
        <w:bottom w:val="none" w:sz="0" w:space="0" w:color="auto"/>
        <w:right w:val="none" w:sz="0" w:space="0" w:color="auto"/>
      </w:divBdr>
    </w:div>
    <w:div w:id="1504274699">
      <w:bodyDiv w:val="1"/>
      <w:marLeft w:val="0"/>
      <w:marRight w:val="0"/>
      <w:marTop w:val="0"/>
      <w:marBottom w:val="0"/>
      <w:divBdr>
        <w:top w:val="none" w:sz="0" w:space="0" w:color="auto"/>
        <w:left w:val="none" w:sz="0" w:space="0" w:color="auto"/>
        <w:bottom w:val="none" w:sz="0" w:space="0" w:color="auto"/>
        <w:right w:val="none" w:sz="0" w:space="0" w:color="auto"/>
      </w:divBdr>
    </w:div>
    <w:div w:id="1504277767">
      <w:bodyDiv w:val="1"/>
      <w:marLeft w:val="0"/>
      <w:marRight w:val="0"/>
      <w:marTop w:val="0"/>
      <w:marBottom w:val="0"/>
      <w:divBdr>
        <w:top w:val="none" w:sz="0" w:space="0" w:color="auto"/>
        <w:left w:val="none" w:sz="0" w:space="0" w:color="auto"/>
        <w:bottom w:val="none" w:sz="0" w:space="0" w:color="auto"/>
        <w:right w:val="none" w:sz="0" w:space="0" w:color="auto"/>
      </w:divBdr>
    </w:div>
    <w:div w:id="1504278744">
      <w:bodyDiv w:val="1"/>
      <w:marLeft w:val="0"/>
      <w:marRight w:val="0"/>
      <w:marTop w:val="0"/>
      <w:marBottom w:val="0"/>
      <w:divBdr>
        <w:top w:val="none" w:sz="0" w:space="0" w:color="auto"/>
        <w:left w:val="none" w:sz="0" w:space="0" w:color="auto"/>
        <w:bottom w:val="none" w:sz="0" w:space="0" w:color="auto"/>
        <w:right w:val="none" w:sz="0" w:space="0" w:color="auto"/>
      </w:divBdr>
    </w:div>
    <w:div w:id="1504321735">
      <w:bodyDiv w:val="1"/>
      <w:marLeft w:val="0"/>
      <w:marRight w:val="0"/>
      <w:marTop w:val="0"/>
      <w:marBottom w:val="0"/>
      <w:divBdr>
        <w:top w:val="none" w:sz="0" w:space="0" w:color="auto"/>
        <w:left w:val="none" w:sz="0" w:space="0" w:color="auto"/>
        <w:bottom w:val="none" w:sz="0" w:space="0" w:color="auto"/>
        <w:right w:val="none" w:sz="0" w:space="0" w:color="auto"/>
      </w:divBdr>
    </w:div>
    <w:div w:id="1504465862">
      <w:bodyDiv w:val="1"/>
      <w:marLeft w:val="0"/>
      <w:marRight w:val="0"/>
      <w:marTop w:val="0"/>
      <w:marBottom w:val="0"/>
      <w:divBdr>
        <w:top w:val="none" w:sz="0" w:space="0" w:color="auto"/>
        <w:left w:val="none" w:sz="0" w:space="0" w:color="auto"/>
        <w:bottom w:val="none" w:sz="0" w:space="0" w:color="auto"/>
        <w:right w:val="none" w:sz="0" w:space="0" w:color="auto"/>
      </w:divBdr>
    </w:div>
    <w:div w:id="1504515368">
      <w:bodyDiv w:val="1"/>
      <w:marLeft w:val="0"/>
      <w:marRight w:val="0"/>
      <w:marTop w:val="0"/>
      <w:marBottom w:val="0"/>
      <w:divBdr>
        <w:top w:val="none" w:sz="0" w:space="0" w:color="auto"/>
        <w:left w:val="none" w:sz="0" w:space="0" w:color="auto"/>
        <w:bottom w:val="none" w:sz="0" w:space="0" w:color="auto"/>
        <w:right w:val="none" w:sz="0" w:space="0" w:color="auto"/>
      </w:divBdr>
    </w:div>
    <w:div w:id="1504541598">
      <w:bodyDiv w:val="1"/>
      <w:marLeft w:val="0"/>
      <w:marRight w:val="0"/>
      <w:marTop w:val="0"/>
      <w:marBottom w:val="0"/>
      <w:divBdr>
        <w:top w:val="none" w:sz="0" w:space="0" w:color="auto"/>
        <w:left w:val="none" w:sz="0" w:space="0" w:color="auto"/>
        <w:bottom w:val="none" w:sz="0" w:space="0" w:color="auto"/>
        <w:right w:val="none" w:sz="0" w:space="0" w:color="auto"/>
      </w:divBdr>
    </w:div>
    <w:div w:id="1504590076">
      <w:bodyDiv w:val="1"/>
      <w:marLeft w:val="0"/>
      <w:marRight w:val="0"/>
      <w:marTop w:val="0"/>
      <w:marBottom w:val="0"/>
      <w:divBdr>
        <w:top w:val="none" w:sz="0" w:space="0" w:color="auto"/>
        <w:left w:val="none" w:sz="0" w:space="0" w:color="auto"/>
        <w:bottom w:val="none" w:sz="0" w:space="0" w:color="auto"/>
        <w:right w:val="none" w:sz="0" w:space="0" w:color="auto"/>
      </w:divBdr>
    </w:div>
    <w:div w:id="1504591141">
      <w:bodyDiv w:val="1"/>
      <w:marLeft w:val="0"/>
      <w:marRight w:val="0"/>
      <w:marTop w:val="0"/>
      <w:marBottom w:val="0"/>
      <w:divBdr>
        <w:top w:val="none" w:sz="0" w:space="0" w:color="auto"/>
        <w:left w:val="none" w:sz="0" w:space="0" w:color="auto"/>
        <w:bottom w:val="none" w:sz="0" w:space="0" w:color="auto"/>
        <w:right w:val="none" w:sz="0" w:space="0" w:color="auto"/>
      </w:divBdr>
    </w:div>
    <w:div w:id="1504736217">
      <w:bodyDiv w:val="1"/>
      <w:marLeft w:val="0"/>
      <w:marRight w:val="0"/>
      <w:marTop w:val="0"/>
      <w:marBottom w:val="0"/>
      <w:divBdr>
        <w:top w:val="none" w:sz="0" w:space="0" w:color="auto"/>
        <w:left w:val="none" w:sz="0" w:space="0" w:color="auto"/>
        <w:bottom w:val="none" w:sz="0" w:space="0" w:color="auto"/>
        <w:right w:val="none" w:sz="0" w:space="0" w:color="auto"/>
      </w:divBdr>
    </w:div>
    <w:div w:id="1504737222">
      <w:bodyDiv w:val="1"/>
      <w:marLeft w:val="0"/>
      <w:marRight w:val="0"/>
      <w:marTop w:val="0"/>
      <w:marBottom w:val="0"/>
      <w:divBdr>
        <w:top w:val="none" w:sz="0" w:space="0" w:color="auto"/>
        <w:left w:val="none" w:sz="0" w:space="0" w:color="auto"/>
        <w:bottom w:val="none" w:sz="0" w:space="0" w:color="auto"/>
        <w:right w:val="none" w:sz="0" w:space="0" w:color="auto"/>
      </w:divBdr>
    </w:div>
    <w:div w:id="1504781642">
      <w:bodyDiv w:val="1"/>
      <w:marLeft w:val="0"/>
      <w:marRight w:val="0"/>
      <w:marTop w:val="0"/>
      <w:marBottom w:val="0"/>
      <w:divBdr>
        <w:top w:val="none" w:sz="0" w:space="0" w:color="auto"/>
        <w:left w:val="none" w:sz="0" w:space="0" w:color="auto"/>
        <w:bottom w:val="none" w:sz="0" w:space="0" w:color="auto"/>
        <w:right w:val="none" w:sz="0" w:space="0" w:color="auto"/>
      </w:divBdr>
    </w:div>
    <w:div w:id="1504782459">
      <w:bodyDiv w:val="1"/>
      <w:marLeft w:val="0"/>
      <w:marRight w:val="0"/>
      <w:marTop w:val="0"/>
      <w:marBottom w:val="0"/>
      <w:divBdr>
        <w:top w:val="none" w:sz="0" w:space="0" w:color="auto"/>
        <w:left w:val="none" w:sz="0" w:space="0" w:color="auto"/>
        <w:bottom w:val="none" w:sz="0" w:space="0" w:color="auto"/>
        <w:right w:val="none" w:sz="0" w:space="0" w:color="auto"/>
      </w:divBdr>
    </w:div>
    <w:div w:id="1504852737">
      <w:bodyDiv w:val="1"/>
      <w:marLeft w:val="0"/>
      <w:marRight w:val="0"/>
      <w:marTop w:val="0"/>
      <w:marBottom w:val="0"/>
      <w:divBdr>
        <w:top w:val="none" w:sz="0" w:space="0" w:color="auto"/>
        <w:left w:val="none" w:sz="0" w:space="0" w:color="auto"/>
        <w:bottom w:val="none" w:sz="0" w:space="0" w:color="auto"/>
        <w:right w:val="none" w:sz="0" w:space="0" w:color="auto"/>
      </w:divBdr>
    </w:div>
    <w:div w:id="1504971401">
      <w:bodyDiv w:val="1"/>
      <w:marLeft w:val="0"/>
      <w:marRight w:val="0"/>
      <w:marTop w:val="0"/>
      <w:marBottom w:val="0"/>
      <w:divBdr>
        <w:top w:val="none" w:sz="0" w:space="0" w:color="auto"/>
        <w:left w:val="none" w:sz="0" w:space="0" w:color="auto"/>
        <w:bottom w:val="none" w:sz="0" w:space="0" w:color="auto"/>
        <w:right w:val="none" w:sz="0" w:space="0" w:color="auto"/>
      </w:divBdr>
    </w:div>
    <w:div w:id="1504974439">
      <w:bodyDiv w:val="1"/>
      <w:marLeft w:val="0"/>
      <w:marRight w:val="0"/>
      <w:marTop w:val="0"/>
      <w:marBottom w:val="0"/>
      <w:divBdr>
        <w:top w:val="none" w:sz="0" w:space="0" w:color="auto"/>
        <w:left w:val="none" w:sz="0" w:space="0" w:color="auto"/>
        <w:bottom w:val="none" w:sz="0" w:space="0" w:color="auto"/>
        <w:right w:val="none" w:sz="0" w:space="0" w:color="auto"/>
      </w:divBdr>
    </w:div>
    <w:div w:id="1505246096">
      <w:bodyDiv w:val="1"/>
      <w:marLeft w:val="0"/>
      <w:marRight w:val="0"/>
      <w:marTop w:val="0"/>
      <w:marBottom w:val="0"/>
      <w:divBdr>
        <w:top w:val="none" w:sz="0" w:space="0" w:color="auto"/>
        <w:left w:val="none" w:sz="0" w:space="0" w:color="auto"/>
        <w:bottom w:val="none" w:sz="0" w:space="0" w:color="auto"/>
        <w:right w:val="none" w:sz="0" w:space="0" w:color="auto"/>
      </w:divBdr>
    </w:div>
    <w:div w:id="1505390134">
      <w:bodyDiv w:val="1"/>
      <w:marLeft w:val="0"/>
      <w:marRight w:val="0"/>
      <w:marTop w:val="0"/>
      <w:marBottom w:val="0"/>
      <w:divBdr>
        <w:top w:val="none" w:sz="0" w:space="0" w:color="auto"/>
        <w:left w:val="none" w:sz="0" w:space="0" w:color="auto"/>
        <w:bottom w:val="none" w:sz="0" w:space="0" w:color="auto"/>
        <w:right w:val="none" w:sz="0" w:space="0" w:color="auto"/>
      </w:divBdr>
    </w:div>
    <w:div w:id="1505391430">
      <w:bodyDiv w:val="1"/>
      <w:marLeft w:val="0"/>
      <w:marRight w:val="0"/>
      <w:marTop w:val="0"/>
      <w:marBottom w:val="0"/>
      <w:divBdr>
        <w:top w:val="none" w:sz="0" w:space="0" w:color="auto"/>
        <w:left w:val="none" w:sz="0" w:space="0" w:color="auto"/>
        <w:bottom w:val="none" w:sz="0" w:space="0" w:color="auto"/>
        <w:right w:val="none" w:sz="0" w:space="0" w:color="auto"/>
      </w:divBdr>
    </w:div>
    <w:div w:id="1505440841">
      <w:bodyDiv w:val="1"/>
      <w:marLeft w:val="0"/>
      <w:marRight w:val="0"/>
      <w:marTop w:val="0"/>
      <w:marBottom w:val="0"/>
      <w:divBdr>
        <w:top w:val="none" w:sz="0" w:space="0" w:color="auto"/>
        <w:left w:val="none" w:sz="0" w:space="0" w:color="auto"/>
        <w:bottom w:val="none" w:sz="0" w:space="0" w:color="auto"/>
        <w:right w:val="none" w:sz="0" w:space="0" w:color="auto"/>
      </w:divBdr>
    </w:div>
    <w:div w:id="1505516621">
      <w:bodyDiv w:val="1"/>
      <w:marLeft w:val="0"/>
      <w:marRight w:val="0"/>
      <w:marTop w:val="0"/>
      <w:marBottom w:val="0"/>
      <w:divBdr>
        <w:top w:val="none" w:sz="0" w:space="0" w:color="auto"/>
        <w:left w:val="none" w:sz="0" w:space="0" w:color="auto"/>
        <w:bottom w:val="none" w:sz="0" w:space="0" w:color="auto"/>
        <w:right w:val="none" w:sz="0" w:space="0" w:color="auto"/>
      </w:divBdr>
    </w:div>
    <w:div w:id="1505775862">
      <w:bodyDiv w:val="1"/>
      <w:marLeft w:val="0"/>
      <w:marRight w:val="0"/>
      <w:marTop w:val="0"/>
      <w:marBottom w:val="0"/>
      <w:divBdr>
        <w:top w:val="none" w:sz="0" w:space="0" w:color="auto"/>
        <w:left w:val="none" w:sz="0" w:space="0" w:color="auto"/>
        <w:bottom w:val="none" w:sz="0" w:space="0" w:color="auto"/>
        <w:right w:val="none" w:sz="0" w:space="0" w:color="auto"/>
      </w:divBdr>
    </w:div>
    <w:div w:id="1506093482">
      <w:bodyDiv w:val="1"/>
      <w:marLeft w:val="0"/>
      <w:marRight w:val="0"/>
      <w:marTop w:val="0"/>
      <w:marBottom w:val="0"/>
      <w:divBdr>
        <w:top w:val="none" w:sz="0" w:space="0" w:color="auto"/>
        <w:left w:val="none" w:sz="0" w:space="0" w:color="auto"/>
        <w:bottom w:val="none" w:sz="0" w:space="0" w:color="auto"/>
        <w:right w:val="none" w:sz="0" w:space="0" w:color="auto"/>
      </w:divBdr>
    </w:div>
    <w:div w:id="1506243069">
      <w:bodyDiv w:val="1"/>
      <w:marLeft w:val="0"/>
      <w:marRight w:val="0"/>
      <w:marTop w:val="0"/>
      <w:marBottom w:val="0"/>
      <w:divBdr>
        <w:top w:val="none" w:sz="0" w:space="0" w:color="auto"/>
        <w:left w:val="none" w:sz="0" w:space="0" w:color="auto"/>
        <w:bottom w:val="none" w:sz="0" w:space="0" w:color="auto"/>
        <w:right w:val="none" w:sz="0" w:space="0" w:color="auto"/>
      </w:divBdr>
    </w:div>
    <w:div w:id="1506245521">
      <w:bodyDiv w:val="1"/>
      <w:marLeft w:val="0"/>
      <w:marRight w:val="0"/>
      <w:marTop w:val="0"/>
      <w:marBottom w:val="0"/>
      <w:divBdr>
        <w:top w:val="none" w:sz="0" w:space="0" w:color="auto"/>
        <w:left w:val="none" w:sz="0" w:space="0" w:color="auto"/>
        <w:bottom w:val="none" w:sz="0" w:space="0" w:color="auto"/>
        <w:right w:val="none" w:sz="0" w:space="0" w:color="auto"/>
      </w:divBdr>
    </w:div>
    <w:div w:id="1506245610">
      <w:bodyDiv w:val="1"/>
      <w:marLeft w:val="0"/>
      <w:marRight w:val="0"/>
      <w:marTop w:val="0"/>
      <w:marBottom w:val="0"/>
      <w:divBdr>
        <w:top w:val="none" w:sz="0" w:space="0" w:color="auto"/>
        <w:left w:val="none" w:sz="0" w:space="0" w:color="auto"/>
        <w:bottom w:val="none" w:sz="0" w:space="0" w:color="auto"/>
        <w:right w:val="none" w:sz="0" w:space="0" w:color="auto"/>
      </w:divBdr>
    </w:div>
    <w:div w:id="1506555317">
      <w:bodyDiv w:val="1"/>
      <w:marLeft w:val="0"/>
      <w:marRight w:val="0"/>
      <w:marTop w:val="0"/>
      <w:marBottom w:val="0"/>
      <w:divBdr>
        <w:top w:val="none" w:sz="0" w:space="0" w:color="auto"/>
        <w:left w:val="none" w:sz="0" w:space="0" w:color="auto"/>
        <w:bottom w:val="none" w:sz="0" w:space="0" w:color="auto"/>
        <w:right w:val="none" w:sz="0" w:space="0" w:color="auto"/>
      </w:divBdr>
    </w:div>
    <w:div w:id="1506626807">
      <w:bodyDiv w:val="1"/>
      <w:marLeft w:val="0"/>
      <w:marRight w:val="0"/>
      <w:marTop w:val="0"/>
      <w:marBottom w:val="0"/>
      <w:divBdr>
        <w:top w:val="none" w:sz="0" w:space="0" w:color="auto"/>
        <w:left w:val="none" w:sz="0" w:space="0" w:color="auto"/>
        <w:bottom w:val="none" w:sz="0" w:space="0" w:color="auto"/>
        <w:right w:val="none" w:sz="0" w:space="0" w:color="auto"/>
      </w:divBdr>
    </w:div>
    <w:div w:id="1506749758">
      <w:bodyDiv w:val="1"/>
      <w:marLeft w:val="0"/>
      <w:marRight w:val="0"/>
      <w:marTop w:val="0"/>
      <w:marBottom w:val="0"/>
      <w:divBdr>
        <w:top w:val="none" w:sz="0" w:space="0" w:color="auto"/>
        <w:left w:val="none" w:sz="0" w:space="0" w:color="auto"/>
        <w:bottom w:val="none" w:sz="0" w:space="0" w:color="auto"/>
        <w:right w:val="none" w:sz="0" w:space="0" w:color="auto"/>
      </w:divBdr>
    </w:div>
    <w:div w:id="1506752067">
      <w:bodyDiv w:val="1"/>
      <w:marLeft w:val="0"/>
      <w:marRight w:val="0"/>
      <w:marTop w:val="0"/>
      <w:marBottom w:val="0"/>
      <w:divBdr>
        <w:top w:val="none" w:sz="0" w:space="0" w:color="auto"/>
        <w:left w:val="none" w:sz="0" w:space="0" w:color="auto"/>
        <w:bottom w:val="none" w:sz="0" w:space="0" w:color="auto"/>
        <w:right w:val="none" w:sz="0" w:space="0" w:color="auto"/>
      </w:divBdr>
    </w:div>
    <w:div w:id="1506938865">
      <w:bodyDiv w:val="1"/>
      <w:marLeft w:val="0"/>
      <w:marRight w:val="0"/>
      <w:marTop w:val="0"/>
      <w:marBottom w:val="0"/>
      <w:divBdr>
        <w:top w:val="none" w:sz="0" w:space="0" w:color="auto"/>
        <w:left w:val="none" w:sz="0" w:space="0" w:color="auto"/>
        <w:bottom w:val="none" w:sz="0" w:space="0" w:color="auto"/>
        <w:right w:val="none" w:sz="0" w:space="0" w:color="auto"/>
      </w:divBdr>
    </w:div>
    <w:div w:id="1506941918">
      <w:bodyDiv w:val="1"/>
      <w:marLeft w:val="0"/>
      <w:marRight w:val="0"/>
      <w:marTop w:val="0"/>
      <w:marBottom w:val="0"/>
      <w:divBdr>
        <w:top w:val="none" w:sz="0" w:space="0" w:color="auto"/>
        <w:left w:val="none" w:sz="0" w:space="0" w:color="auto"/>
        <w:bottom w:val="none" w:sz="0" w:space="0" w:color="auto"/>
        <w:right w:val="none" w:sz="0" w:space="0" w:color="auto"/>
      </w:divBdr>
    </w:div>
    <w:div w:id="1507014187">
      <w:bodyDiv w:val="1"/>
      <w:marLeft w:val="0"/>
      <w:marRight w:val="0"/>
      <w:marTop w:val="0"/>
      <w:marBottom w:val="0"/>
      <w:divBdr>
        <w:top w:val="none" w:sz="0" w:space="0" w:color="auto"/>
        <w:left w:val="none" w:sz="0" w:space="0" w:color="auto"/>
        <w:bottom w:val="none" w:sz="0" w:space="0" w:color="auto"/>
        <w:right w:val="none" w:sz="0" w:space="0" w:color="auto"/>
      </w:divBdr>
    </w:div>
    <w:div w:id="1507136226">
      <w:bodyDiv w:val="1"/>
      <w:marLeft w:val="0"/>
      <w:marRight w:val="0"/>
      <w:marTop w:val="0"/>
      <w:marBottom w:val="0"/>
      <w:divBdr>
        <w:top w:val="none" w:sz="0" w:space="0" w:color="auto"/>
        <w:left w:val="none" w:sz="0" w:space="0" w:color="auto"/>
        <w:bottom w:val="none" w:sz="0" w:space="0" w:color="auto"/>
        <w:right w:val="none" w:sz="0" w:space="0" w:color="auto"/>
      </w:divBdr>
    </w:div>
    <w:div w:id="1507162552">
      <w:bodyDiv w:val="1"/>
      <w:marLeft w:val="0"/>
      <w:marRight w:val="0"/>
      <w:marTop w:val="0"/>
      <w:marBottom w:val="0"/>
      <w:divBdr>
        <w:top w:val="none" w:sz="0" w:space="0" w:color="auto"/>
        <w:left w:val="none" w:sz="0" w:space="0" w:color="auto"/>
        <w:bottom w:val="none" w:sz="0" w:space="0" w:color="auto"/>
        <w:right w:val="none" w:sz="0" w:space="0" w:color="auto"/>
      </w:divBdr>
    </w:div>
    <w:div w:id="1507280734">
      <w:bodyDiv w:val="1"/>
      <w:marLeft w:val="0"/>
      <w:marRight w:val="0"/>
      <w:marTop w:val="0"/>
      <w:marBottom w:val="0"/>
      <w:divBdr>
        <w:top w:val="none" w:sz="0" w:space="0" w:color="auto"/>
        <w:left w:val="none" w:sz="0" w:space="0" w:color="auto"/>
        <w:bottom w:val="none" w:sz="0" w:space="0" w:color="auto"/>
        <w:right w:val="none" w:sz="0" w:space="0" w:color="auto"/>
      </w:divBdr>
    </w:div>
    <w:div w:id="1507282195">
      <w:bodyDiv w:val="1"/>
      <w:marLeft w:val="0"/>
      <w:marRight w:val="0"/>
      <w:marTop w:val="0"/>
      <w:marBottom w:val="0"/>
      <w:divBdr>
        <w:top w:val="none" w:sz="0" w:space="0" w:color="auto"/>
        <w:left w:val="none" w:sz="0" w:space="0" w:color="auto"/>
        <w:bottom w:val="none" w:sz="0" w:space="0" w:color="auto"/>
        <w:right w:val="none" w:sz="0" w:space="0" w:color="auto"/>
      </w:divBdr>
    </w:div>
    <w:div w:id="1507287881">
      <w:bodyDiv w:val="1"/>
      <w:marLeft w:val="0"/>
      <w:marRight w:val="0"/>
      <w:marTop w:val="0"/>
      <w:marBottom w:val="0"/>
      <w:divBdr>
        <w:top w:val="none" w:sz="0" w:space="0" w:color="auto"/>
        <w:left w:val="none" w:sz="0" w:space="0" w:color="auto"/>
        <w:bottom w:val="none" w:sz="0" w:space="0" w:color="auto"/>
        <w:right w:val="none" w:sz="0" w:space="0" w:color="auto"/>
      </w:divBdr>
    </w:div>
    <w:div w:id="1507355125">
      <w:bodyDiv w:val="1"/>
      <w:marLeft w:val="0"/>
      <w:marRight w:val="0"/>
      <w:marTop w:val="0"/>
      <w:marBottom w:val="0"/>
      <w:divBdr>
        <w:top w:val="none" w:sz="0" w:space="0" w:color="auto"/>
        <w:left w:val="none" w:sz="0" w:space="0" w:color="auto"/>
        <w:bottom w:val="none" w:sz="0" w:space="0" w:color="auto"/>
        <w:right w:val="none" w:sz="0" w:space="0" w:color="auto"/>
      </w:divBdr>
    </w:div>
    <w:div w:id="1507402299">
      <w:bodyDiv w:val="1"/>
      <w:marLeft w:val="0"/>
      <w:marRight w:val="0"/>
      <w:marTop w:val="0"/>
      <w:marBottom w:val="0"/>
      <w:divBdr>
        <w:top w:val="none" w:sz="0" w:space="0" w:color="auto"/>
        <w:left w:val="none" w:sz="0" w:space="0" w:color="auto"/>
        <w:bottom w:val="none" w:sz="0" w:space="0" w:color="auto"/>
        <w:right w:val="none" w:sz="0" w:space="0" w:color="auto"/>
      </w:divBdr>
    </w:div>
    <w:div w:id="1507549564">
      <w:bodyDiv w:val="1"/>
      <w:marLeft w:val="0"/>
      <w:marRight w:val="0"/>
      <w:marTop w:val="0"/>
      <w:marBottom w:val="0"/>
      <w:divBdr>
        <w:top w:val="none" w:sz="0" w:space="0" w:color="auto"/>
        <w:left w:val="none" w:sz="0" w:space="0" w:color="auto"/>
        <w:bottom w:val="none" w:sz="0" w:space="0" w:color="auto"/>
        <w:right w:val="none" w:sz="0" w:space="0" w:color="auto"/>
      </w:divBdr>
    </w:div>
    <w:div w:id="1507549566">
      <w:bodyDiv w:val="1"/>
      <w:marLeft w:val="0"/>
      <w:marRight w:val="0"/>
      <w:marTop w:val="0"/>
      <w:marBottom w:val="0"/>
      <w:divBdr>
        <w:top w:val="none" w:sz="0" w:space="0" w:color="auto"/>
        <w:left w:val="none" w:sz="0" w:space="0" w:color="auto"/>
        <w:bottom w:val="none" w:sz="0" w:space="0" w:color="auto"/>
        <w:right w:val="none" w:sz="0" w:space="0" w:color="auto"/>
      </w:divBdr>
    </w:div>
    <w:div w:id="1507671774">
      <w:bodyDiv w:val="1"/>
      <w:marLeft w:val="0"/>
      <w:marRight w:val="0"/>
      <w:marTop w:val="0"/>
      <w:marBottom w:val="0"/>
      <w:divBdr>
        <w:top w:val="none" w:sz="0" w:space="0" w:color="auto"/>
        <w:left w:val="none" w:sz="0" w:space="0" w:color="auto"/>
        <w:bottom w:val="none" w:sz="0" w:space="0" w:color="auto"/>
        <w:right w:val="none" w:sz="0" w:space="0" w:color="auto"/>
      </w:divBdr>
    </w:div>
    <w:div w:id="1507745749">
      <w:bodyDiv w:val="1"/>
      <w:marLeft w:val="0"/>
      <w:marRight w:val="0"/>
      <w:marTop w:val="0"/>
      <w:marBottom w:val="0"/>
      <w:divBdr>
        <w:top w:val="none" w:sz="0" w:space="0" w:color="auto"/>
        <w:left w:val="none" w:sz="0" w:space="0" w:color="auto"/>
        <w:bottom w:val="none" w:sz="0" w:space="0" w:color="auto"/>
        <w:right w:val="none" w:sz="0" w:space="0" w:color="auto"/>
      </w:divBdr>
    </w:div>
    <w:div w:id="1507747587">
      <w:bodyDiv w:val="1"/>
      <w:marLeft w:val="0"/>
      <w:marRight w:val="0"/>
      <w:marTop w:val="0"/>
      <w:marBottom w:val="0"/>
      <w:divBdr>
        <w:top w:val="none" w:sz="0" w:space="0" w:color="auto"/>
        <w:left w:val="none" w:sz="0" w:space="0" w:color="auto"/>
        <w:bottom w:val="none" w:sz="0" w:space="0" w:color="auto"/>
        <w:right w:val="none" w:sz="0" w:space="0" w:color="auto"/>
      </w:divBdr>
    </w:div>
    <w:div w:id="1507789334">
      <w:bodyDiv w:val="1"/>
      <w:marLeft w:val="0"/>
      <w:marRight w:val="0"/>
      <w:marTop w:val="0"/>
      <w:marBottom w:val="0"/>
      <w:divBdr>
        <w:top w:val="none" w:sz="0" w:space="0" w:color="auto"/>
        <w:left w:val="none" w:sz="0" w:space="0" w:color="auto"/>
        <w:bottom w:val="none" w:sz="0" w:space="0" w:color="auto"/>
        <w:right w:val="none" w:sz="0" w:space="0" w:color="auto"/>
      </w:divBdr>
    </w:div>
    <w:div w:id="1507819293">
      <w:bodyDiv w:val="1"/>
      <w:marLeft w:val="0"/>
      <w:marRight w:val="0"/>
      <w:marTop w:val="0"/>
      <w:marBottom w:val="0"/>
      <w:divBdr>
        <w:top w:val="none" w:sz="0" w:space="0" w:color="auto"/>
        <w:left w:val="none" w:sz="0" w:space="0" w:color="auto"/>
        <w:bottom w:val="none" w:sz="0" w:space="0" w:color="auto"/>
        <w:right w:val="none" w:sz="0" w:space="0" w:color="auto"/>
      </w:divBdr>
    </w:div>
    <w:div w:id="1507863475">
      <w:bodyDiv w:val="1"/>
      <w:marLeft w:val="0"/>
      <w:marRight w:val="0"/>
      <w:marTop w:val="0"/>
      <w:marBottom w:val="0"/>
      <w:divBdr>
        <w:top w:val="none" w:sz="0" w:space="0" w:color="auto"/>
        <w:left w:val="none" w:sz="0" w:space="0" w:color="auto"/>
        <w:bottom w:val="none" w:sz="0" w:space="0" w:color="auto"/>
        <w:right w:val="none" w:sz="0" w:space="0" w:color="auto"/>
      </w:divBdr>
    </w:div>
    <w:div w:id="1507936503">
      <w:bodyDiv w:val="1"/>
      <w:marLeft w:val="0"/>
      <w:marRight w:val="0"/>
      <w:marTop w:val="0"/>
      <w:marBottom w:val="0"/>
      <w:divBdr>
        <w:top w:val="none" w:sz="0" w:space="0" w:color="auto"/>
        <w:left w:val="none" w:sz="0" w:space="0" w:color="auto"/>
        <w:bottom w:val="none" w:sz="0" w:space="0" w:color="auto"/>
        <w:right w:val="none" w:sz="0" w:space="0" w:color="auto"/>
      </w:divBdr>
    </w:div>
    <w:div w:id="1508014764">
      <w:bodyDiv w:val="1"/>
      <w:marLeft w:val="0"/>
      <w:marRight w:val="0"/>
      <w:marTop w:val="0"/>
      <w:marBottom w:val="0"/>
      <w:divBdr>
        <w:top w:val="none" w:sz="0" w:space="0" w:color="auto"/>
        <w:left w:val="none" w:sz="0" w:space="0" w:color="auto"/>
        <w:bottom w:val="none" w:sz="0" w:space="0" w:color="auto"/>
        <w:right w:val="none" w:sz="0" w:space="0" w:color="auto"/>
      </w:divBdr>
    </w:div>
    <w:div w:id="1508059056">
      <w:bodyDiv w:val="1"/>
      <w:marLeft w:val="0"/>
      <w:marRight w:val="0"/>
      <w:marTop w:val="0"/>
      <w:marBottom w:val="0"/>
      <w:divBdr>
        <w:top w:val="none" w:sz="0" w:space="0" w:color="auto"/>
        <w:left w:val="none" w:sz="0" w:space="0" w:color="auto"/>
        <w:bottom w:val="none" w:sz="0" w:space="0" w:color="auto"/>
        <w:right w:val="none" w:sz="0" w:space="0" w:color="auto"/>
      </w:divBdr>
    </w:div>
    <w:div w:id="1508323703">
      <w:bodyDiv w:val="1"/>
      <w:marLeft w:val="0"/>
      <w:marRight w:val="0"/>
      <w:marTop w:val="0"/>
      <w:marBottom w:val="0"/>
      <w:divBdr>
        <w:top w:val="none" w:sz="0" w:space="0" w:color="auto"/>
        <w:left w:val="none" w:sz="0" w:space="0" w:color="auto"/>
        <w:bottom w:val="none" w:sz="0" w:space="0" w:color="auto"/>
        <w:right w:val="none" w:sz="0" w:space="0" w:color="auto"/>
      </w:divBdr>
    </w:div>
    <w:div w:id="1508324923">
      <w:bodyDiv w:val="1"/>
      <w:marLeft w:val="0"/>
      <w:marRight w:val="0"/>
      <w:marTop w:val="0"/>
      <w:marBottom w:val="0"/>
      <w:divBdr>
        <w:top w:val="none" w:sz="0" w:space="0" w:color="auto"/>
        <w:left w:val="none" w:sz="0" w:space="0" w:color="auto"/>
        <w:bottom w:val="none" w:sz="0" w:space="0" w:color="auto"/>
        <w:right w:val="none" w:sz="0" w:space="0" w:color="auto"/>
      </w:divBdr>
    </w:div>
    <w:div w:id="1508326227">
      <w:bodyDiv w:val="1"/>
      <w:marLeft w:val="0"/>
      <w:marRight w:val="0"/>
      <w:marTop w:val="0"/>
      <w:marBottom w:val="0"/>
      <w:divBdr>
        <w:top w:val="none" w:sz="0" w:space="0" w:color="auto"/>
        <w:left w:val="none" w:sz="0" w:space="0" w:color="auto"/>
        <w:bottom w:val="none" w:sz="0" w:space="0" w:color="auto"/>
        <w:right w:val="none" w:sz="0" w:space="0" w:color="auto"/>
      </w:divBdr>
    </w:div>
    <w:div w:id="1508327831">
      <w:bodyDiv w:val="1"/>
      <w:marLeft w:val="0"/>
      <w:marRight w:val="0"/>
      <w:marTop w:val="0"/>
      <w:marBottom w:val="0"/>
      <w:divBdr>
        <w:top w:val="none" w:sz="0" w:space="0" w:color="auto"/>
        <w:left w:val="none" w:sz="0" w:space="0" w:color="auto"/>
        <w:bottom w:val="none" w:sz="0" w:space="0" w:color="auto"/>
        <w:right w:val="none" w:sz="0" w:space="0" w:color="auto"/>
      </w:divBdr>
    </w:div>
    <w:div w:id="1508398464">
      <w:bodyDiv w:val="1"/>
      <w:marLeft w:val="0"/>
      <w:marRight w:val="0"/>
      <w:marTop w:val="0"/>
      <w:marBottom w:val="0"/>
      <w:divBdr>
        <w:top w:val="none" w:sz="0" w:space="0" w:color="auto"/>
        <w:left w:val="none" w:sz="0" w:space="0" w:color="auto"/>
        <w:bottom w:val="none" w:sz="0" w:space="0" w:color="auto"/>
        <w:right w:val="none" w:sz="0" w:space="0" w:color="auto"/>
      </w:divBdr>
    </w:div>
    <w:div w:id="1508405074">
      <w:bodyDiv w:val="1"/>
      <w:marLeft w:val="0"/>
      <w:marRight w:val="0"/>
      <w:marTop w:val="0"/>
      <w:marBottom w:val="0"/>
      <w:divBdr>
        <w:top w:val="none" w:sz="0" w:space="0" w:color="auto"/>
        <w:left w:val="none" w:sz="0" w:space="0" w:color="auto"/>
        <w:bottom w:val="none" w:sz="0" w:space="0" w:color="auto"/>
        <w:right w:val="none" w:sz="0" w:space="0" w:color="auto"/>
      </w:divBdr>
    </w:div>
    <w:div w:id="1508472368">
      <w:bodyDiv w:val="1"/>
      <w:marLeft w:val="0"/>
      <w:marRight w:val="0"/>
      <w:marTop w:val="0"/>
      <w:marBottom w:val="0"/>
      <w:divBdr>
        <w:top w:val="none" w:sz="0" w:space="0" w:color="auto"/>
        <w:left w:val="none" w:sz="0" w:space="0" w:color="auto"/>
        <w:bottom w:val="none" w:sz="0" w:space="0" w:color="auto"/>
        <w:right w:val="none" w:sz="0" w:space="0" w:color="auto"/>
      </w:divBdr>
    </w:div>
    <w:div w:id="1508595068">
      <w:bodyDiv w:val="1"/>
      <w:marLeft w:val="0"/>
      <w:marRight w:val="0"/>
      <w:marTop w:val="0"/>
      <w:marBottom w:val="0"/>
      <w:divBdr>
        <w:top w:val="none" w:sz="0" w:space="0" w:color="auto"/>
        <w:left w:val="none" w:sz="0" w:space="0" w:color="auto"/>
        <w:bottom w:val="none" w:sz="0" w:space="0" w:color="auto"/>
        <w:right w:val="none" w:sz="0" w:space="0" w:color="auto"/>
      </w:divBdr>
    </w:div>
    <w:div w:id="1508597416">
      <w:bodyDiv w:val="1"/>
      <w:marLeft w:val="0"/>
      <w:marRight w:val="0"/>
      <w:marTop w:val="0"/>
      <w:marBottom w:val="0"/>
      <w:divBdr>
        <w:top w:val="none" w:sz="0" w:space="0" w:color="auto"/>
        <w:left w:val="none" w:sz="0" w:space="0" w:color="auto"/>
        <w:bottom w:val="none" w:sz="0" w:space="0" w:color="auto"/>
        <w:right w:val="none" w:sz="0" w:space="0" w:color="auto"/>
      </w:divBdr>
    </w:div>
    <w:div w:id="1508712625">
      <w:bodyDiv w:val="1"/>
      <w:marLeft w:val="0"/>
      <w:marRight w:val="0"/>
      <w:marTop w:val="0"/>
      <w:marBottom w:val="0"/>
      <w:divBdr>
        <w:top w:val="none" w:sz="0" w:space="0" w:color="auto"/>
        <w:left w:val="none" w:sz="0" w:space="0" w:color="auto"/>
        <w:bottom w:val="none" w:sz="0" w:space="0" w:color="auto"/>
        <w:right w:val="none" w:sz="0" w:space="0" w:color="auto"/>
      </w:divBdr>
    </w:div>
    <w:div w:id="1508714563">
      <w:bodyDiv w:val="1"/>
      <w:marLeft w:val="0"/>
      <w:marRight w:val="0"/>
      <w:marTop w:val="0"/>
      <w:marBottom w:val="0"/>
      <w:divBdr>
        <w:top w:val="none" w:sz="0" w:space="0" w:color="auto"/>
        <w:left w:val="none" w:sz="0" w:space="0" w:color="auto"/>
        <w:bottom w:val="none" w:sz="0" w:space="0" w:color="auto"/>
        <w:right w:val="none" w:sz="0" w:space="0" w:color="auto"/>
      </w:divBdr>
    </w:div>
    <w:div w:id="1508716151">
      <w:bodyDiv w:val="1"/>
      <w:marLeft w:val="0"/>
      <w:marRight w:val="0"/>
      <w:marTop w:val="0"/>
      <w:marBottom w:val="0"/>
      <w:divBdr>
        <w:top w:val="none" w:sz="0" w:space="0" w:color="auto"/>
        <w:left w:val="none" w:sz="0" w:space="0" w:color="auto"/>
        <w:bottom w:val="none" w:sz="0" w:space="0" w:color="auto"/>
        <w:right w:val="none" w:sz="0" w:space="0" w:color="auto"/>
      </w:divBdr>
    </w:div>
    <w:div w:id="1508790527">
      <w:bodyDiv w:val="1"/>
      <w:marLeft w:val="0"/>
      <w:marRight w:val="0"/>
      <w:marTop w:val="0"/>
      <w:marBottom w:val="0"/>
      <w:divBdr>
        <w:top w:val="none" w:sz="0" w:space="0" w:color="auto"/>
        <w:left w:val="none" w:sz="0" w:space="0" w:color="auto"/>
        <w:bottom w:val="none" w:sz="0" w:space="0" w:color="auto"/>
        <w:right w:val="none" w:sz="0" w:space="0" w:color="auto"/>
      </w:divBdr>
    </w:div>
    <w:div w:id="1508985150">
      <w:bodyDiv w:val="1"/>
      <w:marLeft w:val="0"/>
      <w:marRight w:val="0"/>
      <w:marTop w:val="0"/>
      <w:marBottom w:val="0"/>
      <w:divBdr>
        <w:top w:val="none" w:sz="0" w:space="0" w:color="auto"/>
        <w:left w:val="none" w:sz="0" w:space="0" w:color="auto"/>
        <w:bottom w:val="none" w:sz="0" w:space="0" w:color="auto"/>
        <w:right w:val="none" w:sz="0" w:space="0" w:color="auto"/>
      </w:divBdr>
    </w:div>
    <w:div w:id="1509103092">
      <w:bodyDiv w:val="1"/>
      <w:marLeft w:val="0"/>
      <w:marRight w:val="0"/>
      <w:marTop w:val="0"/>
      <w:marBottom w:val="0"/>
      <w:divBdr>
        <w:top w:val="none" w:sz="0" w:space="0" w:color="auto"/>
        <w:left w:val="none" w:sz="0" w:space="0" w:color="auto"/>
        <w:bottom w:val="none" w:sz="0" w:space="0" w:color="auto"/>
        <w:right w:val="none" w:sz="0" w:space="0" w:color="auto"/>
      </w:divBdr>
    </w:div>
    <w:div w:id="1509248334">
      <w:bodyDiv w:val="1"/>
      <w:marLeft w:val="0"/>
      <w:marRight w:val="0"/>
      <w:marTop w:val="0"/>
      <w:marBottom w:val="0"/>
      <w:divBdr>
        <w:top w:val="none" w:sz="0" w:space="0" w:color="auto"/>
        <w:left w:val="none" w:sz="0" w:space="0" w:color="auto"/>
        <w:bottom w:val="none" w:sz="0" w:space="0" w:color="auto"/>
        <w:right w:val="none" w:sz="0" w:space="0" w:color="auto"/>
      </w:divBdr>
    </w:div>
    <w:div w:id="1509253781">
      <w:bodyDiv w:val="1"/>
      <w:marLeft w:val="0"/>
      <w:marRight w:val="0"/>
      <w:marTop w:val="0"/>
      <w:marBottom w:val="0"/>
      <w:divBdr>
        <w:top w:val="none" w:sz="0" w:space="0" w:color="auto"/>
        <w:left w:val="none" w:sz="0" w:space="0" w:color="auto"/>
        <w:bottom w:val="none" w:sz="0" w:space="0" w:color="auto"/>
        <w:right w:val="none" w:sz="0" w:space="0" w:color="auto"/>
      </w:divBdr>
    </w:div>
    <w:div w:id="1509365449">
      <w:bodyDiv w:val="1"/>
      <w:marLeft w:val="0"/>
      <w:marRight w:val="0"/>
      <w:marTop w:val="0"/>
      <w:marBottom w:val="0"/>
      <w:divBdr>
        <w:top w:val="none" w:sz="0" w:space="0" w:color="auto"/>
        <w:left w:val="none" w:sz="0" w:space="0" w:color="auto"/>
        <w:bottom w:val="none" w:sz="0" w:space="0" w:color="auto"/>
        <w:right w:val="none" w:sz="0" w:space="0" w:color="auto"/>
      </w:divBdr>
    </w:div>
    <w:div w:id="1509446622">
      <w:bodyDiv w:val="1"/>
      <w:marLeft w:val="0"/>
      <w:marRight w:val="0"/>
      <w:marTop w:val="0"/>
      <w:marBottom w:val="0"/>
      <w:divBdr>
        <w:top w:val="none" w:sz="0" w:space="0" w:color="auto"/>
        <w:left w:val="none" w:sz="0" w:space="0" w:color="auto"/>
        <w:bottom w:val="none" w:sz="0" w:space="0" w:color="auto"/>
        <w:right w:val="none" w:sz="0" w:space="0" w:color="auto"/>
      </w:divBdr>
    </w:div>
    <w:div w:id="1509565103">
      <w:bodyDiv w:val="1"/>
      <w:marLeft w:val="0"/>
      <w:marRight w:val="0"/>
      <w:marTop w:val="0"/>
      <w:marBottom w:val="0"/>
      <w:divBdr>
        <w:top w:val="none" w:sz="0" w:space="0" w:color="auto"/>
        <w:left w:val="none" w:sz="0" w:space="0" w:color="auto"/>
        <w:bottom w:val="none" w:sz="0" w:space="0" w:color="auto"/>
        <w:right w:val="none" w:sz="0" w:space="0" w:color="auto"/>
      </w:divBdr>
    </w:div>
    <w:div w:id="1509977678">
      <w:bodyDiv w:val="1"/>
      <w:marLeft w:val="0"/>
      <w:marRight w:val="0"/>
      <w:marTop w:val="0"/>
      <w:marBottom w:val="0"/>
      <w:divBdr>
        <w:top w:val="none" w:sz="0" w:space="0" w:color="auto"/>
        <w:left w:val="none" w:sz="0" w:space="0" w:color="auto"/>
        <w:bottom w:val="none" w:sz="0" w:space="0" w:color="auto"/>
        <w:right w:val="none" w:sz="0" w:space="0" w:color="auto"/>
      </w:divBdr>
    </w:div>
    <w:div w:id="1509979271">
      <w:bodyDiv w:val="1"/>
      <w:marLeft w:val="0"/>
      <w:marRight w:val="0"/>
      <w:marTop w:val="0"/>
      <w:marBottom w:val="0"/>
      <w:divBdr>
        <w:top w:val="none" w:sz="0" w:space="0" w:color="auto"/>
        <w:left w:val="none" w:sz="0" w:space="0" w:color="auto"/>
        <w:bottom w:val="none" w:sz="0" w:space="0" w:color="auto"/>
        <w:right w:val="none" w:sz="0" w:space="0" w:color="auto"/>
      </w:divBdr>
    </w:div>
    <w:div w:id="1510021491">
      <w:bodyDiv w:val="1"/>
      <w:marLeft w:val="0"/>
      <w:marRight w:val="0"/>
      <w:marTop w:val="0"/>
      <w:marBottom w:val="0"/>
      <w:divBdr>
        <w:top w:val="none" w:sz="0" w:space="0" w:color="auto"/>
        <w:left w:val="none" w:sz="0" w:space="0" w:color="auto"/>
        <w:bottom w:val="none" w:sz="0" w:space="0" w:color="auto"/>
        <w:right w:val="none" w:sz="0" w:space="0" w:color="auto"/>
      </w:divBdr>
    </w:div>
    <w:div w:id="1510102944">
      <w:bodyDiv w:val="1"/>
      <w:marLeft w:val="0"/>
      <w:marRight w:val="0"/>
      <w:marTop w:val="0"/>
      <w:marBottom w:val="0"/>
      <w:divBdr>
        <w:top w:val="none" w:sz="0" w:space="0" w:color="auto"/>
        <w:left w:val="none" w:sz="0" w:space="0" w:color="auto"/>
        <w:bottom w:val="none" w:sz="0" w:space="0" w:color="auto"/>
        <w:right w:val="none" w:sz="0" w:space="0" w:color="auto"/>
      </w:divBdr>
    </w:div>
    <w:div w:id="1510171875">
      <w:bodyDiv w:val="1"/>
      <w:marLeft w:val="0"/>
      <w:marRight w:val="0"/>
      <w:marTop w:val="0"/>
      <w:marBottom w:val="0"/>
      <w:divBdr>
        <w:top w:val="none" w:sz="0" w:space="0" w:color="auto"/>
        <w:left w:val="none" w:sz="0" w:space="0" w:color="auto"/>
        <w:bottom w:val="none" w:sz="0" w:space="0" w:color="auto"/>
        <w:right w:val="none" w:sz="0" w:space="0" w:color="auto"/>
      </w:divBdr>
    </w:div>
    <w:div w:id="1510172630">
      <w:bodyDiv w:val="1"/>
      <w:marLeft w:val="0"/>
      <w:marRight w:val="0"/>
      <w:marTop w:val="0"/>
      <w:marBottom w:val="0"/>
      <w:divBdr>
        <w:top w:val="none" w:sz="0" w:space="0" w:color="auto"/>
        <w:left w:val="none" w:sz="0" w:space="0" w:color="auto"/>
        <w:bottom w:val="none" w:sz="0" w:space="0" w:color="auto"/>
        <w:right w:val="none" w:sz="0" w:space="0" w:color="auto"/>
      </w:divBdr>
    </w:div>
    <w:div w:id="1510176008">
      <w:bodyDiv w:val="1"/>
      <w:marLeft w:val="0"/>
      <w:marRight w:val="0"/>
      <w:marTop w:val="0"/>
      <w:marBottom w:val="0"/>
      <w:divBdr>
        <w:top w:val="none" w:sz="0" w:space="0" w:color="auto"/>
        <w:left w:val="none" w:sz="0" w:space="0" w:color="auto"/>
        <w:bottom w:val="none" w:sz="0" w:space="0" w:color="auto"/>
        <w:right w:val="none" w:sz="0" w:space="0" w:color="auto"/>
      </w:divBdr>
    </w:div>
    <w:div w:id="1510292106">
      <w:bodyDiv w:val="1"/>
      <w:marLeft w:val="0"/>
      <w:marRight w:val="0"/>
      <w:marTop w:val="0"/>
      <w:marBottom w:val="0"/>
      <w:divBdr>
        <w:top w:val="none" w:sz="0" w:space="0" w:color="auto"/>
        <w:left w:val="none" w:sz="0" w:space="0" w:color="auto"/>
        <w:bottom w:val="none" w:sz="0" w:space="0" w:color="auto"/>
        <w:right w:val="none" w:sz="0" w:space="0" w:color="auto"/>
      </w:divBdr>
    </w:div>
    <w:div w:id="1510368755">
      <w:bodyDiv w:val="1"/>
      <w:marLeft w:val="0"/>
      <w:marRight w:val="0"/>
      <w:marTop w:val="0"/>
      <w:marBottom w:val="0"/>
      <w:divBdr>
        <w:top w:val="none" w:sz="0" w:space="0" w:color="auto"/>
        <w:left w:val="none" w:sz="0" w:space="0" w:color="auto"/>
        <w:bottom w:val="none" w:sz="0" w:space="0" w:color="auto"/>
        <w:right w:val="none" w:sz="0" w:space="0" w:color="auto"/>
      </w:divBdr>
    </w:div>
    <w:div w:id="1510440445">
      <w:bodyDiv w:val="1"/>
      <w:marLeft w:val="0"/>
      <w:marRight w:val="0"/>
      <w:marTop w:val="0"/>
      <w:marBottom w:val="0"/>
      <w:divBdr>
        <w:top w:val="none" w:sz="0" w:space="0" w:color="auto"/>
        <w:left w:val="none" w:sz="0" w:space="0" w:color="auto"/>
        <w:bottom w:val="none" w:sz="0" w:space="0" w:color="auto"/>
        <w:right w:val="none" w:sz="0" w:space="0" w:color="auto"/>
      </w:divBdr>
    </w:div>
    <w:div w:id="1510482235">
      <w:bodyDiv w:val="1"/>
      <w:marLeft w:val="0"/>
      <w:marRight w:val="0"/>
      <w:marTop w:val="0"/>
      <w:marBottom w:val="0"/>
      <w:divBdr>
        <w:top w:val="none" w:sz="0" w:space="0" w:color="auto"/>
        <w:left w:val="none" w:sz="0" w:space="0" w:color="auto"/>
        <w:bottom w:val="none" w:sz="0" w:space="0" w:color="auto"/>
        <w:right w:val="none" w:sz="0" w:space="0" w:color="auto"/>
      </w:divBdr>
    </w:div>
    <w:div w:id="1510483580">
      <w:bodyDiv w:val="1"/>
      <w:marLeft w:val="0"/>
      <w:marRight w:val="0"/>
      <w:marTop w:val="0"/>
      <w:marBottom w:val="0"/>
      <w:divBdr>
        <w:top w:val="none" w:sz="0" w:space="0" w:color="auto"/>
        <w:left w:val="none" w:sz="0" w:space="0" w:color="auto"/>
        <w:bottom w:val="none" w:sz="0" w:space="0" w:color="auto"/>
        <w:right w:val="none" w:sz="0" w:space="0" w:color="auto"/>
      </w:divBdr>
    </w:div>
    <w:div w:id="1510564501">
      <w:bodyDiv w:val="1"/>
      <w:marLeft w:val="0"/>
      <w:marRight w:val="0"/>
      <w:marTop w:val="0"/>
      <w:marBottom w:val="0"/>
      <w:divBdr>
        <w:top w:val="none" w:sz="0" w:space="0" w:color="auto"/>
        <w:left w:val="none" w:sz="0" w:space="0" w:color="auto"/>
        <w:bottom w:val="none" w:sz="0" w:space="0" w:color="auto"/>
        <w:right w:val="none" w:sz="0" w:space="0" w:color="auto"/>
      </w:divBdr>
    </w:div>
    <w:div w:id="1510564697">
      <w:bodyDiv w:val="1"/>
      <w:marLeft w:val="0"/>
      <w:marRight w:val="0"/>
      <w:marTop w:val="0"/>
      <w:marBottom w:val="0"/>
      <w:divBdr>
        <w:top w:val="none" w:sz="0" w:space="0" w:color="auto"/>
        <w:left w:val="none" w:sz="0" w:space="0" w:color="auto"/>
        <w:bottom w:val="none" w:sz="0" w:space="0" w:color="auto"/>
        <w:right w:val="none" w:sz="0" w:space="0" w:color="auto"/>
      </w:divBdr>
    </w:div>
    <w:div w:id="1510565417">
      <w:bodyDiv w:val="1"/>
      <w:marLeft w:val="0"/>
      <w:marRight w:val="0"/>
      <w:marTop w:val="0"/>
      <w:marBottom w:val="0"/>
      <w:divBdr>
        <w:top w:val="none" w:sz="0" w:space="0" w:color="auto"/>
        <w:left w:val="none" w:sz="0" w:space="0" w:color="auto"/>
        <w:bottom w:val="none" w:sz="0" w:space="0" w:color="auto"/>
        <w:right w:val="none" w:sz="0" w:space="0" w:color="auto"/>
      </w:divBdr>
    </w:div>
    <w:div w:id="1510681213">
      <w:bodyDiv w:val="1"/>
      <w:marLeft w:val="0"/>
      <w:marRight w:val="0"/>
      <w:marTop w:val="0"/>
      <w:marBottom w:val="0"/>
      <w:divBdr>
        <w:top w:val="none" w:sz="0" w:space="0" w:color="auto"/>
        <w:left w:val="none" w:sz="0" w:space="0" w:color="auto"/>
        <w:bottom w:val="none" w:sz="0" w:space="0" w:color="auto"/>
        <w:right w:val="none" w:sz="0" w:space="0" w:color="auto"/>
      </w:divBdr>
    </w:div>
    <w:div w:id="1510759083">
      <w:bodyDiv w:val="1"/>
      <w:marLeft w:val="0"/>
      <w:marRight w:val="0"/>
      <w:marTop w:val="0"/>
      <w:marBottom w:val="0"/>
      <w:divBdr>
        <w:top w:val="none" w:sz="0" w:space="0" w:color="auto"/>
        <w:left w:val="none" w:sz="0" w:space="0" w:color="auto"/>
        <w:bottom w:val="none" w:sz="0" w:space="0" w:color="auto"/>
        <w:right w:val="none" w:sz="0" w:space="0" w:color="auto"/>
      </w:divBdr>
    </w:div>
    <w:div w:id="1510831633">
      <w:bodyDiv w:val="1"/>
      <w:marLeft w:val="0"/>
      <w:marRight w:val="0"/>
      <w:marTop w:val="0"/>
      <w:marBottom w:val="0"/>
      <w:divBdr>
        <w:top w:val="none" w:sz="0" w:space="0" w:color="auto"/>
        <w:left w:val="none" w:sz="0" w:space="0" w:color="auto"/>
        <w:bottom w:val="none" w:sz="0" w:space="0" w:color="auto"/>
        <w:right w:val="none" w:sz="0" w:space="0" w:color="auto"/>
      </w:divBdr>
    </w:div>
    <w:div w:id="1510874277">
      <w:bodyDiv w:val="1"/>
      <w:marLeft w:val="0"/>
      <w:marRight w:val="0"/>
      <w:marTop w:val="0"/>
      <w:marBottom w:val="0"/>
      <w:divBdr>
        <w:top w:val="none" w:sz="0" w:space="0" w:color="auto"/>
        <w:left w:val="none" w:sz="0" w:space="0" w:color="auto"/>
        <w:bottom w:val="none" w:sz="0" w:space="0" w:color="auto"/>
        <w:right w:val="none" w:sz="0" w:space="0" w:color="auto"/>
      </w:divBdr>
    </w:div>
    <w:div w:id="1510945306">
      <w:bodyDiv w:val="1"/>
      <w:marLeft w:val="0"/>
      <w:marRight w:val="0"/>
      <w:marTop w:val="0"/>
      <w:marBottom w:val="0"/>
      <w:divBdr>
        <w:top w:val="none" w:sz="0" w:space="0" w:color="auto"/>
        <w:left w:val="none" w:sz="0" w:space="0" w:color="auto"/>
        <w:bottom w:val="none" w:sz="0" w:space="0" w:color="auto"/>
        <w:right w:val="none" w:sz="0" w:space="0" w:color="auto"/>
      </w:divBdr>
    </w:div>
    <w:div w:id="1511026037">
      <w:bodyDiv w:val="1"/>
      <w:marLeft w:val="0"/>
      <w:marRight w:val="0"/>
      <w:marTop w:val="0"/>
      <w:marBottom w:val="0"/>
      <w:divBdr>
        <w:top w:val="none" w:sz="0" w:space="0" w:color="auto"/>
        <w:left w:val="none" w:sz="0" w:space="0" w:color="auto"/>
        <w:bottom w:val="none" w:sz="0" w:space="0" w:color="auto"/>
        <w:right w:val="none" w:sz="0" w:space="0" w:color="auto"/>
      </w:divBdr>
    </w:div>
    <w:div w:id="1511027056">
      <w:bodyDiv w:val="1"/>
      <w:marLeft w:val="0"/>
      <w:marRight w:val="0"/>
      <w:marTop w:val="0"/>
      <w:marBottom w:val="0"/>
      <w:divBdr>
        <w:top w:val="none" w:sz="0" w:space="0" w:color="auto"/>
        <w:left w:val="none" w:sz="0" w:space="0" w:color="auto"/>
        <w:bottom w:val="none" w:sz="0" w:space="0" w:color="auto"/>
        <w:right w:val="none" w:sz="0" w:space="0" w:color="auto"/>
      </w:divBdr>
    </w:div>
    <w:div w:id="1511066364">
      <w:bodyDiv w:val="1"/>
      <w:marLeft w:val="0"/>
      <w:marRight w:val="0"/>
      <w:marTop w:val="0"/>
      <w:marBottom w:val="0"/>
      <w:divBdr>
        <w:top w:val="none" w:sz="0" w:space="0" w:color="auto"/>
        <w:left w:val="none" w:sz="0" w:space="0" w:color="auto"/>
        <w:bottom w:val="none" w:sz="0" w:space="0" w:color="auto"/>
        <w:right w:val="none" w:sz="0" w:space="0" w:color="auto"/>
      </w:divBdr>
    </w:div>
    <w:div w:id="1511067940">
      <w:bodyDiv w:val="1"/>
      <w:marLeft w:val="0"/>
      <w:marRight w:val="0"/>
      <w:marTop w:val="0"/>
      <w:marBottom w:val="0"/>
      <w:divBdr>
        <w:top w:val="none" w:sz="0" w:space="0" w:color="auto"/>
        <w:left w:val="none" w:sz="0" w:space="0" w:color="auto"/>
        <w:bottom w:val="none" w:sz="0" w:space="0" w:color="auto"/>
        <w:right w:val="none" w:sz="0" w:space="0" w:color="auto"/>
      </w:divBdr>
    </w:div>
    <w:div w:id="1511096116">
      <w:bodyDiv w:val="1"/>
      <w:marLeft w:val="0"/>
      <w:marRight w:val="0"/>
      <w:marTop w:val="0"/>
      <w:marBottom w:val="0"/>
      <w:divBdr>
        <w:top w:val="none" w:sz="0" w:space="0" w:color="auto"/>
        <w:left w:val="none" w:sz="0" w:space="0" w:color="auto"/>
        <w:bottom w:val="none" w:sz="0" w:space="0" w:color="auto"/>
        <w:right w:val="none" w:sz="0" w:space="0" w:color="auto"/>
      </w:divBdr>
    </w:div>
    <w:div w:id="1511139098">
      <w:bodyDiv w:val="1"/>
      <w:marLeft w:val="0"/>
      <w:marRight w:val="0"/>
      <w:marTop w:val="0"/>
      <w:marBottom w:val="0"/>
      <w:divBdr>
        <w:top w:val="none" w:sz="0" w:space="0" w:color="auto"/>
        <w:left w:val="none" w:sz="0" w:space="0" w:color="auto"/>
        <w:bottom w:val="none" w:sz="0" w:space="0" w:color="auto"/>
        <w:right w:val="none" w:sz="0" w:space="0" w:color="auto"/>
      </w:divBdr>
    </w:div>
    <w:div w:id="1511212324">
      <w:bodyDiv w:val="1"/>
      <w:marLeft w:val="0"/>
      <w:marRight w:val="0"/>
      <w:marTop w:val="0"/>
      <w:marBottom w:val="0"/>
      <w:divBdr>
        <w:top w:val="none" w:sz="0" w:space="0" w:color="auto"/>
        <w:left w:val="none" w:sz="0" w:space="0" w:color="auto"/>
        <w:bottom w:val="none" w:sz="0" w:space="0" w:color="auto"/>
        <w:right w:val="none" w:sz="0" w:space="0" w:color="auto"/>
      </w:divBdr>
    </w:div>
    <w:div w:id="1511483244">
      <w:bodyDiv w:val="1"/>
      <w:marLeft w:val="0"/>
      <w:marRight w:val="0"/>
      <w:marTop w:val="0"/>
      <w:marBottom w:val="0"/>
      <w:divBdr>
        <w:top w:val="none" w:sz="0" w:space="0" w:color="auto"/>
        <w:left w:val="none" w:sz="0" w:space="0" w:color="auto"/>
        <w:bottom w:val="none" w:sz="0" w:space="0" w:color="auto"/>
        <w:right w:val="none" w:sz="0" w:space="0" w:color="auto"/>
      </w:divBdr>
    </w:div>
    <w:div w:id="1511605873">
      <w:bodyDiv w:val="1"/>
      <w:marLeft w:val="0"/>
      <w:marRight w:val="0"/>
      <w:marTop w:val="0"/>
      <w:marBottom w:val="0"/>
      <w:divBdr>
        <w:top w:val="none" w:sz="0" w:space="0" w:color="auto"/>
        <w:left w:val="none" w:sz="0" w:space="0" w:color="auto"/>
        <w:bottom w:val="none" w:sz="0" w:space="0" w:color="auto"/>
        <w:right w:val="none" w:sz="0" w:space="0" w:color="auto"/>
      </w:divBdr>
    </w:div>
    <w:div w:id="1511681122">
      <w:bodyDiv w:val="1"/>
      <w:marLeft w:val="0"/>
      <w:marRight w:val="0"/>
      <w:marTop w:val="0"/>
      <w:marBottom w:val="0"/>
      <w:divBdr>
        <w:top w:val="none" w:sz="0" w:space="0" w:color="auto"/>
        <w:left w:val="none" w:sz="0" w:space="0" w:color="auto"/>
        <w:bottom w:val="none" w:sz="0" w:space="0" w:color="auto"/>
        <w:right w:val="none" w:sz="0" w:space="0" w:color="auto"/>
      </w:divBdr>
    </w:div>
    <w:div w:id="1511720740">
      <w:bodyDiv w:val="1"/>
      <w:marLeft w:val="0"/>
      <w:marRight w:val="0"/>
      <w:marTop w:val="0"/>
      <w:marBottom w:val="0"/>
      <w:divBdr>
        <w:top w:val="none" w:sz="0" w:space="0" w:color="auto"/>
        <w:left w:val="none" w:sz="0" w:space="0" w:color="auto"/>
        <w:bottom w:val="none" w:sz="0" w:space="0" w:color="auto"/>
        <w:right w:val="none" w:sz="0" w:space="0" w:color="auto"/>
      </w:divBdr>
    </w:div>
    <w:div w:id="1511722977">
      <w:bodyDiv w:val="1"/>
      <w:marLeft w:val="0"/>
      <w:marRight w:val="0"/>
      <w:marTop w:val="0"/>
      <w:marBottom w:val="0"/>
      <w:divBdr>
        <w:top w:val="none" w:sz="0" w:space="0" w:color="auto"/>
        <w:left w:val="none" w:sz="0" w:space="0" w:color="auto"/>
        <w:bottom w:val="none" w:sz="0" w:space="0" w:color="auto"/>
        <w:right w:val="none" w:sz="0" w:space="0" w:color="auto"/>
      </w:divBdr>
    </w:div>
    <w:div w:id="1511793439">
      <w:bodyDiv w:val="1"/>
      <w:marLeft w:val="0"/>
      <w:marRight w:val="0"/>
      <w:marTop w:val="0"/>
      <w:marBottom w:val="0"/>
      <w:divBdr>
        <w:top w:val="none" w:sz="0" w:space="0" w:color="auto"/>
        <w:left w:val="none" w:sz="0" w:space="0" w:color="auto"/>
        <w:bottom w:val="none" w:sz="0" w:space="0" w:color="auto"/>
        <w:right w:val="none" w:sz="0" w:space="0" w:color="auto"/>
      </w:divBdr>
    </w:div>
    <w:div w:id="1511800004">
      <w:bodyDiv w:val="1"/>
      <w:marLeft w:val="0"/>
      <w:marRight w:val="0"/>
      <w:marTop w:val="0"/>
      <w:marBottom w:val="0"/>
      <w:divBdr>
        <w:top w:val="none" w:sz="0" w:space="0" w:color="auto"/>
        <w:left w:val="none" w:sz="0" w:space="0" w:color="auto"/>
        <w:bottom w:val="none" w:sz="0" w:space="0" w:color="auto"/>
        <w:right w:val="none" w:sz="0" w:space="0" w:color="auto"/>
      </w:divBdr>
    </w:div>
    <w:div w:id="1511985983">
      <w:bodyDiv w:val="1"/>
      <w:marLeft w:val="0"/>
      <w:marRight w:val="0"/>
      <w:marTop w:val="0"/>
      <w:marBottom w:val="0"/>
      <w:divBdr>
        <w:top w:val="none" w:sz="0" w:space="0" w:color="auto"/>
        <w:left w:val="none" w:sz="0" w:space="0" w:color="auto"/>
        <w:bottom w:val="none" w:sz="0" w:space="0" w:color="auto"/>
        <w:right w:val="none" w:sz="0" w:space="0" w:color="auto"/>
      </w:divBdr>
    </w:div>
    <w:div w:id="1511988513">
      <w:bodyDiv w:val="1"/>
      <w:marLeft w:val="0"/>
      <w:marRight w:val="0"/>
      <w:marTop w:val="0"/>
      <w:marBottom w:val="0"/>
      <w:divBdr>
        <w:top w:val="none" w:sz="0" w:space="0" w:color="auto"/>
        <w:left w:val="none" w:sz="0" w:space="0" w:color="auto"/>
        <w:bottom w:val="none" w:sz="0" w:space="0" w:color="auto"/>
        <w:right w:val="none" w:sz="0" w:space="0" w:color="auto"/>
      </w:divBdr>
    </w:div>
    <w:div w:id="1511989391">
      <w:bodyDiv w:val="1"/>
      <w:marLeft w:val="0"/>
      <w:marRight w:val="0"/>
      <w:marTop w:val="0"/>
      <w:marBottom w:val="0"/>
      <w:divBdr>
        <w:top w:val="none" w:sz="0" w:space="0" w:color="auto"/>
        <w:left w:val="none" w:sz="0" w:space="0" w:color="auto"/>
        <w:bottom w:val="none" w:sz="0" w:space="0" w:color="auto"/>
        <w:right w:val="none" w:sz="0" w:space="0" w:color="auto"/>
      </w:divBdr>
    </w:div>
    <w:div w:id="1512060736">
      <w:bodyDiv w:val="1"/>
      <w:marLeft w:val="0"/>
      <w:marRight w:val="0"/>
      <w:marTop w:val="0"/>
      <w:marBottom w:val="0"/>
      <w:divBdr>
        <w:top w:val="none" w:sz="0" w:space="0" w:color="auto"/>
        <w:left w:val="none" w:sz="0" w:space="0" w:color="auto"/>
        <w:bottom w:val="none" w:sz="0" w:space="0" w:color="auto"/>
        <w:right w:val="none" w:sz="0" w:space="0" w:color="auto"/>
      </w:divBdr>
    </w:div>
    <w:div w:id="1512063814">
      <w:bodyDiv w:val="1"/>
      <w:marLeft w:val="0"/>
      <w:marRight w:val="0"/>
      <w:marTop w:val="0"/>
      <w:marBottom w:val="0"/>
      <w:divBdr>
        <w:top w:val="none" w:sz="0" w:space="0" w:color="auto"/>
        <w:left w:val="none" w:sz="0" w:space="0" w:color="auto"/>
        <w:bottom w:val="none" w:sz="0" w:space="0" w:color="auto"/>
        <w:right w:val="none" w:sz="0" w:space="0" w:color="auto"/>
      </w:divBdr>
    </w:div>
    <w:div w:id="1512069228">
      <w:bodyDiv w:val="1"/>
      <w:marLeft w:val="0"/>
      <w:marRight w:val="0"/>
      <w:marTop w:val="0"/>
      <w:marBottom w:val="0"/>
      <w:divBdr>
        <w:top w:val="none" w:sz="0" w:space="0" w:color="auto"/>
        <w:left w:val="none" w:sz="0" w:space="0" w:color="auto"/>
        <w:bottom w:val="none" w:sz="0" w:space="0" w:color="auto"/>
        <w:right w:val="none" w:sz="0" w:space="0" w:color="auto"/>
      </w:divBdr>
    </w:div>
    <w:div w:id="1512136934">
      <w:bodyDiv w:val="1"/>
      <w:marLeft w:val="0"/>
      <w:marRight w:val="0"/>
      <w:marTop w:val="0"/>
      <w:marBottom w:val="0"/>
      <w:divBdr>
        <w:top w:val="none" w:sz="0" w:space="0" w:color="auto"/>
        <w:left w:val="none" w:sz="0" w:space="0" w:color="auto"/>
        <w:bottom w:val="none" w:sz="0" w:space="0" w:color="auto"/>
        <w:right w:val="none" w:sz="0" w:space="0" w:color="auto"/>
      </w:divBdr>
    </w:div>
    <w:div w:id="1512184880">
      <w:bodyDiv w:val="1"/>
      <w:marLeft w:val="0"/>
      <w:marRight w:val="0"/>
      <w:marTop w:val="0"/>
      <w:marBottom w:val="0"/>
      <w:divBdr>
        <w:top w:val="none" w:sz="0" w:space="0" w:color="auto"/>
        <w:left w:val="none" w:sz="0" w:space="0" w:color="auto"/>
        <w:bottom w:val="none" w:sz="0" w:space="0" w:color="auto"/>
        <w:right w:val="none" w:sz="0" w:space="0" w:color="auto"/>
      </w:divBdr>
    </w:div>
    <w:div w:id="1512262931">
      <w:bodyDiv w:val="1"/>
      <w:marLeft w:val="0"/>
      <w:marRight w:val="0"/>
      <w:marTop w:val="0"/>
      <w:marBottom w:val="0"/>
      <w:divBdr>
        <w:top w:val="none" w:sz="0" w:space="0" w:color="auto"/>
        <w:left w:val="none" w:sz="0" w:space="0" w:color="auto"/>
        <w:bottom w:val="none" w:sz="0" w:space="0" w:color="auto"/>
        <w:right w:val="none" w:sz="0" w:space="0" w:color="auto"/>
      </w:divBdr>
    </w:div>
    <w:div w:id="1512378083">
      <w:bodyDiv w:val="1"/>
      <w:marLeft w:val="0"/>
      <w:marRight w:val="0"/>
      <w:marTop w:val="0"/>
      <w:marBottom w:val="0"/>
      <w:divBdr>
        <w:top w:val="none" w:sz="0" w:space="0" w:color="auto"/>
        <w:left w:val="none" w:sz="0" w:space="0" w:color="auto"/>
        <w:bottom w:val="none" w:sz="0" w:space="0" w:color="auto"/>
        <w:right w:val="none" w:sz="0" w:space="0" w:color="auto"/>
      </w:divBdr>
    </w:div>
    <w:div w:id="1512380537">
      <w:bodyDiv w:val="1"/>
      <w:marLeft w:val="0"/>
      <w:marRight w:val="0"/>
      <w:marTop w:val="0"/>
      <w:marBottom w:val="0"/>
      <w:divBdr>
        <w:top w:val="none" w:sz="0" w:space="0" w:color="auto"/>
        <w:left w:val="none" w:sz="0" w:space="0" w:color="auto"/>
        <w:bottom w:val="none" w:sz="0" w:space="0" w:color="auto"/>
        <w:right w:val="none" w:sz="0" w:space="0" w:color="auto"/>
      </w:divBdr>
    </w:div>
    <w:div w:id="1512448495">
      <w:bodyDiv w:val="1"/>
      <w:marLeft w:val="0"/>
      <w:marRight w:val="0"/>
      <w:marTop w:val="0"/>
      <w:marBottom w:val="0"/>
      <w:divBdr>
        <w:top w:val="none" w:sz="0" w:space="0" w:color="auto"/>
        <w:left w:val="none" w:sz="0" w:space="0" w:color="auto"/>
        <w:bottom w:val="none" w:sz="0" w:space="0" w:color="auto"/>
        <w:right w:val="none" w:sz="0" w:space="0" w:color="auto"/>
      </w:divBdr>
    </w:div>
    <w:div w:id="1512449943">
      <w:bodyDiv w:val="1"/>
      <w:marLeft w:val="0"/>
      <w:marRight w:val="0"/>
      <w:marTop w:val="0"/>
      <w:marBottom w:val="0"/>
      <w:divBdr>
        <w:top w:val="none" w:sz="0" w:space="0" w:color="auto"/>
        <w:left w:val="none" w:sz="0" w:space="0" w:color="auto"/>
        <w:bottom w:val="none" w:sz="0" w:space="0" w:color="auto"/>
        <w:right w:val="none" w:sz="0" w:space="0" w:color="auto"/>
      </w:divBdr>
    </w:div>
    <w:div w:id="1512451916">
      <w:bodyDiv w:val="1"/>
      <w:marLeft w:val="0"/>
      <w:marRight w:val="0"/>
      <w:marTop w:val="0"/>
      <w:marBottom w:val="0"/>
      <w:divBdr>
        <w:top w:val="none" w:sz="0" w:space="0" w:color="auto"/>
        <w:left w:val="none" w:sz="0" w:space="0" w:color="auto"/>
        <w:bottom w:val="none" w:sz="0" w:space="0" w:color="auto"/>
        <w:right w:val="none" w:sz="0" w:space="0" w:color="auto"/>
      </w:divBdr>
    </w:div>
    <w:div w:id="1512454529">
      <w:bodyDiv w:val="1"/>
      <w:marLeft w:val="0"/>
      <w:marRight w:val="0"/>
      <w:marTop w:val="0"/>
      <w:marBottom w:val="0"/>
      <w:divBdr>
        <w:top w:val="none" w:sz="0" w:space="0" w:color="auto"/>
        <w:left w:val="none" w:sz="0" w:space="0" w:color="auto"/>
        <w:bottom w:val="none" w:sz="0" w:space="0" w:color="auto"/>
        <w:right w:val="none" w:sz="0" w:space="0" w:color="auto"/>
      </w:divBdr>
    </w:div>
    <w:div w:id="1512523585">
      <w:bodyDiv w:val="1"/>
      <w:marLeft w:val="0"/>
      <w:marRight w:val="0"/>
      <w:marTop w:val="0"/>
      <w:marBottom w:val="0"/>
      <w:divBdr>
        <w:top w:val="none" w:sz="0" w:space="0" w:color="auto"/>
        <w:left w:val="none" w:sz="0" w:space="0" w:color="auto"/>
        <w:bottom w:val="none" w:sz="0" w:space="0" w:color="auto"/>
        <w:right w:val="none" w:sz="0" w:space="0" w:color="auto"/>
      </w:divBdr>
    </w:div>
    <w:div w:id="1512530703">
      <w:bodyDiv w:val="1"/>
      <w:marLeft w:val="0"/>
      <w:marRight w:val="0"/>
      <w:marTop w:val="0"/>
      <w:marBottom w:val="0"/>
      <w:divBdr>
        <w:top w:val="none" w:sz="0" w:space="0" w:color="auto"/>
        <w:left w:val="none" w:sz="0" w:space="0" w:color="auto"/>
        <w:bottom w:val="none" w:sz="0" w:space="0" w:color="auto"/>
        <w:right w:val="none" w:sz="0" w:space="0" w:color="auto"/>
      </w:divBdr>
    </w:div>
    <w:div w:id="1512640003">
      <w:bodyDiv w:val="1"/>
      <w:marLeft w:val="0"/>
      <w:marRight w:val="0"/>
      <w:marTop w:val="0"/>
      <w:marBottom w:val="0"/>
      <w:divBdr>
        <w:top w:val="none" w:sz="0" w:space="0" w:color="auto"/>
        <w:left w:val="none" w:sz="0" w:space="0" w:color="auto"/>
        <w:bottom w:val="none" w:sz="0" w:space="0" w:color="auto"/>
        <w:right w:val="none" w:sz="0" w:space="0" w:color="auto"/>
      </w:divBdr>
    </w:div>
    <w:div w:id="1512795152">
      <w:bodyDiv w:val="1"/>
      <w:marLeft w:val="0"/>
      <w:marRight w:val="0"/>
      <w:marTop w:val="0"/>
      <w:marBottom w:val="0"/>
      <w:divBdr>
        <w:top w:val="none" w:sz="0" w:space="0" w:color="auto"/>
        <w:left w:val="none" w:sz="0" w:space="0" w:color="auto"/>
        <w:bottom w:val="none" w:sz="0" w:space="0" w:color="auto"/>
        <w:right w:val="none" w:sz="0" w:space="0" w:color="auto"/>
      </w:divBdr>
    </w:div>
    <w:div w:id="1513061070">
      <w:bodyDiv w:val="1"/>
      <w:marLeft w:val="0"/>
      <w:marRight w:val="0"/>
      <w:marTop w:val="0"/>
      <w:marBottom w:val="0"/>
      <w:divBdr>
        <w:top w:val="none" w:sz="0" w:space="0" w:color="auto"/>
        <w:left w:val="none" w:sz="0" w:space="0" w:color="auto"/>
        <w:bottom w:val="none" w:sz="0" w:space="0" w:color="auto"/>
        <w:right w:val="none" w:sz="0" w:space="0" w:color="auto"/>
      </w:divBdr>
    </w:div>
    <w:div w:id="1513178779">
      <w:bodyDiv w:val="1"/>
      <w:marLeft w:val="0"/>
      <w:marRight w:val="0"/>
      <w:marTop w:val="0"/>
      <w:marBottom w:val="0"/>
      <w:divBdr>
        <w:top w:val="none" w:sz="0" w:space="0" w:color="auto"/>
        <w:left w:val="none" w:sz="0" w:space="0" w:color="auto"/>
        <w:bottom w:val="none" w:sz="0" w:space="0" w:color="auto"/>
        <w:right w:val="none" w:sz="0" w:space="0" w:color="auto"/>
      </w:divBdr>
    </w:div>
    <w:div w:id="1513298368">
      <w:bodyDiv w:val="1"/>
      <w:marLeft w:val="0"/>
      <w:marRight w:val="0"/>
      <w:marTop w:val="0"/>
      <w:marBottom w:val="0"/>
      <w:divBdr>
        <w:top w:val="none" w:sz="0" w:space="0" w:color="auto"/>
        <w:left w:val="none" w:sz="0" w:space="0" w:color="auto"/>
        <w:bottom w:val="none" w:sz="0" w:space="0" w:color="auto"/>
        <w:right w:val="none" w:sz="0" w:space="0" w:color="auto"/>
      </w:divBdr>
    </w:div>
    <w:div w:id="1513372676">
      <w:bodyDiv w:val="1"/>
      <w:marLeft w:val="0"/>
      <w:marRight w:val="0"/>
      <w:marTop w:val="0"/>
      <w:marBottom w:val="0"/>
      <w:divBdr>
        <w:top w:val="none" w:sz="0" w:space="0" w:color="auto"/>
        <w:left w:val="none" w:sz="0" w:space="0" w:color="auto"/>
        <w:bottom w:val="none" w:sz="0" w:space="0" w:color="auto"/>
        <w:right w:val="none" w:sz="0" w:space="0" w:color="auto"/>
      </w:divBdr>
    </w:div>
    <w:div w:id="1513455099">
      <w:bodyDiv w:val="1"/>
      <w:marLeft w:val="0"/>
      <w:marRight w:val="0"/>
      <w:marTop w:val="0"/>
      <w:marBottom w:val="0"/>
      <w:divBdr>
        <w:top w:val="none" w:sz="0" w:space="0" w:color="auto"/>
        <w:left w:val="none" w:sz="0" w:space="0" w:color="auto"/>
        <w:bottom w:val="none" w:sz="0" w:space="0" w:color="auto"/>
        <w:right w:val="none" w:sz="0" w:space="0" w:color="auto"/>
      </w:divBdr>
    </w:div>
    <w:div w:id="1513567384">
      <w:bodyDiv w:val="1"/>
      <w:marLeft w:val="0"/>
      <w:marRight w:val="0"/>
      <w:marTop w:val="0"/>
      <w:marBottom w:val="0"/>
      <w:divBdr>
        <w:top w:val="none" w:sz="0" w:space="0" w:color="auto"/>
        <w:left w:val="none" w:sz="0" w:space="0" w:color="auto"/>
        <w:bottom w:val="none" w:sz="0" w:space="0" w:color="auto"/>
        <w:right w:val="none" w:sz="0" w:space="0" w:color="auto"/>
      </w:divBdr>
    </w:div>
    <w:div w:id="1513956512">
      <w:bodyDiv w:val="1"/>
      <w:marLeft w:val="0"/>
      <w:marRight w:val="0"/>
      <w:marTop w:val="0"/>
      <w:marBottom w:val="0"/>
      <w:divBdr>
        <w:top w:val="none" w:sz="0" w:space="0" w:color="auto"/>
        <w:left w:val="none" w:sz="0" w:space="0" w:color="auto"/>
        <w:bottom w:val="none" w:sz="0" w:space="0" w:color="auto"/>
        <w:right w:val="none" w:sz="0" w:space="0" w:color="auto"/>
      </w:divBdr>
    </w:div>
    <w:div w:id="1514103740">
      <w:bodyDiv w:val="1"/>
      <w:marLeft w:val="0"/>
      <w:marRight w:val="0"/>
      <w:marTop w:val="0"/>
      <w:marBottom w:val="0"/>
      <w:divBdr>
        <w:top w:val="none" w:sz="0" w:space="0" w:color="auto"/>
        <w:left w:val="none" w:sz="0" w:space="0" w:color="auto"/>
        <w:bottom w:val="none" w:sz="0" w:space="0" w:color="auto"/>
        <w:right w:val="none" w:sz="0" w:space="0" w:color="auto"/>
      </w:divBdr>
    </w:div>
    <w:div w:id="1514227617">
      <w:bodyDiv w:val="1"/>
      <w:marLeft w:val="0"/>
      <w:marRight w:val="0"/>
      <w:marTop w:val="0"/>
      <w:marBottom w:val="0"/>
      <w:divBdr>
        <w:top w:val="none" w:sz="0" w:space="0" w:color="auto"/>
        <w:left w:val="none" w:sz="0" w:space="0" w:color="auto"/>
        <w:bottom w:val="none" w:sz="0" w:space="0" w:color="auto"/>
        <w:right w:val="none" w:sz="0" w:space="0" w:color="auto"/>
      </w:divBdr>
    </w:div>
    <w:div w:id="1514340953">
      <w:bodyDiv w:val="1"/>
      <w:marLeft w:val="0"/>
      <w:marRight w:val="0"/>
      <w:marTop w:val="0"/>
      <w:marBottom w:val="0"/>
      <w:divBdr>
        <w:top w:val="none" w:sz="0" w:space="0" w:color="auto"/>
        <w:left w:val="none" w:sz="0" w:space="0" w:color="auto"/>
        <w:bottom w:val="none" w:sz="0" w:space="0" w:color="auto"/>
        <w:right w:val="none" w:sz="0" w:space="0" w:color="auto"/>
      </w:divBdr>
    </w:div>
    <w:div w:id="1514345832">
      <w:bodyDiv w:val="1"/>
      <w:marLeft w:val="0"/>
      <w:marRight w:val="0"/>
      <w:marTop w:val="0"/>
      <w:marBottom w:val="0"/>
      <w:divBdr>
        <w:top w:val="none" w:sz="0" w:space="0" w:color="auto"/>
        <w:left w:val="none" w:sz="0" w:space="0" w:color="auto"/>
        <w:bottom w:val="none" w:sz="0" w:space="0" w:color="auto"/>
        <w:right w:val="none" w:sz="0" w:space="0" w:color="auto"/>
      </w:divBdr>
    </w:div>
    <w:div w:id="1514415628">
      <w:bodyDiv w:val="1"/>
      <w:marLeft w:val="0"/>
      <w:marRight w:val="0"/>
      <w:marTop w:val="0"/>
      <w:marBottom w:val="0"/>
      <w:divBdr>
        <w:top w:val="none" w:sz="0" w:space="0" w:color="auto"/>
        <w:left w:val="none" w:sz="0" w:space="0" w:color="auto"/>
        <w:bottom w:val="none" w:sz="0" w:space="0" w:color="auto"/>
        <w:right w:val="none" w:sz="0" w:space="0" w:color="auto"/>
      </w:divBdr>
    </w:div>
    <w:div w:id="1514490620">
      <w:bodyDiv w:val="1"/>
      <w:marLeft w:val="0"/>
      <w:marRight w:val="0"/>
      <w:marTop w:val="0"/>
      <w:marBottom w:val="0"/>
      <w:divBdr>
        <w:top w:val="none" w:sz="0" w:space="0" w:color="auto"/>
        <w:left w:val="none" w:sz="0" w:space="0" w:color="auto"/>
        <w:bottom w:val="none" w:sz="0" w:space="0" w:color="auto"/>
        <w:right w:val="none" w:sz="0" w:space="0" w:color="auto"/>
      </w:divBdr>
    </w:div>
    <w:div w:id="1514611423">
      <w:bodyDiv w:val="1"/>
      <w:marLeft w:val="0"/>
      <w:marRight w:val="0"/>
      <w:marTop w:val="0"/>
      <w:marBottom w:val="0"/>
      <w:divBdr>
        <w:top w:val="none" w:sz="0" w:space="0" w:color="auto"/>
        <w:left w:val="none" w:sz="0" w:space="0" w:color="auto"/>
        <w:bottom w:val="none" w:sz="0" w:space="0" w:color="auto"/>
        <w:right w:val="none" w:sz="0" w:space="0" w:color="auto"/>
      </w:divBdr>
    </w:div>
    <w:div w:id="1514686493">
      <w:bodyDiv w:val="1"/>
      <w:marLeft w:val="0"/>
      <w:marRight w:val="0"/>
      <w:marTop w:val="0"/>
      <w:marBottom w:val="0"/>
      <w:divBdr>
        <w:top w:val="none" w:sz="0" w:space="0" w:color="auto"/>
        <w:left w:val="none" w:sz="0" w:space="0" w:color="auto"/>
        <w:bottom w:val="none" w:sz="0" w:space="0" w:color="auto"/>
        <w:right w:val="none" w:sz="0" w:space="0" w:color="auto"/>
      </w:divBdr>
    </w:div>
    <w:div w:id="1514757396">
      <w:bodyDiv w:val="1"/>
      <w:marLeft w:val="0"/>
      <w:marRight w:val="0"/>
      <w:marTop w:val="0"/>
      <w:marBottom w:val="0"/>
      <w:divBdr>
        <w:top w:val="none" w:sz="0" w:space="0" w:color="auto"/>
        <w:left w:val="none" w:sz="0" w:space="0" w:color="auto"/>
        <w:bottom w:val="none" w:sz="0" w:space="0" w:color="auto"/>
        <w:right w:val="none" w:sz="0" w:space="0" w:color="auto"/>
      </w:divBdr>
    </w:div>
    <w:div w:id="1514808188">
      <w:bodyDiv w:val="1"/>
      <w:marLeft w:val="0"/>
      <w:marRight w:val="0"/>
      <w:marTop w:val="0"/>
      <w:marBottom w:val="0"/>
      <w:divBdr>
        <w:top w:val="none" w:sz="0" w:space="0" w:color="auto"/>
        <w:left w:val="none" w:sz="0" w:space="0" w:color="auto"/>
        <w:bottom w:val="none" w:sz="0" w:space="0" w:color="auto"/>
        <w:right w:val="none" w:sz="0" w:space="0" w:color="auto"/>
      </w:divBdr>
    </w:div>
    <w:div w:id="1515070204">
      <w:bodyDiv w:val="1"/>
      <w:marLeft w:val="0"/>
      <w:marRight w:val="0"/>
      <w:marTop w:val="0"/>
      <w:marBottom w:val="0"/>
      <w:divBdr>
        <w:top w:val="none" w:sz="0" w:space="0" w:color="auto"/>
        <w:left w:val="none" w:sz="0" w:space="0" w:color="auto"/>
        <w:bottom w:val="none" w:sz="0" w:space="0" w:color="auto"/>
        <w:right w:val="none" w:sz="0" w:space="0" w:color="auto"/>
      </w:divBdr>
    </w:div>
    <w:div w:id="1515074896">
      <w:bodyDiv w:val="1"/>
      <w:marLeft w:val="0"/>
      <w:marRight w:val="0"/>
      <w:marTop w:val="0"/>
      <w:marBottom w:val="0"/>
      <w:divBdr>
        <w:top w:val="none" w:sz="0" w:space="0" w:color="auto"/>
        <w:left w:val="none" w:sz="0" w:space="0" w:color="auto"/>
        <w:bottom w:val="none" w:sz="0" w:space="0" w:color="auto"/>
        <w:right w:val="none" w:sz="0" w:space="0" w:color="auto"/>
      </w:divBdr>
    </w:div>
    <w:div w:id="1515143216">
      <w:bodyDiv w:val="1"/>
      <w:marLeft w:val="0"/>
      <w:marRight w:val="0"/>
      <w:marTop w:val="0"/>
      <w:marBottom w:val="0"/>
      <w:divBdr>
        <w:top w:val="none" w:sz="0" w:space="0" w:color="auto"/>
        <w:left w:val="none" w:sz="0" w:space="0" w:color="auto"/>
        <w:bottom w:val="none" w:sz="0" w:space="0" w:color="auto"/>
        <w:right w:val="none" w:sz="0" w:space="0" w:color="auto"/>
      </w:divBdr>
    </w:div>
    <w:div w:id="1515145097">
      <w:bodyDiv w:val="1"/>
      <w:marLeft w:val="0"/>
      <w:marRight w:val="0"/>
      <w:marTop w:val="0"/>
      <w:marBottom w:val="0"/>
      <w:divBdr>
        <w:top w:val="none" w:sz="0" w:space="0" w:color="auto"/>
        <w:left w:val="none" w:sz="0" w:space="0" w:color="auto"/>
        <w:bottom w:val="none" w:sz="0" w:space="0" w:color="auto"/>
        <w:right w:val="none" w:sz="0" w:space="0" w:color="auto"/>
      </w:divBdr>
    </w:div>
    <w:div w:id="1515219490">
      <w:bodyDiv w:val="1"/>
      <w:marLeft w:val="0"/>
      <w:marRight w:val="0"/>
      <w:marTop w:val="0"/>
      <w:marBottom w:val="0"/>
      <w:divBdr>
        <w:top w:val="none" w:sz="0" w:space="0" w:color="auto"/>
        <w:left w:val="none" w:sz="0" w:space="0" w:color="auto"/>
        <w:bottom w:val="none" w:sz="0" w:space="0" w:color="auto"/>
        <w:right w:val="none" w:sz="0" w:space="0" w:color="auto"/>
      </w:divBdr>
    </w:div>
    <w:div w:id="1515267061">
      <w:bodyDiv w:val="1"/>
      <w:marLeft w:val="0"/>
      <w:marRight w:val="0"/>
      <w:marTop w:val="0"/>
      <w:marBottom w:val="0"/>
      <w:divBdr>
        <w:top w:val="none" w:sz="0" w:space="0" w:color="auto"/>
        <w:left w:val="none" w:sz="0" w:space="0" w:color="auto"/>
        <w:bottom w:val="none" w:sz="0" w:space="0" w:color="auto"/>
        <w:right w:val="none" w:sz="0" w:space="0" w:color="auto"/>
      </w:divBdr>
    </w:div>
    <w:div w:id="1515336439">
      <w:bodyDiv w:val="1"/>
      <w:marLeft w:val="0"/>
      <w:marRight w:val="0"/>
      <w:marTop w:val="0"/>
      <w:marBottom w:val="0"/>
      <w:divBdr>
        <w:top w:val="none" w:sz="0" w:space="0" w:color="auto"/>
        <w:left w:val="none" w:sz="0" w:space="0" w:color="auto"/>
        <w:bottom w:val="none" w:sz="0" w:space="0" w:color="auto"/>
        <w:right w:val="none" w:sz="0" w:space="0" w:color="auto"/>
      </w:divBdr>
    </w:div>
    <w:div w:id="1515417151">
      <w:bodyDiv w:val="1"/>
      <w:marLeft w:val="0"/>
      <w:marRight w:val="0"/>
      <w:marTop w:val="0"/>
      <w:marBottom w:val="0"/>
      <w:divBdr>
        <w:top w:val="none" w:sz="0" w:space="0" w:color="auto"/>
        <w:left w:val="none" w:sz="0" w:space="0" w:color="auto"/>
        <w:bottom w:val="none" w:sz="0" w:space="0" w:color="auto"/>
        <w:right w:val="none" w:sz="0" w:space="0" w:color="auto"/>
      </w:divBdr>
    </w:div>
    <w:div w:id="1515607525">
      <w:bodyDiv w:val="1"/>
      <w:marLeft w:val="0"/>
      <w:marRight w:val="0"/>
      <w:marTop w:val="0"/>
      <w:marBottom w:val="0"/>
      <w:divBdr>
        <w:top w:val="none" w:sz="0" w:space="0" w:color="auto"/>
        <w:left w:val="none" w:sz="0" w:space="0" w:color="auto"/>
        <w:bottom w:val="none" w:sz="0" w:space="0" w:color="auto"/>
        <w:right w:val="none" w:sz="0" w:space="0" w:color="auto"/>
      </w:divBdr>
    </w:div>
    <w:div w:id="1515609725">
      <w:bodyDiv w:val="1"/>
      <w:marLeft w:val="0"/>
      <w:marRight w:val="0"/>
      <w:marTop w:val="0"/>
      <w:marBottom w:val="0"/>
      <w:divBdr>
        <w:top w:val="none" w:sz="0" w:space="0" w:color="auto"/>
        <w:left w:val="none" w:sz="0" w:space="0" w:color="auto"/>
        <w:bottom w:val="none" w:sz="0" w:space="0" w:color="auto"/>
        <w:right w:val="none" w:sz="0" w:space="0" w:color="auto"/>
      </w:divBdr>
    </w:div>
    <w:div w:id="1515611273">
      <w:bodyDiv w:val="1"/>
      <w:marLeft w:val="0"/>
      <w:marRight w:val="0"/>
      <w:marTop w:val="0"/>
      <w:marBottom w:val="0"/>
      <w:divBdr>
        <w:top w:val="none" w:sz="0" w:space="0" w:color="auto"/>
        <w:left w:val="none" w:sz="0" w:space="0" w:color="auto"/>
        <w:bottom w:val="none" w:sz="0" w:space="0" w:color="auto"/>
        <w:right w:val="none" w:sz="0" w:space="0" w:color="auto"/>
      </w:divBdr>
    </w:div>
    <w:div w:id="1515723573">
      <w:bodyDiv w:val="1"/>
      <w:marLeft w:val="0"/>
      <w:marRight w:val="0"/>
      <w:marTop w:val="0"/>
      <w:marBottom w:val="0"/>
      <w:divBdr>
        <w:top w:val="none" w:sz="0" w:space="0" w:color="auto"/>
        <w:left w:val="none" w:sz="0" w:space="0" w:color="auto"/>
        <w:bottom w:val="none" w:sz="0" w:space="0" w:color="auto"/>
        <w:right w:val="none" w:sz="0" w:space="0" w:color="auto"/>
      </w:divBdr>
    </w:div>
    <w:div w:id="1515994531">
      <w:bodyDiv w:val="1"/>
      <w:marLeft w:val="0"/>
      <w:marRight w:val="0"/>
      <w:marTop w:val="0"/>
      <w:marBottom w:val="0"/>
      <w:divBdr>
        <w:top w:val="none" w:sz="0" w:space="0" w:color="auto"/>
        <w:left w:val="none" w:sz="0" w:space="0" w:color="auto"/>
        <w:bottom w:val="none" w:sz="0" w:space="0" w:color="auto"/>
        <w:right w:val="none" w:sz="0" w:space="0" w:color="auto"/>
      </w:divBdr>
    </w:div>
    <w:div w:id="1515999519">
      <w:bodyDiv w:val="1"/>
      <w:marLeft w:val="0"/>
      <w:marRight w:val="0"/>
      <w:marTop w:val="0"/>
      <w:marBottom w:val="0"/>
      <w:divBdr>
        <w:top w:val="none" w:sz="0" w:space="0" w:color="auto"/>
        <w:left w:val="none" w:sz="0" w:space="0" w:color="auto"/>
        <w:bottom w:val="none" w:sz="0" w:space="0" w:color="auto"/>
        <w:right w:val="none" w:sz="0" w:space="0" w:color="auto"/>
      </w:divBdr>
    </w:div>
    <w:div w:id="1516110712">
      <w:bodyDiv w:val="1"/>
      <w:marLeft w:val="0"/>
      <w:marRight w:val="0"/>
      <w:marTop w:val="0"/>
      <w:marBottom w:val="0"/>
      <w:divBdr>
        <w:top w:val="none" w:sz="0" w:space="0" w:color="auto"/>
        <w:left w:val="none" w:sz="0" w:space="0" w:color="auto"/>
        <w:bottom w:val="none" w:sz="0" w:space="0" w:color="auto"/>
        <w:right w:val="none" w:sz="0" w:space="0" w:color="auto"/>
      </w:divBdr>
    </w:div>
    <w:div w:id="1516385531">
      <w:bodyDiv w:val="1"/>
      <w:marLeft w:val="0"/>
      <w:marRight w:val="0"/>
      <w:marTop w:val="0"/>
      <w:marBottom w:val="0"/>
      <w:divBdr>
        <w:top w:val="none" w:sz="0" w:space="0" w:color="auto"/>
        <w:left w:val="none" w:sz="0" w:space="0" w:color="auto"/>
        <w:bottom w:val="none" w:sz="0" w:space="0" w:color="auto"/>
        <w:right w:val="none" w:sz="0" w:space="0" w:color="auto"/>
      </w:divBdr>
    </w:div>
    <w:div w:id="1516531269">
      <w:bodyDiv w:val="1"/>
      <w:marLeft w:val="0"/>
      <w:marRight w:val="0"/>
      <w:marTop w:val="0"/>
      <w:marBottom w:val="0"/>
      <w:divBdr>
        <w:top w:val="none" w:sz="0" w:space="0" w:color="auto"/>
        <w:left w:val="none" w:sz="0" w:space="0" w:color="auto"/>
        <w:bottom w:val="none" w:sz="0" w:space="0" w:color="auto"/>
        <w:right w:val="none" w:sz="0" w:space="0" w:color="auto"/>
      </w:divBdr>
    </w:div>
    <w:div w:id="1516576825">
      <w:bodyDiv w:val="1"/>
      <w:marLeft w:val="0"/>
      <w:marRight w:val="0"/>
      <w:marTop w:val="0"/>
      <w:marBottom w:val="0"/>
      <w:divBdr>
        <w:top w:val="none" w:sz="0" w:space="0" w:color="auto"/>
        <w:left w:val="none" w:sz="0" w:space="0" w:color="auto"/>
        <w:bottom w:val="none" w:sz="0" w:space="0" w:color="auto"/>
        <w:right w:val="none" w:sz="0" w:space="0" w:color="auto"/>
      </w:divBdr>
    </w:div>
    <w:div w:id="1516579692">
      <w:bodyDiv w:val="1"/>
      <w:marLeft w:val="0"/>
      <w:marRight w:val="0"/>
      <w:marTop w:val="0"/>
      <w:marBottom w:val="0"/>
      <w:divBdr>
        <w:top w:val="none" w:sz="0" w:space="0" w:color="auto"/>
        <w:left w:val="none" w:sz="0" w:space="0" w:color="auto"/>
        <w:bottom w:val="none" w:sz="0" w:space="0" w:color="auto"/>
        <w:right w:val="none" w:sz="0" w:space="0" w:color="auto"/>
      </w:divBdr>
    </w:div>
    <w:div w:id="1516654807">
      <w:bodyDiv w:val="1"/>
      <w:marLeft w:val="0"/>
      <w:marRight w:val="0"/>
      <w:marTop w:val="0"/>
      <w:marBottom w:val="0"/>
      <w:divBdr>
        <w:top w:val="none" w:sz="0" w:space="0" w:color="auto"/>
        <w:left w:val="none" w:sz="0" w:space="0" w:color="auto"/>
        <w:bottom w:val="none" w:sz="0" w:space="0" w:color="auto"/>
        <w:right w:val="none" w:sz="0" w:space="0" w:color="auto"/>
      </w:divBdr>
    </w:div>
    <w:div w:id="1516727576">
      <w:bodyDiv w:val="1"/>
      <w:marLeft w:val="0"/>
      <w:marRight w:val="0"/>
      <w:marTop w:val="0"/>
      <w:marBottom w:val="0"/>
      <w:divBdr>
        <w:top w:val="none" w:sz="0" w:space="0" w:color="auto"/>
        <w:left w:val="none" w:sz="0" w:space="0" w:color="auto"/>
        <w:bottom w:val="none" w:sz="0" w:space="0" w:color="auto"/>
        <w:right w:val="none" w:sz="0" w:space="0" w:color="auto"/>
      </w:divBdr>
    </w:div>
    <w:div w:id="1516766281">
      <w:bodyDiv w:val="1"/>
      <w:marLeft w:val="0"/>
      <w:marRight w:val="0"/>
      <w:marTop w:val="0"/>
      <w:marBottom w:val="0"/>
      <w:divBdr>
        <w:top w:val="none" w:sz="0" w:space="0" w:color="auto"/>
        <w:left w:val="none" w:sz="0" w:space="0" w:color="auto"/>
        <w:bottom w:val="none" w:sz="0" w:space="0" w:color="auto"/>
        <w:right w:val="none" w:sz="0" w:space="0" w:color="auto"/>
      </w:divBdr>
    </w:div>
    <w:div w:id="1516843237">
      <w:bodyDiv w:val="1"/>
      <w:marLeft w:val="0"/>
      <w:marRight w:val="0"/>
      <w:marTop w:val="0"/>
      <w:marBottom w:val="0"/>
      <w:divBdr>
        <w:top w:val="none" w:sz="0" w:space="0" w:color="auto"/>
        <w:left w:val="none" w:sz="0" w:space="0" w:color="auto"/>
        <w:bottom w:val="none" w:sz="0" w:space="0" w:color="auto"/>
        <w:right w:val="none" w:sz="0" w:space="0" w:color="auto"/>
      </w:divBdr>
    </w:div>
    <w:div w:id="1516921516">
      <w:bodyDiv w:val="1"/>
      <w:marLeft w:val="0"/>
      <w:marRight w:val="0"/>
      <w:marTop w:val="0"/>
      <w:marBottom w:val="0"/>
      <w:divBdr>
        <w:top w:val="none" w:sz="0" w:space="0" w:color="auto"/>
        <w:left w:val="none" w:sz="0" w:space="0" w:color="auto"/>
        <w:bottom w:val="none" w:sz="0" w:space="0" w:color="auto"/>
        <w:right w:val="none" w:sz="0" w:space="0" w:color="auto"/>
      </w:divBdr>
    </w:div>
    <w:div w:id="1517109827">
      <w:bodyDiv w:val="1"/>
      <w:marLeft w:val="0"/>
      <w:marRight w:val="0"/>
      <w:marTop w:val="0"/>
      <w:marBottom w:val="0"/>
      <w:divBdr>
        <w:top w:val="none" w:sz="0" w:space="0" w:color="auto"/>
        <w:left w:val="none" w:sz="0" w:space="0" w:color="auto"/>
        <w:bottom w:val="none" w:sz="0" w:space="0" w:color="auto"/>
        <w:right w:val="none" w:sz="0" w:space="0" w:color="auto"/>
      </w:divBdr>
    </w:div>
    <w:div w:id="1517110821">
      <w:bodyDiv w:val="1"/>
      <w:marLeft w:val="0"/>
      <w:marRight w:val="0"/>
      <w:marTop w:val="0"/>
      <w:marBottom w:val="0"/>
      <w:divBdr>
        <w:top w:val="none" w:sz="0" w:space="0" w:color="auto"/>
        <w:left w:val="none" w:sz="0" w:space="0" w:color="auto"/>
        <w:bottom w:val="none" w:sz="0" w:space="0" w:color="auto"/>
        <w:right w:val="none" w:sz="0" w:space="0" w:color="auto"/>
      </w:divBdr>
    </w:div>
    <w:div w:id="1517115675">
      <w:bodyDiv w:val="1"/>
      <w:marLeft w:val="0"/>
      <w:marRight w:val="0"/>
      <w:marTop w:val="0"/>
      <w:marBottom w:val="0"/>
      <w:divBdr>
        <w:top w:val="none" w:sz="0" w:space="0" w:color="auto"/>
        <w:left w:val="none" w:sz="0" w:space="0" w:color="auto"/>
        <w:bottom w:val="none" w:sz="0" w:space="0" w:color="auto"/>
        <w:right w:val="none" w:sz="0" w:space="0" w:color="auto"/>
      </w:divBdr>
    </w:div>
    <w:div w:id="1517116525">
      <w:bodyDiv w:val="1"/>
      <w:marLeft w:val="0"/>
      <w:marRight w:val="0"/>
      <w:marTop w:val="0"/>
      <w:marBottom w:val="0"/>
      <w:divBdr>
        <w:top w:val="none" w:sz="0" w:space="0" w:color="auto"/>
        <w:left w:val="none" w:sz="0" w:space="0" w:color="auto"/>
        <w:bottom w:val="none" w:sz="0" w:space="0" w:color="auto"/>
        <w:right w:val="none" w:sz="0" w:space="0" w:color="auto"/>
      </w:divBdr>
    </w:div>
    <w:div w:id="1517159833">
      <w:bodyDiv w:val="1"/>
      <w:marLeft w:val="0"/>
      <w:marRight w:val="0"/>
      <w:marTop w:val="0"/>
      <w:marBottom w:val="0"/>
      <w:divBdr>
        <w:top w:val="none" w:sz="0" w:space="0" w:color="auto"/>
        <w:left w:val="none" w:sz="0" w:space="0" w:color="auto"/>
        <w:bottom w:val="none" w:sz="0" w:space="0" w:color="auto"/>
        <w:right w:val="none" w:sz="0" w:space="0" w:color="auto"/>
      </w:divBdr>
    </w:div>
    <w:div w:id="1517188516">
      <w:bodyDiv w:val="1"/>
      <w:marLeft w:val="0"/>
      <w:marRight w:val="0"/>
      <w:marTop w:val="0"/>
      <w:marBottom w:val="0"/>
      <w:divBdr>
        <w:top w:val="none" w:sz="0" w:space="0" w:color="auto"/>
        <w:left w:val="none" w:sz="0" w:space="0" w:color="auto"/>
        <w:bottom w:val="none" w:sz="0" w:space="0" w:color="auto"/>
        <w:right w:val="none" w:sz="0" w:space="0" w:color="auto"/>
      </w:divBdr>
    </w:div>
    <w:div w:id="1517232894">
      <w:bodyDiv w:val="1"/>
      <w:marLeft w:val="0"/>
      <w:marRight w:val="0"/>
      <w:marTop w:val="0"/>
      <w:marBottom w:val="0"/>
      <w:divBdr>
        <w:top w:val="none" w:sz="0" w:space="0" w:color="auto"/>
        <w:left w:val="none" w:sz="0" w:space="0" w:color="auto"/>
        <w:bottom w:val="none" w:sz="0" w:space="0" w:color="auto"/>
        <w:right w:val="none" w:sz="0" w:space="0" w:color="auto"/>
      </w:divBdr>
    </w:div>
    <w:div w:id="1517378973">
      <w:bodyDiv w:val="1"/>
      <w:marLeft w:val="0"/>
      <w:marRight w:val="0"/>
      <w:marTop w:val="0"/>
      <w:marBottom w:val="0"/>
      <w:divBdr>
        <w:top w:val="none" w:sz="0" w:space="0" w:color="auto"/>
        <w:left w:val="none" w:sz="0" w:space="0" w:color="auto"/>
        <w:bottom w:val="none" w:sz="0" w:space="0" w:color="auto"/>
        <w:right w:val="none" w:sz="0" w:space="0" w:color="auto"/>
      </w:divBdr>
    </w:div>
    <w:div w:id="1517381711">
      <w:bodyDiv w:val="1"/>
      <w:marLeft w:val="0"/>
      <w:marRight w:val="0"/>
      <w:marTop w:val="0"/>
      <w:marBottom w:val="0"/>
      <w:divBdr>
        <w:top w:val="none" w:sz="0" w:space="0" w:color="auto"/>
        <w:left w:val="none" w:sz="0" w:space="0" w:color="auto"/>
        <w:bottom w:val="none" w:sz="0" w:space="0" w:color="auto"/>
        <w:right w:val="none" w:sz="0" w:space="0" w:color="auto"/>
      </w:divBdr>
    </w:div>
    <w:div w:id="1517382236">
      <w:bodyDiv w:val="1"/>
      <w:marLeft w:val="0"/>
      <w:marRight w:val="0"/>
      <w:marTop w:val="0"/>
      <w:marBottom w:val="0"/>
      <w:divBdr>
        <w:top w:val="none" w:sz="0" w:space="0" w:color="auto"/>
        <w:left w:val="none" w:sz="0" w:space="0" w:color="auto"/>
        <w:bottom w:val="none" w:sz="0" w:space="0" w:color="auto"/>
        <w:right w:val="none" w:sz="0" w:space="0" w:color="auto"/>
      </w:divBdr>
    </w:div>
    <w:div w:id="1517383268">
      <w:bodyDiv w:val="1"/>
      <w:marLeft w:val="0"/>
      <w:marRight w:val="0"/>
      <w:marTop w:val="0"/>
      <w:marBottom w:val="0"/>
      <w:divBdr>
        <w:top w:val="none" w:sz="0" w:space="0" w:color="auto"/>
        <w:left w:val="none" w:sz="0" w:space="0" w:color="auto"/>
        <w:bottom w:val="none" w:sz="0" w:space="0" w:color="auto"/>
        <w:right w:val="none" w:sz="0" w:space="0" w:color="auto"/>
      </w:divBdr>
    </w:div>
    <w:div w:id="1517497024">
      <w:bodyDiv w:val="1"/>
      <w:marLeft w:val="0"/>
      <w:marRight w:val="0"/>
      <w:marTop w:val="0"/>
      <w:marBottom w:val="0"/>
      <w:divBdr>
        <w:top w:val="none" w:sz="0" w:space="0" w:color="auto"/>
        <w:left w:val="none" w:sz="0" w:space="0" w:color="auto"/>
        <w:bottom w:val="none" w:sz="0" w:space="0" w:color="auto"/>
        <w:right w:val="none" w:sz="0" w:space="0" w:color="auto"/>
      </w:divBdr>
    </w:div>
    <w:div w:id="1517503977">
      <w:bodyDiv w:val="1"/>
      <w:marLeft w:val="0"/>
      <w:marRight w:val="0"/>
      <w:marTop w:val="0"/>
      <w:marBottom w:val="0"/>
      <w:divBdr>
        <w:top w:val="none" w:sz="0" w:space="0" w:color="auto"/>
        <w:left w:val="none" w:sz="0" w:space="0" w:color="auto"/>
        <w:bottom w:val="none" w:sz="0" w:space="0" w:color="auto"/>
        <w:right w:val="none" w:sz="0" w:space="0" w:color="auto"/>
      </w:divBdr>
    </w:div>
    <w:div w:id="1517623038">
      <w:bodyDiv w:val="1"/>
      <w:marLeft w:val="0"/>
      <w:marRight w:val="0"/>
      <w:marTop w:val="0"/>
      <w:marBottom w:val="0"/>
      <w:divBdr>
        <w:top w:val="none" w:sz="0" w:space="0" w:color="auto"/>
        <w:left w:val="none" w:sz="0" w:space="0" w:color="auto"/>
        <w:bottom w:val="none" w:sz="0" w:space="0" w:color="auto"/>
        <w:right w:val="none" w:sz="0" w:space="0" w:color="auto"/>
      </w:divBdr>
    </w:div>
    <w:div w:id="1517767264">
      <w:bodyDiv w:val="1"/>
      <w:marLeft w:val="0"/>
      <w:marRight w:val="0"/>
      <w:marTop w:val="0"/>
      <w:marBottom w:val="0"/>
      <w:divBdr>
        <w:top w:val="none" w:sz="0" w:space="0" w:color="auto"/>
        <w:left w:val="none" w:sz="0" w:space="0" w:color="auto"/>
        <w:bottom w:val="none" w:sz="0" w:space="0" w:color="auto"/>
        <w:right w:val="none" w:sz="0" w:space="0" w:color="auto"/>
      </w:divBdr>
    </w:div>
    <w:div w:id="1517769722">
      <w:bodyDiv w:val="1"/>
      <w:marLeft w:val="0"/>
      <w:marRight w:val="0"/>
      <w:marTop w:val="0"/>
      <w:marBottom w:val="0"/>
      <w:divBdr>
        <w:top w:val="none" w:sz="0" w:space="0" w:color="auto"/>
        <w:left w:val="none" w:sz="0" w:space="0" w:color="auto"/>
        <w:bottom w:val="none" w:sz="0" w:space="0" w:color="auto"/>
        <w:right w:val="none" w:sz="0" w:space="0" w:color="auto"/>
      </w:divBdr>
    </w:div>
    <w:div w:id="1517814102">
      <w:bodyDiv w:val="1"/>
      <w:marLeft w:val="0"/>
      <w:marRight w:val="0"/>
      <w:marTop w:val="0"/>
      <w:marBottom w:val="0"/>
      <w:divBdr>
        <w:top w:val="none" w:sz="0" w:space="0" w:color="auto"/>
        <w:left w:val="none" w:sz="0" w:space="0" w:color="auto"/>
        <w:bottom w:val="none" w:sz="0" w:space="0" w:color="auto"/>
        <w:right w:val="none" w:sz="0" w:space="0" w:color="auto"/>
      </w:divBdr>
    </w:div>
    <w:div w:id="1517890741">
      <w:bodyDiv w:val="1"/>
      <w:marLeft w:val="0"/>
      <w:marRight w:val="0"/>
      <w:marTop w:val="0"/>
      <w:marBottom w:val="0"/>
      <w:divBdr>
        <w:top w:val="none" w:sz="0" w:space="0" w:color="auto"/>
        <w:left w:val="none" w:sz="0" w:space="0" w:color="auto"/>
        <w:bottom w:val="none" w:sz="0" w:space="0" w:color="auto"/>
        <w:right w:val="none" w:sz="0" w:space="0" w:color="auto"/>
      </w:divBdr>
    </w:div>
    <w:div w:id="1518084486">
      <w:bodyDiv w:val="1"/>
      <w:marLeft w:val="0"/>
      <w:marRight w:val="0"/>
      <w:marTop w:val="0"/>
      <w:marBottom w:val="0"/>
      <w:divBdr>
        <w:top w:val="none" w:sz="0" w:space="0" w:color="auto"/>
        <w:left w:val="none" w:sz="0" w:space="0" w:color="auto"/>
        <w:bottom w:val="none" w:sz="0" w:space="0" w:color="auto"/>
        <w:right w:val="none" w:sz="0" w:space="0" w:color="auto"/>
      </w:divBdr>
    </w:div>
    <w:div w:id="1518155977">
      <w:bodyDiv w:val="1"/>
      <w:marLeft w:val="0"/>
      <w:marRight w:val="0"/>
      <w:marTop w:val="0"/>
      <w:marBottom w:val="0"/>
      <w:divBdr>
        <w:top w:val="none" w:sz="0" w:space="0" w:color="auto"/>
        <w:left w:val="none" w:sz="0" w:space="0" w:color="auto"/>
        <w:bottom w:val="none" w:sz="0" w:space="0" w:color="auto"/>
        <w:right w:val="none" w:sz="0" w:space="0" w:color="auto"/>
      </w:divBdr>
    </w:div>
    <w:div w:id="1518230913">
      <w:bodyDiv w:val="1"/>
      <w:marLeft w:val="0"/>
      <w:marRight w:val="0"/>
      <w:marTop w:val="0"/>
      <w:marBottom w:val="0"/>
      <w:divBdr>
        <w:top w:val="none" w:sz="0" w:space="0" w:color="auto"/>
        <w:left w:val="none" w:sz="0" w:space="0" w:color="auto"/>
        <w:bottom w:val="none" w:sz="0" w:space="0" w:color="auto"/>
        <w:right w:val="none" w:sz="0" w:space="0" w:color="auto"/>
      </w:divBdr>
    </w:div>
    <w:div w:id="1518231100">
      <w:bodyDiv w:val="1"/>
      <w:marLeft w:val="0"/>
      <w:marRight w:val="0"/>
      <w:marTop w:val="0"/>
      <w:marBottom w:val="0"/>
      <w:divBdr>
        <w:top w:val="none" w:sz="0" w:space="0" w:color="auto"/>
        <w:left w:val="none" w:sz="0" w:space="0" w:color="auto"/>
        <w:bottom w:val="none" w:sz="0" w:space="0" w:color="auto"/>
        <w:right w:val="none" w:sz="0" w:space="0" w:color="auto"/>
      </w:divBdr>
    </w:div>
    <w:div w:id="1518277956">
      <w:bodyDiv w:val="1"/>
      <w:marLeft w:val="0"/>
      <w:marRight w:val="0"/>
      <w:marTop w:val="0"/>
      <w:marBottom w:val="0"/>
      <w:divBdr>
        <w:top w:val="none" w:sz="0" w:space="0" w:color="auto"/>
        <w:left w:val="none" w:sz="0" w:space="0" w:color="auto"/>
        <w:bottom w:val="none" w:sz="0" w:space="0" w:color="auto"/>
        <w:right w:val="none" w:sz="0" w:space="0" w:color="auto"/>
      </w:divBdr>
    </w:div>
    <w:div w:id="1518346573">
      <w:bodyDiv w:val="1"/>
      <w:marLeft w:val="0"/>
      <w:marRight w:val="0"/>
      <w:marTop w:val="0"/>
      <w:marBottom w:val="0"/>
      <w:divBdr>
        <w:top w:val="none" w:sz="0" w:space="0" w:color="auto"/>
        <w:left w:val="none" w:sz="0" w:space="0" w:color="auto"/>
        <w:bottom w:val="none" w:sz="0" w:space="0" w:color="auto"/>
        <w:right w:val="none" w:sz="0" w:space="0" w:color="auto"/>
      </w:divBdr>
    </w:div>
    <w:div w:id="1518347224">
      <w:bodyDiv w:val="1"/>
      <w:marLeft w:val="0"/>
      <w:marRight w:val="0"/>
      <w:marTop w:val="0"/>
      <w:marBottom w:val="0"/>
      <w:divBdr>
        <w:top w:val="none" w:sz="0" w:space="0" w:color="auto"/>
        <w:left w:val="none" w:sz="0" w:space="0" w:color="auto"/>
        <w:bottom w:val="none" w:sz="0" w:space="0" w:color="auto"/>
        <w:right w:val="none" w:sz="0" w:space="0" w:color="auto"/>
      </w:divBdr>
    </w:div>
    <w:div w:id="1518620098">
      <w:bodyDiv w:val="1"/>
      <w:marLeft w:val="0"/>
      <w:marRight w:val="0"/>
      <w:marTop w:val="0"/>
      <w:marBottom w:val="0"/>
      <w:divBdr>
        <w:top w:val="none" w:sz="0" w:space="0" w:color="auto"/>
        <w:left w:val="none" w:sz="0" w:space="0" w:color="auto"/>
        <w:bottom w:val="none" w:sz="0" w:space="0" w:color="auto"/>
        <w:right w:val="none" w:sz="0" w:space="0" w:color="auto"/>
      </w:divBdr>
    </w:div>
    <w:div w:id="1518693427">
      <w:bodyDiv w:val="1"/>
      <w:marLeft w:val="0"/>
      <w:marRight w:val="0"/>
      <w:marTop w:val="0"/>
      <w:marBottom w:val="0"/>
      <w:divBdr>
        <w:top w:val="none" w:sz="0" w:space="0" w:color="auto"/>
        <w:left w:val="none" w:sz="0" w:space="0" w:color="auto"/>
        <w:bottom w:val="none" w:sz="0" w:space="0" w:color="auto"/>
        <w:right w:val="none" w:sz="0" w:space="0" w:color="auto"/>
      </w:divBdr>
    </w:div>
    <w:div w:id="1518694143">
      <w:bodyDiv w:val="1"/>
      <w:marLeft w:val="0"/>
      <w:marRight w:val="0"/>
      <w:marTop w:val="0"/>
      <w:marBottom w:val="0"/>
      <w:divBdr>
        <w:top w:val="none" w:sz="0" w:space="0" w:color="auto"/>
        <w:left w:val="none" w:sz="0" w:space="0" w:color="auto"/>
        <w:bottom w:val="none" w:sz="0" w:space="0" w:color="auto"/>
        <w:right w:val="none" w:sz="0" w:space="0" w:color="auto"/>
      </w:divBdr>
    </w:div>
    <w:div w:id="1518807170">
      <w:bodyDiv w:val="1"/>
      <w:marLeft w:val="0"/>
      <w:marRight w:val="0"/>
      <w:marTop w:val="0"/>
      <w:marBottom w:val="0"/>
      <w:divBdr>
        <w:top w:val="none" w:sz="0" w:space="0" w:color="auto"/>
        <w:left w:val="none" w:sz="0" w:space="0" w:color="auto"/>
        <w:bottom w:val="none" w:sz="0" w:space="0" w:color="auto"/>
        <w:right w:val="none" w:sz="0" w:space="0" w:color="auto"/>
      </w:divBdr>
    </w:div>
    <w:div w:id="1518927985">
      <w:bodyDiv w:val="1"/>
      <w:marLeft w:val="0"/>
      <w:marRight w:val="0"/>
      <w:marTop w:val="0"/>
      <w:marBottom w:val="0"/>
      <w:divBdr>
        <w:top w:val="none" w:sz="0" w:space="0" w:color="auto"/>
        <w:left w:val="none" w:sz="0" w:space="0" w:color="auto"/>
        <w:bottom w:val="none" w:sz="0" w:space="0" w:color="auto"/>
        <w:right w:val="none" w:sz="0" w:space="0" w:color="auto"/>
      </w:divBdr>
    </w:div>
    <w:div w:id="1518931419">
      <w:bodyDiv w:val="1"/>
      <w:marLeft w:val="0"/>
      <w:marRight w:val="0"/>
      <w:marTop w:val="0"/>
      <w:marBottom w:val="0"/>
      <w:divBdr>
        <w:top w:val="none" w:sz="0" w:space="0" w:color="auto"/>
        <w:left w:val="none" w:sz="0" w:space="0" w:color="auto"/>
        <w:bottom w:val="none" w:sz="0" w:space="0" w:color="auto"/>
        <w:right w:val="none" w:sz="0" w:space="0" w:color="auto"/>
      </w:divBdr>
    </w:div>
    <w:div w:id="1518999534">
      <w:bodyDiv w:val="1"/>
      <w:marLeft w:val="0"/>
      <w:marRight w:val="0"/>
      <w:marTop w:val="0"/>
      <w:marBottom w:val="0"/>
      <w:divBdr>
        <w:top w:val="none" w:sz="0" w:space="0" w:color="auto"/>
        <w:left w:val="none" w:sz="0" w:space="0" w:color="auto"/>
        <w:bottom w:val="none" w:sz="0" w:space="0" w:color="auto"/>
        <w:right w:val="none" w:sz="0" w:space="0" w:color="auto"/>
      </w:divBdr>
    </w:div>
    <w:div w:id="1519152403">
      <w:bodyDiv w:val="1"/>
      <w:marLeft w:val="0"/>
      <w:marRight w:val="0"/>
      <w:marTop w:val="0"/>
      <w:marBottom w:val="0"/>
      <w:divBdr>
        <w:top w:val="none" w:sz="0" w:space="0" w:color="auto"/>
        <w:left w:val="none" w:sz="0" w:space="0" w:color="auto"/>
        <w:bottom w:val="none" w:sz="0" w:space="0" w:color="auto"/>
        <w:right w:val="none" w:sz="0" w:space="0" w:color="auto"/>
      </w:divBdr>
    </w:div>
    <w:div w:id="1519274237">
      <w:bodyDiv w:val="1"/>
      <w:marLeft w:val="0"/>
      <w:marRight w:val="0"/>
      <w:marTop w:val="0"/>
      <w:marBottom w:val="0"/>
      <w:divBdr>
        <w:top w:val="none" w:sz="0" w:space="0" w:color="auto"/>
        <w:left w:val="none" w:sz="0" w:space="0" w:color="auto"/>
        <w:bottom w:val="none" w:sz="0" w:space="0" w:color="auto"/>
        <w:right w:val="none" w:sz="0" w:space="0" w:color="auto"/>
      </w:divBdr>
    </w:div>
    <w:div w:id="1519344644">
      <w:bodyDiv w:val="1"/>
      <w:marLeft w:val="0"/>
      <w:marRight w:val="0"/>
      <w:marTop w:val="0"/>
      <w:marBottom w:val="0"/>
      <w:divBdr>
        <w:top w:val="none" w:sz="0" w:space="0" w:color="auto"/>
        <w:left w:val="none" w:sz="0" w:space="0" w:color="auto"/>
        <w:bottom w:val="none" w:sz="0" w:space="0" w:color="auto"/>
        <w:right w:val="none" w:sz="0" w:space="0" w:color="auto"/>
      </w:divBdr>
    </w:div>
    <w:div w:id="1519462156">
      <w:bodyDiv w:val="1"/>
      <w:marLeft w:val="0"/>
      <w:marRight w:val="0"/>
      <w:marTop w:val="0"/>
      <w:marBottom w:val="0"/>
      <w:divBdr>
        <w:top w:val="none" w:sz="0" w:space="0" w:color="auto"/>
        <w:left w:val="none" w:sz="0" w:space="0" w:color="auto"/>
        <w:bottom w:val="none" w:sz="0" w:space="0" w:color="auto"/>
        <w:right w:val="none" w:sz="0" w:space="0" w:color="auto"/>
      </w:divBdr>
    </w:div>
    <w:div w:id="1519612842">
      <w:bodyDiv w:val="1"/>
      <w:marLeft w:val="0"/>
      <w:marRight w:val="0"/>
      <w:marTop w:val="0"/>
      <w:marBottom w:val="0"/>
      <w:divBdr>
        <w:top w:val="none" w:sz="0" w:space="0" w:color="auto"/>
        <w:left w:val="none" w:sz="0" w:space="0" w:color="auto"/>
        <w:bottom w:val="none" w:sz="0" w:space="0" w:color="auto"/>
        <w:right w:val="none" w:sz="0" w:space="0" w:color="auto"/>
      </w:divBdr>
    </w:div>
    <w:div w:id="1519734810">
      <w:bodyDiv w:val="1"/>
      <w:marLeft w:val="0"/>
      <w:marRight w:val="0"/>
      <w:marTop w:val="0"/>
      <w:marBottom w:val="0"/>
      <w:divBdr>
        <w:top w:val="none" w:sz="0" w:space="0" w:color="auto"/>
        <w:left w:val="none" w:sz="0" w:space="0" w:color="auto"/>
        <w:bottom w:val="none" w:sz="0" w:space="0" w:color="auto"/>
        <w:right w:val="none" w:sz="0" w:space="0" w:color="auto"/>
      </w:divBdr>
    </w:div>
    <w:div w:id="1519739308">
      <w:bodyDiv w:val="1"/>
      <w:marLeft w:val="0"/>
      <w:marRight w:val="0"/>
      <w:marTop w:val="0"/>
      <w:marBottom w:val="0"/>
      <w:divBdr>
        <w:top w:val="none" w:sz="0" w:space="0" w:color="auto"/>
        <w:left w:val="none" w:sz="0" w:space="0" w:color="auto"/>
        <w:bottom w:val="none" w:sz="0" w:space="0" w:color="auto"/>
        <w:right w:val="none" w:sz="0" w:space="0" w:color="auto"/>
      </w:divBdr>
    </w:div>
    <w:div w:id="1519780626">
      <w:bodyDiv w:val="1"/>
      <w:marLeft w:val="0"/>
      <w:marRight w:val="0"/>
      <w:marTop w:val="0"/>
      <w:marBottom w:val="0"/>
      <w:divBdr>
        <w:top w:val="none" w:sz="0" w:space="0" w:color="auto"/>
        <w:left w:val="none" w:sz="0" w:space="0" w:color="auto"/>
        <w:bottom w:val="none" w:sz="0" w:space="0" w:color="auto"/>
        <w:right w:val="none" w:sz="0" w:space="0" w:color="auto"/>
      </w:divBdr>
    </w:div>
    <w:div w:id="1519811299">
      <w:bodyDiv w:val="1"/>
      <w:marLeft w:val="0"/>
      <w:marRight w:val="0"/>
      <w:marTop w:val="0"/>
      <w:marBottom w:val="0"/>
      <w:divBdr>
        <w:top w:val="none" w:sz="0" w:space="0" w:color="auto"/>
        <w:left w:val="none" w:sz="0" w:space="0" w:color="auto"/>
        <w:bottom w:val="none" w:sz="0" w:space="0" w:color="auto"/>
        <w:right w:val="none" w:sz="0" w:space="0" w:color="auto"/>
      </w:divBdr>
    </w:div>
    <w:div w:id="1519848880">
      <w:bodyDiv w:val="1"/>
      <w:marLeft w:val="0"/>
      <w:marRight w:val="0"/>
      <w:marTop w:val="0"/>
      <w:marBottom w:val="0"/>
      <w:divBdr>
        <w:top w:val="none" w:sz="0" w:space="0" w:color="auto"/>
        <w:left w:val="none" w:sz="0" w:space="0" w:color="auto"/>
        <w:bottom w:val="none" w:sz="0" w:space="0" w:color="auto"/>
        <w:right w:val="none" w:sz="0" w:space="0" w:color="auto"/>
      </w:divBdr>
    </w:div>
    <w:div w:id="1519927519">
      <w:bodyDiv w:val="1"/>
      <w:marLeft w:val="0"/>
      <w:marRight w:val="0"/>
      <w:marTop w:val="0"/>
      <w:marBottom w:val="0"/>
      <w:divBdr>
        <w:top w:val="none" w:sz="0" w:space="0" w:color="auto"/>
        <w:left w:val="none" w:sz="0" w:space="0" w:color="auto"/>
        <w:bottom w:val="none" w:sz="0" w:space="0" w:color="auto"/>
        <w:right w:val="none" w:sz="0" w:space="0" w:color="auto"/>
      </w:divBdr>
    </w:div>
    <w:div w:id="1519998580">
      <w:bodyDiv w:val="1"/>
      <w:marLeft w:val="0"/>
      <w:marRight w:val="0"/>
      <w:marTop w:val="0"/>
      <w:marBottom w:val="0"/>
      <w:divBdr>
        <w:top w:val="none" w:sz="0" w:space="0" w:color="auto"/>
        <w:left w:val="none" w:sz="0" w:space="0" w:color="auto"/>
        <w:bottom w:val="none" w:sz="0" w:space="0" w:color="auto"/>
        <w:right w:val="none" w:sz="0" w:space="0" w:color="auto"/>
      </w:divBdr>
    </w:div>
    <w:div w:id="1520121267">
      <w:bodyDiv w:val="1"/>
      <w:marLeft w:val="0"/>
      <w:marRight w:val="0"/>
      <w:marTop w:val="0"/>
      <w:marBottom w:val="0"/>
      <w:divBdr>
        <w:top w:val="none" w:sz="0" w:space="0" w:color="auto"/>
        <w:left w:val="none" w:sz="0" w:space="0" w:color="auto"/>
        <w:bottom w:val="none" w:sz="0" w:space="0" w:color="auto"/>
        <w:right w:val="none" w:sz="0" w:space="0" w:color="auto"/>
      </w:divBdr>
    </w:div>
    <w:div w:id="1520121927">
      <w:bodyDiv w:val="1"/>
      <w:marLeft w:val="0"/>
      <w:marRight w:val="0"/>
      <w:marTop w:val="0"/>
      <w:marBottom w:val="0"/>
      <w:divBdr>
        <w:top w:val="none" w:sz="0" w:space="0" w:color="auto"/>
        <w:left w:val="none" w:sz="0" w:space="0" w:color="auto"/>
        <w:bottom w:val="none" w:sz="0" w:space="0" w:color="auto"/>
        <w:right w:val="none" w:sz="0" w:space="0" w:color="auto"/>
      </w:divBdr>
    </w:div>
    <w:div w:id="1520122055">
      <w:bodyDiv w:val="1"/>
      <w:marLeft w:val="0"/>
      <w:marRight w:val="0"/>
      <w:marTop w:val="0"/>
      <w:marBottom w:val="0"/>
      <w:divBdr>
        <w:top w:val="none" w:sz="0" w:space="0" w:color="auto"/>
        <w:left w:val="none" w:sz="0" w:space="0" w:color="auto"/>
        <w:bottom w:val="none" w:sz="0" w:space="0" w:color="auto"/>
        <w:right w:val="none" w:sz="0" w:space="0" w:color="auto"/>
      </w:divBdr>
    </w:div>
    <w:div w:id="1520240449">
      <w:bodyDiv w:val="1"/>
      <w:marLeft w:val="0"/>
      <w:marRight w:val="0"/>
      <w:marTop w:val="0"/>
      <w:marBottom w:val="0"/>
      <w:divBdr>
        <w:top w:val="none" w:sz="0" w:space="0" w:color="auto"/>
        <w:left w:val="none" w:sz="0" w:space="0" w:color="auto"/>
        <w:bottom w:val="none" w:sz="0" w:space="0" w:color="auto"/>
        <w:right w:val="none" w:sz="0" w:space="0" w:color="auto"/>
      </w:divBdr>
    </w:div>
    <w:div w:id="1520316849">
      <w:bodyDiv w:val="1"/>
      <w:marLeft w:val="0"/>
      <w:marRight w:val="0"/>
      <w:marTop w:val="0"/>
      <w:marBottom w:val="0"/>
      <w:divBdr>
        <w:top w:val="none" w:sz="0" w:space="0" w:color="auto"/>
        <w:left w:val="none" w:sz="0" w:space="0" w:color="auto"/>
        <w:bottom w:val="none" w:sz="0" w:space="0" w:color="auto"/>
        <w:right w:val="none" w:sz="0" w:space="0" w:color="auto"/>
      </w:divBdr>
    </w:div>
    <w:div w:id="1520392642">
      <w:bodyDiv w:val="1"/>
      <w:marLeft w:val="0"/>
      <w:marRight w:val="0"/>
      <w:marTop w:val="0"/>
      <w:marBottom w:val="0"/>
      <w:divBdr>
        <w:top w:val="none" w:sz="0" w:space="0" w:color="auto"/>
        <w:left w:val="none" w:sz="0" w:space="0" w:color="auto"/>
        <w:bottom w:val="none" w:sz="0" w:space="0" w:color="auto"/>
        <w:right w:val="none" w:sz="0" w:space="0" w:color="auto"/>
      </w:divBdr>
    </w:div>
    <w:div w:id="1520436188">
      <w:bodyDiv w:val="1"/>
      <w:marLeft w:val="0"/>
      <w:marRight w:val="0"/>
      <w:marTop w:val="0"/>
      <w:marBottom w:val="0"/>
      <w:divBdr>
        <w:top w:val="none" w:sz="0" w:space="0" w:color="auto"/>
        <w:left w:val="none" w:sz="0" w:space="0" w:color="auto"/>
        <w:bottom w:val="none" w:sz="0" w:space="0" w:color="auto"/>
        <w:right w:val="none" w:sz="0" w:space="0" w:color="auto"/>
      </w:divBdr>
    </w:div>
    <w:div w:id="1520465367">
      <w:bodyDiv w:val="1"/>
      <w:marLeft w:val="0"/>
      <w:marRight w:val="0"/>
      <w:marTop w:val="0"/>
      <w:marBottom w:val="0"/>
      <w:divBdr>
        <w:top w:val="none" w:sz="0" w:space="0" w:color="auto"/>
        <w:left w:val="none" w:sz="0" w:space="0" w:color="auto"/>
        <w:bottom w:val="none" w:sz="0" w:space="0" w:color="auto"/>
        <w:right w:val="none" w:sz="0" w:space="0" w:color="auto"/>
      </w:divBdr>
    </w:div>
    <w:div w:id="1520505014">
      <w:bodyDiv w:val="1"/>
      <w:marLeft w:val="0"/>
      <w:marRight w:val="0"/>
      <w:marTop w:val="0"/>
      <w:marBottom w:val="0"/>
      <w:divBdr>
        <w:top w:val="none" w:sz="0" w:space="0" w:color="auto"/>
        <w:left w:val="none" w:sz="0" w:space="0" w:color="auto"/>
        <w:bottom w:val="none" w:sz="0" w:space="0" w:color="auto"/>
        <w:right w:val="none" w:sz="0" w:space="0" w:color="auto"/>
      </w:divBdr>
    </w:div>
    <w:div w:id="1520510235">
      <w:bodyDiv w:val="1"/>
      <w:marLeft w:val="0"/>
      <w:marRight w:val="0"/>
      <w:marTop w:val="0"/>
      <w:marBottom w:val="0"/>
      <w:divBdr>
        <w:top w:val="none" w:sz="0" w:space="0" w:color="auto"/>
        <w:left w:val="none" w:sz="0" w:space="0" w:color="auto"/>
        <w:bottom w:val="none" w:sz="0" w:space="0" w:color="auto"/>
        <w:right w:val="none" w:sz="0" w:space="0" w:color="auto"/>
      </w:divBdr>
    </w:div>
    <w:div w:id="1520660255">
      <w:bodyDiv w:val="1"/>
      <w:marLeft w:val="0"/>
      <w:marRight w:val="0"/>
      <w:marTop w:val="0"/>
      <w:marBottom w:val="0"/>
      <w:divBdr>
        <w:top w:val="none" w:sz="0" w:space="0" w:color="auto"/>
        <w:left w:val="none" w:sz="0" w:space="0" w:color="auto"/>
        <w:bottom w:val="none" w:sz="0" w:space="0" w:color="auto"/>
        <w:right w:val="none" w:sz="0" w:space="0" w:color="auto"/>
      </w:divBdr>
    </w:div>
    <w:div w:id="1520663101">
      <w:bodyDiv w:val="1"/>
      <w:marLeft w:val="0"/>
      <w:marRight w:val="0"/>
      <w:marTop w:val="0"/>
      <w:marBottom w:val="0"/>
      <w:divBdr>
        <w:top w:val="none" w:sz="0" w:space="0" w:color="auto"/>
        <w:left w:val="none" w:sz="0" w:space="0" w:color="auto"/>
        <w:bottom w:val="none" w:sz="0" w:space="0" w:color="auto"/>
        <w:right w:val="none" w:sz="0" w:space="0" w:color="auto"/>
      </w:divBdr>
    </w:div>
    <w:div w:id="1520705071">
      <w:bodyDiv w:val="1"/>
      <w:marLeft w:val="0"/>
      <w:marRight w:val="0"/>
      <w:marTop w:val="0"/>
      <w:marBottom w:val="0"/>
      <w:divBdr>
        <w:top w:val="none" w:sz="0" w:space="0" w:color="auto"/>
        <w:left w:val="none" w:sz="0" w:space="0" w:color="auto"/>
        <w:bottom w:val="none" w:sz="0" w:space="0" w:color="auto"/>
        <w:right w:val="none" w:sz="0" w:space="0" w:color="auto"/>
      </w:divBdr>
    </w:div>
    <w:div w:id="1520847741">
      <w:bodyDiv w:val="1"/>
      <w:marLeft w:val="0"/>
      <w:marRight w:val="0"/>
      <w:marTop w:val="0"/>
      <w:marBottom w:val="0"/>
      <w:divBdr>
        <w:top w:val="none" w:sz="0" w:space="0" w:color="auto"/>
        <w:left w:val="none" w:sz="0" w:space="0" w:color="auto"/>
        <w:bottom w:val="none" w:sz="0" w:space="0" w:color="auto"/>
        <w:right w:val="none" w:sz="0" w:space="0" w:color="auto"/>
      </w:divBdr>
    </w:div>
    <w:div w:id="1520850776">
      <w:bodyDiv w:val="1"/>
      <w:marLeft w:val="0"/>
      <w:marRight w:val="0"/>
      <w:marTop w:val="0"/>
      <w:marBottom w:val="0"/>
      <w:divBdr>
        <w:top w:val="none" w:sz="0" w:space="0" w:color="auto"/>
        <w:left w:val="none" w:sz="0" w:space="0" w:color="auto"/>
        <w:bottom w:val="none" w:sz="0" w:space="0" w:color="auto"/>
        <w:right w:val="none" w:sz="0" w:space="0" w:color="auto"/>
      </w:divBdr>
    </w:div>
    <w:div w:id="1520853017">
      <w:bodyDiv w:val="1"/>
      <w:marLeft w:val="0"/>
      <w:marRight w:val="0"/>
      <w:marTop w:val="0"/>
      <w:marBottom w:val="0"/>
      <w:divBdr>
        <w:top w:val="none" w:sz="0" w:space="0" w:color="auto"/>
        <w:left w:val="none" w:sz="0" w:space="0" w:color="auto"/>
        <w:bottom w:val="none" w:sz="0" w:space="0" w:color="auto"/>
        <w:right w:val="none" w:sz="0" w:space="0" w:color="auto"/>
      </w:divBdr>
    </w:div>
    <w:div w:id="1520856070">
      <w:bodyDiv w:val="1"/>
      <w:marLeft w:val="0"/>
      <w:marRight w:val="0"/>
      <w:marTop w:val="0"/>
      <w:marBottom w:val="0"/>
      <w:divBdr>
        <w:top w:val="none" w:sz="0" w:space="0" w:color="auto"/>
        <w:left w:val="none" w:sz="0" w:space="0" w:color="auto"/>
        <w:bottom w:val="none" w:sz="0" w:space="0" w:color="auto"/>
        <w:right w:val="none" w:sz="0" w:space="0" w:color="auto"/>
      </w:divBdr>
    </w:div>
    <w:div w:id="1520895518">
      <w:bodyDiv w:val="1"/>
      <w:marLeft w:val="0"/>
      <w:marRight w:val="0"/>
      <w:marTop w:val="0"/>
      <w:marBottom w:val="0"/>
      <w:divBdr>
        <w:top w:val="none" w:sz="0" w:space="0" w:color="auto"/>
        <w:left w:val="none" w:sz="0" w:space="0" w:color="auto"/>
        <w:bottom w:val="none" w:sz="0" w:space="0" w:color="auto"/>
        <w:right w:val="none" w:sz="0" w:space="0" w:color="auto"/>
      </w:divBdr>
    </w:div>
    <w:div w:id="1521234004">
      <w:bodyDiv w:val="1"/>
      <w:marLeft w:val="0"/>
      <w:marRight w:val="0"/>
      <w:marTop w:val="0"/>
      <w:marBottom w:val="0"/>
      <w:divBdr>
        <w:top w:val="none" w:sz="0" w:space="0" w:color="auto"/>
        <w:left w:val="none" w:sz="0" w:space="0" w:color="auto"/>
        <w:bottom w:val="none" w:sz="0" w:space="0" w:color="auto"/>
        <w:right w:val="none" w:sz="0" w:space="0" w:color="auto"/>
      </w:divBdr>
    </w:div>
    <w:div w:id="1521313015">
      <w:bodyDiv w:val="1"/>
      <w:marLeft w:val="0"/>
      <w:marRight w:val="0"/>
      <w:marTop w:val="0"/>
      <w:marBottom w:val="0"/>
      <w:divBdr>
        <w:top w:val="none" w:sz="0" w:space="0" w:color="auto"/>
        <w:left w:val="none" w:sz="0" w:space="0" w:color="auto"/>
        <w:bottom w:val="none" w:sz="0" w:space="0" w:color="auto"/>
        <w:right w:val="none" w:sz="0" w:space="0" w:color="auto"/>
      </w:divBdr>
    </w:div>
    <w:div w:id="1521354376">
      <w:bodyDiv w:val="1"/>
      <w:marLeft w:val="0"/>
      <w:marRight w:val="0"/>
      <w:marTop w:val="0"/>
      <w:marBottom w:val="0"/>
      <w:divBdr>
        <w:top w:val="none" w:sz="0" w:space="0" w:color="auto"/>
        <w:left w:val="none" w:sz="0" w:space="0" w:color="auto"/>
        <w:bottom w:val="none" w:sz="0" w:space="0" w:color="auto"/>
        <w:right w:val="none" w:sz="0" w:space="0" w:color="auto"/>
      </w:divBdr>
    </w:div>
    <w:div w:id="1521357420">
      <w:bodyDiv w:val="1"/>
      <w:marLeft w:val="0"/>
      <w:marRight w:val="0"/>
      <w:marTop w:val="0"/>
      <w:marBottom w:val="0"/>
      <w:divBdr>
        <w:top w:val="none" w:sz="0" w:space="0" w:color="auto"/>
        <w:left w:val="none" w:sz="0" w:space="0" w:color="auto"/>
        <w:bottom w:val="none" w:sz="0" w:space="0" w:color="auto"/>
        <w:right w:val="none" w:sz="0" w:space="0" w:color="auto"/>
      </w:divBdr>
    </w:div>
    <w:div w:id="1521553683">
      <w:bodyDiv w:val="1"/>
      <w:marLeft w:val="0"/>
      <w:marRight w:val="0"/>
      <w:marTop w:val="0"/>
      <w:marBottom w:val="0"/>
      <w:divBdr>
        <w:top w:val="none" w:sz="0" w:space="0" w:color="auto"/>
        <w:left w:val="none" w:sz="0" w:space="0" w:color="auto"/>
        <w:bottom w:val="none" w:sz="0" w:space="0" w:color="auto"/>
        <w:right w:val="none" w:sz="0" w:space="0" w:color="auto"/>
      </w:divBdr>
    </w:div>
    <w:div w:id="1521778071">
      <w:bodyDiv w:val="1"/>
      <w:marLeft w:val="0"/>
      <w:marRight w:val="0"/>
      <w:marTop w:val="0"/>
      <w:marBottom w:val="0"/>
      <w:divBdr>
        <w:top w:val="none" w:sz="0" w:space="0" w:color="auto"/>
        <w:left w:val="none" w:sz="0" w:space="0" w:color="auto"/>
        <w:bottom w:val="none" w:sz="0" w:space="0" w:color="auto"/>
        <w:right w:val="none" w:sz="0" w:space="0" w:color="auto"/>
      </w:divBdr>
    </w:div>
    <w:div w:id="1521891921">
      <w:bodyDiv w:val="1"/>
      <w:marLeft w:val="0"/>
      <w:marRight w:val="0"/>
      <w:marTop w:val="0"/>
      <w:marBottom w:val="0"/>
      <w:divBdr>
        <w:top w:val="none" w:sz="0" w:space="0" w:color="auto"/>
        <w:left w:val="none" w:sz="0" w:space="0" w:color="auto"/>
        <w:bottom w:val="none" w:sz="0" w:space="0" w:color="auto"/>
        <w:right w:val="none" w:sz="0" w:space="0" w:color="auto"/>
      </w:divBdr>
    </w:div>
    <w:div w:id="1521893692">
      <w:bodyDiv w:val="1"/>
      <w:marLeft w:val="0"/>
      <w:marRight w:val="0"/>
      <w:marTop w:val="0"/>
      <w:marBottom w:val="0"/>
      <w:divBdr>
        <w:top w:val="none" w:sz="0" w:space="0" w:color="auto"/>
        <w:left w:val="none" w:sz="0" w:space="0" w:color="auto"/>
        <w:bottom w:val="none" w:sz="0" w:space="0" w:color="auto"/>
        <w:right w:val="none" w:sz="0" w:space="0" w:color="auto"/>
      </w:divBdr>
    </w:div>
    <w:div w:id="1522278782">
      <w:bodyDiv w:val="1"/>
      <w:marLeft w:val="0"/>
      <w:marRight w:val="0"/>
      <w:marTop w:val="0"/>
      <w:marBottom w:val="0"/>
      <w:divBdr>
        <w:top w:val="none" w:sz="0" w:space="0" w:color="auto"/>
        <w:left w:val="none" w:sz="0" w:space="0" w:color="auto"/>
        <w:bottom w:val="none" w:sz="0" w:space="0" w:color="auto"/>
        <w:right w:val="none" w:sz="0" w:space="0" w:color="auto"/>
      </w:divBdr>
    </w:div>
    <w:div w:id="1522359185">
      <w:bodyDiv w:val="1"/>
      <w:marLeft w:val="0"/>
      <w:marRight w:val="0"/>
      <w:marTop w:val="0"/>
      <w:marBottom w:val="0"/>
      <w:divBdr>
        <w:top w:val="none" w:sz="0" w:space="0" w:color="auto"/>
        <w:left w:val="none" w:sz="0" w:space="0" w:color="auto"/>
        <w:bottom w:val="none" w:sz="0" w:space="0" w:color="auto"/>
        <w:right w:val="none" w:sz="0" w:space="0" w:color="auto"/>
      </w:divBdr>
    </w:div>
    <w:div w:id="1522430681">
      <w:bodyDiv w:val="1"/>
      <w:marLeft w:val="0"/>
      <w:marRight w:val="0"/>
      <w:marTop w:val="0"/>
      <w:marBottom w:val="0"/>
      <w:divBdr>
        <w:top w:val="none" w:sz="0" w:space="0" w:color="auto"/>
        <w:left w:val="none" w:sz="0" w:space="0" w:color="auto"/>
        <w:bottom w:val="none" w:sz="0" w:space="0" w:color="auto"/>
        <w:right w:val="none" w:sz="0" w:space="0" w:color="auto"/>
      </w:divBdr>
    </w:div>
    <w:div w:id="1522468962">
      <w:bodyDiv w:val="1"/>
      <w:marLeft w:val="0"/>
      <w:marRight w:val="0"/>
      <w:marTop w:val="0"/>
      <w:marBottom w:val="0"/>
      <w:divBdr>
        <w:top w:val="none" w:sz="0" w:space="0" w:color="auto"/>
        <w:left w:val="none" w:sz="0" w:space="0" w:color="auto"/>
        <w:bottom w:val="none" w:sz="0" w:space="0" w:color="auto"/>
        <w:right w:val="none" w:sz="0" w:space="0" w:color="auto"/>
      </w:divBdr>
    </w:div>
    <w:div w:id="1522552994">
      <w:bodyDiv w:val="1"/>
      <w:marLeft w:val="0"/>
      <w:marRight w:val="0"/>
      <w:marTop w:val="0"/>
      <w:marBottom w:val="0"/>
      <w:divBdr>
        <w:top w:val="none" w:sz="0" w:space="0" w:color="auto"/>
        <w:left w:val="none" w:sz="0" w:space="0" w:color="auto"/>
        <w:bottom w:val="none" w:sz="0" w:space="0" w:color="auto"/>
        <w:right w:val="none" w:sz="0" w:space="0" w:color="auto"/>
      </w:divBdr>
    </w:div>
    <w:div w:id="1522619920">
      <w:bodyDiv w:val="1"/>
      <w:marLeft w:val="0"/>
      <w:marRight w:val="0"/>
      <w:marTop w:val="0"/>
      <w:marBottom w:val="0"/>
      <w:divBdr>
        <w:top w:val="none" w:sz="0" w:space="0" w:color="auto"/>
        <w:left w:val="none" w:sz="0" w:space="0" w:color="auto"/>
        <w:bottom w:val="none" w:sz="0" w:space="0" w:color="auto"/>
        <w:right w:val="none" w:sz="0" w:space="0" w:color="auto"/>
      </w:divBdr>
    </w:div>
    <w:div w:id="1522623747">
      <w:bodyDiv w:val="1"/>
      <w:marLeft w:val="0"/>
      <w:marRight w:val="0"/>
      <w:marTop w:val="0"/>
      <w:marBottom w:val="0"/>
      <w:divBdr>
        <w:top w:val="none" w:sz="0" w:space="0" w:color="auto"/>
        <w:left w:val="none" w:sz="0" w:space="0" w:color="auto"/>
        <w:bottom w:val="none" w:sz="0" w:space="0" w:color="auto"/>
        <w:right w:val="none" w:sz="0" w:space="0" w:color="auto"/>
      </w:divBdr>
    </w:div>
    <w:div w:id="1522931976">
      <w:bodyDiv w:val="1"/>
      <w:marLeft w:val="0"/>
      <w:marRight w:val="0"/>
      <w:marTop w:val="0"/>
      <w:marBottom w:val="0"/>
      <w:divBdr>
        <w:top w:val="none" w:sz="0" w:space="0" w:color="auto"/>
        <w:left w:val="none" w:sz="0" w:space="0" w:color="auto"/>
        <w:bottom w:val="none" w:sz="0" w:space="0" w:color="auto"/>
        <w:right w:val="none" w:sz="0" w:space="0" w:color="auto"/>
      </w:divBdr>
    </w:div>
    <w:div w:id="1522935663">
      <w:bodyDiv w:val="1"/>
      <w:marLeft w:val="0"/>
      <w:marRight w:val="0"/>
      <w:marTop w:val="0"/>
      <w:marBottom w:val="0"/>
      <w:divBdr>
        <w:top w:val="none" w:sz="0" w:space="0" w:color="auto"/>
        <w:left w:val="none" w:sz="0" w:space="0" w:color="auto"/>
        <w:bottom w:val="none" w:sz="0" w:space="0" w:color="auto"/>
        <w:right w:val="none" w:sz="0" w:space="0" w:color="auto"/>
      </w:divBdr>
    </w:div>
    <w:div w:id="1523012112">
      <w:bodyDiv w:val="1"/>
      <w:marLeft w:val="0"/>
      <w:marRight w:val="0"/>
      <w:marTop w:val="0"/>
      <w:marBottom w:val="0"/>
      <w:divBdr>
        <w:top w:val="none" w:sz="0" w:space="0" w:color="auto"/>
        <w:left w:val="none" w:sz="0" w:space="0" w:color="auto"/>
        <w:bottom w:val="none" w:sz="0" w:space="0" w:color="auto"/>
        <w:right w:val="none" w:sz="0" w:space="0" w:color="auto"/>
      </w:divBdr>
    </w:div>
    <w:div w:id="1523086737">
      <w:bodyDiv w:val="1"/>
      <w:marLeft w:val="0"/>
      <w:marRight w:val="0"/>
      <w:marTop w:val="0"/>
      <w:marBottom w:val="0"/>
      <w:divBdr>
        <w:top w:val="none" w:sz="0" w:space="0" w:color="auto"/>
        <w:left w:val="none" w:sz="0" w:space="0" w:color="auto"/>
        <w:bottom w:val="none" w:sz="0" w:space="0" w:color="auto"/>
        <w:right w:val="none" w:sz="0" w:space="0" w:color="auto"/>
      </w:divBdr>
    </w:div>
    <w:div w:id="1523088616">
      <w:bodyDiv w:val="1"/>
      <w:marLeft w:val="0"/>
      <w:marRight w:val="0"/>
      <w:marTop w:val="0"/>
      <w:marBottom w:val="0"/>
      <w:divBdr>
        <w:top w:val="none" w:sz="0" w:space="0" w:color="auto"/>
        <w:left w:val="none" w:sz="0" w:space="0" w:color="auto"/>
        <w:bottom w:val="none" w:sz="0" w:space="0" w:color="auto"/>
        <w:right w:val="none" w:sz="0" w:space="0" w:color="auto"/>
      </w:divBdr>
    </w:div>
    <w:div w:id="1523124600">
      <w:bodyDiv w:val="1"/>
      <w:marLeft w:val="0"/>
      <w:marRight w:val="0"/>
      <w:marTop w:val="0"/>
      <w:marBottom w:val="0"/>
      <w:divBdr>
        <w:top w:val="none" w:sz="0" w:space="0" w:color="auto"/>
        <w:left w:val="none" w:sz="0" w:space="0" w:color="auto"/>
        <w:bottom w:val="none" w:sz="0" w:space="0" w:color="auto"/>
        <w:right w:val="none" w:sz="0" w:space="0" w:color="auto"/>
      </w:divBdr>
    </w:div>
    <w:div w:id="1523470994">
      <w:bodyDiv w:val="1"/>
      <w:marLeft w:val="0"/>
      <w:marRight w:val="0"/>
      <w:marTop w:val="0"/>
      <w:marBottom w:val="0"/>
      <w:divBdr>
        <w:top w:val="none" w:sz="0" w:space="0" w:color="auto"/>
        <w:left w:val="none" w:sz="0" w:space="0" w:color="auto"/>
        <w:bottom w:val="none" w:sz="0" w:space="0" w:color="auto"/>
        <w:right w:val="none" w:sz="0" w:space="0" w:color="auto"/>
      </w:divBdr>
    </w:div>
    <w:div w:id="1523662483">
      <w:bodyDiv w:val="1"/>
      <w:marLeft w:val="0"/>
      <w:marRight w:val="0"/>
      <w:marTop w:val="0"/>
      <w:marBottom w:val="0"/>
      <w:divBdr>
        <w:top w:val="none" w:sz="0" w:space="0" w:color="auto"/>
        <w:left w:val="none" w:sz="0" w:space="0" w:color="auto"/>
        <w:bottom w:val="none" w:sz="0" w:space="0" w:color="auto"/>
        <w:right w:val="none" w:sz="0" w:space="0" w:color="auto"/>
      </w:divBdr>
    </w:div>
    <w:div w:id="1523665188">
      <w:bodyDiv w:val="1"/>
      <w:marLeft w:val="0"/>
      <w:marRight w:val="0"/>
      <w:marTop w:val="0"/>
      <w:marBottom w:val="0"/>
      <w:divBdr>
        <w:top w:val="none" w:sz="0" w:space="0" w:color="auto"/>
        <w:left w:val="none" w:sz="0" w:space="0" w:color="auto"/>
        <w:bottom w:val="none" w:sz="0" w:space="0" w:color="auto"/>
        <w:right w:val="none" w:sz="0" w:space="0" w:color="auto"/>
      </w:divBdr>
    </w:div>
    <w:div w:id="1523781741">
      <w:bodyDiv w:val="1"/>
      <w:marLeft w:val="0"/>
      <w:marRight w:val="0"/>
      <w:marTop w:val="0"/>
      <w:marBottom w:val="0"/>
      <w:divBdr>
        <w:top w:val="none" w:sz="0" w:space="0" w:color="auto"/>
        <w:left w:val="none" w:sz="0" w:space="0" w:color="auto"/>
        <w:bottom w:val="none" w:sz="0" w:space="0" w:color="auto"/>
        <w:right w:val="none" w:sz="0" w:space="0" w:color="auto"/>
      </w:divBdr>
    </w:div>
    <w:div w:id="1523932656">
      <w:bodyDiv w:val="1"/>
      <w:marLeft w:val="0"/>
      <w:marRight w:val="0"/>
      <w:marTop w:val="0"/>
      <w:marBottom w:val="0"/>
      <w:divBdr>
        <w:top w:val="none" w:sz="0" w:space="0" w:color="auto"/>
        <w:left w:val="none" w:sz="0" w:space="0" w:color="auto"/>
        <w:bottom w:val="none" w:sz="0" w:space="0" w:color="auto"/>
        <w:right w:val="none" w:sz="0" w:space="0" w:color="auto"/>
      </w:divBdr>
    </w:div>
    <w:div w:id="1524005749">
      <w:bodyDiv w:val="1"/>
      <w:marLeft w:val="0"/>
      <w:marRight w:val="0"/>
      <w:marTop w:val="0"/>
      <w:marBottom w:val="0"/>
      <w:divBdr>
        <w:top w:val="none" w:sz="0" w:space="0" w:color="auto"/>
        <w:left w:val="none" w:sz="0" w:space="0" w:color="auto"/>
        <w:bottom w:val="none" w:sz="0" w:space="0" w:color="auto"/>
        <w:right w:val="none" w:sz="0" w:space="0" w:color="auto"/>
      </w:divBdr>
    </w:div>
    <w:div w:id="1524050800">
      <w:bodyDiv w:val="1"/>
      <w:marLeft w:val="0"/>
      <w:marRight w:val="0"/>
      <w:marTop w:val="0"/>
      <w:marBottom w:val="0"/>
      <w:divBdr>
        <w:top w:val="none" w:sz="0" w:space="0" w:color="auto"/>
        <w:left w:val="none" w:sz="0" w:space="0" w:color="auto"/>
        <w:bottom w:val="none" w:sz="0" w:space="0" w:color="auto"/>
        <w:right w:val="none" w:sz="0" w:space="0" w:color="auto"/>
      </w:divBdr>
    </w:div>
    <w:div w:id="1524171185">
      <w:bodyDiv w:val="1"/>
      <w:marLeft w:val="0"/>
      <w:marRight w:val="0"/>
      <w:marTop w:val="0"/>
      <w:marBottom w:val="0"/>
      <w:divBdr>
        <w:top w:val="none" w:sz="0" w:space="0" w:color="auto"/>
        <w:left w:val="none" w:sz="0" w:space="0" w:color="auto"/>
        <w:bottom w:val="none" w:sz="0" w:space="0" w:color="auto"/>
        <w:right w:val="none" w:sz="0" w:space="0" w:color="auto"/>
      </w:divBdr>
    </w:div>
    <w:div w:id="1524201319">
      <w:bodyDiv w:val="1"/>
      <w:marLeft w:val="0"/>
      <w:marRight w:val="0"/>
      <w:marTop w:val="0"/>
      <w:marBottom w:val="0"/>
      <w:divBdr>
        <w:top w:val="none" w:sz="0" w:space="0" w:color="auto"/>
        <w:left w:val="none" w:sz="0" w:space="0" w:color="auto"/>
        <w:bottom w:val="none" w:sz="0" w:space="0" w:color="auto"/>
        <w:right w:val="none" w:sz="0" w:space="0" w:color="auto"/>
      </w:divBdr>
    </w:div>
    <w:div w:id="1524391995">
      <w:bodyDiv w:val="1"/>
      <w:marLeft w:val="0"/>
      <w:marRight w:val="0"/>
      <w:marTop w:val="0"/>
      <w:marBottom w:val="0"/>
      <w:divBdr>
        <w:top w:val="none" w:sz="0" w:space="0" w:color="auto"/>
        <w:left w:val="none" w:sz="0" w:space="0" w:color="auto"/>
        <w:bottom w:val="none" w:sz="0" w:space="0" w:color="auto"/>
        <w:right w:val="none" w:sz="0" w:space="0" w:color="auto"/>
      </w:divBdr>
    </w:div>
    <w:div w:id="1524516172">
      <w:bodyDiv w:val="1"/>
      <w:marLeft w:val="0"/>
      <w:marRight w:val="0"/>
      <w:marTop w:val="0"/>
      <w:marBottom w:val="0"/>
      <w:divBdr>
        <w:top w:val="none" w:sz="0" w:space="0" w:color="auto"/>
        <w:left w:val="none" w:sz="0" w:space="0" w:color="auto"/>
        <w:bottom w:val="none" w:sz="0" w:space="0" w:color="auto"/>
        <w:right w:val="none" w:sz="0" w:space="0" w:color="auto"/>
      </w:divBdr>
    </w:div>
    <w:div w:id="1524630074">
      <w:bodyDiv w:val="1"/>
      <w:marLeft w:val="0"/>
      <w:marRight w:val="0"/>
      <w:marTop w:val="0"/>
      <w:marBottom w:val="0"/>
      <w:divBdr>
        <w:top w:val="none" w:sz="0" w:space="0" w:color="auto"/>
        <w:left w:val="none" w:sz="0" w:space="0" w:color="auto"/>
        <w:bottom w:val="none" w:sz="0" w:space="0" w:color="auto"/>
        <w:right w:val="none" w:sz="0" w:space="0" w:color="auto"/>
      </w:divBdr>
    </w:div>
    <w:div w:id="1524630539">
      <w:bodyDiv w:val="1"/>
      <w:marLeft w:val="0"/>
      <w:marRight w:val="0"/>
      <w:marTop w:val="0"/>
      <w:marBottom w:val="0"/>
      <w:divBdr>
        <w:top w:val="none" w:sz="0" w:space="0" w:color="auto"/>
        <w:left w:val="none" w:sz="0" w:space="0" w:color="auto"/>
        <w:bottom w:val="none" w:sz="0" w:space="0" w:color="auto"/>
        <w:right w:val="none" w:sz="0" w:space="0" w:color="auto"/>
      </w:divBdr>
    </w:div>
    <w:div w:id="1524786805">
      <w:bodyDiv w:val="1"/>
      <w:marLeft w:val="0"/>
      <w:marRight w:val="0"/>
      <w:marTop w:val="0"/>
      <w:marBottom w:val="0"/>
      <w:divBdr>
        <w:top w:val="none" w:sz="0" w:space="0" w:color="auto"/>
        <w:left w:val="none" w:sz="0" w:space="0" w:color="auto"/>
        <w:bottom w:val="none" w:sz="0" w:space="0" w:color="auto"/>
        <w:right w:val="none" w:sz="0" w:space="0" w:color="auto"/>
      </w:divBdr>
    </w:div>
    <w:div w:id="1524827138">
      <w:bodyDiv w:val="1"/>
      <w:marLeft w:val="0"/>
      <w:marRight w:val="0"/>
      <w:marTop w:val="0"/>
      <w:marBottom w:val="0"/>
      <w:divBdr>
        <w:top w:val="none" w:sz="0" w:space="0" w:color="auto"/>
        <w:left w:val="none" w:sz="0" w:space="0" w:color="auto"/>
        <w:bottom w:val="none" w:sz="0" w:space="0" w:color="auto"/>
        <w:right w:val="none" w:sz="0" w:space="0" w:color="auto"/>
      </w:divBdr>
    </w:div>
    <w:div w:id="1524897816">
      <w:bodyDiv w:val="1"/>
      <w:marLeft w:val="0"/>
      <w:marRight w:val="0"/>
      <w:marTop w:val="0"/>
      <w:marBottom w:val="0"/>
      <w:divBdr>
        <w:top w:val="none" w:sz="0" w:space="0" w:color="auto"/>
        <w:left w:val="none" w:sz="0" w:space="0" w:color="auto"/>
        <w:bottom w:val="none" w:sz="0" w:space="0" w:color="auto"/>
        <w:right w:val="none" w:sz="0" w:space="0" w:color="auto"/>
      </w:divBdr>
    </w:div>
    <w:div w:id="1524898118">
      <w:bodyDiv w:val="1"/>
      <w:marLeft w:val="0"/>
      <w:marRight w:val="0"/>
      <w:marTop w:val="0"/>
      <w:marBottom w:val="0"/>
      <w:divBdr>
        <w:top w:val="none" w:sz="0" w:space="0" w:color="auto"/>
        <w:left w:val="none" w:sz="0" w:space="0" w:color="auto"/>
        <w:bottom w:val="none" w:sz="0" w:space="0" w:color="auto"/>
        <w:right w:val="none" w:sz="0" w:space="0" w:color="auto"/>
      </w:divBdr>
    </w:div>
    <w:div w:id="1524980786">
      <w:bodyDiv w:val="1"/>
      <w:marLeft w:val="0"/>
      <w:marRight w:val="0"/>
      <w:marTop w:val="0"/>
      <w:marBottom w:val="0"/>
      <w:divBdr>
        <w:top w:val="none" w:sz="0" w:space="0" w:color="auto"/>
        <w:left w:val="none" w:sz="0" w:space="0" w:color="auto"/>
        <w:bottom w:val="none" w:sz="0" w:space="0" w:color="auto"/>
        <w:right w:val="none" w:sz="0" w:space="0" w:color="auto"/>
      </w:divBdr>
    </w:div>
    <w:div w:id="1525048511">
      <w:bodyDiv w:val="1"/>
      <w:marLeft w:val="0"/>
      <w:marRight w:val="0"/>
      <w:marTop w:val="0"/>
      <w:marBottom w:val="0"/>
      <w:divBdr>
        <w:top w:val="none" w:sz="0" w:space="0" w:color="auto"/>
        <w:left w:val="none" w:sz="0" w:space="0" w:color="auto"/>
        <w:bottom w:val="none" w:sz="0" w:space="0" w:color="auto"/>
        <w:right w:val="none" w:sz="0" w:space="0" w:color="auto"/>
      </w:divBdr>
    </w:div>
    <w:div w:id="1525093325">
      <w:bodyDiv w:val="1"/>
      <w:marLeft w:val="0"/>
      <w:marRight w:val="0"/>
      <w:marTop w:val="0"/>
      <w:marBottom w:val="0"/>
      <w:divBdr>
        <w:top w:val="none" w:sz="0" w:space="0" w:color="auto"/>
        <w:left w:val="none" w:sz="0" w:space="0" w:color="auto"/>
        <w:bottom w:val="none" w:sz="0" w:space="0" w:color="auto"/>
        <w:right w:val="none" w:sz="0" w:space="0" w:color="auto"/>
      </w:divBdr>
    </w:div>
    <w:div w:id="1525094943">
      <w:bodyDiv w:val="1"/>
      <w:marLeft w:val="0"/>
      <w:marRight w:val="0"/>
      <w:marTop w:val="0"/>
      <w:marBottom w:val="0"/>
      <w:divBdr>
        <w:top w:val="none" w:sz="0" w:space="0" w:color="auto"/>
        <w:left w:val="none" w:sz="0" w:space="0" w:color="auto"/>
        <w:bottom w:val="none" w:sz="0" w:space="0" w:color="auto"/>
        <w:right w:val="none" w:sz="0" w:space="0" w:color="auto"/>
      </w:divBdr>
    </w:div>
    <w:div w:id="1525170843">
      <w:bodyDiv w:val="1"/>
      <w:marLeft w:val="0"/>
      <w:marRight w:val="0"/>
      <w:marTop w:val="0"/>
      <w:marBottom w:val="0"/>
      <w:divBdr>
        <w:top w:val="none" w:sz="0" w:space="0" w:color="auto"/>
        <w:left w:val="none" w:sz="0" w:space="0" w:color="auto"/>
        <w:bottom w:val="none" w:sz="0" w:space="0" w:color="auto"/>
        <w:right w:val="none" w:sz="0" w:space="0" w:color="auto"/>
      </w:divBdr>
    </w:div>
    <w:div w:id="1525240985">
      <w:bodyDiv w:val="1"/>
      <w:marLeft w:val="0"/>
      <w:marRight w:val="0"/>
      <w:marTop w:val="0"/>
      <w:marBottom w:val="0"/>
      <w:divBdr>
        <w:top w:val="none" w:sz="0" w:space="0" w:color="auto"/>
        <w:left w:val="none" w:sz="0" w:space="0" w:color="auto"/>
        <w:bottom w:val="none" w:sz="0" w:space="0" w:color="auto"/>
        <w:right w:val="none" w:sz="0" w:space="0" w:color="auto"/>
      </w:divBdr>
    </w:div>
    <w:div w:id="1525241170">
      <w:bodyDiv w:val="1"/>
      <w:marLeft w:val="0"/>
      <w:marRight w:val="0"/>
      <w:marTop w:val="0"/>
      <w:marBottom w:val="0"/>
      <w:divBdr>
        <w:top w:val="none" w:sz="0" w:space="0" w:color="auto"/>
        <w:left w:val="none" w:sz="0" w:space="0" w:color="auto"/>
        <w:bottom w:val="none" w:sz="0" w:space="0" w:color="auto"/>
        <w:right w:val="none" w:sz="0" w:space="0" w:color="auto"/>
      </w:divBdr>
    </w:div>
    <w:div w:id="1525285476">
      <w:bodyDiv w:val="1"/>
      <w:marLeft w:val="0"/>
      <w:marRight w:val="0"/>
      <w:marTop w:val="0"/>
      <w:marBottom w:val="0"/>
      <w:divBdr>
        <w:top w:val="none" w:sz="0" w:space="0" w:color="auto"/>
        <w:left w:val="none" w:sz="0" w:space="0" w:color="auto"/>
        <w:bottom w:val="none" w:sz="0" w:space="0" w:color="auto"/>
        <w:right w:val="none" w:sz="0" w:space="0" w:color="auto"/>
      </w:divBdr>
    </w:div>
    <w:div w:id="1525285576">
      <w:bodyDiv w:val="1"/>
      <w:marLeft w:val="0"/>
      <w:marRight w:val="0"/>
      <w:marTop w:val="0"/>
      <w:marBottom w:val="0"/>
      <w:divBdr>
        <w:top w:val="none" w:sz="0" w:space="0" w:color="auto"/>
        <w:left w:val="none" w:sz="0" w:space="0" w:color="auto"/>
        <w:bottom w:val="none" w:sz="0" w:space="0" w:color="auto"/>
        <w:right w:val="none" w:sz="0" w:space="0" w:color="auto"/>
      </w:divBdr>
    </w:div>
    <w:div w:id="1525316622">
      <w:bodyDiv w:val="1"/>
      <w:marLeft w:val="0"/>
      <w:marRight w:val="0"/>
      <w:marTop w:val="0"/>
      <w:marBottom w:val="0"/>
      <w:divBdr>
        <w:top w:val="none" w:sz="0" w:space="0" w:color="auto"/>
        <w:left w:val="none" w:sz="0" w:space="0" w:color="auto"/>
        <w:bottom w:val="none" w:sz="0" w:space="0" w:color="auto"/>
        <w:right w:val="none" w:sz="0" w:space="0" w:color="auto"/>
      </w:divBdr>
    </w:div>
    <w:div w:id="1525362085">
      <w:bodyDiv w:val="1"/>
      <w:marLeft w:val="0"/>
      <w:marRight w:val="0"/>
      <w:marTop w:val="0"/>
      <w:marBottom w:val="0"/>
      <w:divBdr>
        <w:top w:val="none" w:sz="0" w:space="0" w:color="auto"/>
        <w:left w:val="none" w:sz="0" w:space="0" w:color="auto"/>
        <w:bottom w:val="none" w:sz="0" w:space="0" w:color="auto"/>
        <w:right w:val="none" w:sz="0" w:space="0" w:color="auto"/>
      </w:divBdr>
    </w:div>
    <w:div w:id="1525365517">
      <w:bodyDiv w:val="1"/>
      <w:marLeft w:val="0"/>
      <w:marRight w:val="0"/>
      <w:marTop w:val="0"/>
      <w:marBottom w:val="0"/>
      <w:divBdr>
        <w:top w:val="none" w:sz="0" w:space="0" w:color="auto"/>
        <w:left w:val="none" w:sz="0" w:space="0" w:color="auto"/>
        <w:bottom w:val="none" w:sz="0" w:space="0" w:color="auto"/>
        <w:right w:val="none" w:sz="0" w:space="0" w:color="auto"/>
      </w:divBdr>
    </w:div>
    <w:div w:id="1525436486">
      <w:bodyDiv w:val="1"/>
      <w:marLeft w:val="0"/>
      <w:marRight w:val="0"/>
      <w:marTop w:val="0"/>
      <w:marBottom w:val="0"/>
      <w:divBdr>
        <w:top w:val="none" w:sz="0" w:space="0" w:color="auto"/>
        <w:left w:val="none" w:sz="0" w:space="0" w:color="auto"/>
        <w:bottom w:val="none" w:sz="0" w:space="0" w:color="auto"/>
        <w:right w:val="none" w:sz="0" w:space="0" w:color="auto"/>
      </w:divBdr>
    </w:div>
    <w:div w:id="1525437458">
      <w:bodyDiv w:val="1"/>
      <w:marLeft w:val="0"/>
      <w:marRight w:val="0"/>
      <w:marTop w:val="0"/>
      <w:marBottom w:val="0"/>
      <w:divBdr>
        <w:top w:val="none" w:sz="0" w:space="0" w:color="auto"/>
        <w:left w:val="none" w:sz="0" w:space="0" w:color="auto"/>
        <w:bottom w:val="none" w:sz="0" w:space="0" w:color="auto"/>
        <w:right w:val="none" w:sz="0" w:space="0" w:color="auto"/>
      </w:divBdr>
    </w:div>
    <w:div w:id="1525558964">
      <w:bodyDiv w:val="1"/>
      <w:marLeft w:val="0"/>
      <w:marRight w:val="0"/>
      <w:marTop w:val="0"/>
      <w:marBottom w:val="0"/>
      <w:divBdr>
        <w:top w:val="none" w:sz="0" w:space="0" w:color="auto"/>
        <w:left w:val="none" w:sz="0" w:space="0" w:color="auto"/>
        <w:bottom w:val="none" w:sz="0" w:space="0" w:color="auto"/>
        <w:right w:val="none" w:sz="0" w:space="0" w:color="auto"/>
      </w:divBdr>
    </w:div>
    <w:div w:id="1525707978">
      <w:bodyDiv w:val="1"/>
      <w:marLeft w:val="0"/>
      <w:marRight w:val="0"/>
      <w:marTop w:val="0"/>
      <w:marBottom w:val="0"/>
      <w:divBdr>
        <w:top w:val="none" w:sz="0" w:space="0" w:color="auto"/>
        <w:left w:val="none" w:sz="0" w:space="0" w:color="auto"/>
        <w:bottom w:val="none" w:sz="0" w:space="0" w:color="auto"/>
        <w:right w:val="none" w:sz="0" w:space="0" w:color="auto"/>
      </w:divBdr>
    </w:div>
    <w:div w:id="1525749594">
      <w:bodyDiv w:val="1"/>
      <w:marLeft w:val="0"/>
      <w:marRight w:val="0"/>
      <w:marTop w:val="0"/>
      <w:marBottom w:val="0"/>
      <w:divBdr>
        <w:top w:val="none" w:sz="0" w:space="0" w:color="auto"/>
        <w:left w:val="none" w:sz="0" w:space="0" w:color="auto"/>
        <w:bottom w:val="none" w:sz="0" w:space="0" w:color="auto"/>
        <w:right w:val="none" w:sz="0" w:space="0" w:color="auto"/>
      </w:divBdr>
    </w:div>
    <w:div w:id="1525825096">
      <w:bodyDiv w:val="1"/>
      <w:marLeft w:val="0"/>
      <w:marRight w:val="0"/>
      <w:marTop w:val="0"/>
      <w:marBottom w:val="0"/>
      <w:divBdr>
        <w:top w:val="none" w:sz="0" w:space="0" w:color="auto"/>
        <w:left w:val="none" w:sz="0" w:space="0" w:color="auto"/>
        <w:bottom w:val="none" w:sz="0" w:space="0" w:color="auto"/>
        <w:right w:val="none" w:sz="0" w:space="0" w:color="auto"/>
      </w:divBdr>
    </w:div>
    <w:div w:id="1525828073">
      <w:bodyDiv w:val="1"/>
      <w:marLeft w:val="0"/>
      <w:marRight w:val="0"/>
      <w:marTop w:val="0"/>
      <w:marBottom w:val="0"/>
      <w:divBdr>
        <w:top w:val="none" w:sz="0" w:space="0" w:color="auto"/>
        <w:left w:val="none" w:sz="0" w:space="0" w:color="auto"/>
        <w:bottom w:val="none" w:sz="0" w:space="0" w:color="auto"/>
        <w:right w:val="none" w:sz="0" w:space="0" w:color="auto"/>
      </w:divBdr>
    </w:div>
    <w:div w:id="1525942673">
      <w:bodyDiv w:val="1"/>
      <w:marLeft w:val="0"/>
      <w:marRight w:val="0"/>
      <w:marTop w:val="0"/>
      <w:marBottom w:val="0"/>
      <w:divBdr>
        <w:top w:val="none" w:sz="0" w:space="0" w:color="auto"/>
        <w:left w:val="none" w:sz="0" w:space="0" w:color="auto"/>
        <w:bottom w:val="none" w:sz="0" w:space="0" w:color="auto"/>
        <w:right w:val="none" w:sz="0" w:space="0" w:color="auto"/>
      </w:divBdr>
    </w:div>
    <w:div w:id="1525946643">
      <w:bodyDiv w:val="1"/>
      <w:marLeft w:val="0"/>
      <w:marRight w:val="0"/>
      <w:marTop w:val="0"/>
      <w:marBottom w:val="0"/>
      <w:divBdr>
        <w:top w:val="none" w:sz="0" w:space="0" w:color="auto"/>
        <w:left w:val="none" w:sz="0" w:space="0" w:color="auto"/>
        <w:bottom w:val="none" w:sz="0" w:space="0" w:color="auto"/>
        <w:right w:val="none" w:sz="0" w:space="0" w:color="auto"/>
      </w:divBdr>
    </w:div>
    <w:div w:id="1526016863">
      <w:bodyDiv w:val="1"/>
      <w:marLeft w:val="0"/>
      <w:marRight w:val="0"/>
      <w:marTop w:val="0"/>
      <w:marBottom w:val="0"/>
      <w:divBdr>
        <w:top w:val="none" w:sz="0" w:space="0" w:color="auto"/>
        <w:left w:val="none" w:sz="0" w:space="0" w:color="auto"/>
        <w:bottom w:val="none" w:sz="0" w:space="0" w:color="auto"/>
        <w:right w:val="none" w:sz="0" w:space="0" w:color="auto"/>
      </w:divBdr>
    </w:div>
    <w:div w:id="1526097993">
      <w:bodyDiv w:val="1"/>
      <w:marLeft w:val="0"/>
      <w:marRight w:val="0"/>
      <w:marTop w:val="0"/>
      <w:marBottom w:val="0"/>
      <w:divBdr>
        <w:top w:val="none" w:sz="0" w:space="0" w:color="auto"/>
        <w:left w:val="none" w:sz="0" w:space="0" w:color="auto"/>
        <w:bottom w:val="none" w:sz="0" w:space="0" w:color="auto"/>
        <w:right w:val="none" w:sz="0" w:space="0" w:color="auto"/>
      </w:divBdr>
    </w:div>
    <w:div w:id="1526211617">
      <w:bodyDiv w:val="1"/>
      <w:marLeft w:val="0"/>
      <w:marRight w:val="0"/>
      <w:marTop w:val="0"/>
      <w:marBottom w:val="0"/>
      <w:divBdr>
        <w:top w:val="none" w:sz="0" w:space="0" w:color="auto"/>
        <w:left w:val="none" w:sz="0" w:space="0" w:color="auto"/>
        <w:bottom w:val="none" w:sz="0" w:space="0" w:color="auto"/>
        <w:right w:val="none" w:sz="0" w:space="0" w:color="auto"/>
      </w:divBdr>
    </w:div>
    <w:div w:id="1526402431">
      <w:bodyDiv w:val="1"/>
      <w:marLeft w:val="0"/>
      <w:marRight w:val="0"/>
      <w:marTop w:val="0"/>
      <w:marBottom w:val="0"/>
      <w:divBdr>
        <w:top w:val="none" w:sz="0" w:space="0" w:color="auto"/>
        <w:left w:val="none" w:sz="0" w:space="0" w:color="auto"/>
        <w:bottom w:val="none" w:sz="0" w:space="0" w:color="auto"/>
        <w:right w:val="none" w:sz="0" w:space="0" w:color="auto"/>
      </w:divBdr>
    </w:div>
    <w:div w:id="1526409455">
      <w:bodyDiv w:val="1"/>
      <w:marLeft w:val="0"/>
      <w:marRight w:val="0"/>
      <w:marTop w:val="0"/>
      <w:marBottom w:val="0"/>
      <w:divBdr>
        <w:top w:val="none" w:sz="0" w:space="0" w:color="auto"/>
        <w:left w:val="none" w:sz="0" w:space="0" w:color="auto"/>
        <w:bottom w:val="none" w:sz="0" w:space="0" w:color="auto"/>
        <w:right w:val="none" w:sz="0" w:space="0" w:color="auto"/>
      </w:divBdr>
    </w:div>
    <w:div w:id="1526671928">
      <w:bodyDiv w:val="1"/>
      <w:marLeft w:val="0"/>
      <w:marRight w:val="0"/>
      <w:marTop w:val="0"/>
      <w:marBottom w:val="0"/>
      <w:divBdr>
        <w:top w:val="none" w:sz="0" w:space="0" w:color="auto"/>
        <w:left w:val="none" w:sz="0" w:space="0" w:color="auto"/>
        <w:bottom w:val="none" w:sz="0" w:space="0" w:color="auto"/>
        <w:right w:val="none" w:sz="0" w:space="0" w:color="auto"/>
      </w:divBdr>
    </w:div>
    <w:div w:id="1526675598">
      <w:bodyDiv w:val="1"/>
      <w:marLeft w:val="0"/>
      <w:marRight w:val="0"/>
      <w:marTop w:val="0"/>
      <w:marBottom w:val="0"/>
      <w:divBdr>
        <w:top w:val="none" w:sz="0" w:space="0" w:color="auto"/>
        <w:left w:val="none" w:sz="0" w:space="0" w:color="auto"/>
        <w:bottom w:val="none" w:sz="0" w:space="0" w:color="auto"/>
        <w:right w:val="none" w:sz="0" w:space="0" w:color="auto"/>
      </w:divBdr>
    </w:div>
    <w:div w:id="1526794807">
      <w:bodyDiv w:val="1"/>
      <w:marLeft w:val="0"/>
      <w:marRight w:val="0"/>
      <w:marTop w:val="0"/>
      <w:marBottom w:val="0"/>
      <w:divBdr>
        <w:top w:val="none" w:sz="0" w:space="0" w:color="auto"/>
        <w:left w:val="none" w:sz="0" w:space="0" w:color="auto"/>
        <w:bottom w:val="none" w:sz="0" w:space="0" w:color="auto"/>
        <w:right w:val="none" w:sz="0" w:space="0" w:color="auto"/>
      </w:divBdr>
    </w:div>
    <w:div w:id="1526864183">
      <w:bodyDiv w:val="1"/>
      <w:marLeft w:val="0"/>
      <w:marRight w:val="0"/>
      <w:marTop w:val="0"/>
      <w:marBottom w:val="0"/>
      <w:divBdr>
        <w:top w:val="none" w:sz="0" w:space="0" w:color="auto"/>
        <w:left w:val="none" w:sz="0" w:space="0" w:color="auto"/>
        <w:bottom w:val="none" w:sz="0" w:space="0" w:color="auto"/>
        <w:right w:val="none" w:sz="0" w:space="0" w:color="auto"/>
      </w:divBdr>
    </w:div>
    <w:div w:id="1526866660">
      <w:bodyDiv w:val="1"/>
      <w:marLeft w:val="0"/>
      <w:marRight w:val="0"/>
      <w:marTop w:val="0"/>
      <w:marBottom w:val="0"/>
      <w:divBdr>
        <w:top w:val="none" w:sz="0" w:space="0" w:color="auto"/>
        <w:left w:val="none" w:sz="0" w:space="0" w:color="auto"/>
        <w:bottom w:val="none" w:sz="0" w:space="0" w:color="auto"/>
        <w:right w:val="none" w:sz="0" w:space="0" w:color="auto"/>
      </w:divBdr>
    </w:div>
    <w:div w:id="1527059457">
      <w:bodyDiv w:val="1"/>
      <w:marLeft w:val="0"/>
      <w:marRight w:val="0"/>
      <w:marTop w:val="0"/>
      <w:marBottom w:val="0"/>
      <w:divBdr>
        <w:top w:val="none" w:sz="0" w:space="0" w:color="auto"/>
        <w:left w:val="none" w:sz="0" w:space="0" w:color="auto"/>
        <w:bottom w:val="none" w:sz="0" w:space="0" w:color="auto"/>
        <w:right w:val="none" w:sz="0" w:space="0" w:color="auto"/>
      </w:divBdr>
    </w:div>
    <w:div w:id="1527060119">
      <w:bodyDiv w:val="1"/>
      <w:marLeft w:val="0"/>
      <w:marRight w:val="0"/>
      <w:marTop w:val="0"/>
      <w:marBottom w:val="0"/>
      <w:divBdr>
        <w:top w:val="none" w:sz="0" w:space="0" w:color="auto"/>
        <w:left w:val="none" w:sz="0" w:space="0" w:color="auto"/>
        <w:bottom w:val="none" w:sz="0" w:space="0" w:color="auto"/>
        <w:right w:val="none" w:sz="0" w:space="0" w:color="auto"/>
      </w:divBdr>
    </w:div>
    <w:div w:id="1527060130">
      <w:bodyDiv w:val="1"/>
      <w:marLeft w:val="0"/>
      <w:marRight w:val="0"/>
      <w:marTop w:val="0"/>
      <w:marBottom w:val="0"/>
      <w:divBdr>
        <w:top w:val="none" w:sz="0" w:space="0" w:color="auto"/>
        <w:left w:val="none" w:sz="0" w:space="0" w:color="auto"/>
        <w:bottom w:val="none" w:sz="0" w:space="0" w:color="auto"/>
        <w:right w:val="none" w:sz="0" w:space="0" w:color="auto"/>
      </w:divBdr>
    </w:div>
    <w:div w:id="1527135371">
      <w:bodyDiv w:val="1"/>
      <w:marLeft w:val="0"/>
      <w:marRight w:val="0"/>
      <w:marTop w:val="0"/>
      <w:marBottom w:val="0"/>
      <w:divBdr>
        <w:top w:val="none" w:sz="0" w:space="0" w:color="auto"/>
        <w:left w:val="none" w:sz="0" w:space="0" w:color="auto"/>
        <w:bottom w:val="none" w:sz="0" w:space="0" w:color="auto"/>
        <w:right w:val="none" w:sz="0" w:space="0" w:color="auto"/>
      </w:divBdr>
    </w:div>
    <w:div w:id="1527405415">
      <w:bodyDiv w:val="1"/>
      <w:marLeft w:val="0"/>
      <w:marRight w:val="0"/>
      <w:marTop w:val="0"/>
      <w:marBottom w:val="0"/>
      <w:divBdr>
        <w:top w:val="none" w:sz="0" w:space="0" w:color="auto"/>
        <w:left w:val="none" w:sz="0" w:space="0" w:color="auto"/>
        <w:bottom w:val="none" w:sz="0" w:space="0" w:color="auto"/>
        <w:right w:val="none" w:sz="0" w:space="0" w:color="auto"/>
      </w:divBdr>
    </w:div>
    <w:div w:id="1527450136">
      <w:bodyDiv w:val="1"/>
      <w:marLeft w:val="0"/>
      <w:marRight w:val="0"/>
      <w:marTop w:val="0"/>
      <w:marBottom w:val="0"/>
      <w:divBdr>
        <w:top w:val="none" w:sz="0" w:space="0" w:color="auto"/>
        <w:left w:val="none" w:sz="0" w:space="0" w:color="auto"/>
        <w:bottom w:val="none" w:sz="0" w:space="0" w:color="auto"/>
        <w:right w:val="none" w:sz="0" w:space="0" w:color="auto"/>
      </w:divBdr>
    </w:div>
    <w:div w:id="1527597135">
      <w:bodyDiv w:val="1"/>
      <w:marLeft w:val="0"/>
      <w:marRight w:val="0"/>
      <w:marTop w:val="0"/>
      <w:marBottom w:val="0"/>
      <w:divBdr>
        <w:top w:val="none" w:sz="0" w:space="0" w:color="auto"/>
        <w:left w:val="none" w:sz="0" w:space="0" w:color="auto"/>
        <w:bottom w:val="none" w:sz="0" w:space="0" w:color="auto"/>
        <w:right w:val="none" w:sz="0" w:space="0" w:color="auto"/>
      </w:divBdr>
    </w:div>
    <w:div w:id="1527671398">
      <w:bodyDiv w:val="1"/>
      <w:marLeft w:val="0"/>
      <w:marRight w:val="0"/>
      <w:marTop w:val="0"/>
      <w:marBottom w:val="0"/>
      <w:divBdr>
        <w:top w:val="none" w:sz="0" w:space="0" w:color="auto"/>
        <w:left w:val="none" w:sz="0" w:space="0" w:color="auto"/>
        <w:bottom w:val="none" w:sz="0" w:space="0" w:color="auto"/>
        <w:right w:val="none" w:sz="0" w:space="0" w:color="auto"/>
      </w:divBdr>
    </w:div>
    <w:div w:id="1527672297">
      <w:bodyDiv w:val="1"/>
      <w:marLeft w:val="0"/>
      <w:marRight w:val="0"/>
      <w:marTop w:val="0"/>
      <w:marBottom w:val="0"/>
      <w:divBdr>
        <w:top w:val="none" w:sz="0" w:space="0" w:color="auto"/>
        <w:left w:val="none" w:sz="0" w:space="0" w:color="auto"/>
        <w:bottom w:val="none" w:sz="0" w:space="0" w:color="auto"/>
        <w:right w:val="none" w:sz="0" w:space="0" w:color="auto"/>
      </w:divBdr>
    </w:div>
    <w:div w:id="1527674705">
      <w:bodyDiv w:val="1"/>
      <w:marLeft w:val="0"/>
      <w:marRight w:val="0"/>
      <w:marTop w:val="0"/>
      <w:marBottom w:val="0"/>
      <w:divBdr>
        <w:top w:val="none" w:sz="0" w:space="0" w:color="auto"/>
        <w:left w:val="none" w:sz="0" w:space="0" w:color="auto"/>
        <w:bottom w:val="none" w:sz="0" w:space="0" w:color="auto"/>
        <w:right w:val="none" w:sz="0" w:space="0" w:color="auto"/>
      </w:divBdr>
    </w:div>
    <w:div w:id="1527717363">
      <w:bodyDiv w:val="1"/>
      <w:marLeft w:val="0"/>
      <w:marRight w:val="0"/>
      <w:marTop w:val="0"/>
      <w:marBottom w:val="0"/>
      <w:divBdr>
        <w:top w:val="none" w:sz="0" w:space="0" w:color="auto"/>
        <w:left w:val="none" w:sz="0" w:space="0" w:color="auto"/>
        <w:bottom w:val="none" w:sz="0" w:space="0" w:color="auto"/>
        <w:right w:val="none" w:sz="0" w:space="0" w:color="auto"/>
      </w:divBdr>
    </w:div>
    <w:div w:id="1527717429">
      <w:bodyDiv w:val="1"/>
      <w:marLeft w:val="0"/>
      <w:marRight w:val="0"/>
      <w:marTop w:val="0"/>
      <w:marBottom w:val="0"/>
      <w:divBdr>
        <w:top w:val="none" w:sz="0" w:space="0" w:color="auto"/>
        <w:left w:val="none" w:sz="0" w:space="0" w:color="auto"/>
        <w:bottom w:val="none" w:sz="0" w:space="0" w:color="auto"/>
        <w:right w:val="none" w:sz="0" w:space="0" w:color="auto"/>
      </w:divBdr>
    </w:div>
    <w:div w:id="1527794593">
      <w:bodyDiv w:val="1"/>
      <w:marLeft w:val="0"/>
      <w:marRight w:val="0"/>
      <w:marTop w:val="0"/>
      <w:marBottom w:val="0"/>
      <w:divBdr>
        <w:top w:val="none" w:sz="0" w:space="0" w:color="auto"/>
        <w:left w:val="none" w:sz="0" w:space="0" w:color="auto"/>
        <w:bottom w:val="none" w:sz="0" w:space="0" w:color="auto"/>
        <w:right w:val="none" w:sz="0" w:space="0" w:color="auto"/>
      </w:divBdr>
    </w:div>
    <w:div w:id="1527869785">
      <w:bodyDiv w:val="1"/>
      <w:marLeft w:val="0"/>
      <w:marRight w:val="0"/>
      <w:marTop w:val="0"/>
      <w:marBottom w:val="0"/>
      <w:divBdr>
        <w:top w:val="none" w:sz="0" w:space="0" w:color="auto"/>
        <w:left w:val="none" w:sz="0" w:space="0" w:color="auto"/>
        <w:bottom w:val="none" w:sz="0" w:space="0" w:color="auto"/>
        <w:right w:val="none" w:sz="0" w:space="0" w:color="auto"/>
      </w:divBdr>
    </w:div>
    <w:div w:id="1527988979">
      <w:bodyDiv w:val="1"/>
      <w:marLeft w:val="0"/>
      <w:marRight w:val="0"/>
      <w:marTop w:val="0"/>
      <w:marBottom w:val="0"/>
      <w:divBdr>
        <w:top w:val="none" w:sz="0" w:space="0" w:color="auto"/>
        <w:left w:val="none" w:sz="0" w:space="0" w:color="auto"/>
        <w:bottom w:val="none" w:sz="0" w:space="0" w:color="auto"/>
        <w:right w:val="none" w:sz="0" w:space="0" w:color="auto"/>
      </w:divBdr>
    </w:div>
    <w:div w:id="1528104977">
      <w:bodyDiv w:val="1"/>
      <w:marLeft w:val="0"/>
      <w:marRight w:val="0"/>
      <w:marTop w:val="0"/>
      <w:marBottom w:val="0"/>
      <w:divBdr>
        <w:top w:val="none" w:sz="0" w:space="0" w:color="auto"/>
        <w:left w:val="none" w:sz="0" w:space="0" w:color="auto"/>
        <w:bottom w:val="none" w:sz="0" w:space="0" w:color="auto"/>
        <w:right w:val="none" w:sz="0" w:space="0" w:color="auto"/>
      </w:divBdr>
    </w:div>
    <w:div w:id="1528176425">
      <w:bodyDiv w:val="1"/>
      <w:marLeft w:val="0"/>
      <w:marRight w:val="0"/>
      <w:marTop w:val="0"/>
      <w:marBottom w:val="0"/>
      <w:divBdr>
        <w:top w:val="none" w:sz="0" w:space="0" w:color="auto"/>
        <w:left w:val="none" w:sz="0" w:space="0" w:color="auto"/>
        <w:bottom w:val="none" w:sz="0" w:space="0" w:color="auto"/>
        <w:right w:val="none" w:sz="0" w:space="0" w:color="auto"/>
      </w:divBdr>
    </w:div>
    <w:div w:id="1528178877">
      <w:bodyDiv w:val="1"/>
      <w:marLeft w:val="0"/>
      <w:marRight w:val="0"/>
      <w:marTop w:val="0"/>
      <w:marBottom w:val="0"/>
      <w:divBdr>
        <w:top w:val="none" w:sz="0" w:space="0" w:color="auto"/>
        <w:left w:val="none" w:sz="0" w:space="0" w:color="auto"/>
        <w:bottom w:val="none" w:sz="0" w:space="0" w:color="auto"/>
        <w:right w:val="none" w:sz="0" w:space="0" w:color="auto"/>
      </w:divBdr>
    </w:div>
    <w:div w:id="1528251363">
      <w:bodyDiv w:val="1"/>
      <w:marLeft w:val="0"/>
      <w:marRight w:val="0"/>
      <w:marTop w:val="0"/>
      <w:marBottom w:val="0"/>
      <w:divBdr>
        <w:top w:val="none" w:sz="0" w:space="0" w:color="auto"/>
        <w:left w:val="none" w:sz="0" w:space="0" w:color="auto"/>
        <w:bottom w:val="none" w:sz="0" w:space="0" w:color="auto"/>
        <w:right w:val="none" w:sz="0" w:space="0" w:color="auto"/>
      </w:divBdr>
    </w:div>
    <w:div w:id="1528367974">
      <w:bodyDiv w:val="1"/>
      <w:marLeft w:val="0"/>
      <w:marRight w:val="0"/>
      <w:marTop w:val="0"/>
      <w:marBottom w:val="0"/>
      <w:divBdr>
        <w:top w:val="none" w:sz="0" w:space="0" w:color="auto"/>
        <w:left w:val="none" w:sz="0" w:space="0" w:color="auto"/>
        <w:bottom w:val="none" w:sz="0" w:space="0" w:color="auto"/>
        <w:right w:val="none" w:sz="0" w:space="0" w:color="auto"/>
      </w:divBdr>
    </w:div>
    <w:div w:id="1528374621">
      <w:bodyDiv w:val="1"/>
      <w:marLeft w:val="0"/>
      <w:marRight w:val="0"/>
      <w:marTop w:val="0"/>
      <w:marBottom w:val="0"/>
      <w:divBdr>
        <w:top w:val="none" w:sz="0" w:space="0" w:color="auto"/>
        <w:left w:val="none" w:sz="0" w:space="0" w:color="auto"/>
        <w:bottom w:val="none" w:sz="0" w:space="0" w:color="auto"/>
        <w:right w:val="none" w:sz="0" w:space="0" w:color="auto"/>
      </w:divBdr>
    </w:div>
    <w:div w:id="1528449576">
      <w:bodyDiv w:val="1"/>
      <w:marLeft w:val="0"/>
      <w:marRight w:val="0"/>
      <w:marTop w:val="0"/>
      <w:marBottom w:val="0"/>
      <w:divBdr>
        <w:top w:val="none" w:sz="0" w:space="0" w:color="auto"/>
        <w:left w:val="none" w:sz="0" w:space="0" w:color="auto"/>
        <w:bottom w:val="none" w:sz="0" w:space="0" w:color="auto"/>
        <w:right w:val="none" w:sz="0" w:space="0" w:color="auto"/>
      </w:divBdr>
    </w:div>
    <w:div w:id="1528450253">
      <w:bodyDiv w:val="1"/>
      <w:marLeft w:val="0"/>
      <w:marRight w:val="0"/>
      <w:marTop w:val="0"/>
      <w:marBottom w:val="0"/>
      <w:divBdr>
        <w:top w:val="none" w:sz="0" w:space="0" w:color="auto"/>
        <w:left w:val="none" w:sz="0" w:space="0" w:color="auto"/>
        <w:bottom w:val="none" w:sz="0" w:space="0" w:color="auto"/>
        <w:right w:val="none" w:sz="0" w:space="0" w:color="auto"/>
      </w:divBdr>
    </w:div>
    <w:div w:id="1528521960">
      <w:bodyDiv w:val="1"/>
      <w:marLeft w:val="0"/>
      <w:marRight w:val="0"/>
      <w:marTop w:val="0"/>
      <w:marBottom w:val="0"/>
      <w:divBdr>
        <w:top w:val="none" w:sz="0" w:space="0" w:color="auto"/>
        <w:left w:val="none" w:sz="0" w:space="0" w:color="auto"/>
        <w:bottom w:val="none" w:sz="0" w:space="0" w:color="auto"/>
        <w:right w:val="none" w:sz="0" w:space="0" w:color="auto"/>
      </w:divBdr>
    </w:div>
    <w:div w:id="1528526654">
      <w:bodyDiv w:val="1"/>
      <w:marLeft w:val="0"/>
      <w:marRight w:val="0"/>
      <w:marTop w:val="0"/>
      <w:marBottom w:val="0"/>
      <w:divBdr>
        <w:top w:val="none" w:sz="0" w:space="0" w:color="auto"/>
        <w:left w:val="none" w:sz="0" w:space="0" w:color="auto"/>
        <w:bottom w:val="none" w:sz="0" w:space="0" w:color="auto"/>
        <w:right w:val="none" w:sz="0" w:space="0" w:color="auto"/>
      </w:divBdr>
    </w:div>
    <w:div w:id="1528635033">
      <w:bodyDiv w:val="1"/>
      <w:marLeft w:val="0"/>
      <w:marRight w:val="0"/>
      <w:marTop w:val="0"/>
      <w:marBottom w:val="0"/>
      <w:divBdr>
        <w:top w:val="none" w:sz="0" w:space="0" w:color="auto"/>
        <w:left w:val="none" w:sz="0" w:space="0" w:color="auto"/>
        <w:bottom w:val="none" w:sz="0" w:space="0" w:color="auto"/>
        <w:right w:val="none" w:sz="0" w:space="0" w:color="auto"/>
      </w:divBdr>
    </w:div>
    <w:div w:id="1528635114">
      <w:bodyDiv w:val="1"/>
      <w:marLeft w:val="0"/>
      <w:marRight w:val="0"/>
      <w:marTop w:val="0"/>
      <w:marBottom w:val="0"/>
      <w:divBdr>
        <w:top w:val="none" w:sz="0" w:space="0" w:color="auto"/>
        <w:left w:val="none" w:sz="0" w:space="0" w:color="auto"/>
        <w:bottom w:val="none" w:sz="0" w:space="0" w:color="auto"/>
        <w:right w:val="none" w:sz="0" w:space="0" w:color="auto"/>
      </w:divBdr>
    </w:div>
    <w:div w:id="1528641425">
      <w:bodyDiv w:val="1"/>
      <w:marLeft w:val="0"/>
      <w:marRight w:val="0"/>
      <w:marTop w:val="0"/>
      <w:marBottom w:val="0"/>
      <w:divBdr>
        <w:top w:val="none" w:sz="0" w:space="0" w:color="auto"/>
        <w:left w:val="none" w:sz="0" w:space="0" w:color="auto"/>
        <w:bottom w:val="none" w:sz="0" w:space="0" w:color="auto"/>
        <w:right w:val="none" w:sz="0" w:space="0" w:color="auto"/>
      </w:divBdr>
    </w:div>
    <w:div w:id="1528787820">
      <w:bodyDiv w:val="1"/>
      <w:marLeft w:val="0"/>
      <w:marRight w:val="0"/>
      <w:marTop w:val="0"/>
      <w:marBottom w:val="0"/>
      <w:divBdr>
        <w:top w:val="none" w:sz="0" w:space="0" w:color="auto"/>
        <w:left w:val="none" w:sz="0" w:space="0" w:color="auto"/>
        <w:bottom w:val="none" w:sz="0" w:space="0" w:color="auto"/>
        <w:right w:val="none" w:sz="0" w:space="0" w:color="auto"/>
      </w:divBdr>
    </w:div>
    <w:div w:id="1529024876">
      <w:bodyDiv w:val="1"/>
      <w:marLeft w:val="0"/>
      <w:marRight w:val="0"/>
      <w:marTop w:val="0"/>
      <w:marBottom w:val="0"/>
      <w:divBdr>
        <w:top w:val="none" w:sz="0" w:space="0" w:color="auto"/>
        <w:left w:val="none" w:sz="0" w:space="0" w:color="auto"/>
        <w:bottom w:val="none" w:sz="0" w:space="0" w:color="auto"/>
        <w:right w:val="none" w:sz="0" w:space="0" w:color="auto"/>
      </w:divBdr>
    </w:div>
    <w:div w:id="1529173077">
      <w:bodyDiv w:val="1"/>
      <w:marLeft w:val="0"/>
      <w:marRight w:val="0"/>
      <w:marTop w:val="0"/>
      <w:marBottom w:val="0"/>
      <w:divBdr>
        <w:top w:val="none" w:sz="0" w:space="0" w:color="auto"/>
        <w:left w:val="none" w:sz="0" w:space="0" w:color="auto"/>
        <w:bottom w:val="none" w:sz="0" w:space="0" w:color="auto"/>
        <w:right w:val="none" w:sz="0" w:space="0" w:color="auto"/>
      </w:divBdr>
    </w:div>
    <w:div w:id="1529175600">
      <w:bodyDiv w:val="1"/>
      <w:marLeft w:val="0"/>
      <w:marRight w:val="0"/>
      <w:marTop w:val="0"/>
      <w:marBottom w:val="0"/>
      <w:divBdr>
        <w:top w:val="none" w:sz="0" w:space="0" w:color="auto"/>
        <w:left w:val="none" w:sz="0" w:space="0" w:color="auto"/>
        <w:bottom w:val="none" w:sz="0" w:space="0" w:color="auto"/>
        <w:right w:val="none" w:sz="0" w:space="0" w:color="auto"/>
      </w:divBdr>
    </w:div>
    <w:div w:id="1529176082">
      <w:bodyDiv w:val="1"/>
      <w:marLeft w:val="0"/>
      <w:marRight w:val="0"/>
      <w:marTop w:val="0"/>
      <w:marBottom w:val="0"/>
      <w:divBdr>
        <w:top w:val="none" w:sz="0" w:space="0" w:color="auto"/>
        <w:left w:val="none" w:sz="0" w:space="0" w:color="auto"/>
        <w:bottom w:val="none" w:sz="0" w:space="0" w:color="auto"/>
        <w:right w:val="none" w:sz="0" w:space="0" w:color="auto"/>
      </w:divBdr>
    </w:div>
    <w:div w:id="1529178864">
      <w:bodyDiv w:val="1"/>
      <w:marLeft w:val="0"/>
      <w:marRight w:val="0"/>
      <w:marTop w:val="0"/>
      <w:marBottom w:val="0"/>
      <w:divBdr>
        <w:top w:val="none" w:sz="0" w:space="0" w:color="auto"/>
        <w:left w:val="none" w:sz="0" w:space="0" w:color="auto"/>
        <w:bottom w:val="none" w:sz="0" w:space="0" w:color="auto"/>
        <w:right w:val="none" w:sz="0" w:space="0" w:color="auto"/>
      </w:divBdr>
    </w:div>
    <w:div w:id="1529179162">
      <w:bodyDiv w:val="1"/>
      <w:marLeft w:val="0"/>
      <w:marRight w:val="0"/>
      <w:marTop w:val="0"/>
      <w:marBottom w:val="0"/>
      <w:divBdr>
        <w:top w:val="none" w:sz="0" w:space="0" w:color="auto"/>
        <w:left w:val="none" w:sz="0" w:space="0" w:color="auto"/>
        <w:bottom w:val="none" w:sz="0" w:space="0" w:color="auto"/>
        <w:right w:val="none" w:sz="0" w:space="0" w:color="auto"/>
      </w:divBdr>
    </w:div>
    <w:div w:id="1529293054">
      <w:bodyDiv w:val="1"/>
      <w:marLeft w:val="0"/>
      <w:marRight w:val="0"/>
      <w:marTop w:val="0"/>
      <w:marBottom w:val="0"/>
      <w:divBdr>
        <w:top w:val="none" w:sz="0" w:space="0" w:color="auto"/>
        <w:left w:val="none" w:sz="0" w:space="0" w:color="auto"/>
        <w:bottom w:val="none" w:sz="0" w:space="0" w:color="auto"/>
        <w:right w:val="none" w:sz="0" w:space="0" w:color="auto"/>
      </w:divBdr>
    </w:div>
    <w:div w:id="1529366547">
      <w:bodyDiv w:val="1"/>
      <w:marLeft w:val="0"/>
      <w:marRight w:val="0"/>
      <w:marTop w:val="0"/>
      <w:marBottom w:val="0"/>
      <w:divBdr>
        <w:top w:val="none" w:sz="0" w:space="0" w:color="auto"/>
        <w:left w:val="none" w:sz="0" w:space="0" w:color="auto"/>
        <w:bottom w:val="none" w:sz="0" w:space="0" w:color="auto"/>
        <w:right w:val="none" w:sz="0" w:space="0" w:color="auto"/>
      </w:divBdr>
    </w:div>
    <w:div w:id="1529415304">
      <w:bodyDiv w:val="1"/>
      <w:marLeft w:val="0"/>
      <w:marRight w:val="0"/>
      <w:marTop w:val="0"/>
      <w:marBottom w:val="0"/>
      <w:divBdr>
        <w:top w:val="none" w:sz="0" w:space="0" w:color="auto"/>
        <w:left w:val="none" w:sz="0" w:space="0" w:color="auto"/>
        <w:bottom w:val="none" w:sz="0" w:space="0" w:color="auto"/>
        <w:right w:val="none" w:sz="0" w:space="0" w:color="auto"/>
      </w:divBdr>
    </w:div>
    <w:div w:id="1529443821">
      <w:bodyDiv w:val="1"/>
      <w:marLeft w:val="0"/>
      <w:marRight w:val="0"/>
      <w:marTop w:val="0"/>
      <w:marBottom w:val="0"/>
      <w:divBdr>
        <w:top w:val="none" w:sz="0" w:space="0" w:color="auto"/>
        <w:left w:val="none" w:sz="0" w:space="0" w:color="auto"/>
        <w:bottom w:val="none" w:sz="0" w:space="0" w:color="auto"/>
        <w:right w:val="none" w:sz="0" w:space="0" w:color="auto"/>
      </w:divBdr>
    </w:div>
    <w:div w:id="1529483554">
      <w:bodyDiv w:val="1"/>
      <w:marLeft w:val="0"/>
      <w:marRight w:val="0"/>
      <w:marTop w:val="0"/>
      <w:marBottom w:val="0"/>
      <w:divBdr>
        <w:top w:val="none" w:sz="0" w:space="0" w:color="auto"/>
        <w:left w:val="none" w:sz="0" w:space="0" w:color="auto"/>
        <w:bottom w:val="none" w:sz="0" w:space="0" w:color="auto"/>
        <w:right w:val="none" w:sz="0" w:space="0" w:color="auto"/>
      </w:divBdr>
    </w:div>
    <w:div w:id="1529489607">
      <w:bodyDiv w:val="1"/>
      <w:marLeft w:val="0"/>
      <w:marRight w:val="0"/>
      <w:marTop w:val="0"/>
      <w:marBottom w:val="0"/>
      <w:divBdr>
        <w:top w:val="none" w:sz="0" w:space="0" w:color="auto"/>
        <w:left w:val="none" w:sz="0" w:space="0" w:color="auto"/>
        <w:bottom w:val="none" w:sz="0" w:space="0" w:color="auto"/>
        <w:right w:val="none" w:sz="0" w:space="0" w:color="auto"/>
      </w:divBdr>
    </w:div>
    <w:div w:id="1529491201">
      <w:bodyDiv w:val="1"/>
      <w:marLeft w:val="0"/>
      <w:marRight w:val="0"/>
      <w:marTop w:val="0"/>
      <w:marBottom w:val="0"/>
      <w:divBdr>
        <w:top w:val="none" w:sz="0" w:space="0" w:color="auto"/>
        <w:left w:val="none" w:sz="0" w:space="0" w:color="auto"/>
        <w:bottom w:val="none" w:sz="0" w:space="0" w:color="auto"/>
        <w:right w:val="none" w:sz="0" w:space="0" w:color="auto"/>
      </w:divBdr>
    </w:div>
    <w:div w:id="1529493108">
      <w:bodyDiv w:val="1"/>
      <w:marLeft w:val="0"/>
      <w:marRight w:val="0"/>
      <w:marTop w:val="0"/>
      <w:marBottom w:val="0"/>
      <w:divBdr>
        <w:top w:val="none" w:sz="0" w:space="0" w:color="auto"/>
        <w:left w:val="none" w:sz="0" w:space="0" w:color="auto"/>
        <w:bottom w:val="none" w:sz="0" w:space="0" w:color="auto"/>
        <w:right w:val="none" w:sz="0" w:space="0" w:color="auto"/>
      </w:divBdr>
    </w:div>
    <w:div w:id="1529639444">
      <w:bodyDiv w:val="1"/>
      <w:marLeft w:val="0"/>
      <w:marRight w:val="0"/>
      <w:marTop w:val="0"/>
      <w:marBottom w:val="0"/>
      <w:divBdr>
        <w:top w:val="none" w:sz="0" w:space="0" w:color="auto"/>
        <w:left w:val="none" w:sz="0" w:space="0" w:color="auto"/>
        <w:bottom w:val="none" w:sz="0" w:space="0" w:color="auto"/>
        <w:right w:val="none" w:sz="0" w:space="0" w:color="auto"/>
      </w:divBdr>
    </w:div>
    <w:div w:id="1529640886">
      <w:bodyDiv w:val="1"/>
      <w:marLeft w:val="0"/>
      <w:marRight w:val="0"/>
      <w:marTop w:val="0"/>
      <w:marBottom w:val="0"/>
      <w:divBdr>
        <w:top w:val="none" w:sz="0" w:space="0" w:color="auto"/>
        <w:left w:val="none" w:sz="0" w:space="0" w:color="auto"/>
        <w:bottom w:val="none" w:sz="0" w:space="0" w:color="auto"/>
        <w:right w:val="none" w:sz="0" w:space="0" w:color="auto"/>
      </w:divBdr>
    </w:div>
    <w:div w:id="1529677655">
      <w:bodyDiv w:val="1"/>
      <w:marLeft w:val="0"/>
      <w:marRight w:val="0"/>
      <w:marTop w:val="0"/>
      <w:marBottom w:val="0"/>
      <w:divBdr>
        <w:top w:val="none" w:sz="0" w:space="0" w:color="auto"/>
        <w:left w:val="none" w:sz="0" w:space="0" w:color="auto"/>
        <w:bottom w:val="none" w:sz="0" w:space="0" w:color="auto"/>
        <w:right w:val="none" w:sz="0" w:space="0" w:color="auto"/>
      </w:divBdr>
    </w:div>
    <w:div w:id="1529683610">
      <w:bodyDiv w:val="1"/>
      <w:marLeft w:val="0"/>
      <w:marRight w:val="0"/>
      <w:marTop w:val="0"/>
      <w:marBottom w:val="0"/>
      <w:divBdr>
        <w:top w:val="none" w:sz="0" w:space="0" w:color="auto"/>
        <w:left w:val="none" w:sz="0" w:space="0" w:color="auto"/>
        <w:bottom w:val="none" w:sz="0" w:space="0" w:color="auto"/>
        <w:right w:val="none" w:sz="0" w:space="0" w:color="auto"/>
      </w:divBdr>
    </w:div>
    <w:div w:id="1529683991">
      <w:bodyDiv w:val="1"/>
      <w:marLeft w:val="0"/>
      <w:marRight w:val="0"/>
      <w:marTop w:val="0"/>
      <w:marBottom w:val="0"/>
      <w:divBdr>
        <w:top w:val="none" w:sz="0" w:space="0" w:color="auto"/>
        <w:left w:val="none" w:sz="0" w:space="0" w:color="auto"/>
        <w:bottom w:val="none" w:sz="0" w:space="0" w:color="auto"/>
        <w:right w:val="none" w:sz="0" w:space="0" w:color="auto"/>
      </w:divBdr>
    </w:div>
    <w:div w:id="1529759369">
      <w:bodyDiv w:val="1"/>
      <w:marLeft w:val="0"/>
      <w:marRight w:val="0"/>
      <w:marTop w:val="0"/>
      <w:marBottom w:val="0"/>
      <w:divBdr>
        <w:top w:val="none" w:sz="0" w:space="0" w:color="auto"/>
        <w:left w:val="none" w:sz="0" w:space="0" w:color="auto"/>
        <w:bottom w:val="none" w:sz="0" w:space="0" w:color="auto"/>
        <w:right w:val="none" w:sz="0" w:space="0" w:color="auto"/>
      </w:divBdr>
    </w:div>
    <w:div w:id="1529952966">
      <w:bodyDiv w:val="1"/>
      <w:marLeft w:val="0"/>
      <w:marRight w:val="0"/>
      <w:marTop w:val="0"/>
      <w:marBottom w:val="0"/>
      <w:divBdr>
        <w:top w:val="none" w:sz="0" w:space="0" w:color="auto"/>
        <w:left w:val="none" w:sz="0" w:space="0" w:color="auto"/>
        <w:bottom w:val="none" w:sz="0" w:space="0" w:color="auto"/>
        <w:right w:val="none" w:sz="0" w:space="0" w:color="auto"/>
      </w:divBdr>
    </w:div>
    <w:div w:id="1530215844">
      <w:bodyDiv w:val="1"/>
      <w:marLeft w:val="0"/>
      <w:marRight w:val="0"/>
      <w:marTop w:val="0"/>
      <w:marBottom w:val="0"/>
      <w:divBdr>
        <w:top w:val="none" w:sz="0" w:space="0" w:color="auto"/>
        <w:left w:val="none" w:sz="0" w:space="0" w:color="auto"/>
        <w:bottom w:val="none" w:sz="0" w:space="0" w:color="auto"/>
        <w:right w:val="none" w:sz="0" w:space="0" w:color="auto"/>
      </w:divBdr>
    </w:div>
    <w:div w:id="1530218395">
      <w:bodyDiv w:val="1"/>
      <w:marLeft w:val="0"/>
      <w:marRight w:val="0"/>
      <w:marTop w:val="0"/>
      <w:marBottom w:val="0"/>
      <w:divBdr>
        <w:top w:val="none" w:sz="0" w:space="0" w:color="auto"/>
        <w:left w:val="none" w:sz="0" w:space="0" w:color="auto"/>
        <w:bottom w:val="none" w:sz="0" w:space="0" w:color="auto"/>
        <w:right w:val="none" w:sz="0" w:space="0" w:color="auto"/>
      </w:divBdr>
    </w:div>
    <w:div w:id="1530219330">
      <w:bodyDiv w:val="1"/>
      <w:marLeft w:val="0"/>
      <w:marRight w:val="0"/>
      <w:marTop w:val="0"/>
      <w:marBottom w:val="0"/>
      <w:divBdr>
        <w:top w:val="none" w:sz="0" w:space="0" w:color="auto"/>
        <w:left w:val="none" w:sz="0" w:space="0" w:color="auto"/>
        <w:bottom w:val="none" w:sz="0" w:space="0" w:color="auto"/>
        <w:right w:val="none" w:sz="0" w:space="0" w:color="auto"/>
      </w:divBdr>
    </w:div>
    <w:div w:id="1530223488">
      <w:bodyDiv w:val="1"/>
      <w:marLeft w:val="0"/>
      <w:marRight w:val="0"/>
      <w:marTop w:val="0"/>
      <w:marBottom w:val="0"/>
      <w:divBdr>
        <w:top w:val="none" w:sz="0" w:space="0" w:color="auto"/>
        <w:left w:val="none" w:sz="0" w:space="0" w:color="auto"/>
        <w:bottom w:val="none" w:sz="0" w:space="0" w:color="auto"/>
        <w:right w:val="none" w:sz="0" w:space="0" w:color="auto"/>
      </w:divBdr>
    </w:div>
    <w:div w:id="1530339236">
      <w:bodyDiv w:val="1"/>
      <w:marLeft w:val="0"/>
      <w:marRight w:val="0"/>
      <w:marTop w:val="0"/>
      <w:marBottom w:val="0"/>
      <w:divBdr>
        <w:top w:val="none" w:sz="0" w:space="0" w:color="auto"/>
        <w:left w:val="none" w:sz="0" w:space="0" w:color="auto"/>
        <w:bottom w:val="none" w:sz="0" w:space="0" w:color="auto"/>
        <w:right w:val="none" w:sz="0" w:space="0" w:color="auto"/>
      </w:divBdr>
    </w:div>
    <w:div w:id="1530407486">
      <w:bodyDiv w:val="1"/>
      <w:marLeft w:val="0"/>
      <w:marRight w:val="0"/>
      <w:marTop w:val="0"/>
      <w:marBottom w:val="0"/>
      <w:divBdr>
        <w:top w:val="none" w:sz="0" w:space="0" w:color="auto"/>
        <w:left w:val="none" w:sz="0" w:space="0" w:color="auto"/>
        <w:bottom w:val="none" w:sz="0" w:space="0" w:color="auto"/>
        <w:right w:val="none" w:sz="0" w:space="0" w:color="auto"/>
      </w:divBdr>
    </w:div>
    <w:div w:id="1530603904">
      <w:bodyDiv w:val="1"/>
      <w:marLeft w:val="0"/>
      <w:marRight w:val="0"/>
      <w:marTop w:val="0"/>
      <w:marBottom w:val="0"/>
      <w:divBdr>
        <w:top w:val="none" w:sz="0" w:space="0" w:color="auto"/>
        <w:left w:val="none" w:sz="0" w:space="0" w:color="auto"/>
        <w:bottom w:val="none" w:sz="0" w:space="0" w:color="auto"/>
        <w:right w:val="none" w:sz="0" w:space="0" w:color="auto"/>
      </w:divBdr>
    </w:div>
    <w:div w:id="1530678815">
      <w:bodyDiv w:val="1"/>
      <w:marLeft w:val="0"/>
      <w:marRight w:val="0"/>
      <w:marTop w:val="0"/>
      <w:marBottom w:val="0"/>
      <w:divBdr>
        <w:top w:val="none" w:sz="0" w:space="0" w:color="auto"/>
        <w:left w:val="none" w:sz="0" w:space="0" w:color="auto"/>
        <w:bottom w:val="none" w:sz="0" w:space="0" w:color="auto"/>
        <w:right w:val="none" w:sz="0" w:space="0" w:color="auto"/>
      </w:divBdr>
    </w:div>
    <w:div w:id="1530802071">
      <w:bodyDiv w:val="1"/>
      <w:marLeft w:val="0"/>
      <w:marRight w:val="0"/>
      <w:marTop w:val="0"/>
      <w:marBottom w:val="0"/>
      <w:divBdr>
        <w:top w:val="none" w:sz="0" w:space="0" w:color="auto"/>
        <w:left w:val="none" w:sz="0" w:space="0" w:color="auto"/>
        <w:bottom w:val="none" w:sz="0" w:space="0" w:color="auto"/>
        <w:right w:val="none" w:sz="0" w:space="0" w:color="auto"/>
      </w:divBdr>
    </w:div>
    <w:div w:id="1530921113">
      <w:bodyDiv w:val="1"/>
      <w:marLeft w:val="0"/>
      <w:marRight w:val="0"/>
      <w:marTop w:val="0"/>
      <w:marBottom w:val="0"/>
      <w:divBdr>
        <w:top w:val="none" w:sz="0" w:space="0" w:color="auto"/>
        <w:left w:val="none" w:sz="0" w:space="0" w:color="auto"/>
        <w:bottom w:val="none" w:sz="0" w:space="0" w:color="auto"/>
        <w:right w:val="none" w:sz="0" w:space="0" w:color="auto"/>
      </w:divBdr>
    </w:div>
    <w:div w:id="1531144340">
      <w:bodyDiv w:val="1"/>
      <w:marLeft w:val="0"/>
      <w:marRight w:val="0"/>
      <w:marTop w:val="0"/>
      <w:marBottom w:val="0"/>
      <w:divBdr>
        <w:top w:val="none" w:sz="0" w:space="0" w:color="auto"/>
        <w:left w:val="none" w:sz="0" w:space="0" w:color="auto"/>
        <w:bottom w:val="none" w:sz="0" w:space="0" w:color="auto"/>
        <w:right w:val="none" w:sz="0" w:space="0" w:color="auto"/>
      </w:divBdr>
    </w:div>
    <w:div w:id="1531147487">
      <w:bodyDiv w:val="1"/>
      <w:marLeft w:val="0"/>
      <w:marRight w:val="0"/>
      <w:marTop w:val="0"/>
      <w:marBottom w:val="0"/>
      <w:divBdr>
        <w:top w:val="none" w:sz="0" w:space="0" w:color="auto"/>
        <w:left w:val="none" w:sz="0" w:space="0" w:color="auto"/>
        <w:bottom w:val="none" w:sz="0" w:space="0" w:color="auto"/>
        <w:right w:val="none" w:sz="0" w:space="0" w:color="auto"/>
      </w:divBdr>
    </w:div>
    <w:div w:id="1531183285">
      <w:bodyDiv w:val="1"/>
      <w:marLeft w:val="0"/>
      <w:marRight w:val="0"/>
      <w:marTop w:val="0"/>
      <w:marBottom w:val="0"/>
      <w:divBdr>
        <w:top w:val="none" w:sz="0" w:space="0" w:color="auto"/>
        <w:left w:val="none" w:sz="0" w:space="0" w:color="auto"/>
        <w:bottom w:val="none" w:sz="0" w:space="0" w:color="auto"/>
        <w:right w:val="none" w:sz="0" w:space="0" w:color="auto"/>
      </w:divBdr>
    </w:div>
    <w:div w:id="1531188434">
      <w:bodyDiv w:val="1"/>
      <w:marLeft w:val="0"/>
      <w:marRight w:val="0"/>
      <w:marTop w:val="0"/>
      <w:marBottom w:val="0"/>
      <w:divBdr>
        <w:top w:val="none" w:sz="0" w:space="0" w:color="auto"/>
        <w:left w:val="none" w:sz="0" w:space="0" w:color="auto"/>
        <w:bottom w:val="none" w:sz="0" w:space="0" w:color="auto"/>
        <w:right w:val="none" w:sz="0" w:space="0" w:color="auto"/>
      </w:divBdr>
    </w:div>
    <w:div w:id="1531407606">
      <w:bodyDiv w:val="1"/>
      <w:marLeft w:val="0"/>
      <w:marRight w:val="0"/>
      <w:marTop w:val="0"/>
      <w:marBottom w:val="0"/>
      <w:divBdr>
        <w:top w:val="none" w:sz="0" w:space="0" w:color="auto"/>
        <w:left w:val="none" w:sz="0" w:space="0" w:color="auto"/>
        <w:bottom w:val="none" w:sz="0" w:space="0" w:color="auto"/>
        <w:right w:val="none" w:sz="0" w:space="0" w:color="auto"/>
      </w:divBdr>
    </w:div>
    <w:div w:id="1531456015">
      <w:bodyDiv w:val="1"/>
      <w:marLeft w:val="0"/>
      <w:marRight w:val="0"/>
      <w:marTop w:val="0"/>
      <w:marBottom w:val="0"/>
      <w:divBdr>
        <w:top w:val="none" w:sz="0" w:space="0" w:color="auto"/>
        <w:left w:val="none" w:sz="0" w:space="0" w:color="auto"/>
        <w:bottom w:val="none" w:sz="0" w:space="0" w:color="auto"/>
        <w:right w:val="none" w:sz="0" w:space="0" w:color="auto"/>
      </w:divBdr>
    </w:div>
    <w:div w:id="1531721695">
      <w:bodyDiv w:val="1"/>
      <w:marLeft w:val="0"/>
      <w:marRight w:val="0"/>
      <w:marTop w:val="0"/>
      <w:marBottom w:val="0"/>
      <w:divBdr>
        <w:top w:val="none" w:sz="0" w:space="0" w:color="auto"/>
        <w:left w:val="none" w:sz="0" w:space="0" w:color="auto"/>
        <w:bottom w:val="none" w:sz="0" w:space="0" w:color="auto"/>
        <w:right w:val="none" w:sz="0" w:space="0" w:color="auto"/>
      </w:divBdr>
    </w:div>
    <w:div w:id="1531797841">
      <w:bodyDiv w:val="1"/>
      <w:marLeft w:val="0"/>
      <w:marRight w:val="0"/>
      <w:marTop w:val="0"/>
      <w:marBottom w:val="0"/>
      <w:divBdr>
        <w:top w:val="none" w:sz="0" w:space="0" w:color="auto"/>
        <w:left w:val="none" w:sz="0" w:space="0" w:color="auto"/>
        <w:bottom w:val="none" w:sz="0" w:space="0" w:color="auto"/>
        <w:right w:val="none" w:sz="0" w:space="0" w:color="auto"/>
      </w:divBdr>
    </w:div>
    <w:div w:id="1531915907">
      <w:bodyDiv w:val="1"/>
      <w:marLeft w:val="0"/>
      <w:marRight w:val="0"/>
      <w:marTop w:val="0"/>
      <w:marBottom w:val="0"/>
      <w:divBdr>
        <w:top w:val="none" w:sz="0" w:space="0" w:color="auto"/>
        <w:left w:val="none" w:sz="0" w:space="0" w:color="auto"/>
        <w:bottom w:val="none" w:sz="0" w:space="0" w:color="auto"/>
        <w:right w:val="none" w:sz="0" w:space="0" w:color="auto"/>
      </w:divBdr>
    </w:div>
    <w:div w:id="1531916408">
      <w:bodyDiv w:val="1"/>
      <w:marLeft w:val="0"/>
      <w:marRight w:val="0"/>
      <w:marTop w:val="0"/>
      <w:marBottom w:val="0"/>
      <w:divBdr>
        <w:top w:val="none" w:sz="0" w:space="0" w:color="auto"/>
        <w:left w:val="none" w:sz="0" w:space="0" w:color="auto"/>
        <w:bottom w:val="none" w:sz="0" w:space="0" w:color="auto"/>
        <w:right w:val="none" w:sz="0" w:space="0" w:color="auto"/>
      </w:divBdr>
    </w:div>
    <w:div w:id="1531992959">
      <w:bodyDiv w:val="1"/>
      <w:marLeft w:val="0"/>
      <w:marRight w:val="0"/>
      <w:marTop w:val="0"/>
      <w:marBottom w:val="0"/>
      <w:divBdr>
        <w:top w:val="none" w:sz="0" w:space="0" w:color="auto"/>
        <w:left w:val="none" w:sz="0" w:space="0" w:color="auto"/>
        <w:bottom w:val="none" w:sz="0" w:space="0" w:color="auto"/>
        <w:right w:val="none" w:sz="0" w:space="0" w:color="auto"/>
      </w:divBdr>
    </w:div>
    <w:div w:id="1532037376">
      <w:bodyDiv w:val="1"/>
      <w:marLeft w:val="0"/>
      <w:marRight w:val="0"/>
      <w:marTop w:val="0"/>
      <w:marBottom w:val="0"/>
      <w:divBdr>
        <w:top w:val="none" w:sz="0" w:space="0" w:color="auto"/>
        <w:left w:val="none" w:sz="0" w:space="0" w:color="auto"/>
        <w:bottom w:val="none" w:sz="0" w:space="0" w:color="auto"/>
        <w:right w:val="none" w:sz="0" w:space="0" w:color="auto"/>
      </w:divBdr>
    </w:div>
    <w:div w:id="1532183085">
      <w:bodyDiv w:val="1"/>
      <w:marLeft w:val="0"/>
      <w:marRight w:val="0"/>
      <w:marTop w:val="0"/>
      <w:marBottom w:val="0"/>
      <w:divBdr>
        <w:top w:val="none" w:sz="0" w:space="0" w:color="auto"/>
        <w:left w:val="none" w:sz="0" w:space="0" w:color="auto"/>
        <w:bottom w:val="none" w:sz="0" w:space="0" w:color="auto"/>
        <w:right w:val="none" w:sz="0" w:space="0" w:color="auto"/>
      </w:divBdr>
    </w:div>
    <w:div w:id="1532260597">
      <w:bodyDiv w:val="1"/>
      <w:marLeft w:val="0"/>
      <w:marRight w:val="0"/>
      <w:marTop w:val="0"/>
      <w:marBottom w:val="0"/>
      <w:divBdr>
        <w:top w:val="none" w:sz="0" w:space="0" w:color="auto"/>
        <w:left w:val="none" w:sz="0" w:space="0" w:color="auto"/>
        <w:bottom w:val="none" w:sz="0" w:space="0" w:color="auto"/>
        <w:right w:val="none" w:sz="0" w:space="0" w:color="auto"/>
      </w:divBdr>
    </w:div>
    <w:div w:id="1532455315">
      <w:bodyDiv w:val="1"/>
      <w:marLeft w:val="0"/>
      <w:marRight w:val="0"/>
      <w:marTop w:val="0"/>
      <w:marBottom w:val="0"/>
      <w:divBdr>
        <w:top w:val="none" w:sz="0" w:space="0" w:color="auto"/>
        <w:left w:val="none" w:sz="0" w:space="0" w:color="auto"/>
        <w:bottom w:val="none" w:sz="0" w:space="0" w:color="auto"/>
        <w:right w:val="none" w:sz="0" w:space="0" w:color="auto"/>
      </w:divBdr>
    </w:div>
    <w:div w:id="1532500750">
      <w:bodyDiv w:val="1"/>
      <w:marLeft w:val="0"/>
      <w:marRight w:val="0"/>
      <w:marTop w:val="0"/>
      <w:marBottom w:val="0"/>
      <w:divBdr>
        <w:top w:val="none" w:sz="0" w:space="0" w:color="auto"/>
        <w:left w:val="none" w:sz="0" w:space="0" w:color="auto"/>
        <w:bottom w:val="none" w:sz="0" w:space="0" w:color="auto"/>
        <w:right w:val="none" w:sz="0" w:space="0" w:color="auto"/>
      </w:divBdr>
    </w:div>
    <w:div w:id="1532572006">
      <w:bodyDiv w:val="1"/>
      <w:marLeft w:val="0"/>
      <w:marRight w:val="0"/>
      <w:marTop w:val="0"/>
      <w:marBottom w:val="0"/>
      <w:divBdr>
        <w:top w:val="none" w:sz="0" w:space="0" w:color="auto"/>
        <w:left w:val="none" w:sz="0" w:space="0" w:color="auto"/>
        <w:bottom w:val="none" w:sz="0" w:space="0" w:color="auto"/>
        <w:right w:val="none" w:sz="0" w:space="0" w:color="auto"/>
      </w:divBdr>
    </w:div>
    <w:div w:id="1532574453">
      <w:bodyDiv w:val="1"/>
      <w:marLeft w:val="0"/>
      <w:marRight w:val="0"/>
      <w:marTop w:val="0"/>
      <w:marBottom w:val="0"/>
      <w:divBdr>
        <w:top w:val="none" w:sz="0" w:space="0" w:color="auto"/>
        <w:left w:val="none" w:sz="0" w:space="0" w:color="auto"/>
        <w:bottom w:val="none" w:sz="0" w:space="0" w:color="auto"/>
        <w:right w:val="none" w:sz="0" w:space="0" w:color="auto"/>
      </w:divBdr>
    </w:div>
    <w:div w:id="1532650751">
      <w:bodyDiv w:val="1"/>
      <w:marLeft w:val="0"/>
      <w:marRight w:val="0"/>
      <w:marTop w:val="0"/>
      <w:marBottom w:val="0"/>
      <w:divBdr>
        <w:top w:val="none" w:sz="0" w:space="0" w:color="auto"/>
        <w:left w:val="none" w:sz="0" w:space="0" w:color="auto"/>
        <w:bottom w:val="none" w:sz="0" w:space="0" w:color="auto"/>
        <w:right w:val="none" w:sz="0" w:space="0" w:color="auto"/>
      </w:divBdr>
    </w:div>
    <w:div w:id="1532718234">
      <w:bodyDiv w:val="1"/>
      <w:marLeft w:val="0"/>
      <w:marRight w:val="0"/>
      <w:marTop w:val="0"/>
      <w:marBottom w:val="0"/>
      <w:divBdr>
        <w:top w:val="none" w:sz="0" w:space="0" w:color="auto"/>
        <w:left w:val="none" w:sz="0" w:space="0" w:color="auto"/>
        <w:bottom w:val="none" w:sz="0" w:space="0" w:color="auto"/>
        <w:right w:val="none" w:sz="0" w:space="0" w:color="auto"/>
      </w:divBdr>
    </w:div>
    <w:div w:id="1532720820">
      <w:bodyDiv w:val="1"/>
      <w:marLeft w:val="0"/>
      <w:marRight w:val="0"/>
      <w:marTop w:val="0"/>
      <w:marBottom w:val="0"/>
      <w:divBdr>
        <w:top w:val="none" w:sz="0" w:space="0" w:color="auto"/>
        <w:left w:val="none" w:sz="0" w:space="0" w:color="auto"/>
        <w:bottom w:val="none" w:sz="0" w:space="0" w:color="auto"/>
        <w:right w:val="none" w:sz="0" w:space="0" w:color="auto"/>
      </w:divBdr>
    </w:div>
    <w:div w:id="1532760889">
      <w:bodyDiv w:val="1"/>
      <w:marLeft w:val="0"/>
      <w:marRight w:val="0"/>
      <w:marTop w:val="0"/>
      <w:marBottom w:val="0"/>
      <w:divBdr>
        <w:top w:val="none" w:sz="0" w:space="0" w:color="auto"/>
        <w:left w:val="none" w:sz="0" w:space="0" w:color="auto"/>
        <w:bottom w:val="none" w:sz="0" w:space="0" w:color="auto"/>
        <w:right w:val="none" w:sz="0" w:space="0" w:color="auto"/>
      </w:divBdr>
    </w:div>
    <w:div w:id="1532765994">
      <w:bodyDiv w:val="1"/>
      <w:marLeft w:val="0"/>
      <w:marRight w:val="0"/>
      <w:marTop w:val="0"/>
      <w:marBottom w:val="0"/>
      <w:divBdr>
        <w:top w:val="none" w:sz="0" w:space="0" w:color="auto"/>
        <w:left w:val="none" w:sz="0" w:space="0" w:color="auto"/>
        <w:bottom w:val="none" w:sz="0" w:space="0" w:color="auto"/>
        <w:right w:val="none" w:sz="0" w:space="0" w:color="auto"/>
      </w:divBdr>
    </w:div>
    <w:div w:id="1532912858">
      <w:bodyDiv w:val="1"/>
      <w:marLeft w:val="0"/>
      <w:marRight w:val="0"/>
      <w:marTop w:val="0"/>
      <w:marBottom w:val="0"/>
      <w:divBdr>
        <w:top w:val="none" w:sz="0" w:space="0" w:color="auto"/>
        <w:left w:val="none" w:sz="0" w:space="0" w:color="auto"/>
        <w:bottom w:val="none" w:sz="0" w:space="0" w:color="auto"/>
        <w:right w:val="none" w:sz="0" w:space="0" w:color="auto"/>
      </w:divBdr>
    </w:div>
    <w:div w:id="1532916175">
      <w:bodyDiv w:val="1"/>
      <w:marLeft w:val="0"/>
      <w:marRight w:val="0"/>
      <w:marTop w:val="0"/>
      <w:marBottom w:val="0"/>
      <w:divBdr>
        <w:top w:val="none" w:sz="0" w:space="0" w:color="auto"/>
        <w:left w:val="none" w:sz="0" w:space="0" w:color="auto"/>
        <w:bottom w:val="none" w:sz="0" w:space="0" w:color="auto"/>
        <w:right w:val="none" w:sz="0" w:space="0" w:color="auto"/>
      </w:divBdr>
    </w:div>
    <w:div w:id="1533112157">
      <w:bodyDiv w:val="1"/>
      <w:marLeft w:val="0"/>
      <w:marRight w:val="0"/>
      <w:marTop w:val="0"/>
      <w:marBottom w:val="0"/>
      <w:divBdr>
        <w:top w:val="none" w:sz="0" w:space="0" w:color="auto"/>
        <w:left w:val="none" w:sz="0" w:space="0" w:color="auto"/>
        <w:bottom w:val="none" w:sz="0" w:space="0" w:color="auto"/>
        <w:right w:val="none" w:sz="0" w:space="0" w:color="auto"/>
      </w:divBdr>
    </w:div>
    <w:div w:id="1533149226">
      <w:bodyDiv w:val="1"/>
      <w:marLeft w:val="0"/>
      <w:marRight w:val="0"/>
      <w:marTop w:val="0"/>
      <w:marBottom w:val="0"/>
      <w:divBdr>
        <w:top w:val="none" w:sz="0" w:space="0" w:color="auto"/>
        <w:left w:val="none" w:sz="0" w:space="0" w:color="auto"/>
        <w:bottom w:val="none" w:sz="0" w:space="0" w:color="auto"/>
        <w:right w:val="none" w:sz="0" w:space="0" w:color="auto"/>
      </w:divBdr>
    </w:div>
    <w:div w:id="1533221768">
      <w:bodyDiv w:val="1"/>
      <w:marLeft w:val="0"/>
      <w:marRight w:val="0"/>
      <w:marTop w:val="0"/>
      <w:marBottom w:val="0"/>
      <w:divBdr>
        <w:top w:val="none" w:sz="0" w:space="0" w:color="auto"/>
        <w:left w:val="none" w:sz="0" w:space="0" w:color="auto"/>
        <w:bottom w:val="none" w:sz="0" w:space="0" w:color="auto"/>
        <w:right w:val="none" w:sz="0" w:space="0" w:color="auto"/>
      </w:divBdr>
    </w:div>
    <w:div w:id="1533231001">
      <w:bodyDiv w:val="1"/>
      <w:marLeft w:val="0"/>
      <w:marRight w:val="0"/>
      <w:marTop w:val="0"/>
      <w:marBottom w:val="0"/>
      <w:divBdr>
        <w:top w:val="none" w:sz="0" w:space="0" w:color="auto"/>
        <w:left w:val="none" w:sz="0" w:space="0" w:color="auto"/>
        <w:bottom w:val="none" w:sz="0" w:space="0" w:color="auto"/>
        <w:right w:val="none" w:sz="0" w:space="0" w:color="auto"/>
      </w:divBdr>
    </w:div>
    <w:div w:id="1533302692">
      <w:bodyDiv w:val="1"/>
      <w:marLeft w:val="0"/>
      <w:marRight w:val="0"/>
      <w:marTop w:val="0"/>
      <w:marBottom w:val="0"/>
      <w:divBdr>
        <w:top w:val="none" w:sz="0" w:space="0" w:color="auto"/>
        <w:left w:val="none" w:sz="0" w:space="0" w:color="auto"/>
        <w:bottom w:val="none" w:sz="0" w:space="0" w:color="auto"/>
        <w:right w:val="none" w:sz="0" w:space="0" w:color="auto"/>
      </w:divBdr>
    </w:div>
    <w:div w:id="1533417144">
      <w:bodyDiv w:val="1"/>
      <w:marLeft w:val="0"/>
      <w:marRight w:val="0"/>
      <w:marTop w:val="0"/>
      <w:marBottom w:val="0"/>
      <w:divBdr>
        <w:top w:val="none" w:sz="0" w:space="0" w:color="auto"/>
        <w:left w:val="none" w:sz="0" w:space="0" w:color="auto"/>
        <w:bottom w:val="none" w:sz="0" w:space="0" w:color="auto"/>
        <w:right w:val="none" w:sz="0" w:space="0" w:color="auto"/>
      </w:divBdr>
    </w:div>
    <w:div w:id="1533424669">
      <w:bodyDiv w:val="1"/>
      <w:marLeft w:val="0"/>
      <w:marRight w:val="0"/>
      <w:marTop w:val="0"/>
      <w:marBottom w:val="0"/>
      <w:divBdr>
        <w:top w:val="none" w:sz="0" w:space="0" w:color="auto"/>
        <w:left w:val="none" w:sz="0" w:space="0" w:color="auto"/>
        <w:bottom w:val="none" w:sz="0" w:space="0" w:color="auto"/>
        <w:right w:val="none" w:sz="0" w:space="0" w:color="auto"/>
      </w:divBdr>
    </w:div>
    <w:div w:id="1533566443">
      <w:bodyDiv w:val="1"/>
      <w:marLeft w:val="0"/>
      <w:marRight w:val="0"/>
      <w:marTop w:val="0"/>
      <w:marBottom w:val="0"/>
      <w:divBdr>
        <w:top w:val="none" w:sz="0" w:space="0" w:color="auto"/>
        <w:left w:val="none" w:sz="0" w:space="0" w:color="auto"/>
        <w:bottom w:val="none" w:sz="0" w:space="0" w:color="auto"/>
        <w:right w:val="none" w:sz="0" w:space="0" w:color="auto"/>
      </w:divBdr>
    </w:div>
    <w:div w:id="1533613535">
      <w:bodyDiv w:val="1"/>
      <w:marLeft w:val="0"/>
      <w:marRight w:val="0"/>
      <w:marTop w:val="0"/>
      <w:marBottom w:val="0"/>
      <w:divBdr>
        <w:top w:val="none" w:sz="0" w:space="0" w:color="auto"/>
        <w:left w:val="none" w:sz="0" w:space="0" w:color="auto"/>
        <w:bottom w:val="none" w:sz="0" w:space="0" w:color="auto"/>
        <w:right w:val="none" w:sz="0" w:space="0" w:color="auto"/>
      </w:divBdr>
    </w:div>
    <w:div w:id="1533691744">
      <w:bodyDiv w:val="1"/>
      <w:marLeft w:val="0"/>
      <w:marRight w:val="0"/>
      <w:marTop w:val="0"/>
      <w:marBottom w:val="0"/>
      <w:divBdr>
        <w:top w:val="none" w:sz="0" w:space="0" w:color="auto"/>
        <w:left w:val="none" w:sz="0" w:space="0" w:color="auto"/>
        <w:bottom w:val="none" w:sz="0" w:space="0" w:color="auto"/>
        <w:right w:val="none" w:sz="0" w:space="0" w:color="auto"/>
      </w:divBdr>
    </w:div>
    <w:div w:id="1533693260">
      <w:bodyDiv w:val="1"/>
      <w:marLeft w:val="0"/>
      <w:marRight w:val="0"/>
      <w:marTop w:val="0"/>
      <w:marBottom w:val="0"/>
      <w:divBdr>
        <w:top w:val="none" w:sz="0" w:space="0" w:color="auto"/>
        <w:left w:val="none" w:sz="0" w:space="0" w:color="auto"/>
        <w:bottom w:val="none" w:sz="0" w:space="0" w:color="auto"/>
        <w:right w:val="none" w:sz="0" w:space="0" w:color="auto"/>
      </w:divBdr>
    </w:div>
    <w:div w:id="1533767717">
      <w:bodyDiv w:val="1"/>
      <w:marLeft w:val="0"/>
      <w:marRight w:val="0"/>
      <w:marTop w:val="0"/>
      <w:marBottom w:val="0"/>
      <w:divBdr>
        <w:top w:val="none" w:sz="0" w:space="0" w:color="auto"/>
        <w:left w:val="none" w:sz="0" w:space="0" w:color="auto"/>
        <w:bottom w:val="none" w:sz="0" w:space="0" w:color="auto"/>
        <w:right w:val="none" w:sz="0" w:space="0" w:color="auto"/>
      </w:divBdr>
    </w:div>
    <w:div w:id="1533807541">
      <w:bodyDiv w:val="1"/>
      <w:marLeft w:val="0"/>
      <w:marRight w:val="0"/>
      <w:marTop w:val="0"/>
      <w:marBottom w:val="0"/>
      <w:divBdr>
        <w:top w:val="none" w:sz="0" w:space="0" w:color="auto"/>
        <w:left w:val="none" w:sz="0" w:space="0" w:color="auto"/>
        <w:bottom w:val="none" w:sz="0" w:space="0" w:color="auto"/>
        <w:right w:val="none" w:sz="0" w:space="0" w:color="auto"/>
      </w:divBdr>
    </w:div>
    <w:div w:id="1533836501">
      <w:bodyDiv w:val="1"/>
      <w:marLeft w:val="0"/>
      <w:marRight w:val="0"/>
      <w:marTop w:val="0"/>
      <w:marBottom w:val="0"/>
      <w:divBdr>
        <w:top w:val="none" w:sz="0" w:space="0" w:color="auto"/>
        <w:left w:val="none" w:sz="0" w:space="0" w:color="auto"/>
        <w:bottom w:val="none" w:sz="0" w:space="0" w:color="auto"/>
        <w:right w:val="none" w:sz="0" w:space="0" w:color="auto"/>
      </w:divBdr>
    </w:div>
    <w:div w:id="1533954722">
      <w:bodyDiv w:val="1"/>
      <w:marLeft w:val="0"/>
      <w:marRight w:val="0"/>
      <w:marTop w:val="0"/>
      <w:marBottom w:val="0"/>
      <w:divBdr>
        <w:top w:val="none" w:sz="0" w:space="0" w:color="auto"/>
        <w:left w:val="none" w:sz="0" w:space="0" w:color="auto"/>
        <w:bottom w:val="none" w:sz="0" w:space="0" w:color="auto"/>
        <w:right w:val="none" w:sz="0" w:space="0" w:color="auto"/>
      </w:divBdr>
    </w:div>
    <w:div w:id="1534003053">
      <w:bodyDiv w:val="1"/>
      <w:marLeft w:val="0"/>
      <w:marRight w:val="0"/>
      <w:marTop w:val="0"/>
      <w:marBottom w:val="0"/>
      <w:divBdr>
        <w:top w:val="none" w:sz="0" w:space="0" w:color="auto"/>
        <w:left w:val="none" w:sz="0" w:space="0" w:color="auto"/>
        <w:bottom w:val="none" w:sz="0" w:space="0" w:color="auto"/>
        <w:right w:val="none" w:sz="0" w:space="0" w:color="auto"/>
      </w:divBdr>
    </w:div>
    <w:div w:id="1534030409">
      <w:bodyDiv w:val="1"/>
      <w:marLeft w:val="0"/>
      <w:marRight w:val="0"/>
      <w:marTop w:val="0"/>
      <w:marBottom w:val="0"/>
      <w:divBdr>
        <w:top w:val="none" w:sz="0" w:space="0" w:color="auto"/>
        <w:left w:val="none" w:sz="0" w:space="0" w:color="auto"/>
        <w:bottom w:val="none" w:sz="0" w:space="0" w:color="auto"/>
        <w:right w:val="none" w:sz="0" w:space="0" w:color="auto"/>
      </w:divBdr>
    </w:div>
    <w:div w:id="1534071286">
      <w:bodyDiv w:val="1"/>
      <w:marLeft w:val="0"/>
      <w:marRight w:val="0"/>
      <w:marTop w:val="0"/>
      <w:marBottom w:val="0"/>
      <w:divBdr>
        <w:top w:val="none" w:sz="0" w:space="0" w:color="auto"/>
        <w:left w:val="none" w:sz="0" w:space="0" w:color="auto"/>
        <w:bottom w:val="none" w:sz="0" w:space="0" w:color="auto"/>
        <w:right w:val="none" w:sz="0" w:space="0" w:color="auto"/>
      </w:divBdr>
    </w:div>
    <w:div w:id="1534152446">
      <w:bodyDiv w:val="1"/>
      <w:marLeft w:val="0"/>
      <w:marRight w:val="0"/>
      <w:marTop w:val="0"/>
      <w:marBottom w:val="0"/>
      <w:divBdr>
        <w:top w:val="none" w:sz="0" w:space="0" w:color="auto"/>
        <w:left w:val="none" w:sz="0" w:space="0" w:color="auto"/>
        <w:bottom w:val="none" w:sz="0" w:space="0" w:color="auto"/>
        <w:right w:val="none" w:sz="0" w:space="0" w:color="auto"/>
      </w:divBdr>
    </w:div>
    <w:div w:id="1534222330">
      <w:bodyDiv w:val="1"/>
      <w:marLeft w:val="0"/>
      <w:marRight w:val="0"/>
      <w:marTop w:val="0"/>
      <w:marBottom w:val="0"/>
      <w:divBdr>
        <w:top w:val="none" w:sz="0" w:space="0" w:color="auto"/>
        <w:left w:val="none" w:sz="0" w:space="0" w:color="auto"/>
        <w:bottom w:val="none" w:sz="0" w:space="0" w:color="auto"/>
        <w:right w:val="none" w:sz="0" w:space="0" w:color="auto"/>
      </w:divBdr>
    </w:div>
    <w:div w:id="1534345207">
      <w:bodyDiv w:val="1"/>
      <w:marLeft w:val="0"/>
      <w:marRight w:val="0"/>
      <w:marTop w:val="0"/>
      <w:marBottom w:val="0"/>
      <w:divBdr>
        <w:top w:val="none" w:sz="0" w:space="0" w:color="auto"/>
        <w:left w:val="none" w:sz="0" w:space="0" w:color="auto"/>
        <w:bottom w:val="none" w:sz="0" w:space="0" w:color="auto"/>
        <w:right w:val="none" w:sz="0" w:space="0" w:color="auto"/>
      </w:divBdr>
    </w:div>
    <w:div w:id="1534418075">
      <w:bodyDiv w:val="1"/>
      <w:marLeft w:val="0"/>
      <w:marRight w:val="0"/>
      <w:marTop w:val="0"/>
      <w:marBottom w:val="0"/>
      <w:divBdr>
        <w:top w:val="none" w:sz="0" w:space="0" w:color="auto"/>
        <w:left w:val="none" w:sz="0" w:space="0" w:color="auto"/>
        <w:bottom w:val="none" w:sz="0" w:space="0" w:color="auto"/>
        <w:right w:val="none" w:sz="0" w:space="0" w:color="auto"/>
      </w:divBdr>
    </w:div>
    <w:div w:id="1534463575">
      <w:bodyDiv w:val="1"/>
      <w:marLeft w:val="0"/>
      <w:marRight w:val="0"/>
      <w:marTop w:val="0"/>
      <w:marBottom w:val="0"/>
      <w:divBdr>
        <w:top w:val="none" w:sz="0" w:space="0" w:color="auto"/>
        <w:left w:val="none" w:sz="0" w:space="0" w:color="auto"/>
        <w:bottom w:val="none" w:sz="0" w:space="0" w:color="auto"/>
        <w:right w:val="none" w:sz="0" w:space="0" w:color="auto"/>
      </w:divBdr>
    </w:div>
    <w:div w:id="1534609582">
      <w:bodyDiv w:val="1"/>
      <w:marLeft w:val="0"/>
      <w:marRight w:val="0"/>
      <w:marTop w:val="0"/>
      <w:marBottom w:val="0"/>
      <w:divBdr>
        <w:top w:val="none" w:sz="0" w:space="0" w:color="auto"/>
        <w:left w:val="none" w:sz="0" w:space="0" w:color="auto"/>
        <w:bottom w:val="none" w:sz="0" w:space="0" w:color="auto"/>
        <w:right w:val="none" w:sz="0" w:space="0" w:color="auto"/>
      </w:divBdr>
    </w:div>
    <w:div w:id="1534610141">
      <w:bodyDiv w:val="1"/>
      <w:marLeft w:val="0"/>
      <w:marRight w:val="0"/>
      <w:marTop w:val="0"/>
      <w:marBottom w:val="0"/>
      <w:divBdr>
        <w:top w:val="none" w:sz="0" w:space="0" w:color="auto"/>
        <w:left w:val="none" w:sz="0" w:space="0" w:color="auto"/>
        <w:bottom w:val="none" w:sz="0" w:space="0" w:color="auto"/>
        <w:right w:val="none" w:sz="0" w:space="0" w:color="auto"/>
      </w:divBdr>
    </w:div>
    <w:div w:id="1534611066">
      <w:bodyDiv w:val="1"/>
      <w:marLeft w:val="0"/>
      <w:marRight w:val="0"/>
      <w:marTop w:val="0"/>
      <w:marBottom w:val="0"/>
      <w:divBdr>
        <w:top w:val="none" w:sz="0" w:space="0" w:color="auto"/>
        <w:left w:val="none" w:sz="0" w:space="0" w:color="auto"/>
        <w:bottom w:val="none" w:sz="0" w:space="0" w:color="auto"/>
        <w:right w:val="none" w:sz="0" w:space="0" w:color="auto"/>
      </w:divBdr>
    </w:div>
    <w:div w:id="1534614261">
      <w:bodyDiv w:val="1"/>
      <w:marLeft w:val="0"/>
      <w:marRight w:val="0"/>
      <w:marTop w:val="0"/>
      <w:marBottom w:val="0"/>
      <w:divBdr>
        <w:top w:val="none" w:sz="0" w:space="0" w:color="auto"/>
        <w:left w:val="none" w:sz="0" w:space="0" w:color="auto"/>
        <w:bottom w:val="none" w:sz="0" w:space="0" w:color="auto"/>
        <w:right w:val="none" w:sz="0" w:space="0" w:color="auto"/>
      </w:divBdr>
    </w:div>
    <w:div w:id="1534616533">
      <w:bodyDiv w:val="1"/>
      <w:marLeft w:val="0"/>
      <w:marRight w:val="0"/>
      <w:marTop w:val="0"/>
      <w:marBottom w:val="0"/>
      <w:divBdr>
        <w:top w:val="none" w:sz="0" w:space="0" w:color="auto"/>
        <w:left w:val="none" w:sz="0" w:space="0" w:color="auto"/>
        <w:bottom w:val="none" w:sz="0" w:space="0" w:color="auto"/>
        <w:right w:val="none" w:sz="0" w:space="0" w:color="auto"/>
      </w:divBdr>
    </w:div>
    <w:div w:id="1534683023">
      <w:bodyDiv w:val="1"/>
      <w:marLeft w:val="0"/>
      <w:marRight w:val="0"/>
      <w:marTop w:val="0"/>
      <w:marBottom w:val="0"/>
      <w:divBdr>
        <w:top w:val="none" w:sz="0" w:space="0" w:color="auto"/>
        <w:left w:val="none" w:sz="0" w:space="0" w:color="auto"/>
        <w:bottom w:val="none" w:sz="0" w:space="0" w:color="auto"/>
        <w:right w:val="none" w:sz="0" w:space="0" w:color="auto"/>
      </w:divBdr>
    </w:div>
    <w:div w:id="1534731499">
      <w:bodyDiv w:val="1"/>
      <w:marLeft w:val="0"/>
      <w:marRight w:val="0"/>
      <w:marTop w:val="0"/>
      <w:marBottom w:val="0"/>
      <w:divBdr>
        <w:top w:val="none" w:sz="0" w:space="0" w:color="auto"/>
        <w:left w:val="none" w:sz="0" w:space="0" w:color="auto"/>
        <w:bottom w:val="none" w:sz="0" w:space="0" w:color="auto"/>
        <w:right w:val="none" w:sz="0" w:space="0" w:color="auto"/>
      </w:divBdr>
    </w:div>
    <w:div w:id="1534733308">
      <w:bodyDiv w:val="1"/>
      <w:marLeft w:val="0"/>
      <w:marRight w:val="0"/>
      <w:marTop w:val="0"/>
      <w:marBottom w:val="0"/>
      <w:divBdr>
        <w:top w:val="none" w:sz="0" w:space="0" w:color="auto"/>
        <w:left w:val="none" w:sz="0" w:space="0" w:color="auto"/>
        <w:bottom w:val="none" w:sz="0" w:space="0" w:color="auto"/>
        <w:right w:val="none" w:sz="0" w:space="0" w:color="auto"/>
      </w:divBdr>
    </w:div>
    <w:div w:id="1534801780">
      <w:bodyDiv w:val="1"/>
      <w:marLeft w:val="0"/>
      <w:marRight w:val="0"/>
      <w:marTop w:val="0"/>
      <w:marBottom w:val="0"/>
      <w:divBdr>
        <w:top w:val="none" w:sz="0" w:space="0" w:color="auto"/>
        <w:left w:val="none" w:sz="0" w:space="0" w:color="auto"/>
        <w:bottom w:val="none" w:sz="0" w:space="0" w:color="auto"/>
        <w:right w:val="none" w:sz="0" w:space="0" w:color="auto"/>
      </w:divBdr>
    </w:div>
    <w:div w:id="1534802863">
      <w:bodyDiv w:val="1"/>
      <w:marLeft w:val="0"/>
      <w:marRight w:val="0"/>
      <w:marTop w:val="0"/>
      <w:marBottom w:val="0"/>
      <w:divBdr>
        <w:top w:val="none" w:sz="0" w:space="0" w:color="auto"/>
        <w:left w:val="none" w:sz="0" w:space="0" w:color="auto"/>
        <w:bottom w:val="none" w:sz="0" w:space="0" w:color="auto"/>
        <w:right w:val="none" w:sz="0" w:space="0" w:color="auto"/>
      </w:divBdr>
    </w:div>
    <w:div w:id="1534878816">
      <w:bodyDiv w:val="1"/>
      <w:marLeft w:val="0"/>
      <w:marRight w:val="0"/>
      <w:marTop w:val="0"/>
      <w:marBottom w:val="0"/>
      <w:divBdr>
        <w:top w:val="none" w:sz="0" w:space="0" w:color="auto"/>
        <w:left w:val="none" w:sz="0" w:space="0" w:color="auto"/>
        <w:bottom w:val="none" w:sz="0" w:space="0" w:color="auto"/>
        <w:right w:val="none" w:sz="0" w:space="0" w:color="auto"/>
      </w:divBdr>
    </w:div>
    <w:div w:id="1534923212">
      <w:bodyDiv w:val="1"/>
      <w:marLeft w:val="0"/>
      <w:marRight w:val="0"/>
      <w:marTop w:val="0"/>
      <w:marBottom w:val="0"/>
      <w:divBdr>
        <w:top w:val="none" w:sz="0" w:space="0" w:color="auto"/>
        <w:left w:val="none" w:sz="0" w:space="0" w:color="auto"/>
        <w:bottom w:val="none" w:sz="0" w:space="0" w:color="auto"/>
        <w:right w:val="none" w:sz="0" w:space="0" w:color="auto"/>
      </w:divBdr>
    </w:div>
    <w:div w:id="1534995056">
      <w:bodyDiv w:val="1"/>
      <w:marLeft w:val="0"/>
      <w:marRight w:val="0"/>
      <w:marTop w:val="0"/>
      <w:marBottom w:val="0"/>
      <w:divBdr>
        <w:top w:val="none" w:sz="0" w:space="0" w:color="auto"/>
        <w:left w:val="none" w:sz="0" w:space="0" w:color="auto"/>
        <w:bottom w:val="none" w:sz="0" w:space="0" w:color="auto"/>
        <w:right w:val="none" w:sz="0" w:space="0" w:color="auto"/>
      </w:divBdr>
    </w:div>
    <w:div w:id="1535188110">
      <w:bodyDiv w:val="1"/>
      <w:marLeft w:val="0"/>
      <w:marRight w:val="0"/>
      <w:marTop w:val="0"/>
      <w:marBottom w:val="0"/>
      <w:divBdr>
        <w:top w:val="none" w:sz="0" w:space="0" w:color="auto"/>
        <w:left w:val="none" w:sz="0" w:space="0" w:color="auto"/>
        <w:bottom w:val="none" w:sz="0" w:space="0" w:color="auto"/>
        <w:right w:val="none" w:sz="0" w:space="0" w:color="auto"/>
      </w:divBdr>
    </w:div>
    <w:div w:id="1535192564">
      <w:bodyDiv w:val="1"/>
      <w:marLeft w:val="0"/>
      <w:marRight w:val="0"/>
      <w:marTop w:val="0"/>
      <w:marBottom w:val="0"/>
      <w:divBdr>
        <w:top w:val="none" w:sz="0" w:space="0" w:color="auto"/>
        <w:left w:val="none" w:sz="0" w:space="0" w:color="auto"/>
        <w:bottom w:val="none" w:sz="0" w:space="0" w:color="auto"/>
        <w:right w:val="none" w:sz="0" w:space="0" w:color="auto"/>
      </w:divBdr>
    </w:div>
    <w:div w:id="1535197286">
      <w:bodyDiv w:val="1"/>
      <w:marLeft w:val="0"/>
      <w:marRight w:val="0"/>
      <w:marTop w:val="0"/>
      <w:marBottom w:val="0"/>
      <w:divBdr>
        <w:top w:val="none" w:sz="0" w:space="0" w:color="auto"/>
        <w:left w:val="none" w:sz="0" w:space="0" w:color="auto"/>
        <w:bottom w:val="none" w:sz="0" w:space="0" w:color="auto"/>
        <w:right w:val="none" w:sz="0" w:space="0" w:color="auto"/>
      </w:divBdr>
    </w:div>
    <w:div w:id="1535266469">
      <w:bodyDiv w:val="1"/>
      <w:marLeft w:val="0"/>
      <w:marRight w:val="0"/>
      <w:marTop w:val="0"/>
      <w:marBottom w:val="0"/>
      <w:divBdr>
        <w:top w:val="none" w:sz="0" w:space="0" w:color="auto"/>
        <w:left w:val="none" w:sz="0" w:space="0" w:color="auto"/>
        <w:bottom w:val="none" w:sz="0" w:space="0" w:color="auto"/>
        <w:right w:val="none" w:sz="0" w:space="0" w:color="auto"/>
      </w:divBdr>
    </w:div>
    <w:div w:id="1535314322">
      <w:bodyDiv w:val="1"/>
      <w:marLeft w:val="0"/>
      <w:marRight w:val="0"/>
      <w:marTop w:val="0"/>
      <w:marBottom w:val="0"/>
      <w:divBdr>
        <w:top w:val="none" w:sz="0" w:space="0" w:color="auto"/>
        <w:left w:val="none" w:sz="0" w:space="0" w:color="auto"/>
        <w:bottom w:val="none" w:sz="0" w:space="0" w:color="auto"/>
        <w:right w:val="none" w:sz="0" w:space="0" w:color="auto"/>
      </w:divBdr>
    </w:div>
    <w:div w:id="1535343735">
      <w:bodyDiv w:val="1"/>
      <w:marLeft w:val="0"/>
      <w:marRight w:val="0"/>
      <w:marTop w:val="0"/>
      <w:marBottom w:val="0"/>
      <w:divBdr>
        <w:top w:val="none" w:sz="0" w:space="0" w:color="auto"/>
        <w:left w:val="none" w:sz="0" w:space="0" w:color="auto"/>
        <w:bottom w:val="none" w:sz="0" w:space="0" w:color="auto"/>
        <w:right w:val="none" w:sz="0" w:space="0" w:color="auto"/>
      </w:divBdr>
    </w:div>
    <w:div w:id="1535462797">
      <w:bodyDiv w:val="1"/>
      <w:marLeft w:val="0"/>
      <w:marRight w:val="0"/>
      <w:marTop w:val="0"/>
      <w:marBottom w:val="0"/>
      <w:divBdr>
        <w:top w:val="none" w:sz="0" w:space="0" w:color="auto"/>
        <w:left w:val="none" w:sz="0" w:space="0" w:color="auto"/>
        <w:bottom w:val="none" w:sz="0" w:space="0" w:color="auto"/>
        <w:right w:val="none" w:sz="0" w:space="0" w:color="auto"/>
      </w:divBdr>
    </w:div>
    <w:div w:id="1535534500">
      <w:bodyDiv w:val="1"/>
      <w:marLeft w:val="0"/>
      <w:marRight w:val="0"/>
      <w:marTop w:val="0"/>
      <w:marBottom w:val="0"/>
      <w:divBdr>
        <w:top w:val="none" w:sz="0" w:space="0" w:color="auto"/>
        <w:left w:val="none" w:sz="0" w:space="0" w:color="auto"/>
        <w:bottom w:val="none" w:sz="0" w:space="0" w:color="auto"/>
        <w:right w:val="none" w:sz="0" w:space="0" w:color="auto"/>
      </w:divBdr>
    </w:div>
    <w:div w:id="1535577638">
      <w:bodyDiv w:val="1"/>
      <w:marLeft w:val="0"/>
      <w:marRight w:val="0"/>
      <w:marTop w:val="0"/>
      <w:marBottom w:val="0"/>
      <w:divBdr>
        <w:top w:val="none" w:sz="0" w:space="0" w:color="auto"/>
        <w:left w:val="none" w:sz="0" w:space="0" w:color="auto"/>
        <w:bottom w:val="none" w:sz="0" w:space="0" w:color="auto"/>
        <w:right w:val="none" w:sz="0" w:space="0" w:color="auto"/>
      </w:divBdr>
    </w:div>
    <w:div w:id="1535775990">
      <w:bodyDiv w:val="1"/>
      <w:marLeft w:val="0"/>
      <w:marRight w:val="0"/>
      <w:marTop w:val="0"/>
      <w:marBottom w:val="0"/>
      <w:divBdr>
        <w:top w:val="none" w:sz="0" w:space="0" w:color="auto"/>
        <w:left w:val="none" w:sz="0" w:space="0" w:color="auto"/>
        <w:bottom w:val="none" w:sz="0" w:space="0" w:color="auto"/>
        <w:right w:val="none" w:sz="0" w:space="0" w:color="auto"/>
      </w:divBdr>
    </w:div>
    <w:div w:id="1535850256">
      <w:bodyDiv w:val="1"/>
      <w:marLeft w:val="0"/>
      <w:marRight w:val="0"/>
      <w:marTop w:val="0"/>
      <w:marBottom w:val="0"/>
      <w:divBdr>
        <w:top w:val="none" w:sz="0" w:space="0" w:color="auto"/>
        <w:left w:val="none" w:sz="0" w:space="0" w:color="auto"/>
        <w:bottom w:val="none" w:sz="0" w:space="0" w:color="auto"/>
        <w:right w:val="none" w:sz="0" w:space="0" w:color="auto"/>
      </w:divBdr>
    </w:div>
    <w:div w:id="1535919597">
      <w:bodyDiv w:val="1"/>
      <w:marLeft w:val="0"/>
      <w:marRight w:val="0"/>
      <w:marTop w:val="0"/>
      <w:marBottom w:val="0"/>
      <w:divBdr>
        <w:top w:val="none" w:sz="0" w:space="0" w:color="auto"/>
        <w:left w:val="none" w:sz="0" w:space="0" w:color="auto"/>
        <w:bottom w:val="none" w:sz="0" w:space="0" w:color="auto"/>
        <w:right w:val="none" w:sz="0" w:space="0" w:color="auto"/>
      </w:divBdr>
    </w:div>
    <w:div w:id="1535969859">
      <w:bodyDiv w:val="1"/>
      <w:marLeft w:val="0"/>
      <w:marRight w:val="0"/>
      <w:marTop w:val="0"/>
      <w:marBottom w:val="0"/>
      <w:divBdr>
        <w:top w:val="none" w:sz="0" w:space="0" w:color="auto"/>
        <w:left w:val="none" w:sz="0" w:space="0" w:color="auto"/>
        <w:bottom w:val="none" w:sz="0" w:space="0" w:color="auto"/>
        <w:right w:val="none" w:sz="0" w:space="0" w:color="auto"/>
      </w:divBdr>
    </w:div>
    <w:div w:id="1536195285">
      <w:bodyDiv w:val="1"/>
      <w:marLeft w:val="0"/>
      <w:marRight w:val="0"/>
      <w:marTop w:val="0"/>
      <w:marBottom w:val="0"/>
      <w:divBdr>
        <w:top w:val="none" w:sz="0" w:space="0" w:color="auto"/>
        <w:left w:val="none" w:sz="0" w:space="0" w:color="auto"/>
        <w:bottom w:val="none" w:sz="0" w:space="0" w:color="auto"/>
        <w:right w:val="none" w:sz="0" w:space="0" w:color="auto"/>
      </w:divBdr>
    </w:div>
    <w:div w:id="1536196162">
      <w:bodyDiv w:val="1"/>
      <w:marLeft w:val="0"/>
      <w:marRight w:val="0"/>
      <w:marTop w:val="0"/>
      <w:marBottom w:val="0"/>
      <w:divBdr>
        <w:top w:val="none" w:sz="0" w:space="0" w:color="auto"/>
        <w:left w:val="none" w:sz="0" w:space="0" w:color="auto"/>
        <w:bottom w:val="none" w:sz="0" w:space="0" w:color="auto"/>
        <w:right w:val="none" w:sz="0" w:space="0" w:color="auto"/>
      </w:divBdr>
    </w:div>
    <w:div w:id="1536385122">
      <w:bodyDiv w:val="1"/>
      <w:marLeft w:val="0"/>
      <w:marRight w:val="0"/>
      <w:marTop w:val="0"/>
      <w:marBottom w:val="0"/>
      <w:divBdr>
        <w:top w:val="none" w:sz="0" w:space="0" w:color="auto"/>
        <w:left w:val="none" w:sz="0" w:space="0" w:color="auto"/>
        <w:bottom w:val="none" w:sz="0" w:space="0" w:color="auto"/>
        <w:right w:val="none" w:sz="0" w:space="0" w:color="auto"/>
      </w:divBdr>
    </w:div>
    <w:div w:id="1536430733">
      <w:bodyDiv w:val="1"/>
      <w:marLeft w:val="0"/>
      <w:marRight w:val="0"/>
      <w:marTop w:val="0"/>
      <w:marBottom w:val="0"/>
      <w:divBdr>
        <w:top w:val="none" w:sz="0" w:space="0" w:color="auto"/>
        <w:left w:val="none" w:sz="0" w:space="0" w:color="auto"/>
        <w:bottom w:val="none" w:sz="0" w:space="0" w:color="auto"/>
        <w:right w:val="none" w:sz="0" w:space="0" w:color="auto"/>
      </w:divBdr>
    </w:div>
    <w:div w:id="1536575275">
      <w:bodyDiv w:val="1"/>
      <w:marLeft w:val="0"/>
      <w:marRight w:val="0"/>
      <w:marTop w:val="0"/>
      <w:marBottom w:val="0"/>
      <w:divBdr>
        <w:top w:val="none" w:sz="0" w:space="0" w:color="auto"/>
        <w:left w:val="none" w:sz="0" w:space="0" w:color="auto"/>
        <w:bottom w:val="none" w:sz="0" w:space="0" w:color="auto"/>
        <w:right w:val="none" w:sz="0" w:space="0" w:color="auto"/>
      </w:divBdr>
    </w:div>
    <w:div w:id="1536576127">
      <w:bodyDiv w:val="1"/>
      <w:marLeft w:val="0"/>
      <w:marRight w:val="0"/>
      <w:marTop w:val="0"/>
      <w:marBottom w:val="0"/>
      <w:divBdr>
        <w:top w:val="none" w:sz="0" w:space="0" w:color="auto"/>
        <w:left w:val="none" w:sz="0" w:space="0" w:color="auto"/>
        <w:bottom w:val="none" w:sz="0" w:space="0" w:color="auto"/>
        <w:right w:val="none" w:sz="0" w:space="0" w:color="auto"/>
      </w:divBdr>
    </w:div>
    <w:div w:id="1536581312">
      <w:bodyDiv w:val="1"/>
      <w:marLeft w:val="0"/>
      <w:marRight w:val="0"/>
      <w:marTop w:val="0"/>
      <w:marBottom w:val="0"/>
      <w:divBdr>
        <w:top w:val="none" w:sz="0" w:space="0" w:color="auto"/>
        <w:left w:val="none" w:sz="0" w:space="0" w:color="auto"/>
        <w:bottom w:val="none" w:sz="0" w:space="0" w:color="auto"/>
        <w:right w:val="none" w:sz="0" w:space="0" w:color="auto"/>
      </w:divBdr>
    </w:div>
    <w:div w:id="1536694077">
      <w:bodyDiv w:val="1"/>
      <w:marLeft w:val="0"/>
      <w:marRight w:val="0"/>
      <w:marTop w:val="0"/>
      <w:marBottom w:val="0"/>
      <w:divBdr>
        <w:top w:val="none" w:sz="0" w:space="0" w:color="auto"/>
        <w:left w:val="none" w:sz="0" w:space="0" w:color="auto"/>
        <w:bottom w:val="none" w:sz="0" w:space="0" w:color="auto"/>
        <w:right w:val="none" w:sz="0" w:space="0" w:color="auto"/>
      </w:divBdr>
    </w:div>
    <w:div w:id="1536769823">
      <w:bodyDiv w:val="1"/>
      <w:marLeft w:val="0"/>
      <w:marRight w:val="0"/>
      <w:marTop w:val="0"/>
      <w:marBottom w:val="0"/>
      <w:divBdr>
        <w:top w:val="none" w:sz="0" w:space="0" w:color="auto"/>
        <w:left w:val="none" w:sz="0" w:space="0" w:color="auto"/>
        <w:bottom w:val="none" w:sz="0" w:space="0" w:color="auto"/>
        <w:right w:val="none" w:sz="0" w:space="0" w:color="auto"/>
      </w:divBdr>
    </w:div>
    <w:div w:id="1536851579">
      <w:bodyDiv w:val="1"/>
      <w:marLeft w:val="0"/>
      <w:marRight w:val="0"/>
      <w:marTop w:val="0"/>
      <w:marBottom w:val="0"/>
      <w:divBdr>
        <w:top w:val="none" w:sz="0" w:space="0" w:color="auto"/>
        <w:left w:val="none" w:sz="0" w:space="0" w:color="auto"/>
        <w:bottom w:val="none" w:sz="0" w:space="0" w:color="auto"/>
        <w:right w:val="none" w:sz="0" w:space="0" w:color="auto"/>
      </w:divBdr>
    </w:div>
    <w:div w:id="1536960560">
      <w:bodyDiv w:val="1"/>
      <w:marLeft w:val="0"/>
      <w:marRight w:val="0"/>
      <w:marTop w:val="0"/>
      <w:marBottom w:val="0"/>
      <w:divBdr>
        <w:top w:val="none" w:sz="0" w:space="0" w:color="auto"/>
        <w:left w:val="none" w:sz="0" w:space="0" w:color="auto"/>
        <w:bottom w:val="none" w:sz="0" w:space="0" w:color="auto"/>
        <w:right w:val="none" w:sz="0" w:space="0" w:color="auto"/>
      </w:divBdr>
    </w:div>
    <w:div w:id="1536965923">
      <w:bodyDiv w:val="1"/>
      <w:marLeft w:val="0"/>
      <w:marRight w:val="0"/>
      <w:marTop w:val="0"/>
      <w:marBottom w:val="0"/>
      <w:divBdr>
        <w:top w:val="none" w:sz="0" w:space="0" w:color="auto"/>
        <w:left w:val="none" w:sz="0" w:space="0" w:color="auto"/>
        <w:bottom w:val="none" w:sz="0" w:space="0" w:color="auto"/>
        <w:right w:val="none" w:sz="0" w:space="0" w:color="auto"/>
      </w:divBdr>
    </w:div>
    <w:div w:id="1536966114">
      <w:bodyDiv w:val="1"/>
      <w:marLeft w:val="0"/>
      <w:marRight w:val="0"/>
      <w:marTop w:val="0"/>
      <w:marBottom w:val="0"/>
      <w:divBdr>
        <w:top w:val="none" w:sz="0" w:space="0" w:color="auto"/>
        <w:left w:val="none" w:sz="0" w:space="0" w:color="auto"/>
        <w:bottom w:val="none" w:sz="0" w:space="0" w:color="auto"/>
        <w:right w:val="none" w:sz="0" w:space="0" w:color="auto"/>
      </w:divBdr>
    </w:div>
    <w:div w:id="1537035628">
      <w:bodyDiv w:val="1"/>
      <w:marLeft w:val="0"/>
      <w:marRight w:val="0"/>
      <w:marTop w:val="0"/>
      <w:marBottom w:val="0"/>
      <w:divBdr>
        <w:top w:val="none" w:sz="0" w:space="0" w:color="auto"/>
        <w:left w:val="none" w:sz="0" w:space="0" w:color="auto"/>
        <w:bottom w:val="none" w:sz="0" w:space="0" w:color="auto"/>
        <w:right w:val="none" w:sz="0" w:space="0" w:color="auto"/>
      </w:divBdr>
    </w:div>
    <w:div w:id="1537043231">
      <w:bodyDiv w:val="1"/>
      <w:marLeft w:val="0"/>
      <w:marRight w:val="0"/>
      <w:marTop w:val="0"/>
      <w:marBottom w:val="0"/>
      <w:divBdr>
        <w:top w:val="none" w:sz="0" w:space="0" w:color="auto"/>
        <w:left w:val="none" w:sz="0" w:space="0" w:color="auto"/>
        <w:bottom w:val="none" w:sz="0" w:space="0" w:color="auto"/>
        <w:right w:val="none" w:sz="0" w:space="0" w:color="auto"/>
      </w:divBdr>
    </w:div>
    <w:div w:id="1537234966">
      <w:bodyDiv w:val="1"/>
      <w:marLeft w:val="0"/>
      <w:marRight w:val="0"/>
      <w:marTop w:val="0"/>
      <w:marBottom w:val="0"/>
      <w:divBdr>
        <w:top w:val="none" w:sz="0" w:space="0" w:color="auto"/>
        <w:left w:val="none" w:sz="0" w:space="0" w:color="auto"/>
        <w:bottom w:val="none" w:sz="0" w:space="0" w:color="auto"/>
        <w:right w:val="none" w:sz="0" w:space="0" w:color="auto"/>
      </w:divBdr>
    </w:div>
    <w:div w:id="1537308970">
      <w:bodyDiv w:val="1"/>
      <w:marLeft w:val="0"/>
      <w:marRight w:val="0"/>
      <w:marTop w:val="0"/>
      <w:marBottom w:val="0"/>
      <w:divBdr>
        <w:top w:val="none" w:sz="0" w:space="0" w:color="auto"/>
        <w:left w:val="none" w:sz="0" w:space="0" w:color="auto"/>
        <w:bottom w:val="none" w:sz="0" w:space="0" w:color="auto"/>
        <w:right w:val="none" w:sz="0" w:space="0" w:color="auto"/>
      </w:divBdr>
    </w:div>
    <w:div w:id="1537349562">
      <w:bodyDiv w:val="1"/>
      <w:marLeft w:val="0"/>
      <w:marRight w:val="0"/>
      <w:marTop w:val="0"/>
      <w:marBottom w:val="0"/>
      <w:divBdr>
        <w:top w:val="none" w:sz="0" w:space="0" w:color="auto"/>
        <w:left w:val="none" w:sz="0" w:space="0" w:color="auto"/>
        <w:bottom w:val="none" w:sz="0" w:space="0" w:color="auto"/>
        <w:right w:val="none" w:sz="0" w:space="0" w:color="auto"/>
      </w:divBdr>
    </w:div>
    <w:div w:id="1537504960">
      <w:bodyDiv w:val="1"/>
      <w:marLeft w:val="0"/>
      <w:marRight w:val="0"/>
      <w:marTop w:val="0"/>
      <w:marBottom w:val="0"/>
      <w:divBdr>
        <w:top w:val="none" w:sz="0" w:space="0" w:color="auto"/>
        <w:left w:val="none" w:sz="0" w:space="0" w:color="auto"/>
        <w:bottom w:val="none" w:sz="0" w:space="0" w:color="auto"/>
        <w:right w:val="none" w:sz="0" w:space="0" w:color="auto"/>
      </w:divBdr>
    </w:div>
    <w:div w:id="1537541846">
      <w:bodyDiv w:val="1"/>
      <w:marLeft w:val="0"/>
      <w:marRight w:val="0"/>
      <w:marTop w:val="0"/>
      <w:marBottom w:val="0"/>
      <w:divBdr>
        <w:top w:val="none" w:sz="0" w:space="0" w:color="auto"/>
        <w:left w:val="none" w:sz="0" w:space="0" w:color="auto"/>
        <w:bottom w:val="none" w:sz="0" w:space="0" w:color="auto"/>
        <w:right w:val="none" w:sz="0" w:space="0" w:color="auto"/>
      </w:divBdr>
    </w:div>
    <w:div w:id="1537546951">
      <w:bodyDiv w:val="1"/>
      <w:marLeft w:val="0"/>
      <w:marRight w:val="0"/>
      <w:marTop w:val="0"/>
      <w:marBottom w:val="0"/>
      <w:divBdr>
        <w:top w:val="none" w:sz="0" w:space="0" w:color="auto"/>
        <w:left w:val="none" w:sz="0" w:space="0" w:color="auto"/>
        <w:bottom w:val="none" w:sz="0" w:space="0" w:color="auto"/>
        <w:right w:val="none" w:sz="0" w:space="0" w:color="auto"/>
      </w:divBdr>
    </w:div>
    <w:div w:id="1537693657">
      <w:bodyDiv w:val="1"/>
      <w:marLeft w:val="0"/>
      <w:marRight w:val="0"/>
      <w:marTop w:val="0"/>
      <w:marBottom w:val="0"/>
      <w:divBdr>
        <w:top w:val="none" w:sz="0" w:space="0" w:color="auto"/>
        <w:left w:val="none" w:sz="0" w:space="0" w:color="auto"/>
        <w:bottom w:val="none" w:sz="0" w:space="0" w:color="auto"/>
        <w:right w:val="none" w:sz="0" w:space="0" w:color="auto"/>
      </w:divBdr>
    </w:div>
    <w:div w:id="1537699077">
      <w:bodyDiv w:val="1"/>
      <w:marLeft w:val="0"/>
      <w:marRight w:val="0"/>
      <w:marTop w:val="0"/>
      <w:marBottom w:val="0"/>
      <w:divBdr>
        <w:top w:val="none" w:sz="0" w:space="0" w:color="auto"/>
        <w:left w:val="none" w:sz="0" w:space="0" w:color="auto"/>
        <w:bottom w:val="none" w:sz="0" w:space="0" w:color="auto"/>
        <w:right w:val="none" w:sz="0" w:space="0" w:color="auto"/>
      </w:divBdr>
    </w:div>
    <w:div w:id="1537736935">
      <w:bodyDiv w:val="1"/>
      <w:marLeft w:val="0"/>
      <w:marRight w:val="0"/>
      <w:marTop w:val="0"/>
      <w:marBottom w:val="0"/>
      <w:divBdr>
        <w:top w:val="none" w:sz="0" w:space="0" w:color="auto"/>
        <w:left w:val="none" w:sz="0" w:space="0" w:color="auto"/>
        <w:bottom w:val="none" w:sz="0" w:space="0" w:color="auto"/>
        <w:right w:val="none" w:sz="0" w:space="0" w:color="auto"/>
      </w:divBdr>
    </w:div>
    <w:div w:id="1537739263">
      <w:bodyDiv w:val="1"/>
      <w:marLeft w:val="0"/>
      <w:marRight w:val="0"/>
      <w:marTop w:val="0"/>
      <w:marBottom w:val="0"/>
      <w:divBdr>
        <w:top w:val="none" w:sz="0" w:space="0" w:color="auto"/>
        <w:left w:val="none" w:sz="0" w:space="0" w:color="auto"/>
        <w:bottom w:val="none" w:sz="0" w:space="0" w:color="auto"/>
        <w:right w:val="none" w:sz="0" w:space="0" w:color="auto"/>
      </w:divBdr>
    </w:div>
    <w:div w:id="1537817380">
      <w:bodyDiv w:val="1"/>
      <w:marLeft w:val="0"/>
      <w:marRight w:val="0"/>
      <w:marTop w:val="0"/>
      <w:marBottom w:val="0"/>
      <w:divBdr>
        <w:top w:val="none" w:sz="0" w:space="0" w:color="auto"/>
        <w:left w:val="none" w:sz="0" w:space="0" w:color="auto"/>
        <w:bottom w:val="none" w:sz="0" w:space="0" w:color="auto"/>
        <w:right w:val="none" w:sz="0" w:space="0" w:color="auto"/>
      </w:divBdr>
    </w:div>
    <w:div w:id="1537885425">
      <w:bodyDiv w:val="1"/>
      <w:marLeft w:val="0"/>
      <w:marRight w:val="0"/>
      <w:marTop w:val="0"/>
      <w:marBottom w:val="0"/>
      <w:divBdr>
        <w:top w:val="none" w:sz="0" w:space="0" w:color="auto"/>
        <w:left w:val="none" w:sz="0" w:space="0" w:color="auto"/>
        <w:bottom w:val="none" w:sz="0" w:space="0" w:color="auto"/>
        <w:right w:val="none" w:sz="0" w:space="0" w:color="auto"/>
      </w:divBdr>
    </w:div>
    <w:div w:id="1537892054">
      <w:bodyDiv w:val="1"/>
      <w:marLeft w:val="0"/>
      <w:marRight w:val="0"/>
      <w:marTop w:val="0"/>
      <w:marBottom w:val="0"/>
      <w:divBdr>
        <w:top w:val="none" w:sz="0" w:space="0" w:color="auto"/>
        <w:left w:val="none" w:sz="0" w:space="0" w:color="auto"/>
        <w:bottom w:val="none" w:sz="0" w:space="0" w:color="auto"/>
        <w:right w:val="none" w:sz="0" w:space="0" w:color="auto"/>
      </w:divBdr>
    </w:div>
    <w:div w:id="1537934672">
      <w:bodyDiv w:val="1"/>
      <w:marLeft w:val="0"/>
      <w:marRight w:val="0"/>
      <w:marTop w:val="0"/>
      <w:marBottom w:val="0"/>
      <w:divBdr>
        <w:top w:val="none" w:sz="0" w:space="0" w:color="auto"/>
        <w:left w:val="none" w:sz="0" w:space="0" w:color="auto"/>
        <w:bottom w:val="none" w:sz="0" w:space="0" w:color="auto"/>
        <w:right w:val="none" w:sz="0" w:space="0" w:color="auto"/>
      </w:divBdr>
    </w:div>
    <w:div w:id="1538008354">
      <w:bodyDiv w:val="1"/>
      <w:marLeft w:val="0"/>
      <w:marRight w:val="0"/>
      <w:marTop w:val="0"/>
      <w:marBottom w:val="0"/>
      <w:divBdr>
        <w:top w:val="none" w:sz="0" w:space="0" w:color="auto"/>
        <w:left w:val="none" w:sz="0" w:space="0" w:color="auto"/>
        <w:bottom w:val="none" w:sz="0" w:space="0" w:color="auto"/>
        <w:right w:val="none" w:sz="0" w:space="0" w:color="auto"/>
      </w:divBdr>
    </w:div>
    <w:div w:id="1538086416">
      <w:bodyDiv w:val="1"/>
      <w:marLeft w:val="0"/>
      <w:marRight w:val="0"/>
      <w:marTop w:val="0"/>
      <w:marBottom w:val="0"/>
      <w:divBdr>
        <w:top w:val="none" w:sz="0" w:space="0" w:color="auto"/>
        <w:left w:val="none" w:sz="0" w:space="0" w:color="auto"/>
        <w:bottom w:val="none" w:sz="0" w:space="0" w:color="auto"/>
        <w:right w:val="none" w:sz="0" w:space="0" w:color="auto"/>
      </w:divBdr>
    </w:div>
    <w:div w:id="1538152787">
      <w:bodyDiv w:val="1"/>
      <w:marLeft w:val="0"/>
      <w:marRight w:val="0"/>
      <w:marTop w:val="0"/>
      <w:marBottom w:val="0"/>
      <w:divBdr>
        <w:top w:val="none" w:sz="0" w:space="0" w:color="auto"/>
        <w:left w:val="none" w:sz="0" w:space="0" w:color="auto"/>
        <w:bottom w:val="none" w:sz="0" w:space="0" w:color="auto"/>
        <w:right w:val="none" w:sz="0" w:space="0" w:color="auto"/>
      </w:divBdr>
    </w:div>
    <w:div w:id="1538159493">
      <w:bodyDiv w:val="1"/>
      <w:marLeft w:val="0"/>
      <w:marRight w:val="0"/>
      <w:marTop w:val="0"/>
      <w:marBottom w:val="0"/>
      <w:divBdr>
        <w:top w:val="none" w:sz="0" w:space="0" w:color="auto"/>
        <w:left w:val="none" w:sz="0" w:space="0" w:color="auto"/>
        <w:bottom w:val="none" w:sz="0" w:space="0" w:color="auto"/>
        <w:right w:val="none" w:sz="0" w:space="0" w:color="auto"/>
      </w:divBdr>
    </w:div>
    <w:div w:id="1538161261">
      <w:bodyDiv w:val="1"/>
      <w:marLeft w:val="0"/>
      <w:marRight w:val="0"/>
      <w:marTop w:val="0"/>
      <w:marBottom w:val="0"/>
      <w:divBdr>
        <w:top w:val="none" w:sz="0" w:space="0" w:color="auto"/>
        <w:left w:val="none" w:sz="0" w:space="0" w:color="auto"/>
        <w:bottom w:val="none" w:sz="0" w:space="0" w:color="auto"/>
        <w:right w:val="none" w:sz="0" w:space="0" w:color="auto"/>
      </w:divBdr>
    </w:div>
    <w:div w:id="1538161513">
      <w:bodyDiv w:val="1"/>
      <w:marLeft w:val="0"/>
      <w:marRight w:val="0"/>
      <w:marTop w:val="0"/>
      <w:marBottom w:val="0"/>
      <w:divBdr>
        <w:top w:val="none" w:sz="0" w:space="0" w:color="auto"/>
        <w:left w:val="none" w:sz="0" w:space="0" w:color="auto"/>
        <w:bottom w:val="none" w:sz="0" w:space="0" w:color="auto"/>
        <w:right w:val="none" w:sz="0" w:space="0" w:color="auto"/>
      </w:divBdr>
    </w:div>
    <w:div w:id="1538352294">
      <w:bodyDiv w:val="1"/>
      <w:marLeft w:val="0"/>
      <w:marRight w:val="0"/>
      <w:marTop w:val="0"/>
      <w:marBottom w:val="0"/>
      <w:divBdr>
        <w:top w:val="none" w:sz="0" w:space="0" w:color="auto"/>
        <w:left w:val="none" w:sz="0" w:space="0" w:color="auto"/>
        <w:bottom w:val="none" w:sz="0" w:space="0" w:color="auto"/>
        <w:right w:val="none" w:sz="0" w:space="0" w:color="auto"/>
      </w:divBdr>
    </w:div>
    <w:div w:id="153842403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38741789">
      <w:bodyDiv w:val="1"/>
      <w:marLeft w:val="0"/>
      <w:marRight w:val="0"/>
      <w:marTop w:val="0"/>
      <w:marBottom w:val="0"/>
      <w:divBdr>
        <w:top w:val="none" w:sz="0" w:space="0" w:color="auto"/>
        <w:left w:val="none" w:sz="0" w:space="0" w:color="auto"/>
        <w:bottom w:val="none" w:sz="0" w:space="0" w:color="auto"/>
        <w:right w:val="none" w:sz="0" w:space="0" w:color="auto"/>
      </w:divBdr>
    </w:div>
    <w:div w:id="1538816266">
      <w:bodyDiv w:val="1"/>
      <w:marLeft w:val="0"/>
      <w:marRight w:val="0"/>
      <w:marTop w:val="0"/>
      <w:marBottom w:val="0"/>
      <w:divBdr>
        <w:top w:val="none" w:sz="0" w:space="0" w:color="auto"/>
        <w:left w:val="none" w:sz="0" w:space="0" w:color="auto"/>
        <w:bottom w:val="none" w:sz="0" w:space="0" w:color="auto"/>
        <w:right w:val="none" w:sz="0" w:space="0" w:color="auto"/>
      </w:divBdr>
    </w:div>
    <w:div w:id="1538852182">
      <w:bodyDiv w:val="1"/>
      <w:marLeft w:val="0"/>
      <w:marRight w:val="0"/>
      <w:marTop w:val="0"/>
      <w:marBottom w:val="0"/>
      <w:divBdr>
        <w:top w:val="none" w:sz="0" w:space="0" w:color="auto"/>
        <w:left w:val="none" w:sz="0" w:space="0" w:color="auto"/>
        <w:bottom w:val="none" w:sz="0" w:space="0" w:color="auto"/>
        <w:right w:val="none" w:sz="0" w:space="0" w:color="auto"/>
      </w:divBdr>
    </w:div>
    <w:div w:id="1538852540">
      <w:bodyDiv w:val="1"/>
      <w:marLeft w:val="0"/>
      <w:marRight w:val="0"/>
      <w:marTop w:val="0"/>
      <w:marBottom w:val="0"/>
      <w:divBdr>
        <w:top w:val="none" w:sz="0" w:space="0" w:color="auto"/>
        <w:left w:val="none" w:sz="0" w:space="0" w:color="auto"/>
        <w:bottom w:val="none" w:sz="0" w:space="0" w:color="auto"/>
        <w:right w:val="none" w:sz="0" w:space="0" w:color="auto"/>
      </w:divBdr>
    </w:div>
    <w:div w:id="1538853346">
      <w:bodyDiv w:val="1"/>
      <w:marLeft w:val="0"/>
      <w:marRight w:val="0"/>
      <w:marTop w:val="0"/>
      <w:marBottom w:val="0"/>
      <w:divBdr>
        <w:top w:val="none" w:sz="0" w:space="0" w:color="auto"/>
        <w:left w:val="none" w:sz="0" w:space="0" w:color="auto"/>
        <w:bottom w:val="none" w:sz="0" w:space="0" w:color="auto"/>
        <w:right w:val="none" w:sz="0" w:space="0" w:color="auto"/>
      </w:divBdr>
    </w:div>
    <w:div w:id="1538853957">
      <w:bodyDiv w:val="1"/>
      <w:marLeft w:val="0"/>
      <w:marRight w:val="0"/>
      <w:marTop w:val="0"/>
      <w:marBottom w:val="0"/>
      <w:divBdr>
        <w:top w:val="none" w:sz="0" w:space="0" w:color="auto"/>
        <w:left w:val="none" w:sz="0" w:space="0" w:color="auto"/>
        <w:bottom w:val="none" w:sz="0" w:space="0" w:color="auto"/>
        <w:right w:val="none" w:sz="0" w:space="0" w:color="auto"/>
      </w:divBdr>
    </w:div>
    <w:div w:id="1539001731">
      <w:bodyDiv w:val="1"/>
      <w:marLeft w:val="0"/>
      <w:marRight w:val="0"/>
      <w:marTop w:val="0"/>
      <w:marBottom w:val="0"/>
      <w:divBdr>
        <w:top w:val="none" w:sz="0" w:space="0" w:color="auto"/>
        <w:left w:val="none" w:sz="0" w:space="0" w:color="auto"/>
        <w:bottom w:val="none" w:sz="0" w:space="0" w:color="auto"/>
        <w:right w:val="none" w:sz="0" w:space="0" w:color="auto"/>
      </w:divBdr>
    </w:div>
    <w:div w:id="1539001936">
      <w:bodyDiv w:val="1"/>
      <w:marLeft w:val="0"/>
      <w:marRight w:val="0"/>
      <w:marTop w:val="0"/>
      <w:marBottom w:val="0"/>
      <w:divBdr>
        <w:top w:val="none" w:sz="0" w:space="0" w:color="auto"/>
        <w:left w:val="none" w:sz="0" w:space="0" w:color="auto"/>
        <w:bottom w:val="none" w:sz="0" w:space="0" w:color="auto"/>
        <w:right w:val="none" w:sz="0" w:space="0" w:color="auto"/>
      </w:divBdr>
    </w:div>
    <w:div w:id="1539005189">
      <w:bodyDiv w:val="1"/>
      <w:marLeft w:val="0"/>
      <w:marRight w:val="0"/>
      <w:marTop w:val="0"/>
      <w:marBottom w:val="0"/>
      <w:divBdr>
        <w:top w:val="none" w:sz="0" w:space="0" w:color="auto"/>
        <w:left w:val="none" w:sz="0" w:space="0" w:color="auto"/>
        <w:bottom w:val="none" w:sz="0" w:space="0" w:color="auto"/>
        <w:right w:val="none" w:sz="0" w:space="0" w:color="auto"/>
      </w:divBdr>
    </w:div>
    <w:div w:id="1539048935">
      <w:bodyDiv w:val="1"/>
      <w:marLeft w:val="0"/>
      <w:marRight w:val="0"/>
      <w:marTop w:val="0"/>
      <w:marBottom w:val="0"/>
      <w:divBdr>
        <w:top w:val="none" w:sz="0" w:space="0" w:color="auto"/>
        <w:left w:val="none" w:sz="0" w:space="0" w:color="auto"/>
        <w:bottom w:val="none" w:sz="0" w:space="0" w:color="auto"/>
        <w:right w:val="none" w:sz="0" w:space="0" w:color="auto"/>
      </w:divBdr>
    </w:div>
    <w:div w:id="1539394385">
      <w:bodyDiv w:val="1"/>
      <w:marLeft w:val="0"/>
      <w:marRight w:val="0"/>
      <w:marTop w:val="0"/>
      <w:marBottom w:val="0"/>
      <w:divBdr>
        <w:top w:val="none" w:sz="0" w:space="0" w:color="auto"/>
        <w:left w:val="none" w:sz="0" w:space="0" w:color="auto"/>
        <w:bottom w:val="none" w:sz="0" w:space="0" w:color="auto"/>
        <w:right w:val="none" w:sz="0" w:space="0" w:color="auto"/>
      </w:divBdr>
    </w:div>
    <w:div w:id="1539510053">
      <w:bodyDiv w:val="1"/>
      <w:marLeft w:val="0"/>
      <w:marRight w:val="0"/>
      <w:marTop w:val="0"/>
      <w:marBottom w:val="0"/>
      <w:divBdr>
        <w:top w:val="none" w:sz="0" w:space="0" w:color="auto"/>
        <w:left w:val="none" w:sz="0" w:space="0" w:color="auto"/>
        <w:bottom w:val="none" w:sz="0" w:space="0" w:color="auto"/>
        <w:right w:val="none" w:sz="0" w:space="0" w:color="auto"/>
      </w:divBdr>
    </w:div>
    <w:div w:id="1539582227">
      <w:bodyDiv w:val="1"/>
      <w:marLeft w:val="0"/>
      <w:marRight w:val="0"/>
      <w:marTop w:val="0"/>
      <w:marBottom w:val="0"/>
      <w:divBdr>
        <w:top w:val="none" w:sz="0" w:space="0" w:color="auto"/>
        <w:left w:val="none" w:sz="0" w:space="0" w:color="auto"/>
        <w:bottom w:val="none" w:sz="0" w:space="0" w:color="auto"/>
        <w:right w:val="none" w:sz="0" w:space="0" w:color="auto"/>
      </w:divBdr>
    </w:div>
    <w:div w:id="1539587619">
      <w:bodyDiv w:val="1"/>
      <w:marLeft w:val="0"/>
      <w:marRight w:val="0"/>
      <w:marTop w:val="0"/>
      <w:marBottom w:val="0"/>
      <w:divBdr>
        <w:top w:val="none" w:sz="0" w:space="0" w:color="auto"/>
        <w:left w:val="none" w:sz="0" w:space="0" w:color="auto"/>
        <w:bottom w:val="none" w:sz="0" w:space="0" w:color="auto"/>
        <w:right w:val="none" w:sz="0" w:space="0" w:color="auto"/>
      </w:divBdr>
    </w:div>
    <w:div w:id="1539707641">
      <w:bodyDiv w:val="1"/>
      <w:marLeft w:val="0"/>
      <w:marRight w:val="0"/>
      <w:marTop w:val="0"/>
      <w:marBottom w:val="0"/>
      <w:divBdr>
        <w:top w:val="none" w:sz="0" w:space="0" w:color="auto"/>
        <w:left w:val="none" w:sz="0" w:space="0" w:color="auto"/>
        <w:bottom w:val="none" w:sz="0" w:space="0" w:color="auto"/>
        <w:right w:val="none" w:sz="0" w:space="0" w:color="auto"/>
      </w:divBdr>
    </w:div>
    <w:div w:id="1539777819">
      <w:bodyDiv w:val="1"/>
      <w:marLeft w:val="0"/>
      <w:marRight w:val="0"/>
      <w:marTop w:val="0"/>
      <w:marBottom w:val="0"/>
      <w:divBdr>
        <w:top w:val="none" w:sz="0" w:space="0" w:color="auto"/>
        <w:left w:val="none" w:sz="0" w:space="0" w:color="auto"/>
        <w:bottom w:val="none" w:sz="0" w:space="0" w:color="auto"/>
        <w:right w:val="none" w:sz="0" w:space="0" w:color="auto"/>
      </w:divBdr>
    </w:div>
    <w:div w:id="1539778443">
      <w:bodyDiv w:val="1"/>
      <w:marLeft w:val="0"/>
      <w:marRight w:val="0"/>
      <w:marTop w:val="0"/>
      <w:marBottom w:val="0"/>
      <w:divBdr>
        <w:top w:val="none" w:sz="0" w:space="0" w:color="auto"/>
        <w:left w:val="none" w:sz="0" w:space="0" w:color="auto"/>
        <w:bottom w:val="none" w:sz="0" w:space="0" w:color="auto"/>
        <w:right w:val="none" w:sz="0" w:space="0" w:color="auto"/>
      </w:divBdr>
    </w:div>
    <w:div w:id="1539926851">
      <w:bodyDiv w:val="1"/>
      <w:marLeft w:val="0"/>
      <w:marRight w:val="0"/>
      <w:marTop w:val="0"/>
      <w:marBottom w:val="0"/>
      <w:divBdr>
        <w:top w:val="none" w:sz="0" w:space="0" w:color="auto"/>
        <w:left w:val="none" w:sz="0" w:space="0" w:color="auto"/>
        <w:bottom w:val="none" w:sz="0" w:space="0" w:color="auto"/>
        <w:right w:val="none" w:sz="0" w:space="0" w:color="auto"/>
      </w:divBdr>
    </w:div>
    <w:div w:id="1539926996">
      <w:bodyDiv w:val="1"/>
      <w:marLeft w:val="0"/>
      <w:marRight w:val="0"/>
      <w:marTop w:val="0"/>
      <w:marBottom w:val="0"/>
      <w:divBdr>
        <w:top w:val="none" w:sz="0" w:space="0" w:color="auto"/>
        <w:left w:val="none" w:sz="0" w:space="0" w:color="auto"/>
        <w:bottom w:val="none" w:sz="0" w:space="0" w:color="auto"/>
        <w:right w:val="none" w:sz="0" w:space="0" w:color="auto"/>
      </w:divBdr>
    </w:div>
    <w:div w:id="1539970837">
      <w:bodyDiv w:val="1"/>
      <w:marLeft w:val="0"/>
      <w:marRight w:val="0"/>
      <w:marTop w:val="0"/>
      <w:marBottom w:val="0"/>
      <w:divBdr>
        <w:top w:val="none" w:sz="0" w:space="0" w:color="auto"/>
        <w:left w:val="none" w:sz="0" w:space="0" w:color="auto"/>
        <w:bottom w:val="none" w:sz="0" w:space="0" w:color="auto"/>
        <w:right w:val="none" w:sz="0" w:space="0" w:color="auto"/>
      </w:divBdr>
    </w:div>
    <w:div w:id="1539971282">
      <w:bodyDiv w:val="1"/>
      <w:marLeft w:val="0"/>
      <w:marRight w:val="0"/>
      <w:marTop w:val="0"/>
      <w:marBottom w:val="0"/>
      <w:divBdr>
        <w:top w:val="none" w:sz="0" w:space="0" w:color="auto"/>
        <w:left w:val="none" w:sz="0" w:space="0" w:color="auto"/>
        <w:bottom w:val="none" w:sz="0" w:space="0" w:color="auto"/>
        <w:right w:val="none" w:sz="0" w:space="0" w:color="auto"/>
      </w:divBdr>
    </w:div>
    <w:div w:id="1540049724">
      <w:bodyDiv w:val="1"/>
      <w:marLeft w:val="0"/>
      <w:marRight w:val="0"/>
      <w:marTop w:val="0"/>
      <w:marBottom w:val="0"/>
      <w:divBdr>
        <w:top w:val="none" w:sz="0" w:space="0" w:color="auto"/>
        <w:left w:val="none" w:sz="0" w:space="0" w:color="auto"/>
        <w:bottom w:val="none" w:sz="0" w:space="0" w:color="auto"/>
        <w:right w:val="none" w:sz="0" w:space="0" w:color="auto"/>
      </w:divBdr>
    </w:div>
    <w:div w:id="1540122791">
      <w:bodyDiv w:val="1"/>
      <w:marLeft w:val="0"/>
      <w:marRight w:val="0"/>
      <w:marTop w:val="0"/>
      <w:marBottom w:val="0"/>
      <w:divBdr>
        <w:top w:val="none" w:sz="0" w:space="0" w:color="auto"/>
        <w:left w:val="none" w:sz="0" w:space="0" w:color="auto"/>
        <w:bottom w:val="none" w:sz="0" w:space="0" w:color="auto"/>
        <w:right w:val="none" w:sz="0" w:space="0" w:color="auto"/>
      </w:divBdr>
    </w:div>
    <w:div w:id="1540128200">
      <w:bodyDiv w:val="1"/>
      <w:marLeft w:val="0"/>
      <w:marRight w:val="0"/>
      <w:marTop w:val="0"/>
      <w:marBottom w:val="0"/>
      <w:divBdr>
        <w:top w:val="none" w:sz="0" w:space="0" w:color="auto"/>
        <w:left w:val="none" w:sz="0" w:space="0" w:color="auto"/>
        <w:bottom w:val="none" w:sz="0" w:space="0" w:color="auto"/>
        <w:right w:val="none" w:sz="0" w:space="0" w:color="auto"/>
      </w:divBdr>
    </w:div>
    <w:div w:id="1540241752">
      <w:bodyDiv w:val="1"/>
      <w:marLeft w:val="0"/>
      <w:marRight w:val="0"/>
      <w:marTop w:val="0"/>
      <w:marBottom w:val="0"/>
      <w:divBdr>
        <w:top w:val="none" w:sz="0" w:space="0" w:color="auto"/>
        <w:left w:val="none" w:sz="0" w:space="0" w:color="auto"/>
        <w:bottom w:val="none" w:sz="0" w:space="0" w:color="auto"/>
        <w:right w:val="none" w:sz="0" w:space="0" w:color="auto"/>
      </w:divBdr>
    </w:div>
    <w:div w:id="1540363131">
      <w:bodyDiv w:val="1"/>
      <w:marLeft w:val="0"/>
      <w:marRight w:val="0"/>
      <w:marTop w:val="0"/>
      <w:marBottom w:val="0"/>
      <w:divBdr>
        <w:top w:val="none" w:sz="0" w:space="0" w:color="auto"/>
        <w:left w:val="none" w:sz="0" w:space="0" w:color="auto"/>
        <w:bottom w:val="none" w:sz="0" w:space="0" w:color="auto"/>
        <w:right w:val="none" w:sz="0" w:space="0" w:color="auto"/>
      </w:divBdr>
    </w:div>
    <w:div w:id="1540507071">
      <w:bodyDiv w:val="1"/>
      <w:marLeft w:val="0"/>
      <w:marRight w:val="0"/>
      <w:marTop w:val="0"/>
      <w:marBottom w:val="0"/>
      <w:divBdr>
        <w:top w:val="none" w:sz="0" w:space="0" w:color="auto"/>
        <w:left w:val="none" w:sz="0" w:space="0" w:color="auto"/>
        <w:bottom w:val="none" w:sz="0" w:space="0" w:color="auto"/>
        <w:right w:val="none" w:sz="0" w:space="0" w:color="auto"/>
      </w:divBdr>
    </w:div>
    <w:div w:id="1540513362">
      <w:bodyDiv w:val="1"/>
      <w:marLeft w:val="0"/>
      <w:marRight w:val="0"/>
      <w:marTop w:val="0"/>
      <w:marBottom w:val="0"/>
      <w:divBdr>
        <w:top w:val="none" w:sz="0" w:space="0" w:color="auto"/>
        <w:left w:val="none" w:sz="0" w:space="0" w:color="auto"/>
        <w:bottom w:val="none" w:sz="0" w:space="0" w:color="auto"/>
        <w:right w:val="none" w:sz="0" w:space="0" w:color="auto"/>
      </w:divBdr>
    </w:div>
    <w:div w:id="1540630500">
      <w:bodyDiv w:val="1"/>
      <w:marLeft w:val="0"/>
      <w:marRight w:val="0"/>
      <w:marTop w:val="0"/>
      <w:marBottom w:val="0"/>
      <w:divBdr>
        <w:top w:val="none" w:sz="0" w:space="0" w:color="auto"/>
        <w:left w:val="none" w:sz="0" w:space="0" w:color="auto"/>
        <w:bottom w:val="none" w:sz="0" w:space="0" w:color="auto"/>
        <w:right w:val="none" w:sz="0" w:space="0" w:color="auto"/>
      </w:divBdr>
    </w:div>
    <w:div w:id="1540779977">
      <w:bodyDiv w:val="1"/>
      <w:marLeft w:val="0"/>
      <w:marRight w:val="0"/>
      <w:marTop w:val="0"/>
      <w:marBottom w:val="0"/>
      <w:divBdr>
        <w:top w:val="none" w:sz="0" w:space="0" w:color="auto"/>
        <w:left w:val="none" w:sz="0" w:space="0" w:color="auto"/>
        <w:bottom w:val="none" w:sz="0" w:space="0" w:color="auto"/>
        <w:right w:val="none" w:sz="0" w:space="0" w:color="auto"/>
      </w:divBdr>
    </w:div>
    <w:div w:id="1540973312">
      <w:bodyDiv w:val="1"/>
      <w:marLeft w:val="0"/>
      <w:marRight w:val="0"/>
      <w:marTop w:val="0"/>
      <w:marBottom w:val="0"/>
      <w:divBdr>
        <w:top w:val="none" w:sz="0" w:space="0" w:color="auto"/>
        <w:left w:val="none" w:sz="0" w:space="0" w:color="auto"/>
        <w:bottom w:val="none" w:sz="0" w:space="0" w:color="auto"/>
        <w:right w:val="none" w:sz="0" w:space="0" w:color="auto"/>
      </w:divBdr>
    </w:div>
    <w:div w:id="1541235977">
      <w:bodyDiv w:val="1"/>
      <w:marLeft w:val="0"/>
      <w:marRight w:val="0"/>
      <w:marTop w:val="0"/>
      <w:marBottom w:val="0"/>
      <w:divBdr>
        <w:top w:val="none" w:sz="0" w:space="0" w:color="auto"/>
        <w:left w:val="none" w:sz="0" w:space="0" w:color="auto"/>
        <w:bottom w:val="none" w:sz="0" w:space="0" w:color="auto"/>
        <w:right w:val="none" w:sz="0" w:space="0" w:color="auto"/>
      </w:divBdr>
    </w:div>
    <w:div w:id="1541282418">
      <w:bodyDiv w:val="1"/>
      <w:marLeft w:val="0"/>
      <w:marRight w:val="0"/>
      <w:marTop w:val="0"/>
      <w:marBottom w:val="0"/>
      <w:divBdr>
        <w:top w:val="none" w:sz="0" w:space="0" w:color="auto"/>
        <w:left w:val="none" w:sz="0" w:space="0" w:color="auto"/>
        <w:bottom w:val="none" w:sz="0" w:space="0" w:color="auto"/>
        <w:right w:val="none" w:sz="0" w:space="0" w:color="auto"/>
      </w:divBdr>
    </w:div>
    <w:div w:id="1541285374">
      <w:bodyDiv w:val="1"/>
      <w:marLeft w:val="0"/>
      <w:marRight w:val="0"/>
      <w:marTop w:val="0"/>
      <w:marBottom w:val="0"/>
      <w:divBdr>
        <w:top w:val="none" w:sz="0" w:space="0" w:color="auto"/>
        <w:left w:val="none" w:sz="0" w:space="0" w:color="auto"/>
        <w:bottom w:val="none" w:sz="0" w:space="0" w:color="auto"/>
        <w:right w:val="none" w:sz="0" w:space="0" w:color="auto"/>
      </w:divBdr>
    </w:div>
    <w:div w:id="1541431009">
      <w:bodyDiv w:val="1"/>
      <w:marLeft w:val="0"/>
      <w:marRight w:val="0"/>
      <w:marTop w:val="0"/>
      <w:marBottom w:val="0"/>
      <w:divBdr>
        <w:top w:val="none" w:sz="0" w:space="0" w:color="auto"/>
        <w:left w:val="none" w:sz="0" w:space="0" w:color="auto"/>
        <w:bottom w:val="none" w:sz="0" w:space="0" w:color="auto"/>
        <w:right w:val="none" w:sz="0" w:space="0" w:color="auto"/>
      </w:divBdr>
    </w:div>
    <w:div w:id="1541550351">
      <w:bodyDiv w:val="1"/>
      <w:marLeft w:val="0"/>
      <w:marRight w:val="0"/>
      <w:marTop w:val="0"/>
      <w:marBottom w:val="0"/>
      <w:divBdr>
        <w:top w:val="none" w:sz="0" w:space="0" w:color="auto"/>
        <w:left w:val="none" w:sz="0" w:space="0" w:color="auto"/>
        <w:bottom w:val="none" w:sz="0" w:space="0" w:color="auto"/>
        <w:right w:val="none" w:sz="0" w:space="0" w:color="auto"/>
      </w:divBdr>
    </w:div>
    <w:div w:id="1541550898">
      <w:bodyDiv w:val="1"/>
      <w:marLeft w:val="0"/>
      <w:marRight w:val="0"/>
      <w:marTop w:val="0"/>
      <w:marBottom w:val="0"/>
      <w:divBdr>
        <w:top w:val="none" w:sz="0" w:space="0" w:color="auto"/>
        <w:left w:val="none" w:sz="0" w:space="0" w:color="auto"/>
        <w:bottom w:val="none" w:sz="0" w:space="0" w:color="auto"/>
        <w:right w:val="none" w:sz="0" w:space="0" w:color="auto"/>
      </w:divBdr>
    </w:div>
    <w:div w:id="1541625445">
      <w:bodyDiv w:val="1"/>
      <w:marLeft w:val="0"/>
      <w:marRight w:val="0"/>
      <w:marTop w:val="0"/>
      <w:marBottom w:val="0"/>
      <w:divBdr>
        <w:top w:val="none" w:sz="0" w:space="0" w:color="auto"/>
        <w:left w:val="none" w:sz="0" w:space="0" w:color="auto"/>
        <w:bottom w:val="none" w:sz="0" w:space="0" w:color="auto"/>
        <w:right w:val="none" w:sz="0" w:space="0" w:color="auto"/>
      </w:divBdr>
    </w:div>
    <w:div w:id="1541670212">
      <w:bodyDiv w:val="1"/>
      <w:marLeft w:val="0"/>
      <w:marRight w:val="0"/>
      <w:marTop w:val="0"/>
      <w:marBottom w:val="0"/>
      <w:divBdr>
        <w:top w:val="none" w:sz="0" w:space="0" w:color="auto"/>
        <w:left w:val="none" w:sz="0" w:space="0" w:color="auto"/>
        <w:bottom w:val="none" w:sz="0" w:space="0" w:color="auto"/>
        <w:right w:val="none" w:sz="0" w:space="0" w:color="auto"/>
      </w:divBdr>
    </w:div>
    <w:div w:id="1541701400">
      <w:bodyDiv w:val="1"/>
      <w:marLeft w:val="0"/>
      <w:marRight w:val="0"/>
      <w:marTop w:val="0"/>
      <w:marBottom w:val="0"/>
      <w:divBdr>
        <w:top w:val="none" w:sz="0" w:space="0" w:color="auto"/>
        <w:left w:val="none" w:sz="0" w:space="0" w:color="auto"/>
        <w:bottom w:val="none" w:sz="0" w:space="0" w:color="auto"/>
        <w:right w:val="none" w:sz="0" w:space="0" w:color="auto"/>
      </w:divBdr>
    </w:div>
    <w:div w:id="1541816463">
      <w:bodyDiv w:val="1"/>
      <w:marLeft w:val="0"/>
      <w:marRight w:val="0"/>
      <w:marTop w:val="0"/>
      <w:marBottom w:val="0"/>
      <w:divBdr>
        <w:top w:val="none" w:sz="0" w:space="0" w:color="auto"/>
        <w:left w:val="none" w:sz="0" w:space="0" w:color="auto"/>
        <w:bottom w:val="none" w:sz="0" w:space="0" w:color="auto"/>
        <w:right w:val="none" w:sz="0" w:space="0" w:color="auto"/>
      </w:divBdr>
    </w:div>
    <w:div w:id="1541825390">
      <w:bodyDiv w:val="1"/>
      <w:marLeft w:val="0"/>
      <w:marRight w:val="0"/>
      <w:marTop w:val="0"/>
      <w:marBottom w:val="0"/>
      <w:divBdr>
        <w:top w:val="none" w:sz="0" w:space="0" w:color="auto"/>
        <w:left w:val="none" w:sz="0" w:space="0" w:color="auto"/>
        <w:bottom w:val="none" w:sz="0" w:space="0" w:color="auto"/>
        <w:right w:val="none" w:sz="0" w:space="0" w:color="auto"/>
      </w:divBdr>
    </w:div>
    <w:div w:id="1541865765">
      <w:bodyDiv w:val="1"/>
      <w:marLeft w:val="0"/>
      <w:marRight w:val="0"/>
      <w:marTop w:val="0"/>
      <w:marBottom w:val="0"/>
      <w:divBdr>
        <w:top w:val="none" w:sz="0" w:space="0" w:color="auto"/>
        <w:left w:val="none" w:sz="0" w:space="0" w:color="auto"/>
        <w:bottom w:val="none" w:sz="0" w:space="0" w:color="auto"/>
        <w:right w:val="none" w:sz="0" w:space="0" w:color="auto"/>
      </w:divBdr>
    </w:div>
    <w:div w:id="1541867438">
      <w:bodyDiv w:val="1"/>
      <w:marLeft w:val="0"/>
      <w:marRight w:val="0"/>
      <w:marTop w:val="0"/>
      <w:marBottom w:val="0"/>
      <w:divBdr>
        <w:top w:val="none" w:sz="0" w:space="0" w:color="auto"/>
        <w:left w:val="none" w:sz="0" w:space="0" w:color="auto"/>
        <w:bottom w:val="none" w:sz="0" w:space="0" w:color="auto"/>
        <w:right w:val="none" w:sz="0" w:space="0" w:color="auto"/>
      </w:divBdr>
    </w:div>
    <w:div w:id="1541892536">
      <w:bodyDiv w:val="1"/>
      <w:marLeft w:val="0"/>
      <w:marRight w:val="0"/>
      <w:marTop w:val="0"/>
      <w:marBottom w:val="0"/>
      <w:divBdr>
        <w:top w:val="none" w:sz="0" w:space="0" w:color="auto"/>
        <w:left w:val="none" w:sz="0" w:space="0" w:color="auto"/>
        <w:bottom w:val="none" w:sz="0" w:space="0" w:color="auto"/>
        <w:right w:val="none" w:sz="0" w:space="0" w:color="auto"/>
      </w:divBdr>
    </w:div>
    <w:div w:id="1541896246">
      <w:bodyDiv w:val="1"/>
      <w:marLeft w:val="0"/>
      <w:marRight w:val="0"/>
      <w:marTop w:val="0"/>
      <w:marBottom w:val="0"/>
      <w:divBdr>
        <w:top w:val="none" w:sz="0" w:space="0" w:color="auto"/>
        <w:left w:val="none" w:sz="0" w:space="0" w:color="auto"/>
        <w:bottom w:val="none" w:sz="0" w:space="0" w:color="auto"/>
        <w:right w:val="none" w:sz="0" w:space="0" w:color="auto"/>
      </w:divBdr>
    </w:div>
    <w:div w:id="1541896265">
      <w:bodyDiv w:val="1"/>
      <w:marLeft w:val="0"/>
      <w:marRight w:val="0"/>
      <w:marTop w:val="0"/>
      <w:marBottom w:val="0"/>
      <w:divBdr>
        <w:top w:val="none" w:sz="0" w:space="0" w:color="auto"/>
        <w:left w:val="none" w:sz="0" w:space="0" w:color="auto"/>
        <w:bottom w:val="none" w:sz="0" w:space="0" w:color="auto"/>
        <w:right w:val="none" w:sz="0" w:space="0" w:color="auto"/>
      </w:divBdr>
    </w:div>
    <w:div w:id="1542085366">
      <w:bodyDiv w:val="1"/>
      <w:marLeft w:val="0"/>
      <w:marRight w:val="0"/>
      <w:marTop w:val="0"/>
      <w:marBottom w:val="0"/>
      <w:divBdr>
        <w:top w:val="none" w:sz="0" w:space="0" w:color="auto"/>
        <w:left w:val="none" w:sz="0" w:space="0" w:color="auto"/>
        <w:bottom w:val="none" w:sz="0" w:space="0" w:color="auto"/>
        <w:right w:val="none" w:sz="0" w:space="0" w:color="auto"/>
      </w:divBdr>
    </w:div>
    <w:div w:id="1542087300">
      <w:bodyDiv w:val="1"/>
      <w:marLeft w:val="0"/>
      <w:marRight w:val="0"/>
      <w:marTop w:val="0"/>
      <w:marBottom w:val="0"/>
      <w:divBdr>
        <w:top w:val="none" w:sz="0" w:space="0" w:color="auto"/>
        <w:left w:val="none" w:sz="0" w:space="0" w:color="auto"/>
        <w:bottom w:val="none" w:sz="0" w:space="0" w:color="auto"/>
        <w:right w:val="none" w:sz="0" w:space="0" w:color="auto"/>
      </w:divBdr>
    </w:div>
    <w:div w:id="1542090381">
      <w:bodyDiv w:val="1"/>
      <w:marLeft w:val="0"/>
      <w:marRight w:val="0"/>
      <w:marTop w:val="0"/>
      <w:marBottom w:val="0"/>
      <w:divBdr>
        <w:top w:val="none" w:sz="0" w:space="0" w:color="auto"/>
        <w:left w:val="none" w:sz="0" w:space="0" w:color="auto"/>
        <w:bottom w:val="none" w:sz="0" w:space="0" w:color="auto"/>
        <w:right w:val="none" w:sz="0" w:space="0" w:color="auto"/>
      </w:divBdr>
    </w:div>
    <w:div w:id="1542093668">
      <w:bodyDiv w:val="1"/>
      <w:marLeft w:val="0"/>
      <w:marRight w:val="0"/>
      <w:marTop w:val="0"/>
      <w:marBottom w:val="0"/>
      <w:divBdr>
        <w:top w:val="none" w:sz="0" w:space="0" w:color="auto"/>
        <w:left w:val="none" w:sz="0" w:space="0" w:color="auto"/>
        <w:bottom w:val="none" w:sz="0" w:space="0" w:color="auto"/>
        <w:right w:val="none" w:sz="0" w:space="0" w:color="auto"/>
      </w:divBdr>
    </w:div>
    <w:div w:id="1542134377">
      <w:bodyDiv w:val="1"/>
      <w:marLeft w:val="0"/>
      <w:marRight w:val="0"/>
      <w:marTop w:val="0"/>
      <w:marBottom w:val="0"/>
      <w:divBdr>
        <w:top w:val="none" w:sz="0" w:space="0" w:color="auto"/>
        <w:left w:val="none" w:sz="0" w:space="0" w:color="auto"/>
        <w:bottom w:val="none" w:sz="0" w:space="0" w:color="auto"/>
        <w:right w:val="none" w:sz="0" w:space="0" w:color="auto"/>
      </w:divBdr>
    </w:div>
    <w:div w:id="1542135167">
      <w:bodyDiv w:val="1"/>
      <w:marLeft w:val="0"/>
      <w:marRight w:val="0"/>
      <w:marTop w:val="0"/>
      <w:marBottom w:val="0"/>
      <w:divBdr>
        <w:top w:val="none" w:sz="0" w:space="0" w:color="auto"/>
        <w:left w:val="none" w:sz="0" w:space="0" w:color="auto"/>
        <w:bottom w:val="none" w:sz="0" w:space="0" w:color="auto"/>
        <w:right w:val="none" w:sz="0" w:space="0" w:color="auto"/>
      </w:divBdr>
    </w:div>
    <w:div w:id="1542398625">
      <w:bodyDiv w:val="1"/>
      <w:marLeft w:val="0"/>
      <w:marRight w:val="0"/>
      <w:marTop w:val="0"/>
      <w:marBottom w:val="0"/>
      <w:divBdr>
        <w:top w:val="none" w:sz="0" w:space="0" w:color="auto"/>
        <w:left w:val="none" w:sz="0" w:space="0" w:color="auto"/>
        <w:bottom w:val="none" w:sz="0" w:space="0" w:color="auto"/>
        <w:right w:val="none" w:sz="0" w:space="0" w:color="auto"/>
      </w:divBdr>
    </w:div>
    <w:div w:id="1542400309">
      <w:bodyDiv w:val="1"/>
      <w:marLeft w:val="0"/>
      <w:marRight w:val="0"/>
      <w:marTop w:val="0"/>
      <w:marBottom w:val="0"/>
      <w:divBdr>
        <w:top w:val="none" w:sz="0" w:space="0" w:color="auto"/>
        <w:left w:val="none" w:sz="0" w:space="0" w:color="auto"/>
        <w:bottom w:val="none" w:sz="0" w:space="0" w:color="auto"/>
        <w:right w:val="none" w:sz="0" w:space="0" w:color="auto"/>
      </w:divBdr>
    </w:div>
    <w:div w:id="1542475560">
      <w:bodyDiv w:val="1"/>
      <w:marLeft w:val="0"/>
      <w:marRight w:val="0"/>
      <w:marTop w:val="0"/>
      <w:marBottom w:val="0"/>
      <w:divBdr>
        <w:top w:val="none" w:sz="0" w:space="0" w:color="auto"/>
        <w:left w:val="none" w:sz="0" w:space="0" w:color="auto"/>
        <w:bottom w:val="none" w:sz="0" w:space="0" w:color="auto"/>
        <w:right w:val="none" w:sz="0" w:space="0" w:color="auto"/>
      </w:divBdr>
    </w:div>
    <w:div w:id="1542594081">
      <w:bodyDiv w:val="1"/>
      <w:marLeft w:val="0"/>
      <w:marRight w:val="0"/>
      <w:marTop w:val="0"/>
      <w:marBottom w:val="0"/>
      <w:divBdr>
        <w:top w:val="none" w:sz="0" w:space="0" w:color="auto"/>
        <w:left w:val="none" w:sz="0" w:space="0" w:color="auto"/>
        <w:bottom w:val="none" w:sz="0" w:space="0" w:color="auto"/>
        <w:right w:val="none" w:sz="0" w:space="0" w:color="auto"/>
      </w:divBdr>
    </w:div>
    <w:div w:id="1542749124">
      <w:bodyDiv w:val="1"/>
      <w:marLeft w:val="0"/>
      <w:marRight w:val="0"/>
      <w:marTop w:val="0"/>
      <w:marBottom w:val="0"/>
      <w:divBdr>
        <w:top w:val="none" w:sz="0" w:space="0" w:color="auto"/>
        <w:left w:val="none" w:sz="0" w:space="0" w:color="auto"/>
        <w:bottom w:val="none" w:sz="0" w:space="0" w:color="auto"/>
        <w:right w:val="none" w:sz="0" w:space="0" w:color="auto"/>
      </w:divBdr>
    </w:div>
    <w:div w:id="1542783776">
      <w:bodyDiv w:val="1"/>
      <w:marLeft w:val="0"/>
      <w:marRight w:val="0"/>
      <w:marTop w:val="0"/>
      <w:marBottom w:val="0"/>
      <w:divBdr>
        <w:top w:val="none" w:sz="0" w:space="0" w:color="auto"/>
        <w:left w:val="none" w:sz="0" w:space="0" w:color="auto"/>
        <w:bottom w:val="none" w:sz="0" w:space="0" w:color="auto"/>
        <w:right w:val="none" w:sz="0" w:space="0" w:color="auto"/>
      </w:divBdr>
    </w:div>
    <w:div w:id="1542789541">
      <w:bodyDiv w:val="1"/>
      <w:marLeft w:val="0"/>
      <w:marRight w:val="0"/>
      <w:marTop w:val="0"/>
      <w:marBottom w:val="0"/>
      <w:divBdr>
        <w:top w:val="none" w:sz="0" w:space="0" w:color="auto"/>
        <w:left w:val="none" w:sz="0" w:space="0" w:color="auto"/>
        <w:bottom w:val="none" w:sz="0" w:space="0" w:color="auto"/>
        <w:right w:val="none" w:sz="0" w:space="0" w:color="auto"/>
      </w:divBdr>
    </w:div>
    <w:div w:id="1542933396">
      <w:bodyDiv w:val="1"/>
      <w:marLeft w:val="0"/>
      <w:marRight w:val="0"/>
      <w:marTop w:val="0"/>
      <w:marBottom w:val="0"/>
      <w:divBdr>
        <w:top w:val="none" w:sz="0" w:space="0" w:color="auto"/>
        <w:left w:val="none" w:sz="0" w:space="0" w:color="auto"/>
        <w:bottom w:val="none" w:sz="0" w:space="0" w:color="auto"/>
        <w:right w:val="none" w:sz="0" w:space="0" w:color="auto"/>
      </w:divBdr>
    </w:div>
    <w:div w:id="1542938933">
      <w:bodyDiv w:val="1"/>
      <w:marLeft w:val="0"/>
      <w:marRight w:val="0"/>
      <w:marTop w:val="0"/>
      <w:marBottom w:val="0"/>
      <w:divBdr>
        <w:top w:val="none" w:sz="0" w:space="0" w:color="auto"/>
        <w:left w:val="none" w:sz="0" w:space="0" w:color="auto"/>
        <w:bottom w:val="none" w:sz="0" w:space="0" w:color="auto"/>
        <w:right w:val="none" w:sz="0" w:space="0" w:color="auto"/>
      </w:divBdr>
    </w:div>
    <w:div w:id="1542983948">
      <w:bodyDiv w:val="1"/>
      <w:marLeft w:val="0"/>
      <w:marRight w:val="0"/>
      <w:marTop w:val="0"/>
      <w:marBottom w:val="0"/>
      <w:divBdr>
        <w:top w:val="none" w:sz="0" w:space="0" w:color="auto"/>
        <w:left w:val="none" w:sz="0" w:space="0" w:color="auto"/>
        <w:bottom w:val="none" w:sz="0" w:space="0" w:color="auto"/>
        <w:right w:val="none" w:sz="0" w:space="0" w:color="auto"/>
      </w:divBdr>
    </w:div>
    <w:div w:id="1543010128">
      <w:bodyDiv w:val="1"/>
      <w:marLeft w:val="0"/>
      <w:marRight w:val="0"/>
      <w:marTop w:val="0"/>
      <w:marBottom w:val="0"/>
      <w:divBdr>
        <w:top w:val="none" w:sz="0" w:space="0" w:color="auto"/>
        <w:left w:val="none" w:sz="0" w:space="0" w:color="auto"/>
        <w:bottom w:val="none" w:sz="0" w:space="0" w:color="auto"/>
        <w:right w:val="none" w:sz="0" w:space="0" w:color="auto"/>
      </w:divBdr>
    </w:div>
    <w:div w:id="1543055350">
      <w:bodyDiv w:val="1"/>
      <w:marLeft w:val="0"/>
      <w:marRight w:val="0"/>
      <w:marTop w:val="0"/>
      <w:marBottom w:val="0"/>
      <w:divBdr>
        <w:top w:val="none" w:sz="0" w:space="0" w:color="auto"/>
        <w:left w:val="none" w:sz="0" w:space="0" w:color="auto"/>
        <w:bottom w:val="none" w:sz="0" w:space="0" w:color="auto"/>
        <w:right w:val="none" w:sz="0" w:space="0" w:color="auto"/>
      </w:divBdr>
    </w:div>
    <w:div w:id="1543205048">
      <w:bodyDiv w:val="1"/>
      <w:marLeft w:val="0"/>
      <w:marRight w:val="0"/>
      <w:marTop w:val="0"/>
      <w:marBottom w:val="0"/>
      <w:divBdr>
        <w:top w:val="none" w:sz="0" w:space="0" w:color="auto"/>
        <w:left w:val="none" w:sz="0" w:space="0" w:color="auto"/>
        <w:bottom w:val="none" w:sz="0" w:space="0" w:color="auto"/>
        <w:right w:val="none" w:sz="0" w:space="0" w:color="auto"/>
      </w:divBdr>
    </w:div>
    <w:div w:id="1543248116">
      <w:bodyDiv w:val="1"/>
      <w:marLeft w:val="0"/>
      <w:marRight w:val="0"/>
      <w:marTop w:val="0"/>
      <w:marBottom w:val="0"/>
      <w:divBdr>
        <w:top w:val="none" w:sz="0" w:space="0" w:color="auto"/>
        <w:left w:val="none" w:sz="0" w:space="0" w:color="auto"/>
        <w:bottom w:val="none" w:sz="0" w:space="0" w:color="auto"/>
        <w:right w:val="none" w:sz="0" w:space="0" w:color="auto"/>
      </w:divBdr>
    </w:div>
    <w:div w:id="1543590692">
      <w:bodyDiv w:val="1"/>
      <w:marLeft w:val="0"/>
      <w:marRight w:val="0"/>
      <w:marTop w:val="0"/>
      <w:marBottom w:val="0"/>
      <w:divBdr>
        <w:top w:val="none" w:sz="0" w:space="0" w:color="auto"/>
        <w:left w:val="none" w:sz="0" w:space="0" w:color="auto"/>
        <w:bottom w:val="none" w:sz="0" w:space="0" w:color="auto"/>
        <w:right w:val="none" w:sz="0" w:space="0" w:color="auto"/>
      </w:divBdr>
    </w:div>
    <w:div w:id="1543664772">
      <w:bodyDiv w:val="1"/>
      <w:marLeft w:val="0"/>
      <w:marRight w:val="0"/>
      <w:marTop w:val="0"/>
      <w:marBottom w:val="0"/>
      <w:divBdr>
        <w:top w:val="none" w:sz="0" w:space="0" w:color="auto"/>
        <w:left w:val="none" w:sz="0" w:space="0" w:color="auto"/>
        <w:bottom w:val="none" w:sz="0" w:space="0" w:color="auto"/>
        <w:right w:val="none" w:sz="0" w:space="0" w:color="auto"/>
      </w:divBdr>
    </w:div>
    <w:div w:id="1543906730">
      <w:bodyDiv w:val="1"/>
      <w:marLeft w:val="0"/>
      <w:marRight w:val="0"/>
      <w:marTop w:val="0"/>
      <w:marBottom w:val="0"/>
      <w:divBdr>
        <w:top w:val="none" w:sz="0" w:space="0" w:color="auto"/>
        <w:left w:val="none" w:sz="0" w:space="0" w:color="auto"/>
        <w:bottom w:val="none" w:sz="0" w:space="0" w:color="auto"/>
        <w:right w:val="none" w:sz="0" w:space="0" w:color="auto"/>
      </w:divBdr>
    </w:div>
    <w:div w:id="1544099060">
      <w:bodyDiv w:val="1"/>
      <w:marLeft w:val="0"/>
      <w:marRight w:val="0"/>
      <w:marTop w:val="0"/>
      <w:marBottom w:val="0"/>
      <w:divBdr>
        <w:top w:val="none" w:sz="0" w:space="0" w:color="auto"/>
        <w:left w:val="none" w:sz="0" w:space="0" w:color="auto"/>
        <w:bottom w:val="none" w:sz="0" w:space="0" w:color="auto"/>
        <w:right w:val="none" w:sz="0" w:space="0" w:color="auto"/>
      </w:divBdr>
    </w:div>
    <w:div w:id="1544176257">
      <w:bodyDiv w:val="1"/>
      <w:marLeft w:val="0"/>
      <w:marRight w:val="0"/>
      <w:marTop w:val="0"/>
      <w:marBottom w:val="0"/>
      <w:divBdr>
        <w:top w:val="none" w:sz="0" w:space="0" w:color="auto"/>
        <w:left w:val="none" w:sz="0" w:space="0" w:color="auto"/>
        <w:bottom w:val="none" w:sz="0" w:space="0" w:color="auto"/>
        <w:right w:val="none" w:sz="0" w:space="0" w:color="auto"/>
      </w:divBdr>
    </w:div>
    <w:div w:id="1544319676">
      <w:bodyDiv w:val="1"/>
      <w:marLeft w:val="0"/>
      <w:marRight w:val="0"/>
      <w:marTop w:val="0"/>
      <w:marBottom w:val="0"/>
      <w:divBdr>
        <w:top w:val="none" w:sz="0" w:space="0" w:color="auto"/>
        <w:left w:val="none" w:sz="0" w:space="0" w:color="auto"/>
        <w:bottom w:val="none" w:sz="0" w:space="0" w:color="auto"/>
        <w:right w:val="none" w:sz="0" w:space="0" w:color="auto"/>
      </w:divBdr>
    </w:div>
    <w:div w:id="1544366790">
      <w:bodyDiv w:val="1"/>
      <w:marLeft w:val="0"/>
      <w:marRight w:val="0"/>
      <w:marTop w:val="0"/>
      <w:marBottom w:val="0"/>
      <w:divBdr>
        <w:top w:val="none" w:sz="0" w:space="0" w:color="auto"/>
        <w:left w:val="none" w:sz="0" w:space="0" w:color="auto"/>
        <w:bottom w:val="none" w:sz="0" w:space="0" w:color="auto"/>
        <w:right w:val="none" w:sz="0" w:space="0" w:color="auto"/>
      </w:divBdr>
    </w:div>
    <w:div w:id="1544632440">
      <w:bodyDiv w:val="1"/>
      <w:marLeft w:val="0"/>
      <w:marRight w:val="0"/>
      <w:marTop w:val="0"/>
      <w:marBottom w:val="0"/>
      <w:divBdr>
        <w:top w:val="none" w:sz="0" w:space="0" w:color="auto"/>
        <w:left w:val="none" w:sz="0" w:space="0" w:color="auto"/>
        <w:bottom w:val="none" w:sz="0" w:space="0" w:color="auto"/>
        <w:right w:val="none" w:sz="0" w:space="0" w:color="auto"/>
      </w:divBdr>
    </w:div>
    <w:div w:id="1544901031">
      <w:bodyDiv w:val="1"/>
      <w:marLeft w:val="0"/>
      <w:marRight w:val="0"/>
      <w:marTop w:val="0"/>
      <w:marBottom w:val="0"/>
      <w:divBdr>
        <w:top w:val="none" w:sz="0" w:space="0" w:color="auto"/>
        <w:left w:val="none" w:sz="0" w:space="0" w:color="auto"/>
        <w:bottom w:val="none" w:sz="0" w:space="0" w:color="auto"/>
        <w:right w:val="none" w:sz="0" w:space="0" w:color="auto"/>
      </w:divBdr>
    </w:div>
    <w:div w:id="1544903439">
      <w:bodyDiv w:val="1"/>
      <w:marLeft w:val="0"/>
      <w:marRight w:val="0"/>
      <w:marTop w:val="0"/>
      <w:marBottom w:val="0"/>
      <w:divBdr>
        <w:top w:val="none" w:sz="0" w:space="0" w:color="auto"/>
        <w:left w:val="none" w:sz="0" w:space="0" w:color="auto"/>
        <w:bottom w:val="none" w:sz="0" w:space="0" w:color="auto"/>
        <w:right w:val="none" w:sz="0" w:space="0" w:color="auto"/>
      </w:divBdr>
    </w:div>
    <w:div w:id="1544946296">
      <w:bodyDiv w:val="1"/>
      <w:marLeft w:val="0"/>
      <w:marRight w:val="0"/>
      <w:marTop w:val="0"/>
      <w:marBottom w:val="0"/>
      <w:divBdr>
        <w:top w:val="none" w:sz="0" w:space="0" w:color="auto"/>
        <w:left w:val="none" w:sz="0" w:space="0" w:color="auto"/>
        <w:bottom w:val="none" w:sz="0" w:space="0" w:color="auto"/>
        <w:right w:val="none" w:sz="0" w:space="0" w:color="auto"/>
      </w:divBdr>
    </w:div>
    <w:div w:id="1544950298">
      <w:bodyDiv w:val="1"/>
      <w:marLeft w:val="0"/>
      <w:marRight w:val="0"/>
      <w:marTop w:val="0"/>
      <w:marBottom w:val="0"/>
      <w:divBdr>
        <w:top w:val="none" w:sz="0" w:space="0" w:color="auto"/>
        <w:left w:val="none" w:sz="0" w:space="0" w:color="auto"/>
        <w:bottom w:val="none" w:sz="0" w:space="0" w:color="auto"/>
        <w:right w:val="none" w:sz="0" w:space="0" w:color="auto"/>
      </w:divBdr>
    </w:div>
    <w:div w:id="1545024593">
      <w:bodyDiv w:val="1"/>
      <w:marLeft w:val="0"/>
      <w:marRight w:val="0"/>
      <w:marTop w:val="0"/>
      <w:marBottom w:val="0"/>
      <w:divBdr>
        <w:top w:val="none" w:sz="0" w:space="0" w:color="auto"/>
        <w:left w:val="none" w:sz="0" w:space="0" w:color="auto"/>
        <w:bottom w:val="none" w:sz="0" w:space="0" w:color="auto"/>
        <w:right w:val="none" w:sz="0" w:space="0" w:color="auto"/>
      </w:divBdr>
    </w:div>
    <w:div w:id="1545100308">
      <w:bodyDiv w:val="1"/>
      <w:marLeft w:val="0"/>
      <w:marRight w:val="0"/>
      <w:marTop w:val="0"/>
      <w:marBottom w:val="0"/>
      <w:divBdr>
        <w:top w:val="none" w:sz="0" w:space="0" w:color="auto"/>
        <w:left w:val="none" w:sz="0" w:space="0" w:color="auto"/>
        <w:bottom w:val="none" w:sz="0" w:space="0" w:color="auto"/>
        <w:right w:val="none" w:sz="0" w:space="0" w:color="auto"/>
      </w:divBdr>
    </w:div>
    <w:div w:id="1545168354">
      <w:bodyDiv w:val="1"/>
      <w:marLeft w:val="0"/>
      <w:marRight w:val="0"/>
      <w:marTop w:val="0"/>
      <w:marBottom w:val="0"/>
      <w:divBdr>
        <w:top w:val="none" w:sz="0" w:space="0" w:color="auto"/>
        <w:left w:val="none" w:sz="0" w:space="0" w:color="auto"/>
        <w:bottom w:val="none" w:sz="0" w:space="0" w:color="auto"/>
        <w:right w:val="none" w:sz="0" w:space="0" w:color="auto"/>
      </w:divBdr>
    </w:div>
    <w:div w:id="1545212418">
      <w:bodyDiv w:val="1"/>
      <w:marLeft w:val="0"/>
      <w:marRight w:val="0"/>
      <w:marTop w:val="0"/>
      <w:marBottom w:val="0"/>
      <w:divBdr>
        <w:top w:val="none" w:sz="0" w:space="0" w:color="auto"/>
        <w:left w:val="none" w:sz="0" w:space="0" w:color="auto"/>
        <w:bottom w:val="none" w:sz="0" w:space="0" w:color="auto"/>
        <w:right w:val="none" w:sz="0" w:space="0" w:color="auto"/>
      </w:divBdr>
    </w:div>
    <w:div w:id="1545219355">
      <w:bodyDiv w:val="1"/>
      <w:marLeft w:val="0"/>
      <w:marRight w:val="0"/>
      <w:marTop w:val="0"/>
      <w:marBottom w:val="0"/>
      <w:divBdr>
        <w:top w:val="none" w:sz="0" w:space="0" w:color="auto"/>
        <w:left w:val="none" w:sz="0" w:space="0" w:color="auto"/>
        <w:bottom w:val="none" w:sz="0" w:space="0" w:color="auto"/>
        <w:right w:val="none" w:sz="0" w:space="0" w:color="auto"/>
      </w:divBdr>
    </w:div>
    <w:div w:id="1545286283">
      <w:bodyDiv w:val="1"/>
      <w:marLeft w:val="0"/>
      <w:marRight w:val="0"/>
      <w:marTop w:val="0"/>
      <w:marBottom w:val="0"/>
      <w:divBdr>
        <w:top w:val="none" w:sz="0" w:space="0" w:color="auto"/>
        <w:left w:val="none" w:sz="0" w:space="0" w:color="auto"/>
        <w:bottom w:val="none" w:sz="0" w:space="0" w:color="auto"/>
        <w:right w:val="none" w:sz="0" w:space="0" w:color="auto"/>
      </w:divBdr>
    </w:div>
    <w:div w:id="1545405184">
      <w:bodyDiv w:val="1"/>
      <w:marLeft w:val="0"/>
      <w:marRight w:val="0"/>
      <w:marTop w:val="0"/>
      <w:marBottom w:val="0"/>
      <w:divBdr>
        <w:top w:val="none" w:sz="0" w:space="0" w:color="auto"/>
        <w:left w:val="none" w:sz="0" w:space="0" w:color="auto"/>
        <w:bottom w:val="none" w:sz="0" w:space="0" w:color="auto"/>
        <w:right w:val="none" w:sz="0" w:space="0" w:color="auto"/>
      </w:divBdr>
    </w:div>
    <w:div w:id="1545480219">
      <w:bodyDiv w:val="1"/>
      <w:marLeft w:val="0"/>
      <w:marRight w:val="0"/>
      <w:marTop w:val="0"/>
      <w:marBottom w:val="0"/>
      <w:divBdr>
        <w:top w:val="none" w:sz="0" w:space="0" w:color="auto"/>
        <w:left w:val="none" w:sz="0" w:space="0" w:color="auto"/>
        <w:bottom w:val="none" w:sz="0" w:space="0" w:color="auto"/>
        <w:right w:val="none" w:sz="0" w:space="0" w:color="auto"/>
      </w:divBdr>
    </w:div>
    <w:div w:id="1545484790">
      <w:bodyDiv w:val="1"/>
      <w:marLeft w:val="0"/>
      <w:marRight w:val="0"/>
      <w:marTop w:val="0"/>
      <w:marBottom w:val="0"/>
      <w:divBdr>
        <w:top w:val="none" w:sz="0" w:space="0" w:color="auto"/>
        <w:left w:val="none" w:sz="0" w:space="0" w:color="auto"/>
        <w:bottom w:val="none" w:sz="0" w:space="0" w:color="auto"/>
        <w:right w:val="none" w:sz="0" w:space="0" w:color="auto"/>
      </w:divBdr>
    </w:div>
    <w:div w:id="1545559307">
      <w:bodyDiv w:val="1"/>
      <w:marLeft w:val="0"/>
      <w:marRight w:val="0"/>
      <w:marTop w:val="0"/>
      <w:marBottom w:val="0"/>
      <w:divBdr>
        <w:top w:val="none" w:sz="0" w:space="0" w:color="auto"/>
        <w:left w:val="none" w:sz="0" w:space="0" w:color="auto"/>
        <w:bottom w:val="none" w:sz="0" w:space="0" w:color="auto"/>
        <w:right w:val="none" w:sz="0" w:space="0" w:color="auto"/>
      </w:divBdr>
    </w:div>
    <w:div w:id="1545632412">
      <w:bodyDiv w:val="1"/>
      <w:marLeft w:val="0"/>
      <w:marRight w:val="0"/>
      <w:marTop w:val="0"/>
      <w:marBottom w:val="0"/>
      <w:divBdr>
        <w:top w:val="none" w:sz="0" w:space="0" w:color="auto"/>
        <w:left w:val="none" w:sz="0" w:space="0" w:color="auto"/>
        <w:bottom w:val="none" w:sz="0" w:space="0" w:color="auto"/>
        <w:right w:val="none" w:sz="0" w:space="0" w:color="auto"/>
      </w:divBdr>
    </w:div>
    <w:div w:id="1545824527">
      <w:bodyDiv w:val="1"/>
      <w:marLeft w:val="0"/>
      <w:marRight w:val="0"/>
      <w:marTop w:val="0"/>
      <w:marBottom w:val="0"/>
      <w:divBdr>
        <w:top w:val="none" w:sz="0" w:space="0" w:color="auto"/>
        <w:left w:val="none" w:sz="0" w:space="0" w:color="auto"/>
        <w:bottom w:val="none" w:sz="0" w:space="0" w:color="auto"/>
        <w:right w:val="none" w:sz="0" w:space="0" w:color="auto"/>
      </w:divBdr>
    </w:div>
    <w:div w:id="1545868560">
      <w:bodyDiv w:val="1"/>
      <w:marLeft w:val="0"/>
      <w:marRight w:val="0"/>
      <w:marTop w:val="0"/>
      <w:marBottom w:val="0"/>
      <w:divBdr>
        <w:top w:val="none" w:sz="0" w:space="0" w:color="auto"/>
        <w:left w:val="none" w:sz="0" w:space="0" w:color="auto"/>
        <w:bottom w:val="none" w:sz="0" w:space="0" w:color="auto"/>
        <w:right w:val="none" w:sz="0" w:space="0" w:color="auto"/>
      </w:divBdr>
    </w:div>
    <w:div w:id="1545943641">
      <w:bodyDiv w:val="1"/>
      <w:marLeft w:val="0"/>
      <w:marRight w:val="0"/>
      <w:marTop w:val="0"/>
      <w:marBottom w:val="0"/>
      <w:divBdr>
        <w:top w:val="none" w:sz="0" w:space="0" w:color="auto"/>
        <w:left w:val="none" w:sz="0" w:space="0" w:color="auto"/>
        <w:bottom w:val="none" w:sz="0" w:space="0" w:color="auto"/>
        <w:right w:val="none" w:sz="0" w:space="0" w:color="auto"/>
      </w:divBdr>
    </w:div>
    <w:div w:id="1546215191">
      <w:bodyDiv w:val="1"/>
      <w:marLeft w:val="0"/>
      <w:marRight w:val="0"/>
      <w:marTop w:val="0"/>
      <w:marBottom w:val="0"/>
      <w:divBdr>
        <w:top w:val="none" w:sz="0" w:space="0" w:color="auto"/>
        <w:left w:val="none" w:sz="0" w:space="0" w:color="auto"/>
        <w:bottom w:val="none" w:sz="0" w:space="0" w:color="auto"/>
        <w:right w:val="none" w:sz="0" w:space="0" w:color="auto"/>
      </w:divBdr>
    </w:div>
    <w:div w:id="1546407082">
      <w:bodyDiv w:val="1"/>
      <w:marLeft w:val="0"/>
      <w:marRight w:val="0"/>
      <w:marTop w:val="0"/>
      <w:marBottom w:val="0"/>
      <w:divBdr>
        <w:top w:val="none" w:sz="0" w:space="0" w:color="auto"/>
        <w:left w:val="none" w:sz="0" w:space="0" w:color="auto"/>
        <w:bottom w:val="none" w:sz="0" w:space="0" w:color="auto"/>
        <w:right w:val="none" w:sz="0" w:space="0" w:color="auto"/>
      </w:divBdr>
    </w:div>
    <w:div w:id="1546596710">
      <w:bodyDiv w:val="1"/>
      <w:marLeft w:val="0"/>
      <w:marRight w:val="0"/>
      <w:marTop w:val="0"/>
      <w:marBottom w:val="0"/>
      <w:divBdr>
        <w:top w:val="none" w:sz="0" w:space="0" w:color="auto"/>
        <w:left w:val="none" w:sz="0" w:space="0" w:color="auto"/>
        <w:bottom w:val="none" w:sz="0" w:space="0" w:color="auto"/>
        <w:right w:val="none" w:sz="0" w:space="0" w:color="auto"/>
      </w:divBdr>
    </w:div>
    <w:div w:id="1546601903">
      <w:bodyDiv w:val="1"/>
      <w:marLeft w:val="0"/>
      <w:marRight w:val="0"/>
      <w:marTop w:val="0"/>
      <w:marBottom w:val="0"/>
      <w:divBdr>
        <w:top w:val="none" w:sz="0" w:space="0" w:color="auto"/>
        <w:left w:val="none" w:sz="0" w:space="0" w:color="auto"/>
        <w:bottom w:val="none" w:sz="0" w:space="0" w:color="auto"/>
        <w:right w:val="none" w:sz="0" w:space="0" w:color="auto"/>
      </w:divBdr>
    </w:div>
    <w:div w:id="1546672260">
      <w:bodyDiv w:val="1"/>
      <w:marLeft w:val="0"/>
      <w:marRight w:val="0"/>
      <w:marTop w:val="0"/>
      <w:marBottom w:val="0"/>
      <w:divBdr>
        <w:top w:val="none" w:sz="0" w:space="0" w:color="auto"/>
        <w:left w:val="none" w:sz="0" w:space="0" w:color="auto"/>
        <w:bottom w:val="none" w:sz="0" w:space="0" w:color="auto"/>
        <w:right w:val="none" w:sz="0" w:space="0" w:color="auto"/>
      </w:divBdr>
    </w:div>
    <w:div w:id="1546677764">
      <w:bodyDiv w:val="1"/>
      <w:marLeft w:val="0"/>
      <w:marRight w:val="0"/>
      <w:marTop w:val="0"/>
      <w:marBottom w:val="0"/>
      <w:divBdr>
        <w:top w:val="none" w:sz="0" w:space="0" w:color="auto"/>
        <w:left w:val="none" w:sz="0" w:space="0" w:color="auto"/>
        <w:bottom w:val="none" w:sz="0" w:space="0" w:color="auto"/>
        <w:right w:val="none" w:sz="0" w:space="0" w:color="auto"/>
      </w:divBdr>
    </w:div>
    <w:div w:id="1546716624">
      <w:bodyDiv w:val="1"/>
      <w:marLeft w:val="0"/>
      <w:marRight w:val="0"/>
      <w:marTop w:val="0"/>
      <w:marBottom w:val="0"/>
      <w:divBdr>
        <w:top w:val="none" w:sz="0" w:space="0" w:color="auto"/>
        <w:left w:val="none" w:sz="0" w:space="0" w:color="auto"/>
        <w:bottom w:val="none" w:sz="0" w:space="0" w:color="auto"/>
        <w:right w:val="none" w:sz="0" w:space="0" w:color="auto"/>
      </w:divBdr>
    </w:div>
    <w:div w:id="1546746632">
      <w:bodyDiv w:val="1"/>
      <w:marLeft w:val="0"/>
      <w:marRight w:val="0"/>
      <w:marTop w:val="0"/>
      <w:marBottom w:val="0"/>
      <w:divBdr>
        <w:top w:val="none" w:sz="0" w:space="0" w:color="auto"/>
        <w:left w:val="none" w:sz="0" w:space="0" w:color="auto"/>
        <w:bottom w:val="none" w:sz="0" w:space="0" w:color="auto"/>
        <w:right w:val="none" w:sz="0" w:space="0" w:color="auto"/>
      </w:divBdr>
    </w:div>
    <w:div w:id="1546790703">
      <w:bodyDiv w:val="1"/>
      <w:marLeft w:val="0"/>
      <w:marRight w:val="0"/>
      <w:marTop w:val="0"/>
      <w:marBottom w:val="0"/>
      <w:divBdr>
        <w:top w:val="none" w:sz="0" w:space="0" w:color="auto"/>
        <w:left w:val="none" w:sz="0" w:space="0" w:color="auto"/>
        <w:bottom w:val="none" w:sz="0" w:space="0" w:color="auto"/>
        <w:right w:val="none" w:sz="0" w:space="0" w:color="auto"/>
      </w:divBdr>
    </w:div>
    <w:div w:id="1546796673">
      <w:bodyDiv w:val="1"/>
      <w:marLeft w:val="0"/>
      <w:marRight w:val="0"/>
      <w:marTop w:val="0"/>
      <w:marBottom w:val="0"/>
      <w:divBdr>
        <w:top w:val="none" w:sz="0" w:space="0" w:color="auto"/>
        <w:left w:val="none" w:sz="0" w:space="0" w:color="auto"/>
        <w:bottom w:val="none" w:sz="0" w:space="0" w:color="auto"/>
        <w:right w:val="none" w:sz="0" w:space="0" w:color="auto"/>
      </w:divBdr>
    </w:div>
    <w:div w:id="1546866298">
      <w:bodyDiv w:val="1"/>
      <w:marLeft w:val="0"/>
      <w:marRight w:val="0"/>
      <w:marTop w:val="0"/>
      <w:marBottom w:val="0"/>
      <w:divBdr>
        <w:top w:val="none" w:sz="0" w:space="0" w:color="auto"/>
        <w:left w:val="none" w:sz="0" w:space="0" w:color="auto"/>
        <w:bottom w:val="none" w:sz="0" w:space="0" w:color="auto"/>
        <w:right w:val="none" w:sz="0" w:space="0" w:color="auto"/>
      </w:divBdr>
    </w:div>
    <w:div w:id="1546866861">
      <w:bodyDiv w:val="1"/>
      <w:marLeft w:val="0"/>
      <w:marRight w:val="0"/>
      <w:marTop w:val="0"/>
      <w:marBottom w:val="0"/>
      <w:divBdr>
        <w:top w:val="none" w:sz="0" w:space="0" w:color="auto"/>
        <w:left w:val="none" w:sz="0" w:space="0" w:color="auto"/>
        <w:bottom w:val="none" w:sz="0" w:space="0" w:color="auto"/>
        <w:right w:val="none" w:sz="0" w:space="0" w:color="auto"/>
      </w:divBdr>
    </w:div>
    <w:div w:id="1546871720">
      <w:bodyDiv w:val="1"/>
      <w:marLeft w:val="0"/>
      <w:marRight w:val="0"/>
      <w:marTop w:val="0"/>
      <w:marBottom w:val="0"/>
      <w:divBdr>
        <w:top w:val="none" w:sz="0" w:space="0" w:color="auto"/>
        <w:left w:val="none" w:sz="0" w:space="0" w:color="auto"/>
        <w:bottom w:val="none" w:sz="0" w:space="0" w:color="auto"/>
        <w:right w:val="none" w:sz="0" w:space="0" w:color="auto"/>
      </w:divBdr>
    </w:div>
    <w:div w:id="1546940125">
      <w:bodyDiv w:val="1"/>
      <w:marLeft w:val="0"/>
      <w:marRight w:val="0"/>
      <w:marTop w:val="0"/>
      <w:marBottom w:val="0"/>
      <w:divBdr>
        <w:top w:val="none" w:sz="0" w:space="0" w:color="auto"/>
        <w:left w:val="none" w:sz="0" w:space="0" w:color="auto"/>
        <w:bottom w:val="none" w:sz="0" w:space="0" w:color="auto"/>
        <w:right w:val="none" w:sz="0" w:space="0" w:color="auto"/>
      </w:divBdr>
    </w:div>
    <w:div w:id="1546987508">
      <w:bodyDiv w:val="1"/>
      <w:marLeft w:val="0"/>
      <w:marRight w:val="0"/>
      <w:marTop w:val="0"/>
      <w:marBottom w:val="0"/>
      <w:divBdr>
        <w:top w:val="none" w:sz="0" w:space="0" w:color="auto"/>
        <w:left w:val="none" w:sz="0" w:space="0" w:color="auto"/>
        <w:bottom w:val="none" w:sz="0" w:space="0" w:color="auto"/>
        <w:right w:val="none" w:sz="0" w:space="0" w:color="auto"/>
      </w:divBdr>
    </w:div>
    <w:div w:id="1546991449">
      <w:bodyDiv w:val="1"/>
      <w:marLeft w:val="0"/>
      <w:marRight w:val="0"/>
      <w:marTop w:val="0"/>
      <w:marBottom w:val="0"/>
      <w:divBdr>
        <w:top w:val="none" w:sz="0" w:space="0" w:color="auto"/>
        <w:left w:val="none" w:sz="0" w:space="0" w:color="auto"/>
        <w:bottom w:val="none" w:sz="0" w:space="0" w:color="auto"/>
        <w:right w:val="none" w:sz="0" w:space="0" w:color="auto"/>
      </w:divBdr>
    </w:div>
    <w:div w:id="1547061269">
      <w:bodyDiv w:val="1"/>
      <w:marLeft w:val="0"/>
      <w:marRight w:val="0"/>
      <w:marTop w:val="0"/>
      <w:marBottom w:val="0"/>
      <w:divBdr>
        <w:top w:val="none" w:sz="0" w:space="0" w:color="auto"/>
        <w:left w:val="none" w:sz="0" w:space="0" w:color="auto"/>
        <w:bottom w:val="none" w:sz="0" w:space="0" w:color="auto"/>
        <w:right w:val="none" w:sz="0" w:space="0" w:color="auto"/>
      </w:divBdr>
    </w:div>
    <w:div w:id="1547062247">
      <w:bodyDiv w:val="1"/>
      <w:marLeft w:val="0"/>
      <w:marRight w:val="0"/>
      <w:marTop w:val="0"/>
      <w:marBottom w:val="0"/>
      <w:divBdr>
        <w:top w:val="none" w:sz="0" w:space="0" w:color="auto"/>
        <w:left w:val="none" w:sz="0" w:space="0" w:color="auto"/>
        <w:bottom w:val="none" w:sz="0" w:space="0" w:color="auto"/>
        <w:right w:val="none" w:sz="0" w:space="0" w:color="auto"/>
      </w:divBdr>
    </w:div>
    <w:div w:id="1547066544">
      <w:bodyDiv w:val="1"/>
      <w:marLeft w:val="0"/>
      <w:marRight w:val="0"/>
      <w:marTop w:val="0"/>
      <w:marBottom w:val="0"/>
      <w:divBdr>
        <w:top w:val="none" w:sz="0" w:space="0" w:color="auto"/>
        <w:left w:val="none" w:sz="0" w:space="0" w:color="auto"/>
        <w:bottom w:val="none" w:sz="0" w:space="0" w:color="auto"/>
        <w:right w:val="none" w:sz="0" w:space="0" w:color="auto"/>
      </w:divBdr>
    </w:div>
    <w:div w:id="1547134627">
      <w:bodyDiv w:val="1"/>
      <w:marLeft w:val="0"/>
      <w:marRight w:val="0"/>
      <w:marTop w:val="0"/>
      <w:marBottom w:val="0"/>
      <w:divBdr>
        <w:top w:val="none" w:sz="0" w:space="0" w:color="auto"/>
        <w:left w:val="none" w:sz="0" w:space="0" w:color="auto"/>
        <w:bottom w:val="none" w:sz="0" w:space="0" w:color="auto"/>
        <w:right w:val="none" w:sz="0" w:space="0" w:color="auto"/>
      </w:divBdr>
    </w:div>
    <w:div w:id="1547139021">
      <w:bodyDiv w:val="1"/>
      <w:marLeft w:val="0"/>
      <w:marRight w:val="0"/>
      <w:marTop w:val="0"/>
      <w:marBottom w:val="0"/>
      <w:divBdr>
        <w:top w:val="none" w:sz="0" w:space="0" w:color="auto"/>
        <w:left w:val="none" w:sz="0" w:space="0" w:color="auto"/>
        <w:bottom w:val="none" w:sz="0" w:space="0" w:color="auto"/>
        <w:right w:val="none" w:sz="0" w:space="0" w:color="auto"/>
      </w:divBdr>
    </w:div>
    <w:div w:id="1547258855">
      <w:bodyDiv w:val="1"/>
      <w:marLeft w:val="0"/>
      <w:marRight w:val="0"/>
      <w:marTop w:val="0"/>
      <w:marBottom w:val="0"/>
      <w:divBdr>
        <w:top w:val="none" w:sz="0" w:space="0" w:color="auto"/>
        <w:left w:val="none" w:sz="0" w:space="0" w:color="auto"/>
        <w:bottom w:val="none" w:sz="0" w:space="0" w:color="auto"/>
        <w:right w:val="none" w:sz="0" w:space="0" w:color="auto"/>
      </w:divBdr>
    </w:div>
    <w:div w:id="1547444591">
      <w:bodyDiv w:val="1"/>
      <w:marLeft w:val="0"/>
      <w:marRight w:val="0"/>
      <w:marTop w:val="0"/>
      <w:marBottom w:val="0"/>
      <w:divBdr>
        <w:top w:val="none" w:sz="0" w:space="0" w:color="auto"/>
        <w:left w:val="none" w:sz="0" w:space="0" w:color="auto"/>
        <w:bottom w:val="none" w:sz="0" w:space="0" w:color="auto"/>
        <w:right w:val="none" w:sz="0" w:space="0" w:color="auto"/>
      </w:divBdr>
    </w:div>
    <w:div w:id="1547448811">
      <w:bodyDiv w:val="1"/>
      <w:marLeft w:val="0"/>
      <w:marRight w:val="0"/>
      <w:marTop w:val="0"/>
      <w:marBottom w:val="0"/>
      <w:divBdr>
        <w:top w:val="none" w:sz="0" w:space="0" w:color="auto"/>
        <w:left w:val="none" w:sz="0" w:space="0" w:color="auto"/>
        <w:bottom w:val="none" w:sz="0" w:space="0" w:color="auto"/>
        <w:right w:val="none" w:sz="0" w:space="0" w:color="auto"/>
      </w:divBdr>
    </w:div>
    <w:div w:id="1547520479">
      <w:bodyDiv w:val="1"/>
      <w:marLeft w:val="0"/>
      <w:marRight w:val="0"/>
      <w:marTop w:val="0"/>
      <w:marBottom w:val="0"/>
      <w:divBdr>
        <w:top w:val="none" w:sz="0" w:space="0" w:color="auto"/>
        <w:left w:val="none" w:sz="0" w:space="0" w:color="auto"/>
        <w:bottom w:val="none" w:sz="0" w:space="0" w:color="auto"/>
        <w:right w:val="none" w:sz="0" w:space="0" w:color="auto"/>
      </w:divBdr>
    </w:div>
    <w:div w:id="1547524357">
      <w:bodyDiv w:val="1"/>
      <w:marLeft w:val="0"/>
      <w:marRight w:val="0"/>
      <w:marTop w:val="0"/>
      <w:marBottom w:val="0"/>
      <w:divBdr>
        <w:top w:val="none" w:sz="0" w:space="0" w:color="auto"/>
        <w:left w:val="none" w:sz="0" w:space="0" w:color="auto"/>
        <w:bottom w:val="none" w:sz="0" w:space="0" w:color="auto"/>
        <w:right w:val="none" w:sz="0" w:space="0" w:color="auto"/>
      </w:divBdr>
    </w:div>
    <w:div w:id="1547568769">
      <w:bodyDiv w:val="1"/>
      <w:marLeft w:val="0"/>
      <w:marRight w:val="0"/>
      <w:marTop w:val="0"/>
      <w:marBottom w:val="0"/>
      <w:divBdr>
        <w:top w:val="none" w:sz="0" w:space="0" w:color="auto"/>
        <w:left w:val="none" w:sz="0" w:space="0" w:color="auto"/>
        <w:bottom w:val="none" w:sz="0" w:space="0" w:color="auto"/>
        <w:right w:val="none" w:sz="0" w:space="0" w:color="auto"/>
      </w:divBdr>
    </w:div>
    <w:div w:id="1547596933">
      <w:bodyDiv w:val="1"/>
      <w:marLeft w:val="0"/>
      <w:marRight w:val="0"/>
      <w:marTop w:val="0"/>
      <w:marBottom w:val="0"/>
      <w:divBdr>
        <w:top w:val="none" w:sz="0" w:space="0" w:color="auto"/>
        <w:left w:val="none" w:sz="0" w:space="0" w:color="auto"/>
        <w:bottom w:val="none" w:sz="0" w:space="0" w:color="auto"/>
        <w:right w:val="none" w:sz="0" w:space="0" w:color="auto"/>
      </w:divBdr>
    </w:div>
    <w:div w:id="1547641751">
      <w:bodyDiv w:val="1"/>
      <w:marLeft w:val="0"/>
      <w:marRight w:val="0"/>
      <w:marTop w:val="0"/>
      <w:marBottom w:val="0"/>
      <w:divBdr>
        <w:top w:val="none" w:sz="0" w:space="0" w:color="auto"/>
        <w:left w:val="none" w:sz="0" w:space="0" w:color="auto"/>
        <w:bottom w:val="none" w:sz="0" w:space="0" w:color="auto"/>
        <w:right w:val="none" w:sz="0" w:space="0" w:color="auto"/>
      </w:divBdr>
    </w:div>
    <w:div w:id="1547716900">
      <w:bodyDiv w:val="1"/>
      <w:marLeft w:val="0"/>
      <w:marRight w:val="0"/>
      <w:marTop w:val="0"/>
      <w:marBottom w:val="0"/>
      <w:divBdr>
        <w:top w:val="none" w:sz="0" w:space="0" w:color="auto"/>
        <w:left w:val="none" w:sz="0" w:space="0" w:color="auto"/>
        <w:bottom w:val="none" w:sz="0" w:space="0" w:color="auto"/>
        <w:right w:val="none" w:sz="0" w:space="0" w:color="auto"/>
      </w:divBdr>
    </w:div>
    <w:div w:id="1547722447">
      <w:bodyDiv w:val="1"/>
      <w:marLeft w:val="0"/>
      <w:marRight w:val="0"/>
      <w:marTop w:val="0"/>
      <w:marBottom w:val="0"/>
      <w:divBdr>
        <w:top w:val="none" w:sz="0" w:space="0" w:color="auto"/>
        <w:left w:val="none" w:sz="0" w:space="0" w:color="auto"/>
        <w:bottom w:val="none" w:sz="0" w:space="0" w:color="auto"/>
        <w:right w:val="none" w:sz="0" w:space="0" w:color="auto"/>
      </w:divBdr>
    </w:div>
    <w:div w:id="1547764730">
      <w:bodyDiv w:val="1"/>
      <w:marLeft w:val="0"/>
      <w:marRight w:val="0"/>
      <w:marTop w:val="0"/>
      <w:marBottom w:val="0"/>
      <w:divBdr>
        <w:top w:val="none" w:sz="0" w:space="0" w:color="auto"/>
        <w:left w:val="none" w:sz="0" w:space="0" w:color="auto"/>
        <w:bottom w:val="none" w:sz="0" w:space="0" w:color="auto"/>
        <w:right w:val="none" w:sz="0" w:space="0" w:color="auto"/>
      </w:divBdr>
    </w:div>
    <w:div w:id="1547832799">
      <w:bodyDiv w:val="1"/>
      <w:marLeft w:val="0"/>
      <w:marRight w:val="0"/>
      <w:marTop w:val="0"/>
      <w:marBottom w:val="0"/>
      <w:divBdr>
        <w:top w:val="none" w:sz="0" w:space="0" w:color="auto"/>
        <w:left w:val="none" w:sz="0" w:space="0" w:color="auto"/>
        <w:bottom w:val="none" w:sz="0" w:space="0" w:color="auto"/>
        <w:right w:val="none" w:sz="0" w:space="0" w:color="auto"/>
      </w:divBdr>
    </w:div>
    <w:div w:id="1547984795">
      <w:bodyDiv w:val="1"/>
      <w:marLeft w:val="0"/>
      <w:marRight w:val="0"/>
      <w:marTop w:val="0"/>
      <w:marBottom w:val="0"/>
      <w:divBdr>
        <w:top w:val="none" w:sz="0" w:space="0" w:color="auto"/>
        <w:left w:val="none" w:sz="0" w:space="0" w:color="auto"/>
        <w:bottom w:val="none" w:sz="0" w:space="0" w:color="auto"/>
        <w:right w:val="none" w:sz="0" w:space="0" w:color="auto"/>
      </w:divBdr>
    </w:div>
    <w:div w:id="1548099819">
      <w:bodyDiv w:val="1"/>
      <w:marLeft w:val="0"/>
      <w:marRight w:val="0"/>
      <w:marTop w:val="0"/>
      <w:marBottom w:val="0"/>
      <w:divBdr>
        <w:top w:val="none" w:sz="0" w:space="0" w:color="auto"/>
        <w:left w:val="none" w:sz="0" w:space="0" w:color="auto"/>
        <w:bottom w:val="none" w:sz="0" w:space="0" w:color="auto"/>
        <w:right w:val="none" w:sz="0" w:space="0" w:color="auto"/>
      </w:divBdr>
    </w:div>
    <w:div w:id="1548252756">
      <w:bodyDiv w:val="1"/>
      <w:marLeft w:val="0"/>
      <w:marRight w:val="0"/>
      <w:marTop w:val="0"/>
      <w:marBottom w:val="0"/>
      <w:divBdr>
        <w:top w:val="none" w:sz="0" w:space="0" w:color="auto"/>
        <w:left w:val="none" w:sz="0" w:space="0" w:color="auto"/>
        <w:bottom w:val="none" w:sz="0" w:space="0" w:color="auto"/>
        <w:right w:val="none" w:sz="0" w:space="0" w:color="auto"/>
      </w:divBdr>
    </w:div>
    <w:div w:id="1548295296">
      <w:bodyDiv w:val="1"/>
      <w:marLeft w:val="0"/>
      <w:marRight w:val="0"/>
      <w:marTop w:val="0"/>
      <w:marBottom w:val="0"/>
      <w:divBdr>
        <w:top w:val="none" w:sz="0" w:space="0" w:color="auto"/>
        <w:left w:val="none" w:sz="0" w:space="0" w:color="auto"/>
        <w:bottom w:val="none" w:sz="0" w:space="0" w:color="auto"/>
        <w:right w:val="none" w:sz="0" w:space="0" w:color="auto"/>
      </w:divBdr>
    </w:div>
    <w:div w:id="1548369918">
      <w:bodyDiv w:val="1"/>
      <w:marLeft w:val="0"/>
      <w:marRight w:val="0"/>
      <w:marTop w:val="0"/>
      <w:marBottom w:val="0"/>
      <w:divBdr>
        <w:top w:val="none" w:sz="0" w:space="0" w:color="auto"/>
        <w:left w:val="none" w:sz="0" w:space="0" w:color="auto"/>
        <w:bottom w:val="none" w:sz="0" w:space="0" w:color="auto"/>
        <w:right w:val="none" w:sz="0" w:space="0" w:color="auto"/>
      </w:divBdr>
    </w:div>
    <w:div w:id="1548449571">
      <w:bodyDiv w:val="1"/>
      <w:marLeft w:val="0"/>
      <w:marRight w:val="0"/>
      <w:marTop w:val="0"/>
      <w:marBottom w:val="0"/>
      <w:divBdr>
        <w:top w:val="none" w:sz="0" w:space="0" w:color="auto"/>
        <w:left w:val="none" w:sz="0" w:space="0" w:color="auto"/>
        <w:bottom w:val="none" w:sz="0" w:space="0" w:color="auto"/>
        <w:right w:val="none" w:sz="0" w:space="0" w:color="auto"/>
      </w:divBdr>
    </w:div>
    <w:div w:id="1548450196">
      <w:bodyDiv w:val="1"/>
      <w:marLeft w:val="0"/>
      <w:marRight w:val="0"/>
      <w:marTop w:val="0"/>
      <w:marBottom w:val="0"/>
      <w:divBdr>
        <w:top w:val="none" w:sz="0" w:space="0" w:color="auto"/>
        <w:left w:val="none" w:sz="0" w:space="0" w:color="auto"/>
        <w:bottom w:val="none" w:sz="0" w:space="0" w:color="auto"/>
        <w:right w:val="none" w:sz="0" w:space="0" w:color="auto"/>
      </w:divBdr>
    </w:div>
    <w:div w:id="1548644702">
      <w:bodyDiv w:val="1"/>
      <w:marLeft w:val="0"/>
      <w:marRight w:val="0"/>
      <w:marTop w:val="0"/>
      <w:marBottom w:val="0"/>
      <w:divBdr>
        <w:top w:val="none" w:sz="0" w:space="0" w:color="auto"/>
        <w:left w:val="none" w:sz="0" w:space="0" w:color="auto"/>
        <w:bottom w:val="none" w:sz="0" w:space="0" w:color="auto"/>
        <w:right w:val="none" w:sz="0" w:space="0" w:color="auto"/>
      </w:divBdr>
    </w:div>
    <w:div w:id="1548831653">
      <w:bodyDiv w:val="1"/>
      <w:marLeft w:val="0"/>
      <w:marRight w:val="0"/>
      <w:marTop w:val="0"/>
      <w:marBottom w:val="0"/>
      <w:divBdr>
        <w:top w:val="none" w:sz="0" w:space="0" w:color="auto"/>
        <w:left w:val="none" w:sz="0" w:space="0" w:color="auto"/>
        <w:bottom w:val="none" w:sz="0" w:space="0" w:color="auto"/>
        <w:right w:val="none" w:sz="0" w:space="0" w:color="auto"/>
      </w:divBdr>
    </w:div>
    <w:div w:id="1548906757">
      <w:bodyDiv w:val="1"/>
      <w:marLeft w:val="0"/>
      <w:marRight w:val="0"/>
      <w:marTop w:val="0"/>
      <w:marBottom w:val="0"/>
      <w:divBdr>
        <w:top w:val="none" w:sz="0" w:space="0" w:color="auto"/>
        <w:left w:val="none" w:sz="0" w:space="0" w:color="auto"/>
        <w:bottom w:val="none" w:sz="0" w:space="0" w:color="auto"/>
        <w:right w:val="none" w:sz="0" w:space="0" w:color="auto"/>
      </w:divBdr>
    </w:div>
    <w:div w:id="1548909579">
      <w:bodyDiv w:val="1"/>
      <w:marLeft w:val="0"/>
      <w:marRight w:val="0"/>
      <w:marTop w:val="0"/>
      <w:marBottom w:val="0"/>
      <w:divBdr>
        <w:top w:val="none" w:sz="0" w:space="0" w:color="auto"/>
        <w:left w:val="none" w:sz="0" w:space="0" w:color="auto"/>
        <w:bottom w:val="none" w:sz="0" w:space="0" w:color="auto"/>
        <w:right w:val="none" w:sz="0" w:space="0" w:color="auto"/>
      </w:divBdr>
    </w:div>
    <w:div w:id="1549031616">
      <w:bodyDiv w:val="1"/>
      <w:marLeft w:val="0"/>
      <w:marRight w:val="0"/>
      <w:marTop w:val="0"/>
      <w:marBottom w:val="0"/>
      <w:divBdr>
        <w:top w:val="none" w:sz="0" w:space="0" w:color="auto"/>
        <w:left w:val="none" w:sz="0" w:space="0" w:color="auto"/>
        <w:bottom w:val="none" w:sz="0" w:space="0" w:color="auto"/>
        <w:right w:val="none" w:sz="0" w:space="0" w:color="auto"/>
      </w:divBdr>
    </w:div>
    <w:div w:id="1549102113">
      <w:bodyDiv w:val="1"/>
      <w:marLeft w:val="0"/>
      <w:marRight w:val="0"/>
      <w:marTop w:val="0"/>
      <w:marBottom w:val="0"/>
      <w:divBdr>
        <w:top w:val="none" w:sz="0" w:space="0" w:color="auto"/>
        <w:left w:val="none" w:sz="0" w:space="0" w:color="auto"/>
        <w:bottom w:val="none" w:sz="0" w:space="0" w:color="auto"/>
        <w:right w:val="none" w:sz="0" w:space="0" w:color="auto"/>
      </w:divBdr>
    </w:div>
    <w:div w:id="1549145499">
      <w:bodyDiv w:val="1"/>
      <w:marLeft w:val="0"/>
      <w:marRight w:val="0"/>
      <w:marTop w:val="0"/>
      <w:marBottom w:val="0"/>
      <w:divBdr>
        <w:top w:val="none" w:sz="0" w:space="0" w:color="auto"/>
        <w:left w:val="none" w:sz="0" w:space="0" w:color="auto"/>
        <w:bottom w:val="none" w:sz="0" w:space="0" w:color="auto"/>
        <w:right w:val="none" w:sz="0" w:space="0" w:color="auto"/>
      </w:divBdr>
    </w:div>
    <w:div w:id="1549337775">
      <w:bodyDiv w:val="1"/>
      <w:marLeft w:val="0"/>
      <w:marRight w:val="0"/>
      <w:marTop w:val="0"/>
      <w:marBottom w:val="0"/>
      <w:divBdr>
        <w:top w:val="none" w:sz="0" w:space="0" w:color="auto"/>
        <w:left w:val="none" w:sz="0" w:space="0" w:color="auto"/>
        <w:bottom w:val="none" w:sz="0" w:space="0" w:color="auto"/>
        <w:right w:val="none" w:sz="0" w:space="0" w:color="auto"/>
      </w:divBdr>
    </w:div>
    <w:div w:id="1549415095">
      <w:bodyDiv w:val="1"/>
      <w:marLeft w:val="0"/>
      <w:marRight w:val="0"/>
      <w:marTop w:val="0"/>
      <w:marBottom w:val="0"/>
      <w:divBdr>
        <w:top w:val="none" w:sz="0" w:space="0" w:color="auto"/>
        <w:left w:val="none" w:sz="0" w:space="0" w:color="auto"/>
        <w:bottom w:val="none" w:sz="0" w:space="0" w:color="auto"/>
        <w:right w:val="none" w:sz="0" w:space="0" w:color="auto"/>
      </w:divBdr>
    </w:div>
    <w:div w:id="1549418530">
      <w:bodyDiv w:val="1"/>
      <w:marLeft w:val="0"/>
      <w:marRight w:val="0"/>
      <w:marTop w:val="0"/>
      <w:marBottom w:val="0"/>
      <w:divBdr>
        <w:top w:val="none" w:sz="0" w:space="0" w:color="auto"/>
        <w:left w:val="none" w:sz="0" w:space="0" w:color="auto"/>
        <w:bottom w:val="none" w:sz="0" w:space="0" w:color="auto"/>
        <w:right w:val="none" w:sz="0" w:space="0" w:color="auto"/>
      </w:divBdr>
    </w:div>
    <w:div w:id="1549755781">
      <w:bodyDiv w:val="1"/>
      <w:marLeft w:val="0"/>
      <w:marRight w:val="0"/>
      <w:marTop w:val="0"/>
      <w:marBottom w:val="0"/>
      <w:divBdr>
        <w:top w:val="none" w:sz="0" w:space="0" w:color="auto"/>
        <w:left w:val="none" w:sz="0" w:space="0" w:color="auto"/>
        <w:bottom w:val="none" w:sz="0" w:space="0" w:color="auto"/>
        <w:right w:val="none" w:sz="0" w:space="0" w:color="auto"/>
      </w:divBdr>
    </w:div>
    <w:div w:id="1549803661">
      <w:bodyDiv w:val="1"/>
      <w:marLeft w:val="0"/>
      <w:marRight w:val="0"/>
      <w:marTop w:val="0"/>
      <w:marBottom w:val="0"/>
      <w:divBdr>
        <w:top w:val="none" w:sz="0" w:space="0" w:color="auto"/>
        <w:left w:val="none" w:sz="0" w:space="0" w:color="auto"/>
        <w:bottom w:val="none" w:sz="0" w:space="0" w:color="auto"/>
        <w:right w:val="none" w:sz="0" w:space="0" w:color="auto"/>
      </w:divBdr>
    </w:div>
    <w:div w:id="1549953748">
      <w:bodyDiv w:val="1"/>
      <w:marLeft w:val="0"/>
      <w:marRight w:val="0"/>
      <w:marTop w:val="0"/>
      <w:marBottom w:val="0"/>
      <w:divBdr>
        <w:top w:val="none" w:sz="0" w:space="0" w:color="auto"/>
        <w:left w:val="none" w:sz="0" w:space="0" w:color="auto"/>
        <w:bottom w:val="none" w:sz="0" w:space="0" w:color="auto"/>
        <w:right w:val="none" w:sz="0" w:space="0" w:color="auto"/>
      </w:divBdr>
    </w:div>
    <w:div w:id="1550067718">
      <w:bodyDiv w:val="1"/>
      <w:marLeft w:val="0"/>
      <w:marRight w:val="0"/>
      <w:marTop w:val="0"/>
      <w:marBottom w:val="0"/>
      <w:divBdr>
        <w:top w:val="none" w:sz="0" w:space="0" w:color="auto"/>
        <w:left w:val="none" w:sz="0" w:space="0" w:color="auto"/>
        <w:bottom w:val="none" w:sz="0" w:space="0" w:color="auto"/>
        <w:right w:val="none" w:sz="0" w:space="0" w:color="auto"/>
      </w:divBdr>
    </w:div>
    <w:div w:id="1550068144">
      <w:bodyDiv w:val="1"/>
      <w:marLeft w:val="0"/>
      <w:marRight w:val="0"/>
      <w:marTop w:val="0"/>
      <w:marBottom w:val="0"/>
      <w:divBdr>
        <w:top w:val="none" w:sz="0" w:space="0" w:color="auto"/>
        <w:left w:val="none" w:sz="0" w:space="0" w:color="auto"/>
        <w:bottom w:val="none" w:sz="0" w:space="0" w:color="auto"/>
        <w:right w:val="none" w:sz="0" w:space="0" w:color="auto"/>
      </w:divBdr>
    </w:div>
    <w:div w:id="1550074741">
      <w:bodyDiv w:val="1"/>
      <w:marLeft w:val="0"/>
      <w:marRight w:val="0"/>
      <w:marTop w:val="0"/>
      <w:marBottom w:val="0"/>
      <w:divBdr>
        <w:top w:val="none" w:sz="0" w:space="0" w:color="auto"/>
        <w:left w:val="none" w:sz="0" w:space="0" w:color="auto"/>
        <w:bottom w:val="none" w:sz="0" w:space="0" w:color="auto"/>
        <w:right w:val="none" w:sz="0" w:space="0" w:color="auto"/>
      </w:divBdr>
    </w:div>
    <w:div w:id="1550336212">
      <w:bodyDiv w:val="1"/>
      <w:marLeft w:val="0"/>
      <w:marRight w:val="0"/>
      <w:marTop w:val="0"/>
      <w:marBottom w:val="0"/>
      <w:divBdr>
        <w:top w:val="none" w:sz="0" w:space="0" w:color="auto"/>
        <w:left w:val="none" w:sz="0" w:space="0" w:color="auto"/>
        <w:bottom w:val="none" w:sz="0" w:space="0" w:color="auto"/>
        <w:right w:val="none" w:sz="0" w:space="0" w:color="auto"/>
      </w:divBdr>
    </w:div>
    <w:div w:id="1550409544">
      <w:bodyDiv w:val="1"/>
      <w:marLeft w:val="0"/>
      <w:marRight w:val="0"/>
      <w:marTop w:val="0"/>
      <w:marBottom w:val="0"/>
      <w:divBdr>
        <w:top w:val="none" w:sz="0" w:space="0" w:color="auto"/>
        <w:left w:val="none" w:sz="0" w:space="0" w:color="auto"/>
        <w:bottom w:val="none" w:sz="0" w:space="0" w:color="auto"/>
        <w:right w:val="none" w:sz="0" w:space="0" w:color="auto"/>
      </w:divBdr>
    </w:div>
    <w:div w:id="1550608926">
      <w:bodyDiv w:val="1"/>
      <w:marLeft w:val="0"/>
      <w:marRight w:val="0"/>
      <w:marTop w:val="0"/>
      <w:marBottom w:val="0"/>
      <w:divBdr>
        <w:top w:val="none" w:sz="0" w:space="0" w:color="auto"/>
        <w:left w:val="none" w:sz="0" w:space="0" w:color="auto"/>
        <w:bottom w:val="none" w:sz="0" w:space="0" w:color="auto"/>
        <w:right w:val="none" w:sz="0" w:space="0" w:color="auto"/>
      </w:divBdr>
    </w:div>
    <w:div w:id="1550649476">
      <w:bodyDiv w:val="1"/>
      <w:marLeft w:val="0"/>
      <w:marRight w:val="0"/>
      <w:marTop w:val="0"/>
      <w:marBottom w:val="0"/>
      <w:divBdr>
        <w:top w:val="none" w:sz="0" w:space="0" w:color="auto"/>
        <w:left w:val="none" w:sz="0" w:space="0" w:color="auto"/>
        <w:bottom w:val="none" w:sz="0" w:space="0" w:color="auto"/>
        <w:right w:val="none" w:sz="0" w:space="0" w:color="auto"/>
      </w:divBdr>
    </w:div>
    <w:div w:id="1550678885">
      <w:bodyDiv w:val="1"/>
      <w:marLeft w:val="0"/>
      <w:marRight w:val="0"/>
      <w:marTop w:val="0"/>
      <w:marBottom w:val="0"/>
      <w:divBdr>
        <w:top w:val="none" w:sz="0" w:space="0" w:color="auto"/>
        <w:left w:val="none" w:sz="0" w:space="0" w:color="auto"/>
        <w:bottom w:val="none" w:sz="0" w:space="0" w:color="auto"/>
        <w:right w:val="none" w:sz="0" w:space="0" w:color="auto"/>
      </w:divBdr>
    </w:div>
    <w:div w:id="1550798830">
      <w:bodyDiv w:val="1"/>
      <w:marLeft w:val="0"/>
      <w:marRight w:val="0"/>
      <w:marTop w:val="0"/>
      <w:marBottom w:val="0"/>
      <w:divBdr>
        <w:top w:val="none" w:sz="0" w:space="0" w:color="auto"/>
        <w:left w:val="none" w:sz="0" w:space="0" w:color="auto"/>
        <w:bottom w:val="none" w:sz="0" w:space="0" w:color="auto"/>
        <w:right w:val="none" w:sz="0" w:space="0" w:color="auto"/>
      </w:divBdr>
    </w:div>
    <w:div w:id="1550915617">
      <w:bodyDiv w:val="1"/>
      <w:marLeft w:val="0"/>
      <w:marRight w:val="0"/>
      <w:marTop w:val="0"/>
      <w:marBottom w:val="0"/>
      <w:divBdr>
        <w:top w:val="none" w:sz="0" w:space="0" w:color="auto"/>
        <w:left w:val="none" w:sz="0" w:space="0" w:color="auto"/>
        <w:bottom w:val="none" w:sz="0" w:space="0" w:color="auto"/>
        <w:right w:val="none" w:sz="0" w:space="0" w:color="auto"/>
      </w:divBdr>
    </w:div>
    <w:div w:id="1550918569">
      <w:bodyDiv w:val="1"/>
      <w:marLeft w:val="0"/>
      <w:marRight w:val="0"/>
      <w:marTop w:val="0"/>
      <w:marBottom w:val="0"/>
      <w:divBdr>
        <w:top w:val="none" w:sz="0" w:space="0" w:color="auto"/>
        <w:left w:val="none" w:sz="0" w:space="0" w:color="auto"/>
        <w:bottom w:val="none" w:sz="0" w:space="0" w:color="auto"/>
        <w:right w:val="none" w:sz="0" w:space="0" w:color="auto"/>
      </w:divBdr>
    </w:div>
    <w:div w:id="1551111670">
      <w:bodyDiv w:val="1"/>
      <w:marLeft w:val="0"/>
      <w:marRight w:val="0"/>
      <w:marTop w:val="0"/>
      <w:marBottom w:val="0"/>
      <w:divBdr>
        <w:top w:val="none" w:sz="0" w:space="0" w:color="auto"/>
        <w:left w:val="none" w:sz="0" w:space="0" w:color="auto"/>
        <w:bottom w:val="none" w:sz="0" w:space="0" w:color="auto"/>
        <w:right w:val="none" w:sz="0" w:space="0" w:color="auto"/>
      </w:divBdr>
    </w:div>
    <w:div w:id="1551112005">
      <w:bodyDiv w:val="1"/>
      <w:marLeft w:val="0"/>
      <w:marRight w:val="0"/>
      <w:marTop w:val="0"/>
      <w:marBottom w:val="0"/>
      <w:divBdr>
        <w:top w:val="none" w:sz="0" w:space="0" w:color="auto"/>
        <w:left w:val="none" w:sz="0" w:space="0" w:color="auto"/>
        <w:bottom w:val="none" w:sz="0" w:space="0" w:color="auto"/>
        <w:right w:val="none" w:sz="0" w:space="0" w:color="auto"/>
      </w:divBdr>
    </w:div>
    <w:div w:id="1551113337">
      <w:bodyDiv w:val="1"/>
      <w:marLeft w:val="0"/>
      <w:marRight w:val="0"/>
      <w:marTop w:val="0"/>
      <w:marBottom w:val="0"/>
      <w:divBdr>
        <w:top w:val="none" w:sz="0" w:space="0" w:color="auto"/>
        <w:left w:val="none" w:sz="0" w:space="0" w:color="auto"/>
        <w:bottom w:val="none" w:sz="0" w:space="0" w:color="auto"/>
        <w:right w:val="none" w:sz="0" w:space="0" w:color="auto"/>
      </w:divBdr>
    </w:div>
    <w:div w:id="1551186831">
      <w:bodyDiv w:val="1"/>
      <w:marLeft w:val="0"/>
      <w:marRight w:val="0"/>
      <w:marTop w:val="0"/>
      <w:marBottom w:val="0"/>
      <w:divBdr>
        <w:top w:val="none" w:sz="0" w:space="0" w:color="auto"/>
        <w:left w:val="none" w:sz="0" w:space="0" w:color="auto"/>
        <w:bottom w:val="none" w:sz="0" w:space="0" w:color="auto"/>
        <w:right w:val="none" w:sz="0" w:space="0" w:color="auto"/>
      </w:divBdr>
    </w:div>
    <w:div w:id="1551307385">
      <w:bodyDiv w:val="1"/>
      <w:marLeft w:val="0"/>
      <w:marRight w:val="0"/>
      <w:marTop w:val="0"/>
      <w:marBottom w:val="0"/>
      <w:divBdr>
        <w:top w:val="none" w:sz="0" w:space="0" w:color="auto"/>
        <w:left w:val="none" w:sz="0" w:space="0" w:color="auto"/>
        <w:bottom w:val="none" w:sz="0" w:space="0" w:color="auto"/>
        <w:right w:val="none" w:sz="0" w:space="0" w:color="auto"/>
      </w:divBdr>
    </w:div>
    <w:div w:id="1551379593">
      <w:bodyDiv w:val="1"/>
      <w:marLeft w:val="0"/>
      <w:marRight w:val="0"/>
      <w:marTop w:val="0"/>
      <w:marBottom w:val="0"/>
      <w:divBdr>
        <w:top w:val="none" w:sz="0" w:space="0" w:color="auto"/>
        <w:left w:val="none" w:sz="0" w:space="0" w:color="auto"/>
        <w:bottom w:val="none" w:sz="0" w:space="0" w:color="auto"/>
        <w:right w:val="none" w:sz="0" w:space="0" w:color="auto"/>
      </w:divBdr>
    </w:div>
    <w:div w:id="1551451817">
      <w:bodyDiv w:val="1"/>
      <w:marLeft w:val="0"/>
      <w:marRight w:val="0"/>
      <w:marTop w:val="0"/>
      <w:marBottom w:val="0"/>
      <w:divBdr>
        <w:top w:val="none" w:sz="0" w:space="0" w:color="auto"/>
        <w:left w:val="none" w:sz="0" w:space="0" w:color="auto"/>
        <w:bottom w:val="none" w:sz="0" w:space="0" w:color="auto"/>
        <w:right w:val="none" w:sz="0" w:space="0" w:color="auto"/>
      </w:divBdr>
    </w:div>
    <w:div w:id="1551771951">
      <w:bodyDiv w:val="1"/>
      <w:marLeft w:val="0"/>
      <w:marRight w:val="0"/>
      <w:marTop w:val="0"/>
      <w:marBottom w:val="0"/>
      <w:divBdr>
        <w:top w:val="none" w:sz="0" w:space="0" w:color="auto"/>
        <w:left w:val="none" w:sz="0" w:space="0" w:color="auto"/>
        <w:bottom w:val="none" w:sz="0" w:space="0" w:color="auto"/>
        <w:right w:val="none" w:sz="0" w:space="0" w:color="auto"/>
      </w:divBdr>
    </w:div>
    <w:div w:id="1551914476">
      <w:bodyDiv w:val="1"/>
      <w:marLeft w:val="0"/>
      <w:marRight w:val="0"/>
      <w:marTop w:val="0"/>
      <w:marBottom w:val="0"/>
      <w:divBdr>
        <w:top w:val="none" w:sz="0" w:space="0" w:color="auto"/>
        <w:left w:val="none" w:sz="0" w:space="0" w:color="auto"/>
        <w:bottom w:val="none" w:sz="0" w:space="0" w:color="auto"/>
        <w:right w:val="none" w:sz="0" w:space="0" w:color="auto"/>
      </w:divBdr>
    </w:div>
    <w:div w:id="1551918858">
      <w:bodyDiv w:val="1"/>
      <w:marLeft w:val="0"/>
      <w:marRight w:val="0"/>
      <w:marTop w:val="0"/>
      <w:marBottom w:val="0"/>
      <w:divBdr>
        <w:top w:val="none" w:sz="0" w:space="0" w:color="auto"/>
        <w:left w:val="none" w:sz="0" w:space="0" w:color="auto"/>
        <w:bottom w:val="none" w:sz="0" w:space="0" w:color="auto"/>
        <w:right w:val="none" w:sz="0" w:space="0" w:color="auto"/>
      </w:divBdr>
    </w:div>
    <w:div w:id="1551964904">
      <w:bodyDiv w:val="1"/>
      <w:marLeft w:val="0"/>
      <w:marRight w:val="0"/>
      <w:marTop w:val="0"/>
      <w:marBottom w:val="0"/>
      <w:divBdr>
        <w:top w:val="none" w:sz="0" w:space="0" w:color="auto"/>
        <w:left w:val="none" w:sz="0" w:space="0" w:color="auto"/>
        <w:bottom w:val="none" w:sz="0" w:space="0" w:color="auto"/>
        <w:right w:val="none" w:sz="0" w:space="0" w:color="auto"/>
      </w:divBdr>
    </w:div>
    <w:div w:id="1552224779">
      <w:bodyDiv w:val="1"/>
      <w:marLeft w:val="0"/>
      <w:marRight w:val="0"/>
      <w:marTop w:val="0"/>
      <w:marBottom w:val="0"/>
      <w:divBdr>
        <w:top w:val="none" w:sz="0" w:space="0" w:color="auto"/>
        <w:left w:val="none" w:sz="0" w:space="0" w:color="auto"/>
        <w:bottom w:val="none" w:sz="0" w:space="0" w:color="auto"/>
        <w:right w:val="none" w:sz="0" w:space="0" w:color="auto"/>
      </w:divBdr>
    </w:div>
    <w:div w:id="1552496451">
      <w:bodyDiv w:val="1"/>
      <w:marLeft w:val="0"/>
      <w:marRight w:val="0"/>
      <w:marTop w:val="0"/>
      <w:marBottom w:val="0"/>
      <w:divBdr>
        <w:top w:val="none" w:sz="0" w:space="0" w:color="auto"/>
        <w:left w:val="none" w:sz="0" w:space="0" w:color="auto"/>
        <w:bottom w:val="none" w:sz="0" w:space="0" w:color="auto"/>
        <w:right w:val="none" w:sz="0" w:space="0" w:color="auto"/>
      </w:divBdr>
    </w:div>
    <w:div w:id="1552619920">
      <w:bodyDiv w:val="1"/>
      <w:marLeft w:val="0"/>
      <w:marRight w:val="0"/>
      <w:marTop w:val="0"/>
      <w:marBottom w:val="0"/>
      <w:divBdr>
        <w:top w:val="none" w:sz="0" w:space="0" w:color="auto"/>
        <w:left w:val="none" w:sz="0" w:space="0" w:color="auto"/>
        <w:bottom w:val="none" w:sz="0" w:space="0" w:color="auto"/>
        <w:right w:val="none" w:sz="0" w:space="0" w:color="auto"/>
      </w:divBdr>
    </w:div>
    <w:div w:id="1552687978">
      <w:bodyDiv w:val="1"/>
      <w:marLeft w:val="0"/>
      <w:marRight w:val="0"/>
      <w:marTop w:val="0"/>
      <w:marBottom w:val="0"/>
      <w:divBdr>
        <w:top w:val="none" w:sz="0" w:space="0" w:color="auto"/>
        <w:left w:val="none" w:sz="0" w:space="0" w:color="auto"/>
        <w:bottom w:val="none" w:sz="0" w:space="0" w:color="auto"/>
        <w:right w:val="none" w:sz="0" w:space="0" w:color="auto"/>
      </w:divBdr>
    </w:div>
    <w:div w:id="1552959142">
      <w:bodyDiv w:val="1"/>
      <w:marLeft w:val="0"/>
      <w:marRight w:val="0"/>
      <w:marTop w:val="0"/>
      <w:marBottom w:val="0"/>
      <w:divBdr>
        <w:top w:val="none" w:sz="0" w:space="0" w:color="auto"/>
        <w:left w:val="none" w:sz="0" w:space="0" w:color="auto"/>
        <w:bottom w:val="none" w:sz="0" w:space="0" w:color="auto"/>
        <w:right w:val="none" w:sz="0" w:space="0" w:color="auto"/>
      </w:divBdr>
    </w:div>
    <w:div w:id="1552962647">
      <w:bodyDiv w:val="1"/>
      <w:marLeft w:val="0"/>
      <w:marRight w:val="0"/>
      <w:marTop w:val="0"/>
      <w:marBottom w:val="0"/>
      <w:divBdr>
        <w:top w:val="none" w:sz="0" w:space="0" w:color="auto"/>
        <w:left w:val="none" w:sz="0" w:space="0" w:color="auto"/>
        <w:bottom w:val="none" w:sz="0" w:space="0" w:color="auto"/>
        <w:right w:val="none" w:sz="0" w:space="0" w:color="auto"/>
      </w:divBdr>
    </w:div>
    <w:div w:id="1552962790">
      <w:bodyDiv w:val="1"/>
      <w:marLeft w:val="0"/>
      <w:marRight w:val="0"/>
      <w:marTop w:val="0"/>
      <w:marBottom w:val="0"/>
      <w:divBdr>
        <w:top w:val="none" w:sz="0" w:space="0" w:color="auto"/>
        <w:left w:val="none" w:sz="0" w:space="0" w:color="auto"/>
        <w:bottom w:val="none" w:sz="0" w:space="0" w:color="auto"/>
        <w:right w:val="none" w:sz="0" w:space="0" w:color="auto"/>
      </w:divBdr>
    </w:div>
    <w:div w:id="1553031017">
      <w:bodyDiv w:val="1"/>
      <w:marLeft w:val="0"/>
      <w:marRight w:val="0"/>
      <w:marTop w:val="0"/>
      <w:marBottom w:val="0"/>
      <w:divBdr>
        <w:top w:val="none" w:sz="0" w:space="0" w:color="auto"/>
        <w:left w:val="none" w:sz="0" w:space="0" w:color="auto"/>
        <w:bottom w:val="none" w:sz="0" w:space="0" w:color="auto"/>
        <w:right w:val="none" w:sz="0" w:space="0" w:color="auto"/>
      </w:divBdr>
    </w:div>
    <w:div w:id="1553157326">
      <w:bodyDiv w:val="1"/>
      <w:marLeft w:val="0"/>
      <w:marRight w:val="0"/>
      <w:marTop w:val="0"/>
      <w:marBottom w:val="0"/>
      <w:divBdr>
        <w:top w:val="none" w:sz="0" w:space="0" w:color="auto"/>
        <w:left w:val="none" w:sz="0" w:space="0" w:color="auto"/>
        <w:bottom w:val="none" w:sz="0" w:space="0" w:color="auto"/>
        <w:right w:val="none" w:sz="0" w:space="0" w:color="auto"/>
      </w:divBdr>
    </w:div>
    <w:div w:id="1553300678">
      <w:bodyDiv w:val="1"/>
      <w:marLeft w:val="0"/>
      <w:marRight w:val="0"/>
      <w:marTop w:val="0"/>
      <w:marBottom w:val="0"/>
      <w:divBdr>
        <w:top w:val="none" w:sz="0" w:space="0" w:color="auto"/>
        <w:left w:val="none" w:sz="0" w:space="0" w:color="auto"/>
        <w:bottom w:val="none" w:sz="0" w:space="0" w:color="auto"/>
        <w:right w:val="none" w:sz="0" w:space="0" w:color="auto"/>
      </w:divBdr>
    </w:div>
    <w:div w:id="1553422760">
      <w:bodyDiv w:val="1"/>
      <w:marLeft w:val="0"/>
      <w:marRight w:val="0"/>
      <w:marTop w:val="0"/>
      <w:marBottom w:val="0"/>
      <w:divBdr>
        <w:top w:val="none" w:sz="0" w:space="0" w:color="auto"/>
        <w:left w:val="none" w:sz="0" w:space="0" w:color="auto"/>
        <w:bottom w:val="none" w:sz="0" w:space="0" w:color="auto"/>
        <w:right w:val="none" w:sz="0" w:space="0" w:color="auto"/>
      </w:divBdr>
    </w:div>
    <w:div w:id="1553466756">
      <w:bodyDiv w:val="1"/>
      <w:marLeft w:val="0"/>
      <w:marRight w:val="0"/>
      <w:marTop w:val="0"/>
      <w:marBottom w:val="0"/>
      <w:divBdr>
        <w:top w:val="none" w:sz="0" w:space="0" w:color="auto"/>
        <w:left w:val="none" w:sz="0" w:space="0" w:color="auto"/>
        <w:bottom w:val="none" w:sz="0" w:space="0" w:color="auto"/>
        <w:right w:val="none" w:sz="0" w:space="0" w:color="auto"/>
      </w:divBdr>
    </w:div>
    <w:div w:id="1553538464">
      <w:bodyDiv w:val="1"/>
      <w:marLeft w:val="0"/>
      <w:marRight w:val="0"/>
      <w:marTop w:val="0"/>
      <w:marBottom w:val="0"/>
      <w:divBdr>
        <w:top w:val="none" w:sz="0" w:space="0" w:color="auto"/>
        <w:left w:val="none" w:sz="0" w:space="0" w:color="auto"/>
        <w:bottom w:val="none" w:sz="0" w:space="0" w:color="auto"/>
        <w:right w:val="none" w:sz="0" w:space="0" w:color="auto"/>
      </w:divBdr>
    </w:div>
    <w:div w:id="1553690056">
      <w:bodyDiv w:val="1"/>
      <w:marLeft w:val="0"/>
      <w:marRight w:val="0"/>
      <w:marTop w:val="0"/>
      <w:marBottom w:val="0"/>
      <w:divBdr>
        <w:top w:val="none" w:sz="0" w:space="0" w:color="auto"/>
        <w:left w:val="none" w:sz="0" w:space="0" w:color="auto"/>
        <w:bottom w:val="none" w:sz="0" w:space="0" w:color="auto"/>
        <w:right w:val="none" w:sz="0" w:space="0" w:color="auto"/>
      </w:divBdr>
    </w:div>
    <w:div w:id="1553729344">
      <w:bodyDiv w:val="1"/>
      <w:marLeft w:val="0"/>
      <w:marRight w:val="0"/>
      <w:marTop w:val="0"/>
      <w:marBottom w:val="0"/>
      <w:divBdr>
        <w:top w:val="none" w:sz="0" w:space="0" w:color="auto"/>
        <w:left w:val="none" w:sz="0" w:space="0" w:color="auto"/>
        <w:bottom w:val="none" w:sz="0" w:space="0" w:color="auto"/>
        <w:right w:val="none" w:sz="0" w:space="0" w:color="auto"/>
      </w:divBdr>
    </w:div>
    <w:div w:id="1553731083">
      <w:bodyDiv w:val="1"/>
      <w:marLeft w:val="0"/>
      <w:marRight w:val="0"/>
      <w:marTop w:val="0"/>
      <w:marBottom w:val="0"/>
      <w:divBdr>
        <w:top w:val="none" w:sz="0" w:space="0" w:color="auto"/>
        <w:left w:val="none" w:sz="0" w:space="0" w:color="auto"/>
        <w:bottom w:val="none" w:sz="0" w:space="0" w:color="auto"/>
        <w:right w:val="none" w:sz="0" w:space="0" w:color="auto"/>
      </w:divBdr>
    </w:div>
    <w:div w:id="1553734645">
      <w:bodyDiv w:val="1"/>
      <w:marLeft w:val="0"/>
      <w:marRight w:val="0"/>
      <w:marTop w:val="0"/>
      <w:marBottom w:val="0"/>
      <w:divBdr>
        <w:top w:val="none" w:sz="0" w:space="0" w:color="auto"/>
        <w:left w:val="none" w:sz="0" w:space="0" w:color="auto"/>
        <w:bottom w:val="none" w:sz="0" w:space="0" w:color="auto"/>
        <w:right w:val="none" w:sz="0" w:space="0" w:color="auto"/>
      </w:divBdr>
    </w:div>
    <w:div w:id="1553924560">
      <w:bodyDiv w:val="1"/>
      <w:marLeft w:val="0"/>
      <w:marRight w:val="0"/>
      <w:marTop w:val="0"/>
      <w:marBottom w:val="0"/>
      <w:divBdr>
        <w:top w:val="none" w:sz="0" w:space="0" w:color="auto"/>
        <w:left w:val="none" w:sz="0" w:space="0" w:color="auto"/>
        <w:bottom w:val="none" w:sz="0" w:space="0" w:color="auto"/>
        <w:right w:val="none" w:sz="0" w:space="0" w:color="auto"/>
      </w:divBdr>
    </w:div>
    <w:div w:id="1553999319">
      <w:bodyDiv w:val="1"/>
      <w:marLeft w:val="0"/>
      <w:marRight w:val="0"/>
      <w:marTop w:val="0"/>
      <w:marBottom w:val="0"/>
      <w:divBdr>
        <w:top w:val="none" w:sz="0" w:space="0" w:color="auto"/>
        <w:left w:val="none" w:sz="0" w:space="0" w:color="auto"/>
        <w:bottom w:val="none" w:sz="0" w:space="0" w:color="auto"/>
        <w:right w:val="none" w:sz="0" w:space="0" w:color="auto"/>
      </w:divBdr>
    </w:div>
    <w:div w:id="1554123935">
      <w:bodyDiv w:val="1"/>
      <w:marLeft w:val="0"/>
      <w:marRight w:val="0"/>
      <w:marTop w:val="0"/>
      <w:marBottom w:val="0"/>
      <w:divBdr>
        <w:top w:val="none" w:sz="0" w:space="0" w:color="auto"/>
        <w:left w:val="none" w:sz="0" w:space="0" w:color="auto"/>
        <w:bottom w:val="none" w:sz="0" w:space="0" w:color="auto"/>
        <w:right w:val="none" w:sz="0" w:space="0" w:color="auto"/>
      </w:divBdr>
    </w:div>
    <w:div w:id="1554152201">
      <w:bodyDiv w:val="1"/>
      <w:marLeft w:val="0"/>
      <w:marRight w:val="0"/>
      <w:marTop w:val="0"/>
      <w:marBottom w:val="0"/>
      <w:divBdr>
        <w:top w:val="none" w:sz="0" w:space="0" w:color="auto"/>
        <w:left w:val="none" w:sz="0" w:space="0" w:color="auto"/>
        <w:bottom w:val="none" w:sz="0" w:space="0" w:color="auto"/>
        <w:right w:val="none" w:sz="0" w:space="0" w:color="auto"/>
      </w:divBdr>
    </w:div>
    <w:div w:id="1554391092">
      <w:bodyDiv w:val="1"/>
      <w:marLeft w:val="0"/>
      <w:marRight w:val="0"/>
      <w:marTop w:val="0"/>
      <w:marBottom w:val="0"/>
      <w:divBdr>
        <w:top w:val="none" w:sz="0" w:space="0" w:color="auto"/>
        <w:left w:val="none" w:sz="0" w:space="0" w:color="auto"/>
        <w:bottom w:val="none" w:sz="0" w:space="0" w:color="auto"/>
        <w:right w:val="none" w:sz="0" w:space="0" w:color="auto"/>
      </w:divBdr>
    </w:div>
    <w:div w:id="1554543395">
      <w:bodyDiv w:val="1"/>
      <w:marLeft w:val="0"/>
      <w:marRight w:val="0"/>
      <w:marTop w:val="0"/>
      <w:marBottom w:val="0"/>
      <w:divBdr>
        <w:top w:val="none" w:sz="0" w:space="0" w:color="auto"/>
        <w:left w:val="none" w:sz="0" w:space="0" w:color="auto"/>
        <w:bottom w:val="none" w:sz="0" w:space="0" w:color="auto"/>
        <w:right w:val="none" w:sz="0" w:space="0" w:color="auto"/>
      </w:divBdr>
    </w:div>
    <w:div w:id="1554655864">
      <w:bodyDiv w:val="1"/>
      <w:marLeft w:val="0"/>
      <w:marRight w:val="0"/>
      <w:marTop w:val="0"/>
      <w:marBottom w:val="0"/>
      <w:divBdr>
        <w:top w:val="none" w:sz="0" w:space="0" w:color="auto"/>
        <w:left w:val="none" w:sz="0" w:space="0" w:color="auto"/>
        <w:bottom w:val="none" w:sz="0" w:space="0" w:color="auto"/>
        <w:right w:val="none" w:sz="0" w:space="0" w:color="auto"/>
      </w:divBdr>
    </w:div>
    <w:div w:id="1554730906">
      <w:bodyDiv w:val="1"/>
      <w:marLeft w:val="0"/>
      <w:marRight w:val="0"/>
      <w:marTop w:val="0"/>
      <w:marBottom w:val="0"/>
      <w:divBdr>
        <w:top w:val="none" w:sz="0" w:space="0" w:color="auto"/>
        <w:left w:val="none" w:sz="0" w:space="0" w:color="auto"/>
        <w:bottom w:val="none" w:sz="0" w:space="0" w:color="auto"/>
        <w:right w:val="none" w:sz="0" w:space="0" w:color="auto"/>
      </w:divBdr>
    </w:div>
    <w:div w:id="1554735802">
      <w:bodyDiv w:val="1"/>
      <w:marLeft w:val="0"/>
      <w:marRight w:val="0"/>
      <w:marTop w:val="0"/>
      <w:marBottom w:val="0"/>
      <w:divBdr>
        <w:top w:val="none" w:sz="0" w:space="0" w:color="auto"/>
        <w:left w:val="none" w:sz="0" w:space="0" w:color="auto"/>
        <w:bottom w:val="none" w:sz="0" w:space="0" w:color="auto"/>
        <w:right w:val="none" w:sz="0" w:space="0" w:color="auto"/>
      </w:divBdr>
    </w:div>
    <w:div w:id="1554736711">
      <w:bodyDiv w:val="1"/>
      <w:marLeft w:val="0"/>
      <w:marRight w:val="0"/>
      <w:marTop w:val="0"/>
      <w:marBottom w:val="0"/>
      <w:divBdr>
        <w:top w:val="none" w:sz="0" w:space="0" w:color="auto"/>
        <w:left w:val="none" w:sz="0" w:space="0" w:color="auto"/>
        <w:bottom w:val="none" w:sz="0" w:space="0" w:color="auto"/>
        <w:right w:val="none" w:sz="0" w:space="0" w:color="auto"/>
      </w:divBdr>
    </w:div>
    <w:div w:id="1554851910">
      <w:bodyDiv w:val="1"/>
      <w:marLeft w:val="0"/>
      <w:marRight w:val="0"/>
      <w:marTop w:val="0"/>
      <w:marBottom w:val="0"/>
      <w:divBdr>
        <w:top w:val="none" w:sz="0" w:space="0" w:color="auto"/>
        <w:left w:val="none" w:sz="0" w:space="0" w:color="auto"/>
        <w:bottom w:val="none" w:sz="0" w:space="0" w:color="auto"/>
        <w:right w:val="none" w:sz="0" w:space="0" w:color="auto"/>
      </w:divBdr>
    </w:div>
    <w:div w:id="1554925014">
      <w:bodyDiv w:val="1"/>
      <w:marLeft w:val="0"/>
      <w:marRight w:val="0"/>
      <w:marTop w:val="0"/>
      <w:marBottom w:val="0"/>
      <w:divBdr>
        <w:top w:val="none" w:sz="0" w:space="0" w:color="auto"/>
        <w:left w:val="none" w:sz="0" w:space="0" w:color="auto"/>
        <w:bottom w:val="none" w:sz="0" w:space="0" w:color="auto"/>
        <w:right w:val="none" w:sz="0" w:space="0" w:color="auto"/>
      </w:divBdr>
    </w:div>
    <w:div w:id="1554999477">
      <w:bodyDiv w:val="1"/>
      <w:marLeft w:val="0"/>
      <w:marRight w:val="0"/>
      <w:marTop w:val="0"/>
      <w:marBottom w:val="0"/>
      <w:divBdr>
        <w:top w:val="none" w:sz="0" w:space="0" w:color="auto"/>
        <w:left w:val="none" w:sz="0" w:space="0" w:color="auto"/>
        <w:bottom w:val="none" w:sz="0" w:space="0" w:color="auto"/>
        <w:right w:val="none" w:sz="0" w:space="0" w:color="auto"/>
      </w:divBdr>
    </w:div>
    <w:div w:id="1555003774">
      <w:bodyDiv w:val="1"/>
      <w:marLeft w:val="0"/>
      <w:marRight w:val="0"/>
      <w:marTop w:val="0"/>
      <w:marBottom w:val="0"/>
      <w:divBdr>
        <w:top w:val="none" w:sz="0" w:space="0" w:color="auto"/>
        <w:left w:val="none" w:sz="0" w:space="0" w:color="auto"/>
        <w:bottom w:val="none" w:sz="0" w:space="0" w:color="auto"/>
        <w:right w:val="none" w:sz="0" w:space="0" w:color="auto"/>
      </w:divBdr>
    </w:div>
    <w:div w:id="1555039490">
      <w:bodyDiv w:val="1"/>
      <w:marLeft w:val="0"/>
      <w:marRight w:val="0"/>
      <w:marTop w:val="0"/>
      <w:marBottom w:val="0"/>
      <w:divBdr>
        <w:top w:val="none" w:sz="0" w:space="0" w:color="auto"/>
        <w:left w:val="none" w:sz="0" w:space="0" w:color="auto"/>
        <w:bottom w:val="none" w:sz="0" w:space="0" w:color="auto"/>
        <w:right w:val="none" w:sz="0" w:space="0" w:color="auto"/>
      </w:divBdr>
    </w:div>
    <w:div w:id="1555042045">
      <w:bodyDiv w:val="1"/>
      <w:marLeft w:val="0"/>
      <w:marRight w:val="0"/>
      <w:marTop w:val="0"/>
      <w:marBottom w:val="0"/>
      <w:divBdr>
        <w:top w:val="none" w:sz="0" w:space="0" w:color="auto"/>
        <w:left w:val="none" w:sz="0" w:space="0" w:color="auto"/>
        <w:bottom w:val="none" w:sz="0" w:space="0" w:color="auto"/>
        <w:right w:val="none" w:sz="0" w:space="0" w:color="auto"/>
      </w:divBdr>
    </w:div>
    <w:div w:id="1555047202">
      <w:bodyDiv w:val="1"/>
      <w:marLeft w:val="0"/>
      <w:marRight w:val="0"/>
      <w:marTop w:val="0"/>
      <w:marBottom w:val="0"/>
      <w:divBdr>
        <w:top w:val="none" w:sz="0" w:space="0" w:color="auto"/>
        <w:left w:val="none" w:sz="0" w:space="0" w:color="auto"/>
        <w:bottom w:val="none" w:sz="0" w:space="0" w:color="auto"/>
        <w:right w:val="none" w:sz="0" w:space="0" w:color="auto"/>
      </w:divBdr>
    </w:div>
    <w:div w:id="1555122368">
      <w:bodyDiv w:val="1"/>
      <w:marLeft w:val="0"/>
      <w:marRight w:val="0"/>
      <w:marTop w:val="0"/>
      <w:marBottom w:val="0"/>
      <w:divBdr>
        <w:top w:val="none" w:sz="0" w:space="0" w:color="auto"/>
        <w:left w:val="none" w:sz="0" w:space="0" w:color="auto"/>
        <w:bottom w:val="none" w:sz="0" w:space="0" w:color="auto"/>
        <w:right w:val="none" w:sz="0" w:space="0" w:color="auto"/>
      </w:divBdr>
    </w:div>
    <w:div w:id="1555196560">
      <w:bodyDiv w:val="1"/>
      <w:marLeft w:val="0"/>
      <w:marRight w:val="0"/>
      <w:marTop w:val="0"/>
      <w:marBottom w:val="0"/>
      <w:divBdr>
        <w:top w:val="none" w:sz="0" w:space="0" w:color="auto"/>
        <w:left w:val="none" w:sz="0" w:space="0" w:color="auto"/>
        <w:bottom w:val="none" w:sz="0" w:space="0" w:color="auto"/>
        <w:right w:val="none" w:sz="0" w:space="0" w:color="auto"/>
      </w:divBdr>
    </w:div>
    <w:div w:id="1555383258">
      <w:bodyDiv w:val="1"/>
      <w:marLeft w:val="0"/>
      <w:marRight w:val="0"/>
      <w:marTop w:val="0"/>
      <w:marBottom w:val="0"/>
      <w:divBdr>
        <w:top w:val="none" w:sz="0" w:space="0" w:color="auto"/>
        <w:left w:val="none" w:sz="0" w:space="0" w:color="auto"/>
        <w:bottom w:val="none" w:sz="0" w:space="0" w:color="auto"/>
        <w:right w:val="none" w:sz="0" w:space="0" w:color="auto"/>
      </w:divBdr>
    </w:div>
    <w:div w:id="1555389623">
      <w:bodyDiv w:val="1"/>
      <w:marLeft w:val="0"/>
      <w:marRight w:val="0"/>
      <w:marTop w:val="0"/>
      <w:marBottom w:val="0"/>
      <w:divBdr>
        <w:top w:val="none" w:sz="0" w:space="0" w:color="auto"/>
        <w:left w:val="none" w:sz="0" w:space="0" w:color="auto"/>
        <w:bottom w:val="none" w:sz="0" w:space="0" w:color="auto"/>
        <w:right w:val="none" w:sz="0" w:space="0" w:color="auto"/>
      </w:divBdr>
    </w:div>
    <w:div w:id="1555391749">
      <w:bodyDiv w:val="1"/>
      <w:marLeft w:val="0"/>
      <w:marRight w:val="0"/>
      <w:marTop w:val="0"/>
      <w:marBottom w:val="0"/>
      <w:divBdr>
        <w:top w:val="none" w:sz="0" w:space="0" w:color="auto"/>
        <w:left w:val="none" w:sz="0" w:space="0" w:color="auto"/>
        <w:bottom w:val="none" w:sz="0" w:space="0" w:color="auto"/>
        <w:right w:val="none" w:sz="0" w:space="0" w:color="auto"/>
      </w:divBdr>
    </w:div>
    <w:div w:id="1555510587">
      <w:bodyDiv w:val="1"/>
      <w:marLeft w:val="0"/>
      <w:marRight w:val="0"/>
      <w:marTop w:val="0"/>
      <w:marBottom w:val="0"/>
      <w:divBdr>
        <w:top w:val="none" w:sz="0" w:space="0" w:color="auto"/>
        <w:left w:val="none" w:sz="0" w:space="0" w:color="auto"/>
        <w:bottom w:val="none" w:sz="0" w:space="0" w:color="auto"/>
        <w:right w:val="none" w:sz="0" w:space="0" w:color="auto"/>
      </w:divBdr>
    </w:div>
    <w:div w:id="1555578594">
      <w:bodyDiv w:val="1"/>
      <w:marLeft w:val="0"/>
      <w:marRight w:val="0"/>
      <w:marTop w:val="0"/>
      <w:marBottom w:val="0"/>
      <w:divBdr>
        <w:top w:val="none" w:sz="0" w:space="0" w:color="auto"/>
        <w:left w:val="none" w:sz="0" w:space="0" w:color="auto"/>
        <w:bottom w:val="none" w:sz="0" w:space="0" w:color="auto"/>
        <w:right w:val="none" w:sz="0" w:space="0" w:color="auto"/>
      </w:divBdr>
    </w:div>
    <w:div w:id="1555581958">
      <w:bodyDiv w:val="1"/>
      <w:marLeft w:val="0"/>
      <w:marRight w:val="0"/>
      <w:marTop w:val="0"/>
      <w:marBottom w:val="0"/>
      <w:divBdr>
        <w:top w:val="none" w:sz="0" w:space="0" w:color="auto"/>
        <w:left w:val="none" w:sz="0" w:space="0" w:color="auto"/>
        <w:bottom w:val="none" w:sz="0" w:space="0" w:color="auto"/>
        <w:right w:val="none" w:sz="0" w:space="0" w:color="auto"/>
      </w:divBdr>
    </w:div>
    <w:div w:id="1555698933">
      <w:bodyDiv w:val="1"/>
      <w:marLeft w:val="0"/>
      <w:marRight w:val="0"/>
      <w:marTop w:val="0"/>
      <w:marBottom w:val="0"/>
      <w:divBdr>
        <w:top w:val="none" w:sz="0" w:space="0" w:color="auto"/>
        <w:left w:val="none" w:sz="0" w:space="0" w:color="auto"/>
        <w:bottom w:val="none" w:sz="0" w:space="0" w:color="auto"/>
        <w:right w:val="none" w:sz="0" w:space="0" w:color="auto"/>
      </w:divBdr>
    </w:div>
    <w:div w:id="1555777670">
      <w:bodyDiv w:val="1"/>
      <w:marLeft w:val="0"/>
      <w:marRight w:val="0"/>
      <w:marTop w:val="0"/>
      <w:marBottom w:val="0"/>
      <w:divBdr>
        <w:top w:val="none" w:sz="0" w:space="0" w:color="auto"/>
        <w:left w:val="none" w:sz="0" w:space="0" w:color="auto"/>
        <w:bottom w:val="none" w:sz="0" w:space="0" w:color="auto"/>
        <w:right w:val="none" w:sz="0" w:space="0" w:color="auto"/>
      </w:divBdr>
    </w:div>
    <w:div w:id="1555852354">
      <w:bodyDiv w:val="1"/>
      <w:marLeft w:val="0"/>
      <w:marRight w:val="0"/>
      <w:marTop w:val="0"/>
      <w:marBottom w:val="0"/>
      <w:divBdr>
        <w:top w:val="none" w:sz="0" w:space="0" w:color="auto"/>
        <w:left w:val="none" w:sz="0" w:space="0" w:color="auto"/>
        <w:bottom w:val="none" w:sz="0" w:space="0" w:color="auto"/>
        <w:right w:val="none" w:sz="0" w:space="0" w:color="auto"/>
      </w:divBdr>
    </w:div>
    <w:div w:id="1555970885">
      <w:bodyDiv w:val="1"/>
      <w:marLeft w:val="0"/>
      <w:marRight w:val="0"/>
      <w:marTop w:val="0"/>
      <w:marBottom w:val="0"/>
      <w:divBdr>
        <w:top w:val="none" w:sz="0" w:space="0" w:color="auto"/>
        <w:left w:val="none" w:sz="0" w:space="0" w:color="auto"/>
        <w:bottom w:val="none" w:sz="0" w:space="0" w:color="auto"/>
        <w:right w:val="none" w:sz="0" w:space="0" w:color="auto"/>
      </w:divBdr>
    </w:div>
    <w:div w:id="1556089405">
      <w:bodyDiv w:val="1"/>
      <w:marLeft w:val="0"/>
      <w:marRight w:val="0"/>
      <w:marTop w:val="0"/>
      <w:marBottom w:val="0"/>
      <w:divBdr>
        <w:top w:val="none" w:sz="0" w:space="0" w:color="auto"/>
        <w:left w:val="none" w:sz="0" w:space="0" w:color="auto"/>
        <w:bottom w:val="none" w:sz="0" w:space="0" w:color="auto"/>
        <w:right w:val="none" w:sz="0" w:space="0" w:color="auto"/>
      </w:divBdr>
    </w:div>
    <w:div w:id="1556089699">
      <w:bodyDiv w:val="1"/>
      <w:marLeft w:val="0"/>
      <w:marRight w:val="0"/>
      <w:marTop w:val="0"/>
      <w:marBottom w:val="0"/>
      <w:divBdr>
        <w:top w:val="none" w:sz="0" w:space="0" w:color="auto"/>
        <w:left w:val="none" w:sz="0" w:space="0" w:color="auto"/>
        <w:bottom w:val="none" w:sz="0" w:space="0" w:color="auto"/>
        <w:right w:val="none" w:sz="0" w:space="0" w:color="auto"/>
      </w:divBdr>
    </w:div>
    <w:div w:id="1556165549">
      <w:bodyDiv w:val="1"/>
      <w:marLeft w:val="0"/>
      <w:marRight w:val="0"/>
      <w:marTop w:val="0"/>
      <w:marBottom w:val="0"/>
      <w:divBdr>
        <w:top w:val="none" w:sz="0" w:space="0" w:color="auto"/>
        <w:left w:val="none" w:sz="0" w:space="0" w:color="auto"/>
        <w:bottom w:val="none" w:sz="0" w:space="0" w:color="auto"/>
        <w:right w:val="none" w:sz="0" w:space="0" w:color="auto"/>
      </w:divBdr>
    </w:div>
    <w:div w:id="1556507330">
      <w:bodyDiv w:val="1"/>
      <w:marLeft w:val="0"/>
      <w:marRight w:val="0"/>
      <w:marTop w:val="0"/>
      <w:marBottom w:val="0"/>
      <w:divBdr>
        <w:top w:val="none" w:sz="0" w:space="0" w:color="auto"/>
        <w:left w:val="none" w:sz="0" w:space="0" w:color="auto"/>
        <w:bottom w:val="none" w:sz="0" w:space="0" w:color="auto"/>
        <w:right w:val="none" w:sz="0" w:space="0" w:color="auto"/>
      </w:divBdr>
    </w:div>
    <w:div w:id="1556545779">
      <w:bodyDiv w:val="1"/>
      <w:marLeft w:val="0"/>
      <w:marRight w:val="0"/>
      <w:marTop w:val="0"/>
      <w:marBottom w:val="0"/>
      <w:divBdr>
        <w:top w:val="none" w:sz="0" w:space="0" w:color="auto"/>
        <w:left w:val="none" w:sz="0" w:space="0" w:color="auto"/>
        <w:bottom w:val="none" w:sz="0" w:space="0" w:color="auto"/>
        <w:right w:val="none" w:sz="0" w:space="0" w:color="auto"/>
      </w:divBdr>
    </w:div>
    <w:div w:id="1556550613">
      <w:bodyDiv w:val="1"/>
      <w:marLeft w:val="0"/>
      <w:marRight w:val="0"/>
      <w:marTop w:val="0"/>
      <w:marBottom w:val="0"/>
      <w:divBdr>
        <w:top w:val="none" w:sz="0" w:space="0" w:color="auto"/>
        <w:left w:val="none" w:sz="0" w:space="0" w:color="auto"/>
        <w:bottom w:val="none" w:sz="0" w:space="0" w:color="auto"/>
        <w:right w:val="none" w:sz="0" w:space="0" w:color="auto"/>
      </w:divBdr>
    </w:div>
    <w:div w:id="1556693567">
      <w:bodyDiv w:val="1"/>
      <w:marLeft w:val="0"/>
      <w:marRight w:val="0"/>
      <w:marTop w:val="0"/>
      <w:marBottom w:val="0"/>
      <w:divBdr>
        <w:top w:val="none" w:sz="0" w:space="0" w:color="auto"/>
        <w:left w:val="none" w:sz="0" w:space="0" w:color="auto"/>
        <w:bottom w:val="none" w:sz="0" w:space="0" w:color="auto"/>
        <w:right w:val="none" w:sz="0" w:space="0" w:color="auto"/>
      </w:divBdr>
    </w:div>
    <w:div w:id="1556774026">
      <w:bodyDiv w:val="1"/>
      <w:marLeft w:val="0"/>
      <w:marRight w:val="0"/>
      <w:marTop w:val="0"/>
      <w:marBottom w:val="0"/>
      <w:divBdr>
        <w:top w:val="none" w:sz="0" w:space="0" w:color="auto"/>
        <w:left w:val="none" w:sz="0" w:space="0" w:color="auto"/>
        <w:bottom w:val="none" w:sz="0" w:space="0" w:color="auto"/>
        <w:right w:val="none" w:sz="0" w:space="0" w:color="auto"/>
      </w:divBdr>
    </w:div>
    <w:div w:id="1556887433">
      <w:bodyDiv w:val="1"/>
      <w:marLeft w:val="0"/>
      <w:marRight w:val="0"/>
      <w:marTop w:val="0"/>
      <w:marBottom w:val="0"/>
      <w:divBdr>
        <w:top w:val="none" w:sz="0" w:space="0" w:color="auto"/>
        <w:left w:val="none" w:sz="0" w:space="0" w:color="auto"/>
        <w:bottom w:val="none" w:sz="0" w:space="0" w:color="auto"/>
        <w:right w:val="none" w:sz="0" w:space="0" w:color="auto"/>
      </w:divBdr>
    </w:div>
    <w:div w:id="1556891133">
      <w:bodyDiv w:val="1"/>
      <w:marLeft w:val="0"/>
      <w:marRight w:val="0"/>
      <w:marTop w:val="0"/>
      <w:marBottom w:val="0"/>
      <w:divBdr>
        <w:top w:val="none" w:sz="0" w:space="0" w:color="auto"/>
        <w:left w:val="none" w:sz="0" w:space="0" w:color="auto"/>
        <w:bottom w:val="none" w:sz="0" w:space="0" w:color="auto"/>
        <w:right w:val="none" w:sz="0" w:space="0" w:color="auto"/>
      </w:divBdr>
    </w:div>
    <w:div w:id="1556891638">
      <w:bodyDiv w:val="1"/>
      <w:marLeft w:val="0"/>
      <w:marRight w:val="0"/>
      <w:marTop w:val="0"/>
      <w:marBottom w:val="0"/>
      <w:divBdr>
        <w:top w:val="none" w:sz="0" w:space="0" w:color="auto"/>
        <w:left w:val="none" w:sz="0" w:space="0" w:color="auto"/>
        <w:bottom w:val="none" w:sz="0" w:space="0" w:color="auto"/>
        <w:right w:val="none" w:sz="0" w:space="0" w:color="auto"/>
      </w:divBdr>
    </w:div>
    <w:div w:id="1556964580">
      <w:bodyDiv w:val="1"/>
      <w:marLeft w:val="0"/>
      <w:marRight w:val="0"/>
      <w:marTop w:val="0"/>
      <w:marBottom w:val="0"/>
      <w:divBdr>
        <w:top w:val="none" w:sz="0" w:space="0" w:color="auto"/>
        <w:left w:val="none" w:sz="0" w:space="0" w:color="auto"/>
        <w:bottom w:val="none" w:sz="0" w:space="0" w:color="auto"/>
        <w:right w:val="none" w:sz="0" w:space="0" w:color="auto"/>
      </w:divBdr>
    </w:div>
    <w:div w:id="1556969927">
      <w:bodyDiv w:val="1"/>
      <w:marLeft w:val="0"/>
      <w:marRight w:val="0"/>
      <w:marTop w:val="0"/>
      <w:marBottom w:val="0"/>
      <w:divBdr>
        <w:top w:val="none" w:sz="0" w:space="0" w:color="auto"/>
        <w:left w:val="none" w:sz="0" w:space="0" w:color="auto"/>
        <w:bottom w:val="none" w:sz="0" w:space="0" w:color="auto"/>
        <w:right w:val="none" w:sz="0" w:space="0" w:color="auto"/>
      </w:divBdr>
    </w:div>
    <w:div w:id="1557155588">
      <w:bodyDiv w:val="1"/>
      <w:marLeft w:val="0"/>
      <w:marRight w:val="0"/>
      <w:marTop w:val="0"/>
      <w:marBottom w:val="0"/>
      <w:divBdr>
        <w:top w:val="none" w:sz="0" w:space="0" w:color="auto"/>
        <w:left w:val="none" w:sz="0" w:space="0" w:color="auto"/>
        <w:bottom w:val="none" w:sz="0" w:space="0" w:color="auto"/>
        <w:right w:val="none" w:sz="0" w:space="0" w:color="auto"/>
      </w:divBdr>
    </w:div>
    <w:div w:id="1557162864">
      <w:bodyDiv w:val="1"/>
      <w:marLeft w:val="0"/>
      <w:marRight w:val="0"/>
      <w:marTop w:val="0"/>
      <w:marBottom w:val="0"/>
      <w:divBdr>
        <w:top w:val="none" w:sz="0" w:space="0" w:color="auto"/>
        <w:left w:val="none" w:sz="0" w:space="0" w:color="auto"/>
        <w:bottom w:val="none" w:sz="0" w:space="0" w:color="auto"/>
        <w:right w:val="none" w:sz="0" w:space="0" w:color="auto"/>
      </w:divBdr>
    </w:div>
    <w:div w:id="1557203377">
      <w:bodyDiv w:val="1"/>
      <w:marLeft w:val="0"/>
      <w:marRight w:val="0"/>
      <w:marTop w:val="0"/>
      <w:marBottom w:val="0"/>
      <w:divBdr>
        <w:top w:val="none" w:sz="0" w:space="0" w:color="auto"/>
        <w:left w:val="none" w:sz="0" w:space="0" w:color="auto"/>
        <w:bottom w:val="none" w:sz="0" w:space="0" w:color="auto"/>
        <w:right w:val="none" w:sz="0" w:space="0" w:color="auto"/>
      </w:divBdr>
    </w:div>
    <w:div w:id="1557204318">
      <w:bodyDiv w:val="1"/>
      <w:marLeft w:val="0"/>
      <w:marRight w:val="0"/>
      <w:marTop w:val="0"/>
      <w:marBottom w:val="0"/>
      <w:divBdr>
        <w:top w:val="none" w:sz="0" w:space="0" w:color="auto"/>
        <w:left w:val="none" w:sz="0" w:space="0" w:color="auto"/>
        <w:bottom w:val="none" w:sz="0" w:space="0" w:color="auto"/>
        <w:right w:val="none" w:sz="0" w:space="0" w:color="auto"/>
      </w:divBdr>
    </w:div>
    <w:div w:id="1557280139">
      <w:bodyDiv w:val="1"/>
      <w:marLeft w:val="0"/>
      <w:marRight w:val="0"/>
      <w:marTop w:val="0"/>
      <w:marBottom w:val="0"/>
      <w:divBdr>
        <w:top w:val="none" w:sz="0" w:space="0" w:color="auto"/>
        <w:left w:val="none" w:sz="0" w:space="0" w:color="auto"/>
        <w:bottom w:val="none" w:sz="0" w:space="0" w:color="auto"/>
        <w:right w:val="none" w:sz="0" w:space="0" w:color="auto"/>
      </w:divBdr>
    </w:div>
    <w:div w:id="1557474313">
      <w:bodyDiv w:val="1"/>
      <w:marLeft w:val="0"/>
      <w:marRight w:val="0"/>
      <w:marTop w:val="0"/>
      <w:marBottom w:val="0"/>
      <w:divBdr>
        <w:top w:val="none" w:sz="0" w:space="0" w:color="auto"/>
        <w:left w:val="none" w:sz="0" w:space="0" w:color="auto"/>
        <w:bottom w:val="none" w:sz="0" w:space="0" w:color="auto"/>
        <w:right w:val="none" w:sz="0" w:space="0" w:color="auto"/>
      </w:divBdr>
    </w:div>
    <w:div w:id="1557474803">
      <w:bodyDiv w:val="1"/>
      <w:marLeft w:val="0"/>
      <w:marRight w:val="0"/>
      <w:marTop w:val="0"/>
      <w:marBottom w:val="0"/>
      <w:divBdr>
        <w:top w:val="none" w:sz="0" w:space="0" w:color="auto"/>
        <w:left w:val="none" w:sz="0" w:space="0" w:color="auto"/>
        <w:bottom w:val="none" w:sz="0" w:space="0" w:color="auto"/>
        <w:right w:val="none" w:sz="0" w:space="0" w:color="auto"/>
      </w:divBdr>
    </w:div>
    <w:div w:id="1557542707">
      <w:bodyDiv w:val="1"/>
      <w:marLeft w:val="0"/>
      <w:marRight w:val="0"/>
      <w:marTop w:val="0"/>
      <w:marBottom w:val="0"/>
      <w:divBdr>
        <w:top w:val="none" w:sz="0" w:space="0" w:color="auto"/>
        <w:left w:val="none" w:sz="0" w:space="0" w:color="auto"/>
        <w:bottom w:val="none" w:sz="0" w:space="0" w:color="auto"/>
        <w:right w:val="none" w:sz="0" w:space="0" w:color="auto"/>
      </w:divBdr>
    </w:div>
    <w:div w:id="1557620945">
      <w:bodyDiv w:val="1"/>
      <w:marLeft w:val="0"/>
      <w:marRight w:val="0"/>
      <w:marTop w:val="0"/>
      <w:marBottom w:val="0"/>
      <w:divBdr>
        <w:top w:val="none" w:sz="0" w:space="0" w:color="auto"/>
        <w:left w:val="none" w:sz="0" w:space="0" w:color="auto"/>
        <w:bottom w:val="none" w:sz="0" w:space="0" w:color="auto"/>
        <w:right w:val="none" w:sz="0" w:space="0" w:color="auto"/>
      </w:divBdr>
    </w:div>
    <w:div w:id="1557623327">
      <w:bodyDiv w:val="1"/>
      <w:marLeft w:val="0"/>
      <w:marRight w:val="0"/>
      <w:marTop w:val="0"/>
      <w:marBottom w:val="0"/>
      <w:divBdr>
        <w:top w:val="none" w:sz="0" w:space="0" w:color="auto"/>
        <w:left w:val="none" w:sz="0" w:space="0" w:color="auto"/>
        <w:bottom w:val="none" w:sz="0" w:space="0" w:color="auto"/>
        <w:right w:val="none" w:sz="0" w:space="0" w:color="auto"/>
      </w:divBdr>
    </w:div>
    <w:div w:id="1557812969">
      <w:bodyDiv w:val="1"/>
      <w:marLeft w:val="0"/>
      <w:marRight w:val="0"/>
      <w:marTop w:val="0"/>
      <w:marBottom w:val="0"/>
      <w:divBdr>
        <w:top w:val="none" w:sz="0" w:space="0" w:color="auto"/>
        <w:left w:val="none" w:sz="0" w:space="0" w:color="auto"/>
        <w:bottom w:val="none" w:sz="0" w:space="0" w:color="auto"/>
        <w:right w:val="none" w:sz="0" w:space="0" w:color="auto"/>
      </w:divBdr>
    </w:div>
    <w:div w:id="1557930534">
      <w:bodyDiv w:val="1"/>
      <w:marLeft w:val="0"/>
      <w:marRight w:val="0"/>
      <w:marTop w:val="0"/>
      <w:marBottom w:val="0"/>
      <w:divBdr>
        <w:top w:val="none" w:sz="0" w:space="0" w:color="auto"/>
        <w:left w:val="none" w:sz="0" w:space="0" w:color="auto"/>
        <w:bottom w:val="none" w:sz="0" w:space="0" w:color="auto"/>
        <w:right w:val="none" w:sz="0" w:space="0" w:color="auto"/>
      </w:divBdr>
    </w:div>
    <w:div w:id="1557932925">
      <w:bodyDiv w:val="1"/>
      <w:marLeft w:val="0"/>
      <w:marRight w:val="0"/>
      <w:marTop w:val="0"/>
      <w:marBottom w:val="0"/>
      <w:divBdr>
        <w:top w:val="none" w:sz="0" w:space="0" w:color="auto"/>
        <w:left w:val="none" w:sz="0" w:space="0" w:color="auto"/>
        <w:bottom w:val="none" w:sz="0" w:space="0" w:color="auto"/>
        <w:right w:val="none" w:sz="0" w:space="0" w:color="auto"/>
      </w:divBdr>
    </w:div>
    <w:div w:id="1558011076">
      <w:bodyDiv w:val="1"/>
      <w:marLeft w:val="0"/>
      <w:marRight w:val="0"/>
      <w:marTop w:val="0"/>
      <w:marBottom w:val="0"/>
      <w:divBdr>
        <w:top w:val="none" w:sz="0" w:space="0" w:color="auto"/>
        <w:left w:val="none" w:sz="0" w:space="0" w:color="auto"/>
        <w:bottom w:val="none" w:sz="0" w:space="0" w:color="auto"/>
        <w:right w:val="none" w:sz="0" w:space="0" w:color="auto"/>
      </w:divBdr>
    </w:div>
    <w:div w:id="1558083013">
      <w:bodyDiv w:val="1"/>
      <w:marLeft w:val="0"/>
      <w:marRight w:val="0"/>
      <w:marTop w:val="0"/>
      <w:marBottom w:val="0"/>
      <w:divBdr>
        <w:top w:val="none" w:sz="0" w:space="0" w:color="auto"/>
        <w:left w:val="none" w:sz="0" w:space="0" w:color="auto"/>
        <w:bottom w:val="none" w:sz="0" w:space="0" w:color="auto"/>
        <w:right w:val="none" w:sz="0" w:space="0" w:color="auto"/>
      </w:divBdr>
    </w:div>
    <w:div w:id="1558127222">
      <w:bodyDiv w:val="1"/>
      <w:marLeft w:val="0"/>
      <w:marRight w:val="0"/>
      <w:marTop w:val="0"/>
      <w:marBottom w:val="0"/>
      <w:divBdr>
        <w:top w:val="none" w:sz="0" w:space="0" w:color="auto"/>
        <w:left w:val="none" w:sz="0" w:space="0" w:color="auto"/>
        <w:bottom w:val="none" w:sz="0" w:space="0" w:color="auto"/>
        <w:right w:val="none" w:sz="0" w:space="0" w:color="auto"/>
      </w:divBdr>
    </w:div>
    <w:div w:id="1558202747">
      <w:bodyDiv w:val="1"/>
      <w:marLeft w:val="0"/>
      <w:marRight w:val="0"/>
      <w:marTop w:val="0"/>
      <w:marBottom w:val="0"/>
      <w:divBdr>
        <w:top w:val="none" w:sz="0" w:space="0" w:color="auto"/>
        <w:left w:val="none" w:sz="0" w:space="0" w:color="auto"/>
        <w:bottom w:val="none" w:sz="0" w:space="0" w:color="auto"/>
        <w:right w:val="none" w:sz="0" w:space="0" w:color="auto"/>
      </w:divBdr>
    </w:div>
    <w:div w:id="1558275205">
      <w:bodyDiv w:val="1"/>
      <w:marLeft w:val="0"/>
      <w:marRight w:val="0"/>
      <w:marTop w:val="0"/>
      <w:marBottom w:val="0"/>
      <w:divBdr>
        <w:top w:val="none" w:sz="0" w:space="0" w:color="auto"/>
        <w:left w:val="none" w:sz="0" w:space="0" w:color="auto"/>
        <w:bottom w:val="none" w:sz="0" w:space="0" w:color="auto"/>
        <w:right w:val="none" w:sz="0" w:space="0" w:color="auto"/>
      </w:divBdr>
    </w:div>
    <w:div w:id="1558281253">
      <w:bodyDiv w:val="1"/>
      <w:marLeft w:val="0"/>
      <w:marRight w:val="0"/>
      <w:marTop w:val="0"/>
      <w:marBottom w:val="0"/>
      <w:divBdr>
        <w:top w:val="none" w:sz="0" w:space="0" w:color="auto"/>
        <w:left w:val="none" w:sz="0" w:space="0" w:color="auto"/>
        <w:bottom w:val="none" w:sz="0" w:space="0" w:color="auto"/>
        <w:right w:val="none" w:sz="0" w:space="0" w:color="auto"/>
      </w:divBdr>
    </w:div>
    <w:div w:id="1558395634">
      <w:bodyDiv w:val="1"/>
      <w:marLeft w:val="0"/>
      <w:marRight w:val="0"/>
      <w:marTop w:val="0"/>
      <w:marBottom w:val="0"/>
      <w:divBdr>
        <w:top w:val="none" w:sz="0" w:space="0" w:color="auto"/>
        <w:left w:val="none" w:sz="0" w:space="0" w:color="auto"/>
        <w:bottom w:val="none" w:sz="0" w:space="0" w:color="auto"/>
        <w:right w:val="none" w:sz="0" w:space="0" w:color="auto"/>
      </w:divBdr>
    </w:div>
    <w:div w:id="1558400069">
      <w:bodyDiv w:val="1"/>
      <w:marLeft w:val="0"/>
      <w:marRight w:val="0"/>
      <w:marTop w:val="0"/>
      <w:marBottom w:val="0"/>
      <w:divBdr>
        <w:top w:val="none" w:sz="0" w:space="0" w:color="auto"/>
        <w:left w:val="none" w:sz="0" w:space="0" w:color="auto"/>
        <w:bottom w:val="none" w:sz="0" w:space="0" w:color="auto"/>
        <w:right w:val="none" w:sz="0" w:space="0" w:color="auto"/>
      </w:divBdr>
    </w:div>
    <w:div w:id="1558666628">
      <w:bodyDiv w:val="1"/>
      <w:marLeft w:val="0"/>
      <w:marRight w:val="0"/>
      <w:marTop w:val="0"/>
      <w:marBottom w:val="0"/>
      <w:divBdr>
        <w:top w:val="none" w:sz="0" w:space="0" w:color="auto"/>
        <w:left w:val="none" w:sz="0" w:space="0" w:color="auto"/>
        <w:bottom w:val="none" w:sz="0" w:space="0" w:color="auto"/>
        <w:right w:val="none" w:sz="0" w:space="0" w:color="auto"/>
      </w:divBdr>
    </w:div>
    <w:div w:id="1558708745">
      <w:bodyDiv w:val="1"/>
      <w:marLeft w:val="0"/>
      <w:marRight w:val="0"/>
      <w:marTop w:val="0"/>
      <w:marBottom w:val="0"/>
      <w:divBdr>
        <w:top w:val="none" w:sz="0" w:space="0" w:color="auto"/>
        <w:left w:val="none" w:sz="0" w:space="0" w:color="auto"/>
        <w:bottom w:val="none" w:sz="0" w:space="0" w:color="auto"/>
        <w:right w:val="none" w:sz="0" w:space="0" w:color="auto"/>
      </w:divBdr>
    </w:div>
    <w:div w:id="1558736603">
      <w:bodyDiv w:val="1"/>
      <w:marLeft w:val="0"/>
      <w:marRight w:val="0"/>
      <w:marTop w:val="0"/>
      <w:marBottom w:val="0"/>
      <w:divBdr>
        <w:top w:val="none" w:sz="0" w:space="0" w:color="auto"/>
        <w:left w:val="none" w:sz="0" w:space="0" w:color="auto"/>
        <w:bottom w:val="none" w:sz="0" w:space="0" w:color="auto"/>
        <w:right w:val="none" w:sz="0" w:space="0" w:color="auto"/>
      </w:divBdr>
    </w:div>
    <w:div w:id="1558781518">
      <w:bodyDiv w:val="1"/>
      <w:marLeft w:val="0"/>
      <w:marRight w:val="0"/>
      <w:marTop w:val="0"/>
      <w:marBottom w:val="0"/>
      <w:divBdr>
        <w:top w:val="none" w:sz="0" w:space="0" w:color="auto"/>
        <w:left w:val="none" w:sz="0" w:space="0" w:color="auto"/>
        <w:bottom w:val="none" w:sz="0" w:space="0" w:color="auto"/>
        <w:right w:val="none" w:sz="0" w:space="0" w:color="auto"/>
      </w:divBdr>
    </w:div>
    <w:div w:id="1558785170">
      <w:bodyDiv w:val="1"/>
      <w:marLeft w:val="0"/>
      <w:marRight w:val="0"/>
      <w:marTop w:val="0"/>
      <w:marBottom w:val="0"/>
      <w:divBdr>
        <w:top w:val="none" w:sz="0" w:space="0" w:color="auto"/>
        <w:left w:val="none" w:sz="0" w:space="0" w:color="auto"/>
        <w:bottom w:val="none" w:sz="0" w:space="0" w:color="auto"/>
        <w:right w:val="none" w:sz="0" w:space="0" w:color="auto"/>
      </w:divBdr>
    </w:div>
    <w:div w:id="1558933453">
      <w:bodyDiv w:val="1"/>
      <w:marLeft w:val="0"/>
      <w:marRight w:val="0"/>
      <w:marTop w:val="0"/>
      <w:marBottom w:val="0"/>
      <w:divBdr>
        <w:top w:val="none" w:sz="0" w:space="0" w:color="auto"/>
        <w:left w:val="none" w:sz="0" w:space="0" w:color="auto"/>
        <w:bottom w:val="none" w:sz="0" w:space="0" w:color="auto"/>
        <w:right w:val="none" w:sz="0" w:space="0" w:color="auto"/>
      </w:divBdr>
    </w:div>
    <w:div w:id="1558933718">
      <w:bodyDiv w:val="1"/>
      <w:marLeft w:val="0"/>
      <w:marRight w:val="0"/>
      <w:marTop w:val="0"/>
      <w:marBottom w:val="0"/>
      <w:divBdr>
        <w:top w:val="none" w:sz="0" w:space="0" w:color="auto"/>
        <w:left w:val="none" w:sz="0" w:space="0" w:color="auto"/>
        <w:bottom w:val="none" w:sz="0" w:space="0" w:color="auto"/>
        <w:right w:val="none" w:sz="0" w:space="0" w:color="auto"/>
      </w:divBdr>
    </w:div>
    <w:div w:id="1558973220">
      <w:bodyDiv w:val="1"/>
      <w:marLeft w:val="0"/>
      <w:marRight w:val="0"/>
      <w:marTop w:val="0"/>
      <w:marBottom w:val="0"/>
      <w:divBdr>
        <w:top w:val="none" w:sz="0" w:space="0" w:color="auto"/>
        <w:left w:val="none" w:sz="0" w:space="0" w:color="auto"/>
        <w:bottom w:val="none" w:sz="0" w:space="0" w:color="auto"/>
        <w:right w:val="none" w:sz="0" w:space="0" w:color="auto"/>
      </w:divBdr>
    </w:div>
    <w:div w:id="1558977314">
      <w:bodyDiv w:val="1"/>
      <w:marLeft w:val="0"/>
      <w:marRight w:val="0"/>
      <w:marTop w:val="0"/>
      <w:marBottom w:val="0"/>
      <w:divBdr>
        <w:top w:val="none" w:sz="0" w:space="0" w:color="auto"/>
        <w:left w:val="none" w:sz="0" w:space="0" w:color="auto"/>
        <w:bottom w:val="none" w:sz="0" w:space="0" w:color="auto"/>
        <w:right w:val="none" w:sz="0" w:space="0" w:color="auto"/>
      </w:divBdr>
    </w:div>
    <w:div w:id="1559121498">
      <w:bodyDiv w:val="1"/>
      <w:marLeft w:val="0"/>
      <w:marRight w:val="0"/>
      <w:marTop w:val="0"/>
      <w:marBottom w:val="0"/>
      <w:divBdr>
        <w:top w:val="none" w:sz="0" w:space="0" w:color="auto"/>
        <w:left w:val="none" w:sz="0" w:space="0" w:color="auto"/>
        <w:bottom w:val="none" w:sz="0" w:space="0" w:color="auto"/>
        <w:right w:val="none" w:sz="0" w:space="0" w:color="auto"/>
      </w:divBdr>
    </w:div>
    <w:div w:id="1559121834">
      <w:bodyDiv w:val="1"/>
      <w:marLeft w:val="0"/>
      <w:marRight w:val="0"/>
      <w:marTop w:val="0"/>
      <w:marBottom w:val="0"/>
      <w:divBdr>
        <w:top w:val="none" w:sz="0" w:space="0" w:color="auto"/>
        <w:left w:val="none" w:sz="0" w:space="0" w:color="auto"/>
        <w:bottom w:val="none" w:sz="0" w:space="0" w:color="auto"/>
        <w:right w:val="none" w:sz="0" w:space="0" w:color="auto"/>
      </w:divBdr>
    </w:div>
    <w:div w:id="1559127169">
      <w:bodyDiv w:val="1"/>
      <w:marLeft w:val="0"/>
      <w:marRight w:val="0"/>
      <w:marTop w:val="0"/>
      <w:marBottom w:val="0"/>
      <w:divBdr>
        <w:top w:val="none" w:sz="0" w:space="0" w:color="auto"/>
        <w:left w:val="none" w:sz="0" w:space="0" w:color="auto"/>
        <w:bottom w:val="none" w:sz="0" w:space="0" w:color="auto"/>
        <w:right w:val="none" w:sz="0" w:space="0" w:color="auto"/>
      </w:divBdr>
    </w:div>
    <w:div w:id="1559171524">
      <w:bodyDiv w:val="1"/>
      <w:marLeft w:val="0"/>
      <w:marRight w:val="0"/>
      <w:marTop w:val="0"/>
      <w:marBottom w:val="0"/>
      <w:divBdr>
        <w:top w:val="none" w:sz="0" w:space="0" w:color="auto"/>
        <w:left w:val="none" w:sz="0" w:space="0" w:color="auto"/>
        <w:bottom w:val="none" w:sz="0" w:space="0" w:color="auto"/>
        <w:right w:val="none" w:sz="0" w:space="0" w:color="auto"/>
      </w:divBdr>
    </w:div>
    <w:div w:id="1559198445">
      <w:bodyDiv w:val="1"/>
      <w:marLeft w:val="0"/>
      <w:marRight w:val="0"/>
      <w:marTop w:val="0"/>
      <w:marBottom w:val="0"/>
      <w:divBdr>
        <w:top w:val="none" w:sz="0" w:space="0" w:color="auto"/>
        <w:left w:val="none" w:sz="0" w:space="0" w:color="auto"/>
        <w:bottom w:val="none" w:sz="0" w:space="0" w:color="auto"/>
        <w:right w:val="none" w:sz="0" w:space="0" w:color="auto"/>
      </w:divBdr>
    </w:div>
    <w:div w:id="1559316439">
      <w:bodyDiv w:val="1"/>
      <w:marLeft w:val="0"/>
      <w:marRight w:val="0"/>
      <w:marTop w:val="0"/>
      <w:marBottom w:val="0"/>
      <w:divBdr>
        <w:top w:val="none" w:sz="0" w:space="0" w:color="auto"/>
        <w:left w:val="none" w:sz="0" w:space="0" w:color="auto"/>
        <w:bottom w:val="none" w:sz="0" w:space="0" w:color="auto"/>
        <w:right w:val="none" w:sz="0" w:space="0" w:color="auto"/>
      </w:divBdr>
    </w:div>
    <w:div w:id="1559586806">
      <w:bodyDiv w:val="1"/>
      <w:marLeft w:val="0"/>
      <w:marRight w:val="0"/>
      <w:marTop w:val="0"/>
      <w:marBottom w:val="0"/>
      <w:divBdr>
        <w:top w:val="none" w:sz="0" w:space="0" w:color="auto"/>
        <w:left w:val="none" w:sz="0" w:space="0" w:color="auto"/>
        <w:bottom w:val="none" w:sz="0" w:space="0" w:color="auto"/>
        <w:right w:val="none" w:sz="0" w:space="0" w:color="auto"/>
      </w:divBdr>
    </w:div>
    <w:div w:id="1559592283">
      <w:bodyDiv w:val="1"/>
      <w:marLeft w:val="0"/>
      <w:marRight w:val="0"/>
      <w:marTop w:val="0"/>
      <w:marBottom w:val="0"/>
      <w:divBdr>
        <w:top w:val="none" w:sz="0" w:space="0" w:color="auto"/>
        <w:left w:val="none" w:sz="0" w:space="0" w:color="auto"/>
        <w:bottom w:val="none" w:sz="0" w:space="0" w:color="auto"/>
        <w:right w:val="none" w:sz="0" w:space="0" w:color="auto"/>
      </w:divBdr>
    </w:div>
    <w:div w:id="1559632803">
      <w:bodyDiv w:val="1"/>
      <w:marLeft w:val="0"/>
      <w:marRight w:val="0"/>
      <w:marTop w:val="0"/>
      <w:marBottom w:val="0"/>
      <w:divBdr>
        <w:top w:val="none" w:sz="0" w:space="0" w:color="auto"/>
        <w:left w:val="none" w:sz="0" w:space="0" w:color="auto"/>
        <w:bottom w:val="none" w:sz="0" w:space="0" w:color="auto"/>
        <w:right w:val="none" w:sz="0" w:space="0" w:color="auto"/>
      </w:divBdr>
    </w:div>
    <w:div w:id="1559704894">
      <w:bodyDiv w:val="1"/>
      <w:marLeft w:val="0"/>
      <w:marRight w:val="0"/>
      <w:marTop w:val="0"/>
      <w:marBottom w:val="0"/>
      <w:divBdr>
        <w:top w:val="none" w:sz="0" w:space="0" w:color="auto"/>
        <w:left w:val="none" w:sz="0" w:space="0" w:color="auto"/>
        <w:bottom w:val="none" w:sz="0" w:space="0" w:color="auto"/>
        <w:right w:val="none" w:sz="0" w:space="0" w:color="auto"/>
      </w:divBdr>
    </w:div>
    <w:div w:id="1559783396">
      <w:bodyDiv w:val="1"/>
      <w:marLeft w:val="0"/>
      <w:marRight w:val="0"/>
      <w:marTop w:val="0"/>
      <w:marBottom w:val="0"/>
      <w:divBdr>
        <w:top w:val="none" w:sz="0" w:space="0" w:color="auto"/>
        <w:left w:val="none" w:sz="0" w:space="0" w:color="auto"/>
        <w:bottom w:val="none" w:sz="0" w:space="0" w:color="auto"/>
        <w:right w:val="none" w:sz="0" w:space="0" w:color="auto"/>
      </w:divBdr>
    </w:div>
    <w:div w:id="1559851934">
      <w:bodyDiv w:val="1"/>
      <w:marLeft w:val="0"/>
      <w:marRight w:val="0"/>
      <w:marTop w:val="0"/>
      <w:marBottom w:val="0"/>
      <w:divBdr>
        <w:top w:val="none" w:sz="0" w:space="0" w:color="auto"/>
        <w:left w:val="none" w:sz="0" w:space="0" w:color="auto"/>
        <w:bottom w:val="none" w:sz="0" w:space="0" w:color="auto"/>
        <w:right w:val="none" w:sz="0" w:space="0" w:color="auto"/>
      </w:divBdr>
    </w:div>
    <w:div w:id="1559901015">
      <w:bodyDiv w:val="1"/>
      <w:marLeft w:val="0"/>
      <w:marRight w:val="0"/>
      <w:marTop w:val="0"/>
      <w:marBottom w:val="0"/>
      <w:divBdr>
        <w:top w:val="none" w:sz="0" w:space="0" w:color="auto"/>
        <w:left w:val="none" w:sz="0" w:space="0" w:color="auto"/>
        <w:bottom w:val="none" w:sz="0" w:space="0" w:color="auto"/>
        <w:right w:val="none" w:sz="0" w:space="0" w:color="auto"/>
      </w:divBdr>
    </w:div>
    <w:div w:id="1559901946">
      <w:bodyDiv w:val="1"/>
      <w:marLeft w:val="0"/>
      <w:marRight w:val="0"/>
      <w:marTop w:val="0"/>
      <w:marBottom w:val="0"/>
      <w:divBdr>
        <w:top w:val="none" w:sz="0" w:space="0" w:color="auto"/>
        <w:left w:val="none" w:sz="0" w:space="0" w:color="auto"/>
        <w:bottom w:val="none" w:sz="0" w:space="0" w:color="auto"/>
        <w:right w:val="none" w:sz="0" w:space="0" w:color="auto"/>
      </w:divBdr>
    </w:div>
    <w:div w:id="1559974054">
      <w:bodyDiv w:val="1"/>
      <w:marLeft w:val="0"/>
      <w:marRight w:val="0"/>
      <w:marTop w:val="0"/>
      <w:marBottom w:val="0"/>
      <w:divBdr>
        <w:top w:val="none" w:sz="0" w:space="0" w:color="auto"/>
        <w:left w:val="none" w:sz="0" w:space="0" w:color="auto"/>
        <w:bottom w:val="none" w:sz="0" w:space="0" w:color="auto"/>
        <w:right w:val="none" w:sz="0" w:space="0" w:color="auto"/>
      </w:divBdr>
    </w:div>
    <w:div w:id="1560051483">
      <w:bodyDiv w:val="1"/>
      <w:marLeft w:val="0"/>
      <w:marRight w:val="0"/>
      <w:marTop w:val="0"/>
      <w:marBottom w:val="0"/>
      <w:divBdr>
        <w:top w:val="none" w:sz="0" w:space="0" w:color="auto"/>
        <w:left w:val="none" w:sz="0" w:space="0" w:color="auto"/>
        <w:bottom w:val="none" w:sz="0" w:space="0" w:color="auto"/>
        <w:right w:val="none" w:sz="0" w:space="0" w:color="auto"/>
      </w:divBdr>
    </w:div>
    <w:div w:id="1560093527">
      <w:bodyDiv w:val="1"/>
      <w:marLeft w:val="0"/>
      <w:marRight w:val="0"/>
      <w:marTop w:val="0"/>
      <w:marBottom w:val="0"/>
      <w:divBdr>
        <w:top w:val="none" w:sz="0" w:space="0" w:color="auto"/>
        <w:left w:val="none" w:sz="0" w:space="0" w:color="auto"/>
        <w:bottom w:val="none" w:sz="0" w:space="0" w:color="auto"/>
        <w:right w:val="none" w:sz="0" w:space="0" w:color="auto"/>
      </w:divBdr>
    </w:div>
    <w:div w:id="1560238850">
      <w:bodyDiv w:val="1"/>
      <w:marLeft w:val="0"/>
      <w:marRight w:val="0"/>
      <w:marTop w:val="0"/>
      <w:marBottom w:val="0"/>
      <w:divBdr>
        <w:top w:val="none" w:sz="0" w:space="0" w:color="auto"/>
        <w:left w:val="none" w:sz="0" w:space="0" w:color="auto"/>
        <w:bottom w:val="none" w:sz="0" w:space="0" w:color="auto"/>
        <w:right w:val="none" w:sz="0" w:space="0" w:color="auto"/>
      </w:divBdr>
    </w:div>
    <w:div w:id="1560243183">
      <w:bodyDiv w:val="1"/>
      <w:marLeft w:val="0"/>
      <w:marRight w:val="0"/>
      <w:marTop w:val="0"/>
      <w:marBottom w:val="0"/>
      <w:divBdr>
        <w:top w:val="none" w:sz="0" w:space="0" w:color="auto"/>
        <w:left w:val="none" w:sz="0" w:space="0" w:color="auto"/>
        <w:bottom w:val="none" w:sz="0" w:space="0" w:color="auto"/>
        <w:right w:val="none" w:sz="0" w:space="0" w:color="auto"/>
      </w:divBdr>
    </w:div>
    <w:div w:id="1560358648">
      <w:bodyDiv w:val="1"/>
      <w:marLeft w:val="0"/>
      <w:marRight w:val="0"/>
      <w:marTop w:val="0"/>
      <w:marBottom w:val="0"/>
      <w:divBdr>
        <w:top w:val="none" w:sz="0" w:space="0" w:color="auto"/>
        <w:left w:val="none" w:sz="0" w:space="0" w:color="auto"/>
        <w:bottom w:val="none" w:sz="0" w:space="0" w:color="auto"/>
        <w:right w:val="none" w:sz="0" w:space="0" w:color="auto"/>
      </w:divBdr>
    </w:div>
    <w:div w:id="1560437402">
      <w:bodyDiv w:val="1"/>
      <w:marLeft w:val="0"/>
      <w:marRight w:val="0"/>
      <w:marTop w:val="0"/>
      <w:marBottom w:val="0"/>
      <w:divBdr>
        <w:top w:val="none" w:sz="0" w:space="0" w:color="auto"/>
        <w:left w:val="none" w:sz="0" w:space="0" w:color="auto"/>
        <w:bottom w:val="none" w:sz="0" w:space="0" w:color="auto"/>
        <w:right w:val="none" w:sz="0" w:space="0" w:color="auto"/>
      </w:divBdr>
    </w:div>
    <w:div w:id="1560441414">
      <w:bodyDiv w:val="1"/>
      <w:marLeft w:val="0"/>
      <w:marRight w:val="0"/>
      <w:marTop w:val="0"/>
      <w:marBottom w:val="0"/>
      <w:divBdr>
        <w:top w:val="none" w:sz="0" w:space="0" w:color="auto"/>
        <w:left w:val="none" w:sz="0" w:space="0" w:color="auto"/>
        <w:bottom w:val="none" w:sz="0" w:space="0" w:color="auto"/>
        <w:right w:val="none" w:sz="0" w:space="0" w:color="auto"/>
      </w:divBdr>
    </w:div>
    <w:div w:id="1560482052">
      <w:bodyDiv w:val="1"/>
      <w:marLeft w:val="0"/>
      <w:marRight w:val="0"/>
      <w:marTop w:val="0"/>
      <w:marBottom w:val="0"/>
      <w:divBdr>
        <w:top w:val="none" w:sz="0" w:space="0" w:color="auto"/>
        <w:left w:val="none" w:sz="0" w:space="0" w:color="auto"/>
        <w:bottom w:val="none" w:sz="0" w:space="0" w:color="auto"/>
        <w:right w:val="none" w:sz="0" w:space="0" w:color="auto"/>
      </w:divBdr>
    </w:div>
    <w:div w:id="1560550706">
      <w:bodyDiv w:val="1"/>
      <w:marLeft w:val="0"/>
      <w:marRight w:val="0"/>
      <w:marTop w:val="0"/>
      <w:marBottom w:val="0"/>
      <w:divBdr>
        <w:top w:val="none" w:sz="0" w:space="0" w:color="auto"/>
        <w:left w:val="none" w:sz="0" w:space="0" w:color="auto"/>
        <w:bottom w:val="none" w:sz="0" w:space="0" w:color="auto"/>
        <w:right w:val="none" w:sz="0" w:space="0" w:color="auto"/>
      </w:divBdr>
    </w:div>
    <w:div w:id="1560552674">
      <w:bodyDiv w:val="1"/>
      <w:marLeft w:val="0"/>
      <w:marRight w:val="0"/>
      <w:marTop w:val="0"/>
      <w:marBottom w:val="0"/>
      <w:divBdr>
        <w:top w:val="none" w:sz="0" w:space="0" w:color="auto"/>
        <w:left w:val="none" w:sz="0" w:space="0" w:color="auto"/>
        <w:bottom w:val="none" w:sz="0" w:space="0" w:color="auto"/>
        <w:right w:val="none" w:sz="0" w:space="0" w:color="auto"/>
      </w:divBdr>
    </w:div>
    <w:div w:id="1560632877">
      <w:bodyDiv w:val="1"/>
      <w:marLeft w:val="0"/>
      <w:marRight w:val="0"/>
      <w:marTop w:val="0"/>
      <w:marBottom w:val="0"/>
      <w:divBdr>
        <w:top w:val="none" w:sz="0" w:space="0" w:color="auto"/>
        <w:left w:val="none" w:sz="0" w:space="0" w:color="auto"/>
        <w:bottom w:val="none" w:sz="0" w:space="0" w:color="auto"/>
        <w:right w:val="none" w:sz="0" w:space="0" w:color="auto"/>
      </w:divBdr>
    </w:div>
    <w:div w:id="1560633243">
      <w:bodyDiv w:val="1"/>
      <w:marLeft w:val="0"/>
      <w:marRight w:val="0"/>
      <w:marTop w:val="0"/>
      <w:marBottom w:val="0"/>
      <w:divBdr>
        <w:top w:val="none" w:sz="0" w:space="0" w:color="auto"/>
        <w:left w:val="none" w:sz="0" w:space="0" w:color="auto"/>
        <w:bottom w:val="none" w:sz="0" w:space="0" w:color="auto"/>
        <w:right w:val="none" w:sz="0" w:space="0" w:color="auto"/>
      </w:divBdr>
    </w:div>
    <w:div w:id="1560898477">
      <w:bodyDiv w:val="1"/>
      <w:marLeft w:val="0"/>
      <w:marRight w:val="0"/>
      <w:marTop w:val="0"/>
      <w:marBottom w:val="0"/>
      <w:divBdr>
        <w:top w:val="none" w:sz="0" w:space="0" w:color="auto"/>
        <w:left w:val="none" w:sz="0" w:space="0" w:color="auto"/>
        <w:bottom w:val="none" w:sz="0" w:space="0" w:color="auto"/>
        <w:right w:val="none" w:sz="0" w:space="0" w:color="auto"/>
      </w:divBdr>
    </w:div>
    <w:div w:id="1560945715">
      <w:bodyDiv w:val="1"/>
      <w:marLeft w:val="0"/>
      <w:marRight w:val="0"/>
      <w:marTop w:val="0"/>
      <w:marBottom w:val="0"/>
      <w:divBdr>
        <w:top w:val="none" w:sz="0" w:space="0" w:color="auto"/>
        <w:left w:val="none" w:sz="0" w:space="0" w:color="auto"/>
        <w:bottom w:val="none" w:sz="0" w:space="0" w:color="auto"/>
        <w:right w:val="none" w:sz="0" w:space="0" w:color="auto"/>
      </w:divBdr>
    </w:div>
    <w:div w:id="1561021052">
      <w:bodyDiv w:val="1"/>
      <w:marLeft w:val="0"/>
      <w:marRight w:val="0"/>
      <w:marTop w:val="0"/>
      <w:marBottom w:val="0"/>
      <w:divBdr>
        <w:top w:val="none" w:sz="0" w:space="0" w:color="auto"/>
        <w:left w:val="none" w:sz="0" w:space="0" w:color="auto"/>
        <w:bottom w:val="none" w:sz="0" w:space="0" w:color="auto"/>
        <w:right w:val="none" w:sz="0" w:space="0" w:color="auto"/>
      </w:divBdr>
    </w:div>
    <w:div w:id="1561137067">
      <w:bodyDiv w:val="1"/>
      <w:marLeft w:val="0"/>
      <w:marRight w:val="0"/>
      <w:marTop w:val="0"/>
      <w:marBottom w:val="0"/>
      <w:divBdr>
        <w:top w:val="none" w:sz="0" w:space="0" w:color="auto"/>
        <w:left w:val="none" w:sz="0" w:space="0" w:color="auto"/>
        <w:bottom w:val="none" w:sz="0" w:space="0" w:color="auto"/>
        <w:right w:val="none" w:sz="0" w:space="0" w:color="auto"/>
      </w:divBdr>
    </w:div>
    <w:div w:id="1561163876">
      <w:bodyDiv w:val="1"/>
      <w:marLeft w:val="0"/>
      <w:marRight w:val="0"/>
      <w:marTop w:val="0"/>
      <w:marBottom w:val="0"/>
      <w:divBdr>
        <w:top w:val="none" w:sz="0" w:space="0" w:color="auto"/>
        <w:left w:val="none" w:sz="0" w:space="0" w:color="auto"/>
        <w:bottom w:val="none" w:sz="0" w:space="0" w:color="auto"/>
        <w:right w:val="none" w:sz="0" w:space="0" w:color="auto"/>
      </w:divBdr>
    </w:div>
    <w:div w:id="1561207944">
      <w:bodyDiv w:val="1"/>
      <w:marLeft w:val="0"/>
      <w:marRight w:val="0"/>
      <w:marTop w:val="0"/>
      <w:marBottom w:val="0"/>
      <w:divBdr>
        <w:top w:val="none" w:sz="0" w:space="0" w:color="auto"/>
        <w:left w:val="none" w:sz="0" w:space="0" w:color="auto"/>
        <w:bottom w:val="none" w:sz="0" w:space="0" w:color="auto"/>
        <w:right w:val="none" w:sz="0" w:space="0" w:color="auto"/>
      </w:divBdr>
    </w:div>
    <w:div w:id="1561282025">
      <w:bodyDiv w:val="1"/>
      <w:marLeft w:val="0"/>
      <w:marRight w:val="0"/>
      <w:marTop w:val="0"/>
      <w:marBottom w:val="0"/>
      <w:divBdr>
        <w:top w:val="none" w:sz="0" w:space="0" w:color="auto"/>
        <w:left w:val="none" w:sz="0" w:space="0" w:color="auto"/>
        <w:bottom w:val="none" w:sz="0" w:space="0" w:color="auto"/>
        <w:right w:val="none" w:sz="0" w:space="0" w:color="auto"/>
      </w:divBdr>
    </w:div>
    <w:div w:id="1561329779">
      <w:bodyDiv w:val="1"/>
      <w:marLeft w:val="0"/>
      <w:marRight w:val="0"/>
      <w:marTop w:val="0"/>
      <w:marBottom w:val="0"/>
      <w:divBdr>
        <w:top w:val="none" w:sz="0" w:space="0" w:color="auto"/>
        <w:left w:val="none" w:sz="0" w:space="0" w:color="auto"/>
        <w:bottom w:val="none" w:sz="0" w:space="0" w:color="auto"/>
        <w:right w:val="none" w:sz="0" w:space="0" w:color="auto"/>
      </w:divBdr>
    </w:div>
    <w:div w:id="1561361687">
      <w:bodyDiv w:val="1"/>
      <w:marLeft w:val="0"/>
      <w:marRight w:val="0"/>
      <w:marTop w:val="0"/>
      <w:marBottom w:val="0"/>
      <w:divBdr>
        <w:top w:val="none" w:sz="0" w:space="0" w:color="auto"/>
        <w:left w:val="none" w:sz="0" w:space="0" w:color="auto"/>
        <w:bottom w:val="none" w:sz="0" w:space="0" w:color="auto"/>
        <w:right w:val="none" w:sz="0" w:space="0" w:color="auto"/>
      </w:divBdr>
    </w:div>
    <w:div w:id="1561592861">
      <w:bodyDiv w:val="1"/>
      <w:marLeft w:val="0"/>
      <w:marRight w:val="0"/>
      <w:marTop w:val="0"/>
      <w:marBottom w:val="0"/>
      <w:divBdr>
        <w:top w:val="none" w:sz="0" w:space="0" w:color="auto"/>
        <w:left w:val="none" w:sz="0" w:space="0" w:color="auto"/>
        <w:bottom w:val="none" w:sz="0" w:space="0" w:color="auto"/>
        <w:right w:val="none" w:sz="0" w:space="0" w:color="auto"/>
      </w:divBdr>
    </w:div>
    <w:div w:id="1561597774">
      <w:bodyDiv w:val="1"/>
      <w:marLeft w:val="0"/>
      <w:marRight w:val="0"/>
      <w:marTop w:val="0"/>
      <w:marBottom w:val="0"/>
      <w:divBdr>
        <w:top w:val="none" w:sz="0" w:space="0" w:color="auto"/>
        <w:left w:val="none" w:sz="0" w:space="0" w:color="auto"/>
        <w:bottom w:val="none" w:sz="0" w:space="0" w:color="auto"/>
        <w:right w:val="none" w:sz="0" w:space="0" w:color="auto"/>
      </w:divBdr>
    </w:div>
    <w:div w:id="1561599220">
      <w:bodyDiv w:val="1"/>
      <w:marLeft w:val="0"/>
      <w:marRight w:val="0"/>
      <w:marTop w:val="0"/>
      <w:marBottom w:val="0"/>
      <w:divBdr>
        <w:top w:val="none" w:sz="0" w:space="0" w:color="auto"/>
        <w:left w:val="none" w:sz="0" w:space="0" w:color="auto"/>
        <w:bottom w:val="none" w:sz="0" w:space="0" w:color="auto"/>
        <w:right w:val="none" w:sz="0" w:space="0" w:color="auto"/>
      </w:divBdr>
    </w:div>
    <w:div w:id="1561672483">
      <w:bodyDiv w:val="1"/>
      <w:marLeft w:val="0"/>
      <w:marRight w:val="0"/>
      <w:marTop w:val="0"/>
      <w:marBottom w:val="0"/>
      <w:divBdr>
        <w:top w:val="none" w:sz="0" w:space="0" w:color="auto"/>
        <w:left w:val="none" w:sz="0" w:space="0" w:color="auto"/>
        <w:bottom w:val="none" w:sz="0" w:space="0" w:color="auto"/>
        <w:right w:val="none" w:sz="0" w:space="0" w:color="auto"/>
      </w:divBdr>
    </w:div>
    <w:div w:id="1561742970">
      <w:bodyDiv w:val="1"/>
      <w:marLeft w:val="0"/>
      <w:marRight w:val="0"/>
      <w:marTop w:val="0"/>
      <w:marBottom w:val="0"/>
      <w:divBdr>
        <w:top w:val="none" w:sz="0" w:space="0" w:color="auto"/>
        <w:left w:val="none" w:sz="0" w:space="0" w:color="auto"/>
        <w:bottom w:val="none" w:sz="0" w:space="0" w:color="auto"/>
        <w:right w:val="none" w:sz="0" w:space="0" w:color="auto"/>
      </w:divBdr>
    </w:div>
    <w:div w:id="1561820653">
      <w:bodyDiv w:val="1"/>
      <w:marLeft w:val="0"/>
      <w:marRight w:val="0"/>
      <w:marTop w:val="0"/>
      <w:marBottom w:val="0"/>
      <w:divBdr>
        <w:top w:val="none" w:sz="0" w:space="0" w:color="auto"/>
        <w:left w:val="none" w:sz="0" w:space="0" w:color="auto"/>
        <w:bottom w:val="none" w:sz="0" w:space="0" w:color="auto"/>
        <w:right w:val="none" w:sz="0" w:space="0" w:color="auto"/>
      </w:divBdr>
    </w:div>
    <w:div w:id="1561867895">
      <w:bodyDiv w:val="1"/>
      <w:marLeft w:val="0"/>
      <w:marRight w:val="0"/>
      <w:marTop w:val="0"/>
      <w:marBottom w:val="0"/>
      <w:divBdr>
        <w:top w:val="none" w:sz="0" w:space="0" w:color="auto"/>
        <w:left w:val="none" w:sz="0" w:space="0" w:color="auto"/>
        <w:bottom w:val="none" w:sz="0" w:space="0" w:color="auto"/>
        <w:right w:val="none" w:sz="0" w:space="0" w:color="auto"/>
      </w:divBdr>
    </w:div>
    <w:div w:id="1562012808">
      <w:bodyDiv w:val="1"/>
      <w:marLeft w:val="0"/>
      <w:marRight w:val="0"/>
      <w:marTop w:val="0"/>
      <w:marBottom w:val="0"/>
      <w:divBdr>
        <w:top w:val="none" w:sz="0" w:space="0" w:color="auto"/>
        <w:left w:val="none" w:sz="0" w:space="0" w:color="auto"/>
        <w:bottom w:val="none" w:sz="0" w:space="0" w:color="auto"/>
        <w:right w:val="none" w:sz="0" w:space="0" w:color="auto"/>
      </w:divBdr>
    </w:div>
    <w:div w:id="1562055511">
      <w:bodyDiv w:val="1"/>
      <w:marLeft w:val="0"/>
      <w:marRight w:val="0"/>
      <w:marTop w:val="0"/>
      <w:marBottom w:val="0"/>
      <w:divBdr>
        <w:top w:val="none" w:sz="0" w:space="0" w:color="auto"/>
        <w:left w:val="none" w:sz="0" w:space="0" w:color="auto"/>
        <w:bottom w:val="none" w:sz="0" w:space="0" w:color="auto"/>
        <w:right w:val="none" w:sz="0" w:space="0" w:color="auto"/>
      </w:divBdr>
    </w:div>
    <w:div w:id="1562131405">
      <w:bodyDiv w:val="1"/>
      <w:marLeft w:val="0"/>
      <w:marRight w:val="0"/>
      <w:marTop w:val="0"/>
      <w:marBottom w:val="0"/>
      <w:divBdr>
        <w:top w:val="none" w:sz="0" w:space="0" w:color="auto"/>
        <w:left w:val="none" w:sz="0" w:space="0" w:color="auto"/>
        <w:bottom w:val="none" w:sz="0" w:space="0" w:color="auto"/>
        <w:right w:val="none" w:sz="0" w:space="0" w:color="auto"/>
      </w:divBdr>
    </w:div>
    <w:div w:id="1562134004">
      <w:bodyDiv w:val="1"/>
      <w:marLeft w:val="0"/>
      <w:marRight w:val="0"/>
      <w:marTop w:val="0"/>
      <w:marBottom w:val="0"/>
      <w:divBdr>
        <w:top w:val="none" w:sz="0" w:space="0" w:color="auto"/>
        <w:left w:val="none" w:sz="0" w:space="0" w:color="auto"/>
        <w:bottom w:val="none" w:sz="0" w:space="0" w:color="auto"/>
        <w:right w:val="none" w:sz="0" w:space="0" w:color="auto"/>
      </w:divBdr>
    </w:div>
    <w:div w:id="1562137241">
      <w:bodyDiv w:val="1"/>
      <w:marLeft w:val="0"/>
      <w:marRight w:val="0"/>
      <w:marTop w:val="0"/>
      <w:marBottom w:val="0"/>
      <w:divBdr>
        <w:top w:val="none" w:sz="0" w:space="0" w:color="auto"/>
        <w:left w:val="none" w:sz="0" w:space="0" w:color="auto"/>
        <w:bottom w:val="none" w:sz="0" w:space="0" w:color="auto"/>
        <w:right w:val="none" w:sz="0" w:space="0" w:color="auto"/>
      </w:divBdr>
    </w:div>
    <w:div w:id="1562405565">
      <w:bodyDiv w:val="1"/>
      <w:marLeft w:val="0"/>
      <w:marRight w:val="0"/>
      <w:marTop w:val="0"/>
      <w:marBottom w:val="0"/>
      <w:divBdr>
        <w:top w:val="none" w:sz="0" w:space="0" w:color="auto"/>
        <w:left w:val="none" w:sz="0" w:space="0" w:color="auto"/>
        <w:bottom w:val="none" w:sz="0" w:space="0" w:color="auto"/>
        <w:right w:val="none" w:sz="0" w:space="0" w:color="auto"/>
      </w:divBdr>
    </w:div>
    <w:div w:id="1562709216">
      <w:bodyDiv w:val="1"/>
      <w:marLeft w:val="0"/>
      <w:marRight w:val="0"/>
      <w:marTop w:val="0"/>
      <w:marBottom w:val="0"/>
      <w:divBdr>
        <w:top w:val="none" w:sz="0" w:space="0" w:color="auto"/>
        <w:left w:val="none" w:sz="0" w:space="0" w:color="auto"/>
        <w:bottom w:val="none" w:sz="0" w:space="0" w:color="auto"/>
        <w:right w:val="none" w:sz="0" w:space="0" w:color="auto"/>
      </w:divBdr>
    </w:div>
    <w:div w:id="1562787563">
      <w:bodyDiv w:val="1"/>
      <w:marLeft w:val="0"/>
      <w:marRight w:val="0"/>
      <w:marTop w:val="0"/>
      <w:marBottom w:val="0"/>
      <w:divBdr>
        <w:top w:val="none" w:sz="0" w:space="0" w:color="auto"/>
        <w:left w:val="none" w:sz="0" w:space="0" w:color="auto"/>
        <w:bottom w:val="none" w:sz="0" w:space="0" w:color="auto"/>
        <w:right w:val="none" w:sz="0" w:space="0" w:color="auto"/>
      </w:divBdr>
    </w:div>
    <w:div w:id="1563053662">
      <w:bodyDiv w:val="1"/>
      <w:marLeft w:val="0"/>
      <w:marRight w:val="0"/>
      <w:marTop w:val="0"/>
      <w:marBottom w:val="0"/>
      <w:divBdr>
        <w:top w:val="none" w:sz="0" w:space="0" w:color="auto"/>
        <w:left w:val="none" w:sz="0" w:space="0" w:color="auto"/>
        <w:bottom w:val="none" w:sz="0" w:space="0" w:color="auto"/>
        <w:right w:val="none" w:sz="0" w:space="0" w:color="auto"/>
      </w:divBdr>
    </w:div>
    <w:div w:id="1563061575">
      <w:bodyDiv w:val="1"/>
      <w:marLeft w:val="0"/>
      <w:marRight w:val="0"/>
      <w:marTop w:val="0"/>
      <w:marBottom w:val="0"/>
      <w:divBdr>
        <w:top w:val="none" w:sz="0" w:space="0" w:color="auto"/>
        <w:left w:val="none" w:sz="0" w:space="0" w:color="auto"/>
        <w:bottom w:val="none" w:sz="0" w:space="0" w:color="auto"/>
        <w:right w:val="none" w:sz="0" w:space="0" w:color="auto"/>
      </w:divBdr>
    </w:div>
    <w:div w:id="1563100406">
      <w:bodyDiv w:val="1"/>
      <w:marLeft w:val="0"/>
      <w:marRight w:val="0"/>
      <w:marTop w:val="0"/>
      <w:marBottom w:val="0"/>
      <w:divBdr>
        <w:top w:val="none" w:sz="0" w:space="0" w:color="auto"/>
        <w:left w:val="none" w:sz="0" w:space="0" w:color="auto"/>
        <w:bottom w:val="none" w:sz="0" w:space="0" w:color="auto"/>
        <w:right w:val="none" w:sz="0" w:space="0" w:color="auto"/>
      </w:divBdr>
    </w:div>
    <w:div w:id="1563321657">
      <w:bodyDiv w:val="1"/>
      <w:marLeft w:val="0"/>
      <w:marRight w:val="0"/>
      <w:marTop w:val="0"/>
      <w:marBottom w:val="0"/>
      <w:divBdr>
        <w:top w:val="none" w:sz="0" w:space="0" w:color="auto"/>
        <w:left w:val="none" w:sz="0" w:space="0" w:color="auto"/>
        <w:bottom w:val="none" w:sz="0" w:space="0" w:color="auto"/>
        <w:right w:val="none" w:sz="0" w:space="0" w:color="auto"/>
      </w:divBdr>
    </w:div>
    <w:div w:id="1563327676">
      <w:bodyDiv w:val="1"/>
      <w:marLeft w:val="0"/>
      <w:marRight w:val="0"/>
      <w:marTop w:val="0"/>
      <w:marBottom w:val="0"/>
      <w:divBdr>
        <w:top w:val="none" w:sz="0" w:space="0" w:color="auto"/>
        <w:left w:val="none" w:sz="0" w:space="0" w:color="auto"/>
        <w:bottom w:val="none" w:sz="0" w:space="0" w:color="auto"/>
        <w:right w:val="none" w:sz="0" w:space="0" w:color="auto"/>
      </w:divBdr>
    </w:div>
    <w:div w:id="1563367424">
      <w:bodyDiv w:val="1"/>
      <w:marLeft w:val="0"/>
      <w:marRight w:val="0"/>
      <w:marTop w:val="0"/>
      <w:marBottom w:val="0"/>
      <w:divBdr>
        <w:top w:val="none" w:sz="0" w:space="0" w:color="auto"/>
        <w:left w:val="none" w:sz="0" w:space="0" w:color="auto"/>
        <w:bottom w:val="none" w:sz="0" w:space="0" w:color="auto"/>
        <w:right w:val="none" w:sz="0" w:space="0" w:color="auto"/>
      </w:divBdr>
    </w:div>
    <w:div w:id="1563369700">
      <w:bodyDiv w:val="1"/>
      <w:marLeft w:val="0"/>
      <w:marRight w:val="0"/>
      <w:marTop w:val="0"/>
      <w:marBottom w:val="0"/>
      <w:divBdr>
        <w:top w:val="none" w:sz="0" w:space="0" w:color="auto"/>
        <w:left w:val="none" w:sz="0" w:space="0" w:color="auto"/>
        <w:bottom w:val="none" w:sz="0" w:space="0" w:color="auto"/>
        <w:right w:val="none" w:sz="0" w:space="0" w:color="auto"/>
      </w:divBdr>
    </w:div>
    <w:div w:id="1563562167">
      <w:bodyDiv w:val="1"/>
      <w:marLeft w:val="0"/>
      <w:marRight w:val="0"/>
      <w:marTop w:val="0"/>
      <w:marBottom w:val="0"/>
      <w:divBdr>
        <w:top w:val="none" w:sz="0" w:space="0" w:color="auto"/>
        <w:left w:val="none" w:sz="0" w:space="0" w:color="auto"/>
        <w:bottom w:val="none" w:sz="0" w:space="0" w:color="auto"/>
        <w:right w:val="none" w:sz="0" w:space="0" w:color="auto"/>
      </w:divBdr>
    </w:div>
    <w:div w:id="1563635871">
      <w:bodyDiv w:val="1"/>
      <w:marLeft w:val="0"/>
      <w:marRight w:val="0"/>
      <w:marTop w:val="0"/>
      <w:marBottom w:val="0"/>
      <w:divBdr>
        <w:top w:val="none" w:sz="0" w:space="0" w:color="auto"/>
        <w:left w:val="none" w:sz="0" w:space="0" w:color="auto"/>
        <w:bottom w:val="none" w:sz="0" w:space="0" w:color="auto"/>
        <w:right w:val="none" w:sz="0" w:space="0" w:color="auto"/>
      </w:divBdr>
    </w:div>
    <w:div w:id="1563636116">
      <w:bodyDiv w:val="1"/>
      <w:marLeft w:val="0"/>
      <w:marRight w:val="0"/>
      <w:marTop w:val="0"/>
      <w:marBottom w:val="0"/>
      <w:divBdr>
        <w:top w:val="none" w:sz="0" w:space="0" w:color="auto"/>
        <w:left w:val="none" w:sz="0" w:space="0" w:color="auto"/>
        <w:bottom w:val="none" w:sz="0" w:space="0" w:color="auto"/>
        <w:right w:val="none" w:sz="0" w:space="0" w:color="auto"/>
      </w:divBdr>
    </w:div>
    <w:div w:id="1563709264">
      <w:bodyDiv w:val="1"/>
      <w:marLeft w:val="0"/>
      <w:marRight w:val="0"/>
      <w:marTop w:val="0"/>
      <w:marBottom w:val="0"/>
      <w:divBdr>
        <w:top w:val="none" w:sz="0" w:space="0" w:color="auto"/>
        <w:left w:val="none" w:sz="0" w:space="0" w:color="auto"/>
        <w:bottom w:val="none" w:sz="0" w:space="0" w:color="auto"/>
        <w:right w:val="none" w:sz="0" w:space="0" w:color="auto"/>
      </w:divBdr>
    </w:div>
    <w:div w:id="1563903786">
      <w:bodyDiv w:val="1"/>
      <w:marLeft w:val="0"/>
      <w:marRight w:val="0"/>
      <w:marTop w:val="0"/>
      <w:marBottom w:val="0"/>
      <w:divBdr>
        <w:top w:val="none" w:sz="0" w:space="0" w:color="auto"/>
        <w:left w:val="none" w:sz="0" w:space="0" w:color="auto"/>
        <w:bottom w:val="none" w:sz="0" w:space="0" w:color="auto"/>
        <w:right w:val="none" w:sz="0" w:space="0" w:color="auto"/>
      </w:divBdr>
    </w:div>
    <w:div w:id="1564025722">
      <w:bodyDiv w:val="1"/>
      <w:marLeft w:val="0"/>
      <w:marRight w:val="0"/>
      <w:marTop w:val="0"/>
      <w:marBottom w:val="0"/>
      <w:divBdr>
        <w:top w:val="none" w:sz="0" w:space="0" w:color="auto"/>
        <w:left w:val="none" w:sz="0" w:space="0" w:color="auto"/>
        <w:bottom w:val="none" w:sz="0" w:space="0" w:color="auto"/>
        <w:right w:val="none" w:sz="0" w:space="0" w:color="auto"/>
      </w:divBdr>
    </w:div>
    <w:div w:id="1564098032">
      <w:bodyDiv w:val="1"/>
      <w:marLeft w:val="0"/>
      <w:marRight w:val="0"/>
      <w:marTop w:val="0"/>
      <w:marBottom w:val="0"/>
      <w:divBdr>
        <w:top w:val="none" w:sz="0" w:space="0" w:color="auto"/>
        <w:left w:val="none" w:sz="0" w:space="0" w:color="auto"/>
        <w:bottom w:val="none" w:sz="0" w:space="0" w:color="auto"/>
        <w:right w:val="none" w:sz="0" w:space="0" w:color="auto"/>
      </w:divBdr>
    </w:div>
    <w:div w:id="1564098835">
      <w:bodyDiv w:val="1"/>
      <w:marLeft w:val="0"/>
      <w:marRight w:val="0"/>
      <w:marTop w:val="0"/>
      <w:marBottom w:val="0"/>
      <w:divBdr>
        <w:top w:val="none" w:sz="0" w:space="0" w:color="auto"/>
        <w:left w:val="none" w:sz="0" w:space="0" w:color="auto"/>
        <w:bottom w:val="none" w:sz="0" w:space="0" w:color="auto"/>
        <w:right w:val="none" w:sz="0" w:space="0" w:color="auto"/>
      </w:divBdr>
    </w:div>
    <w:div w:id="1564170429">
      <w:bodyDiv w:val="1"/>
      <w:marLeft w:val="0"/>
      <w:marRight w:val="0"/>
      <w:marTop w:val="0"/>
      <w:marBottom w:val="0"/>
      <w:divBdr>
        <w:top w:val="none" w:sz="0" w:space="0" w:color="auto"/>
        <w:left w:val="none" w:sz="0" w:space="0" w:color="auto"/>
        <w:bottom w:val="none" w:sz="0" w:space="0" w:color="auto"/>
        <w:right w:val="none" w:sz="0" w:space="0" w:color="auto"/>
      </w:divBdr>
    </w:div>
    <w:div w:id="1564217688">
      <w:bodyDiv w:val="1"/>
      <w:marLeft w:val="0"/>
      <w:marRight w:val="0"/>
      <w:marTop w:val="0"/>
      <w:marBottom w:val="0"/>
      <w:divBdr>
        <w:top w:val="none" w:sz="0" w:space="0" w:color="auto"/>
        <w:left w:val="none" w:sz="0" w:space="0" w:color="auto"/>
        <w:bottom w:val="none" w:sz="0" w:space="0" w:color="auto"/>
        <w:right w:val="none" w:sz="0" w:space="0" w:color="auto"/>
      </w:divBdr>
    </w:div>
    <w:div w:id="1564290301">
      <w:bodyDiv w:val="1"/>
      <w:marLeft w:val="0"/>
      <w:marRight w:val="0"/>
      <w:marTop w:val="0"/>
      <w:marBottom w:val="0"/>
      <w:divBdr>
        <w:top w:val="none" w:sz="0" w:space="0" w:color="auto"/>
        <w:left w:val="none" w:sz="0" w:space="0" w:color="auto"/>
        <w:bottom w:val="none" w:sz="0" w:space="0" w:color="auto"/>
        <w:right w:val="none" w:sz="0" w:space="0" w:color="auto"/>
      </w:divBdr>
    </w:div>
    <w:div w:id="1564365458">
      <w:bodyDiv w:val="1"/>
      <w:marLeft w:val="0"/>
      <w:marRight w:val="0"/>
      <w:marTop w:val="0"/>
      <w:marBottom w:val="0"/>
      <w:divBdr>
        <w:top w:val="none" w:sz="0" w:space="0" w:color="auto"/>
        <w:left w:val="none" w:sz="0" w:space="0" w:color="auto"/>
        <w:bottom w:val="none" w:sz="0" w:space="0" w:color="auto"/>
        <w:right w:val="none" w:sz="0" w:space="0" w:color="auto"/>
      </w:divBdr>
    </w:div>
    <w:div w:id="1564484187">
      <w:bodyDiv w:val="1"/>
      <w:marLeft w:val="0"/>
      <w:marRight w:val="0"/>
      <w:marTop w:val="0"/>
      <w:marBottom w:val="0"/>
      <w:divBdr>
        <w:top w:val="none" w:sz="0" w:space="0" w:color="auto"/>
        <w:left w:val="none" w:sz="0" w:space="0" w:color="auto"/>
        <w:bottom w:val="none" w:sz="0" w:space="0" w:color="auto"/>
        <w:right w:val="none" w:sz="0" w:space="0" w:color="auto"/>
      </w:divBdr>
    </w:div>
    <w:div w:id="1564490860">
      <w:bodyDiv w:val="1"/>
      <w:marLeft w:val="0"/>
      <w:marRight w:val="0"/>
      <w:marTop w:val="0"/>
      <w:marBottom w:val="0"/>
      <w:divBdr>
        <w:top w:val="none" w:sz="0" w:space="0" w:color="auto"/>
        <w:left w:val="none" w:sz="0" w:space="0" w:color="auto"/>
        <w:bottom w:val="none" w:sz="0" w:space="0" w:color="auto"/>
        <w:right w:val="none" w:sz="0" w:space="0" w:color="auto"/>
      </w:divBdr>
    </w:div>
    <w:div w:id="1564752814">
      <w:bodyDiv w:val="1"/>
      <w:marLeft w:val="0"/>
      <w:marRight w:val="0"/>
      <w:marTop w:val="0"/>
      <w:marBottom w:val="0"/>
      <w:divBdr>
        <w:top w:val="none" w:sz="0" w:space="0" w:color="auto"/>
        <w:left w:val="none" w:sz="0" w:space="0" w:color="auto"/>
        <w:bottom w:val="none" w:sz="0" w:space="0" w:color="auto"/>
        <w:right w:val="none" w:sz="0" w:space="0" w:color="auto"/>
      </w:divBdr>
    </w:div>
    <w:div w:id="1564833977">
      <w:bodyDiv w:val="1"/>
      <w:marLeft w:val="0"/>
      <w:marRight w:val="0"/>
      <w:marTop w:val="0"/>
      <w:marBottom w:val="0"/>
      <w:divBdr>
        <w:top w:val="none" w:sz="0" w:space="0" w:color="auto"/>
        <w:left w:val="none" w:sz="0" w:space="0" w:color="auto"/>
        <w:bottom w:val="none" w:sz="0" w:space="0" w:color="auto"/>
        <w:right w:val="none" w:sz="0" w:space="0" w:color="auto"/>
      </w:divBdr>
    </w:div>
    <w:div w:id="1564834299">
      <w:bodyDiv w:val="1"/>
      <w:marLeft w:val="0"/>
      <w:marRight w:val="0"/>
      <w:marTop w:val="0"/>
      <w:marBottom w:val="0"/>
      <w:divBdr>
        <w:top w:val="none" w:sz="0" w:space="0" w:color="auto"/>
        <w:left w:val="none" w:sz="0" w:space="0" w:color="auto"/>
        <w:bottom w:val="none" w:sz="0" w:space="0" w:color="auto"/>
        <w:right w:val="none" w:sz="0" w:space="0" w:color="auto"/>
      </w:divBdr>
    </w:div>
    <w:div w:id="1565095922">
      <w:bodyDiv w:val="1"/>
      <w:marLeft w:val="0"/>
      <w:marRight w:val="0"/>
      <w:marTop w:val="0"/>
      <w:marBottom w:val="0"/>
      <w:divBdr>
        <w:top w:val="none" w:sz="0" w:space="0" w:color="auto"/>
        <w:left w:val="none" w:sz="0" w:space="0" w:color="auto"/>
        <w:bottom w:val="none" w:sz="0" w:space="0" w:color="auto"/>
        <w:right w:val="none" w:sz="0" w:space="0" w:color="auto"/>
      </w:divBdr>
    </w:div>
    <w:div w:id="1565289206">
      <w:bodyDiv w:val="1"/>
      <w:marLeft w:val="0"/>
      <w:marRight w:val="0"/>
      <w:marTop w:val="0"/>
      <w:marBottom w:val="0"/>
      <w:divBdr>
        <w:top w:val="none" w:sz="0" w:space="0" w:color="auto"/>
        <w:left w:val="none" w:sz="0" w:space="0" w:color="auto"/>
        <w:bottom w:val="none" w:sz="0" w:space="0" w:color="auto"/>
        <w:right w:val="none" w:sz="0" w:space="0" w:color="auto"/>
      </w:divBdr>
    </w:div>
    <w:div w:id="1565338426">
      <w:bodyDiv w:val="1"/>
      <w:marLeft w:val="0"/>
      <w:marRight w:val="0"/>
      <w:marTop w:val="0"/>
      <w:marBottom w:val="0"/>
      <w:divBdr>
        <w:top w:val="none" w:sz="0" w:space="0" w:color="auto"/>
        <w:left w:val="none" w:sz="0" w:space="0" w:color="auto"/>
        <w:bottom w:val="none" w:sz="0" w:space="0" w:color="auto"/>
        <w:right w:val="none" w:sz="0" w:space="0" w:color="auto"/>
      </w:divBdr>
    </w:div>
    <w:div w:id="1565528673">
      <w:bodyDiv w:val="1"/>
      <w:marLeft w:val="0"/>
      <w:marRight w:val="0"/>
      <w:marTop w:val="0"/>
      <w:marBottom w:val="0"/>
      <w:divBdr>
        <w:top w:val="none" w:sz="0" w:space="0" w:color="auto"/>
        <w:left w:val="none" w:sz="0" w:space="0" w:color="auto"/>
        <w:bottom w:val="none" w:sz="0" w:space="0" w:color="auto"/>
        <w:right w:val="none" w:sz="0" w:space="0" w:color="auto"/>
      </w:divBdr>
    </w:div>
    <w:div w:id="1565680019">
      <w:bodyDiv w:val="1"/>
      <w:marLeft w:val="0"/>
      <w:marRight w:val="0"/>
      <w:marTop w:val="0"/>
      <w:marBottom w:val="0"/>
      <w:divBdr>
        <w:top w:val="none" w:sz="0" w:space="0" w:color="auto"/>
        <w:left w:val="none" w:sz="0" w:space="0" w:color="auto"/>
        <w:bottom w:val="none" w:sz="0" w:space="0" w:color="auto"/>
        <w:right w:val="none" w:sz="0" w:space="0" w:color="auto"/>
      </w:divBdr>
    </w:div>
    <w:div w:id="1565797052">
      <w:bodyDiv w:val="1"/>
      <w:marLeft w:val="0"/>
      <w:marRight w:val="0"/>
      <w:marTop w:val="0"/>
      <w:marBottom w:val="0"/>
      <w:divBdr>
        <w:top w:val="none" w:sz="0" w:space="0" w:color="auto"/>
        <w:left w:val="none" w:sz="0" w:space="0" w:color="auto"/>
        <w:bottom w:val="none" w:sz="0" w:space="0" w:color="auto"/>
        <w:right w:val="none" w:sz="0" w:space="0" w:color="auto"/>
      </w:divBdr>
    </w:div>
    <w:div w:id="1566064451">
      <w:bodyDiv w:val="1"/>
      <w:marLeft w:val="0"/>
      <w:marRight w:val="0"/>
      <w:marTop w:val="0"/>
      <w:marBottom w:val="0"/>
      <w:divBdr>
        <w:top w:val="none" w:sz="0" w:space="0" w:color="auto"/>
        <w:left w:val="none" w:sz="0" w:space="0" w:color="auto"/>
        <w:bottom w:val="none" w:sz="0" w:space="0" w:color="auto"/>
        <w:right w:val="none" w:sz="0" w:space="0" w:color="auto"/>
      </w:divBdr>
    </w:div>
    <w:div w:id="1566211805">
      <w:bodyDiv w:val="1"/>
      <w:marLeft w:val="0"/>
      <w:marRight w:val="0"/>
      <w:marTop w:val="0"/>
      <w:marBottom w:val="0"/>
      <w:divBdr>
        <w:top w:val="none" w:sz="0" w:space="0" w:color="auto"/>
        <w:left w:val="none" w:sz="0" w:space="0" w:color="auto"/>
        <w:bottom w:val="none" w:sz="0" w:space="0" w:color="auto"/>
        <w:right w:val="none" w:sz="0" w:space="0" w:color="auto"/>
      </w:divBdr>
    </w:div>
    <w:div w:id="1566336510">
      <w:bodyDiv w:val="1"/>
      <w:marLeft w:val="0"/>
      <w:marRight w:val="0"/>
      <w:marTop w:val="0"/>
      <w:marBottom w:val="0"/>
      <w:divBdr>
        <w:top w:val="none" w:sz="0" w:space="0" w:color="auto"/>
        <w:left w:val="none" w:sz="0" w:space="0" w:color="auto"/>
        <w:bottom w:val="none" w:sz="0" w:space="0" w:color="auto"/>
        <w:right w:val="none" w:sz="0" w:space="0" w:color="auto"/>
      </w:divBdr>
    </w:div>
    <w:div w:id="1566524067">
      <w:bodyDiv w:val="1"/>
      <w:marLeft w:val="0"/>
      <w:marRight w:val="0"/>
      <w:marTop w:val="0"/>
      <w:marBottom w:val="0"/>
      <w:divBdr>
        <w:top w:val="none" w:sz="0" w:space="0" w:color="auto"/>
        <w:left w:val="none" w:sz="0" w:space="0" w:color="auto"/>
        <w:bottom w:val="none" w:sz="0" w:space="0" w:color="auto"/>
        <w:right w:val="none" w:sz="0" w:space="0" w:color="auto"/>
      </w:divBdr>
    </w:div>
    <w:div w:id="1566526173">
      <w:bodyDiv w:val="1"/>
      <w:marLeft w:val="0"/>
      <w:marRight w:val="0"/>
      <w:marTop w:val="0"/>
      <w:marBottom w:val="0"/>
      <w:divBdr>
        <w:top w:val="none" w:sz="0" w:space="0" w:color="auto"/>
        <w:left w:val="none" w:sz="0" w:space="0" w:color="auto"/>
        <w:bottom w:val="none" w:sz="0" w:space="0" w:color="auto"/>
        <w:right w:val="none" w:sz="0" w:space="0" w:color="auto"/>
      </w:divBdr>
    </w:div>
    <w:div w:id="1566601308">
      <w:bodyDiv w:val="1"/>
      <w:marLeft w:val="0"/>
      <w:marRight w:val="0"/>
      <w:marTop w:val="0"/>
      <w:marBottom w:val="0"/>
      <w:divBdr>
        <w:top w:val="none" w:sz="0" w:space="0" w:color="auto"/>
        <w:left w:val="none" w:sz="0" w:space="0" w:color="auto"/>
        <w:bottom w:val="none" w:sz="0" w:space="0" w:color="auto"/>
        <w:right w:val="none" w:sz="0" w:space="0" w:color="auto"/>
      </w:divBdr>
    </w:div>
    <w:div w:id="1566718493">
      <w:bodyDiv w:val="1"/>
      <w:marLeft w:val="0"/>
      <w:marRight w:val="0"/>
      <w:marTop w:val="0"/>
      <w:marBottom w:val="0"/>
      <w:divBdr>
        <w:top w:val="none" w:sz="0" w:space="0" w:color="auto"/>
        <w:left w:val="none" w:sz="0" w:space="0" w:color="auto"/>
        <w:bottom w:val="none" w:sz="0" w:space="0" w:color="auto"/>
        <w:right w:val="none" w:sz="0" w:space="0" w:color="auto"/>
      </w:divBdr>
    </w:div>
    <w:div w:id="1566722018">
      <w:bodyDiv w:val="1"/>
      <w:marLeft w:val="0"/>
      <w:marRight w:val="0"/>
      <w:marTop w:val="0"/>
      <w:marBottom w:val="0"/>
      <w:divBdr>
        <w:top w:val="none" w:sz="0" w:space="0" w:color="auto"/>
        <w:left w:val="none" w:sz="0" w:space="0" w:color="auto"/>
        <w:bottom w:val="none" w:sz="0" w:space="0" w:color="auto"/>
        <w:right w:val="none" w:sz="0" w:space="0" w:color="auto"/>
      </w:divBdr>
    </w:div>
    <w:div w:id="1566799081">
      <w:bodyDiv w:val="1"/>
      <w:marLeft w:val="0"/>
      <w:marRight w:val="0"/>
      <w:marTop w:val="0"/>
      <w:marBottom w:val="0"/>
      <w:divBdr>
        <w:top w:val="none" w:sz="0" w:space="0" w:color="auto"/>
        <w:left w:val="none" w:sz="0" w:space="0" w:color="auto"/>
        <w:bottom w:val="none" w:sz="0" w:space="0" w:color="auto"/>
        <w:right w:val="none" w:sz="0" w:space="0" w:color="auto"/>
      </w:divBdr>
    </w:div>
    <w:div w:id="1566800117">
      <w:bodyDiv w:val="1"/>
      <w:marLeft w:val="0"/>
      <w:marRight w:val="0"/>
      <w:marTop w:val="0"/>
      <w:marBottom w:val="0"/>
      <w:divBdr>
        <w:top w:val="none" w:sz="0" w:space="0" w:color="auto"/>
        <w:left w:val="none" w:sz="0" w:space="0" w:color="auto"/>
        <w:bottom w:val="none" w:sz="0" w:space="0" w:color="auto"/>
        <w:right w:val="none" w:sz="0" w:space="0" w:color="auto"/>
      </w:divBdr>
    </w:div>
    <w:div w:id="1566840206">
      <w:bodyDiv w:val="1"/>
      <w:marLeft w:val="0"/>
      <w:marRight w:val="0"/>
      <w:marTop w:val="0"/>
      <w:marBottom w:val="0"/>
      <w:divBdr>
        <w:top w:val="none" w:sz="0" w:space="0" w:color="auto"/>
        <w:left w:val="none" w:sz="0" w:space="0" w:color="auto"/>
        <w:bottom w:val="none" w:sz="0" w:space="0" w:color="auto"/>
        <w:right w:val="none" w:sz="0" w:space="0" w:color="auto"/>
      </w:divBdr>
    </w:div>
    <w:div w:id="1566987153">
      <w:bodyDiv w:val="1"/>
      <w:marLeft w:val="0"/>
      <w:marRight w:val="0"/>
      <w:marTop w:val="0"/>
      <w:marBottom w:val="0"/>
      <w:divBdr>
        <w:top w:val="none" w:sz="0" w:space="0" w:color="auto"/>
        <w:left w:val="none" w:sz="0" w:space="0" w:color="auto"/>
        <w:bottom w:val="none" w:sz="0" w:space="0" w:color="auto"/>
        <w:right w:val="none" w:sz="0" w:space="0" w:color="auto"/>
      </w:divBdr>
    </w:div>
    <w:div w:id="1567034241">
      <w:bodyDiv w:val="1"/>
      <w:marLeft w:val="0"/>
      <w:marRight w:val="0"/>
      <w:marTop w:val="0"/>
      <w:marBottom w:val="0"/>
      <w:divBdr>
        <w:top w:val="none" w:sz="0" w:space="0" w:color="auto"/>
        <w:left w:val="none" w:sz="0" w:space="0" w:color="auto"/>
        <w:bottom w:val="none" w:sz="0" w:space="0" w:color="auto"/>
        <w:right w:val="none" w:sz="0" w:space="0" w:color="auto"/>
      </w:divBdr>
    </w:div>
    <w:div w:id="1567102782">
      <w:bodyDiv w:val="1"/>
      <w:marLeft w:val="0"/>
      <w:marRight w:val="0"/>
      <w:marTop w:val="0"/>
      <w:marBottom w:val="0"/>
      <w:divBdr>
        <w:top w:val="none" w:sz="0" w:space="0" w:color="auto"/>
        <w:left w:val="none" w:sz="0" w:space="0" w:color="auto"/>
        <w:bottom w:val="none" w:sz="0" w:space="0" w:color="auto"/>
        <w:right w:val="none" w:sz="0" w:space="0" w:color="auto"/>
      </w:divBdr>
    </w:div>
    <w:div w:id="1567187503">
      <w:bodyDiv w:val="1"/>
      <w:marLeft w:val="0"/>
      <w:marRight w:val="0"/>
      <w:marTop w:val="0"/>
      <w:marBottom w:val="0"/>
      <w:divBdr>
        <w:top w:val="none" w:sz="0" w:space="0" w:color="auto"/>
        <w:left w:val="none" w:sz="0" w:space="0" w:color="auto"/>
        <w:bottom w:val="none" w:sz="0" w:space="0" w:color="auto"/>
        <w:right w:val="none" w:sz="0" w:space="0" w:color="auto"/>
      </w:divBdr>
    </w:div>
    <w:div w:id="1567256287">
      <w:bodyDiv w:val="1"/>
      <w:marLeft w:val="0"/>
      <w:marRight w:val="0"/>
      <w:marTop w:val="0"/>
      <w:marBottom w:val="0"/>
      <w:divBdr>
        <w:top w:val="none" w:sz="0" w:space="0" w:color="auto"/>
        <w:left w:val="none" w:sz="0" w:space="0" w:color="auto"/>
        <w:bottom w:val="none" w:sz="0" w:space="0" w:color="auto"/>
        <w:right w:val="none" w:sz="0" w:space="0" w:color="auto"/>
      </w:divBdr>
    </w:div>
    <w:div w:id="1567257819">
      <w:bodyDiv w:val="1"/>
      <w:marLeft w:val="0"/>
      <w:marRight w:val="0"/>
      <w:marTop w:val="0"/>
      <w:marBottom w:val="0"/>
      <w:divBdr>
        <w:top w:val="none" w:sz="0" w:space="0" w:color="auto"/>
        <w:left w:val="none" w:sz="0" w:space="0" w:color="auto"/>
        <w:bottom w:val="none" w:sz="0" w:space="0" w:color="auto"/>
        <w:right w:val="none" w:sz="0" w:space="0" w:color="auto"/>
      </w:divBdr>
    </w:div>
    <w:div w:id="1567259474">
      <w:bodyDiv w:val="1"/>
      <w:marLeft w:val="0"/>
      <w:marRight w:val="0"/>
      <w:marTop w:val="0"/>
      <w:marBottom w:val="0"/>
      <w:divBdr>
        <w:top w:val="none" w:sz="0" w:space="0" w:color="auto"/>
        <w:left w:val="none" w:sz="0" w:space="0" w:color="auto"/>
        <w:bottom w:val="none" w:sz="0" w:space="0" w:color="auto"/>
        <w:right w:val="none" w:sz="0" w:space="0" w:color="auto"/>
      </w:divBdr>
    </w:div>
    <w:div w:id="1567298068">
      <w:bodyDiv w:val="1"/>
      <w:marLeft w:val="0"/>
      <w:marRight w:val="0"/>
      <w:marTop w:val="0"/>
      <w:marBottom w:val="0"/>
      <w:divBdr>
        <w:top w:val="none" w:sz="0" w:space="0" w:color="auto"/>
        <w:left w:val="none" w:sz="0" w:space="0" w:color="auto"/>
        <w:bottom w:val="none" w:sz="0" w:space="0" w:color="auto"/>
        <w:right w:val="none" w:sz="0" w:space="0" w:color="auto"/>
      </w:divBdr>
    </w:div>
    <w:div w:id="1567379855">
      <w:bodyDiv w:val="1"/>
      <w:marLeft w:val="0"/>
      <w:marRight w:val="0"/>
      <w:marTop w:val="0"/>
      <w:marBottom w:val="0"/>
      <w:divBdr>
        <w:top w:val="none" w:sz="0" w:space="0" w:color="auto"/>
        <w:left w:val="none" w:sz="0" w:space="0" w:color="auto"/>
        <w:bottom w:val="none" w:sz="0" w:space="0" w:color="auto"/>
        <w:right w:val="none" w:sz="0" w:space="0" w:color="auto"/>
      </w:divBdr>
    </w:div>
    <w:div w:id="1567646510">
      <w:bodyDiv w:val="1"/>
      <w:marLeft w:val="0"/>
      <w:marRight w:val="0"/>
      <w:marTop w:val="0"/>
      <w:marBottom w:val="0"/>
      <w:divBdr>
        <w:top w:val="none" w:sz="0" w:space="0" w:color="auto"/>
        <w:left w:val="none" w:sz="0" w:space="0" w:color="auto"/>
        <w:bottom w:val="none" w:sz="0" w:space="0" w:color="auto"/>
        <w:right w:val="none" w:sz="0" w:space="0" w:color="auto"/>
      </w:divBdr>
    </w:div>
    <w:div w:id="1567834593">
      <w:bodyDiv w:val="1"/>
      <w:marLeft w:val="0"/>
      <w:marRight w:val="0"/>
      <w:marTop w:val="0"/>
      <w:marBottom w:val="0"/>
      <w:divBdr>
        <w:top w:val="none" w:sz="0" w:space="0" w:color="auto"/>
        <w:left w:val="none" w:sz="0" w:space="0" w:color="auto"/>
        <w:bottom w:val="none" w:sz="0" w:space="0" w:color="auto"/>
        <w:right w:val="none" w:sz="0" w:space="0" w:color="auto"/>
      </w:divBdr>
    </w:div>
    <w:div w:id="1567915088">
      <w:bodyDiv w:val="1"/>
      <w:marLeft w:val="0"/>
      <w:marRight w:val="0"/>
      <w:marTop w:val="0"/>
      <w:marBottom w:val="0"/>
      <w:divBdr>
        <w:top w:val="none" w:sz="0" w:space="0" w:color="auto"/>
        <w:left w:val="none" w:sz="0" w:space="0" w:color="auto"/>
        <w:bottom w:val="none" w:sz="0" w:space="0" w:color="auto"/>
        <w:right w:val="none" w:sz="0" w:space="0" w:color="auto"/>
      </w:divBdr>
    </w:div>
    <w:div w:id="1567915780">
      <w:bodyDiv w:val="1"/>
      <w:marLeft w:val="0"/>
      <w:marRight w:val="0"/>
      <w:marTop w:val="0"/>
      <w:marBottom w:val="0"/>
      <w:divBdr>
        <w:top w:val="none" w:sz="0" w:space="0" w:color="auto"/>
        <w:left w:val="none" w:sz="0" w:space="0" w:color="auto"/>
        <w:bottom w:val="none" w:sz="0" w:space="0" w:color="auto"/>
        <w:right w:val="none" w:sz="0" w:space="0" w:color="auto"/>
      </w:divBdr>
    </w:div>
    <w:div w:id="1567956376">
      <w:bodyDiv w:val="1"/>
      <w:marLeft w:val="0"/>
      <w:marRight w:val="0"/>
      <w:marTop w:val="0"/>
      <w:marBottom w:val="0"/>
      <w:divBdr>
        <w:top w:val="none" w:sz="0" w:space="0" w:color="auto"/>
        <w:left w:val="none" w:sz="0" w:space="0" w:color="auto"/>
        <w:bottom w:val="none" w:sz="0" w:space="0" w:color="auto"/>
        <w:right w:val="none" w:sz="0" w:space="0" w:color="auto"/>
      </w:divBdr>
    </w:div>
    <w:div w:id="1568028086">
      <w:bodyDiv w:val="1"/>
      <w:marLeft w:val="0"/>
      <w:marRight w:val="0"/>
      <w:marTop w:val="0"/>
      <w:marBottom w:val="0"/>
      <w:divBdr>
        <w:top w:val="none" w:sz="0" w:space="0" w:color="auto"/>
        <w:left w:val="none" w:sz="0" w:space="0" w:color="auto"/>
        <w:bottom w:val="none" w:sz="0" w:space="0" w:color="auto"/>
        <w:right w:val="none" w:sz="0" w:space="0" w:color="auto"/>
      </w:divBdr>
    </w:div>
    <w:div w:id="1568110792">
      <w:bodyDiv w:val="1"/>
      <w:marLeft w:val="0"/>
      <w:marRight w:val="0"/>
      <w:marTop w:val="0"/>
      <w:marBottom w:val="0"/>
      <w:divBdr>
        <w:top w:val="none" w:sz="0" w:space="0" w:color="auto"/>
        <w:left w:val="none" w:sz="0" w:space="0" w:color="auto"/>
        <w:bottom w:val="none" w:sz="0" w:space="0" w:color="auto"/>
        <w:right w:val="none" w:sz="0" w:space="0" w:color="auto"/>
      </w:divBdr>
    </w:div>
    <w:div w:id="1568110808">
      <w:bodyDiv w:val="1"/>
      <w:marLeft w:val="0"/>
      <w:marRight w:val="0"/>
      <w:marTop w:val="0"/>
      <w:marBottom w:val="0"/>
      <w:divBdr>
        <w:top w:val="none" w:sz="0" w:space="0" w:color="auto"/>
        <w:left w:val="none" w:sz="0" w:space="0" w:color="auto"/>
        <w:bottom w:val="none" w:sz="0" w:space="0" w:color="auto"/>
        <w:right w:val="none" w:sz="0" w:space="0" w:color="auto"/>
      </w:divBdr>
    </w:div>
    <w:div w:id="1568151785">
      <w:bodyDiv w:val="1"/>
      <w:marLeft w:val="0"/>
      <w:marRight w:val="0"/>
      <w:marTop w:val="0"/>
      <w:marBottom w:val="0"/>
      <w:divBdr>
        <w:top w:val="none" w:sz="0" w:space="0" w:color="auto"/>
        <w:left w:val="none" w:sz="0" w:space="0" w:color="auto"/>
        <w:bottom w:val="none" w:sz="0" w:space="0" w:color="auto"/>
        <w:right w:val="none" w:sz="0" w:space="0" w:color="auto"/>
      </w:divBdr>
    </w:div>
    <w:div w:id="1568345259">
      <w:bodyDiv w:val="1"/>
      <w:marLeft w:val="0"/>
      <w:marRight w:val="0"/>
      <w:marTop w:val="0"/>
      <w:marBottom w:val="0"/>
      <w:divBdr>
        <w:top w:val="none" w:sz="0" w:space="0" w:color="auto"/>
        <w:left w:val="none" w:sz="0" w:space="0" w:color="auto"/>
        <w:bottom w:val="none" w:sz="0" w:space="0" w:color="auto"/>
        <w:right w:val="none" w:sz="0" w:space="0" w:color="auto"/>
      </w:divBdr>
    </w:div>
    <w:div w:id="1568346209">
      <w:bodyDiv w:val="1"/>
      <w:marLeft w:val="0"/>
      <w:marRight w:val="0"/>
      <w:marTop w:val="0"/>
      <w:marBottom w:val="0"/>
      <w:divBdr>
        <w:top w:val="none" w:sz="0" w:space="0" w:color="auto"/>
        <w:left w:val="none" w:sz="0" w:space="0" w:color="auto"/>
        <w:bottom w:val="none" w:sz="0" w:space="0" w:color="auto"/>
        <w:right w:val="none" w:sz="0" w:space="0" w:color="auto"/>
      </w:divBdr>
    </w:div>
    <w:div w:id="1568346604">
      <w:bodyDiv w:val="1"/>
      <w:marLeft w:val="0"/>
      <w:marRight w:val="0"/>
      <w:marTop w:val="0"/>
      <w:marBottom w:val="0"/>
      <w:divBdr>
        <w:top w:val="none" w:sz="0" w:space="0" w:color="auto"/>
        <w:left w:val="none" w:sz="0" w:space="0" w:color="auto"/>
        <w:bottom w:val="none" w:sz="0" w:space="0" w:color="auto"/>
        <w:right w:val="none" w:sz="0" w:space="0" w:color="auto"/>
      </w:divBdr>
    </w:div>
    <w:div w:id="1568413959">
      <w:bodyDiv w:val="1"/>
      <w:marLeft w:val="0"/>
      <w:marRight w:val="0"/>
      <w:marTop w:val="0"/>
      <w:marBottom w:val="0"/>
      <w:divBdr>
        <w:top w:val="none" w:sz="0" w:space="0" w:color="auto"/>
        <w:left w:val="none" w:sz="0" w:space="0" w:color="auto"/>
        <w:bottom w:val="none" w:sz="0" w:space="0" w:color="auto"/>
        <w:right w:val="none" w:sz="0" w:space="0" w:color="auto"/>
      </w:divBdr>
    </w:div>
    <w:div w:id="1568415844">
      <w:bodyDiv w:val="1"/>
      <w:marLeft w:val="0"/>
      <w:marRight w:val="0"/>
      <w:marTop w:val="0"/>
      <w:marBottom w:val="0"/>
      <w:divBdr>
        <w:top w:val="none" w:sz="0" w:space="0" w:color="auto"/>
        <w:left w:val="none" w:sz="0" w:space="0" w:color="auto"/>
        <w:bottom w:val="none" w:sz="0" w:space="0" w:color="auto"/>
        <w:right w:val="none" w:sz="0" w:space="0" w:color="auto"/>
      </w:divBdr>
    </w:div>
    <w:div w:id="1568422703">
      <w:bodyDiv w:val="1"/>
      <w:marLeft w:val="0"/>
      <w:marRight w:val="0"/>
      <w:marTop w:val="0"/>
      <w:marBottom w:val="0"/>
      <w:divBdr>
        <w:top w:val="none" w:sz="0" w:space="0" w:color="auto"/>
        <w:left w:val="none" w:sz="0" w:space="0" w:color="auto"/>
        <w:bottom w:val="none" w:sz="0" w:space="0" w:color="auto"/>
        <w:right w:val="none" w:sz="0" w:space="0" w:color="auto"/>
      </w:divBdr>
    </w:div>
    <w:div w:id="1568609196">
      <w:bodyDiv w:val="1"/>
      <w:marLeft w:val="0"/>
      <w:marRight w:val="0"/>
      <w:marTop w:val="0"/>
      <w:marBottom w:val="0"/>
      <w:divBdr>
        <w:top w:val="none" w:sz="0" w:space="0" w:color="auto"/>
        <w:left w:val="none" w:sz="0" w:space="0" w:color="auto"/>
        <w:bottom w:val="none" w:sz="0" w:space="0" w:color="auto"/>
        <w:right w:val="none" w:sz="0" w:space="0" w:color="auto"/>
      </w:divBdr>
    </w:div>
    <w:div w:id="1568686025">
      <w:bodyDiv w:val="1"/>
      <w:marLeft w:val="0"/>
      <w:marRight w:val="0"/>
      <w:marTop w:val="0"/>
      <w:marBottom w:val="0"/>
      <w:divBdr>
        <w:top w:val="none" w:sz="0" w:space="0" w:color="auto"/>
        <w:left w:val="none" w:sz="0" w:space="0" w:color="auto"/>
        <w:bottom w:val="none" w:sz="0" w:space="0" w:color="auto"/>
        <w:right w:val="none" w:sz="0" w:space="0" w:color="auto"/>
      </w:divBdr>
    </w:div>
    <w:div w:id="1568876328">
      <w:bodyDiv w:val="1"/>
      <w:marLeft w:val="0"/>
      <w:marRight w:val="0"/>
      <w:marTop w:val="0"/>
      <w:marBottom w:val="0"/>
      <w:divBdr>
        <w:top w:val="none" w:sz="0" w:space="0" w:color="auto"/>
        <w:left w:val="none" w:sz="0" w:space="0" w:color="auto"/>
        <w:bottom w:val="none" w:sz="0" w:space="0" w:color="auto"/>
        <w:right w:val="none" w:sz="0" w:space="0" w:color="auto"/>
      </w:divBdr>
    </w:div>
    <w:div w:id="1568952709">
      <w:bodyDiv w:val="1"/>
      <w:marLeft w:val="0"/>
      <w:marRight w:val="0"/>
      <w:marTop w:val="0"/>
      <w:marBottom w:val="0"/>
      <w:divBdr>
        <w:top w:val="none" w:sz="0" w:space="0" w:color="auto"/>
        <w:left w:val="none" w:sz="0" w:space="0" w:color="auto"/>
        <w:bottom w:val="none" w:sz="0" w:space="0" w:color="auto"/>
        <w:right w:val="none" w:sz="0" w:space="0" w:color="auto"/>
      </w:divBdr>
    </w:div>
    <w:div w:id="1569075117">
      <w:bodyDiv w:val="1"/>
      <w:marLeft w:val="0"/>
      <w:marRight w:val="0"/>
      <w:marTop w:val="0"/>
      <w:marBottom w:val="0"/>
      <w:divBdr>
        <w:top w:val="none" w:sz="0" w:space="0" w:color="auto"/>
        <w:left w:val="none" w:sz="0" w:space="0" w:color="auto"/>
        <w:bottom w:val="none" w:sz="0" w:space="0" w:color="auto"/>
        <w:right w:val="none" w:sz="0" w:space="0" w:color="auto"/>
      </w:divBdr>
    </w:div>
    <w:div w:id="1569148714">
      <w:bodyDiv w:val="1"/>
      <w:marLeft w:val="0"/>
      <w:marRight w:val="0"/>
      <w:marTop w:val="0"/>
      <w:marBottom w:val="0"/>
      <w:divBdr>
        <w:top w:val="none" w:sz="0" w:space="0" w:color="auto"/>
        <w:left w:val="none" w:sz="0" w:space="0" w:color="auto"/>
        <w:bottom w:val="none" w:sz="0" w:space="0" w:color="auto"/>
        <w:right w:val="none" w:sz="0" w:space="0" w:color="auto"/>
      </w:divBdr>
    </w:div>
    <w:div w:id="1569224562">
      <w:bodyDiv w:val="1"/>
      <w:marLeft w:val="0"/>
      <w:marRight w:val="0"/>
      <w:marTop w:val="0"/>
      <w:marBottom w:val="0"/>
      <w:divBdr>
        <w:top w:val="none" w:sz="0" w:space="0" w:color="auto"/>
        <w:left w:val="none" w:sz="0" w:space="0" w:color="auto"/>
        <w:bottom w:val="none" w:sz="0" w:space="0" w:color="auto"/>
        <w:right w:val="none" w:sz="0" w:space="0" w:color="auto"/>
      </w:divBdr>
    </w:div>
    <w:div w:id="1569265827">
      <w:bodyDiv w:val="1"/>
      <w:marLeft w:val="0"/>
      <w:marRight w:val="0"/>
      <w:marTop w:val="0"/>
      <w:marBottom w:val="0"/>
      <w:divBdr>
        <w:top w:val="none" w:sz="0" w:space="0" w:color="auto"/>
        <w:left w:val="none" w:sz="0" w:space="0" w:color="auto"/>
        <w:bottom w:val="none" w:sz="0" w:space="0" w:color="auto"/>
        <w:right w:val="none" w:sz="0" w:space="0" w:color="auto"/>
      </w:divBdr>
    </w:div>
    <w:div w:id="1569530648">
      <w:bodyDiv w:val="1"/>
      <w:marLeft w:val="0"/>
      <w:marRight w:val="0"/>
      <w:marTop w:val="0"/>
      <w:marBottom w:val="0"/>
      <w:divBdr>
        <w:top w:val="none" w:sz="0" w:space="0" w:color="auto"/>
        <w:left w:val="none" w:sz="0" w:space="0" w:color="auto"/>
        <w:bottom w:val="none" w:sz="0" w:space="0" w:color="auto"/>
        <w:right w:val="none" w:sz="0" w:space="0" w:color="auto"/>
      </w:divBdr>
    </w:div>
    <w:div w:id="1569534310">
      <w:bodyDiv w:val="1"/>
      <w:marLeft w:val="0"/>
      <w:marRight w:val="0"/>
      <w:marTop w:val="0"/>
      <w:marBottom w:val="0"/>
      <w:divBdr>
        <w:top w:val="none" w:sz="0" w:space="0" w:color="auto"/>
        <w:left w:val="none" w:sz="0" w:space="0" w:color="auto"/>
        <w:bottom w:val="none" w:sz="0" w:space="0" w:color="auto"/>
        <w:right w:val="none" w:sz="0" w:space="0" w:color="auto"/>
      </w:divBdr>
    </w:div>
    <w:div w:id="1569535631">
      <w:bodyDiv w:val="1"/>
      <w:marLeft w:val="0"/>
      <w:marRight w:val="0"/>
      <w:marTop w:val="0"/>
      <w:marBottom w:val="0"/>
      <w:divBdr>
        <w:top w:val="none" w:sz="0" w:space="0" w:color="auto"/>
        <w:left w:val="none" w:sz="0" w:space="0" w:color="auto"/>
        <w:bottom w:val="none" w:sz="0" w:space="0" w:color="auto"/>
        <w:right w:val="none" w:sz="0" w:space="0" w:color="auto"/>
      </w:divBdr>
    </w:div>
    <w:div w:id="1569606818">
      <w:bodyDiv w:val="1"/>
      <w:marLeft w:val="0"/>
      <w:marRight w:val="0"/>
      <w:marTop w:val="0"/>
      <w:marBottom w:val="0"/>
      <w:divBdr>
        <w:top w:val="none" w:sz="0" w:space="0" w:color="auto"/>
        <w:left w:val="none" w:sz="0" w:space="0" w:color="auto"/>
        <w:bottom w:val="none" w:sz="0" w:space="0" w:color="auto"/>
        <w:right w:val="none" w:sz="0" w:space="0" w:color="auto"/>
      </w:divBdr>
    </w:div>
    <w:div w:id="1569652875">
      <w:bodyDiv w:val="1"/>
      <w:marLeft w:val="0"/>
      <w:marRight w:val="0"/>
      <w:marTop w:val="0"/>
      <w:marBottom w:val="0"/>
      <w:divBdr>
        <w:top w:val="none" w:sz="0" w:space="0" w:color="auto"/>
        <w:left w:val="none" w:sz="0" w:space="0" w:color="auto"/>
        <w:bottom w:val="none" w:sz="0" w:space="0" w:color="auto"/>
        <w:right w:val="none" w:sz="0" w:space="0" w:color="auto"/>
      </w:divBdr>
    </w:div>
    <w:div w:id="1569803339">
      <w:bodyDiv w:val="1"/>
      <w:marLeft w:val="0"/>
      <w:marRight w:val="0"/>
      <w:marTop w:val="0"/>
      <w:marBottom w:val="0"/>
      <w:divBdr>
        <w:top w:val="none" w:sz="0" w:space="0" w:color="auto"/>
        <w:left w:val="none" w:sz="0" w:space="0" w:color="auto"/>
        <w:bottom w:val="none" w:sz="0" w:space="0" w:color="auto"/>
        <w:right w:val="none" w:sz="0" w:space="0" w:color="auto"/>
      </w:divBdr>
    </w:div>
    <w:div w:id="1569920261">
      <w:bodyDiv w:val="1"/>
      <w:marLeft w:val="0"/>
      <w:marRight w:val="0"/>
      <w:marTop w:val="0"/>
      <w:marBottom w:val="0"/>
      <w:divBdr>
        <w:top w:val="none" w:sz="0" w:space="0" w:color="auto"/>
        <w:left w:val="none" w:sz="0" w:space="0" w:color="auto"/>
        <w:bottom w:val="none" w:sz="0" w:space="0" w:color="auto"/>
        <w:right w:val="none" w:sz="0" w:space="0" w:color="auto"/>
      </w:divBdr>
    </w:div>
    <w:div w:id="1569921858">
      <w:bodyDiv w:val="1"/>
      <w:marLeft w:val="0"/>
      <w:marRight w:val="0"/>
      <w:marTop w:val="0"/>
      <w:marBottom w:val="0"/>
      <w:divBdr>
        <w:top w:val="none" w:sz="0" w:space="0" w:color="auto"/>
        <w:left w:val="none" w:sz="0" w:space="0" w:color="auto"/>
        <w:bottom w:val="none" w:sz="0" w:space="0" w:color="auto"/>
        <w:right w:val="none" w:sz="0" w:space="0" w:color="auto"/>
      </w:divBdr>
    </w:div>
    <w:div w:id="1569923319">
      <w:bodyDiv w:val="1"/>
      <w:marLeft w:val="0"/>
      <w:marRight w:val="0"/>
      <w:marTop w:val="0"/>
      <w:marBottom w:val="0"/>
      <w:divBdr>
        <w:top w:val="none" w:sz="0" w:space="0" w:color="auto"/>
        <w:left w:val="none" w:sz="0" w:space="0" w:color="auto"/>
        <w:bottom w:val="none" w:sz="0" w:space="0" w:color="auto"/>
        <w:right w:val="none" w:sz="0" w:space="0" w:color="auto"/>
      </w:divBdr>
    </w:div>
    <w:div w:id="1569996814">
      <w:bodyDiv w:val="1"/>
      <w:marLeft w:val="0"/>
      <w:marRight w:val="0"/>
      <w:marTop w:val="0"/>
      <w:marBottom w:val="0"/>
      <w:divBdr>
        <w:top w:val="none" w:sz="0" w:space="0" w:color="auto"/>
        <w:left w:val="none" w:sz="0" w:space="0" w:color="auto"/>
        <w:bottom w:val="none" w:sz="0" w:space="0" w:color="auto"/>
        <w:right w:val="none" w:sz="0" w:space="0" w:color="auto"/>
      </w:divBdr>
    </w:div>
    <w:div w:id="1570119826">
      <w:bodyDiv w:val="1"/>
      <w:marLeft w:val="0"/>
      <w:marRight w:val="0"/>
      <w:marTop w:val="0"/>
      <w:marBottom w:val="0"/>
      <w:divBdr>
        <w:top w:val="none" w:sz="0" w:space="0" w:color="auto"/>
        <w:left w:val="none" w:sz="0" w:space="0" w:color="auto"/>
        <w:bottom w:val="none" w:sz="0" w:space="0" w:color="auto"/>
        <w:right w:val="none" w:sz="0" w:space="0" w:color="auto"/>
      </w:divBdr>
    </w:div>
    <w:div w:id="1570188332">
      <w:bodyDiv w:val="1"/>
      <w:marLeft w:val="0"/>
      <w:marRight w:val="0"/>
      <w:marTop w:val="0"/>
      <w:marBottom w:val="0"/>
      <w:divBdr>
        <w:top w:val="none" w:sz="0" w:space="0" w:color="auto"/>
        <w:left w:val="none" w:sz="0" w:space="0" w:color="auto"/>
        <w:bottom w:val="none" w:sz="0" w:space="0" w:color="auto"/>
        <w:right w:val="none" w:sz="0" w:space="0" w:color="auto"/>
      </w:divBdr>
    </w:div>
    <w:div w:id="1570190059">
      <w:bodyDiv w:val="1"/>
      <w:marLeft w:val="0"/>
      <w:marRight w:val="0"/>
      <w:marTop w:val="0"/>
      <w:marBottom w:val="0"/>
      <w:divBdr>
        <w:top w:val="none" w:sz="0" w:space="0" w:color="auto"/>
        <w:left w:val="none" w:sz="0" w:space="0" w:color="auto"/>
        <w:bottom w:val="none" w:sz="0" w:space="0" w:color="auto"/>
        <w:right w:val="none" w:sz="0" w:space="0" w:color="auto"/>
      </w:divBdr>
    </w:div>
    <w:div w:id="1570261408">
      <w:bodyDiv w:val="1"/>
      <w:marLeft w:val="0"/>
      <w:marRight w:val="0"/>
      <w:marTop w:val="0"/>
      <w:marBottom w:val="0"/>
      <w:divBdr>
        <w:top w:val="none" w:sz="0" w:space="0" w:color="auto"/>
        <w:left w:val="none" w:sz="0" w:space="0" w:color="auto"/>
        <w:bottom w:val="none" w:sz="0" w:space="0" w:color="auto"/>
        <w:right w:val="none" w:sz="0" w:space="0" w:color="auto"/>
      </w:divBdr>
    </w:div>
    <w:div w:id="1570265414">
      <w:bodyDiv w:val="1"/>
      <w:marLeft w:val="0"/>
      <w:marRight w:val="0"/>
      <w:marTop w:val="0"/>
      <w:marBottom w:val="0"/>
      <w:divBdr>
        <w:top w:val="none" w:sz="0" w:space="0" w:color="auto"/>
        <w:left w:val="none" w:sz="0" w:space="0" w:color="auto"/>
        <w:bottom w:val="none" w:sz="0" w:space="0" w:color="auto"/>
        <w:right w:val="none" w:sz="0" w:space="0" w:color="auto"/>
      </w:divBdr>
    </w:div>
    <w:div w:id="1570269221">
      <w:bodyDiv w:val="1"/>
      <w:marLeft w:val="0"/>
      <w:marRight w:val="0"/>
      <w:marTop w:val="0"/>
      <w:marBottom w:val="0"/>
      <w:divBdr>
        <w:top w:val="none" w:sz="0" w:space="0" w:color="auto"/>
        <w:left w:val="none" w:sz="0" w:space="0" w:color="auto"/>
        <w:bottom w:val="none" w:sz="0" w:space="0" w:color="auto"/>
        <w:right w:val="none" w:sz="0" w:space="0" w:color="auto"/>
      </w:divBdr>
    </w:div>
    <w:div w:id="1570309744">
      <w:bodyDiv w:val="1"/>
      <w:marLeft w:val="0"/>
      <w:marRight w:val="0"/>
      <w:marTop w:val="0"/>
      <w:marBottom w:val="0"/>
      <w:divBdr>
        <w:top w:val="none" w:sz="0" w:space="0" w:color="auto"/>
        <w:left w:val="none" w:sz="0" w:space="0" w:color="auto"/>
        <w:bottom w:val="none" w:sz="0" w:space="0" w:color="auto"/>
        <w:right w:val="none" w:sz="0" w:space="0" w:color="auto"/>
      </w:divBdr>
    </w:div>
    <w:div w:id="1570336623">
      <w:bodyDiv w:val="1"/>
      <w:marLeft w:val="0"/>
      <w:marRight w:val="0"/>
      <w:marTop w:val="0"/>
      <w:marBottom w:val="0"/>
      <w:divBdr>
        <w:top w:val="none" w:sz="0" w:space="0" w:color="auto"/>
        <w:left w:val="none" w:sz="0" w:space="0" w:color="auto"/>
        <w:bottom w:val="none" w:sz="0" w:space="0" w:color="auto"/>
        <w:right w:val="none" w:sz="0" w:space="0" w:color="auto"/>
      </w:divBdr>
    </w:div>
    <w:div w:id="1570380937">
      <w:bodyDiv w:val="1"/>
      <w:marLeft w:val="0"/>
      <w:marRight w:val="0"/>
      <w:marTop w:val="0"/>
      <w:marBottom w:val="0"/>
      <w:divBdr>
        <w:top w:val="none" w:sz="0" w:space="0" w:color="auto"/>
        <w:left w:val="none" w:sz="0" w:space="0" w:color="auto"/>
        <w:bottom w:val="none" w:sz="0" w:space="0" w:color="auto"/>
        <w:right w:val="none" w:sz="0" w:space="0" w:color="auto"/>
      </w:divBdr>
    </w:div>
    <w:div w:id="1570381008">
      <w:bodyDiv w:val="1"/>
      <w:marLeft w:val="0"/>
      <w:marRight w:val="0"/>
      <w:marTop w:val="0"/>
      <w:marBottom w:val="0"/>
      <w:divBdr>
        <w:top w:val="none" w:sz="0" w:space="0" w:color="auto"/>
        <w:left w:val="none" w:sz="0" w:space="0" w:color="auto"/>
        <w:bottom w:val="none" w:sz="0" w:space="0" w:color="auto"/>
        <w:right w:val="none" w:sz="0" w:space="0" w:color="auto"/>
      </w:divBdr>
    </w:div>
    <w:div w:id="1570386274">
      <w:bodyDiv w:val="1"/>
      <w:marLeft w:val="0"/>
      <w:marRight w:val="0"/>
      <w:marTop w:val="0"/>
      <w:marBottom w:val="0"/>
      <w:divBdr>
        <w:top w:val="none" w:sz="0" w:space="0" w:color="auto"/>
        <w:left w:val="none" w:sz="0" w:space="0" w:color="auto"/>
        <w:bottom w:val="none" w:sz="0" w:space="0" w:color="auto"/>
        <w:right w:val="none" w:sz="0" w:space="0" w:color="auto"/>
      </w:divBdr>
    </w:div>
    <w:div w:id="1570457640">
      <w:bodyDiv w:val="1"/>
      <w:marLeft w:val="0"/>
      <w:marRight w:val="0"/>
      <w:marTop w:val="0"/>
      <w:marBottom w:val="0"/>
      <w:divBdr>
        <w:top w:val="none" w:sz="0" w:space="0" w:color="auto"/>
        <w:left w:val="none" w:sz="0" w:space="0" w:color="auto"/>
        <w:bottom w:val="none" w:sz="0" w:space="0" w:color="auto"/>
        <w:right w:val="none" w:sz="0" w:space="0" w:color="auto"/>
      </w:divBdr>
    </w:div>
    <w:div w:id="1570462737">
      <w:bodyDiv w:val="1"/>
      <w:marLeft w:val="0"/>
      <w:marRight w:val="0"/>
      <w:marTop w:val="0"/>
      <w:marBottom w:val="0"/>
      <w:divBdr>
        <w:top w:val="none" w:sz="0" w:space="0" w:color="auto"/>
        <w:left w:val="none" w:sz="0" w:space="0" w:color="auto"/>
        <w:bottom w:val="none" w:sz="0" w:space="0" w:color="auto"/>
        <w:right w:val="none" w:sz="0" w:space="0" w:color="auto"/>
      </w:divBdr>
    </w:div>
    <w:div w:id="1570533968">
      <w:bodyDiv w:val="1"/>
      <w:marLeft w:val="0"/>
      <w:marRight w:val="0"/>
      <w:marTop w:val="0"/>
      <w:marBottom w:val="0"/>
      <w:divBdr>
        <w:top w:val="none" w:sz="0" w:space="0" w:color="auto"/>
        <w:left w:val="none" w:sz="0" w:space="0" w:color="auto"/>
        <w:bottom w:val="none" w:sz="0" w:space="0" w:color="auto"/>
        <w:right w:val="none" w:sz="0" w:space="0" w:color="auto"/>
      </w:divBdr>
    </w:div>
    <w:div w:id="1570536920">
      <w:bodyDiv w:val="1"/>
      <w:marLeft w:val="0"/>
      <w:marRight w:val="0"/>
      <w:marTop w:val="0"/>
      <w:marBottom w:val="0"/>
      <w:divBdr>
        <w:top w:val="none" w:sz="0" w:space="0" w:color="auto"/>
        <w:left w:val="none" w:sz="0" w:space="0" w:color="auto"/>
        <w:bottom w:val="none" w:sz="0" w:space="0" w:color="auto"/>
        <w:right w:val="none" w:sz="0" w:space="0" w:color="auto"/>
      </w:divBdr>
    </w:div>
    <w:div w:id="1570723468">
      <w:bodyDiv w:val="1"/>
      <w:marLeft w:val="0"/>
      <w:marRight w:val="0"/>
      <w:marTop w:val="0"/>
      <w:marBottom w:val="0"/>
      <w:divBdr>
        <w:top w:val="none" w:sz="0" w:space="0" w:color="auto"/>
        <w:left w:val="none" w:sz="0" w:space="0" w:color="auto"/>
        <w:bottom w:val="none" w:sz="0" w:space="0" w:color="auto"/>
        <w:right w:val="none" w:sz="0" w:space="0" w:color="auto"/>
      </w:divBdr>
    </w:div>
    <w:div w:id="1570846974">
      <w:bodyDiv w:val="1"/>
      <w:marLeft w:val="0"/>
      <w:marRight w:val="0"/>
      <w:marTop w:val="0"/>
      <w:marBottom w:val="0"/>
      <w:divBdr>
        <w:top w:val="none" w:sz="0" w:space="0" w:color="auto"/>
        <w:left w:val="none" w:sz="0" w:space="0" w:color="auto"/>
        <w:bottom w:val="none" w:sz="0" w:space="0" w:color="auto"/>
        <w:right w:val="none" w:sz="0" w:space="0" w:color="auto"/>
      </w:divBdr>
    </w:div>
    <w:div w:id="1571190522">
      <w:bodyDiv w:val="1"/>
      <w:marLeft w:val="0"/>
      <w:marRight w:val="0"/>
      <w:marTop w:val="0"/>
      <w:marBottom w:val="0"/>
      <w:divBdr>
        <w:top w:val="none" w:sz="0" w:space="0" w:color="auto"/>
        <w:left w:val="none" w:sz="0" w:space="0" w:color="auto"/>
        <w:bottom w:val="none" w:sz="0" w:space="0" w:color="auto"/>
        <w:right w:val="none" w:sz="0" w:space="0" w:color="auto"/>
      </w:divBdr>
    </w:div>
    <w:div w:id="1571232360">
      <w:bodyDiv w:val="1"/>
      <w:marLeft w:val="0"/>
      <w:marRight w:val="0"/>
      <w:marTop w:val="0"/>
      <w:marBottom w:val="0"/>
      <w:divBdr>
        <w:top w:val="none" w:sz="0" w:space="0" w:color="auto"/>
        <w:left w:val="none" w:sz="0" w:space="0" w:color="auto"/>
        <w:bottom w:val="none" w:sz="0" w:space="0" w:color="auto"/>
        <w:right w:val="none" w:sz="0" w:space="0" w:color="auto"/>
      </w:divBdr>
    </w:div>
    <w:div w:id="1571385726">
      <w:bodyDiv w:val="1"/>
      <w:marLeft w:val="0"/>
      <w:marRight w:val="0"/>
      <w:marTop w:val="0"/>
      <w:marBottom w:val="0"/>
      <w:divBdr>
        <w:top w:val="none" w:sz="0" w:space="0" w:color="auto"/>
        <w:left w:val="none" w:sz="0" w:space="0" w:color="auto"/>
        <w:bottom w:val="none" w:sz="0" w:space="0" w:color="auto"/>
        <w:right w:val="none" w:sz="0" w:space="0" w:color="auto"/>
      </w:divBdr>
    </w:div>
    <w:div w:id="1571386212">
      <w:bodyDiv w:val="1"/>
      <w:marLeft w:val="0"/>
      <w:marRight w:val="0"/>
      <w:marTop w:val="0"/>
      <w:marBottom w:val="0"/>
      <w:divBdr>
        <w:top w:val="none" w:sz="0" w:space="0" w:color="auto"/>
        <w:left w:val="none" w:sz="0" w:space="0" w:color="auto"/>
        <w:bottom w:val="none" w:sz="0" w:space="0" w:color="auto"/>
        <w:right w:val="none" w:sz="0" w:space="0" w:color="auto"/>
      </w:divBdr>
    </w:div>
    <w:div w:id="1571453687">
      <w:bodyDiv w:val="1"/>
      <w:marLeft w:val="0"/>
      <w:marRight w:val="0"/>
      <w:marTop w:val="0"/>
      <w:marBottom w:val="0"/>
      <w:divBdr>
        <w:top w:val="none" w:sz="0" w:space="0" w:color="auto"/>
        <w:left w:val="none" w:sz="0" w:space="0" w:color="auto"/>
        <w:bottom w:val="none" w:sz="0" w:space="0" w:color="auto"/>
        <w:right w:val="none" w:sz="0" w:space="0" w:color="auto"/>
      </w:divBdr>
    </w:div>
    <w:div w:id="1571503041">
      <w:bodyDiv w:val="1"/>
      <w:marLeft w:val="0"/>
      <w:marRight w:val="0"/>
      <w:marTop w:val="0"/>
      <w:marBottom w:val="0"/>
      <w:divBdr>
        <w:top w:val="none" w:sz="0" w:space="0" w:color="auto"/>
        <w:left w:val="none" w:sz="0" w:space="0" w:color="auto"/>
        <w:bottom w:val="none" w:sz="0" w:space="0" w:color="auto"/>
        <w:right w:val="none" w:sz="0" w:space="0" w:color="auto"/>
      </w:divBdr>
    </w:div>
    <w:div w:id="1571620462">
      <w:bodyDiv w:val="1"/>
      <w:marLeft w:val="0"/>
      <w:marRight w:val="0"/>
      <w:marTop w:val="0"/>
      <w:marBottom w:val="0"/>
      <w:divBdr>
        <w:top w:val="none" w:sz="0" w:space="0" w:color="auto"/>
        <w:left w:val="none" w:sz="0" w:space="0" w:color="auto"/>
        <w:bottom w:val="none" w:sz="0" w:space="0" w:color="auto"/>
        <w:right w:val="none" w:sz="0" w:space="0" w:color="auto"/>
      </w:divBdr>
    </w:div>
    <w:div w:id="1571691821">
      <w:bodyDiv w:val="1"/>
      <w:marLeft w:val="0"/>
      <w:marRight w:val="0"/>
      <w:marTop w:val="0"/>
      <w:marBottom w:val="0"/>
      <w:divBdr>
        <w:top w:val="none" w:sz="0" w:space="0" w:color="auto"/>
        <w:left w:val="none" w:sz="0" w:space="0" w:color="auto"/>
        <w:bottom w:val="none" w:sz="0" w:space="0" w:color="auto"/>
        <w:right w:val="none" w:sz="0" w:space="0" w:color="auto"/>
      </w:divBdr>
    </w:div>
    <w:div w:id="1571692093">
      <w:bodyDiv w:val="1"/>
      <w:marLeft w:val="0"/>
      <w:marRight w:val="0"/>
      <w:marTop w:val="0"/>
      <w:marBottom w:val="0"/>
      <w:divBdr>
        <w:top w:val="none" w:sz="0" w:space="0" w:color="auto"/>
        <w:left w:val="none" w:sz="0" w:space="0" w:color="auto"/>
        <w:bottom w:val="none" w:sz="0" w:space="0" w:color="auto"/>
        <w:right w:val="none" w:sz="0" w:space="0" w:color="auto"/>
      </w:divBdr>
    </w:div>
    <w:div w:id="1571697906">
      <w:bodyDiv w:val="1"/>
      <w:marLeft w:val="0"/>
      <w:marRight w:val="0"/>
      <w:marTop w:val="0"/>
      <w:marBottom w:val="0"/>
      <w:divBdr>
        <w:top w:val="none" w:sz="0" w:space="0" w:color="auto"/>
        <w:left w:val="none" w:sz="0" w:space="0" w:color="auto"/>
        <w:bottom w:val="none" w:sz="0" w:space="0" w:color="auto"/>
        <w:right w:val="none" w:sz="0" w:space="0" w:color="auto"/>
      </w:divBdr>
    </w:div>
    <w:div w:id="1571847924">
      <w:bodyDiv w:val="1"/>
      <w:marLeft w:val="0"/>
      <w:marRight w:val="0"/>
      <w:marTop w:val="0"/>
      <w:marBottom w:val="0"/>
      <w:divBdr>
        <w:top w:val="none" w:sz="0" w:space="0" w:color="auto"/>
        <w:left w:val="none" w:sz="0" w:space="0" w:color="auto"/>
        <w:bottom w:val="none" w:sz="0" w:space="0" w:color="auto"/>
        <w:right w:val="none" w:sz="0" w:space="0" w:color="auto"/>
      </w:divBdr>
    </w:div>
    <w:div w:id="1571885931">
      <w:bodyDiv w:val="1"/>
      <w:marLeft w:val="0"/>
      <w:marRight w:val="0"/>
      <w:marTop w:val="0"/>
      <w:marBottom w:val="0"/>
      <w:divBdr>
        <w:top w:val="none" w:sz="0" w:space="0" w:color="auto"/>
        <w:left w:val="none" w:sz="0" w:space="0" w:color="auto"/>
        <w:bottom w:val="none" w:sz="0" w:space="0" w:color="auto"/>
        <w:right w:val="none" w:sz="0" w:space="0" w:color="auto"/>
      </w:divBdr>
    </w:div>
    <w:div w:id="1571891867">
      <w:bodyDiv w:val="1"/>
      <w:marLeft w:val="0"/>
      <w:marRight w:val="0"/>
      <w:marTop w:val="0"/>
      <w:marBottom w:val="0"/>
      <w:divBdr>
        <w:top w:val="none" w:sz="0" w:space="0" w:color="auto"/>
        <w:left w:val="none" w:sz="0" w:space="0" w:color="auto"/>
        <w:bottom w:val="none" w:sz="0" w:space="0" w:color="auto"/>
        <w:right w:val="none" w:sz="0" w:space="0" w:color="auto"/>
      </w:divBdr>
    </w:div>
    <w:div w:id="1572081206">
      <w:bodyDiv w:val="1"/>
      <w:marLeft w:val="0"/>
      <w:marRight w:val="0"/>
      <w:marTop w:val="0"/>
      <w:marBottom w:val="0"/>
      <w:divBdr>
        <w:top w:val="none" w:sz="0" w:space="0" w:color="auto"/>
        <w:left w:val="none" w:sz="0" w:space="0" w:color="auto"/>
        <w:bottom w:val="none" w:sz="0" w:space="0" w:color="auto"/>
        <w:right w:val="none" w:sz="0" w:space="0" w:color="auto"/>
      </w:divBdr>
    </w:div>
    <w:div w:id="1572109069">
      <w:bodyDiv w:val="1"/>
      <w:marLeft w:val="0"/>
      <w:marRight w:val="0"/>
      <w:marTop w:val="0"/>
      <w:marBottom w:val="0"/>
      <w:divBdr>
        <w:top w:val="none" w:sz="0" w:space="0" w:color="auto"/>
        <w:left w:val="none" w:sz="0" w:space="0" w:color="auto"/>
        <w:bottom w:val="none" w:sz="0" w:space="0" w:color="auto"/>
        <w:right w:val="none" w:sz="0" w:space="0" w:color="auto"/>
      </w:divBdr>
    </w:div>
    <w:div w:id="1572275153">
      <w:bodyDiv w:val="1"/>
      <w:marLeft w:val="0"/>
      <w:marRight w:val="0"/>
      <w:marTop w:val="0"/>
      <w:marBottom w:val="0"/>
      <w:divBdr>
        <w:top w:val="none" w:sz="0" w:space="0" w:color="auto"/>
        <w:left w:val="none" w:sz="0" w:space="0" w:color="auto"/>
        <w:bottom w:val="none" w:sz="0" w:space="0" w:color="auto"/>
        <w:right w:val="none" w:sz="0" w:space="0" w:color="auto"/>
      </w:divBdr>
    </w:div>
    <w:div w:id="1572306679">
      <w:bodyDiv w:val="1"/>
      <w:marLeft w:val="0"/>
      <w:marRight w:val="0"/>
      <w:marTop w:val="0"/>
      <w:marBottom w:val="0"/>
      <w:divBdr>
        <w:top w:val="none" w:sz="0" w:space="0" w:color="auto"/>
        <w:left w:val="none" w:sz="0" w:space="0" w:color="auto"/>
        <w:bottom w:val="none" w:sz="0" w:space="0" w:color="auto"/>
        <w:right w:val="none" w:sz="0" w:space="0" w:color="auto"/>
      </w:divBdr>
    </w:div>
    <w:div w:id="1572543981">
      <w:bodyDiv w:val="1"/>
      <w:marLeft w:val="0"/>
      <w:marRight w:val="0"/>
      <w:marTop w:val="0"/>
      <w:marBottom w:val="0"/>
      <w:divBdr>
        <w:top w:val="none" w:sz="0" w:space="0" w:color="auto"/>
        <w:left w:val="none" w:sz="0" w:space="0" w:color="auto"/>
        <w:bottom w:val="none" w:sz="0" w:space="0" w:color="auto"/>
        <w:right w:val="none" w:sz="0" w:space="0" w:color="auto"/>
      </w:divBdr>
    </w:div>
    <w:div w:id="1572619566">
      <w:bodyDiv w:val="1"/>
      <w:marLeft w:val="0"/>
      <w:marRight w:val="0"/>
      <w:marTop w:val="0"/>
      <w:marBottom w:val="0"/>
      <w:divBdr>
        <w:top w:val="none" w:sz="0" w:space="0" w:color="auto"/>
        <w:left w:val="none" w:sz="0" w:space="0" w:color="auto"/>
        <w:bottom w:val="none" w:sz="0" w:space="0" w:color="auto"/>
        <w:right w:val="none" w:sz="0" w:space="0" w:color="auto"/>
      </w:divBdr>
    </w:div>
    <w:div w:id="1572619979">
      <w:bodyDiv w:val="1"/>
      <w:marLeft w:val="0"/>
      <w:marRight w:val="0"/>
      <w:marTop w:val="0"/>
      <w:marBottom w:val="0"/>
      <w:divBdr>
        <w:top w:val="none" w:sz="0" w:space="0" w:color="auto"/>
        <w:left w:val="none" w:sz="0" w:space="0" w:color="auto"/>
        <w:bottom w:val="none" w:sz="0" w:space="0" w:color="auto"/>
        <w:right w:val="none" w:sz="0" w:space="0" w:color="auto"/>
      </w:divBdr>
    </w:div>
    <w:div w:id="1572621371">
      <w:bodyDiv w:val="1"/>
      <w:marLeft w:val="0"/>
      <w:marRight w:val="0"/>
      <w:marTop w:val="0"/>
      <w:marBottom w:val="0"/>
      <w:divBdr>
        <w:top w:val="none" w:sz="0" w:space="0" w:color="auto"/>
        <w:left w:val="none" w:sz="0" w:space="0" w:color="auto"/>
        <w:bottom w:val="none" w:sz="0" w:space="0" w:color="auto"/>
        <w:right w:val="none" w:sz="0" w:space="0" w:color="auto"/>
      </w:divBdr>
    </w:div>
    <w:div w:id="1572688712">
      <w:bodyDiv w:val="1"/>
      <w:marLeft w:val="0"/>
      <w:marRight w:val="0"/>
      <w:marTop w:val="0"/>
      <w:marBottom w:val="0"/>
      <w:divBdr>
        <w:top w:val="none" w:sz="0" w:space="0" w:color="auto"/>
        <w:left w:val="none" w:sz="0" w:space="0" w:color="auto"/>
        <w:bottom w:val="none" w:sz="0" w:space="0" w:color="auto"/>
        <w:right w:val="none" w:sz="0" w:space="0" w:color="auto"/>
      </w:divBdr>
    </w:div>
    <w:div w:id="1572690440">
      <w:bodyDiv w:val="1"/>
      <w:marLeft w:val="0"/>
      <w:marRight w:val="0"/>
      <w:marTop w:val="0"/>
      <w:marBottom w:val="0"/>
      <w:divBdr>
        <w:top w:val="none" w:sz="0" w:space="0" w:color="auto"/>
        <w:left w:val="none" w:sz="0" w:space="0" w:color="auto"/>
        <w:bottom w:val="none" w:sz="0" w:space="0" w:color="auto"/>
        <w:right w:val="none" w:sz="0" w:space="0" w:color="auto"/>
      </w:divBdr>
    </w:div>
    <w:div w:id="1572692346">
      <w:bodyDiv w:val="1"/>
      <w:marLeft w:val="0"/>
      <w:marRight w:val="0"/>
      <w:marTop w:val="0"/>
      <w:marBottom w:val="0"/>
      <w:divBdr>
        <w:top w:val="none" w:sz="0" w:space="0" w:color="auto"/>
        <w:left w:val="none" w:sz="0" w:space="0" w:color="auto"/>
        <w:bottom w:val="none" w:sz="0" w:space="0" w:color="auto"/>
        <w:right w:val="none" w:sz="0" w:space="0" w:color="auto"/>
      </w:divBdr>
    </w:div>
    <w:div w:id="1572694253">
      <w:bodyDiv w:val="1"/>
      <w:marLeft w:val="0"/>
      <w:marRight w:val="0"/>
      <w:marTop w:val="0"/>
      <w:marBottom w:val="0"/>
      <w:divBdr>
        <w:top w:val="none" w:sz="0" w:space="0" w:color="auto"/>
        <w:left w:val="none" w:sz="0" w:space="0" w:color="auto"/>
        <w:bottom w:val="none" w:sz="0" w:space="0" w:color="auto"/>
        <w:right w:val="none" w:sz="0" w:space="0" w:color="auto"/>
      </w:divBdr>
    </w:div>
    <w:div w:id="1572740293">
      <w:bodyDiv w:val="1"/>
      <w:marLeft w:val="0"/>
      <w:marRight w:val="0"/>
      <w:marTop w:val="0"/>
      <w:marBottom w:val="0"/>
      <w:divBdr>
        <w:top w:val="none" w:sz="0" w:space="0" w:color="auto"/>
        <w:left w:val="none" w:sz="0" w:space="0" w:color="auto"/>
        <w:bottom w:val="none" w:sz="0" w:space="0" w:color="auto"/>
        <w:right w:val="none" w:sz="0" w:space="0" w:color="auto"/>
      </w:divBdr>
    </w:div>
    <w:div w:id="1572740569">
      <w:bodyDiv w:val="1"/>
      <w:marLeft w:val="0"/>
      <w:marRight w:val="0"/>
      <w:marTop w:val="0"/>
      <w:marBottom w:val="0"/>
      <w:divBdr>
        <w:top w:val="none" w:sz="0" w:space="0" w:color="auto"/>
        <w:left w:val="none" w:sz="0" w:space="0" w:color="auto"/>
        <w:bottom w:val="none" w:sz="0" w:space="0" w:color="auto"/>
        <w:right w:val="none" w:sz="0" w:space="0" w:color="auto"/>
      </w:divBdr>
    </w:div>
    <w:div w:id="1572883974">
      <w:bodyDiv w:val="1"/>
      <w:marLeft w:val="0"/>
      <w:marRight w:val="0"/>
      <w:marTop w:val="0"/>
      <w:marBottom w:val="0"/>
      <w:divBdr>
        <w:top w:val="none" w:sz="0" w:space="0" w:color="auto"/>
        <w:left w:val="none" w:sz="0" w:space="0" w:color="auto"/>
        <w:bottom w:val="none" w:sz="0" w:space="0" w:color="auto"/>
        <w:right w:val="none" w:sz="0" w:space="0" w:color="auto"/>
      </w:divBdr>
    </w:div>
    <w:div w:id="1573008491">
      <w:bodyDiv w:val="1"/>
      <w:marLeft w:val="0"/>
      <w:marRight w:val="0"/>
      <w:marTop w:val="0"/>
      <w:marBottom w:val="0"/>
      <w:divBdr>
        <w:top w:val="none" w:sz="0" w:space="0" w:color="auto"/>
        <w:left w:val="none" w:sz="0" w:space="0" w:color="auto"/>
        <w:bottom w:val="none" w:sz="0" w:space="0" w:color="auto"/>
        <w:right w:val="none" w:sz="0" w:space="0" w:color="auto"/>
      </w:divBdr>
    </w:div>
    <w:div w:id="1573080754">
      <w:bodyDiv w:val="1"/>
      <w:marLeft w:val="0"/>
      <w:marRight w:val="0"/>
      <w:marTop w:val="0"/>
      <w:marBottom w:val="0"/>
      <w:divBdr>
        <w:top w:val="none" w:sz="0" w:space="0" w:color="auto"/>
        <w:left w:val="none" w:sz="0" w:space="0" w:color="auto"/>
        <w:bottom w:val="none" w:sz="0" w:space="0" w:color="auto"/>
        <w:right w:val="none" w:sz="0" w:space="0" w:color="auto"/>
      </w:divBdr>
    </w:div>
    <w:div w:id="1573127316">
      <w:bodyDiv w:val="1"/>
      <w:marLeft w:val="0"/>
      <w:marRight w:val="0"/>
      <w:marTop w:val="0"/>
      <w:marBottom w:val="0"/>
      <w:divBdr>
        <w:top w:val="none" w:sz="0" w:space="0" w:color="auto"/>
        <w:left w:val="none" w:sz="0" w:space="0" w:color="auto"/>
        <w:bottom w:val="none" w:sz="0" w:space="0" w:color="auto"/>
        <w:right w:val="none" w:sz="0" w:space="0" w:color="auto"/>
      </w:divBdr>
    </w:div>
    <w:div w:id="1573157094">
      <w:bodyDiv w:val="1"/>
      <w:marLeft w:val="0"/>
      <w:marRight w:val="0"/>
      <w:marTop w:val="0"/>
      <w:marBottom w:val="0"/>
      <w:divBdr>
        <w:top w:val="none" w:sz="0" w:space="0" w:color="auto"/>
        <w:left w:val="none" w:sz="0" w:space="0" w:color="auto"/>
        <w:bottom w:val="none" w:sz="0" w:space="0" w:color="auto"/>
        <w:right w:val="none" w:sz="0" w:space="0" w:color="auto"/>
      </w:divBdr>
    </w:div>
    <w:div w:id="1573201722">
      <w:bodyDiv w:val="1"/>
      <w:marLeft w:val="0"/>
      <w:marRight w:val="0"/>
      <w:marTop w:val="0"/>
      <w:marBottom w:val="0"/>
      <w:divBdr>
        <w:top w:val="none" w:sz="0" w:space="0" w:color="auto"/>
        <w:left w:val="none" w:sz="0" w:space="0" w:color="auto"/>
        <w:bottom w:val="none" w:sz="0" w:space="0" w:color="auto"/>
        <w:right w:val="none" w:sz="0" w:space="0" w:color="auto"/>
      </w:divBdr>
    </w:div>
    <w:div w:id="1573274623">
      <w:bodyDiv w:val="1"/>
      <w:marLeft w:val="0"/>
      <w:marRight w:val="0"/>
      <w:marTop w:val="0"/>
      <w:marBottom w:val="0"/>
      <w:divBdr>
        <w:top w:val="none" w:sz="0" w:space="0" w:color="auto"/>
        <w:left w:val="none" w:sz="0" w:space="0" w:color="auto"/>
        <w:bottom w:val="none" w:sz="0" w:space="0" w:color="auto"/>
        <w:right w:val="none" w:sz="0" w:space="0" w:color="auto"/>
      </w:divBdr>
    </w:div>
    <w:div w:id="1573274646">
      <w:bodyDiv w:val="1"/>
      <w:marLeft w:val="0"/>
      <w:marRight w:val="0"/>
      <w:marTop w:val="0"/>
      <w:marBottom w:val="0"/>
      <w:divBdr>
        <w:top w:val="none" w:sz="0" w:space="0" w:color="auto"/>
        <w:left w:val="none" w:sz="0" w:space="0" w:color="auto"/>
        <w:bottom w:val="none" w:sz="0" w:space="0" w:color="auto"/>
        <w:right w:val="none" w:sz="0" w:space="0" w:color="auto"/>
      </w:divBdr>
    </w:div>
    <w:div w:id="1573351587">
      <w:bodyDiv w:val="1"/>
      <w:marLeft w:val="0"/>
      <w:marRight w:val="0"/>
      <w:marTop w:val="0"/>
      <w:marBottom w:val="0"/>
      <w:divBdr>
        <w:top w:val="none" w:sz="0" w:space="0" w:color="auto"/>
        <w:left w:val="none" w:sz="0" w:space="0" w:color="auto"/>
        <w:bottom w:val="none" w:sz="0" w:space="0" w:color="auto"/>
        <w:right w:val="none" w:sz="0" w:space="0" w:color="auto"/>
      </w:divBdr>
    </w:div>
    <w:div w:id="1573392933">
      <w:bodyDiv w:val="1"/>
      <w:marLeft w:val="0"/>
      <w:marRight w:val="0"/>
      <w:marTop w:val="0"/>
      <w:marBottom w:val="0"/>
      <w:divBdr>
        <w:top w:val="none" w:sz="0" w:space="0" w:color="auto"/>
        <w:left w:val="none" w:sz="0" w:space="0" w:color="auto"/>
        <w:bottom w:val="none" w:sz="0" w:space="0" w:color="auto"/>
        <w:right w:val="none" w:sz="0" w:space="0" w:color="auto"/>
      </w:divBdr>
    </w:div>
    <w:div w:id="1573468035">
      <w:bodyDiv w:val="1"/>
      <w:marLeft w:val="0"/>
      <w:marRight w:val="0"/>
      <w:marTop w:val="0"/>
      <w:marBottom w:val="0"/>
      <w:divBdr>
        <w:top w:val="none" w:sz="0" w:space="0" w:color="auto"/>
        <w:left w:val="none" w:sz="0" w:space="0" w:color="auto"/>
        <w:bottom w:val="none" w:sz="0" w:space="0" w:color="auto"/>
        <w:right w:val="none" w:sz="0" w:space="0" w:color="auto"/>
      </w:divBdr>
    </w:div>
    <w:div w:id="1573850290">
      <w:bodyDiv w:val="1"/>
      <w:marLeft w:val="0"/>
      <w:marRight w:val="0"/>
      <w:marTop w:val="0"/>
      <w:marBottom w:val="0"/>
      <w:divBdr>
        <w:top w:val="none" w:sz="0" w:space="0" w:color="auto"/>
        <w:left w:val="none" w:sz="0" w:space="0" w:color="auto"/>
        <w:bottom w:val="none" w:sz="0" w:space="0" w:color="auto"/>
        <w:right w:val="none" w:sz="0" w:space="0" w:color="auto"/>
      </w:divBdr>
    </w:div>
    <w:div w:id="1573851604">
      <w:bodyDiv w:val="1"/>
      <w:marLeft w:val="0"/>
      <w:marRight w:val="0"/>
      <w:marTop w:val="0"/>
      <w:marBottom w:val="0"/>
      <w:divBdr>
        <w:top w:val="none" w:sz="0" w:space="0" w:color="auto"/>
        <w:left w:val="none" w:sz="0" w:space="0" w:color="auto"/>
        <w:bottom w:val="none" w:sz="0" w:space="0" w:color="auto"/>
        <w:right w:val="none" w:sz="0" w:space="0" w:color="auto"/>
      </w:divBdr>
    </w:div>
    <w:div w:id="1573924103">
      <w:bodyDiv w:val="1"/>
      <w:marLeft w:val="0"/>
      <w:marRight w:val="0"/>
      <w:marTop w:val="0"/>
      <w:marBottom w:val="0"/>
      <w:divBdr>
        <w:top w:val="none" w:sz="0" w:space="0" w:color="auto"/>
        <w:left w:val="none" w:sz="0" w:space="0" w:color="auto"/>
        <w:bottom w:val="none" w:sz="0" w:space="0" w:color="auto"/>
        <w:right w:val="none" w:sz="0" w:space="0" w:color="auto"/>
      </w:divBdr>
    </w:div>
    <w:div w:id="1574002069">
      <w:bodyDiv w:val="1"/>
      <w:marLeft w:val="0"/>
      <w:marRight w:val="0"/>
      <w:marTop w:val="0"/>
      <w:marBottom w:val="0"/>
      <w:divBdr>
        <w:top w:val="none" w:sz="0" w:space="0" w:color="auto"/>
        <w:left w:val="none" w:sz="0" w:space="0" w:color="auto"/>
        <w:bottom w:val="none" w:sz="0" w:space="0" w:color="auto"/>
        <w:right w:val="none" w:sz="0" w:space="0" w:color="auto"/>
      </w:divBdr>
    </w:div>
    <w:div w:id="1574004596">
      <w:bodyDiv w:val="1"/>
      <w:marLeft w:val="0"/>
      <w:marRight w:val="0"/>
      <w:marTop w:val="0"/>
      <w:marBottom w:val="0"/>
      <w:divBdr>
        <w:top w:val="none" w:sz="0" w:space="0" w:color="auto"/>
        <w:left w:val="none" w:sz="0" w:space="0" w:color="auto"/>
        <w:bottom w:val="none" w:sz="0" w:space="0" w:color="auto"/>
        <w:right w:val="none" w:sz="0" w:space="0" w:color="auto"/>
      </w:divBdr>
    </w:div>
    <w:div w:id="1574007263">
      <w:bodyDiv w:val="1"/>
      <w:marLeft w:val="0"/>
      <w:marRight w:val="0"/>
      <w:marTop w:val="0"/>
      <w:marBottom w:val="0"/>
      <w:divBdr>
        <w:top w:val="none" w:sz="0" w:space="0" w:color="auto"/>
        <w:left w:val="none" w:sz="0" w:space="0" w:color="auto"/>
        <w:bottom w:val="none" w:sz="0" w:space="0" w:color="auto"/>
        <w:right w:val="none" w:sz="0" w:space="0" w:color="auto"/>
      </w:divBdr>
    </w:div>
    <w:div w:id="1574007415">
      <w:bodyDiv w:val="1"/>
      <w:marLeft w:val="0"/>
      <w:marRight w:val="0"/>
      <w:marTop w:val="0"/>
      <w:marBottom w:val="0"/>
      <w:divBdr>
        <w:top w:val="none" w:sz="0" w:space="0" w:color="auto"/>
        <w:left w:val="none" w:sz="0" w:space="0" w:color="auto"/>
        <w:bottom w:val="none" w:sz="0" w:space="0" w:color="auto"/>
        <w:right w:val="none" w:sz="0" w:space="0" w:color="auto"/>
      </w:divBdr>
    </w:div>
    <w:div w:id="1574044031">
      <w:bodyDiv w:val="1"/>
      <w:marLeft w:val="0"/>
      <w:marRight w:val="0"/>
      <w:marTop w:val="0"/>
      <w:marBottom w:val="0"/>
      <w:divBdr>
        <w:top w:val="none" w:sz="0" w:space="0" w:color="auto"/>
        <w:left w:val="none" w:sz="0" w:space="0" w:color="auto"/>
        <w:bottom w:val="none" w:sz="0" w:space="0" w:color="auto"/>
        <w:right w:val="none" w:sz="0" w:space="0" w:color="auto"/>
      </w:divBdr>
    </w:div>
    <w:div w:id="1574202160">
      <w:bodyDiv w:val="1"/>
      <w:marLeft w:val="0"/>
      <w:marRight w:val="0"/>
      <w:marTop w:val="0"/>
      <w:marBottom w:val="0"/>
      <w:divBdr>
        <w:top w:val="none" w:sz="0" w:space="0" w:color="auto"/>
        <w:left w:val="none" w:sz="0" w:space="0" w:color="auto"/>
        <w:bottom w:val="none" w:sz="0" w:space="0" w:color="auto"/>
        <w:right w:val="none" w:sz="0" w:space="0" w:color="auto"/>
      </w:divBdr>
    </w:div>
    <w:div w:id="1574271865">
      <w:bodyDiv w:val="1"/>
      <w:marLeft w:val="0"/>
      <w:marRight w:val="0"/>
      <w:marTop w:val="0"/>
      <w:marBottom w:val="0"/>
      <w:divBdr>
        <w:top w:val="none" w:sz="0" w:space="0" w:color="auto"/>
        <w:left w:val="none" w:sz="0" w:space="0" w:color="auto"/>
        <w:bottom w:val="none" w:sz="0" w:space="0" w:color="auto"/>
        <w:right w:val="none" w:sz="0" w:space="0" w:color="auto"/>
      </w:divBdr>
    </w:div>
    <w:div w:id="1574388705">
      <w:bodyDiv w:val="1"/>
      <w:marLeft w:val="0"/>
      <w:marRight w:val="0"/>
      <w:marTop w:val="0"/>
      <w:marBottom w:val="0"/>
      <w:divBdr>
        <w:top w:val="none" w:sz="0" w:space="0" w:color="auto"/>
        <w:left w:val="none" w:sz="0" w:space="0" w:color="auto"/>
        <w:bottom w:val="none" w:sz="0" w:space="0" w:color="auto"/>
        <w:right w:val="none" w:sz="0" w:space="0" w:color="auto"/>
      </w:divBdr>
    </w:div>
    <w:div w:id="1574467653">
      <w:bodyDiv w:val="1"/>
      <w:marLeft w:val="0"/>
      <w:marRight w:val="0"/>
      <w:marTop w:val="0"/>
      <w:marBottom w:val="0"/>
      <w:divBdr>
        <w:top w:val="none" w:sz="0" w:space="0" w:color="auto"/>
        <w:left w:val="none" w:sz="0" w:space="0" w:color="auto"/>
        <w:bottom w:val="none" w:sz="0" w:space="0" w:color="auto"/>
        <w:right w:val="none" w:sz="0" w:space="0" w:color="auto"/>
      </w:divBdr>
    </w:div>
    <w:div w:id="1574505319">
      <w:bodyDiv w:val="1"/>
      <w:marLeft w:val="0"/>
      <w:marRight w:val="0"/>
      <w:marTop w:val="0"/>
      <w:marBottom w:val="0"/>
      <w:divBdr>
        <w:top w:val="none" w:sz="0" w:space="0" w:color="auto"/>
        <w:left w:val="none" w:sz="0" w:space="0" w:color="auto"/>
        <w:bottom w:val="none" w:sz="0" w:space="0" w:color="auto"/>
        <w:right w:val="none" w:sz="0" w:space="0" w:color="auto"/>
      </w:divBdr>
    </w:div>
    <w:div w:id="1574662622">
      <w:bodyDiv w:val="1"/>
      <w:marLeft w:val="0"/>
      <w:marRight w:val="0"/>
      <w:marTop w:val="0"/>
      <w:marBottom w:val="0"/>
      <w:divBdr>
        <w:top w:val="none" w:sz="0" w:space="0" w:color="auto"/>
        <w:left w:val="none" w:sz="0" w:space="0" w:color="auto"/>
        <w:bottom w:val="none" w:sz="0" w:space="0" w:color="auto"/>
        <w:right w:val="none" w:sz="0" w:space="0" w:color="auto"/>
      </w:divBdr>
    </w:div>
    <w:div w:id="1574663503">
      <w:bodyDiv w:val="1"/>
      <w:marLeft w:val="0"/>
      <w:marRight w:val="0"/>
      <w:marTop w:val="0"/>
      <w:marBottom w:val="0"/>
      <w:divBdr>
        <w:top w:val="none" w:sz="0" w:space="0" w:color="auto"/>
        <w:left w:val="none" w:sz="0" w:space="0" w:color="auto"/>
        <w:bottom w:val="none" w:sz="0" w:space="0" w:color="auto"/>
        <w:right w:val="none" w:sz="0" w:space="0" w:color="auto"/>
      </w:divBdr>
    </w:div>
    <w:div w:id="1574702710">
      <w:bodyDiv w:val="1"/>
      <w:marLeft w:val="0"/>
      <w:marRight w:val="0"/>
      <w:marTop w:val="0"/>
      <w:marBottom w:val="0"/>
      <w:divBdr>
        <w:top w:val="none" w:sz="0" w:space="0" w:color="auto"/>
        <w:left w:val="none" w:sz="0" w:space="0" w:color="auto"/>
        <w:bottom w:val="none" w:sz="0" w:space="0" w:color="auto"/>
        <w:right w:val="none" w:sz="0" w:space="0" w:color="auto"/>
      </w:divBdr>
    </w:div>
    <w:div w:id="1574703682">
      <w:bodyDiv w:val="1"/>
      <w:marLeft w:val="0"/>
      <w:marRight w:val="0"/>
      <w:marTop w:val="0"/>
      <w:marBottom w:val="0"/>
      <w:divBdr>
        <w:top w:val="none" w:sz="0" w:space="0" w:color="auto"/>
        <w:left w:val="none" w:sz="0" w:space="0" w:color="auto"/>
        <w:bottom w:val="none" w:sz="0" w:space="0" w:color="auto"/>
        <w:right w:val="none" w:sz="0" w:space="0" w:color="auto"/>
      </w:divBdr>
    </w:div>
    <w:div w:id="1574924381">
      <w:bodyDiv w:val="1"/>
      <w:marLeft w:val="0"/>
      <w:marRight w:val="0"/>
      <w:marTop w:val="0"/>
      <w:marBottom w:val="0"/>
      <w:divBdr>
        <w:top w:val="none" w:sz="0" w:space="0" w:color="auto"/>
        <w:left w:val="none" w:sz="0" w:space="0" w:color="auto"/>
        <w:bottom w:val="none" w:sz="0" w:space="0" w:color="auto"/>
        <w:right w:val="none" w:sz="0" w:space="0" w:color="auto"/>
      </w:divBdr>
    </w:div>
    <w:div w:id="1574969434">
      <w:bodyDiv w:val="1"/>
      <w:marLeft w:val="0"/>
      <w:marRight w:val="0"/>
      <w:marTop w:val="0"/>
      <w:marBottom w:val="0"/>
      <w:divBdr>
        <w:top w:val="none" w:sz="0" w:space="0" w:color="auto"/>
        <w:left w:val="none" w:sz="0" w:space="0" w:color="auto"/>
        <w:bottom w:val="none" w:sz="0" w:space="0" w:color="auto"/>
        <w:right w:val="none" w:sz="0" w:space="0" w:color="auto"/>
      </w:divBdr>
    </w:div>
    <w:div w:id="1575239831">
      <w:bodyDiv w:val="1"/>
      <w:marLeft w:val="0"/>
      <w:marRight w:val="0"/>
      <w:marTop w:val="0"/>
      <w:marBottom w:val="0"/>
      <w:divBdr>
        <w:top w:val="none" w:sz="0" w:space="0" w:color="auto"/>
        <w:left w:val="none" w:sz="0" w:space="0" w:color="auto"/>
        <w:bottom w:val="none" w:sz="0" w:space="0" w:color="auto"/>
        <w:right w:val="none" w:sz="0" w:space="0" w:color="auto"/>
      </w:divBdr>
    </w:div>
    <w:div w:id="1575318807">
      <w:bodyDiv w:val="1"/>
      <w:marLeft w:val="0"/>
      <w:marRight w:val="0"/>
      <w:marTop w:val="0"/>
      <w:marBottom w:val="0"/>
      <w:divBdr>
        <w:top w:val="none" w:sz="0" w:space="0" w:color="auto"/>
        <w:left w:val="none" w:sz="0" w:space="0" w:color="auto"/>
        <w:bottom w:val="none" w:sz="0" w:space="0" w:color="auto"/>
        <w:right w:val="none" w:sz="0" w:space="0" w:color="auto"/>
      </w:divBdr>
    </w:div>
    <w:div w:id="1575356135">
      <w:bodyDiv w:val="1"/>
      <w:marLeft w:val="0"/>
      <w:marRight w:val="0"/>
      <w:marTop w:val="0"/>
      <w:marBottom w:val="0"/>
      <w:divBdr>
        <w:top w:val="none" w:sz="0" w:space="0" w:color="auto"/>
        <w:left w:val="none" w:sz="0" w:space="0" w:color="auto"/>
        <w:bottom w:val="none" w:sz="0" w:space="0" w:color="auto"/>
        <w:right w:val="none" w:sz="0" w:space="0" w:color="auto"/>
      </w:divBdr>
    </w:div>
    <w:div w:id="1575356366">
      <w:bodyDiv w:val="1"/>
      <w:marLeft w:val="0"/>
      <w:marRight w:val="0"/>
      <w:marTop w:val="0"/>
      <w:marBottom w:val="0"/>
      <w:divBdr>
        <w:top w:val="none" w:sz="0" w:space="0" w:color="auto"/>
        <w:left w:val="none" w:sz="0" w:space="0" w:color="auto"/>
        <w:bottom w:val="none" w:sz="0" w:space="0" w:color="auto"/>
        <w:right w:val="none" w:sz="0" w:space="0" w:color="auto"/>
      </w:divBdr>
    </w:div>
    <w:div w:id="1575428330">
      <w:bodyDiv w:val="1"/>
      <w:marLeft w:val="0"/>
      <w:marRight w:val="0"/>
      <w:marTop w:val="0"/>
      <w:marBottom w:val="0"/>
      <w:divBdr>
        <w:top w:val="none" w:sz="0" w:space="0" w:color="auto"/>
        <w:left w:val="none" w:sz="0" w:space="0" w:color="auto"/>
        <w:bottom w:val="none" w:sz="0" w:space="0" w:color="auto"/>
        <w:right w:val="none" w:sz="0" w:space="0" w:color="auto"/>
      </w:divBdr>
    </w:div>
    <w:div w:id="1575503408">
      <w:bodyDiv w:val="1"/>
      <w:marLeft w:val="0"/>
      <w:marRight w:val="0"/>
      <w:marTop w:val="0"/>
      <w:marBottom w:val="0"/>
      <w:divBdr>
        <w:top w:val="none" w:sz="0" w:space="0" w:color="auto"/>
        <w:left w:val="none" w:sz="0" w:space="0" w:color="auto"/>
        <w:bottom w:val="none" w:sz="0" w:space="0" w:color="auto"/>
        <w:right w:val="none" w:sz="0" w:space="0" w:color="auto"/>
      </w:divBdr>
    </w:div>
    <w:div w:id="1575579612">
      <w:bodyDiv w:val="1"/>
      <w:marLeft w:val="0"/>
      <w:marRight w:val="0"/>
      <w:marTop w:val="0"/>
      <w:marBottom w:val="0"/>
      <w:divBdr>
        <w:top w:val="none" w:sz="0" w:space="0" w:color="auto"/>
        <w:left w:val="none" w:sz="0" w:space="0" w:color="auto"/>
        <w:bottom w:val="none" w:sz="0" w:space="0" w:color="auto"/>
        <w:right w:val="none" w:sz="0" w:space="0" w:color="auto"/>
      </w:divBdr>
    </w:div>
    <w:div w:id="1575580365">
      <w:bodyDiv w:val="1"/>
      <w:marLeft w:val="0"/>
      <w:marRight w:val="0"/>
      <w:marTop w:val="0"/>
      <w:marBottom w:val="0"/>
      <w:divBdr>
        <w:top w:val="none" w:sz="0" w:space="0" w:color="auto"/>
        <w:left w:val="none" w:sz="0" w:space="0" w:color="auto"/>
        <w:bottom w:val="none" w:sz="0" w:space="0" w:color="auto"/>
        <w:right w:val="none" w:sz="0" w:space="0" w:color="auto"/>
      </w:divBdr>
    </w:div>
    <w:div w:id="1575626426">
      <w:bodyDiv w:val="1"/>
      <w:marLeft w:val="0"/>
      <w:marRight w:val="0"/>
      <w:marTop w:val="0"/>
      <w:marBottom w:val="0"/>
      <w:divBdr>
        <w:top w:val="none" w:sz="0" w:space="0" w:color="auto"/>
        <w:left w:val="none" w:sz="0" w:space="0" w:color="auto"/>
        <w:bottom w:val="none" w:sz="0" w:space="0" w:color="auto"/>
        <w:right w:val="none" w:sz="0" w:space="0" w:color="auto"/>
      </w:divBdr>
    </w:div>
    <w:div w:id="1575703690">
      <w:bodyDiv w:val="1"/>
      <w:marLeft w:val="0"/>
      <w:marRight w:val="0"/>
      <w:marTop w:val="0"/>
      <w:marBottom w:val="0"/>
      <w:divBdr>
        <w:top w:val="none" w:sz="0" w:space="0" w:color="auto"/>
        <w:left w:val="none" w:sz="0" w:space="0" w:color="auto"/>
        <w:bottom w:val="none" w:sz="0" w:space="0" w:color="auto"/>
        <w:right w:val="none" w:sz="0" w:space="0" w:color="auto"/>
      </w:divBdr>
    </w:div>
    <w:div w:id="1575772003">
      <w:bodyDiv w:val="1"/>
      <w:marLeft w:val="0"/>
      <w:marRight w:val="0"/>
      <w:marTop w:val="0"/>
      <w:marBottom w:val="0"/>
      <w:divBdr>
        <w:top w:val="none" w:sz="0" w:space="0" w:color="auto"/>
        <w:left w:val="none" w:sz="0" w:space="0" w:color="auto"/>
        <w:bottom w:val="none" w:sz="0" w:space="0" w:color="auto"/>
        <w:right w:val="none" w:sz="0" w:space="0" w:color="auto"/>
      </w:divBdr>
    </w:div>
    <w:div w:id="1575774501">
      <w:bodyDiv w:val="1"/>
      <w:marLeft w:val="0"/>
      <w:marRight w:val="0"/>
      <w:marTop w:val="0"/>
      <w:marBottom w:val="0"/>
      <w:divBdr>
        <w:top w:val="none" w:sz="0" w:space="0" w:color="auto"/>
        <w:left w:val="none" w:sz="0" w:space="0" w:color="auto"/>
        <w:bottom w:val="none" w:sz="0" w:space="0" w:color="auto"/>
        <w:right w:val="none" w:sz="0" w:space="0" w:color="auto"/>
      </w:divBdr>
    </w:div>
    <w:div w:id="1575779558">
      <w:bodyDiv w:val="1"/>
      <w:marLeft w:val="0"/>
      <w:marRight w:val="0"/>
      <w:marTop w:val="0"/>
      <w:marBottom w:val="0"/>
      <w:divBdr>
        <w:top w:val="none" w:sz="0" w:space="0" w:color="auto"/>
        <w:left w:val="none" w:sz="0" w:space="0" w:color="auto"/>
        <w:bottom w:val="none" w:sz="0" w:space="0" w:color="auto"/>
        <w:right w:val="none" w:sz="0" w:space="0" w:color="auto"/>
      </w:divBdr>
    </w:div>
    <w:div w:id="1575814528">
      <w:bodyDiv w:val="1"/>
      <w:marLeft w:val="0"/>
      <w:marRight w:val="0"/>
      <w:marTop w:val="0"/>
      <w:marBottom w:val="0"/>
      <w:divBdr>
        <w:top w:val="none" w:sz="0" w:space="0" w:color="auto"/>
        <w:left w:val="none" w:sz="0" w:space="0" w:color="auto"/>
        <w:bottom w:val="none" w:sz="0" w:space="0" w:color="auto"/>
        <w:right w:val="none" w:sz="0" w:space="0" w:color="auto"/>
      </w:divBdr>
    </w:div>
    <w:div w:id="1575818030">
      <w:bodyDiv w:val="1"/>
      <w:marLeft w:val="0"/>
      <w:marRight w:val="0"/>
      <w:marTop w:val="0"/>
      <w:marBottom w:val="0"/>
      <w:divBdr>
        <w:top w:val="none" w:sz="0" w:space="0" w:color="auto"/>
        <w:left w:val="none" w:sz="0" w:space="0" w:color="auto"/>
        <w:bottom w:val="none" w:sz="0" w:space="0" w:color="auto"/>
        <w:right w:val="none" w:sz="0" w:space="0" w:color="auto"/>
      </w:divBdr>
    </w:div>
    <w:div w:id="1575896138">
      <w:bodyDiv w:val="1"/>
      <w:marLeft w:val="0"/>
      <w:marRight w:val="0"/>
      <w:marTop w:val="0"/>
      <w:marBottom w:val="0"/>
      <w:divBdr>
        <w:top w:val="none" w:sz="0" w:space="0" w:color="auto"/>
        <w:left w:val="none" w:sz="0" w:space="0" w:color="auto"/>
        <w:bottom w:val="none" w:sz="0" w:space="0" w:color="auto"/>
        <w:right w:val="none" w:sz="0" w:space="0" w:color="auto"/>
      </w:divBdr>
    </w:div>
    <w:div w:id="1575969378">
      <w:bodyDiv w:val="1"/>
      <w:marLeft w:val="0"/>
      <w:marRight w:val="0"/>
      <w:marTop w:val="0"/>
      <w:marBottom w:val="0"/>
      <w:divBdr>
        <w:top w:val="none" w:sz="0" w:space="0" w:color="auto"/>
        <w:left w:val="none" w:sz="0" w:space="0" w:color="auto"/>
        <w:bottom w:val="none" w:sz="0" w:space="0" w:color="auto"/>
        <w:right w:val="none" w:sz="0" w:space="0" w:color="auto"/>
      </w:divBdr>
    </w:div>
    <w:div w:id="1576164465">
      <w:bodyDiv w:val="1"/>
      <w:marLeft w:val="0"/>
      <w:marRight w:val="0"/>
      <w:marTop w:val="0"/>
      <w:marBottom w:val="0"/>
      <w:divBdr>
        <w:top w:val="none" w:sz="0" w:space="0" w:color="auto"/>
        <w:left w:val="none" w:sz="0" w:space="0" w:color="auto"/>
        <w:bottom w:val="none" w:sz="0" w:space="0" w:color="auto"/>
        <w:right w:val="none" w:sz="0" w:space="0" w:color="auto"/>
      </w:divBdr>
    </w:div>
    <w:div w:id="1576167817">
      <w:bodyDiv w:val="1"/>
      <w:marLeft w:val="0"/>
      <w:marRight w:val="0"/>
      <w:marTop w:val="0"/>
      <w:marBottom w:val="0"/>
      <w:divBdr>
        <w:top w:val="none" w:sz="0" w:space="0" w:color="auto"/>
        <w:left w:val="none" w:sz="0" w:space="0" w:color="auto"/>
        <w:bottom w:val="none" w:sz="0" w:space="0" w:color="auto"/>
        <w:right w:val="none" w:sz="0" w:space="0" w:color="auto"/>
      </w:divBdr>
    </w:div>
    <w:div w:id="1576237984">
      <w:bodyDiv w:val="1"/>
      <w:marLeft w:val="0"/>
      <w:marRight w:val="0"/>
      <w:marTop w:val="0"/>
      <w:marBottom w:val="0"/>
      <w:divBdr>
        <w:top w:val="none" w:sz="0" w:space="0" w:color="auto"/>
        <w:left w:val="none" w:sz="0" w:space="0" w:color="auto"/>
        <w:bottom w:val="none" w:sz="0" w:space="0" w:color="auto"/>
        <w:right w:val="none" w:sz="0" w:space="0" w:color="auto"/>
      </w:divBdr>
    </w:div>
    <w:div w:id="1576281083">
      <w:bodyDiv w:val="1"/>
      <w:marLeft w:val="0"/>
      <w:marRight w:val="0"/>
      <w:marTop w:val="0"/>
      <w:marBottom w:val="0"/>
      <w:divBdr>
        <w:top w:val="none" w:sz="0" w:space="0" w:color="auto"/>
        <w:left w:val="none" w:sz="0" w:space="0" w:color="auto"/>
        <w:bottom w:val="none" w:sz="0" w:space="0" w:color="auto"/>
        <w:right w:val="none" w:sz="0" w:space="0" w:color="auto"/>
      </w:divBdr>
    </w:div>
    <w:div w:id="1576361232">
      <w:bodyDiv w:val="1"/>
      <w:marLeft w:val="0"/>
      <w:marRight w:val="0"/>
      <w:marTop w:val="0"/>
      <w:marBottom w:val="0"/>
      <w:divBdr>
        <w:top w:val="none" w:sz="0" w:space="0" w:color="auto"/>
        <w:left w:val="none" w:sz="0" w:space="0" w:color="auto"/>
        <w:bottom w:val="none" w:sz="0" w:space="0" w:color="auto"/>
        <w:right w:val="none" w:sz="0" w:space="0" w:color="auto"/>
      </w:divBdr>
    </w:div>
    <w:div w:id="1576477818">
      <w:bodyDiv w:val="1"/>
      <w:marLeft w:val="0"/>
      <w:marRight w:val="0"/>
      <w:marTop w:val="0"/>
      <w:marBottom w:val="0"/>
      <w:divBdr>
        <w:top w:val="none" w:sz="0" w:space="0" w:color="auto"/>
        <w:left w:val="none" w:sz="0" w:space="0" w:color="auto"/>
        <w:bottom w:val="none" w:sz="0" w:space="0" w:color="auto"/>
        <w:right w:val="none" w:sz="0" w:space="0" w:color="auto"/>
      </w:divBdr>
    </w:div>
    <w:div w:id="1576669937">
      <w:bodyDiv w:val="1"/>
      <w:marLeft w:val="0"/>
      <w:marRight w:val="0"/>
      <w:marTop w:val="0"/>
      <w:marBottom w:val="0"/>
      <w:divBdr>
        <w:top w:val="none" w:sz="0" w:space="0" w:color="auto"/>
        <w:left w:val="none" w:sz="0" w:space="0" w:color="auto"/>
        <w:bottom w:val="none" w:sz="0" w:space="0" w:color="auto"/>
        <w:right w:val="none" w:sz="0" w:space="0" w:color="auto"/>
      </w:divBdr>
    </w:div>
    <w:div w:id="1576696327">
      <w:bodyDiv w:val="1"/>
      <w:marLeft w:val="0"/>
      <w:marRight w:val="0"/>
      <w:marTop w:val="0"/>
      <w:marBottom w:val="0"/>
      <w:divBdr>
        <w:top w:val="none" w:sz="0" w:space="0" w:color="auto"/>
        <w:left w:val="none" w:sz="0" w:space="0" w:color="auto"/>
        <w:bottom w:val="none" w:sz="0" w:space="0" w:color="auto"/>
        <w:right w:val="none" w:sz="0" w:space="0" w:color="auto"/>
      </w:divBdr>
    </w:div>
    <w:div w:id="1576891345">
      <w:bodyDiv w:val="1"/>
      <w:marLeft w:val="0"/>
      <w:marRight w:val="0"/>
      <w:marTop w:val="0"/>
      <w:marBottom w:val="0"/>
      <w:divBdr>
        <w:top w:val="none" w:sz="0" w:space="0" w:color="auto"/>
        <w:left w:val="none" w:sz="0" w:space="0" w:color="auto"/>
        <w:bottom w:val="none" w:sz="0" w:space="0" w:color="auto"/>
        <w:right w:val="none" w:sz="0" w:space="0" w:color="auto"/>
      </w:divBdr>
    </w:div>
    <w:div w:id="1576938305">
      <w:bodyDiv w:val="1"/>
      <w:marLeft w:val="0"/>
      <w:marRight w:val="0"/>
      <w:marTop w:val="0"/>
      <w:marBottom w:val="0"/>
      <w:divBdr>
        <w:top w:val="none" w:sz="0" w:space="0" w:color="auto"/>
        <w:left w:val="none" w:sz="0" w:space="0" w:color="auto"/>
        <w:bottom w:val="none" w:sz="0" w:space="0" w:color="auto"/>
        <w:right w:val="none" w:sz="0" w:space="0" w:color="auto"/>
      </w:divBdr>
    </w:div>
    <w:div w:id="1576939355">
      <w:bodyDiv w:val="1"/>
      <w:marLeft w:val="0"/>
      <w:marRight w:val="0"/>
      <w:marTop w:val="0"/>
      <w:marBottom w:val="0"/>
      <w:divBdr>
        <w:top w:val="none" w:sz="0" w:space="0" w:color="auto"/>
        <w:left w:val="none" w:sz="0" w:space="0" w:color="auto"/>
        <w:bottom w:val="none" w:sz="0" w:space="0" w:color="auto"/>
        <w:right w:val="none" w:sz="0" w:space="0" w:color="auto"/>
      </w:divBdr>
    </w:div>
    <w:div w:id="1576939607">
      <w:bodyDiv w:val="1"/>
      <w:marLeft w:val="0"/>
      <w:marRight w:val="0"/>
      <w:marTop w:val="0"/>
      <w:marBottom w:val="0"/>
      <w:divBdr>
        <w:top w:val="none" w:sz="0" w:space="0" w:color="auto"/>
        <w:left w:val="none" w:sz="0" w:space="0" w:color="auto"/>
        <w:bottom w:val="none" w:sz="0" w:space="0" w:color="auto"/>
        <w:right w:val="none" w:sz="0" w:space="0" w:color="auto"/>
      </w:divBdr>
    </w:div>
    <w:div w:id="1576940930">
      <w:bodyDiv w:val="1"/>
      <w:marLeft w:val="0"/>
      <w:marRight w:val="0"/>
      <w:marTop w:val="0"/>
      <w:marBottom w:val="0"/>
      <w:divBdr>
        <w:top w:val="none" w:sz="0" w:space="0" w:color="auto"/>
        <w:left w:val="none" w:sz="0" w:space="0" w:color="auto"/>
        <w:bottom w:val="none" w:sz="0" w:space="0" w:color="auto"/>
        <w:right w:val="none" w:sz="0" w:space="0" w:color="auto"/>
      </w:divBdr>
    </w:div>
    <w:div w:id="1577016407">
      <w:bodyDiv w:val="1"/>
      <w:marLeft w:val="0"/>
      <w:marRight w:val="0"/>
      <w:marTop w:val="0"/>
      <w:marBottom w:val="0"/>
      <w:divBdr>
        <w:top w:val="none" w:sz="0" w:space="0" w:color="auto"/>
        <w:left w:val="none" w:sz="0" w:space="0" w:color="auto"/>
        <w:bottom w:val="none" w:sz="0" w:space="0" w:color="auto"/>
        <w:right w:val="none" w:sz="0" w:space="0" w:color="auto"/>
      </w:divBdr>
    </w:div>
    <w:div w:id="1577082990">
      <w:bodyDiv w:val="1"/>
      <w:marLeft w:val="0"/>
      <w:marRight w:val="0"/>
      <w:marTop w:val="0"/>
      <w:marBottom w:val="0"/>
      <w:divBdr>
        <w:top w:val="none" w:sz="0" w:space="0" w:color="auto"/>
        <w:left w:val="none" w:sz="0" w:space="0" w:color="auto"/>
        <w:bottom w:val="none" w:sz="0" w:space="0" w:color="auto"/>
        <w:right w:val="none" w:sz="0" w:space="0" w:color="auto"/>
      </w:divBdr>
    </w:div>
    <w:div w:id="1577204301">
      <w:bodyDiv w:val="1"/>
      <w:marLeft w:val="0"/>
      <w:marRight w:val="0"/>
      <w:marTop w:val="0"/>
      <w:marBottom w:val="0"/>
      <w:divBdr>
        <w:top w:val="none" w:sz="0" w:space="0" w:color="auto"/>
        <w:left w:val="none" w:sz="0" w:space="0" w:color="auto"/>
        <w:bottom w:val="none" w:sz="0" w:space="0" w:color="auto"/>
        <w:right w:val="none" w:sz="0" w:space="0" w:color="auto"/>
      </w:divBdr>
    </w:div>
    <w:div w:id="1577282309">
      <w:bodyDiv w:val="1"/>
      <w:marLeft w:val="0"/>
      <w:marRight w:val="0"/>
      <w:marTop w:val="0"/>
      <w:marBottom w:val="0"/>
      <w:divBdr>
        <w:top w:val="none" w:sz="0" w:space="0" w:color="auto"/>
        <w:left w:val="none" w:sz="0" w:space="0" w:color="auto"/>
        <w:bottom w:val="none" w:sz="0" w:space="0" w:color="auto"/>
        <w:right w:val="none" w:sz="0" w:space="0" w:color="auto"/>
      </w:divBdr>
    </w:div>
    <w:div w:id="1577324835">
      <w:bodyDiv w:val="1"/>
      <w:marLeft w:val="0"/>
      <w:marRight w:val="0"/>
      <w:marTop w:val="0"/>
      <w:marBottom w:val="0"/>
      <w:divBdr>
        <w:top w:val="none" w:sz="0" w:space="0" w:color="auto"/>
        <w:left w:val="none" w:sz="0" w:space="0" w:color="auto"/>
        <w:bottom w:val="none" w:sz="0" w:space="0" w:color="auto"/>
        <w:right w:val="none" w:sz="0" w:space="0" w:color="auto"/>
      </w:divBdr>
    </w:div>
    <w:div w:id="1577663498">
      <w:bodyDiv w:val="1"/>
      <w:marLeft w:val="0"/>
      <w:marRight w:val="0"/>
      <w:marTop w:val="0"/>
      <w:marBottom w:val="0"/>
      <w:divBdr>
        <w:top w:val="none" w:sz="0" w:space="0" w:color="auto"/>
        <w:left w:val="none" w:sz="0" w:space="0" w:color="auto"/>
        <w:bottom w:val="none" w:sz="0" w:space="0" w:color="auto"/>
        <w:right w:val="none" w:sz="0" w:space="0" w:color="auto"/>
      </w:divBdr>
    </w:div>
    <w:div w:id="1577665831">
      <w:bodyDiv w:val="1"/>
      <w:marLeft w:val="0"/>
      <w:marRight w:val="0"/>
      <w:marTop w:val="0"/>
      <w:marBottom w:val="0"/>
      <w:divBdr>
        <w:top w:val="none" w:sz="0" w:space="0" w:color="auto"/>
        <w:left w:val="none" w:sz="0" w:space="0" w:color="auto"/>
        <w:bottom w:val="none" w:sz="0" w:space="0" w:color="auto"/>
        <w:right w:val="none" w:sz="0" w:space="0" w:color="auto"/>
      </w:divBdr>
    </w:div>
    <w:div w:id="1577781241">
      <w:bodyDiv w:val="1"/>
      <w:marLeft w:val="0"/>
      <w:marRight w:val="0"/>
      <w:marTop w:val="0"/>
      <w:marBottom w:val="0"/>
      <w:divBdr>
        <w:top w:val="none" w:sz="0" w:space="0" w:color="auto"/>
        <w:left w:val="none" w:sz="0" w:space="0" w:color="auto"/>
        <w:bottom w:val="none" w:sz="0" w:space="0" w:color="auto"/>
        <w:right w:val="none" w:sz="0" w:space="0" w:color="auto"/>
      </w:divBdr>
    </w:div>
    <w:div w:id="1577859310">
      <w:bodyDiv w:val="1"/>
      <w:marLeft w:val="0"/>
      <w:marRight w:val="0"/>
      <w:marTop w:val="0"/>
      <w:marBottom w:val="0"/>
      <w:divBdr>
        <w:top w:val="none" w:sz="0" w:space="0" w:color="auto"/>
        <w:left w:val="none" w:sz="0" w:space="0" w:color="auto"/>
        <w:bottom w:val="none" w:sz="0" w:space="0" w:color="auto"/>
        <w:right w:val="none" w:sz="0" w:space="0" w:color="auto"/>
      </w:divBdr>
    </w:div>
    <w:div w:id="1577861185">
      <w:bodyDiv w:val="1"/>
      <w:marLeft w:val="0"/>
      <w:marRight w:val="0"/>
      <w:marTop w:val="0"/>
      <w:marBottom w:val="0"/>
      <w:divBdr>
        <w:top w:val="none" w:sz="0" w:space="0" w:color="auto"/>
        <w:left w:val="none" w:sz="0" w:space="0" w:color="auto"/>
        <w:bottom w:val="none" w:sz="0" w:space="0" w:color="auto"/>
        <w:right w:val="none" w:sz="0" w:space="0" w:color="auto"/>
      </w:divBdr>
    </w:div>
    <w:div w:id="1577931659">
      <w:bodyDiv w:val="1"/>
      <w:marLeft w:val="0"/>
      <w:marRight w:val="0"/>
      <w:marTop w:val="0"/>
      <w:marBottom w:val="0"/>
      <w:divBdr>
        <w:top w:val="none" w:sz="0" w:space="0" w:color="auto"/>
        <w:left w:val="none" w:sz="0" w:space="0" w:color="auto"/>
        <w:bottom w:val="none" w:sz="0" w:space="0" w:color="auto"/>
        <w:right w:val="none" w:sz="0" w:space="0" w:color="auto"/>
      </w:divBdr>
    </w:div>
    <w:div w:id="1578049945">
      <w:bodyDiv w:val="1"/>
      <w:marLeft w:val="0"/>
      <w:marRight w:val="0"/>
      <w:marTop w:val="0"/>
      <w:marBottom w:val="0"/>
      <w:divBdr>
        <w:top w:val="none" w:sz="0" w:space="0" w:color="auto"/>
        <w:left w:val="none" w:sz="0" w:space="0" w:color="auto"/>
        <w:bottom w:val="none" w:sz="0" w:space="0" w:color="auto"/>
        <w:right w:val="none" w:sz="0" w:space="0" w:color="auto"/>
      </w:divBdr>
    </w:div>
    <w:div w:id="1578131903">
      <w:bodyDiv w:val="1"/>
      <w:marLeft w:val="0"/>
      <w:marRight w:val="0"/>
      <w:marTop w:val="0"/>
      <w:marBottom w:val="0"/>
      <w:divBdr>
        <w:top w:val="none" w:sz="0" w:space="0" w:color="auto"/>
        <w:left w:val="none" w:sz="0" w:space="0" w:color="auto"/>
        <w:bottom w:val="none" w:sz="0" w:space="0" w:color="auto"/>
        <w:right w:val="none" w:sz="0" w:space="0" w:color="auto"/>
      </w:divBdr>
    </w:div>
    <w:div w:id="1578202690">
      <w:bodyDiv w:val="1"/>
      <w:marLeft w:val="0"/>
      <w:marRight w:val="0"/>
      <w:marTop w:val="0"/>
      <w:marBottom w:val="0"/>
      <w:divBdr>
        <w:top w:val="none" w:sz="0" w:space="0" w:color="auto"/>
        <w:left w:val="none" w:sz="0" w:space="0" w:color="auto"/>
        <w:bottom w:val="none" w:sz="0" w:space="0" w:color="auto"/>
        <w:right w:val="none" w:sz="0" w:space="0" w:color="auto"/>
      </w:divBdr>
    </w:div>
    <w:div w:id="1578249557">
      <w:bodyDiv w:val="1"/>
      <w:marLeft w:val="0"/>
      <w:marRight w:val="0"/>
      <w:marTop w:val="0"/>
      <w:marBottom w:val="0"/>
      <w:divBdr>
        <w:top w:val="none" w:sz="0" w:space="0" w:color="auto"/>
        <w:left w:val="none" w:sz="0" w:space="0" w:color="auto"/>
        <w:bottom w:val="none" w:sz="0" w:space="0" w:color="auto"/>
        <w:right w:val="none" w:sz="0" w:space="0" w:color="auto"/>
      </w:divBdr>
    </w:div>
    <w:div w:id="1578318261">
      <w:bodyDiv w:val="1"/>
      <w:marLeft w:val="0"/>
      <w:marRight w:val="0"/>
      <w:marTop w:val="0"/>
      <w:marBottom w:val="0"/>
      <w:divBdr>
        <w:top w:val="none" w:sz="0" w:space="0" w:color="auto"/>
        <w:left w:val="none" w:sz="0" w:space="0" w:color="auto"/>
        <w:bottom w:val="none" w:sz="0" w:space="0" w:color="auto"/>
        <w:right w:val="none" w:sz="0" w:space="0" w:color="auto"/>
      </w:divBdr>
    </w:div>
    <w:div w:id="1578319495">
      <w:bodyDiv w:val="1"/>
      <w:marLeft w:val="0"/>
      <w:marRight w:val="0"/>
      <w:marTop w:val="0"/>
      <w:marBottom w:val="0"/>
      <w:divBdr>
        <w:top w:val="none" w:sz="0" w:space="0" w:color="auto"/>
        <w:left w:val="none" w:sz="0" w:space="0" w:color="auto"/>
        <w:bottom w:val="none" w:sz="0" w:space="0" w:color="auto"/>
        <w:right w:val="none" w:sz="0" w:space="0" w:color="auto"/>
      </w:divBdr>
    </w:div>
    <w:div w:id="1578399559">
      <w:bodyDiv w:val="1"/>
      <w:marLeft w:val="0"/>
      <w:marRight w:val="0"/>
      <w:marTop w:val="0"/>
      <w:marBottom w:val="0"/>
      <w:divBdr>
        <w:top w:val="none" w:sz="0" w:space="0" w:color="auto"/>
        <w:left w:val="none" w:sz="0" w:space="0" w:color="auto"/>
        <w:bottom w:val="none" w:sz="0" w:space="0" w:color="auto"/>
        <w:right w:val="none" w:sz="0" w:space="0" w:color="auto"/>
      </w:divBdr>
    </w:div>
    <w:div w:id="1578442192">
      <w:bodyDiv w:val="1"/>
      <w:marLeft w:val="0"/>
      <w:marRight w:val="0"/>
      <w:marTop w:val="0"/>
      <w:marBottom w:val="0"/>
      <w:divBdr>
        <w:top w:val="none" w:sz="0" w:space="0" w:color="auto"/>
        <w:left w:val="none" w:sz="0" w:space="0" w:color="auto"/>
        <w:bottom w:val="none" w:sz="0" w:space="0" w:color="auto"/>
        <w:right w:val="none" w:sz="0" w:space="0" w:color="auto"/>
      </w:divBdr>
    </w:div>
    <w:div w:id="1578444273">
      <w:bodyDiv w:val="1"/>
      <w:marLeft w:val="0"/>
      <w:marRight w:val="0"/>
      <w:marTop w:val="0"/>
      <w:marBottom w:val="0"/>
      <w:divBdr>
        <w:top w:val="none" w:sz="0" w:space="0" w:color="auto"/>
        <w:left w:val="none" w:sz="0" w:space="0" w:color="auto"/>
        <w:bottom w:val="none" w:sz="0" w:space="0" w:color="auto"/>
        <w:right w:val="none" w:sz="0" w:space="0" w:color="auto"/>
      </w:divBdr>
    </w:div>
    <w:div w:id="1578636000">
      <w:bodyDiv w:val="1"/>
      <w:marLeft w:val="0"/>
      <w:marRight w:val="0"/>
      <w:marTop w:val="0"/>
      <w:marBottom w:val="0"/>
      <w:divBdr>
        <w:top w:val="none" w:sz="0" w:space="0" w:color="auto"/>
        <w:left w:val="none" w:sz="0" w:space="0" w:color="auto"/>
        <w:bottom w:val="none" w:sz="0" w:space="0" w:color="auto"/>
        <w:right w:val="none" w:sz="0" w:space="0" w:color="auto"/>
      </w:divBdr>
    </w:div>
    <w:div w:id="1578712002">
      <w:bodyDiv w:val="1"/>
      <w:marLeft w:val="0"/>
      <w:marRight w:val="0"/>
      <w:marTop w:val="0"/>
      <w:marBottom w:val="0"/>
      <w:divBdr>
        <w:top w:val="none" w:sz="0" w:space="0" w:color="auto"/>
        <w:left w:val="none" w:sz="0" w:space="0" w:color="auto"/>
        <w:bottom w:val="none" w:sz="0" w:space="0" w:color="auto"/>
        <w:right w:val="none" w:sz="0" w:space="0" w:color="auto"/>
      </w:divBdr>
    </w:div>
    <w:div w:id="1578788290">
      <w:bodyDiv w:val="1"/>
      <w:marLeft w:val="0"/>
      <w:marRight w:val="0"/>
      <w:marTop w:val="0"/>
      <w:marBottom w:val="0"/>
      <w:divBdr>
        <w:top w:val="none" w:sz="0" w:space="0" w:color="auto"/>
        <w:left w:val="none" w:sz="0" w:space="0" w:color="auto"/>
        <w:bottom w:val="none" w:sz="0" w:space="0" w:color="auto"/>
        <w:right w:val="none" w:sz="0" w:space="0" w:color="auto"/>
      </w:divBdr>
    </w:div>
    <w:div w:id="1578829875">
      <w:bodyDiv w:val="1"/>
      <w:marLeft w:val="0"/>
      <w:marRight w:val="0"/>
      <w:marTop w:val="0"/>
      <w:marBottom w:val="0"/>
      <w:divBdr>
        <w:top w:val="none" w:sz="0" w:space="0" w:color="auto"/>
        <w:left w:val="none" w:sz="0" w:space="0" w:color="auto"/>
        <w:bottom w:val="none" w:sz="0" w:space="0" w:color="auto"/>
        <w:right w:val="none" w:sz="0" w:space="0" w:color="auto"/>
      </w:divBdr>
    </w:div>
    <w:div w:id="1578898177">
      <w:bodyDiv w:val="1"/>
      <w:marLeft w:val="0"/>
      <w:marRight w:val="0"/>
      <w:marTop w:val="0"/>
      <w:marBottom w:val="0"/>
      <w:divBdr>
        <w:top w:val="none" w:sz="0" w:space="0" w:color="auto"/>
        <w:left w:val="none" w:sz="0" w:space="0" w:color="auto"/>
        <w:bottom w:val="none" w:sz="0" w:space="0" w:color="auto"/>
        <w:right w:val="none" w:sz="0" w:space="0" w:color="auto"/>
      </w:divBdr>
    </w:div>
    <w:div w:id="1578974415">
      <w:bodyDiv w:val="1"/>
      <w:marLeft w:val="0"/>
      <w:marRight w:val="0"/>
      <w:marTop w:val="0"/>
      <w:marBottom w:val="0"/>
      <w:divBdr>
        <w:top w:val="none" w:sz="0" w:space="0" w:color="auto"/>
        <w:left w:val="none" w:sz="0" w:space="0" w:color="auto"/>
        <w:bottom w:val="none" w:sz="0" w:space="0" w:color="auto"/>
        <w:right w:val="none" w:sz="0" w:space="0" w:color="auto"/>
      </w:divBdr>
    </w:div>
    <w:div w:id="1578980153">
      <w:bodyDiv w:val="1"/>
      <w:marLeft w:val="0"/>
      <w:marRight w:val="0"/>
      <w:marTop w:val="0"/>
      <w:marBottom w:val="0"/>
      <w:divBdr>
        <w:top w:val="none" w:sz="0" w:space="0" w:color="auto"/>
        <w:left w:val="none" w:sz="0" w:space="0" w:color="auto"/>
        <w:bottom w:val="none" w:sz="0" w:space="0" w:color="auto"/>
        <w:right w:val="none" w:sz="0" w:space="0" w:color="auto"/>
      </w:divBdr>
    </w:div>
    <w:div w:id="1578981602">
      <w:bodyDiv w:val="1"/>
      <w:marLeft w:val="0"/>
      <w:marRight w:val="0"/>
      <w:marTop w:val="0"/>
      <w:marBottom w:val="0"/>
      <w:divBdr>
        <w:top w:val="none" w:sz="0" w:space="0" w:color="auto"/>
        <w:left w:val="none" w:sz="0" w:space="0" w:color="auto"/>
        <w:bottom w:val="none" w:sz="0" w:space="0" w:color="auto"/>
        <w:right w:val="none" w:sz="0" w:space="0" w:color="auto"/>
      </w:divBdr>
    </w:div>
    <w:div w:id="1579054689">
      <w:bodyDiv w:val="1"/>
      <w:marLeft w:val="0"/>
      <w:marRight w:val="0"/>
      <w:marTop w:val="0"/>
      <w:marBottom w:val="0"/>
      <w:divBdr>
        <w:top w:val="none" w:sz="0" w:space="0" w:color="auto"/>
        <w:left w:val="none" w:sz="0" w:space="0" w:color="auto"/>
        <w:bottom w:val="none" w:sz="0" w:space="0" w:color="auto"/>
        <w:right w:val="none" w:sz="0" w:space="0" w:color="auto"/>
      </w:divBdr>
    </w:div>
    <w:div w:id="1579056113">
      <w:bodyDiv w:val="1"/>
      <w:marLeft w:val="0"/>
      <w:marRight w:val="0"/>
      <w:marTop w:val="0"/>
      <w:marBottom w:val="0"/>
      <w:divBdr>
        <w:top w:val="none" w:sz="0" w:space="0" w:color="auto"/>
        <w:left w:val="none" w:sz="0" w:space="0" w:color="auto"/>
        <w:bottom w:val="none" w:sz="0" w:space="0" w:color="auto"/>
        <w:right w:val="none" w:sz="0" w:space="0" w:color="auto"/>
      </w:divBdr>
    </w:div>
    <w:div w:id="1579090776">
      <w:bodyDiv w:val="1"/>
      <w:marLeft w:val="0"/>
      <w:marRight w:val="0"/>
      <w:marTop w:val="0"/>
      <w:marBottom w:val="0"/>
      <w:divBdr>
        <w:top w:val="none" w:sz="0" w:space="0" w:color="auto"/>
        <w:left w:val="none" w:sz="0" w:space="0" w:color="auto"/>
        <w:bottom w:val="none" w:sz="0" w:space="0" w:color="auto"/>
        <w:right w:val="none" w:sz="0" w:space="0" w:color="auto"/>
      </w:divBdr>
    </w:div>
    <w:div w:id="1579098142">
      <w:bodyDiv w:val="1"/>
      <w:marLeft w:val="0"/>
      <w:marRight w:val="0"/>
      <w:marTop w:val="0"/>
      <w:marBottom w:val="0"/>
      <w:divBdr>
        <w:top w:val="none" w:sz="0" w:space="0" w:color="auto"/>
        <w:left w:val="none" w:sz="0" w:space="0" w:color="auto"/>
        <w:bottom w:val="none" w:sz="0" w:space="0" w:color="auto"/>
        <w:right w:val="none" w:sz="0" w:space="0" w:color="auto"/>
      </w:divBdr>
    </w:div>
    <w:div w:id="1579100346">
      <w:bodyDiv w:val="1"/>
      <w:marLeft w:val="0"/>
      <w:marRight w:val="0"/>
      <w:marTop w:val="0"/>
      <w:marBottom w:val="0"/>
      <w:divBdr>
        <w:top w:val="none" w:sz="0" w:space="0" w:color="auto"/>
        <w:left w:val="none" w:sz="0" w:space="0" w:color="auto"/>
        <w:bottom w:val="none" w:sz="0" w:space="0" w:color="auto"/>
        <w:right w:val="none" w:sz="0" w:space="0" w:color="auto"/>
      </w:divBdr>
    </w:div>
    <w:div w:id="1579166453">
      <w:bodyDiv w:val="1"/>
      <w:marLeft w:val="0"/>
      <w:marRight w:val="0"/>
      <w:marTop w:val="0"/>
      <w:marBottom w:val="0"/>
      <w:divBdr>
        <w:top w:val="none" w:sz="0" w:space="0" w:color="auto"/>
        <w:left w:val="none" w:sz="0" w:space="0" w:color="auto"/>
        <w:bottom w:val="none" w:sz="0" w:space="0" w:color="auto"/>
        <w:right w:val="none" w:sz="0" w:space="0" w:color="auto"/>
      </w:divBdr>
    </w:div>
    <w:div w:id="1579166625">
      <w:bodyDiv w:val="1"/>
      <w:marLeft w:val="0"/>
      <w:marRight w:val="0"/>
      <w:marTop w:val="0"/>
      <w:marBottom w:val="0"/>
      <w:divBdr>
        <w:top w:val="none" w:sz="0" w:space="0" w:color="auto"/>
        <w:left w:val="none" w:sz="0" w:space="0" w:color="auto"/>
        <w:bottom w:val="none" w:sz="0" w:space="0" w:color="auto"/>
        <w:right w:val="none" w:sz="0" w:space="0" w:color="auto"/>
      </w:divBdr>
    </w:div>
    <w:div w:id="1579243018">
      <w:bodyDiv w:val="1"/>
      <w:marLeft w:val="0"/>
      <w:marRight w:val="0"/>
      <w:marTop w:val="0"/>
      <w:marBottom w:val="0"/>
      <w:divBdr>
        <w:top w:val="none" w:sz="0" w:space="0" w:color="auto"/>
        <w:left w:val="none" w:sz="0" w:space="0" w:color="auto"/>
        <w:bottom w:val="none" w:sz="0" w:space="0" w:color="auto"/>
        <w:right w:val="none" w:sz="0" w:space="0" w:color="auto"/>
      </w:divBdr>
    </w:div>
    <w:div w:id="1579435451">
      <w:bodyDiv w:val="1"/>
      <w:marLeft w:val="0"/>
      <w:marRight w:val="0"/>
      <w:marTop w:val="0"/>
      <w:marBottom w:val="0"/>
      <w:divBdr>
        <w:top w:val="none" w:sz="0" w:space="0" w:color="auto"/>
        <w:left w:val="none" w:sz="0" w:space="0" w:color="auto"/>
        <w:bottom w:val="none" w:sz="0" w:space="0" w:color="auto"/>
        <w:right w:val="none" w:sz="0" w:space="0" w:color="auto"/>
      </w:divBdr>
    </w:div>
    <w:div w:id="1579711229">
      <w:bodyDiv w:val="1"/>
      <w:marLeft w:val="0"/>
      <w:marRight w:val="0"/>
      <w:marTop w:val="0"/>
      <w:marBottom w:val="0"/>
      <w:divBdr>
        <w:top w:val="none" w:sz="0" w:space="0" w:color="auto"/>
        <w:left w:val="none" w:sz="0" w:space="0" w:color="auto"/>
        <w:bottom w:val="none" w:sz="0" w:space="0" w:color="auto"/>
        <w:right w:val="none" w:sz="0" w:space="0" w:color="auto"/>
      </w:divBdr>
    </w:div>
    <w:div w:id="1579752895">
      <w:bodyDiv w:val="1"/>
      <w:marLeft w:val="0"/>
      <w:marRight w:val="0"/>
      <w:marTop w:val="0"/>
      <w:marBottom w:val="0"/>
      <w:divBdr>
        <w:top w:val="none" w:sz="0" w:space="0" w:color="auto"/>
        <w:left w:val="none" w:sz="0" w:space="0" w:color="auto"/>
        <w:bottom w:val="none" w:sz="0" w:space="0" w:color="auto"/>
        <w:right w:val="none" w:sz="0" w:space="0" w:color="auto"/>
      </w:divBdr>
    </w:div>
    <w:div w:id="1579899201">
      <w:bodyDiv w:val="1"/>
      <w:marLeft w:val="0"/>
      <w:marRight w:val="0"/>
      <w:marTop w:val="0"/>
      <w:marBottom w:val="0"/>
      <w:divBdr>
        <w:top w:val="none" w:sz="0" w:space="0" w:color="auto"/>
        <w:left w:val="none" w:sz="0" w:space="0" w:color="auto"/>
        <w:bottom w:val="none" w:sz="0" w:space="0" w:color="auto"/>
        <w:right w:val="none" w:sz="0" w:space="0" w:color="auto"/>
      </w:divBdr>
    </w:div>
    <w:div w:id="1580091581">
      <w:bodyDiv w:val="1"/>
      <w:marLeft w:val="0"/>
      <w:marRight w:val="0"/>
      <w:marTop w:val="0"/>
      <w:marBottom w:val="0"/>
      <w:divBdr>
        <w:top w:val="none" w:sz="0" w:space="0" w:color="auto"/>
        <w:left w:val="none" w:sz="0" w:space="0" w:color="auto"/>
        <w:bottom w:val="none" w:sz="0" w:space="0" w:color="auto"/>
        <w:right w:val="none" w:sz="0" w:space="0" w:color="auto"/>
      </w:divBdr>
    </w:div>
    <w:div w:id="1580091846">
      <w:bodyDiv w:val="1"/>
      <w:marLeft w:val="0"/>
      <w:marRight w:val="0"/>
      <w:marTop w:val="0"/>
      <w:marBottom w:val="0"/>
      <w:divBdr>
        <w:top w:val="none" w:sz="0" w:space="0" w:color="auto"/>
        <w:left w:val="none" w:sz="0" w:space="0" w:color="auto"/>
        <w:bottom w:val="none" w:sz="0" w:space="0" w:color="auto"/>
        <w:right w:val="none" w:sz="0" w:space="0" w:color="auto"/>
      </w:divBdr>
    </w:div>
    <w:div w:id="1580092940">
      <w:bodyDiv w:val="1"/>
      <w:marLeft w:val="0"/>
      <w:marRight w:val="0"/>
      <w:marTop w:val="0"/>
      <w:marBottom w:val="0"/>
      <w:divBdr>
        <w:top w:val="none" w:sz="0" w:space="0" w:color="auto"/>
        <w:left w:val="none" w:sz="0" w:space="0" w:color="auto"/>
        <w:bottom w:val="none" w:sz="0" w:space="0" w:color="auto"/>
        <w:right w:val="none" w:sz="0" w:space="0" w:color="auto"/>
      </w:divBdr>
    </w:div>
    <w:div w:id="1580139276">
      <w:bodyDiv w:val="1"/>
      <w:marLeft w:val="0"/>
      <w:marRight w:val="0"/>
      <w:marTop w:val="0"/>
      <w:marBottom w:val="0"/>
      <w:divBdr>
        <w:top w:val="none" w:sz="0" w:space="0" w:color="auto"/>
        <w:left w:val="none" w:sz="0" w:space="0" w:color="auto"/>
        <w:bottom w:val="none" w:sz="0" w:space="0" w:color="auto"/>
        <w:right w:val="none" w:sz="0" w:space="0" w:color="auto"/>
      </w:divBdr>
    </w:div>
    <w:div w:id="1580286690">
      <w:bodyDiv w:val="1"/>
      <w:marLeft w:val="0"/>
      <w:marRight w:val="0"/>
      <w:marTop w:val="0"/>
      <w:marBottom w:val="0"/>
      <w:divBdr>
        <w:top w:val="none" w:sz="0" w:space="0" w:color="auto"/>
        <w:left w:val="none" w:sz="0" w:space="0" w:color="auto"/>
        <w:bottom w:val="none" w:sz="0" w:space="0" w:color="auto"/>
        <w:right w:val="none" w:sz="0" w:space="0" w:color="auto"/>
      </w:divBdr>
    </w:div>
    <w:div w:id="1580288254">
      <w:bodyDiv w:val="1"/>
      <w:marLeft w:val="0"/>
      <w:marRight w:val="0"/>
      <w:marTop w:val="0"/>
      <w:marBottom w:val="0"/>
      <w:divBdr>
        <w:top w:val="none" w:sz="0" w:space="0" w:color="auto"/>
        <w:left w:val="none" w:sz="0" w:space="0" w:color="auto"/>
        <w:bottom w:val="none" w:sz="0" w:space="0" w:color="auto"/>
        <w:right w:val="none" w:sz="0" w:space="0" w:color="auto"/>
      </w:divBdr>
    </w:div>
    <w:div w:id="1580290540">
      <w:bodyDiv w:val="1"/>
      <w:marLeft w:val="0"/>
      <w:marRight w:val="0"/>
      <w:marTop w:val="0"/>
      <w:marBottom w:val="0"/>
      <w:divBdr>
        <w:top w:val="none" w:sz="0" w:space="0" w:color="auto"/>
        <w:left w:val="none" w:sz="0" w:space="0" w:color="auto"/>
        <w:bottom w:val="none" w:sz="0" w:space="0" w:color="auto"/>
        <w:right w:val="none" w:sz="0" w:space="0" w:color="auto"/>
      </w:divBdr>
    </w:div>
    <w:div w:id="1580363543">
      <w:bodyDiv w:val="1"/>
      <w:marLeft w:val="0"/>
      <w:marRight w:val="0"/>
      <w:marTop w:val="0"/>
      <w:marBottom w:val="0"/>
      <w:divBdr>
        <w:top w:val="none" w:sz="0" w:space="0" w:color="auto"/>
        <w:left w:val="none" w:sz="0" w:space="0" w:color="auto"/>
        <w:bottom w:val="none" w:sz="0" w:space="0" w:color="auto"/>
        <w:right w:val="none" w:sz="0" w:space="0" w:color="auto"/>
      </w:divBdr>
    </w:div>
    <w:div w:id="1580363598">
      <w:bodyDiv w:val="1"/>
      <w:marLeft w:val="0"/>
      <w:marRight w:val="0"/>
      <w:marTop w:val="0"/>
      <w:marBottom w:val="0"/>
      <w:divBdr>
        <w:top w:val="none" w:sz="0" w:space="0" w:color="auto"/>
        <w:left w:val="none" w:sz="0" w:space="0" w:color="auto"/>
        <w:bottom w:val="none" w:sz="0" w:space="0" w:color="auto"/>
        <w:right w:val="none" w:sz="0" w:space="0" w:color="auto"/>
      </w:divBdr>
    </w:div>
    <w:div w:id="1580401893">
      <w:bodyDiv w:val="1"/>
      <w:marLeft w:val="0"/>
      <w:marRight w:val="0"/>
      <w:marTop w:val="0"/>
      <w:marBottom w:val="0"/>
      <w:divBdr>
        <w:top w:val="none" w:sz="0" w:space="0" w:color="auto"/>
        <w:left w:val="none" w:sz="0" w:space="0" w:color="auto"/>
        <w:bottom w:val="none" w:sz="0" w:space="0" w:color="auto"/>
        <w:right w:val="none" w:sz="0" w:space="0" w:color="auto"/>
      </w:divBdr>
    </w:div>
    <w:div w:id="1580480262">
      <w:bodyDiv w:val="1"/>
      <w:marLeft w:val="0"/>
      <w:marRight w:val="0"/>
      <w:marTop w:val="0"/>
      <w:marBottom w:val="0"/>
      <w:divBdr>
        <w:top w:val="none" w:sz="0" w:space="0" w:color="auto"/>
        <w:left w:val="none" w:sz="0" w:space="0" w:color="auto"/>
        <w:bottom w:val="none" w:sz="0" w:space="0" w:color="auto"/>
        <w:right w:val="none" w:sz="0" w:space="0" w:color="auto"/>
      </w:divBdr>
    </w:div>
    <w:div w:id="1580559010">
      <w:bodyDiv w:val="1"/>
      <w:marLeft w:val="0"/>
      <w:marRight w:val="0"/>
      <w:marTop w:val="0"/>
      <w:marBottom w:val="0"/>
      <w:divBdr>
        <w:top w:val="none" w:sz="0" w:space="0" w:color="auto"/>
        <w:left w:val="none" w:sz="0" w:space="0" w:color="auto"/>
        <w:bottom w:val="none" w:sz="0" w:space="0" w:color="auto"/>
        <w:right w:val="none" w:sz="0" w:space="0" w:color="auto"/>
      </w:divBdr>
    </w:div>
    <w:div w:id="1580603290">
      <w:bodyDiv w:val="1"/>
      <w:marLeft w:val="0"/>
      <w:marRight w:val="0"/>
      <w:marTop w:val="0"/>
      <w:marBottom w:val="0"/>
      <w:divBdr>
        <w:top w:val="none" w:sz="0" w:space="0" w:color="auto"/>
        <w:left w:val="none" w:sz="0" w:space="0" w:color="auto"/>
        <w:bottom w:val="none" w:sz="0" w:space="0" w:color="auto"/>
        <w:right w:val="none" w:sz="0" w:space="0" w:color="auto"/>
      </w:divBdr>
    </w:div>
    <w:div w:id="1580627866">
      <w:bodyDiv w:val="1"/>
      <w:marLeft w:val="0"/>
      <w:marRight w:val="0"/>
      <w:marTop w:val="0"/>
      <w:marBottom w:val="0"/>
      <w:divBdr>
        <w:top w:val="none" w:sz="0" w:space="0" w:color="auto"/>
        <w:left w:val="none" w:sz="0" w:space="0" w:color="auto"/>
        <w:bottom w:val="none" w:sz="0" w:space="0" w:color="auto"/>
        <w:right w:val="none" w:sz="0" w:space="0" w:color="auto"/>
      </w:divBdr>
    </w:div>
    <w:div w:id="1580751687">
      <w:bodyDiv w:val="1"/>
      <w:marLeft w:val="0"/>
      <w:marRight w:val="0"/>
      <w:marTop w:val="0"/>
      <w:marBottom w:val="0"/>
      <w:divBdr>
        <w:top w:val="none" w:sz="0" w:space="0" w:color="auto"/>
        <w:left w:val="none" w:sz="0" w:space="0" w:color="auto"/>
        <w:bottom w:val="none" w:sz="0" w:space="0" w:color="auto"/>
        <w:right w:val="none" w:sz="0" w:space="0" w:color="auto"/>
      </w:divBdr>
    </w:div>
    <w:div w:id="1580865837">
      <w:bodyDiv w:val="1"/>
      <w:marLeft w:val="0"/>
      <w:marRight w:val="0"/>
      <w:marTop w:val="0"/>
      <w:marBottom w:val="0"/>
      <w:divBdr>
        <w:top w:val="none" w:sz="0" w:space="0" w:color="auto"/>
        <w:left w:val="none" w:sz="0" w:space="0" w:color="auto"/>
        <w:bottom w:val="none" w:sz="0" w:space="0" w:color="auto"/>
        <w:right w:val="none" w:sz="0" w:space="0" w:color="auto"/>
      </w:divBdr>
    </w:div>
    <w:div w:id="1580946042">
      <w:bodyDiv w:val="1"/>
      <w:marLeft w:val="0"/>
      <w:marRight w:val="0"/>
      <w:marTop w:val="0"/>
      <w:marBottom w:val="0"/>
      <w:divBdr>
        <w:top w:val="none" w:sz="0" w:space="0" w:color="auto"/>
        <w:left w:val="none" w:sz="0" w:space="0" w:color="auto"/>
        <w:bottom w:val="none" w:sz="0" w:space="0" w:color="auto"/>
        <w:right w:val="none" w:sz="0" w:space="0" w:color="auto"/>
      </w:divBdr>
    </w:div>
    <w:div w:id="1581057159">
      <w:bodyDiv w:val="1"/>
      <w:marLeft w:val="0"/>
      <w:marRight w:val="0"/>
      <w:marTop w:val="0"/>
      <w:marBottom w:val="0"/>
      <w:divBdr>
        <w:top w:val="none" w:sz="0" w:space="0" w:color="auto"/>
        <w:left w:val="none" w:sz="0" w:space="0" w:color="auto"/>
        <w:bottom w:val="none" w:sz="0" w:space="0" w:color="auto"/>
        <w:right w:val="none" w:sz="0" w:space="0" w:color="auto"/>
      </w:divBdr>
    </w:div>
    <w:div w:id="1581058874">
      <w:bodyDiv w:val="1"/>
      <w:marLeft w:val="0"/>
      <w:marRight w:val="0"/>
      <w:marTop w:val="0"/>
      <w:marBottom w:val="0"/>
      <w:divBdr>
        <w:top w:val="none" w:sz="0" w:space="0" w:color="auto"/>
        <w:left w:val="none" w:sz="0" w:space="0" w:color="auto"/>
        <w:bottom w:val="none" w:sz="0" w:space="0" w:color="auto"/>
        <w:right w:val="none" w:sz="0" w:space="0" w:color="auto"/>
      </w:divBdr>
    </w:div>
    <w:div w:id="1581135033">
      <w:bodyDiv w:val="1"/>
      <w:marLeft w:val="0"/>
      <w:marRight w:val="0"/>
      <w:marTop w:val="0"/>
      <w:marBottom w:val="0"/>
      <w:divBdr>
        <w:top w:val="none" w:sz="0" w:space="0" w:color="auto"/>
        <w:left w:val="none" w:sz="0" w:space="0" w:color="auto"/>
        <w:bottom w:val="none" w:sz="0" w:space="0" w:color="auto"/>
        <w:right w:val="none" w:sz="0" w:space="0" w:color="auto"/>
      </w:divBdr>
    </w:div>
    <w:div w:id="1581135998">
      <w:bodyDiv w:val="1"/>
      <w:marLeft w:val="0"/>
      <w:marRight w:val="0"/>
      <w:marTop w:val="0"/>
      <w:marBottom w:val="0"/>
      <w:divBdr>
        <w:top w:val="none" w:sz="0" w:space="0" w:color="auto"/>
        <w:left w:val="none" w:sz="0" w:space="0" w:color="auto"/>
        <w:bottom w:val="none" w:sz="0" w:space="0" w:color="auto"/>
        <w:right w:val="none" w:sz="0" w:space="0" w:color="auto"/>
      </w:divBdr>
    </w:div>
    <w:div w:id="1581215815">
      <w:bodyDiv w:val="1"/>
      <w:marLeft w:val="0"/>
      <w:marRight w:val="0"/>
      <w:marTop w:val="0"/>
      <w:marBottom w:val="0"/>
      <w:divBdr>
        <w:top w:val="none" w:sz="0" w:space="0" w:color="auto"/>
        <w:left w:val="none" w:sz="0" w:space="0" w:color="auto"/>
        <w:bottom w:val="none" w:sz="0" w:space="0" w:color="auto"/>
        <w:right w:val="none" w:sz="0" w:space="0" w:color="auto"/>
      </w:divBdr>
    </w:div>
    <w:div w:id="1581216132">
      <w:bodyDiv w:val="1"/>
      <w:marLeft w:val="0"/>
      <w:marRight w:val="0"/>
      <w:marTop w:val="0"/>
      <w:marBottom w:val="0"/>
      <w:divBdr>
        <w:top w:val="none" w:sz="0" w:space="0" w:color="auto"/>
        <w:left w:val="none" w:sz="0" w:space="0" w:color="auto"/>
        <w:bottom w:val="none" w:sz="0" w:space="0" w:color="auto"/>
        <w:right w:val="none" w:sz="0" w:space="0" w:color="auto"/>
      </w:divBdr>
    </w:div>
    <w:div w:id="1581282755">
      <w:bodyDiv w:val="1"/>
      <w:marLeft w:val="0"/>
      <w:marRight w:val="0"/>
      <w:marTop w:val="0"/>
      <w:marBottom w:val="0"/>
      <w:divBdr>
        <w:top w:val="none" w:sz="0" w:space="0" w:color="auto"/>
        <w:left w:val="none" w:sz="0" w:space="0" w:color="auto"/>
        <w:bottom w:val="none" w:sz="0" w:space="0" w:color="auto"/>
        <w:right w:val="none" w:sz="0" w:space="0" w:color="auto"/>
      </w:divBdr>
    </w:div>
    <w:div w:id="1581327963">
      <w:bodyDiv w:val="1"/>
      <w:marLeft w:val="0"/>
      <w:marRight w:val="0"/>
      <w:marTop w:val="0"/>
      <w:marBottom w:val="0"/>
      <w:divBdr>
        <w:top w:val="none" w:sz="0" w:space="0" w:color="auto"/>
        <w:left w:val="none" w:sz="0" w:space="0" w:color="auto"/>
        <w:bottom w:val="none" w:sz="0" w:space="0" w:color="auto"/>
        <w:right w:val="none" w:sz="0" w:space="0" w:color="auto"/>
      </w:divBdr>
    </w:div>
    <w:div w:id="1581521950">
      <w:bodyDiv w:val="1"/>
      <w:marLeft w:val="0"/>
      <w:marRight w:val="0"/>
      <w:marTop w:val="0"/>
      <w:marBottom w:val="0"/>
      <w:divBdr>
        <w:top w:val="none" w:sz="0" w:space="0" w:color="auto"/>
        <w:left w:val="none" w:sz="0" w:space="0" w:color="auto"/>
        <w:bottom w:val="none" w:sz="0" w:space="0" w:color="auto"/>
        <w:right w:val="none" w:sz="0" w:space="0" w:color="auto"/>
      </w:divBdr>
    </w:div>
    <w:div w:id="1581671618">
      <w:bodyDiv w:val="1"/>
      <w:marLeft w:val="0"/>
      <w:marRight w:val="0"/>
      <w:marTop w:val="0"/>
      <w:marBottom w:val="0"/>
      <w:divBdr>
        <w:top w:val="none" w:sz="0" w:space="0" w:color="auto"/>
        <w:left w:val="none" w:sz="0" w:space="0" w:color="auto"/>
        <w:bottom w:val="none" w:sz="0" w:space="0" w:color="auto"/>
        <w:right w:val="none" w:sz="0" w:space="0" w:color="auto"/>
      </w:divBdr>
    </w:div>
    <w:div w:id="1581788484">
      <w:bodyDiv w:val="1"/>
      <w:marLeft w:val="0"/>
      <w:marRight w:val="0"/>
      <w:marTop w:val="0"/>
      <w:marBottom w:val="0"/>
      <w:divBdr>
        <w:top w:val="none" w:sz="0" w:space="0" w:color="auto"/>
        <w:left w:val="none" w:sz="0" w:space="0" w:color="auto"/>
        <w:bottom w:val="none" w:sz="0" w:space="0" w:color="auto"/>
        <w:right w:val="none" w:sz="0" w:space="0" w:color="auto"/>
      </w:divBdr>
    </w:div>
    <w:div w:id="1581791591">
      <w:bodyDiv w:val="1"/>
      <w:marLeft w:val="0"/>
      <w:marRight w:val="0"/>
      <w:marTop w:val="0"/>
      <w:marBottom w:val="0"/>
      <w:divBdr>
        <w:top w:val="none" w:sz="0" w:space="0" w:color="auto"/>
        <w:left w:val="none" w:sz="0" w:space="0" w:color="auto"/>
        <w:bottom w:val="none" w:sz="0" w:space="0" w:color="auto"/>
        <w:right w:val="none" w:sz="0" w:space="0" w:color="auto"/>
      </w:divBdr>
    </w:div>
    <w:div w:id="1581862626">
      <w:bodyDiv w:val="1"/>
      <w:marLeft w:val="0"/>
      <w:marRight w:val="0"/>
      <w:marTop w:val="0"/>
      <w:marBottom w:val="0"/>
      <w:divBdr>
        <w:top w:val="none" w:sz="0" w:space="0" w:color="auto"/>
        <w:left w:val="none" w:sz="0" w:space="0" w:color="auto"/>
        <w:bottom w:val="none" w:sz="0" w:space="0" w:color="auto"/>
        <w:right w:val="none" w:sz="0" w:space="0" w:color="auto"/>
      </w:divBdr>
    </w:div>
    <w:div w:id="1581909570">
      <w:bodyDiv w:val="1"/>
      <w:marLeft w:val="0"/>
      <w:marRight w:val="0"/>
      <w:marTop w:val="0"/>
      <w:marBottom w:val="0"/>
      <w:divBdr>
        <w:top w:val="none" w:sz="0" w:space="0" w:color="auto"/>
        <w:left w:val="none" w:sz="0" w:space="0" w:color="auto"/>
        <w:bottom w:val="none" w:sz="0" w:space="0" w:color="auto"/>
        <w:right w:val="none" w:sz="0" w:space="0" w:color="auto"/>
      </w:divBdr>
    </w:div>
    <w:div w:id="1581911099">
      <w:bodyDiv w:val="1"/>
      <w:marLeft w:val="0"/>
      <w:marRight w:val="0"/>
      <w:marTop w:val="0"/>
      <w:marBottom w:val="0"/>
      <w:divBdr>
        <w:top w:val="none" w:sz="0" w:space="0" w:color="auto"/>
        <w:left w:val="none" w:sz="0" w:space="0" w:color="auto"/>
        <w:bottom w:val="none" w:sz="0" w:space="0" w:color="auto"/>
        <w:right w:val="none" w:sz="0" w:space="0" w:color="auto"/>
      </w:divBdr>
    </w:div>
    <w:div w:id="1582058891">
      <w:bodyDiv w:val="1"/>
      <w:marLeft w:val="0"/>
      <w:marRight w:val="0"/>
      <w:marTop w:val="0"/>
      <w:marBottom w:val="0"/>
      <w:divBdr>
        <w:top w:val="none" w:sz="0" w:space="0" w:color="auto"/>
        <w:left w:val="none" w:sz="0" w:space="0" w:color="auto"/>
        <w:bottom w:val="none" w:sz="0" w:space="0" w:color="auto"/>
        <w:right w:val="none" w:sz="0" w:space="0" w:color="auto"/>
      </w:divBdr>
    </w:div>
    <w:div w:id="1582178346">
      <w:bodyDiv w:val="1"/>
      <w:marLeft w:val="0"/>
      <w:marRight w:val="0"/>
      <w:marTop w:val="0"/>
      <w:marBottom w:val="0"/>
      <w:divBdr>
        <w:top w:val="none" w:sz="0" w:space="0" w:color="auto"/>
        <w:left w:val="none" w:sz="0" w:space="0" w:color="auto"/>
        <w:bottom w:val="none" w:sz="0" w:space="0" w:color="auto"/>
        <w:right w:val="none" w:sz="0" w:space="0" w:color="auto"/>
      </w:divBdr>
    </w:div>
    <w:div w:id="1582257319">
      <w:bodyDiv w:val="1"/>
      <w:marLeft w:val="0"/>
      <w:marRight w:val="0"/>
      <w:marTop w:val="0"/>
      <w:marBottom w:val="0"/>
      <w:divBdr>
        <w:top w:val="none" w:sz="0" w:space="0" w:color="auto"/>
        <w:left w:val="none" w:sz="0" w:space="0" w:color="auto"/>
        <w:bottom w:val="none" w:sz="0" w:space="0" w:color="auto"/>
        <w:right w:val="none" w:sz="0" w:space="0" w:color="auto"/>
      </w:divBdr>
    </w:div>
    <w:div w:id="1582370132">
      <w:bodyDiv w:val="1"/>
      <w:marLeft w:val="0"/>
      <w:marRight w:val="0"/>
      <w:marTop w:val="0"/>
      <w:marBottom w:val="0"/>
      <w:divBdr>
        <w:top w:val="none" w:sz="0" w:space="0" w:color="auto"/>
        <w:left w:val="none" w:sz="0" w:space="0" w:color="auto"/>
        <w:bottom w:val="none" w:sz="0" w:space="0" w:color="auto"/>
        <w:right w:val="none" w:sz="0" w:space="0" w:color="auto"/>
      </w:divBdr>
    </w:div>
    <w:div w:id="1582375283">
      <w:bodyDiv w:val="1"/>
      <w:marLeft w:val="0"/>
      <w:marRight w:val="0"/>
      <w:marTop w:val="0"/>
      <w:marBottom w:val="0"/>
      <w:divBdr>
        <w:top w:val="none" w:sz="0" w:space="0" w:color="auto"/>
        <w:left w:val="none" w:sz="0" w:space="0" w:color="auto"/>
        <w:bottom w:val="none" w:sz="0" w:space="0" w:color="auto"/>
        <w:right w:val="none" w:sz="0" w:space="0" w:color="auto"/>
      </w:divBdr>
    </w:div>
    <w:div w:id="1582525856">
      <w:bodyDiv w:val="1"/>
      <w:marLeft w:val="0"/>
      <w:marRight w:val="0"/>
      <w:marTop w:val="0"/>
      <w:marBottom w:val="0"/>
      <w:divBdr>
        <w:top w:val="none" w:sz="0" w:space="0" w:color="auto"/>
        <w:left w:val="none" w:sz="0" w:space="0" w:color="auto"/>
        <w:bottom w:val="none" w:sz="0" w:space="0" w:color="auto"/>
        <w:right w:val="none" w:sz="0" w:space="0" w:color="auto"/>
      </w:divBdr>
    </w:div>
    <w:div w:id="1582760970">
      <w:bodyDiv w:val="1"/>
      <w:marLeft w:val="0"/>
      <w:marRight w:val="0"/>
      <w:marTop w:val="0"/>
      <w:marBottom w:val="0"/>
      <w:divBdr>
        <w:top w:val="none" w:sz="0" w:space="0" w:color="auto"/>
        <w:left w:val="none" w:sz="0" w:space="0" w:color="auto"/>
        <w:bottom w:val="none" w:sz="0" w:space="0" w:color="auto"/>
        <w:right w:val="none" w:sz="0" w:space="0" w:color="auto"/>
      </w:divBdr>
    </w:div>
    <w:div w:id="1582980143">
      <w:bodyDiv w:val="1"/>
      <w:marLeft w:val="0"/>
      <w:marRight w:val="0"/>
      <w:marTop w:val="0"/>
      <w:marBottom w:val="0"/>
      <w:divBdr>
        <w:top w:val="none" w:sz="0" w:space="0" w:color="auto"/>
        <w:left w:val="none" w:sz="0" w:space="0" w:color="auto"/>
        <w:bottom w:val="none" w:sz="0" w:space="0" w:color="auto"/>
        <w:right w:val="none" w:sz="0" w:space="0" w:color="auto"/>
      </w:divBdr>
    </w:div>
    <w:div w:id="1583027103">
      <w:bodyDiv w:val="1"/>
      <w:marLeft w:val="0"/>
      <w:marRight w:val="0"/>
      <w:marTop w:val="0"/>
      <w:marBottom w:val="0"/>
      <w:divBdr>
        <w:top w:val="none" w:sz="0" w:space="0" w:color="auto"/>
        <w:left w:val="none" w:sz="0" w:space="0" w:color="auto"/>
        <w:bottom w:val="none" w:sz="0" w:space="0" w:color="auto"/>
        <w:right w:val="none" w:sz="0" w:space="0" w:color="auto"/>
      </w:divBdr>
    </w:div>
    <w:div w:id="1583027188">
      <w:bodyDiv w:val="1"/>
      <w:marLeft w:val="0"/>
      <w:marRight w:val="0"/>
      <w:marTop w:val="0"/>
      <w:marBottom w:val="0"/>
      <w:divBdr>
        <w:top w:val="none" w:sz="0" w:space="0" w:color="auto"/>
        <w:left w:val="none" w:sz="0" w:space="0" w:color="auto"/>
        <w:bottom w:val="none" w:sz="0" w:space="0" w:color="auto"/>
        <w:right w:val="none" w:sz="0" w:space="0" w:color="auto"/>
      </w:divBdr>
    </w:div>
    <w:div w:id="1583176105">
      <w:bodyDiv w:val="1"/>
      <w:marLeft w:val="0"/>
      <w:marRight w:val="0"/>
      <w:marTop w:val="0"/>
      <w:marBottom w:val="0"/>
      <w:divBdr>
        <w:top w:val="none" w:sz="0" w:space="0" w:color="auto"/>
        <w:left w:val="none" w:sz="0" w:space="0" w:color="auto"/>
        <w:bottom w:val="none" w:sz="0" w:space="0" w:color="auto"/>
        <w:right w:val="none" w:sz="0" w:space="0" w:color="auto"/>
      </w:divBdr>
    </w:div>
    <w:div w:id="1583182660">
      <w:bodyDiv w:val="1"/>
      <w:marLeft w:val="0"/>
      <w:marRight w:val="0"/>
      <w:marTop w:val="0"/>
      <w:marBottom w:val="0"/>
      <w:divBdr>
        <w:top w:val="none" w:sz="0" w:space="0" w:color="auto"/>
        <w:left w:val="none" w:sz="0" w:space="0" w:color="auto"/>
        <w:bottom w:val="none" w:sz="0" w:space="0" w:color="auto"/>
        <w:right w:val="none" w:sz="0" w:space="0" w:color="auto"/>
      </w:divBdr>
    </w:div>
    <w:div w:id="1583219114">
      <w:bodyDiv w:val="1"/>
      <w:marLeft w:val="0"/>
      <w:marRight w:val="0"/>
      <w:marTop w:val="0"/>
      <w:marBottom w:val="0"/>
      <w:divBdr>
        <w:top w:val="none" w:sz="0" w:space="0" w:color="auto"/>
        <w:left w:val="none" w:sz="0" w:space="0" w:color="auto"/>
        <w:bottom w:val="none" w:sz="0" w:space="0" w:color="auto"/>
        <w:right w:val="none" w:sz="0" w:space="0" w:color="auto"/>
      </w:divBdr>
    </w:div>
    <w:div w:id="1583250140">
      <w:bodyDiv w:val="1"/>
      <w:marLeft w:val="0"/>
      <w:marRight w:val="0"/>
      <w:marTop w:val="0"/>
      <w:marBottom w:val="0"/>
      <w:divBdr>
        <w:top w:val="none" w:sz="0" w:space="0" w:color="auto"/>
        <w:left w:val="none" w:sz="0" w:space="0" w:color="auto"/>
        <w:bottom w:val="none" w:sz="0" w:space="0" w:color="auto"/>
        <w:right w:val="none" w:sz="0" w:space="0" w:color="auto"/>
      </w:divBdr>
    </w:div>
    <w:div w:id="1583295455">
      <w:bodyDiv w:val="1"/>
      <w:marLeft w:val="0"/>
      <w:marRight w:val="0"/>
      <w:marTop w:val="0"/>
      <w:marBottom w:val="0"/>
      <w:divBdr>
        <w:top w:val="none" w:sz="0" w:space="0" w:color="auto"/>
        <w:left w:val="none" w:sz="0" w:space="0" w:color="auto"/>
        <w:bottom w:val="none" w:sz="0" w:space="0" w:color="auto"/>
        <w:right w:val="none" w:sz="0" w:space="0" w:color="auto"/>
      </w:divBdr>
    </w:div>
    <w:div w:id="1583297176">
      <w:bodyDiv w:val="1"/>
      <w:marLeft w:val="0"/>
      <w:marRight w:val="0"/>
      <w:marTop w:val="0"/>
      <w:marBottom w:val="0"/>
      <w:divBdr>
        <w:top w:val="none" w:sz="0" w:space="0" w:color="auto"/>
        <w:left w:val="none" w:sz="0" w:space="0" w:color="auto"/>
        <w:bottom w:val="none" w:sz="0" w:space="0" w:color="auto"/>
        <w:right w:val="none" w:sz="0" w:space="0" w:color="auto"/>
      </w:divBdr>
    </w:div>
    <w:div w:id="1583366408">
      <w:bodyDiv w:val="1"/>
      <w:marLeft w:val="0"/>
      <w:marRight w:val="0"/>
      <w:marTop w:val="0"/>
      <w:marBottom w:val="0"/>
      <w:divBdr>
        <w:top w:val="none" w:sz="0" w:space="0" w:color="auto"/>
        <w:left w:val="none" w:sz="0" w:space="0" w:color="auto"/>
        <w:bottom w:val="none" w:sz="0" w:space="0" w:color="auto"/>
        <w:right w:val="none" w:sz="0" w:space="0" w:color="auto"/>
      </w:divBdr>
    </w:div>
    <w:div w:id="1583376001">
      <w:bodyDiv w:val="1"/>
      <w:marLeft w:val="0"/>
      <w:marRight w:val="0"/>
      <w:marTop w:val="0"/>
      <w:marBottom w:val="0"/>
      <w:divBdr>
        <w:top w:val="none" w:sz="0" w:space="0" w:color="auto"/>
        <w:left w:val="none" w:sz="0" w:space="0" w:color="auto"/>
        <w:bottom w:val="none" w:sz="0" w:space="0" w:color="auto"/>
        <w:right w:val="none" w:sz="0" w:space="0" w:color="auto"/>
      </w:divBdr>
    </w:div>
    <w:div w:id="1583417635">
      <w:bodyDiv w:val="1"/>
      <w:marLeft w:val="0"/>
      <w:marRight w:val="0"/>
      <w:marTop w:val="0"/>
      <w:marBottom w:val="0"/>
      <w:divBdr>
        <w:top w:val="none" w:sz="0" w:space="0" w:color="auto"/>
        <w:left w:val="none" w:sz="0" w:space="0" w:color="auto"/>
        <w:bottom w:val="none" w:sz="0" w:space="0" w:color="auto"/>
        <w:right w:val="none" w:sz="0" w:space="0" w:color="auto"/>
      </w:divBdr>
    </w:div>
    <w:div w:id="1583443627">
      <w:bodyDiv w:val="1"/>
      <w:marLeft w:val="0"/>
      <w:marRight w:val="0"/>
      <w:marTop w:val="0"/>
      <w:marBottom w:val="0"/>
      <w:divBdr>
        <w:top w:val="none" w:sz="0" w:space="0" w:color="auto"/>
        <w:left w:val="none" w:sz="0" w:space="0" w:color="auto"/>
        <w:bottom w:val="none" w:sz="0" w:space="0" w:color="auto"/>
        <w:right w:val="none" w:sz="0" w:space="0" w:color="auto"/>
      </w:divBdr>
    </w:div>
    <w:div w:id="1583683886">
      <w:bodyDiv w:val="1"/>
      <w:marLeft w:val="0"/>
      <w:marRight w:val="0"/>
      <w:marTop w:val="0"/>
      <w:marBottom w:val="0"/>
      <w:divBdr>
        <w:top w:val="none" w:sz="0" w:space="0" w:color="auto"/>
        <w:left w:val="none" w:sz="0" w:space="0" w:color="auto"/>
        <w:bottom w:val="none" w:sz="0" w:space="0" w:color="auto"/>
        <w:right w:val="none" w:sz="0" w:space="0" w:color="auto"/>
      </w:divBdr>
    </w:div>
    <w:div w:id="1583758072">
      <w:bodyDiv w:val="1"/>
      <w:marLeft w:val="0"/>
      <w:marRight w:val="0"/>
      <w:marTop w:val="0"/>
      <w:marBottom w:val="0"/>
      <w:divBdr>
        <w:top w:val="none" w:sz="0" w:space="0" w:color="auto"/>
        <w:left w:val="none" w:sz="0" w:space="0" w:color="auto"/>
        <w:bottom w:val="none" w:sz="0" w:space="0" w:color="auto"/>
        <w:right w:val="none" w:sz="0" w:space="0" w:color="auto"/>
      </w:divBdr>
    </w:div>
    <w:div w:id="1583758386">
      <w:bodyDiv w:val="1"/>
      <w:marLeft w:val="0"/>
      <w:marRight w:val="0"/>
      <w:marTop w:val="0"/>
      <w:marBottom w:val="0"/>
      <w:divBdr>
        <w:top w:val="none" w:sz="0" w:space="0" w:color="auto"/>
        <w:left w:val="none" w:sz="0" w:space="0" w:color="auto"/>
        <w:bottom w:val="none" w:sz="0" w:space="0" w:color="auto"/>
        <w:right w:val="none" w:sz="0" w:space="0" w:color="auto"/>
      </w:divBdr>
    </w:div>
    <w:div w:id="1583829963">
      <w:bodyDiv w:val="1"/>
      <w:marLeft w:val="0"/>
      <w:marRight w:val="0"/>
      <w:marTop w:val="0"/>
      <w:marBottom w:val="0"/>
      <w:divBdr>
        <w:top w:val="none" w:sz="0" w:space="0" w:color="auto"/>
        <w:left w:val="none" w:sz="0" w:space="0" w:color="auto"/>
        <w:bottom w:val="none" w:sz="0" w:space="0" w:color="auto"/>
        <w:right w:val="none" w:sz="0" w:space="0" w:color="auto"/>
      </w:divBdr>
    </w:div>
    <w:div w:id="1583834479">
      <w:bodyDiv w:val="1"/>
      <w:marLeft w:val="0"/>
      <w:marRight w:val="0"/>
      <w:marTop w:val="0"/>
      <w:marBottom w:val="0"/>
      <w:divBdr>
        <w:top w:val="none" w:sz="0" w:space="0" w:color="auto"/>
        <w:left w:val="none" w:sz="0" w:space="0" w:color="auto"/>
        <w:bottom w:val="none" w:sz="0" w:space="0" w:color="auto"/>
        <w:right w:val="none" w:sz="0" w:space="0" w:color="auto"/>
      </w:divBdr>
    </w:div>
    <w:div w:id="1583875043">
      <w:bodyDiv w:val="1"/>
      <w:marLeft w:val="0"/>
      <w:marRight w:val="0"/>
      <w:marTop w:val="0"/>
      <w:marBottom w:val="0"/>
      <w:divBdr>
        <w:top w:val="none" w:sz="0" w:space="0" w:color="auto"/>
        <w:left w:val="none" w:sz="0" w:space="0" w:color="auto"/>
        <w:bottom w:val="none" w:sz="0" w:space="0" w:color="auto"/>
        <w:right w:val="none" w:sz="0" w:space="0" w:color="auto"/>
      </w:divBdr>
    </w:div>
    <w:div w:id="1583879885">
      <w:bodyDiv w:val="1"/>
      <w:marLeft w:val="0"/>
      <w:marRight w:val="0"/>
      <w:marTop w:val="0"/>
      <w:marBottom w:val="0"/>
      <w:divBdr>
        <w:top w:val="none" w:sz="0" w:space="0" w:color="auto"/>
        <w:left w:val="none" w:sz="0" w:space="0" w:color="auto"/>
        <w:bottom w:val="none" w:sz="0" w:space="0" w:color="auto"/>
        <w:right w:val="none" w:sz="0" w:space="0" w:color="auto"/>
      </w:divBdr>
    </w:div>
    <w:div w:id="1584022402">
      <w:bodyDiv w:val="1"/>
      <w:marLeft w:val="0"/>
      <w:marRight w:val="0"/>
      <w:marTop w:val="0"/>
      <w:marBottom w:val="0"/>
      <w:divBdr>
        <w:top w:val="none" w:sz="0" w:space="0" w:color="auto"/>
        <w:left w:val="none" w:sz="0" w:space="0" w:color="auto"/>
        <w:bottom w:val="none" w:sz="0" w:space="0" w:color="auto"/>
        <w:right w:val="none" w:sz="0" w:space="0" w:color="auto"/>
      </w:divBdr>
    </w:div>
    <w:div w:id="1584025841">
      <w:bodyDiv w:val="1"/>
      <w:marLeft w:val="0"/>
      <w:marRight w:val="0"/>
      <w:marTop w:val="0"/>
      <w:marBottom w:val="0"/>
      <w:divBdr>
        <w:top w:val="none" w:sz="0" w:space="0" w:color="auto"/>
        <w:left w:val="none" w:sz="0" w:space="0" w:color="auto"/>
        <w:bottom w:val="none" w:sz="0" w:space="0" w:color="auto"/>
        <w:right w:val="none" w:sz="0" w:space="0" w:color="auto"/>
      </w:divBdr>
    </w:div>
    <w:div w:id="1584217915">
      <w:bodyDiv w:val="1"/>
      <w:marLeft w:val="0"/>
      <w:marRight w:val="0"/>
      <w:marTop w:val="0"/>
      <w:marBottom w:val="0"/>
      <w:divBdr>
        <w:top w:val="none" w:sz="0" w:space="0" w:color="auto"/>
        <w:left w:val="none" w:sz="0" w:space="0" w:color="auto"/>
        <w:bottom w:val="none" w:sz="0" w:space="0" w:color="auto"/>
        <w:right w:val="none" w:sz="0" w:space="0" w:color="auto"/>
      </w:divBdr>
    </w:div>
    <w:div w:id="1584221994">
      <w:bodyDiv w:val="1"/>
      <w:marLeft w:val="0"/>
      <w:marRight w:val="0"/>
      <w:marTop w:val="0"/>
      <w:marBottom w:val="0"/>
      <w:divBdr>
        <w:top w:val="none" w:sz="0" w:space="0" w:color="auto"/>
        <w:left w:val="none" w:sz="0" w:space="0" w:color="auto"/>
        <w:bottom w:val="none" w:sz="0" w:space="0" w:color="auto"/>
        <w:right w:val="none" w:sz="0" w:space="0" w:color="auto"/>
      </w:divBdr>
    </w:div>
    <w:div w:id="1584334088">
      <w:bodyDiv w:val="1"/>
      <w:marLeft w:val="0"/>
      <w:marRight w:val="0"/>
      <w:marTop w:val="0"/>
      <w:marBottom w:val="0"/>
      <w:divBdr>
        <w:top w:val="none" w:sz="0" w:space="0" w:color="auto"/>
        <w:left w:val="none" w:sz="0" w:space="0" w:color="auto"/>
        <w:bottom w:val="none" w:sz="0" w:space="0" w:color="auto"/>
        <w:right w:val="none" w:sz="0" w:space="0" w:color="auto"/>
      </w:divBdr>
    </w:div>
    <w:div w:id="1584415053">
      <w:bodyDiv w:val="1"/>
      <w:marLeft w:val="0"/>
      <w:marRight w:val="0"/>
      <w:marTop w:val="0"/>
      <w:marBottom w:val="0"/>
      <w:divBdr>
        <w:top w:val="none" w:sz="0" w:space="0" w:color="auto"/>
        <w:left w:val="none" w:sz="0" w:space="0" w:color="auto"/>
        <w:bottom w:val="none" w:sz="0" w:space="0" w:color="auto"/>
        <w:right w:val="none" w:sz="0" w:space="0" w:color="auto"/>
      </w:divBdr>
    </w:div>
    <w:div w:id="1584489095">
      <w:bodyDiv w:val="1"/>
      <w:marLeft w:val="0"/>
      <w:marRight w:val="0"/>
      <w:marTop w:val="0"/>
      <w:marBottom w:val="0"/>
      <w:divBdr>
        <w:top w:val="none" w:sz="0" w:space="0" w:color="auto"/>
        <w:left w:val="none" w:sz="0" w:space="0" w:color="auto"/>
        <w:bottom w:val="none" w:sz="0" w:space="0" w:color="auto"/>
        <w:right w:val="none" w:sz="0" w:space="0" w:color="auto"/>
      </w:divBdr>
    </w:div>
    <w:div w:id="1584561592">
      <w:bodyDiv w:val="1"/>
      <w:marLeft w:val="0"/>
      <w:marRight w:val="0"/>
      <w:marTop w:val="0"/>
      <w:marBottom w:val="0"/>
      <w:divBdr>
        <w:top w:val="none" w:sz="0" w:space="0" w:color="auto"/>
        <w:left w:val="none" w:sz="0" w:space="0" w:color="auto"/>
        <w:bottom w:val="none" w:sz="0" w:space="0" w:color="auto"/>
        <w:right w:val="none" w:sz="0" w:space="0" w:color="auto"/>
      </w:divBdr>
    </w:div>
    <w:div w:id="1584607666">
      <w:bodyDiv w:val="1"/>
      <w:marLeft w:val="0"/>
      <w:marRight w:val="0"/>
      <w:marTop w:val="0"/>
      <w:marBottom w:val="0"/>
      <w:divBdr>
        <w:top w:val="none" w:sz="0" w:space="0" w:color="auto"/>
        <w:left w:val="none" w:sz="0" w:space="0" w:color="auto"/>
        <w:bottom w:val="none" w:sz="0" w:space="0" w:color="auto"/>
        <w:right w:val="none" w:sz="0" w:space="0" w:color="auto"/>
      </w:divBdr>
    </w:div>
    <w:div w:id="1584801122">
      <w:bodyDiv w:val="1"/>
      <w:marLeft w:val="0"/>
      <w:marRight w:val="0"/>
      <w:marTop w:val="0"/>
      <w:marBottom w:val="0"/>
      <w:divBdr>
        <w:top w:val="none" w:sz="0" w:space="0" w:color="auto"/>
        <w:left w:val="none" w:sz="0" w:space="0" w:color="auto"/>
        <w:bottom w:val="none" w:sz="0" w:space="0" w:color="auto"/>
        <w:right w:val="none" w:sz="0" w:space="0" w:color="auto"/>
      </w:divBdr>
    </w:div>
    <w:div w:id="1584876000">
      <w:bodyDiv w:val="1"/>
      <w:marLeft w:val="0"/>
      <w:marRight w:val="0"/>
      <w:marTop w:val="0"/>
      <w:marBottom w:val="0"/>
      <w:divBdr>
        <w:top w:val="none" w:sz="0" w:space="0" w:color="auto"/>
        <w:left w:val="none" w:sz="0" w:space="0" w:color="auto"/>
        <w:bottom w:val="none" w:sz="0" w:space="0" w:color="auto"/>
        <w:right w:val="none" w:sz="0" w:space="0" w:color="auto"/>
      </w:divBdr>
    </w:div>
    <w:div w:id="1584877947">
      <w:bodyDiv w:val="1"/>
      <w:marLeft w:val="0"/>
      <w:marRight w:val="0"/>
      <w:marTop w:val="0"/>
      <w:marBottom w:val="0"/>
      <w:divBdr>
        <w:top w:val="none" w:sz="0" w:space="0" w:color="auto"/>
        <w:left w:val="none" w:sz="0" w:space="0" w:color="auto"/>
        <w:bottom w:val="none" w:sz="0" w:space="0" w:color="auto"/>
        <w:right w:val="none" w:sz="0" w:space="0" w:color="auto"/>
      </w:divBdr>
    </w:div>
    <w:div w:id="1584954894">
      <w:bodyDiv w:val="1"/>
      <w:marLeft w:val="0"/>
      <w:marRight w:val="0"/>
      <w:marTop w:val="0"/>
      <w:marBottom w:val="0"/>
      <w:divBdr>
        <w:top w:val="none" w:sz="0" w:space="0" w:color="auto"/>
        <w:left w:val="none" w:sz="0" w:space="0" w:color="auto"/>
        <w:bottom w:val="none" w:sz="0" w:space="0" w:color="auto"/>
        <w:right w:val="none" w:sz="0" w:space="0" w:color="auto"/>
      </w:divBdr>
    </w:div>
    <w:div w:id="1584994011">
      <w:bodyDiv w:val="1"/>
      <w:marLeft w:val="0"/>
      <w:marRight w:val="0"/>
      <w:marTop w:val="0"/>
      <w:marBottom w:val="0"/>
      <w:divBdr>
        <w:top w:val="none" w:sz="0" w:space="0" w:color="auto"/>
        <w:left w:val="none" w:sz="0" w:space="0" w:color="auto"/>
        <w:bottom w:val="none" w:sz="0" w:space="0" w:color="auto"/>
        <w:right w:val="none" w:sz="0" w:space="0" w:color="auto"/>
      </w:divBdr>
    </w:div>
    <w:div w:id="1585256891">
      <w:bodyDiv w:val="1"/>
      <w:marLeft w:val="0"/>
      <w:marRight w:val="0"/>
      <w:marTop w:val="0"/>
      <w:marBottom w:val="0"/>
      <w:divBdr>
        <w:top w:val="none" w:sz="0" w:space="0" w:color="auto"/>
        <w:left w:val="none" w:sz="0" w:space="0" w:color="auto"/>
        <w:bottom w:val="none" w:sz="0" w:space="0" w:color="auto"/>
        <w:right w:val="none" w:sz="0" w:space="0" w:color="auto"/>
      </w:divBdr>
    </w:div>
    <w:div w:id="1585334939">
      <w:bodyDiv w:val="1"/>
      <w:marLeft w:val="0"/>
      <w:marRight w:val="0"/>
      <w:marTop w:val="0"/>
      <w:marBottom w:val="0"/>
      <w:divBdr>
        <w:top w:val="none" w:sz="0" w:space="0" w:color="auto"/>
        <w:left w:val="none" w:sz="0" w:space="0" w:color="auto"/>
        <w:bottom w:val="none" w:sz="0" w:space="0" w:color="auto"/>
        <w:right w:val="none" w:sz="0" w:space="0" w:color="auto"/>
      </w:divBdr>
    </w:div>
    <w:div w:id="1585456448">
      <w:bodyDiv w:val="1"/>
      <w:marLeft w:val="0"/>
      <w:marRight w:val="0"/>
      <w:marTop w:val="0"/>
      <w:marBottom w:val="0"/>
      <w:divBdr>
        <w:top w:val="none" w:sz="0" w:space="0" w:color="auto"/>
        <w:left w:val="none" w:sz="0" w:space="0" w:color="auto"/>
        <w:bottom w:val="none" w:sz="0" w:space="0" w:color="auto"/>
        <w:right w:val="none" w:sz="0" w:space="0" w:color="auto"/>
      </w:divBdr>
    </w:div>
    <w:div w:id="1585608424">
      <w:bodyDiv w:val="1"/>
      <w:marLeft w:val="0"/>
      <w:marRight w:val="0"/>
      <w:marTop w:val="0"/>
      <w:marBottom w:val="0"/>
      <w:divBdr>
        <w:top w:val="none" w:sz="0" w:space="0" w:color="auto"/>
        <w:left w:val="none" w:sz="0" w:space="0" w:color="auto"/>
        <w:bottom w:val="none" w:sz="0" w:space="0" w:color="auto"/>
        <w:right w:val="none" w:sz="0" w:space="0" w:color="auto"/>
      </w:divBdr>
    </w:div>
    <w:div w:id="1585648878">
      <w:bodyDiv w:val="1"/>
      <w:marLeft w:val="0"/>
      <w:marRight w:val="0"/>
      <w:marTop w:val="0"/>
      <w:marBottom w:val="0"/>
      <w:divBdr>
        <w:top w:val="none" w:sz="0" w:space="0" w:color="auto"/>
        <w:left w:val="none" w:sz="0" w:space="0" w:color="auto"/>
        <w:bottom w:val="none" w:sz="0" w:space="0" w:color="auto"/>
        <w:right w:val="none" w:sz="0" w:space="0" w:color="auto"/>
      </w:divBdr>
    </w:div>
    <w:div w:id="1585726624">
      <w:bodyDiv w:val="1"/>
      <w:marLeft w:val="0"/>
      <w:marRight w:val="0"/>
      <w:marTop w:val="0"/>
      <w:marBottom w:val="0"/>
      <w:divBdr>
        <w:top w:val="none" w:sz="0" w:space="0" w:color="auto"/>
        <w:left w:val="none" w:sz="0" w:space="0" w:color="auto"/>
        <w:bottom w:val="none" w:sz="0" w:space="0" w:color="auto"/>
        <w:right w:val="none" w:sz="0" w:space="0" w:color="auto"/>
      </w:divBdr>
    </w:div>
    <w:div w:id="1585795057">
      <w:bodyDiv w:val="1"/>
      <w:marLeft w:val="0"/>
      <w:marRight w:val="0"/>
      <w:marTop w:val="0"/>
      <w:marBottom w:val="0"/>
      <w:divBdr>
        <w:top w:val="none" w:sz="0" w:space="0" w:color="auto"/>
        <w:left w:val="none" w:sz="0" w:space="0" w:color="auto"/>
        <w:bottom w:val="none" w:sz="0" w:space="0" w:color="auto"/>
        <w:right w:val="none" w:sz="0" w:space="0" w:color="auto"/>
      </w:divBdr>
    </w:div>
    <w:div w:id="1585841588">
      <w:bodyDiv w:val="1"/>
      <w:marLeft w:val="0"/>
      <w:marRight w:val="0"/>
      <w:marTop w:val="0"/>
      <w:marBottom w:val="0"/>
      <w:divBdr>
        <w:top w:val="none" w:sz="0" w:space="0" w:color="auto"/>
        <w:left w:val="none" w:sz="0" w:space="0" w:color="auto"/>
        <w:bottom w:val="none" w:sz="0" w:space="0" w:color="auto"/>
        <w:right w:val="none" w:sz="0" w:space="0" w:color="auto"/>
      </w:divBdr>
    </w:div>
    <w:div w:id="1585845484">
      <w:bodyDiv w:val="1"/>
      <w:marLeft w:val="0"/>
      <w:marRight w:val="0"/>
      <w:marTop w:val="0"/>
      <w:marBottom w:val="0"/>
      <w:divBdr>
        <w:top w:val="none" w:sz="0" w:space="0" w:color="auto"/>
        <w:left w:val="none" w:sz="0" w:space="0" w:color="auto"/>
        <w:bottom w:val="none" w:sz="0" w:space="0" w:color="auto"/>
        <w:right w:val="none" w:sz="0" w:space="0" w:color="auto"/>
      </w:divBdr>
    </w:div>
    <w:div w:id="1585870479">
      <w:bodyDiv w:val="1"/>
      <w:marLeft w:val="0"/>
      <w:marRight w:val="0"/>
      <w:marTop w:val="0"/>
      <w:marBottom w:val="0"/>
      <w:divBdr>
        <w:top w:val="none" w:sz="0" w:space="0" w:color="auto"/>
        <w:left w:val="none" w:sz="0" w:space="0" w:color="auto"/>
        <w:bottom w:val="none" w:sz="0" w:space="0" w:color="auto"/>
        <w:right w:val="none" w:sz="0" w:space="0" w:color="auto"/>
      </w:divBdr>
    </w:div>
    <w:div w:id="1585918290">
      <w:bodyDiv w:val="1"/>
      <w:marLeft w:val="0"/>
      <w:marRight w:val="0"/>
      <w:marTop w:val="0"/>
      <w:marBottom w:val="0"/>
      <w:divBdr>
        <w:top w:val="none" w:sz="0" w:space="0" w:color="auto"/>
        <w:left w:val="none" w:sz="0" w:space="0" w:color="auto"/>
        <w:bottom w:val="none" w:sz="0" w:space="0" w:color="auto"/>
        <w:right w:val="none" w:sz="0" w:space="0" w:color="auto"/>
      </w:divBdr>
    </w:div>
    <w:div w:id="1585995872">
      <w:bodyDiv w:val="1"/>
      <w:marLeft w:val="0"/>
      <w:marRight w:val="0"/>
      <w:marTop w:val="0"/>
      <w:marBottom w:val="0"/>
      <w:divBdr>
        <w:top w:val="none" w:sz="0" w:space="0" w:color="auto"/>
        <w:left w:val="none" w:sz="0" w:space="0" w:color="auto"/>
        <w:bottom w:val="none" w:sz="0" w:space="0" w:color="auto"/>
        <w:right w:val="none" w:sz="0" w:space="0" w:color="auto"/>
      </w:divBdr>
    </w:div>
    <w:div w:id="1586107273">
      <w:bodyDiv w:val="1"/>
      <w:marLeft w:val="0"/>
      <w:marRight w:val="0"/>
      <w:marTop w:val="0"/>
      <w:marBottom w:val="0"/>
      <w:divBdr>
        <w:top w:val="none" w:sz="0" w:space="0" w:color="auto"/>
        <w:left w:val="none" w:sz="0" w:space="0" w:color="auto"/>
        <w:bottom w:val="none" w:sz="0" w:space="0" w:color="auto"/>
        <w:right w:val="none" w:sz="0" w:space="0" w:color="auto"/>
      </w:divBdr>
    </w:div>
    <w:div w:id="1586108020">
      <w:bodyDiv w:val="1"/>
      <w:marLeft w:val="0"/>
      <w:marRight w:val="0"/>
      <w:marTop w:val="0"/>
      <w:marBottom w:val="0"/>
      <w:divBdr>
        <w:top w:val="none" w:sz="0" w:space="0" w:color="auto"/>
        <w:left w:val="none" w:sz="0" w:space="0" w:color="auto"/>
        <w:bottom w:val="none" w:sz="0" w:space="0" w:color="auto"/>
        <w:right w:val="none" w:sz="0" w:space="0" w:color="auto"/>
      </w:divBdr>
    </w:div>
    <w:div w:id="1586302637">
      <w:bodyDiv w:val="1"/>
      <w:marLeft w:val="0"/>
      <w:marRight w:val="0"/>
      <w:marTop w:val="0"/>
      <w:marBottom w:val="0"/>
      <w:divBdr>
        <w:top w:val="none" w:sz="0" w:space="0" w:color="auto"/>
        <w:left w:val="none" w:sz="0" w:space="0" w:color="auto"/>
        <w:bottom w:val="none" w:sz="0" w:space="0" w:color="auto"/>
        <w:right w:val="none" w:sz="0" w:space="0" w:color="auto"/>
      </w:divBdr>
    </w:div>
    <w:div w:id="1586379078">
      <w:bodyDiv w:val="1"/>
      <w:marLeft w:val="0"/>
      <w:marRight w:val="0"/>
      <w:marTop w:val="0"/>
      <w:marBottom w:val="0"/>
      <w:divBdr>
        <w:top w:val="none" w:sz="0" w:space="0" w:color="auto"/>
        <w:left w:val="none" w:sz="0" w:space="0" w:color="auto"/>
        <w:bottom w:val="none" w:sz="0" w:space="0" w:color="auto"/>
        <w:right w:val="none" w:sz="0" w:space="0" w:color="auto"/>
      </w:divBdr>
    </w:div>
    <w:div w:id="1586381258">
      <w:bodyDiv w:val="1"/>
      <w:marLeft w:val="0"/>
      <w:marRight w:val="0"/>
      <w:marTop w:val="0"/>
      <w:marBottom w:val="0"/>
      <w:divBdr>
        <w:top w:val="none" w:sz="0" w:space="0" w:color="auto"/>
        <w:left w:val="none" w:sz="0" w:space="0" w:color="auto"/>
        <w:bottom w:val="none" w:sz="0" w:space="0" w:color="auto"/>
        <w:right w:val="none" w:sz="0" w:space="0" w:color="auto"/>
      </w:divBdr>
    </w:div>
    <w:div w:id="1586381487">
      <w:bodyDiv w:val="1"/>
      <w:marLeft w:val="0"/>
      <w:marRight w:val="0"/>
      <w:marTop w:val="0"/>
      <w:marBottom w:val="0"/>
      <w:divBdr>
        <w:top w:val="none" w:sz="0" w:space="0" w:color="auto"/>
        <w:left w:val="none" w:sz="0" w:space="0" w:color="auto"/>
        <w:bottom w:val="none" w:sz="0" w:space="0" w:color="auto"/>
        <w:right w:val="none" w:sz="0" w:space="0" w:color="auto"/>
      </w:divBdr>
    </w:div>
    <w:div w:id="1586497527">
      <w:bodyDiv w:val="1"/>
      <w:marLeft w:val="0"/>
      <w:marRight w:val="0"/>
      <w:marTop w:val="0"/>
      <w:marBottom w:val="0"/>
      <w:divBdr>
        <w:top w:val="none" w:sz="0" w:space="0" w:color="auto"/>
        <w:left w:val="none" w:sz="0" w:space="0" w:color="auto"/>
        <w:bottom w:val="none" w:sz="0" w:space="0" w:color="auto"/>
        <w:right w:val="none" w:sz="0" w:space="0" w:color="auto"/>
      </w:divBdr>
    </w:div>
    <w:div w:id="1586499899">
      <w:bodyDiv w:val="1"/>
      <w:marLeft w:val="0"/>
      <w:marRight w:val="0"/>
      <w:marTop w:val="0"/>
      <w:marBottom w:val="0"/>
      <w:divBdr>
        <w:top w:val="none" w:sz="0" w:space="0" w:color="auto"/>
        <w:left w:val="none" w:sz="0" w:space="0" w:color="auto"/>
        <w:bottom w:val="none" w:sz="0" w:space="0" w:color="auto"/>
        <w:right w:val="none" w:sz="0" w:space="0" w:color="auto"/>
      </w:divBdr>
    </w:div>
    <w:div w:id="1586572772">
      <w:bodyDiv w:val="1"/>
      <w:marLeft w:val="0"/>
      <w:marRight w:val="0"/>
      <w:marTop w:val="0"/>
      <w:marBottom w:val="0"/>
      <w:divBdr>
        <w:top w:val="none" w:sz="0" w:space="0" w:color="auto"/>
        <w:left w:val="none" w:sz="0" w:space="0" w:color="auto"/>
        <w:bottom w:val="none" w:sz="0" w:space="0" w:color="auto"/>
        <w:right w:val="none" w:sz="0" w:space="0" w:color="auto"/>
      </w:divBdr>
    </w:div>
    <w:div w:id="1586647594">
      <w:bodyDiv w:val="1"/>
      <w:marLeft w:val="0"/>
      <w:marRight w:val="0"/>
      <w:marTop w:val="0"/>
      <w:marBottom w:val="0"/>
      <w:divBdr>
        <w:top w:val="none" w:sz="0" w:space="0" w:color="auto"/>
        <w:left w:val="none" w:sz="0" w:space="0" w:color="auto"/>
        <w:bottom w:val="none" w:sz="0" w:space="0" w:color="auto"/>
        <w:right w:val="none" w:sz="0" w:space="0" w:color="auto"/>
      </w:divBdr>
    </w:div>
    <w:div w:id="1586652304">
      <w:bodyDiv w:val="1"/>
      <w:marLeft w:val="0"/>
      <w:marRight w:val="0"/>
      <w:marTop w:val="0"/>
      <w:marBottom w:val="0"/>
      <w:divBdr>
        <w:top w:val="none" w:sz="0" w:space="0" w:color="auto"/>
        <w:left w:val="none" w:sz="0" w:space="0" w:color="auto"/>
        <w:bottom w:val="none" w:sz="0" w:space="0" w:color="auto"/>
        <w:right w:val="none" w:sz="0" w:space="0" w:color="auto"/>
      </w:divBdr>
    </w:div>
    <w:div w:id="1586957150">
      <w:bodyDiv w:val="1"/>
      <w:marLeft w:val="0"/>
      <w:marRight w:val="0"/>
      <w:marTop w:val="0"/>
      <w:marBottom w:val="0"/>
      <w:divBdr>
        <w:top w:val="none" w:sz="0" w:space="0" w:color="auto"/>
        <w:left w:val="none" w:sz="0" w:space="0" w:color="auto"/>
        <w:bottom w:val="none" w:sz="0" w:space="0" w:color="auto"/>
        <w:right w:val="none" w:sz="0" w:space="0" w:color="auto"/>
      </w:divBdr>
    </w:div>
    <w:div w:id="1587030674">
      <w:bodyDiv w:val="1"/>
      <w:marLeft w:val="0"/>
      <w:marRight w:val="0"/>
      <w:marTop w:val="0"/>
      <w:marBottom w:val="0"/>
      <w:divBdr>
        <w:top w:val="none" w:sz="0" w:space="0" w:color="auto"/>
        <w:left w:val="none" w:sz="0" w:space="0" w:color="auto"/>
        <w:bottom w:val="none" w:sz="0" w:space="0" w:color="auto"/>
        <w:right w:val="none" w:sz="0" w:space="0" w:color="auto"/>
      </w:divBdr>
    </w:div>
    <w:div w:id="1587500780">
      <w:bodyDiv w:val="1"/>
      <w:marLeft w:val="0"/>
      <w:marRight w:val="0"/>
      <w:marTop w:val="0"/>
      <w:marBottom w:val="0"/>
      <w:divBdr>
        <w:top w:val="none" w:sz="0" w:space="0" w:color="auto"/>
        <w:left w:val="none" w:sz="0" w:space="0" w:color="auto"/>
        <w:bottom w:val="none" w:sz="0" w:space="0" w:color="auto"/>
        <w:right w:val="none" w:sz="0" w:space="0" w:color="auto"/>
      </w:divBdr>
    </w:div>
    <w:div w:id="1587610454">
      <w:bodyDiv w:val="1"/>
      <w:marLeft w:val="0"/>
      <w:marRight w:val="0"/>
      <w:marTop w:val="0"/>
      <w:marBottom w:val="0"/>
      <w:divBdr>
        <w:top w:val="none" w:sz="0" w:space="0" w:color="auto"/>
        <w:left w:val="none" w:sz="0" w:space="0" w:color="auto"/>
        <w:bottom w:val="none" w:sz="0" w:space="0" w:color="auto"/>
        <w:right w:val="none" w:sz="0" w:space="0" w:color="auto"/>
      </w:divBdr>
    </w:div>
    <w:div w:id="1587684669">
      <w:bodyDiv w:val="1"/>
      <w:marLeft w:val="0"/>
      <w:marRight w:val="0"/>
      <w:marTop w:val="0"/>
      <w:marBottom w:val="0"/>
      <w:divBdr>
        <w:top w:val="none" w:sz="0" w:space="0" w:color="auto"/>
        <w:left w:val="none" w:sz="0" w:space="0" w:color="auto"/>
        <w:bottom w:val="none" w:sz="0" w:space="0" w:color="auto"/>
        <w:right w:val="none" w:sz="0" w:space="0" w:color="auto"/>
      </w:divBdr>
    </w:div>
    <w:div w:id="1587761886">
      <w:bodyDiv w:val="1"/>
      <w:marLeft w:val="0"/>
      <w:marRight w:val="0"/>
      <w:marTop w:val="0"/>
      <w:marBottom w:val="0"/>
      <w:divBdr>
        <w:top w:val="none" w:sz="0" w:space="0" w:color="auto"/>
        <w:left w:val="none" w:sz="0" w:space="0" w:color="auto"/>
        <w:bottom w:val="none" w:sz="0" w:space="0" w:color="auto"/>
        <w:right w:val="none" w:sz="0" w:space="0" w:color="auto"/>
      </w:divBdr>
    </w:div>
    <w:div w:id="1587764832">
      <w:bodyDiv w:val="1"/>
      <w:marLeft w:val="0"/>
      <w:marRight w:val="0"/>
      <w:marTop w:val="0"/>
      <w:marBottom w:val="0"/>
      <w:divBdr>
        <w:top w:val="none" w:sz="0" w:space="0" w:color="auto"/>
        <w:left w:val="none" w:sz="0" w:space="0" w:color="auto"/>
        <w:bottom w:val="none" w:sz="0" w:space="0" w:color="auto"/>
        <w:right w:val="none" w:sz="0" w:space="0" w:color="auto"/>
      </w:divBdr>
    </w:div>
    <w:div w:id="1587836319">
      <w:bodyDiv w:val="1"/>
      <w:marLeft w:val="0"/>
      <w:marRight w:val="0"/>
      <w:marTop w:val="0"/>
      <w:marBottom w:val="0"/>
      <w:divBdr>
        <w:top w:val="none" w:sz="0" w:space="0" w:color="auto"/>
        <w:left w:val="none" w:sz="0" w:space="0" w:color="auto"/>
        <w:bottom w:val="none" w:sz="0" w:space="0" w:color="auto"/>
        <w:right w:val="none" w:sz="0" w:space="0" w:color="auto"/>
      </w:divBdr>
    </w:div>
    <w:div w:id="1587879485">
      <w:bodyDiv w:val="1"/>
      <w:marLeft w:val="0"/>
      <w:marRight w:val="0"/>
      <w:marTop w:val="0"/>
      <w:marBottom w:val="0"/>
      <w:divBdr>
        <w:top w:val="none" w:sz="0" w:space="0" w:color="auto"/>
        <w:left w:val="none" w:sz="0" w:space="0" w:color="auto"/>
        <w:bottom w:val="none" w:sz="0" w:space="0" w:color="auto"/>
        <w:right w:val="none" w:sz="0" w:space="0" w:color="auto"/>
      </w:divBdr>
    </w:div>
    <w:div w:id="1587958523">
      <w:bodyDiv w:val="1"/>
      <w:marLeft w:val="0"/>
      <w:marRight w:val="0"/>
      <w:marTop w:val="0"/>
      <w:marBottom w:val="0"/>
      <w:divBdr>
        <w:top w:val="none" w:sz="0" w:space="0" w:color="auto"/>
        <w:left w:val="none" w:sz="0" w:space="0" w:color="auto"/>
        <w:bottom w:val="none" w:sz="0" w:space="0" w:color="auto"/>
        <w:right w:val="none" w:sz="0" w:space="0" w:color="auto"/>
      </w:divBdr>
    </w:div>
    <w:div w:id="1588030663">
      <w:bodyDiv w:val="1"/>
      <w:marLeft w:val="0"/>
      <w:marRight w:val="0"/>
      <w:marTop w:val="0"/>
      <w:marBottom w:val="0"/>
      <w:divBdr>
        <w:top w:val="none" w:sz="0" w:space="0" w:color="auto"/>
        <w:left w:val="none" w:sz="0" w:space="0" w:color="auto"/>
        <w:bottom w:val="none" w:sz="0" w:space="0" w:color="auto"/>
        <w:right w:val="none" w:sz="0" w:space="0" w:color="auto"/>
      </w:divBdr>
    </w:div>
    <w:div w:id="1588153425">
      <w:bodyDiv w:val="1"/>
      <w:marLeft w:val="0"/>
      <w:marRight w:val="0"/>
      <w:marTop w:val="0"/>
      <w:marBottom w:val="0"/>
      <w:divBdr>
        <w:top w:val="none" w:sz="0" w:space="0" w:color="auto"/>
        <w:left w:val="none" w:sz="0" w:space="0" w:color="auto"/>
        <w:bottom w:val="none" w:sz="0" w:space="0" w:color="auto"/>
        <w:right w:val="none" w:sz="0" w:space="0" w:color="auto"/>
      </w:divBdr>
    </w:div>
    <w:div w:id="1588227947">
      <w:bodyDiv w:val="1"/>
      <w:marLeft w:val="0"/>
      <w:marRight w:val="0"/>
      <w:marTop w:val="0"/>
      <w:marBottom w:val="0"/>
      <w:divBdr>
        <w:top w:val="none" w:sz="0" w:space="0" w:color="auto"/>
        <w:left w:val="none" w:sz="0" w:space="0" w:color="auto"/>
        <w:bottom w:val="none" w:sz="0" w:space="0" w:color="auto"/>
        <w:right w:val="none" w:sz="0" w:space="0" w:color="auto"/>
      </w:divBdr>
    </w:div>
    <w:div w:id="1588229276">
      <w:bodyDiv w:val="1"/>
      <w:marLeft w:val="0"/>
      <w:marRight w:val="0"/>
      <w:marTop w:val="0"/>
      <w:marBottom w:val="0"/>
      <w:divBdr>
        <w:top w:val="none" w:sz="0" w:space="0" w:color="auto"/>
        <w:left w:val="none" w:sz="0" w:space="0" w:color="auto"/>
        <w:bottom w:val="none" w:sz="0" w:space="0" w:color="auto"/>
        <w:right w:val="none" w:sz="0" w:space="0" w:color="auto"/>
      </w:divBdr>
    </w:div>
    <w:div w:id="1588420780">
      <w:bodyDiv w:val="1"/>
      <w:marLeft w:val="0"/>
      <w:marRight w:val="0"/>
      <w:marTop w:val="0"/>
      <w:marBottom w:val="0"/>
      <w:divBdr>
        <w:top w:val="none" w:sz="0" w:space="0" w:color="auto"/>
        <w:left w:val="none" w:sz="0" w:space="0" w:color="auto"/>
        <w:bottom w:val="none" w:sz="0" w:space="0" w:color="auto"/>
        <w:right w:val="none" w:sz="0" w:space="0" w:color="auto"/>
      </w:divBdr>
    </w:div>
    <w:div w:id="1588463929">
      <w:bodyDiv w:val="1"/>
      <w:marLeft w:val="0"/>
      <w:marRight w:val="0"/>
      <w:marTop w:val="0"/>
      <w:marBottom w:val="0"/>
      <w:divBdr>
        <w:top w:val="none" w:sz="0" w:space="0" w:color="auto"/>
        <w:left w:val="none" w:sz="0" w:space="0" w:color="auto"/>
        <w:bottom w:val="none" w:sz="0" w:space="0" w:color="auto"/>
        <w:right w:val="none" w:sz="0" w:space="0" w:color="auto"/>
      </w:divBdr>
    </w:div>
    <w:div w:id="1588491107">
      <w:bodyDiv w:val="1"/>
      <w:marLeft w:val="0"/>
      <w:marRight w:val="0"/>
      <w:marTop w:val="0"/>
      <w:marBottom w:val="0"/>
      <w:divBdr>
        <w:top w:val="none" w:sz="0" w:space="0" w:color="auto"/>
        <w:left w:val="none" w:sz="0" w:space="0" w:color="auto"/>
        <w:bottom w:val="none" w:sz="0" w:space="0" w:color="auto"/>
        <w:right w:val="none" w:sz="0" w:space="0" w:color="auto"/>
      </w:divBdr>
    </w:div>
    <w:div w:id="1588536185">
      <w:bodyDiv w:val="1"/>
      <w:marLeft w:val="0"/>
      <w:marRight w:val="0"/>
      <w:marTop w:val="0"/>
      <w:marBottom w:val="0"/>
      <w:divBdr>
        <w:top w:val="none" w:sz="0" w:space="0" w:color="auto"/>
        <w:left w:val="none" w:sz="0" w:space="0" w:color="auto"/>
        <w:bottom w:val="none" w:sz="0" w:space="0" w:color="auto"/>
        <w:right w:val="none" w:sz="0" w:space="0" w:color="auto"/>
      </w:divBdr>
    </w:div>
    <w:div w:id="1588734200">
      <w:bodyDiv w:val="1"/>
      <w:marLeft w:val="0"/>
      <w:marRight w:val="0"/>
      <w:marTop w:val="0"/>
      <w:marBottom w:val="0"/>
      <w:divBdr>
        <w:top w:val="none" w:sz="0" w:space="0" w:color="auto"/>
        <w:left w:val="none" w:sz="0" w:space="0" w:color="auto"/>
        <w:bottom w:val="none" w:sz="0" w:space="0" w:color="auto"/>
        <w:right w:val="none" w:sz="0" w:space="0" w:color="auto"/>
      </w:divBdr>
    </w:div>
    <w:div w:id="1588809720">
      <w:bodyDiv w:val="1"/>
      <w:marLeft w:val="0"/>
      <w:marRight w:val="0"/>
      <w:marTop w:val="0"/>
      <w:marBottom w:val="0"/>
      <w:divBdr>
        <w:top w:val="none" w:sz="0" w:space="0" w:color="auto"/>
        <w:left w:val="none" w:sz="0" w:space="0" w:color="auto"/>
        <w:bottom w:val="none" w:sz="0" w:space="0" w:color="auto"/>
        <w:right w:val="none" w:sz="0" w:space="0" w:color="auto"/>
      </w:divBdr>
    </w:div>
    <w:div w:id="1588880017">
      <w:bodyDiv w:val="1"/>
      <w:marLeft w:val="0"/>
      <w:marRight w:val="0"/>
      <w:marTop w:val="0"/>
      <w:marBottom w:val="0"/>
      <w:divBdr>
        <w:top w:val="none" w:sz="0" w:space="0" w:color="auto"/>
        <w:left w:val="none" w:sz="0" w:space="0" w:color="auto"/>
        <w:bottom w:val="none" w:sz="0" w:space="0" w:color="auto"/>
        <w:right w:val="none" w:sz="0" w:space="0" w:color="auto"/>
      </w:divBdr>
    </w:div>
    <w:div w:id="1588886747">
      <w:bodyDiv w:val="1"/>
      <w:marLeft w:val="0"/>
      <w:marRight w:val="0"/>
      <w:marTop w:val="0"/>
      <w:marBottom w:val="0"/>
      <w:divBdr>
        <w:top w:val="none" w:sz="0" w:space="0" w:color="auto"/>
        <w:left w:val="none" w:sz="0" w:space="0" w:color="auto"/>
        <w:bottom w:val="none" w:sz="0" w:space="0" w:color="auto"/>
        <w:right w:val="none" w:sz="0" w:space="0" w:color="auto"/>
      </w:divBdr>
    </w:div>
    <w:div w:id="1588929163">
      <w:bodyDiv w:val="1"/>
      <w:marLeft w:val="0"/>
      <w:marRight w:val="0"/>
      <w:marTop w:val="0"/>
      <w:marBottom w:val="0"/>
      <w:divBdr>
        <w:top w:val="none" w:sz="0" w:space="0" w:color="auto"/>
        <w:left w:val="none" w:sz="0" w:space="0" w:color="auto"/>
        <w:bottom w:val="none" w:sz="0" w:space="0" w:color="auto"/>
        <w:right w:val="none" w:sz="0" w:space="0" w:color="auto"/>
      </w:divBdr>
    </w:div>
    <w:div w:id="1589267694">
      <w:bodyDiv w:val="1"/>
      <w:marLeft w:val="0"/>
      <w:marRight w:val="0"/>
      <w:marTop w:val="0"/>
      <w:marBottom w:val="0"/>
      <w:divBdr>
        <w:top w:val="none" w:sz="0" w:space="0" w:color="auto"/>
        <w:left w:val="none" w:sz="0" w:space="0" w:color="auto"/>
        <w:bottom w:val="none" w:sz="0" w:space="0" w:color="auto"/>
        <w:right w:val="none" w:sz="0" w:space="0" w:color="auto"/>
      </w:divBdr>
    </w:div>
    <w:div w:id="1589269825">
      <w:bodyDiv w:val="1"/>
      <w:marLeft w:val="0"/>
      <w:marRight w:val="0"/>
      <w:marTop w:val="0"/>
      <w:marBottom w:val="0"/>
      <w:divBdr>
        <w:top w:val="none" w:sz="0" w:space="0" w:color="auto"/>
        <w:left w:val="none" w:sz="0" w:space="0" w:color="auto"/>
        <w:bottom w:val="none" w:sz="0" w:space="0" w:color="auto"/>
        <w:right w:val="none" w:sz="0" w:space="0" w:color="auto"/>
      </w:divBdr>
    </w:div>
    <w:div w:id="1589381584">
      <w:bodyDiv w:val="1"/>
      <w:marLeft w:val="0"/>
      <w:marRight w:val="0"/>
      <w:marTop w:val="0"/>
      <w:marBottom w:val="0"/>
      <w:divBdr>
        <w:top w:val="none" w:sz="0" w:space="0" w:color="auto"/>
        <w:left w:val="none" w:sz="0" w:space="0" w:color="auto"/>
        <w:bottom w:val="none" w:sz="0" w:space="0" w:color="auto"/>
        <w:right w:val="none" w:sz="0" w:space="0" w:color="auto"/>
      </w:divBdr>
    </w:div>
    <w:div w:id="1589382804">
      <w:bodyDiv w:val="1"/>
      <w:marLeft w:val="0"/>
      <w:marRight w:val="0"/>
      <w:marTop w:val="0"/>
      <w:marBottom w:val="0"/>
      <w:divBdr>
        <w:top w:val="none" w:sz="0" w:space="0" w:color="auto"/>
        <w:left w:val="none" w:sz="0" w:space="0" w:color="auto"/>
        <w:bottom w:val="none" w:sz="0" w:space="0" w:color="auto"/>
        <w:right w:val="none" w:sz="0" w:space="0" w:color="auto"/>
      </w:divBdr>
    </w:div>
    <w:div w:id="1589459231">
      <w:bodyDiv w:val="1"/>
      <w:marLeft w:val="0"/>
      <w:marRight w:val="0"/>
      <w:marTop w:val="0"/>
      <w:marBottom w:val="0"/>
      <w:divBdr>
        <w:top w:val="none" w:sz="0" w:space="0" w:color="auto"/>
        <w:left w:val="none" w:sz="0" w:space="0" w:color="auto"/>
        <w:bottom w:val="none" w:sz="0" w:space="0" w:color="auto"/>
        <w:right w:val="none" w:sz="0" w:space="0" w:color="auto"/>
      </w:divBdr>
    </w:div>
    <w:div w:id="1589533856">
      <w:bodyDiv w:val="1"/>
      <w:marLeft w:val="0"/>
      <w:marRight w:val="0"/>
      <w:marTop w:val="0"/>
      <w:marBottom w:val="0"/>
      <w:divBdr>
        <w:top w:val="none" w:sz="0" w:space="0" w:color="auto"/>
        <w:left w:val="none" w:sz="0" w:space="0" w:color="auto"/>
        <w:bottom w:val="none" w:sz="0" w:space="0" w:color="auto"/>
        <w:right w:val="none" w:sz="0" w:space="0" w:color="auto"/>
      </w:divBdr>
    </w:div>
    <w:div w:id="1589542026">
      <w:bodyDiv w:val="1"/>
      <w:marLeft w:val="0"/>
      <w:marRight w:val="0"/>
      <w:marTop w:val="0"/>
      <w:marBottom w:val="0"/>
      <w:divBdr>
        <w:top w:val="none" w:sz="0" w:space="0" w:color="auto"/>
        <w:left w:val="none" w:sz="0" w:space="0" w:color="auto"/>
        <w:bottom w:val="none" w:sz="0" w:space="0" w:color="auto"/>
        <w:right w:val="none" w:sz="0" w:space="0" w:color="auto"/>
      </w:divBdr>
    </w:div>
    <w:div w:id="1589732444">
      <w:bodyDiv w:val="1"/>
      <w:marLeft w:val="0"/>
      <w:marRight w:val="0"/>
      <w:marTop w:val="0"/>
      <w:marBottom w:val="0"/>
      <w:divBdr>
        <w:top w:val="none" w:sz="0" w:space="0" w:color="auto"/>
        <w:left w:val="none" w:sz="0" w:space="0" w:color="auto"/>
        <w:bottom w:val="none" w:sz="0" w:space="0" w:color="auto"/>
        <w:right w:val="none" w:sz="0" w:space="0" w:color="auto"/>
      </w:divBdr>
    </w:div>
    <w:div w:id="1589773023">
      <w:bodyDiv w:val="1"/>
      <w:marLeft w:val="0"/>
      <w:marRight w:val="0"/>
      <w:marTop w:val="0"/>
      <w:marBottom w:val="0"/>
      <w:divBdr>
        <w:top w:val="none" w:sz="0" w:space="0" w:color="auto"/>
        <w:left w:val="none" w:sz="0" w:space="0" w:color="auto"/>
        <w:bottom w:val="none" w:sz="0" w:space="0" w:color="auto"/>
        <w:right w:val="none" w:sz="0" w:space="0" w:color="auto"/>
      </w:divBdr>
    </w:div>
    <w:div w:id="1589773734">
      <w:bodyDiv w:val="1"/>
      <w:marLeft w:val="0"/>
      <w:marRight w:val="0"/>
      <w:marTop w:val="0"/>
      <w:marBottom w:val="0"/>
      <w:divBdr>
        <w:top w:val="none" w:sz="0" w:space="0" w:color="auto"/>
        <w:left w:val="none" w:sz="0" w:space="0" w:color="auto"/>
        <w:bottom w:val="none" w:sz="0" w:space="0" w:color="auto"/>
        <w:right w:val="none" w:sz="0" w:space="0" w:color="auto"/>
      </w:divBdr>
    </w:div>
    <w:div w:id="1589850177">
      <w:bodyDiv w:val="1"/>
      <w:marLeft w:val="0"/>
      <w:marRight w:val="0"/>
      <w:marTop w:val="0"/>
      <w:marBottom w:val="0"/>
      <w:divBdr>
        <w:top w:val="none" w:sz="0" w:space="0" w:color="auto"/>
        <w:left w:val="none" w:sz="0" w:space="0" w:color="auto"/>
        <w:bottom w:val="none" w:sz="0" w:space="0" w:color="auto"/>
        <w:right w:val="none" w:sz="0" w:space="0" w:color="auto"/>
      </w:divBdr>
    </w:div>
    <w:div w:id="1590113745">
      <w:bodyDiv w:val="1"/>
      <w:marLeft w:val="0"/>
      <w:marRight w:val="0"/>
      <w:marTop w:val="0"/>
      <w:marBottom w:val="0"/>
      <w:divBdr>
        <w:top w:val="none" w:sz="0" w:space="0" w:color="auto"/>
        <w:left w:val="none" w:sz="0" w:space="0" w:color="auto"/>
        <w:bottom w:val="none" w:sz="0" w:space="0" w:color="auto"/>
        <w:right w:val="none" w:sz="0" w:space="0" w:color="auto"/>
      </w:divBdr>
    </w:div>
    <w:div w:id="1590118054">
      <w:bodyDiv w:val="1"/>
      <w:marLeft w:val="0"/>
      <w:marRight w:val="0"/>
      <w:marTop w:val="0"/>
      <w:marBottom w:val="0"/>
      <w:divBdr>
        <w:top w:val="none" w:sz="0" w:space="0" w:color="auto"/>
        <w:left w:val="none" w:sz="0" w:space="0" w:color="auto"/>
        <w:bottom w:val="none" w:sz="0" w:space="0" w:color="auto"/>
        <w:right w:val="none" w:sz="0" w:space="0" w:color="auto"/>
      </w:divBdr>
    </w:div>
    <w:div w:id="1590193143">
      <w:bodyDiv w:val="1"/>
      <w:marLeft w:val="0"/>
      <w:marRight w:val="0"/>
      <w:marTop w:val="0"/>
      <w:marBottom w:val="0"/>
      <w:divBdr>
        <w:top w:val="none" w:sz="0" w:space="0" w:color="auto"/>
        <w:left w:val="none" w:sz="0" w:space="0" w:color="auto"/>
        <w:bottom w:val="none" w:sz="0" w:space="0" w:color="auto"/>
        <w:right w:val="none" w:sz="0" w:space="0" w:color="auto"/>
      </w:divBdr>
    </w:div>
    <w:div w:id="1590194616">
      <w:bodyDiv w:val="1"/>
      <w:marLeft w:val="0"/>
      <w:marRight w:val="0"/>
      <w:marTop w:val="0"/>
      <w:marBottom w:val="0"/>
      <w:divBdr>
        <w:top w:val="none" w:sz="0" w:space="0" w:color="auto"/>
        <w:left w:val="none" w:sz="0" w:space="0" w:color="auto"/>
        <w:bottom w:val="none" w:sz="0" w:space="0" w:color="auto"/>
        <w:right w:val="none" w:sz="0" w:space="0" w:color="auto"/>
      </w:divBdr>
    </w:div>
    <w:div w:id="1590236379">
      <w:bodyDiv w:val="1"/>
      <w:marLeft w:val="0"/>
      <w:marRight w:val="0"/>
      <w:marTop w:val="0"/>
      <w:marBottom w:val="0"/>
      <w:divBdr>
        <w:top w:val="none" w:sz="0" w:space="0" w:color="auto"/>
        <w:left w:val="none" w:sz="0" w:space="0" w:color="auto"/>
        <w:bottom w:val="none" w:sz="0" w:space="0" w:color="auto"/>
        <w:right w:val="none" w:sz="0" w:space="0" w:color="auto"/>
      </w:divBdr>
    </w:div>
    <w:div w:id="1590433008">
      <w:bodyDiv w:val="1"/>
      <w:marLeft w:val="0"/>
      <w:marRight w:val="0"/>
      <w:marTop w:val="0"/>
      <w:marBottom w:val="0"/>
      <w:divBdr>
        <w:top w:val="none" w:sz="0" w:space="0" w:color="auto"/>
        <w:left w:val="none" w:sz="0" w:space="0" w:color="auto"/>
        <w:bottom w:val="none" w:sz="0" w:space="0" w:color="auto"/>
        <w:right w:val="none" w:sz="0" w:space="0" w:color="auto"/>
      </w:divBdr>
    </w:div>
    <w:div w:id="1590578020">
      <w:bodyDiv w:val="1"/>
      <w:marLeft w:val="0"/>
      <w:marRight w:val="0"/>
      <w:marTop w:val="0"/>
      <w:marBottom w:val="0"/>
      <w:divBdr>
        <w:top w:val="none" w:sz="0" w:space="0" w:color="auto"/>
        <w:left w:val="none" w:sz="0" w:space="0" w:color="auto"/>
        <w:bottom w:val="none" w:sz="0" w:space="0" w:color="auto"/>
        <w:right w:val="none" w:sz="0" w:space="0" w:color="auto"/>
      </w:divBdr>
    </w:div>
    <w:div w:id="1590701670">
      <w:bodyDiv w:val="1"/>
      <w:marLeft w:val="0"/>
      <w:marRight w:val="0"/>
      <w:marTop w:val="0"/>
      <w:marBottom w:val="0"/>
      <w:divBdr>
        <w:top w:val="none" w:sz="0" w:space="0" w:color="auto"/>
        <w:left w:val="none" w:sz="0" w:space="0" w:color="auto"/>
        <w:bottom w:val="none" w:sz="0" w:space="0" w:color="auto"/>
        <w:right w:val="none" w:sz="0" w:space="0" w:color="auto"/>
      </w:divBdr>
    </w:div>
    <w:div w:id="1590894624">
      <w:bodyDiv w:val="1"/>
      <w:marLeft w:val="0"/>
      <w:marRight w:val="0"/>
      <w:marTop w:val="0"/>
      <w:marBottom w:val="0"/>
      <w:divBdr>
        <w:top w:val="none" w:sz="0" w:space="0" w:color="auto"/>
        <w:left w:val="none" w:sz="0" w:space="0" w:color="auto"/>
        <w:bottom w:val="none" w:sz="0" w:space="0" w:color="auto"/>
        <w:right w:val="none" w:sz="0" w:space="0" w:color="auto"/>
      </w:divBdr>
    </w:div>
    <w:div w:id="1590965871">
      <w:bodyDiv w:val="1"/>
      <w:marLeft w:val="0"/>
      <w:marRight w:val="0"/>
      <w:marTop w:val="0"/>
      <w:marBottom w:val="0"/>
      <w:divBdr>
        <w:top w:val="none" w:sz="0" w:space="0" w:color="auto"/>
        <w:left w:val="none" w:sz="0" w:space="0" w:color="auto"/>
        <w:bottom w:val="none" w:sz="0" w:space="0" w:color="auto"/>
        <w:right w:val="none" w:sz="0" w:space="0" w:color="auto"/>
      </w:divBdr>
    </w:div>
    <w:div w:id="1591038969">
      <w:bodyDiv w:val="1"/>
      <w:marLeft w:val="0"/>
      <w:marRight w:val="0"/>
      <w:marTop w:val="0"/>
      <w:marBottom w:val="0"/>
      <w:divBdr>
        <w:top w:val="none" w:sz="0" w:space="0" w:color="auto"/>
        <w:left w:val="none" w:sz="0" w:space="0" w:color="auto"/>
        <w:bottom w:val="none" w:sz="0" w:space="0" w:color="auto"/>
        <w:right w:val="none" w:sz="0" w:space="0" w:color="auto"/>
      </w:divBdr>
    </w:div>
    <w:div w:id="1591114159">
      <w:bodyDiv w:val="1"/>
      <w:marLeft w:val="0"/>
      <w:marRight w:val="0"/>
      <w:marTop w:val="0"/>
      <w:marBottom w:val="0"/>
      <w:divBdr>
        <w:top w:val="none" w:sz="0" w:space="0" w:color="auto"/>
        <w:left w:val="none" w:sz="0" w:space="0" w:color="auto"/>
        <w:bottom w:val="none" w:sz="0" w:space="0" w:color="auto"/>
        <w:right w:val="none" w:sz="0" w:space="0" w:color="auto"/>
      </w:divBdr>
    </w:div>
    <w:div w:id="1591163313">
      <w:bodyDiv w:val="1"/>
      <w:marLeft w:val="0"/>
      <w:marRight w:val="0"/>
      <w:marTop w:val="0"/>
      <w:marBottom w:val="0"/>
      <w:divBdr>
        <w:top w:val="none" w:sz="0" w:space="0" w:color="auto"/>
        <w:left w:val="none" w:sz="0" w:space="0" w:color="auto"/>
        <w:bottom w:val="none" w:sz="0" w:space="0" w:color="auto"/>
        <w:right w:val="none" w:sz="0" w:space="0" w:color="auto"/>
      </w:divBdr>
    </w:div>
    <w:div w:id="1591425414">
      <w:bodyDiv w:val="1"/>
      <w:marLeft w:val="0"/>
      <w:marRight w:val="0"/>
      <w:marTop w:val="0"/>
      <w:marBottom w:val="0"/>
      <w:divBdr>
        <w:top w:val="none" w:sz="0" w:space="0" w:color="auto"/>
        <w:left w:val="none" w:sz="0" w:space="0" w:color="auto"/>
        <w:bottom w:val="none" w:sz="0" w:space="0" w:color="auto"/>
        <w:right w:val="none" w:sz="0" w:space="0" w:color="auto"/>
      </w:divBdr>
    </w:div>
    <w:div w:id="1591429865">
      <w:bodyDiv w:val="1"/>
      <w:marLeft w:val="0"/>
      <w:marRight w:val="0"/>
      <w:marTop w:val="0"/>
      <w:marBottom w:val="0"/>
      <w:divBdr>
        <w:top w:val="none" w:sz="0" w:space="0" w:color="auto"/>
        <w:left w:val="none" w:sz="0" w:space="0" w:color="auto"/>
        <w:bottom w:val="none" w:sz="0" w:space="0" w:color="auto"/>
        <w:right w:val="none" w:sz="0" w:space="0" w:color="auto"/>
      </w:divBdr>
    </w:div>
    <w:div w:id="1591503666">
      <w:bodyDiv w:val="1"/>
      <w:marLeft w:val="0"/>
      <w:marRight w:val="0"/>
      <w:marTop w:val="0"/>
      <w:marBottom w:val="0"/>
      <w:divBdr>
        <w:top w:val="none" w:sz="0" w:space="0" w:color="auto"/>
        <w:left w:val="none" w:sz="0" w:space="0" w:color="auto"/>
        <w:bottom w:val="none" w:sz="0" w:space="0" w:color="auto"/>
        <w:right w:val="none" w:sz="0" w:space="0" w:color="auto"/>
      </w:divBdr>
    </w:div>
    <w:div w:id="1591507235">
      <w:bodyDiv w:val="1"/>
      <w:marLeft w:val="0"/>
      <w:marRight w:val="0"/>
      <w:marTop w:val="0"/>
      <w:marBottom w:val="0"/>
      <w:divBdr>
        <w:top w:val="none" w:sz="0" w:space="0" w:color="auto"/>
        <w:left w:val="none" w:sz="0" w:space="0" w:color="auto"/>
        <w:bottom w:val="none" w:sz="0" w:space="0" w:color="auto"/>
        <w:right w:val="none" w:sz="0" w:space="0" w:color="auto"/>
      </w:divBdr>
    </w:div>
    <w:div w:id="1591696928">
      <w:bodyDiv w:val="1"/>
      <w:marLeft w:val="0"/>
      <w:marRight w:val="0"/>
      <w:marTop w:val="0"/>
      <w:marBottom w:val="0"/>
      <w:divBdr>
        <w:top w:val="none" w:sz="0" w:space="0" w:color="auto"/>
        <w:left w:val="none" w:sz="0" w:space="0" w:color="auto"/>
        <w:bottom w:val="none" w:sz="0" w:space="0" w:color="auto"/>
        <w:right w:val="none" w:sz="0" w:space="0" w:color="auto"/>
      </w:divBdr>
    </w:div>
    <w:div w:id="1591740123">
      <w:bodyDiv w:val="1"/>
      <w:marLeft w:val="0"/>
      <w:marRight w:val="0"/>
      <w:marTop w:val="0"/>
      <w:marBottom w:val="0"/>
      <w:divBdr>
        <w:top w:val="none" w:sz="0" w:space="0" w:color="auto"/>
        <w:left w:val="none" w:sz="0" w:space="0" w:color="auto"/>
        <w:bottom w:val="none" w:sz="0" w:space="0" w:color="auto"/>
        <w:right w:val="none" w:sz="0" w:space="0" w:color="auto"/>
      </w:divBdr>
    </w:div>
    <w:div w:id="1592008071">
      <w:bodyDiv w:val="1"/>
      <w:marLeft w:val="0"/>
      <w:marRight w:val="0"/>
      <w:marTop w:val="0"/>
      <w:marBottom w:val="0"/>
      <w:divBdr>
        <w:top w:val="none" w:sz="0" w:space="0" w:color="auto"/>
        <w:left w:val="none" w:sz="0" w:space="0" w:color="auto"/>
        <w:bottom w:val="none" w:sz="0" w:space="0" w:color="auto"/>
        <w:right w:val="none" w:sz="0" w:space="0" w:color="auto"/>
      </w:divBdr>
    </w:div>
    <w:div w:id="1592160509">
      <w:bodyDiv w:val="1"/>
      <w:marLeft w:val="0"/>
      <w:marRight w:val="0"/>
      <w:marTop w:val="0"/>
      <w:marBottom w:val="0"/>
      <w:divBdr>
        <w:top w:val="none" w:sz="0" w:space="0" w:color="auto"/>
        <w:left w:val="none" w:sz="0" w:space="0" w:color="auto"/>
        <w:bottom w:val="none" w:sz="0" w:space="0" w:color="auto"/>
        <w:right w:val="none" w:sz="0" w:space="0" w:color="auto"/>
      </w:divBdr>
    </w:div>
    <w:div w:id="1592205200">
      <w:bodyDiv w:val="1"/>
      <w:marLeft w:val="0"/>
      <w:marRight w:val="0"/>
      <w:marTop w:val="0"/>
      <w:marBottom w:val="0"/>
      <w:divBdr>
        <w:top w:val="none" w:sz="0" w:space="0" w:color="auto"/>
        <w:left w:val="none" w:sz="0" w:space="0" w:color="auto"/>
        <w:bottom w:val="none" w:sz="0" w:space="0" w:color="auto"/>
        <w:right w:val="none" w:sz="0" w:space="0" w:color="auto"/>
      </w:divBdr>
    </w:div>
    <w:div w:id="1592276474">
      <w:bodyDiv w:val="1"/>
      <w:marLeft w:val="0"/>
      <w:marRight w:val="0"/>
      <w:marTop w:val="0"/>
      <w:marBottom w:val="0"/>
      <w:divBdr>
        <w:top w:val="none" w:sz="0" w:space="0" w:color="auto"/>
        <w:left w:val="none" w:sz="0" w:space="0" w:color="auto"/>
        <w:bottom w:val="none" w:sz="0" w:space="0" w:color="auto"/>
        <w:right w:val="none" w:sz="0" w:space="0" w:color="auto"/>
      </w:divBdr>
    </w:div>
    <w:div w:id="1592277362">
      <w:bodyDiv w:val="1"/>
      <w:marLeft w:val="0"/>
      <w:marRight w:val="0"/>
      <w:marTop w:val="0"/>
      <w:marBottom w:val="0"/>
      <w:divBdr>
        <w:top w:val="none" w:sz="0" w:space="0" w:color="auto"/>
        <w:left w:val="none" w:sz="0" w:space="0" w:color="auto"/>
        <w:bottom w:val="none" w:sz="0" w:space="0" w:color="auto"/>
        <w:right w:val="none" w:sz="0" w:space="0" w:color="auto"/>
      </w:divBdr>
    </w:div>
    <w:div w:id="1592278151">
      <w:bodyDiv w:val="1"/>
      <w:marLeft w:val="0"/>
      <w:marRight w:val="0"/>
      <w:marTop w:val="0"/>
      <w:marBottom w:val="0"/>
      <w:divBdr>
        <w:top w:val="none" w:sz="0" w:space="0" w:color="auto"/>
        <w:left w:val="none" w:sz="0" w:space="0" w:color="auto"/>
        <w:bottom w:val="none" w:sz="0" w:space="0" w:color="auto"/>
        <w:right w:val="none" w:sz="0" w:space="0" w:color="auto"/>
      </w:divBdr>
    </w:div>
    <w:div w:id="1592355707">
      <w:bodyDiv w:val="1"/>
      <w:marLeft w:val="0"/>
      <w:marRight w:val="0"/>
      <w:marTop w:val="0"/>
      <w:marBottom w:val="0"/>
      <w:divBdr>
        <w:top w:val="none" w:sz="0" w:space="0" w:color="auto"/>
        <w:left w:val="none" w:sz="0" w:space="0" w:color="auto"/>
        <w:bottom w:val="none" w:sz="0" w:space="0" w:color="auto"/>
        <w:right w:val="none" w:sz="0" w:space="0" w:color="auto"/>
      </w:divBdr>
    </w:div>
    <w:div w:id="1592394728">
      <w:bodyDiv w:val="1"/>
      <w:marLeft w:val="0"/>
      <w:marRight w:val="0"/>
      <w:marTop w:val="0"/>
      <w:marBottom w:val="0"/>
      <w:divBdr>
        <w:top w:val="none" w:sz="0" w:space="0" w:color="auto"/>
        <w:left w:val="none" w:sz="0" w:space="0" w:color="auto"/>
        <w:bottom w:val="none" w:sz="0" w:space="0" w:color="auto"/>
        <w:right w:val="none" w:sz="0" w:space="0" w:color="auto"/>
      </w:divBdr>
    </w:div>
    <w:div w:id="1592547540">
      <w:bodyDiv w:val="1"/>
      <w:marLeft w:val="0"/>
      <w:marRight w:val="0"/>
      <w:marTop w:val="0"/>
      <w:marBottom w:val="0"/>
      <w:divBdr>
        <w:top w:val="none" w:sz="0" w:space="0" w:color="auto"/>
        <w:left w:val="none" w:sz="0" w:space="0" w:color="auto"/>
        <w:bottom w:val="none" w:sz="0" w:space="0" w:color="auto"/>
        <w:right w:val="none" w:sz="0" w:space="0" w:color="auto"/>
      </w:divBdr>
    </w:div>
    <w:div w:id="1592619906">
      <w:bodyDiv w:val="1"/>
      <w:marLeft w:val="0"/>
      <w:marRight w:val="0"/>
      <w:marTop w:val="0"/>
      <w:marBottom w:val="0"/>
      <w:divBdr>
        <w:top w:val="none" w:sz="0" w:space="0" w:color="auto"/>
        <w:left w:val="none" w:sz="0" w:space="0" w:color="auto"/>
        <w:bottom w:val="none" w:sz="0" w:space="0" w:color="auto"/>
        <w:right w:val="none" w:sz="0" w:space="0" w:color="auto"/>
      </w:divBdr>
    </w:div>
    <w:div w:id="1592661747">
      <w:bodyDiv w:val="1"/>
      <w:marLeft w:val="0"/>
      <w:marRight w:val="0"/>
      <w:marTop w:val="0"/>
      <w:marBottom w:val="0"/>
      <w:divBdr>
        <w:top w:val="none" w:sz="0" w:space="0" w:color="auto"/>
        <w:left w:val="none" w:sz="0" w:space="0" w:color="auto"/>
        <w:bottom w:val="none" w:sz="0" w:space="0" w:color="auto"/>
        <w:right w:val="none" w:sz="0" w:space="0" w:color="auto"/>
      </w:divBdr>
    </w:div>
    <w:div w:id="1592741555">
      <w:bodyDiv w:val="1"/>
      <w:marLeft w:val="0"/>
      <w:marRight w:val="0"/>
      <w:marTop w:val="0"/>
      <w:marBottom w:val="0"/>
      <w:divBdr>
        <w:top w:val="none" w:sz="0" w:space="0" w:color="auto"/>
        <w:left w:val="none" w:sz="0" w:space="0" w:color="auto"/>
        <w:bottom w:val="none" w:sz="0" w:space="0" w:color="auto"/>
        <w:right w:val="none" w:sz="0" w:space="0" w:color="auto"/>
      </w:divBdr>
    </w:div>
    <w:div w:id="1593002108">
      <w:bodyDiv w:val="1"/>
      <w:marLeft w:val="0"/>
      <w:marRight w:val="0"/>
      <w:marTop w:val="0"/>
      <w:marBottom w:val="0"/>
      <w:divBdr>
        <w:top w:val="none" w:sz="0" w:space="0" w:color="auto"/>
        <w:left w:val="none" w:sz="0" w:space="0" w:color="auto"/>
        <w:bottom w:val="none" w:sz="0" w:space="0" w:color="auto"/>
        <w:right w:val="none" w:sz="0" w:space="0" w:color="auto"/>
      </w:divBdr>
    </w:div>
    <w:div w:id="1593009717">
      <w:bodyDiv w:val="1"/>
      <w:marLeft w:val="0"/>
      <w:marRight w:val="0"/>
      <w:marTop w:val="0"/>
      <w:marBottom w:val="0"/>
      <w:divBdr>
        <w:top w:val="none" w:sz="0" w:space="0" w:color="auto"/>
        <w:left w:val="none" w:sz="0" w:space="0" w:color="auto"/>
        <w:bottom w:val="none" w:sz="0" w:space="0" w:color="auto"/>
        <w:right w:val="none" w:sz="0" w:space="0" w:color="auto"/>
      </w:divBdr>
    </w:div>
    <w:div w:id="1593009803">
      <w:bodyDiv w:val="1"/>
      <w:marLeft w:val="0"/>
      <w:marRight w:val="0"/>
      <w:marTop w:val="0"/>
      <w:marBottom w:val="0"/>
      <w:divBdr>
        <w:top w:val="none" w:sz="0" w:space="0" w:color="auto"/>
        <w:left w:val="none" w:sz="0" w:space="0" w:color="auto"/>
        <w:bottom w:val="none" w:sz="0" w:space="0" w:color="auto"/>
        <w:right w:val="none" w:sz="0" w:space="0" w:color="auto"/>
      </w:divBdr>
    </w:div>
    <w:div w:id="1593077302">
      <w:bodyDiv w:val="1"/>
      <w:marLeft w:val="0"/>
      <w:marRight w:val="0"/>
      <w:marTop w:val="0"/>
      <w:marBottom w:val="0"/>
      <w:divBdr>
        <w:top w:val="none" w:sz="0" w:space="0" w:color="auto"/>
        <w:left w:val="none" w:sz="0" w:space="0" w:color="auto"/>
        <w:bottom w:val="none" w:sz="0" w:space="0" w:color="auto"/>
        <w:right w:val="none" w:sz="0" w:space="0" w:color="auto"/>
      </w:divBdr>
    </w:div>
    <w:div w:id="1593078556">
      <w:bodyDiv w:val="1"/>
      <w:marLeft w:val="0"/>
      <w:marRight w:val="0"/>
      <w:marTop w:val="0"/>
      <w:marBottom w:val="0"/>
      <w:divBdr>
        <w:top w:val="none" w:sz="0" w:space="0" w:color="auto"/>
        <w:left w:val="none" w:sz="0" w:space="0" w:color="auto"/>
        <w:bottom w:val="none" w:sz="0" w:space="0" w:color="auto"/>
        <w:right w:val="none" w:sz="0" w:space="0" w:color="auto"/>
      </w:divBdr>
    </w:div>
    <w:div w:id="1593121281">
      <w:bodyDiv w:val="1"/>
      <w:marLeft w:val="0"/>
      <w:marRight w:val="0"/>
      <w:marTop w:val="0"/>
      <w:marBottom w:val="0"/>
      <w:divBdr>
        <w:top w:val="none" w:sz="0" w:space="0" w:color="auto"/>
        <w:left w:val="none" w:sz="0" w:space="0" w:color="auto"/>
        <w:bottom w:val="none" w:sz="0" w:space="0" w:color="auto"/>
        <w:right w:val="none" w:sz="0" w:space="0" w:color="auto"/>
      </w:divBdr>
    </w:div>
    <w:div w:id="1593195491">
      <w:bodyDiv w:val="1"/>
      <w:marLeft w:val="0"/>
      <w:marRight w:val="0"/>
      <w:marTop w:val="0"/>
      <w:marBottom w:val="0"/>
      <w:divBdr>
        <w:top w:val="none" w:sz="0" w:space="0" w:color="auto"/>
        <w:left w:val="none" w:sz="0" w:space="0" w:color="auto"/>
        <w:bottom w:val="none" w:sz="0" w:space="0" w:color="auto"/>
        <w:right w:val="none" w:sz="0" w:space="0" w:color="auto"/>
      </w:divBdr>
    </w:div>
    <w:div w:id="1593198010">
      <w:bodyDiv w:val="1"/>
      <w:marLeft w:val="0"/>
      <w:marRight w:val="0"/>
      <w:marTop w:val="0"/>
      <w:marBottom w:val="0"/>
      <w:divBdr>
        <w:top w:val="none" w:sz="0" w:space="0" w:color="auto"/>
        <w:left w:val="none" w:sz="0" w:space="0" w:color="auto"/>
        <w:bottom w:val="none" w:sz="0" w:space="0" w:color="auto"/>
        <w:right w:val="none" w:sz="0" w:space="0" w:color="auto"/>
      </w:divBdr>
    </w:div>
    <w:div w:id="1593395854">
      <w:bodyDiv w:val="1"/>
      <w:marLeft w:val="0"/>
      <w:marRight w:val="0"/>
      <w:marTop w:val="0"/>
      <w:marBottom w:val="0"/>
      <w:divBdr>
        <w:top w:val="none" w:sz="0" w:space="0" w:color="auto"/>
        <w:left w:val="none" w:sz="0" w:space="0" w:color="auto"/>
        <w:bottom w:val="none" w:sz="0" w:space="0" w:color="auto"/>
        <w:right w:val="none" w:sz="0" w:space="0" w:color="auto"/>
      </w:divBdr>
    </w:div>
    <w:div w:id="1593468048">
      <w:bodyDiv w:val="1"/>
      <w:marLeft w:val="0"/>
      <w:marRight w:val="0"/>
      <w:marTop w:val="0"/>
      <w:marBottom w:val="0"/>
      <w:divBdr>
        <w:top w:val="none" w:sz="0" w:space="0" w:color="auto"/>
        <w:left w:val="none" w:sz="0" w:space="0" w:color="auto"/>
        <w:bottom w:val="none" w:sz="0" w:space="0" w:color="auto"/>
        <w:right w:val="none" w:sz="0" w:space="0" w:color="auto"/>
      </w:divBdr>
    </w:div>
    <w:div w:id="1594170482">
      <w:bodyDiv w:val="1"/>
      <w:marLeft w:val="0"/>
      <w:marRight w:val="0"/>
      <w:marTop w:val="0"/>
      <w:marBottom w:val="0"/>
      <w:divBdr>
        <w:top w:val="none" w:sz="0" w:space="0" w:color="auto"/>
        <w:left w:val="none" w:sz="0" w:space="0" w:color="auto"/>
        <w:bottom w:val="none" w:sz="0" w:space="0" w:color="auto"/>
        <w:right w:val="none" w:sz="0" w:space="0" w:color="auto"/>
      </w:divBdr>
    </w:div>
    <w:div w:id="1594194961">
      <w:bodyDiv w:val="1"/>
      <w:marLeft w:val="0"/>
      <w:marRight w:val="0"/>
      <w:marTop w:val="0"/>
      <w:marBottom w:val="0"/>
      <w:divBdr>
        <w:top w:val="none" w:sz="0" w:space="0" w:color="auto"/>
        <w:left w:val="none" w:sz="0" w:space="0" w:color="auto"/>
        <w:bottom w:val="none" w:sz="0" w:space="0" w:color="auto"/>
        <w:right w:val="none" w:sz="0" w:space="0" w:color="auto"/>
      </w:divBdr>
    </w:div>
    <w:div w:id="1594245538">
      <w:bodyDiv w:val="1"/>
      <w:marLeft w:val="0"/>
      <w:marRight w:val="0"/>
      <w:marTop w:val="0"/>
      <w:marBottom w:val="0"/>
      <w:divBdr>
        <w:top w:val="none" w:sz="0" w:space="0" w:color="auto"/>
        <w:left w:val="none" w:sz="0" w:space="0" w:color="auto"/>
        <w:bottom w:val="none" w:sz="0" w:space="0" w:color="auto"/>
        <w:right w:val="none" w:sz="0" w:space="0" w:color="auto"/>
      </w:divBdr>
    </w:div>
    <w:div w:id="1594246036">
      <w:bodyDiv w:val="1"/>
      <w:marLeft w:val="0"/>
      <w:marRight w:val="0"/>
      <w:marTop w:val="0"/>
      <w:marBottom w:val="0"/>
      <w:divBdr>
        <w:top w:val="none" w:sz="0" w:space="0" w:color="auto"/>
        <w:left w:val="none" w:sz="0" w:space="0" w:color="auto"/>
        <w:bottom w:val="none" w:sz="0" w:space="0" w:color="auto"/>
        <w:right w:val="none" w:sz="0" w:space="0" w:color="auto"/>
      </w:divBdr>
    </w:div>
    <w:div w:id="1594436348">
      <w:bodyDiv w:val="1"/>
      <w:marLeft w:val="0"/>
      <w:marRight w:val="0"/>
      <w:marTop w:val="0"/>
      <w:marBottom w:val="0"/>
      <w:divBdr>
        <w:top w:val="none" w:sz="0" w:space="0" w:color="auto"/>
        <w:left w:val="none" w:sz="0" w:space="0" w:color="auto"/>
        <w:bottom w:val="none" w:sz="0" w:space="0" w:color="auto"/>
        <w:right w:val="none" w:sz="0" w:space="0" w:color="auto"/>
      </w:divBdr>
    </w:div>
    <w:div w:id="1594894146">
      <w:bodyDiv w:val="1"/>
      <w:marLeft w:val="0"/>
      <w:marRight w:val="0"/>
      <w:marTop w:val="0"/>
      <w:marBottom w:val="0"/>
      <w:divBdr>
        <w:top w:val="none" w:sz="0" w:space="0" w:color="auto"/>
        <w:left w:val="none" w:sz="0" w:space="0" w:color="auto"/>
        <w:bottom w:val="none" w:sz="0" w:space="0" w:color="auto"/>
        <w:right w:val="none" w:sz="0" w:space="0" w:color="auto"/>
      </w:divBdr>
    </w:div>
    <w:div w:id="1594897261">
      <w:bodyDiv w:val="1"/>
      <w:marLeft w:val="0"/>
      <w:marRight w:val="0"/>
      <w:marTop w:val="0"/>
      <w:marBottom w:val="0"/>
      <w:divBdr>
        <w:top w:val="none" w:sz="0" w:space="0" w:color="auto"/>
        <w:left w:val="none" w:sz="0" w:space="0" w:color="auto"/>
        <w:bottom w:val="none" w:sz="0" w:space="0" w:color="auto"/>
        <w:right w:val="none" w:sz="0" w:space="0" w:color="auto"/>
      </w:divBdr>
    </w:div>
    <w:div w:id="1594971954">
      <w:bodyDiv w:val="1"/>
      <w:marLeft w:val="0"/>
      <w:marRight w:val="0"/>
      <w:marTop w:val="0"/>
      <w:marBottom w:val="0"/>
      <w:divBdr>
        <w:top w:val="none" w:sz="0" w:space="0" w:color="auto"/>
        <w:left w:val="none" w:sz="0" w:space="0" w:color="auto"/>
        <w:bottom w:val="none" w:sz="0" w:space="0" w:color="auto"/>
        <w:right w:val="none" w:sz="0" w:space="0" w:color="auto"/>
      </w:divBdr>
    </w:div>
    <w:div w:id="1595239829">
      <w:bodyDiv w:val="1"/>
      <w:marLeft w:val="0"/>
      <w:marRight w:val="0"/>
      <w:marTop w:val="0"/>
      <w:marBottom w:val="0"/>
      <w:divBdr>
        <w:top w:val="none" w:sz="0" w:space="0" w:color="auto"/>
        <w:left w:val="none" w:sz="0" w:space="0" w:color="auto"/>
        <w:bottom w:val="none" w:sz="0" w:space="0" w:color="auto"/>
        <w:right w:val="none" w:sz="0" w:space="0" w:color="auto"/>
      </w:divBdr>
    </w:div>
    <w:div w:id="1595280079">
      <w:bodyDiv w:val="1"/>
      <w:marLeft w:val="0"/>
      <w:marRight w:val="0"/>
      <w:marTop w:val="0"/>
      <w:marBottom w:val="0"/>
      <w:divBdr>
        <w:top w:val="none" w:sz="0" w:space="0" w:color="auto"/>
        <w:left w:val="none" w:sz="0" w:space="0" w:color="auto"/>
        <w:bottom w:val="none" w:sz="0" w:space="0" w:color="auto"/>
        <w:right w:val="none" w:sz="0" w:space="0" w:color="auto"/>
      </w:divBdr>
    </w:div>
    <w:div w:id="1595478349">
      <w:bodyDiv w:val="1"/>
      <w:marLeft w:val="0"/>
      <w:marRight w:val="0"/>
      <w:marTop w:val="0"/>
      <w:marBottom w:val="0"/>
      <w:divBdr>
        <w:top w:val="none" w:sz="0" w:space="0" w:color="auto"/>
        <w:left w:val="none" w:sz="0" w:space="0" w:color="auto"/>
        <w:bottom w:val="none" w:sz="0" w:space="0" w:color="auto"/>
        <w:right w:val="none" w:sz="0" w:space="0" w:color="auto"/>
      </w:divBdr>
    </w:div>
    <w:div w:id="1595551273">
      <w:bodyDiv w:val="1"/>
      <w:marLeft w:val="0"/>
      <w:marRight w:val="0"/>
      <w:marTop w:val="0"/>
      <w:marBottom w:val="0"/>
      <w:divBdr>
        <w:top w:val="none" w:sz="0" w:space="0" w:color="auto"/>
        <w:left w:val="none" w:sz="0" w:space="0" w:color="auto"/>
        <w:bottom w:val="none" w:sz="0" w:space="0" w:color="auto"/>
        <w:right w:val="none" w:sz="0" w:space="0" w:color="auto"/>
      </w:divBdr>
    </w:div>
    <w:div w:id="1595673783">
      <w:bodyDiv w:val="1"/>
      <w:marLeft w:val="0"/>
      <w:marRight w:val="0"/>
      <w:marTop w:val="0"/>
      <w:marBottom w:val="0"/>
      <w:divBdr>
        <w:top w:val="none" w:sz="0" w:space="0" w:color="auto"/>
        <w:left w:val="none" w:sz="0" w:space="0" w:color="auto"/>
        <w:bottom w:val="none" w:sz="0" w:space="0" w:color="auto"/>
        <w:right w:val="none" w:sz="0" w:space="0" w:color="auto"/>
      </w:divBdr>
    </w:div>
    <w:div w:id="1595745165">
      <w:bodyDiv w:val="1"/>
      <w:marLeft w:val="0"/>
      <w:marRight w:val="0"/>
      <w:marTop w:val="0"/>
      <w:marBottom w:val="0"/>
      <w:divBdr>
        <w:top w:val="none" w:sz="0" w:space="0" w:color="auto"/>
        <w:left w:val="none" w:sz="0" w:space="0" w:color="auto"/>
        <w:bottom w:val="none" w:sz="0" w:space="0" w:color="auto"/>
        <w:right w:val="none" w:sz="0" w:space="0" w:color="auto"/>
      </w:divBdr>
    </w:div>
    <w:div w:id="1595745523">
      <w:bodyDiv w:val="1"/>
      <w:marLeft w:val="0"/>
      <w:marRight w:val="0"/>
      <w:marTop w:val="0"/>
      <w:marBottom w:val="0"/>
      <w:divBdr>
        <w:top w:val="none" w:sz="0" w:space="0" w:color="auto"/>
        <w:left w:val="none" w:sz="0" w:space="0" w:color="auto"/>
        <w:bottom w:val="none" w:sz="0" w:space="0" w:color="auto"/>
        <w:right w:val="none" w:sz="0" w:space="0" w:color="auto"/>
      </w:divBdr>
    </w:div>
    <w:div w:id="1595747615">
      <w:bodyDiv w:val="1"/>
      <w:marLeft w:val="0"/>
      <w:marRight w:val="0"/>
      <w:marTop w:val="0"/>
      <w:marBottom w:val="0"/>
      <w:divBdr>
        <w:top w:val="none" w:sz="0" w:space="0" w:color="auto"/>
        <w:left w:val="none" w:sz="0" w:space="0" w:color="auto"/>
        <w:bottom w:val="none" w:sz="0" w:space="0" w:color="auto"/>
        <w:right w:val="none" w:sz="0" w:space="0" w:color="auto"/>
      </w:divBdr>
    </w:div>
    <w:div w:id="1595892609">
      <w:bodyDiv w:val="1"/>
      <w:marLeft w:val="0"/>
      <w:marRight w:val="0"/>
      <w:marTop w:val="0"/>
      <w:marBottom w:val="0"/>
      <w:divBdr>
        <w:top w:val="none" w:sz="0" w:space="0" w:color="auto"/>
        <w:left w:val="none" w:sz="0" w:space="0" w:color="auto"/>
        <w:bottom w:val="none" w:sz="0" w:space="0" w:color="auto"/>
        <w:right w:val="none" w:sz="0" w:space="0" w:color="auto"/>
      </w:divBdr>
    </w:div>
    <w:div w:id="1595934714">
      <w:bodyDiv w:val="1"/>
      <w:marLeft w:val="0"/>
      <w:marRight w:val="0"/>
      <w:marTop w:val="0"/>
      <w:marBottom w:val="0"/>
      <w:divBdr>
        <w:top w:val="none" w:sz="0" w:space="0" w:color="auto"/>
        <w:left w:val="none" w:sz="0" w:space="0" w:color="auto"/>
        <w:bottom w:val="none" w:sz="0" w:space="0" w:color="auto"/>
        <w:right w:val="none" w:sz="0" w:space="0" w:color="auto"/>
      </w:divBdr>
    </w:div>
    <w:div w:id="1595937812">
      <w:bodyDiv w:val="1"/>
      <w:marLeft w:val="0"/>
      <w:marRight w:val="0"/>
      <w:marTop w:val="0"/>
      <w:marBottom w:val="0"/>
      <w:divBdr>
        <w:top w:val="none" w:sz="0" w:space="0" w:color="auto"/>
        <w:left w:val="none" w:sz="0" w:space="0" w:color="auto"/>
        <w:bottom w:val="none" w:sz="0" w:space="0" w:color="auto"/>
        <w:right w:val="none" w:sz="0" w:space="0" w:color="auto"/>
      </w:divBdr>
    </w:div>
    <w:div w:id="1596012658">
      <w:bodyDiv w:val="1"/>
      <w:marLeft w:val="0"/>
      <w:marRight w:val="0"/>
      <w:marTop w:val="0"/>
      <w:marBottom w:val="0"/>
      <w:divBdr>
        <w:top w:val="none" w:sz="0" w:space="0" w:color="auto"/>
        <w:left w:val="none" w:sz="0" w:space="0" w:color="auto"/>
        <w:bottom w:val="none" w:sz="0" w:space="0" w:color="auto"/>
        <w:right w:val="none" w:sz="0" w:space="0" w:color="auto"/>
      </w:divBdr>
    </w:div>
    <w:div w:id="1596085657">
      <w:bodyDiv w:val="1"/>
      <w:marLeft w:val="0"/>
      <w:marRight w:val="0"/>
      <w:marTop w:val="0"/>
      <w:marBottom w:val="0"/>
      <w:divBdr>
        <w:top w:val="none" w:sz="0" w:space="0" w:color="auto"/>
        <w:left w:val="none" w:sz="0" w:space="0" w:color="auto"/>
        <w:bottom w:val="none" w:sz="0" w:space="0" w:color="auto"/>
        <w:right w:val="none" w:sz="0" w:space="0" w:color="auto"/>
      </w:divBdr>
    </w:div>
    <w:div w:id="1596130207">
      <w:bodyDiv w:val="1"/>
      <w:marLeft w:val="0"/>
      <w:marRight w:val="0"/>
      <w:marTop w:val="0"/>
      <w:marBottom w:val="0"/>
      <w:divBdr>
        <w:top w:val="none" w:sz="0" w:space="0" w:color="auto"/>
        <w:left w:val="none" w:sz="0" w:space="0" w:color="auto"/>
        <w:bottom w:val="none" w:sz="0" w:space="0" w:color="auto"/>
        <w:right w:val="none" w:sz="0" w:space="0" w:color="auto"/>
      </w:divBdr>
    </w:div>
    <w:div w:id="1596207337">
      <w:bodyDiv w:val="1"/>
      <w:marLeft w:val="0"/>
      <w:marRight w:val="0"/>
      <w:marTop w:val="0"/>
      <w:marBottom w:val="0"/>
      <w:divBdr>
        <w:top w:val="none" w:sz="0" w:space="0" w:color="auto"/>
        <w:left w:val="none" w:sz="0" w:space="0" w:color="auto"/>
        <w:bottom w:val="none" w:sz="0" w:space="0" w:color="auto"/>
        <w:right w:val="none" w:sz="0" w:space="0" w:color="auto"/>
      </w:divBdr>
    </w:div>
    <w:div w:id="1596286951">
      <w:bodyDiv w:val="1"/>
      <w:marLeft w:val="0"/>
      <w:marRight w:val="0"/>
      <w:marTop w:val="0"/>
      <w:marBottom w:val="0"/>
      <w:divBdr>
        <w:top w:val="none" w:sz="0" w:space="0" w:color="auto"/>
        <w:left w:val="none" w:sz="0" w:space="0" w:color="auto"/>
        <w:bottom w:val="none" w:sz="0" w:space="0" w:color="auto"/>
        <w:right w:val="none" w:sz="0" w:space="0" w:color="auto"/>
      </w:divBdr>
    </w:div>
    <w:div w:id="1596327313">
      <w:bodyDiv w:val="1"/>
      <w:marLeft w:val="0"/>
      <w:marRight w:val="0"/>
      <w:marTop w:val="0"/>
      <w:marBottom w:val="0"/>
      <w:divBdr>
        <w:top w:val="none" w:sz="0" w:space="0" w:color="auto"/>
        <w:left w:val="none" w:sz="0" w:space="0" w:color="auto"/>
        <w:bottom w:val="none" w:sz="0" w:space="0" w:color="auto"/>
        <w:right w:val="none" w:sz="0" w:space="0" w:color="auto"/>
      </w:divBdr>
    </w:div>
    <w:div w:id="1596353763">
      <w:bodyDiv w:val="1"/>
      <w:marLeft w:val="0"/>
      <w:marRight w:val="0"/>
      <w:marTop w:val="0"/>
      <w:marBottom w:val="0"/>
      <w:divBdr>
        <w:top w:val="none" w:sz="0" w:space="0" w:color="auto"/>
        <w:left w:val="none" w:sz="0" w:space="0" w:color="auto"/>
        <w:bottom w:val="none" w:sz="0" w:space="0" w:color="auto"/>
        <w:right w:val="none" w:sz="0" w:space="0" w:color="auto"/>
      </w:divBdr>
    </w:div>
    <w:div w:id="1596355940">
      <w:bodyDiv w:val="1"/>
      <w:marLeft w:val="0"/>
      <w:marRight w:val="0"/>
      <w:marTop w:val="0"/>
      <w:marBottom w:val="0"/>
      <w:divBdr>
        <w:top w:val="none" w:sz="0" w:space="0" w:color="auto"/>
        <w:left w:val="none" w:sz="0" w:space="0" w:color="auto"/>
        <w:bottom w:val="none" w:sz="0" w:space="0" w:color="auto"/>
        <w:right w:val="none" w:sz="0" w:space="0" w:color="auto"/>
      </w:divBdr>
    </w:div>
    <w:div w:id="1596399084">
      <w:bodyDiv w:val="1"/>
      <w:marLeft w:val="0"/>
      <w:marRight w:val="0"/>
      <w:marTop w:val="0"/>
      <w:marBottom w:val="0"/>
      <w:divBdr>
        <w:top w:val="none" w:sz="0" w:space="0" w:color="auto"/>
        <w:left w:val="none" w:sz="0" w:space="0" w:color="auto"/>
        <w:bottom w:val="none" w:sz="0" w:space="0" w:color="auto"/>
        <w:right w:val="none" w:sz="0" w:space="0" w:color="auto"/>
      </w:divBdr>
    </w:div>
    <w:div w:id="1596474197">
      <w:bodyDiv w:val="1"/>
      <w:marLeft w:val="0"/>
      <w:marRight w:val="0"/>
      <w:marTop w:val="0"/>
      <w:marBottom w:val="0"/>
      <w:divBdr>
        <w:top w:val="none" w:sz="0" w:space="0" w:color="auto"/>
        <w:left w:val="none" w:sz="0" w:space="0" w:color="auto"/>
        <w:bottom w:val="none" w:sz="0" w:space="0" w:color="auto"/>
        <w:right w:val="none" w:sz="0" w:space="0" w:color="auto"/>
      </w:divBdr>
    </w:div>
    <w:div w:id="1596478740">
      <w:bodyDiv w:val="1"/>
      <w:marLeft w:val="0"/>
      <w:marRight w:val="0"/>
      <w:marTop w:val="0"/>
      <w:marBottom w:val="0"/>
      <w:divBdr>
        <w:top w:val="none" w:sz="0" w:space="0" w:color="auto"/>
        <w:left w:val="none" w:sz="0" w:space="0" w:color="auto"/>
        <w:bottom w:val="none" w:sz="0" w:space="0" w:color="auto"/>
        <w:right w:val="none" w:sz="0" w:space="0" w:color="auto"/>
      </w:divBdr>
    </w:div>
    <w:div w:id="1596479827">
      <w:bodyDiv w:val="1"/>
      <w:marLeft w:val="0"/>
      <w:marRight w:val="0"/>
      <w:marTop w:val="0"/>
      <w:marBottom w:val="0"/>
      <w:divBdr>
        <w:top w:val="none" w:sz="0" w:space="0" w:color="auto"/>
        <w:left w:val="none" w:sz="0" w:space="0" w:color="auto"/>
        <w:bottom w:val="none" w:sz="0" w:space="0" w:color="auto"/>
        <w:right w:val="none" w:sz="0" w:space="0" w:color="auto"/>
      </w:divBdr>
    </w:div>
    <w:div w:id="1596594172">
      <w:bodyDiv w:val="1"/>
      <w:marLeft w:val="0"/>
      <w:marRight w:val="0"/>
      <w:marTop w:val="0"/>
      <w:marBottom w:val="0"/>
      <w:divBdr>
        <w:top w:val="none" w:sz="0" w:space="0" w:color="auto"/>
        <w:left w:val="none" w:sz="0" w:space="0" w:color="auto"/>
        <w:bottom w:val="none" w:sz="0" w:space="0" w:color="auto"/>
        <w:right w:val="none" w:sz="0" w:space="0" w:color="auto"/>
      </w:divBdr>
    </w:div>
    <w:div w:id="1596596062">
      <w:bodyDiv w:val="1"/>
      <w:marLeft w:val="0"/>
      <w:marRight w:val="0"/>
      <w:marTop w:val="0"/>
      <w:marBottom w:val="0"/>
      <w:divBdr>
        <w:top w:val="none" w:sz="0" w:space="0" w:color="auto"/>
        <w:left w:val="none" w:sz="0" w:space="0" w:color="auto"/>
        <w:bottom w:val="none" w:sz="0" w:space="0" w:color="auto"/>
        <w:right w:val="none" w:sz="0" w:space="0" w:color="auto"/>
      </w:divBdr>
    </w:div>
    <w:div w:id="1596786447">
      <w:bodyDiv w:val="1"/>
      <w:marLeft w:val="0"/>
      <w:marRight w:val="0"/>
      <w:marTop w:val="0"/>
      <w:marBottom w:val="0"/>
      <w:divBdr>
        <w:top w:val="none" w:sz="0" w:space="0" w:color="auto"/>
        <w:left w:val="none" w:sz="0" w:space="0" w:color="auto"/>
        <w:bottom w:val="none" w:sz="0" w:space="0" w:color="auto"/>
        <w:right w:val="none" w:sz="0" w:space="0" w:color="auto"/>
      </w:divBdr>
    </w:div>
    <w:div w:id="1596935107">
      <w:bodyDiv w:val="1"/>
      <w:marLeft w:val="0"/>
      <w:marRight w:val="0"/>
      <w:marTop w:val="0"/>
      <w:marBottom w:val="0"/>
      <w:divBdr>
        <w:top w:val="none" w:sz="0" w:space="0" w:color="auto"/>
        <w:left w:val="none" w:sz="0" w:space="0" w:color="auto"/>
        <w:bottom w:val="none" w:sz="0" w:space="0" w:color="auto"/>
        <w:right w:val="none" w:sz="0" w:space="0" w:color="auto"/>
      </w:divBdr>
    </w:div>
    <w:div w:id="1597009242">
      <w:bodyDiv w:val="1"/>
      <w:marLeft w:val="0"/>
      <w:marRight w:val="0"/>
      <w:marTop w:val="0"/>
      <w:marBottom w:val="0"/>
      <w:divBdr>
        <w:top w:val="none" w:sz="0" w:space="0" w:color="auto"/>
        <w:left w:val="none" w:sz="0" w:space="0" w:color="auto"/>
        <w:bottom w:val="none" w:sz="0" w:space="0" w:color="auto"/>
        <w:right w:val="none" w:sz="0" w:space="0" w:color="auto"/>
      </w:divBdr>
    </w:div>
    <w:div w:id="1597011717">
      <w:bodyDiv w:val="1"/>
      <w:marLeft w:val="0"/>
      <w:marRight w:val="0"/>
      <w:marTop w:val="0"/>
      <w:marBottom w:val="0"/>
      <w:divBdr>
        <w:top w:val="none" w:sz="0" w:space="0" w:color="auto"/>
        <w:left w:val="none" w:sz="0" w:space="0" w:color="auto"/>
        <w:bottom w:val="none" w:sz="0" w:space="0" w:color="auto"/>
        <w:right w:val="none" w:sz="0" w:space="0" w:color="auto"/>
      </w:divBdr>
    </w:div>
    <w:div w:id="1597404818">
      <w:bodyDiv w:val="1"/>
      <w:marLeft w:val="0"/>
      <w:marRight w:val="0"/>
      <w:marTop w:val="0"/>
      <w:marBottom w:val="0"/>
      <w:divBdr>
        <w:top w:val="none" w:sz="0" w:space="0" w:color="auto"/>
        <w:left w:val="none" w:sz="0" w:space="0" w:color="auto"/>
        <w:bottom w:val="none" w:sz="0" w:space="0" w:color="auto"/>
        <w:right w:val="none" w:sz="0" w:space="0" w:color="auto"/>
      </w:divBdr>
    </w:div>
    <w:div w:id="1597638276">
      <w:bodyDiv w:val="1"/>
      <w:marLeft w:val="0"/>
      <w:marRight w:val="0"/>
      <w:marTop w:val="0"/>
      <w:marBottom w:val="0"/>
      <w:divBdr>
        <w:top w:val="none" w:sz="0" w:space="0" w:color="auto"/>
        <w:left w:val="none" w:sz="0" w:space="0" w:color="auto"/>
        <w:bottom w:val="none" w:sz="0" w:space="0" w:color="auto"/>
        <w:right w:val="none" w:sz="0" w:space="0" w:color="auto"/>
      </w:divBdr>
    </w:div>
    <w:div w:id="1597664883">
      <w:bodyDiv w:val="1"/>
      <w:marLeft w:val="0"/>
      <w:marRight w:val="0"/>
      <w:marTop w:val="0"/>
      <w:marBottom w:val="0"/>
      <w:divBdr>
        <w:top w:val="none" w:sz="0" w:space="0" w:color="auto"/>
        <w:left w:val="none" w:sz="0" w:space="0" w:color="auto"/>
        <w:bottom w:val="none" w:sz="0" w:space="0" w:color="auto"/>
        <w:right w:val="none" w:sz="0" w:space="0" w:color="auto"/>
      </w:divBdr>
    </w:div>
    <w:div w:id="1597711250">
      <w:bodyDiv w:val="1"/>
      <w:marLeft w:val="0"/>
      <w:marRight w:val="0"/>
      <w:marTop w:val="0"/>
      <w:marBottom w:val="0"/>
      <w:divBdr>
        <w:top w:val="none" w:sz="0" w:space="0" w:color="auto"/>
        <w:left w:val="none" w:sz="0" w:space="0" w:color="auto"/>
        <w:bottom w:val="none" w:sz="0" w:space="0" w:color="auto"/>
        <w:right w:val="none" w:sz="0" w:space="0" w:color="auto"/>
      </w:divBdr>
    </w:div>
    <w:div w:id="1597713631">
      <w:bodyDiv w:val="1"/>
      <w:marLeft w:val="0"/>
      <w:marRight w:val="0"/>
      <w:marTop w:val="0"/>
      <w:marBottom w:val="0"/>
      <w:divBdr>
        <w:top w:val="none" w:sz="0" w:space="0" w:color="auto"/>
        <w:left w:val="none" w:sz="0" w:space="0" w:color="auto"/>
        <w:bottom w:val="none" w:sz="0" w:space="0" w:color="auto"/>
        <w:right w:val="none" w:sz="0" w:space="0" w:color="auto"/>
      </w:divBdr>
    </w:div>
    <w:div w:id="1597862359">
      <w:bodyDiv w:val="1"/>
      <w:marLeft w:val="0"/>
      <w:marRight w:val="0"/>
      <w:marTop w:val="0"/>
      <w:marBottom w:val="0"/>
      <w:divBdr>
        <w:top w:val="none" w:sz="0" w:space="0" w:color="auto"/>
        <w:left w:val="none" w:sz="0" w:space="0" w:color="auto"/>
        <w:bottom w:val="none" w:sz="0" w:space="0" w:color="auto"/>
        <w:right w:val="none" w:sz="0" w:space="0" w:color="auto"/>
      </w:divBdr>
    </w:div>
    <w:div w:id="1597901876">
      <w:bodyDiv w:val="1"/>
      <w:marLeft w:val="0"/>
      <w:marRight w:val="0"/>
      <w:marTop w:val="0"/>
      <w:marBottom w:val="0"/>
      <w:divBdr>
        <w:top w:val="none" w:sz="0" w:space="0" w:color="auto"/>
        <w:left w:val="none" w:sz="0" w:space="0" w:color="auto"/>
        <w:bottom w:val="none" w:sz="0" w:space="0" w:color="auto"/>
        <w:right w:val="none" w:sz="0" w:space="0" w:color="auto"/>
      </w:divBdr>
    </w:div>
    <w:div w:id="1597903225">
      <w:bodyDiv w:val="1"/>
      <w:marLeft w:val="0"/>
      <w:marRight w:val="0"/>
      <w:marTop w:val="0"/>
      <w:marBottom w:val="0"/>
      <w:divBdr>
        <w:top w:val="none" w:sz="0" w:space="0" w:color="auto"/>
        <w:left w:val="none" w:sz="0" w:space="0" w:color="auto"/>
        <w:bottom w:val="none" w:sz="0" w:space="0" w:color="auto"/>
        <w:right w:val="none" w:sz="0" w:space="0" w:color="auto"/>
      </w:divBdr>
    </w:div>
    <w:div w:id="1598172575">
      <w:bodyDiv w:val="1"/>
      <w:marLeft w:val="0"/>
      <w:marRight w:val="0"/>
      <w:marTop w:val="0"/>
      <w:marBottom w:val="0"/>
      <w:divBdr>
        <w:top w:val="none" w:sz="0" w:space="0" w:color="auto"/>
        <w:left w:val="none" w:sz="0" w:space="0" w:color="auto"/>
        <w:bottom w:val="none" w:sz="0" w:space="0" w:color="auto"/>
        <w:right w:val="none" w:sz="0" w:space="0" w:color="auto"/>
      </w:divBdr>
    </w:div>
    <w:div w:id="1598250714">
      <w:bodyDiv w:val="1"/>
      <w:marLeft w:val="0"/>
      <w:marRight w:val="0"/>
      <w:marTop w:val="0"/>
      <w:marBottom w:val="0"/>
      <w:divBdr>
        <w:top w:val="none" w:sz="0" w:space="0" w:color="auto"/>
        <w:left w:val="none" w:sz="0" w:space="0" w:color="auto"/>
        <w:bottom w:val="none" w:sz="0" w:space="0" w:color="auto"/>
        <w:right w:val="none" w:sz="0" w:space="0" w:color="auto"/>
      </w:divBdr>
    </w:div>
    <w:div w:id="1598322318">
      <w:bodyDiv w:val="1"/>
      <w:marLeft w:val="0"/>
      <w:marRight w:val="0"/>
      <w:marTop w:val="0"/>
      <w:marBottom w:val="0"/>
      <w:divBdr>
        <w:top w:val="none" w:sz="0" w:space="0" w:color="auto"/>
        <w:left w:val="none" w:sz="0" w:space="0" w:color="auto"/>
        <w:bottom w:val="none" w:sz="0" w:space="0" w:color="auto"/>
        <w:right w:val="none" w:sz="0" w:space="0" w:color="auto"/>
      </w:divBdr>
    </w:div>
    <w:div w:id="1598363032">
      <w:bodyDiv w:val="1"/>
      <w:marLeft w:val="0"/>
      <w:marRight w:val="0"/>
      <w:marTop w:val="0"/>
      <w:marBottom w:val="0"/>
      <w:divBdr>
        <w:top w:val="none" w:sz="0" w:space="0" w:color="auto"/>
        <w:left w:val="none" w:sz="0" w:space="0" w:color="auto"/>
        <w:bottom w:val="none" w:sz="0" w:space="0" w:color="auto"/>
        <w:right w:val="none" w:sz="0" w:space="0" w:color="auto"/>
      </w:divBdr>
    </w:div>
    <w:div w:id="1598371007">
      <w:bodyDiv w:val="1"/>
      <w:marLeft w:val="0"/>
      <w:marRight w:val="0"/>
      <w:marTop w:val="0"/>
      <w:marBottom w:val="0"/>
      <w:divBdr>
        <w:top w:val="none" w:sz="0" w:space="0" w:color="auto"/>
        <w:left w:val="none" w:sz="0" w:space="0" w:color="auto"/>
        <w:bottom w:val="none" w:sz="0" w:space="0" w:color="auto"/>
        <w:right w:val="none" w:sz="0" w:space="0" w:color="auto"/>
      </w:divBdr>
    </w:div>
    <w:div w:id="1598513333">
      <w:bodyDiv w:val="1"/>
      <w:marLeft w:val="0"/>
      <w:marRight w:val="0"/>
      <w:marTop w:val="0"/>
      <w:marBottom w:val="0"/>
      <w:divBdr>
        <w:top w:val="none" w:sz="0" w:space="0" w:color="auto"/>
        <w:left w:val="none" w:sz="0" w:space="0" w:color="auto"/>
        <w:bottom w:val="none" w:sz="0" w:space="0" w:color="auto"/>
        <w:right w:val="none" w:sz="0" w:space="0" w:color="auto"/>
      </w:divBdr>
    </w:div>
    <w:div w:id="1598515458">
      <w:bodyDiv w:val="1"/>
      <w:marLeft w:val="0"/>
      <w:marRight w:val="0"/>
      <w:marTop w:val="0"/>
      <w:marBottom w:val="0"/>
      <w:divBdr>
        <w:top w:val="none" w:sz="0" w:space="0" w:color="auto"/>
        <w:left w:val="none" w:sz="0" w:space="0" w:color="auto"/>
        <w:bottom w:val="none" w:sz="0" w:space="0" w:color="auto"/>
        <w:right w:val="none" w:sz="0" w:space="0" w:color="auto"/>
      </w:divBdr>
    </w:div>
    <w:div w:id="1598519534">
      <w:bodyDiv w:val="1"/>
      <w:marLeft w:val="0"/>
      <w:marRight w:val="0"/>
      <w:marTop w:val="0"/>
      <w:marBottom w:val="0"/>
      <w:divBdr>
        <w:top w:val="none" w:sz="0" w:space="0" w:color="auto"/>
        <w:left w:val="none" w:sz="0" w:space="0" w:color="auto"/>
        <w:bottom w:val="none" w:sz="0" w:space="0" w:color="auto"/>
        <w:right w:val="none" w:sz="0" w:space="0" w:color="auto"/>
      </w:divBdr>
    </w:div>
    <w:div w:id="1598707215">
      <w:bodyDiv w:val="1"/>
      <w:marLeft w:val="0"/>
      <w:marRight w:val="0"/>
      <w:marTop w:val="0"/>
      <w:marBottom w:val="0"/>
      <w:divBdr>
        <w:top w:val="none" w:sz="0" w:space="0" w:color="auto"/>
        <w:left w:val="none" w:sz="0" w:space="0" w:color="auto"/>
        <w:bottom w:val="none" w:sz="0" w:space="0" w:color="auto"/>
        <w:right w:val="none" w:sz="0" w:space="0" w:color="auto"/>
      </w:divBdr>
    </w:div>
    <w:div w:id="1598707780">
      <w:bodyDiv w:val="1"/>
      <w:marLeft w:val="0"/>
      <w:marRight w:val="0"/>
      <w:marTop w:val="0"/>
      <w:marBottom w:val="0"/>
      <w:divBdr>
        <w:top w:val="none" w:sz="0" w:space="0" w:color="auto"/>
        <w:left w:val="none" w:sz="0" w:space="0" w:color="auto"/>
        <w:bottom w:val="none" w:sz="0" w:space="0" w:color="auto"/>
        <w:right w:val="none" w:sz="0" w:space="0" w:color="auto"/>
      </w:divBdr>
    </w:div>
    <w:div w:id="1598902238">
      <w:bodyDiv w:val="1"/>
      <w:marLeft w:val="0"/>
      <w:marRight w:val="0"/>
      <w:marTop w:val="0"/>
      <w:marBottom w:val="0"/>
      <w:divBdr>
        <w:top w:val="none" w:sz="0" w:space="0" w:color="auto"/>
        <w:left w:val="none" w:sz="0" w:space="0" w:color="auto"/>
        <w:bottom w:val="none" w:sz="0" w:space="0" w:color="auto"/>
        <w:right w:val="none" w:sz="0" w:space="0" w:color="auto"/>
      </w:divBdr>
    </w:div>
    <w:div w:id="1599017724">
      <w:bodyDiv w:val="1"/>
      <w:marLeft w:val="0"/>
      <w:marRight w:val="0"/>
      <w:marTop w:val="0"/>
      <w:marBottom w:val="0"/>
      <w:divBdr>
        <w:top w:val="none" w:sz="0" w:space="0" w:color="auto"/>
        <w:left w:val="none" w:sz="0" w:space="0" w:color="auto"/>
        <w:bottom w:val="none" w:sz="0" w:space="0" w:color="auto"/>
        <w:right w:val="none" w:sz="0" w:space="0" w:color="auto"/>
      </w:divBdr>
    </w:div>
    <w:div w:id="1599018024">
      <w:bodyDiv w:val="1"/>
      <w:marLeft w:val="0"/>
      <w:marRight w:val="0"/>
      <w:marTop w:val="0"/>
      <w:marBottom w:val="0"/>
      <w:divBdr>
        <w:top w:val="none" w:sz="0" w:space="0" w:color="auto"/>
        <w:left w:val="none" w:sz="0" w:space="0" w:color="auto"/>
        <w:bottom w:val="none" w:sz="0" w:space="0" w:color="auto"/>
        <w:right w:val="none" w:sz="0" w:space="0" w:color="auto"/>
      </w:divBdr>
    </w:div>
    <w:div w:id="1599021468">
      <w:bodyDiv w:val="1"/>
      <w:marLeft w:val="0"/>
      <w:marRight w:val="0"/>
      <w:marTop w:val="0"/>
      <w:marBottom w:val="0"/>
      <w:divBdr>
        <w:top w:val="none" w:sz="0" w:space="0" w:color="auto"/>
        <w:left w:val="none" w:sz="0" w:space="0" w:color="auto"/>
        <w:bottom w:val="none" w:sz="0" w:space="0" w:color="auto"/>
        <w:right w:val="none" w:sz="0" w:space="0" w:color="auto"/>
      </w:divBdr>
    </w:div>
    <w:div w:id="1599293437">
      <w:bodyDiv w:val="1"/>
      <w:marLeft w:val="0"/>
      <w:marRight w:val="0"/>
      <w:marTop w:val="0"/>
      <w:marBottom w:val="0"/>
      <w:divBdr>
        <w:top w:val="none" w:sz="0" w:space="0" w:color="auto"/>
        <w:left w:val="none" w:sz="0" w:space="0" w:color="auto"/>
        <w:bottom w:val="none" w:sz="0" w:space="0" w:color="auto"/>
        <w:right w:val="none" w:sz="0" w:space="0" w:color="auto"/>
      </w:divBdr>
    </w:div>
    <w:div w:id="1599370173">
      <w:bodyDiv w:val="1"/>
      <w:marLeft w:val="0"/>
      <w:marRight w:val="0"/>
      <w:marTop w:val="0"/>
      <w:marBottom w:val="0"/>
      <w:divBdr>
        <w:top w:val="none" w:sz="0" w:space="0" w:color="auto"/>
        <w:left w:val="none" w:sz="0" w:space="0" w:color="auto"/>
        <w:bottom w:val="none" w:sz="0" w:space="0" w:color="auto"/>
        <w:right w:val="none" w:sz="0" w:space="0" w:color="auto"/>
      </w:divBdr>
    </w:div>
    <w:div w:id="1599438790">
      <w:bodyDiv w:val="1"/>
      <w:marLeft w:val="0"/>
      <w:marRight w:val="0"/>
      <w:marTop w:val="0"/>
      <w:marBottom w:val="0"/>
      <w:divBdr>
        <w:top w:val="none" w:sz="0" w:space="0" w:color="auto"/>
        <w:left w:val="none" w:sz="0" w:space="0" w:color="auto"/>
        <w:bottom w:val="none" w:sz="0" w:space="0" w:color="auto"/>
        <w:right w:val="none" w:sz="0" w:space="0" w:color="auto"/>
      </w:divBdr>
    </w:div>
    <w:div w:id="1599560543">
      <w:bodyDiv w:val="1"/>
      <w:marLeft w:val="0"/>
      <w:marRight w:val="0"/>
      <w:marTop w:val="0"/>
      <w:marBottom w:val="0"/>
      <w:divBdr>
        <w:top w:val="none" w:sz="0" w:space="0" w:color="auto"/>
        <w:left w:val="none" w:sz="0" w:space="0" w:color="auto"/>
        <w:bottom w:val="none" w:sz="0" w:space="0" w:color="auto"/>
        <w:right w:val="none" w:sz="0" w:space="0" w:color="auto"/>
      </w:divBdr>
    </w:div>
    <w:div w:id="1599674885">
      <w:bodyDiv w:val="1"/>
      <w:marLeft w:val="0"/>
      <w:marRight w:val="0"/>
      <w:marTop w:val="0"/>
      <w:marBottom w:val="0"/>
      <w:divBdr>
        <w:top w:val="none" w:sz="0" w:space="0" w:color="auto"/>
        <w:left w:val="none" w:sz="0" w:space="0" w:color="auto"/>
        <w:bottom w:val="none" w:sz="0" w:space="0" w:color="auto"/>
        <w:right w:val="none" w:sz="0" w:space="0" w:color="auto"/>
      </w:divBdr>
    </w:div>
    <w:div w:id="1599831523">
      <w:bodyDiv w:val="1"/>
      <w:marLeft w:val="0"/>
      <w:marRight w:val="0"/>
      <w:marTop w:val="0"/>
      <w:marBottom w:val="0"/>
      <w:divBdr>
        <w:top w:val="none" w:sz="0" w:space="0" w:color="auto"/>
        <w:left w:val="none" w:sz="0" w:space="0" w:color="auto"/>
        <w:bottom w:val="none" w:sz="0" w:space="0" w:color="auto"/>
        <w:right w:val="none" w:sz="0" w:space="0" w:color="auto"/>
      </w:divBdr>
    </w:div>
    <w:div w:id="1599866698">
      <w:bodyDiv w:val="1"/>
      <w:marLeft w:val="0"/>
      <w:marRight w:val="0"/>
      <w:marTop w:val="0"/>
      <w:marBottom w:val="0"/>
      <w:divBdr>
        <w:top w:val="none" w:sz="0" w:space="0" w:color="auto"/>
        <w:left w:val="none" w:sz="0" w:space="0" w:color="auto"/>
        <w:bottom w:val="none" w:sz="0" w:space="0" w:color="auto"/>
        <w:right w:val="none" w:sz="0" w:space="0" w:color="auto"/>
      </w:divBdr>
    </w:div>
    <w:div w:id="1599874626">
      <w:bodyDiv w:val="1"/>
      <w:marLeft w:val="0"/>
      <w:marRight w:val="0"/>
      <w:marTop w:val="0"/>
      <w:marBottom w:val="0"/>
      <w:divBdr>
        <w:top w:val="none" w:sz="0" w:space="0" w:color="auto"/>
        <w:left w:val="none" w:sz="0" w:space="0" w:color="auto"/>
        <w:bottom w:val="none" w:sz="0" w:space="0" w:color="auto"/>
        <w:right w:val="none" w:sz="0" w:space="0" w:color="auto"/>
      </w:divBdr>
    </w:div>
    <w:div w:id="1600138342">
      <w:bodyDiv w:val="1"/>
      <w:marLeft w:val="0"/>
      <w:marRight w:val="0"/>
      <w:marTop w:val="0"/>
      <w:marBottom w:val="0"/>
      <w:divBdr>
        <w:top w:val="none" w:sz="0" w:space="0" w:color="auto"/>
        <w:left w:val="none" w:sz="0" w:space="0" w:color="auto"/>
        <w:bottom w:val="none" w:sz="0" w:space="0" w:color="auto"/>
        <w:right w:val="none" w:sz="0" w:space="0" w:color="auto"/>
      </w:divBdr>
    </w:div>
    <w:div w:id="1600214080">
      <w:bodyDiv w:val="1"/>
      <w:marLeft w:val="0"/>
      <w:marRight w:val="0"/>
      <w:marTop w:val="0"/>
      <w:marBottom w:val="0"/>
      <w:divBdr>
        <w:top w:val="none" w:sz="0" w:space="0" w:color="auto"/>
        <w:left w:val="none" w:sz="0" w:space="0" w:color="auto"/>
        <w:bottom w:val="none" w:sz="0" w:space="0" w:color="auto"/>
        <w:right w:val="none" w:sz="0" w:space="0" w:color="auto"/>
      </w:divBdr>
    </w:div>
    <w:div w:id="1600286036">
      <w:bodyDiv w:val="1"/>
      <w:marLeft w:val="0"/>
      <w:marRight w:val="0"/>
      <w:marTop w:val="0"/>
      <w:marBottom w:val="0"/>
      <w:divBdr>
        <w:top w:val="none" w:sz="0" w:space="0" w:color="auto"/>
        <w:left w:val="none" w:sz="0" w:space="0" w:color="auto"/>
        <w:bottom w:val="none" w:sz="0" w:space="0" w:color="auto"/>
        <w:right w:val="none" w:sz="0" w:space="0" w:color="auto"/>
      </w:divBdr>
    </w:div>
    <w:div w:id="1600329966">
      <w:bodyDiv w:val="1"/>
      <w:marLeft w:val="0"/>
      <w:marRight w:val="0"/>
      <w:marTop w:val="0"/>
      <w:marBottom w:val="0"/>
      <w:divBdr>
        <w:top w:val="none" w:sz="0" w:space="0" w:color="auto"/>
        <w:left w:val="none" w:sz="0" w:space="0" w:color="auto"/>
        <w:bottom w:val="none" w:sz="0" w:space="0" w:color="auto"/>
        <w:right w:val="none" w:sz="0" w:space="0" w:color="auto"/>
      </w:divBdr>
    </w:div>
    <w:div w:id="1600480825">
      <w:bodyDiv w:val="1"/>
      <w:marLeft w:val="0"/>
      <w:marRight w:val="0"/>
      <w:marTop w:val="0"/>
      <w:marBottom w:val="0"/>
      <w:divBdr>
        <w:top w:val="none" w:sz="0" w:space="0" w:color="auto"/>
        <w:left w:val="none" w:sz="0" w:space="0" w:color="auto"/>
        <w:bottom w:val="none" w:sz="0" w:space="0" w:color="auto"/>
        <w:right w:val="none" w:sz="0" w:space="0" w:color="auto"/>
      </w:divBdr>
    </w:div>
    <w:div w:id="1600521564">
      <w:bodyDiv w:val="1"/>
      <w:marLeft w:val="0"/>
      <w:marRight w:val="0"/>
      <w:marTop w:val="0"/>
      <w:marBottom w:val="0"/>
      <w:divBdr>
        <w:top w:val="none" w:sz="0" w:space="0" w:color="auto"/>
        <w:left w:val="none" w:sz="0" w:space="0" w:color="auto"/>
        <w:bottom w:val="none" w:sz="0" w:space="0" w:color="auto"/>
        <w:right w:val="none" w:sz="0" w:space="0" w:color="auto"/>
      </w:divBdr>
    </w:div>
    <w:div w:id="1600671887">
      <w:bodyDiv w:val="1"/>
      <w:marLeft w:val="0"/>
      <w:marRight w:val="0"/>
      <w:marTop w:val="0"/>
      <w:marBottom w:val="0"/>
      <w:divBdr>
        <w:top w:val="none" w:sz="0" w:space="0" w:color="auto"/>
        <w:left w:val="none" w:sz="0" w:space="0" w:color="auto"/>
        <w:bottom w:val="none" w:sz="0" w:space="0" w:color="auto"/>
        <w:right w:val="none" w:sz="0" w:space="0" w:color="auto"/>
      </w:divBdr>
    </w:div>
    <w:div w:id="1600673426">
      <w:bodyDiv w:val="1"/>
      <w:marLeft w:val="0"/>
      <w:marRight w:val="0"/>
      <w:marTop w:val="0"/>
      <w:marBottom w:val="0"/>
      <w:divBdr>
        <w:top w:val="none" w:sz="0" w:space="0" w:color="auto"/>
        <w:left w:val="none" w:sz="0" w:space="0" w:color="auto"/>
        <w:bottom w:val="none" w:sz="0" w:space="0" w:color="auto"/>
        <w:right w:val="none" w:sz="0" w:space="0" w:color="auto"/>
      </w:divBdr>
    </w:div>
    <w:div w:id="1600721995">
      <w:bodyDiv w:val="1"/>
      <w:marLeft w:val="0"/>
      <w:marRight w:val="0"/>
      <w:marTop w:val="0"/>
      <w:marBottom w:val="0"/>
      <w:divBdr>
        <w:top w:val="none" w:sz="0" w:space="0" w:color="auto"/>
        <w:left w:val="none" w:sz="0" w:space="0" w:color="auto"/>
        <w:bottom w:val="none" w:sz="0" w:space="0" w:color="auto"/>
        <w:right w:val="none" w:sz="0" w:space="0" w:color="auto"/>
      </w:divBdr>
    </w:div>
    <w:div w:id="1600791403">
      <w:bodyDiv w:val="1"/>
      <w:marLeft w:val="0"/>
      <w:marRight w:val="0"/>
      <w:marTop w:val="0"/>
      <w:marBottom w:val="0"/>
      <w:divBdr>
        <w:top w:val="none" w:sz="0" w:space="0" w:color="auto"/>
        <w:left w:val="none" w:sz="0" w:space="0" w:color="auto"/>
        <w:bottom w:val="none" w:sz="0" w:space="0" w:color="auto"/>
        <w:right w:val="none" w:sz="0" w:space="0" w:color="auto"/>
      </w:divBdr>
    </w:div>
    <w:div w:id="1600794035">
      <w:bodyDiv w:val="1"/>
      <w:marLeft w:val="0"/>
      <w:marRight w:val="0"/>
      <w:marTop w:val="0"/>
      <w:marBottom w:val="0"/>
      <w:divBdr>
        <w:top w:val="none" w:sz="0" w:space="0" w:color="auto"/>
        <w:left w:val="none" w:sz="0" w:space="0" w:color="auto"/>
        <w:bottom w:val="none" w:sz="0" w:space="0" w:color="auto"/>
        <w:right w:val="none" w:sz="0" w:space="0" w:color="auto"/>
      </w:divBdr>
    </w:div>
    <w:div w:id="1600866358">
      <w:bodyDiv w:val="1"/>
      <w:marLeft w:val="0"/>
      <w:marRight w:val="0"/>
      <w:marTop w:val="0"/>
      <w:marBottom w:val="0"/>
      <w:divBdr>
        <w:top w:val="none" w:sz="0" w:space="0" w:color="auto"/>
        <w:left w:val="none" w:sz="0" w:space="0" w:color="auto"/>
        <w:bottom w:val="none" w:sz="0" w:space="0" w:color="auto"/>
        <w:right w:val="none" w:sz="0" w:space="0" w:color="auto"/>
      </w:divBdr>
    </w:div>
    <w:div w:id="1601066726">
      <w:bodyDiv w:val="1"/>
      <w:marLeft w:val="0"/>
      <w:marRight w:val="0"/>
      <w:marTop w:val="0"/>
      <w:marBottom w:val="0"/>
      <w:divBdr>
        <w:top w:val="none" w:sz="0" w:space="0" w:color="auto"/>
        <w:left w:val="none" w:sz="0" w:space="0" w:color="auto"/>
        <w:bottom w:val="none" w:sz="0" w:space="0" w:color="auto"/>
        <w:right w:val="none" w:sz="0" w:space="0" w:color="auto"/>
      </w:divBdr>
    </w:div>
    <w:div w:id="1601179884">
      <w:bodyDiv w:val="1"/>
      <w:marLeft w:val="0"/>
      <w:marRight w:val="0"/>
      <w:marTop w:val="0"/>
      <w:marBottom w:val="0"/>
      <w:divBdr>
        <w:top w:val="none" w:sz="0" w:space="0" w:color="auto"/>
        <w:left w:val="none" w:sz="0" w:space="0" w:color="auto"/>
        <w:bottom w:val="none" w:sz="0" w:space="0" w:color="auto"/>
        <w:right w:val="none" w:sz="0" w:space="0" w:color="auto"/>
      </w:divBdr>
    </w:div>
    <w:div w:id="1601180106">
      <w:bodyDiv w:val="1"/>
      <w:marLeft w:val="0"/>
      <w:marRight w:val="0"/>
      <w:marTop w:val="0"/>
      <w:marBottom w:val="0"/>
      <w:divBdr>
        <w:top w:val="none" w:sz="0" w:space="0" w:color="auto"/>
        <w:left w:val="none" w:sz="0" w:space="0" w:color="auto"/>
        <w:bottom w:val="none" w:sz="0" w:space="0" w:color="auto"/>
        <w:right w:val="none" w:sz="0" w:space="0" w:color="auto"/>
      </w:divBdr>
    </w:div>
    <w:div w:id="1601185516">
      <w:bodyDiv w:val="1"/>
      <w:marLeft w:val="0"/>
      <w:marRight w:val="0"/>
      <w:marTop w:val="0"/>
      <w:marBottom w:val="0"/>
      <w:divBdr>
        <w:top w:val="none" w:sz="0" w:space="0" w:color="auto"/>
        <w:left w:val="none" w:sz="0" w:space="0" w:color="auto"/>
        <w:bottom w:val="none" w:sz="0" w:space="0" w:color="auto"/>
        <w:right w:val="none" w:sz="0" w:space="0" w:color="auto"/>
      </w:divBdr>
    </w:div>
    <w:div w:id="1601258887">
      <w:bodyDiv w:val="1"/>
      <w:marLeft w:val="0"/>
      <w:marRight w:val="0"/>
      <w:marTop w:val="0"/>
      <w:marBottom w:val="0"/>
      <w:divBdr>
        <w:top w:val="none" w:sz="0" w:space="0" w:color="auto"/>
        <w:left w:val="none" w:sz="0" w:space="0" w:color="auto"/>
        <w:bottom w:val="none" w:sz="0" w:space="0" w:color="auto"/>
        <w:right w:val="none" w:sz="0" w:space="0" w:color="auto"/>
      </w:divBdr>
    </w:div>
    <w:div w:id="1601597846">
      <w:bodyDiv w:val="1"/>
      <w:marLeft w:val="0"/>
      <w:marRight w:val="0"/>
      <w:marTop w:val="0"/>
      <w:marBottom w:val="0"/>
      <w:divBdr>
        <w:top w:val="none" w:sz="0" w:space="0" w:color="auto"/>
        <w:left w:val="none" w:sz="0" w:space="0" w:color="auto"/>
        <w:bottom w:val="none" w:sz="0" w:space="0" w:color="auto"/>
        <w:right w:val="none" w:sz="0" w:space="0" w:color="auto"/>
      </w:divBdr>
    </w:div>
    <w:div w:id="1601638578">
      <w:bodyDiv w:val="1"/>
      <w:marLeft w:val="0"/>
      <w:marRight w:val="0"/>
      <w:marTop w:val="0"/>
      <w:marBottom w:val="0"/>
      <w:divBdr>
        <w:top w:val="none" w:sz="0" w:space="0" w:color="auto"/>
        <w:left w:val="none" w:sz="0" w:space="0" w:color="auto"/>
        <w:bottom w:val="none" w:sz="0" w:space="0" w:color="auto"/>
        <w:right w:val="none" w:sz="0" w:space="0" w:color="auto"/>
      </w:divBdr>
    </w:div>
    <w:div w:id="1601638764">
      <w:bodyDiv w:val="1"/>
      <w:marLeft w:val="0"/>
      <w:marRight w:val="0"/>
      <w:marTop w:val="0"/>
      <w:marBottom w:val="0"/>
      <w:divBdr>
        <w:top w:val="none" w:sz="0" w:space="0" w:color="auto"/>
        <w:left w:val="none" w:sz="0" w:space="0" w:color="auto"/>
        <w:bottom w:val="none" w:sz="0" w:space="0" w:color="auto"/>
        <w:right w:val="none" w:sz="0" w:space="0" w:color="auto"/>
      </w:divBdr>
    </w:div>
    <w:div w:id="1601647370">
      <w:bodyDiv w:val="1"/>
      <w:marLeft w:val="0"/>
      <w:marRight w:val="0"/>
      <w:marTop w:val="0"/>
      <w:marBottom w:val="0"/>
      <w:divBdr>
        <w:top w:val="none" w:sz="0" w:space="0" w:color="auto"/>
        <w:left w:val="none" w:sz="0" w:space="0" w:color="auto"/>
        <w:bottom w:val="none" w:sz="0" w:space="0" w:color="auto"/>
        <w:right w:val="none" w:sz="0" w:space="0" w:color="auto"/>
      </w:divBdr>
    </w:div>
    <w:div w:id="1601713851">
      <w:bodyDiv w:val="1"/>
      <w:marLeft w:val="0"/>
      <w:marRight w:val="0"/>
      <w:marTop w:val="0"/>
      <w:marBottom w:val="0"/>
      <w:divBdr>
        <w:top w:val="none" w:sz="0" w:space="0" w:color="auto"/>
        <w:left w:val="none" w:sz="0" w:space="0" w:color="auto"/>
        <w:bottom w:val="none" w:sz="0" w:space="0" w:color="auto"/>
        <w:right w:val="none" w:sz="0" w:space="0" w:color="auto"/>
      </w:divBdr>
    </w:div>
    <w:div w:id="1601714963">
      <w:bodyDiv w:val="1"/>
      <w:marLeft w:val="0"/>
      <w:marRight w:val="0"/>
      <w:marTop w:val="0"/>
      <w:marBottom w:val="0"/>
      <w:divBdr>
        <w:top w:val="none" w:sz="0" w:space="0" w:color="auto"/>
        <w:left w:val="none" w:sz="0" w:space="0" w:color="auto"/>
        <w:bottom w:val="none" w:sz="0" w:space="0" w:color="auto"/>
        <w:right w:val="none" w:sz="0" w:space="0" w:color="auto"/>
      </w:divBdr>
    </w:div>
    <w:div w:id="1601715029">
      <w:bodyDiv w:val="1"/>
      <w:marLeft w:val="0"/>
      <w:marRight w:val="0"/>
      <w:marTop w:val="0"/>
      <w:marBottom w:val="0"/>
      <w:divBdr>
        <w:top w:val="none" w:sz="0" w:space="0" w:color="auto"/>
        <w:left w:val="none" w:sz="0" w:space="0" w:color="auto"/>
        <w:bottom w:val="none" w:sz="0" w:space="0" w:color="auto"/>
        <w:right w:val="none" w:sz="0" w:space="0" w:color="auto"/>
      </w:divBdr>
    </w:div>
    <w:div w:id="1601908181">
      <w:bodyDiv w:val="1"/>
      <w:marLeft w:val="0"/>
      <w:marRight w:val="0"/>
      <w:marTop w:val="0"/>
      <w:marBottom w:val="0"/>
      <w:divBdr>
        <w:top w:val="none" w:sz="0" w:space="0" w:color="auto"/>
        <w:left w:val="none" w:sz="0" w:space="0" w:color="auto"/>
        <w:bottom w:val="none" w:sz="0" w:space="0" w:color="auto"/>
        <w:right w:val="none" w:sz="0" w:space="0" w:color="auto"/>
      </w:divBdr>
    </w:div>
    <w:div w:id="1601916794">
      <w:bodyDiv w:val="1"/>
      <w:marLeft w:val="0"/>
      <w:marRight w:val="0"/>
      <w:marTop w:val="0"/>
      <w:marBottom w:val="0"/>
      <w:divBdr>
        <w:top w:val="none" w:sz="0" w:space="0" w:color="auto"/>
        <w:left w:val="none" w:sz="0" w:space="0" w:color="auto"/>
        <w:bottom w:val="none" w:sz="0" w:space="0" w:color="auto"/>
        <w:right w:val="none" w:sz="0" w:space="0" w:color="auto"/>
      </w:divBdr>
    </w:div>
    <w:div w:id="1601989564">
      <w:bodyDiv w:val="1"/>
      <w:marLeft w:val="0"/>
      <w:marRight w:val="0"/>
      <w:marTop w:val="0"/>
      <w:marBottom w:val="0"/>
      <w:divBdr>
        <w:top w:val="none" w:sz="0" w:space="0" w:color="auto"/>
        <w:left w:val="none" w:sz="0" w:space="0" w:color="auto"/>
        <w:bottom w:val="none" w:sz="0" w:space="0" w:color="auto"/>
        <w:right w:val="none" w:sz="0" w:space="0" w:color="auto"/>
      </w:divBdr>
    </w:div>
    <w:div w:id="1602301207">
      <w:bodyDiv w:val="1"/>
      <w:marLeft w:val="0"/>
      <w:marRight w:val="0"/>
      <w:marTop w:val="0"/>
      <w:marBottom w:val="0"/>
      <w:divBdr>
        <w:top w:val="none" w:sz="0" w:space="0" w:color="auto"/>
        <w:left w:val="none" w:sz="0" w:space="0" w:color="auto"/>
        <w:bottom w:val="none" w:sz="0" w:space="0" w:color="auto"/>
        <w:right w:val="none" w:sz="0" w:space="0" w:color="auto"/>
      </w:divBdr>
    </w:div>
    <w:div w:id="1602446248">
      <w:bodyDiv w:val="1"/>
      <w:marLeft w:val="0"/>
      <w:marRight w:val="0"/>
      <w:marTop w:val="0"/>
      <w:marBottom w:val="0"/>
      <w:divBdr>
        <w:top w:val="none" w:sz="0" w:space="0" w:color="auto"/>
        <w:left w:val="none" w:sz="0" w:space="0" w:color="auto"/>
        <w:bottom w:val="none" w:sz="0" w:space="0" w:color="auto"/>
        <w:right w:val="none" w:sz="0" w:space="0" w:color="auto"/>
      </w:divBdr>
    </w:div>
    <w:div w:id="1602450902">
      <w:bodyDiv w:val="1"/>
      <w:marLeft w:val="0"/>
      <w:marRight w:val="0"/>
      <w:marTop w:val="0"/>
      <w:marBottom w:val="0"/>
      <w:divBdr>
        <w:top w:val="none" w:sz="0" w:space="0" w:color="auto"/>
        <w:left w:val="none" w:sz="0" w:space="0" w:color="auto"/>
        <w:bottom w:val="none" w:sz="0" w:space="0" w:color="auto"/>
        <w:right w:val="none" w:sz="0" w:space="0" w:color="auto"/>
      </w:divBdr>
    </w:div>
    <w:div w:id="1602495307">
      <w:bodyDiv w:val="1"/>
      <w:marLeft w:val="0"/>
      <w:marRight w:val="0"/>
      <w:marTop w:val="0"/>
      <w:marBottom w:val="0"/>
      <w:divBdr>
        <w:top w:val="none" w:sz="0" w:space="0" w:color="auto"/>
        <w:left w:val="none" w:sz="0" w:space="0" w:color="auto"/>
        <w:bottom w:val="none" w:sz="0" w:space="0" w:color="auto"/>
        <w:right w:val="none" w:sz="0" w:space="0" w:color="auto"/>
      </w:divBdr>
    </w:div>
    <w:div w:id="1602687395">
      <w:bodyDiv w:val="1"/>
      <w:marLeft w:val="0"/>
      <w:marRight w:val="0"/>
      <w:marTop w:val="0"/>
      <w:marBottom w:val="0"/>
      <w:divBdr>
        <w:top w:val="none" w:sz="0" w:space="0" w:color="auto"/>
        <w:left w:val="none" w:sz="0" w:space="0" w:color="auto"/>
        <w:bottom w:val="none" w:sz="0" w:space="0" w:color="auto"/>
        <w:right w:val="none" w:sz="0" w:space="0" w:color="auto"/>
      </w:divBdr>
    </w:div>
    <w:div w:id="1602688113">
      <w:bodyDiv w:val="1"/>
      <w:marLeft w:val="0"/>
      <w:marRight w:val="0"/>
      <w:marTop w:val="0"/>
      <w:marBottom w:val="0"/>
      <w:divBdr>
        <w:top w:val="none" w:sz="0" w:space="0" w:color="auto"/>
        <w:left w:val="none" w:sz="0" w:space="0" w:color="auto"/>
        <w:bottom w:val="none" w:sz="0" w:space="0" w:color="auto"/>
        <w:right w:val="none" w:sz="0" w:space="0" w:color="auto"/>
      </w:divBdr>
    </w:div>
    <w:div w:id="1602831164">
      <w:bodyDiv w:val="1"/>
      <w:marLeft w:val="0"/>
      <w:marRight w:val="0"/>
      <w:marTop w:val="0"/>
      <w:marBottom w:val="0"/>
      <w:divBdr>
        <w:top w:val="none" w:sz="0" w:space="0" w:color="auto"/>
        <w:left w:val="none" w:sz="0" w:space="0" w:color="auto"/>
        <w:bottom w:val="none" w:sz="0" w:space="0" w:color="auto"/>
        <w:right w:val="none" w:sz="0" w:space="0" w:color="auto"/>
      </w:divBdr>
    </w:div>
    <w:div w:id="1602912104">
      <w:bodyDiv w:val="1"/>
      <w:marLeft w:val="0"/>
      <w:marRight w:val="0"/>
      <w:marTop w:val="0"/>
      <w:marBottom w:val="0"/>
      <w:divBdr>
        <w:top w:val="none" w:sz="0" w:space="0" w:color="auto"/>
        <w:left w:val="none" w:sz="0" w:space="0" w:color="auto"/>
        <w:bottom w:val="none" w:sz="0" w:space="0" w:color="auto"/>
        <w:right w:val="none" w:sz="0" w:space="0" w:color="auto"/>
      </w:divBdr>
    </w:div>
    <w:div w:id="1603024434">
      <w:bodyDiv w:val="1"/>
      <w:marLeft w:val="0"/>
      <w:marRight w:val="0"/>
      <w:marTop w:val="0"/>
      <w:marBottom w:val="0"/>
      <w:divBdr>
        <w:top w:val="none" w:sz="0" w:space="0" w:color="auto"/>
        <w:left w:val="none" w:sz="0" w:space="0" w:color="auto"/>
        <w:bottom w:val="none" w:sz="0" w:space="0" w:color="auto"/>
        <w:right w:val="none" w:sz="0" w:space="0" w:color="auto"/>
      </w:divBdr>
    </w:div>
    <w:div w:id="1603026578">
      <w:bodyDiv w:val="1"/>
      <w:marLeft w:val="0"/>
      <w:marRight w:val="0"/>
      <w:marTop w:val="0"/>
      <w:marBottom w:val="0"/>
      <w:divBdr>
        <w:top w:val="none" w:sz="0" w:space="0" w:color="auto"/>
        <w:left w:val="none" w:sz="0" w:space="0" w:color="auto"/>
        <w:bottom w:val="none" w:sz="0" w:space="0" w:color="auto"/>
        <w:right w:val="none" w:sz="0" w:space="0" w:color="auto"/>
      </w:divBdr>
    </w:div>
    <w:div w:id="1603101439">
      <w:bodyDiv w:val="1"/>
      <w:marLeft w:val="0"/>
      <w:marRight w:val="0"/>
      <w:marTop w:val="0"/>
      <w:marBottom w:val="0"/>
      <w:divBdr>
        <w:top w:val="none" w:sz="0" w:space="0" w:color="auto"/>
        <w:left w:val="none" w:sz="0" w:space="0" w:color="auto"/>
        <w:bottom w:val="none" w:sz="0" w:space="0" w:color="auto"/>
        <w:right w:val="none" w:sz="0" w:space="0" w:color="auto"/>
      </w:divBdr>
    </w:div>
    <w:div w:id="1603223372">
      <w:bodyDiv w:val="1"/>
      <w:marLeft w:val="0"/>
      <w:marRight w:val="0"/>
      <w:marTop w:val="0"/>
      <w:marBottom w:val="0"/>
      <w:divBdr>
        <w:top w:val="none" w:sz="0" w:space="0" w:color="auto"/>
        <w:left w:val="none" w:sz="0" w:space="0" w:color="auto"/>
        <w:bottom w:val="none" w:sz="0" w:space="0" w:color="auto"/>
        <w:right w:val="none" w:sz="0" w:space="0" w:color="auto"/>
      </w:divBdr>
    </w:div>
    <w:div w:id="1603297274">
      <w:bodyDiv w:val="1"/>
      <w:marLeft w:val="0"/>
      <w:marRight w:val="0"/>
      <w:marTop w:val="0"/>
      <w:marBottom w:val="0"/>
      <w:divBdr>
        <w:top w:val="none" w:sz="0" w:space="0" w:color="auto"/>
        <w:left w:val="none" w:sz="0" w:space="0" w:color="auto"/>
        <w:bottom w:val="none" w:sz="0" w:space="0" w:color="auto"/>
        <w:right w:val="none" w:sz="0" w:space="0" w:color="auto"/>
      </w:divBdr>
    </w:div>
    <w:div w:id="1603340346">
      <w:bodyDiv w:val="1"/>
      <w:marLeft w:val="0"/>
      <w:marRight w:val="0"/>
      <w:marTop w:val="0"/>
      <w:marBottom w:val="0"/>
      <w:divBdr>
        <w:top w:val="none" w:sz="0" w:space="0" w:color="auto"/>
        <w:left w:val="none" w:sz="0" w:space="0" w:color="auto"/>
        <w:bottom w:val="none" w:sz="0" w:space="0" w:color="auto"/>
        <w:right w:val="none" w:sz="0" w:space="0" w:color="auto"/>
      </w:divBdr>
    </w:div>
    <w:div w:id="1603494524">
      <w:bodyDiv w:val="1"/>
      <w:marLeft w:val="0"/>
      <w:marRight w:val="0"/>
      <w:marTop w:val="0"/>
      <w:marBottom w:val="0"/>
      <w:divBdr>
        <w:top w:val="none" w:sz="0" w:space="0" w:color="auto"/>
        <w:left w:val="none" w:sz="0" w:space="0" w:color="auto"/>
        <w:bottom w:val="none" w:sz="0" w:space="0" w:color="auto"/>
        <w:right w:val="none" w:sz="0" w:space="0" w:color="auto"/>
      </w:divBdr>
    </w:div>
    <w:div w:id="1603537978">
      <w:bodyDiv w:val="1"/>
      <w:marLeft w:val="0"/>
      <w:marRight w:val="0"/>
      <w:marTop w:val="0"/>
      <w:marBottom w:val="0"/>
      <w:divBdr>
        <w:top w:val="none" w:sz="0" w:space="0" w:color="auto"/>
        <w:left w:val="none" w:sz="0" w:space="0" w:color="auto"/>
        <w:bottom w:val="none" w:sz="0" w:space="0" w:color="auto"/>
        <w:right w:val="none" w:sz="0" w:space="0" w:color="auto"/>
      </w:divBdr>
    </w:div>
    <w:div w:id="1603613121">
      <w:bodyDiv w:val="1"/>
      <w:marLeft w:val="0"/>
      <w:marRight w:val="0"/>
      <w:marTop w:val="0"/>
      <w:marBottom w:val="0"/>
      <w:divBdr>
        <w:top w:val="none" w:sz="0" w:space="0" w:color="auto"/>
        <w:left w:val="none" w:sz="0" w:space="0" w:color="auto"/>
        <w:bottom w:val="none" w:sz="0" w:space="0" w:color="auto"/>
        <w:right w:val="none" w:sz="0" w:space="0" w:color="auto"/>
      </w:divBdr>
    </w:div>
    <w:div w:id="1603684002">
      <w:bodyDiv w:val="1"/>
      <w:marLeft w:val="0"/>
      <w:marRight w:val="0"/>
      <w:marTop w:val="0"/>
      <w:marBottom w:val="0"/>
      <w:divBdr>
        <w:top w:val="none" w:sz="0" w:space="0" w:color="auto"/>
        <w:left w:val="none" w:sz="0" w:space="0" w:color="auto"/>
        <w:bottom w:val="none" w:sz="0" w:space="0" w:color="auto"/>
        <w:right w:val="none" w:sz="0" w:space="0" w:color="auto"/>
      </w:divBdr>
    </w:div>
    <w:div w:id="1603756235">
      <w:bodyDiv w:val="1"/>
      <w:marLeft w:val="0"/>
      <w:marRight w:val="0"/>
      <w:marTop w:val="0"/>
      <w:marBottom w:val="0"/>
      <w:divBdr>
        <w:top w:val="none" w:sz="0" w:space="0" w:color="auto"/>
        <w:left w:val="none" w:sz="0" w:space="0" w:color="auto"/>
        <w:bottom w:val="none" w:sz="0" w:space="0" w:color="auto"/>
        <w:right w:val="none" w:sz="0" w:space="0" w:color="auto"/>
      </w:divBdr>
    </w:div>
    <w:div w:id="1603763083">
      <w:bodyDiv w:val="1"/>
      <w:marLeft w:val="0"/>
      <w:marRight w:val="0"/>
      <w:marTop w:val="0"/>
      <w:marBottom w:val="0"/>
      <w:divBdr>
        <w:top w:val="none" w:sz="0" w:space="0" w:color="auto"/>
        <w:left w:val="none" w:sz="0" w:space="0" w:color="auto"/>
        <w:bottom w:val="none" w:sz="0" w:space="0" w:color="auto"/>
        <w:right w:val="none" w:sz="0" w:space="0" w:color="auto"/>
      </w:divBdr>
    </w:div>
    <w:div w:id="1603797683">
      <w:bodyDiv w:val="1"/>
      <w:marLeft w:val="0"/>
      <w:marRight w:val="0"/>
      <w:marTop w:val="0"/>
      <w:marBottom w:val="0"/>
      <w:divBdr>
        <w:top w:val="none" w:sz="0" w:space="0" w:color="auto"/>
        <w:left w:val="none" w:sz="0" w:space="0" w:color="auto"/>
        <w:bottom w:val="none" w:sz="0" w:space="0" w:color="auto"/>
        <w:right w:val="none" w:sz="0" w:space="0" w:color="auto"/>
      </w:divBdr>
    </w:div>
    <w:div w:id="1603806525">
      <w:bodyDiv w:val="1"/>
      <w:marLeft w:val="0"/>
      <w:marRight w:val="0"/>
      <w:marTop w:val="0"/>
      <w:marBottom w:val="0"/>
      <w:divBdr>
        <w:top w:val="none" w:sz="0" w:space="0" w:color="auto"/>
        <w:left w:val="none" w:sz="0" w:space="0" w:color="auto"/>
        <w:bottom w:val="none" w:sz="0" w:space="0" w:color="auto"/>
        <w:right w:val="none" w:sz="0" w:space="0" w:color="auto"/>
      </w:divBdr>
    </w:div>
    <w:div w:id="1603806736">
      <w:bodyDiv w:val="1"/>
      <w:marLeft w:val="0"/>
      <w:marRight w:val="0"/>
      <w:marTop w:val="0"/>
      <w:marBottom w:val="0"/>
      <w:divBdr>
        <w:top w:val="none" w:sz="0" w:space="0" w:color="auto"/>
        <w:left w:val="none" w:sz="0" w:space="0" w:color="auto"/>
        <w:bottom w:val="none" w:sz="0" w:space="0" w:color="auto"/>
        <w:right w:val="none" w:sz="0" w:space="0" w:color="auto"/>
      </w:divBdr>
    </w:div>
    <w:div w:id="1603952365">
      <w:bodyDiv w:val="1"/>
      <w:marLeft w:val="0"/>
      <w:marRight w:val="0"/>
      <w:marTop w:val="0"/>
      <w:marBottom w:val="0"/>
      <w:divBdr>
        <w:top w:val="none" w:sz="0" w:space="0" w:color="auto"/>
        <w:left w:val="none" w:sz="0" w:space="0" w:color="auto"/>
        <w:bottom w:val="none" w:sz="0" w:space="0" w:color="auto"/>
        <w:right w:val="none" w:sz="0" w:space="0" w:color="auto"/>
      </w:divBdr>
    </w:div>
    <w:div w:id="1603996132">
      <w:bodyDiv w:val="1"/>
      <w:marLeft w:val="0"/>
      <w:marRight w:val="0"/>
      <w:marTop w:val="0"/>
      <w:marBottom w:val="0"/>
      <w:divBdr>
        <w:top w:val="none" w:sz="0" w:space="0" w:color="auto"/>
        <w:left w:val="none" w:sz="0" w:space="0" w:color="auto"/>
        <w:bottom w:val="none" w:sz="0" w:space="0" w:color="auto"/>
        <w:right w:val="none" w:sz="0" w:space="0" w:color="auto"/>
      </w:divBdr>
    </w:div>
    <w:div w:id="1604149947">
      <w:bodyDiv w:val="1"/>
      <w:marLeft w:val="0"/>
      <w:marRight w:val="0"/>
      <w:marTop w:val="0"/>
      <w:marBottom w:val="0"/>
      <w:divBdr>
        <w:top w:val="none" w:sz="0" w:space="0" w:color="auto"/>
        <w:left w:val="none" w:sz="0" w:space="0" w:color="auto"/>
        <w:bottom w:val="none" w:sz="0" w:space="0" w:color="auto"/>
        <w:right w:val="none" w:sz="0" w:space="0" w:color="auto"/>
      </w:divBdr>
    </w:div>
    <w:div w:id="1604461536">
      <w:bodyDiv w:val="1"/>
      <w:marLeft w:val="0"/>
      <w:marRight w:val="0"/>
      <w:marTop w:val="0"/>
      <w:marBottom w:val="0"/>
      <w:divBdr>
        <w:top w:val="none" w:sz="0" w:space="0" w:color="auto"/>
        <w:left w:val="none" w:sz="0" w:space="0" w:color="auto"/>
        <w:bottom w:val="none" w:sz="0" w:space="0" w:color="auto"/>
        <w:right w:val="none" w:sz="0" w:space="0" w:color="auto"/>
      </w:divBdr>
    </w:div>
    <w:div w:id="1604534124">
      <w:bodyDiv w:val="1"/>
      <w:marLeft w:val="0"/>
      <w:marRight w:val="0"/>
      <w:marTop w:val="0"/>
      <w:marBottom w:val="0"/>
      <w:divBdr>
        <w:top w:val="none" w:sz="0" w:space="0" w:color="auto"/>
        <w:left w:val="none" w:sz="0" w:space="0" w:color="auto"/>
        <w:bottom w:val="none" w:sz="0" w:space="0" w:color="auto"/>
        <w:right w:val="none" w:sz="0" w:space="0" w:color="auto"/>
      </w:divBdr>
    </w:div>
    <w:div w:id="1604605086">
      <w:bodyDiv w:val="1"/>
      <w:marLeft w:val="0"/>
      <w:marRight w:val="0"/>
      <w:marTop w:val="0"/>
      <w:marBottom w:val="0"/>
      <w:divBdr>
        <w:top w:val="none" w:sz="0" w:space="0" w:color="auto"/>
        <w:left w:val="none" w:sz="0" w:space="0" w:color="auto"/>
        <w:bottom w:val="none" w:sz="0" w:space="0" w:color="auto"/>
        <w:right w:val="none" w:sz="0" w:space="0" w:color="auto"/>
      </w:divBdr>
    </w:div>
    <w:div w:id="1604654400">
      <w:bodyDiv w:val="1"/>
      <w:marLeft w:val="0"/>
      <w:marRight w:val="0"/>
      <w:marTop w:val="0"/>
      <w:marBottom w:val="0"/>
      <w:divBdr>
        <w:top w:val="none" w:sz="0" w:space="0" w:color="auto"/>
        <w:left w:val="none" w:sz="0" w:space="0" w:color="auto"/>
        <w:bottom w:val="none" w:sz="0" w:space="0" w:color="auto"/>
        <w:right w:val="none" w:sz="0" w:space="0" w:color="auto"/>
      </w:divBdr>
    </w:div>
    <w:div w:id="1604679690">
      <w:bodyDiv w:val="1"/>
      <w:marLeft w:val="0"/>
      <w:marRight w:val="0"/>
      <w:marTop w:val="0"/>
      <w:marBottom w:val="0"/>
      <w:divBdr>
        <w:top w:val="none" w:sz="0" w:space="0" w:color="auto"/>
        <w:left w:val="none" w:sz="0" w:space="0" w:color="auto"/>
        <w:bottom w:val="none" w:sz="0" w:space="0" w:color="auto"/>
        <w:right w:val="none" w:sz="0" w:space="0" w:color="auto"/>
      </w:divBdr>
    </w:div>
    <w:div w:id="1604722742">
      <w:bodyDiv w:val="1"/>
      <w:marLeft w:val="0"/>
      <w:marRight w:val="0"/>
      <w:marTop w:val="0"/>
      <w:marBottom w:val="0"/>
      <w:divBdr>
        <w:top w:val="none" w:sz="0" w:space="0" w:color="auto"/>
        <w:left w:val="none" w:sz="0" w:space="0" w:color="auto"/>
        <w:bottom w:val="none" w:sz="0" w:space="0" w:color="auto"/>
        <w:right w:val="none" w:sz="0" w:space="0" w:color="auto"/>
      </w:divBdr>
    </w:div>
    <w:div w:id="1604875089">
      <w:bodyDiv w:val="1"/>
      <w:marLeft w:val="0"/>
      <w:marRight w:val="0"/>
      <w:marTop w:val="0"/>
      <w:marBottom w:val="0"/>
      <w:divBdr>
        <w:top w:val="none" w:sz="0" w:space="0" w:color="auto"/>
        <w:left w:val="none" w:sz="0" w:space="0" w:color="auto"/>
        <w:bottom w:val="none" w:sz="0" w:space="0" w:color="auto"/>
        <w:right w:val="none" w:sz="0" w:space="0" w:color="auto"/>
      </w:divBdr>
    </w:div>
    <w:div w:id="1605067639">
      <w:bodyDiv w:val="1"/>
      <w:marLeft w:val="0"/>
      <w:marRight w:val="0"/>
      <w:marTop w:val="0"/>
      <w:marBottom w:val="0"/>
      <w:divBdr>
        <w:top w:val="none" w:sz="0" w:space="0" w:color="auto"/>
        <w:left w:val="none" w:sz="0" w:space="0" w:color="auto"/>
        <w:bottom w:val="none" w:sz="0" w:space="0" w:color="auto"/>
        <w:right w:val="none" w:sz="0" w:space="0" w:color="auto"/>
      </w:divBdr>
    </w:div>
    <w:div w:id="1605069107">
      <w:bodyDiv w:val="1"/>
      <w:marLeft w:val="0"/>
      <w:marRight w:val="0"/>
      <w:marTop w:val="0"/>
      <w:marBottom w:val="0"/>
      <w:divBdr>
        <w:top w:val="none" w:sz="0" w:space="0" w:color="auto"/>
        <w:left w:val="none" w:sz="0" w:space="0" w:color="auto"/>
        <w:bottom w:val="none" w:sz="0" w:space="0" w:color="auto"/>
        <w:right w:val="none" w:sz="0" w:space="0" w:color="auto"/>
      </w:divBdr>
    </w:div>
    <w:div w:id="1605070154">
      <w:bodyDiv w:val="1"/>
      <w:marLeft w:val="0"/>
      <w:marRight w:val="0"/>
      <w:marTop w:val="0"/>
      <w:marBottom w:val="0"/>
      <w:divBdr>
        <w:top w:val="none" w:sz="0" w:space="0" w:color="auto"/>
        <w:left w:val="none" w:sz="0" w:space="0" w:color="auto"/>
        <w:bottom w:val="none" w:sz="0" w:space="0" w:color="auto"/>
        <w:right w:val="none" w:sz="0" w:space="0" w:color="auto"/>
      </w:divBdr>
    </w:div>
    <w:div w:id="1605074671">
      <w:bodyDiv w:val="1"/>
      <w:marLeft w:val="0"/>
      <w:marRight w:val="0"/>
      <w:marTop w:val="0"/>
      <w:marBottom w:val="0"/>
      <w:divBdr>
        <w:top w:val="none" w:sz="0" w:space="0" w:color="auto"/>
        <w:left w:val="none" w:sz="0" w:space="0" w:color="auto"/>
        <w:bottom w:val="none" w:sz="0" w:space="0" w:color="auto"/>
        <w:right w:val="none" w:sz="0" w:space="0" w:color="auto"/>
      </w:divBdr>
    </w:div>
    <w:div w:id="1605184407">
      <w:bodyDiv w:val="1"/>
      <w:marLeft w:val="0"/>
      <w:marRight w:val="0"/>
      <w:marTop w:val="0"/>
      <w:marBottom w:val="0"/>
      <w:divBdr>
        <w:top w:val="none" w:sz="0" w:space="0" w:color="auto"/>
        <w:left w:val="none" w:sz="0" w:space="0" w:color="auto"/>
        <w:bottom w:val="none" w:sz="0" w:space="0" w:color="auto"/>
        <w:right w:val="none" w:sz="0" w:space="0" w:color="auto"/>
      </w:divBdr>
    </w:div>
    <w:div w:id="1605190683">
      <w:bodyDiv w:val="1"/>
      <w:marLeft w:val="0"/>
      <w:marRight w:val="0"/>
      <w:marTop w:val="0"/>
      <w:marBottom w:val="0"/>
      <w:divBdr>
        <w:top w:val="none" w:sz="0" w:space="0" w:color="auto"/>
        <w:left w:val="none" w:sz="0" w:space="0" w:color="auto"/>
        <w:bottom w:val="none" w:sz="0" w:space="0" w:color="auto"/>
        <w:right w:val="none" w:sz="0" w:space="0" w:color="auto"/>
      </w:divBdr>
    </w:div>
    <w:div w:id="1605259600">
      <w:bodyDiv w:val="1"/>
      <w:marLeft w:val="0"/>
      <w:marRight w:val="0"/>
      <w:marTop w:val="0"/>
      <w:marBottom w:val="0"/>
      <w:divBdr>
        <w:top w:val="none" w:sz="0" w:space="0" w:color="auto"/>
        <w:left w:val="none" w:sz="0" w:space="0" w:color="auto"/>
        <w:bottom w:val="none" w:sz="0" w:space="0" w:color="auto"/>
        <w:right w:val="none" w:sz="0" w:space="0" w:color="auto"/>
      </w:divBdr>
    </w:div>
    <w:div w:id="1605262108">
      <w:bodyDiv w:val="1"/>
      <w:marLeft w:val="0"/>
      <w:marRight w:val="0"/>
      <w:marTop w:val="0"/>
      <w:marBottom w:val="0"/>
      <w:divBdr>
        <w:top w:val="none" w:sz="0" w:space="0" w:color="auto"/>
        <w:left w:val="none" w:sz="0" w:space="0" w:color="auto"/>
        <w:bottom w:val="none" w:sz="0" w:space="0" w:color="auto"/>
        <w:right w:val="none" w:sz="0" w:space="0" w:color="auto"/>
      </w:divBdr>
    </w:div>
    <w:div w:id="1605381119">
      <w:bodyDiv w:val="1"/>
      <w:marLeft w:val="0"/>
      <w:marRight w:val="0"/>
      <w:marTop w:val="0"/>
      <w:marBottom w:val="0"/>
      <w:divBdr>
        <w:top w:val="none" w:sz="0" w:space="0" w:color="auto"/>
        <w:left w:val="none" w:sz="0" w:space="0" w:color="auto"/>
        <w:bottom w:val="none" w:sz="0" w:space="0" w:color="auto"/>
        <w:right w:val="none" w:sz="0" w:space="0" w:color="auto"/>
      </w:divBdr>
    </w:div>
    <w:div w:id="1605455628">
      <w:bodyDiv w:val="1"/>
      <w:marLeft w:val="0"/>
      <w:marRight w:val="0"/>
      <w:marTop w:val="0"/>
      <w:marBottom w:val="0"/>
      <w:divBdr>
        <w:top w:val="none" w:sz="0" w:space="0" w:color="auto"/>
        <w:left w:val="none" w:sz="0" w:space="0" w:color="auto"/>
        <w:bottom w:val="none" w:sz="0" w:space="0" w:color="auto"/>
        <w:right w:val="none" w:sz="0" w:space="0" w:color="auto"/>
      </w:divBdr>
    </w:div>
    <w:div w:id="1605573616">
      <w:bodyDiv w:val="1"/>
      <w:marLeft w:val="0"/>
      <w:marRight w:val="0"/>
      <w:marTop w:val="0"/>
      <w:marBottom w:val="0"/>
      <w:divBdr>
        <w:top w:val="none" w:sz="0" w:space="0" w:color="auto"/>
        <w:left w:val="none" w:sz="0" w:space="0" w:color="auto"/>
        <w:bottom w:val="none" w:sz="0" w:space="0" w:color="auto"/>
        <w:right w:val="none" w:sz="0" w:space="0" w:color="auto"/>
      </w:divBdr>
    </w:div>
    <w:div w:id="1605651332">
      <w:bodyDiv w:val="1"/>
      <w:marLeft w:val="0"/>
      <w:marRight w:val="0"/>
      <w:marTop w:val="0"/>
      <w:marBottom w:val="0"/>
      <w:divBdr>
        <w:top w:val="none" w:sz="0" w:space="0" w:color="auto"/>
        <w:left w:val="none" w:sz="0" w:space="0" w:color="auto"/>
        <w:bottom w:val="none" w:sz="0" w:space="0" w:color="auto"/>
        <w:right w:val="none" w:sz="0" w:space="0" w:color="auto"/>
      </w:divBdr>
    </w:div>
    <w:div w:id="1605721361">
      <w:bodyDiv w:val="1"/>
      <w:marLeft w:val="0"/>
      <w:marRight w:val="0"/>
      <w:marTop w:val="0"/>
      <w:marBottom w:val="0"/>
      <w:divBdr>
        <w:top w:val="none" w:sz="0" w:space="0" w:color="auto"/>
        <w:left w:val="none" w:sz="0" w:space="0" w:color="auto"/>
        <w:bottom w:val="none" w:sz="0" w:space="0" w:color="auto"/>
        <w:right w:val="none" w:sz="0" w:space="0" w:color="auto"/>
      </w:divBdr>
    </w:div>
    <w:div w:id="1605841745">
      <w:bodyDiv w:val="1"/>
      <w:marLeft w:val="0"/>
      <w:marRight w:val="0"/>
      <w:marTop w:val="0"/>
      <w:marBottom w:val="0"/>
      <w:divBdr>
        <w:top w:val="none" w:sz="0" w:space="0" w:color="auto"/>
        <w:left w:val="none" w:sz="0" w:space="0" w:color="auto"/>
        <w:bottom w:val="none" w:sz="0" w:space="0" w:color="auto"/>
        <w:right w:val="none" w:sz="0" w:space="0" w:color="auto"/>
      </w:divBdr>
    </w:div>
    <w:div w:id="1605921361">
      <w:bodyDiv w:val="1"/>
      <w:marLeft w:val="0"/>
      <w:marRight w:val="0"/>
      <w:marTop w:val="0"/>
      <w:marBottom w:val="0"/>
      <w:divBdr>
        <w:top w:val="none" w:sz="0" w:space="0" w:color="auto"/>
        <w:left w:val="none" w:sz="0" w:space="0" w:color="auto"/>
        <w:bottom w:val="none" w:sz="0" w:space="0" w:color="auto"/>
        <w:right w:val="none" w:sz="0" w:space="0" w:color="auto"/>
      </w:divBdr>
    </w:div>
    <w:div w:id="1605961661">
      <w:bodyDiv w:val="1"/>
      <w:marLeft w:val="0"/>
      <w:marRight w:val="0"/>
      <w:marTop w:val="0"/>
      <w:marBottom w:val="0"/>
      <w:divBdr>
        <w:top w:val="none" w:sz="0" w:space="0" w:color="auto"/>
        <w:left w:val="none" w:sz="0" w:space="0" w:color="auto"/>
        <w:bottom w:val="none" w:sz="0" w:space="0" w:color="auto"/>
        <w:right w:val="none" w:sz="0" w:space="0" w:color="auto"/>
      </w:divBdr>
    </w:div>
    <w:div w:id="1605962207">
      <w:bodyDiv w:val="1"/>
      <w:marLeft w:val="0"/>
      <w:marRight w:val="0"/>
      <w:marTop w:val="0"/>
      <w:marBottom w:val="0"/>
      <w:divBdr>
        <w:top w:val="none" w:sz="0" w:space="0" w:color="auto"/>
        <w:left w:val="none" w:sz="0" w:space="0" w:color="auto"/>
        <w:bottom w:val="none" w:sz="0" w:space="0" w:color="auto"/>
        <w:right w:val="none" w:sz="0" w:space="0" w:color="auto"/>
      </w:divBdr>
    </w:div>
    <w:div w:id="1605964003">
      <w:bodyDiv w:val="1"/>
      <w:marLeft w:val="0"/>
      <w:marRight w:val="0"/>
      <w:marTop w:val="0"/>
      <w:marBottom w:val="0"/>
      <w:divBdr>
        <w:top w:val="none" w:sz="0" w:space="0" w:color="auto"/>
        <w:left w:val="none" w:sz="0" w:space="0" w:color="auto"/>
        <w:bottom w:val="none" w:sz="0" w:space="0" w:color="auto"/>
        <w:right w:val="none" w:sz="0" w:space="0" w:color="auto"/>
      </w:divBdr>
    </w:div>
    <w:div w:id="1606227387">
      <w:bodyDiv w:val="1"/>
      <w:marLeft w:val="0"/>
      <w:marRight w:val="0"/>
      <w:marTop w:val="0"/>
      <w:marBottom w:val="0"/>
      <w:divBdr>
        <w:top w:val="none" w:sz="0" w:space="0" w:color="auto"/>
        <w:left w:val="none" w:sz="0" w:space="0" w:color="auto"/>
        <w:bottom w:val="none" w:sz="0" w:space="0" w:color="auto"/>
        <w:right w:val="none" w:sz="0" w:space="0" w:color="auto"/>
      </w:divBdr>
    </w:div>
    <w:div w:id="1606234357">
      <w:bodyDiv w:val="1"/>
      <w:marLeft w:val="0"/>
      <w:marRight w:val="0"/>
      <w:marTop w:val="0"/>
      <w:marBottom w:val="0"/>
      <w:divBdr>
        <w:top w:val="none" w:sz="0" w:space="0" w:color="auto"/>
        <w:left w:val="none" w:sz="0" w:space="0" w:color="auto"/>
        <w:bottom w:val="none" w:sz="0" w:space="0" w:color="auto"/>
        <w:right w:val="none" w:sz="0" w:space="0" w:color="auto"/>
      </w:divBdr>
    </w:div>
    <w:div w:id="1606304702">
      <w:bodyDiv w:val="1"/>
      <w:marLeft w:val="0"/>
      <w:marRight w:val="0"/>
      <w:marTop w:val="0"/>
      <w:marBottom w:val="0"/>
      <w:divBdr>
        <w:top w:val="none" w:sz="0" w:space="0" w:color="auto"/>
        <w:left w:val="none" w:sz="0" w:space="0" w:color="auto"/>
        <w:bottom w:val="none" w:sz="0" w:space="0" w:color="auto"/>
        <w:right w:val="none" w:sz="0" w:space="0" w:color="auto"/>
      </w:divBdr>
    </w:div>
    <w:div w:id="1606380782">
      <w:bodyDiv w:val="1"/>
      <w:marLeft w:val="0"/>
      <w:marRight w:val="0"/>
      <w:marTop w:val="0"/>
      <w:marBottom w:val="0"/>
      <w:divBdr>
        <w:top w:val="none" w:sz="0" w:space="0" w:color="auto"/>
        <w:left w:val="none" w:sz="0" w:space="0" w:color="auto"/>
        <w:bottom w:val="none" w:sz="0" w:space="0" w:color="auto"/>
        <w:right w:val="none" w:sz="0" w:space="0" w:color="auto"/>
      </w:divBdr>
    </w:div>
    <w:div w:id="1606381401">
      <w:bodyDiv w:val="1"/>
      <w:marLeft w:val="0"/>
      <w:marRight w:val="0"/>
      <w:marTop w:val="0"/>
      <w:marBottom w:val="0"/>
      <w:divBdr>
        <w:top w:val="none" w:sz="0" w:space="0" w:color="auto"/>
        <w:left w:val="none" w:sz="0" w:space="0" w:color="auto"/>
        <w:bottom w:val="none" w:sz="0" w:space="0" w:color="auto"/>
        <w:right w:val="none" w:sz="0" w:space="0" w:color="auto"/>
      </w:divBdr>
    </w:div>
    <w:div w:id="1606423192">
      <w:bodyDiv w:val="1"/>
      <w:marLeft w:val="0"/>
      <w:marRight w:val="0"/>
      <w:marTop w:val="0"/>
      <w:marBottom w:val="0"/>
      <w:divBdr>
        <w:top w:val="none" w:sz="0" w:space="0" w:color="auto"/>
        <w:left w:val="none" w:sz="0" w:space="0" w:color="auto"/>
        <w:bottom w:val="none" w:sz="0" w:space="0" w:color="auto"/>
        <w:right w:val="none" w:sz="0" w:space="0" w:color="auto"/>
      </w:divBdr>
    </w:div>
    <w:div w:id="1606577376">
      <w:bodyDiv w:val="1"/>
      <w:marLeft w:val="0"/>
      <w:marRight w:val="0"/>
      <w:marTop w:val="0"/>
      <w:marBottom w:val="0"/>
      <w:divBdr>
        <w:top w:val="none" w:sz="0" w:space="0" w:color="auto"/>
        <w:left w:val="none" w:sz="0" w:space="0" w:color="auto"/>
        <w:bottom w:val="none" w:sz="0" w:space="0" w:color="auto"/>
        <w:right w:val="none" w:sz="0" w:space="0" w:color="auto"/>
      </w:divBdr>
    </w:div>
    <w:div w:id="1606764027">
      <w:bodyDiv w:val="1"/>
      <w:marLeft w:val="0"/>
      <w:marRight w:val="0"/>
      <w:marTop w:val="0"/>
      <w:marBottom w:val="0"/>
      <w:divBdr>
        <w:top w:val="none" w:sz="0" w:space="0" w:color="auto"/>
        <w:left w:val="none" w:sz="0" w:space="0" w:color="auto"/>
        <w:bottom w:val="none" w:sz="0" w:space="0" w:color="auto"/>
        <w:right w:val="none" w:sz="0" w:space="0" w:color="auto"/>
      </w:divBdr>
    </w:div>
    <w:div w:id="1606771518">
      <w:bodyDiv w:val="1"/>
      <w:marLeft w:val="0"/>
      <w:marRight w:val="0"/>
      <w:marTop w:val="0"/>
      <w:marBottom w:val="0"/>
      <w:divBdr>
        <w:top w:val="none" w:sz="0" w:space="0" w:color="auto"/>
        <w:left w:val="none" w:sz="0" w:space="0" w:color="auto"/>
        <w:bottom w:val="none" w:sz="0" w:space="0" w:color="auto"/>
        <w:right w:val="none" w:sz="0" w:space="0" w:color="auto"/>
      </w:divBdr>
    </w:div>
    <w:div w:id="1606813630">
      <w:bodyDiv w:val="1"/>
      <w:marLeft w:val="0"/>
      <w:marRight w:val="0"/>
      <w:marTop w:val="0"/>
      <w:marBottom w:val="0"/>
      <w:divBdr>
        <w:top w:val="none" w:sz="0" w:space="0" w:color="auto"/>
        <w:left w:val="none" w:sz="0" w:space="0" w:color="auto"/>
        <w:bottom w:val="none" w:sz="0" w:space="0" w:color="auto"/>
        <w:right w:val="none" w:sz="0" w:space="0" w:color="auto"/>
      </w:divBdr>
    </w:div>
    <w:div w:id="1606960812">
      <w:bodyDiv w:val="1"/>
      <w:marLeft w:val="0"/>
      <w:marRight w:val="0"/>
      <w:marTop w:val="0"/>
      <w:marBottom w:val="0"/>
      <w:divBdr>
        <w:top w:val="none" w:sz="0" w:space="0" w:color="auto"/>
        <w:left w:val="none" w:sz="0" w:space="0" w:color="auto"/>
        <w:bottom w:val="none" w:sz="0" w:space="0" w:color="auto"/>
        <w:right w:val="none" w:sz="0" w:space="0" w:color="auto"/>
      </w:divBdr>
    </w:div>
    <w:div w:id="1606960836">
      <w:bodyDiv w:val="1"/>
      <w:marLeft w:val="0"/>
      <w:marRight w:val="0"/>
      <w:marTop w:val="0"/>
      <w:marBottom w:val="0"/>
      <w:divBdr>
        <w:top w:val="none" w:sz="0" w:space="0" w:color="auto"/>
        <w:left w:val="none" w:sz="0" w:space="0" w:color="auto"/>
        <w:bottom w:val="none" w:sz="0" w:space="0" w:color="auto"/>
        <w:right w:val="none" w:sz="0" w:space="0" w:color="auto"/>
      </w:divBdr>
    </w:div>
    <w:div w:id="1607081532">
      <w:bodyDiv w:val="1"/>
      <w:marLeft w:val="0"/>
      <w:marRight w:val="0"/>
      <w:marTop w:val="0"/>
      <w:marBottom w:val="0"/>
      <w:divBdr>
        <w:top w:val="none" w:sz="0" w:space="0" w:color="auto"/>
        <w:left w:val="none" w:sz="0" w:space="0" w:color="auto"/>
        <w:bottom w:val="none" w:sz="0" w:space="0" w:color="auto"/>
        <w:right w:val="none" w:sz="0" w:space="0" w:color="auto"/>
      </w:divBdr>
    </w:div>
    <w:div w:id="1607226658">
      <w:bodyDiv w:val="1"/>
      <w:marLeft w:val="0"/>
      <w:marRight w:val="0"/>
      <w:marTop w:val="0"/>
      <w:marBottom w:val="0"/>
      <w:divBdr>
        <w:top w:val="none" w:sz="0" w:space="0" w:color="auto"/>
        <w:left w:val="none" w:sz="0" w:space="0" w:color="auto"/>
        <w:bottom w:val="none" w:sz="0" w:space="0" w:color="auto"/>
        <w:right w:val="none" w:sz="0" w:space="0" w:color="auto"/>
      </w:divBdr>
    </w:div>
    <w:div w:id="1607231593">
      <w:bodyDiv w:val="1"/>
      <w:marLeft w:val="0"/>
      <w:marRight w:val="0"/>
      <w:marTop w:val="0"/>
      <w:marBottom w:val="0"/>
      <w:divBdr>
        <w:top w:val="none" w:sz="0" w:space="0" w:color="auto"/>
        <w:left w:val="none" w:sz="0" w:space="0" w:color="auto"/>
        <w:bottom w:val="none" w:sz="0" w:space="0" w:color="auto"/>
        <w:right w:val="none" w:sz="0" w:space="0" w:color="auto"/>
      </w:divBdr>
    </w:div>
    <w:div w:id="1607276650">
      <w:bodyDiv w:val="1"/>
      <w:marLeft w:val="0"/>
      <w:marRight w:val="0"/>
      <w:marTop w:val="0"/>
      <w:marBottom w:val="0"/>
      <w:divBdr>
        <w:top w:val="none" w:sz="0" w:space="0" w:color="auto"/>
        <w:left w:val="none" w:sz="0" w:space="0" w:color="auto"/>
        <w:bottom w:val="none" w:sz="0" w:space="0" w:color="auto"/>
        <w:right w:val="none" w:sz="0" w:space="0" w:color="auto"/>
      </w:divBdr>
    </w:div>
    <w:div w:id="1607343936">
      <w:bodyDiv w:val="1"/>
      <w:marLeft w:val="0"/>
      <w:marRight w:val="0"/>
      <w:marTop w:val="0"/>
      <w:marBottom w:val="0"/>
      <w:divBdr>
        <w:top w:val="none" w:sz="0" w:space="0" w:color="auto"/>
        <w:left w:val="none" w:sz="0" w:space="0" w:color="auto"/>
        <w:bottom w:val="none" w:sz="0" w:space="0" w:color="auto"/>
        <w:right w:val="none" w:sz="0" w:space="0" w:color="auto"/>
      </w:divBdr>
    </w:div>
    <w:div w:id="1607539995">
      <w:bodyDiv w:val="1"/>
      <w:marLeft w:val="0"/>
      <w:marRight w:val="0"/>
      <w:marTop w:val="0"/>
      <w:marBottom w:val="0"/>
      <w:divBdr>
        <w:top w:val="none" w:sz="0" w:space="0" w:color="auto"/>
        <w:left w:val="none" w:sz="0" w:space="0" w:color="auto"/>
        <w:bottom w:val="none" w:sz="0" w:space="0" w:color="auto"/>
        <w:right w:val="none" w:sz="0" w:space="0" w:color="auto"/>
      </w:divBdr>
    </w:div>
    <w:div w:id="1607543053">
      <w:bodyDiv w:val="1"/>
      <w:marLeft w:val="0"/>
      <w:marRight w:val="0"/>
      <w:marTop w:val="0"/>
      <w:marBottom w:val="0"/>
      <w:divBdr>
        <w:top w:val="none" w:sz="0" w:space="0" w:color="auto"/>
        <w:left w:val="none" w:sz="0" w:space="0" w:color="auto"/>
        <w:bottom w:val="none" w:sz="0" w:space="0" w:color="auto"/>
        <w:right w:val="none" w:sz="0" w:space="0" w:color="auto"/>
      </w:divBdr>
    </w:div>
    <w:div w:id="1607691869">
      <w:bodyDiv w:val="1"/>
      <w:marLeft w:val="0"/>
      <w:marRight w:val="0"/>
      <w:marTop w:val="0"/>
      <w:marBottom w:val="0"/>
      <w:divBdr>
        <w:top w:val="none" w:sz="0" w:space="0" w:color="auto"/>
        <w:left w:val="none" w:sz="0" w:space="0" w:color="auto"/>
        <w:bottom w:val="none" w:sz="0" w:space="0" w:color="auto"/>
        <w:right w:val="none" w:sz="0" w:space="0" w:color="auto"/>
      </w:divBdr>
    </w:div>
    <w:div w:id="1607694728">
      <w:bodyDiv w:val="1"/>
      <w:marLeft w:val="0"/>
      <w:marRight w:val="0"/>
      <w:marTop w:val="0"/>
      <w:marBottom w:val="0"/>
      <w:divBdr>
        <w:top w:val="none" w:sz="0" w:space="0" w:color="auto"/>
        <w:left w:val="none" w:sz="0" w:space="0" w:color="auto"/>
        <w:bottom w:val="none" w:sz="0" w:space="0" w:color="auto"/>
        <w:right w:val="none" w:sz="0" w:space="0" w:color="auto"/>
      </w:divBdr>
    </w:div>
    <w:div w:id="1607731827">
      <w:bodyDiv w:val="1"/>
      <w:marLeft w:val="0"/>
      <w:marRight w:val="0"/>
      <w:marTop w:val="0"/>
      <w:marBottom w:val="0"/>
      <w:divBdr>
        <w:top w:val="none" w:sz="0" w:space="0" w:color="auto"/>
        <w:left w:val="none" w:sz="0" w:space="0" w:color="auto"/>
        <w:bottom w:val="none" w:sz="0" w:space="0" w:color="auto"/>
        <w:right w:val="none" w:sz="0" w:space="0" w:color="auto"/>
      </w:divBdr>
    </w:div>
    <w:div w:id="1607732013">
      <w:bodyDiv w:val="1"/>
      <w:marLeft w:val="0"/>
      <w:marRight w:val="0"/>
      <w:marTop w:val="0"/>
      <w:marBottom w:val="0"/>
      <w:divBdr>
        <w:top w:val="none" w:sz="0" w:space="0" w:color="auto"/>
        <w:left w:val="none" w:sz="0" w:space="0" w:color="auto"/>
        <w:bottom w:val="none" w:sz="0" w:space="0" w:color="auto"/>
        <w:right w:val="none" w:sz="0" w:space="0" w:color="auto"/>
      </w:divBdr>
    </w:div>
    <w:div w:id="1607883516">
      <w:bodyDiv w:val="1"/>
      <w:marLeft w:val="0"/>
      <w:marRight w:val="0"/>
      <w:marTop w:val="0"/>
      <w:marBottom w:val="0"/>
      <w:divBdr>
        <w:top w:val="none" w:sz="0" w:space="0" w:color="auto"/>
        <w:left w:val="none" w:sz="0" w:space="0" w:color="auto"/>
        <w:bottom w:val="none" w:sz="0" w:space="0" w:color="auto"/>
        <w:right w:val="none" w:sz="0" w:space="0" w:color="auto"/>
      </w:divBdr>
    </w:div>
    <w:div w:id="1607929413">
      <w:bodyDiv w:val="1"/>
      <w:marLeft w:val="0"/>
      <w:marRight w:val="0"/>
      <w:marTop w:val="0"/>
      <w:marBottom w:val="0"/>
      <w:divBdr>
        <w:top w:val="none" w:sz="0" w:space="0" w:color="auto"/>
        <w:left w:val="none" w:sz="0" w:space="0" w:color="auto"/>
        <w:bottom w:val="none" w:sz="0" w:space="0" w:color="auto"/>
        <w:right w:val="none" w:sz="0" w:space="0" w:color="auto"/>
      </w:divBdr>
    </w:div>
    <w:div w:id="1607931274">
      <w:bodyDiv w:val="1"/>
      <w:marLeft w:val="0"/>
      <w:marRight w:val="0"/>
      <w:marTop w:val="0"/>
      <w:marBottom w:val="0"/>
      <w:divBdr>
        <w:top w:val="none" w:sz="0" w:space="0" w:color="auto"/>
        <w:left w:val="none" w:sz="0" w:space="0" w:color="auto"/>
        <w:bottom w:val="none" w:sz="0" w:space="0" w:color="auto"/>
        <w:right w:val="none" w:sz="0" w:space="0" w:color="auto"/>
      </w:divBdr>
    </w:div>
    <w:div w:id="1607957920">
      <w:bodyDiv w:val="1"/>
      <w:marLeft w:val="0"/>
      <w:marRight w:val="0"/>
      <w:marTop w:val="0"/>
      <w:marBottom w:val="0"/>
      <w:divBdr>
        <w:top w:val="none" w:sz="0" w:space="0" w:color="auto"/>
        <w:left w:val="none" w:sz="0" w:space="0" w:color="auto"/>
        <w:bottom w:val="none" w:sz="0" w:space="0" w:color="auto"/>
        <w:right w:val="none" w:sz="0" w:space="0" w:color="auto"/>
      </w:divBdr>
    </w:div>
    <w:div w:id="1608154925">
      <w:bodyDiv w:val="1"/>
      <w:marLeft w:val="0"/>
      <w:marRight w:val="0"/>
      <w:marTop w:val="0"/>
      <w:marBottom w:val="0"/>
      <w:divBdr>
        <w:top w:val="none" w:sz="0" w:space="0" w:color="auto"/>
        <w:left w:val="none" w:sz="0" w:space="0" w:color="auto"/>
        <w:bottom w:val="none" w:sz="0" w:space="0" w:color="auto"/>
        <w:right w:val="none" w:sz="0" w:space="0" w:color="auto"/>
      </w:divBdr>
    </w:div>
    <w:div w:id="1608192531">
      <w:bodyDiv w:val="1"/>
      <w:marLeft w:val="0"/>
      <w:marRight w:val="0"/>
      <w:marTop w:val="0"/>
      <w:marBottom w:val="0"/>
      <w:divBdr>
        <w:top w:val="none" w:sz="0" w:space="0" w:color="auto"/>
        <w:left w:val="none" w:sz="0" w:space="0" w:color="auto"/>
        <w:bottom w:val="none" w:sz="0" w:space="0" w:color="auto"/>
        <w:right w:val="none" w:sz="0" w:space="0" w:color="auto"/>
      </w:divBdr>
    </w:div>
    <w:div w:id="1608195428">
      <w:bodyDiv w:val="1"/>
      <w:marLeft w:val="0"/>
      <w:marRight w:val="0"/>
      <w:marTop w:val="0"/>
      <w:marBottom w:val="0"/>
      <w:divBdr>
        <w:top w:val="none" w:sz="0" w:space="0" w:color="auto"/>
        <w:left w:val="none" w:sz="0" w:space="0" w:color="auto"/>
        <w:bottom w:val="none" w:sz="0" w:space="0" w:color="auto"/>
        <w:right w:val="none" w:sz="0" w:space="0" w:color="auto"/>
      </w:divBdr>
    </w:div>
    <w:div w:id="1608342526">
      <w:bodyDiv w:val="1"/>
      <w:marLeft w:val="0"/>
      <w:marRight w:val="0"/>
      <w:marTop w:val="0"/>
      <w:marBottom w:val="0"/>
      <w:divBdr>
        <w:top w:val="none" w:sz="0" w:space="0" w:color="auto"/>
        <w:left w:val="none" w:sz="0" w:space="0" w:color="auto"/>
        <w:bottom w:val="none" w:sz="0" w:space="0" w:color="auto"/>
        <w:right w:val="none" w:sz="0" w:space="0" w:color="auto"/>
      </w:divBdr>
    </w:div>
    <w:div w:id="1608463581">
      <w:bodyDiv w:val="1"/>
      <w:marLeft w:val="0"/>
      <w:marRight w:val="0"/>
      <w:marTop w:val="0"/>
      <w:marBottom w:val="0"/>
      <w:divBdr>
        <w:top w:val="none" w:sz="0" w:space="0" w:color="auto"/>
        <w:left w:val="none" w:sz="0" w:space="0" w:color="auto"/>
        <w:bottom w:val="none" w:sz="0" w:space="0" w:color="auto"/>
        <w:right w:val="none" w:sz="0" w:space="0" w:color="auto"/>
      </w:divBdr>
    </w:div>
    <w:div w:id="1608658472">
      <w:bodyDiv w:val="1"/>
      <w:marLeft w:val="0"/>
      <w:marRight w:val="0"/>
      <w:marTop w:val="0"/>
      <w:marBottom w:val="0"/>
      <w:divBdr>
        <w:top w:val="none" w:sz="0" w:space="0" w:color="auto"/>
        <w:left w:val="none" w:sz="0" w:space="0" w:color="auto"/>
        <w:bottom w:val="none" w:sz="0" w:space="0" w:color="auto"/>
        <w:right w:val="none" w:sz="0" w:space="0" w:color="auto"/>
      </w:divBdr>
    </w:div>
    <w:div w:id="1608660749">
      <w:bodyDiv w:val="1"/>
      <w:marLeft w:val="0"/>
      <w:marRight w:val="0"/>
      <w:marTop w:val="0"/>
      <w:marBottom w:val="0"/>
      <w:divBdr>
        <w:top w:val="none" w:sz="0" w:space="0" w:color="auto"/>
        <w:left w:val="none" w:sz="0" w:space="0" w:color="auto"/>
        <w:bottom w:val="none" w:sz="0" w:space="0" w:color="auto"/>
        <w:right w:val="none" w:sz="0" w:space="0" w:color="auto"/>
      </w:divBdr>
    </w:div>
    <w:div w:id="1608778198">
      <w:bodyDiv w:val="1"/>
      <w:marLeft w:val="0"/>
      <w:marRight w:val="0"/>
      <w:marTop w:val="0"/>
      <w:marBottom w:val="0"/>
      <w:divBdr>
        <w:top w:val="none" w:sz="0" w:space="0" w:color="auto"/>
        <w:left w:val="none" w:sz="0" w:space="0" w:color="auto"/>
        <w:bottom w:val="none" w:sz="0" w:space="0" w:color="auto"/>
        <w:right w:val="none" w:sz="0" w:space="0" w:color="auto"/>
      </w:divBdr>
    </w:div>
    <w:div w:id="1608804612">
      <w:bodyDiv w:val="1"/>
      <w:marLeft w:val="0"/>
      <w:marRight w:val="0"/>
      <w:marTop w:val="0"/>
      <w:marBottom w:val="0"/>
      <w:divBdr>
        <w:top w:val="none" w:sz="0" w:space="0" w:color="auto"/>
        <w:left w:val="none" w:sz="0" w:space="0" w:color="auto"/>
        <w:bottom w:val="none" w:sz="0" w:space="0" w:color="auto"/>
        <w:right w:val="none" w:sz="0" w:space="0" w:color="auto"/>
      </w:divBdr>
    </w:div>
    <w:div w:id="1608847385">
      <w:bodyDiv w:val="1"/>
      <w:marLeft w:val="0"/>
      <w:marRight w:val="0"/>
      <w:marTop w:val="0"/>
      <w:marBottom w:val="0"/>
      <w:divBdr>
        <w:top w:val="none" w:sz="0" w:space="0" w:color="auto"/>
        <w:left w:val="none" w:sz="0" w:space="0" w:color="auto"/>
        <w:bottom w:val="none" w:sz="0" w:space="0" w:color="auto"/>
        <w:right w:val="none" w:sz="0" w:space="0" w:color="auto"/>
      </w:divBdr>
    </w:div>
    <w:div w:id="1609000878">
      <w:bodyDiv w:val="1"/>
      <w:marLeft w:val="0"/>
      <w:marRight w:val="0"/>
      <w:marTop w:val="0"/>
      <w:marBottom w:val="0"/>
      <w:divBdr>
        <w:top w:val="none" w:sz="0" w:space="0" w:color="auto"/>
        <w:left w:val="none" w:sz="0" w:space="0" w:color="auto"/>
        <w:bottom w:val="none" w:sz="0" w:space="0" w:color="auto"/>
        <w:right w:val="none" w:sz="0" w:space="0" w:color="auto"/>
      </w:divBdr>
    </w:div>
    <w:div w:id="1609047159">
      <w:bodyDiv w:val="1"/>
      <w:marLeft w:val="0"/>
      <w:marRight w:val="0"/>
      <w:marTop w:val="0"/>
      <w:marBottom w:val="0"/>
      <w:divBdr>
        <w:top w:val="none" w:sz="0" w:space="0" w:color="auto"/>
        <w:left w:val="none" w:sz="0" w:space="0" w:color="auto"/>
        <w:bottom w:val="none" w:sz="0" w:space="0" w:color="auto"/>
        <w:right w:val="none" w:sz="0" w:space="0" w:color="auto"/>
      </w:divBdr>
    </w:div>
    <w:div w:id="1609072436">
      <w:bodyDiv w:val="1"/>
      <w:marLeft w:val="0"/>
      <w:marRight w:val="0"/>
      <w:marTop w:val="0"/>
      <w:marBottom w:val="0"/>
      <w:divBdr>
        <w:top w:val="none" w:sz="0" w:space="0" w:color="auto"/>
        <w:left w:val="none" w:sz="0" w:space="0" w:color="auto"/>
        <w:bottom w:val="none" w:sz="0" w:space="0" w:color="auto"/>
        <w:right w:val="none" w:sz="0" w:space="0" w:color="auto"/>
      </w:divBdr>
    </w:div>
    <w:div w:id="1609117278">
      <w:bodyDiv w:val="1"/>
      <w:marLeft w:val="0"/>
      <w:marRight w:val="0"/>
      <w:marTop w:val="0"/>
      <w:marBottom w:val="0"/>
      <w:divBdr>
        <w:top w:val="none" w:sz="0" w:space="0" w:color="auto"/>
        <w:left w:val="none" w:sz="0" w:space="0" w:color="auto"/>
        <w:bottom w:val="none" w:sz="0" w:space="0" w:color="auto"/>
        <w:right w:val="none" w:sz="0" w:space="0" w:color="auto"/>
      </w:divBdr>
    </w:div>
    <w:div w:id="1609311915">
      <w:bodyDiv w:val="1"/>
      <w:marLeft w:val="0"/>
      <w:marRight w:val="0"/>
      <w:marTop w:val="0"/>
      <w:marBottom w:val="0"/>
      <w:divBdr>
        <w:top w:val="none" w:sz="0" w:space="0" w:color="auto"/>
        <w:left w:val="none" w:sz="0" w:space="0" w:color="auto"/>
        <w:bottom w:val="none" w:sz="0" w:space="0" w:color="auto"/>
        <w:right w:val="none" w:sz="0" w:space="0" w:color="auto"/>
      </w:divBdr>
    </w:div>
    <w:div w:id="1609384447">
      <w:bodyDiv w:val="1"/>
      <w:marLeft w:val="0"/>
      <w:marRight w:val="0"/>
      <w:marTop w:val="0"/>
      <w:marBottom w:val="0"/>
      <w:divBdr>
        <w:top w:val="none" w:sz="0" w:space="0" w:color="auto"/>
        <w:left w:val="none" w:sz="0" w:space="0" w:color="auto"/>
        <w:bottom w:val="none" w:sz="0" w:space="0" w:color="auto"/>
        <w:right w:val="none" w:sz="0" w:space="0" w:color="auto"/>
      </w:divBdr>
    </w:div>
    <w:div w:id="1609433795">
      <w:bodyDiv w:val="1"/>
      <w:marLeft w:val="0"/>
      <w:marRight w:val="0"/>
      <w:marTop w:val="0"/>
      <w:marBottom w:val="0"/>
      <w:divBdr>
        <w:top w:val="none" w:sz="0" w:space="0" w:color="auto"/>
        <w:left w:val="none" w:sz="0" w:space="0" w:color="auto"/>
        <w:bottom w:val="none" w:sz="0" w:space="0" w:color="auto"/>
        <w:right w:val="none" w:sz="0" w:space="0" w:color="auto"/>
      </w:divBdr>
    </w:div>
    <w:div w:id="1609434829">
      <w:bodyDiv w:val="1"/>
      <w:marLeft w:val="0"/>
      <w:marRight w:val="0"/>
      <w:marTop w:val="0"/>
      <w:marBottom w:val="0"/>
      <w:divBdr>
        <w:top w:val="none" w:sz="0" w:space="0" w:color="auto"/>
        <w:left w:val="none" w:sz="0" w:space="0" w:color="auto"/>
        <w:bottom w:val="none" w:sz="0" w:space="0" w:color="auto"/>
        <w:right w:val="none" w:sz="0" w:space="0" w:color="auto"/>
      </w:divBdr>
    </w:div>
    <w:div w:id="1609460514">
      <w:bodyDiv w:val="1"/>
      <w:marLeft w:val="0"/>
      <w:marRight w:val="0"/>
      <w:marTop w:val="0"/>
      <w:marBottom w:val="0"/>
      <w:divBdr>
        <w:top w:val="none" w:sz="0" w:space="0" w:color="auto"/>
        <w:left w:val="none" w:sz="0" w:space="0" w:color="auto"/>
        <w:bottom w:val="none" w:sz="0" w:space="0" w:color="auto"/>
        <w:right w:val="none" w:sz="0" w:space="0" w:color="auto"/>
      </w:divBdr>
    </w:div>
    <w:div w:id="1609770692">
      <w:bodyDiv w:val="1"/>
      <w:marLeft w:val="0"/>
      <w:marRight w:val="0"/>
      <w:marTop w:val="0"/>
      <w:marBottom w:val="0"/>
      <w:divBdr>
        <w:top w:val="none" w:sz="0" w:space="0" w:color="auto"/>
        <w:left w:val="none" w:sz="0" w:space="0" w:color="auto"/>
        <w:bottom w:val="none" w:sz="0" w:space="0" w:color="auto"/>
        <w:right w:val="none" w:sz="0" w:space="0" w:color="auto"/>
      </w:divBdr>
    </w:div>
    <w:div w:id="1609775022">
      <w:bodyDiv w:val="1"/>
      <w:marLeft w:val="0"/>
      <w:marRight w:val="0"/>
      <w:marTop w:val="0"/>
      <w:marBottom w:val="0"/>
      <w:divBdr>
        <w:top w:val="none" w:sz="0" w:space="0" w:color="auto"/>
        <w:left w:val="none" w:sz="0" w:space="0" w:color="auto"/>
        <w:bottom w:val="none" w:sz="0" w:space="0" w:color="auto"/>
        <w:right w:val="none" w:sz="0" w:space="0" w:color="auto"/>
      </w:divBdr>
    </w:div>
    <w:div w:id="1609776367">
      <w:bodyDiv w:val="1"/>
      <w:marLeft w:val="0"/>
      <w:marRight w:val="0"/>
      <w:marTop w:val="0"/>
      <w:marBottom w:val="0"/>
      <w:divBdr>
        <w:top w:val="none" w:sz="0" w:space="0" w:color="auto"/>
        <w:left w:val="none" w:sz="0" w:space="0" w:color="auto"/>
        <w:bottom w:val="none" w:sz="0" w:space="0" w:color="auto"/>
        <w:right w:val="none" w:sz="0" w:space="0" w:color="auto"/>
      </w:divBdr>
    </w:div>
    <w:div w:id="1610234062">
      <w:bodyDiv w:val="1"/>
      <w:marLeft w:val="0"/>
      <w:marRight w:val="0"/>
      <w:marTop w:val="0"/>
      <w:marBottom w:val="0"/>
      <w:divBdr>
        <w:top w:val="none" w:sz="0" w:space="0" w:color="auto"/>
        <w:left w:val="none" w:sz="0" w:space="0" w:color="auto"/>
        <w:bottom w:val="none" w:sz="0" w:space="0" w:color="auto"/>
        <w:right w:val="none" w:sz="0" w:space="0" w:color="auto"/>
      </w:divBdr>
    </w:div>
    <w:div w:id="1610237253">
      <w:bodyDiv w:val="1"/>
      <w:marLeft w:val="0"/>
      <w:marRight w:val="0"/>
      <w:marTop w:val="0"/>
      <w:marBottom w:val="0"/>
      <w:divBdr>
        <w:top w:val="none" w:sz="0" w:space="0" w:color="auto"/>
        <w:left w:val="none" w:sz="0" w:space="0" w:color="auto"/>
        <w:bottom w:val="none" w:sz="0" w:space="0" w:color="auto"/>
        <w:right w:val="none" w:sz="0" w:space="0" w:color="auto"/>
      </w:divBdr>
    </w:div>
    <w:div w:id="1610317217">
      <w:bodyDiv w:val="1"/>
      <w:marLeft w:val="0"/>
      <w:marRight w:val="0"/>
      <w:marTop w:val="0"/>
      <w:marBottom w:val="0"/>
      <w:divBdr>
        <w:top w:val="none" w:sz="0" w:space="0" w:color="auto"/>
        <w:left w:val="none" w:sz="0" w:space="0" w:color="auto"/>
        <w:bottom w:val="none" w:sz="0" w:space="0" w:color="auto"/>
        <w:right w:val="none" w:sz="0" w:space="0" w:color="auto"/>
      </w:divBdr>
    </w:div>
    <w:div w:id="1610425598">
      <w:bodyDiv w:val="1"/>
      <w:marLeft w:val="0"/>
      <w:marRight w:val="0"/>
      <w:marTop w:val="0"/>
      <w:marBottom w:val="0"/>
      <w:divBdr>
        <w:top w:val="none" w:sz="0" w:space="0" w:color="auto"/>
        <w:left w:val="none" w:sz="0" w:space="0" w:color="auto"/>
        <w:bottom w:val="none" w:sz="0" w:space="0" w:color="auto"/>
        <w:right w:val="none" w:sz="0" w:space="0" w:color="auto"/>
      </w:divBdr>
    </w:div>
    <w:div w:id="1610620327">
      <w:bodyDiv w:val="1"/>
      <w:marLeft w:val="0"/>
      <w:marRight w:val="0"/>
      <w:marTop w:val="0"/>
      <w:marBottom w:val="0"/>
      <w:divBdr>
        <w:top w:val="none" w:sz="0" w:space="0" w:color="auto"/>
        <w:left w:val="none" w:sz="0" w:space="0" w:color="auto"/>
        <w:bottom w:val="none" w:sz="0" w:space="0" w:color="auto"/>
        <w:right w:val="none" w:sz="0" w:space="0" w:color="auto"/>
      </w:divBdr>
    </w:div>
    <w:div w:id="1610698210">
      <w:bodyDiv w:val="1"/>
      <w:marLeft w:val="0"/>
      <w:marRight w:val="0"/>
      <w:marTop w:val="0"/>
      <w:marBottom w:val="0"/>
      <w:divBdr>
        <w:top w:val="none" w:sz="0" w:space="0" w:color="auto"/>
        <w:left w:val="none" w:sz="0" w:space="0" w:color="auto"/>
        <w:bottom w:val="none" w:sz="0" w:space="0" w:color="auto"/>
        <w:right w:val="none" w:sz="0" w:space="0" w:color="auto"/>
      </w:divBdr>
    </w:div>
    <w:div w:id="1610814166">
      <w:bodyDiv w:val="1"/>
      <w:marLeft w:val="0"/>
      <w:marRight w:val="0"/>
      <w:marTop w:val="0"/>
      <w:marBottom w:val="0"/>
      <w:divBdr>
        <w:top w:val="none" w:sz="0" w:space="0" w:color="auto"/>
        <w:left w:val="none" w:sz="0" w:space="0" w:color="auto"/>
        <w:bottom w:val="none" w:sz="0" w:space="0" w:color="auto"/>
        <w:right w:val="none" w:sz="0" w:space="0" w:color="auto"/>
      </w:divBdr>
    </w:div>
    <w:div w:id="1610897307">
      <w:bodyDiv w:val="1"/>
      <w:marLeft w:val="0"/>
      <w:marRight w:val="0"/>
      <w:marTop w:val="0"/>
      <w:marBottom w:val="0"/>
      <w:divBdr>
        <w:top w:val="none" w:sz="0" w:space="0" w:color="auto"/>
        <w:left w:val="none" w:sz="0" w:space="0" w:color="auto"/>
        <w:bottom w:val="none" w:sz="0" w:space="0" w:color="auto"/>
        <w:right w:val="none" w:sz="0" w:space="0" w:color="auto"/>
      </w:divBdr>
    </w:div>
    <w:div w:id="1610968705">
      <w:bodyDiv w:val="1"/>
      <w:marLeft w:val="0"/>
      <w:marRight w:val="0"/>
      <w:marTop w:val="0"/>
      <w:marBottom w:val="0"/>
      <w:divBdr>
        <w:top w:val="none" w:sz="0" w:space="0" w:color="auto"/>
        <w:left w:val="none" w:sz="0" w:space="0" w:color="auto"/>
        <w:bottom w:val="none" w:sz="0" w:space="0" w:color="auto"/>
        <w:right w:val="none" w:sz="0" w:space="0" w:color="auto"/>
      </w:divBdr>
    </w:div>
    <w:div w:id="1611011855">
      <w:bodyDiv w:val="1"/>
      <w:marLeft w:val="0"/>
      <w:marRight w:val="0"/>
      <w:marTop w:val="0"/>
      <w:marBottom w:val="0"/>
      <w:divBdr>
        <w:top w:val="none" w:sz="0" w:space="0" w:color="auto"/>
        <w:left w:val="none" w:sz="0" w:space="0" w:color="auto"/>
        <w:bottom w:val="none" w:sz="0" w:space="0" w:color="auto"/>
        <w:right w:val="none" w:sz="0" w:space="0" w:color="auto"/>
      </w:divBdr>
    </w:div>
    <w:div w:id="1611157015">
      <w:bodyDiv w:val="1"/>
      <w:marLeft w:val="0"/>
      <w:marRight w:val="0"/>
      <w:marTop w:val="0"/>
      <w:marBottom w:val="0"/>
      <w:divBdr>
        <w:top w:val="none" w:sz="0" w:space="0" w:color="auto"/>
        <w:left w:val="none" w:sz="0" w:space="0" w:color="auto"/>
        <w:bottom w:val="none" w:sz="0" w:space="0" w:color="auto"/>
        <w:right w:val="none" w:sz="0" w:space="0" w:color="auto"/>
      </w:divBdr>
    </w:div>
    <w:div w:id="1611157231">
      <w:bodyDiv w:val="1"/>
      <w:marLeft w:val="0"/>
      <w:marRight w:val="0"/>
      <w:marTop w:val="0"/>
      <w:marBottom w:val="0"/>
      <w:divBdr>
        <w:top w:val="none" w:sz="0" w:space="0" w:color="auto"/>
        <w:left w:val="none" w:sz="0" w:space="0" w:color="auto"/>
        <w:bottom w:val="none" w:sz="0" w:space="0" w:color="auto"/>
        <w:right w:val="none" w:sz="0" w:space="0" w:color="auto"/>
      </w:divBdr>
    </w:div>
    <w:div w:id="1611208222">
      <w:bodyDiv w:val="1"/>
      <w:marLeft w:val="0"/>
      <w:marRight w:val="0"/>
      <w:marTop w:val="0"/>
      <w:marBottom w:val="0"/>
      <w:divBdr>
        <w:top w:val="none" w:sz="0" w:space="0" w:color="auto"/>
        <w:left w:val="none" w:sz="0" w:space="0" w:color="auto"/>
        <w:bottom w:val="none" w:sz="0" w:space="0" w:color="auto"/>
        <w:right w:val="none" w:sz="0" w:space="0" w:color="auto"/>
      </w:divBdr>
    </w:div>
    <w:div w:id="1611277827">
      <w:bodyDiv w:val="1"/>
      <w:marLeft w:val="0"/>
      <w:marRight w:val="0"/>
      <w:marTop w:val="0"/>
      <w:marBottom w:val="0"/>
      <w:divBdr>
        <w:top w:val="none" w:sz="0" w:space="0" w:color="auto"/>
        <w:left w:val="none" w:sz="0" w:space="0" w:color="auto"/>
        <w:bottom w:val="none" w:sz="0" w:space="0" w:color="auto"/>
        <w:right w:val="none" w:sz="0" w:space="0" w:color="auto"/>
      </w:divBdr>
    </w:div>
    <w:div w:id="1611356906">
      <w:bodyDiv w:val="1"/>
      <w:marLeft w:val="0"/>
      <w:marRight w:val="0"/>
      <w:marTop w:val="0"/>
      <w:marBottom w:val="0"/>
      <w:divBdr>
        <w:top w:val="none" w:sz="0" w:space="0" w:color="auto"/>
        <w:left w:val="none" w:sz="0" w:space="0" w:color="auto"/>
        <w:bottom w:val="none" w:sz="0" w:space="0" w:color="auto"/>
        <w:right w:val="none" w:sz="0" w:space="0" w:color="auto"/>
      </w:divBdr>
    </w:div>
    <w:div w:id="1611357533">
      <w:bodyDiv w:val="1"/>
      <w:marLeft w:val="0"/>
      <w:marRight w:val="0"/>
      <w:marTop w:val="0"/>
      <w:marBottom w:val="0"/>
      <w:divBdr>
        <w:top w:val="none" w:sz="0" w:space="0" w:color="auto"/>
        <w:left w:val="none" w:sz="0" w:space="0" w:color="auto"/>
        <w:bottom w:val="none" w:sz="0" w:space="0" w:color="auto"/>
        <w:right w:val="none" w:sz="0" w:space="0" w:color="auto"/>
      </w:divBdr>
    </w:div>
    <w:div w:id="1611429916">
      <w:bodyDiv w:val="1"/>
      <w:marLeft w:val="0"/>
      <w:marRight w:val="0"/>
      <w:marTop w:val="0"/>
      <w:marBottom w:val="0"/>
      <w:divBdr>
        <w:top w:val="none" w:sz="0" w:space="0" w:color="auto"/>
        <w:left w:val="none" w:sz="0" w:space="0" w:color="auto"/>
        <w:bottom w:val="none" w:sz="0" w:space="0" w:color="auto"/>
        <w:right w:val="none" w:sz="0" w:space="0" w:color="auto"/>
      </w:divBdr>
    </w:div>
    <w:div w:id="1611431252">
      <w:bodyDiv w:val="1"/>
      <w:marLeft w:val="0"/>
      <w:marRight w:val="0"/>
      <w:marTop w:val="0"/>
      <w:marBottom w:val="0"/>
      <w:divBdr>
        <w:top w:val="none" w:sz="0" w:space="0" w:color="auto"/>
        <w:left w:val="none" w:sz="0" w:space="0" w:color="auto"/>
        <w:bottom w:val="none" w:sz="0" w:space="0" w:color="auto"/>
        <w:right w:val="none" w:sz="0" w:space="0" w:color="auto"/>
      </w:divBdr>
    </w:div>
    <w:div w:id="1611661667">
      <w:bodyDiv w:val="1"/>
      <w:marLeft w:val="0"/>
      <w:marRight w:val="0"/>
      <w:marTop w:val="0"/>
      <w:marBottom w:val="0"/>
      <w:divBdr>
        <w:top w:val="none" w:sz="0" w:space="0" w:color="auto"/>
        <w:left w:val="none" w:sz="0" w:space="0" w:color="auto"/>
        <w:bottom w:val="none" w:sz="0" w:space="0" w:color="auto"/>
        <w:right w:val="none" w:sz="0" w:space="0" w:color="auto"/>
      </w:divBdr>
    </w:div>
    <w:div w:id="1611665811">
      <w:bodyDiv w:val="1"/>
      <w:marLeft w:val="0"/>
      <w:marRight w:val="0"/>
      <w:marTop w:val="0"/>
      <w:marBottom w:val="0"/>
      <w:divBdr>
        <w:top w:val="none" w:sz="0" w:space="0" w:color="auto"/>
        <w:left w:val="none" w:sz="0" w:space="0" w:color="auto"/>
        <w:bottom w:val="none" w:sz="0" w:space="0" w:color="auto"/>
        <w:right w:val="none" w:sz="0" w:space="0" w:color="auto"/>
      </w:divBdr>
    </w:div>
    <w:div w:id="1611669479">
      <w:bodyDiv w:val="1"/>
      <w:marLeft w:val="0"/>
      <w:marRight w:val="0"/>
      <w:marTop w:val="0"/>
      <w:marBottom w:val="0"/>
      <w:divBdr>
        <w:top w:val="none" w:sz="0" w:space="0" w:color="auto"/>
        <w:left w:val="none" w:sz="0" w:space="0" w:color="auto"/>
        <w:bottom w:val="none" w:sz="0" w:space="0" w:color="auto"/>
        <w:right w:val="none" w:sz="0" w:space="0" w:color="auto"/>
      </w:divBdr>
    </w:div>
    <w:div w:id="1612084324">
      <w:bodyDiv w:val="1"/>
      <w:marLeft w:val="0"/>
      <w:marRight w:val="0"/>
      <w:marTop w:val="0"/>
      <w:marBottom w:val="0"/>
      <w:divBdr>
        <w:top w:val="none" w:sz="0" w:space="0" w:color="auto"/>
        <w:left w:val="none" w:sz="0" w:space="0" w:color="auto"/>
        <w:bottom w:val="none" w:sz="0" w:space="0" w:color="auto"/>
        <w:right w:val="none" w:sz="0" w:space="0" w:color="auto"/>
      </w:divBdr>
    </w:div>
    <w:div w:id="1612086210">
      <w:bodyDiv w:val="1"/>
      <w:marLeft w:val="0"/>
      <w:marRight w:val="0"/>
      <w:marTop w:val="0"/>
      <w:marBottom w:val="0"/>
      <w:divBdr>
        <w:top w:val="none" w:sz="0" w:space="0" w:color="auto"/>
        <w:left w:val="none" w:sz="0" w:space="0" w:color="auto"/>
        <w:bottom w:val="none" w:sz="0" w:space="0" w:color="auto"/>
        <w:right w:val="none" w:sz="0" w:space="0" w:color="auto"/>
      </w:divBdr>
    </w:div>
    <w:div w:id="1612322050">
      <w:bodyDiv w:val="1"/>
      <w:marLeft w:val="0"/>
      <w:marRight w:val="0"/>
      <w:marTop w:val="0"/>
      <w:marBottom w:val="0"/>
      <w:divBdr>
        <w:top w:val="none" w:sz="0" w:space="0" w:color="auto"/>
        <w:left w:val="none" w:sz="0" w:space="0" w:color="auto"/>
        <w:bottom w:val="none" w:sz="0" w:space="0" w:color="auto"/>
        <w:right w:val="none" w:sz="0" w:space="0" w:color="auto"/>
      </w:divBdr>
    </w:div>
    <w:div w:id="1612542731">
      <w:bodyDiv w:val="1"/>
      <w:marLeft w:val="0"/>
      <w:marRight w:val="0"/>
      <w:marTop w:val="0"/>
      <w:marBottom w:val="0"/>
      <w:divBdr>
        <w:top w:val="none" w:sz="0" w:space="0" w:color="auto"/>
        <w:left w:val="none" w:sz="0" w:space="0" w:color="auto"/>
        <w:bottom w:val="none" w:sz="0" w:space="0" w:color="auto"/>
        <w:right w:val="none" w:sz="0" w:space="0" w:color="auto"/>
      </w:divBdr>
    </w:div>
    <w:div w:id="1612590925">
      <w:bodyDiv w:val="1"/>
      <w:marLeft w:val="0"/>
      <w:marRight w:val="0"/>
      <w:marTop w:val="0"/>
      <w:marBottom w:val="0"/>
      <w:divBdr>
        <w:top w:val="none" w:sz="0" w:space="0" w:color="auto"/>
        <w:left w:val="none" w:sz="0" w:space="0" w:color="auto"/>
        <w:bottom w:val="none" w:sz="0" w:space="0" w:color="auto"/>
        <w:right w:val="none" w:sz="0" w:space="0" w:color="auto"/>
      </w:divBdr>
    </w:div>
    <w:div w:id="1612592539">
      <w:bodyDiv w:val="1"/>
      <w:marLeft w:val="0"/>
      <w:marRight w:val="0"/>
      <w:marTop w:val="0"/>
      <w:marBottom w:val="0"/>
      <w:divBdr>
        <w:top w:val="none" w:sz="0" w:space="0" w:color="auto"/>
        <w:left w:val="none" w:sz="0" w:space="0" w:color="auto"/>
        <w:bottom w:val="none" w:sz="0" w:space="0" w:color="auto"/>
        <w:right w:val="none" w:sz="0" w:space="0" w:color="auto"/>
      </w:divBdr>
    </w:div>
    <w:div w:id="1612855959">
      <w:bodyDiv w:val="1"/>
      <w:marLeft w:val="0"/>
      <w:marRight w:val="0"/>
      <w:marTop w:val="0"/>
      <w:marBottom w:val="0"/>
      <w:divBdr>
        <w:top w:val="none" w:sz="0" w:space="0" w:color="auto"/>
        <w:left w:val="none" w:sz="0" w:space="0" w:color="auto"/>
        <w:bottom w:val="none" w:sz="0" w:space="0" w:color="auto"/>
        <w:right w:val="none" w:sz="0" w:space="0" w:color="auto"/>
      </w:divBdr>
    </w:div>
    <w:div w:id="1613051252">
      <w:bodyDiv w:val="1"/>
      <w:marLeft w:val="0"/>
      <w:marRight w:val="0"/>
      <w:marTop w:val="0"/>
      <w:marBottom w:val="0"/>
      <w:divBdr>
        <w:top w:val="none" w:sz="0" w:space="0" w:color="auto"/>
        <w:left w:val="none" w:sz="0" w:space="0" w:color="auto"/>
        <w:bottom w:val="none" w:sz="0" w:space="0" w:color="auto"/>
        <w:right w:val="none" w:sz="0" w:space="0" w:color="auto"/>
      </w:divBdr>
    </w:div>
    <w:div w:id="1613055111">
      <w:bodyDiv w:val="1"/>
      <w:marLeft w:val="0"/>
      <w:marRight w:val="0"/>
      <w:marTop w:val="0"/>
      <w:marBottom w:val="0"/>
      <w:divBdr>
        <w:top w:val="none" w:sz="0" w:space="0" w:color="auto"/>
        <w:left w:val="none" w:sz="0" w:space="0" w:color="auto"/>
        <w:bottom w:val="none" w:sz="0" w:space="0" w:color="auto"/>
        <w:right w:val="none" w:sz="0" w:space="0" w:color="auto"/>
      </w:divBdr>
    </w:div>
    <w:div w:id="1613171085">
      <w:bodyDiv w:val="1"/>
      <w:marLeft w:val="0"/>
      <w:marRight w:val="0"/>
      <w:marTop w:val="0"/>
      <w:marBottom w:val="0"/>
      <w:divBdr>
        <w:top w:val="none" w:sz="0" w:space="0" w:color="auto"/>
        <w:left w:val="none" w:sz="0" w:space="0" w:color="auto"/>
        <w:bottom w:val="none" w:sz="0" w:space="0" w:color="auto"/>
        <w:right w:val="none" w:sz="0" w:space="0" w:color="auto"/>
      </w:divBdr>
    </w:div>
    <w:div w:id="1613174146">
      <w:bodyDiv w:val="1"/>
      <w:marLeft w:val="0"/>
      <w:marRight w:val="0"/>
      <w:marTop w:val="0"/>
      <w:marBottom w:val="0"/>
      <w:divBdr>
        <w:top w:val="none" w:sz="0" w:space="0" w:color="auto"/>
        <w:left w:val="none" w:sz="0" w:space="0" w:color="auto"/>
        <w:bottom w:val="none" w:sz="0" w:space="0" w:color="auto"/>
        <w:right w:val="none" w:sz="0" w:space="0" w:color="auto"/>
      </w:divBdr>
    </w:div>
    <w:div w:id="1613248029">
      <w:bodyDiv w:val="1"/>
      <w:marLeft w:val="0"/>
      <w:marRight w:val="0"/>
      <w:marTop w:val="0"/>
      <w:marBottom w:val="0"/>
      <w:divBdr>
        <w:top w:val="none" w:sz="0" w:space="0" w:color="auto"/>
        <w:left w:val="none" w:sz="0" w:space="0" w:color="auto"/>
        <w:bottom w:val="none" w:sz="0" w:space="0" w:color="auto"/>
        <w:right w:val="none" w:sz="0" w:space="0" w:color="auto"/>
      </w:divBdr>
    </w:div>
    <w:div w:id="1613393560">
      <w:bodyDiv w:val="1"/>
      <w:marLeft w:val="0"/>
      <w:marRight w:val="0"/>
      <w:marTop w:val="0"/>
      <w:marBottom w:val="0"/>
      <w:divBdr>
        <w:top w:val="none" w:sz="0" w:space="0" w:color="auto"/>
        <w:left w:val="none" w:sz="0" w:space="0" w:color="auto"/>
        <w:bottom w:val="none" w:sz="0" w:space="0" w:color="auto"/>
        <w:right w:val="none" w:sz="0" w:space="0" w:color="auto"/>
      </w:divBdr>
    </w:div>
    <w:div w:id="1613393611">
      <w:bodyDiv w:val="1"/>
      <w:marLeft w:val="0"/>
      <w:marRight w:val="0"/>
      <w:marTop w:val="0"/>
      <w:marBottom w:val="0"/>
      <w:divBdr>
        <w:top w:val="none" w:sz="0" w:space="0" w:color="auto"/>
        <w:left w:val="none" w:sz="0" w:space="0" w:color="auto"/>
        <w:bottom w:val="none" w:sz="0" w:space="0" w:color="auto"/>
        <w:right w:val="none" w:sz="0" w:space="0" w:color="auto"/>
      </w:divBdr>
    </w:div>
    <w:div w:id="1613434496">
      <w:bodyDiv w:val="1"/>
      <w:marLeft w:val="0"/>
      <w:marRight w:val="0"/>
      <w:marTop w:val="0"/>
      <w:marBottom w:val="0"/>
      <w:divBdr>
        <w:top w:val="none" w:sz="0" w:space="0" w:color="auto"/>
        <w:left w:val="none" w:sz="0" w:space="0" w:color="auto"/>
        <w:bottom w:val="none" w:sz="0" w:space="0" w:color="auto"/>
        <w:right w:val="none" w:sz="0" w:space="0" w:color="auto"/>
      </w:divBdr>
    </w:div>
    <w:div w:id="1613592762">
      <w:bodyDiv w:val="1"/>
      <w:marLeft w:val="0"/>
      <w:marRight w:val="0"/>
      <w:marTop w:val="0"/>
      <w:marBottom w:val="0"/>
      <w:divBdr>
        <w:top w:val="none" w:sz="0" w:space="0" w:color="auto"/>
        <w:left w:val="none" w:sz="0" w:space="0" w:color="auto"/>
        <w:bottom w:val="none" w:sz="0" w:space="0" w:color="auto"/>
        <w:right w:val="none" w:sz="0" w:space="0" w:color="auto"/>
      </w:divBdr>
    </w:div>
    <w:div w:id="1613632534">
      <w:bodyDiv w:val="1"/>
      <w:marLeft w:val="0"/>
      <w:marRight w:val="0"/>
      <w:marTop w:val="0"/>
      <w:marBottom w:val="0"/>
      <w:divBdr>
        <w:top w:val="none" w:sz="0" w:space="0" w:color="auto"/>
        <w:left w:val="none" w:sz="0" w:space="0" w:color="auto"/>
        <w:bottom w:val="none" w:sz="0" w:space="0" w:color="auto"/>
        <w:right w:val="none" w:sz="0" w:space="0" w:color="auto"/>
      </w:divBdr>
    </w:div>
    <w:div w:id="1613824418">
      <w:bodyDiv w:val="1"/>
      <w:marLeft w:val="0"/>
      <w:marRight w:val="0"/>
      <w:marTop w:val="0"/>
      <w:marBottom w:val="0"/>
      <w:divBdr>
        <w:top w:val="none" w:sz="0" w:space="0" w:color="auto"/>
        <w:left w:val="none" w:sz="0" w:space="0" w:color="auto"/>
        <w:bottom w:val="none" w:sz="0" w:space="0" w:color="auto"/>
        <w:right w:val="none" w:sz="0" w:space="0" w:color="auto"/>
      </w:divBdr>
    </w:div>
    <w:div w:id="1613825600">
      <w:bodyDiv w:val="1"/>
      <w:marLeft w:val="0"/>
      <w:marRight w:val="0"/>
      <w:marTop w:val="0"/>
      <w:marBottom w:val="0"/>
      <w:divBdr>
        <w:top w:val="none" w:sz="0" w:space="0" w:color="auto"/>
        <w:left w:val="none" w:sz="0" w:space="0" w:color="auto"/>
        <w:bottom w:val="none" w:sz="0" w:space="0" w:color="auto"/>
        <w:right w:val="none" w:sz="0" w:space="0" w:color="auto"/>
      </w:divBdr>
    </w:div>
    <w:div w:id="1613826605">
      <w:bodyDiv w:val="1"/>
      <w:marLeft w:val="0"/>
      <w:marRight w:val="0"/>
      <w:marTop w:val="0"/>
      <w:marBottom w:val="0"/>
      <w:divBdr>
        <w:top w:val="none" w:sz="0" w:space="0" w:color="auto"/>
        <w:left w:val="none" w:sz="0" w:space="0" w:color="auto"/>
        <w:bottom w:val="none" w:sz="0" w:space="0" w:color="auto"/>
        <w:right w:val="none" w:sz="0" w:space="0" w:color="auto"/>
      </w:divBdr>
    </w:div>
    <w:div w:id="1613973209">
      <w:bodyDiv w:val="1"/>
      <w:marLeft w:val="0"/>
      <w:marRight w:val="0"/>
      <w:marTop w:val="0"/>
      <w:marBottom w:val="0"/>
      <w:divBdr>
        <w:top w:val="none" w:sz="0" w:space="0" w:color="auto"/>
        <w:left w:val="none" w:sz="0" w:space="0" w:color="auto"/>
        <w:bottom w:val="none" w:sz="0" w:space="0" w:color="auto"/>
        <w:right w:val="none" w:sz="0" w:space="0" w:color="auto"/>
      </w:divBdr>
    </w:div>
    <w:div w:id="1614048792">
      <w:bodyDiv w:val="1"/>
      <w:marLeft w:val="0"/>
      <w:marRight w:val="0"/>
      <w:marTop w:val="0"/>
      <w:marBottom w:val="0"/>
      <w:divBdr>
        <w:top w:val="none" w:sz="0" w:space="0" w:color="auto"/>
        <w:left w:val="none" w:sz="0" w:space="0" w:color="auto"/>
        <w:bottom w:val="none" w:sz="0" w:space="0" w:color="auto"/>
        <w:right w:val="none" w:sz="0" w:space="0" w:color="auto"/>
      </w:divBdr>
    </w:div>
    <w:div w:id="1614094826">
      <w:bodyDiv w:val="1"/>
      <w:marLeft w:val="0"/>
      <w:marRight w:val="0"/>
      <w:marTop w:val="0"/>
      <w:marBottom w:val="0"/>
      <w:divBdr>
        <w:top w:val="none" w:sz="0" w:space="0" w:color="auto"/>
        <w:left w:val="none" w:sz="0" w:space="0" w:color="auto"/>
        <w:bottom w:val="none" w:sz="0" w:space="0" w:color="auto"/>
        <w:right w:val="none" w:sz="0" w:space="0" w:color="auto"/>
      </w:divBdr>
    </w:div>
    <w:div w:id="1614171314">
      <w:bodyDiv w:val="1"/>
      <w:marLeft w:val="0"/>
      <w:marRight w:val="0"/>
      <w:marTop w:val="0"/>
      <w:marBottom w:val="0"/>
      <w:divBdr>
        <w:top w:val="none" w:sz="0" w:space="0" w:color="auto"/>
        <w:left w:val="none" w:sz="0" w:space="0" w:color="auto"/>
        <w:bottom w:val="none" w:sz="0" w:space="0" w:color="auto"/>
        <w:right w:val="none" w:sz="0" w:space="0" w:color="auto"/>
      </w:divBdr>
    </w:div>
    <w:div w:id="1614171783">
      <w:bodyDiv w:val="1"/>
      <w:marLeft w:val="0"/>
      <w:marRight w:val="0"/>
      <w:marTop w:val="0"/>
      <w:marBottom w:val="0"/>
      <w:divBdr>
        <w:top w:val="none" w:sz="0" w:space="0" w:color="auto"/>
        <w:left w:val="none" w:sz="0" w:space="0" w:color="auto"/>
        <w:bottom w:val="none" w:sz="0" w:space="0" w:color="auto"/>
        <w:right w:val="none" w:sz="0" w:space="0" w:color="auto"/>
      </w:divBdr>
    </w:div>
    <w:div w:id="1614285101">
      <w:bodyDiv w:val="1"/>
      <w:marLeft w:val="0"/>
      <w:marRight w:val="0"/>
      <w:marTop w:val="0"/>
      <w:marBottom w:val="0"/>
      <w:divBdr>
        <w:top w:val="none" w:sz="0" w:space="0" w:color="auto"/>
        <w:left w:val="none" w:sz="0" w:space="0" w:color="auto"/>
        <w:bottom w:val="none" w:sz="0" w:space="0" w:color="auto"/>
        <w:right w:val="none" w:sz="0" w:space="0" w:color="auto"/>
      </w:divBdr>
    </w:div>
    <w:div w:id="1614627362">
      <w:bodyDiv w:val="1"/>
      <w:marLeft w:val="0"/>
      <w:marRight w:val="0"/>
      <w:marTop w:val="0"/>
      <w:marBottom w:val="0"/>
      <w:divBdr>
        <w:top w:val="none" w:sz="0" w:space="0" w:color="auto"/>
        <w:left w:val="none" w:sz="0" w:space="0" w:color="auto"/>
        <w:bottom w:val="none" w:sz="0" w:space="0" w:color="auto"/>
        <w:right w:val="none" w:sz="0" w:space="0" w:color="auto"/>
      </w:divBdr>
    </w:div>
    <w:div w:id="1614629255">
      <w:bodyDiv w:val="1"/>
      <w:marLeft w:val="0"/>
      <w:marRight w:val="0"/>
      <w:marTop w:val="0"/>
      <w:marBottom w:val="0"/>
      <w:divBdr>
        <w:top w:val="none" w:sz="0" w:space="0" w:color="auto"/>
        <w:left w:val="none" w:sz="0" w:space="0" w:color="auto"/>
        <w:bottom w:val="none" w:sz="0" w:space="0" w:color="auto"/>
        <w:right w:val="none" w:sz="0" w:space="0" w:color="auto"/>
      </w:divBdr>
    </w:div>
    <w:div w:id="1614631550">
      <w:bodyDiv w:val="1"/>
      <w:marLeft w:val="0"/>
      <w:marRight w:val="0"/>
      <w:marTop w:val="0"/>
      <w:marBottom w:val="0"/>
      <w:divBdr>
        <w:top w:val="none" w:sz="0" w:space="0" w:color="auto"/>
        <w:left w:val="none" w:sz="0" w:space="0" w:color="auto"/>
        <w:bottom w:val="none" w:sz="0" w:space="0" w:color="auto"/>
        <w:right w:val="none" w:sz="0" w:space="0" w:color="auto"/>
      </w:divBdr>
    </w:div>
    <w:div w:id="1614821624">
      <w:bodyDiv w:val="1"/>
      <w:marLeft w:val="0"/>
      <w:marRight w:val="0"/>
      <w:marTop w:val="0"/>
      <w:marBottom w:val="0"/>
      <w:divBdr>
        <w:top w:val="none" w:sz="0" w:space="0" w:color="auto"/>
        <w:left w:val="none" w:sz="0" w:space="0" w:color="auto"/>
        <w:bottom w:val="none" w:sz="0" w:space="0" w:color="auto"/>
        <w:right w:val="none" w:sz="0" w:space="0" w:color="auto"/>
      </w:divBdr>
    </w:div>
    <w:div w:id="1614903100">
      <w:bodyDiv w:val="1"/>
      <w:marLeft w:val="0"/>
      <w:marRight w:val="0"/>
      <w:marTop w:val="0"/>
      <w:marBottom w:val="0"/>
      <w:divBdr>
        <w:top w:val="none" w:sz="0" w:space="0" w:color="auto"/>
        <w:left w:val="none" w:sz="0" w:space="0" w:color="auto"/>
        <w:bottom w:val="none" w:sz="0" w:space="0" w:color="auto"/>
        <w:right w:val="none" w:sz="0" w:space="0" w:color="auto"/>
      </w:divBdr>
    </w:div>
    <w:div w:id="1615090336">
      <w:bodyDiv w:val="1"/>
      <w:marLeft w:val="0"/>
      <w:marRight w:val="0"/>
      <w:marTop w:val="0"/>
      <w:marBottom w:val="0"/>
      <w:divBdr>
        <w:top w:val="none" w:sz="0" w:space="0" w:color="auto"/>
        <w:left w:val="none" w:sz="0" w:space="0" w:color="auto"/>
        <w:bottom w:val="none" w:sz="0" w:space="0" w:color="auto"/>
        <w:right w:val="none" w:sz="0" w:space="0" w:color="auto"/>
      </w:divBdr>
    </w:div>
    <w:div w:id="1615138788">
      <w:bodyDiv w:val="1"/>
      <w:marLeft w:val="0"/>
      <w:marRight w:val="0"/>
      <w:marTop w:val="0"/>
      <w:marBottom w:val="0"/>
      <w:divBdr>
        <w:top w:val="none" w:sz="0" w:space="0" w:color="auto"/>
        <w:left w:val="none" w:sz="0" w:space="0" w:color="auto"/>
        <w:bottom w:val="none" w:sz="0" w:space="0" w:color="auto"/>
        <w:right w:val="none" w:sz="0" w:space="0" w:color="auto"/>
      </w:divBdr>
    </w:div>
    <w:div w:id="1615139279">
      <w:bodyDiv w:val="1"/>
      <w:marLeft w:val="0"/>
      <w:marRight w:val="0"/>
      <w:marTop w:val="0"/>
      <w:marBottom w:val="0"/>
      <w:divBdr>
        <w:top w:val="none" w:sz="0" w:space="0" w:color="auto"/>
        <w:left w:val="none" w:sz="0" w:space="0" w:color="auto"/>
        <w:bottom w:val="none" w:sz="0" w:space="0" w:color="auto"/>
        <w:right w:val="none" w:sz="0" w:space="0" w:color="auto"/>
      </w:divBdr>
    </w:div>
    <w:div w:id="1615164576">
      <w:bodyDiv w:val="1"/>
      <w:marLeft w:val="0"/>
      <w:marRight w:val="0"/>
      <w:marTop w:val="0"/>
      <w:marBottom w:val="0"/>
      <w:divBdr>
        <w:top w:val="none" w:sz="0" w:space="0" w:color="auto"/>
        <w:left w:val="none" w:sz="0" w:space="0" w:color="auto"/>
        <w:bottom w:val="none" w:sz="0" w:space="0" w:color="auto"/>
        <w:right w:val="none" w:sz="0" w:space="0" w:color="auto"/>
      </w:divBdr>
    </w:div>
    <w:div w:id="1615361114">
      <w:bodyDiv w:val="1"/>
      <w:marLeft w:val="0"/>
      <w:marRight w:val="0"/>
      <w:marTop w:val="0"/>
      <w:marBottom w:val="0"/>
      <w:divBdr>
        <w:top w:val="none" w:sz="0" w:space="0" w:color="auto"/>
        <w:left w:val="none" w:sz="0" w:space="0" w:color="auto"/>
        <w:bottom w:val="none" w:sz="0" w:space="0" w:color="auto"/>
        <w:right w:val="none" w:sz="0" w:space="0" w:color="auto"/>
      </w:divBdr>
    </w:div>
    <w:div w:id="1615362632">
      <w:bodyDiv w:val="1"/>
      <w:marLeft w:val="0"/>
      <w:marRight w:val="0"/>
      <w:marTop w:val="0"/>
      <w:marBottom w:val="0"/>
      <w:divBdr>
        <w:top w:val="none" w:sz="0" w:space="0" w:color="auto"/>
        <w:left w:val="none" w:sz="0" w:space="0" w:color="auto"/>
        <w:bottom w:val="none" w:sz="0" w:space="0" w:color="auto"/>
        <w:right w:val="none" w:sz="0" w:space="0" w:color="auto"/>
      </w:divBdr>
    </w:div>
    <w:div w:id="1615558974">
      <w:bodyDiv w:val="1"/>
      <w:marLeft w:val="0"/>
      <w:marRight w:val="0"/>
      <w:marTop w:val="0"/>
      <w:marBottom w:val="0"/>
      <w:divBdr>
        <w:top w:val="none" w:sz="0" w:space="0" w:color="auto"/>
        <w:left w:val="none" w:sz="0" w:space="0" w:color="auto"/>
        <w:bottom w:val="none" w:sz="0" w:space="0" w:color="auto"/>
        <w:right w:val="none" w:sz="0" w:space="0" w:color="auto"/>
      </w:divBdr>
    </w:div>
    <w:div w:id="1615601881">
      <w:bodyDiv w:val="1"/>
      <w:marLeft w:val="0"/>
      <w:marRight w:val="0"/>
      <w:marTop w:val="0"/>
      <w:marBottom w:val="0"/>
      <w:divBdr>
        <w:top w:val="none" w:sz="0" w:space="0" w:color="auto"/>
        <w:left w:val="none" w:sz="0" w:space="0" w:color="auto"/>
        <w:bottom w:val="none" w:sz="0" w:space="0" w:color="auto"/>
        <w:right w:val="none" w:sz="0" w:space="0" w:color="auto"/>
      </w:divBdr>
    </w:div>
    <w:div w:id="1615672723">
      <w:bodyDiv w:val="1"/>
      <w:marLeft w:val="0"/>
      <w:marRight w:val="0"/>
      <w:marTop w:val="0"/>
      <w:marBottom w:val="0"/>
      <w:divBdr>
        <w:top w:val="none" w:sz="0" w:space="0" w:color="auto"/>
        <w:left w:val="none" w:sz="0" w:space="0" w:color="auto"/>
        <w:bottom w:val="none" w:sz="0" w:space="0" w:color="auto"/>
        <w:right w:val="none" w:sz="0" w:space="0" w:color="auto"/>
      </w:divBdr>
    </w:div>
    <w:div w:id="1615675701">
      <w:bodyDiv w:val="1"/>
      <w:marLeft w:val="0"/>
      <w:marRight w:val="0"/>
      <w:marTop w:val="0"/>
      <w:marBottom w:val="0"/>
      <w:divBdr>
        <w:top w:val="none" w:sz="0" w:space="0" w:color="auto"/>
        <w:left w:val="none" w:sz="0" w:space="0" w:color="auto"/>
        <w:bottom w:val="none" w:sz="0" w:space="0" w:color="auto"/>
        <w:right w:val="none" w:sz="0" w:space="0" w:color="auto"/>
      </w:divBdr>
    </w:div>
    <w:div w:id="1615750335">
      <w:bodyDiv w:val="1"/>
      <w:marLeft w:val="0"/>
      <w:marRight w:val="0"/>
      <w:marTop w:val="0"/>
      <w:marBottom w:val="0"/>
      <w:divBdr>
        <w:top w:val="none" w:sz="0" w:space="0" w:color="auto"/>
        <w:left w:val="none" w:sz="0" w:space="0" w:color="auto"/>
        <w:bottom w:val="none" w:sz="0" w:space="0" w:color="auto"/>
        <w:right w:val="none" w:sz="0" w:space="0" w:color="auto"/>
      </w:divBdr>
    </w:div>
    <w:div w:id="1615818640">
      <w:bodyDiv w:val="1"/>
      <w:marLeft w:val="0"/>
      <w:marRight w:val="0"/>
      <w:marTop w:val="0"/>
      <w:marBottom w:val="0"/>
      <w:divBdr>
        <w:top w:val="none" w:sz="0" w:space="0" w:color="auto"/>
        <w:left w:val="none" w:sz="0" w:space="0" w:color="auto"/>
        <w:bottom w:val="none" w:sz="0" w:space="0" w:color="auto"/>
        <w:right w:val="none" w:sz="0" w:space="0" w:color="auto"/>
      </w:divBdr>
    </w:div>
    <w:div w:id="1615939994">
      <w:bodyDiv w:val="1"/>
      <w:marLeft w:val="0"/>
      <w:marRight w:val="0"/>
      <w:marTop w:val="0"/>
      <w:marBottom w:val="0"/>
      <w:divBdr>
        <w:top w:val="none" w:sz="0" w:space="0" w:color="auto"/>
        <w:left w:val="none" w:sz="0" w:space="0" w:color="auto"/>
        <w:bottom w:val="none" w:sz="0" w:space="0" w:color="auto"/>
        <w:right w:val="none" w:sz="0" w:space="0" w:color="auto"/>
      </w:divBdr>
    </w:div>
    <w:div w:id="1615944661">
      <w:bodyDiv w:val="1"/>
      <w:marLeft w:val="0"/>
      <w:marRight w:val="0"/>
      <w:marTop w:val="0"/>
      <w:marBottom w:val="0"/>
      <w:divBdr>
        <w:top w:val="none" w:sz="0" w:space="0" w:color="auto"/>
        <w:left w:val="none" w:sz="0" w:space="0" w:color="auto"/>
        <w:bottom w:val="none" w:sz="0" w:space="0" w:color="auto"/>
        <w:right w:val="none" w:sz="0" w:space="0" w:color="auto"/>
      </w:divBdr>
    </w:div>
    <w:div w:id="1615987808">
      <w:bodyDiv w:val="1"/>
      <w:marLeft w:val="0"/>
      <w:marRight w:val="0"/>
      <w:marTop w:val="0"/>
      <w:marBottom w:val="0"/>
      <w:divBdr>
        <w:top w:val="none" w:sz="0" w:space="0" w:color="auto"/>
        <w:left w:val="none" w:sz="0" w:space="0" w:color="auto"/>
        <w:bottom w:val="none" w:sz="0" w:space="0" w:color="auto"/>
        <w:right w:val="none" w:sz="0" w:space="0" w:color="auto"/>
      </w:divBdr>
    </w:div>
    <w:div w:id="1616061588">
      <w:bodyDiv w:val="1"/>
      <w:marLeft w:val="0"/>
      <w:marRight w:val="0"/>
      <w:marTop w:val="0"/>
      <w:marBottom w:val="0"/>
      <w:divBdr>
        <w:top w:val="none" w:sz="0" w:space="0" w:color="auto"/>
        <w:left w:val="none" w:sz="0" w:space="0" w:color="auto"/>
        <w:bottom w:val="none" w:sz="0" w:space="0" w:color="auto"/>
        <w:right w:val="none" w:sz="0" w:space="0" w:color="auto"/>
      </w:divBdr>
    </w:div>
    <w:div w:id="1616131796">
      <w:bodyDiv w:val="1"/>
      <w:marLeft w:val="0"/>
      <w:marRight w:val="0"/>
      <w:marTop w:val="0"/>
      <w:marBottom w:val="0"/>
      <w:divBdr>
        <w:top w:val="none" w:sz="0" w:space="0" w:color="auto"/>
        <w:left w:val="none" w:sz="0" w:space="0" w:color="auto"/>
        <w:bottom w:val="none" w:sz="0" w:space="0" w:color="auto"/>
        <w:right w:val="none" w:sz="0" w:space="0" w:color="auto"/>
      </w:divBdr>
    </w:div>
    <w:div w:id="1616133349">
      <w:bodyDiv w:val="1"/>
      <w:marLeft w:val="0"/>
      <w:marRight w:val="0"/>
      <w:marTop w:val="0"/>
      <w:marBottom w:val="0"/>
      <w:divBdr>
        <w:top w:val="none" w:sz="0" w:space="0" w:color="auto"/>
        <w:left w:val="none" w:sz="0" w:space="0" w:color="auto"/>
        <w:bottom w:val="none" w:sz="0" w:space="0" w:color="auto"/>
        <w:right w:val="none" w:sz="0" w:space="0" w:color="auto"/>
      </w:divBdr>
    </w:div>
    <w:div w:id="1616213333">
      <w:bodyDiv w:val="1"/>
      <w:marLeft w:val="0"/>
      <w:marRight w:val="0"/>
      <w:marTop w:val="0"/>
      <w:marBottom w:val="0"/>
      <w:divBdr>
        <w:top w:val="none" w:sz="0" w:space="0" w:color="auto"/>
        <w:left w:val="none" w:sz="0" w:space="0" w:color="auto"/>
        <w:bottom w:val="none" w:sz="0" w:space="0" w:color="auto"/>
        <w:right w:val="none" w:sz="0" w:space="0" w:color="auto"/>
      </w:divBdr>
    </w:div>
    <w:div w:id="1616254135">
      <w:bodyDiv w:val="1"/>
      <w:marLeft w:val="0"/>
      <w:marRight w:val="0"/>
      <w:marTop w:val="0"/>
      <w:marBottom w:val="0"/>
      <w:divBdr>
        <w:top w:val="none" w:sz="0" w:space="0" w:color="auto"/>
        <w:left w:val="none" w:sz="0" w:space="0" w:color="auto"/>
        <w:bottom w:val="none" w:sz="0" w:space="0" w:color="auto"/>
        <w:right w:val="none" w:sz="0" w:space="0" w:color="auto"/>
      </w:divBdr>
    </w:div>
    <w:div w:id="1616325938">
      <w:bodyDiv w:val="1"/>
      <w:marLeft w:val="0"/>
      <w:marRight w:val="0"/>
      <w:marTop w:val="0"/>
      <w:marBottom w:val="0"/>
      <w:divBdr>
        <w:top w:val="none" w:sz="0" w:space="0" w:color="auto"/>
        <w:left w:val="none" w:sz="0" w:space="0" w:color="auto"/>
        <w:bottom w:val="none" w:sz="0" w:space="0" w:color="auto"/>
        <w:right w:val="none" w:sz="0" w:space="0" w:color="auto"/>
      </w:divBdr>
    </w:div>
    <w:div w:id="1616328752">
      <w:bodyDiv w:val="1"/>
      <w:marLeft w:val="0"/>
      <w:marRight w:val="0"/>
      <w:marTop w:val="0"/>
      <w:marBottom w:val="0"/>
      <w:divBdr>
        <w:top w:val="none" w:sz="0" w:space="0" w:color="auto"/>
        <w:left w:val="none" w:sz="0" w:space="0" w:color="auto"/>
        <w:bottom w:val="none" w:sz="0" w:space="0" w:color="auto"/>
        <w:right w:val="none" w:sz="0" w:space="0" w:color="auto"/>
      </w:divBdr>
    </w:div>
    <w:div w:id="1616525245">
      <w:bodyDiv w:val="1"/>
      <w:marLeft w:val="0"/>
      <w:marRight w:val="0"/>
      <w:marTop w:val="0"/>
      <w:marBottom w:val="0"/>
      <w:divBdr>
        <w:top w:val="none" w:sz="0" w:space="0" w:color="auto"/>
        <w:left w:val="none" w:sz="0" w:space="0" w:color="auto"/>
        <w:bottom w:val="none" w:sz="0" w:space="0" w:color="auto"/>
        <w:right w:val="none" w:sz="0" w:space="0" w:color="auto"/>
      </w:divBdr>
    </w:div>
    <w:div w:id="1616596615">
      <w:bodyDiv w:val="1"/>
      <w:marLeft w:val="0"/>
      <w:marRight w:val="0"/>
      <w:marTop w:val="0"/>
      <w:marBottom w:val="0"/>
      <w:divBdr>
        <w:top w:val="none" w:sz="0" w:space="0" w:color="auto"/>
        <w:left w:val="none" w:sz="0" w:space="0" w:color="auto"/>
        <w:bottom w:val="none" w:sz="0" w:space="0" w:color="auto"/>
        <w:right w:val="none" w:sz="0" w:space="0" w:color="auto"/>
      </w:divBdr>
    </w:div>
    <w:div w:id="1616867986">
      <w:bodyDiv w:val="1"/>
      <w:marLeft w:val="0"/>
      <w:marRight w:val="0"/>
      <w:marTop w:val="0"/>
      <w:marBottom w:val="0"/>
      <w:divBdr>
        <w:top w:val="none" w:sz="0" w:space="0" w:color="auto"/>
        <w:left w:val="none" w:sz="0" w:space="0" w:color="auto"/>
        <w:bottom w:val="none" w:sz="0" w:space="0" w:color="auto"/>
        <w:right w:val="none" w:sz="0" w:space="0" w:color="auto"/>
      </w:divBdr>
    </w:div>
    <w:div w:id="1617054385">
      <w:bodyDiv w:val="1"/>
      <w:marLeft w:val="0"/>
      <w:marRight w:val="0"/>
      <w:marTop w:val="0"/>
      <w:marBottom w:val="0"/>
      <w:divBdr>
        <w:top w:val="none" w:sz="0" w:space="0" w:color="auto"/>
        <w:left w:val="none" w:sz="0" w:space="0" w:color="auto"/>
        <w:bottom w:val="none" w:sz="0" w:space="0" w:color="auto"/>
        <w:right w:val="none" w:sz="0" w:space="0" w:color="auto"/>
      </w:divBdr>
    </w:div>
    <w:div w:id="1617102578">
      <w:bodyDiv w:val="1"/>
      <w:marLeft w:val="0"/>
      <w:marRight w:val="0"/>
      <w:marTop w:val="0"/>
      <w:marBottom w:val="0"/>
      <w:divBdr>
        <w:top w:val="none" w:sz="0" w:space="0" w:color="auto"/>
        <w:left w:val="none" w:sz="0" w:space="0" w:color="auto"/>
        <w:bottom w:val="none" w:sz="0" w:space="0" w:color="auto"/>
        <w:right w:val="none" w:sz="0" w:space="0" w:color="auto"/>
      </w:divBdr>
    </w:div>
    <w:div w:id="1617254874">
      <w:bodyDiv w:val="1"/>
      <w:marLeft w:val="0"/>
      <w:marRight w:val="0"/>
      <w:marTop w:val="0"/>
      <w:marBottom w:val="0"/>
      <w:divBdr>
        <w:top w:val="none" w:sz="0" w:space="0" w:color="auto"/>
        <w:left w:val="none" w:sz="0" w:space="0" w:color="auto"/>
        <w:bottom w:val="none" w:sz="0" w:space="0" w:color="auto"/>
        <w:right w:val="none" w:sz="0" w:space="0" w:color="auto"/>
      </w:divBdr>
    </w:div>
    <w:div w:id="1617329308">
      <w:bodyDiv w:val="1"/>
      <w:marLeft w:val="0"/>
      <w:marRight w:val="0"/>
      <w:marTop w:val="0"/>
      <w:marBottom w:val="0"/>
      <w:divBdr>
        <w:top w:val="none" w:sz="0" w:space="0" w:color="auto"/>
        <w:left w:val="none" w:sz="0" w:space="0" w:color="auto"/>
        <w:bottom w:val="none" w:sz="0" w:space="0" w:color="auto"/>
        <w:right w:val="none" w:sz="0" w:space="0" w:color="auto"/>
      </w:divBdr>
    </w:div>
    <w:div w:id="1617365647">
      <w:bodyDiv w:val="1"/>
      <w:marLeft w:val="0"/>
      <w:marRight w:val="0"/>
      <w:marTop w:val="0"/>
      <w:marBottom w:val="0"/>
      <w:divBdr>
        <w:top w:val="none" w:sz="0" w:space="0" w:color="auto"/>
        <w:left w:val="none" w:sz="0" w:space="0" w:color="auto"/>
        <w:bottom w:val="none" w:sz="0" w:space="0" w:color="auto"/>
        <w:right w:val="none" w:sz="0" w:space="0" w:color="auto"/>
      </w:divBdr>
    </w:div>
    <w:div w:id="1617371918">
      <w:bodyDiv w:val="1"/>
      <w:marLeft w:val="0"/>
      <w:marRight w:val="0"/>
      <w:marTop w:val="0"/>
      <w:marBottom w:val="0"/>
      <w:divBdr>
        <w:top w:val="none" w:sz="0" w:space="0" w:color="auto"/>
        <w:left w:val="none" w:sz="0" w:space="0" w:color="auto"/>
        <w:bottom w:val="none" w:sz="0" w:space="0" w:color="auto"/>
        <w:right w:val="none" w:sz="0" w:space="0" w:color="auto"/>
      </w:divBdr>
    </w:div>
    <w:div w:id="1617566953">
      <w:bodyDiv w:val="1"/>
      <w:marLeft w:val="0"/>
      <w:marRight w:val="0"/>
      <w:marTop w:val="0"/>
      <w:marBottom w:val="0"/>
      <w:divBdr>
        <w:top w:val="none" w:sz="0" w:space="0" w:color="auto"/>
        <w:left w:val="none" w:sz="0" w:space="0" w:color="auto"/>
        <w:bottom w:val="none" w:sz="0" w:space="0" w:color="auto"/>
        <w:right w:val="none" w:sz="0" w:space="0" w:color="auto"/>
      </w:divBdr>
    </w:div>
    <w:div w:id="1617713459">
      <w:bodyDiv w:val="1"/>
      <w:marLeft w:val="0"/>
      <w:marRight w:val="0"/>
      <w:marTop w:val="0"/>
      <w:marBottom w:val="0"/>
      <w:divBdr>
        <w:top w:val="none" w:sz="0" w:space="0" w:color="auto"/>
        <w:left w:val="none" w:sz="0" w:space="0" w:color="auto"/>
        <w:bottom w:val="none" w:sz="0" w:space="0" w:color="auto"/>
        <w:right w:val="none" w:sz="0" w:space="0" w:color="auto"/>
      </w:divBdr>
    </w:div>
    <w:div w:id="1617903801">
      <w:bodyDiv w:val="1"/>
      <w:marLeft w:val="0"/>
      <w:marRight w:val="0"/>
      <w:marTop w:val="0"/>
      <w:marBottom w:val="0"/>
      <w:divBdr>
        <w:top w:val="none" w:sz="0" w:space="0" w:color="auto"/>
        <w:left w:val="none" w:sz="0" w:space="0" w:color="auto"/>
        <w:bottom w:val="none" w:sz="0" w:space="0" w:color="auto"/>
        <w:right w:val="none" w:sz="0" w:space="0" w:color="auto"/>
      </w:divBdr>
    </w:div>
    <w:div w:id="1617905483">
      <w:bodyDiv w:val="1"/>
      <w:marLeft w:val="0"/>
      <w:marRight w:val="0"/>
      <w:marTop w:val="0"/>
      <w:marBottom w:val="0"/>
      <w:divBdr>
        <w:top w:val="none" w:sz="0" w:space="0" w:color="auto"/>
        <w:left w:val="none" w:sz="0" w:space="0" w:color="auto"/>
        <w:bottom w:val="none" w:sz="0" w:space="0" w:color="auto"/>
        <w:right w:val="none" w:sz="0" w:space="0" w:color="auto"/>
      </w:divBdr>
    </w:div>
    <w:div w:id="1618178619">
      <w:bodyDiv w:val="1"/>
      <w:marLeft w:val="0"/>
      <w:marRight w:val="0"/>
      <w:marTop w:val="0"/>
      <w:marBottom w:val="0"/>
      <w:divBdr>
        <w:top w:val="none" w:sz="0" w:space="0" w:color="auto"/>
        <w:left w:val="none" w:sz="0" w:space="0" w:color="auto"/>
        <w:bottom w:val="none" w:sz="0" w:space="0" w:color="auto"/>
        <w:right w:val="none" w:sz="0" w:space="0" w:color="auto"/>
      </w:divBdr>
    </w:div>
    <w:div w:id="1618293208">
      <w:bodyDiv w:val="1"/>
      <w:marLeft w:val="0"/>
      <w:marRight w:val="0"/>
      <w:marTop w:val="0"/>
      <w:marBottom w:val="0"/>
      <w:divBdr>
        <w:top w:val="none" w:sz="0" w:space="0" w:color="auto"/>
        <w:left w:val="none" w:sz="0" w:space="0" w:color="auto"/>
        <w:bottom w:val="none" w:sz="0" w:space="0" w:color="auto"/>
        <w:right w:val="none" w:sz="0" w:space="0" w:color="auto"/>
      </w:divBdr>
    </w:div>
    <w:div w:id="1618486036">
      <w:bodyDiv w:val="1"/>
      <w:marLeft w:val="0"/>
      <w:marRight w:val="0"/>
      <w:marTop w:val="0"/>
      <w:marBottom w:val="0"/>
      <w:divBdr>
        <w:top w:val="none" w:sz="0" w:space="0" w:color="auto"/>
        <w:left w:val="none" w:sz="0" w:space="0" w:color="auto"/>
        <w:bottom w:val="none" w:sz="0" w:space="0" w:color="auto"/>
        <w:right w:val="none" w:sz="0" w:space="0" w:color="auto"/>
      </w:divBdr>
    </w:div>
    <w:div w:id="1618486427">
      <w:bodyDiv w:val="1"/>
      <w:marLeft w:val="0"/>
      <w:marRight w:val="0"/>
      <w:marTop w:val="0"/>
      <w:marBottom w:val="0"/>
      <w:divBdr>
        <w:top w:val="none" w:sz="0" w:space="0" w:color="auto"/>
        <w:left w:val="none" w:sz="0" w:space="0" w:color="auto"/>
        <w:bottom w:val="none" w:sz="0" w:space="0" w:color="auto"/>
        <w:right w:val="none" w:sz="0" w:space="0" w:color="auto"/>
      </w:divBdr>
    </w:div>
    <w:div w:id="1618609178">
      <w:bodyDiv w:val="1"/>
      <w:marLeft w:val="0"/>
      <w:marRight w:val="0"/>
      <w:marTop w:val="0"/>
      <w:marBottom w:val="0"/>
      <w:divBdr>
        <w:top w:val="none" w:sz="0" w:space="0" w:color="auto"/>
        <w:left w:val="none" w:sz="0" w:space="0" w:color="auto"/>
        <w:bottom w:val="none" w:sz="0" w:space="0" w:color="auto"/>
        <w:right w:val="none" w:sz="0" w:space="0" w:color="auto"/>
      </w:divBdr>
    </w:div>
    <w:div w:id="1618636620">
      <w:bodyDiv w:val="1"/>
      <w:marLeft w:val="0"/>
      <w:marRight w:val="0"/>
      <w:marTop w:val="0"/>
      <w:marBottom w:val="0"/>
      <w:divBdr>
        <w:top w:val="none" w:sz="0" w:space="0" w:color="auto"/>
        <w:left w:val="none" w:sz="0" w:space="0" w:color="auto"/>
        <w:bottom w:val="none" w:sz="0" w:space="0" w:color="auto"/>
        <w:right w:val="none" w:sz="0" w:space="0" w:color="auto"/>
      </w:divBdr>
    </w:div>
    <w:div w:id="1618639435">
      <w:bodyDiv w:val="1"/>
      <w:marLeft w:val="0"/>
      <w:marRight w:val="0"/>
      <w:marTop w:val="0"/>
      <w:marBottom w:val="0"/>
      <w:divBdr>
        <w:top w:val="none" w:sz="0" w:space="0" w:color="auto"/>
        <w:left w:val="none" w:sz="0" w:space="0" w:color="auto"/>
        <w:bottom w:val="none" w:sz="0" w:space="0" w:color="auto"/>
        <w:right w:val="none" w:sz="0" w:space="0" w:color="auto"/>
      </w:divBdr>
    </w:div>
    <w:div w:id="1618944756">
      <w:bodyDiv w:val="1"/>
      <w:marLeft w:val="0"/>
      <w:marRight w:val="0"/>
      <w:marTop w:val="0"/>
      <w:marBottom w:val="0"/>
      <w:divBdr>
        <w:top w:val="none" w:sz="0" w:space="0" w:color="auto"/>
        <w:left w:val="none" w:sz="0" w:space="0" w:color="auto"/>
        <w:bottom w:val="none" w:sz="0" w:space="0" w:color="auto"/>
        <w:right w:val="none" w:sz="0" w:space="0" w:color="auto"/>
      </w:divBdr>
    </w:div>
    <w:div w:id="1619263713">
      <w:bodyDiv w:val="1"/>
      <w:marLeft w:val="0"/>
      <w:marRight w:val="0"/>
      <w:marTop w:val="0"/>
      <w:marBottom w:val="0"/>
      <w:divBdr>
        <w:top w:val="none" w:sz="0" w:space="0" w:color="auto"/>
        <w:left w:val="none" w:sz="0" w:space="0" w:color="auto"/>
        <w:bottom w:val="none" w:sz="0" w:space="0" w:color="auto"/>
        <w:right w:val="none" w:sz="0" w:space="0" w:color="auto"/>
      </w:divBdr>
    </w:div>
    <w:div w:id="1619294273">
      <w:bodyDiv w:val="1"/>
      <w:marLeft w:val="0"/>
      <w:marRight w:val="0"/>
      <w:marTop w:val="0"/>
      <w:marBottom w:val="0"/>
      <w:divBdr>
        <w:top w:val="none" w:sz="0" w:space="0" w:color="auto"/>
        <w:left w:val="none" w:sz="0" w:space="0" w:color="auto"/>
        <w:bottom w:val="none" w:sz="0" w:space="0" w:color="auto"/>
        <w:right w:val="none" w:sz="0" w:space="0" w:color="auto"/>
      </w:divBdr>
    </w:div>
    <w:div w:id="1619411990">
      <w:bodyDiv w:val="1"/>
      <w:marLeft w:val="0"/>
      <w:marRight w:val="0"/>
      <w:marTop w:val="0"/>
      <w:marBottom w:val="0"/>
      <w:divBdr>
        <w:top w:val="none" w:sz="0" w:space="0" w:color="auto"/>
        <w:left w:val="none" w:sz="0" w:space="0" w:color="auto"/>
        <w:bottom w:val="none" w:sz="0" w:space="0" w:color="auto"/>
        <w:right w:val="none" w:sz="0" w:space="0" w:color="auto"/>
      </w:divBdr>
    </w:div>
    <w:div w:id="1619412868">
      <w:bodyDiv w:val="1"/>
      <w:marLeft w:val="0"/>
      <w:marRight w:val="0"/>
      <w:marTop w:val="0"/>
      <w:marBottom w:val="0"/>
      <w:divBdr>
        <w:top w:val="none" w:sz="0" w:space="0" w:color="auto"/>
        <w:left w:val="none" w:sz="0" w:space="0" w:color="auto"/>
        <w:bottom w:val="none" w:sz="0" w:space="0" w:color="auto"/>
        <w:right w:val="none" w:sz="0" w:space="0" w:color="auto"/>
      </w:divBdr>
    </w:div>
    <w:div w:id="1619532805">
      <w:bodyDiv w:val="1"/>
      <w:marLeft w:val="0"/>
      <w:marRight w:val="0"/>
      <w:marTop w:val="0"/>
      <w:marBottom w:val="0"/>
      <w:divBdr>
        <w:top w:val="none" w:sz="0" w:space="0" w:color="auto"/>
        <w:left w:val="none" w:sz="0" w:space="0" w:color="auto"/>
        <w:bottom w:val="none" w:sz="0" w:space="0" w:color="auto"/>
        <w:right w:val="none" w:sz="0" w:space="0" w:color="auto"/>
      </w:divBdr>
    </w:div>
    <w:div w:id="1619606907">
      <w:bodyDiv w:val="1"/>
      <w:marLeft w:val="0"/>
      <w:marRight w:val="0"/>
      <w:marTop w:val="0"/>
      <w:marBottom w:val="0"/>
      <w:divBdr>
        <w:top w:val="none" w:sz="0" w:space="0" w:color="auto"/>
        <w:left w:val="none" w:sz="0" w:space="0" w:color="auto"/>
        <w:bottom w:val="none" w:sz="0" w:space="0" w:color="auto"/>
        <w:right w:val="none" w:sz="0" w:space="0" w:color="auto"/>
      </w:divBdr>
    </w:div>
    <w:div w:id="1619751620">
      <w:bodyDiv w:val="1"/>
      <w:marLeft w:val="0"/>
      <w:marRight w:val="0"/>
      <w:marTop w:val="0"/>
      <w:marBottom w:val="0"/>
      <w:divBdr>
        <w:top w:val="none" w:sz="0" w:space="0" w:color="auto"/>
        <w:left w:val="none" w:sz="0" w:space="0" w:color="auto"/>
        <w:bottom w:val="none" w:sz="0" w:space="0" w:color="auto"/>
        <w:right w:val="none" w:sz="0" w:space="0" w:color="auto"/>
      </w:divBdr>
    </w:div>
    <w:div w:id="1619753417">
      <w:bodyDiv w:val="1"/>
      <w:marLeft w:val="0"/>
      <w:marRight w:val="0"/>
      <w:marTop w:val="0"/>
      <w:marBottom w:val="0"/>
      <w:divBdr>
        <w:top w:val="none" w:sz="0" w:space="0" w:color="auto"/>
        <w:left w:val="none" w:sz="0" w:space="0" w:color="auto"/>
        <w:bottom w:val="none" w:sz="0" w:space="0" w:color="auto"/>
        <w:right w:val="none" w:sz="0" w:space="0" w:color="auto"/>
      </w:divBdr>
    </w:div>
    <w:div w:id="1619795003">
      <w:bodyDiv w:val="1"/>
      <w:marLeft w:val="0"/>
      <w:marRight w:val="0"/>
      <w:marTop w:val="0"/>
      <w:marBottom w:val="0"/>
      <w:divBdr>
        <w:top w:val="none" w:sz="0" w:space="0" w:color="auto"/>
        <w:left w:val="none" w:sz="0" w:space="0" w:color="auto"/>
        <w:bottom w:val="none" w:sz="0" w:space="0" w:color="auto"/>
        <w:right w:val="none" w:sz="0" w:space="0" w:color="auto"/>
      </w:divBdr>
    </w:div>
    <w:div w:id="1619870322">
      <w:bodyDiv w:val="1"/>
      <w:marLeft w:val="0"/>
      <w:marRight w:val="0"/>
      <w:marTop w:val="0"/>
      <w:marBottom w:val="0"/>
      <w:divBdr>
        <w:top w:val="none" w:sz="0" w:space="0" w:color="auto"/>
        <w:left w:val="none" w:sz="0" w:space="0" w:color="auto"/>
        <w:bottom w:val="none" w:sz="0" w:space="0" w:color="auto"/>
        <w:right w:val="none" w:sz="0" w:space="0" w:color="auto"/>
      </w:divBdr>
    </w:div>
    <w:div w:id="1619877470">
      <w:bodyDiv w:val="1"/>
      <w:marLeft w:val="0"/>
      <w:marRight w:val="0"/>
      <w:marTop w:val="0"/>
      <w:marBottom w:val="0"/>
      <w:divBdr>
        <w:top w:val="none" w:sz="0" w:space="0" w:color="auto"/>
        <w:left w:val="none" w:sz="0" w:space="0" w:color="auto"/>
        <w:bottom w:val="none" w:sz="0" w:space="0" w:color="auto"/>
        <w:right w:val="none" w:sz="0" w:space="0" w:color="auto"/>
      </w:divBdr>
    </w:div>
    <w:div w:id="1619945940">
      <w:bodyDiv w:val="1"/>
      <w:marLeft w:val="0"/>
      <w:marRight w:val="0"/>
      <w:marTop w:val="0"/>
      <w:marBottom w:val="0"/>
      <w:divBdr>
        <w:top w:val="none" w:sz="0" w:space="0" w:color="auto"/>
        <w:left w:val="none" w:sz="0" w:space="0" w:color="auto"/>
        <w:bottom w:val="none" w:sz="0" w:space="0" w:color="auto"/>
        <w:right w:val="none" w:sz="0" w:space="0" w:color="auto"/>
      </w:divBdr>
    </w:div>
    <w:div w:id="1619950377">
      <w:bodyDiv w:val="1"/>
      <w:marLeft w:val="0"/>
      <w:marRight w:val="0"/>
      <w:marTop w:val="0"/>
      <w:marBottom w:val="0"/>
      <w:divBdr>
        <w:top w:val="none" w:sz="0" w:space="0" w:color="auto"/>
        <w:left w:val="none" w:sz="0" w:space="0" w:color="auto"/>
        <w:bottom w:val="none" w:sz="0" w:space="0" w:color="auto"/>
        <w:right w:val="none" w:sz="0" w:space="0" w:color="auto"/>
      </w:divBdr>
    </w:div>
    <w:div w:id="1620140956">
      <w:bodyDiv w:val="1"/>
      <w:marLeft w:val="0"/>
      <w:marRight w:val="0"/>
      <w:marTop w:val="0"/>
      <w:marBottom w:val="0"/>
      <w:divBdr>
        <w:top w:val="none" w:sz="0" w:space="0" w:color="auto"/>
        <w:left w:val="none" w:sz="0" w:space="0" w:color="auto"/>
        <w:bottom w:val="none" w:sz="0" w:space="0" w:color="auto"/>
        <w:right w:val="none" w:sz="0" w:space="0" w:color="auto"/>
      </w:divBdr>
    </w:div>
    <w:div w:id="1620212920">
      <w:bodyDiv w:val="1"/>
      <w:marLeft w:val="0"/>
      <w:marRight w:val="0"/>
      <w:marTop w:val="0"/>
      <w:marBottom w:val="0"/>
      <w:divBdr>
        <w:top w:val="none" w:sz="0" w:space="0" w:color="auto"/>
        <w:left w:val="none" w:sz="0" w:space="0" w:color="auto"/>
        <w:bottom w:val="none" w:sz="0" w:space="0" w:color="auto"/>
        <w:right w:val="none" w:sz="0" w:space="0" w:color="auto"/>
      </w:divBdr>
    </w:div>
    <w:div w:id="1620256264">
      <w:bodyDiv w:val="1"/>
      <w:marLeft w:val="0"/>
      <w:marRight w:val="0"/>
      <w:marTop w:val="0"/>
      <w:marBottom w:val="0"/>
      <w:divBdr>
        <w:top w:val="none" w:sz="0" w:space="0" w:color="auto"/>
        <w:left w:val="none" w:sz="0" w:space="0" w:color="auto"/>
        <w:bottom w:val="none" w:sz="0" w:space="0" w:color="auto"/>
        <w:right w:val="none" w:sz="0" w:space="0" w:color="auto"/>
      </w:divBdr>
    </w:div>
    <w:div w:id="1620447875">
      <w:bodyDiv w:val="1"/>
      <w:marLeft w:val="0"/>
      <w:marRight w:val="0"/>
      <w:marTop w:val="0"/>
      <w:marBottom w:val="0"/>
      <w:divBdr>
        <w:top w:val="none" w:sz="0" w:space="0" w:color="auto"/>
        <w:left w:val="none" w:sz="0" w:space="0" w:color="auto"/>
        <w:bottom w:val="none" w:sz="0" w:space="0" w:color="auto"/>
        <w:right w:val="none" w:sz="0" w:space="0" w:color="auto"/>
      </w:divBdr>
    </w:div>
    <w:div w:id="1620531246">
      <w:bodyDiv w:val="1"/>
      <w:marLeft w:val="0"/>
      <w:marRight w:val="0"/>
      <w:marTop w:val="0"/>
      <w:marBottom w:val="0"/>
      <w:divBdr>
        <w:top w:val="none" w:sz="0" w:space="0" w:color="auto"/>
        <w:left w:val="none" w:sz="0" w:space="0" w:color="auto"/>
        <w:bottom w:val="none" w:sz="0" w:space="0" w:color="auto"/>
        <w:right w:val="none" w:sz="0" w:space="0" w:color="auto"/>
      </w:divBdr>
    </w:div>
    <w:div w:id="1620604737">
      <w:bodyDiv w:val="1"/>
      <w:marLeft w:val="0"/>
      <w:marRight w:val="0"/>
      <w:marTop w:val="0"/>
      <w:marBottom w:val="0"/>
      <w:divBdr>
        <w:top w:val="none" w:sz="0" w:space="0" w:color="auto"/>
        <w:left w:val="none" w:sz="0" w:space="0" w:color="auto"/>
        <w:bottom w:val="none" w:sz="0" w:space="0" w:color="auto"/>
        <w:right w:val="none" w:sz="0" w:space="0" w:color="auto"/>
      </w:divBdr>
    </w:div>
    <w:div w:id="1620721536">
      <w:bodyDiv w:val="1"/>
      <w:marLeft w:val="0"/>
      <w:marRight w:val="0"/>
      <w:marTop w:val="0"/>
      <w:marBottom w:val="0"/>
      <w:divBdr>
        <w:top w:val="none" w:sz="0" w:space="0" w:color="auto"/>
        <w:left w:val="none" w:sz="0" w:space="0" w:color="auto"/>
        <w:bottom w:val="none" w:sz="0" w:space="0" w:color="auto"/>
        <w:right w:val="none" w:sz="0" w:space="0" w:color="auto"/>
      </w:divBdr>
    </w:div>
    <w:div w:id="1620793304">
      <w:bodyDiv w:val="1"/>
      <w:marLeft w:val="0"/>
      <w:marRight w:val="0"/>
      <w:marTop w:val="0"/>
      <w:marBottom w:val="0"/>
      <w:divBdr>
        <w:top w:val="none" w:sz="0" w:space="0" w:color="auto"/>
        <w:left w:val="none" w:sz="0" w:space="0" w:color="auto"/>
        <w:bottom w:val="none" w:sz="0" w:space="0" w:color="auto"/>
        <w:right w:val="none" w:sz="0" w:space="0" w:color="auto"/>
      </w:divBdr>
    </w:div>
    <w:div w:id="1620796441">
      <w:bodyDiv w:val="1"/>
      <w:marLeft w:val="0"/>
      <w:marRight w:val="0"/>
      <w:marTop w:val="0"/>
      <w:marBottom w:val="0"/>
      <w:divBdr>
        <w:top w:val="none" w:sz="0" w:space="0" w:color="auto"/>
        <w:left w:val="none" w:sz="0" w:space="0" w:color="auto"/>
        <w:bottom w:val="none" w:sz="0" w:space="0" w:color="auto"/>
        <w:right w:val="none" w:sz="0" w:space="0" w:color="auto"/>
      </w:divBdr>
    </w:div>
    <w:div w:id="1620844256">
      <w:bodyDiv w:val="1"/>
      <w:marLeft w:val="0"/>
      <w:marRight w:val="0"/>
      <w:marTop w:val="0"/>
      <w:marBottom w:val="0"/>
      <w:divBdr>
        <w:top w:val="none" w:sz="0" w:space="0" w:color="auto"/>
        <w:left w:val="none" w:sz="0" w:space="0" w:color="auto"/>
        <w:bottom w:val="none" w:sz="0" w:space="0" w:color="auto"/>
        <w:right w:val="none" w:sz="0" w:space="0" w:color="auto"/>
      </w:divBdr>
    </w:div>
    <w:div w:id="1621109340">
      <w:bodyDiv w:val="1"/>
      <w:marLeft w:val="0"/>
      <w:marRight w:val="0"/>
      <w:marTop w:val="0"/>
      <w:marBottom w:val="0"/>
      <w:divBdr>
        <w:top w:val="none" w:sz="0" w:space="0" w:color="auto"/>
        <w:left w:val="none" w:sz="0" w:space="0" w:color="auto"/>
        <w:bottom w:val="none" w:sz="0" w:space="0" w:color="auto"/>
        <w:right w:val="none" w:sz="0" w:space="0" w:color="auto"/>
      </w:divBdr>
    </w:div>
    <w:div w:id="1621112360">
      <w:bodyDiv w:val="1"/>
      <w:marLeft w:val="0"/>
      <w:marRight w:val="0"/>
      <w:marTop w:val="0"/>
      <w:marBottom w:val="0"/>
      <w:divBdr>
        <w:top w:val="none" w:sz="0" w:space="0" w:color="auto"/>
        <w:left w:val="none" w:sz="0" w:space="0" w:color="auto"/>
        <w:bottom w:val="none" w:sz="0" w:space="0" w:color="auto"/>
        <w:right w:val="none" w:sz="0" w:space="0" w:color="auto"/>
      </w:divBdr>
    </w:div>
    <w:div w:id="1621229915">
      <w:bodyDiv w:val="1"/>
      <w:marLeft w:val="0"/>
      <w:marRight w:val="0"/>
      <w:marTop w:val="0"/>
      <w:marBottom w:val="0"/>
      <w:divBdr>
        <w:top w:val="none" w:sz="0" w:space="0" w:color="auto"/>
        <w:left w:val="none" w:sz="0" w:space="0" w:color="auto"/>
        <w:bottom w:val="none" w:sz="0" w:space="0" w:color="auto"/>
        <w:right w:val="none" w:sz="0" w:space="0" w:color="auto"/>
      </w:divBdr>
    </w:div>
    <w:div w:id="1621296880">
      <w:bodyDiv w:val="1"/>
      <w:marLeft w:val="0"/>
      <w:marRight w:val="0"/>
      <w:marTop w:val="0"/>
      <w:marBottom w:val="0"/>
      <w:divBdr>
        <w:top w:val="none" w:sz="0" w:space="0" w:color="auto"/>
        <w:left w:val="none" w:sz="0" w:space="0" w:color="auto"/>
        <w:bottom w:val="none" w:sz="0" w:space="0" w:color="auto"/>
        <w:right w:val="none" w:sz="0" w:space="0" w:color="auto"/>
      </w:divBdr>
    </w:div>
    <w:div w:id="1621451245">
      <w:bodyDiv w:val="1"/>
      <w:marLeft w:val="0"/>
      <w:marRight w:val="0"/>
      <w:marTop w:val="0"/>
      <w:marBottom w:val="0"/>
      <w:divBdr>
        <w:top w:val="none" w:sz="0" w:space="0" w:color="auto"/>
        <w:left w:val="none" w:sz="0" w:space="0" w:color="auto"/>
        <w:bottom w:val="none" w:sz="0" w:space="0" w:color="auto"/>
        <w:right w:val="none" w:sz="0" w:space="0" w:color="auto"/>
      </w:divBdr>
    </w:div>
    <w:div w:id="1621570011">
      <w:bodyDiv w:val="1"/>
      <w:marLeft w:val="0"/>
      <w:marRight w:val="0"/>
      <w:marTop w:val="0"/>
      <w:marBottom w:val="0"/>
      <w:divBdr>
        <w:top w:val="none" w:sz="0" w:space="0" w:color="auto"/>
        <w:left w:val="none" w:sz="0" w:space="0" w:color="auto"/>
        <w:bottom w:val="none" w:sz="0" w:space="0" w:color="auto"/>
        <w:right w:val="none" w:sz="0" w:space="0" w:color="auto"/>
      </w:divBdr>
    </w:div>
    <w:div w:id="1621719243">
      <w:bodyDiv w:val="1"/>
      <w:marLeft w:val="0"/>
      <w:marRight w:val="0"/>
      <w:marTop w:val="0"/>
      <w:marBottom w:val="0"/>
      <w:divBdr>
        <w:top w:val="none" w:sz="0" w:space="0" w:color="auto"/>
        <w:left w:val="none" w:sz="0" w:space="0" w:color="auto"/>
        <w:bottom w:val="none" w:sz="0" w:space="0" w:color="auto"/>
        <w:right w:val="none" w:sz="0" w:space="0" w:color="auto"/>
      </w:divBdr>
    </w:div>
    <w:div w:id="1621765288">
      <w:bodyDiv w:val="1"/>
      <w:marLeft w:val="0"/>
      <w:marRight w:val="0"/>
      <w:marTop w:val="0"/>
      <w:marBottom w:val="0"/>
      <w:divBdr>
        <w:top w:val="none" w:sz="0" w:space="0" w:color="auto"/>
        <w:left w:val="none" w:sz="0" w:space="0" w:color="auto"/>
        <w:bottom w:val="none" w:sz="0" w:space="0" w:color="auto"/>
        <w:right w:val="none" w:sz="0" w:space="0" w:color="auto"/>
      </w:divBdr>
    </w:div>
    <w:div w:id="1621911173">
      <w:bodyDiv w:val="1"/>
      <w:marLeft w:val="0"/>
      <w:marRight w:val="0"/>
      <w:marTop w:val="0"/>
      <w:marBottom w:val="0"/>
      <w:divBdr>
        <w:top w:val="none" w:sz="0" w:space="0" w:color="auto"/>
        <w:left w:val="none" w:sz="0" w:space="0" w:color="auto"/>
        <w:bottom w:val="none" w:sz="0" w:space="0" w:color="auto"/>
        <w:right w:val="none" w:sz="0" w:space="0" w:color="auto"/>
      </w:divBdr>
    </w:div>
    <w:div w:id="1621952434">
      <w:bodyDiv w:val="1"/>
      <w:marLeft w:val="0"/>
      <w:marRight w:val="0"/>
      <w:marTop w:val="0"/>
      <w:marBottom w:val="0"/>
      <w:divBdr>
        <w:top w:val="none" w:sz="0" w:space="0" w:color="auto"/>
        <w:left w:val="none" w:sz="0" w:space="0" w:color="auto"/>
        <w:bottom w:val="none" w:sz="0" w:space="0" w:color="auto"/>
        <w:right w:val="none" w:sz="0" w:space="0" w:color="auto"/>
      </w:divBdr>
    </w:div>
    <w:div w:id="1621955180">
      <w:bodyDiv w:val="1"/>
      <w:marLeft w:val="0"/>
      <w:marRight w:val="0"/>
      <w:marTop w:val="0"/>
      <w:marBottom w:val="0"/>
      <w:divBdr>
        <w:top w:val="none" w:sz="0" w:space="0" w:color="auto"/>
        <w:left w:val="none" w:sz="0" w:space="0" w:color="auto"/>
        <w:bottom w:val="none" w:sz="0" w:space="0" w:color="auto"/>
        <w:right w:val="none" w:sz="0" w:space="0" w:color="auto"/>
      </w:divBdr>
    </w:div>
    <w:div w:id="1622030299">
      <w:bodyDiv w:val="1"/>
      <w:marLeft w:val="0"/>
      <w:marRight w:val="0"/>
      <w:marTop w:val="0"/>
      <w:marBottom w:val="0"/>
      <w:divBdr>
        <w:top w:val="none" w:sz="0" w:space="0" w:color="auto"/>
        <w:left w:val="none" w:sz="0" w:space="0" w:color="auto"/>
        <w:bottom w:val="none" w:sz="0" w:space="0" w:color="auto"/>
        <w:right w:val="none" w:sz="0" w:space="0" w:color="auto"/>
      </w:divBdr>
    </w:div>
    <w:div w:id="1622032293">
      <w:bodyDiv w:val="1"/>
      <w:marLeft w:val="0"/>
      <w:marRight w:val="0"/>
      <w:marTop w:val="0"/>
      <w:marBottom w:val="0"/>
      <w:divBdr>
        <w:top w:val="none" w:sz="0" w:space="0" w:color="auto"/>
        <w:left w:val="none" w:sz="0" w:space="0" w:color="auto"/>
        <w:bottom w:val="none" w:sz="0" w:space="0" w:color="auto"/>
        <w:right w:val="none" w:sz="0" w:space="0" w:color="auto"/>
      </w:divBdr>
    </w:div>
    <w:div w:id="1622107460">
      <w:bodyDiv w:val="1"/>
      <w:marLeft w:val="0"/>
      <w:marRight w:val="0"/>
      <w:marTop w:val="0"/>
      <w:marBottom w:val="0"/>
      <w:divBdr>
        <w:top w:val="none" w:sz="0" w:space="0" w:color="auto"/>
        <w:left w:val="none" w:sz="0" w:space="0" w:color="auto"/>
        <w:bottom w:val="none" w:sz="0" w:space="0" w:color="auto"/>
        <w:right w:val="none" w:sz="0" w:space="0" w:color="auto"/>
      </w:divBdr>
    </w:div>
    <w:div w:id="1622150132">
      <w:bodyDiv w:val="1"/>
      <w:marLeft w:val="0"/>
      <w:marRight w:val="0"/>
      <w:marTop w:val="0"/>
      <w:marBottom w:val="0"/>
      <w:divBdr>
        <w:top w:val="none" w:sz="0" w:space="0" w:color="auto"/>
        <w:left w:val="none" w:sz="0" w:space="0" w:color="auto"/>
        <w:bottom w:val="none" w:sz="0" w:space="0" w:color="auto"/>
        <w:right w:val="none" w:sz="0" w:space="0" w:color="auto"/>
      </w:divBdr>
    </w:div>
    <w:div w:id="1622151146">
      <w:bodyDiv w:val="1"/>
      <w:marLeft w:val="0"/>
      <w:marRight w:val="0"/>
      <w:marTop w:val="0"/>
      <w:marBottom w:val="0"/>
      <w:divBdr>
        <w:top w:val="none" w:sz="0" w:space="0" w:color="auto"/>
        <w:left w:val="none" w:sz="0" w:space="0" w:color="auto"/>
        <w:bottom w:val="none" w:sz="0" w:space="0" w:color="auto"/>
        <w:right w:val="none" w:sz="0" w:space="0" w:color="auto"/>
      </w:divBdr>
    </w:div>
    <w:div w:id="1622302416">
      <w:bodyDiv w:val="1"/>
      <w:marLeft w:val="0"/>
      <w:marRight w:val="0"/>
      <w:marTop w:val="0"/>
      <w:marBottom w:val="0"/>
      <w:divBdr>
        <w:top w:val="none" w:sz="0" w:space="0" w:color="auto"/>
        <w:left w:val="none" w:sz="0" w:space="0" w:color="auto"/>
        <w:bottom w:val="none" w:sz="0" w:space="0" w:color="auto"/>
        <w:right w:val="none" w:sz="0" w:space="0" w:color="auto"/>
      </w:divBdr>
    </w:div>
    <w:div w:id="1622565676">
      <w:bodyDiv w:val="1"/>
      <w:marLeft w:val="0"/>
      <w:marRight w:val="0"/>
      <w:marTop w:val="0"/>
      <w:marBottom w:val="0"/>
      <w:divBdr>
        <w:top w:val="none" w:sz="0" w:space="0" w:color="auto"/>
        <w:left w:val="none" w:sz="0" w:space="0" w:color="auto"/>
        <w:bottom w:val="none" w:sz="0" w:space="0" w:color="auto"/>
        <w:right w:val="none" w:sz="0" w:space="0" w:color="auto"/>
      </w:divBdr>
    </w:div>
    <w:div w:id="1622570803">
      <w:bodyDiv w:val="1"/>
      <w:marLeft w:val="0"/>
      <w:marRight w:val="0"/>
      <w:marTop w:val="0"/>
      <w:marBottom w:val="0"/>
      <w:divBdr>
        <w:top w:val="none" w:sz="0" w:space="0" w:color="auto"/>
        <w:left w:val="none" w:sz="0" w:space="0" w:color="auto"/>
        <w:bottom w:val="none" w:sz="0" w:space="0" w:color="auto"/>
        <w:right w:val="none" w:sz="0" w:space="0" w:color="auto"/>
      </w:divBdr>
    </w:div>
    <w:div w:id="1622612931">
      <w:bodyDiv w:val="1"/>
      <w:marLeft w:val="0"/>
      <w:marRight w:val="0"/>
      <w:marTop w:val="0"/>
      <w:marBottom w:val="0"/>
      <w:divBdr>
        <w:top w:val="none" w:sz="0" w:space="0" w:color="auto"/>
        <w:left w:val="none" w:sz="0" w:space="0" w:color="auto"/>
        <w:bottom w:val="none" w:sz="0" w:space="0" w:color="auto"/>
        <w:right w:val="none" w:sz="0" w:space="0" w:color="auto"/>
      </w:divBdr>
    </w:div>
    <w:div w:id="1622687674">
      <w:bodyDiv w:val="1"/>
      <w:marLeft w:val="0"/>
      <w:marRight w:val="0"/>
      <w:marTop w:val="0"/>
      <w:marBottom w:val="0"/>
      <w:divBdr>
        <w:top w:val="none" w:sz="0" w:space="0" w:color="auto"/>
        <w:left w:val="none" w:sz="0" w:space="0" w:color="auto"/>
        <w:bottom w:val="none" w:sz="0" w:space="0" w:color="auto"/>
        <w:right w:val="none" w:sz="0" w:space="0" w:color="auto"/>
      </w:divBdr>
    </w:div>
    <w:div w:id="1622803566">
      <w:bodyDiv w:val="1"/>
      <w:marLeft w:val="0"/>
      <w:marRight w:val="0"/>
      <w:marTop w:val="0"/>
      <w:marBottom w:val="0"/>
      <w:divBdr>
        <w:top w:val="none" w:sz="0" w:space="0" w:color="auto"/>
        <w:left w:val="none" w:sz="0" w:space="0" w:color="auto"/>
        <w:bottom w:val="none" w:sz="0" w:space="0" w:color="auto"/>
        <w:right w:val="none" w:sz="0" w:space="0" w:color="auto"/>
      </w:divBdr>
    </w:div>
    <w:div w:id="1622805256">
      <w:bodyDiv w:val="1"/>
      <w:marLeft w:val="0"/>
      <w:marRight w:val="0"/>
      <w:marTop w:val="0"/>
      <w:marBottom w:val="0"/>
      <w:divBdr>
        <w:top w:val="none" w:sz="0" w:space="0" w:color="auto"/>
        <w:left w:val="none" w:sz="0" w:space="0" w:color="auto"/>
        <w:bottom w:val="none" w:sz="0" w:space="0" w:color="auto"/>
        <w:right w:val="none" w:sz="0" w:space="0" w:color="auto"/>
      </w:divBdr>
    </w:div>
    <w:div w:id="1622877500">
      <w:bodyDiv w:val="1"/>
      <w:marLeft w:val="0"/>
      <w:marRight w:val="0"/>
      <w:marTop w:val="0"/>
      <w:marBottom w:val="0"/>
      <w:divBdr>
        <w:top w:val="none" w:sz="0" w:space="0" w:color="auto"/>
        <w:left w:val="none" w:sz="0" w:space="0" w:color="auto"/>
        <w:bottom w:val="none" w:sz="0" w:space="0" w:color="auto"/>
        <w:right w:val="none" w:sz="0" w:space="0" w:color="auto"/>
      </w:divBdr>
    </w:div>
    <w:div w:id="1622878249">
      <w:bodyDiv w:val="1"/>
      <w:marLeft w:val="0"/>
      <w:marRight w:val="0"/>
      <w:marTop w:val="0"/>
      <w:marBottom w:val="0"/>
      <w:divBdr>
        <w:top w:val="none" w:sz="0" w:space="0" w:color="auto"/>
        <w:left w:val="none" w:sz="0" w:space="0" w:color="auto"/>
        <w:bottom w:val="none" w:sz="0" w:space="0" w:color="auto"/>
        <w:right w:val="none" w:sz="0" w:space="0" w:color="auto"/>
      </w:divBdr>
    </w:div>
    <w:div w:id="1622953782">
      <w:bodyDiv w:val="1"/>
      <w:marLeft w:val="0"/>
      <w:marRight w:val="0"/>
      <w:marTop w:val="0"/>
      <w:marBottom w:val="0"/>
      <w:divBdr>
        <w:top w:val="none" w:sz="0" w:space="0" w:color="auto"/>
        <w:left w:val="none" w:sz="0" w:space="0" w:color="auto"/>
        <w:bottom w:val="none" w:sz="0" w:space="0" w:color="auto"/>
        <w:right w:val="none" w:sz="0" w:space="0" w:color="auto"/>
      </w:divBdr>
    </w:div>
    <w:div w:id="1622956271">
      <w:bodyDiv w:val="1"/>
      <w:marLeft w:val="0"/>
      <w:marRight w:val="0"/>
      <w:marTop w:val="0"/>
      <w:marBottom w:val="0"/>
      <w:divBdr>
        <w:top w:val="none" w:sz="0" w:space="0" w:color="auto"/>
        <w:left w:val="none" w:sz="0" w:space="0" w:color="auto"/>
        <w:bottom w:val="none" w:sz="0" w:space="0" w:color="auto"/>
        <w:right w:val="none" w:sz="0" w:space="0" w:color="auto"/>
      </w:divBdr>
    </w:div>
    <w:div w:id="1623145774">
      <w:bodyDiv w:val="1"/>
      <w:marLeft w:val="0"/>
      <w:marRight w:val="0"/>
      <w:marTop w:val="0"/>
      <w:marBottom w:val="0"/>
      <w:divBdr>
        <w:top w:val="none" w:sz="0" w:space="0" w:color="auto"/>
        <w:left w:val="none" w:sz="0" w:space="0" w:color="auto"/>
        <w:bottom w:val="none" w:sz="0" w:space="0" w:color="auto"/>
        <w:right w:val="none" w:sz="0" w:space="0" w:color="auto"/>
      </w:divBdr>
    </w:div>
    <w:div w:id="1623146717">
      <w:bodyDiv w:val="1"/>
      <w:marLeft w:val="0"/>
      <w:marRight w:val="0"/>
      <w:marTop w:val="0"/>
      <w:marBottom w:val="0"/>
      <w:divBdr>
        <w:top w:val="none" w:sz="0" w:space="0" w:color="auto"/>
        <w:left w:val="none" w:sz="0" w:space="0" w:color="auto"/>
        <w:bottom w:val="none" w:sz="0" w:space="0" w:color="auto"/>
        <w:right w:val="none" w:sz="0" w:space="0" w:color="auto"/>
      </w:divBdr>
    </w:div>
    <w:div w:id="1623228205">
      <w:bodyDiv w:val="1"/>
      <w:marLeft w:val="0"/>
      <w:marRight w:val="0"/>
      <w:marTop w:val="0"/>
      <w:marBottom w:val="0"/>
      <w:divBdr>
        <w:top w:val="none" w:sz="0" w:space="0" w:color="auto"/>
        <w:left w:val="none" w:sz="0" w:space="0" w:color="auto"/>
        <w:bottom w:val="none" w:sz="0" w:space="0" w:color="auto"/>
        <w:right w:val="none" w:sz="0" w:space="0" w:color="auto"/>
      </w:divBdr>
    </w:div>
    <w:div w:id="1623269161">
      <w:bodyDiv w:val="1"/>
      <w:marLeft w:val="0"/>
      <w:marRight w:val="0"/>
      <w:marTop w:val="0"/>
      <w:marBottom w:val="0"/>
      <w:divBdr>
        <w:top w:val="none" w:sz="0" w:space="0" w:color="auto"/>
        <w:left w:val="none" w:sz="0" w:space="0" w:color="auto"/>
        <w:bottom w:val="none" w:sz="0" w:space="0" w:color="auto"/>
        <w:right w:val="none" w:sz="0" w:space="0" w:color="auto"/>
      </w:divBdr>
    </w:div>
    <w:div w:id="1623337622">
      <w:bodyDiv w:val="1"/>
      <w:marLeft w:val="0"/>
      <w:marRight w:val="0"/>
      <w:marTop w:val="0"/>
      <w:marBottom w:val="0"/>
      <w:divBdr>
        <w:top w:val="none" w:sz="0" w:space="0" w:color="auto"/>
        <w:left w:val="none" w:sz="0" w:space="0" w:color="auto"/>
        <w:bottom w:val="none" w:sz="0" w:space="0" w:color="auto"/>
        <w:right w:val="none" w:sz="0" w:space="0" w:color="auto"/>
      </w:divBdr>
    </w:div>
    <w:div w:id="1623458565">
      <w:bodyDiv w:val="1"/>
      <w:marLeft w:val="0"/>
      <w:marRight w:val="0"/>
      <w:marTop w:val="0"/>
      <w:marBottom w:val="0"/>
      <w:divBdr>
        <w:top w:val="none" w:sz="0" w:space="0" w:color="auto"/>
        <w:left w:val="none" w:sz="0" w:space="0" w:color="auto"/>
        <w:bottom w:val="none" w:sz="0" w:space="0" w:color="auto"/>
        <w:right w:val="none" w:sz="0" w:space="0" w:color="auto"/>
      </w:divBdr>
    </w:div>
    <w:div w:id="1623490409">
      <w:bodyDiv w:val="1"/>
      <w:marLeft w:val="0"/>
      <w:marRight w:val="0"/>
      <w:marTop w:val="0"/>
      <w:marBottom w:val="0"/>
      <w:divBdr>
        <w:top w:val="none" w:sz="0" w:space="0" w:color="auto"/>
        <w:left w:val="none" w:sz="0" w:space="0" w:color="auto"/>
        <w:bottom w:val="none" w:sz="0" w:space="0" w:color="auto"/>
        <w:right w:val="none" w:sz="0" w:space="0" w:color="auto"/>
      </w:divBdr>
    </w:div>
    <w:div w:id="1623538229">
      <w:bodyDiv w:val="1"/>
      <w:marLeft w:val="0"/>
      <w:marRight w:val="0"/>
      <w:marTop w:val="0"/>
      <w:marBottom w:val="0"/>
      <w:divBdr>
        <w:top w:val="none" w:sz="0" w:space="0" w:color="auto"/>
        <w:left w:val="none" w:sz="0" w:space="0" w:color="auto"/>
        <w:bottom w:val="none" w:sz="0" w:space="0" w:color="auto"/>
        <w:right w:val="none" w:sz="0" w:space="0" w:color="auto"/>
      </w:divBdr>
    </w:div>
    <w:div w:id="1623683159">
      <w:bodyDiv w:val="1"/>
      <w:marLeft w:val="0"/>
      <w:marRight w:val="0"/>
      <w:marTop w:val="0"/>
      <w:marBottom w:val="0"/>
      <w:divBdr>
        <w:top w:val="none" w:sz="0" w:space="0" w:color="auto"/>
        <w:left w:val="none" w:sz="0" w:space="0" w:color="auto"/>
        <w:bottom w:val="none" w:sz="0" w:space="0" w:color="auto"/>
        <w:right w:val="none" w:sz="0" w:space="0" w:color="auto"/>
      </w:divBdr>
    </w:div>
    <w:div w:id="1623733660">
      <w:bodyDiv w:val="1"/>
      <w:marLeft w:val="0"/>
      <w:marRight w:val="0"/>
      <w:marTop w:val="0"/>
      <w:marBottom w:val="0"/>
      <w:divBdr>
        <w:top w:val="none" w:sz="0" w:space="0" w:color="auto"/>
        <w:left w:val="none" w:sz="0" w:space="0" w:color="auto"/>
        <w:bottom w:val="none" w:sz="0" w:space="0" w:color="auto"/>
        <w:right w:val="none" w:sz="0" w:space="0" w:color="auto"/>
      </w:divBdr>
    </w:div>
    <w:div w:id="1623883565">
      <w:bodyDiv w:val="1"/>
      <w:marLeft w:val="0"/>
      <w:marRight w:val="0"/>
      <w:marTop w:val="0"/>
      <w:marBottom w:val="0"/>
      <w:divBdr>
        <w:top w:val="none" w:sz="0" w:space="0" w:color="auto"/>
        <w:left w:val="none" w:sz="0" w:space="0" w:color="auto"/>
        <w:bottom w:val="none" w:sz="0" w:space="0" w:color="auto"/>
        <w:right w:val="none" w:sz="0" w:space="0" w:color="auto"/>
      </w:divBdr>
    </w:div>
    <w:div w:id="1624002615">
      <w:bodyDiv w:val="1"/>
      <w:marLeft w:val="0"/>
      <w:marRight w:val="0"/>
      <w:marTop w:val="0"/>
      <w:marBottom w:val="0"/>
      <w:divBdr>
        <w:top w:val="none" w:sz="0" w:space="0" w:color="auto"/>
        <w:left w:val="none" w:sz="0" w:space="0" w:color="auto"/>
        <w:bottom w:val="none" w:sz="0" w:space="0" w:color="auto"/>
        <w:right w:val="none" w:sz="0" w:space="0" w:color="auto"/>
      </w:divBdr>
    </w:div>
    <w:div w:id="1624113816">
      <w:bodyDiv w:val="1"/>
      <w:marLeft w:val="0"/>
      <w:marRight w:val="0"/>
      <w:marTop w:val="0"/>
      <w:marBottom w:val="0"/>
      <w:divBdr>
        <w:top w:val="none" w:sz="0" w:space="0" w:color="auto"/>
        <w:left w:val="none" w:sz="0" w:space="0" w:color="auto"/>
        <w:bottom w:val="none" w:sz="0" w:space="0" w:color="auto"/>
        <w:right w:val="none" w:sz="0" w:space="0" w:color="auto"/>
      </w:divBdr>
    </w:div>
    <w:div w:id="1624192759">
      <w:bodyDiv w:val="1"/>
      <w:marLeft w:val="0"/>
      <w:marRight w:val="0"/>
      <w:marTop w:val="0"/>
      <w:marBottom w:val="0"/>
      <w:divBdr>
        <w:top w:val="none" w:sz="0" w:space="0" w:color="auto"/>
        <w:left w:val="none" w:sz="0" w:space="0" w:color="auto"/>
        <w:bottom w:val="none" w:sz="0" w:space="0" w:color="auto"/>
        <w:right w:val="none" w:sz="0" w:space="0" w:color="auto"/>
      </w:divBdr>
    </w:div>
    <w:div w:id="1624269334">
      <w:bodyDiv w:val="1"/>
      <w:marLeft w:val="0"/>
      <w:marRight w:val="0"/>
      <w:marTop w:val="0"/>
      <w:marBottom w:val="0"/>
      <w:divBdr>
        <w:top w:val="none" w:sz="0" w:space="0" w:color="auto"/>
        <w:left w:val="none" w:sz="0" w:space="0" w:color="auto"/>
        <w:bottom w:val="none" w:sz="0" w:space="0" w:color="auto"/>
        <w:right w:val="none" w:sz="0" w:space="0" w:color="auto"/>
      </w:divBdr>
    </w:div>
    <w:div w:id="1624532678">
      <w:bodyDiv w:val="1"/>
      <w:marLeft w:val="0"/>
      <w:marRight w:val="0"/>
      <w:marTop w:val="0"/>
      <w:marBottom w:val="0"/>
      <w:divBdr>
        <w:top w:val="none" w:sz="0" w:space="0" w:color="auto"/>
        <w:left w:val="none" w:sz="0" w:space="0" w:color="auto"/>
        <w:bottom w:val="none" w:sz="0" w:space="0" w:color="auto"/>
        <w:right w:val="none" w:sz="0" w:space="0" w:color="auto"/>
      </w:divBdr>
    </w:div>
    <w:div w:id="1624651986">
      <w:bodyDiv w:val="1"/>
      <w:marLeft w:val="0"/>
      <w:marRight w:val="0"/>
      <w:marTop w:val="0"/>
      <w:marBottom w:val="0"/>
      <w:divBdr>
        <w:top w:val="none" w:sz="0" w:space="0" w:color="auto"/>
        <w:left w:val="none" w:sz="0" w:space="0" w:color="auto"/>
        <w:bottom w:val="none" w:sz="0" w:space="0" w:color="auto"/>
        <w:right w:val="none" w:sz="0" w:space="0" w:color="auto"/>
      </w:divBdr>
    </w:div>
    <w:div w:id="1624725151">
      <w:bodyDiv w:val="1"/>
      <w:marLeft w:val="0"/>
      <w:marRight w:val="0"/>
      <w:marTop w:val="0"/>
      <w:marBottom w:val="0"/>
      <w:divBdr>
        <w:top w:val="none" w:sz="0" w:space="0" w:color="auto"/>
        <w:left w:val="none" w:sz="0" w:space="0" w:color="auto"/>
        <w:bottom w:val="none" w:sz="0" w:space="0" w:color="auto"/>
        <w:right w:val="none" w:sz="0" w:space="0" w:color="auto"/>
      </w:divBdr>
    </w:div>
    <w:div w:id="1624729803">
      <w:bodyDiv w:val="1"/>
      <w:marLeft w:val="0"/>
      <w:marRight w:val="0"/>
      <w:marTop w:val="0"/>
      <w:marBottom w:val="0"/>
      <w:divBdr>
        <w:top w:val="none" w:sz="0" w:space="0" w:color="auto"/>
        <w:left w:val="none" w:sz="0" w:space="0" w:color="auto"/>
        <w:bottom w:val="none" w:sz="0" w:space="0" w:color="auto"/>
        <w:right w:val="none" w:sz="0" w:space="0" w:color="auto"/>
      </w:divBdr>
    </w:div>
    <w:div w:id="1624729871">
      <w:bodyDiv w:val="1"/>
      <w:marLeft w:val="0"/>
      <w:marRight w:val="0"/>
      <w:marTop w:val="0"/>
      <w:marBottom w:val="0"/>
      <w:divBdr>
        <w:top w:val="none" w:sz="0" w:space="0" w:color="auto"/>
        <w:left w:val="none" w:sz="0" w:space="0" w:color="auto"/>
        <w:bottom w:val="none" w:sz="0" w:space="0" w:color="auto"/>
        <w:right w:val="none" w:sz="0" w:space="0" w:color="auto"/>
      </w:divBdr>
    </w:div>
    <w:div w:id="1624770059">
      <w:bodyDiv w:val="1"/>
      <w:marLeft w:val="0"/>
      <w:marRight w:val="0"/>
      <w:marTop w:val="0"/>
      <w:marBottom w:val="0"/>
      <w:divBdr>
        <w:top w:val="none" w:sz="0" w:space="0" w:color="auto"/>
        <w:left w:val="none" w:sz="0" w:space="0" w:color="auto"/>
        <w:bottom w:val="none" w:sz="0" w:space="0" w:color="auto"/>
        <w:right w:val="none" w:sz="0" w:space="0" w:color="auto"/>
      </w:divBdr>
    </w:div>
    <w:div w:id="1624842628">
      <w:bodyDiv w:val="1"/>
      <w:marLeft w:val="0"/>
      <w:marRight w:val="0"/>
      <w:marTop w:val="0"/>
      <w:marBottom w:val="0"/>
      <w:divBdr>
        <w:top w:val="none" w:sz="0" w:space="0" w:color="auto"/>
        <w:left w:val="none" w:sz="0" w:space="0" w:color="auto"/>
        <w:bottom w:val="none" w:sz="0" w:space="0" w:color="auto"/>
        <w:right w:val="none" w:sz="0" w:space="0" w:color="auto"/>
      </w:divBdr>
    </w:div>
    <w:div w:id="1624965935">
      <w:bodyDiv w:val="1"/>
      <w:marLeft w:val="0"/>
      <w:marRight w:val="0"/>
      <w:marTop w:val="0"/>
      <w:marBottom w:val="0"/>
      <w:divBdr>
        <w:top w:val="none" w:sz="0" w:space="0" w:color="auto"/>
        <w:left w:val="none" w:sz="0" w:space="0" w:color="auto"/>
        <w:bottom w:val="none" w:sz="0" w:space="0" w:color="auto"/>
        <w:right w:val="none" w:sz="0" w:space="0" w:color="auto"/>
      </w:divBdr>
    </w:div>
    <w:div w:id="1625037760">
      <w:bodyDiv w:val="1"/>
      <w:marLeft w:val="0"/>
      <w:marRight w:val="0"/>
      <w:marTop w:val="0"/>
      <w:marBottom w:val="0"/>
      <w:divBdr>
        <w:top w:val="none" w:sz="0" w:space="0" w:color="auto"/>
        <w:left w:val="none" w:sz="0" w:space="0" w:color="auto"/>
        <w:bottom w:val="none" w:sz="0" w:space="0" w:color="auto"/>
        <w:right w:val="none" w:sz="0" w:space="0" w:color="auto"/>
      </w:divBdr>
    </w:div>
    <w:div w:id="1625042923">
      <w:bodyDiv w:val="1"/>
      <w:marLeft w:val="0"/>
      <w:marRight w:val="0"/>
      <w:marTop w:val="0"/>
      <w:marBottom w:val="0"/>
      <w:divBdr>
        <w:top w:val="none" w:sz="0" w:space="0" w:color="auto"/>
        <w:left w:val="none" w:sz="0" w:space="0" w:color="auto"/>
        <w:bottom w:val="none" w:sz="0" w:space="0" w:color="auto"/>
        <w:right w:val="none" w:sz="0" w:space="0" w:color="auto"/>
      </w:divBdr>
    </w:div>
    <w:div w:id="1625193222">
      <w:bodyDiv w:val="1"/>
      <w:marLeft w:val="0"/>
      <w:marRight w:val="0"/>
      <w:marTop w:val="0"/>
      <w:marBottom w:val="0"/>
      <w:divBdr>
        <w:top w:val="none" w:sz="0" w:space="0" w:color="auto"/>
        <w:left w:val="none" w:sz="0" w:space="0" w:color="auto"/>
        <w:bottom w:val="none" w:sz="0" w:space="0" w:color="auto"/>
        <w:right w:val="none" w:sz="0" w:space="0" w:color="auto"/>
      </w:divBdr>
    </w:div>
    <w:div w:id="1625305354">
      <w:bodyDiv w:val="1"/>
      <w:marLeft w:val="0"/>
      <w:marRight w:val="0"/>
      <w:marTop w:val="0"/>
      <w:marBottom w:val="0"/>
      <w:divBdr>
        <w:top w:val="none" w:sz="0" w:space="0" w:color="auto"/>
        <w:left w:val="none" w:sz="0" w:space="0" w:color="auto"/>
        <w:bottom w:val="none" w:sz="0" w:space="0" w:color="auto"/>
        <w:right w:val="none" w:sz="0" w:space="0" w:color="auto"/>
      </w:divBdr>
    </w:div>
    <w:div w:id="1625428575">
      <w:bodyDiv w:val="1"/>
      <w:marLeft w:val="0"/>
      <w:marRight w:val="0"/>
      <w:marTop w:val="0"/>
      <w:marBottom w:val="0"/>
      <w:divBdr>
        <w:top w:val="none" w:sz="0" w:space="0" w:color="auto"/>
        <w:left w:val="none" w:sz="0" w:space="0" w:color="auto"/>
        <w:bottom w:val="none" w:sz="0" w:space="0" w:color="auto"/>
        <w:right w:val="none" w:sz="0" w:space="0" w:color="auto"/>
      </w:divBdr>
    </w:div>
    <w:div w:id="1625574882">
      <w:bodyDiv w:val="1"/>
      <w:marLeft w:val="0"/>
      <w:marRight w:val="0"/>
      <w:marTop w:val="0"/>
      <w:marBottom w:val="0"/>
      <w:divBdr>
        <w:top w:val="none" w:sz="0" w:space="0" w:color="auto"/>
        <w:left w:val="none" w:sz="0" w:space="0" w:color="auto"/>
        <w:bottom w:val="none" w:sz="0" w:space="0" w:color="auto"/>
        <w:right w:val="none" w:sz="0" w:space="0" w:color="auto"/>
      </w:divBdr>
    </w:div>
    <w:div w:id="1625648124">
      <w:bodyDiv w:val="1"/>
      <w:marLeft w:val="0"/>
      <w:marRight w:val="0"/>
      <w:marTop w:val="0"/>
      <w:marBottom w:val="0"/>
      <w:divBdr>
        <w:top w:val="none" w:sz="0" w:space="0" w:color="auto"/>
        <w:left w:val="none" w:sz="0" w:space="0" w:color="auto"/>
        <w:bottom w:val="none" w:sz="0" w:space="0" w:color="auto"/>
        <w:right w:val="none" w:sz="0" w:space="0" w:color="auto"/>
      </w:divBdr>
    </w:div>
    <w:div w:id="1625649795">
      <w:bodyDiv w:val="1"/>
      <w:marLeft w:val="0"/>
      <w:marRight w:val="0"/>
      <w:marTop w:val="0"/>
      <w:marBottom w:val="0"/>
      <w:divBdr>
        <w:top w:val="none" w:sz="0" w:space="0" w:color="auto"/>
        <w:left w:val="none" w:sz="0" w:space="0" w:color="auto"/>
        <w:bottom w:val="none" w:sz="0" w:space="0" w:color="auto"/>
        <w:right w:val="none" w:sz="0" w:space="0" w:color="auto"/>
      </w:divBdr>
    </w:div>
    <w:div w:id="1625691454">
      <w:bodyDiv w:val="1"/>
      <w:marLeft w:val="0"/>
      <w:marRight w:val="0"/>
      <w:marTop w:val="0"/>
      <w:marBottom w:val="0"/>
      <w:divBdr>
        <w:top w:val="none" w:sz="0" w:space="0" w:color="auto"/>
        <w:left w:val="none" w:sz="0" w:space="0" w:color="auto"/>
        <w:bottom w:val="none" w:sz="0" w:space="0" w:color="auto"/>
        <w:right w:val="none" w:sz="0" w:space="0" w:color="auto"/>
      </w:divBdr>
    </w:div>
    <w:div w:id="1625817675">
      <w:bodyDiv w:val="1"/>
      <w:marLeft w:val="0"/>
      <w:marRight w:val="0"/>
      <w:marTop w:val="0"/>
      <w:marBottom w:val="0"/>
      <w:divBdr>
        <w:top w:val="none" w:sz="0" w:space="0" w:color="auto"/>
        <w:left w:val="none" w:sz="0" w:space="0" w:color="auto"/>
        <w:bottom w:val="none" w:sz="0" w:space="0" w:color="auto"/>
        <w:right w:val="none" w:sz="0" w:space="0" w:color="auto"/>
      </w:divBdr>
    </w:div>
    <w:div w:id="1625884387">
      <w:bodyDiv w:val="1"/>
      <w:marLeft w:val="0"/>
      <w:marRight w:val="0"/>
      <w:marTop w:val="0"/>
      <w:marBottom w:val="0"/>
      <w:divBdr>
        <w:top w:val="none" w:sz="0" w:space="0" w:color="auto"/>
        <w:left w:val="none" w:sz="0" w:space="0" w:color="auto"/>
        <w:bottom w:val="none" w:sz="0" w:space="0" w:color="auto"/>
        <w:right w:val="none" w:sz="0" w:space="0" w:color="auto"/>
      </w:divBdr>
    </w:div>
    <w:div w:id="1626085574">
      <w:bodyDiv w:val="1"/>
      <w:marLeft w:val="0"/>
      <w:marRight w:val="0"/>
      <w:marTop w:val="0"/>
      <w:marBottom w:val="0"/>
      <w:divBdr>
        <w:top w:val="none" w:sz="0" w:space="0" w:color="auto"/>
        <w:left w:val="none" w:sz="0" w:space="0" w:color="auto"/>
        <w:bottom w:val="none" w:sz="0" w:space="0" w:color="auto"/>
        <w:right w:val="none" w:sz="0" w:space="0" w:color="auto"/>
      </w:divBdr>
    </w:div>
    <w:div w:id="1626160945">
      <w:bodyDiv w:val="1"/>
      <w:marLeft w:val="0"/>
      <w:marRight w:val="0"/>
      <w:marTop w:val="0"/>
      <w:marBottom w:val="0"/>
      <w:divBdr>
        <w:top w:val="none" w:sz="0" w:space="0" w:color="auto"/>
        <w:left w:val="none" w:sz="0" w:space="0" w:color="auto"/>
        <w:bottom w:val="none" w:sz="0" w:space="0" w:color="auto"/>
        <w:right w:val="none" w:sz="0" w:space="0" w:color="auto"/>
      </w:divBdr>
    </w:div>
    <w:div w:id="1626227626">
      <w:bodyDiv w:val="1"/>
      <w:marLeft w:val="0"/>
      <w:marRight w:val="0"/>
      <w:marTop w:val="0"/>
      <w:marBottom w:val="0"/>
      <w:divBdr>
        <w:top w:val="none" w:sz="0" w:space="0" w:color="auto"/>
        <w:left w:val="none" w:sz="0" w:space="0" w:color="auto"/>
        <w:bottom w:val="none" w:sz="0" w:space="0" w:color="auto"/>
        <w:right w:val="none" w:sz="0" w:space="0" w:color="auto"/>
      </w:divBdr>
    </w:div>
    <w:div w:id="1626230813">
      <w:bodyDiv w:val="1"/>
      <w:marLeft w:val="0"/>
      <w:marRight w:val="0"/>
      <w:marTop w:val="0"/>
      <w:marBottom w:val="0"/>
      <w:divBdr>
        <w:top w:val="none" w:sz="0" w:space="0" w:color="auto"/>
        <w:left w:val="none" w:sz="0" w:space="0" w:color="auto"/>
        <w:bottom w:val="none" w:sz="0" w:space="0" w:color="auto"/>
        <w:right w:val="none" w:sz="0" w:space="0" w:color="auto"/>
      </w:divBdr>
    </w:div>
    <w:div w:id="1626232590">
      <w:bodyDiv w:val="1"/>
      <w:marLeft w:val="0"/>
      <w:marRight w:val="0"/>
      <w:marTop w:val="0"/>
      <w:marBottom w:val="0"/>
      <w:divBdr>
        <w:top w:val="none" w:sz="0" w:space="0" w:color="auto"/>
        <w:left w:val="none" w:sz="0" w:space="0" w:color="auto"/>
        <w:bottom w:val="none" w:sz="0" w:space="0" w:color="auto"/>
        <w:right w:val="none" w:sz="0" w:space="0" w:color="auto"/>
      </w:divBdr>
    </w:div>
    <w:div w:id="1626307804">
      <w:bodyDiv w:val="1"/>
      <w:marLeft w:val="0"/>
      <w:marRight w:val="0"/>
      <w:marTop w:val="0"/>
      <w:marBottom w:val="0"/>
      <w:divBdr>
        <w:top w:val="none" w:sz="0" w:space="0" w:color="auto"/>
        <w:left w:val="none" w:sz="0" w:space="0" w:color="auto"/>
        <w:bottom w:val="none" w:sz="0" w:space="0" w:color="auto"/>
        <w:right w:val="none" w:sz="0" w:space="0" w:color="auto"/>
      </w:divBdr>
    </w:div>
    <w:div w:id="1626345453">
      <w:bodyDiv w:val="1"/>
      <w:marLeft w:val="0"/>
      <w:marRight w:val="0"/>
      <w:marTop w:val="0"/>
      <w:marBottom w:val="0"/>
      <w:divBdr>
        <w:top w:val="none" w:sz="0" w:space="0" w:color="auto"/>
        <w:left w:val="none" w:sz="0" w:space="0" w:color="auto"/>
        <w:bottom w:val="none" w:sz="0" w:space="0" w:color="auto"/>
        <w:right w:val="none" w:sz="0" w:space="0" w:color="auto"/>
      </w:divBdr>
    </w:div>
    <w:div w:id="1626352038">
      <w:bodyDiv w:val="1"/>
      <w:marLeft w:val="0"/>
      <w:marRight w:val="0"/>
      <w:marTop w:val="0"/>
      <w:marBottom w:val="0"/>
      <w:divBdr>
        <w:top w:val="none" w:sz="0" w:space="0" w:color="auto"/>
        <w:left w:val="none" w:sz="0" w:space="0" w:color="auto"/>
        <w:bottom w:val="none" w:sz="0" w:space="0" w:color="auto"/>
        <w:right w:val="none" w:sz="0" w:space="0" w:color="auto"/>
      </w:divBdr>
    </w:div>
    <w:div w:id="1626420963">
      <w:bodyDiv w:val="1"/>
      <w:marLeft w:val="0"/>
      <w:marRight w:val="0"/>
      <w:marTop w:val="0"/>
      <w:marBottom w:val="0"/>
      <w:divBdr>
        <w:top w:val="none" w:sz="0" w:space="0" w:color="auto"/>
        <w:left w:val="none" w:sz="0" w:space="0" w:color="auto"/>
        <w:bottom w:val="none" w:sz="0" w:space="0" w:color="auto"/>
        <w:right w:val="none" w:sz="0" w:space="0" w:color="auto"/>
      </w:divBdr>
    </w:div>
    <w:div w:id="1626428022">
      <w:bodyDiv w:val="1"/>
      <w:marLeft w:val="0"/>
      <w:marRight w:val="0"/>
      <w:marTop w:val="0"/>
      <w:marBottom w:val="0"/>
      <w:divBdr>
        <w:top w:val="none" w:sz="0" w:space="0" w:color="auto"/>
        <w:left w:val="none" w:sz="0" w:space="0" w:color="auto"/>
        <w:bottom w:val="none" w:sz="0" w:space="0" w:color="auto"/>
        <w:right w:val="none" w:sz="0" w:space="0" w:color="auto"/>
      </w:divBdr>
    </w:div>
    <w:div w:id="1626500833">
      <w:bodyDiv w:val="1"/>
      <w:marLeft w:val="0"/>
      <w:marRight w:val="0"/>
      <w:marTop w:val="0"/>
      <w:marBottom w:val="0"/>
      <w:divBdr>
        <w:top w:val="none" w:sz="0" w:space="0" w:color="auto"/>
        <w:left w:val="none" w:sz="0" w:space="0" w:color="auto"/>
        <w:bottom w:val="none" w:sz="0" w:space="0" w:color="auto"/>
        <w:right w:val="none" w:sz="0" w:space="0" w:color="auto"/>
      </w:divBdr>
    </w:div>
    <w:div w:id="1626543980">
      <w:bodyDiv w:val="1"/>
      <w:marLeft w:val="0"/>
      <w:marRight w:val="0"/>
      <w:marTop w:val="0"/>
      <w:marBottom w:val="0"/>
      <w:divBdr>
        <w:top w:val="none" w:sz="0" w:space="0" w:color="auto"/>
        <w:left w:val="none" w:sz="0" w:space="0" w:color="auto"/>
        <w:bottom w:val="none" w:sz="0" w:space="0" w:color="auto"/>
        <w:right w:val="none" w:sz="0" w:space="0" w:color="auto"/>
      </w:divBdr>
    </w:div>
    <w:div w:id="1626615496">
      <w:bodyDiv w:val="1"/>
      <w:marLeft w:val="0"/>
      <w:marRight w:val="0"/>
      <w:marTop w:val="0"/>
      <w:marBottom w:val="0"/>
      <w:divBdr>
        <w:top w:val="none" w:sz="0" w:space="0" w:color="auto"/>
        <w:left w:val="none" w:sz="0" w:space="0" w:color="auto"/>
        <w:bottom w:val="none" w:sz="0" w:space="0" w:color="auto"/>
        <w:right w:val="none" w:sz="0" w:space="0" w:color="auto"/>
      </w:divBdr>
    </w:div>
    <w:div w:id="1626693507">
      <w:bodyDiv w:val="1"/>
      <w:marLeft w:val="0"/>
      <w:marRight w:val="0"/>
      <w:marTop w:val="0"/>
      <w:marBottom w:val="0"/>
      <w:divBdr>
        <w:top w:val="none" w:sz="0" w:space="0" w:color="auto"/>
        <w:left w:val="none" w:sz="0" w:space="0" w:color="auto"/>
        <w:bottom w:val="none" w:sz="0" w:space="0" w:color="auto"/>
        <w:right w:val="none" w:sz="0" w:space="0" w:color="auto"/>
      </w:divBdr>
    </w:div>
    <w:div w:id="1626963366">
      <w:bodyDiv w:val="1"/>
      <w:marLeft w:val="0"/>
      <w:marRight w:val="0"/>
      <w:marTop w:val="0"/>
      <w:marBottom w:val="0"/>
      <w:divBdr>
        <w:top w:val="none" w:sz="0" w:space="0" w:color="auto"/>
        <w:left w:val="none" w:sz="0" w:space="0" w:color="auto"/>
        <w:bottom w:val="none" w:sz="0" w:space="0" w:color="auto"/>
        <w:right w:val="none" w:sz="0" w:space="0" w:color="auto"/>
      </w:divBdr>
    </w:div>
    <w:div w:id="1627151667">
      <w:bodyDiv w:val="1"/>
      <w:marLeft w:val="0"/>
      <w:marRight w:val="0"/>
      <w:marTop w:val="0"/>
      <w:marBottom w:val="0"/>
      <w:divBdr>
        <w:top w:val="none" w:sz="0" w:space="0" w:color="auto"/>
        <w:left w:val="none" w:sz="0" w:space="0" w:color="auto"/>
        <w:bottom w:val="none" w:sz="0" w:space="0" w:color="auto"/>
        <w:right w:val="none" w:sz="0" w:space="0" w:color="auto"/>
      </w:divBdr>
    </w:div>
    <w:div w:id="1627155533">
      <w:bodyDiv w:val="1"/>
      <w:marLeft w:val="0"/>
      <w:marRight w:val="0"/>
      <w:marTop w:val="0"/>
      <w:marBottom w:val="0"/>
      <w:divBdr>
        <w:top w:val="none" w:sz="0" w:space="0" w:color="auto"/>
        <w:left w:val="none" w:sz="0" w:space="0" w:color="auto"/>
        <w:bottom w:val="none" w:sz="0" w:space="0" w:color="auto"/>
        <w:right w:val="none" w:sz="0" w:space="0" w:color="auto"/>
      </w:divBdr>
    </w:div>
    <w:div w:id="1627273078">
      <w:bodyDiv w:val="1"/>
      <w:marLeft w:val="0"/>
      <w:marRight w:val="0"/>
      <w:marTop w:val="0"/>
      <w:marBottom w:val="0"/>
      <w:divBdr>
        <w:top w:val="none" w:sz="0" w:space="0" w:color="auto"/>
        <w:left w:val="none" w:sz="0" w:space="0" w:color="auto"/>
        <w:bottom w:val="none" w:sz="0" w:space="0" w:color="auto"/>
        <w:right w:val="none" w:sz="0" w:space="0" w:color="auto"/>
      </w:divBdr>
    </w:div>
    <w:div w:id="1627542069">
      <w:bodyDiv w:val="1"/>
      <w:marLeft w:val="0"/>
      <w:marRight w:val="0"/>
      <w:marTop w:val="0"/>
      <w:marBottom w:val="0"/>
      <w:divBdr>
        <w:top w:val="none" w:sz="0" w:space="0" w:color="auto"/>
        <w:left w:val="none" w:sz="0" w:space="0" w:color="auto"/>
        <w:bottom w:val="none" w:sz="0" w:space="0" w:color="auto"/>
        <w:right w:val="none" w:sz="0" w:space="0" w:color="auto"/>
      </w:divBdr>
    </w:div>
    <w:div w:id="162758905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4543">
      <w:bodyDiv w:val="1"/>
      <w:marLeft w:val="0"/>
      <w:marRight w:val="0"/>
      <w:marTop w:val="0"/>
      <w:marBottom w:val="0"/>
      <w:divBdr>
        <w:top w:val="none" w:sz="0" w:space="0" w:color="auto"/>
        <w:left w:val="none" w:sz="0" w:space="0" w:color="auto"/>
        <w:bottom w:val="none" w:sz="0" w:space="0" w:color="auto"/>
        <w:right w:val="none" w:sz="0" w:space="0" w:color="auto"/>
      </w:divBdr>
    </w:div>
    <w:div w:id="1627732258">
      <w:bodyDiv w:val="1"/>
      <w:marLeft w:val="0"/>
      <w:marRight w:val="0"/>
      <w:marTop w:val="0"/>
      <w:marBottom w:val="0"/>
      <w:divBdr>
        <w:top w:val="none" w:sz="0" w:space="0" w:color="auto"/>
        <w:left w:val="none" w:sz="0" w:space="0" w:color="auto"/>
        <w:bottom w:val="none" w:sz="0" w:space="0" w:color="auto"/>
        <w:right w:val="none" w:sz="0" w:space="0" w:color="auto"/>
      </w:divBdr>
    </w:div>
    <w:div w:id="1627926563">
      <w:bodyDiv w:val="1"/>
      <w:marLeft w:val="0"/>
      <w:marRight w:val="0"/>
      <w:marTop w:val="0"/>
      <w:marBottom w:val="0"/>
      <w:divBdr>
        <w:top w:val="none" w:sz="0" w:space="0" w:color="auto"/>
        <w:left w:val="none" w:sz="0" w:space="0" w:color="auto"/>
        <w:bottom w:val="none" w:sz="0" w:space="0" w:color="auto"/>
        <w:right w:val="none" w:sz="0" w:space="0" w:color="auto"/>
      </w:divBdr>
    </w:div>
    <w:div w:id="1628003518">
      <w:bodyDiv w:val="1"/>
      <w:marLeft w:val="0"/>
      <w:marRight w:val="0"/>
      <w:marTop w:val="0"/>
      <w:marBottom w:val="0"/>
      <w:divBdr>
        <w:top w:val="none" w:sz="0" w:space="0" w:color="auto"/>
        <w:left w:val="none" w:sz="0" w:space="0" w:color="auto"/>
        <w:bottom w:val="none" w:sz="0" w:space="0" w:color="auto"/>
        <w:right w:val="none" w:sz="0" w:space="0" w:color="auto"/>
      </w:divBdr>
    </w:div>
    <w:div w:id="1628049843">
      <w:bodyDiv w:val="1"/>
      <w:marLeft w:val="0"/>
      <w:marRight w:val="0"/>
      <w:marTop w:val="0"/>
      <w:marBottom w:val="0"/>
      <w:divBdr>
        <w:top w:val="none" w:sz="0" w:space="0" w:color="auto"/>
        <w:left w:val="none" w:sz="0" w:space="0" w:color="auto"/>
        <w:bottom w:val="none" w:sz="0" w:space="0" w:color="auto"/>
        <w:right w:val="none" w:sz="0" w:space="0" w:color="auto"/>
      </w:divBdr>
    </w:div>
    <w:div w:id="1628270725">
      <w:bodyDiv w:val="1"/>
      <w:marLeft w:val="0"/>
      <w:marRight w:val="0"/>
      <w:marTop w:val="0"/>
      <w:marBottom w:val="0"/>
      <w:divBdr>
        <w:top w:val="none" w:sz="0" w:space="0" w:color="auto"/>
        <w:left w:val="none" w:sz="0" w:space="0" w:color="auto"/>
        <w:bottom w:val="none" w:sz="0" w:space="0" w:color="auto"/>
        <w:right w:val="none" w:sz="0" w:space="0" w:color="auto"/>
      </w:divBdr>
    </w:div>
    <w:div w:id="1628391095">
      <w:bodyDiv w:val="1"/>
      <w:marLeft w:val="0"/>
      <w:marRight w:val="0"/>
      <w:marTop w:val="0"/>
      <w:marBottom w:val="0"/>
      <w:divBdr>
        <w:top w:val="none" w:sz="0" w:space="0" w:color="auto"/>
        <w:left w:val="none" w:sz="0" w:space="0" w:color="auto"/>
        <w:bottom w:val="none" w:sz="0" w:space="0" w:color="auto"/>
        <w:right w:val="none" w:sz="0" w:space="0" w:color="auto"/>
      </w:divBdr>
    </w:div>
    <w:div w:id="1628394222">
      <w:bodyDiv w:val="1"/>
      <w:marLeft w:val="0"/>
      <w:marRight w:val="0"/>
      <w:marTop w:val="0"/>
      <w:marBottom w:val="0"/>
      <w:divBdr>
        <w:top w:val="none" w:sz="0" w:space="0" w:color="auto"/>
        <w:left w:val="none" w:sz="0" w:space="0" w:color="auto"/>
        <w:bottom w:val="none" w:sz="0" w:space="0" w:color="auto"/>
        <w:right w:val="none" w:sz="0" w:space="0" w:color="auto"/>
      </w:divBdr>
    </w:div>
    <w:div w:id="1628655275">
      <w:bodyDiv w:val="1"/>
      <w:marLeft w:val="0"/>
      <w:marRight w:val="0"/>
      <w:marTop w:val="0"/>
      <w:marBottom w:val="0"/>
      <w:divBdr>
        <w:top w:val="none" w:sz="0" w:space="0" w:color="auto"/>
        <w:left w:val="none" w:sz="0" w:space="0" w:color="auto"/>
        <w:bottom w:val="none" w:sz="0" w:space="0" w:color="auto"/>
        <w:right w:val="none" w:sz="0" w:space="0" w:color="auto"/>
      </w:divBdr>
    </w:div>
    <w:div w:id="1629160535">
      <w:bodyDiv w:val="1"/>
      <w:marLeft w:val="0"/>
      <w:marRight w:val="0"/>
      <w:marTop w:val="0"/>
      <w:marBottom w:val="0"/>
      <w:divBdr>
        <w:top w:val="none" w:sz="0" w:space="0" w:color="auto"/>
        <w:left w:val="none" w:sz="0" w:space="0" w:color="auto"/>
        <w:bottom w:val="none" w:sz="0" w:space="0" w:color="auto"/>
        <w:right w:val="none" w:sz="0" w:space="0" w:color="auto"/>
      </w:divBdr>
    </w:div>
    <w:div w:id="1629244534">
      <w:bodyDiv w:val="1"/>
      <w:marLeft w:val="0"/>
      <w:marRight w:val="0"/>
      <w:marTop w:val="0"/>
      <w:marBottom w:val="0"/>
      <w:divBdr>
        <w:top w:val="none" w:sz="0" w:space="0" w:color="auto"/>
        <w:left w:val="none" w:sz="0" w:space="0" w:color="auto"/>
        <w:bottom w:val="none" w:sz="0" w:space="0" w:color="auto"/>
        <w:right w:val="none" w:sz="0" w:space="0" w:color="auto"/>
      </w:divBdr>
    </w:div>
    <w:div w:id="1629434183">
      <w:bodyDiv w:val="1"/>
      <w:marLeft w:val="0"/>
      <w:marRight w:val="0"/>
      <w:marTop w:val="0"/>
      <w:marBottom w:val="0"/>
      <w:divBdr>
        <w:top w:val="none" w:sz="0" w:space="0" w:color="auto"/>
        <w:left w:val="none" w:sz="0" w:space="0" w:color="auto"/>
        <w:bottom w:val="none" w:sz="0" w:space="0" w:color="auto"/>
        <w:right w:val="none" w:sz="0" w:space="0" w:color="auto"/>
      </w:divBdr>
    </w:div>
    <w:div w:id="1629505410">
      <w:bodyDiv w:val="1"/>
      <w:marLeft w:val="0"/>
      <w:marRight w:val="0"/>
      <w:marTop w:val="0"/>
      <w:marBottom w:val="0"/>
      <w:divBdr>
        <w:top w:val="none" w:sz="0" w:space="0" w:color="auto"/>
        <w:left w:val="none" w:sz="0" w:space="0" w:color="auto"/>
        <w:bottom w:val="none" w:sz="0" w:space="0" w:color="auto"/>
        <w:right w:val="none" w:sz="0" w:space="0" w:color="auto"/>
      </w:divBdr>
    </w:div>
    <w:div w:id="1629507929">
      <w:bodyDiv w:val="1"/>
      <w:marLeft w:val="0"/>
      <w:marRight w:val="0"/>
      <w:marTop w:val="0"/>
      <w:marBottom w:val="0"/>
      <w:divBdr>
        <w:top w:val="none" w:sz="0" w:space="0" w:color="auto"/>
        <w:left w:val="none" w:sz="0" w:space="0" w:color="auto"/>
        <w:bottom w:val="none" w:sz="0" w:space="0" w:color="auto"/>
        <w:right w:val="none" w:sz="0" w:space="0" w:color="auto"/>
      </w:divBdr>
    </w:div>
    <w:div w:id="1629582756">
      <w:bodyDiv w:val="1"/>
      <w:marLeft w:val="0"/>
      <w:marRight w:val="0"/>
      <w:marTop w:val="0"/>
      <w:marBottom w:val="0"/>
      <w:divBdr>
        <w:top w:val="none" w:sz="0" w:space="0" w:color="auto"/>
        <w:left w:val="none" w:sz="0" w:space="0" w:color="auto"/>
        <w:bottom w:val="none" w:sz="0" w:space="0" w:color="auto"/>
        <w:right w:val="none" w:sz="0" w:space="0" w:color="auto"/>
      </w:divBdr>
    </w:div>
    <w:div w:id="1629622421">
      <w:bodyDiv w:val="1"/>
      <w:marLeft w:val="0"/>
      <w:marRight w:val="0"/>
      <w:marTop w:val="0"/>
      <w:marBottom w:val="0"/>
      <w:divBdr>
        <w:top w:val="none" w:sz="0" w:space="0" w:color="auto"/>
        <w:left w:val="none" w:sz="0" w:space="0" w:color="auto"/>
        <w:bottom w:val="none" w:sz="0" w:space="0" w:color="auto"/>
        <w:right w:val="none" w:sz="0" w:space="0" w:color="auto"/>
      </w:divBdr>
    </w:div>
    <w:div w:id="1629701140">
      <w:bodyDiv w:val="1"/>
      <w:marLeft w:val="0"/>
      <w:marRight w:val="0"/>
      <w:marTop w:val="0"/>
      <w:marBottom w:val="0"/>
      <w:divBdr>
        <w:top w:val="none" w:sz="0" w:space="0" w:color="auto"/>
        <w:left w:val="none" w:sz="0" w:space="0" w:color="auto"/>
        <w:bottom w:val="none" w:sz="0" w:space="0" w:color="auto"/>
        <w:right w:val="none" w:sz="0" w:space="0" w:color="auto"/>
      </w:divBdr>
    </w:div>
    <w:div w:id="1629781372">
      <w:bodyDiv w:val="1"/>
      <w:marLeft w:val="0"/>
      <w:marRight w:val="0"/>
      <w:marTop w:val="0"/>
      <w:marBottom w:val="0"/>
      <w:divBdr>
        <w:top w:val="none" w:sz="0" w:space="0" w:color="auto"/>
        <w:left w:val="none" w:sz="0" w:space="0" w:color="auto"/>
        <w:bottom w:val="none" w:sz="0" w:space="0" w:color="auto"/>
        <w:right w:val="none" w:sz="0" w:space="0" w:color="auto"/>
      </w:divBdr>
    </w:div>
    <w:div w:id="1629823238">
      <w:bodyDiv w:val="1"/>
      <w:marLeft w:val="0"/>
      <w:marRight w:val="0"/>
      <w:marTop w:val="0"/>
      <w:marBottom w:val="0"/>
      <w:divBdr>
        <w:top w:val="none" w:sz="0" w:space="0" w:color="auto"/>
        <w:left w:val="none" w:sz="0" w:space="0" w:color="auto"/>
        <w:bottom w:val="none" w:sz="0" w:space="0" w:color="auto"/>
        <w:right w:val="none" w:sz="0" w:space="0" w:color="auto"/>
      </w:divBdr>
    </w:div>
    <w:div w:id="1629892479">
      <w:bodyDiv w:val="1"/>
      <w:marLeft w:val="0"/>
      <w:marRight w:val="0"/>
      <w:marTop w:val="0"/>
      <w:marBottom w:val="0"/>
      <w:divBdr>
        <w:top w:val="none" w:sz="0" w:space="0" w:color="auto"/>
        <w:left w:val="none" w:sz="0" w:space="0" w:color="auto"/>
        <w:bottom w:val="none" w:sz="0" w:space="0" w:color="auto"/>
        <w:right w:val="none" w:sz="0" w:space="0" w:color="auto"/>
      </w:divBdr>
    </w:div>
    <w:div w:id="1629896699">
      <w:bodyDiv w:val="1"/>
      <w:marLeft w:val="0"/>
      <w:marRight w:val="0"/>
      <w:marTop w:val="0"/>
      <w:marBottom w:val="0"/>
      <w:divBdr>
        <w:top w:val="none" w:sz="0" w:space="0" w:color="auto"/>
        <w:left w:val="none" w:sz="0" w:space="0" w:color="auto"/>
        <w:bottom w:val="none" w:sz="0" w:space="0" w:color="auto"/>
        <w:right w:val="none" w:sz="0" w:space="0" w:color="auto"/>
      </w:divBdr>
    </w:div>
    <w:div w:id="1629974324">
      <w:bodyDiv w:val="1"/>
      <w:marLeft w:val="0"/>
      <w:marRight w:val="0"/>
      <w:marTop w:val="0"/>
      <w:marBottom w:val="0"/>
      <w:divBdr>
        <w:top w:val="none" w:sz="0" w:space="0" w:color="auto"/>
        <w:left w:val="none" w:sz="0" w:space="0" w:color="auto"/>
        <w:bottom w:val="none" w:sz="0" w:space="0" w:color="auto"/>
        <w:right w:val="none" w:sz="0" w:space="0" w:color="auto"/>
      </w:divBdr>
    </w:div>
    <w:div w:id="1630235062">
      <w:bodyDiv w:val="1"/>
      <w:marLeft w:val="0"/>
      <w:marRight w:val="0"/>
      <w:marTop w:val="0"/>
      <w:marBottom w:val="0"/>
      <w:divBdr>
        <w:top w:val="none" w:sz="0" w:space="0" w:color="auto"/>
        <w:left w:val="none" w:sz="0" w:space="0" w:color="auto"/>
        <w:bottom w:val="none" w:sz="0" w:space="0" w:color="auto"/>
        <w:right w:val="none" w:sz="0" w:space="0" w:color="auto"/>
      </w:divBdr>
    </w:div>
    <w:div w:id="1630355248">
      <w:bodyDiv w:val="1"/>
      <w:marLeft w:val="0"/>
      <w:marRight w:val="0"/>
      <w:marTop w:val="0"/>
      <w:marBottom w:val="0"/>
      <w:divBdr>
        <w:top w:val="none" w:sz="0" w:space="0" w:color="auto"/>
        <w:left w:val="none" w:sz="0" w:space="0" w:color="auto"/>
        <w:bottom w:val="none" w:sz="0" w:space="0" w:color="auto"/>
        <w:right w:val="none" w:sz="0" w:space="0" w:color="auto"/>
      </w:divBdr>
    </w:div>
    <w:div w:id="1630358136">
      <w:bodyDiv w:val="1"/>
      <w:marLeft w:val="0"/>
      <w:marRight w:val="0"/>
      <w:marTop w:val="0"/>
      <w:marBottom w:val="0"/>
      <w:divBdr>
        <w:top w:val="none" w:sz="0" w:space="0" w:color="auto"/>
        <w:left w:val="none" w:sz="0" w:space="0" w:color="auto"/>
        <w:bottom w:val="none" w:sz="0" w:space="0" w:color="auto"/>
        <w:right w:val="none" w:sz="0" w:space="0" w:color="auto"/>
      </w:divBdr>
    </w:div>
    <w:div w:id="1630428777">
      <w:bodyDiv w:val="1"/>
      <w:marLeft w:val="0"/>
      <w:marRight w:val="0"/>
      <w:marTop w:val="0"/>
      <w:marBottom w:val="0"/>
      <w:divBdr>
        <w:top w:val="none" w:sz="0" w:space="0" w:color="auto"/>
        <w:left w:val="none" w:sz="0" w:space="0" w:color="auto"/>
        <w:bottom w:val="none" w:sz="0" w:space="0" w:color="auto"/>
        <w:right w:val="none" w:sz="0" w:space="0" w:color="auto"/>
      </w:divBdr>
    </w:div>
    <w:div w:id="1630429398">
      <w:bodyDiv w:val="1"/>
      <w:marLeft w:val="0"/>
      <w:marRight w:val="0"/>
      <w:marTop w:val="0"/>
      <w:marBottom w:val="0"/>
      <w:divBdr>
        <w:top w:val="none" w:sz="0" w:space="0" w:color="auto"/>
        <w:left w:val="none" w:sz="0" w:space="0" w:color="auto"/>
        <w:bottom w:val="none" w:sz="0" w:space="0" w:color="auto"/>
        <w:right w:val="none" w:sz="0" w:space="0" w:color="auto"/>
      </w:divBdr>
    </w:div>
    <w:div w:id="1630478985">
      <w:bodyDiv w:val="1"/>
      <w:marLeft w:val="0"/>
      <w:marRight w:val="0"/>
      <w:marTop w:val="0"/>
      <w:marBottom w:val="0"/>
      <w:divBdr>
        <w:top w:val="none" w:sz="0" w:space="0" w:color="auto"/>
        <w:left w:val="none" w:sz="0" w:space="0" w:color="auto"/>
        <w:bottom w:val="none" w:sz="0" w:space="0" w:color="auto"/>
        <w:right w:val="none" w:sz="0" w:space="0" w:color="auto"/>
      </w:divBdr>
    </w:div>
    <w:div w:id="1630548007">
      <w:bodyDiv w:val="1"/>
      <w:marLeft w:val="0"/>
      <w:marRight w:val="0"/>
      <w:marTop w:val="0"/>
      <w:marBottom w:val="0"/>
      <w:divBdr>
        <w:top w:val="none" w:sz="0" w:space="0" w:color="auto"/>
        <w:left w:val="none" w:sz="0" w:space="0" w:color="auto"/>
        <w:bottom w:val="none" w:sz="0" w:space="0" w:color="auto"/>
        <w:right w:val="none" w:sz="0" w:space="0" w:color="auto"/>
      </w:divBdr>
    </w:div>
    <w:div w:id="1630628627">
      <w:bodyDiv w:val="1"/>
      <w:marLeft w:val="0"/>
      <w:marRight w:val="0"/>
      <w:marTop w:val="0"/>
      <w:marBottom w:val="0"/>
      <w:divBdr>
        <w:top w:val="none" w:sz="0" w:space="0" w:color="auto"/>
        <w:left w:val="none" w:sz="0" w:space="0" w:color="auto"/>
        <w:bottom w:val="none" w:sz="0" w:space="0" w:color="auto"/>
        <w:right w:val="none" w:sz="0" w:space="0" w:color="auto"/>
      </w:divBdr>
    </w:div>
    <w:div w:id="1630745861">
      <w:bodyDiv w:val="1"/>
      <w:marLeft w:val="0"/>
      <w:marRight w:val="0"/>
      <w:marTop w:val="0"/>
      <w:marBottom w:val="0"/>
      <w:divBdr>
        <w:top w:val="none" w:sz="0" w:space="0" w:color="auto"/>
        <w:left w:val="none" w:sz="0" w:space="0" w:color="auto"/>
        <w:bottom w:val="none" w:sz="0" w:space="0" w:color="auto"/>
        <w:right w:val="none" w:sz="0" w:space="0" w:color="auto"/>
      </w:divBdr>
    </w:div>
    <w:div w:id="1630817357">
      <w:bodyDiv w:val="1"/>
      <w:marLeft w:val="0"/>
      <w:marRight w:val="0"/>
      <w:marTop w:val="0"/>
      <w:marBottom w:val="0"/>
      <w:divBdr>
        <w:top w:val="none" w:sz="0" w:space="0" w:color="auto"/>
        <w:left w:val="none" w:sz="0" w:space="0" w:color="auto"/>
        <w:bottom w:val="none" w:sz="0" w:space="0" w:color="auto"/>
        <w:right w:val="none" w:sz="0" w:space="0" w:color="auto"/>
      </w:divBdr>
    </w:div>
    <w:div w:id="1630822478">
      <w:bodyDiv w:val="1"/>
      <w:marLeft w:val="0"/>
      <w:marRight w:val="0"/>
      <w:marTop w:val="0"/>
      <w:marBottom w:val="0"/>
      <w:divBdr>
        <w:top w:val="none" w:sz="0" w:space="0" w:color="auto"/>
        <w:left w:val="none" w:sz="0" w:space="0" w:color="auto"/>
        <w:bottom w:val="none" w:sz="0" w:space="0" w:color="auto"/>
        <w:right w:val="none" w:sz="0" w:space="0" w:color="auto"/>
      </w:divBdr>
    </w:div>
    <w:div w:id="1631013492">
      <w:bodyDiv w:val="1"/>
      <w:marLeft w:val="0"/>
      <w:marRight w:val="0"/>
      <w:marTop w:val="0"/>
      <w:marBottom w:val="0"/>
      <w:divBdr>
        <w:top w:val="none" w:sz="0" w:space="0" w:color="auto"/>
        <w:left w:val="none" w:sz="0" w:space="0" w:color="auto"/>
        <w:bottom w:val="none" w:sz="0" w:space="0" w:color="auto"/>
        <w:right w:val="none" w:sz="0" w:space="0" w:color="auto"/>
      </w:divBdr>
    </w:div>
    <w:div w:id="163108529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
    <w:div w:id="1631128533">
      <w:bodyDiv w:val="1"/>
      <w:marLeft w:val="0"/>
      <w:marRight w:val="0"/>
      <w:marTop w:val="0"/>
      <w:marBottom w:val="0"/>
      <w:divBdr>
        <w:top w:val="none" w:sz="0" w:space="0" w:color="auto"/>
        <w:left w:val="none" w:sz="0" w:space="0" w:color="auto"/>
        <w:bottom w:val="none" w:sz="0" w:space="0" w:color="auto"/>
        <w:right w:val="none" w:sz="0" w:space="0" w:color="auto"/>
      </w:divBdr>
    </w:div>
    <w:div w:id="1631322693">
      <w:bodyDiv w:val="1"/>
      <w:marLeft w:val="0"/>
      <w:marRight w:val="0"/>
      <w:marTop w:val="0"/>
      <w:marBottom w:val="0"/>
      <w:divBdr>
        <w:top w:val="none" w:sz="0" w:space="0" w:color="auto"/>
        <w:left w:val="none" w:sz="0" w:space="0" w:color="auto"/>
        <w:bottom w:val="none" w:sz="0" w:space="0" w:color="auto"/>
        <w:right w:val="none" w:sz="0" w:space="0" w:color="auto"/>
      </w:divBdr>
    </w:div>
    <w:div w:id="1631323630">
      <w:bodyDiv w:val="1"/>
      <w:marLeft w:val="0"/>
      <w:marRight w:val="0"/>
      <w:marTop w:val="0"/>
      <w:marBottom w:val="0"/>
      <w:divBdr>
        <w:top w:val="none" w:sz="0" w:space="0" w:color="auto"/>
        <w:left w:val="none" w:sz="0" w:space="0" w:color="auto"/>
        <w:bottom w:val="none" w:sz="0" w:space="0" w:color="auto"/>
        <w:right w:val="none" w:sz="0" w:space="0" w:color="auto"/>
      </w:divBdr>
    </w:div>
    <w:div w:id="1631351557">
      <w:bodyDiv w:val="1"/>
      <w:marLeft w:val="0"/>
      <w:marRight w:val="0"/>
      <w:marTop w:val="0"/>
      <w:marBottom w:val="0"/>
      <w:divBdr>
        <w:top w:val="none" w:sz="0" w:space="0" w:color="auto"/>
        <w:left w:val="none" w:sz="0" w:space="0" w:color="auto"/>
        <w:bottom w:val="none" w:sz="0" w:space="0" w:color="auto"/>
        <w:right w:val="none" w:sz="0" w:space="0" w:color="auto"/>
      </w:divBdr>
    </w:div>
    <w:div w:id="1631354012">
      <w:bodyDiv w:val="1"/>
      <w:marLeft w:val="0"/>
      <w:marRight w:val="0"/>
      <w:marTop w:val="0"/>
      <w:marBottom w:val="0"/>
      <w:divBdr>
        <w:top w:val="none" w:sz="0" w:space="0" w:color="auto"/>
        <w:left w:val="none" w:sz="0" w:space="0" w:color="auto"/>
        <w:bottom w:val="none" w:sz="0" w:space="0" w:color="auto"/>
        <w:right w:val="none" w:sz="0" w:space="0" w:color="auto"/>
      </w:divBdr>
    </w:div>
    <w:div w:id="1631470999">
      <w:bodyDiv w:val="1"/>
      <w:marLeft w:val="0"/>
      <w:marRight w:val="0"/>
      <w:marTop w:val="0"/>
      <w:marBottom w:val="0"/>
      <w:divBdr>
        <w:top w:val="none" w:sz="0" w:space="0" w:color="auto"/>
        <w:left w:val="none" w:sz="0" w:space="0" w:color="auto"/>
        <w:bottom w:val="none" w:sz="0" w:space="0" w:color="auto"/>
        <w:right w:val="none" w:sz="0" w:space="0" w:color="auto"/>
      </w:divBdr>
    </w:div>
    <w:div w:id="1631550950">
      <w:bodyDiv w:val="1"/>
      <w:marLeft w:val="0"/>
      <w:marRight w:val="0"/>
      <w:marTop w:val="0"/>
      <w:marBottom w:val="0"/>
      <w:divBdr>
        <w:top w:val="none" w:sz="0" w:space="0" w:color="auto"/>
        <w:left w:val="none" w:sz="0" w:space="0" w:color="auto"/>
        <w:bottom w:val="none" w:sz="0" w:space="0" w:color="auto"/>
        <w:right w:val="none" w:sz="0" w:space="0" w:color="auto"/>
      </w:divBdr>
    </w:div>
    <w:div w:id="1631738512">
      <w:bodyDiv w:val="1"/>
      <w:marLeft w:val="0"/>
      <w:marRight w:val="0"/>
      <w:marTop w:val="0"/>
      <w:marBottom w:val="0"/>
      <w:divBdr>
        <w:top w:val="none" w:sz="0" w:space="0" w:color="auto"/>
        <w:left w:val="none" w:sz="0" w:space="0" w:color="auto"/>
        <w:bottom w:val="none" w:sz="0" w:space="0" w:color="auto"/>
        <w:right w:val="none" w:sz="0" w:space="0" w:color="auto"/>
      </w:divBdr>
    </w:div>
    <w:div w:id="1631784323">
      <w:bodyDiv w:val="1"/>
      <w:marLeft w:val="0"/>
      <w:marRight w:val="0"/>
      <w:marTop w:val="0"/>
      <w:marBottom w:val="0"/>
      <w:divBdr>
        <w:top w:val="none" w:sz="0" w:space="0" w:color="auto"/>
        <w:left w:val="none" w:sz="0" w:space="0" w:color="auto"/>
        <w:bottom w:val="none" w:sz="0" w:space="0" w:color="auto"/>
        <w:right w:val="none" w:sz="0" w:space="0" w:color="auto"/>
      </w:divBdr>
    </w:div>
    <w:div w:id="1631785213">
      <w:bodyDiv w:val="1"/>
      <w:marLeft w:val="0"/>
      <w:marRight w:val="0"/>
      <w:marTop w:val="0"/>
      <w:marBottom w:val="0"/>
      <w:divBdr>
        <w:top w:val="none" w:sz="0" w:space="0" w:color="auto"/>
        <w:left w:val="none" w:sz="0" w:space="0" w:color="auto"/>
        <w:bottom w:val="none" w:sz="0" w:space="0" w:color="auto"/>
        <w:right w:val="none" w:sz="0" w:space="0" w:color="auto"/>
      </w:divBdr>
    </w:div>
    <w:div w:id="1631932915">
      <w:bodyDiv w:val="1"/>
      <w:marLeft w:val="0"/>
      <w:marRight w:val="0"/>
      <w:marTop w:val="0"/>
      <w:marBottom w:val="0"/>
      <w:divBdr>
        <w:top w:val="none" w:sz="0" w:space="0" w:color="auto"/>
        <w:left w:val="none" w:sz="0" w:space="0" w:color="auto"/>
        <w:bottom w:val="none" w:sz="0" w:space="0" w:color="auto"/>
        <w:right w:val="none" w:sz="0" w:space="0" w:color="auto"/>
      </w:divBdr>
    </w:div>
    <w:div w:id="1632053618">
      <w:bodyDiv w:val="1"/>
      <w:marLeft w:val="0"/>
      <w:marRight w:val="0"/>
      <w:marTop w:val="0"/>
      <w:marBottom w:val="0"/>
      <w:divBdr>
        <w:top w:val="none" w:sz="0" w:space="0" w:color="auto"/>
        <w:left w:val="none" w:sz="0" w:space="0" w:color="auto"/>
        <w:bottom w:val="none" w:sz="0" w:space="0" w:color="auto"/>
        <w:right w:val="none" w:sz="0" w:space="0" w:color="auto"/>
      </w:divBdr>
    </w:div>
    <w:div w:id="1632054373">
      <w:bodyDiv w:val="1"/>
      <w:marLeft w:val="0"/>
      <w:marRight w:val="0"/>
      <w:marTop w:val="0"/>
      <w:marBottom w:val="0"/>
      <w:divBdr>
        <w:top w:val="none" w:sz="0" w:space="0" w:color="auto"/>
        <w:left w:val="none" w:sz="0" w:space="0" w:color="auto"/>
        <w:bottom w:val="none" w:sz="0" w:space="0" w:color="auto"/>
        <w:right w:val="none" w:sz="0" w:space="0" w:color="auto"/>
      </w:divBdr>
    </w:div>
    <w:div w:id="1632132938">
      <w:bodyDiv w:val="1"/>
      <w:marLeft w:val="0"/>
      <w:marRight w:val="0"/>
      <w:marTop w:val="0"/>
      <w:marBottom w:val="0"/>
      <w:divBdr>
        <w:top w:val="none" w:sz="0" w:space="0" w:color="auto"/>
        <w:left w:val="none" w:sz="0" w:space="0" w:color="auto"/>
        <w:bottom w:val="none" w:sz="0" w:space="0" w:color="auto"/>
        <w:right w:val="none" w:sz="0" w:space="0" w:color="auto"/>
      </w:divBdr>
    </w:div>
    <w:div w:id="1632588214">
      <w:bodyDiv w:val="1"/>
      <w:marLeft w:val="0"/>
      <w:marRight w:val="0"/>
      <w:marTop w:val="0"/>
      <w:marBottom w:val="0"/>
      <w:divBdr>
        <w:top w:val="none" w:sz="0" w:space="0" w:color="auto"/>
        <w:left w:val="none" w:sz="0" w:space="0" w:color="auto"/>
        <w:bottom w:val="none" w:sz="0" w:space="0" w:color="auto"/>
        <w:right w:val="none" w:sz="0" w:space="0" w:color="auto"/>
      </w:divBdr>
    </w:div>
    <w:div w:id="1632634722">
      <w:bodyDiv w:val="1"/>
      <w:marLeft w:val="0"/>
      <w:marRight w:val="0"/>
      <w:marTop w:val="0"/>
      <w:marBottom w:val="0"/>
      <w:divBdr>
        <w:top w:val="none" w:sz="0" w:space="0" w:color="auto"/>
        <w:left w:val="none" w:sz="0" w:space="0" w:color="auto"/>
        <w:bottom w:val="none" w:sz="0" w:space="0" w:color="auto"/>
        <w:right w:val="none" w:sz="0" w:space="0" w:color="auto"/>
      </w:divBdr>
    </w:div>
    <w:div w:id="1632636461">
      <w:bodyDiv w:val="1"/>
      <w:marLeft w:val="0"/>
      <w:marRight w:val="0"/>
      <w:marTop w:val="0"/>
      <w:marBottom w:val="0"/>
      <w:divBdr>
        <w:top w:val="none" w:sz="0" w:space="0" w:color="auto"/>
        <w:left w:val="none" w:sz="0" w:space="0" w:color="auto"/>
        <w:bottom w:val="none" w:sz="0" w:space="0" w:color="auto"/>
        <w:right w:val="none" w:sz="0" w:space="0" w:color="auto"/>
      </w:divBdr>
    </w:div>
    <w:div w:id="1632713854">
      <w:bodyDiv w:val="1"/>
      <w:marLeft w:val="0"/>
      <w:marRight w:val="0"/>
      <w:marTop w:val="0"/>
      <w:marBottom w:val="0"/>
      <w:divBdr>
        <w:top w:val="none" w:sz="0" w:space="0" w:color="auto"/>
        <w:left w:val="none" w:sz="0" w:space="0" w:color="auto"/>
        <w:bottom w:val="none" w:sz="0" w:space="0" w:color="auto"/>
        <w:right w:val="none" w:sz="0" w:space="0" w:color="auto"/>
      </w:divBdr>
    </w:div>
    <w:div w:id="1632788699">
      <w:bodyDiv w:val="1"/>
      <w:marLeft w:val="0"/>
      <w:marRight w:val="0"/>
      <w:marTop w:val="0"/>
      <w:marBottom w:val="0"/>
      <w:divBdr>
        <w:top w:val="none" w:sz="0" w:space="0" w:color="auto"/>
        <w:left w:val="none" w:sz="0" w:space="0" w:color="auto"/>
        <w:bottom w:val="none" w:sz="0" w:space="0" w:color="auto"/>
        <w:right w:val="none" w:sz="0" w:space="0" w:color="auto"/>
      </w:divBdr>
    </w:div>
    <w:div w:id="1632857373">
      <w:bodyDiv w:val="1"/>
      <w:marLeft w:val="0"/>
      <w:marRight w:val="0"/>
      <w:marTop w:val="0"/>
      <w:marBottom w:val="0"/>
      <w:divBdr>
        <w:top w:val="none" w:sz="0" w:space="0" w:color="auto"/>
        <w:left w:val="none" w:sz="0" w:space="0" w:color="auto"/>
        <w:bottom w:val="none" w:sz="0" w:space="0" w:color="auto"/>
        <w:right w:val="none" w:sz="0" w:space="0" w:color="auto"/>
      </w:divBdr>
    </w:div>
    <w:div w:id="1633244008">
      <w:bodyDiv w:val="1"/>
      <w:marLeft w:val="0"/>
      <w:marRight w:val="0"/>
      <w:marTop w:val="0"/>
      <w:marBottom w:val="0"/>
      <w:divBdr>
        <w:top w:val="none" w:sz="0" w:space="0" w:color="auto"/>
        <w:left w:val="none" w:sz="0" w:space="0" w:color="auto"/>
        <w:bottom w:val="none" w:sz="0" w:space="0" w:color="auto"/>
        <w:right w:val="none" w:sz="0" w:space="0" w:color="auto"/>
      </w:divBdr>
    </w:div>
    <w:div w:id="1633291757">
      <w:bodyDiv w:val="1"/>
      <w:marLeft w:val="0"/>
      <w:marRight w:val="0"/>
      <w:marTop w:val="0"/>
      <w:marBottom w:val="0"/>
      <w:divBdr>
        <w:top w:val="none" w:sz="0" w:space="0" w:color="auto"/>
        <w:left w:val="none" w:sz="0" w:space="0" w:color="auto"/>
        <w:bottom w:val="none" w:sz="0" w:space="0" w:color="auto"/>
        <w:right w:val="none" w:sz="0" w:space="0" w:color="auto"/>
      </w:divBdr>
    </w:div>
    <w:div w:id="1633293718">
      <w:bodyDiv w:val="1"/>
      <w:marLeft w:val="0"/>
      <w:marRight w:val="0"/>
      <w:marTop w:val="0"/>
      <w:marBottom w:val="0"/>
      <w:divBdr>
        <w:top w:val="none" w:sz="0" w:space="0" w:color="auto"/>
        <w:left w:val="none" w:sz="0" w:space="0" w:color="auto"/>
        <w:bottom w:val="none" w:sz="0" w:space="0" w:color="auto"/>
        <w:right w:val="none" w:sz="0" w:space="0" w:color="auto"/>
      </w:divBdr>
    </w:div>
    <w:div w:id="1633364813">
      <w:bodyDiv w:val="1"/>
      <w:marLeft w:val="0"/>
      <w:marRight w:val="0"/>
      <w:marTop w:val="0"/>
      <w:marBottom w:val="0"/>
      <w:divBdr>
        <w:top w:val="none" w:sz="0" w:space="0" w:color="auto"/>
        <w:left w:val="none" w:sz="0" w:space="0" w:color="auto"/>
        <w:bottom w:val="none" w:sz="0" w:space="0" w:color="auto"/>
        <w:right w:val="none" w:sz="0" w:space="0" w:color="auto"/>
      </w:divBdr>
    </w:div>
    <w:div w:id="1633367562">
      <w:bodyDiv w:val="1"/>
      <w:marLeft w:val="0"/>
      <w:marRight w:val="0"/>
      <w:marTop w:val="0"/>
      <w:marBottom w:val="0"/>
      <w:divBdr>
        <w:top w:val="none" w:sz="0" w:space="0" w:color="auto"/>
        <w:left w:val="none" w:sz="0" w:space="0" w:color="auto"/>
        <w:bottom w:val="none" w:sz="0" w:space="0" w:color="auto"/>
        <w:right w:val="none" w:sz="0" w:space="0" w:color="auto"/>
      </w:divBdr>
    </w:div>
    <w:div w:id="1633439978">
      <w:bodyDiv w:val="1"/>
      <w:marLeft w:val="0"/>
      <w:marRight w:val="0"/>
      <w:marTop w:val="0"/>
      <w:marBottom w:val="0"/>
      <w:divBdr>
        <w:top w:val="none" w:sz="0" w:space="0" w:color="auto"/>
        <w:left w:val="none" w:sz="0" w:space="0" w:color="auto"/>
        <w:bottom w:val="none" w:sz="0" w:space="0" w:color="auto"/>
        <w:right w:val="none" w:sz="0" w:space="0" w:color="auto"/>
      </w:divBdr>
    </w:div>
    <w:div w:id="1633511094">
      <w:bodyDiv w:val="1"/>
      <w:marLeft w:val="0"/>
      <w:marRight w:val="0"/>
      <w:marTop w:val="0"/>
      <w:marBottom w:val="0"/>
      <w:divBdr>
        <w:top w:val="none" w:sz="0" w:space="0" w:color="auto"/>
        <w:left w:val="none" w:sz="0" w:space="0" w:color="auto"/>
        <w:bottom w:val="none" w:sz="0" w:space="0" w:color="auto"/>
        <w:right w:val="none" w:sz="0" w:space="0" w:color="auto"/>
      </w:divBdr>
    </w:div>
    <w:div w:id="1633556442">
      <w:bodyDiv w:val="1"/>
      <w:marLeft w:val="0"/>
      <w:marRight w:val="0"/>
      <w:marTop w:val="0"/>
      <w:marBottom w:val="0"/>
      <w:divBdr>
        <w:top w:val="none" w:sz="0" w:space="0" w:color="auto"/>
        <w:left w:val="none" w:sz="0" w:space="0" w:color="auto"/>
        <w:bottom w:val="none" w:sz="0" w:space="0" w:color="auto"/>
        <w:right w:val="none" w:sz="0" w:space="0" w:color="auto"/>
      </w:divBdr>
    </w:div>
    <w:div w:id="1633629576">
      <w:bodyDiv w:val="1"/>
      <w:marLeft w:val="0"/>
      <w:marRight w:val="0"/>
      <w:marTop w:val="0"/>
      <w:marBottom w:val="0"/>
      <w:divBdr>
        <w:top w:val="none" w:sz="0" w:space="0" w:color="auto"/>
        <w:left w:val="none" w:sz="0" w:space="0" w:color="auto"/>
        <w:bottom w:val="none" w:sz="0" w:space="0" w:color="auto"/>
        <w:right w:val="none" w:sz="0" w:space="0" w:color="auto"/>
      </w:divBdr>
    </w:div>
    <w:div w:id="1633629946">
      <w:bodyDiv w:val="1"/>
      <w:marLeft w:val="0"/>
      <w:marRight w:val="0"/>
      <w:marTop w:val="0"/>
      <w:marBottom w:val="0"/>
      <w:divBdr>
        <w:top w:val="none" w:sz="0" w:space="0" w:color="auto"/>
        <w:left w:val="none" w:sz="0" w:space="0" w:color="auto"/>
        <w:bottom w:val="none" w:sz="0" w:space="0" w:color="auto"/>
        <w:right w:val="none" w:sz="0" w:space="0" w:color="auto"/>
      </w:divBdr>
    </w:div>
    <w:div w:id="1633633098">
      <w:bodyDiv w:val="1"/>
      <w:marLeft w:val="0"/>
      <w:marRight w:val="0"/>
      <w:marTop w:val="0"/>
      <w:marBottom w:val="0"/>
      <w:divBdr>
        <w:top w:val="none" w:sz="0" w:space="0" w:color="auto"/>
        <w:left w:val="none" w:sz="0" w:space="0" w:color="auto"/>
        <w:bottom w:val="none" w:sz="0" w:space="0" w:color="auto"/>
        <w:right w:val="none" w:sz="0" w:space="0" w:color="auto"/>
      </w:divBdr>
    </w:div>
    <w:div w:id="1633825573">
      <w:bodyDiv w:val="1"/>
      <w:marLeft w:val="0"/>
      <w:marRight w:val="0"/>
      <w:marTop w:val="0"/>
      <w:marBottom w:val="0"/>
      <w:divBdr>
        <w:top w:val="none" w:sz="0" w:space="0" w:color="auto"/>
        <w:left w:val="none" w:sz="0" w:space="0" w:color="auto"/>
        <w:bottom w:val="none" w:sz="0" w:space="0" w:color="auto"/>
        <w:right w:val="none" w:sz="0" w:space="0" w:color="auto"/>
      </w:divBdr>
    </w:div>
    <w:div w:id="1633898565">
      <w:bodyDiv w:val="1"/>
      <w:marLeft w:val="0"/>
      <w:marRight w:val="0"/>
      <w:marTop w:val="0"/>
      <w:marBottom w:val="0"/>
      <w:divBdr>
        <w:top w:val="none" w:sz="0" w:space="0" w:color="auto"/>
        <w:left w:val="none" w:sz="0" w:space="0" w:color="auto"/>
        <w:bottom w:val="none" w:sz="0" w:space="0" w:color="auto"/>
        <w:right w:val="none" w:sz="0" w:space="0" w:color="auto"/>
      </w:divBdr>
    </w:div>
    <w:div w:id="1634287682">
      <w:bodyDiv w:val="1"/>
      <w:marLeft w:val="0"/>
      <w:marRight w:val="0"/>
      <w:marTop w:val="0"/>
      <w:marBottom w:val="0"/>
      <w:divBdr>
        <w:top w:val="none" w:sz="0" w:space="0" w:color="auto"/>
        <w:left w:val="none" w:sz="0" w:space="0" w:color="auto"/>
        <w:bottom w:val="none" w:sz="0" w:space="0" w:color="auto"/>
        <w:right w:val="none" w:sz="0" w:space="0" w:color="auto"/>
      </w:divBdr>
    </w:div>
    <w:div w:id="1634287847">
      <w:bodyDiv w:val="1"/>
      <w:marLeft w:val="0"/>
      <w:marRight w:val="0"/>
      <w:marTop w:val="0"/>
      <w:marBottom w:val="0"/>
      <w:divBdr>
        <w:top w:val="none" w:sz="0" w:space="0" w:color="auto"/>
        <w:left w:val="none" w:sz="0" w:space="0" w:color="auto"/>
        <w:bottom w:val="none" w:sz="0" w:space="0" w:color="auto"/>
        <w:right w:val="none" w:sz="0" w:space="0" w:color="auto"/>
      </w:divBdr>
    </w:div>
    <w:div w:id="1634288833">
      <w:bodyDiv w:val="1"/>
      <w:marLeft w:val="0"/>
      <w:marRight w:val="0"/>
      <w:marTop w:val="0"/>
      <w:marBottom w:val="0"/>
      <w:divBdr>
        <w:top w:val="none" w:sz="0" w:space="0" w:color="auto"/>
        <w:left w:val="none" w:sz="0" w:space="0" w:color="auto"/>
        <w:bottom w:val="none" w:sz="0" w:space="0" w:color="auto"/>
        <w:right w:val="none" w:sz="0" w:space="0" w:color="auto"/>
      </w:divBdr>
    </w:div>
    <w:div w:id="1634290582">
      <w:bodyDiv w:val="1"/>
      <w:marLeft w:val="0"/>
      <w:marRight w:val="0"/>
      <w:marTop w:val="0"/>
      <w:marBottom w:val="0"/>
      <w:divBdr>
        <w:top w:val="none" w:sz="0" w:space="0" w:color="auto"/>
        <w:left w:val="none" w:sz="0" w:space="0" w:color="auto"/>
        <w:bottom w:val="none" w:sz="0" w:space="0" w:color="auto"/>
        <w:right w:val="none" w:sz="0" w:space="0" w:color="auto"/>
      </w:divBdr>
    </w:div>
    <w:div w:id="1634361839">
      <w:bodyDiv w:val="1"/>
      <w:marLeft w:val="0"/>
      <w:marRight w:val="0"/>
      <w:marTop w:val="0"/>
      <w:marBottom w:val="0"/>
      <w:divBdr>
        <w:top w:val="none" w:sz="0" w:space="0" w:color="auto"/>
        <w:left w:val="none" w:sz="0" w:space="0" w:color="auto"/>
        <w:bottom w:val="none" w:sz="0" w:space="0" w:color="auto"/>
        <w:right w:val="none" w:sz="0" w:space="0" w:color="auto"/>
      </w:divBdr>
    </w:div>
    <w:div w:id="1634404725">
      <w:bodyDiv w:val="1"/>
      <w:marLeft w:val="0"/>
      <w:marRight w:val="0"/>
      <w:marTop w:val="0"/>
      <w:marBottom w:val="0"/>
      <w:divBdr>
        <w:top w:val="none" w:sz="0" w:space="0" w:color="auto"/>
        <w:left w:val="none" w:sz="0" w:space="0" w:color="auto"/>
        <w:bottom w:val="none" w:sz="0" w:space="0" w:color="auto"/>
        <w:right w:val="none" w:sz="0" w:space="0" w:color="auto"/>
      </w:divBdr>
    </w:div>
    <w:div w:id="1634408910">
      <w:bodyDiv w:val="1"/>
      <w:marLeft w:val="0"/>
      <w:marRight w:val="0"/>
      <w:marTop w:val="0"/>
      <w:marBottom w:val="0"/>
      <w:divBdr>
        <w:top w:val="none" w:sz="0" w:space="0" w:color="auto"/>
        <w:left w:val="none" w:sz="0" w:space="0" w:color="auto"/>
        <w:bottom w:val="none" w:sz="0" w:space="0" w:color="auto"/>
        <w:right w:val="none" w:sz="0" w:space="0" w:color="auto"/>
      </w:divBdr>
    </w:div>
    <w:div w:id="1634630744">
      <w:bodyDiv w:val="1"/>
      <w:marLeft w:val="0"/>
      <w:marRight w:val="0"/>
      <w:marTop w:val="0"/>
      <w:marBottom w:val="0"/>
      <w:divBdr>
        <w:top w:val="none" w:sz="0" w:space="0" w:color="auto"/>
        <w:left w:val="none" w:sz="0" w:space="0" w:color="auto"/>
        <w:bottom w:val="none" w:sz="0" w:space="0" w:color="auto"/>
        <w:right w:val="none" w:sz="0" w:space="0" w:color="auto"/>
      </w:divBdr>
    </w:div>
    <w:div w:id="1634670667">
      <w:bodyDiv w:val="1"/>
      <w:marLeft w:val="0"/>
      <w:marRight w:val="0"/>
      <w:marTop w:val="0"/>
      <w:marBottom w:val="0"/>
      <w:divBdr>
        <w:top w:val="none" w:sz="0" w:space="0" w:color="auto"/>
        <w:left w:val="none" w:sz="0" w:space="0" w:color="auto"/>
        <w:bottom w:val="none" w:sz="0" w:space="0" w:color="auto"/>
        <w:right w:val="none" w:sz="0" w:space="0" w:color="auto"/>
      </w:divBdr>
    </w:div>
    <w:div w:id="1634674153">
      <w:bodyDiv w:val="1"/>
      <w:marLeft w:val="0"/>
      <w:marRight w:val="0"/>
      <w:marTop w:val="0"/>
      <w:marBottom w:val="0"/>
      <w:divBdr>
        <w:top w:val="none" w:sz="0" w:space="0" w:color="auto"/>
        <w:left w:val="none" w:sz="0" w:space="0" w:color="auto"/>
        <w:bottom w:val="none" w:sz="0" w:space="0" w:color="auto"/>
        <w:right w:val="none" w:sz="0" w:space="0" w:color="auto"/>
      </w:divBdr>
    </w:div>
    <w:div w:id="1634752620">
      <w:bodyDiv w:val="1"/>
      <w:marLeft w:val="0"/>
      <w:marRight w:val="0"/>
      <w:marTop w:val="0"/>
      <w:marBottom w:val="0"/>
      <w:divBdr>
        <w:top w:val="none" w:sz="0" w:space="0" w:color="auto"/>
        <w:left w:val="none" w:sz="0" w:space="0" w:color="auto"/>
        <w:bottom w:val="none" w:sz="0" w:space="0" w:color="auto"/>
        <w:right w:val="none" w:sz="0" w:space="0" w:color="auto"/>
      </w:divBdr>
    </w:div>
    <w:div w:id="1634821234">
      <w:bodyDiv w:val="1"/>
      <w:marLeft w:val="0"/>
      <w:marRight w:val="0"/>
      <w:marTop w:val="0"/>
      <w:marBottom w:val="0"/>
      <w:divBdr>
        <w:top w:val="none" w:sz="0" w:space="0" w:color="auto"/>
        <w:left w:val="none" w:sz="0" w:space="0" w:color="auto"/>
        <w:bottom w:val="none" w:sz="0" w:space="0" w:color="auto"/>
        <w:right w:val="none" w:sz="0" w:space="0" w:color="auto"/>
      </w:divBdr>
    </w:div>
    <w:div w:id="1635135081">
      <w:bodyDiv w:val="1"/>
      <w:marLeft w:val="0"/>
      <w:marRight w:val="0"/>
      <w:marTop w:val="0"/>
      <w:marBottom w:val="0"/>
      <w:divBdr>
        <w:top w:val="none" w:sz="0" w:space="0" w:color="auto"/>
        <w:left w:val="none" w:sz="0" w:space="0" w:color="auto"/>
        <w:bottom w:val="none" w:sz="0" w:space="0" w:color="auto"/>
        <w:right w:val="none" w:sz="0" w:space="0" w:color="auto"/>
      </w:divBdr>
    </w:div>
    <w:div w:id="1635142145">
      <w:bodyDiv w:val="1"/>
      <w:marLeft w:val="0"/>
      <w:marRight w:val="0"/>
      <w:marTop w:val="0"/>
      <w:marBottom w:val="0"/>
      <w:divBdr>
        <w:top w:val="none" w:sz="0" w:space="0" w:color="auto"/>
        <w:left w:val="none" w:sz="0" w:space="0" w:color="auto"/>
        <w:bottom w:val="none" w:sz="0" w:space="0" w:color="auto"/>
        <w:right w:val="none" w:sz="0" w:space="0" w:color="auto"/>
      </w:divBdr>
    </w:div>
    <w:div w:id="1635335250">
      <w:bodyDiv w:val="1"/>
      <w:marLeft w:val="0"/>
      <w:marRight w:val="0"/>
      <w:marTop w:val="0"/>
      <w:marBottom w:val="0"/>
      <w:divBdr>
        <w:top w:val="none" w:sz="0" w:space="0" w:color="auto"/>
        <w:left w:val="none" w:sz="0" w:space="0" w:color="auto"/>
        <w:bottom w:val="none" w:sz="0" w:space="0" w:color="auto"/>
        <w:right w:val="none" w:sz="0" w:space="0" w:color="auto"/>
      </w:divBdr>
    </w:div>
    <w:div w:id="1635521206">
      <w:bodyDiv w:val="1"/>
      <w:marLeft w:val="0"/>
      <w:marRight w:val="0"/>
      <w:marTop w:val="0"/>
      <w:marBottom w:val="0"/>
      <w:divBdr>
        <w:top w:val="none" w:sz="0" w:space="0" w:color="auto"/>
        <w:left w:val="none" w:sz="0" w:space="0" w:color="auto"/>
        <w:bottom w:val="none" w:sz="0" w:space="0" w:color="auto"/>
        <w:right w:val="none" w:sz="0" w:space="0" w:color="auto"/>
      </w:divBdr>
    </w:div>
    <w:div w:id="1635527700">
      <w:bodyDiv w:val="1"/>
      <w:marLeft w:val="0"/>
      <w:marRight w:val="0"/>
      <w:marTop w:val="0"/>
      <w:marBottom w:val="0"/>
      <w:divBdr>
        <w:top w:val="none" w:sz="0" w:space="0" w:color="auto"/>
        <w:left w:val="none" w:sz="0" w:space="0" w:color="auto"/>
        <w:bottom w:val="none" w:sz="0" w:space="0" w:color="auto"/>
        <w:right w:val="none" w:sz="0" w:space="0" w:color="auto"/>
      </w:divBdr>
    </w:div>
    <w:div w:id="1635713263">
      <w:bodyDiv w:val="1"/>
      <w:marLeft w:val="0"/>
      <w:marRight w:val="0"/>
      <w:marTop w:val="0"/>
      <w:marBottom w:val="0"/>
      <w:divBdr>
        <w:top w:val="none" w:sz="0" w:space="0" w:color="auto"/>
        <w:left w:val="none" w:sz="0" w:space="0" w:color="auto"/>
        <w:bottom w:val="none" w:sz="0" w:space="0" w:color="auto"/>
        <w:right w:val="none" w:sz="0" w:space="0" w:color="auto"/>
      </w:divBdr>
    </w:div>
    <w:div w:id="1635717418">
      <w:bodyDiv w:val="1"/>
      <w:marLeft w:val="0"/>
      <w:marRight w:val="0"/>
      <w:marTop w:val="0"/>
      <w:marBottom w:val="0"/>
      <w:divBdr>
        <w:top w:val="none" w:sz="0" w:space="0" w:color="auto"/>
        <w:left w:val="none" w:sz="0" w:space="0" w:color="auto"/>
        <w:bottom w:val="none" w:sz="0" w:space="0" w:color="auto"/>
        <w:right w:val="none" w:sz="0" w:space="0" w:color="auto"/>
      </w:divBdr>
    </w:div>
    <w:div w:id="1635791142">
      <w:bodyDiv w:val="1"/>
      <w:marLeft w:val="0"/>
      <w:marRight w:val="0"/>
      <w:marTop w:val="0"/>
      <w:marBottom w:val="0"/>
      <w:divBdr>
        <w:top w:val="none" w:sz="0" w:space="0" w:color="auto"/>
        <w:left w:val="none" w:sz="0" w:space="0" w:color="auto"/>
        <w:bottom w:val="none" w:sz="0" w:space="0" w:color="auto"/>
        <w:right w:val="none" w:sz="0" w:space="0" w:color="auto"/>
      </w:divBdr>
    </w:div>
    <w:div w:id="1635793552">
      <w:bodyDiv w:val="1"/>
      <w:marLeft w:val="0"/>
      <w:marRight w:val="0"/>
      <w:marTop w:val="0"/>
      <w:marBottom w:val="0"/>
      <w:divBdr>
        <w:top w:val="none" w:sz="0" w:space="0" w:color="auto"/>
        <w:left w:val="none" w:sz="0" w:space="0" w:color="auto"/>
        <w:bottom w:val="none" w:sz="0" w:space="0" w:color="auto"/>
        <w:right w:val="none" w:sz="0" w:space="0" w:color="auto"/>
      </w:divBdr>
    </w:div>
    <w:div w:id="1635869787">
      <w:bodyDiv w:val="1"/>
      <w:marLeft w:val="0"/>
      <w:marRight w:val="0"/>
      <w:marTop w:val="0"/>
      <w:marBottom w:val="0"/>
      <w:divBdr>
        <w:top w:val="none" w:sz="0" w:space="0" w:color="auto"/>
        <w:left w:val="none" w:sz="0" w:space="0" w:color="auto"/>
        <w:bottom w:val="none" w:sz="0" w:space="0" w:color="auto"/>
        <w:right w:val="none" w:sz="0" w:space="0" w:color="auto"/>
      </w:divBdr>
    </w:div>
    <w:div w:id="1635989242">
      <w:bodyDiv w:val="1"/>
      <w:marLeft w:val="0"/>
      <w:marRight w:val="0"/>
      <w:marTop w:val="0"/>
      <w:marBottom w:val="0"/>
      <w:divBdr>
        <w:top w:val="none" w:sz="0" w:space="0" w:color="auto"/>
        <w:left w:val="none" w:sz="0" w:space="0" w:color="auto"/>
        <w:bottom w:val="none" w:sz="0" w:space="0" w:color="auto"/>
        <w:right w:val="none" w:sz="0" w:space="0" w:color="auto"/>
      </w:divBdr>
    </w:div>
    <w:div w:id="1636058725">
      <w:bodyDiv w:val="1"/>
      <w:marLeft w:val="0"/>
      <w:marRight w:val="0"/>
      <w:marTop w:val="0"/>
      <w:marBottom w:val="0"/>
      <w:divBdr>
        <w:top w:val="none" w:sz="0" w:space="0" w:color="auto"/>
        <w:left w:val="none" w:sz="0" w:space="0" w:color="auto"/>
        <w:bottom w:val="none" w:sz="0" w:space="0" w:color="auto"/>
        <w:right w:val="none" w:sz="0" w:space="0" w:color="auto"/>
      </w:divBdr>
    </w:div>
    <w:div w:id="1636060803">
      <w:bodyDiv w:val="1"/>
      <w:marLeft w:val="0"/>
      <w:marRight w:val="0"/>
      <w:marTop w:val="0"/>
      <w:marBottom w:val="0"/>
      <w:divBdr>
        <w:top w:val="none" w:sz="0" w:space="0" w:color="auto"/>
        <w:left w:val="none" w:sz="0" w:space="0" w:color="auto"/>
        <w:bottom w:val="none" w:sz="0" w:space="0" w:color="auto"/>
        <w:right w:val="none" w:sz="0" w:space="0" w:color="auto"/>
      </w:divBdr>
    </w:div>
    <w:div w:id="1636107350">
      <w:bodyDiv w:val="1"/>
      <w:marLeft w:val="0"/>
      <w:marRight w:val="0"/>
      <w:marTop w:val="0"/>
      <w:marBottom w:val="0"/>
      <w:divBdr>
        <w:top w:val="none" w:sz="0" w:space="0" w:color="auto"/>
        <w:left w:val="none" w:sz="0" w:space="0" w:color="auto"/>
        <w:bottom w:val="none" w:sz="0" w:space="0" w:color="auto"/>
        <w:right w:val="none" w:sz="0" w:space="0" w:color="auto"/>
      </w:divBdr>
    </w:div>
    <w:div w:id="1636134309">
      <w:bodyDiv w:val="1"/>
      <w:marLeft w:val="0"/>
      <w:marRight w:val="0"/>
      <w:marTop w:val="0"/>
      <w:marBottom w:val="0"/>
      <w:divBdr>
        <w:top w:val="none" w:sz="0" w:space="0" w:color="auto"/>
        <w:left w:val="none" w:sz="0" w:space="0" w:color="auto"/>
        <w:bottom w:val="none" w:sz="0" w:space="0" w:color="auto"/>
        <w:right w:val="none" w:sz="0" w:space="0" w:color="auto"/>
      </w:divBdr>
    </w:div>
    <w:div w:id="1636181787">
      <w:bodyDiv w:val="1"/>
      <w:marLeft w:val="0"/>
      <w:marRight w:val="0"/>
      <w:marTop w:val="0"/>
      <w:marBottom w:val="0"/>
      <w:divBdr>
        <w:top w:val="none" w:sz="0" w:space="0" w:color="auto"/>
        <w:left w:val="none" w:sz="0" w:space="0" w:color="auto"/>
        <w:bottom w:val="none" w:sz="0" w:space="0" w:color="auto"/>
        <w:right w:val="none" w:sz="0" w:space="0" w:color="auto"/>
      </w:divBdr>
    </w:div>
    <w:div w:id="1636182929">
      <w:bodyDiv w:val="1"/>
      <w:marLeft w:val="0"/>
      <w:marRight w:val="0"/>
      <w:marTop w:val="0"/>
      <w:marBottom w:val="0"/>
      <w:divBdr>
        <w:top w:val="none" w:sz="0" w:space="0" w:color="auto"/>
        <w:left w:val="none" w:sz="0" w:space="0" w:color="auto"/>
        <w:bottom w:val="none" w:sz="0" w:space="0" w:color="auto"/>
        <w:right w:val="none" w:sz="0" w:space="0" w:color="auto"/>
      </w:divBdr>
    </w:div>
    <w:div w:id="1636369091">
      <w:bodyDiv w:val="1"/>
      <w:marLeft w:val="0"/>
      <w:marRight w:val="0"/>
      <w:marTop w:val="0"/>
      <w:marBottom w:val="0"/>
      <w:divBdr>
        <w:top w:val="none" w:sz="0" w:space="0" w:color="auto"/>
        <w:left w:val="none" w:sz="0" w:space="0" w:color="auto"/>
        <w:bottom w:val="none" w:sz="0" w:space="0" w:color="auto"/>
        <w:right w:val="none" w:sz="0" w:space="0" w:color="auto"/>
      </w:divBdr>
    </w:div>
    <w:div w:id="1636525463">
      <w:bodyDiv w:val="1"/>
      <w:marLeft w:val="0"/>
      <w:marRight w:val="0"/>
      <w:marTop w:val="0"/>
      <w:marBottom w:val="0"/>
      <w:divBdr>
        <w:top w:val="none" w:sz="0" w:space="0" w:color="auto"/>
        <w:left w:val="none" w:sz="0" w:space="0" w:color="auto"/>
        <w:bottom w:val="none" w:sz="0" w:space="0" w:color="auto"/>
        <w:right w:val="none" w:sz="0" w:space="0" w:color="auto"/>
      </w:divBdr>
    </w:div>
    <w:div w:id="1636569033">
      <w:bodyDiv w:val="1"/>
      <w:marLeft w:val="0"/>
      <w:marRight w:val="0"/>
      <w:marTop w:val="0"/>
      <w:marBottom w:val="0"/>
      <w:divBdr>
        <w:top w:val="none" w:sz="0" w:space="0" w:color="auto"/>
        <w:left w:val="none" w:sz="0" w:space="0" w:color="auto"/>
        <w:bottom w:val="none" w:sz="0" w:space="0" w:color="auto"/>
        <w:right w:val="none" w:sz="0" w:space="0" w:color="auto"/>
      </w:divBdr>
    </w:div>
    <w:div w:id="1636569933">
      <w:bodyDiv w:val="1"/>
      <w:marLeft w:val="0"/>
      <w:marRight w:val="0"/>
      <w:marTop w:val="0"/>
      <w:marBottom w:val="0"/>
      <w:divBdr>
        <w:top w:val="none" w:sz="0" w:space="0" w:color="auto"/>
        <w:left w:val="none" w:sz="0" w:space="0" w:color="auto"/>
        <w:bottom w:val="none" w:sz="0" w:space="0" w:color="auto"/>
        <w:right w:val="none" w:sz="0" w:space="0" w:color="auto"/>
      </w:divBdr>
    </w:div>
    <w:div w:id="1636640208">
      <w:bodyDiv w:val="1"/>
      <w:marLeft w:val="0"/>
      <w:marRight w:val="0"/>
      <w:marTop w:val="0"/>
      <w:marBottom w:val="0"/>
      <w:divBdr>
        <w:top w:val="none" w:sz="0" w:space="0" w:color="auto"/>
        <w:left w:val="none" w:sz="0" w:space="0" w:color="auto"/>
        <w:bottom w:val="none" w:sz="0" w:space="0" w:color="auto"/>
        <w:right w:val="none" w:sz="0" w:space="0" w:color="auto"/>
      </w:divBdr>
    </w:div>
    <w:div w:id="1636644785">
      <w:bodyDiv w:val="1"/>
      <w:marLeft w:val="0"/>
      <w:marRight w:val="0"/>
      <w:marTop w:val="0"/>
      <w:marBottom w:val="0"/>
      <w:divBdr>
        <w:top w:val="none" w:sz="0" w:space="0" w:color="auto"/>
        <w:left w:val="none" w:sz="0" w:space="0" w:color="auto"/>
        <w:bottom w:val="none" w:sz="0" w:space="0" w:color="auto"/>
        <w:right w:val="none" w:sz="0" w:space="0" w:color="auto"/>
      </w:divBdr>
    </w:div>
    <w:div w:id="1636716317">
      <w:bodyDiv w:val="1"/>
      <w:marLeft w:val="0"/>
      <w:marRight w:val="0"/>
      <w:marTop w:val="0"/>
      <w:marBottom w:val="0"/>
      <w:divBdr>
        <w:top w:val="none" w:sz="0" w:space="0" w:color="auto"/>
        <w:left w:val="none" w:sz="0" w:space="0" w:color="auto"/>
        <w:bottom w:val="none" w:sz="0" w:space="0" w:color="auto"/>
        <w:right w:val="none" w:sz="0" w:space="0" w:color="auto"/>
      </w:divBdr>
    </w:div>
    <w:div w:id="1636720926">
      <w:bodyDiv w:val="1"/>
      <w:marLeft w:val="0"/>
      <w:marRight w:val="0"/>
      <w:marTop w:val="0"/>
      <w:marBottom w:val="0"/>
      <w:divBdr>
        <w:top w:val="none" w:sz="0" w:space="0" w:color="auto"/>
        <w:left w:val="none" w:sz="0" w:space="0" w:color="auto"/>
        <w:bottom w:val="none" w:sz="0" w:space="0" w:color="auto"/>
        <w:right w:val="none" w:sz="0" w:space="0" w:color="auto"/>
      </w:divBdr>
    </w:div>
    <w:div w:id="1636787008">
      <w:bodyDiv w:val="1"/>
      <w:marLeft w:val="0"/>
      <w:marRight w:val="0"/>
      <w:marTop w:val="0"/>
      <w:marBottom w:val="0"/>
      <w:divBdr>
        <w:top w:val="none" w:sz="0" w:space="0" w:color="auto"/>
        <w:left w:val="none" w:sz="0" w:space="0" w:color="auto"/>
        <w:bottom w:val="none" w:sz="0" w:space="0" w:color="auto"/>
        <w:right w:val="none" w:sz="0" w:space="0" w:color="auto"/>
      </w:divBdr>
    </w:div>
    <w:div w:id="1636987524">
      <w:bodyDiv w:val="1"/>
      <w:marLeft w:val="0"/>
      <w:marRight w:val="0"/>
      <w:marTop w:val="0"/>
      <w:marBottom w:val="0"/>
      <w:divBdr>
        <w:top w:val="none" w:sz="0" w:space="0" w:color="auto"/>
        <w:left w:val="none" w:sz="0" w:space="0" w:color="auto"/>
        <w:bottom w:val="none" w:sz="0" w:space="0" w:color="auto"/>
        <w:right w:val="none" w:sz="0" w:space="0" w:color="auto"/>
      </w:divBdr>
    </w:div>
    <w:div w:id="1637030970">
      <w:bodyDiv w:val="1"/>
      <w:marLeft w:val="0"/>
      <w:marRight w:val="0"/>
      <w:marTop w:val="0"/>
      <w:marBottom w:val="0"/>
      <w:divBdr>
        <w:top w:val="none" w:sz="0" w:space="0" w:color="auto"/>
        <w:left w:val="none" w:sz="0" w:space="0" w:color="auto"/>
        <w:bottom w:val="none" w:sz="0" w:space="0" w:color="auto"/>
        <w:right w:val="none" w:sz="0" w:space="0" w:color="auto"/>
      </w:divBdr>
    </w:div>
    <w:div w:id="1637031269">
      <w:bodyDiv w:val="1"/>
      <w:marLeft w:val="0"/>
      <w:marRight w:val="0"/>
      <w:marTop w:val="0"/>
      <w:marBottom w:val="0"/>
      <w:divBdr>
        <w:top w:val="none" w:sz="0" w:space="0" w:color="auto"/>
        <w:left w:val="none" w:sz="0" w:space="0" w:color="auto"/>
        <w:bottom w:val="none" w:sz="0" w:space="0" w:color="auto"/>
        <w:right w:val="none" w:sz="0" w:space="0" w:color="auto"/>
      </w:divBdr>
    </w:div>
    <w:div w:id="1637102578">
      <w:bodyDiv w:val="1"/>
      <w:marLeft w:val="0"/>
      <w:marRight w:val="0"/>
      <w:marTop w:val="0"/>
      <w:marBottom w:val="0"/>
      <w:divBdr>
        <w:top w:val="none" w:sz="0" w:space="0" w:color="auto"/>
        <w:left w:val="none" w:sz="0" w:space="0" w:color="auto"/>
        <w:bottom w:val="none" w:sz="0" w:space="0" w:color="auto"/>
        <w:right w:val="none" w:sz="0" w:space="0" w:color="auto"/>
      </w:divBdr>
    </w:div>
    <w:div w:id="1637225526">
      <w:bodyDiv w:val="1"/>
      <w:marLeft w:val="0"/>
      <w:marRight w:val="0"/>
      <w:marTop w:val="0"/>
      <w:marBottom w:val="0"/>
      <w:divBdr>
        <w:top w:val="none" w:sz="0" w:space="0" w:color="auto"/>
        <w:left w:val="none" w:sz="0" w:space="0" w:color="auto"/>
        <w:bottom w:val="none" w:sz="0" w:space="0" w:color="auto"/>
        <w:right w:val="none" w:sz="0" w:space="0" w:color="auto"/>
      </w:divBdr>
    </w:div>
    <w:div w:id="1637367212">
      <w:bodyDiv w:val="1"/>
      <w:marLeft w:val="0"/>
      <w:marRight w:val="0"/>
      <w:marTop w:val="0"/>
      <w:marBottom w:val="0"/>
      <w:divBdr>
        <w:top w:val="none" w:sz="0" w:space="0" w:color="auto"/>
        <w:left w:val="none" w:sz="0" w:space="0" w:color="auto"/>
        <w:bottom w:val="none" w:sz="0" w:space="0" w:color="auto"/>
        <w:right w:val="none" w:sz="0" w:space="0" w:color="auto"/>
      </w:divBdr>
    </w:div>
    <w:div w:id="1637374737">
      <w:bodyDiv w:val="1"/>
      <w:marLeft w:val="0"/>
      <w:marRight w:val="0"/>
      <w:marTop w:val="0"/>
      <w:marBottom w:val="0"/>
      <w:divBdr>
        <w:top w:val="none" w:sz="0" w:space="0" w:color="auto"/>
        <w:left w:val="none" w:sz="0" w:space="0" w:color="auto"/>
        <w:bottom w:val="none" w:sz="0" w:space="0" w:color="auto"/>
        <w:right w:val="none" w:sz="0" w:space="0" w:color="auto"/>
      </w:divBdr>
    </w:div>
    <w:div w:id="1637485355">
      <w:bodyDiv w:val="1"/>
      <w:marLeft w:val="0"/>
      <w:marRight w:val="0"/>
      <w:marTop w:val="0"/>
      <w:marBottom w:val="0"/>
      <w:divBdr>
        <w:top w:val="none" w:sz="0" w:space="0" w:color="auto"/>
        <w:left w:val="none" w:sz="0" w:space="0" w:color="auto"/>
        <w:bottom w:val="none" w:sz="0" w:space="0" w:color="auto"/>
        <w:right w:val="none" w:sz="0" w:space="0" w:color="auto"/>
      </w:divBdr>
    </w:div>
    <w:div w:id="1637486205">
      <w:bodyDiv w:val="1"/>
      <w:marLeft w:val="0"/>
      <w:marRight w:val="0"/>
      <w:marTop w:val="0"/>
      <w:marBottom w:val="0"/>
      <w:divBdr>
        <w:top w:val="none" w:sz="0" w:space="0" w:color="auto"/>
        <w:left w:val="none" w:sz="0" w:space="0" w:color="auto"/>
        <w:bottom w:val="none" w:sz="0" w:space="0" w:color="auto"/>
        <w:right w:val="none" w:sz="0" w:space="0" w:color="auto"/>
      </w:divBdr>
    </w:div>
    <w:div w:id="1637644606">
      <w:bodyDiv w:val="1"/>
      <w:marLeft w:val="0"/>
      <w:marRight w:val="0"/>
      <w:marTop w:val="0"/>
      <w:marBottom w:val="0"/>
      <w:divBdr>
        <w:top w:val="none" w:sz="0" w:space="0" w:color="auto"/>
        <w:left w:val="none" w:sz="0" w:space="0" w:color="auto"/>
        <w:bottom w:val="none" w:sz="0" w:space="0" w:color="auto"/>
        <w:right w:val="none" w:sz="0" w:space="0" w:color="auto"/>
      </w:divBdr>
    </w:div>
    <w:div w:id="1638098682">
      <w:bodyDiv w:val="1"/>
      <w:marLeft w:val="0"/>
      <w:marRight w:val="0"/>
      <w:marTop w:val="0"/>
      <w:marBottom w:val="0"/>
      <w:divBdr>
        <w:top w:val="none" w:sz="0" w:space="0" w:color="auto"/>
        <w:left w:val="none" w:sz="0" w:space="0" w:color="auto"/>
        <w:bottom w:val="none" w:sz="0" w:space="0" w:color="auto"/>
        <w:right w:val="none" w:sz="0" w:space="0" w:color="auto"/>
      </w:divBdr>
    </w:div>
    <w:div w:id="1638101222">
      <w:bodyDiv w:val="1"/>
      <w:marLeft w:val="0"/>
      <w:marRight w:val="0"/>
      <w:marTop w:val="0"/>
      <w:marBottom w:val="0"/>
      <w:divBdr>
        <w:top w:val="none" w:sz="0" w:space="0" w:color="auto"/>
        <w:left w:val="none" w:sz="0" w:space="0" w:color="auto"/>
        <w:bottom w:val="none" w:sz="0" w:space="0" w:color="auto"/>
        <w:right w:val="none" w:sz="0" w:space="0" w:color="auto"/>
      </w:divBdr>
    </w:div>
    <w:div w:id="1638103804">
      <w:bodyDiv w:val="1"/>
      <w:marLeft w:val="0"/>
      <w:marRight w:val="0"/>
      <w:marTop w:val="0"/>
      <w:marBottom w:val="0"/>
      <w:divBdr>
        <w:top w:val="none" w:sz="0" w:space="0" w:color="auto"/>
        <w:left w:val="none" w:sz="0" w:space="0" w:color="auto"/>
        <w:bottom w:val="none" w:sz="0" w:space="0" w:color="auto"/>
        <w:right w:val="none" w:sz="0" w:space="0" w:color="auto"/>
      </w:divBdr>
    </w:div>
    <w:div w:id="1638148269">
      <w:bodyDiv w:val="1"/>
      <w:marLeft w:val="0"/>
      <w:marRight w:val="0"/>
      <w:marTop w:val="0"/>
      <w:marBottom w:val="0"/>
      <w:divBdr>
        <w:top w:val="none" w:sz="0" w:space="0" w:color="auto"/>
        <w:left w:val="none" w:sz="0" w:space="0" w:color="auto"/>
        <w:bottom w:val="none" w:sz="0" w:space="0" w:color="auto"/>
        <w:right w:val="none" w:sz="0" w:space="0" w:color="auto"/>
      </w:divBdr>
    </w:div>
    <w:div w:id="1638216081">
      <w:bodyDiv w:val="1"/>
      <w:marLeft w:val="0"/>
      <w:marRight w:val="0"/>
      <w:marTop w:val="0"/>
      <w:marBottom w:val="0"/>
      <w:divBdr>
        <w:top w:val="none" w:sz="0" w:space="0" w:color="auto"/>
        <w:left w:val="none" w:sz="0" w:space="0" w:color="auto"/>
        <w:bottom w:val="none" w:sz="0" w:space="0" w:color="auto"/>
        <w:right w:val="none" w:sz="0" w:space="0" w:color="auto"/>
      </w:divBdr>
    </w:div>
    <w:div w:id="1638292265">
      <w:bodyDiv w:val="1"/>
      <w:marLeft w:val="0"/>
      <w:marRight w:val="0"/>
      <w:marTop w:val="0"/>
      <w:marBottom w:val="0"/>
      <w:divBdr>
        <w:top w:val="none" w:sz="0" w:space="0" w:color="auto"/>
        <w:left w:val="none" w:sz="0" w:space="0" w:color="auto"/>
        <w:bottom w:val="none" w:sz="0" w:space="0" w:color="auto"/>
        <w:right w:val="none" w:sz="0" w:space="0" w:color="auto"/>
      </w:divBdr>
    </w:div>
    <w:div w:id="1638296643">
      <w:bodyDiv w:val="1"/>
      <w:marLeft w:val="0"/>
      <w:marRight w:val="0"/>
      <w:marTop w:val="0"/>
      <w:marBottom w:val="0"/>
      <w:divBdr>
        <w:top w:val="none" w:sz="0" w:space="0" w:color="auto"/>
        <w:left w:val="none" w:sz="0" w:space="0" w:color="auto"/>
        <w:bottom w:val="none" w:sz="0" w:space="0" w:color="auto"/>
        <w:right w:val="none" w:sz="0" w:space="0" w:color="auto"/>
      </w:divBdr>
    </w:div>
    <w:div w:id="1638340543">
      <w:bodyDiv w:val="1"/>
      <w:marLeft w:val="0"/>
      <w:marRight w:val="0"/>
      <w:marTop w:val="0"/>
      <w:marBottom w:val="0"/>
      <w:divBdr>
        <w:top w:val="none" w:sz="0" w:space="0" w:color="auto"/>
        <w:left w:val="none" w:sz="0" w:space="0" w:color="auto"/>
        <w:bottom w:val="none" w:sz="0" w:space="0" w:color="auto"/>
        <w:right w:val="none" w:sz="0" w:space="0" w:color="auto"/>
      </w:divBdr>
    </w:div>
    <w:div w:id="1638342895">
      <w:bodyDiv w:val="1"/>
      <w:marLeft w:val="0"/>
      <w:marRight w:val="0"/>
      <w:marTop w:val="0"/>
      <w:marBottom w:val="0"/>
      <w:divBdr>
        <w:top w:val="none" w:sz="0" w:space="0" w:color="auto"/>
        <w:left w:val="none" w:sz="0" w:space="0" w:color="auto"/>
        <w:bottom w:val="none" w:sz="0" w:space="0" w:color="auto"/>
        <w:right w:val="none" w:sz="0" w:space="0" w:color="auto"/>
      </w:divBdr>
    </w:div>
    <w:div w:id="1638485255">
      <w:bodyDiv w:val="1"/>
      <w:marLeft w:val="0"/>
      <w:marRight w:val="0"/>
      <w:marTop w:val="0"/>
      <w:marBottom w:val="0"/>
      <w:divBdr>
        <w:top w:val="none" w:sz="0" w:space="0" w:color="auto"/>
        <w:left w:val="none" w:sz="0" w:space="0" w:color="auto"/>
        <w:bottom w:val="none" w:sz="0" w:space="0" w:color="auto"/>
        <w:right w:val="none" w:sz="0" w:space="0" w:color="auto"/>
      </w:divBdr>
    </w:div>
    <w:div w:id="1638490215">
      <w:bodyDiv w:val="1"/>
      <w:marLeft w:val="0"/>
      <w:marRight w:val="0"/>
      <w:marTop w:val="0"/>
      <w:marBottom w:val="0"/>
      <w:divBdr>
        <w:top w:val="none" w:sz="0" w:space="0" w:color="auto"/>
        <w:left w:val="none" w:sz="0" w:space="0" w:color="auto"/>
        <w:bottom w:val="none" w:sz="0" w:space="0" w:color="auto"/>
        <w:right w:val="none" w:sz="0" w:space="0" w:color="auto"/>
      </w:divBdr>
    </w:div>
    <w:div w:id="1638687054">
      <w:bodyDiv w:val="1"/>
      <w:marLeft w:val="0"/>
      <w:marRight w:val="0"/>
      <w:marTop w:val="0"/>
      <w:marBottom w:val="0"/>
      <w:divBdr>
        <w:top w:val="none" w:sz="0" w:space="0" w:color="auto"/>
        <w:left w:val="none" w:sz="0" w:space="0" w:color="auto"/>
        <w:bottom w:val="none" w:sz="0" w:space="0" w:color="auto"/>
        <w:right w:val="none" w:sz="0" w:space="0" w:color="auto"/>
      </w:divBdr>
    </w:div>
    <w:div w:id="1639071821">
      <w:bodyDiv w:val="1"/>
      <w:marLeft w:val="0"/>
      <w:marRight w:val="0"/>
      <w:marTop w:val="0"/>
      <w:marBottom w:val="0"/>
      <w:divBdr>
        <w:top w:val="none" w:sz="0" w:space="0" w:color="auto"/>
        <w:left w:val="none" w:sz="0" w:space="0" w:color="auto"/>
        <w:bottom w:val="none" w:sz="0" w:space="0" w:color="auto"/>
        <w:right w:val="none" w:sz="0" w:space="0" w:color="auto"/>
      </w:divBdr>
    </w:div>
    <w:div w:id="1639186981">
      <w:bodyDiv w:val="1"/>
      <w:marLeft w:val="0"/>
      <w:marRight w:val="0"/>
      <w:marTop w:val="0"/>
      <w:marBottom w:val="0"/>
      <w:divBdr>
        <w:top w:val="none" w:sz="0" w:space="0" w:color="auto"/>
        <w:left w:val="none" w:sz="0" w:space="0" w:color="auto"/>
        <w:bottom w:val="none" w:sz="0" w:space="0" w:color="auto"/>
        <w:right w:val="none" w:sz="0" w:space="0" w:color="auto"/>
      </w:divBdr>
    </w:div>
    <w:div w:id="1639218112">
      <w:bodyDiv w:val="1"/>
      <w:marLeft w:val="0"/>
      <w:marRight w:val="0"/>
      <w:marTop w:val="0"/>
      <w:marBottom w:val="0"/>
      <w:divBdr>
        <w:top w:val="none" w:sz="0" w:space="0" w:color="auto"/>
        <w:left w:val="none" w:sz="0" w:space="0" w:color="auto"/>
        <w:bottom w:val="none" w:sz="0" w:space="0" w:color="auto"/>
        <w:right w:val="none" w:sz="0" w:space="0" w:color="auto"/>
      </w:divBdr>
    </w:div>
    <w:div w:id="1639263503">
      <w:bodyDiv w:val="1"/>
      <w:marLeft w:val="0"/>
      <w:marRight w:val="0"/>
      <w:marTop w:val="0"/>
      <w:marBottom w:val="0"/>
      <w:divBdr>
        <w:top w:val="none" w:sz="0" w:space="0" w:color="auto"/>
        <w:left w:val="none" w:sz="0" w:space="0" w:color="auto"/>
        <w:bottom w:val="none" w:sz="0" w:space="0" w:color="auto"/>
        <w:right w:val="none" w:sz="0" w:space="0" w:color="auto"/>
      </w:divBdr>
    </w:div>
    <w:div w:id="1639332822">
      <w:bodyDiv w:val="1"/>
      <w:marLeft w:val="0"/>
      <w:marRight w:val="0"/>
      <w:marTop w:val="0"/>
      <w:marBottom w:val="0"/>
      <w:divBdr>
        <w:top w:val="none" w:sz="0" w:space="0" w:color="auto"/>
        <w:left w:val="none" w:sz="0" w:space="0" w:color="auto"/>
        <w:bottom w:val="none" w:sz="0" w:space="0" w:color="auto"/>
        <w:right w:val="none" w:sz="0" w:space="0" w:color="auto"/>
      </w:divBdr>
    </w:div>
    <w:div w:id="1639333137">
      <w:bodyDiv w:val="1"/>
      <w:marLeft w:val="0"/>
      <w:marRight w:val="0"/>
      <w:marTop w:val="0"/>
      <w:marBottom w:val="0"/>
      <w:divBdr>
        <w:top w:val="none" w:sz="0" w:space="0" w:color="auto"/>
        <w:left w:val="none" w:sz="0" w:space="0" w:color="auto"/>
        <w:bottom w:val="none" w:sz="0" w:space="0" w:color="auto"/>
        <w:right w:val="none" w:sz="0" w:space="0" w:color="auto"/>
      </w:divBdr>
    </w:div>
    <w:div w:id="1639333287">
      <w:bodyDiv w:val="1"/>
      <w:marLeft w:val="0"/>
      <w:marRight w:val="0"/>
      <w:marTop w:val="0"/>
      <w:marBottom w:val="0"/>
      <w:divBdr>
        <w:top w:val="none" w:sz="0" w:space="0" w:color="auto"/>
        <w:left w:val="none" w:sz="0" w:space="0" w:color="auto"/>
        <w:bottom w:val="none" w:sz="0" w:space="0" w:color="auto"/>
        <w:right w:val="none" w:sz="0" w:space="0" w:color="auto"/>
      </w:divBdr>
    </w:div>
    <w:div w:id="1639408923">
      <w:bodyDiv w:val="1"/>
      <w:marLeft w:val="0"/>
      <w:marRight w:val="0"/>
      <w:marTop w:val="0"/>
      <w:marBottom w:val="0"/>
      <w:divBdr>
        <w:top w:val="none" w:sz="0" w:space="0" w:color="auto"/>
        <w:left w:val="none" w:sz="0" w:space="0" w:color="auto"/>
        <w:bottom w:val="none" w:sz="0" w:space="0" w:color="auto"/>
        <w:right w:val="none" w:sz="0" w:space="0" w:color="auto"/>
      </w:divBdr>
    </w:div>
    <w:div w:id="1639647914">
      <w:bodyDiv w:val="1"/>
      <w:marLeft w:val="0"/>
      <w:marRight w:val="0"/>
      <w:marTop w:val="0"/>
      <w:marBottom w:val="0"/>
      <w:divBdr>
        <w:top w:val="none" w:sz="0" w:space="0" w:color="auto"/>
        <w:left w:val="none" w:sz="0" w:space="0" w:color="auto"/>
        <w:bottom w:val="none" w:sz="0" w:space="0" w:color="auto"/>
        <w:right w:val="none" w:sz="0" w:space="0" w:color="auto"/>
      </w:divBdr>
    </w:div>
    <w:div w:id="1639913557">
      <w:bodyDiv w:val="1"/>
      <w:marLeft w:val="0"/>
      <w:marRight w:val="0"/>
      <w:marTop w:val="0"/>
      <w:marBottom w:val="0"/>
      <w:divBdr>
        <w:top w:val="none" w:sz="0" w:space="0" w:color="auto"/>
        <w:left w:val="none" w:sz="0" w:space="0" w:color="auto"/>
        <w:bottom w:val="none" w:sz="0" w:space="0" w:color="auto"/>
        <w:right w:val="none" w:sz="0" w:space="0" w:color="auto"/>
      </w:divBdr>
    </w:div>
    <w:div w:id="1639916278">
      <w:bodyDiv w:val="1"/>
      <w:marLeft w:val="0"/>
      <w:marRight w:val="0"/>
      <w:marTop w:val="0"/>
      <w:marBottom w:val="0"/>
      <w:divBdr>
        <w:top w:val="none" w:sz="0" w:space="0" w:color="auto"/>
        <w:left w:val="none" w:sz="0" w:space="0" w:color="auto"/>
        <w:bottom w:val="none" w:sz="0" w:space="0" w:color="auto"/>
        <w:right w:val="none" w:sz="0" w:space="0" w:color="auto"/>
      </w:divBdr>
    </w:div>
    <w:div w:id="1639917539">
      <w:bodyDiv w:val="1"/>
      <w:marLeft w:val="0"/>
      <w:marRight w:val="0"/>
      <w:marTop w:val="0"/>
      <w:marBottom w:val="0"/>
      <w:divBdr>
        <w:top w:val="none" w:sz="0" w:space="0" w:color="auto"/>
        <w:left w:val="none" w:sz="0" w:space="0" w:color="auto"/>
        <w:bottom w:val="none" w:sz="0" w:space="0" w:color="auto"/>
        <w:right w:val="none" w:sz="0" w:space="0" w:color="auto"/>
      </w:divBdr>
    </w:div>
    <w:div w:id="1639919619">
      <w:bodyDiv w:val="1"/>
      <w:marLeft w:val="0"/>
      <w:marRight w:val="0"/>
      <w:marTop w:val="0"/>
      <w:marBottom w:val="0"/>
      <w:divBdr>
        <w:top w:val="none" w:sz="0" w:space="0" w:color="auto"/>
        <w:left w:val="none" w:sz="0" w:space="0" w:color="auto"/>
        <w:bottom w:val="none" w:sz="0" w:space="0" w:color="auto"/>
        <w:right w:val="none" w:sz="0" w:space="0" w:color="auto"/>
      </w:divBdr>
    </w:div>
    <w:div w:id="1639988531">
      <w:bodyDiv w:val="1"/>
      <w:marLeft w:val="0"/>
      <w:marRight w:val="0"/>
      <w:marTop w:val="0"/>
      <w:marBottom w:val="0"/>
      <w:divBdr>
        <w:top w:val="none" w:sz="0" w:space="0" w:color="auto"/>
        <w:left w:val="none" w:sz="0" w:space="0" w:color="auto"/>
        <w:bottom w:val="none" w:sz="0" w:space="0" w:color="auto"/>
        <w:right w:val="none" w:sz="0" w:space="0" w:color="auto"/>
      </w:divBdr>
    </w:div>
    <w:div w:id="1639994573">
      <w:bodyDiv w:val="1"/>
      <w:marLeft w:val="0"/>
      <w:marRight w:val="0"/>
      <w:marTop w:val="0"/>
      <w:marBottom w:val="0"/>
      <w:divBdr>
        <w:top w:val="none" w:sz="0" w:space="0" w:color="auto"/>
        <w:left w:val="none" w:sz="0" w:space="0" w:color="auto"/>
        <w:bottom w:val="none" w:sz="0" w:space="0" w:color="auto"/>
        <w:right w:val="none" w:sz="0" w:space="0" w:color="auto"/>
      </w:divBdr>
    </w:div>
    <w:div w:id="1640070436">
      <w:bodyDiv w:val="1"/>
      <w:marLeft w:val="0"/>
      <w:marRight w:val="0"/>
      <w:marTop w:val="0"/>
      <w:marBottom w:val="0"/>
      <w:divBdr>
        <w:top w:val="none" w:sz="0" w:space="0" w:color="auto"/>
        <w:left w:val="none" w:sz="0" w:space="0" w:color="auto"/>
        <w:bottom w:val="none" w:sz="0" w:space="0" w:color="auto"/>
        <w:right w:val="none" w:sz="0" w:space="0" w:color="auto"/>
      </w:divBdr>
    </w:div>
    <w:div w:id="1640265059">
      <w:bodyDiv w:val="1"/>
      <w:marLeft w:val="0"/>
      <w:marRight w:val="0"/>
      <w:marTop w:val="0"/>
      <w:marBottom w:val="0"/>
      <w:divBdr>
        <w:top w:val="none" w:sz="0" w:space="0" w:color="auto"/>
        <w:left w:val="none" w:sz="0" w:space="0" w:color="auto"/>
        <w:bottom w:val="none" w:sz="0" w:space="0" w:color="auto"/>
        <w:right w:val="none" w:sz="0" w:space="0" w:color="auto"/>
      </w:divBdr>
    </w:div>
    <w:div w:id="1640529565">
      <w:bodyDiv w:val="1"/>
      <w:marLeft w:val="0"/>
      <w:marRight w:val="0"/>
      <w:marTop w:val="0"/>
      <w:marBottom w:val="0"/>
      <w:divBdr>
        <w:top w:val="none" w:sz="0" w:space="0" w:color="auto"/>
        <w:left w:val="none" w:sz="0" w:space="0" w:color="auto"/>
        <w:bottom w:val="none" w:sz="0" w:space="0" w:color="auto"/>
        <w:right w:val="none" w:sz="0" w:space="0" w:color="auto"/>
      </w:divBdr>
    </w:div>
    <w:div w:id="1640693834">
      <w:bodyDiv w:val="1"/>
      <w:marLeft w:val="0"/>
      <w:marRight w:val="0"/>
      <w:marTop w:val="0"/>
      <w:marBottom w:val="0"/>
      <w:divBdr>
        <w:top w:val="none" w:sz="0" w:space="0" w:color="auto"/>
        <w:left w:val="none" w:sz="0" w:space="0" w:color="auto"/>
        <w:bottom w:val="none" w:sz="0" w:space="0" w:color="auto"/>
        <w:right w:val="none" w:sz="0" w:space="0" w:color="auto"/>
      </w:divBdr>
    </w:div>
    <w:div w:id="1640719672">
      <w:bodyDiv w:val="1"/>
      <w:marLeft w:val="0"/>
      <w:marRight w:val="0"/>
      <w:marTop w:val="0"/>
      <w:marBottom w:val="0"/>
      <w:divBdr>
        <w:top w:val="none" w:sz="0" w:space="0" w:color="auto"/>
        <w:left w:val="none" w:sz="0" w:space="0" w:color="auto"/>
        <w:bottom w:val="none" w:sz="0" w:space="0" w:color="auto"/>
        <w:right w:val="none" w:sz="0" w:space="0" w:color="auto"/>
      </w:divBdr>
    </w:div>
    <w:div w:id="1640761690">
      <w:bodyDiv w:val="1"/>
      <w:marLeft w:val="0"/>
      <w:marRight w:val="0"/>
      <w:marTop w:val="0"/>
      <w:marBottom w:val="0"/>
      <w:divBdr>
        <w:top w:val="none" w:sz="0" w:space="0" w:color="auto"/>
        <w:left w:val="none" w:sz="0" w:space="0" w:color="auto"/>
        <w:bottom w:val="none" w:sz="0" w:space="0" w:color="auto"/>
        <w:right w:val="none" w:sz="0" w:space="0" w:color="auto"/>
      </w:divBdr>
    </w:div>
    <w:div w:id="1640838820">
      <w:bodyDiv w:val="1"/>
      <w:marLeft w:val="0"/>
      <w:marRight w:val="0"/>
      <w:marTop w:val="0"/>
      <w:marBottom w:val="0"/>
      <w:divBdr>
        <w:top w:val="none" w:sz="0" w:space="0" w:color="auto"/>
        <w:left w:val="none" w:sz="0" w:space="0" w:color="auto"/>
        <w:bottom w:val="none" w:sz="0" w:space="0" w:color="auto"/>
        <w:right w:val="none" w:sz="0" w:space="0" w:color="auto"/>
      </w:divBdr>
    </w:div>
    <w:div w:id="1640916467">
      <w:bodyDiv w:val="1"/>
      <w:marLeft w:val="0"/>
      <w:marRight w:val="0"/>
      <w:marTop w:val="0"/>
      <w:marBottom w:val="0"/>
      <w:divBdr>
        <w:top w:val="none" w:sz="0" w:space="0" w:color="auto"/>
        <w:left w:val="none" w:sz="0" w:space="0" w:color="auto"/>
        <w:bottom w:val="none" w:sz="0" w:space="0" w:color="auto"/>
        <w:right w:val="none" w:sz="0" w:space="0" w:color="auto"/>
      </w:divBdr>
    </w:div>
    <w:div w:id="1640918706">
      <w:bodyDiv w:val="1"/>
      <w:marLeft w:val="0"/>
      <w:marRight w:val="0"/>
      <w:marTop w:val="0"/>
      <w:marBottom w:val="0"/>
      <w:divBdr>
        <w:top w:val="none" w:sz="0" w:space="0" w:color="auto"/>
        <w:left w:val="none" w:sz="0" w:space="0" w:color="auto"/>
        <w:bottom w:val="none" w:sz="0" w:space="0" w:color="auto"/>
        <w:right w:val="none" w:sz="0" w:space="0" w:color="auto"/>
      </w:divBdr>
    </w:div>
    <w:div w:id="1640958376">
      <w:bodyDiv w:val="1"/>
      <w:marLeft w:val="0"/>
      <w:marRight w:val="0"/>
      <w:marTop w:val="0"/>
      <w:marBottom w:val="0"/>
      <w:divBdr>
        <w:top w:val="none" w:sz="0" w:space="0" w:color="auto"/>
        <w:left w:val="none" w:sz="0" w:space="0" w:color="auto"/>
        <w:bottom w:val="none" w:sz="0" w:space="0" w:color="auto"/>
        <w:right w:val="none" w:sz="0" w:space="0" w:color="auto"/>
      </w:divBdr>
    </w:div>
    <w:div w:id="1640961274">
      <w:bodyDiv w:val="1"/>
      <w:marLeft w:val="0"/>
      <w:marRight w:val="0"/>
      <w:marTop w:val="0"/>
      <w:marBottom w:val="0"/>
      <w:divBdr>
        <w:top w:val="none" w:sz="0" w:space="0" w:color="auto"/>
        <w:left w:val="none" w:sz="0" w:space="0" w:color="auto"/>
        <w:bottom w:val="none" w:sz="0" w:space="0" w:color="auto"/>
        <w:right w:val="none" w:sz="0" w:space="0" w:color="auto"/>
      </w:divBdr>
    </w:div>
    <w:div w:id="1641035519">
      <w:bodyDiv w:val="1"/>
      <w:marLeft w:val="0"/>
      <w:marRight w:val="0"/>
      <w:marTop w:val="0"/>
      <w:marBottom w:val="0"/>
      <w:divBdr>
        <w:top w:val="none" w:sz="0" w:space="0" w:color="auto"/>
        <w:left w:val="none" w:sz="0" w:space="0" w:color="auto"/>
        <w:bottom w:val="none" w:sz="0" w:space="0" w:color="auto"/>
        <w:right w:val="none" w:sz="0" w:space="0" w:color="auto"/>
      </w:divBdr>
    </w:div>
    <w:div w:id="1641184032">
      <w:bodyDiv w:val="1"/>
      <w:marLeft w:val="0"/>
      <w:marRight w:val="0"/>
      <w:marTop w:val="0"/>
      <w:marBottom w:val="0"/>
      <w:divBdr>
        <w:top w:val="none" w:sz="0" w:space="0" w:color="auto"/>
        <w:left w:val="none" w:sz="0" w:space="0" w:color="auto"/>
        <w:bottom w:val="none" w:sz="0" w:space="0" w:color="auto"/>
        <w:right w:val="none" w:sz="0" w:space="0" w:color="auto"/>
      </w:divBdr>
    </w:div>
    <w:div w:id="1641416484">
      <w:bodyDiv w:val="1"/>
      <w:marLeft w:val="0"/>
      <w:marRight w:val="0"/>
      <w:marTop w:val="0"/>
      <w:marBottom w:val="0"/>
      <w:divBdr>
        <w:top w:val="none" w:sz="0" w:space="0" w:color="auto"/>
        <w:left w:val="none" w:sz="0" w:space="0" w:color="auto"/>
        <w:bottom w:val="none" w:sz="0" w:space="0" w:color="auto"/>
        <w:right w:val="none" w:sz="0" w:space="0" w:color="auto"/>
      </w:divBdr>
    </w:div>
    <w:div w:id="1641492747">
      <w:bodyDiv w:val="1"/>
      <w:marLeft w:val="0"/>
      <w:marRight w:val="0"/>
      <w:marTop w:val="0"/>
      <w:marBottom w:val="0"/>
      <w:divBdr>
        <w:top w:val="none" w:sz="0" w:space="0" w:color="auto"/>
        <w:left w:val="none" w:sz="0" w:space="0" w:color="auto"/>
        <w:bottom w:val="none" w:sz="0" w:space="0" w:color="auto"/>
        <w:right w:val="none" w:sz="0" w:space="0" w:color="auto"/>
      </w:divBdr>
    </w:div>
    <w:div w:id="1641497649">
      <w:bodyDiv w:val="1"/>
      <w:marLeft w:val="0"/>
      <w:marRight w:val="0"/>
      <w:marTop w:val="0"/>
      <w:marBottom w:val="0"/>
      <w:divBdr>
        <w:top w:val="none" w:sz="0" w:space="0" w:color="auto"/>
        <w:left w:val="none" w:sz="0" w:space="0" w:color="auto"/>
        <w:bottom w:val="none" w:sz="0" w:space="0" w:color="auto"/>
        <w:right w:val="none" w:sz="0" w:space="0" w:color="auto"/>
      </w:divBdr>
    </w:div>
    <w:div w:id="1641572771">
      <w:bodyDiv w:val="1"/>
      <w:marLeft w:val="0"/>
      <w:marRight w:val="0"/>
      <w:marTop w:val="0"/>
      <w:marBottom w:val="0"/>
      <w:divBdr>
        <w:top w:val="none" w:sz="0" w:space="0" w:color="auto"/>
        <w:left w:val="none" w:sz="0" w:space="0" w:color="auto"/>
        <w:bottom w:val="none" w:sz="0" w:space="0" w:color="auto"/>
        <w:right w:val="none" w:sz="0" w:space="0" w:color="auto"/>
      </w:divBdr>
    </w:div>
    <w:div w:id="1641575763">
      <w:bodyDiv w:val="1"/>
      <w:marLeft w:val="0"/>
      <w:marRight w:val="0"/>
      <w:marTop w:val="0"/>
      <w:marBottom w:val="0"/>
      <w:divBdr>
        <w:top w:val="none" w:sz="0" w:space="0" w:color="auto"/>
        <w:left w:val="none" w:sz="0" w:space="0" w:color="auto"/>
        <w:bottom w:val="none" w:sz="0" w:space="0" w:color="auto"/>
        <w:right w:val="none" w:sz="0" w:space="0" w:color="auto"/>
      </w:divBdr>
    </w:div>
    <w:div w:id="1642154339">
      <w:bodyDiv w:val="1"/>
      <w:marLeft w:val="0"/>
      <w:marRight w:val="0"/>
      <w:marTop w:val="0"/>
      <w:marBottom w:val="0"/>
      <w:divBdr>
        <w:top w:val="none" w:sz="0" w:space="0" w:color="auto"/>
        <w:left w:val="none" w:sz="0" w:space="0" w:color="auto"/>
        <w:bottom w:val="none" w:sz="0" w:space="0" w:color="auto"/>
        <w:right w:val="none" w:sz="0" w:space="0" w:color="auto"/>
      </w:divBdr>
    </w:div>
    <w:div w:id="1642341215">
      <w:bodyDiv w:val="1"/>
      <w:marLeft w:val="0"/>
      <w:marRight w:val="0"/>
      <w:marTop w:val="0"/>
      <w:marBottom w:val="0"/>
      <w:divBdr>
        <w:top w:val="none" w:sz="0" w:space="0" w:color="auto"/>
        <w:left w:val="none" w:sz="0" w:space="0" w:color="auto"/>
        <w:bottom w:val="none" w:sz="0" w:space="0" w:color="auto"/>
        <w:right w:val="none" w:sz="0" w:space="0" w:color="auto"/>
      </w:divBdr>
    </w:div>
    <w:div w:id="1642424938">
      <w:bodyDiv w:val="1"/>
      <w:marLeft w:val="0"/>
      <w:marRight w:val="0"/>
      <w:marTop w:val="0"/>
      <w:marBottom w:val="0"/>
      <w:divBdr>
        <w:top w:val="none" w:sz="0" w:space="0" w:color="auto"/>
        <w:left w:val="none" w:sz="0" w:space="0" w:color="auto"/>
        <w:bottom w:val="none" w:sz="0" w:space="0" w:color="auto"/>
        <w:right w:val="none" w:sz="0" w:space="0" w:color="auto"/>
      </w:divBdr>
    </w:div>
    <w:div w:id="1642464348">
      <w:bodyDiv w:val="1"/>
      <w:marLeft w:val="0"/>
      <w:marRight w:val="0"/>
      <w:marTop w:val="0"/>
      <w:marBottom w:val="0"/>
      <w:divBdr>
        <w:top w:val="none" w:sz="0" w:space="0" w:color="auto"/>
        <w:left w:val="none" w:sz="0" w:space="0" w:color="auto"/>
        <w:bottom w:val="none" w:sz="0" w:space="0" w:color="auto"/>
        <w:right w:val="none" w:sz="0" w:space="0" w:color="auto"/>
      </w:divBdr>
    </w:div>
    <w:div w:id="1642685445">
      <w:bodyDiv w:val="1"/>
      <w:marLeft w:val="0"/>
      <w:marRight w:val="0"/>
      <w:marTop w:val="0"/>
      <w:marBottom w:val="0"/>
      <w:divBdr>
        <w:top w:val="none" w:sz="0" w:space="0" w:color="auto"/>
        <w:left w:val="none" w:sz="0" w:space="0" w:color="auto"/>
        <w:bottom w:val="none" w:sz="0" w:space="0" w:color="auto"/>
        <w:right w:val="none" w:sz="0" w:space="0" w:color="auto"/>
      </w:divBdr>
    </w:div>
    <w:div w:id="1642806232">
      <w:bodyDiv w:val="1"/>
      <w:marLeft w:val="0"/>
      <w:marRight w:val="0"/>
      <w:marTop w:val="0"/>
      <w:marBottom w:val="0"/>
      <w:divBdr>
        <w:top w:val="none" w:sz="0" w:space="0" w:color="auto"/>
        <w:left w:val="none" w:sz="0" w:space="0" w:color="auto"/>
        <w:bottom w:val="none" w:sz="0" w:space="0" w:color="auto"/>
        <w:right w:val="none" w:sz="0" w:space="0" w:color="auto"/>
      </w:divBdr>
    </w:div>
    <w:div w:id="1642886505">
      <w:bodyDiv w:val="1"/>
      <w:marLeft w:val="0"/>
      <w:marRight w:val="0"/>
      <w:marTop w:val="0"/>
      <w:marBottom w:val="0"/>
      <w:divBdr>
        <w:top w:val="none" w:sz="0" w:space="0" w:color="auto"/>
        <w:left w:val="none" w:sz="0" w:space="0" w:color="auto"/>
        <w:bottom w:val="none" w:sz="0" w:space="0" w:color="auto"/>
        <w:right w:val="none" w:sz="0" w:space="0" w:color="auto"/>
      </w:divBdr>
    </w:div>
    <w:div w:id="1642923988">
      <w:bodyDiv w:val="1"/>
      <w:marLeft w:val="0"/>
      <w:marRight w:val="0"/>
      <w:marTop w:val="0"/>
      <w:marBottom w:val="0"/>
      <w:divBdr>
        <w:top w:val="none" w:sz="0" w:space="0" w:color="auto"/>
        <w:left w:val="none" w:sz="0" w:space="0" w:color="auto"/>
        <w:bottom w:val="none" w:sz="0" w:space="0" w:color="auto"/>
        <w:right w:val="none" w:sz="0" w:space="0" w:color="auto"/>
      </w:divBdr>
    </w:div>
    <w:div w:id="1642954579">
      <w:bodyDiv w:val="1"/>
      <w:marLeft w:val="0"/>
      <w:marRight w:val="0"/>
      <w:marTop w:val="0"/>
      <w:marBottom w:val="0"/>
      <w:divBdr>
        <w:top w:val="none" w:sz="0" w:space="0" w:color="auto"/>
        <w:left w:val="none" w:sz="0" w:space="0" w:color="auto"/>
        <w:bottom w:val="none" w:sz="0" w:space="0" w:color="auto"/>
        <w:right w:val="none" w:sz="0" w:space="0" w:color="auto"/>
      </w:divBdr>
    </w:div>
    <w:div w:id="1643151067">
      <w:bodyDiv w:val="1"/>
      <w:marLeft w:val="0"/>
      <w:marRight w:val="0"/>
      <w:marTop w:val="0"/>
      <w:marBottom w:val="0"/>
      <w:divBdr>
        <w:top w:val="none" w:sz="0" w:space="0" w:color="auto"/>
        <w:left w:val="none" w:sz="0" w:space="0" w:color="auto"/>
        <w:bottom w:val="none" w:sz="0" w:space="0" w:color="auto"/>
        <w:right w:val="none" w:sz="0" w:space="0" w:color="auto"/>
      </w:divBdr>
    </w:div>
    <w:div w:id="1643386858">
      <w:bodyDiv w:val="1"/>
      <w:marLeft w:val="0"/>
      <w:marRight w:val="0"/>
      <w:marTop w:val="0"/>
      <w:marBottom w:val="0"/>
      <w:divBdr>
        <w:top w:val="none" w:sz="0" w:space="0" w:color="auto"/>
        <w:left w:val="none" w:sz="0" w:space="0" w:color="auto"/>
        <w:bottom w:val="none" w:sz="0" w:space="0" w:color="auto"/>
        <w:right w:val="none" w:sz="0" w:space="0" w:color="auto"/>
      </w:divBdr>
    </w:div>
    <w:div w:id="1643388642">
      <w:bodyDiv w:val="1"/>
      <w:marLeft w:val="0"/>
      <w:marRight w:val="0"/>
      <w:marTop w:val="0"/>
      <w:marBottom w:val="0"/>
      <w:divBdr>
        <w:top w:val="none" w:sz="0" w:space="0" w:color="auto"/>
        <w:left w:val="none" w:sz="0" w:space="0" w:color="auto"/>
        <w:bottom w:val="none" w:sz="0" w:space="0" w:color="auto"/>
        <w:right w:val="none" w:sz="0" w:space="0" w:color="auto"/>
      </w:divBdr>
    </w:div>
    <w:div w:id="1643578941">
      <w:bodyDiv w:val="1"/>
      <w:marLeft w:val="0"/>
      <w:marRight w:val="0"/>
      <w:marTop w:val="0"/>
      <w:marBottom w:val="0"/>
      <w:divBdr>
        <w:top w:val="none" w:sz="0" w:space="0" w:color="auto"/>
        <w:left w:val="none" w:sz="0" w:space="0" w:color="auto"/>
        <w:bottom w:val="none" w:sz="0" w:space="0" w:color="auto"/>
        <w:right w:val="none" w:sz="0" w:space="0" w:color="auto"/>
      </w:divBdr>
    </w:div>
    <w:div w:id="1643726779">
      <w:bodyDiv w:val="1"/>
      <w:marLeft w:val="0"/>
      <w:marRight w:val="0"/>
      <w:marTop w:val="0"/>
      <w:marBottom w:val="0"/>
      <w:divBdr>
        <w:top w:val="none" w:sz="0" w:space="0" w:color="auto"/>
        <w:left w:val="none" w:sz="0" w:space="0" w:color="auto"/>
        <w:bottom w:val="none" w:sz="0" w:space="0" w:color="auto"/>
        <w:right w:val="none" w:sz="0" w:space="0" w:color="auto"/>
      </w:divBdr>
    </w:div>
    <w:div w:id="1643730240">
      <w:bodyDiv w:val="1"/>
      <w:marLeft w:val="0"/>
      <w:marRight w:val="0"/>
      <w:marTop w:val="0"/>
      <w:marBottom w:val="0"/>
      <w:divBdr>
        <w:top w:val="none" w:sz="0" w:space="0" w:color="auto"/>
        <w:left w:val="none" w:sz="0" w:space="0" w:color="auto"/>
        <w:bottom w:val="none" w:sz="0" w:space="0" w:color="auto"/>
        <w:right w:val="none" w:sz="0" w:space="0" w:color="auto"/>
      </w:divBdr>
    </w:div>
    <w:div w:id="1643773956">
      <w:bodyDiv w:val="1"/>
      <w:marLeft w:val="0"/>
      <w:marRight w:val="0"/>
      <w:marTop w:val="0"/>
      <w:marBottom w:val="0"/>
      <w:divBdr>
        <w:top w:val="none" w:sz="0" w:space="0" w:color="auto"/>
        <w:left w:val="none" w:sz="0" w:space="0" w:color="auto"/>
        <w:bottom w:val="none" w:sz="0" w:space="0" w:color="auto"/>
        <w:right w:val="none" w:sz="0" w:space="0" w:color="auto"/>
      </w:divBdr>
    </w:div>
    <w:div w:id="1643844796">
      <w:bodyDiv w:val="1"/>
      <w:marLeft w:val="0"/>
      <w:marRight w:val="0"/>
      <w:marTop w:val="0"/>
      <w:marBottom w:val="0"/>
      <w:divBdr>
        <w:top w:val="none" w:sz="0" w:space="0" w:color="auto"/>
        <w:left w:val="none" w:sz="0" w:space="0" w:color="auto"/>
        <w:bottom w:val="none" w:sz="0" w:space="0" w:color="auto"/>
        <w:right w:val="none" w:sz="0" w:space="0" w:color="auto"/>
      </w:divBdr>
    </w:div>
    <w:div w:id="1643845475">
      <w:bodyDiv w:val="1"/>
      <w:marLeft w:val="0"/>
      <w:marRight w:val="0"/>
      <w:marTop w:val="0"/>
      <w:marBottom w:val="0"/>
      <w:divBdr>
        <w:top w:val="none" w:sz="0" w:space="0" w:color="auto"/>
        <w:left w:val="none" w:sz="0" w:space="0" w:color="auto"/>
        <w:bottom w:val="none" w:sz="0" w:space="0" w:color="auto"/>
        <w:right w:val="none" w:sz="0" w:space="0" w:color="auto"/>
      </w:divBdr>
    </w:div>
    <w:div w:id="1643998127">
      <w:bodyDiv w:val="1"/>
      <w:marLeft w:val="0"/>
      <w:marRight w:val="0"/>
      <w:marTop w:val="0"/>
      <w:marBottom w:val="0"/>
      <w:divBdr>
        <w:top w:val="none" w:sz="0" w:space="0" w:color="auto"/>
        <w:left w:val="none" w:sz="0" w:space="0" w:color="auto"/>
        <w:bottom w:val="none" w:sz="0" w:space="0" w:color="auto"/>
        <w:right w:val="none" w:sz="0" w:space="0" w:color="auto"/>
      </w:divBdr>
    </w:div>
    <w:div w:id="1644114319">
      <w:bodyDiv w:val="1"/>
      <w:marLeft w:val="0"/>
      <w:marRight w:val="0"/>
      <w:marTop w:val="0"/>
      <w:marBottom w:val="0"/>
      <w:divBdr>
        <w:top w:val="none" w:sz="0" w:space="0" w:color="auto"/>
        <w:left w:val="none" w:sz="0" w:space="0" w:color="auto"/>
        <w:bottom w:val="none" w:sz="0" w:space="0" w:color="auto"/>
        <w:right w:val="none" w:sz="0" w:space="0" w:color="auto"/>
      </w:divBdr>
    </w:div>
    <w:div w:id="1644115842">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44193003">
      <w:bodyDiv w:val="1"/>
      <w:marLeft w:val="0"/>
      <w:marRight w:val="0"/>
      <w:marTop w:val="0"/>
      <w:marBottom w:val="0"/>
      <w:divBdr>
        <w:top w:val="none" w:sz="0" w:space="0" w:color="auto"/>
        <w:left w:val="none" w:sz="0" w:space="0" w:color="auto"/>
        <w:bottom w:val="none" w:sz="0" w:space="0" w:color="auto"/>
        <w:right w:val="none" w:sz="0" w:space="0" w:color="auto"/>
      </w:divBdr>
    </w:div>
    <w:div w:id="1644194572">
      <w:bodyDiv w:val="1"/>
      <w:marLeft w:val="0"/>
      <w:marRight w:val="0"/>
      <w:marTop w:val="0"/>
      <w:marBottom w:val="0"/>
      <w:divBdr>
        <w:top w:val="none" w:sz="0" w:space="0" w:color="auto"/>
        <w:left w:val="none" w:sz="0" w:space="0" w:color="auto"/>
        <w:bottom w:val="none" w:sz="0" w:space="0" w:color="auto"/>
        <w:right w:val="none" w:sz="0" w:space="0" w:color="auto"/>
      </w:divBdr>
    </w:div>
    <w:div w:id="1644388628">
      <w:bodyDiv w:val="1"/>
      <w:marLeft w:val="0"/>
      <w:marRight w:val="0"/>
      <w:marTop w:val="0"/>
      <w:marBottom w:val="0"/>
      <w:divBdr>
        <w:top w:val="none" w:sz="0" w:space="0" w:color="auto"/>
        <w:left w:val="none" w:sz="0" w:space="0" w:color="auto"/>
        <w:bottom w:val="none" w:sz="0" w:space="0" w:color="auto"/>
        <w:right w:val="none" w:sz="0" w:space="0" w:color="auto"/>
      </w:divBdr>
    </w:div>
    <w:div w:id="1644500666">
      <w:bodyDiv w:val="1"/>
      <w:marLeft w:val="0"/>
      <w:marRight w:val="0"/>
      <w:marTop w:val="0"/>
      <w:marBottom w:val="0"/>
      <w:divBdr>
        <w:top w:val="none" w:sz="0" w:space="0" w:color="auto"/>
        <w:left w:val="none" w:sz="0" w:space="0" w:color="auto"/>
        <w:bottom w:val="none" w:sz="0" w:space="0" w:color="auto"/>
        <w:right w:val="none" w:sz="0" w:space="0" w:color="auto"/>
      </w:divBdr>
    </w:div>
    <w:div w:id="1644576977">
      <w:bodyDiv w:val="1"/>
      <w:marLeft w:val="0"/>
      <w:marRight w:val="0"/>
      <w:marTop w:val="0"/>
      <w:marBottom w:val="0"/>
      <w:divBdr>
        <w:top w:val="none" w:sz="0" w:space="0" w:color="auto"/>
        <w:left w:val="none" w:sz="0" w:space="0" w:color="auto"/>
        <w:bottom w:val="none" w:sz="0" w:space="0" w:color="auto"/>
        <w:right w:val="none" w:sz="0" w:space="0" w:color="auto"/>
      </w:divBdr>
    </w:div>
    <w:div w:id="1644651204">
      <w:bodyDiv w:val="1"/>
      <w:marLeft w:val="0"/>
      <w:marRight w:val="0"/>
      <w:marTop w:val="0"/>
      <w:marBottom w:val="0"/>
      <w:divBdr>
        <w:top w:val="none" w:sz="0" w:space="0" w:color="auto"/>
        <w:left w:val="none" w:sz="0" w:space="0" w:color="auto"/>
        <w:bottom w:val="none" w:sz="0" w:space="0" w:color="auto"/>
        <w:right w:val="none" w:sz="0" w:space="0" w:color="auto"/>
      </w:divBdr>
    </w:div>
    <w:div w:id="1644653105">
      <w:bodyDiv w:val="1"/>
      <w:marLeft w:val="0"/>
      <w:marRight w:val="0"/>
      <w:marTop w:val="0"/>
      <w:marBottom w:val="0"/>
      <w:divBdr>
        <w:top w:val="none" w:sz="0" w:space="0" w:color="auto"/>
        <w:left w:val="none" w:sz="0" w:space="0" w:color="auto"/>
        <w:bottom w:val="none" w:sz="0" w:space="0" w:color="auto"/>
        <w:right w:val="none" w:sz="0" w:space="0" w:color="auto"/>
      </w:divBdr>
    </w:div>
    <w:div w:id="1644843618">
      <w:bodyDiv w:val="1"/>
      <w:marLeft w:val="0"/>
      <w:marRight w:val="0"/>
      <w:marTop w:val="0"/>
      <w:marBottom w:val="0"/>
      <w:divBdr>
        <w:top w:val="none" w:sz="0" w:space="0" w:color="auto"/>
        <w:left w:val="none" w:sz="0" w:space="0" w:color="auto"/>
        <w:bottom w:val="none" w:sz="0" w:space="0" w:color="auto"/>
        <w:right w:val="none" w:sz="0" w:space="0" w:color="auto"/>
      </w:divBdr>
    </w:div>
    <w:div w:id="1645037568">
      <w:bodyDiv w:val="1"/>
      <w:marLeft w:val="0"/>
      <w:marRight w:val="0"/>
      <w:marTop w:val="0"/>
      <w:marBottom w:val="0"/>
      <w:divBdr>
        <w:top w:val="none" w:sz="0" w:space="0" w:color="auto"/>
        <w:left w:val="none" w:sz="0" w:space="0" w:color="auto"/>
        <w:bottom w:val="none" w:sz="0" w:space="0" w:color="auto"/>
        <w:right w:val="none" w:sz="0" w:space="0" w:color="auto"/>
      </w:divBdr>
    </w:div>
    <w:div w:id="1645356031">
      <w:bodyDiv w:val="1"/>
      <w:marLeft w:val="0"/>
      <w:marRight w:val="0"/>
      <w:marTop w:val="0"/>
      <w:marBottom w:val="0"/>
      <w:divBdr>
        <w:top w:val="none" w:sz="0" w:space="0" w:color="auto"/>
        <w:left w:val="none" w:sz="0" w:space="0" w:color="auto"/>
        <w:bottom w:val="none" w:sz="0" w:space="0" w:color="auto"/>
        <w:right w:val="none" w:sz="0" w:space="0" w:color="auto"/>
      </w:divBdr>
    </w:div>
    <w:div w:id="1645427145">
      <w:bodyDiv w:val="1"/>
      <w:marLeft w:val="0"/>
      <w:marRight w:val="0"/>
      <w:marTop w:val="0"/>
      <w:marBottom w:val="0"/>
      <w:divBdr>
        <w:top w:val="none" w:sz="0" w:space="0" w:color="auto"/>
        <w:left w:val="none" w:sz="0" w:space="0" w:color="auto"/>
        <w:bottom w:val="none" w:sz="0" w:space="0" w:color="auto"/>
        <w:right w:val="none" w:sz="0" w:space="0" w:color="auto"/>
      </w:divBdr>
    </w:div>
    <w:div w:id="1645504825">
      <w:bodyDiv w:val="1"/>
      <w:marLeft w:val="0"/>
      <w:marRight w:val="0"/>
      <w:marTop w:val="0"/>
      <w:marBottom w:val="0"/>
      <w:divBdr>
        <w:top w:val="none" w:sz="0" w:space="0" w:color="auto"/>
        <w:left w:val="none" w:sz="0" w:space="0" w:color="auto"/>
        <w:bottom w:val="none" w:sz="0" w:space="0" w:color="auto"/>
        <w:right w:val="none" w:sz="0" w:space="0" w:color="auto"/>
      </w:divBdr>
    </w:div>
    <w:div w:id="1645888192">
      <w:bodyDiv w:val="1"/>
      <w:marLeft w:val="0"/>
      <w:marRight w:val="0"/>
      <w:marTop w:val="0"/>
      <w:marBottom w:val="0"/>
      <w:divBdr>
        <w:top w:val="none" w:sz="0" w:space="0" w:color="auto"/>
        <w:left w:val="none" w:sz="0" w:space="0" w:color="auto"/>
        <w:bottom w:val="none" w:sz="0" w:space="0" w:color="auto"/>
        <w:right w:val="none" w:sz="0" w:space="0" w:color="auto"/>
      </w:divBdr>
    </w:div>
    <w:div w:id="1645963502">
      <w:bodyDiv w:val="1"/>
      <w:marLeft w:val="0"/>
      <w:marRight w:val="0"/>
      <w:marTop w:val="0"/>
      <w:marBottom w:val="0"/>
      <w:divBdr>
        <w:top w:val="none" w:sz="0" w:space="0" w:color="auto"/>
        <w:left w:val="none" w:sz="0" w:space="0" w:color="auto"/>
        <w:bottom w:val="none" w:sz="0" w:space="0" w:color="auto"/>
        <w:right w:val="none" w:sz="0" w:space="0" w:color="auto"/>
      </w:divBdr>
    </w:div>
    <w:div w:id="1645965580">
      <w:bodyDiv w:val="1"/>
      <w:marLeft w:val="0"/>
      <w:marRight w:val="0"/>
      <w:marTop w:val="0"/>
      <w:marBottom w:val="0"/>
      <w:divBdr>
        <w:top w:val="none" w:sz="0" w:space="0" w:color="auto"/>
        <w:left w:val="none" w:sz="0" w:space="0" w:color="auto"/>
        <w:bottom w:val="none" w:sz="0" w:space="0" w:color="auto"/>
        <w:right w:val="none" w:sz="0" w:space="0" w:color="auto"/>
      </w:divBdr>
    </w:div>
    <w:div w:id="1645965627">
      <w:bodyDiv w:val="1"/>
      <w:marLeft w:val="0"/>
      <w:marRight w:val="0"/>
      <w:marTop w:val="0"/>
      <w:marBottom w:val="0"/>
      <w:divBdr>
        <w:top w:val="none" w:sz="0" w:space="0" w:color="auto"/>
        <w:left w:val="none" w:sz="0" w:space="0" w:color="auto"/>
        <w:bottom w:val="none" w:sz="0" w:space="0" w:color="auto"/>
        <w:right w:val="none" w:sz="0" w:space="0" w:color="auto"/>
      </w:divBdr>
    </w:div>
    <w:div w:id="1645967129">
      <w:bodyDiv w:val="1"/>
      <w:marLeft w:val="0"/>
      <w:marRight w:val="0"/>
      <w:marTop w:val="0"/>
      <w:marBottom w:val="0"/>
      <w:divBdr>
        <w:top w:val="none" w:sz="0" w:space="0" w:color="auto"/>
        <w:left w:val="none" w:sz="0" w:space="0" w:color="auto"/>
        <w:bottom w:val="none" w:sz="0" w:space="0" w:color="auto"/>
        <w:right w:val="none" w:sz="0" w:space="0" w:color="auto"/>
      </w:divBdr>
    </w:div>
    <w:div w:id="1646006499">
      <w:bodyDiv w:val="1"/>
      <w:marLeft w:val="0"/>
      <w:marRight w:val="0"/>
      <w:marTop w:val="0"/>
      <w:marBottom w:val="0"/>
      <w:divBdr>
        <w:top w:val="none" w:sz="0" w:space="0" w:color="auto"/>
        <w:left w:val="none" w:sz="0" w:space="0" w:color="auto"/>
        <w:bottom w:val="none" w:sz="0" w:space="0" w:color="auto"/>
        <w:right w:val="none" w:sz="0" w:space="0" w:color="auto"/>
      </w:divBdr>
    </w:div>
    <w:div w:id="1646079449">
      <w:bodyDiv w:val="1"/>
      <w:marLeft w:val="0"/>
      <w:marRight w:val="0"/>
      <w:marTop w:val="0"/>
      <w:marBottom w:val="0"/>
      <w:divBdr>
        <w:top w:val="none" w:sz="0" w:space="0" w:color="auto"/>
        <w:left w:val="none" w:sz="0" w:space="0" w:color="auto"/>
        <w:bottom w:val="none" w:sz="0" w:space="0" w:color="auto"/>
        <w:right w:val="none" w:sz="0" w:space="0" w:color="auto"/>
      </w:divBdr>
    </w:div>
    <w:div w:id="1646275653">
      <w:bodyDiv w:val="1"/>
      <w:marLeft w:val="0"/>
      <w:marRight w:val="0"/>
      <w:marTop w:val="0"/>
      <w:marBottom w:val="0"/>
      <w:divBdr>
        <w:top w:val="none" w:sz="0" w:space="0" w:color="auto"/>
        <w:left w:val="none" w:sz="0" w:space="0" w:color="auto"/>
        <w:bottom w:val="none" w:sz="0" w:space="0" w:color="auto"/>
        <w:right w:val="none" w:sz="0" w:space="0" w:color="auto"/>
      </w:divBdr>
    </w:div>
    <w:div w:id="1646275655">
      <w:bodyDiv w:val="1"/>
      <w:marLeft w:val="0"/>
      <w:marRight w:val="0"/>
      <w:marTop w:val="0"/>
      <w:marBottom w:val="0"/>
      <w:divBdr>
        <w:top w:val="none" w:sz="0" w:space="0" w:color="auto"/>
        <w:left w:val="none" w:sz="0" w:space="0" w:color="auto"/>
        <w:bottom w:val="none" w:sz="0" w:space="0" w:color="auto"/>
        <w:right w:val="none" w:sz="0" w:space="0" w:color="auto"/>
      </w:divBdr>
    </w:div>
    <w:div w:id="1646469498">
      <w:bodyDiv w:val="1"/>
      <w:marLeft w:val="0"/>
      <w:marRight w:val="0"/>
      <w:marTop w:val="0"/>
      <w:marBottom w:val="0"/>
      <w:divBdr>
        <w:top w:val="none" w:sz="0" w:space="0" w:color="auto"/>
        <w:left w:val="none" w:sz="0" w:space="0" w:color="auto"/>
        <w:bottom w:val="none" w:sz="0" w:space="0" w:color="auto"/>
        <w:right w:val="none" w:sz="0" w:space="0" w:color="auto"/>
      </w:divBdr>
    </w:div>
    <w:div w:id="1646548695">
      <w:bodyDiv w:val="1"/>
      <w:marLeft w:val="0"/>
      <w:marRight w:val="0"/>
      <w:marTop w:val="0"/>
      <w:marBottom w:val="0"/>
      <w:divBdr>
        <w:top w:val="none" w:sz="0" w:space="0" w:color="auto"/>
        <w:left w:val="none" w:sz="0" w:space="0" w:color="auto"/>
        <w:bottom w:val="none" w:sz="0" w:space="0" w:color="auto"/>
        <w:right w:val="none" w:sz="0" w:space="0" w:color="auto"/>
      </w:divBdr>
    </w:div>
    <w:div w:id="1646622288">
      <w:bodyDiv w:val="1"/>
      <w:marLeft w:val="0"/>
      <w:marRight w:val="0"/>
      <w:marTop w:val="0"/>
      <w:marBottom w:val="0"/>
      <w:divBdr>
        <w:top w:val="none" w:sz="0" w:space="0" w:color="auto"/>
        <w:left w:val="none" w:sz="0" w:space="0" w:color="auto"/>
        <w:bottom w:val="none" w:sz="0" w:space="0" w:color="auto"/>
        <w:right w:val="none" w:sz="0" w:space="0" w:color="auto"/>
      </w:divBdr>
    </w:div>
    <w:div w:id="1646664834">
      <w:bodyDiv w:val="1"/>
      <w:marLeft w:val="0"/>
      <w:marRight w:val="0"/>
      <w:marTop w:val="0"/>
      <w:marBottom w:val="0"/>
      <w:divBdr>
        <w:top w:val="none" w:sz="0" w:space="0" w:color="auto"/>
        <w:left w:val="none" w:sz="0" w:space="0" w:color="auto"/>
        <w:bottom w:val="none" w:sz="0" w:space="0" w:color="auto"/>
        <w:right w:val="none" w:sz="0" w:space="0" w:color="auto"/>
      </w:divBdr>
    </w:div>
    <w:div w:id="1646739874">
      <w:bodyDiv w:val="1"/>
      <w:marLeft w:val="0"/>
      <w:marRight w:val="0"/>
      <w:marTop w:val="0"/>
      <w:marBottom w:val="0"/>
      <w:divBdr>
        <w:top w:val="none" w:sz="0" w:space="0" w:color="auto"/>
        <w:left w:val="none" w:sz="0" w:space="0" w:color="auto"/>
        <w:bottom w:val="none" w:sz="0" w:space="0" w:color="auto"/>
        <w:right w:val="none" w:sz="0" w:space="0" w:color="auto"/>
      </w:divBdr>
    </w:div>
    <w:div w:id="1646741750">
      <w:bodyDiv w:val="1"/>
      <w:marLeft w:val="0"/>
      <w:marRight w:val="0"/>
      <w:marTop w:val="0"/>
      <w:marBottom w:val="0"/>
      <w:divBdr>
        <w:top w:val="none" w:sz="0" w:space="0" w:color="auto"/>
        <w:left w:val="none" w:sz="0" w:space="0" w:color="auto"/>
        <w:bottom w:val="none" w:sz="0" w:space="0" w:color="auto"/>
        <w:right w:val="none" w:sz="0" w:space="0" w:color="auto"/>
      </w:divBdr>
    </w:div>
    <w:div w:id="1646815070">
      <w:bodyDiv w:val="1"/>
      <w:marLeft w:val="0"/>
      <w:marRight w:val="0"/>
      <w:marTop w:val="0"/>
      <w:marBottom w:val="0"/>
      <w:divBdr>
        <w:top w:val="none" w:sz="0" w:space="0" w:color="auto"/>
        <w:left w:val="none" w:sz="0" w:space="0" w:color="auto"/>
        <w:bottom w:val="none" w:sz="0" w:space="0" w:color="auto"/>
        <w:right w:val="none" w:sz="0" w:space="0" w:color="auto"/>
      </w:divBdr>
    </w:div>
    <w:div w:id="1646929518">
      <w:bodyDiv w:val="1"/>
      <w:marLeft w:val="0"/>
      <w:marRight w:val="0"/>
      <w:marTop w:val="0"/>
      <w:marBottom w:val="0"/>
      <w:divBdr>
        <w:top w:val="none" w:sz="0" w:space="0" w:color="auto"/>
        <w:left w:val="none" w:sz="0" w:space="0" w:color="auto"/>
        <w:bottom w:val="none" w:sz="0" w:space="0" w:color="auto"/>
        <w:right w:val="none" w:sz="0" w:space="0" w:color="auto"/>
      </w:divBdr>
    </w:div>
    <w:div w:id="1647082234">
      <w:bodyDiv w:val="1"/>
      <w:marLeft w:val="0"/>
      <w:marRight w:val="0"/>
      <w:marTop w:val="0"/>
      <w:marBottom w:val="0"/>
      <w:divBdr>
        <w:top w:val="none" w:sz="0" w:space="0" w:color="auto"/>
        <w:left w:val="none" w:sz="0" w:space="0" w:color="auto"/>
        <w:bottom w:val="none" w:sz="0" w:space="0" w:color="auto"/>
        <w:right w:val="none" w:sz="0" w:space="0" w:color="auto"/>
      </w:divBdr>
    </w:div>
    <w:div w:id="1647272971">
      <w:bodyDiv w:val="1"/>
      <w:marLeft w:val="0"/>
      <w:marRight w:val="0"/>
      <w:marTop w:val="0"/>
      <w:marBottom w:val="0"/>
      <w:divBdr>
        <w:top w:val="none" w:sz="0" w:space="0" w:color="auto"/>
        <w:left w:val="none" w:sz="0" w:space="0" w:color="auto"/>
        <w:bottom w:val="none" w:sz="0" w:space="0" w:color="auto"/>
        <w:right w:val="none" w:sz="0" w:space="0" w:color="auto"/>
      </w:divBdr>
    </w:div>
    <w:div w:id="1647316560">
      <w:bodyDiv w:val="1"/>
      <w:marLeft w:val="0"/>
      <w:marRight w:val="0"/>
      <w:marTop w:val="0"/>
      <w:marBottom w:val="0"/>
      <w:divBdr>
        <w:top w:val="none" w:sz="0" w:space="0" w:color="auto"/>
        <w:left w:val="none" w:sz="0" w:space="0" w:color="auto"/>
        <w:bottom w:val="none" w:sz="0" w:space="0" w:color="auto"/>
        <w:right w:val="none" w:sz="0" w:space="0" w:color="auto"/>
      </w:divBdr>
    </w:div>
    <w:div w:id="1647658685">
      <w:bodyDiv w:val="1"/>
      <w:marLeft w:val="0"/>
      <w:marRight w:val="0"/>
      <w:marTop w:val="0"/>
      <w:marBottom w:val="0"/>
      <w:divBdr>
        <w:top w:val="none" w:sz="0" w:space="0" w:color="auto"/>
        <w:left w:val="none" w:sz="0" w:space="0" w:color="auto"/>
        <w:bottom w:val="none" w:sz="0" w:space="0" w:color="auto"/>
        <w:right w:val="none" w:sz="0" w:space="0" w:color="auto"/>
      </w:divBdr>
    </w:div>
    <w:div w:id="1647851881">
      <w:bodyDiv w:val="1"/>
      <w:marLeft w:val="0"/>
      <w:marRight w:val="0"/>
      <w:marTop w:val="0"/>
      <w:marBottom w:val="0"/>
      <w:divBdr>
        <w:top w:val="none" w:sz="0" w:space="0" w:color="auto"/>
        <w:left w:val="none" w:sz="0" w:space="0" w:color="auto"/>
        <w:bottom w:val="none" w:sz="0" w:space="0" w:color="auto"/>
        <w:right w:val="none" w:sz="0" w:space="0" w:color="auto"/>
      </w:divBdr>
    </w:div>
    <w:div w:id="1647927715">
      <w:bodyDiv w:val="1"/>
      <w:marLeft w:val="0"/>
      <w:marRight w:val="0"/>
      <w:marTop w:val="0"/>
      <w:marBottom w:val="0"/>
      <w:divBdr>
        <w:top w:val="none" w:sz="0" w:space="0" w:color="auto"/>
        <w:left w:val="none" w:sz="0" w:space="0" w:color="auto"/>
        <w:bottom w:val="none" w:sz="0" w:space="0" w:color="auto"/>
        <w:right w:val="none" w:sz="0" w:space="0" w:color="auto"/>
      </w:divBdr>
    </w:div>
    <w:div w:id="1647975137">
      <w:bodyDiv w:val="1"/>
      <w:marLeft w:val="0"/>
      <w:marRight w:val="0"/>
      <w:marTop w:val="0"/>
      <w:marBottom w:val="0"/>
      <w:divBdr>
        <w:top w:val="none" w:sz="0" w:space="0" w:color="auto"/>
        <w:left w:val="none" w:sz="0" w:space="0" w:color="auto"/>
        <w:bottom w:val="none" w:sz="0" w:space="0" w:color="auto"/>
        <w:right w:val="none" w:sz="0" w:space="0" w:color="auto"/>
      </w:divBdr>
    </w:div>
    <w:div w:id="1648049517">
      <w:bodyDiv w:val="1"/>
      <w:marLeft w:val="0"/>
      <w:marRight w:val="0"/>
      <w:marTop w:val="0"/>
      <w:marBottom w:val="0"/>
      <w:divBdr>
        <w:top w:val="none" w:sz="0" w:space="0" w:color="auto"/>
        <w:left w:val="none" w:sz="0" w:space="0" w:color="auto"/>
        <w:bottom w:val="none" w:sz="0" w:space="0" w:color="auto"/>
        <w:right w:val="none" w:sz="0" w:space="0" w:color="auto"/>
      </w:divBdr>
    </w:div>
    <w:div w:id="1648050904">
      <w:bodyDiv w:val="1"/>
      <w:marLeft w:val="0"/>
      <w:marRight w:val="0"/>
      <w:marTop w:val="0"/>
      <w:marBottom w:val="0"/>
      <w:divBdr>
        <w:top w:val="none" w:sz="0" w:space="0" w:color="auto"/>
        <w:left w:val="none" w:sz="0" w:space="0" w:color="auto"/>
        <w:bottom w:val="none" w:sz="0" w:space="0" w:color="auto"/>
        <w:right w:val="none" w:sz="0" w:space="0" w:color="auto"/>
      </w:divBdr>
    </w:div>
    <w:div w:id="1648053005">
      <w:bodyDiv w:val="1"/>
      <w:marLeft w:val="0"/>
      <w:marRight w:val="0"/>
      <w:marTop w:val="0"/>
      <w:marBottom w:val="0"/>
      <w:divBdr>
        <w:top w:val="none" w:sz="0" w:space="0" w:color="auto"/>
        <w:left w:val="none" w:sz="0" w:space="0" w:color="auto"/>
        <w:bottom w:val="none" w:sz="0" w:space="0" w:color="auto"/>
        <w:right w:val="none" w:sz="0" w:space="0" w:color="auto"/>
      </w:divBdr>
    </w:div>
    <w:div w:id="1648314904">
      <w:bodyDiv w:val="1"/>
      <w:marLeft w:val="0"/>
      <w:marRight w:val="0"/>
      <w:marTop w:val="0"/>
      <w:marBottom w:val="0"/>
      <w:divBdr>
        <w:top w:val="none" w:sz="0" w:space="0" w:color="auto"/>
        <w:left w:val="none" w:sz="0" w:space="0" w:color="auto"/>
        <w:bottom w:val="none" w:sz="0" w:space="0" w:color="auto"/>
        <w:right w:val="none" w:sz="0" w:space="0" w:color="auto"/>
      </w:divBdr>
    </w:div>
    <w:div w:id="1648316133">
      <w:bodyDiv w:val="1"/>
      <w:marLeft w:val="0"/>
      <w:marRight w:val="0"/>
      <w:marTop w:val="0"/>
      <w:marBottom w:val="0"/>
      <w:divBdr>
        <w:top w:val="none" w:sz="0" w:space="0" w:color="auto"/>
        <w:left w:val="none" w:sz="0" w:space="0" w:color="auto"/>
        <w:bottom w:val="none" w:sz="0" w:space="0" w:color="auto"/>
        <w:right w:val="none" w:sz="0" w:space="0" w:color="auto"/>
      </w:divBdr>
    </w:div>
    <w:div w:id="1648316139">
      <w:bodyDiv w:val="1"/>
      <w:marLeft w:val="0"/>
      <w:marRight w:val="0"/>
      <w:marTop w:val="0"/>
      <w:marBottom w:val="0"/>
      <w:divBdr>
        <w:top w:val="none" w:sz="0" w:space="0" w:color="auto"/>
        <w:left w:val="none" w:sz="0" w:space="0" w:color="auto"/>
        <w:bottom w:val="none" w:sz="0" w:space="0" w:color="auto"/>
        <w:right w:val="none" w:sz="0" w:space="0" w:color="auto"/>
      </w:divBdr>
    </w:div>
    <w:div w:id="1648320195">
      <w:bodyDiv w:val="1"/>
      <w:marLeft w:val="0"/>
      <w:marRight w:val="0"/>
      <w:marTop w:val="0"/>
      <w:marBottom w:val="0"/>
      <w:divBdr>
        <w:top w:val="none" w:sz="0" w:space="0" w:color="auto"/>
        <w:left w:val="none" w:sz="0" w:space="0" w:color="auto"/>
        <w:bottom w:val="none" w:sz="0" w:space="0" w:color="auto"/>
        <w:right w:val="none" w:sz="0" w:space="0" w:color="auto"/>
      </w:divBdr>
    </w:div>
    <w:div w:id="1648437747">
      <w:bodyDiv w:val="1"/>
      <w:marLeft w:val="0"/>
      <w:marRight w:val="0"/>
      <w:marTop w:val="0"/>
      <w:marBottom w:val="0"/>
      <w:divBdr>
        <w:top w:val="none" w:sz="0" w:space="0" w:color="auto"/>
        <w:left w:val="none" w:sz="0" w:space="0" w:color="auto"/>
        <w:bottom w:val="none" w:sz="0" w:space="0" w:color="auto"/>
        <w:right w:val="none" w:sz="0" w:space="0" w:color="auto"/>
      </w:divBdr>
    </w:div>
    <w:div w:id="1648506625">
      <w:bodyDiv w:val="1"/>
      <w:marLeft w:val="0"/>
      <w:marRight w:val="0"/>
      <w:marTop w:val="0"/>
      <w:marBottom w:val="0"/>
      <w:divBdr>
        <w:top w:val="none" w:sz="0" w:space="0" w:color="auto"/>
        <w:left w:val="none" w:sz="0" w:space="0" w:color="auto"/>
        <w:bottom w:val="none" w:sz="0" w:space="0" w:color="auto"/>
        <w:right w:val="none" w:sz="0" w:space="0" w:color="auto"/>
      </w:divBdr>
    </w:div>
    <w:div w:id="1648507815">
      <w:bodyDiv w:val="1"/>
      <w:marLeft w:val="0"/>
      <w:marRight w:val="0"/>
      <w:marTop w:val="0"/>
      <w:marBottom w:val="0"/>
      <w:divBdr>
        <w:top w:val="none" w:sz="0" w:space="0" w:color="auto"/>
        <w:left w:val="none" w:sz="0" w:space="0" w:color="auto"/>
        <w:bottom w:val="none" w:sz="0" w:space="0" w:color="auto"/>
        <w:right w:val="none" w:sz="0" w:space="0" w:color="auto"/>
      </w:divBdr>
    </w:div>
    <w:div w:id="1648515457">
      <w:bodyDiv w:val="1"/>
      <w:marLeft w:val="0"/>
      <w:marRight w:val="0"/>
      <w:marTop w:val="0"/>
      <w:marBottom w:val="0"/>
      <w:divBdr>
        <w:top w:val="none" w:sz="0" w:space="0" w:color="auto"/>
        <w:left w:val="none" w:sz="0" w:space="0" w:color="auto"/>
        <w:bottom w:val="none" w:sz="0" w:space="0" w:color="auto"/>
        <w:right w:val="none" w:sz="0" w:space="0" w:color="auto"/>
      </w:divBdr>
    </w:div>
    <w:div w:id="1648584854">
      <w:bodyDiv w:val="1"/>
      <w:marLeft w:val="0"/>
      <w:marRight w:val="0"/>
      <w:marTop w:val="0"/>
      <w:marBottom w:val="0"/>
      <w:divBdr>
        <w:top w:val="none" w:sz="0" w:space="0" w:color="auto"/>
        <w:left w:val="none" w:sz="0" w:space="0" w:color="auto"/>
        <w:bottom w:val="none" w:sz="0" w:space="0" w:color="auto"/>
        <w:right w:val="none" w:sz="0" w:space="0" w:color="auto"/>
      </w:divBdr>
    </w:div>
    <w:div w:id="1648625176">
      <w:bodyDiv w:val="1"/>
      <w:marLeft w:val="0"/>
      <w:marRight w:val="0"/>
      <w:marTop w:val="0"/>
      <w:marBottom w:val="0"/>
      <w:divBdr>
        <w:top w:val="none" w:sz="0" w:space="0" w:color="auto"/>
        <w:left w:val="none" w:sz="0" w:space="0" w:color="auto"/>
        <w:bottom w:val="none" w:sz="0" w:space="0" w:color="auto"/>
        <w:right w:val="none" w:sz="0" w:space="0" w:color="auto"/>
      </w:divBdr>
    </w:div>
    <w:div w:id="1648626709">
      <w:bodyDiv w:val="1"/>
      <w:marLeft w:val="0"/>
      <w:marRight w:val="0"/>
      <w:marTop w:val="0"/>
      <w:marBottom w:val="0"/>
      <w:divBdr>
        <w:top w:val="none" w:sz="0" w:space="0" w:color="auto"/>
        <w:left w:val="none" w:sz="0" w:space="0" w:color="auto"/>
        <w:bottom w:val="none" w:sz="0" w:space="0" w:color="auto"/>
        <w:right w:val="none" w:sz="0" w:space="0" w:color="auto"/>
      </w:divBdr>
    </w:div>
    <w:div w:id="1648968529">
      <w:bodyDiv w:val="1"/>
      <w:marLeft w:val="0"/>
      <w:marRight w:val="0"/>
      <w:marTop w:val="0"/>
      <w:marBottom w:val="0"/>
      <w:divBdr>
        <w:top w:val="none" w:sz="0" w:space="0" w:color="auto"/>
        <w:left w:val="none" w:sz="0" w:space="0" w:color="auto"/>
        <w:bottom w:val="none" w:sz="0" w:space="0" w:color="auto"/>
        <w:right w:val="none" w:sz="0" w:space="0" w:color="auto"/>
      </w:divBdr>
    </w:div>
    <w:div w:id="1648975000">
      <w:bodyDiv w:val="1"/>
      <w:marLeft w:val="0"/>
      <w:marRight w:val="0"/>
      <w:marTop w:val="0"/>
      <w:marBottom w:val="0"/>
      <w:divBdr>
        <w:top w:val="none" w:sz="0" w:space="0" w:color="auto"/>
        <w:left w:val="none" w:sz="0" w:space="0" w:color="auto"/>
        <w:bottom w:val="none" w:sz="0" w:space="0" w:color="auto"/>
        <w:right w:val="none" w:sz="0" w:space="0" w:color="auto"/>
      </w:divBdr>
    </w:div>
    <w:div w:id="1649092761">
      <w:bodyDiv w:val="1"/>
      <w:marLeft w:val="0"/>
      <w:marRight w:val="0"/>
      <w:marTop w:val="0"/>
      <w:marBottom w:val="0"/>
      <w:divBdr>
        <w:top w:val="none" w:sz="0" w:space="0" w:color="auto"/>
        <w:left w:val="none" w:sz="0" w:space="0" w:color="auto"/>
        <w:bottom w:val="none" w:sz="0" w:space="0" w:color="auto"/>
        <w:right w:val="none" w:sz="0" w:space="0" w:color="auto"/>
      </w:divBdr>
    </w:div>
    <w:div w:id="1649162289">
      <w:bodyDiv w:val="1"/>
      <w:marLeft w:val="0"/>
      <w:marRight w:val="0"/>
      <w:marTop w:val="0"/>
      <w:marBottom w:val="0"/>
      <w:divBdr>
        <w:top w:val="none" w:sz="0" w:space="0" w:color="auto"/>
        <w:left w:val="none" w:sz="0" w:space="0" w:color="auto"/>
        <w:bottom w:val="none" w:sz="0" w:space="0" w:color="auto"/>
        <w:right w:val="none" w:sz="0" w:space="0" w:color="auto"/>
      </w:divBdr>
    </w:div>
    <w:div w:id="1649168709">
      <w:bodyDiv w:val="1"/>
      <w:marLeft w:val="0"/>
      <w:marRight w:val="0"/>
      <w:marTop w:val="0"/>
      <w:marBottom w:val="0"/>
      <w:divBdr>
        <w:top w:val="none" w:sz="0" w:space="0" w:color="auto"/>
        <w:left w:val="none" w:sz="0" w:space="0" w:color="auto"/>
        <w:bottom w:val="none" w:sz="0" w:space="0" w:color="auto"/>
        <w:right w:val="none" w:sz="0" w:space="0" w:color="auto"/>
      </w:divBdr>
    </w:div>
    <w:div w:id="1649243201">
      <w:bodyDiv w:val="1"/>
      <w:marLeft w:val="0"/>
      <w:marRight w:val="0"/>
      <w:marTop w:val="0"/>
      <w:marBottom w:val="0"/>
      <w:divBdr>
        <w:top w:val="none" w:sz="0" w:space="0" w:color="auto"/>
        <w:left w:val="none" w:sz="0" w:space="0" w:color="auto"/>
        <w:bottom w:val="none" w:sz="0" w:space="0" w:color="auto"/>
        <w:right w:val="none" w:sz="0" w:space="0" w:color="auto"/>
      </w:divBdr>
    </w:div>
    <w:div w:id="1649283026">
      <w:bodyDiv w:val="1"/>
      <w:marLeft w:val="0"/>
      <w:marRight w:val="0"/>
      <w:marTop w:val="0"/>
      <w:marBottom w:val="0"/>
      <w:divBdr>
        <w:top w:val="none" w:sz="0" w:space="0" w:color="auto"/>
        <w:left w:val="none" w:sz="0" w:space="0" w:color="auto"/>
        <w:bottom w:val="none" w:sz="0" w:space="0" w:color="auto"/>
        <w:right w:val="none" w:sz="0" w:space="0" w:color="auto"/>
      </w:divBdr>
    </w:div>
    <w:div w:id="1649286189">
      <w:bodyDiv w:val="1"/>
      <w:marLeft w:val="0"/>
      <w:marRight w:val="0"/>
      <w:marTop w:val="0"/>
      <w:marBottom w:val="0"/>
      <w:divBdr>
        <w:top w:val="none" w:sz="0" w:space="0" w:color="auto"/>
        <w:left w:val="none" w:sz="0" w:space="0" w:color="auto"/>
        <w:bottom w:val="none" w:sz="0" w:space="0" w:color="auto"/>
        <w:right w:val="none" w:sz="0" w:space="0" w:color="auto"/>
      </w:divBdr>
    </w:div>
    <w:div w:id="1649477261">
      <w:bodyDiv w:val="1"/>
      <w:marLeft w:val="0"/>
      <w:marRight w:val="0"/>
      <w:marTop w:val="0"/>
      <w:marBottom w:val="0"/>
      <w:divBdr>
        <w:top w:val="none" w:sz="0" w:space="0" w:color="auto"/>
        <w:left w:val="none" w:sz="0" w:space="0" w:color="auto"/>
        <w:bottom w:val="none" w:sz="0" w:space="0" w:color="auto"/>
        <w:right w:val="none" w:sz="0" w:space="0" w:color="auto"/>
      </w:divBdr>
    </w:div>
    <w:div w:id="1649630083">
      <w:bodyDiv w:val="1"/>
      <w:marLeft w:val="0"/>
      <w:marRight w:val="0"/>
      <w:marTop w:val="0"/>
      <w:marBottom w:val="0"/>
      <w:divBdr>
        <w:top w:val="none" w:sz="0" w:space="0" w:color="auto"/>
        <w:left w:val="none" w:sz="0" w:space="0" w:color="auto"/>
        <w:bottom w:val="none" w:sz="0" w:space="0" w:color="auto"/>
        <w:right w:val="none" w:sz="0" w:space="0" w:color="auto"/>
      </w:divBdr>
    </w:div>
    <w:div w:id="1649632065">
      <w:bodyDiv w:val="1"/>
      <w:marLeft w:val="0"/>
      <w:marRight w:val="0"/>
      <w:marTop w:val="0"/>
      <w:marBottom w:val="0"/>
      <w:divBdr>
        <w:top w:val="none" w:sz="0" w:space="0" w:color="auto"/>
        <w:left w:val="none" w:sz="0" w:space="0" w:color="auto"/>
        <w:bottom w:val="none" w:sz="0" w:space="0" w:color="auto"/>
        <w:right w:val="none" w:sz="0" w:space="0" w:color="auto"/>
      </w:divBdr>
    </w:div>
    <w:div w:id="1649703089">
      <w:bodyDiv w:val="1"/>
      <w:marLeft w:val="0"/>
      <w:marRight w:val="0"/>
      <w:marTop w:val="0"/>
      <w:marBottom w:val="0"/>
      <w:divBdr>
        <w:top w:val="none" w:sz="0" w:space="0" w:color="auto"/>
        <w:left w:val="none" w:sz="0" w:space="0" w:color="auto"/>
        <w:bottom w:val="none" w:sz="0" w:space="0" w:color="auto"/>
        <w:right w:val="none" w:sz="0" w:space="0" w:color="auto"/>
      </w:divBdr>
    </w:div>
    <w:div w:id="1649744501">
      <w:bodyDiv w:val="1"/>
      <w:marLeft w:val="0"/>
      <w:marRight w:val="0"/>
      <w:marTop w:val="0"/>
      <w:marBottom w:val="0"/>
      <w:divBdr>
        <w:top w:val="none" w:sz="0" w:space="0" w:color="auto"/>
        <w:left w:val="none" w:sz="0" w:space="0" w:color="auto"/>
        <w:bottom w:val="none" w:sz="0" w:space="0" w:color="auto"/>
        <w:right w:val="none" w:sz="0" w:space="0" w:color="auto"/>
      </w:divBdr>
    </w:div>
    <w:div w:id="1649896438">
      <w:bodyDiv w:val="1"/>
      <w:marLeft w:val="0"/>
      <w:marRight w:val="0"/>
      <w:marTop w:val="0"/>
      <w:marBottom w:val="0"/>
      <w:divBdr>
        <w:top w:val="none" w:sz="0" w:space="0" w:color="auto"/>
        <w:left w:val="none" w:sz="0" w:space="0" w:color="auto"/>
        <w:bottom w:val="none" w:sz="0" w:space="0" w:color="auto"/>
        <w:right w:val="none" w:sz="0" w:space="0" w:color="auto"/>
      </w:divBdr>
    </w:div>
    <w:div w:id="1650094226">
      <w:bodyDiv w:val="1"/>
      <w:marLeft w:val="0"/>
      <w:marRight w:val="0"/>
      <w:marTop w:val="0"/>
      <w:marBottom w:val="0"/>
      <w:divBdr>
        <w:top w:val="none" w:sz="0" w:space="0" w:color="auto"/>
        <w:left w:val="none" w:sz="0" w:space="0" w:color="auto"/>
        <w:bottom w:val="none" w:sz="0" w:space="0" w:color="auto"/>
        <w:right w:val="none" w:sz="0" w:space="0" w:color="auto"/>
      </w:divBdr>
    </w:div>
    <w:div w:id="1650206562">
      <w:bodyDiv w:val="1"/>
      <w:marLeft w:val="0"/>
      <w:marRight w:val="0"/>
      <w:marTop w:val="0"/>
      <w:marBottom w:val="0"/>
      <w:divBdr>
        <w:top w:val="none" w:sz="0" w:space="0" w:color="auto"/>
        <w:left w:val="none" w:sz="0" w:space="0" w:color="auto"/>
        <w:bottom w:val="none" w:sz="0" w:space="0" w:color="auto"/>
        <w:right w:val="none" w:sz="0" w:space="0" w:color="auto"/>
      </w:divBdr>
    </w:div>
    <w:div w:id="1650358243">
      <w:bodyDiv w:val="1"/>
      <w:marLeft w:val="0"/>
      <w:marRight w:val="0"/>
      <w:marTop w:val="0"/>
      <w:marBottom w:val="0"/>
      <w:divBdr>
        <w:top w:val="none" w:sz="0" w:space="0" w:color="auto"/>
        <w:left w:val="none" w:sz="0" w:space="0" w:color="auto"/>
        <w:bottom w:val="none" w:sz="0" w:space="0" w:color="auto"/>
        <w:right w:val="none" w:sz="0" w:space="0" w:color="auto"/>
      </w:divBdr>
    </w:div>
    <w:div w:id="1650398150">
      <w:bodyDiv w:val="1"/>
      <w:marLeft w:val="0"/>
      <w:marRight w:val="0"/>
      <w:marTop w:val="0"/>
      <w:marBottom w:val="0"/>
      <w:divBdr>
        <w:top w:val="none" w:sz="0" w:space="0" w:color="auto"/>
        <w:left w:val="none" w:sz="0" w:space="0" w:color="auto"/>
        <w:bottom w:val="none" w:sz="0" w:space="0" w:color="auto"/>
        <w:right w:val="none" w:sz="0" w:space="0" w:color="auto"/>
      </w:divBdr>
    </w:div>
    <w:div w:id="1650399796">
      <w:bodyDiv w:val="1"/>
      <w:marLeft w:val="0"/>
      <w:marRight w:val="0"/>
      <w:marTop w:val="0"/>
      <w:marBottom w:val="0"/>
      <w:divBdr>
        <w:top w:val="none" w:sz="0" w:space="0" w:color="auto"/>
        <w:left w:val="none" w:sz="0" w:space="0" w:color="auto"/>
        <w:bottom w:val="none" w:sz="0" w:space="0" w:color="auto"/>
        <w:right w:val="none" w:sz="0" w:space="0" w:color="auto"/>
      </w:divBdr>
    </w:div>
    <w:div w:id="1650401555">
      <w:bodyDiv w:val="1"/>
      <w:marLeft w:val="0"/>
      <w:marRight w:val="0"/>
      <w:marTop w:val="0"/>
      <w:marBottom w:val="0"/>
      <w:divBdr>
        <w:top w:val="none" w:sz="0" w:space="0" w:color="auto"/>
        <w:left w:val="none" w:sz="0" w:space="0" w:color="auto"/>
        <w:bottom w:val="none" w:sz="0" w:space="0" w:color="auto"/>
        <w:right w:val="none" w:sz="0" w:space="0" w:color="auto"/>
      </w:divBdr>
    </w:div>
    <w:div w:id="1650473636">
      <w:bodyDiv w:val="1"/>
      <w:marLeft w:val="0"/>
      <w:marRight w:val="0"/>
      <w:marTop w:val="0"/>
      <w:marBottom w:val="0"/>
      <w:divBdr>
        <w:top w:val="none" w:sz="0" w:space="0" w:color="auto"/>
        <w:left w:val="none" w:sz="0" w:space="0" w:color="auto"/>
        <w:bottom w:val="none" w:sz="0" w:space="0" w:color="auto"/>
        <w:right w:val="none" w:sz="0" w:space="0" w:color="auto"/>
      </w:divBdr>
    </w:div>
    <w:div w:id="1650473781">
      <w:bodyDiv w:val="1"/>
      <w:marLeft w:val="0"/>
      <w:marRight w:val="0"/>
      <w:marTop w:val="0"/>
      <w:marBottom w:val="0"/>
      <w:divBdr>
        <w:top w:val="none" w:sz="0" w:space="0" w:color="auto"/>
        <w:left w:val="none" w:sz="0" w:space="0" w:color="auto"/>
        <w:bottom w:val="none" w:sz="0" w:space="0" w:color="auto"/>
        <w:right w:val="none" w:sz="0" w:space="0" w:color="auto"/>
      </w:divBdr>
    </w:div>
    <w:div w:id="1650478515">
      <w:bodyDiv w:val="1"/>
      <w:marLeft w:val="0"/>
      <w:marRight w:val="0"/>
      <w:marTop w:val="0"/>
      <w:marBottom w:val="0"/>
      <w:divBdr>
        <w:top w:val="none" w:sz="0" w:space="0" w:color="auto"/>
        <w:left w:val="none" w:sz="0" w:space="0" w:color="auto"/>
        <w:bottom w:val="none" w:sz="0" w:space="0" w:color="auto"/>
        <w:right w:val="none" w:sz="0" w:space="0" w:color="auto"/>
      </w:divBdr>
    </w:div>
    <w:div w:id="1650667462">
      <w:bodyDiv w:val="1"/>
      <w:marLeft w:val="0"/>
      <w:marRight w:val="0"/>
      <w:marTop w:val="0"/>
      <w:marBottom w:val="0"/>
      <w:divBdr>
        <w:top w:val="none" w:sz="0" w:space="0" w:color="auto"/>
        <w:left w:val="none" w:sz="0" w:space="0" w:color="auto"/>
        <w:bottom w:val="none" w:sz="0" w:space="0" w:color="auto"/>
        <w:right w:val="none" w:sz="0" w:space="0" w:color="auto"/>
      </w:divBdr>
    </w:div>
    <w:div w:id="1650816567">
      <w:bodyDiv w:val="1"/>
      <w:marLeft w:val="0"/>
      <w:marRight w:val="0"/>
      <w:marTop w:val="0"/>
      <w:marBottom w:val="0"/>
      <w:divBdr>
        <w:top w:val="none" w:sz="0" w:space="0" w:color="auto"/>
        <w:left w:val="none" w:sz="0" w:space="0" w:color="auto"/>
        <w:bottom w:val="none" w:sz="0" w:space="0" w:color="auto"/>
        <w:right w:val="none" w:sz="0" w:space="0" w:color="auto"/>
      </w:divBdr>
    </w:div>
    <w:div w:id="1650941270">
      <w:bodyDiv w:val="1"/>
      <w:marLeft w:val="0"/>
      <w:marRight w:val="0"/>
      <w:marTop w:val="0"/>
      <w:marBottom w:val="0"/>
      <w:divBdr>
        <w:top w:val="none" w:sz="0" w:space="0" w:color="auto"/>
        <w:left w:val="none" w:sz="0" w:space="0" w:color="auto"/>
        <w:bottom w:val="none" w:sz="0" w:space="0" w:color="auto"/>
        <w:right w:val="none" w:sz="0" w:space="0" w:color="auto"/>
      </w:divBdr>
    </w:div>
    <w:div w:id="1650986078">
      <w:bodyDiv w:val="1"/>
      <w:marLeft w:val="0"/>
      <w:marRight w:val="0"/>
      <w:marTop w:val="0"/>
      <w:marBottom w:val="0"/>
      <w:divBdr>
        <w:top w:val="none" w:sz="0" w:space="0" w:color="auto"/>
        <w:left w:val="none" w:sz="0" w:space="0" w:color="auto"/>
        <w:bottom w:val="none" w:sz="0" w:space="0" w:color="auto"/>
        <w:right w:val="none" w:sz="0" w:space="0" w:color="auto"/>
      </w:divBdr>
    </w:div>
    <w:div w:id="1650986510">
      <w:bodyDiv w:val="1"/>
      <w:marLeft w:val="0"/>
      <w:marRight w:val="0"/>
      <w:marTop w:val="0"/>
      <w:marBottom w:val="0"/>
      <w:divBdr>
        <w:top w:val="none" w:sz="0" w:space="0" w:color="auto"/>
        <w:left w:val="none" w:sz="0" w:space="0" w:color="auto"/>
        <w:bottom w:val="none" w:sz="0" w:space="0" w:color="auto"/>
        <w:right w:val="none" w:sz="0" w:space="0" w:color="auto"/>
      </w:divBdr>
    </w:div>
    <w:div w:id="1651013622">
      <w:bodyDiv w:val="1"/>
      <w:marLeft w:val="0"/>
      <w:marRight w:val="0"/>
      <w:marTop w:val="0"/>
      <w:marBottom w:val="0"/>
      <w:divBdr>
        <w:top w:val="none" w:sz="0" w:space="0" w:color="auto"/>
        <w:left w:val="none" w:sz="0" w:space="0" w:color="auto"/>
        <w:bottom w:val="none" w:sz="0" w:space="0" w:color="auto"/>
        <w:right w:val="none" w:sz="0" w:space="0" w:color="auto"/>
      </w:divBdr>
    </w:div>
    <w:div w:id="1651128624">
      <w:bodyDiv w:val="1"/>
      <w:marLeft w:val="0"/>
      <w:marRight w:val="0"/>
      <w:marTop w:val="0"/>
      <w:marBottom w:val="0"/>
      <w:divBdr>
        <w:top w:val="none" w:sz="0" w:space="0" w:color="auto"/>
        <w:left w:val="none" w:sz="0" w:space="0" w:color="auto"/>
        <w:bottom w:val="none" w:sz="0" w:space="0" w:color="auto"/>
        <w:right w:val="none" w:sz="0" w:space="0" w:color="auto"/>
      </w:divBdr>
    </w:div>
    <w:div w:id="1651205750">
      <w:bodyDiv w:val="1"/>
      <w:marLeft w:val="0"/>
      <w:marRight w:val="0"/>
      <w:marTop w:val="0"/>
      <w:marBottom w:val="0"/>
      <w:divBdr>
        <w:top w:val="none" w:sz="0" w:space="0" w:color="auto"/>
        <w:left w:val="none" w:sz="0" w:space="0" w:color="auto"/>
        <w:bottom w:val="none" w:sz="0" w:space="0" w:color="auto"/>
        <w:right w:val="none" w:sz="0" w:space="0" w:color="auto"/>
      </w:divBdr>
    </w:div>
    <w:div w:id="1651246450">
      <w:bodyDiv w:val="1"/>
      <w:marLeft w:val="0"/>
      <w:marRight w:val="0"/>
      <w:marTop w:val="0"/>
      <w:marBottom w:val="0"/>
      <w:divBdr>
        <w:top w:val="none" w:sz="0" w:space="0" w:color="auto"/>
        <w:left w:val="none" w:sz="0" w:space="0" w:color="auto"/>
        <w:bottom w:val="none" w:sz="0" w:space="0" w:color="auto"/>
        <w:right w:val="none" w:sz="0" w:space="0" w:color="auto"/>
      </w:divBdr>
    </w:div>
    <w:div w:id="1651330014">
      <w:bodyDiv w:val="1"/>
      <w:marLeft w:val="0"/>
      <w:marRight w:val="0"/>
      <w:marTop w:val="0"/>
      <w:marBottom w:val="0"/>
      <w:divBdr>
        <w:top w:val="none" w:sz="0" w:space="0" w:color="auto"/>
        <w:left w:val="none" w:sz="0" w:space="0" w:color="auto"/>
        <w:bottom w:val="none" w:sz="0" w:space="0" w:color="auto"/>
        <w:right w:val="none" w:sz="0" w:space="0" w:color="auto"/>
      </w:divBdr>
    </w:div>
    <w:div w:id="1651444296">
      <w:bodyDiv w:val="1"/>
      <w:marLeft w:val="0"/>
      <w:marRight w:val="0"/>
      <w:marTop w:val="0"/>
      <w:marBottom w:val="0"/>
      <w:divBdr>
        <w:top w:val="none" w:sz="0" w:space="0" w:color="auto"/>
        <w:left w:val="none" w:sz="0" w:space="0" w:color="auto"/>
        <w:bottom w:val="none" w:sz="0" w:space="0" w:color="auto"/>
        <w:right w:val="none" w:sz="0" w:space="0" w:color="auto"/>
      </w:divBdr>
    </w:div>
    <w:div w:id="1651446064">
      <w:bodyDiv w:val="1"/>
      <w:marLeft w:val="0"/>
      <w:marRight w:val="0"/>
      <w:marTop w:val="0"/>
      <w:marBottom w:val="0"/>
      <w:divBdr>
        <w:top w:val="none" w:sz="0" w:space="0" w:color="auto"/>
        <w:left w:val="none" w:sz="0" w:space="0" w:color="auto"/>
        <w:bottom w:val="none" w:sz="0" w:space="0" w:color="auto"/>
        <w:right w:val="none" w:sz="0" w:space="0" w:color="auto"/>
      </w:divBdr>
    </w:div>
    <w:div w:id="1651447875">
      <w:bodyDiv w:val="1"/>
      <w:marLeft w:val="0"/>
      <w:marRight w:val="0"/>
      <w:marTop w:val="0"/>
      <w:marBottom w:val="0"/>
      <w:divBdr>
        <w:top w:val="none" w:sz="0" w:space="0" w:color="auto"/>
        <w:left w:val="none" w:sz="0" w:space="0" w:color="auto"/>
        <w:bottom w:val="none" w:sz="0" w:space="0" w:color="auto"/>
        <w:right w:val="none" w:sz="0" w:space="0" w:color="auto"/>
      </w:divBdr>
    </w:div>
    <w:div w:id="1651519391">
      <w:bodyDiv w:val="1"/>
      <w:marLeft w:val="0"/>
      <w:marRight w:val="0"/>
      <w:marTop w:val="0"/>
      <w:marBottom w:val="0"/>
      <w:divBdr>
        <w:top w:val="none" w:sz="0" w:space="0" w:color="auto"/>
        <w:left w:val="none" w:sz="0" w:space="0" w:color="auto"/>
        <w:bottom w:val="none" w:sz="0" w:space="0" w:color="auto"/>
        <w:right w:val="none" w:sz="0" w:space="0" w:color="auto"/>
      </w:divBdr>
    </w:div>
    <w:div w:id="1651597951">
      <w:bodyDiv w:val="1"/>
      <w:marLeft w:val="0"/>
      <w:marRight w:val="0"/>
      <w:marTop w:val="0"/>
      <w:marBottom w:val="0"/>
      <w:divBdr>
        <w:top w:val="none" w:sz="0" w:space="0" w:color="auto"/>
        <w:left w:val="none" w:sz="0" w:space="0" w:color="auto"/>
        <w:bottom w:val="none" w:sz="0" w:space="0" w:color="auto"/>
        <w:right w:val="none" w:sz="0" w:space="0" w:color="auto"/>
      </w:divBdr>
    </w:div>
    <w:div w:id="1651669731">
      <w:bodyDiv w:val="1"/>
      <w:marLeft w:val="0"/>
      <w:marRight w:val="0"/>
      <w:marTop w:val="0"/>
      <w:marBottom w:val="0"/>
      <w:divBdr>
        <w:top w:val="none" w:sz="0" w:space="0" w:color="auto"/>
        <w:left w:val="none" w:sz="0" w:space="0" w:color="auto"/>
        <w:bottom w:val="none" w:sz="0" w:space="0" w:color="auto"/>
        <w:right w:val="none" w:sz="0" w:space="0" w:color="auto"/>
      </w:divBdr>
    </w:div>
    <w:div w:id="1651784204">
      <w:bodyDiv w:val="1"/>
      <w:marLeft w:val="0"/>
      <w:marRight w:val="0"/>
      <w:marTop w:val="0"/>
      <w:marBottom w:val="0"/>
      <w:divBdr>
        <w:top w:val="none" w:sz="0" w:space="0" w:color="auto"/>
        <w:left w:val="none" w:sz="0" w:space="0" w:color="auto"/>
        <w:bottom w:val="none" w:sz="0" w:space="0" w:color="auto"/>
        <w:right w:val="none" w:sz="0" w:space="0" w:color="auto"/>
      </w:divBdr>
    </w:div>
    <w:div w:id="1651784663">
      <w:bodyDiv w:val="1"/>
      <w:marLeft w:val="0"/>
      <w:marRight w:val="0"/>
      <w:marTop w:val="0"/>
      <w:marBottom w:val="0"/>
      <w:divBdr>
        <w:top w:val="none" w:sz="0" w:space="0" w:color="auto"/>
        <w:left w:val="none" w:sz="0" w:space="0" w:color="auto"/>
        <w:bottom w:val="none" w:sz="0" w:space="0" w:color="auto"/>
        <w:right w:val="none" w:sz="0" w:space="0" w:color="auto"/>
      </w:divBdr>
    </w:div>
    <w:div w:id="1651790391">
      <w:bodyDiv w:val="1"/>
      <w:marLeft w:val="0"/>
      <w:marRight w:val="0"/>
      <w:marTop w:val="0"/>
      <w:marBottom w:val="0"/>
      <w:divBdr>
        <w:top w:val="none" w:sz="0" w:space="0" w:color="auto"/>
        <w:left w:val="none" w:sz="0" w:space="0" w:color="auto"/>
        <w:bottom w:val="none" w:sz="0" w:space="0" w:color="auto"/>
        <w:right w:val="none" w:sz="0" w:space="0" w:color="auto"/>
      </w:divBdr>
    </w:div>
    <w:div w:id="1651859186">
      <w:bodyDiv w:val="1"/>
      <w:marLeft w:val="0"/>
      <w:marRight w:val="0"/>
      <w:marTop w:val="0"/>
      <w:marBottom w:val="0"/>
      <w:divBdr>
        <w:top w:val="none" w:sz="0" w:space="0" w:color="auto"/>
        <w:left w:val="none" w:sz="0" w:space="0" w:color="auto"/>
        <w:bottom w:val="none" w:sz="0" w:space="0" w:color="auto"/>
        <w:right w:val="none" w:sz="0" w:space="0" w:color="auto"/>
      </w:divBdr>
    </w:div>
    <w:div w:id="1651864260">
      <w:bodyDiv w:val="1"/>
      <w:marLeft w:val="0"/>
      <w:marRight w:val="0"/>
      <w:marTop w:val="0"/>
      <w:marBottom w:val="0"/>
      <w:divBdr>
        <w:top w:val="none" w:sz="0" w:space="0" w:color="auto"/>
        <w:left w:val="none" w:sz="0" w:space="0" w:color="auto"/>
        <w:bottom w:val="none" w:sz="0" w:space="0" w:color="auto"/>
        <w:right w:val="none" w:sz="0" w:space="0" w:color="auto"/>
      </w:divBdr>
    </w:div>
    <w:div w:id="1652056077">
      <w:bodyDiv w:val="1"/>
      <w:marLeft w:val="0"/>
      <w:marRight w:val="0"/>
      <w:marTop w:val="0"/>
      <w:marBottom w:val="0"/>
      <w:divBdr>
        <w:top w:val="none" w:sz="0" w:space="0" w:color="auto"/>
        <w:left w:val="none" w:sz="0" w:space="0" w:color="auto"/>
        <w:bottom w:val="none" w:sz="0" w:space="0" w:color="auto"/>
        <w:right w:val="none" w:sz="0" w:space="0" w:color="auto"/>
      </w:divBdr>
    </w:div>
    <w:div w:id="1652173612">
      <w:bodyDiv w:val="1"/>
      <w:marLeft w:val="0"/>
      <w:marRight w:val="0"/>
      <w:marTop w:val="0"/>
      <w:marBottom w:val="0"/>
      <w:divBdr>
        <w:top w:val="none" w:sz="0" w:space="0" w:color="auto"/>
        <w:left w:val="none" w:sz="0" w:space="0" w:color="auto"/>
        <w:bottom w:val="none" w:sz="0" w:space="0" w:color="auto"/>
        <w:right w:val="none" w:sz="0" w:space="0" w:color="auto"/>
      </w:divBdr>
    </w:div>
    <w:div w:id="1652321625">
      <w:bodyDiv w:val="1"/>
      <w:marLeft w:val="0"/>
      <w:marRight w:val="0"/>
      <w:marTop w:val="0"/>
      <w:marBottom w:val="0"/>
      <w:divBdr>
        <w:top w:val="none" w:sz="0" w:space="0" w:color="auto"/>
        <w:left w:val="none" w:sz="0" w:space="0" w:color="auto"/>
        <w:bottom w:val="none" w:sz="0" w:space="0" w:color="auto"/>
        <w:right w:val="none" w:sz="0" w:space="0" w:color="auto"/>
      </w:divBdr>
    </w:div>
    <w:div w:id="1652364434">
      <w:bodyDiv w:val="1"/>
      <w:marLeft w:val="0"/>
      <w:marRight w:val="0"/>
      <w:marTop w:val="0"/>
      <w:marBottom w:val="0"/>
      <w:divBdr>
        <w:top w:val="none" w:sz="0" w:space="0" w:color="auto"/>
        <w:left w:val="none" w:sz="0" w:space="0" w:color="auto"/>
        <w:bottom w:val="none" w:sz="0" w:space="0" w:color="auto"/>
        <w:right w:val="none" w:sz="0" w:space="0" w:color="auto"/>
      </w:divBdr>
    </w:div>
    <w:div w:id="1652368162">
      <w:bodyDiv w:val="1"/>
      <w:marLeft w:val="0"/>
      <w:marRight w:val="0"/>
      <w:marTop w:val="0"/>
      <w:marBottom w:val="0"/>
      <w:divBdr>
        <w:top w:val="none" w:sz="0" w:space="0" w:color="auto"/>
        <w:left w:val="none" w:sz="0" w:space="0" w:color="auto"/>
        <w:bottom w:val="none" w:sz="0" w:space="0" w:color="auto"/>
        <w:right w:val="none" w:sz="0" w:space="0" w:color="auto"/>
      </w:divBdr>
    </w:div>
    <w:div w:id="1652369050">
      <w:bodyDiv w:val="1"/>
      <w:marLeft w:val="0"/>
      <w:marRight w:val="0"/>
      <w:marTop w:val="0"/>
      <w:marBottom w:val="0"/>
      <w:divBdr>
        <w:top w:val="none" w:sz="0" w:space="0" w:color="auto"/>
        <w:left w:val="none" w:sz="0" w:space="0" w:color="auto"/>
        <w:bottom w:val="none" w:sz="0" w:space="0" w:color="auto"/>
        <w:right w:val="none" w:sz="0" w:space="0" w:color="auto"/>
      </w:divBdr>
    </w:div>
    <w:div w:id="1652443004">
      <w:bodyDiv w:val="1"/>
      <w:marLeft w:val="0"/>
      <w:marRight w:val="0"/>
      <w:marTop w:val="0"/>
      <w:marBottom w:val="0"/>
      <w:divBdr>
        <w:top w:val="none" w:sz="0" w:space="0" w:color="auto"/>
        <w:left w:val="none" w:sz="0" w:space="0" w:color="auto"/>
        <w:bottom w:val="none" w:sz="0" w:space="0" w:color="auto"/>
        <w:right w:val="none" w:sz="0" w:space="0" w:color="auto"/>
      </w:divBdr>
    </w:div>
    <w:div w:id="1652514964">
      <w:bodyDiv w:val="1"/>
      <w:marLeft w:val="0"/>
      <w:marRight w:val="0"/>
      <w:marTop w:val="0"/>
      <w:marBottom w:val="0"/>
      <w:divBdr>
        <w:top w:val="none" w:sz="0" w:space="0" w:color="auto"/>
        <w:left w:val="none" w:sz="0" w:space="0" w:color="auto"/>
        <w:bottom w:val="none" w:sz="0" w:space="0" w:color="auto"/>
        <w:right w:val="none" w:sz="0" w:space="0" w:color="auto"/>
      </w:divBdr>
    </w:div>
    <w:div w:id="1652515241">
      <w:bodyDiv w:val="1"/>
      <w:marLeft w:val="0"/>
      <w:marRight w:val="0"/>
      <w:marTop w:val="0"/>
      <w:marBottom w:val="0"/>
      <w:divBdr>
        <w:top w:val="none" w:sz="0" w:space="0" w:color="auto"/>
        <w:left w:val="none" w:sz="0" w:space="0" w:color="auto"/>
        <w:bottom w:val="none" w:sz="0" w:space="0" w:color="auto"/>
        <w:right w:val="none" w:sz="0" w:space="0" w:color="auto"/>
      </w:divBdr>
    </w:div>
    <w:div w:id="1652558868">
      <w:bodyDiv w:val="1"/>
      <w:marLeft w:val="0"/>
      <w:marRight w:val="0"/>
      <w:marTop w:val="0"/>
      <w:marBottom w:val="0"/>
      <w:divBdr>
        <w:top w:val="none" w:sz="0" w:space="0" w:color="auto"/>
        <w:left w:val="none" w:sz="0" w:space="0" w:color="auto"/>
        <w:bottom w:val="none" w:sz="0" w:space="0" w:color="auto"/>
        <w:right w:val="none" w:sz="0" w:space="0" w:color="auto"/>
      </w:divBdr>
    </w:div>
    <w:div w:id="1652900413">
      <w:bodyDiv w:val="1"/>
      <w:marLeft w:val="0"/>
      <w:marRight w:val="0"/>
      <w:marTop w:val="0"/>
      <w:marBottom w:val="0"/>
      <w:divBdr>
        <w:top w:val="none" w:sz="0" w:space="0" w:color="auto"/>
        <w:left w:val="none" w:sz="0" w:space="0" w:color="auto"/>
        <w:bottom w:val="none" w:sz="0" w:space="0" w:color="auto"/>
        <w:right w:val="none" w:sz="0" w:space="0" w:color="auto"/>
      </w:divBdr>
    </w:div>
    <w:div w:id="1653027096">
      <w:bodyDiv w:val="1"/>
      <w:marLeft w:val="0"/>
      <w:marRight w:val="0"/>
      <w:marTop w:val="0"/>
      <w:marBottom w:val="0"/>
      <w:divBdr>
        <w:top w:val="none" w:sz="0" w:space="0" w:color="auto"/>
        <w:left w:val="none" w:sz="0" w:space="0" w:color="auto"/>
        <w:bottom w:val="none" w:sz="0" w:space="0" w:color="auto"/>
        <w:right w:val="none" w:sz="0" w:space="0" w:color="auto"/>
      </w:divBdr>
    </w:div>
    <w:div w:id="1653173304">
      <w:bodyDiv w:val="1"/>
      <w:marLeft w:val="0"/>
      <w:marRight w:val="0"/>
      <w:marTop w:val="0"/>
      <w:marBottom w:val="0"/>
      <w:divBdr>
        <w:top w:val="none" w:sz="0" w:space="0" w:color="auto"/>
        <w:left w:val="none" w:sz="0" w:space="0" w:color="auto"/>
        <w:bottom w:val="none" w:sz="0" w:space="0" w:color="auto"/>
        <w:right w:val="none" w:sz="0" w:space="0" w:color="auto"/>
      </w:divBdr>
    </w:div>
    <w:div w:id="1653366407">
      <w:bodyDiv w:val="1"/>
      <w:marLeft w:val="0"/>
      <w:marRight w:val="0"/>
      <w:marTop w:val="0"/>
      <w:marBottom w:val="0"/>
      <w:divBdr>
        <w:top w:val="none" w:sz="0" w:space="0" w:color="auto"/>
        <w:left w:val="none" w:sz="0" w:space="0" w:color="auto"/>
        <w:bottom w:val="none" w:sz="0" w:space="0" w:color="auto"/>
        <w:right w:val="none" w:sz="0" w:space="0" w:color="auto"/>
      </w:divBdr>
    </w:div>
    <w:div w:id="1653408379">
      <w:bodyDiv w:val="1"/>
      <w:marLeft w:val="0"/>
      <w:marRight w:val="0"/>
      <w:marTop w:val="0"/>
      <w:marBottom w:val="0"/>
      <w:divBdr>
        <w:top w:val="none" w:sz="0" w:space="0" w:color="auto"/>
        <w:left w:val="none" w:sz="0" w:space="0" w:color="auto"/>
        <w:bottom w:val="none" w:sz="0" w:space="0" w:color="auto"/>
        <w:right w:val="none" w:sz="0" w:space="0" w:color="auto"/>
      </w:divBdr>
    </w:div>
    <w:div w:id="1653558409">
      <w:bodyDiv w:val="1"/>
      <w:marLeft w:val="0"/>
      <w:marRight w:val="0"/>
      <w:marTop w:val="0"/>
      <w:marBottom w:val="0"/>
      <w:divBdr>
        <w:top w:val="none" w:sz="0" w:space="0" w:color="auto"/>
        <w:left w:val="none" w:sz="0" w:space="0" w:color="auto"/>
        <w:bottom w:val="none" w:sz="0" w:space="0" w:color="auto"/>
        <w:right w:val="none" w:sz="0" w:space="0" w:color="auto"/>
      </w:divBdr>
    </w:div>
    <w:div w:id="1653562214">
      <w:bodyDiv w:val="1"/>
      <w:marLeft w:val="0"/>
      <w:marRight w:val="0"/>
      <w:marTop w:val="0"/>
      <w:marBottom w:val="0"/>
      <w:divBdr>
        <w:top w:val="none" w:sz="0" w:space="0" w:color="auto"/>
        <w:left w:val="none" w:sz="0" w:space="0" w:color="auto"/>
        <w:bottom w:val="none" w:sz="0" w:space="0" w:color="auto"/>
        <w:right w:val="none" w:sz="0" w:space="0" w:color="auto"/>
      </w:divBdr>
    </w:div>
    <w:div w:id="1653679238">
      <w:bodyDiv w:val="1"/>
      <w:marLeft w:val="0"/>
      <w:marRight w:val="0"/>
      <w:marTop w:val="0"/>
      <w:marBottom w:val="0"/>
      <w:divBdr>
        <w:top w:val="none" w:sz="0" w:space="0" w:color="auto"/>
        <w:left w:val="none" w:sz="0" w:space="0" w:color="auto"/>
        <w:bottom w:val="none" w:sz="0" w:space="0" w:color="auto"/>
        <w:right w:val="none" w:sz="0" w:space="0" w:color="auto"/>
      </w:divBdr>
    </w:div>
    <w:div w:id="1653679600">
      <w:bodyDiv w:val="1"/>
      <w:marLeft w:val="0"/>
      <w:marRight w:val="0"/>
      <w:marTop w:val="0"/>
      <w:marBottom w:val="0"/>
      <w:divBdr>
        <w:top w:val="none" w:sz="0" w:space="0" w:color="auto"/>
        <w:left w:val="none" w:sz="0" w:space="0" w:color="auto"/>
        <w:bottom w:val="none" w:sz="0" w:space="0" w:color="auto"/>
        <w:right w:val="none" w:sz="0" w:space="0" w:color="auto"/>
      </w:divBdr>
    </w:div>
    <w:div w:id="1653751851">
      <w:bodyDiv w:val="1"/>
      <w:marLeft w:val="0"/>
      <w:marRight w:val="0"/>
      <w:marTop w:val="0"/>
      <w:marBottom w:val="0"/>
      <w:divBdr>
        <w:top w:val="none" w:sz="0" w:space="0" w:color="auto"/>
        <w:left w:val="none" w:sz="0" w:space="0" w:color="auto"/>
        <w:bottom w:val="none" w:sz="0" w:space="0" w:color="auto"/>
        <w:right w:val="none" w:sz="0" w:space="0" w:color="auto"/>
      </w:divBdr>
    </w:div>
    <w:div w:id="1653753376">
      <w:bodyDiv w:val="1"/>
      <w:marLeft w:val="0"/>
      <w:marRight w:val="0"/>
      <w:marTop w:val="0"/>
      <w:marBottom w:val="0"/>
      <w:divBdr>
        <w:top w:val="none" w:sz="0" w:space="0" w:color="auto"/>
        <w:left w:val="none" w:sz="0" w:space="0" w:color="auto"/>
        <w:bottom w:val="none" w:sz="0" w:space="0" w:color="auto"/>
        <w:right w:val="none" w:sz="0" w:space="0" w:color="auto"/>
      </w:divBdr>
    </w:div>
    <w:div w:id="1653829375">
      <w:bodyDiv w:val="1"/>
      <w:marLeft w:val="0"/>
      <w:marRight w:val="0"/>
      <w:marTop w:val="0"/>
      <w:marBottom w:val="0"/>
      <w:divBdr>
        <w:top w:val="none" w:sz="0" w:space="0" w:color="auto"/>
        <w:left w:val="none" w:sz="0" w:space="0" w:color="auto"/>
        <w:bottom w:val="none" w:sz="0" w:space="0" w:color="auto"/>
        <w:right w:val="none" w:sz="0" w:space="0" w:color="auto"/>
      </w:divBdr>
    </w:div>
    <w:div w:id="1653873643">
      <w:bodyDiv w:val="1"/>
      <w:marLeft w:val="0"/>
      <w:marRight w:val="0"/>
      <w:marTop w:val="0"/>
      <w:marBottom w:val="0"/>
      <w:divBdr>
        <w:top w:val="none" w:sz="0" w:space="0" w:color="auto"/>
        <w:left w:val="none" w:sz="0" w:space="0" w:color="auto"/>
        <w:bottom w:val="none" w:sz="0" w:space="0" w:color="auto"/>
        <w:right w:val="none" w:sz="0" w:space="0" w:color="auto"/>
      </w:divBdr>
    </w:div>
    <w:div w:id="1653951019">
      <w:bodyDiv w:val="1"/>
      <w:marLeft w:val="0"/>
      <w:marRight w:val="0"/>
      <w:marTop w:val="0"/>
      <w:marBottom w:val="0"/>
      <w:divBdr>
        <w:top w:val="none" w:sz="0" w:space="0" w:color="auto"/>
        <w:left w:val="none" w:sz="0" w:space="0" w:color="auto"/>
        <w:bottom w:val="none" w:sz="0" w:space="0" w:color="auto"/>
        <w:right w:val="none" w:sz="0" w:space="0" w:color="auto"/>
      </w:divBdr>
    </w:div>
    <w:div w:id="1654065891">
      <w:bodyDiv w:val="1"/>
      <w:marLeft w:val="0"/>
      <w:marRight w:val="0"/>
      <w:marTop w:val="0"/>
      <w:marBottom w:val="0"/>
      <w:divBdr>
        <w:top w:val="none" w:sz="0" w:space="0" w:color="auto"/>
        <w:left w:val="none" w:sz="0" w:space="0" w:color="auto"/>
        <w:bottom w:val="none" w:sz="0" w:space="0" w:color="auto"/>
        <w:right w:val="none" w:sz="0" w:space="0" w:color="auto"/>
      </w:divBdr>
    </w:div>
    <w:div w:id="1654286494">
      <w:bodyDiv w:val="1"/>
      <w:marLeft w:val="0"/>
      <w:marRight w:val="0"/>
      <w:marTop w:val="0"/>
      <w:marBottom w:val="0"/>
      <w:divBdr>
        <w:top w:val="none" w:sz="0" w:space="0" w:color="auto"/>
        <w:left w:val="none" w:sz="0" w:space="0" w:color="auto"/>
        <w:bottom w:val="none" w:sz="0" w:space="0" w:color="auto"/>
        <w:right w:val="none" w:sz="0" w:space="0" w:color="auto"/>
      </w:divBdr>
    </w:div>
    <w:div w:id="1654291946">
      <w:bodyDiv w:val="1"/>
      <w:marLeft w:val="0"/>
      <w:marRight w:val="0"/>
      <w:marTop w:val="0"/>
      <w:marBottom w:val="0"/>
      <w:divBdr>
        <w:top w:val="none" w:sz="0" w:space="0" w:color="auto"/>
        <w:left w:val="none" w:sz="0" w:space="0" w:color="auto"/>
        <w:bottom w:val="none" w:sz="0" w:space="0" w:color="auto"/>
        <w:right w:val="none" w:sz="0" w:space="0" w:color="auto"/>
      </w:divBdr>
    </w:div>
    <w:div w:id="1654407225">
      <w:bodyDiv w:val="1"/>
      <w:marLeft w:val="0"/>
      <w:marRight w:val="0"/>
      <w:marTop w:val="0"/>
      <w:marBottom w:val="0"/>
      <w:divBdr>
        <w:top w:val="none" w:sz="0" w:space="0" w:color="auto"/>
        <w:left w:val="none" w:sz="0" w:space="0" w:color="auto"/>
        <w:bottom w:val="none" w:sz="0" w:space="0" w:color="auto"/>
        <w:right w:val="none" w:sz="0" w:space="0" w:color="auto"/>
      </w:divBdr>
    </w:div>
    <w:div w:id="1654721120">
      <w:bodyDiv w:val="1"/>
      <w:marLeft w:val="0"/>
      <w:marRight w:val="0"/>
      <w:marTop w:val="0"/>
      <w:marBottom w:val="0"/>
      <w:divBdr>
        <w:top w:val="none" w:sz="0" w:space="0" w:color="auto"/>
        <w:left w:val="none" w:sz="0" w:space="0" w:color="auto"/>
        <w:bottom w:val="none" w:sz="0" w:space="0" w:color="auto"/>
        <w:right w:val="none" w:sz="0" w:space="0" w:color="auto"/>
      </w:divBdr>
    </w:div>
    <w:div w:id="1654723874">
      <w:bodyDiv w:val="1"/>
      <w:marLeft w:val="0"/>
      <w:marRight w:val="0"/>
      <w:marTop w:val="0"/>
      <w:marBottom w:val="0"/>
      <w:divBdr>
        <w:top w:val="none" w:sz="0" w:space="0" w:color="auto"/>
        <w:left w:val="none" w:sz="0" w:space="0" w:color="auto"/>
        <w:bottom w:val="none" w:sz="0" w:space="0" w:color="auto"/>
        <w:right w:val="none" w:sz="0" w:space="0" w:color="auto"/>
      </w:divBdr>
    </w:div>
    <w:div w:id="1654866552">
      <w:bodyDiv w:val="1"/>
      <w:marLeft w:val="0"/>
      <w:marRight w:val="0"/>
      <w:marTop w:val="0"/>
      <w:marBottom w:val="0"/>
      <w:divBdr>
        <w:top w:val="none" w:sz="0" w:space="0" w:color="auto"/>
        <w:left w:val="none" w:sz="0" w:space="0" w:color="auto"/>
        <w:bottom w:val="none" w:sz="0" w:space="0" w:color="auto"/>
        <w:right w:val="none" w:sz="0" w:space="0" w:color="auto"/>
      </w:divBdr>
    </w:div>
    <w:div w:id="1654941960">
      <w:bodyDiv w:val="1"/>
      <w:marLeft w:val="0"/>
      <w:marRight w:val="0"/>
      <w:marTop w:val="0"/>
      <w:marBottom w:val="0"/>
      <w:divBdr>
        <w:top w:val="none" w:sz="0" w:space="0" w:color="auto"/>
        <w:left w:val="none" w:sz="0" w:space="0" w:color="auto"/>
        <w:bottom w:val="none" w:sz="0" w:space="0" w:color="auto"/>
        <w:right w:val="none" w:sz="0" w:space="0" w:color="auto"/>
      </w:divBdr>
    </w:div>
    <w:div w:id="1655144231">
      <w:bodyDiv w:val="1"/>
      <w:marLeft w:val="0"/>
      <w:marRight w:val="0"/>
      <w:marTop w:val="0"/>
      <w:marBottom w:val="0"/>
      <w:divBdr>
        <w:top w:val="none" w:sz="0" w:space="0" w:color="auto"/>
        <w:left w:val="none" w:sz="0" w:space="0" w:color="auto"/>
        <w:bottom w:val="none" w:sz="0" w:space="0" w:color="auto"/>
        <w:right w:val="none" w:sz="0" w:space="0" w:color="auto"/>
      </w:divBdr>
    </w:div>
    <w:div w:id="1655256412">
      <w:bodyDiv w:val="1"/>
      <w:marLeft w:val="0"/>
      <w:marRight w:val="0"/>
      <w:marTop w:val="0"/>
      <w:marBottom w:val="0"/>
      <w:divBdr>
        <w:top w:val="none" w:sz="0" w:space="0" w:color="auto"/>
        <w:left w:val="none" w:sz="0" w:space="0" w:color="auto"/>
        <w:bottom w:val="none" w:sz="0" w:space="0" w:color="auto"/>
        <w:right w:val="none" w:sz="0" w:space="0" w:color="auto"/>
      </w:divBdr>
    </w:div>
    <w:div w:id="1655262044">
      <w:bodyDiv w:val="1"/>
      <w:marLeft w:val="0"/>
      <w:marRight w:val="0"/>
      <w:marTop w:val="0"/>
      <w:marBottom w:val="0"/>
      <w:divBdr>
        <w:top w:val="none" w:sz="0" w:space="0" w:color="auto"/>
        <w:left w:val="none" w:sz="0" w:space="0" w:color="auto"/>
        <w:bottom w:val="none" w:sz="0" w:space="0" w:color="auto"/>
        <w:right w:val="none" w:sz="0" w:space="0" w:color="auto"/>
      </w:divBdr>
    </w:div>
    <w:div w:id="1655331185">
      <w:bodyDiv w:val="1"/>
      <w:marLeft w:val="0"/>
      <w:marRight w:val="0"/>
      <w:marTop w:val="0"/>
      <w:marBottom w:val="0"/>
      <w:divBdr>
        <w:top w:val="none" w:sz="0" w:space="0" w:color="auto"/>
        <w:left w:val="none" w:sz="0" w:space="0" w:color="auto"/>
        <w:bottom w:val="none" w:sz="0" w:space="0" w:color="auto"/>
        <w:right w:val="none" w:sz="0" w:space="0" w:color="auto"/>
      </w:divBdr>
    </w:div>
    <w:div w:id="1655380092">
      <w:bodyDiv w:val="1"/>
      <w:marLeft w:val="0"/>
      <w:marRight w:val="0"/>
      <w:marTop w:val="0"/>
      <w:marBottom w:val="0"/>
      <w:divBdr>
        <w:top w:val="none" w:sz="0" w:space="0" w:color="auto"/>
        <w:left w:val="none" w:sz="0" w:space="0" w:color="auto"/>
        <w:bottom w:val="none" w:sz="0" w:space="0" w:color="auto"/>
        <w:right w:val="none" w:sz="0" w:space="0" w:color="auto"/>
      </w:divBdr>
    </w:div>
    <w:div w:id="1655452390">
      <w:bodyDiv w:val="1"/>
      <w:marLeft w:val="0"/>
      <w:marRight w:val="0"/>
      <w:marTop w:val="0"/>
      <w:marBottom w:val="0"/>
      <w:divBdr>
        <w:top w:val="none" w:sz="0" w:space="0" w:color="auto"/>
        <w:left w:val="none" w:sz="0" w:space="0" w:color="auto"/>
        <w:bottom w:val="none" w:sz="0" w:space="0" w:color="auto"/>
        <w:right w:val="none" w:sz="0" w:space="0" w:color="auto"/>
      </w:divBdr>
    </w:div>
    <w:div w:id="1655642170">
      <w:bodyDiv w:val="1"/>
      <w:marLeft w:val="0"/>
      <w:marRight w:val="0"/>
      <w:marTop w:val="0"/>
      <w:marBottom w:val="0"/>
      <w:divBdr>
        <w:top w:val="none" w:sz="0" w:space="0" w:color="auto"/>
        <w:left w:val="none" w:sz="0" w:space="0" w:color="auto"/>
        <w:bottom w:val="none" w:sz="0" w:space="0" w:color="auto"/>
        <w:right w:val="none" w:sz="0" w:space="0" w:color="auto"/>
      </w:divBdr>
    </w:div>
    <w:div w:id="1655644974">
      <w:bodyDiv w:val="1"/>
      <w:marLeft w:val="0"/>
      <w:marRight w:val="0"/>
      <w:marTop w:val="0"/>
      <w:marBottom w:val="0"/>
      <w:divBdr>
        <w:top w:val="none" w:sz="0" w:space="0" w:color="auto"/>
        <w:left w:val="none" w:sz="0" w:space="0" w:color="auto"/>
        <w:bottom w:val="none" w:sz="0" w:space="0" w:color="auto"/>
        <w:right w:val="none" w:sz="0" w:space="0" w:color="auto"/>
      </w:divBdr>
    </w:div>
    <w:div w:id="1655714507">
      <w:bodyDiv w:val="1"/>
      <w:marLeft w:val="0"/>
      <w:marRight w:val="0"/>
      <w:marTop w:val="0"/>
      <w:marBottom w:val="0"/>
      <w:divBdr>
        <w:top w:val="none" w:sz="0" w:space="0" w:color="auto"/>
        <w:left w:val="none" w:sz="0" w:space="0" w:color="auto"/>
        <w:bottom w:val="none" w:sz="0" w:space="0" w:color="auto"/>
        <w:right w:val="none" w:sz="0" w:space="0" w:color="auto"/>
      </w:divBdr>
    </w:div>
    <w:div w:id="1655910947">
      <w:bodyDiv w:val="1"/>
      <w:marLeft w:val="0"/>
      <w:marRight w:val="0"/>
      <w:marTop w:val="0"/>
      <w:marBottom w:val="0"/>
      <w:divBdr>
        <w:top w:val="none" w:sz="0" w:space="0" w:color="auto"/>
        <w:left w:val="none" w:sz="0" w:space="0" w:color="auto"/>
        <w:bottom w:val="none" w:sz="0" w:space="0" w:color="auto"/>
        <w:right w:val="none" w:sz="0" w:space="0" w:color="auto"/>
      </w:divBdr>
    </w:div>
    <w:div w:id="1655915768">
      <w:bodyDiv w:val="1"/>
      <w:marLeft w:val="0"/>
      <w:marRight w:val="0"/>
      <w:marTop w:val="0"/>
      <w:marBottom w:val="0"/>
      <w:divBdr>
        <w:top w:val="none" w:sz="0" w:space="0" w:color="auto"/>
        <w:left w:val="none" w:sz="0" w:space="0" w:color="auto"/>
        <w:bottom w:val="none" w:sz="0" w:space="0" w:color="auto"/>
        <w:right w:val="none" w:sz="0" w:space="0" w:color="auto"/>
      </w:divBdr>
    </w:div>
    <w:div w:id="1656058978">
      <w:bodyDiv w:val="1"/>
      <w:marLeft w:val="0"/>
      <w:marRight w:val="0"/>
      <w:marTop w:val="0"/>
      <w:marBottom w:val="0"/>
      <w:divBdr>
        <w:top w:val="none" w:sz="0" w:space="0" w:color="auto"/>
        <w:left w:val="none" w:sz="0" w:space="0" w:color="auto"/>
        <w:bottom w:val="none" w:sz="0" w:space="0" w:color="auto"/>
        <w:right w:val="none" w:sz="0" w:space="0" w:color="auto"/>
      </w:divBdr>
    </w:div>
    <w:div w:id="1656104789">
      <w:bodyDiv w:val="1"/>
      <w:marLeft w:val="0"/>
      <w:marRight w:val="0"/>
      <w:marTop w:val="0"/>
      <w:marBottom w:val="0"/>
      <w:divBdr>
        <w:top w:val="none" w:sz="0" w:space="0" w:color="auto"/>
        <w:left w:val="none" w:sz="0" w:space="0" w:color="auto"/>
        <w:bottom w:val="none" w:sz="0" w:space="0" w:color="auto"/>
        <w:right w:val="none" w:sz="0" w:space="0" w:color="auto"/>
      </w:divBdr>
    </w:div>
    <w:div w:id="1656178087">
      <w:bodyDiv w:val="1"/>
      <w:marLeft w:val="0"/>
      <w:marRight w:val="0"/>
      <w:marTop w:val="0"/>
      <w:marBottom w:val="0"/>
      <w:divBdr>
        <w:top w:val="none" w:sz="0" w:space="0" w:color="auto"/>
        <w:left w:val="none" w:sz="0" w:space="0" w:color="auto"/>
        <w:bottom w:val="none" w:sz="0" w:space="0" w:color="auto"/>
        <w:right w:val="none" w:sz="0" w:space="0" w:color="auto"/>
      </w:divBdr>
    </w:div>
    <w:div w:id="1656227175">
      <w:bodyDiv w:val="1"/>
      <w:marLeft w:val="0"/>
      <w:marRight w:val="0"/>
      <w:marTop w:val="0"/>
      <w:marBottom w:val="0"/>
      <w:divBdr>
        <w:top w:val="none" w:sz="0" w:space="0" w:color="auto"/>
        <w:left w:val="none" w:sz="0" w:space="0" w:color="auto"/>
        <w:bottom w:val="none" w:sz="0" w:space="0" w:color="auto"/>
        <w:right w:val="none" w:sz="0" w:space="0" w:color="auto"/>
      </w:divBdr>
    </w:div>
    <w:div w:id="1656255764">
      <w:bodyDiv w:val="1"/>
      <w:marLeft w:val="0"/>
      <w:marRight w:val="0"/>
      <w:marTop w:val="0"/>
      <w:marBottom w:val="0"/>
      <w:divBdr>
        <w:top w:val="none" w:sz="0" w:space="0" w:color="auto"/>
        <w:left w:val="none" w:sz="0" w:space="0" w:color="auto"/>
        <w:bottom w:val="none" w:sz="0" w:space="0" w:color="auto"/>
        <w:right w:val="none" w:sz="0" w:space="0" w:color="auto"/>
      </w:divBdr>
    </w:div>
    <w:div w:id="1656256760">
      <w:bodyDiv w:val="1"/>
      <w:marLeft w:val="0"/>
      <w:marRight w:val="0"/>
      <w:marTop w:val="0"/>
      <w:marBottom w:val="0"/>
      <w:divBdr>
        <w:top w:val="none" w:sz="0" w:space="0" w:color="auto"/>
        <w:left w:val="none" w:sz="0" w:space="0" w:color="auto"/>
        <w:bottom w:val="none" w:sz="0" w:space="0" w:color="auto"/>
        <w:right w:val="none" w:sz="0" w:space="0" w:color="auto"/>
      </w:divBdr>
    </w:div>
    <w:div w:id="1656295852">
      <w:bodyDiv w:val="1"/>
      <w:marLeft w:val="0"/>
      <w:marRight w:val="0"/>
      <w:marTop w:val="0"/>
      <w:marBottom w:val="0"/>
      <w:divBdr>
        <w:top w:val="none" w:sz="0" w:space="0" w:color="auto"/>
        <w:left w:val="none" w:sz="0" w:space="0" w:color="auto"/>
        <w:bottom w:val="none" w:sz="0" w:space="0" w:color="auto"/>
        <w:right w:val="none" w:sz="0" w:space="0" w:color="auto"/>
      </w:divBdr>
    </w:div>
    <w:div w:id="1656492032">
      <w:bodyDiv w:val="1"/>
      <w:marLeft w:val="0"/>
      <w:marRight w:val="0"/>
      <w:marTop w:val="0"/>
      <w:marBottom w:val="0"/>
      <w:divBdr>
        <w:top w:val="none" w:sz="0" w:space="0" w:color="auto"/>
        <w:left w:val="none" w:sz="0" w:space="0" w:color="auto"/>
        <w:bottom w:val="none" w:sz="0" w:space="0" w:color="auto"/>
        <w:right w:val="none" w:sz="0" w:space="0" w:color="auto"/>
      </w:divBdr>
    </w:div>
    <w:div w:id="1656642558">
      <w:bodyDiv w:val="1"/>
      <w:marLeft w:val="0"/>
      <w:marRight w:val="0"/>
      <w:marTop w:val="0"/>
      <w:marBottom w:val="0"/>
      <w:divBdr>
        <w:top w:val="none" w:sz="0" w:space="0" w:color="auto"/>
        <w:left w:val="none" w:sz="0" w:space="0" w:color="auto"/>
        <w:bottom w:val="none" w:sz="0" w:space="0" w:color="auto"/>
        <w:right w:val="none" w:sz="0" w:space="0" w:color="auto"/>
      </w:divBdr>
    </w:div>
    <w:div w:id="1656834688">
      <w:bodyDiv w:val="1"/>
      <w:marLeft w:val="0"/>
      <w:marRight w:val="0"/>
      <w:marTop w:val="0"/>
      <w:marBottom w:val="0"/>
      <w:divBdr>
        <w:top w:val="none" w:sz="0" w:space="0" w:color="auto"/>
        <w:left w:val="none" w:sz="0" w:space="0" w:color="auto"/>
        <w:bottom w:val="none" w:sz="0" w:space="0" w:color="auto"/>
        <w:right w:val="none" w:sz="0" w:space="0" w:color="auto"/>
      </w:divBdr>
    </w:div>
    <w:div w:id="1656911306">
      <w:bodyDiv w:val="1"/>
      <w:marLeft w:val="0"/>
      <w:marRight w:val="0"/>
      <w:marTop w:val="0"/>
      <w:marBottom w:val="0"/>
      <w:divBdr>
        <w:top w:val="none" w:sz="0" w:space="0" w:color="auto"/>
        <w:left w:val="none" w:sz="0" w:space="0" w:color="auto"/>
        <w:bottom w:val="none" w:sz="0" w:space="0" w:color="auto"/>
        <w:right w:val="none" w:sz="0" w:space="0" w:color="auto"/>
      </w:divBdr>
    </w:div>
    <w:div w:id="1656958923">
      <w:bodyDiv w:val="1"/>
      <w:marLeft w:val="0"/>
      <w:marRight w:val="0"/>
      <w:marTop w:val="0"/>
      <w:marBottom w:val="0"/>
      <w:divBdr>
        <w:top w:val="none" w:sz="0" w:space="0" w:color="auto"/>
        <w:left w:val="none" w:sz="0" w:space="0" w:color="auto"/>
        <w:bottom w:val="none" w:sz="0" w:space="0" w:color="auto"/>
        <w:right w:val="none" w:sz="0" w:space="0" w:color="auto"/>
      </w:divBdr>
    </w:div>
    <w:div w:id="1657146675">
      <w:bodyDiv w:val="1"/>
      <w:marLeft w:val="0"/>
      <w:marRight w:val="0"/>
      <w:marTop w:val="0"/>
      <w:marBottom w:val="0"/>
      <w:divBdr>
        <w:top w:val="none" w:sz="0" w:space="0" w:color="auto"/>
        <w:left w:val="none" w:sz="0" w:space="0" w:color="auto"/>
        <w:bottom w:val="none" w:sz="0" w:space="0" w:color="auto"/>
        <w:right w:val="none" w:sz="0" w:space="0" w:color="auto"/>
      </w:divBdr>
    </w:div>
    <w:div w:id="1657223641">
      <w:bodyDiv w:val="1"/>
      <w:marLeft w:val="0"/>
      <w:marRight w:val="0"/>
      <w:marTop w:val="0"/>
      <w:marBottom w:val="0"/>
      <w:divBdr>
        <w:top w:val="none" w:sz="0" w:space="0" w:color="auto"/>
        <w:left w:val="none" w:sz="0" w:space="0" w:color="auto"/>
        <w:bottom w:val="none" w:sz="0" w:space="0" w:color="auto"/>
        <w:right w:val="none" w:sz="0" w:space="0" w:color="auto"/>
      </w:divBdr>
    </w:div>
    <w:div w:id="1657296529">
      <w:bodyDiv w:val="1"/>
      <w:marLeft w:val="0"/>
      <w:marRight w:val="0"/>
      <w:marTop w:val="0"/>
      <w:marBottom w:val="0"/>
      <w:divBdr>
        <w:top w:val="none" w:sz="0" w:space="0" w:color="auto"/>
        <w:left w:val="none" w:sz="0" w:space="0" w:color="auto"/>
        <w:bottom w:val="none" w:sz="0" w:space="0" w:color="auto"/>
        <w:right w:val="none" w:sz="0" w:space="0" w:color="auto"/>
      </w:divBdr>
    </w:div>
    <w:div w:id="1657341038">
      <w:bodyDiv w:val="1"/>
      <w:marLeft w:val="0"/>
      <w:marRight w:val="0"/>
      <w:marTop w:val="0"/>
      <w:marBottom w:val="0"/>
      <w:divBdr>
        <w:top w:val="none" w:sz="0" w:space="0" w:color="auto"/>
        <w:left w:val="none" w:sz="0" w:space="0" w:color="auto"/>
        <w:bottom w:val="none" w:sz="0" w:space="0" w:color="auto"/>
        <w:right w:val="none" w:sz="0" w:space="0" w:color="auto"/>
      </w:divBdr>
    </w:div>
    <w:div w:id="1657370213">
      <w:bodyDiv w:val="1"/>
      <w:marLeft w:val="0"/>
      <w:marRight w:val="0"/>
      <w:marTop w:val="0"/>
      <w:marBottom w:val="0"/>
      <w:divBdr>
        <w:top w:val="none" w:sz="0" w:space="0" w:color="auto"/>
        <w:left w:val="none" w:sz="0" w:space="0" w:color="auto"/>
        <w:bottom w:val="none" w:sz="0" w:space="0" w:color="auto"/>
        <w:right w:val="none" w:sz="0" w:space="0" w:color="auto"/>
      </w:divBdr>
    </w:div>
    <w:div w:id="1657419709">
      <w:bodyDiv w:val="1"/>
      <w:marLeft w:val="0"/>
      <w:marRight w:val="0"/>
      <w:marTop w:val="0"/>
      <w:marBottom w:val="0"/>
      <w:divBdr>
        <w:top w:val="none" w:sz="0" w:space="0" w:color="auto"/>
        <w:left w:val="none" w:sz="0" w:space="0" w:color="auto"/>
        <w:bottom w:val="none" w:sz="0" w:space="0" w:color="auto"/>
        <w:right w:val="none" w:sz="0" w:space="0" w:color="auto"/>
      </w:divBdr>
    </w:div>
    <w:div w:id="1657488908">
      <w:bodyDiv w:val="1"/>
      <w:marLeft w:val="0"/>
      <w:marRight w:val="0"/>
      <w:marTop w:val="0"/>
      <w:marBottom w:val="0"/>
      <w:divBdr>
        <w:top w:val="none" w:sz="0" w:space="0" w:color="auto"/>
        <w:left w:val="none" w:sz="0" w:space="0" w:color="auto"/>
        <w:bottom w:val="none" w:sz="0" w:space="0" w:color="auto"/>
        <w:right w:val="none" w:sz="0" w:space="0" w:color="auto"/>
      </w:divBdr>
    </w:div>
    <w:div w:id="1657682398">
      <w:bodyDiv w:val="1"/>
      <w:marLeft w:val="0"/>
      <w:marRight w:val="0"/>
      <w:marTop w:val="0"/>
      <w:marBottom w:val="0"/>
      <w:divBdr>
        <w:top w:val="none" w:sz="0" w:space="0" w:color="auto"/>
        <w:left w:val="none" w:sz="0" w:space="0" w:color="auto"/>
        <w:bottom w:val="none" w:sz="0" w:space="0" w:color="auto"/>
        <w:right w:val="none" w:sz="0" w:space="0" w:color="auto"/>
      </w:divBdr>
    </w:div>
    <w:div w:id="1657682421">
      <w:bodyDiv w:val="1"/>
      <w:marLeft w:val="0"/>
      <w:marRight w:val="0"/>
      <w:marTop w:val="0"/>
      <w:marBottom w:val="0"/>
      <w:divBdr>
        <w:top w:val="none" w:sz="0" w:space="0" w:color="auto"/>
        <w:left w:val="none" w:sz="0" w:space="0" w:color="auto"/>
        <w:bottom w:val="none" w:sz="0" w:space="0" w:color="auto"/>
        <w:right w:val="none" w:sz="0" w:space="0" w:color="auto"/>
      </w:divBdr>
    </w:div>
    <w:div w:id="1657804346">
      <w:bodyDiv w:val="1"/>
      <w:marLeft w:val="0"/>
      <w:marRight w:val="0"/>
      <w:marTop w:val="0"/>
      <w:marBottom w:val="0"/>
      <w:divBdr>
        <w:top w:val="none" w:sz="0" w:space="0" w:color="auto"/>
        <w:left w:val="none" w:sz="0" w:space="0" w:color="auto"/>
        <w:bottom w:val="none" w:sz="0" w:space="0" w:color="auto"/>
        <w:right w:val="none" w:sz="0" w:space="0" w:color="auto"/>
      </w:divBdr>
    </w:div>
    <w:div w:id="1657806165">
      <w:bodyDiv w:val="1"/>
      <w:marLeft w:val="0"/>
      <w:marRight w:val="0"/>
      <w:marTop w:val="0"/>
      <w:marBottom w:val="0"/>
      <w:divBdr>
        <w:top w:val="none" w:sz="0" w:space="0" w:color="auto"/>
        <w:left w:val="none" w:sz="0" w:space="0" w:color="auto"/>
        <w:bottom w:val="none" w:sz="0" w:space="0" w:color="auto"/>
        <w:right w:val="none" w:sz="0" w:space="0" w:color="auto"/>
      </w:divBdr>
    </w:div>
    <w:div w:id="1657875013">
      <w:bodyDiv w:val="1"/>
      <w:marLeft w:val="0"/>
      <w:marRight w:val="0"/>
      <w:marTop w:val="0"/>
      <w:marBottom w:val="0"/>
      <w:divBdr>
        <w:top w:val="none" w:sz="0" w:space="0" w:color="auto"/>
        <w:left w:val="none" w:sz="0" w:space="0" w:color="auto"/>
        <w:bottom w:val="none" w:sz="0" w:space="0" w:color="auto"/>
        <w:right w:val="none" w:sz="0" w:space="0" w:color="auto"/>
      </w:divBdr>
    </w:div>
    <w:div w:id="1657958484">
      <w:bodyDiv w:val="1"/>
      <w:marLeft w:val="0"/>
      <w:marRight w:val="0"/>
      <w:marTop w:val="0"/>
      <w:marBottom w:val="0"/>
      <w:divBdr>
        <w:top w:val="none" w:sz="0" w:space="0" w:color="auto"/>
        <w:left w:val="none" w:sz="0" w:space="0" w:color="auto"/>
        <w:bottom w:val="none" w:sz="0" w:space="0" w:color="auto"/>
        <w:right w:val="none" w:sz="0" w:space="0" w:color="auto"/>
      </w:divBdr>
    </w:div>
    <w:div w:id="1658223462">
      <w:bodyDiv w:val="1"/>
      <w:marLeft w:val="0"/>
      <w:marRight w:val="0"/>
      <w:marTop w:val="0"/>
      <w:marBottom w:val="0"/>
      <w:divBdr>
        <w:top w:val="none" w:sz="0" w:space="0" w:color="auto"/>
        <w:left w:val="none" w:sz="0" w:space="0" w:color="auto"/>
        <w:bottom w:val="none" w:sz="0" w:space="0" w:color="auto"/>
        <w:right w:val="none" w:sz="0" w:space="0" w:color="auto"/>
      </w:divBdr>
    </w:div>
    <w:div w:id="1658261984">
      <w:bodyDiv w:val="1"/>
      <w:marLeft w:val="0"/>
      <w:marRight w:val="0"/>
      <w:marTop w:val="0"/>
      <w:marBottom w:val="0"/>
      <w:divBdr>
        <w:top w:val="none" w:sz="0" w:space="0" w:color="auto"/>
        <w:left w:val="none" w:sz="0" w:space="0" w:color="auto"/>
        <w:bottom w:val="none" w:sz="0" w:space="0" w:color="auto"/>
        <w:right w:val="none" w:sz="0" w:space="0" w:color="auto"/>
      </w:divBdr>
    </w:div>
    <w:div w:id="1658263887">
      <w:bodyDiv w:val="1"/>
      <w:marLeft w:val="0"/>
      <w:marRight w:val="0"/>
      <w:marTop w:val="0"/>
      <w:marBottom w:val="0"/>
      <w:divBdr>
        <w:top w:val="none" w:sz="0" w:space="0" w:color="auto"/>
        <w:left w:val="none" w:sz="0" w:space="0" w:color="auto"/>
        <w:bottom w:val="none" w:sz="0" w:space="0" w:color="auto"/>
        <w:right w:val="none" w:sz="0" w:space="0" w:color="auto"/>
      </w:divBdr>
    </w:div>
    <w:div w:id="1658336474">
      <w:bodyDiv w:val="1"/>
      <w:marLeft w:val="0"/>
      <w:marRight w:val="0"/>
      <w:marTop w:val="0"/>
      <w:marBottom w:val="0"/>
      <w:divBdr>
        <w:top w:val="none" w:sz="0" w:space="0" w:color="auto"/>
        <w:left w:val="none" w:sz="0" w:space="0" w:color="auto"/>
        <w:bottom w:val="none" w:sz="0" w:space="0" w:color="auto"/>
        <w:right w:val="none" w:sz="0" w:space="0" w:color="auto"/>
      </w:divBdr>
    </w:div>
    <w:div w:id="1658340726">
      <w:bodyDiv w:val="1"/>
      <w:marLeft w:val="0"/>
      <w:marRight w:val="0"/>
      <w:marTop w:val="0"/>
      <w:marBottom w:val="0"/>
      <w:divBdr>
        <w:top w:val="none" w:sz="0" w:space="0" w:color="auto"/>
        <w:left w:val="none" w:sz="0" w:space="0" w:color="auto"/>
        <w:bottom w:val="none" w:sz="0" w:space="0" w:color="auto"/>
        <w:right w:val="none" w:sz="0" w:space="0" w:color="auto"/>
      </w:divBdr>
    </w:div>
    <w:div w:id="1658531149">
      <w:bodyDiv w:val="1"/>
      <w:marLeft w:val="0"/>
      <w:marRight w:val="0"/>
      <w:marTop w:val="0"/>
      <w:marBottom w:val="0"/>
      <w:divBdr>
        <w:top w:val="none" w:sz="0" w:space="0" w:color="auto"/>
        <w:left w:val="none" w:sz="0" w:space="0" w:color="auto"/>
        <w:bottom w:val="none" w:sz="0" w:space="0" w:color="auto"/>
        <w:right w:val="none" w:sz="0" w:space="0" w:color="auto"/>
      </w:divBdr>
    </w:div>
    <w:div w:id="1658532050">
      <w:bodyDiv w:val="1"/>
      <w:marLeft w:val="0"/>
      <w:marRight w:val="0"/>
      <w:marTop w:val="0"/>
      <w:marBottom w:val="0"/>
      <w:divBdr>
        <w:top w:val="none" w:sz="0" w:space="0" w:color="auto"/>
        <w:left w:val="none" w:sz="0" w:space="0" w:color="auto"/>
        <w:bottom w:val="none" w:sz="0" w:space="0" w:color="auto"/>
        <w:right w:val="none" w:sz="0" w:space="0" w:color="auto"/>
      </w:divBdr>
    </w:div>
    <w:div w:id="1658537698">
      <w:bodyDiv w:val="1"/>
      <w:marLeft w:val="0"/>
      <w:marRight w:val="0"/>
      <w:marTop w:val="0"/>
      <w:marBottom w:val="0"/>
      <w:divBdr>
        <w:top w:val="none" w:sz="0" w:space="0" w:color="auto"/>
        <w:left w:val="none" w:sz="0" w:space="0" w:color="auto"/>
        <w:bottom w:val="none" w:sz="0" w:space="0" w:color="auto"/>
        <w:right w:val="none" w:sz="0" w:space="0" w:color="auto"/>
      </w:divBdr>
    </w:div>
    <w:div w:id="1658608659">
      <w:bodyDiv w:val="1"/>
      <w:marLeft w:val="0"/>
      <w:marRight w:val="0"/>
      <w:marTop w:val="0"/>
      <w:marBottom w:val="0"/>
      <w:divBdr>
        <w:top w:val="none" w:sz="0" w:space="0" w:color="auto"/>
        <w:left w:val="none" w:sz="0" w:space="0" w:color="auto"/>
        <w:bottom w:val="none" w:sz="0" w:space="0" w:color="auto"/>
        <w:right w:val="none" w:sz="0" w:space="0" w:color="auto"/>
      </w:divBdr>
    </w:div>
    <w:div w:id="1658873180">
      <w:bodyDiv w:val="1"/>
      <w:marLeft w:val="0"/>
      <w:marRight w:val="0"/>
      <w:marTop w:val="0"/>
      <w:marBottom w:val="0"/>
      <w:divBdr>
        <w:top w:val="none" w:sz="0" w:space="0" w:color="auto"/>
        <w:left w:val="none" w:sz="0" w:space="0" w:color="auto"/>
        <w:bottom w:val="none" w:sz="0" w:space="0" w:color="auto"/>
        <w:right w:val="none" w:sz="0" w:space="0" w:color="auto"/>
      </w:divBdr>
    </w:div>
    <w:div w:id="1658918198">
      <w:bodyDiv w:val="1"/>
      <w:marLeft w:val="0"/>
      <w:marRight w:val="0"/>
      <w:marTop w:val="0"/>
      <w:marBottom w:val="0"/>
      <w:divBdr>
        <w:top w:val="none" w:sz="0" w:space="0" w:color="auto"/>
        <w:left w:val="none" w:sz="0" w:space="0" w:color="auto"/>
        <w:bottom w:val="none" w:sz="0" w:space="0" w:color="auto"/>
        <w:right w:val="none" w:sz="0" w:space="0" w:color="auto"/>
      </w:divBdr>
    </w:div>
    <w:div w:id="1659115724">
      <w:bodyDiv w:val="1"/>
      <w:marLeft w:val="0"/>
      <w:marRight w:val="0"/>
      <w:marTop w:val="0"/>
      <w:marBottom w:val="0"/>
      <w:divBdr>
        <w:top w:val="none" w:sz="0" w:space="0" w:color="auto"/>
        <w:left w:val="none" w:sz="0" w:space="0" w:color="auto"/>
        <w:bottom w:val="none" w:sz="0" w:space="0" w:color="auto"/>
        <w:right w:val="none" w:sz="0" w:space="0" w:color="auto"/>
      </w:divBdr>
    </w:div>
    <w:div w:id="1659263026">
      <w:bodyDiv w:val="1"/>
      <w:marLeft w:val="0"/>
      <w:marRight w:val="0"/>
      <w:marTop w:val="0"/>
      <w:marBottom w:val="0"/>
      <w:divBdr>
        <w:top w:val="none" w:sz="0" w:space="0" w:color="auto"/>
        <w:left w:val="none" w:sz="0" w:space="0" w:color="auto"/>
        <w:bottom w:val="none" w:sz="0" w:space="0" w:color="auto"/>
        <w:right w:val="none" w:sz="0" w:space="0" w:color="auto"/>
      </w:divBdr>
    </w:div>
    <w:div w:id="1659335074">
      <w:bodyDiv w:val="1"/>
      <w:marLeft w:val="0"/>
      <w:marRight w:val="0"/>
      <w:marTop w:val="0"/>
      <w:marBottom w:val="0"/>
      <w:divBdr>
        <w:top w:val="none" w:sz="0" w:space="0" w:color="auto"/>
        <w:left w:val="none" w:sz="0" w:space="0" w:color="auto"/>
        <w:bottom w:val="none" w:sz="0" w:space="0" w:color="auto"/>
        <w:right w:val="none" w:sz="0" w:space="0" w:color="auto"/>
      </w:divBdr>
    </w:div>
    <w:div w:id="1659381470">
      <w:bodyDiv w:val="1"/>
      <w:marLeft w:val="0"/>
      <w:marRight w:val="0"/>
      <w:marTop w:val="0"/>
      <w:marBottom w:val="0"/>
      <w:divBdr>
        <w:top w:val="none" w:sz="0" w:space="0" w:color="auto"/>
        <w:left w:val="none" w:sz="0" w:space="0" w:color="auto"/>
        <w:bottom w:val="none" w:sz="0" w:space="0" w:color="auto"/>
        <w:right w:val="none" w:sz="0" w:space="0" w:color="auto"/>
      </w:divBdr>
    </w:div>
    <w:div w:id="1659456820">
      <w:bodyDiv w:val="1"/>
      <w:marLeft w:val="0"/>
      <w:marRight w:val="0"/>
      <w:marTop w:val="0"/>
      <w:marBottom w:val="0"/>
      <w:divBdr>
        <w:top w:val="none" w:sz="0" w:space="0" w:color="auto"/>
        <w:left w:val="none" w:sz="0" w:space="0" w:color="auto"/>
        <w:bottom w:val="none" w:sz="0" w:space="0" w:color="auto"/>
        <w:right w:val="none" w:sz="0" w:space="0" w:color="auto"/>
      </w:divBdr>
    </w:div>
    <w:div w:id="1659579343">
      <w:bodyDiv w:val="1"/>
      <w:marLeft w:val="0"/>
      <w:marRight w:val="0"/>
      <w:marTop w:val="0"/>
      <w:marBottom w:val="0"/>
      <w:divBdr>
        <w:top w:val="none" w:sz="0" w:space="0" w:color="auto"/>
        <w:left w:val="none" w:sz="0" w:space="0" w:color="auto"/>
        <w:bottom w:val="none" w:sz="0" w:space="0" w:color="auto"/>
        <w:right w:val="none" w:sz="0" w:space="0" w:color="auto"/>
      </w:divBdr>
    </w:div>
    <w:div w:id="1659650219">
      <w:bodyDiv w:val="1"/>
      <w:marLeft w:val="0"/>
      <w:marRight w:val="0"/>
      <w:marTop w:val="0"/>
      <w:marBottom w:val="0"/>
      <w:divBdr>
        <w:top w:val="none" w:sz="0" w:space="0" w:color="auto"/>
        <w:left w:val="none" w:sz="0" w:space="0" w:color="auto"/>
        <w:bottom w:val="none" w:sz="0" w:space="0" w:color="auto"/>
        <w:right w:val="none" w:sz="0" w:space="0" w:color="auto"/>
      </w:divBdr>
    </w:div>
    <w:div w:id="1659651211">
      <w:bodyDiv w:val="1"/>
      <w:marLeft w:val="0"/>
      <w:marRight w:val="0"/>
      <w:marTop w:val="0"/>
      <w:marBottom w:val="0"/>
      <w:divBdr>
        <w:top w:val="none" w:sz="0" w:space="0" w:color="auto"/>
        <w:left w:val="none" w:sz="0" w:space="0" w:color="auto"/>
        <w:bottom w:val="none" w:sz="0" w:space="0" w:color="auto"/>
        <w:right w:val="none" w:sz="0" w:space="0" w:color="auto"/>
      </w:divBdr>
    </w:div>
    <w:div w:id="1659722875">
      <w:bodyDiv w:val="1"/>
      <w:marLeft w:val="0"/>
      <w:marRight w:val="0"/>
      <w:marTop w:val="0"/>
      <w:marBottom w:val="0"/>
      <w:divBdr>
        <w:top w:val="none" w:sz="0" w:space="0" w:color="auto"/>
        <w:left w:val="none" w:sz="0" w:space="0" w:color="auto"/>
        <w:bottom w:val="none" w:sz="0" w:space="0" w:color="auto"/>
        <w:right w:val="none" w:sz="0" w:space="0" w:color="auto"/>
      </w:divBdr>
    </w:div>
    <w:div w:id="1659730674">
      <w:bodyDiv w:val="1"/>
      <w:marLeft w:val="0"/>
      <w:marRight w:val="0"/>
      <w:marTop w:val="0"/>
      <w:marBottom w:val="0"/>
      <w:divBdr>
        <w:top w:val="none" w:sz="0" w:space="0" w:color="auto"/>
        <w:left w:val="none" w:sz="0" w:space="0" w:color="auto"/>
        <w:bottom w:val="none" w:sz="0" w:space="0" w:color="auto"/>
        <w:right w:val="none" w:sz="0" w:space="0" w:color="auto"/>
      </w:divBdr>
    </w:div>
    <w:div w:id="1659841711">
      <w:bodyDiv w:val="1"/>
      <w:marLeft w:val="0"/>
      <w:marRight w:val="0"/>
      <w:marTop w:val="0"/>
      <w:marBottom w:val="0"/>
      <w:divBdr>
        <w:top w:val="none" w:sz="0" w:space="0" w:color="auto"/>
        <w:left w:val="none" w:sz="0" w:space="0" w:color="auto"/>
        <w:bottom w:val="none" w:sz="0" w:space="0" w:color="auto"/>
        <w:right w:val="none" w:sz="0" w:space="0" w:color="auto"/>
      </w:divBdr>
    </w:div>
    <w:div w:id="1660035224">
      <w:bodyDiv w:val="1"/>
      <w:marLeft w:val="0"/>
      <w:marRight w:val="0"/>
      <w:marTop w:val="0"/>
      <w:marBottom w:val="0"/>
      <w:divBdr>
        <w:top w:val="none" w:sz="0" w:space="0" w:color="auto"/>
        <w:left w:val="none" w:sz="0" w:space="0" w:color="auto"/>
        <w:bottom w:val="none" w:sz="0" w:space="0" w:color="auto"/>
        <w:right w:val="none" w:sz="0" w:space="0" w:color="auto"/>
      </w:divBdr>
    </w:div>
    <w:div w:id="1660109241">
      <w:bodyDiv w:val="1"/>
      <w:marLeft w:val="0"/>
      <w:marRight w:val="0"/>
      <w:marTop w:val="0"/>
      <w:marBottom w:val="0"/>
      <w:divBdr>
        <w:top w:val="none" w:sz="0" w:space="0" w:color="auto"/>
        <w:left w:val="none" w:sz="0" w:space="0" w:color="auto"/>
        <w:bottom w:val="none" w:sz="0" w:space="0" w:color="auto"/>
        <w:right w:val="none" w:sz="0" w:space="0" w:color="auto"/>
      </w:divBdr>
    </w:div>
    <w:div w:id="1660183704">
      <w:bodyDiv w:val="1"/>
      <w:marLeft w:val="0"/>
      <w:marRight w:val="0"/>
      <w:marTop w:val="0"/>
      <w:marBottom w:val="0"/>
      <w:divBdr>
        <w:top w:val="none" w:sz="0" w:space="0" w:color="auto"/>
        <w:left w:val="none" w:sz="0" w:space="0" w:color="auto"/>
        <w:bottom w:val="none" w:sz="0" w:space="0" w:color="auto"/>
        <w:right w:val="none" w:sz="0" w:space="0" w:color="auto"/>
      </w:divBdr>
    </w:div>
    <w:div w:id="1660231574">
      <w:bodyDiv w:val="1"/>
      <w:marLeft w:val="0"/>
      <w:marRight w:val="0"/>
      <w:marTop w:val="0"/>
      <w:marBottom w:val="0"/>
      <w:divBdr>
        <w:top w:val="none" w:sz="0" w:space="0" w:color="auto"/>
        <w:left w:val="none" w:sz="0" w:space="0" w:color="auto"/>
        <w:bottom w:val="none" w:sz="0" w:space="0" w:color="auto"/>
        <w:right w:val="none" w:sz="0" w:space="0" w:color="auto"/>
      </w:divBdr>
    </w:div>
    <w:div w:id="1660307224">
      <w:bodyDiv w:val="1"/>
      <w:marLeft w:val="0"/>
      <w:marRight w:val="0"/>
      <w:marTop w:val="0"/>
      <w:marBottom w:val="0"/>
      <w:divBdr>
        <w:top w:val="none" w:sz="0" w:space="0" w:color="auto"/>
        <w:left w:val="none" w:sz="0" w:space="0" w:color="auto"/>
        <w:bottom w:val="none" w:sz="0" w:space="0" w:color="auto"/>
        <w:right w:val="none" w:sz="0" w:space="0" w:color="auto"/>
      </w:divBdr>
    </w:div>
    <w:div w:id="1660385918">
      <w:bodyDiv w:val="1"/>
      <w:marLeft w:val="0"/>
      <w:marRight w:val="0"/>
      <w:marTop w:val="0"/>
      <w:marBottom w:val="0"/>
      <w:divBdr>
        <w:top w:val="none" w:sz="0" w:space="0" w:color="auto"/>
        <w:left w:val="none" w:sz="0" w:space="0" w:color="auto"/>
        <w:bottom w:val="none" w:sz="0" w:space="0" w:color="auto"/>
        <w:right w:val="none" w:sz="0" w:space="0" w:color="auto"/>
      </w:divBdr>
    </w:div>
    <w:div w:id="1660386094">
      <w:bodyDiv w:val="1"/>
      <w:marLeft w:val="0"/>
      <w:marRight w:val="0"/>
      <w:marTop w:val="0"/>
      <w:marBottom w:val="0"/>
      <w:divBdr>
        <w:top w:val="none" w:sz="0" w:space="0" w:color="auto"/>
        <w:left w:val="none" w:sz="0" w:space="0" w:color="auto"/>
        <w:bottom w:val="none" w:sz="0" w:space="0" w:color="auto"/>
        <w:right w:val="none" w:sz="0" w:space="0" w:color="auto"/>
      </w:divBdr>
    </w:div>
    <w:div w:id="1660428064">
      <w:bodyDiv w:val="1"/>
      <w:marLeft w:val="0"/>
      <w:marRight w:val="0"/>
      <w:marTop w:val="0"/>
      <w:marBottom w:val="0"/>
      <w:divBdr>
        <w:top w:val="none" w:sz="0" w:space="0" w:color="auto"/>
        <w:left w:val="none" w:sz="0" w:space="0" w:color="auto"/>
        <w:bottom w:val="none" w:sz="0" w:space="0" w:color="auto"/>
        <w:right w:val="none" w:sz="0" w:space="0" w:color="auto"/>
      </w:divBdr>
    </w:div>
    <w:div w:id="1660494657">
      <w:bodyDiv w:val="1"/>
      <w:marLeft w:val="0"/>
      <w:marRight w:val="0"/>
      <w:marTop w:val="0"/>
      <w:marBottom w:val="0"/>
      <w:divBdr>
        <w:top w:val="none" w:sz="0" w:space="0" w:color="auto"/>
        <w:left w:val="none" w:sz="0" w:space="0" w:color="auto"/>
        <w:bottom w:val="none" w:sz="0" w:space="0" w:color="auto"/>
        <w:right w:val="none" w:sz="0" w:space="0" w:color="auto"/>
      </w:divBdr>
    </w:div>
    <w:div w:id="1660697703">
      <w:bodyDiv w:val="1"/>
      <w:marLeft w:val="0"/>
      <w:marRight w:val="0"/>
      <w:marTop w:val="0"/>
      <w:marBottom w:val="0"/>
      <w:divBdr>
        <w:top w:val="none" w:sz="0" w:space="0" w:color="auto"/>
        <w:left w:val="none" w:sz="0" w:space="0" w:color="auto"/>
        <w:bottom w:val="none" w:sz="0" w:space="0" w:color="auto"/>
        <w:right w:val="none" w:sz="0" w:space="0" w:color="auto"/>
      </w:divBdr>
    </w:div>
    <w:div w:id="1660814808">
      <w:bodyDiv w:val="1"/>
      <w:marLeft w:val="0"/>
      <w:marRight w:val="0"/>
      <w:marTop w:val="0"/>
      <w:marBottom w:val="0"/>
      <w:divBdr>
        <w:top w:val="none" w:sz="0" w:space="0" w:color="auto"/>
        <w:left w:val="none" w:sz="0" w:space="0" w:color="auto"/>
        <w:bottom w:val="none" w:sz="0" w:space="0" w:color="auto"/>
        <w:right w:val="none" w:sz="0" w:space="0" w:color="auto"/>
      </w:divBdr>
    </w:div>
    <w:div w:id="1660842985">
      <w:bodyDiv w:val="1"/>
      <w:marLeft w:val="0"/>
      <w:marRight w:val="0"/>
      <w:marTop w:val="0"/>
      <w:marBottom w:val="0"/>
      <w:divBdr>
        <w:top w:val="none" w:sz="0" w:space="0" w:color="auto"/>
        <w:left w:val="none" w:sz="0" w:space="0" w:color="auto"/>
        <w:bottom w:val="none" w:sz="0" w:space="0" w:color="auto"/>
        <w:right w:val="none" w:sz="0" w:space="0" w:color="auto"/>
      </w:divBdr>
    </w:div>
    <w:div w:id="1660884402">
      <w:bodyDiv w:val="1"/>
      <w:marLeft w:val="0"/>
      <w:marRight w:val="0"/>
      <w:marTop w:val="0"/>
      <w:marBottom w:val="0"/>
      <w:divBdr>
        <w:top w:val="none" w:sz="0" w:space="0" w:color="auto"/>
        <w:left w:val="none" w:sz="0" w:space="0" w:color="auto"/>
        <w:bottom w:val="none" w:sz="0" w:space="0" w:color="auto"/>
        <w:right w:val="none" w:sz="0" w:space="0" w:color="auto"/>
      </w:divBdr>
    </w:div>
    <w:div w:id="1661078801">
      <w:bodyDiv w:val="1"/>
      <w:marLeft w:val="0"/>
      <w:marRight w:val="0"/>
      <w:marTop w:val="0"/>
      <w:marBottom w:val="0"/>
      <w:divBdr>
        <w:top w:val="none" w:sz="0" w:space="0" w:color="auto"/>
        <w:left w:val="none" w:sz="0" w:space="0" w:color="auto"/>
        <w:bottom w:val="none" w:sz="0" w:space="0" w:color="auto"/>
        <w:right w:val="none" w:sz="0" w:space="0" w:color="auto"/>
      </w:divBdr>
    </w:div>
    <w:div w:id="1661427343">
      <w:bodyDiv w:val="1"/>
      <w:marLeft w:val="0"/>
      <w:marRight w:val="0"/>
      <w:marTop w:val="0"/>
      <w:marBottom w:val="0"/>
      <w:divBdr>
        <w:top w:val="none" w:sz="0" w:space="0" w:color="auto"/>
        <w:left w:val="none" w:sz="0" w:space="0" w:color="auto"/>
        <w:bottom w:val="none" w:sz="0" w:space="0" w:color="auto"/>
        <w:right w:val="none" w:sz="0" w:space="0" w:color="auto"/>
      </w:divBdr>
    </w:div>
    <w:div w:id="1661498795">
      <w:bodyDiv w:val="1"/>
      <w:marLeft w:val="0"/>
      <w:marRight w:val="0"/>
      <w:marTop w:val="0"/>
      <w:marBottom w:val="0"/>
      <w:divBdr>
        <w:top w:val="none" w:sz="0" w:space="0" w:color="auto"/>
        <w:left w:val="none" w:sz="0" w:space="0" w:color="auto"/>
        <w:bottom w:val="none" w:sz="0" w:space="0" w:color="auto"/>
        <w:right w:val="none" w:sz="0" w:space="0" w:color="auto"/>
      </w:divBdr>
    </w:div>
    <w:div w:id="1661731864">
      <w:bodyDiv w:val="1"/>
      <w:marLeft w:val="0"/>
      <w:marRight w:val="0"/>
      <w:marTop w:val="0"/>
      <w:marBottom w:val="0"/>
      <w:divBdr>
        <w:top w:val="none" w:sz="0" w:space="0" w:color="auto"/>
        <w:left w:val="none" w:sz="0" w:space="0" w:color="auto"/>
        <w:bottom w:val="none" w:sz="0" w:space="0" w:color="auto"/>
        <w:right w:val="none" w:sz="0" w:space="0" w:color="auto"/>
      </w:divBdr>
    </w:div>
    <w:div w:id="1661736941">
      <w:bodyDiv w:val="1"/>
      <w:marLeft w:val="0"/>
      <w:marRight w:val="0"/>
      <w:marTop w:val="0"/>
      <w:marBottom w:val="0"/>
      <w:divBdr>
        <w:top w:val="none" w:sz="0" w:space="0" w:color="auto"/>
        <w:left w:val="none" w:sz="0" w:space="0" w:color="auto"/>
        <w:bottom w:val="none" w:sz="0" w:space="0" w:color="auto"/>
        <w:right w:val="none" w:sz="0" w:space="0" w:color="auto"/>
      </w:divBdr>
    </w:div>
    <w:div w:id="1661739580">
      <w:bodyDiv w:val="1"/>
      <w:marLeft w:val="0"/>
      <w:marRight w:val="0"/>
      <w:marTop w:val="0"/>
      <w:marBottom w:val="0"/>
      <w:divBdr>
        <w:top w:val="none" w:sz="0" w:space="0" w:color="auto"/>
        <w:left w:val="none" w:sz="0" w:space="0" w:color="auto"/>
        <w:bottom w:val="none" w:sz="0" w:space="0" w:color="auto"/>
        <w:right w:val="none" w:sz="0" w:space="0" w:color="auto"/>
      </w:divBdr>
    </w:div>
    <w:div w:id="1661814114">
      <w:bodyDiv w:val="1"/>
      <w:marLeft w:val="0"/>
      <w:marRight w:val="0"/>
      <w:marTop w:val="0"/>
      <w:marBottom w:val="0"/>
      <w:divBdr>
        <w:top w:val="none" w:sz="0" w:space="0" w:color="auto"/>
        <w:left w:val="none" w:sz="0" w:space="0" w:color="auto"/>
        <w:bottom w:val="none" w:sz="0" w:space="0" w:color="auto"/>
        <w:right w:val="none" w:sz="0" w:space="0" w:color="auto"/>
      </w:divBdr>
    </w:div>
    <w:div w:id="1662004367">
      <w:bodyDiv w:val="1"/>
      <w:marLeft w:val="0"/>
      <w:marRight w:val="0"/>
      <w:marTop w:val="0"/>
      <w:marBottom w:val="0"/>
      <w:divBdr>
        <w:top w:val="none" w:sz="0" w:space="0" w:color="auto"/>
        <w:left w:val="none" w:sz="0" w:space="0" w:color="auto"/>
        <w:bottom w:val="none" w:sz="0" w:space="0" w:color="auto"/>
        <w:right w:val="none" w:sz="0" w:space="0" w:color="auto"/>
      </w:divBdr>
    </w:div>
    <w:div w:id="1662198643">
      <w:bodyDiv w:val="1"/>
      <w:marLeft w:val="0"/>
      <w:marRight w:val="0"/>
      <w:marTop w:val="0"/>
      <w:marBottom w:val="0"/>
      <w:divBdr>
        <w:top w:val="none" w:sz="0" w:space="0" w:color="auto"/>
        <w:left w:val="none" w:sz="0" w:space="0" w:color="auto"/>
        <w:bottom w:val="none" w:sz="0" w:space="0" w:color="auto"/>
        <w:right w:val="none" w:sz="0" w:space="0" w:color="auto"/>
      </w:divBdr>
    </w:div>
    <w:div w:id="1662392622">
      <w:bodyDiv w:val="1"/>
      <w:marLeft w:val="0"/>
      <w:marRight w:val="0"/>
      <w:marTop w:val="0"/>
      <w:marBottom w:val="0"/>
      <w:divBdr>
        <w:top w:val="none" w:sz="0" w:space="0" w:color="auto"/>
        <w:left w:val="none" w:sz="0" w:space="0" w:color="auto"/>
        <w:bottom w:val="none" w:sz="0" w:space="0" w:color="auto"/>
        <w:right w:val="none" w:sz="0" w:space="0" w:color="auto"/>
      </w:divBdr>
    </w:div>
    <w:div w:id="1662466108">
      <w:bodyDiv w:val="1"/>
      <w:marLeft w:val="0"/>
      <w:marRight w:val="0"/>
      <w:marTop w:val="0"/>
      <w:marBottom w:val="0"/>
      <w:divBdr>
        <w:top w:val="none" w:sz="0" w:space="0" w:color="auto"/>
        <w:left w:val="none" w:sz="0" w:space="0" w:color="auto"/>
        <w:bottom w:val="none" w:sz="0" w:space="0" w:color="auto"/>
        <w:right w:val="none" w:sz="0" w:space="0" w:color="auto"/>
      </w:divBdr>
    </w:div>
    <w:div w:id="1662467174">
      <w:bodyDiv w:val="1"/>
      <w:marLeft w:val="0"/>
      <w:marRight w:val="0"/>
      <w:marTop w:val="0"/>
      <w:marBottom w:val="0"/>
      <w:divBdr>
        <w:top w:val="none" w:sz="0" w:space="0" w:color="auto"/>
        <w:left w:val="none" w:sz="0" w:space="0" w:color="auto"/>
        <w:bottom w:val="none" w:sz="0" w:space="0" w:color="auto"/>
        <w:right w:val="none" w:sz="0" w:space="0" w:color="auto"/>
      </w:divBdr>
    </w:div>
    <w:div w:id="1662467196">
      <w:bodyDiv w:val="1"/>
      <w:marLeft w:val="0"/>
      <w:marRight w:val="0"/>
      <w:marTop w:val="0"/>
      <w:marBottom w:val="0"/>
      <w:divBdr>
        <w:top w:val="none" w:sz="0" w:space="0" w:color="auto"/>
        <w:left w:val="none" w:sz="0" w:space="0" w:color="auto"/>
        <w:bottom w:val="none" w:sz="0" w:space="0" w:color="auto"/>
        <w:right w:val="none" w:sz="0" w:space="0" w:color="auto"/>
      </w:divBdr>
    </w:div>
    <w:div w:id="1662470000">
      <w:bodyDiv w:val="1"/>
      <w:marLeft w:val="0"/>
      <w:marRight w:val="0"/>
      <w:marTop w:val="0"/>
      <w:marBottom w:val="0"/>
      <w:divBdr>
        <w:top w:val="none" w:sz="0" w:space="0" w:color="auto"/>
        <w:left w:val="none" w:sz="0" w:space="0" w:color="auto"/>
        <w:bottom w:val="none" w:sz="0" w:space="0" w:color="auto"/>
        <w:right w:val="none" w:sz="0" w:space="0" w:color="auto"/>
      </w:divBdr>
    </w:div>
    <w:div w:id="1662731972">
      <w:bodyDiv w:val="1"/>
      <w:marLeft w:val="0"/>
      <w:marRight w:val="0"/>
      <w:marTop w:val="0"/>
      <w:marBottom w:val="0"/>
      <w:divBdr>
        <w:top w:val="none" w:sz="0" w:space="0" w:color="auto"/>
        <w:left w:val="none" w:sz="0" w:space="0" w:color="auto"/>
        <w:bottom w:val="none" w:sz="0" w:space="0" w:color="auto"/>
        <w:right w:val="none" w:sz="0" w:space="0" w:color="auto"/>
      </w:divBdr>
    </w:div>
    <w:div w:id="1662733154">
      <w:bodyDiv w:val="1"/>
      <w:marLeft w:val="0"/>
      <w:marRight w:val="0"/>
      <w:marTop w:val="0"/>
      <w:marBottom w:val="0"/>
      <w:divBdr>
        <w:top w:val="none" w:sz="0" w:space="0" w:color="auto"/>
        <w:left w:val="none" w:sz="0" w:space="0" w:color="auto"/>
        <w:bottom w:val="none" w:sz="0" w:space="0" w:color="auto"/>
        <w:right w:val="none" w:sz="0" w:space="0" w:color="auto"/>
      </w:divBdr>
    </w:div>
    <w:div w:id="1662808351">
      <w:bodyDiv w:val="1"/>
      <w:marLeft w:val="0"/>
      <w:marRight w:val="0"/>
      <w:marTop w:val="0"/>
      <w:marBottom w:val="0"/>
      <w:divBdr>
        <w:top w:val="none" w:sz="0" w:space="0" w:color="auto"/>
        <w:left w:val="none" w:sz="0" w:space="0" w:color="auto"/>
        <w:bottom w:val="none" w:sz="0" w:space="0" w:color="auto"/>
        <w:right w:val="none" w:sz="0" w:space="0" w:color="auto"/>
      </w:divBdr>
    </w:div>
    <w:div w:id="1662849711">
      <w:bodyDiv w:val="1"/>
      <w:marLeft w:val="0"/>
      <w:marRight w:val="0"/>
      <w:marTop w:val="0"/>
      <w:marBottom w:val="0"/>
      <w:divBdr>
        <w:top w:val="none" w:sz="0" w:space="0" w:color="auto"/>
        <w:left w:val="none" w:sz="0" w:space="0" w:color="auto"/>
        <w:bottom w:val="none" w:sz="0" w:space="0" w:color="auto"/>
        <w:right w:val="none" w:sz="0" w:space="0" w:color="auto"/>
      </w:divBdr>
    </w:div>
    <w:div w:id="1662852049">
      <w:bodyDiv w:val="1"/>
      <w:marLeft w:val="0"/>
      <w:marRight w:val="0"/>
      <w:marTop w:val="0"/>
      <w:marBottom w:val="0"/>
      <w:divBdr>
        <w:top w:val="none" w:sz="0" w:space="0" w:color="auto"/>
        <w:left w:val="none" w:sz="0" w:space="0" w:color="auto"/>
        <w:bottom w:val="none" w:sz="0" w:space="0" w:color="auto"/>
        <w:right w:val="none" w:sz="0" w:space="0" w:color="auto"/>
      </w:divBdr>
    </w:div>
    <w:div w:id="1662855225">
      <w:bodyDiv w:val="1"/>
      <w:marLeft w:val="0"/>
      <w:marRight w:val="0"/>
      <w:marTop w:val="0"/>
      <w:marBottom w:val="0"/>
      <w:divBdr>
        <w:top w:val="none" w:sz="0" w:space="0" w:color="auto"/>
        <w:left w:val="none" w:sz="0" w:space="0" w:color="auto"/>
        <w:bottom w:val="none" w:sz="0" w:space="0" w:color="auto"/>
        <w:right w:val="none" w:sz="0" w:space="0" w:color="auto"/>
      </w:divBdr>
    </w:div>
    <w:div w:id="1662924640">
      <w:bodyDiv w:val="1"/>
      <w:marLeft w:val="0"/>
      <w:marRight w:val="0"/>
      <w:marTop w:val="0"/>
      <w:marBottom w:val="0"/>
      <w:divBdr>
        <w:top w:val="none" w:sz="0" w:space="0" w:color="auto"/>
        <w:left w:val="none" w:sz="0" w:space="0" w:color="auto"/>
        <w:bottom w:val="none" w:sz="0" w:space="0" w:color="auto"/>
        <w:right w:val="none" w:sz="0" w:space="0" w:color="auto"/>
      </w:divBdr>
    </w:div>
    <w:div w:id="1662927771">
      <w:bodyDiv w:val="1"/>
      <w:marLeft w:val="0"/>
      <w:marRight w:val="0"/>
      <w:marTop w:val="0"/>
      <w:marBottom w:val="0"/>
      <w:divBdr>
        <w:top w:val="none" w:sz="0" w:space="0" w:color="auto"/>
        <w:left w:val="none" w:sz="0" w:space="0" w:color="auto"/>
        <w:bottom w:val="none" w:sz="0" w:space="0" w:color="auto"/>
        <w:right w:val="none" w:sz="0" w:space="0" w:color="auto"/>
      </w:divBdr>
    </w:div>
    <w:div w:id="1663042338">
      <w:bodyDiv w:val="1"/>
      <w:marLeft w:val="0"/>
      <w:marRight w:val="0"/>
      <w:marTop w:val="0"/>
      <w:marBottom w:val="0"/>
      <w:divBdr>
        <w:top w:val="none" w:sz="0" w:space="0" w:color="auto"/>
        <w:left w:val="none" w:sz="0" w:space="0" w:color="auto"/>
        <w:bottom w:val="none" w:sz="0" w:space="0" w:color="auto"/>
        <w:right w:val="none" w:sz="0" w:space="0" w:color="auto"/>
      </w:divBdr>
    </w:div>
    <w:div w:id="1663124764">
      <w:bodyDiv w:val="1"/>
      <w:marLeft w:val="0"/>
      <w:marRight w:val="0"/>
      <w:marTop w:val="0"/>
      <w:marBottom w:val="0"/>
      <w:divBdr>
        <w:top w:val="none" w:sz="0" w:space="0" w:color="auto"/>
        <w:left w:val="none" w:sz="0" w:space="0" w:color="auto"/>
        <w:bottom w:val="none" w:sz="0" w:space="0" w:color="auto"/>
        <w:right w:val="none" w:sz="0" w:space="0" w:color="auto"/>
      </w:divBdr>
    </w:div>
    <w:div w:id="1663435168">
      <w:bodyDiv w:val="1"/>
      <w:marLeft w:val="0"/>
      <w:marRight w:val="0"/>
      <w:marTop w:val="0"/>
      <w:marBottom w:val="0"/>
      <w:divBdr>
        <w:top w:val="none" w:sz="0" w:space="0" w:color="auto"/>
        <w:left w:val="none" w:sz="0" w:space="0" w:color="auto"/>
        <w:bottom w:val="none" w:sz="0" w:space="0" w:color="auto"/>
        <w:right w:val="none" w:sz="0" w:space="0" w:color="auto"/>
      </w:divBdr>
    </w:div>
    <w:div w:id="1663461228">
      <w:bodyDiv w:val="1"/>
      <w:marLeft w:val="0"/>
      <w:marRight w:val="0"/>
      <w:marTop w:val="0"/>
      <w:marBottom w:val="0"/>
      <w:divBdr>
        <w:top w:val="none" w:sz="0" w:space="0" w:color="auto"/>
        <w:left w:val="none" w:sz="0" w:space="0" w:color="auto"/>
        <w:bottom w:val="none" w:sz="0" w:space="0" w:color="auto"/>
        <w:right w:val="none" w:sz="0" w:space="0" w:color="auto"/>
      </w:divBdr>
    </w:div>
    <w:div w:id="1663509146">
      <w:bodyDiv w:val="1"/>
      <w:marLeft w:val="0"/>
      <w:marRight w:val="0"/>
      <w:marTop w:val="0"/>
      <w:marBottom w:val="0"/>
      <w:divBdr>
        <w:top w:val="none" w:sz="0" w:space="0" w:color="auto"/>
        <w:left w:val="none" w:sz="0" w:space="0" w:color="auto"/>
        <w:bottom w:val="none" w:sz="0" w:space="0" w:color="auto"/>
        <w:right w:val="none" w:sz="0" w:space="0" w:color="auto"/>
      </w:divBdr>
    </w:div>
    <w:div w:id="1663578977">
      <w:bodyDiv w:val="1"/>
      <w:marLeft w:val="0"/>
      <w:marRight w:val="0"/>
      <w:marTop w:val="0"/>
      <w:marBottom w:val="0"/>
      <w:divBdr>
        <w:top w:val="none" w:sz="0" w:space="0" w:color="auto"/>
        <w:left w:val="none" w:sz="0" w:space="0" w:color="auto"/>
        <w:bottom w:val="none" w:sz="0" w:space="0" w:color="auto"/>
        <w:right w:val="none" w:sz="0" w:space="0" w:color="auto"/>
      </w:divBdr>
    </w:div>
    <w:div w:id="1663582068">
      <w:bodyDiv w:val="1"/>
      <w:marLeft w:val="0"/>
      <w:marRight w:val="0"/>
      <w:marTop w:val="0"/>
      <w:marBottom w:val="0"/>
      <w:divBdr>
        <w:top w:val="none" w:sz="0" w:space="0" w:color="auto"/>
        <w:left w:val="none" w:sz="0" w:space="0" w:color="auto"/>
        <w:bottom w:val="none" w:sz="0" w:space="0" w:color="auto"/>
        <w:right w:val="none" w:sz="0" w:space="0" w:color="auto"/>
      </w:divBdr>
    </w:div>
    <w:div w:id="1663582077">
      <w:bodyDiv w:val="1"/>
      <w:marLeft w:val="0"/>
      <w:marRight w:val="0"/>
      <w:marTop w:val="0"/>
      <w:marBottom w:val="0"/>
      <w:divBdr>
        <w:top w:val="none" w:sz="0" w:space="0" w:color="auto"/>
        <w:left w:val="none" w:sz="0" w:space="0" w:color="auto"/>
        <w:bottom w:val="none" w:sz="0" w:space="0" w:color="auto"/>
        <w:right w:val="none" w:sz="0" w:space="0" w:color="auto"/>
      </w:divBdr>
    </w:div>
    <w:div w:id="1663654452">
      <w:bodyDiv w:val="1"/>
      <w:marLeft w:val="0"/>
      <w:marRight w:val="0"/>
      <w:marTop w:val="0"/>
      <w:marBottom w:val="0"/>
      <w:divBdr>
        <w:top w:val="none" w:sz="0" w:space="0" w:color="auto"/>
        <w:left w:val="none" w:sz="0" w:space="0" w:color="auto"/>
        <w:bottom w:val="none" w:sz="0" w:space="0" w:color="auto"/>
        <w:right w:val="none" w:sz="0" w:space="0" w:color="auto"/>
      </w:divBdr>
    </w:div>
    <w:div w:id="1663894327">
      <w:bodyDiv w:val="1"/>
      <w:marLeft w:val="0"/>
      <w:marRight w:val="0"/>
      <w:marTop w:val="0"/>
      <w:marBottom w:val="0"/>
      <w:divBdr>
        <w:top w:val="none" w:sz="0" w:space="0" w:color="auto"/>
        <w:left w:val="none" w:sz="0" w:space="0" w:color="auto"/>
        <w:bottom w:val="none" w:sz="0" w:space="0" w:color="auto"/>
        <w:right w:val="none" w:sz="0" w:space="0" w:color="auto"/>
      </w:divBdr>
    </w:div>
    <w:div w:id="1663894359">
      <w:bodyDiv w:val="1"/>
      <w:marLeft w:val="0"/>
      <w:marRight w:val="0"/>
      <w:marTop w:val="0"/>
      <w:marBottom w:val="0"/>
      <w:divBdr>
        <w:top w:val="none" w:sz="0" w:space="0" w:color="auto"/>
        <w:left w:val="none" w:sz="0" w:space="0" w:color="auto"/>
        <w:bottom w:val="none" w:sz="0" w:space="0" w:color="auto"/>
        <w:right w:val="none" w:sz="0" w:space="0" w:color="auto"/>
      </w:divBdr>
    </w:div>
    <w:div w:id="1663966117">
      <w:bodyDiv w:val="1"/>
      <w:marLeft w:val="0"/>
      <w:marRight w:val="0"/>
      <w:marTop w:val="0"/>
      <w:marBottom w:val="0"/>
      <w:divBdr>
        <w:top w:val="none" w:sz="0" w:space="0" w:color="auto"/>
        <w:left w:val="none" w:sz="0" w:space="0" w:color="auto"/>
        <w:bottom w:val="none" w:sz="0" w:space="0" w:color="auto"/>
        <w:right w:val="none" w:sz="0" w:space="0" w:color="auto"/>
      </w:divBdr>
    </w:div>
    <w:div w:id="1663973341">
      <w:bodyDiv w:val="1"/>
      <w:marLeft w:val="0"/>
      <w:marRight w:val="0"/>
      <w:marTop w:val="0"/>
      <w:marBottom w:val="0"/>
      <w:divBdr>
        <w:top w:val="none" w:sz="0" w:space="0" w:color="auto"/>
        <w:left w:val="none" w:sz="0" w:space="0" w:color="auto"/>
        <w:bottom w:val="none" w:sz="0" w:space="0" w:color="auto"/>
        <w:right w:val="none" w:sz="0" w:space="0" w:color="auto"/>
      </w:divBdr>
    </w:div>
    <w:div w:id="1664047556">
      <w:bodyDiv w:val="1"/>
      <w:marLeft w:val="0"/>
      <w:marRight w:val="0"/>
      <w:marTop w:val="0"/>
      <w:marBottom w:val="0"/>
      <w:divBdr>
        <w:top w:val="none" w:sz="0" w:space="0" w:color="auto"/>
        <w:left w:val="none" w:sz="0" w:space="0" w:color="auto"/>
        <w:bottom w:val="none" w:sz="0" w:space="0" w:color="auto"/>
        <w:right w:val="none" w:sz="0" w:space="0" w:color="auto"/>
      </w:divBdr>
    </w:div>
    <w:div w:id="1664310529">
      <w:bodyDiv w:val="1"/>
      <w:marLeft w:val="0"/>
      <w:marRight w:val="0"/>
      <w:marTop w:val="0"/>
      <w:marBottom w:val="0"/>
      <w:divBdr>
        <w:top w:val="none" w:sz="0" w:space="0" w:color="auto"/>
        <w:left w:val="none" w:sz="0" w:space="0" w:color="auto"/>
        <w:bottom w:val="none" w:sz="0" w:space="0" w:color="auto"/>
        <w:right w:val="none" w:sz="0" w:space="0" w:color="auto"/>
      </w:divBdr>
    </w:div>
    <w:div w:id="1664353144">
      <w:bodyDiv w:val="1"/>
      <w:marLeft w:val="0"/>
      <w:marRight w:val="0"/>
      <w:marTop w:val="0"/>
      <w:marBottom w:val="0"/>
      <w:divBdr>
        <w:top w:val="none" w:sz="0" w:space="0" w:color="auto"/>
        <w:left w:val="none" w:sz="0" w:space="0" w:color="auto"/>
        <w:bottom w:val="none" w:sz="0" w:space="0" w:color="auto"/>
        <w:right w:val="none" w:sz="0" w:space="0" w:color="auto"/>
      </w:divBdr>
    </w:div>
    <w:div w:id="1664359947">
      <w:bodyDiv w:val="1"/>
      <w:marLeft w:val="0"/>
      <w:marRight w:val="0"/>
      <w:marTop w:val="0"/>
      <w:marBottom w:val="0"/>
      <w:divBdr>
        <w:top w:val="none" w:sz="0" w:space="0" w:color="auto"/>
        <w:left w:val="none" w:sz="0" w:space="0" w:color="auto"/>
        <w:bottom w:val="none" w:sz="0" w:space="0" w:color="auto"/>
        <w:right w:val="none" w:sz="0" w:space="0" w:color="auto"/>
      </w:divBdr>
    </w:div>
    <w:div w:id="1664429159">
      <w:bodyDiv w:val="1"/>
      <w:marLeft w:val="0"/>
      <w:marRight w:val="0"/>
      <w:marTop w:val="0"/>
      <w:marBottom w:val="0"/>
      <w:divBdr>
        <w:top w:val="none" w:sz="0" w:space="0" w:color="auto"/>
        <w:left w:val="none" w:sz="0" w:space="0" w:color="auto"/>
        <w:bottom w:val="none" w:sz="0" w:space="0" w:color="auto"/>
        <w:right w:val="none" w:sz="0" w:space="0" w:color="auto"/>
      </w:divBdr>
    </w:div>
    <w:div w:id="1664506873">
      <w:bodyDiv w:val="1"/>
      <w:marLeft w:val="0"/>
      <w:marRight w:val="0"/>
      <w:marTop w:val="0"/>
      <w:marBottom w:val="0"/>
      <w:divBdr>
        <w:top w:val="none" w:sz="0" w:space="0" w:color="auto"/>
        <w:left w:val="none" w:sz="0" w:space="0" w:color="auto"/>
        <w:bottom w:val="none" w:sz="0" w:space="0" w:color="auto"/>
        <w:right w:val="none" w:sz="0" w:space="0" w:color="auto"/>
      </w:divBdr>
    </w:div>
    <w:div w:id="1664507339">
      <w:bodyDiv w:val="1"/>
      <w:marLeft w:val="0"/>
      <w:marRight w:val="0"/>
      <w:marTop w:val="0"/>
      <w:marBottom w:val="0"/>
      <w:divBdr>
        <w:top w:val="none" w:sz="0" w:space="0" w:color="auto"/>
        <w:left w:val="none" w:sz="0" w:space="0" w:color="auto"/>
        <w:bottom w:val="none" w:sz="0" w:space="0" w:color="auto"/>
        <w:right w:val="none" w:sz="0" w:space="0" w:color="auto"/>
      </w:divBdr>
    </w:div>
    <w:div w:id="1664508559">
      <w:bodyDiv w:val="1"/>
      <w:marLeft w:val="0"/>
      <w:marRight w:val="0"/>
      <w:marTop w:val="0"/>
      <w:marBottom w:val="0"/>
      <w:divBdr>
        <w:top w:val="none" w:sz="0" w:space="0" w:color="auto"/>
        <w:left w:val="none" w:sz="0" w:space="0" w:color="auto"/>
        <w:bottom w:val="none" w:sz="0" w:space="0" w:color="auto"/>
        <w:right w:val="none" w:sz="0" w:space="0" w:color="auto"/>
      </w:divBdr>
    </w:div>
    <w:div w:id="1664619644">
      <w:bodyDiv w:val="1"/>
      <w:marLeft w:val="0"/>
      <w:marRight w:val="0"/>
      <w:marTop w:val="0"/>
      <w:marBottom w:val="0"/>
      <w:divBdr>
        <w:top w:val="none" w:sz="0" w:space="0" w:color="auto"/>
        <w:left w:val="none" w:sz="0" w:space="0" w:color="auto"/>
        <w:bottom w:val="none" w:sz="0" w:space="0" w:color="auto"/>
        <w:right w:val="none" w:sz="0" w:space="0" w:color="auto"/>
      </w:divBdr>
    </w:div>
    <w:div w:id="1664622728">
      <w:bodyDiv w:val="1"/>
      <w:marLeft w:val="0"/>
      <w:marRight w:val="0"/>
      <w:marTop w:val="0"/>
      <w:marBottom w:val="0"/>
      <w:divBdr>
        <w:top w:val="none" w:sz="0" w:space="0" w:color="auto"/>
        <w:left w:val="none" w:sz="0" w:space="0" w:color="auto"/>
        <w:bottom w:val="none" w:sz="0" w:space="0" w:color="auto"/>
        <w:right w:val="none" w:sz="0" w:space="0" w:color="auto"/>
      </w:divBdr>
    </w:div>
    <w:div w:id="1664622935">
      <w:bodyDiv w:val="1"/>
      <w:marLeft w:val="0"/>
      <w:marRight w:val="0"/>
      <w:marTop w:val="0"/>
      <w:marBottom w:val="0"/>
      <w:divBdr>
        <w:top w:val="none" w:sz="0" w:space="0" w:color="auto"/>
        <w:left w:val="none" w:sz="0" w:space="0" w:color="auto"/>
        <w:bottom w:val="none" w:sz="0" w:space="0" w:color="auto"/>
        <w:right w:val="none" w:sz="0" w:space="0" w:color="auto"/>
      </w:divBdr>
    </w:div>
    <w:div w:id="1664746763">
      <w:bodyDiv w:val="1"/>
      <w:marLeft w:val="0"/>
      <w:marRight w:val="0"/>
      <w:marTop w:val="0"/>
      <w:marBottom w:val="0"/>
      <w:divBdr>
        <w:top w:val="none" w:sz="0" w:space="0" w:color="auto"/>
        <w:left w:val="none" w:sz="0" w:space="0" w:color="auto"/>
        <w:bottom w:val="none" w:sz="0" w:space="0" w:color="auto"/>
        <w:right w:val="none" w:sz="0" w:space="0" w:color="auto"/>
      </w:divBdr>
    </w:div>
    <w:div w:id="1664813995">
      <w:bodyDiv w:val="1"/>
      <w:marLeft w:val="0"/>
      <w:marRight w:val="0"/>
      <w:marTop w:val="0"/>
      <w:marBottom w:val="0"/>
      <w:divBdr>
        <w:top w:val="none" w:sz="0" w:space="0" w:color="auto"/>
        <w:left w:val="none" w:sz="0" w:space="0" w:color="auto"/>
        <w:bottom w:val="none" w:sz="0" w:space="0" w:color="auto"/>
        <w:right w:val="none" w:sz="0" w:space="0" w:color="auto"/>
      </w:divBdr>
    </w:div>
    <w:div w:id="1664890852">
      <w:bodyDiv w:val="1"/>
      <w:marLeft w:val="0"/>
      <w:marRight w:val="0"/>
      <w:marTop w:val="0"/>
      <w:marBottom w:val="0"/>
      <w:divBdr>
        <w:top w:val="none" w:sz="0" w:space="0" w:color="auto"/>
        <w:left w:val="none" w:sz="0" w:space="0" w:color="auto"/>
        <w:bottom w:val="none" w:sz="0" w:space="0" w:color="auto"/>
        <w:right w:val="none" w:sz="0" w:space="0" w:color="auto"/>
      </w:divBdr>
    </w:div>
    <w:div w:id="1664896529">
      <w:bodyDiv w:val="1"/>
      <w:marLeft w:val="0"/>
      <w:marRight w:val="0"/>
      <w:marTop w:val="0"/>
      <w:marBottom w:val="0"/>
      <w:divBdr>
        <w:top w:val="none" w:sz="0" w:space="0" w:color="auto"/>
        <w:left w:val="none" w:sz="0" w:space="0" w:color="auto"/>
        <w:bottom w:val="none" w:sz="0" w:space="0" w:color="auto"/>
        <w:right w:val="none" w:sz="0" w:space="0" w:color="auto"/>
      </w:divBdr>
    </w:div>
    <w:div w:id="1665282823">
      <w:bodyDiv w:val="1"/>
      <w:marLeft w:val="0"/>
      <w:marRight w:val="0"/>
      <w:marTop w:val="0"/>
      <w:marBottom w:val="0"/>
      <w:divBdr>
        <w:top w:val="none" w:sz="0" w:space="0" w:color="auto"/>
        <w:left w:val="none" w:sz="0" w:space="0" w:color="auto"/>
        <w:bottom w:val="none" w:sz="0" w:space="0" w:color="auto"/>
        <w:right w:val="none" w:sz="0" w:space="0" w:color="auto"/>
      </w:divBdr>
    </w:div>
    <w:div w:id="1665354550">
      <w:bodyDiv w:val="1"/>
      <w:marLeft w:val="0"/>
      <w:marRight w:val="0"/>
      <w:marTop w:val="0"/>
      <w:marBottom w:val="0"/>
      <w:divBdr>
        <w:top w:val="none" w:sz="0" w:space="0" w:color="auto"/>
        <w:left w:val="none" w:sz="0" w:space="0" w:color="auto"/>
        <w:bottom w:val="none" w:sz="0" w:space="0" w:color="auto"/>
        <w:right w:val="none" w:sz="0" w:space="0" w:color="auto"/>
      </w:divBdr>
    </w:div>
    <w:div w:id="1665401173">
      <w:bodyDiv w:val="1"/>
      <w:marLeft w:val="0"/>
      <w:marRight w:val="0"/>
      <w:marTop w:val="0"/>
      <w:marBottom w:val="0"/>
      <w:divBdr>
        <w:top w:val="none" w:sz="0" w:space="0" w:color="auto"/>
        <w:left w:val="none" w:sz="0" w:space="0" w:color="auto"/>
        <w:bottom w:val="none" w:sz="0" w:space="0" w:color="auto"/>
        <w:right w:val="none" w:sz="0" w:space="0" w:color="auto"/>
      </w:divBdr>
    </w:div>
    <w:div w:id="1665547407">
      <w:bodyDiv w:val="1"/>
      <w:marLeft w:val="0"/>
      <w:marRight w:val="0"/>
      <w:marTop w:val="0"/>
      <w:marBottom w:val="0"/>
      <w:divBdr>
        <w:top w:val="none" w:sz="0" w:space="0" w:color="auto"/>
        <w:left w:val="none" w:sz="0" w:space="0" w:color="auto"/>
        <w:bottom w:val="none" w:sz="0" w:space="0" w:color="auto"/>
        <w:right w:val="none" w:sz="0" w:space="0" w:color="auto"/>
      </w:divBdr>
    </w:div>
    <w:div w:id="1665621554">
      <w:bodyDiv w:val="1"/>
      <w:marLeft w:val="0"/>
      <w:marRight w:val="0"/>
      <w:marTop w:val="0"/>
      <w:marBottom w:val="0"/>
      <w:divBdr>
        <w:top w:val="none" w:sz="0" w:space="0" w:color="auto"/>
        <w:left w:val="none" w:sz="0" w:space="0" w:color="auto"/>
        <w:bottom w:val="none" w:sz="0" w:space="0" w:color="auto"/>
        <w:right w:val="none" w:sz="0" w:space="0" w:color="auto"/>
      </w:divBdr>
    </w:div>
    <w:div w:id="1665695278">
      <w:bodyDiv w:val="1"/>
      <w:marLeft w:val="0"/>
      <w:marRight w:val="0"/>
      <w:marTop w:val="0"/>
      <w:marBottom w:val="0"/>
      <w:divBdr>
        <w:top w:val="none" w:sz="0" w:space="0" w:color="auto"/>
        <w:left w:val="none" w:sz="0" w:space="0" w:color="auto"/>
        <w:bottom w:val="none" w:sz="0" w:space="0" w:color="auto"/>
        <w:right w:val="none" w:sz="0" w:space="0" w:color="auto"/>
      </w:divBdr>
    </w:div>
    <w:div w:id="1665889365">
      <w:bodyDiv w:val="1"/>
      <w:marLeft w:val="0"/>
      <w:marRight w:val="0"/>
      <w:marTop w:val="0"/>
      <w:marBottom w:val="0"/>
      <w:divBdr>
        <w:top w:val="none" w:sz="0" w:space="0" w:color="auto"/>
        <w:left w:val="none" w:sz="0" w:space="0" w:color="auto"/>
        <w:bottom w:val="none" w:sz="0" w:space="0" w:color="auto"/>
        <w:right w:val="none" w:sz="0" w:space="0" w:color="auto"/>
      </w:divBdr>
    </w:div>
    <w:div w:id="1665936850">
      <w:bodyDiv w:val="1"/>
      <w:marLeft w:val="0"/>
      <w:marRight w:val="0"/>
      <w:marTop w:val="0"/>
      <w:marBottom w:val="0"/>
      <w:divBdr>
        <w:top w:val="none" w:sz="0" w:space="0" w:color="auto"/>
        <w:left w:val="none" w:sz="0" w:space="0" w:color="auto"/>
        <w:bottom w:val="none" w:sz="0" w:space="0" w:color="auto"/>
        <w:right w:val="none" w:sz="0" w:space="0" w:color="auto"/>
      </w:divBdr>
    </w:div>
    <w:div w:id="1666206538">
      <w:bodyDiv w:val="1"/>
      <w:marLeft w:val="0"/>
      <w:marRight w:val="0"/>
      <w:marTop w:val="0"/>
      <w:marBottom w:val="0"/>
      <w:divBdr>
        <w:top w:val="none" w:sz="0" w:space="0" w:color="auto"/>
        <w:left w:val="none" w:sz="0" w:space="0" w:color="auto"/>
        <w:bottom w:val="none" w:sz="0" w:space="0" w:color="auto"/>
        <w:right w:val="none" w:sz="0" w:space="0" w:color="auto"/>
      </w:divBdr>
    </w:div>
    <w:div w:id="1666281282">
      <w:bodyDiv w:val="1"/>
      <w:marLeft w:val="0"/>
      <w:marRight w:val="0"/>
      <w:marTop w:val="0"/>
      <w:marBottom w:val="0"/>
      <w:divBdr>
        <w:top w:val="none" w:sz="0" w:space="0" w:color="auto"/>
        <w:left w:val="none" w:sz="0" w:space="0" w:color="auto"/>
        <w:bottom w:val="none" w:sz="0" w:space="0" w:color="auto"/>
        <w:right w:val="none" w:sz="0" w:space="0" w:color="auto"/>
      </w:divBdr>
    </w:div>
    <w:div w:id="1666320452">
      <w:bodyDiv w:val="1"/>
      <w:marLeft w:val="0"/>
      <w:marRight w:val="0"/>
      <w:marTop w:val="0"/>
      <w:marBottom w:val="0"/>
      <w:divBdr>
        <w:top w:val="none" w:sz="0" w:space="0" w:color="auto"/>
        <w:left w:val="none" w:sz="0" w:space="0" w:color="auto"/>
        <w:bottom w:val="none" w:sz="0" w:space="0" w:color="auto"/>
        <w:right w:val="none" w:sz="0" w:space="0" w:color="auto"/>
      </w:divBdr>
    </w:div>
    <w:div w:id="1666395037">
      <w:bodyDiv w:val="1"/>
      <w:marLeft w:val="0"/>
      <w:marRight w:val="0"/>
      <w:marTop w:val="0"/>
      <w:marBottom w:val="0"/>
      <w:divBdr>
        <w:top w:val="none" w:sz="0" w:space="0" w:color="auto"/>
        <w:left w:val="none" w:sz="0" w:space="0" w:color="auto"/>
        <w:bottom w:val="none" w:sz="0" w:space="0" w:color="auto"/>
        <w:right w:val="none" w:sz="0" w:space="0" w:color="auto"/>
      </w:divBdr>
    </w:div>
    <w:div w:id="1666474007">
      <w:bodyDiv w:val="1"/>
      <w:marLeft w:val="0"/>
      <w:marRight w:val="0"/>
      <w:marTop w:val="0"/>
      <w:marBottom w:val="0"/>
      <w:divBdr>
        <w:top w:val="none" w:sz="0" w:space="0" w:color="auto"/>
        <w:left w:val="none" w:sz="0" w:space="0" w:color="auto"/>
        <w:bottom w:val="none" w:sz="0" w:space="0" w:color="auto"/>
        <w:right w:val="none" w:sz="0" w:space="0" w:color="auto"/>
      </w:divBdr>
    </w:div>
    <w:div w:id="1666590783">
      <w:bodyDiv w:val="1"/>
      <w:marLeft w:val="0"/>
      <w:marRight w:val="0"/>
      <w:marTop w:val="0"/>
      <w:marBottom w:val="0"/>
      <w:divBdr>
        <w:top w:val="none" w:sz="0" w:space="0" w:color="auto"/>
        <w:left w:val="none" w:sz="0" w:space="0" w:color="auto"/>
        <w:bottom w:val="none" w:sz="0" w:space="0" w:color="auto"/>
        <w:right w:val="none" w:sz="0" w:space="0" w:color="auto"/>
      </w:divBdr>
    </w:div>
    <w:div w:id="1666664407">
      <w:bodyDiv w:val="1"/>
      <w:marLeft w:val="0"/>
      <w:marRight w:val="0"/>
      <w:marTop w:val="0"/>
      <w:marBottom w:val="0"/>
      <w:divBdr>
        <w:top w:val="none" w:sz="0" w:space="0" w:color="auto"/>
        <w:left w:val="none" w:sz="0" w:space="0" w:color="auto"/>
        <w:bottom w:val="none" w:sz="0" w:space="0" w:color="auto"/>
        <w:right w:val="none" w:sz="0" w:space="0" w:color="auto"/>
      </w:divBdr>
    </w:div>
    <w:div w:id="1666739272">
      <w:bodyDiv w:val="1"/>
      <w:marLeft w:val="0"/>
      <w:marRight w:val="0"/>
      <w:marTop w:val="0"/>
      <w:marBottom w:val="0"/>
      <w:divBdr>
        <w:top w:val="none" w:sz="0" w:space="0" w:color="auto"/>
        <w:left w:val="none" w:sz="0" w:space="0" w:color="auto"/>
        <w:bottom w:val="none" w:sz="0" w:space="0" w:color="auto"/>
        <w:right w:val="none" w:sz="0" w:space="0" w:color="auto"/>
      </w:divBdr>
    </w:div>
    <w:div w:id="1666739282">
      <w:bodyDiv w:val="1"/>
      <w:marLeft w:val="0"/>
      <w:marRight w:val="0"/>
      <w:marTop w:val="0"/>
      <w:marBottom w:val="0"/>
      <w:divBdr>
        <w:top w:val="none" w:sz="0" w:space="0" w:color="auto"/>
        <w:left w:val="none" w:sz="0" w:space="0" w:color="auto"/>
        <w:bottom w:val="none" w:sz="0" w:space="0" w:color="auto"/>
        <w:right w:val="none" w:sz="0" w:space="0" w:color="auto"/>
      </w:divBdr>
    </w:div>
    <w:div w:id="1666744088">
      <w:bodyDiv w:val="1"/>
      <w:marLeft w:val="0"/>
      <w:marRight w:val="0"/>
      <w:marTop w:val="0"/>
      <w:marBottom w:val="0"/>
      <w:divBdr>
        <w:top w:val="none" w:sz="0" w:space="0" w:color="auto"/>
        <w:left w:val="none" w:sz="0" w:space="0" w:color="auto"/>
        <w:bottom w:val="none" w:sz="0" w:space="0" w:color="auto"/>
        <w:right w:val="none" w:sz="0" w:space="0" w:color="auto"/>
      </w:divBdr>
    </w:div>
    <w:div w:id="1666859593">
      <w:bodyDiv w:val="1"/>
      <w:marLeft w:val="0"/>
      <w:marRight w:val="0"/>
      <w:marTop w:val="0"/>
      <w:marBottom w:val="0"/>
      <w:divBdr>
        <w:top w:val="none" w:sz="0" w:space="0" w:color="auto"/>
        <w:left w:val="none" w:sz="0" w:space="0" w:color="auto"/>
        <w:bottom w:val="none" w:sz="0" w:space="0" w:color="auto"/>
        <w:right w:val="none" w:sz="0" w:space="0" w:color="auto"/>
      </w:divBdr>
    </w:div>
    <w:div w:id="1666863215">
      <w:bodyDiv w:val="1"/>
      <w:marLeft w:val="0"/>
      <w:marRight w:val="0"/>
      <w:marTop w:val="0"/>
      <w:marBottom w:val="0"/>
      <w:divBdr>
        <w:top w:val="none" w:sz="0" w:space="0" w:color="auto"/>
        <w:left w:val="none" w:sz="0" w:space="0" w:color="auto"/>
        <w:bottom w:val="none" w:sz="0" w:space="0" w:color="auto"/>
        <w:right w:val="none" w:sz="0" w:space="0" w:color="auto"/>
      </w:divBdr>
    </w:div>
    <w:div w:id="1666934714">
      <w:bodyDiv w:val="1"/>
      <w:marLeft w:val="0"/>
      <w:marRight w:val="0"/>
      <w:marTop w:val="0"/>
      <w:marBottom w:val="0"/>
      <w:divBdr>
        <w:top w:val="none" w:sz="0" w:space="0" w:color="auto"/>
        <w:left w:val="none" w:sz="0" w:space="0" w:color="auto"/>
        <w:bottom w:val="none" w:sz="0" w:space="0" w:color="auto"/>
        <w:right w:val="none" w:sz="0" w:space="0" w:color="auto"/>
      </w:divBdr>
    </w:div>
    <w:div w:id="1667005943">
      <w:bodyDiv w:val="1"/>
      <w:marLeft w:val="0"/>
      <w:marRight w:val="0"/>
      <w:marTop w:val="0"/>
      <w:marBottom w:val="0"/>
      <w:divBdr>
        <w:top w:val="none" w:sz="0" w:space="0" w:color="auto"/>
        <w:left w:val="none" w:sz="0" w:space="0" w:color="auto"/>
        <w:bottom w:val="none" w:sz="0" w:space="0" w:color="auto"/>
        <w:right w:val="none" w:sz="0" w:space="0" w:color="auto"/>
      </w:divBdr>
    </w:div>
    <w:div w:id="1667056096">
      <w:bodyDiv w:val="1"/>
      <w:marLeft w:val="0"/>
      <w:marRight w:val="0"/>
      <w:marTop w:val="0"/>
      <w:marBottom w:val="0"/>
      <w:divBdr>
        <w:top w:val="none" w:sz="0" w:space="0" w:color="auto"/>
        <w:left w:val="none" w:sz="0" w:space="0" w:color="auto"/>
        <w:bottom w:val="none" w:sz="0" w:space="0" w:color="auto"/>
        <w:right w:val="none" w:sz="0" w:space="0" w:color="auto"/>
      </w:divBdr>
    </w:div>
    <w:div w:id="1667124850">
      <w:bodyDiv w:val="1"/>
      <w:marLeft w:val="0"/>
      <w:marRight w:val="0"/>
      <w:marTop w:val="0"/>
      <w:marBottom w:val="0"/>
      <w:divBdr>
        <w:top w:val="none" w:sz="0" w:space="0" w:color="auto"/>
        <w:left w:val="none" w:sz="0" w:space="0" w:color="auto"/>
        <w:bottom w:val="none" w:sz="0" w:space="0" w:color="auto"/>
        <w:right w:val="none" w:sz="0" w:space="0" w:color="auto"/>
      </w:divBdr>
    </w:div>
    <w:div w:id="1667198968">
      <w:bodyDiv w:val="1"/>
      <w:marLeft w:val="0"/>
      <w:marRight w:val="0"/>
      <w:marTop w:val="0"/>
      <w:marBottom w:val="0"/>
      <w:divBdr>
        <w:top w:val="none" w:sz="0" w:space="0" w:color="auto"/>
        <w:left w:val="none" w:sz="0" w:space="0" w:color="auto"/>
        <w:bottom w:val="none" w:sz="0" w:space="0" w:color="auto"/>
        <w:right w:val="none" w:sz="0" w:space="0" w:color="auto"/>
      </w:divBdr>
    </w:div>
    <w:div w:id="1667322352">
      <w:bodyDiv w:val="1"/>
      <w:marLeft w:val="0"/>
      <w:marRight w:val="0"/>
      <w:marTop w:val="0"/>
      <w:marBottom w:val="0"/>
      <w:divBdr>
        <w:top w:val="none" w:sz="0" w:space="0" w:color="auto"/>
        <w:left w:val="none" w:sz="0" w:space="0" w:color="auto"/>
        <w:bottom w:val="none" w:sz="0" w:space="0" w:color="auto"/>
        <w:right w:val="none" w:sz="0" w:space="0" w:color="auto"/>
      </w:divBdr>
    </w:div>
    <w:div w:id="1667324288">
      <w:bodyDiv w:val="1"/>
      <w:marLeft w:val="0"/>
      <w:marRight w:val="0"/>
      <w:marTop w:val="0"/>
      <w:marBottom w:val="0"/>
      <w:divBdr>
        <w:top w:val="none" w:sz="0" w:space="0" w:color="auto"/>
        <w:left w:val="none" w:sz="0" w:space="0" w:color="auto"/>
        <w:bottom w:val="none" w:sz="0" w:space="0" w:color="auto"/>
        <w:right w:val="none" w:sz="0" w:space="0" w:color="auto"/>
      </w:divBdr>
    </w:div>
    <w:div w:id="1667399094">
      <w:bodyDiv w:val="1"/>
      <w:marLeft w:val="0"/>
      <w:marRight w:val="0"/>
      <w:marTop w:val="0"/>
      <w:marBottom w:val="0"/>
      <w:divBdr>
        <w:top w:val="none" w:sz="0" w:space="0" w:color="auto"/>
        <w:left w:val="none" w:sz="0" w:space="0" w:color="auto"/>
        <w:bottom w:val="none" w:sz="0" w:space="0" w:color="auto"/>
        <w:right w:val="none" w:sz="0" w:space="0" w:color="auto"/>
      </w:divBdr>
    </w:div>
    <w:div w:id="1667518012">
      <w:bodyDiv w:val="1"/>
      <w:marLeft w:val="0"/>
      <w:marRight w:val="0"/>
      <w:marTop w:val="0"/>
      <w:marBottom w:val="0"/>
      <w:divBdr>
        <w:top w:val="none" w:sz="0" w:space="0" w:color="auto"/>
        <w:left w:val="none" w:sz="0" w:space="0" w:color="auto"/>
        <w:bottom w:val="none" w:sz="0" w:space="0" w:color="auto"/>
        <w:right w:val="none" w:sz="0" w:space="0" w:color="auto"/>
      </w:divBdr>
    </w:div>
    <w:div w:id="1667704619">
      <w:bodyDiv w:val="1"/>
      <w:marLeft w:val="0"/>
      <w:marRight w:val="0"/>
      <w:marTop w:val="0"/>
      <w:marBottom w:val="0"/>
      <w:divBdr>
        <w:top w:val="none" w:sz="0" w:space="0" w:color="auto"/>
        <w:left w:val="none" w:sz="0" w:space="0" w:color="auto"/>
        <w:bottom w:val="none" w:sz="0" w:space="0" w:color="auto"/>
        <w:right w:val="none" w:sz="0" w:space="0" w:color="auto"/>
      </w:divBdr>
    </w:div>
    <w:div w:id="1667778346">
      <w:bodyDiv w:val="1"/>
      <w:marLeft w:val="0"/>
      <w:marRight w:val="0"/>
      <w:marTop w:val="0"/>
      <w:marBottom w:val="0"/>
      <w:divBdr>
        <w:top w:val="none" w:sz="0" w:space="0" w:color="auto"/>
        <w:left w:val="none" w:sz="0" w:space="0" w:color="auto"/>
        <w:bottom w:val="none" w:sz="0" w:space="0" w:color="auto"/>
        <w:right w:val="none" w:sz="0" w:space="0" w:color="auto"/>
      </w:divBdr>
    </w:div>
    <w:div w:id="1667786701">
      <w:bodyDiv w:val="1"/>
      <w:marLeft w:val="0"/>
      <w:marRight w:val="0"/>
      <w:marTop w:val="0"/>
      <w:marBottom w:val="0"/>
      <w:divBdr>
        <w:top w:val="none" w:sz="0" w:space="0" w:color="auto"/>
        <w:left w:val="none" w:sz="0" w:space="0" w:color="auto"/>
        <w:bottom w:val="none" w:sz="0" w:space="0" w:color="auto"/>
        <w:right w:val="none" w:sz="0" w:space="0" w:color="auto"/>
      </w:divBdr>
    </w:div>
    <w:div w:id="1667853949">
      <w:bodyDiv w:val="1"/>
      <w:marLeft w:val="0"/>
      <w:marRight w:val="0"/>
      <w:marTop w:val="0"/>
      <w:marBottom w:val="0"/>
      <w:divBdr>
        <w:top w:val="none" w:sz="0" w:space="0" w:color="auto"/>
        <w:left w:val="none" w:sz="0" w:space="0" w:color="auto"/>
        <w:bottom w:val="none" w:sz="0" w:space="0" w:color="auto"/>
        <w:right w:val="none" w:sz="0" w:space="0" w:color="auto"/>
      </w:divBdr>
    </w:div>
    <w:div w:id="1667854473">
      <w:bodyDiv w:val="1"/>
      <w:marLeft w:val="0"/>
      <w:marRight w:val="0"/>
      <w:marTop w:val="0"/>
      <w:marBottom w:val="0"/>
      <w:divBdr>
        <w:top w:val="none" w:sz="0" w:space="0" w:color="auto"/>
        <w:left w:val="none" w:sz="0" w:space="0" w:color="auto"/>
        <w:bottom w:val="none" w:sz="0" w:space="0" w:color="auto"/>
        <w:right w:val="none" w:sz="0" w:space="0" w:color="auto"/>
      </w:divBdr>
    </w:div>
    <w:div w:id="1667857001">
      <w:bodyDiv w:val="1"/>
      <w:marLeft w:val="0"/>
      <w:marRight w:val="0"/>
      <w:marTop w:val="0"/>
      <w:marBottom w:val="0"/>
      <w:divBdr>
        <w:top w:val="none" w:sz="0" w:space="0" w:color="auto"/>
        <w:left w:val="none" w:sz="0" w:space="0" w:color="auto"/>
        <w:bottom w:val="none" w:sz="0" w:space="0" w:color="auto"/>
        <w:right w:val="none" w:sz="0" w:space="0" w:color="auto"/>
      </w:divBdr>
    </w:div>
    <w:div w:id="1667857015">
      <w:bodyDiv w:val="1"/>
      <w:marLeft w:val="0"/>
      <w:marRight w:val="0"/>
      <w:marTop w:val="0"/>
      <w:marBottom w:val="0"/>
      <w:divBdr>
        <w:top w:val="none" w:sz="0" w:space="0" w:color="auto"/>
        <w:left w:val="none" w:sz="0" w:space="0" w:color="auto"/>
        <w:bottom w:val="none" w:sz="0" w:space="0" w:color="auto"/>
        <w:right w:val="none" w:sz="0" w:space="0" w:color="auto"/>
      </w:divBdr>
    </w:div>
    <w:div w:id="1667905198">
      <w:bodyDiv w:val="1"/>
      <w:marLeft w:val="0"/>
      <w:marRight w:val="0"/>
      <w:marTop w:val="0"/>
      <w:marBottom w:val="0"/>
      <w:divBdr>
        <w:top w:val="none" w:sz="0" w:space="0" w:color="auto"/>
        <w:left w:val="none" w:sz="0" w:space="0" w:color="auto"/>
        <w:bottom w:val="none" w:sz="0" w:space="0" w:color="auto"/>
        <w:right w:val="none" w:sz="0" w:space="0" w:color="auto"/>
      </w:divBdr>
    </w:div>
    <w:div w:id="1668287999">
      <w:bodyDiv w:val="1"/>
      <w:marLeft w:val="0"/>
      <w:marRight w:val="0"/>
      <w:marTop w:val="0"/>
      <w:marBottom w:val="0"/>
      <w:divBdr>
        <w:top w:val="none" w:sz="0" w:space="0" w:color="auto"/>
        <w:left w:val="none" w:sz="0" w:space="0" w:color="auto"/>
        <w:bottom w:val="none" w:sz="0" w:space="0" w:color="auto"/>
        <w:right w:val="none" w:sz="0" w:space="0" w:color="auto"/>
      </w:divBdr>
    </w:div>
    <w:div w:id="1668292174">
      <w:bodyDiv w:val="1"/>
      <w:marLeft w:val="0"/>
      <w:marRight w:val="0"/>
      <w:marTop w:val="0"/>
      <w:marBottom w:val="0"/>
      <w:divBdr>
        <w:top w:val="none" w:sz="0" w:space="0" w:color="auto"/>
        <w:left w:val="none" w:sz="0" w:space="0" w:color="auto"/>
        <w:bottom w:val="none" w:sz="0" w:space="0" w:color="auto"/>
        <w:right w:val="none" w:sz="0" w:space="0" w:color="auto"/>
      </w:divBdr>
    </w:div>
    <w:div w:id="1668511148">
      <w:bodyDiv w:val="1"/>
      <w:marLeft w:val="0"/>
      <w:marRight w:val="0"/>
      <w:marTop w:val="0"/>
      <w:marBottom w:val="0"/>
      <w:divBdr>
        <w:top w:val="none" w:sz="0" w:space="0" w:color="auto"/>
        <w:left w:val="none" w:sz="0" w:space="0" w:color="auto"/>
        <w:bottom w:val="none" w:sz="0" w:space="0" w:color="auto"/>
        <w:right w:val="none" w:sz="0" w:space="0" w:color="auto"/>
      </w:divBdr>
    </w:div>
    <w:div w:id="1668630008">
      <w:bodyDiv w:val="1"/>
      <w:marLeft w:val="0"/>
      <w:marRight w:val="0"/>
      <w:marTop w:val="0"/>
      <w:marBottom w:val="0"/>
      <w:divBdr>
        <w:top w:val="none" w:sz="0" w:space="0" w:color="auto"/>
        <w:left w:val="none" w:sz="0" w:space="0" w:color="auto"/>
        <w:bottom w:val="none" w:sz="0" w:space="0" w:color="auto"/>
        <w:right w:val="none" w:sz="0" w:space="0" w:color="auto"/>
      </w:divBdr>
    </w:div>
    <w:div w:id="1668745728">
      <w:bodyDiv w:val="1"/>
      <w:marLeft w:val="0"/>
      <w:marRight w:val="0"/>
      <w:marTop w:val="0"/>
      <w:marBottom w:val="0"/>
      <w:divBdr>
        <w:top w:val="none" w:sz="0" w:space="0" w:color="auto"/>
        <w:left w:val="none" w:sz="0" w:space="0" w:color="auto"/>
        <w:bottom w:val="none" w:sz="0" w:space="0" w:color="auto"/>
        <w:right w:val="none" w:sz="0" w:space="0" w:color="auto"/>
      </w:divBdr>
    </w:div>
    <w:div w:id="1668753810">
      <w:bodyDiv w:val="1"/>
      <w:marLeft w:val="0"/>
      <w:marRight w:val="0"/>
      <w:marTop w:val="0"/>
      <w:marBottom w:val="0"/>
      <w:divBdr>
        <w:top w:val="none" w:sz="0" w:space="0" w:color="auto"/>
        <w:left w:val="none" w:sz="0" w:space="0" w:color="auto"/>
        <w:bottom w:val="none" w:sz="0" w:space="0" w:color="auto"/>
        <w:right w:val="none" w:sz="0" w:space="0" w:color="auto"/>
      </w:divBdr>
    </w:div>
    <w:div w:id="1669136976">
      <w:bodyDiv w:val="1"/>
      <w:marLeft w:val="0"/>
      <w:marRight w:val="0"/>
      <w:marTop w:val="0"/>
      <w:marBottom w:val="0"/>
      <w:divBdr>
        <w:top w:val="none" w:sz="0" w:space="0" w:color="auto"/>
        <w:left w:val="none" w:sz="0" w:space="0" w:color="auto"/>
        <w:bottom w:val="none" w:sz="0" w:space="0" w:color="auto"/>
        <w:right w:val="none" w:sz="0" w:space="0" w:color="auto"/>
      </w:divBdr>
    </w:div>
    <w:div w:id="1669207894">
      <w:bodyDiv w:val="1"/>
      <w:marLeft w:val="0"/>
      <w:marRight w:val="0"/>
      <w:marTop w:val="0"/>
      <w:marBottom w:val="0"/>
      <w:divBdr>
        <w:top w:val="none" w:sz="0" w:space="0" w:color="auto"/>
        <w:left w:val="none" w:sz="0" w:space="0" w:color="auto"/>
        <w:bottom w:val="none" w:sz="0" w:space="0" w:color="auto"/>
        <w:right w:val="none" w:sz="0" w:space="0" w:color="auto"/>
      </w:divBdr>
    </w:div>
    <w:div w:id="1669333273">
      <w:bodyDiv w:val="1"/>
      <w:marLeft w:val="0"/>
      <w:marRight w:val="0"/>
      <w:marTop w:val="0"/>
      <w:marBottom w:val="0"/>
      <w:divBdr>
        <w:top w:val="none" w:sz="0" w:space="0" w:color="auto"/>
        <w:left w:val="none" w:sz="0" w:space="0" w:color="auto"/>
        <w:bottom w:val="none" w:sz="0" w:space="0" w:color="auto"/>
        <w:right w:val="none" w:sz="0" w:space="0" w:color="auto"/>
      </w:divBdr>
    </w:div>
    <w:div w:id="1669404001">
      <w:bodyDiv w:val="1"/>
      <w:marLeft w:val="0"/>
      <w:marRight w:val="0"/>
      <w:marTop w:val="0"/>
      <w:marBottom w:val="0"/>
      <w:divBdr>
        <w:top w:val="none" w:sz="0" w:space="0" w:color="auto"/>
        <w:left w:val="none" w:sz="0" w:space="0" w:color="auto"/>
        <w:bottom w:val="none" w:sz="0" w:space="0" w:color="auto"/>
        <w:right w:val="none" w:sz="0" w:space="0" w:color="auto"/>
      </w:divBdr>
    </w:div>
    <w:div w:id="1669406864">
      <w:bodyDiv w:val="1"/>
      <w:marLeft w:val="0"/>
      <w:marRight w:val="0"/>
      <w:marTop w:val="0"/>
      <w:marBottom w:val="0"/>
      <w:divBdr>
        <w:top w:val="none" w:sz="0" w:space="0" w:color="auto"/>
        <w:left w:val="none" w:sz="0" w:space="0" w:color="auto"/>
        <w:bottom w:val="none" w:sz="0" w:space="0" w:color="auto"/>
        <w:right w:val="none" w:sz="0" w:space="0" w:color="auto"/>
      </w:divBdr>
    </w:div>
    <w:div w:id="1669407046">
      <w:bodyDiv w:val="1"/>
      <w:marLeft w:val="0"/>
      <w:marRight w:val="0"/>
      <w:marTop w:val="0"/>
      <w:marBottom w:val="0"/>
      <w:divBdr>
        <w:top w:val="none" w:sz="0" w:space="0" w:color="auto"/>
        <w:left w:val="none" w:sz="0" w:space="0" w:color="auto"/>
        <w:bottom w:val="none" w:sz="0" w:space="0" w:color="auto"/>
        <w:right w:val="none" w:sz="0" w:space="0" w:color="auto"/>
      </w:divBdr>
    </w:div>
    <w:div w:id="1669626151">
      <w:bodyDiv w:val="1"/>
      <w:marLeft w:val="0"/>
      <w:marRight w:val="0"/>
      <w:marTop w:val="0"/>
      <w:marBottom w:val="0"/>
      <w:divBdr>
        <w:top w:val="none" w:sz="0" w:space="0" w:color="auto"/>
        <w:left w:val="none" w:sz="0" w:space="0" w:color="auto"/>
        <w:bottom w:val="none" w:sz="0" w:space="0" w:color="auto"/>
        <w:right w:val="none" w:sz="0" w:space="0" w:color="auto"/>
      </w:divBdr>
    </w:div>
    <w:div w:id="1669672352">
      <w:bodyDiv w:val="1"/>
      <w:marLeft w:val="0"/>
      <w:marRight w:val="0"/>
      <w:marTop w:val="0"/>
      <w:marBottom w:val="0"/>
      <w:divBdr>
        <w:top w:val="none" w:sz="0" w:space="0" w:color="auto"/>
        <w:left w:val="none" w:sz="0" w:space="0" w:color="auto"/>
        <w:bottom w:val="none" w:sz="0" w:space="0" w:color="auto"/>
        <w:right w:val="none" w:sz="0" w:space="0" w:color="auto"/>
      </w:divBdr>
    </w:div>
    <w:div w:id="1669793202">
      <w:bodyDiv w:val="1"/>
      <w:marLeft w:val="0"/>
      <w:marRight w:val="0"/>
      <w:marTop w:val="0"/>
      <w:marBottom w:val="0"/>
      <w:divBdr>
        <w:top w:val="none" w:sz="0" w:space="0" w:color="auto"/>
        <w:left w:val="none" w:sz="0" w:space="0" w:color="auto"/>
        <w:bottom w:val="none" w:sz="0" w:space="0" w:color="auto"/>
        <w:right w:val="none" w:sz="0" w:space="0" w:color="auto"/>
      </w:divBdr>
    </w:div>
    <w:div w:id="1669864125">
      <w:bodyDiv w:val="1"/>
      <w:marLeft w:val="0"/>
      <w:marRight w:val="0"/>
      <w:marTop w:val="0"/>
      <w:marBottom w:val="0"/>
      <w:divBdr>
        <w:top w:val="none" w:sz="0" w:space="0" w:color="auto"/>
        <w:left w:val="none" w:sz="0" w:space="0" w:color="auto"/>
        <w:bottom w:val="none" w:sz="0" w:space="0" w:color="auto"/>
        <w:right w:val="none" w:sz="0" w:space="0" w:color="auto"/>
      </w:divBdr>
    </w:div>
    <w:div w:id="1669865400">
      <w:bodyDiv w:val="1"/>
      <w:marLeft w:val="0"/>
      <w:marRight w:val="0"/>
      <w:marTop w:val="0"/>
      <w:marBottom w:val="0"/>
      <w:divBdr>
        <w:top w:val="none" w:sz="0" w:space="0" w:color="auto"/>
        <w:left w:val="none" w:sz="0" w:space="0" w:color="auto"/>
        <w:bottom w:val="none" w:sz="0" w:space="0" w:color="auto"/>
        <w:right w:val="none" w:sz="0" w:space="0" w:color="auto"/>
      </w:divBdr>
    </w:div>
    <w:div w:id="1669945027">
      <w:bodyDiv w:val="1"/>
      <w:marLeft w:val="0"/>
      <w:marRight w:val="0"/>
      <w:marTop w:val="0"/>
      <w:marBottom w:val="0"/>
      <w:divBdr>
        <w:top w:val="none" w:sz="0" w:space="0" w:color="auto"/>
        <w:left w:val="none" w:sz="0" w:space="0" w:color="auto"/>
        <w:bottom w:val="none" w:sz="0" w:space="0" w:color="auto"/>
        <w:right w:val="none" w:sz="0" w:space="0" w:color="auto"/>
      </w:divBdr>
    </w:div>
    <w:div w:id="1670055841">
      <w:bodyDiv w:val="1"/>
      <w:marLeft w:val="0"/>
      <w:marRight w:val="0"/>
      <w:marTop w:val="0"/>
      <w:marBottom w:val="0"/>
      <w:divBdr>
        <w:top w:val="none" w:sz="0" w:space="0" w:color="auto"/>
        <w:left w:val="none" w:sz="0" w:space="0" w:color="auto"/>
        <w:bottom w:val="none" w:sz="0" w:space="0" w:color="auto"/>
        <w:right w:val="none" w:sz="0" w:space="0" w:color="auto"/>
      </w:divBdr>
    </w:div>
    <w:div w:id="1670214908">
      <w:bodyDiv w:val="1"/>
      <w:marLeft w:val="0"/>
      <w:marRight w:val="0"/>
      <w:marTop w:val="0"/>
      <w:marBottom w:val="0"/>
      <w:divBdr>
        <w:top w:val="none" w:sz="0" w:space="0" w:color="auto"/>
        <w:left w:val="none" w:sz="0" w:space="0" w:color="auto"/>
        <w:bottom w:val="none" w:sz="0" w:space="0" w:color="auto"/>
        <w:right w:val="none" w:sz="0" w:space="0" w:color="auto"/>
      </w:divBdr>
    </w:div>
    <w:div w:id="1670253802">
      <w:bodyDiv w:val="1"/>
      <w:marLeft w:val="0"/>
      <w:marRight w:val="0"/>
      <w:marTop w:val="0"/>
      <w:marBottom w:val="0"/>
      <w:divBdr>
        <w:top w:val="none" w:sz="0" w:space="0" w:color="auto"/>
        <w:left w:val="none" w:sz="0" w:space="0" w:color="auto"/>
        <w:bottom w:val="none" w:sz="0" w:space="0" w:color="auto"/>
        <w:right w:val="none" w:sz="0" w:space="0" w:color="auto"/>
      </w:divBdr>
    </w:div>
    <w:div w:id="1670408467">
      <w:bodyDiv w:val="1"/>
      <w:marLeft w:val="0"/>
      <w:marRight w:val="0"/>
      <w:marTop w:val="0"/>
      <w:marBottom w:val="0"/>
      <w:divBdr>
        <w:top w:val="none" w:sz="0" w:space="0" w:color="auto"/>
        <w:left w:val="none" w:sz="0" w:space="0" w:color="auto"/>
        <w:bottom w:val="none" w:sz="0" w:space="0" w:color="auto"/>
        <w:right w:val="none" w:sz="0" w:space="0" w:color="auto"/>
      </w:divBdr>
    </w:div>
    <w:div w:id="1670477094">
      <w:bodyDiv w:val="1"/>
      <w:marLeft w:val="0"/>
      <w:marRight w:val="0"/>
      <w:marTop w:val="0"/>
      <w:marBottom w:val="0"/>
      <w:divBdr>
        <w:top w:val="none" w:sz="0" w:space="0" w:color="auto"/>
        <w:left w:val="none" w:sz="0" w:space="0" w:color="auto"/>
        <w:bottom w:val="none" w:sz="0" w:space="0" w:color="auto"/>
        <w:right w:val="none" w:sz="0" w:space="0" w:color="auto"/>
      </w:divBdr>
    </w:div>
    <w:div w:id="1670674748">
      <w:bodyDiv w:val="1"/>
      <w:marLeft w:val="0"/>
      <w:marRight w:val="0"/>
      <w:marTop w:val="0"/>
      <w:marBottom w:val="0"/>
      <w:divBdr>
        <w:top w:val="none" w:sz="0" w:space="0" w:color="auto"/>
        <w:left w:val="none" w:sz="0" w:space="0" w:color="auto"/>
        <w:bottom w:val="none" w:sz="0" w:space="0" w:color="auto"/>
        <w:right w:val="none" w:sz="0" w:space="0" w:color="auto"/>
      </w:divBdr>
    </w:div>
    <w:div w:id="1670712313">
      <w:bodyDiv w:val="1"/>
      <w:marLeft w:val="0"/>
      <w:marRight w:val="0"/>
      <w:marTop w:val="0"/>
      <w:marBottom w:val="0"/>
      <w:divBdr>
        <w:top w:val="none" w:sz="0" w:space="0" w:color="auto"/>
        <w:left w:val="none" w:sz="0" w:space="0" w:color="auto"/>
        <w:bottom w:val="none" w:sz="0" w:space="0" w:color="auto"/>
        <w:right w:val="none" w:sz="0" w:space="0" w:color="auto"/>
      </w:divBdr>
    </w:div>
    <w:div w:id="1670717162">
      <w:bodyDiv w:val="1"/>
      <w:marLeft w:val="0"/>
      <w:marRight w:val="0"/>
      <w:marTop w:val="0"/>
      <w:marBottom w:val="0"/>
      <w:divBdr>
        <w:top w:val="none" w:sz="0" w:space="0" w:color="auto"/>
        <w:left w:val="none" w:sz="0" w:space="0" w:color="auto"/>
        <w:bottom w:val="none" w:sz="0" w:space="0" w:color="auto"/>
        <w:right w:val="none" w:sz="0" w:space="0" w:color="auto"/>
      </w:divBdr>
    </w:div>
    <w:div w:id="1670717251">
      <w:bodyDiv w:val="1"/>
      <w:marLeft w:val="0"/>
      <w:marRight w:val="0"/>
      <w:marTop w:val="0"/>
      <w:marBottom w:val="0"/>
      <w:divBdr>
        <w:top w:val="none" w:sz="0" w:space="0" w:color="auto"/>
        <w:left w:val="none" w:sz="0" w:space="0" w:color="auto"/>
        <w:bottom w:val="none" w:sz="0" w:space="0" w:color="auto"/>
        <w:right w:val="none" w:sz="0" w:space="0" w:color="auto"/>
      </w:divBdr>
    </w:div>
    <w:div w:id="1670979472">
      <w:bodyDiv w:val="1"/>
      <w:marLeft w:val="0"/>
      <w:marRight w:val="0"/>
      <w:marTop w:val="0"/>
      <w:marBottom w:val="0"/>
      <w:divBdr>
        <w:top w:val="none" w:sz="0" w:space="0" w:color="auto"/>
        <w:left w:val="none" w:sz="0" w:space="0" w:color="auto"/>
        <w:bottom w:val="none" w:sz="0" w:space="0" w:color="auto"/>
        <w:right w:val="none" w:sz="0" w:space="0" w:color="auto"/>
      </w:divBdr>
    </w:div>
    <w:div w:id="1670983092">
      <w:bodyDiv w:val="1"/>
      <w:marLeft w:val="0"/>
      <w:marRight w:val="0"/>
      <w:marTop w:val="0"/>
      <w:marBottom w:val="0"/>
      <w:divBdr>
        <w:top w:val="none" w:sz="0" w:space="0" w:color="auto"/>
        <w:left w:val="none" w:sz="0" w:space="0" w:color="auto"/>
        <w:bottom w:val="none" w:sz="0" w:space="0" w:color="auto"/>
        <w:right w:val="none" w:sz="0" w:space="0" w:color="auto"/>
      </w:divBdr>
    </w:div>
    <w:div w:id="1670984059">
      <w:bodyDiv w:val="1"/>
      <w:marLeft w:val="0"/>
      <w:marRight w:val="0"/>
      <w:marTop w:val="0"/>
      <w:marBottom w:val="0"/>
      <w:divBdr>
        <w:top w:val="none" w:sz="0" w:space="0" w:color="auto"/>
        <w:left w:val="none" w:sz="0" w:space="0" w:color="auto"/>
        <w:bottom w:val="none" w:sz="0" w:space="0" w:color="auto"/>
        <w:right w:val="none" w:sz="0" w:space="0" w:color="auto"/>
      </w:divBdr>
    </w:div>
    <w:div w:id="1671131929">
      <w:bodyDiv w:val="1"/>
      <w:marLeft w:val="0"/>
      <w:marRight w:val="0"/>
      <w:marTop w:val="0"/>
      <w:marBottom w:val="0"/>
      <w:divBdr>
        <w:top w:val="none" w:sz="0" w:space="0" w:color="auto"/>
        <w:left w:val="none" w:sz="0" w:space="0" w:color="auto"/>
        <w:bottom w:val="none" w:sz="0" w:space="0" w:color="auto"/>
        <w:right w:val="none" w:sz="0" w:space="0" w:color="auto"/>
      </w:divBdr>
    </w:div>
    <w:div w:id="1671176044">
      <w:bodyDiv w:val="1"/>
      <w:marLeft w:val="0"/>
      <w:marRight w:val="0"/>
      <w:marTop w:val="0"/>
      <w:marBottom w:val="0"/>
      <w:divBdr>
        <w:top w:val="none" w:sz="0" w:space="0" w:color="auto"/>
        <w:left w:val="none" w:sz="0" w:space="0" w:color="auto"/>
        <w:bottom w:val="none" w:sz="0" w:space="0" w:color="auto"/>
        <w:right w:val="none" w:sz="0" w:space="0" w:color="auto"/>
      </w:divBdr>
    </w:div>
    <w:div w:id="1671248853">
      <w:bodyDiv w:val="1"/>
      <w:marLeft w:val="0"/>
      <w:marRight w:val="0"/>
      <w:marTop w:val="0"/>
      <w:marBottom w:val="0"/>
      <w:divBdr>
        <w:top w:val="none" w:sz="0" w:space="0" w:color="auto"/>
        <w:left w:val="none" w:sz="0" w:space="0" w:color="auto"/>
        <w:bottom w:val="none" w:sz="0" w:space="0" w:color="auto"/>
        <w:right w:val="none" w:sz="0" w:space="0" w:color="auto"/>
      </w:divBdr>
    </w:div>
    <w:div w:id="1671329763">
      <w:bodyDiv w:val="1"/>
      <w:marLeft w:val="0"/>
      <w:marRight w:val="0"/>
      <w:marTop w:val="0"/>
      <w:marBottom w:val="0"/>
      <w:divBdr>
        <w:top w:val="none" w:sz="0" w:space="0" w:color="auto"/>
        <w:left w:val="none" w:sz="0" w:space="0" w:color="auto"/>
        <w:bottom w:val="none" w:sz="0" w:space="0" w:color="auto"/>
        <w:right w:val="none" w:sz="0" w:space="0" w:color="auto"/>
      </w:divBdr>
    </w:div>
    <w:div w:id="1671367126">
      <w:bodyDiv w:val="1"/>
      <w:marLeft w:val="0"/>
      <w:marRight w:val="0"/>
      <w:marTop w:val="0"/>
      <w:marBottom w:val="0"/>
      <w:divBdr>
        <w:top w:val="none" w:sz="0" w:space="0" w:color="auto"/>
        <w:left w:val="none" w:sz="0" w:space="0" w:color="auto"/>
        <w:bottom w:val="none" w:sz="0" w:space="0" w:color="auto"/>
        <w:right w:val="none" w:sz="0" w:space="0" w:color="auto"/>
      </w:divBdr>
    </w:div>
    <w:div w:id="1671444081">
      <w:bodyDiv w:val="1"/>
      <w:marLeft w:val="0"/>
      <w:marRight w:val="0"/>
      <w:marTop w:val="0"/>
      <w:marBottom w:val="0"/>
      <w:divBdr>
        <w:top w:val="none" w:sz="0" w:space="0" w:color="auto"/>
        <w:left w:val="none" w:sz="0" w:space="0" w:color="auto"/>
        <w:bottom w:val="none" w:sz="0" w:space="0" w:color="auto"/>
        <w:right w:val="none" w:sz="0" w:space="0" w:color="auto"/>
      </w:divBdr>
    </w:div>
    <w:div w:id="1671444092">
      <w:bodyDiv w:val="1"/>
      <w:marLeft w:val="0"/>
      <w:marRight w:val="0"/>
      <w:marTop w:val="0"/>
      <w:marBottom w:val="0"/>
      <w:divBdr>
        <w:top w:val="none" w:sz="0" w:space="0" w:color="auto"/>
        <w:left w:val="none" w:sz="0" w:space="0" w:color="auto"/>
        <w:bottom w:val="none" w:sz="0" w:space="0" w:color="auto"/>
        <w:right w:val="none" w:sz="0" w:space="0" w:color="auto"/>
      </w:divBdr>
    </w:div>
    <w:div w:id="1671447899">
      <w:bodyDiv w:val="1"/>
      <w:marLeft w:val="0"/>
      <w:marRight w:val="0"/>
      <w:marTop w:val="0"/>
      <w:marBottom w:val="0"/>
      <w:divBdr>
        <w:top w:val="none" w:sz="0" w:space="0" w:color="auto"/>
        <w:left w:val="none" w:sz="0" w:space="0" w:color="auto"/>
        <w:bottom w:val="none" w:sz="0" w:space="0" w:color="auto"/>
        <w:right w:val="none" w:sz="0" w:space="0" w:color="auto"/>
      </w:divBdr>
    </w:div>
    <w:div w:id="1671636876">
      <w:bodyDiv w:val="1"/>
      <w:marLeft w:val="0"/>
      <w:marRight w:val="0"/>
      <w:marTop w:val="0"/>
      <w:marBottom w:val="0"/>
      <w:divBdr>
        <w:top w:val="none" w:sz="0" w:space="0" w:color="auto"/>
        <w:left w:val="none" w:sz="0" w:space="0" w:color="auto"/>
        <w:bottom w:val="none" w:sz="0" w:space="0" w:color="auto"/>
        <w:right w:val="none" w:sz="0" w:space="0" w:color="auto"/>
      </w:divBdr>
    </w:div>
    <w:div w:id="1671637960">
      <w:bodyDiv w:val="1"/>
      <w:marLeft w:val="0"/>
      <w:marRight w:val="0"/>
      <w:marTop w:val="0"/>
      <w:marBottom w:val="0"/>
      <w:divBdr>
        <w:top w:val="none" w:sz="0" w:space="0" w:color="auto"/>
        <w:left w:val="none" w:sz="0" w:space="0" w:color="auto"/>
        <w:bottom w:val="none" w:sz="0" w:space="0" w:color="auto"/>
        <w:right w:val="none" w:sz="0" w:space="0" w:color="auto"/>
      </w:divBdr>
    </w:div>
    <w:div w:id="1671718948">
      <w:bodyDiv w:val="1"/>
      <w:marLeft w:val="0"/>
      <w:marRight w:val="0"/>
      <w:marTop w:val="0"/>
      <w:marBottom w:val="0"/>
      <w:divBdr>
        <w:top w:val="none" w:sz="0" w:space="0" w:color="auto"/>
        <w:left w:val="none" w:sz="0" w:space="0" w:color="auto"/>
        <w:bottom w:val="none" w:sz="0" w:space="0" w:color="auto"/>
        <w:right w:val="none" w:sz="0" w:space="0" w:color="auto"/>
      </w:divBdr>
    </w:div>
    <w:div w:id="1671788773">
      <w:bodyDiv w:val="1"/>
      <w:marLeft w:val="0"/>
      <w:marRight w:val="0"/>
      <w:marTop w:val="0"/>
      <w:marBottom w:val="0"/>
      <w:divBdr>
        <w:top w:val="none" w:sz="0" w:space="0" w:color="auto"/>
        <w:left w:val="none" w:sz="0" w:space="0" w:color="auto"/>
        <w:bottom w:val="none" w:sz="0" w:space="0" w:color="auto"/>
        <w:right w:val="none" w:sz="0" w:space="0" w:color="auto"/>
      </w:divBdr>
    </w:div>
    <w:div w:id="1672025923">
      <w:bodyDiv w:val="1"/>
      <w:marLeft w:val="0"/>
      <w:marRight w:val="0"/>
      <w:marTop w:val="0"/>
      <w:marBottom w:val="0"/>
      <w:divBdr>
        <w:top w:val="none" w:sz="0" w:space="0" w:color="auto"/>
        <w:left w:val="none" w:sz="0" w:space="0" w:color="auto"/>
        <w:bottom w:val="none" w:sz="0" w:space="0" w:color="auto"/>
        <w:right w:val="none" w:sz="0" w:space="0" w:color="auto"/>
      </w:divBdr>
    </w:div>
    <w:div w:id="1672097822">
      <w:bodyDiv w:val="1"/>
      <w:marLeft w:val="0"/>
      <w:marRight w:val="0"/>
      <w:marTop w:val="0"/>
      <w:marBottom w:val="0"/>
      <w:divBdr>
        <w:top w:val="none" w:sz="0" w:space="0" w:color="auto"/>
        <w:left w:val="none" w:sz="0" w:space="0" w:color="auto"/>
        <w:bottom w:val="none" w:sz="0" w:space="0" w:color="auto"/>
        <w:right w:val="none" w:sz="0" w:space="0" w:color="auto"/>
      </w:divBdr>
    </w:div>
    <w:div w:id="1672104982">
      <w:bodyDiv w:val="1"/>
      <w:marLeft w:val="0"/>
      <w:marRight w:val="0"/>
      <w:marTop w:val="0"/>
      <w:marBottom w:val="0"/>
      <w:divBdr>
        <w:top w:val="none" w:sz="0" w:space="0" w:color="auto"/>
        <w:left w:val="none" w:sz="0" w:space="0" w:color="auto"/>
        <w:bottom w:val="none" w:sz="0" w:space="0" w:color="auto"/>
        <w:right w:val="none" w:sz="0" w:space="0" w:color="auto"/>
      </w:divBdr>
    </w:div>
    <w:div w:id="1672248231">
      <w:bodyDiv w:val="1"/>
      <w:marLeft w:val="0"/>
      <w:marRight w:val="0"/>
      <w:marTop w:val="0"/>
      <w:marBottom w:val="0"/>
      <w:divBdr>
        <w:top w:val="none" w:sz="0" w:space="0" w:color="auto"/>
        <w:left w:val="none" w:sz="0" w:space="0" w:color="auto"/>
        <w:bottom w:val="none" w:sz="0" w:space="0" w:color="auto"/>
        <w:right w:val="none" w:sz="0" w:space="0" w:color="auto"/>
      </w:divBdr>
    </w:div>
    <w:div w:id="1672289895">
      <w:bodyDiv w:val="1"/>
      <w:marLeft w:val="0"/>
      <w:marRight w:val="0"/>
      <w:marTop w:val="0"/>
      <w:marBottom w:val="0"/>
      <w:divBdr>
        <w:top w:val="none" w:sz="0" w:space="0" w:color="auto"/>
        <w:left w:val="none" w:sz="0" w:space="0" w:color="auto"/>
        <w:bottom w:val="none" w:sz="0" w:space="0" w:color="auto"/>
        <w:right w:val="none" w:sz="0" w:space="0" w:color="auto"/>
      </w:divBdr>
    </w:div>
    <w:div w:id="1672440937">
      <w:bodyDiv w:val="1"/>
      <w:marLeft w:val="0"/>
      <w:marRight w:val="0"/>
      <w:marTop w:val="0"/>
      <w:marBottom w:val="0"/>
      <w:divBdr>
        <w:top w:val="none" w:sz="0" w:space="0" w:color="auto"/>
        <w:left w:val="none" w:sz="0" w:space="0" w:color="auto"/>
        <w:bottom w:val="none" w:sz="0" w:space="0" w:color="auto"/>
        <w:right w:val="none" w:sz="0" w:space="0" w:color="auto"/>
      </w:divBdr>
    </w:div>
    <w:div w:id="1672443995">
      <w:bodyDiv w:val="1"/>
      <w:marLeft w:val="0"/>
      <w:marRight w:val="0"/>
      <w:marTop w:val="0"/>
      <w:marBottom w:val="0"/>
      <w:divBdr>
        <w:top w:val="none" w:sz="0" w:space="0" w:color="auto"/>
        <w:left w:val="none" w:sz="0" w:space="0" w:color="auto"/>
        <w:bottom w:val="none" w:sz="0" w:space="0" w:color="auto"/>
        <w:right w:val="none" w:sz="0" w:space="0" w:color="auto"/>
      </w:divBdr>
    </w:div>
    <w:div w:id="1672755666">
      <w:bodyDiv w:val="1"/>
      <w:marLeft w:val="0"/>
      <w:marRight w:val="0"/>
      <w:marTop w:val="0"/>
      <w:marBottom w:val="0"/>
      <w:divBdr>
        <w:top w:val="none" w:sz="0" w:space="0" w:color="auto"/>
        <w:left w:val="none" w:sz="0" w:space="0" w:color="auto"/>
        <w:bottom w:val="none" w:sz="0" w:space="0" w:color="auto"/>
        <w:right w:val="none" w:sz="0" w:space="0" w:color="auto"/>
      </w:divBdr>
    </w:div>
    <w:div w:id="1672758497">
      <w:bodyDiv w:val="1"/>
      <w:marLeft w:val="0"/>
      <w:marRight w:val="0"/>
      <w:marTop w:val="0"/>
      <w:marBottom w:val="0"/>
      <w:divBdr>
        <w:top w:val="none" w:sz="0" w:space="0" w:color="auto"/>
        <w:left w:val="none" w:sz="0" w:space="0" w:color="auto"/>
        <w:bottom w:val="none" w:sz="0" w:space="0" w:color="auto"/>
        <w:right w:val="none" w:sz="0" w:space="0" w:color="auto"/>
      </w:divBdr>
    </w:div>
    <w:div w:id="1672947892">
      <w:bodyDiv w:val="1"/>
      <w:marLeft w:val="0"/>
      <w:marRight w:val="0"/>
      <w:marTop w:val="0"/>
      <w:marBottom w:val="0"/>
      <w:divBdr>
        <w:top w:val="none" w:sz="0" w:space="0" w:color="auto"/>
        <w:left w:val="none" w:sz="0" w:space="0" w:color="auto"/>
        <w:bottom w:val="none" w:sz="0" w:space="0" w:color="auto"/>
        <w:right w:val="none" w:sz="0" w:space="0" w:color="auto"/>
      </w:divBdr>
    </w:div>
    <w:div w:id="1673097802">
      <w:bodyDiv w:val="1"/>
      <w:marLeft w:val="0"/>
      <w:marRight w:val="0"/>
      <w:marTop w:val="0"/>
      <w:marBottom w:val="0"/>
      <w:divBdr>
        <w:top w:val="none" w:sz="0" w:space="0" w:color="auto"/>
        <w:left w:val="none" w:sz="0" w:space="0" w:color="auto"/>
        <w:bottom w:val="none" w:sz="0" w:space="0" w:color="auto"/>
        <w:right w:val="none" w:sz="0" w:space="0" w:color="auto"/>
      </w:divBdr>
    </w:div>
    <w:div w:id="1673099200">
      <w:bodyDiv w:val="1"/>
      <w:marLeft w:val="0"/>
      <w:marRight w:val="0"/>
      <w:marTop w:val="0"/>
      <w:marBottom w:val="0"/>
      <w:divBdr>
        <w:top w:val="none" w:sz="0" w:space="0" w:color="auto"/>
        <w:left w:val="none" w:sz="0" w:space="0" w:color="auto"/>
        <w:bottom w:val="none" w:sz="0" w:space="0" w:color="auto"/>
        <w:right w:val="none" w:sz="0" w:space="0" w:color="auto"/>
      </w:divBdr>
    </w:div>
    <w:div w:id="1673099228">
      <w:bodyDiv w:val="1"/>
      <w:marLeft w:val="0"/>
      <w:marRight w:val="0"/>
      <w:marTop w:val="0"/>
      <w:marBottom w:val="0"/>
      <w:divBdr>
        <w:top w:val="none" w:sz="0" w:space="0" w:color="auto"/>
        <w:left w:val="none" w:sz="0" w:space="0" w:color="auto"/>
        <w:bottom w:val="none" w:sz="0" w:space="0" w:color="auto"/>
        <w:right w:val="none" w:sz="0" w:space="0" w:color="auto"/>
      </w:divBdr>
    </w:div>
    <w:div w:id="1673147290">
      <w:bodyDiv w:val="1"/>
      <w:marLeft w:val="0"/>
      <w:marRight w:val="0"/>
      <w:marTop w:val="0"/>
      <w:marBottom w:val="0"/>
      <w:divBdr>
        <w:top w:val="none" w:sz="0" w:space="0" w:color="auto"/>
        <w:left w:val="none" w:sz="0" w:space="0" w:color="auto"/>
        <w:bottom w:val="none" w:sz="0" w:space="0" w:color="auto"/>
        <w:right w:val="none" w:sz="0" w:space="0" w:color="auto"/>
      </w:divBdr>
    </w:div>
    <w:div w:id="1673295960">
      <w:bodyDiv w:val="1"/>
      <w:marLeft w:val="0"/>
      <w:marRight w:val="0"/>
      <w:marTop w:val="0"/>
      <w:marBottom w:val="0"/>
      <w:divBdr>
        <w:top w:val="none" w:sz="0" w:space="0" w:color="auto"/>
        <w:left w:val="none" w:sz="0" w:space="0" w:color="auto"/>
        <w:bottom w:val="none" w:sz="0" w:space="0" w:color="auto"/>
        <w:right w:val="none" w:sz="0" w:space="0" w:color="auto"/>
      </w:divBdr>
    </w:div>
    <w:div w:id="1673297847">
      <w:bodyDiv w:val="1"/>
      <w:marLeft w:val="0"/>
      <w:marRight w:val="0"/>
      <w:marTop w:val="0"/>
      <w:marBottom w:val="0"/>
      <w:divBdr>
        <w:top w:val="none" w:sz="0" w:space="0" w:color="auto"/>
        <w:left w:val="none" w:sz="0" w:space="0" w:color="auto"/>
        <w:bottom w:val="none" w:sz="0" w:space="0" w:color="auto"/>
        <w:right w:val="none" w:sz="0" w:space="0" w:color="auto"/>
      </w:divBdr>
    </w:div>
    <w:div w:id="1673486312">
      <w:bodyDiv w:val="1"/>
      <w:marLeft w:val="0"/>
      <w:marRight w:val="0"/>
      <w:marTop w:val="0"/>
      <w:marBottom w:val="0"/>
      <w:divBdr>
        <w:top w:val="none" w:sz="0" w:space="0" w:color="auto"/>
        <w:left w:val="none" w:sz="0" w:space="0" w:color="auto"/>
        <w:bottom w:val="none" w:sz="0" w:space="0" w:color="auto"/>
        <w:right w:val="none" w:sz="0" w:space="0" w:color="auto"/>
      </w:divBdr>
    </w:div>
    <w:div w:id="1673486665">
      <w:bodyDiv w:val="1"/>
      <w:marLeft w:val="0"/>
      <w:marRight w:val="0"/>
      <w:marTop w:val="0"/>
      <w:marBottom w:val="0"/>
      <w:divBdr>
        <w:top w:val="none" w:sz="0" w:space="0" w:color="auto"/>
        <w:left w:val="none" w:sz="0" w:space="0" w:color="auto"/>
        <w:bottom w:val="none" w:sz="0" w:space="0" w:color="auto"/>
        <w:right w:val="none" w:sz="0" w:space="0" w:color="auto"/>
      </w:divBdr>
    </w:div>
    <w:div w:id="1673489622">
      <w:bodyDiv w:val="1"/>
      <w:marLeft w:val="0"/>
      <w:marRight w:val="0"/>
      <w:marTop w:val="0"/>
      <w:marBottom w:val="0"/>
      <w:divBdr>
        <w:top w:val="none" w:sz="0" w:space="0" w:color="auto"/>
        <w:left w:val="none" w:sz="0" w:space="0" w:color="auto"/>
        <w:bottom w:val="none" w:sz="0" w:space="0" w:color="auto"/>
        <w:right w:val="none" w:sz="0" w:space="0" w:color="auto"/>
      </w:divBdr>
    </w:div>
    <w:div w:id="1673677950">
      <w:bodyDiv w:val="1"/>
      <w:marLeft w:val="0"/>
      <w:marRight w:val="0"/>
      <w:marTop w:val="0"/>
      <w:marBottom w:val="0"/>
      <w:divBdr>
        <w:top w:val="none" w:sz="0" w:space="0" w:color="auto"/>
        <w:left w:val="none" w:sz="0" w:space="0" w:color="auto"/>
        <w:bottom w:val="none" w:sz="0" w:space="0" w:color="auto"/>
        <w:right w:val="none" w:sz="0" w:space="0" w:color="auto"/>
      </w:divBdr>
    </w:div>
    <w:div w:id="1673684395">
      <w:bodyDiv w:val="1"/>
      <w:marLeft w:val="0"/>
      <w:marRight w:val="0"/>
      <w:marTop w:val="0"/>
      <w:marBottom w:val="0"/>
      <w:divBdr>
        <w:top w:val="none" w:sz="0" w:space="0" w:color="auto"/>
        <w:left w:val="none" w:sz="0" w:space="0" w:color="auto"/>
        <w:bottom w:val="none" w:sz="0" w:space="0" w:color="auto"/>
        <w:right w:val="none" w:sz="0" w:space="0" w:color="auto"/>
      </w:divBdr>
    </w:div>
    <w:div w:id="1673753572">
      <w:bodyDiv w:val="1"/>
      <w:marLeft w:val="0"/>
      <w:marRight w:val="0"/>
      <w:marTop w:val="0"/>
      <w:marBottom w:val="0"/>
      <w:divBdr>
        <w:top w:val="none" w:sz="0" w:space="0" w:color="auto"/>
        <w:left w:val="none" w:sz="0" w:space="0" w:color="auto"/>
        <w:bottom w:val="none" w:sz="0" w:space="0" w:color="auto"/>
        <w:right w:val="none" w:sz="0" w:space="0" w:color="auto"/>
      </w:divBdr>
    </w:div>
    <w:div w:id="1673756094">
      <w:bodyDiv w:val="1"/>
      <w:marLeft w:val="0"/>
      <w:marRight w:val="0"/>
      <w:marTop w:val="0"/>
      <w:marBottom w:val="0"/>
      <w:divBdr>
        <w:top w:val="none" w:sz="0" w:space="0" w:color="auto"/>
        <w:left w:val="none" w:sz="0" w:space="0" w:color="auto"/>
        <w:bottom w:val="none" w:sz="0" w:space="0" w:color="auto"/>
        <w:right w:val="none" w:sz="0" w:space="0" w:color="auto"/>
      </w:divBdr>
    </w:div>
    <w:div w:id="1673798320">
      <w:bodyDiv w:val="1"/>
      <w:marLeft w:val="0"/>
      <w:marRight w:val="0"/>
      <w:marTop w:val="0"/>
      <w:marBottom w:val="0"/>
      <w:divBdr>
        <w:top w:val="none" w:sz="0" w:space="0" w:color="auto"/>
        <w:left w:val="none" w:sz="0" w:space="0" w:color="auto"/>
        <w:bottom w:val="none" w:sz="0" w:space="0" w:color="auto"/>
        <w:right w:val="none" w:sz="0" w:space="0" w:color="auto"/>
      </w:divBdr>
    </w:div>
    <w:div w:id="1673875908">
      <w:bodyDiv w:val="1"/>
      <w:marLeft w:val="0"/>
      <w:marRight w:val="0"/>
      <w:marTop w:val="0"/>
      <w:marBottom w:val="0"/>
      <w:divBdr>
        <w:top w:val="none" w:sz="0" w:space="0" w:color="auto"/>
        <w:left w:val="none" w:sz="0" w:space="0" w:color="auto"/>
        <w:bottom w:val="none" w:sz="0" w:space="0" w:color="auto"/>
        <w:right w:val="none" w:sz="0" w:space="0" w:color="auto"/>
      </w:divBdr>
    </w:div>
    <w:div w:id="1674064427">
      <w:bodyDiv w:val="1"/>
      <w:marLeft w:val="0"/>
      <w:marRight w:val="0"/>
      <w:marTop w:val="0"/>
      <w:marBottom w:val="0"/>
      <w:divBdr>
        <w:top w:val="none" w:sz="0" w:space="0" w:color="auto"/>
        <w:left w:val="none" w:sz="0" w:space="0" w:color="auto"/>
        <w:bottom w:val="none" w:sz="0" w:space="0" w:color="auto"/>
        <w:right w:val="none" w:sz="0" w:space="0" w:color="auto"/>
      </w:divBdr>
    </w:div>
    <w:div w:id="1674183461">
      <w:bodyDiv w:val="1"/>
      <w:marLeft w:val="0"/>
      <w:marRight w:val="0"/>
      <w:marTop w:val="0"/>
      <w:marBottom w:val="0"/>
      <w:divBdr>
        <w:top w:val="none" w:sz="0" w:space="0" w:color="auto"/>
        <w:left w:val="none" w:sz="0" w:space="0" w:color="auto"/>
        <w:bottom w:val="none" w:sz="0" w:space="0" w:color="auto"/>
        <w:right w:val="none" w:sz="0" w:space="0" w:color="auto"/>
      </w:divBdr>
    </w:div>
    <w:div w:id="1674259578">
      <w:bodyDiv w:val="1"/>
      <w:marLeft w:val="0"/>
      <w:marRight w:val="0"/>
      <w:marTop w:val="0"/>
      <w:marBottom w:val="0"/>
      <w:divBdr>
        <w:top w:val="none" w:sz="0" w:space="0" w:color="auto"/>
        <w:left w:val="none" w:sz="0" w:space="0" w:color="auto"/>
        <w:bottom w:val="none" w:sz="0" w:space="0" w:color="auto"/>
        <w:right w:val="none" w:sz="0" w:space="0" w:color="auto"/>
      </w:divBdr>
    </w:div>
    <w:div w:id="1674260055">
      <w:bodyDiv w:val="1"/>
      <w:marLeft w:val="0"/>
      <w:marRight w:val="0"/>
      <w:marTop w:val="0"/>
      <w:marBottom w:val="0"/>
      <w:divBdr>
        <w:top w:val="none" w:sz="0" w:space="0" w:color="auto"/>
        <w:left w:val="none" w:sz="0" w:space="0" w:color="auto"/>
        <w:bottom w:val="none" w:sz="0" w:space="0" w:color="auto"/>
        <w:right w:val="none" w:sz="0" w:space="0" w:color="auto"/>
      </w:divBdr>
    </w:div>
    <w:div w:id="1674457066">
      <w:bodyDiv w:val="1"/>
      <w:marLeft w:val="0"/>
      <w:marRight w:val="0"/>
      <w:marTop w:val="0"/>
      <w:marBottom w:val="0"/>
      <w:divBdr>
        <w:top w:val="none" w:sz="0" w:space="0" w:color="auto"/>
        <w:left w:val="none" w:sz="0" w:space="0" w:color="auto"/>
        <w:bottom w:val="none" w:sz="0" w:space="0" w:color="auto"/>
        <w:right w:val="none" w:sz="0" w:space="0" w:color="auto"/>
      </w:divBdr>
    </w:div>
    <w:div w:id="1674720887">
      <w:bodyDiv w:val="1"/>
      <w:marLeft w:val="0"/>
      <w:marRight w:val="0"/>
      <w:marTop w:val="0"/>
      <w:marBottom w:val="0"/>
      <w:divBdr>
        <w:top w:val="none" w:sz="0" w:space="0" w:color="auto"/>
        <w:left w:val="none" w:sz="0" w:space="0" w:color="auto"/>
        <w:bottom w:val="none" w:sz="0" w:space="0" w:color="auto"/>
        <w:right w:val="none" w:sz="0" w:space="0" w:color="auto"/>
      </w:divBdr>
    </w:div>
    <w:div w:id="1674843303">
      <w:bodyDiv w:val="1"/>
      <w:marLeft w:val="0"/>
      <w:marRight w:val="0"/>
      <w:marTop w:val="0"/>
      <w:marBottom w:val="0"/>
      <w:divBdr>
        <w:top w:val="none" w:sz="0" w:space="0" w:color="auto"/>
        <w:left w:val="none" w:sz="0" w:space="0" w:color="auto"/>
        <w:bottom w:val="none" w:sz="0" w:space="0" w:color="auto"/>
        <w:right w:val="none" w:sz="0" w:space="0" w:color="auto"/>
      </w:divBdr>
    </w:div>
    <w:div w:id="1674844524">
      <w:bodyDiv w:val="1"/>
      <w:marLeft w:val="0"/>
      <w:marRight w:val="0"/>
      <w:marTop w:val="0"/>
      <w:marBottom w:val="0"/>
      <w:divBdr>
        <w:top w:val="none" w:sz="0" w:space="0" w:color="auto"/>
        <w:left w:val="none" w:sz="0" w:space="0" w:color="auto"/>
        <w:bottom w:val="none" w:sz="0" w:space="0" w:color="auto"/>
        <w:right w:val="none" w:sz="0" w:space="0" w:color="auto"/>
      </w:divBdr>
    </w:div>
    <w:div w:id="1674870624">
      <w:bodyDiv w:val="1"/>
      <w:marLeft w:val="0"/>
      <w:marRight w:val="0"/>
      <w:marTop w:val="0"/>
      <w:marBottom w:val="0"/>
      <w:divBdr>
        <w:top w:val="none" w:sz="0" w:space="0" w:color="auto"/>
        <w:left w:val="none" w:sz="0" w:space="0" w:color="auto"/>
        <w:bottom w:val="none" w:sz="0" w:space="0" w:color="auto"/>
        <w:right w:val="none" w:sz="0" w:space="0" w:color="auto"/>
      </w:divBdr>
    </w:div>
    <w:div w:id="1675063237">
      <w:bodyDiv w:val="1"/>
      <w:marLeft w:val="0"/>
      <w:marRight w:val="0"/>
      <w:marTop w:val="0"/>
      <w:marBottom w:val="0"/>
      <w:divBdr>
        <w:top w:val="none" w:sz="0" w:space="0" w:color="auto"/>
        <w:left w:val="none" w:sz="0" w:space="0" w:color="auto"/>
        <w:bottom w:val="none" w:sz="0" w:space="0" w:color="auto"/>
        <w:right w:val="none" w:sz="0" w:space="0" w:color="auto"/>
      </w:divBdr>
    </w:div>
    <w:div w:id="1675104210">
      <w:bodyDiv w:val="1"/>
      <w:marLeft w:val="0"/>
      <w:marRight w:val="0"/>
      <w:marTop w:val="0"/>
      <w:marBottom w:val="0"/>
      <w:divBdr>
        <w:top w:val="none" w:sz="0" w:space="0" w:color="auto"/>
        <w:left w:val="none" w:sz="0" w:space="0" w:color="auto"/>
        <w:bottom w:val="none" w:sz="0" w:space="0" w:color="auto"/>
        <w:right w:val="none" w:sz="0" w:space="0" w:color="auto"/>
      </w:divBdr>
    </w:div>
    <w:div w:id="1675104795">
      <w:bodyDiv w:val="1"/>
      <w:marLeft w:val="0"/>
      <w:marRight w:val="0"/>
      <w:marTop w:val="0"/>
      <w:marBottom w:val="0"/>
      <w:divBdr>
        <w:top w:val="none" w:sz="0" w:space="0" w:color="auto"/>
        <w:left w:val="none" w:sz="0" w:space="0" w:color="auto"/>
        <w:bottom w:val="none" w:sz="0" w:space="0" w:color="auto"/>
        <w:right w:val="none" w:sz="0" w:space="0" w:color="auto"/>
      </w:divBdr>
    </w:div>
    <w:div w:id="1675106298">
      <w:bodyDiv w:val="1"/>
      <w:marLeft w:val="0"/>
      <w:marRight w:val="0"/>
      <w:marTop w:val="0"/>
      <w:marBottom w:val="0"/>
      <w:divBdr>
        <w:top w:val="none" w:sz="0" w:space="0" w:color="auto"/>
        <w:left w:val="none" w:sz="0" w:space="0" w:color="auto"/>
        <w:bottom w:val="none" w:sz="0" w:space="0" w:color="auto"/>
        <w:right w:val="none" w:sz="0" w:space="0" w:color="auto"/>
      </w:divBdr>
    </w:div>
    <w:div w:id="1675180356">
      <w:bodyDiv w:val="1"/>
      <w:marLeft w:val="0"/>
      <w:marRight w:val="0"/>
      <w:marTop w:val="0"/>
      <w:marBottom w:val="0"/>
      <w:divBdr>
        <w:top w:val="none" w:sz="0" w:space="0" w:color="auto"/>
        <w:left w:val="none" w:sz="0" w:space="0" w:color="auto"/>
        <w:bottom w:val="none" w:sz="0" w:space="0" w:color="auto"/>
        <w:right w:val="none" w:sz="0" w:space="0" w:color="auto"/>
      </w:divBdr>
    </w:div>
    <w:div w:id="1675186679">
      <w:bodyDiv w:val="1"/>
      <w:marLeft w:val="0"/>
      <w:marRight w:val="0"/>
      <w:marTop w:val="0"/>
      <w:marBottom w:val="0"/>
      <w:divBdr>
        <w:top w:val="none" w:sz="0" w:space="0" w:color="auto"/>
        <w:left w:val="none" w:sz="0" w:space="0" w:color="auto"/>
        <w:bottom w:val="none" w:sz="0" w:space="0" w:color="auto"/>
        <w:right w:val="none" w:sz="0" w:space="0" w:color="auto"/>
      </w:divBdr>
    </w:div>
    <w:div w:id="1675297331">
      <w:bodyDiv w:val="1"/>
      <w:marLeft w:val="0"/>
      <w:marRight w:val="0"/>
      <w:marTop w:val="0"/>
      <w:marBottom w:val="0"/>
      <w:divBdr>
        <w:top w:val="none" w:sz="0" w:space="0" w:color="auto"/>
        <w:left w:val="none" w:sz="0" w:space="0" w:color="auto"/>
        <w:bottom w:val="none" w:sz="0" w:space="0" w:color="auto"/>
        <w:right w:val="none" w:sz="0" w:space="0" w:color="auto"/>
      </w:divBdr>
    </w:div>
    <w:div w:id="1675300618">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75377924">
      <w:bodyDiv w:val="1"/>
      <w:marLeft w:val="0"/>
      <w:marRight w:val="0"/>
      <w:marTop w:val="0"/>
      <w:marBottom w:val="0"/>
      <w:divBdr>
        <w:top w:val="none" w:sz="0" w:space="0" w:color="auto"/>
        <w:left w:val="none" w:sz="0" w:space="0" w:color="auto"/>
        <w:bottom w:val="none" w:sz="0" w:space="0" w:color="auto"/>
        <w:right w:val="none" w:sz="0" w:space="0" w:color="auto"/>
      </w:divBdr>
    </w:div>
    <w:div w:id="1675454662">
      <w:bodyDiv w:val="1"/>
      <w:marLeft w:val="0"/>
      <w:marRight w:val="0"/>
      <w:marTop w:val="0"/>
      <w:marBottom w:val="0"/>
      <w:divBdr>
        <w:top w:val="none" w:sz="0" w:space="0" w:color="auto"/>
        <w:left w:val="none" w:sz="0" w:space="0" w:color="auto"/>
        <w:bottom w:val="none" w:sz="0" w:space="0" w:color="auto"/>
        <w:right w:val="none" w:sz="0" w:space="0" w:color="auto"/>
      </w:divBdr>
    </w:div>
    <w:div w:id="1675496180">
      <w:bodyDiv w:val="1"/>
      <w:marLeft w:val="0"/>
      <w:marRight w:val="0"/>
      <w:marTop w:val="0"/>
      <w:marBottom w:val="0"/>
      <w:divBdr>
        <w:top w:val="none" w:sz="0" w:space="0" w:color="auto"/>
        <w:left w:val="none" w:sz="0" w:space="0" w:color="auto"/>
        <w:bottom w:val="none" w:sz="0" w:space="0" w:color="auto"/>
        <w:right w:val="none" w:sz="0" w:space="0" w:color="auto"/>
      </w:divBdr>
    </w:div>
    <w:div w:id="1675497647">
      <w:bodyDiv w:val="1"/>
      <w:marLeft w:val="0"/>
      <w:marRight w:val="0"/>
      <w:marTop w:val="0"/>
      <w:marBottom w:val="0"/>
      <w:divBdr>
        <w:top w:val="none" w:sz="0" w:space="0" w:color="auto"/>
        <w:left w:val="none" w:sz="0" w:space="0" w:color="auto"/>
        <w:bottom w:val="none" w:sz="0" w:space="0" w:color="auto"/>
        <w:right w:val="none" w:sz="0" w:space="0" w:color="auto"/>
      </w:divBdr>
    </w:div>
    <w:div w:id="1675524908">
      <w:bodyDiv w:val="1"/>
      <w:marLeft w:val="0"/>
      <w:marRight w:val="0"/>
      <w:marTop w:val="0"/>
      <w:marBottom w:val="0"/>
      <w:divBdr>
        <w:top w:val="none" w:sz="0" w:space="0" w:color="auto"/>
        <w:left w:val="none" w:sz="0" w:space="0" w:color="auto"/>
        <w:bottom w:val="none" w:sz="0" w:space="0" w:color="auto"/>
        <w:right w:val="none" w:sz="0" w:space="0" w:color="auto"/>
      </w:divBdr>
    </w:div>
    <w:div w:id="1675573418">
      <w:bodyDiv w:val="1"/>
      <w:marLeft w:val="0"/>
      <w:marRight w:val="0"/>
      <w:marTop w:val="0"/>
      <w:marBottom w:val="0"/>
      <w:divBdr>
        <w:top w:val="none" w:sz="0" w:space="0" w:color="auto"/>
        <w:left w:val="none" w:sz="0" w:space="0" w:color="auto"/>
        <w:bottom w:val="none" w:sz="0" w:space="0" w:color="auto"/>
        <w:right w:val="none" w:sz="0" w:space="0" w:color="auto"/>
      </w:divBdr>
    </w:div>
    <w:div w:id="1675690986">
      <w:bodyDiv w:val="1"/>
      <w:marLeft w:val="0"/>
      <w:marRight w:val="0"/>
      <w:marTop w:val="0"/>
      <w:marBottom w:val="0"/>
      <w:divBdr>
        <w:top w:val="none" w:sz="0" w:space="0" w:color="auto"/>
        <w:left w:val="none" w:sz="0" w:space="0" w:color="auto"/>
        <w:bottom w:val="none" w:sz="0" w:space="0" w:color="auto"/>
        <w:right w:val="none" w:sz="0" w:space="0" w:color="auto"/>
      </w:divBdr>
    </w:div>
    <w:div w:id="1675691155">
      <w:bodyDiv w:val="1"/>
      <w:marLeft w:val="0"/>
      <w:marRight w:val="0"/>
      <w:marTop w:val="0"/>
      <w:marBottom w:val="0"/>
      <w:divBdr>
        <w:top w:val="none" w:sz="0" w:space="0" w:color="auto"/>
        <w:left w:val="none" w:sz="0" w:space="0" w:color="auto"/>
        <w:bottom w:val="none" w:sz="0" w:space="0" w:color="auto"/>
        <w:right w:val="none" w:sz="0" w:space="0" w:color="auto"/>
      </w:divBdr>
    </w:div>
    <w:div w:id="1675716795">
      <w:bodyDiv w:val="1"/>
      <w:marLeft w:val="0"/>
      <w:marRight w:val="0"/>
      <w:marTop w:val="0"/>
      <w:marBottom w:val="0"/>
      <w:divBdr>
        <w:top w:val="none" w:sz="0" w:space="0" w:color="auto"/>
        <w:left w:val="none" w:sz="0" w:space="0" w:color="auto"/>
        <w:bottom w:val="none" w:sz="0" w:space="0" w:color="auto"/>
        <w:right w:val="none" w:sz="0" w:space="0" w:color="auto"/>
      </w:divBdr>
    </w:div>
    <w:div w:id="1675719160">
      <w:bodyDiv w:val="1"/>
      <w:marLeft w:val="0"/>
      <w:marRight w:val="0"/>
      <w:marTop w:val="0"/>
      <w:marBottom w:val="0"/>
      <w:divBdr>
        <w:top w:val="none" w:sz="0" w:space="0" w:color="auto"/>
        <w:left w:val="none" w:sz="0" w:space="0" w:color="auto"/>
        <w:bottom w:val="none" w:sz="0" w:space="0" w:color="auto"/>
        <w:right w:val="none" w:sz="0" w:space="0" w:color="auto"/>
      </w:divBdr>
    </w:div>
    <w:div w:id="1675768226">
      <w:bodyDiv w:val="1"/>
      <w:marLeft w:val="0"/>
      <w:marRight w:val="0"/>
      <w:marTop w:val="0"/>
      <w:marBottom w:val="0"/>
      <w:divBdr>
        <w:top w:val="none" w:sz="0" w:space="0" w:color="auto"/>
        <w:left w:val="none" w:sz="0" w:space="0" w:color="auto"/>
        <w:bottom w:val="none" w:sz="0" w:space="0" w:color="auto"/>
        <w:right w:val="none" w:sz="0" w:space="0" w:color="auto"/>
      </w:divBdr>
    </w:div>
    <w:div w:id="1675840516">
      <w:bodyDiv w:val="1"/>
      <w:marLeft w:val="0"/>
      <w:marRight w:val="0"/>
      <w:marTop w:val="0"/>
      <w:marBottom w:val="0"/>
      <w:divBdr>
        <w:top w:val="none" w:sz="0" w:space="0" w:color="auto"/>
        <w:left w:val="none" w:sz="0" w:space="0" w:color="auto"/>
        <w:bottom w:val="none" w:sz="0" w:space="0" w:color="auto"/>
        <w:right w:val="none" w:sz="0" w:space="0" w:color="auto"/>
      </w:divBdr>
    </w:div>
    <w:div w:id="1675843702">
      <w:bodyDiv w:val="1"/>
      <w:marLeft w:val="0"/>
      <w:marRight w:val="0"/>
      <w:marTop w:val="0"/>
      <w:marBottom w:val="0"/>
      <w:divBdr>
        <w:top w:val="none" w:sz="0" w:space="0" w:color="auto"/>
        <w:left w:val="none" w:sz="0" w:space="0" w:color="auto"/>
        <w:bottom w:val="none" w:sz="0" w:space="0" w:color="auto"/>
        <w:right w:val="none" w:sz="0" w:space="0" w:color="auto"/>
      </w:divBdr>
    </w:div>
    <w:div w:id="1676110556">
      <w:bodyDiv w:val="1"/>
      <w:marLeft w:val="0"/>
      <w:marRight w:val="0"/>
      <w:marTop w:val="0"/>
      <w:marBottom w:val="0"/>
      <w:divBdr>
        <w:top w:val="none" w:sz="0" w:space="0" w:color="auto"/>
        <w:left w:val="none" w:sz="0" w:space="0" w:color="auto"/>
        <w:bottom w:val="none" w:sz="0" w:space="0" w:color="auto"/>
        <w:right w:val="none" w:sz="0" w:space="0" w:color="auto"/>
      </w:divBdr>
    </w:div>
    <w:div w:id="1676152100">
      <w:bodyDiv w:val="1"/>
      <w:marLeft w:val="0"/>
      <w:marRight w:val="0"/>
      <w:marTop w:val="0"/>
      <w:marBottom w:val="0"/>
      <w:divBdr>
        <w:top w:val="none" w:sz="0" w:space="0" w:color="auto"/>
        <w:left w:val="none" w:sz="0" w:space="0" w:color="auto"/>
        <w:bottom w:val="none" w:sz="0" w:space="0" w:color="auto"/>
        <w:right w:val="none" w:sz="0" w:space="0" w:color="auto"/>
      </w:divBdr>
    </w:div>
    <w:div w:id="1676345732">
      <w:bodyDiv w:val="1"/>
      <w:marLeft w:val="0"/>
      <w:marRight w:val="0"/>
      <w:marTop w:val="0"/>
      <w:marBottom w:val="0"/>
      <w:divBdr>
        <w:top w:val="none" w:sz="0" w:space="0" w:color="auto"/>
        <w:left w:val="none" w:sz="0" w:space="0" w:color="auto"/>
        <w:bottom w:val="none" w:sz="0" w:space="0" w:color="auto"/>
        <w:right w:val="none" w:sz="0" w:space="0" w:color="auto"/>
      </w:divBdr>
    </w:div>
    <w:div w:id="1676423916">
      <w:bodyDiv w:val="1"/>
      <w:marLeft w:val="0"/>
      <w:marRight w:val="0"/>
      <w:marTop w:val="0"/>
      <w:marBottom w:val="0"/>
      <w:divBdr>
        <w:top w:val="none" w:sz="0" w:space="0" w:color="auto"/>
        <w:left w:val="none" w:sz="0" w:space="0" w:color="auto"/>
        <w:bottom w:val="none" w:sz="0" w:space="0" w:color="auto"/>
        <w:right w:val="none" w:sz="0" w:space="0" w:color="auto"/>
      </w:divBdr>
    </w:div>
    <w:div w:id="1676491577">
      <w:bodyDiv w:val="1"/>
      <w:marLeft w:val="0"/>
      <w:marRight w:val="0"/>
      <w:marTop w:val="0"/>
      <w:marBottom w:val="0"/>
      <w:divBdr>
        <w:top w:val="none" w:sz="0" w:space="0" w:color="auto"/>
        <w:left w:val="none" w:sz="0" w:space="0" w:color="auto"/>
        <w:bottom w:val="none" w:sz="0" w:space="0" w:color="auto"/>
        <w:right w:val="none" w:sz="0" w:space="0" w:color="auto"/>
      </w:divBdr>
    </w:div>
    <w:div w:id="1676499264">
      <w:bodyDiv w:val="1"/>
      <w:marLeft w:val="0"/>
      <w:marRight w:val="0"/>
      <w:marTop w:val="0"/>
      <w:marBottom w:val="0"/>
      <w:divBdr>
        <w:top w:val="none" w:sz="0" w:space="0" w:color="auto"/>
        <w:left w:val="none" w:sz="0" w:space="0" w:color="auto"/>
        <w:bottom w:val="none" w:sz="0" w:space="0" w:color="auto"/>
        <w:right w:val="none" w:sz="0" w:space="0" w:color="auto"/>
      </w:divBdr>
    </w:div>
    <w:div w:id="1676565404">
      <w:bodyDiv w:val="1"/>
      <w:marLeft w:val="0"/>
      <w:marRight w:val="0"/>
      <w:marTop w:val="0"/>
      <w:marBottom w:val="0"/>
      <w:divBdr>
        <w:top w:val="none" w:sz="0" w:space="0" w:color="auto"/>
        <w:left w:val="none" w:sz="0" w:space="0" w:color="auto"/>
        <w:bottom w:val="none" w:sz="0" w:space="0" w:color="auto"/>
        <w:right w:val="none" w:sz="0" w:space="0" w:color="auto"/>
      </w:divBdr>
    </w:div>
    <w:div w:id="1676570669">
      <w:bodyDiv w:val="1"/>
      <w:marLeft w:val="0"/>
      <w:marRight w:val="0"/>
      <w:marTop w:val="0"/>
      <w:marBottom w:val="0"/>
      <w:divBdr>
        <w:top w:val="none" w:sz="0" w:space="0" w:color="auto"/>
        <w:left w:val="none" w:sz="0" w:space="0" w:color="auto"/>
        <w:bottom w:val="none" w:sz="0" w:space="0" w:color="auto"/>
        <w:right w:val="none" w:sz="0" w:space="0" w:color="auto"/>
      </w:divBdr>
    </w:div>
    <w:div w:id="1676690279">
      <w:bodyDiv w:val="1"/>
      <w:marLeft w:val="0"/>
      <w:marRight w:val="0"/>
      <w:marTop w:val="0"/>
      <w:marBottom w:val="0"/>
      <w:divBdr>
        <w:top w:val="none" w:sz="0" w:space="0" w:color="auto"/>
        <w:left w:val="none" w:sz="0" w:space="0" w:color="auto"/>
        <w:bottom w:val="none" w:sz="0" w:space="0" w:color="auto"/>
        <w:right w:val="none" w:sz="0" w:space="0" w:color="auto"/>
      </w:divBdr>
    </w:div>
    <w:div w:id="1676690452">
      <w:bodyDiv w:val="1"/>
      <w:marLeft w:val="0"/>
      <w:marRight w:val="0"/>
      <w:marTop w:val="0"/>
      <w:marBottom w:val="0"/>
      <w:divBdr>
        <w:top w:val="none" w:sz="0" w:space="0" w:color="auto"/>
        <w:left w:val="none" w:sz="0" w:space="0" w:color="auto"/>
        <w:bottom w:val="none" w:sz="0" w:space="0" w:color="auto"/>
        <w:right w:val="none" w:sz="0" w:space="0" w:color="auto"/>
      </w:divBdr>
    </w:div>
    <w:div w:id="1676804592">
      <w:bodyDiv w:val="1"/>
      <w:marLeft w:val="0"/>
      <w:marRight w:val="0"/>
      <w:marTop w:val="0"/>
      <w:marBottom w:val="0"/>
      <w:divBdr>
        <w:top w:val="none" w:sz="0" w:space="0" w:color="auto"/>
        <w:left w:val="none" w:sz="0" w:space="0" w:color="auto"/>
        <w:bottom w:val="none" w:sz="0" w:space="0" w:color="auto"/>
        <w:right w:val="none" w:sz="0" w:space="0" w:color="auto"/>
      </w:divBdr>
    </w:div>
    <w:div w:id="1676807874">
      <w:bodyDiv w:val="1"/>
      <w:marLeft w:val="0"/>
      <w:marRight w:val="0"/>
      <w:marTop w:val="0"/>
      <w:marBottom w:val="0"/>
      <w:divBdr>
        <w:top w:val="none" w:sz="0" w:space="0" w:color="auto"/>
        <w:left w:val="none" w:sz="0" w:space="0" w:color="auto"/>
        <w:bottom w:val="none" w:sz="0" w:space="0" w:color="auto"/>
        <w:right w:val="none" w:sz="0" w:space="0" w:color="auto"/>
      </w:divBdr>
    </w:div>
    <w:div w:id="1676878401">
      <w:bodyDiv w:val="1"/>
      <w:marLeft w:val="0"/>
      <w:marRight w:val="0"/>
      <w:marTop w:val="0"/>
      <w:marBottom w:val="0"/>
      <w:divBdr>
        <w:top w:val="none" w:sz="0" w:space="0" w:color="auto"/>
        <w:left w:val="none" w:sz="0" w:space="0" w:color="auto"/>
        <w:bottom w:val="none" w:sz="0" w:space="0" w:color="auto"/>
        <w:right w:val="none" w:sz="0" w:space="0" w:color="auto"/>
      </w:divBdr>
    </w:div>
    <w:div w:id="1676886139">
      <w:bodyDiv w:val="1"/>
      <w:marLeft w:val="0"/>
      <w:marRight w:val="0"/>
      <w:marTop w:val="0"/>
      <w:marBottom w:val="0"/>
      <w:divBdr>
        <w:top w:val="none" w:sz="0" w:space="0" w:color="auto"/>
        <w:left w:val="none" w:sz="0" w:space="0" w:color="auto"/>
        <w:bottom w:val="none" w:sz="0" w:space="0" w:color="auto"/>
        <w:right w:val="none" w:sz="0" w:space="0" w:color="auto"/>
      </w:divBdr>
    </w:div>
    <w:div w:id="1677150998">
      <w:bodyDiv w:val="1"/>
      <w:marLeft w:val="0"/>
      <w:marRight w:val="0"/>
      <w:marTop w:val="0"/>
      <w:marBottom w:val="0"/>
      <w:divBdr>
        <w:top w:val="none" w:sz="0" w:space="0" w:color="auto"/>
        <w:left w:val="none" w:sz="0" w:space="0" w:color="auto"/>
        <w:bottom w:val="none" w:sz="0" w:space="0" w:color="auto"/>
        <w:right w:val="none" w:sz="0" w:space="0" w:color="auto"/>
      </w:divBdr>
    </w:div>
    <w:div w:id="1677227284">
      <w:bodyDiv w:val="1"/>
      <w:marLeft w:val="0"/>
      <w:marRight w:val="0"/>
      <w:marTop w:val="0"/>
      <w:marBottom w:val="0"/>
      <w:divBdr>
        <w:top w:val="none" w:sz="0" w:space="0" w:color="auto"/>
        <w:left w:val="none" w:sz="0" w:space="0" w:color="auto"/>
        <w:bottom w:val="none" w:sz="0" w:space="0" w:color="auto"/>
        <w:right w:val="none" w:sz="0" w:space="0" w:color="auto"/>
      </w:divBdr>
    </w:div>
    <w:div w:id="1677263472">
      <w:bodyDiv w:val="1"/>
      <w:marLeft w:val="0"/>
      <w:marRight w:val="0"/>
      <w:marTop w:val="0"/>
      <w:marBottom w:val="0"/>
      <w:divBdr>
        <w:top w:val="none" w:sz="0" w:space="0" w:color="auto"/>
        <w:left w:val="none" w:sz="0" w:space="0" w:color="auto"/>
        <w:bottom w:val="none" w:sz="0" w:space="0" w:color="auto"/>
        <w:right w:val="none" w:sz="0" w:space="0" w:color="auto"/>
      </w:divBdr>
    </w:div>
    <w:div w:id="1677342234">
      <w:bodyDiv w:val="1"/>
      <w:marLeft w:val="0"/>
      <w:marRight w:val="0"/>
      <w:marTop w:val="0"/>
      <w:marBottom w:val="0"/>
      <w:divBdr>
        <w:top w:val="none" w:sz="0" w:space="0" w:color="auto"/>
        <w:left w:val="none" w:sz="0" w:space="0" w:color="auto"/>
        <w:bottom w:val="none" w:sz="0" w:space="0" w:color="auto"/>
        <w:right w:val="none" w:sz="0" w:space="0" w:color="auto"/>
      </w:divBdr>
    </w:div>
    <w:div w:id="1677347048">
      <w:bodyDiv w:val="1"/>
      <w:marLeft w:val="0"/>
      <w:marRight w:val="0"/>
      <w:marTop w:val="0"/>
      <w:marBottom w:val="0"/>
      <w:divBdr>
        <w:top w:val="none" w:sz="0" w:space="0" w:color="auto"/>
        <w:left w:val="none" w:sz="0" w:space="0" w:color="auto"/>
        <w:bottom w:val="none" w:sz="0" w:space="0" w:color="auto"/>
        <w:right w:val="none" w:sz="0" w:space="0" w:color="auto"/>
      </w:divBdr>
    </w:div>
    <w:div w:id="1677414590">
      <w:bodyDiv w:val="1"/>
      <w:marLeft w:val="0"/>
      <w:marRight w:val="0"/>
      <w:marTop w:val="0"/>
      <w:marBottom w:val="0"/>
      <w:divBdr>
        <w:top w:val="none" w:sz="0" w:space="0" w:color="auto"/>
        <w:left w:val="none" w:sz="0" w:space="0" w:color="auto"/>
        <w:bottom w:val="none" w:sz="0" w:space="0" w:color="auto"/>
        <w:right w:val="none" w:sz="0" w:space="0" w:color="auto"/>
      </w:divBdr>
    </w:div>
    <w:div w:id="1677465934">
      <w:bodyDiv w:val="1"/>
      <w:marLeft w:val="0"/>
      <w:marRight w:val="0"/>
      <w:marTop w:val="0"/>
      <w:marBottom w:val="0"/>
      <w:divBdr>
        <w:top w:val="none" w:sz="0" w:space="0" w:color="auto"/>
        <w:left w:val="none" w:sz="0" w:space="0" w:color="auto"/>
        <w:bottom w:val="none" w:sz="0" w:space="0" w:color="auto"/>
        <w:right w:val="none" w:sz="0" w:space="0" w:color="auto"/>
      </w:divBdr>
    </w:div>
    <w:div w:id="1677534344">
      <w:bodyDiv w:val="1"/>
      <w:marLeft w:val="0"/>
      <w:marRight w:val="0"/>
      <w:marTop w:val="0"/>
      <w:marBottom w:val="0"/>
      <w:divBdr>
        <w:top w:val="none" w:sz="0" w:space="0" w:color="auto"/>
        <w:left w:val="none" w:sz="0" w:space="0" w:color="auto"/>
        <w:bottom w:val="none" w:sz="0" w:space="0" w:color="auto"/>
        <w:right w:val="none" w:sz="0" w:space="0" w:color="auto"/>
      </w:divBdr>
    </w:div>
    <w:div w:id="1677615812">
      <w:bodyDiv w:val="1"/>
      <w:marLeft w:val="0"/>
      <w:marRight w:val="0"/>
      <w:marTop w:val="0"/>
      <w:marBottom w:val="0"/>
      <w:divBdr>
        <w:top w:val="none" w:sz="0" w:space="0" w:color="auto"/>
        <w:left w:val="none" w:sz="0" w:space="0" w:color="auto"/>
        <w:bottom w:val="none" w:sz="0" w:space="0" w:color="auto"/>
        <w:right w:val="none" w:sz="0" w:space="0" w:color="auto"/>
      </w:divBdr>
    </w:div>
    <w:div w:id="1677804086">
      <w:bodyDiv w:val="1"/>
      <w:marLeft w:val="0"/>
      <w:marRight w:val="0"/>
      <w:marTop w:val="0"/>
      <w:marBottom w:val="0"/>
      <w:divBdr>
        <w:top w:val="none" w:sz="0" w:space="0" w:color="auto"/>
        <w:left w:val="none" w:sz="0" w:space="0" w:color="auto"/>
        <w:bottom w:val="none" w:sz="0" w:space="0" w:color="auto"/>
        <w:right w:val="none" w:sz="0" w:space="0" w:color="auto"/>
      </w:divBdr>
    </w:div>
    <w:div w:id="1677879058">
      <w:bodyDiv w:val="1"/>
      <w:marLeft w:val="0"/>
      <w:marRight w:val="0"/>
      <w:marTop w:val="0"/>
      <w:marBottom w:val="0"/>
      <w:divBdr>
        <w:top w:val="none" w:sz="0" w:space="0" w:color="auto"/>
        <w:left w:val="none" w:sz="0" w:space="0" w:color="auto"/>
        <w:bottom w:val="none" w:sz="0" w:space="0" w:color="auto"/>
        <w:right w:val="none" w:sz="0" w:space="0" w:color="auto"/>
      </w:divBdr>
    </w:div>
    <w:div w:id="1677883209">
      <w:bodyDiv w:val="1"/>
      <w:marLeft w:val="0"/>
      <w:marRight w:val="0"/>
      <w:marTop w:val="0"/>
      <w:marBottom w:val="0"/>
      <w:divBdr>
        <w:top w:val="none" w:sz="0" w:space="0" w:color="auto"/>
        <w:left w:val="none" w:sz="0" w:space="0" w:color="auto"/>
        <w:bottom w:val="none" w:sz="0" w:space="0" w:color="auto"/>
        <w:right w:val="none" w:sz="0" w:space="0" w:color="auto"/>
      </w:divBdr>
    </w:div>
    <w:div w:id="1677923807">
      <w:bodyDiv w:val="1"/>
      <w:marLeft w:val="0"/>
      <w:marRight w:val="0"/>
      <w:marTop w:val="0"/>
      <w:marBottom w:val="0"/>
      <w:divBdr>
        <w:top w:val="none" w:sz="0" w:space="0" w:color="auto"/>
        <w:left w:val="none" w:sz="0" w:space="0" w:color="auto"/>
        <w:bottom w:val="none" w:sz="0" w:space="0" w:color="auto"/>
        <w:right w:val="none" w:sz="0" w:space="0" w:color="auto"/>
      </w:divBdr>
    </w:div>
    <w:div w:id="1677998779">
      <w:bodyDiv w:val="1"/>
      <w:marLeft w:val="0"/>
      <w:marRight w:val="0"/>
      <w:marTop w:val="0"/>
      <w:marBottom w:val="0"/>
      <w:divBdr>
        <w:top w:val="none" w:sz="0" w:space="0" w:color="auto"/>
        <w:left w:val="none" w:sz="0" w:space="0" w:color="auto"/>
        <w:bottom w:val="none" w:sz="0" w:space="0" w:color="auto"/>
        <w:right w:val="none" w:sz="0" w:space="0" w:color="auto"/>
      </w:divBdr>
    </w:div>
    <w:div w:id="1678073478">
      <w:bodyDiv w:val="1"/>
      <w:marLeft w:val="0"/>
      <w:marRight w:val="0"/>
      <w:marTop w:val="0"/>
      <w:marBottom w:val="0"/>
      <w:divBdr>
        <w:top w:val="none" w:sz="0" w:space="0" w:color="auto"/>
        <w:left w:val="none" w:sz="0" w:space="0" w:color="auto"/>
        <w:bottom w:val="none" w:sz="0" w:space="0" w:color="auto"/>
        <w:right w:val="none" w:sz="0" w:space="0" w:color="auto"/>
      </w:divBdr>
    </w:div>
    <w:div w:id="1678192592">
      <w:bodyDiv w:val="1"/>
      <w:marLeft w:val="0"/>
      <w:marRight w:val="0"/>
      <w:marTop w:val="0"/>
      <w:marBottom w:val="0"/>
      <w:divBdr>
        <w:top w:val="none" w:sz="0" w:space="0" w:color="auto"/>
        <w:left w:val="none" w:sz="0" w:space="0" w:color="auto"/>
        <w:bottom w:val="none" w:sz="0" w:space="0" w:color="auto"/>
        <w:right w:val="none" w:sz="0" w:space="0" w:color="auto"/>
      </w:divBdr>
    </w:div>
    <w:div w:id="1678196284">
      <w:bodyDiv w:val="1"/>
      <w:marLeft w:val="0"/>
      <w:marRight w:val="0"/>
      <w:marTop w:val="0"/>
      <w:marBottom w:val="0"/>
      <w:divBdr>
        <w:top w:val="none" w:sz="0" w:space="0" w:color="auto"/>
        <w:left w:val="none" w:sz="0" w:space="0" w:color="auto"/>
        <w:bottom w:val="none" w:sz="0" w:space="0" w:color="auto"/>
        <w:right w:val="none" w:sz="0" w:space="0" w:color="auto"/>
      </w:divBdr>
    </w:div>
    <w:div w:id="1678264504">
      <w:bodyDiv w:val="1"/>
      <w:marLeft w:val="0"/>
      <w:marRight w:val="0"/>
      <w:marTop w:val="0"/>
      <w:marBottom w:val="0"/>
      <w:divBdr>
        <w:top w:val="none" w:sz="0" w:space="0" w:color="auto"/>
        <w:left w:val="none" w:sz="0" w:space="0" w:color="auto"/>
        <w:bottom w:val="none" w:sz="0" w:space="0" w:color="auto"/>
        <w:right w:val="none" w:sz="0" w:space="0" w:color="auto"/>
      </w:divBdr>
    </w:div>
    <w:div w:id="1678339979">
      <w:bodyDiv w:val="1"/>
      <w:marLeft w:val="0"/>
      <w:marRight w:val="0"/>
      <w:marTop w:val="0"/>
      <w:marBottom w:val="0"/>
      <w:divBdr>
        <w:top w:val="none" w:sz="0" w:space="0" w:color="auto"/>
        <w:left w:val="none" w:sz="0" w:space="0" w:color="auto"/>
        <w:bottom w:val="none" w:sz="0" w:space="0" w:color="auto"/>
        <w:right w:val="none" w:sz="0" w:space="0" w:color="auto"/>
      </w:divBdr>
    </w:div>
    <w:div w:id="1678340568">
      <w:bodyDiv w:val="1"/>
      <w:marLeft w:val="0"/>
      <w:marRight w:val="0"/>
      <w:marTop w:val="0"/>
      <w:marBottom w:val="0"/>
      <w:divBdr>
        <w:top w:val="none" w:sz="0" w:space="0" w:color="auto"/>
        <w:left w:val="none" w:sz="0" w:space="0" w:color="auto"/>
        <w:bottom w:val="none" w:sz="0" w:space="0" w:color="auto"/>
        <w:right w:val="none" w:sz="0" w:space="0" w:color="auto"/>
      </w:divBdr>
    </w:div>
    <w:div w:id="1678341787">
      <w:bodyDiv w:val="1"/>
      <w:marLeft w:val="0"/>
      <w:marRight w:val="0"/>
      <w:marTop w:val="0"/>
      <w:marBottom w:val="0"/>
      <w:divBdr>
        <w:top w:val="none" w:sz="0" w:space="0" w:color="auto"/>
        <w:left w:val="none" w:sz="0" w:space="0" w:color="auto"/>
        <w:bottom w:val="none" w:sz="0" w:space="0" w:color="auto"/>
        <w:right w:val="none" w:sz="0" w:space="0" w:color="auto"/>
      </w:divBdr>
    </w:div>
    <w:div w:id="1678726471">
      <w:bodyDiv w:val="1"/>
      <w:marLeft w:val="0"/>
      <w:marRight w:val="0"/>
      <w:marTop w:val="0"/>
      <w:marBottom w:val="0"/>
      <w:divBdr>
        <w:top w:val="none" w:sz="0" w:space="0" w:color="auto"/>
        <w:left w:val="none" w:sz="0" w:space="0" w:color="auto"/>
        <w:bottom w:val="none" w:sz="0" w:space="0" w:color="auto"/>
        <w:right w:val="none" w:sz="0" w:space="0" w:color="auto"/>
      </w:divBdr>
    </w:div>
    <w:div w:id="1678730285">
      <w:bodyDiv w:val="1"/>
      <w:marLeft w:val="0"/>
      <w:marRight w:val="0"/>
      <w:marTop w:val="0"/>
      <w:marBottom w:val="0"/>
      <w:divBdr>
        <w:top w:val="none" w:sz="0" w:space="0" w:color="auto"/>
        <w:left w:val="none" w:sz="0" w:space="0" w:color="auto"/>
        <w:bottom w:val="none" w:sz="0" w:space="0" w:color="auto"/>
        <w:right w:val="none" w:sz="0" w:space="0" w:color="auto"/>
      </w:divBdr>
    </w:div>
    <w:div w:id="1678800370">
      <w:bodyDiv w:val="1"/>
      <w:marLeft w:val="0"/>
      <w:marRight w:val="0"/>
      <w:marTop w:val="0"/>
      <w:marBottom w:val="0"/>
      <w:divBdr>
        <w:top w:val="none" w:sz="0" w:space="0" w:color="auto"/>
        <w:left w:val="none" w:sz="0" w:space="0" w:color="auto"/>
        <w:bottom w:val="none" w:sz="0" w:space="0" w:color="auto"/>
        <w:right w:val="none" w:sz="0" w:space="0" w:color="auto"/>
      </w:divBdr>
    </w:div>
    <w:div w:id="1679036860">
      <w:bodyDiv w:val="1"/>
      <w:marLeft w:val="0"/>
      <w:marRight w:val="0"/>
      <w:marTop w:val="0"/>
      <w:marBottom w:val="0"/>
      <w:divBdr>
        <w:top w:val="none" w:sz="0" w:space="0" w:color="auto"/>
        <w:left w:val="none" w:sz="0" w:space="0" w:color="auto"/>
        <w:bottom w:val="none" w:sz="0" w:space="0" w:color="auto"/>
        <w:right w:val="none" w:sz="0" w:space="0" w:color="auto"/>
      </w:divBdr>
    </w:div>
    <w:div w:id="1679044808">
      <w:bodyDiv w:val="1"/>
      <w:marLeft w:val="0"/>
      <w:marRight w:val="0"/>
      <w:marTop w:val="0"/>
      <w:marBottom w:val="0"/>
      <w:divBdr>
        <w:top w:val="none" w:sz="0" w:space="0" w:color="auto"/>
        <w:left w:val="none" w:sz="0" w:space="0" w:color="auto"/>
        <w:bottom w:val="none" w:sz="0" w:space="0" w:color="auto"/>
        <w:right w:val="none" w:sz="0" w:space="0" w:color="auto"/>
      </w:divBdr>
    </w:div>
    <w:div w:id="1679114863">
      <w:bodyDiv w:val="1"/>
      <w:marLeft w:val="0"/>
      <w:marRight w:val="0"/>
      <w:marTop w:val="0"/>
      <w:marBottom w:val="0"/>
      <w:divBdr>
        <w:top w:val="none" w:sz="0" w:space="0" w:color="auto"/>
        <w:left w:val="none" w:sz="0" w:space="0" w:color="auto"/>
        <w:bottom w:val="none" w:sz="0" w:space="0" w:color="auto"/>
        <w:right w:val="none" w:sz="0" w:space="0" w:color="auto"/>
      </w:divBdr>
    </w:div>
    <w:div w:id="1679237210">
      <w:bodyDiv w:val="1"/>
      <w:marLeft w:val="0"/>
      <w:marRight w:val="0"/>
      <w:marTop w:val="0"/>
      <w:marBottom w:val="0"/>
      <w:divBdr>
        <w:top w:val="none" w:sz="0" w:space="0" w:color="auto"/>
        <w:left w:val="none" w:sz="0" w:space="0" w:color="auto"/>
        <w:bottom w:val="none" w:sz="0" w:space="0" w:color="auto"/>
        <w:right w:val="none" w:sz="0" w:space="0" w:color="auto"/>
      </w:divBdr>
    </w:div>
    <w:div w:id="1679309516">
      <w:bodyDiv w:val="1"/>
      <w:marLeft w:val="0"/>
      <w:marRight w:val="0"/>
      <w:marTop w:val="0"/>
      <w:marBottom w:val="0"/>
      <w:divBdr>
        <w:top w:val="none" w:sz="0" w:space="0" w:color="auto"/>
        <w:left w:val="none" w:sz="0" w:space="0" w:color="auto"/>
        <w:bottom w:val="none" w:sz="0" w:space="0" w:color="auto"/>
        <w:right w:val="none" w:sz="0" w:space="0" w:color="auto"/>
      </w:divBdr>
    </w:div>
    <w:div w:id="1679380722">
      <w:bodyDiv w:val="1"/>
      <w:marLeft w:val="0"/>
      <w:marRight w:val="0"/>
      <w:marTop w:val="0"/>
      <w:marBottom w:val="0"/>
      <w:divBdr>
        <w:top w:val="none" w:sz="0" w:space="0" w:color="auto"/>
        <w:left w:val="none" w:sz="0" w:space="0" w:color="auto"/>
        <w:bottom w:val="none" w:sz="0" w:space="0" w:color="auto"/>
        <w:right w:val="none" w:sz="0" w:space="0" w:color="auto"/>
      </w:divBdr>
    </w:div>
    <w:div w:id="1679457870">
      <w:bodyDiv w:val="1"/>
      <w:marLeft w:val="0"/>
      <w:marRight w:val="0"/>
      <w:marTop w:val="0"/>
      <w:marBottom w:val="0"/>
      <w:divBdr>
        <w:top w:val="none" w:sz="0" w:space="0" w:color="auto"/>
        <w:left w:val="none" w:sz="0" w:space="0" w:color="auto"/>
        <w:bottom w:val="none" w:sz="0" w:space="0" w:color="auto"/>
        <w:right w:val="none" w:sz="0" w:space="0" w:color="auto"/>
      </w:divBdr>
    </w:div>
    <w:div w:id="1679504955">
      <w:bodyDiv w:val="1"/>
      <w:marLeft w:val="0"/>
      <w:marRight w:val="0"/>
      <w:marTop w:val="0"/>
      <w:marBottom w:val="0"/>
      <w:divBdr>
        <w:top w:val="none" w:sz="0" w:space="0" w:color="auto"/>
        <w:left w:val="none" w:sz="0" w:space="0" w:color="auto"/>
        <w:bottom w:val="none" w:sz="0" w:space="0" w:color="auto"/>
        <w:right w:val="none" w:sz="0" w:space="0" w:color="auto"/>
      </w:divBdr>
    </w:div>
    <w:div w:id="1679506063">
      <w:bodyDiv w:val="1"/>
      <w:marLeft w:val="0"/>
      <w:marRight w:val="0"/>
      <w:marTop w:val="0"/>
      <w:marBottom w:val="0"/>
      <w:divBdr>
        <w:top w:val="none" w:sz="0" w:space="0" w:color="auto"/>
        <w:left w:val="none" w:sz="0" w:space="0" w:color="auto"/>
        <w:bottom w:val="none" w:sz="0" w:space="0" w:color="auto"/>
        <w:right w:val="none" w:sz="0" w:space="0" w:color="auto"/>
      </w:divBdr>
    </w:div>
    <w:div w:id="1679694577">
      <w:bodyDiv w:val="1"/>
      <w:marLeft w:val="0"/>
      <w:marRight w:val="0"/>
      <w:marTop w:val="0"/>
      <w:marBottom w:val="0"/>
      <w:divBdr>
        <w:top w:val="none" w:sz="0" w:space="0" w:color="auto"/>
        <w:left w:val="none" w:sz="0" w:space="0" w:color="auto"/>
        <w:bottom w:val="none" w:sz="0" w:space="0" w:color="auto"/>
        <w:right w:val="none" w:sz="0" w:space="0" w:color="auto"/>
      </w:divBdr>
    </w:div>
    <w:div w:id="1679849948">
      <w:bodyDiv w:val="1"/>
      <w:marLeft w:val="0"/>
      <w:marRight w:val="0"/>
      <w:marTop w:val="0"/>
      <w:marBottom w:val="0"/>
      <w:divBdr>
        <w:top w:val="none" w:sz="0" w:space="0" w:color="auto"/>
        <w:left w:val="none" w:sz="0" w:space="0" w:color="auto"/>
        <w:bottom w:val="none" w:sz="0" w:space="0" w:color="auto"/>
        <w:right w:val="none" w:sz="0" w:space="0" w:color="auto"/>
      </w:divBdr>
    </w:div>
    <w:div w:id="1679966623">
      <w:bodyDiv w:val="1"/>
      <w:marLeft w:val="0"/>
      <w:marRight w:val="0"/>
      <w:marTop w:val="0"/>
      <w:marBottom w:val="0"/>
      <w:divBdr>
        <w:top w:val="none" w:sz="0" w:space="0" w:color="auto"/>
        <w:left w:val="none" w:sz="0" w:space="0" w:color="auto"/>
        <w:bottom w:val="none" w:sz="0" w:space="0" w:color="auto"/>
        <w:right w:val="none" w:sz="0" w:space="0" w:color="auto"/>
      </w:divBdr>
    </w:div>
    <w:div w:id="1680110172">
      <w:bodyDiv w:val="1"/>
      <w:marLeft w:val="0"/>
      <w:marRight w:val="0"/>
      <w:marTop w:val="0"/>
      <w:marBottom w:val="0"/>
      <w:divBdr>
        <w:top w:val="none" w:sz="0" w:space="0" w:color="auto"/>
        <w:left w:val="none" w:sz="0" w:space="0" w:color="auto"/>
        <w:bottom w:val="none" w:sz="0" w:space="0" w:color="auto"/>
        <w:right w:val="none" w:sz="0" w:space="0" w:color="auto"/>
      </w:divBdr>
    </w:div>
    <w:div w:id="1680161725">
      <w:bodyDiv w:val="1"/>
      <w:marLeft w:val="0"/>
      <w:marRight w:val="0"/>
      <w:marTop w:val="0"/>
      <w:marBottom w:val="0"/>
      <w:divBdr>
        <w:top w:val="none" w:sz="0" w:space="0" w:color="auto"/>
        <w:left w:val="none" w:sz="0" w:space="0" w:color="auto"/>
        <w:bottom w:val="none" w:sz="0" w:space="0" w:color="auto"/>
        <w:right w:val="none" w:sz="0" w:space="0" w:color="auto"/>
      </w:divBdr>
    </w:div>
    <w:div w:id="1680307170">
      <w:bodyDiv w:val="1"/>
      <w:marLeft w:val="0"/>
      <w:marRight w:val="0"/>
      <w:marTop w:val="0"/>
      <w:marBottom w:val="0"/>
      <w:divBdr>
        <w:top w:val="none" w:sz="0" w:space="0" w:color="auto"/>
        <w:left w:val="none" w:sz="0" w:space="0" w:color="auto"/>
        <w:bottom w:val="none" w:sz="0" w:space="0" w:color="auto"/>
        <w:right w:val="none" w:sz="0" w:space="0" w:color="auto"/>
      </w:divBdr>
    </w:div>
    <w:div w:id="1680351065">
      <w:bodyDiv w:val="1"/>
      <w:marLeft w:val="0"/>
      <w:marRight w:val="0"/>
      <w:marTop w:val="0"/>
      <w:marBottom w:val="0"/>
      <w:divBdr>
        <w:top w:val="none" w:sz="0" w:space="0" w:color="auto"/>
        <w:left w:val="none" w:sz="0" w:space="0" w:color="auto"/>
        <w:bottom w:val="none" w:sz="0" w:space="0" w:color="auto"/>
        <w:right w:val="none" w:sz="0" w:space="0" w:color="auto"/>
      </w:divBdr>
    </w:div>
    <w:div w:id="1680426412">
      <w:bodyDiv w:val="1"/>
      <w:marLeft w:val="0"/>
      <w:marRight w:val="0"/>
      <w:marTop w:val="0"/>
      <w:marBottom w:val="0"/>
      <w:divBdr>
        <w:top w:val="none" w:sz="0" w:space="0" w:color="auto"/>
        <w:left w:val="none" w:sz="0" w:space="0" w:color="auto"/>
        <w:bottom w:val="none" w:sz="0" w:space="0" w:color="auto"/>
        <w:right w:val="none" w:sz="0" w:space="0" w:color="auto"/>
      </w:divBdr>
    </w:div>
    <w:div w:id="1680427012">
      <w:bodyDiv w:val="1"/>
      <w:marLeft w:val="0"/>
      <w:marRight w:val="0"/>
      <w:marTop w:val="0"/>
      <w:marBottom w:val="0"/>
      <w:divBdr>
        <w:top w:val="none" w:sz="0" w:space="0" w:color="auto"/>
        <w:left w:val="none" w:sz="0" w:space="0" w:color="auto"/>
        <w:bottom w:val="none" w:sz="0" w:space="0" w:color="auto"/>
        <w:right w:val="none" w:sz="0" w:space="0" w:color="auto"/>
      </w:divBdr>
    </w:div>
    <w:div w:id="1680614970">
      <w:bodyDiv w:val="1"/>
      <w:marLeft w:val="0"/>
      <w:marRight w:val="0"/>
      <w:marTop w:val="0"/>
      <w:marBottom w:val="0"/>
      <w:divBdr>
        <w:top w:val="none" w:sz="0" w:space="0" w:color="auto"/>
        <w:left w:val="none" w:sz="0" w:space="0" w:color="auto"/>
        <w:bottom w:val="none" w:sz="0" w:space="0" w:color="auto"/>
        <w:right w:val="none" w:sz="0" w:space="0" w:color="auto"/>
      </w:divBdr>
    </w:div>
    <w:div w:id="1680617667">
      <w:bodyDiv w:val="1"/>
      <w:marLeft w:val="0"/>
      <w:marRight w:val="0"/>
      <w:marTop w:val="0"/>
      <w:marBottom w:val="0"/>
      <w:divBdr>
        <w:top w:val="none" w:sz="0" w:space="0" w:color="auto"/>
        <w:left w:val="none" w:sz="0" w:space="0" w:color="auto"/>
        <w:bottom w:val="none" w:sz="0" w:space="0" w:color="auto"/>
        <w:right w:val="none" w:sz="0" w:space="0" w:color="auto"/>
      </w:divBdr>
    </w:div>
    <w:div w:id="1680619958">
      <w:bodyDiv w:val="1"/>
      <w:marLeft w:val="0"/>
      <w:marRight w:val="0"/>
      <w:marTop w:val="0"/>
      <w:marBottom w:val="0"/>
      <w:divBdr>
        <w:top w:val="none" w:sz="0" w:space="0" w:color="auto"/>
        <w:left w:val="none" w:sz="0" w:space="0" w:color="auto"/>
        <w:bottom w:val="none" w:sz="0" w:space="0" w:color="auto"/>
        <w:right w:val="none" w:sz="0" w:space="0" w:color="auto"/>
      </w:divBdr>
    </w:div>
    <w:div w:id="1680741314">
      <w:bodyDiv w:val="1"/>
      <w:marLeft w:val="0"/>
      <w:marRight w:val="0"/>
      <w:marTop w:val="0"/>
      <w:marBottom w:val="0"/>
      <w:divBdr>
        <w:top w:val="none" w:sz="0" w:space="0" w:color="auto"/>
        <w:left w:val="none" w:sz="0" w:space="0" w:color="auto"/>
        <w:bottom w:val="none" w:sz="0" w:space="0" w:color="auto"/>
        <w:right w:val="none" w:sz="0" w:space="0" w:color="auto"/>
      </w:divBdr>
    </w:div>
    <w:div w:id="1680959608">
      <w:bodyDiv w:val="1"/>
      <w:marLeft w:val="0"/>
      <w:marRight w:val="0"/>
      <w:marTop w:val="0"/>
      <w:marBottom w:val="0"/>
      <w:divBdr>
        <w:top w:val="none" w:sz="0" w:space="0" w:color="auto"/>
        <w:left w:val="none" w:sz="0" w:space="0" w:color="auto"/>
        <w:bottom w:val="none" w:sz="0" w:space="0" w:color="auto"/>
        <w:right w:val="none" w:sz="0" w:space="0" w:color="auto"/>
      </w:divBdr>
    </w:div>
    <w:div w:id="1681003761">
      <w:bodyDiv w:val="1"/>
      <w:marLeft w:val="0"/>
      <w:marRight w:val="0"/>
      <w:marTop w:val="0"/>
      <w:marBottom w:val="0"/>
      <w:divBdr>
        <w:top w:val="none" w:sz="0" w:space="0" w:color="auto"/>
        <w:left w:val="none" w:sz="0" w:space="0" w:color="auto"/>
        <w:bottom w:val="none" w:sz="0" w:space="0" w:color="auto"/>
        <w:right w:val="none" w:sz="0" w:space="0" w:color="auto"/>
      </w:divBdr>
    </w:div>
    <w:div w:id="1681007730">
      <w:bodyDiv w:val="1"/>
      <w:marLeft w:val="0"/>
      <w:marRight w:val="0"/>
      <w:marTop w:val="0"/>
      <w:marBottom w:val="0"/>
      <w:divBdr>
        <w:top w:val="none" w:sz="0" w:space="0" w:color="auto"/>
        <w:left w:val="none" w:sz="0" w:space="0" w:color="auto"/>
        <w:bottom w:val="none" w:sz="0" w:space="0" w:color="auto"/>
        <w:right w:val="none" w:sz="0" w:space="0" w:color="auto"/>
      </w:divBdr>
    </w:div>
    <w:div w:id="1681080750">
      <w:bodyDiv w:val="1"/>
      <w:marLeft w:val="0"/>
      <w:marRight w:val="0"/>
      <w:marTop w:val="0"/>
      <w:marBottom w:val="0"/>
      <w:divBdr>
        <w:top w:val="none" w:sz="0" w:space="0" w:color="auto"/>
        <w:left w:val="none" w:sz="0" w:space="0" w:color="auto"/>
        <w:bottom w:val="none" w:sz="0" w:space="0" w:color="auto"/>
        <w:right w:val="none" w:sz="0" w:space="0" w:color="auto"/>
      </w:divBdr>
    </w:div>
    <w:div w:id="1681084760">
      <w:bodyDiv w:val="1"/>
      <w:marLeft w:val="0"/>
      <w:marRight w:val="0"/>
      <w:marTop w:val="0"/>
      <w:marBottom w:val="0"/>
      <w:divBdr>
        <w:top w:val="none" w:sz="0" w:space="0" w:color="auto"/>
        <w:left w:val="none" w:sz="0" w:space="0" w:color="auto"/>
        <w:bottom w:val="none" w:sz="0" w:space="0" w:color="auto"/>
        <w:right w:val="none" w:sz="0" w:space="0" w:color="auto"/>
      </w:divBdr>
    </w:div>
    <w:div w:id="1681463396">
      <w:bodyDiv w:val="1"/>
      <w:marLeft w:val="0"/>
      <w:marRight w:val="0"/>
      <w:marTop w:val="0"/>
      <w:marBottom w:val="0"/>
      <w:divBdr>
        <w:top w:val="none" w:sz="0" w:space="0" w:color="auto"/>
        <w:left w:val="none" w:sz="0" w:space="0" w:color="auto"/>
        <w:bottom w:val="none" w:sz="0" w:space="0" w:color="auto"/>
        <w:right w:val="none" w:sz="0" w:space="0" w:color="auto"/>
      </w:divBdr>
    </w:div>
    <w:div w:id="1681617141">
      <w:bodyDiv w:val="1"/>
      <w:marLeft w:val="0"/>
      <w:marRight w:val="0"/>
      <w:marTop w:val="0"/>
      <w:marBottom w:val="0"/>
      <w:divBdr>
        <w:top w:val="none" w:sz="0" w:space="0" w:color="auto"/>
        <w:left w:val="none" w:sz="0" w:space="0" w:color="auto"/>
        <w:bottom w:val="none" w:sz="0" w:space="0" w:color="auto"/>
        <w:right w:val="none" w:sz="0" w:space="0" w:color="auto"/>
      </w:divBdr>
    </w:div>
    <w:div w:id="1681933629">
      <w:bodyDiv w:val="1"/>
      <w:marLeft w:val="0"/>
      <w:marRight w:val="0"/>
      <w:marTop w:val="0"/>
      <w:marBottom w:val="0"/>
      <w:divBdr>
        <w:top w:val="none" w:sz="0" w:space="0" w:color="auto"/>
        <w:left w:val="none" w:sz="0" w:space="0" w:color="auto"/>
        <w:bottom w:val="none" w:sz="0" w:space="0" w:color="auto"/>
        <w:right w:val="none" w:sz="0" w:space="0" w:color="auto"/>
      </w:divBdr>
    </w:div>
    <w:div w:id="1681934116">
      <w:bodyDiv w:val="1"/>
      <w:marLeft w:val="0"/>
      <w:marRight w:val="0"/>
      <w:marTop w:val="0"/>
      <w:marBottom w:val="0"/>
      <w:divBdr>
        <w:top w:val="none" w:sz="0" w:space="0" w:color="auto"/>
        <w:left w:val="none" w:sz="0" w:space="0" w:color="auto"/>
        <w:bottom w:val="none" w:sz="0" w:space="0" w:color="auto"/>
        <w:right w:val="none" w:sz="0" w:space="0" w:color="auto"/>
      </w:divBdr>
    </w:div>
    <w:div w:id="1682124429">
      <w:bodyDiv w:val="1"/>
      <w:marLeft w:val="0"/>
      <w:marRight w:val="0"/>
      <w:marTop w:val="0"/>
      <w:marBottom w:val="0"/>
      <w:divBdr>
        <w:top w:val="none" w:sz="0" w:space="0" w:color="auto"/>
        <w:left w:val="none" w:sz="0" w:space="0" w:color="auto"/>
        <w:bottom w:val="none" w:sz="0" w:space="0" w:color="auto"/>
        <w:right w:val="none" w:sz="0" w:space="0" w:color="auto"/>
      </w:divBdr>
    </w:div>
    <w:div w:id="1682128283">
      <w:bodyDiv w:val="1"/>
      <w:marLeft w:val="0"/>
      <w:marRight w:val="0"/>
      <w:marTop w:val="0"/>
      <w:marBottom w:val="0"/>
      <w:divBdr>
        <w:top w:val="none" w:sz="0" w:space="0" w:color="auto"/>
        <w:left w:val="none" w:sz="0" w:space="0" w:color="auto"/>
        <w:bottom w:val="none" w:sz="0" w:space="0" w:color="auto"/>
        <w:right w:val="none" w:sz="0" w:space="0" w:color="auto"/>
      </w:divBdr>
    </w:div>
    <w:div w:id="1682197605">
      <w:bodyDiv w:val="1"/>
      <w:marLeft w:val="0"/>
      <w:marRight w:val="0"/>
      <w:marTop w:val="0"/>
      <w:marBottom w:val="0"/>
      <w:divBdr>
        <w:top w:val="none" w:sz="0" w:space="0" w:color="auto"/>
        <w:left w:val="none" w:sz="0" w:space="0" w:color="auto"/>
        <w:bottom w:val="none" w:sz="0" w:space="0" w:color="auto"/>
        <w:right w:val="none" w:sz="0" w:space="0" w:color="auto"/>
      </w:divBdr>
    </w:div>
    <w:div w:id="1682200245">
      <w:bodyDiv w:val="1"/>
      <w:marLeft w:val="0"/>
      <w:marRight w:val="0"/>
      <w:marTop w:val="0"/>
      <w:marBottom w:val="0"/>
      <w:divBdr>
        <w:top w:val="none" w:sz="0" w:space="0" w:color="auto"/>
        <w:left w:val="none" w:sz="0" w:space="0" w:color="auto"/>
        <w:bottom w:val="none" w:sz="0" w:space="0" w:color="auto"/>
        <w:right w:val="none" w:sz="0" w:space="0" w:color="auto"/>
      </w:divBdr>
    </w:div>
    <w:div w:id="1682317068">
      <w:bodyDiv w:val="1"/>
      <w:marLeft w:val="0"/>
      <w:marRight w:val="0"/>
      <w:marTop w:val="0"/>
      <w:marBottom w:val="0"/>
      <w:divBdr>
        <w:top w:val="none" w:sz="0" w:space="0" w:color="auto"/>
        <w:left w:val="none" w:sz="0" w:space="0" w:color="auto"/>
        <w:bottom w:val="none" w:sz="0" w:space="0" w:color="auto"/>
        <w:right w:val="none" w:sz="0" w:space="0" w:color="auto"/>
      </w:divBdr>
    </w:div>
    <w:div w:id="1682466177">
      <w:bodyDiv w:val="1"/>
      <w:marLeft w:val="0"/>
      <w:marRight w:val="0"/>
      <w:marTop w:val="0"/>
      <w:marBottom w:val="0"/>
      <w:divBdr>
        <w:top w:val="none" w:sz="0" w:space="0" w:color="auto"/>
        <w:left w:val="none" w:sz="0" w:space="0" w:color="auto"/>
        <w:bottom w:val="none" w:sz="0" w:space="0" w:color="auto"/>
        <w:right w:val="none" w:sz="0" w:space="0" w:color="auto"/>
      </w:divBdr>
    </w:div>
    <w:div w:id="1682512208">
      <w:bodyDiv w:val="1"/>
      <w:marLeft w:val="0"/>
      <w:marRight w:val="0"/>
      <w:marTop w:val="0"/>
      <w:marBottom w:val="0"/>
      <w:divBdr>
        <w:top w:val="none" w:sz="0" w:space="0" w:color="auto"/>
        <w:left w:val="none" w:sz="0" w:space="0" w:color="auto"/>
        <w:bottom w:val="none" w:sz="0" w:space="0" w:color="auto"/>
        <w:right w:val="none" w:sz="0" w:space="0" w:color="auto"/>
      </w:divBdr>
    </w:div>
    <w:div w:id="1682731669">
      <w:bodyDiv w:val="1"/>
      <w:marLeft w:val="0"/>
      <w:marRight w:val="0"/>
      <w:marTop w:val="0"/>
      <w:marBottom w:val="0"/>
      <w:divBdr>
        <w:top w:val="none" w:sz="0" w:space="0" w:color="auto"/>
        <w:left w:val="none" w:sz="0" w:space="0" w:color="auto"/>
        <w:bottom w:val="none" w:sz="0" w:space="0" w:color="auto"/>
        <w:right w:val="none" w:sz="0" w:space="0" w:color="auto"/>
      </w:divBdr>
    </w:div>
    <w:div w:id="1682732505">
      <w:bodyDiv w:val="1"/>
      <w:marLeft w:val="0"/>
      <w:marRight w:val="0"/>
      <w:marTop w:val="0"/>
      <w:marBottom w:val="0"/>
      <w:divBdr>
        <w:top w:val="none" w:sz="0" w:space="0" w:color="auto"/>
        <w:left w:val="none" w:sz="0" w:space="0" w:color="auto"/>
        <w:bottom w:val="none" w:sz="0" w:space="0" w:color="auto"/>
        <w:right w:val="none" w:sz="0" w:space="0" w:color="auto"/>
      </w:divBdr>
    </w:div>
    <w:div w:id="1682782101">
      <w:bodyDiv w:val="1"/>
      <w:marLeft w:val="0"/>
      <w:marRight w:val="0"/>
      <w:marTop w:val="0"/>
      <w:marBottom w:val="0"/>
      <w:divBdr>
        <w:top w:val="none" w:sz="0" w:space="0" w:color="auto"/>
        <w:left w:val="none" w:sz="0" w:space="0" w:color="auto"/>
        <w:bottom w:val="none" w:sz="0" w:space="0" w:color="auto"/>
        <w:right w:val="none" w:sz="0" w:space="0" w:color="auto"/>
      </w:divBdr>
    </w:div>
    <w:div w:id="1682851268">
      <w:bodyDiv w:val="1"/>
      <w:marLeft w:val="0"/>
      <w:marRight w:val="0"/>
      <w:marTop w:val="0"/>
      <w:marBottom w:val="0"/>
      <w:divBdr>
        <w:top w:val="none" w:sz="0" w:space="0" w:color="auto"/>
        <w:left w:val="none" w:sz="0" w:space="0" w:color="auto"/>
        <w:bottom w:val="none" w:sz="0" w:space="0" w:color="auto"/>
        <w:right w:val="none" w:sz="0" w:space="0" w:color="auto"/>
      </w:divBdr>
    </w:div>
    <w:div w:id="1682899565">
      <w:bodyDiv w:val="1"/>
      <w:marLeft w:val="0"/>
      <w:marRight w:val="0"/>
      <w:marTop w:val="0"/>
      <w:marBottom w:val="0"/>
      <w:divBdr>
        <w:top w:val="none" w:sz="0" w:space="0" w:color="auto"/>
        <w:left w:val="none" w:sz="0" w:space="0" w:color="auto"/>
        <w:bottom w:val="none" w:sz="0" w:space="0" w:color="auto"/>
        <w:right w:val="none" w:sz="0" w:space="0" w:color="auto"/>
      </w:divBdr>
    </w:div>
    <w:div w:id="1682975583">
      <w:bodyDiv w:val="1"/>
      <w:marLeft w:val="0"/>
      <w:marRight w:val="0"/>
      <w:marTop w:val="0"/>
      <w:marBottom w:val="0"/>
      <w:divBdr>
        <w:top w:val="none" w:sz="0" w:space="0" w:color="auto"/>
        <w:left w:val="none" w:sz="0" w:space="0" w:color="auto"/>
        <w:bottom w:val="none" w:sz="0" w:space="0" w:color="auto"/>
        <w:right w:val="none" w:sz="0" w:space="0" w:color="auto"/>
      </w:divBdr>
    </w:div>
    <w:div w:id="1683049082">
      <w:bodyDiv w:val="1"/>
      <w:marLeft w:val="0"/>
      <w:marRight w:val="0"/>
      <w:marTop w:val="0"/>
      <w:marBottom w:val="0"/>
      <w:divBdr>
        <w:top w:val="none" w:sz="0" w:space="0" w:color="auto"/>
        <w:left w:val="none" w:sz="0" w:space="0" w:color="auto"/>
        <w:bottom w:val="none" w:sz="0" w:space="0" w:color="auto"/>
        <w:right w:val="none" w:sz="0" w:space="0" w:color="auto"/>
      </w:divBdr>
    </w:div>
    <w:div w:id="1683357868">
      <w:bodyDiv w:val="1"/>
      <w:marLeft w:val="0"/>
      <w:marRight w:val="0"/>
      <w:marTop w:val="0"/>
      <w:marBottom w:val="0"/>
      <w:divBdr>
        <w:top w:val="none" w:sz="0" w:space="0" w:color="auto"/>
        <w:left w:val="none" w:sz="0" w:space="0" w:color="auto"/>
        <w:bottom w:val="none" w:sz="0" w:space="0" w:color="auto"/>
        <w:right w:val="none" w:sz="0" w:space="0" w:color="auto"/>
      </w:divBdr>
    </w:div>
    <w:div w:id="1683360214">
      <w:bodyDiv w:val="1"/>
      <w:marLeft w:val="0"/>
      <w:marRight w:val="0"/>
      <w:marTop w:val="0"/>
      <w:marBottom w:val="0"/>
      <w:divBdr>
        <w:top w:val="none" w:sz="0" w:space="0" w:color="auto"/>
        <w:left w:val="none" w:sz="0" w:space="0" w:color="auto"/>
        <w:bottom w:val="none" w:sz="0" w:space="0" w:color="auto"/>
        <w:right w:val="none" w:sz="0" w:space="0" w:color="auto"/>
      </w:divBdr>
    </w:div>
    <w:div w:id="1683362228">
      <w:bodyDiv w:val="1"/>
      <w:marLeft w:val="0"/>
      <w:marRight w:val="0"/>
      <w:marTop w:val="0"/>
      <w:marBottom w:val="0"/>
      <w:divBdr>
        <w:top w:val="none" w:sz="0" w:space="0" w:color="auto"/>
        <w:left w:val="none" w:sz="0" w:space="0" w:color="auto"/>
        <w:bottom w:val="none" w:sz="0" w:space="0" w:color="auto"/>
        <w:right w:val="none" w:sz="0" w:space="0" w:color="auto"/>
      </w:divBdr>
    </w:div>
    <w:div w:id="1683362477">
      <w:bodyDiv w:val="1"/>
      <w:marLeft w:val="0"/>
      <w:marRight w:val="0"/>
      <w:marTop w:val="0"/>
      <w:marBottom w:val="0"/>
      <w:divBdr>
        <w:top w:val="none" w:sz="0" w:space="0" w:color="auto"/>
        <w:left w:val="none" w:sz="0" w:space="0" w:color="auto"/>
        <w:bottom w:val="none" w:sz="0" w:space="0" w:color="auto"/>
        <w:right w:val="none" w:sz="0" w:space="0" w:color="auto"/>
      </w:divBdr>
    </w:div>
    <w:div w:id="1683387162">
      <w:bodyDiv w:val="1"/>
      <w:marLeft w:val="0"/>
      <w:marRight w:val="0"/>
      <w:marTop w:val="0"/>
      <w:marBottom w:val="0"/>
      <w:divBdr>
        <w:top w:val="none" w:sz="0" w:space="0" w:color="auto"/>
        <w:left w:val="none" w:sz="0" w:space="0" w:color="auto"/>
        <w:bottom w:val="none" w:sz="0" w:space="0" w:color="auto"/>
        <w:right w:val="none" w:sz="0" w:space="0" w:color="auto"/>
      </w:divBdr>
    </w:div>
    <w:div w:id="1683431939">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683581528">
      <w:bodyDiv w:val="1"/>
      <w:marLeft w:val="0"/>
      <w:marRight w:val="0"/>
      <w:marTop w:val="0"/>
      <w:marBottom w:val="0"/>
      <w:divBdr>
        <w:top w:val="none" w:sz="0" w:space="0" w:color="auto"/>
        <w:left w:val="none" w:sz="0" w:space="0" w:color="auto"/>
        <w:bottom w:val="none" w:sz="0" w:space="0" w:color="auto"/>
        <w:right w:val="none" w:sz="0" w:space="0" w:color="auto"/>
      </w:divBdr>
    </w:div>
    <w:div w:id="1683700705">
      <w:bodyDiv w:val="1"/>
      <w:marLeft w:val="0"/>
      <w:marRight w:val="0"/>
      <w:marTop w:val="0"/>
      <w:marBottom w:val="0"/>
      <w:divBdr>
        <w:top w:val="none" w:sz="0" w:space="0" w:color="auto"/>
        <w:left w:val="none" w:sz="0" w:space="0" w:color="auto"/>
        <w:bottom w:val="none" w:sz="0" w:space="0" w:color="auto"/>
        <w:right w:val="none" w:sz="0" w:space="0" w:color="auto"/>
      </w:divBdr>
    </w:div>
    <w:div w:id="1683703056">
      <w:bodyDiv w:val="1"/>
      <w:marLeft w:val="0"/>
      <w:marRight w:val="0"/>
      <w:marTop w:val="0"/>
      <w:marBottom w:val="0"/>
      <w:divBdr>
        <w:top w:val="none" w:sz="0" w:space="0" w:color="auto"/>
        <w:left w:val="none" w:sz="0" w:space="0" w:color="auto"/>
        <w:bottom w:val="none" w:sz="0" w:space="0" w:color="auto"/>
        <w:right w:val="none" w:sz="0" w:space="0" w:color="auto"/>
      </w:divBdr>
    </w:div>
    <w:div w:id="1683706689">
      <w:bodyDiv w:val="1"/>
      <w:marLeft w:val="0"/>
      <w:marRight w:val="0"/>
      <w:marTop w:val="0"/>
      <w:marBottom w:val="0"/>
      <w:divBdr>
        <w:top w:val="none" w:sz="0" w:space="0" w:color="auto"/>
        <w:left w:val="none" w:sz="0" w:space="0" w:color="auto"/>
        <w:bottom w:val="none" w:sz="0" w:space="0" w:color="auto"/>
        <w:right w:val="none" w:sz="0" w:space="0" w:color="auto"/>
      </w:divBdr>
    </w:div>
    <w:div w:id="1683776819">
      <w:bodyDiv w:val="1"/>
      <w:marLeft w:val="0"/>
      <w:marRight w:val="0"/>
      <w:marTop w:val="0"/>
      <w:marBottom w:val="0"/>
      <w:divBdr>
        <w:top w:val="none" w:sz="0" w:space="0" w:color="auto"/>
        <w:left w:val="none" w:sz="0" w:space="0" w:color="auto"/>
        <w:bottom w:val="none" w:sz="0" w:space="0" w:color="auto"/>
        <w:right w:val="none" w:sz="0" w:space="0" w:color="auto"/>
      </w:divBdr>
    </w:div>
    <w:div w:id="1683898411">
      <w:bodyDiv w:val="1"/>
      <w:marLeft w:val="0"/>
      <w:marRight w:val="0"/>
      <w:marTop w:val="0"/>
      <w:marBottom w:val="0"/>
      <w:divBdr>
        <w:top w:val="none" w:sz="0" w:space="0" w:color="auto"/>
        <w:left w:val="none" w:sz="0" w:space="0" w:color="auto"/>
        <w:bottom w:val="none" w:sz="0" w:space="0" w:color="auto"/>
        <w:right w:val="none" w:sz="0" w:space="0" w:color="auto"/>
      </w:divBdr>
    </w:div>
    <w:div w:id="1683967568">
      <w:bodyDiv w:val="1"/>
      <w:marLeft w:val="0"/>
      <w:marRight w:val="0"/>
      <w:marTop w:val="0"/>
      <w:marBottom w:val="0"/>
      <w:divBdr>
        <w:top w:val="none" w:sz="0" w:space="0" w:color="auto"/>
        <w:left w:val="none" w:sz="0" w:space="0" w:color="auto"/>
        <w:bottom w:val="none" w:sz="0" w:space="0" w:color="auto"/>
        <w:right w:val="none" w:sz="0" w:space="0" w:color="auto"/>
      </w:divBdr>
    </w:div>
    <w:div w:id="1683973030">
      <w:bodyDiv w:val="1"/>
      <w:marLeft w:val="0"/>
      <w:marRight w:val="0"/>
      <w:marTop w:val="0"/>
      <w:marBottom w:val="0"/>
      <w:divBdr>
        <w:top w:val="none" w:sz="0" w:space="0" w:color="auto"/>
        <w:left w:val="none" w:sz="0" w:space="0" w:color="auto"/>
        <w:bottom w:val="none" w:sz="0" w:space="0" w:color="auto"/>
        <w:right w:val="none" w:sz="0" w:space="0" w:color="auto"/>
      </w:divBdr>
    </w:div>
    <w:div w:id="1684165085">
      <w:bodyDiv w:val="1"/>
      <w:marLeft w:val="0"/>
      <w:marRight w:val="0"/>
      <w:marTop w:val="0"/>
      <w:marBottom w:val="0"/>
      <w:divBdr>
        <w:top w:val="none" w:sz="0" w:space="0" w:color="auto"/>
        <w:left w:val="none" w:sz="0" w:space="0" w:color="auto"/>
        <w:bottom w:val="none" w:sz="0" w:space="0" w:color="auto"/>
        <w:right w:val="none" w:sz="0" w:space="0" w:color="auto"/>
      </w:divBdr>
    </w:div>
    <w:div w:id="1684241927">
      <w:bodyDiv w:val="1"/>
      <w:marLeft w:val="0"/>
      <w:marRight w:val="0"/>
      <w:marTop w:val="0"/>
      <w:marBottom w:val="0"/>
      <w:divBdr>
        <w:top w:val="none" w:sz="0" w:space="0" w:color="auto"/>
        <w:left w:val="none" w:sz="0" w:space="0" w:color="auto"/>
        <w:bottom w:val="none" w:sz="0" w:space="0" w:color="auto"/>
        <w:right w:val="none" w:sz="0" w:space="0" w:color="auto"/>
      </w:divBdr>
    </w:div>
    <w:div w:id="1684286897">
      <w:bodyDiv w:val="1"/>
      <w:marLeft w:val="0"/>
      <w:marRight w:val="0"/>
      <w:marTop w:val="0"/>
      <w:marBottom w:val="0"/>
      <w:divBdr>
        <w:top w:val="none" w:sz="0" w:space="0" w:color="auto"/>
        <w:left w:val="none" w:sz="0" w:space="0" w:color="auto"/>
        <w:bottom w:val="none" w:sz="0" w:space="0" w:color="auto"/>
        <w:right w:val="none" w:sz="0" w:space="0" w:color="auto"/>
      </w:divBdr>
    </w:div>
    <w:div w:id="1684434338">
      <w:bodyDiv w:val="1"/>
      <w:marLeft w:val="0"/>
      <w:marRight w:val="0"/>
      <w:marTop w:val="0"/>
      <w:marBottom w:val="0"/>
      <w:divBdr>
        <w:top w:val="none" w:sz="0" w:space="0" w:color="auto"/>
        <w:left w:val="none" w:sz="0" w:space="0" w:color="auto"/>
        <w:bottom w:val="none" w:sz="0" w:space="0" w:color="auto"/>
        <w:right w:val="none" w:sz="0" w:space="0" w:color="auto"/>
      </w:divBdr>
    </w:div>
    <w:div w:id="1684476294">
      <w:bodyDiv w:val="1"/>
      <w:marLeft w:val="0"/>
      <w:marRight w:val="0"/>
      <w:marTop w:val="0"/>
      <w:marBottom w:val="0"/>
      <w:divBdr>
        <w:top w:val="none" w:sz="0" w:space="0" w:color="auto"/>
        <w:left w:val="none" w:sz="0" w:space="0" w:color="auto"/>
        <w:bottom w:val="none" w:sz="0" w:space="0" w:color="auto"/>
        <w:right w:val="none" w:sz="0" w:space="0" w:color="auto"/>
      </w:divBdr>
    </w:div>
    <w:div w:id="1684476541">
      <w:bodyDiv w:val="1"/>
      <w:marLeft w:val="0"/>
      <w:marRight w:val="0"/>
      <w:marTop w:val="0"/>
      <w:marBottom w:val="0"/>
      <w:divBdr>
        <w:top w:val="none" w:sz="0" w:space="0" w:color="auto"/>
        <w:left w:val="none" w:sz="0" w:space="0" w:color="auto"/>
        <w:bottom w:val="none" w:sz="0" w:space="0" w:color="auto"/>
        <w:right w:val="none" w:sz="0" w:space="0" w:color="auto"/>
      </w:divBdr>
    </w:div>
    <w:div w:id="1684556073">
      <w:bodyDiv w:val="1"/>
      <w:marLeft w:val="0"/>
      <w:marRight w:val="0"/>
      <w:marTop w:val="0"/>
      <w:marBottom w:val="0"/>
      <w:divBdr>
        <w:top w:val="none" w:sz="0" w:space="0" w:color="auto"/>
        <w:left w:val="none" w:sz="0" w:space="0" w:color="auto"/>
        <w:bottom w:val="none" w:sz="0" w:space="0" w:color="auto"/>
        <w:right w:val="none" w:sz="0" w:space="0" w:color="auto"/>
      </w:divBdr>
    </w:div>
    <w:div w:id="1684621725">
      <w:bodyDiv w:val="1"/>
      <w:marLeft w:val="0"/>
      <w:marRight w:val="0"/>
      <w:marTop w:val="0"/>
      <w:marBottom w:val="0"/>
      <w:divBdr>
        <w:top w:val="none" w:sz="0" w:space="0" w:color="auto"/>
        <w:left w:val="none" w:sz="0" w:space="0" w:color="auto"/>
        <w:bottom w:val="none" w:sz="0" w:space="0" w:color="auto"/>
        <w:right w:val="none" w:sz="0" w:space="0" w:color="auto"/>
      </w:divBdr>
    </w:div>
    <w:div w:id="1684624921">
      <w:bodyDiv w:val="1"/>
      <w:marLeft w:val="0"/>
      <w:marRight w:val="0"/>
      <w:marTop w:val="0"/>
      <w:marBottom w:val="0"/>
      <w:divBdr>
        <w:top w:val="none" w:sz="0" w:space="0" w:color="auto"/>
        <w:left w:val="none" w:sz="0" w:space="0" w:color="auto"/>
        <w:bottom w:val="none" w:sz="0" w:space="0" w:color="auto"/>
        <w:right w:val="none" w:sz="0" w:space="0" w:color="auto"/>
      </w:divBdr>
    </w:div>
    <w:div w:id="1684630817">
      <w:bodyDiv w:val="1"/>
      <w:marLeft w:val="0"/>
      <w:marRight w:val="0"/>
      <w:marTop w:val="0"/>
      <w:marBottom w:val="0"/>
      <w:divBdr>
        <w:top w:val="none" w:sz="0" w:space="0" w:color="auto"/>
        <w:left w:val="none" w:sz="0" w:space="0" w:color="auto"/>
        <w:bottom w:val="none" w:sz="0" w:space="0" w:color="auto"/>
        <w:right w:val="none" w:sz="0" w:space="0" w:color="auto"/>
      </w:divBdr>
    </w:div>
    <w:div w:id="1684740590">
      <w:bodyDiv w:val="1"/>
      <w:marLeft w:val="0"/>
      <w:marRight w:val="0"/>
      <w:marTop w:val="0"/>
      <w:marBottom w:val="0"/>
      <w:divBdr>
        <w:top w:val="none" w:sz="0" w:space="0" w:color="auto"/>
        <w:left w:val="none" w:sz="0" w:space="0" w:color="auto"/>
        <w:bottom w:val="none" w:sz="0" w:space="0" w:color="auto"/>
        <w:right w:val="none" w:sz="0" w:space="0" w:color="auto"/>
      </w:divBdr>
    </w:div>
    <w:div w:id="1684747244">
      <w:bodyDiv w:val="1"/>
      <w:marLeft w:val="0"/>
      <w:marRight w:val="0"/>
      <w:marTop w:val="0"/>
      <w:marBottom w:val="0"/>
      <w:divBdr>
        <w:top w:val="none" w:sz="0" w:space="0" w:color="auto"/>
        <w:left w:val="none" w:sz="0" w:space="0" w:color="auto"/>
        <w:bottom w:val="none" w:sz="0" w:space="0" w:color="auto"/>
        <w:right w:val="none" w:sz="0" w:space="0" w:color="auto"/>
      </w:divBdr>
    </w:div>
    <w:div w:id="1684824364">
      <w:bodyDiv w:val="1"/>
      <w:marLeft w:val="0"/>
      <w:marRight w:val="0"/>
      <w:marTop w:val="0"/>
      <w:marBottom w:val="0"/>
      <w:divBdr>
        <w:top w:val="none" w:sz="0" w:space="0" w:color="auto"/>
        <w:left w:val="none" w:sz="0" w:space="0" w:color="auto"/>
        <w:bottom w:val="none" w:sz="0" w:space="0" w:color="auto"/>
        <w:right w:val="none" w:sz="0" w:space="0" w:color="auto"/>
      </w:divBdr>
    </w:div>
    <w:div w:id="1685009506">
      <w:bodyDiv w:val="1"/>
      <w:marLeft w:val="0"/>
      <w:marRight w:val="0"/>
      <w:marTop w:val="0"/>
      <w:marBottom w:val="0"/>
      <w:divBdr>
        <w:top w:val="none" w:sz="0" w:space="0" w:color="auto"/>
        <w:left w:val="none" w:sz="0" w:space="0" w:color="auto"/>
        <w:bottom w:val="none" w:sz="0" w:space="0" w:color="auto"/>
        <w:right w:val="none" w:sz="0" w:space="0" w:color="auto"/>
      </w:divBdr>
    </w:div>
    <w:div w:id="1685009641">
      <w:bodyDiv w:val="1"/>
      <w:marLeft w:val="0"/>
      <w:marRight w:val="0"/>
      <w:marTop w:val="0"/>
      <w:marBottom w:val="0"/>
      <w:divBdr>
        <w:top w:val="none" w:sz="0" w:space="0" w:color="auto"/>
        <w:left w:val="none" w:sz="0" w:space="0" w:color="auto"/>
        <w:bottom w:val="none" w:sz="0" w:space="0" w:color="auto"/>
        <w:right w:val="none" w:sz="0" w:space="0" w:color="auto"/>
      </w:divBdr>
    </w:div>
    <w:div w:id="1685281787">
      <w:bodyDiv w:val="1"/>
      <w:marLeft w:val="0"/>
      <w:marRight w:val="0"/>
      <w:marTop w:val="0"/>
      <w:marBottom w:val="0"/>
      <w:divBdr>
        <w:top w:val="none" w:sz="0" w:space="0" w:color="auto"/>
        <w:left w:val="none" w:sz="0" w:space="0" w:color="auto"/>
        <w:bottom w:val="none" w:sz="0" w:space="0" w:color="auto"/>
        <w:right w:val="none" w:sz="0" w:space="0" w:color="auto"/>
      </w:divBdr>
    </w:div>
    <w:div w:id="1685284021">
      <w:bodyDiv w:val="1"/>
      <w:marLeft w:val="0"/>
      <w:marRight w:val="0"/>
      <w:marTop w:val="0"/>
      <w:marBottom w:val="0"/>
      <w:divBdr>
        <w:top w:val="none" w:sz="0" w:space="0" w:color="auto"/>
        <w:left w:val="none" w:sz="0" w:space="0" w:color="auto"/>
        <w:bottom w:val="none" w:sz="0" w:space="0" w:color="auto"/>
        <w:right w:val="none" w:sz="0" w:space="0" w:color="auto"/>
      </w:divBdr>
    </w:div>
    <w:div w:id="1685326704">
      <w:bodyDiv w:val="1"/>
      <w:marLeft w:val="0"/>
      <w:marRight w:val="0"/>
      <w:marTop w:val="0"/>
      <w:marBottom w:val="0"/>
      <w:divBdr>
        <w:top w:val="none" w:sz="0" w:space="0" w:color="auto"/>
        <w:left w:val="none" w:sz="0" w:space="0" w:color="auto"/>
        <w:bottom w:val="none" w:sz="0" w:space="0" w:color="auto"/>
        <w:right w:val="none" w:sz="0" w:space="0" w:color="auto"/>
      </w:divBdr>
    </w:div>
    <w:div w:id="1685399730">
      <w:bodyDiv w:val="1"/>
      <w:marLeft w:val="0"/>
      <w:marRight w:val="0"/>
      <w:marTop w:val="0"/>
      <w:marBottom w:val="0"/>
      <w:divBdr>
        <w:top w:val="none" w:sz="0" w:space="0" w:color="auto"/>
        <w:left w:val="none" w:sz="0" w:space="0" w:color="auto"/>
        <w:bottom w:val="none" w:sz="0" w:space="0" w:color="auto"/>
        <w:right w:val="none" w:sz="0" w:space="0" w:color="auto"/>
      </w:divBdr>
    </w:div>
    <w:div w:id="1685401948">
      <w:bodyDiv w:val="1"/>
      <w:marLeft w:val="0"/>
      <w:marRight w:val="0"/>
      <w:marTop w:val="0"/>
      <w:marBottom w:val="0"/>
      <w:divBdr>
        <w:top w:val="none" w:sz="0" w:space="0" w:color="auto"/>
        <w:left w:val="none" w:sz="0" w:space="0" w:color="auto"/>
        <w:bottom w:val="none" w:sz="0" w:space="0" w:color="auto"/>
        <w:right w:val="none" w:sz="0" w:space="0" w:color="auto"/>
      </w:divBdr>
    </w:div>
    <w:div w:id="1685589342">
      <w:bodyDiv w:val="1"/>
      <w:marLeft w:val="0"/>
      <w:marRight w:val="0"/>
      <w:marTop w:val="0"/>
      <w:marBottom w:val="0"/>
      <w:divBdr>
        <w:top w:val="none" w:sz="0" w:space="0" w:color="auto"/>
        <w:left w:val="none" w:sz="0" w:space="0" w:color="auto"/>
        <w:bottom w:val="none" w:sz="0" w:space="0" w:color="auto"/>
        <w:right w:val="none" w:sz="0" w:space="0" w:color="auto"/>
      </w:divBdr>
    </w:div>
    <w:div w:id="1685593437">
      <w:bodyDiv w:val="1"/>
      <w:marLeft w:val="0"/>
      <w:marRight w:val="0"/>
      <w:marTop w:val="0"/>
      <w:marBottom w:val="0"/>
      <w:divBdr>
        <w:top w:val="none" w:sz="0" w:space="0" w:color="auto"/>
        <w:left w:val="none" w:sz="0" w:space="0" w:color="auto"/>
        <w:bottom w:val="none" w:sz="0" w:space="0" w:color="auto"/>
        <w:right w:val="none" w:sz="0" w:space="0" w:color="auto"/>
      </w:divBdr>
    </w:div>
    <w:div w:id="1685744443">
      <w:bodyDiv w:val="1"/>
      <w:marLeft w:val="0"/>
      <w:marRight w:val="0"/>
      <w:marTop w:val="0"/>
      <w:marBottom w:val="0"/>
      <w:divBdr>
        <w:top w:val="none" w:sz="0" w:space="0" w:color="auto"/>
        <w:left w:val="none" w:sz="0" w:space="0" w:color="auto"/>
        <w:bottom w:val="none" w:sz="0" w:space="0" w:color="auto"/>
        <w:right w:val="none" w:sz="0" w:space="0" w:color="auto"/>
      </w:divBdr>
    </w:div>
    <w:div w:id="1685789491">
      <w:bodyDiv w:val="1"/>
      <w:marLeft w:val="0"/>
      <w:marRight w:val="0"/>
      <w:marTop w:val="0"/>
      <w:marBottom w:val="0"/>
      <w:divBdr>
        <w:top w:val="none" w:sz="0" w:space="0" w:color="auto"/>
        <w:left w:val="none" w:sz="0" w:space="0" w:color="auto"/>
        <w:bottom w:val="none" w:sz="0" w:space="0" w:color="auto"/>
        <w:right w:val="none" w:sz="0" w:space="0" w:color="auto"/>
      </w:divBdr>
    </w:div>
    <w:div w:id="1685789900">
      <w:bodyDiv w:val="1"/>
      <w:marLeft w:val="0"/>
      <w:marRight w:val="0"/>
      <w:marTop w:val="0"/>
      <w:marBottom w:val="0"/>
      <w:divBdr>
        <w:top w:val="none" w:sz="0" w:space="0" w:color="auto"/>
        <w:left w:val="none" w:sz="0" w:space="0" w:color="auto"/>
        <w:bottom w:val="none" w:sz="0" w:space="0" w:color="auto"/>
        <w:right w:val="none" w:sz="0" w:space="0" w:color="auto"/>
      </w:divBdr>
    </w:div>
    <w:div w:id="1685814649">
      <w:bodyDiv w:val="1"/>
      <w:marLeft w:val="0"/>
      <w:marRight w:val="0"/>
      <w:marTop w:val="0"/>
      <w:marBottom w:val="0"/>
      <w:divBdr>
        <w:top w:val="none" w:sz="0" w:space="0" w:color="auto"/>
        <w:left w:val="none" w:sz="0" w:space="0" w:color="auto"/>
        <w:bottom w:val="none" w:sz="0" w:space="0" w:color="auto"/>
        <w:right w:val="none" w:sz="0" w:space="0" w:color="auto"/>
      </w:divBdr>
    </w:div>
    <w:div w:id="1686051312">
      <w:bodyDiv w:val="1"/>
      <w:marLeft w:val="0"/>
      <w:marRight w:val="0"/>
      <w:marTop w:val="0"/>
      <w:marBottom w:val="0"/>
      <w:divBdr>
        <w:top w:val="none" w:sz="0" w:space="0" w:color="auto"/>
        <w:left w:val="none" w:sz="0" w:space="0" w:color="auto"/>
        <w:bottom w:val="none" w:sz="0" w:space="0" w:color="auto"/>
        <w:right w:val="none" w:sz="0" w:space="0" w:color="auto"/>
      </w:divBdr>
    </w:div>
    <w:div w:id="1686056316">
      <w:bodyDiv w:val="1"/>
      <w:marLeft w:val="0"/>
      <w:marRight w:val="0"/>
      <w:marTop w:val="0"/>
      <w:marBottom w:val="0"/>
      <w:divBdr>
        <w:top w:val="none" w:sz="0" w:space="0" w:color="auto"/>
        <w:left w:val="none" w:sz="0" w:space="0" w:color="auto"/>
        <w:bottom w:val="none" w:sz="0" w:space="0" w:color="auto"/>
        <w:right w:val="none" w:sz="0" w:space="0" w:color="auto"/>
      </w:divBdr>
    </w:div>
    <w:div w:id="1686135178">
      <w:bodyDiv w:val="1"/>
      <w:marLeft w:val="0"/>
      <w:marRight w:val="0"/>
      <w:marTop w:val="0"/>
      <w:marBottom w:val="0"/>
      <w:divBdr>
        <w:top w:val="none" w:sz="0" w:space="0" w:color="auto"/>
        <w:left w:val="none" w:sz="0" w:space="0" w:color="auto"/>
        <w:bottom w:val="none" w:sz="0" w:space="0" w:color="auto"/>
        <w:right w:val="none" w:sz="0" w:space="0" w:color="auto"/>
      </w:divBdr>
    </w:div>
    <w:div w:id="1686320063">
      <w:bodyDiv w:val="1"/>
      <w:marLeft w:val="0"/>
      <w:marRight w:val="0"/>
      <w:marTop w:val="0"/>
      <w:marBottom w:val="0"/>
      <w:divBdr>
        <w:top w:val="none" w:sz="0" w:space="0" w:color="auto"/>
        <w:left w:val="none" w:sz="0" w:space="0" w:color="auto"/>
        <w:bottom w:val="none" w:sz="0" w:space="0" w:color="auto"/>
        <w:right w:val="none" w:sz="0" w:space="0" w:color="auto"/>
      </w:divBdr>
    </w:div>
    <w:div w:id="1686470475">
      <w:bodyDiv w:val="1"/>
      <w:marLeft w:val="0"/>
      <w:marRight w:val="0"/>
      <w:marTop w:val="0"/>
      <w:marBottom w:val="0"/>
      <w:divBdr>
        <w:top w:val="none" w:sz="0" w:space="0" w:color="auto"/>
        <w:left w:val="none" w:sz="0" w:space="0" w:color="auto"/>
        <w:bottom w:val="none" w:sz="0" w:space="0" w:color="auto"/>
        <w:right w:val="none" w:sz="0" w:space="0" w:color="auto"/>
      </w:divBdr>
    </w:div>
    <w:div w:id="1686592989">
      <w:bodyDiv w:val="1"/>
      <w:marLeft w:val="0"/>
      <w:marRight w:val="0"/>
      <w:marTop w:val="0"/>
      <w:marBottom w:val="0"/>
      <w:divBdr>
        <w:top w:val="none" w:sz="0" w:space="0" w:color="auto"/>
        <w:left w:val="none" w:sz="0" w:space="0" w:color="auto"/>
        <w:bottom w:val="none" w:sz="0" w:space="0" w:color="auto"/>
        <w:right w:val="none" w:sz="0" w:space="0" w:color="auto"/>
      </w:divBdr>
    </w:div>
    <w:div w:id="1686665289">
      <w:bodyDiv w:val="1"/>
      <w:marLeft w:val="0"/>
      <w:marRight w:val="0"/>
      <w:marTop w:val="0"/>
      <w:marBottom w:val="0"/>
      <w:divBdr>
        <w:top w:val="none" w:sz="0" w:space="0" w:color="auto"/>
        <w:left w:val="none" w:sz="0" w:space="0" w:color="auto"/>
        <w:bottom w:val="none" w:sz="0" w:space="0" w:color="auto"/>
        <w:right w:val="none" w:sz="0" w:space="0" w:color="auto"/>
      </w:divBdr>
    </w:div>
    <w:div w:id="1686863741">
      <w:bodyDiv w:val="1"/>
      <w:marLeft w:val="0"/>
      <w:marRight w:val="0"/>
      <w:marTop w:val="0"/>
      <w:marBottom w:val="0"/>
      <w:divBdr>
        <w:top w:val="none" w:sz="0" w:space="0" w:color="auto"/>
        <w:left w:val="none" w:sz="0" w:space="0" w:color="auto"/>
        <w:bottom w:val="none" w:sz="0" w:space="0" w:color="auto"/>
        <w:right w:val="none" w:sz="0" w:space="0" w:color="auto"/>
      </w:divBdr>
    </w:div>
    <w:div w:id="1686907782">
      <w:bodyDiv w:val="1"/>
      <w:marLeft w:val="0"/>
      <w:marRight w:val="0"/>
      <w:marTop w:val="0"/>
      <w:marBottom w:val="0"/>
      <w:divBdr>
        <w:top w:val="none" w:sz="0" w:space="0" w:color="auto"/>
        <w:left w:val="none" w:sz="0" w:space="0" w:color="auto"/>
        <w:bottom w:val="none" w:sz="0" w:space="0" w:color="auto"/>
        <w:right w:val="none" w:sz="0" w:space="0" w:color="auto"/>
      </w:divBdr>
    </w:div>
    <w:div w:id="1686979567">
      <w:bodyDiv w:val="1"/>
      <w:marLeft w:val="0"/>
      <w:marRight w:val="0"/>
      <w:marTop w:val="0"/>
      <w:marBottom w:val="0"/>
      <w:divBdr>
        <w:top w:val="none" w:sz="0" w:space="0" w:color="auto"/>
        <w:left w:val="none" w:sz="0" w:space="0" w:color="auto"/>
        <w:bottom w:val="none" w:sz="0" w:space="0" w:color="auto"/>
        <w:right w:val="none" w:sz="0" w:space="0" w:color="auto"/>
      </w:divBdr>
    </w:div>
    <w:div w:id="1686983144">
      <w:bodyDiv w:val="1"/>
      <w:marLeft w:val="0"/>
      <w:marRight w:val="0"/>
      <w:marTop w:val="0"/>
      <w:marBottom w:val="0"/>
      <w:divBdr>
        <w:top w:val="none" w:sz="0" w:space="0" w:color="auto"/>
        <w:left w:val="none" w:sz="0" w:space="0" w:color="auto"/>
        <w:bottom w:val="none" w:sz="0" w:space="0" w:color="auto"/>
        <w:right w:val="none" w:sz="0" w:space="0" w:color="auto"/>
      </w:divBdr>
    </w:div>
    <w:div w:id="1687049962">
      <w:bodyDiv w:val="1"/>
      <w:marLeft w:val="0"/>
      <w:marRight w:val="0"/>
      <w:marTop w:val="0"/>
      <w:marBottom w:val="0"/>
      <w:divBdr>
        <w:top w:val="none" w:sz="0" w:space="0" w:color="auto"/>
        <w:left w:val="none" w:sz="0" w:space="0" w:color="auto"/>
        <w:bottom w:val="none" w:sz="0" w:space="0" w:color="auto"/>
        <w:right w:val="none" w:sz="0" w:space="0" w:color="auto"/>
      </w:divBdr>
    </w:div>
    <w:div w:id="1687096862">
      <w:bodyDiv w:val="1"/>
      <w:marLeft w:val="0"/>
      <w:marRight w:val="0"/>
      <w:marTop w:val="0"/>
      <w:marBottom w:val="0"/>
      <w:divBdr>
        <w:top w:val="none" w:sz="0" w:space="0" w:color="auto"/>
        <w:left w:val="none" w:sz="0" w:space="0" w:color="auto"/>
        <w:bottom w:val="none" w:sz="0" w:space="0" w:color="auto"/>
        <w:right w:val="none" w:sz="0" w:space="0" w:color="auto"/>
      </w:divBdr>
    </w:div>
    <w:div w:id="1687170592">
      <w:bodyDiv w:val="1"/>
      <w:marLeft w:val="0"/>
      <w:marRight w:val="0"/>
      <w:marTop w:val="0"/>
      <w:marBottom w:val="0"/>
      <w:divBdr>
        <w:top w:val="none" w:sz="0" w:space="0" w:color="auto"/>
        <w:left w:val="none" w:sz="0" w:space="0" w:color="auto"/>
        <w:bottom w:val="none" w:sz="0" w:space="0" w:color="auto"/>
        <w:right w:val="none" w:sz="0" w:space="0" w:color="auto"/>
      </w:divBdr>
    </w:div>
    <w:div w:id="1687251034">
      <w:bodyDiv w:val="1"/>
      <w:marLeft w:val="0"/>
      <w:marRight w:val="0"/>
      <w:marTop w:val="0"/>
      <w:marBottom w:val="0"/>
      <w:divBdr>
        <w:top w:val="none" w:sz="0" w:space="0" w:color="auto"/>
        <w:left w:val="none" w:sz="0" w:space="0" w:color="auto"/>
        <w:bottom w:val="none" w:sz="0" w:space="0" w:color="auto"/>
        <w:right w:val="none" w:sz="0" w:space="0" w:color="auto"/>
      </w:divBdr>
    </w:div>
    <w:div w:id="1687251741">
      <w:bodyDiv w:val="1"/>
      <w:marLeft w:val="0"/>
      <w:marRight w:val="0"/>
      <w:marTop w:val="0"/>
      <w:marBottom w:val="0"/>
      <w:divBdr>
        <w:top w:val="none" w:sz="0" w:space="0" w:color="auto"/>
        <w:left w:val="none" w:sz="0" w:space="0" w:color="auto"/>
        <w:bottom w:val="none" w:sz="0" w:space="0" w:color="auto"/>
        <w:right w:val="none" w:sz="0" w:space="0" w:color="auto"/>
      </w:divBdr>
    </w:div>
    <w:div w:id="1687319407">
      <w:bodyDiv w:val="1"/>
      <w:marLeft w:val="0"/>
      <w:marRight w:val="0"/>
      <w:marTop w:val="0"/>
      <w:marBottom w:val="0"/>
      <w:divBdr>
        <w:top w:val="none" w:sz="0" w:space="0" w:color="auto"/>
        <w:left w:val="none" w:sz="0" w:space="0" w:color="auto"/>
        <w:bottom w:val="none" w:sz="0" w:space="0" w:color="auto"/>
        <w:right w:val="none" w:sz="0" w:space="0" w:color="auto"/>
      </w:divBdr>
    </w:div>
    <w:div w:id="1687322141">
      <w:bodyDiv w:val="1"/>
      <w:marLeft w:val="0"/>
      <w:marRight w:val="0"/>
      <w:marTop w:val="0"/>
      <w:marBottom w:val="0"/>
      <w:divBdr>
        <w:top w:val="none" w:sz="0" w:space="0" w:color="auto"/>
        <w:left w:val="none" w:sz="0" w:space="0" w:color="auto"/>
        <w:bottom w:val="none" w:sz="0" w:space="0" w:color="auto"/>
        <w:right w:val="none" w:sz="0" w:space="0" w:color="auto"/>
      </w:divBdr>
    </w:div>
    <w:div w:id="1687362657">
      <w:bodyDiv w:val="1"/>
      <w:marLeft w:val="0"/>
      <w:marRight w:val="0"/>
      <w:marTop w:val="0"/>
      <w:marBottom w:val="0"/>
      <w:divBdr>
        <w:top w:val="none" w:sz="0" w:space="0" w:color="auto"/>
        <w:left w:val="none" w:sz="0" w:space="0" w:color="auto"/>
        <w:bottom w:val="none" w:sz="0" w:space="0" w:color="auto"/>
        <w:right w:val="none" w:sz="0" w:space="0" w:color="auto"/>
      </w:divBdr>
    </w:div>
    <w:div w:id="1687367741">
      <w:bodyDiv w:val="1"/>
      <w:marLeft w:val="0"/>
      <w:marRight w:val="0"/>
      <w:marTop w:val="0"/>
      <w:marBottom w:val="0"/>
      <w:divBdr>
        <w:top w:val="none" w:sz="0" w:space="0" w:color="auto"/>
        <w:left w:val="none" w:sz="0" w:space="0" w:color="auto"/>
        <w:bottom w:val="none" w:sz="0" w:space="0" w:color="auto"/>
        <w:right w:val="none" w:sz="0" w:space="0" w:color="auto"/>
      </w:divBdr>
    </w:div>
    <w:div w:id="1687369251">
      <w:bodyDiv w:val="1"/>
      <w:marLeft w:val="0"/>
      <w:marRight w:val="0"/>
      <w:marTop w:val="0"/>
      <w:marBottom w:val="0"/>
      <w:divBdr>
        <w:top w:val="none" w:sz="0" w:space="0" w:color="auto"/>
        <w:left w:val="none" w:sz="0" w:space="0" w:color="auto"/>
        <w:bottom w:val="none" w:sz="0" w:space="0" w:color="auto"/>
        <w:right w:val="none" w:sz="0" w:space="0" w:color="auto"/>
      </w:divBdr>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1687975290">
      <w:bodyDiv w:val="1"/>
      <w:marLeft w:val="0"/>
      <w:marRight w:val="0"/>
      <w:marTop w:val="0"/>
      <w:marBottom w:val="0"/>
      <w:divBdr>
        <w:top w:val="none" w:sz="0" w:space="0" w:color="auto"/>
        <w:left w:val="none" w:sz="0" w:space="0" w:color="auto"/>
        <w:bottom w:val="none" w:sz="0" w:space="0" w:color="auto"/>
        <w:right w:val="none" w:sz="0" w:space="0" w:color="auto"/>
      </w:divBdr>
    </w:div>
    <w:div w:id="1688017140">
      <w:bodyDiv w:val="1"/>
      <w:marLeft w:val="0"/>
      <w:marRight w:val="0"/>
      <w:marTop w:val="0"/>
      <w:marBottom w:val="0"/>
      <w:divBdr>
        <w:top w:val="none" w:sz="0" w:space="0" w:color="auto"/>
        <w:left w:val="none" w:sz="0" w:space="0" w:color="auto"/>
        <w:bottom w:val="none" w:sz="0" w:space="0" w:color="auto"/>
        <w:right w:val="none" w:sz="0" w:space="0" w:color="auto"/>
      </w:divBdr>
    </w:div>
    <w:div w:id="1688025254">
      <w:bodyDiv w:val="1"/>
      <w:marLeft w:val="0"/>
      <w:marRight w:val="0"/>
      <w:marTop w:val="0"/>
      <w:marBottom w:val="0"/>
      <w:divBdr>
        <w:top w:val="none" w:sz="0" w:space="0" w:color="auto"/>
        <w:left w:val="none" w:sz="0" w:space="0" w:color="auto"/>
        <w:bottom w:val="none" w:sz="0" w:space="0" w:color="auto"/>
        <w:right w:val="none" w:sz="0" w:space="0" w:color="auto"/>
      </w:divBdr>
    </w:div>
    <w:div w:id="1688361116">
      <w:bodyDiv w:val="1"/>
      <w:marLeft w:val="0"/>
      <w:marRight w:val="0"/>
      <w:marTop w:val="0"/>
      <w:marBottom w:val="0"/>
      <w:divBdr>
        <w:top w:val="none" w:sz="0" w:space="0" w:color="auto"/>
        <w:left w:val="none" w:sz="0" w:space="0" w:color="auto"/>
        <w:bottom w:val="none" w:sz="0" w:space="0" w:color="auto"/>
        <w:right w:val="none" w:sz="0" w:space="0" w:color="auto"/>
      </w:divBdr>
    </w:div>
    <w:div w:id="1688404089">
      <w:bodyDiv w:val="1"/>
      <w:marLeft w:val="0"/>
      <w:marRight w:val="0"/>
      <w:marTop w:val="0"/>
      <w:marBottom w:val="0"/>
      <w:divBdr>
        <w:top w:val="none" w:sz="0" w:space="0" w:color="auto"/>
        <w:left w:val="none" w:sz="0" w:space="0" w:color="auto"/>
        <w:bottom w:val="none" w:sz="0" w:space="0" w:color="auto"/>
        <w:right w:val="none" w:sz="0" w:space="0" w:color="auto"/>
      </w:divBdr>
    </w:div>
    <w:div w:id="1688481560">
      <w:bodyDiv w:val="1"/>
      <w:marLeft w:val="0"/>
      <w:marRight w:val="0"/>
      <w:marTop w:val="0"/>
      <w:marBottom w:val="0"/>
      <w:divBdr>
        <w:top w:val="none" w:sz="0" w:space="0" w:color="auto"/>
        <w:left w:val="none" w:sz="0" w:space="0" w:color="auto"/>
        <w:bottom w:val="none" w:sz="0" w:space="0" w:color="auto"/>
        <w:right w:val="none" w:sz="0" w:space="0" w:color="auto"/>
      </w:divBdr>
    </w:div>
    <w:div w:id="1688483633">
      <w:bodyDiv w:val="1"/>
      <w:marLeft w:val="0"/>
      <w:marRight w:val="0"/>
      <w:marTop w:val="0"/>
      <w:marBottom w:val="0"/>
      <w:divBdr>
        <w:top w:val="none" w:sz="0" w:space="0" w:color="auto"/>
        <w:left w:val="none" w:sz="0" w:space="0" w:color="auto"/>
        <w:bottom w:val="none" w:sz="0" w:space="0" w:color="auto"/>
        <w:right w:val="none" w:sz="0" w:space="0" w:color="auto"/>
      </w:divBdr>
    </w:div>
    <w:div w:id="1688553440">
      <w:bodyDiv w:val="1"/>
      <w:marLeft w:val="0"/>
      <w:marRight w:val="0"/>
      <w:marTop w:val="0"/>
      <w:marBottom w:val="0"/>
      <w:divBdr>
        <w:top w:val="none" w:sz="0" w:space="0" w:color="auto"/>
        <w:left w:val="none" w:sz="0" w:space="0" w:color="auto"/>
        <w:bottom w:val="none" w:sz="0" w:space="0" w:color="auto"/>
        <w:right w:val="none" w:sz="0" w:space="0" w:color="auto"/>
      </w:divBdr>
    </w:div>
    <w:div w:id="1688630051">
      <w:bodyDiv w:val="1"/>
      <w:marLeft w:val="0"/>
      <w:marRight w:val="0"/>
      <w:marTop w:val="0"/>
      <w:marBottom w:val="0"/>
      <w:divBdr>
        <w:top w:val="none" w:sz="0" w:space="0" w:color="auto"/>
        <w:left w:val="none" w:sz="0" w:space="0" w:color="auto"/>
        <w:bottom w:val="none" w:sz="0" w:space="0" w:color="auto"/>
        <w:right w:val="none" w:sz="0" w:space="0" w:color="auto"/>
      </w:divBdr>
    </w:div>
    <w:div w:id="1688752773">
      <w:bodyDiv w:val="1"/>
      <w:marLeft w:val="0"/>
      <w:marRight w:val="0"/>
      <w:marTop w:val="0"/>
      <w:marBottom w:val="0"/>
      <w:divBdr>
        <w:top w:val="none" w:sz="0" w:space="0" w:color="auto"/>
        <w:left w:val="none" w:sz="0" w:space="0" w:color="auto"/>
        <w:bottom w:val="none" w:sz="0" w:space="0" w:color="auto"/>
        <w:right w:val="none" w:sz="0" w:space="0" w:color="auto"/>
      </w:divBdr>
    </w:div>
    <w:div w:id="1688822531">
      <w:bodyDiv w:val="1"/>
      <w:marLeft w:val="0"/>
      <w:marRight w:val="0"/>
      <w:marTop w:val="0"/>
      <w:marBottom w:val="0"/>
      <w:divBdr>
        <w:top w:val="none" w:sz="0" w:space="0" w:color="auto"/>
        <w:left w:val="none" w:sz="0" w:space="0" w:color="auto"/>
        <w:bottom w:val="none" w:sz="0" w:space="0" w:color="auto"/>
        <w:right w:val="none" w:sz="0" w:space="0" w:color="auto"/>
      </w:divBdr>
    </w:div>
    <w:div w:id="1688826238">
      <w:bodyDiv w:val="1"/>
      <w:marLeft w:val="0"/>
      <w:marRight w:val="0"/>
      <w:marTop w:val="0"/>
      <w:marBottom w:val="0"/>
      <w:divBdr>
        <w:top w:val="none" w:sz="0" w:space="0" w:color="auto"/>
        <w:left w:val="none" w:sz="0" w:space="0" w:color="auto"/>
        <w:bottom w:val="none" w:sz="0" w:space="0" w:color="auto"/>
        <w:right w:val="none" w:sz="0" w:space="0" w:color="auto"/>
      </w:divBdr>
    </w:div>
    <w:div w:id="1688872209">
      <w:bodyDiv w:val="1"/>
      <w:marLeft w:val="0"/>
      <w:marRight w:val="0"/>
      <w:marTop w:val="0"/>
      <w:marBottom w:val="0"/>
      <w:divBdr>
        <w:top w:val="none" w:sz="0" w:space="0" w:color="auto"/>
        <w:left w:val="none" w:sz="0" w:space="0" w:color="auto"/>
        <w:bottom w:val="none" w:sz="0" w:space="0" w:color="auto"/>
        <w:right w:val="none" w:sz="0" w:space="0" w:color="auto"/>
      </w:divBdr>
    </w:div>
    <w:div w:id="1688940495">
      <w:bodyDiv w:val="1"/>
      <w:marLeft w:val="0"/>
      <w:marRight w:val="0"/>
      <w:marTop w:val="0"/>
      <w:marBottom w:val="0"/>
      <w:divBdr>
        <w:top w:val="none" w:sz="0" w:space="0" w:color="auto"/>
        <w:left w:val="none" w:sz="0" w:space="0" w:color="auto"/>
        <w:bottom w:val="none" w:sz="0" w:space="0" w:color="auto"/>
        <w:right w:val="none" w:sz="0" w:space="0" w:color="auto"/>
      </w:divBdr>
    </w:div>
    <w:div w:id="1688943872">
      <w:bodyDiv w:val="1"/>
      <w:marLeft w:val="0"/>
      <w:marRight w:val="0"/>
      <w:marTop w:val="0"/>
      <w:marBottom w:val="0"/>
      <w:divBdr>
        <w:top w:val="none" w:sz="0" w:space="0" w:color="auto"/>
        <w:left w:val="none" w:sz="0" w:space="0" w:color="auto"/>
        <w:bottom w:val="none" w:sz="0" w:space="0" w:color="auto"/>
        <w:right w:val="none" w:sz="0" w:space="0" w:color="auto"/>
      </w:divBdr>
    </w:div>
    <w:div w:id="1688947311">
      <w:bodyDiv w:val="1"/>
      <w:marLeft w:val="0"/>
      <w:marRight w:val="0"/>
      <w:marTop w:val="0"/>
      <w:marBottom w:val="0"/>
      <w:divBdr>
        <w:top w:val="none" w:sz="0" w:space="0" w:color="auto"/>
        <w:left w:val="none" w:sz="0" w:space="0" w:color="auto"/>
        <w:bottom w:val="none" w:sz="0" w:space="0" w:color="auto"/>
        <w:right w:val="none" w:sz="0" w:space="0" w:color="auto"/>
      </w:divBdr>
    </w:div>
    <w:div w:id="1688947610">
      <w:bodyDiv w:val="1"/>
      <w:marLeft w:val="0"/>
      <w:marRight w:val="0"/>
      <w:marTop w:val="0"/>
      <w:marBottom w:val="0"/>
      <w:divBdr>
        <w:top w:val="none" w:sz="0" w:space="0" w:color="auto"/>
        <w:left w:val="none" w:sz="0" w:space="0" w:color="auto"/>
        <w:bottom w:val="none" w:sz="0" w:space="0" w:color="auto"/>
        <w:right w:val="none" w:sz="0" w:space="0" w:color="auto"/>
      </w:divBdr>
    </w:div>
    <w:div w:id="1688948817">
      <w:bodyDiv w:val="1"/>
      <w:marLeft w:val="0"/>
      <w:marRight w:val="0"/>
      <w:marTop w:val="0"/>
      <w:marBottom w:val="0"/>
      <w:divBdr>
        <w:top w:val="none" w:sz="0" w:space="0" w:color="auto"/>
        <w:left w:val="none" w:sz="0" w:space="0" w:color="auto"/>
        <w:bottom w:val="none" w:sz="0" w:space="0" w:color="auto"/>
        <w:right w:val="none" w:sz="0" w:space="0" w:color="auto"/>
      </w:divBdr>
    </w:div>
    <w:div w:id="1689135748">
      <w:bodyDiv w:val="1"/>
      <w:marLeft w:val="0"/>
      <w:marRight w:val="0"/>
      <w:marTop w:val="0"/>
      <w:marBottom w:val="0"/>
      <w:divBdr>
        <w:top w:val="none" w:sz="0" w:space="0" w:color="auto"/>
        <w:left w:val="none" w:sz="0" w:space="0" w:color="auto"/>
        <w:bottom w:val="none" w:sz="0" w:space="0" w:color="auto"/>
        <w:right w:val="none" w:sz="0" w:space="0" w:color="auto"/>
      </w:divBdr>
    </w:div>
    <w:div w:id="1689256529">
      <w:bodyDiv w:val="1"/>
      <w:marLeft w:val="0"/>
      <w:marRight w:val="0"/>
      <w:marTop w:val="0"/>
      <w:marBottom w:val="0"/>
      <w:divBdr>
        <w:top w:val="none" w:sz="0" w:space="0" w:color="auto"/>
        <w:left w:val="none" w:sz="0" w:space="0" w:color="auto"/>
        <w:bottom w:val="none" w:sz="0" w:space="0" w:color="auto"/>
        <w:right w:val="none" w:sz="0" w:space="0" w:color="auto"/>
      </w:divBdr>
    </w:div>
    <w:div w:id="1689401902">
      <w:bodyDiv w:val="1"/>
      <w:marLeft w:val="0"/>
      <w:marRight w:val="0"/>
      <w:marTop w:val="0"/>
      <w:marBottom w:val="0"/>
      <w:divBdr>
        <w:top w:val="none" w:sz="0" w:space="0" w:color="auto"/>
        <w:left w:val="none" w:sz="0" w:space="0" w:color="auto"/>
        <w:bottom w:val="none" w:sz="0" w:space="0" w:color="auto"/>
        <w:right w:val="none" w:sz="0" w:space="0" w:color="auto"/>
      </w:divBdr>
    </w:div>
    <w:div w:id="1689403236">
      <w:bodyDiv w:val="1"/>
      <w:marLeft w:val="0"/>
      <w:marRight w:val="0"/>
      <w:marTop w:val="0"/>
      <w:marBottom w:val="0"/>
      <w:divBdr>
        <w:top w:val="none" w:sz="0" w:space="0" w:color="auto"/>
        <w:left w:val="none" w:sz="0" w:space="0" w:color="auto"/>
        <w:bottom w:val="none" w:sz="0" w:space="0" w:color="auto"/>
        <w:right w:val="none" w:sz="0" w:space="0" w:color="auto"/>
      </w:divBdr>
    </w:div>
    <w:div w:id="1689406466">
      <w:bodyDiv w:val="1"/>
      <w:marLeft w:val="0"/>
      <w:marRight w:val="0"/>
      <w:marTop w:val="0"/>
      <w:marBottom w:val="0"/>
      <w:divBdr>
        <w:top w:val="none" w:sz="0" w:space="0" w:color="auto"/>
        <w:left w:val="none" w:sz="0" w:space="0" w:color="auto"/>
        <w:bottom w:val="none" w:sz="0" w:space="0" w:color="auto"/>
        <w:right w:val="none" w:sz="0" w:space="0" w:color="auto"/>
      </w:divBdr>
    </w:div>
    <w:div w:id="1689408928">
      <w:bodyDiv w:val="1"/>
      <w:marLeft w:val="0"/>
      <w:marRight w:val="0"/>
      <w:marTop w:val="0"/>
      <w:marBottom w:val="0"/>
      <w:divBdr>
        <w:top w:val="none" w:sz="0" w:space="0" w:color="auto"/>
        <w:left w:val="none" w:sz="0" w:space="0" w:color="auto"/>
        <w:bottom w:val="none" w:sz="0" w:space="0" w:color="auto"/>
        <w:right w:val="none" w:sz="0" w:space="0" w:color="auto"/>
      </w:divBdr>
    </w:div>
    <w:div w:id="1689409984">
      <w:bodyDiv w:val="1"/>
      <w:marLeft w:val="0"/>
      <w:marRight w:val="0"/>
      <w:marTop w:val="0"/>
      <w:marBottom w:val="0"/>
      <w:divBdr>
        <w:top w:val="none" w:sz="0" w:space="0" w:color="auto"/>
        <w:left w:val="none" w:sz="0" w:space="0" w:color="auto"/>
        <w:bottom w:val="none" w:sz="0" w:space="0" w:color="auto"/>
        <w:right w:val="none" w:sz="0" w:space="0" w:color="auto"/>
      </w:divBdr>
    </w:div>
    <w:div w:id="1689602758">
      <w:bodyDiv w:val="1"/>
      <w:marLeft w:val="0"/>
      <w:marRight w:val="0"/>
      <w:marTop w:val="0"/>
      <w:marBottom w:val="0"/>
      <w:divBdr>
        <w:top w:val="none" w:sz="0" w:space="0" w:color="auto"/>
        <w:left w:val="none" w:sz="0" w:space="0" w:color="auto"/>
        <w:bottom w:val="none" w:sz="0" w:space="0" w:color="auto"/>
        <w:right w:val="none" w:sz="0" w:space="0" w:color="auto"/>
      </w:divBdr>
    </w:div>
    <w:div w:id="1689788656">
      <w:bodyDiv w:val="1"/>
      <w:marLeft w:val="0"/>
      <w:marRight w:val="0"/>
      <w:marTop w:val="0"/>
      <w:marBottom w:val="0"/>
      <w:divBdr>
        <w:top w:val="none" w:sz="0" w:space="0" w:color="auto"/>
        <w:left w:val="none" w:sz="0" w:space="0" w:color="auto"/>
        <w:bottom w:val="none" w:sz="0" w:space="0" w:color="auto"/>
        <w:right w:val="none" w:sz="0" w:space="0" w:color="auto"/>
      </w:divBdr>
    </w:div>
    <w:div w:id="1690065458">
      <w:bodyDiv w:val="1"/>
      <w:marLeft w:val="0"/>
      <w:marRight w:val="0"/>
      <w:marTop w:val="0"/>
      <w:marBottom w:val="0"/>
      <w:divBdr>
        <w:top w:val="none" w:sz="0" w:space="0" w:color="auto"/>
        <w:left w:val="none" w:sz="0" w:space="0" w:color="auto"/>
        <w:bottom w:val="none" w:sz="0" w:space="0" w:color="auto"/>
        <w:right w:val="none" w:sz="0" w:space="0" w:color="auto"/>
      </w:divBdr>
    </w:div>
    <w:div w:id="1690109286">
      <w:bodyDiv w:val="1"/>
      <w:marLeft w:val="0"/>
      <w:marRight w:val="0"/>
      <w:marTop w:val="0"/>
      <w:marBottom w:val="0"/>
      <w:divBdr>
        <w:top w:val="none" w:sz="0" w:space="0" w:color="auto"/>
        <w:left w:val="none" w:sz="0" w:space="0" w:color="auto"/>
        <w:bottom w:val="none" w:sz="0" w:space="0" w:color="auto"/>
        <w:right w:val="none" w:sz="0" w:space="0" w:color="auto"/>
      </w:divBdr>
    </w:div>
    <w:div w:id="1690136519">
      <w:bodyDiv w:val="1"/>
      <w:marLeft w:val="0"/>
      <w:marRight w:val="0"/>
      <w:marTop w:val="0"/>
      <w:marBottom w:val="0"/>
      <w:divBdr>
        <w:top w:val="none" w:sz="0" w:space="0" w:color="auto"/>
        <w:left w:val="none" w:sz="0" w:space="0" w:color="auto"/>
        <w:bottom w:val="none" w:sz="0" w:space="0" w:color="auto"/>
        <w:right w:val="none" w:sz="0" w:space="0" w:color="auto"/>
      </w:divBdr>
    </w:div>
    <w:div w:id="1690254072">
      <w:bodyDiv w:val="1"/>
      <w:marLeft w:val="0"/>
      <w:marRight w:val="0"/>
      <w:marTop w:val="0"/>
      <w:marBottom w:val="0"/>
      <w:divBdr>
        <w:top w:val="none" w:sz="0" w:space="0" w:color="auto"/>
        <w:left w:val="none" w:sz="0" w:space="0" w:color="auto"/>
        <w:bottom w:val="none" w:sz="0" w:space="0" w:color="auto"/>
        <w:right w:val="none" w:sz="0" w:space="0" w:color="auto"/>
      </w:divBdr>
    </w:div>
    <w:div w:id="1690254580">
      <w:bodyDiv w:val="1"/>
      <w:marLeft w:val="0"/>
      <w:marRight w:val="0"/>
      <w:marTop w:val="0"/>
      <w:marBottom w:val="0"/>
      <w:divBdr>
        <w:top w:val="none" w:sz="0" w:space="0" w:color="auto"/>
        <w:left w:val="none" w:sz="0" w:space="0" w:color="auto"/>
        <w:bottom w:val="none" w:sz="0" w:space="0" w:color="auto"/>
        <w:right w:val="none" w:sz="0" w:space="0" w:color="auto"/>
      </w:divBdr>
    </w:div>
    <w:div w:id="1690329612">
      <w:bodyDiv w:val="1"/>
      <w:marLeft w:val="0"/>
      <w:marRight w:val="0"/>
      <w:marTop w:val="0"/>
      <w:marBottom w:val="0"/>
      <w:divBdr>
        <w:top w:val="none" w:sz="0" w:space="0" w:color="auto"/>
        <w:left w:val="none" w:sz="0" w:space="0" w:color="auto"/>
        <w:bottom w:val="none" w:sz="0" w:space="0" w:color="auto"/>
        <w:right w:val="none" w:sz="0" w:space="0" w:color="auto"/>
      </w:divBdr>
    </w:div>
    <w:div w:id="1690375576">
      <w:bodyDiv w:val="1"/>
      <w:marLeft w:val="0"/>
      <w:marRight w:val="0"/>
      <w:marTop w:val="0"/>
      <w:marBottom w:val="0"/>
      <w:divBdr>
        <w:top w:val="none" w:sz="0" w:space="0" w:color="auto"/>
        <w:left w:val="none" w:sz="0" w:space="0" w:color="auto"/>
        <w:bottom w:val="none" w:sz="0" w:space="0" w:color="auto"/>
        <w:right w:val="none" w:sz="0" w:space="0" w:color="auto"/>
      </w:divBdr>
    </w:div>
    <w:div w:id="1690451258">
      <w:bodyDiv w:val="1"/>
      <w:marLeft w:val="0"/>
      <w:marRight w:val="0"/>
      <w:marTop w:val="0"/>
      <w:marBottom w:val="0"/>
      <w:divBdr>
        <w:top w:val="none" w:sz="0" w:space="0" w:color="auto"/>
        <w:left w:val="none" w:sz="0" w:space="0" w:color="auto"/>
        <w:bottom w:val="none" w:sz="0" w:space="0" w:color="auto"/>
        <w:right w:val="none" w:sz="0" w:space="0" w:color="auto"/>
      </w:divBdr>
    </w:div>
    <w:div w:id="1690519989">
      <w:bodyDiv w:val="1"/>
      <w:marLeft w:val="0"/>
      <w:marRight w:val="0"/>
      <w:marTop w:val="0"/>
      <w:marBottom w:val="0"/>
      <w:divBdr>
        <w:top w:val="none" w:sz="0" w:space="0" w:color="auto"/>
        <w:left w:val="none" w:sz="0" w:space="0" w:color="auto"/>
        <w:bottom w:val="none" w:sz="0" w:space="0" w:color="auto"/>
        <w:right w:val="none" w:sz="0" w:space="0" w:color="auto"/>
      </w:divBdr>
    </w:div>
    <w:div w:id="1690598235">
      <w:bodyDiv w:val="1"/>
      <w:marLeft w:val="0"/>
      <w:marRight w:val="0"/>
      <w:marTop w:val="0"/>
      <w:marBottom w:val="0"/>
      <w:divBdr>
        <w:top w:val="none" w:sz="0" w:space="0" w:color="auto"/>
        <w:left w:val="none" w:sz="0" w:space="0" w:color="auto"/>
        <w:bottom w:val="none" w:sz="0" w:space="0" w:color="auto"/>
        <w:right w:val="none" w:sz="0" w:space="0" w:color="auto"/>
      </w:divBdr>
    </w:div>
    <w:div w:id="1690599130">
      <w:bodyDiv w:val="1"/>
      <w:marLeft w:val="0"/>
      <w:marRight w:val="0"/>
      <w:marTop w:val="0"/>
      <w:marBottom w:val="0"/>
      <w:divBdr>
        <w:top w:val="none" w:sz="0" w:space="0" w:color="auto"/>
        <w:left w:val="none" w:sz="0" w:space="0" w:color="auto"/>
        <w:bottom w:val="none" w:sz="0" w:space="0" w:color="auto"/>
        <w:right w:val="none" w:sz="0" w:space="0" w:color="auto"/>
      </w:divBdr>
    </w:div>
    <w:div w:id="1690644758">
      <w:bodyDiv w:val="1"/>
      <w:marLeft w:val="0"/>
      <w:marRight w:val="0"/>
      <w:marTop w:val="0"/>
      <w:marBottom w:val="0"/>
      <w:divBdr>
        <w:top w:val="none" w:sz="0" w:space="0" w:color="auto"/>
        <w:left w:val="none" w:sz="0" w:space="0" w:color="auto"/>
        <w:bottom w:val="none" w:sz="0" w:space="0" w:color="auto"/>
        <w:right w:val="none" w:sz="0" w:space="0" w:color="auto"/>
      </w:divBdr>
    </w:div>
    <w:div w:id="1690646597">
      <w:bodyDiv w:val="1"/>
      <w:marLeft w:val="0"/>
      <w:marRight w:val="0"/>
      <w:marTop w:val="0"/>
      <w:marBottom w:val="0"/>
      <w:divBdr>
        <w:top w:val="none" w:sz="0" w:space="0" w:color="auto"/>
        <w:left w:val="none" w:sz="0" w:space="0" w:color="auto"/>
        <w:bottom w:val="none" w:sz="0" w:space="0" w:color="auto"/>
        <w:right w:val="none" w:sz="0" w:space="0" w:color="auto"/>
      </w:divBdr>
    </w:div>
    <w:div w:id="1690714534">
      <w:bodyDiv w:val="1"/>
      <w:marLeft w:val="0"/>
      <w:marRight w:val="0"/>
      <w:marTop w:val="0"/>
      <w:marBottom w:val="0"/>
      <w:divBdr>
        <w:top w:val="none" w:sz="0" w:space="0" w:color="auto"/>
        <w:left w:val="none" w:sz="0" w:space="0" w:color="auto"/>
        <w:bottom w:val="none" w:sz="0" w:space="0" w:color="auto"/>
        <w:right w:val="none" w:sz="0" w:space="0" w:color="auto"/>
      </w:divBdr>
    </w:div>
    <w:div w:id="1690716548">
      <w:bodyDiv w:val="1"/>
      <w:marLeft w:val="0"/>
      <w:marRight w:val="0"/>
      <w:marTop w:val="0"/>
      <w:marBottom w:val="0"/>
      <w:divBdr>
        <w:top w:val="none" w:sz="0" w:space="0" w:color="auto"/>
        <w:left w:val="none" w:sz="0" w:space="0" w:color="auto"/>
        <w:bottom w:val="none" w:sz="0" w:space="0" w:color="auto"/>
        <w:right w:val="none" w:sz="0" w:space="0" w:color="auto"/>
      </w:divBdr>
    </w:div>
    <w:div w:id="1690716651">
      <w:bodyDiv w:val="1"/>
      <w:marLeft w:val="0"/>
      <w:marRight w:val="0"/>
      <w:marTop w:val="0"/>
      <w:marBottom w:val="0"/>
      <w:divBdr>
        <w:top w:val="none" w:sz="0" w:space="0" w:color="auto"/>
        <w:left w:val="none" w:sz="0" w:space="0" w:color="auto"/>
        <w:bottom w:val="none" w:sz="0" w:space="0" w:color="auto"/>
        <w:right w:val="none" w:sz="0" w:space="0" w:color="auto"/>
      </w:divBdr>
    </w:div>
    <w:div w:id="1690789332">
      <w:bodyDiv w:val="1"/>
      <w:marLeft w:val="0"/>
      <w:marRight w:val="0"/>
      <w:marTop w:val="0"/>
      <w:marBottom w:val="0"/>
      <w:divBdr>
        <w:top w:val="none" w:sz="0" w:space="0" w:color="auto"/>
        <w:left w:val="none" w:sz="0" w:space="0" w:color="auto"/>
        <w:bottom w:val="none" w:sz="0" w:space="0" w:color="auto"/>
        <w:right w:val="none" w:sz="0" w:space="0" w:color="auto"/>
      </w:divBdr>
    </w:div>
    <w:div w:id="1690907136">
      <w:bodyDiv w:val="1"/>
      <w:marLeft w:val="0"/>
      <w:marRight w:val="0"/>
      <w:marTop w:val="0"/>
      <w:marBottom w:val="0"/>
      <w:divBdr>
        <w:top w:val="none" w:sz="0" w:space="0" w:color="auto"/>
        <w:left w:val="none" w:sz="0" w:space="0" w:color="auto"/>
        <w:bottom w:val="none" w:sz="0" w:space="0" w:color="auto"/>
        <w:right w:val="none" w:sz="0" w:space="0" w:color="auto"/>
      </w:divBdr>
    </w:div>
    <w:div w:id="1691026726">
      <w:bodyDiv w:val="1"/>
      <w:marLeft w:val="0"/>
      <w:marRight w:val="0"/>
      <w:marTop w:val="0"/>
      <w:marBottom w:val="0"/>
      <w:divBdr>
        <w:top w:val="none" w:sz="0" w:space="0" w:color="auto"/>
        <w:left w:val="none" w:sz="0" w:space="0" w:color="auto"/>
        <w:bottom w:val="none" w:sz="0" w:space="0" w:color="auto"/>
        <w:right w:val="none" w:sz="0" w:space="0" w:color="auto"/>
      </w:divBdr>
    </w:div>
    <w:div w:id="1691056940">
      <w:bodyDiv w:val="1"/>
      <w:marLeft w:val="0"/>
      <w:marRight w:val="0"/>
      <w:marTop w:val="0"/>
      <w:marBottom w:val="0"/>
      <w:divBdr>
        <w:top w:val="none" w:sz="0" w:space="0" w:color="auto"/>
        <w:left w:val="none" w:sz="0" w:space="0" w:color="auto"/>
        <w:bottom w:val="none" w:sz="0" w:space="0" w:color="auto"/>
        <w:right w:val="none" w:sz="0" w:space="0" w:color="auto"/>
      </w:divBdr>
    </w:div>
    <w:div w:id="1691101081">
      <w:bodyDiv w:val="1"/>
      <w:marLeft w:val="0"/>
      <w:marRight w:val="0"/>
      <w:marTop w:val="0"/>
      <w:marBottom w:val="0"/>
      <w:divBdr>
        <w:top w:val="none" w:sz="0" w:space="0" w:color="auto"/>
        <w:left w:val="none" w:sz="0" w:space="0" w:color="auto"/>
        <w:bottom w:val="none" w:sz="0" w:space="0" w:color="auto"/>
        <w:right w:val="none" w:sz="0" w:space="0" w:color="auto"/>
      </w:divBdr>
    </w:div>
    <w:div w:id="1691176505">
      <w:bodyDiv w:val="1"/>
      <w:marLeft w:val="0"/>
      <w:marRight w:val="0"/>
      <w:marTop w:val="0"/>
      <w:marBottom w:val="0"/>
      <w:divBdr>
        <w:top w:val="none" w:sz="0" w:space="0" w:color="auto"/>
        <w:left w:val="none" w:sz="0" w:space="0" w:color="auto"/>
        <w:bottom w:val="none" w:sz="0" w:space="0" w:color="auto"/>
        <w:right w:val="none" w:sz="0" w:space="0" w:color="auto"/>
      </w:divBdr>
    </w:div>
    <w:div w:id="1691226680">
      <w:bodyDiv w:val="1"/>
      <w:marLeft w:val="0"/>
      <w:marRight w:val="0"/>
      <w:marTop w:val="0"/>
      <w:marBottom w:val="0"/>
      <w:divBdr>
        <w:top w:val="none" w:sz="0" w:space="0" w:color="auto"/>
        <w:left w:val="none" w:sz="0" w:space="0" w:color="auto"/>
        <w:bottom w:val="none" w:sz="0" w:space="0" w:color="auto"/>
        <w:right w:val="none" w:sz="0" w:space="0" w:color="auto"/>
      </w:divBdr>
    </w:div>
    <w:div w:id="1691300384">
      <w:bodyDiv w:val="1"/>
      <w:marLeft w:val="0"/>
      <w:marRight w:val="0"/>
      <w:marTop w:val="0"/>
      <w:marBottom w:val="0"/>
      <w:divBdr>
        <w:top w:val="none" w:sz="0" w:space="0" w:color="auto"/>
        <w:left w:val="none" w:sz="0" w:space="0" w:color="auto"/>
        <w:bottom w:val="none" w:sz="0" w:space="0" w:color="auto"/>
        <w:right w:val="none" w:sz="0" w:space="0" w:color="auto"/>
      </w:divBdr>
    </w:div>
    <w:div w:id="1691369680">
      <w:bodyDiv w:val="1"/>
      <w:marLeft w:val="0"/>
      <w:marRight w:val="0"/>
      <w:marTop w:val="0"/>
      <w:marBottom w:val="0"/>
      <w:divBdr>
        <w:top w:val="none" w:sz="0" w:space="0" w:color="auto"/>
        <w:left w:val="none" w:sz="0" w:space="0" w:color="auto"/>
        <w:bottom w:val="none" w:sz="0" w:space="0" w:color="auto"/>
        <w:right w:val="none" w:sz="0" w:space="0" w:color="auto"/>
      </w:divBdr>
    </w:div>
    <w:div w:id="1691370167">
      <w:bodyDiv w:val="1"/>
      <w:marLeft w:val="0"/>
      <w:marRight w:val="0"/>
      <w:marTop w:val="0"/>
      <w:marBottom w:val="0"/>
      <w:divBdr>
        <w:top w:val="none" w:sz="0" w:space="0" w:color="auto"/>
        <w:left w:val="none" w:sz="0" w:space="0" w:color="auto"/>
        <w:bottom w:val="none" w:sz="0" w:space="0" w:color="auto"/>
        <w:right w:val="none" w:sz="0" w:space="0" w:color="auto"/>
      </w:divBdr>
    </w:div>
    <w:div w:id="1691444998">
      <w:bodyDiv w:val="1"/>
      <w:marLeft w:val="0"/>
      <w:marRight w:val="0"/>
      <w:marTop w:val="0"/>
      <w:marBottom w:val="0"/>
      <w:divBdr>
        <w:top w:val="none" w:sz="0" w:space="0" w:color="auto"/>
        <w:left w:val="none" w:sz="0" w:space="0" w:color="auto"/>
        <w:bottom w:val="none" w:sz="0" w:space="0" w:color="auto"/>
        <w:right w:val="none" w:sz="0" w:space="0" w:color="auto"/>
      </w:divBdr>
    </w:div>
    <w:div w:id="1691445547">
      <w:bodyDiv w:val="1"/>
      <w:marLeft w:val="0"/>
      <w:marRight w:val="0"/>
      <w:marTop w:val="0"/>
      <w:marBottom w:val="0"/>
      <w:divBdr>
        <w:top w:val="none" w:sz="0" w:space="0" w:color="auto"/>
        <w:left w:val="none" w:sz="0" w:space="0" w:color="auto"/>
        <w:bottom w:val="none" w:sz="0" w:space="0" w:color="auto"/>
        <w:right w:val="none" w:sz="0" w:space="0" w:color="auto"/>
      </w:divBdr>
    </w:div>
    <w:div w:id="1691447885">
      <w:bodyDiv w:val="1"/>
      <w:marLeft w:val="0"/>
      <w:marRight w:val="0"/>
      <w:marTop w:val="0"/>
      <w:marBottom w:val="0"/>
      <w:divBdr>
        <w:top w:val="none" w:sz="0" w:space="0" w:color="auto"/>
        <w:left w:val="none" w:sz="0" w:space="0" w:color="auto"/>
        <w:bottom w:val="none" w:sz="0" w:space="0" w:color="auto"/>
        <w:right w:val="none" w:sz="0" w:space="0" w:color="auto"/>
      </w:divBdr>
    </w:div>
    <w:div w:id="1691488678">
      <w:bodyDiv w:val="1"/>
      <w:marLeft w:val="0"/>
      <w:marRight w:val="0"/>
      <w:marTop w:val="0"/>
      <w:marBottom w:val="0"/>
      <w:divBdr>
        <w:top w:val="none" w:sz="0" w:space="0" w:color="auto"/>
        <w:left w:val="none" w:sz="0" w:space="0" w:color="auto"/>
        <w:bottom w:val="none" w:sz="0" w:space="0" w:color="auto"/>
        <w:right w:val="none" w:sz="0" w:space="0" w:color="auto"/>
      </w:divBdr>
    </w:div>
    <w:div w:id="1691566123">
      <w:bodyDiv w:val="1"/>
      <w:marLeft w:val="0"/>
      <w:marRight w:val="0"/>
      <w:marTop w:val="0"/>
      <w:marBottom w:val="0"/>
      <w:divBdr>
        <w:top w:val="none" w:sz="0" w:space="0" w:color="auto"/>
        <w:left w:val="none" w:sz="0" w:space="0" w:color="auto"/>
        <w:bottom w:val="none" w:sz="0" w:space="0" w:color="auto"/>
        <w:right w:val="none" w:sz="0" w:space="0" w:color="auto"/>
      </w:divBdr>
    </w:div>
    <w:div w:id="1691713016">
      <w:bodyDiv w:val="1"/>
      <w:marLeft w:val="0"/>
      <w:marRight w:val="0"/>
      <w:marTop w:val="0"/>
      <w:marBottom w:val="0"/>
      <w:divBdr>
        <w:top w:val="none" w:sz="0" w:space="0" w:color="auto"/>
        <w:left w:val="none" w:sz="0" w:space="0" w:color="auto"/>
        <w:bottom w:val="none" w:sz="0" w:space="0" w:color="auto"/>
        <w:right w:val="none" w:sz="0" w:space="0" w:color="auto"/>
      </w:divBdr>
    </w:div>
    <w:div w:id="1691763736">
      <w:bodyDiv w:val="1"/>
      <w:marLeft w:val="0"/>
      <w:marRight w:val="0"/>
      <w:marTop w:val="0"/>
      <w:marBottom w:val="0"/>
      <w:divBdr>
        <w:top w:val="none" w:sz="0" w:space="0" w:color="auto"/>
        <w:left w:val="none" w:sz="0" w:space="0" w:color="auto"/>
        <w:bottom w:val="none" w:sz="0" w:space="0" w:color="auto"/>
        <w:right w:val="none" w:sz="0" w:space="0" w:color="auto"/>
      </w:divBdr>
    </w:div>
    <w:div w:id="1691905286">
      <w:bodyDiv w:val="1"/>
      <w:marLeft w:val="0"/>
      <w:marRight w:val="0"/>
      <w:marTop w:val="0"/>
      <w:marBottom w:val="0"/>
      <w:divBdr>
        <w:top w:val="none" w:sz="0" w:space="0" w:color="auto"/>
        <w:left w:val="none" w:sz="0" w:space="0" w:color="auto"/>
        <w:bottom w:val="none" w:sz="0" w:space="0" w:color="auto"/>
        <w:right w:val="none" w:sz="0" w:space="0" w:color="auto"/>
      </w:divBdr>
    </w:div>
    <w:div w:id="1691906940">
      <w:bodyDiv w:val="1"/>
      <w:marLeft w:val="0"/>
      <w:marRight w:val="0"/>
      <w:marTop w:val="0"/>
      <w:marBottom w:val="0"/>
      <w:divBdr>
        <w:top w:val="none" w:sz="0" w:space="0" w:color="auto"/>
        <w:left w:val="none" w:sz="0" w:space="0" w:color="auto"/>
        <w:bottom w:val="none" w:sz="0" w:space="0" w:color="auto"/>
        <w:right w:val="none" w:sz="0" w:space="0" w:color="auto"/>
      </w:divBdr>
    </w:div>
    <w:div w:id="1691908400">
      <w:bodyDiv w:val="1"/>
      <w:marLeft w:val="0"/>
      <w:marRight w:val="0"/>
      <w:marTop w:val="0"/>
      <w:marBottom w:val="0"/>
      <w:divBdr>
        <w:top w:val="none" w:sz="0" w:space="0" w:color="auto"/>
        <w:left w:val="none" w:sz="0" w:space="0" w:color="auto"/>
        <w:bottom w:val="none" w:sz="0" w:space="0" w:color="auto"/>
        <w:right w:val="none" w:sz="0" w:space="0" w:color="auto"/>
      </w:divBdr>
    </w:div>
    <w:div w:id="1691949849">
      <w:bodyDiv w:val="1"/>
      <w:marLeft w:val="0"/>
      <w:marRight w:val="0"/>
      <w:marTop w:val="0"/>
      <w:marBottom w:val="0"/>
      <w:divBdr>
        <w:top w:val="none" w:sz="0" w:space="0" w:color="auto"/>
        <w:left w:val="none" w:sz="0" w:space="0" w:color="auto"/>
        <w:bottom w:val="none" w:sz="0" w:space="0" w:color="auto"/>
        <w:right w:val="none" w:sz="0" w:space="0" w:color="auto"/>
      </w:divBdr>
    </w:div>
    <w:div w:id="1691953296">
      <w:bodyDiv w:val="1"/>
      <w:marLeft w:val="0"/>
      <w:marRight w:val="0"/>
      <w:marTop w:val="0"/>
      <w:marBottom w:val="0"/>
      <w:divBdr>
        <w:top w:val="none" w:sz="0" w:space="0" w:color="auto"/>
        <w:left w:val="none" w:sz="0" w:space="0" w:color="auto"/>
        <w:bottom w:val="none" w:sz="0" w:space="0" w:color="auto"/>
        <w:right w:val="none" w:sz="0" w:space="0" w:color="auto"/>
      </w:divBdr>
    </w:div>
    <w:div w:id="1691956846">
      <w:bodyDiv w:val="1"/>
      <w:marLeft w:val="0"/>
      <w:marRight w:val="0"/>
      <w:marTop w:val="0"/>
      <w:marBottom w:val="0"/>
      <w:divBdr>
        <w:top w:val="none" w:sz="0" w:space="0" w:color="auto"/>
        <w:left w:val="none" w:sz="0" w:space="0" w:color="auto"/>
        <w:bottom w:val="none" w:sz="0" w:space="0" w:color="auto"/>
        <w:right w:val="none" w:sz="0" w:space="0" w:color="auto"/>
      </w:divBdr>
    </w:div>
    <w:div w:id="1692028350">
      <w:bodyDiv w:val="1"/>
      <w:marLeft w:val="0"/>
      <w:marRight w:val="0"/>
      <w:marTop w:val="0"/>
      <w:marBottom w:val="0"/>
      <w:divBdr>
        <w:top w:val="none" w:sz="0" w:space="0" w:color="auto"/>
        <w:left w:val="none" w:sz="0" w:space="0" w:color="auto"/>
        <w:bottom w:val="none" w:sz="0" w:space="0" w:color="auto"/>
        <w:right w:val="none" w:sz="0" w:space="0" w:color="auto"/>
      </w:divBdr>
    </w:div>
    <w:div w:id="1692032035">
      <w:bodyDiv w:val="1"/>
      <w:marLeft w:val="0"/>
      <w:marRight w:val="0"/>
      <w:marTop w:val="0"/>
      <w:marBottom w:val="0"/>
      <w:divBdr>
        <w:top w:val="none" w:sz="0" w:space="0" w:color="auto"/>
        <w:left w:val="none" w:sz="0" w:space="0" w:color="auto"/>
        <w:bottom w:val="none" w:sz="0" w:space="0" w:color="auto"/>
        <w:right w:val="none" w:sz="0" w:space="0" w:color="auto"/>
      </w:divBdr>
    </w:div>
    <w:div w:id="1692221512">
      <w:bodyDiv w:val="1"/>
      <w:marLeft w:val="0"/>
      <w:marRight w:val="0"/>
      <w:marTop w:val="0"/>
      <w:marBottom w:val="0"/>
      <w:divBdr>
        <w:top w:val="none" w:sz="0" w:space="0" w:color="auto"/>
        <w:left w:val="none" w:sz="0" w:space="0" w:color="auto"/>
        <w:bottom w:val="none" w:sz="0" w:space="0" w:color="auto"/>
        <w:right w:val="none" w:sz="0" w:space="0" w:color="auto"/>
      </w:divBdr>
    </w:div>
    <w:div w:id="1692296951">
      <w:bodyDiv w:val="1"/>
      <w:marLeft w:val="0"/>
      <w:marRight w:val="0"/>
      <w:marTop w:val="0"/>
      <w:marBottom w:val="0"/>
      <w:divBdr>
        <w:top w:val="none" w:sz="0" w:space="0" w:color="auto"/>
        <w:left w:val="none" w:sz="0" w:space="0" w:color="auto"/>
        <w:bottom w:val="none" w:sz="0" w:space="0" w:color="auto"/>
        <w:right w:val="none" w:sz="0" w:space="0" w:color="auto"/>
      </w:divBdr>
    </w:div>
    <w:div w:id="1692297393">
      <w:bodyDiv w:val="1"/>
      <w:marLeft w:val="0"/>
      <w:marRight w:val="0"/>
      <w:marTop w:val="0"/>
      <w:marBottom w:val="0"/>
      <w:divBdr>
        <w:top w:val="none" w:sz="0" w:space="0" w:color="auto"/>
        <w:left w:val="none" w:sz="0" w:space="0" w:color="auto"/>
        <w:bottom w:val="none" w:sz="0" w:space="0" w:color="auto"/>
        <w:right w:val="none" w:sz="0" w:space="0" w:color="auto"/>
      </w:divBdr>
    </w:div>
    <w:div w:id="1692337155">
      <w:bodyDiv w:val="1"/>
      <w:marLeft w:val="0"/>
      <w:marRight w:val="0"/>
      <w:marTop w:val="0"/>
      <w:marBottom w:val="0"/>
      <w:divBdr>
        <w:top w:val="none" w:sz="0" w:space="0" w:color="auto"/>
        <w:left w:val="none" w:sz="0" w:space="0" w:color="auto"/>
        <w:bottom w:val="none" w:sz="0" w:space="0" w:color="auto"/>
        <w:right w:val="none" w:sz="0" w:space="0" w:color="auto"/>
      </w:divBdr>
    </w:div>
    <w:div w:id="1692413592">
      <w:bodyDiv w:val="1"/>
      <w:marLeft w:val="0"/>
      <w:marRight w:val="0"/>
      <w:marTop w:val="0"/>
      <w:marBottom w:val="0"/>
      <w:divBdr>
        <w:top w:val="none" w:sz="0" w:space="0" w:color="auto"/>
        <w:left w:val="none" w:sz="0" w:space="0" w:color="auto"/>
        <w:bottom w:val="none" w:sz="0" w:space="0" w:color="auto"/>
        <w:right w:val="none" w:sz="0" w:space="0" w:color="auto"/>
      </w:divBdr>
    </w:div>
    <w:div w:id="1692415086">
      <w:bodyDiv w:val="1"/>
      <w:marLeft w:val="0"/>
      <w:marRight w:val="0"/>
      <w:marTop w:val="0"/>
      <w:marBottom w:val="0"/>
      <w:divBdr>
        <w:top w:val="none" w:sz="0" w:space="0" w:color="auto"/>
        <w:left w:val="none" w:sz="0" w:space="0" w:color="auto"/>
        <w:bottom w:val="none" w:sz="0" w:space="0" w:color="auto"/>
        <w:right w:val="none" w:sz="0" w:space="0" w:color="auto"/>
      </w:divBdr>
    </w:div>
    <w:div w:id="1692416155">
      <w:bodyDiv w:val="1"/>
      <w:marLeft w:val="0"/>
      <w:marRight w:val="0"/>
      <w:marTop w:val="0"/>
      <w:marBottom w:val="0"/>
      <w:divBdr>
        <w:top w:val="none" w:sz="0" w:space="0" w:color="auto"/>
        <w:left w:val="none" w:sz="0" w:space="0" w:color="auto"/>
        <w:bottom w:val="none" w:sz="0" w:space="0" w:color="auto"/>
        <w:right w:val="none" w:sz="0" w:space="0" w:color="auto"/>
      </w:divBdr>
    </w:div>
    <w:div w:id="1692684421">
      <w:bodyDiv w:val="1"/>
      <w:marLeft w:val="0"/>
      <w:marRight w:val="0"/>
      <w:marTop w:val="0"/>
      <w:marBottom w:val="0"/>
      <w:divBdr>
        <w:top w:val="none" w:sz="0" w:space="0" w:color="auto"/>
        <w:left w:val="none" w:sz="0" w:space="0" w:color="auto"/>
        <w:bottom w:val="none" w:sz="0" w:space="0" w:color="auto"/>
        <w:right w:val="none" w:sz="0" w:space="0" w:color="auto"/>
      </w:divBdr>
    </w:div>
    <w:div w:id="1692872540">
      <w:bodyDiv w:val="1"/>
      <w:marLeft w:val="0"/>
      <w:marRight w:val="0"/>
      <w:marTop w:val="0"/>
      <w:marBottom w:val="0"/>
      <w:divBdr>
        <w:top w:val="none" w:sz="0" w:space="0" w:color="auto"/>
        <w:left w:val="none" w:sz="0" w:space="0" w:color="auto"/>
        <w:bottom w:val="none" w:sz="0" w:space="0" w:color="auto"/>
        <w:right w:val="none" w:sz="0" w:space="0" w:color="auto"/>
      </w:divBdr>
    </w:div>
    <w:div w:id="1692992990">
      <w:bodyDiv w:val="1"/>
      <w:marLeft w:val="0"/>
      <w:marRight w:val="0"/>
      <w:marTop w:val="0"/>
      <w:marBottom w:val="0"/>
      <w:divBdr>
        <w:top w:val="none" w:sz="0" w:space="0" w:color="auto"/>
        <w:left w:val="none" w:sz="0" w:space="0" w:color="auto"/>
        <w:bottom w:val="none" w:sz="0" w:space="0" w:color="auto"/>
        <w:right w:val="none" w:sz="0" w:space="0" w:color="auto"/>
      </w:divBdr>
    </w:div>
    <w:div w:id="1693022256">
      <w:bodyDiv w:val="1"/>
      <w:marLeft w:val="0"/>
      <w:marRight w:val="0"/>
      <w:marTop w:val="0"/>
      <w:marBottom w:val="0"/>
      <w:divBdr>
        <w:top w:val="none" w:sz="0" w:space="0" w:color="auto"/>
        <w:left w:val="none" w:sz="0" w:space="0" w:color="auto"/>
        <w:bottom w:val="none" w:sz="0" w:space="0" w:color="auto"/>
        <w:right w:val="none" w:sz="0" w:space="0" w:color="auto"/>
      </w:divBdr>
    </w:div>
    <w:div w:id="1693072719">
      <w:bodyDiv w:val="1"/>
      <w:marLeft w:val="0"/>
      <w:marRight w:val="0"/>
      <w:marTop w:val="0"/>
      <w:marBottom w:val="0"/>
      <w:divBdr>
        <w:top w:val="none" w:sz="0" w:space="0" w:color="auto"/>
        <w:left w:val="none" w:sz="0" w:space="0" w:color="auto"/>
        <w:bottom w:val="none" w:sz="0" w:space="0" w:color="auto"/>
        <w:right w:val="none" w:sz="0" w:space="0" w:color="auto"/>
      </w:divBdr>
    </w:div>
    <w:div w:id="1693258703">
      <w:bodyDiv w:val="1"/>
      <w:marLeft w:val="0"/>
      <w:marRight w:val="0"/>
      <w:marTop w:val="0"/>
      <w:marBottom w:val="0"/>
      <w:divBdr>
        <w:top w:val="none" w:sz="0" w:space="0" w:color="auto"/>
        <w:left w:val="none" w:sz="0" w:space="0" w:color="auto"/>
        <w:bottom w:val="none" w:sz="0" w:space="0" w:color="auto"/>
        <w:right w:val="none" w:sz="0" w:space="0" w:color="auto"/>
      </w:divBdr>
    </w:div>
    <w:div w:id="1693335272">
      <w:bodyDiv w:val="1"/>
      <w:marLeft w:val="0"/>
      <w:marRight w:val="0"/>
      <w:marTop w:val="0"/>
      <w:marBottom w:val="0"/>
      <w:divBdr>
        <w:top w:val="none" w:sz="0" w:space="0" w:color="auto"/>
        <w:left w:val="none" w:sz="0" w:space="0" w:color="auto"/>
        <w:bottom w:val="none" w:sz="0" w:space="0" w:color="auto"/>
        <w:right w:val="none" w:sz="0" w:space="0" w:color="auto"/>
      </w:divBdr>
    </w:div>
    <w:div w:id="1693337683">
      <w:bodyDiv w:val="1"/>
      <w:marLeft w:val="0"/>
      <w:marRight w:val="0"/>
      <w:marTop w:val="0"/>
      <w:marBottom w:val="0"/>
      <w:divBdr>
        <w:top w:val="none" w:sz="0" w:space="0" w:color="auto"/>
        <w:left w:val="none" w:sz="0" w:space="0" w:color="auto"/>
        <w:bottom w:val="none" w:sz="0" w:space="0" w:color="auto"/>
        <w:right w:val="none" w:sz="0" w:space="0" w:color="auto"/>
      </w:divBdr>
    </w:div>
    <w:div w:id="1693342474">
      <w:bodyDiv w:val="1"/>
      <w:marLeft w:val="0"/>
      <w:marRight w:val="0"/>
      <w:marTop w:val="0"/>
      <w:marBottom w:val="0"/>
      <w:divBdr>
        <w:top w:val="none" w:sz="0" w:space="0" w:color="auto"/>
        <w:left w:val="none" w:sz="0" w:space="0" w:color="auto"/>
        <w:bottom w:val="none" w:sz="0" w:space="0" w:color="auto"/>
        <w:right w:val="none" w:sz="0" w:space="0" w:color="auto"/>
      </w:divBdr>
    </w:div>
    <w:div w:id="1693342606">
      <w:bodyDiv w:val="1"/>
      <w:marLeft w:val="0"/>
      <w:marRight w:val="0"/>
      <w:marTop w:val="0"/>
      <w:marBottom w:val="0"/>
      <w:divBdr>
        <w:top w:val="none" w:sz="0" w:space="0" w:color="auto"/>
        <w:left w:val="none" w:sz="0" w:space="0" w:color="auto"/>
        <w:bottom w:val="none" w:sz="0" w:space="0" w:color="auto"/>
        <w:right w:val="none" w:sz="0" w:space="0" w:color="auto"/>
      </w:divBdr>
    </w:div>
    <w:div w:id="1693455017">
      <w:bodyDiv w:val="1"/>
      <w:marLeft w:val="0"/>
      <w:marRight w:val="0"/>
      <w:marTop w:val="0"/>
      <w:marBottom w:val="0"/>
      <w:divBdr>
        <w:top w:val="none" w:sz="0" w:space="0" w:color="auto"/>
        <w:left w:val="none" w:sz="0" w:space="0" w:color="auto"/>
        <w:bottom w:val="none" w:sz="0" w:space="0" w:color="auto"/>
        <w:right w:val="none" w:sz="0" w:space="0" w:color="auto"/>
      </w:divBdr>
    </w:div>
    <w:div w:id="1693531145">
      <w:bodyDiv w:val="1"/>
      <w:marLeft w:val="0"/>
      <w:marRight w:val="0"/>
      <w:marTop w:val="0"/>
      <w:marBottom w:val="0"/>
      <w:divBdr>
        <w:top w:val="none" w:sz="0" w:space="0" w:color="auto"/>
        <w:left w:val="none" w:sz="0" w:space="0" w:color="auto"/>
        <w:bottom w:val="none" w:sz="0" w:space="0" w:color="auto"/>
        <w:right w:val="none" w:sz="0" w:space="0" w:color="auto"/>
      </w:divBdr>
    </w:div>
    <w:div w:id="1693647851">
      <w:bodyDiv w:val="1"/>
      <w:marLeft w:val="0"/>
      <w:marRight w:val="0"/>
      <w:marTop w:val="0"/>
      <w:marBottom w:val="0"/>
      <w:divBdr>
        <w:top w:val="none" w:sz="0" w:space="0" w:color="auto"/>
        <w:left w:val="none" w:sz="0" w:space="0" w:color="auto"/>
        <w:bottom w:val="none" w:sz="0" w:space="0" w:color="auto"/>
        <w:right w:val="none" w:sz="0" w:space="0" w:color="auto"/>
      </w:divBdr>
    </w:div>
    <w:div w:id="1693803214">
      <w:bodyDiv w:val="1"/>
      <w:marLeft w:val="0"/>
      <w:marRight w:val="0"/>
      <w:marTop w:val="0"/>
      <w:marBottom w:val="0"/>
      <w:divBdr>
        <w:top w:val="none" w:sz="0" w:space="0" w:color="auto"/>
        <w:left w:val="none" w:sz="0" w:space="0" w:color="auto"/>
        <w:bottom w:val="none" w:sz="0" w:space="0" w:color="auto"/>
        <w:right w:val="none" w:sz="0" w:space="0" w:color="auto"/>
      </w:divBdr>
    </w:div>
    <w:div w:id="1693919852">
      <w:bodyDiv w:val="1"/>
      <w:marLeft w:val="0"/>
      <w:marRight w:val="0"/>
      <w:marTop w:val="0"/>
      <w:marBottom w:val="0"/>
      <w:divBdr>
        <w:top w:val="none" w:sz="0" w:space="0" w:color="auto"/>
        <w:left w:val="none" w:sz="0" w:space="0" w:color="auto"/>
        <w:bottom w:val="none" w:sz="0" w:space="0" w:color="auto"/>
        <w:right w:val="none" w:sz="0" w:space="0" w:color="auto"/>
      </w:divBdr>
    </w:div>
    <w:div w:id="1693990010">
      <w:bodyDiv w:val="1"/>
      <w:marLeft w:val="0"/>
      <w:marRight w:val="0"/>
      <w:marTop w:val="0"/>
      <w:marBottom w:val="0"/>
      <w:divBdr>
        <w:top w:val="none" w:sz="0" w:space="0" w:color="auto"/>
        <w:left w:val="none" w:sz="0" w:space="0" w:color="auto"/>
        <w:bottom w:val="none" w:sz="0" w:space="0" w:color="auto"/>
        <w:right w:val="none" w:sz="0" w:space="0" w:color="auto"/>
      </w:divBdr>
    </w:div>
    <w:div w:id="1694064085">
      <w:bodyDiv w:val="1"/>
      <w:marLeft w:val="0"/>
      <w:marRight w:val="0"/>
      <w:marTop w:val="0"/>
      <w:marBottom w:val="0"/>
      <w:divBdr>
        <w:top w:val="none" w:sz="0" w:space="0" w:color="auto"/>
        <w:left w:val="none" w:sz="0" w:space="0" w:color="auto"/>
        <w:bottom w:val="none" w:sz="0" w:space="0" w:color="auto"/>
        <w:right w:val="none" w:sz="0" w:space="0" w:color="auto"/>
      </w:divBdr>
    </w:div>
    <w:div w:id="1694072023">
      <w:bodyDiv w:val="1"/>
      <w:marLeft w:val="0"/>
      <w:marRight w:val="0"/>
      <w:marTop w:val="0"/>
      <w:marBottom w:val="0"/>
      <w:divBdr>
        <w:top w:val="none" w:sz="0" w:space="0" w:color="auto"/>
        <w:left w:val="none" w:sz="0" w:space="0" w:color="auto"/>
        <w:bottom w:val="none" w:sz="0" w:space="0" w:color="auto"/>
        <w:right w:val="none" w:sz="0" w:space="0" w:color="auto"/>
      </w:divBdr>
    </w:div>
    <w:div w:id="1694111290">
      <w:bodyDiv w:val="1"/>
      <w:marLeft w:val="0"/>
      <w:marRight w:val="0"/>
      <w:marTop w:val="0"/>
      <w:marBottom w:val="0"/>
      <w:divBdr>
        <w:top w:val="none" w:sz="0" w:space="0" w:color="auto"/>
        <w:left w:val="none" w:sz="0" w:space="0" w:color="auto"/>
        <w:bottom w:val="none" w:sz="0" w:space="0" w:color="auto"/>
        <w:right w:val="none" w:sz="0" w:space="0" w:color="auto"/>
      </w:divBdr>
    </w:div>
    <w:div w:id="1694183559">
      <w:bodyDiv w:val="1"/>
      <w:marLeft w:val="0"/>
      <w:marRight w:val="0"/>
      <w:marTop w:val="0"/>
      <w:marBottom w:val="0"/>
      <w:divBdr>
        <w:top w:val="none" w:sz="0" w:space="0" w:color="auto"/>
        <w:left w:val="none" w:sz="0" w:space="0" w:color="auto"/>
        <w:bottom w:val="none" w:sz="0" w:space="0" w:color="auto"/>
        <w:right w:val="none" w:sz="0" w:space="0" w:color="auto"/>
      </w:divBdr>
    </w:div>
    <w:div w:id="1694186627">
      <w:bodyDiv w:val="1"/>
      <w:marLeft w:val="0"/>
      <w:marRight w:val="0"/>
      <w:marTop w:val="0"/>
      <w:marBottom w:val="0"/>
      <w:divBdr>
        <w:top w:val="none" w:sz="0" w:space="0" w:color="auto"/>
        <w:left w:val="none" w:sz="0" w:space="0" w:color="auto"/>
        <w:bottom w:val="none" w:sz="0" w:space="0" w:color="auto"/>
        <w:right w:val="none" w:sz="0" w:space="0" w:color="auto"/>
      </w:divBdr>
    </w:div>
    <w:div w:id="1694191422">
      <w:bodyDiv w:val="1"/>
      <w:marLeft w:val="0"/>
      <w:marRight w:val="0"/>
      <w:marTop w:val="0"/>
      <w:marBottom w:val="0"/>
      <w:divBdr>
        <w:top w:val="none" w:sz="0" w:space="0" w:color="auto"/>
        <w:left w:val="none" w:sz="0" w:space="0" w:color="auto"/>
        <w:bottom w:val="none" w:sz="0" w:space="0" w:color="auto"/>
        <w:right w:val="none" w:sz="0" w:space="0" w:color="auto"/>
      </w:divBdr>
    </w:div>
    <w:div w:id="1694309391">
      <w:bodyDiv w:val="1"/>
      <w:marLeft w:val="0"/>
      <w:marRight w:val="0"/>
      <w:marTop w:val="0"/>
      <w:marBottom w:val="0"/>
      <w:divBdr>
        <w:top w:val="none" w:sz="0" w:space="0" w:color="auto"/>
        <w:left w:val="none" w:sz="0" w:space="0" w:color="auto"/>
        <w:bottom w:val="none" w:sz="0" w:space="0" w:color="auto"/>
        <w:right w:val="none" w:sz="0" w:space="0" w:color="auto"/>
      </w:divBdr>
    </w:div>
    <w:div w:id="1694376726">
      <w:bodyDiv w:val="1"/>
      <w:marLeft w:val="0"/>
      <w:marRight w:val="0"/>
      <w:marTop w:val="0"/>
      <w:marBottom w:val="0"/>
      <w:divBdr>
        <w:top w:val="none" w:sz="0" w:space="0" w:color="auto"/>
        <w:left w:val="none" w:sz="0" w:space="0" w:color="auto"/>
        <w:bottom w:val="none" w:sz="0" w:space="0" w:color="auto"/>
        <w:right w:val="none" w:sz="0" w:space="0" w:color="auto"/>
      </w:divBdr>
    </w:div>
    <w:div w:id="1694527848">
      <w:bodyDiv w:val="1"/>
      <w:marLeft w:val="0"/>
      <w:marRight w:val="0"/>
      <w:marTop w:val="0"/>
      <w:marBottom w:val="0"/>
      <w:divBdr>
        <w:top w:val="none" w:sz="0" w:space="0" w:color="auto"/>
        <w:left w:val="none" w:sz="0" w:space="0" w:color="auto"/>
        <w:bottom w:val="none" w:sz="0" w:space="0" w:color="auto"/>
        <w:right w:val="none" w:sz="0" w:space="0" w:color="auto"/>
      </w:divBdr>
    </w:div>
    <w:div w:id="1694569330">
      <w:bodyDiv w:val="1"/>
      <w:marLeft w:val="0"/>
      <w:marRight w:val="0"/>
      <w:marTop w:val="0"/>
      <w:marBottom w:val="0"/>
      <w:divBdr>
        <w:top w:val="none" w:sz="0" w:space="0" w:color="auto"/>
        <w:left w:val="none" w:sz="0" w:space="0" w:color="auto"/>
        <w:bottom w:val="none" w:sz="0" w:space="0" w:color="auto"/>
        <w:right w:val="none" w:sz="0" w:space="0" w:color="auto"/>
      </w:divBdr>
    </w:div>
    <w:div w:id="1694650516">
      <w:bodyDiv w:val="1"/>
      <w:marLeft w:val="0"/>
      <w:marRight w:val="0"/>
      <w:marTop w:val="0"/>
      <w:marBottom w:val="0"/>
      <w:divBdr>
        <w:top w:val="none" w:sz="0" w:space="0" w:color="auto"/>
        <w:left w:val="none" w:sz="0" w:space="0" w:color="auto"/>
        <w:bottom w:val="none" w:sz="0" w:space="0" w:color="auto"/>
        <w:right w:val="none" w:sz="0" w:space="0" w:color="auto"/>
      </w:divBdr>
    </w:div>
    <w:div w:id="1694842498">
      <w:bodyDiv w:val="1"/>
      <w:marLeft w:val="0"/>
      <w:marRight w:val="0"/>
      <w:marTop w:val="0"/>
      <w:marBottom w:val="0"/>
      <w:divBdr>
        <w:top w:val="none" w:sz="0" w:space="0" w:color="auto"/>
        <w:left w:val="none" w:sz="0" w:space="0" w:color="auto"/>
        <w:bottom w:val="none" w:sz="0" w:space="0" w:color="auto"/>
        <w:right w:val="none" w:sz="0" w:space="0" w:color="auto"/>
      </w:divBdr>
    </w:div>
    <w:div w:id="1694916952">
      <w:bodyDiv w:val="1"/>
      <w:marLeft w:val="0"/>
      <w:marRight w:val="0"/>
      <w:marTop w:val="0"/>
      <w:marBottom w:val="0"/>
      <w:divBdr>
        <w:top w:val="none" w:sz="0" w:space="0" w:color="auto"/>
        <w:left w:val="none" w:sz="0" w:space="0" w:color="auto"/>
        <w:bottom w:val="none" w:sz="0" w:space="0" w:color="auto"/>
        <w:right w:val="none" w:sz="0" w:space="0" w:color="auto"/>
      </w:divBdr>
    </w:div>
    <w:div w:id="1694921918">
      <w:bodyDiv w:val="1"/>
      <w:marLeft w:val="0"/>
      <w:marRight w:val="0"/>
      <w:marTop w:val="0"/>
      <w:marBottom w:val="0"/>
      <w:divBdr>
        <w:top w:val="none" w:sz="0" w:space="0" w:color="auto"/>
        <w:left w:val="none" w:sz="0" w:space="0" w:color="auto"/>
        <w:bottom w:val="none" w:sz="0" w:space="0" w:color="auto"/>
        <w:right w:val="none" w:sz="0" w:space="0" w:color="auto"/>
      </w:divBdr>
    </w:div>
    <w:div w:id="1694958611">
      <w:bodyDiv w:val="1"/>
      <w:marLeft w:val="0"/>
      <w:marRight w:val="0"/>
      <w:marTop w:val="0"/>
      <w:marBottom w:val="0"/>
      <w:divBdr>
        <w:top w:val="none" w:sz="0" w:space="0" w:color="auto"/>
        <w:left w:val="none" w:sz="0" w:space="0" w:color="auto"/>
        <w:bottom w:val="none" w:sz="0" w:space="0" w:color="auto"/>
        <w:right w:val="none" w:sz="0" w:space="0" w:color="auto"/>
      </w:divBdr>
    </w:div>
    <w:div w:id="1694988440">
      <w:bodyDiv w:val="1"/>
      <w:marLeft w:val="0"/>
      <w:marRight w:val="0"/>
      <w:marTop w:val="0"/>
      <w:marBottom w:val="0"/>
      <w:divBdr>
        <w:top w:val="none" w:sz="0" w:space="0" w:color="auto"/>
        <w:left w:val="none" w:sz="0" w:space="0" w:color="auto"/>
        <w:bottom w:val="none" w:sz="0" w:space="0" w:color="auto"/>
        <w:right w:val="none" w:sz="0" w:space="0" w:color="auto"/>
      </w:divBdr>
    </w:div>
    <w:div w:id="1695031346">
      <w:bodyDiv w:val="1"/>
      <w:marLeft w:val="0"/>
      <w:marRight w:val="0"/>
      <w:marTop w:val="0"/>
      <w:marBottom w:val="0"/>
      <w:divBdr>
        <w:top w:val="none" w:sz="0" w:space="0" w:color="auto"/>
        <w:left w:val="none" w:sz="0" w:space="0" w:color="auto"/>
        <w:bottom w:val="none" w:sz="0" w:space="0" w:color="auto"/>
        <w:right w:val="none" w:sz="0" w:space="0" w:color="auto"/>
      </w:divBdr>
    </w:div>
    <w:div w:id="1695109687">
      <w:bodyDiv w:val="1"/>
      <w:marLeft w:val="0"/>
      <w:marRight w:val="0"/>
      <w:marTop w:val="0"/>
      <w:marBottom w:val="0"/>
      <w:divBdr>
        <w:top w:val="none" w:sz="0" w:space="0" w:color="auto"/>
        <w:left w:val="none" w:sz="0" w:space="0" w:color="auto"/>
        <w:bottom w:val="none" w:sz="0" w:space="0" w:color="auto"/>
        <w:right w:val="none" w:sz="0" w:space="0" w:color="auto"/>
      </w:divBdr>
    </w:div>
    <w:div w:id="1695303546">
      <w:bodyDiv w:val="1"/>
      <w:marLeft w:val="0"/>
      <w:marRight w:val="0"/>
      <w:marTop w:val="0"/>
      <w:marBottom w:val="0"/>
      <w:divBdr>
        <w:top w:val="none" w:sz="0" w:space="0" w:color="auto"/>
        <w:left w:val="none" w:sz="0" w:space="0" w:color="auto"/>
        <w:bottom w:val="none" w:sz="0" w:space="0" w:color="auto"/>
        <w:right w:val="none" w:sz="0" w:space="0" w:color="auto"/>
      </w:divBdr>
    </w:div>
    <w:div w:id="1695304183">
      <w:bodyDiv w:val="1"/>
      <w:marLeft w:val="0"/>
      <w:marRight w:val="0"/>
      <w:marTop w:val="0"/>
      <w:marBottom w:val="0"/>
      <w:divBdr>
        <w:top w:val="none" w:sz="0" w:space="0" w:color="auto"/>
        <w:left w:val="none" w:sz="0" w:space="0" w:color="auto"/>
        <w:bottom w:val="none" w:sz="0" w:space="0" w:color="auto"/>
        <w:right w:val="none" w:sz="0" w:space="0" w:color="auto"/>
      </w:divBdr>
    </w:div>
    <w:div w:id="1695309047">
      <w:bodyDiv w:val="1"/>
      <w:marLeft w:val="0"/>
      <w:marRight w:val="0"/>
      <w:marTop w:val="0"/>
      <w:marBottom w:val="0"/>
      <w:divBdr>
        <w:top w:val="none" w:sz="0" w:space="0" w:color="auto"/>
        <w:left w:val="none" w:sz="0" w:space="0" w:color="auto"/>
        <w:bottom w:val="none" w:sz="0" w:space="0" w:color="auto"/>
        <w:right w:val="none" w:sz="0" w:space="0" w:color="auto"/>
      </w:divBdr>
    </w:div>
    <w:div w:id="1695500260">
      <w:bodyDiv w:val="1"/>
      <w:marLeft w:val="0"/>
      <w:marRight w:val="0"/>
      <w:marTop w:val="0"/>
      <w:marBottom w:val="0"/>
      <w:divBdr>
        <w:top w:val="none" w:sz="0" w:space="0" w:color="auto"/>
        <w:left w:val="none" w:sz="0" w:space="0" w:color="auto"/>
        <w:bottom w:val="none" w:sz="0" w:space="0" w:color="auto"/>
        <w:right w:val="none" w:sz="0" w:space="0" w:color="auto"/>
      </w:divBdr>
    </w:div>
    <w:div w:id="1695572154">
      <w:bodyDiv w:val="1"/>
      <w:marLeft w:val="0"/>
      <w:marRight w:val="0"/>
      <w:marTop w:val="0"/>
      <w:marBottom w:val="0"/>
      <w:divBdr>
        <w:top w:val="none" w:sz="0" w:space="0" w:color="auto"/>
        <w:left w:val="none" w:sz="0" w:space="0" w:color="auto"/>
        <w:bottom w:val="none" w:sz="0" w:space="0" w:color="auto"/>
        <w:right w:val="none" w:sz="0" w:space="0" w:color="auto"/>
      </w:divBdr>
    </w:div>
    <w:div w:id="1695575066">
      <w:bodyDiv w:val="1"/>
      <w:marLeft w:val="0"/>
      <w:marRight w:val="0"/>
      <w:marTop w:val="0"/>
      <w:marBottom w:val="0"/>
      <w:divBdr>
        <w:top w:val="none" w:sz="0" w:space="0" w:color="auto"/>
        <w:left w:val="none" w:sz="0" w:space="0" w:color="auto"/>
        <w:bottom w:val="none" w:sz="0" w:space="0" w:color="auto"/>
        <w:right w:val="none" w:sz="0" w:space="0" w:color="auto"/>
      </w:divBdr>
    </w:div>
    <w:div w:id="1695766173">
      <w:bodyDiv w:val="1"/>
      <w:marLeft w:val="0"/>
      <w:marRight w:val="0"/>
      <w:marTop w:val="0"/>
      <w:marBottom w:val="0"/>
      <w:divBdr>
        <w:top w:val="none" w:sz="0" w:space="0" w:color="auto"/>
        <w:left w:val="none" w:sz="0" w:space="0" w:color="auto"/>
        <w:bottom w:val="none" w:sz="0" w:space="0" w:color="auto"/>
        <w:right w:val="none" w:sz="0" w:space="0" w:color="auto"/>
      </w:divBdr>
    </w:div>
    <w:div w:id="1695837152">
      <w:bodyDiv w:val="1"/>
      <w:marLeft w:val="0"/>
      <w:marRight w:val="0"/>
      <w:marTop w:val="0"/>
      <w:marBottom w:val="0"/>
      <w:divBdr>
        <w:top w:val="none" w:sz="0" w:space="0" w:color="auto"/>
        <w:left w:val="none" w:sz="0" w:space="0" w:color="auto"/>
        <w:bottom w:val="none" w:sz="0" w:space="0" w:color="auto"/>
        <w:right w:val="none" w:sz="0" w:space="0" w:color="auto"/>
      </w:divBdr>
    </w:div>
    <w:div w:id="1695958798">
      <w:bodyDiv w:val="1"/>
      <w:marLeft w:val="0"/>
      <w:marRight w:val="0"/>
      <w:marTop w:val="0"/>
      <w:marBottom w:val="0"/>
      <w:divBdr>
        <w:top w:val="none" w:sz="0" w:space="0" w:color="auto"/>
        <w:left w:val="none" w:sz="0" w:space="0" w:color="auto"/>
        <w:bottom w:val="none" w:sz="0" w:space="0" w:color="auto"/>
        <w:right w:val="none" w:sz="0" w:space="0" w:color="auto"/>
      </w:divBdr>
    </w:div>
    <w:div w:id="1696035393">
      <w:bodyDiv w:val="1"/>
      <w:marLeft w:val="0"/>
      <w:marRight w:val="0"/>
      <w:marTop w:val="0"/>
      <w:marBottom w:val="0"/>
      <w:divBdr>
        <w:top w:val="none" w:sz="0" w:space="0" w:color="auto"/>
        <w:left w:val="none" w:sz="0" w:space="0" w:color="auto"/>
        <w:bottom w:val="none" w:sz="0" w:space="0" w:color="auto"/>
        <w:right w:val="none" w:sz="0" w:space="0" w:color="auto"/>
      </w:divBdr>
    </w:div>
    <w:div w:id="1696072687">
      <w:bodyDiv w:val="1"/>
      <w:marLeft w:val="0"/>
      <w:marRight w:val="0"/>
      <w:marTop w:val="0"/>
      <w:marBottom w:val="0"/>
      <w:divBdr>
        <w:top w:val="none" w:sz="0" w:space="0" w:color="auto"/>
        <w:left w:val="none" w:sz="0" w:space="0" w:color="auto"/>
        <w:bottom w:val="none" w:sz="0" w:space="0" w:color="auto"/>
        <w:right w:val="none" w:sz="0" w:space="0" w:color="auto"/>
      </w:divBdr>
    </w:div>
    <w:div w:id="1696223983">
      <w:bodyDiv w:val="1"/>
      <w:marLeft w:val="0"/>
      <w:marRight w:val="0"/>
      <w:marTop w:val="0"/>
      <w:marBottom w:val="0"/>
      <w:divBdr>
        <w:top w:val="none" w:sz="0" w:space="0" w:color="auto"/>
        <w:left w:val="none" w:sz="0" w:space="0" w:color="auto"/>
        <w:bottom w:val="none" w:sz="0" w:space="0" w:color="auto"/>
        <w:right w:val="none" w:sz="0" w:space="0" w:color="auto"/>
      </w:divBdr>
    </w:div>
    <w:div w:id="1696274550">
      <w:bodyDiv w:val="1"/>
      <w:marLeft w:val="0"/>
      <w:marRight w:val="0"/>
      <w:marTop w:val="0"/>
      <w:marBottom w:val="0"/>
      <w:divBdr>
        <w:top w:val="none" w:sz="0" w:space="0" w:color="auto"/>
        <w:left w:val="none" w:sz="0" w:space="0" w:color="auto"/>
        <w:bottom w:val="none" w:sz="0" w:space="0" w:color="auto"/>
        <w:right w:val="none" w:sz="0" w:space="0" w:color="auto"/>
      </w:divBdr>
    </w:div>
    <w:div w:id="1696418102">
      <w:bodyDiv w:val="1"/>
      <w:marLeft w:val="0"/>
      <w:marRight w:val="0"/>
      <w:marTop w:val="0"/>
      <w:marBottom w:val="0"/>
      <w:divBdr>
        <w:top w:val="none" w:sz="0" w:space="0" w:color="auto"/>
        <w:left w:val="none" w:sz="0" w:space="0" w:color="auto"/>
        <w:bottom w:val="none" w:sz="0" w:space="0" w:color="auto"/>
        <w:right w:val="none" w:sz="0" w:space="0" w:color="auto"/>
      </w:divBdr>
    </w:div>
    <w:div w:id="1696466869">
      <w:bodyDiv w:val="1"/>
      <w:marLeft w:val="0"/>
      <w:marRight w:val="0"/>
      <w:marTop w:val="0"/>
      <w:marBottom w:val="0"/>
      <w:divBdr>
        <w:top w:val="none" w:sz="0" w:space="0" w:color="auto"/>
        <w:left w:val="none" w:sz="0" w:space="0" w:color="auto"/>
        <w:bottom w:val="none" w:sz="0" w:space="0" w:color="auto"/>
        <w:right w:val="none" w:sz="0" w:space="0" w:color="auto"/>
      </w:divBdr>
    </w:div>
    <w:div w:id="1696492269">
      <w:bodyDiv w:val="1"/>
      <w:marLeft w:val="0"/>
      <w:marRight w:val="0"/>
      <w:marTop w:val="0"/>
      <w:marBottom w:val="0"/>
      <w:divBdr>
        <w:top w:val="none" w:sz="0" w:space="0" w:color="auto"/>
        <w:left w:val="none" w:sz="0" w:space="0" w:color="auto"/>
        <w:bottom w:val="none" w:sz="0" w:space="0" w:color="auto"/>
        <w:right w:val="none" w:sz="0" w:space="0" w:color="auto"/>
      </w:divBdr>
    </w:div>
    <w:div w:id="1696536109">
      <w:bodyDiv w:val="1"/>
      <w:marLeft w:val="0"/>
      <w:marRight w:val="0"/>
      <w:marTop w:val="0"/>
      <w:marBottom w:val="0"/>
      <w:divBdr>
        <w:top w:val="none" w:sz="0" w:space="0" w:color="auto"/>
        <w:left w:val="none" w:sz="0" w:space="0" w:color="auto"/>
        <w:bottom w:val="none" w:sz="0" w:space="0" w:color="auto"/>
        <w:right w:val="none" w:sz="0" w:space="0" w:color="auto"/>
      </w:divBdr>
    </w:div>
    <w:div w:id="1696614001">
      <w:bodyDiv w:val="1"/>
      <w:marLeft w:val="0"/>
      <w:marRight w:val="0"/>
      <w:marTop w:val="0"/>
      <w:marBottom w:val="0"/>
      <w:divBdr>
        <w:top w:val="none" w:sz="0" w:space="0" w:color="auto"/>
        <w:left w:val="none" w:sz="0" w:space="0" w:color="auto"/>
        <w:bottom w:val="none" w:sz="0" w:space="0" w:color="auto"/>
        <w:right w:val="none" w:sz="0" w:space="0" w:color="auto"/>
      </w:divBdr>
    </w:div>
    <w:div w:id="1696661722">
      <w:bodyDiv w:val="1"/>
      <w:marLeft w:val="0"/>
      <w:marRight w:val="0"/>
      <w:marTop w:val="0"/>
      <w:marBottom w:val="0"/>
      <w:divBdr>
        <w:top w:val="none" w:sz="0" w:space="0" w:color="auto"/>
        <w:left w:val="none" w:sz="0" w:space="0" w:color="auto"/>
        <w:bottom w:val="none" w:sz="0" w:space="0" w:color="auto"/>
        <w:right w:val="none" w:sz="0" w:space="0" w:color="auto"/>
      </w:divBdr>
    </w:div>
    <w:div w:id="1696686844">
      <w:bodyDiv w:val="1"/>
      <w:marLeft w:val="0"/>
      <w:marRight w:val="0"/>
      <w:marTop w:val="0"/>
      <w:marBottom w:val="0"/>
      <w:divBdr>
        <w:top w:val="none" w:sz="0" w:space="0" w:color="auto"/>
        <w:left w:val="none" w:sz="0" w:space="0" w:color="auto"/>
        <w:bottom w:val="none" w:sz="0" w:space="0" w:color="auto"/>
        <w:right w:val="none" w:sz="0" w:space="0" w:color="auto"/>
      </w:divBdr>
    </w:div>
    <w:div w:id="1697195551">
      <w:bodyDiv w:val="1"/>
      <w:marLeft w:val="0"/>
      <w:marRight w:val="0"/>
      <w:marTop w:val="0"/>
      <w:marBottom w:val="0"/>
      <w:divBdr>
        <w:top w:val="none" w:sz="0" w:space="0" w:color="auto"/>
        <w:left w:val="none" w:sz="0" w:space="0" w:color="auto"/>
        <w:bottom w:val="none" w:sz="0" w:space="0" w:color="auto"/>
        <w:right w:val="none" w:sz="0" w:space="0" w:color="auto"/>
      </w:divBdr>
    </w:div>
    <w:div w:id="1697343199">
      <w:bodyDiv w:val="1"/>
      <w:marLeft w:val="0"/>
      <w:marRight w:val="0"/>
      <w:marTop w:val="0"/>
      <w:marBottom w:val="0"/>
      <w:divBdr>
        <w:top w:val="none" w:sz="0" w:space="0" w:color="auto"/>
        <w:left w:val="none" w:sz="0" w:space="0" w:color="auto"/>
        <w:bottom w:val="none" w:sz="0" w:space="0" w:color="auto"/>
        <w:right w:val="none" w:sz="0" w:space="0" w:color="auto"/>
      </w:divBdr>
    </w:div>
    <w:div w:id="1697386937">
      <w:bodyDiv w:val="1"/>
      <w:marLeft w:val="0"/>
      <w:marRight w:val="0"/>
      <w:marTop w:val="0"/>
      <w:marBottom w:val="0"/>
      <w:divBdr>
        <w:top w:val="none" w:sz="0" w:space="0" w:color="auto"/>
        <w:left w:val="none" w:sz="0" w:space="0" w:color="auto"/>
        <w:bottom w:val="none" w:sz="0" w:space="0" w:color="auto"/>
        <w:right w:val="none" w:sz="0" w:space="0" w:color="auto"/>
      </w:divBdr>
    </w:div>
    <w:div w:id="1697462346">
      <w:bodyDiv w:val="1"/>
      <w:marLeft w:val="0"/>
      <w:marRight w:val="0"/>
      <w:marTop w:val="0"/>
      <w:marBottom w:val="0"/>
      <w:divBdr>
        <w:top w:val="none" w:sz="0" w:space="0" w:color="auto"/>
        <w:left w:val="none" w:sz="0" w:space="0" w:color="auto"/>
        <w:bottom w:val="none" w:sz="0" w:space="0" w:color="auto"/>
        <w:right w:val="none" w:sz="0" w:space="0" w:color="auto"/>
      </w:divBdr>
    </w:div>
    <w:div w:id="1697540378">
      <w:bodyDiv w:val="1"/>
      <w:marLeft w:val="0"/>
      <w:marRight w:val="0"/>
      <w:marTop w:val="0"/>
      <w:marBottom w:val="0"/>
      <w:divBdr>
        <w:top w:val="none" w:sz="0" w:space="0" w:color="auto"/>
        <w:left w:val="none" w:sz="0" w:space="0" w:color="auto"/>
        <w:bottom w:val="none" w:sz="0" w:space="0" w:color="auto"/>
        <w:right w:val="none" w:sz="0" w:space="0" w:color="auto"/>
      </w:divBdr>
    </w:div>
    <w:div w:id="1697804629">
      <w:bodyDiv w:val="1"/>
      <w:marLeft w:val="0"/>
      <w:marRight w:val="0"/>
      <w:marTop w:val="0"/>
      <w:marBottom w:val="0"/>
      <w:divBdr>
        <w:top w:val="none" w:sz="0" w:space="0" w:color="auto"/>
        <w:left w:val="none" w:sz="0" w:space="0" w:color="auto"/>
        <w:bottom w:val="none" w:sz="0" w:space="0" w:color="auto"/>
        <w:right w:val="none" w:sz="0" w:space="0" w:color="auto"/>
      </w:divBdr>
    </w:div>
    <w:div w:id="1697848322">
      <w:bodyDiv w:val="1"/>
      <w:marLeft w:val="0"/>
      <w:marRight w:val="0"/>
      <w:marTop w:val="0"/>
      <w:marBottom w:val="0"/>
      <w:divBdr>
        <w:top w:val="none" w:sz="0" w:space="0" w:color="auto"/>
        <w:left w:val="none" w:sz="0" w:space="0" w:color="auto"/>
        <w:bottom w:val="none" w:sz="0" w:space="0" w:color="auto"/>
        <w:right w:val="none" w:sz="0" w:space="0" w:color="auto"/>
      </w:divBdr>
    </w:div>
    <w:div w:id="1697852596">
      <w:bodyDiv w:val="1"/>
      <w:marLeft w:val="0"/>
      <w:marRight w:val="0"/>
      <w:marTop w:val="0"/>
      <w:marBottom w:val="0"/>
      <w:divBdr>
        <w:top w:val="none" w:sz="0" w:space="0" w:color="auto"/>
        <w:left w:val="none" w:sz="0" w:space="0" w:color="auto"/>
        <w:bottom w:val="none" w:sz="0" w:space="0" w:color="auto"/>
        <w:right w:val="none" w:sz="0" w:space="0" w:color="auto"/>
      </w:divBdr>
    </w:div>
    <w:div w:id="1697924403">
      <w:bodyDiv w:val="1"/>
      <w:marLeft w:val="0"/>
      <w:marRight w:val="0"/>
      <w:marTop w:val="0"/>
      <w:marBottom w:val="0"/>
      <w:divBdr>
        <w:top w:val="none" w:sz="0" w:space="0" w:color="auto"/>
        <w:left w:val="none" w:sz="0" w:space="0" w:color="auto"/>
        <w:bottom w:val="none" w:sz="0" w:space="0" w:color="auto"/>
        <w:right w:val="none" w:sz="0" w:space="0" w:color="auto"/>
      </w:divBdr>
    </w:div>
    <w:div w:id="1697929125">
      <w:bodyDiv w:val="1"/>
      <w:marLeft w:val="0"/>
      <w:marRight w:val="0"/>
      <w:marTop w:val="0"/>
      <w:marBottom w:val="0"/>
      <w:divBdr>
        <w:top w:val="none" w:sz="0" w:space="0" w:color="auto"/>
        <w:left w:val="none" w:sz="0" w:space="0" w:color="auto"/>
        <w:bottom w:val="none" w:sz="0" w:space="0" w:color="auto"/>
        <w:right w:val="none" w:sz="0" w:space="0" w:color="auto"/>
      </w:divBdr>
    </w:div>
    <w:div w:id="1698114926">
      <w:bodyDiv w:val="1"/>
      <w:marLeft w:val="0"/>
      <w:marRight w:val="0"/>
      <w:marTop w:val="0"/>
      <w:marBottom w:val="0"/>
      <w:divBdr>
        <w:top w:val="none" w:sz="0" w:space="0" w:color="auto"/>
        <w:left w:val="none" w:sz="0" w:space="0" w:color="auto"/>
        <w:bottom w:val="none" w:sz="0" w:space="0" w:color="auto"/>
        <w:right w:val="none" w:sz="0" w:space="0" w:color="auto"/>
      </w:divBdr>
    </w:div>
    <w:div w:id="1698236061">
      <w:bodyDiv w:val="1"/>
      <w:marLeft w:val="0"/>
      <w:marRight w:val="0"/>
      <w:marTop w:val="0"/>
      <w:marBottom w:val="0"/>
      <w:divBdr>
        <w:top w:val="none" w:sz="0" w:space="0" w:color="auto"/>
        <w:left w:val="none" w:sz="0" w:space="0" w:color="auto"/>
        <w:bottom w:val="none" w:sz="0" w:space="0" w:color="auto"/>
        <w:right w:val="none" w:sz="0" w:space="0" w:color="auto"/>
      </w:divBdr>
    </w:div>
    <w:div w:id="1698462184">
      <w:bodyDiv w:val="1"/>
      <w:marLeft w:val="0"/>
      <w:marRight w:val="0"/>
      <w:marTop w:val="0"/>
      <w:marBottom w:val="0"/>
      <w:divBdr>
        <w:top w:val="none" w:sz="0" w:space="0" w:color="auto"/>
        <w:left w:val="none" w:sz="0" w:space="0" w:color="auto"/>
        <w:bottom w:val="none" w:sz="0" w:space="0" w:color="auto"/>
        <w:right w:val="none" w:sz="0" w:space="0" w:color="auto"/>
      </w:divBdr>
    </w:div>
    <w:div w:id="1698463736">
      <w:bodyDiv w:val="1"/>
      <w:marLeft w:val="0"/>
      <w:marRight w:val="0"/>
      <w:marTop w:val="0"/>
      <w:marBottom w:val="0"/>
      <w:divBdr>
        <w:top w:val="none" w:sz="0" w:space="0" w:color="auto"/>
        <w:left w:val="none" w:sz="0" w:space="0" w:color="auto"/>
        <w:bottom w:val="none" w:sz="0" w:space="0" w:color="auto"/>
        <w:right w:val="none" w:sz="0" w:space="0" w:color="auto"/>
      </w:divBdr>
    </w:div>
    <w:div w:id="1698501524">
      <w:bodyDiv w:val="1"/>
      <w:marLeft w:val="0"/>
      <w:marRight w:val="0"/>
      <w:marTop w:val="0"/>
      <w:marBottom w:val="0"/>
      <w:divBdr>
        <w:top w:val="none" w:sz="0" w:space="0" w:color="auto"/>
        <w:left w:val="none" w:sz="0" w:space="0" w:color="auto"/>
        <w:bottom w:val="none" w:sz="0" w:space="0" w:color="auto"/>
        <w:right w:val="none" w:sz="0" w:space="0" w:color="auto"/>
      </w:divBdr>
    </w:div>
    <w:div w:id="1698509506">
      <w:bodyDiv w:val="1"/>
      <w:marLeft w:val="0"/>
      <w:marRight w:val="0"/>
      <w:marTop w:val="0"/>
      <w:marBottom w:val="0"/>
      <w:divBdr>
        <w:top w:val="none" w:sz="0" w:space="0" w:color="auto"/>
        <w:left w:val="none" w:sz="0" w:space="0" w:color="auto"/>
        <w:bottom w:val="none" w:sz="0" w:space="0" w:color="auto"/>
        <w:right w:val="none" w:sz="0" w:space="0" w:color="auto"/>
      </w:divBdr>
    </w:div>
    <w:div w:id="1698584204">
      <w:bodyDiv w:val="1"/>
      <w:marLeft w:val="0"/>
      <w:marRight w:val="0"/>
      <w:marTop w:val="0"/>
      <w:marBottom w:val="0"/>
      <w:divBdr>
        <w:top w:val="none" w:sz="0" w:space="0" w:color="auto"/>
        <w:left w:val="none" w:sz="0" w:space="0" w:color="auto"/>
        <w:bottom w:val="none" w:sz="0" w:space="0" w:color="auto"/>
        <w:right w:val="none" w:sz="0" w:space="0" w:color="auto"/>
      </w:divBdr>
    </w:div>
    <w:div w:id="1698653469">
      <w:bodyDiv w:val="1"/>
      <w:marLeft w:val="0"/>
      <w:marRight w:val="0"/>
      <w:marTop w:val="0"/>
      <w:marBottom w:val="0"/>
      <w:divBdr>
        <w:top w:val="none" w:sz="0" w:space="0" w:color="auto"/>
        <w:left w:val="none" w:sz="0" w:space="0" w:color="auto"/>
        <w:bottom w:val="none" w:sz="0" w:space="0" w:color="auto"/>
        <w:right w:val="none" w:sz="0" w:space="0" w:color="auto"/>
      </w:divBdr>
    </w:div>
    <w:div w:id="1698657057">
      <w:bodyDiv w:val="1"/>
      <w:marLeft w:val="0"/>
      <w:marRight w:val="0"/>
      <w:marTop w:val="0"/>
      <w:marBottom w:val="0"/>
      <w:divBdr>
        <w:top w:val="none" w:sz="0" w:space="0" w:color="auto"/>
        <w:left w:val="none" w:sz="0" w:space="0" w:color="auto"/>
        <w:bottom w:val="none" w:sz="0" w:space="0" w:color="auto"/>
        <w:right w:val="none" w:sz="0" w:space="0" w:color="auto"/>
      </w:divBdr>
    </w:div>
    <w:div w:id="1698696281">
      <w:bodyDiv w:val="1"/>
      <w:marLeft w:val="0"/>
      <w:marRight w:val="0"/>
      <w:marTop w:val="0"/>
      <w:marBottom w:val="0"/>
      <w:divBdr>
        <w:top w:val="none" w:sz="0" w:space="0" w:color="auto"/>
        <w:left w:val="none" w:sz="0" w:space="0" w:color="auto"/>
        <w:bottom w:val="none" w:sz="0" w:space="0" w:color="auto"/>
        <w:right w:val="none" w:sz="0" w:space="0" w:color="auto"/>
      </w:divBdr>
    </w:div>
    <w:div w:id="1698702769">
      <w:bodyDiv w:val="1"/>
      <w:marLeft w:val="0"/>
      <w:marRight w:val="0"/>
      <w:marTop w:val="0"/>
      <w:marBottom w:val="0"/>
      <w:divBdr>
        <w:top w:val="none" w:sz="0" w:space="0" w:color="auto"/>
        <w:left w:val="none" w:sz="0" w:space="0" w:color="auto"/>
        <w:bottom w:val="none" w:sz="0" w:space="0" w:color="auto"/>
        <w:right w:val="none" w:sz="0" w:space="0" w:color="auto"/>
      </w:divBdr>
    </w:div>
    <w:div w:id="1698778555">
      <w:bodyDiv w:val="1"/>
      <w:marLeft w:val="0"/>
      <w:marRight w:val="0"/>
      <w:marTop w:val="0"/>
      <w:marBottom w:val="0"/>
      <w:divBdr>
        <w:top w:val="none" w:sz="0" w:space="0" w:color="auto"/>
        <w:left w:val="none" w:sz="0" w:space="0" w:color="auto"/>
        <w:bottom w:val="none" w:sz="0" w:space="0" w:color="auto"/>
        <w:right w:val="none" w:sz="0" w:space="0" w:color="auto"/>
      </w:divBdr>
    </w:div>
    <w:div w:id="1698844470">
      <w:bodyDiv w:val="1"/>
      <w:marLeft w:val="0"/>
      <w:marRight w:val="0"/>
      <w:marTop w:val="0"/>
      <w:marBottom w:val="0"/>
      <w:divBdr>
        <w:top w:val="none" w:sz="0" w:space="0" w:color="auto"/>
        <w:left w:val="none" w:sz="0" w:space="0" w:color="auto"/>
        <w:bottom w:val="none" w:sz="0" w:space="0" w:color="auto"/>
        <w:right w:val="none" w:sz="0" w:space="0" w:color="auto"/>
      </w:divBdr>
    </w:div>
    <w:div w:id="1698847691">
      <w:bodyDiv w:val="1"/>
      <w:marLeft w:val="0"/>
      <w:marRight w:val="0"/>
      <w:marTop w:val="0"/>
      <w:marBottom w:val="0"/>
      <w:divBdr>
        <w:top w:val="none" w:sz="0" w:space="0" w:color="auto"/>
        <w:left w:val="none" w:sz="0" w:space="0" w:color="auto"/>
        <w:bottom w:val="none" w:sz="0" w:space="0" w:color="auto"/>
        <w:right w:val="none" w:sz="0" w:space="0" w:color="auto"/>
      </w:divBdr>
    </w:div>
    <w:div w:id="1698965826">
      <w:bodyDiv w:val="1"/>
      <w:marLeft w:val="0"/>
      <w:marRight w:val="0"/>
      <w:marTop w:val="0"/>
      <w:marBottom w:val="0"/>
      <w:divBdr>
        <w:top w:val="none" w:sz="0" w:space="0" w:color="auto"/>
        <w:left w:val="none" w:sz="0" w:space="0" w:color="auto"/>
        <w:bottom w:val="none" w:sz="0" w:space="0" w:color="auto"/>
        <w:right w:val="none" w:sz="0" w:space="0" w:color="auto"/>
      </w:divBdr>
    </w:div>
    <w:div w:id="1698967969">
      <w:bodyDiv w:val="1"/>
      <w:marLeft w:val="0"/>
      <w:marRight w:val="0"/>
      <w:marTop w:val="0"/>
      <w:marBottom w:val="0"/>
      <w:divBdr>
        <w:top w:val="none" w:sz="0" w:space="0" w:color="auto"/>
        <w:left w:val="none" w:sz="0" w:space="0" w:color="auto"/>
        <w:bottom w:val="none" w:sz="0" w:space="0" w:color="auto"/>
        <w:right w:val="none" w:sz="0" w:space="0" w:color="auto"/>
      </w:divBdr>
    </w:div>
    <w:div w:id="1698971159">
      <w:bodyDiv w:val="1"/>
      <w:marLeft w:val="0"/>
      <w:marRight w:val="0"/>
      <w:marTop w:val="0"/>
      <w:marBottom w:val="0"/>
      <w:divBdr>
        <w:top w:val="none" w:sz="0" w:space="0" w:color="auto"/>
        <w:left w:val="none" w:sz="0" w:space="0" w:color="auto"/>
        <w:bottom w:val="none" w:sz="0" w:space="0" w:color="auto"/>
        <w:right w:val="none" w:sz="0" w:space="0" w:color="auto"/>
      </w:divBdr>
    </w:div>
    <w:div w:id="1699235888">
      <w:bodyDiv w:val="1"/>
      <w:marLeft w:val="0"/>
      <w:marRight w:val="0"/>
      <w:marTop w:val="0"/>
      <w:marBottom w:val="0"/>
      <w:divBdr>
        <w:top w:val="none" w:sz="0" w:space="0" w:color="auto"/>
        <w:left w:val="none" w:sz="0" w:space="0" w:color="auto"/>
        <w:bottom w:val="none" w:sz="0" w:space="0" w:color="auto"/>
        <w:right w:val="none" w:sz="0" w:space="0" w:color="auto"/>
      </w:divBdr>
    </w:div>
    <w:div w:id="1699307770">
      <w:bodyDiv w:val="1"/>
      <w:marLeft w:val="0"/>
      <w:marRight w:val="0"/>
      <w:marTop w:val="0"/>
      <w:marBottom w:val="0"/>
      <w:divBdr>
        <w:top w:val="none" w:sz="0" w:space="0" w:color="auto"/>
        <w:left w:val="none" w:sz="0" w:space="0" w:color="auto"/>
        <w:bottom w:val="none" w:sz="0" w:space="0" w:color="auto"/>
        <w:right w:val="none" w:sz="0" w:space="0" w:color="auto"/>
      </w:divBdr>
    </w:div>
    <w:div w:id="1699308544">
      <w:bodyDiv w:val="1"/>
      <w:marLeft w:val="0"/>
      <w:marRight w:val="0"/>
      <w:marTop w:val="0"/>
      <w:marBottom w:val="0"/>
      <w:divBdr>
        <w:top w:val="none" w:sz="0" w:space="0" w:color="auto"/>
        <w:left w:val="none" w:sz="0" w:space="0" w:color="auto"/>
        <w:bottom w:val="none" w:sz="0" w:space="0" w:color="auto"/>
        <w:right w:val="none" w:sz="0" w:space="0" w:color="auto"/>
      </w:divBdr>
    </w:div>
    <w:div w:id="1699355160">
      <w:bodyDiv w:val="1"/>
      <w:marLeft w:val="0"/>
      <w:marRight w:val="0"/>
      <w:marTop w:val="0"/>
      <w:marBottom w:val="0"/>
      <w:divBdr>
        <w:top w:val="none" w:sz="0" w:space="0" w:color="auto"/>
        <w:left w:val="none" w:sz="0" w:space="0" w:color="auto"/>
        <w:bottom w:val="none" w:sz="0" w:space="0" w:color="auto"/>
        <w:right w:val="none" w:sz="0" w:space="0" w:color="auto"/>
      </w:divBdr>
    </w:div>
    <w:div w:id="1699428995">
      <w:bodyDiv w:val="1"/>
      <w:marLeft w:val="0"/>
      <w:marRight w:val="0"/>
      <w:marTop w:val="0"/>
      <w:marBottom w:val="0"/>
      <w:divBdr>
        <w:top w:val="none" w:sz="0" w:space="0" w:color="auto"/>
        <w:left w:val="none" w:sz="0" w:space="0" w:color="auto"/>
        <w:bottom w:val="none" w:sz="0" w:space="0" w:color="auto"/>
        <w:right w:val="none" w:sz="0" w:space="0" w:color="auto"/>
      </w:divBdr>
    </w:div>
    <w:div w:id="1699504769">
      <w:bodyDiv w:val="1"/>
      <w:marLeft w:val="0"/>
      <w:marRight w:val="0"/>
      <w:marTop w:val="0"/>
      <w:marBottom w:val="0"/>
      <w:divBdr>
        <w:top w:val="none" w:sz="0" w:space="0" w:color="auto"/>
        <w:left w:val="none" w:sz="0" w:space="0" w:color="auto"/>
        <w:bottom w:val="none" w:sz="0" w:space="0" w:color="auto"/>
        <w:right w:val="none" w:sz="0" w:space="0" w:color="auto"/>
      </w:divBdr>
    </w:div>
    <w:div w:id="1699621482">
      <w:bodyDiv w:val="1"/>
      <w:marLeft w:val="0"/>
      <w:marRight w:val="0"/>
      <w:marTop w:val="0"/>
      <w:marBottom w:val="0"/>
      <w:divBdr>
        <w:top w:val="none" w:sz="0" w:space="0" w:color="auto"/>
        <w:left w:val="none" w:sz="0" w:space="0" w:color="auto"/>
        <w:bottom w:val="none" w:sz="0" w:space="0" w:color="auto"/>
        <w:right w:val="none" w:sz="0" w:space="0" w:color="auto"/>
      </w:divBdr>
    </w:div>
    <w:div w:id="1699813212">
      <w:bodyDiv w:val="1"/>
      <w:marLeft w:val="0"/>
      <w:marRight w:val="0"/>
      <w:marTop w:val="0"/>
      <w:marBottom w:val="0"/>
      <w:divBdr>
        <w:top w:val="none" w:sz="0" w:space="0" w:color="auto"/>
        <w:left w:val="none" w:sz="0" w:space="0" w:color="auto"/>
        <w:bottom w:val="none" w:sz="0" w:space="0" w:color="auto"/>
        <w:right w:val="none" w:sz="0" w:space="0" w:color="auto"/>
      </w:divBdr>
    </w:div>
    <w:div w:id="1700011356">
      <w:bodyDiv w:val="1"/>
      <w:marLeft w:val="0"/>
      <w:marRight w:val="0"/>
      <w:marTop w:val="0"/>
      <w:marBottom w:val="0"/>
      <w:divBdr>
        <w:top w:val="none" w:sz="0" w:space="0" w:color="auto"/>
        <w:left w:val="none" w:sz="0" w:space="0" w:color="auto"/>
        <w:bottom w:val="none" w:sz="0" w:space="0" w:color="auto"/>
        <w:right w:val="none" w:sz="0" w:space="0" w:color="auto"/>
      </w:divBdr>
    </w:div>
    <w:div w:id="1700276721">
      <w:bodyDiv w:val="1"/>
      <w:marLeft w:val="0"/>
      <w:marRight w:val="0"/>
      <w:marTop w:val="0"/>
      <w:marBottom w:val="0"/>
      <w:divBdr>
        <w:top w:val="none" w:sz="0" w:space="0" w:color="auto"/>
        <w:left w:val="none" w:sz="0" w:space="0" w:color="auto"/>
        <w:bottom w:val="none" w:sz="0" w:space="0" w:color="auto"/>
        <w:right w:val="none" w:sz="0" w:space="0" w:color="auto"/>
      </w:divBdr>
    </w:div>
    <w:div w:id="1700356530">
      <w:bodyDiv w:val="1"/>
      <w:marLeft w:val="0"/>
      <w:marRight w:val="0"/>
      <w:marTop w:val="0"/>
      <w:marBottom w:val="0"/>
      <w:divBdr>
        <w:top w:val="none" w:sz="0" w:space="0" w:color="auto"/>
        <w:left w:val="none" w:sz="0" w:space="0" w:color="auto"/>
        <w:bottom w:val="none" w:sz="0" w:space="0" w:color="auto"/>
        <w:right w:val="none" w:sz="0" w:space="0" w:color="auto"/>
      </w:divBdr>
    </w:div>
    <w:div w:id="1700467747">
      <w:bodyDiv w:val="1"/>
      <w:marLeft w:val="0"/>
      <w:marRight w:val="0"/>
      <w:marTop w:val="0"/>
      <w:marBottom w:val="0"/>
      <w:divBdr>
        <w:top w:val="none" w:sz="0" w:space="0" w:color="auto"/>
        <w:left w:val="none" w:sz="0" w:space="0" w:color="auto"/>
        <w:bottom w:val="none" w:sz="0" w:space="0" w:color="auto"/>
        <w:right w:val="none" w:sz="0" w:space="0" w:color="auto"/>
      </w:divBdr>
    </w:div>
    <w:div w:id="1700469478">
      <w:bodyDiv w:val="1"/>
      <w:marLeft w:val="0"/>
      <w:marRight w:val="0"/>
      <w:marTop w:val="0"/>
      <w:marBottom w:val="0"/>
      <w:divBdr>
        <w:top w:val="none" w:sz="0" w:space="0" w:color="auto"/>
        <w:left w:val="none" w:sz="0" w:space="0" w:color="auto"/>
        <w:bottom w:val="none" w:sz="0" w:space="0" w:color="auto"/>
        <w:right w:val="none" w:sz="0" w:space="0" w:color="auto"/>
      </w:divBdr>
    </w:div>
    <w:div w:id="1700472073">
      <w:bodyDiv w:val="1"/>
      <w:marLeft w:val="0"/>
      <w:marRight w:val="0"/>
      <w:marTop w:val="0"/>
      <w:marBottom w:val="0"/>
      <w:divBdr>
        <w:top w:val="none" w:sz="0" w:space="0" w:color="auto"/>
        <w:left w:val="none" w:sz="0" w:space="0" w:color="auto"/>
        <w:bottom w:val="none" w:sz="0" w:space="0" w:color="auto"/>
        <w:right w:val="none" w:sz="0" w:space="0" w:color="auto"/>
      </w:divBdr>
    </w:div>
    <w:div w:id="1700473917">
      <w:bodyDiv w:val="1"/>
      <w:marLeft w:val="0"/>
      <w:marRight w:val="0"/>
      <w:marTop w:val="0"/>
      <w:marBottom w:val="0"/>
      <w:divBdr>
        <w:top w:val="none" w:sz="0" w:space="0" w:color="auto"/>
        <w:left w:val="none" w:sz="0" w:space="0" w:color="auto"/>
        <w:bottom w:val="none" w:sz="0" w:space="0" w:color="auto"/>
        <w:right w:val="none" w:sz="0" w:space="0" w:color="auto"/>
      </w:divBdr>
    </w:div>
    <w:div w:id="1700543468">
      <w:bodyDiv w:val="1"/>
      <w:marLeft w:val="0"/>
      <w:marRight w:val="0"/>
      <w:marTop w:val="0"/>
      <w:marBottom w:val="0"/>
      <w:divBdr>
        <w:top w:val="none" w:sz="0" w:space="0" w:color="auto"/>
        <w:left w:val="none" w:sz="0" w:space="0" w:color="auto"/>
        <w:bottom w:val="none" w:sz="0" w:space="0" w:color="auto"/>
        <w:right w:val="none" w:sz="0" w:space="0" w:color="auto"/>
      </w:divBdr>
    </w:div>
    <w:div w:id="1700668551">
      <w:bodyDiv w:val="1"/>
      <w:marLeft w:val="0"/>
      <w:marRight w:val="0"/>
      <w:marTop w:val="0"/>
      <w:marBottom w:val="0"/>
      <w:divBdr>
        <w:top w:val="none" w:sz="0" w:space="0" w:color="auto"/>
        <w:left w:val="none" w:sz="0" w:space="0" w:color="auto"/>
        <w:bottom w:val="none" w:sz="0" w:space="0" w:color="auto"/>
        <w:right w:val="none" w:sz="0" w:space="0" w:color="auto"/>
      </w:divBdr>
    </w:div>
    <w:div w:id="1700735522">
      <w:bodyDiv w:val="1"/>
      <w:marLeft w:val="0"/>
      <w:marRight w:val="0"/>
      <w:marTop w:val="0"/>
      <w:marBottom w:val="0"/>
      <w:divBdr>
        <w:top w:val="none" w:sz="0" w:space="0" w:color="auto"/>
        <w:left w:val="none" w:sz="0" w:space="0" w:color="auto"/>
        <w:bottom w:val="none" w:sz="0" w:space="0" w:color="auto"/>
        <w:right w:val="none" w:sz="0" w:space="0" w:color="auto"/>
      </w:divBdr>
    </w:div>
    <w:div w:id="1700736374">
      <w:bodyDiv w:val="1"/>
      <w:marLeft w:val="0"/>
      <w:marRight w:val="0"/>
      <w:marTop w:val="0"/>
      <w:marBottom w:val="0"/>
      <w:divBdr>
        <w:top w:val="none" w:sz="0" w:space="0" w:color="auto"/>
        <w:left w:val="none" w:sz="0" w:space="0" w:color="auto"/>
        <w:bottom w:val="none" w:sz="0" w:space="0" w:color="auto"/>
        <w:right w:val="none" w:sz="0" w:space="0" w:color="auto"/>
      </w:divBdr>
    </w:div>
    <w:div w:id="1700886547">
      <w:bodyDiv w:val="1"/>
      <w:marLeft w:val="0"/>
      <w:marRight w:val="0"/>
      <w:marTop w:val="0"/>
      <w:marBottom w:val="0"/>
      <w:divBdr>
        <w:top w:val="none" w:sz="0" w:space="0" w:color="auto"/>
        <w:left w:val="none" w:sz="0" w:space="0" w:color="auto"/>
        <w:bottom w:val="none" w:sz="0" w:space="0" w:color="auto"/>
        <w:right w:val="none" w:sz="0" w:space="0" w:color="auto"/>
      </w:divBdr>
    </w:div>
    <w:div w:id="1700931802">
      <w:bodyDiv w:val="1"/>
      <w:marLeft w:val="0"/>
      <w:marRight w:val="0"/>
      <w:marTop w:val="0"/>
      <w:marBottom w:val="0"/>
      <w:divBdr>
        <w:top w:val="none" w:sz="0" w:space="0" w:color="auto"/>
        <w:left w:val="none" w:sz="0" w:space="0" w:color="auto"/>
        <w:bottom w:val="none" w:sz="0" w:space="0" w:color="auto"/>
        <w:right w:val="none" w:sz="0" w:space="0" w:color="auto"/>
      </w:divBdr>
    </w:div>
    <w:div w:id="1700936399">
      <w:bodyDiv w:val="1"/>
      <w:marLeft w:val="0"/>
      <w:marRight w:val="0"/>
      <w:marTop w:val="0"/>
      <w:marBottom w:val="0"/>
      <w:divBdr>
        <w:top w:val="none" w:sz="0" w:space="0" w:color="auto"/>
        <w:left w:val="none" w:sz="0" w:space="0" w:color="auto"/>
        <w:bottom w:val="none" w:sz="0" w:space="0" w:color="auto"/>
        <w:right w:val="none" w:sz="0" w:space="0" w:color="auto"/>
      </w:divBdr>
    </w:div>
    <w:div w:id="1701082417">
      <w:bodyDiv w:val="1"/>
      <w:marLeft w:val="0"/>
      <w:marRight w:val="0"/>
      <w:marTop w:val="0"/>
      <w:marBottom w:val="0"/>
      <w:divBdr>
        <w:top w:val="none" w:sz="0" w:space="0" w:color="auto"/>
        <w:left w:val="none" w:sz="0" w:space="0" w:color="auto"/>
        <w:bottom w:val="none" w:sz="0" w:space="0" w:color="auto"/>
        <w:right w:val="none" w:sz="0" w:space="0" w:color="auto"/>
      </w:divBdr>
    </w:div>
    <w:div w:id="1701203119">
      <w:bodyDiv w:val="1"/>
      <w:marLeft w:val="0"/>
      <w:marRight w:val="0"/>
      <w:marTop w:val="0"/>
      <w:marBottom w:val="0"/>
      <w:divBdr>
        <w:top w:val="none" w:sz="0" w:space="0" w:color="auto"/>
        <w:left w:val="none" w:sz="0" w:space="0" w:color="auto"/>
        <w:bottom w:val="none" w:sz="0" w:space="0" w:color="auto"/>
        <w:right w:val="none" w:sz="0" w:space="0" w:color="auto"/>
      </w:divBdr>
    </w:div>
    <w:div w:id="1701281396">
      <w:bodyDiv w:val="1"/>
      <w:marLeft w:val="0"/>
      <w:marRight w:val="0"/>
      <w:marTop w:val="0"/>
      <w:marBottom w:val="0"/>
      <w:divBdr>
        <w:top w:val="none" w:sz="0" w:space="0" w:color="auto"/>
        <w:left w:val="none" w:sz="0" w:space="0" w:color="auto"/>
        <w:bottom w:val="none" w:sz="0" w:space="0" w:color="auto"/>
        <w:right w:val="none" w:sz="0" w:space="0" w:color="auto"/>
      </w:divBdr>
    </w:div>
    <w:div w:id="1701512431">
      <w:bodyDiv w:val="1"/>
      <w:marLeft w:val="0"/>
      <w:marRight w:val="0"/>
      <w:marTop w:val="0"/>
      <w:marBottom w:val="0"/>
      <w:divBdr>
        <w:top w:val="none" w:sz="0" w:space="0" w:color="auto"/>
        <w:left w:val="none" w:sz="0" w:space="0" w:color="auto"/>
        <w:bottom w:val="none" w:sz="0" w:space="0" w:color="auto"/>
        <w:right w:val="none" w:sz="0" w:space="0" w:color="auto"/>
      </w:divBdr>
    </w:div>
    <w:div w:id="1701584536">
      <w:bodyDiv w:val="1"/>
      <w:marLeft w:val="0"/>
      <w:marRight w:val="0"/>
      <w:marTop w:val="0"/>
      <w:marBottom w:val="0"/>
      <w:divBdr>
        <w:top w:val="none" w:sz="0" w:space="0" w:color="auto"/>
        <w:left w:val="none" w:sz="0" w:space="0" w:color="auto"/>
        <w:bottom w:val="none" w:sz="0" w:space="0" w:color="auto"/>
        <w:right w:val="none" w:sz="0" w:space="0" w:color="auto"/>
      </w:divBdr>
    </w:div>
    <w:div w:id="1701586536">
      <w:bodyDiv w:val="1"/>
      <w:marLeft w:val="0"/>
      <w:marRight w:val="0"/>
      <w:marTop w:val="0"/>
      <w:marBottom w:val="0"/>
      <w:divBdr>
        <w:top w:val="none" w:sz="0" w:space="0" w:color="auto"/>
        <w:left w:val="none" w:sz="0" w:space="0" w:color="auto"/>
        <w:bottom w:val="none" w:sz="0" w:space="0" w:color="auto"/>
        <w:right w:val="none" w:sz="0" w:space="0" w:color="auto"/>
      </w:divBdr>
    </w:div>
    <w:div w:id="1701927615">
      <w:bodyDiv w:val="1"/>
      <w:marLeft w:val="0"/>
      <w:marRight w:val="0"/>
      <w:marTop w:val="0"/>
      <w:marBottom w:val="0"/>
      <w:divBdr>
        <w:top w:val="none" w:sz="0" w:space="0" w:color="auto"/>
        <w:left w:val="none" w:sz="0" w:space="0" w:color="auto"/>
        <w:bottom w:val="none" w:sz="0" w:space="0" w:color="auto"/>
        <w:right w:val="none" w:sz="0" w:space="0" w:color="auto"/>
      </w:divBdr>
    </w:div>
    <w:div w:id="1701931157">
      <w:bodyDiv w:val="1"/>
      <w:marLeft w:val="0"/>
      <w:marRight w:val="0"/>
      <w:marTop w:val="0"/>
      <w:marBottom w:val="0"/>
      <w:divBdr>
        <w:top w:val="none" w:sz="0" w:space="0" w:color="auto"/>
        <w:left w:val="none" w:sz="0" w:space="0" w:color="auto"/>
        <w:bottom w:val="none" w:sz="0" w:space="0" w:color="auto"/>
        <w:right w:val="none" w:sz="0" w:space="0" w:color="auto"/>
      </w:divBdr>
    </w:div>
    <w:div w:id="1702049704">
      <w:bodyDiv w:val="1"/>
      <w:marLeft w:val="0"/>
      <w:marRight w:val="0"/>
      <w:marTop w:val="0"/>
      <w:marBottom w:val="0"/>
      <w:divBdr>
        <w:top w:val="none" w:sz="0" w:space="0" w:color="auto"/>
        <w:left w:val="none" w:sz="0" w:space="0" w:color="auto"/>
        <w:bottom w:val="none" w:sz="0" w:space="0" w:color="auto"/>
        <w:right w:val="none" w:sz="0" w:space="0" w:color="auto"/>
      </w:divBdr>
    </w:div>
    <w:div w:id="1702052532">
      <w:bodyDiv w:val="1"/>
      <w:marLeft w:val="0"/>
      <w:marRight w:val="0"/>
      <w:marTop w:val="0"/>
      <w:marBottom w:val="0"/>
      <w:divBdr>
        <w:top w:val="none" w:sz="0" w:space="0" w:color="auto"/>
        <w:left w:val="none" w:sz="0" w:space="0" w:color="auto"/>
        <w:bottom w:val="none" w:sz="0" w:space="0" w:color="auto"/>
        <w:right w:val="none" w:sz="0" w:space="0" w:color="auto"/>
      </w:divBdr>
    </w:div>
    <w:div w:id="1702126643">
      <w:bodyDiv w:val="1"/>
      <w:marLeft w:val="0"/>
      <w:marRight w:val="0"/>
      <w:marTop w:val="0"/>
      <w:marBottom w:val="0"/>
      <w:divBdr>
        <w:top w:val="none" w:sz="0" w:space="0" w:color="auto"/>
        <w:left w:val="none" w:sz="0" w:space="0" w:color="auto"/>
        <w:bottom w:val="none" w:sz="0" w:space="0" w:color="auto"/>
        <w:right w:val="none" w:sz="0" w:space="0" w:color="auto"/>
      </w:divBdr>
    </w:div>
    <w:div w:id="1702239956">
      <w:bodyDiv w:val="1"/>
      <w:marLeft w:val="0"/>
      <w:marRight w:val="0"/>
      <w:marTop w:val="0"/>
      <w:marBottom w:val="0"/>
      <w:divBdr>
        <w:top w:val="none" w:sz="0" w:space="0" w:color="auto"/>
        <w:left w:val="none" w:sz="0" w:space="0" w:color="auto"/>
        <w:bottom w:val="none" w:sz="0" w:space="0" w:color="auto"/>
        <w:right w:val="none" w:sz="0" w:space="0" w:color="auto"/>
      </w:divBdr>
    </w:div>
    <w:div w:id="1702365625">
      <w:bodyDiv w:val="1"/>
      <w:marLeft w:val="0"/>
      <w:marRight w:val="0"/>
      <w:marTop w:val="0"/>
      <w:marBottom w:val="0"/>
      <w:divBdr>
        <w:top w:val="none" w:sz="0" w:space="0" w:color="auto"/>
        <w:left w:val="none" w:sz="0" w:space="0" w:color="auto"/>
        <w:bottom w:val="none" w:sz="0" w:space="0" w:color="auto"/>
        <w:right w:val="none" w:sz="0" w:space="0" w:color="auto"/>
      </w:divBdr>
    </w:div>
    <w:div w:id="1702392323">
      <w:bodyDiv w:val="1"/>
      <w:marLeft w:val="0"/>
      <w:marRight w:val="0"/>
      <w:marTop w:val="0"/>
      <w:marBottom w:val="0"/>
      <w:divBdr>
        <w:top w:val="none" w:sz="0" w:space="0" w:color="auto"/>
        <w:left w:val="none" w:sz="0" w:space="0" w:color="auto"/>
        <w:bottom w:val="none" w:sz="0" w:space="0" w:color="auto"/>
        <w:right w:val="none" w:sz="0" w:space="0" w:color="auto"/>
      </w:divBdr>
    </w:div>
    <w:div w:id="1702437665">
      <w:bodyDiv w:val="1"/>
      <w:marLeft w:val="0"/>
      <w:marRight w:val="0"/>
      <w:marTop w:val="0"/>
      <w:marBottom w:val="0"/>
      <w:divBdr>
        <w:top w:val="none" w:sz="0" w:space="0" w:color="auto"/>
        <w:left w:val="none" w:sz="0" w:space="0" w:color="auto"/>
        <w:bottom w:val="none" w:sz="0" w:space="0" w:color="auto"/>
        <w:right w:val="none" w:sz="0" w:space="0" w:color="auto"/>
      </w:divBdr>
    </w:div>
    <w:div w:id="1702439401">
      <w:bodyDiv w:val="1"/>
      <w:marLeft w:val="0"/>
      <w:marRight w:val="0"/>
      <w:marTop w:val="0"/>
      <w:marBottom w:val="0"/>
      <w:divBdr>
        <w:top w:val="none" w:sz="0" w:space="0" w:color="auto"/>
        <w:left w:val="none" w:sz="0" w:space="0" w:color="auto"/>
        <w:bottom w:val="none" w:sz="0" w:space="0" w:color="auto"/>
        <w:right w:val="none" w:sz="0" w:space="0" w:color="auto"/>
      </w:divBdr>
      <w:divsChild>
        <w:div w:id="393943">
          <w:marLeft w:val="0"/>
          <w:marRight w:val="0"/>
          <w:marTop w:val="0"/>
          <w:marBottom w:val="0"/>
          <w:divBdr>
            <w:top w:val="none" w:sz="0" w:space="0" w:color="auto"/>
            <w:left w:val="none" w:sz="0" w:space="0" w:color="auto"/>
            <w:bottom w:val="none" w:sz="0" w:space="0" w:color="auto"/>
            <w:right w:val="none" w:sz="0" w:space="0" w:color="auto"/>
          </w:divBdr>
          <w:divsChild>
            <w:div w:id="530847829">
              <w:marLeft w:val="0"/>
              <w:marRight w:val="0"/>
              <w:marTop w:val="0"/>
              <w:marBottom w:val="0"/>
              <w:divBdr>
                <w:top w:val="none" w:sz="0" w:space="0" w:color="auto"/>
                <w:left w:val="none" w:sz="0" w:space="0" w:color="auto"/>
                <w:bottom w:val="none" w:sz="0" w:space="0" w:color="auto"/>
                <w:right w:val="none" w:sz="0" w:space="0" w:color="auto"/>
              </w:divBdr>
            </w:div>
          </w:divsChild>
        </w:div>
        <w:div w:id="1204894">
          <w:marLeft w:val="0"/>
          <w:marRight w:val="0"/>
          <w:marTop w:val="0"/>
          <w:marBottom w:val="0"/>
          <w:divBdr>
            <w:top w:val="none" w:sz="0" w:space="0" w:color="auto"/>
            <w:left w:val="none" w:sz="0" w:space="0" w:color="auto"/>
            <w:bottom w:val="none" w:sz="0" w:space="0" w:color="auto"/>
            <w:right w:val="none" w:sz="0" w:space="0" w:color="auto"/>
          </w:divBdr>
          <w:divsChild>
            <w:div w:id="299579576">
              <w:marLeft w:val="0"/>
              <w:marRight w:val="0"/>
              <w:marTop w:val="0"/>
              <w:marBottom w:val="0"/>
              <w:divBdr>
                <w:top w:val="none" w:sz="0" w:space="0" w:color="auto"/>
                <w:left w:val="none" w:sz="0" w:space="0" w:color="auto"/>
                <w:bottom w:val="none" w:sz="0" w:space="0" w:color="auto"/>
                <w:right w:val="none" w:sz="0" w:space="0" w:color="auto"/>
              </w:divBdr>
            </w:div>
          </w:divsChild>
        </w:div>
        <w:div w:id="2711556">
          <w:marLeft w:val="0"/>
          <w:marRight w:val="0"/>
          <w:marTop w:val="0"/>
          <w:marBottom w:val="0"/>
          <w:divBdr>
            <w:top w:val="none" w:sz="0" w:space="0" w:color="auto"/>
            <w:left w:val="none" w:sz="0" w:space="0" w:color="auto"/>
            <w:bottom w:val="none" w:sz="0" w:space="0" w:color="auto"/>
            <w:right w:val="none" w:sz="0" w:space="0" w:color="auto"/>
          </w:divBdr>
          <w:divsChild>
            <w:div w:id="1575431204">
              <w:marLeft w:val="0"/>
              <w:marRight w:val="0"/>
              <w:marTop w:val="0"/>
              <w:marBottom w:val="0"/>
              <w:divBdr>
                <w:top w:val="none" w:sz="0" w:space="0" w:color="auto"/>
                <w:left w:val="none" w:sz="0" w:space="0" w:color="auto"/>
                <w:bottom w:val="none" w:sz="0" w:space="0" w:color="auto"/>
                <w:right w:val="none" w:sz="0" w:space="0" w:color="auto"/>
              </w:divBdr>
            </w:div>
          </w:divsChild>
        </w:div>
        <w:div w:id="4019353">
          <w:marLeft w:val="0"/>
          <w:marRight w:val="0"/>
          <w:marTop w:val="0"/>
          <w:marBottom w:val="0"/>
          <w:divBdr>
            <w:top w:val="none" w:sz="0" w:space="0" w:color="auto"/>
            <w:left w:val="none" w:sz="0" w:space="0" w:color="auto"/>
            <w:bottom w:val="none" w:sz="0" w:space="0" w:color="auto"/>
            <w:right w:val="none" w:sz="0" w:space="0" w:color="auto"/>
          </w:divBdr>
          <w:divsChild>
            <w:div w:id="476849184">
              <w:marLeft w:val="0"/>
              <w:marRight w:val="0"/>
              <w:marTop w:val="0"/>
              <w:marBottom w:val="0"/>
              <w:divBdr>
                <w:top w:val="none" w:sz="0" w:space="0" w:color="auto"/>
                <w:left w:val="none" w:sz="0" w:space="0" w:color="auto"/>
                <w:bottom w:val="none" w:sz="0" w:space="0" w:color="auto"/>
                <w:right w:val="none" w:sz="0" w:space="0" w:color="auto"/>
              </w:divBdr>
            </w:div>
          </w:divsChild>
        </w:div>
        <w:div w:id="4872170">
          <w:marLeft w:val="0"/>
          <w:marRight w:val="0"/>
          <w:marTop w:val="0"/>
          <w:marBottom w:val="0"/>
          <w:divBdr>
            <w:top w:val="none" w:sz="0" w:space="0" w:color="auto"/>
            <w:left w:val="none" w:sz="0" w:space="0" w:color="auto"/>
            <w:bottom w:val="none" w:sz="0" w:space="0" w:color="auto"/>
            <w:right w:val="none" w:sz="0" w:space="0" w:color="auto"/>
          </w:divBdr>
          <w:divsChild>
            <w:div w:id="1538002434">
              <w:marLeft w:val="0"/>
              <w:marRight w:val="0"/>
              <w:marTop w:val="0"/>
              <w:marBottom w:val="0"/>
              <w:divBdr>
                <w:top w:val="none" w:sz="0" w:space="0" w:color="auto"/>
                <w:left w:val="none" w:sz="0" w:space="0" w:color="auto"/>
                <w:bottom w:val="none" w:sz="0" w:space="0" w:color="auto"/>
                <w:right w:val="none" w:sz="0" w:space="0" w:color="auto"/>
              </w:divBdr>
            </w:div>
          </w:divsChild>
        </w:div>
        <w:div w:id="6099970">
          <w:marLeft w:val="0"/>
          <w:marRight w:val="0"/>
          <w:marTop w:val="0"/>
          <w:marBottom w:val="0"/>
          <w:divBdr>
            <w:top w:val="none" w:sz="0" w:space="0" w:color="auto"/>
            <w:left w:val="none" w:sz="0" w:space="0" w:color="auto"/>
            <w:bottom w:val="none" w:sz="0" w:space="0" w:color="auto"/>
            <w:right w:val="none" w:sz="0" w:space="0" w:color="auto"/>
          </w:divBdr>
          <w:divsChild>
            <w:div w:id="1967854827">
              <w:marLeft w:val="0"/>
              <w:marRight w:val="0"/>
              <w:marTop w:val="0"/>
              <w:marBottom w:val="0"/>
              <w:divBdr>
                <w:top w:val="none" w:sz="0" w:space="0" w:color="auto"/>
                <w:left w:val="none" w:sz="0" w:space="0" w:color="auto"/>
                <w:bottom w:val="none" w:sz="0" w:space="0" w:color="auto"/>
                <w:right w:val="none" w:sz="0" w:space="0" w:color="auto"/>
              </w:divBdr>
            </w:div>
          </w:divsChild>
        </w:div>
        <w:div w:id="7411179">
          <w:marLeft w:val="0"/>
          <w:marRight w:val="0"/>
          <w:marTop w:val="0"/>
          <w:marBottom w:val="0"/>
          <w:divBdr>
            <w:top w:val="none" w:sz="0" w:space="0" w:color="auto"/>
            <w:left w:val="none" w:sz="0" w:space="0" w:color="auto"/>
            <w:bottom w:val="none" w:sz="0" w:space="0" w:color="auto"/>
            <w:right w:val="none" w:sz="0" w:space="0" w:color="auto"/>
          </w:divBdr>
          <w:divsChild>
            <w:div w:id="1040861242">
              <w:marLeft w:val="0"/>
              <w:marRight w:val="0"/>
              <w:marTop w:val="0"/>
              <w:marBottom w:val="0"/>
              <w:divBdr>
                <w:top w:val="none" w:sz="0" w:space="0" w:color="auto"/>
                <w:left w:val="none" w:sz="0" w:space="0" w:color="auto"/>
                <w:bottom w:val="none" w:sz="0" w:space="0" w:color="auto"/>
                <w:right w:val="none" w:sz="0" w:space="0" w:color="auto"/>
              </w:divBdr>
            </w:div>
          </w:divsChild>
        </w:div>
        <w:div w:id="8605692">
          <w:marLeft w:val="0"/>
          <w:marRight w:val="0"/>
          <w:marTop w:val="0"/>
          <w:marBottom w:val="0"/>
          <w:divBdr>
            <w:top w:val="none" w:sz="0" w:space="0" w:color="auto"/>
            <w:left w:val="none" w:sz="0" w:space="0" w:color="auto"/>
            <w:bottom w:val="none" w:sz="0" w:space="0" w:color="auto"/>
            <w:right w:val="none" w:sz="0" w:space="0" w:color="auto"/>
          </w:divBdr>
          <w:divsChild>
            <w:div w:id="1279802986">
              <w:marLeft w:val="0"/>
              <w:marRight w:val="0"/>
              <w:marTop w:val="0"/>
              <w:marBottom w:val="0"/>
              <w:divBdr>
                <w:top w:val="none" w:sz="0" w:space="0" w:color="auto"/>
                <w:left w:val="none" w:sz="0" w:space="0" w:color="auto"/>
                <w:bottom w:val="none" w:sz="0" w:space="0" w:color="auto"/>
                <w:right w:val="none" w:sz="0" w:space="0" w:color="auto"/>
              </w:divBdr>
            </w:div>
          </w:divsChild>
        </w:div>
        <w:div w:id="10838694">
          <w:marLeft w:val="0"/>
          <w:marRight w:val="0"/>
          <w:marTop w:val="0"/>
          <w:marBottom w:val="0"/>
          <w:divBdr>
            <w:top w:val="none" w:sz="0" w:space="0" w:color="auto"/>
            <w:left w:val="none" w:sz="0" w:space="0" w:color="auto"/>
            <w:bottom w:val="none" w:sz="0" w:space="0" w:color="auto"/>
            <w:right w:val="none" w:sz="0" w:space="0" w:color="auto"/>
          </w:divBdr>
          <w:divsChild>
            <w:div w:id="1086077813">
              <w:marLeft w:val="0"/>
              <w:marRight w:val="0"/>
              <w:marTop w:val="0"/>
              <w:marBottom w:val="0"/>
              <w:divBdr>
                <w:top w:val="none" w:sz="0" w:space="0" w:color="auto"/>
                <w:left w:val="none" w:sz="0" w:space="0" w:color="auto"/>
                <w:bottom w:val="none" w:sz="0" w:space="0" w:color="auto"/>
                <w:right w:val="none" w:sz="0" w:space="0" w:color="auto"/>
              </w:divBdr>
            </w:div>
          </w:divsChild>
        </w:div>
        <w:div w:id="11272930">
          <w:marLeft w:val="0"/>
          <w:marRight w:val="0"/>
          <w:marTop w:val="0"/>
          <w:marBottom w:val="0"/>
          <w:divBdr>
            <w:top w:val="none" w:sz="0" w:space="0" w:color="auto"/>
            <w:left w:val="none" w:sz="0" w:space="0" w:color="auto"/>
            <w:bottom w:val="none" w:sz="0" w:space="0" w:color="auto"/>
            <w:right w:val="none" w:sz="0" w:space="0" w:color="auto"/>
          </w:divBdr>
          <w:divsChild>
            <w:div w:id="984164204">
              <w:marLeft w:val="0"/>
              <w:marRight w:val="0"/>
              <w:marTop w:val="0"/>
              <w:marBottom w:val="0"/>
              <w:divBdr>
                <w:top w:val="none" w:sz="0" w:space="0" w:color="auto"/>
                <w:left w:val="none" w:sz="0" w:space="0" w:color="auto"/>
                <w:bottom w:val="none" w:sz="0" w:space="0" w:color="auto"/>
                <w:right w:val="none" w:sz="0" w:space="0" w:color="auto"/>
              </w:divBdr>
            </w:div>
          </w:divsChild>
        </w:div>
        <w:div w:id="11616939">
          <w:marLeft w:val="0"/>
          <w:marRight w:val="0"/>
          <w:marTop w:val="0"/>
          <w:marBottom w:val="0"/>
          <w:divBdr>
            <w:top w:val="none" w:sz="0" w:space="0" w:color="auto"/>
            <w:left w:val="none" w:sz="0" w:space="0" w:color="auto"/>
            <w:bottom w:val="none" w:sz="0" w:space="0" w:color="auto"/>
            <w:right w:val="none" w:sz="0" w:space="0" w:color="auto"/>
          </w:divBdr>
          <w:divsChild>
            <w:div w:id="1274022265">
              <w:marLeft w:val="0"/>
              <w:marRight w:val="0"/>
              <w:marTop w:val="0"/>
              <w:marBottom w:val="0"/>
              <w:divBdr>
                <w:top w:val="none" w:sz="0" w:space="0" w:color="auto"/>
                <w:left w:val="none" w:sz="0" w:space="0" w:color="auto"/>
                <w:bottom w:val="none" w:sz="0" w:space="0" w:color="auto"/>
                <w:right w:val="none" w:sz="0" w:space="0" w:color="auto"/>
              </w:divBdr>
            </w:div>
          </w:divsChild>
        </w:div>
        <w:div w:id="17852342">
          <w:marLeft w:val="0"/>
          <w:marRight w:val="0"/>
          <w:marTop w:val="0"/>
          <w:marBottom w:val="0"/>
          <w:divBdr>
            <w:top w:val="none" w:sz="0" w:space="0" w:color="auto"/>
            <w:left w:val="none" w:sz="0" w:space="0" w:color="auto"/>
            <w:bottom w:val="none" w:sz="0" w:space="0" w:color="auto"/>
            <w:right w:val="none" w:sz="0" w:space="0" w:color="auto"/>
          </w:divBdr>
          <w:divsChild>
            <w:div w:id="1086152230">
              <w:marLeft w:val="0"/>
              <w:marRight w:val="0"/>
              <w:marTop w:val="0"/>
              <w:marBottom w:val="0"/>
              <w:divBdr>
                <w:top w:val="none" w:sz="0" w:space="0" w:color="auto"/>
                <w:left w:val="none" w:sz="0" w:space="0" w:color="auto"/>
                <w:bottom w:val="none" w:sz="0" w:space="0" w:color="auto"/>
                <w:right w:val="none" w:sz="0" w:space="0" w:color="auto"/>
              </w:divBdr>
            </w:div>
          </w:divsChild>
        </w:div>
        <w:div w:id="17899666">
          <w:marLeft w:val="0"/>
          <w:marRight w:val="0"/>
          <w:marTop w:val="0"/>
          <w:marBottom w:val="0"/>
          <w:divBdr>
            <w:top w:val="none" w:sz="0" w:space="0" w:color="auto"/>
            <w:left w:val="none" w:sz="0" w:space="0" w:color="auto"/>
            <w:bottom w:val="none" w:sz="0" w:space="0" w:color="auto"/>
            <w:right w:val="none" w:sz="0" w:space="0" w:color="auto"/>
          </w:divBdr>
          <w:divsChild>
            <w:div w:id="1865630988">
              <w:marLeft w:val="0"/>
              <w:marRight w:val="0"/>
              <w:marTop w:val="0"/>
              <w:marBottom w:val="0"/>
              <w:divBdr>
                <w:top w:val="none" w:sz="0" w:space="0" w:color="auto"/>
                <w:left w:val="none" w:sz="0" w:space="0" w:color="auto"/>
                <w:bottom w:val="none" w:sz="0" w:space="0" w:color="auto"/>
                <w:right w:val="none" w:sz="0" w:space="0" w:color="auto"/>
              </w:divBdr>
            </w:div>
          </w:divsChild>
        </w:div>
        <w:div w:id="18746916">
          <w:marLeft w:val="0"/>
          <w:marRight w:val="0"/>
          <w:marTop w:val="0"/>
          <w:marBottom w:val="0"/>
          <w:divBdr>
            <w:top w:val="none" w:sz="0" w:space="0" w:color="auto"/>
            <w:left w:val="none" w:sz="0" w:space="0" w:color="auto"/>
            <w:bottom w:val="none" w:sz="0" w:space="0" w:color="auto"/>
            <w:right w:val="none" w:sz="0" w:space="0" w:color="auto"/>
          </w:divBdr>
          <w:divsChild>
            <w:div w:id="1078985238">
              <w:marLeft w:val="0"/>
              <w:marRight w:val="0"/>
              <w:marTop w:val="0"/>
              <w:marBottom w:val="0"/>
              <w:divBdr>
                <w:top w:val="none" w:sz="0" w:space="0" w:color="auto"/>
                <w:left w:val="none" w:sz="0" w:space="0" w:color="auto"/>
                <w:bottom w:val="none" w:sz="0" w:space="0" w:color="auto"/>
                <w:right w:val="none" w:sz="0" w:space="0" w:color="auto"/>
              </w:divBdr>
            </w:div>
          </w:divsChild>
        </w:div>
        <w:div w:id="22024021">
          <w:marLeft w:val="0"/>
          <w:marRight w:val="0"/>
          <w:marTop w:val="0"/>
          <w:marBottom w:val="0"/>
          <w:divBdr>
            <w:top w:val="none" w:sz="0" w:space="0" w:color="auto"/>
            <w:left w:val="none" w:sz="0" w:space="0" w:color="auto"/>
            <w:bottom w:val="none" w:sz="0" w:space="0" w:color="auto"/>
            <w:right w:val="none" w:sz="0" w:space="0" w:color="auto"/>
          </w:divBdr>
          <w:divsChild>
            <w:div w:id="1583443489">
              <w:marLeft w:val="0"/>
              <w:marRight w:val="0"/>
              <w:marTop w:val="0"/>
              <w:marBottom w:val="0"/>
              <w:divBdr>
                <w:top w:val="none" w:sz="0" w:space="0" w:color="auto"/>
                <w:left w:val="none" w:sz="0" w:space="0" w:color="auto"/>
                <w:bottom w:val="none" w:sz="0" w:space="0" w:color="auto"/>
                <w:right w:val="none" w:sz="0" w:space="0" w:color="auto"/>
              </w:divBdr>
            </w:div>
          </w:divsChild>
        </w:div>
        <w:div w:id="26683714">
          <w:marLeft w:val="0"/>
          <w:marRight w:val="0"/>
          <w:marTop w:val="0"/>
          <w:marBottom w:val="0"/>
          <w:divBdr>
            <w:top w:val="none" w:sz="0" w:space="0" w:color="auto"/>
            <w:left w:val="none" w:sz="0" w:space="0" w:color="auto"/>
            <w:bottom w:val="none" w:sz="0" w:space="0" w:color="auto"/>
            <w:right w:val="none" w:sz="0" w:space="0" w:color="auto"/>
          </w:divBdr>
          <w:divsChild>
            <w:div w:id="1848865430">
              <w:marLeft w:val="0"/>
              <w:marRight w:val="0"/>
              <w:marTop w:val="0"/>
              <w:marBottom w:val="0"/>
              <w:divBdr>
                <w:top w:val="none" w:sz="0" w:space="0" w:color="auto"/>
                <w:left w:val="none" w:sz="0" w:space="0" w:color="auto"/>
                <w:bottom w:val="none" w:sz="0" w:space="0" w:color="auto"/>
                <w:right w:val="none" w:sz="0" w:space="0" w:color="auto"/>
              </w:divBdr>
            </w:div>
          </w:divsChild>
        </w:div>
        <w:div w:id="28840318">
          <w:marLeft w:val="0"/>
          <w:marRight w:val="0"/>
          <w:marTop w:val="0"/>
          <w:marBottom w:val="0"/>
          <w:divBdr>
            <w:top w:val="none" w:sz="0" w:space="0" w:color="auto"/>
            <w:left w:val="none" w:sz="0" w:space="0" w:color="auto"/>
            <w:bottom w:val="none" w:sz="0" w:space="0" w:color="auto"/>
            <w:right w:val="none" w:sz="0" w:space="0" w:color="auto"/>
          </w:divBdr>
          <w:divsChild>
            <w:div w:id="1288196755">
              <w:marLeft w:val="0"/>
              <w:marRight w:val="0"/>
              <w:marTop w:val="0"/>
              <w:marBottom w:val="0"/>
              <w:divBdr>
                <w:top w:val="none" w:sz="0" w:space="0" w:color="auto"/>
                <w:left w:val="none" w:sz="0" w:space="0" w:color="auto"/>
                <w:bottom w:val="none" w:sz="0" w:space="0" w:color="auto"/>
                <w:right w:val="none" w:sz="0" w:space="0" w:color="auto"/>
              </w:divBdr>
            </w:div>
          </w:divsChild>
        </w:div>
        <w:div w:id="30224746">
          <w:marLeft w:val="0"/>
          <w:marRight w:val="0"/>
          <w:marTop w:val="0"/>
          <w:marBottom w:val="0"/>
          <w:divBdr>
            <w:top w:val="none" w:sz="0" w:space="0" w:color="auto"/>
            <w:left w:val="none" w:sz="0" w:space="0" w:color="auto"/>
            <w:bottom w:val="none" w:sz="0" w:space="0" w:color="auto"/>
            <w:right w:val="none" w:sz="0" w:space="0" w:color="auto"/>
          </w:divBdr>
          <w:divsChild>
            <w:div w:id="452866765">
              <w:marLeft w:val="0"/>
              <w:marRight w:val="0"/>
              <w:marTop w:val="0"/>
              <w:marBottom w:val="0"/>
              <w:divBdr>
                <w:top w:val="none" w:sz="0" w:space="0" w:color="auto"/>
                <w:left w:val="none" w:sz="0" w:space="0" w:color="auto"/>
                <w:bottom w:val="none" w:sz="0" w:space="0" w:color="auto"/>
                <w:right w:val="none" w:sz="0" w:space="0" w:color="auto"/>
              </w:divBdr>
            </w:div>
          </w:divsChild>
        </w:div>
        <w:div w:id="30539974">
          <w:marLeft w:val="0"/>
          <w:marRight w:val="0"/>
          <w:marTop w:val="0"/>
          <w:marBottom w:val="0"/>
          <w:divBdr>
            <w:top w:val="none" w:sz="0" w:space="0" w:color="auto"/>
            <w:left w:val="none" w:sz="0" w:space="0" w:color="auto"/>
            <w:bottom w:val="none" w:sz="0" w:space="0" w:color="auto"/>
            <w:right w:val="none" w:sz="0" w:space="0" w:color="auto"/>
          </w:divBdr>
          <w:divsChild>
            <w:div w:id="1771119465">
              <w:marLeft w:val="0"/>
              <w:marRight w:val="0"/>
              <w:marTop w:val="0"/>
              <w:marBottom w:val="0"/>
              <w:divBdr>
                <w:top w:val="none" w:sz="0" w:space="0" w:color="auto"/>
                <w:left w:val="none" w:sz="0" w:space="0" w:color="auto"/>
                <w:bottom w:val="none" w:sz="0" w:space="0" w:color="auto"/>
                <w:right w:val="none" w:sz="0" w:space="0" w:color="auto"/>
              </w:divBdr>
            </w:div>
          </w:divsChild>
        </w:div>
        <w:div w:id="31081807">
          <w:marLeft w:val="0"/>
          <w:marRight w:val="0"/>
          <w:marTop w:val="0"/>
          <w:marBottom w:val="0"/>
          <w:divBdr>
            <w:top w:val="none" w:sz="0" w:space="0" w:color="auto"/>
            <w:left w:val="none" w:sz="0" w:space="0" w:color="auto"/>
            <w:bottom w:val="none" w:sz="0" w:space="0" w:color="auto"/>
            <w:right w:val="none" w:sz="0" w:space="0" w:color="auto"/>
          </w:divBdr>
          <w:divsChild>
            <w:div w:id="753278858">
              <w:marLeft w:val="0"/>
              <w:marRight w:val="0"/>
              <w:marTop w:val="0"/>
              <w:marBottom w:val="0"/>
              <w:divBdr>
                <w:top w:val="none" w:sz="0" w:space="0" w:color="auto"/>
                <w:left w:val="none" w:sz="0" w:space="0" w:color="auto"/>
                <w:bottom w:val="none" w:sz="0" w:space="0" w:color="auto"/>
                <w:right w:val="none" w:sz="0" w:space="0" w:color="auto"/>
              </w:divBdr>
            </w:div>
          </w:divsChild>
        </w:div>
        <w:div w:id="34282471">
          <w:marLeft w:val="0"/>
          <w:marRight w:val="0"/>
          <w:marTop w:val="0"/>
          <w:marBottom w:val="0"/>
          <w:divBdr>
            <w:top w:val="none" w:sz="0" w:space="0" w:color="auto"/>
            <w:left w:val="none" w:sz="0" w:space="0" w:color="auto"/>
            <w:bottom w:val="none" w:sz="0" w:space="0" w:color="auto"/>
            <w:right w:val="none" w:sz="0" w:space="0" w:color="auto"/>
          </w:divBdr>
          <w:divsChild>
            <w:div w:id="1836608076">
              <w:marLeft w:val="0"/>
              <w:marRight w:val="0"/>
              <w:marTop w:val="0"/>
              <w:marBottom w:val="0"/>
              <w:divBdr>
                <w:top w:val="none" w:sz="0" w:space="0" w:color="auto"/>
                <w:left w:val="none" w:sz="0" w:space="0" w:color="auto"/>
                <w:bottom w:val="none" w:sz="0" w:space="0" w:color="auto"/>
                <w:right w:val="none" w:sz="0" w:space="0" w:color="auto"/>
              </w:divBdr>
            </w:div>
          </w:divsChild>
        </w:div>
        <w:div w:id="41753196">
          <w:marLeft w:val="0"/>
          <w:marRight w:val="0"/>
          <w:marTop w:val="0"/>
          <w:marBottom w:val="0"/>
          <w:divBdr>
            <w:top w:val="none" w:sz="0" w:space="0" w:color="auto"/>
            <w:left w:val="none" w:sz="0" w:space="0" w:color="auto"/>
            <w:bottom w:val="none" w:sz="0" w:space="0" w:color="auto"/>
            <w:right w:val="none" w:sz="0" w:space="0" w:color="auto"/>
          </w:divBdr>
          <w:divsChild>
            <w:div w:id="2146317299">
              <w:marLeft w:val="0"/>
              <w:marRight w:val="0"/>
              <w:marTop w:val="0"/>
              <w:marBottom w:val="0"/>
              <w:divBdr>
                <w:top w:val="none" w:sz="0" w:space="0" w:color="auto"/>
                <w:left w:val="none" w:sz="0" w:space="0" w:color="auto"/>
                <w:bottom w:val="none" w:sz="0" w:space="0" w:color="auto"/>
                <w:right w:val="none" w:sz="0" w:space="0" w:color="auto"/>
              </w:divBdr>
            </w:div>
          </w:divsChild>
        </w:div>
        <w:div w:id="42871577">
          <w:marLeft w:val="0"/>
          <w:marRight w:val="0"/>
          <w:marTop w:val="0"/>
          <w:marBottom w:val="0"/>
          <w:divBdr>
            <w:top w:val="none" w:sz="0" w:space="0" w:color="auto"/>
            <w:left w:val="none" w:sz="0" w:space="0" w:color="auto"/>
            <w:bottom w:val="none" w:sz="0" w:space="0" w:color="auto"/>
            <w:right w:val="none" w:sz="0" w:space="0" w:color="auto"/>
          </w:divBdr>
          <w:divsChild>
            <w:div w:id="328026991">
              <w:marLeft w:val="0"/>
              <w:marRight w:val="0"/>
              <w:marTop w:val="0"/>
              <w:marBottom w:val="0"/>
              <w:divBdr>
                <w:top w:val="none" w:sz="0" w:space="0" w:color="auto"/>
                <w:left w:val="none" w:sz="0" w:space="0" w:color="auto"/>
                <w:bottom w:val="none" w:sz="0" w:space="0" w:color="auto"/>
                <w:right w:val="none" w:sz="0" w:space="0" w:color="auto"/>
              </w:divBdr>
            </w:div>
          </w:divsChild>
        </w:div>
        <w:div w:id="44066348">
          <w:marLeft w:val="0"/>
          <w:marRight w:val="0"/>
          <w:marTop w:val="0"/>
          <w:marBottom w:val="0"/>
          <w:divBdr>
            <w:top w:val="none" w:sz="0" w:space="0" w:color="auto"/>
            <w:left w:val="none" w:sz="0" w:space="0" w:color="auto"/>
            <w:bottom w:val="none" w:sz="0" w:space="0" w:color="auto"/>
            <w:right w:val="none" w:sz="0" w:space="0" w:color="auto"/>
          </w:divBdr>
          <w:divsChild>
            <w:div w:id="1948804794">
              <w:marLeft w:val="0"/>
              <w:marRight w:val="0"/>
              <w:marTop w:val="0"/>
              <w:marBottom w:val="0"/>
              <w:divBdr>
                <w:top w:val="none" w:sz="0" w:space="0" w:color="auto"/>
                <w:left w:val="none" w:sz="0" w:space="0" w:color="auto"/>
                <w:bottom w:val="none" w:sz="0" w:space="0" w:color="auto"/>
                <w:right w:val="none" w:sz="0" w:space="0" w:color="auto"/>
              </w:divBdr>
            </w:div>
          </w:divsChild>
        </w:div>
        <w:div w:id="46687675">
          <w:marLeft w:val="0"/>
          <w:marRight w:val="0"/>
          <w:marTop w:val="0"/>
          <w:marBottom w:val="0"/>
          <w:divBdr>
            <w:top w:val="none" w:sz="0" w:space="0" w:color="auto"/>
            <w:left w:val="none" w:sz="0" w:space="0" w:color="auto"/>
            <w:bottom w:val="none" w:sz="0" w:space="0" w:color="auto"/>
            <w:right w:val="none" w:sz="0" w:space="0" w:color="auto"/>
          </w:divBdr>
          <w:divsChild>
            <w:div w:id="1001392762">
              <w:marLeft w:val="0"/>
              <w:marRight w:val="0"/>
              <w:marTop w:val="0"/>
              <w:marBottom w:val="0"/>
              <w:divBdr>
                <w:top w:val="none" w:sz="0" w:space="0" w:color="auto"/>
                <w:left w:val="none" w:sz="0" w:space="0" w:color="auto"/>
                <w:bottom w:val="none" w:sz="0" w:space="0" w:color="auto"/>
                <w:right w:val="none" w:sz="0" w:space="0" w:color="auto"/>
              </w:divBdr>
            </w:div>
          </w:divsChild>
        </w:div>
        <w:div w:id="51466230">
          <w:marLeft w:val="0"/>
          <w:marRight w:val="0"/>
          <w:marTop w:val="0"/>
          <w:marBottom w:val="0"/>
          <w:divBdr>
            <w:top w:val="none" w:sz="0" w:space="0" w:color="auto"/>
            <w:left w:val="none" w:sz="0" w:space="0" w:color="auto"/>
            <w:bottom w:val="none" w:sz="0" w:space="0" w:color="auto"/>
            <w:right w:val="none" w:sz="0" w:space="0" w:color="auto"/>
          </w:divBdr>
          <w:divsChild>
            <w:div w:id="2015570910">
              <w:marLeft w:val="0"/>
              <w:marRight w:val="0"/>
              <w:marTop w:val="0"/>
              <w:marBottom w:val="0"/>
              <w:divBdr>
                <w:top w:val="none" w:sz="0" w:space="0" w:color="auto"/>
                <w:left w:val="none" w:sz="0" w:space="0" w:color="auto"/>
                <w:bottom w:val="none" w:sz="0" w:space="0" w:color="auto"/>
                <w:right w:val="none" w:sz="0" w:space="0" w:color="auto"/>
              </w:divBdr>
            </w:div>
          </w:divsChild>
        </w:div>
        <w:div w:id="52436245">
          <w:marLeft w:val="0"/>
          <w:marRight w:val="0"/>
          <w:marTop w:val="0"/>
          <w:marBottom w:val="0"/>
          <w:divBdr>
            <w:top w:val="none" w:sz="0" w:space="0" w:color="auto"/>
            <w:left w:val="none" w:sz="0" w:space="0" w:color="auto"/>
            <w:bottom w:val="none" w:sz="0" w:space="0" w:color="auto"/>
            <w:right w:val="none" w:sz="0" w:space="0" w:color="auto"/>
          </w:divBdr>
          <w:divsChild>
            <w:div w:id="584723993">
              <w:marLeft w:val="0"/>
              <w:marRight w:val="0"/>
              <w:marTop w:val="0"/>
              <w:marBottom w:val="0"/>
              <w:divBdr>
                <w:top w:val="none" w:sz="0" w:space="0" w:color="auto"/>
                <w:left w:val="none" w:sz="0" w:space="0" w:color="auto"/>
                <w:bottom w:val="none" w:sz="0" w:space="0" w:color="auto"/>
                <w:right w:val="none" w:sz="0" w:space="0" w:color="auto"/>
              </w:divBdr>
            </w:div>
          </w:divsChild>
        </w:div>
        <w:div w:id="53358797">
          <w:marLeft w:val="0"/>
          <w:marRight w:val="0"/>
          <w:marTop w:val="0"/>
          <w:marBottom w:val="0"/>
          <w:divBdr>
            <w:top w:val="none" w:sz="0" w:space="0" w:color="auto"/>
            <w:left w:val="none" w:sz="0" w:space="0" w:color="auto"/>
            <w:bottom w:val="none" w:sz="0" w:space="0" w:color="auto"/>
            <w:right w:val="none" w:sz="0" w:space="0" w:color="auto"/>
          </w:divBdr>
          <w:divsChild>
            <w:div w:id="315687085">
              <w:marLeft w:val="0"/>
              <w:marRight w:val="0"/>
              <w:marTop w:val="0"/>
              <w:marBottom w:val="0"/>
              <w:divBdr>
                <w:top w:val="none" w:sz="0" w:space="0" w:color="auto"/>
                <w:left w:val="none" w:sz="0" w:space="0" w:color="auto"/>
                <w:bottom w:val="none" w:sz="0" w:space="0" w:color="auto"/>
                <w:right w:val="none" w:sz="0" w:space="0" w:color="auto"/>
              </w:divBdr>
            </w:div>
          </w:divsChild>
        </w:div>
        <w:div w:id="54477393">
          <w:marLeft w:val="0"/>
          <w:marRight w:val="0"/>
          <w:marTop w:val="0"/>
          <w:marBottom w:val="0"/>
          <w:divBdr>
            <w:top w:val="none" w:sz="0" w:space="0" w:color="auto"/>
            <w:left w:val="none" w:sz="0" w:space="0" w:color="auto"/>
            <w:bottom w:val="none" w:sz="0" w:space="0" w:color="auto"/>
            <w:right w:val="none" w:sz="0" w:space="0" w:color="auto"/>
          </w:divBdr>
          <w:divsChild>
            <w:div w:id="678237562">
              <w:marLeft w:val="0"/>
              <w:marRight w:val="0"/>
              <w:marTop w:val="0"/>
              <w:marBottom w:val="0"/>
              <w:divBdr>
                <w:top w:val="none" w:sz="0" w:space="0" w:color="auto"/>
                <w:left w:val="none" w:sz="0" w:space="0" w:color="auto"/>
                <w:bottom w:val="none" w:sz="0" w:space="0" w:color="auto"/>
                <w:right w:val="none" w:sz="0" w:space="0" w:color="auto"/>
              </w:divBdr>
            </w:div>
          </w:divsChild>
        </w:div>
        <w:div w:id="57437156">
          <w:marLeft w:val="0"/>
          <w:marRight w:val="0"/>
          <w:marTop w:val="0"/>
          <w:marBottom w:val="0"/>
          <w:divBdr>
            <w:top w:val="none" w:sz="0" w:space="0" w:color="auto"/>
            <w:left w:val="none" w:sz="0" w:space="0" w:color="auto"/>
            <w:bottom w:val="none" w:sz="0" w:space="0" w:color="auto"/>
            <w:right w:val="none" w:sz="0" w:space="0" w:color="auto"/>
          </w:divBdr>
          <w:divsChild>
            <w:div w:id="1096755616">
              <w:marLeft w:val="0"/>
              <w:marRight w:val="0"/>
              <w:marTop w:val="0"/>
              <w:marBottom w:val="0"/>
              <w:divBdr>
                <w:top w:val="none" w:sz="0" w:space="0" w:color="auto"/>
                <w:left w:val="none" w:sz="0" w:space="0" w:color="auto"/>
                <w:bottom w:val="none" w:sz="0" w:space="0" w:color="auto"/>
                <w:right w:val="none" w:sz="0" w:space="0" w:color="auto"/>
              </w:divBdr>
            </w:div>
          </w:divsChild>
        </w:div>
        <w:div w:id="59602821">
          <w:marLeft w:val="0"/>
          <w:marRight w:val="0"/>
          <w:marTop w:val="0"/>
          <w:marBottom w:val="0"/>
          <w:divBdr>
            <w:top w:val="none" w:sz="0" w:space="0" w:color="auto"/>
            <w:left w:val="none" w:sz="0" w:space="0" w:color="auto"/>
            <w:bottom w:val="none" w:sz="0" w:space="0" w:color="auto"/>
            <w:right w:val="none" w:sz="0" w:space="0" w:color="auto"/>
          </w:divBdr>
          <w:divsChild>
            <w:div w:id="2043166771">
              <w:marLeft w:val="0"/>
              <w:marRight w:val="0"/>
              <w:marTop w:val="0"/>
              <w:marBottom w:val="0"/>
              <w:divBdr>
                <w:top w:val="none" w:sz="0" w:space="0" w:color="auto"/>
                <w:left w:val="none" w:sz="0" w:space="0" w:color="auto"/>
                <w:bottom w:val="none" w:sz="0" w:space="0" w:color="auto"/>
                <w:right w:val="none" w:sz="0" w:space="0" w:color="auto"/>
              </w:divBdr>
            </w:div>
          </w:divsChild>
        </w:div>
        <w:div w:id="60174059">
          <w:marLeft w:val="0"/>
          <w:marRight w:val="0"/>
          <w:marTop w:val="0"/>
          <w:marBottom w:val="0"/>
          <w:divBdr>
            <w:top w:val="none" w:sz="0" w:space="0" w:color="auto"/>
            <w:left w:val="none" w:sz="0" w:space="0" w:color="auto"/>
            <w:bottom w:val="none" w:sz="0" w:space="0" w:color="auto"/>
            <w:right w:val="none" w:sz="0" w:space="0" w:color="auto"/>
          </w:divBdr>
          <w:divsChild>
            <w:div w:id="23018533">
              <w:marLeft w:val="0"/>
              <w:marRight w:val="0"/>
              <w:marTop w:val="0"/>
              <w:marBottom w:val="0"/>
              <w:divBdr>
                <w:top w:val="none" w:sz="0" w:space="0" w:color="auto"/>
                <w:left w:val="none" w:sz="0" w:space="0" w:color="auto"/>
                <w:bottom w:val="none" w:sz="0" w:space="0" w:color="auto"/>
                <w:right w:val="none" w:sz="0" w:space="0" w:color="auto"/>
              </w:divBdr>
            </w:div>
          </w:divsChild>
        </w:div>
        <w:div w:id="60449413">
          <w:marLeft w:val="0"/>
          <w:marRight w:val="0"/>
          <w:marTop w:val="0"/>
          <w:marBottom w:val="0"/>
          <w:divBdr>
            <w:top w:val="none" w:sz="0" w:space="0" w:color="auto"/>
            <w:left w:val="none" w:sz="0" w:space="0" w:color="auto"/>
            <w:bottom w:val="none" w:sz="0" w:space="0" w:color="auto"/>
            <w:right w:val="none" w:sz="0" w:space="0" w:color="auto"/>
          </w:divBdr>
          <w:divsChild>
            <w:div w:id="1047222545">
              <w:marLeft w:val="0"/>
              <w:marRight w:val="0"/>
              <w:marTop w:val="0"/>
              <w:marBottom w:val="0"/>
              <w:divBdr>
                <w:top w:val="none" w:sz="0" w:space="0" w:color="auto"/>
                <w:left w:val="none" w:sz="0" w:space="0" w:color="auto"/>
                <w:bottom w:val="none" w:sz="0" w:space="0" w:color="auto"/>
                <w:right w:val="none" w:sz="0" w:space="0" w:color="auto"/>
              </w:divBdr>
            </w:div>
          </w:divsChild>
        </w:div>
        <w:div w:id="61293806">
          <w:marLeft w:val="0"/>
          <w:marRight w:val="0"/>
          <w:marTop w:val="0"/>
          <w:marBottom w:val="0"/>
          <w:divBdr>
            <w:top w:val="none" w:sz="0" w:space="0" w:color="auto"/>
            <w:left w:val="none" w:sz="0" w:space="0" w:color="auto"/>
            <w:bottom w:val="none" w:sz="0" w:space="0" w:color="auto"/>
            <w:right w:val="none" w:sz="0" w:space="0" w:color="auto"/>
          </w:divBdr>
          <w:divsChild>
            <w:div w:id="545530412">
              <w:marLeft w:val="0"/>
              <w:marRight w:val="0"/>
              <w:marTop w:val="0"/>
              <w:marBottom w:val="0"/>
              <w:divBdr>
                <w:top w:val="none" w:sz="0" w:space="0" w:color="auto"/>
                <w:left w:val="none" w:sz="0" w:space="0" w:color="auto"/>
                <w:bottom w:val="none" w:sz="0" w:space="0" w:color="auto"/>
                <w:right w:val="none" w:sz="0" w:space="0" w:color="auto"/>
              </w:divBdr>
            </w:div>
          </w:divsChild>
        </w:div>
        <w:div w:id="61678817">
          <w:marLeft w:val="0"/>
          <w:marRight w:val="0"/>
          <w:marTop w:val="0"/>
          <w:marBottom w:val="0"/>
          <w:divBdr>
            <w:top w:val="none" w:sz="0" w:space="0" w:color="auto"/>
            <w:left w:val="none" w:sz="0" w:space="0" w:color="auto"/>
            <w:bottom w:val="none" w:sz="0" w:space="0" w:color="auto"/>
            <w:right w:val="none" w:sz="0" w:space="0" w:color="auto"/>
          </w:divBdr>
          <w:divsChild>
            <w:div w:id="682511729">
              <w:marLeft w:val="0"/>
              <w:marRight w:val="0"/>
              <w:marTop w:val="0"/>
              <w:marBottom w:val="0"/>
              <w:divBdr>
                <w:top w:val="none" w:sz="0" w:space="0" w:color="auto"/>
                <w:left w:val="none" w:sz="0" w:space="0" w:color="auto"/>
                <w:bottom w:val="none" w:sz="0" w:space="0" w:color="auto"/>
                <w:right w:val="none" w:sz="0" w:space="0" w:color="auto"/>
              </w:divBdr>
            </w:div>
          </w:divsChild>
        </w:div>
        <w:div w:id="64036713">
          <w:marLeft w:val="0"/>
          <w:marRight w:val="0"/>
          <w:marTop w:val="0"/>
          <w:marBottom w:val="0"/>
          <w:divBdr>
            <w:top w:val="none" w:sz="0" w:space="0" w:color="auto"/>
            <w:left w:val="none" w:sz="0" w:space="0" w:color="auto"/>
            <w:bottom w:val="none" w:sz="0" w:space="0" w:color="auto"/>
            <w:right w:val="none" w:sz="0" w:space="0" w:color="auto"/>
          </w:divBdr>
          <w:divsChild>
            <w:div w:id="1797943748">
              <w:marLeft w:val="0"/>
              <w:marRight w:val="0"/>
              <w:marTop w:val="0"/>
              <w:marBottom w:val="0"/>
              <w:divBdr>
                <w:top w:val="none" w:sz="0" w:space="0" w:color="auto"/>
                <w:left w:val="none" w:sz="0" w:space="0" w:color="auto"/>
                <w:bottom w:val="none" w:sz="0" w:space="0" w:color="auto"/>
                <w:right w:val="none" w:sz="0" w:space="0" w:color="auto"/>
              </w:divBdr>
            </w:div>
          </w:divsChild>
        </w:div>
        <w:div w:id="66224099">
          <w:marLeft w:val="0"/>
          <w:marRight w:val="0"/>
          <w:marTop w:val="0"/>
          <w:marBottom w:val="0"/>
          <w:divBdr>
            <w:top w:val="none" w:sz="0" w:space="0" w:color="auto"/>
            <w:left w:val="none" w:sz="0" w:space="0" w:color="auto"/>
            <w:bottom w:val="none" w:sz="0" w:space="0" w:color="auto"/>
            <w:right w:val="none" w:sz="0" w:space="0" w:color="auto"/>
          </w:divBdr>
          <w:divsChild>
            <w:div w:id="1069428639">
              <w:marLeft w:val="0"/>
              <w:marRight w:val="0"/>
              <w:marTop w:val="0"/>
              <w:marBottom w:val="0"/>
              <w:divBdr>
                <w:top w:val="none" w:sz="0" w:space="0" w:color="auto"/>
                <w:left w:val="none" w:sz="0" w:space="0" w:color="auto"/>
                <w:bottom w:val="none" w:sz="0" w:space="0" w:color="auto"/>
                <w:right w:val="none" w:sz="0" w:space="0" w:color="auto"/>
              </w:divBdr>
            </w:div>
          </w:divsChild>
        </w:div>
        <w:div w:id="66655335">
          <w:marLeft w:val="0"/>
          <w:marRight w:val="0"/>
          <w:marTop w:val="0"/>
          <w:marBottom w:val="0"/>
          <w:divBdr>
            <w:top w:val="none" w:sz="0" w:space="0" w:color="auto"/>
            <w:left w:val="none" w:sz="0" w:space="0" w:color="auto"/>
            <w:bottom w:val="none" w:sz="0" w:space="0" w:color="auto"/>
            <w:right w:val="none" w:sz="0" w:space="0" w:color="auto"/>
          </w:divBdr>
          <w:divsChild>
            <w:div w:id="408775477">
              <w:marLeft w:val="0"/>
              <w:marRight w:val="0"/>
              <w:marTop w:val="0"/>
              <w:marBottom w:val="0"/>
              <w:divBdr>
                <w:top w:val="none" w:sz="0" w:space="0" w:color="auto"/>
                <w:left w:val="none" w:sz="0" w:space="0" w:color="auto"/>
                <w:bottom w:val="none" w:sz="0" w:space="0" w:color="auto"/>
                <w:right w:val="none" w:sz="0" w:space="0" w:color="auto"/>
              </w:divBdr>
            </w:div>
          </w:divsChild>
        </w:div>
        <w:div w:id="68970420">
          <w:marLeft w:val="0"/>
          <w:marRight w:val="0"/>
          <w:marTop w:val="0"/>
          <w:marBottom w:val="0"/>
          <w:divBdr>
            <w:top w:val="none" w:sz="0" w:space="0" w:color="auto"/>
            <w:left w:val="none" w:sz="0" w:space="0" w:color="auto"/>
            <w:bottom w:val="none" w:sz="0" w:space="0" w:color="auto"/>
            <w:right w:val="none" w:sz="0" w:space="0" w:color="auto"/>
          </w:divBdr>
          <w:divsChild>
            <w:div w:id="1144199490">
              <w:marLeft w:val="0"/>
              <w:marRight w:val="0"/>
              <w:marTop w:val="0"/>
              <w:marBottom w:val="0"/>
              <w:divBdr>
                <w:top w:val="none" w:sz="0" w:space="0" w:color="auto"/>
                <w:left w:val="none" w:sz="0" w:space="0" w:color="auto"/>
                <w:bottom w:val="none" w:sz="0" w:space="0" w:color="auto"/>
                <w:right w:val="none" w:sz="0" w:space="0" w:color="auto"/>
              </w:divBdr>
            </w:div>
          </w:divsChild>
        </w:div>
        <w:div w:id="72318639">
          <w:marLeft w:val="0"/>
          <w:marRight w:val="0"/>
          <w:marTop w:val="0"/>
          <w:marBottom w:val="0"/>
          <w:divBdr>
            <w:top w:val="none" w:sz="0" w:space="0" w:color="auto"/>
            <w:left w:val="none" w:sz="0" w:space="0" w:color="auto"/>
            <w:bottom w:val="none" w:sz="0" w:space="0" w:color="auto"/>
            <w:right w:val="none" w:sz="0" w:space="0" w:color="auto"/>
          </w:divBdr>
          <w:divsChild>
            <w:div w:id="1611281105">
              <w:marLeft w:val="0"/>
              <w:marRight w:val="0"/>
              <w:marTop w:val="0"/>
              <w:marBottom w:val="0"/>
              <w:divBdr>
                <w:top w:val="none" w:sz="0" w:space="0" w:color="auto"/>
                <w:left w:val="none" w:sz="0" w:space="0" w:color="auto"/>
                <w:bottom w:val="none" w:sz="0" w:space="0" w:color="auto"/>
                <w:right w:val="none" w:sz="0" w:space="0" w:color="auto"/>
              </w:divBdr>
            </w:div>
          </w:divsChild>
        </w:div>
        <w:div w:id="73092122">
          <w:marLeft w:val="0"/>
          <w:marRight w:val="0"/>
          <w:marTop w:val="0"/>
          <w:marBottom w:val="0"/>
          <w:divBdr>
            <w:top w:val="none" w:sz="0" w:space="0" w:color="auto"/>
            <w:left w:val="none" w:sz="0" w:space="0" w:color="auto"/>
            <w:bottom w:val="none" w:sz="0" w:space="0" w:color="auto"/>
            <w:right w:val="none" w:sz="0" w:space="0" w:color="auto"/>
          </w:divBdr>
          <w:divsChild>
            <w:div w:id="698160977">
              <w:marLeft w:val="0"/>
              <w:marRight w:val="0"/>
              <w:marTop w:val="0"/>
              <w:marBottom w:val="0"/>
              <w:divBdr>
                <w:top w:val="none" w:sz="0" w:space="0" w:color="auto"/>
                <w:left w:val="none" w:sz="0" w:space="0" w:color="auto"/>
                <w:bottom w:val="none" w:sz="0" w:space="0" w:color="auto"/>
                <w:right w:val="none" w:sz="0" w:space="0" w:color="auto"/>
              </w:divBdr>
            </w:div>
          </w:divsChild>
        </w:div>
        <w:div w:id="79639244">
          <w:marLeft w:val="0"/>
          <w:marRight w:val="0"/>
          <w:marTop w:val="0"/>
          <w:marBottom w:val="0"/>
          <w:divBdr>
            <w:top w:val="none" w:sz="0" w:space="0" w:color="auto"/>
            <w:left w:val="none" w:sz="0" w:space="0" w:color="auto"/>
            <w:bottom w:val="none" w:sz="0" w:space="0" w:color="auto"/>
            <w:right w:val="none" w:sz="0" w:space="0" w:color="auto"/>
          </w:divBdr>
          <w:divsChild>
            <w:div w:id="757755148">
              <w:marLeft w:val="0"/>
              <w:marRight w:val="0"/>
              <w:marTop w:val="0"/>
              <w:marBottom w:val="0"/>
              <w:divBdr>
                <w:top w:val="none" w:sz="0" w:space="0" w:color="auto"/>
                <w:left w:val="none" w:sz="0" w:space="0" w:color="auto"/>
                <w:bottom w:val="none" w:sz="0" w:space="0" w:color="auto"/>
                <w:right w:val="none" w:sz="0" w:space="0" w:color="auto"/>
              </w:divBdr>
            </w:div>
          </w:divsChild>
        </w:div>
        <w:div w:id="82335015">
          <w:marLeft w:val="0"/>
          <w:marRight w:val="0"/>
          <w:marTop w:val="0"/>
          <w:marBottom w:val="0"/>
          <w:divBdr>
            <w:top w:val="none" w:sz="0" w:space="0" w:color="auto"/>
            <w:left w:val="none" w:sz="0" w:space="0" w:color="auto"/>
            <w:bottom w:val="none" w:sz="0" w:space="0" w:color="auto"/>
            <w:right w:val="none" w:sz="0" w:space="0" w:color="auto"/>
          </w:divBdr>
          <w:divsChild>
            <w:div w:id="882323453">
              <w:marLeft w:val="0"/>
              <w:marRight w:val="0"/>
              <w:marTop w:val="0"/>
              <w:marBottom w:val="0"/>
              <w:divBdr>
                <w:top w:val="none" w:sz="0" w:space="0" w:color="auto"/>
                <w:left w:val="none" w:sz="0" w:space="0" w:color="auto"/>
                <w:bottom w:val="none" w:sz="0" w:space="0" w:color="auto"/>
                <w:right w:val="none" w:sz="0" w:space="0" w:color="auto"/>
              </w:divBdr>
            </w:div>
          </w:divsChild>
        </w:div>
        <w:div w:id="82654287">
          <w:marLeft w:val="0"/>
          <w:marRight w:val="0"/>
          <w:marTop w:val="0"/>
          <w:marBottom w:val="0"/>
          <w:divBdr>
            <w:top w:val="none" w:sz="0" w:space="0" w:color="auto"/>
            <w:left w:val="none" w:sz="0" w:space="0" w:color="auto"/>
            <w:bottom w:val="none" w:sz="0" w:space="0" w:color="auto"/>
            <w:right w:val="none" w:sz="0" w:space="0" w:color="auto"/>
          </w:divBdr>
          <w:divsChild>
            <w:div w:id="1800756044">
              <w:marLeft w:val="0"/>
              <w:marRight w:val="0"/>
              <w:marTop w:val="0"/>
              <w:marBottom w:val="0"/>
              <w:divBdr>
                <w:top w:val="none" w:sz="0" w:space="0" w:color="auto"/>
                <w:left w:val="none" w:sz="0" w:space="0" w:color="auto"/>
                <w:bottom w:val="none" w:sz="0" w:space="0" w:color="auto"/>
                <w:right w:val="none" w:sz="0" w:space="0" w:color="auto"/>
              </w:divBdr>
            </w:div>
          </w:divsChild>
        </w:div>
        <w:div w:id="85613135">
          <w:marLeft w:val="0"/>
          <w:marRight w:val="0"/>
          <w:marTop w:val="0"/>
          <w:marBottom w:val="0"/>
          <w:divBdr>
            <w:top w:val="none" w:sz="0" w:space="0" w:color="auto"/>
            <w:left w:val="none" w:sz="0" w:space="0" w:color="auto"/>
            <w:bottom w:val="none" w:sz="0" w:space="0" w:color="auto"/>
            <w:right w:val="none" w:sz="0" w:space="0" w:color="auto"/>
          </w:divBdr>
          <w:divsChild>
            <w:div w:id="2144230613">
              <w:marLeft w:val="0"/>
              <w:marRight w:val="0"/>
              <w:marTop w:val="0"/>
              <w:marBottom w:val="0"/>
              <w:divBdr>
                <w:top w:val="none" w:sz="0" w:space="0" w:color="auto"/>
                <w:left w:val="none" w:sz="0" w:space="0" w:color="auto"/>
                <w:bottom w:val="none" w:sz="0" w:space="0" w:color="auto"/>
                <w:right w:val="none" w:sz="0" w:space="0" w:color="auto"/>
              </w:divBdr>
            </w:div>
          </w:divsChild>
        </w:div>
        <w:div w:id="86391174">
          <w:marLeft w:val="0"/>
          <w:marRight w:val="0"/>
          <w:marTop w:val="0"/>
          <w:marBottom w:val="0"/>
          <w:divBdr>
            <w:top w:val="none" w:sz="0" w:space="0" w:color="auto"/>
            <w:left w:val="none" w:sz="0" w:space="0" w:color="auto"/>
            <w:bottom w:val="none" w:sz="0" w:space="0" w:color="auto"/>
            <w:right w:val="none" w:sz="0" w:space="0" w:color="auto"/>
          </w:divBdr>
          <w:divsChild>
            <w:div w:id="1346640294">
              <w:marLeft w:val="0"/>
              <w:marRight w:val="0"/>
              <w:marTop w:val="0"/>
              <w:marBottom w:val="0"/>
              <w:divBdr>
                <w:top w:val="none" w:sz="0" w:space="0" w:color="auto"/>
                <w:left w:val="none" w:sz="0" w:space="0" w:color="auto"/>
                <w:bottom w:val="none" w:sz="0" w:space="0" w:color="auto"/>
                <w:right w:val="none" w:sz="0" w:space="0" w:color="auto"/>
              </w:divBdr>
            </w:div>
          </w:divsChild>
        </w:div>
        <w:div w:id="89280833">
          <w:marLeft w:val="0"/>
          <w:marRight w:val="0"/>
          <w:marTop w:val="0"/>
          <w:marBottom w:val="0"/>
          <w:divBdr>
            <w:top w:val="none" w:sz="0" w:space="0" w:color="auto"/>
            <w:left w:val="none" w:sz="0" w:space="0" w:color="auto"/>
            <w:bottom w:val="none" w:sz="0" w:space="0" w:color="auto"/>
            <w:right w:val="none" w:sz="0" w:space="0" w:color="auto"/>
          </w:divBdr>
          <w:divsChild>
            <w:div w:id="905649528">
              <w:marLeft w:val="0"/>
              <w:marRight w:val="0"/>
              <w:marTop w:val="0"/>
              <w:marBottom w:val="0"/>
              <w:divBdr>
                <w:top w:val="none" w:sz="0" w:space="0" w:color="auto"/>
                <w:left w:val="none" w:sz="0" w:space="0" w:color="auto"/>
                <w:bottom w:val="none" w:sz="0" w:space="0" w:color="auto"/>
                <w:right w:val="none" w:sz="0" w:space="0" w:color="auto"/>
              </w:divBdr>
            </w:div>
          </w:divsChild>
        </w:div>
        <w:div w:id="89471298">
          <w:marLeft w:val="0"/>
          <w:marRight w:val="0"/>
          <w:marTop w:val="0"/>
          <w:marBottom w:val="0"/>
          <w:divBdr>
            <w:top w:val="none" w:sz="0" w:space="0" w:color="auto"/>
            <w:left w:val="none" w:sz="0" w:space="0" w:color="auto"/>
            <w:bottom w:val="none" w:sz="0" w:space="0" w:color="auto"/>
            <w:right w:val="none" w:sz="0" w:space="0" w:color="auto"/>
          </w:divBdr>
          <w:divsChild>
            <w:div w:id="566840429">
              <w:marLeft w:val="0"/>
              <w:marRight w:val="0"/>
              <w:marTop w:val="0"/>
              <w:marBottom w:val="0"/>
              <w:divBdr>
                <w:top w:val="none" w:sz="0" w:space="0" w:color="auto"/>
                <w:left w:val="none" w:sz="0" w:space="0" w:color="auto"/>
                <w:bottom w:val="none" w:sz="0" w:space="0" w:color="auto"/>
                <w:right w:val="none" w:sz="0" w:space="0" w:color="auto"/>
              </w:divBdr>
            </w:div>
          </w:divsChild>
        </w:div>
        <w:div w:id="94135768">
          <w:marLeft w:val="0"/>
          <w:marRight w:val="0"/>
          <w:marTop w:val="0"/>
          <w:marBottom w:val="0"/>
          <w:divBdr>
            <w:top w:val="none" w:sz="0" w:space="0" w:color="auto"/>
            <w:left w:val="none" w:sz="0" w:space="0" w:color="auto"/>
            <w:bottom w:val="none" w:sz="0" w:space="0" w:color="auto"/>
            <w:right w:val="none" w:sz="0" w:space="0" w:color="auto"/>
          </w:divBdr>
          <w:divsChild>
            <w:div w:id="802502036">
              <w:marLeft w:val="0"/>
              <w:marRight w:val="0"/>
              <w:marTop w:val="0"/>
              <w:marBottom w:val="0"/>
              <w:divBdr>
                <w:top w:val="none" w:sz="0" w:space="0" w:color="auto"/>
                <w:left w:val="none" w:sz="0" w:space="0" w:color="auto"/>
                <w:bottom w:val="none" w:sz="0" w:space="0" w:color="auto"/>
                <w:right w:val="none" w:sz="0" w:space="0" w:color="auto"/>
              </w:divBdr>
            </w:div>
          </w:divsChild>
        </w:div>
        <w:div w:id="95834331">
          <w:marLeft w:val="0"/>
          <w:marRight w:val="0"/>
          <w:marTop w:val="0"/>
          <w:marBottom w:val="0"/>
          <w:divBdr>
            <w:top w:val="none" w:sz="0" w:space="0" w:color="auto"/>
            <w:left w:val="none" w:sz="0" w:space="0" w:color="auto"/>
            <w:bottom w:val="none" w:sz="0" w:space="0" w:color="auto"/>
            <w:right w:val="none" w:sz="0" w:space="0" w:color="auto"/>
          </w:divBdr>
          <w:divsChild>
            <w:div w:id="734595483">
              <w:marLeft w:val="0"/>
              <w:marRight w:val="0"/>
              <w:marTop w:val="0"/>
              <w:marBottom w:val="0"/>
              <w:divBdr>
                <w:top w:val="none" w:sz="0" w:space="0" w:color="auto"/>
                <w:left w:val="none" w:sz="0" w:space="0" w:color="auto"/>
                <w:bottom w:val="none" w:sz="0" w:space="0" w:color="auto"/>
                <w:right w:val="none" w:sz="0" w:space="0" w:color="auto"/>
              </w:divBdr>
            </w:div>
          </w:divsChild>
        </w:div>
        <w:div w:id="99684366">
          <w:marLeft w:val="0"/>
          <w:marRight w:val="0"/>
          <w:marTop w:val="0"/>
          <w:marBottom w:val="0"/>
          <w:divBdr>
            <w:top w:val="none" w:sz="0" w:space="0" w:color="auto"/>
            <w:left w:val="none" w:sz="0" w:space="0" w:color="auto"/>
            <w:bottom w:val="none" w:sz="0" w:space="0" w:color="auto"/>
            <w:right w:val="none" w:sz="0" w:space="0" w:color="auto"/>
          </w:divBdr>
          <w:divsChild>
            <w:div w:id="1696346279">
              <w:marLeft w:val="0"/>
              <w:marRight w:val="0"/>
              <w:marTop w:val="0"/>
              <w:marBottom w:val="0"/>
              <w:divBdr>
                <w:top w:val="none" w:sz="0" w:space="0" w:color="auto"/>
                <w:left w:val="none" w:sz="0" w:space="0" w:color="auto"/>
                <w:bottom w:val="none" w:sz="0" w:space="0" w:color="auto"/>
                <w:right w:val="none" w:sz="0" w:space="0" w:color="auto"/>
              </w:divBdr>
            </w:div>
          </w:divsChild>
        </w:div>
        <w:div w:id="100494392">
          <w:marLeft w:val="0"/>
          <w:marRight w:val="0"/>
          <w:marTop w:val="0"/>
          <w:marBottom w:val="0"/>
          <w:divBdr>
            <w:top w:val="none" w:sz="0" w:space="0" w:color="auto"/>
            <w:left w:val="none" w:sz="0" w:space="0" w:color="auto"/>
            <w:bottom w:val="none" w:sz="0" w:space="0" w:color="auto"/>
            <w:right w:val="none" w:sz="0" w:space="0" w:color="auto"/>
          </w:divBdr>
          <w:divsChild>
            <w:div w:id="1876842719">
              <w:marLeft w:val="0"/>
              <w:marRight w:val="0"/>
              <w:marTop w:val="0"/>
              <w:marBottom w:val="0"/>
              <w:divBdr>
                <w:top w:val="none" w:sz="0" w:space="0" w:color="auto"/>
                <w:left w:val="none" w:sz="0" w:space="0" w:color="auto"/>
                <w:bottom w:val="none" w:sz="0" w:space="0" w:color="auto"/>
                <w:right w:val="none" w:sz="0" w:space="0" w:color="auto"/>
              </w:divBdr>
            </w:div>
          </w:divsChild>
        </w:div>
        <w:div w:id="101922795">
          <w:marLeft w:val="0"/>
          <w:marRight w:val="0"/>
          <w:marTop w:val="0"/>
          <w:marBottom w:val="0"/>
          <w:divBdr>
            <w:top w:val="none" w:sz="0" w:space="0" w:color="auto"/>
            <w:left w:val="none" w:sz="0" w:space="0" w:color="auto"/>
            <w:bottom w:val="none" w:sz="0" w:space="0" w:color="auto"/>
            <w:right w:val="none" w:sz="0" w:space="0" w:color="auto"/>
          </w:divBdr>
          <w:divsChild>
            <w:div w:id="905652357">
              <w:marLeft w:val="0"/>
              <w:marRight w:val="0"/>
              <w:marTop w:val="0"/>
              <w:marBottom w:val="0"/>
              <w:divBdr>
                <w:top w:val="none" w:sz="0" w:space="0" w:color="auto"/>
                <w:left w:val="none" w:sz="0" w:space="0" w:color="auto"/>
                <w:bottom w:val="none" w:sz="0" w:space="0" w:color="auto"/>
                <w:right w:val="none" w:sz="0" w:space="0" w:color="auto"/>
              </w:divBdr>
            </w:div>
          </w:divsChild>
        </w:div>
        <w:div w:id="108857338">
          <w:marLeft w:val="0"/>
          <w:marRight w:val="0"/>
          <w:marTop w:val="0"/>
          <w:marBottom w:val="0"/>
          <w:divBdr>
            <w:top w:val="none" w:sz="0" w:space="0" w:color="auto"/>
            <w:left w:val="none" w:sz="0" w:space="0" w:color="auto"/>
            <w:bottom w:val="none" w:sz="0" w:space="0" w:color="auto"/>
            <w:right w:val="none" w:sz="0" w:space="0" w:color="auto"/>
          </w:divBdr>
          <w:divsChild>
            <w:div w:id="1256134154">
              <w:marLeft w:val="0"/>
              <w:marRight w:val="0"/>
              <w:marTop w:val="0"/>
              <w:marBottom w:val="0"/>
              <w:divBdr>
                <w:top w:val="none" w:sz="0" w:space="0" w:color="auto"/>
                <w:left w:val="none" w:sz="0" w:space="0" w:color="auto"/>
                <w:bottom w:val="none" w:sz="0" w:space="0" w:color="auto"/>
                <w:right w:val="none" w:sz="0" w:space="0" w:color="auto"/>
              </w:divBdr>
            </w:div>
          </w:divsChild>
        </w:div>
        <w:div w:id="109013670">
          <w:marLeft w:val="0"/>
          <w:marRight w:val="0"/>
          <w:marTop w:val="0"/>
          <w:marBottom w:val="0"/>
          <w:divBdr>
            <w:top w:val="none" w:sz="0" w:space="0" w:color="auto"/>
            <w:left w:val="none" w:sz="0" w:space="0" w:color="auto"/>
            <w:bottom w:val="none" w:sz="0" w:space="0" w:color="auto"/>
            <w:right w:val="none" w:sz="0" w:space="0" w:color="auto"/>
          </w:divBdr>
          <w:divsChild>
            <w:div w:id="2095931852">
              <w:marLeft w:val="0"/>
              <w:marRight w:val="0"/>
              <w:marTop w:val="0"/>
              <w:marBottom w:val="0"/>
              <w:divBdr>
                <w:top w:val="none" w:sz="0" w:space="0" w:color="auto"/>
                <w:left w:val="none" w:sz="0" w:space="0" w:color="auto"/>
                <w:bottom w:val="none" w:sz="0" w:space="0" w:color="auto"/>
                <w:right w:val="none" w:sz="0" w:space="0" w:color="auto"/>
              </w:divBdr>
            </w:div>
          </w:divsChild>
        </w:div>
        <w:div w:id="109084279">
          <w:marLeft w:val="0"/>
          <w:marRight w:val="0"/>
          <w:marTop w:val="0"/>
          <w:marBottom w:val="0"/>
          <w:divBdr>
            <w:top w:val="none" w:sz="0" w:space="0" w:color="auto"/>
            <w:left w:val="none" w:sz="0" w:space="0" w:color="auto"/>
            <w:bottom w:val="none" w:sz="0" w:space="0" w:color="auto"/>
            <w:right w:val="none" w:sz="0" w:space="0" w:color="auto"/>
          </w:divBdr>
          <w:divsChild>
            <w:div w:id="442919783">
              <w:marLeft w:val="0"/>
              <w:marRight w:val="0"/>
              <w:marTop w:val="0"/>
              <w:marBottom w:val="0"/>
              <w:divBdr>
                <w:top w:val="none" w:sz="0" w:space="0" w:color="auto"/>
                <w:left w:val="none" w:sz="0" w:space="0" w:color="auto"/>
                <w:bottom w:val="none" w:sz="0" w:space="0" w:color="auto"/>
                <w:right w:val="none" w:sz="0" w:space="0" w:color="auto"/>
              </w:divBdr>
            </w:div>
          </w:divsChild>
        </w:div>
        <w:div w:id="112948105">
          <w:marLeft w:val="0"/>
          <w:marRight w:val="0"/>
          <w:marTop w:val="0"/>
          <w:marBottom w:val="0"/>
          <w:divBdr>
            <w:top w:val="none" w:sz="0" w:space="0" w:color="auto"/>
            <w:left w:val="none" w:sz="0" w:space="0" w:color="auto"/>
            <w:bottom w:val="none" w:sz="0" w:space="0" w:color="auto"/>
            <w:right w:val="none" w:sz="0" w:space="0" w:color="auto"/>
          </w:divBdr>
          <w:divsChild>
            <w:div w:id="1026490905">
              <w:marLeft w:val="0"/>
              <w:marRight w:val="0"/>
              <w:marTop w:val="0"/>
              <w:marBottom w:val="0"/>
              <w:divBdr>
                <w:top w:val="none" w:sz="0" w:space="0" w:color="auto"/>
                <w:left w:val="none" w:sz="0" w:space="0" w:color="auto"/>
                <w:bottom w:val="none" w:sz="0" w:space="0" w:color="auto"/>
                <w:right w:val="none" w:sz="0" w:space="0" w:color="auto"/>
              </w:divBdr>
            </w:div>
          </w:divsChild>
        </w:div>
        <w:div w:id="114099758">
          <w:marLeft w:val="0"/>
          <w:marRight w:val="0"/>
          <w:marTop w:val="0"/>
          <w:marBottom w:val="0"/>
          <w:divBdr>
            <w:top w:val="none" w:sz="0" w:space="0" w:color="auto"/>
            <w:left w:val="none" w:sz="0" w:space="0" w:color="auto"/>
            <w:bottom w:val="none" w:sz="0" w:space="0" w:color="auto"/>
            <w:right w:val="none" w:sz="0" w:space="0" w:color="auto"/>
          </w:divBdr>
          <w:divsChild>
            <w:div w:id="1756899297">
              <w:marLeft w:val="0"/>
              <w:marRight w:val="0"/>
              <w:marTop w:val="0"/>
              <w:marBottom w:val="0"/>
              <w:divBdr>
                <w:top w:val="none" w:sz="0" w:space="0" w:color="auto"/>
                <w:left w:val="none" w:sz="0" w:space="0" w:color="auto"/>
                <w:bottom w:val="none" w:sz="0" w:space="0" w:color="auto"/>
                <w:right w:val="none" w:sz="0" w:space="0" w:color="auto"/>
              </w:divBdr>
            </w:div>
          </w:divsChild>
        </w:div>
        <w:div w:id="115829003">
          <w:marLeft w:val="0"/>
          <w:marRight w:val="0"/>
          <w:marTop w:val="0"/>
          <w:marBottom w:val="0"/>
          <w:divBdr>
            <w:top w:val="none" w:sz="0" w:space="0" w:color="auto"/>
            <w:left w:val="none" w:sz="0" w:space="0" w:color="auto"/>
            <w:bottom w:val="none" w:sz="0" w:space="0" w:color="auto"/>
            <w:right w:val="none" w:sz="0" w:space="0" w:color="auto"/>
          </w:divBdr>
          <w:divsChild>
            <w:div w:id="1711808291">
              <w:marLeft w:val="0"/>
              <w:marRight w:val="0"/>
              <w:marTop w:val="0"/>
              <w:marBottom w:val="0"/>
              <w:divBdr>
                <w:top w:val="none" w:sz="0" w:space="0" w:color="auto"/>
                <w:left w:val="none" w:sz="0" w:space="0" w:color="auto"/>
                <w:bottom w:val="none" w:sz="0" w:space="0" w:color="auto"/>
                <w:right w:val="none" w:sz="0" w:space="0" w:color="auto"/>
              </w:divBdr>
            </w:div>
          </w:divsChild>
        </w:div>
        <w:div w:id="118190892">
          <w:marLeft w:val="0"/>
          <w:marRight w:val="0"/>
          <w:marTop w:val="0"/>
          <w:marBottom w:val="0"/>
          <w:divBdr>
            <w:top w:val="none" w:sz="0" w:space="0" w:color="auto"/>
            <w:left w:val="none" w:sz="0" w:space="0" w:color="auto"/>
            <w:bottom w:val="none" w:sz="0" w:space="0" w:color="auto"/>
            <w:right w:val="none" w:sz="0" w:space="0" w:color="auto"/>
          </w:divBdr>
          <w:divsChild>
            <w:div w:id="1265528019">
              <w:marLeft w:val="0"/>
              <w:marRight w:val="0"/>
              <w:marTop w:val="0"/>
              <w:marBottom w:val="0"/>
              <w:divBdr>
                <w:top w:val="none" w:sz="0" w:space="0" w:color="auto"/>
                <w:left w:val="none" w:sz="0" w:space="0" w:color="auto"/>
                <w:bottom w:val="none" w:sz="0" w:space="0" w:color="auto"/>
                <w:right w:val="none" w:sz="0" w:space="0" w:color="auto"/>
              </w:divBdr>
            </w:div>
          </w:divsChild>
        </w:div>
        <w:div w:id="129635544">
          <w:marLeft w:val="0"/>
          <w:marRight w:val="0"/>
          <w:marTop w:val="0"/>
          <w:marBottom w:val="0"/>
          <w:divBdr>
            <w:top w:val="none" w:sz="0" w:space="0" w:color="auto"/>
            <w:left w:val="none" w:sz="0" w:space="0" w:color="auto"/>
            <w:bottom w:val="none" w:sz="0" w:space="0" w:color="auto"/>
            <w:right w:val="none" w:sz="0" w:space="0" w:color="auto"/>
          </w:divBdr>
          <w:divsChild>
            <w:div w:id="909005283">
              <w:marLeft w:val="0"/>
              <w:marRight w:val="0"/>
              <w:marTop w:val="0"/>
              <w:marBottom w:val="0"/>
              <w:divBdr>
                <w:top w:val="none" w:sz="0" w:space="0" w:color="auto"/>
                <w:left w:val="none" w:sz="0" w:space="0" w:color="auto"/>
                <w:bottom w:val="none" w:sz="0" w:space="0" w:color="auto"/>
                <w:right w:val="none" w:sz="0" w:space="0" w:color="auto"/>
              </w:divBdr>
            </w:div>
          </w:divsChild>
        </w:div>
        <w:div w:id="130176808">
          <w:marLeft w:val="0"/>
          <w:marRight w:val="0"/>
          <w:marTop w:val="0"/>
          <w:marBottom w:val="0"/>
          <w:divBdr>
            <w:top w:val="none" w:sz="0" w:space="0" w:color="auto"/>
            <w:left w:val="none" w:sz="0" w:space="0" w:color="auto"/>
            <w:bottom w:val="none" w:sz="0" w:space="0" w:color="auto"/>
            <w:right w:val="none" w:sz="0" w:space="0" w:color="auto"/>
          </w:divBdr>
          <w:divsChild>
            <w:div w:id="461268259">
              <w:marLeft w:val="0"/>
              <w:marRight w:val="0"/>
              <w:marTop w:val="0"/>
              <w:marBottom w:val="0"/>
              <w:divBdr>
                <w:top w:val="none" w:sz="0" w:space="0" w:color="auto"/>
                <w:left w:val="none" w:sz="0" w:space="0" w:color="auto"/>
                <w:bottom w:val="none" w:sz="0" w:space="0" w:color="auto"/>
                <w:right w:val="none" w:sz="0" w:space="0" w:color="auto"/>
              </w:divBdr>
            </w:div>
          </w:divsChild>
        </w:div>
        <w:div w:id="132406403">
          <w:marLeft w:val="0"/>
          <w:marRight w:val="0"/>
          <w:marTop w:val="0"/>
          <w:marBottom w:val="0"/>
          <w:divBdr>
            <w:top w:val="none" w:sz="0" w:space="0" w:color="auto"/>
            <w:left w:val="none" w:sz="0" w:space="0" w:color="auto"/>
            <w:bottom w:val="none" w:sz="0" w:space="0" w:color="auto"/>
            <w:right w:val="none" w:sz="0" w:space="0" w:color="auto"/>
          </w:divBdr>
          <w:divsChild>
            <w:div w:id="221214809">
              <w:marLeft w:val="0"/>
              <w:marRight w:val="0"/>
              <w:marTop w:val="0"/>
              <w:marBottom w:val="0"/>
              <w:divBdr>
                <w:top w:val="none" w:sz="0" w:space="0" w:color="auto"/>
                <w:left w:val="none" w:sz="0" w:space="0" w:color="auto"/>
                <w:bottom w:val="none" w:sz="0" w:space="0" w:color="auto"/>
                <w:right w:val="none" w:sz="0" w:space="0" w:color="auto"/>
              </w:divBdr>
            </w:div>
          </w:divsChild>
        </w:div>
        <w:div w:id="141314450">
          <w:marLeft w:val="0"/>
          <w:marRight w:val="0"/>
          <w:marTop w:val="0"/>
          <w:marBottom w:val="0"/>
          <w:divBdr>
            <w:top w:val="none" w:sz="0" w:space="0" w:color="auto"/>
            <w:left w:val="none" w:sz="0" w:space="0" w:color="auto"/>
            <w:bottom w:val="none" w:sz="0" w:space="0" w:color="auto"/>
            <w:right w:val="none" w:sz="0" w:space="0" w:color="auto"/>
          </w:divBdr>
          <w:divsChild>
            <w:div w:id="797727470">
              <w:marLeft w:val="0"/>
              <w:marRight w:val="0"/>
              <w:marTop w:val="0"/>
              <w:marBottom w:val="0"/>
              <w:divBdr>
                <w:top w:val="none" w:sz="0" w:space="0" w:color="auto"/>
                <w:left w:val="none" w:sz="0" w:space="0" w:color="auto"/>
                <w:bottom w:val="none" w:sz="0" w:space="0" w:color="auto"/>
                <w:right w:val="none" w:sz="0" w:space="0" w:color="auto"/>
              </w:divBdr>
            </w:div>
          </w:divsChild>
        </w:div>
        <w:div w:id="142704111">
          <w:marLeft w:val="0"/>
          <w:marRight w:val="0"/>
          <w:marTop w:val="0"/>
          <w:marBottom w:val="0"/>
          <w:divBdr>
            <w:top w:val="none" w:sz="0" w:space="0" w:color="auto"/>
            <w:left w:val="none" w:sz="0" w:space="0" w:color="auto"/>
            <w:bottom w:val="none" w:sz="0" w:space="0" w:color="auto"/>
            <w:right w:val="none" w:sz="0" w:space="0" w:color="auto"/>
          </w:divBdr>
          <w:divsChild>
            <w:div w:id="2100785567">
              <w:marLeft w:val="0"/>
              <w:marRight w:val="0"/>
              <w:marTop w:val="0"/>
              <w:marBottom w:val="0"/>
              <w:divBdr>
                <w:top w:val="none" w:sz="0" w:space="0" w:color="auto"/>
                <w:left w:val="none" w:sz="0" w:space="0" w:color="auto"/>
                <w:bottom w:val="none" w:sz="0" w:space="0" w:color="auto"/>
                <w:right w:val="none" w:sz="0" w:space="0" w:color="auto"/>
              </w:divBdr>
            </w:div>
          </w:divsChild>
        </w:div>
        <w:div w:id="144048229">
          <w:marLeft w:val="0"/>
          <w:marRight w:val="0"/>
          <w:marTop w:val="0"/>
          <w:marBottom w:val="0"/>
          <w:divBdr>
            <w:top w:val="none" w:sz="0" w:space="0" w:color="auto"/>
            <w:left w:val="none" w:sz="0" w:space="0" w:color="auto"/>
            <w:bottom w:val="none" w:sz="0" w:space="0" w:color="auto"/>
            <w:right w:val="none" w:sz="0" w:space="0" w:color="auto"/>
          </w:divBdr>
          <w:divsChild>
            <w:div w:id="1045905703">
              <w:marLeft w:val="0"/>
              <w:marRight w:val="0"/>
              <w:marTop w:val="0"/>
              <w:marBottom w:val="0"/>
              <w:divBdr>
                <w:top w:val="none" w:sz="0" w:space="0" w:color="auto"/>
                <w:left w:val="none" w:sz="0" w:space="0" w:color="auto"/>
                <w:bottom w:val="none" w:sz="0" w:space="0" w:color="auto"/>
                <w:right w:val="none" w:sz="0" w:space="0" w:color="auto"/>
              </w:divBdr>
            </w:div>
          </w:divsChild>
        </w:div>
        <w:div w:id="150367888">
          <w:marLeft w:val="0"/>
          <w:marRight w:val="0"/>
          <w:marTop w:val="0"/>
          <w:marBottom w:val="0"/>
          <w:divBdr>
            <w:top w:val="none" w:sz="0" w:space="0" w:color="auto"/>
            <w:left w:val="none" w:sz="0" w:space="0" w:color="auto"/>
            <w:bottom w:val="none" w:sz="0" w:space="0" w:color="auto"/>
            <w:right w:val="none" w:sz="0" w:space="0" w:color="auto"/>
          </w:divBdr>
          <w:divsChild>
            <w:div w:id="563420122">
              <w:marLeft w:val="0"/>
              <w:marRight w:val="0"/>
              <w:marTop w:val="0"/>
              <w:marBottom w:val="0"/>
              <w:divBdr>
                <w:top w:val="none" w:sz="0" w:space="0" w:color="auto"/>
                <w:left w:val="none" w:sz="0" w:space="0" w:color="auto"/>
                <w:bottom w:val="none" w:sz="0" w:space="0" w:color="auto"/>
                <w:right w:val="none" w:sz="0" w:space="0" w:color="auto"/>
              </w:divBdr>
            </w:div>
          </w:divsChild>
        </w:div>
        <w:div w:id="150486078">
          <w:marLeft w:val="0"/>
          <w:marRight w:val="0"/>
          <w:marTop w:val="0"/>
          <w:marBottom w:val="0"/>
          <w:divBdr>
            <w:top w:val="none" w:sz="0" w:space="0" w:color="auto"/>
            <w:left w:val="none" w:sz="0" w:space="0" w:color="auto"/>
            <w:bottom w:val="none" w:sz="0" w:space="0" w:color="auto"/>
            <w:right w:val="none" w:sz="0" w:space="0" w:color="auto"/>
          </w:divBdr>
          <w:divsChild>
            <w:div w:id="450827933">
              <w:marLeft w:val="0"/>
              <w:marRight w:val="0"/>
              <w:marTop w:val="0"/>
              <w:marBottom w:val="0"/>
              <w:divBdr>
                <w:top w:val="none" w:sz="0" w:space="0" w:color="auto"/>
                <w:left w:val="none" w:sz="0" w:space="0" w:color="auto"/>
                <w:bottom w:val="none" w:sz="0" w:space="0" w:color="auto"/>
                <w:right w:val="none" w:sz="0" w:space="0" w:color="auto"/>
              </w:divBdr>
            </w:div>
          </w:divsChild>
        </w:div>
        <w:div w:id="151944930">
          <w:marLeft w:val="0"/>
          <w:marRight w:val="0"/>
          <w:marTop w:val="0"/>
          <w:marBottom w:val="0"/>
          <w:divBdr>
            <w:top w:val="none" w:sz="0" w:space="0" w:color="auto"/>
            <w:left w:val="none" w:sz="0" w:space="0" w:color="auto"/>
            <w:bottom w:val="none" w:sz="0" w:space="0" w:color="auto"/>
            <w:right w:val="none" w:sz="0" w:space="0" w:color="auto"/>
          </w:divBdr>
          <w:divsChild>
            <w:div w:id="1402407817">
              <w:marLeft w:val="0"/>
              <w:marRight w:val="0"/>
              <w:marTop w:val="0"/>
              <w:marBottom w:val="0"/>
              <w:divBdr>
                <w:top w:val="none" w:sz="0" w:space="0" w:color="auto"/>
                <w:left w:val="none" w:sz="0" w:space="0" w:color="auto"/>
                <w:bottom w:val="none" w:sz="0" w:space="0" w:color="auto"/>
                <w:right w:val="none" w:sz="0" w:space="0" w:color="auto"/>
              </w:divBdr>
            </w:div>
          </w:divsChild>
        </w:div>
        <w:div w:id="153030043">
          <w:marLeft w:val="0"/>
          <w:marRight w:val="0"/>
          <w:marTop w:val="0"/>
          <w:marBottom w:val="0"/>
          <w:divBdr>
            <w:top w:val="none" w:sz="0" w:space="0" w:color="auto"/>
            <w:left w:val="none" w:sz="0" w:space="0" w:color="auto"/>
            <w:bottom w:val="none" w:sz="0" w:space="0" w:color="auto"/>
            <w:right w:val="none" w:sz="0" w:space="0" w:color="auto"/>
          </w:divBdr>
          <w:divsChild>
            <w:div w:id="667366988">
              <w:marLeft w:val="0"/>
              <w:marRight w:val="0"/>
              <w:marTop w:val="0"/>
              <w:marBottom w:val="0"/>
              <w:divBdr>
                <w:top w:val="none" w:sz="0" w:space="0" w:color="auto"/>
                <w:left w:val="none" w:sz="0" w:space="0" w:color="auto"/>
                <w:bottom w:val="none" w:sz="0" w:space="0" w:color="auto"/>
                <w:right w:val="none" w:sz="0" w:space="0" w:color="auto"/>
              </w:divBdr>
            </w:div>
          </w:divsChild>
        </w:div>
        <w:div w:id="154151509">
          <w:marLeft w:val="0"/>
          <w:marRight w:val="0"/>
          <w:marTop w:val="0"/>
          <w:marBottom w:val="0"/>
          <w:divBdr>
            <w:top w:val="none" w:sz="0" w:space="0" w:color="auto"/>
            <w:left w:val="none" w:sz="0" w:space="0" w:color="auto"/>
            <w:bottom w:val="none" w:sz="0" w:space="0" w:color="auto"/>
            <w:right w:val="none" w:sz="0" w:space="0" w:color="auto"/>
          </w:divBdr>
          <w:divsChild>
            <w:div w:id="405418321">
              <w:marLeft w:val="0"/>
              <w:marRight w:val="0"/>
              <w:marTop w:val="0"/>
              <w:marBottom w:val="0"/>
              <w:divBdr>
                <w:top w:val="none" w:sz="0" w:space="0" w:color="auto"/>
                <w:left w:val="none" w:sz="0" w:space="0" w:color="auto"/>
                <w:bottom w:val="none" w:sz="0" w:space="0" w:color="auto"/>
                <w:right w:val="none" w:sz="0" w:space="0" w:color="auto"/>
              </w:divBdr>
            </w:div>
          </w:divsChild>
        </w:div>
        <w:div w:id="162168570">
          <w:marLeft w:val="0"/>
          <w:marRight w:val="0"/>
          <w:marTop w:val="0"/>
          <w:marBottom w:val="0"/>
          <w:divBdr>
            <w:top w:val="none" w:sz="0" w:space="0" w:color="auto"/>
            <w:left w:val="none" w:sz="0" w:space="0" w:color="auto"/>
            <w:bottom w:val="none" w:sz="0" w:space="0" w:color="auto"/>
            <w:right w:val="none" w:sz="0" w:space="0" w:color="auto"/>
          </w:divBdr>
          <w:divsChild>
            <w:div w:id="1018115726">
              <w:marLeft w:val="0"/>
              <w:marRight w:val="0"/>
              <w:marTop w:val="0"/>
              <w:marBottom w:val="0"/>
              <w:divBdr>
                <w:top w:val="none" w:sz="0" w:space="0" w:color="auto"/>
                <w:left w:val="none" w:sz="0" w:space="0" w:color="auto"/>
                <w:bottom w:val="none" w:sz="0" w:space="0" w:color="auto"/>
                <w:right w:val="none" w:sz="0" w:space="0" w:color="auto"/>
              </w:divBdr>
            </w:div>
          </w:divsChild>
        </w:div>
        <w:div w:id="162817242">
          <w:marLeft w:val="0"/>
          <w:marRight w:val="0"/>
          <w:marTop w:val="0"/>
          <w:marBottom w:val="0"/>
          <w:divBdr>
            <w:top w:val="none" w:sz="0" w:space="0" w:color="auto"/>
            <w:left w:val="none" w:sz="0" w:space="0" w:color="auto"/>
            <w:bottom w:val="none" w:sz="0" w:space="0" w:color="auto"/>
            <w:right w:val="none" w:sz="0" w:space="0" w:color="auto"/>
          </w:divBdr>
          <w:divsChild>
            <w:div w:id="220943246">
              <w:marLeft w:val="0"/>
              <w:marRight w:val="0"/>
              <w:marTop w:val="0"/>
              <w:marBottom w:val="0"/>
              <w:divBdr>
                <w:top w:val="none" w:sz="0" w:space="0" w:color="auto"/>
                <w:left w:val="none" w:sz="0" w:space="0" w:color="auto"/>
                <w:bottom w:val="none" w:sz="0" w:space="0" w:color="auto"/>
                <w:right w:val="none" w:sz="0" w:space="0" w:color="auto"/>
              </w:divBdr>
            </w:div>
          </w:divsChild>
        </w:div>
        <w:div w:id="163984685">
          <w:marLeft w:val="0"/>
          <w:marRight w:val="0"/>
          <w:marTop w:val="0"/>
          <w:marBottom w:val="0"/>
          <w:divBdr>
            <w:top w:val="none" w:sz="0" w:space="0" w:color="auto"/>
            <w:left w:val="none" w:sz="0" w:space="0" w:color="auto"/>
            <w:bottom w:val="none" w:sz="0" w:space="0" w:color="auto"/>
            <w:right w:val="none" w:sz="0" w:space="0" w:color="auto"/>
          </w:divBdr>
          <w:divsChild>
            <w:div w:id="1758018501">
              <w:marLeft w:val="0"/>
              <w:marRight w:val="0"/>
              <w:marTop w:val="0"/>
              <w:marBottom w:val="0"/>
              <w:divBdr>
                <w:top w:val="none" w:sz="0" w:space="0" w:color="auto"/>
                <w:left w:val="none" w:sz="0" w:space="0" w:color="auto"/>
                <w:bottom w:val="none" w:sz="0" w:space="0" w:color="auto"/>
                <w:right w:val="none" w:sz="0" w:space="0" w:color="auto"/>
              </w:divBdr>
            </w:div>
          </w:divsChild>
        </w:div>
        <w:div w:id="170223715">
          <w:marLeft w:val="0"/>
          <w:marRight w:val="0"/>
          <w:marTop w:val="0"/>
          <w:marBottom w:val="0"/>
          <w:divBdr>
            <w:top w:val="none" w:sz="0" w:space="0" w:color="auto"/>
            <w:left w:val="none" w:sz="0" w:space="0" w:color="auto"/>
            <w:bottom w:val="none" w:sz="0" w:space="0" w:color="auto"/>
            <w:right w:val="none" w:sz="0" w:space="0" w:color="auto"/>
          </w:divBdr>
          <w:divsChild>
            <w:div w:id="2114982153">
              <w:marLeft w:val="0"/>
              <w:marRight w:val="0"/>
              <w:marTop w:val="0"/>
              <w:marBottom w:val="0"/>
              <w:divBdr>
                <w:top w:val="none" w:sz="0" w:space="0" w:color="auto"/>
                <w:left w:val="none" w:sz="0" w:space="0" w:color="auto"/>
                <w:bottom w:val="none" w:sz="0" w:space="0" w:color="auto"/>
                <w:right w:val="none" w:sz="0" w:space="0" w:color="auto"/>
              </w:divBdr>
            </w:div>
          </w:divsChild>
        </w:div>
        <w:div w:id="173419886">
          <w:marLeft w:val="0"/>
          <w:marRight w:val="0"/>
          <w:marTop w:val="0"/>
          <w:marBottom w:val="0"/>
          <w:divBdr>
            <w:top w:val="none" w:sz="0" w:space="0" w:color="auto"/>
            <w:left w:val="none" w:sz="0" w:space="0" w:color="auto"/>
            <w:bottom w:val="none" w:sz="0" w:space="0" w:color="auto"/>
            <w:right w:val="none" w:sz="0" w:space="0" w:color="auto"/>
          </w:divBdr>
          <w:divsChild>
            <w:div w:id="1228295631">
              <w:marLeft w:val="0"/>
              <w:marRight w:val="0"/>
              <w:marTop w:val="0"/>
              <w:marBottom w:val="0"/>
              <w:divBdr>
                <w:top w:val="none" w:sz="0" w:space="0" w:color="auto"/>
                <w:left w:val="none" w:sz="0" w:space="0" w:color="auto"/>
                <w:bottom w:val="none" w:sz="0" w:space="0" w:color="auto"/>
                <w:right w:val="none" w:sz="0" w:space="0" w:color="auto"/>
              </w:divBdr>
            </w:div>
          </w:divsChild>
        </w:div>
        <w:div w:id="174420742">
          <w:marLeft w:val="0"/>
          <w:marRight w:val="0"/>
          <w:marTop w:val="0"/>
          <w:marBottom w:val="0"/>
          <w:divBdr>
            <w:top w:val="none" w:sz="0" w:space="0" w:color="auto"/>
            <w:left w:val="none" w:sz="0" w:space="0" w:color="auto"/>
            <w:bottom w:val="none" w:sz="0" w:space="0" w:color="auto"/>
            <w:right w:val="none" w:sz="0" w:space="0" w:color="auto"/>
          </w:divBdr>
          <w:divsChild>
            <w:div w:id="1621455133">
              <w:marLeft w:val="0"/>
              <w:marRight w:val="0"/>
              <w:marTop w:val="0"/>
              <w:marBottom w:val="0"/>
              <w:divBdr>
                <w:top w:val="none" w:sz="0" w:space="0" w:color="auto"/>
                <w:left w:val="none" w:sz="0" w:space="0" w:color="auto"/>
                <w:bottom w:val="none" w:sz="0" w:space="0" w:color="auto"/>
                <w:right w:val="none" w:sz="0" w:space="0" w:color="auto"/>
              </w:divBdr>
            </w:div>
          </w:divsChild>
        </w:div>
        <w:div w:id="175076393">
          <w:marLeft w:val="0"/>
          <w:marRight w:val="0"/>
          <w:marTop w:val="0"/>
          <w:marBottom w:val="0"/>
          <w:divBdr>
            <w:top w:val="none" w:sz="0" w:space="0" w:color="auto"/>
            <w:left w:val="none" w:sz="0" w:space="0" w:color="auto"/>
            <w:bottom w:val="none" w:sz="0" w:space="0" w:color="auto"/>
            <w:right w:val="none" w:sz="0" w:space="0" w:color="auto"/>
          </w:divBdr>
          <w:divsChild>
            <w:div w:id="1670867539">
              <w:marLeft w:val="0"/>
              <w:marRight w:val="0"/>
              <w:marTop w:val="0"/>
              <w:marBottom w:val="0"/>
              <w:divBdr>
                <w:top w:val="none" w:sz="0" w:space="0" w:color="auto"/>
                <w:left w:val="none" w:sz="0" w:space="0" w:color="auto"/>
                <w:bottom w:val="none" w:sz="0" w:space="0" w:color="auto"/>
                <w:right w:val="none" w:sz="0" w:space="0" w:color="auto"/>
              </w:divBdr>
            </w:div>
          </w:divsChild>
        </w:div>
        <w:div w:id="179706289">
          <w:marLeft w:val="0"/>
          <w:marRight w:val="0"/>
          <w:marTop w:val="0"/>
          <w:marBottom w:val="0"/>
          <w:divBdr>
            <w:top w:val="none" w:sz="0" w:space="0" w:color="auto"/>
            <w:left w:val="none" w:sz="0" w:space="0" w:color="auto"/>
            <w:bottom w:val="none" w:sz="0" w:space="0" w:color="auto"/>
            <w:right w:val="none" w:sz="0" w:space="0" w:color="auto"/>
          </w:divBdr>
          <w:divsChild>
            <w:div w:id="1979802438">
              <w:marLeft w:val="0"/>
              <w:marRight w:val="0"/>
              <w:marTop w:val="0"/>
              <w:marBottom w:val="0"/>
              <w:divBdr>
                <w:top w:val="none" w:sz="0" w:space="0" w:color="auto"/>
                <w:left w:val="none" w:sz="0" w:space="0" w:color="auto"/>
                <w:bottom w:val="none" w:sz="0" w:space="0" w:color="auto"/>
                <w:right w:val="none" w:sz="0" w:space="0" w:color="auto"/>
              </w:divBdr>
            </w:div>
          </w:divsChild>
        </w:div>
        <w:div w:id="180552981">
          <w:marLeft w:val="0"/>
          <w:marRight w:val="0"/>
          <w:marTop w:val="0"/>
          <w:marBottom w:val="0"/>
          <w:divBdr>
            <w:top w:val="none" w:sz="0" w:space="0" w:color="auto"/>
            <w:left w:val="none" w:sz="0" w:space="0" w:color="auto"/>
            <w:bottom w:val="none" w:sz="0" w:space="0" w:color="auto"/>
            <w:right w:val="none" w:sz="0" w:space="0" w:color="auto"/>
          </w:divBdr>
          <w:divsChild>
            <w:div w:id="1237546516">
              <w:marLeft w:val="0"/>
              <w:marRight w:val="0"/>
              <w:marTop w:val="0"/>
              <w:marBottom w:val="0"/>
              <w:divBdr>
                <w:top w:val="none" w:sz="0" w:space="0" w:color="auto"/>
                <w:left w:val="none" w:sz="0" w:space="0" w:color="auto"/>
                <w:bottom w:val="none" w:sz="0" w:space="0" w:color="auto"/>
                <w:right w:val="none" w:sz="0" w:space="0" w:color="auto"/>
              </w:divBdr>
            </w:div>
          </w:divsChild>
        </w:div>
        <w:div w:id="180629758">
          <w:marLeft w:val="0"/>
          <w:marRight w:val="0"/>
          <w:marTop w:val="0"/>
          <w:marBottom w:val="0"/>
          <w:divBdr>
            <w:top w:val="none" w:sz="0" w:space="0" w:color="auto"/>
            <w:left w:val="none" w:sz="0" w:space="0" w:color="auto"/>
            <w:bottom w:val="none" w:sz="0" w:space="0" w:color="auto"/>
            <w:right w:val="none" w:sz="0" w:space="0" w:color="auto"/>
          </w:divBdr>
          <w:divsChild>
            <w:div w:id="1222987538">
              <w:marLeft w:val="0"/>
              <w:marRight w:val="0"/>
              <w:marTop w:val="0"/>
              <w:marBottom w:val="0"/>
              <w:divBdr>
                <w:top w:val="none" w:sz="0" w:space="0" w:color="auto"/>
                <w:left w:val="none" w:sz="0" w:space="0" w:color="auto"/>
                <w:bottom w:val="none" w:sz="0" w:space="0" w:color="auto"/>
                <w:right w:val="none" w:sz="0" w:space="0" w:color="auto"/>
              </w:divBdr>
            </w:div>
          </w:divsChild>
        </w:div>
        <w:div w:id="180969375">
          <w:marLeft w:val="0"/>
          <w:marRight w:val="0"/>
          <w:marTop w:val="0"/>
          <w:marBottom w:val="0"/>
          <w:divBdr>
            <w:top w:val="none" w:sz="0" w:space="0" w:color="auto"/>
            <w:left w:val="none" w:sz="0" w:space="0" w:color="auto"/>
            <w:bottom w:val="none" w:sz="0" w:space="0" w:color="auto"/>
            <w:right w:val="none" w:sz="0" w:space="0" w:color="auto"/>
          </w:divBdr>
          <w:divsChild>
            <w:div w:id="200947819">
              <w:marLeft w:val="0"/>
              <w:marRight w:val="0"/>
              <w:marTop w:val="0"/>
              <w:marBottom w:val="0"/>
              <w:divBdr>
                <w:top w:val="none" w:sz="0" w:space="0" w:color="auto"/>
                <w:left w:val="none" w:sz="0" w:space="0" w:color="auto"/>
                <w:bottom w:val="none" w:sz="0" w:space="0" w:color="auto"/>
                <w:right w:val="none" w:sz="0" w:space="0" w:color="auto"/>
              </w:divBdr>
            </w:div>
          </w:divsChild>
        </w:div>
        <w:div w:id="182983838">
          <w:marLeft w:val="0"/>
          <w:marRight w:val="0"/>
          <w:marTop w:val="0"/>
          <w:marBottom w:val="0"/>
          <w:divBdr>
            <w:top w:val="none" w:sz="0" w:space="0" w:color="auto"/>
            <w:left w:val="none" w:sz="0" w:space="0" w:color="auto"/>
            <w:bottom w:val="none" w:sz="0" w:space="0" w:color="auto"/>
            <w:right w:val="none" w:sz="0" w:space="0" w:color="auto"/>
          </w:divBdr>
          <w:divsChild>
            <w:div w:id="1557160493">
              <w:marLeft w:val="0"/>
              <w:marRight w:val="0"/>
              <w:marTop w:val="0"/>
              <w:marBottom w:val="0"/>
              <w:divBdr>
                <w:top w:val="none" w:sz="0" w:space="0" w:color="auto"/>
                <w:left w:val="none" w:sz="0" w:space="0" w:color="auto"/>
                <w:bottom w:val="none" w:sz="0" w:space="0" w:color="auto"/>
                <w:right w:val="none" w:sz="0" w:space="0" w:color="auto"/>
              </w:divBdr>
            </w:div>
          </w:divsChild>
        </w:div>
        <w:div w:id="189729083">
          <w:marLeft w:val="0"/>
          <w:marRight w:val="0"/>
          <w:marTop w:val="0"/>
          <w:marBottom w:val="0"/>
          <w:divBdr>
            <w:top w:val="none" w:sz="0" w:space="0" w:color="auto"/>
            <w:left w:val="none" w:sz="0" w:space="0" w:color="auto"/>
            <w:bottom w:val="none" w:sz="0" w:space="0" w:color="auto"/>
            <w:right w:val="none" w:sz="0" w:space="0" w:color="auto"/>
          </w:divBdr>
          <w:divsChild>
            <w:div w:id="256210442">
              <w:marLeft w:val="0"/>
              <w:marRight w:val="0"/>
              <w:marTop w:val="0"/>
              <w:marBottom w:val="0"/>
              <w:divBdr>
                <w:top w:val="none" w:sz="0" w:space="0" w:color="auto"/>
                <w:left w:val="none" w:sz="0" w:space="0" w:color="auto"/>
                <w:bottom w:val="none" w:sz="0" w:space="0" w:color="auto"/>
                <w:right w:val="none" w:sz="0" w:space="0" w:color="auto"/>
              </w:divBdr>
            </w:div>
          </w:divsChild>
        </w:div>
        <w:div w:id="201089788">
          <w:marLeft w:val="0"/>
          <w:marRight w:val="0"/>
          <w:marTop w:val="0"/>
          <w:marBottom w:val="0"/>
          <w:divBdr>
            <w:top w:val="none" w:sz="0" w:space="0" w:color="auto"/>
            <w:left w:val="none" w:sz="0" w:space="0" w:color="auto"/>
            <w:bottom w:val="none" w:sz="0" w:space="0" w:color="auto"/>
            <w:right w:val="none" w:sz="0" w:space="0" w:color="auto"/>
          </w:divBdr>
          <w:divsChild>
            <w:div w:id="650594529">
              <w:marLeft w:val="0"/>
              <w:marRight w:val="0"/>
              <w:marTop w:val="0"/>
              <w:marBottom w:val="0"/>
              <w:divBdr>
                <w:top w:val="none" w:sz="0" w:space="0" w:color="auto"/>
                <w:left w:val="none" w:sz="0" w:space="0" w:color="auto"/>
                <w:bottom w:val="none" w:sz="0" w:space="0" w:color="auto"/>
                <w:right w:val="none" w:sz="0" w:space="0" w:color="auto"/>
              </w:divBdr>
            </w:div>
          </w:divsChild>
        </w:div>
        <w:div w:id="202720928">
          <w:marLeft w:val="0"/>
          <w:marRight w:val="0"/>
          <w:marTop w:val="0"/>
          <w:marBottom w:val="0"/>
          <w:divBdr>
            <w:top w:val="none" w:sz="0" w:space="0" w:color="auto"/>
            <w:left w:val="none" w:sz="0" w:space="0" w:color="auto"/>
            <w:bottom w:val="none" w:sz="0" w:space="0" w:color="auto"/>
            <w:right w:val="none" w:sz="0" w:space="0" w:color="auto"/>
          </w:divBdr>
          <w:divsChild>
            <w:div w:id="701326577">
              <w:marLeft w:val="0"/>
              <w:marRight w:val="0"/>
              <w:marTop w:val="0"/>
              <w:marBottom w:val="0"/>
              <w:divBdr>
                <w:top w:val="none" w:sz="0" w:space="0" w:color="auto"/>
                <w:left w:val="none" w:sz="0" w:space="0" w:color="auto"/>
                <w:bottom w:val="none" w:sz="0" w:space="0" w:color="auto"/>
                <w:right w:val="none" w:sz="0" w:space="0" w:color="auto"/>
              </w:divBdr>
            </w:div>
          </w:divsChild>
        </w:div>
        <w:div w:id="202985371">
          <w:marLeft w:val="0"/>
          <w:marRight w:val="0"/>
          <w:marTop w:val="0"/>
          <w:marBottom w:val="0"/>
          <w:divBdr>
            <w:top w:val="none" w:sz="0" w:space="0" w:color="auto"/>
            <w:left w:val="none" w:sz="0" w:space="0" w:color="auto"/>
            <w:bottom w:val="none" w:sz="0" w:space="0" w:color="auto"/>
            <w:right w:val="none" w:sz="0" w:space="0" w:color="auto"/>
          </w:divBdr>
          <w:divsChild>
            <w:div w:id="2137983797">
              <w:marLeft w:val="0"/>
              <w:marRight w:val="0"/>
              <w:marTop w:val="0"/>
              <w:marBottom w:val="0"/>
              <w:divBdr>
                <w:top w:val="none" w:sz="0" w:space="0" w:color="auto"/>
                <w:left w:val="none" w:sz="0" w:space="0" w:color="auto"/>
                <w:bottom w:val="none" w:sz="0" w:space="0" w:color="auto"/>
                <w:right w:val="none" w:sz="0" w:space="0" w:color="auto"/>
              </w:divBdr>
            </w:div>
          </w:divsChild>
        </w:div>
        <w:div w:id="204098826">
          <w:marLeft w:val="0"/>
          <w:marRight w:val="0"/>
          <w:marTop w:val="0"/>
          <w:marBottom w:val="0"/>
          <w:divBdr>
            <w:top w:val="none" w:sz="0" w:space="0" w:color="auto"/>
            <w:left w:val="none" w:sz="0" w:space="0" w:color="auto"/>
            <w:bottom w:val="none" w:sz="0" w:space="0" w:color="auto"/>
            <w:right w:val="none" w:sz="0" w:space="0" w:color="auto"/>
          </w:divBdr>
          <w:divsChild>
            <w:div w:id="200632741">
              <w:marLeft w:val="0"/>
              <w:marRight w:val="0"/>
              <w:marTop w:val="0"/>
              <w:marBottom w:val="0"/>
              <w:divBdr>
                <w:top w:val="none" w:sz="0" w:space="0" w:color="auto"/>
                <w:left w:val="none" w:sz="0" w:space="0" w:color="auto"/>
                <w:bottom w:val="none" w:sz="0" w:space="0" w:color="auto"/>
                <w:right w:val="none" w:sz="0" w:space="0" w:color="auto"/>
              </w:divBdr>
            </w:div>
          </w:divsChild>
        </w:div>
        <w:div w:id="205141929">
          <w:marLeft w:val="0"/>
          <w:marRight w:val="0"/>
          <w:marTop w:val="0"/>
          <w:marBottom w:val="0"/>
          <w:divBdr>
            <w:top w:val="none" w:sz="0" w:space="0" w:color="auto"/>
            <w:left w:val="none" w:sz="0" w:space="0" w:color="auto"/>
            <w:bottom w:val="none" w:sz="0" w:space="0" w:color="auto"/>
            <w:right w:val="none" w:sz="0" w:space="0" w:color="auto"/>
          </w:divBdr>
          <w:divsChild>
            <w:div w:id="1170411618">
              <w:marLeft w:val="0"/>
              <w:marRight w:val="0"/>
              <w:marTop w:val="0"/>
              <w:marBottom w:val="0"/>
              <w:divBdr>
                <w:top w:val="none" w:sz="0" w:space="0" w:color="auto"/>
                <w:left w:val="none" w:sz="0" w:space="0" w:color="auto"/>
                <w:bottom w:val="none" w:sz="0" w:space="0" w:color="auto"/>
                <w:right w:val="none" w:sz="0" w:space="0" w:color="auto"/>
              </w:divBdr>
            </w:div>
          </w:divsChild>
        </w:div>
        <w:div w:id="205416126">
          <w:marLeft w:val="0"/>
          <w:marRight w:val="0"/>
          <w:marTop w:val="0"/>
          <w:marBottom w:val="0"/>
          <w:divBdr>
            <w:top w:val="none" w:sz="0" w:space="0" w:color="auto"/>
            <w:left w:val="none" w:sz="0" w:space="0" w:color="auto"/>
            <w:bottom w:val="none" w:sz="0" w:space="0" w:color="auto"/>
            <w:right w:val="none" w:sz="0" w:space="0" w:color="auto"/>
          </w:divBdr>
          <w:divsChild>
            <w:div w:id="283463706">
              <w:marLeft w:val="0"/>
              <w:marRight w:val="0"/>
              <w:marTop w:val="0"/>
              <w:marBottom w:val="0"/>
              <w:divBdr>
                <w:top w:val="none" w:sz="0" w:space="0" w:color="auto"/>
                <w:left w:val="none" w:sz="0" w:space="0" w:color="auto"/>
                <w:bottom w:val="none" w:sz="0" w:space="0" w:color="auto"/>
                <w:right w:val="none" w:sz="0" w:space="0" w:color="auto"/>
              </w:divBdr>
            </w:div>
          </w:divsChild>
        </w:div>
        <w:div w:id="205915658">
          <w:marLeft w:val="0"/>
          <w:marRight w:val="0"/>
          <w:marTop w:val="0"/>
          <w:marBottom w:val="0"/>
          <w:divBdr>
            <w:top w:val="none" w:sz="0" w:space="0" w:color="auto"/>
            <w:left w:val="none" w:sz="0" w:space="0" w:color="auto"/>
            <w:bottom w:val="none" w:sz="0" w:space="0" w:color="auto"/>
            <w:right w:val="none" w:sz="0" w:space="0" w:color="auto"/>
          </w:divBdr>
          <w:divsChild>
            <w:div w:id="623461234">
              <w:marLeft w:val="0"/>
              <w:marRight w:val="0"/>
              <w:marTop w:val="0"/>
              <w:marBottom w:val="0"/>
              <w:divBdr>
                <w:top w:val="none" w:sz="0" w:space="0" w:color="auto"/>
                <w:left w:val="none" w:sz="0" w:space="0" w:color="auto"/>
                <w:bottom w:val="none" w:sz="0" w:space="0" w:color="auto"/>
                <w:right w:val="none" w:sz="0" w:space="0" w:color="auto"/>
              </w:divBdr>
            </w:div>
          </w:divsChild>
        </w:div>
        <w:div w:id="206841403">
          <w:marLeft w:val="0"/>
          <w:marRight w:val="0"/>
          <w:marTop w:val="0"/>
          <w:marBottom w:val="0"/>
          <w:divBdr>
            <w:top w:val="none" w:sz="0" w:space="0" w:color="auto"/>
            <w:left w:val="none" w:sz="0" w:space="0" w:color="auto"/>
            <w:bottom w:val="none" w:sz="0" w:space="0" w:color="auto"/>
            <w:right w:val="none" w:sz="0" w:space="0" w:color="auto"/>
          </w:divBdr>
          <w:divsChild>
            <w:div w:id="345449598">
              <w:marLeft w:val="0"/>
              <w:marRight w:val="0"/>
              <w:marTop w:val="0"/>
              <w:marBottom w:val="0"/>
              <w:divBdr>
                <w:top w:val="none" w:sz="0" w:space="0" w:color="auto"/>
                <w:left w:val="none" w:sz="0" w:space="0" w:color="auto"/>
                <w:bottom w:val="none" w:sz="0" w:space="0" w:color="auto"/>
                <w:right w:val="none" w:sz="0" w:space="0" w:color="auto"/>
              </w:divBdr>
            </w:div>
          </w:divsChild>
        </w:div>
        <w:div w:id="207225987">
          <w:marLeft w:val="0"/>
          <w:marRight w:val="0"/>
          <w:marTop w:val="0"/>
          <w:marBottom w:val="0"/>
          <w:divBdr>
            <w:top w:val="none" w:sz="0" w:space="0" w:color="auto"/>
            <w:left w:val="none" w:sz="0" w:space="0" w:color="auto"/>
            <w:bottom w:val="none" w:sz="0" w:space="0" w:color="auto"/>
            <w:right w:val="none" w:sz="0" w:space="0" w:color="auto"/>
          </w:divBdr>
          <w:divsChild>
            <w:div w:id="350570818">
              <w:marLeft w:val="0"/>
              <w:marRight w:val="0"/>
              <w:marTop w:val="0"/>
              <w:marBottom w:val="0"/>
              <w:divBdr>
                <w:top w:val="none" w:sz="0" w:space="0" w:color="auto"/>
                <w:left w:val="none" w:sz="0" w:space="0" w:color="auto"/>
                <w:bottom w:val="none" w:sz="0" w:space="0" w:color="auto"/>
                <w:right w:val="none" w:sz="0" w:space="0" w:color="auto"/>
              </w:divBdr>
            </w:div>
          </w:divsChild>
        </w:div>
        <w:div w:id="209615059">
          <w:marLeft w:val="0"/>
          <w:marRight w:val="0"/>
          <w:marTop w:val="0"/>
          <w:marBottom w:val="0"/>
          <w:divBdr>
            <w:top w:val="none" w:sz="0" w:space="0" w:color="auto"/>
            <w:left w:val="none" w:sz="0" w:space="0" w:color="auto"/>
            <w:bottom w:val="none" w:sz="0" w:space="0" w:color="auto"/>
            <w:right w:val="none" w:sz="0" w:space="0" w:color="auto"/>
          </w:divBdr>
          <w:divsChild>
            <w:div w:id="1730569257">
              <w:marLeft w:val="0"/>
              <w:marRight w:val="0"/>
              <w:marTop w:val="0"/>
              <w:marBottom w:val="0"/>
              <w:divBdr>
                <w:top w:val="none" w:sz="0" w:space="0" w:color="auto"/>
                <w:left w:val="none" w:sz="0" w:space="0" w:color="auto"/>
                <w:bottom w:val="none" w:sz="0" w:space="0" w:color="auto"/>
                <w:right w:val="none" w:sz="0" w:space="0" w:color="auto"/>
              </w:divBdr>
            </w:div>
          </w:divsChild>
        </w:div>
        <w:div w:id="216403720">
          <w:marLeft w:val="0"/>
          <w:marRight w:val="0"/>
          <w:marTop w:val="0"/>
          <w:marBottom w:val="0"/>
          <w:divBdr>
            <w:top w:val="none" w:sz="0" w:space="0" w:color="auto"/>
            <w:left w:val="none" w:sz="0" w:space="0" w:color="auto"/>
            <w:bottom w:val="none" w:sz="0" w:space="0" w:color="auto"/>
            <w:right w:val="none" w:sz="0" w:space="0" w:color="auto"/>
          </w:divBdr>
          <w:divsChild>
            <w:div w:id="510340149">
              <w:marLeft w:val="0"/>
              <w:marRight w:val="0"/>
              <w:marTop w:val="0"/>
              <w:marBottom w:val="0"/>
              <w:divBdr>
                <w:top w:val="none" w:sz="0" w:space="0" w:color="auto"/>
                <w:left w:val="none" w:sz="0" w:space="0" w:color="auto"/>
                <w:bottom w:val="none" w:sz="0" w:space="0" w:color="auto"/>
                <w:right w:val="none" w:sz="0" w:space="0" w:color="auto"/>
              </w:divBdr>
            </w:div>
          </w:divsChild>
        </w:div>
        <w:div w:id="226191478">
          <w:marLeft w:val="0"/>
          <w:marRight w:val="0"/>
          <w:marTop w:val="0"/>
          <w:marBottom w:val="0"/>
          <w:divBdr>
            <w:top w:val="none" w:sz="0" w:space="0" w:color="auto"/>
            <w:left w:val="none" w:sz="0" w:space="0" w:color="auto"/>
            <w:bottom w:val="none" w:sz="0" w:space="0" w:color="auto"/>
            <w:right w:val="none" w:sz="0" w:space="0" w:color="auto"/>
          </w:divBdr>
          <w:divsChild>
            <w:div w:id="280692820">
              <w:marLeft w:val="0"/>
              <w:marRight w:val="0"/>
              <w:marTop w:val="0"/>
              <w:marBottom w:val="0"/>
              <w:divBdr>
                <w:top w:val="none" w:sz="0" w:space="0" w:color="auto"/>
                <w:left w:val="none" w:sz="0" w:space="0" w:color="auto"/>
                <w:bottom w:val="none" w:sz="0" w:space="0" w:color="auto"/>
                <w:right w:val="none" w:sz="0" w:space="0" w:color="auto"/>
              </w:divBdr>
            </w:div>
          </w:divsChild>
        </w:div>
        <w:div w:id="226843577">
          <w:marLeft w:val="0"/>
          <w:marRight w:val="0"/>
          <w:marTop w:val="0"/>
          <w:marBottom w:val="0"/>
          <w:divBdr>
            <w:top w:val="none" w:sz="0" w:space="0" w:color="auto"/>
            <w:left w:val="none" w:sz="0" w:space="0" w:color="auto"/>
            <w:bottom w:val="none" w:sz="0" w:space="0" w:color="auto"/>
            <w:right w:val="none" w:sz="0" w:space="0" w:color="auto"/>
          </w:divBdr>
          <w:divsChild>
            <w:div w:id="981690796">
              <w:marLeft w:val="0"/>
              <w:marRight w:val="0"/>
              <w:marTop w:val="0"/>
              <w:marBottom w:val="0"/>
              <w:divBdr>
                <w:top w:val="none" w:sz="0" w:space="0" w:color="auto"/>
                <w:left w:val="none" w:sz="0" w:space="0" w:color="auto"/>
                <w:bottom w:val="none" w:sz="0" w:space="0" w:color="auto"/>
                <w:right w:val="none" w:sz="0" w:space="0" w:color="auto"/>
              </w:divBdr>
            </w:div>
          </w:divsChild>
        </w:div>
        <w:div w:id="227225052">
          <w:marLeft w:val="0"/>
          <w:marRight w:val="0"/>
          <w:marTop w:val="0"/>
          <w:marBottom w:val="0"/>
          <w:divBdr>
            <w:top w:val="none" w:sz="0" w:space="0" w:color="auto"/>
            <w:left w:val="none" w:sz="0" w:space="0" w:color="auto"/>
            <w:bottom w:val="none" w:sz="0" w:space="0" w:color="auto"/>
            <w:right w:val="none" w:sz="0" w:space="0" w:color="auto"/>
          </w:divBdr>
          <w:divsChild>
            <w:div w:id="462894828">
              <w:marLeft w:val="0"/>
              <w:marRight w:val="0"/>
              <w:marTop w:val="0"/>
              <w:marBottom w:val="0"/>
              <w:divBdr>
                <w:top w:val="none" w:sz="0" w:space="0" w:color="auto"/>
                <w:left w:val="none" w:sz="0" w:space="0" w:color="auto"/>
                <w:bottom w:val="none" w:sz="0" w:space="0" w:color="auto"/>
                <w:right w:val="none" w:sz="0" w:space="0" w:color="auto"/>
              </w:divBdr>
            </w:div>
          </w:divsChild>
        </w:div>
        <w:div w:id="227693615">
          <w:marLeft w:val="0"/>
          <w:marRight w:val="0"/>
          <w:marTop w:val="0"/>
          <w:marBottom w:val="0"/>
          <w:divBdr>
            <w:top w:val="none" w:sz="0" w:space="0" w:color="auto"/>
            <w:left w:val="none" w:sz="0" w:space="0" w:color="auto"/>
            <w:bottom w:val="none" w:sz="0" w:space="0" w:color="auto"/>
            <w:right w:val="none" w:sz="0" w:space="0" w:color="auto"/>
          </w:divBdr>
          <w:divsChild>
            <w:div w:id="81099765">
              <w:marLeft w:val="0"/>
              <w:marRight w:val="0"/>
              <w:marTop w:val="0"/>
              <w:marBottom w:val="0"/>
              <w:divBdr>
                <w:top w:val="none" w:sz="0" w:space="0" w:color="auto"/>
                <w:left w:val="none" w:sz="0" w:space="0" w:color="auto"/>
                <w:bottom w:val="none" w:sz="0" w:space="0" w:color="auto"/>
                <w:right w:val="none" w:sz="0" w:space="0" w:color="auto"/>
              </w:divBdr>
            </w:div>
          </w:divsChild>
        </w:div>
        <w:div w:id="229075268">
          <w:marLeft w:val="0"/>
          <w:marRight w:val="0"/>
          <w:marTop w:val="0"/>
          <w:marBottom w:val="0"/>
          <w:divBdr>
            <w:top w:val="none" w:sz="0" w:space="0" w:color="auto"/>
            <w:left w:val="none" w:sz="0" w:space="0" w:color="auto"/>
            <w:bottom w:val="none" w:sz="0" w:space="0" w:color="auto"/>
            <w:right w:val="none" w:sz="0" w:space="0" w:color="auto"/>
          </w:divBdr>
          <w:divsChild>
            <w:div w:id="261033969">
              <w:marLeft w:val="0"/>
              <w:marRight w:val="0"/>
              <w:marTop w:val="0"/>
              <w:marBottom w:val="0"/>
              <w:divBdr>
                <w:top w:val="none" w:sz="0" w:space="0" w:color="auto"/>
                <w:left w:val="none" w:sz="0" w:space="0" w:color="auto"/>
                <w:bottom w:val="none" w:sz="0" w:space="0" w:color="auto"/>
                <w:right w:val="none" w:sz="0" w:space="0" w:color="auto"/>
              </w:divBdr>
            </w:div>
          </w:divsChild>
        </w:div>
        <w:div w:id="229460339">
          <w:marLeft w:val="0"/>
          <w:marRight w:val="0"/>
          <w:marTop w:val="0"/>
          <w:marBottom w:val="0"/>
          <w:divBdr>
            <w:top w:val="none" w:sz="0" w:space="0" w:color="auto"/>
            <w:left w:val="none" w:sz="0" w:space="0" w:color="auto"/>
            <w:bottom w:val="none" w:sz="0" w:space="0" w:color="auto"/>
            <w:right w:val="none" w:sz="0" w:space="0" w:color="auto"/>
          </w:divBdr>
          <w:divsChild>
            <w:div w:id="1813059796">
              <w:marLeft w:val="0"/>
              <w:marRight w:val="0"/>
              <w:marTop w:val="0"/>
              <w:marBottom w:val="0"/>
              <w:divBdr>
                <w:top w:val="none" w:sz="0" w:space="0" w:color="auto"/>
                <w:left w:val="none" w:sz="0" w:space="0" w:color="auto"/>
                <w:bottom w:val="none" w:sz="0" w:space="0" w:color="auto"/>
                <w:right w:val="none" w:sz="0" w:space="0" w:color="auto"/>
              </w:divBdr>
            </w:div>
          </w:divsChild>
        </w:div>
        <w:div w:id="235938888">
          <w:marLeft w:val="0"/>
          <w:marRight w:val="0"/>
          <w:marTop w:val="0"/>
          <w:marBottom w:val="0"/>
          <w:divBdr>
            <w:top w:val="none" w:sz="0" w:space="0" w:color="auto"/>
            <w:left w:val="none" w:sz="0" w:space="0" w:color="auto"/>
            <w:bottom w:val="none" w:sz="0" w:space="0" w:color="auto"/>
            <w:right w:val="none" w:sz="0" w:space="0" w:color="auto"/>
          </w:divBdr>
          <w:divsChild>
            <w:div w:id="1269971669">
              <w:marLeft w:val="0"/>
              <w:marRight w:val="0"/>
              <w:marTop w:val="0"/>
              <w:marBottom w:val="0"/>
              <w:divBdr>
                <w:top w:val="none" w:sz="0" w:space="0" w:color="auto"/>
                <w:left w:val="none" w:sz="0" w:space="0" w:color="auto"/>
                <w:bottom w:val="none" w:sz="0" w:space="0" w:color="auto"/>
                <w:right w:val="none" w:sz="0" w:space="0" w:color="auto"/>
              </w:divBdr>
            </w:div>
          </w:divsChild>
        </w:div>
        <w:div w:id="236020717">
          <w:marLeft w:val="0"/>
          <w:marRight w:val="0"/>
          <w:marTop w:val="0"/>
          <w:marBottom w:val="0"/>
          <w:divBdr>
            <w:top w:val="none" w:sz="0" w:space="0" w:color="auto"/>
            <w:left w:val="none" w:sz="0" w:space="0" w:color="auto"/>
            <w:bottom w:val="none" w:sz="0" w:space="0" w:color="auto"/>
            <w:right w:val="none" w:sz="0" w:space="0" w:color="auto"/>
          </w:divBdr>
          <w:divsChild>
            <w:div w:id="671028556">
              <w:marLeft w:val="0"/>
              <w:marRight w:val="0"/>
              <w:marTop w:val="0"/>
              <w:marBottom w:val="0"/>
              <w:divBdr>
                <w:top w:val="none" w:sz="0" w:space="0" w:color="auto"/>
                <w:left w:val="none" w:sz="0" w:space="0" w:color="auto"/>
                <w:bottom w:val="none" w:sz="0" w:space="0" w:color="auto"/>
                <w:right w:val="none" w:sz="0" w:space="0" w:color="auto"/>
              </w:divBdr>
            </w:div>
          </w:divsChild>
        </w:div>
        <w:div w:id="240331514">
          <w:marLeft w:val="0"/>
          <w:marRight w:val="0"/>
          <w:marTop w:val="0"/>
          <w:marBottom w:val="0"/>
          <w:divBdr>
            <w:top w:val="none" w:sz="0" w:space="0" w:color="auto"/>
            <w:left w:val="none" w:sz="0" w:space="0" w:color="auto"/>
            <w:bottom w:val="none" w:sz="0" w:space="0" w:color="auto"/>
            <w:right w:val="none" w:sz="0" w:space="0" w:color="auto"/>
          </w:divBdr>
          <w:divsChild>
            <w:div w:id="2072537499">
              <w:marLeft w:val="0"/>
              <w:marRight w:val="0"/>
              <w:marTop w:val="0"/>
              <w:marBottom w:val="0"/>
              <w:divBdr>
                <w:top w:val="none" w:sz="0" w:space="0" w:color="auto"/>
                <w:left w:val="none" w:sz="0" w:space="0" w:color="auto"/>
                <w:bottom w:val="none" w:sz="0" w:space="0" w:color="auto"/>
                <w:right w:val="none" w:sz="0" w:space="0" w:color="auto"/>
              </w:divBdr>
            </w:div>
          </w:divsChild>
        </w:div>
        <w:div w:id="241642399">
          <w:marLeft w:val="0"/>
          <w:marRight w:val="0"/>
          <w:marTop w:val="0"/>
          <w:marBottom w:val="0"/>
          <w:divBdr>
            <w:top w:val="none" w:sz="0" w:space="0" w:color="auto"/>
            <w:left w:val="none" w:sz="0" w:space="0" w:color="auto"/>
            <w:bottom w:val="none" w:sz="0" w:space="0" w:color="auto"/>
            <w:right w:val="none" w:sz="0" w:space="0" w:color="auto"/>
          </w:divBdr>
          <w:divsChild>
            <w:div w:id="891385317">
              <w:marLeft w:val="0"/>
              <w:marRight w:val="0"/>
              <w:marTop w:val="0"/>
              <w:marBottom w:val="0"/>
              <w:divBdr>
                <w:top w:val="none" w:sz="0" w:space="0" w:color="auto"/>
                <w:left w:val="none" w:sz="0" w:space="0" w:color="auto"/>
                <w:bottom w:val="none" w:sz="0" w:space="0" w:color="auto"/>
                <w:right w:val="none" w:sz="0" w:space="0" w:color="auto"/>
              </w:divBdr>
            </w:div>
          </w:divsChild>
        </w:div>
        <w:div w:id="243028749">
          <w:marLeft w:val="0"/>
          <w:marRight w:val="0"/>
          <w:marTop w:val="0"/>
          <w:marBottom w:val="0"/>
          <w:divBdr>
            <w:top w:val="none" w:sz="0" w:space="0" w:color="auto"/>
            <w:left w:val="none" w:sz="0" w:space="0" w:color="auto"/>
            <w:bottom w:val="none" w:sz="0" w:space="0" w:color="auto"/>
            <w:right w:val="none" w:sz="0" w:space="0" w:color="auto"/>
          </w:divBdr>
          <w:divsChild>
            <w:div w:id="336884578">
              <w:marLeft w:val="0"/>
              <w:marRight w:val="0"/>
              <w:marTop w:val="0"/>
              <w:marBottom w:val="0"/>
              <w:divBdr>
                <w:top w:val="none" w:sz="0" w:space="0" w:color="auto"/>
                <w:left w:val="none" w:sz="0" w:space="0" w:color="auto"/>
                <w:bottom w:val="none" w:sz="0" w:space="0" w:color="auto"/>
                <w:right w:val="none" w:sz="0" w:space="0" w:color="auto"/>
              </w:divBdr>
            </w:div>
          </w:divsChild>
        </w:div>
        <w:div w:id="243152890">
          <w:marLeft w:val="0"/>
          <w:marRight w:val="0"/>
          <w:marTop w:val="0"/>
          <w:marBottom w:val="0"/>
          <w:divBdr>
            <w:top w:val="none" w:sz="0" w:space="0" w:color="auto"/>
            <w:left w:val="none" w:sz="0" w:space="0" w:color="auto"/>
            <w:bottom w:val="none" w:sz="0" w:space="0" w:color="auto"/>
            <w:right w:val="none" w:sz="0" w:space="0" w:color="auto"/>
          </w:divBdr>
          <w:divsChild>
            <w:div w:id="472676711">
              <w:marLeft w:val="0"/>
              <w:marRight w:val="0"/>
              <w:marTop w:val="0"/>
              <w:marBottom w:val="0"/>
              <w:divBdr>
                <w:top w:val="none" w:sz="0" w:space="0" w:color="auto"/>
                <w:left w:val="none" w:sz="0" w:space="0" w:color="auto"/>
                <w:bottom w:val="none" w:sz="0" w:space="0" w:color="auto"/>
                <w:right w:val="none" w:sz="0" w:space="0" w:color="auto"/>
              </w:divBdr>
            </w:div>
          </w:divsChild>
        </w:div>
        <w:div w:id="243491251">
          <w:marLeft w:val="0"/>
          <w:marRight w:val="0"/>
          <w:marTop w:val="0"/>
          <w:marBottom w:val="0"/>
          <w:divBdr>
            <w:top w:val="none" w:sz="0" w:space="0" w:color="auto"/>
            <w:left w:val="none" w:sz="0" w:space="0" w:color="auto"/>
            <w:bottom w:val="none" w:sz="0" w:space="0" w:color="auto"/>
            <w:right w:val="none" w:sz="0" w:space="0" w:color="auto"/>
          </w:divBdr>
          <w:divsChild>
            <w:div w:id="1770276429">
              <w:marLeft w:val="0"/>
              <w:marRight w:val="0"/>
              <w:marTop w:val="0"/>
              <w:marBottom w:val="0"/>
              <w:divBdr>
                <w:top w:val="none" w:sz="0" w:space="0" w:color="auto"/>
                <w:left w:val="none" w:sz="0" w:space="0" w:color="auto"/>
                <w:bottom w:val="none" w:sz="0" w:space="0" w:color="auto"/>
                <w:right w:val="none" w:sz="0" w:space="0" w:color="auto"/>
              </w:divBdr>
            </w:div>
          </w:divsChild>
        </w:div>
        <w:div w:id="247420488">
          <w:marLeft w:val="0"/>
          <w:marRight w:val="0"/>
          <w:marTop w:val="0"/>
          <w:marBottom w:val="0"/>
          <w:divBdr>
            <w:top w:val="none" w:sz="0" w:space="0" w:color="auto"/>
            <w:left w:val="none" w:sz="0" w:space="0" w:color="auto"/>
            <w:bottom w:val="none" w:sz="0" w:space="0" w:color="auto"/>
            <w:right w:val="none" w:sz="0" w:space="0" w:color="auto"/>
          </w:divBdr>
          <w:divsChild>
            <w:div w:id="820199409">
              <w:marLeft w:val="0"/>
              <w:marRight w:val="0"/>
              <w:marTop w:val="0"/>
              <w:marBottom w:val="0"/>
              <w:divBdr>
                <w:top w:val="none" w:sz="0" w:space="0" w:color="auto"/>
                <w:left w:val="none" w:sz="0" w:space="0" w:color="auto"/>
                <w:bottom w:val="none" w:sz="0" w:space="0" w:color="auto"/>
                <w:right w:val="none" w:sz="0" w:space="0" w:color="auto"/>
              </w:divBdr>
            </w:div>
          </w:divsChild>
        </w:div>
        <w:div w:id="249198300">
          <w:marLeft w:val="0"/>
          <w:marRight w:val="0"/>
          <w:marTop w:val="0"/>
          <w:marBottom w:val="0"/>
          <w:divBdr>
            <w:top w:val="none" w:sz="0" w:space="0" w:color="auto"/>
            <w:left w:val="none" w:sz="0" w:space="0" w:color="auto"/>
            <w:bottom w:val="none" w:sz="0" w:space="0" w:color="auto"/>
            <w:right w:val="none" w:sz="0" w:space="0" w:color="auto"/>
          </w:divBdr>
          <w:divsChild>
            <w:div w:id="345330247">
              <w:marLeft w:val="0"/>
              <w:marRight w:val="0"/>
              <w:marTop w:val="0"/>
              <w:marBottom w:val="0"/>
              <w:divBdr>
                <w:top w:val="none" w:sz="0" w:space="0" w:color="auto"/>
                <w:left w:val="none" w:sz="0" w:space="0" w:color="auto"/>
                <w:bottom w:val="none" w:sz="0" w:space="0" w:color="auto"/>
                <w:right w:val="none" w:sz="0" w:space="0" w:color="auto"/>
              </w:divBdr>
            </w:div>
          </w:divsChild>
        </w:div>
        <w:div w:id="251280927">
          <w:marLeft w:val="0"/>
          <w:marRight w:val="0"/>
          <w:marTop w:val="0"/>
          <w:marBottom w:val="0"/>
          <w:divBdr>
            <w:top w:val="none" w:sz="0" w:space="0" w:color="auto"/>
            <w:left w:val="none" w:sz="0" w:space="0" w:color="auto"/>
            <w:bottom w:val="none" w:sz="0" w:space="0" w:color="auto"/>
            <w:right w:val="none" w:sz="0" w:space="0" w:color="auto"/>
          </w:divBdr>
          <w:divsChild>
            <w:div w:id="1403603526">
              <w:marLeft w:val="0"/>
              <w:marRight w:val="0"/>
              <w:marTop w:val="0"/>
              <w:marBottom w:val="0"/>
              <w:divBdr>
                <w:top w:val="none" w:sz="0" w:space="0" w:color="auto"/>
                <w:left w:val="none" w:sz="0" w:space="0" w:color="auto"/>
                <w:bottom w:val="none" w:sz="0" w:space="0" w:color="auto"/>
                <w:right w:val="none" w:sz="0" w:space="0" w:color="auto"/>
              </w:divBdr>
            </w:div>
          </w:divsChild>
        </w:div>
        <w:div w:id="252665780">
          <w:marLeft w:val="0"/>
          <w:marRight w:val="0"/>
          <w:marTop w:val="0"/>
          <w:marBottom w:val="0"/>
          <w:divBdr>
            <w:top w:val="none" w:sz="0" w:space="0" w:color="auto"/>
            <w:left w:val="none" w:sz="0" w:space="0" w:color="auto"/>
            <w:bottom w:val="none" w:sz="0" w:space="0" w:color="auto"/>
            <w:right w:val="none" w:sz="0" w:space="0" w:color="auto"/>
          </w:divBdr>
          <w:divsChild>
            <w:div w:id="281886218">
              <w:marLeft w:val="0"/>
              <w:marRight w:val="0"/>
              <w:marTop w:val="0"/>
              <w:marBottom w:val="0"/>
              <w:divBdr>
                <w:top w:val="none" w:sz="0" w:space="0" w:color="auto"/>
                <w:left w:val="none" w:sz="0" w:space="0" w:color="auto"/>
                <w:bottom w:val="none" w:sz="0" w:space="0" w:color="auto"/>
                <w:right w:val="none" w:sz="0" w:space="0" w:color="auto"/>
              </w:divBdr>
            </w:div>
          </w:divsChild>
        </w:div>
        <w:div w:id="258562641">
          <w:marLeft w:val="0"/>
          <w:marRight w:val="0"/>
          <w:marTop w:val="0"/>
          <w:marBottom w:val="0"/>
          <w:divBdr>
            <w:top w:val="none" w:sz="0" w:space="0" w:color="auto"/>
            <w:left w:val="none" w:sz="0" w:space="0" w:color="auto"/>
            <w:bottom w:val="none" w:sz="0" w:space="0" w:color="auto"/>
            <w:right w:val="none" w:sz="0" w:space="0" w:color="auto"/>
          </w:divBdr>
          <w:divsChild>
            <w:div w:id="964777857">
              <w:marLeft w:val="0"/>
              <w:marRight w:val="0"/>
              <w:marTop w:val="0"/>
              <w:marBottom w:val="0"/>
              <w:divBdr>
                <w:top w:val="none" w:sz="0" w:space="0" w:color="auto"/>
                <w:left w:val="none" w:sz="0" w:space="0" w:color="auto"/>
                <w:bottom w:val="none" w:sz="0" w:space="0" w:color="auto"/>
                <w:right w:val="none" w:sz="0" w:space="0" w:color="auto"/>
              </w:divBdr>
            </w:div>
          </w:divsChild>
        </w:div>
        <w:div w:id="259412031">
          <w:marLeft w:val="0"/>
          <w:marRight w:val="0"/>
          <w:marTop w:val="0"/>
          <w:marBottom w:val="0"/>
          <w:divBdr>
            <w:top w:val="none" w:sz="0" w:space="0" w:color="auto"/>
            <w:left w:val="none" w:sz="0" w:space="0" w:color="auto"/>
            <w:bottom w:val="none" w:sz="0" w:space="0" w:color="auto"/>
            <w:right w:val="none" w:sz="0" w:space="0" w:color="auto"/>
          </w:divBdr>
          <w:divsChild>
            <w:div w:id="141390830">
              <w:marLeft w:val="0"/>
              <w:marRight w:val="0"/>
              <w:marTop w:val="0"/>
              <w:marBottom w:val="0"/>
              <w:divBdr>
                <w:top w:val="none" w:sz="0" w:space="0" w:color="auto"/>
                <w:left w:val="none" w:sz="0" w:space="0" w:color="auto"/>
                <w:bottom w:val="none" w:sz="0" w:space="0" w:color="auto"/>
                <w:right w:val="none" w:sz="0" w:space="0" w:color="auto"/>
              </w:divBdr>
            </w:div>
          </w:divsChild>
        </w:div>
        <w:div w:id="264076812">
          <w:marLeft w:val="0"/>
          <w:marRight w:val="0"/>
          <w:marTop w:val="0"/>
          <w:marBottom w:val="0"/>
          <w:divBdr>
            <w:top w:val="none" w:sz="0" w:space="0" w:color="auto"/>
            <w:left w:val="none" w:sz="0" w:space="0" w:color="auto"/>
            <w:bottom w:val="none" w:sz="0" w:space="0" w:color="auto"/>
            <w:right w:val="none" w:sz="0" w:space="0" w:color="auto"/>
          </w:divBdr>
          <w:divsChild>
            <w:div w:id="1530724662">
              <w:marLeft w:val="0"/>
              <w:marRight w:val="0"/>
              <w:marTop w:val="0"/>
              <w:marBottom w:val="0"/>
              <w:divBdr>
                <w:top w:val="none" w:sz="0" w:space="0" w:color="auto"/>
                <w:left w:val="none" w:sz="0" w:space="0" w:color="auto"/>
                <w:bottom w:val="none" w:sz="0" w:space="0" w:color="auto"/>
                <w:right w:val="none" w:sz="0" w:space="0" w:color="auto"/>
              </w:divBdr>
            </w:div>
          </w:divsChild>
        </w:div>
        <w:div w:id="267205915">
          <w:marLeft w:val="0"/>
          <w:marRight w:val="0"/>
          <w:marTop w:val="0"/>
          <w:marBottom w:val="0"/>
          <w:divBdr>
            <w:top w:val="none" w:sz="0" w:space="0" w:color="auto"/>
            <w:left w:val="none" w:sz="0" w:space="0" w:color="auto"/>
            <w:bottom w:val="none" w:sz="0" w:space="0" w:color="auto"/>
            <w:right w:val="none" w:sz="0" w:space="0" w:color="auto"/>
          </w:divBdr>
          <w:divsChild>
            <w:div w:id="1123183961">
              <w:marLeft w:val="0"/>
              <w:marRight w:val="0"/>
              <w:marTop w:val="0"/>
              <w:marBottom w:val="0"/>
              <w:divBdr>
                <w:top w:val="none" w:sz="0" w:space="0" w:color="auto"/>
                <w:left w:val="none" w:sz="0" w:space="0" w:color="auto"/>
                <w:bottom w:val="none" w:sz="0" w:space="0" w:color="auto"/>
                <w:right w:val="none" w:sz="0" w:space="0" w:color="auto"/>
              </w:divBdr>
            </w:div>
          </w:divsChild>
        </w:div>
        <w:div w:id="269096058">
          <w:marLeft w:val="0"/>
          <w:marRight w:val="0"/>
          <w:marTop w:val="0"/>
          <w:marBottom w:val="0"/>
          <w:divBdr>
            <w:top w:val="none" w:sz="0" w:space="0" w:color="auto"/>
            <w:left w:val="none" w:sz="0" w:space="0" w:color="auto"/>
            <w:bottom w:val="none" w:sz="0" w:space="0" w:color="auto"/>
            <w:right w:val="none" w:sz="0" w:space="0" w:color="auto"/>
          </w:divBdr>
          <w:divsChild>
            <w:div w:id="644823541">
              <w:marLeft w:val="0"/>
              <w:marRight w:val="0"/>
              <w:marTop w:val="0"/>
              <w:marBottom w:val="0"/>
              <w:divBdr>
                <w:top w:val="none" w:sz="0" w:space="0" w:color="auto"/>
                <w:left w:val="none" w:sz="0" w:space="0" w:color="auto"/>
                <w:bottom w:val="none" w:sz="0" w:space="0" w:color="auto"/>
                <w:right w:val="none" w:sz="0" w:space="0" w:color="auto"/>
              </w:divBdr>
            </w:div>
          </w:divsChild>
        </w:div>
        <w:div w:id="269315393">
          <w:marLeft w:val="0"/>
          <w:marRight w:val="0"/>
          <w:marTop w:val="0"/>
          <w:marBottom w:val="0"/>
          <w:divBdr>
            <w:top w:val="none" w:sz="0" w:space="0" w:color="auto"/>
            <w:left w:val="none" w:sz="0" w:space="0" w:color="auto"/>
            <w:bottom w:val="none" w:sz="0" w:space="0" w:color="auto"/>
            <w:right w:val="none" w:sz="0" w:space="0" w:color="auto"/>
          </w:divBdr>
          <w:divsChild>
            <w:div w:id="576746011">
              <w:marLeft w:val="0"/>
              <w:marRight w:val="0"/>
              <w:marTop w:val="0"/>
              <w:marBottom w:val="0"/>
              <w:divBdr>
                <w:top w:val="none" w:sz="0" w:space="0" w:color="auto"/>
                <w:left w:val="none" w:sz="0" w:space="0" w:color="auto"/>
                <w:bottom w:val="none" w:sz="0" w:space="0" w:color="auto"/>
                <w:right w:val="none" w:sz="0" w:space="0" w:color="auto"/>
              </w:divBdr>
            </w:div>
          </w:divsChild>
        </w:div>
        <w:div w:id="270748968">
          <w:marLeft w:val="0"/>
          <w:marRight w:val="0"/>
          <w:marTop w:val="0"/>
          <w:marBottom w:val="0"/>
          <w:divBdr>
            <w:top w:val="none" w:sz="0" w:space="0" w:color="auto"/>
            <w:left w:val="none" w:sz="0" w:space="0" w:color="auto"/>
            <w:bottom w:val="none" w:sz="0" w:space="0" w:color="auto"/>
            <w:right w:val="none" w:sz="0" w:space="0" w:color="auto"/>
          </w:divBdr>
          <w:divsChild>
            <w:div w:id="681784941">
              <w:marLeft w:val="0"/>
              <w:marRight w:val="0"/>
              <w:marTop w:val="0"/>
              <w:marBottom w:val="0"/>
              <w:divBdr>
                <w:top w:val="none" w:sz="0" w:space="0" w:color="auto"/>
                <w:left w:val="none" w:sz="0" w:space="0" w:color="auto"/>
                <w:bottom w:val="none" w:sz="0" w:space="0" w:color="auto"/>
                <w:right w:val="none" w:sz="0" w:space="0" w:color="auto"/>
              </w:divBdr>
            </w:div>
          </w:divsChild>
        </w:div>
        <w:div w:id="271789626">
          <w:marLeft w:val="0"/>
          <w:marRight w:val="0"/>
          <w:marTop w:val="0"/>
          <w:marBottom w:val="0"/>
          <w:divBdr>
            <w:top w:val="none" w:sz="0" w:space="0" w:color="auto"/>
            <w:left w:val="none" w:sz="0" w:space="0" w:color="auto"/>
            <w:bottom w:val="none" w:sz="0" w:space="0" w:color="auto"/>
            <w:right w:val="none" w:sz="0" w:space="0" w:color="auto"/>
          </w:divBdr>
          <w:divsChild>
            <w:div w:id="1621104005">
              <w:marLeft w:val="0"/>
              <w:marRight w:val="0"/>
              <w:marTop w:val="0"/>
              <w:marBottom w:val="0"/>
              <w:divBdr>
                <w:top w:val="none" w:sz="0" w:space="0" w:color="auto"/>
                <w:left w:val="none" w:sz="0" w:space="0" w:color="auto"/>
                <w:bottom w:val="none" w:sz="0" w:space="0" w:color="auto"/>
                <w:right w:val="none" w:sz="0" w:space="0" w:color="auto"/>
              </w:divBdr>
            </w:div>
          </w:divsChild>
        </w:div>
        <w:div w:id="272247569">
          <w:marLeft w:val="0"/>
          <w:marRight w:val="0"/>
          <w:marTop w:val="0"/>
          <w:marBottom w:val="0"/>
          <w:divBdr>
            <w:top w:val="none" w:sz="0" w:space="0" w:color="auto"/>
            <w:left w:val="none" w:sz="0" w:space="0" w:color="auto"/>
            <w:bottom w:val="none" w:sz="0" w:space="0" w:color="auto"/>
            <w:right w:val="none" w:sz="0" w:space="0" w:color="auto"/>
          </w:divBdr>
          <w:divsChild>
            <w:div w:id="780957735">
              <w:marLeft w:val="0"/>
              <w:marRight w:val="0"/>
              <w:marTop w:val="0"/>
              <w:marBottom w:val="0"/>
              <w:divBdr>
                <w:top w:val="none" w:sz="0" w:space="0" w:color="auto"/>
                <w:left w:val="none" w:sz="0" w:space="0" w:color="auto"/>
                <w:bottom w:val="none" w:sz="0" w:space="0" w:color="auto"/>
                <w:right w:val="none" w:sz="0" w:space="0" w:color="auto"/>
              </w:divBdr>
            </w:div>
          </w:divsChild>
        </w:div>
        <w:div w:id="273286952">
          <w:marLeft w:val="0"/>
          <w:marRight w:val="0"/>
          <w:marTop w:val="0"/>
          <w:marBottom w:val="0"/>
          <w:divBdr>
            <w:top w:val="none" w:sz="0" w:space="0" w:color="auto"/>
            <w:left w:val="none" w:sz="0" w:space="0" w:color="auto"/>
            <w:bottom w:val="none" w:sz="0" w:space="0" w:color="auto"/>
            <w:right w:val="none" w:sz="0" w:space="0" w:color="auto"/>
          </w:divBdr>
          <w:divsChild>
            <w:div w:id="1836257708">
              <w:marLeft w:val="0"/>
              <w:marRight w:val="0"/>
              <w:marTop w:val="0"/>
              <w:marBottom w:val="0"/>
              <w:divBdr>
                <w:top w:val="none" w:sz="0" w:space="0" w:color="auto"/>
                <w:left w:val="none" w:sz="0" w:space="0" w:color="auto"/>
                <w:bottom w:val="none" w:sz="0" w:space="0" w:color="auto"/>
                <w:right w:val="none" w:sz="0" w:space="0" w:color="auto"/>
              </w:divBdr>
            </w:div>
          </w:divsChild>
        </w:div>
        <w:div w:id="274404177">
          <w:marLeft w:val="0"/>
          <w:marRight w:val="0"/>
          <w:marTop w:val="0"/>
          <w:marBottom w:val="0"/>
          <w:divBdr>
            <w:top w:val="none" w:sz="0" w:space="0" w:color="auto"/>
            <w:left w:val="none" w:sz="0" w:space="0" w:color="auto"/>
            <w:bottom w:val="none" w:sz="0" w:space="0" w:color="auto"/>
            <w:right w:val="none" w:sz="0" w:space="0" w:color="auto"/>
          </w:divBdr>
          <w:divsChild>
            <w:div w:id="439572073">
              <w:marLeft w:val="0"/>
              <w:marRight w:val="0"/>
              <w:marTop w:val="0"/>
              <w:marBottom w:val="0"/>
              <w:divBdr>
                <w:top w:val="none" w:sz="0" w:space="0" w:color="auto"/>
                <w:left w:val="none" w:sz="0" w:space="0" w:color="auto"/>
                <w:bottom w:val="none" w:sz="0" w:space="0" w:color="auto"/>
                <w:right w:val="none" w:sz="0" w:space="0" w:color="auto"/>
              </w:divBdr>
            </w:div>
          </w:divsChild>
        </w:div>
        <w:div w:id="275525671">
          <w:marLeft w:val="0"/>
          <w:marRight w:val="0"/>
          <w:marTop w:val="0"/>
          <w:marBottom w:val="0"/>
          <w:divBdr>
            <w:top w:val="none" w:sz="0" w:space="0" w:color="auto"/>
            <w:left w:val="none" w:sz="0" w:space="0" w:color="auto"/>
            <w:bottom w:val="none" w:sz="0" w:space="0" w:color="auto"/>
            <w:right w:val="none" w:sz="0" w:space="0" w:color="auto"/>
          </w:divBdr>
          <w:divsChild>
            <w:div w:id="661004724">
              <w:marLeft w:val="0"/>
              <w:marRight w:val="0"/>
              <w:marTop w:val="0"/>
              <w:marBottom w:val="0"/>
              <w:divBdr>
                <w:top w:val="none" w:sz="0" w:space="0" w:color="auto"/>
                <w:left w:val="none" w:sz="0" w:space="0" w:color="auto"/>
                <w:bottom w:val="none" w:sz="0" w:space="0" w:color="auto"/>
                <w:right w:val="none" w:sz="0" w:space="0" w:color="auto"/>
              </w:divBdr>
            </w:div>
          </w:divsChild>
        </w:div>
        <w:div w:id="275911530">
          <w:marLeft w:val="0"/>
          <w:marRight w:val="0"/>
          <w:marTop w:val="0"/>
          <w:marBottom w:val="0"/>
          <w:divBdr>
            <w:top w:val="none" w:sz="0" w:space="0" w:color="auto"/>
            <w:left w:val="none" w:sz="0" w:space="0" w:color="auto"/>
            <w:bottom w:val="none" w:sz="0" w:space="0" w:color="auto"/>
            <w:right w:val="none" w:sz="0" w:space="0" w:color="auto"/>
          </w:divBdr>
          <w:divsChild>
            <w:div w:id="2114083176">
              <w:marLeft w:val="0"/>
              <w:marRight w:val="0"/>
              <w:marTop w:val="0"/>
              <w:marBottom w:val="0"/>
              <w:divBdr>
                <w:top w:val="none" w:sz="0" w:space="0" w:color="auto"/>
                <w:left w:val="none" w:sz="0" w:space="0" w:color="auto"/>
                <w:bottom w:val="none" w:sz="0" w:space="0" w:color="auto"/>
                <w:right w:val="none" w:sz="0" w:space="0" w:color="auto"/>
              </w:divBdr>
            </w:div>
          </w:divsChild>
        </w:div>
        <w:div w:id="285737454">
          <w:marLeft w:val="0"/>
          <w:marRight w:val="0"/>
          <w:marTop w:val="0"/>
          <w:marBottom w:val="0"/>
          <w:divBdr>
            <w:top w:val="none" w:sz="0" w:space="0" w:color="auto"/>
            <w:left w:val="none" w:sz="0" w:space="0" w:color="auto"/>
            <w:bottom w:val="none" w:sz="0" w:space="0" w:color="auto"/>
            <w:right w:val="none" w:sz="0" w:space="0" w:color="auto"/>
          </w:divBdr>
          <w:divsChild>
            <w:div w:id="547034908">
              <w:marLeft w:val="0"/>
              <w:marRight w:val="0"/>
              <w:marTop w:val="0"/>
              <w:marBottom w:val="0"/>
              <w:divBdr>
                <w:top w:val="none" w:sz="0" w:space="0" w:color="auto"/>
                <w:left w:val="none" w:sz="0" w:space="0" w:color="auto"/>
                <w:bottom w:val="none" w:sz="0" w:space="0" w:color="auto"/>
                <w:right w:val="none" w:sz="0" w:space="0" w:color="auto"/>
              </w:divBdr>
            </w:div>
          </w:divsChild>
        </w:div>
        <w:div w:id="289092380">
          <w:marLeft w:val="0"/>
          <w:marRight w:val="0"/>
          <w:marTop w:val="0"/>
          <w:marBottom w:val="0"/>
          <w:divBdr>
            <w:top w:val="none" w:sz="0" w:space="0" w:color="auto"/>
            <w:left w:val="none" w:sz="0" w:space="0" w:color="auto"/>
            <w:bottom w:val="none" w:sz="0" w:space="0" w:color="auto"/>
            <w:right w:val="none" w:sz="0" w:space="0" w:color="auto"/>
          </w:divBdr>
          <w:divsChild>
            <w:div w:id="1777940124">
              <w:marLeft w:val="0"/>
              <w:marRight w:val="0"/>
              <w:marTop w:val="0"/>
              <w:marBottom w:val="0"/>
              <w:divBdr>
                <w:top w:val="none" w:sz="0" w:space="0" w:color="auto"/>
                <w:left w:val="none" w:sz="0" w:space="0" w:color="auto"/>
                <w:bottom w:val="none" w:sz="0" w:space="0" w:color="auto"/>
                <w:right w:val="none" w:sz="0" w:space="0" w:color="auto"/>
              </w:divBdr>
            </w:div>
          </w:divsChild>
        </w:div>
        <w:div w:id="296955602">
          <w:marLeft w:val="0"/>
          <w:marRight w:val="0"/>
          <w:marTop w:val="0"/>
          <w:marBottom w:val="0"/>
          <w:divBdr>
            <w:top w:val="none" w:sz="0" w:space="0" w:color="auto"/>
            <w:left w:val="none" w:sz="0" w:space="0" w:color="auto"/>
            <w:bottom w:val="none" w:sz="0" w:space="0" w:color="auto"/>
            <w:right w:val="none" w:sz="0" w:space="0" w:color="auto"/>
          </w:divBdr>
          <w:divsChild>
            <w:div w:id="972255691">
              <w:marLeft w:val="0"/>
              <w:marRight w:val="0"/>
              <w:marTop w:val="0"/>
              <w:marBottom w:val="0"/>
              <w:divBdr>
                <w:top w:val="none" w:sz="0" w:space="0" w:color="auto"/>
                <w:left w:val="none" w:sz="0" w:space="0" w:color="auto"/>
                <w:bottom w:val="none" w:sz="0" w:space="0" w:color="auto"/>
                <w:right w:val="none" w:sz="0" w:space="0" w:color="auto"/>
              </w:divBdr>
            </w:div>
          </w:divsChild>
        </w:div>
        <w:div w:id="297299117">
          <w:marLeft w:val="0"/>
          <w:marRight w:val="0"/>
          <w:marTop w:val="0"/>
          <w:marBottom w:val="0"/>
          <w:divBdr>
            <w:top w:val="none" w:sz="0" w:space="0" w:color="auto"/>
            <w:left w:val="none" w:sz="0" w:space="0" w:color="auto"/>
            <w:bottom w:val="none" w:sz="0" w:space="0" w:color="auto"/>
            <w:right w:val="none" w:sz="0" w:space="0" w:color="auto"/>
          </w:divBdr>
          <w:divsChild>
            <w:div w:id="438526510">
              <w:marLeft w:val="0"/>
              <w:marRight w:val="0"/>
              <w:marTop w:val="0"/>
              <w:marBottom w:val="0"/>
              <w:divBdr>
                <w:top w:val="none" w:sz="0" w:space="0" w:color="auto"/>
                <w:left w:val="none" w:sz="0" w:space="0" w:color="auto"/>
                <w:bottom w:val="none" w:sz="0" w:space="0" w:color="auto"/>
                <w:right w:val="none" w:sz="0" w:space="0" w:color="auto"/>
              </w:divBdr>
            </w:div>
          </w:divsChild>
        </w:div>
        <w:div w:id="298075774">
          <w:marLeft w:val="0"/>
          <w:marRight w:val="0"/>
          <w:marTop w:val="0"/>
          <w:marBottom w:val="0"/>
          <w:divBdr>
            <w:top w:val="none" w:sz="0" w:space="0" w:color="auto"/>
            <w:left w:val="none" w:sz="0" w:space="0" w:color="auto"/>
            <w:bottom w:val="none" w:sz="0" w:space="0" w:color="auto"/>
            <w:right w:val="none" w:sz="0" w:space="0" w:color="auto"/>
          </w:divBdr>
          <w:divsChild>
            <w:div w:id="2107310304">
              <w:marLeft w:val="0"/>
              <w:marRight w:val="0"/>
              <w:marTop w:val="0"/>
              <w:marBottom w:val="0"/>
              <w:divBdr>
                <w:top w:val="none" w:sz="0" w:space="0" w:color="auto"/>
                <w:left w:val="none" w:sz="0" w:space="0" w:color="auto"/>
                <w:bottom w:val="none" w:sz="0" w:space="0" w:color="auto"/>
                <w:right w:val="none" w:sz="0" w:space="0" w:color="auto"/>
              </w:divBdr>
            </w:div>
          </w:divsChild>
        </w:div>
        <w:div w:id="298415005">
          <w:marLeft w:val="0"/>
          <w:marRight w:val="0"/>
          <w:marTop w:val="0"/>
          <w:marBottom w:val="0"/>
          <w:divBdr>
            <w:top w:val="none" w:sz="0" w:space="0" w:color="auto"/>
            <w:left w:val="none" w:sz="0" w:space="0" w:color="auto"/>
            <w:bottom w:val="none" w:sz="0" w:space="0" w:color="auto"/>
            <w:right w:val="none" w:sz="0" w:space="0" w:color="auto"/>
          </w:divBdr>
          <w:divsChild>
            <w:div w:id="1463310589">
              <w:marLeft w:val="0"/>
              <w:marRight w:val="0"/>
              <w:marTop w:val="0"/>
              <w:marBottom w:val="0"/>
              <w:divBdr>
                <w:top w:val="none" w:sz="0" w:space="0" w:color="auto"/>
                <w:left w:val="none" w:sz="0" w:space="0" w:color="auto"/>
                <w:bottom w:val="none" w:sz="0" w:space="0" w:color="auto"/>
                <w:right w:val="none" w:sz="0" w:space="0" w:color="auto"/>
              </w:divBdr>
            </w:div>
          </w:divsChild>
        </w:div>
        <w:div w:id="305009040">
          <w:marLeft w:val="0"/>
          <w:marRight w:val="0"/>
          <w:marTop w:val="0"/>
          <w:marBottom w:val="0"/>
          <w:divBdr>
            <w:top w:val="none" w:sz="0" w:space="0" w:color="auto"/>
            <w:left w:val="none" w:sz="0" w:space="0" w:color="auto"/>
            <w:bottom w:val="none" w:sz="0" w:space="0" w:color="auto"/>
            <w:right w:val="none" w:sz="0" w:space="0" w:color="auto"/>
          </w:divBdr>
          <w:divsChild>
            <w:div w:id="217013515">
              <w:marLeft w:val="0"/>
              <w:marRight w:val="0"/>
              <w:marTop w:val="0"/>
              <w:marBottom w:val="0"/>
              <w:divBdr>
                <w:top w:val="none" w:sz="0" w:space="0" w:color="auto"/>
                <w:left w:val="none" w:sz="0" w:space="0" w:color="auto"/>
                <w:bottom w:val="none" w:sz="0" w:space="0" w:color="auto"/>
                <w:right w:val="none" w:sz="0" w:space="0" w:color="auto"/>
              </w:divBdr>
            </w:div>
          </w:divsChild>
        </w:div>
        <w:div w:id="309481725">
          <w:marLeft w:val="0"/>
          <w:marRight w:val="0"/>
          <w:marTop w:val="0"/>
          <w:marBottom w:val="0"/>
          <w:divBdr>
            <w:top w:val="none" w:sz="0" w:space="0" w:color="auto"/>
            <w:left w:val="none" w:sz="0" w:space="0" w:color="auto"/>
            <w:bottom w:val="none" w:sz="0" w:space="0" w:color="auto"/>
            <w:right w:val="none" w:sz="0" w:space="0" w:color="auto"/>
          </w:divBdr>
          <w:divsChild>
            <w:div w:id="1645770234">
              <w:marLeft w:val="0"/>
              <w:marRight w:val="0"/>
              <w:marTop w:val="0"/>
              <w:marBottom w:val="0"/>
              <w:divBdr>
                <w:top w:val="none" w:sz="0" w:space="0" w:color="auto"/>
                <w:left w:val="none" w:sz="0" w:space="0" w:color="auto"/>
                <w:bottom w:val="none" w:sz="0" w:space="0" w:color="auto"/>
                <w:right w:val="none" w:sz="0" w:space="0" w:color="auto"/>
              </w:divBdr>
            </w:div>
          </w:divsChild>
        </w:div>
        <w:div w:id="310060464">
          <w:marLeft w:val="0"/>
          <w:marRight w:val="0"/>
          <w:marTop w:val="0"/>
          <w:marBottom w:val="0"/>
          <w:divBdr>
            <w:top w:val="none" w:sz="0" w:space="0" w:color="auto"/>
            <w:left w:val="none" w:sz="0" w:space="0" w:color="auto"/>
            <w:bottom w:val="none" w:sz="0" w:space="0" w:color="auto"/>
            <w:right w:val="none" w:sz="0" w:space="0" w:color="auto"/>
          </w:divBdr>
          <w:divsChild>
            <w:div w:id="530193741">
              <w:marLeft w:val="0"/>
              <w:marRight w:val="0"/>
              <w:marTop w:val="0"/>
              <w:marBottom w:val="0"/>
              <w:divBdr>
                <w:top w:val="none" w:sz="0" w:space="0" w:color="auto"/>
                <w:left w:val="none" w:sz="0" w:space="0" w:color="auto"/>
                <w:bottom w:val="none" w:sz="0" w:space="0" w:color="auto"/>
                <w:right w:val="none" w:sz="0" w:space="0" w:color="auto"/>
              </w:divBdr>
            </w:div>
          </w:divsChild>
        </w:div>
        <w:div w:id="310260197">
          <w:marLeft w:val="0"/>
          <w:marRight w:val="0"/>
          <w:marTop w:val="0"/>
          <w:marBottom w:val="0"/>
          <w:divBdr>
            <w:top w:val="none" w:sz="0" w:space="0" w:color="auto"/>
            <w:left w:val="none" w:sz="0" w:space="0" w:color="auto"/>
            <w:bottom w:val="none" w:sz="0" w:space="0" w:color="auto"/>
            <w:right w:val="none" w:sz="0" w:space="0" w:color="auto"/>
          </w:divBdr>
          <w:divsChild>
            <w:div w:id="1725333046">
              <w:marLeft w:val="0"/>
              <w:marRight w:val="0"/>
              <w:marTop w:val="0"/>
              <w:marBottom w:val="0"/>
              <w:divBdr>
                <w:top w:val="none" w:sz="0" w:space="0" w:color="auto"/>
                <w:left w:val="none" w:sz="0" w:space="0" w:color="auto"/>
                <w:bottom w:val="none" w:sz="0" w:space="0" w:color="auto"/>
                <w:right w:val="none" w:sz="0" w:space="0" w:color="auto"/>
              </w:divBdr>
            </w:div>
          </w:divsChild>
        </w:div>
        <w:div w:id="310863445">
          <w:marLeft w:val="0"/>
          <w:marRight w:val="0"/>
          <w:marTop w:val="0"/>
          <w:marBottom w:val="0"/>
          <w:divBdr>
            <w:top w:val="none" w:sz="0" w:space="0" w:color="auto"/>
            <w:left w:val="none" w:sz="0" w:space="0" w:color="auto"/>
            <w:bottom w:val="none" w:sz="0" w:space="0" w:color="auto"/>
            <w:right w:val="none" w:sz="0" w:space="0" w:color="auto"/>
          </w:divBdr>
          <w:divsChild>
            <w:div w:id="764768234">
              <w:marLeft w:val="0"/>
              <w:marRight w:val="0"/>
              <w:marTop w:val="0"/>
              <w:marBottom w:val="0"/>
              <w:divBdr>
                <w:top w:val="none" w:sz="0" w:space="0" w:color="auto"/>
                <w:left w:val="none" w:sz="0" w:space="0" w:color="auto"/>
                <w:bottom w:val="none" w:sz="0" w:space="0" w:color="auto"/>
                <w:right w:val="none" w:sz="0" w:space="0" w:color="auto"/>
              </w:divBdr>
            </w:div>
          </w:divsChild>
        </w:div>
        <w:div w:id="312178068">
          <w:marLeft w:val="0"/>
          <w:marRight w:val="0"/>
          <w:marTop w:val="0"/>
          <w:marBottom w:val="0"/>
          <w:divBdr>
            <w:top w:val="none" w:sz="0" w:space="0" w:color="auto"/>
            <w:left w:val="none" w:sz="0" w:space="0" w:color="auto"/>
            <w:bottom w:val="none" w:sz="0" w:space="0" w:color="auto"/>
            <w:right w:val="none" w:sz="0" w:space="0" w:color="auto"/>
          </w:divBdr>
          <w:divsChild>
            <w:div w:id="1254894152">
              <w:marLeft w:val="0"/>
              <w:marRight w:val="0"/>
              <w:marTop w:val="0"/>
              <w:marBottom w:val="0"/>
              <w:divBdr>
                <w:top w:val="none" w:sz="0" w:space="0" w:color="auto"/>
                <w:left w:val="none" w:sz="0" w:space="0" w:color="auto"/>
                <w:bottom w:val="none" w:sz="0" w:space="0" w:color="auto"/>
                <w:right w:val="none" w:sz="0" w:space="0" w:color="auto"/>
              </w:divBdr>
            </w:div>
          </w:divsChild>
        </w:div>
        <w:div w:id="315452024">
          <w:marLeft w:val="0"/>
          <w:marRight w:val="0"/>
          <w:marTop w:val="0"/>
          <w:marBottom w:val="0"/>
          <w:divBdr>
            <w:top w:val="none" w:sz="0" w:space="0" w:color="auto"/>
            <w:left w:val="none" w:sz="0" w:space="0" w:color="auto"/>
            <w:bottom w:val="none" w:sz="0" w:space="0" w:color="auto"/>
            <w:right w:val="none" w:sz="0" w:space="0" w:color="auto"/>
          </w:divBdr>
          <w:divsChild>
            <w:div w:id="1610816111">
              <w:marLeft w:val="0"/>
              <w:marRight w:val="0"/>
              <w:marTop w:val="0"/>
              <w:marBottom w:val="0"/>
              <w:divBdr>
                <w:top w:val="none" w:sz="0" w:space="0" w:color="auto"/>
                <w:left w:val="none" w:sz="0" w:space="0" w:color="auto"/>
                <w:bottom w:val="none" w:sz="0" w:space="0" w:color="auto"/>
                <w:right w:val="none" w:sz="0" w:space="0" w:color="auto"/>
              </w:divBdr>
            </w:div>
          </w:divsChild>
        </w:div>
        <w:div w:id="318965393">
          <w:marLeft w:val="0"/>
          <w:marRight w:val="0"/>
          <w:marTop w:val="0"/>
          <w:marBottom w:val="0"/>
          <w:divBdr>
            <w:top w:val="none" w:sz="0" w:space="0" w:color="auto"/>
            <w:left w:val="none" w:sz="0" w:space="0" w:color="auto"/>
            <w:bottom w:val="none" w:sz="0" w:space="0" w:color="auto"/>
            <w:right w:val="none" w:sz="0" w:space="0" w:color="auto"/>
          </w:divBdr>
          <w:divsChild>
            <w:div w:id="776371166">
              <w:marLeft w:val="0"/>
              <w:marRight w:val="0"/>
              <w:marTop w:val="0"/>
              <w:marBottom w:val="0"/>
              <w:divBdr>
                <w:top w:val="none" w:sz="0" w:space="0" w:color="auto"/>
                <w:left w:val="none" w:sz="0" w:space="0" w:color="auto"/>
                <w:bottom w:val="none" w:sz="0" w:space="0" w:color="auto"/>
                <w:right w:val="none" w:sz="0" w:space="0" w:color="auto"/>
              </w:divBdr>
            </w:div>
          </w:divsChild>
        </w:div>
        <w:div w:id="319114167">
          <w:marLeft w:val="0"/>
          <w:marRight w:val="0"/>
          <w:marTop w:val="0"/>
          <w:marBottom w:val="0"/>
          <w:divBdr>
            <w:top w:val="none" w:sz="0" w:space="0" w:color="auto"/>
            <w:left w:val="none" w:sz="0" w:space="0" w:color="auto"/>
            <w:bottom w:val="none" w:sz="0" w:space="0" w:color="auto"/>
            <w:right w:val="none" w:sz="0" w:space="0" w:color="auto"/>
          </w:divBdr>
          <w:divsChild>
            <w:div w:id="96291892">
              <w:marLeft w:val="0"/>
              <w:marRight w:val="0"/>
              <w:marTop w:val="0"/>
              <w:marBottom w:val="0"/>
              <w:divBdr>
                <w:top w:val="none" w:sz="0" w:space="0" w:color="auto"/>
                <w:left w:val="none" w:sz="0" w:space="0" w:color="auto"/>
                <w:bottom w:val="none" w:sz="0" w:space="0" w:color="auto"/>
                <w:right w:val="none" w:sz="0" w:space="0" w:color="auto"/>
              </w:divBdr>
            </w:div>
          </w:divsChild>
        </w:div>
        <w:div w:id="321130607">
          <w:marLeft w:val="0"/>
          <w:marRight w:val="0"/>
          <w:marTop w:val="0"/>
          <w:marBottom w:val="0"/>
          <w:divBdr>
            <w:top w:val="none" w:sz="0" w:space="0" w:color="auto"/>
            <w:left w:val="none" w:sz="0" w:space="0" w:color="auto"/>
            <w:bottom w:val="none" w:sz="0" w:space="0" w:color="auto"/>
            <w:right w:val="none" w:sz="0" w:space="0" w:color="auto"/>
          </w:divBdr>
          <w:divsChild>
            <w:div w:id="1672176354">
              <w:marLeft w:val="0"/>
              <w:marRight w:val="0"/>
              <w:marTop w:val="0"/>
              <w:marBottom w:val="0"/>
              <w:divBdr>
                <w:top w:val="none" w:sz="0" w:space="0" w:color="auto"/>
                <w:left w:val="none" w:sz="0" w:space="0" w:color="auto"/>
                <w:bottom w:val="none" w:sz="0" w:space="0" w:color="auto"/>
                <w:right w:val="none" w:sz="0" w:space="0" w:color="auto"/>
              </w:divBdr>
            </w:div>
          </w:divsChild>
        </w:div>
        <w:div w:id="322392717">
          <w:marLeft w:val="0"/>
          <w:marRight w:val="0"/>
          <w:marTop w:val="0"/>
          <w:marBottom w:val="0"/>
          <w:divBdr>
            <w:top w:val="none" w:sz="0" w:space="0" w:color="auto"/>
            <w:left w:val="none" w:sz="0" w:space="0" w:color="auto"/>
            <w:bottom w:val="none" w:sz="0" w:space="0" w:color="auto"/>
            <w:right w:val="none" w:sz="0" w:space="0" w:color="auto"/>
          </w:divBdr>
          <w:divsChild>
            <w:div w:id="1105929966">
              <w:marLeft w:val="0"/>
              <w:marRight w:val="0"/>
              <w:marTop w:val="0"/>
              <w:marBottom w:val="0"/>
              <w:divBdr>
                <w:top w:val="none" w:sz="0" w:space="0" w:color="auto"/>
                <w:left w:val="none" w:sz="0" w:space="0" w:color="auto"/>
                <w:bottom w:val="none" w:sz="0" w:space="0" w:color="auto"/>
                <w:right w:val="none" w:sz="0" w:space="0" w:color="auto"/>
              </w:divBdr>
            </w:div>
          </w:divsChild>
        </w:div>
        <w:div w:id="322592454">
          <w:marLeft w:val="0"/>
          <w:marRight w:val="0"/>
          <w:marTop w:val="0"/>
          <w:marBottom w:val="0"/>
          <w:divBdr>
            <w:top w:val="none" w:sz="0" w:space="0" w:color="auto"/>
            <w:left w:val="none" w:sz="0" w:space="0" w:color="auto"/>
            <w:bottom w:val="none" w:sz="0" w:space="0" w:color="auto"/>
            <w:right w:val="none" w:sz="0" w:space="0" w:color="auto"/>
          </w:divBdr>
          <w:divsChild>
            <w:div w:id="1837307766">
              <w:marLeft w:val="0"/>
              <w:marRight w:val="0"/>
              <w:marTop w:val="0"/>
              <w:marBottom w:val="0"/>
              <w:divBdr>
                <w:top w:val="none" w:sz="0" w:space="0" w:color="auto"/>
                <w:left w:val="none" w:sz="0" w:space="0" w:color="auto"/>
                <w:bottom w:val="none" w:sz="0" w:space="0" w:color="auto"/>
                <w:right w:val="none" w:sz="0" w:space="0" w:color="auto"/>
              </w:divBdr>
            </w:div>
          </w:divsChild>
        </w:div>
        <w:div w:id="326448500">
          <w:marLeft w:val="0"/>
          <w:marRight w:val="0"/>
          <w:marTop w:val="0"/>
          <w:marBottom w:val="0"/>
          <w:divBdr>
            <w:top w:val="none" w:sz="0" w:space="0" w:color="auto"/>
            <w:left w:val="none" w:sz="0" w:space="0" w:color="auto"/>
            <w:bottom w:val="none" w:sz="0" w:space="0" w:color="auto"/>
            <w:right w:val="none" w:sz="0" w:space="0" w:color="auto"/>
          </w:divBdr>
          <w:divsChild>
            <w:div w:id="723873493">
              <w:marLeft w:val="0"/>
              <w:marRight w:val="0"/>
              <w:marTop w:val="0"/>
              <w:marBottom w:val="0"/>
              <w:divBdr>
                <w:top w:val="none" w:sz="0" w:space="0" w:color="auto"/>
                <w:left w:val="none" w:sz="0" w:space="0" w:color="auto"/>
                <w:bottom w:val="none" w:sz="0" w:space="0" w:color="auto"/>
                <w:right w:val="none" w:sz="0" w:space="0" w:color="auto"/>
              </w:divBdr>
            </w:div>
          </w:divsChild>
        </w:div>
        <w:div w:id="326592264">
          <w:marLeft w:val="0"/>
          <w:marRight w:val="0"/>
          <w:marTop w:val="0"/>
          <w:marBottom w:val="0"/>
          <w:divBdr>
            <w:top w:val="none" w:sz="0" w:space="0" w:color="auto"/>
            <w:left w:val="none" w:sz="0" w:space="0" w:color="auto"/>
            <w:bottom w:val="none" w:sz="0" w:space="0" w:color="auto"/>
            <w:right w:val="none" w:sz="0" w:space="0" w:color="auto"/>
          </w:divBdr>
          <w:divsChild>
            <w:div w:id="1325740439">
              <w:marLeft w:val="0"/>
              <w:marRight w:val="0"/>
              <w:marTop w:val="0"/>
              <w:marBottom w:val="0"/>
              <w:divBdr>
                <w:top w:val="none" w:sz="0" w:space="0" w:color="auto"/>
                <w:left w:val="none" w:sz="0" w:space="0" w:color="auto"/>
                <w:bottom w:val="none" w:sz="0" w:space="0" w:color="auto"/>
                <w:right w:val="none" w:sz="0" w:space="0" w:color="auto"/>
              </w:divBdr>
            </w:div>
          </w:divsChild>
        </w:div>
        <w:div w:id="330184422">
          <w:marLeft w:val="0"/>
          <w:marRight w:val="0"/>
          <w:marTop w:val="0"/>
          <w:marBottom w:val="0"/>
          <w:divBdr>
            <w:top w:val="none" w:sz="0" w:space="0" w:color="auto"/>
            <w:left w:val="none" w:sz="0" w:space="0" w:color="auto"/>
            <w:bottom w:val="none" w:sz="0" w:space="0" w:color="auto"/>
            <w:right w:val="none" w:sz="0" w:space="0" w:color="auto"/>
          </w:divBdr>
          <w:divsChild>
            <w:div w:id="1044792639">
              <w:marLeft w:val="0"/>
              <w:marRight w:val="0"/>
              <w:marTop w:val="0"/>
              <w:marBottom w:val="0"/>
              <w:divBdr>
                <w:top w:val="none" w:sz="0" w:space="0" w:color="auto"/>
                <w:left w:val="none" w:sz="0" w:space="0" w:color="auto"/>
                <w:bottom w:val="none" w:sz="0" w:space="0" w:color="auto"/>
                <w:right w:val="none" w:sz="0" w:space="0" w:color="auto"/>
              </w:divBdr>
            </w:div>
          </w:divsChild>
        </w:div>
        <w:div w:id="330256614">
          <w:marLeft w:val="0"/>
          <w:marRight w:val="0"/>
          <w:marTop w:val="0"/>
          <w:marBottom w:val="0"/>
          <w:divBdr>
            <w:top w:val="none" w:sz="0" w:space="0" w:color="auto"/>
            <w:left w:val="none" w:sz="0" w:space="0" w:color="auto"/>
            <w:bottom w:val="none" w:sz="0" w:space="0" w:color="auto"/>
            <w:right w:val="none" w:sz="0" w:space="0" w:color="auto"/>
          </w:divBdr>
          <w:divsChild>
            <w:div w:id="510335182">
              <w:marLeft w:val="0"/>
              <w:marRight w:val="0"/>
              <w:marTop w:val="0"/>
              <w:marBottom w:val="0"/>
              <w:divBdr>
                <w:top w:val="none" w:sz="0" w:space="0" w:color="auto"/>
                <w:left w:val="none" w:sz="0" w:space="0" w:color="auto"/>
                <w:bottom w:val="none" w:sz="0" w:space="0" w:color="auto"/>
                <w:right w:val="none" w:sz="0" w:space="0" w:color="auto"/>
              </w:divBdr>
            </w:div>
          </w:divsChild>
        </w:div>
        <w:div w:id="334571022">
          <w:marLeft w:val="0"/>
          <w:marRight w:val="0"/>
          <w:marTop w:val="0"/>
          <w:marBottom w:val="0"/>
          <w:divBdr>
            <w:top w:val="none" w:sz="0" w:space="0" w:color="auto"/>
            <w:left w:val="none" w:sz="0" w:space="0" w:color="auto"/>
            <w:bottom w:val="none" w:sz="0" w:space="0" w:color="auto"/>
            <w:right w:val="none" w:sz="0" w:space="0" w:color="auto"/>
          </w:divBdr>
          <w:divsChild>
            <w:div w:id="2138915521">
              <w:marLeft w:val="0"/>
              <w:marRight w:val="0"/>
              <w:marTop w:val="0"/>
              <w:marBottom w:val="0"/>
              <w:divBdr>
                <w:top w:val="none" w:sz="0" w:space="0" w:color="auto"/>
                <w:left w:val="none" w:sz="0" w:space="0" w:color="auto"/>
                <w:bottom w:val="none" w:sz="0" w:space="0" w:color="auto"/>
                <w:right w:val="none" w:sz="0" w:space="0" w:color="auto"/>
              </w:divBdr>
            </w:div>
          </w:divsChild>
        </w:div>
        <w:div w:id="339426730">
          <w:marLeft w:val="0"/>
          <w:marRight w:val="0"/>
          <w:marTop w:val="0"/>
          <w:marBottom w:val="0"/>
          <w:divBdr>
            <w:top w:val="none" w:sz="0" w:space="0" w:color="auto"/>
            <w:left w:val="none" w:sz="0" w:space="0" w:color="auto"/>
            <w:bottom w:val="none" w:sz="0" w:space="0" w:color="auto"/>
            <w:right w:val="none" w:sz="0" w:space="0" w:color="auto"/>
          </w:divBdr>
          <w:divsChild>
            <w:div w:id="1382754207">
              <w:marLeft w:val="0"/>
              <w:marRight w:val="0"/>
              <w:marTop w:val="0"/>
              <w:marBottom w:val="0"/>
              <w:divBdr>
                <w:top w:val="none" w:sz="0" w:space="0" w:color="auto"/>
                <w:left w:val="none" w:sz="0" w:space="0" w:color="auto"/>
                <w:bottom w:val="none" w:sz="0" w:space="0" w:color="auto"/>
                <w:right w:val="none" w:sz="0" w:space="0" w:color="auto"/>
              </w:divBdr>
            </w:div>
          </w:divsChild>
        </w:div>
        <w:div w:id="341015016">
          <w:marLeft w:val="0"/>
          <w:marRight w:val="0"/>
          <w:marTop w:val="0"/>
          <w:marBottom w:val="0"/>
          <w:divBdr>
            <w:top w:val="none" w:sz="0" w:space="0" w:color="auto"/>
            <w:left w:val="none" w:sz="0" w:space="0" w:color="auto"/>
            <w:bottom w:val="none" w:sz="0" w:space="0" w:color="auto"/>
            <w:right w:val="none" w:sz="0" w:space="0" w:color="auto"/>
          </w:divBdr>
          <w:divsChild>
            <w:div w:id="484587975">
              <w:marLeft w:val="0"/>
              <w:marRight w:val="0"/>
              <w:marTop w:val="0"/>
              <w:marBottom w:val="0"/>
              <w:divBdr>
                <w:top w:val="none" w:sz="0" w:space="0" w:color="auto"/>
                <w:left w:val="none" w:sz="0" w:space="0" w:color="auto"/>
                <w:bottom w:val="none" w:sz="0" w:space="0" w:color="auto"/>
                <w:right w:val="none" w:sz="0" w:space="0" w:color="auto"/>
              </w:divBdr>
            </w:div>
          </w:divsChild>
        </w:div>
        <w:div w:id="343360262">
          <w:marLeft w:val="0"/>
          <w:marRight w:val="0"/>
          <w:marTop w:val="0"/>
          <w:marBottom w:val="0"/>
          <w:divBdr>
            <w:top w:val="none" w:sz="0" w:space="0" w:color="auto"/>
            <w:left w:val="none" w:sz="0" w:space="0" w:color="auto"/>
            <w:bottom w:val="none" w:sz="0" w:space="0" w:color="auto"/>
            <w:right w:val="none" w:sz="0" w:space="0" w:color="auto"/>
          </w:divBdr>
          <w:divsChild>
            <w:div w:id="930118658">
              <w:marLeft w:val="0"/>
              <w:marRight w:val="0"/>
              <w:marTop w:val="0"/>
              <w:marBottom w:val="0"/>
              <w:divBdr>
                <w:top w:val="none" w:sz="0" w:space="0" w:color="auto"/>
                <w:left w:val="none" w:sz="0" w:space="0" w:color="auto"/>
                <w:bottom w:val="none" w:sz="0" w:space="0" w:color="auto"/>
                <w:right w:val="none" w:sz="0" w:space="0" w:color="auto"/>
              </w:divBdr>
            </w:div>
          </w:divsChild>
        </w:div>
        <w:div w:id="343635193">
          <w:marLeft w:val="0"/>
          <w:marRight w:val="0"/>
          <w:marTop w:val="0"/>
          <w:marBottom w:val="0"/>
          <w:divBdr>
            <w:top w:val="none" w:sz="0" w:space="0" w:color="auto"/>
            <w:left w:val="none" w:sz="0" w:space="0" w:color="auto"/>
            <w:bottom w:val="none" w:sz="0" w:space="0" w:color="auto"/>
            <w:right w:val="none" w:sz="0" w:space="0" w:color="auto"/>
          </w:divBdr>
          <w:divsChild>
            <w:div w:id="222789114">
              <w:marLeft w:val="0"/>
              <w:marRight w:val="0"/>
              <w:marTop w:val="0"/>
              <w:marBottom w:val="0"/>
              <w:divBdr>
                <w:top w:val="none" w:sz="0" w:space="0" w:color="auto"/>
                <w:left w:val="none" w:sz="0" w:space="0" w:color="auto"/>
                <w:bottom w:val="none" w:sz="0" w:space="0" w:color="auto"/>
                <w:right w:val="none" w:sz="0" w:space="0" w:color="auto"/>
              </w:divBdr>
            </w:div>
          </w:divsChild>
        </w:div>
        <w:div w:id="349915222">
          <w:marLeft w:val="0"/>
          <w:marRight w:val="0"/>
          <w:marTop w:val="0"/>
          <w:marBottom w:val="0"/>
          <w:divBdr>
            <w:top w:val="none" w:sz="0" w:space="0" w:color="auto"/>
            <w:left w:val="none" w:sz="0" w:space="0" w:color="auto"/>
            <w:bottom w:val="none" w:sz="0" w:space="0" w:color="auto"/>
            <w:right w:val="none" w:sz="0" w:space="0" w:color="auto"/>
          </w:divBdr>
          <w:divsChild>
            <w:div w:id="959532238">
              <w:marLeft w:val="0"/>
              <w:marRight w:val="0"/>
              <w:marTop w:val="0"/>
              <w:marBottom w:val="0"/>
              <w:divBdr>
                <w:top w:val="none" w:sz="0" w:space="0" w:color="auto"/>
                <w:left w:val="none" w:sz="0" w:space="0" w:color="auto"/>
                <w:bottom w:val="none" w:sz="0" w:space="0" w:color="auto"/>
                <w:right w:val="none" w:sz="0" w:space="0" w:color="auto"/>
              </w:divBdr>
            </w:div>
          </w:divsChild>
        </w:div>
        <w:div w:id="352926002">
          <w:marLeft w:val="0"/>
          <w:marRight w:val="0"/>
          <w:marTop w:val="0"/>
          <w:marBottom w:val="0"/>
          <w:divBdr>
            <w:top w:val="none" w:sz="0" w:space="0" w:color="auto"/>
            <w:left w:val="none" w:sz="0" w:space="0" w:color="auto"/>
            <w:bottom w:val="none" w:sz="0" w:space="0" w:color="auto"/>
            <w:right w:val="none" w:sz="0" w:space="0" w:color="auto"/>
          </w:divBdr>
          <w:divsChild>
            <w:div w:id="1271426406">
              <w:marLeft w:val="0"/>
              <w:marRight w:val="0"/>
              <w:marTop w:val="0"/>
              <w:marBottom w:val="0"/>
              <w:divBdr>
                <w:top w:val="none" w:sz="0" w:space="0" w:color="auto"/>
                <w:left w:val="none" w:sz="0" w:space="0" w:color="auto"/>
                <w:bottom w:val="none" w:sz="0" w:space="0" w:color="auto"/>
                <w:right w:val="none" w:sz="0" w:space="0" w:color="auto"/>
              </w:divBdr>
            </w:div>
          </w:divsChild>
        </w:div>
        <w:div w:id="358631194">
          <w:marLeft w:val="0"/>
          <w:marRight w:val="0"/>
          <w:marTop w:val="0"/>
          <w:marBottom w:val="0"/>
          <w:divBdr>
            <w:top w:val="none" w:sz="0" w:space="0" w:color="auto"/>
            <w:left w:val="none" w:sz="0" w:space="0" w:color="auto"/>
            <w:bottom w:val="none" w:sz="0" w:space="0" w:color="auto"/>
            <w:right w:val="none" w:sz="0" w:space="0" w:color="auto"/>
          </w:divBdr>
          <w:divsChild>
            <w:div w:id="39331847">
              <w:marLeft w:val="0"/>
              <w:marRight w:val="0"/>
              <w:marTop w:val="0"/>
              <w:marBottom w:val="0"/>
              <w:divBdr>
                <w:top w:val="none" w:sz="0" w:space="0" w:color="auto"/>
                <w:left w:val="none" w:sz="0" w:space="0" w:color="auto"/>
                <w:bottom w:val="none" w:sz="0" w:space="0" w:color="auto"/>
                <w:right w:val="none" w:sz="0" w:space="0" w:color="auto"/>
              </w:divBdr>
            </w:div>
          </w:divsChild>
        </w:div>
        <w:div w:id="361638759">
          <w:marLeft w:val="0"/>
          <w:marRight w:val="0"/>
          <w:marTop w:val="0"/>
          <w:marBottom w:val="0"/>
          <w:divBdr>
            <w:top w:val="none" w:sz="0" w:space="0" w:color="auto"/>
            <w:left w:val="none" w:sz="0" w:space="0" w:color="auto"/>
            <w:bottom w:val="none" w:sz="0" w:space="0" w:color="auto"/>
            <w:right w:val="none" w:sz="0" w:space="0" w:color="auto"/>
          </w:divBdr>
          <w:divsChild>
            <w:div w:id="358823113">
              <w:marLeft w:val="0"/>
              <w:marRight w:val="0"/>
              <w:marTop w:val="0"/>
              <w:marBottom w:val="0"/>
              <w:divBdr>
                <w:top w:val="none" w:sz="0" w:space="0" w:color="auto"/>
                <w:left w:val="none" w:sz="0" w:space="0" w:color="auto"/>
                <w:bottom w:val="none" w:sz="0" w:space="0" w:color="auto"/>
                <w:right w:val="none" w:sz="0" w:space="0" w:color="auto"/>
              </w:divBdr>
            </w:div>
          </w:divsChild>
        </w:div>
        <w:div w:id="361711581">
          <w:marLeft w:val="0"/>
          <w:marRight w:val="0"/>
          <w:marTop w:val="0"/>
          <w:marBottom w:val="0"/>
          <w:divBdr>
            <w:top w:val="none" w:sz="0" w:space="0" w:color="auto"/>
            <w:left w:val="none" w:sz="0" w:space="0" w:color="auto"/>
            <w:bottom w:val="none" w:sz="0" w:space="0" w:color="auto"/>
            <w:right w:val="none" w:sz="0" w:space="0" w:color="auto"/>
          </w:divBdr>
          <w:divsChild>
            <w:div w:id="1951039237">
              <w:marLeft w:val="0"/>
              <w:marRight w:val="0"/>
              <w:marTop w:val="0"/>
              <w:marBottom w:val="0"/>
              <w:divBdr>
                <w:top w:val="none" w:sz="0" w:space="0" w:color="auto"/>
                <w:left w:val="none" w:sz="0" w:space="0" w:color="auto"/>
                <w:bottom w:val="none" w:sz="0" w:space="0" w:color="auto"/>
                <w:right w:val="none" w:sz="0" w:space="0" w:color="auto"/>
              </w:divBdr>
            </w:div>
          </w:divsChild>
        </w:div>
        <w:div w:id="362099627">
          <w:marLeft w:val="0"/>
          <w:marRight w:val="0"/>
          <w:marTop w:val="0"/>
          <w:marBottom w:val="0"/>
          <w:divBdr>
            <w:top w:val="none" w:sz="0" w:space="0" w:color="auto"/>
            <w:left w:val="none" w:sz="0" w:space="0" w:color="auto"/>
            <w:bottom w:val="none" w:sz="0" w:space="0" w:color="auto"/>
            <w:right w:val="none" w:sz="0" w:space="0" w:color="auto"/>
          </w:divBdr>
          <w:divsChild>
            <w:div w:id="2064521615">
              <w:marLeft w:val="0"/>
              <w:marRight w:val="0"/>
              <w:marTop w:val="0"/>
              <w:marBottom w:val="0"/>
              <w:divBdr>
                <w:top w:val="none" w:sz="0" w:space="0" w:color="auto"/>
                <w:left w:val="none" w:sz="0" w:space="0" w:color="auto"/>
                <w:bottom w:val="none" w:sz="0" w:space="0" w:color="auto"/>
                <w:right w:val="none" w:sz="0" w:space="0" w:color="auto"/>
              </w:divBdr>
            </w:div>
          </w:divsChild>
        </w:div>
        <w:div w:id="367991942">
          <w:marLeft w:val="0"/>
          <w:marRight w:val="0"/>
          <w:marTop w:val="0"/>
          <w:marBottom w:val="0"/>
          <w:divBdr>
            <w:top w:val="none" w:sz="0" w:space="0" w:color="auto"/>
            <w:left w:val="none" w:sz="0" w:space="0" w:color="auto"/>
            <w:bottom w:val="none" w:sz="0" w:space="0" w:color="auto"/>
            <w:right w:val="none" w:sz="0" w:space="0" w:color="auto"/>
          </w:divBdr>
          <w:divsChild>
            <w:div w:id="407922435">
              <w:marLeft w:val="0"/>
              <w:marRight w:val="0"/>
              <w:marTop w:val="0"/>
              <w:marBottom w:val="0"/>
              <w:divBdr>
                <w:top w:val="none" w:sz="0" w:space="0" w:color="auto"/>
                <w:left w:val="none" w:sz="0" w:space="0" w:color="auto"/>
                <w:bottom w:val="none" w:sz="0" w:space="0" w:color="auto"/>
                <w:right w:val="none" w:sz="0" w:space="0" w:color="auto"/>
              </w:divBdr>
            </w:div>
          </w:divsChild>
        </w:div>
        <w:div w:id="375199708">
          <w:marLeft w:val="0"/>
          <w:marRight w:val="0"/>
          <w:marTop w:val="0"/>
          <w:marBottom w:val="0"/>
          <w:divBdr>
            <w:top w:val="none" w:sz="0" w:space="0" w:color="auto"/>
            <w:left w:val="none" w:sz="0" w:space="0" w:color="auto"/>
            <w:bottom w:val="none" w:sz="0" w:space="0" w:color="auto"/>
            <w:right w:val="none" w:sz="0" w:space="0" w:color="auto"/>
          </w:divBdr>
          <w:divsChild>
            <w:div w:id="1633553766">
              <w:marLeft w:val="0"/>
              <w:marRight w:val="0"/>
              <w:marTop w:val="0"/>
              <w:marBottom w:val="0"/>
              <w:divBdr>
                <w:top w:val="none" w:sz="0" w:space="0" w:color="auto"/>
                <w:left w:val="none" w:sz="0" w:space="0" w:color="auto"/>
                <w:bottom w:val="none" w:sz="0" w:space="0" w:color="auto"/>
                <w:right w:val="none" w:sz="0" w:space="0" w:color="auto"/>
              </w:divBdr>
            </w:div>
          </w:divsChild>
        </w:div>
        <w:div w:id="377823465">
          <w:marLeft w:val="0"/>
          <w:marRight w:val="0"/>
          <w:marTop w:val="0"/>
          <w:marBottom w:val="0"/>
          <w:divBdr>
            <w:top w:val="none" w:sz="0" w:space="0" w:color="auto"/>
            <w:left w:val="none" w:sz="0" w:space="0" w:color="auto"/>
            <w:bottom w:val="none" w:sz="0" w:space="0" w:color="auto"/>
            <w:right w:val="none" w:sz="0" w:space="0" w:color="auto"/>
          </w:divBdr>
          <w:divsChild>
            <w:div w:id="1401099126">
              <w:marLeft w:val="0"/>
              <w:marRight w:val="0"/>
              <w:marTop w:val="0"/>
              <w:marBottom w:val="0"/>
              <w:divBdr>
                <w:top w:val="none" w:sz="0" w:space="0" w:color="auto"/>
                <w:left w:val="none" w:sz="0" w:space="0" w:color="auto"/>
                <w:bottom w:val="none" w:sz="0" w:space="0" w:color="auto"/>
                <w:right w:val="none" w:sz="0" w:space="0" w:color="auto"/>
              </w:divBdr>
            </w:div>
          </w:divsChild>
        </w:div>
        <w:div w:id="380062093">
          <w:marLeft w:val="0"/>
          <w:marRight w:val="0"/>
          <w:marTop w:val="0"/>
          <w:marBottom w:val="0"/>
          <w:divBdr>
            <w:top w:val="none" w:sz="0" w:space="0" w:color="auto"/>
            <w:left w:val="none" w:sz="0" w:space="0" w:color="auto"/>
            <w:bottom w:val="none" w:sz="0" w:space="0" w:color="auto"/>
            <w:right w:val="none" w:sz="0" w:space="0" w:color="auto"/>
          </w:divBdr>
          <w:divsChild>
            <w:div w:id="910701589">
              <w:marLeft w:val="0"/>
              <w:marRight w:val="0"/>
              <w:marTop w:val="0"/>
              <w:marBottom w:val="0"/>
              <w:divBdr>
                <w:top w:val="none" w:sz="0" w:space="0" w:color="auto"/>
                <w:left w:val="none" w:sz="0" w:space="0" w:color="auto"/>
                <w:bottom w:val="none" w:sz="0" w:space="0" w:color="auto"/>
                <w:right w:val="none" w:sz="0" w:space="0" w:color="auto"/>
              </w:divBdr>
            </w:div>
          </w:divsChild>
        </w:div>
        <w:div w:id="380909141">
          <w:marLeft w:val="0"/>
          <w:marRight w:val="0"/>
          <w:marTop w:val="0"/>
          <w:marBottom w:val="0"/>
          <w:divBdr>
            <w:top w:val="none" w:sz="0" w:space="0" w:color="auto"/>
            <w:left w:val="none" w:sz="0" w:space="0" w:color="auto"/>
            <w:bottom w:val="none" w:sz="0" w:space="0" w:color="auto"/>
            <w:right w:val="none" w:sz="0" w:space="0" w:color="auto"/>
          </w:divBdr>
          <w:divsChild>
            <w:div w:id="666254421">
              <w:marLeft w:val="0"/>
              <w:marRight w:val="0"/>
              <w:marTop w:val="0"/>
              <w:marBottom w:val="0"/>
              <w:divBdr>
                <w:top w:val="none" w:sz="0" w:space="0" w:color="auto"/>
                <w:left w:val="none" w:sz="0" w:space="0" w:color="auto"/>
                <w:bottom w:val="none" w:sz="0" w:space="0" w:color="auto"/>
                <w:right w:val="none" w:sz="0" w:space="0" w:color="auto"/>
              </w:divBdr>
            </w:div>
          </w:divsChild>
        </w:div>
        <w:div w:id="383336849">
          <w:marLeft w:val="0"/>
          <w:marRight w:val="0"/>
          <w:marTop w:val="0"/>
          <w:marBottom w:val="0"/>
          <w:divBdr>
            <w:top w:val="none" w:sz="0" w:space="0" w:color="auto"/>
            <w:left w:val="none" w:sz="0" w:space="0" w:color="auto"/>
            <w:bottom w:val="none" w:sz="0" w:space="0" w:color="auto"/>
            <w:right w:val="none" w:sz="0" w:space="0" w:color="auto"/>
          </w:divBdr>
          <w:divsChild>
            <w:div w:id="1236549186">
              <w:marLeft w:val="0"/>
              <w:marRight w:val="0"/>
              <w:marTop w:val="0"/>
              <w:marBottom w:val="0"/>
              <w:divBdr>
                <w:top w:val="none" w:sz="0" w:space="0" w:color="auto"/>
                <w:left w:val="none" w:sz="0" w:space="0" w:color="auto"/>
                <w:bottom w:val="none" w:sz="0" w:space="0" w:color="auto"/>
                <w:right w:val="none" w:sz="0" w:space="0" w:color="auto"/>
              </w:divBdr>
            </w:div>
          </w:divsChild>
        </w:div>
        <w:div w:id="384914126">
          <w:marLeft w:val="0"/>
          <w:marRight w:val="0"/>
          <w:marTop w:val="0"/>
          <w:marBottom w:val="0"/>
          <w:divBdr>
            <w:top w:val="none" w:sz="0" w:space="0" w:color="auto"/>
            <w:left w:val="none" w:sz="0" w:space="0" w:color="auto"/>
            <w:bottom w:val="none" w:sz="0" w:space="0" w:color="auto"/>
            <w:right w:val="none" w:sz="0" w:space="0" w:color="auto"/>
          </w:divBdr>
          <w:divsChild>
            <w:div w:id="267277799">
              <w:marLeft w:val="0"/>
              <w:marRight w:val="0"/>
              <w:marTop w:val="0"/>
              <w:marBottom w:val="0"/>
              <w:divBdr>
                <w:top w:val="none" w:sz="0" w:space="0" w:color="auto"/>
                <w:left w:val="none" w:sz="0" w:space="0" w:color="auto"/>
                <w:bottom w:val="none" w:sz="0" w:space="0" w:color="auto"/>
                <w:right w:val="none" w:sz="0" w:space="0" w:color="auto"/>
              </w:divBdr>
            </w:div>
          </w:divsChild>
        </w:div>
        <w:div w:id="386030140">
          <w:marLeft w:val="0"/>
          <w:marRight w:val="0"/>
          <w:marTop w:val="0"/>
          <w:marBottom w:val="0"/>
          <w:divBdr>
            <w:top w:val="none" w:sz="0" w:space="0" w:color="auto"/>
            <w:left w:val="none" w:sz="0" w:space="0" w:color="auto"/>
            <w:bottom w:val="none" w:sz="0" w:space="0" w:color="auto"/>
            <w:right w:val="none" w:sz="0" w:space="0" w:color="auto"/>
          </w:divBdr>
          <w:divsChild>
            <w:div w:id="1830829217">
              <w:marLeft w:val="0"/>
              <w:marRight w:val="0"/>
              <w:marTop w:val="0"/>
              <w:marBottom w:val="0"/>
              <w:divBdr>
                <w:top w:val="none" w:sz="0" w:space="0" w:color="auto"/>
                <w:left w:val="none" w:sz="0" w:space="0" w:color="auto"/>
                <w:bottom w:val="none" w:sz="0" w:space="0" w:color="auto"/>
                <w:right w:val="none" w:sz="0" w:space="0" w:color="auto"/>
              </w:divBdr>
            </w:div>
          </w:divsChild>
        </w:div>
        <w:div w:id="386686233">
          <w:marLeft w:val="0"/>
          <w:marRight w:val="0"/>
          <w:marTop w:val="0"/>
          <w:marBottom w:val="0"/>
          <w:divBdr>
            <w:top w:val="none" w:sz="0" w:space="0" w:color="auto"/>
            <w:left w:val="none" w:sz="0" w:space="0" w:color="auto"/>
            <w:bottom w:val="none" w:sz="0" w:space="0" w:color="auto"/>
            <w:right w:val="none" w:sz="0" w:space="0" w:color="auto"/>
          </w:divBdr>
          <w:divsChild>
            <w:div w:id="1635982088">
              <w:marLeft w:val="0"/>
              <w:marRight w:val="0"/>
              <w:marTop w:val="0"/>
              <w:marBottom w:val="0"/>
              <w:divBdr>
                <w:top w:val="none" w:sz="0" w:space="0" w:color="auto"/>
                <w:left w:val="none" w:sz="0" w:space="0" w:color="auto"/>
                <w:bottom w:val="none" w:sz="0" w:space="0" w:color="auto"/>
                <w:right w:val="none" w:sz="0" w:space="0" w:color="auto"/>
              </w:divBdr>
            </w:div>
          </w:divsChild>
        </w:div>
        <w:div w:id="387342756">
          <w:marLeft w:val="0"/>
          <w:marRight w:val="0"/>
          <w:marTop w:val="0"/>
          <w:marBottom w:val="0"/>
          <w:divBdr>
            <w:top w:val="none" w:sz="0" w:space="0" w:color="auto"/>
            <w:left w:val="none" w:sz="0" w:space="0" w:color="auto"/>
            <w:bottom w:val="none" w:sz="0" w:space="0" w:color="auto"/>
            <w:right w:val="none" w:sz="0" w:space="0" w:color="auto"/>
          </w:divBdr>
          <w:divsChild>
            <w:div w:id="1763381503">
              <w:marLeft w:val="0"/>
              <w:marRight w:val="0"/>
              <w:marTop w:val="0"/>
              <w:marBottom w:val="0"/>
              <w:divBdr>
                <w:top w:val="none" w:sz="0" w:space="0" w:color="auto"/>
                <w:left w:val="none" w:sz="0" w:space="0" w:color="auto"/>
                <w:bottom w:val="none" w:sz="0" w:space="0" w:color="auto"/>
                <w:right w:val="none" w:sz="0" w:space="0" w:color="auto"/>
              </w:divBdr>
            </w:div>
          </w:divsChild>
        </w:div>
        <w:div w:id="392048382">
          <w:marLeft w:val="0"/>
          <w:marRight w:val="0"/>
          <w:marTop w:val="0"/>
          <w:marBottom w:val="0"/>
          <w:divBdr>
            <w:top w:val="none" w:sz="0" w:space="0" w:color="auto"/>
            <w:left w:val="none" w:sz="0" w:space="0" w:color="auto"/>
            <w:bottom w:val="none" w:sz="0" w:space="0" w:color="auto"/>
            <w:right w:val="none" w:sz="0" w:space="0" w:color="auto"/>
          </w:divBdr>
          <w:divsChild>
            <w:div w:id="1917933304">
              <w:marLeft w:val="0"/>
              <w:marRight w:val="0"/>
              <w:marTop w:val="0"/>
              <w:marBottom w:val="0"/>
              <w:divBdr>
                <w:top w:val="none" w:sz="0" w:space="0" w:color="auto"/>
                <w:left w:val="none" w:sz="0" w:space="0" w:color="auto"/>
                <w:bottom w:val="none" w:sz="0" w:space="0" w:color="auto"/>
                <w:right w:val="none" w:sz="0" w:space="0" w:color="auto"/>
              </w:divBdr>
            </w:div>
          </w:divsChild>
        </w:div>
        <w:div w:id="394082878">
          <w:marLeft w:val="0"/>
          <w:marRight w:val="0"/>
          <w:marTop w:val="0"/>
          <w:marBottom w:val="0"/>
          <w:divBdr>
            <w:top w:val="none" w:sz="0" w:space="0" w:color="auto"/>
            <w:left w:val="none" w:sz="0" w:space="0" w:color="auto"/>
            <w:bottom w:val="none" w:sz="0" w:space="0" w:color="auto"/>
            <w:right w:val="none" w:sz="0" w:space="0" w:color="auto"/>
          </w:divBdr>
          <w:divsChild>
            <w:div w:id="1441758841">
              <w:marLeft w:val="0"/>
              <w:marRight w:val="0"/>
              <w:marTop w:val="0"/>
              <w:marBottom w:val="0"/>
              <w:divBdr>
                <w:top w:val="none" w:sz="0" w:space="0" w:color="auto"/>
                <w:left w:val="none" w:sz="0" w:space="0" w:color="auto"/>
                <w:bottom w:val="none" w:sz="0" w:space="0" w:color="auto"/>
                <w:right w:val="none" w:sz="0" w:space="0" w:color="auto"/>
              </w:divBdr>
            </w:div>
          </w:divsChild>
        </w:div>
        <w:div w:id="394351976">
          <w:marLeft w:val="0"/>
          <w:marRight w:val="0"/>
          <w:marTop w:val="0"/>
          <w:marBottom w:val="0"/>
          <w:divBdr>
            <w:top w:val="none" w:sz="0" w:space="0" w:color="auto"/>
            <w:left w:val="none" w:sz="0" w:space="0" w:color="auto"/>
            <w:bottom w:val="none" w:sz="0" w:space="0" w:color="auto"/>
            <w:right w:val="none" w:sz="0" w:space="0" w:color="auto"/>
          </w:divBdr>
          <w:divsChild>
            <w:div w:id="1475902687">
              <w:marLeft w:val="0"/>
              <w:marRight w:val="0"/>
              <w:marTop w:val="0"/>
              <w:marBottom w:val="0"/>
              <w:divBdr>
                <w:top w:val="none" w:sz="0" w:space="0" w:color="auto"/>
                <w:left w:val="none" w:sz="0" w:space="0" w:color="auto"/>
                <w:bottom w:val="none" w:sz="0" w:space="0" w:color="auto"/>
                <w:right w:val="none" w:sz="0" w:space="0" w:color="auto"/>
              </w:divBdr>
            </w:div>
          </w:divsChild>
        </w:div>
        <w:div w:id="399640222">
          <w:marLeft w:val="0"/>
          <w:marRight w:val="0"/>
          <w:marTop w:val="0"/>
          <w:marBottom w:val="0"/>
          <w:divBdr>
            <w:top w:val="none" w:sz="0" w:space="0" w:color="auto"/>
            <w:left w:val="none" w:sz="0" w:space="0" w:color="auto"/>
            <w:bottom w:val="none" w:sz="0" w:space="0" w:color="auto"/>
            <w:right w:val="none" w:sz="0" w:space="0" w:color="auto"/>
          </w:divBdr>
          <w:divsChild>
            <w:div w:id="1303774786">
              <w:marLeft w:val="0"/>
              <w:marRight w:val="0"/>
              <w:marTop w:val="0"/>
              <w:marBottom w:val="0"/>
              <w:divBdr>
                <w:top w:val="none" w:sz="0" w:space="0" w:color="auto"/>
                <w:left w:val="none" w:sz="0" w:space="0" w:color="auto"/>
                <w:bottom w:val="none" w:sz="0" w:space="0" w:color="auto"/>
                <w:right w:val="none" w:sz="0" w:space="0" w:color="auto"/>
              </w:divBdr>
            </w:div>
          </w:divsChild>
        </w:div>
        <w:div w:id="402067974">
          <w:marLeft w:val="0"/>
          <w:marRight w:val="0"/>
          <w:marTop w:val="0"/>
          <w:marBottom w:val="0"/>
          <w:divBdr>
            <w:top w:val="none" w:sz="0" w:space="0" w:color="auto"/>
            <w:left w:val="none" w:sz="0" w:space="0" w:color="auto"/>
            <w:bottom w:val="none" w:sz="0" w:space="0" w:color="auto"/>
            <w:right w:val="none" w:sz="0" w:space="0" w:color="auto"/>
          </w:divBdr>
          <w:divsChild>
            <w:div w:id="894466474">
              <w:marLeft w:val="0"/>
              <w:marRight w:val="0"/>
              <w:marTop w:val="0"/>
              <w:marBottom w:val="0"/>
              <w:divBdr>
                <w:top w:val="none" w:sz="0" w:space="0" w:color="auto"/>
                <w:left w:val="none" w:sz="0" w:space="0" w:color="auto"/>
                <w:bottom w:val="none" w:sz="0" w:space="0" w:color="auto"/>
                <w:right w:val="none" w:sz="0" w:space="0" w:color="auto"/>
              </w:divBdr>
            </w:div>
          </w:divsChild>
        </w:div>
        <w:div w:id="404301579">
          <w:marLeft w:val="0"/>
          <w:marRight w:val="0"/>
          <w:marTop w:val="0"/>
          <w:marBottom w:val="0"/>
          <w:divBdr>
            <w:top w:val="none" w:sz="0" w:space="0" w:color="auto"/>
            <w:left w:val="none" w:sz="0" w:space="0" w:color="auto"/>
            <w:bottom w:val="none" w:sz="0" w:space="0" w:color="auto"/>
            <w:right w:val="none" w:sz="0" w:space="0" w:color="auto"/>
          </w:divBdr>
          <w:divsChild>
            <w:div w:id="1301496437">
              <w:marLeft w:val="0"/>
              <w:marRight w:val="0"/>
              <w:marTop w:val="0"/>
              <w:marBottom w:val="0"/>
              <w:divBdr>
                <w:top w:val="none" w:sz="0" w:space="0" w:color="auto"/>
                <w:left w:val="none" w:sz="0" w:space="0" w:color="auto"/>
                <w:bottom w:val="none" w:sz="0" w:space="0" w:color="auto"/>
                <w:right w:val="none" w:sz="0" w:space="0" w:color="auto"/>
              </w:divBdr>
            </w:div>
          </w:divsChild>
        </w:div>
        <w:div w:id="405765014">
          <w:marLeft w:val="0"/>
          <w:marRight w:val="0"/>
          <w:marTop w:val="0"/>
          <w:marBottom w:val="0"/>
          <w:divBdr>
            <w:top w:val="none" w:sz="0" w:space="0" w:color="auto"/>
            <w:left w:val="none" w:sz="0" w:space="0" w:color="auto"/>
            <w:bottom w:val="none" w:sz="0" w:space="0" w:color="auto"/>
            <w:right w:val="none" w:sz="0" w:space="0" w:color="auto"/>
          </w:divBdr>
          <w:divsChild>
            <w:div w:id="1429618793">
              <w:marLeft w:val="0"/>
              <w:marRight w:val="0"/>
              <w:marTop w:val="0"/>
              <w:marBottom w:val="0"/>
              <w:divBdr>
                <w:top w:val="none" w:sz="0" w:space="0" w:color="auto"/>
                <w:left w:val="none" w:sz="0" w:space="0" w:color="auto"/>
                <w:bottom w:val="none" w:sz="0" w:space="0" w:color="auto"/>
                <w:right w:val="none" w:sz="0" w:space="0" w:color="auto"/>
              </w:divBdr>
            </w:div>
          </w:divsChild>
        </w:div>
        <w:div w:id="407658085">
          <w:marLeft w:val="0"/>
          <w:marRight w:val="0"/>
          <w:marTop w:val="0"/>
          <w:marBottom w:val="0"/>
          <w:divBdr>
            <w:top w:val="none" w:sz="0" w:space="0" w:color="auto"/>
            <w:left w:val="none" w:sz="0" w:space="0" w:color="auto"/>
            <w:bottom w:val="none" w:sz="0" w:space="0" w:color="auto"/>
            <w:right w:val="none" w:sz="0" w:space="0" w:color="auto"/>
          </w:divBdr>
          <w:divsChild>
            <w:div w:id="960112727">
              <w:marLeft w:val="0"/>
              <w:marRight w:val="0"/>
              <w:marTop w:val="0"/>
              <w:marBottom w:val="0"/>
              <w:divBdr>
                <w:top w:val="none" w:sz="0" w:space="0" w:color="auto"/>
                <w:left w:val="none" w:sz="0" w:space="0" w:color="auto"/>
                <w:bottom w:val="none" w:sz="0" w:space="0" w:color="auto"/>
                <w:right w:val="none" w:sz="0" w:space="0" w:color="auto"/>
              </w:divBdr>
            </w:div>
          </w:divsChild>
        </w:div>
        <w:div w:id="409427594">
          <w:marLeft w:val="0"/>
          <w:marRight w:val="0"/>
          <w:marTop w:val="0"/>
          <w:marBottom w:val="0"/>
          <w:divBdr>
            <w:top w:val="none" w:sz="0" w:space="0" w:color="auto"/>
            <w:left w:val="none" w:sz="0" w:space="0" w:color="auto"/>
            <w:bottom w:val="none" w:sz="0" w:space="0" w:color="auto"/>
            <w:right w:val="none" w:sz="0" w:space="0" w:color="auto"/>
          </w:divBdr>
          <w:divsChild>
            <w:div w:id="1608583633">
              <w:marLeft w:val="0"/>
              <w:marRight w:val="0"/>
              <w:marTop w:val="0"/>
              <w:marBottom w:val="0"/>
              <w:divBdr>
                <w:top w:val="none" w:sz="0" w:space="0" w:color="auto"/>
                <w:left w:val="none" w:sz="0" w:space="0" w:color="auto"/>
                <w:bottom w:val="none" w:sz="0" w:space="0" w:color="auto"/>
                <w:right w:val="none" w:sz="0" w:space="0" w:color="auto"/>
              </w:divBdr>
            </w:div>
          </w:divsChild>
        </w:div>
        <w:div w:id="416632425">
          <w:marLeft w:val="0"/>
          <w:marRight w:val="0"/>
          <w:marTop w:val="0"/>
          <w:marBottom w:val="0"/>
          <w:divBdr>
            <w:top w:val="none" w:sz="0" w:space="0" w:color="auto"/>
            <w:left w:val="none" w:sz="0" w:space="0" w:color="auto"/>
            <w:bottom w:val="none" w:sz="0" w:space="0" w:color="auto"/>
            <w:right w:val="none" w:sz="0" w:space="0" w:color="auto"/>
          </w:divBdr>
          <w:divsChild>
            <w:div w:id="2066829021">
              <w:marLeft w:val="0"/>
              <w:marRight w:val="0"/>
              <w:marTop w:val="0"/>
              <w:marBottom w:val="0"/>
              <w:divBdr>
                <w:top w:val="none" w:sz="0" w:space="0" w:color="auto"/>
                <w:left w:val="none" w:sz="0" w:space="0" w:color="auto"/>
                <w:bottom w:val="none" w:sz="0" w:space="0" w:color="auto"/>
                <w:right w:val="none" w:sz="0" w:space="0" w:color="auto"/>
              </w:divBdr>
            </w:div>
          </w:divsChild>
        </w:div>
        <w:div w:id="419105404">
          <w:marLeft w:val="0"/>
          <w:marRight w:val="0"/>
          <w:marTop w:val="0"/>
          <w:marBottom w:val="0"/>
          <w:divBdr>
            <w:top w:val="none" w:sz="0" w:space="0" w:color="auto"/>
            <w:left w:val="none" w:sz="0" w:space="0" w:color="auto"/>
            <w:bottom w:val="none" w:sz="0" w:space="0" w:color="auto"/>
            <w:right w:val="none" w:sz="0" w:space="0" w:color="auto"/>
          </w:divBdr>
          <w:divsChild>
            <w:div w:id="304243990">
              <w:marLeft w:val="0"/>
              <w:marRight w:val="0"/>
              <w:marTop w:val="0"/>
              <w:marBottom w:val="0"/>
              <w:divBdr>
                <w:top w:val="none" w:sz="0" w:space="0" w:color="auto"/>
                <w:left w:val="none" w:sz="0" w:space="0" w:color="auto"/>
                <w:bottom w:val="none" w:sz="0" w:space="0" w:color="auto"/>
                <w:right w:val="none" w:sz="0" w:space="0" w:color="auto"/>
              </w:divBdr>
            </w:div>
          </w:divsChild>
        </w:div>
        <w:div w:id="419252105">
          <w:marLeft w:val="0"/>
          <w:marRight w:val="0"/>
          <w:marTop w:val="0"/>
          <w:marBottom w:val="0"/>
          <w:divBdr>
            <w:top w:val="none" w:sz="0" w:space="0" w:color="auto"/>
            <w:left w:val="none" w:sz="0" w:space="0" w:color="auto"/>
            <w:bottom w:val="none" w:sz="0" w:space="0" w:color="auto"/>
            <w:right w:val="none" w:sz="0" w:space="0" w:color="auto"/>
          </w:divBdr>
          <w:divsChild>
            <w:div w:id="1314338477">
              <w:marLeft w:val="0"/>
              <w:marRight w:val="0"/>
              <w:marTop w:val="0"/>
              <w:marBottom w:val="0"/>
              <w:divBdr>
                <w:top w:val="none" w:sz="0" w:space="0" w:color="auto"/>
                <w:left w:val="none" w:sz="0" w:space="0" w:color="auto"/>
                <w:bottom w:val="none" w:sz="0" w:space="0" w:color="auto"/>
                <w:right w:val="none" w:sz="0" w:space="0" w:color="auto"/>
              </w:divBdr>
            </w:div>
          </w:divsChild>
        </w:div>
        <w:div w:id="421023858">
          <w:marLeft w:val="0"/>
          <w:marRight w:val="0"/>
          <w:marTop w:val="0"/>
          <w:marBottom w:val="0"/>
          <w:divBdr>
            <w:top w:val="none" w:sz="0" w:space="0" w:color="auto"/>
            <w:left w:val="none" w:sz="0" w:space="0" w:color="auto"/>
            <w:bottom w:val="none" w:sz="0" w:space="0" w:color="auto"/>
            <w:right w:val="none" w:sz="0" w:space="0" w:color="auto"/>
          </w:divBdr>
          <w:divsChild>
            <w:div w:id="1790925941">
              <w:marLeft w:val="0"/>
              <w:marRight w:val="0"/>
              <w:marTop w:val="0"/>
              <w:marBottom w:val="0"/>
              <w:divBdr>
                <w:top w:val="none" w:sz="0" w:space="0" w:color="auto"/>
                <w:left w:val="none" w:sz="0" w:space="0" w:color="auto"/>
                <w:bottom w:val="none" w:sz="0" w:space="0" w:color="auto"/>
                <w:right w:val="none" w:sz="0" w:space="0" w:color="auto"/>
              </w:divBdr>
            </w:div>
          </w:divsChild>
        </w:div>
        <w:div w:id="423887867">
          <w:marLeft w:val="0"/>
          <w:marRight w:val="0"/>
          <w:marTop w:val="0"/>
          <w:marBottom w:val="0"/>
          <w:divBdr>
            <w:top w:val="none" w:sz="0" w:space="0" w:color="auto"/>
            <w:left w:val="none" w:sz="0" w:space="0" w:color="auto"/>
            <w:bottom w:val="none" w:sz="0" w:space="0" w:color="auto"/>
            <w:right w:val="none" w:sz="0" w:space="0" w:color="auto"/>
          </w:divBdr>
          <w:divsChild>
            <w:div w:id="1850679062">
              <w:marLeft w:val="0"/>
              <w:marRight w:val="0"/>
              <w:marTop w:val="0"/>
              <w:marBottom w:val="0"/>
              <w:divBdr>
                <w:top w:val="none" w:sz="0" w:space="0" w:color="auto"/>
                <w:left w:val="none" w:sz="0" w:space="0" w:color="auto"/>
                <w:bottom w:val="none" w:sz="0" w:space="0" w:color="auto"/>
                <w:right w:val="none" w:sz="0" w:space="0" w:color="auto"/>
              </w:divBdr>
            </w:div>
          </w:divsChild>
        </w:div>
        <w:div w:id="425031826">
          <w:marLeft w:val="0"/>
          <w:marRight w:val="0"/>
          <w:marTop w:val="0"/>
          <w:marBottom w:val="0"/>
          <w:divBdr>
            <w:top w:val="none" w:sz="0" w:space="0" w:color="auto"/>
            <w:left w:val="none" w:sz="0" w:space="0" w:color="auto"/>
            <w:bottom w:val="none" w:sz="0" w:space="0" w:color="auto"/>
            <w:right w:val="none" w:sz="0" w:space="0" w:color="auto"/>
          </w:divBdr>
          <w:divsChild>
            <w:div w:id="1247107569">
              <w:marLeft w:val="0"/>
              <w:marRight w:val="0"/>
              <w:marTop w:val="0"/>
              <w:marBottom w:val="0"/>
              <w:divBdr>
                <w:top w:val="none" w:sz="0" w:space="0" w:color="auto"/>
                <w:left w:val="none" w:sz="0" w:space="0" w:color="auto"/>
                <w:bottom w:val="none" w:sz="0" w:space="0" w:color="auto"/>
                <w:right w:val="none" w:sz="0" w:space="0" w:color="auto"/>
              </w:divBdr>
            </w:div>
          </w:divsChild>
        </w:div>
        <w:div w:id="425662623">
          <w:marLeft w:val="0"/>
          <w:marRight w:val="0"/>
          <w:marTop w:val="0"/>
          <w:marBottom w:val="0"/>
          <w:divBdr>
            <w:top w:val="none" w:sz="0" w:space="0" w:color="auto"/>
            <w:left w:val="none" w:sz="0" w:space="0" w:color="auto"/>
            <w:bottom w:val="none" w:sz="0" w:space="0" w:color="auto"/>
            <w:right w:val="none" w:sz="0" w:space="0" w:color="auto"/>
          </w:divBdr>
          <w:divsChild>
            <w:div w:id="1222131277">
              <w:marLeft w:val="0"/>
              <w:marRight w:val="0"/>
              <w:marTop w:val="0"/>
              <w:marBottom w:val="0"/>
              <w:divBdr>
                <w:top w:val="none" w:sz="0" w:space="0" w:color="auto"/>
                <w:left w:val="none" w:sz="0" w:space="0" w:color="auto"/>
                <w:bottom w:val="none" w:sz="0" w:space="0" w:color="auto"/>
                <w:right w:val="none" w:sz="0" w:space="0" w:color="auto"/>
              </w:divBdr>
            </w:div>
          </w:divsChild>
        </w:div>
        <w:div w:id="426465402">
          <w:marLeft w:val="0"/>
          <w:marRight w:val="0"/>
          <w:marTop w:val="0"/>
          <w:marBottom w:val="0"/>
          <w:divBdr>
            <w:top w:val="none" w:sz="0" w:space="0" w:color="auto"/>
            <w:left w:val="none" w:sz="0" w:space="0" w:color="auto"/>
            <w:bottom w:val="none" w:sz="0" w:space="0" w:color="auto"/>
            <w:right w:val="none" w:sz="0" w:space="0" w:color="auto"/>
          </w:divBdr>
          <w:divsChild>
            <w:div w:id="1143086530">
              <w:marLeft w:val="0"/>
              <w:marRight w:val="0"/>
              <w:marTop w:val="0"/>
              <w:marBottom w:val="0"/>
              <w:divBdr>
                <w:top w:val="none" w:sz="0" w:space="0" w:color="auto"/>
                <w:left w:val="none" w:sz="0" w:space="0" w:color="auto"/>
                <w:bottom w:val="none" w:sz="0" w:space="0" w:color="auto"/>
                <w:right w:val="none" w:sz="0" w:space="0" w:color="auto"/>
              </w:divBdr>
            </w:div>
          </w:divsChild>
        </w:div>
        <w:div w:id="427118038">
          <w:marLeft w:val="0"/>
          <w:marRight w:val="0"/>
          <w:marTop w:val="0"/>
          <w:marBottom w:val="0"/>
          <w:divBdr>
            <w:top w:val="none" w:sz="0" w:space="0" w:color="auto"/>
            <w:left w:val="none" w:sz="0" w:space="0" w:color="auto"/>
            <w:bottom w:val="none" w:sz="0" w:space="0" w:color="auto"/>
            <w:right w:val="none" w:sz="0" w:space="0" w:color="auto"/>
          </w:divBdr>
          <w:divsChild>
            <w:div w:id="963463744">
              <w:marLeft w:val="0"/>
              <w:marRight w:val="0"/>
              <w:marTop w:val="0"/>
              <w:marBottom w:val="0"/>
              <w:divBdr>
                <w:top w:val="none" w:sz="0" w:space="0" w:color="auto"/>
                <w:left w:val="none" w:sz="0" w:space="0" w:color="auto"/>
                <w:bottom w:val="none" w:sz="0" w:space="0" w:color="auto"/>
                <w:right w:val="none" w:sz="0" w:space="0" w:color="auto"/>
              </w:divBdr>
            </w:div>
          </w:divsChild>
        </w:div>
        <w:div w:id="428625490">
          <w:marLeft w:val="0"/>
          <w:marRight w:val="0"/>
          <w:marTop w:val="0"/>
          <w:marBottom w:val="0"/>
          <w:divBdr>
            <w:top w:val="none" w:sz="0" w:space="0" w:color="auto"/>
            <w:left w:val="none" w:sz="0" w:space="0" w:color="auto"/>
            <w:bottom w:val="none" w:sz="0" w:space="0" w:color="auto"/>
            <w:right w:val="none" w:sz="0" w:space="0" w:color="auto"/>
          </w:divBdr>
          <w:divsChild>
            <w:div w:id="886531253">
              <w:marLeft w:val="0"/>
              <w:marRight w:val="0"/>
              <w:marTop w:val="0"/>
              <w:marBottom w:val="0"/>
              <w:divBdr>
                <w:top w:val="none" w:sz="0" w:space="0" w:color="auto"/>
                <w:left w:val="none" w:sz="0" w:space="0" w:color="auto"/>
                <w:bottom w:val="none" w:sz="0" w:space="0" w:color="auto"/>
                <w:right w:val="none" w:sz="0" w:space="0" w:color="auto"/>
              </w:divBdr>
            </w:div>
          </w:divsChild>
        </w:div>
        <w:div w:id="428820307">
          <w:marLeft w:val="0"/>
          <w:marRight w:val="0"/>
          <w:marTop w:val="0"/>
          <w:marBottom w:val="0"/>
          <w:divBdr>
            <w:top w:val="none" w:sz="0" w:space="0" w:color="auto"/>
            <w:left w:val="none" w:sz="0" w:space="0" w:color="auto"/>
            <w:bottom w:val="none" w:sz="0" w:space="0" w:color="auto"/>
            <w:right w:val="none" w:sz="0" w:space="0" w:color="auto"/>
          </w:divBdr>
          <w:divsChild>
            <w:div w:id="935476292">
              <w:marLeft w:val="0"/>
              <w:marRight w:val="0"/>
              <w:marTop w:val="0"/>
              <w:marBottom w:val="0"/>
              <w:divBdr>
                <w:top w:val="none" w:sz="0" w:space="0" w:color="auto"/>
                <w:left w:val="none" w:sz="0" w:space="0" w:color="auto"/>
                <w:bottom w:val="none" w:sz="0" w:space="0" w:color="auto"/>
                <w:right w:val="none" w:sz="0" w:space="0" w:color="auto"/>
              </w:divBdr>
            </w:div>
          </w:divsChild>
        </w:div>
        <w:div w:id="429473447">
          <w:marLeft w:val="0"/>
          <w:marRight w:val="0"/>
          <w:marTop w:val="0"/>
          <w:marBottom w:val="0"/>
          <w:divBdr>
            <w:top w:val="none" w:sz="0" w:space="0" w:color="auto"/>
            <w:left w:val="none" w:sz="0" w:space="0" w:color="auto"/>
            <w:bottom w:val="none" w:sz="0" w:space="0" w:color="auto"/>
            <w:right w:val="none" w:sz="0" w:space="0" w:color="auto"/>
          </w:divBdr>
          <w:divsChild>
            <w:div w:id="1025594458">
              <w:marLeft w:val="0"/>
              <w:marRight w:val="0"/>
              <w:marTop w:val="0"/>
              <w:marBottom w:val="0"/>
              <w:divBdr>
                <w:top w:val="none" w:sz="0" w:space="0" w:color="auto"/>
                <w:left w:val="none" w:sz="0" w:space="0" w:color="auto"/>
                <w:bottom w:val="none" w:sz="0" w:space="0" w:color="auto"/>
                <w:right w:val="none" w:sz="0" w:space="0" w:color="auto"/>
              </w:divBdr>
            </w:div>
          </w:divsChild>
        </w:div>
        <w:div w:id="437262925">
          <w:marLeft w:val="0"/>
          <w:marRight w:val="0"/>
          <w:marTop w:val="0"/>
          <w:marBottom w:val="0"/>
          <w:divBdr>
            <w:top w:val="none" w:sz="0" w:space="0" w:color="auto"/>
            <w:left w:val="none" w:sz="0" w:space="0" w:color="auto"/>
            <w:bottom w:val="none" w:sz="0" w:space="0" w:color="auto"/>
            <w:right w:val="none" w:sz="0" w:space="0" w:color="auto"/>
          </w:divBdr>
          <w:divsChild>
            <w:div w:id="630327644">
              <w:marLeft w:val="0"/>
              <w:marRight w:val="0"/>
              <w:marTop w:val="0"/>
              <w:marBottom w:val="0"/>
              <w:divBdr>
                <w:top w:val="none" w:sz="0" w:space="0" w:color="auto"/>
                <w:left w:val="none" w:sz="0" w:space="0" w:color="auto"/>
                <w:bottom w:val="none" w:sz="0" w:space="0" w:color="auto"/>
                <w:right w:val="none" w:sz="0" w:space="0" w:color="auto"/>
              </w:divBdr>
            </w:div>
          </w:divsChild>
        </w:div>
        <w:div w:id="437337392">
          <w:marLeft w:val="0"/>
          <w:marRight w:val="0"/>
          <w:marTop w:val="0"/>
          <w:marBottom w:val="0"/>
          <w:divBdr>
            <w:top w:val="none" w:sz="0" w:space="0" w:color="auto"/>
            <w:left w:val="none" w:sz="0" w:space="0" w:color="auto"/>
            <w:bottom w:val="none" w:sz="0" w:space="0" w:color="auto"/>
            <w:right w:val="none" w:sz="0" w:space="0" w:color="auto"/>
          </w:divBdr>
          <w:divsChild>
            <w:div w:id="970745390">
              <w:marLeft w:val="0"/>
              <w:marRight w:val="0"/>
              <w:marTop w:val="0"/>
              <w:marBottom w:val="0"/>
              <w:divBdr>
                <w:top w:val="none" w:sz="0" w:space="0" w:color="auto"/>
                <w:left w:val="none" w:sz="0" w:space="0" w:color="auto"/>
                <w:bottom w:val="none" w:sz="0" w:space="0" w:color="auto"/>
                <w:right w:val="none" w:sz="0" w:space="0" w:color="auto"/>
              </w:divBdr>
            </w:div>
          </w:divsChild>
        </w:div>
        <w:div w:id="440076548">
          <w:marLeft w:val="0"/>
          <w:marRight w:val="0"/>
          <w:marTop w:val="0"/>
          <w:marBottom w:val="0"/>
          <w:divBdr>
            <w:top w:val="none" w:sz="0" w:space="0" w:color="auto"/>
            <w:left w:val="none" w:sz="0" w:space="0" w:color="auto"/>
            <w:bottom w:val="none" w:sz="0" w:space="0" w:color="auto"/>
            <w:right w:val="none" w:sz="0" w:space="0" w:color="auto"/>
          </w:divBdr>
          <w:divsChild>
            <w:div w:id="1571422846">
              <w:marLeft w:val="0"/>
              <w:marRight w:val="0"/>
              <w:marTop w:val="0"/>
              <w:marBottom w:val="0"/>
              <w:divBdr>
                <w:top w:val="none" w:sz="0" w:space="0" w:color="auto"/>
                <w:left w:val="none" w:sz="0" w:space="0" w:color="auto"/>
                <w:bottom w:val="none" w:sz="0" w:space="0" w:color="auto"/>
                <w:right w:val="none" w:sz="0" w:space="0" w:color="auto"/>
              </w:divBdr>
            </w:div>
          </w:divsChild>
        </w:div>
        <w:div w:id="440532997">
          <w:marLeft w:val="0"/>
          <w:marRight w:val="0"/>
          <w:marTop w:val="0"/>
          <w:marBottom w:val="0"/>
          <w:divBdr>
            <w:top w:val="none" w:sz="0" w:space="0" w:color="auto"/>
            <w:left w:val="none" w:sz="0" w:space="0" w:color="auto"/>
            <w:bottom w:val="none" w:sz="0" w:space="0" w:color="auto"/>
            <w:right w:val="none" w:sz="0" w:space="0" w:color="auto"/>
          </w:divBdr>
          <w:divsChild>
            <w:div w:id="926307751">
              <w:marLeft w:val="0"/>
              <w:marRight w:val="0"/>
              <w:marTop w:val="0"/>
              <w:marBottom w:val="0"/>
              <w:divBdr>
                <w:top w:val="none" w:sz="0" w:space="0" w:color="auto"/>
                <w:left w:val="none" w:sz="0" w:space="0" w:color="auto"/>
                <w:bottom w:val="none" w:sz="0" w:space="0" w:color="auto"/>
                <w:right w:val="none" w:sz="0" w:space="0" w:color="auto"/>
              </w:divBdr>
            </w:div>
          </w:divsChild>
        </w:div>
        <w:div w:id="444229531">
          <w:marLeft w:val="0"/>
          <w:marRight w:val="0"/>
          <w:marTop w:val="0"/>
          <w:marBottom w:val="0"/>
          <w:divBdr>
            <w:top w:val="none" w:sz="0" w:space="0" w:color="auto"/>
            <w:left w:val="none" w:sz="0" w:space="0" w:color="auto"/>
            <w:bottom w:val="none" w:sz="0" w:space="0" w:color="auto"/>
            <w:right w:val="none" w:sz="0" w:space="0" w:color="auto"/>
          </w:divBdr>
          <w:divsChild>
            <w:div w:id="1241914557">
              <w:marLeft w:val="0"/>
              <w:marRight w:val="0"/>
              <w:marTop w:val="0"/>
              <w:marBottom w:val="0"/>
              <w:divBdr>
                <w:top w:val="none" w:sz="0" w:space="0" w:color="auto"/>
                <w:left w:val="none" w:sz="0" w:space="0" w:color="auto"/>
                <w:bottom w:val="none" w:sz="0" w:space="0" w:color="auto"/>
                <w:right w:val="none" w:sz="0" w:space="0" w:color="auto"/>
              </w:divBdr>
            </w:div>
          </w:divsChild>
        </w:div>
        <w:div w:id="449709789">
          <w:marLeft w:val="0"/>
          <w:marRight w:val="0"/>
          <w:marTop w:val="0"/>
          <w:marBottom w:val="0"/>
          <w:divBdr>
            <w:top w:val="none" w:sz="0" w:space="0" w:color="auto"/>
            <w:left w:val="none" w:sz="0" w:space="0" w:color="auto"/>
            <w:bottom w:val="none" w:sz="0" w:space="0" w:color="auto"/>
            <w:right w:val="none" w:sz="0" w:space="0" w:color="auto"/>
          </w:divBdr>
          <w:divsChild>
            <w:div w:id="2014840963">
              <w:marLeft w:val="0"/>
              <w:marRight w:val="0"/>
              <w:marTop w:val="0"/>
              <w:marBottom w:val="0"/>
              <w:divBdr>
                <w:top w:val="none" w:sz="0" w:space="0" w:color="auto"/>
                <w:left w:val="none" w:sz="0" w:space="0" w:color="auto"/>
                <w:bottom w:val="none" w:sz="0" w:space="0" w:color="auto"/>
                <w:right w:val="none" w:sz="0" w:space="0" w:color="auto"/>
              </w:divBdr>
            </w:div>
          </w:divsChild>
        </w:div>
        <w:div w:id="450125143">
          <w:marLeft w:val="0"/>
          <w:marRight w:val="0"/>
          <w:marTop w:val="0"/>
          <w:marBottom w:val="0"/>
          <w:divBdr>
            <w:top w:val="none" w:sz="0" w:space="0" w:color="auto"/>
            <w:left w:val="none" w:sz="0" w:space="0" w:color="auto"/>
            <w:bottom w:val="none" w:sz="0" w:space="0" w:color="auto"/>
            <w:right w:val="none" w:sz="0" w:space="0" w:color="auto"/>
          </w:divBdr>
          <w:divsChild>
            <w:div w:id="236401491">
              <w:marLeft w:val="0"/>
              <w:marRight w:val="0"/>
              <w:marTop w:val="0"/>
              <w:marBottom w:val="0"/>
              <w:divBdr>
                <w:top w:val="none" w:sz="0" w:space="0" w:color="auto"/>
                <w:left w:val="none" w:sz="0" w:space="0" w:color="auto"/>
                <w:bottom w:val="none" w:sz="0" w:space="0" w:color="auto"/>
                <w:right w:val="none" w:sz="0" w:space="0" w:color="auto"/>
              </w:divBdr>
            </w:div>
          </w:divsChild>
        </w:div>
        <w:div w:id="454568660">
          <w:marLeft w:val="0"/>
          <w:marRight w:val="0"/>
          <w:marTop w:val="0"/>
          <w:marBottom w:val="0"/>
          <w:divBdr>
            <w:top w:val="none" w:sz="0" w:space="0" w:color="auto"/>
            <w:left w:val="none" w:sz="0" w:space="0" w:color="auto"/>
            <w:bottom w:val="none" w:sz="0" w:space="0" w:color="auto"/>
            <w:right w:val="none" w:sz="0" w:space="0" w:color="auto"/>
          </w:divBdr>
          <w:divsChild>
            <w:div w:id="1498963725">
              <w:marLeft w:val="0"/>
              <w:marRight w:val="0"/>
              <w:marTop w:val="0"/>
              <w:marBottom w:val="0"/>
              <w:divBdr>
                <w:top w:val="none" w:sz="0" w:space="0" w:color="auto"/>
                <w:left w:val="none" w:sz="0" w:space="0" w:color="auto"/>
                <w:bottom w:val="none" w:sz="0" w:space="0" w:color="auto"/>
                <w:right w:val="none" w:sz="0" w:space="0" w:color="auto"/>
              </w:divBdr>
            </w:div>
          </w:divsChild>
        </w:div>
        <w:div w:id="457603337">
          <w:marLeft w:val="0"/>
          <w:marRight w:val="0"/>
          <w:marTop w:val="0"/>
          <w:marBottom w:val="0"/>
          <w:divBdr>
            <w:top w:val="none" w:sz="0" w:space="0" w:color="auto"/>
            <w:left w:val="none" w:sz="0" w:space="0" w:color="auto"/>
            <w:bottom w:val="none" w:sz="0" w:space="0" w:color="auto"/>
            <w:right w:val="none" w:sz="0" w:space="0" w:color="auto"/>
          </w:divBdr>
          <w:divsChild>
            <w:div w:id="963970459">
              <w:marLeft w:val="0"/>
              <w:marRight w:val="0"/>
              <w:marTop w:val="0"/>
              <w:marBottom w:val="0"/>
              <w:divBdr>
                <w:top w:val="none" w:sz="0" w:space="0" w:color="auto"/>
                <w:left w:val="none" w:sz="0" w:space="0" w:color="auto"/>
                <w:bottom w:val="none" w:sz="0" w:space="0" w:color="auto"/>
                <w:right w:val="none" w:sz="0" w:space="0" w:color="auto"/>
              </w:divBdr>
            </w:div>
          </w:divsChild>
        </w:div>
        <w:div w:id="461196436">
          <w:marLeft w:val="0"/>
          <w:marRight w:val="0"/>
          <w:marTop w:val="0"/>
          <w:marBottom w:val="0"/>
          <w:divBdr>
            <w:top w:val="none" w:sz="0" w:space="0" w:color="auto"/>
            <w:left w:val="none" w:sz="0" w:space="0" w:color="auto"/>
            <w:bottom w:val="none" w:sz="0" w:space="0" w:color="auto"/>
            <w:right w:val="none" w:sz="0" w:space="0" w:color="auto"/>
          </w:divBdr>
          <w:divsChild>
            <w:div w:id="589659689">
              <w:marLeft w:val="0"/>
              <w:marRight w:val="0"/>
              <w:marTop w:val="0"/>
              <w:marBottom w:val="0"/>
              <w:divBdr>
                <w:top w:val="none" w:sz="0" w:space="0" w:color="auto"/>
                <w:left w:val="none" w:sz="0" w:space="0" w:color="auto"/>
                <w:bottom w:val="none" w:sz="0" w:space="0" w:color="auto"/>
                <w:right w:val="none" w:sz="0" w:space="0" w:color="auto"/>
              </w:divBdr>
            </w:div>
          </w:divsChild>
        </w:div>
        <w:div w:id="462819359">
          <w:marLeft w:val="0"/>
          <w:marRight w:val="0"/>
          <w:marTop w:val="0"/>
          <w:marBottom w:val="0"/>
          <w:divBdr>
            <w:top w:val="none" w:sz="0" w:space="0" w:color="auto"/>
            <w:left w:val="none" w:sz="0" w:space="0" w:color="auto"/>
            <w:bottom w:val="none" w:sz="0" w:space="0" w:color="auto"/>
            <w:right w:val="none" w:sz="0" w:space="0" w:color="auto"/>
          </w:divBdr>
          <w:divsChild>
            <w:div w:id="83690780">
              <w:marLeft w:val="0"/>
              <w:marRight w:val="0"/>
              <w:marTop w:val="0"/>
              <w:marBottom w:val="0"/>
              <w:divBdr>
                <w:top w:val="none" w:sz="0" w:space="0" w:color="auto"/>
                <w:left w:val="none" w:sz="0" w:space="0" w:color="auto"/>
                <w:bottom w:val="none" w:sz="0" w:space="0" w:color="auto"/>
                <w:right w:val="none" w:sz="0" w:space="0" w:color="auto"/>
              </w:divBdr>
            </w:div>
          </w:divsChild>
        </w:div>
        <w:div w:id="462970759">
          <w:marLeft w:val="0"/>
          <w:marRight w:val="0"/>
          <w:marTop w:val="0"/>
          <w:marBottom w:val="0"/>
          <w:divBdr>
            <w:top w:val="none" w:sz="0" w:space="0" w:color="auto"/>
            <w:left w:val="none" w:sz="0" w:space="0" w:color="auto"/>
            <w:bottom w:val="none" w:sz="0" w:space="0" w:color="auto"/>
            <w:right w:val="none" w:sz="0" w:space="0" w:color="auto"/>
          </w:divBdr>
          <w:divsChild>
            <w:div w:id="198327034">
              <w:marLeft w:val="0"/>
              <w:marRight w:val="0"/>
              <w:marTop w:val="0"/>
              <w:marBottom w:val="0"/>
              <w:divBdr>
                <w:top w:val="none" w:sz="0" w:space="0" w:color="auto"/>
                <w:left w:val="none" w:sz="0" w:space="0" w:color="auto"/>
                <w:bottom w:val="none" w:sz="0" w:space="0" w:color="auto"/>
                <w:right w:val="none" w:sz="0" w:space="0" w:color="auto"/>
              </w:divBdr>
            </w:div>
          </w:divsChild>
        </w:div>
        <w:div w:id="464978858">
          <w:marLeft w:val="0"/>
          <w:marRight w:val="0"/>
          <w:marTop w:val="0"/>
          <w:marBottom w:val="0"/>
          <w:divBdr>
            <w:top w:val="none" w:sz="0" w:space="0" w:color="auto"/>
            <w:left w:val="none" w:sz="0" w:space="0" w:color="auto"/>
            <w:bottom w:val="none" w:sz="0" w:space="0" w:color="auto"/>
            <w:right w:val="none" w:sz="0" w:space="0" w:color="auto"/>
          </w:divBdr>
          <w:divsChild>
            <w:div w:id="684092154">
              <w:marLeft w:val="0"/>
              <w:marRight w:val="0"/>
              <w:marTop w:val="0"/>
              <w:marBottom w:val="0"/>
              <w:divBdr>
                <w:top w:val="none" w:sz="0" w:space="0" w:color="auto"/>
                <w:left w:val="none" w:sz="0" w:space="0" w:color="auto"/>
                <w:bottom w:val="none" w:sz="0" w:space="0" w:color="auto"/>
                <w:right w:val="none" w:sz="0" w:space="0" w:color="auto"/>
              </w:divBdr>
            </w:div>
          </w:divsChild>
        </w:div>
        <w:div w:id="470707488">
          <w:marLeft w:val="0"/>
          <w:marRight w:val="0"/>
          <w:marTop w:val="0"/>
          <w:marBottom w:val="0"/>
          <w:divBdr>
            <w:top w:val="none" w:sz="0" w:space="0" w:color="auto"/>
            <w:left w:val="none" w:sz="0" w:space="0" w:color="auto"/>
            <w:bottom w:val="none" w:sz="0" w:space="0" w:color="auto"/>
            <w:right w:val="none" w:sz="0" w:space="0" w:color="auto"/>
          </w:divBdr>
          <w:divsChild>
            <w:div w:id="345333607">
              <w:marLeft w:val="0"/>
              <w:marRight w:val="0"/>
              <w:marTop w:val="0"/>
              <w:marBottom w:val="0"/>
              <w:divBdr>
                <w:top w:val="none" w:sz="0" w:space="0" w:color="auto"/>
                <w:left w:val="none" w:sz="0" w:space="0" w:color="auto"/>
                <w:bottom w:val="none" w:sz="0" w:space="0" w:color="auto"/>
                <w:right w:val="none" w:sz="0" w:space="0" w:color="auto"/>
              </w:divBdr>
            </w:div>
          </w:divsChild>
        </w:div>
        <w:div w:id="475344472">
          <w:marLeft w:val="0"/>
          <w:marRight w:val="0"/>
          <w:marTop w:val="0"/>
          <w:marBottom w:val="0"/>
          <w:divBdr>
            <w:top w:val="none" w:sz="0" w:space="0" w:color="auto"/>
            <w:left w:val="none" w:sz="0" w:space="0" w:color="auto"/>
            <w:bottom w:val="none" w:sz="0" w:space="0" w:color="auto"/>
            <w:right w:val="none" w:sz="0" w:space="0" w:color="auto"/>
          </w:divBdr>
          <w:divsChild>
            <w:div w:id="941452556">
              <w:marLeft w:val="0"/>
              <w:marRight w:val="0"/>
              <w:marTop w:val="0"/>
              <w:marBottom w:val="0"/>
              <w:divBdr>
                <w:top w:val="none" w:sz="0" w:space="0" w:color="auto"/>
                <w:left w:val="none" w:sz="0" w:space="0" w:color="auto"/>
                <w:bottom w:val="none" w:sz="0" w:space="0" w:color="auto"/>
                <w:right w:val="none" w:sz="0" w:space="0" w:color="auto"/>
              </w:divBdr>
            </w:div>
          </w:divsChild>
        </w:div>
        <w:div w:id="483351665">
          <w:marLeft w:val="0"/>
          <w:marRight w:val="0"/>
          <w:marTop w:val="0"/>
          <w:marBottom w:val="0"/>
          <w:divBdr>
            <w:top w:val="none" w:sz="0" w:space="0" w:color="auto"/>
            <w:left w:val="none" w:sz="0" w:space="0" w:color="auto"/>
            <w:bottom w:val="none" w:sz="0" w:space="0" w:color="auto"/>
            <w:right w:val="none" w:sz="0" w:space="0" w:color="auto"/>
          </w:divBdr>
          <w:divsChild>
            <w:div w:id="526452944">
              <w:marLeft w:val="0"/>
              <w:marRight w:val="0"/>
              <w:marTop w:val="0"/>
              <w:marBottom w:val="0"/>
              <w:divBdr>
                <w:top w:val="none" w:sz="0" w:space="0" w:color="auto"/>
                <w:left w:val="none" w:sz="0" w:space="0" w:color="auto"/>
                <w:bottom w:val="none" w:sz="0" w:space="0" w:color="auto"/>
                <w:right w:val="none" w:sz="0" w:space="0" w:color="auto"/>
              </w:divBdr>
            </w:div>
          </w:divsChild>
        </w:div>
        <w:div w:id="486365888">
          <w:marLeft w:val="0"/>
          <w:marRight w:val="0"/>
          <w:marTop w:val="0"/>
          <w:marBottom w:val="0"/>
          <w:divBdr>
            <w:top w:val="none" w:sz="0" w:space="0" w:color="auto"/>
            <w:left w:val="none" w:sz="0" w:space="0" w:color="auto"/>
            <w:bottom w:val="none" w:sz="0" w:space="0" w:color="auto"/>
            <w:right w:val="none" w:sz="0" w:space="0" w:color="auto"/>
          </w:divBdr>
          <w:divsChild>
            <w:div w:id="1886715928">
              <w:marLeft w:val="0"/>
              <w:marRight w:val="0"/>
              <w:marTop w:val="0"/>
              <w:marBottom w:val="0"/>
              <w:divBdr>
                <w:top w:val="none" w:sz="0" w:space="0" w:color="auto"/>
                <w:left w:val="none" w:sz="0" w:space="0" w:color="auto"/>
                <w:bottom w:val="none" w:sz="0" w:space="0" w:color="auto"/>
                <w:right w:val="none" w:sz="0" w:space="0" w:color="auto"/>
              </w:divBdr>
            </w:div>
          </w:divsChild>
        </w:div>
        <w:div w:id="488406775">
          <w:marLeft w:val="0"/>
          <w:marRight w:val="0"/>
          <w:marTop w:val="0"/>
          <w:marBottom w:val="0"/>
          <w:divBdr>
            <w:top w:val="none" w:sz="0" w:space="0" w:color="auto"/>
            <w:left w:val="none" w:sz="0" w:space="0" w:color="auto"/>
            <w:bottom w:val="none" w:sz="0" w:space="0" w:color="auto"/>
            <w:right w:val="none" w:sz="0" w:space="0" w:color="auto"/>
          </w:divBdr>
          <w:divsChild>
            <w:div w:id="1201824132">
              <w:marLeft w:val="0"/>
              <w:marRight w:val="0"/>
              <w:marTop w:val="0"/>
              <w:marBottom w:val="0"/>
              <w:divBdr>
                <w:top w:val="none" w:sz="0" w:space="0" w:color="auto"/>
                <w:left w:val="none" w:sz="0" w:space="0" w:color="auto"/>
                <w:bottom w:val="none" w:sz="0" w:space="0" w:color="auto"/>
                <w:right w:val="none" w:sz="0" w:space="0" w:color="auto"/>
              </w:divBdr>
            </w:div>
          </w:divsChild>
        </w:div>
        <w:div w:id="491916711">
          <w:marLeft w:val="0"/>
          <w:marRight w:val="0"/>
          <w:marTop w:val="0"/>
          <w:marBottom w:val="0"/>
          <w:divBdr>
            <w:top w:val="none" w:sz="0" w:space="0" w:color="auto"/>
            <w:left w:val="none" w:sz="0" w:space="0" w:color="auto"/>
            <w:bottom w:val="none" w:sz="0" w:space="0" w:color="auto"/>
            <w:right w:val="none" w:sz="0" w:space="0" w:color="auto"/>
          </w:divBdr>
          <w:divsChild>
            <w:div w:id="1898203515">
              <w:marLeft w:val="0"/>
              <w:marRight w:val="0"/>
              <w:marTop w:val="0"/>
              <w:marBottom w:val="0"/>
              <w:divBdr>
                <w:top w:val="none" w:sz="0" w:space="0" w:color="auto"/>
                <w:left w:val="none" w:sz="0" w:space="0" w:color="auto"/>
                <w:bottom w:val="none" w:sz="0" w:space="0" w:color="auto"/>
                <w:right w:val="none" w:sz="0" w:space="0" w:color="auto"/>
              </w:divBdr>
            </w:div>
          </w:divsChild>
        </w:div>
        <w:div w:id="496461113">
          <w:marLeft w:val="0"/>
          <w:marRight w:val="0"/>
          <w:marTop w:val="0"/>
          <w:marBottom w:val="0"/>
          <w:divBdr>
            <w:top w:val="none" w:sz="0" w:space="0" w:color="auto"/>
            <w:left w:val="none" w:sz="0" w:space="0" w:color="auto"/>
            <w:bottom w:val="none" w:sz="0" w:space="0" w:color="auto"/>
            <w:right w:val="none" w:sz="0" w:space="0" w:color="auto"/>
          </w:divBdr>
          <w:divsChild>
            <w:div w:id="1522163883">
              <w:marLeft w:val="0"/>
              <w:marRight w:val="0"/>
              <w:marTop w:val="0"/>
              <w:marBottom w:val="0"/>
              <w:divBdr>
                <w:top w:val="none" w:sz="0" w:space="0" w:color="auto"/>
                <w:left w:val="none" w:sz="0" w:space="0" w:color="auto"/>
                <w:bottom w:val="none" w:sz="0" w:space="0" w:color="auto"/>
                <w:right w:val="none" w:sz="0" w:space="0" w:color="auto"/>
              </w:divBdr>
            </w:div>
          </w:divsChild>
        </w:div>
        <w:div w:id="496700748">
          <w:marLeft w:val="0"/>
          <w:marRight w:val="0"/>
          <w:marTop w:val="0"/>
          <w:marBottom w:val="0"/>
          <w:divBdr>
            <w:top w:val="none" w:sz="0" w:space="0" w:color="auto"/>
            <w:left w:val="none" w:sz="0" w:space="0" w:color="auto"/>
            <w:bottom w:val="none" w:sz="0" w:space="0" w:color="auto"/>
            <w:right w:val="none" w:sz="0" w:space="0" w:color="auto"/>
          </w:divBdr>
          <w:divsChild>
            <w:div w:id="1161238680">
              <w:marLeft w:val="0"/>
              <w:marRight w:val="0"/>
              <w:marTop w:val="0"/>
              <w:marBottom w:val="0"/>
              <w:divBdr>
                <w:top w:val="none" w:sz="0" w:space="0" w:color="auto"/>
                <w:left w:val="none" w:sz="0" w:space="0" w:color="auto"/>
                <w:bottom w:val="none" w:sz="0" w:space="0" w:color="auto"/>
                <w:right w:val="none" w:sz="0" w:space="0" w:color="auto"/>
              </w:divBdr>
            </w:div>
          </w:divsChild>
        </w:div>
        <w:div w:id="498350884">
          <w:marLeft w:val="0"/>
          <w:marRight w:val="0"/>
          <w:marTop w:val="0"/>
          <w:marBottom w:val="0"/>
          <w:divBdr>
            <w:top w:val="none" w:sz="0" w:space="0" w:color="auto"/>
            <w:left w:val="none" w:sz="0" w:space="0" w:color="auto"/>
            <w:bottom w:val="none" w:sz="0" w:space="0" w:color="auto"/>
            <w:right w:val="none" w:sz="0" w:space="0" w:color="auto"/>
          </w:divBdr>
          <w:divsChild>
            <w:div w:id="1304502478">
              <w:marLeft w:val="0"/>
              <w:marRight w:val="0"/>
              <w:marTop w:val="0"/>
              <w:marBottom w:val="0"/>
              <w:divBdr>
                <w:top w:val="none" w:sz="0" w:space="0" w:color="auto"/>
                <w:left w:val="none" w:sz="0" w:space="0" w:color="auto"/>
                <w:bottom w:val="none" w:sz="0" w:space="0" w:color="auto"/>
                <w:right w:val="none" w:sz="0" w:space="0" w:color="auto"/>
              </w:divBdr>
            </w:div>
          </w:divsChild>
        </w:div>
        <w:div w:id="498623876">
          <w:marLeft w:val="0"/>
          <w:marRight w:val="0"/>
          <w:marTop w:val="0"/>
          <w:marBottom w:val="0"/>
          <w:divBdr>
            <w:top w:val="none" w:sz="0" w:space="0" w:color="auto"/>
            <w:left w:val="none" w:sz="0" w:space="0" w:color="auto"/>
            <w:bottom w:val="none" w:sz="0" w:space="0" w:color="auto"/>
            <w:right w:val="none" w:sz="0" w:space="0" w:color="auto"/>
          </w:divBdr>
          <w:divsChild>
            <w:div w:id="1980718471">
              <w:marLeft w:val="0"/>
              <w:marRight w:val="0"/>
              <w:marTop w:val="0"/>
              <w:marBottom w:val="0"/>
              <w:divBdr>
                <w:top w:val="none" w:sz="0" w:space="0" w:color="auto"/>
                <w:left w:val="none" w:sz="0" w:space="0" w:color="auto"/>
                <w:bottom w:val="none" w:sz="0" w:space="0" w:color="auto"/>
                <w:right w:val="none" w:sz="0" w:space="0" w:color="auto"/>
              </w:divBdr>
            </w:div>
          </w:divsChild>
        </w:div>
        <w:div w:id="498886911">
          <w:marLeft w:val="0"/>
          <w:marRight w:val="0"/>
          <w:marTop w:val="0"/>
          <w:marBottom w:val="0"/>
          <w:divBdr>
            <w:top w:val="none" w:sz="0" w:space="0" w:color="auto"/>
            <w:left w:val="none" w:sz="0" w:space="0" w:color="auto"/>
            <w:bottom w:val="none" w:sz="0" w:space="0" w:color="auto"/>
            <w:right w:val="none" w:sz="0" w:space="0" w:color="auto"/>
          </w:divBdr>
          <w:divsChild>
            <w:div w:id="918179559">
              <w:marLeft w:val="0"/>
              <w:marRight w:val="0"/>
              <w:marTop w:val="0"/>
              <w:marBottom w:val="0"/>
              <w:divBdr>
                <w:top w:val="none" w:sz="0" w:space="0" w:color="auto"/>
                <w:left w:val="none" w:sz="0" w:space="0" w:color="auto"/>
                <w:bottom w:val="none" w:sz="0" w:space="0" w:color="auto"/>
                <w:right w:val="none" w:sz="0" w:space="0" w:color="auto"/>
              </w:divBdr>
            </w:div>
          </w:divsChild>
        </w:div>
        <w:div w:id="500391410">
          <w:marLeft w:val="0"/>
          <w:marRight w:val="0"/>
          <w:marTop w:val="0"/>
          <w:marBottom w:val="0"/>
          <w:divBdr>
            <w:top w:val="none" w:sz="0" w:space="0" w:color="auto"/>
            <w:left w:val="none" w:sz="0" w:space="0" w:color="auto"/>
            <w:bottom w:val="none" w:sz="0" w:space="0" w:color="auto"/>
            <w:right w:val="none" w:sz="0" w:space="0" w:color="auto"/>
          </w:divBdr>
          <w:divsChild>
            <w:div w:id="726225987">
              <w:marLeft w:val="0"/>
              <w:marRight w:val="0"/>
              <w:marTop w:val="0"/>
              <w:marBottom w:val="0"/>
              <w:divBdr>
                <w:top w:val="none" w:sz="0" w:space="0" w:color="auto"/>
                <w:left w:val="none" w:sz="0" w:space="0" w:color="auto"/>
                <w:bottom w:val="none" w:sz="0" w:space="0" w:color="auto"/>
                <w:right w:val="none" w:sz="0" w:space="0" w:color="auto"/>
              </w:divBdr>
            </w:div>
          </w:divsChild>
        </w:div>
        <w:div w:id="502203319">
          <w:marLeft w:val="0"/>
          <w:marRight w:val="0"/>
          <w:marTop w:val="0"/>
          <w:marBottom w:val="0"/>
          <w:divBdr>
            <w:top w:val="none" w:sz="0" w:space="0" w:color="auto"/>
            <w:left w:val="none" w:sz="0" w:space="0" w:color="auto"/>
            <w:bottom w:val="none" w:sz="0" w:space="0" w:color="auto"/>
            <w:right w:val="none" w:sz="0" w:space="0" w:color="auto"/>
          </w:divBdr>
          <w:divsChild>
            <w:div w:id="1914924898">
              <w:marLeft w:val="0"/>
              <w:marRight w:val="0"/>
              <w:marTop w:val="0"/>
              <w:marBottom w:val="0"/>
              <w:divBdr>
                <w:top w:val="none" w:sz="0" w:space="0" w:color="auto"/>
                <w:left w:val="none" w:sz="0" w:space="0" w:color="auto"/>
                <w:bottom w:val="none" w:sz="0" w:space="0" w:color="auto"/>
                <w:right w:val="none" w:sz="0" w:space="0" w:color="auto"/>
              </w:divBdr>
            </w:div>
          </w:divsChild>
        </w:div>
        <w:div w:id="506947756">
          <w:marLeft w:val="0"/>
          <w:marRight w:val="0"/>
          <w:marTop w:val="0"/>
          <w:marBottom w:val="0"/>
          <w:divBdr>
            <w:top w:val="none" w:sz="0" w:space="0" w:color="auto"/>
            <w:left w:val="none" w:sz="0" w:space="0" w:color="auto"/>
            <w:bottom w:val="none" w:sz="0" w:space="0" w:color="auto"/>
            <w:right w:val="none" w:sz="0" w:space="0" w:color="auto"/>
          </w:divBdr>
          <w:divsChild>
            <w:div w:id="838816411">
              <w:marLeft w:val="0"/>
              <w:marRight w:val="0"/>
              <w:marTop w:val="0"/>
              <w:marBottom w:val="0"/>
              <w:divBdr>
                <w:top w:val="none" w:sz="0" w:space="0" w:color="auto"/>
                <w:left w:val="none" w:sz="0" w:space="0" w:color="auto"/>
                <w:bottom w:val="none" w:sz="0" w:space="0" w:color="auto"/>
                <w:right w:val="none" w:sz="0" w:space="0" w:color="auto"/>
              </w:divBdr>
            </w:div>
          </w:divsChild>
        </w:div>
        <w:div w:id="511068295">
          <w:marLeft w:val="0"/>
          <w:marRight w:val="0"/>
          <w:marTop w:val="0"/>
          <w:marBottom w:val="0"/>
          <w:divBdr>
            <w:top w:val="none" w:sz="0" w:space="0" w:color="auto"/>
            <w:left w:val="none" w:sz="0" w:space="0" w:color="auto"/>
            <w:bottom w:val="none" w:sz="0" w:space="0" w:color="auto"/>
            <w:right w:val="none" w:sz="0" w:space="0" w:color="auto"/>
          </w:divBdr>
          <w:divsChild>
            <w:div w:id="31004521">
              <w:marLeft w:val="0"/>
              <w:marRight w:val="0"/>
              <w:marTop w:val="0"/>
              <w:marBottom w:val="0"/>
              <w:divBdr>
                <w:top w:val="none" w:sz="0" w:space="0" w:color="auto"/>
                <w:left w:val="none" w:sz="0" w:space="0" w:color="auto"/>
                <w:bottom w:val="none" w:sz="0" w:space="0" w:color="auto"/>
                <w:right w:val="none" w:sz="0" w:space="0" w:color="auto"/>
              </w:divBdr>
            </w:div>
          </w:divsChild>
        </w:div>
        <w:div w:id="514733224">
          <w:marLeft w:val="0"/>
          <w:marRight w:val="0"/>
          <w:marTop w:val="0"/>
          <w:marBottom w:val="0"/>
          <w:divBdr>
            <w:top w:val="none" w:sz="0" w:space="0" w:color="auto"/>
            <w:left w:val="none" w:sz="0" w:space="0" w:color="auto"/>
            <w:bottom w:val="none" w:sz="0" w:space="0" w:color="auto"/>
            <w:right w:val="none" w:sz="0" w:space="0" w:color="auto"/>
          </w:divBdr>
          <w:divsChild>
            <w:div w:id="553125736">
              <w:marLeft w:val="0"/>
              <w:marRight w:val="0"/>
              <w:marTop w:val="0"/>
              <w:marBottom w:val="0"/>
              <w:divBdr>
                <w:top w:val="none" w:sz="0" w:space="0" w:color="auto"/>
                <w:left w:val="none" w:sz="0" w:space="0" w:color="auto"/>
                <w:bottom w:val="none" w:sz="0" w:space="0" w:color="auto"/>
                <w:right w:val="none" w:sz="0" w:space="0" w:color="auto"/>
              </w:divBdr>
            </w:div>
          </w:divsChild>
        </w:div>
        <w:div w:id="524749755">
          <w:marLeft w:val="0"/>
          <w:marRight w:val="0"/>
          <w:marTop w:val="0"/>
          <w:marBottom w:val="0"/>
          <w:divBdr>
            <w:top w:val="none" w:sz="0" w:space="0" w:color="auto"/>
            <w:left w:val="none" w:sz="0" w:space="0" w:color="auto"/>
            <w:bottom w:val="none" w:sz="0" w:space="0" w:color="auto"/>
            <w:right w:val="none" w:sz="0" w:space="0" w:color="auto"/>
          </w:divBdr>
          <w:divsChild>
            <w:div w:id="1159423521">
              <w:marLeft w:val="0"/>
              <w:marRight w:val="0"/>
              <w:marTop w:val="0"/>
              <w:marBottom w:val="0"/>
              <w:divBdr>
                <w:top w:val="none" w:sz="0" w:space="0" w:color="auto"/>
                <w:left w:val="none" w:sz="0" w:space="0" w:color="auto"/>
                <w:bottom w:val="none" w:sz="0" w:space="0" w:color="auto"/>
                <w:right w:val="none" w:sz="0" w:space="0" w:color="auto"/>
              </w:divBdr>
            </w:div>
          </w:divsChild>
        </w:div>
        <w:div w:id="534345923">
          <w:marLeft w:val="0"/>
          <w:marRight w:val="0"/>
          <w:marTop w:val="0"/>
          <w:marBottom w:val="0"/>
          <w:divBdr>
            <w:top w:val="none" w:sz="0" w:space="0" w:color="auto"/>
            <w:left w:val="none" w:sz="0" w:space="0" w:color="auto"/>
            <w:bottom w:val="none" w:sz="0" w:space="0" w:color="auto"/>
            <w:right w:val="none" w:sz="0" w:space="0" w:color="auto"/>
          </w:divBdr>
          <w:divsChild>
            <w:div w:id="448087306">
              <w:marLeft w:val="0"/>
              <w:marRight w:val="0"/>
              <w:marTop w:val="0"/>
              <w:marBottom w:val="0"/>
              <w:divBdr>
                <w:top w:val="none" w:sz="0" w:space="0" w:color="auto"/>
                <w:left w:val="none" w:sz="0" w:space="0" w:color="auto"/>
                <w:bottom w:val="none" w:sz="0" w:space="0" w:color="auto"/>
                <w:right w:val="none" w:sz="0" w:space="0" w:color="auto"/>
              </w:divBdr>
            </w:div>
          </w:divsChild>
        </w:div>
        <w:div w:id="534587156">
          <w:marLeft w:val="0"/>
          <w:marRight w:val="0"/>
          <w:marTop w:val="0"/>
          <w:marBottom w:val="0"/>
          <w:divBdr>
            <w:top w:val="none" w:sz="0" w:space="0" w:color="auto"/>
            <w:left w:val="none" w:sz="0" w:space="0" w:color="auto"/>
            <w:bottom w:val="none" w:sz="0" w:space="0" w:color="auto"/>
            <w:right w:val="none" w:sz="0" w:space="0" w:color="auto"/>
          </w:divBdr>
          <w:divsChild>
            <w:div w:id="1011492400">
              <w:marLeft w:val="0"/>
              <w:marRight w:val="0"/>
              <w:marTop w:val="0"/>
              <w:marBottom w:val="0"/>
              <w:divBdr>
                <w:top w:val="none" w:sz="0" w:space="0" w:color="auto"/>
                <w:left w:val="none" w:sz="0" w:space="0" w:color="auto"/>
                <w:bottom w:val="none" w:sz="0" w:space="0" w:color="auto"/>
                <w:right w:val="none" w:sz="0" w:space="0" w:color="auto"/>
              </w:divBdr>
            </w:div>
          </w:divsChild>
        </w:div>
        <w:div w:id="542451059">
          <w:marLeft w:val="0"/>
          <w:marRight w:val="0"/>
          <w:marTop w:val="0"/>
          <w:marBottom w:val="0"/>
          <w:divBdr>
            <w:top w:val="none" w:sz="0" w:space="0" w:color="auto"/>
            <w:left w:val="none" w:sz="0" w:space="0" w:color="auto"/>
            <w:bottom w:val="none" w:sz="0" w:space="0" w:color="auto"/>
            <w:right w:val="none" w:sz="0" w:space="0" w:color="auto"/>
          </w:divBdr>
          <w:divsChild>
            <w:div w:id="1735348757">
              <w:marLeft w:val="0"/>
              <w:marRight w:val="0"/>
              <w:marTop w:val="0"/>
              <w:marBottom w:val="0"/>
              <w:divBdr>
                <w:top w:val="none" w:sz="0" w:space="0" w:color="auto"/>
                <w:left w:val="none" w:sz="0" w:space="0" w:color="auto"/>
                <w:bottom w:val="none" w:sz="0" w:space="0" w:color="auto"/>
                <w:right w:val="none" w:sz="0" w:space="0" w:color="auto"/>
              </w:divBdr>
            </w:div>
          </w:divsChild>
        </w:div>
        <w:div w:id="542602399">
          <w:marLeft w:val="0"/>
          <w:marRight w:val="0"/>
          <w:marTop w:val="0"/>
          <w:marBottom w:val="0"/>
          <w:divBdr>
            <w:top w:val="none" w:sz="0" w:space="0" w:color="auto"/>
            <w:left w:val="none" w:sz="0" w:space="0" w:color="auto"/>
            <w:bottom w:val="none" w:sz="0" w:space="0" w:color="auto"/>
            <w:right w:val="none" w:sz="0" w:space="0" w:color="auto"/>
          </w:divBdr>
          <w:divsChild>
            <w:div w:id="913511419">
              <w:marLeft w:val="0"/>
              <w:marRight w:val="0"/>
              <w:marTop w:val="0"/>
              <w:marBottom w:val="0"/>
              <w:divBdr>
                <w:top w:val="none" w:sz="0" w:space="0" w:color="auto"/>
                <w:left w:val="none" w:sz="0" w:space="0" w:color="auto"/>
                <w:bottom w:val="none" w:sz="0" w:space="0" w:color="auto"/>
                <w:right w:val="none" w:sz="0" w:space="0" w:color="auto"/>
              </w:divBdr>
            </w:div>
          </w:divsChild>
        </w:div>
        <w:div w:id="543061078">
          <w:marLeft w:val="0"/>
          <w:marRight w:val="0"/>
          <w:marTop w:val="0"/>
          <w:marBottom w:val="0"/>
          <w:divBdr>
            <w:top w:val="none" w:sz="0" w:space="0" w:color="auto"/>
            <w:left w:val="none" w:sz="0" w:space="0" w:color="auto"/>
            <w:bottom w:val="none" w:sz="0" w:space="0" w:color="auto"/>
            <w:right w:val="none" w:sz="0" w:space="0" w:color="auto"/>
          </w:divBdr>
          <w:divsChild>
            <w:div w:id="698823241">
              <w:marLeft w:val="0"/>
              <w:marRight w:val="0"/>
              <w:marTop w:val="0"/>
              <w:marBottom w:val="0"/>
              <w:divBdr>
                <w:top w:val="none" w:sz="0" w:space="0" w:color="auto"/>
                <w:left w:val="none" w:sz="0" w:space="0" w:color="auto"/>
                <w:bottom w:val="none" w:sz="0" w:space="0" w:color="auto"/>
                <w:right w:val="none" w:sz="0" w:space="0" w:color="auto"/>
              </w:divBdr>
            </w:div>
          </w:divsChild>
        </w:div>
        <w:div w:id="544872746">
          <w:marLeft w:val="0"/>
          <w:marRight w:val="0"/>
          <w:marTop w:val="0"/>
          <w:marBottom w:val="0"/>
          <w:divBdr>
            <w:top w:val="none" w:sz="0" w:space="0" w:color="auto"/>
            <w:left w:val="none" w:sz="0" w:space="0" w:color="auto"/>
            <w:bottom w:val="none" w:sz="0" w:space="0" w:color="auto"/>
            <w:right w:val="none" w:sz="0" w:space="0" w:color="auto"/>
          </w:divBdr>
          <w:divsChild>
            <w:div w:id="326592120">
              <w:marLeft w:val="0"/>
              <w:marRight w:val="0"/>
              <w:marTop w:val="0"/>
              <w:marBottom w:val="0"/>
              <w:divBdr>
                <w:top w:val="none" w:sz="0" w:space="0" w:color="auto"/>
                <w:left w:val="none" w:sz="0" w:space="0" w:color="auto"/>
                <w:bottom w:val="none" w:sz="0" w:space="0" w:color="auto"/>
                <w:right w:val="none" w:sz="0" w:space="0" w:color="auto"/>
              </w:divBdr>
            </w:div>
          </w:divsChild>
        </w:div>
        <w:div w:id="547181894">
          <w:marLeft w:val="0"/>
          <w:marRight w:val="0"/>
          <w:marTop w:val="0"/>
          <w:marBottom w:val="0"/>
          <w:divBdr>
            <w:top w:val="none" w:sz="0" w:space="0" w:color="auto"/>
            <w:left w:val="none" w:sz="0" w:space="0" w:color="auto"/>
            <w:bottom w:val="none" w:sz="0" w:space="0" w:color="auto"/>
            <w:right w:val="none" w:sz="0" w:space="0" w:color="auto"/>
          </w:divBdr>
          <w:divsChild>
            <w:div w:id="590352940">
              <w:marLeft w:val="0"/>
              <w:marRight w:val="0"/>
              <w:marTop w:val="0"/>
              <w:marBottom w:val="0"/>
              <w:divBdr>
                <w:top w:val="none" w:sz="0" w:space="0" w:color="auto"/>
                <w:left w:val="none" w:sz="0" w:space="0" w:color="auto"/>
                <w:bottom w:val="none" w:sz="0" w:space="0" w:color="auto"/>
                <w:right w:val="none" w:sz="0" w:space="0" w:color="auto"/>
              </w:divBdr>
            </w:div>
          </w:divsChild>
        </w:div>
        <w:div w:id="547762469">
          <w:marLeft w:val="0"/>
          <w:marRight w:val="0"/>
          <w:marTop w:val="0"/>
          <w:marBottom w:val="0"/>
          <w:divBdr>
            <w:top w:val="none" w:sz="0" w:space="0" w:color="auto"/>
            <w:left w:val="none" w:sz="0" w:space="0" w:color="auto"/>
            <w:bottom w:val="none" w:sz="0" w:space="0" w:color="auto"/>
            <w:right w:val="none" w:sz="0" w:space="0" w:color="auto"/>
          </w:divBdr>
          <w:divsChild>
            <w:div w:id="1503739365">
              <w:marLeft w:val="0"/>
              <w:marRight w:val="0"/>
              <w:marTop w:val="0"/>
              <w:marBottom w:val="0"/>
              <w:divBdr>
                <w:top w:val="none" w:sz="0" w:space="0" w:color="auto"/>
                <w:left w:val="none" w:sz="0" w:space="0" w:color="auto"/>
                <w:bottom w:val="none" w:sz="0" w:space="0" w:color="auto"/>
                <w:right w:val="none" w:sz="0" w:space="0" w:color="auto"/>
              </w:divBdr>
            </w:div>
          </w:divsChild>
        </w:div>
        <w:div w:id="548303512">
          <w:marLeft w:val="0"/>
          <w:marRight w:val="0"/>
          <w:marTop w:val="0"/>
          <w:marBottom w:val="0"/>
          <w:divBdr>
            <w:top w:val="none" w:sz="0" w:space="0" w:color="auto"/>
            <w:left w:val="none" w:sz="0" w:space="0" w:color="auto"/>
            <w:bottom w:val="none" w:sz="0" w:space="0" w:color="auto"/>
            <w:right w:val="none" w:sz="0" w:space="0" w:color="auto"/>
          </w:divBdr>
          <w:divsChild>
            <w:div w:id="487403791">
              <w:marLeft w:val="0"/>
              <w:marRight w:val="0"/>
              <w:marTop w:val="0"/>
              <w:marBottom w:val="0"/>
              <w:divBdr>
                <w:top w:val="none" w:sz="0" w:space="0" w:color="auto"/>
                <w:left w:val="none" w:sz="0" w:space="0" w:color="auto"/>
                <w:bottom w:val="none" w:sz="0" w:space="0" w:color="auto"/>
                <w:right w:val="none" w:sz="0" w:space="0" w:color="auto"/>
              </w:divBdr>
            </w:div>
          </w:divsChild>
        </w:div>
        <w:div w:id="549995948">
          <w:marLeft w:val="0"/>
          <w:marRight w:val="0"/>
          <w:marTop w:val="0"/>
          <w:marBottom w:val="0"/>
          <w:divBdr>
            <w:top w:val="none" w:sz="0" w:space="0" w:color="auto"/>
            <w:left w:val="none" w:sz="0" w:space="0" w:color="auto"/>
            <w:bottom w:val="none" w:sz="0" w:space="0" w:color="auto"/>
            <w:right w:val="none" w:sz="0" w:space="0" w:color="auto"/>
          </w:divBdr>
          <w:divsChild>
            <w:div w:id="657222334">
              <w:marLeft w:val="0"/>
              <w:marRight w:val="0"/>
              <w:marTop w:val="0"/>
              <w:marBottom w:val="0"/>
              <w:divBdr>
                <w:top w:val="none" w:sz="0" w:space="0" w:color="auto"/>
                <w:left w:val="none" w:sz="0" w:space="0" w:color="auto"/>
                <w:bottom w:val="none" w:sz="0" w:space="0" w:color="auto"/>
                <w:right w:val="none" w:sz="0" w:space="0" w:color="auto"/>
              </w:divBdr>
            </w:div>
          </w:divsChild>
        </w:div>
        <w:div w:id="550581213">
          <w:marLeft w:val="0"/>
          <w:marRight w:val="0"/>
          <w:marTop w:val="0"/>
          <w:marBottom w:val="0"/>
          <w:divBdr>
            <w:top w:val="none" w:sz="0" w:space="0" w:color="auto"/>
            <w:left w:val="none" w:sz="0" w:space="0" w:color="auto"/>
            <w:bottom w:val="none" w:sz="0" w:space="0" w:color="auto"/>
            <w:right w:val="none" w:sz="0" w:space="0" w:color="auto"/>
          </w:divBdr>
          <w:divsChild>
            <w:div w:id="1768230223">
              <w:marLeft w:val="0"/>
              <w:marRight w:val="0"/>
              <w:marTop w:val="0"/>
              <w:marBottom w:val="0"/>
              <w:divBdr>
                <w:top w:val="none" w:sz="0" w:space="0" w:color="auto"/>
                <w:left w:val="none" w:sz="0" w:space="0" w:color="auto"/>
                <w:bottom w:val="none" w:sz="0" w:space="0" w:color="auto"/>
                <w:right w:val="none" w:sz="0" w:space="0" w:color="auto"/>
              </w:divBdr>
            </w:div>
          </w:divsChild>
        </w:div>
        <w:div w:id="552041196">
          <w:marLeft w:val="0"/>
          <w:marRight w:val="0"/>
          <w:marTop w:val="0"/>
          <w:marBottom w:val="0"/>
          <w:divBdr>
            <w:top w:val="none" w:sz="0" w:space="0" w:color="auto"/>
            <w:left w:val="none" w:sz="0" w:space="0" w:color="auto"/>
            <w:bottom w:val="none" w:sz="0" w:space="0" w:color="auto"/>
            <w:right w:val="none" w:sz="0" w:space="0" w:color="auto"/>
          </w:divBdr>
          <w:divsChild>
            <w:div w:id="1446852396">
              <w:marLeft w:val="0"/>
              <w:marRight w:val="0"/>
              <w:marTop w:val="0"/>
              <w:marBottom w:val="0"/>
              <w:divBdr>
                <w:top w:val="none" w:sz="0" w:space="0" w:color="auto"/>
                <w:left w:val="none" w:sz="0" w:space="0" w:color="auto"/>
                <w:bottom w:val="none" w:sz="0" w:space="0" w:color="auto"/>
                <w:right w:val="none" w:sz="0" w:space="0" w:color="auto"/>
              </w:divBdr>
            </w:div>
          </w:divsChild>
        </w:div>
        <w:div w:id="554777170">
          <w:marLeft w:val="0"/>
          <w:marRight w:val="0"/>
          <w:marTop w:val="0"/>
          <w:marBottom w:val="0"/>
          <w:divBdr>
            <w:top w:val="none" w:sz="0" w:space="0" w:color="auto"/>
            <w:left w:val="none" w:sz="0" w:space="0" w:color="auto"/>
            <w:bottom w:val="none" w:sz="0" w:space="0" w:color="auto"/>
            <w:right w:val="none" w:sz="0" w:space="0" w:color="auto"/>
          </w:divBdr>
          <w:divsChild>
            <w:div w:id="1511945312">
              <w:marLeft w:val="0"/>
              <w:marRight w:val="0"/>
              <w:marTop w:val="0"/>
              <w:marBottom w:val="0"/>
              <w:divBdr>
                <w:top w:val="none" w:sz="0" w:space="0" w:color="auto"/>
                <w:left w:val="none" w:sz="0" w:space="0" w:color="auto"/>
                <w:bottom w:val="none" w:sz="0" w:space="0" w:color="auto"/>
                <w:right w:val="none" w:sz="0" w:space="0" w:color="auto"/>
              </w:divBdr>
            </w:div>
          </w:divsChild>
        </w:div>
        <w:div w:id="556553876">
          <w:marLeft w:val="0"/>
          <w:marRight w:val="0"/>
          <w:marTop w:val="0"/>
          <w:marBottom w:val="0"/>
          <w:divBdr>
            <w:top w:val="none" w:sz="0" w:space="0" w:color="auto"/>
            <w:left w:val="none" w:sz="0" w:space="0" w:color="auto"/>
            <w:bottom w:val="none" w:sz="0" w:space="0" w:color="auto"/>
            <w:right w:val="none" w:sz="0" w:space="0" w:color="auto"/>
          </w:divBdr>
          <w:divsChild>
            <w:div w:id="1692023589">
              <w:marLeft w:val="0"/>
              <w:marRight w:val="0"/>
              <w:marTop w:val="0"/>
              <w:marBottom w:val="0"/>
              <w:divBdr>
                <w:top w:val="none" w:sz="0" w:space="0" w:color="auto"/>
                <w:left w:val="none" w:sz="0" w:space="0" w:color="auto"/>
                <w:bottom w:val="none" w:sz="0" w:space="0" w:color="auto"/>
                <w:right w:val="none" w:sz="0" w:space="0" w:color="auto"/>
              </w:divBdr>
            </w:div>
          </w:divsChild>
        </w:div>
        <w:div w:id="559632114">
          <w:marLeft w:val="0"/>
          <w:marRight w:val="0"/>
          <w:marTop w:val="0"/>
          <w:marBottom w:val="0"/>
          <w:divBdr>
            <w:top w:val="none" w:sz="0" w:space="0" w:color="auto"/>
            <w:left w:val="none" w:sz="0" w:space="0" w:color="auto"/>
            <w:bottom w:val="none" w:sz="0" w:space="0" w:color="auto"/>
            <w:right w:val="none" w:sz="0" w:space="0" w:color="auto"/>
          </w:divBdr>
          <w:divsChild>
            <w:div w:id="413824479">
              <w:marLeft w:val="0"/>
              <w:marRight w:val="0"/>
              <w:marTop w:val="0"/>
              <w:marBottom w:val="0"/>
              <w:divBdr>
                <w:top w:val="none" w:sz="0" w:space="0" w:color="auto"/>
                <w:left w:val="none" w:sz="0" w:space="0" w:color="auto"/>
                <w:bottom w:val="none" w:sz="0" w:space="0" w:color="auto"/>
                <w:right w:val="none" w:sz="0" w:space="0" w:color="auto"/>
              </w:divBdr>
            </w:div>
          </w:divsChild>
        </w:div>
        <w:div w:id="564606540">
          <w:marLeft w:val="0"/>
          <w:marRight w:val="0"/>
          <w:marTop w:val="0"/>
          <w:marBottom w:val="0"/>
          <w:divBdr>
            <w:top w:val="none" w:sz="0" w:space="0" w:color="auto"/>
            <w:left w:val="none" w:sz="0" w:space="0" w:color="auto"/>
            <w:bottom w:val="none" w:sz="0" w:space="0" w:color="auto"/>
            <w:right w:val="none" w:sz="0" w:space="0" w:color="auto"/>
          </w:divBdr>
          <w:divsChild>
            <w:div w:id="375740129">
              <w:marLeft w:val="0"/>
              <w:marRight w:val="0"/>
              <w:marTop w:val="0"/>
              <w:marBottom w:val="0"/>
              <w:divBdr>
                <w:top w:val="none" w:sz="0" w:space="0" w:color="auto"/>
                <w:left w:val="none" w:sz="0" w:space="0" w:color="auto"/>
                <w:bottom w:val="none" w:sz="0" w:space="0" w:color="auto"/>
                <w:right w:val="none" w:sz="0" w:space="0" w:color="auto"/>
              </w:divBdr>
            </w:div>
          </w:divsChild>
        </w:div>
        <w:div w:id="564952870">
          <w:marLeft w:val="0"/>
          <w:marRight w:val="0"/>
          <w:marTop w:val="0"/>
          <w:marBottom w:val="0"/>
          <w:divBdr>
            <w:top w:val="none" w:sz="0" w:space="0" w:color="auto"/>
            <w:left w:val="none" w:sz="0" w:space="0" w:color="auto"/>
            <w:bottom w:val="none" w:sz="0" w:space="0" w:color="auto"/>
            <w:right w:val="none" w:sz="0" w:space="0" w:color="auto"/>
          </w:divBdr>
          <w:divsChild>
            <w:div w:id="2092314792">
              <w:marLeft w:val="0"/>
              <w:marRight w:val="0"/>
              <w:marTop w:val="0"/>
              <w:marBottom w:val="0"/>
              <w:divBdr>
                <w:top w:val="none" w:sz="0" w:space="0" w:color="auto"/>
                <w:left w:val="none" w:sz="0" w:space="0" w:color="auto"/>
                <w:bottom w:val="none" w:sz="0" w:space="0" w:color="auto"/>
                <w:right w:val="none" w:sz="0" w:space="0" w:color="auto"/>
              </w:divBdr>
            </w:div>
          </w:divsChild>
        </w:div>
        <w:div w:id="568853788">
          <w:marLeft w:val="0"/>
          <w:marRight w:val="0"/>
          <w:marTop w:val="0"/>
          <w:marBottom w:val="0"/>
          <w:divBdr>
            <w:top w:val="none" w:sz="0" w:space="0" w:color="auto"/>
            <w:left w:val="none" w:sz="0" w:space="0" w:color="auto"/>
            <w:bottom w:val="none" w:sz="0" w:space="0" w:color="auto"/>
            <w:right w:val="none" w:sz="0" w:space="0" w:color="auto"/>
          </w:divBdr>
          <w:divsChild>
            <w:div w:id="1863784077">
              <w:marLeft w:val="0"/>
              <w:marRight w:val="0"/>
              <w:marTop w:val="0"/>
              <w:marBottom w:val="0"/>
              <w:divBdr>
                <w:top w:val="none" w:sz="0" w:space="0" w:color="auto"/>
                <w:left w:val="none" w:sz="0" w:space="0" w:color="auto"/>
                <w:bottom w:val="none" w:sz="0" w:space="0" w:color="auto"/>
                <w:right w:val="none" w:sz="0" w:space="0" w:color="auto"/>
              </w:divBdr>
            </w:div>
          </w:divsChild>
        </w:div>
        <w:div w:id="570847144">
          <w:marLeft w:val="0"/>
          <w:marRight w:val="0"/>
          <w:marTop w:val="0"/>
          <w:marBottom w:val="0"/>
          <w:divBdr>
            <w:top w:val="none" w:sz="0" w:space="0" w:color="auto"/>
            <w:left w:val="none" w:sz="0" w:space="0" w:color="auto"/>
            <w:bottom w:val="none" w:sz="0" w:space="0" w:color="auto"/>
            <w:right w:val="none" w:sz="0" w:space="0" w:color="auto"/>
          </w:divBdr>
          <w:divsChild>
            <w:div w:id="523901768">
              <w:marLeft w:val="0"/>
              <w:marRight w:val="0"/>
              <w:marTop w:val="0"/>
              <w:marBottom w:val="0"/>
              <w:divBdr>
                <w:top w:val="none" w:sz="0" w:space="0" w:color="auto"/>
                <w:left w:val="none" w:sz="0" w:space="0" w:color="auto"/>
                <w:bottom w:val="none" w:sz="0" w:space="0" w:color="auto"/>
                <w:right w:val="none" w:sz="0" w:space="0" w:color="auto"/>
              </w:divBdr>
            </w:div>
          </w:divsChild>
        </w:div>
        <w:div w:id="573859303">
          <w:marLeft w:val="0"/>
          <w:marRight w:val="0"/>
          <w:marTop w:val="0"/>
          <w:marBottom w:val="0"/>
          <w:divBdr>
            <w:top w:val="none" w:sz="0" w:space="0" w:color="auto"/>
            <w:left w:val="none" w:sz="0" w:space="0" w:color="auto"/>
            <w:bottom w:val="none" w:sz="0" w:space="0" w:color="auto"/>
            <w:right w:val="none" w:sz="0" w:space="0" w:color="auto"/>
          </w:divBdr>
          <w:divsChild>
            <w:div w:id="1057431518">
              <w:marLeft w:val="0"/>
              <w:marRight w:val="0"/>
              <w:marTop w:val="0"/>
              <w:marBottom w:val="0"/>
              <w:divBdr>
                <w:top w:val="none" w:sz="0" w:space="0" w:color="auto"/>
                <w:left w:val="none" w:sz="0" w:space="0" w:color="auto"/>
                <w:bottom w:val="none" w:sz="0" w:space="0" w:color="auto"/>
                <w:right w:val="none" w:sz="0" w:space="0" w:color="auto"/>
              </w:divBdr>
            </w:div>
          </w:divsChild>
        </w:div>
        <w:div w:id="574515271">
          <w:marLeft w:val="0"/>
          <w:marRight w:val="0"/>
          <w:marTop w:val="0"/>
          <w:marBottom w:val="0"/>
          <w:divBdr>
            <w:top w:val="none" w:sz="0" w:space="0" w:color="auto"/>
            <w:left w:val="none" w:sz="0" w:space="0" w:color="auto"/>
            <w:bottom w:val="none" w:sz="0" w:space="0" w:color="auto"/>
            <w:right w:val="none" w:sz="0" w:space="0" w:color="auto"/>
          </w:divBdr>
          <w:divsChild>
            <w:div w:id="1820997049">
              <w:marLeft w:val="0"/>
              <w:marRight w:val="0"/>
              <w:marTop w:val="0"/>
              <w:marBottom w:val="0"/>
              <w:divBdr>
                <w:top w:val="none" w:sz="0" w:space="0" w:color="auto"/>
                <w:left w:val="none" w:sz="0" w:space="0" w:color="auto"/>
                <w:bottom w:val="none" w:sz="0" w:space="0" w:color="auto"/>
                <w:right w:val="none" w:sz="0" w:space="0" w:color="auto"/>
              </w:divBdr>
            </w:div>
          </w:divsChild>
        </w:div>
        <w:div w:id="575551038">
          <w:marLeft w:val="0"/>
          <w:marRight w:val="0"/>
          <w:marTop w:val="0"/>
          <w:marBottom w:val="0"/>
          <w:divBdr>
            <w:top w:val="none" w:sz="0" w:space="0" w:color="auto"/>
            <w:left w:val="none" w:sz="0" w:space="0" w:color="auto"/>
            <w:bottom w:val="none" w:sz="0" w:space="0" w:color="auto"/>
            <w:right w:val="none" w:sz="0" w:space="0" w:color="auto"/>
          </w:divBdr>
          <w:divsChild>
            <w:div w:id="777528493">
              <w:marLeft w:val="0"/>
              <w:marRight w:val="0"/>
              <w:marTop w:val="0"/>
              <w:marBottom w:val="0"/>
              <w:divBdr>
                <w:top w:val="none" w:sz="0" w:space="0" w:color="auto"/>
                <w:left w:val="none" w:sz="0" w:space="0" w:color="auto"/>
                <w:bottom w:val="none" w:sz="0" w:space="0" w:color="auto"/>
                <w:right w:val="none" w:sz="0" w:space="0" w:color="auto"/>
              </w:divBdr>
            </w:div>
          </w:divsChild>
        </w:div>
        <w:div w:id="575551901">
          <w:marLeft w:val="0"/>
          <w:marRight w:val="0"/>
          <w:marTop w:val="0"/>
          <w:marBottom w:val="0"/>
          <w:divBdr>
            <w:top w:val="none" w:sz="0" w:space="0" w:color="auto"/>
            <w:left w:val="none" w:sz="0" w:space="0" w:color="auto"/>
            <w:bottom w:val="none" w:sz="0" w:space="0" w:color="auto"/>
            <w:right w:val="none" w:sz="0" w:space="0" w:color="auto"/>
          </w:divBdr>
          <w:divsChild>
            <w:div w:id="1232739047">
              <w:marLeft w:val="0"/>
              <w:marRight w:val="0"/>
              <w:marTop w:val="0"/>
              <w:marBottom w:val="0"/>
              <w:divBdr>
                <w:top w:val="none" w:sz="0" w:space="0" w:color="auto"/>
                <w:left w:val="none" w:sz="0" w:space="0" w:color="auto"/>
                <w:bottom w:val="none" w:sz="0" w:space="0" w:color="auto"/>
                <w:right w:val="none" w:sz="0" w:space="0" w:color="auto"/>
              </w:divBdr>
            </w:div>
          </w:divsChild>
        </w:div>
        <w:div w:id="575939732">
          <w:marLeft w:val="0"/>
          <w:marRight w:val="0"/>
          <w:marTop w:val="0"/>
          <w:marBottom w:val="0"/>
          <w:divBdr>
            <w:top w:val="none" w:sz="0" w:space="0" w:color="auto"/>
            <w:left w:val="none" w:sz="0" w:space="0" w:color="auto"/>
            <w:bottom w:val="none" w:sz="0" w:space="0" w:color="auto"/>
            <w:right w:val="none" w:sz="0" w:space="0" w:color="auto"/>
          </w:divBdr>
          <w:divsChild>
            <w:div w:id="145242677">
              <w:marLeft w:val="0"/>
              <w:marRight w:val="0"/>
              <w:marTop w:val="0"/>
              <w:marBottom w:val="0"/>
              <w:divBdr>
                <w:top w:val="none" w:sz="0" w:space="0" w:color="auto"/>
                <w:left w:val="none" w:sz="0" w:space="0" w:color="auto"/>
                <w:bottom w:val="none" w:sz="0" w:space="0" w:color="auto"/>
                <w:right w:val="none" w:sz="0" w:space="0" w:color="auto"/>
              </w:divBdr>
            </w:div>
          </w:divsChild>
        </w:div>
        <w:div w:id="582952475">
          <w:marLeft w:val="0"/>
          <w:marRight w:val="0"/>
          <w:marTop w:val="0"/>
          <w:marBottom w:val="0"/>
          <w:divBdr>
            <w:top w:val="none" w:sz="0" w:space="0" w:color="auto"/>
            <w:left w:val="none" w:sz="0" w:space="0" w:color="auto"/>
            <w:bottom w:val="none" w:sz="0" w:space="0" w:color="auto"/>
            <w:right w:val="none" w:sz="0" w:space="0" w:color="auto"/>
          </w:divBdr>
          <w:divsChild>
            <w:div w:id="819539195">
              <w:marLeft w:val="0"/>
              <w:marRight w:val="0"/>
              <w:marTop w:val="0"/>
              <w:marBottom w:val="0"/>
              <w:divBdr>
                <w:top w:val="none" w:sz="0" w:space="0" w:color="auto"/>
                <w:left w:val="none" w:sz="0" w:space="0" w:color="auto"/>
                <w:bottom w:val="none" w:sz="0" w:space="0" w:color="auto"/>
                <w:right w:val="none" w:sz="0" w:space="0" w:color="auto"/>
              </w:divBdr>
            </w:div>
          </w:divsChild>
        </w:div>
        <w:div w:id="583148700">
          <w:marLeft w:val="0"/>
          <w:marRight w:val="0"/>
          <w:marTop w:val="0"/>
          <w:marBottom w:val="0"/>
          <w:divBdr>
            <w:top w:val="none" w:sz="0" w:space="0" w:color="auto"/>
            <w:left w:val="none" w:sz="0" w:space="0" w:color="auto"/>
            <w:bottom w:val="none" w:sz="0" w:space="0" w:color="auto"/>
            <w:right w:val="none" w:sz="0" w:space="0" w:color="auto"/>
          </w:divBdr>
          <w:divsChild>
            <w:div w:id="1456563985">
              <w:marLeft w:val="0"/>
              <w:marRight w:val="0"/>
              <w:marTop w:val="0"/>
              <w:marBottom w:val="0"/>
              <w:divBdr>
                <w:top w:val="none" w:sz="0" w:space="0" w:color="auto"/>
                <w:left w:val="none" w:sz="0" w:space="0" w:color="auto"/>
                <w:bottom w:val="none" w:sz="0" w:space="0" w:color="auto"/>
                <w:right w:val="none" w:sz="0" w:space="0" w:color="auto"/>
              </w:divBdr>
            </w:div>
          </w:divsChild>
        </w:div>
        <w:div w:id="585072392">
          <w:marLeft w:val="0"/>
          <w:marRight w:val="0"/>
          <w:marTop w:val="0"/>
          <w:marBottom w:val="0"/>
          <w:divBdr>
            <w:top w:val="none" w:sz="0" w:space="0" w:color="auto"/>
            <w:left w:val="none" w:sz="0" w:space="0" w:color="auto"/>
            <w:bottom w:val="none" w:sz="0" w:space="0" w:color="auto"/>
            <w:right w:val="none" w:sz="0" w:space="0" w:color="auto"/>
          </w:divBdr>
          <w:divsChild>
            <w:div w:id="1086076696">
              <w:marLeft w:val="0"/>
              <w:marRight w:val="0"/>
              <w:marTop w:val="0"/>
              <w:marBottom w:val="0"/>
              <w:divBdr>
                <w:top w:val="none" w:sz="0" w:space="0" w:color="auto"/>
                <w:left w:val="none" w:sz="0" w:space="0" w:color="auto"/>
                <w:bottom w:val="none" w:sz="0" w:space="0" w:color="auto"/>
                <w:right w:val="none" w:sz="0" w:space="0" w:color="auto"/>
              </w:divBdr>
            </w:div>
          </w:divsChild>
        </w:div>
        <w:div w:id="585188864">
          <w:marLeft w:val="0"/>
          <w:marRight w:val="0"/>
          <w:marTop w:val="0"/>
          <w:marBottom w:val="0"/>
          <w:divBdr>
            <w:top w:val="none" w:sz="0" w:space="0" w:color="auto"/>
            <w:left w:val="none" w:sz="0" w:space="0" w:color="auto"/>
            <w:bottom w:val="none" w:sz="0" w:space="0" w:color="auto"/>
            <w:right w:val="none" w:sz="0" w:space="0" w:color="auto"/>
          </w:divBdr>
          <w:divsChild>
            <w:div w:id="58524700">
              <w:marLeft w:val="0"/>
              <w:marRight w:val="0"/>
              <w:marTop w:val="0"/>
              <w:marBottom w:val="0"/>
              <w:divBdr>
                <w:top w:val="none" w:sz="0" w:space="0" w:color="auto"/>
                <w:left w:val="none" w:sz="0" w:space="0" w:color="auto"/>
                <w:bottom w:val="none" w:sz="0" w:space="0" w:color="auto"/>
                <w:right w:val="none" w:sz="0" w:space="0" w:color="auto"/>
              </w:divBdr>
            </w:div>
          </w:divsChild>
        </w:div>
        <w:div w:id="588199177">
          <w:marLeft w:val="0"/>
          <w:marRight w:val="0"/>
          <w:marTop w:val="0"/>
          <w:marBottom w:val="0"/>
          <w:divBdr>
            <w:top w:val="none" w:sz="0" w:space="0" w:color="auto"/>
            <w:left w:val="none" w:sz="0" w:space="0" w:color="auto"/>
            <w:bottom w:val="none" w:sz="0" w:space="0" w:color="auto"/>
            <w:right w:val="none" w:sz="0" w:space="0" w:color="auto"/>
          </w:divBdr>
          <w:divsChild>
            <w:div w:id="1117800143">
              <w:marLeft w:val="0"/>
              <w:marRight w:val="0"/>
              <w:marTop w:val="0"/>
              <w:marBottom w:val="0"/>
              <w:divBdr>
                <w:top w:val="none" w:sz="0" w:space="0" w:color="auto"/>
                <w:left w:val="none" w:sz="0" w:space="0" w:color="auto"/>
                <w:bottom w:val="none" w:sz="0" w:space="0" w:color="auto"/>
                <w:right w:val="none" w:sz="0" w:space="0" w:color="auto"/>
              </w:divBdr>
            </w:div>
          </w:divsChild>
        </w:div>
        <w:div w:id="589780068">
          <w:marLeft w:val="0"/>
          <w:marRight w:val="0"/>
          <w:marTop w:val="0"/>
          <w:marBottom w:val="0"/>
          <w:divBdr>
            <w:top w:val="none" w:sz="0" w:space="0" w:color="auto"/>
            <w:left w:val="none" w:sz="0" w:space="0" w:color="auto"/>
            <w:bottom w:val="none" w:sz="0" w:space="0" w:color="auto"/>
            <w:right w:val="none" w:sz="0" w:space="0" w:color="auto"/>
          </w:divBdr>
          <w:divsChild>
            <w:div w:id="400637644">
              <w:marLeft w:val="0"/>
              <w:marRight w:val="0"/>
              <w:marTop w:val="0"/>
              <w:marBottom w:val="0"/>
              <w:divBdr>
                <w:top w:val="none" w:sz="0" w:space="0" w:color="auto"/>
                <w:left w:val="none" w:sz="0" w:space="0" w:color="auto"/>
                <w:bottom w:val="none" w:sz="0" w:space="0" w:color="auto"/>
                <w:right w:val="none" w:sz="0" w:space="0" w:color="auto"/>
              </w:divBdr>
            </w:div>
          </w:divsChild>
        </w:div>
        <w:div w:id="592014328">
          <w:marLeft w:val="0"/>
          <w:marRight w:val="0"/>
          <w:marTop w:val="0"/>
          <w:marBottom w:val="0"/>
          <w:divBdr>
            <w:top w:val="none" w:sz="0" w:space="0" w:color="auto"/>
            <w:left w:val="none" w:sz="0" w:space="0" w:color="auto"/>
            <w:bottom w:val="none" w:sz="0" w:space="0" w:color="auto"/>
            <w:right w:val="none" w:sz="0" w:space="0" w:color="auto"/>
          </w:divBdr>
          <w:divsChild>
            <w:div w:id="509024986">
              <w:marLeft w:val="0"/>
              <w:marRight w:val="0"/>
              <w:marTop w:val="0"/>
              <w:marBottom w:val="0"/>
              <w:divBdr>
                <w:top w:val="none" w:sz="0" w:space="0" w:color="auto"/>
                <w:left w:val="none" w:sz="0" w:space="0" w:color="auto"/>
                <w:bottom w:val="none" w:sz="0" w:space="0" w:color="auto"/>
                <w:right w:val="none" w:sz="0" w:space="0" w:color="auto"/>
              </w:divBdr>
            </w:div>
          </w:divsChild>
        </w:div>
        <w:div w:id="598414896">
          <w:marLeft w:val="0"/>
          <w:marRight w:val="0"/>
          <w:marTop w:val="0"/>
          <w:marBottom w:val="0"/>
          <w:divBdr>
            <w:top w:val="none" w:sz="0" w:space="0" w:color="auto"/>
            <w:left w:val="none" w:sz="0" w:space="0" w:color="auto"/>
            <w:bottom w:val="none" w:sz="0" w:space="0" w:color="auto"/>
            <w:right w:val="none" w:sz="0" w:space="0" w:color="auto"/>
          </w:divBdr>
          <w:divsChild>
            <w:div w:id="588781947">
              <w:marLeft w:val="0"/>
              <w:marRight w:val="0"/>
              <w:marTop w:val="0"/>
              <w:marBottom w:val="0"/>
              <w:divBdr>
                <w:top w:val="none" w:sz="0" w:space="0" w:color="auto"/>
                <w:left w:val="none" w:sz="0" w:space="0" w:color="auto"/>
                <w:bottom w:val="none" w:sz="0" w:space="0" w:color="auto"/>
                <w:right w:val="none" w:sz="0" w:space="0" w:color="auto"/>
              </w:divBdr>
            </w:div>
          </w:divsChild>
        </w:div>
        <w:div w:id="601768492">
          <w:marLeft w:val="0"/>
          <w:marRight w:val="0"/>
          <w:marTop w:val="0"/>
          <w:marBottom w:val="0"/>
          <w:divBdr>
            <w:top w:val="none" w:sz="0" w:space="0" w:color="auto"/>
            <w:left w:val="none" w:sz="0" w:space="0" w:color="auto"/>
            <w:bottom w:val="none" w:sz="0" w:space="0" w:color="auto"/>
            <w:right w:val="none" w:sz="0" w:space="0" w:color="auto"/>
          </w:divBdr>
          <w:divsChild>
            <w:div w:id="1453594293">
              <w:marLeft w:val="0"/>
              <w:marRight w:val="0"/>
              <w:marTop w:val="0"/>
              <w:marBottom w:val="0"/>
              <w:divBdr>
                <w:top w:val="none" w:sz="0" w:space="0" w:color="auto"/>
                <w:left w:val="none" w:sz="0" w:space="0" w:color="auto"/>
                <w:bottom w:val="none" w:sz="0" w:space="0" w:color="auto"/>
                <w:right w:val="none" w:sz="0" w:space="0" w:color="auto"/>
              </w:divBdr>
            </w:div>
          </w:divsChild>
        </w:div>
        <w:div w:id="603149343">
          <w:marLeft w:val="0"/>
          <w:marRight w:val="0"/>
          <w:marTop w:val="0"/>
          <w:marBottom w:val="0"/>
          <w:divBdr>
            <w:top w:val="none" w:sz="0" w:space="0" w:color="auto"/>
            <w:left w:val="none" w:sz="0" w:space="0" w:color="auto"/>
            <w:bottom w:val="none" w:sz="0" w:space="0" w:color="auto"/>
            <w:right w:val="none" w:sz="0" w:space="0" w:color="auto"/>
          </w:divBdr>
          <w:divsChild>
            <w:div w:id="1061095435">
              <w:marLeft w:val="0"/>
              <w:marRight w:val="0"/>
              <w:marTop w:val="0"/>
              <w:marBottom w:val="0"/>
              <w:divBdr>
                <w:top w:val="none" w:sz="0" w:space="0" w:color="auto"/>
                <w:left w:val="none" w:sz="0" w:space="0" w:color="auto"/>
                <w:bottom w:val="none" w:sz="0" w:space="0" w:color="auto"/>
                <w:right w:val="none" w:sz="0" w:space="0" w:color="auto"/>
              </w:divBdr>
            </w:div>
          </w:divsChild>
        </w:div>
        <w:div w:id="604927154">
          <w:marLeft w:val="0"/>
          <w:marRight w:val="0"/>
          <w:marTop w:val="0"/>
          <w:marBottom w:val="0"/>
          <w:divBdr>
            <w:top w:val="none" w:sz="0" w:space="0" w:color="auto"/>
            <w:left w:val="none" w:sz="0" w:space="0" w:color="auto"/>
            <w:bottom w:val="none" w:sz="0" w:space="0" w:color="auto"/>
            <w:right w:val="none" w:sz="0" w:space="0" w:color="auto"/>
          </w:divBdr>
          <w:divsChild>
            <w:div w:id="1571691676">
              <w:marLeft w:val="0"/>
              <w:marRight w:val="0"/>
              <w:marTop w:val="0"/>
              <w:marBottom w:val="0"/>
              <w:divBdr>
                <w:top w:val="none" w:sz="0" w:space="0" w:color="auto"/>
                <w:left w:val="none" w:sz="0" w:space="0" w:color="auto"/>
                <w:bottom w:val="none" w:sz="0" w:space="0" w:color="auto"/>
                <w:right w:val="none" w:sz="0" w:space="0" w:color="auto"/>
              </w:divBdr>
            </w:div>
          </w:divsChild>
        </w:div>
        <w:div w:id="606038409">
          <w:marLeft w:val="0"/>
          <w:marRight w:val="0"/>
          <w:marTop w:val="0"/>
          <w:marBottom w:val="0"/>
          <w:divBdr>
            <w:top w:val="none" w:sz="0" w:space="0" w:color="auto"/>
            <w:left w:val="none" w:sz="0" w:space="0" w:color="auto"/>
            <w:bottom w:val="none" w:sz="0" w:space="0" w:color="auto"/>
            <w:right w:val="none" w:sz="0" w:space="0" w:color="auto"/>
          </w:divBdr>
          <w:divsChild>
            <w:div w:id="1936087060">
              <w:marLeft w:val="0"/>
              <w:marRight w:val="0"/>
              <w:marTop w:val="0"/>
              <w:marBottom w:val="0"/>
              <w:divBdr>
                <w:top w:val="none" w:sz="0" w:space="0" w:color="auto"/>
                <w:left w:val="none" w:sz="0" w:space="0" w:color="auto"/>
                <w:bottom w:val="none" w:sz="0" w:space="0" w:color="auto"/>
                <w:right w:val="none" w:sz="0" w:space="0" w:color="auto"/>
              </w:divBdr>
            </w:div>
          </w:divsChild>
        </w:div>
        <w:div w:id="608239951">
          <w:marLeft w:val="0"/>
          <w:marRight w:val="0"/>
          <w:marTop w:val="0"/>
          <w:marBottom w:val="0"/>
          <w:divBdr>
            <w:top w:val="none" w:sz="0" w:space="0" w:color="auto"/>
            <w:left w:val="none" w:sz="0" w:space="0" w:color="auto"/>
            <w:bottom w:val="none" w:sz="0" w:space="0" w:color="auto"/>
            <w:right w:val="none" w:sz="0" w:space="0" w:color="auto"/>
          </w:divBdr>
          <w:divsChild>
            <w:div w:id="405420644">
              <w:marLeft w:val="0"/>
              <w:marRight w:val="0"/>
              <w:marTop w:val="0"/>
              <w:marBottom w:val="0"/>
              <w:divBdr>
                <w:top w:val="none" w:sz="0" w:space="0" w:color="auto"/>
                <w:left w:val="none" w:sz="0" w:space="0" w:color="auto"/>
                <w:bottom w:val="none" w:sz="0" w:space="0" w:color="auto"/>
                <w:right w:val="none" w:sz="0" w:space="0" w:color="auto"/>
              </w:divBdr>
            </w:div>
          </w:divsChild>
        </w:div>
        <w:div w:id="609237035">
          <w:marLeft w:val="0"/>
          <w:marRight w:val="0"/>
          <w:marTop w:val="0"/>
          <w:marBottom w:val="0"/>
          <w:divBdr>
            <w:top w:val="none" w:sz="0" w:space="0" w:color="auto"/>
            <w:left w:val="none" w:sz="0" w:space="0" w:color="auto"/>
            <w:bottom w:val="none" w:sz="0" w:space="0" w:color="auto"/>
            <w:right w:val="none" w:sz="0" w:space="0" w:color="auto"/>
          </w:divBdr>
          <w:divsChild>
            <w:div w:id="1276718261">
              <w:marLeft w:val="0"/>
              <w:marRight w:val="0"/>
              <w:marTop w:val="0"/>
              <w:marBottom w:val="0"/>
              <w:divBdr>
                <w:top w:val="none" w:sz="0" w:space="0" w:color="auto"/>
                <w:left w:val="none" w:sz="0" w:space="0" w:color="auto"/>
                <w:bottom w:val="none" w:sz="0" w:space="0" w:color="auto"/>
                <w:right w:val="none" w:sz="0" w:space="0" w:color="auto"/>
              </w:divBdr>
            </w:div>
          </w:divsChild>
        </w:div>
        <w:div w:id="613682325">
          <w:marLeft w:val="0"/>
          <w:marRight w:val="0"/>
          <w:marTop w:val="0"/>
          <w:marBottom w:val="0"/>
          <w:divBdr>
            <w:top w:val="none" w:sz="0" w:space="0" w:color="auto"/>
            <w:left w:val="none" w:sz="0" w:space="0" w:color="auto"/>
            <w:bottom w:val="none" w:sz="0" w:space="0" w:color="auto"/>
            <w:right w:val="none" w:sz="0" w:space="0" w:color="auto"/>
          </w:divBdr>
          <w:divsChild>
            <w:div w:id="766267038">
              <w:marLeft w:val="0"/>
              <w:marRight w:val="0"/>
              <w:marTop w:val="0"/>
              <w:marBottom w:val="0"/>
              <w:divBdr>
                <w:top w:val="none" w:sz="0" w:space="0" w:color="auto"/>
                <w:left w:val="none" w:sz="0" w:space="0" w:color="auto"/>
                <w:bottom w:val="none" w:sz="0" w:space="0" w:color="auto"/>
                <w:right w:val="none" w:sz="0" w:space="0" w:color="auto"/>
              </w:divBdr>
            </w:div>
          </w:divsChild>
        </w:div>
        <w:div w:id="613757503">
          <w:marLeft w:val="0"/>
          <w:marRight w:val="0"/>
          <w:marTop w:val="0"/>
          <w:marBottom w:val="0"/>
          <w:divBdr>
            <w:top w:val="none" w:sz="0" w:space="0" w:color="auto"/>
            <w:left w:val="none" w:sz="0" w:space="0" w:color="auto"/>
            <w:bottom w:val="none" w:sz="0" w:space="0" w:color="auto"/>
            <w:right w:val="none" w:sz="0" w:space="0" w:color="auto"/>
          </w:divBdr>
          <w:divsChild>
            <w:div w:id="481625733">
              <w:marLeft w:val="0"/>
              <w:marRight w:val="0"/>
              <w:marTop w:val="0"/>
              <w:marBottom w:val="0"/>
              <w:divBdr>
                <w:top w:val="none" w:sz="0" w:space="0" w:color="auto"/>
                <w:left w:val="none" w:sz="0" w:space="0" w:color="auto"/>
                <w:bottom w:val="none" w:sz="0" w:space="0" w:color="auto"/>
                <w:right w:val="none" w:sz="0" w:space="0" w:color="auto"/>
              </w:divBdr>
            </w:div>
          </w:divsChild>
        </w:div>
        <w:div w:id="629435108">
          <w:marLeft w:val="0"/>
          <w:marRight w:val="0"/>
          <w:marTop w:val="0"/>
          <w:marBottom w:val="0"/>
          <w:divBdr>
            <w:top w:val="none" w:sz="0" w:space="0" w:color="auto"/>
            <w:left w:val="none" w:sz="0" w:space="0" w:color="auto"/>
            <w:bottom w:val="none" w:sz="0" w:space="0" w:color="auto"/>
            <w:right w:val="none" w:sz="0" w:space="0" w:color="auto"/>
          </w:divBdr>
          <w:divsChild>
            <w:div w:id="1956712143">
              <w:marLeft w:val="0"/>
              <w:marRight w:val="0"/>
              <w:marTop w:val="0"/>
              <w:marBottom w:val="0"/>
              <w:divBdr>
                <w:top w:val="none" w:sz="0" w:space="0" w:color="auto"/>
                <w:left w:val="none" w:sz="0" w:space="0" w:color="auto"/>
                <w:bottom w:val="none" w:sz="0" w:space="0" w:color="auto"/>
                <w:right w:val="none" w:sz="0" w:space="0" w:color="auto"/>
              </w:divBdr>
            </w:div>
          </w:divsChild>
        </w:div>
        <w:div w:id="631247792">
          <w:marLeft w:val="0"/>
          <w:marRight w:val="0"/>
          <w:marTop w:val="0"/>
          <w:marBottom w:val="0"/>
          <w:divBdr>
            <w:top w:val="none" w:sz="0" w:space="0" w:color="auto"/>
            <w:left w:val="none" w:sz="0" w:space="0" w:color="auto"/>
            <w:bottom w:val="none" w:sz="0" w:space="0" w:color="auto"/>
            <w:right w:val="none" w:sz="0" w:space="0" w:color="auto"/>
          </w:divBdr>
          <w:divsChild>
            <w:div w:id="885023048">
              <w:marLeft w:val="0"/>
              <w:marRight w:val="0"/>
              <w:marTop w:val="0"/>
              <w:marBottom w:val="0"/>
              <w:divBdr>
                <w:top w:val="none" w:sz="0" w:space="0" w:color="auto"/>
                <w:left w:val="none" w:sz="0" w:space="0" w:color="auto"/>
                <w:bottom w:val="none" w:sz="0" w:space="0" w:color="auto"/>
                <w:right w:val="none" w:sz="0" w:space="0" w:color="auto"/>
              </w:divBdr>
            </w:div>
          </w:divsChild>
        </w:div>
        <w:div w:id="634067356">
          <w:marLeft w:val="0"/>
          <w:marRight w:val="0"/>
          <w:marTop w:val="0"/>
          <w:marBottom w:val="0"/>
          <w:divBdr>
            <w:top w:val="none" w:sz="0" w:space="0" w:color="auto"/>
            <w:left w:val="none" w:sz="0" w:space="0" w:color="auto"/>
            <w:bottom w:val="none" w:sz="0" w:space="0" w:color="auto"/>
            <w:right w:val="none" w:sz="0" w:space="0" w:color="auto"/>
          </w:divBdr>
          <w:divsChild>
            <w:div w:id="519778712">
              <w:marLeft w:val="0"/>
              <w:marRight w:val="0"/>
              <w:marTop w:val="0"/>
              <w:marBottom w:val="0"/>
              <w:divBdr>
                <w:top w:val="none" w:sz="0" w:space="0" w:color="auto"/>
                <w:left w:val="none" w:sz="0" w:space="0" w:color="auto"/>
                <w:bottom w:val="none" w:sz="0" w:space="0" w:color="auto"/>
                <w:right w:val="none" w:sz="0" w:space="0" w:color="auto"/>
              </w:divBdr>
            </w:div>
          </w:divsChild>
        </w:div>
        <w:div w:id="634526547">
          <w:marLeft w:val="0"/>
          <w:marRight w:val="0"/>
          <w:marTop w:val="0"/>
          <w:marBottom w:val="0"/>
          <w:divBdr>
            <w:top w:val="none" w:sz="0" w:space="0" w:color="auto"/>
            <w:left w:val="none" w:sz="0" w:space="0" w:color="auto"/>
            <w:bottom w:val="none" w:sz="0" w:space="0" w:color="auto"/>
            <w:right w:val="none" w:sz="0" w:space="0" w:color="auto"/>
          </w:divBdr>
          <w:divsChild>
            <w:div w:id="1470783389">
              <w:marLeft w:val="0"/>
              <w:marRight w:val="0"/>
              <w:marTop w:val="0"/>
              <w:marBottom w:val="0"/>
              <w:divBdr>
                <w:top w:val="none" w:sz="0" w:space="0" w:color="auto"/>
                <w:left w:val="none" w:sz="0" w:space="0" w:color="auto"/>
                <w:bottom w:val="none" w:sz="0" w:space="0" w:color="auto"/>
                <w:right w:val="none" w:sz="0" w:space="0" w:color="auto"/>
              </w:divBdr>
            </w:div>
          </w:divsChild>
        </w:div>
        <w:div w:id="636494100">
          <w:marLeft w:val="0"/>
          <w:marRight w:val="0"/>
          <w:marTop w:val="0"/>
          <w:marBottom w:val="0"/>
          <w:divBdr>
            <w:top w:val="none" w:sz="0" w:space="0" w:color="auto"/>
            <w:left w:val="none" w:sz="0" w:space="0" w:color="auto"/>
            <w:bottom w:val="none" w:sz="0" w:space="0" w:color="auto"/>
            <w:right w:val="none" w:sz="0" w:space="0" w:color="auto"/>
          </w:divBdr>
          <w:divsChild>
            <w:div w:id="1160390533">
              <w:marLeft w:val="0"/>
              <w:marRight w:val="0"/>
              <w:marTop w:val="0"/>
              <w:marBottom w:val="0"/>
              <w:divBdr>
                <w:top w:val="none" w:sz="0" w:space="0" w:color="auto"/>
                <w:left w:val="none" w:sz="0" w:space="0" w:color="auto"/>
                <w:bottom w:val="none" w:sz="0" w:space="0" w:color="auto"/>
                <w:right w:val="none" w:sz="0" w:space="0" w:color="auto"/>
              </w:divBdr>
            </w:div>
          </w:divsChild>
        </w:div>
        <w:div w:id="636837593">
          <w:marLeft w:val="0"/>
          <w:marRight w:val="0"/>
          <w:marTop w:val="0"/>
          <w:marBottom w:val="0"/>
          <w:divBdr>
            <w:top w:val="none" w:sz="0" w:space="0" w:color="auto"/>
            <w:left w:val="none" w:sz="0" w:space="0" w:color="auto"/>
            <w:bottom w:val="none" w:sz="0" w:space="0" w:color="auto"/>
            <w:right w:val="none" w:sz="0" w:space="0" w:color="auto"/>
          </w:divBdr>
          <w:divsChild>
            <w:div w:id="1961640192">
              <w:marLeft w:val="0"/>
              <w:marRight w:val="0"/>
              <w:marTop w:val="0"/>
              <w:marBottom w:val="0"/>
              <w:divBdr>
                <w:top w:val="none" w:sz="0" w:space="0" w:color="auto"/>
                <w:left w:val="none" w:sz="0" w:space="0" w:color="auto"/>
                <w:bottom w:val="none" w:sz="0" w:space="0" w:color="auto"/>
                <w:right w:val="none" w:sz="0" w:space="0" w:color="auto"/>
              </w:divBdr>
            </w:div>
          </w:divsChild>
        </w:div>
        <w:div w:id="637422646">
          <w:marLeft w:val="0"/>
          <w:marRight w:val="0"/>
          <w:marTop w:val="0"/>
          <w:marBottom w:val="0"/>
          <w:divBdr>
            <w:top w:val="none" w:sz="0" w:space="0" w:color="auto"/>
            <w:left w:val="none" w:sz="0" w:space="0" w:color="auto"/>
            <w:bottom w:val="none" w:sz="0" w:space="0" w:color="auto"/>
            <w:right w:val="none" w:sz="0" w:space="0" w:color="auto"/>
          </w:divBdr>
          <w:divsChild>
            <w:div w:id="58216481">
              <w:marLeft w:val="0"/>
              <w:marRight w:val="0"/>
              <w:marTop w:val="0"/>
              <w:marBottom w:val="0"/>
              <w:divBdr>
                <w:top w:val="none" w:sz="0" w:space="0" w:color="auto"/>
                <w:left w:val="none" w:sz="0" w:space="0" w:color="auto"/>
                <w:bottom w:val="none" w:sz="0" w:space="0" w:color="auto"/>
                <w:right w:val="none" w:sz="0" w:space="0" w:color="auto"/>
              </w:divBdr>
            </w:div>
          </w:divsChild>
        </w:div>
        <w:div w:id="640424721">
          <w:marLeft w:val="0"/>
          <w:marRight w:val="0"/>
          <w:marTop w:val="0"/>
          <w:marBottom w:val="0"/>
          <w:divBdr>
            <w:top w:val="none" w:sz="0" w:space="0" w:color="auto"/>
            <w:left w:val="none" w:sz="0" w:space="0" w:color="auto"/>
            <w:bottom w:val="none" w:sz="0" w:space="0" w:color="auto"/>
            <w:right w:val="none" w:sz="0" w:space="0" w:color="auto"/>
          </w:divBdr>
          <w:divsChild>
            <w:div w:id="226766695">
              <w:marLeft w:val="0"/>
              <w:marRight w:val="0"/>
              <w:marTop w:val="0"/>
              <w:marBottom w:val="0"/>
              <w:divBdr>
                <w:top w:val="none" w:sz="0" w:space="0" w:color="auto"/>
                <w:left w:val="none" w:sz="0" w:space="0" w:color="auto"/>
                <w:bottom w:val="none" w:sz="0" w:space="0" w:color="auto"/>
                <w:right w:val="none" w:sz="0" w:space="0" w:color="auto"/>
              </w:divBdr>
            </w:div>
          </w:divsChild>
        </w:div>
        <w:div w:id="642196021">
          <w:marLeft w:val="0"/>
          <w:marRight w:val="0"/>
          <w:marTop w:val="0"/>
          <w:marBottom w:val="0"/>
          <w:divBdr>
            <w:top w:val="none" w:sz="0" w:space="0" w:color="auto"/>
            <w:left w:val="none" w:sz="0" w:space="0" w:color="auto"/>
            <w:bottom w:val="none" w:sz="0" w:space="0" w:color="auto"/>
            <w:right w:val="none" w:sz="0" w:space="0" w:color="auto"/>
          </w:divBdr>
          <w:divsChild>
            <w:div w:id="824466966">
              <w:marLeft w:val="0"/>
              <w:marRight w:val="0"/>
              <w:marTop w:val="0"/>
              <w:marBottom w:val="0"/>
              <w:divBdr>
                <w:top w:val="none" w:sz="0" w:space="0" w:color="auto"/>
                <w:left w:val="none" w:sz="0" w:space="0" w:color="auto"/>
                <w:bottom w:val="none" w:sz="0" w:space="0" w:color="auto"/>
                <w:right w:val="none" w:sz="0" w:space="0" w:color="auto"/>
              </w:divBdr>
            </w:div>
          </w:divsChild>
        </w:div>
        <w:div w:id="642468947">
          <w:marLeft w:val="0"/>
          <w:marRight w:val="0"/>
          <w:marTop w:val="0"/>
          <w:marBottom w:val="0"/>
          <w:divBdr>
            <w:top w:val="none" w:sz="0" w:space="0" w:color="auto"/>
            <w:left w:val="none" w:sz="0" w:space="0" w:color="auto"/>
            <w:bottom w:val="none" w:sz="0" w:space="0" w:color="auto"/>
            <w:right w:val="none" w:sz="0" w:space="0" w:color="auto"/>
          </w:divBdr>
          <w:divsChild>
            <w:div w:id="1800340204">
              <w:marLeft w:val="0"/>
              <w:marRight w:val="0"/>
              <w:marTop w:val="0"/>
              <w:marBottom w:val="0"/>
              <w:divBdr>
                <w:top w:val="none" w:sz="0" w:space="0" w:color="auto"/>
                <w:left w:val="none" w:sz="0" w:space="0" w:color="auto"/>
                <w:bottom w:val="none" w:sz="0" w:space="0" w:color="auto"/>
                <w:right w:val="none" w:sz="0" w:space="0" w:color="auto"/>
              </w:divBdr>
            </w:div>
          </w:divsChild>
        </w:div>
        <w:div w:id="644088599">
          <w:marLeft w:val="0"/>
          <w:marRight w:val="0"/>
          <w:marTop w:val="0"/>
          <w:marBottom w:val="0"/>
          <w:divBdr>
            <w:top w:val="none" w:sz="0" w:space="0" w:color="auto"/>
            <w:left w:val="none" w:sz="0" w:space="0" w:color="auto"/>
            <w:bottom w:val="none" w:sz="0" w:space="0" w:color="auto"/>
            <w:right w:val="none" w:sz="0" w:space="0" w:color="auto"/>
          </w:divBdr>
          <w:divsChild>
            <w:div w:id="322780072">
              <w:marLeft w:val="0"/>
              <w:marRight w:val="0"/>
              <w:marTop w:val="0"/>
              <w:marBottom w:val="0"/>
              <w:divBdr>
                <w:top w:val="none" w:sz="0" w:space="0" w:color="auto"/>
                <w:left w:val="none" w:sz="0" w:space="0" w:color="auto"/>
                <w:bottom w:val="none" w:sz="0" w:space="0" w:color="auto"/>
                <w:right w:val="none" w:sz="0" w:space="0" w:color="auto"/>
              </w:divBdr>
            </w:div>
          </w:divsChild>
        </w:div>
        <w:div w:id="644162743">
          <w:marLeft w:val="0"/>
          <w:marRight w:val="0"/>
          <w:marTop w:val="0"/>
          <w:marBottom w:val="0"/>
          <w:divBdr>
            <w:top w:val="none" w:sz="0" w:space="0" w:color="auto"/>
            <w:left w:val="none" w:sz="0" w:space="0" w:color="auto"/>
            <w:bottom w:val="none" w:sz="0" w:space="0" w:color="auto"/>
            <w:right w:val="none" w:sz="0" w:space="0" w:color="auto"/>
          </w:divBdr>
          <w:divsChild>
            <w:div w:id="1568956053">
              <w:marLeft w:val="0"/>
              <w:marRight w:val="0"/>
              <w:marTop w:val="0"/>
              <w:marBottom w:val="0"/>
              <w:divBdr>
                <w:top w:val="none" w:sz="0" w:space="0" w:color="auto"/>
                <w:left w:val="none" w:sz="0" w:space="0" w:color="auto"/>
                <w:bottom w:val="none" w:sz="0" w:space="0" w:color="auto"/>
                <w:right w:val="none" w:sz="0" w:space="0" w:color="auto"/>
              </w:divBdr>
            </w:div>
          </w:divsChild>
        </w:div>
        <w:div w:id="644821969">
          <w:marLeft w:val="0"/>
          <w:marRight w:val="0"/>
          <w:marTop w:val="0"/>
          <w:marBottom w:val="0"/>
          <w:divBdr>
            <w:top w:val="none" w:sz="0" w:space="0" w:color="auto"/>
            <w:left w:val="none" w:sz="0" w:space="0" w:color="auto"/>
            <w:bottom w:val="none" w:sz="0" w:space="0" w:color="auto"/>
            <w:right w:val="none" w:sz="0" w:space="0" w:color="auto"/>
          </w:divBdr>
          <w:divsChild>
            <w:div w:id="826362459">
              <w:marLeft w:val="0"/>
              <w:marRight w:val="0"/>
              <w:marTop w:val="0"/>
              <w:marBottom w:val="0"/>
              <w:divBdr>
                <w:top w:val="none" w:sz="0" w:space="0" w:color="auto"/>
                <w:left w:val="none" w:sz="0" w:space="0" w:color="auto"/>
                <w:bottom w:val="none" w:sz="0" w:space="0" w:color="auto"/>
                <w:right w:val="none" w:sz="0" w:space="0" w:color="auto"/>
              </w:divBdr>
            </w:div>
          </w:divsChild>
        </w:div>
        <w:div w:id="647826303">
          <w:marLeft w:val="0"/>
          <w:marRight w:val="0"/>
          <w:marTop w:val="0"/>
          <w:marBottom w:val="0"/>
          <w:divBdr>
            <w:top w:val="none" w:sz="0" w:space="0" w:color="auto"/>
            <w:left w:val="none" w:sz="0" w:space="0" w:color="auto"/>
            <w:bottom w:val="none" w:sz="0" w:space="0" w:color="auto"/>
            <w:right w:val="none" w:sz="0" w:space="0" w:color="auto"/>
          </w:divBdr>
          <w:divsChild>
            <w:div w:id="1492600741">
              <w:marLeft w:val="0"/>
              <w:marRight w:val="0"/>
              <w:marTop w:val="0"/>
              <w:marBottom w:val="0"/>
              <w:divBdr>
                <w:top w:val="none" w:sz="0" w:space="0" w:color="auto"/>
                <w:left w:val="none" w:sz="0" w:space="0" w:color="auto"/>
                <w:bottom w:val="none" w:sz="0" w:space="0" w:color="auto"/>
                <w:right w:val="none" w:sz="0" w:space="0" w:color="auto"/>
              </w:divBdr>
            </w:div>
          </w:divsChild>
        </w:div>
        <w:div w:id="648023224">
          <w:marLeft w:val="0"/>
          <w:marRight w:val="0"/>
          <w:marTop w:val="0"/>
          <w:marBottom w:val="0"/>
          <w:divBdr>
            <w:top w:val="none" w:sz="0" w:space="0" w:color="auto"/>
            <w:left w:val="none" w:sz="0" w:space="0" w:color="auto"/>
            <w:bottom w:val="none" w:sz="0" w:space="0" w:color="auto"/>
            <w:right w:val="none" w:sz="0" w:space="0" w:color="auto"/>
          </w:divBdr>
          <w:divsChild>
            <w:div w:id="751856558">
              <w:marLeft w:val="0"/>
              <w:marRight w:val="0"/>
              <w:marTop w:val="0"/>
              <w:marBottom w:val="0"/>
              <w:divBdr>
                <w:top w:val="none" w:sz="0" w:space="0" w:color="auto"/>
                <w:left w:val="none" w:sz="0" w:space="0" w:color="auto"/>
                <w:bottom w:val="none" w:sz="0" w:space="0" w:color="auto"/>
                <w:right w:val="none" w:sz="0" w:space="0" w:color="auto"/>
              </w:divBdr>
            </w:div>
          </w:divsChild>
        </w:div>
        <w:div w:id="649796770">
          <w:marLeft w:val="0"/>
          <w:marRight w:val="0"/>
          <w:marTop w:val="0"/>
          <w:marBottom w:val="0"/>
          <w:divBdr>
            <w:top w:val="none" w:sz="0" w:space="0" w:color="auto"/>
            <w:left w:val="none" w:sz="0" w:space="0" w:color="auto"/>
            <w:bottom w:val="none" w:sz="0" w:space="0" w:color="auto"/>
            <w:right w:val="none" w:sz="0" w:space="0" w:color="auto"/>
          </w:divBdr>
          <w:divsChild>
            <w:div w:id="2002082733">
              <w:marLeft w:val="0"/>
              <w:marRight w:val="0"/>
              <w:marTop w:val="0"/>
              <w:marBottom w:val="0"/>
              <w:divBdr>
                <w:top w:val="none" w:sz="0" w:space="0" w:color="auto"/>
                <w:left w:val="none" w:sz="0" w:space="0" w:color="auto"/>
                <w:bottom w:val="none" w:sz="0" w:space="0" w:color="auto"/>
                <w:right w:val="none" w:sz="0" w:space="0" w:color="auto"/>
              </w:divBdr>
            </w:div>
          </w:divsChild>
        </w:div>
        <w:div w:id="650250392">
          <w:marLeft w:val="0"/>
          <w:marRight w:val="0"/>
          <w:marTop w:val="0"/>
          <w:marBottom w:val="0"/>
          <w:divBdr>
            <w:top w:val="none" w:sz="0" w:space="0" w:color="auto"/>
            <w:left w:val="none" w:sz="0" w:space="0" w:color="auto"/>
            <w:bottom w:val="none" w:sz="0" w:space="0" w:color="auto"/>
            <w:right w:val="none" w:sz="0" w:space="0" w:color="auto"/>
          </w:divBdr>
          <w:divsChild>
            <w:div w:id="189533279">
              <w:marLeft w:val="0"/>
              <w:marRight w:val="0"/>
              <w:marTop w:val="0"/>
              <w:marBottom w:val="0"/>
              <w:divBdr>
                <w:top w:val="none" w:sz="0" w:space="0" w:color="auto"/>
                <w:left w:val="none" w:sz="0" w:space="0" w:color="auto"/>
                <w:bottom w:val="none" w:sz="0" w:space="0" w:color="auto"/>
                <w:right w:val="none" w:sz="0" w:space="0" w:color="auto"/>
              </w:divBdr>
            </w:div>
          </w:divsChild>
        </w:div>
        <w:div w:id="650720713">
          <w:marLeft w:val="0"/>
          <w:marRight w:val="0"/>
          <w:marTop w:val="0"/>
          <w:marBottom w:val="0"/>
          <w:divBdr>
            <w:top w:val="none" w:sz="0" w:space="0" w:color="auto"/>
            <w:left w:val="none" w:sz="0" w:space="0" w:color="auto"/>
            <w:bottom w:val="none" w:sz="0" w:space="0" w:color="auto"/>
            <w:right w:val="none" w:sz="0" w:space="0" w:color="auto"/>
          </w:divBdr>
          <w:divsChild>
            <w:div w:id="715665149">
              <w:marLeft w:val="0"/>
              <w:marRight w:val="0"/>
              <w:marTop w:val="0"/>
              <w:marBottom w:val="0"/>
              <w:divBdr>
                <w:top w:val="none" w:sz="0" w:space="0" w:color="auto"/>
                <w:left w:val="none" w:sz="0" w:space="0" w:color="auto"/>
                <w:bottom w:val="none" w:sz="0" w:space="0" w:color="auto"/>
                <w:right w:val="none" w:sz="0" w:space="0" w:color="auto"/>
              </w:divBdr>
            </w:div>
          </w:divsChild>
        </w:div>
        <w:div w:id="651249478">
          <w:marLeft w:val="0"/>
          <w:marRight w:val="0"/>
          <w:marTop w:val="0"/>
          <w:marBottom w:val="0"/>
          <w:divBdr>
            <w:top w:val="none" w:sz="0" w:space="0" w:color="auto"/>
            <w:left w:val="none" w:sz="0" w:space="0" w:color="auto"/>
            <w:bottom w:val="none" w:sz="0" w:space="0" w:color="auto"/>
            <w:right w:val="none" w:sz="0" w:space="0" w:color="auto"/>
          </w:divBdr>
          <w:divsChild>
            <w:div w:id="1145466859">
              <w:marLeft w:val="0"/>
              <w:marRight w:val="0"/>
              <w:marTop w:val="0"/>
              <w:marBottom w:val="0"/>
              <w:divBdr>
                <w:top w:val="none" w:sz="0" w:space="0" w:color="auto"/>
                <w:left w:val="none" w:sz="0" w:space="0" w:color="auto"/>
                <w:bottom w:val="none" w:sz="0" w:space="0" w:color="auto"/>
                <w:right w:val="none" w:sz="0" w:space="0" w:color="auto"/>
              </w:divBdr>
            </w:div>
          </w:divsChild>
        </w:div>
        <w:div w:id="652296072">
          <w:marLeft w:val="0"/>
          <w:marRight w:val="0"/>
          <w:marTop w:val="0"/>
          <w:marBottom w:val="0"/>
          <w:divBdr>
            <w:top w:val="none" w:sz="0" w:space="0" w:color="auto"/>
            <w:left w:val="none" w:sz="0" w:space="0" w:color="auto"/>
            <w:bottom w:val="none" w:sz="0" w:space="0" w:color="auto"/>
            <w:right w:val="none" w:sz="0" w:space="0" w:color="auto"/>
          </w:divBdr>
          <w:divsChild>
            <w:div w:id="1572615069">
              <w:marLeft w:val="0"/>
              <w:marRight w:val="0"/>
              <w:marTop w:val="0"/>
              <w:marBottom w:val="0"/>
              <w:divBdr>
                <w:top w:val="none" w:sz="0" w:space="0" w:color="auto"/>
                <w:left w:val="none" w:sz="0" w:space="0" w:color="auto"/>
                <w:bottom w:val="none" w:sz="0" w:space="0" w:color="auto"/>
                <w:right w:val="none" w:sz="0" w:space="0" w:color="auto"/>
              </w:divBdr>
            </w:div>
          </w:divsChild>
        </w:div>
        <w:div w:id="653726790">
          <w:marLeft w:val="0"/>
          <w:marRight w:val="0"/>
          <w:marTop w:val="0"/>
          <w:marBottom w:val="0"/>
          <w:divBdr>
            <w:top w:val="none" w:sz="0" w:space="0" w:color="auto"/>
            <w:left w:val="none" w:sz="0" w:space="0" w:color="auto"/>
            <w:bottom w:val="none" w:sz="0" w:space="0" w:color="auto"/>
            <w:right w:val="none" w:sz="0" w:space="0" w:color="auto"/>
          </w:divBdr>
          <w:divsChild>
            <w:div w:id="1140877680">
              <w:marLeft w:val="0"/>
              <w:marRight w:val="0"/>
              <w:marTop w:val="0"/>
              <w:marBottom w:val="0"/>
              <w:divBdr>
                <w:top w:val="none" w:sz="0" w:space="0" w:color="auto"/>
                <w:left w:val="none" w:sz="0" w:space="0" w:color="auto"/>
                <w:bottom w:val="none" w:sz="0" w:space="0" w:color="auto"/>
                <w:right w:val="none" w:sz="0" w:space="0" w:color="auto"/>
              </w:divBdr>
            </w:div>
          </w:divsChild>
        </w:div>
        <w:div w:id="660623398">
          <w:marLeft w:val="0"/>
          <w:marRight w:val="0"/>
          <w:marTop w:val="0"/>
          <w:marBottom w:val="0"/>
          <w:divBdr>
            <w:top w:val="none" w:sz="0" w:space="0" w:color="auto"/>
            <w:left w:val="none" w:sz="0" w:space="0" w:color="auto"/>
            <w:bottom w:val="none" w:sz="0" w:space="0" w:color="auto"/>
            <w:right w:val="none" w:sz="0" w:space="0" w:color="auto"/>
          </w:divBdr>
          <w:divsChild>
            <w:div w:id="2001930635">
              <w:marLeft w:val="0"/>
              <w:marRight w:val="0"/>
              <w:marTop w:val="0"/>
              <w:marBottom w:val="0"/>
              <w:divBdr>
                <w:top w:val="none" w:sz="0" w:space="0" w:color="auto"/>
                <w:left w:val="none" w:sz="0" w:space="0" w:color="auto"/>
                <w:bottom w:val="none" w:sz="0" w:space="0" w:color="auto"/>
                <w:right w:val="none" w:sz="0" w:space="0" w:color="auto"/>
              </w:divBdr>
            </w:div>
          </w:divsChild>
        </w:div>
        <w:div w:id="663898560">
          <w:marLeft w:val="0"/>
          <w:marRight w:val="0"/>
          <w:marTop w:val="0"/>
          <w:marBottom w:val="0"/>
          <w:divBdr>
            <w:top w:val="none" w:sz="0" w:space="0" w:color="auto"/>
            <w:left w:val="none" w:sz="0" w:space="0" w:color="auto"/>
            <w:bottom w:val="none" w:sz="0" w:space="0" w:color="auto"/>
            <w:right w:val="none" w:sz="0" w:space="0" w:color="auto"/>
          </w:divBdr>
          <w:divsChild>
            <w:div w:id="909071740">
              <w:marLeft w:val="0"/>
              <w:marRight w:val="0"/>
              <w:marTop w:val="0"/>
              <w:marBottom w:val="0"/>
              <w:divBdr>
                <w:top w:val="none" w:sz="0" w:space="0" w:color="auto"/>
                <w:left w:val="none" w:sz="0" w:space="0" w:color="auto"/>
                <w:bottom w:val="none" w:sz="0" w:space="0" w:color="auto"/>
                <w:right w:val="none" w:sz="0" w:space="0" w:color="auto"/>
              </w:divBdr>
            </w:div>
          </w:divsChild>
        </w:div>
        <w:div w:id="669260724">
          <w:marLeft w:val="0"/>
          <w:marRight w:val="0"/>
          <w:marTop w:val="0"/>
          <w:marBottom w:val="0"/>
          <w:divBdr>
            <w:top w:val="none" w:sz="0" w:space="0" w:color="auto"/>
            <w:left w:val="none" w:sz="0" w:space="0" w:color="auto"/>
            <w:bottom w:val="none" w:sz="0" w:space="0" w:color="auto"/>
            <w:right w:val="none" w:sz="0" w:space="0" w:color="auto"/>
          </w:divBdr>
          <w:divsChild>
            <w:div w:id="1129737605">
              <w:marLeft w:val="0"/>
              <w:marRight w:val="0"/>
              <w:marTop w:val="0"/>
              <w:marBottom w:val="0"/>
              <w:divBdr>
                <w:top w:val="none" w:sz="0" w:space="0" w:color="auto"/>
                <w:left w:val="none" w:sz="0" w:space="0" w:color="auto"/>
                <w:bottom w:val="none" w:sz="0" w:space="0" w:color="auto"/>
                <w:right w:val="none" w:sz="0" w:space="0" w:color="auto"/>
              </w:divBdr>
            </w:div>
          </w:divsChild>
        </w:div>
        <w:div w:id="671032825">
          <w:marLeft w:val="0"/>
          <w:marRight w:val="0"/>
          <w:marTop w:val="0"/>
          <w:marBottom w:val="0"/>
          <w:divBdr>
            <w:top w:val="none" w:sz="0" w:space="0" w:color="auto"/>
            <w:left w:val="none" w:sz="0" w:space="0" w:color="auto"/>
            <w:bottom w:val="none" w:sz="0" w:space="0" w:color="auto"/>
            <w:right w:val="none" w:sz="0" w:space="0" w:color="auto"/>
          </w:divBdr>
          <w:divsChild>
            <w:div w:id="310330974">
              <w:marLeft w:val="0"/>
              <w:marRight w:val="0"/>
              <w:marTop w:val="0"/>
              <w:marBottom w:val="0"/>
              <w:divBdr>
                <w:top w:val="none" w:sz="0" w:space="0" w:color="auto"/>
                <w:left w:val="none" w:sz="0" w:space="0" w:color="auto"/>
                <w:bottom w:val="none" w:sz="0" w:space="0" w:color="auto"/>
                <w:right w:val="none" w:sz="0" w:space="0" w:color="auto"/>
              </w:divBdr>
            </w:div>
          </w:divsChild>
        </w:div>
        <w:div w:id="673845585">
          <w:marLeft w:val="0"/>
          <w:marRight w:val="0"/>
          <w:marTop w:val="0"/>
          <w:marBottom w:val="0"/>
          <w:divBdr>
            <w:top w:val="none" w:sz="0" w:space="0" w:color="auto"/>
            <w:left w:val="none" w:sz="0" w:space="0" w:color="auto"/>
            <w:bottom w:val="none" w:sz="0" w:space="0" w:color="auto"/>
            <w:right w:val="none" w:sz="0" w:space="0" w:color="auto"/>
          </w:divBdr>
          <w:divsChild>
            <w:div w:id="1731150927">
              <w:marLeft w:val="0"/>
              <w:marRight w:val="0"/>
              <w:marTop w:val="0"/>
              <w:marBottom w:val="0"/>
              <w:divBdr>
                <w:top w:val="none" w:sz="0" w:space="0" w:color="auto"/>
                <w:left w:val="none" w:sz="0" w:space="0" w:color="auto"/>
                <w:bottom w:val="none" w:sz="0" w:space="0" w:color="auto"/>
                <w:right w:val="none" w:sz="0" w:space="0" w:color="auto"/>
              </w:divBdr>
            </w:div>
          </w:divsChild>
        </w:div>
        <w:div w:id="678042595">
          <w:marLeft w:val="0"/>
          <w:marRight w:val="0"/>
          <w:marTop w:val="0"/>
          <w:marBottom w:val="0"/>
          <w:divBdr>
            <w:top w:val="none" w:sz="0" w:space="0" w:color="auto"/>
            <w:left w:val="none" w:sz="0" w:space="0" w:color="auto"/>
            <w:bottom w:val="none" w:sz="0" w:space="0" w:color="auto"/>
            <w:right w:val="none" w:sz="0" w:space="0" w:color="auto"/>
          </w:divBdr>
          <w:divsChild>
            <w:div w:id="1089230335">
              <w:marLeft w:val="0"/>
              <w:marRight w:val="0"/>
              <w:marTop w:val="0"/>
              <w:marBottom w:val="0"/>
              <w:divBdr>
                <w:top w:val="none" w:sz="0" w:space="0" w:color="auto"/>
                <w:left w:val="none" w:sz="0" w:space="0" w:color="auto"/>
                <w:bottom w:val="none" w:sz="0" w:space="0" w:color="auto"/>
                <w:right w:val="none" w:sz="0" w:space="0" w:color="auto"/>
              </w:divBdr>
            </w:div>
          </w:divsChild>
        </w:div>
        <w:div w:id="679357552">
          <w:marLeft w:val="0"/>
          <w:marRight w:val="0"/>
          <w:marTop w:val="0"/>
          <w:marBottom w:val="0"/>
          <w:divBdr>
            <w:top w:val="none" w:sz="0" w:space="0" w:color="auto"/>
            <w:left w:val="none" w:sz="0" w:space="0" w:color="auto"/>
            <w:bottom w:val="none" w:sz="0" w:space="0" w:color="auto"/>
            <w:right w:val="none" w:sz="0" w:space="0" w:color="auto"/>
          </w:divBdr>
          <w:divsChild>
            <w:div w:id="378750568">
              <w:marLeft w:val="0"/>
              <w:marRight w:val="0"/>
              <w:marTop w:val="0"/>
              <w:marBottom w:val="0"/>
              <w:divBdr>
                <w:top w:val="none" w:sz="0" w:space="0" w:color="auto"/>
                <w:left w:val="none" w:sz="0" w:space="0" w:color="auto"/>
                <w:bottom w:val="none" w:sz="0" w:space="0" w:color="auto"/>
                <w:right w:val="none" w:sz="0" w:space="0" w:color="auto"/>
              </w:divBdr>
            </w:div>
          </w:divsChild>
        </w:div>
        <w:div w:id="680401243">
          <w:marLeft w:val="0"/>
          <w:marRight w:val="0"/>
          <w:marTop w:val="0"/>
          <w:marBottom w:val="0"/>
          <w:divBdr>
            <w:top w:val="none" w:sz="0" w:space="0" w:color="auto"/>
            <w:left w:val="none" w:sz="0" w:space="0" w:color="auto"/>
            <w:bottom w:val="none" w:sz="0" w:space="0" w:color="auto"/>
            <w:right w:val="none" w:sz="0" w:space="0" w:color="auto"/>
          </w:divBdr>
          <w:divsChild>
            <w:div w:id="1396315378">
              <w:marLeft w:val="0"/>
              <w:marRight w:val="0"/>
              <w:marTop w:val="0"/>
              <w:marBottom w:val="0"/>
              <w:divBdr>
                <w:top w:val="none" w:sz="0" w:space="0" w:color="auto"/>
                <w:left w:val="none" w:sz="0" w:space="0" w:color="auto"/>
                <w:bottom w:val="none" w:sz="0" w:space="0" w:color="auto"/>
                <w:right w:val="none" w:sz="0" w:space="0" w:color="auto"/>
              </w:divBdr>
            </w:div>
          </w:divsChild>
        </w:div>
        <w:div w:id="686904606">
          <w:marLeft w:val="0"/>
          <w:marRight w:val="0"/>
          <w:marTop w:val="0"/>
          <w:marBottom w:val="0"/>
          <w:divBdr>
            <w:top w:val="none" w:sz="0" w:space="0" w:color="auto"/>
            <w:left w:val="none" w:sz="0" w:space="0" w:color="auto"/>
            <w:bottom w:val="none" w:sz="0" w:space="0" w:color="auto"/>
            <w:right w:val="none" w:sz="0" w:space="0" w:color="auto"/>
          </w:divBdr>
          <w:divsChild>
            <w:div w:id="844631062">
              <w:marLeft w:val="0"/>
              <w:marRight w:val="0"/>
              <w:marTop w:val="0"/>
              <w:marBottom w:val="0"/>
              <w:divBdr>
                <w:top w:val="none" w:sz="0" w:space="0" w:color="auto"/>
                <w:left w:val="none" w:sz="0" w:space="0" w:color="auto"/>
                <w:bottom w:val="none" w:sz="0" w:space="0" w:color="auto"/>
                <w:right w:val="none" w:sz="0" w:space="0" w:color="auto"/>
              </w:divBdr>
            </w:div>
          </w:divsChild>
        </w:div>
        <w:div w:id="690687036">
          <w:marLeft w:val="0"/>
          <w:marRight w:val="0"/>
          <w:marTop w:val="0"/>
          <w:marBottom w:val="0"/>
          <w:divBdr>
            <w:top w:val="none" w:sz="0" w:space="0" w:color="auto"/>
            <w:left w:val="none" w:sz="0" w:space="0" w:color="auto"/>
            <w:bottom w:val="none" w:sz="0" w:space="0" w:color="auto"/>
            <w:right w:val="none" w:sz="0" w:space="0" w:color="auto"/>
          </w:divBdr>
          <w:divsChild>
            <w:div w:id="345986675">
              <w:marLeft w:val="0"/>
              <w:marRight w:val="0"/>
              <w:marTop w:val="0"/>
              <w:marBottom w:val="0"/>
              <w:divBdr>
                <w:top w:val="none" w:sz="0" w:space="0" w:color="auto"/>
                <w:left w:val="none" w:sz="0" w:space="0" w:color="auto"/>
                <w:bottom w:val="none" w:sz="0" w:space="0" w:color="auto"/>
                <w:right w:val="none" w:sz="0" w:space="0" w:color="auto"/>
              </w:divBdr>
            </w:div>
          </w:divsChild>
        </w:div>
        <w:div w:id="692221249">
          <w:marLeft w:val="0"/>
          <w:marRight w:val="0"/>
          <w:marTop w:val="0"/>
          <w:marBottom w:val="0"/>
          <w:divBdr>
            <w:top w:val="none" w:sz="0" w:space="0" w:color="auto"/>
            <w:left w:val="none" w:sz="0" w:space="0" w:color="auto"/>
            <w:bottom w:val="none" w:sz="0" w:space="0" w:color="auto"/>
            <w:right w:val="none" w:sz="0" w:space="0" w:color="auto"/>
          </w:divBdr>
          <w:divsChild>
            <w:div w:id="1633098388">
              <w:marLeft w:val="0"/>
              <w:marRight w:val="0"/>
              <w:marTop w:val="0"/>
              <w:marBottom w:val="0"/>
              <w:divBdr>
                <w:top w:val="none" w:sz="0" w:space="0" w:color="auto"/>
                <w:left w:val="none" w:sz="0" w:space="0" w:color="auto"/>
                <w:bottom w:val="none" w:sz="0" w:space="0" w:color="auto"/>
                <w:right w:val="none" w:sz="0" w:space="0" w:color="auto"/>
              </w:divBdr>
            </w:div>
          </w:divsChild>
        </w:div>
        <w:div w:id="695886777">
          <w:marLeft w:val="0"/>
          <w:marRight w:val="0"/>
          <w:marTop w:val="0"/>
          <w:marBottom w:val="0"/>
          <w:divBdr>
            <w:top w:val="none" w:sz="0" w:space="0" w:color="auto"/>
            <w:left w:val="none" w:sz="0" w:space="0" w:color="auto"/>
            <w:bottom w:val="none" w:sz="0" w:space="0" w:color="auto"/>
            <w:right w:val="none" w:sz="0" w:space="0" w:color="auto"/>
          </w:divBdr>
          <w:divsChild>
            <w:div w:id="8680944">
              <w:marLeft w:val="0"/>
              <w:marRight w:val="0"/>
              <w:marTop w:val="0"/>
              <w:marBottom w:val="0"/>
              <w:divBdr>
                <w:top w:val="none" w:sz="0" w:space="0" w:color="auto"/>
                <w:left w:val="none" w:sz="0" w:space="0" w:color="auto"/>
                <w:bottom w:val="none" w:sz="0" w:space="0" w:color="auto"/>
                <w:right w:val="none" w:sz="0" w:space="0" w:color="auto"/>
              </w:divBdr>
            </w:div>
          </w:divsChild>
        </w:div>
        <w:div w:id="700403555">
          <w:marLeft w:val="0"/>
          <w:marRight w:val="0"/>
          <w:marTop w:val="0"/>
          <w:marBottom w:val="0"/>
          <w:divBdr>
            <w:top w:val="none" w:sz="0" w:space="0" w:color="auto"/>
            <w:left w:val="none" w:sz="0" w:space="0" w:color="auto"/>
            <w:bottom w:val="none" w:sz="0" w:space="0" w:color="auto"/>
            <w:right w:val="none" w:sz="0" w:space="0" w:color="auto"/>
          </w:divBdr>
          <w:divsChild>
            <w:div w:id="617032384">
              <w:marLeft w:val="0"/>
              <w:marRight w:val="0"/>
              <w:marTop w:val="0"/>
              <w:marBottom w:val="0"/>
              <w:divBdr>
                <w:top w:val="none" w:sz="0" w:space="0" w:color="auto"/>
                <w:left w:val="none" w:sz="0" w:space="0" w:color="auto"/>
                <w:bottom w:val="none" w:sz="0" w:space="0" w:color="auto"/>
                <w:right w:val="none" w:sz="0" w:space="0" w:color="auto"/>
              </w:divBdr>
            </w:div>
          </w:divsChild>
        </w:div>
        <w:div w:id="702248311">
          <w:marLeft w:val="0"/>
          <w:marRight w:val="0"/>
          <w:marTop w:val="0"/>
          <w:marBottom w:val="0"/>
          <w:divBdr>
            <w:top w:val="none" w:sz="0" w:space="0" w:color="auto"/>
            <w:left w:val="none" w:sz="0" w:space="0" w:color="auto"/>
            <w:bottom w:val="none" w:sz="0" w:space="0" w:color="auto"/>
            <w:right w:val="none" w:sz="0" w:space="0" w:color="auto"/>
          </w:divBdr>
          <w:divsChild>
            <w:div w:id="1022632656">
              <w:marLeft w:val="0"/>
              <w:marRight w:val="0"/>
              <w:marTop w:val="0"/>
              <w:marBottom w:val="0"/>
              <w:divBdr>
                <w:top w:val="none" w:sz="0" w:space="0" w:color="auto"/>
                <w:left w:val="none" w:sz="0" w:space="0" w:color="auto"/>
                <w:bottom w:val="none" w:sz="0" w:space="0" w:color="auto"/>
                <w:right w:val="none" w:sz="0" w:space="0" w:color="auto"/>
              </w:divBdr>
            </w:div>
          </w:divsChild>
        </w:div>
        <w:div w:id="702287565">
          <w:marLeft w:val="0"/>
          <w:marRight w:val="0"/>
          <w:marTop w:val="0"/>
          <w:marBottom w:val="0"/>
          <w:divBdr>
            <w:top w:val="none" w:sz="0" w:space="0" w:color="auto"/>
            <w:left w:val="none" w:sz="0" w:space="0" w:color="auto"/>
            <w:bottom w:val="none" w:sz="0" w:space="0" w:color="auto"/>
            <w:right w:val="none" w:sz="0" w:space="0" w:color="auto"/>
          </w:divBdr>
          <w:divsChild>
            <w:div w:id="928152742">
              <w:marLeft w:val="0"/>
              <w:marRight w:val="0"/>
              <w:marTop w:val="0"/>
              <w:marBottom w:val="0"/>
              <w:divBdr>
                <w:top w:val="none" w:sz="0" w:space="0" w:color="auto"/>
                <w:left w:val="none" w:sz="0" w:space="0" w:color="auto"/>
                <w:bottom w:val="none" w:sz="0" w:space="0" w:color="auto"/>
                <w:right w:val="none" w:sz="0" w:space="0" w:color="auto"/>
              </w:divBdr>
            </w:div>
          </w:divsChild>
        </w:div>
        <w:div w:id="703676412">
          <w:marLeft w:val="0"/>
          <w:marRight w:val="0"/>
          <w:marTop w:val="0"/>
          <w:marBottom w:val="0"/>
          <w:divBdr>
            <w:top w:val="none" w:sz="0" w:space="0" w:color="auto"/>
            <w:left w:val="none" w:sz="0" w:space="0" w:color="auto"/>
            <w:bottom w:val="none" w:sz="0" w:space="0" w:color="auto"/>
            <w:right w:val="none" w:sz="0" w:space="0" w:color="auto"/>
          </w:divBdr>
          <w:divsChild>
            <w:div w:id="604309636">
              <w:marLeft w:val="0"/>
              <w:marRight w:val="0"/>
              <w:marTop w:val="0"/>
              <w:marBottom w:val="0"/>
              <w:divBdr>
                <w:top w:val="none" w:sz="0" w:space="0" w:color="auto"/>
                <w:left w:val="none" w:sz="0" w:space="0" w:color="auto"/>
                <w:bottom w:val="none" w:sz="0" w:space="0" w:color="auto"/>
                <w:right w:val="none" w:sz="0" w:space="0" w:color="auto"/>
              </w:divBdr>
            </w:div>
          </w:divsChild>
        </w:div>
        <w:div w:id="704522269">
          <w:marLeft w:val="0"/>
          <w:marRight w:val="0"/>
          <w:marTop w:val="0"/>
          <w:marBottom w:val="0"/>
          <w:divBdr>
            <w:top w:val="none" w:sz="0" w:space="0" w:color="auto"/>
            <w:left w:val="none" w:sz="0" w:space="0" w:color="auto"/>
            <w:bottom w:val="none" w:sz="0" w:space="0" w:color="auto"/>
            <w:right w:val="none" w:sz="0" w:space="0" w:color="auto"/>
          </w:divBdr>
          <w:divsChild>
            <w:div w:id="640430538">
              <w:marLeft w:val="0"/>
              <w:marRight w:val="0"/>
              <w:marTop w:val="0"/>
              <w:marBottom w:val="0"/>
              <w:divBdr>
                <w:top w:val="none" w:sz="0" w:space="0" w:color="auto"/>
                <w:left w:val="none" w:sz="0" w:space="0" w:color="auto"/>
                <w:bottom w:val="none" w:sz="0" w:space="0" w:color="auto"/>
                <w:right w:val="none" w:sz="0" w:space="0" w:color="auto"/>
              </w:divBdr>
            </w:div>
          </w:divsChild>
        </w:div>
        <w:div w:id="707416703">
          <w:marLeft w:val="0"/>
          <w:marRight w:val="0"/>
          <w:marTop w:val="0"/>
          <w:marBottom w:val="0"/>
          <w:divBdr>
            <w:top w:val="none" w:sz="0" w:space="0" w:color="auto"/>
            <w:left w:val="none" w:sz="0" w:space="0" w:color="auto"/>
            <w:bottom w:val="none" w:sz="0" w:space="0" w:color="auto"/>
            <w:right w:val="none" w:sz="0" w:space="0" w:color="auto"/>
          </w:divBdr>
          <w:divsChild>
            <w:div w:id="799881137">
              <w:marLeft w:val="0"/>
              <w:marRight w:val="0"/>
              <w:marTop w:val="0"/>
              <w:marBottom w:val="0"/>
              <w:divBdr>
                <w:top w:val="none" w:sz="0" w:space="0" w:color="auto"/>
                <w:left w:val="none" w:sz="0" w:space="0" w:color="auto"/>
                <w:bottom w:val="none" w:sz="0" w:space="0" w:color="auto"/>
                <w:right w:val="none" w:sz="0" w:space="0" w:color="auto"/>
              </w:divBdr>
            </w:div>
          </w:divsChild>
        </w:div>
        <w:div w:id="708456673">
          <w:marLeft w:val="0"/>
          <w:marRight w:val="0"/>
          <w:marTop w:val="0"/>
          <w:marBottom w:val="0"/>
          <w:divBdr>
            <w:top w:val="none" w:sz="0" w:space="0" w:color="auto"/>
            <w:left w:val="none" w:sz="0" w:space="0" w:color="auto"/>
            <w:bottom w:val="none" w:sz="0" w:space="0" w:color="auto"/>
            <w:right w:val="none" w:sz="0" w:space="0" w:color="auto"/>
          </w:divBdr>
          <w:divsChild>
            <w:div w:id="2136244104">
              <w:marLeft w:val="0"/>
              <w:marRight w:val="0"/>
              <w:marTop w:val="0"/>
              <w:marBottom w:val="0"/>
              <w:divBdr>
                <w:top w:val="none" w:sz="0" w:space="0" w:color="auto"/>
                <w:left w:val="none" w:sz="0" w:space="0" w:color="auto"/>
                <w:bottom w:val="none" w:sz="0" w:space="0" w:color="auto"/>
                <w:right w:val="none" w:sz="0" w:space="0" w:color="auto"/>
              </w:divBdr>
            </w:div>
          </w:divsChild>
        </w:div>
        <w:div w:id="709108809">
          <w:marLeft w:val="0"/>
          <w:marRight w:val="0"/>
          <w:marTop w:val="0"/>
          <w:marBottom w:val="0"/>
          <w:divBdr>
            <w:top w:val="none" w:sz="0" w:space="0" w:color="auto"/>
            <w:left w:val="none" w:sz="0" w:space="0" w:color="auto"/>
            <w:bottom w:val="none" w:sz="0" w:space="0" w:color="auto"/>
            <w:right w:val="none" w:sz="0" w:space="0" w:color="auto"/>
          </w:divBdr>
          <w:divsChild>
            <w:div w:id="751514982">
              <w:marLeft w:val="0"/>
              <w:marRight w:val="0"/>
              <w:marTop w:val="0"/>
              <w:marBottom w:val="0"/>
              <w:divBdr>
                <w:top w:val="none" w:sz="0" w:space="0" w:color="auto"/>
                <w:left w:val="none" w:sz="0" w:space="0" w:color="auto"/>
                <w:bottom w:val="none" w:sz="0" w:space="0" w:color="auto"/>
                <w:right w:val="none" w:sz="0" w:space="0" w:color="auto"/>
              </w:divBdr>
            </w:div>
          </w:divsChild>
        </w:div>
        <w:div w:id="712726786">
          <w:marLeft w:val="0"/>
          <w:marRight w:val="0"/>
          <w:marTop w:val="0"/>
          <w:marBottom w:val="0"/>
          <w:divBdr>
            <w:top w:val="none" w:sz="0" w:space="0" w:color="auto"/>
            <w:left w:val="none" w:sz="0" w:space="0" w:color="auto"/>
            <w:bottom w:val="none" w:sz="0" w:space="0" w:color="auto"/>
            <w:right w:val="none" w:sz="0" w:space="0" w:color="auto"/>
          </w:divBdr>
          <w:divsChild>
            <w:div w:id="1509175230">
              <w:marLeft w:val="0"/>
              <w:marRight w:val="0"/>
              <w:marTop w:val="0"/>
              <w:marBottom w:val="0"/>
              <w:divBdr>
                <w:top w:val="none" w:sz="0" w:space="0" w:color="auto"/>
                <w:left w:val="none" w:sz="0" w:space="0" w:color="auto"/>
                <w:bottom w:val="none" w:sz="0" w:space="0" w:color="auto"/>
                <w:right w:val="none" w:sz="0" w:space="0" w:color="auto"/>
              </w:divBdr>
            </w:div>
          </w:divsChild>
        </w:div>
        <w:div w:id="712731481">
          <w:marLeft w:val="0"/>
          <w:marRight w:val="0"/>
          <w:marTop w:val="0"/>
          <w:marBottom w:val="0"/>
          <w:divBdr>
            <w:top w:val="none" w:sz="0" w:space="0" w:color="auto"/>
            <w:left w:val="none" w:sz="0" w:space="0" w:color="auto"/>
            <w:bottom w:val="none" w:sz="0" w:space="0" w:color="auto"/>
            <w:right w:val="none" w:sz="0" w:space="0" w:color="auto"/>
          </w:divBdr>
          <w:divsChild>
            <w:div w:id="1677686233">
              <w:marLeft w:val="0"/>
              <w:marRight w:val="0"/>
              <w:marTop w:val="0"/>
              <w:marBottom w:val="0"/>
              <w:divBdr>
                <w:top w:val="none" w:sz="0" w:space="0" w:color="auto"/>
                <w:left w:val="none" w:sz="0" w:space="0" w:color="auto"/>
                <w:bottom w:val="none" w:sz="0" w:space="0" w:color="auto"/>
                <w:right w:val="none" w:sz="0" w:space="0" w:color="auto"/>
              </w:divBdr>
            </w:div>
          </w:divsChild>
        </w:div>
        <w:div w:id="714088414">
          <w:marLeft w:val="0"/>
          <w:marRight w:val="0"/>
          <w:marTop w:val="0"/>
          <w:marBottom w:val="0"/>
          <w:divBdr>
            <w:top w:val="none" w:sz="0" w:space="0" w:color="auto"/>
            <w:left w:val="none" w:sz="0" w:space="0" w:color="auto"/>
            <w:bottom w:val="none" w:sz="0" w:space="0" w:color="auto"/>
            <w:right w:val="none" w:sz="0" w:space="0" w:color="auto"/>
          </w:divBdr>
          <w:divsChild>
            <w:div w:id="2094356193">
              <w:marLeft w:val="0"/>
              <w:marRight w:val="0"/>
              <w:marTop w:val="0"/>
              <w:marBottom w:val="0"/>
              <w:divBdr>
                <w:top w:val="none" w:sz="0" w:space="0" w:color="auto"/>
                <w:left w:val="none" w:sz="0" w:space="0" w:color="auto"/>
                <w:bottom w:val="none" w:sz="0" w:space="0" w:color="auto"/>
                <w:right w:val="none" w:sz="0" w:space="0" w:color="auto"/>
              </w:divBdr>
            </w:div>
          </w:divsChild>
        </w:div>
        <w:div w:id="715856405">
          <w:marLeft w:val="0"/>
          <w:marRight w:val="0"/>
          <w:marTop w:val="0"/>
          <w:marBottom w:val="0"/>
          <w:divBdr>
            <w:top w:val="none" w:sz="0" w:space="0" w:color="auto"/>
            <w:left w:val="none" w:sz="0" w:space="0" w:color="auto"/>
            <w:bottom w:val="none" w:sz="0" w:space="0" w:color="auto"/>
            <w:right w:val="none" w:sz="0" w:space="0" w:color="auto"/>
          </w:divBdr>
          <w:divsChild>
            <w:div w:id="297996610">
              <w:marLeft w:val="0"/>
              <w:marRight w:val="0"/>
              <w:marTop w:val="0"/>
              <w:marBottom w:val="0"/>
              <w:divBdr>
                <w:top w:val="none" w:sz="0" w:space="0" w:color="auto"/>
                <w:left w:val="none" w:sz="0" w:space="0" w:color="auto"/>
                <w:bottom w:val="none" w:sz="0" w:space="0" w:color="auto"/>
                <w:right w:val="none" w:sz="0" w:space="0" w:color="auto"/>
              </w:divBdr>
            </w:div>
          </w:divsChild>
        </w:div>
        <w:div w:id="718240622">
          <w:marLeft w:val="0"/>
          <w:marRight w:val="0"/>
          <w:marTop w:val="0"/>
          <w:marBottom w:val="0"/>
          <w:divBdr>
            <w:top w:val="none" w:sz="0" w:space="0" w:color="auto"/>
            <w:left w:val="none" w:sz="0" w:space="0" w:color="auto"/>
            <w:bottom w:val="none" w:sz="0" w:space="0" w:color="auto"/>
            <w:right w:val="none" w:sz="0" w:space="0" w:color="auto"/>
          </w:divBdr>
          <w:divsChild>
            <w:div w:id="515048146">
              <w:marLeft w:val="0"/>
              <w:marRight w:val="0"/>
              <w:marTop w:val="0"/>
              <w:marBottom w:val="0"/>
              <w:divBdr>
                <w:top w:val="none" w:sz="0" w:space="0" w:color="auto"/>
                <w:left w:val="none" w:sz="0" w:space="0" w:color="auto"/>
                <w:bottom w:val="none" w:sz="0" w:space="0" w:color="auto"/>
                <w:right w:val="none" w:sz="0" w:space="0" w:color="auto"/>
              </w:divBdr>
            </w:div>
          </w:divsChild>
        </w:div>
        <w:div w:id="718631429">
          <w:marLeft w:val="0"/>
          <w:marRight w:val="0"/>
          <w:marTop w:val="0"/>
          <w:marBottom w:val="0"/>
          <w:divBdr>
            <w:top w:val="none" w:sz="0" w:space="0" w:color="auto"/>
            <w:left w:val="none" w:sz="0" w:space="0" w:color="auto"/>
            <w:bottom w:val="none" w:sz="0" w:space="0" w:color="auto"/>
            <w:right w:val="none" w:sz="0" w:space="0" w:color="auto"/>
          </w:divBdr>
          <w:divsChild>
            <w:div w:id="551499541">
              <w:marLeft w:val="0"/>
              <w:marRight w:val="0"/>
              <w:marTop w:val="0"/>
              <w:marBottom w:val="0"/>
              <w:divBdr>
                <w:top w:val="none" w:sz="0" w:space="0" w:color="auto"/>
                <w:left w:val="none" w:sz="0" w:space="0" w:color="auto"/>
                <w:bottom w:val="none" w:sz="0" w:space="0" w:color="auto"/>
                <w:right w:val="none" w:sz="0" w:space="0" w:color="auto"/>
              </w:divBdr>
            </w:div>
          </w:divsChild>
        </w:div>
        <w:div w:id="722024657">
          <w:marLeft w:val="0"/>
          <w:marRight w:val="0"/>
          <w:marTop w:val="0"/>
          <w:marBottom w:val="0"/>
          <w:divBdr>
            <w:top w:val="none" w:sz="0" w:space="0" w:color="auto"/>
            <w:left w:val="none" w:sz="0" w:space="0" w:color="auto"/>
            <w:bottom w:val="none" w:sz="0" w:space="0" w:color="auto"/>
            <w:right w:val="none" w:sz="0" w:space="0" w:color="auto"/>
          </w:divBdr>
          <w:divsChild>
            <w:div w:id="15740112">
              <w:marLeft w:val="0"/>
              <w:marRight w:val="0"/>
              <w:marTop w:val="0"/>
              <w:marBottom w:val="0"/>
              <w:divBdr>
                <w:top w:val="none" w:sz="0" w:space="0" w:color="auto"/>
                <w:left w:val="none" w:sz="0" w:space="0" w:color="auto"/>
                <w:bottom w:val="none" w:sz="0" w:space="0" w:color="auto"/>
                <w:right w:val="none" w:sz="0" w:space="0" w:color="auto"/>
              </w:divBdr>
            </w:div>
          </w:divsChild>
        </w:div>
        <w:div w:id="723914424">
          <w:marLeft w:val="0"/>
          <w:marRight w:val="0"/>
          <w:marTop w:val="0"/>
          <w:marBottom w:val="0"/>
          <w:divBdr>
            <w:top w:val="none" w:sz="0" w:space="0" w:color="auto"/>
            <w:left w:val="none" w:sz="0" w:space="0" w:color="auto"/>
            <w:bottom w:val="none" w:sz="0" w:space="0" w:color="auto"/>
            <w:right w:val="none" w:sz="0" w:space="0" w:color="auto"/>
          </w:divBdr>
          <w:divsChild>
            <w:div w:id="289634937">
              <w:marLeft w:val="0"/>
              <w:marRight w:val="0"/>
              <w:marTop w:val="0"/>
              <w:marBottom w:val="0"/>
              <w:divBdr>
                <w:top w:val="none" w:sz="0" w:space="0" w:color="auto"/>
                <w:left w:val="none" w:sz="0" w:space="0" w:color="auto"/>
                <w:bottom w:val="none" w:sz="0" w:space="0" w:color="auto"/>
                <w:right w:val="none" w:sz="0" w:space="0" w:color="auto"/>
              </w:divBdr>
            </w:div>
          </w:divsChild>
        </w:div>
        <w:div w:id="725495762">
          <w:marLeft w:val="0"/>
          <w:marRight w:val="0"/>
          <w:marTop w:val="0"/>
          <w:marBottom w:val="0"/>
          <w:divBdr>
            <w:top w:val="none" w:sz="0" w:space="0" w:color="auto"/>
            <w:left w:val="none" w:sz="0" w:space="0" w:color="auto"/>
            <w:bottom w:val="none" w:sz="0" w:space="0" w:color="auto"/>
            <w:right w:val="none" w:sz="0" w:space="0" w:color="auto"/>
          </w:divBdr>
          <w:divsChild>
            <w:div w:id="1203638938">
              <w:marLeft w:val="0"/>
              <w:marRight w:val="0"/>
              <w:marTop w:val="0"/>
              <w:marBottom w:val="0"/>
              <w:divBdr>
                <w:top w:val="none" w:sz="0" w:space="0" w:color="auto"/>
                <w:left w:val="none" w:sz="0" w:space="0" w:color="auto"/>
                <w:bottom w:val="none" w:sz="0" w:space="0" w:color="auto"/>
                <w:right w:val="none" w:sz="0" w:space="0" w:color="auto"/>
              </w:divBdr>
            </w:div>
          </w:divsChild>
        </w:div>
        <w:div w:id="726342534">
          <w:marLeft w:val="0"/>
          <w:marRight w:val="0"/>
          <w:marTop w:val="0"/>
          <w:marBottom w:val="0"/>
          <w:divBdr>
            <w:top w:val="none" w:sz="0" w:space="0" w:color="auto"/>
            <w:left w:val="none" w:sz="0" w:space="0" w:color="auto"/>
            <w:bottom w:val="none" w:sz="0" w:space="0" w:color="auto"/>
            <w:right w:val="none" w:sz="0" w:space="0" w:color="auto"/>
          </w:divBdr>
          <w:divsChild>
            <w:div w:id="2111242705">
              <w:marLeft w:val="0"/>
              <w:marRight w:val="0"/>
              <w:marTop w:val="0"/>
              <w:marBottom w:val="0"/>
              <w:divBdr>
                <w:top w:val="none" w:sz="0" w:space="0" w:color="auto"/>
                <w:left w:val="none" w:sz="0" w:space="0" w:color="auto"/>
                <w:bottom w:val="none" w:sz="0" w:space="0" w:color="auto"/>
                <w:right w:val="none" w:sz="0" w:space="0" w:color="auto"/>
              </w:divBdr>
            </w:div>
          </w:divsChild>
        </w:div>
        <w:div w:id="727920507">
          <w:marLeft w:val="0"/>
          <w:marRight w:val="0"/>
          <w:marTop w:val="0"/>
          <w:marBottom w:val="0"/>
          <w:divBdr>
            <w:top w:val="none" w:sz="0" w:space="0" w:color="auto"/>
            <w:left w:val="none" w:sz="0" w:space="0" w:color="auto"/>
            <w:bottom w:val="none" w:sz="0" w:space="0" w:color="auto"/>
            <w:right w:val="none" w:sz="0" w:space="0" w:color="auto"/>
          </w:divBdr>
          <w:divsChild>
            <w:div w:id="1667512001">
              <w:marLeft w:val="0"/>
              <w:marRight w:val="0"/>
              <w:marTop w:val="0"/>
              <w:marBottom w:val="0"/>
              <w:divBdr>
                <w:top w:val="none" w:sz="0" w:space="0" w:color="auto"/>
                <w:left w:val="none" w:sz="0" w:space="0" w:color="auto"/>
                <w:bottom w:val="none" w:sz="0" w:space="0" w:color="auto"/>
                <w:right w:val="none" w:sz="0" w:space="0" w:color="auto"/>
              </w:divBdr>
            </w:div>
          </w:divsChild>
        </w:div>
        <w:div w:id="731122987">
          <w:marLeft w:val="0"/>
          <w:marRight w:val="0"/>
          <w:marTop w:val="0"/>
          <w:marBottom w:val="0"/>
          <w:divBdr>
            <w:top w:val="none" w:sz="0" w:space="0" w:color="auto"/>
            <w:left w:val="none" w:sz="0" w:space="0" w:color="auto"/>
            <w:bottom w:val="none" w:sz="0" w:space="0" w:color="auto"/>
            <w:right w:val="none" w:sz="0" w:space="0" w:color="auto"/>
          </w:divBdr>
          <w:divsChild>
            <w:div w:id="1416052651">
              <w:marLeft w:val="0"/>
              <w:marRight w:val="0"/>
              <w:marTop w:val="0"/>
              <w:marBottom w:val="0"/>
              <w:divBdr>
                <w:top w:val="none" w:sz="0" w:space="0" w:color="auto"/>
                <w:left w:val="none" w:sz="0" w:space="0" w:color="auto"/>
                <w:bottom w:val="none" w:sz="0" w:space="0" w:color="auto"/>
                <w:right w:val="none" w:sz="0" w:space="0" w:color="auto"/>
              </w:divBdr>
            </w:div>
          </w:divsChild>
        </w:div>
        <w:div w:id="741827456">
          <w:marLeft w:val="0"/>
          <w:marRight w:val="0"/>
          <w:marTop w:val="0"/>
          <w:marBottom w:val="0"/>
          <w:divBdr>
            <w:top w:val="none" w:sz="0" w:space="0" w:color="auto"/>
            <w:left w:val="none" w:sz="0" w:space="0" w:color="auto"/>
            <w:bottom w:val="none" w:sz="0" w:space="0" w:color="auto"/>
            <w:right w:val="none" w:sz="0" w:space="0" w:color="auto"/>
          </w:divBdr>
          <w:divsChild>
            <w:div w:id="721488024">
              <w:marLeft w:val="0"/>
              <w:marRight w:val="0"/>
              <w:marTop w:val="0"/>
              <w:marBottom w:val="0"/>
              <w:divBdr>
                <w:top w:val="none" w:sz="0" w:space="0" w:color="auto"/>
                <w:left w:val="none" w:sz="0" w:space="0" w:color="auto"/>
                <w:bottom w:val="none" w:sz="0" w:space="0" w:color="auto"/>
                <w:right w:val="none" w:sz="0" w:space="0" w:color="auto"/>
              </w:divBdr>
            </w:div>
          </w:divsChild>
        </w:div>
        <w:div w:id="742145547">
          <w:marLeft w:val="0"/>
          <w:marRight w:val="0"/>
          <w:marTop w:val="0"/>
          <w:marBottom w:val="0"/>
          <w:divBdr>
            <w:top w:val="none" w:sz="0" w:space="0" w:color="auto"/>
            <w:left w:val="none" w:sz="0" w:space="0" w:color="auto"/>
            <w:bottom w:val="none" w:sz="0" w:space="0" w:color="auto"/>
            <w:right w:val="none" w:sz="0" w:space="0" w:color="auto"/>
          </w:divBdr>
          <w:divsChild>
            <w:div w:id="1111164986">
              <w:marLeft w:val="0"/>
              <w:marRight w:val="0"/>
              <w:marTop w:val="0"/>
              <w:marBottom w:val="0"/>
              <w:divBdr>
                <w:top w:val="none" w:sz="0" w:space="0" w:color="auto"/>
                <w:left w:val="none" w:sz="0" w:space="0" w:color="auto"/>
                <w:bottom w:val="none" w:sz="0" w:space="0" w:color="auto"/>
                <w:right w:val="none" w:sz="0" w:space="0" w:color="auto"/>
              </w:divBdr>
            </w:div>
          </w:divsChild>
        </w:div>
        <w:div w:id="742409832">
          <w:marLeft w:val="0"/>
          <w:marRight w:val="0"/>
          <w:marTop w:val="0"/>
          <w:marBottom w:val="0"/>
          <w:divBdr>
            <w:top w:val="none" w:sz="0" w:space="0" w:color="auto"/>
            <w:left w:val="none" w:sz="0" w:space="0" w:color="auto"/>
            <w:bottom w:val="none" w:sz="0" w:space="0" w:color="auto"/>
            <w:right w:val="none" w:sz="0" w:space="0" w:color="auto"/>
          </w:divBdr>
          <w:divsChild>
            <w:div w:id="2012180285">
              <w:marLeft w:val="0"/>
              <w:marRight w:val="0"/>
              <w:marTop w:val="0"/>
              <w:marBottom w:val="0"/>
              <w:divBdr>
                <w:top w:val="none" w:sz="0" w:space="0" w:color="auto"/>
                <w:left w:val="none" w:sz="0" w:space="0" w:color="auto"/>
                <w:bottom w:val="none" w:sz="0" w:space="0" w:color="auto"/>
                <w:right w:val="none" w:sz="0" w:space="0" w:color="auto"/>
              </w:divBdr>
            </w:div>
          </w:divsChild>
        </w:div>
        <w:div w:id="743379308">
          <w:marLeft w:val="0"/>
          <w:marRight w:val="0"/>
          <w:marTop w:val="0"/>
          <w:marBottom w:val="0"/>
          <w:divBdr>
            <w:top w:val="none" w:sz="0" w:space="0" w:color="auto"/>
            <w:left w:val="none" w:sz="0" w:space="0" w:color="auto"/>
            <w:bottom w:val="none" w:sz="0" w:space="0" w:color="auto"/>
            <w:right w:val="none" w:sz="0" w:space="0" w:color="auto"/>
          </w:divBdr>
          <w:divsChild>
            <w:div w:id="1532454176">
              <w:marLeft w:val="0"/>
              <w:marRight w:val="0"/>
              <w:marTop w:val="0"/>
              <w:marBottom w:val="0"/>
              <w:divBdr>
                <w:top w:val="none" w:sz="0" w:space="0" w:color="auto"/>
                <w:left w:val="none" w:sz="0" w:space="0" w:color="auto"/>
                <w:bottom w:val="none" w:sz="0" w:space="0" w:color="auto"/>
                <w:right w:val="none" w:sz="0" w:space="0" w:color="auto"/>
              </w:divBdr>
            </w:div>
          </w:divsChild>
        </w:div>
        <w:div w:id="749501799">
          <w:marLeft w:val="0"/>
          <w:marRight w:val="0"/>
          <w:marTop w:val="0"/>
          <w:marBottom w:val="0"/>
          <w:divBdr>
            <w:top w:val="none" w:sz="0" w:space="0" w:color="auto"/>
            <w:left w:val="none" w:sz="0" w:space="0" w:color="auto"/>
            <w:bottom w:val="none" w:sz="0" w:space="0" w:color="auto"/>
            <w:right w:val="none" w:sz="0" w:space="0" w:color="auto"/>
          </w:divBdr>
          <w:divsChild>
            <w:div w:id="1155492509">
              <w:marLeft w:val="0"/>
              <w:marRight w:val="0"/>
              <w:marTop w:val="0"/>
              <w:marBottom w:val="0"/>
              <w:divBdr>
                <w:top w:val="none" w:sz="0" w:space="0" w:color="auto"/>
                <w:left w:val="none" w:sz="0" w:space="0" w:color="auto"/>
                <w:bottom w:val="none" w:sz="0" w:space="0" w:color="auto"/>
                <w:right w:val="none" w:sz="0" w:space="0" w:color="auto"/>
              </w:divBdr>
            </w:div>
          </w:divsChild>
        </w:div>
        <w:div w:id="750272631">
          <w:marLeft w:val="0"/>
          <w:marRight w:val="0"/>
          <w:marTop w:val="0"/>
          <w:marBottom w:val="0"/>
          <w:divBdr>
            <w:top w:val="none" w:sz="0" w:space="0" w:color="auto"/>
            <w:left w:val="none" w:sz="0" w:space="0" w:color="auto"/>
            <w:bottom w:val="none" w:sz="0" w:space="0" w:color="auto"/>
            <w:right w:val="none" w:sz="0" w:space="0" w:color="auto"/>
          </w:divBdr>
          <w:divsChild>
            <w:div w:id="82267866">
              <w:marLeft w:val="0"/>
              <w:marRight w:val="0"/>
              <w:marTop w:val="0"/>
              <w:marBottom w:val="0"/>
              <w:divBdr>
                <w:top w:val="none" w:sz="0" w:space="0" w:color="auto"/>
                <w:left w:val="none" w:sz="0" w:space="0" w:color="auto"/>
                <w:bottom w:val="none" w:sz="0" w:space="0" w:color="auto"/>
                <w:right w:val="none" w:sz="0" w:space="0" w:color="auto"/>
              </w:divBdr>
            </w:div>
          </w:divsChild>
        </w:div>
        <w:div w:id="752354471">
          <w:marLeft w:val="0"/>
          <w:marRight w:val="0"/>
          <w:marTop w:val="0"/>
          <w:marBottom w:val="0"/>
          <w:divBdr>
            <w:top w:val="none" w:sz="0" w:space="0" w:color="auto"/>
            <w:left w:val="none" w:sz="0" w:space="0" w:color="auto"/>
            <w:bottom w:val="none" w:sz="0" w:space="0" w:color="auto"/>
            <w:right w:val="none" w:sz="0" w:space="0" w:color="auto"/>
          </w:divBdr>
          <w:divsChild>
            <w:div w:id="22293311">
              <w:marLeft w:val="0"/>
              <w:marRight w:val="0"/>
              <w:marTop w:val="0"/>
              <w:marBottom w:val="0"/>
              <w:divBdr>
                <w:top w:val="none" w:sz="0" w:space="0" w:color="auto"/>
                <w:left w:val="none" w:sz="0" w:space="0" w:color="auto"/>
                <w:bottom w:val="none" w:sz="0" w:space="0" w:color="auto"/>
                <w:right w:val="none" w:sz="0" w:space="0" w:color="auto"/>
              </w:divBdr>
            </w:div>
          </w:divsChild>
        </w:div>
        <w:div w:id="755135536">
          <w:marLeft w:val="0"/>
          <w:marRight w:val="0"/>
          <w:marTop w:val="0"/>
          <w:marBottom w:val="0"/>
          <w:divBdr>
            <w:top w:val="none" w:sz="0" w:space="0" w:color="auto"/>
            <w:left w:val="none" w:sz="0" w:space="0" w:color="auto"/>
            <w:bottom w:val="none" w:sz="0" w:space="0" w:color="auto"/>
            <w:right w:val="none" w:sz="0" w:space="0" w:color="auto"/>
          </w:divBdr>
          <w:divsChild>
            <w:div w:id="894973503">
              <w:marLeft w:val="0"/>
              <w:marRight w:val="0"/>
              <w:marTop w:val="0"/>
              <w:marBottom w:val="0"/>
              <w:divBdr>
                <w:top w:val="none" w:sz="0" w:space="0" w:color="auto"/>
                <w:left w:val="none" w:sz="0" w:space="0" w:color="auto"/>
                <w:bottom w:val="none" w:sz="0" w:space="0" w:color="auto"/>
                <w:right w:val="none" w:sz="0" w:space="0" w:color="auto"/>
              </w:divBdr>
            </w:div>
          </w:divsChild>
        </w:div>
        <w:div w:id="756289763">
          <w:marLeft w:val="0"/>
          <w:marRight w:val="0"/>
          <w:marTop w:val="0"/>
          <w:marBottom w:val="0"/>
          <w:divBdr>
            <w:top w:val="none" w:sz="0" w:space="0" w:color="auto"/>
            <w:left w:val="none" w:sz="0" w:space="0" w:color="auto"/>
            <w:bottom w:val="none" w:sz="0" w:space="0" w:color="auto"/>
            <w:right w:val="none" w:sz="0" w:space="0" w:color="auto"/>
          </w:divBdr>
          <w:divsChild>
            <w:div w:id="626400159">
              <w:marLeft w:val="0"/>
              <w:marRight w:val="0"/>
              <w:marTop w:val="0"/>
              <w:marBottom w:val="0"/>
              <w:divBdr>
                <w:top w:val="none" w:sz="0" w:space="0" w:color="auto"/>
                <w:left w:val="none" w:sz="0" w:space="0" w:color="auto"/>
                <w:bottom w:val="none" w:sz="0" w:space="0" w:color="auto"/>
                <w:right w:val="none" w:sz="0" w:space="0" w:color="auto"/>
              </w:divBdr>
            </w:div>
          </w:divsChild>
        </w:div>
        <w:div w:id="758139686">
          <w:marLeft w:val="0"/>
          <w:marRight w:val="0"/>
          <w:marTop w:val="0"/>
          <w:marBottom w:val="0"/>
          <w:divBdr>
            <w:top w:val="none" w:sz="0" w:space="0" w:color="auto"/>
            <w:left w:val="none" w:sz="0" w:space="0" w:color="auto"/>
            <w:bottom w:val="none" w:sz="0" w:space="0" w:color="auto"/>
            <w:right w:val="none" w:sz="0" w:space="0" w:color="auto"/>
          </w:divBdr>
          <w:divsChild>
            <w:div w:id="927814099">
              <w:marLeft w:val="0"/>
              <w:marRight w:val="0"/>
              <w:marTop w:val="0"/>
              <w:marBottom w:val="0"/>
              <w:divBdr>
                <w:top w:val="none" w:sz="0" w:space="0" w:color="auto"/>
                <w:left w:val="none" w:sz="0" w:space="0" w:color="auto"/>
                <w:bottom w:val="none" w:sz="0" w:space="0" w:color="auto"/>
                <w:right w:val="none" w:sz="0" w:space="0" w:color="auto"/>
              </w:divBdr>
            </w:div>
          </w:divsChild>
        </w:div>
        <w:div w:id="758259977">
          <w:marLeft w:val="0"/>
          <w:marRight w:val="0"/>
          <w:marTop w:val="0"/>
          <w:marBottom w:val="0"/>
          <w:divBdr>
            <w:top w:val="none" w:sz="0" w:space="0" w:color="auto"/>
            <w:left w:val="none" w:sz="0" w:space="0" w:color="auto"/>
            <w:bottom w:val="none" w:sz="0" w:space="0" w:color="auto"/>
            <w:right w:val="none" w:sz="0" w:space="0" w:color="auto"/>
          </w:divBdr>
          <w:divsChild>
            <w:div w:id="1501002231">
              <w:marLeft w:val="0"/>
              <w:marRight w:val="0"/>
              <w:marTop w:val="0"/>
              <w:marBottom w:val="0"/>
              <w:divBdr>
                <w:top w:val="none" w:sz="0" w:space="0" w:color="auto"/>
                <w:left w:val="none" w:sz="0" w:space="0" w:color="auto"/>
                <w:bottom w:val="none" w:sz="0" w:space="0" w:color="auto"/>
                <w:right w:val="none" w:sz="0" w:space="0" w:color="auto"/>
              </w:divBdr>
            </w:div>
          </w:divsChild>
        </w:div>
        <w:div w:id="758988474">
          <w:marLeft w:val="0"/>
          <w:marRight w:val="0"/>
          <w:marTop w:val="0"/>
          <w:marBottom w:val="0"/>
          <w:divBdr>
            <w:top w:val="none" w:sz="0" w:space="0" w:color="auto"/>
            <w:left w:val="none" w:sz="0" w:space="0" w:color="auto"/>
            <w:bottom w:val="none" w:sz="0" w:space="0" w:color="auto"/>
            <w:right w:val="none" w:sz="0" w:space="0" w:color="auto"/>
          </w:divBdr>
          <w:divsChild>
            <w:div w:id="1550917662">
              <w:marLeft w:val="0"/>
              <w:marRight w:val="0"/>
              <w:marTop w:val="0"/>
              <w:marBottom w:val="0"/>
              <w:divBdr>
                <w:top w:val="none" w:sz="0" w:space="0" w:color="auto"/>
                <w:left w:val="none" w:sz="0" w:space="0" w:color="auto"/>
                <w:bottom w:val="none" w:sz="0" w:space="0" w:color="auto"/>
                <w:right w:val="none" w:sz="0" w:space="0" w:color="auto"/>
              </w:divBdr>
            </w:div>
          </w:divsChild>
        </w:div>
        <w:div w:id="759057534">
          <w:marLeft w:val="0"/>
          <w:marRight w:val="0"/>
          <w:marTop w:val="0"/>
          <w:marBottom w:val="0"/>
          <w:divBdr>
            <w:top w:val="none" w:sz="0" w:space="0" w:color="auto"/>
            <w:left w:val="none" w:sz="0" w:space="0" w:color="auto"/>
            <w:bottom w:val="none" w:sz="0" w:space="0" w:color="auto"/>
            <w:right w:val="none" w:sz="0" w:space="0" w:color="auto"/>
          </w:divBdr>
          <w:divsChild>
            <w:div w:id="1780565455">
              <w:marLeft w:val="0"/>
              <w:marRight w:val="0"/>
              <w:marTop w:val="0"/>
              <w:marBottom w:val="0"/>
              <w:divBdr>
                <w:top w:val="none" w:sz="0" w:space="0" w:color="auto"/>
                <w:left w:val="none" w:sz="0" w:space="0" w:color="auto"/>
                <w:bottom w:val="none" w:sz="0" w:space="0" w:color="auto"/>
                <w:right w:val="none" w:sz="0" w:space="0" w:color="auto"/>
              </w:divBdr>
            </w:div>
          </w:divsChild>
        </w:div>
        <w:div w:id="760832917">
          <w:marLeft w:val="0"/>
          <w:marRight w:val="0"/>
          <w:marTop w:val="0"/>
          <w:marBottom w:val="0"/>
          <w:divBdr>
            <w:top w:val="none" w:sz="0" w:space="0" w:color="auto"/>
            <w:left w:val="none" w:sz="0" w:space="0" w:color="auto"/>
            <w:bottom w:val="none" w:sz="0" w:space="0" w:color="auto"/>
            <w:right w:val="none" w:sz="0" w:space="0" w:color="auto"/>
          </w:divBdr>
          <w:divsChild>
            <w:div w:id="544030245">
              <w:marLeft w:val="0"/>
              <w:marRight w:val="0"/>
              <w:marTop w:val="0"/>
              <w:marBottom w:val="0"/>
              <w:divBdr>
                <w:top w:val="none" w:sz="0" w:space="0" w:color="auto"/>
                <w:left w:val="none" w:sz="0" w:space="0" w:color="auto"/>
                <w:bottom w:val="none" w:sz="0" w:space="0" w:color="auto"/>
                <w:right w:val="none" w:sz="0" w:space="0" w:color="auto"/>
              </w:divBdr>
            </w:div>
          </w:divsChild>
        </w:div>
        <w:div w:id="761334947">
          <w:marLeft w:val="0"/>
          <w:marRight w:val="0"/>
          <w:marTop w:val="0"/>
          <w:marBottom w:val="0"/>
          <w:divBdr>
            <w:top w:val="none" w:sz="0" w:space="0" w:color="auto"/>
            <w:left w:val="none" w:sz="0" w:space="0" w:color="auto"/>
            <w:bottom w:val="none" w:sz="0" w:space="0" w:color="auto"/>
            <w:right w:val="none" w:sz="0" w:space="0" w:color="auto"/>
          </w:divBdr>
          <w:divsChild>
            <w:div w:id="1730499167">
              <w:marLeft w:val="0"/>
              <w:marRight w:val="0"/>
              <w:marTop w:val="0"/>
              <w:marBottom w:val="0"/>
              <w:divBdr>
                <w:top w:val="none" w:sz="0" w:space="0" w:color="auto"/>
                <w:left w:val="none" w:sz="0" w:space="0" w:color="auto"/>
                <w:bottom w:val="none" w:sz="0" w:space="0" w:color="auto"/>
                <w:right w:val="none" w:sz="0" w:space="0" w:color="auto"/>
              </w:divBdr>
            </w:div>
          </w:divsChild>
        </w:div>
        <w:div w:id="761756851">
          <w:marLeft w:val="0"/>
          <w:marRight w:val="0"/>
          <w:marTop w:val="0"/>
          <w:marBottom w:val="0"/>
          <w:divBdr>
            <w:top w:val="none" w:sz="0" w:space="0" w:color="auto"/>
            <w:left w:val="none" w:sz="0" w:space="0" w:color="auto"/>
            <w:bottom w:val="none" w:sz="0" w:space="0" w:color="auto"/>
            <w:right w:val="none" w:sz="0" w:space="0" w:color="auto"/>
          </w:divBdr>
          <w:divsChild>
            <w:div w:id="147791595">
              <w:marLeft w:val="0"/>
              <w:marRight w:val="0"/>
              <w:marTop w:val="0"/>
              <w:marBottom w:val="0"/>
              <w:divBdr>
                <w:top w:val="none" w:sz="0" w:space="0" w:color="auto"/>
                <w:left w:val="none" w:sz="0" w:space="0" w:color="auto"/>
                <w:bottom w:val="none" w:sz="0" w:space="0" w:color="auto"/>
                <w:right w:val="none" w:sz="0" w:space="0" w:color="auto"/>
              </w:divBdr>
            </w:div>
          </w:divsChild>
        </w:div>
        <w:div w:id="762381375">
          <w:marLeft w:val="0"/>
          <w:marRight w:val="0"/>
          <w:marTop w:val="0"/>
          <w:marBottom w:val="0"/>
          <w:divBdr>
            <w:top w:val="none" w:sz="0" w:space="0" w:color="auto"/>
            <w:left w:val="none" w:sz="0" w:space="0" w:color="auto"/>
            <w:bottom w:val="none" w:sz="0" w:space="0" w:color="auto"/>
            <w:right w:val="none" w:sz="0" w:space="0" w:color="auto"/>
          </w:divBdr>
          <w:divsChild>
            <w:div w:id="620771263">
              <w:marLeft w:val="0"/>
              <w:marRight w:val="0"/>
              <w:marTop w:val="0"/>
              <w:marBottom w:val="0"/>
              <w:divBdr>
                <w:top w:val="none" w:sz="0" w:space="0" w:color="auto"/>
                <w:left w:val="none" w:sz="0" w:space="0" w:color="auto"/>
                <w:bottom w:val="none" w:sz="0" w:space="0" w:color="auto"/>
                <w:right w:val="none" w:sz="0" w:space="0" w:color="auto"/>
              </w:divBdr>
            </w:div>
          </w:divsChild>
        </w:div>
        <w:div w:id="765420630">
          <w:marLeft w:val="0"/>
          <w:marRight w:val="0"/>
          <w:marTop w:val="0"/>
          <w:marBottom w:val="0"/>
          <w:divBdr>
            <w:top w:val="none" w:sz="0" w:space="0" w:color="auto"/>
            <w:left w:val="none" w:sz="0" w:space="0" w:color="auto"/>
            <w:bottom w:val="none" w:sz="0" w:space="0" w:color="auto"/>
            <w:right w:val="none" w:sz="0" w:space="0" w:color="auto"/>
          </w:divBdr>
          <w:divsChild>
            <w:div w:id="354232017">
              <w:marLeft w:val="0"/>
              <w:marRight w:val="0"/>
              <w:marTop w:val="0"/>
              <w:marBottom w:val="0"/>
              <w:divBdr>
                <w:top w:val="none" w:sz="0" w:space="0" w:color="auto"/>
                <w:left w:val="none" w:sz="0" w:space="0" w:color="auto"/>
                <w:bottom w:val="none" w:sz="0" w:space="0" w:color="auto"/>
                <w:right w:val="none" w:sz="0" w:space="0" w:color="auto"/>
              </w:divBdr>
            </w:div>
          </w:divsChild>
        </w:div>
        <w:div w:id="768086791">
          <w:marLeft w:val="0"/>
          <w:marRight w:val="0"/>
          <w:marTop w:val="0"/>
          <w:marBottom w:val="0"/>
          <w:divBdr>
            <w:top w:val="none" w:sz="0" w:space="0" w:color="auto"/>
            <w:left w:val="none" w:sz="0" w:space="0" w:color="auto"/>
            <w:bottom w:val="none" w:sz="0" w:space="0" w:color="auto"/>
            <w:right w:val="none" w:sz="0" w:space="0" w:color="auto"/>
          </w:divBdr>
          <w:divsChild>
            <w:div w:id="1943149424">
              <w:marLeft w:val="0"/>
              <w:marRight w:val="0"/>
              <w:marTop w:val="0"/>
              <w:marBottom w:val="0"/>
              <w:divBdr>
                <w:top w:val="none" w:sz="0" w:space="0" w:color="auto"/>
                <w:left w:val="none" w:sz="0" w:space="0" w:color="auto"/>
                <w:bottom w:val="none" w:sz="0" w:space="0" w:color="auto"/>
                <w:right w:val="none" w:sz="0" w:space="0" w:color="auto"/>
              </w:divBdr>
            </w:div>
          </w:divsChild>
        </w:div>
        <w:div w:id="769006483">
          <w:marLeft w:val="0"/>
          <w:marRight w:val="0"/>
          <w:marTop w:val="0"/>
          <w:marBottom w:val="0"/>
          <w:divBdr>
            <w:top w:val="none" w:sz="0" w:space="0" w:color="auto"/>
            <w:left w:val="none" w:sz="0" w:space="0" w:color="auto"/>
            <w:bottom w:val="none" w:sz="0" w:space="0" w:color="auto"/>
            <w:right w:val="none" w:sz="0" w:space="0" w:color="auto"/>
          </w:divBdr>
          <w:divsChild>
            <w:div w:id="422840839">
              <w:marLeft w:val="0"/>
              <w:marRight w:val="0"/>
              <w:marTop w:val="0"/>
              <w:marBottom w:val="0"/>
              <w:divBdr>
                <w:top w:val="none" w:sz="0" w:space="0" w:color="auto"/>
                <w:left w:val="none" w:sz="0" w:space="0" w:color="auto"/>
                <w:bottom w:val="none" w:sz="0" w:space="0" w:color="auto"/>
                <w:right w:val="none" w:sz="0" w:space="0" w:color="auto"/>
              </w:divBdr>
            </w:div>
          </w:divsChild>
        </w:div>
        <w:div w:id="770202264">
          <w:marLeft w:val="0"/>
          <w:marRight w:val="0"/>
          <w:marTop w:val="0"/>
          <w:marBottom w:val="0"/>
          <w:divBdr>
            <w:top w:val="none" w:sz="0" w:space="0" w:color="auto"/>
            <w:left w:val="none" w:sz="0" w:space="0" w:color="auto"/>
            <w:bottom w:val="none" w:sz="0" w:space="0" w:color="auto"/>
            <w:right w:val="none" w:sz="0" w:space="0" w:color="auto"/>
          </w:divBdr>
          <w:divsChild>
            <w:div w:id="451705175">
              <w:marLeft w:val="0"/>
              <w:marRight w:val="0"/>
              <w:marTop w:val="0"/>
              <w:marBottom w:val="0"/>
              <w:divBdr>
                <w:top w:val="none" w:sz="0" w:space="0" w:color="auto"/>
                <w:left w:val="none" w:sz="0" w:space="0" w:color="auto"/>
                <w:bottom w:val="none" w:sz="0" w:space="0" w:color="auto"/>
                <w:right w:val="none" w:sz="0" w:space="0" w:color="auto"/>
              </w:divBdr>
            </w:div>
          </w:divsChild>
        </w:div>
        <w:div w:id="770857588">
          <w:marLeft w:val="0"/>
          <w:marRight w:val="0"/>
          <w:marTop w:val="0"/>
          <w:marBottom w:val="0"/>
          <w:divBdr>
            <w:top w:val="none" w:sz="0" w:space="0" w:color="auto"/>
            <w:left w:val="none" w:sz="0" w:space="0" w:color="auto"/>
            <w:bottom w:val="none" w:sz="0" w:space="0" w:color="auto"/>
            <w:right w:val="none" w:sz="0" w:space="0" w:color="auto"/>
          </w:divBdr>
          <w:divsChild>
            <w:div w:id="1757970202">
              <w:marLeft w:val="0"/>
              <w:marRight w:val="0"/>
              <w:marTop w:val="0"/>
              <w:marBottom w:val="0"/>
              <w:divBdr>
                <w:top w:val="none" w:sz="0" w:space="0" w:color="auto"/>
                <w:left w:val="none" w:sz="0" w:space="0" w:color="auto"/>
                <w:bottom w:val="none" w:sz="0" w:space="0" w:color="auto"/>
                <w:right w:val="none" w:sz="0" w:space="0" w:color="auto"/>
              </w:divBdr>
            </w:div>
          </w:divsChild>
        </w:div>
        <w:div w:id="774591198">
          <w:marLeft w:val="0"/>
          <w:marRight w:val="0"/>
          <w:marTop w:val="0"/>
          <w:marBottom w:val="0"/>
          <w:divBdr>
            <w:top w:val="none" w:sz="0" w:space="0" w:color="auto"/>
            <w:left w:val="none" w:sz="0" w:space="0" w:color="auto"/>
            <w:bottom w:val="none" w:sz="0" w:space="0" w:color="auto"/>
            <w:right w:val="none" w:sz="0" w:space="0" w:color="auto"/>
          </w:divBdr>
          <w:divsChild>
            <w:div w:id="776557385">
              <w:marLeft w:val="0"/>
              <w:marRight w:val="0"/>
              <w:marTop w:val="0"/>
              <w:marBottom w:val="0"/>
              <w:divBdr>
                <w:top w:val="none" w:sz="0" w:space="0" w:color="auto"/>
                <w:left w:val="none" w:sz="0" w:space="0" w:color="auto"/>
                <w:bottom w:val="none" w:sz="0" w:space="0" w:color="auto"/>
                <w:right w:val="none" w:sz="0" w:space="0" w:color="auto"/>
              </w:divBdr>
            </w:div>
          </w:divsChild>
        </w:div>
        <w:div w:id="776870573">
          <w:marLeft w:val="0"/>
          <w:marRight w:val="0"/>
          <w:marTop w:val="0"/>
          <w:marBottom w:val="0"/>
          <w:divBdr>
            <w:top w:val="none" w:sz="0" w:space="0" w:color="auto"/>
            <w:left w:val="none" w:sz="0" w:space="0" w:color="auto"/>
            <w:bottom w:val="none" w:sz="0" w:space="0" w:color="auto"/>
            <w:right w:val="none" w:sz="0" w:space="0" w:color="auto"/>
          </w:divBdr>
          <w:divsChild>
            <w:div w:id="1284917915">
              <w:marLeft w:val="0"/>
              <w:marRight w:val="0"/>
              <w:marTop w:val="0"/>
              <w:marBottom w:val="0"/>
              <w:divBdr>
                <w:top w:val="none" w:sz="0" w:space="0" w:color="auto"/>
                <w:left w:val="none" w:sz="0" w:space="0" w:color="auto"/>
                <w:bottom w:val="none" w:sz="0" w:space="0" w:color="auto"/>
                <w:right w:val="none" w:sz="0" w:space="0" w:color="auto"/>
              </w:divBdr>
            </w:div>
          </w:divsChild>
        </w:div>
        <w:div w:id="780148267">
          <w:marLeft w:val="0"/>
          <w:marRight w:val="0"/>
          <w:marTop w:val="0"/>
          <w:marBottom w:val="0"/>
          <w:divBdr>
            <w:top w:val="none" w:sz="0" w:space="0" w:color="auto"/>
            <w:left w:val="none" w:sz="0" w:space="0" w:color="auto"/>
            <w:bottom w:val="none" w:sz="0" w:space="0" w:color="auto"/>
            <w:right w:val="none" w:sz="0" w:space="0" w:color="auto"/>
          </w:divBdr>
          <w:divsChild>
            <w:div w:id="1721442834">
              <w:marLeft w:val="0"/>
              <w:marRight w:val="0"/>
              <w:marTop w:val="0"/>
              <w:marBottom w:val="0"/>
              <w:divBdr>
                <w:top w:val="none" w:sz="0" w:space="0" w:color="auto"/>
                <w:left w:val="none" w:sz="0" w:space="0" w:color="auto"/>
                <w:bottom w:val="none" w:sz="0" w:space="0" w:color="auto"/>
                <w:right w:val="none" w:sz="0" w:space="0" w:color="auto"/>
              </w:divBdr>
            </w:div>
          </w:divsChild>
        </w:div>
        <w:div w:id="782113212">
          <w:marLeft w:val="0"/>
          <w:marRight w:val="0"/>
          <w:marTop w:val="0"/>
          <w:marBottom w:val="0"/>
          <w:divBdr>
            <w:top w:val="none" w:sz="0" w:space="0" w:color="auto"/>
            <w:left w:val="none" w:sz="0" w:space="0" w:color="auto"/>
            <w:bottom w:val="none" w:sz="0" w:space="0" w:color="auto"/>
            <w:right w:val="none" w:sz="0" w:space="0" w:color="auto"/>
          </w:divBdr>
          <w:divsChild>
            <w:div w:id="1468474652">
              <w:marLeft w:val="0"/>
              <w:marRight w:val="0"/>
              <w:marTop w:val="0"/>
              <w:marBottom w:val="0"/>
              <w:divBdr>
                <w:top w:val="none" w:sz="0" w:space="0" w:color="auto"/>
                <w:left w:val="none" w:sz="0" w:space="0" w:color="auto"/>
                <w:bottom w:val="none" w:sz="0" w:space="0" w:color="auto"/>
                <w:right w:val="none" w:sz="0" w:space="0" w:color="auto"/>
              </w:divBdr>
            </w:div>
          </w:divsChild>
        </w:div>
        <w:div w:id="782458388">
          <w:marLeft w:val="0"/>
          <w:marRight w:val="0"/>
          <w:marTop w:val="0"/>
          <w:marBottom w:val="0"/>
          <w:divBdr>
            <w:top w:val="none" w:sz="0" w:space="0" w:color="auto"/>
            <w:left w:val="none" w:sz="0" w:space="0" w:color="auto"/>
            <w:bottom w:val="none" w:sz="0" w:space="0" w:color="auto"/>
            <w:right w:val="none" w:sz="0" w:space="0" w:color="auto"/>
          </w:divBdr>
          <w:divsChild>
            <w:div w:id="61560826">
              <w:marLeft w:val="0"/>
              <w:marRight w:val="0"/>
              <w:marTop w:val="0"/>
              <w:marBottom w:val="0"/>
              <w:divBdr>
                <w:top w:val="none" w:sz="0" w:space="0" w:color="auto"/>
                <w:left w:val="none" w:sz="0" w:space="0" w:color="auto"/>
                <w:bottom w:val="none" w:sz="0" w:space="0" w:color="auto"/>
                <w:right w:val="none" w:sz="0" w:space="0" w:color="auto"/>
              </w:divBdr>
            </w:div>
          </w:divsChild>
        </w:div>
        <w:div w:id="794062807">
          <w:marLeft w:val="0"/>
          <w:marRight w:val="0"/>
          <w:marTop w:val="0"/>
          <w:marBottom w:val="0"/>
          <w:divBdr>
            <w:top w:val="none" w:sz="0" w:space="0" w:color="auto"/>
            <w:left w:val="none" w:sz="0" w:space="0" w:color="auto"/>
            <w:bottom w:val="none" w:sz="0" w:space="0" w:color="auto"/>
            <w:right w:val="none" w:sz="0" w:space="0" w:color="auto"/>
          </w:divBdr>
          <w:divsChild>
            <w:div w:id="367530013">
              <w:marLeft w:val="0"/>
              <w:marRight w:val="0"/>
              <w:marTop w:val="0"/>
              <w:marBottom w:val="0"/>
              <w:divBdr>
                <w:top w:val="none" w:sz="0" w:space="0" w:color="auto"/>
                <w:left w:val="none" w:sz="0" w:space="0" w:color="auto"/>
                <w:bottom w:val="none" w:sz="0" w:space="0" w:color="auto"/>
                <w:right w:val="none" w:sz="0" w:space="0" w:color="auto"/>
              </w:divBdr>
            </w:div>
          </w:divsChild>
        </w:div>
        <w:div w:id="794835041">
          <w:marLeft w:val="0"/>
          <w:marRight w:val="0"/>
          <w:marTop w:val="0"/>
          <w:marBottom w:val="0"/>
          <w:divBdr>
            <w:top w:val="none" w:sz="0" w:space="0" w:color="auto"/>
            <w:left w:val="none" w:sz="0" w:space="0" w:color="auto"/>
            <w:bottom w:val="none" w:sz="0" w:space="0" w:color="auto"/>
            <w:right w:val="none" w:sz="0" w:space="0" w:color="auto"/>
          </w:divBdr>
          <w:divsChild>
            <w:div w:id="1208689371">
              <w:marLeft w:val="0"/>
              <w:marRight w:val="0"/>
              <w:marTop w:val="0"/>
              <w:marBottom w:val="0"/>
              <w:divBdr>
                <w:top w:val="none" w:sz="0" w:space="0" w:color="auto"/>
                <w:left w:val="none" w:sz="0" w:space="0" w:color="auto"/>
                <w:bottom w:val="none" w:sz="0" w:space="0" w:color="auto"/>
                <w:right w:val="none" w:sz="0" w:space="0" w:color="auto"/>
              </w:divBdr>
            </w:div>
          </w:divsChild>
        </w:div>
        <w:div w:id="795414855">
          <w:marLeft w:val="0"/>
          <w:marRight w:val="0"/>
          <w:marTop w:val="0"/>
          <w:marBottom w:val="0"/>
          <w:divBdr>
            <w:top w:val="none" w:sz="0" w:space="0" w:color="auto"/>
            <w:left w:val="none" w:sz="0" w:space="0" w:color="auto"/>
            <w:bottom w:val="none" w:sz="0" w:space="0" w:color="auto"/>
            <w:right w:val="none" w:sz="0" w:space="0" w:color="auto"/>
          </w:divBdr>
          <w:divsChild>
            <w:div w:id="2016835804">
              <w:marLeft w:val="0"/>
              <w:marRight w:val="0"/>
              <w:marTop w:val="0"/>
              <w:marBottom w:val="0"/>
              <w:divBdr>
                <w:top w:val="none" w:sz="0" w:space="0" w:color="auto"/>
                <w:left w:val="none" w:sz="0" w:space="0" w:color="auto"/>
                <w:bottom w:val="none" w:sz="0" w:space="0" w:color="auto"/>
                <w:right w:val="none" w:sz="0" w:space="0" w:color="auto"/>
              </w:divBdr>
            </w:div>
          </w:divsChild>
        </w:div>
        <w:div w:id="795567248">
          <w:marLeft w:val="0"/>
          <w:marRight w:val="0"/>
          <w:marTop w:val="0"/>
          <w:marBottom w:val="0"/>
          <w:divBdr>
            <w:top w:val="none" w:sz="0" w:space="0" w:color="auto"/>
            <w:left w:val="none" w:sz="0" w:space="0" w:color="auto"/>
            <w:bottom w:val="none" w:sz="0" w:space="0" w:color="auto"/>
            <w:right w:val="none" w:sz="0" w:space="0" w:color="auto"/>
          </w:divBdr>
          <w:divsChild>
            <w:div w:id="1400857658">
              <w:marLeft w:val="0"/>
              <w:marRight w:val="0"/>
              <w:marTop w:val="0"/>
              <w:marBottom w:val="0"/>
              <w:divBdr>
                <w:top w:val="none" w:sz="0" w:space="0" w:color="auto"/>
                <w:left w:val="none" w:sz="0" w:space="0" w:color="auto"/>
                <w:bottom w:val="none" w:sz="0" w:space="0" w:color="auto"/>
                <w:right w:val="none" w:sz="0" w:space="0" w:color="auto"/>
              </w:divBdr>
            </w:div>
          </w:divsChild>
        </w:div>
        <w:div w:id="796145647">
          <w:marLeft w:val="0"/>
          <w:marRight w:val="0"/>
          <w:marTop w:val="0"/>
          <w:marBottom w:val="0"/>
          <w:divBdr>
            <w:top w:val="none" w:sz="0" w:space="0" w:color="auto"/>
            <w:left w:val="none" w:sz="0" w:space="0" w:color="auto"/>
            <w:bottom w:val="none" w:sz="0" w:space="0" w:color="auto"/>
            <w:right w:val="none" w:sz="0" w:space="0" w:color="auto"/>
          </w:divBdr>
          <w:divsChild>
            <w:div w:id="1625649031">
              <w:marLeft w:val="0"/>
              <w:marRight w:val="0"/>
              <w:marTop w:val="0"/>
              <w:marBottom w:val="0"/>
              <w:divBdr>
                <w:top w:val="none" w:sz="0" w:space="0" w:color="auto"/>
                <w:left w:val="none" w:sz="0" w:space="0" w:color="auto"/>
                <w:bottom w:val="none" w:sz="0" w:space="0" w:color="auto"/>
                <w:right w:val="none" w:sz="0" w:space="0" w:color="auto"/>
              </w:divBdr>
            </w:div>
          </w:divsChild>
        </w:div>
        <w:div w:id="800029146">
          <w:marLeft w:val="0"/>
          <w:marRight w:val="0"/>
          <w:marTop w:val="0"/>
          <w:marBottom w:val="0"/>
          <w:divBdr>
            <w:top w:val="none" w:sz="0" w:space="0" w:color="auto"/>
            <w:left w:val="none" w:sz="0" w:space="0" w:color="auto"/>
            <w:bottom w:val="none" w:sz="0" w:space="0" w:color="auto"/>
            <w:right w:val="none" w:sz="0" w:space="0" w:color="auto"/>
          </w:divBdr>
          <w:divsChild>
            <w:div w:id="486943291">
              <w:marLeft w:val="0"/>
              <w:marRight w:val="0"/>
              <w:marTop w:val="0"/>
              <w:marBottom w:val="0"/>
              <w:divBdr>
                <w:top w:val="none" w:sz="0" w:space="0" w:color="auto"/>
                <w:left w:val="none" w:sz="0" w:space="0" w:color="auto"/>
                <w:bottom w:val="none" w:sz="0" w:space="0" w:color="auto"/>
                <w:right w:val="none" w:sz="0" w:space="0" w:color="auto"/>
              </w:divBdr>
            </w:div>
          </w:divsChild>
        </w:div>
        <w:div w:id="806124051">
          <w:marLeft w:val="0"/>
          <w:marRight w:val="0"/>
          <w:marTop w:val="0"/>
          <w:marBottom w:val="0"/>
          <w:divBdr>
            <w:top w:val="none" w:sz="0" w:space="0" w:color="auto"/>
            <w:left w:val="none" w:sz="0" w:space="0" w:color="auto"/>
            <w:bottom w:val="none" w:sz="0" w:space="0" w:color="auto"/>
            <w:right w:val="none" w:sz="0" w:space="0" w:color="auto"/>
          </w:divBdr>
          <w:divsChild>
            <w:div w:id="1231619010">
              <w:marLeft w:val="0"/>
              <w:marRight w:val="0"/>
              <w:marTop w:val="0"/>
              <w:marBottom w:val="0"/>
              <w:divBdr>
                <w:top w:val="none" w:sz="0" w:space="0" w:color="auto"/>
                <w:left w:val="none" w:sz="0" w:space="0" w:color="auto"/>
                <w:bottom w:val="none" w:sz="0" w:space="0" w:color="auto"/>
                <w:right w:val="none" w:sz="0" w:space="0" w:color="auto"/>
              </w:divBdr>
            </w:div>
          </w:divsChild>
        </w:div>
        <w:div w:id="807087781">
          <w:marLeft w:val="0"/>
          <w:marRight w:val="0"/>
          <w:marTop w:val="0"/>
          <w:marBottom w:val="0"/>
          <w:divBdr>
            <w:top w:val="none" w:sz="0" w:space="0" w:color="auto"/>
            <w:left w:val="none" w:sz="0" w:space="0" w:color="auto"/>
            <w:bottom w:val="none" w:sz="0" w:space="0" w:color="auto"/>
            <w:right w:val="none" w:sz="0" w:space="0" w:color="auto"/>
          </w:divBdr>
          <w:divsChild>
            <w:div w:id="491874429">
              <w:marLeft w:val="0"/>
              <w:marRight w:val="0"/>
              <w:marTop w:val="0"/>
              <w:marBottom w:val="0"/>
              <w:divBdr>
                <w:top w:val="none" w:sz="0" w:space="0" w:color="auto"/>
                <w:left w:val="none" w:sz="0" w:space="0" w:color="auto"/>
                <w:bottom w:val="none" w:sz="0" w:space="0" w:color="auto"/>
                <w:right w:val="none" w:sz="0" w:space="0" w:color="auto"/>
              </w:divBdr>
            </w:div>
          </w:divsChild>
        </w:div>
        <w:div w:id="809446471">
          <w:marLeft w:val="0"/>
          <w:marRight w:val="0"/>
          <w:marTop w:val="0"/>
          <w:marBottom w:val="0"/>
          <w:divBdr>
            <w:top w:val="none" w:sz="0" w:space="0" w:color="auto"/>
            <w:left w:val="none" w:sz="0" w:space="0" w:color="auto"/>
            <w:bottom w:val="none" w:sz="0" w:space="0" w:color="auto"/>
            <w:right w:val="none" w:sz="0" w:space="0" w:color="auto"/>
          </w:divBdr>
          <w:divsChild>
            <w:div w:id="1436051541">
              <w:marLeft w:val="0"/>
              <w:marRight w:val="0"/>
              <w:marTop w:val="0"/>
              <w:marBottom w:val="0"/>
              <w:divBdr>
                <w:top w:val="none" w:sz="0" w:space="0" w:color="auto"/>
                <w:left w:val="none" w:sz="0" w:space="0" w:color="auto"/>
                <w:bottom w:val="none" w:sz="0" w:space="0" w:color="auto"/>
                <w:right w:val="none" w:sz="0" w:space="0" w:color="auto"/>
              </w:divBdr>
            </w:div>
          </w:divsChild>
        </w:div>
        <w:div w:id="811022810">
          <w:marLeft w:val="0"/>
          <w:marRight w:val="0"/>
          <w:marTop w:val="0"/>
          <w:marBottom w:val="0"/>
          <w:divBdr>
            <w:top w:val="none" w:sz="0" w:space="0" w:color="auto"/>
            <w:left w:val="none" w:sz="0" w:space="0" w:color="auto"/>
            <w:bottom w:val="none" w:sz="0" w:space="0" w:color="auto"/>
            <w:right w:val="none" w:sz="0" w:space="0" w:color="auto"/>
          </w:divBdr>
          <w:divsChild>
            <w:div w:id="104083510">
              <w:marLeft w:val="0"/>
              <w:marRight w:val="0"/>
              <w:marTop w:val="0"/>
              <w:marBottom w:val="0"/>
              <w:divBdr>
                <w:top w:val="none" w:sz="0" w:space="0" w:color="auto"/>
                <w:left w:val="none" w:sz="0" w:space="0" w:color="auto"/>
                <w:bottom w:val="none" w:sz="0" w:space="0" w:color="auto"/>
                <w:right w:val="none" w:sz="0" w:space="0" w:color="auto"/>
              </w:divBdr>
            </w:div>
          </w:divsChild>
        </w:div>
        <w:div w:id="811562437">
          <w:marLeft w:val="0"/>
          <w:marRight w:val="0"/>
          <w:marTop w:val="0"/>
          <w:marBottom w:val="0"/>
          <w:divBdr>
            <w:top w:val="none" w:sz="0" w:space="0" w:color="auto"/>
            <w:left w:val="none" w:sz="0" w:space="0" w:color="auto"/>
            <w:bottom w:val="none" w:sz="0" w:space="0" w:color="auto"/>
            <w:right w:val="none" w:sz="0" w:space="0" w:color="auto"/>
          </w:divBdr>
          <w:divsChild>
            <w:div w:id="21790253">
              <w:marLeft w:val="0"/>
              <w:marRight w:val="0"/>
              <w:marTop w:val="0"/>
              <w:marBottom w:val="0"/>
              <w:divBdr>
                <w:top w:val="none" w:sz="0" w:space="0" w:color="auto"/>
                <w:left w:val="none" w:sz="0" w:space="0" w:color="auto"/>
                <w:bottom w:val="none" w:sz="0" w:space="0" w:color="auto"/>
                <w:right w:val="none" w:sz="0" w:space="0" w:color="auto"/>
              </w:divBdr>
            </w:div>
          </w:divsChild>
        </w:div>
        <w:div w:id="815030939">
          <w:marLeft w:val="0"/>
          <w:marRight w:val="0"/>
          <w:marTop w:val="0"/>
          <w:marBottom w:val="0"/>
          <w:divBdr>
            <w:top w:val="none" w:sz="0" w:space="0" w:color="auto"/>
            <w:left w:val="none" w:sz="0" w:space="0" w:color="auto"/>
            <w:bottom w:val="none" w:sz="0" w:space="0" w:color="auto"/>
            <w:right w:val="none" w:sz="0" w:space="0" w:color="auto"/>
          </w:divBdr>
          <w:divsChild>
            <w:div w:id="1888564993">
              <w:marLeft w:val="0"/>
              <w:marRight w:val="0"/>
              <w:marTop w:val="0"/>
              <w:marBottom w:val="0"/>
              <w:divBdr>
                <w:top w:val="none" w:sz="0" w:space="0" w:color="auto"/>
                <w:left w:val="none" w:sz="0" w:space="0" w:color="auto"/>
                <w:bottom w:val="none" w:sz="0" w:space="0" w:color="auto"/>
                <w:right w:val="none" w:sz="0" w:space="0" w:color="auto"/>
              </w:divBdr>
            </w:div>
          </w:divsChild>
        </w:div>
        <w:div w:id="817263458">
          <w:marLeft w:val="0"/>
          <w:marRight w:val="0"/>
          <w:marTop w:val="0"/>
          <w:marBottom w:val="0"/>
          <w:divBdr>
            <w:top w:val="none" w:sz="0" w:space="0" w:color="auto"/>
            <w:left w:val="none" w:sz="0" w:space="0" w:color="auto"/>
            <w:bottom w:val="none" w:sz="0" w:space="0" w:color="auto"/>
            <w:right w:val="none" w:sz="0" w:space="0" w:color="auto"/>
          </w:divBdr>
          <w:divsChild>
            <w:div w:id="541401702">
              <w:marLeft w:val="0"/>
              <w:marRight w:val="0"/>
              <w:marTop w:val="0"/>
              <w:marBottom w:val="0"/>
              <w:divBdr>
                <w:top w:val="none" w:sz="0" w:space="0" w:color="auto"/>
                <w:left w:val="none" w:sz="0" w:space="0" w:color="auto"/>
                <w:bottom w:val="none" w:sz="0" w:space="0" w:color="auto"/>
                <w:right w:val="none" w:sz="0" w:space="0" w:color="auto"/>
              </w:divBdr>
            </w:div>
          </w:divsChild>
        </w:div>
        <w:div w:id="817378056">
          <w:marLeft w:val="0"/>
          <w:marRight w:val="0"/>
          <w:marTop w:val="0"/>
          <w:marBottom w:val="0"/>
          <w:divBdr>
            <w:top w:val="none" w:sz="0" w:space="0" w:color="auto"/>
            <w:left w:val="none" w:sz="0" w:space="0" w:color="auto"/>
            <w:bottom w:val="none" w:sz="0" w:space="0" w:color="auto"/>
            <w:right w:val="none" w:sz="0" w:space="0" w:color="auto"/>
          </w:divBdr>
          <w:divsChild>
            <w:div w:id="919288961">
              <w:marLeft w:val="0"/>
              <w:marRight w:val="0"/>
              <w:marTop w:val="0"/>
              <w:marBottom w:val="0"/>
              <w:divBdr>
                <w:top w:val="none" w:sz="0" w:space="0" w:color="auto"/>
                <w:left w:val="none" w:sz="0" w:space="0" w:color="auto"/>
                <w:bottom w:val="none" w:sz="0" w:space="0" w:color="auto"/>
                <w:right w:val="none" w:sz="0" w:space="0" w:color="auto"/>
              </w:divBdr>
            </w:div>
          </w:divsChild>
        </w:div>
        <w:div w:id="821580995">
          <w:marLeft w:val="0"/>
          <w:marRight w:val="0"/>
          <w:marTop w:val="0"/>
          <w:marBottom w:val="0"/>
          <w:divBdr>
            <w:top w:val="none" w:sz="0" w:space="0" w:color="auto"/>
            <w:left w:val="none" w:sz="0" w:space="0" w:color="auto"/>
            <w:bottom w:val="none" w:sz="0" w:space="0" w:color="auto"/>
            <w:right w:val="none" w:sz="0" w:space="0" w:color="auto"/>
          </w:divBdr>
          <w:divsChild>
            <w:div w:id="1081371987">
              <w:marLeft w:val="0"/>
              <w:marRight w:val="0"/>
              <w:marTop w:val="0"/>
              <w:marBottom w:val="0"/>
              <w:divBdr>
                <w:top w:val="none" w:sz="0" w:space="0" w:color="auto"/>
                <w:left w:val="none" w:sz="0" w:space="0" w:color="auto"/>
                <w:bottom w:val="none" w:sz="0" w:space="0" w:color="auto"/>
                <w:right w:val="none" w:sz="0" w:space="0" w:color="auto"/>
              </w:divBdr>
            </w:div>
          </w:divsChild>
        </w:div>
        <w:div w:id="825512448">
          <w:marLeft w:val="0"/>
          <w:marRight w:val="0"/>
          <w:marTop w:val="0"/>
          <w:marBottom w:val="0"/>
          <w:divBdr>
            <w:top w:val="none" w:sz="0" w:space="0" w:color="auto"/>
            <w:left w:val="none" w:sz="0" w:space="0" w:color="auto"/>
            <w:bottom w:val="none" w:sz="0" w:space="0" w:color="auto"/>
            <w:right w:val="none" w:sz="0" w:space="0" w:color="auto"/>
          </w:divBdr>
          <w:divsChild>
            <w:div w:id="809591549">
              <w:marLeft w:val="0"/>
              <w:marRight w:val="0"/>
              <w:marTop w:val="0"/>
              <w:marBottom w:val="0"/>
              <w:divBdr>
                <w:top w:val="none" w:sz="0" w:space="0" w:color="auto"/>
                <w:left w:val="none" w:sz="0" w:space="0" w:color="auto"/>
                <w:bottom w:val="none" w:sz="0" w:space="0" w:color="auto"/>
                <w:right w:val="none" w:sz="0" w:space="0" w:color="auto"/>
              </w:divBdr>
            </w:div>
          </w:divsChild>
        </w:div>
        <w:div w:id="826288521">
          <w:marLeft w:val="0"/>
          <w:marRight w:val="0"/>
          <w:marTop w:val="0"/>
          <w:marBottom w:val="0"/>
          <w:divBdr>
            <w:top w:val="none" w:sz="0" w:space="0" w:color="auto"/>
            <w:left w:val="none" w:sz="0" w:space="0" w:color="auto"/>
            <w:bottom w:val="none" w:sz="0" w:space="0" w:color="auto"/>
            <w:right w:val="none" w:sz="0" w:space="0" w:color="auto"/>
          </w:divBdr>
          <w:divsChild>
            <w:div w:id="1784380876">
              <w:marLeft w:val="0"/>
              <w:marRight w:val="0"/>
              <w:marTop w:val="0"/>
              <w:marBottom w:val="0"/>
              <w:divBdr>
                <w:top w:val="none" w:sz="0" w:space="0" w:color="auto"/>
                <w:left w:val="none" w:sz="0" w:space="0" w:color="auto"/>
                <w:bottom w:val="none" w:sz="0" w:space="0" w:color="auto"/>
                <w:right w:val="none" w:sz="0" w:space="0" w:color="auto"/>
              </w:divBdr>
            </w:div>
          </w:divsChild>
        </w:div>
        <w:div w:id="827672749">
          <w:marLeft w:val="0"/>
          <w:marRight w:val="0"/>
          <w:marTop w:val="0"/>
          <w:marBottom w:val="0"/>
          <w:divBdr>
            <w:top w:val="none" w:sz="0" w:space="0" w:color="auto"/>
            <w:left w:val="none" w:sz="0" w:space="0" w:color="auto"/>
            <w:bottom w:val="none" w:sz="0" w:space="0" w:color="auto"/>
            <w:right w:val="none" w:sz="0" w:space="0" w:color="auto"/>
          </w:divBdr>
          <w:divsChild>
            <w:div w:id="818302229">
              <w:marLeft w:val="0"/>
              <w:marRight w:val="0"/>
              <w:marTop w:val="0"/>
              <w:marBottom w:val="0"/>
              <w:divBdr>
                <w:top w:val="none" w:sz="0" w:space="0" w:color="auto"/>
                <w:left w:val="none" w:sz="0" w:space="0" w:color="auto"/>
                <w:bottom w:val="none" w:sz="0" w:space="0" w:color="auto"/>
                <w:right w:val="none" w:sz="0" w:space="0" w:color="auto"/>
              </w:divBdr>
            </w:div>
          </w:divsChild>
        </w:div>
        <w:div w:id="829365361">
          <w:marLeft w:val="0"/>
          <w:marRight w:val="0"/>
          <w:marTop w:val="0"/>
          <w:marBottom w:val="0"/>
          <w:divBdr>
            <w:top w:val="none" w:sz="0" w:space="0" w:color="auto"/>
            <w:left w:val="none" w:sz="0" w:space="0" w:color="auto"/>
            <w:bottom w:val="none" w:sz="0" w:space="0" w:color="auto"/>
            <w:right w:val="none" w:sz="0" w:space="0" w:color="auto"/>
          </w:divBdr>
          <w:divsChild>
            <w:div w:id="1799758561">
              <w:marLeft w:val="0"/>
              <w:marRight w:val="0"/>
              <w:marTop w:val="0"/>
              <w:marBottom w:val="0"/>
              <w:divBdr>
                <w:top w:val="none" w:sz="0" w:space="0" w:color="auto"/>
                <w:left w:val="none" w:sz="0" w:space="0" w:color="auto"/>
                <w:bottom w:val="none" w:sz="0" w:space="0" w:color="auto"/>
                <w:right w:val="none" w:sz="0" w:space="0" w:color="auto"/>
              </w:divBdr>
            </w:div>
          </w:divsChild>
        </w:div>
        <w:div w:id="835920828">
          <w:marLeft w:val="0"/>
          <w:marRight w:val="0"/>
          <w:marTop w:val="0"/>
          <w:marBottom w:val="0"/>
          <w:divBdr>
            <w:top w:val="none" w:sz="0" w:space="0" w:color="auto"/>
            <w:left w:val="none" w:sz="0" w:space="0" w:color="auto"/>
            <w:bottom w:val="none" w:sz="0" w:space="0" w:color="auto"/>
            <w:right w:val="none" w:sz="0" w:space="0" w:color="auto"/>
          </w:divBdr>
          <w:divsChild>
            <w:div w:id="1625963135">
              <w:marLeft w:val="0"/>
              <w:marRight w:val="0"/>
              <w:marTop w:val="0"/>
              <w:marBottom w:val="0"/>
              <w:divBdr>
                <w:top w:val="none" w:sz="0" w:space="0" w:color="auto"/>
                <w:left w:val="none" w:sz="0" w:space="0" w:color="auto"/>
                <w:bottom w:val="none" w:sz="0" w:space="0" w:color="auto"/>
                <w:right w:val="none" w:sz="0" w:space="0" w:color="auto"/>
              </w:divBdr>
            </w:div>
          </w:divsChild>
        </w:div>
        <w:div w:id="837883287">
          <w:marLeft w:val="0"/>
          <w:marRight w:val="0"/>
          <w:marTop w:val="0"/>
          <w:marBottom w:val="0"/>
          <w:divBdr>
            <w:top w:val="none" w:sz="0" w:space="0" w:color="auto"/>
            <w:left w:val="none" w:sz="0" w:space="0" w:color="auto"/>
            <w:bottom w:val="none" w:sz="0" w:space="0" w:color="auto"/>
            <w:right w:val="none" w:sz="0" w:space="0" w:color="auto"/>
          </w:divBdr>
          <w:divsChild>
            <w:div w:id="1233466149">
              <w:marLeft w:val="0"/>
              <w:marRight w:val="0"/>
              <w:marTop w:val="0"/>
              <w:marBottom w:val="0"/>
              <w:divBdr>
                <w:top w:val="none" w:sz="0" w:space="0" w:color="auto"/>
                <w:left w:val="none" w:sz="0" w:space="0" w:color="auto"/>
                <w:bottom w:val="none" w:sz="0" w:space="0" w:color="auto"/>
                <w:right w:val="none" w:sz="0" w:space="0" w:color="auto"/>
              </w:divBdr>
            </w:div>
          </w:divsChild>
        </w:div>
        <w:div w:id="838153976">
          <w:marLeft w:val="0"/>
          <w:marRight w:val="0"/>
          <w:marTop w:val="0"/>
          <w:marBottom w:val="0"/>
          <w:divBdr>
            <w:top w:val="none" w:sz="0" w:space="0" w:color="auto"/>
            <w:left w:val="none" w:sz="0" w:space="0" w:color="auto"/>
            <w:bottom w:val="none" w:sz="0" w:space="0" w:color="auto"/>
            <w:right w:val="none" w:sz="0" w:space="0" w:color="auto"/>
          </w:divBdr>
          <w:divsChild>
            <w:div w:id="1580598350">
              <w:marLeft w:val="0"/>
              <w:marRight w:val="0"/>
              <w:marTop w:val="0"/>
              <w:marBottom w:val="0"/>
              <w:divBdr>
                <w:top w:val="none" w:sz="0" w:space="0" w:color="auto"/>
                <w:left w:val="none" w:sz="0" w:space="0" w:color="auto"/>
                <w:bottom w:val="none" w:sz="0" w:space="0" w:color="auto"/>
                <w:right w:val="none" w:sz="0" w:space="0" w:color="auto"/>
              </w:divBdr>
            </w:div>
          </w:divsChild>
        </w:div>
        <w:div w:id="839000468">
          <w:marLeft w:val="0"/>
          <w:marRight w:val="0"/>
          <w:marTop w:val="0"/>
          <w:marBottom w:val="0"/>
          <w:divBdr>
            <w:top w:val="none" w:sz="0" w:space="0" w:color="auto"/>
            <w:left w:val="none" w:sz="0" w:space="0" w:color="auto"/>
            <w:bottom w:val="none" w:sz="0" w:space="0" w:color="auto"/>
            <w:right w:val="none" w:sz="0" w:space="0" w:color="auto"/>
          </w:divBdr>
          <w:divsChild>
            <w:div w:id="309599429">
              <w:marLeft w:val="0"/>
              <w:marRight w:val="0"/>
              <w:marTop w:val="0"/>
              <w:marBottom w:val="0"/>
              <w:divBdr>
                <w:top w:val="none" w:sz="0" w:space="0" w:color="auto"/>
                <w:left w:val="none" w:sz="0" w:space="0" w:color="auto"/>
                <w:bottom w:val="none" w:sz="0" w:space="0" w:color="auto"/>
                <w:right w:val="none" w:sz="0" w:space="0" w:color="auto"/>
              </w:divBdr>
            </w:div>
          </w:divsChild>
        </w:div>
        <w:div w:id="840703320">
          <w:marLeft w:val="0"/>
          <w:marRight w:val="0"/>
          <w:marTop w:val="0"/>
          <w:marBottom w:val="0"/>
          <w:divBdr>
            <w:top w:val="none" w:sz="0" w:space="0" w:color="auto"/>
            <w:left w:val="none" w:sz="0" w:space="0" w:color="auto"/>
            <w:bottom w:val="none" w:sz="0" w:space="0" w:color="auto"/>
            <w:right w:val="none" w:sz="0" w:space="0" w:color="auto"/>
          </w:divBdr>
          <w:divsChild>
            <w:div w:id="116221130">
              <w:marLeft w:val="0"/>
              <w:marRight w:val="0"/>
              <w:marTop w:val="0"/>
              <w:marBottom w:val="0"/>
              <w:divBdr>
                <w:top w:val="none" w:sz="0" w:space="0" w:color="auto"/>
                <w:left w:val="none" w:sz="0" w:space="0" w:color="auto"/>
                <w:bottom w:val="none" w:sz="0" w:space="0" w:color="auto"/>
                <w:right w:val="none" w:sz="0" w:space="0" w:color="auto"/>
              </w:divBdr>
            </w:div>
          </w:divsChild>
        </w:div>
        <w:div w:id="844124558">
          <w:marLeft w:val="0"/>
          <w:marRight w:val="0"/>
          <w:marTop w:val="0"/>
          <w:marBottom w:val="0"/>
          <w:divBdr>
            <w:top w:val="none" w:sz="0" w:space="0" w:color="auto"/>
            <w:left w:val="none" w:sz="0" w:space="0" w:color="auto"/>
            <w:bottom w:val="none" w:sz="0" w:space="0" w:color="auto"/>
            <w:right w:val="none" w:sz="0" w:space="0" w:color="auto"/>
          </w:divBdr>
          <w:divsChild>
            <w:div w:id="2013752082">
              <w:marLeft w:val="0"/>
              <w:marRight w:val="0"/>
              <w:marTop w:val="0"/>
              <w:marBottom w:val="0"/>
              <w:divBdr>
                <w:top w:val="none" w:sz="0" w:space="0" w:color="auto"/>
                <w:left w:val="none" w:sz="0" w:space="0" w:color="auto"/>
                <w:bottom w:val="none" w:sz="0" w:space="0" w:color="auto"/>
                <w:right w:val="none" w:sz="0" w:space="0" w:color="auto"/>
              </w:divBdr>
            </w:div>
          </w:divsChild>
        </w:div>
        <w:div w:id="845823943">
          <w:marLeft w:val="0"/>
          <w:marRight w:val="0"/>
          <w:marTop w:val="0"/>
          <w:marBottom w:val="0"/>
          <w:divBdr>
            <w:top w:val="none" w:sz="0" w:space="0" w:color="auto"/>
            <w:left w:val="none" w:sz="0" w:space="0" w:color="auto"/>
            <w:bottom w:val="none" w:sz="0" w:space="0" w:color="auto"/>
            <w:right w:val="none" w:sz="0" w:space="0" w:color="auto"/>
          </w:divBdr>
          <w:divsChild>
            <w:div w:id="1365641762">
              <w:marLeft w:val="0"/>
              <w:marRight w:val="0"/>
              <w:marTop w:val="0"/>
              <w:marBottom w:val="0"/>
              <w:divBdr>
                <w:top w:val="none" w:sz="0" w:space="0" w:color="auto"/>
                <w:left w:val="none" w:sz="0" w:space="0" w:color="auto"/>
                <w:bottom w:val="none" w:sz="0" w:space="0" w:color="auto"/>
                <w:right w:val="none" w:sz="0" w:space="0" w:color="auto"/>
              </w:divBdr>
            </w:div>
          </w:divsChild>
        </w:div>
        <w:div w:id="847869985">
          <w:marLeft w:val="0"/>
          <w:marRight w:val="0"/>
          <w:marTop w:val="0"/>
          <w:marBottom w:val="0"/>
          <w:divBdr>
            <w:top w:val="none" w:sz="0" w:space="0" w:color="auto"/>
            <w:left w:val="none" w:sz="0" w:space="0" w:color="auto"/>
            <w:bottom w:val="none" w:sz="0" w:space="0" w:color="auto"/>
            <w:right w:val="none" w:sz="0" w:space="0" w:color="auto"/>
          </w:divBdr>
          <w:divsChild>
            <w:div w:id="869533738">
              <w:marLeft w:val="0"/>
              <w:marRight w:val="0"/>
              <w:marTop w:val="0"/>
              <w:marBottom w:val="0"/>
              <w:divBdr>
                <w:top w:val="none" w:sz="0" w:space="0" w:color="auto"/>
                <w:left w:val="none" w:sz="0" w:space="0" w:color="auto"/>
                <w:bottom w:val="none" w:sz="0" w:space="0" w:color="auto"/>
                <w:right w:val="none" w:sz="0" w:space="0" w:color="auto"/>
              </w:divBdr>
            </w:div>
          </w:divsChild>
        </w:div>
        <w:div w:id="851532498">
          <w:marLeft w:val="0"/>
          <w:marRight w:val="0"/>
          <w:marTop w:val="0"/>
          <w:marBottom w:val="0"/>
          <w:divBdr>
            <w:top w:val="none" w:sz="0" w:space="0" w:color="auto"/>
            <w:left w:val="none" w:sz="0" w:space="0" w:color="auto"/>
            <w:bottom w:val="none" w:sz="0" w:space="0" w:color="auto"/>
            <w:right w:val="none" w:sz="0" w:space="0" w:color="auto"/>
          </w:divBdr>
          <w:divsChild>
            <w:div w:id="1779374550">
              <w:marLeft w:val="0"/>
              <w:marRight w:val="0"/>
              <w:marTop w:val="0"/>
              <w:marBottom w:val="0"/>
              <w:divBdr>
                <w:top w:val="none" w:sz="0" w:space="0" w:color="auto"/>
                <w:left w:val="none" w:sz="0" w:space="0" w:color="auto"/>
                <w:bottom w:val="none" w:sz="0" w:space="0" w:color="auto"/>
                <w:right w:val="none" w:sz="0" w:space="0" w:color="auto"/>
              </w:divBdr>
            </w:div>
          </w:divsChild>
        </w:div>
        <w:div w:id="853499239">
          <w:marLeft w:val="0"/>
          <w:marRight w:val="0"/>
          <w:marTop w:val="0"/>
          <w:marBottom w:val="0"/>
          <w:divBdr>
            <w:top w:val="none" w:sz="0" w:space="0" w:color="auto"/>
            <w:left w:val="none" w:sz="0" w:space="0" w:color="auto"/>
            <w:bottom w:val="none" w:sz="0" w:space="0" w:color="auto"/>
            <w:right w:val="none" w:sz="0" w:space="0" w:color="auto"/>
          </w:divBdr>
          <w:divsChild>
            <w:div w:id="928849289">
              <w:marLeft w:val="0"/>
              <w:marRight w:val="0"/>
              <w:marTop w:val="0"/>
              <w:marBottom w:val="0"/>
              <w:divBdr>
                <w:top w:val="none" w:sz="0" w:space="0" w:color="auto"/>
                <w:left w:val="none" w:sz="0" w:space="0" w:color="auto"/>
                <w:bottom w:val="none" w:sz="0" w:space="0" w:color="auto"/>
                <w:right w:val="none" w:sz="0" w:space="0" w:color="auto"/>
              </w:divBdr>
            </w:div>
          </w:divsChild>
        </w:div>
        <w:div w:id="863442722">
          <w:marLeft w:val="0"/>
          <w:marRight w:val="0"/>
          <w:marTop w:val="0"/>
          <w:marBottom w:val="0"/>
          <w:divBdr>
            <w:top w:val="none" w:sz="0" w:space="0" w:color="auto"/>
            <w:left w:val="none" w:sz="0" w:space="0" w:color="auto"/>
            <w:bottom w:val="none" w:sz="0" w:space="0" w:color="auto"/>
            <w:right w:val="none" w:sz="0" w:space="0" w:color="auto"/>
          </w:divBdr>
          <w:divsChild>
            <w:div w:id="695541647">
              <w:marLeft w:val="0"/>
              <w:marRight w:val="0"/>
              <w:marTop w:val="0"/>
              <w:marBottom w:val="0"/>
              <w:divBdr>
                <w:top w:val="none" w:sz="0" w:space="0" w:color="auto"/>
                <w:left w:val="none" w:sz="0" w:space="0" w:color="auto"/>
                <w:bottom w:val="none" w:sz="0" w:space="0" w:color="auto"/>
                <w:right w:val="none" w:sz="0" w:space="0" w:color="auto"/>
              </w:divBdr>
            </w:div>
          </w:divsChild>
        </w:div>
        <w:div w:id="865337446">
          <w:marLeft w:val="0"/>
          <w:marRight w:val="0"/>
          <w:marTop w:val="0"/>
          <w:marBottom w:val="0"/>
          <w:divBdr>
            <w:top w:val="none" w:sz="0" w:space="0" w:color="auto"/>
            <w:left w:val="none" w:sz="0" w:space="0" w:color="auto"/>
            <w:bottom w:val="none" w:sz="0" w:space="0" w:color="auto"/>
            <w:right w:val="none" w:sz="0" w:space="0" w:color="auto"/>
          </w:divBdr>
          <w:divsChild>
            <w:div w:id="384573707">
              <w:marLeft w:val="0"/>
              <w:marRight w:val="0"/>
              <w:marTop w:val="0"/>
              <w:marBottom w:val="0"/>
              <w:divBdr>
                <w:top w:val="none" w:sz="0" w:space="0" w:color="auto"/>
                <w:left w:val="none" w:sz="0" w:space="0" w:color="auto"/>
                <w:bottom w:val="none" w:sz="0" w:space="0" w:color="auto"/>
                <w:right w:val="none" w:sz="0" w:space="0" w:color="auto"/>
              </w:divBdr>
            </w:div>
          </w:divsChild>
        </w:div>
        <w:div w:id="866023531">
          <w:marLeft w:val="0"/>
          <w:marRight w:val="0"/>
          <w:marTop w:val="0"/>
          <w:marBottom w:val="0"/>
          <w:divBdr>
            <w:top w:val="none" w:sz="0" w:space="0" w:color="auto"/>
            <w:left w:val="none" w:sz="0" w:space="0" w:color="auto"/>
            <w:bottom w:val="none" w:sz="0" w:space="0" w:color="auto"/>
            <w:right w:val="none" w:sz="0" w:space="0" w:color="auto"/>
          </w:divBdr>
          <w:divsChild>
            <w:div w:id="805046567">
              <w:marLeft w:val="0"/>
              <w:marRight w:val="0"/>
              <w:marTop w:val="0"/>
              <w:marBottom w:val="0"/>
              <w:divBdr>
                <w:top w:val="none" w:sz="0" w:space="0" w:color="auto"/>
                <w:left w:val="none" w:sz="0" w:space="0" w:color="auto"/>
                <w:bottom w:val="none" w:sz="0" w:space="0" w:color="auto"/>
                <w:right w:val="none" w:sz="0" w:space="0" w:color="auto"/>
              </w:divBdr>
            </w:div>
          </w:divsChild>
        </w:div>
        <w:div w:id="866334626">
          <w:marLeft w:val="0"/>
          <w:marRight w:val="0"/>
          <w:marTop w:val="0"/>
          <w:marBottom w:val="0"/>
          <w:divBdr>
            <w:top w:val="none" w:sz="0" w:space="0" w:color="auto"/>
            <w:left w:val="none" w:sz="0" w:space="0" w:color="auto"/>
            <w:bottom w:val="none" w:sz="0" w:space="0" w:color="auto"/>
            <w:right w:val="none" w:sz="0" w:space="0" w:color="auto"/>
          </w:divBdr>
          <w:divsChild>
            <w:div w:id="297884192">
              <w:marLeft w:val="0"/>
              <w:marRight w:val="0"/>
              <w:marTop w:val="0"/>
              <w:marBottom w:val="0"/>
              <w:divBdr>
                <w:top w:val="none" w:sz="0" w:space="0" w:color="auto"/>
                <w:left w:val="none" w:sz="0" w:space="0" w:color="auto"/>
                <w:bottom w:val="none" w:sz="0" w:space="0" w:color="auto"/>
                <w:right w:val="none" w:sz="0" w:space="0" w:color="auto"/>
              </w:divBdr>
            </w:div>
          </w:divsChild>
        </w:div>
        <w:div w:id="867138224">
          <w:marLeft w:val="0"/>
          <w:marRight w:val="0"/>
          <w:marTop w:val="0"/>
          <w:marBottom w:val="0"/>
          <w:divBdr>
            <w:top w:val="none" w:sz="0" w:space="0" w:color="auto"/>
            <w:left w:val="none" w:sz="0" w:space="0" w:color="auto"/>
            <w:bottom w:val="none" w:sz="0" w:space="0" w:color="auto"/>
            <w:right w:val="none" w:sz="0" w:space="0" w:color="auto"/>
          </w:divBdr>
          <w:divsChild>
            <w:div w:id="478813357">
              <w:marLeft w:val="0"/>
              <w:marRight w:val="0"/>
              <w:marTop w:val="0"/>
              <w:marBottom w:val="0"/>
              <w:divBdr>
                <w:top w:val="none" w:sz="0" w:space="0" w:color="auto"/>
                <w:left w:val="none" w:sz="0" w:space="0" w:color="auto"/>
                <w:bottom w:val="none" w:sz="0" w:space="0" w:color="auto"/>
                <w:right w:val="none" w:sz="0" w:space="0" w:color="auto"/>
              </w:divBdr>
            </w:div>
          </w:divsChild>
        </w:div>
        <w:div w:id="872689178">
          <w:marLeft w:val="0"/>
          <w:marRight w:val="0"/>
          <w:marTop w:val="0"/>
          <w:marBottom w:val="0"/>
          <w:divBdr>
            <w:top w:val="none" w:sz="0" w:space="0" w:color="auto"/>
            <w:left w:val="none" w:sz="0" w:space="0" w:color="auto"/>
            <w:bottom w:val="none" w:sz="0" w:space="0" w:color="auto"/>
            <w:right w:val="none" w:sz="0" w:space="0" w:color="auto"/>
          </w:divBdr>
          <w:divsChild>
            <w:div w:id="1983805600">
              <w:marLeft w:val="0"/>
              <w:marRight w:val="0"/>
              <w:marTop w:val="0"/>
              <w:marBottom w:val="0"/>
              <w:divBdr>
                <w:top w:val="none" w:sz="0" w:space="0" w:color="auto"/>
                <w:left w:val="none" w:sz="0" w:space="0" w:color="auto"/>
                <w:bottom w:val="none" w:sz="0" w:space="0" w:color="auto"/>
                <w:right w:val="none" w:sz="0" w:space="0" w:color="auto"/>
              </w:divBdr>
            </w:div>
          </w:divsChild>
        </w:div>
        <w:div w:id="874080295">
          <w:marLeft w:val="0"/>
          <w:marRight w:val="0"/>
          <w:marTop w:val="0"/>
          <w:marBottom w:val="0"/>
          <w:divBdr>
            <w:top w:val="none" w:sz="0" w:space="0" w:color="auto"/>
            <w:left w:val="none" w:sz="0" w:space="0" w:color="auto"/>
            <w:bottom w:val="none" w:sz="0" w:space="0" w:color="auto"/>
            <w:right w:val="none" w:sz="0" w:space="0" w:color="auto"/>
          </w:divBdr>
          <w:divsChild>
            <w:div w:id="1337004425">
              <w:marLeft w:val="0"/>
              <w:marRight w:val="0"/>
              <w:marTop w:val="0"/>
              <w:marBottom w:val="0"/>
              <w:divBdr>
                <w:top w:val="none" w:sz="0" w:space="0" w:color="auto"/>
                <w:left w:val="none" w:sz="0" w:space="0" w:color="auto"/>
                <w:bottom w:val="none" w:sz="0" w:space="0" w:color="auto"/>
                <w:right w:val="none" w:sz="0" w:space="0" w:color="auto"/>
              </w:divBdr>
            </w:div>
          </w:divsChild>
        </w:div>
        <w:div w:id="876506236">
          <w:marLeft w:val="0"/>
          <w:marRight w:val="0"/>
          <w:marTop w:val="0"/>
          <w:marBottom w:val="0"/>
          <w:divBdr>
            <w:top w:val="none" w:sz="0" w:space="0" w:color="auto"/>
            <w:left w:val="none" w:sz="0" w:space="0" w:color="auto"/>
            <w:bottom w:val="none" w:sz="0" w:space="0" w:color="auto"/>
            <w:right w:val="none" w:sz="0" w:space="0" w:color="auto"/>
          </w:divBdr>
          <w:divsChild>
            <w:div w:id="1677346082">
              <w:marLeft w:val="0"/>
              <w:marRight w:val="0"/>
              <w:marTop w:val="0"/>
              <w:marBottom w:val="0"/>
              <w:divBdr>
                <w:top w:val="none" w:sz="0" w:space="0" w:color="auto"/>
                <w:left w:val="none" w:sz="0" w:space="0" w:color="auto"/>
                <w:bottom w:val="none" w:sz="0" w:space="0" w:color="auto"/>
                <w:right w:val="none" w:sz="0" w:space="0" w:color="auto"/>
              </w:divBdr>
            </w:div>
          </w:divsChild>
        </w:div>
        <w:div w:id="877669807">
          <w:marLeft w:val="0"/>
          <w:marRight w:val="0"/>
          <w:marTop w:val="0"/>
          <w:marBottom w:val="0"/>
          <w:divBdr>
            <w:top w:val="none" w:sz="0" w:space="0" w:color="auto"/>
            <w:left w:val="none" w:sz="0" w:space="0" w:color="auto"/>
            <w:bottom w:val="none" w:sz="0" w:space="0" w:color="auto"/>
            <w:right w:val="none" w:sz="0" w:space="0" w:color="auto"/>
          </w:divBdr>
          <w:divsChild>
            <w:div w:id="1858738269">
              <w:marLeft w:val="0"/>
              <w:marRight w:val="0"/>
              <w:marTop w:val="0"/>
              <w:marBottom w:val="0"/>
              <w:divBdr>
                <w:top w:val="none" w:sz="0" w:space="0" w:color="auto"/>
                <w:left w:val="none" w:sz="0" w:space="0" w:color="auto"/>
                <w:bottom w:val="none" w:sz="0" w:space="0" w:color="auto"/>
                <w:right w:val="none" w:sz="0" w:space="0" w:color="auto"/>
              </w:divBdr>
            </w:div>
          </w:divsChild>
        </w:div>
        <w:div w:id="880288761">
          <w:marLeft w:val="0"/>
          <w:marRight w:val="0"/>
          <w:marTop w:val="0"/>
          <w:marBottom w:val="0"/>
          <w:divBdr>
            <w:top w:val="none" w:sz="0" w:space="0" w:color="auto"/>
            <w:left w:val="none" w:sz="0" w:space="0" w:color="auto"/>
            <w:bottom w:val="none" w:sz="0" w:space="0" w:color="auto"/>
            <w:right w:val="none" w:sz="0" w:space="0" w:color="auto"/>
          </w:divBdr>
          <w:divsChild>
            <w:div w:id="1560356841">
              <w:marLeft w:val="0"/>
              <w:marRight w:val="0"/>
              <w:marTop w:val="0"/>
              <w:marBottom w:val="0"/>
              <w:divBdr>
                <w:top w:val="none" w:sz="0" w:space="0" w:color="auto"/>
                <w:left w:val="none" w:sz="0" w:space="0" w:color="auto"/>
                <w:bottom w:val="none" w:sz="0" w:space="0" w:color="auto"/>
                <w:right w:val="none" w:sz="0" w:space="0" w:color="auto"/>
              </w:divBdr>
            </w:div>
          </w:divsChild>
        </w:div>
        <w:div w:id="882014654">
          <w:marLeft w:val="0"/>
          <w:marRight w:val="0"/>
          <w:marTop w:val="0"/>
          <w:marBottom w:val="0"/>
          <w:divBdr>
            <w:top w:val="none" w:sz="0" w:space="0" w:color="auto"/>
            <w:left w:val="none" w:sz="0" w:space="0" w:color="auto"/>
            <w:bottom w:val="none" w:sz="0" w:space="0" w:color="auto"/>
            <w:right w:val="none" w:sz="0" w:space="0" w:color="auto"/>
          </w:divBdr>
          <w:divsChild>
            <w:div w:id="2076203619">
              <w:marLeft w:val="0"/>
              <w:marRight w:val="0"/>
              <w:marTop w:val="0"/>
              <w:marBottom w:val="0"/>
              <w:divBdr>
                <w:top w:val="none" w:sz="0" w:space="0" w:color="auto"/>
                <w:left w:val="none" w:sz="0" w:space="0" w:color="auto"/>
                <w:bottom w:val="none" w:sz="0" w:space="0" w:color="auto"/>
                <w:right w:val="none" w:sz="0" w:space="0" w:color="auto"/>
              </w:divBdr>
            </w:div>
          </w:divsChild>
        </w:div>
        <w:div w:id="885021937">
          <w:marLeft w:val="0"/>
          <w:marRight w:val="0"/>
          <w:marTop w:val="0"/>
          <w:marBottom w:val="0"/>
          <w:divBdr>
            <w:top w:val="none" w:sz="0" w:space="0" w:color="auto"/>
            <w:left w:val="none" w:sz="0" w:space="0" w:color="auto"/>
            <w:bottom w:val="none" w:sz="0" w:space="0" w:color="auto"/>
            <w:right w:val="none" w:sz="0" w:space="0" w:color="auto"/>
          </w:divBdr>
          <w:divsChild>
            <w:div w:id="284431933">
              <w:marLeft w:val="0"/>
              <w:marRight w:val="0"/>
              <w:marTop w:val="0"/>
              <w:marBottom w:val="0"/>
              <w:divBdr>
                <w:top w:val="none" w:sz="0" w:space="0" w:color="auto"/>
                <w:left w:val="none" w:sz="0" w:space="0" w:color="auto"/>
                <w:bottom w:val="none" w:sz="0" w:space="0" w:color="auto"/>
                <w:right w:val="none" w:sz="0" w:space="0" w:color="auto"/>
              </w:divBdr>
            </w:div>
          </w:divsChild>
        </w:div>
        <w:div w:id="885028460">
          <w:marLeft w:val="0"/>
          <w:marRight w:val="0"/>
          <w:marTop w:val="0"/>
          <w:marBottom w:val="0"/>
          <w:divBdr>
            <w:top w:val="none" w:sz="0" w:space="0" w:color="auto"/>
            <w:left w:val="none" w:sz="0" w:space="0" w:color="auto"/>
            <w:bottom w:val="none" w:sz="0" w:space="0" w:color="auto"/>
            <w:right w:val="none" w:sz="0" w:space="0" w:color="auto"/>
          </w:divBdr>
          <w:divsChild>
            <w:div w:id="861552883">
              <w:marLeft w:val="0"/>
              <w:marRight w:val="0"/>
              <w:marTop w:val="0"/>
              <w:marBottom w:val="0"/>
              <w:divBdr>
                <w:top w:val="none" w:sz="0" w:space="0" w:color="auto"/>
                <w:left w:val="none" w:sz="0" w:space="0" w:color="auto"/>
                <w:bottom w:val="none" w:sz="0" w:space="0" w:color="auto"/>
                <w:right w:val="none" w:sz="0" w:space="0" w:color="auto"/>
              </w:divBdr>
            </w:div>
          </w:divsChild>
        </w:div>
        <w:div w:id="885987748">
          <w:marLeft w:val="0"/>
          <w:marRight w:val="0"/>
          <w:marTop w:val="0"/>
          <w:marBottom w:val="0"/>
          <w:divBdr>
            <w:top w:val="none" w:sz="0" w:space="0" w:color="auto"/>
            <w:left w:val="none" w:sz="0" w:space="0" w:color="auto"/>
            <w:bottom w:val="none" w:sz="0" w:space="0" w:color="auto"/>
            <w:right w:val="none" w:sz="0" w:space="0" w:color="auto"/>
          </w:divBdr>
          <w:divsChild>
            <w:div w:id="729034103">
              <w:marLeft w:val="0"/>
              <w:marRight w:val="0"/>
              <w:marTop w:val="0"/>
              <w:marBottom w:val="0"/>
              <w:divBdr>
                <w:top w:val="none" w:sz="0" w:space="0" w:color="auto"/>
                <w:left w:val="none" w:sz="0" w:space="0" w:color="auto"/>
                <w:bottom w:val="none" w:sz="0" w:space="0" w:color="auto"/>
                <w:right w:val="none" w:sz="0" w:space="0" w:color="auto"/>
              </w:divBdr>
            </w:div>
          </w:divsChild>
        </w:div>
        <w:div w:id="886646251">
          <w:marLeft w:val="0"/>
          <w:marRight w:val="0"/>
          <w:marTop w:val="0"/>
          <w:marBottom w:val="0"/>
          <w:divBdr>
            <w:top w:val="none" w:sz="0" w:space="0" w:color="auto"/>
            <w:left w:val="none" w:sz="0" w:space="0" w:color="auto"/>
            <w:bottom w:val="none" w:sz="0" w:space="0" w:color="auto"/>
            <w:right w:val="none" w:sz="0" w:space="0" w:color="auto"/>
          </w:divBdr>
          <w:divsChild>
            <w:div w:id="837695637">
              <w:marLeft w:val="0"/>
              <w:marRight w:val="0"/>
              <w:marTop w:val="0"/>
              <w:marBottom w:val="0"/>
              <w:divBdr>
                <w:top w:val="none" w:sz="0" w:space="0" w:color="auto"/>
                <w:left w:val="none" w:sz="0" w:space="0" w:color="auto"/>
                <w:bottom w:val="none" w:sz="0" w:space="0" w:color="auto"/>
                <w:right w:val="none" w:sz="0" w:space="0" w:color="auto"/>
              </w:divBdr>
            </w:div>
          </w:divsChild>
        </w:div>
        <w:div w:id="888612519">
          <w:marLeft w:val="0"/>
          <w:marRight w:val="0"/>
          <w:marTop w:val="0"/>
          <w:marBottom w:val="0"/>
          <w:divBdr>
            <w:top w:val="none" w:sz="0" w:space="0" w:color="auto"/>
            <w:left w:val="none" w:sz="0" w:space="0" w:color="auto"/>
            <w:bottom w:val="none" w:sz="0" w:space="0" w:color="auto"/>
            <w:right w:val="none" w:sz="0" w:space="0" w:color="auto"/>
          </w:divBdr>
          <w:divsChild>
            <w:div w:id="33502029">
              <w:marLeft w:val="0"/>
              <w:marRight w:val="0"/>
              <w:marTop w:val="0"/>
              <w:marBottom w:val="0"/>
              <w:divBdr>
                <w:top w:val="none" w:sz="0" w:space="0" w:color="auto"/>
                <w:left w:val="none" w:sz="0" w:space="0" w:color="auto"/>
                <w:bottom w:val="none" w:sz="0" w:space="0" w:color="auto"/>
                <w:right w:val="none" w:sz="0" w:space="0" w:color="auto"/>
              </w:divBdr>
            </w:div>
          </w:divsChild>
        </w:div>
        <w:div w:id="888802747">
          <w:marLeft w:val="0"/>
          <w:marRight w:val="0"/>
          <w:marTop w:val="0"/>
          <w:marBottom w:val="0"/>
          <w:divBdr>
            <w:top w:val="none" w:sz="0" w:space="0" w:color="auto"/>
            <w:left w:val="none" w:sz="0" w:space="0" w:color="auto"/>
            <w:bottom w:val="none" w:sz="0" w:space="0" w:color="auto"/>
            <w:right w:val="none" w:sz="0" w:space="0" w:color="auto"/>
          </w:divBdr>
          <w:divsChild>
            <w:div w:id="458839251">
              <w:marLeft w:val="0"/>
              <w:marRight w:val="0"/>
              <w:marTop w:val="0"/>
              <w:marBottom w:val="0"/>
              <w:divBdr>
                <w:top w:val="none" w:sz="0" w:space="0" w:color="auto"/>
                <w:left w:val="none" w:sz="0" w:space="0" w:color="auto"/>
                <w:bottom w:val="none" w:sz="0" w:space="0" w:color="auto"/>
                <w:right w:val="none" w:sz="0" w:space="0" w:color="auto"/>
              </w:divBdr>
            </w:div>
          </w:divsChild>
        </w:div>
        <w:div w:id="889804937">
          <w:marLeft w:val="0"/>
          <w:marRight w:val="0"/>
          <w:marTop w:val="0"/>
          <w:marBottom w:val="0"/>
          <w:divBdr>
            <w:top w:val="none" w:sz="0" w:space="0" w:color="auto"/>
            <w:left w:val="none" w:sz="0" w:space="0" w:color="auto"/>
            <w:bottom w:val="none" w:sz="0" w:space="0" w:color="auto"/>
            <w:right w:val="none" w:sz="0" w:space="0" w:color="auto"/>
          </w:divBdr>
          <w:divsChild>
            <w:div w:id="1074089751">
              <w:marLeft w:val="0"/>
              <w:marRight w:val="0"/>
              <w:marTop w:val="0"/>
              <w:marBottom w:val="0"/>
              <w:divBdr>
                <w:top w:val="none" w:sz="0" w:space="0" w:color="auto"/>
                <w:left w:val="none" w:sz="0" w:space="0" w:color="auto"/>
                <w:bottom w:val="none" w:sz="0" w:space="0" w:color="auto"/>
                <w:right w:val="none" w:sz="0" w:space="0" w:color="auto"/>
              </w:divBdr>
            </w:div>
          </w:divsChild>
        </w:div>
        <w:div w:id="890968437">
          <w:marLeft w:val="0"/>
          <w:marRight w:val="0"/>
          <w:marTop w:val="0"/>
          <w:marBottom w:val="0"/>
          <w:divBdr>
            <w:top w:val="none" w:sz="0" w:space="0" w:color="auto"/>
            <w:left w:val="none" w:sz="0" w:space="0" w:color="auto"/>
            <w:bottom w:val="none" w:sz="0" w:space="0" w:color="auto"/>
            <w:right w:val="none" w:sz="0" w:space="0" w:color="auto"/>
          </w:divBdr>
          <w:divsChild>
            <w:div w:id="1787188478">
              <w:marLeft w:val="0"/>
              <w:marRight w:val="0"/>
              <w:marTop w:val="0"/>
              <w:marBottom w:val="0"/>
              <w:divBdr>
                <w:top w:val="none" w:sz="0" w:space="0" w:color="auto"/>
                <w:left w:val="none" w:sz="0" w:space="0" w:color="auto"/>
                <w:bottom w:val="none" w:sz="0" w:space="0" w:color="auto"/>
                <w:right w:val="none" w:sz="0" w:space="0" w:color="auto"/>
              </w:divBdr>
            </w:div>
          </w:divsChild>
        </w:div>
        <w:div w:id="891885790">
          <w:marLeft w:val="0"/>
          <w:marRight w:val="0"/>
          <w:marTop w:val="0"/>
          <w:marBottom w:val="0"/>
          <w:divBdr>
            <w:top w:val="none" w:sz="0" w:space="0" w:color="auto"/>
            <w:left w:val="none" w:sz="0" w:space="0" w:color="auto"/>
            <w:bottom w:val="none" w:sz="0" w:space="0" w:color="auto"/>
            <w:right w:val="none" w:sz="0" w:space="0" w:color="auto"/>
          </w:divBdr>
          <w:divsChild>
            <w:div w:id="124468403">
              <w:marLeft w:val="0"/>
              <w:marRight w:val="0"/>
              <w:marTop w:val="0"/>
              <w:marBottom w:val="0"/>
              <w:divBdr>
                <w:top w:val="none" w:sz="0" w:space="0" w:color="auto"/>
                <w:left w:val="none" w:sz="0" w:space="0" w:color="auto"/>
                <w:bottom w:val="none" w:sz="0" w:space="0" w:color="auto"/>
                <w:right w:val="none" w:sz="0" w:space="0" w:color="auto"/>
              </w:divBdr>
            </w:div>
          </w:divsChild>
        </w:div>
        <w:div w:id="892036450">
          <w:marLeft w:val="0"/>
          <w:marRight w:val="0"/>
          <w:marTop w:val="0"/>
          <w:marBottom w:val="0"/>
          <w:divBdr>
            <w:top w:val="none" w:sz="0" w:space="0" w:color="auto"/>
            <w:left w:val="none" w:sz="0" w:space="0" w:color="auto"/>
            <w:bottom w:val="none" w:sz="0" w:space="0" w:color="auto"/>
            <w:right w:val="none" w:sz="0" w:space="0" w:color="auto"/>
          </w:divBdr>
          <w:divsChild>
            <w:div w:id="1193764272">
              <w:marLeft w:val="0"/>
              <w:marRight w:val="0"/>
              <w:marTop w:val="0"/>
              <w:marBottom w:val="0"/>
              <w:divBdr>
                <w:top w:val="none" w:sz="0" w:space="0" w:color="auto"/>
                <w:left w:val="none" w:sz="0" w:space="0" w:color="auto"/>
                <w:bottom w:val="none" w:sz="0" w:space="0" w:color="auto"/>
                <w:right w:val="none" w:sz="0" w:space="0" w:color="auto"/>
              </w:divBdr>
            </w:div>
          </w:divsChild>
        </w:div>
        <w:div w:id="892736826">
          <w:marLeft w:val="0"/>
          <w:marRight w:val="0"/>
          <w:marTop w:val="0"/>
          <w:marBottom w:val="0"/>
          <w:divBdr>
            <w:top w:val="none" w:sz="0" w:space="0" w:color="auto"/>
            <w:left w:val="none" w:sz="0" w:space="0" w:color="auto"/>
            <w:bottom w:val="none" w:sz="0" w:space="0" w:color="auto"/>
            <w:right w:val="none" w:sz="0" w:space="0" w:color="auto"/>
          </w:divBdr>
          <w:divsChild>
            <w:div w:id="971058377">
              <w:marLeft w:val="0"/>
              <w:marRight w:val="0"/>
              <w:marTop w:val="0"/>
              <w:marBottom w:val="0"/>
              <w:divBdr>
                <w:top w:val="none" w:sz="0" w:space="0" w:color="auto"/>
                <w:left w:val="none" w:sz="0" w:space="0" w:color="auto"/>
                <w:bottom w:val="none" w:sz="0" w:space="0" w:color="auto"/>
                <w:right w:val="none" w:sz="0" w:space="0" w:color="auto"/>
              </w:divBdr>
            </w:div>
          </w:divsChild>
        </w:div>
        <w:div w:id="893126530">
          <w:marLeft w:val="0"/>
          <w:marRight w:val="0"/>
          <w:marTop w:val="0"/>
          <w:marBottom w:val="0"/>
          <w:divBdr>
            <w:top w:val="none" w:sz="0" w:space="0" w:color="auto"/>
            <w:left w:val="none" w:sz="0" w:space="0" w:color="auto"/>
            <w:bottom w:val="none" w:sz="0" w:space="0" w:color="auto"/>
            <w:right w:val="none" w:sz="0" w:space="0" w:color="auto"/>
          </w:divBdr>
          <w:divsChild>
            <w:div w:id="1520772627">
              <w:marLeft w:val="0"/>
              <w:marRight w:val="0"/>
              <w:marTop w:val="0"/>
              <w:marBottom w:val="0"/>
              <w:divBdr>
                <w:top w:val="none" w:sz="0" w:space="0" w:color="auto"/>
                <w:left w:val="none" w:sz="0" w:space="0" w:color="auto"/>
                <w:bottom w:val="none" w:sz="0" w:space="0" w:color="auto"/>
                <w:right w:val="none" w:sz="0" w:space="0" w:color="auto"/>
              </w:divBdr>
            </w:div>
          </w:divsChild>
        </w:div>
        <w:div w:id="894581830">
          <w:marLeft w:val="0"/>
          <w:marRight w:val="0"/>
          <w:marTop w:val="0"/>
          <w:marBottom w:val="0"/>
          <w:divBdr>
            <w:top w:val="none" w:sz="0" w:space="0" w:color="auto"/>
            <w:left w:val="none" w:sz="0" w:space="0" w:color="auto"/>
            <w:bottom w:val="none" w:sz="0" w:space="0" w:color="auto"/>
            <w:right w:val="none" w:sz="0" w:space="0" w:color="auto"/>
          </w:divBdr>
          <w:divsChild>
            <w:div w:id="1732270962">
              <w:marLeft w:val="0"/>
              <w:marRight w:val="0"/>
              <w:marTop w:val="0"/>
              <w:marBottom w:val="0"/>
              <w:divBdr>
                <w:top w:val="none" w:sz="0" w:space="0" w:color="auto"/>
                <w:left w:val="none" w:sz="0" w:space="0" w:color="auto"/>
                <w:bottom w:val="none" w:sz="0" w:space="0" w:color="auto"/>
                <w:right w:val="none" w:sz="0" w:space="0" w:color="auto"/>
              </w:divBdr>
            </w:div>
          </w:divsChild>
        </w:div>
        <w:div w:id="902105418">
          <w:marLeft w:val="0"/>
          <w:marRight w:val="0"/>
          <w:marTop w:val="0"/>
          <w:marBottom w:val="0"/>
          <w:divBdr>
            <w:top w:val="none" w:sz="0" w:space="0" w:color="auto"/>
            <w:left w:val="none" w:sz="0" w:space="0" w:color="auto"/>
            <w:bottom w:val="none" w:sz="0" w:space="0" w:color="auto"/>
            <w:right w:val="none" w:sz="0" w:space="0" w:color="auto"/>
          </w:divBdr>
          <w:divsChild>
            <w:div w:id="143787220">
              <w:marLeft w:val="0"/>
              <w:marRight w:val="0"/>
              <w:marTop w:val="0"/>
              <w:marBottom w:val="0"/>
              <w:divBdr>
                <w:top w:val="none" w:sz="0" w:space="0" w:color="auto"/>
                <w:left w:val="none" w:sz="0" w:space="0" w:color="auto"/>
                <w:bottom w:val="none" w:sz="0" w:space="0" w:color="auto"/>
                <w:right w:val="none" w:sz="0" w:space="0" w:color="auto"/>
              </w:divBdr>
            </w:div>
          </w:divsChild>
        </w:div>
        <w:div w:id="903612245">
          <w:marLeft w:val="0"/>
          <w:marRight w:val="0"/>
          <w:marTop w:val="0"/>
          <w:marBottom w:val="0"/>
          <w:divBdr>
            <w:top w:val="none" w:sz="0" w:space="0" w:color="auto"/>
            <w:left w:val="none" w:sz="0" w:space="0" w:color="auto"/>
            <w:bottom w:val="none" w:sz="0" w:space="0" w:color="auto"/>
            <w:right w:val="none" w:sz="0" w:space="0" w:color="auto"/>
          </w:divBdr>
          <w:divsChild>
            <w:div w:id="1031809028">
              <w:marLeft w:val="0"/>
              <w:marRight w:val="0"/>
              <w:marTop w:val="0"/>
              <w:marBottom w:val="0"/>
              <w:divBdr>
                <w:top w:val="none" w:sz="0" w:space="0" w:color="auto"/>
                <w:left w:val="none" w:sz="0" w:space="0" w:color="auto"/>
                <w:bottom w:val="none" w:sz="0" w:space="0" w:color="auto"/>
                <w:right w:val="none" w:sz="0" w:space="0" w:color="auto"/>
              </w:divBdr>
            </w:div>
          </w:divsChild>
        </w:div>
        <w:div w:id="911503245">
          <w:marLeft w:val="0"/>
          <w:marRight w:val="0"/>
          <w:marTop w:val="0"/>
          <w:marBottom w:val="0"/>
          <w:divBdr>
            <w:top w:val="none" w:sz="0" w:space="0" w:color="auto"/>
            <w:left w:val="none" w:sz="0" w:space="0" w:color="auto"/>
            <w:bottom w:val="none" w:sz="0" w:space="0" w:color="auto"/>
            <w:right w:val="none" w:sz="0" w:space="0" w:color="auto"/>
          </w:divBdr>
          <w:divsChild>
            <w:div w:id="1129318272">
              <w:marLeft w:val="0"/>
              <w:marRight w:val="0"/>
              <w:marTop w:val="0"/>
              <w:marBottom w:val="0"/>
              <w:divBdr>
                <w:top w:val="none" w:sz="0" w:space="0" w:color="auto"/>
                <w:left w:val="none" w:sz="0" w:space="0" w:color="auto"/>
                <w:bottom w:val="none" w:sz="0" w:space="0" w:color="auto"/>
                <w:right w:val="none" w:sz="0" w:space="0" w:color="auto"/>
              </w:divBdr>
            </w:div>
          </w:divsChild>
        </w:div>
        <w:div w:id="912274749">
          <w:marLeft w:val="0"/>
          <w:marRight w:val="0"/>
          <w:marTop w:val="0"/>
          <w:marBottom w:val="0"/>
          <w:divBdr>
            <w:top w:val="none" w:sz="0" w:space="0" w:color="auto"/>
            <w:left w:val="none" w:sz="0" w:space="0" w:color="auto"/>
            <w:bottom w:val="none" w:sz="0" w:space="0" w:color="auto"/>
            <w:right w:val="none" w:sz="0" w:space="0" w:color="auto"/>
          </w:divBdr>
          <w:divsChild>
            <w:div w:id="43720013">
              <w:marLeft w:val="0"/>
              <w:marRight w:val="0"/>
              <w:marTop w:val="0"/>
              <w:marBottom w:val="0"/>
              <w:divBdr>
                <w:top w:val="none" w:sz="0" w:space="0" w:color="auto"/>
                <w:left w:val="none" w:sz="0" w:space="0" w:color="auto"/>
                <w:bottom w:val="none" w:sz="0" w:space="0" w:color="auto"/>
                <w:right w:val="none" w:sz="0" w:space="0" w:color="auto"/>
              </w:divBdr>
            </w:div>
          </w:divsChild>
        </w:div>
        <w:div w:id="915476583">
          <w:marLeft w:val="0"/>
          <w:marRight w:val="0"/>
          <w:marTop w:val="0"/>
          <w:marBottom w:val="0"/>
          <w:divBdr>
            <w:top w:val="none" w:sz="0" w:space="0" w:color="auto"/>
            <w:left w:val="none" w:sz="0" w:space="0" w:color="auto"/>
            <w:bottom w:val="none" w:sz="0" w:space="0" w:color="auto"/>
            <w:right w:val="none" w:sz="0" w:space="0" w:color="auto"/>
          </w:divBdr>
          <w:divsChild>
            <w:div w:id="1081217927">
              <w:marLeft w:val="0"/>
              <w:marRight w:val="0"/>
              <w:marTop w:val="0"/>
              <w:marBottom w:val="0"/>
              <w:divBdr>
                <w:top w:val="none" w:sz="0" w:space="0" w:color="auto"/>
                <w:left w:val="none" w:sz="0" w:space="0" w:color="auto"/>
                <w:bottom w:val="none" w:sz="0" w:space="0" w:color="auto"/>
                <w:right w:val="none" w:sz="0" w:space="0" w:color="auto"/>
              </w:divBdr>
            </w:div>
          </w:divsChild>
        </w:div>
        <w:div w:id="916406177">
          <w:marLeft w:val="0"/>
          <w:marRight w:val="0"/>
          <w:marTop w:val="0"/>
          <w:marBottom w:val="0"/>
          <w:divBdr>
            <w:top w:val="none" w:sz="0" w:space="0" w:color="auto"/>
            <w:left w:val="none" w:sz="0" w:space="0" w:color="auto"/>
            <w:bottom w:val="none" w:sz="0" w:space="0" w:color="auto"/>
            <w:right w:val="none" w:sz="0" w:space="0" w:color="auto"/>
          </w:divBdr>
          <w:divsChild>
            <w:div w:id="1320622550">
              <w:marLeft w:val="0"/>
              <w:marRight w:val="0"/>
              <w:marTop w:val="0"/>
              <w:marBottom w:val="0"/>
              <w:divBdr>
                <w:top w:val="none" w:sz="0" w:space="0" w:color="auto"/>
                <w:left w:val="none" w:sz="0" w:space="0" w:color="auto"/>
                <w:bottom w:val="none" w:sz="0" w:space="0" w:color="auto"/>
                <w:right w:val="none" w:sz="0" w:space="0" w:color="auto"/>
              </w:divBdr>
            </w:div>
          </w:divsChild>
        </w:div>
        <w:div w:id="917059824">
          <w:marLeft w:val="0"/>
          <w:marRight w:val="0"/>
          <w:marTop w:val="0"/>
          <w:marBottom w:val="0"/>
          <w:divBdr>
            <w:top w:val="none" w:sz="0" w:space="0" w:color="auto"/>
            <w:left w:val="none" w:sz="0" w:space="0" w:color="auto"/>
            <w:bottom w:val="none" w:sz="0" w:space="0" w:color="auto"/>
            <w:right w:val="none" w:sz="0" w:space="0" w:color="auto"/>
          </w:divBdr>
          <w:divsChild>
            <w:div w:id="1033190873">
              <w:marLeft w:val="0"/>
              <w:marRight w:val="0"/>
              <w:marTop w:val="0"/>
              <w:marBottom w:val="0"/>
              <w:divBdr>
                <w:top w:val="none" w:sz="0" w:space="0" w:color="auto"/>
                <w:left w:val="none" w:sz="0" w:space="0" w:color="auto"/>
                <w:bottom w:val="none" w:sz="0" w:space="0" w:color="auto"/>
                <w:right w:val="none" w:sz="0" w:space="0" w:color="auto"/>
              </w:divBdr>
            </w:div>
          </w:divsChild>
        </w:div>
        <w:div w:id="920338310">
          <w:marLeft w:val="0"/>
          <w:marRight w:val="0"/>
          <w:marTop w:val="0"/>
          <w:marBottom w:val="0"/>
          <w:divBdr>
            <w:top w:val="none" w:sz="0" w:space="0" w:color="auto"/>
            <w:left w:val="none" w:sz="0" w:space="0" w:color="auto"/>
            <w:bottom w:val="none" w:sz="0" w:space="0" w:color="auto"/>
            <w:right w:val="none" w:sz="0" w:space="0" w:color="auto"/>
          </w:divBdr>
          <w:divsChild>
            <w:div w:id="1774668016">
              <w:marLeft w:val="0"/>
              <w:marRight w:val="0"/>
              <w:marTop w:val="0"/>
              <w:marBottom w:val="0"/>
              <w:divBdr>
                <w:top w:val="none" w:sz="0" w:space="0" w:color="auto"/>
                <w:left w:val="none" w:sz="0" w:space="0" w:color="auto"/>
                <w:bottom w:val="none" w:sz="0" w:space="0" w:color="auto"/>
                <w:right w:val="none" w:sz="0" w:space="0" w:color="auto"/>
              </w:divBdr>
            </w:div>
          </w:divsChild>
        </w:div>
        <w:div w:id="921061923">
          <w:marLeft w:val="0"/>
          <w:marRight w:val="0"/>
          <w:marTop w:val="0"/>
          <w:marBottom w:val="0"/>
          <w:divBdr>
            <w:top w:val="none" w:sz="0" w:space="0" w:color="auto"/>
            <w:left w:val="none" w:sz="0" w:space="0" w:color="auto"/>
            <w:bottom w:val="none" w:sz="0" w:space="0" w:color="auto"/>
            <w:right w:val="none" w:sz="0" w:space="0" w:color="auto"/>
          </w:divBdr>
          <w:divsChild>
            <w:div w:id="814296395">
              <w:marLeft w:val="0"/>
              <w:marRight w:val="0"/>
              <w:marTop w:val="0"/>
              <w:marBottom w:val="0"/>
              <w:divBdr>
                <w:top w:val="none" w:sz="0" w:space="0" w:color="auto"/>
                <w:left w:val="none" w:sz="0" w:space="0" w:color="auto"/>
                <w:bottom w:val="none" w:sz="0" w:space="0" w:color="auto"/>
                <w:right w:val="none" w:sz="0" w:space="0" w:color="auto"/>
              </w:divBdr>
            </w:div>
          </w:divsChild>
        </w:div>
        <w:div w:id="923420598">
          <w:marLeft w:val="0"/>
          <w:marRight w:val="0"/>
          <w:marTop w:val="0"/>
          <w:marBottom w:val="0"/>
          <w:divBdr>
            <w:top w:val="none" w:sz="0" w:space="0" w:color="auto"/>
            <w:left w:val="none" w:sz="0" w:space="0" w:color="auto"/>
            <w:bottom w:val="none" w:sz="0" w:space="0" w:color="auto"/>
            <w:right w:val="none" w:sz="0" w:space="0" w:color="auto"/>
          </w:divBdr>
          <w:divsChild>
            <w:div w:id="1937059117">
              <w:marLeft w:val="0"/>
              <w:marRight w:val="0"/>
              <w:marTop w:val="0"/>
              <w:marBottom w:val="0"/>
              <w:divBdr>
                <w:top w:val="none" w:sz="0" w:space="0" w:color="auto"/>
                <w:left w:val="none" w:sz="0" w:space="0" w:color="auto"/>
                <w:bottom w:val="none" w:sz="0" w:space="0" w:color="auto"/>
                <w:right w:val="none" w:sz="0" w:space="0" w:color="auto"/>
              </w:divBdr>
            </w:div>
          </w:divsChild>
        </w:div>
        <w:div w:id="925503796">
          <w:marLeft w:val="0"/>
          <w:marRight w:val="0"/>
          <w:marTop w:val="0"/>
          <w:marBottom w:val="0"/>
          <w:divBdr>
            <w:top w:val="none" w:sz="0" w:space="0" w:color="auto"/>
            <w:left w:val="none" w:sz="0" w:space="0" w:color="auto"/>
            <w:bottom w:val="none" w:sz="0" w:space="0" w:color="auto"/>
            <w:right w:val="none" w:sz="0" w:space="0" w:color="auto"/>
          </w:divBdr>
          <w:divsChild>
            <w:div w:id="2133161503">
              <w:marLeft w:val="0"/>
              <w:marRight w:val="0"/>
              <w:marTop w:val="0"/>
              <w:marBottom w:val="0"/>
              <w:divBdr>
                <w:top w:val="none" w:sz="0" w:space="0" w:color="auto"/>
                <w:left w:val="none" w:sz="0" w:space="0" w:color="auto"/>
                <w:bottom w:val="none" w:sz="0" w:space="0" w:color="auto"/>
                <w:right w:val="none" w:sz="0" w:space="0" w:color="auto"/>
              </w:divBdr>
            </w:div>
          </w:divsChild>
        </w:div>
        <w:div w:id="925573526">
          <w:marLeft w:val="0"/>
          <w:marRight w:val="0"/>
          <w:marTop w:val="0"/>
          <w:marBottom w:val="0"/>
          <w:divBdr>
            <w:top w:val="none" w:sz="0" w:space="0" w:color="auto"/>
            <w:left w:val="none" w:sz="0" w:space="0" w:color="auto"/>
            <w:bottom w:val="none" w:sz="0" w:space="0" w:color="auto"/>
            <w:right w:val="none" w:sz="0" w:space="0" w:color="auto"/>
          </w:divBdr>
          <w:divsChild>
            <w:div w:id="745298081">
              <w:marLeft w:val="0"/>
              <w:marRight w:val="0"/>
              <w:marTop w:val="0"/>
              <w:marBottom w:val="0"/>
              <w:divBdr>
                <w:top w:val="none" w:sz="0" w:space="0" w:color="auto"/>
                <w:left w:val="none" w:sz="0" w:space="0" w:color="auto"/>
                <w:bottom w:val="none" w:sz="0" w:space="0" w:color="auto"/>
                <w:right w:val="none" w:sz="0" w:space="0" w:color="auto"/>
              </w:divBdr>
            </w:div>
          </w:divsChild>
        </w:div>
        <w:div w:id="925916404">
          <w:marLeft w:val="0"/>
          <w:marRight w:val="0"/>
          <w:marTop w:val="0"/>
          <w:marBottom w:val="0"/>
          <w:divBdr>
            <w:top w:val="none" w:sz="0" w:space="0" w:color="auto"/>
            <w:left w:val="none" w:sz="0" w:space="0" w:color="auto"/>
            <w:bottom w:val="none" w:sz="0" w:space="0" w:color="auto"/>
            <w:right w:val="none" w:sz="0" w:space="0" w:color="auto"/>
          </w:divBdr>
          <w:divsChild>
            <w:div w:id="1279291404">
              <w:marLeft w:val="0"/>
              <w:marRight w:val="0"/>
              <w:marTop w:val="0"/>
              <w:marBottom w:val="0"/>
              <w:divBdr>
                <w:top w:val="none" w:sz="0" w:space="0" w:color="auto"/>
                <w:left w:val="none" w:sz="0" w:space="0" w:color="auto"/>
                <w:bottom w:val="none" w:sz="0" w:space="0" w:color="auto"/>
                <w:right w:val="none" w:sz="0" w:space="0" w:color="auto"/>
              </w:divBdr>
            </w:div>
          </w:divsChild>
        </w:div>
        <w:div w:id="929389282">
          <w:marLeft w:val="0"/>
          <w:marRight w:val="0"/>
          <w:marTop w:val="0"/>
          <w:marBottom w:val="0"/>
          <w:divBdr>
            <w:top w:val="none" w:sz="0" w:space="0" w:color="auto"/>
            <w:left w:val="none" w:sz="0" w:space="0" w:color="auto"/>
            <w:bottom w:val="none" w:sz="0" w:space="0" w:color="auto"/>
            <w:right w:val="none" w:sz="0" w:space="0" w:color="auto"/>
          </w:divBdr>
          <w:divsChild>
            <w:div w:id="1971519533">
              <w:marLeft w:val="0"/>
              <w:marRight w:val="0"/>
              <w:marTop w:val="0"/>
              <w:marBottom w:val="0"/>
              <w:divBdr>
                <w:top w:val="none" w:sz="0" w:space="0" w:color="auto"/>
                <w:left w:val="none" w:sz="0" w:space="0" w:color="auto"/>
                <w:bottom w:val="none" w:sz="0" w:space="0" w:color="auto"/>
                <w:right w:val="none" w:sz="0" w:space="0" w:color="auto"/>
              </w:divBdr>
            </w:div>
          </w:divsChild>
        </w:div>
        <w:div w:id="934676597">
          <w:marLeft w:val="0"/>
          <w:marRight w:val="0"/>
          <w:marTop w:val="0"/>
          <w:marBottom w:val="0"/>
          <w:divBdr>
            <w:top w:val="none" w:sz="0" w:space="0" w:color="auto"/>
            <w:left w:val="none" w:sz="0" w:space="0" w:color="auto"/>
            <w:bottom w:val="none" w:sz="0" w:space="0" w:color="auto"/>
            <w:right w:val="none" w:sz="0" w:space="0" w:color="auto"/>
          </w:divBdr>
          <w:divsChild>
            <w:div w:id="1426148629">
              <w:marLeft w:val="0"/>
              <w:marRight w:val="0"/>
              <w:marTop w:val="0"/>
              <w:marBottom w:val="0"/>
              <w:divBdr>
                <w:top w:val="none" w:sz="0" w:space="0" w:color="auto"/>
                <w:left w:val="none" w:sz="0" w:space="0" w:color="auto"/>
                <w:bottom w:val="none" w:sz="0" w:space="0" w:color="auto"/>
                <w:right w:val="none" w:sz="0" w:space="0" w:color="auto"/>
              </w:divBdr>
            </w:div>
          </w:divsChild>
        </w:div>
        <w:div w:id="937711076">
          <w:marLeft w:val="0"/>
          <w:marRight w:val="0"/>
          <w:marTop w:val="0"/>
          <w:marBottom w:val="0"/>
          <w:divBdr>
            <w:top w:val="none" w:sz="0" w:space="0" w:color="auto"/>
            <w:left w:val="none" w:sz="0" w:space="0" w:color="auto"/>
            <w:bottom w:val="none" w:sz="0" w:space="0" w:color="auto"/>
            <w:right w:val="none" w:sz="0" w:space="0" w:color="auto"/>
          </w:divBdr>
          <w:divsChild>
            <w:div w:id="1004091731">
              <w:marLeft w:val="0"/>
              <w:marRight w:val="0"/>
              <w:marTop w:val="0"/>
              <w:marBottom w:val="0"/>
              <w:divBdr>
                <w:top w:val="none" w:sz="0" w:space="0" w:color="auto"/>
                <w:left w:val="none" w:sz="0" w:space="0" w:color="auto"/>
                <w:bottom w:val="none" w:sz="0" w:space="0" w:color="auto"/>
                <w:right w:val="none" w:sz="0" w:space="0" w:color="auto"/>
              </w:divBdr>
            </w:div>
          </w:divsChild>
        </w:div>
        <w:div w:id="938558876">
          <w:marLeft w:val="0"/>
          <w:marRight w:val="0"/>
          <w:marTop w:val="0"/>
          <w:marBottom w:val="0"/>
          <w:divBdr>
            <w:top w:val="none" w:sz="0" w:space="0" w:color="auto"/>
            <w:left w:val="none" w:sz="0" w:space="0" w:color="auto"/>
            <w:bottom w:val="none" w:sz="0" w:space="0" w:color="auto"/>
            <w:right w:val="none" w:sz="0" w:space="0" w:color="auto"/>
          </w:divBdr>
          <w:divsChild>
            <w:div w:id="1283462037">
              <w:marLeft w:val="0"/>
              <w:marRight w:val="0"/>
              <w:marTop w:val="0"/>
              <w:marBottom w:val="0"/>
              <w:divBdr>
                <w:top w:val="none" w:sz="0" w:space="0" w:color="auto"/>
                <w:left w:val="none" w:sz="0" w:space="0" w:color="auto"/>
                <w:bottom w:val="none" w:sz="0" w:space="0" w:color="auto"/>
                <w:right w:val="none" w:sz="0" w:space="0" w:color="auto"/>
              </w:divBdr>
            </w:div>
          </w:divsChild>
        </w:div>
        <w:div w:id="940456701">
          <w:marLeft w:val="0"/>
          <w:marRight w:val="0"/>
          <w:marTop w:val="0"/>
          <w:marBottom w:val="0"/>
          <w:divBdr>
            <w:top w:val="none" w:sz="0" w:space="0" w:color="auto"/>
            <w:left w:val="none" w:sz="0" w:space="0" w:color="auto"/>
            <w:bottom w:val="none" w:sz="0" w:space="0" w:color="auto"/>
            <w:right w:val="none" w:sz="0" w:space="0" w:color="auto"/>
          </w:divBdr>
          <w:divsChild>
            <w:div w:id="1082413507">
              <w:marLeft w:val="0"/>
              <w:marRight w:val="0"/>
              <w:marTop w:val="0"/>
              <w:marBottom w:val="0"/>
              <w:divBdr>
                <w:top w:val="none" w:sz="0" w:space="0" w:color="auto"/>
                <w:left w:val="none" w:sz="0" w:space="0" w:color="auto"/>
                <w:bottom w:val="none" w:sz="0" w:space="0" w:color="auto"/>
                <w:right w:val="none" w:sz="0" w:space="0" w:color="auto"/>
              </w:divBdr>
            </w:div>
          </w:divsChild>
        </w:div>
        <w:div w:id="941302180">
          <w:marLeft w:val="0"/>
          <w:marRight w:val="0"/>
          <w:marTop w:val="0"/>
          <w:marBottom w:val="0"/>
          <w:divBdr>
            <w:top w:val="none" w:sz="0" w:space="0" w:color="auto"/>
            <w:left w:val="none" w:sz="0" w:space="0" w:color="auto"/>
            <w:bottom w:val="none" w:sz="0" w:space="0" w:color="auto"/>
            <w:right w:val="none" w:sz="0" w:space="0" w:color="auto"/>
          </w:divBdr>
          <w:divsChild>
            <w:div w:id="527303922">
              <w:marLeft w:val="0"/>
              <w:marRight w:val="0"/>
              <w:marTop w:val="0"/>
              <w:marBottom w:val="0"/>
              <w:divBdr>
                <w:top w:val="none" w:sz="0" w:space="0" w:color="auto"/>
                <w:left w:val="none" w:sz="0" w:space="0" w:color="auto"/>
                <w:bottom w:val="none" w:sz="0" w:space="0" w:color="auto"/>
                <w:right w:val="none" w:sz="0" w:space="0" w:color="auto"/>
              </w:divBdr>
            </w:div>
          </w:divsChild>
        </w:div>
        <w:div w:id="942961013">
          <w:marLeft w:val="0"/>
          <w:marRight w:val="0"/>
          <w:marTop w:val="0"/>
          <w:marBottom w:val="0"/>
          <w:divBdr>
            <w:top w:val="none" w:sz="0" w:space="0" w:color="auto"/>
            <w:left w:val="none" w:sz="0" w:space="0" w:color="auto"/>
            <w:bottom w:val="none" w:sz="0" w:space="0" w:color="auto"/>
            <w:right w:val="none" w:sz="0" w:space="0" w:color="auto"/>
          </w:divBdr>
          <w:divsChild>
            <w:div w:id="1440484918">
              <w:marLeft w:val="0"/>
              <w:marRight w:val="0"/>
              <w:marTop w:val="0"/>
              <w:marBottom w:val="0"/>
              <w:divBdr>
                <w:top w:val="none" w:sz="0" w:space="0" w:color="auto"/>
                <w:left w:val="none" w:sz="0" w:space="0" w:color="auto"/>
                <w:bottom w:val="none" w:sz="0" w:space="0" w:color="auto"/>
                <w:right w:val="none" w:sz="0" w:space="0" w:color="auto"/>
              </w:divBdr>
            </w:div>
          </w:divsChild>
        </w:div>
        <w:div w:id="944073550">
          <w:marLeft w:val="0"/>
          <w:marRight w:val="0"/>
          <w:marTop w:val="0"/>
          <w:marBottom w:val="0"/>
          <w:divBdr>
            <w:top w:val="none" w:sz="0" w:space="0" w:color="auto"/>
            <w:left w:val="none" w:sz="0" w:space="0" w:color="auto"/>
            <w:bottom w:val="none" w:sz="0" w:space="0" w:color="auto"/>
            <w:right w:val="none" w:sz="0" w:space="0" w:color="auto"/>
          </w:divBdr>
          <w:divsChild>
            <w:div w:id="1735273390">
              <w:marLeft w:val="0"/>
              <w:marRight w:val="0"/>
              <w:marTop w:val="0"/>
              <w:marBottom w:val="0"/>
              <w:divBdr>
                <w:top w:val="none" w:sz="0" w:space="0" w:color="auto"/>
                <w:left w:val="none" w:sz="0" w:space="0" w:color="auto"/>
                <w:bottom w:val="none" w:sz="0" w:space="0" w:color="auto"/>
                <w:right w:val="none" w:sz="0" w:space="0" w:color="auto"/>
              </w:divBdr>
            </w:div>
          </w:divsChild>
        </w:div>
        <w:div w:id="945388720">
          <w:marLeft w:val="0"/>
          <w:marRight w:val="0"/>
          <w:marTop w:val="0"/>
          <w:marBottom w:val="0"/>
          <w:divBdr>
            <w:top w:val="none" w:sz="0" w:space="0" w:color="auto"/>
            <w:left w:val="none" w:sz="0" w:space="0" w:color="auto"/>
            <w:bottom w:val="none" w:sz="0" w:space="0" w:color="auto"/>
            <w:right w:val="none" w:sz="0" w:space="0" w:color="auto"/>
          </w:divBdr>
          <w:divsChild>
            <w:div w:id="781992719">
              <w:marLeft w:val="0"/>
              <w:marRight w:val="0"/>
              <w:marTop w:val="0"/>
              <w:marBottom w:val="0"/>
              <w:divBdr>
                <w:top w:val="none" w:sz="0" w:space="0" w:color="auto"/>
                <w:left w:val="none" w:sz="0" w:space="0" w:color="auto"/>
                <w:bottom w:val="none" w:sz="0" w:space="0" w:color="auto"/>
                <w:right w:val="none" w:sz="0" w:space="0" w:color="auto"/>
              </w:divBdr>
            </w:div>
          </w:divsChild>
        </w:div>
        <w:div w:id="947738811">
          <w:marLeft w:val="0"/>
          <w:marRight w:val="0"/>
          <w:marTop w:val="0"/>
          <w:marBottom w:val="0"/>
          <w:divBdr>
            <w:top w:val="none" w:sz="0" w:space="0" w:color="auto"/>
            <w:left w:val="none" w:sz="0" w:space="0" w:color="auto"/>
            <w:bottom w:val="none" w:sz="0" w:space="0" w:color="auto"/>
            <w:right w:val="none" w:sz="0" w:space="0" w:color="auto"/>
          </w:divBdr>
          <w:divsChild>
            <w:div w:id="228074350">
              <w:marLeft w:val="0"/>
              <w:marRight w:val="0"/>
              <w:marTop w:val="0"/>
              <w:marBottom w:val="0"/>
              <w:divBdr>
                <w:top w:val="none" w:sz="0" w:space="0" w:color="auto"/>
                <w:left w:val="none" w:sz="0" w:space="0" w:color="auto"/>
                <w:bottom w:val="none" w:sz="0" w:space="0" w:color="auto"/>
                <w:right w:val="none" w:sz="0" w:space="0" w:color="auto"/>
              </w:divBdr>
            </w:div>
          </w:divsChild>
        </w:div>
        <w:div w:id="951008813">
          <w:marLeft w:val="0"/>
          <w:marRight w:val="0"/>
          <w:marTop w:val="0"/>
          <w:marBottom w:val="0"/>
          <w:divBdr>
            <w:top w:val="none" w:sz="0" w:space="0" w:color="auto"/>
            <w:left w:val="none" w:sz="0" w:space="0" w:color="auto"/>
            <w:bottom w:val="none" w:sz="0" w:space="0" w:color="auto"/>
            <w:right w:val="none" w:sz="0" w:space="0" w:color="auto"/>
          </w:divBdr>
          <w:divsChild>
            <w:div w:id="1532917876">
              <w:marLeft w:val="0"/>
              <w:marRight w:val="0"/>
              <w:marTop w:val="0"/>
              <w:marBottom w:val="0"/>
              <w:divBdr>
                <w:top w:val="none" w:sz="0" w:space="0" w:color="auto"/>
                <w:left w:val="none" w:sz="0" w:space="0" w:color="auto"/>
                <w:bottom w:val="none" w:sz="0" w:space="0" w:color="auto"/>
                <w:right w:val="none" w:sz="0" w:space="0" w:color="auto"/>
              </w:divBdr>
            </w:div>
          </w:divsChild>
        </w:div>
        <w:div w:id="953749062">
          <w:marLeft w:val="0"/>
          <w:marRight w:val="0"/>
          <w:marTop w:val="0"/>
          <w:marBottom w:val="0"/>
          <w:divBdr>
            <w:top w:val="none" w:sz="0" w:space="0" w:color="auto"/>
            <w:left w:val="none" w:sz="0" w:space="0" w:color="auto"/>
            <w:bottom w:val="none" w:sz="0" w:space="0" w:color="auto"/>
            <w:right w:val="none" w:sz="0" w:space="0" w:color="auto"/>
          </w:divBdr>
          <w:divsChild>
            <w:div w:id="464392735">
              <w:marLeft w:val="0"/>
              <w:marRight w:val="0"/>
              <w:marTop w:val="0"/>
              <w:marBottom w:val="0"/>
              <w:divBdr>
                <w:top w:val="none" w:sz="0" w:space="0" w:color="auto"/>
                <w:left w:val="none" w:sz="0" w:space="0" w:color="auto"/>
                <w:bottom w:val="none" w:sz="0" w:space="0" w:color="auto"/>
                <w:right w:val="none" w:sz="0" w:space="0" w:color="auto"/>
              </w:divBdr>
            </w:div>
          </w:divsChild>
        </w:div>
        <w:div w:id="958295992">
          <w:marLeft w:val="0"/>
          <w:marRight w:val="0"/>
          <w:marTop w:val="0"/>
          <w:marBottom w:val="0"/>
          <w:divBdr>
            <w:top w:val="none" w:sz="0" w:space="0" w:color="auto"/>
            <w:left w:val="none" w:sz="0" w:space="0" w:color="auto"/>
            <w:bottom w:val="none" w:sz="0" w:space="0" w:color="auto"/>
            <w:right w:val="none" w:sz="0" w:space="0" w:color="auto"/>
          </w:divBdr>
          <w:divsChild>
            <w:div w:id="516114729">
              <w:marLeft w:val="0"/>
              <w:marRight w:val="0"/>
              <w:marTop w:val="0"/>
              <w:marBottom w:val="0"/>
              <w:divBdr>
                <w:top w:val="none" w:sz="0" w:space="0" w:color="auto"/>
                <w:left w:val="none" w:sz="0" w:space="0" w:color="auto"/>
                <w:bottom w:val="none" w:sz="0" w:space="0" w:color="auto"/>
                <w:right w:val="none" w:sz="0" w:space="0" w:color="auto"/>
              </w:divBdr>
            </w:div>
          </w:divsChild>
        </w:div>
        <w:div w:id="963510445">
          <w:marLeft w:val="0"/>
          <w:marRight w:val="0"/>
          <w:marTop w:val="0"/>
          <w:marBottom w:val="0"/>
          <w:divBdr>
            <w:top w:val="none" w:sz="0" w:space="0" w:color="auto"/>
            <w:left w:val="none" w:sz="0" w:space="0" w:color="auto"/>
            <w:bottom w:val="none" w:sz="0" w:space="0" w:color="auto"/>
            <w:right w:val="none" w:sz="0" w:space="0" w:color="auto"/>
          </w:divBdr>
          <w:divsChild>
            <w:div w:id="1376544843">
              <w:marLeft w:val="0"/>
              <w:marRight w:val="0"/>
              <w:marTop w:val="0"/>
              <w:marBottom w:val="0"/>
              <w:divBdr>
                <w:top w:val="none" w:sz="0" w:space="0" w:color="auto"/>
                <w:left w:val="none" w:sz="0" w:space="0" w:color="auto"/>
                <w:bottom w:val="none" w:sz="0" w:space="0" w:color="auto"/>
                <w:right w:val="none" w:sz="0" w:space="0" w:color="auto"/>
              </w:divBdr>
            </w:div>
          </w:divsChild>
        </w:div>
        <w:div w:id="963969732">
          <w:marLeft w:val="0"/>
          <w:marRight w:val="0"/>
          <w:marTop w:val="0"/>
          <w:marBottom w:val="0"/>
          <w:divBdr>
            <w:top w:val="none" w:sz="0" w:space="0" w:color="auto"/>
            <w:left w:val="none" w:sz="0" w:space="0" w:color="auto"/>
            <w:bottom w:val="none" w:sz="0" w:space="0" w:color="auto"/>
            <w:right w:val="none" w:sz="0" w:space="0" w:color="auto"/>
          </w:divBdr>
          <w:divsChild>
            <w:div w:id="585963426">
              <w:marLeft w:val="0"/>
              <w:marRight w:val="0"/>
              <w:marTop w:val="0"/>
              <w:marBottom w:val="0"/>
              <w:divBdr>
                <w:top w:val="none" w:sz="0" w:space="0" w:color="auto"/>
                <w:left w:val="none" w:sz="0" w:space="0" w:color="auto"/>
                <w:bottom w:val="none" w:sz="0" w:space="0" w:color="auto"/>
                <w:right w:val="none" w:sz="0" w:space="0" w:color="auto"/>
              </w:divBdr>
            </w:div>
          </w:divsChild>
        </w:div>
        <w:div w:id="964047775">
          <w:marLeft w:val="0"/>
          <w:marRight w:val="0"/>
          <w:marTop w:val="0"/>
          <w:marBottom w:val="0"/>
          <w:divBdr>
            <w:top w:val="none" w:sz="0" w:space="0" w:color="auto"/>
            <w:left w:val="none" w:sz="0" w:space="0" w:color="auto"/>
            <w:bottom w:val="none" w:sz="0" w:space="0" w:color="auto"/>
            <w:right w:val="none" w:sz="0" w:space="0" w:color="auto"/>
          </w:divBdr>
          <w:divsChild>
            <w:div w:id="200940304">
              <w:marLeft w:val="0"/>
              <w:marRight w:val="0"/>
              <w:marTop w:val="0"/>
              <w:marBottom w:val="0"/>
              <w:divBdr>
                <w:top w:val="none" w:sz="0" w:space="0" w:color="auto"/>
                <w:left w:val="none" w:sz="0" w:space="0" w:color="auto"/>
                <w:bottom w:val="none" w:sz="0" w:space="0" w:color="auto"/>
                <w:right w:val="none" w:sz="0" w:space="0" w:color="auto"/>
              </w:divBdr>
            </w:div>
          </w:divsChild>
        </w:div>
        <w:div w:id="964656667">
          <w:marLeft w:val="0"/>
          <w:marRight w:val="0"/>
          <w:marTop w:val="0"/>
          <w:marBottom w:val="0"/>
          <w:divBdr>
            <w:top w:val="none" w:sz="0" w:space="0" w:color="auto"/>
            <w:left w:val="none" w:sz="0" w:space="0" w:color="auto"/>
            <w:bottom w:val="none" w:sz="0" w:space="0" w:color="auto"/>
            <w:right w:val="none" w:sz="0" w:space="0" w:color="auto"/>
          </w:divBdr>
          <w:divsChild>
            <w:div w:id="2071464909">
              <w:marLeft w:val="0"/>
              <w:marRight w:val="0"/>
              <w:marTop w:val="0"/>
              <w:marBottom w:val="0"/>
              <w:divBdr>
                <w:top w:val="none" w:sz="0" w:space="0" w:color="auto"/>
                <w:left w:val="none" w:sz="0" w:space="0" w:color="auto"/>
                <w:bottom w:val="none" w:sz="0" w:space="0" w:color="auto"/>
                <w:right w:val="none" w:sz="0" w:space="0" w:color="auto"/>
              </w:divBdr>
            </w:div>
          </w:divsChild>
        </w:div>
        <w:div w:id="965234602">
          <w:marLeft w:val="0"/>
          <w:marRight w:val="0"/>
          <w:marTop w:val="0"/>
          <w:marBottom w:val="0"/>
          <w:divBdr>
            <w:top w:val="none" w:sz="0" w:space="0" w:color="auto"/>
            <w:left w:val="none" w:sz="0" w:space="0" w:color="auto"/>
            <w:bottom w:val="none" w:sz="0" w:space="0" w:color="auto"/>
            <w:right w:val="none" w:sz="0" w:space="0" w:color="auto"/>
          </w:divBdr>
          <w:divsChild>
            <w:div w:id="456215345">
              <w:marLeft w:val="0"/>
              <w:marRight w:val="0"/>
              <w:marTop w:val="0"/>
              <w:marBottom w:val="0"/>
              <w:divBdr>
                <w:top w:val="none" w:sz="0" w:space="0" w:color="auto"/>
                <w:left w:val="none" w:sz="0" w:space="0" w:color="auto"/>
                <w:bottom w:val="none" w:sz="0" w:space="0" w:color="auto"/>
                <w:right w:val="none" w:sz="0" w:space="0" w:color="auto"/>
              </w:divBdr>
            </w:div>
          </w:divsChild>
        </w:div>
        <w:div w:id="972061969">
          <w:marLeft w:val="0"/>
          <w:marRight w:val="0"/>
          <w:marTop w:val="0"/>
          <w:marBottom w:val="0"/>
          <w:divBdr>
            <w:top w:val="none" w:sz="0" w:space="0" w:color="auto"/>
            <w:left w:val="none" w:sz="0" w:space="0" w:color="auto"/>
            <w:bottom w:val="none" w:sz="0" w:space="0" w:color="auto"/>
            <w:right w:val="none" w:sz="0" w:space="0" w:color="auto"/>
          </w:divBdr>
          <w:divsChild>
            <w:div w:id="2025089423">
              <w:marLeft w:val="0"/>
              <w:marRight w:val="0"/>
              <w:marTop w:val="0"/>
              <w:marBottom w:val="0"/>
              <w:divBdr>
                <w:top w:val="none" w:sz="0" w:space="0" w:color="auto"/>
                <w:left w:val="none" w:sz="0" w:space="0" w:color="auto"/>
                <w:bottom w:val="none" w:sz="0" w:space="0" w:color="auto"/>
                <w:right w:val="none" w:sz="0" w:space="0" w:color="auto"/>
              </w:divBdr>
            </w:div>
          </w:divsChild>
        </w:div>
        <w:div w:id="972253213">
          <w:marLeft w:val="0"/>
          <w:marRight w:val="0"/>
          <w:marTop w:val="0"/>
          <w:marBottom w:val="0"/>
          <w:divBdr>
            <w:top w:val="none" w:sz="0" w:space="0" w:color="auto"/>
            <w:left w:val="none" w:sz="0" w:space="0" w:color="auto"/>
            <w:bottom w:val="none" w:sz="0" w:space="0" w:color="auto"/>
            <w:right w:val="none" w:sz="0" w:space="0" w:color="auto"/>
          </w:divBdr>
          <w:divsChild>
            <w:div w:id="2036880638">
              <w:marLeft w:val="0"/>
              <w:marRight w:val="0"/>
              <w:marTop w:val="0"/>
              <w:marBottom w:val="0"/>
              <w:divBdr>
                <w:top w:val="none" w:sz="0" w:space="0" w:color="auto"/>
                <w:left w:val="none" w:sz="0" w:space="0" w:color="auto"/>
                <w:bottom w:val="none" w:sz="0" w:space="0" w:color="auto"/>
                <w:right w:val="none" w:sz="0" w:space="0" w:color="auto"/>
              </w:divBdr>
            </w:div>
          </w:divsChild>
        </w:div>
        <w:div w:id="973605247">
          <w:marLeft w:val="0"/>
          <w:marRight w:val="0"/>
          <w:marTop w:val="0"/>
          <w:marBottom w:val="0"/>
          <w:divBdr>
            <w:top w:val="none" w:sz="0" w:space="0" w:color="auto"/>
            <w:left w:val="none" w:sz="0" w:space="0" w:color="auto"/>
            <w:bottom w:val="none" w:sz="0" w:space="0" w:color="auto"/>
            <w:right w:val="none" w:sz="0" w:space="0" w:color="auto"/>
          </w:divBdr>
          <w:divsChild>
            <w:div w:id="638609490">
              <w:marLeft w:val="0"/>
              <w:marRight w:val="0"/>
              <w:marTop w:val="0"/>
              <w:marBottom w:val="0"/>
              <w:divBdr>
                <w:top w:val="none" w:sz="0" w:space="0" w:color="auto"/>
                <w:left w:val="none" w:sz="0" w:space="0" w:color="auto"/>
                <w:bottom w:val="none" w:sz="0" w:space="0" w:color="auto"/>
                <w:right w:val="none" w:sz="0" w:space="0" w:color="auto"/>
              </w:divBdr>
            </w:div>
          </w:divsChild>
        </w:div>
        <w:div w:id="976648055">
          <w:marLeft w:val="0"/>
          <w:marRight w:val="0"/>
          <w:marTop w:val="0"/>
          <w:marBottom w:val="0"/>
          <w:divBdr>
            <w:top w:val="none" w:sz="0" w:space="0" w:color="auto"/>
            <w:left w:val="none" w:sz="0" w:space="0" w:color="auto"/>
            <w:bottom w:val="none" w:sz="0" w:space="0" w:color="auto"/>
            <w:right w:val="none" w:sz="0" w:space="0" w:color="auto"/>
          </w:divBdr>
          <w:divsChild>
            <w:div w:id="1555384623">
              <w:marLeft w:val="0"/>
              <w:marRight w:val="0"/>
              <w:marTop w:val="0"/>
              <w:marBottom w:val="0"/>
              <w:divBdr>
                <w:top w:val="none" w:sz="0" w:space="0" w:color="auto"/>
                <w:left w:val="none" w:sz="0" w:space="0" w:color="auto"/>
                <w:bottom w:val="none" w:sz="0" w:space="0" w:color="auto"/>
                <w:right w:val="none" w:sz="0" w:space="0" w:color="auto"/>
              </w:divBdr>
            </w:div>
          </w:divsChild>
        </w:div>
        <w:div w:id="980770655">
          <w:marLeft w:val="0"/>
          <w:marRight w:val="0"/>
          <w:marTop w:val="0"/>
          <w:marBottom w:val="0"/>
          <w:divBdr>
            <w:top w:val="none" w:sz="0" w:space="0" w:color="auto"/>
            <w:left w:val="none" w:sz="0" w:space="0" w:color="auto"/>
            <w:bottom w:val="none" w:sz="0" w:space="0" w:color="auto"/>
            <w:right w:val="none" w:sz="0" w:space="0" w:color="auto"/>
          </w:divBdr>
          <w:divsChild>
            <w:div w:id="111170013">
              <w:marLeft w:val="0"/>
              <w:marRight w:val="0"/>
              <w:marTop w:val="0"/>
              <w:marBottom w:val="0"/>
              <w:divBdr>
                <w:top w:val="none" w:sz="0" w:space="0" w:color="auto"/>
                <w:left w:val="none" w:sz="0" w:space="0" w:color="auto"/>
                <w:bottom w:val="none" w:sz="0" w:space="0" w:color="auto"/>
                <w:right w:val="none" w:sz="0" w:space="0" w:color="auto"/>
              </w:divBdr>
            </w:div>
          </w:divsChild>
        </w:div>
        <w:div w:id="986473919">
          <w:marLeft w:val="0"/>
          <w:marRight w:val="0"/>
          <w:marTop w:val="0"/>
          <w:marBottom w:val="0"/>
          <w:divBdr>
            <w:top w:val="none" w:sz="0" w:space="0" w:color="auto"/>
            <w:left w:val="none" w:sz="0" w:space="0" w:color="auto"/>
            <w:bottom w:val="none" w:sz="0" w:space="0" w:color="auto"/>
            <w:right w:val="none" w:sz="0" w:space="0" w:color="auto"/>
          </w:divBdr>
          <w:divsChild>
            <w:div w:id="1979988651">
              <w:marLeft w:val="0"/>
              <w:marRight w:val="0"/>
              <w:marTop w:val="0"/>
              <w:marBottom w:val="0"/>
              <w:divBdr>
                <w:top w:val="none" w:sz="0" w:space="0" w:color="auto"/>
                <w:left w:val="none" w:sz="0" w:space="0" w:color="auto"/>
                <w:bottom w:val="none" w:sz="0" w:space="0" w:color="auto"/>
                <w:right w:val="none" w:sz="0" w:space="0" w:color="auto"/>
              </w:divBdr>
            </w:div>
          </w:divsChild>
        </w:div>
        <w:div w:id="989098484">
          <w:marLeft w:val="0"/>
          <w:marRight w:val="0"/>
          <w:marTop w:val="0"/>
          <w:marBottom w:val="0"/>
          <w:divBdr>
            <w:top w:val="none" w:sz="0" w:space="0" w:color="auto"/>
            <w:left w:val="none" w:sz="0" w:space="0" w:color="auto"/>
            <w:bottom w:val="none" w:sz="0" w:space="0" w:color="auto"/>
            <w:right w:val="none" w:sz="0" w:space="0" w:color="auto"/>
          </w:divBdr>
          <w:divsChild>
            <w:div w:id="570387652">
              <w:marLeft w:val="0"/>
              <w:marRight w:val="0"/>
              <w:marTop w:val="0"/>
              <w:marBottom w:val="0"/>
              <w:divBdr>
                <w:top w:val="none" w:sz="0" w:space="0" w:color="auto"/>
                <w:left w:val="none" w:sz="0" w:space="0" w:color="auto"/>
                <w:bottom w:val="none" w:sz="0" w:space="0" w:color="auto"/>
                <w:right w:val="none" w:sz="0" w:space="0" w:color="auto"/>
              </w:divBdr>
            </w:div>
          </w:divsChild>
        </w:div>
        <w:div w:id="989863569">
          <w:marLeft w:val="0"/>
          <w:marRight w:val="0"/>
          <w:marTop w:val="0"/>
          <w:marBottom w:val="0"/>
          <w:divBdr>
            <w:top w:val="none" w:sz="0" w:space="0" w:color="auto"/>
            <w:left w:val="none" w:sz="0" w:space="0" w:color="auto"/>
            <w:bottom w:val="none" w:sz="0" w:space="0" w:color="auto"/>
            <w:right w:val="none" w:sz="0" w:space="0" w:color="auto"/>
          </w:divBdr>
          <w:divsChild>
            <w:div w:id="1663854984">
              <w:marLeft w:val="0"/>
              <w:marRight w:val="0"/>
              <w:marTop w:val="0"/>
              <w:marBottom w:val="0"/>
              <w:divBdr>
                <w:top w:val="none" w:sz="0" w:space="0" w:color="auto"/>
                <w:left w:val="none" w:sz="0" w:space="0" w:color="auto"/>
                <w:bottom w:val="none" w:sz="0" w:space="0" w:color="auto"/>
                <w:right w:val="none" w:sz="0" w:space="0" w:color="auto"/>
              </w:divBdr>
            </w:div>
          </w:divsChild>
        </w:div>
        <w:div w:id="989947798">
          <w:marLeft w:val="0"/>
          <w:marRight w:val="0"/>
          <w:marTop w:val="0"/>
          <w:marBottom w:val="0"/>
          <w:divBdr>
            <w:top w:val="none" w:sz="0" w:space="0" w:color="auto"/>
            <w:left w:val="none" w:sz="0" w:space="0" w:color="auto"/>
            <w:bottom w:val="none" w:sz="0" w:space="0" w:color="auto"/>
            <w:right w:val="none" w:sz="0" w:space="0" w:color="auto"/>
          </w:divBdr>
          <w:divsChild>
            <w:div w:id="313992006">
              <w:marLeft w:val="0"/>
              <w:marRight w:val="0"/>
              <w:marTop w:val="0"/>
              <w:marBottom w:val="0"/>
              <w:divBdr>
                <w:top w:val="none" w:sz="0" w:space="0" w:color="auto"/>
                <w:left w:val="none" w:sz="0" w:space="0" w:color="auto"/>
                <w:bottom w:val="none" w:sz="0" w:space="0" w:color="auto"/>
                <w:right w:val="none" w:sz="0" w:space="0" w:color="auto"/>
              </w:divBdr>
            </w:div>
          </w:divsChild>
        </w:div>
        <w:div w:id="993800725">
          <w:marLeft w:val="0"/>
          <w:marRight w:val="0"/>
          <w:marTop w:val="0"/>
          <w:marBottom w:val="0"/>
          <w:divBdr>
            <w:top w:val="none" w:sz="0" w:space="0" w:color="auto"/>
            <w:left w:val="none" w:sz="0" w:space="0" w:color="auto"/>
            <w:bottom w:val="none" w:sz="0" w:space="0" w:color="auto"/>
            <w:right w:val="none" w:sz="0" w:space="0" w:color="auto"/>
          </w:divBdr>
          <w:divsChild>
            <w:div w:id="1076976558">
              <w:marLeft w:val="0"/>
              <w:marRight w:val="0"/>
              <w:marTop w:val="0"/>
              <w:marBottom w:val="0"/>
              <w:divBdr>
                <w:top w:val="none" w:sz="0" w:space="0" w:color="auto"/>
                <w:left w:val="none" w:sz="0" w:space="0" w:color="auto"/>
                <w:bottom w:val="none" w:sz="0" w:space="0" w:color="auto"/>
                <w:right w:val="none" w:sz="0" w:space="0" w:color="auto"/>
              </w:divBdr>
            </w:div>
          </w:divsChild>
        </w:div>
        <w:div w:id="998652350">
          <w:marLeft w:val="0"/>
          <w:marRight w:val="0"/>
          <w:marTop w:val="0"/>
          <w:marBottom w:val="0"/>
          <w:divBdr>
            <w:top w:val="none" w:sz="0" w:space="0" w:color="auto"/>
            <w:left w:val="none" w:sz="0" w:space="0" w:color="auto"/>
            <w:bottom w:val="none" w:sz="0" w:space="0" w:color="auto"/>
            <w:right w:val="none" w:sz="0" w:space="0" w:color="auto"/>
          </w:divBdr>
          <w:divsChild>
            <w:div w:id="1454443929">
              <w:marLeft w:val="0"/>
              <w:marRight w:val="0"/>
              <w:marTop w:val="0"/>
              <w:marBottom w:val="0"/>
              <w:divBdr>
                <w:top w:val="none" w:sz="0" w:space="0" w:color="auto"/>
                <w:left w:val="none" w:sz="0" w:space="0" w:color="auto"/>
                <w:bottom w:val="none" w:sz="0" w:space="0" w:color="auto"/>
                <w:right w:val="none" w:sz="0" w:space="0" w:color="auto"/>
              </w:divBdr>
            </w:div>
          </w:divsChild>
        </w:div>
        <w:div w:id="999693017">
          <w:marLeft w:val="0"/>
          <w:marRight w:val="0"/>
          <w:marTop w:val="0"/>
          <w:marBottom w:val="0"/>
          <w:divBdr>
            <w:top w:val="none" w:sz="0" w:space="0" w:color="auto"/>
            <w:left w:val="none" w:sz="0" w:space="0" w:color="auto"/>
            <w:bottom w:val="none" w:sz="0" w:space="0" w:color="auto"/>
            <w:right w:val="none" w:sz="0" w:space="0" w:color="auto"/>
          </w:divBdr>
          <w:divsChild>
            <w:div w:id="1382709561">
              <w:marLeft w:val="0"/>
              <w:marRight w:val="0"/>
              <w:marTop w:val="0"/>
              <w:marBottom w:val="0"/>
              <w:divBdr>
                <w:top w:val="none" w:sz="0" w:space="0" w:color="auto"/>
                <w:left w:val="none" w:sz="0" w:space="0" w:color="auto"/>
                <w:bottom w:val="none" w:sz="0" w:space="0" w:color="auto"/>
                <w:right w:val="none" w:sz="0" w:space="0" w:color="auto"/>
              </w:divBdr>
            </w:div>
          </w:divsChild>
        </w:div>
        <w:div w:id="1005523202">
          <w:marLeft w:val="0"/>
          <w:marRight w:val="0"/>
          <w:marTop w:val="0"/>
          <w:marBottom w:val="0"/>
          <w:divBdr>
            <w:top w:val="none" w:sz="0" w:space="0" w:color="auto"/>
            <w:left w:val="none" w:sz="0" w:space="0" w:color="auto"/>
            <w:bottom w:val="none" w:sz="0" w:space="0" w:color="auto"/>
            <w:right w:val="none" w:sz="0" w:space="0" w:color="auto"/>
          </w:divBdr>
          <w:divsChild>
            <w:div w:id="683433178">
              <w:marLeft w:val="0"/>
              <w:marRight w:val="0"/>
              <w:marTop w:val="0"/>
              <w:marBottom w:val="0"/>
              <w:divBdr>
                <w:top w:val="none" w:sz="0" w:space="0" w:color="auto"/>
                <w:left w:val="none" w:sz="0" w:space="0" w:color="auto"/>
                <w:bottom w:val="none" w:sz="0" w:space="0" w:color="auto"/>
                <w:right w:val="none" w:sz="0" w:space="0" w:color="auto"/>
              </w:divBdr>
            </w:div>
          </w:divsChild>
        </w:div>
        <w:div w:id="1008480348">
          <w:marLeft w:val="0"/>
          <w:marRight w:val="0"/>
          <w:marTop w:val="0"/>
          <w:marBottom w:val="0"/>
          <w:divBdr>
            <w:top w:val="none" w:sz="0" w:space="0" w:color="auto"/>
            <w:left w:val="none" w:sz="0" w:space="0" w:color="auto"/>
            <w:bottom w:val="none" w:sz="0" w:space="0" w:color="auto"/>
            <w:right w:val="none" w:sz="0" w:space="0" w:color="auto"/>
          </w:divBdr>
          <w:divsChild>
            <w:div w:id="74253274">
              <w:marLeft w:val="0"/>
              <w:marRight w:val="0"/>
              <w:marTop w:val="0"/>
              <w:marBottom w:val="0"/>
              <w:divBdr>
                <w:top w:val="none" w:sz="0" w:space="0" w:color="auto"/>
                <w:left w:val="none" w:sz="0" w:space="0" w:color="auto"/>
                <w:bottom w:val="none" w:sz="0" w:space="0" w:color="auto"/>
                <w:right w:val="none" w:sz="0" w:space="0" w:color="auto"/>
              </w:divBdr>
            </w:div>
          </w:divsChild>
        </w:div>
        <w:div w:id="1008867205">
          <w:marLeft w:val="0"/>
          <w:marRight w:val="0"/>
          <w:marTop w:val="0"/>
          <w:marBottom w:val="0"/>
          <w:divBdr>
            <w:top w:val="none" w:sz="0" w:space="0" w:color="auto"/>
            <w:left w:val="none" w:sz="0" w:space="0" w:color="auto"/>
            <w:bottom w:val="none" w:sz="0" w:space="0" w:color="auto"/>
            <w:right w:val="none" w:sz="0" w:space="0" w:color="auto"/>
          </w:divBdr>
          <w:divsChild>
            <w:div w:id="814372868">
              <w:marLeft w:val="0"/>
              <w:marRight w:val="0"/>
              <w:marTop w:val="0"/>
              <w:marBottom w:val="0"/>
              <w:divBdr>
                <w:top w:val="none" w:sz="0" w:space="0" w:color="auto"/>
                <w:left w:val="none" w:sz="0" w:space="0" w:color="auto"/>
                <w:bottom w:val="none" w:sz="0" w:space="0" w:color="auto"/>
                <w:right w:val="none" w:sz="0" w:space="0" w:color="auto"/>
              </w:divBdr>
            </w:div>
          </w:divsChild>
        </w:div>
        <w:div w:id="1012731024">
          <w:marLeft w:val="0"/>
          <w:marRight w:val="0"/>
          <w:marTop w:val="0"/>
          <w:marBottom w:val="0"/>
          <w:divBdr>
            <w:top w:val="none" w:sz="0" w:space="0" w:color="auto"/>
            <w:left w:val="none" w:sz="0" w:space="0" w:color="auto"/>
            <w:bottom w:val="none" w:sz="0" w:space="0" w:color="auto"/>
            <w:right w:val="none" w:sz="0" w:space="0" w:color="auto"/>
          </w:divBdr>
          <w:divsChild>
            <w:div w:id="1698769951">
              <w:marLeft w:val="0"/>
              <w:marRight w:val="0"/>
              <w:marTop w:val="0"/>
              <w:marBottom w:val="0"/>
              <w:divBdr>
                <w:top w:val="none" w:sz="0" w:space="0" w:color="auto"/>
                <w:left w:val="none" w:sz="0" w:space="0" w:color="auto"/>
                <w:bottom w:val="none" w:sz="0" w:space="0" w:color="auto"/>
                <w:right w:val="none" w:sz="0" w:space="0" w:color="auto"/>
              </w:divBdr>
            </w:div>
          </w:divsChild>
        </w:div>
        <w:div w:id="1013384077">
          <w:marLeft w:val="0"/>
          <w:marRight w:val="0"/>
          <w:marTop w:val="0"/>
          <w:marBottom w:val="0"/>
          <w:divBdr>
            <w:top w:val="none" w:sz="0" w:space="0" w:color="auto"/>
            <w:left w:val="none" w:sz="0" w:space="0" w:color="auto"/>
            <w:bottom w:val="none" w:sz="0" w:space="0" w:color="auto"/>
            <w:right w:val="none" w:sz="0" w:space="0" w:color="auto"/>
          </w:divBdr>
          <w:divsChild>
            <w:div w:id="1131635800">
              <w:marLeft w:val="0"/>
              <w:marRight w:val="0"/>
              <w:marTop w:val="0"/>
              <w:marBottom w:val="0"/>
              <w:divBdr>
                <w:top w:val="none" w:sz="0" w:space="0" w:color="auto"/>
                <w:left w:val="none" w:sz="0" w:space="0" w:color="auto"/>
                <w:bottom w:val="none" w:sz="0" w:space="0" w:color="auto"/>
                <w:right w:val="none" w:sz="0" w:space="0" w:color="auto"/>
              </w:divBdr>
            </w:div>
          </w:divsChild>
        </w:div>
        <w:div w:id="1013410961">
          <w:marLeft w:val="0"/>
          <w:marRight w:val="0"/>
          <w:marTop w:val="0"/>
          <w:marBottom w:val="0"/>
          <w:divBdr>
            <w:top w:val="none" w:sz="0" w:space="0" w:color="auto"/>
            <w:left w:val="none" w:sz="0" w:space="0" w:color="auto"/>
            <w:bottom w:val="none" w:sz="0" w:space="0" w:color="auto"/>
            <w:right w:val="none" w:sz="0" w:space="0" w:color="auto"/>
          </w:divBdr>
          <w:divsChild>
            <w:div w:id="1728256403">
              <w:marLeft w:val="0"/>
              <w:marRight w:val="0"/>
              <w:marTop w:val="0"/>
              <w:marBottom w:val="0"/>
              <w:divBdr>
                <w:top w:val="none" w:sz="0" w:space="0" w:color="auto"/>
                <w:left w:val="none" w:sz="0" w:space="0" w:color="auto"/>
                <w:bottom w:val="none" w:sz="0" w:space="0" w:color="auto"/>
                <w:right w:val="none" w:sz="0" w:space="0" w:color="auto"/>
              </w:divBdr>
            </w:div>
          </w:divsChild>
        </w:div>
        <w:div w:id="1015770223">
          <w:marLeft w:val="0"/>
          <w:marRight w:val="0"/>
          <w:marTop w:val="0"/>
          <w:marBottom w:val="0"/>
          <w:divBdr>
            <w:top w:val="none" w:sz="0" w:space="0" w:color="auto"/>
            <w:left w:val="none" w:sz="0" w:space="0" w:color="auto"/>
            <w:bottom w:val="none" w:sz="0" w:space="0" w:color="auto"/>
            <w:right w:val="none" w:sz="0" w:space="0" w:color="auto"/>
          </w:divBdr>
          <w:divsChild>
            <w:div w:id="1148012307">
              <w:marLeft w:val="0"/>
              <w:marRight w:val="0"/>
              <w:marTop w:val="0"/>
              <w:marBottom w:val="0"/>
              <w:divBdr>
                <w:top w:val="none" w:sz="0" w:space="0" w:color="auto"/>
                <w:left w:val="none" w:sz="0" w:space="0" w:color="auto"/>
                <w:bottom w:val="none" w:sz="0" w:space="0" w:color="auto"/>
                <w:right w:val="none" w:sz="0" w:space="0" w:color="auto"/>
              </w:divBdr>
            </w:div>
          </w:divsChild>
        </w:div>
        <w:div w:id="1017272152">
          <w:marLeft w:val="0"/>
          <w:marRight w:val="0"/>
          <w:marTop w:val="0"/>
          <w:marBottom w:val="0"/>
          <w:divBdr>
            <w:top w:val="none" w:sz="0" w:space="0" w:color="auto"/>
            <w:left w:val="none" w:sz="0" w:space="0" w:color="auto"/>
            <w:bottom w:val="none" w:sz="0" w:space="0" w:color="auto"/>
            <w:right w:val="none" w:sz="0" w:space="0" w:color="auto"/>
          </w:divBdr>
          <w:divsChild>
            <w:div w:id="1502311991">
              <w:marLeft w:val="0"/>
              <w:marRight w:val="0"/>
              <w:marTop w:val="0"/>
              <w:marBottom w:val="0"/>
              <w:divBdr>
                <w:top w:val="none" w:sz="0" w:space="0" w:color="auto"/>
                <w:left w:val="none" w:sz="0" w:space="0" w:color="auto"/>
                <w:bottom w:val="none" w:sz="0" w:space="0" w:color="auto"/>
                <w:right w:val="none" w:sz="0" w:space="0" w:color="auto"/>
              </w:divBdr>
            </w:div>
          </w:divsChild>
        </w:div>
        <w:div w:id="1019041552">
          <w:marLeft w:val="0"/>
          <w:marRight w:val="0"/>
          <w:marTop w:val="0"/>
          <w:marBottom w:val="0"/>
          <w:divBdr>
            <w:top w:val="none" w:sz="0" w:space="0" w:color="auto"/>
            <w:left w:val="none" w:sz="0" w:space="0" w:color="auto"/>
            <w:bottom w:val="none" w:sz="0" w:space="0" w:color="auto"/>
            <w:right w:val="none" w:sz="0" w:space="0" w:color="auto"/>
          </w:divBdr>
          <w:divsChild>
            <w:div w:id="1103111442">
              <w:marLeft w:val="0"/>
              <w:marRight w:val="0"/>
              <w:marTop w:val="0"/>
              <w:marBottom w:val="0"/>
              <w:divBdr>
                <w:top w:val="none" w:sz="0" w:space="0" w:color="auto"/>
                <w:left w:val="none" w:sz="0" w:space="0" w:color="auto"/>
                <w:bottom w:val="none" w:sz="0" w:space="0" w:color="auto"/>
                <w:right w:val="none" w:sz="0" w:space="0" w:color="auto"/>
              </w:divBdr>
            </w:div>
          </w:divsChild>
        </w:div>
        <w:div w:id="1019817399">
          <w:marLeft w:val="0"/>
          <w:marRight w:val="0"/>
          <w:marTop w:val="0"/>
          <w:marBottom w:val="0"/>
          <w:divBdr>
            <w:top w:val="none" w:sz="0" w:space="0" w:color="auto"/>
            <w:left w:val="none" w:sz="0" w:space="0" w:color="auto"/>
            <w:bottom w:val="none" w:sz="0" w:space="0" w:color="auto"/>
            <w:right w:val="none" w:sz="0" w:space="0" w:color="auto"/>
          </w:divBdr>
          <w:divsChild>
            <w:div w:id="1602950123">
              <w:marLeft w:val="0"/>
              <w:marRight w:val="0"/>
              <w:marTop w:val="0"/>
              <w:marBottom w:val="0"/>
              <w:divBdr>
                <w:top w:val="none" w:sz="0" w:space="0" w:color="auto"/>
                <w:left w:val="none" w:sz="0" w:space="0" w:color="auto"/>
                <w:bottom w:val="none" w:sz="0" w:space="0" w:color="auto"/>
                <w:right w:val="none" w:sz="0" w:space="0" w:color="auto"/>
              </w:divBdr>
            </w:div>
          </w:divsChild>
        </w:div>
        <w:div w:id="1019895415">
          <w:marLeft w:val="0"/>
          <w:marRight w:val="0"/>
          <w:marTop w:val="0"/>
          <w:marBottom w:val="0"/>
          <w:divBdr>
            <w:top w:val="none" w:sz="0" w:space="0" w:color="auto"/>
            <w:left w:val="none" w:sz="0" w:space="0" w:color="auto"/>
            <w:bottom w:val="none" w:sz="0" w:space="0" w:color="auto"/>
            <w:right w:val="none" w:sz="0" w:space="0" w:color="auto"/>
          </w:divBdr>
          <w:divsChild>
            <w:div w:id="45103707">
              <w:marLeft w:val="0"/>
              <w:marRight w:val="0"/>
              <w:marTop w:val="0"/>
              <w:marBottom w:val="0"/>
              <w:divBdr>
                <w:top w:val="none" w:sz="0" w:space="0" w:color="auto"/>
                <w:left w:val="none" w:sz="0" w:space="0" w:color="auto"/>
                <w:bottom w:val="none" w:sz="0" w:space="0" w:color="auto"/>
                <w:right w:val="none" w:sz="0" w:space="0" w:color="auto"/>
              </w:divBdr>
            </w:div>
          </w:divsChild>
        </w:div>
        <w:div w:id="1021124728">
          <w:marLeft w:val="0"/>
          <w:marRight w:val="0"/>
          <w:marTop w:val="0"/>
          <w:marBottom w:val="0"/>
          <w:divBdr>
            <w:top w:val="none" w:sz="0" w:space="0" w:color="auto"/>
            <w:left w:val="none" w:sz="0" w:space="0" w:color="auto"/>
            <w:bottom w:val="none" w:sz="0" w:space="0" w:color="auto"/>
            <w:right w:val="none" w:sz="0" w:space="0" w:color="auto"/>
          </w:divBdr>
          <w:divsChild>
            <w:div w:id="250550836">
              <w:marLeft w:val="0"/>
              <w:marRight w:val="0"/>
              <w:marTop w:val="0"/>
              <w:marBottom w:val="0"/>
              <w:divBdr>
                <w:top w:val="none" w:sz="0" w:space="0" w:color="auto"/>
                <w:left w:val="none" w:sz="0" w:space="0" w:color="auto"/>
                <w:bottom w:val="none" w:sz="0" w:space="0" w:color="auto"/>
                <w:right w:val="none" w:sz="0" w:space="0" w:color="auto"/>
              </w:divBdr>
            </w:div>
          </w:divsChild>
        </w:div>
        <w:div w:id="1023900361">
          <w:marLeft w:val="0"/>
          <w:marRight w:val="0"/>
          <w:marTop w:val="0"/>
          <w:marBottom w:val="0"/>
          <w:divBdr>
            <w:top w:val="none" w:sz="0" w:space="0" w:color="auto"/>
            <w:left w:val="none" w:sz="0" w:space="0" w:color="auto"/>
            <w:bottom w:val="none" w:sz="0" w:space="0" w:color="auto"/>
            <w:right w:val="none" w:sz="0" w:space="0" w:color="auto"/>
          </w:divBdr>
          <w:divsChild>
            <w:div w:id="1605768515">
              <w:marLeft w:val="0"/>
              <w:marRight w:val="0"/>
              <w:marTop w:val="0"/>
              <w:marBottom w:val="0"/>
              <w:divBdr>
                <w:top w:val="none" w:sz="0" w:space="0" w:color="auto"/>
                <w:left w:val="none" w:sz="0" w:space="0" w:color="auto"/>
                <w:bottom w:val="none" w:sz="0" w:space="0" w:color="auto"/>
                <w:right w:val="none" w:sz="0" w:space="0" w:color="auto"/>
              </w:divBdr>
            </w:div>
          </w:divsChild>
        </w:div>
        <w:div w:id="1024408315">
          <w:marLeft w:val="0"/>
          <w:marRight w:val="0"/>
          <w:marTop w:val="0"/>
          <w:marBottom w:val="0"/>
          <w:divBdr>
            <w:top w:val="none" w:sz="0" w:space="0" w:color="auto"/>
            <w:left w:val="none" w:sz="0" w:space="0" w:color="auto"/>
            <w:bottom w:val="none" w:sz="0" w:space="0" w:color="auto"/>
            <w:right w:val="none" w:sz="0" w:space="0" w:color="auto"/>
          </w:divBdr>
          <w:divsChild>
            <w:div w:id="677273275">
              <w:marLeft w:val="0"/>
              <w:marRight w:val="0"/>
              <w:marTop w:val="0"/>
              <w:marBottom w:val="0"/>
              <w:divBdr>
                <w:top w:val="none" w:sz="0" w:space="0" w:color="auto"/>
                <w:left w:val="none" w:sz="0" w:space="0" w:color="auto"/>
                <w:bottom w:val="none" w:sz="0" w:space="0" w:color="auto"/>
                <w:right w:val="none" w:sz="0" w:space="0" w:color="auto"/>
              </w:divBdr>
            </w:div>
          </w:divsChild>
        </w:div>
        <w:div w:id="1029067531">
          <w:marLeft w:val="0"/>
          <w:marRight w:val="0"/>
          <w:marTop w:val="0"/>
          <w:marBottom w:val="0"/>
          <w:divBdr>
            <w:top w:val="none" w:sz="0" w:space="0" w:color="auto"/>
            <w:left w:val="none" w:sz="0" w:space="0" w:color="auto"/>
            <w:bottom w:val="none" w:sz="0" w:space="0" w:color="auto"/>
            <w:right w:val="none" w:sz="0" w:space="0" w:color="auto"/>
          </w:divBdr>
          <w:divsChild>
            <w:div w:id="891380938">
              <w:marLeft w:val="0"/>
              <w:marRight w:val="0"/>
              <w:marTop w:val="0"/>
              <w:marBottom w:val="0"/>
              <w:divBdr>
                <w:top w:val="none" w:sz="0" w:space="0" w:color="auto"/>
                <w:left w:val="none" w:sz="0" w:space="0" w:color="auto"/>
                <w:bottom w:val="none" w:sz="0" w:space="0" w:color="auto"/>
                <w:right w:val="none" w:sz="0" w:space="0" w:color="auto"/>
              </w:divBdr>
            </w:div>
          </w:divsChild>
        </w:div>
        <w:div w:id="1032920457">
          <w:marLeft w:val="0"/>
          <w:marRight w:val="0"/>
          <w:marTop w:val="0"/>
          <w:marBottom w:val="0"/>
          <w:divBdr>
            <w:top w:val="none" w:sz="0" w:space="0" w:color="auto"/>
            <w:left w:val="none" w:sz="0" w:space="0" w:color="auto"/>
            <w:bottom w:val="none" w:sz="0" w:space="0" w:color="auto"/>
            <w:right w:val="none" w:sz="0" w:space="0" w:color="auto"/>
          </w:divBdr>
          <w:divsChild>
            <w:div w:id="1031296625">
              <w:marLeft w:val="0"/>
              <w:marRight w:val="0"/>
              <w:marTop w:val="0"/>
              <w:marBottom w:val="0"/>
              <w:divBdr>
                <w:top w:val="none" w:sz="0" w:space="0" w:color="auto"/>
                <w:left w:val="none" w:sz="0" w:space="0" w:color="auto"/>
                <w:bottom w:val="none" w:sz="0" w:space="0" w:color="auto"/>
                <w:right w:val="none" w:sz="0" w:space="0" w:color="auto"/>
              </w:divBdr>
            </w:div>
          </w:divsChild>
        </w:div>
        <w:div w:id="1034039828">
          <w:marLeft w:val="0"/>
          <w:marRight w:val="0"/>
          <w:marTop w:val="0"/>
          <w:marBottom w:val="0"/>
          <w:divBdr>
            <w:top w:val="none" w:sz="0" w:space="0" w:color="auto"/>
            <w:left w:val="none" w:sz="0" w:space="0" w:color="auto"/>
            <w:bottom w:val="none" w:sz="0" w:space="0" w:color="auto"/>
            <w:right w:val="none" w:sz="0" w:space="0" w:color="auto"/>
          </w:divBdr>
          <w:divsChild>
            <w:div w:id="215317347">
              <w:marLeft w:val="0"/>
              <w:marRight w:val="0"/>
              <w:marTop w:val="0"/>
              <w:marBottom w:val="0"/>
              <w:divBdr>
                <w:top w:val="none" w:sz="0" w:space="0" w:color="auto"/>
                <w:left w:val="none" w:sz="0" w:space="0" w:color="auto"/>
                <w:bottom w:val="none" w:sz="0" w:space="0" w:color="auto"/>
                <w:right w:val="none" w:sz="0" w:space="0" w:color="auto"/>
              </w:divBdr>
            </w:div>
          </w:divsChild>
        </w:div>
        <w:div w:id="1037856082">
          <w:marLeft w:val="0"/>
          <w:marRight w:val="0"/>
          <w:marTop w:val="0"/>
          <w:marBottom w:val="0"/>
          <w:divBdr>
            <w:top w:val="none" w:sz="0" w:space="0" w:color="auto"/>
            <w:left w:val="none" w:sz="0" w:space="0" w:color="auto"/>
            <w:bottom w:val="none" w:sz="0" w:space="0" w:color="auto"/>
            <w:right w:val="none" w:sz="0" w:space="0" w:color="auto"/>
          </w:divBdr>
          <w:divsChild>
            <w:div w:id="1619096249">
              <w:marLeft w:val="0"/>
              <w:marRight w:val="0"/>
              <w:marTop w:val="0"/>
              <w:marBottom w:val="0"/>
              <w:divBdr>
                <w:top w:val="none" w:sz="0" w:space="0" w:color="auto"/>
                <w:left w:val="none" w:sz="0" w:space="0" w:color="auto"/>
                <w:bottom w:val="none" w:sz="0" w:space="0" w:color="auto"/>
                <w:right w:val="none" w:sz="0" w:space="0" w:color="auto"/>
              </w:divBdr>
            </w:div>
          </w:divsChild>
        </w:div>
        <w:div w:id="1040278919">
          <w:marLeft w:val="0"/>
          <w:marRight w:val="0"/>
          <w:marTop w:val="0"/>
          <w:marBottom w:val="0"/>
          <w:divBdr>
            <w:top w:val="none" w:sz="0" w:space="0" w:color="auto"/>
            <w:left w:val="none" w:sz="0" w:space="0" w:color="auto"/>
            <w:bottom w:val="none" w:sz="0" w:space="0" w:color="auto"/>
            <w:right w:val="none" w:sz="0" w:space="0" w:color="auto"/>
          </w:divBdr>
          <w:divsChild>
            <w:div w:id="726300542">
              <w:marLeft w:val="0"/>
              <w:marRight w:val="0"/>
              <w:marTop w:val="0"/>
              <w:marBottom w:val="0"/>
              <w:divBdr>
                <w:top w:val="none" w:sz="0" w:space="0" w:color="auto"/>
                <w:left w:val="none" w:sz="0" w:space="0" w:color="auto"/>
                <w:bottom w:val="none" w:sz="0" w:space="0" w:color="auto"/>
                <w:right w:val="none" w:sz="0" w:space="0" w:color="auto"/>
              </w:divBdr>
            </w:div>
          </w:divsChild>
        </w:div>
        <w:div w:id="1041979261">
          <w:marLeft w:val="0"/>
          <w:marRight w:val="0"/>
          <w:marTop w:val="0"/>
          <w:marBottom w:val="0"/>
          <w:divBdr>
            <w:top w:val="none" w:sz="0" w:space="0" w:color="auto"/>
            <w:left w:val="none" w:sz="0" w:space="0" w:color="auto"/>
            <w:bottom w:val="none" w:sz="0" w:space="0" w:color="auto"/>
            <w:right w:val="none" w:sz="0" w:space="0" w:color="auto"/>
          </w:divBdr>
          <w:divsChild>
            <w:div w:id="1189568874">
              <w:marLeft w:val="0"/>
              <w:marRight w:val="0"/>
              <w:marTop w:val="0"/>
              <w:marBottom w:val="0"/>
              <w:divBdr>
                <w:top w:val="none" w:sz="0" w:space="0" w:color="auto"/>
                <w:left w:val="none" w:sz="0" w:space="0" w:color="auto"/>
                <w:bottom w:val="none" w:sz="0" w:space="0" w:color="auto"/>
                <w:right w:val="none" w:sz="0" w:space="0" w:color="auto"/>
              </w:divBdr>
            </w:div>
          </w:divsChild>
        </w:div>
        <w:div w:id="1042677933">
          <w:marLeft w:val="0"/>
          <w:marRight w:val="0"/>
          <w:marTop w:val="0"/>
          <w:marBottom w:val="0"/>
          <w:divBdr>
            <w:top w:val="none" w:sz="0" w:space="0" w:color="auto"/>
            <w:left w:val="none" w:sz="0" w:space="0" w:color="auto"/>
            <w:bottom w:val="none" w:sz="0" w:space="0" w:color="auto"/>
            <w:right w:val="none" w:sz="0" w:space="0" w:color="auto"/>
          </w:divBdr>
          <w:divsChild>
            <w:div w:id="1187986441">
              <w:marLeft w:val="0"/>
              <w:marRight w:val="0"/>
              <w:marTop w:val="0"/>
              <w:marBottom w:val="0"/>
              <w:divBdr>
                <w:top w:val="none" w:sz="0" w:space="0" w:color="auto"/>
                <w:left w:val="none" w:sz="0" w:space="0" w:color="auto"/>
                <w:bottom w:val="none" w:sz="0" w:space="0" w:color="auto"/>
                <w:right w:val="none" w:sz="0" w:space="0" w:color="auto"/>
              </w:divBdr>
            </w:div>
          </w:divsChild>
        </w:div>
        <w:div w:id="1043990593">
          <w:marLeft w:val="0"/>
          <w:marRight w:val="0"/>
          <w:marTop w:val="0"/>
          <w:marBottom w:val="0"/>
          <w:divBdr>
            <w:top w:val="none" w:sz="0" w:space="0" w:color="auto"/>
            <w:left w:val="none" w:sz="0" w:space="0" w:color="auto"/>
            <w:bottom w:val="none" w:sz="0" w:space="0" w:color="auto"/>
            <w:right w:val="none" w:sz="0" w:space="0" w:color="auto"/>
          </w:divBdr>
          <w:divsChild>
            <w:div w:id="778640224">
              <w:marLeft w:val="0"/>
              <w:marRight w:val="0"/>
              <w:marTop w:val="0"/>
              <w:marBottom w:val="0"/>
              <w:divBdr>
                <w:top w:val="none" w:sz="0" w:space="0" w:color="auto"/>
                <w:left w:val="none" w:sz="0" w:space="0" w:color="auto"/>
                <w:bottom w:val="none" w:sz="0" w:space="0" w:color="auto"/>
                <w:right w:val="none" w:sz="0" w:space="0" w:color="auto"/>
              </w:divBdr>
            </w:div>
          </w:divsChild>
        </w:div>
        <w:div w:id="1045327162">
          <w:marLeft w:val="0"/>
          <w:marRight w:val="0"/>
          <w:marTop w:val="0"/>
          <w:marBottom w:val="0"/>
          <w:divBdr>
            <w:top w:val="none" w:sz="0" w:space="0" w:color="auto"/>
            <w:left w:val="none" w:sz="0" w:space="0" w:color="auto"/>
            <w:bottom w:val="none" w:sz="0" w:space="0" w:color="auto"/>
            <w:right w:val="none" w:sz="0" w:space="0" w:color="auto"/>
          </w:divBdr>
          <w:divsChild>
            <w:div w:id="1774671256">
              <w:marLeft w:val="0"/>
              <w:marRight w:val="0"/>
              <w:marTop w:val="0"/>
              <w:marBottom w:val="0"/>
              <w:divBdr>
                <w:top w:val="none" w:sz="0" w:space="0" w:color="auto"/>
                <w:left w:val="none" w:sz="0" w:space="0" w:color="auto"/>
                <w:bottom w:val="none" w:sz="0" w:space="0" w:color="auto"/>
                <w:right w:val="none" w:sz="0" w:space="0" w:color="auto"/>
              </w:divBdr>
            </w:div>
          </w:divsChild>
        </w:div>
        <w:div w:id="1046831595">
          <w:marLeft w:val="0"/>
          <w:marRight w:val="0"/>
          <w:marTop w:val="0"/>
          <w:marBottom w:val="0"/>
          <w:divBdr>
            <w:top w:val="none" w:sz="0" w:space="0" w:color="auto"/>
            <w:left w:val="none" w:sz="0" w:space="0" w:color="auto"/>
            <w:bottom w:val="none" w:sz="0" w:space="0" w:color="auto"/>
            <w:right w:val="none" w:sz="0" w:space="0" w:color="auto"/>
          </w:divBdr>
          <w:divsChild>
            <w:div w:id="20059970">
              <w:marLeft w:val="0"/>
              <w:marRight w:val="0"/>
              <w:marTop w:val="0"/>
              <w:marBottom w:val="0"/>
              <w:divBdr>
                <w:top w:val="none" w:sz="0" w:space="0" w:color="auto"/>
                <w:left w:val="none" w:sz="0" w:space="0" w:color="auto"/>
                <w:bottom w:val="none" w:sz="0" w:space="0" w:color="auto"/>
                <w:right w:val="none" w:sz="0" w:space="0" w:color="auto"/>
              </w:divBdr>
            </w:div>
          </w:divsChild>
        </w:div>
        <w:div w:id="1048450725">
          <w:marLeft w:val="0"/>
          <w:marRight w:val="0"/>
          <w:marTop w:val="0"/>
          <w:marBottom w:val="0"/>
          <w:divBdr>
            <w:top w:val="none" w:sz="0" w:space="0" w:color="auto"/>
            <w:left w:val="none" w:sz="0" w:space="0" w:color="auto"/>
            <w:bottom w:val="none" w:sz="0" w:space="0" w:color="auto"/>
            <w:right w:val="none" w:sz="0" w:space="0" w:color="auto"/>
          </w:divBdr>
          <w:divsChild>
            <w:div w:id="1595166600">
              <w:marLeft w:val="0"/>
              <w:marRight w:val="0"/>
              <w:marTop w:val="0"/>
              <w:marBottom w:val="0"/>
              <w:divBdr>
                <w:top w:val="none" w:sz="0" w:space="0" w:color="auto"/>
                <w:left w:val="none" w:sz="0" w:space="0" w:color="auto"/>
                <w:bottom w:val="none" w:sz="0" w:space="0" w:color="auto"/>
                <w:right w:val="none" w:sz="0" w:space="0" w:color="auto"/>
              </w:divBdr>
            </w:div>
          </w:divsChild>
        </w:div>
        <w:div w:id="1048525943">
          <w:marLeft w:val="0"/>
          <w:marRight w:val="0"/>
          <w:marTop w:val="0"/>
          <w:marBottom w:val="0"/>
          <w:divBdr>
            <w:top w:val="none" w:sz="0" w:space="0" w:color="auto"/>
            <w:left w:val="none" w:sz="0" w:space="0" w:color="auto"/>
            <w:bottom w:val="none" w:sz="0" w:space="0" w:color="auto"/>
            <w:right w:val="none" w:sz="0" w:space="0" w:color="auto"/>
          </w:divBdr>
          <w:divsChild>
            <w:div w:id="1127315196">
              <w:marLeft w:val="0"/>
              <w:marRight w:val="0"/>
              <w:marTop w:val="0"/>
              <w:marBottom w:val="0"/>
              <w:divBdr>
                <w:top w:val="none" w:sz="0" w:space="0" w:color="auto"/>
                <w:left w:val="none" w:sz="0" w:space="0" w:color="auto"/>
                <w:bottom w:val="none" w:sz="0" w:space="0" w:color="auto"/>
                <w:right w:val="none" w:sz="0" w:space="0" w:color="auto"/>
              </w:divBdr>
            </w:div>
          </w:divsChild>
        </w:div>
        <w:div w:id="1049302450">
          <w:marLeft w:val="0"/>
          <w:marRight w:val="0"/>
          <w:marTop w:val="0"/>
          <w:marBottom w:val="0"/>
          <w:divBdr>
            <w:top w:val="none" w:sz="0" w:space="0" w:color="auto"/>
            <w:left w:val="none" w:sz="0" w:space="0" w:color="auto"/>
            <w:bottom w:val="none" w:sz="0" w:space="0" w:color="auto"/>
            <w:right w:val="none" w:sz="0" w:space="0" w:color="auto"/>
          </w:divBdr>
          <w:divsChild>
            <w:div w:id="1335450835">
              <w:marLeft w:val="0"/>
              <w:marRight w:val="0"/>
              <w:marTop w:val="0"/>
              <w:marBottom w:val="0"/>
              <w:divBdr>
                <w:top w:val="none" w:sz="0" w:space="0" w:color="auto"/>
                <w:left w:val="none" w:sz="0" w:space="0" w:color="auto"/>
                <w:bottom w:val="none" w:sz="0" w:space="0" w:color="auto"/>
                <w:right w:val="none" w:sz="0" w:space="0" w:color="auto"/>
              </w:divBdr>
            </w:div>
          </w:divsChild>
        </w:div>
        <w:div w:id="1049843345">
          <w:marLeft w:val="0"/>
          <w:marRight w:val="0"/>
          <w:marTop w:val="0"/>
          <w:marBottom w:val="0"/>
          <w:divBdr>
            <w:top w:val="none" w:sz="0" w:space="0" w:color="auto"/>
            <w:left w:val="none" w:sz="0" w:space="0" w:color="auto"/>
            <w:bottom w:val="none" w:sz="0" w:space="0" w:color="auto"/>
            <w:right w:val="none" w:sz="0" w:space="0" w:color="auto"/>
          </w:divBdr>
          <w:divsChild>
            <w:div w:id="358699709">
              <w:marLeft w:val="0"/>
              <w:marRight w:val="0"/>
              <w:marTop w:val="0"/>
              <w:marBottom w:val="0"/>
              <w:divBdr>
                <w:top w:val="none" w:sz="0" w:space="0" w:color="auto"/>
                <w:left w:val="none" w:sz="0" w:space="0" w:color="auto"/>
                <w:bottom w:val="none" w:sz="0" w:space="0" w:color="auto"/>
                <w:right w:val="none" w:sz="0" w:space="0" w:color="auto"/>
              </w:divBdr>
            </w:div>
          </w:divsChild>
        </w:div>
        <w:div w:id="1050378116">
          <w:marLeft w:val="0"/>
          <w:marRight w:val="0"/>
          <w:marTop w:val="0"/>
          <w:marBottom w:val="0"/>
          <w:divBdr>
            <w:top w:val="none" w:sz="0" w:space="0" w:color="auto"/>
            <w:left w:val="none" w:sz="0" w:space="0" w:color="auto"/>
            <w:bottom w:val="none" w:sz="0" w:space="0" w:color="auto"/>
            <w:right w:val="none" w:sz="0" w:space="0" w:color="auto"/>
          </w:divBdr>
          <w:divsChild>
            <w:div w:id="1463382362">
              <w:marLeft w:val="0"/>
              <w:marRight w:val="0"/>
              <w:marTop w:val="0"/>
              <w:marBottom w:val="0"/>
              <w:divBdr>
                <w:top w:val="none" w:sz="0" w:space="0" w:color="auto"/>
                <w:left w:val="none" w:sz="0" w:space="0" w:color="auto"/>
                <w:bottom w:val="none" w:sz="0" w:space="0" w:color="auto"/>
                <w:right w:val="none" w:sz="0" w:space="0" w:color="auto"/>
              </w:divBdr>
            </w:div>
          </w:divsChild>
        </w:div>
        <w:div w:id="1050615543">
          <w:marLeft w:val="0"/>
          <w:marRight w:val="0"/>
          <w:marTop w:val="0"/>
          <w:marBottom w:val="0"/>
          <w:divBdr>
            <w:top w:val="none" w:sz="0" w:space="0" w:color="auto"/>
            <w:left w:val="none" w:sz="0" w:space="0" w:color="auto"/>
            <w:bottom w:val="none" w:sz="0" w:space="0" w:color="auto"/>
            <w:right w:val="none" w:sz="0" w:space="0" w:color="auto"/>
          </w:divBdr>
          <w:divsChild>
            <w:div w:id="217136484">
              <w:marLeft w:val="0"/>
              <w:marRight w:val="0"/>
              <w:marTop w:val="0"/>
              <w:marBottom w:val="0"/>
              <w:divBdr>
                <w:top w:val="none" w:sz="0" w:space="0" w:color="auto"/>
                <w:left w:val="none" w:sz="0" w:space="0" w:color="auto"/>
                <w:bottom w:val="none" w:sz="0" w:space="0" w:color="auto"/>
                <w:right w:val="none" w:sz="0" w:space="0" w:color="auto"/>
              </w:divBdr>
            </w:div>
          </w:divsChild>
        </w:div>
        <w:div w:id="1052509440">
          <w:marLeft w:val="0"/>
          <w:marRight w:val="0"/>
          <w:marTop w:val="0"/>
          <w:marBottom w:val="0"/>
          <w:divBdr>
            <w:top w:val="none" w:sz="0" w:space="0" w:color="auto"/>
            <w:left w:val="none" w:sz="0" w:space="0" w:color="auto"/>
            <w:bottom w:val="none" w:sz="0" w:space="0" w:color="auto"/>
            <w:right w:val="none" w:sz="0" w:space="0" w:color="auto"/>
          </w:divBdr>
          <w:divsChild>
            <w:div w:id="202602489">
              <w:marLeft w:val="0"/>
              <w:marRight w:val="0"/>
              <w:marTop w:val="0"/>
              <w:marBottom w:val="0"/>
              <w:divBdr>
                <w:top w:val="none" w:sz="0" w:space="0" w:color="auto"/>
                <w:left w:val="none" w:sz="0" w:space="0" w:color="auto"/>
                <w:bottom w:val="none" w:sz="0" w:space="0" w:color="auto"/>
                <w:right w:val="none" w:sz="0" w:space="0" w:color="auto"/>
              </w:divBdr>
            </w:div>
          </w:divsChild>
        </w:div>
        <w:div w:id="1055275227">
          <w:marLeft w:val="0"/>
          <w:marRight w:val="0"/>
          <w:marTop w:val="0"/>
          <w:marBottom w:val="0"/>
          <w:divBdr>
            <w:top w:val="none" w:sz="0" w:space="0" w:color="auto"/>
            <w:left w:val="none" w:sz="0" w:space="0" w:color="auto"/>
            <w:bottom w:val="none" w:sz="0" w:space="0" w:color="auto"/>
            <w:right w:val="none" w:sz="0" w:space="0" w:color="auto"/>
          </w:divBdr>
          <w:divsChild>
            <w:div w:id="544803158">
              <w:marLeft w:val="0"/>
              <w:marRight w:val="0"/>
              <w:marTop w:val="0"/>
              <w:marBottom w:val="0"/>
              <w:divBdr>
                <w:top w:val="none" w:sz="0" w:space="0" w:color="auto"/>
                <w:left w:val="none" w:sz="0" w:space="0" w:color="auto"/>
                <w:bottom w:val="none" w:sz="0" w:space="0" w:color="auto"/>
                <w:right w:val="none" w:sz="0" w:space="0" w:color="auto"/>
              </w:divBdr>
            </w:div>
          </w:divsChild>
        </w:div>
        <w:div w:id="1056854459">
          <w:marLeft w:val="0"/>
          <w:marRight w:val="0"/>
          <w:marTop w:val="0"/>
          <w:marBottom w:val="0"/>
          <w:divBdr>
            <w:top w:val="none" w:sz="0" w:space="0" w:color="auto"/>
            <w:left w:val="none" w:sz="0" w:space="0" w:color="auto"/>
            <w:bottom w:val="none" w:sz="0" w:space="0" w:color="auto"/>
            <w:right w:val="none" w:sz="0" w:space="0" w:color="auto"/>
          </w:divBdr>
          <w:divsChild>
            <w:div w:id="1233278200">
              <w:marLeft w:val="0"/>
              <w:marRight w:val="0"/>
              <w:marTop w:val="0"/>
              <w:marBottom w:val="0"/>
              <w:divBdr>
                <w:top w:val="none" w:sz="0" w:space="0" w:color="auto"/>
                <w:left w:val="none" w:sz="0" w:space="0" w:color="auto"/>
                <w:bottom w:val="none" w:sz="0" w:space="0" w:color="auto"/>
                <w:right w:val="none" w:sz="0" w:space="0" w:color="auto"/>
              </w:divBdr>
            </w:div>
          </w:divsChild>
        </w:div>
        <w:div w:id="1057584795">
          <w:marLeft w:val="0"/>
          <w:marRight w:val="0"/>
          <w:marTop w:val="0"/>
          <w:marBottom w:val="0"/>
          <w:divBdr>
            <w:top w:val="none" w:sz="0" w:space="0" w:color="auto"/>
            <w:left w:val="none" w:sz="0" w:space="0" w:color="auto"/>
            <w:bottom w:val="none" w:sz="0" w:space="0" w:color="auto"/>
            <w:right w:val="none" w:sz="0" w:space="0" w:color="auto"/>
          </w:divBdr>
          <w:divsChild>
            <w:div w:id="1877039389">
              <w:marLeft w:val="0"/>
              <w:marRight w:val="0"/>
              <w:marTop w:val="0"/>
              <w:marBottom w:val="0"/>
              <w:divBdr>
                <w:top w:val="none" w:sz="0" w:space="0" w:color="auto"/>
                <w:left w:val="none" w:sz="0" w:space="0" w:color="auto"/>
                <w:bottom w:val="none" w:sz="0" w:space="0" w:color="auto"/>
                <w:right w:val="none" w:sz="0" w:space="0" w:color="auto"/>
              </w:divBdr>
            </w:div>
          </w:divsChild>
        </w:div>
        <w:div w:id="1059787777">
          <w:marLeft w:val="0"/>
          <w:marRight w:val="0"/>
          <w:marTop w:val="0"/>
          <w:marBottom w:val="0"/>
          <w:divBdr>
            <w:top w:val="none" w:sz="0" w:space="0" w:color="auto"/>
            <w:left w:val="none" w:sz="0" w:space="0" w:color="auto"/>
            <w:bottom w:val="none" w:sz="0" w:space="0" w:color="auto"/>
            <w:right w:val="none" w:sz="0" w:space="0" w:color="auto"/>
          </w:divBdr>
          <w:divsChild>
            <w:div w:id="939678041">
              <w:marLeft w:val="0"/>
              <w:marRight w:val="0"/>
              <w:marTop w:val="0"/>
              <w:marBottom w:val="0"/>
              <w:divBdr>
                <w:top w:val="none" w:sz="0" w:space="0" w:color="auto"/>
                <w:left w:val="none" w:sz="0" w:space="0" w:color="auto"/>
                <w:bottom w:val="none" w:sz="0" w:space="0" w:color="auto"/>
                <w:right w:val="none" w:sz="0" w:space="0" w:color="auto"/>
              </w:divBdr>
            </w:div>
          </w:divsChild>
        </w:div>
        <w:div w:id="1060906751">
          <w:marLeft w:val="0"/>
          <w:marRight w:val="0"/>
          <w:marTop w:val="0"/>
          <w:marBottom w:val="0"/>
          <w:divBdr>
            <w:top w:val="none" w:sz="0" w:space="0" w:color="auto"/>
            <w:left w:val="none" w:sz="0" w:space="0" w:color="auto"/>
            <w:bottom w:val="none" w:sz="0" w:space="0" w:color="auto"/>
            <w:right w:val="none" w:sz="0" w:space="0" w:color="auto"/>
          </w:divBdr>
          <w:divsChild>
            <w:div w:id="1985694216">
              <w:marLeft w:val="0"/>
              <w:marRight w:val="0"/>
              <w:marTop w:val="0"/>
              <w:marBottom w:val="0"/>
              <w:divBdr>
                <w:top w:val="none" w:sz="0" w:space="0" w:color="auto"/>
                <w:left w:val="none" w:sz="0" w:space="0" w:color="auto"/>
                <w:bottom w:val="none" w:sz="0" w:space="0" w:color="auto"/>
                <w:right w:val="none" w:sz="0" w:space="0" w:color="auto"/>
              </w:divBdr>
            </w:div>
          </w:divsChild>
        </w:div>
        <w:div w:id="1063018768">
          <w:marLeft w:val="0"/>
          <w:marRight w:val="0"/>
          <w:marTop w:val="0"/>
          <w:marBottom w:val="0"/>
          <w:divBdr>
            <w:top w:val="none" w:sz="0" w:space="0" w:color="auto"/>
            <w:left w:val="none" w:sz="0" w:space="0" w:color="auto"/>
            <w:bottom w:val="none" w:sz="0" w:space="0" w:color="auto"/>
            <w:right w:val="none" w:sz="0" w:space="0" w:color="auto"/>
          </w:divBdr>
          <w:divsChild>
            <w:div w:id="843125393">
              <w:marLeft w:val="0"/>
              <w:marRight w:val="0"/>
              <w:marTop w:val="0"/>
              <w:marBottom w:val="0"/>
              <w:divBdr>
                <w:top w:val="none" w:sz="0" w:space="0" w:color="auto"/>
                <w:left w:val="none" w:sz="0" w:space="0" w:color="auto"/>
                <w:bottom w:val="none" w:sz="0" w:space="0" w:color="auto"/>
                <w:right w:val="none" w:sz="0" w:space="0" w:color="auto"/>
              </w:divBdr>
            </w:div>
          </w:divsChild>
        </w:div>
        <w:div w:id="1064913934">
          <w:marLeft w:val="0"/>
          <w:marRight w:val="0"/>
          <w:marTop w:val="0"/>
          <w:marBottom w:val="0"/>
          <w:divBdr>
            <w:top w:val="none" w:sz="0" w:space="0" w:color="auto"/>
            <w:left w:val="none" w:sz="0" w:space="0" w:color="auto"/>
            <w:bottom w:val="none" w:sz="0" w:space="0" w:color="auto"/>
            <w:right w:val="none" w:sz="0" w:space="0" w:color="auto"/>
          </w:divBdr>
          <w:divsChild>
            <w:div w:id="1939436517">
              <w:marLeft w:val="0"/>
              <w:marRight w:val="0"/>
              <w:marTop w:val="0"/>
              <w:marBottom w:val="0"/>
              <w:divBdr>
                <w:top w:val="none" w:sz="0" w:space="0" w:color="auto"/>
                <w:left w:val="none" w:sz="0" w:space="0" w:color="auto"/>
                <w:bottom w:val="none" w:sz="0" w:space="0" w:color="auto"/>
                <w:right w:val="none" w:sz="0" w:space="0" w:color="auto"/>
              </w:divBdr>
            </w:div>
          </w:divsChild>
        </w:div>
        <w:div w:id="1072390222">
          <w:marLeft w:val="0"/>
          <w:marRight w:val="0"/>
          <w:marTop w:val="0"/>
          <w:marBottom w:val="0"/>
          <w:divBdr>
            <w:top w:val="none" w:sz="0" w:space="0" w:color="auto"/>
            <w:left w:val="none" w:sz="0" w:space="0" w:color="auto"/>
            <w:bottom w:val="none" w:sz="0" w:space="0" w:color="auto"/>
            <w:right w:val="none" w:sz="0" w:space="0" w:color="auto"/>
          </w:divBdr>
          <w:divsChild>
            <w:div w:id="489563277">
              <w:marLeft w:val="0"/>
              <w:marRight w:val="0"/>
              <w:marTop w:val="0"/>
              <w:marBottom w:val="0"/>
              <w:divBdr>
                <w:top w:val="none" w:sz="0" w:space="0" w:color="auto"/>
                <w:left w:val="none" w:sz="0" w:space="0" w:color="auto"/>
                <w:bottom w:val="none" w:sz="0" w:space="0" w:color="auto"/>
                <w:right w:val="none" w:sz="0" w:space="0" w:color="auto"/>
              </w:divBdr>
            </w:div>
          </w:divsChild>
        </w:div>
        <w:div w:id="1072697483">
          <w:marLeft w:val="0"/>
          <w:marRight w:val="0"/>
          <w:marTop w:val="0"/>
          <w:marBottom w:val="0"/>
          <w:divBdr>
            <w:top w:val="none" w:sz="0" w:space="0" w:color="auto"/>
            <w:left w:val="none" w:sz="0" w:space="0" w:color="auto"/>
            <w:bottom w:val="none" w:sz="0" w:space="0" w:color="auto"/>
            <w:right w:val="none" w:sz="0" w:space="0" w:color="auto"/>
          </w:divBdr>
          <w:divsChild>
            <w:div w:id="1519271405">
              <w:marLeft w:val="0"/>
              <w:marRight w:val="0"/>
              <w:marTop w:val="0"/>
              <w:marBottom w:val="0"/>
              <w:divBdr>
                <w:top w:val="none" w:sz="0" w:space="0" w:color="auto"/>
                <w:left w:val="none" w:sz="0" w:space="0" w:color="auto"/>
                <w:bottom w:val="none" w:sz="0" w:space="0" w:color="auto"/>
                <w:right w:val="none" w:sz="0" w:space="0" w:color="auto"/>
              </w:divBdr>
            </w:div>
          </w:divsChild>
        </w:div>
        <w:div w:id="1073162062">
          <w:marLeft w:val="0"/>
          <w:marRight w:val="0"/>
          <w:marTop w:val="0"/>
          <w:marBottom w:val="0"/>
          <w:divBdr>
            <w:top w:val="none" w:sz="0" w:space="0" w:color="auto"/>
            <w:left w:val="none" w:sz="0" w:space="0" w:color="auto"/>
            <w:bottom w:val="none" w:sz="0" w:space="0" w:color="auto"/>
            <w:right w:val="none" w:sz="0" w:space="0" w:color="auto"/>
          </w:divBdr>
          <w:divsChild>
            <w:div w:id="966356197">
              <w:marLeft w:val="0"/>
              <w:marRight w:val="0"/>
              <w:marTop w:val="0"/>
              <w:marBottom w:val="0"/>
              <w:divBdr>
                <w:top w:val="none" w:sz="0" w:space="0" w:color="auto"/>
                <w:left w:val="none" w:sz="0" w:space="0" w:color="auto"/>
                <w:bottom w:val="none" w:sz="0" w:space="0" w:color="auto"/>
                <w:right w:val="none" w:sz="0" w:space="0" w:color="auto"/>
              </w:divBdr>
            </w:div>
          </w:divsChild>
        </w:div>
        <w:div w:id="1074932979">
          <w:marLeft w:val="0"/>
          <w:marRight w:val="0"/>
          <w:marTop w:val="0"/>
          <w:marBottom w:val="0"/>
          <w:divBdr>
            <w:top w:val="none" w:sz="0" w:space="0" w:color="auto"/>
            <w:left w:val="none" w:sz="0" w:space="0" w:color="auto"/>
            <w:bottom w:val="none" w:sz="0" w:space="0" w:color="auto"/>
            <w:right w:val="none" w:sz="0" w:space="0" w:color="auto"/>
          </w:divBdr>
          <w:divsChild>
            <w:div w:id="237911192">
              <w:marLeft w:val="0"/>
              <w:marRight w:val="0"/>
              <w:marTop w:val="0"/>
              <w:marBottom w:val="0"/>
              <w:divBdr>
                <w:top w:val="none" w:sz="0" w:space="0" w:color="auto"/>
                <w:left w:val="none" w:sz="0" w:space="0" w:color="auto"/>
                <w:bottom w:val="none" w:sz="0" w:space="0" w:color="auto"/>
                <w:right w:val="none" w:sz="0" w:space="0" w:color="auto"/>
              </w:divBdr>
            </w:div>
          </w:divsChild>
        </w:div>
        <w:div w:id="1075904625">
          <w:marLeft w:val="0"/>
          <w:marRight w:val="0"/>
          <w:marTop w:val="0"/>
          <w:marBottom w:val="0"/>
          <w:divBdr>
            <w:top w:val="none" w:sz="0" w:space="0" w:color="auto"/>
            <w:left w:val="none" w:sz="0" w:space="0" w:color="auto"/>
            <w:bottom w:val="none" w:sz="0" w:space="0" w:color="auto"/>
            <w:right w:val="none" w:sz="0" w:space="0" w:color="auto"/>
          </w:divBdr>
          <w:divsChild>
            <w:div w:id="1175875553">
              <w:marLeft w:val="0"/>
              <w:marRight w:val="0"/>
              <w:marTop w:val="0"/>
              <w:marBottom w:val="0"/>
              <w:divBdr>
                <w:top w:val="none" w:sz="0" w:space="0" w:color="auto"/>
                <w:left w:val="none" w:sz="0" w:space="0" w:color="auto"/>
                <w:bottom w:val="none" w:sz="0" w:space="0" w:color="auto"/>
                <w:right w:val="none" w:sz="0" w:space="0" w:color="auto"/>
              </w:divBdr>
            </w:div>
          </w:divsChild>
        </w:div>
        <w:div w:id="1079791249">
          <w:marLeft w:val="0"/>
          <w:marRight w:val="0"/>
          <w:marTop w:val="0"/>
          <w:marBottom w:val="0"/>
          <w:divBdr>
            <w:top w:val="none" w:sz="0" w:space="0" w:color="auto"/>
            <w:left w:val="none" w:sz="0" w:space="0" w:color="auto"/>
            <w:bottom w:val="none" w:sz="0" w:space="0" w:color="auto"/>
            <w:right w:val="none" w:sz="0" w:space="0" w:color="auto"/>
          </w:divBdr>
          <w:divsChild>
            <w:div w:id="1658192681">
              <w:marLeft w:val="0"/>
              <w:marRight w:val="0"/>
              <w:marTop w:val="0"/>
              <w:marBottom w:val="0"/>
              <w:divBdr>
                <w:top w:val="none" w:sz="0" w:space="0" w:color="auto"/>
                <w:left w:val="none" w:sz="0" w:space="0" w:color="auto"/>
                <w:bottom w:val="none" w:sz="0" w:space="0" w:color="auto"/>
                <w:right w:val="none" w:sz="0" w:space="0" w:color="auto"/>
              </w:divBdr>
            </w:div>
          </w:divsChild>
        </w:div>
        <w:div w:id="1081097448">
          <w:marLeft w:val="0"/>
          <w:marRight w:val="0"/>
          <w:marTop w:val="0"/>
          <w:marBottom w:val="0"/>
          <w:divBdr>
            <w:top w:val="none" w:sz="0" w:space="0" w:color="auto"/>
            <w:left w:val="none" w:sz="0" w:space="0" w:color="auto"/>
            <w:bottom w:val="none" w:sz="0" w:space="0" w:color="auto"/>
            <w:right w:val="none" w:sz="0" w:space="0" w:color="auto"/>
          </w:divBdr>
          <w:divsChild>
            <w:div w:id="1737044620">
              <w:marLeft w:val="0"/>
              <w:marRight w:val="0"/>
              <w:marTop w:val="0"/>
              <w:marBottom w:val="0"/>
              <w:divBdr>
                <w:top w:val="none" w:sz="0" w:space="0" w:color="auto"/>
                <w:left w:val="none" w:sz="0" w:space="0" w:color="auto"/>
                <w:bottom w:val="none" w:sz="0" w:space="0" w:color="auto"/>
                <w:right w:val="none" w:sz="0" w:space="0" w:color="auto"/>
              </w:divBdr>
            </w:div>
          </w:divsChild>
        </w:div>
        <w:div w:id="1081291436">
          <w:marLeft w:val="0"/>
          <w:marRight w:val="0"/>
          <w:marTop w:val="0"/>
          <w:marBottom w:val="0"/>
          <w:divBdr>
            <w:top w:val="none" w:sz="0" w:space="0" w:color="auto"/>
            <w:left w:val="none" w:sz="0" w:space="0" w:color="auto"/>
            <w:bottom w:val="none" w:sz="0" w:space="0" w:color="auto"/>
            <w:right w:val="none" w:sz="0" w:space="0" w:color="auto"/>
          </w:divBdr>
          <w:divsChild>
            <w:div w:id="702629651">
              <w:marLeft w:val="0"/>
              <w:marRight w:val="0"/>
              <w:marTop w:val="0"/>
              <w:marBottom w:val="0"/>
              <w:divBdr>
                <w:top w:val="none" w:sz="0" w:space="0" w:color="auto"/>
                <w:left w:val="none" w:sz="0" w:space="0" w:color="auto"/>
                <w:bottom w:val="none" w:sz="0" w:space="0" w:color="auto"/>
                <w:right w:val="none" w:sz="0" w:space="0" w:color="auto"/>
              </w:divBdr>
            </w:div>
          </w:divsChild>
        </w:div>
        <w:div w:id="1081827861">
          <w:marLeft w:val="0"/>
          <w:marRight w:val="0"/>
          <w:marTop w:val="0"/>
          <w:marBottom w:val="0"/>
          <w:divBdr>
            <w:top w:val="none" w:sz="0" w:space="0" w:color="auto"/>
            <w:left w:val="none" w:sz="0" w:space="0" w:color="auto"/>
            <w:bottom w:val="none" w:sz="0" w:space="0" w:color="auto"/>
            <w:right w:val="none" w:sz="0" w:space="0" w:color="auto"/>
          </w:divBdr>
          <w:divsChild>
            <w:div w:id="1130199163">
              <w:marLeft w:val="0"/>
              <w:marRight w:val="0"/>
              <w:marTop w:val="0"/>
              <w:marBottom w:val="0"/>
              <w:divBdr>
                <w:top w:val="none" w:sz="0" w:space="0" w:color="auto"/>
                <w:left w:val="none" w:sz="0" w:space="0" w:color="auto"/>
                <w:bottom w:val="none" w:sz="0" w:space="0" w:color="auto"/>
                <w:right w:val="none" w:sz="0" w:space="0" w:color="auto"/>
              </w:divBdr>
            </w:div>
          </w:divsChild>
        </w:div>
        <w:div w:id="1086272291">
          <w:marLeft w:val="0"/>
          <w:marRight w:val="0"/>
          <w:marTop w:val="0"/>
          <w:marBottom w:val="0"/>
          <w:divBdr>
            <w:top w:val="none" w:sz="0" w:space="0" w:color="auto"/>
            <w:left w:val="none" w:sz="0" w:space="0" w:color="auto"/>
            <w:bottom w:val="none" w:sz="0" w:space="0" w:color="auto"/>
            <w:right w:val="none" w:sz="0" w:space="0" w:color="auto"/>
          </w:divBdr>
          <w:divsChild>
            <w:div w:id="1515924641">
              <w:marLeft w:val="0"/>
              <w:marRight w:val="0"/>
              <w:marTop w:val="0"/>
              <w:marBottom w:val="0"/>
              <w:divBdr>
                <w:top w:val="none" w:sz="0" w:space="0" w:color="auto"/>
                <w:left w:val="none" w:sz="0" w:space="0" w:color="auto"/>
                <w:bottom w:val="none" w:sz="0" w:space="0" w:color="auto"/>
                <w:right w:val="none" w:sz="0" w:space="0" w:color="auto"/>
              </w:divBdr>
            </w:div>
          </w:divsChild>
        </w:div>
        <w:div w:id="1086876459">
          <w:marLeft w:val="0"/>
          <w:marRight w:val="0"/>
          <w:marTop w:val="0"/>
          <w:marBottom w:val="0"/>
          <w:divBdr>
            <w:top w:val="none" w:sz="0" w:space="0" w:color="auto"/>
            <w:left w:val="none" w:sz="0" w:space="0" w:color="auto"/>
            <w:bottom w:val="none" w:sz="0" w:space="0" w:color="auto"/>
            <w:right w:val="none" w:sz="0" w:space="0" w:color="auto"/>
          </w:divBdr>
          <w:divsChild>
            <w:div w:id="113333996">
              <w:marLeft w:val="0"/>
              <w:marRight w:val="0"/>
              <w:marTop w:val="0"/>
              <w:marBottom w:val="0"/>
              <w:divBdr>
                <w:top w:val="none" w:sz="0" w:space="0" w:color="auto"/>
                <w:left w:val="none" w:sz="0" w:space="0" w:color="auto"/>
                <w:bottom w:val="none" w:sz="0" w:space="0" w:color="auto"/>
                <w:right w:val="none" w:sz="0" w:space="0" w:color="auto"/>
              </w:divBdr>
            </w:div>
          </w:divsChild>
        </w:div>
        <w:div w:id="1088117759">
          <w:marLeft w:val="0"/>
          <w:marRight w:val="0"/>
          <w:marTop w:val="0"/>
          <w:marBottom w:val="0"/>
          <w:divBdr>
            <w:top w:val="none" w:sz="0" w:space="0" w:color="auto"/>
            <w:left w:val="none" w:sz="0" w:space="0" w:color="auto"/>
            <w:bottom w:val="none" w:sz="0" w:space="0" w:color="auto"/>
            <w:right w:val="none" w:sz="0" w:space="0" w:color="auto"/>
          </w:divBdr>
          <w:divsChild>
            <w:div w:id="1486899817">
              <w:marLeft w:val="0"/>
              <w:marRight w:val="0"/>
              <w:marTop w:val="0"/>
              <w:marBottom w:val="0"/>
              <w:divBdr>
                <w:top w:val="none" w:sz="0" w:space="0" w:color="auto"/>
                <w:left w:val="none" w:sz="0" w:space="0" w:color="auto"/>
                <w:bottom w:val="none" w:sz="0" w:space="0" w:color="auto"/>
                <w:right w:val="none" w:sz="0" w:space="0" w:color="auto"/>
              </w:divBdr>
            </w:div>
          </w:divsChild>
        </w:div>
        <w:div w:id="1088191524">
          <w:marLeft w:val="0"/>
          <w:marRight w:val="0"/>
          <w:marTop w:val="0"/>
          <w:marBottom w:val="0"/>
          <w:divBdr>
            <w:top w:val="none" w:sz="0" w:space="0" w:color="auto"/>
            <w:left w:val="none" w:sz="0" w:space="0" w:color="auto"/>
            <w:bottom w:val="none" w:sz="0" w:space="0" w:color="auto"/>
            <w:right w:val="none" w:sz="0" w:space="0" w:color="auto"/>
          </w:divBdr>
          <w:divsChild>
            <w:div w:id="2063362297">
              <w:marLeft w:val="0"/>
              <w:marRight w:val="0"/>
              <w:marTop w:val="0"/>
              <w:marBottom w:val="0"/>
              <w:divBdr>
                <w:top w:val="none" w:sz="0" w:space="0" w:color="auto"/>
                <w:left w:val="none" w:sz="0" w:space="0" w:color="auto"/>
                <w:bottom w:val="none" w:sz="0" w:space="0" w:color="auto"/>
                <w:right w:val="none" w:sz="0" w:space="0" w:color="auto"/>
              </w:divBdr>
            </w:div>
          </w:divsChild>
        </w:div>
        <w:div w:id="1088845667">
          <w:marLeft w:val="0"/>
          <w:marRight w:val="0"/>
          <w:marTop w:val="0"/>
          <w:marBottom w:val="0"/>
          <w:divBdr>
            <w:top w:val="none" w:sz="0" w:space="0" w:color="auto"/>
            <w:left w:val="none" w:sz="0" w:space="0" w:color="auto"/>
            <w:bottom w:val="none" w:sz="0" w:space="0" w:color="auto"/>
            <w:right w:val="none" w:sz="0" w:space="0" w:color="auto"/>
          </w:divBdr>
          <w:divsChild>
            <w:div w:id="769544706">
              <w:marLeft w:val="0"/>
              <w:marRight w:val="0"/>
              <w:marTop w:val="0"/>
              <w:marBottom w:val="0"/>
              <w:divBdr>
                <w:top w:val="none" w:sz="0" w:space="0" w:color="auto"/>
                <w:left w:val="none" w:sz="0" w:space="0" w:color="auto"/>
                <w:bottom w:val="none" w:sz="0" w:space="0" w:color="auto"/>
                <w:right w:val="none" w:sz="0" w:space="0" w:color="auto"/>
              </w:divBdr>
            </w:div>
          </w:divsChild>
        </w:div>
        <w:div w:id="1092121010">
          <w:marLeft w:val="0"/>
          <w:marRight w:val="0"/>
          <w:marTop w:val="0"/>
          <w:marBottom w:val="0"/>
          <w:divBdr>
            <w:top w:val="none" w:sz="0" w:space="0" w:color="auto"/>
            <w:left w:val="none" w:sz="0" w:space="0" w:color="auto"/>
            <w:bottom w:val="none" w:sz="0" w:space="0" w:color="auto"/>
            <w:right w:val="none" w:sz="0" w:space="0" w:color="auto"/>
          </w:divBdr>
          <w:divsChild>
            <w:div w:id="2081363968">
              <w:marLeft w:val="0"/>
              <w:marRight w:val="0"/>
              <w:marTop w:val="0"/>
              <w:marBottom w:val="0"/>
              <w:divBdr>
                <w:top w:val="none" w:sz="0" w:space="0" w:color="auto"/>
                <w:left w:val="none" w:sz="0" w:space="0" w:color="auto"/>
                <w:bottom w:val="none" w:sz="0" w:space="0" w:color="auto"/>
                <w:right w:val="none" w:sz="0" w:space="0" w:color="auto"/>
              </w:divBdr>
            </w:div>
          </w:divsChild>
        </w:div>
        <w:div w:id="1093169089">
          <w:marLeft w:val="0"/>
          <w:marRight w:val="0"/>
          <w:marTop w:val="0"/>
          <w:marBottom w:val="0"/>
          <w:divBdr>
            <w:top w:val="none" w:sz="0" w:space="0" w:color="auto"/>
            <w:left w:val="none" w:sz="0" w:space="0" w:color="auto"/>
            <w:bottom w:val="none" w:sz="0" w:space="0" w:color="auto"/>
            <w:right w:val="none" w:sz="0" w:space="0" w:color="auto"/>
          </w:divBdr>
          <w:divsChild>
            <w:div w:id="1309549802">
              <w:marLeft w:val="0"/>
              <w:marRight w:val="0"/>
              <w:marTop w:val="0"/>
              <w:marBottom w:val="0"/>
              <w:divBdr>
                <w:top w:val="none" w:sz="0" w:space="0" w:color="auto"/>
                <w:left w:val="none" w:sz="0" w:space="0" w:color="auto"/>
                <w:bottom w:val="none" w:sz="0" w:space="0" w:color="auto"/>
                <w:right w:val="none" w:sz="0" w:space="0" w:color="auto"/>
              </w:divBdr>
            </w:div>
          </w:divsChild>
        </w:div>
        <w:div w:id="1093671173">
          <w:marLeft w:val="0"/>
          <w:marRight w:val="0"/>
          <w:marTop w:val="0"/>
          <w:marBottom w:val="0"/>
          <w:divBdr>
            <w:top w:val="none" w:sz="0" w:space="0" w:color="auto"/>
            <w:left w:val="none" w:sz="0" w:space="0" w:color="auto"/>
            <w:bottom w:val="none" w:sz="0" w:space="0" w:color="auto"/>
            <w:right w:val="none" w:sz="0" w:space="0" w:color="auto"/>
          </w:divBdr>
          <w:divsChild>
            <w:div w:id="725105383">
              <w:marLeft w:val="0"/>
              <w:marRight w:val="0"/>
              <w:marTop w:val="0"/>
              <w:marBottom w:val="0"/>
              <w:divBdr>
                <w:top w:val="none" w:sz="0" w:space="0" w:color="auto"/>
                <w:left w:val="none" w:sz="0" w:space="0" w:color="auto"/>
                <w:bottom w:val="none" w:sz="0" w:space="0" w:color="auto"/>
                <w:right w:val="none" w:sz="0" w:space="0" w:color="auto"/>
              </w:divBdr>
            </w:div>
          </w:divsChild>
        </w:div>
        <w:div w:id="1093865740">
          <w:marLeft w:val="0"/>
          <w:marRight w:val="0"/>
          <w:marTop w:val="0"/>
          <w:marBottom w:val="0"/>
          <w:divBdr>
            <w:top w:val="none" w:sz="0" w:space="0" w:color="auto"/>
            <w:left w:val="none" w:sz="0" w:space="0" w:color="auto"/>
            <w:bottom w:val="none" w:sz="0" w:space="0" w:color="auto"/>
            <w:right w:val="none" w:sz="0" w:space="0" w:color="auto"/>
          </w:divBdr>
          <w:divsChild>
            <w:div w:id="1210146144">
              <w:marLeft w:val="0"/>
              <w:marRight w:val="0"/>
              <w:marTop w:val="0"/>
              <w:marBottom w:val="0"/>
              <w:divBdr>
                <w:top w:val="none" w:sz="0" w:space="0" w:color="auto"/>
                <w:left w:val="none" w:sz="0" w:space="0" w:color="auto"/>
                <w:bottom w:val="none" w:sz="0" w:space="0" w:color="auto"/>
                <w:right w:val="none" w:sz="0" w:space="0" w:color="auto"/>
              </w:divBdr>
            </w:div>
          </w:divsChild>
        </w:div>
        <w:div w:id="1094857784">
          <w:marLeft w:val="0"/>
          <w:marRight w:val="0"/>
          <w:marTop w:val="0"/>
          <w:marBottom w:val="0"/>
          <w:divBdr>
            <w:top w:val="none" w:sz="0" w:space="0" w:color="auto"/>
            <w:left w:val="none" w:sz="0" w:space="0" w:color="auto"/>
            <w:bottom w:val="none" w:sz="0" w:space="0" w:color="auto"/>
            <w:right w:val="none" w:sz="0" w:space="0" w:color="auto"/>
          </w:divBdr>
          <w:divsChild>
            <w:div w:id="252905054">
              <w:marLeft w:val="0"/>
              <w:marRight w:val="0"/>
              <w:marTop w:val="0"/>
              <w:marBottom w:val="0"/>
              <w:divBdr>
                <w:top w:val="none" w:sz="0" w:space="0" w:color="auto"/>
                <w:left w:val="none" w:sz="0" w:space="0" w:color="auto"/>
                <w:bottom w:val="none" w:sz="0" w:space="0" w:color="auto"/>
                <w:right w:val="none" w:sz="0" w:space="0" w:color="auto"/>
              </w:divBdr>
            </w:div>
          </w:divsChild>
        </w:div>
        <w:div w:id="1095590568">
          <w:marLeft w:val="0"/>
          <w:marRight w:val="0"/>
          <w:marTop w:val="0"/>
          <w:marBottom w:val="0"/>
          <w:divBdr>
            <w:top w:val="none" w:sz="0" w:space="0" w:color="auto"/>
            <w:left w:val="none" w:sz="0" w:space="0" w:color="auto"/>
            <w:bottom w:val="none" w:sz="0" w:space="0" w:color="auto"/>
            <w:right w:val="none" w:sz="0" w:space="0" w:color="auto"/>
          </w:divBdr>
          <w:divsChild>
            <w:div w:id="1415975876">
              <w:marLeft w:val="0"/>
              <w:marRight w:val="0"/>
              <w:marTop w:val="0"/>
              <w:marBottom w:val="0"/>
              <w:divBdr>
                <w:top w:val="none" w:sz="0" w:space="0" w:color="auto"/>
                <w:left w:val="none" w:sz="0" w:space="0" w:color="auto"/>
                <w:bottom w:val="none" w:sz="0" w:space="0" w:color="auto"/>
                <w:right w:val="none" w:sz="0" w:space="0" w:color="auto"/>
              </w:divBdr>
            </w:div>
          </w:divsChild>
        </w:div>
        <w:div w:id="1099259963">
          <w:marLeft w:val="0"/>
          <w:marRight w:val="0"/>
          <w:marTop w:val="0"/>
          <w:marBottom w:val="0"/>
          <w:divBdr>
            <w:top w:val="none" w:sz="0" w:space="0" w:color="auto"/>
            <w:left w:val="none" w:sz="0" w:space="0" w:color="auto"/>
            <w:bottom w:val="none" w:sz="0" w:space="0" w:color="auto"/>
            <w:right w:val="none" w:sz="0" w:space="0" w:color="auto"/>
          </w:divBdr>
          <w:divsChild>
            <w:div w:id="545332554">
              <w:marLeft w:val="0"/>
              <w:marRight w:val="0"/>
              <w:marTop w:val="0"/>
              <w:marBottom w:val="0"/>
              <w:divBdr>
                <w:top w:val="none" w:sz="0" w:space="0" w:color="auto"/>
                <w:left w:val="none" w:sz="0" w:space="0" w:color="auto"/>
                <w:bottom w:val="none" w:sz="0" w:space="0" w:color="auto"/>
                <w:right w:val="none" w:sz="0" w:space="0" w:color="auto"/>
              </w:divBdr>
            </w:div>
          </w:divsChild>
        </w:div>
        <w:div w:id="1099905625">
          <w:marLeft w:val="0"/>
          <w:marRight w:val="0"/>
          <w:marTop w:val="0"/>
          <w:marBottom w:val="0"/>
          <w:divBdr>
            <w:top w:val="none" w:sz="0" w:space="0" w:color="auto"/>
            <w:left w:val="none" w:sz="0" w:space="0" w:color="auto"/>
            <w:bottom w:val="none" w:sz="0" w:space="0" w:color="auto"/>
            <w:right w:val="none" w:sz="0" w:space="0" w:color="auto"/>
          </w:divBdr>
          <w:divsChild>
            <w:div w:id="1414397987">
              <w:marLeft w:val="0"/>
              <w:marRight w:val="0"/>
              <w:marTop w:val="0"/>
              <w:marBottom w:val="0"/>
              <w:divBdr>
                <w:top w:val="none" w:sz="0" w:space="0" w:color="auto"/>
                <w:left w:val="none" w:sz="0" w:space="0" w:color="auto"/>
                <w:bottom w:val="none" w:sz="0" w:space="0" w:color="auto"/>
                <w:right w:val="none" w:sz="0" w:space="0" w:color="auto"/>
              </w:divBdr>
            </w:div>
          </w:divsChild>
        </w:div>
        <w:div w:id="1106004412">
          <w:marLeft w:val="0"/>
          <w:marRight w:val="0"/>
          <w:marTop w:val="0"/>
          <w:marBottom w:val="0"/>
          <w:divBdr>
            <w:top w:val="none" w:sz="0" w:space="0" w:color="auto"/>
            <w:left w:val="none" w:sz="0" w:space="0" w:color="auto"/>
            <w:bottom w:val="none" w:sz="0" w:space="0" w:color="auto"/>
            <w:right w:val="none" w:sz="0" w:space="0" w:color="auto"/>
          </w:divBdr>
          <w:divsChild>
            <w:div w:id="1979918514">
              <w:marLeft w:val="0"/>
              <w:marRight w:val="0"/>
              <w:marTop w:val="0"/>
              <w:marBottom w:val="0"/>
              <w:divBdr>
                <w:top w:val="none" w:sz="0" w:space="0" w:color="auto"/>
                <w:left w:val="none" w:sz="0" w:space="0" w:color="auto"/>
                <w:bottom w:val="none" w:sz="0" w:space="0" w:color="auto"/>
                <w:right w:val="none" w:sz="0" w:space="0" w:color="auto"/>
              </w:divBdr>
            </w:div>
          </w:divsChild>
        </w:div>
        <w:div w:id="1106734545">
          <w:marLeft w:val="0"/>
          <w:marRight w:val="0"/>
          <w:marTop w:val="0"/>
          <w:marBottom w:val="0"/>
          <w:divBdr>
            <w:top w:val="none" w:sz="0" w:space="0" w:color="auto"/>
            <w:left w:val="none" w:sz="0" w:space="0" w:color="auto"/>
            <w:bottom w:val="none" w:sz="0" w:space="0" w:color="auto"/>
            <w:right w:val="none" w:sz="0" w:space="0" w:color="auto"/>
          </w:divBdr>
          <w:divsChild>
            <w:div w:id="1513957087">
              <w:marLeft w:val="0"/>
              <w:marRight w:val="0"/>
              <w:marTop w:val="0"/>
              <w:marBottom w:val="0"/>
              <w:divBdr>
                <w:top w:val="none" w:sz="0" w:space="0" w:color="auto"/>
                <w:left w:val="none" w:sz="0" w:space="0" w:color="auto"/>
                <w:bottom w:val="none" w:sz="0" w:space="0" w:color="auto"/>
                <w:right w:val="none" w:sz="0" w:space="0" w:color="auto"/>
              </w:divBdr>
            </w:div>
          </w:divsChild>
        </w:div>
        <w:div w:id="1107694890">
          <w:marLeft w:val="0"/>
          <w:marRight w:val="0"/>
          <w:marTop w:val="0"/>
          <w:marBottom w:val="0"/>
          <w:divBdr>
            <w:top w:val="none" w:sz="0" w:space="0" w:color="auto"/>
            <w:left w:val="none" w:sz="0" w:space="0" w:color="auto"/>
            <w:bottom w:val="none" w:sz="0" w:space="0" w:color="auto"/>
            <w:right w:val="none" w:sz="0" w:space="0" w:color="auto"/>
          </w:divBdr>
          <w:divsChild>
            <w:div w:id="1774085402">
              <w:marLeft w:val="0"/>
              <w:marRight w:val="0"/>
              <w:marTop w:val="0"/>
              <w:marBottom w:val="0"/>
              <w:divBdr>
                <w:top w:val="none" w:sz="0" w:space="0" w:color="auto"/>
                <w:left w:val="none" w:sz="0" w:space="0" w:color="auto"/>
                <w:bottom w:val="none" w:sz="0" w:space="0" w:color="auto"/>
                <w:right w:val="none" w:sz="0" w:space="0" w:color="auto"/>
              </w:divBdr>
            </w:div>
          </w:divsChild>
        </w:div>
        <w:div w:id="1108432828">
          <w:marLeft w:val="0"/>
          <w:marRight w:val="0"/>
          <w:marTop w:val="0"/>
          <w:marBottom w:val="0"/>
          <w:divBdr>
            <w:top w:val="none" w:sz="0" w:space="0" w:color="auto"/>
            <w:left w:val="none" w:sz="0" w:space="0" w:color="auto"/>
            <w:bottom w:val="none" w:sz="0" w:space="0" w:color="auto"/>
            <w:right w:val="none" w:sz="0" w:space="0" w:color="auto"/>
          </w:divBdr>
          <w:divsChild>
            <w:div w:id="1109664208">
              <w:marLeft w:val="0"/>
              <w:marRight w:val="0"/>
              <w:marTop w:val="0"/>
              <w:marBottom w:val="0"/>
              <w:divBdr>
                <w:top w:val="none" w:sz="0" w:space="0" w:color="auto"/>
                <w:left w:val="none" w:sz="0" w:space="0" w:color="auto"/>
                <w:bottom w:val="none" w:sz="0" w:space="0" w:color="auto"/>
                <w:right w:val="none" w:sz="0" w:space="0" w:color="auto"/>
              </w:divBdr>
            </w:div>
          </w:divsChild>
        </w:div>
        <w:div w:id="1109205110">
          <w:marLeft w:val="0"/>
          <w:marRight w:val="0"/>
          <w:marTop w:val="0"/>
          <w:marBottom w:val="0"/>
          <w:divBdr>
            <w:top w:val="none" w:sz="0" w:space="0" w:color="auto"/>
            <w:left w:val="none" w:sz="0" w:space="0" w:color="auto"/>
            <w:bottom w:val="none" w:sz="0" w:space="0" w:color="auto"/>
            <w:right w:val="none" w:sz="0" w:space="0" w:color="auto"/>
          </w:divBdr>
          <w:divsChild>
            <w:div w:id="846793677">
              <w:marLeft w:val="0"/>
              <w:marRight w:val="0"/>
              <w:marTop w:val="0"/>
              <w:marBottom w:val="0"/>
              <w:divBdr>
                <w:top w:val="none" w:sz="0" w:space="0" w:color="auto"/>
                <w:left w:val="none" w:sz="0" w:space="0" w:color="auto"/>
                <w:bottom w:val="none" w:sz="0" w:space="0" w:color="auto"/>
                <w:right w:val="none" w:sz="0" w:space="0" w:color="auto"/>
              </w:divBdr>
            </w:div>
          </w:divsChild>
        </w:div>
        <w:div w:id="1109275129">
          <w:marLeft w:val="0"/>
          <w:marRight w:val="0"/>
          <w:marTop w:val="0"/>
          <w:marBottom w:val="0"/>
          <w:divBdr>
            <w:top w:val="none" w:sz="0" w:space="0" w:color="auto"/>
            <w:left w:val="none" w:sz="0" w:space="0" w:color="auto"/>
            <w:bottom w:val="none" w:sz="0" w:space="0" w:color="auto"/>
            <w:right w:val="none" w:sz="0" w:space="0" w:color="auto"/>
          </w:divBdr>
          <w:divsChild>
            <w:div w:id="876896301">
              <w:marLeft w:val="0"/>
              <w:marRight w:val="0"/>
              <w:marTop w:val="0"/>
              <w:marBottom w:val="0"/>
              <w:divBdr>
                <w:top w:val="none" w:sz="0" w:space="0" w:color="auto"/>
                <w:left w:val="none" w:sz="0" w:space="0" w:color="auto"/>
                <w:bottom w:val="none" w:sz="0" w:space="0" w:color="auto"/>
                <w:right w:val="none" w:sz="0" w:space="0" w:color="auto"/>
              </w:divBdr>
            </w:div>
          </w:divsChild>
        </w:div>
        <w:div w:id="1109279135">
          <w:marLeft w:val="0"/>
          <w:marRight w:val="0"/>
          <w:marTop w:val="0"/>
          <w:marBottom w:val="0"/>
          <w:divBdr>
            <w:top w:val="none" w:sz="0" w:space="0" w:color="auto"/>
            <w:left w:val="none" w:sz="0" w:space="0" w:color="auto"/>
            <w:bottom w:val="none" w:sz="0" w:space="0" w:color="auto"/>
            <w:right w:val="none" w:sz="0" w:space="0" w:color="auto"/>
          </w:divBdr>
          <w:divsChild>
            <w:div w:id="1086807789">
              <w:marLeft w:val="0"/>
              <w:marRight w:val="0"/>
              <w:marTop w:val="0"/>
              <w:marBottom w:val="0"/>
              <w:divBdr>
                <w:top w:val="none" w:sz="0" w:space="0" w:color="auto"/>
                <w:left w:val="none" w:sz="0" w:space="0" w:color="auto"/>
                <w:bottom w:val="none" w:sz="0" w:space="0" w:color="auto"/>
                <w:right w:val="none" w:sz="0" w:space="0" w:color="auto"/>
              </w:divBdr>
            </w:div>
          </w:divsChild>
        </w:div>
        <w:div w:id="1111783813">
          <w:marLeft w:val="0"/>
          <w:marRight w:val="0"/>
          <w:marTop w:val="0"/>
          <w:marBottom w:val="0"/>
          <w:divBdr>
            <w:top w:val="none" w:sz="0" w:space="0" w:color="auto"/>
            <w:left w:val="none" w:sz="0" w:space="0" w:color="auto"/>
            <w:bottom w:val="none" w:sz="0" w:space="0" w:color="auto"/>
            <w:right w:val="none" w:sz="0" w:space="0" w:color="auto"/>
          </w:divBdr>
          <w:divsChild>
            <w:div w:id="1607729787">
              <w:marLeft w:val="0"/>
              <w:marRight w:val="0"/>
              <w:marTop w:val="0"/>
              <w:marBottom w:val="0"/>
              <w:divBdr>
                <w:top w:val="none" w:sz="0" w:space="0" w:color="auto"/>
                <w:left w:val="none" w:sz="0" w:space="0" w:color="auto"/>
                <w:bottom w:val="none" w:sz="0" w:space="0" w:color="auto"/>
                <w:right w:val="none" w:sz="0" w:space="0" w:color="auto"/>
              </w:divBdr>
            </w:div>
          </w:divsChild>
        </w:div>
        <w:div w:id="1111899192">
          <w:marLeft w:val="0"/>
          <w:marRight w:val="0"/>
          <w:marTop w:val="0"/>
          <w:marBottom w:val="0"/>
          <w:divBdr>
            <w:top w:val="none" w:sz="0" w:space="0" w:color="auto"/>
            <w:left w:val="none" w:sz="0" w:space="0" w:color="auto"/>
            <w:bottom w:val="none" w:sz="0" w:space="0" w:color="auto"/>
            <w:right w:val="none" w:sz="0" w:space="0" w:color="auto"/>
          </w:divBdr>
          <w:divsChild>
            <w:div w:id="1559049612">
              <w:marLeft w:val="0"/>
              <w:marRight w:val="0"/>
              <w:marTop w:val="0"/>
              <w:marBottom w:val="0"/>
              <w:divBdr>
                <w:top w:val="none" w:sz="0" w:space="0" w:color="auto"/>
                <w:left w:val="none" w:sz="0" w:space="0" w:color="auto"/>
                <w:bottom w:val="none" w:sz="0" w:space="0" w:color="auto"/>
                <w:right w:val="none" w:sz="0" w:space="0" w:color="auto"/>
              </w:divBdr>
            </w:div>
          </w:divsChild>
        </w:div>
        <w:div w:id="1116366969">
          <w:marLeft w:val="0"/>
          <w:marRight w:val="0"/>
          <w:marTop w:val="0"/>
          <w:marBottom w:val="0"/>
          <w:divBdr>
            <w:top w:val="none" w:sz="0" w:space="0" w:color="auto"/>
            <w:left w:val="none" w:sz="0" w:space="0" w:color="auto"/>
            <w:bottom w:val="none" w:sz="0" w:space="0" w:color="auto"/>
            <w:right w:val="none" w:sz="0" w:space="0" w:color="auto"/>
          </w:divBdr>
          <w:divsChild>
            <w:div w:id="1498569402">
              <w:marLeft w:val="0"/>
              <w:marRight w:val="0"/>
              <w:marTop w:val="0"/>
              <w:marBottom w:val="0"/>
              <w:divBdr>
                <w:top w:val="none" w:sz="0" w:space="0" w:color="auto"/>
                <w:left w:val="none" w:sz="0" w:space="0" w:color="auto"/>
                <w:bottom w:val="none" w:sz="0" w:space="0" w:color="auto"/>
                <w:right w:val="none" w:sz="0" w:space="0" w:color="auto"/>
              </w:divBdr>
            </w:div>
          </w:divsChild>
        </w:div>
        <w:div w:id="1120804812">
          <w:marLeft w:val="0"/>
          <w:marRight w:val="0"/>
          <w:marTop w:val="0"/>
          <w:marBottom w:val="0"/>
          <w:divBdr>
            <w:top w:val="none" w:sz="0" w:space="0" w:color="auto"/>
            <w:left w:val="none" w:sz="0" w:space="0" w:color="auto"/>
            <w:bottom w:val="none" w:sz="0" w:space="0" w:color="auto"/>
            <w:right w:val="none" w:sz="0" w:space="0" w:color="auto"/>
          </w:divBdr>
          <w:divsChild>
            <w:div w:id="1062872809">
              <w:marLeft w:val="0"/>
              <w:marRight w:val="0"/>
              <w:marTop w:val="0"/>
              <w:marBottom w:val="0"/>
              <w:divBdr>
                <w:top w:val="none" w:sz="0" w:space="0" w:color="auto"/>
                <w:left w:val="none" w:sz="0" w:space="0" w:color="auto"/>
                <w:bottom w:val="none" w:sz="0" w:space="0" w:color="auto"/>
                <w:right w:val="none" w:sz="0" w:space="0" w:color="auto"/>
              </w:divBdr>
            </w:div>
          </w:divsChild>
        </w:div>
        <w:div w:id="1123966284">
          <w:marLeft w:val="0"/>
          <w:marRight w:val="0"/>
          <w:marTop w:val="0"/>
          <w:marBottom w:val="0"/>
          <w:divBdr>
            <w:top w:val="none" w:sz="0" w:space="0" w:color="auto"/>
            <w:left w:val="none" w:sz="0" w:space="0" w:color="auto"/>
            <w:bottom w:val="none" w:sz="0" w:space="0" w:color="auto"/>
            <w:right w:val="none" w:sz="0" w:space="0" w:color="auto"/>
          </w:divBdr>
          <w:divsChild>
            <w:div w:id="588857530">
              <w:marLeft w:val="0"/>
              <w:marRight w:val="0"/>
              <w:marTop w:val="0"/>
              <w:marBottom w:val="0"/>
              <w:divBdr>
                <w:top w:val="none" w:sz="0" w:space="0" w:color="auto"/>
                <w:left w:val="none" w:sz="0" w:space="0" w:color="auto"/>
                <w:bottom w:val="none" w:sz="0" w:space="0" w:color="auto"/>
                <w:right w:val="none" w:sz="0" w:space="0" w:color="auto"/>
              </w:divBdr>
            </w:div>
          </w:divsChild>
        </w:div>
        <w:div w:id="1138837040">
          <w:marLeft w:val="0"/>
          <w:marRight w:val="0"/>
          <w:marTop w:val="0"/>
          <w:marBottom w:val="0"/>
          <w:divBdr>
            <w:top w:val="none" w:sz="0" w:space="0" w:color="auto"/>
            <w:left w:val="none" w:sz="0" w:space="0" w:color="auto"/>
            <w:bottom w:val="none" w:sz="0" w:space="0" w:color="auto"/>
            <w:right w:val="none" w:sz="0" w:space="0" w:color="auto"/>
          </w:divBdr>
          <w:divsChild>
            <w:div w:id="398139269">
              <w:marLeft w:val="0"/>
              <w:marRight w:val="0"/>
              <w:marTop w:val="0"/>
              <w:marBottom w:val="0"/>
              <w:divBdr>
                <w:top w:val="none" w:sz="0" w:space="0" w:color="auto"/>
                <w:left w:val="none" w:sz="0" w:space="0" w:color="auto"/>
                <w:bottom w:val="none" w:sz="0" w:space="0" w:color="auto"/>
                <w:right w:val="none" w:sz="0" w:space="0" w:color="auto"/>
              </w:divBdr>
            </w:div>
          </w:divsChild>
        </w:div>
        <w:div w:id="1138960895">
          <w:marLeft w:val="0"/>
          <w:marRight w:val="0"/>
          <w:marTop w:val="0"/>
          <w:marBottom w:val="0"/>
          <w:divBdr>
            <w:top w:val="none" w:sz="0" w:space="0" w:color="auto"/>
            <w:left w:val="none" w:sz="0" w:space="0" w:color="auto"/>
            <w:bottom w:val="none" w:sz="0" w:space="0" w:color="auto"/>
            <w:right w:val="none" w:sz="0" w:space="0" w:color="auto"/>
          </w:divBdr>
          <w:divsChild>
            <w:div w:id="34694807">
              <w:marLeft w:val="0"/>
              <w:marRight w:val="0"/>
              <w:marTop w:val="0"/>
              <w:marBottom w:val="0"/>
              <w:divBdr>
                <w:top w:val="none" w:sz="0" w:space="0" w:color="auto"/>
                <w:left w:val="none" w:sz="0" w:space="0" w:color="auto"/>
                <w:bottom w:val="none" w:sz="0" w:space="0" w:color="auto"/>
                <w:right w:val="none" w:sz="0" w:space="0" w:color="auto"/>
              </w:divBdr>
            </w:div>
          </w:divsChild>
        </w:div>
        <w:div w:id="1140004621">
          <w:marLeft w:val="0"/>
          <w:marRight w:val="0"/>
          <w:marTop w:val="0"/>
          <w:marBottom w:val="0"/>
          <w:divBdr>
            <w:top w:val="none" w:sz="0" w:space="0" w:color="auto"/>
            <w:left w:val="none" w:sz="0" w:space="0" w:color="auto"/>
            <w:bottom w:val="none" w:sz="0" w:space="0" w:color="auto"/>
            <w:right w:val="none" w:sz="0" w:space="0" w:color="auto"/>
          </w:divBdr>
          <w:divsChild>
            <w:div w:id="638806265">
              <w:marLeft w:val="0"/>
              <w:marRight w:val="0"/>
              <w:marTop w:val="0"/>
              <w:marBottom w:val="0"/>
              <w:divBdr>
                <w:top w:val="none" w:sz="0" w:space="0" w:color="auto"/>
                <w:left w:val="none" w:sz="0" w:space="0" w:color="auto"/>
                <w:bottom w:val="none" w:sz="0" w:space="0" w:color="auto"/>
                <w:right w:val="none" w:sz="0" w:space="0" w:color="auto"/>
              </w:divBdr>
            </w:div>
          </w:divsChild>
        </w:div>
        <w:div w:id="1140270801">
          <w:marLeft w:val="0"/>
          <w:marRight w:val="0"/>
          <w:marTop w:val="0"/>
          <w:marBottom w:val="0"/>
          <w:divBdr>
            <w:top w:val="none" w:sz="0" w:space="0" w:color="auto"/>
            <w:left w:val="none" w:sz="0" w:space="0" w:color="auto"/>
            <w:bottom w:val="none" w:sz="0" w:space="0" w:color="auto"/>
            <w:right w:val="none" w:sz="0" w:space="0" w:color="auto"/>
          </w:divBdr>
          <w:divsChild>
            <w:div w:id="466044237">
              <w:marLeft w:val="0"/>
              <w:marRight w:val="0"/>
              <w:marTop w:val="0"/>
              <w:marBottom w:val="0"/>
              <w:divBdr>
                <w:top w:val="none" w:sz="0" w:space="0" w:color="auto"/>
                <w:left w:val="none" w:sz="0" w:space="0" w:color="auto"/>
                <w:bottom w:val="none" w:sz="0" w:space="0" w:color="auto"/>
                <w:right w:val="none" w:sz="0" w:space="0" w:color="auto"/>
              </w:divBdr>
            </w:div>
          </w:divsChild>
        </w:div>
        <w:div w:id="1141920983">
          <w:marLeft w:val="0"/>
          <w:marRight w:val="0"/>
          <w:marTop w:val="0"/>
          <w:marBottom w:val="0"/>
          <w:divBdr>
            <w:top w:val="none" w:sz="0" w:space="0" w:color="auto"/>
            <w:left w:val="none" w:sz="0" w:space="0" w:color="auto"/>
            <w:bottom w:val="none" w:sz="0" w:space="0" w:color="auto"/>
            <w:right w:val="none" w:sz="0" w:space="0" w:color="auto"/>
          </w:divBdr>
          <w:divsChild>
            <w:div w:id="1241794427">
              <w:marLeft w:val="0"/>
              <w:marRight w:val="0"/>
              <w:marTop w:val="0"/>
              <w:marBottom w:val="0"/>
              <w:divBdr>
                <w:top w:val="none" w:sz="0" w:space="0" w:color="auto"/>
                <w:left w:val="none" w:sz="0" w:space="0" w:color="auto"/>
                <w:bottom w:val="none" w:sz="0" w:space="0" w:color="auto"/>
                <w:right w:val="none" w:sz="0" w:space="0" w:color="auto"/>
              </w:divBdr>
            </w:div>
          </w:divsChild>
        </w:div>
        <w:div w:id="1144082601">
          <w:marLeft w:val="0"/>
          <w:marRight w:val="0"/>
          <w:marTop w:val="0"/>
          <w:marBottom w:val="0"/>
          <w:divBdr>
            <w:top w:val="none" w:sz="0" w:space="0" w:color="auto"/>
            <w:left w:val="none" w:sz="0" w:space="0" w:color="auto"/>
            <w:bottom w:val="none" w:sz="0" w:space="0" w:color="auto"/>
            <w:right w:val="none" w:sz="0" w:space="0" w:color="auto"/>
          </w:divBdr>
          <w:divsChild>
            <w:div w:id="476262729">
              <w:marLeft w:val="0"/>
              <w:marRight w:val="0"/>
              <w:marTop w:val="0"/>
              <w:marBottom w:val="0"/>
              <w:divBdr>
                <w:top w:val="none" w:sz="0" w:space="0" w:color="auto"/>
                <w:left w:val="none" w:sz="0" w:space="0" w:color="auto"/>
                <w:bottom w:val="none" w:sz="0" w:space="0" w:color="auto"/>
                <w:right w:val="none" w:sz="0" w:space="0" w:color="auto"/>
              </w:divBdr>
            </w:div>
          </w:divsChild>
        </w:div>
        <w:div w:id="1144811156">
          <w:marLeft w:val="0"/>
          <w:marRight w:val="0"/>
          <w:marTop w:val="0"/>
          <w:marBottom w:val="0"/>
          <w:divBdr>
            <w:top w:val="none" w:sz="0" w:space="0" w:color="auto"/>
            <w:left w:val="none" w:sz="0" w:space="0" w:color="auto"/>
            <w:bottom w:val="none" w:sz="0" w:space="0" w:color="auto"/>
            <w:right w:val="none" w:sz="0" w:space="0" w:color="auto"/>
          </w:divBdr>
          <w:divsChild>
            <w:div w:id="1919290100">
              <w:marLeft w:val="0"/>
              <w:marRight w:val="0"/>
              <w:marTop w:val="0"/>
              <w:marBottom w:val="0"/>
              <w:divBdr>
                <w:top w:val="none" w:sz="0" w:space="0" w:color="auto"/>
                <w:left w:val="none" w:sz="0" w:space="0" w:color="auto"/>
                <w:bottom w:val="none" w:sz="0" w:space="0" w:color="auto"/>
                <w:right w:val="none" w:sz="0" w:space="0" w:color="auto"/>
              </w:divBdr>
            </w:div>
          </w:divsChild>
        </w:div>
        <w:div w:id="1147549466">
          <w:marLeft w:val="0"/>
          <w:marRight w:val="0"/>
          <w:marTop w:val="0"/>
          <w:marBottom w:val="0"/>
          <w:divBdr>
            <w:top w:val="none" w:sz="0" w:space="0" w:color="auto"/>
            <w:left w:val="none" w:sz="0" w:space="0" w:color="auto"/>
            <w:bottom w:val="none" w:sz="0" w:space="0" w:color="auto"/>
            <w:right w:val="none" w:sz="0" w:space="0" w:color="auto"/>
          </w:divBdr>
          <w:divsChild>
            <w:div w:id="1882353076">
              <w:marLeft w:val="0"/>
              <w:marRight w:val="0"/>
              <w:marTop w:val="0"/>
              <w:marBottom w:val="0"/>
              <w:divBdr>
                <w:top w:val="none" w:sz="0" w:space="0" w:color="auto"/>
                <w:left w:val="none" w:sz="0" w:space="0" w:color="auto"/>
                <w:bottom w:val="none" w:sz="0" w:space="0" w:color="auto"/>
                <w:right w:val="none" w:sz="0" w:space="0" w:color="auto"/>
              </w:divBdr>
            </w:div>
          </w:divsChild>
        </w:div>
        <w:div w:id="1149907591">
          <w:marLeft w:val="0"/>
          <w:marRight w:val="0"/>
          <w:marTop w:val="0"/>
          <w:marBottom w:val="0"/>
          <w:divBdr>
            <w:top w:val="none" w:sz="0" w:space="0" w:color="auto"/>
            <w:left w:val="none" w:sz="0" w:space="0" w:color="auto"/>
            <w:bottom w:val="none" w:sz="0" w:space="0" w:color="auto"/>
            <w:right w:val="none" w:sz="0" w:space="0" w:color="auto"/>
          </w:divBdr>
          <w:divsChild>
            <w:div w:id="1588612023">
              <w:marLeft w:val="0"/>
              <w:marRight w:val="0"/>
              <w:marTop w:val="0"/>
              <w:marBottom w:val="0"/>
              <w:divBdr>
                <w:top w:val="none" w:sz="0" w:space="0" w:color="auto"/>
                <w:left w:val="none" w:sz="0" w:space="0" w:color="auto"/>
                <w:bottom w:val="none" w:sz="0" w:space="0" w:color="auto"/>
                <w:right w:val="none" w:sz="0" w:space="0" w:color="auto"/>
              </w:divBdr>
            </w:div>
          </w:divsChild>
        </w:div>
        <w:div w:id="1150638311">
          <w:marLeft w:val="0"/>
          <w:marRight w:val="0"/>
          <w:marTop w:val="0"/>
          <w:marBottom w:val="0"/>
          <w:divBdr>
            <w:top w:val="none" w:sz="0" w:space="0" w:color="auto"/>
            <w:left w:val="none" w:sz="0" w:space="0" w:color="auto"/>
            <w:bottom w:val="none" w:sz="0" w:space="0" w:color="auto"/>
            <w:right w:val="none" w:sz="0" w:space="0" w:color="auto"/>
          </w:divBdr>
          <w:divsChild>
            <w:div w:id="406075084">
              <w:marLeft w:val="0"/>
              <w:marRight w:val="0"/>
              <w:marTop w:val="0"/>
              <w:marBottom w:val="0"/>
              <w:divBdr>
                <w:top w:val="none" w:sz="0" w:space="0" w:color="auto"/>
                <w:left w:val="none" w:sz="0" w:space="0" w:color="auto"/>
                <w:bottom w:val="none" w:sz="0" w:space="0" w:color="auto"/>
                <w:right w:val="none" w:sz="0" w:space="0" w:color="auto"/>
              </w:divBdr>
            </w:div>
          </w:divsChild>
        </w:div>
        <w:div w:id="1152452137">
          <w:marLeft w:val="0"/>
          <w:marRight w:val="0"/>
          <w:marTop w:val="0"/>
          <w:marBottom w:val="0"/>
          <w:divBdr>
            <w:top w:val="none" w:sz="0" w:space="0" w:color="auto"/>
            <w:left w:val="none" w:sz="0" w:space="0" w:color="auto"/>
            <w:bottom w:val="none" w:sz="0" w:space="0" w:color="auto"/>
            <w:right w:val="none" w:sz="0" w:space="0" w:color="auto"/>
          </w:divBdr>
          <w:divsChild>
            <w:div w:id="866066256">
              <w:marLeft w:val="0"/>
              <w:marRight w:val="0"/>
              <w:marTop w:val="0"/>
              <w:marBottom w:val="0"/>
              <w:divBdr>
                <w:top w:val="none" w:sz="0" w:space="0" w:color="auto"/>
                <w:left w:val="none" w:sz="0" w:space="0" w:color="auto"/>
                <w:bottom w:val="none" w:sz="0" w:space="0" w:color="auto"/>
                <w:right w:val="none" w:sz="0" w:space="0" w:color="auto"/>
              </w:divBdr>
            </w:div>
          </w:divsChild>
        </w:div>
        <w:div w:id="1169179077">
          <w:marLeft w:val="0"/>
          <w:marRight w:val="0"/>
          <w:marTop w:val="0"/>
          <w:marBottom w:val="0"/>
          <w:divBdr>
            <w:top w:val="none" w:sz="0" w:space="0" w:color="auto"/>
            <w:left w:val="none" w:sz="0" w:space="0" w:color="auto"/>
            <w:bottom w:val="none" w:sz="0" w:space="0" w:color="auto"/>
            <w:right w:val="none" w:sz="0" w:space="0" w:color="auto"/>
          </w:divBdr>
          <w:divsChild>
            <w:div w:id="702481173">
              <w:marLeft w:val="0"/>
              <w:marRight w:val="0"/>
              <w:marTop w:val="0"/>
              <w:marBottom w:val="0"/>
              <w:divBdr>
                <w:top w:val="none" w:sz="0" w:space="0" w:color="auto"/>
                <w:left w:val="none" w:sz="0" w:space="0" w:color="auto"/>
                <w:bottom w:val="none" w:sz="0" w:space="0" w:color="auto"/>
                <w:right w:val="none" w:sz="0" w:space="0" w:color="auto"/>
              </w:divBdr>
            </w:div>
          </w:divsChild>
        </w:div>
        <w:div w:id="1169716934">
          <w:marLeft w:val="0"/>
          <w:marRight w:val="0"/>
          <w:marTop w:val="0"/>
          <w:marBottom w:val="0"/>
          <w:divBdr>
            <w:top w:val="none" w:sz="0" w:space="0" w:color="auto"/>
            <w:left w:val="none" w:sz="0" w:space="0" w:color="auto"/>
            <w:bottom w:val="none" w:sz="0" w:space="0" w:color="auto"/>
            <w:right w:val="none" w:sz="0" w:space="0" w:color="auto"/>
          </w:divBdr>
          <w:divsChild>
            <w:div w:id="1923566032">
              <w:marLeft w:val="0"/>
              <w:marRight w:val="0"/>
              <w:marTop w:val="0"/>
              <w:marBottom w:val="0"/>
              <w:divBdr>
                <w:top w:val="none" w:sz="0" w:space="0" w:color="auto"/>
                <w:left w:val="none" w:sz="0" w:space="0" w:color="auto"/>
                <w:bottom w:val="none" w:sz="0" w:space="0" w:color="auto"/>
                <w:right w:val="none" w:sz="0" w:space="0" w:color="auto"/>
              </w:divBdr>
            </w:div>
          </w:divsChild>
        </w:div>
        <w:div w:id="1170097917">
          <w:marLeft w:val="0"/>
          <w:marRight w:val="0"/>
          <w:marTop w:val="0"/>
          <w:marBottom w:val="0"/>
          <w:divBdr>
            <w:top w:val="none" w:sz="0" w:space="0" w:color="auto"/>
            <w:left w:val="none" w:sz="0" w:space="0" w:color="auto"/>
            <w:bottom w:val="none" w:sz="0" w:space="0" w:color="auto"/>
            <w:right w:val="none" w:sz="0" w:space="0" w:color="auto"/>
          </w:divBdr>
          <w:divsChild>
            <w:div w:id="51463121">
              <w:marLeft w:val="0"/>
              <w:marRight w:val="0"/>
              <w:marTop w:val="0"/>
              <w:marBottom w:val="0"/>
              <w:divBdr>
                <w:top w:val="none" w:sz="0" w:space="0" w:color="auto"/>
                <w:left w:val="none" w:sz="0" w:space="0" w:color="auto"/>
                <w:bottom w:val="none" w:sz="0" w:space="0" w:color="auto"/>
                <w:right w:val="none" w:sz="0" w:space="0" w:color="auto"/>
              </w:divBdr>
            </w:div>
          </w:divsChild>
        </w:div>
        <w:div w:id="1175223265">
          <w:marLeft w:val="0"/>
          <w:marRight w:val="0"/>
          <w:marTop w:val="0"/>
          <w:marBottom w:val="0"/>
          <w:divBdr>
            <w:top w:val="none" w:sz="0" w:space="0" w:color="auto"/>
            <w:left w:val="none" w:sz="0" w:space="0" w:color="auto"/>
            <w:bottom w:val="none" w:sz="0" w:space="0" w:color="auto"/>
            <w:right w:val="none" w:sz="0" w:space="0" w:color="auto"/>
          </w:divBdr>
          <w:divsChild>
            <w:div w:id="1566914165">
              <w:marLeft w:val="0"/>
              <w:marRight w:val="0"/>
              <w:marTop w:val="0"/>
              <w:marBottom w:val="0"/>
              <w:divBdr>
                <w:top w:val="none" w:sz="0" w:space="0" w:color="auto"/>
                <w:left w:val="none" w:sz="0" w:space="0" w:color="auto"/>
                <w:bottom w:val="none" w:sz="0" w:space="0" w:color="auto"/>
                <w:right w:val="none" w:sz="0" w:space="0" w:color="auto"/>
              </w:divBdr>
            </w:div>
          </w:divsChild>
        </w:div>
        <w:div w:id="1175539558">
          <w:marLeft w:val="0"/>
          <w:marRight w:val="0"/>
          <w:marTop w:val="0"/>
          <w:marBottom w:val="0"/>
          <w:divBdr>
            <w:top w:val="none" w:sz="0" w:space="0" w:color="auto"/>
            <w:left w:val="none" w:sz="0" w:space="0" w:color="auto"/>
            <w:bottom w:val="none" w:sz="0" w:space="0" w:color="auto"/>
            <w:right w:val="none" w:sz="0" w:space="0" w:color="auto"/>
          </w:divBdr>
          <w:divsChild>
            <w:div w:id="1551185792">
              <w:marLeft w:val="0"/>
              <w:marRight w:val="0"/>
              <w:marTop w:val="0"/>
              <w:marBottom w:val="0"/>
              <w:divBdr>
                <w:top w:val="none" w:sz="0" w:space="0" w:color="auto"/>
                <w:left w:val="none" w:sz="0" w:space="0" w:color="auto"/>
                <w:bottom w:val="none" w:sz="0" w:space="0" w:color="auto"/>
                <w:right w:val="none" w:sz="0" w:space="0" w:color="auto"/>
              </w:divBdr>
            </w:div>
          </w:divsChild>
        </w:div>
        <w:div w:id="1176505549">
          <w:marLeft w:val="0"/>
          <w:marRight w:val="0"/>
          <w:marTop w:val="0"/>
          <w:marBottom w:val="0"/>
          <w:divBdr>
            <w:top w:val="none" w:sz="0" w:space="0" w:color="auto"/>
            <w:left w:val="none" w:sz="0" w:space="0" w:color="auto"/>
            <w:bottom w:val="none" w:sz="0" w:space="0" w:color="auto"/>
            <w:right w:val="none" w:sz="0" w:space="0" w:color="auto"/>
          </w:divBdr>
          <w:divsChild>
            <w:div w:id="1445609712">
              <w:marLeft w:val="0"/>
              <w:marRight w:val="0"/>
              <w:marTop w:val="0"/>
              <w:marBottom w:val="0"/>
              <w:divBdr>
                <w:top w:val="none" w:sz="0" w:space="0" w:color="auto"/>
                <w:left w:val="none" w:sz="0" w:space="0" w:color="auto"/>
                <w:bottom w:val="none" w:sz="0" w:space="0" w:color="auto"/>
                <w:right w:val="none" w:sz="0" w:space="0" w:color="auto"/>
              </w:divBdr>
            </w:div>
          </w:divsChild>
        </w:div>
        <w:div w:id="1178155047">
          <w:marLeft w:val="0"/>
          <w:marRight w:val="0"/>
          <w:marTop w:val="0"/>
          <w:marBottom w:val="0"/>
          <w:divBdr>
            <w:top w:val="none" w:sz="0" w:space="0" w:color="auto"/>
            <w:left w:val="none" w:sz="0" w:space="0" w:color="auto"/>
            <w:bottom w:val="none" w:sz="0" w:space="0" w:color="auto"/>
            <w:right w:val="none" w:sz="0" w:space="0" w:color="auto"/>
          </w:divBdr>
          <w:divsChild>
            <w:div w:id="1301301034">
              <w:marLeft w:val="0"/>
              <w:marRight w:val="0"/>
              <w:marTop w:val="0"/>
              <w:marBottom w:val="0"/>
              <w:divBdr>
                <w:top w:val="none" w:sz="0" w:space="0" w:color="auto"/>
                <w:left w:val="none" w:sz="0" w:space="0" w:color="auto"/>
                <w:bottom w:val="none" w:sz="0" w:space="0" w:color="auto"/>
                <w:right w:val="none" w:sz="0" w:space="0" w:color="auto"/>
              </w:divBdr>
            </w:div>
          </w:divsChild>
        </w:div>
        <w:div w:id="1182013706">
          <w:marLeft w:val="0"/>
          <w:marRight w:val="0"/>
          <w:marTop w:val="0"/>
          <w:marBottom w:val="0"/>
          <w:divBdr>
            <w:top w:val="none" w:sz="0" w:space="0" w:color="auto"/>
            <w:left w:val="none" w:sz="0" w:space="0" w:color="auto"/>
            <w:bottom w:val="none" w:sz="0" w:space="0" w:color="auto"/>
            <w:right w:val="none" w:sz="0" w:space="0" w:color="auto"/>
          </w:divBdr>
          <w:divsChild>
            <w:div w:id="2097943458">
              <w:marLeft w:val="0"/>
              <w:marRight w:val="0"/>
              <w:marTop w:val="0"/>
              <w:marBottom w:val="0"/>
              <w:divBdr>
                <w:top w:val="none" w:sz="0" w:space="0" w:color="auto"/>
                <w:left w:val="none" w:sz="0" w:space="0" w:color="auto"/>
                <w:bottom w:val="none" w:sz="0" w:space="0" w:color="auto"/>
                <w:right w:val="none" w:sz="0" w:space="0" w:color="auto"/>
              </w:divBdr>
            </w:div>
          </w:divsChild>
        </w:div>
        <w:div w:id="1185441793">
          <w:marLeft w:val="0"/>
          <w:marRight w:val="0"/>
          <w:marTop w:val="0"/>
          <w:marBottom w:val="0"/>
          <w:divBdr>
            <w:top w:val="none" w:sz="0" w:space="0" w:color="auto"/>
            <w:left w:val="none" w:sz="0" w:space="0" w:color="auto"/>
            <w:bottom w:val="none" w:sz="0" w:space="0" w:color="auto"/>
            <w:right w:val="none" w:sz="0" w:space="0" w:color="auto"/>
          </w:divBdr>
          <w:divsChild>
            <w:div w:id="1436902439">
              <w:marLeft w:val="0"/>
              <w:marRight w:val="0"/>
              <w:marTop w:val="0"/>
              <w:marBottom w:val="0"/>
              <w:divBdr>
                <w:top w:val="none" w:sz="0" w:space="0" w:color="auto"/>
                <w:left w:val="none" w:sz="0" w:space="0" w:color="auto"/>
                <w:bottom w:val="none" w:sz="0" w:space="0" w:color="auto"/>
                <w:right w:val="none" w:sz="0" w:space="0" w:color="auto"/>
              </w:divBdr>
            </w:div>
          </w:divsChild>
        </w:div>
        <w:div w:id="1185940884">
          <w:marLeft w:val="0"/>
          <w:marRight w:val="0"/>
          <w:marTop w:val="0"/>
          <w:marBottom w:val="0"/>
          <w:divBdr>
            <w:top w:val="none" w:sz="0" w:space="0" w:color="auto"/>
            <w:left w:val="none" w:sz="0" w:space="0" w:color="auto"/>
            <w:bottom w:val="none" w:sz="0" w:space="0" w:color="auto"/>
            <w:right w:val="none" w:sz="0" w:space="0" w:color="auto"/>
          </w:divBdr>
          <w:divsChild>
            <w:div w:id="747307754">
              <w:marLeft w:val="0"/>
              <w:marRight w:val="0"/>
              <w:marTop w:val="0"/>
              <w:marBottom w:val="0"/>
              <w:divBdr>
                <w:top w:val="none" w:sz="0" w:space="0" w:color="auto"/>
                <w:left w:val="none" w:sz="0" w:space="0" w:color="auto"/>
                <w:bottom w:val="none" w:sz="0" w:space="0" w:color="auto"/>
                <w:right w:val="none" w:sz="0" w:space="0" w:color="auto"/>
              </w:divBdr>
            </w:div>
          </w:divsChild>
        </w:div>
        <w:div w:id="1185941340">
          <w:marLeft w:val="0"/>
          <w:marRight w:val="0"/>
          <w:marTop w:val="0"/>
          <w:marBottom w:val="0"/>
          <w:divBdr>
            <w:top w:val="none" w:sz="0" w:space="0" w:color="auto"/>
            <w:left w:val="none" w:sz="0" w:space="0" w:color="auto"/>
            <w:bottom w:val="none" w:sz="0" w:space="0" w:color="auto"/>
            <w:right w:val="none" w:sz="0" w:space="0" w:color="auto"/>
          </w:divBdr>
          <w:divsChild>
            <w:div w:id="1246375507">
              <w:marLeft w:val="0"/>
              <w:marRight w:val="0"/>
              <w:marTop w:val="0"/>
              <w:marBottom w:val="0"/>
              <w:divBdr>
                <w:top w:val="none" w:sz="0" w:space="0" w:color="auto"/>
                <w:left w:val="none" w:sz="0" w:space="0" w:color="auto"/>
                <w:bottom w:val="none" w:sz="0" w:space="0" w:color="auto"/>
                <w:right w:val="none" w:sz="0" w:space="0" w:color="auto"/>
              </w:divBdr>
            </w:div>
          </w:divsChild>
        </w:div>
        <w:div w:id="1187712869">
          <w:marLeft w:val="0"/>
          <w:marRight w:val="0"/>
          <w:marTop w:val="0"/>
          <w:marBottom w:val="0"/>
          <w:divBdr>
            <w:top w:val="none" w:sz="0" w:space="0" w:color="auto"/>
            <w:left w:val="none" w:sz="0" w:space="0" w:color="auto"/>
            <w:bottom w:val="none" w:sz="0" w:space="0" w:color="auto"/>
            <w:right w:val="none" w:sz="0" w:space="0" w:color="auto"/>
          </w:divBdr>
          <w:divsChild>
            <w:div w:id="753625134">
              <w:marLeft w:val="0"/>
              <w:marRight w:val="0"/>
              <w:marTop w:val="0"/>
              <w:marBottom w:val="0"/>
              <w:divBdr>
                <w:top w:val="none" w:sz="0" w:space="0" w:color="auto"/>
                <w:left w:val="none" w:sz="0" w:space="0" w:color="auto"/>
                <w:bottom w:val="none" w:sz="0" w:space="0" w:color="auto"/>
                <w:right w:val="none" w:sz="0" w:space="0" w:color="auto"/>
              </w:divBdr>
            </w:div>
          </w:divsChild>
        </w:div>
        <w:div w:id="1191335416">
          <w:marLeft w:val="0"/>
          <w:marRight w:val="0"/>
          <w:marTop w:val="0"/>
          <w:marBottom w:val="0"/>
          <w:divBdr>
            <w:top w:val="none" w:sz="0" w:space="0" w:color="auto"/>
            <w:left w:val="none" w:sz="0" w:space="0" w:color="auto"/>
            <w:bottom w:val="none" w:sz="0" w:space="0" w:color="auto"/>
            <w:right w:val="none" w:sz="0" w:space="0" w:color="auto"/>
          </w:divBdr>
          <w:divsChild>
            <w:div w:id="132254372">
              <w:marLeft w:val="0"/>
              <w:marRight w:val="0"/>
              <w:marTop w:val="0"/>
              <w:marBottom w:val="0"/>
              <w:divBdr>
                <w:top w:val="none" w:sz="0" w:space="0" w:color="auto"/>
                <w:left w:val="none" w:sz="0" w:space="0" w:color="auto"/>
                <w:bottom w:val="none" w:sz="0" w:space="0" w:color="auto"/>
                <w:right w:val="none" w:sz="0" w:space="0" w:color="auto"/>
              </w:divBdr>
            </w:div>
          </w:divsChild>
        </w:div>
        <w:div w:id="1196649998">
          <w:marLeft w:val="0"/>
          <w:marRight w:val="0"/>
          <w:marTop w:val="0"/>
          <w:marBottom w:val="0"/>
          <w:divBdr>
            <w:top w:val="none" w:sz="0" w:space="0" w:color="auto"/>
            <w:left w:val="none" w:sz="0" w:space="0" w:color="auto"/>
            <w:bottom w:val="none" w:sz="0" w:space="0" w:color="auto"/>
            <w:right w:val="none" w:sz="0" w:space="0" w:color="auto"/>
          </w:divBdr>
          <w:divsChild>
            <w:div w:id="1280261406">
              <w:marLeft w:val="0"/>
              <w:marRight w:val="0"/>
              <w:marTop w:val="0"/>
              <w:marBottom w:val="0"/>
              <w:divBdr>
                <w:top w:val="none" w:sz="0" w:space="0" w:color="auto"/>
                <w:left w:val="none" w:sz="0" w:space="0" w:color="auto"/>
                <w:bottom w:val="none" w:sz="0" w:space="0" w:color="auto"/>
                <w:right w:val="none" w:sz="0" w:space="0" w:color="auto"/>
              </w:divBdr>
            </w:div>
          </w:divsChild>
        </w:div>
        <w:div w:id="1196768491">
          <w:marLeft w:val="0"/>
          <w:marRight w:val="0"/>
          <w:marTop w:val="0"/>
          <w:marBottom w:val="0"/>
          <w:divBdr>
            <w:top w:val="none" w:sz="0" w:space="0" w:color="auto"/>
            <w:left w:val="none" w:sz="0" w:space="0" w:color="auto"/>
            <w:bottom w:val="none" w:sz="0" w:space="0" w:color="auto"/>
            <w:right w:val="none" w:sz="0" w:space="0" w:color="auto"/>
          </w:divBdr>
          <w:divsChild>
            <w:div w:id="655493146">
              <w:marLeft w:val="0"/>
              <w:marRight w:val="0"/>
              <w:marTop w:val="0"/>
              <w:marBottom w:val="0"/>
              <w:divBdr>
                <w:top w:val="none" w:sz="0" w:space="0" w:color="auto"/>
                <w:left w:val="none" w:sz="0" w:space="0" w:color="auto"/>
                <w:bottom w:val="none" w:sz="0" w:space="0" w:color="auto"/>
                <w:right w:val="none" w:sz="0" w:space="0" w:color="auto"/>
              </w:divBdr>
            </w:div>
          </w:divsChild>
        </w:div>
        <w:div w:id="1202278372">
          <w:marLeft w:val="0"/>
          <w:marRight w:val="0"/>
          <w:marTop w:val="0"/>
          <w:marBottom w:val="0"/>
          <w:divBdr>
            <w:top w:val="none" w:sz="0" w:space="0" w:color="auto"/>
            <w:left w:val="none" w:sz="0" w:space="0" w:color="auto"/>
            <w:bottom w:val="none" w:sz="0" w:space="0" w:color="auto"/>
            <w:right w:val="none" w:sz="0" w:space="0" w:color="auto"/>
          </w:divBdr>
          <w:divsChild>
            <w:div w:id="690648327">
              <w:marLeft w:val="0"/>
              <w:marRight w:val="0"/>
              <w:marTop w:val="0"/>
              <w:marBottom w:val="0"/>
              <w:divBdr>
                <w:top w:val="none" w:sz="0" w:space="0" w:color="auto"/>
                <w:left w:val="none" w:sz="0" w:space="0" w:color="auto"/>
                <w:bottom w:val="none" w:sz="0" w:space="0" w:color="auto"/>
                <w:right w:val="none" w:sz="0" w:space="0" w:color="auto"/>
              </w:divBdr>
            </w:div>
          </w:divsChild>
        </w:div>
        <w:div w:id="1203054090">
          <w:marLeft w:val="0"/>
          <w:marRight w:val="0"/>
          <w:marTop w:val="0"/>
          <w:marBottom w:val="0"/>
          <w:divBdr>
            <w:top w:val="none" w:sz="0" w:space="0" w:color="auto"/>
            <w:left w:val="none" w:sz="0" w:space="0" w:color="auto"/>
            <w:bottom w:val="none" w:sz="0" w:space="0" w:color="auto"/>
            <w:right w:val="none" w:sz="0" w:space="0" w:color="auto"/>
          </w:divBdr>
          <w:divsChild>
            <w:div w:id="1386561812">
              <w:marLeft w:val="0"/>
              <w:marRight w:val="0"/>
              <w:marTop w:val="0"/>
              <w:marBottom w:val="0"/>
              <w:divBdr>
                <w:top w:val="none" w:sz="0" w:space="0" w:color="auto"/>
                <w:left w:val="none" w:sz="0" w:space="0" w:color="auto"/>
                <w:bottom w:val="none" w:sz="0" w:space="0" w:color="auto"/>
                <w:right w:val="none" w:sz="0" w:space="0" w:color="auto"/>
              </w:divBdr>
            </w:div>
          </w:divsChild>
        </w:div>
        <w:div w:id="1207990338">
          <w:marLeft w:val="0"/>
          <w:marRight w:val="0"/>
          <w:marTop w:val="0"/>
          <w:marBottom w:val="0"/>
          <w:divBdr>
            <w:top w:val="none" w:sz="0" w:space="0" w:color="auto"/>
            <w:left w:val="none" w:sz="0" w:space="0" w:color="auto"/>
            <w:bottom w:val="none" w:sz="0" w:space="0" w:color="auto"/>
            <w:right w:val="none" w:sz="0" w:space="0" w:color="auto"/>
          </w:divBdr>
          <w:divsChild>
            <w:div w:id="1893492398">
              <w:marLeft w:val="0"/>
              <w:marRight w:val="0"/>
              <w:marTop w:val="0"/>
              <w:marBottom w:val="0"/>
              <w:divBdr>
                <w:top w:val="none" w:sz="0" w:space="0" w:color="auto"/>
                <w:left w:val="none" w:sz="0" w:space="0" w:color="auto"/>
                <w:bottom w:val="none" w:sz="0" w:space="0" w:color="auto"/>
                <w:right w:val="none" w:sz="0" w:space="0" w:color="auto"/>
              </w:divBdr>
            </w:div>
          </w:divsChild>
        </w:div>
        <w:div w:id="1208183991">
          <w:marLeft w:val="0"/>
          <w:marRight w:val="0"/>
          <w:marTop w:val="0"/>
          <w:marBottom w:val="0"/>
          <w:divBdr>
            <w:top w:val="none" w:sz="0" w:space="0" w:color="auto"/>
            <w:left w:val="none" w:sz="0" w:space="0" w:color="auto"/>
            <w:bottom w:val="none" w:sz="0" w:space="0" w:color="auto"/>
            <w:right w:val="none" w:sz="0" w:space="0" w:color="auto"/>
          </w:divBdr>
          <w:divsChild>
            <w:div w:id="53091849">
              <w:marLeft w:val="0"/>
              <w:marRight w:val="0"/>
              <w:marTop w:val="0"/>
              <w:marBottom w:val="0"/>
              <w:divBdr>
                <w:top w:val="none" w:sz="0" w:space="0" w:color="auto"/>
                <w:left w:val="none" w:sz="0" w:space="0" w:color="auto"/>
                <w:bottom w:val="none" w:sz="0" w:space="0" w:color="auto"/>
                <w:right w:val="none" w:sz="0" w:space="0" w:color="auto"/>
              </w:divBdr>
            </w:div>
          </w:divsChild>
        </w:div>
        <w:div w:id="1210337089">
          <w:marLeft w:val="0"/>
          <w:marRight w:val="0"/>
          <w:marTop w:val="0"/>
          <w:marBottom w:val="0"/>
          <w:divBdr>
            <w:top w:val="none" w:sz="0" w:space="0" w:color="auto"/>
            <w:left w:val="none" w:sz="0" w:space="0" w:color="auto"/>
            <w:bottom w:val="none" w:sz="0" w:space="0" w:color="auto"/>
            <w:right w:val="none" w:sz="0" w:space="0" w:color="auto"/>
          </w:divBdr>
          <w:divsChild>
            <w:div w:id="80686759">
              <w:marLeft w:val="0"/>
              <w:marRight w:val="0"/>
              <w:marTop w:val="0"/>
              <w:marBottom w:val="0"/>
              <w:divBdr>
                <w:top w:val="none" w:sz="0" w:space="0" w:color="auto"/>
                <w:left w:val="none" w:sz="0" w:space="0" w:color="auto"/>
                <w:bottom w:val="none" w:sz="0" w:space="0" w:color="auto"/>
                <w:right w:val="none" w:sz="0" w:space="0" w:color="auto"/>
              </w:divBdr>
            </w:div>
          </w:divsChild>
        </w:div>
        <w:div w:id="1211334202">
          <w:marLeft w:val="0"/>
          <w:marRight w:val="0"/>
          <w:marTop w:val="0"/>
          <w:marBottom w:val="0"/>
          <w:divBdr>
            <w:top w:val="none" w:sz="0" w:space="0" w:color="auto"/>
            <w:left w:val="none" w:sz="0" w:space="0" w:color="auto"/>
            <w:bottom w:val="none" w:sz="0" w:space="0" w:color="auto"/>
            <w:right w:val="none" w:sz="0" w:space="0" w:color="auto"/>
          </w:divBdr>
          <w:divsChild>
            <w:div w:id="348265746">
              <w:marLeft w:val="0"/>
              <w:marRight w:val="0"/>
              <w:marTop w:val="0"/>
              <w:marBottom w:val="0"/>
              <w:divBdr>
                <w:top w:val="none" w:sz="0" w:space="0" w:color="auto"/>
                <w:left w:val="none" w:sz="0" w:space="0" w:color="auto"/>
                <w:bottom w:val="none" w:sz="0" w:space="0" w:color="auto"/>
                <w:right w:val="none" w:sz="0" w:space="0" w:color="auto"/>
              </w:divBdr>
            </w:div>
          </w:divsChild>
        </w:div>
        <w:div w:id="1211966062">
          <w:marLeft w:val="0"/>
          <w:marRight w:val="0"/>
          <w:marTop w:val="0"/>
          <w:marBottom w:val="0"/>
          <w:divBdr>
            <w:top w:val="none" w:sz="0" w:space="0" w:color="auto"/>
            <w:left w:val="none" w:sz="0" w:space="0" w:color="auto"/>
            <w:bottom w:val="none" w:sz="0" w:space="0" w:color="auto"/>
            <w:right w:val="none" w:sz="0" w:space="0" w:color="auto"/>
          </w:divBdr>
          <w:divsChild>
            <w:div w:id="210458986">
              <w:marLeft w:val="0"/>
              <w:marRight w:val="0"/>
              <w:marTop w:val="0"/>
              <w:marBottom w:val="0"/>
              <w:divBdr>
                <w:top w:val="none" w:sz="0" w:space="0" w:color="auto"/>
                <w:left w:val="none" w:sz="0" w:space="0" w:color="auto"/>
                <w:bottom w:val="none" w:sz="0" w:space="0" w:color="auto"/>
                <w:right w:val="none" w:sz="0" w:space="0" w:color="auto"/>
              </w:divBdr>
            </w:div>
          </w:divsChild>
        </w:div>
        <w:div w:id="1213424769">
          <w:marLeft w:val="0"/>
          <w:marRight w:val="0"/>
          <w:marTop w:val="0"/>
          <w:marBottom w:val="0"/>
          <w:divBdr>
            <w:top w:val="none" w:sz="0" w:space="0" w:color="auto"/>
            <w:left w:val="none" w:sz="0" w:space="0" w:color="auto"/>
            <w:bottom w:val="none" w:sz="0" w:space="0" w:color="auto"/>
            <w:right w:val="none" w:sz="0" w:space="0" w:color="auto"/>
          </w:divBdr>
          <w:divsChild>
            <w:div w:id="1230072648">
              <w:marLeft w:val="0"/>
              <w:marRight w:val="0"/>
              <w:marTop w:val="0"/>
              <w:marBottom w:val="0"/>
              <w:divBdr>
                <w:top w:val="none" w:sz="0" w:space="0" w:color="auto"/>
                <w:left w:val="none" w:sz="0" w:space="0" w:color="auto"/>
                <w:bottom w:val="none" w:sz="0" w:space="0" w:color="auto"/>
                <w:right w:val="none" w:sz="0" w:space="0" w:color="auto"/>
              </w:divBdr>
            </w:div>
          </w:divsChild>
        </w:div>
        <w:div w:id="1216967399">
          <w:marLeft w:val="0"/>
          <w:marRight w:val="0"/>
          <w:marTop w:val="0"/>
          <w:marBottom w:val="0"/>
          <w:divBdr>
            <w:top w:val="none" w:sz="0" w:space="0" w:color="auto"/>
            <w:left w:val="none" w:sz="0" w:space="0" w:color="auto"/>
            <w:bottom w:val="none" w:sz="0" w:space="0" w:color="auto"/>
            <w:right w:val="none" w:sz="0" w:space="0" w:color="auto"/>
          </w:divBdr>
          <w:divsChild>
            <w:div w:id="216360125">
              <w:marLeft w:val="0"/>
              <w:marRight w:val="0"/>
              <w:marTop w:val="0"/>
              <w:marBottom w:val="0"/>
              <w:divBdr>
                <w:top w:val="none" w:sz="0" w:space="0" w:color="auto"/>
                <w:left w:val="none" w:sz="0" w:space="0" w:color="auto"/>
                <w:bottom w:val="none" w:sz="0" w:space="0" w:color="auto"/>
                <w:right w:val="none" w:sz="0" w:space="0" w:color="auto"/>
              </w:divBdr>
            </w:div>
          </w:divsChild>
        </w:div>
        <w:div w:id="1217668166">
          <w:marLeft w:val="0"/>
          <w:marRight w:val="0"/>
          <w:marTop w:val="0"/>
          <w:marBottom w:val="0"/>
          <w:divBdr>
            <w:top w:val="none" w:sz="0" w:space="0" w:color="auto"/>
            <w:left w:val="none" w:sz="0" w:space="0" w:color="auto"/>
            <w:bottom w:val="none" w:sz="0" w:space="0" w:color="auto"/>
            <w:right w:val="none" w:sz="0" w:space="0" w:color="auto"/>
          </w:divBdr>
          <w:divsChild>
            <w:div w:id="1762021377">
              <w:marLeft w:val="0"/>
              <w:marRight w:val="0"/>
              <w:marTop w:val="0"/>
              <w:marBottom w:val="0"/>
              <w:divBdr>
                <w:top w:val="none" w:sz="0" w:space="0" w:color="auto"/>
                <w:left w:val="none" w:sz="0" w:space="0" w:color="auto"/>
                <w:bottom w:val="none" w:sz="0" w:space="0" w:color="auto"/>
                <w:right w:val="none" w:sz="0" w:space="0" w:color="auto"/>
              </w:divBdr>
            </w:div>
          </w:divsChild>
        </w:div>
        <w:div w:id="1217860813">
          <w:marLeft w:val="0"/>
          <w:marRight w:val="0"/>
          <w:marTop w:val="0"/>
          <w:marBottom w:val="0"/>
          <w:divBdr>
            <w:top w:val="none" w:sz="0" w:space="0" w:color="auto"/>
            <w:left w:val="none" w:sz="0" w:space="0" w:color="auto"/>
            <w:bottom w:val="none" w:sz="0" w:space="0" w:color="auto"/>
            <w:right w:val="none" w:sz="0" w:space="0" w:color="auto"/>
          </w:divBdr>
          <w:divsChild>
            <w:div w:id="1328051277">
              <w:marLeft w:val="0"/>
              <w:marRight w:val="0"/>
              <w:marTop w:val="0"/>
              <w:marBottom w:val="0"/>
              <w:divBdr>
                <w:top w:val="none" w:sz="0" w:space="0" w:color="auto"/>
                <w:left w:val="none" w:sz="0" w:space="0" w:color="auto"/>
                <w:bottom w:val="none" w:sz="0" w:space="0" w:color="auto"/>
                <w:right w:val="none" w:sz="0" w:space="0" w:color="auto"/>
              </w:divBdr>
            </w:div>
          </w:divsChild>
        </w:div>
        <w:div w:id="1220172741">
          <w:marLeft w:val="0"/>
          <w:marRight w:val="0"/>
          <w:marTop w:val="0"/>
          <w:marBottom w:val="0"/>
          <w:divBdr>
            <w:top w:val="none" w:sz="0" w:space="0" w:color="auto"/>
            <w:left w:val="none" w:sz="0" w:space="0" w:color="auto"/>
            <w:bottom w:val="none" w:sz="0" w:space="0" w:color="auto"/>
            <w:right w:val="none" w:sz="0" w:space="0" w:color="auto"/>
          </w:divBdr>
          <w:divsChild>
            <w:div w:id="722173169">
              <w:marLeft w:val="0"/>
              <w:marRight w:val="0"/>
              <w:marTop w:val="0"/>
              <w:marBottom w:val="0"/>
              <w:divBdr>
                <w:top w:val="none" w:sz="0" w:space="0" w:color="auto"/>
                <w:left w:val="none" w:sz="0" w:space="0" w:color="auto"/>
                <w:bottom w:val="none" w:sz="0" w:space="0" w:color="auto"/>
                <w:right w:val="none" w:sz="0" w:space="0" w:color="auto"/>
              </w:divBdr>
            </w:div>
          </w:divsChild>
        </w:div>
        <w:div w:id="1222327506">
          <w:marLeft w:val="0"/>
          <w:marRight w:val="0"/>
          <w:marTop w:val="0"/>
          <w:marBottom w:val="0"/>
          <w:divBdr>
            <w:top w:val="none" w:sz="0" w:space="0" w:color="auto"/>
            <w:left w:val="none" w:sz="0" w:space="0" w:color="auto"/>
            <w:bottom w:val="none" w:sz="0" w:space="0" w:color="auto"/>
            <w:right w:val="none" w:sz="0" w:space="0" w:color="auto"/>
          </w:divBdr>
          <w:divsChild>
            <w:div w:id="1531189538">
              <w:marLeft w:val="0"/>
              <w:marRight w:val="0"/>
              <w:marTop w:val="0"/>
              <w:marBottom w:val="0"/>
              <w:divBdr>
                <w:top w:val="none" w:sz="0" w:space="0" w:color="auto"/>
                <w:left w:val="none" w:sz="0" w:space="0" w:color="auto"/>
                <w:bottom w:val="none" w:sz="0" w:space="0" w:color="auto"/>
                <w:right w:val="none" w:sz="0" w:space="0" w:color="auto"/>
              </w:divBdr>
            </w:div>
          </w:divsChild>
        </w:div>
        <w:div w:id="1224176042">
          <w:marLeft w:val="0"/>
          <w:marRight w:val="0"/>
          <w:marTop w:val="0"/>
          <w:marBottom w:val="0"/>
          <w:divBdr>
            <w:top w:val="none" w:sz="0" w:space="0" w:color="auto"/>
            <w:left w:val="none" w:sz="0" w:space="0" w:color="auto"/>
            <w:bottom w:val="none" w:sz="0" w:space="0" w:color="auto"/>
            <w:right w:val="none" w:sz="0" w:space="0" w:color="auto"/>
          </w:divBdr>
          <w:divsChild>
            <w:div w:id="1079526230">
              <w:marLeft w:val="0"/>
              <w:marRight w:val="0"/>
              <w:marTop w:val="0"/>
              <w:marBottom w:val="0"/>
              <w:divBdr>
                <w:top w:val="none" w:sz="0" w:space="0" w:color="auto"/>
                <w:left w:val="none" w:sz="0" w:space="0" w:color="auto"/>
                <w:bottom w:val="none" w:sz="0" w:space="0" w:color="auto"/>
                <w:right w:val="none" w:sz="0" w:space="0" w:color="auto"/>
              </w:divBdr>
            </w:div>
          </w:divsChild>
        </w:div>
        <w:div w:id="1228757573">
          <w:marLeft w:val="0"/>
          <w:marRight w:val="0"/>
          <w:marTop w:val="0"/>
          <w:marBottom w:val="0"/>
          <w:divBdr>
            <w:top w:val="none" w:sz="0" w:space="0" w:color="auto"/>
            <w:left w:val="none" w:sz="0" w:space="0" w:color="auto"/>
            <w:bottom w:val="none" w:sz="0" w:space="0" w:color="auto"/>
            <w:right w:val="none" w:sz="0" w:space="0" w:color="auto"/>
          </w:divBdr>
          <w:divsChild>
            <w:div w:id="856577565">
              <w:marLeft w:val="0"/>
              <w:marRight w:val="0"/>
              <w:marTop w:val="0"/>
              <w:marBottom w:val="0"/>
              <w:divBdr>
                <w:top w:val="none" w:sz="0" w:space="0" w:color="auto"/>
                <w:left w:val="none" w:sz="0" w:space="0" w:color="auto"/>
                <w:bottom w:val="none" w:sz="0" w:space="0" w:color="auto"/>
                <w:right w:val="none" w:sz="0" w:space="0" w:color="auto"/>
              </w:divBdr>
            </w:div>
          </w:divsChild>
        </w:div>
        <w:div w:id="1231310627">
          <w:marLeft w:val="0"/>
          <w:marRight w:val="0"/>
          <w:marTop w:val="0"/>
          <w:marBottom w:val="0"/>
          <w:divBdr>
            <w:top w:val="none" w:sz="0" w:space="0" w:color="auto"/>
            <w:left w:val="none" w:sz="0" w:space="0" w:color="auto"/>
            <w:bottom w:val="none" w:sz="0" w:space="0" w:color="auto"/>
            <w:right w:val="none" w:sz="0" w:space="0" w:color="auto"/>
          </w:divBdr>
          <w:divsChild>
            <w:div w:id="851183979">
              <w:marLeft w:val="0"/>
              <w:marRight w:val="0"/>
              <w:marTop w:val="0"/>
              <w:marBottom w:val="0"/>
              <w:divBdr>
                <w:top w:val="none" w:sz="0" w:space="0" w:color="auto"/>
                <w:left w:val="none" w:sz="0" w:space="0" w:color="auto"/>
                <w:bottom w:val="none" w:sz="0" w:space="0" w:color="auto"/>
                <w:right w:val="none" w:sz="0" w:space="0" w:color="auto"/>
              </w:divBdr>
            </w:div>
          </w:divsChild>
        </w:div>
        <w:div w:id="1232160246">
          <w:marLeft w:val="0"/>
          <w:marRight w:val="0"/>
          <w:marTop w:val="0"/>
          <w:marBottom w:val="0"/>
          <w:divBdr>
            <w:top w:val="none" w:sz="0" w:space="0" w:color="auto"/>
            <w:left w:val="none" w:sz="0" w:space="0" w:color="auto"/>
            <w:bottom w:val="none" w:sz="0" w:space="0" w:color="auto"/>
            <w:right w:val="none" w:sz="0" w:space="0" w:color="auto"/>
          </w:divBdr>
          <w:divsChild>
            <w:div w:id="604112568">
              <w:marLeft w:val="0"/>
              <w:marRight w:val="0"/>
              <w:marTop w:val="0"/>
              <w:marBottom w:val="0"/>
              <w:divBdr>
                <w:top w:val="none" w:sz="0" w:space="0" w:color="auto"/>
                <w:left w:val="none" w:sz="0" w:space="0" w:color="auto"/>
                <w:bottom w:val="none" w:sz="0" w:space="0" w:color="auto"/>
                <w:right w:val="none" w:sz="0" w:space="0" w:color="auto"/>
              </w:divBdr>
            </w:div>
          </w:divsChild>
        </w:div>
        <w:div w:id="1232690882">
          <w:marLeft w:val="0"/>
          <w:marRight w:val="0"/>
          <w:marTop w:val="0"/>
          <w:marBottom w:val="0"/>
          <w:divBdr>
            <w:top w:val="none" w:sz="0" w:space="0" w:color="auto"/>
            <w:left w:val="none" w:sz="0" w:space="0" w:color="auto"/>
            <w:bottom w:val="none" w:sz="0" w:space="0" w:color="auto"/>
            <w:right w:val="none" w:sz="0" w:space="0" w:color="auto"/>
          </w:divBdr>
          <w:divsChild>
            <w:div w:id="2030176422">
              <w:marLeft w:val="0"/>
              <w:marRight w:val="0"/>
              <w:marTop w:val="0"/>
              <w:marBottom w:val="0"/>
              <w:divBdr>
                <w:top w:val="none" w:sz="0" w:space="0" w:color="auto"/>
                <w:left w:val="none" w:sz="0" w:space="0" w:color="auto"/>
                <w:bottom w:val="none" w:sz="0" w:space="0" w:color="auto"/>
                <w:right w:val="none" w:sz="0" w:space="0" w:color="auto"/>
              </w:divBdr>
            </w:div>
          </w:divsChild>
        </w:div>
        <w:div w:id="1237325338">
          <w:marLeft w:val="0"/>
          <w:marRight w:val="0"/>
          <w:marTop w:val="0"/>
          <w:marBottom w:val="0"/>
          <w:divBdr>
            <w:top w:val="none" w:sz="0" w:space="0" w:color="auto"/>
            <w:left w:val="none" w:sz="0" w:space="0" w:color="auto"/>
            <w:bottom w:val="none" w:sz="0" w:space="0" w:color="auto"/>
            <w:right w:val="none" w:sz="0" w:space="0" w:color="auto"/>
          </w:divBdr>
          <w:divsChild>
            <w:div w:id="67309197">
              <w:marLeft w:val="0"/>
              <w:marRight w:val="0"/>
              <w:marTop w:val="0"/>
              <w:marBottom w:val="0"/>
              <w:divBdr>
                <w:top w:val="none" w:sz="0" w:space="0" w:color="auto"/>
                <w:left w:val="none" w:sz="0" w:space="0" w:color="auto"/>
                <w:bottom w:val="none" w:sz="0" w:space="0" w:color="auto"/>
                <w:right w:val="none" w:sz="0" w:space="0" w:color="auto"/>
              </w:divBdr>
            </w:div>
          </w:divsChild>
        </w:div>
        <w:div w:id="1239901137">
          <w:marLeft w:val="0"/>
          <w:marRight w:val="0"/>
          <w:marTop w:val="0"/>
          <w:marBottom w:val="0"/>
          <w:divBdr>
            <w:top w:val="none" w:sz="0" w:space="0" w:color="auto"/>
            <w:left w:val="none" w:sz="0" w:space="0" w:color="auto"/>
            <w:bottom w:val="none" w:sz="0" w:space="0" w:color="auto"/>
            <w:right w:val="none" w:sz="0" w:space="0" w:color="auto"/>
          </w:divBdr>
          <w:divsChild>
            <w:div w:id="2131121390">
              <w:marLeft w:val="0"/>
              <w:marRight w:val="0"/>
              <w:marTop w:val="0"/>
              <w:marBottom w:val="0"/>
              <w:divBdr>
                <w:top w:val="none" w:sz="0" w:space="0" w:color="auto"/>
                <w:left w:val="none" w:sz="0" w:space="0" w:color="auto"/>
                <w:bottom w:val="none" w:sz="0" w:space="0" w:color="auto"/>
                <w:right w:val="none" w:sz="0" w:space="0" w:color="auto"/>
              </w:divBdr>
            </w:div>
          </w:divsChild>
        </w:div>
        <w:div w:id="1245460041">
          <w:marLeft w:val="0"/>
          <w:marRight w:val="0"/>
          <w:marTop w:val="0"/>
          <w:marBottom w:val="0"/>
          <w:divBdr>
            <w:top w:val="none" w:sz="0" w:space="0" w:color="auto"/>
            <w:left w:val="none" w:sz="0" w:space="0" w:color="auto"/>
            <w:bottom w:val="none" w:sz="0" w:space="0" w:color="auto"/>
            <w:right w:val="none" w:sz="0" w:space="0" w:color="auto"/>
          </w:divBdr>
          <w:divsChild>
            <w:div w:id="1225601526">
              <w:marLeft w:val="0"/>
              <w:marRight w:val="0"/>
              <w:marTop w:val="0"/>
              <w:marBottom w:val="0"/>
              <w:divBdr>
                <w:top w:val="none" w:sz="0" w:space="0" w:color="auto"/>
                <w:left w:val="none" w:sz="0" w:space="0" w:color="auto"/>
                <w:bottom w:val="none" w:sz="0" w:space="0" w:color="auto"/>
                <w:right w:val="none" w:sz="0" w:space="0" w:color="auto"/>
              </w:divBdr>
            </w:div>
          </w:divsChild>
        </w:div>
        <w:div w:id="1248423077">
          <w:marLeft w:val="0"/>
          <w:marRight w:val="0"/>
          <w:marTop w:val="0"/>
          <w:marBottom w:val="0"/>
          <w:divBdr>
            <w:top w:val="none" w:sz="0" w:space="0" w:color="auto"/>
            <w:left w:val="none" w:sz="0" w:space="0" w:color="auto"/>
            <w:bottom w:val="none" w:sz="0" w:space="0" w:color="auto"/>
            <w:right w:val="none" w:sz="0" w:space="0" w:color="auto"/>
          </w:divBdr>
          <w:divsChild>
            <w:div w:id="2096658856">
              <w:marLeft w:val="0"/>
              <w:marRight w:val="0"/>
              <w:marTop w:val="0"/>
              <w:marBottom w:val="0"/>
              <w:divBdr>
                <w:top w:val="none" w:sz="0" w:space="0" w:color="auto"/>
                <w:left w:val="none" w:sz="0" w:space="0" w:color="auto"/>
                <w:bottom w:val="none" w:sz="0" w:space="0" w:color="auto"/>
                <w:right w:val="none" w:sz="0" w:space="0" w:color="auto"/>
              </w:divBdr>
            </w:div>
          </w:divsChild>
        </w:div>
        <w:div w:id="1249386660">
          <w:marLeft w:val="0"/>
          <w:marRight w:val="0"/>
          <w:marTop w:val="0"/>
          <w:marBottom w:val="0"/>
          <w:divBdr>
            <w:top w:val="none" w:sz="0" w:space="0" w:color="auto"/>
            <w:left w:val="none" w:sz="0" w:space="0" w:color="auto"/>
            <w:bottom w:val="none" w:sz="0" w:space="0" w:color="auto"/>
            <w:right w:val="none" w:sz="0" w:space="0" w:color="auto"/>
          </w:divBdr>
          <w:divsChild>
            <w:div w:id="482503596">
              <w:marLeft w:val="0"/>
              <w:marRight w:val="0"/>
              <w:marTop w:val="0"/>
              <w:marBottom w:val="0"/>
              <w:divBdr>
                <w:top w:val="none" w:sz="0" w:space="0" w:color="auto"/>
                <w:left w:val="none" w:sz="0" w:space="0" w:color="auto"/>
                <w:bottom w:val="none" w:sz="0" w:space="0" w:color="auto"/>
                <w:right w:val="none" w:sz="0" w:space="0" w:color="auto"/>
              </w:divBdr>
            </w:div>
          </w:divsChild>
        </w:div>
        <w:div w:id="1249771910">
          <w:marLeft w:val="0"/>
          <w:marRight w:val="0"/>
          <w:marTop w:val="0"/>
          <w:marBottom w:val="0"/>
          <w:divBdr>
            <w:top w:val="none" w:sz="0" w:space="0" w:color="auto"/>
            <w:left w:val="none" w:sz="0" w:space="0" w:color="auto"/>
            <w:bottom w:val="none" w:sz="0" w:space="0" w:color="auto"/>
            <w:right w:val="none" w:sz="0" w:space="0" w:color="auto"/>
          </w:divBdr>
          <w:divsChild>
            <w:div w:id="1993832071">
              <w:marLeft w:val="0"/>
              <w:marRight w:val="0"/>
              <w:marTop w:val="0"/>
              <w:marBottom w:val="0"/>
              <w:divBdr>
                <w:top w:val="none" w:sz="0" w:space="0" w:color="auto"/>
                <w:left w:val="none" w:sz="0" w:space="0" w:color="auto"/>
                <w:bottom w:val="none" w:sz="0" w:space="0" w:color="auto"/>
                <w:right w:val="none" w:sz="0" w:space="0" w:color="auto"/>
              </w:divBdr>
            </w:div>
          </w:divsChild>
        </w:div>
        <w:div w:id="1249848232">
          <w:marLeft w:val="0"/>
          <w:marRight w:val="0"/>
          <w:marTop w:val="0"/>
          <w:marBottom w:val="0"/>
          <w:divBdr>
            <w:top w:val="none" w:sz="0" w:space="0" w:color="auto"/>
            <w:left w:val="none" w:sz="0" w:space="0" w:color="auto"/>
            <w:bottom w:val="none" w:sz="0" w:space="0" w:color="auto"/>
            <w:right w:val="none" w:sz="0" w:space="0" w:color="auto"/>
          </w:divBdr>
          <w:divsChild>
            <w:div w:id="1294630769">
              <w:marLeft w:val="0"/>
              <w:marRight w:val="0"/>
              <w:marTop w:val="0"/>
              <w:marBottom w:val="0"/>
              <w:divBdr>
                <w:top w:val="none" w:sz="0" w:space="0" w:color="auto"/>
                <w:left w:val="none" w:sz="0" w:space="0" w:color="auto"/>
                <w:bottom w:val="none" w:sz="0" w:space="0" w:color="auto"/>
                <w:right w:val="none" w:sz="0" w:space="0" w:color="auto"/>
              </w:divBdr>
            </w:div>
          </w:divsChild>
        </w:div>
        <w:div w:id="1252280220">
          <w:marLeft w:val="0"/>
          <w:marRight w:val="0"/>
          <w:marTop w:val="0"/>
          <w:marBottom w:val="0"/>
          <w:divBdr>
            <w:top w:val="none" w:sz="0" w:space="0" w:color="auto"/>
            <w:left w:val="none" w:sz="0" w:space="0" w:color="auto"/>
            <w:bottom w:val="none" w:sz="0" w:space="0" w:color="auto"/>
            <w:right w:val="none" w:sz="0" w:space="0" w:color="auto"/>
          </w:divBdr>
          <w:divsChild>
            <w:div w:id="1108279952">
              <w:marLeft w:val="0"/>
              <w:marRight w:val="0"/>
              <w:marTop w:val="0"/>
              <w:marBottom w:val="0"/>
              <w:divBdr>
                <w:top w:val="none" w:sz="0" w:space="0" w:color="auto"/>
                <w:left w:val="none" w:sz="0" w:space="0" w:color="auto"/>
                <w:bottom w:val="none" w:sz="0" w:space="0" w:color="auto"/>
                <w:right w:val="none" w:sz="0" w:space="0" w:color="auto"/>
              </w:divBdr>
            </w:div>
          </w:divsChild>
        </w:div>
        <w:div w:id="1252549211">
          <w:marLeft w:val="0"/>
          <w:marRight w:val="0"/>
          <w:marTop w:val="0"/>
          <w:marBottom w:val="0"/>
          <w:divBdr>
            <w:top w:val="none" w:sz="0" w:space="0" w:color="auto"/>
            <w:left w:val="none" w:sz="0" w:space="0" w:color="auto"/>
            <w:bottom w:val="none" w:sz="0" w:space="0" w:color="auto"/>
            <w:right w:val="none" w:sz="0" w:space="0" w:color="auto"/>
          </w:divBdr>
          <w:divsChild>
            <w:div w:id="1686635505">
              <w:marLeft w:val="0"/>
              <w:marRight w:val="0"/>
              <w:marTop w:val="0"/>
              <w:marBottom w:val="0"/>
              <w:divBdr>
                <w:top w:val="none" w:sz="0" w:space="0" w:color="auto"/>
                <w:left w:val="none" w:sz="0" w:space="0" w:color="auto"/>
                <w:bottom w:val="none" w:sz="0" w:space="0" w:color="auto"/>
                <w:right w:val="none" w:sz="0" w:space="0" w:color="auto"/>
              </w:divBdr>
            </w:div>
          </w:divsChild>
        </w:div>
        <w:div w:id="1255289176">
          <w:marLeft w:val="0"/>
          <w:marRight w:val="0"/>
          <w:marTop w:val="0"/>
          <w:marBottom w:val="0"/>
          <w:divBdr>
            <w:top w:val="none" w:sz="0" w:space="0" w:color="auto"/>
            <w:left w:val="none" w:sz="0" w:space="0" w:color="auto"/>
            <w:bottom w:val="none" w:sz="0" w:space="0" w:color="auto"/>
            <w:right w:val="none" w:sz="0" w:space="0" w:color="auto"/>
          </w:divBdr>
          <w:divsChild>
            <w:div w:id="1999920763">
              <w:marLeft w:val="0"/>
              <w:marRight w:val="0"/>
              <w:marTop w:val="0"/>
              <w:marBottom w:val="0"/>
              <w:divBdr>
                <w:top w:val="none" w:sz="0" w:space="0" w:color="auto"/>
                <w:left w:val="none" w:sz="0" w:space="0" w:color="auto"/>
                <w:bottom w:val="none" w:sz="0" w:space="0" w:color="auto"/>
                <w:right w:val="none" w:sz="0" w:space="0" w:color="auto"/>
              </w:divBdr>
            </w:div>
          </w:divsChild>
        </w:div>
        <w:div w:id="1255895057">
          <w:marLeft w:val="0"/>
          <w:marRight w:val="0"/>
          <w:marTop w:val="0"/>
          <w:marBottom w:val="0"/>
          <w:divBdr>
            <w:top w:val="none" w:sz="0" w:space="0" w:color="auto"/>
            <w:left w:val="none" w:sz="0" w:space="0" w:color="auto"/>
            <w:bottom w:val="none" w:sz="0" w:space="0" w:color="auto"/>
            <w:right w:val="none" w:sz="0" w:space="0" w:color="auto"/>
          </w:divBdr>
          <w:divsChild>
            <w:div w:id="1555435193">
              <w:marLeft w:val="0"/>
              <w:marRight w:val="0"/>
              <w:marTop w:val="0"/>
              <w:marBottom w:val="0"/>
              <w:divBdr>
                <w:top w:val="none" w:sz="0" w:space="0" w:color="auto"/>
                <w:left w:val="none" w:sz="0" w:space="0" w:color="auto"/>
                <w:bottom w:val="none" w:sz="0" w:space="0" w:color="auto"/>
                <w:right w:val="none" w:sz="0" w:space="0" w:color="auto"/>
              </w:divBdr>
            </w:div>
          </w:divsChild>
        </w:div>
        <w:div w:id="1256943244">
          <w:marLeft w:val="0"/>
          <w:marRight w:val="0"/>
          <w:marTop w:val="0"/>
          <w:marBottom w:val="0"/>
          <w:divBdr>
            <w:top w:val="none" w:sz="0" w:space="0" w:color="auto"/>
            <w:left w:val="none" w:sz="0" w:space="0" w:color="auto"/>
            <w:bottom w:val="none" w:sz="0" w:space="0" w:color="auto"/>
            <w:right w:val="none" w:sz="0" w:space="0" w:color="auto"/>
          </w:divBdr>
          <w:divsChild>
            <w:div w:id="780102088">
              <w:marLeft w:val="0"/>
              <w:marRight w:val="0"/>
              <w:marTop w:val="0"/>
              <w:marBottom w:val="0"/>
              <w:divBdr>
                <w:top w:val="none" w:sz="0" w:space="0" w:color="auto"/>
                <w:left w:val="none" w:sz="0" w:space="0" w:color="auto"/>
                <w:bottom w:val="none" w:sz="0" w:space="0" w:color="auto"/>
                <w:right w:val="none" w:sz="0" w:space="0" w:color="auto"/>
              </w:divBdr>
            </w:div>
          </w:divsChild>
        </w:div>
        <w:div w:id="1257254916">
          <w:marLeft w:val="0"/>
          <w:marRight w:val="0"/>
          <w:marTop w:val="0"/>
          <w:marBottom w:val="0"/>
          <w:divBdr>
            <w:top w:val="none" w:sz="0" w:space="0" w:color="auto"/>
            <w:left w:val="none" w:sz="0" w:space="0" w:color="auto"/>
            <w:bottom w:val="none" w:sz="0" w:space="0" w:color="auto"/>
            <w:right w:val="none" w:sz="0" w:space="0" w:color="auto"/>
          </w:divBdr>
          <w:divsChild>
            <w:div w:id="1219172185">
              <w:marLeft w:val="0"/>
              <w:marRight w:val="0"/>
              <w:marTop w:val="0"/>
              <w:marBottom w:val="0"/>
              <w:divBdr>
                <w:top w:val="none" w:sz="0" w:space="0" w:color="auto"/>
                <w:left w:val="none" w:sz="0" w:space="0" w:color="auto"/>
                <w:bottom w:val="none" w:sz="0" w:space="0" w:color="auto"/>
                <w:right w:val="none" w:sz="0" w:space="0" w:color="auto"/>
              </w:divBdr>
            </w:div>
          </w:divsChild>
        </w:div>
        <w:div w:id="1262032799">
          <w:marLeft w:val="0"/>
          <w:marRight w:val="0"/>
          <w:marTop w:val="0"/>
          <w:marBottom w:val="0"/>
          <w:divBdr>
            <w:top w:val="none" w:sz="0" w:space="0" w:color="auto"/>
            <w:left w:val="none" w:sz="0" w:space="0" w:color="auto"/>
            <w:bottom w:val="none" w:sz="0" w:space="0" w:color="auto"/>
            <w:right w:val="none" w:sz="0" w:space="0" w:color="auto"/>
          </w:divBdr>
          <w:divsChild>
            <w:div w:id="36204464">
              <w:marLeft w:val="0"/>
              <w:marRight w:val="0"/>
              <w:marTop w:val="0"/>
              <w:marBottom w:val="0"/>
              <w:divBdr>
                <w:top w:val="none" w:sz="0" w:space="0" w:color="auto"/>
                <w:left w:val="none" w:sz="0" w:space="0" w:color="auto"/>
                <w:bottom w:val="none" w:sz="0" w:space="0" w:color="auto"/>
                <w:right w:val="none" w:sz="0" w:space="0" w:color="auto"/>
              </w:divBdr>
            </w:div>
          </w:divsChild>
        </w:div>
        <w:div w:id="1269199840">
          <w:marLeft w:val="0"/>
          <w:marRight w:val="0"/>
          <w:marTop w:val="0"/>
          <w:marBottom w:val="0"/>
          <w:divBdr>
            <w:top w:val="none" w:sz="0" w:space="0" w:color="auto"/>
            <w:left w:val="none" w:sz="0" w:space="0" w:color="auto"/>
            <w:bottom w:val="none" w:sz="0" w:space="0" w:color="auto"/>
            <w:right w:val="none" w:sz="0" w:space="0" w:color="auto"/>
          </w:divBdr>
          <w:divsChild>
            <w:div w:id="582227054">
              <w:marLeft w:val="0"/>
              <w:marRight w:val="0"/>
              <w:marTop w:val="0"/>
              <w:marBottom w:val="0"/>
              <w:divBdr>
                <w:top w:val="none" w:sz="0" w:space="0" w:color="auto"/>
                <w:left w:val="none" w:sz="0" w:space="0" w:color="auto"/>
                <w:bottom w:val="none" w:sz="0" w:space="0" w:color="auto"/>
                <w:right w:val="none" w:sz="0" w:space="0" w:color="auto"/>
              </w:divBdr>
            </w:div>
          </w:divsChild>
        </w:div>
        <w:div w:id="1274441063">
          <w:marLeft w:val="0"/>
          <w:marRight w:val="0"/>
          <w:marTop w:val="0"/>
          <w:marBottom w:val="0"/>
          <w:divBdr>
            <w:top w:val="none" w:sz="0" w:space="0" w:color="auto"/>
            <w:left w:val="none" w:sz="0" w:space="0" w:color="auto"/>
            <w:bottom w:val="none" w:sz="0" w:space="0" w:color="auto"/>
            <w:right w:val="none" w:sz="0" w:space="0" w:color="auto"/>
          </w:divBdr>
          <w:divsChild>
            <w:div w:id="635841701">
              <w:marLeft w:val="0"/>
              <w:marRight w:val="0"/>
              <w:marTop w:val="0"/>
              <w:marBottom w:val="0"/>
              <w:divBdr>
                <w:top w:val="none" w:sz="0" w:space="0" w:color="auto"/>
                <w:left w:val="none" w:sz="0" w:space="0" w:color="auto"/>
                <w:bottom w:val="none" w:sz="0" w:space="0" w:color="auto"/>
                <w:right w:val="none" w:sz="0" w:space="0" w:color="auto"/>
              </w:divBdr>
            </w:div>
          </w:divsChild>
        </w:div>
        <w:div w:id="1277982309">
          <w:marLeft w:val="0"/>
          <w:marRight w:val="0"/>
          <w:marTop w:val="0"/>
          <w:marBottom w:val="0"/>
          <w:divBdr>
            <w:top w:val="none" w:sz="0" w:space="0" w:color="auto"/>
            <w:left w:val="none" w:sz="0" w:space="0" w:color="auto"/>
            <w:bottom w:val="none" w:sz="0" w:space="0" w:color="auto"/>
            <w:right w:val="none" w:sz="0" w:space="0" w:color="auto"/>
          </w:divBdr>
          <w:divsChild>
            <w:div w:id="1761558317">
              <w:marLeft w:val="0"/>
              <w:marRight w:val="0"/>
              <w:marTop w:val="0"/>
              <w:marBottom w:val="0"/>
              <w:divBdr>
                <w:top w:val="none" w:sz="0" w:space="0" w:color="auto"/>
                <w:left w:val="none" w:sz="0" w:space="0" w:color="auto"/>
                <w:bottom w:val="none" w:sz="0" w:space="0" w:color="auto"/>
                <w:right w:val="none" w:sz="0" w:space="0" w:color="auto"/>
              </w:divBdr>
            </w:div>
          </w:divsChild>
        </w:div>
        <w:div w:id="1284196312">
          <w:marLeft w:val="0"/>
          <w:marRight w:val="0"/>
          <w:marTop w:val="0"/>
          <w:marBottom w:val="0"/>
          <w:divBdr>
            <w:top w:val="none" w:sz="0" w:space="0" w:color="auto"/>
            <w:left w:val="none" w:sz="0" w:space="0" w:color="auto"/>
            <w:bottom w:val="none" w:sz="0" w:space="0" w:color="auto"/>
            <w:right w:val="none" w:sz="0" w:space="0" w:color="auto"/>
          </w:divBdr>
          <w:divsChild>
            <w:div w:id="915357912">
              <w:marLeft w:val="0"/>
              <w:marRight w:val="0"/>
              <w:marTop w:val="0"/>
              <w:marBottom w:val="0"/>
              <w:divBdr>
                <w:top w:val="none" w:sz="0" w:space="0" w:color="auto"/>
                <w:left w:val="none" w:sz="0" w:space="0" w:color="auto"/>
                <w:bottom w:val="none" w:sz="0" w:space="0" w:color="auto"/>
                <w:right w:val="none" w:sz="0" w:space="0" w:color="auto"/>
              </w:divBdr>
            </w:div>
          </w:divsChild>
        </w:div>
        <w:div w:id="1285120208">
          <w:marLeft w:val="0"/>
          <w:marRight w:val="0"/>
          <w:marTop w:val="0"/>
          <w:marBottom w:val="0"/>
          <w:divBdr>
            <w:top w:val="none" w:sz="0" w:space="0" w:color="auto"/>
            <w:left w:val="none" w:sz="0" w:space="0" w:color="auto"/>
            <w:bottom w:val="none" w:sz="0" w:space="0" w:color="auto"/>
            <w:right w:val="none" w:sz="0" w:space="0" w:color="auto"/>
          </w:divBdr>
          <w:divsChild>
            <w:div w:id="439184093">
              <w:marLeft w:val="0"/>
              <w:marRight w:val="0"/>
              <w:marTop w:val="0"/>
              <w:marBottom w:val="0"/>
              <w:divBdr>
                <w:top w:val="none" w:sz="0" w:space="0" w:color="auto"/>
                <w:left w:val="none" w:sz="0" w:space="0" w:color="auto"/>
                <w:bottom w:val="none" w:sz="0" w:space="0" w:color="auto"/>
                <w:right w:val="none" w:sz="0" w:space="0" w:color="auto"/>
              </w:divBdr>
            </w:div>
          </w:divsChild>
        </w:div>
        <w:div w:id="1287393835">
          <w:marLeft w:val="0"/>
          <w:marRight w:val="0"/>
          <w:marTop w:val="0"/>
          <w:marBottom w:val="0"/>
          <w:divBdr>
            <w:top w:val="none" w:sz="0" w:space="0" w:color="auto"/>
            <w:left w:val="none" w:sz="0" w:space="0" w:color="auto"/>
            <w:bottom w:val="none" w:sz="0" w:space="0" w:color="auto"/>
            <w:right w:val="none" w:sz="0" w:space="0" w:color="auto"/>
          </w:divBdr>
          <w:divsChild>
            <w:div w:id="662125370">
              <w:marLeft w:val="0"/>
              <w:marRight w:val="0"/>
              <w:marTop w:val="0"/>
              <w:marBottom w:val="0"/>
              <w:divBdr>
                <w:top w:val="none" w:sz="0" w:space="0" w:color="auto"/>
                <w:left w:val="none" w:sz="0" w:space="0" w:color="auto"/>
                <w:bottom w:val="none" w:sz="0" w:space="0" w:color="auto"/>
                <w:right w:val="none" w:sz="0" w:space="0" w:color="auto"/>
              </w:divBdr>
            </w:div>
          </w:divsChild>
        </w:div>
        <w:div w:id="1288391893">
          <w:marLeft w:val="0"/>
          <w:marRight w:val="0"/>
          <w:marTop w:val="0"/>
          <w:marBottom w:val="0"/>
          <w:divBdr>
            <w:top w:val="none" w:sz="0" w:space="0" w:color="auto"/>
            <w:left w:val="none" w:sz="0" w:space="0" w:color="auto"/>
            <w:bottom w:val="none" w:sz="0" w:space="0" w:color="auto"/>
            <w:right w:val="none" w:sz="0" w:space="0" w:color="auto"/>
          </w:divBdr>
          <w:divsChild>
            <w:div w:id="1124302692">
              <w:marLeft w:val="0"/>
              <w:marRight w:val="0"/>
              <w:marTop w:val="0"/>
              <w:marBottom w:val="0"/>
              <w:divBdr>
                <w:top w:val="none" w:sz="0" w:space="0" w:color="auto"/>
                <w:left w:val="none" w:sz="0" w:space="0" w:color="auto"/>
                <w:bottom w:val="none" w:sz="0" w:space="0" w:color="auto"/>
                <w:right w:val="none" w:sz="0" w:space="0" w:color="auto"/>
              </w:divBdr>
            </w:div>
          </w:divsChild>
        </w:div>
        <w:div w:id="1289433864">
          <w:marLeft w:val="0"/>
          <w:marRight w:val="0"/>
          <w:marTop w:val="0"/>
          <w:marBottom w:val="0"/>
          <w:divBdr>
            <w:top w:val="none" w:sz="0" w:space="0" w:color="auto"/>
            <w:left w:val="none" w:sz="0" w:space="0" w:color="auto"/>
            <w:bottom w:val="none" w:sz="0" w:space="0" w:color="auto"/>
            <w:right w:val="none" w:sz="0" w:space="0" w:color="auto"/>
          </w:divBdr>
          <w:divsChild>
            <w:div w:id="715471628">
              <w:marLeft w:val="0"/>
              <w:marRight w:val="0"/>
              <w:marTop w:val="0"/>
              <w:marBottom w:val="0"/>
              <w:divBdr>
                <w:top w:val="none" w:sz="0" w:space="0" w:color="auto"/>
                <w:left w:val="none" w:sz="0" w:space="0" w:color="auto"/>
                <w:bottom w:val="none" w:sz="0" w:space="0" w:color="auto"/>
                <w:right w:val="none" w:sz="0" w:space="0" w:color="auto"/>
              </w:divBdr>
            </w:div>
          </w:divsChild>
        </w:div>
        <w:div w:id="1290284253">
          <w:marLeft w:val="0"/>
          <w:marRight w:val="0"/>
          <w:marTop w:val="0"/>
          <w:marBottom w:val="0"/>
          <w:divBdr>
            <w:top w:val="none" w:sz="0" w:space="0" w:color="auto"/>
            <w:left w:val="none" w:sz="0" w:space="0" w:color="auto"/>
            <w:bottom w:val="none" w:sz="0" w:space="0" w:color="auto"/>
            <w:right w:val="none" w:sz="0" w:space="0" w:color="auto"/>
          </w:divBdr>
          <w:divsChild>
            <w:div w:id="1410346279">
              <w:marLeft w:val="0"/>
              <w:marRight w:val="0"/>
              <w:marTop w:val="0"/>
              <w:marBottom w:val="0"/>
              <w:divBdr>
                <w:top w:val="none" w:sz="0" w:space="0" w:color="auto"/>
                <w:left w:val="none" w:sz="0" w:space="0" w:color="auto"/>
                <w:bottom w:val="none" w:sz="0" w:space="0" w:color="auto"/>
                <w:right w:val="none" w:sz="0" w:space="0" w:color="auto"/>
              </w:divBdr>
            </w:div>
          </w:divsChild>
        </w:div>
        <w:div w:id="1302464368">
          <w:marLeft w:val="0"/>
          <w:marRight w:val="0"/>
          <w:marTop w:val="0"/>
          <w:marBottom w:val="0"/>
          <w:divBdr>
            <w:top w:val="none" w:sz="0" w:space="0" w:color="auto"/>
            <w:left w:val="none" w:sz="0" w:space="0" w:color="auto"/>
            <w:bottom w:val="none" w:sz="0" w:space="0" w:color="auto"/>
            <w:right w:val="none" w:sz="0" w:space="0" w:color="auto"/>
          </w:divBdr>
          <w:divsChild>
            <w:div w:id="1837381848">
              <w:marLeft w:val="0"/>
              <w:marRight w:val="0"/>
              <w:marTop w:val="0"/>
              <w:marBottom w:val="0"/>
              <w:divBdr>
                <w:top w:val="none" w:sz="0" w:space="0" w:color="auto"/>
                <w:left w:val="none" w:sz="0" w:space="0" w:color="auto"/>
                <w:bottom w:val="none" w:sz="0" w:space="0" w:color="auto"/>
                <w:right w:val="none" w:sz="0" w:space="0" w:color="auto"/>
              </w:divBdr>
            </w:div>
          </w:divsChild>
        </w:div>
        <w:div w:id="1303071737">
          <w:marLeft w:val="0"/>
          <w:marRight w:val="0"/>
          <w:marTop w:val="0"/>
          <w:marBottom w:val="0"/>
          <w:divBdr>
            <w:top w:val="none" w:sz="0" w:space="0" w:color="auto"/>
            <w:left w:val="none" w:sz="0" w:space="0" w:color="auto"/>
            <w:bottom w:val="none" w:sz="0" w:space="0" w:color="auto"/>
            <w:right w:val="none" w:sz="0" w:space="0" w:color="auto"/>
          </w:divBdr>
          <w:divsChild>
            <w:div w:id="127434306">
              <w:marLeft w:val="0"/>
              <w:marRight w:val="0"/>
              <w:marTop w:val="0"/>
              <w:marBottom w:val="0"/>
              <w:divBdr>
                <w:top w:val="none" w:sz="0" w:space="0" w:color="auto"/>
                <w:left w:val="none" w:sz="0" w:space="0" w:color="auto"/>
                <w:bottom w:val="none" w:sz="0" w:space="0" w:color="auto"/>
                <w:right w:val="none" w:sz="0" w:space="0" w:color="auto"/>
              </w:divBdr>
            </w:div>
          </w:divsChild>
        </w:div>
        <w:div w:id="1303921103">
          <w:marLeft w:val="0"/>
          <w:marRight w:val="0"/>
          <w:marTop w:val="0"/>
          <w:marBottom w:val="0"/>
          <w:divBdr>
            <w:top w:val="none" w:sz="0" w:space="0" w:color="auto"/>
            <w:left w:val="none" w:sz="0" w:space="0" w:color="auto"/>
            <w:bottom w:val="none" w:sz="0" w:space="0" w:color="auto"/>
            <w:right w:val="none" w:sz="0" w:space="0" w:color="auto"/>
          </w:divBdr>
          <w:divsChild>
            <w:div w:id="961766783">
              <w:marLeft w:val="0"/>
              <w:marRight w:val="0"/>
              <w:marTop w:val="0"/>
              <w:marBottom w:val="0"/>
              <w:divBdr>
                <w:top w:val="none" w:sz="0" w:space="0" w:color="auto"/>
                <w:left w:val="none" w:sz="0" w:space="0" w:color="auto"/>
                <w:bottom w:val="none" w:sz="0" w:space="0" w:color="auto"/>
                <w:right w:val="none" w:sz="0" w:space="0" w:color="auto"/>
              </w:divBdr>
            </w:div>
          </w:divsChild>
        </w:div>
        <w:div w:id="1306280229">
          <w:marLeft w:val="0"/>
          <w:marRight w:val="0"/>
          <w:marTop w:val="0"/>
          <w:marBottom w:val="0"/>
          <w:divBdr>
            <w:top w:val="none" w:sz="0" w:space="0" w:color="auto"/>
            <w:left w:val="none" w:sz="0" w:space="0" w:color="auto"/>
            <w:bottom w:val="none" w:sz="0" w:space="0" w:color="auto"/>
            <w:right w:val="none" w:sz="0" w:space="0" w:color="auto"/>
          </w:divBdr>
          <w:divsChild>
            <w:div w:id="522331627">
              <w:marLeft w:val="0"/>
              <w:marRight w:val="0"/>
              <w:marTop w:val="0"/>
              <w:marBottom w:val="0"/>
              <w:divBdr>
                <w:top w:val="none" w:sz="0" w:space="0" w:color="auto"/>
                <w:left w:val="none" w:sz="0" w:space="0" w:color="auto"/>
                <w:bottom w:val="none" w:sz="0" w:space="0" w:color="auto"/>
                <w:right w:val="none" w:sz="0" w:space="0" w:color="auto"/>
              </w:divBdr>
            </w:div>
          </w:divsChild>
        </w:div>
        <w:div w:id="1306355989">
          <w:marLeft w:val="0"/>
          <w:marRight w:val="0"/>
          <w:marTop w:val="0"/>
          <w:marBottom w:val="0"/>
          <w:divBdr>
            <w:top w:val="none" w:sz="0" w:space="0" w:color="auto"/>
            <w:left w:val="none" w:sz="0" w:space="0" w:color="auto"/>
            <w:bottom w:val="none" w:sz="0" w:space="0" w:color="auto"/>
            <w:right w:val="none" w:sz="0" w:space="0" w:color="auto"/>
          </w:divBdr>
          <w:divsChild>
            <w:div w:id="1763642804">
              <w:marLeft w:val="0"/>
              <w:marRight w:val="0"/>
              <w:marTop w:val="0"/>
              <w:marBottom w:val="0"/>
              <w:divBdr>
                <w:top w:val="none" w:sz="0" w:space="0" w:color="auto"/>
                <w:left w:val="none" w:sz="0" w:space="0" w:color="auto"/>
                <w:bottom w:val="none" w:sz="0" w:space="0" w:color="auto"/>
                <w:right w:val="none" w:sz="0" w:space="0" w:color="auto"/>
              </w:divBdr>
            </w:div>
          </w:divsChild>
        </w:div>
        <w:div w:id="1307930050">
          <w:marLeft w:val="0"/>
          <w:marRight w:val="0"/>
          <w:marTop w:val="0"/>
          <w:marBottom w:val="0"/>
          <w:divBdr>
            <w:top w:val="none" w:sz="0" w:space="0" w:color="auto"/>
            <w:left w:val="none" w:sz="0" w:space="0" w:color="auto"/>
            <w:bottom w:val="none" w:sz="0" w:space="0" w:color="auto"/>
            <w:right w:val="none" w:sz="0" w:space="0" w:color="auto"/>
          </w:divBdr>
          <w:divsChild>
            <w:div w:id="2007129143">
              <w:marLeft w:val="0"/>
              <w:marRight w:val="0"/>
              <w:marTop w:val="0"/>
              <w:marBottom w:val="0"/>
              <w:divBdr>
                <w:top w:val="none" w:sz="0" w:space="0" w:color="auto"/>
                <w:left w:val="none" w:sz="0" w:space="0" w:color="auto"/>
                <w:bottom w:val="none" w:sz="0" w:space="0" w:color="auto"/>
                <w:right w:val="none" w:sz="0" w:space="0" w:color="auto"/>
              </w:divBdr>
            </w:div>
          </w:divsChild>
        </w:div>
        <w:div w:id="1308365234">
          <w:marLeft w:val="0"/>
          <w:marRight w:val="0"/>
          <w:marTop w:val="0"/>
          <w:marBottom w:val="0"/>
          <w:divBdr>
            <w:top w:val="none" w:sz="0" w:space="0" w:color="auto"/>
            <w:left w:val="none" w:sz="0" w:space="0" w:color="auto"/>
            <w:bottom w:val="none" w:sz="0" w:space="0" w:color="auto"/>
            <w:right w:val="none" w:sz="0" w:space="0" w:color="auto"/>
          </w:divBdr>
          <w:divsChild>
            <w:div w:id="1471094968">
              <w:marLeft w:val="0"/>
              <w:marRight w:val="0"/>
              <w:marTop w:val="0"/>
              <w:marBottom w:val="0"/>
              <w:divBdr>
                <w:top w:val="none" w:sz="0" w:space="0" w:color="auto"/>
                <w:left w:val="none" w:sz="0" w:space="0" w:color="auto"/>
                <w:bottom w:val="none" w:sz="0" w:space="0" w:color="auto"/>
                <w:right w:val="none" w:sz="0" w:space="0" w:color="auto"/>
              </w:divBdr>
            </w:div>
          </w:divsChild>
        </w:div>
        <w:div w:id="1308436000">
          <w:marLeft w:val="0"/>
          <w:marRight w:val="0"/>
          <w:marTop w:val="0"/>
          <w:marBottom w:val="0"/>
          <w:divBdr>
            <w:top w:val="none" w:sz="0" w:space="0" w:color="auto"/>
            <w:left w:val="none" w:sz="0" w:space="0" w:color="auto"/>
            <w:bottom w:val="none" w:sz="0" w:space="0" w:color="auto"/>
            <w:right w:val="none" w:sz="0" w:space="0" w:color="auto"/>
          </w:divBdr>
          <w:divsChild>
            <w:div w:id="830946964">
              <w:marLeft w:val="0"/>
              <w:marRight w:val="0"/>
              <w:marTop w:val="0"/>
              <w:marBottom w:val="0"/>
              <w:divBdr>
                <w:top w:val="none" w:sz="0" w:space="0" w:color="auto"/>
                <w:left w:val="none" w:sz="0" w:space="0" w:color="auto"/>
                <w:bottom w:val="none" w:sz="0" w:space="0" w:color="auto"/>
                <w:right w:val="none" w:sz="0" w:space="0" w:color="auto"/>
              </w:divBdr>
            </w:div>
          </w:divsChild>
        </w:div>
        <w:div w:id="1311448538">
          <w:marLeft w:val="0"/>
          <w:marRight w:val="0"/>
          <w:marTop w:val="0"/>
          <w:marBottom w:val="0"/>
          <w:divBdr>
            <w:top w:val="none" w:sz="0" w:space="0" w:color="auto"/>
            <w:left w:val="none" w:sz="0" w:space="0" w:color="auto"/>
            <w:bottom w:val="none" w:sz="0" w:space="0" w:color="auto"/>
            <w:right w:val="none" w:sz="0" w:space="0" w:color="auto"/>
          </w:divBdr>
          <w:divsChild>
            <w:div w:id="1624918770">
              <w:marLeft w:val="0"/>
              <w:marRight w:val="0"/>
              <w:marTop w:val="0"/>
              <w:marBottom w:val="0"/>
              <w:divBdr>
                <w:top w:val="none" w:sz="0" w:space="0" w:color="auto"/>
                <w:left w:val="none" w:sz="0" w:space="0" w:color="auto"/>
                <w:bottom w:val="none" w:sz="0" w:space="0" w:color="auto"/>
                <w:right w:val="none" w:sz="0" w:space="0" w:color="auto"/>
              </w:divBdr>
            </w:div>
          </w:divsChild>
        </w:div>
        <w:div w:id="1312754147">
          <w:marLeft w:val="0"/>
          <w:marRight w:val="0"/>
          <w:marTop w:val="0"/>
          <w:marBottom w:val="0"/>
          <w:divBdr>
            <w:top w:val="none" w:sz="0" w:space="0" w:color="auto"/>
            <w:left w:val="none" w:sz="0" w:space="0" w:color="auto"/>
            <w:bottom w:val="none" w:sz="0" w:space="0" w:color="auto"/>
            <w:right w:val="none" w:sz="0" w:space="0" w:color="auto"/>
          </w:divBdr>
          <w:divsChild>
            <w:div w:id="571549517">
              <w:marLeft w:val="0"/>
              <w:marRight w:val="0"/>
              <w:marTop w:val="0"/>
              <w:marBottom w:val="0"/>
              <w:divBdr>
                <w:top w:val="none" w:sz="0" w:space="0" w:color="auto"/>
                <w:left w:val="none" w:sz="0" w:space="0" w:color="auto"/>
                <w:bottom w:val="none" w:sz="0" w:space="0" w:color="auto"/>
                <w:right w:val="none" w:sz="0" w:space="0" w:color="auto"/>
              </w:divBdr>
            </w:div>
          </w:divsChild>
        </w:div>
        <w:div w:id="1318266593">
          <w:marLeft w:val="0"/>
          <w:marRight w:val="0"/>
          <w:marTop w:val="0"/>
          <w:marBottom w:val="0"/>
          <w:divBdr>
            <w:top w:val="none" w:sz="0" w:space="0" w:color="auto"/>
            <w:left w:val="none" w:sz="0" w:space="0" w:color="auto"/>
            <w:bottom w:val="none" w:sz="0" w:space="0" w:color="auto"/>
            <w:right w:val="none" w:sz="0" w:space="0" w:color="auto"/>
          </w:divBdr>
          <w:divsChild>
            <w:div w:id="2143427531">
              <w:marLeft w:val="0"/>
              <w:marRight w:val="0"/>
              <w:marTop w:val="0"/>
              <w:marBottom w:val="0"/>
              <w:divBdr>
                <w:top w:val="none" w:sz="0" w:space="0" w:color="auto"/>
                <w:left w:val="none" w:sz="0" w:space="0" w:color="auto"/>
                <w:bottom w:val="none" w:sz="0" w:space="0" w:color="auto"/>
                <w:right w:val="none" w:sz="0" w:space="0" w:color="auto"/>
              </w:divBdr>
            </w:div>
          </w:divsChild>
        </w:div>
        <w:div w:id="1319653455">
          <w:marLeft w:val="0"/>
          <w:marRight w:val="0"/>
          <w:marTop w:val="0"/>
          <w:marBottom w:val="0"/>
          <w:divBdr>
            <w:top w:val="none" w:sz="0" w:space="0" w:color="auto"/>
            <w:left w:val="none" w:sz="0" w:space="0" w:color="auto"/>
            <w:bottom w:val="none" w:sz="0" w:space="0" w:color="auto"/>
            <w:right w:val="none" w:sz="0" w:space="0" w:color="auto"/>
          </w:divBdr>
          <w:divsChild>
            <w:div w:id="1701273378">
              <w:marLeft w:val="0"/>
              <w:marRight w:val="0"/>
              <w:marTop w:val="0"/>
              <w:marBottom w:val="0"/>
              <w:divBdr>
                <w:top w:val="none" w:sz="0" w:space="0" w:color="auto"/>
                <w:left w:val="none" w:sz="0" w:space="0" w:color="auto"/>
                <w:bottom w:val="none" w:sz="0" w:space="0" w:color="auto"/>
                <w:right w:val="none" w:sz="0" w:space="0" w:color="auto"/>
              </w:divBdr>
            </w:div>
          </w:divsChild>
        </w:div>
        <w:div w:id="1321345812">
          <w:marLeft w:val="0"/>
          <w:marRight w:val="0"/>
          <w:marTop w:val="0"/>
          <w:marBottom w:val="0"/>
          <w:divBdr>
            <w:top w:val="none" w:sz="0" w:space="0" w:color="auto"/>
            <w:left w:val="none" w:sz="0" w:space="0" w:color="auto"/>
            <w:bottom w:val="none" w:sz="0" w:space="0" w:color="auto"/>
            <w:right w:val="none" w:sz="0" w:space="0" w:color="auto"/>
          </w:divBdr>
          <w:divsChild>
            <w:div w:id="791364815">
              <w:marLeft w:val="0"/>
              <w:marRight w:val="0"/>
              <w:marTop w:val="0"/>
              <w:marBottom w:val="0"/>
              <w:divBdr>
                <w:top w:val="none" w:sz="0" w:space="0" w:color="auto"/>
                <w:left w:val="none" w:sz="0" w:space="0" w:color="auto"/>
                <w:bottom w:val="none" w:sz="0" w:space="0" w:color="auto"/>
                <w:right w:val="none" w:sz="0" w:space="0" w:color="auto"/>
              </w:divBdr>
            </w:div>
          </w:divsChild>
        </w:div>
        <w:div w:id="1322658800">
          <w:marLeft w:val="0"/>
          <w:marRight w:val="0"/>
          <w:marTop w:val="0"/>
          <w:marBottom w:val="0"/>
          <w:divBdr>
            <w:top w:val="none" w:sz="0" w:space="0" w:color="auto"/>
            <w:left w:val="none" w:sz="0" w:space="0" w:color="auto"/>
            <w:bottom w:val="none" w:sz="0" w:space="0" w:color="auto"/>
            <w:right w:val="none" w:sz="0" w:space="0" w:color="auto"/>
          </w:divBdr>
          <w:divsChild>
            <w:div w:id="233855932">
              <w:marLeft w:val="0"/>
              <w:marRight w:val="0"/>
              <w:marTop w:val="0"/>
              <w:marBottom w:val="0"/>
              <w:divBdr>
                <w:top w:val="none" w:sz="0" w:space="0" w:color="auto"/>
                <w:left w:val="none" w:sz="0" w:space="0" w:color="auto"/>
                <w:bottom w:val="none" w:sz="0" w:space="0" w:color="auto"/>
                <w:right w:val="none" w:sz="0" w:space="0" w:color="auto"/>
              </w:divBdr>
            </w:div>
          </w:divsChild>
        </w:div>
        <w:div w:id="1323043632">
          <w:marLeft w:val="0"/>
          <w:marRight w:val="0"/>
          <w:marTop w:val="0"/>
          <w:marBottom w:val="0"/>
          <w:divBdr>
            <w:top w:val="none" w:sz="0" w:space="0" w:color="auto"/>
            <w:left w:val="none" w:sz="0" w:space="0" w:color="auto"/>
            <w:bottom w:val="none" w:sz="0" w:space="0" w:color="auto"/>
            <w:right w:val="none" w:sz="0" w:space="0" w:color="auto"/>
          </w:divBdr>
          <w:divsChild>
            <w:div w:id="1167476893">
              <w:marLeft w:val="0"/>
              <w:marRight w:val="0"/>
              <w:marTop w:val="0"/>
              <w:marBottom w:val="0"/>
              <w:divBdr>
                <w:top w:val="none" w:sz="0" w:space="0" w:color="auto"/>
                <w:left w:val="none" w:sz="0" w:space="0" w:color="auto"/>
                <w:bottom w:val="none" w:sz="0" w:space="0" w:color="auto"/>
                <w:right w:val="none" w:sz="0" w:space="0" w:color="auto"/>
              </w:divBdr>
            </w:div>
          </w:divsChild>
        </w:div>
        <w:div w:id="1324116955">
          <w:marLeft w:val="0"/>
          <w:marRight w:val="0"/>
          <w:marTop w:val="0"/>
          <w:marBottom w:val="0"/>
          <w:divBdr>
            <w:top w:val="none" w:sz="0" w:space="0" w:color="auto"/>
            <w:left w:val="none" w:sz="0" w:space="0" w:color="auto"/>
            <w:bottom w:val="none" w:sz="0" w:space="0" w:color="auto"/>
            <w:right w:val="none" w:sz="0" w:space="0" w:color="auto"/>
          </w:divBdr>
          <w:divsChild>
            <w:div w:id="903375224">
              <w:marLeft w:val="0"/>
              <w:marRight w:val="0"/>
              <w:marTop w:val="0"/>
              <w:marBottom w:val="0"/>
              <w:divBdr>
                <w:top w:val="none" w:sz="0" w:space="0" w:color="auto"/>
                <w:left w:val="none" w:sz="0" w:space="0" w:color="auto"/>
                <w:bottom w:val="none" w:sz="0" w:space="0" w:color="auto"/>
                <w:right w:val="none" w:sz="0" w:space="0" w:color="auto"/>
              </w:divBdr>
            </w:div>
          </w:divsChild>
        </w:div>
        <w:div w:id="1325013104">
          <w:marLeft w:val="0"/>
          <w:marRight w:val="0"/>
          <w:marTop w:val="0"/>
          <w:marBottom w:val="0"/>
          <w:divBdr>
            <w:top w:val="none" w:sz="0" w:space="0" w:color="auto"/>
            <w:left w:val="none" w:sz="0" w:space="0" w:color="auto"/>
            <w:bottom w:val="none" w:sz="0" w:space="0" w:color="auto"/>
            <w:right w:val="none" w:sz="0" w:space="0" w:color="auto"/>
          </w:divBdr>
          <w:divsChild>
            <w:div w:id="1227495204">
              <w:marLeft w:val="0"/>
              <w:marRight w:val="0"/>
              <w:marTop w:val="0"/>
              <w:marBottom w:val="0"/>
              <w:divBdr>
                <w:top w:val="none" w:sz="0" w:space="0" w:color="auto"/>
                <w:left w:val="none" w:sz="0" w:space="0" w:color="auto"/>
                <w:bottom w:val="none" w:sz="0" w:space="0" w:color="auto"/>
                <w:right w:val="none" w:sz="0" w:space="0" w:color="auto"/>
              </w:divBdr>
            </w:div>
          </w:divsChild>
        </w:div>
        <w:div w:id="1326086677">
          <w:marLeft w:val="0"/>
          <w:marRight w:val="0"/>
          <w:marTop w:val="0"/>
          <w:marBottom w:val="0"/>
          <w:divBdr>
            <w:top w:val="none" w:sz="0" w:space="0" w:color="auto"/>
            <w:left w:val="none" w:sz="0" w:space="0" w:color="auto"/>
            <w:bottom w:val="none" w:sz="0" w:space="0" w:color="auto"/>
            <w:right w:val="none" w:sz="0" w:space="0" w:color="auto"/>
          </w:divBdr>
          <w:divsChild>
            <w:div w:id="1916818463">
              <w:marLeft w:val="0"/>
              <w:marRight w:val="0"/>
              <w:marTop w:val="0"/>
              <w:marBottom w:val="0"/>
              <w:divBdr>
                <w:top w:val="none" w:sz="0" w:space="0" w:color="auto"/>
                <w:left w:val="none" w:sz="0" w:space="0" w:color="auto"/>
                <w:bottom w:val="none" w:sz="0" w:space="0" w:color="auto"/>
                <w:right w:val="none" w:sz="0" w:space="0" w:color="auto"/>
              </w:divBdr>
            </w:div>
          </w:divsChild>
        </w:div>
        <w:div w:id="1329869925">
          <w:marLeft w:val="0"/>
          <w:marRight w:val="0"/>
          <w:marTop w:val="0"/>
          <w:marBottom w:val="0"/>
          <w:divBdr>
            <w:top w:val="none" w:sz="0" w:space="0" w:color="auto"/>
            <w:left w:val="none" w:sz="0" w:space="0" w:color="auto"/>
            <w:bottom w:val="none" w:sz="0" w:space="0" w:color="auto"/>
            <w:right w:val="none" w:sz="0" w:space="0" w:color="auto"/>
          </w:divBdr>
          <w:divsChild>
            <w:div w:id="516308755">
              <w:marLeft w:val="0"/>
              <w:marRight w:val="0"/>
              <w:marTop w:val="0"/>
              <w:marBottom w:val="0"/>
              <w:divBdr>
                <w:top w:val="none" w:sz="0" w:space="0" w:color="auto"/>
                <w:left w:val="none" w:sz="0" w:space="0" w:color="auto"/>
                <w:bottom w:val="none" w:sz="0" w:space="0" w:color="auto"/>
                <w:right w:val="none" w:sz="0" w:space="0" w:color="auto"/>
              </w:divBdr>
            </w:div>
          </w:divsChild>
        </w:div>
        <w:div w:id="1330062635">
          <w:marLeft w:val="0"/>
          <w:marRight w:val="0"/>
          <w:marTop w:val="0"/>
          <w:marBottom w:val="0"/>
          <w:divBdr>
            <w:top w:val="none" w:sz="0" w:space="0" w:color="auto"/>
            <w:left w:val="none" w:sz="0" w:space="0" w:color="auto"/>
            <w:bottom w:val="none" w:sz="0" w:space="0" w:color="auto"/>
            <w:right w:val="none" w:sz="0" w:space="0" w:color="auto"/>
          </w:divBdr>
          <w:divsChild>
            <w:div w:id="488711119">
              <w:marLeft w:val="0"/>
              <w:marRight w:val="0"/>
              <w:marTop w:val="0"/>
              <w:marBottom w:val="0"/>
              <w:divBdr>
                <w:top w:val="none" w:sz="0" w:space="0" w:color="auto"/>
                <w:left w:val="none" w:sz="0" w:space="0" w:color="auto"/>
                <w:bottom w:val="none" w:sz="0" w:space="0" w:color="auto"/>
                <w:right w:val="none" w:sz="0" w:space="0" w:color="auto"/>
              </w:divBdr>
            </w:div>
          </w:divsChild>
        </w:div>
        <w:div w:id="1332756586">
          <w:marLeft w:val="0"/>
          <w:marRight w:val="0"/>
          <w:marTop w:val="0"/>
          <w:marBottom w:val="0"/>
          <w:divBdr>
            <w:top w:val="none" w:sz="0" w:space="0" w:color="auto"/>
            <w:left w:val="none" w:sz="0" w:space="0" w:color="auto"/>
            <w:bottom w:val="none" w:sz="0" w:space="0" w:color="auto"/>
            <w:right w:val="none" w:sz="0" w:space="0" w:color="auto"/>
          </w:divBdr>
          <w:divsChild>
            <w:div w:id="510221057">
              <w:marLeft w:val="0"/>
              <w:marRight w:val="0"/>
              <w:marTop w:val="0"/>
              <w:marBottom w:val="0"/>
              <w:divBdr>
                <w:top w:val="none" w:sz="0" w:space="0" w:color="auto"/>
                <w:left w:val="none" w:sz="0" w:space="0" w:color="auto"/>
                <w:bottom w:val="none" w:sz="0" w:space="0" w:color="auto"/>
                <w:right w:val="none" w:sz="0" w:space="0" w:color="auto"/>
              </w:divBdr>
            </w:div>
          </w:divsChild>
        </w:div>
        <w:div w:id="1338191220">
          <w:marLeft w:val="0"/>
          <w:marRight w:val="0"/>
          <w:marTop w:val="0"/>
          <w:marBottom w:val="0"/>
          <w:divBdr>
            <w:top w:val="none" w:sz="0" w:space="0" w:color="auto"/>
            <w:left w:val="none" w:sz="0" w:space="0" w:color="auto"/>
            <w:bottom w:val="none" w:sz="0" w:space="0" w:color="auto"/>
            <w:right w:val="none" w:sz="0" w:space="0" w:color="auto"/>
          </w:divBdr>
          <w:divsChild>
            <w:div w:id="1681813070">
              <w:marLeft w:val="0"/>
              <w:marRight w:val="0"/>
              <w:marTop w:val="0"/>
              <w:marBottom w:val="0"/>
              <w:divBdr>
                <w:top w:val="none" w:sz="0" w:space="0" w:color="auto"/>
                <w:left w:val="none" w:sz="0" w:space="0" w:color="auto"/>
                <w:bottom w:val="none" w:sz="0" w:space="0" w:color="auto"/>
                <w:right w:val="none" w:sz="0" w:space="0" w:color="auto"/>
              </w:divBdr>
            </w:div>
          </w:divsChild>
        </w:div>
        <w:div w:id="1342468656">
          <w:marLeft w:val="0"/>
          <w:marRight w:val="0"/>
          <w:marTop w:val="0"/>
          <w:marBottom w:val="0"/>
          <w:divBdr>
            <w:top w:val="none" w:sz="0" w:space="0" w:color="auto"/>
            <w:left w:val="none" w:sz="0" w:space="0" w:color="auto"/>
            <w:bottom w:val="none" w:sz="0" w:space="0" w:color="auto"/>
            <w:right w:val="none" w:sz="0" w:space="0" w:color="auto"/>
          </w:divBdr>
          <w:divsChild>
            <w:div w:id="1369645611">
              <w:marLeft w:val="0"/>
              <w:marRight w:val="0"/>
              <w:marTop w:val="0"/>
              <w:marBottom w:val="0"/>
              <w:divBdr>
                <w:top w:val="none" w:sz="0" w:space="0" w:color="auto"/>
                <w:left w:val="none" w:sz="0" w:space="0" w:color="auto"/>
                <w:bottom w:val="none" w:sz="0" w:space="0" w:color="auto"/>
                <w:right w:val="none" w:sz="0" w:space="0" w:color="auto"/>
              </w:divBdr>
            </w:div>
          </w:divsChild>
        </w:div>
        <w:div w:id="1346132970">
          <w:marLeft w:val="0"/>
          <w:marRight w:val="0"/>
          <w:marTop w:val="0"/>
          <w:marBottom w:val="0"/>
          <w:divBdr>
            <w:top w:val="none" w:sz="0" w:space="0" w:color="auto"/>
            <w:left w:val="none" w:sz="0" w:space="0" w:color="auto"/>
            <w:bottom w:val="none" w:sz="0" w:space="0" w:color="auto"/>
            <w:right w:val="none" w:sz="0" w:space="0" w:color="auto"/>
          </w:divBdr>
          <w:divsChild>
            <w:div w:id="958150115">
              <w:marLeft w:val="0"/>
              <w:marRight w:val="0"/>
              <w:marTop w:val="0"/>
              <w:marBottom w:val="0"/>
              <w:divBdr>
                <w:top w:val="none" w:sz="0" w:space="0" w:color="auto"/>
                <w:left w:val="none" w:sz="0" w:space="0" w:color="auto"/>
                <w:bottom w:val="none" w:sz="0" w:space="0" w:color="auto"/>
                <w:right w:val="none" w:sz="0" w:space="0" w:color="auto"/>
              </w:divBdr>
            </w:div>
          </w:divsChild>
        </w:div>
        <w:div w:id="1346588195">
          <w:marLeft w:val="0"/>
          <w:marRight w:val="0"/>
          <w:marTop w:val="0"/>
          <w:marBottom w:val="0"/>
          <w:divBdr>
            <w:top w:val="none" w:sz="0" w:space="0" w:color="auto"/>
            <w:left w:val="none" w:sz="0" w:space="0" w:color="auto"/>
            <w:bottom w:val="none" w:sz="0" w:space="0" w:color="auto"/>
            <w:right w:val="none" w:sz="0" w:space="0" w:color="auto"/>
          </w:divBdr>
          <w:divsChild>
            <w:div w:id="662663742">
              <w:marLeft w:val="0"/>
              <w:marRight w:val="0"/>
              <w:marTop w:val="0"/>
              <w:marBottom w:val="0"/>
              <w:divBdr>
                <w:top w:val="none" w:sz="0" w:space="0" w:color="auto"/>
                <w:left w:val="none" w:sz="0" w:space="0" w:color="auto"/>
                <w:bottom w:val="none" w:sz="0" w:space="0" w:color="auto"/>
                <w:right w:val="none" w:sz="0" w:space="0" w:color="auto"/>
              </w:divBdr>
            </w:div>
          </w:divsChild>
        </w:div>
        <w:div w:id="1347055752">
          <w:marLeft w:val="0"/>
          <w:marRight w:val="0"/>
          <w:marTop w:val="0"/>
          <w:marBottom w:val="0"/>
          <w:divBdr>
            <w:top w:val="none" w:sz="0" w:space="0" w:color="auto"/>
            <w:left w:val="none" w:sz="0" w:space="0" w:color="auto"/>
            <w:bottom w:val="none" w:sz="0" w:space="0" w:color="auto"/>
            <w:right w:val="none" w:sz="0" w:space="0" w:color="auto"/>
          </w:divBdr>
          <w:divsChild>
            <w:div w:id="464927226">
              <w:marLeft w:val="0"/>
              <w:marRight w:val="0"/>
              <w:marTop w:val="0"/>
              <w:marBottom w:val="0"/>
              <w:divBdr>
                <w:top w:val="none" w:sz="0" w:space="0" w:color="auto"/>
                <w:left w:val="none" w:sz="0" w:space="0" w:color="auto"/>
                <w:bottom w:val="none" w:sz="0" w:space="0" w:color="auto"/>
                <w:right w:val="none" w:sz="0" w:space="0" w:color="auto"/>
              </w:divBdr>
            </w:div>
          </w:divsChild>
        </w:div>
        <w:div w:id="1349025405">
          <w:marLeft w:val="0"/>
          <w:marRight w:val="0"/>
          <w:marTop w:val="0"/>
          <w:marBottom w:val="0"/>
          <w:divBdr>
            <w:top w:val="none" w:sz="0" w:space="0" w:color="auto"/>
            <w:left w:val="none" w:sz="0" w:space="0" w:color="auto"/>
            <w:bottom w:val="none" w:sz="0" w:space="0" w:color="auto"/>
            <w:right w:val="none" w:sz="0" w:space="0" w:color="auto"/>
          </w:divBdr>
          <w:divsChild>
            <w:div w:id="1100106052">
              <w:marLeft w:val="0"/>
              <w:marRight w:val="0"/>
              <w:marTop w:val="0"/>
              <w:marBottom w:val="0"/>
              <w:divBdr>
                <w:top w:val="none" w:sz="0" w:space="0" w:color="auto"/>
                <w:left w:val="none" w:sz="0" w:space="0" w:color="auto"/>
                <w:bottom w:val="none" w:sz="0" w:space="0" w:color="auto"/>
                <w:right w:val="none" w:sz="0" w:space="0" w:color="auto"/>
              </w:divBdr>
            </w:div>
          </w:divsChild>
        </w:div>
        <w:div w:id="1353723384">
          <w:marLeft w:val="0"/>
          <w:marRight w:val="0"/>
          <w:marTop w:val="0"/>
          <w:marBottom w:val="0"/>
          <w:divBdr>
            <w:top w:val="none" w:sz="0" w:space="0" w:color="auto"/>
            <w:left w:val="none" w:sz="0" w:space="0" w:color="auto"/>
            <w:bottom w:val="none" w:sz="0" w:space="0" w:color="auto"/>
            <w:right w:val="none" w:sz="0" w:space="0" w:color="auto"/>
          </w:divBdr>
          <w:divsChild>
            <w:div w:id="1484199813">
              <w:marLeft w:val="0"/>
              <w:marRight w:val="0"/>
              <w:marTop w:val="0"/>
              <w:marBottom w:val="0"/>
              <w:divBdr>
                <w:top w:val="none" w:sz="0" w:space="0" w:color="auto"/>
                <w:left w:val="none" w:sz="0" w:space="0" w:color="auto"/>
                <w:bottom w:val="none" w:sz="0" w:space="0" w:color="auto"/>
                <w:right w:val="none" w:sz="0" w:space="0" w:color="auto"/>
              </w:divBdr>
            </w:div>
          </w:divsChild>
        </w:div>
        <w:div w:id="1354266332">
          <w:marLeft w:val="0"/>
          <w:marRight w:val="0"/>
          <w:marTop w:val="0"/>
          <w:marBottom w:val="0"/>
          <w:divBdr>
            <w:top w:val="none" w:sz="0" w:space="0" w:color="auto"/>
            <w:left w:val="none" w:sz="0" w:space="0" w:color="auto"/>
            <w:bottom w:val="none" w:sz="0" w:space="0" w:color="auto"/>
            <w:right w:val="none" w:sz="0" w:space="0" w:color="auto"/>
          </w:divBdr>
          <w:divsChild>
            <w:div w:id="1543857962">
              <w:marLeft w:val="0"/>
              <w:marRight w:val="0"/>
              <w:marTop w:val="0"/>
              <w:marBottom w:val="0"/>
              <w:divBdr>
                <w:top w:val="none" w:sz="0" w:space="0" w:color="auto"/>
                <w:left w:val="none" w:sz="0" w:space="0" w:color="auto"/>
                <w:bottom w:val="none" w:sz="0" w:space="0" w:color="auto"/>
                <w:right w:val="none" w:sz="0" w:space="0" w:color="auto"/>
              </w:divBdr>
            </w:div>
          </w:divsChild>
        </w:div>
        <w:div w:id="1361738469">
          <w:marLeft w:val="0"/>
          <w:marRight w:val="0"/>
          <w:marTop w:val="0"/>
          <w:marBottom w:val="0"/>
          <w:divBdr>
            <w:top w:val="none" w:sz="0" w:space="0" w:color="auto"/>
            <w:left w:val="none" w:sz="0" w:space="0" w:color="auto"/>
            <w:bottom w:val="none" w:sz="0" w:space="0" w:color="auto"/>
            <w:right w:val="none" w:sz="0" w:space="0" w:color="auto"/>
          </w:divBdr>
          <w:divsChild>
            <w:div w:id="302346086">
              <w:marLeft w:val="0"/>
              <w:marRight w:val="0"/>
              <w:marTop w:val="0"/>
              <w:marBottom w:val="0"/>
              <w:divBdr>
                <w:top w:val="none" w:sz="0" w:space="0" w:color="auto"/>
                <w:left w:val="none" w:sz="0" w:space="0" w:color="auto"/>
                <w:bottom w:val="none" w:sz="0" w:space="0" w:color="auto"/>
                <w:right w:val="none" w:sz="0" w:space="0" w:color="auto"/>
              </w:divBdr>
            </w:div>
          </w:divsChild>
        </w:div>
        <w:div w:id="1362053349">
          <w:marLeft w:val="0"/>
          <w:marRight w:val="0"/>
          <w:marTop w:val="0"/>
          <w:marBottom w:val="0"/>
          <w:divBdr>
            <w:top w:val="none" w:sz="0" w:space="0" w:color="auto"/>
            <w:left w:val="none" w:sz="0" w:space="0" w:color="auto"/>
            <w:bottom w:val="none" w:sz="0" w:space="0" w:color="auto"/>
            <w:right w:val="none" w:sz="0" w:space="0" w:color="auto"/>
          </w:divBdr>
          <w:divsChild>
            <w:div w:id="1995256537">
              <w:marLeft w:val="0"/>
              <w:marRight w:val="0"/>
              <w:marTop w:val="0"/>
              <w:marBottom w:val="0"/>
              <w:divBdr>
                <w:top w:val="none" w:sz="0" w:space="0" w:color="auto"/>
                <w:left w:val="none" w:sz="0" w:space="0" w:color="auto"/>
                <w:bottom w:val="none" w:sz="0" w:space="0" w:color="auto"/>
                <w:right w:val="none" w:sz="0" w:space="0" w:color="auto"/>
              </w:divBdr>
            </w:div>
          </w:divsChild>
        </w:div>
        <w:div w:id="1363941306">
          <w:marLeft w:val="0"/>
          <w:marRight w:val="0"/>
          <w:marTop w:val="0"/>
          <w:marBottom w:val="0"/>
          <w:divBdr>
            <w:top w:val="none" w:sz="0" w:space="0" w:color="auto"/>
            <w:left w:val="none" w:sz="0" w:space="0" w:color="auto"/>
            <w:bottom w:val="none" w:sz="0" w:space="0" w:color="auto"/>
            <w:right w:val="none" w:sz="0" w:space="0" w:color="auto"/>
          </w:divBdr>
          <w:divsChild>
            <w:div w:id="1578242221">
              <w:marLeft w:val="0"/>
              <w:marRight w:val="0"/>
              <w:marTop w:val="0"/>
              <w:marBottom w:val="0"/>
              <w:divBdr>
                <w:top w:val="none" w:sz="0" w:space="0" w:color="auto"/>
                <w:left w:val="none" w:sz="0" w:space="0" w:color="auto"/>
                <w:bottom w:val="none" w:sz="0" w:space="0" w:color="auto"/>
                <w:right w:val="none" w:sz="0" w:space="0" w:color="auto"/>
              </w:divBdr>
            </w:div>
          </w:divsChild>
        </w:div>
        <w:div w:id="1364400753">
          <w:marLeft w:val="0"/>
          <w:marRight w:val="0"/>
          <w:marTop w:val="0"/>
          <w:marBottom w:val="0"/>
          <w:divBdr>
            <w:top w:val="none" w:sz="0" w:space="0" w:color="auto"/>
            <w:left w:val="none" w:sz="0" w:space="0" w:color="auto"/>
            <w:bottom w:val="none" w:sz="0" w:space="0" w:color="auto"/>
            <w:right w:val="none" w:sz="0" w:space="0" w:color="auto"/>
          </w:divBdr>
          <w:divsChild>
            <w:div w:id="869034440">
              <w:marLeft w:val="0"/>
              <w:marRight w:val="0"/>
              <w:marTop w:val="0"/>
              <w:marBottom w:val="0"/>
              <w:divBdr>
                <w:top w:val="none" w:sz="0" w:space="0" w:color="auto"/>
                <w:left w:val="none" w:sz="0" w:space="0" w:color="auto"/>
                <w:bottom w:val="none" w:sz="0" w:space="0" w:color="auto"/>
                <w:right w:val="none" w:sz="0" w:space="0" w:color="auto"/>
              </w:divBdr>
            </w:div>
          </w:divsChild>
        </w:div>
        <w:div w:id="1366758374">
          <w:marLeft w:val="0"/>
          <w:marRight w:val="0"/>
          <w:marTop w:val="0"/>
          <w:marBottom w:val="0"/>
          <w:divBdr>
            <w:top w:val="none" w:sz="0" w:space="0" w:color="auto"/>
            <w:left w:val="none" w:sz="0" w:space="0" w:color="auto"/>
            <w:bottom w:val="none" w:sz="0" w:space="0" w:color="auto"/>
            <w:right w:val="none" w:sz="0" w:space="0" w:color="auto"/>
          </w:divBdr>
          <w:divsChild>
            <w:div w:id="651836115">
              <w:marLeft w:val="0"/>
              <w:marRight w:val="0"/>
              <w:marTop w:val="0"/>
              <w:marBottom w:val="0"/>
              <w:divBdr>
                <w:top w:val="none" w:sz="0" w:space="0" w:color="auto"/>
                <w:left w:val="none" w:sz="0" w:space="0" w:color="auto"/>
                <w:bottom w:val="none" w:sz="0" w:space="0" w:color="auto"/>
                <w:right w:val="none" w:sz="0" w:space="0" w:color="auto"/>
              </w:divBdr>
            </w:div>
          </w:divsChild>
        </w:div>
        <w:div w:id="1371301237">
          <w:marLeft w:val="0"/>
          <w:marRight w:val="0"/>
          <w:marTop w:val="0"/>
          <w:marBottom w:val="0"/>
          <w:divBdr>
            <w:top w:val="none" w:sz="0" w:space="0" w:color="auto"/>
            <w:left w:val="none" w:sz="0" w:space="0" w:color="auto"/>
            <w:bottom w:val="none" w:sz="0" w:space="0" w:color="auto"/>
            <w:right w:val="none" w:sz="0" w:space="0" w:color="auto"/>
          </w:divBdr>
          <w:divsChild>
            <w:div w:id="1950891121">
              <w:marLeft w:val="0"/>
              <w:marRight w:val="0"/>
              <w:marTop w:val="0"/>
              <w:marBottom w:val="0"/>
              <w:divBdr>
                <w:top w:val="none" w:sz="0" w:space="0" w:color="auto"/>
                <w:left w:val="none" w:sz="0" w:space="0" w:color="auto"/>
                <w:bottom w:val="none" w:sz="0" w:space="0" w:color="auto"/>
                <w:right w:val="none" w:sz="0" w:space="0" w:color="auto"/>
              </w:divBdr>
            </w:div>
          </w:divsChild>
        </w:div>
        <w:div w:id="1372414087">
          <w:marLeft w:val="0"/>
          <w:marRight w:val="0"/>
          <w:marTop w:val="0"/>
          <w:marBottom w:val="0"/>
          <w:divBdr>
            <w:top w:val="none" w:sz="0" w:space="0" w:color="auto"/>
            <w:left w:val="none" w:sz="0" w:space="0" w:color="auto"/>
            <w:bottom w:val="none" w:sz="0" w:space="0" w:color="auto"/>
            <w:right w:val="none" w:sz="0" w:space="0" w:color="auto"/>
          </w:divBdr>
          <w:divsChild>
            <w:div w:id="1652101977">
              <w:marLeft w:val="0"/>
              <w:marRight w:val="0"/>
              <w:marTop w:val="0"/>
              <w:marBottom w:val="0"/>
              <w:divBdr>
                <w:top w:val="none" w:sz="0" w:space="0" w:color="auto"/>
                <w:left w:val="none" w:sz="0" w:space="0" w:color="auto"/>
                <w:bottom w:val="none" w:sz="0" w:space="0" w:color="auto"/>
                <w:right w:val="none" w:sz="0" w:space="0" w:color="auto"/>
              </w:divBdr>
            </w:div>
          </w:divsChild>
        </w:div>
        <w:div w:id="1372725718">
          <w:marLeft w:val="0"/>
          <w:marRight w:val="0"/>
          <w:marTop w:val="0"/>
          <w:marBottom w:val="0"/>
          <w:divBdr>
            <w:top w:val="none" w:sz="0" w:space="0" w:color="auto"/>
            <w:left w:val="none" w:sz="0" w:space="0" w:color="auto"/>
            <w:bottom w:val="none" w:sz="0" w:space="0" w:color="auto"/>
            <w:right w:val="none" w:sz="0" w:space="0" w:color="auto"/>
          </w:divBdr>
          <w:divsChild>
            <w:div w:id="451901827">
              <w:marLeft w:val="0"/>
              <w:marRight w:val="0"/>
              <w:marTop w:val="0"/>
              <w:marBottom w:val="0"/>
              <w:divBdr>
                <w:top w:val="none" w:sz="0" w:space="0" w:color="auto"/>
                <w:left w:val="none" w:sz="0" w:space="0" w:color="auto"/>
                <w:bottom w:val="none" w:sz="0" w:space="0" w:color="auto"/>
                <w:right w:val="none" w:sz="0" w:space="0" w:color="auto"/>
              </w:divBdr>
            </w:div>
          </w:divsChild>
        </w:div>
        <w:div w:id="1373454566">
          <w:marLeft w:val="0"/>
          <w:marRight w:val="0"/>
          <w:marTop w:val="0"/>
          <w:marBottom w:val="0"/>
          <w:divBdr>
            <w:top w:val="none" w:sz="0" w:space="0" w:color="auto"/>
            <w:left w:val="none" w:sz="0" w:space="0" w:color="auto"/>
            <w:bottom w:val="none" w:sz="0" w:space="0" w:color="auto"/>
            <w:right w:val="none" w:sz="0" w:space="0" w:color="auto"/>
          </w:divBdr>
          <w:divsChild>
            <w:div w:id="1327051888">
              <w:marLeft w:val="0"/>
              <w:marRight w:val="0"/>
              <w:marTop w:val="0"/>
              <w:marBottom w:val="0"/>
              <w:divBdr>
                <w:top w:val="none" w:sz="0" w:space="0" w:color="auto"/>
                <w:left w:val="none" w:sz="0" w:space="0" w:color="auto"/>
                <w:bottom w:val="none" w:sz="0" w:space="0" w:color="auto"/>
                <w:right w:val="none" w:sz="0" w:space="0" w:color="auto"/>
              </w:divBdr>
            </w:div>
          </w:divsChild>
        </w:div>
        <w:div w:id="1374696291">
          <w:marLeft w:val="0"/>
          <w:marRight w:val="0"/>
          <w:marTop w:val="0"/>
          <w:marBottom w:val="0"/>
          <w:divBdr>
            <w:top w:val="none" w:sz="0" w:space="0" w:color="auto"/>
            <w:left w:val="none" w:sz="0" w:space="0" w:color="auto"/>
            <w:bottom w:val="none" w:sz="0" w:space="0" w:color="auto"/>
            <w:right w:val="none" w:sz="0" w:space="0" w:color="auto"/>
          </w:divBdr>
          <w:divsChild>
            <w:div w:id="20134268">
              <w:marLeft w:val="0"/>
              <w:marRight w:val="0"/>
              <w:marTop w:val="0"/>
              <w:marBottom w:val="0"/>
              <w:divBdr>
                <w:top w:val="none" w:sz="0" w:space="0" w:color="auto"/>
                <w:left w:val="none" w:sz="0" w:space="0" w:color="auto"/>
                <w:bottom w:val="none" w:sz="0" w:space="0" w:color="auto"/>
                <w:right w:val="none" w:sz="0" w:space="0" w:color="auto"/>
              </w:divBdr>
            </w:div>
          </w:divsChild>
        </w:div>
        <w:div w:id="1377780033">
          <w:marLeft w:val="0"/>
          <w:marRight w:val="0"/>
          <w:marTop w:val="0"/>
          <w:marBottom w:val="0"/>
          <w:divBdr>
            <w:top w:val="none" w:sz="0" w:space="0" w:color="auto"/>
            <w:left w:val="none" w:sz="0" w:space="0" w:color="auto"/>
            <w:bottom w:val="none" w:sz="0" w:space="0" w:color="auto"/>
            <w:right w:val="none" w:sz="0" w:space="0" w:color="auto"/>
          </w:divBdr>
          <w:divsChild>
            <w:div w:id="756248853">
              <w:marLeft w:val="0"/>
              <w:marRight w:val="0"/>
              <w:marTop w:val="0"/>
              <w:marBottom w:val="0"/>
              <w:divBdr>
                <w:top w:val="none" w:sz="0" w:space="0" w:color="auto"/>
                <w:left w:val="none" w:sz="0" w:space="0" w:color="auto"/>
                <w:bottom w:val="none" w:sz="0" w:space="0" w:color="auto"/>
                <w:right w:val="none" w:sz="0" w:space="0" w:color="auto"/>
              </w:divBdr>
            </w:div>
          </w:divsChild>
        </w:div>
        <w:div w:id="1378702323">
          <w:marLeft w:val="0"/>
          <w:marRight w:val="0"/>
          <w:marTop w:val="0"/>
          <w:marBottom w:val="0"/>
          <w:divBdr>
            <w:top w:val="none" w:sz="0" w:space="0" w:color="auto"/>
            <w:left w:val="none" w:sz="0" w:space="0" w:color="auto"/>
            <w:bottom w:val="none" w:sz="0" w:space="0" w:color="auto"/>
            <w:right w:val="none" w:sz="0" w:space="0" w:color="auto"/>
          </w:divBdr>
          <w:divsChild>
            <w:div w:id="1013918141">
              <w:marLeft w:val="0"/>
              <w:marRight w:val="0"/>
              <w:marTop w:val="0"/>
              <w:marBottom w:val="0"/>
              <w:divBdr>
                <w:top w:val="none" w:sz="0" w:space="0" w:color="auto"/>
                <w:left w:val="none" w:sz="0" w:space="0" w:color="auto"/>
                <w:bottom w:val="none" w:sz="0" w:space="0" w:color="auto"/>
                <w:right w:val="none" w:sz="0" w:space="0" w:color="auto"/>
              </w:divBdr>
            </w:div>
          </w:divsChild>
        </w:div>
        <w:div w:id="1379935368">
          <w:marLeft w:val="0"/>
          <w:marRight w:val="0"/>
          <w:marTop w:val="0"/>
          <w:marBottom w:val="0"/>
          <w:divBdr>
            <w:top w:val="none" w:sz="0" w:space="0" w:color="auto"/>
            <w:left w:val="none" w:sz="0" w:space="0" w:color="auto"/>
            <w:bottom w:val="none" w:sz="0" w:space="0" w:color="auto"/>
            <w:right w:val="none" w:sz="0" w:space="0" w:color="auto"/>
          </w:divBdr>
          <w:divsChild>
            <w:div w:id="2019968464">
              <w:marLeft w:val="0"/>
              <w:marRight w:val="0"/>
              <w:marTop w:val="0"/>
              <w:marBottom w:val="0"/>
              <w:divBdr>
                <w:top w:val="none" w:sz="0" w:space="0" w:color="auto"/>
                <w:left w:val="none" w:sz="0" w:space="0" w:color="auto"/>
                <w:bottom w:val="none" w:sz="0" w:space="0" w:color="auto"/>
                <w:right w:val="none" w:sz="0" w:space="0" w:color="auto"/>
              </w:divBdr>
            </w:div>
          </w:divsChild>
        </w:div>
        <w:div w:id="1384867354">
          <w:marLeft w:val="0"/>
          <w:marRight w:val="0"/>
          <w:marTop w:val="0"/>
          <w:marBottom w:val="0"/>
          <w:divBdr>
            <w:top w:val="none" w:sz="0" w:space="0" w:color="auto"/>
            <w:left w:val="none" w:sz="0" w:space="0" w:color="auto"/>
            <w:bottom w:val="none" w:sz="0" w:space="0" w:color="auto"/>
            <w:right w:val="none" w:sz="0" w:space="0" w:color="auto"/>
          </w:divBdr>
          <w:divsChild>
            <w:div w:id="1445035479">
              <w:marLeft w:val="0"/>
              <w:marRight w:val="0"/>
              <w:marTop w:val="0"/>
              <w:marBottom w:val="0"/>
              <w:divBdr>
                <w:top w:val="none" w:sz="0" w:space="0" w:color="auto"/>
                <w:left w:val="none" w:sz="0" w:space="0" w:color="auto"/>
                <w:bottom w:val="none" w:sz="0" w:space="0" w:color="auto"/>
                <w:right w:val="none" w:sz="0" w:space="0" w:color="auto"/>
              </w:divBdr>
            </w:div>
          </w:divsChild>
        </w:div>
        <w:div w:id="1387796393">
          <w:marLeft w:val="0"/>
          <w:marRight w:val="0"/>
          <w:marTop w:val="0"/>
          <w:marBottom w:val="0"/>
          <w:divBdr>
            <w:top w:val="none" w:sz="0" w:space="0" w:color="auto"/>
            <w:left w:val="none" w:sz="0" w:space="0" w:color="auto"/>
            <w:bottom w:val="none" w:sz="0" w:space="0" w:color="auto"/>
            <w:right w:val="none" w:sz="0" w:space="0" w:color="auto"/>
          </w:divBdr>
          <w:divsChild>
            <w:div w:id="1867325444">
              <w:marLeft w:val="0"/>
              <w:marRight w:val="0"/>
              <w:marTop w:val="0"/>
              <w:marBottom w:val="0"/>
              <w:divBdr>
                <w:top w:val="none" w:sz="0" w:space="0" w:color="auto"/>
                <w:left w:val="none" w:sz="0" w:space="0" w:color="auto"/>
                <w:bottom w:val="none" w:sz="0" w:space="0" w:color="auto"/>
                <w:right w:val="none" w:sz="0" w:space="0" w:color="auto"/>
              </w:divBdr>
            </w:div>
          </w:divsChild>
        </w:div>
        <w:div w:id="1388720360">
          <w:marLeft w:val="0"/>
          <w:marRight w:val="0"/>
          <w:marTop w:val="0"/>
          <w:marBottom w:val="0"/>
          <w:divBdr>
            <w:top w:val="none" w:sz="0" w:space="0" w:color="auto"/>
            <w:left w:val="none" w:sz="0" w:space="0" w:color="auto"/>
            <w:bottom w:val="none" w:sz="0" w:space="0" w:color="auto"/>
            <w:right w:val="none" w:sz="0" w:space="0" w:color="auto"/>
          </w:divBdr>
          <w:divsChild>
            <w:div w:id="1880362050">
              <w:marLeft w:val="0"/>
              <w:marRight w:val="0"/>
              <w:marTop w:val="0"/>
              <w:marBottom w:val="0"/>
              <w:divBdr>
                <w:top w:val="none" w:sz="0" w:space="0" w:color="auto"/>
                <w:left w:val="none" w:sz="0" w:space="0" w:color="auto"/>
                <w:bottom w:val="none" w:sz="0" w:space="0" w:color="auto"/>
                <w:right w:val="none" w:sz="0" w:space="0" w:color="auto"/>
              </w:divBdr>
            </w:div>
          </w:divsChild>
        </w:div>
        <w:div w:id="1389183027">
          <w:marLeft w:val="0"/>
          <w:marRight w:val="0"/>
          <w:marTop w:val="0"/>
          <w:marBottom w:val="0"/>
          <w:divBdr>
            <w:top w:val="none" w:sz="0" w:space="0" w:color="auto"/>
            <w:left w:val="none" w:sz="0" w:space="0" w:color="auto"/>
            <w:bottom w:val="none" w:sz="0" w:space="0" w:color="auto"/>
            <w:right w:val="none" w:sz="0" w:space="0" w:color="auto"/>
          </w:divBdr>
          <w:divsChild>
            <w:div w:id="436874465">
              <w:marLeft w:val="0"/>
              <w:marRight w:val="0"/>
              <w:marTop w:val="0"/>
              <w:marBottom w:val="0"/>
              <w:divBdr>
                <w:top w:val="none" w:sz="0" w:space="0" w:color="auto"/>
                <w:left w:val="none" w:sz="0" w:space="0" w:color="auto"/>
                <w:bottom w:val="none" w:sz="0" w:space="0" w:color="auto"/>
                <w:right w:val="none" w:sz="0" w:space="0" w:color="auto"/>
              </w:divBdr>
            </w:div>
          </w:divsChild>
        </w:div>
        <w:div w:id="1390300200">
          <w:marLeft w:val="0"/>
          <w:marRight w:val="0"/>
          <w:marTop w:val="0"/>
          <w:marBottom w:val="0"/>
          <w:divBdr>
            <w:top w:val="none" w:sz="0" w:space="0" w:color="auto"/>
            <w:left w:val="none" w:sz="0" w:space="0" w:color="auto"/>
            <w:bottom w:val="none" w:sz="0" w:space="0" w:color="auto"/>
            <w:right w:val="none" w:sz="0" w:space="0" w:color="auto"/>
          </w:divBdr>
          <w:divsChild>
            <w:div w:id="238563133">
              <w:marLeft w:val="0"/>
              <w:marRight w:val="0"/>
              <w:marTop w:val="0"/>
              <w:marBottom w:val="0"/>
              <w:divBdr>
                <w:top w:val="none" w:sz="0" w:space="0" w:color="auto"/>
                <w:left w:val="none" w:sz="0" w:space="0" w:color="auto"/>
                <w:bottom w:val="none" w:sz="0" w:space="0" w:color="auto"/>
                <w:right w:val="none" w:sz="0" w:space="0" w:color="auto"/>
              </w:divBdr>
            </w:div>
          </w:divsChild>
        </w:div>
        <w:div w:id="1391537026">
          <w:marLeft w:val="0"/>
          <w:marRight w:val="0"/>
          <w:marTop w:val="0"/>
          <w:marBottom w:val="0"/>
          <w:divBdr>
            <w:top w:val="none" w:sz="0" w:space="0" w:color="auto"/>
            <w:left w:val="none" w:sz="0" w:space="0" w:color="auto"/>
            <w:bottom w:val="none" w:sz="0" w:space="0" w:color="auto"/>
            <w:right w:val="none" w:sz="0" w:space="0" w:color="auto"/>
          </w:divBdr>
          <w:divsChild>
            <w:div w:id="1059396749">
              <w:marLeft w:val="0"/>
              <w:marRight w:val="0"/>
              <w:marTop w:val="0"/>
              <w:marBottom w:val="0"/>
              <w:divBdr>
                <w:top w:val="none" w:sz="0" w:space="0" w:color="auto"/>
                <w:left w:val="none" w:sz="0" w:space="0" w:color="auto"/>
                <w:bottom w:val="none" w:sz="0" w:space="0" w:color="auto"/>
                <w:right w:val="none" w:sz="0" w:space="0" w:color="auto"/>
              </w:divBdr>
            </w:div>
          </w:divsChild>
        </w:div>
        <w:div w:id="1394236197">
          <w:marLeft w:val="0"/>
          <w:marRight w:val="0"/>
          <w:marTop w:val="0"/>
          <w:marBottom w:val="0"/>
          <w:divBdr>
            <w:top w:val="none" w:sz="0" w:space="0" w:color="auto"/>
            <w:left w:val="none" w:sz="0" w:space="0" w:color="auto"/>
            <w:bottom w:val="none" w:sz="0" w:space="0" w:color="auto"/>
            <w:right w:val="none" w:sz="0" w:space="0" w:color="auto"/>
          </w:divBdr>
          <w:divsChild>
            <w:div w:id="457769296">
              <w:marLeft w:val="0"/>
              <w:marRight w:val="0"/>
              <w:marTop w:val="0"/>
              <w:marBottom w:val="0"/>
              <w:divBdr>
                <w:top w:val="none" w:sz="0" w:space="0" w:color="auto"/>
                <w:left w:val="none" w:sz="0" w:space="0" w:color="auto"/>
                <w:bottom w:val="none" w:sz="0" w:space="0" w:color="auto"/>
                <w:right w:val="none" w:sz="0" w:space="0" w:color="auto"/>
              </w:divBdr>
            </w:div>
          </w:divsChild>
        </w:div>
        <w:div w:id="1396318033">
          <w:marLeft w:val="0"/>
          <w:marRight w:val="0"/>
          <w:marTop w:val="0"/>
          <w:marBottom w:val="0"/>
          <w:divBdr>
            <w:top w:val="none" w:sz="0" w:space="0" w:color="auto"/>
            <w:left w:val="none" w:sz="0" w:space="0" w:color="auto"/>
            <w:bottom w:val="none" w:sz="0" w:space="0" w:color="auto"/>
            <w:right w:val="none" w:sz="0" w:space="0" w:color="auto"/>
          </w:divBdr>
          <w:divsChild>
            <w:div w:id="4090452">
              <w:marLeft w:val="0"/>
              <w:marRight w:val="0"/>
              <w:marTop w:val="0"/>
              <w:marBottom w:val="0"/>
              <w:divBdr>
                <w:top w:val="none" w:sz="0" w:space="0" w:color="auto"/>
                <w:left w:val="none" w:sz="0" w:space="0" w:color="auto"/>
                <w:bottom w:val="none" w:sz="0" w:space="0" w:color="auto"/>
                <w:right w:val="none" w:sz="0" w:space="0" w:color="auto"/>
              </w:divBdr>
            </w:div>
          </w:divsChild>
        </w:div>
        <w:div w:id="1396588494">
          <w:marLeft w:val="0"/>
          <w:marRight w:val="0"/>
          <w:marTop w:val="0"/>
          <w:marBottom w:val="0"/>
          <w:divBdr>
            <w:top w:val="none" w:sz="0" w:space="0" w:color="auto"/>
            <w:left w:val="none" w:sz="0" w:space="0" w:color="auto"/>
            <w:bottom w:val="none" w:sz="0" w:space="0" w:color="auto"/>
            <w:right w:val="none" w:sz="0" w:space="0" w:color="auto"/>
          </w:divBdr>
          <w:divsChild>
            <w:div w:id="2000189547">
              <w:marLeft w:val="0"/>
              <w:marRight w:val="0"/>
              <w:marTop w:val="0"/>
              <w:marBottom w:val="0"/>
              <w:divBdr>
                <w:top w:val="none" w:sz="0" w:space="0" w:color="auto"/>
                <w:left w:val="none" w:sz="0" w:space="0" w:color="auto"/>
                <w:bottom w:val="none" w:sz="0" w:space="0" w:color="auto"/>
                <w:right w:val="none" w:sz="0" w:space="0" w:color="auto"/>
              </w:divBdr>
            </w:div>
          </w:divsChild>
        </w:div>
        <w:div w:id="1397238965">
          <w:marLeft w:val="0"/>
          <w:marRight w:val="0"/>
          <w:marTop w:val="0"/>
          <w:marBottom w:val="0"/>
          <w:divBdr>
            <w:top w:val="none" w:sz="0" w:space="0" w:color="auto"/>
            <w:left w:val="none" w:sz="0" w:space="0" w:color="auto"/>
            <w:bottom w:val="none" w:sz="0" w:space="0" w:color="auto"/>
            <w:right w:val="none" w:sz="0" w:space="0" w:color="auto"/>
          </w:divBdr>
          <w:divsChild>
            <w:div w:id="69739341">
              <w:marLeft w:val="0"/>
              <w:marRight w:val="0"/>
              <w:marTop w:val="0"/>
              <w:marBottom w:val="0"/>
              <w:divBdr>
                <w:top w:val="none" w:sz="0" w:space="0" w:color="auto"/>
                <w:left w:val="none" w:sz="0" w:space="0" w:color="auto"/>
                <w:bottom w:val="none" w:sz="0" w:space="0" w:color="auto"/>
                <w:right w:val="none" w:sz="0" w:space="0" w:color="auto"/>
              </w:divBdr>
            </w:div>
          </w:divsChild>
        </w:div>
        <w:div w:id="1398551754">
          <w:marLeft w:val="0"/>
          <w:marRight w:val="0"/>
          <w:marTop w:val="0"/>
          <w:marBottom w:val="0"/>
          <w:divBdr>
            <w:top w:val="none" w:sz="0" w:space="0" w:color="auto"/>
            <w:left w:val="none" w:sz="0" w:space="0" w:color="auto"/>
            <w:bottom w:val="none" w:sz="0" w:space="0" w:color="auto"/>
            <w:right w:val="none" w:sz="0" w:space="0" w:color="auto"/>
          </w:divBdr>
          <w:divsChild>
            <w:div w:id="1158499589">
              <w:marLeft w:val="0"/>
              <w:marRight w:val="0"/>
              <w:marTop w:val="0"/>
              <w:marBottom w:val="0"/>
              <w:divBdr>
                <w:top w:val="none" w:sz="0" w:space="0" w:color="auto"/>
                <w:left w:val="none" w:sz="0" w:space="0" w:color="auto"/>
                <w:bottom w:val="none" w:sz="0" w:space="0" w:color="auto"/>
                <w:right w:val="none" w:sz="0" w:space="0" w:color="auto"/>
              </w:divBdr>
            </w:div>
          </w:divsChild>
        </w:div>
        <w:div w:id="1399554030">
          <w:marLeft w:val="0"/>
          <w:marRight w:val="0"/>
          <w:marTop w:val="0"/>
          <w:marBottom w:val="0"/>
          <w:divBdr>
            <w:top w:val="none" w:sz="0" w:space="0" w:color="auto"/>
            <w:left w:val="none" w:sz="0" w:space="0" w:color="auto"/>
            <w:bottom w:val="none" w:sz="0" w:space="0" w:color="auto"/>
            <w:right w:val="none" w:sz="0" w:space="0" w:color="auto"/>
          </w:divBdr>
          <w:divsChild>
            <w:div w:id="520051550">
              <w:marLeft w:val="0"/>
              <w:marRight w:val="0"/>
              <w:marTop w:val="0"/>
              <w:marBottom w:val="0"/>
              <w:divBdr>
                <w:top w:val="none" w:sz="0" w:space="0" w:color="auto"/>
                <w:left w:val="none" w:sz="0" w:space="0" w:color="auto"/>
                <w:bottom w:val="none" w:sz="0" w:space="0" w:color="auto"/>
                <w:right w:val="none" w:sz="0" w:space="0" w:color="auto"/>
              </w:divBdr>
            </w:div>
          </w:divsChild>
        </w:div>
        <w:div w:id="1402632993">
          <w:marLeft w:val="0"/>
          <w:marRight w:val="0"/>
          <w:marTop w:val="0"/>
          <w:marBottom w:val="0"/>
          <w:divBdr>
            <w:top w:val="none" w:sz="0" w:space="0" w:color="auto"/>
            <w:left w:val="none" w:sz="0" w:space="0" w:color="auto"/>
            <w:bottom w:val="none" w:sz="0" w:space="0" w:color="auto"/>
            <w:right w:val="none" w:sz="0" w:space="0" w:color="auto"/>
          </w:divBdr>
          <w:divsChild>
            <w:div w:id="218829691">
              <w:marLeft w:val="0"/>
              <w:marRight w:val="0"/>
              <w:marTop w:val="0"/>
              <w:marBottom w:val="0"/>
              <w:divBdr>
                <w:top w:val="none" w:sz="0" w:space="0" w:color="auto"/>
                <w:left w:val="none" w:sz="0" w:space="0" w:color="auto"/>
                <w:bottom w:val="none" w:sz="0" w:space="0" w:color="auto"/>
                <w:right w:val="none" w:sz="0" w:space="0" w:color="auto"/>
              </w:divBdr>
            </w:div>
          </w:divsChild>
        </w:div>
        <w:div w:id="1405103553">
          <w:marLeft w:val="0"/>
          <w:marRight w:val="0"/>
          <w:marTop w:val="0"/>
          <w:marBottom w:val="0"/>
          <w:divBdr>
            <w:top w:val="none" w:sz="0" w:space="0" w:color="auto"/>
            <w:left w:val="none" w:sz="0" w:space="0" w:color="auto"/>
            <w:bottom w:val="none" w:sz="0" w:space="0" w:color="auto"/>
            <w:right w:val="none" w:sz="0" w:space="0" w:color="auto"/>
          </w:divBdr>
          <w:divsChild>
            <w:div w:id="1125083646">
              <w:marLeft w:val="0"/>
              <w:marRight w:val="0"/>
              <w:marTop w:val="0"/>
              <w:marBottom w:val="0"/>
              <w:divBdr>
                <w:top w:val="none" w:sz="0" w:space="0" w:color="auto"/>
                <w:left w:val="none" w:sz="0" w:space="0" w:color="auto"/>
                <w:bottom w:val="none" w:sz="0" w:space="0" w:color="auto"/>
                <w:right w:val="none" w:sz="0" w:space="0" w:color="auto"/>
              </w:divBdr>
            </w:div>
          </w:divsChild>
        </w:div>
        <w:div w:id="1416392131">
          <w:marLeft w:val="0"/>
          <w:marRight w:val="0"/>
          <w:marTop w:val="0"/>
          <w:marBottom w:val="0"/>
          <w:divBdr>
            <w:top w:val="none" w:sz="0" w:space="0" w:color="auto"/>
            <w:left w:val="none" w:sz="0" w:space="0" w:color="auto"/>
            <w:bottom w:val="none" w:sz="0" w:space="0" w:color="auto"/>
            <w:right w:val="none" w:sz="0" w:space="0" w:color="auto"/>
          </w:divBdr>
          <w:divsChild>
            <w:div w:id="136459213">
              <w:marLeft w:val="0"/>
              <w:marRight w:val="0"/>
              <w:marTop w:val="0"/>
              <w:marBottom w:val="0"/>
              <w:divBdr>
                <w:top w:val="none" w:sz="0" w:space="0" w:color="auto"/>
                <w:left w:val="none" w:sz="0" w:space="0" w:color="auto"/>
                <w:bottom w:val="none" w:sz="0" w:space="0" w:color="auto"/>
                <w:right w:val="none" w:sz="0" w:space="0" w:color="auto"/>
              </w:divBdr>
            </w:div>
          </w:divsChild>
        </w:div>
        <w:div w:id="1422722284">
          <w:marLeft w:val="0"/>
          <w:marRight w:val="0"/>
          <w:marTop w:val="0"/>
          <w:marBottom w:val="0"/>
          <w:divBdr>
            <w:top w:val="none" w:sz="0" w:space="0" w:color="auto"/>
            <w:left w:val="none" w:sz="0" w:space="0" w:color="auto"/>
            <w:bottom w:val="none" w:sz="0" w:space="0" w:color="auto"/>
            <w:right w:val="none" w:sz="0" w:space="0" w:color="auto"/>
          </w:divBdr>
          <w:divsChild>
            <w:div w:id="970283970">
              <w:marLeft w:val="0"/>
              <w:marRight w:val="0"/>
              <w:marTop w:val="0"/>
              <w:marBottom w:val="0"/>
              <w:divBdr>
                <w:top w:val="none" w:sz="0" w:space="0" w:color="auto"/>
                <w:left w:val="none" w:sz="0" w:space="0" w:color="auto"/>
                <w:bottom w:val="none" w:sz="0" w:space="0" w:color="auto"/>
                <w:right w:val="none" w:sz="0" w:space="0" w:color="auto"/>
              </w:divBdr>
            </w:div>
          </w:divsChild>
        </w:div>
        <w:div w:id="1423181685">
          <w:marLeft w:val="0"/>
          <w:marRight w:val="0"/>
          <w:marTop w:val="0"/>
          <w:marBottom w:val="0"/>
          <w:divBdr>
            <w:top w:val="none" w:sz="0" w:space="0" w:color="auto"/>
            <w:left w:val="none" w:sz="0" w:space="0" w:color="auto"/>
            <w:bottom w:val="none" w:sz="0" w:space="0" w:color="auto"/>
            <w:right w:val="none" w:sz="0" w:space="0" w:color="auto"/>
          </w:divBdr>
          <w:divsChild>
            <w:div w:id="1571962236">
              <w:marLeft w:val="0"/>
              <w:marRight w:val="0"/>
              <w:marTop w:val="0"/>
              <w:marBottom w:val="0"/>
              <w:divBdr>
                <w:top w:val="none" w:sz="0" w:space="0" w:color="auto"/>
                <w:left w:val="none" w:sz="0" w:space="0" w:color="auto"/>
                <w:bottom w:val="none" w:sz="0" w:space="0" w:color="auto"/>
                <w:right w:val="none" w:sz="0" w:space="0" w:color="auto"/>
              </w:divBdr>
            </w:div>
          </w:divsChild>
        </w:div>
        <w:div w:id="1425296454">
          <w:marLeft w:val="0"/>
          <w:marRight w:val="0"/>
          <w:marTop w:val="0"/>
          <w:marBottom w:val="0"/>
          <w:divBdr>
            <w:top w:val="none" w:sz="0" w:space="0" w:color="auto"/>
            <w:left w:val="none" w:sz="0" w:space="0" w:color="auto"/>
            <w:bottom w:val="none" w:sz="0" w:space="0" w:color="auto"/>
            <w:right w:val="none" w:sz="0" w:space="0" w:color="auto"/>
          </w:divBdr>
          <w:divsChild>
            <w:div w:id="334112509">
              <w:marLeft w:val="0"/>
              <w:marRight w:val="0"/>
              <w:marTop w:val="0"/>
              <w:marBottom w:val="0"/>
              <w:divBdr>
                <w:top w:val="none" w:sz="0" w:space="0" w:color="auto"/>
                <w:left w:val="none" w:sz="0" w:space="0" w:color="auto"/>
                <w:bottom w:val="none" w:sz="0" w:space="0" w:color="auto"/>
                <w:right w:val="none" w:sz="0" w:space="0" w:color="auto"/>
              </w:divBdr>
            </w:div>
          </w:divsChild>
        </w:div>
        <w:div w:id="1427069750">
          <w:marLeft w:val="0"/>
          <w:marRight w:val="0"/>
          <w:marTop w:val="0"/>
          <w:marBottom w:val="0"/>
          <w:divBdr>
            <w:top w:val="none" w:sz="0" w:space="0" w:color="auto"/>
            <w:left w:val="none" w:sz="0" w:space="0" w:color="auto"/>
            <w:bottom w:val="none" w:sz="0" w:space="0" w:color="auto"/>
            <w:right w:val="none" w:sz="0" w:space="0" w:color="auto"/>
          </w:divBdr>
          <w:divsChild>
            <w:div w:id="1617715372">
              <w:marLeft w:val="0"/>
              <w:marRight w:val="0"/>
              <w:marTop w:val="0"/>
              <w:marBottom w:val="0"/>
              <w:divBdr>
                <w:top w:val="none" w:sz="0" w:space="0" w:color="auto"/>
                <w:left w:val="none" w:sz="0" w:space="0" w:color="auto"/>
                <w:bottom w:val="none" w:sz="0" w:space="0" w:color="auto"/>
                <w:right w:val="none" w:sz="0" w:space="0" w:color="auto"/>
              </w:divBdr>
            </w:div>
          </w:divsChild>
        </w:div>
        <w:div w:id="1427841880">
          <w:marLeft w:val="0"/>
          <w:marRight w:val="0"/>
          <w:marTop w:val="0"/>
          <w:marBottom w:val="0"/>
          <w:divBdr>
            <w:top w:val="none" w:sz="0" w:space="0" w:color="auto"/>
            <w:left w:val="none" w:sz="0" w:space="0" w:color="auto"/>
            <w:bottom w:val="none" w:sz="0" w:space="0" w:color="auto"/>
            <w:right w:val="none" w:sz="0" w:space="0" w:color="auto"/>
          </w:divBdr>
          <w:divsChild>
            <w:div w:id="1632713194">
              <w:marLeft w:val="0"/>
              <w:marRight w:val="0"/>
              <w:marTop w:val="0"/>
              <w:marBottom w:val="0"/>
              <w:divBdr>
                <w:top w:val="none" w:sz="0" w:space="0" w:color="auto"/>
                <w:left w:val="none" w:sz="0" w:space="0" w:color="auto"/>
                <w:bottom w:val="none" w:sz="0" w:space="0" w:color="auto"/>
                <w:right w:val="none" w:sz="0" w:space="0" w:color="auto"/>
              </w:divBdr>
            </w:div>
          </w:divsChild>
        </w:div>
        <w:div w:id="1429808727">
          <w:marLeft w:val="0"/>
          <w:marRight w:val="0"/>
          <w:marTop w:val="0"/>
          <w:marBottom w:val="0"/>
          <w:divBdr>
            <w:top w:val="none" w:sz="0" w:space="0" w:color="auto"/>
            <w:left w:val="none" w:sz="0" w:space="0" w:color="auto"/>
            <w:bottom w:val="none" w:sz="0" w:space="0" w:color="auto"/>
            <w:right w:val="none" w:sz="0" w:space="0" w:color="auto"/>
          </w:divBdr>
          <w:divsChild>
            <w:div w:id="811606661">
              <w:marLeft w:val="0"/>
              <w:marRight w:val="0"/>
              <w:marTop w:val="0"/>
              <w:marBottom w:val="0"/>
              <w:divBdr>
                <w:top w:val="none" w:sz="0" w:space="0" w:color="auto"/>
                <w:left w:val="none" w:sz="0" w:space="0" w:color="auto"/>
                <w:bottom w:val="none" w:sz="0" w:space="0" w:color="auto"/>
                <w:right w:val="none" w:sz="0" w:space="0" w:color="auto"/>
              </w:divBdr>
            </w:div>
          </w:divsChild>
        </w:div>
        <w:div w:id="1431311541">
          <w:marLeft w:val="0"/>
          <w:marRight w:val="0"/>
          <w:marTop w:val="0"/>
          <w:marBottom w:val="0"/>
          <w:divBdr>
            <w:top w:val="none" w:sz="0" w:space="0" w:color="auto"/>
            <w:left w:val="none" w:sz="0" w:space="0" w:color="auto"/>
            <w:bottom w:val="none" w:sz="0" w:space="0" w:color="auto"/>
            <w:right w:val="none" w:sz="0" w:space="0" w:color="auto"/>
          </w:divBdr>
          <w:divsChild>
            <w:div w:id="155265129">
              <w:marLeft w:val="0"/>
              <w:marRight w:val="0"/>
              <w:marTop w:val="0"/>
              <w:marBottom w:val="0"/>
              <w:divBdr>
                <w:top w:val="none" w:sz="0" w:space="0" w:color="auto"/>
                <w:left w:val="none" w:sz="0" w:space="0" w:color="auto"/>
                <w:bottom w:val="none" w:sz="0" w:space="0" w:color="auto"/>
                <w:right w:val="none" w:sz="0" w:space="0" w:color="auto"/>
              </w:divBdr>
            </w:div>
          </w:divsChild>
        </w:div>
        <w:div w:id="1432823261">
          <w:marLeft w:val="0"/>
          <w:marRight w:val="0"/>
          <w:marTop w:val="0"/>
          <w:marBottom w:val="0"/>
          <w:divBdr>
            <w:top w:val="none" w:sz="0" w:space="0" w:color="auto"/>
            <w:left w:val="none" w:sz="0" w:space="0" w:color="auto"/>
            <w:bottom w:val="none" w:sz="0" w:space="0" w:color="auto"/>
            <w:right w:val="none" w:sz="0" w:space="0" w:color="auto"/>
          </w:divBdr>
          <w:divsChild>
            <w:div w:id="1038899822">
              <w:marLeft w:val="0"/>
              <w:marRight w:val="0"/>
              <w:marTop w:val="0"/>
              <w:marBottom w:val="0"/>
              <w:divBdr>
                <w:top w:val="none" w:sz="0" w:space="0" w:color="auto"/>
                <w:left w:val="none" w:sz="0" w:space="0" w:color="auto"/>
                <w:bottom w:val="none" w:sz="0" w:space="0" w:color="auto"/>
                <w:right w:val="none" w:sz="0" w:space="0" w:color="auto"/>
              </w:divBdr>
            </w:div>
          </w:divsChild>
        </w:div>
        <w:div w:id="1433208210">
          <w:marLeft w:val="0"/>
          <w:marRight w:val="0"/>
          <w:marTop w:val="0"/>
          <w:marBottom w:val="0"/>
          <w:divBdr>
            <w:top w:val="none" w:sz="0" w:space="0" w:color="auto"/>
            <w:left w:val="none" w:sz="0" w:space="0" w:color="auto"/>
            <w:bottom w:val="none" w:sz="0" w:space="0" w:color="auto"/>
            <w:right w:val="none" w:sz="0" w:space="0" w:color="auto"/>
          </w:divBdr>
          <w:divsChild>
            <w:div w:id="454833198">
              <w:marLeft w:val="0"/>
              <w:marRight w:val="0"/>
              <w:marTop w:val="0"/>
              <w:marBottom w:val="0"/>
              <w:divBdr>
                <w:top w:val="none" w:sz="0" w:space="0" w:color="auto"/>
                <w:left w:val="none" w:sz="0" w:space="0" w:color="auto"/>
                <w:bottom w:val="none" w:sz="0" w:space="0" w:color="auto"/>
                <w:right w:val="none" w:sz="0" w:space="0" w:color="auto"/>
              </w:divBdr>
            </w:div>
          </w:divsChild>
        </w:div>
        <w:div w:id="1434207800">
          <w:marLeft w:val="0"/>
          <w:marRight w:val="0"/>
          <w:marTop w:val="0"/>
          <w:marBottom w:val="0"/>
          <w:divBdr>
            <w:top w:val="none" w:sz="0" w:space="0" w:color="auto"/>
            <w:left w:val="none" w:sz="0" w:space="0" w:color="auto"/>
            <w:bottom w:val="none" w:sz="0" w:space="0" w:color="auto"/>
            <w:right w:val="none" w:sz="0" w:space="0" w:color="auto"/>
          </w:divBdr>
          <w:divsChild>
            <w:div w:id="1751659499">
              <w:marLeft w:val="0"/>
              <w:marRight w:val="0"/>
              <w:marTop w:val="0"/>
              <w:marBottom w:val="0"/>
              <w:divBdr>
                <w:top w:val="none" w:sz="0" w:space="0" w:color="auto"/>
                <w:left w:val="none" w:sz="0" w:space="0" w:color="auto"/>
                <w:bottom w:val="none" w:sz="0" w:space="0" w:color="auto"/>
                <w:right w:val="none" w:sz="0" w:space="0" w:color="auto"/>
              </w:divBdr>
            </w:div>
          </w:divsChild>
        </w:div>
        <w:div w:id="1436630190">
          <w:marLeft w:val="0"/>
          <w:marRight w:val="0"/>
          <w:marTop w:val="0"/>
          <w:marBottom w:val="0"/>
          <w:divBdr>
            <w:top w:val="none" w:sz="0" w:space="0" w:color="auto"/>
            <w:left w:val="none" w:sz="0" w:space="0" w:color="auto"/>
            <w:bottom w:val="none" w:sz="0" w:space="0" w:color="auto"/>
            <w:right w:val="none" w:sz="0" w:space="0" w:color="auto"/>
          </w:divBdr>
          <w:divsChild>
            <w:div w:id="999428780">
              <w:marLeft w:val="0"/>
              <w:marRight w:val="0"/>
              <w:marTop w:val="0"/>
              <w:marBottom w:val="0"/>
              <w:divBdr>
                <w:top w:val="none" w:sz="0" w:space="0" w:color="auto"/>
                <w:left w:val="none" w:sz="0" w:space="0" w:color="auto"/>
                <w:bottom w:val="none" w:sz="0" w:space="0" w:color="auto"/>
                <w:right w:val="none" w:sz="0" w:space="0" w:color="auto"/>
              </w:divBdr>
            </w:div>
          </w:divsChild>
        </w:div>
        <w:div w:id="1437019122">
          <w:marLeft w:val="0"/>
          <w:marRight w:val="0"/>
          <w:marTop w:val="0"/>
          <w:marBottom w:val="0"/>
          <w:divBdr>
            <w:top w:val="none" w:sz="0" w:space="0" w:color="auto"/>
            <w:left w:val="none" w:sz="0" w:space="0" w:color="auto"/>
            <w:bottom w:val="none" w:sz="0" w:space="0" w:color="auto"/>
            <w:right w:val="none" w:sz="0" w:space="0" w:color="auto"/>
          </w:divBdr>
          <w:divsChild>
            <w:div w:id="1290668872">
              <w:marLeft w:val="0"/>
              <w:marRight w:val="0"/>
              <w:marTop w:val="0"/>
              <w:marBottom w:val="0"/>
              <w:divBdr>
                <w:top w:val="none" w:sz="0" w:space="0" w:color="auto"/>
                <w:left w:val="none" w:sz="0" w:space="0" w:color="auto"/>
                <w:bottom w:val="none" w:sz="0" w:space="0" w:color="auto"/>
                <w:right w:val="none" w:sz="0" w:space="0" w:color="auto"/>
              </w:divBdr>
            </w:div>
          </w:divsChild>
        </w:div>
        <w:div w:id="1437868029">
          <w:marLeft w:val="0"/>
          <w:marRight w:val="0"/>
          <w:marTop w:val="0"/>
          <w:marBottom w:val="0"/>
          <w:divBdr>
            <w:top w:val="none" w:sz="0" w:space="0" w:color="auto"/>
            <w:left w:val="none" w:sz="0" w:space="0" w:color="auto"/>
            <w:bottom w:val="none" w:sz="0" w:space="0" w:color="auto"/>
            <w:right w:val="none" w:sz="0" w:space="0" w:color="auto"/>
          </w:divBdr>
          <w:divsChild>
            <w:div w:id="1723360766">
              <w:marLeft w:val="0"/>
              <w:marRight w:val="0"/>
              <w:marTop w:val="0"/>
              <w:marBottom w:val="0"/>
              <w:divBdr>
                <w:top w:val="none" w:sz="0" w:space="0" w:color="auto"/>
                <w:left w:val="none" w:sz="0" w:space="0" w:color="auto"/>
                <w:bottom w:val="none" w:sz="0" w:space="0" w:color="auto"/>
                <w:right w:val="none" w:sz="0" w:space="0" w:color="auto"/>
              </w:divBdr>
            </w:div>
          </w:divsChild>
        </w:div>
        <w:div w:id="1438869614">
          <w:marLeft w:val="0"/>
          <w:marRight w:val="0"/>
          <w:marTop w:val="0"/>
          <w:marBottom w:val="0"/>
          <w:divBdr>
            <w:top w:val="none" w:sz="0" w:space="0" w:color="auto"/>
            <w:left w:val="none" w:sz="0" w:space="0" w:color="auto"/>
            <w:bottom w:val="none" w:sz="0" w:space="0" w:color="auto"/>
            <w:right w:val="none" w:sz="0" w:space="0" w:color="auto"/>
          </w:divBdr>
          <w:divsChild>
            <w:div w:id="1468739800">
              <w:marLeft w:val="0"/>
              <w:marRight w:val="0"/>
              <w:marTop w:val="0"/>
              <w:marBottom w:val="0"/>
              <w:divBdr>
                <w:top w:val="none" w:sz="0" w:space="0" w:color="auto"/>
                <w:left w:val="none" w:sz="0" w:space="0" w:color="auto"/>
                <w:bottom w:val="none" w:sz="0" w:space="0" w:color="auto"/>
                <w:right w:val="none" w:sz="0" w:space="0" w:color="auto"/>
              </w:divBdr>
            </w:div>
          </w:divsChild>
        </w:div>
        <w:div w:id="1440757472">
          <w:marLeft w:val="0"/>
          <w:marRight w:val="0"/>
          <w:marTop w:val="0"/>
          <w:marBottom w:val="0"/>
          <w:divBdr>
            <w:top w:val="none" w:sz="0" w:space="0" w:color="auto"/>
            <w:left w:val="none" w:sz="0" w:space="0" w:color="auto"/>
            <w:bottom w:val="none" w:sz="0" w:space="0" w:color="auto"/>
            <w:right w:val="none" w:sz="0" w:space="0" w:color="auto"/>
          </w:divBdr>
          <w:divsChild>
            <w:div w:id="1818380245">
              <w:marLeft w:val="0"/>
              <w:marRight w:val="0"/>
              <w:marTop w:val="0"/>
              <w:marBottom w:val="0"/>
              <w:divBdr>
                <w:top w:val="none" w:sz="0" w:space="0" w:color="auto"/>
                <w:left w:val="none" w:sz="0" w:space="0" w:color="auto"/>
                <w:bottom w:val="none" w:sz="0" w:space="0" w:color="auto"/>
                <w:right w:val="none" w:sz="0" w:space="0" w:color="auto"/>
              </w:divBdr>
            </w:div>
          </w:divsChild>
        </w:div>
        <w:div w:id="1446849048">
          <w:marLeft w:val="0"/>
          <w:marRight w:val="0"/>
          <w:marTop w:val="0"/>
          <w:marBottom w:val="0"/>
          <w:divBdr>
            <w:top w:val="none" w:sz="0" w:space="0" w:color="auto"/>
            <w:left w:val="none" w:sz="0" w:space="0" w:color="auto"/>
            <w:bottom w:val="none" w:sz="0" w:space="0" w:color="auto"/>
            <w:right w:val="none" w:sz="0" w:space="0" w:color="auto"/>
          </w:divBdr>
          <w:divsChild>
            <w:div w:id="1782843682">
              <w:marLeft w:val="0"/>
              <w:marRight w:val="0"/>
              <w:marTop w:val="0"/>
              <w:marBottom w:val="0"/>
              <w:divBdr>
                <w:top w:val="none" w:sz="0" w:space="0" w:color="auto"/>
                <w:left w:val="none" w:sz="0" w:space="0" w:color="auto"/>
                <w:bottom w:val="none" w:sz="0" w:space="0" w:color="auto"/>
                <w:right w:val="none" w:sz="0" w:space="0" w:color="auto"/>
              </w:divBdr>
            </w:div>
          </w:divsChild>
        </w:div>
        <w:div w:id="1448770842">
          <w:marLeft w:val="0"/>
          <w:marRight w:val="0"/>
          <w:marTop w:val="0"/>
          <w:marBottom w:val="0"/>
          <w:divBdr>
            <w:top w:val="none" w:sz="0" w:space="0" w:color="auto"/>
            <w:left w:val="none" w:sz="0" w:space="0" w:color="auto"/>
            <w:bottom w:val="none" w:sz="0" w:space="0" w:color="auto"/>
            <w:right w:val="none" w:sz="0" w:space="0" w:color="auto"/>
          </w:divBdr>
          <w:divsChild>
            <w:div w:id="1076627949">
              <w:marLeft w:val="0"/>
              <w:marRight w:val="0"/>
              <w:marTop w:val="0"/>
              <w:marBottom w:val="0"/>
              <w:divBdr>
                <w:top w:val="none" w:sz="0" w:space="0" w:color="auto"/>
                <w:left w:val="none" w:sz="0" w:space="0" w:color="auto"/>
                <w:bottom w:val="none" w:sz="0" w:space="0" w:color="auto"/>
                <w:right w:val="none" w:sz="0" w:space="0" w:color="auto"/>
              </w:divBdr>
            </w:div>
          </w:divsChild>
        </w:div>
        <w:div w:id="1456752163">
          <w:marLeft w:val="0"/>
          <w:marRight w:val="0"/>
          <w:marTop w:val="0"/>
          <w:marBottom w:val="0"/>
          <w:divBdr>
            <w:top w:val="none" w:sz="0" w:space="0" w:color="auto"/>
            <w:left w:val="none" w:sz="0" w:space="0" w:color="auto"/>
            <w:bottom w:val="none" w:sz="0" w:space="0" w:color="auto"/>
            <w:right w:val="none" w:sz="0" w:space="0" w:color="auto"/>
          </w:divBdr>
          <w:divsChild>
            <w:div w:id="87774736">
              <w:marLeft w:val="0"/>
              <w:marRight w:val="0"/>
              <w:marTop w:val="0"/>
              <w:marBottom w:val="0"/>
              <w:divBdr>
                <w:top w:val="none" w:sz="0" w:space="0" w:color="auto"/>
                <w:left w:val="none" w:sz="0" w:space="0" w:color="auto"/>
                <w:bottom w:val="none" w:sz="0" w:space="0" w:color="auto"/>
                <w:right w:val="none" w:sz="0" w:space="0" w:color="auto"/>
              </w:divBdr>
            </w:div>
          </w:divsChild>
        </w:div>
        <w:div w:id="1457067886">
          <w:marLeft w:val="0"/>
          <w:marRight w:val="0"/>
          <w:marTop w:val="0"/>
          <w:marBottom w:val="0"/>
          <w:divBdr>
            <w:top w:val="none" w:sz="0" w:space="0" w:color="auto"/>
            <w:left w:val="none" w:sz="0" w:space="0" w:color="auto"/>
            <w:bottom w:val="none" w:sz="0" w:space="0" w:color="auto"/>
            <w:right w:val="none" w:sz="0" w:space="0" w:color="auto"/>
          </w:divBdr>
          <w:divsChild>
            <w:div w:id="418799054">
              <w:marLeft w:val="0"/>
              <w:marRight w:val="0"/>
              <w:marTop w:val="0"/>
              <w:marBottom w:val="0"/>
              <w:divBdr>
                <w:top w:val="none" w:sz="0" w:space="0" w:color="auto"/>
                <w:left w:val="none" w:sz="0" w:space="0" w:color="auto"/>
                <w:bottom w:val="none" w:sz="0" w:space="0" w:color="auto"/>
                <w:right w:val="none" w:sz="0" w:space="0" w:color="auto"/>
              </w:divBdr>
            </w:div>
          </w:divsChild>
        </w:div>
        <w:div w:id="1459646215">
          <w:marLeft w:val="0"/>
          <w:marRight w:val="0"/>
          <w:marTop w:val="0"/>
          <w:marBottom w:val="0"/>
          <w:divBdr>
            <w:top w:val="none" w:sz="0" w:space="0" w:color="auto"/>
            <w:left w:val="none" w:sz="0" w:space="0" w:color="auto"/>
            <w:bottom w:val="none" w:sz="0" w:space="0" w:color="auto"/>
            <w:right w:val="none" w:sz="0" w:space="0" w:color="auto"/>
          </w:divBdr>
          <w:divsChild>
            <w:div w:id="169369549">
              <w:marLeft w:val="0"/>
              <w:marRight w:val="0"/>
              <w:marTop w:val="0"/>
              <w:marBottom w:val="0"/>
              <w:divBdr>
                <w:top w:val="none" w:sz="0" w:space="0" w:color="auto"/>
                <w:left w:val="none" w:sz="0" w:space="0" w:color="auto"/>
                <w:bottom w:val="none" w:sz="0" w:space="0" w:color="auto"/>
                <w:right w:val="none" w:sz="0" w:space="0" w:color="auto"/>
              </w:divBdr>
            </w:div>
          </w:divsChild>
        </w:div>
        <w:div w:id="1460488994">
          <w:marLeft w:val="0"/>
          <w:marRight w:val="0"/>
          <w:marTop w:val="0"/>
          <w:marBottom w:val="0"/>
          <w:divBdr>
            <w:top w:val="none" w:sz="0" w:space="0" w:color="auto"/>
            <w:left w:val="none" w:sz="0" w:space="0" w:color="auto"/>
            <w:bottom w:val="none" w:sz="0" w:space="0" w:color="auto"/>
            <w:right w:val="none" w:sz="0" w:space="0" w:color="auto"/>
          </w:divBdr>
          <w:divsChild>
            <w:div w:id="581064072">
              <w:marLeft w:val="0"/>
              <w:marRight w:val="0"/>
              <w:marTop w:val="0"/>
              <w:marBottom w:val="0"/>
              <w:divBdr>
                <w:top w:val="none" w:sz="0" w:space="0" w:color="auto"/>
                <w:left w:val="none" w:sz="0" w:space="0" w:color="auto"/>
                <w:bottom w:val="none" w:sz="0" w:space="0" w:color="auto"/>
                <w:right w:val="none" w:sz="0" w:space="0" w:color="auto"/>
              </w:divBdr>
            </w:div>
          </w:divsChild>
        </w:div>
        <w:div w:id="1462189536">
          <w:marLeft w:val="0"/>
          <w:marRight w:val="0"/>
          <w:marTop w:val="0"/>
          <w:marBottom w:val="0"/>
          <w:divBdr>
            <w:top w:val="none" w:sz="0" w:space="0" w:color="auto"/>
            <w:left w:val="none" w:sz="0" w:space="0" w:color="auto"/>
            <w:bottom w:val="none" w:sz="0" w:space="0" w:color="auto"/>
            <w:right w:val="none" w:sz="0" w:space="0" w:color="auto"/>
          </w:divBdr>
          <w:divsChild>
            <w:div w:id="2071075140">
              <w:marLeft w:val="0"/>
              <w:marRight w:val="0"/>
              <w:marTop w:val="0"/>
              <w:marBottom w:val="0"/>
              <w:divBdr>
                <w:top w:val="none" w:sz="0" w:space="0" w:color="auto"/>
                <w:left w:val="none" w:sz="0" w:space="0" w:color="auto"/>
                <w:bottom w:val="none" w:sz="0" w:space="0" w:color="auto"/>
                <w:right w:val="none" w:sz="0" w:space="0" w:color="auto"/>
              </w:divBdr>
            </w:div>
          </w:divsChild>
        </w:div>
        <w:div w:id="1465200642">
          <w:marLeft w:val="0"/>
          <w:marRight w:val="0"/>
          <w:marTop w:val="0"/>
          <w:marBottom w:val="0"/>
          <w:divBdr>
            <w:top w:val="none" w:sz="0" w:space="0" w:color="auto"/>
            <w:left w:val="none" w:sz="0" w:space="0" w:color="auto"/>
            <w:bottom w:val="none" w:sz="0" w:space="0" w:color="auto"/>
            <w:right w:val="none" w:sz="0" w:space="0" w:color="auto"/>
          </w:divBdr>
          <w:divsChild>
            <w:div w:id="1372610849">
              <w:marLeft w:val="0"/>
              <w:marRight w:val="0"/>
              <w:marTop w:val="0"/>
              <w:marBottom w:val="0"/>
              <w:divBdr>
                <w:top w:val="none" w:sz="0" w:space="0" w:color="auto"/>
                <w:left w:val="none" w:sz="0" w:space="0" w:color="auto"/>
                <w:bottom w:val="none" w:sz="0" w:space="0" w:color="auto"/>
                <w:right w:val="none" w:sz="0" w:space="0" w:color="auto"/>
              </w:divBdr>
            </w:div>
          </w:divsChild>
        </w:div>
        <w:div w:id="1471167249">
          <w:marLeft w:val="0"/>
          <w:marRight w:val="0"/>
          <w:marTop w:val="0"/>
          <w:marBottom w:val="0"/>
          <w:divBdr>
            <w:top w:val="none" w:sz="0" w:space="0" w:color="auto"/>
            <w:left w:val="none" w:sz="0" w:space="0" w:color="auto"/>
            <w:bottom w:val="none" w:sz="0" w:space="0" w:color="auto"/>
            <w:right w:val="none" w:sz="0" w:space="0" w:color="auto"/>
          </w:divBdr>
          <w:divsChild>
            <w:div w:id="2010517794">
              <w:marLeft w:val="0"/>
              <w:marRight w:val="0"/>
              <w:marTop w:val="0"/>
              <w:marBottom w:val="0"/>
              <w:divBdr>
                <w:top w:val="none" w:sz="0" w:space="0" w:color="auto"/>
                <w:left w:val="none" w:sz="0" w:space="0" w:color="auto"/>
                <w:bottom w:val="none" w:sz="0" w:space="0" w:color="auto"/>
                <w:right w:val="none" w:sz="0" w:space="0" w:color="auto"/>
              </w:divBdr>
            </w:div>
          </w:divsChild>
        </w:div>
        <w:div w:id="1474717140">
          <w:marLeft w:val="0"/>
          <w:marRight w:val="0"/>
          <w:marTop w:val="0"/>
          <w:marBottom w:val="0"/>
          <w:divBdr>
            <w:top w:val="none" w:sz="0" w:space="0" w:color="auto"/>
            <w:left w:val="none" w:sz="0" w:space="0" w:color="auto"/>
            <w:bottom w:val="none" w:sz="0" w:space="0" w:color="auto"/>
            <w:right w:val="none" w:sz="0" w:space="0" w:color="auto"/>
          </w:divBdr>
          <w:divsChild>
            <w:div w:id="360984551">
              <w:marLeft w:val="0"/>
              <w:marRight w:val="0"/>
              <w:marTop w:val="0"/>
              <w:marBottom w:val="0"/>
              <w:divBdr>
                <w:top w:val="none" w:sz="0" w:space="0" w:color="auto"/>
                <w:left w:val="none" w:sz="0" w:space="0" w:color="auto"/>
                <w:bottom w:val="none" w:sz="0" w:space="0" w:color="auto"/>
                <w:right w:val="none" w:sz="0" w:space="0" w:color="auto"/>
              </w:divBdr>
            </w:div>
          </w:divsChild>
        </w:div>
        <w:div w:id="1475833826">
          <w:marLeft w:val="0"/>
          <w:marRight w:val="0"/>
          <w:marTop w:val="0"/>
          <w:marBottom w:val="0"/>
          <w:divBdr>
            <w:top w:val="none" w:sz="0" w:space="0" w:color="auto"/>
            <w:left w:val="none" w:sz="0" w:space="0" w:color="auto"/>
            <w:bottom w:val="none" w:sz="0" w:space="0" w:color="auto"/>
            <w:right w:val="none" w:sz="0" w:space="0" w:color="auto"/>
          </w:divBdr>
          <w:divsChild>
            <w:div w:id="119686314">
              <w:marLeft w:val="0"/>
              <w:marRight w:val="0"/>
              <w:marTop w:val="0"/>
              <w:marBottom w:val="0"/>
              <w:divBdr>
                <w:top w:val="none" w:sz="0" w:space="0" w:color="auto"/>
                <w:left w:val="none" w:sz="0" w:space="0" w:color="auto"/>
                <w:bottom w:val="none" w:sz="0" w:space="0" w:color="auto"/>
                <w:right w:val="none" w:sz="0" w:space="0" w:color="auto"/>
              </w:divBdr>
            </w:div>
          </w:divsChild>
        </w:div>
        <w:div w:id="1477186569">
          <w:marLeft w:val="0"/>
          <w:marRight w:val="0"/>
          <w:marTop w:val="0"/>
          <w:marBottom w:val="0"/>
          <w:divBdr>
            <w:top w:val="none" w:sz="0" w:space="0" w:color="auto"/>
            <w:left w:val="none" w:sz="0" w:space="0" w:color="auto"/>
            <w:bottom w:val="none" w:sz="0" w:space="0" w:color="auto"/>
            <w:right w:val="none" w:sz="0" w:space="0" w:color="auto"/>
          </w:divBdr>
          <w:divsChild>
            <w:div w:id="1126702284">
              <w:marLeft w:val="0"/>
              <w:marRight w:val="0"/>
              <w:marTop w:val="0"/>
              <w:marBottom w:val="0"/>
              <w:divBdr>
                <w:top w:val="none" w:sz="0" w:space="0" w:color="auto"/>
                <w:left w:val="none" w:sz="0" w:space="0" w:color="auto"/>
                <w:bottom w:val="none" w:sz="0" w:space="0" w:color="auto"/>
                <w:right w:val="none" w:sz="0" w:space="0" w:color="auto"/>
              </w:divBdr>
            </w:div>
          </w:divsChild>
        </w:div>
        <w:div w:id="1479152036">
          <w:marLeft w:val="0"/>
          <w:marRight w:val="0"/>
          <w:marTop w:val="0"/>
          <w:marBottom w:val="0"/>
          <w:divBdr>
            <w:top w:val="none" w:sz="0" w:space="0" w:color="auto"/>
            <w:left w:val="none" w:sz="0" w:space="0" w:color="auto"/>
            <w:bottom w:val="none" w:sz="0" w:space="0" w:color="auto"/>
            <w:right w:val="none" w:sz="0" w:space="0" w:color="auto"/>
          </w:divBdr>
          <w:divsChild>
            <w:div w:id="703408300">
              <w:marLeft w:val="0"/>
              <w:marRight w:val="0"/>
              <w:marTop w:val="0"/>
              <w:marBottom w:val="0"/>
              <w:divBdr>
                <w:top w:val="none" w:sz="0" w:space="0" w:color="auto"/>
                <w:left w:val="none" w:sz="0" w:space="0" w:color="auto"/>
                <w:bottom w:val="none" w:sz="0" w:space="0" w:color="auto"/>
                <w:right w:val="none" w:sz="0" w:space="0" w:color="auto"/>
              </w:divBdr>
            </w:div>
          </w:divsChild>
        </w:div>
        <w:div w:id="1482429300">
          <w:marLeft w:val="0"/>
          <w:marRight w:val="0"/>
          <w:marTop w:val="0"/>
          <w:marBottom w:val="0"/>
          <w:divBdr>
            <w:top w:val="none" w:sz="0" w:space="0" w:color="auto"/>
            <w:left w:val="none" w:sz="0" w:space="0" w:color="auto"/>
            <w:bottom w:val="none" w:sz="0" w:space="0" w:color="auto"/>
            <w:right w:val="none" w:sz="0" w:space="0" w:color="auto"/>
          </w:divBdr>
          <w:divsChild>
            <w:div w:id="1716470754">
              <w:marLeft w:val="0"/>
              <w:marRight w:val="0"/>
              <w:marTop w:val="0"/>
              <w:marBottom w:val="0"/>
              <w:divBdr>
                <w:top w:val="none" w:sz="0" w:space="0" w:color="auto"/>
                <w:left w:val="none" w:sz="0" w:space="0" w:color="auto"/>
                <w:bottom w:val="none" w:sz="0" w:space="0" w:color="auto"/>
                <w:right w:val="none" w:sz="0" w:space="0" w:color="auto"/>
              </w:divBdr>
            </w:div>
          </w:divsChild>
        </w:div>
        <w:div w:id="1485318256">
          <w:marLeft w:val="0"/>
          <w:marRight w:val="0"/>
          <w:marTop w:val="0"/>
          <w:marBottom w:val="0"/>
          <w:divBdr>
            <w:top w:val="none" w:sz="0" w:space="0" w:color="auto"/>
            <w:left w:val="none" w:sz="0" w:space="0" w:color="auto"/>
            <w:bottom w:val="none" w:sz="0" w:space="0" w:color="auto"/>
            <w:right w:val="none" w:sz="0" w:space="0" w:color="auto"/>
          </w:divBdr>
          <w:divsChild>
            <w:div w:id="2060468237">
              <w:marLeft w:val="0"/>
              <w:marRight w:val="0"/>
              <w:marTop w:val="0"/>
              <w:marBottom w:val="0"/>
              <w:divBdr>
                <w:top w:val="none" w:sz="0" w:space="0" w:color="auto"/>
                <w:left w:val="none" w:sz="0" w:space="0" w:color="auto"/>
                <w:bottom w:val="none" w:sz="0" w:space="0" w:color="auto"/>
                <w:right w:val="none" w:sz="0" w:space="0" w:color="auto"/>
              </w:divBdr>
            </w:div>
          </w:divsChild>
        </w:div>
        <w:div w:id="1486510934">
          <w:marLeft w:val="0"/>
          <w:marRight w:val="0"/>
          <w:marTop w:val="0"/>
          <w:marBottom w:val="0"/>
          <w:divBdr>
            <w:top w:val="none" w:sz="0" w:space="0" w:color="auto"/>
            <w:left w:val="none" w:sz="0" w:space="0" w:color="auto"/>
            <w:bottom w:val="none" w:sz="0" w:space="0" w:color="auto"/>
            <w:right w:val="none" w:sz="0" w:space="0" w:color="auto"/>
          </w:divBdr>
          <w:divsChild>
            <w:div w:id="1400667247">
              <w:marLeft w:val="0"/>
              <w:marRight w:val="0"/>
              <w:marTop w:val="0"/>
              <w:marBottom w:val="0"/>
              <w:divBdr>
                <w:top w:val="none" w:sz="0" w:space="0" w:color="auto"/>
                <w:left w:val="none" w:sz="0" w:space="0" w:color="auto"/>
                <w:bottom w:val="none" w:sz="0" w:space="0" w:color="auto"/>
                <w:right w:val="none" w:sz="0" w:space="0" w:color="auto"/>
              </w:divBdr>
            </w:div>
          </w:divsChild>
        </w:div>
        <w:div w:id="1488208185">
          <w:marLeft w:val="0"/>
          <w:marRight w:val="0"/>
          <w:marTop w:val="0"/>
          <w:marBottom w:val="0"/>
          <w:divBdr>
            <w:top w:val="none" w:sz="0" w:space="0" w:color="auto"/>
            <w:left w:val="none" w:sz="0" w:space="0" w:color="auto"/>
            <w:bottom w:val="none" w:sz="0" w:space="0" w:color="auto"/>
            <w:right w:val="none" w:sz="0" w:space="0" w:color="auto"/>
          </w:divBdr>
          <w:divsChild>
            <w:div w:id="1209534727">
              <w:marLeft w:val="0"/>
              <w:marRight w:val="0"/>
              <w:marTop w:val="0"/>
              <w:marBottom w:val="0"/>
              <w:divBdr>
                <w:top w:val="none" w:sz="0" w:space="0" w:color="auto"/>
                <w:left w:val="none" w:sz="0" w:space="0" w:color="auto"/>
                <w:bottom w:val="none" w:sz="0" w:space="0" w:color="auto"/>
                <w:right w:val="none" w:sz="0" w:space="0" w:color="auto"/>
              </w:divBdr>
            </w:div>
          </w:divsChild>
        </w:div>
        <w:div w:id="1490827140">
          <w:marLeft w:val="0"/>
          <w:marRight w:val="0"/>
          <w:marTop w:val="0"/>
          <w:marBottom w:val="0"/>
          <w:divBdr>
            <w:top w:val="none" w:sz="0" w:space="0" w:color="auto"/>
            <w:left w:val="none" w:sz="0" w:space="0" w:color="auto"/>
            <w:bottom w:val="none" w:sz="0" w:space="0" w:color="auto"/>
            <w:right w:val="none" w:sz="0" w:space="0" w:color="auto"/>
          </w:divBdr>
          <w:divsChild>
            <w:div w:id="670136738">
              <w:marLeft w:val="0"/>
              <w:marRight w:val="0"/>
              <w:marTop w:val="0"/>
              <w:marBottom w:val="0"/>
              <w:divBdr>
                <w:top w:val="none" w:sz="0" w:space="0" w:color="auto"/>
                <w:left w:val="none" w:sz="0" w:space="0" w:color="auto"/>
                <w:bottom w:val="none" w:sz="0" w:space="0" w:color="auto"/>
                <w:right w:val="none" w:sz="0" w:space="0" w:color="auto"/>
              </w:divBdr>
            </w:div>
          </w:divsChild>
        </w:div>
        <w:div w:id="1491096469">
          <w:marLeft w:val="0"/>
          <w:marRight w:val="0"/>
          <w:marTop w:val="0"/>
          <w:marBottom w:val="0"/>
          <w:divBdr>
            <w:top w:val="none" w:sz="0" w:space="0" w:color="auto"/>
            <w:left w:val="none" w:sz="0" w:space="0" w:color="auto"/>
            <w:bottom w:val="none" w:sz="0" w:space="0" w:color="auto"/>
            <w:right w:val="none" w:sz="0" w:space="0" w:color="auto"/>
          </w:divBdr>
          <w:divsChild>
            <w:div w:id="1082410725">
              <w:marLeft w:val="0"/>
              <w:marRight w:val="0"/>
              <w:marTop w:val="0"/>
              <w:marBottom w:val="0"/>
              <w:divBdr>
                <w:top w:val="none" w:sz="0" w:space="0" w:color="auto"/>
                <w:left w:val="none" w:sz="0" w:space="0" w:color="auto"/>
                <w:bottom w:val="none" w:sz="0" w:space="0" w:color="auto"/>
                <w:right w:val="none" w:sz="0" w:space="0" w:color="auto"/>
              </w:divBdr>
            </w:div>
          </w:divsChild>
        </w:div>
        <w:div w:id="1491406828">
          <w:marLeft w:val="0"/>
          <w:marRight w:val="0"/>
          <w:marTop w:val="0"/>
          <w:marBottom w:val="0"/>
          <w:divBdr>
            <w:top w:val="none" w:sz="0" w:space="0" w:color="auto"/>
            <w:left w:val="none" w:sz="0" w:space="0" w:color="auto"/>
            <w:bottom w:val="none" w:sz="0" w:space="0" w:color="auto"/>
            <w:right w:val="none" w:sz="0" w:space="0" w:color="auto"/>
          </w:divBdr>
          <w:divsChild>
            <w:div w:id="1373189903">
              <w:marLeft w:val="0"/>
              <w:marRight w:val="0"/>
              <w:marTop w:val="0"/>
              <w:marBottom w:val="0"/>
              <w:divBdr>
                <w:top w:val="none" w:sz="0" w:space="0" w:color="auto"/>
                <w:left w:val="none" w:sz="0" w:space="0" w:color="auto"/>
                <w:bottom w:val="none" w:sz="0" w:space="0" w:color="auto"/>
                <w:right w:val="none" w:sz="0" w:space="0" w:color="auto"/>
              </w:divBdr>
            </w:div>
          </w:divsChild>
        </w:div>
        <w:div w:id="1491796624">
          <w:marLeft w:val="0"/>
          <w:marRight w:val="0"/>
          <w:marTop w:val="0"/>
          <w:marBottom w:val="0"/>
          <w:divBdr>
            <w:top w:val="none" w:sz="0" w:space="0" w:color="auto"/>
            <w:left w:val="none" w:sz="0" w:space="0" w:color="auto"/>
            <w:bottom w:val="none" w:sz="0" w:space="0" w:color="auto"/>
            <w:right w:val="none" w:sz="0" w:space="0" w:color="auto"/>
          </w:divBdr>
          <w:divsChild>
            <w:div w:id="744962077">
              <w:marLeft w:val="0"/>
              <w:marRight w:val="0"/>
              <w:marTop w:val="0"/>
              <w:marBottom w:val="0"/>
              <w:divBdr>
                <w:top w:val="none" w:sz="0" w:space="0" w:color="auto"/>
                <w:left w:val="none" w:sz="0" w:space="0" w:color="auto"/>
                <w:bottom w:val="none" w:sz="0" w:space="0" w:color="auto"/>
                <w:right w:val="none" w:sz="0" w:space="0" w:color="auto"/>
              </w:divBdr>
            </w:div>
          </w:divsChild>
        </w:div>
        <w:div w:id="1492598001">
          <w:marLeft w:val="0"/>
          <w:marRight w:val="0"/>
          <w:marTop w:val="0"/>
          <w:marBottom w:val="0"/>
          <w:divBdr>
            <w:top w:val="none" w:sz="0" w:space="0" w:color="auto"/>
            <w:left w:val="none" w:sz="0" w:space="0" w:color="auto"/>
            <w:bottom w:val="none" w:sz="0" w:space="0" w:color="auto"/>
            <w:right w:val="none" w:sz="0" w:space="0" w:color="auto"/>
          </w:divBdr>
          <w:divsChild>
            <w:div w:id="719674133">
              <w:marLeft w:val="0"/>
              <w:marRight w:val="0"/>
              <w:marTop w:val="0"/>
              <w:marBottom w:val="0"/>
              <w:divBdr>
                <w:top w:val="none" w:sz="0" w:space="0" w:color="auto"/>
                <w:left w:val="none" w:sz="0" w:space="0" w:color="auto"/>
                <w:bottom w:val="none" w:sz="0" w:space="0" w:color="auto"/>
                <w:right w:val="none" w:sz="0" w:space="0" w:color="auto"/>
              </w:divBdr>
            </w:div>
          </w:divsChild>
        </w:div>
        <w:div w:id="1496069569">
          <w:marLeft w:val="0"/>
          <w:marRight w:val="0"/>
          <w:marTop w:val="0"/>
          <w:marBottom w:val="0"/>
          <w:divBdr>
            <w:top w:val="none" w:sz="0" w:space="0" w:color="auto"/>
            <w:left w:val="none" w:sz="0" w:space="0" w:color="auto"/>
            <w:bottom w:val="none" w:sz="0" w:space="0" w:color="auto"/>
            <w:right w:val="none" w:sz="0" w:space="0" w:color="auto"/>
          </w:divBdr>
          <w:divsChild>
            <w:div w:id="1853521357">
              <w:marLeft w:val="0"/>
              <w:marRight w:val="0"/>
              <w:marTop w:val="0"/>
              <w:marBottom w:val="0"/>
              <w:divBdr>
                <w:top w:val="none" w:sz="0" w:space="0" w:color="auto"/>
                <w:left w:val="none" w:sz="0" w:space="0" w:color="auto"/>
                <w:bottom w:val="none" w:sz="0" w:space="0" w:color="auto"/>
                <w:right w:val="none" w:sz="0" w:space="0" w:color="auto"/>
              </w:divBdr>
            </w:div>
          </w:divsChild>
        </w:div>
        <w:div w:id="1496452924">
          <w:marLeft w:val="0"/>
          <w:marRight w:val="0"/>
          <w:marTop w:val="0"/>
          <w:marBottom w:val="0"/>
          <w:divBdr>
            <w:top w:val="none" w:sz="0" w:space="0" w:color="auto"/>
            <w:left w:val="none" w:sz="0" w:space="0" w:color="auto"/>
            <w:bottom w:val="none" w:sz="0" w:space="0" w:color="auto"/>
            <w:right w:val="none" w:sz="0" w:space="0" w:color="auto"/>
          </w:divBdr>
          <w:divsChild>
            <w:div w:id="448821866">
              <w:marLeft w:val="0"/>
              <w:marRight w:val="0"/>
              <w:marTop w:val="0"/>
              <w:marBottom w:val="0"/>
              <w:divBdr>
                <w:top w:val="none" w:sz="0" w:space="0" w:color="auto"/>
                <w:left w:val="none" w:sz="0" w:space="0" w:color="auto"/>
                <w:bottom w:val="none" w:sz="0" w:space="0" w:color="auto"/>
                <w:right w:val="none" w:sz="0" w:space="0" w:color="auto"/>
              </w:divBdr>
            </w:div>
          </w:divsChild>
        </w:div>
        <w:div w:id="1497720879">
          <w:marLeft w:val="0"/>
          <w:marRight w:val="0"/>
          <w:marTop w:val="0"/>
          <w:marBottom w:val="0"/>
          <w:divBdr>
            <w:top w:val="none" w:sz="0" w:space="0" w:color="auto"/>
            <w:left w:val="none" w:sz="0" w:space="0" w:color="auto"/>
            <w:bottom w:val="none" w:sz="0" w:space="0" w:color="auto"/>
            <w:right w:val="none" w:sz="0" w:space="0" w:color="auto"/>
          </w:divBdr>
          <w:divsChild>
            <w:div w:id="1025398295">
              <w:marLeft w:val="0"/>
              <w:marRight w:val="0"/>
              <w:marTop w:val="0"/>
              <w:marBottom w:val="0"/>
              <w:divBdr>
                <w:top w:val="none" w:sz="0" w:space="0" w:color="auto"/>
                <w:left w:val="none" w:sz="0" w:space="0" w:color="auto"/>
                <w:bottom w:val="none" w:sz="0" w:space="0" w:color="auto"/>
                <w:right w:val="none" w:sz="0" w:space="0" w:color="auto"/>
              </w:divBdr>
            </w:div>
          </w:divsChild>
        </w:div>
        <w:div w:id="1498225077">
          <w:marLeft w:val="0"/>
          <w:marRight w:val="0"/>
          <w:marTop w:val="0"/>
          <w:marBottom w:val="0"/>
          <w:divBdr>
            <w:top w:val="none" w:sz="0" w:space="0" w:color="auto"/>
            <w:left w:val="none" w:sz="0" w:space="0" w:color="auto"/>
            <w:bottom w:val="none" w:sz="0" w:space="0" w:color="auto"/>
            <w:right w:val="none" w:sz="0" w:space="0" w:color="auto"/>
          </w:divBdr>
          <w:divsChild>
            <w:div w:id="1170174833">
              <w:marLeft w:val="0"/>
              <w:marRight w:val="0"/>
              <w:marTop w:val="0"/>
              <w:marBottom w:val="0"/>
              <w:divBdr>
                <w:top w:val="none" w:sz="0" w:space="0" w:color="auto"/>
                <w:left w:val="none" w:sz="0" w:space="0" w:color="auto"/>
                <w:bottom w:val="none" w:sz="0" w:space="0" w:color="auto"/>
                <w:right w:val="none" w:sz="0" w:space="0" w:color="auto"/>
              </w:divBdr>
            </w:div>
          </w:divsChild>
        </w:div>
        <w:div w:id="1499493699">
          <w:marLeft w:val="0"/>
          <w:marRight w:val="0"/>
          <w:marTop w:val="0"/>
          <w:marBottom w:val="0"/>
          <w:divBdr>
            <w:top w:val="none" w:sz="0" w:space="0" w:color="auto"/>
            <w:left w:val="none" w:sz="0" w:space="0" w:color="auto"/>
            <w:bottom w:val="none" w:sz="0" w:space="0" w:color="auto"/>
            <w:right w:val="none" w:sz="0" w:space="0" w:color="auto"/>
          </w:divBdr>
          <w:divsChild>
            <w:div w:id="1066489758">
              <w:marLeft w:val="0"/>
              <w:marRight w:val="0"/>
              <w:marTop w:val="0"/>
              <w:marBottom w:val="0"/>
              <w:divBdr>
                <w:top w:val="none" w:sz="0" w:space="0" w:color="auto"/>
                <w:left w:val="none" w:sz="0" w:space="0" w:color="auto"/>
                <w:bottom w:val="none" w:sz="0" w:space="0" w:color="auto"/>
                <w:right w:val="none" w:sz="0" w:space="0" w:color="auto"/>
              </w:divBdr>
            </w:div>
          </w:divsChild>
        </w:div>
        <w:div w:id="1499803405">
          <w:marLeft w:val="0"/>
          <w:marRight w:val="0"/>
          <w:marTop w:val="0"/>
          <w:marBottom w:val="0"/>
          <w:divBdr>
            <w:top w:val="none" w:sz="0" w:space="0" w:color="auto"/>
            <w:left w:val="none" w:sz="0" w:space="0" w:color="auto"/>
            <w:bottom w:val="none" w:sz="0" w:space="0" w:color="auto"/>
            <w:right w:val="none" w:sz="0" w:space="0" w:color="auto"/>
          </w:divBdr>
          <w:divsChild>
            <w:div w:id="1966303729">
              <w:marLeft w:val="0"/>
              <w:marRight w:val="0"/>
              <w:marTop w:val="0"/>
              <w:marBottom w:val="0"/>
              <w:divBdr>
                <w:top w:val="none" w:sz="0" w:space="0" w:color="auto"/>
                <w:left w:val="none" w:sz="0" w:space="0" w:color="auto"/>
                <w:bottom w:val="none" w:sz="0" w:space="0" w:color="auto"/>
                <w:right w:val="none" w:sz="0" w:space="0" w:color="auto"/>
              </w:divBdr>
            </w:div>
          </w:divsChild>
        </w:div>
        <w:div w:id="1504976360">
          <w:marLeft w:val="0"/>
          <w:marRight w:val="0"/>
          <w:marTop w:val="0"/>
          <w:marBottom w:val="0"/>
          <w:divBdr>
            <w:top w:val="none" w:sz="0" w:space="0" w:color="auto"/>
            <w:left w:val="none" w:sz="0" w:space="0" w:color="auto"/>
            <w:bottom w:val="none" w:sz="0" w:space="0" w:color="auto"/>
            <w:right w:val="none" w:sz="0" w:space="0" w:color="auto"/>
          </w:divBdr>
          <w:divsChild>
            <w:div w:id="936523405">
              <w:marLeft w:val="0"/>
              <w:marRight w:val="0"/>
              <w:marTop w:val="0"/>
              <w:marBottom w:val="0"/>
              <w:divBdr>
                <w:top w:val="none" w:sz="0" w:space="0" w:color="auto"/>
                <w:left w:val="none" w:sz="0" w:space="0" w:color="auto"/>
                <w:bottom w:val="none" w:sz="0" w:space="0" w:color="auto"/>
                <w:right w:val="none" w:sz="0" w:space="0" w:color="auto"/>
              </w:divBdr>
            </w:div>
          </w:divsChild>
        </w:div>
        <w:div w:id="1505434921">
          <w:marLeft w:val="0"/>
          <w:marRight w:val="0"/>
          <w:marTop w:val="0"/>
          <w:marBottom w:val="0"/>
          <w:divBdr>
            <w:top w:val="none" w:sz="0" w:space="0" w:color="auto"/>
            <w:left w:val="none" w:sz="0" w:space="0" w:color="auto"/>
            <w:bottom w:val="none" w:sz="0" w:space="0" w:color="auto"/>
            <w:right w:val="none" w:sz="0" w:space="0" w:color="auto"/>
          </w:divBdr>
          <w:divsChild>
            <w:div w:id="1364135235">
              <w:marLeft w:val="0"/>
              <w:marRight w:val="0"/>
              <w:marTop w:val="0"/>
              <w:marBottom w:val="0"/>
              <w:divBdr>
                <w:top w:val="none" w:sz="0" w:space="0" w:color="auto"/>
                <w:left w:val="none" w:sz="0" w:space="0" w:color="auto"/>
                <w:bottom w:val="none" w:sz="0" w:space="0" w:color="auto"/>
                <w:right w:val="none" w:sz="0" w:space="0" w:color="auto"/>
              </w:divBdr>
            </w:div>
          </w:divsChild>
        </w:div>
        <w:div w:id="1506361058">
          <w:marLeft w:val="0"/>
          <w:marRight w:val="0"/>
          <w:marTop w:val="0"/>
          <w:marBottom w:val="0"/>
          <w:divBdr>
            <w:top w:val="none" w:sz="0" w:space="0" w:color="auto"/>
            <w:left w:val="none" w:sz="0" w:space="0" w:color="auto"/>
            <w:bottom w:val="none" w:sz="0" w:space="0" w:color="auto"/>
            <w:right w:val="none" w:sz="0" w:space="0" w:color="auto"/>
          </w:divBdr>
          <w:divsChild>
            <w:div w:id="1283994453">
              <w:marLeft w:val="0"/>
              <w:marRight w:val="0"/>
              <w:marTop w:val="0"/>
              <w:marBottom w:val="0"/>
              <w:divBdr>
                <w:top w:val="none" w:sz="0" w:space="0" w:color="auto"/>
                <w:left w:val="none" w:sz="0" w:space="0" w:color="auto"/>
                <w:bottom w:val="none" w:sz="0" w:space="0" w:color="auto"/>
                <w:right w:val="none" w:sz="0" w:space="0" w:color="auto"/>
              </w:divBdr>
            </w:div>
          </w:divsChild>
        </w:div>
        <w:div w:id="1507750441">
          <w:marLeft w:val="0"/>
          <w:marRight w:val="0"/>
          <w:marTop w:val="0"/>
          <w:marBottom w:val="0"/>
          <w:divBdr>
            <w:top w:val="none" w:sz="0" w:space="0" w:color="auto"/>
            <w:left w:val="none" w:sz="0" w:space="0" w:color="auto"/>
            <w:bottom w:val="none" w:sz="0" w:space="0" w:color="auto"/>
            <w:right w:val="none" w:sz="0" w:space="0" w:color="auto"/>
          </w:divBdr>
          <w:divsChild>
            <w:div w:id="1239242483">
              <w:marLeft w:val="0"/>
              <w:marRight w:val="0"/>
              <w:marTop w:val="0"/>
              <w:marBottom w:val="0"/>
              <w:divBdr>
                <w:top w:val="none" w:sz="0" w:space="0" w:color="auto"/>
                <w:left w:val="none" w:sz="0" w:space="0" w:color="auto"/>
                <w:bottom w:val="none" w:sz="0" w:space="0" w:color="auto"/>
                <w:right w:val="none" w:sz="0" w:space="0" w:color="auto"/>
              </w:divBdr>
            </w:div>
          </w:divsChild>
        </w:div>
        <w:div w:id="1512641795">
          <w:marLeft w:val="0"/>
          <w:marRight w:val="0"/>
          <w:marTop w:val="0"/>
          <w:marBottom w:val="0"/>
          <w:divBdr>
            <w:top w:val="none" w:sz="0" w:space="0" w:color="auto"/>
            <w:left w:val="none" w:sz="0" w:space="0" w:color="auto"/>
            <w:bottom w:val="none" w:sz="0" w:space="0" w:color="auto"/>
            <w:right w:val="none" w:sz="0" w:space="0" w:color="auto"/>
          </w:divBdr>
          <w:divsChild>
            <w:div w:id="189420462">
              <w:marLeft w:val="0"/>
              <w:marRight w:val="0"/>
              <w:marTop w:val="0"/>
              <w:marBottom w:val="0"/>
              <w:divBdr>
                <w:top w:val="none" w:sz="0" w:space="0" w:color="auto"/>
                <w:left w:val="none" w:sz="0" w:space="0" w:color="auto"/>
                <w:bottom w:val="none" w:sz="0" w:space="0" w:color="auto"/>
                <w:right w:val="none" w:sz="0" w:space="0" w:color="auto"/>
              </w:divBdr>
            </w:div>
          </w:divsChild>
        </w:div>
        <w:div w:id="1514299852">
          <w:marLeft w:val="0"/>
          <w:marRight w:val="0"/>
          <w:marTop w:val="0"/>
          <w:marBottom w:val="0"/>
          <w:divBdr>
            <w:top w:val="none" w:sz="0" w:space="0" w:color="auto"/>
            <w:left w:val="none" w:sz="0" w:space="0" w:color="auto"/>
            <w:bottom w:val="none" w:sz="0" w:space="0" w:color="auto"/>
            <w:right w:val="none" w:sz="0" w:space="0" w:color="auto"/>
          </w:divBdr>
          <w:divsChild>
            <w:div w:id="165287092">
              <w:marLeft w:val="0"/>
              <w:marRight w:val="0"/>
              <w:marTop w:val="0"/>
              <w:marBottom w:val="0"/>
              <w:divBdr>
                <w:top w:val="none" w:sz="0" w:space="0" w:color="auto"/>
                <w:left w:val="none" w:sz="0" w:space="0" w:color="auto"/>
                <w:bottom w:val="none" w:sz="0" w:space="0" w:color="auto"/>
                <w:right w:val="none" w:sz="0" w:space="0" w:color="auto"/>
              </w:divBdr>
            </w:div>
          </w:divsChild>
        </w:div>
        <w:div w:id="1514883373">
          <w:marLeft w:val="0"/>
          <w:marRight w:val="0"/>
          <w:marTop w:val="0"/>
          <w:marBottom w:val="0"/>
          <w:divBdr>
            <w:top w:val="none" w:sz="0" w:space="0" w:color="auto"/>
            <w:left w:val="none" w:sz="0" w:space="0" w:color="auto"/>
            <w:bottom w:val="none" w:sz="0" w:space="0" w:color="auto"/>
            <w:right w:val="none" w:sz="0" w:space="0" w:color="auto"/>
          </w:divBdr>
          <w:divsChild>
            <w:div w:id="130102198">
              <w:marLeft w:val="0"/>
              <w:marRight w:val="0"/>
              <w:marTop w:val="0"/>
              <w:marBottom w:val="0"/>
              <w:divBdr>
                <w:top w:val="none" w:sz="0" w:space="0" w:color="auto"/>
                <w:left w:val="none" w:sz="0" w:space="0" w:color="auto"/>
                <w:bottom w:val="none" w:sz="0" w:space="0" w:color="auto"/>
                <w:right w:val="none" w:sz="0" w:space="0" w:color="auto"/>
              </w:divBdr>
            </w:div>
          </w:divsChild>
        </w:div>
        <w:div w:id="1518999811">
          <w:marLeft w:val="0"/>
          <w:marRight w:val="0"/>
          <w:marTop w:val="0"/>
          <w:marBottom w:val="0"/>
          <w:divBdr>
            <w:top w:val="none" w:sz="0" w:space="0" w:color="auto"/>
            <w:left w:val="none" w:sz="0" w:space="0" w:color="auto"/>
            <w:bottom w:val="none" w:sz="0" w:space="0" w:color="auto"/>
            <w:right w:val="none" w:sz="0" w:space="0" w:color="auto"/>
          </w:divBdr>
          <w:divsChild>
            <w:div w:id="1092553594">
              <w:marLeft w:val="0"/>
              <w:marRight w:val="0"/>
              <w:marTop w:val="0"/>
              <w:marBottom w:val="0"/>
              <w:divBdr>
                <w:top w:val="none" w:sz="0" w:space="0" w:color="auto"/>
                <w:left w:val="none" w:sz="0" w:space="0" w:color="auto"/>
                <w:bottom w:val="none" w:sz="0" w:space="0" w:color="auto"/>
                <w:right w:val="none" w:sz="0" w:space="0" w:color="auto"/>
              </w:divBdr>
            </w:div>
          </w:divsChild>
        </w:div>
        <w:div w:id="1520005467">
          <w:marLeft w:val="0"/>
          <w:marRight w:val="0"/>
          <w:marTop w:val="0"/>
          <w:marBottom w:val="0"/>
          <w:divBdr>
            <w:top w:val="none" w:sz="0" w:space="0" w:color="auto"/>
            <w:left w:val="none" w:sz="0" w:space="0" w:color="auto"/>
            <w:bottom w:val="none" w:sz="0" w:space="0" w:color="auto"/>
            <w:right w:val="none" w:sz="0" w:space="0" w:color="auto"/>
          </w:divBdr>
          <w:divsChild>
            <w:div w:id="132674377">
              <w:marLeft w:val="0"/>
              <w:marRight w:val="0"/>
              <w:marTop w:val="0"/>
              <w:marBottom w:val="0"/>
              <w:divBdr>
                <w:top w:val="none" w:sz="0" w:space="0" w:color="auto"/>
                <w:left w:val="none" w:sz="0" w:space="0" w:color="auto"/>
                <w:bottom w:val="none" w:sz="0" w:space="0" w:color="auto"/>
                <w:right w:val="none" w:sz="0" w:space="0" w:color="auto"/>
              </w:divBdr>
            </w:div>
          </w:divsChild>
        </w:div>
        <w:div w:id="1523476290">
          <w:marLeft w:val="0"/>
          <w:marRight w:val="0"/>
          <w:marTop w:val="0"/>
          <w:marBottom w:val="0"/>
          <w:divBdr>
            <w:top w:val="none" w:sz="0" w:space="0" w:color="auto"/>
            <w:left w:val="none" w:sz="0" w:space="0" w:color="auto"/>
            <w:bottom w:val="none" w:sz="0" w:space="0" w:color="auto"/>
            <w:right w:val="none" w:sz="0" w:space="0" w:color="auto"/>
          </w:divBdr>
          <w:divsChild>
            <w:div w:id="518009058">
              <w:marLeft w:val="0"/>
              <w:marRight w:val="0"/>
              <w:marTop w:val="0"/>
              <w:marBottom w:val="0"/>
              <w:divBdr>
                <w:top w:val="none" w:sz="0" w:space="0" w:color="auto"/>
                <w:left w:val="none" w:sz="0" w:space="0" w:color="auto"/>
                <w:bottom w:val="none" w:sz="0" w:space="0" w:color="auto"/>
                <w:right w:val="none" w:sz="0" w:space="0" w:color="auto"/>
              </w:divBdr>
            </w:div>
          </w:divsChild>
        </w:div>
        <w:div w:id="1523477419">
          <w:marLeft w:val="0"/>
          <w:marRight w:val="0"/>
          <w:marTop w:val="0"/>
          <w:marBottom w:val="0"/>
          <w:divBdr>
            <w:top w:val="none" w:sz="0" w:space="0" w:color="auto"/>
            <w:left w:val="none" w:sz="0" w:space="0" w:color="auto"/>
            <w:bottom w:val="none" w:sz="0" w:space="0" w:color="auto"/>
            <w:right w:val="none" w:sz="0" w:space="0" w:color="auto"/>
          </w:divBdr>
          <w:divsChild>
            <w:div w:id="1199665706">
              <w:marLeft w:val="0"/>
              <w:marRight w:val="0"/>
              <w:marTop w:val="0"/>
              <w:marBottom w:val="0"/>
              <w:divBdr>
                <w:top w:val="none" w:sz="0" w:space="0" w:color="auto"/>
                <w:left w:val="none" w:sz="0" w:space="0" w:color="auto"/>
                <w:bottom w:val="none" w:sz="0" w:space="0" w:color="auto"/>
                <w:right w:val="none" w:sz="0" w:space="0" w:color="auto"/>
              </w:divBdr>
            </w:div>
          </w:divsChild>
        </w:div>
        <w:div w:id="1523981584">
          <w:marLeft w:val="0"/>
          <w:marRight w:val="0"/>
          <w:marTop w:val="0"/>
          <w:marBottom w:val="0"/>
          <w:divBdr>
            <w:top w:val="none" w:sz="0" w:space="0" w:color="auto"/>
            <w:left w:val="none" w:sz="0" w:space="0" w:color="auto"/>
            <w:bottom w:val="none" w:sz="0" w:space="0" w:color="auto"/>
            <w:right w:val="none" w:sz="0" w:space="0" w:color="auto"/>
          </w:divBdr>
          <w:divsChild>
            <w:div w:id="439224823">
              <w:marLeft w:val="0"/>
              <w:marRight w:val="0"/>
              <w:marTop w:val="0"/>
              <w:marBottom w:val="0"/>
              <w:divBdr>
                <w:top w:val="none" w:sz="0" w:space="0" w:color="auto"/>
                <w:left w:val="none" w:sz="0" w:space="0" w:color="auto"/>
                <w:bottom w:val="none" w:sz="0" w:space="0" w:color="auto"/>
                <w:right w:val="none" w:sz="0" w:space="0" w:color="auto"/>
              </w:divBdr>
            </w:div>
          </w:divsChild>
        </w:div>
        <w:div w:id="1529560775">
          <w:marLeft w:val="0"/>
          <w:marRight w:val="0"/>
          <w:marTop w:val="0"/>
          <w:marBottom w:val="0"/>
          <w:divBdr>
            <w:top w:val="none" w:sz="0" w:space="0" w:color="auto"/>
            <w:left w:val="none" w:sz="0" w:space="0" w:color="auto"/>
            <w:bottom w:val="none" w:sz="0" w:space="0" w:color="auto"/>
            <w:right w:val="none" w:sz="0" w:space="0" w:color="auto"/>
          </w:divBdr>
          <w:divsChild>
            <w:div w:id="140344951">
              <w:marLeft w:val="0"/>
              <w:marRight w:val="0"/>
              <w:marTop w:val="0"/>
              <w:marBottom w:val="0"/>
              <w:divBdr>
                <w:top w:val="none" w:sz="0" w:space="0" w:color="auto"/>
                <w:left w:val="none" w:sz="0" w:space="0" w:color="auto"/>
                <w:bottom w:val="none" w:sz="0" w:space="0" w:color="auto"/>
                <w:right w:val="none" w:sz="0" w:space="0" w:color="auto"/>
              </w:divBdr>
            </w:div>
          </w:divsChild>
        </w:div>
        <w:div w:id="1530872658">
          <w:marLeft w:val="0"/>
          <w:marRight w:val="0"/>
          <w:marTop w:val="0"/>
          <w:marBottom w:val="0"/>
          <w:divBdr>
            <w:top w:val="none" w:sz="0" w:space="0" w:color="auto"/>
            <w:left w:val="none" w:sz="0" w:space="0" w:color="auto"/>
            <w:bottom w:val="none" w:sz="0" w:space="0" w:color="auto"/>
            <w:right w:val="none" w:sz="0" w:space="0" w:color="auto"/>
          </w:divBdr>
          <w:divsChild>
            <w:div w:id="734739516">
              <w:marLeft w:val="0"/>
              <w:marRight w:val="0"/>
              <w:marTop w:val="0"/>
              <w:marBottom w:val="0"/>
              <w:divBdr>
                <w:top w:val="none" w:sz="0" w:space="0" w:color="auto"/>
                <w:left w:val="none" w:sz="0" w:space="0" w:color="auto"/>
                <w:bottom w:val="none" w:sz="0" w:space="0" w:color="auto"/>
                <w:right w:val="none" w:sz="0" w:space="0" w:color="auto"/>
              </w:divBdr>
            </w:div>
          </w:divsChild>
        </w:div>
        <w:div w:id="1530949771">
          <w:marLeft w:val="0"/>
          <w:marRight w:val="0"/>
          <w:marTop w:val="0"/>
          <w:marBottom w:val="0"/>
          <w:divBdr>
            <w:top w:val="none" w:sz="0" w:space="0" w:color="auto"/>
            <w:left w:val="none" w:sz="0" w:space="0" w:color="auto"/>
            <w:bottom w:val="none" w:sz="0" w:space="0" w:color="auto"/>
            <w:right w:val="none" w:sz="0" w:space="0" w:color="auto"/>
          </w:divBdr>
          <w:divsChild>
            <w:div w:id="1030181779">
              <w:marLeft w:val="0"/>
              <w:marRight w:val="0"/>
              <w:marTop w:val="0"/>
              <w:marBottom w:val="0"/>
              <w:divBdr>
                <w:top w:val="none" w:sz="0" w:space="0" w:color="auto"/>
                <w:left w:val="none" w:sz="0" w:space="0" w:color="auto"/>
                <w:bottom w:val="none" w:sz="0" w:space="0" w:color="auto"/>
                <w:right w:val="none" w:sz="0" w:space="0" w:color="auto"/>
              </w:divBdr>
            </w:div>
          </w:divsChild>
        </w:div>
        <w:div w:id="1531604097">
          <w:marLeft w:val="0"/>
          <w:marRight w:val="0"/>
          <w:marTop w:val="0"/>
          <w:marBottom w:val="0"/>
          <w:divBdr>
            <w:top w:val="none" w:sz="0" w:space="0" w:color="auto"/>
            <w:left w:val="none" w:sz="0" w:space="0" w:color="auto"/>
            <w:bottom w:val="none" w:sz="0" w:space="0" w:color="auto"/>
            <w:right w:val="none" w:sz="0" w:space="0" w:color="auto"/>
          </w:divBdr>
          <w:divsChild>
            <w:div w:id="1422599780">
              <w:marLeft w:val="0"/>
              <w:marRight w:val="0"/>
              <w:marTop w:val="0"/>
              <w:marBottom w:val="0"/>
              <w:divBdr>
                <w:top w:val="none" w:sz="0" w:space="0" w:color="auto"/>
                <w:left w:val="none" w:sz="0" w:space="0" w:color="auto"/>
                <w:bottom w:val="none" w:sz="0" w:space="0" w:color="auto"/>
                <w:right w:val="none" w:sz="0" w:space="0" w:color="auto"/>
              </w:divBdr>
            </w:div>
          </w:divsChild>
        </w:div>
        <w:div w:id="1533222682">
          <w:marLeft w:val="0"/>
          <w:marRight w:val="0"/>
          <w:marTop w:val="0"/>
          <w:marBottom w:val="0"/>
          <w:divBdr>
            <w:top w:val="none" w:sz="0" w:space="0" w:color="auto"/>
            <w:left w:val="none" w:sz="0" w:space="0" w:color="auto"/>
            <w:bottom w:val="none" w:sz="0" w:space="0" w:color="auto"/>
            <w:right w:val="none" w:sz="0" w:space="0" w:color="auto"/>
          </w:divBdr>
          <w:divsChild>
            <w:div w:id="434600467">
              <w:marLeft w:val="0"/>
              <w:marRight w:val="0"/>
              <w:marTop w:val="0"/>
              <w:marBottom w:val="0"/>
              <w:divBdr>
                <w:top w:val="none" w:sz="0" w:space="0" w:color="auto"/>
                <w:left w:val="none" w:sz="0" w:space="0" w:color="auto"/>
                <w:bottom w:val="none" w:sz="0" w:space="0" w:color="auto"/>
                <w:right w:val="none" w:sz="0" w:space="0" w:color="auto"/>
              </w:divBdr>
            </w:div>
          </w:divsChild>
        </w:div>
        <w:div w:id="1534683310">
          <w:marLeft w:val="0"/>
          <w:marRight w:val="0"/>
          <w:marTop w:val="0"/>
          <w:marBottom w:val="0"/>
          <w:divBdr>
            <w:top w:val="none" w:sz="0" w:space="0" w:color="auto"/>
            <w:left w:val="none" w:sz="0" w:space="0" w:color="auto"/>
            <w:bottom w:val="none" w:sz="0" w:space="0" w:color="auto"/>
            <w:right w:val="none" w:sz="0" w:space="0" w:color="auto"/>
          </w:divBdr>
          <w:divsChild>
            <w:div w:id="1763839660">
              <w:marLeft w:val="0"/>
              <w:marRight w:val="0"/>
              <w:marTop w:val="0"/>
              <w:marBottom w:val="0"/>
              <w:divBdr>
                <w:top w:val="none" w:sz="0" w:space="0" w:color="auto"/>
                <w:left w:val="none" w:sz="0" w:space="0" w:color="auto"/>
                <w:bottom w:val="none" w:sz="0" w:space="0" w:color="auto"/>
                <w:right w:val="none" w:sz="0" w:space="0" w:color="auto"/>
              </w:divBdr>
            </w:div>
          </w:divsChild>
        </w:div>
        <w:div w:id="1544098409">
          <w:marLeft w:val="0"/>
          <w:marRight w:val="0"/>
          <w:marTop w:val="0"/>
          <w:marBottom w:val="0"/>
          <w:divBdr>
            <w:top w:val="none" w:sz="0" w:space="0" w:color="auto"/>
            <w:left w:val="none" w:sz="0" w:space="0" w:color="auto"/>
            <w:bottom w:val="none" w:sz="0" w:space="0" w:color="auto"/>
            <w:right w:val="none" w:sz="0" w:space="0" w:color="auto"/>
          </w:divBdr>
          <w:divsChild>
            <w:div w:id="2022658920">
              <w:marLeft w:val="0"/>
              <w:marRight w:val="0"/>
              <w:marTop w:val="0"/>
              <w:marBottom w:val="0"/>
              <w:divBdr>
                <w:top w:val="none" w:sz="0" w:space="0" w:color="auto"/>
                <w:left w:val="none" w:sz="0" w:space="0" w:color="auto"/>
                <w:bottom w:val="none" w:sz="0" w:space="0" w:color="auto"/>
                <w:right w:val="none" w:sz="0" w:space="0" w:color="auto"/>
              </w:divBdr>
            </w:div>
          </w:divsChild>
        </w:div>
        <w:div w:id="1546327756">
          <w:marLeft w:val="0"/>
          <w:marRight w:val="0"/>
          <w:marTop w:val="0"/>
          <w:marBottom w:val="0"/>
          <w:divBdr>
            <w:top w:val="none" w:sz="0" w:space="0" w:color="auto"/>
            <w:left w:val="none" w:sz="0" w:space="0" w:color="auto"/>
            <w:bottom w:val="none" w:sz="0" w:space="0" w:color="auto"/>
            <w:right w:val="none" w:sz="0" w:space="0" w:color="auto"/>
          </w:divBdr>
          <w:divsChild>
            <w:div w:id="1989626217">
              <w:marLeft w:val="0"/>
              <w:marRight w:val="0"/>
              <w:marTop w:val="0"/>
              <w:marBottom w:val="0"/>
              <w:divBdr>
                <w:top w:val="none" w:sz="0" w:space="0" w:color="auto"/>
                <w:left w:val="none" w:sz="0" w:space="0" w:color="auto"/>
                <w:bottom w:val="none" w:sz="0" w:space="0" w:color="auto"/>
                <w:right w:val="none" w:sz="0" w:space="0" w:color="auto"/>
              </w:divBdr>
            </w:div>
          </w:divsChild>
        </w:div>
        <w:div w:id="1546335114">
          <w:marLeft w:val="0"/>
          <w:marRight w:val="0"/>
          <w:marTop w:val="0"/>
          <w:marBottom w:val="0"/>
          <w:divBdr>
            <w:top w:val="none" w:sz="0" w:space="0" w:color="auto"/>
            <w:left w:val="none" w:sz="0" w:space="0" w:color="auto"/>
            <w:bottom w:val="none" w:sz="0" w:space="0" w:color="auto"/>
            <w:right w:val="none" w:sz="0" w:space="0" w:color="auto"/>
          </w:divBdr>
          <w:divsChild>
            <w:div w:id="2008091684">
              <w:marLeft w:val="0"/>
              <w:marRight w:val="0"/>
              <w:marTop w:val="0"/>
              <w:marBottom w:val="0"/>
              <w:divBdr>
                <w:top w:val="none" w:sz="0" w:space="0" w:color="auto"/>
                <w:left w:val="none" w:sz="0" w:space="0" w:color="auto"/>
                <w:bottom w:val="none" w:sz="0" w:space="0" w:color="auto"/>
                <w:right w:val="none" w:sz="0" w:space="0" w:color="auto"/>
              </w:divBdr>
            </w:div>
          </w:divsChild>
        </w:div>
        <w:div w:id="1546403944">
          <w:marLeft w:val="0"/>
          <w:marRight w:val="0"/>
          <w:marTop w:val="0"/>
          <w:marBottom w:val="0"/>
          <w:divBdr>
            <w:top w:val="none" w:sz="0" w:space="0" w:color="auto"/>
            <w:left w:val="none" w:sz="0" w:space="0" w:color="auto"/>
            <w:bottom w:val="none" w:sz="0" w:space="0" w:color="auto"/>
            <w:right w:val="none" w:sz="0" w:space="0" w:color="auto"/>
          </w:divBdr>
          <w:divsChild>
            <w:div w:id="2067413799">
              <w:marLeft w:val="0"/>
              <w:marRight w:val="0"/>
              <w:marTop w:val="0"/>
              <w:marBottom w:val="0"/>
              <w:divBdr>
                <w:top w:val="none" w:sz="0" w:space="0" w:color="auto"/>
                <w:left w:val="none" w:sz="0" w:space="0" w:color="auto"/>
                <w:bottom w:val="none" w:sz="0" w:space="0" w:color="auto"/>
                <w:right w:val="none" w:sz="0" w:space="0" w:color="auto"/>
              </w:divBdr>
            </w:div>
          </w:divsChild>
        </w:div>
        <w:div w:id="1546483179">
          <w:marLeft w:val="0"/>
          <w:marRight w:val="0"/>
          <w:marTop w:val="0"/>
          <w:marBottom w:val="0"/>
          <w:divBdr>
            <w:top w:val="none" w:sz="0" w:space="0" w:color="auto"/>
            <w:left w:val="none" w:sz="0" w:space="0" w:color="auto"/>
            <w:bottom w:val="none" w:sz="0" w:space="0" w:color="auto"/>
            <w:right w:val="none" w:sz="0" w:space="0" w:color="auto"/>
          </w:divBdr>
          <w:divsChild>
            <w:div w:id="1380595805">
              <w:marLeft w:val="0"/>
              <w:marRight w:val="0"/>
              <w:marTop w:val="0"/>
              <w:marBottom w:val="0"/>
              <w:divBdr>
                <w:top w:val="none" w:sz="0" w:space="0" w:color="auto"/>
                <w:left w:val="none" w:sz="0" w:space="0" w:color="auto"/>
                <w:bottom w:val="none" w:sz="0" w:space="0" w:color="auto"/>
                <w:right w:val="none" w:sz="0" w:space="0" w:color="auto"/>
              </w:divBdr>
            </w:div>
          </w:divsChild>
        </w:div>
        <w:div w:id="1552227345">
          <w:marLeft w:val="0"/>
          <w:marRight w:val="0"/>
          <w:marTop w:val="0"/>
          <w:marBottom w:val="0"/>
          <w:divBdr>
            <w:top w:val="none" w:sz="0" w:space="0" w:color="auto"/>
            <w:left w:val="none" w:sz="0" w:space="0" w:color="auto"/>
            <w:bottom w:val="none" w:sz="0" w:space="0" w:color="auto"/>
            <w:right w:val="none" w:sz="0" w:space="0" w:color="auto"/>
          </w:divBdr>
          <w:divsChild>
            <w:div w:id="709498857">
              <w:marLeft w:val="0"/>
              <w:marRight w:val="0"/>
              <w:marTop w:val="0"/>
              <w:marBottom w:val="0"/>
              <w:divBdr>
                <w:top w:val="none" w:sz="0" w:space="0" w:color="auto"/>
                <w:left w:val="none" w:sz="0" w:space="0" w:color="auto"/>
                <w:bottom w:val="none" w:sz="0" w:space="0" w:color="auto"/>
                <w:right w:val="none" w:sz="0" w:space="0" w:color="auto"/>
              </w:divBdr>
            </w:div>
          </w:divsChild>
        </w:div>
        <w:div w:id="1552574706">
          <w:marLeft w:val="0"/>
          <w:marRight w:val="0"/>
          <w:marTop w:val="0"/>
          <w:marBottom w:val="0"/>
          <w:divBdr>
            <w:top w:val="none" w:sz="0" w:space="0" w:color="auto"/>
            <w:left w:val="none" w:sz="0" w:space="0" w:color="auto"/>
            <w:bottom w:val="none" w:sz="0" w:space="0" w:color="auto"/>
            <w:right w:val="none" w:sz="0" w:space="0" w:color="auto"/>
          </w:divBdr>
          <w:divsChild>
            <w:div w:id="341469981">
              <w:marLeft w:val="0"/>
              <w:marRight w:val="0"/>
              <w:marTop w:val="0"/>
              <w:marBottom w:val="0"/>
              <w:divBdr>
                <w:top w:val="none" w:sz="0" w:space="0" w:color="auto"/>
                <w:left w:val="none" w:sz="0" w:space="0" w:color="auto"/>
                <w:bottom w:val="none" w:sz="0" w:space="0" w:color="auto"/>
                <w:right w:val="none" w:sz="0" w:space="0" w:color="auto"/>
              </w:divBdr>
            </w:div>
          </w:divsChild>
        </w:div>
        <w:div w:id="1553808922">
          <w:marLeft w:val="0"/>
          <w:marRight w:val="0"/>
          <w:marTop w:val="0"/>
          <w:marBottom w:val="0"/>
          <w:divBdr>
            <w:top w:val="none" w:sz="0" w:space="0" w:color="auto"/>
            <w:left w:val="none" w:sz="0" w:space="0" w:color="auto"/>
            <w:bottom w:val="none" w:sz="0" w:space="0" w:color="auto"/>
            <w:right w:val="none" w:sz="0" w:space="0" w:color="auto"/>
          </w:divBdr>
          <w:divsChild>
            <w:div w:id="92094497">
              <w:marLeft w:val="0"/>
              <w:marRight w:val="0"/>
              <w:marTop w:val="0"/>
              <w:marBottom w:val="0"/>
              <w:divBdr>
                <w:top w:val="none" w:sz="0" w:space="0" w:color="auto"/>
                <w:left w:val="none" w:sz="0" w:space="0" w:color="auto"/>
                <w:bottom w:val="none" w:sz="0" w:space="0" w:color="auto"/>
                <w:right w:val="none" w:sz="0" w:space="0" w:color="auto"/>
              </w:divBdr>
            </w:div>
          </w:divsChild>
        </w:div>
        <w:div w:id="1558740250">
          <w:marLeft w:val="0"/>
          <w:marRight w:val="0"/>
          <w:marTop w:val="0"/>
          <w:marBottom w:val="0"/>
          <w:divBdr>
            <w:top w:val="none" w:sz="0" w:space="0" w:color="auto"/>
            <w:left w:val="none" w:sz="0" w:space="0" w:color="auto"/>
            <w:bottom w:val="none" w:sz="0" w:space="0" w:color="auto"/>
            <w:right w:val="none" w:sz="0" w:space="0" w:color="auto"/>
          </w:divBdr>
          <w:divsChild>
            <w:div w:id="1606838675">
              <w:marLeft w:val="0"/>
              <w:marRight w:val="0"/>
              <w:marTop w:val="0"/>
              <w:marBottom w:val="0"/>
              <w:divBdr>
                <w:top w:val="none" w:sz="0" w:space="0" w:color="auto"/>
                <w:left w:val="none" w:sz="0" w:space="0" w:color="auto"/>
                <w:bottom w:val="none" w:sz="0" w:space="0" w:color="auto"/>
                <w:right w:val="none" w:sz="0" w:space="0" w:color="auto"/>
              </w:divBdr>
            </w:div>
          </w:divsChild>
        </w:div>
        <w:div w:id="1559591187">
          <w:marLeft w:val="0"/>
          <w:marRight w:val="0"/>
          <w:marTop w:val="0"/>
          <w:marBottom w:val="0"/>
          <w:divBdr>
            <w:top w:val="none" w:sz="0" w:space="0" w:color="auto"/>
            <w:left w:val="none" w:sz="0" w:space="0" w:color="auto"/>
            <w:bottom w:val="none" w:sz="0" w:space="0" w:color="auto"/>
            <w:right w:val="none" w:sz="0" w:space="0" w:color="auto"/>
          </w:divBdr>
          <w:divsChild>
            <w:div w:id="1023360824">
              <w:marLeft w:val="0"/>
              <w:marRight w:val="0"/>
              <w:marTop w:val="0"/>
              <w:marBottom w:val="0"/>
              <w:divBdr>
                <w:top w:val="none" w:sz="0" w:space="0" w:color="auto"/>
                <w:left w:val="none" w:sz="0" w:space="0" w:color="auto"/>
                <w:bottom w:val="none" w:sz="0" w:space="0" w:color="auto"/>
                <w:right w:val="none" w:sz="0" w:space="0" w:color="auto"/>
              </w:divBdr>
            </w:div>
          </w:divsChild>
        </w:div>
        <w:div w:id="1560634543">
          <w:marLeft w:val="0"/>
          <w:marRight w:val="0"/>
          <w:marTop w:val="0"/>
          <w:marBottom w:val="0"/>
          <w:divBdr>
            <w:top w:val="none" w:sz="0" w:space="0" w:color="auto"/>
            <w:left w:val="none" w:sz="0" w:space="0" w:color="auto"/>
            <w:bottom w:val="none" w:sz="0" w:space="0" w:color="auto"/>
            <w:right w:val="none" w:sz="0" w:space="0" w:color="auto"/>
          </w:divBdr>
          <w:divsChild>
            <w:div w:id="600455561">
              <w:marLeft w:val="0"/>
              <w:marRight w:val="0"/>
              <w:marTop w:val="0"/>
              <w:marBottom w:val="0"/>
              <w:divBdr>
                <w:top w:val="none" w:sz="0" w:space="0" w:color="auto"/>
                <w:left w:val="none" w:sz="0" w:space="0" w:color="auto"/>
                <w:bottom w:val="none" w:sz="0" w:space="0" w:color="auto"/>
                <w:right w:val="none" w:sz="0" w:space="0" w:color="auto"/>
              </w:divBdr>
            </w:div>
          </w:divsChild>
        </w:div>
        <w:div w:id="1561355846">
          <w:marLeft w:val="0"/>
          <w:marRight w:val="0"/>
          <w:marTop w:val="0"/>
          <w:marBottom w:val="0"/>
          <w:divBdr>
            <w:top w:val="none" w:sz="0" w:space="0" w:color="auto"/>
            <w:left w:val="none" w:sz="0" w:space="0" w:color="auto"/>
            <w:bottom w:val="none" w:sz="0" w:space="0" w:color="auto"/>
            <w:right w:val="none" w:sz="0" w:space="0" w:color="auto"/>
          </w:divBdr>
          <w:divsChild>
            <w:div w:id="386729076">
              <w:marLeft w:val="0"/>
              <w:marRight w:val="0"/>
              <w:marTop w:val="0"/>
              <w:marBottom w:val="0"/>
              <w:divBdr>
                <w:top w:val="none" w:sz="0" w:space="0" w:color="auto"/>
                <w:left w:val="none" w:sz="0" w:space="0" w:color="auto"/>
                <w:bottom w:val="none" w:sz="0" w:space="0" w:color="auto"/>
                <w:right w:val="none" w:sz="0" w:space="0" w:color="auto"/>
              </w:divBdr>
            </w:div>
          </w:divsChild>
        </w:div>
        <w:div w:id="1565876337">
          <w:marLeft w:val="0"/>
          <w:marRight w:val="0"/>
          <w:marTop w:val="0"/>
          <w:marBottom w:val="0"/>
          <w:divBdr>
            <w:top w:val="none" w:sz="0" w:space="0" w:color="auto"/>
            <w:left w:val="none" w:sz="0" w:space="0" w:color="auto"/>
            <w:bottom w:val="none" w:sz="0" w:space="0" w:color="auto"/>
            <w:right w:val="none" w:sz="0" w:space="0" w:color="auto"/>
          </w:divBdr>
          <w:divsChild>
            <w:div w:id="1926646294">
              <w:marLeft w:val="0"/>
              <w:marRight w:val="0"/>
              <w:marTop w:val="0"/>
              <w:marBottom w:val="0"/>
              <w:divBdr>
                <w:top w:val="none" w:sz="0" w:space="0" w:color="auto"/>
                <w:left w:val="none" w:sz="0" w:space="0" w:color="auto"/>
                <w:bottom w:val="none" w:sz="0" w:space="0" w:color="auto"/>
                <w:right w:val="none" w:sz="0" w:space="0" w:color="auto"/>
              </w:divBdr>
            </w:div>
          </w:divsChild>
        </w:div>
        <w:div w:id="1566407908">
          <w:marLeft w:val="0"/>
          <w:marRight w:val="0"/>
          <w:marTop w:val="0"/>
          <w:marBottom w:val="0"/>
          <w:divBdr>
            <w:top w:val="none" w:sz="0" w:space="0" w:color="auto"/>
            <w:left w:val="none" w:sz="0" w:space="0" w:color="auto"/>
            <w:bottom w:val="none" w:sz="0" w:space="0" w:color="auto"/>
            <w:right w:val="none" w:sz="0" w:space="0" w:color="auto"/>
          </w:divBdr>
          <w:divsChild>
            <w:div w:id="930553230">
              <w:marLeft w:val="0"/>
              <w:marRight w:val="0"/>
              <w:marTop w:val="0"/>
              <w:marBottom w:val="0"/>
              <w:divBdr>
                <w:top w:val="none" w:sz="0" w:space="0" w:color="auto"/>
                <w:left w:val="none" w:sz="0" w:space="0" w:color="auto"/>
                <w:bottom w:val="none" w:sz="0" w:space="0" w:color="auto"/>
                <w:right w:val="none" w:sz="0" w:space="0" w:color="auto"/>
              </w:divBdr>
            </w:div>
          </w:divsChild>
        </w:div>
        <w:div w:id="1566794475">
          <w:marLeft w:val="0"/>
          <w:marRight w:val="0"/>
          <w:marTop w:val="0"/>
          <w:marBottom w:val="0"/>
          <w:divBdr>
            <w:top w:val="none" w:sz="0" w:space="0" w:color="auto"/>
            <w:left w:val="none" w:sz="0" w:space="0" w:color="auto"/>
            <w:bottom w:val="none" w:sz="0" w:space="0" w:color="auto"/>
            <w:right w:val="none" w:sz="0" w:space="0" w:color="auto"/>
          </w:divBdr>
          <w:divsChild>
            <w:div w:id="1318802003">
              <w:marLeft w:val="0"/>
              <w:marRight w:val="0"/>
              <w:marTop w:val="0"/>
              <w:marBottom w:val="0"/>
              <w:divBdr>
                <w:top w:val="none" w:sz="0" w:space="0" w:color="auto"/>
                <w:left w:val="none" w:sz="0" w:space="0" w:color="auto"/>
                <w:bottom w:val="none" w:sz="0" w:space="0" w:color="auto"/>
                <w:right w:val="none" w:sz="0" w:space="0" w:color="auto"/>
              </w:divBdr>
            </w:div>
          </w:divsChild>
        </w:div>
        <w:div w:id="1567761484">
          <w:marLeft w:val="0"/>
          <w:marRight w:val="0"/>
          <w:marTop w:val="0"/>
          <w:marBottom w:val="0"/>
          <w:divBdr>
            <w:top w:val="none" w:sz="0" w:space="0" w:color="auto"/>
            <w:left w:val="none" w:sz="0" w:space="0" w:color="auto"/>
            <w:bottom w:val="none" w:sz="0" w:space="0" w:color="auto"/>
            <w:right w:val="none" w:sz="0" w:space="0" w:color="auto"/>
          </w:divBdr>
          <w:divsChild>
            <w:div w:id="1118136103">
              <w:marLeft w:val="0"/>
              <w:marRight w:val="0"/>
              <w:marTop w:val="0"/>
              <w:marBottom w:val="0"/>
              <w:divBdr>
                <w:top w:val="none" w:sz="0" w:space="0" w:color="auto"/>
                <w:left w:val="none" w:sz="0" w:space="0" w:color="auto"/>
                <w:bottom w:val="none" w:sz="0" w:space="0" w:color="auto"/>
                <w:right w:val="none" w:sz="0" w:space="0" w:color="auto"/>
              </w:divBdr>
            </w:div>
          </w:divsChild>
        </w:div>
        <w:div w:id="1568342483">
          <w:marLeft w:val="0"/>
          <w:marRight w:val="0"/>
          <w:marTop w:val="0"/>
          <w:marBottom w:val="0"/>
          <w:divBdr>
            <w:top w:val="none" w:sz="0" w:space="0" w:color="auto"/>
            <w:left w:val="none" w:sz="0" w:space="0" w:color="auto"/>
            <w:bottom w:val="none" w:sz="0" w:space="0" w:color="auto"/>
            <w:right w:val="none" w:sz="0" w:space="0" w:color="auto"/>
          </w:divBdr>
          <w:divsChild>
            <w:div w:id="882332750">
              <w:marLeft w:val="0"/>
              <w:marRight w:val="0"/>
              <w:marTop w:val="0"/>
              <w:marBottom w:val="0"/>
              <w:divBdr>
                <w:top w:val="none" w:sz="0" w:space="0" w:color="auto"/>
                <w:left w:val="none" w:sz="0" w:space="0" w:color="auto"/>
                <w:bottom w:val="none" w:sz="0" w:space="0" w:color="auto"/>
                <w:right w:val="none" w:sz="0" w:space="0" w:color="auto"/>
              </w:divBdr>
            </w:div>
          </w:divsChild>
        </w:div>
        <w:div w:id="1573006404">
          <w:marLeft w:val="0"/>
          <w:marRight w:val="0"/>
          <w:marTop w:val="0"/>
          <w:marBottom w:val="0"/>
          <w:divBdr>
            <w:top w:val="none" w:sz="0" w:space="0" w:color="auto"/>
            <w:left w:val="none" w:sz="0" w:space="0" w:color="auto"/>
            <w:bottom w:val="none" w:sz="0" w:space="0" w:color="auto"/>
            <w:right w:val="none" w:sz="0" w:space="0" w:color="auto"/>
          </w:divBdr>
          <w:divsChild>
            <w:div w:id="865171510">
              <w:marLeft w:val="0"/>
              <w:marRight w:val="0"/>
              <w:marTop w:val="0"/>
              <w:marBottom w:val="0"/>
              <w:divBdr>
                <w:top w:val="none" w:sz="0" w:space="0" w:color="auto"/>
                <w:left w:val="none" w:sz="0" w:space="0" w:color="auto"/>
                <w:bottom w:val="none" w:sz="0" w:space="0" w:color="auto"/>
                <w:right w:val="none" w:sz="0" w:space="0" w:color="auto"/>
              </w:divBdr>
            </w:div>
          </w:divsChild>
        </w:div>
        <w:div w:id="1575118616">
          <w:marLeft w:val="0"/>
          <w:marRight w:val="0"/>
          <w:marTop w:val="0"/>
          <w:marBottom w:val="0"/>
          <w:divBdr>
            <w:top w:val="none" w:sz="0" w:space="0" w:color="auto"/>
            <w:left w:val="none" w:sz="0" w:space="0" w:color="auto"/>
            <w:bottom w:val="none" w:sz="0" w:space="0" w:color="auto"/>
            <w:right w:val="none" w:sz="0" w:space="0" w:color="auto"/>
          </w:divBdr>
          <w:divsChild>
            <w:div w:id="1353218943">
              <w:marLeft w:val="0"/>
              <w:marRight w:val="0"/>
              <w:marTop w:val="0"/>
              <w:marBottom w:val="0"/>
              <w:divBdr>
                <w:top w:val="none" w:sz="0" w:space="0" w:color="auto"/>
                <w:left w:val="none" w:sz="0" w:space="0" w:color="auto"/>
                <w:bottom w:val="none" w:sz="0" w:space="0" w:color="auto"/>
                <w:right w:val="none" w:sz="0" w:space="0" w:color="auto"/>
              </w:divBdr>
            </w:div>
          </w:divsChild>
        </w:div>
        <w:div w:id="1576742189">
          <w:marLeft w:val="0"/>
          <w:marRight w:val="0"/>
          <w:marTop w:val="0"/>
          <w:marBottom w:val="0"/>
          <w:divBdr>
            <w:top w:val="none" w:sz="0" w:space="0" w:color="auto"/>
            <w:left w:val="none" w:sz="0" w:space="0" w:color="auto"/>
            <w:bottom w:val="none" w:sz="0" w:space="0" w:color="auto"/>
            <w:right w:val="none" w:sz="0" w:space="0" w:color="auto"/>
          </w:divBdr>
          <w:divsChild>
            <w:div w:id="1121998610">
              <w:marLeft w:val="0"/>
              <w:marRight w:val="0"/>
              <w:marTop w:val="0"/>
              <w:marBottom w:val="0"/>
              <w:divBdr>
                <w:top w:val="none" w:sz="0" w:space="0" w:color="auto"/>
                <w:left w:val="none" w:sz="0" w:space="0" w:color="auto"/>
                <w:bottom w:val="none" w:sz="0" w:space="0" w:color="auto"/>
                <w:right w:val="none" w:sz="0" w:space="0" w:color="auto"/>
              </w:divBdr>
            </w:div>
          </w:divsChild>
        </w:div>
        <w:div w:id="1577009955">
          <w:marLeft w:val="0"/>
          <w:marRight w:val="0"/>
          <w:marTop w:val="0"/>
          <w:marBottom w:val="0"/>
          <w:divBdr>
            <w:top w:val="none" w:sz="0" w:space="0" w:color="auto"/>
            <w:left w:val="none" w:sz="0" w:space="0" w:color="auto"/>
            <w:bottom w:val="none" w:sz="0" w:space="0" w:color="auto"/>
            <w:right w:val="none" w:sz="0" w:space="0" w:color="auto"/>
          </w:divBdr>
          <w:divsChild>
            <w:div w:id="1698123300">
              <w:marLeft w:val="0"/>
              <w:marRight w:val="0"/>
              <w:marTop w:val="0"/>
              <w:marBottom w:val="0"/>
              <w:divBdr>
                <w:top w:val="none" w:sz="0" w:space="0" w:color="auto"/>
                <w:left w:val="none" w:sz="0" w:space="0" w:color="auto"/>
                <w:bottom w:val="none" w:sz="0" w:space="0" w:color="auto"/>
                <w:right w:val="none" w:sz="0" w:space="0" w:color="auto"/>
              </w:divBdr>
            </w:div>
          </w:divsChild>
        </w:div>
        <w:div w:id="1579437446">
          <w:marLeft w:val="0"/>
          <w:marRight w:val="0"/>
          <w:marTop w:val="0"/>
          <w:marBottom w:val="0"/>
          <w:divBdr>
            <w:top w:val="none" w:sz="0" w:space="0" w:color="auto"/>
            <w:left w:val="none" w:sz="0" w:space="0" w:color="auto"/>
            <w:bottom w:val="none" w:sz="0" w:space="0" w:color="auto"/>
            <w:right w:val="none" w:sz="0" w:space="0" w:color="auto"/>
          </w:divBdr>
          <w:divsChild>
            <w:div w:id="1140684310">
              <w:marLeft w:val="0"/>
              <w:marRight w:val="0"/>
              <w:marTop w:val="0"/>
              <w:marBottom w:val="0"/>
              <w:divBdr>
                <w:top w:val="none" w:sz="0" w:space="0" w:color="auto"/>
                <w:left w:val="none" w:sz="0" w:space="0" w:color="auto"/>
                <w:bottom w:val="none" w:sz="0" w:space="0" w:color="auto"/>
                <w:right w:val="none" w:sz="0" w:space="0" w:color="auto"/>
              </w:divBdr>
            </w:div>
          </w:divsChild>
        </w:div>
        <w:div w:id="1580359183">
          <w:marLeft w:val="0"/>
          <w:marRight w:val="0"/>
          <w:marTop w:val="0"/>
          <w:marBottom w:val="0"/>
          <w:divBdr>
            <w:top w:val="none" w:sz="0" w:space="0" w:color="auto"/>
            <w:left w:val="none" w:sz="0" w:space="0" w:color="auto"/>
            <w:bottom w:val="none" w:sz="0" w:space="0" w:color="auto"/>
            <w:right w:val="none" w:sz="0" w:space="0" w:color="auto"/>
          </w:divBdr>
          <w:divsChild>
            <w:div w:id="1919122820">
              <w:marLeft w:val="0"/>
              <w:marRight w:val="0"/>
              <w:marTop w:val="0"/>
              <w:marBottom w:val="0"/>
              <w:divBdr>
                <w:top w:val="none" w:sz="0" w:space="0" w:color="auto"/>
                <w:left w:val="none" w:sz="0" w:space="0" w:color="auto"/>
                <w:bottom w:val="none" w:sz="0" w:space="0" w:color="auto"/>
                <w:right w:val="none" w:sz="0" w:space="0" w:color="auto"/>
              </w:divBdr>
            </w:div>
          </w:divsChild>
        </w:div>
        <w:div w:id="1580826615">
          <w:marLeft w:val="0"/>
          <w:marRight w:val="0"/>
          <w:marTop w:val="0"/>
          <w:marBottom w:val="0"/>
          <w:divBdr>
            <w:top w:val="none" w:sz="0" w:space="0" w:color="auto"/>
            <w:left w:val="none" w:sz="0" w:space="0" w:color="auto"/>
            <w:bottom w:val="none" w:sz="0" w:space="0" w:color="auto"/>
            <w:right w:val="none" w:sz="0" w:space="0" w:color="auto"/>
          </w:divBdr>
          <w:divsChild>
            <w:div w:id="2104566075">
              <w:marLeft w:val="0"/>
              <w:marRight w:val="0"/>
              <w:marTop w:val="0"/>
              <w:marBottom w:val="0"/>
              <w:divBdr>
                <w:top w:val="none" w:sz="0" w:space="0" w:color="auto"/>
                <w:left w:val="none" w:sz="0" w:space="0" w:color="auto"/>
                <w:bottom w:val="none" w:sz="0" w:space="0" w:color="auto"/>
                <w:right w:val="none" w:sz="0" w:space="0" w:color="auto"/>
              </w:divBdr>
            </w:div>
          </w:divsChild>
        </w:div>
        <w:div w:id="1581477280">
          <w:marLeft w:val="0"/>
          <w:marRight w:val="0"/>
          <w:marTop w:val="0"/>
          <w:marBottom w:val="0"/>
          <w:divBdr>
            <w:top w:val="none" w:sz="0" w:space="0" w:color="auto"/>
            <w:left w:val="none" w:sz="0" w:space="0" w:color="auto"/>
            <w:bottom w:val="none" w:sz="0" w:space="0" w:color="auto"/>
            <w:right w:val="none" w:sz="0" w:space="0" w:color="auto"/>
          </w:divBdr>
          <w:divsChild>
            <w:div w:id="1615357808">
              <w:marLeft w:val="0"/>
              <w:marRight w:val="0"/>
              <w:marTop w:val="0"/>
              <w:marBottom w:val="0"/>
              <w:divBdr>
                <w:top w:val="none" w:sz="0" w:space="0" w:color="auto"/>
                <w:left w:val="none" w:sz="0" w:space="0" w:color="auto"/>
                <w:bottom w:val="none" w:sz="0" w:space="0" w:color="auto"/>
                <w:right w:val="none" w:sz="0" w:space="0" w:color="auto"/>
              </w:divBdr>
            </w:div>
          </w:divsChild>
        </w:div>
        <w:div w:id="1581865237">
          <w:marLeft w:val="0"/>
          <w:marRight w:val="0"/>
          <w:marTop w:val="0"/>
          <w:marBottom w:val="0"/>
          <w:divBdr>
            <w:top w:val="none" w:sz="0" w:space="0" w:color="auto"/>
            <w:left w:val="none" w:sz="0" w:space="0" w:color="auto"/>
            <w:bottom w:val="none" w:sz="0" w:space="0" w:color="auto"/>
            <w:right w:val="none" w:sz="0" w:space="0" w:color="auto"/>
          </w:divBdr>
          <w:divsChild>
            <w:div w:id="1033925042">
              <w:marLeft w:val="0"/>
              <w:marRight w:val="0"/>
              <w:marTop w:val="0"/>
              <w:marBottom w:val="0"/>
              <w:divBdr>
                <w:top w:val="none" w:sz="0" w:space="0" w:color="auto"/>
                <w:left w:val="none" w:sz="0" w:space="0" w:color="auto"/>
                <w:bottom w:val="none" w:sz="0" w:space="0" w:color="auto"/>
                <w:right w:val="none" w:sz="0" w:space="0" w:color="auto"/>
              </w:divBdr>
            </w:div>
          </w:divsChild>
        </w:div>
        <w:div w:id="1583182674">
          <w:marLeft w:val="0"/>
          <w:marRight w:val="0"/>
          <w:marTop w:val="0"/>
          <w:marBottom w:val="0"/>
          <w:divBdr>
            <w:top w:val="none" w:sz="0" w:space="0" w:color="auto"/>
            <w:left w:val="none" w:sz="0" w:space="0" w:color="auto"/>
            <w:bottom w:val="none" w:sz="0" w:space="0" w:color="auto"/>
            <w:right w:val="none" w:sz="0" w:space="0" w:color="auto"/>
          </w:divBdr>
          <w:divsChild>
            <w:div w:id="650060992">
              <w:marLeft w:val="0"/>
              <w:marRight w:val="0"/>
              <w:marTop w:val="0"/>
              <w:marBottom w:val="0"/>
              <w:divBdr>
                <w:top w:val="none" w:sz="0" w:space="0" w:color="auto"/>
                <w:left w:val="none" w:sz="0" w:space="0" w:color="auto"/>
                <w:bottom w:val="none" w:sz="0" w:space="0" w:color="auto"/>
                <w:right w:val="none" w:sz="0" w:space="0" w:color="auto"/>
              </w:divBdr>
            </w:div>
          </w:divsChild>
        </w:div>
        <w:div w:id="1586303216">
          <w:marLeft w:val="0"/>
          <w:marRight w:val="0"/>
          <w:marTop w:val="0"/>
          <w:marBottom w:val="0"/>
          <w:divBdr>
            <w:top w:val="none" w:sz="0" w:space="0" w:color="auto"/>
            <w:left w:val="none" w:sz="0" w:space="0" w:color="auto"/>
            <w:bottom w:val="none" w:sz="0" w:space="0" w:color="auto"/>
            <w:right w:val="none" w:sz="0" w:space="0" w:color="auto"/>
          </w:divBdr>
          <w:divsChild>
            <w:div w:id="566307362">
              <w:marLeft w:val="0"/>
              <w:marRight w:val="0"/>
              <w:marTop w:val="0"/>
              <w:marBottom w:val="0"/>
              <w:divBdr>
                <w:top w:val="none" w:sz="0" w:space="0" w:color="auto"/>
                <w:left w:val="none" w:sz="0" w:space="0" w:color="auto"/>
                <w:bottom w:val="none" w:sz="0" w:space="0" w:color="auto"/>
                <w:right w:val="none" w:sz="0" w:space="0" w:color="auto"/>
              </w:divBdr>
            </w:div>
          </w:divsChild>
        </w:div>
        <w:div w:id="1587573005">
          <w:marLeft w:val="0"/>
          <w:marRight w:val="0"/>
          <w:marTop w:val="0"/>
          <w:marBottom w:val="0"/>
          <w:divBdr>
            <w:top w:val="none" w:sz="0" w:space="0" w:color="auto"/>
            <w:left w:val="none" w:sz="0" w:space="0" w:color="auto"/>
            <w:bottom w:val="none" w:sz="0" w:space="0" w:color="auto"/>
            <w:right w:val="none" w:sz="0" w:space="0" w:color="auto"/>
          </w:divBdr>
          <w:divsChild>
            <w:div w:id="983006242">
              <w:marLeft w:val="0"/>
              <w:marRight w:val="0"/>
              <w:marTop w:val="0"/>
              <w:marBottom w:val="0"/>
              <w:divBdr>
                <w:top w:val="none" w:sz="0" w:space="0" w:color="auto"/>
                <w:left w:val="none" w:sz="0" w:space="0" w:color="auto"/>
                <w:bottom w:val="none" w:sz="0" w:space="0" w:color="auto"/>
                <w:right w:val="none" w:sz="0" w:space="0" w:color="auto"/>
              </w:divBdr>
            </w:div>
          </w:divsChild>
        </w:div>
        <w:div w:id="1587885713">
          <w:marLeft w:val="0"/>
          <w:marRight w:val="0"/>
          <w:marTop w:val="0"/>
          <w:marBottom w:val="0"/>
          <w:divBdr>
            <w:top w:val="none" w:sz="0" w:space="0" w:color="auto"/>
            <w:left w:val="none" w:sz="0" w:space="0" w:color="auto"/>
            <w:bottom w:val="none" w:sz="0" w:space="0" w:color="auto"/>
            <w:right w:val="none" w:sz="0" w:space="0" w:color="auto"/>
          </w:divBdr>
          <w:divsChild>
            <w:div w:id="1605304986">
              <w:marLeft w:val="0"/>
              <w:marRight w:val="0"/>
              <w:marTop w:val="0"/>
              <w:marBottom w:val="0"/>
              <w:divBdr>
                <w:top w:val="none" w:sz="0" w:space="0" w:color="auto"/>
                <w:left w:val="none" w:sz="0" w:space="0" w:color="auto"/>
                <w:bottom w:val="none" w:sz="0" w:space="0" w:color="auto"/>
                <w:right w:val="none" w:sz="0" w:space="0" w:color="auto"/>
              </w:divBdr>
            </w:div>
          </w:divsChild>
        </w:div>
        <w:div w:id="1588884887">
          <w:marLeft w:val="0"/>
          <w:marRight w:val="0"/>
          <w:marTop w:val="0"/>
          <w:marBottom w:val="0"/>
          <w:divBdr>
            <w:top w:val="none" w:sz="0" w:space="0" w:color="auto"/>
            <w:left w:val="none" w:sz="0" w:space="0" w:color="auto"/>
            <w:bottom w:val="none" w:sz="0" w:space="0" w:color="auto"/>
            <w:right w:val="none" w:sz="0" w:space="0" w:color="auto"/>
          </w:divBdr>
          <w:divsChild>
            <w:div w:id="172957270">
              <w:marLeft w:val="0"/>
              <w:marRight w:val="0"/>
              <w:marTop w:val="0"/>
              <w:marBottom w:val="0"/>
              <w:divBdr>
                <w:top w:val="none" w:sz="0" w:space="0" w:color="auto"/>
                <w:left w:val="none" w:sz="0" w:space="0" w:color="auto"/>
                <w:bottom w:val="none" w:sz="0" w:space="0" w:color="auto"/>
                <w:right w:val="none" w:sz="0" w:space="0" w:color="auto"/>
              </w:divBdr>
            </w:div>
          </w:divsChild>
        </w:div>
        <w:div w:id="1589196211">
          <w:marLeft w:val="0"/>
          <w:marRight w:val="0"/>
          <w:marTop w:val="0"/>
          <w:marBottom w:val="0"/>
          <w:divBdr>
            <w:top w:val="none" w:sz="0" w:space="0" w:color="auto"/>
            <w:left w:val="none" w:sz="0" w:space="0" w:color="auto"/>
            <w:bottom w:val="none" w:sz="0" w:space="0" w:color="auto"/>
            <w:right w:val="none" w:sz="0" w:space="0" w:color="auto"/>
          </w:divBdr>
          <w:divsChild>
            <w:div w:id="1427923030">
              <w:marLeft w:val="0"/>
              <w:marRight w:val="0"/>
              <w:marTop w:val="0"/>
              <w:marBottom w:val="0"/>
              <w:divBdr>
                <w:top w:val="none" w:sz="0" w:space="0" w:color="auto"/>
                <w:left w:val="none" w:sz="0" w:space="0" w:color="auto"/>
                <w:bottom w:val="none" w:sz="0" w:space="0" w:color="auto"/>
                <w:right w:val="none" w:sz="0" w:space="0" w:color="auto"/>
              </w:divBdr>
            </w:div>
          </w:divsChild>
        </w:div>
        <w:div w:id="1589848875">
          <w:marLeft w:val="0"/>
          <w:marRight w:val="0"/>
          <w:marTop w:val="0"/>
          <w:marBottom w:val="0"/>
          <w:divBdr>
            <w:top w:val="none" w:sz="0" w:space="0" w:color="auto"/>
            <w:left w:val="none" w:sz="0" w:space="0" w:color="auto"/>
            <w:bottom w:val="none" w:sz="0" w:space="0" w:color="auto"/>
            <w:right w:val="none" w:sz="0" w:space="0" w:color="auto"/>
          </w:divBdr>
          <w:divsChild>
            <w:div w:id="295137624">
              <w:marLeft w:val="0"/>
              <w:marRight w:val="0"/>
              <w:marTop w:val="0"/>
              <w:marBottom w:val="0"/>
              <w:divBdr>
                <w:top w:val="none" w:sz="0" w:space="0" w:color="auto"/>
                <w:left w:val="none" w:sz="0" w:space="0" w:color="auto"/>
                <w:bottom w:val="none" w:sz="0" w:space="0" w:color="auto"/>
                <w:right w:val="none" w:sz="0" w:space="0" w:color="auto"/>
              </w:divBdr>
            </w:div>
          </w:divsChild>
        </w:div>
        <w:div w:id="1594320390">
          <w:marLeft w:val="0"/>
          <w:marRight w:val="0"/>
          <w:marTop w:val="0"/>
          <w:marBottom w:val="0"/>
          <w:divBdr>
            <w:top w:val="none" w:sz="0" w:space="0" w:color="auto"/>
            <w:left w:val="none" w:sz="0" w:space="0" w:color="auto"/>
            <w:bottom w:val="none" w:sz="0" w:space="0" w:color="auto"/>
            <w:right w:val="none" w:sz="0" w:space="0" w:color="auto"/>
          </w:divBdr>
          <w:divsChild>
            <w:div w:id="666594000">
              <w:marLeft w:val="0"/>
              <w:marRight w:val="0"/>
              <w:marTop w:val="0"/>
              <w:marBottom w:val="0"/>
              <w:divBdr>
                <w:top w:val="none" w:sz="0" w:space="0" w:color="auto"/>
                <w:left w:val="none" w:sz="0" w:space="0" w:color="auto"/>
                <w:bottom w:val="none" w:sz="0" w:space="0" w:color="auto"/>
                <w:right w:val="none" w:sz="0" w:space="0" w:color="auto"/>
              </w:divBdr>
            </w:div>
          </w:divsChild>
        </w:div>
        <w:div w:id="1596401525">
          <w:marLeft w:val="0"/>
          <w:marRight w:val="0"/>
          <w:marTop w:val="0"/>
          <w:marBottom w:val="0"/>
          <w:divBdr>
            <w:top w:val="none" w:sz="0" w:space="0" w:color="auto"/>
            <w:left w:val="none" w:sz="0" w:space="0" w:color="auto"/>
            <w:bottom w:val="none" w:sz="0" w:space="0" w:color="auto"/>
            <w:right w:val="none" w:sz="0" w:space="0" w:color="auto"/>
          </w:divBdr>
          <w:divsChild>
            <w:div w:id="16196793">
              <w:marLeft w:val="0"/>
              <w:marRight w:val="0"/>
              <w:marTop w:val="0"/>
              <w:marBottom w:val="0"/>
              <w:divBdr>
                <w:top w:val="none" w:sz="0" w:space="0" w:color="auto"/>
                <w:left w:val="none" w:sz="0" w:space="0" w:color="auto"/>
                <w:bottom w:val="none" w:sz="0" w:space="0" w:color="auto"/>
                <w:right w:val="none" w:sz="0" w:space="0" w:color="auto"/>
              </w:divBdr>
            </w:div>
          </w:divsChild>
        </w:div>
        <w:div w:id="1596472993">
          <w:marLeft w:val="0"/>
          <w:marRight w:val="0"/>
          <w:marTop w:val="0"/>
          <w:marBottom w:val="0"/>
          <w:divBdr>
            <w:top w:val="none" w:sz="0" w:space="0" w:color="auto"/>
            <w:left w:val="none" w:sz="0" w:space="0" w:color="auto"/>
            <w:bottom w:val="none" w:sz="0" w:space="0" w:color="auto"/>
            <w:right w:val="none" w:sz="0" w:space="0" w:color="auto"/>
          </w:divBdr>
          <w:divsChild>
            <w:div w:id="892736336">
              <w:marLeft w:val="0"/>
              <w:marRight w:val="0"/>
              <w:marTop w:val="0"/>
              <w:marBottom w:val="0"/>
              <w:divBdr>
                <w:top w:val="none" w:sz="0" w:space="0" w:color="auto"/>
                <w:left w:val="none" w:sz="0" w:space="0" w:color="auto"/>
                <w:bottom w:val="none" w:sz="0" w:space="0" w:color="auto"/>
                <w:right w:val="none" w:sz="0" w:space="0" w:color="auto"/>
              </w:divBdr>
            </w:div>
          </w:divsChild>
        </w:div>
        <w:div w:id="1597441574">
          <w:marLeft w:val="0"/>
          <w:marRight w:val="0"/>
          <w:marTop w:val="0"/>
          <w:marBottom w:val="0"/>
          <w:divBdr>
            <w:top w:val="none" w:sz="0" w:space="0" w:color="auto"/>
            <w:left w:val="none" w:sz="0" w:space="0" w:color="auto"/>
            <w:bottom w:val="none" w:sz="0" w:space="0" w:color="auto"/>
            <w:right w:val="none" w:sz="0" w:space="0" w:color="auto"/>
          </w:divBdr>
          <w:divsChild>
            <w:div w:id="389808934">
              <w:marLeft w:val="0"/>
              <w:marRight w:val="0"/>
              <w:marTop w:val="0"/>
              <w:marBottom w:val="0"/>
              <w:divBdr>
                <w:top w:val="none" w:sz="0" w:space="0" w:color="auto"/>
                <w:left w:val="none" w:sz="0" w:space="0" w:color="auto"/>
                <w:bottom w:val="none" w:sz="0" w:space="0" w:color="auto"/>
                <w:right w:val="none" w:sz="0" w:space="0" w:color="auto"/>
              </w:divBdr>
            </w:div>
          </w:divsChild>
        </w:div>
        <w:div w:id="1597858295">
          <w:marLeft w:val="0"/>
          <w:marRight w:val="0"/>
          <w:marTop w:val="0"/>
          <w:marBottom w:val="0"/>
          <w:divBdr>
            <w:top w:val="none" w:sz="0" w:space="0" w:color="auto"/>
            <w:left w:val="none" w:sz="0" w:space="0" w:color="auto"/>
            <w:bottom w:val="none" w:sz="0" w:space="0" w:color="auto"/>
            <w:right w:val="none" w:sz="0" w:space="0" w:color="auto"/>
          </w:divBdr>
          <w:divsChild>
            <w:div w:id="1148551079">
              <w:marLeft w:val="0"/>
              <w:marRight w:val="0"/>
              <w:marTop w:val="0"/>
              <w:marBottom w:val="0"/>
              <w:divBdr>
                <w:top w:val="none" w:sz="0" w:space="0" w:color="auto"/>
                <w:left w:val="none" w:sz="0" w:space="0" w:color="auto"/>
                <w:bottom w:val="none" w:sz="0" w:space="0" w:color="auto"/>
                <w:right w:val="none" w:sz="0" w:space="0" w:color="auto"/>
              </w:divBdr>
            </w:div>
          </w:divsChild>
        </w:div>
        <w:div w:id="1601990928">
          <w:marLeft w:val="0"/>
          <w:marRight w:val="0"/>
          <w:marTop w:val="0"/>
          <w:marBottom w:val="0"/>
          <w:divBdr>
            <w:top w:val="none" w:sz="0" w:space="0" w:color="auto"/>
            <w:left w:val="none" w:sz="0" w:space="0" w:color="auto"/>
            <w:bottom w:val="none" w:sz="0" w:space="0" w:color="auto"/>
            <w:right w:val="none" w:sz="0" w:space="0" w:color="auto"/>
          </w:divBdr>
          <w:divsChild>
            <w:div w:id="1712340332">
              <w:marLeft w:val="0"/>
              <w:marRight w:val="0"/>
              <w:marTop w:val="0"/>
              <w:marBottom w:val="0"/>
              <w:divBdr>
                <w:top w:val="none" w:sz="0" w:space="0" w:color="auto"/>
                <w:left w:val="none" w:sz="0" w:space="0" w:color="auto"/>
                <w:bottom w:val="none" w:sz="0" w:space="0" w:color="auto"/>
                <w:right w:val="none" w:sz="0" w:space="0" w:color="auto"/>
              </w:divBdr>
            </w:div>
          </w:divsChild>
        </w:div>
        <w:div w:id="1602949316">
          <w:marLeft w:val="0"/>
          <w:marRight w:val="0"/>
          <w:marTop w:val="0"/>
          <w:marBottom w:val="0"/>
          <w:divBdr>
            <w:top w:val="none" w:sz="0" w:space="0" w:color="auto"/>
            <w:left w:val="none" w:sz="0" w:space="0" w:color="auto"/>
            <w:bottom w:val="none" w:sz="0" w:space="0" w:color="auto"/>
            <w:right w:val="none" w:sz="0" w:space="0" w:color="auto"/>
          </w:divBdr>
          <w:divsChild>
            <w:div w:id="1504054285">
              <w:marLeft w:val="0"/>
              <w:marRight w:val="0"/>
              <w:marTop w:val="0"/>
              <w:marBottom w:val="0"/>
              <w:divBdr>
                <w:top w:val="none" w:sz="0" w:space="0" w:color="auto"/>
                <w:left w:val="none" w:sz="0" w:space="0" w:color="auto"/>
                <w:bottom w:val="none" w:sz="0" w:space="0" w:color="auto"/>
                <w:right w:val="none" w:sz="0" w:space="0" w:color="auto"/>
              </w:divBdr>
            </w:div>
          </w:divsChild>
        </w:div>
        <w:div w:id="1603099911">
          <w:marLeft w:val="0"/>
          <w:marRight w:val="0"/>
          <w:marTop w:val="0"/>
          <w:marBottom w:val="0"/>
          <w:divBdr>
            <w:top w:val="none" w:sz="0" w:space="0" w:color="auto"/>
            <w:left w:val="none" w:sz="0" w:space="0" w:color="auto"/>
            <w:bottom w:val="none" w:sz="0" w:space="0" w:color="auto"/>
            <w:right w:val="none" w:sz="0" w:space="0" w:color="auto"/>
          </w:divBdr>
          <w:divsChild>
            <w:div w:id="30880767">
              <w:marLeft w:val="0"/>
              <w:marRight w:val="0"/>
              <w:marTop w:val="0"/>
              <w:marBottom w:val="0"/>
              <w:divBdr>
                <w:top w:val="none" w:sz="0" w:space="0" w:color="auto"/>
                <w:left w:val="none" w:sz="0" w:space="0" w:color="auto"/>
                <w:bottom w:val="none" w:sz="0" w:space="0" w:color="auto"/>
                <w:right w:val="none" w:sz="0" w:space="0" w:color="auto"/>
              </w:divBdr>
            </w:div>
          </w:divsChild>
        </w:div>
        <w:div w:id="1603953171">
          <w:marLeft w:val="0"/>
          <w:marRight w:val="0"/>
          <w:marTop w:val="0"/>
          <w:marBottom w:val="0"/>
          <w:divBdr>
            <w:top w:val="none" w:sz="0" w:space="0" w:color="auto"/>
            <w:left w:val="none" w:sz="0" w:space="0" w:color="auto"/>
            <w:bottom w:val="none" w:sz="0" w:space="0" w:color="auto"/>
            <w:right w:val="none" w:sz="0" w:space="0" w:color="auto"/>
          </w:divBdr>
          <w:divsChild>
            <w:div w:id="1924992847">
              <w:marLeft w:val="0"/>
              <w:marRight w:val="0"/>
              <w:marTop w:val="0"/>
              <w:marBottom w:val="0"/>
              <w:divBdr>
                <w:top w:val="none" w:sz="0" w:space="0" w:color="auto"/>
                <w:left w:val="none" w:sz="0" w:space="0" w:color="auto"/>
                <w:bottom w:val="none" w:sz="0" w:space="0" w:color="auto"/>
                <w:right w:val="none" w:sz="0" w:space="0" w:color="auto"/>
              </w:divBdr>
            </w:div>
          </w:divsChild>
        </w:div>
        <w:div w:id="1604411447">
          <w:marLeft w:val="0"/>
          <w:marRight w:val="0"/>
          <w:marTop w:val="0"/>
          <w:marBottom w:val="0"/>
          <w:divBdr>
            <w:top w:val="none" w:sz="0" w:space="0" w:color="auto"/>
            <w:left w:val="none" w:sz="0" w:space="0" w:color="auto"/>
            <w:bottom w:val="none" w:sz="0" w:space="0" w:color="auto"/>
            <w:right w:val="none" w:sz="0" w:space="0" w:color="auto"/>
          </w:divBdr>
          <w:divsChild>
            <w:div w:id="1463840832">
              <w:marLeft w:val="0"/>
              <w:marRight w:val="0"/>
              <w:marTop w:val="0"/>
              <w:marBottom w:val="0"/>
              <w:divBdr>
                <w:top w:val="none" w:sz="0" w:space="0" w:color="auto"/>
                <w:left w:val="none" w:sz="0" w:space="0" w:color="auto"/>
                <w:bottom w:val="none" w:sz="0" w:space="0" w:color="auto"/>
                <w:right w:val="none" w:sz="0" w:space="0" w:color="auto"/>
              </w:divBdr>
            </w:div>
          </w:divsChild>
        </w:div>
        <w:div w:id="1606384298">
          <w:marLeft w:val="0"/>
          <w:marRight w:val="0"/>
          <w:marTop w:val="0"/>
          <w:marBottom w:val="0"/>
          <w:divBdr>
            <w:top w:val="none" w:sz="0" w:space="0" w:color="auto"/>
            <w:left w:val="none" w:sz="0" w:space="0" w:color="auto"/>
            <w:bottom w:val="none" w:sz="0" w:space="0" w:color="auto"/>
            <w:right w:val="none" w:sz="0" w:space="0" w:color="auto"/>
          </w:divBdr>
          <w:divsChild>
            <w:div w:id="1767724541">
              <w:marLeft w:val="0"/>
              <w:marRight w:val="0"/>
              <w:marTop w:val="0"/>
              <w:marBottom w:val="0"/>
              <w:divBdr>
                <w:top w:val="none" w:sz="0" w:space="0" w:color="auto"/>
                <w:left w:val="none" w:sz="0" w:space="0" w:color="auto"/>
                <w:bottom w:val="none" w:sz="0" w:space="0" w:color="auto"/>
                <w:right w:val="none" w:sz="0" w:space="0" w:color="auto"/>
              </w:divBdr>
            </w:div>
          </w:divsChild>
        </w:div>
        <w:div w:id="1607274264">
          <w:marLeft w:val="0"/>
          <w:marRight w:val="0"/>
          <w:marTop w:val="0"/>
          <w:marBottom w:val="0"/>
          <w:divBdr>
            <w:top w:val="none" w:sz="0" w:space="0" w:color="auto"/>
            <w:left w:val="none" w:sz="0" w:space="0" w:color="auto"/>
            <w:bottom w:val="none" w:sz="0" w:space="0" w:color="auto"/>
            <w:right w:val="none" w:sz="0" w:space="0" w:color="auto"/>
          </w:divBdr>
          <w:divsChild>
            <w:div w:id="584874936">
              <w:marLeft w:val="0"/>
              <w:marRight w:val="0"/>
              <w:marTop w:val="0"/>
              <w:marBottom w:val="0"/>
              <w:divBdr>
                <w:top w:val="none" w:sz="0" w:space="0" w:color="auto"/>
                <w:left w:val="none" w:sz="0" w:space="0" w:color="auto"/>
                <w:bottom w:val="none" w:sz="0" w:space="0" w:color="auto"/>
                <w:right w:val="none" w:sz="0" w:space="0" w:color="auto"/>
              </w:divBdr>
            </w:div>
          </w:divsChild>
        </w:div>
        <w:div w:id="1609507527">
          <w:marLeft w:val="0"/>
          <w:marRight w:val="0"/>
          <w:marTop w:val="0"/>
          <w:marBottom w:val="0"/>
          <w:divBdr>
            <w:top w:val="none" w:sz="0" w:space="0" w:color="auto"/>
            <w:left w:val="none" w:sz="0" w:space="0" w:color="auto"/>
            <w:bottom w:val="none" w:sz="0" w:space="0" w:color="auto"/>
            <w:right w:val="none" w:sz="0" w:space="0" w:color="auto"/>
          </w:divBdr>
          <w:divsChild>
            <w:div w:id="1544051511">
              <w:marLeft w:val="0"/>
              <w:marRight w:val="0"/>
              <w:marTop w:val="0"/>
              <w:marBottom w:val="0"/>
              <w:divBdr>
                <w:top w:val="none" w:sz="0" w:space="0" w:color="auto"/>
                <w:left w:val="none" w:sz="0" w:space="0" w:color="auto"/>
                <w:bottom w:val="none" w:sz="0" w:space="0" w:color="auto"/>
                <w:right w:val="none" w:sz="0" w:space="0" w:color="auto"/>
              </w:divBdr>
            </w:div>
          </w:divsChild>
        </w:div>
        <w:div w:id="1615207728">
          <w:marLeft w:val="0"/>
          <w:marRight w:val="0"/>
          <w:marTop w:val="0"/>
          <w:marBottom w:val="0"/>
          <w:divBdr>
            <w:top w:val="none" w:sz="0" w:space="0" w:color="auto"/>
            <w:left w:val="none" w:sz="0" w:space="0" w:color="auto"/>
            <w:bottom w:val="none" w:sz="0" w:space="0" w:color="auto"/>
            <w:right w:val="none" w:sz="0" w:space="0" w:color="auto"/>
          </w:divBdr>
          <w:divsChild>
            <w:div w:id="2117095288">
              <w:marLeft w:val="0"/>
              <w:marRight w:val="0"/>
              <w:marTop w:val="0"/>
              <w:marBottom w:val="0"/>
              <w:divBdr>
                <w:top w:val="none" w:sz="0" w:space="0" w:color="auto"/>
                <w:left w:val="none" w:sz="0" w:space="0" w:color="auto"/>
                <w:bottom w:val="none" w:sz="0" w:space="0" w:color="auto"/>
                <w:right w:val="none" w:sz="0" w:space="0" w:color="auto"/>
              </w:divBdr>
            </w:div>
          </w:divsChild>
        </w:div>
        <w:div w:id="1619483605">
          <w:marLeft w:val="0"/>
          <w:marRight w:val="0"/>
          <w:marTop w:val="0"/>
          <w:marBottom w:val="0"/>
          <w:divBdr>
            <w:top w:val="none" w:sz="0" w:space="0" w:color="auto"/>
            <w:left w:val="none" w:sz="0" w:space="0" w:color="auto"/>
            <w:bottom w:val="none" w:sz="0" w:space="0" w:color="auto"/>
            <w:right w:val="none" w:sz="0" w:space="0" w:color="auto"/>
          </w:divBdr>
          <w:divsChild>
            <w:div w:id="1956062343">
              <w:marLeft w:val="0"/>
              <w:marRight w:val="0"/>
              <w:marTop w:val="0"/>
              <w:marBottom w:val="0"/>
              <w:divBdr>
                <w:top w:val="none" w:sz="0" w:space="0" w:color="auto"/>
                <w:left w:val="none" w:sz="0" w:space="0" w:color="auto"/>
                <w:bottom w:val="none" w:sz="0" w:space="0" w:color="auto"/>
                <w:right w:val="none" w:sz="0" w:space="0" w:color="auto"/>
              </w:divBdr>
            </w:div>
          </w:divsChild>
        </w:div>
        <w:div w:id="1621524344">
          <w:marLeft w:val="0"/>
          <w:marRight w:val="0"/>
          <w:marTop w:val="0"/>
          <w:marBottom w:val="0"/>
          <w:divBdr>
            <w:top w:val="none" w:sz="0" w:space="0" w:color="auto"/>
            <w:left w:val="none" w:sz="0" w:space="0" w:color="auto"/>
            <w:bottom w:val="none" w:sz="0" w:space="0" w:color="auto"/>
            <w:right w:val="none" w:sz="0" w:space="0" w:color="auto"/>
          </w:divBdr>
          <w:divsChild>
            <w:div w:id="195654303">
              <w:marLeft w:val="0"/>
              <w:marRight w:val="0"/>
              <w:marTop w:val="0"/>
              <w:marBottom w:val="0"/>
              <w:divBdr>
                <w:top w:val="none" w:sz="0" w:space="0" w:color="auto"/>
                <w:left w:val="none" w:sz="0" w:space="0" w:color="auto"/>
                <w:bottom w:val="none" w:sz="0" w:space="0" w:color="auto"/>
                <w:right w:val="none" w:sz="0" w:space="0" w:color="auto"/>
              </w:divBdr>
            </w:div>
          </w:divsChild>
        </w:div>
        <w:div w:id="1622835042">
          <w:marLeft w:val="0"/>
          <w:marRight w:val="0"/>
          <w:marTop w:val="0"/>
          <w:marBottom w:val="0"/>
          <w:divBdr>
            <w:top w:val="none" w:sz="0" w:space="0" w:color="auto"/>
            <w:left w:val="none" w:sz="0" w:space="0" w:color="auto"/>
            <w:bottom w:val="none" w:sz="0" w:space="0" w:color="auto"/>
            <w:right w:val="none" w:sz="0" w:space="0" w:color="auto"/>
          </w:divBdr>
          <w:divsChild>
            <w:div w:id="388497764">
              <w:marLeft w:val="0"/>
              <w:marRight w:val="0"/>
              <w:marTop w:val="0"/>
              <w:marBottom w:val="0"/>
              <w:divBdr>
                <w:top w:val="none" w:sz="0" w:space="0" w:color="auto"/>
                <w:left w:val="none" w:sz="0" w:space="0" w:color="auto"/>
                <w:bottom w:val="none" w:sz="0" w:space="0" w:color="auto"/>
                <w:right w:val="none" w:sz="0" w:space="0" w:color="auto"/>
              </w:divBdr>
            </w:div>
          </w:divsChild>
        </w:div>
        <w:div w:id="1623152680">
          <w:marLeft w:val="0"/>
          <w:marRight w:val="0"/>
          <w:marTop w:val="0"/>
          <w:marBottom w:val="0"/>
          <w:divBdr>
            <w:top w:val="none" w:sz="0" w:space="0" w:color="auto"/>
            <w:left w:val="none" w:sz="0" w:space="0" w:color="auto"/>
            <w:bottom w:val="none" w:sz="0" w:space="0" w:color="auto"/>
            <w:right w:val="none" w:sz="0" w:space="0" w:color="auto"/>
          </w:divBdr>
          <w:divsChild>
            <w:div w:id="1782915253">
              <w:marLeft w:val="0"/>
              <w:marRight w:val="0"/>
              <w:marTop w:val="0"/>
              <w:marBottom w:val="0"/>
              <w:divBdr>
                <w:top w:val="none" w:sz="0" w:space="0" w:color="auto"/>
                <w:left w:val="none" w:sz="0" w:space="0" w:color="auto"/>
                <w:bottom w:val="none" w:sz="0" w:space="0" w:color="auto"/>
                <w:right w:val="none" w:sz="0" w:space="0" w:color="auto"/>
              </w:divBdr>
            </w:div>
          </w:divsChild>
        </w:div>
        <w:div w:id="1626622676">
          <w:marLeft w:val="0"/>
          <w:marRight w:val="0"/>
          <w:marTop w:val="0"/>
          <w:marBottom w:val="0"/>
          <w:divBdr>
            <w:top w:val="none" w:sz="0" w:space="0" w:color="auto"/>
            <w:left w:val="none" w:sz="0" w:space="0" w:color="auto"/>
            <w:bottom w:val="none" w:sz="0" w:space="0" w:color="auto"/>
            <w:right w:val="none" w:sz="0" w:space="0" w:color="auto"/>
          </w:divBdr>
          <w:divsChild>
            <w:div w:id="1832134798">
              <w:marLeft w:val="0"/>
              <w:marRight w:val="0"/>
              <w:marTop w:val="0"/>
              <w:marBottom w:val="0"/>
              <w:divBdr>
                <w:top w:val="none" w:sz="0" w:space="0" w:color="auto"/>
                <w:left w:val="none" w:sz="0" w:space="0" w:color="auto"/>
                <w:bottom w:val="none" w:sz="0" w:space="0" w:color="auto"/>
                <w:right w:val="none" w:sz="0" w:space="0" w:color="auto"/>
              </w:divBdr>
            </w:div>
          </w:divsChild>
        </w:div>
        <w:div w:id="1628585241">
          <w:marLeft w:val="0"/>
          <w:marRight w:val="0"/>
          <w:marTop w:val="0"/>
          <w:marBottom w:val="0"/>
          <w:divBdr>
            <w:top w:val="none" w:sz="0" w:space="0" w:color="auto"/>
            <w:left w:val="none" w:sz="0" w:space="0" w:color="auto"/>
            <w:bottom w:val="none" w:sz="0" w:space="0" w:color="auto"/>
            <w:right w:val="none" w:sz="0" w:space="0" w:color="auto"/>
          </w:divBdr>
          <w:divsChild>
            <w:div w:id="967199712">
              <w:marLeft w:val="0"/>
              <w:marRight w:val="0"/>
              <w:marTop w:val="0"/>
              <w:marBottom w:val="0"/>
              <w:divBdr>
                <w:top w:val="none" w:sz="0" w:space="0" w:color="auto"/>
                <w:left w:val="none" w:sz="0" w:space="0" w:color="auto"/>
                <w:bottom w:val="none" w:sz="0" w:space="0" w:color="auto"/>
                <w:right w:val="none" w:sz="0" w:space="0" w:color="auto"/>
              </w:divBdr>
            </w:div>
          </w:divsChild>
        </w:div>
        <w:div w:id="1632252219">
          <w:marLeft w:val="0"/>
          <w:marRight w:val="0"/>
          <w:marTop w:val="0"/>
          <w:marBottom w:val="0"/>
          <w:divBdr>
            <w:top w:val="none" w:sz="0" w:space="0" w:color="auto"/>
            <w:left w:val="none" w:sz="0" w:space="0" w:color="auto"/>
            <w:bottom w:val="none" w:sz="0" w:space="0" w:color="auto"/>
            <w:right w:val="none" w:sz="0" w:space="0" w:color="auto"/>
          </w:divBdr>
          <w:divsChild>
            <w:div w:id="1083069678">
              <w:marLeft w:val="0"/>
              <w:marRight w:val="0"/>
              <w:marTop w:val="0"/>
              <w:marBottom w:val="0"/>
              <w:divBdr>
                <w:top w:val="none" w:sz="0" w:space="0" w:color="auto"/>
                <w:left w:val="none" w:sz="0" w:space="0" w:color="auto"/>
                <w:bottom w:val="none" w:sz="0" w:space="0" w:color="auto"/>
                <w:right w:val="none" w:sz="0" w:space="0" w:color="auto"/>
              </w:divBdr>
            </w:div>
          </w:divsChild>
        </w:div>
        <w:div w:id="1632785217">
          <w:marLeft w:val="0"/>
          <w:marRight w:val="0"/>
          <w:marTop w:val="0"/>
          <w:marBottom w:val="0"/>
          <w:divBdr>
            <w:top w:val="none" w:sz="0" w:space="0" w:color="auto"/>
            <w:left w:val="none" w:sz="0" w:space="0" w:color="auto"/>
            <w:bottom w:val="none" w:sz="0" w:space="0" w:color="auto"/>
            <w:right w:val="none" w:sz="0" w:space="0" w:color="auto"/>
          </w:divBdr>
          <w:divsChild>
            <w:div w:id="1234857250">
              <w:marLeft w:val="0"/>
              <w:marRight w:val="0"/>
              <w:marTop w:val="0"/>
              <w:marBottom w:val="0"/>
              <w:divBdr>
                <w:top w:val="none" w:sz="0" w:space="0" w:color="auto"/>
                <w:left w:val="none" w:sz="0" w:space="0" w:color="auto"/>
                <w:bottom w:val="none" w:sz="0" w:space="0" w:color="auto"/>
                <w:right w:val="none" w:sz="0" w:space="0" w:color="auto"/>
              </w:divBdr>
            </w:div>
          </w:divsChild>
        </w:div>
        <w:div w:id="1633754065">
          <w:marLeft w:val="0"/>
          <w:marRight w:val="0"/>
          <w:marTop w:val="0"/>
          <w:marBottom w:val="0"/>
          <w:divBdr>
            <w:top w:val="none" w:sz="0" w:space="0" w:color="auto"/>
            <w:left w:val="none" w:sz="0" w:space="0" w:color="auto"/>
            <w:bottom w:val="none" w:sz="0" w:space="0" w:color="auto"/>
            <w:right w:val="none" w:sz="0" w:space="0" w:color="auto"/>
          </w:divBdr>
          <w:divsChild>
            <w:div w:id="1305042222">
              <w:marLeft w:val="0"/>
              <w:marRight w:val="0"/>
              <w:marTop w:val="0"/>
              <w:marBottom w:val="0"/>
              <w:divBdr>
                <w:top w:val="none" w:sz="0" w:space="0" w:color="auto"/>
                <w:left w:val="none" w:sz="0" w:space="0" w:color="auto"/>
                <w:bottom w:val="none" w:sz="0" w:space="0" w:color="auto"/>
                <w:right w:val="none" w:sz="0" w:space="0" w:color="auto"/>
              </w:divBdr>
            </w:div>
          </w:divsChild>
        </w:div>
        <w:div w:id="1634407115">
          <w:marLeft w:val="0"/>
          <w:marRight w:val="0"/>
          <w:marTop w:val="0"/>
          <w:marBottom w:val="0"/>
          <w:divBdr>
            <w:top w:val="none" w:sz="0" w:space="0" w:color="auto"/>
            <w:left w:val="none" w:sz="0" w:space="0" w:color="auto"/>
            <w:bottom w:val="none" w:sz="0" w:space="0" w:color="auto"/>
            <w:right w:val="none" w:sz="0" w:space="0" w:color="auto"/>
          </w:divBdr>
          <w:divsChild>
            <w:div w:id="90971948">
              <w:marLeft w:val="0"/>
              <w:marRight w:val="0"/>
              <w:marTop w:val="0"/>
              <w:marBottom w:val="0"/>
              <w:divBdr>
                <w:top w:val="none" w:sz="0" w:space="0" w:color="auto"/>
                <w:left w:val="none" w:sz="0" w:space="0" w:color="auto"/>
                <w:bottom w:val="none" w:sz="0" w:space="0" w:color="auto"/>
                <w:right w:val="none" w:sz="0" w:space="0" w:color="auto"/>
              </w:divBdr>
            </w:div>
          </w:divsChild>
        </w:div>
        <w:div w:id="1636330080">
          <w:marLeft w:val="0"/>
          <w:marRight w:val="0"/>
          <w:marTop w:val="0"/>
          <w:marBottom w:val="0"/>
          <w:divBdr>
            <w:top w:val="none" w:sz="0" w:space="0" w:color="auto"/>
            <w:left w:val="none" w:sz="0" w:space="0" w:color="auto"/>
            <w:bottom w:val="none" w:sz="0" w:space="0" w:color="auto"/>
            <w:right w:val="none" w:sz="0" w:space="0" w:color="auto"/>
          </w:divBdr>
          <w:divsChild>
            <w:div w:id="1358846011">
              <w:marLeft w:val="0"/>
              <w:marRight w:val="0"/>
              <w:marTop w:val="0"/>
              <w:marBottom w:val="0"/>
              <w:divBdr>
                <w:top w:val="none" w:sz="0" w:space="0" w:color="auto"/>
                <w:left w:val="none" w:sz="0" w:space="0" w:color="auto"/>
                <w:bottom w:val="none" w:sz="0" w:space="0" w:color="auto"/>
                <w:right w:val="none" w:sz="0" w:space="0" w:color="auto"/>
              </w:divBdr>
            </w:div>
          </w:divsChild>
        </w:div>
        <w:div w:id="1637101232">
          <w:marLeft w:val="0"/>
          <w:marRight w:val="0"/>
          <w:marTop w:val="0"/>
          <w:marBottom w:val="0"/>
          <w:divBdr>
            <w:top w:val="none" w:sz="0" w:space="0" w:color="auto"/>
            <w:left w:val="none" w:sz="0" w:space="0" w:color="auto"/>
            <w:bottom w:val="none" w:sz="0" w:space="0" w:color="auto"/>
            <w:right w:val="none" w:sz="0" w:space="0" w:color="auto"/>
          </w:divBdr>
          <w:divsChild>
            <w:div w:id="143471669">
              <w:marLeft w:val="0"/>
              <w:marRight w:val="0"/>
              <w:marTop w:val="0"/>
              <w:marBottom w:val="0"/>
              <w:divBdr>
                <w:top w:val="none" w:sz="0" w:space="0" w:color="auto"/>
                <w:left w:val="none" w:sz="0" w:space="0" w:color="auto"/>
                <w:bottom w:val="none" w:sz="0" w:space="0" w:color="auto"/>
                <w:right w:val="none" w:sz="0" w:space="0" w:color="auto"/>
              </w:divBdr>
            </w:div>
          </w:divsChild>
        </w:div>
        <w:div w:id="1638997490">
          <w:marLeft w:val="0"/>
          <w:marRight w:val="0"/>
          <w:marTop w:val="0"/>
          <w:marBottom w:val="0"/>
          <w:divBdr>
            <w:top w:val="none" w:sz="0" w:space="0" w:color="auto"/>
            <w:left w:val="none" w:sz="0" w:space="0" w:color="auto"/>
            <w:bottom w:val="none" w:sz="0" w:space="0" w:color="auto"/>
            <w:right w:val="none" w:sz="0" w:space="0" w:color="auto"/>
          </w:divBdr>
          <w:divsChild>
            <w:div w:id="1949312749">
              <w:marLeft w:val="0"/>
              <w:marRight w:val="0"/>
              <w:marTop w:val="0"/>
              <w:marBottom w:val="0"/>
              <w:divBdr>
                <w:top w:val="none" w:sz="0" w:space="0" w:color="auto"/>
                <w:left w:val="none" w:sz="0" w:space="0" w:color="auto"/>
                <w:bottom w:val="none" w:sz="0" w:space="0" w:color="auto"/>
                <w:right w:val="none" w:sz="0" w:space="0" w:color="auto"/>
              </w:divBdr>
            </w:div>
          </w:divsChild>
        </w:div>
        <w:div w:id="1641029940">
          <w:marLeft w:val="0"/>
          <w:marRight w:val="0"/>
          <w:marTop w:val="0"/>
          <w:marBottom w:val="0"/>
          <w:divBdr>
            <w:top w:val="none" w:sz="0" w:space="0" w:color="auto"/>
            <w:left w:val="none" w:sz="0" w:space="0" w:color="auto"/>
            <w:bottom w:val="none" w:sz="0" w:space="0" w:color="auto"/>
            <w:right w:val="none" w:sz="0" w:space="0" w:color="auto"/>
          </w:divBdr>
          <w:divsChild>
            <w:div w:id="178087989">
              <w:marLeft w:val="0"/>
              <w:marRight w:val="0"/>
              <w:marTop w:val="0"/>
              <w:marBottom w:val="0"/>
              <w:divBdr>
                <w:top w:val="none" w:sz="0" w:space="0" w:color="auto"/>
                <w:left w:val="none" w:sz="0" w:space="0" w:color="auto"/>
                <w:bottom w:val="none" w:sz="0" w:space="0" w:color="auto"/>
                <w:right w:val="none" w:sz="0" w:space="0" w:color="auto"/>
              </w:divBdr>
            </w:div>
          </w:divsChild>
        </w:div>
        <w:div w:id="1645354620">
          <w:marLeft w:val="0"/>
          <w:marRight w:val="0"/>
          <w:marTop w:val="0"/>
          <w:marBottom w:val="0"/>
          <w:divBdr>
            <w:top w:val="none" w:sz="0" w:space="0" w:color="auto"/>
            <w:left w:val="none" w:sz="0" w:space="0" w:color="auto"/>
            <w:bottom w:val="none" w:sz="0" w:space="0" w:color="auto"/>
            <w:right w:val="none" w:sz="0" w:space="0" w:color="auto"/>
          </w:divBdr>
          <w:divsChild>
            <w:div w:id="503858380">
              <w:marLeft w:val="0"/>
              <w:marRight w:val="0"/>
              <w:marTop w:val="0"/>
              <w:marBottom w:val="0"/>
              <w:divBdr>
                <w:top w:val="none" w:sz="0" w:space="0" w:color="auto"/>
                <w:left w:val="none" w:sz="0" w:space="0" w:color="auto"/>
                <w:bottom w:val="none" w:sz="0" w:space="0" w:color="auto"/>
                <w:right w:val="none" w:sz="0" w:space="0" w:color="auto"/>
              </w:divBdr>
            </w:div>
          </w:divsChild>
        </w:div>
        <w:div w:id="1645818604">
          <w:marLeft w:val="0"/>
          <w:marRight w:val="0"/>
          <w:marTop w:val="0"/>
          <w:marBottom w:val="0"/>
          <w:divBdr>
            <w:top w:val="none" w:sz="0" w:space="0" w:color="auto"/>
            <w:left w:val="none" w:sz="0" w:space="0" w:color="auto"/>
            <w:bottom w:val="none" w:sz="0" w:space="0" w:color="auto"/>
            <w:right w:val="none" w:sz="0" w:space="0" w:color="auto"/>
          </w:divBdr>
          <w:divsChild>
            <w:div w:id="1825779357">
              <w:marLeft w:val="0"/>
              <w:marRight w:val="0"/>
              <w:marTop w:val="0"/>
              <w:marBottom w:val="0"/>
              <w:divBdr>
                <w:top w:val="none" w:sz="0" w:space="0" w:color="auto"/>
                <w:left w:val="none" w:sz="0" w:space="0" w:color="auto"/>
                <w:bottom w:val="none" w:sz="0" w:space="0" w:color="auto"/>
                <w:right w:val="none" w:sz="0" w:space="0" w:color="auto"/>
              </w:divBdr>
            </w:div>
          </w:divsChild>
        </w:div>
        <w:div w:id="1646003862">
          <w:marLeft w:val="0"/>
          <w:marRight w:val="0"/>
          <w:marTop w:val="0"/>
          <w:marBottom w:val="0"/>
          <w:divBdr>
            <w:top w:val="none" w:sz="0" w:space="0" w:color="auto"/>
            <w:left w:val="none" w:sz="0" w:space="0" w:color="auto"/>
            <w:bottom w:val="none" w:sz="0" w:space="0" w:color="auto"/>
            <w:right w:val="none" w:sz="0" w:space="0" w:color="auto"/>
          </w:divBdr>
          <w:divsChild>
            <w:div w:id="1136871011">
              <w:marLeft w:val="0"/>
              <w:marRight w:val="0"/>
              <w:marTop w:val="0"/>
              <w:marBottom w:val="0"/>
              <w:divBdr>
                <w:top w:val="none" w:sz="0" w:space="0" w:color="auto"/>
                <w:left w:val="none" w:sz="0" w:space="0" w:color="auto"/>
                <w:bottom w:val="none" w:sz="0" w:space="0" w:color="auto"/>
                <w:right w:val="none" w:sz="0" w:space="0" w:color="auto"/>
              </w:divBdr>
            </w:div>
          </w:divsChild>
        </w:div>
        <w:div w:id="1646468370">
          <w:marLeft w:val="0"/>
          <w:marRight w:val="0"/>
          <w:marTop w:val="0"/>
          <w:marBottom w:val="0"/>
          <w:divBdr>
            <w:top w:val="none" w:sz="0" w:space="0" w:color="auto"/>
            <w:left w:val="none" w:sz="0" w:space="0" w:color="auto"/>
            <w:bottom w:val="none" w:sz="0" w:space="0" w:color="auto"/>
            <w:right w:val="none" w:sz="0" w:space="0" w:color="auto"/>
          </w:divBdr>
          <w:divsChild>
            <w:div w:id="1402365528">
              <w:marLeft w:val="0"/>
              <w:marRight w:val="0"/>
              <w:marTop w:val="0"/>
              <w:marBottom w:val="0"/>
              <w:divBdr>
                <w:top w:val="none" w:sz="0" w:space="0" w:color="auto"/>
                <w:left w:val="none" w:sz="0" w:space="0" w:color="auto"/>
                <w:bottom w:val="none" w:sz="0" w:space="0" w:color="auto"/>
                <w:right w:val="none" w:sz="0" w:space="0" w:color="auto"/>
              </w:divBdr>
            </w:div>
          </w:divsChild>
        </w:div>
        <w:div w:id="1651785887">
          <w:marLeft w:val="0"/>
          <w:marRight w:val="0"/>
          <w:marTop w:val="0"/>
          <w:marBottom w:val="0"/>
          <w:divBdr>
            <w:top w:val="none" w:sz="0" w:space="0" w:color="auto"/>
            <w:left w:val="none" w:sz="0" w:space="0" w:color="auto"/>
            <w:bottom w:val="none" w:sz="0" w:space="0" w:color="auto"/>
            <w:right w:val="none" w:sz="0" w:space="0" w:color="auto"/>
          </w:divBdr>
          <w:divsChild>
            <w:div w:id="1159729643">
              <w:marLeft w:val="0"/>
              <w:marRight w:val="0"/>
              <w:marTop w:val="0"/>
              <w:marBottom w:val="0"/>
              <w:divBdr>
                <w:top w:val="none" w:sz="0" w:space="0" w:color="auto"/>
                <w:left w:val="none" w:sz="0" w:space="0" w:color="auto"/>
                <w:bottom w:val="none" w:sz="0" w:space="0" w:color="auto"/>
                <w:right w:val="none" w:sz="0" w:space="0" w:color="auto"/>
              </w:divBdr>
            </w:div>
          </w:divsChild>
        </w:div>
        <w:div w:id="1655060593">
          <w:marLeft w:val="0"/>
          <w:marRight w:val="0"/>
          <w:marTop w:val="0"/>
          <w:marBottom w:val="0"/>
          <w:divBdr>
            <w:top w:val="none" w:sz="0" w:space="0" w:color="auto"/>
            <w:left w:val="none" w:sz="0" w:space="0" w:color="auto"/>
            <w:bottom w:val="none" w:sz="0" w:space="0" w:color="auto"/>
            <w:right w:val="none" w:sz="0" w:space="0" w:color="auto"/>
          </w:divBdr>
          <w:divsChild>
            <w:div w:id="1805998372">
              <w:marLeft w:val="0"/>
              <w:marRight w:val="0"/>
              <w:marTop w:val="0"/>
              <w:marBottom w:val="0"/>
              <w:divBdr>
                <w:top w:val="none" w:sz="0" w:space="0" w:color="auto"/>
                <w:left w:val="none" w:sz="0" w:space="0" w:color="auto"/>
                <w:bottom w:val="none" w:sz="0" w:space="0" w:color="auto"/>
                <w:right w:val="none" w:sz="0" w:space="0" w:color="auto"/>
              </w:divBdr>
            </w:div>
          </w:divsChild>
        </w:div>
        <w:div w:id="1659306306">
          <w:marLeft w:val="0"/>
          <w:marRight w:val="0"/>
          <w:marTop w:val="0"/>
          <w:marBottom w:val="0"/>
          <w:divBdr>
            <w:top w:val="none" w:sz="0" w:space="0" w:color="auto"/>
            <w:left w:val="none" w:sz="0" w:space="0" w:color="auto"/>
            <w:bottom w:val="none" w:sz="0" w:space="0" w:color="auto"/>
            <w:right w:val="none" w:sz="0" w:space="0" w:color="auto"/>
          </w:divBdr>
          <w:divsChild>
            <w:div w:id="1982928203">
              <w:marLeft w:val="0"/>
              <w:marRight w:val="0"/>
              <w:marTop w:val="0"/>
              <w:marBottom w:val="0"/>
              <w:divBdr>
                <w:top w:val="none" w:sz="0" w:space="0" w:color="auto"/>
                <w:left w:val="none" w:sz="0" w:space="0" w:color="auto"/>
                <w:bottom w:val="none" w:sz="0" w:space="0" w:color="auto"/>
                <w:right w:val="none" w:sz="0" w:space="0" w:color="auto"/>
              </w:divBdr>
            </w:div>
          </w:divsChild>
        </w:div>
        <w:div w:id="1661537723">
          <w:marLeft w:val="0"/>
          <w:marRight w:val="0"/>
          <w:marTop w:val="0"/>
          <w:marBottom w:val="0"/>
          <w:divBdr>
            <w:top w:val="none" w:sz="0" w:space="0" w:color="auto"/>
            <w:left w:val="none" w:sz="0" w:space="0" w:color="auto"/>
            <w:bottom w:val="none" w:sz="0" w:space="0" w:color="auto"/>
            <w:right w:val="none" w:sz="0" w:space="0" w:color="auto"/>
          </w:divBdr>
          <w:divsChild>
            <w:div w:id="153689423">
              <w:marLeft w:val="0"/>
              <w:marRight w:val="0"/>
              <w:marTop w:val="0"/>
              <w:marBottom w:val="0"/>
              <w:divBdr>
                <w:top w:val="none" w:sz="0" w:space="0" w:color="auto"/>
                <w:left w:val="none" w:sz="0" w:space="0" w:color="auto"/>
                <w:bottom w:val="none" w:sz="0" w:space="0" w:color="auto"/>
                <w:right w:val="none" w:sz="0" w:space="0" w:color="auto"/>
              </w:divBdr>
            </w:div>
          </w:divsChild>
        </w:div>
        <w:div w:id="1664312380">
          <w:marLeft w:val="0"/>
          <w:marRight w:val="0"/>
          <w:marTop w:val="0"/>
          <w:marBottom w:val="0"/>
          <w:divBdr>
            <w:top w:val="none" w:sz="0" w:space="0" w:color="auto"/>
            <w:left w:val="none" w:sz="0" w:space="0" w:color="auto"/>
            <w:bottom w:val="none" w:sz="0" w:space="0" w:color="auto"/>
            <w:right w:val="none" w:sz="0" w:space="0" w:color="auto"/>
          </w:divBdr>
          <w:divsChild>
            <w:div w:id="728264521">
              <w:marLeft w:val="0"/>
              <w:marRight w:val="0"/>
              <w:marTop w:val="0"/>
              <w:marBottom w:val="0"/>
              <w:divBdr>
                <w:top w:val="none" w:sz="0" w:space="0" w:color="auto"/>
                <w:left w:val="none" w:sz="0" w:space="0" w:color="auto"/>
                <w:bottom w:val="none" w:sz="0" w:space="0" w:color="auto"/>
                <w:right w:val="none" w:sz="0" w:space="0" w:color="auto"/>
              </w:divBdr>
            </w:div>
          </w:divsChild>
        </w:div>
        <w:div w:id="1666783908">
          <w:marLeft w:val="0"/>
          <w:marRight w:val="0"/>
          <w:marTop w:val="0"/>
          <w:marBottom w:val="0"/>
          <w:divBdr>
            <w:top w:val="none" w:sz="0" w:space="0" w:color="auto"/>
            <w:left w:val="none" w:sz="0" w:space="0" w:color="auto"/>
            <w:bottom w:val="none" w:sz="0" w:space="0" w:color="auto"/>
            <w:right w:val="none" w:sz="0" w:space="0" w:color="auto"/>
          </w:divBdr>
          <w:divsChild>
            <w:div w:id="231702313">
              <w:marLeft w:val="0"/>
              <w:marRight w:val="0"/>
              <w:marTop w:val="0"/>
              <w:marBottom w:val="0"/>
              <w:divBdr>
                <w:top w:val="none" w:sz="0" w:space="0" w:color="auto"/>
                <w:left w:val="none" w:sz="0" w:space="0" w:color="auto"/>
                <w:bottom w:val="none" w:sz="0" w:space="0" w:color="auto"/>
                <w:right w:val="none" w:sz="0" w:space="0" w:color="auto"/>
              </w:divBdr>
            </w:div>
          </w:divsChild>
        </w:div>
        <w:div w:id="1671830004">
          <w:marLeft w:val="0"/>
          <w:marRight w:val="0"/>
          <w:marTop w:val="0"/>
          <w:marBottom w:val="0"/>
          <w:divBdr>
            <w:top w:val="none" w:sz="0" w:space="0" w:color="auto"/>
            <w:left w:val="none" w:sz="0" w:space="0" w:color="auto"/>
            <w:bottom w:val="none" w:sz="0" w:space="0" w:color="auto"/>
            <w:right w:val="none" w:sz="0" w:space="0" w:color="auto"/>
          </w:divBdr>
          <w:divsChild>
            <w:div w:id="1442529390">
              <w:marLeft w:val="0"/>
              <w:marRight w:val="0"/>
              <w:marTop w:val="0"/>
              <w:marBottom w:val="0"/>
              <w:divBdr>
                <w:top w:val="none" w:sz="0" w:space="0" w:color="auto"/>
                <w:left w:val="none" w:sz="0" w:space="0" w:color="auto"/>
                <w:bottom w:val="none" w:sz="0" w:space="0" w:color="auto"/>
                <w:right w:val="none" w:sz="0" w:space="0" w:color="auto"/>
              </w:divBdr>
            </w:div>
          </w:divsChild>
        </w:div>
        <w:div w:id="1672415212">
          <w:marLeft w:val="0"/>
          <w:marRight w:val="0"/>
          <w:marTop w:val="0"/>
          <w:marBottom w:val="0"/>
          <w:divBdr>
            <w:top w:val="none" w:sz="0" w:space="0" w:color="auto"/>
            <w:left w:val="none" w:sz="0" w:space="0" w:color="auto"/>
            <w:bottom w:val="none" w:sz="0" w:space="0" w:color="auto"/>
            <w:right w:val="none" w:sz="0" w:space="0" w:color="auto"/>
          </w:divBdr>
          <w:divsChild>
            <w:div w:id="929893222">
              <w:marLeft w:val="0"/>
              <w:marRight w:val="0"/>
              <w:marTop w:val="0"/>
              <w:marBottom w:val="0"/>
              <w:divBdr>
                <w:top w:val="none" w:sz="0" w:space="0" w:color="auto"/>
                <w:left w:val="none" w:sz="0" w:space="0" w:color="auto"/>
                <w:bottom w:val="none" w:sz="0" w:space="0" w:color="auto"/>
                <w:right w:val="none" w:sz="0" w:space="0" w:color="auto"/>
              </w:divBdr>
            </w:div>
          </w:divsChild>
        </w:div>
        <w:div w:id="1673410753">
          <w:marLeft w:val="0"/>
          <w:marRight w:val="0"/>
          <w:marTop w:val="0"/>
          <w:marBottom w:val="0"/>
          <w:divBdr>
            <w:top w:val="none" w:sz="0" w:space="0" w:color="auto"/>
            <w:left w:val="none" w:sz="0" w:space="0" w:color="auto"/>
            <w:bottom w:val="none" w:sz="0" w:space="0" w:color="auto"/>
            <w:right w:val="none" w:sz="0" w:space="0" w:color="auto"/>
          </w:divBdr>
          <w:divsChild>
            <w:div w:id="888032531">
              <w:marLeft w:val="0"/>
              <w:marRight w:val="0"/>
              <w:marTop w:val="0"/>
              <w:marBottom w:val="0"/>
              <w:divBdr>
                <w:top w:val="none" w:sz="0" w:space="0" w:color="auto"/>
                <w:left w:val="none" w:sz="0" w:space="0" w:color="auto"/>
                <w:bottom w:val="none" w:sz="0" w:space="0" w:color="auto"/>
                <w:right w:val="none" w:sz="0" w:space="0" w:color="auto"/>
              </w:divBdr>
            </w:div>
          </w:divsChild>
        </w:div>
        <w:div w:id="1673684166">
          <w:marLeft w:val="0"/>
          <w:marRight w:val="0"/>
          <w:marTop w:val="0"/>
          <w:marBottom w:val="0"/>
          <w:divBdr>
            <w:top w:val="none" w:sz="0" w:space="0" w:color="auto"/>
            <w:left w:val="none" w:sz="0" w:space="0" w:color="auto"/>
            <w:bottom w:val="none" w:sz="0" w:space="0" w:color="auto"/>
            <w:right w:val="none" w:sz="0" w:space="0" w:color="auto"/>
          </w:divBdr>
          <w:divsChild>
            <w:div w:id="1143810097">
              <w:marLeft w:val="0"/>
              <w:marRight w:val="0"/>
              <w:marTop w:val="0"/>
              <w:marBottom w:val="0"/>
              <w:divBdr>
                <w:top w:val="none" w:sz="0" w:space="0" w:color="auto"/>
                <w:left w:val="none" w:sz="0" w:space="0" w:color="auto"/>
                <w:bottom w:val="none" w:sz="0" w:space="0" w:color="auto"/>
                <w:right w:val="none" w:sz="0" w:space="0" w:color="auto"/>
              </w:divBdr>
            </w:div>
          </w:divsChild>
        </w:div>
        <w:div w:id="1676611970">
          <w:marLeft w:val="0"/>
          <w:marRight w:val="0"/>
          <w:marTop w:val="0"/>
          <w:marBottom w:val="0"/>
          <w:divBdr>
            <w:top w:val="none" w:sz="0" w:space="0" w:color="auto"/>
            <w:left w:val="none" w:sz="0" w:space="0" w:color="auto"/>
            <w:bottom w:val="none" w:sz="0" w:space="0" w:color="auto"/>
            <w:right w:val="none" w:sz="0" w:space="0" w:color="auto"/>
          </w:divBdr>
          <w:divsChild>
            <w:div w:id="1766271001">
              <w:marLeft w:val="0"/>
              <w:marRight w:val="0"/>
              <w:marTop w:val="0"/>
              <w:marBottom w:val="0"/>
              <w:divBdr>
                <w:top w:val="none" w:sz="0" w:space="0" w:color="auto"/>
                <w:left w:val="none" w:sz="0" w:space="0" w:color="auto"/>
                <w:bottom w:val="none" w:sz="0" w:space="0" w:color="auto"/>
                <w:right w:val="none" w:sz="0" w:space="0" w:color="auto"/>
              </w:divBdr>
            </w:div>
          </w:divsChild>
        </w:div>
        <w:div w:id="1676957651">
          <w:marLeft w:val="0"/>
          <w:marRight w:val="0"/>
          <w:marTop w:val="0"/>
          <w:marBottom w:val="0"/>
          <w:divBdr>
            <w:top w:val="none" w:sz="0" w:space="0" w:color="auto"/>
            <w:left w:val="none" w:sz="0" w:space="0" w:color="auto"/>
            <w:bottom w:val="none" w:sz="0" w:space="0" w:color="auto"/>
            <w:right w:val="none" w:sz="0" w:space="0" w:color="auto"/>
          </w:divBdr>
          <w:divsChild>
            <w:div w:id="648705955">
              <w:marLeft w:val="0"/>
              <w:marRight w:val="0"/>
              <w:marTop w:val="0"/>
              <w:marBottom w:val="0"/>
              <w:divBdr>
                <w:top w:val="none" w:sz="0" w:space="0" w:color="auto"/>
                <w:left w:val="none" w:sz="0" w:space="0" w:color="auto"/>
                <w:bottom w:val="none" w:sz="0" w:space="0" w:color="auto"/>
                <w:right w:val="none" w:sz="0" w:space="0" w:color="auto"/>
              </w:divBdr>
            </w:div>
          </w:divsChild>
        </w:div>
        <w:div w:id="1680425550">
          <w:marLeft w:val="0"/>
          <w:marRight w:val="0"/>
          <w:marTop w:val="0"/>
          <w:marBottom w:val="0"/>
          <w:divBdr>
            <w:top w:val="none" w:sz="0" w:space="0" w:color="auto"/>
            <w:left w:val="none" w:sz="0" w:space="0" w:color="auto"/>
            <w:bottom w:val="none" w:sz="0" w:space="0" w:color="auto"/>
            <w:right w:val="none" w:sz="0" w:space="0" w:color="auto"/>
          </w:divBdr>
          <w:divsChild>
            <w:div w:id="1846746120">
              <w:marLeft w:val="0"/>
              <w:marRight w:val="0"/>
              <w:marTop w:val="0"/>
              <w:marBottom w:val="0"/>
              <w:divBdr>
                <w:top w:val="none" w:sz="0" w:space="0" w:color="auto"/>
                <w:left w:val="none" w:sz="0" w:space="0" w:color="auto"/>
                <w:bottom w:val="none" w:sz="0" w:space="0" w:color="auto"/>
                <w:right w:val="none" w:sz="0" w:space="0" w:color="auto"/>
              </w:divBdr>
            </w:div>
          </w:divsChild>
        </w:div>
        <w:div w:id="1680892217">
          <w:marLeft w:val="0"/>
          <w:marRight w:val="0"/>
          <w:marTop w:val="0"/>
          <w:marBottom w:val="0"/>
          <w:divBdr>
            <w:top w:val="none" w:sz="0" w:space="0" w:color="auto"/>
            <w:left w:val="none" w:sz="0" w:space="0" w:color="auto"/>
            <w:bottom w:val="none" w:sz="0" w:space="0" w:color="auto"/>
            <w:right w:val="none" w:sz="0" w:space="0" w:color="auto"/>
          </w:divBdr>
          <w:divsChild>
            <w:div w:id="1334533659">
              <w:marLeft w:val="0"/>
              <w:marRight w:val="0"/>
              <w:marTop w:val="0"/>
              <w:marBottom w:val="0"/>
              <w:divBdr>
                <w:top w:val="none" w:sz="0" w:space="0" w:color="auto"/>
                <w:left w:val="none" w:sz="0" w:space="0" w:color="auto"/>
                <w:bottom w:val="none" w:sz="0" w:space="0" w:color="auto"/>
                <w:right w:val="none" w:sz="0" w:space="0" w:color="auto"/>
              </w:divBdr>
            </w:div>
          </w:divsChild>
        </w:div>
        <w:div w:id="1689136182">
          <w:marLeft w:val="0"/>
          <w:marRight w:val="0"/>
          <w:marTop w:val="0"/>
          <w:marBottom w:val="0"/>
          <w:divBdr>
            <w:top w:val="none" w:sz="0" w:space="0" w:color="auto"/>
            <w:left w:val="none" w:sz="0" w:space="0" w:color="auto"/>
            <w:bottom w:val="none" w:sz="0" w:space="0" w:color="auto"/>
            <w:right w:val="none" w:sz="0" w:space="0" w:color="auto"/>
          </w:divBdr>
          <w:divsChild>
            <w:div w:id="1868061628">
              <w:marLeft w:val="0"/>
              <w:marRight w:val="0"/>
              <w:marTop w:val="0"/>
              <w:marBottom w:val="0"/>
              <w:divBdr>
                <w:top w:val="none" w:sz="0" w:space="0" w:color="auto"/>
                <w:left w:val="none" w:sz="0" w:space="0" w:color="auto"/>
                <w:bottom w:val="none" w:sz="0" w:space="0" w:color="auto"/>
                <w:right w:val="none" w:sz="0" w:space="0" w:color="auto"/>
              </w:divBdr>
            </w:div>
          </w:divsChild>
        </w:div>
        <w:div w:id="1691446153">
          <w:marLeft w:val="0"/>
          <w:marRight w:val="0"/>
          <w:marTop w:val="0"/>
          <w:marBottom w:val="0"/>
          <w:divBdr>
            <w:top w:val="none" w:sz="0" w:space="0" w:color="auto"/>
            <w:left w:val="none" w:sz="0" w:space="0" w:color="auto"/>
            <w:bottom w:val="none" w:sz="0" w:space="0" w:color="auto"/>
            <w:right w:val="none" w:sz="0" w:space="0" w:color="auto"/>
          </w:divBdr>
          <w:divsChild>
            <w:div w:id="1563370408">
              <w:marLeft w:val="0"/>
              <w:marRight w:val="0"/>
              <w:marTop w:val="0"/>
              <w:marBottom w:val="0"/>
              <w:divBdr>
                <w:top w:val="none" w:sz="0" w:space="0" w:color="auto"/>
                <w:left w:val="none" w:sz="0" w:space="0" w:color="auto"/>
                <w:bottom w:val="none" w:sz="0" w:space="0" w:color="auto"/>
                <w:right w:val="none" w:sz="0" w:space="0" w:color="auto"/>
              </w:divBdr>
            </w:div>
          </w:divsChild>
        </w:div>
        <w:div w:id="1697853083">
          <w:marLeft w:val="0"/>
          <w:marRight w:val="0"/>
          <w:marTop w:val="0"/>
          <w:marBottom w:val="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
          </w:divsChild>
        </w:div>
        <w:div w:id="1699551856">
          <w:marLeft w:val="0"/>
          <w:marRight w:val="0"/>
          <w:marTop w:val="0"/>
          <w:marBottom w:val="0"/>
          <w:divBdr>
            <w:top w:val="none" w:sz="0" w:space="0" w:color="auto"/>
            <w:left w:val="none" w:sz="0" w:space="0" w:color="auto"/>
            <w:bottom w:val="none" w:sz="0" w:space="0" w:color="auto"/>
            <w:right w:val="none" w:sz="0" w:space="0" w:color="auto"/>
          </w:divBdr>
          <w:divsChild>
            <w:div w:id="340011377">
              <w:marLeft w:val="0"/>
              <w:marRight w:val="0"/>
              <w:marTop w:val="0"/>
              <w:marBottom w:val="0"/>
              <w:divBdr>
                <w:top w:val="none" w:sz="0" w:space="0" w:color="auto"/>
                <w:left w:val="none" w:sz="0" w:space="0" w:color="auto"/>
                <w:bottom w:val="none" w:sz="0" w:space="0" w:color="auto"/>
                <w:right w:val="none" w:sz="0" w:space="0" w:color="auto"/>
              </w:divBdr>
            </w:div>
          </w:divsChild>
        </w:div>
        <w:div w:id="1700082356">
          <w:marLeft w:val="0"/>
          <w:marRight w:val="0"/>
          <w:marTop w:val="0"/>
          <w:marBottom w:val="0"/>
          <w:divBdr>
            <w:top w:val="none" w:sz="0" w:space="0" w:color="auto"/>
            <w:left w:val="none" w:sz="0" w:space="0" w:color="auto"/>
            <w:bottom w:val="none" w:sz="0" w:space="0" w:color="auto"/>
            <w:right w:val="none" w:sz="0" w:space="0" w:color="auto"/>
          </w:divBdr>
          <w:divsChild>
            <w:div w:id="1140880521">
              <w:marLeft w:val="0"/>
              <w:marRight w:val="0"/>
              <w:marTop w:val="0"/>
              <w:marBottom w:val="0"/>
              <w:divBdr>
                <w:top w:val="none" w:sz="0" w:space="0" w:color="auto"/>
                <w:left w:val="none" w:sz="0" w:space="0" w:color="auto"/>
                <w:bottom w:val="none" w:sz="0" w:space="0" w:color="auto"/>
                <w:right w:val="none" w:sz="0" w:space="0" w:color="auto"/>
              </w:divBdr>
            </w:div>
          </w:divsChild>
        </w:div>
        <w:div w:id="1700810574">
          <w:marLeft w:val="0"/>
          <w:marRight w:val="0"/>
          <w:marTop w:val="0"/>
          <w:marBottom w:val="0"/>
          <w:divBdr>
            <w:top w:val="none" w:sz="0" w:space="0" w:color="auto"/>
            <w:left w:val="none" w:sz="0" w:space="0" w:color="auto"/>
            <w:bottom w:val="none" w:sz="0" w:space="0" w:color="auto"/>
            <w:right w:val="none" w:sz="0" w:space="0" w:color="auto"/>
          </w:divBdr>
          <w:divsChild>
            <w:div w:id="950548523">
              <w:marLeft w:val="0"/>
              <w:marRight w:val="0"/>
              <w:marTop w:val="0"/>
              <w:marBottom w:val="0"/>
              <w:divBdr>
                <w:top w:val="none" w:sz="0" w:space="0" w:color="auto"/>
                <w:left w:val="none" w:sz="0" w:space="0" w:color="auto"/>
                <w:bottom w:val="none" w:sz="0" w:space="0" w:color="auto"/>
                <w:right w:val="none" w:sz="0" w:space="0" w:color="auto"/>
              </w:divBdr>
            </w:div>
          </w:divsChild>
        </w:div>
        <w:div w:id="1701778947">
          <w:marLeft w:val="0"/>
          <w:marRight w:val="0"/>
          <w:marTop w:val="0"/>
          <w:marBottom w:val="0"/>
          <w:divBdr>
            <w:top w:val="none" w:sz="0" w:space="0" w:color="auto"/>
            <w:left w:val="none" w:sz="0" w:space="0" w:color="auto"/>
            <w:bottom w:val="none" w:sz="0" w:space="0" w:color="auto"/>
            <w:right w:val="none" w:sz="0" w:space="0" w:color="auto"/>
          </w:divBdr>
          <w:divsChild>
            <w:div w:id="221060037">
              <w:marLeft w:val="0"/>
              <w:marRight w:val="0"/>
              <w:marTop w:val="0"/>
              <w:marBottom w:val="0"/>
              <w:divBdr>
                <w:top w:val="none" w:sz="0" w:space="0" w:color="auto"/>
                <w:left w:val="none" w:sz="0" w:space="0" w:color="auto"/>
                <w:bottom w:val="none" w:sz="0" w:space="0" w:color="auto"/>
                <w:right w:val="none" w:sz="0" w:space="0" w:color="auto"/>
              </w:divBdr>
            </w:div>
          </w:divsChild>
        </w:div>
        <w:div w:id="1706251416">
          <w:marLeft w:val="0"/>
          <w:marRight w:val="0"/>
          <w:marTop w:val="0"/>
          <w:marBottom w:val="0"/>
          <w:divBdr>
            <w:top w:val="none" w:sz="0" w:space="0" w:color="auto"/>
            <w:left w:val="none" w:sz="0" w:space="0" w:color="auto"/>
            <w:bottom w:val="none" w:sz="0" w:space="0" w:color="auto"/>
            <w:right w:val="none" w:sz="0" w:space="0" w:color="auto"/>
          </w:divBdr>
          <w:divsChild>
            <w:div w:id="1184394984">
              <w:marLeft w:val="0"/>
              <w:marRight w:val="0"/>
              <w:marTop w:val="0"/>
              <w:marBottom w:val="0"/>
              <w:divBdr>
                <w:top w:val="none" w:sz="0" w:space="0" w:color="auto"/>
                <w:left w:val="none" w:sz="0" w:space="0" w:color="auto"/>
                <w:bottom w:val="none" w:sz="0" w:space="0" w:color="auto"/>
                <w:right w:val="none" w:sz="0" w:space="0" w:color="auto"/>
              </w:divBdr>
            </w:div>
          </w:divsChild>
        </w:div>
        <w:div w:id="1707825012">
          <w:marLeft w:val="0"/>
          <w:marRight w:val="0"/>
          <w:marTop w:val="0"/>
          <w:marBottom w:val="0"/>
          <w:divBdr>
            <w:top w:val="none" w:sz="0" w:space="0" w:color="auto"/>
            <w:left w:val="none" w:sz="0" w:space="0" w:color="auto"/>
            <w:bottom w:val="none" w:sz="0" w:space="0" w:color="auto"/>
            <w:right w:val="none" w:sz="0" w:space="0" w:color="auto"/>
          </w:divBdr>
          <w:divsChild>
            <w:div w:id="881408133">
              <w:marLeft w:val="0"/>
              <w:marRight w:val="0"/>
              <w:marTop w:val="0"/>
              <w:marBottom w:val="0"/>
              <w:divBdr>
                <w:top w:val="none" w:sz="0" w:space="0" w:color="auto"/>
                <w:left w:val="none" w:sz="0" w:space="0" w:color="auto"/>
                <w:bottom w:val="none" w:sz="0" w:space="0" w:color="auto"/>
                <w:right w:val="none" w:sz="0" w:space="0" w:color="auto"/>
              </w:divBdr>
            </w:div>
          </w:divsChild>
        </w:div>
        <w:div w:id="1707830972">
          <w:marLeft w:val="0"/>
          <w:marRight w:val="0"/>
          <w:marTop w:val="0"/>
          <w:marBottom w:val="0"/>
          <w:divBdr>
            <w:top w:val="none" w:sz="0" w:space="0" w:color="auto"/>
            <w:left w:val="none" w:sz="0" w:space="0" w:color="auto"/>
            <w:bottom w:val="none" w:sz="0" w:space="0" w:color="auto"/>
            <w:right w:val="none" w:sz="0" w:space="0" w:color="auto"/>
          </w:divBdr>
          <w:divsChild>
            <w:div w:id="1229461975">
              <w:marLeft w:val="0"/>
              <w:marRight w:val="0"/>
              <w:marTop w:val="0"/>
              <w:marBottom w:val="0"/>
              <w:divBdr>
                <w:top w:val="none" w:sz="0" w:space="0" w:color="auto"/>
                <w:left w:val="none" w:sz="0" w:space="0" w:color="auto"/>
                <w:bottom w:val="none" w:sz="0" w:space="0" w:color="auto"/>
                <w:right w:val="none" w:sz="0" w:space="0" w:color="auto"/>
              </w:divBdr>
            </w:div>
          </w:divsChild>
        </w:div>
        <w:div w:id="1709066051">
          <w:marLeft w:val="0"/>
          <w:marRight w:val="0"/>
          <w:marTop w:val="0"/>
          <w:marBottom w:val="0"/>
          <w:divBdr>
            <w:top w:val="none" w:sz="0" w:space="0" w:color="auto"/>
            <w:left w:val="none" w:sz="0" w:space="0" w:color="auto"/>
            <w:bottom w:val="none" w:sz="0" w:space="0" w:color="auto"/>
            <w:right w:val="none" w:sz="0" w:space="0" w:color="auto"/>
          </w:divBdr>
          <w:divsChild>
            <w:div w:id="6374744">
              <w:marLeft w:val="0"/>
              <w:marRight w:val="0"/>
              <w:marTop w:val="0"/>
              <w:marBottom w:val="0"/>
              <w:divBdr>
                <w:top w:val="none" w:sz="0" w:space="0" w:color="auto"/>
                <w:left w:val="none" w:sz="0" w:space="0" w:color="auto"/>
                <w:bottom w:val="none" w:sz="0" w:space="0" w:color="auto"/>
                <w:right w:val="none" w:sz="0" w:space="0" w:color="auto"/>
              </w:divBdr>
            </w:div>
          </w:divsChild>
        </w:div>
        <w:div w:id="1709068257">
          <w:marLeft w:val="0"/>
          <w:marRight w:val="0"/>
          <w:marTop w:val="0"/>
          <w:marBottom w:val="0"/>
          <w:divBdr>
            <w:top w:val="none" w:sz="0" w:space="0" w:color="auto"/>
            <w:left w:val="none" w:sz="0" w:space="0" w:color="auto"/>
            <w:bottom w:val="none" w:sz="0" w:space="0" w:color="auto"/>
            <w:right w:val="none" w:sz="0" w:space="0" w:color="auto"/>
          </w:divBdr>
          <w:divsChild>
            <w:div w:id="1750731172">
              <w:marLeft w:val="0"/>
              <w:marRight w:val="0"/>
              <w:marTop w:val="0"/>
              <w:marBottom w:val="0"/>
              <w:divBdr>
                <w:top w:val="none" w:sz="0" w:space="0" w:color="auto"/>
                <w:left w:val="none" w:sz="0" w:space="0" w:color="auto"/>
                <w:bottom w:val="none" w:sz="0" w:space="0" w:color="auto"/>
                <w:right w:val="none" w:sz="0" w:space="0" w:color="auto"/>
              </w:divBdr>
            </w:div>
          </w:divsChild>
        </w:div>
        <w:div w:id="1709406894">
          <w:marLeft w:val="0"/>
          <w:marRight w:val="0"/>
          <w:marTop w:val="0"/>
          <w:marBottom w:val="0"/>
          <w:divBdr>
            <w:top w:val="none" w:sz="0" w:space="0" w:color="auto"/>
            <w:left w:val="none" w:sz="0" w:space="0" w:color="auto"/>
            <w:bottom w:val="none" w:sz="0" w:space="0" w:color="auto"/>
            <w:right w:val="none" w:sz="0" w:space="0" w:color="auto"/>
          </w:divBdr>
          <w:divsChild>
            <w:div w:id="1993943212">
              <w:marLeft w:val="0"/>
              <w:marRight w:val="0"/>
              <w:marTop w:val="0"/>
              <w:marBottom w:val="0"/>
              <w:divBdr>
                <w:top w:val="none" w:sz="0" w:space="0" w:color="auto"/>
                <w:left w:val="none" w:sz="0" w:space="0" w:color="auto"/>
                <w:bottom w:val="none" w:sz="0" w:space="0" w:color="auto"/>
                <w:right w:val="none" w:sz="0" w:space="0" w:color="auto"/>
              </w:divBdr>
            </w:div>
          </w:divsChild>
        </w:div>
        <w:div w:id="1718822144">
          <w:marLeft w:val="0"/>
          <w:marRight w:val="0"/>
          <w:marTop w:val="0"/>
          <w:marBottom w:val="0"/>
          <w:divBdr>
            <w:top w:val="none" w:sz="0" w:space="0" w:color="auto"/>
            <w:left w:val="none" w:sz="0" w:space="0" w:color="auto"/>
            <w:bottom w:val="none" w:sz="0" w:space="0" w:color="auto"/>
            <w:right w:val="none" w:sz="0" w:space="0" w:color="auto"/>
          </w:divBdr>
          <w:divsChild>
            <w:div w:id="1741244794">
              <w:marLeft w:val="0"/>
              <w:marRight w:val="0"/>
              <w:marTop w:val="0"/>
              <w:marBottom w:val="0"/>
              <w:divBdr>
                <w:top w:val="none" w:sz="0" w:space="0" w:color="auto"/>
                <w:left w:val="none" w:sz="0" w:space="0" w:color="auto"/>
                <w:bottom w:val="none" w:sz="0" w:space="0" w:color="auto"/>
                <w:right w:val="none" w:sz="0" w:space="0" w:color="auto"/>
              </w:divBdr>
            </w:div>
          </w:divsChild>
        </w:div>
        <w:div w:id="1735816163">
          <w:marLeft w:val="0"/>
          <w:marRight w:val="0"/>
          <w:marTop w:val="0"/>
          <w:marBottom w:val="0"/>
          <w:divBdr>
            <w:top w:val="none" w:sz="0" w:space="0" w:color="auto"/>
            <w:left w:val="none" w:sz="0" w:space="0" w:color="auto"/>
            <w:bottom w:val="none" w:sz="0" w:space="0" w:color="auto"/>
            <w:right w:val="none" w:sz="0" w:space="0" w:color="auto"/>
          </w:divBdr>
          <w:divsChild>
            <w:div w:id="813061355">
              <w:marLeft w:val="0"/>
              <w:marRight w:val="0"/>
              <w:marTop w:val="0"/>
              <w:marBottom w:val="0"/>
              <w:divBdr>
                <w:top w:val="none" w:sz="0" w:space="0" w:color="auto"/>
                <w:left w:val="none" w:sz="0" w:space="0" w:color="auto"/>
                <w:bottom w:val="none" w:sz="0" w:space="0" w:color="auto"/>
                <w:right w:val="none" w:sz="0" w:space="0" w:color="auto"/>
              </w:divBdr>
            </w:div>
          </w:divsChild>
        </w:div>
        <w:div w:id="1736204393">
          <w:marLeft w:val="0"/>
          <w:marRight w:val="0"/>
          <w:marTop w:val="0"/>
          <w:marBottom w:val="0"/>
          <w:divBdr>
            <w:top w:val="none" w:sz="0" w:space="0" w:color="auto"/>
            <w:left w:val="none" w:sz="0" w:space="0" w:color="auto"/>
            <w:bottom w:val="none" w:sz="0" w:space="0" w:color="auto"/>
            <w:right w:val="none" w:sz="0" w:space="0" w:color="auto"/>
          </w:divBdr>
          <w:divsChild>
            <w:div w:id="1697849619">
              <w:marLeft w:val="0"/>
              <w:marRight w:val="0"/>
              <w:marTop w:val="0"/>
              <w:marBottom w:val="0"/>
              <w:divBdr>
                <w:top w:val="none" w:sz="0" w:space="0" w:color="auto"/>
                <w:left w:val="none" w:sz="0" w:space="0" w:color="auto"/>
                <w:bottom w:val="none" w:sz="0" w:space="0" w:color="auto"/>
                <w:right w:val="none" w:sz="0" w:space="0" w:color="auto"/>
              </w:divBdr>
            </w:div>
          </w:divsChild>
        </w:div>
        <w:div w:id="1738279285">
          <w:marLeft w:val="0"/>
          <w:marRight w:val="0"/>
          <w:marTop w:val="0"/>
          <w:marBottom w:val="0"/>
          <w:divBdr>
            <w:top w:val="none" w:sz="0" w:space="0" w:color="auto"/>
            <w:left w:val="none" w:sz="0" w:space="0" w:color="auto"/>
            <w:bottom w:val="none" w:sz="0" w:space="0" w:color="auto"/>
            <w:right w:val="none" w:sz="0" w:space="0" w:color="auto"/>
          </w:divBdr>
          <w:divsChild>
            <w:div w:id="969822009">
              <w:marLeft w:val="0"/>
              <w:marRight w:val="0"/>
              <w:marTop w:val="0"/>
              <w:marBottom w:val="0"/>
              <w:divBdr>
                <w:top w:val="none" w:sz="0" w:space="0" w:color="auto"/>
                <w:left w:val="none" w:sz="0" w:space="0" w:color="auto"/>
                <w:bottom w:val="none" w:sz="0" w:space="0" w:color="auto"/>
                <w:right w:val="none" w:sz="0" w:space="0" w:color="auto"/>
              </w:divBdr>
            </w:div>
          </w:divsChild>
        </w:div>
        <w:div w:id="1740518611">
          <w:marLeft w:val="0"/>
          <w:marRight w:val="0"/>
          <w:marTop w:val="0"/>
          <w:marBottom w:val="0"/>
          <w:divBdr>
            <w:top w:val="none" w:sz="0" w:space="0" w:color="auto"/>
            <w:left w:val="none" w:sz="0" w:space="0" w:color="auto"/>
            <w:bottom w:val="none" w:sz="0" w:space="0" w:color="auto"/>
            <w:right w:val="none" w:sz="0" w:space="0" w:color="auto"/>
          </w:divBdr>
          <w:divsChild>
            <w:div w:id="1043601609">
              <w:marLeft w:val="0"/>
              <w:marRight w:val="0"/>
              <w:marTop w:val="0"/>
              <w:marBottom w:val="0"/>
              <w:divBdr>
                <w:top w:val="none" w:sz="0" w:space="0" w:color="auto"/>
                <w:left w:val="none" w:sz="0" w:space="0" w:color="auto"/>
                <w:bottom w:val="none" w:sz="0" w:space="0" w:color="auto"/>
                <w:right w:val="none" w:sz="0" w:space="0" w:color="auto"/>
              </w:divBdr>
            </w:div>
          </w:divsChild>
        </w:div>
        <w:div w:id="1742873096">
          <w:marLeft w:val="0"/>
          <w:marRight w:val="0"/>
          <w:marTop w:val="0"/>
          <w:marBottom w:val="0"/>
          <w:divBdr>
            <w:top w:val="none" w:sz="0" w:space="0" w:color="auto"/>
            <w:left w:val="none" w:sz="0" w:space="0" w:color="auto"/>
            <w:bottom w:val="none" w:sz="0" w:space="0" w:color="auto"/>
            <w:right w:val="none" w:sz="0" w:space="0" w:color="auto"/>
          </w:divBdr>
          <w:divsChild>
            <w:div w:id="1602683593">
              <w:marLeft w:val="0"/>
              <w:marRight w:val="0"/>
              <w:marTop w:val="0"/>
              <w:marBottom w:val="0"/>
              <w:divBdr>
                <w:top w:val="none" w:sz="0" w:space="0" w:color="auto"/>
                <w:left w:val="none" w:sz="0" w:space="0" w:color="auto"/>
                <w:bottom w:val="none" w:sz="0" w:space="0" w:color="auto"/>
                <w:right w:val="none" w:sz="0" w:space="0" w:color="auto"/>
              </w:divBdr>
            </w:div>
          </w:divsChild>
        </w:div>
        <w:div w:id="1743065381">
          <w:marLeft w:val="0"/>
          <w:marRight w:val="0"/>
          <w:marTop w:val="0"/>
          <w:marBottom w:val="0"/>
          <w:divBdr>
            <w:top w:val="none" w:sz="0" w:space="0" w:color="auto"/>
            <w:left w:val="none" w:sz="0" w:space="0" w:color="auto"/>
            <w:bottom w:val="none" w:sz="0" w:space="0" w:color="auto"/>
            <w:right w:val="none" w:sz="0" w:space="0" w:color="auto"/>
          </w:divBdr>
          <w:divsChild>
            <w:div w:id="602224466">
              <w:marLeft w:val="0"/>
              <w:marRight w:val="0"/>
              <w:marTop w:val="0"/>
              <w:marBottom w:val="0"/>
              <w:divBdr>
                <w:top w:val="none" w:sz="0" w:space="0" w:color="auto"/>
                <w:left w:val="none" w:sz="0" w:space="0" w:color="auto"/>
                <w:bottom w:val="none" w:sz="0" w:space="0" w:color="auto"/>
                <w:right w:val="none" w:sz="0" w:space="0" w:color="auto"/>
              </w:divBdr>
            </w:div>
          </w:divsChild>
        </w:div>
        <w:div w:id="1748381170">
          <w:marLeft w:val="0"/>
          <w:marRight w:val="0"/>
          <w:marTop w:val="0"/>
          <w:marBottom w:val="0"/>
          <w:divBdr>
            <w:top w:val="none" w:sz="0" w:space="0" w:color="auto"/>
            <w:left w:val="none" w:sz="0" w:space="0" w:color="auto"/>
            <w:bottom w:val="none" w:sz="0" w:space="0" w:color="auto"/>
            <w:right w:val="none" w:sz="0" w:space="0" w:color="auto"/>
          </w:divBdr>
          <w:divsChild>
            <w:div w:id="1492403224">
              <w:marLeft w:val="0"/>
              <w:marRight w:val="0"/>
              <w:marTop w:val="0"/>
              <w:marBottom w:val="0"/>
              <w:divBdr>
                <w:top w:val="none" w:sz="0" w:space="0" w:color="auto"/>
                <w:left w:val="none" w:sz="0" w:space="0" w:color="auto"/>
                <w:bottom w:val="none" w:sz="0" w:space="0" w:color="auto"/>
                <w:right w:val="none" w:sz="0" w:space="0" w:color="auto"/>
              </w:divBdr>
            </w:div>
          </w:divsChild>
        </w:div>
        <w:div w:id="1752042150">
          <w:marLeft w:val="0"/>
          <w:marRight w:val="0"/>
          <w:marTop w:val="0"/>
          <w:marBottom w:val="0"/>
          <w:divBdr>
            <w:top w:val="none" w:sz="0" w:space="0" w:color="auto"/>
            <w:left w:val="none" w:sz="0" w:space="0" w:color="auto"/>
            <w:bottom w:val="none" w:sz="0" w:space="0" w:color="auto"/>
            <w:right w:val="none" w:sz="0" w:space="0" w:color="auto"/>
          </w:divBdr>
          <w:divsChild>
            <w:div w:id="1184634464">
              <w:marLeft w:val="0"/>
              <w:marRight w:val="0"/>
              <w:marTop w:val="0"/>
              <w:marBottom w:val="0"/>
              <w:divBdr>
                <w:top w:val="none" w:sz="0" w:space="0" w:color="auto"/>
                <w:left w:val="none" w:sz="0" w:space="0" w:color="auto"/>
                <w:bottom w:val="none" w:sz="0" w:space="0" w:color="auto"/>
                <w:right w:val="none" w:sz="0" w:space="0" w:color="auto"/>
              </w:divBdr>
            </w:div>
          </w:divsChild>
        </w:div>
        <w:div w:id="1752700640">
          <w:marLeft w:val="0"/>
          <w:marRight w:val="0"/>
          <w:marTop w:val="0"/>
          <w:marBottom w:val="0"/>
          <w:divBdr>
            <w:top w:val="none" w:sz="0" w:space="0" w:color="auto"/>
            <w:left w:val="none" w:sz="0" w:space="0" w:color="auto"/>
            <w:bottom w:val="none" w:sz="0" w:space="0" w:color="auto"/>
            <w:right w:val="none" w:sz="0" w:space="0" w:color="auto"/>
          </w:divBdr>
          <w:divsChild>
            <w:div w:id="1561280416">
              <w:marLeft w:val="0"/>
              <w:marRight w:val="0"/>
              <w:marTop w:val="0"/>
              <w:marBottom w:val="0"/>
              <w:divBdr>
                <w:top w:val="none" w:sz="0" w:space="0" w:color="auto"/>
                <w:left w:val="none" w:sz="0" w:space="0" w:color="auto"/>
                <w:bottom w:val="none" w:sz="0" w:space="0" w:color="auto"/>
                <w:right w:val="none" w:sz="0" w:space="0" w:color="auto"/>
              </w:divBdr>
            </w:div>
          </w:divsChild>
        </w:div>
        <w:div w:id="1755587386">
          <w:marLeft w:val="0"/>
          <w:marRight w:val="0"/>
          <w:marTop w:val="0"/>
          <w:marBottom w:val="0"/>
          <w:divBdr>
            <w:top w:val="none" w:sz="0" w:space="0" w:color="auto"/>
            <w:left w:val="none" w:sz="0" w:space="0" w:color="auto"/>
            <w:bottom w:val="none" w:sz="0" w:space="0" w:color="auto"/>
            <w:right w:val="none" w:sz="0" w:space="0" w:color="auto"/>
          </w:divBdr>
          <w:divsChild>
            <w:div w:id="370231797">
              <w:marLeft w:val="0"/>
              <w:marRight w:val="0"/>
              <w:marTop w:val="0"/>
              <w:marBottom w:val="0"/>
              <w:divBdr>
                <w:top w:val="none" w:sz="0" w:space="0" w:color="auto"/>
                <w:left w:val="none" w:sz="0" w:space="0" w:color="auto"/>
                <w:bottom w:val="none" w:sz="0" w:space="0" w:color="auto"/>
                <w:right w:val="none" w:sz="0" w:space="0" w:color="auto"/>
              </w:divBdr>
            </w:div>
          </w:divsChild>
        </w:div>
        <w:div w:id="1756240380">
          <w:marLeft w:val="0"/>
          <w:marRight w:val="0"/>
          <w:marTop w:val="0"/>
          <w:marBottom w:val="0"/>
          <w:divBdr>
            <w:top w:val="none" w:sz="0" w:space="0" w:color="auto"/>
            <w:left w:val="none" w:sz="0" w:space="0" w:color="auto"/>
            <w:bottom w:val="none" w:sz="0" w:space="0" w:color="auto"/>
            <w:right w:val="none" w:sz="0" w:space="0" w:color="auto"/>
          </w:divBdr>
          <w:divsChild>
            <w:div w:id="829441221">
              <w:marLeft w:val="0"/>
              <w:marRight w:val="0"/>
              <w:marTop w:val="0"/>
              <w:marBottom w:val="0"/>
              <w:divBdr>
                <w:top w:val="none" w:sz="0" w:space="0" w:color="auto"/>
                <w:left w:val="none" w:sz="0" w:space="0" w:color="auto"/>
                <w:bottom w:val="none" w:sz="0" w:space="0" w:color="auto"/>
                <w:right w:val="none" w:sz="0" w:space="0" w:color="auto"/>
              </w:divBdr>
            </w:div>
          </w:divsChild>
        </w:div>
        <w:div w:id="1758284354">
          <w:marLeft w:val="0"/>
          <w:marRight w:val="0"/>
          <w:marTop w:val="0"/>
          <w:marBottom w:val="0"/>
          <w:divBdr>
            <w:top w:val="none" w:sz="0" w:space="0" w:color="auto"/>
            <w:left w:val="none" w:sz="0" w:space="0" w:color="auto"/>
            <w:bottom w:val="none" w:sz="0" w:space="0" w:color="auto"/>
            <w:right w:val="none" w:sz="0" w:space="0" w:color="auto"/>
          </w:divBdr>
          <w:divsChild>
            <w:div w:id="1526362533">
              <w:marLeft w:val="0"/>
              <w:marRight w:val="0"/>
              <w:marTop w:val="0"/>
              <w:marBottom w:val="0"/>
              <w:divBdr>
                <w:top w:val="none" w:sz="0" w:space="0" w:color="auto"/>
                <w:left w:val="none" w:sz="0" w:space="0" w:color="auto"/>
                <w:bottom w:val="none" w:sz="0" w:space="0" w:color="auto"/>
                <w:right w:val="none" w:sz="0" w:space="0" w:color="auto"/>
              </w:divBdr>
            </w:div>
          </w:divsChild>
        </w:div>
        <w:div w:id="1763136770">
          <w:marLeft w:val="0"/>
          <w:marRight w:val="0"/>
          <w:marTop w:val="0"/>
          <w:marBottom w:val="0"/>
          <w:divBdr>
            <w:top w:val="none" w:sz="0" w:space="0" w:color="auto"/>
            <w:left w:val="none" w:sz="0" w:space="0" w:color="auto"/>
            <w:bottom w:val="none" w:sz="0" w:space="0" w:color="auto"/>
            <w:right w:val="none" w:sz="0" w:space="0" w:color="auto"/>
          </w:divBdr>
          <w:divsChild>
            <w:div w:id="553204543">
              <w:marLeft w:val="0"/>
              <w:marRight w:val="0"/>
              <w:marTop w:val="0"/>
              <w:marBottom w:val="0"/>
              <w:divBdr>
                <w:top w:val="none" w:sz="0" w:space="0" w:color="auto"/>
                <w:left w:val="none" w:sz="0" w:space="0" w:color="auto"/>
                <w:bottom w:val="none" w:sz="0" w:space="0" w:color="auto"/>
                <w:right w:val="none" w:sz="0" w:space="0" w:color="auto"/>
              </w:divBdr>
            </w:div>
          </w:divsChild>
        </w:div>
        <w:div w:id="1763256438">
          <w:marLeft w:val="0"/>
          <w:marRight w:val="0"/>
          <w:marTop w:val="0"/>
          <w:marBottom w:val="0"/>
          <w:divBdr>
            <w:top w:val="none" w:sz="0" w:space="0" w:color="auto"/>
            <w:left w:val="none" w:sz="0" w:space="0" w:color="auto"/>
            <w:bottom w:val="none" w:sz="0" w:space="0" w:color="auto"/>
            <w:right w:val="none" w:sz="0" w:space="0" w:color="auto"/>
          </w:divBdr>
          <w:divsChild>
            <w:div w:id="1315910329">
              <w:marLeft w:val="0"/>
              <w:marRight w:val="0"/>
              <w:marTop w:val="0"/>
              <w:marBottom w:val="0"/>
              <w:divBdr>
                <w:top w:val="none" w:sz="0" w:space="0" w:color="auto"/>
                <w:left w:val="none" w:sz="0" w:space="0" w:color="auto"/>
                <w:bottom w:val="none" w:sz="0" w:space="0" w:color="auto"/>
                <w:right w:val="none" w:sz="0" w:space="0" w:color="auto"/>
              </w:divBdr>
            </w:div>
          </w:divsChild>
        </w:div>
        <w:div w:id="1769275945">
          <w:marLeft w:val="0"/>
          <w:marRight w:val="0"/>
          <w:marTop w:val="0"/>
          <w:marBottom w:val="0"/>
          <w:divBdr>
            <w:top w:val="none" w:sz="0" w:space="0" w:color="auto"/>
            <w:left w:val="none" w:sz="0" w:space="0" w:color="auto"/>
            <w:bottom w:val="none" w:sz="0" w:space="0" w:color="auto"/>
            <w:right w:val="none" w:sz="0" w:space="0" w:color="auto"/>
          </w:divBdr>
          <w:divsChild>
            <w:div w:id="1257861150">
              <w:marLeft w:val="0"/>
              <w:marRight w:val="0"/>
              <w:marTop w:val="0"/>
              <w:marBottom w:val="0"/>
              <w:divBdr>
                <w:top w:val="none" w:sz="0" w:space="0" w:color="auto"/>
                <w:left w:val="none" w:sz="0" w:space="0" w:color="auto"/>
                <w:bottom w:val="none" w:sz="0" w:space="0" w:color="auto"/>
                <w:right w:val="none" w:sz="0" w:space="0" w:color="auto"/>
              </w:divBdr>
            </w:div>
          </w:divsChild>
        </w:div>
        <w:div w:id="1772123266">
          <w:marLeft w:val="0"/>
          <w:marRight w:val="0"/>
          <w:marTop w:val="0"/>
          <w:marBottom w:val="0"/>
          <w:divBdr>
            <w:top w:val="none" w:sz="0" w:space="0" w:color="auto"/>
            <w:left w:val="none" w:sz="0" w:space="0" w:color="auto"/>
            <w:bottom w:val="none" w:sz="0" w:space="0" w:color="auto"/>
            <w:right w:val="none" w:sz="0" w:space="0" w:color="auto"/>
          </w:divBdr>
          <w:divsChild>
            <w:div w:id="1694957794">
              <w:marLeft w:val="0"/>
              <w:marRight w:val="0"/>
              <w:marTop w:val="0"/>
              <w:marBottom w:val="0"/>
              <w:divBdr>
                <w:top w:val="none" w:sz="0" w:space="0" w:color="auto"/>
                <w:left w:val="none" w:sz="0" w:space="0" w:color="auto"/>
                <w:bottom w:val="none" w:sz="0" w:space="0" w:color="auto"/>
                <w:right w:val="none" w:sz="0" w:space="0" w:color="auto"/>
              </w:divBdr>
            </w:div>
          </w:divsChild>
        </w:div>
        <w:div w:id="1775204953">
          <w:marLeft w:val="0"/>
          <w:marRight w:val="0"/>
          <w:marTop w:val="0"/>
          <w:marBottom w:val="0"/>
          <w:divBdr>
            <w:top w:val="none" w:sz="0" w:space="0" w:color="auto"/>
            <w:left w:val="none" w:sz="0" w:space="0" w:color="auto"/>
            <w:bottom w:val="none" w:sz="0" w:space="0" w:color="auto"/>
            <w:right w:val="none" w:sz="0" w:space="0" w:color="auto"/>
          </w:divBdr>
          <w:divsChild>
            <w:div w:id="891499947">
              <w:marLeft w:val="0"/>
              <w:marRight w:val="0"/>
              <w:marTop w:val="0"/>
              <w:marBottom w:val="0"/>
              <w:divBdr>
                <w:top w:val="none" w:sz="0" w:space="0" w:color="auto"/>
                <w:left w:val="none" w:sz="0" w:space="0" w:color="auto"/>
                <w:bottom w:val="none" w:sz="0" w:space="0" w:color="auto"/>
                <w:right w:val="none" w:sz="0" w:space="0" w:color="auto"/>
              </w:divBdr>
            </w:div>
          </w:divsChild>
        </w:div>
        <w:div w:id="1779442901">
          <w:marLeft w:val="0"/>
          <w:marRight w:val="0"/>
          <w:marTop w:val="0"/>
          <w:marBottom w:val="0"/>
          <w:divBdr>
            <w:top w:val="none" w:sz="0" w:space="0" w:color="auto"/>
            <w:left w:val="none" w:sz="0" w:space="0" w:color="auto"/>
            <w:bottom w:val="none" w:sz="0" w:space="0" w:color="auto"/>
            <w:right w:val="none" w:sz="0" w:space="0" w:color="auto"/>
          </w:divBdr>
          <w:divsChild>
            <w:div w:id="1685597797">
              <w:marLeft w:val="0"/>
              <w:marRight w:val="0"/>
              <w:marTop w:val="0"/>
              <w:marBottom w:val="0"/>
              <w:divBdr>
                <w:top w:val="none" w:sz="0" w:space="0" w:color="auto"/>
                <w:left w:val="none" w:sz="0" w:space="0" w:color="auto"/>
                <w:bottom w:val="none" w:sz="0" w:space="0" w:color="auto"/>
                <w:right w:val="none" w:sz="0" w:space="0" w:color="auto"/>
              </w:divBdr>
            </w:div>
          </w:divsChild>
        </w:div>
        <w:div w:id="1780294730">
          <w:marLeft w:val="0"/>
          <w:marRight w:val="0"/>
          <w:marTop w:val="0"/>
          <w:marBottom w:val="0"/>
          <w:divBdr>
            <w:top w:val="none" w:sz="0" w:space="0" w:color="auto"/>
            <w:left w:val="none" w:sz="0" w:space="0" w:color="auto"/>
            <w:bottom w:val="none" w:sz="0" w:space="0" w:color="auto"/>
            <w:right w:val="none" w:sz="0" w:space="0" w:color="auto"/>
          </w:divBdr>
          <w:divsChild>
            <w:div w:id="194464209">
              <w:marLeft w:val="0"/>
              <w:marRight w:val="0"/>
              <w:marTop w:val="0"/>
              <w:marBottom w:val="0"/>
              <w:divBdr>
                <w:top w:val="none" w:sz="0" w:space="0" w:color="auto"/>
                <w:left w:val="none" w:sz="0" w:space="0" w:color="auto"/>
                <w:bottom w:val="none" w:sz="0" w:space="0" w:color="auto"/>
                <w:right w:val="none" w:sz="0" w:space="0" w:color="auto"/>
              </w:divBdr>
            </w:div>
          </w:divsChild>
        </w:div>
        <w:div w:id="1781294033">
          <w:marLeft w:val="0"/>
          <w:marRight w:val="0"/>
          <w:marTop w:val="0"/>
          <w:marBottom w:val="0"/>
          <w:divBdr>
            <w:top w:val="none" w:sz="0" w:space="0" w:color="auto"/>
            <w:left w:val="none" w:sz="0" w:space="0" w:color="auto"/>
            <w:bottom w:val="none" w:sz="0" w:space="0" w:color="auto"/>
            <w:right w:val="none" w:sz="0" w:space="0" w:color="auto"/>
          </w:divBdr>
          <w:divsChild>
            <w:div w:id="855271591">
              <w:marLeft w:val="0"/>
              <w:marRight w:val="0"/>
              <w:marTop w:val="0"/>
              <w:marBottom w:val="0"/>
              <w:divBdr>
                <w:top w:val="none" w:sz="0" w:space="0" w:color="auto"/>
                <w:left w:val="none" w:sz="0" w:space="0" w:color="auto"/>
                <w:bottom w:val="none" w:sz="0" w:space="0" w:color="auto"/>
                <w:right w:val="none" w:sz="0" w:space="0" w:color="auto"/>
              </w:divBdr>
            </w:div>
          </w:divsChild>
        </w:div>
        <w:div w:id="1784955995">
          <w:marLeft w:val="0"/>
          <w:marRight w:val="0"/>
          <w:marTop w:val="0"/>
          <w:marBottom w:val="0"/>
          <w:divBdr>
            <w:top w:val="none" w:sz="0" w:space="0" w:color="auto"/>
            <w:left w:val="none" w:sz="0" w:space="0" w:color="auto"/>
            <w:bottom w:val="none" w:sz="0" w:space="0" w:color="auto"/>
            <w:right w:val="none" w:sz="0" w:space="0" w:color="auto"/>
          </w:divBdr>
          <w:divsChild>
            <w:div w:id="141433967">
              <w:marLeft w:val="0"/>
              <w:marRight w:val="0"/>
              <w:marTop w:val="0"/>
              <w:marBottom w:val="0"/>
              <w:divBdr>
                <w:top w:val="none" w:sz="0" w:space="0" w:color="auto"/>
                <w:left w:val="none" w:sz="0" w:space="0" w:color="auto"/>
                <w:bottom w:val="none" w:sz="0" w:space="0" w:color="auto"/>
                <w:right w:val="none" w:sz="0" w:space="0" w:color="auto"/>
              </w:divBdr>
            </w:div>
          </w:divsChild>
        </w:div>
        <w:div w:id="1790978124">
          <w:marLeft w:val="0"/>
          <w:marRight w:val="0"/>
          <w:marTop w:val="0"/>
          <w:marBottom w:val="0"/>
          <w:divBdr>
            <w:top w:val="none" w:sz="0" w:space="0" w:color="auto"/>
            <w:left w:val="none" w:sz="0" w:space="0" w:color="auto"/>
            <w:bottom w:val="none" w:sz="0" w:space="0" w:color="auto"/>
            <w:right w:val="none" w:sz="0" w:space="0" w:color="auto"/>
          </w:divBdr>
          <w:divsChild>
            <w:div w:id="810901060">
              <w:marLeft w:val="0"/>
              <w:marRight w:val="0"/>
              <w:marTop w:val="0"/>
              <w:marBottom w:val="0"/>
              <w:divBdr>
                <w:top w:val="none" w:sz="0" w:space="0" w:color="auto"/>
                <w:left w:val="none" w:sz="0" w:space="0" w:color="auto"/>
                <w:bottom w:val="none" w:sz="0" w:space="0" w:color="auto"/>
                <w:right w:val="none" w:sz="0" w:space="0" w:color="auto"/>
              </w:divBdr>
            </w:div>
          </w:divsChild>
        </w:div>
        <w:div w:id="1795059096">
          <w:marLeft w:val="0"/>
          <w:marRight w:val="0"/>
          <w:marTop w:val="0"/>
          <w:marBottom w:val="0"/>
          <w:divBdr>
            <w:top w:val="none" w:sz="0" w:space="0" w:color="auto"/>
            <w:left w:val="none" w:sz="0" w:space="0" w:color="auto"/>
            <w:bottom w:val="none" w:sz="0" w:space="0" w:color="auto"/>
            <w:right w:val="none" w:sz="0" w:space="0" w:color="auto"/>
          </w:divBdr>
          <w:divsChild>
            <w:div w:id="391775265">
              <w:marLeft w:val="0"/>
              <w:marRight w:val="0"/>
              <w:marTop w:val="0"/>
              <w:marBottom w:val="0"/>
              <w:divBdr>
                <w:top w:val="none" w:sz="0" w:space="0" w:color="auto"/>
                <w:left w:val="none" w:sz="0" w:space="0" w:color="auto"/>
                <w:bottom w:val="none" w:sz="0" w:space="0" w:color="auto"/>
                <w:right w:val="none" w:sz="0" w:space="0" w:color="auto"/>
              </w:divBdr>
            </w:div>
          </w:divsChild>
        </w:div>
        <w:div w:id="1797483490">
          <w:marLeft w:val="0"/>
          <w:marRight w:val="0"/>
          <w:marTop w:val="0"/>
          <w:marBottom w:val="0"/>
          <w:divBdr>
            <w:top w:val="none" w:sz="0" w:space="0" w:color="auto"/>
            <w:left w:val="none" w:sz="0" w:space="0" w:color="auto"/>
            <w:bottom w:val="none" w:sz="0" w:space="0" w:color="auto"/>
            <w:right w:val="none" w:sz="0" w:space="0" w:color="auto"/>
          </w:divBdr>
          <w:divsChild>
            <w:div w:id="616523966">
              <w:marLeft w:val="0"/>
              <w:marRight w:val="0"/>
              <w:marTop w:val="0"/>
              <w:marBottom w:val="0"/>
              <w:divBdr>
                <w:top w:val="none" w:sz="0" w:space="0" w:color="auto"/>
                <w:left w:val="none" w:sz="0" w:space="0" w:color="auto"/>
                <w:bottom w:val="none" w:sz="0" w:space="0" w:color="auto"/>
                <w:right w:val="none" w:sz="0" w:space="0" w:color="auto"/>
              </w:divBdr>
            </w:div>
          </w:divsChild>
        </w:div>
        <w:div w:id="1797485438">
          <w:marLeft w:val="0"/>
          <w:marRight w:val="0"/>
          <w:marTop w:val="0"/>
          <w:marBottom w:val="0"/>
          <w:divBdr>
            <w:top w:val="none" w:sz="0" w:space="0" w:color="auto"/>
            <w:left w:val="none" w:sz="0" w:space="0" w:color="auto"/>
            <w:bottom w:val="none" w:sz="0" w:space="0" w:color="auto"/>
            <w:right w:val="none" w:sz="0" w:space="0" w:color="auto"/>
          </w:divBdr>
          <w:divsChild>
            <w:div w:id="1407338837">
              <w:marLeft w:val="0"/>
              <w:marRight w:val="0"/>
              <w:marTop w:val="0"/>
              <w:marBottom w:val="0"/>
              <w:divBdr>
                <w:top w:val="none" w:sz="0" w:space="0" w:color="auto"/>
                <w:left w:val="none" w:sz="0" w:space="0" w:color="auto"/>
                <w:bottom w:val="none" w:sz="0" w:space="0" w:color="auto"/>
                <w:right w:val="none" w:sz="0" w:space="0" w:color="auto"/>
              </w:divBdr>
            </w:div>
          </w:divsChild>
        </w:div>
        <w:div w:id="1797794476">
          <w:marLeft w:val="0"/>
          <w:marRight w:val="0"/>
          <w:marTop w:val="0"/>
          <w:marBottom w:val="0"/>
          <w:divBdr>
            <w:top w:val="none" w:sz="0" w:space="0" w:color="auto"/>
            <w:left w:val="none" w:sz="0" w:space="0" w:color="auto"/>
            <w:bottom w:val="none" w:sz="0" w:space="0" w:color="auto"/>
            <w:right w:val="none" w:sz="0" w:space="0" w:color="auto"/>
          </w:divBdr>
          <w:divsChild>
            <w:div w:id="1542867038">
              <w:marLeft w:val="0"/>
              <w:marRight w:val="0"/>
              <w:marTop w:val="0"/>
              <w:marBottom w:val="0"/>
              <w:divBdr>
                <w:top w:val="none" w:sz="0" w:space="0" w:color="auto"/>
                <w:left w:val="none" w:sz="0" w:space="0" w:color="auto"/>
                <w:bottom w:val="none" w:sz="0" w:space="0" w:color="auto"/>
                <w:right w:val="none" w:sz="0" w:space="0" w:color="auto"/>
              </w:divBdr>
            </w:div>
          </w:divsChild>
        </w:div>
        <w:div w:id="1798523326">
          <w:marLeft w:val="0"/>
          <w:marRight w:val="0"/>
          <w:marTop w:val="0"/>
          <w:marBottom w:val="0"/>
          <w:divBdr>
            <w:top w:val="none" w:sz="0" w:space="0" w:color="auto"/>
            <w:left w:val="none" w:sz="0" w:space="0" w:color="auto"/>
            <w:bottom w:val="none" w:sz="0" w:space="0" w:color="auto"/>
            <w:right w:val="none" w:sz="0" w:space="0" w:color="auto"/>
          </w:divBdr>
          <w:divsChild>
            <w:div w:id="976569909">
              <w:marLeft w:val="0"/>
              <w:marRight w:val="0"/>
              <w:marTop w:val="0"/>
              <w:marBottom w:val="0"/>
              <w:divBdr>
                <w:top w:val="none" w:sz="0" w:space="0" w:color="auto"/>
                <w:left w:val="none" w:sz="0" w:space="0" w:color="auto"/>
                <w:bottom w:val="none" w:sz="0" w:space="0" w:color="auto"/>
                <w:right w:val="none" w:sz="0" w:space="0" w:color="auto"/>
              </w:divBdr>
            </w:div>
          </w:divsChild>
        </w:div>
        <w:div w:id="1807622974">
          <w:marLeft w:val="0"/>
          <w:marRight w:val="0"/>
          <w:marTop w:val="0"/>
          <w:marBottom w:val="0"/>
          <w:divBdr>
            <w:top w:val="none" w:sz="0" w:space="0" w:color="auto"/>
            <w:left w:val="none" w:sz="0" w:space="0" w:color="auto"/>
            <w:bottom w:val="none" w:sz="0" w:space="0" w:color="auto"/>
            <w:right w:val="none" w:sz="0" w:space="0" w:color="auto"/>
          </w:divBdr>
          <w:divsChild>
            <w:div w:id="1194267308">
              <w:marLeft w:val="0"/>
              <w:marRight w:val="0"/>
              <w:marTop w:val="0"/>
              <w:marBottom w:val="0"/>
              <w:divBdr>
                <w:top w:val="none" w:sz="0" w:space="0" w:color="auto"/>
                <w:left w:val="none" w:sz="0" w:space="0" w:color="auto"/>
                <w:bottom w:val="none" w:sz="0" w:space="0" w:color="auto"/>
                <w:right w:val="none" w:sz="0" w:space="0" w:color="auto"/>
              </w:divBdr>
            </w:div>
          </w:divsChild>
        </w:div>
        <w:div w:id="1808552092">
          <w:marLeft w:val="0"/>
          <w:marRight w:val="0"/>
          <w:marTop w:val="0"/>
          <w:marBottom w:val="0"/>
          <w:divBdr>
            <w:top w:val="none" w:sz="0" w:space="0" w:color="auto"/>
            <w:left w:val="none" w:sz="0" w:space="0" w:color="auto"/>
            <w:bottom w:val="none" w:sz="0" w:space="0" w:color="auto"/>
            <w:right w:val="none" w:sz="0" w:space="0" w:color="auto"/>
          </w:divBdr>
          <w:divsChild>
            <w:div w:id="1446585015">
              <w:marLeft w:val="0"/>
              <w:marRight w:val="0"/>
              <w:marTop w:val="0"/>
              <w:marBottom w:val="0"/>
              <w:divBdr>
                <w:top w:val="none" w:sz="0" w:space="0" w:color="auto"/>
                <w:left w:val="none" w:sz="0" w:space="0" w:color="auto"/>
                <w:bottom w:val="none" w:sz="0" w:space="0" w:color="auto"/>
                <w:right w:val="none" w:sz="0" w:space="0" w:color="auto"/>
              </w:divBdr>
            </w:div>
          </w:divsChild>
        </w:div>
        <w:div w:id="1812793175">
          <w:marLeft w:val="0"/>
          <w:marRight w:val="0"/>
          <w:marTop w:val="0"/>
          <w:marBottom w:val="0"/>
          <w:divBdr>
            <w:top w:val="none" w:sz="0" w:space="0" w:color="auto"/>
            <w:left w:val="none" w:sz="0" w:space="0" w:color="auto"/>
            <w:bottom w:val="none" w:sz="0" w:space="0" w:color="auto"/>
            <w:right w:val="none" w:sz="0" w:space="0" w:color="auto"/>
          </w:divBdr>
          <w:divsChild>
            <w:div w:id="1655065148">
              <w:marLeft w:val="0"/>
              <w:marRight w:val="0"/>
              <w:marTop w:val="0"/>
              <w:marBottom w:val="0"/>
              <w:divBdr>
                <w:top w:val="none" w:sz="0" w:space="0" w:color="auto"/>
                <w:left w:val="none" w:sz="0" w:space="0" w:color="auto"/>
                <w:bottom w:val="none" w:sz="0" w:space="0" w:color="auto"/>
                <w:right w:val="none" w:sz="0" w:space="0" w:color="auto"/>
              </w:divBdr>
            </w:div>
          </w:divsChild>
        </w:div>
        <w:div w:id="1818716002">
          <w:marLeft w:val="0"/>
          <w:marRight w:val="0"/>
          <w:marTop w:val="0"/>
          <w:marBottom w:val="0"/>
          <w:divBdr>
            <w:top w:val="none" w:sz="0" w:space="0" w:color="auto"/>
            <w:left w:val="none" w:sz="0" w:space="0" w:color="auto"/>
            <w:bottom w:val="none" w:sz="0" w:space="0" w:color="auto"/>
            <w:right w:val="none" w:sz="0" w:space="0" w:color="auto"/>
          </w:divBdr>
          <w:divsChild>
            <w:div w:id="504562858">
              <w:marLeft w:val="0"/>
              <w:marRight w:val="0"/>
              <w:marTop w:val="0"/>
              <w:marBottom w:val="0"/>
              <w:divBdr>
                <w:top w:val="none" w:sz="0" w:space="0" w:color="auto"/>
                <w:left w:val="none" w:sz="0" w:space="0" w:color="auto"/>
                <w:bottom w:val="none" w:sz="0" w:space="0" w:color="auto"/>
                <w:right w:val="none" w:sz="0" w:space="0" w:color="auto"/>
              </w:divBdr>
            </w:div>
          </w:divsChild>
        </w:div>
        <w:div w:id="1819223355">
          <w:marLeft w:val="0"/>
          <w:marRight w:val="0"/>
          <w:marTop w:val="0"/>
          <w:marBottom w:val="0"/>
          <w:divBdr>
            <w:top w:val="none" w:sz="0" w:space="0" w:color="auto"/>
            <w:left w:val="none" w:sz="0" w:space="0" w:color="auto"/>
            <w:bottom w:val="none" w:sz="0" w:space="0" w:color="auto"/>
            <w:right w:val="none" w:sz="0" w:space="0" w:color="auto"/>
          </w:divBdr>
          <w:divsChild>
            <w:div w:id="2057270740">
              <w:marLeft w:val="0"/>
              <w:marRight w:val="0"/>
              <w:marTop w:val="0"/>
              <w:marBottom w:val="0"/>
              <w:divBdr>
                <w:top w:val="none" w:sz="0" w:space="0" w:color="auto"/>
                <w:left w:val="none" w:sz="0" w:space="0" w:color="auto"/>
                <w:bottom w:val="none" w:sz="0" w:space="0" w:color="auto"/>
                <w:right w:val="none" w:sz="0" w:space="0" w:color="auto"/>
              </w:divBdr>
            </w:div>
          </w:divsChild>
        </w:div>
        <w:div w:id="1820224494">
          <w:marLeft w:val="0"/>
          <w:marRight w:val="0"/>
          <w:marTop w:val="0"/>
          <w:marBottom w:val="0"/>
          <w:divBdr>
            <w:top w:val="none" w:sz="0" w:space="0" w:color="auto"/>
            <w:left w:val="none" w:sz="0" w:space="0" w:color="auto"/>
            <w:bottom w:val="none" w:sz="0" w:space="0" w:color="auto"/>
            <w:right w:val="none" w:sz="0" w:space="0" w:color="auto"/>
          </w:divBdr>
          <w:divsChild>
            <w:div w:id="701825083">
              <w:marLeft w:val="0"/>
              <w:marRight w:val="0"/>
              <w:marTop w:val="0"/>
              <w:marBottom w:val="0"/>
              <w:divBdr>
                <w:top w:val="none" w:sz="0" w:space="0" w:color="auto"/>
                <w:left w:val="none" w:sz="0" w:space="0" w:color="auto"/>
                <w:bottom w:val="none" w:sz="0" w:space="0" w:color="auto"/>
                <w:right w:val="none" w:sz="0" w:space="0" w:color="auto"/>
              </w:divBdr>
            </w:div>
          </w:divsChild>
        </w:div>
        <w:div w:id="1829594427">
          <w:marLeft w:val="0"/>
          <w:marRight w:val="0"/>
          <w:marTop w:val="0"/>
          <w:marBottom w:val="0"/>
          <w:divBdr>
            <w:top w:val="none" w:sz="0" w:space="0" w:color="auto"/>
            <w:left w:val="none" w:sz="0" w:space="0" w:color="auto"/>
            <w:bottom w:val="none" w:sz="0" w:space="0" w:color="auto"/>
            <w:right w:val="none" w:sz="0" w:space="0" w:color="auto"/>
          </w:divBdr>
          <w:divsChild>
            <w:div w:id="420566422">
              <w:marLeft w:val="0"/>
              <w:marRight w:val="0"/>
              <w:marTop w:val="0"/>
              <w:marBottom w:val="0"/>
              <w:divBdr>
                <w:top w:val="none" w:sz="0" w:space="0" w:color="auto"/>
                <w:left w:val="none" w:sz="0" w:space="0" w:color="auto"/>
                <w:bottom w:val="none" w:sz="0" w:space="0" w:color="auto"/>
                <w:right w:val="none" w:sz="0" w:space="0" w:color="auto"/>
              </w:divBdr>
            </w:div>
          </w:divsChild>
        </w:div>
        <w:div w:id="1831405767">
          <w:marLeft w:val="0"/>
          <w:marRight w:val="0"/>
          <w:marTop w:val="0"/>
          <w:marBottom w:val="0"/>
          <w:divBdr>
            <w:top w:val="none" w:sz="0" w:space="0" w:color="auto"/>
            <w:left w:val="none" w:sz="0" w:space="0" w:color="auto"/>
            <w:bottom w:val="none" w:sz="0" w:space="0" w:color="auto"/>
            <w:right w:val="none" w:sz="0" w:space="0" w:color="auto"/>
          </w:divBdr>
          <w:divsChild>
            <w:div w:id="2071417080">
              <w:marLeft w:val="0"/>
              <w:marRight w:val="0"/>
              <w:marTop w:val="0"/>
              <w:marBottom w:val="0"/>
              <w:divBdr>
                <w:top w:val="none" w:sz="0" w:space="0" w:color="auto"/>
                <w:left w:val="none" w:sz="0" w:space="0" w:color="auto"/>
                <w:bottom w:val="none" w:sz="0" w:space="0" w:color="auto"/>
                <w:right w:val="none" w:sz="0" w:space="0" w:color="auto"/>
              </w:divBdr>
            </w:div>
          </w:divsChild>
        </w:div>
        <w:div w:id="1833520468">
          <w:marLeft w:val="0"/>
          <w:marRight w:val="0"/>
          <w:marTop w:val="0"/>
          <w:marBottom w:val="0"/>
          <w:divBdr>
            <w:top w:val="none" w:sz="0" w:space="0" w:color="auto"/>
            <w:left w:val="none" w:sz="0" w:space="0" w:color="auto"/>
            <w:bottom w:val="none" w:sz="0" w:space="0" w:color="auto"/>
            <w:right w:val="none" w:sz="0" w:space="0" w:color="auto"/>
          </w:divBdr>
          <w:divsChild>
            <w:div w:id="1441140950">
              <w:marLeft w:val="0"/>
              <w:marRight w:val="0"/>
              <w:marTop w:val="0"/>
              <w:marBottom w:val="0"/>
              <w:divBdr>
                <w:top w:val="none" w:sz="0" w:space="0" w:color="auto"/>
                <w:left w:val="none" w:sz="0" w:space="0" w:color="auto"/>
                <w:bottom w:val="none" w:sz="0" w:space="0" w:color="auto"/>
                <w:right w:val="none" w:sz="0" w:space="0" w:color="auto"/>
              </w:divBdr>
            </w:div>
          </w:divsChild>
        </w:div>
        <w:div w:id="1836262237">
          <w:marLeft w:val="0"/>
          <w:marRight w:val="0"/>
          <w:marTop w:val="0"/>
          <w:marBottom w:val="0"/>
          <w:divBdr>
            <w:top w:val="none" w:sz="0" w:space="0" w:color="auto"/>
            <w:left w:val="none" w:sz="0" w:space="0" w:color="auto"/>
            <w:bottom w:val="none" w:sz="0" w:space="0" w:color="auto"/>
            <w:right w:val="none" w:sz="0" w:space="0" w:color="auto"/>
          </w:divBdr>
          <w:divsChild>
            <w:div w:id="1314337678">
              <w:marLeft w:val="0"/>
              <w:marRight w:val="0"/>
              <w:marTop w:val="0"/>
              <w:marBottom w:val="0"/>
              <w:divBdr>
                <w:top w:val="none" w:sz="0" w:space="0" w:color="auto"/>
                <w:left w:val="none" w:sz="0" w:space="0" w:color="auto"/>
                <w:bottom w:val="none" w:sz="0" w:space="0" w:color="auto"/>
                <w:right w:val="none" w:sz="0" w:space="0" w:color="auto"/>
              </w:divBdr>
            </w:div>
          </w:divsChild>
        </w:div>
        <w:div w:id="1837259025">
          <w:marLeft w:val="0"/>
          <w:marRight w:val="0"/>
          <w:marTop w:val="0"/>
          <w:marBottom w:val="0"/>
          <w:divBdr>
            <w:top w:val="none" w:sz="0" w:space="0" w:color="auto"/>
            <w:left w:val="none" w:sz="0" w:space="0" w:color="auto"/>
            <w:bottom w:val="none" w:sz="0" w:space="0" w:color="auto"/>
            <w:right w:val="none" w:sz="0" w:space="0" w:color="auto"/>
          </w:divBdr>
          <w:divsChild>
            <w:div w:id="1727098030">
              <w:marLeft w:val="0"/>
              <w:marRight w:val="0"/>
              <w:marTop w:val="0"/>
              <w:marBottom w:val="0"/>
              <w:divBdr>
                <w:top w:val="none" w:sz="0" w:space="0" w:color="auto"/>
                <w:left w:val="none" w:sz="0" w:space="0" w:color="auto"/>
                <w:bottom w:val="none" w:sz="0" w:space="0" w:color="auto"/>
                <w:right w:val="none" w:sz="0" w:space="0" w:color="auto"/>
              </w:divBdr>
            </w:div>
          </w:divsChild>
        </w:div>
        <w:div w:id="1840651083">
          <w:marLeft w:val="0"/>
          <w:marRight w:val="0"/>
          <w:marTop w:val="0"/>
          <w:marBottom w:val="0"/>
          <w:divBdr>
            <w:top w:val="none" w:sz="0" w:space="0" w:color="auto"/>
            <w:left w:val="none" w:sz="0" w:space="0" w:color="auto"/>
            <w:bottom w:val="none" w:sz="0" w:space="0" w:color="auto"/>
            <w:right w:val="none" w:sz="0" w:space="0" w:color="auto"/>
          </w:divBdr>
          <w:divsChild>
            <w:div w:id="1224172303">
              <w:marLeft w:val="0"/>
              <w:marRight w:val="0"/>
              <w:marTop w:val="0"/>
              <w:marBottom w:val="0"/>
              <w:divBdr>
                <w:top w:val="none" w:sz="0" w:space="0" w:color="auto"/>
                <w:left w:val="none" w:sz="0" w:space="0" w:color="auto"/>
                <w:bottom w:val="none" w:sz="0" w:space="0" w:color="auto"/>
                <w:right w:val="none" w:sz="0" w:space="0" w:color="auto"/>
              </w:divBdr>
            </w:div>
          </w:divsChild>
        </w:div>
        <w:div w:id="1842426326">
          <w:marLeft w:val="0"/>
          <w:marRight w:val="0"/>
          <w:marTop w:val="0"/>
          <w:marBottom w:val="0"/>
          <w:divBdr>
            <w:top w:val="none" w:sz="0" w:space="0" w:color="auto"/>
            <w:left w:val="none" w:sz="0" w:space="0" w:color="auto"/>
            <w:bottom w:val="none" w:sz="0" w:space="0" w:color="auto"/>
            <w:right w:val="none" w:sz="0" w:space="0" w:color="auto"/>
          </w:divBdr>
          <w:divsChild>
            <w:div w:id="666597447">
              <w:marLeft w:val="0"/>
              <w:marRight w:val="0"/>
              <w:marTop w:val="0"/>
              <w:marBottom w:val="0"/>
              <w:divBdr>
                <w:top w:val="none" w:sz="0" w:space="0" w:color="auto"/>
                <w:left w:val="none" w:sz="0" w:space="0" w:color="auto"/>
                <w:bottom w:val="none" w:sz="0" w:space="0" w:color="auto"/>
                <w:right w:val="none" w:sz="0" w:space="0" w:color="auto"/>
              </w:divBdr>
            </w:div>
          </w:divsChild>
        </w:div>
        <w:div w:id="1842426647">
          <w:marLeft w:val="0"/>
          <w:marRight w:val="0"/>
          <w:marTop w:val="0"/>
          <w:marBottom w:val="0"/>
          <w:divBdr>
            <w:top w:val="none" w:sz="0" w:space="0" w:color="auto"/>
            <w:left w:val="none" w:sz="0" w:space="0" w:color="auto"/>
            <w:bottom w:val="none" w:sz="0" w:space="0" w:color="auto"/>
            <w:right w:val="none" w:sz="0" w:space="0" w:color="auto"/>
          </w:divBdr>
          <w:divsChild>
            <w:div w:id="99836364">
              <w:marLeft w:val="0"/>
              <w:marRight w:val="0"/>
              <w:marTop w:val="0"/>
              <w:marBottom w:val="0"/>
              <w:divBdr>
                <w:top w:val="none" w:sz="0" w:space="0" w:color="auto"/>
                <w:left w:val="none" w:sz="0" w:space="0" w:color="auto"/>
                <w:bottom w:val="none" w:sz="0" w:space="0" w:color="auto"/>
                <w:right w:val="none" w:sz="0" w:space="0" w:color="auto"/>
              </w:divBdr>
            </w:div>
          </w:divsChild>
        </w:div>
        <w:div w:id="1842575951">
          <w:marLeft w:val="0"/>
          <w:marRight w:val="0"/>
          <w:marTop w:val="0"/>
          <w:marBottom w:val="0"/>
          <w:divBdr>
            <w:top w:val="none" w:sz="0" w:space="0" w:color="auto"/>
            <w:left w:val="none" w:sz="0" w:space="0" w:color="auto"/>
            <w:bottom w:val="none" w:sz="0" w:space="0" w:color="auto"/>
            <w:right w:val="none" w:sz="0" w:space="0" w:color="auto"/>
          </w:divBdr>
          <w:divsChild>
            <w:div w:id="2132507563">
              <w:marLeft w:val="0"/>
              <w:marRight w:val="0"/>
              <w:marTop w:val="0"/>
              <w:marBottom w:val="0"/>
              <w:divBdr>
                <w:top w:val="none" w:sz="0" w:space="0" w:color="auto"/>
                <w:left w:val="none" w:sz="0" w:space="0" w:color="auto"/>
                <w:bottom w:val="none" w:sz="0" w:space="0" w:color="auto"/>
                <w:right w:val="none" w:sz="0" w:space="0" w:color="auto"/>
              </w:divBdr>
            </w:div>
          </w:divsChild>
        </w:div>
        <w:div w:id="1843737431">
          <w:marLeft w:val="0"/>
          <w:marRight w:val="0"/>
          <w:marTop w:val="0"/>
          <w:marBottom w:val="0"/>
          <w:divBdr>
            <w:top w:val="none" w:sz="0" w:space="0" w:color="auto"/>
            <w:left w:val="none" w:sz="0" w:space="0" w:color="auto"/>
            <w:bottom w:val="none" w:sz="0" w:space="0" w:color="auto"/>
            <w:right w:val="none" w:sz="0" w:space="0" w:color="auto"/>
          </w:divBdr>
          <w:divsChild>
            <w:div w:id="1338847885">
              <w:marLeft w:val="0"/>
              <w:marRight w:val="0"/>
              <w:marTop w:val="0"/>
              <w:marBottom w:val="0"/>
              <w:divBdr>
                <w:top w:val="none" w:sz="0" w:space="0" w:color="auto"/>
                <w:left w:val="none" w:sz="0" w:space="0" w:color="auto"/>
                <w:bottom w:val="none" w:sz="0" w:space="0" w:color="auto"/>
                <w:right w:val="none" w:sz="0" w:space="0" w:color="auto"/>
              </w:divBdr>
            </w:div>
          </w:divsChild>
        </w:div>
        <w:div w:id="1843814202">
          <w:marLeft w:val="0"/>
          <w:marRight w:val="0"/>
          <w:marTop w:val="0"/>
          <w:marBottom w:val="0"/>
          <w:divBdr>
            <w:top w:val="none" w:sz="0" w:space="0" w:color="auto"/>
            <w:left w:val="none" w:sz="0" w:space="0" w:color="auto"/>
            <w:bottom w:val="none" w:sz="0" w:space="0" w:color="auto"/>
            <w:right w:val="none" w:sz="0" w:space="0" w:color="auto"/>
          </w:divBdr>
          <w:divsChild>
            <w:div w:id="1506630648">
              <w:marLeft w:val="0"/>
              <w:marRight w:val="0"/>
              <w:marTop w:val="0"/>
              <w:marBottom w:val="0"/>
              <w:divBdr>
                <w:top w:val="none" w:sz="0" w:space="0" w:color="auto"/>
                <w:left w:val="none" w:sz="0" w:space="0" w:color="auto"/>
                <w:bottom w:val="none" w:sz="0" w:space="0" w:color="auto"/>
                <w:right w:val="none" w:sz="0" w:space="0" w:color="auto"/>
              </w:divBdr>
            </w:div>
          </w:divsChild>
        </w:div>
        <w:div w:id="1845197761">
          <w:marLeft w:val="0"/>
          <w:marRight w:val="0"/>
          <w:marTop w:val="0"/>
          <w:marBottom w:val="0"/>
          <w:divBdr>
            <w:top w:val="none" w:sz="0" w:space="0" w:color="auto"/>
            <w:left w:val="none" w:sz="0" w:space="0" w:color="auto"/>
            <w:bottom w:val="none" w:sz="0" w:space="0" w:color="auto"/>
            <w:right w:val="none" w:sz="0" w:space="0" w:color="auto"/>
          </w:divBdr>
          <w:divsChild>
            <w:div w:id="1902518657">
              <w:marLeft w:val="0"/>
              <w:marRight w:val="0"/>
              <w:marTop w:val="0"/>
              <w:marBottom w:val="0"/>
              <w:divBdr>
                <w:top w:val="none" w:sz="0" w:space="0" w:color="auto"/>
                <w:left w:val="none" w:sz="0" w:space="0" w:color="auto"/>
                <w:bottom w:val="none" w:sz="0" w:space="0" w:color="auto"/>
                <w:right w:val="none" w:sz="0" w:space="0" w:color="auto"/>
              </w:divBdr>
            </w:div>
          </w:divsChild>
        </w:div>
        <w:div w:id="1845707898">
          <w:marLeft w:val="0"/>
          <w:marRight w:val="0"/>
          <w:marTop w:val="0"/>
          <w:marBottom w:val="0"/>
          <w:divBdr>
            <w:top w:val="none" w:sz="0" w:space="0" w:color="auto"/>
            <w:left w:val="none" w:sz="0" w:space="0" w:color="auto"/>
            <w:bottom w:val="none" w:sz="0" w:space="0" w:color="auto"/>
            <w:right w:val="none" w:sz="0" w:space="0" w:color="auto"/>
          </w:divBdr>
          <w:divsChild>
            <w:div w:id="1921912412">
              <w:marLeft w:val="0"/>
              <w:marRight w:val="0"/>
              <w:marTop w:val="0"/>
              <w:marBottom w:val="0"/>
              <w:divBdr>
                <w:top w:val="none" w:sz="0" w:space="0" w:color="auto"/>
                <w:left w:val="none" w:sz="0" w:space="0" w:color="auto"/>
                <w:bottom w:val="none" w:sz="0" w:space="0" w:color="auto"/>
                <w:right w:val="none" w:sz="0" w:space="0" w:color="auto"/>
              </w:divBdr>
            </w:div>
          </w:divsChild>
        </w:div>
        <w:div w:id="1848594753">
          <w:marLeft w:val="0"/>
          <w:marRight w:val="0"/>
          <w:marTop w:val="0"/>
          <w:marBottom w:val="0"/>
          <w:divBdr>
            <w:top w:val="none" w:sz="0" w:space="0" w:color="auto"/>
            <w:left w:val="none" w:sz="0" w:space="0" w:color="auto"/>
            <w:bottom w:val="none" w:sz="0" w:space="0" w:color="auto"/>
            <w:right w:val="none" w:sz="0" w:space="0" w:color="auto"/>
          </w:divBdr>
          <w:divsChild>
            <w:div w:id="1924490850">
              <w:marLeft w:val="0"/>
              <w:marRight w:val="0"/>
              <w:marTop w:val="0"/>
              <w:marBottom w:val="0"/>
              <w:divBdr>
                <w:top w:val="none" w:sz="0" w:space="0" w:color="auto"/>
                <w:left w:val="none" w:sz="0" w:space="0" w:color="auto"/>
                <w:bottom w:val="none" w:sz="0" w:space="0" w:color="auto"/>
                <w:right w:val="none" w:sz="0" w:space="0" w:color="auto"/>
              </w:divBdr>
            </w:div>
          </w:divsChild>
        </w:div>
        <w:div w:id="1849561650">
          <w:marLeft w:val="0"/>
          <w:marRight w:val="0"/>
          <w:marTop w:val="0"/>
          <w:marBottom w:val="0"/>
          <w:divBdr>
            <w:top w:val="none" w:sz="0" w:space="0" w:color="auto"/>
            <w:left w:val="none" w:sz="0" w:space="0" w:color="auto"/>
            <w:bottom w:val="none" w:sz="0" w:space="0" w:color="auto"/>
            <w:right w:val="none" w:sz="0" w:space="0" w:color="auto"/>
          </w:divBdr>
          <w:divsChild>
            <w:div w:id="1404253124">
              <w:marLeft w:val="0"/>
              <w:marRight w:val="0"/>
              <w:marTop w:val="0"/>
              <w:marBottom w:val="0"/>
              <w:divBdr>
                <w:top w:val="none" w:sz="0" w:space="0" w:color="auto"/>
                <w:left w:val="none" w:sz="0" w:space="0" w:color="auto"/>
                <w:bottom w:val="none" w:sz="0" w:space="0" w:color="auto"/>
                <w:right w:val="none" w:sz="0" w:space="0" w:color="auto"/>
              </w:divBdr>
            </w:div>
          </w:divsChild>
        </w:div>
        <w:div w:id="1849833176">
          <w:marLeft w:val="0"/>
          <w:marRight w:val="0"/>
          <w:marTop w:val="0"/>
          <w:marBottom w:val="0"/>
          <w:divBdr>
            <w:top w:val="none" w:sz="0" w:space="0" w:color="auto"/>
            <w:left w:val="none" w:sz="0" w:space="0" w:color="auto"/>
            <w:bottom w:val="none" w:sz="0" w:space="0" w:color="auto"/>
            <w:right w:val="none" w:sz="0" w:space="0" w:color="auto"/>
          </w:divBdr>
          <w:divsChild>
            <w:div w:id="1322194311">
              <w:marLeft w:val="0"/>
              <w:marRight w:val="0"/>
              <w:marTop w:val="0"/>
              <w:marBottom w:val="0"/>
              <w:divBdr>
                <w:top w:val="none" w:sz="0" w:space="0" w:color="auto"/>
                <w:left w:val="none" w:sz="0" w:space="0" w:color="auto"/>
                <w:bottom w:val="none" w:sz="0" w:space="0" w:color="auto"/>
                <w:right w:val="none" w:sz="0" w:space="0" w:color="auto"/>
              </w:divBdr>
            </w:div>
          </w:divsChild>
        </w:div>
        <w:div w:id="1852796457">
          <w:marLeft w:val="0"/>
          <w:marRight w:val="0"/>
          <w:marTop w:val="0"/>
          <w:marBottom w:val="0"/>
          <w:divBdr>
            <w:top w:val="none" w:sz="0" w:space="0" w:color="auto"/>
            <w:left w:val="none" w:sz="0" w:space="0" w:color="auto"/>
            <w:bottom w:val="none" w:sz="0" w:space="0" w:color="auto"/>
            <w:right w:val="none" w:sz="0" w:space="0" w:color="auto"/>
          </w:divBdr>
          <w:divsChild>
            <w:div w:id="452675602">
              <w:marLeft w:val="0"/>
              <w:marRight w:val="0"/>
              <w:marTop w:val="0"/>
              <w:marBottom w:val="0"/>
              <w:divBdr>
                <w:top w:val="none" w:sz="0" w:space="0" w:color="auto"/>
                <w:left w:val="none" w:sz="0" w:space="0" w:color="auto"/>
                <w:bottom w:val="none" w:sz="0" w:space="0" w:color="auto"/>
                <w:right w:val="none" w:sz="0" w:space="0" w:color="auto"/>
              </w:divBdr>
            </w:div>
          </w:divsChild>
        </w:div>
        <w:div w:id="1854491326">
          <w:marLeft w:val="0"/>
          <w:marRight w:val="0"/>
          <w:marTop w:val="0"/>
          <w:marBottom w:val="0"/>
          <w:divBdr>
            <w:top w:val="none" w:sz="0" w:space="0" w:color="auto"/>
            <w:left w:val="none" w:sz="0" w:space="0" w:color="auto"/>
            <w:bottom w:val="none" w:sz="0" w:space="0" w:color="auto"/>
            <w:right w:val="none" w:sz="0" w:space="0" w:color="auto"/>
          </w:divBdr>
          <w:divsChild>
            <w:div w:id="141434301">
              <w:marLeft w:val="0"/>
              <w:marRight w:val="0"/>
              <w:marTop w:val="0"/>
              <w:marBottom w:val="0"/>
              <w:divBdr>
                <w:top w:val="none" w:sz="0" w:space="0" w:color="auto"/>
                <w:left w:val="none" w:sz="0" w:space="0" w:color="auto"/>
                <w:bottom w:val="none" w:sz="0" w:space="0" w:color="auto"/>
                <w:right w:val="none" w:sz="0" w:space="0" w:color="auto"/>
              </w:divBdr>
            </w:div>
          </w:divsChild>
        </w:div>
        <w:div w:id="1855418047">
          <w:marLeft w:val="0"/>
          <w:marRight w:val="0"/>
          <w:marTop w:val="0"/>
          <w:marBottom w:val="0"/>
          <w:divBdr>
            <w:top w:val="none" w:sz="0" w:space="0" w:color="auto"/>
            <w:left w:val="none" w:sz="0" w:space="0" w:color="auto"/>
            <w:bottom w:val="none" w:sz="0" w:space="0" w:color="auto"/>
            <w:right w:val="none" w:sz="0" w:space="0" w:color="auto"/>
          </w:divBdr>
          <w:divsChild>
            <w:div w:id="1240212295">
              <w:marLeft w:val="0"/>
              <w:marRight w:val="0"/>
              <w:marTop w:val="0"/>
              <w:marBottom w:val="0"/>
              <w:divBdr>
                <w:top w:val="none" w:sz="0" w:space="0" w:color="auto"/>
                <w:left w:val="none" w:sz="0" w:space="0" w:color="auto"/>
                <w:bottom w:val="none" w:sz="0" w:space="0" w:color="auto"/>
                <w:right w:val="none" w:sz="0" w:space="0" w:color="auto"/>
              </w:divBdr>
            </w:div>
          </w:divsChild>
        </w:div>
        <w:div w:id="1857307457">
          <w:marLeft w:val="0"/>
          <w:marRight w:val="0"/>
          <w:marTop w:val="0"/>
          <w:marBottom w:val="0"/>
          <w:divBdr>
            <w:top w:val="none" w:sz="0" w:space="0" w:color="auto"/>
            <w:left w:val="none" w:sz="0" w:space="0" w:color="auto"/>
            <w:bottom w:val="none" w:sz="0" w:space="0" w:color="auto"/>
            <w:right w:val="none" w:sz="0" w:space="0" w:color="auto"/>
          </w:divBdr>
          <w:divsChild>
            <w:div w:id="1977106266">
              <w:marLeft w:val="0"/>
              <w:marRight w:val="0"/>
              <w:marTop w:val="0"/>
              <w:marBottom w:val="0"/>
              <w:divBdr>
                <w:top w:val="none" w:sz="0" w:space="0" w:color="auto"/>
                <w:left w:val="none" w:sz="0" w:space="0" w:color="auto"/>
                <w:bottom w:val="none" w:sz="0" w:space="0" w:color="auto"/>
                <w:right w:val="none" w:sz="0" w:space="0" w:color="auto"/>
              </w:divBdr>
            </w:div>
          </w:divsChild>
        </w:div>
        <w:div w:id="1857691218">
          <w:marLeft w:val="0"/>
          <w:marRight w:val="0"/>
          <w:marTop w:val="0"/>
          <w:marBottom w:val="0"/>
          <w:divBdr>
            <w:top w:val="none" w:sz="0" w:space="0" w:color="auto"/>
            <w:left w:val="none" w:sz="0" w:space="0" w:color="auto"/>
            <w:bottom w:val="none" w:sz="0" w:space="0" w:color="auto"/>
            <w:right w:val="none" w:sz="0" w:space="0" w:color="auto"/>
          </w:divBdr>
          <w:divsChild>
            <w:div w:id="1040714919">
              <w:marLeft w:val="0"/>
              <w:marRight w:val="0"/>
              <w:marTop w:val="0"/>
              <w:marBottom w:val="0"/>
              <w:divBdr>
                <w:top w:val="none" w:sz="0" w:space="0" w:color="auto"/>
                <w:left w:val="none" w:sz="0" w:space="0" w:color="auto"/>
                <w:bottom w:val="none" w:sz="0" w:space="0" w:color="auto"/>
                <w:right w:val="none" w:sz="0" w:space="0" w:color="auto"/>
              </w:divBdr>
            </w:div>
          </w:divsChild>
        </w:div>
        <w:div w:id="1859418669">
          <w:marLeft w:val="0"/>
          <w:marRight w:val="0"/>
          <w:marTop w:val="0"/>
          <w:marBottom w:val="0"/>
          <w:divBdr>
            <w:top w:val="none" w:sz="0" w:space="0" w:color="auto"/>
            <w:left w:val="none" w:sz="0" w:space="0" w:color="auto"/>
            <w:bottom w:val="none" w:sz="0" w:space="0" w:color="auto"/>
            <w:right w:val="none" w:sz="0" w:space="0" w:color="auto"/>
          </w:divBdr>
          <w:divsChild>
            <w:div w:id="32847241">
              <w:marLeft w:val="0"/>
              <w:marRight w:val="0"/>
              <w:marTop w:val="0"/>
              <w:marBottom w:val="0"/>
              <w:divBdr>
                <w:top w:val="none" w:sz="0" w:space="0" w:color="auto"/>
                <w:left w:val="none" w:sz="0" w:space="0" w:color="auto"/>
                <w:bottom w:val="none" w:sz="0" w:space="0" w:color="auto"/>
                <w:right w:val="none" w:sz="0" w:space="0" w:color="auto"/>
              </w:divBdr>
            </w:div>
          </w:divsChild>
        </w:div>
        <w:div w:id="1863737068">
          <w:marLeft w:val="0"/>
          <w:marRight w:val="0"/>
          <w:marTop w:val="0"/>
          <w:marBottom w:val="0"/>
          <w:divBdr>
            <w:top w:val="none" w:sz="0" w:space="0" w:color="auto"/>
            <w:left w:val="none" w:sz="0" w:space="0" w:color="auto"/>
            <w:bottom w:val="none" w:sz="0" w:space="0" w:color="auto"/>
            <w:right w:val="none" w:sz="0" w:space="0" w:color="auto"/>
          </w:divBdr>
          <w:divsChild>
            <w:div w:id="1452244577">
              <w:marLeft w:val="0"/>
              <w:marRight w:val="0"/>
              <w:marTop w:val="0"/>
              <w:marBottom w:val="0"/>
              <w:divBdr>
                <w:top w:val="none" w:sz="0" w:space="0" w:color="auto"/>
                <w:left w:val="none" w:sz="0" w:space="0" w:color="auto"/>
                <w:bottom w:val="none" w:sz="0" w:space="0" w:color="auto"/>
                <w:right w:val="none" w:sz="0" w:space="0" w:color="auto"/>
              </w:divBdr>
            </w:div>
          </w:divsChild>
        </w:div>
        <w:div w:id="1864439969">
          <w:marLeft w:val="0"/>
          <w:marRight w:val="0"/>
          <w:marTop w:val="0"/>
          <w:marBottom w:val="0"/>
          <w:divBdr>
            <w:top w:val="none" w:sz="0" w:space="0" w:color="auto"/>
            <w:left w:val="none" w:sz="0" w:space="0" w:color="auto"/>
            <w:bottom w:val="none" w:sz="0" w:space="0" w:color="auto"/>
            <w:right w:val="none" w:sz="0" w:space="0" w:color="auto"/>
          </w:divBdr>
          <w:divsChild>
            <w:div w:id="1284265633">
              <w:marLeft w:val="0"/>
              <w:marRight w:val="0"/>
              <w:marTop w:val="0"/>
              <w:marBottom w:val="0"/>
              <w:divBdr>
                <w:top w:val="none" w:sz="0" w:space="0" w:color="auto"/>
                <w:left w:val="none" w:sz="0" w:space="0" w:color="auto"/>
                <w:bottom w:val="none" w:sz="0" w:space="0" w:color="auto"/>
                <w:right w:val="none" w:sz="0" w:space="0" w:color="auto"/>
              </w:divBdr>
            </w:div>
          </w:divsChild>
        </w:div>
        <w:div w:id="1866358381">
          <w:marLeft w:val="0"/>
          <w:marRight w:val="0"/>
          <w:marTop w:val="0"/>
          <w:marBottom w:val="0"/>
          <w:divBdr>
            <w:top w:val="none" w:sz="0" w:space="0" w:color="auto"/>
            <w:left w:val="none" w:sz="0" w:space="0" w:color="auto"/>
            <w:bottom w:val="none" w:sz="0" w:space="0" w:color="auto"/>
            <w:right w:val="none" w:sz="0" w:space="0" w:color="auto"/>
          </w:divBdr>
          <w:divsChild>
            <w:div w:id="2137947521">
              <w:marLeft w:val="0"/>
              <w:marRight w:val="0"/>
              <w:marTop w:val="0"/>
              <w:marBottom w:val="0"/>
              <w:divBdr>
                <w:top w:val="none" w:sz="0" w:space="0" w:color="auto"/>
                <w:left w:val="none" w:sz="0" w:space="0" w:color="auto"/>
                <w:bottom w:val="none" w:sz="0" w:space="0" w:color="auto"/>
                <w:right w:val="none" w:sz="0" w:space="0" w:color="auto"/>
              </w:divBdr>
            </w:div>
          </w:divsChild>
        </w:div>
        <w:div w:id="1866366394">
          <w:marLeft w:val="0"/>
          <w:marRight w:val="0"/>
          <w:marTop w:val="0"/>
          <w:marBottom w:val="0"/>
          <w:divBdr>
            <w:top w:val="none" w:sz="0" w:space="0" w:color="auto"/>
            <w:left w:val="none" w:sz="0" w:space="0" w:color="auto"/>
            <w:bottom w:val="none" w:sz="0" w:space="0" w:color="auto"/>
            <w:right w:val="none" w:sz="0" w:space="0" w:color="auto"/>
          </w:divBdr>
          <w:divsChild>
            <w:div w:id="1862551189">
              <w:marLeft w:val="0"/>
              <w:marRight w:val="0"/>
              <w:marTop w:val="0"/>
              <w:marBottom w:val="0"/>
              <w:divBdr>
                <w:top w:val="none" w:sz="0" w:space="0" w:color="auto"/>
                <w:left w:val="none" w:sz="0" w:space="0" w:color="auto"/>
                <w:bottom w:val="none" w:sz="0" w:space="0" w:color="auto"/>
                <w:right w:val="none" w:sz="0" w:space="0" w:color="auto"/>
              </w:divBdr>
            </w:div>
          </w:divsChild>
        </w:div>
        <w:div w:id="1868642373">
          <w:marLeft w:val="0"/>
          <w:marRight w:val="0"/>
          <w:marTop w:val="0"/>
          <w:marBottom w:val="0"/>
          <w:divBdr>
            <w:top w:val="none" w:sz="0" w:space="0" w:color="auto"/>
            <w:left w:val="none" w:sz="0" w:space="0" w:color="auto"/>
            <w:bottom w:val="none" w:sz="0" w:space="0" w:color="auto"/>
            <w:right w:val="none" w:sz="0" w:space="0" w:color="auto"/>
          </w:divBdr>
          <w:divsChild>
            <w:div w:id="1484348689">
              <w:marLeft w:val="0"/>
              <w:marRight w:val="0"/>
              <w:marTop w:val="0"/>
              <w:marBottom w:val="0"/>
              <w:divBdr>
                <w:top w:val="none" w:sz="0" w:space="0" w:color="auto"/>
                <w:left w:val="none" w:sz="0" w:space="0" w:color="auto"/>
                <w:bottom w:val="none" w:sz="0" w:space="0" w:color="auto"/>
                <w:right w:val="none" w:sz="0" w:space="0" w:color="auto"/>
              </w:divBdr>
            </w:div>
          </w:divsChild>
        </w:div>
        <w:div w:id="1876039824">
          <w:marLeft w:val="0"/>
          <w:marRight w:val="0"/>
          <w:marTop w:val="0"/>
          <w:marBottom w:val="0"/>
          <w:divBdr>
            <w:top w:val="none" w:sz="0" w:space="0" w:color="auto"/>
            <w:left w:val="none" w:sz="0" w:space="0" w:color="auto"/>
            <w:bottom w:val="none" w:sz="0" w:space="0" w:color="auto"/>
            <w:right w:val="none" w:sz="0" w:space="0" w:color="auto"/>
          </w:divBdr>
          <w:divsChild>
            <w:div w:id="110706852">
              <w:marLeft w:val="0"/>
              <w:marRight w:val="0"/>
              <w:marTop w:val="0"/>
              <w:marBottom w:val="0"/>
              <w:divBdr>
                <w:top w:val="none" w:sz="0" w:space="0" w:color="auto"/>
                <w:left w:val="none" w:sz="0" w:space="0" w:color="auto"/>
                <w:bottom w:val="none" w:sz="0" w:space="0" w:color="auto"/>
                <w:right w:val="none" w:sz="0" w:space="0" w:color="auto"/>
              </w:divBdr>
            </w:div>
          </w:divsChild>
        </w:div>
        <w:div w:id="1876311476">
          <w:marLeft w:val="0"/>
          <w:marRight w:val="0"/>
          <w:marTop w:val="0"/>
          <w:marBottom w:val="0"/>
          <w:divBdr>
            <w:top w:val="none" w:sz="0" w:space="0" w:color="auto"/>
            <w:left w:val="none" w:sz="0" w:space="0" w:color="auto"/>
            <w:bottom w:val="none" w:sz="0" w:space="0" w:color="auto"/>
            <w:right w:val="none" w:sz="0" w:space="0" w:color="auto"/>
          </w:divBdr>
          <w:divsChild>
            <w:div w:id="509219037">
              <w:marLeft w:val="0"/>
              <w:marRight w:val="0"/>
              <w:marTop w:val="0"/>
              <w:marBottom w:val="0"/>
              <w:divBdr>
                <w:top w:val="none" w:sz="0" w:space="0" w:color="auto"/>
                <w:left w:val="none" w:sz="0" w:space="0" w:color="auto"/>
                <w:bottom w:val="none" w:sz="0" w:space="0" w:color="auto"/>
                <w:right w:val="none" w:sz="0" w:space="0" w:color="auto"/>
              </w:divBdr>
            </w:div>
          </w:divsChild>
        </w:div>
        <w:div w:id="1881355723">
          <w:marLeft w:val="0"/>
          <w:marRight w:val="0"/>
          <w:marTop w:val="0"/>
          <w:marBottom w:val="0"/>
          <w:divBdr>
            <w:top w:val="none" w:sz="0" w:space="0" w:color="auto"/>
            <w:left w:val="none" w:sz="0" w:space="0" w:color="auto"/>
            <w:bottom w:val="none" w:sz="0" w:space="0" w:color="auto"/>
            <w:right w:val="none" w:sz="0" w:space="0" w:color="auto"/>
          </w:divBdr>
          <w:divsChild>
            <w:div w:id="484662808">
              <w:marLeft w:val="0"/>
              <w:marRight w:val="0"/>
              <w:marTop w:val="0"/>
              <w:marBottom w:val="0"/>
              <w:divBdr>
                <w:top w:val="none" w:sz="0" w:space="0" w:color="auto"/>
                <w:left w:val="none" w:sz="0" w:space="0" w:color="auto"/>
                <w:bottom w:val="none" w:sz="0" w:space="0" w:color="auto"/>
                <w:right w:val="none" w:sz="0" w:space="0" w:color="auto"/>
              </w:divBdr>
            </w:div>
          </w:divsChild>
        </w:div>
        <w:div w:id="1885168203">
          <w:marLeft w:val="0"/>
          <w:marRight w:val="0"/>
          <w:marTop w:val="0"/>
          <w:marBottom w:val="0"/>
          <w:divBdr>
            <w:top w:val="none" w:sz="0" w:space="0" w:color="auto"/>
            <w:left w:val="none" w:sz="0" w:space="0" w:color="auto"/>
            <w:bottom w:val="none" w:sz="0" w:space="0" w:color="auto"/>
            <w:right w:val="none" w:sz="0" w:space="0" w:color="auto"/>
          </w:divBdr>
          <w:divsChild>
            <w:div w:id="322901316">
              <w:marLeft w:val="0"/>
              <w:marRight w:val="0"/>
              <w:marTop w:val="0"/>
              <w:marBottom w:val="0"/>
              <w:divBdr>
                <w:top w:val="none" w:sz="0" w:space="0" w:color="auto"/>
                <w:left w:val="none" w:sz="0" w:space="0" w:color="auto"/>
                <w:bottom w:val="none" w:sz="0" w:space="0" w:color="auto"/>
                <w:right w:val="none" w:sz="0" w:space="0" w:color="auto"/>
              </w:divBdr>
            </w:div>
          </w:divsChild>
        </w:div>
        <w:div w:id="1888954066">
          <w:marLeft w:val="0"/>
          <w:marRight w:val="0"/>
          <w:marTop w:val="0"/>
          <w:marBottom w:val="0"/>
          <w:divBdr>
            <w:top w:val="none" w:sz="0" w:space="0" w:color="auto"/>
            <w:left w:val="none" w:sz="0" w:space="0" w:color="auto"/>
            <w:bottom w:val="none" w:sz="0" w:space="0" w:color="auto"/>
            <w:right w:val="none" w:sz="0" w:space="0" w:color="auto"/>
          </w:divBdr>
          <w:divsChild>
            <w:div w:id="188833895">
              <w:marLeft w:val="0"/>
              <w:marRight w:val="0"/>
              <w:marTop w:val="0"/>
              <w:marBottom w:val="0"/>
              <w:divBdr>
                <w:top w:val="none" w:sz="0" w:space="0" w:color="auto"/>
                <w:left w:val="none" w:sz="0" w:space="0" w:color="auto"/>
                <w:bottom w:val="none" w:sz="0" w:space="0" w:color="auto"/>
                <w:right w:val="none" w:sz="0" w:space="0" w:color="auto"/>
              </w:divBdr>
            </w:div>
          </w:divsChild>
        </w:div>
        <w:div w:id="1889798047">
          <w:marLeft w:val="0"/>
          <w:marRight w:val="0"/>
          <w:marTop w:val="0"/>
          <w:marBottom w:val="0"/>
          <w:divBdr>
            <w:top w:val="none" w:sz="0" w:space="0" w:color="auto"/>
            <w:left w:val="none" w:sz="0" w:space="0" w:color="auto"/>
            <w:bottom w:val="none" w:sz="0" w:space="0" w:color="auto"/>
            <w:right w:val="none" w:sz="0" w:space="0" w:color="auto"/>
          </w:divBdr>
          <w:divsChild>
            <w:div w:id="413086713">
              <w:marLeft w:val="0"/>
              <w:marRight w:val="0"/>
              <w:marTop w:val="0"/>
              <w:marBottom w:val="0"/>
              <w:divBdr>
                <w:top w:val="none" w:sz="0" w:space="0" w:color="auto"/>
                <w:left w:val="none" w:sz="0" w:space="0" w:color="auto"/>
                <w:bottom w:val="none" w:sz="0" w:space="0" w:color="auto"/>
                <w:right w:val="none" w:sz="0" w:space="0" w:color="auto"/>
              </w:divBdr>
            </w:div>
          </w:divsChild>
        </w:div>
        <w:div w:id="1889881076">
          <w:marLeft w:val="0"/>
          <w:marRight w:val="0"/>
          <w:marTop w:val="0"/>
          <w:marBottom w:val="0"/>
          <w:divBdr>
            <w:top w:val="none" w:sz="0" w:space="0" w:color="auto"/>
            <w:left w:val="none" w:sz="0" w:space="0" w:color="auto"/>
            <w:bottom w:val="none" w:sz="0" w:space="0" w:color="auto"/>
            <w:right w:val="none" w:sz="0" w:space="0" w:color="auto"/>
          </w:divBdr>
          <w:divsChild>
            <w:div w:id="924192268">
              <w:marLeft w:val="0"/>
              <w:marRight w:val="0"/>
              <w:marTop w:val="0"/>
              <w:marBottom w:val="0"/>
              <w:divBdr>
                <w:top w:val="none" w:sz="0" w:space="0" w:color="auto"/>
                <w:left w:val="none" w:sz="0" w:space="0" w:color="auto"/>
                <w:bottom w:val="none" w:sz="0" w:space="0" w:color="auto"/>
                <w:right w:val="none" w:sz="0" w:space="0" w:color="auto"/>
              </w:divBdr>
            </w:div>
          </w:divsChild>
        </w:div>
        <w:div w:id="1890219235">
          <w:marLeft w:val="0"/>
          <w:marRight w:val="0"/>
          <w:marTop w:val="0"/>
          <w:marBottom w:val="0"/>
          <w:divBdr>
            <w:top w:val="none" w:sz="0" w:space="0" w:color="auto"/>
            <w:left w:val="none" w:sz="0" w:space="0" w:color="auto"/>
            <w:bottom w:val="none" w:sz="0" w:space="0" w:color="auto"/>
            <w:right w:val="none" w:sz="0" w:space="0" w:color="auto"/>
          </w:divBdr>
          <w:divsChild>
            <w:div w:id="1154251157">
              <w:marLeft w:val="0"/>
              <w:marRight w:val="0"/>
              <w:marTop w:val="0"/>
              <w:marBottom w:val="0"/>
              <w:divBdr>
                <w:top w:val="none" w:sz="0" w:space="0" w:color="auto"/>
                <w:left w:val="none" w:sz="0" w:space="0" w:color="auto"/>
                <w:bottom w:val="none" w:sz="0" w:space="0" w:color="auto"/>
                <w:right w:val="none" w:sz="0" w:space="0" w:color="auto"/>
              </w:divBdr>
            </w:div>
          </w:divsChild>
        </w:div>
        <w:div w:id="1892574761">
          <w:marLeft w:val="0"/>
          <w:marRight w:val="0"/>
          <w:marTop w:val="0"/>
          <w:marBottom w:val="0"/>
          <w:divBdr>
            <w:top w:val="none" w:sz="0" w:space="0" w:color="auto"/>
            <w:left w:val="none" w:sz="0" w:space="0" w:color="auto"/>
            <w:bottom w:val="none" w:sz="0" w:space="0" w:color="auto"/>
            <w:right w:val="none" w:sz="0" w:space="0" w:color="auto"/>
          </w:divBdr>
          <w:divsChild>
            <w:div w:id="1314021889">
              <w:marLeft w:val="0"/>
              <w:marRight w:val="0"/>
              <w:marTop w:val="0"/>
              <w:marBottom w:val="0"/>
              <w:divBdr>
                <w:top w:val="none" w:sz="0" w:space="0" w:color="auto"/>
                <w:left w:val="none" w:sz="0" w:space="0" w:color="auto"/>
                <w:bottom w:val="none" w:sz="0" w:space="0" w:color="auto"/>
                <w:right w:val="none" w:sz="0" w:space="0" w:color="auto"/>
              </w:divBdr>
            </w:div>
          </w:divsChild>
        </w:div>
        <w:div w:id="1893081776">
          <w:marLeft w:val="0"/>
          <w:marRight w:val="0"/>
          <w:marTop w:val="0"/>
          <w:marBottom w:val="0"/>
          <w:divBdr>
            <w:top w:val="none" w:sz="0" w:space="0" w:color="auto"/>
            <w:left w:val="none" w:sz="0" w:space="0" w:color="auto"/>
            <w:bottom w:val="none" w:sz="0" w:space="0" w:color="auto"/>
            <w:right w:val="none" w:sz="0" w:space="0" w:color="auto"/>
          </w:divBdr>
          <w:divsChild>
            <w:div w:id="132605939">
              <w:marLeft w:val="0"/>
              <w:marRight w:val="0"/>
              <w:marTop w:val="0"/>
              <w:marBottom w:val="0"/>
              <w:divBdr>
                <w:top w:val="none" w:sz="0" w:space="0" w:color="auto"/>
                <w:left w:val="none" w:sz="0" w:space="0" w:color="auto"/>
                <w:bottom w:val="none" w:sz="0" w:space="0" w:color="auto"/>
                <w:right w:val="none" w:sz="0" w:space="0" w:color="auto"/>
              </w:divBdr>
            </w:div>
          </w:divsChild>
        </w:div>
        <w:div w:id="1893274260">
          <w:marLeft w:val="0"/>
          <w:marRight w:val="0"/>
          <w:marTop w:val="0"/>
          <w:marBottom w:val="0"/>
          <w:divBdr>
            <w:top w:val="none" w:sz="0" w:space="0" w:color="auto"/>
            <w:left w:val="none" w:sz="0" w:space="0" w:color="auto"/>
            <w:bottom w:val="none" w:sz="0" w:space="0" w:color="auto"/>
            <w:right w:val="none" w:sz="0" w:space="0" w:color="auto"/>
          </w:divBdr>
          <w:divsChild>
            <w:div w:id="112216542">
              <w:marLeft w:val="0"/>
              <w:marRight w:val="0"/>
              <w:marTop w:val="0"/>
              <w:marBottom w:val="0"/>
              <w:divBdr>
                <w:top w:val="none" w:sz="0" w:space="0" w:color="auto"/>
                <w:left w:val="none" w:sz="0" w:space="0" w:color="auto"/>
                <w:bottom w:val="none" w:sz="0" w:space="0" w:color="auto"/>
                <w:right w:val="none" w:sz="0" w:space="0" w:color="auto"/>
              </w:divBdr>
            </w:div>
          </w:divsChild>
        </w:div>
        <w:div w:id="1898316595">
          <w:marLeft w:val="0"/>
          <w:marRight w:val="0"/>
          <w:marTop w:val="0"/>
          <w:marBottom w:val="0"/>
          <w:divBdr>
            <w:top w:val="none" w:sz="0" w:space="0" w:color="auto"/>
            <w:left w:val="none" w:sz="0" w:space="0" w:color="auto"/>
            <w:bottom w:val="none" w:sz="0" w:space="0" w:color="auto"/>
            <w:right w:val="none" w:sz="0" w:space="0" w:color="auto"/>
          </w:divBdr>
          <w:divsChild>
            <w:div w:id="1212772229">
              <w:marLeft w:val="0"/>
              <w:marRight w:val="0"/>
              <w:marTop w:val="0"/>
              <w:marBottom w:val="0"/>
              <w:divBdr>
                <w:top w:val="none" w:sz="0" w:space="0" w:color="auto"/>
                <w:left w:val="none" w:sz="0" w:space="0" w:color="auto"/>
                <w:bottom w:val="none" w:sz="0" w:space="0" w:color="auto"/>
                <w:right w:val="none" w:sz="0" w:space="0" w:color="auto"/>
              </w:divBdr>
            </w:div>
          </w:divsChild>
        </w:div>
        <w:div w:id="1903903016">
          <w:marLeft w:val="0"/>
          <w:marRight w:val="0"/>
          <w:marTop w:val="0"/>
          <w:marBottom w:val="0"/>
          <w:divBdr>
            <w:top w:val="none" w:sz="0" w:space="0" w:color="auto"/>
            <w:left w:val="none" w:sz="0" w:space="0" w:color="auto"/>
            <w:bottom w:val="none" w:sz="0" w:space="0" w:color="auto"/>
            <w:right w:val="none" w:sz="0" w:space="0" w:color="auto"/>
          </w:divBdr>
          <w:divsChild>
            <w:div w:id="1130782686">
              <w:marLeft w:val="0"/>
              <w:marRight w:val="0"/>
              <w:marTop w:val="0"/>
              <w:marBottom w:val="0"/>
              <w:divBdr>
                <w:top w:val="none" w:sz="0" w:space="0" w:color="auto"/>
                <w:left w:val="none" w:sz="0" w:space="0" w:color="auto"/>
                <w:bottom w:val="none" w:sz="0" w:space="0" w:color="auto"/>
                <w:right w:val="none" w:sz="0" w:space="0" w:color="auto"/>
              </w:divBdr>
            </w:div>
          </w:divsChild>
        </w:div>
        <w:div w:id="1905066381">
          <w:marLeft w:val="0"/>
          <w:marRight w:val="0"/>
          <w:marTop w:val="0"/>
          <w:marBottom w:val="0"/>
          <w:divBdr>
            <w:top w:val="none" w:sz="0" w:space="0" w:color="auto"/>
            <w:left w:val="none" w:sz="0" w:space="0" w:color="auto"/>
            <w:bottom w:val="none" w:sz="0" w:space="0" w:color="auto"/>
            <w:right w:val="none" w:sz="0" w:space="0" w:color="auto"/>
          </w:divBdr>
          <w:divsChild>
            <w:div w:id="765079551">
              <w:marLeft w:val="0"/>
              <w:marRight w:val="0"/>
              <w:marTop w:val="0"/>
              <w:marBottom w:val="0"/>
              <w:divBdr>
                <w:top w:val="none" w:sz="0" w:space="0" w:color="auto"/>
                <w:left w:val="none" w:sz="0" w:space="0" w:color="auto"/>
                <w:bottom w:val="none" w:sz="0" w:space="0" w:color="auto"/>
                <w:right w:val="none" w:sz="0" w:space="0" w:color="auto"/>
              </w:divBdr>
            </w:div>
          </w:divsChild>
        </w:div>
        <w:div w:id="1915311663">
          <w:marLeft w:val="0"/>
          <w:marRight w:val="0"/>
          <w:marTop w:val="0"/>
          <w:marBottom w:val="0"/>
          <w:divBdr>
            <w:top w:val="none" w:sz="0" w:space="0" w:color="auto"/>
            <w:left w:val="none" w:sz="0" w:space="0" w:color="auto"/>
            <w:bottom w:val="none" w:sz="0" w:space="0" w:color="auto"/>
            <w:right w:val="none" w:sz="0" w:space="0" w:color="auto"/>
          </w:divBdr>
          <w:divsChild>
            <w:div w:id="494493492">
              <w:marLeft w:val="0"/>
              <w:marRight w:val="0"/>
              <w:marTop w:val="0"/>
              <w:marBottom w:val="0"/>
              <w:divBdr>
                <w:top w:val="none" w:sz="0" w:space="0" w:color="auto"/>
                <w:left w:val="none" w:sz="0" w:space="0" w:color="auto"/>
                <w:bottom w:val="none" w:sz="0" w:space="0" w:color="auto"/>
                <w:right w:val="none" w:sz="0" w:space="0" w:color="auto"/>
              </w:divBdr>
            </w:div>
          </w:divsChild>
        </w:div>
        <w:div w:id="1917394132">
          <w:marLeft w:val="0"/>
          <w:marRight w:val="0"/>
          <w:marTop w:val="0"/>
          <w:marBottom w:val="0"/>
          <w:divBdr>
            <w:top w:val="none" w:sz="0" w:space="0" w:color="auto"/>
            <w:left w:val="none" w:sz="0" w:space="0" w:color="auto"/>
            <w:bottom w:val="none" w:sz="0" w:space="0" w:color="auto"/>
            <w:right w:val="none" w:sz="0" w:space="0" w:color="auto"/>
          </w:divBdr>
          <w:divsChild>
            <w:div w:id="917523751">
              <w:marLeft w:val="0"/>
              <w:marRight w:val="0"/>
              <w:marTop w:val="0"/>
              <w:marBottom w:val="0"/>
              <w:divBdr>
                <w:top w:val="none" w:sz="0" w:space="0" w:color="auto"/>
                <w:left w:val="none" w:sz="0" w:space="0" w:color="auto"/>
                <w:bottom w:val="none" w:sz="0" w:space="0" w:color="auto"/>
                <w:right w:val="none" w:sz="0" w:space="0" w:color="auto"/>
              </w:divBdr>
            </w:div>
          </w:divsChild>
        </w:div>
        <w:div w:id="1922177124">
          <w:marLeft w:val="0"/>
          <w:marRight w:val="0"/>
          <w:marTop w:val="0"/>
          <w:marBottom w:val="0"/>
          <w:divBdr>
            <w:top w:val="none" w:sz="0" w:space="0" w:color="auto"/>
            <w:left w:val="none" w:sz="0" w:space="0" w:color="auto"/>
            <w:bottom w:val="none" w:sz="0" w:space="0" w:color="auto"/>
            <w:right w:val="none" w:sz="0" w:space="0" w:color="auto"/>
          </w:divBdr>
          <w:divsChild>
            <w:div w:id="539242896">
              <w:marLeft w:val="0"/>
              <w:marRight w:val="0"/>
              <w:marTop w:val="0"/>
              <w:marBottom w:val="0"/>
              <w:divBdr>
                <w:top w:val="none" w:sz="0" w:space="0" w:color="auto"/>
                <w:left w:val="none" w:sz="0" w:space="0" w:color="auto"/>
                <w:bottom w:val="none" w:sz="0" w:space="0" w:color="auto"/>
                <w:right w:val="none" w:sz="0" w:space="0" w:color="auto"/>
              </w:divBdr>
            </w:div>
          </w:divsChild>
        </w:div>
        <w:div w:id="1923029050">
          <w:marLeft w:val="0"/>
          <w:marRight w:val="0"/>
          <w:marTop w:val="0"/>
          <w:marBottom w:val="0"/>
          <w:divBdr>
            <w:top w:val="none" w:sz="0" w:space="0" w:color="auto"/>
            <w:left w:val="none" w:sz="0" w:space="0" w:color="auto"/>
            <w:bottom w:val="none" w:sz="0" w:space="0" w:color="auto"/>
            <w:right w:val="none" w:sz="0" w:space="0" w:color="auto"/>
          </w:divBdr>
          <w:divsChild>
            <w:div w:id="414132880">
              <w:marLeft w:val="0"/>
              <w:marRight w:val="0"/>
              <w:marTop w:val="0"/>
              <w:marBottom w:val="0"/>
              <w:divBdr>
                <w:top w:val="none" w:sz="0" w:space="0" w:color="auto"/>
                <w:left w:val="none" w:sz="0" w:space="0" w:color="auto"/>
                <w:bottom w:val="none" w:sz="0" w:space="0" w:color="auto"/>
                <w:right w:val="none" w:sz="0" w:space="0" w:color="auto"/>
              </w:divBdr>
            </w:div>
          </w:divsChild>
        </w:div>
        <w:div w:id="1923837066">
          <w:marLeft w:val="0"/>
          <w:marRight w:val="0"/>
          <w:marTop w:val="0"/>
          <w:marBottom w:val="0"/>
          <w:divBdr>
            <w:top w:val="none" w:sz="0" w:space="0" w:color="auto"/>
            <w:left w:val="none" w:sz="0" w:space="0" w:color="auto"/>
            <w:bottom w:val="none" w:sz="0" w:space="0" w:color="auto"/>
            <w:right w:val="none" w:sz="0" w:space="0" w:color="auto"/>
          </w:divBdr>
          <w:divsChild>
            <w:div w:id="1132138493">
              <w:marLeft w:val="0"/>
              <w:marRight w:val="0"/>
              <w:marTop w:val="0"/>
              <w:marBottom w:val="0"/>
              <w:divBdr>
                <w:top w:val="none" w:sz="0" w:space="0" w:color="auto"/>
                <w:left w:val="none" w:sz="0" w:space="0" w:color="auto"/>
                <w:bottom w:val="none" w:sz="0" w:space="0" w:color="auto"/>
                <w:right w:val="none" w:sz="0" w:space="0" w:color="auto"/>
              </w:divBdr>
            </w:div>
          </w:divsChild>
        </w:div>
        <w:div w:id="1924757654">
          <w:marLeft w:val="0"/>
          <w:marRight w:val="0"/>
          <w:marTop w:val="0"/>
          <w:marBottom w:val="0"/>
          <w:divBdr>
            <w:top w:val="none" w:sz="0" w:space="0" w:color="auto"/>
            <w:left w:val="none" w:sz="0" w:space="0" w:color="auto"/>
            <w:bottom w:val="none" w:sz="0" w:space="0" w:color="auto"/>
            <w:right w:val="none" w:sz="0" w:space="0" w:color="auto"/>
          </w:divBdr>
          <w:divsChild>
            <w:div w:id="1894461827">
              <w:marLeft w:val="0"/>
              <w:marRight w:val="0"/>
              <w:marTop w:val="0"/>
              <w:marBottom w:val="0"/>
              <w:divBdr>
                <w:top w:val="none" w:sz="0" w:space="0" w:color="auto"/>
                <w:left w:val="none" w:sz="0" w:space="0" w:color="auto"/>
                <w:bottom w:val="none" w:sz="0" w:space="0" w:color="auto"/>
                <w:right w:val="none" w:sz="0" w:space="0" w:color="auto"/>
              </w:divBdr>
            </w:div>
          </w:divsChild>
        </w:div>
        <w:div w:id="1924875852">
          <w:marLeft w:val="0"/>
          <w:marRight w:val="0"/>
          <w:marTop w:val="0"/>
          <w:marBottom w:val="0"/>
          <w:divBdr>
            <w:top w:val="none" w:sz="0" w:space="0" w:color="auto"/>
            <w:left w:val="none" w:sz="0" w:space="0" w:color="auto"/>
            <w:bottom w:val="none" w:sz="0" w:space="0" w:color="auto"/>
            <w:right w:val="none" w:sz="0" w:space="0" w:color="auto"/>
          </w:divBdr>
          <w:divsChild>
            <w:div w:id="1691955944">
              <w:marLeft w:val="0"/>
              <w:marRight w:val="0"/>
              <w:marTop w:val="0"/>
              <w:marBottom w:val="0"/>
              <w:divBdr>
                <w:top w:val="none" w:sz="0" w:space="0" w:color="auto"/>
                <w:left w:val="none" w:sz="0" w:space="0" w:color="auto"/>
                <w:bottom w:val="none" w:sz="0" w:space="0" w:color="auto"/>
                <w:right w:val="none" w:sz="0" w:space="0" w:color="auto"/>
              </w:divBdr>
            </w:div>
          </w:divsChild>
        </w:div>
        <w:div w:id="1926647323">
          <w:marLeft w:val="0"/>
          <w:marRight w:val="0"/>
          <w:marTop w:val="0"/>
          <w:marBottom w:val="0"/>
          <w:divBdr>
            <w:top w:val="none" w:sz="0" w:space="0" w:color="auto"/>
            <w:left w:val="none" w:sz="0" w:space="0" w:color="auto"/>
            <w:bottom w:val="none" w:sz="0" w:space="0" w:color="auto"/>
            <w:right w:val="none" w:sz="0" w:space="0" w:color="auto"/>
          </w:divBdr>
          <w:divsChild>
            <w:div w:id="1661081841">
              <w:marLeft w:val="0"/>
              <w:marRight w:val="0"/>
              <w:marTop w:val="0"/>
              <w:marBottom w:val="0"/>
              <w:divBdr>
                <w:top w:val="none" w:sz="0" w:space="0" w:color="auto"/>
                <w:left w:val="none" w:sz="0" w:space="0" w:color="auto"/>
                <w:bottom w:val="none" w:sz="0" w:space="0" w:color="auto"/>
                <w:right w:val="none" w:sz="0" w:space="0" w:color="auto"/>
              </w:divBdr>
            </w:div>
          </w:divsChild>
        </w:div>
        <w:div w:id="1930458300">
          <w:marLeft w:val="0"/>
          <w:marRight w:val="0"/>
          <w:marTop w:val="0"/>
          <w:marBottom w:val="0"/>
          <w:divBdr>
            <w:top w:val="none" w:sz="0" w:space="0" w:color="auto"/>
            <w:left w:val="none" w:sz="0" w:space="0" w:color="auto"/>
            <w:bottom w:val="none" w:sz="0" w:space="0" w:color="auto"/>
            <w:right w:val="none" w:sz="0" w:space="0" w:color="auto"/>
          </w:divBdr>
          <w:divsChild>
            <w:div w:id="1549679873">
              <w:marLeft w:val="0"/>
              <w:marRight w:val="0"/>
              <w:marTop w:val="0"/>
              <w:marBottom w:val="0"/>
              <w:divBdr>
                <w:top w:val="none" w:sz="0" w:space="0" w:color="auto"/>
                <w:left w:val="none" w:sz="0" w:space="0" w:color="auto"/>
                <w:bottom w:val="none" w:sz="0" w:space="0" w:color="auto"/>
                <w:right w:val="none" w:sz="0" w:space="0" w:color="auto"/>
              </w:divBdr>
            </w:div>
          </w:divsChild>
        </w:div>
        <w:div w:id="1931156021">
          <w:marLeft w:val="0"/>
          <w:marRight w:val="0"/>
          <w:marTop w:val="0"/>
          <w:marBottom w:val="0"/>
          <w:divBdr>
            <w:top w:val="none" w:sz="0" w:space="0" w:color="auto"/>
            <w:left w:val="none" w:sz="0" w:space="0" w:color="auto"/>
            <w:bottom w:val="none" w:sz="0" w:space="0" w:color="auto"/>
            <w:right w:val="none" w:sz="0" w:space="0" w:color="auto"/>
          </w:divBdr>
          <w:divsChild>
            <w:div w:id="144442581">
              <w:marLeft w:val="0"/>
              <w:marRight w:val="0"/>
              <w:marTop w:val="0"/>
              <w:marBottom w:val="0"/>
              <w:divBdr>
                <w:top w:val="none" w:sz="0" w:space="0" w:color="auto"/>
                <w:left w:val="none" w:sz="0" w:space="0" w:color="auto"/>
                <w:bottom w:val="none" w:sz="0" w:space="0" w:color="auto"/>
                <w:right w:val="none" w:sz="0" w:space="0" w:color="auto"/>
              </w:divBdr>
            </w:div>
          </w:divsChild>
        </w:div>
        <w:div w:id="1932591806">
          <w:marLeft w:val="0"/>
          <w:marRight w:val="0"/>
          <w:marTop w:val="0"/>
          <w:marBottom w:val="0"/>
          <w:divBdr>
            <w:top w:val="none" w:sz="0" w:space="0" w:color="auto"/>
            <w:left w:val="none" w:sz="0" w:space="0" w:color="auto"/>
            <w:bottom w:val="none" w:sz="0" w:space="0" w:color="auto"/>
            <w:right w:val="none" w:sz="0" w:space="0" w:color="auto"/>
          </w:divBdr>
          <w:divsChild>
            <w:div w:id="1137409079">
              <w:marLeft w:val="0"/>
              <w:marRight w:val="0"/>
              <w:marTop w:val="0"/>
              <w:marBottom w:val="0"/>
              <w:divBdr>
                <w:top w:val="none" w:sz="0" w:space="0" w:color="auto"/>
                <w:left w:val="none" w:sz="0" w:space="0" w:color="auto"/>
                <w:bottom w:val="none" w:sz="0" w:space="0" w:color="auto"/>
                <w:right w:val="none" w:sz="0" w:space="0" w:color="auto"/>
              </w:divBdr>
            </w:div>
          </w:divsChild>
        </w:div>
        <w:div w:id="1933734415">
          <w:marLeft w:val="0"/>
          <w:marRight w:val="0"/>
          <w:marTop w:val="0"/>
          <w:marBottom w:val="0"/>
          <w:divBdr>
            <w:top w:val="none" w:sz="0" w:space="0" w:color="auto"/>
            <w:left w:val="none" w:sz="0" w:space="0" w:color="auto"/>
            <w:bottom w:val="none" w:sz="0" w:space="0" w:color="auto"/>
            <w:right w:val="none" w:sz="0" w:space="0" w:color="auto"/>
          </w:divBdr>
          <w:divsChild>
            <w:div w:id="1493720827">
              <w:marLeft w:val="0"/>
              <w:marRight w:val="0"/>
              <w:marTop w:val="0"/>
              <w:marBottom w:val="0"/>
              <w:divBdr>
                <w:top w:val="none" w:sz="0" w:space="0" w:color="auto"/>
                <w:left w:val="none" w:sz="0" w:space="0" w:color="auto"/>
                <w:bottom w:val="none" w:sz="0" w:space="0" w:color="auto"/>
                <w:right w:val="none" w:sz="0" w:space="0" w:color="auto"/>
              </w:divBdr>
            </w:div>
          </w:divsChild>
        </w:div>
        <w:div w:id="1934437438">
          <w:marLeft w:val="0"/>
          <w:marRight w:val="0"/>
          <w:marTop w:val="0"/>
          <w:marBottom w:val="0"/>
          <w:divBdr>
            <w:top w:val="none" w:sz="0" w:space="0" w:color="auto"/>
            <w:left w:val="none" w:sz="0" w:space="0" w:color="auto"/>
            <w:bottom w:val="none" w:sz="0" w:space="0" w:color="auto"/>
            <w:right w:val="none" w:sz="0" w:space="0" w:color="auto"/>
          </w:divBdr>
          <w:divsChild>
            <w:div w:id="1085419072">
              <w:marLeft w:val="0"/>
              <w:marRight w:val="0"/>
              <w:marTop w:val="0"/>
              <w:marBottom w:val="0"/>
              <w:divBdr>
                <w:top w:val="none" w:sz="0" w:space="0" w:color="auto"/>
                <w:left w:val="none" w:sz="0" w:space="0" w:color="auto"/>
                <w:bottom w:val="none" w:sz="0" w:space="0" w:color="auto"/>
                <w:right w:val="none" w:sz="0" w:space="0" w:color="auto"/>
              </w:divBdr>
            </w:div>
          </w:divsChild>
        </w:div>
        <w:div w:id="1934780841">
          <w:marLeft w:val="0"/>
          <w:marRight w:val="0"/>
          <w:marTop w:val="0"/>
          <w:marBottom w:val="0"/>
          <w:divBdr>
            <w:top w:val="none" w:sz="0" w:space="0" w:color="auto"/>
            <w:left w:val="none" w:sz="0" w:space="0" w:color="auto"/>
            <w:bottom w:val="none" w:sz="0" w:space="0" w:color="auto"/>
            <w:right w:val="none" w:sz="0" w:space="0" w:color="auto"/>
          </w:divBdr>
          <w:divsChild>
            <w:div w:id="1485506944">
              <w:marLeft w:val="0"/>
              <w:marRight w:val="0"/>
              <w:marTop w:val="0"/>
              <w:marBottom w:val="0"/>
              <w:divBdr>
                <w:top w:val="none" w:sz="0" w:space="0" w:color="auto"/>
                <w:left w:val="none" w:sz="0" w:space="0" w:color="auto"/>
                <w:bottom w:val="none" w:sz="0" w:space="0" w:color="auto"/>
                <w:right w:val="none" w:sz="0" w:space="0" w:color="auto"/>
              </w:divBdr>
            </w:div>
          </w:divsChild>
        </w:div>
        <w:div w:id="1938126592">
          <w:marLeft w:val="0"/>
          <w:marRight w:val="0"/>
          <w:marTop w:val="0"/>
          <w:marBottom w:val="0"/>
          <w:divBdr>
            <w:top w:val="none" w:sz="0" w:space="0" w:color="auto"/>
            <w:left w:val="none" w:sz="0" w:space="0" w:color="auto"/>
            <w:bottom w:val="none" w:sz="0" w:space="0" w:color="auto"/>
            <w:right w:val="none" w:sz="0" w:space="0" w:color="auto"/>
          </w:divBdr>
          <w:divsChild>
            <w:div w:id="1156805036">
              <w:marLeft w:val="0"/>
              <w:marRight w:val="0"/>
              <w:marTop w:val="0"/>
              <w:marBottom w:val="0"/>
              <w:divBdr>
                <w:top w:val="none" w:sz="0" w:space="0" w:color="auto"/>
                <w:left w:val="none" w:sz="0" w:space="0" w:color="auto"/>
                <w:bottom w:val="none" w:sz="0" w:space="0" w:color="auto"/>
                <w:right w:val="none" w:sz="0" w:space="0" w:color="auto"/>
              </w:divBdr>
            </w:div>
          </w:divsChild>
        </w:div>
        <w:div w:id="1949921140">
          <w:marLeft w:val="0"/>
          <w:marRight w:val="0"/>
          <w:marTop w:val="0"/>
          <w:marBottom w:val="0"/>
          <w:divBdr>
            <w:top w:val="none" w:sz="0" w:space="0" w:color="auto"/>
            <w:left w:val="none" w:sz="0" w:space="0" w:color="auto"/>
            <w:bottom w:val="none" w:sz="0" w:space="0" w:color="auto"/>
            <w:right w:val="none" w:sz="0" w:space="0" w:color="auto"/>
          </w:divBdr>
          <w:divsChild>
            <w:div w:id="530722902">
              <w:marLeft w:val="0"/>
              <w:marRight w:val="0"/>
              <w:marTop w:val="0"/>
              <w:marBottom w:val="0"/>
              <w:divBdr>
                <w:top w:val="none" w:sz="0" w:space="0" w:color="auto"/>
                <w:left w:val="none" w:sz="0" w:space="0" w:color="auto"/>
                <w:bottom w:val="none" w:sz="0" w:space="0" w:color="auto"/>
                <w:right w:val="none" w:sz="0" w:space="0" w:color="auto"/>
              </w:divBdr>
            </w:div>
          </w:divsChild>
        </w:div>
        <w:div w:id="1951430179">
          <w:marLeft w:val="0"/>
          <w:marRight w:val="0"/>
          <w:marTop w:val="0"/>
          <w:marBottom w:val="0"/>
          <w:divBdr>
            <w:top w:val="none" w:sz="0" w:space="0" w:color="auto"/>
            <w:left w:val="none" w:sz="0" w:space="0" w:color="auto"/>
            <w:bottom w:val="none" w:sz="0" w:space="0" w:color="auto"/>
            <w:right w:val="none" w:sz="0" w:space="0" w:color="auto"/>
          </w:divBdr>
          <w:divsChild>
            <w:div w:id="22485574">
              <w:marLeft w:val="0"/>
              <w:marRight w:val="0"/>
              <w:marTop w:val="0"/>
              <w:marBottom w:val="0"/>
              <w:divBdr>
                <w:top w:val="none" w:sz="0" w:space="0" w:color="auto"/>
                <w:left w:val="none" w:sz="0" w:space="0" w:color="auto"/>
                <w:bottom w:val="none" w:sz="0" w:space="0" w:color="auto"/>
                <w:right w:val="none" w:sz="0" w:space="0" w:color="auto"/>
              </w:divBdr>
            </w:div>
          </w:divsChild>
        </w:div>
        <w:div w:id="1956668743">
          <w:marLeft w:val="0"/>
          <w:marRight w:val="0"/>
          <w:marTop w:val="0"/>
          <w:marBottom w:val="0"/>
          <w:divBdr>
            <w:top w:val="none" w:sz="0" w:space="0" w:color="auto"/>
            <w:left w:val="none" w:sz="0" w:space="0" w:color="auto"/>
            <w:bottom w:val="none" w:sz="0" w:space="0" w:color="auto"/>
            <w:right w:val="none" w:sz="0" w:space="0" w:color="auto"/>
          </w:divBdr>
          <w:divsChild>
            <w:div w:id="938416823">
              <w:marLeft w:val="0"/>
              <w:marRight w:val="0"/>
              <w:marTop w:val="0"/>
              <w:marBottom w:val="0"/>
              <w:divBdr>
                <w:top w:val="none" w:sz="0" w:space="0" w:color="auto"/>
                <w:left w:val="none" w:sz="0" w:space="0" w:color="auto"/>
                <w:bottom w:val="none" w:sz="0" w:space="0" w:color="auto"/>
                <w:right w:val="none" w:sz="0" w:space="0" w:color="auto"/>
              </w:divBdr>
            </w:div>
          </w:divsChild>
        </w:div>
        <w:div w:id="1956867659">
          <w:marLeft w:val="0"/>
          <w:marRight w:val="0"/>
          <w:marTop w:val="0"/>
          <w:marBottom w:val="0"/>
          <w:divBdr>
            <w:top w:val="none" w:sz="0" w:space="0" w:color="auto"/>
            <w:left w:val="none" w:sz="0" w:space="0" w:color="auto"/>
            <w:bottom w:val="none" w:sz="0" w:space="0" w:color="auto"/>
            <w:right w:val="none" w:sz="0" w:space="0" w:color="auto"/>
          </w:divBdr>
          <w:divsChild>
            <w:div w:id="1862235010">
              <w:marLeft w:val="0"/>
              <w:marRight w:val="0"/>
              <w:marTop w:val="0"/>
              <w:marBottom w:val="0"/>
              <w:divBdr>
                <w:top w:val="none" w:sz="0" w:space="0" w:color="auto"/>
                <w:left w:val="none" w:sz="0" w:space="0" w:color="auto"/>
                <w:bottom w:val="none" w:sz="0" w:space="0" w:color="auto"/>
                <w:right w:val="none" w:sz="0" w:space="0" w:color="auto"/>
              </w:divBdr>
            </w:div>
          </w:divsChild>
        </w:div>
        <w:div w:id="1958750679">
          <w:marLeft w:val="0"/>
          <w:marRight w:val="0"/>
          <w:marTop w:val="0"/>
          <w:marBottom w:val="0"/>
          <w:divBdr>
            <w:top w:val="none" w:sz="0" w:space="0" w:color="auto"/>
            <w:left w:val="none" w:sz="0" w:space="0" w:color="auto"/>
            <w:bottom w:val="none" w:sz="0" w:space="0" w:color="auto"/>
            <w:right w:val="none" w:sz="0" w:space="0" w:color="auto"/>
          </w:divBdr>
          <w:divsChild>
            <w:div w:id="566956156">
              <w:marLeft w:val="0"/>
              <w:marRight w:val="0"/>
              <w:marTop w:val="0"/>
              <w:marBottom w:val="0"/>
              <w:divBdr>
                <w:top w:val="none" w:sz="0" w:space="0" w:color="auto"/>
                <w:left w:val="none" w:sz="0" w:space="0" w:color="auto"/>
                <w:bottom w:val="none" w:sz="0" w:space="0" w:color="auto"/>
                <w:right w:val="none" w:sz="0" w:space="0" w:color="auto"/>
              </w:divBdr>
            </w:div>
          </w:divsChild>
        </w:div>
        <w:div w:id="1961109206">
          <w:marLeft w:val="0"/>
          <w:marRight w:val="0"/>
          <w:marTop w:val="0"/>
          <w:marBottom w:val="0"/>
          <w:divBdr>
            <w:top w:val="none" w:sz="0" w:space="0" w:color="auto"/>
            <w:left w:val="none" w:sz="0" w:space="0" w:color="auto"/>
            <w:bottom w:val="none" w:sz="0" w:space="0" w:color="auto"/>
            <w:right w:val="none" w:sz="0" w:space="0" w:color="auto"/>
          </w:divBdr>
          <w:divsChild>
            <w:div w:id="1280338941">
              <w:marLeft w:val="0"/>
              <w:marRight w:val="0"/>
              <w:marTop w:val="0"/>
              <w:marBottom w:val="0"/>
              <w:divBdr>
                <w:top w:val="none" w:sz="0" w:space="0" w:color="auto"/>
                <w:left w:val="none" w:sz="0" w:space="0" w:color="auto"/>
                <w:bottom w:val="none" w:sz="0" w:space="0" w:color="auto"/>
                <w:right w:val="none" w:sz="0" w:space="0" w:color="auto"/>
              </w:divBdr>
            </w:div>
          </w:divsChild>
        </w:div>
        <w:div w:id="1961767567">
          <w:marLeft w:val="0"/>
          <w:marRight w:val="0"/>
          <w:marTop w:val="0"/>
          <w:marBottom w:val="0"/>
          <w:divBdr>
            <w:top w:val="none" w:sz="0" w:space="0" w:color="auto"/>
            <w:left w:val="none" w:sz="0" w:space="0" w:color="auto"/>
            <w:bottom w:val="none" w:sz="0" w:space="0" w:color="auto"/>
            <w:right w:val="none" w:sz="0" w:space="0" w:color="auto"/>
          </w:divBdr>
          <w:divsChild>
            <w:div w:id="1063984573">
              <w:marLeft w:val="0"/>
              <w:marRight w:val="0"/>
              <w:marTop w:val="0"/>
              <w:marBottom w:val="0"/>
              <w:divBdr>
                <w:top w:val="none" w:sz="0" w:space="0" w:color="auto"/>
                <w:left w:val="none" w:sz="0" w:space="0" w:color="auto"/>
                <w:bottom w:val="none" w:sz="0" w:space="0" w:color="auto"/>
                <w:right w:val="none" w:sz="0" w:space="0" w:color="auto"/>
              </w:divBdr>
            </w:div>
          </w:divsChild>
        </w:div>
        <w:div w:id="1964532417">
          <w:marLeft w:val="0"/>
          <w:marRight w:val="0"/>
          <w:marTop w:val="0"/>
          <w:marBottom w:val="0"/>
          <w:divBdr>
            <w:top w:val="none" w:sz="0" w:space="0" w:color="auto"/>
            <w:left w:val="none" w:sz="0" w:space="0" w:color="auto"/>
            <w:bottom w:val="none" w:sz="0" w:space="0" w:color="auto"/>
            <w:right w:val="none" w:sz="0" w:space="0" w:color="auto"/>
          </w:divBdr>
          <w:divsChild>
            <w:div w:id="1813785186">
              <w:marLeft w:val="0"/>
              <w:marRight w:val="0"/>
              <w:marTop w:val="0"/>
              <w:marBottom w:val="0"/>
              <w:divBdr>
                <w:top w:val="none" w:sz="0" w:space="0" w:color="auto"/>
                <w:left w:val="none" w:sz="0" w:space="0" w:color="auto"/>
                <w:bottom w:val="none" w:sz="0" w:space="0" w:color="auto"/>
                <w:right w:val="none" w:sz="0" w:space="0" w:color="auto"/>
              </w:divBdr>
            </w:div>
          </w:divsChild>
        </w:div>
        <w:div w:id="1964534445">
          <w:marLeft w:val="0"/>
          <w:marRight w:val="0"/>
          <w:marTop w:val="0"/>
          <w:marBottom w:val="0"/>
          <w:divBdr>
            <w:top w:val="none" w:sz="0" w:space="0" w:color="auto"/>
            <w:left w:val="none" w:sz="0" w:space="0" w:color="auto"/>
            <w:bottom w:val="none" w:sz="0" w:space="0" w:color="auto"/>
            <w:right w:val="none" w:sz="0" w:space="0" w:color="auto"/>
          </w:divBdr>
          <w:divsChild>
            <w:div w:id="689142952">
              <w:marLeft w:val="0"/>
              <w:marRight w:val="0"/>
              <w:marTop w:val="0"/>
              <w:marBottom w:val="0"/>
              <w:divBdr>
                <w:top w:val="none" w:sz="0" w:space="0" w:color="auto"/>
                <w:left w:val="none" w:sz="0" w:space="0" w:color="auto"/>
                <w:bottom w:val="none" w:sz="0" w:space="0" w:color="auto"/>
                <w:right w:val="none" w:sz="0" w:space="0" w:color="auto"/>
              </w:divBdr>
            </w:div>
          </w:divsChild>
        </w:div>
        <w:div w:id="1967345035">
          <w:marLeft w:val="0"/>
          <w:marRight w:val="0"/>
          <w:marTop w:val="0"/>
          <w:marBottom w:val="0"/>
          <w:divBdr>
            <w:top w:val="none" w:sz="0" w:space="0" w:color="auto"/>
            <w:left w:val="none" w:sz="0" w:space="0" w:color="auto"/>
            <w:bottom w:val="none" w:sz="0" w:space="0" w:color="auto"/>
            <w:right w:val="none" w:sz="0" w:space="0" w:color="auto"/>
          </w:divBdr>
          <w:divsChild>
            <w:div w:id="807160967">
              <w:marLeft w:val="0"/>
              <w:marRight w:val="0"/>
              <w:marTop w:val="0"/>
              <w:marBottom w:val="0"/>
              <w:divBdr>
                <w:top w:val="none" w:sz="0" w:space="0" w:color="auto"/>
                <w:left w:val="none" w:sz="0" w:space="0" w:color="auto"/>
                <w:bottom w:val="none" w:sz="0" w:space="0" w:color="auto"/>
                <w:right w:val="none" w:sz="0" w:space="0" w:color="auto"/>
              </w:divBdr>
            </w:div>
          </w:divsChild>
        </w:div>
        <w:div w:id="1968197525">
          <w:marLeft w:val="0"/>
          <w:marRight w:val="0"/>
          <w:marTop w:val="0"/>
          <w:marBottom w:val="0"/>
          <w:divBdr>
            <w:top w:val="none" w:sz="0" w:space="0" w:color="auto"/>
            <w:left w:val="none" w:sz="0" w:space="0" w:color="auto"/>
            <w:bottom w:val="none" w:sz="0" w:space="0" w:color="auto"/>
            <w:right w:val="none" w:sz="0" w:space="0" w:color="auto"/>
          </w:divBdr>
          <w:divsChild>
            <w:div w:id="801309359">
              <w:marLeft w:val="0"/>
              <w:marRight w:val="0"/>
              <w:marTop w:val="0"/>
              <w:marBottom w:val="0"/>
              <w:divBdr>
                <w:top w:val="none" w:sz="0" w:space="0" w:color="auto"/>
                <w:left w:val="none" w:sz="0" w:space="0" w:color="auto"/>
                <w:bottom w:val="none" w:sz="0" w:space="0" w:color="auto"/>
                <w:right w:val="none" w:sz="0" w:space="0" w:color="auto"/>
              </w:divBdr>
            </w:div>
          </w:divsChild>
        </w:div>
        <w:div w:id="1970817318">
          <w:marLeft w:val="0"/>
          <w:marRight w:val="0"/>
          <w:marTop w:val="0"/>
          <w:marBottom w:val="0"/>
          <w:divBdr>
            <w:top w:val="none" w:sz="0" w:space="0" w:color="auto"/>
            <w:left w:val="none" w:sz="0" w:space="0" w:color="auto"/>
            <w:bottom w:val="none" w:sz="0" w:space="0" w:color="auto"/>
            <w:right w:val="none" w:sz="0" w:space="0" w:color="auto"/>
          </w:divBdr>
          <w:divsChild>
            <w:div w:id="2128742153">
              <w:marLeft w:val="0"/>
              <w:marRight w:val="0"/>
              <w:marTop w:val="0"/>
              <w:marBottom w:val="0"/>
              <w:divBdr>
                <w:top w:val="none" w:sz="0" w:space="0" w:color="auto"/>
                <w:left w:val="none" w:sz="0" w:space="0" w:color="auto"/>
                <w:bottom w:val="none" w:sz="0" w:space="0" w:color="auto"/>
                <w:right w:val="none" w:sz="0" w:space="0" w:color="auto"/>
              </w:divBdr>
            </w:div>
          </w:divsChild>
        </w:div>
        <w:div w:id="1971158698">
          <w:marLeft w:val="0"/>
          <w:marRight w:val="0"/>
          <w:marTop w:val="0"/>
          <w:marBottom w:val="0"/>
          <w:divBdr>
            <w:top w:val="none" w:sz="0" w:space="0" w:color="auto"/>
            <w:left w:val="none" w:sz="0" w:space="0" w:color="auto"/>
            <w:bottom w:val="none" w:sz="0" w:space="0" w:color="auto"/>
            <w:right w:val="none" w:sz="0" w:space="0" w:color="auto"/>
          </w:divBdr>
          <w:divsChild>
            <w:div w:id="1111626076">
              <w:marLeft w:val="0"/>
              <w:marRight w:val="0"/>
              <w:marTop w:val="0"/>
              <w:marBottom w:val="0"/>
              <w:divBdr>
                <w:top w:val="none" w:sz="0" w:space="0" w:color="auto"/>
                <w:left w:val="none" w:sz="0" w:space="0" w:color="auto"/>
                <w:bottom w:val="none" w:sz="0" w:space="0" w:color="auto"/>
                <w:right w:val="none" w:sz="0" w:space="0" w:color="auto"/>
              </w:divBdr>
            </w:div>
          </w:divsChild>
        </w:div>
        <w:div w:id="1973168284">
          <w:marLeft w:val="0"/>
          <w:marRight w:val="0"/>
          <w:marTop w:val="0"/>
          <w:marBottom w:val="0"/>
          <w:divBdr>
            <w:top w:val="none" w:sz="0" w:space="0" w:color="auto"/>
            <w:left w:val="none" w:sz="0" w:space="0" w:color="auto"/>
            <w:bottom w:val="none" w:sz="0" w:space="0" w:color="auto"/>
            <w:right w:val="none" w:sz="0" w:space="0" w:color="auto"/>
          </w:divBdr>
          <w:divsChild>
            <w:div w:id="1548105284">
              <w:marLeft w:val="0"/>
              <w:marRight w:val="0"/>
              <w:marTop w:val="0"/>
              <w:marBottom w:val="0"/>
              <w:divBdr>
                <w:top w:val="none" w:sz="0" w:space="0" w:color="auto"/>
                <w:left w:val="none" w:sz="0" w:space="0" w:color="auto"/>
                <w:bottom w:val="none" w:sz="0" w:space="0" w:color="auto"/>
                <w:right w:val="none" w:sz="0" w:space="0" w:color="auto"/>
              </w:divBdr>
            </w:div>
          </w:divsChild>
        </w:div>
        <w:div w:id="1973170425">
          <w:marLeft w:val="0"/>
          <w:marRight w:val="0"/>
          <w:marTop w:val="0"/>
          <w:marBottom w:val="0"/>
          <w:divBdr>
            <w:top w:val="none" w:sz="0" w:space="0" w:color="auto"/>
            <w:left w:val="none" w:sz="0" w:space="0" w:color="auto"/>
            <w:bottom w:val="none" w:sz="0" w:space="0" w:color="auto"/>
            <w:right w:val="none" w:sz="0" w:space="0" w:color="auto"/>
          </w:divBdr>
          <w:divsChild>
            <w:div w:id="268781476">
              <w:marLeft w:val="0"/>
              <w:marRight w:val="0"/>
              <w:marTop w:val="0"/>
              <w:marBottom w:val="0"/>
              <w:divBdr>
                <w:top w:val="none" w:sz="0" w:space="0" w:color="auto"/>
                <w:left w:val="none" w:sz="0" w:space="0" w:color="auto"/>
                <w:bottom w:val="none" w:sz="0" w:space="0" w:color="auto"/>
                <w:right w:val="none" w:sz="0" w:space="0" w:color="auto"/>
              </w:divBdr>
            </w:div>
          </w:divsChild>
        </w:div>
        <w:div w:id="1976132479">
          <w:marLeft w:val="0"/>
          <w:marRight w:val="0"/>
          <w:marTop w:val="0"/>
          <w:marBottom w:val="0"/>
          <w:divBdr>
            <w:top w:val="none" w:sz="0" w:space="0" w:color="auto"/>
            <w:left w:val="none" w:sz="0" w:space="0" w:color="auto"/>
            <w:bottom w:val="none" w:sz="0" w:space="0" w:color="auto"/>
            <w:right w:val="none" w:sz="0" w:space="0" w:color="auto"/>
          </w:divBdr>
          <w:divsChild>
            <w:div w:id="629167597">
              <w:marLeft w:val="0"/>
              <w:marRight w:val="0"/>
              <w:marTop w:val="0"/>
              <w:marBottom w:val="0"/>
              <w:divBdr>
                <w:top w:val="none" w:sz="0" w:space="0" w:color="auto"/>
                <w:left w:val="none" w:sz="0" w:space="0" w:color="auto"/>
                <w:bottom w:val="none" w:sz="0" w:space="0" w:color="auto"/>
                <w:right w:val="none" w:sz="0" w:space="0" w:color="auto"/>
              </w:divBdr>
            </w:div>
          </w:divsChild>
        </w:div>
        <w:div w:id="1978101719">
          <w:marLeft w:val="0"/>
          <w:marRight w:val="0"/>
          <w:marTop w:val="0"/>
          <w:marBottom w:val="0"/>
          <w:divBdr>
            <w:top w:val="none" w:sz="0" w:space="0" w:color="auto"/>
            <w:left w:val="none" w:sz="0" w:space="0" w:color="auto"/>
            <w:bottom w:val="none" w:sz="0" w:space="0" w:color="auto"/>
            <w:right w:val="none" w:sz="0" w:space="0" w:color="auto"/>
          </w:divBdr>
          <w:divsChild>
            <w:div w:id="1978294739">
              <w:marLeft w:val="0"/>
              <w:marRight w:val="0"/>
              <w:marTop w:val="0"/>
              <w:marBottom w:val="0"/>
              <w:divBdr>
                <w:top w:val="none" w:sz="0" w:space="0" w:color="auto"/>
                <w:left w:val="none" w:sz="0" w:space="0" w:color="auto"/>
                <w:bottom w:val="none" w:sz="0" w:space="0" w:color="auto"/>
                <w:right w:val="none" w:sz="0" w:space="0" w:color="auto"/>
              </w:divBdr>
            </w:div>
          </w:divsChild>
        </w:div>
        <w:div w:id="1983776181">
          <w:marLeft w:val="0"/>
          <w:marRight w:val="0"/>
          <w:marTop w:val="0"/>
          <w:marBottom w:val="0"/>
          <w:divBdr>
            <w:top w:val="none" w:sz="0" w:space="0" w:color="auto"/>
            <w:left w:val="none" w:sz="0" w:space="0" w:color="auto"/>
            <w:bottom w:val="none" w:sz="0" w:space="0" w:color="auto"/>
            <w:right w:val="none" w:sz="0" w:space="0" w:color="auto"/>
          </w:divBdr>
          <w:divsChild>
            <w:div w:id="1115639530">
              <w:marLeft w:val="0"/>
              <w:marRight w:val="0"/>
              <w:marTop w:val="0"/>
              <w:marBottom w:val="0"/>
              <w:divBdr>
                <w:top w:val="none" w:sz="0" w:space="0" w:color="auto"/>
                <w:left w:val="none" w:sz="0" w:space="0" w:color="auto"/>
                <w:bottom w:val="none" w:sz="0" w:space="0" w:color="auto"/>
                <w:right w:val="none" w:sz="0" w:space="0" w:color="auto"/>
              </w:divBdr>
            </w:div>
          </w:divsChild>
        </w:div>
        <w:div w:id="1989240119">
          <w:marLeft w:val="0"/>
          <w:marRight w:val="0"/>
          <w:marTop w:val="0"/>
          <w:marBottom w:val="0"/>
          <w:divBdr>
            <w:top w:val="none" w:sz="0" w:space="0" w:color="auto"/>
            <w:left w:val="none" w:sz="0" w:space="0" w:color="auto"/>
            <w:bottom w:val="none" w:sz="0" w:space="0" w:color="auto"/>
            <w:right w:val="none" w:sz="0" w:space="0" w:color="auto"/>
          </w:divBdr>
          <w:divsChild>
            <w:div w:id="1939213446">
              <w:marLeft w:val="0"/>
              <w:marRight w:val="0"/>
              <w:marTop w:val="0"/>
              <w:marBottom w:val="0"/>
              <w:divBdr>
                <w:top w:val="none" w:sz="0" w:space="0" w:color="auto"/>
                <w:left w:val="none" w:sz="0" w:space="0" w:color="auto"/>
                <w:bottom w:val="none" w:sz="0" w:space="0" w:color="auto"/>
                <w:right w:val="none" w:sz="0" w:space="0" w:color="auto"/>
              </w:divBdr>
            </w:div>
          </w:divsChild>
        </w:div>
        <w:div w:id="1989243307">
          <w:marLeft w:val="0"/>
          <w:marRight w:val="0"/>
          <w:marTop w:val="0"/>
          <w:marBottom w:val="0"/>
          <w:divBdr>
            <w:top w:val="none" w:sz="0" w:space="0" w:color="auto"/>
            <w:left w:val="none" w:sz="0" w:space="0" w:color="auto"/>
            <w:bottom w:val="none" w:sz="0" w:space="0" w:color="auto"/>
            <w:right w:val="none" w:sz="0" w:space="0" w:color="auto"/>
          </w:divBdr>
          <w:divsChild>
            <w:div w:id="1992516218">
              <w:marLeft w:val="0"/>
              <w:marRight w:val="0"/>
              <w:marTop w:val="0"/>
              <w:marBottom w:val="0"/>
              <w:divBdr>
                <w:top w:val="none" w:sz="0" w:space="0" w:color="auto"/>
                <w:left w:val="none" w:sz="0" w:space="0" w:color="auto"/>
                <w:bottom w:val="none" w:sz="0" w:space="0" w:color="auto"/>
                <w:right w:val="none" w:sz="0" w:space="0" w:color="auto"/>
              </w:divBdr>
            </w:div>
          </w:divsChild>
        </w:div>
        <w:div w:id="1990015029">
          <w:marLeft w:val="0"/>
          <w:marRight w:val="0"/>
          <w:marTop w:val="0"/>
          <w:marBottom w:val="0"/>
          <w:divBdr>
            <w:top w:val="none" w:sz="0" w:space="0" w:color="auto"/>
            <w:left w:val="none" w:sz="0" w:space="0" w:color="auto"/>
            <w:bottom w:val="none" w:sz="0" w:space="0" w:color="auto"/>
            <w:right w:val="none" w:sz="0" w:space="0" w:color="auto"/>
          </w:divBdr>
          <w:divsChild>
            <w:div w:id="507211163">
              <w:marLeft w:val="0"/>
              <w:marRight w:val="0"/>
              <w:marTop w:val="0"/>
              <w:marBottom w:val="0"/>
              <w:divBdr>
                <w:top w:val="none" w:sz="0" w:space="0" w:color="auto"/>
                <w:left w:val="none" w:sz="0" w:space="0" w:color="auto"/>
                <w:bottom w:val="none" w:sz="0" w:space="0" w:color="auto"/>
                <w:right w:val="none" w:sz="0" w:space="0" w:color="auto"/>
              </w:divBdr>
            </w:div>
          </w:divsChild>
        </w:div>
        <w:div w:id="1991710477">
          <w:marLeft w:val="0"/>
          <w:marRight w:val="0"/>
          <w:marTop w:val="0"/>
          <w:marBottom w:val="0"/>
          <w:divBdr>
            <w:top w:val="none" w:sz="0" w:space="0" w:color="auto"/>
            <w:left w:val="none" w:sz="0" w:space="0" w:color="auto"/>
            <w:bottom w:val="none" w:sz="0" w:space="0" w:color="auto"/>
            <w:right w:val="none" w:sz="0" w:space="0" w:color="auto"/>
          </w:divBdr>
          <w:divsChild>
            <w:div w:id="289866605">
              <w:marLeft w:val="0"/>
              <w:marRight w:val="0"/>
              <w:marTop w:val="0"/>
              <w:marBottom w:val="0"/>
              <w:divBdr>
                <w:top w:val="none" w:sz="0" w:space="0" w:color="auto"/>
                <w:left w:val="none" w:sz="0" w:space="0" w:color="auto"/>
                <w:bottom w:val="none" w:sz="0" w:space="0" w:color="auto"/>
                <w:right w:val="none" w:sz="0" w:space="0" w:color="auto"/>
              </w:divBdr>
            </w:div>
          </w:divsChild>
        </w:div>
        <w:div w:id="1992060532">
          <w:marLeft w:val="0"/>
          <w:marRight w:val="0"/>
          <w:marTop w:val="0"/>
          <w:marBottom w:val="0"/>
          <w:divBdr>
            <w:top w:val="none" w:sz="0" w:space="0" w:color="auto"/>
            <w:left w:val="none" w:sz="0" w:space="0" w:color="auto"/>
            <w:bottom w:val="none" w:sz="0" w:space="0" w:color="auto"/>
            <w:right w:val="none" w:sz="0" w:space="0" w:color="auto"/>
          </w:divBdr>
          <w:divsChild>
            <w:div w:id="2004775840">
              <w:marLeft w:val="0"/>
              <w:marRight w:val="0"/>
              <w:marTop w:val="0"/>
              <w:marBottom w:val="0"/>
              <w:divBdr>
                <w:top w:val="none" w:sz="0" w:space="0" w:color="auto"/>
                <w:left w:val="none" w:sz="0" w:space="0" w:color="auto"/>
                <w:bottom w:val="none" w:sz="0" w:space="0" w:color="auto"/>
                <w:right w:val="none" w:sz="0" w:space="0" w:color="auto"/>
              </w:divBdr>
            </w:div>
          </w:divsChild>
        </w:div>
        <w:div w:id="1992444390">
          <w:marLeft w:val="0"/>
          <w:marRight w:val="0"/>
          <w:marTop w:val="0"/>
          <w:marBottom w:val="0"/>
          <w:divBdr>
            <w:top w:val="none" w:sz="0" w:space="0" w:color="auto"/>
            <w:left w:val="none" w:sz="0" w:space="0" w:color="auto"/>
            <w:bottom w:val="none" w:sz="0" w:space="0" w:color="auto"/>
            <w:right w:val="none" w:sz="0" w:space="0" w:color="auto"/>
          </w:divBdr>
          <w:divsChild>
            <w:div w:id="2038500236">
              <w:marLeft w:val="0"/>
              <w:marRight w:val="0"/>
              <w:marTop w:val="0"/>
              <w:marBottom w:val="0"/>
              <w:divBdr>
                <w:top w:val="none" w:sz="0" w:space="0" w:color="auto"/>
                <w:left w:val="none" w:sz="0" w:space="0" w:color="auto"/>
                <w:bottom w:val="none" w:sz="0" w:space="0" w:color="auto"/>
                <w:right w:val="none" w:sz="0" w:space="0" w:color="auto"/>
              </w:divBdr>
            </w:div>
          </w:divsChild>
        </w:div>
        <w:div w:id="1993484202">
          <w:marLeft w:val="0"/>
          <w:marRight w:val="0"/>
          <w:marTop w:val="0"/>
          <w:marBottom w:val="0"/>
          <w:divBdr>
            <w:top w:val="none" w:sz="0" w:space="0" w:color="auto"/>
            <w:left w:val="none" w:sz="0" w:space="0" w:color="auto"/>
            <w:bottom w:val="none" w:sz="0" w:space="0" w:color="auto"/>
            <w:right w:val="none" w:sz="0" w:space="0" w:color="auto"/>
          </w:divBdr>
          <w:divsChild>
            <w:div w:id="75397308">
              <w:marLeft w:val="0"/>
              <w:marRight w:val="0"/>
              <w:marTop w:val="0"/>
              <w:marBottom w:val="0"/>
              <w:divBdr>
                <w:top w:val="none" w:sz="0" w:space="0" w:color="auto"/>
                <w:left w:val="none" w:sz="0" w:space="0" w:color="auto"/>
                <w:bottom w:val="none" w:sz="0" w:space="0" w:color="auto"/>
                <w:right w:val="none" w:sz="0" w:space="0" w:color="auto"/>
              </w:divBdr>
            </w:div>
          </w:divsChild>
        </w:div>
        <w:div w:id="1997755503">
          <w:marLeft w:val="0"/>
          <w:marRight w:val="0"/>
          <w:marTop w:val="0"/>
          <w:marBottom w:val="0"/>
          <w:divBdr>
            <w:top w:val="none" w:sz="0" w:space="0" w:color="auto"/>
            <w:left w:val="none" w:sz="0" w:space="0" w:color="auto"/>
            <w:bottom w:val="none" w:sz="0" w:space="0" w:color="auto"/>
            <w:right w:val="none" w:sz="0" w:space="0" w:color="auto"/>
          </w:divBdr>
          <w:divsChild>
            <w:div w:id="214975963">
              <w:marLeft w:val="0"/>
              <w:marRight w:val="0"/>
              <w:marTop w:val="0"/>
              <w:marBottom w:val="0"/>
              <w:divBdr>
                <w:top w:val="none" w:sz="0" w:space="0" w:color="auto"/>
                <w:left w:val="none" w:sz="0" w:space="0" w:color="auto"/>
                <w:bottom w:val="none" w:sz="0" w:space="0" w:color="auto"/>
                <w:right w:val="none" w:sz="0" w:space="0" w:color="auto"/>
              </w:divBdr>
            </w:div>
          </w:divsChild>
        </w:div>
        <w:div w:id="2000035892">
          <w:marLeft w:val="0"/>
          <w:marRight w:val="0"/>
          <w:marTop w:val="0"/>
          <w:marBottom w:val="0"/>
          <w:divBdr>
            <w:top w:val="none" w:sz="0" w:space="0" w:color="auto"/>
            <w:left w:val="none" w:sz="0" w:space="0" w:color="auto"/>
            <w:bottom w:val="none" w:sz="0" w:space="0" w:color="auto"/>
            <w:right w:val="none" w:sz="0" w:space="0" w:color="auto"/>
          </w:divBdr>
          <w:divsChild>
            <w:div w:id="1224102677">
              <w:marLeft w:val="0"/>
              <w:marRight w:val="0"/>
              <w:marTop w:val="0"/>
              <w:marBottom w:val="0"/>
              <w:divBdr>
                <w:top w:val="none" w:sz="0" w:space="0" w:color="auto"/>
                <w:left w:val="none" w:sz="0" w:space="0" w:color="auto"/>
                <w:bottom w:val="none" w:sz="0" w:space="0" w:color="auto"/>
                <w:right w:val="none" w:sz="0" w:space="0" w:color="auto"/>
              </w:divBdr>
            </w:div>
          </w:divsChild>
        </w:div>
        <w:div w:id="2000495241">
          <w:marLeft w:val="0"/>
          <w:marRight w:val="0"/>
          <w:marTop w:val="0"/>
          <w:marBottom w:val="0"/>
          <w:divBdr>
            <w:top w:val="none" w:sz="0" w:space="0" w:color="auto"/>
            <w:left w:val="none" w:sz="0" w:space="0" w:color="auto"/>
            <w:bottom w:val="none" w:sz="0" w:space="0" w:color="auto"/>
            <w:right w:val="none" w:sz="0" w:space="0" w:color="auto"/>
          </w:divBdr>
          <w:divsChild>
            <w:div w:id="368337326">
              <w:marLeft w:val="0"/>
              <w:marRight w:val="0"/>
              <w:marTop w:val="0"/>
              <w:marBottom w:val="0"/>
              <w:divBdr>
                <w:top w:val="none" w:sz="0" w:space="0" w:color="auto"/>
                <w:left w:val="none" w:sz="0" w:space="0" w:color="auto"/>
                <w:bottom w:val="none" w:sz="0" w:space="0" w:color="auto"/>
                <w:right w:val="none" w:sz="0" w:space="0" w:color="auto"/>
              </w:divBdr>
            </w:div>
          </w:divsChild>
        </w:div>
        <w:div w:id="2002124821">
          <w:marLeft w:val="0"/>
          <w:marRight w:val="0"/>
          <w:marTop w:val="0"/>
          <w:marBottom w:val="0"/>
          <w:divBdr>
            <w:top w:val="none" w:sz="0" w:space="0" w:color="auto"/>
            <w:left w:val="none" w:sz="0" w:space="0" w:color="auto"/>
            <w:bottom w:val="none" w:sz="0" w:space="0" w:color="auto"/>
            <w:right w:val="none" w:sz="0" w:space="0" w:color="auto"/>
          </w:divBdr>
          <w:divsChild>
            <w:div w:id="1168985290">
              <w:marLeft w:val="0"/>
              <w:marRight w:val="0"/>
              <w:marTop w:val="0"/>
              <w:marBottom w:val="0"/>
              <w:divBdr>
                <w:top w:val="none" w:sz="0" w:space="0" w:color="auto"/>
                <w:left w:val="none" w:sz="0" w:space="0" w:color="auto"/>
                <w:bottom w:val="none" w:sz="0" w:space="0" w:color="auto"/>
                <w:right w:val="none" w:sz="0" w:space="0" w:color="auto"/>
              </w:divBdr>
            </w:div>
          </w:divsChild>
        </w:div>
        <w:div w:id="2003315108">
          <w:marLeft w:val="0"/>
          <w:marRight w:val="0"/>
          <w:marTop w:val="0"/>
          <w:marBottom w:val="0"/>
          <w:divBdr>
            <w:top w:val="none" w:sz="0" w:space="0" w:color="auto"/>
            <w:left w:val="none" w:sz="0" w:space="0" w:color="auto"/>
            <w:bottom w:val="none" w:sz="0" w:space="0" w:color="auto"/>
            <w:right w:val="none" w:sz="0" w:space="0" w:color="auto"/>
          </w:divBdr>
          <w:divsChild>
            <w:div w:id="43070370">
              <w:marLeft w:val="0"/>
              <w:marRight w:val="0"/>
              <w:marTop w:val="0"/>
              <w:marBottom w:val="0"/>
              <w:divBdr>
                <w:top w:val="none" w:sz="0" w:space="0" w:color="auto"/>
                <w:left w:val="none" w:sz="0" w:space="0" w:color="auto"/>
                <w:bottom w:val="none" w:sz="0" w:space="0" w:color="auto"/>
                <w:right w:val="none" w:sz="0" w:space="0" w:color="auto"/>
              </w:divBdr>
            </w:div>
          </w:divsChild>
        </w:div>
        <w:div w:id="2004628610">
          <w:marLeft w:val="0"/>
          <w:marRight w:val="0"/>
          <w:marTop w:val="0"/>
          <w:marBottom w:val="0"/>
          <w:divBdr>
            <w:top w:val="none" w:sz="0" w:space="0" w:color="auto"/>
            <w:left w:val="none" w:sz="0" w:space="0" w:color="auto"/>
            <w:bottom w:val="none" w:sz="0" w:space="0" w:color="auto"/>
            <w:right w:val="none" w:sz="0" w:space="0" w:color="auto"/>
          </w:divBdr>
          <w:divsChild>
            <w:div w:id="1532454182">
              <w:marLeft w:val="0"/>
              <w:marRight w:val="0"/>
              <w:marTop w:val="0"/>
              <w:marBottom w:val="0"/>
              <w:divBdr>
                <w:top w:val="none" w:sz="0" w:space="0" w:color="auto"/>
                <w:left w:val="none" w:sz="0" w:space="0" w:color="auto"/>
                <w:bottom w:val="none" w:sz="0" w:space="0" w:color="auto"/>
                <w:right w:val="none" w:sz="0" w:space="0" w:color="auto"/>
              </w:divBdr>
            </w:div>
          </w:divsChild>
        </w:div>
        <w:div w:id="2012635194">
          <w:marLeft w:val="0"/>
          <w:marRight w:val="0"/>
          <w:marTop w:val="0"/>
          <w:marBottom w:val="0"/>
          <w:divBdr>
            <w:top w:val="none" w:sz="0" w:space="0" w:color="auto"/>
            <w:left w:val="none" w:sz="0" w:space="0" w:color="auto"/>
            <w:bottom w:val="none" w:sz="0" w:space="0" w:color="auto"/>
            <w:right w:val="none" w:sz="0" w:space="0" w:color="auto"/>
          </w:divBdr>
          <w:divsChild>
            <w:div w:id="356976437">
              <w:marLeft w:val="0"/>
              <w:marRight w:val="0"/>
              <w:marTop w:val="0"/>
              <w:marBottom w:val="0"/>
              <w:divBdr>
                <w:top w:val="none" w:sz="0" w:space="0" w:color="auto"/>
                <w:left w:val="none" w:sz="0" w:space="0" w:color="auto"/>
                <w:bottom w:val="none" w:sz="0" w:space="0" w:color="auto"/>
                <w:right w:val="none" w:sz="0" w:space="0" w:color="auto"/>
              </w:divBdr>
            </w:div>
          </w:divsChild>
        </w:div>
        <w:div w:id="2017998689">
          <w:marLeft w:val="0"/>
          <w:marRight w:val="0"/>
          <w:marTop w:val="0"/>
          <w:marBottom w:val="0"/>
          <w:divBdr>
            <w:top w:val="none" w:sz="0" w:space="0" w:color="auto"/>
            <w:left w:val="none" w:sz="0" w:space="0" w:color="auto"/>
            <w:bottom w:val="none" w:sz="0" w:space="0" w:color="auto"/>
            <w:right w:val="none" w:sz="0" w:space="0" w:color="auto"/>
          </w:divBdr>
          <w:divsChild>
            <w:div w:id="1711998766">
              <w:marLeft w:val="0"/>
              <w:marRight w:val="0"/>
              <w:marTop w:val="0"/>
              <w:marBottom w:val="0"/>
              <w:divBdr>
                <w:top w:val="none" w:sz="0" w:space="0" w:color="auto"/>
                <w:left w:val="none" w:sz="0" w:space="0" w:color="auto"/>
                <w:bottom w:val="none" w:sz="0" w:space="0" w:color="auto"/>
                <w:right w:val="none" w:sz="0" w:space="0" w:color="auto"/>
              </w:divBdr>
            </w:div>
          </w:divsChild>
        </w:div>
        <w:div w:id="2019384067">
          <w:marLeft w:val="0"/>
          <w:marRight w:val="0"/>
          <w:marTop w:val="0"/>
          <w:marBottom w:val="0"/>
          <w:divBdr>
            <w:top w:val="none" w:sz="0" w:space="0" w:color="auto"/>
            <w:left w:val="none" w:sz="0" w:space="0" w:color="auto"/>
            <w:bottom w:val="none" w:sz="0" w:space="0" w:color="auto"/>
            <w:right w:val="none" w:sz="0" w:space="0" w:color="auto"/>
          </w:divBdr>
          <w:divsChild>
            <w:div w:id="535433257">
              <w:marLeft w:val="0"/>
              <w:marRight w:val="0"/>
              <w:marTop w:val="0"/>
              <w:marBottom w:val="0"/>
              <w:divBdr>
                <w:top w:val="none" w:sz="0" w:space="0" w:color="auto"/>
                <w:left w:val="none" w:sz="0" w:space="0" w:color="auto"/>
                <w:bottom w:val="none" w:sz="0" w:space="0" w:color="auto"/>
                <w:right w:val="none" w:sz="0" w:space="0" w:color="auto"/>
              </w:divBdr>
            </w:div>
          </w:divsChild>
        </w:div>
        <w:div w:id="2019388209">
          <w:marLeft w:val="0"/>
          <w:marRight w:val="0"/>
          <w:marTop w:val="0"/>
          <w:marBottom w:val="0"/>
          <w:divBdr>
            <w:top w:val="none" w:sz="0" w:space="0" w:color="auto"/>
            <w:left w:val="none" w:sz="0" w:space="0" w:color="auto"/>
            <w:bottom w:val="none" w:sz="0" w:space="0" w:color="auto"/>
            <w:right w:val="none" w:sz="0" w:space="0" w:color="auto"/>
          </w:divBdr>
          <w:divsChild>
            <w:div w:id="741759512">
              <w:marLeft w:val="0"/>
              <w:marRight w:val="0"/>
              <w:marTop w:val="0"/>
              <w:marBottom w:val="0"/>
              <w:divBdr>
                <w:top w:val="none" w:sz="0" w:space="0" w:color="auto"/>
                <w:left w:val="none" w:sz="0" w:space="0" w:color="auto"/>
                <w:bottom w:val="none" w:sz="0" w:space="0" w:color="auto"/>
                <w:right w:val="none" w:sz="0" w:space="0" w:color="auto"/>
              </w:divBdr>
            </w:div>
          </w:divsChild>
        </w:div>
        <w:div w:id="2022388931">
          <w:marLeft w:val="0"/>
          <w:marRight w:val="0"/>
          <w:marTop w:val="0"/>
          <w:marBottom w:val="0"/>
          <w:divBdr>
            <w:top w:val="none" w:sz="0" w:space="0" w:color="auto"/>
            <w:left w:val="none" w:sz="0" w:space="0" w:color="auto"/>
            <w:bottom w:val="none" w:sz="0" w:space="0" w:color="auto"/>
            <w:right w:val="none" w:sz="0" w:space="0" w:color="auto"/>
          </w:divBdr>
          <w:divsChild>
            <w:div w:id="1628004031">
              <w:marLeft w:val="0"/>
              <w:marRight w:val="0"/>
              <w:marTop w:val="0"/>
              <w:marBottom w:val="0"/>
              <w:divBdr>
                <w:top w:val="none" w:sz="0" w:space="0" w:color="auto"/>
                <w:left w:val="none" w:sz="0" w:space="0" w:color="auto"/>
                <w:bottom w:val="none" w:sz="0" w:space="0" w:color="auto"/>
                <w:right w:val="none" w:sz="0" w:space="0" w:color="auto"/>
              </w:divBdr>
            </w:div>
          </w:divsChild>
        </w:div>
        <w:div w:id="2024430477">
          <w:marLeft w:val="0"/>
          <w:marRight w:val="0"/>
          <w:marTop w:val="0"/>
          <w:marBottom w:val="0"/>
          <w:divBdr>
            <w:top w:val="none" w:sz="0" w:space="0" w:color="auto"/>
            <w:left w:val="none" w:sz="0" w:space="0" w:color="auto"/>
            <w:bottom w:val="none" w:sz="0" w:space="0" w:color="auto"/>
            <w:right w:val="none" w:sz="0" w:space="0" w:color="auto"/>
          </w:divBdr>
          <w:divsChild>
            <w:div w:id="1642080192">
              <w:marLeft w:val="0"/>
              <w:marRight w:val="0"/>
              <w:marTop w:val="0"/>
              <w:marBottom w:val="0"/>
              <w:divBdr>
                <w:top w:val="none" w:sz="0" w:space="0" w:color="auto"/>
                <w:left w:val="none" w:sz="0" w:space="0" w:color="auto"/>
                <w:bottom w:val="none" w:sz="0" w:space="0" w:color="auto"/>
                <w:right w:val="none" w:sz="0" w:space="0" w:color="auto"/>
              </w:divBdr>
            </w:div>
          </w:divsChild>
        </w:div>
        <w:div w:id="2024933151">
          <w:marLeft w:val="0"/>
          <w:marRight w:val="0"/>
          <w:marTop w:val="0"/>
          <w:marBottom w:val="0"/>
          <w:divBdr>
            <w:top w:val="none" w:sz="0" w:space="0" w:color="auto"/>
            <w:left w:val="none" w:sz="0" w:space="0" w:color="auto"/>
            <w:bottom w:val="none" w:sz="0" w:space="0" w:color="auto"/>
            <w:right w:val="none" w:sz="0" w:space="0" w:color="auto"/>
          </w:divBdr>
          <w:divsChild>
            <w:div w:id="1159494714">
              <w:marLeft w:val="0"/>
              <w:marRight w:val="0"/>
              <w:marTop w:val="0"/>
              <w:marBottom w:val="0"/>
              <w:divBdr>
                <w:top w:val="none" w:sz="0" w:space="0" w:color="auto"/>
                <w:left w:val="none" w:sz="0" w:space="0" w:color="auto"/>
                <w:bottom w:val="none" w:sz="0" w:space="0" w:color="auto"/>
                <w:right w:val="none" w:sz="0" w:space="0" w:color="auto"/>
              </w:divBdr>
            </w:div>
          </w:divsChild>
        </w:div>
        <w:div w:id="2029678528">
          <w:marLeft w:val="0"/>
          <w:marRight w:val="0"/>
          <w:marTop w:val="0"/>
          <w:marBottom w:val="0"/>
          <w:divBdr>
            <w:top w:val="none" w:sz="0" w:space="0" w:color="auto"/>
            <w:left w:val="none" w:sz="0" w:space="0" w:color="auto"/>
            <w:bottom w:val="none" w:sz="0" w:space="0" w:color="auto"/>
            <w:right w:val="none" w:sz="0" w:space="0" w:color="auto"/>
          </w:divBdr>
          <w:divsChild>
            <w:div w:id="1505827588">
              <w:marLeft w:val="0"/>
              <w:marRight w:val="0"/>
              <w:marTop w:val="0"/>
              <w:marBottom w:val="0"/>
              <w:divBdr>
                <w:top w:val="none" w:sz="0" w:space="0" w:color="auto"/>
                <w:left w:val="none" w:sz="0" w:space="0" w:color="auto"/>
                <w:bottom w:val="none" w:sz="0" w:space="0" w:color="auto"/>
                <w:right w:val="none" w:sz="0" w:space="0" w:color="auto"/>
              </w:divBdr>
            </w:div>
          </w:divsChild>
        </w:div>
        <w:div w:id="2036693038">
          <w:marLeft w:val="0"/>
          <w:marRight w:val="0"/>
          <w:marTop w:val="0"/>
          <w:marBottom w:val="0"/>
          <w:divBdr>
            <w:top w:val="none" w:sz="0" w:space="0" w:color="auto"/>
            <w:left w:val="none" w:sz="0" w:space="0" w:color="auto"/>
            <w:bottom w:val="none" w:sz="0" w:space="0" w:color="auto"/>
            <w:right w:val="none" w:sz="0" w:space="0" w:color="auto"/>
          </w:divBdr>
          <w:divsChild>
            <w:div w:id="2060743815">
              <w:marLeft w:val="0"/>
              <w:marRight w:val="0"/>
              <w:marTop w:val="0"/>
              <w:marBottom w:val="0"/>
              <w:divBdr>
                <w:top w:val="none" w:sz="0" w:space="0" w:color="auto"/>
                <w:left w:val="none" w:sz="0" w:space="0" w:color="auto"/>
                <w:bottom w:val="none" w:sz="0" w:space="0" w:color="auto"/>
                <w:right w:val="none" w:sz="0" w:space="0" w:color="auto"/>
              </w:divBdr>
            </w:div>
          </w:divsChild>
        </w:div>
        <w:div w:id="2039891139">
          <w:marLeft w:val="0"/>
          <w:marRight w:val="0"/>
          <w:marTop w:val="0"/>
          <w:marBottom w:val="0"/>
          <w:divBdr>
            <w:top w:val="none" w:sz="0" w:space="0" w:color="auto"/>
            <w:left w:val="none" w:sz="0" w:space="0" w:color="auto"/>
            <w:bottom w:val="none" w:sz="0" w:space="0" w:color="auto"/>
            <w:right w:val="none" w:sz="0" w:space="0" w:color="auto"/>
          </w:divBdr>
          <w:divsChild>
            <w:div w:id="728266947">
              <w:marLeft w:val="0"/>
              <w:marRight w:val="0"/>
              <w:marTop w:val="0"/>
              <w:marBottom w:val="0"/>
              <w:divBdr>
                <w:top w:val="none" w:sz="0" w:space="0" w:color="auto"/>
                <w:left w:val="none" w:sz="0" w:space="0" w:color="auto"/>
                <w:bottom w:val="none" w:sz="0" w:space="0" w:color="auto"/>
                <w:right w:val="none" w:sz="0" w:space="0" w:color="auto"/>
              </w:divBdr>
            </w:div>
          </w:divsChild>
        </w:div>
        <w:div w:id="2041592317">
          <w:marLeft w:val="0"/>
          <w:marRight w:val="0"/>
          <w:marTop w:val="0"/>
          <w:marBottom w:val="0"/>
          <w:divBdr>
            <w:top w:val="none" w:sz="0" w:space="0" w:color="auto"/>
            <w:left w:val="none" w:sz="0" w:space="0" w:color="auto"/>
            <w:bottom w:val="none" w:sz="0" w:space="0" w:color="auto"/>
            <w:right w:val="none" w:sz="0" w:space="0" w:color="auto"/>
          </w:divBdr>
          <w:divsChild>
            <w:div w:id="208492480">
              <w:marLeft w:val="0"/>
              <w:marRight w:val="0"/>
              <w:marTop w:val="0"/>
              <w:marBottom w:val="0"/>
              <w:divBdr>
                <w:top w:val="none" w:sz="0" w:space="0" w:color="auto"/>
                <w:left w:val="none" w:sz="0" w:space="0" w:color="auto"/>
                <w:bottom w:val="none" w:sz="0" w:space="0" w:color="auto"/>
                <w:right w:val="none" w:sz="0" w:space="0" w:color="auto"/>
              </w:divBdr>
            </w:div>
          </w:divsChild>
        </w:div>
        <w:div w:id="2043169850">
          <w:marLeft w:val="0"/>
          <w:marRight w:val="0"/>
          <w:marTop w:val="0"/>
          <w:marBottom w:val="0"/>
          <w:divBdr>
            <w:top w:val="none" w:sz="0" w:space="0" w:color="auto"/>
            <w:left w:val="none" w:sz="0" w:space="0" w:color="auto"/>
            <w:bottom w:val="none" w:sz="0" w:space="0" w:color="auto"/>
            <w:right w:val="none" w:sz="0" w:space="0" w:color="auto"/>
          </w:divBdr>
          <w:divsChild>
            <w:div w:id="394865173">
              <w:marLeft w:val="0"/>
              <w:marRight w:val="0"/>
              <w:marTop w:val="0"/>
              <w:marBottom w:val="0"/>
              <w:divBdr>
                <w:top w:val="none" w:sz="0" w:space="0" w:color="auto"/>
                <w:left w:val="none" w:sz="0" w:space="0" w:color="auto"/>
                <w:bottom w:val="none" w:sz="0" w:space="0" w:color="auto"/>
                <w:right w:val="none" w:sz="0" w:space="0" w:color="auto"/>
              </w:divBdr>
            </w:div>
          </w:divsChild>
        </w:div>
        <w:div w:id="2043359241">
          <w:marLeft w:val="0"/>
          <w:marRight w:val="0"/>
          <w:marTop w:val="0"/>
          <w:marBottom w:val="0"/>
          <w:divBdr>
            <w:top w:val="none" w:sz="0" w:space="0" w:color="auto"/>
            <w:left w:val="none" w:sz="0" w:space="0" w:color="auto"/>
            <w:bottom w:val="none" w:sz="0" w:space="0" w:color="auto"/>
            <w:right w:val="none" w:sz="0" w:space="0" w:color="auto"/>
          </w:divBdr>
          <w:divsChild>
            <w:div w:id="420377214">
              <w:marLeft w:val="0"/>
              <w:marRight w:val="0"/>
              <w:marTop w:val="0"/>
              <w:marBottom w:val="0"/>
              <w:divBdr>
                <w:top w:val="none" w:sz="0" w:space="0" w:color="auto"/>
                <w:left w:val="none" w:sz="0" w:space="0" w:color="auto"/>
                <w:bottom w:val="none" w:sz="0" w:space="0" w:color="auto"/>
                <w:right w:val="none" w:sz="0" w:space="0" w:color="auto"/>
              </w:divBdr>
            </w:div>
          </w:divsChild>
        </w:div>
        <w:div w:id="2046758848">
          <w:marLeft w:val="0"/>
          <w:marRight w:val="0"/>
          <w:marTop w:val="0"/>
          <w:marBottom w:val="0"/>
          <w:divBdr>
            <w:top w:val="none" w:sz="0" w:space="0" w:color="auto"/>
            <w:left w:val="none" w:sz="0" w:space="0" w:color="auto"/>
            <w:bottom w:val="none" w:sz="0" w:space="0" w:color="auto"/>
            <w:right w:val="none" w:sz="0" w:space="0" w:color="auto"/>
          </w:divBdr>
          <w:divsChild>
            <w:div w:id="2147039846">
              <w:marLeft w:val="0"/>
              <w:marRight w:val="0"/>
              <w:marTop w:val="0"/>
              <w:marBottom w:val="0"/>
              <w:divBdr>
                <w:top w:val="none" w:sz="0" w:space="0" w:color="auto"/>
                <w:left w:val="none" w:sz="0" w:space="0" w:color="auto"/>
                <w:bottom w:val="none" w:sz="0" w:space="0" w:color="auto"/>
                <w:right w:val="none" w:sz="0" w:space="0" w:color="auto"/>
              </w:divBdr>
            </w:div>
          </w:divsChild>
        </w:div>
        <w:div w:id="2051606392">
          <w:marLeft w:val="0"/>
          <w:marRight w:val="0"/>
          <w:marTop w:val="0"/>
          <w:marBottom w:val="0"/>
          <w:divBdr>
            <w:top w:val="none" w:sz="0" w:space="0" w:color="auto"/>
            <w:left w:val="none" w:sz="0" w:space="0" w:color="auto"/>
            <w:bottom w:val="none" w:sz="0" w:space="0" w:color="auto"/>
            <w:right w:val="none" w:sz="0" w:space="0" w:color="auto"/>
          </w:divBdr>
          <w:divsChild>
            <w:div w:id="1141925688">
              <w:marLeft w:val="0"/>
              <w:marRight w:val="0"/>
              <w:marTop w:val="0"/>
              <w:marBottom w:val="0"/>
              <w:divBdr>
                <w:top w:val="none" w:sz="0" w:space="0" w:color="auto"/>
                <w:left w:val="none" w:sz="0" w:space="0" w:color="auto"/>
                <w:bottom w:val="none" w:sz="0" w:space="0" w:color="auto"/>
                <w:right w:val="none" w:sz="0" w:space="0" w:color="auto"/>
              </w:divBdr>
            </w:div>
          </w:divsChild>
        </w:div>
        <w:div w:id="2052613247">
          <w:marLeft w:val="0"/>
          <w:marRight w:val="0"/>
          <w:marTop w:val="0"/>
          <w:marBottom w:val="0"/>
          <w:divBdr>
            <w:top w:val="none" w:sz="0" w:space="0" w:color="auto"/>
            <w:left w:val="none" w:sz="0" w:space="0" w:color="auto"/>
            <w:bottom w:val="none" w:sz="0" w:space="0" w:color="auto"/>
            <w:right w:val="none" w:sz="0" w:space="0" w:color="auto"/>
          </w:divBdr>
          <w:divsChild>
            <w:div w:id="2130732296">
              <w:marLeft w:val="0"/>
              <w:marRight w:val="0"/>
              <w:marTop w:val="0"/>
              <w:marBottom w:val="0"/>
              <w:divBdr>
                <w:top w:val="none" w:sz="0" w:space="0" w:color="auto"/>
                <w:left w:val="none" w:sz="0" w:space="0" w:color="auto"/>
                <w:bottom w:val="none" w:sz="0" w:space="0" w:color="auto"/>
                <w:right w:val="none" w:sz="0" w:space="0" w:color="auto"/>
              </w:divBdr>
            </w:div>
          </w:divsChild>
        </w:div>
        <w:div w:id="2053842754">
          <w:marLeft w:val="0"/>
          <w:marRight w:val="0"/>
          <w:marTop w:val="0"/>
          <w:marBottom w:val="0"/>
          <w:divBdr>
            <w:top w:val="none" w:sz="0" w:space="0" w:color="auto"/>
            <w:left w:val="none" w:sz="0" w:space="0" w:color="auto"/>
            <w:bottom w:val="none" w:sz="0" w:space="0" w:color="auto"/>
            <w:right w:val="none" w:sz="0" w:space="0" w:color="auto"/>
          </w:divBdr>
          <w:divsChild>
            <w:div w:id="1475175094">
              <w:marLeft w:val="0"/>
              <w:marRight w:val="0"/>
              <w:marTop w:val="0"/>
              <w:marBottom w:val="0"/>
              <w:divBdr>
                <w:top w:val="none" w:sz="0" w:space="0" w:color="auto"/>
                <w:left w:val="none" w:sz="0" w:space="0" w:color="auto"/>
                <w:bottom w:val="none" w:sz="0" w:space="0" w:color="auto"/>
                <w:right w:val="none" w:sz="0" w:space="0" w:color="auto"/>
              </w:divBdr>
            </w:div>
          </w:divsChild>
        </w:div>
        <w:div w:id="2054427231">
          <w:marLeft w:val="0"/>
          <w:marRight w:val="0"/>
          <w:marTop w:val="0"/>
          <w:marBottom w:val="0"/>
          <w:divBdr>
            <w:top w:val="none" w:sz="0" w:space="0" w:color="auto"/>
            <w:left w:val="none" w:sz="0" w:space="0" w:color="auto"/>
            <w:bottom w:val="none" w:sz="0" w:space="0" w:color="auto"/>
            <w:right w:val="none" w:sz="0" w:space="0" w:color="auto"/>
          </w:divBdr>
          <w:divsChild>
            <w:div w:id="2070570758">
              <w:marLeft w:val="0"/>
              <w:marRight w:val="0"/>
              <w:marTop w:val="0"/>
              <w:marBottom w:val="0"/>
              <w:divBdr>
                <w:top w:val="none" w:sz="0" w:space="0" w:color="auto"/>
                <w:left w:val="none" w:sz="0" w:space="0" w:color="auto"/>
                <w:bottom w:val="none" w:sz="0" w:space="0" w:color="auto"/>
                <w:right w:val="none" w:sz="0" w:space="0" w:color="auto"/>
              </w:divBdr>
            </w:div>
          </w:divsChild>
        </w:div>
        <w:div w:id="2058502520">
          <w:marLeft w:val="0"/>
          <w:marRight w:val="0"/>
          <w:marTop w:val="0"/>
          <w:marBottom w:val="0"/>
          <w:divBdr>
            <w:top w:val="none" w:sz="0" w:space="0" w:color="auto"/>
            <w:left w:val="none" w:sz="0" w:space="0" w:color="auto"/>
            <w:bottom w:val="none" w:sz="0" w:space="0" w:color="auto"/>
            <w:right w:val="none" w:sz="0" w:space="0" w:color="auto"/>
          </w:divBdr>
          <w:divsChild>
            <w:div w:id="1217231824">
              <w:marLeft w:val="0"/>
              <w:marRight w:val="0"/>
              <w:marTop w:val="0"/>
              <w:marBottom w:val="0"/>
              <w:divBdr>
                <w:top w:val="none" w:sz="0" w:space="0" w:color="auto"/>
                <w:left w:val="none" w:sz="0" w:space="0" w:color="auto"/>
                <w:bottom w:val="none" w:sz="0" w:space="0" w:color="auto"/>
                <w:right w:val="none" w:sz="0" w:space="0" w:color="auto"/>
              </w:divBdr>
            </w:div>
          </w:divsChild>
        </w:div>
        <w:div w:id="2059475180">
          <w:marLeft w:val="0"/>
          <w:marRight w:val="0"/>
          <w:marTop w:val="0"/>
          <w:marBottom w:val="0"/>
          <w:divBdr>
            <w:top w:val="none" w:sz="0" w:space="0" w:color="auto"/>
            <w:left w:val="none" w:sz="0" w:space="0" w:color="auto"/>
            <w:bottom w:val="none" w:sz="0" w:space="0" w:color="auto"/>
            <w:right w:val="none" w:sz="0" w:space="0" w:color="auto"/>
          </w:divBdr>
          <w:divsChild>
            <w:div w:id="723062791">
              <w:marLeft w:val="0"/>
              <w:marRight w:val="0"/>
              <w:marTop w:val="0"/>
              <w:marBottom w:val="0"/>
              <w:divBdr>
                <w:top w:val="none" w:sz="0" w:space="0" w:color="auto"/>
                <w:left w:val="none" w:sz="0" w:space="0" w:color="auto"/>
                <w:bottom w:val="none" w:sz="0" w:space="0" w:color="auto"/>
                <w:right w:val="none" w:sz="0" w:space="0" w:color="auto"/>
              </w:divBdr>
            </w:div>
          </w:divsChild>
        </w:div>
        <w:div w:id="2061636602">
          <w:marLeft w:val="0"/>
          <w:marRight w:val="0"/>
          <w:marTop w:val="0"/>
          <w:marBottom w:val="0"/>
          <w:divBdr>
            <w:top w:val="none" w:sz="0" w:space="0" w:color="auto"/>
            <w:left w:val="none" w:sz="0" w:space="0" w:color="auto"/>
            <w:bottom w:val="none" w:sz="0" w:space="0" w:color="auto"/>
            <w:right w:val="none" w:sz="0" w:space="0" w:color="auto"/>
          </w:divBdr>
          <w:divsChild>
            <w:div w:id="2057509780">
              <w:marLeft w:val="0"/>
              <w:marRight w:val="0"/>
              <w:marTop w:val="0"/>
              <w:marBottom w:val="0"/>
              <w:divBdr>
                <w:top w:val="none" w:sz="0" w:space="0" w:color="auto"/>
                <w:left w:val="none" w:sz="0" w:space="0" w:color="auto"/>
                <w:bottom w:val="none" w:sz="0" w:space="0" w:color="auto"/>
                <w:right w:val="none" w:sz="0" w:space="0" w:color="auto"/>
              </w:divBdr>
            </w:div>
          </w:divsChild>
        </w:div>
        <w:div w:id="2063094118">
          <w:marLeft w:val="0"/>
          <w:marRight w:val="0"/>
          <w:marTop w:val="0"/>
          <w:marBottom w:val="0"/>
          <w:divBdr>
            <w:top w:val="none" w:sz="0" w:space="0" w:color="auto"/>
            <w:left w:val="none" w:sz="0" w:space="0" w:color="auto"/>
            <w:bottom w:val="none" w:sz="0" w:space="0" w:color="auto"/>
            <w:right w:val="none" w:sz="0" w:space="0" w:color="auto"/>
          </w:divBdr>
          <w:divsChild>
            <w:div w:id="801001614">
              <w:marLeft w:val="0"/>
              <w:marRight w:val="0"/>
              <w:marTop w:val="0"/>
              <w:marBottom w:val="0"/>
              <w:divBdr>
                <w:top w:val="none" w:sz="0" w:space="0" w:color="auto"/>
                <w:left w:val="none" w:sz="0" w:space="0" w:color="auto"/>
                <w:bottom w:val="none" w:sz="0" w:space="0" w:color="auto"/>
                <w:right w:val="none" w:sz="0" w:space="0" w:color="auto"/>
              </w:divBdr>
            </w:div>
          </w:divsChild>
        </w:div>
        <w:div w:id="2063864574">
          <w:marLeft w:val="0"/>
          <w:marRight w:val="0"/>
          <w:marTop w:val="0"/>
          <w:marBottom w:val="0"/>
          <w:divBdr>
            <w:top w:val="none" w:sz="0" w:space="0" w:color="auto"/>
            <w:left w:val="none" w:sz="0" w:space="0" w:color="auto"/>
            <w:bottom w:val="none" w:sz="0" w:space="0" w:color="auto"/>
            <w:right w:val="none" w:sz="0" w:space="0" w:color="auto"/>
          </w:divBdr>
          <w:divsChild>
            <w:div w:id="1260261974">
              <w:marLeft w:val="0"/>
              <w:marRight w:val="0"/>
              <w:marTop w:val="0"/>
              <w:marBottom w:val="0"/>
              <w:divBdr>
                <w:top w:val="none" w:sz="0" w:space="0" w:color="auto"/>
                <w:left w:val="none" w:sz="0" w:space="0" w:color="auto"/>
                <w:bottom w:val="none" w:sz="0" w:space="0" w:color="auto"/>
                <w:right w:val="none" w:sz="0" w:space="0" w:color="auto"/>
              </w:divBdr>
            </w:div>
          </w:divsChild>
        </w:div>
        <w:div w:id="2064328436">
          <w:marLeft w:val="0"/>
          <w:marRight w:val="0"/>
          <w:marTop w:val="0"/>
          <w:marBottom w:val="0"/>
          <w:divBdr>
            <w:top w:val="none" w:sz="0" w:space="0" w:color="auto"/>
            <w:left w:val="none" w:sz="0" w:space="0" w:color="auto"/>
            <w:bottom w:val="none" w:sz="0" w:space="0" w:color="auto"/>
            <w:right w:val="none" w:sz="0" w:space="0" w:color="auto"/>
          </w:divBdr>
          <w:divsChild>
            <w:div w:id="1604915665">
              <w:marLeft w:val="0"/>
              <w:marRight w:val="0"/>
              <w:marTop w:val="0"/>
              <w:marBottom w:val="0"/>
              <w:divBdr>
                <w:top w:val="none" w:sz="0" w:space="0" w:color="auto"/>
                <w:left w:val="none" w:sz="0" w:space="0" w:color="auto"/>
                <w:bottom w:val="none" w:sz="0" w:space="0" w:color="auto"/>
                <w:right w:val="none" w:sz="0" w:space="0" w:color="auto"/>
              </w:divBdr>
            </w:div>
          </w:divsChild>
        </w:div>
        <w:div w:id="2066483177">
          <w:marLeft w:val="0"/>
          <w:marRight w:val="0"/>
          <w:marTop w:val="0"/>
          <w:marBottom w:val="0"/>
          <w:divBdr>
            <w:top w:val="none" w:sz="0" w:space="0" w:color="auto"/>
            <w:left w:val="none" w:sz="0" w:space="0" w:color="auto"/>
            <w:bottom w:val="none" w:sz="0" w:space="0" w:color="auto"/>
            <w:right w:val="none" w:sz="0" w:space="0" w:color="auto"/>
          </w:divBdr>
          <w:divsChild>
            <w:div w:id="2018455228">
              <w:marLeft w:val="0"/>
              <w:marRight w:val="0"/>
              <w:marTop w:val="0"/>
              <w:marBottom w:val="0"/>
              <w:divBdr>
                <w:top w:val="none" w:sz="0" w:space="0" w:color="auto"/>
                <w:left w:val="none" w:sz="0" w:space="0" w:color="auto"/>
                <w:bottom w:val="none" w:sz="0" w:space="0" w:color="auto"/>
                <w:right w:val="none" w:sz="0" w:space="0" w:color="auto"/>
              </w:divBdr>
            </w:div>
          </w:divsChild>
        </w:div>
        <w:div w:id="2066755755">
          <w:marLeft w:val="0"/>
          <w:marRight w:val="0"/>
          <w:marTop w:val="0"/>
          <w:marBottom w:val="0"/>
          <w:divBdr>
            <w:top w:val="none" w:sz="0" w:space="0" w:color="auto"/>
            <w:left w:val="none" w:sz="0" w:space="0" w:color="auto"/>
            <w:bottom w:val="none" w:sz="0" w:space="0" w:color="auto"/>
            <w:right w:val="none" w:sz="0" w:space="0" w:color="auto"/>
          </w:divBdr>
          <w:divsChild>
            <w:div w:id="1966354488">
              <w:marLeft w:val="0"/>
              <w:marRight w:val="0"/>
              <w:marTop w:val="0"/>
              <w:marBottom w:val="0"/>
              <w:divBdr>
                <w:top w:val="none" w:sz="0" w:space="0" w:color="auto"/>
                <w:left w:val="none" w:sz="0" w:space="0" w:color="auto"/>
                <w:bottom w:val="none" w:sz="0" w:space="0" w:color="auto"/>
                <w:right w:val="none" w:sz="0" w:space="0" w:color="auto"/>
              </w:divBdr>
            </w:div>
          </w:divsChild>
        </w:div>
        <w:div w:id="2071145741">
          <w:marLeft w:val="0"/>
          <w:marRight w:val="0"/>
          <w:marTop w:val="0"/>
          <w:marBottom w:val="0"/>
          <w:divBdr>
            <w:top w:val="none" w:sz="0" w:space="0" w:color="auto"/>
            <w:left w:val="none" w:sz="0" w:space="0" w:color="auto"/>
            <w:bottom w:val="none" w:sz="0" w:space="0" w:color="auto"/>
            <w:right w:val="none" w:sz="0" w:space="0" w:color="auto"/>
          </w:divBdr>
          <w:divsChild>
            <w:div w:id="639845934">
              <w:marLeft w:val="0"/>
              <w:marRight w:val="0"/>
              <w:marTop w:val="0"/>
              <w:marBottom w:val="0"/>
              <w:divBdr>
                <w:top w:val="none" w:sz="0" w:space="0" w:color="auto"/>
                <w:left w:val="none" w:sz="0" w:space="0" w:color="auto"/>
                <w:bottom w:val="none" w:sz="0" w:space="0" w:color="auto"/>
                <w:right w:val="none" w:sz="0" w:space="0" w:color="auto"/>
              </w:divBdr>
            </w:div>
          </w:divsChild>
        </w:div>
        <w:div w:id="2071270421">
          <w:marLeft w:val="0"/>
          <w:marRight w:val="0"/>
          <w:marTop w:val="0"/>
          <w:marBottom w:val="0"/>
          <w:divBdr>
            <w:top w:val="none" w:sz="0" w:space="0" w:color="auto"/>
            <w:left w:val="none" w:sz="0" w:space="0" w:color="auto"/>
            <w:bottom w:val="none" w:sz="0" w:space="0" w:color="auto"/>
            <w:right w:val="none" w:sz="0" w:space="0" w:color="auto"/>
          </w:divBdr>
          <w:divsChild>
            <w:div w:id="80106875">
              <w:marLeft w:val="0"/>
              <w:marRight w:val="0"/>
              <w:marTop w:val="0"/>
              <w:marBottom w:val="0"/>
              <w:divBdr>
                <w:top w:val="none" w:sz="0" w:space="0" w:color="auto"/>
                <w:left w:val="none" w:sz="0" w:space="0" w:color="auto"/>
                <w:bottom w:val="none" w:sz="0" w:space="0" w:color="auto"/>
                <w:right w:val="none" w:sz="0" w:space="0" w:color="auto"/>
              </w:divBdr>
            </w:div>
          </w:divsChild>
        </w:div>
        <w:div w:id="2072727349">
          <w:marLeft w:val="0"/>
          <w:marRight w:val="0"/>
          <w:marTop w:val="0"/>
          <w:marBottom w:val="0"/>
          <w:divBdr>
            <w:top w:val="none" w:sz="0" w:space="0" w:color="auto"/>
            <w:left w:val="none" w:sz="0" w:space="0" w:color="auto"/>
            <w:bottom w:val="none" w:sz="0" w:space="0" w:color="auto"/>
            <w:right w:val="none" w:sz="0" w:space="0" w:color="auto"/>
          </w:divBdr>
          <w:divsChild>
            <w:div w:id="318385699">
              <w:marLeft w:val="0"/>
              <w:marRight w:val="0"/>
              <w:marTop w:val="0"/>
              <w:marBottom w:val="0"/>
              <w:divBdr>
                <w:top w:val="none" w:sz="0" w:space="0" w:color="auto"/>
                <w:left w:val="none" w:sz="0" w:space="0" w:color="auto"/>
                <w:bottom w:val="none" w:sz="0" w:space="0" w:color="auto"/>
                <w:right w:val="none" w:sz="0" w:space="0" w:color="auto"/>
              </w:divBdr>
            </w:div>
          </w:divsChild>
        </w:div>
        <w:div w:id="2073578379">
          <w:marLeft w:val="0"/>
          <w:marRight w:val="0"/>
          <w:marTop w:val="0"/>
          <w:marBottom w:val="0"/>
          <w:divBdr>
            <w:top w:val="none" w:sz="0" w:space="0" w:color="auto"/>
            <w:left w:val="none" w:sz="0" w:space="0" w:color="auto"/>
            <w:bottom w:val="none" w:sz="0" w:space="0" w:color="auto"/>
            <w:right w:val="none" w:sz="0" w:space="0" w:color="auto"/>
          </w:divBdr>
          <w:divsChild>
            <w:div w:id="297616459">
              <w:marLeft w:val="0"/>
              <w:marRight w:val="0"/>
              <w:marTop w:val="0"/>
              <w:marBottom w:val="0"/>
              <w:divBdr>
                <w:top w:val="none" w:sz="0" w:space="0" w:color="auto"/>
                <w:left w:val="none" w:sz="0" w:space="0" w:color="auto"/>
                <w:bottom w:val="none" w:sz="0" w:space="0" w:color="auto"/>
                <w:right w:val="none" w:sz="0" w:space="0" w:color="auto"/>
              </w:divBdr>
            </w:div>
          </w:divsChild>
        </w:div>
        <w:div w:id="2074883678">
          <w:marLeft w:val="0"/>
          <w:marRight w:val="0"/>
          <w:marTop w:val="0"/>
          <w:marBottom w:val="0"/>
          <w:divBdr>
            <w:top w:val="none" w:sz="0" w:space="0" w:color="auto"/>
            <w:left w:val="none" w:sz="0" w:space="0" w:color="auto"/>
            <w:bottom w:val="none" w:sz="0" w:space="0" w:color="auto"/>
            <w:right w:val="none" w:sz="0" w:space="0" w:color="auto"/>
          </w:divBdr>
          <w:divsChild>
            <w:div w:id="48573720">
              <w:marLeft w:val="0"/>
              <w:marRight w:val="0"/>
              <w:marTop w:val="0"/>
              <w:marBottom w:val="0"/>
              <w:divBdr>
                <w:top w:val="none" w:sz="0" w:space="0" w:color="auto"/>
                <w:left w:val="none" w:sz="0" w:space="0" w:color="auto"/>
                <w:bottom w:val="none" w:sz="0" w:space="0" w:color="auto"/>
                <w:right w:val="none" w:sz="0" w:space="0" w:color="auto"/>
              </w:divBdr>
            </w:div>
          </w:divsChild>
        </w:div>
        <w:div w:id="2078278362">
          <w:marLeft w:val="0"/>
          <w:marRight w:val="0"/>
          <w:marTop w:val="0"/>
          <w:marBottom w:val="0"/>
          <w:divBdr>
            <w:top w:val="none" w:sz="0" w:space="0" w:color="auto"/>
            <w:left w:val="none" w:sz="0" w:space="0" w:color="auto"/>
            <w:bottom w:val="none" w:sz="0" w:space="0" w:color="auto"/>
            <w:right w:val="none" w:sz="0" w:space="0" w:color="auto"/>
          </w:divBdr>
          <w:divsChild>
            <w:div w:id="466969570">
              <w:marLeft w:val="0"/>
              <w:marRight w:val="0"/>
              <w:marTop w:val="0"/>
              <w:marBottom w:val="0"/>
              <w:divBdr>
                <w:top w:val="none" w:sz="0" w:space="0" w:color="auto"/>
                <w:left w:val="none" w:sz="0" w:space="0" w:color="auto"/>
                <w:bottom w:val="none" w:sz="0" w:space="0" w:color="auto"/>
                <w:right w:val="none" w:sz="0" w:space="0" w:color="auto"/>
              </w:divBdr>
            </w:div>
          </w:divsChild>
        </w:div>
        <w:div w:id="2078428591">
          <w:marLeft w:val="0"/>
          <w:marRight w:val="0"/>
          <w:marTop w:val="0"/>
          <w:marBottom w:val="0"/>
          <w:divBdr>
            <w:top w:val="none" w:sz="0" w:space="0" w:color="auto"/>
            <w:left w:val="none" w:sz="0" w:space="0" w:color="auto"/>
            <w:bottom w:val="none" w:sz="0" w:space="0" w:color="auto"/>
            <w:right w:val="none" w:sz="0" w:space="0" w:color="auto"/>
          </w:divBdr>
          <w:divsChild>
            <w:div w:id="1427119066">
              <w:marLeft w:val="0"/>
              <w:marRight w:val="0"/>
              <w:marTop w:val="0"/>
              <w:marBottom w:val="0"/>
              <w:divBdr>
                <w:top w:val="none" w:sz="0" w:space="0" w:color="auto"/>
                <w:left w:val="none" w:sz="0" w:space="0" w:color="auto"/>
                <w:bottom w:val="none" w:sz="0" w:space="0" w:color="auto"/>
                <w:right w:val="none" w:sz="0" w:space="0" w:color="auto"/>
              </w:divBdr>
            </w:div>
          </w:divsChild>
        </w:div>
        <w:div w:id="2079130246">
          <w:marLeft w:val="0"/>
          <w:marRight w:val="0"/>
          <w:marTop w:val="0"/>
          <w:marBottom w:val="0"/>
          <w:divBdr>
            <w:top w:val="none" w:sz="0" w:space="0" w:color="auto"/>
            <w:left w:val="none" w:sz="0" w:space="0" w:color="auto"/>
            <w:bottom w:val="none" w:sz="0" w:space="0" w:color="auto"/>
            <w:right w:val="none" w:sz="0" w:space="0" w:color="auto"/>
          </w:divBdr>
          <w:divsChild>
            <w:div w:id="1684355242">
              <w:marLeft w:val="0"/>
              <w:marRight w:val="0"/>
              <w:marTop w:val="0"/>
              <w:marBottom w:val="0"/>
              <w:divBdr>
                <w:top w:val="none" w:sz="0" w:space="0" w:color="auto"/>
                <w:left w:val="none" w:sz="0" w:space="0" w:color="auto"/>
                <w:bottom w:val="none" w:sz="0" w:space="0" w:color="auto"/>
                <w:right w:val="none" w:sz="0" w:space="0" w:color="auto"/>
              </w:divBdr>
            </w:div>
          </w:divsChild>
        </w:div>
        <w:div w:id="2079476067">
          <w:marLeft w:val="0"/>
          <w:marRight w:val="0"/>
          <w:marTop w:val="0"/>
          <w:marBottom w:val="0"/>
          <w:divBdr>
            <w:top w:val="none" w:sz="0" w:space="0" w:color="auto"/>
            <w:left w:val="none" w:sz="0" w:space="0" w:color="auto"/>
            <w:bottom w:val="none" w:sz="0" w:space="0" w:color="auto"/>
            <w:right w:val="none" w:sz="0" w:space="0" w:color="auto"/>
          </w:divBdr>
          <w:divsChild>
            <w:div w:id="1077828804">
              <w:marLeft w:val="0"/>
              <w:marRight w:val="0"/>
              <w:marTop w:val="0"/>
              <w:marBottom w:val="0"/>
              <w:divBdr>
                <w:top w:val="none" w:sz="0" w:space="0" w:color="auto"/>
                <w:left w:val="none" w:sz="0" w:space="0" w:color="auto"/>
                <w:bottom w:val="none" w:sz="0" w:space="0" w:color="auto"/>
                <w:right w:val="none" w:sz="0" w:space="0" w:color="auto"/>
              </w:divBdr>
            </w:div>
          </w:divsChild>
        </w:div>
        <w:div w:id="2084831661">
          <w:marLeft w:val="0"/>
          <w:marRight w:val="0"/>
          <w:marTop w:val="0"/>
          <w:marBottom w:val="0"/>
          <w:divBdr>
            <w:top w:val="none" w:sz="0" w:space="0" w:color="auto"/>
            <w:left w:val="none" w:sz="0" w:space="0" w:color="auto"/>
            <w:bottom w:val="none" w:sz="0" w:space="0" w:color="auto"/>
            <w:right w:val="none" w:sz="0" w:space="0" w:color="auto"/>
          </w:divBdr>
          <w:divsChild>
            <w:div w:id="1455562284">
              <w:marLeft w:val="0"/>
              <w:marRight w:val="0"/>
              <w:marTop w:val="0"/>
              <w:marBottom w:val="0"/>
              <w:divBdr>
                <w:top w:val="none" w:sz="0" w:space="0" w:color="auto"/>
                <w:left w:val="none" w:sz="0" w:space="0" w:color="auto"/>
                <w:bottom w:val="none" w:sz="0" w:space="0" w:color="auto"/>
                <w:right w:val="none" w:sz="0" w:space="0" w:color="auto"/>
              </w:divBdr>
            </w:div>
          </w:divsChild>
        </w:div>
        <w:div w:id="2085685997">
          <w:marLeft w:val="0"/>
          <w:marRight w:val="0"/>
          <w:marTop w:val="0"/>
          <w:marBottom w:val="0"/>
          <w:divBdr>
            <w:top w:val="none" w:sz="0" w:space="0" w:color="auto"/>
            <w:left w:val="none" w:sz="0" w:space="0" w:color="auto"/>
            <w:bottom w:val="none" w:sz="0" w:space="0" w:color="auto"/>
            <w:right w:val="none" w:sz="0" w:space="0" w:color="auto"/>
          </w:divBdr>
          <w:divsChild>
            <w:div w:id="405104063">
              <w:marLeft w:val="0"/>
              <w:marRight w:val="0"/>
              <w:marTop w:val="0"/>
              <w:marBottom w:val="0"/>
              <w:divBdr>
                <w:top w:val="none" w:sz="0" w:space="0" w:color="auto"/>
                <w:left w:val="none" w:sz="0" w:space="0" w:color="auto"/>
                <w:bottom w:val="none" w:sz="0" w:space="0" w:color="auto"/>
                <w:right w:val="none" w:sz="0" w:space="0" w:color="auto"/>
              </w:divBdr>
            </w:div>
          </w:divsChild>
        </w:div>
        <w:div w:id="2087414900">
          <w:marLeft w:val="0"/>
          <w:marRight w:val="0"/>
          <w:marTop w:val="0"/>
          <w:marBottom w:val="0"/>
          <w:divBdr>
            <w:top w:val="none" w:sz="0" w:space="0" w:color="auto"/>
            <w:left w:val="none" w:sz="0" w:space="0" w:color="auto"/>
            <w:bottom w:val="none" w:sz="0" w:space="0" w:color="auto"/>
            <w:right w:val="none" w:sz="0" w:space="0" w:color="auto"/>
          </w:divBdr>
          <w:divsChild>
            <w:div w:id="737023748">
              <w:marLeft w:val="0"/>
              <w:marRight w:val="0"/>
              <w:marTop w:val="0"/>
              <w:marBottom w:val="0"/>
              <w:divBdr>
                <w:top w:val="none" w:sz="0" w:space="0" w:color="auto"/>
                <w:left w:val="none" w:sz="0" w:space="0" w:color="auto"/>
                <w:bottom w:val="none" w:sz="0" w:space="0" w:color="auto"/>
                <w:right w:val="none" w:sz="0" w:space="0" w:color="auto"/>
              </w:divBdr>
            </w:div>
          </w:divsChild>
        </w:div>
        <w:div w:id="2089687737">
          <w:marLeft w:val="0"/>
          <w:marRight w:val="0"/>
          <w:marTop w:val="0"/>
          <w:marBottom w:val="0"/>
          <w:divBdr>
            <w:top w:val="none" w:sz="0" w:space="0" w:color="auto"/>
            <w:left w:val="none" w:sz="0" w:space="0" w:color="auto"/>
            <w:bottom w:val="none" w:sz="0" w:space="0" w:color="auto"/>
            <w:right w:val="none" w:sz="0" w:space="0" w:color="auto"/>
          </w:divBdr>
          <w:divsChild>
            <w:div w:id="1525944541">
              <w:marLeft w:val="0"/>
              <w:marRight w:val="0"/>
              <w:marTop w:val="0"/>
              <w:marBottom w:val="0"/>
              <w:divBdr>
                <w:top w:val="none" w:sz="0" w:space="0" w:color="auto"/>
                <w:left w:val="none" w:sz="0" w:space="0" w:color="auto"/>
                <w:bottom w:val="none" w:sz="0" w:space="0" w:color="auto"/>
                <w:right w:val="none" w:sz="0" w:space="0" w:color="auto"/>
              </w:divBdr>
            </w:div>
          </w:divsChild>
        </w:div>
        <w:div w:id="2089693260">
          <w:marLeft w:val="0"/>
          <w:marRight w:val="0"/>
          <w:marTop w:val="0"/>
          <w:marBottom w:val="0"/>
          <w:divBdr>
            <w:top w:val="none" w:sz="0" w:space="0" w:color="auto"/>
            <w:left w:val="none" w:sz="0" w:space="0" w:color="auto"/>
            <w:bottom w:val="none" w:sz="0" w:space="0" w:color="auto"/>
            <w:right w:val="none" w:sz="0" w:space="0" w:color="auto"/>
          </w:divBdr>
          <w:divsChild>
            <w:div w:id="1768193286">
              <w:marLeft w:val="0"/>
              <w:marRight w:val="0"/>
              <w:marTop w:val="0"/>
              <w:marBottom w:val="0"/>
              <w:divBdr>
                <w:top w:val="none" w:sz="0" w:space="0" w:color="auto"/>
                <w:left w:val="none" w:sz="0" w:space="0" w:color="auto"/>
                <w:bottom w:val="none" w:sz="0" w:space="0" w:color="auto"/>
                <w:right w:val="none" w:sz="0" w:space="0" w:color="auto"/>
              </w:divBdr>
            </w:div>
          </w:divsChild>
        </w:div>
        <w:div w:id="2093314849">
          <w:marLeft w:val="0"/>
          <w:marRight w:val="0"/>
          <w:marTop w:val="0"/>
          <w:marBottom w:val="0"/>
          <w:divBdr>
            <w:top w:val="none" w:sz="0" w:space="0" w:color="auto"/>
            <w:left w:val="none" w:sz="0" w:space="0" w:color="auto"/>
            <w:bottom w:val="none" w:sz="0" w:space="0" w:color="auto"/>
            <w:right w:val="none" w:sz="0" w:space="0" w:color="auto"/>
          </w:divBdr>
          <w:divsChild>
            <w:div w:id="739326139">
              <w:marLeft w:val="0"/>
              <w:marRight w:val="0"/>
              <w:marTop w:val="0"/>
              <w:marBottom w:val="0"/>
              <w:divBdr>
                <w:top w:val="none" w:sz="0" w:space="0" w:color="auto"/>
                <w:left w:val="none" w:sz="0" w:space="0" w:color="auto"/>
                <w:bottom w:val="none" w:sz="0" w:space="0" w:color="auto"/>
                <w:right w:val="none" w:sz="0" w:space="0" w:color="auto"/>
              </w:divBdr>
            </w:div>
          </w:divsChild>
        </w:div>
        <w:div w:id="2094235015">
          <w:marLeft w:val="0"/>
          <w:marRight w:val="0"/>
          <w:marTop w:val="0"/>
          <w:marBottom w:val="0"/>
          <w:divBdr>
            <w:top w:val="none" w:sz="0" w:space="0" w:color="auto"/>
            <w:left w:val="none" w:sz="0" w:space="0" w:color="auto"/>
            <w:bottom w:val="none" w:sz="0" w:space="0" w:color="auto"/>
            <w:right w:val="none" w:sz="0" w:space="0" w:color="auto"/>
          </w:divBdr>
          <w:divsChild>
            <w:div w:id="450364856">
              <w:marLeft w:val="0"/>
              <w:marRight w:val="0"/>
              <w:marTop w:val="0"/>
              <w:marBottom w:val="0"/>
              <w:divBdr>
                <w:top w:val="none" w:sz="0" w:space="0" w:color="auto"/>
                <w:left w:val="none" w:sz="0" w:space="0" w:color="auto"/>
                <w:bottom w:val="none" w:sz="0" w:space="0" w:color="auto"/>
                <w:right w:val="none" w:sz="0" w:space="0" w:color="auto"/>
              </w:divBdr>
            </w:div>
          </w:divsChild>
        </w:div>
        <w:div w:id="2097164570">
          <w:marLeft w:val="0"/>
          <w:marRight w:val="0"/>
          <w:marTop w:val="0"/>
          <w:marBottom w:val="0"/>
          <w:divBdr>
            <w:top w:val="none" w:sz="0" w:space="0" w:color="auto"/>
            <w:left w:val="none" w:sz="0" w:space="0" w:color="auto"/>
            <w:bottom w:val="none" w:sz="0" w:space="0" w:color="auto"/>
            <w:right w:val="none" w:sz="0" w:space="0" w:color="auto"/>
          </w:divBdr>
          <w:divsChild>
            <w:div w:id="1714114879">
              <w:marLeft w:val="0"/>
              <w:marRight w:val="0"/>
              <w:marTop w:val="0"/>
              <w:marBottom w:val="0"/>
              <w:divBdr>
                <w:top w:val="none" w:sz="0" w:space="0" w:color="auto"/>
                <w:left w:val="none" w:sz="0" w:space="0" w:color="auto"/>
                <w:bottom w:val="none" w:sz="0" w:space="0" w:color="auto"/>
                <w:right w:val="none" w:sz="0" w:space="0" w:color="auto"/>
              </w:divBdr>
            </w:div>
          </w:divsChild>
        </w:div>
        <w:div w:id="2101488276">
          <w:marLeft w:val="0"/>
          <w:marRight w:val="0"/>
          <w:marTop w:val="0"/>
          <w:marBottom w:val="0"/>
          <w:divBdr>
            <w:top w:val="none" w:sz="0" w:space="0" w:color="auto"/>
            <w:left w:val="none" w:sz="0" w:space="0" w:color="auto"/>
            <w:bottom w:val="none" w:sz="0" w:space="0" w:color="auto"/>
            <w:right w:val="none" w:sz="0" w:space="0" w:color="auto"/>
          </w:divBdr>
          <w:divsChild>
            <w:div w:id="1649746446">
              <w:marLeft w:val="0"/>
              <w:marRight w:val="0"/>
              <w:marTop w:val="0"/>
              <w:marBottom w:val="0"/>
              <w:divBdr>
                <w:top w:val="none" w:sz="0" w:space="0" w:color="auto"/>
                <w:left w:val="none" w:sz="0" w:space="0" w:color="auto"/>
                <w:bottom w:val="none" w:sz="0" w:space="0" w:color="auto"/>
                <w:right w:val="none" w:sz="0" w:space="0" w:color="auto"/>
              </w:divBdr>
            </w:div>
          </w:divsChild>
        </w:div>
        <w:div w:id="2102408170">
          <w:marLeft w:val="0"/>
          <w:marRight w:val="0"/>
          <w:marTop w:val="0"/>
          <w:marBottom w:val="0"/>
          <w:divBdr>
            <w:top w:val="none" w:sz="0" w:space="0" w:color="auto"/>
            <w:left w:val="none" w:sz="0" w:space="0" w:color="auto"/>
            <w:bottom w:val="none" w:sz="0" w:space="0" w:color="auto"/>
            <w:right w:val="none" w:sz="0" w:space="0" w:color="auto"/>
          </w:divBdr>
          <w:divsChild>
            <w:div w:id="1422725414">
              <w:marLeft w:val="0"/>
              <w:marRight w:val="0"/>
              <w:marTop w:val="0"/>
              <w:marBottom w:val="0"/>
              <w:divBdr>
                <w:top w:val="none" w:sz="0" w:space="0" w:color="auto"/>
                <w:left w:val="none" w:sz="0" w:space="0" w:color="auto"/>
                <w:bottom w:val="none" w:sz="0" w:space="0" w:color="auto"/>
                <w:right w:val="none" w:sz="0" w:space="0" w:color="auto"/>
              </w:divBdr>
            </w:div>
          </w:divsChild>
        </w:div>
        <w:div w:id="2102601308">
          <w:marLeft w:val="0"/>
          <w:marRight w:val="0"/>
          <w:marTop w:val="0"/>
          <w:marBottom w:val="0"/>
          <w:divBdr>
            <w:top w:val="none" w:sz="0" w:space="0" w:color="auto"/>
            <w:left w:val="none" w:sz="0" w:space="0" w:color="auto"/>
            <w:bottom w:val="none" w:sz="0" w:space="0" w:color="auto"/>
            <w:right w:val="none" w:sz="0" w:space="0" w:color="auto"/>
          </w:divBdr>
          <w:divsChild>
            <w:div w:id="629090163">
              <w:marLeft w:val="0"/>
              <w:marRight w:val="0"/>
              <w:marTop w:val="0"/>
              <w:marBottom w:val="0"/>
              <w:divBdr>
                <w:top w:val="none" w:sz="0" w:space="0" w:color="auto"/>
                <w:left w:val="none" w:sz="0" w:space="0" w:color="auto"/>
                <w:bottom w:val="none" w:sz="0" w:space="0" w:color="auto"/>
                <w:right w:val="none" w:sz="0" w:space="0" w:color="auto"/>
              </w:divBdr>
            </w:div>
          </w:divsChild>
        </w:div>
        <w:div w:id="2104717380">
          <w:marLeft w:val="0"/>
          <w:marRight w:val="0"/>
          <w:marTop w:val="0"/>
          <w:marBottom w:val="0"/>
          <w:divBdr>
            <w:top w:val="none" w:sz="0" w:space="0" w:color="auto"/>
            <w:left w:val="none" w:sz="0" w:space="0" w:color="auto"/>
            <w:bottom w:val="none" w:sz="0" w:space="0" w:color="auto"/>
            <w:right w:val="none" w:sz="0" w:space="0" w:color="auto"/>
          </w:divBdr>
          <w:divsChild>
            <w:div w:id="218589865">
              <w:marLeft w:val="0"/>
              <w:marRight w:val="0"/>
              <w:marTop w:val="0"/>
              <w:marBottom w:val="0"/>
              <w:divBdr>
                <w:top w:val="none" w:sz="0" w:space="0" w:color="auto"/>
                <w:left w:val="none" w:sz="0" w:space="0" w:color="auto"/>
                <w:bottom w:val="none" w:sz="0" w:space="0" w:color="auto"/>
                <w:right w:val="none" w:sz="0" w:space="0" w:color="auto"/>
              </w:divBdr>
            </w:div>
          </w:divsChild>
        </w:div>
        <w:div w:id="2106412861">
          <w:marLeft w:val="0"/>
          <w:marRight w:val="0"/>
          <w:marTop w:val="0"/>
          <w:marBottom w:val="0"/>
          <w:divBdr>
            <w:top w:val="none" w:sz="0" w:space="0" w:color="auto"/>
            <w:left w:val="none" w:sz="0" w:space="0" w:color="auto"/>
            <w:bottom w:val="none" w:sz="0" w:space="0" w:color="auto"/>
            <w:right w:val="none" w:sz="0" w:space="0" w:color="auto"/>
          </w:divBdr>
          <w:divsChild>
            <w:div w:id="1170101774">
              <w:marLeft w:val="0"/>
              <w:marRight w:val="0"/>
              <w:marTop w:val="0"/>
              <w:marBottom w:val="0"/>
              <w:divBdr>
                <w:top w:val="none" w:sz="0" w:space="0" w:color="auto"/>
                <w:left w:val="none" w:sz="0" w:space="0" w:color="auto"/>
                <w:bottom w:val="none" w:sz="0" w:space="0" w:color="auto"/>
                <w:right w:val="none" w:sz="0" w:space="0" w:color="auto"/>
              </w:divBdr>
            </w:div>
          </w:divsChild>
        </w:div>
        <w:div w:id="2106919654">
          <w:marLeft w:val="0"/>
          <w:marRight w:val="0"/>
          <w:marTop w:val="0"/>
          <w:marBottom w:val="0"/>
          <w:divBdr>
            <w:top w:val="none" w:sz="0" w:space="0" w:color="auto"/>
            <w:left w:val="none" w:sz="0" w:space="0" w:color="auto"/>
            <w:bottom w:val="none" w:sz="0" w:space="0" w:color="auto"/>
            <w:right w:val="none" w:sz="0" w:space="0" w:color="auto"/>
          </w:divBdr>
          <w:divsChild>
            <w:div w:id="1653487046">
              <w:marLeft w:val="0"/>
              <w:marRight w:val="0"/>
              <w:marTop w:val="0"/>
              <w:marBottom w:val="0"/>
              <w:divBdr>
                <w:top w:val="none" w:sz="0" w:space="0" w:color="auto"/>
                <w:left w:val="none" w:sz="0" w:space="0" w:color="auto"/>
                <w:bottom w:val="none" w:sz="0" w:space="0" w:color="auto"/>
                <w:right w:val="none" w:sz="0" w:space="0" w:color="auto"/>
              </w:divBdr>
            </w:div>
          </w:divsChild>
        </w:div>
        <w:div w:id="2107727767">
          <w:marLeft w:val="0"/>
          <w:marRight w:val="0"/>
          <w:marTop w:val="0"/>
          <w:marBottom w:val="0"/>
          <w:divBdr>
            <w:top w:val="none" w:sz="0" w:space="0" w:color="auto"/>
            <w:left w:val="none" w:sz="0" w:space="0" w:color="auto"/>
            <w:bottom w:val="none" w:sz="0" w:space="0" w:color="auto"/>
            <w:right w:val="none" w:sz="0" w:space="0" w:color="auto"/>
          </w:divBdr>
          <w:divsChild>
            <w:div w:id="1107846238">
              <w:marLeft w:val="0"/>
              <w:marRight w:val="0"/>
              <w:marTop w:val="0"/>
              <w:marBottom w:val="0"/>
              <w:divBdr>
                <w:top w:val="none" w:sz="0" w:space="0" w:color="auto"/>
                <w:left w:val="none" w:sz="0" w:space="0" w:color="auto"/>
                <w:bottom w:val="none" w:sz="0" w:space="0" w:color="auto"/>
                <w:right w:val="none" w:sz="0" w:space="0" w:color="auto"/>
              </w:divBdr>
            </w:div>
          </w:divsChild>
        </w:div>
        <w:div w:id="2108842157">
          <w:marLeft w:val="0"/>
          <w:marRight w:val="0"/>
          <w:marTop w:val="0"/>
          <w:marBottom w:val="0"/>
          <w:divBdr>
            <w:top w:val="none" w:sz="0" w:space="0" w:color="auto"/>
            <w:left w:val="none" w:sz="0" w:space="0" w:color="auto"/>
            <w:bottom w:val="none" w:sz="0" w:space="0" w:color="auto"/>
            <w:right w:val="none" w:sz="0" w:space="0" w:color="auto"/>
          </w:divBdr>
          <w:divsChild>
            <w:div w:id="1245845415">
              <w:marLeft w:val="0"/>
              <w:marRight w:val="0"/>
              <w:marTop w:val="0"/>
              <w:marBottom w:val="0"/>
              <w:divBdr>
                <w:top w:val="none" w:sz="0" w:space="0" w:color="auto"/>
                <w:left w:val="none" w:sz="0" w:space="0" w:color="auto"/>
                <w:bottom w:val="none" w:sz="0" w:space="0" w:color="auto"/>
                <w:right w:val="none" w:sz="0" w:space="0" w:color="auto"/>
              </w:divBdr>
            </w:div>
          </w:divsChild>
        </w:div>
        <w:div w:id="2109502698">
          <w:marLeft w:val="0"/>
          <w:marRight w:val="0"/>
          <w:marTop w:val="0"/>
          <w:marBottom w:val="0"/>
          <w:divBdr>
            <w:top w:val="none" w:sz="0" w:space="0" w:color="auto"/>
            <w:left w:val="none" w:sz="0" w:space="0" w:color="auto"/>
            <w:bottom w:val="none" w:sz="0" w:space="0" w:color="auto"/>
            <w:right w:val="none" w:sz="0" w:space="0" w:color="auto"/>
          </w:divBdr>
          <w:divsChild>
            <w:div w:id="1981613967">
              <w:marLeft w:val="0"/>
              <w:marRight w:val="0"/>
              <w:marTop w:val="0"/>
              <w:marBottom w:val="0"/>
              <w:divBdr>
                <w:top w:val="none" w:sz="0" w:space="0" w:color="auto"/>
                <w:left w:val="none" w:sz="0" w:space="0" w:color="auto"/>
                <w:bottom w:val="none" w:sz="0" w:space="0" w:color="auto"/>
                <w:right w:val="none" w:sz="0" w:space="0" w:color="auto"/>
              </w:divBdr>
            </w:div>
          </w:divsChild>
        </w:div>
        <w:div w:id="2110618353">
          <w:marLeft w:val="0"/>
          <w:marRight w:val="0"/>
          <w:marTop w:val="0"/>
          <w:marBottom w:val="0"/>
          <w:divBdr>
            <w:top w:val="none" w:sz="0" w:space="0" w:color="auto"/>
            <w:left w:val="none" w:sz="0" w:space="0" w:color="auto"/>
            <w:bottom w:val="none" w:sz="0" w:space="0" w:color="auto"/>
            <w:right w:val="none" w:sz="0" w:space="0" w:color="auto"/>
          </w:divBdr>
          <w:divsChild>
            <w:div w:id="1973828635">
              <w:marLeft w:val="0"/>
              <w:marRight w:val="0"/>
              <w:marTop w:val="0"/>
              <w:marBottom w:val="0"/>
              <w:divBdr>
                <w:top w:val="none" w:sz="0" w:space="0" w:color="auto"/>
                <w:left w:val="none" w:sz="0" w:space="0" w:color="auto"/>
                <w:bottom w:val="none" w:sz="0" w:space="0" w:color="auto"/>
                <w:right w:val="none" w:sz="0" w:space="0" w:color="auto"/>
              </w:divBdr>
            </w:div>
          </w:divsChild>
        </w:div>
        <w:div w:id="2111509193">
          <w:marLeft w:val="0"/>
          <w:marRight w:val="0"/>
          <w:marTop w:val="0"/>
          <w:marBottom w:val="0"/>
          <w:divBdr>
            <w:top w:val="none" w:sz="0" w:space="0" w:color="auto"/>
            <w:left w:val="none" w:sz="0" w:space="0" w:color="auto"/>
            <w:bottom w:val="none" w:sz="0" w:space="0" w:color="auto"/>
            <w:right w:val="none" w:sz="0" w:space="0" w:color="auto"/>
          </w:divBdr>
          <w:divsChild>
            <w:div w:id="1407535703">
              <w:marLeft w:val="0"/>
              <w:marRight w:val="0"/>
              <w:marTop w:val="0"/>
              <w:marBottom w:val="0"/>
              <w:divBdr>
                <w:top w:val="none" w:sz="0" w:space="0" w:color="auto"/>
                <w:left w:val="none" w:sz="0" w:space="0" w:color="auto"/>
                <w:bottom w:val="none" w:sz="0" w:space="0" w:color="auto"/>
                <w:right w:val="none" w:sz="0" w:space="0" w:color="auto"/>
              </w:divBdr>
            </w:div>
          </w:divsChild>
        </w:div>
        <w:div w:id="2117095050">
          <w:marLeft w:val="0"/>
          <w:marRight w:val="0"/>
          <w:marTop w:val="0"/>
          <w:marBottom w:val="0"/>
          <w:divBdr>
            <w:top w:val="none" w:sz="0" w:space="0" w:color="auto"/>
            <w:left w:val="none" w:sz="0" w:space="0" w:color="auto"/>
            <w:bottom w:val="none" w:sz="0" w:space="0" w:color="auto"/>
            <w:right w:val="none" w:sz="0" w:space="0" w:color="auto"/>
          </w:divBdr>
          <w:divsChild>
            <w:div w:id="2109042399">
              <w:marLeft w:val="0"/>
              <w:marRight w:val="0"/>
              <w:marTop w:val="0"/>
              <w:marBottom w:val="0"/>
              <w:divBdr>
                <w:top w:val="none" w:sz="0" w:space="0" w:color="auto"/>
                <w:left w:val="none" w:sz="0" w:space="0" w:color="auto"/>
                <w:bottom w:val="none" w:sz="0" w:space="0" w:color="auto"/>
                <w:right w:val="none" w:sz="0" w:space="0" w:color="auto"/>
              </w:divBdr>
            </w:div>
          </w:divsChild>
        </w:div>
        <w:div w:id="2120491492">
          <w:marLeft w:val="0"/>
          <w:marRight w:val="0"/>
          <w:marTop w:val="0"/>
          <w:marBottom w:val="0"/>
          <w:divBdr>
            <w:top w:val="none" w:sz="0" w:space="0" w:color="auto"/>
            <w:left w:val="none" w:sz="0" w:space="0" w:color="auto"/>
            <w:bottom w:val="none" w:sz="0" w:space="0" w:color="auto"/>
            <w:right w:val="none" w:sz="0" w:space="0" w:color="auto"/>
          </w:divBdr>
          <w:divsChild>
            <w:div w:id="1814592744">
              <w:marLeft w:val="0"/>
              <w:marRight w:val="0"/>
              <w:marTop w:val="0"/>
              <w:marBottom w:val="0"/>
              <w:divBdr>
                <w:top w:val="none" w:sz="0" w:space="0" w:color="auto"/>
                <w:left w:val="none" w:sz="0" w:space="0" w:color="auto"/>
                <w:bottom w:val="none" w:sz="0" w:space="0" w:color="auto"/>
                <w:right w:val="none" w:sz="0" w:space="0" w:color="auto"/>
              </w:divBdr>
            </w:div>
          </w:divsChild>
        </w:div>
        <w:div w:id="2120951358">
          <w:marLeft w:val="0"/>
          <w:marRight w:val="0"/>
          <w:marTop w:val="0"/>
          <w:marBottom w:val="0"/>
          <w:divBdr>
            <w:top w:val="none" w:sz="0" w:space="0" w:color="auto"/>
            <w:left w:val="none" w:sz="0" w:space="0" w:color="auto"/>
            <w:bottom w:val="none" w:sz="0" w:space="0" w:color="auto"/>
            <w:right w:val="none" w:sz="0" w:space="0" w:color="auto"/>
          </w:divBdr>
          <w:divsChild>
            <w:div w:id="773481842">
              <w:marLeft w:val="0"/>
              <w:marRight w:val="0"/>
              <w:marTop w:val="0"/>
              <w:marBottom w:val="0"/>
              <w:divBdr>
                <w:top w:val="none" w:sz="0" w:space="0" w:color="auto"/>
                <w:left w:val="none" w:sz="0" w:space="0" w:color="auto"/>
                <w:bottom w:val="none" w:sz="0" w:space="0" w:color="auto"/>
                <w:right w:val="none" w:sz="0" w:space="0" w:color="auto"/>
              </w:divBdr>
            </w:div>
          </w:divsChild>
        </w:div>
        <w:div w:id="2124153721">
          <w:marLeft w:val="0"/>
          <w:marRight w:val="0"/>
          <w:marTop w:val="0"/>
          <w:marBottom w:val="0"/>
          <w:divBdr>
            <w:top w:val="none" w:sz="0" w:space="0" w:color="auto"/>
            <w:left w:val="none" w:sz="0" w:space="0" w:color="auto"/>
            <w:bottom w:val="none" w:sz="0" w:space="0" w:color="auto"/>
            <w:right w:val="none" w:sz="0" w:space="0" w:color="auto"/>
          </w:divBdr>
          <w:divsChild>
            <w:div w:id="1746799747">
              <w:marLeft w:val="0"/>
              <w:marRight w:val="0"/>
              <w:marTop w:val="0"/>
              <w:marBottom w:val="0"/>
              <w:divBdr>
                <w:top w:val="none" w:sz="0" w:space="0" w:color="auto"/>
                <w:left w:val="none" w:sz="0" w:space="0" w:color="auto"/>
                <w:bottom w:val="none" w:sz="0" w:space="0" w:color="auto"/>
                <w:right w:val="none" w:sz="0" w:space="0" w:color="auto"/>
              </w:divBdr>
            </w:div>
          </w:divsChild>
        </w:div>
        <w:div w:id="2127040124">
          <w:marLeft w:val="0"/>
          <w:marRight w:val="0"/>
          <w:marTop w:val="0"/>
          <w:marBottom w:val="0"/>
          <w:divBdr>
            <w:top w:val="none" w:sz="0" w:space="0" w:color="auto"/>
            <w:left w:val="none" w:sz="0" w:space="0" w:color="auto"/>
            <w:bottom w:val="none" w:sz="0" w:space="0" w:color="auto"/>
            <w:right w:val="none" w:sz="0" w:space="0" w:color="auto"/>
          </w:divBdr>
          <w:divsChild>
            <w:div w:id="1889145207">
              <w:marLeft w:val="0"/>
              <w:marRight w:val="0"/>
              <w:marTop w:val="0"/>
              <w:marBottom w:val="0"/>
              <w:divBdr>
                <w:top w:val="none" w:sz="0" w:space="0" w:color="auto"/>
                <w:left w:val="none" w:sz="0" w:space="0" w:color="auto"/>
                <w:bottom w:val="none" w:sz="0" w:space="0" w:color="auto"/>
                <w:right w:val="none" w:sz="0" w:space="0" w:color="auto"/>
              </w:divBdr>
            </w:div>
          </w:divsChild>
        </w:div>
        <w:div w:id="2127194963">
          <w:marLeft w:val="0"/>
          <w:marRight w:val="0"/>
          <w:marTop w:val="0"/>
          <w:marBottom w:val="0"/>
          <w:divBdr>
            <w:top w:val="none" w:sz="0" w:space="0" w:color="auto"/>
            <w:left w:val="none" w:sz="0" w:space="0" w:color="auto"/>
            <w:bottom w:val="none" w:sz="0" w:space="0" w:color="auto"/>
            <w:right w:val="none" w:sz="0" w:space="0" w:color="auto"/>
          </w:divBdr>
          <w:divsChild>
            <w:div w:id="865871644">
              <w:marLeft w:val="0"/>
              <w:marRight w:val="0"/>
              <w:marTop w:val="0"/>
              <w:marBottom w:val="0"/>
              <w:divBdr>
                <w:top w:val="none" w:sz="0" w:space="0" w:color="auto"/>
                <w:left w:val="none" w:sz="0" w:space="0" w:color="auto"/>
                <w:bottom w:val="none" w:sz="0" w:space="0" w:color="auto"/>
                <w:right w:val="none" w:sz="0" w:space="0" w:color="auto"/>
              </w:divBdr>
            </w:div>
          </w:divsChild>
        </w:div>
        <w:div w:id="2130732898">
          <w:marLeft w:val="0"/>
          <w:marRight w:val="0"/>
          <w:marTop w:val="0"/>
          <w:marBottom w:val="0"/>
          <w:divBdr>
            <w:top w:val="none" w:sz="0" w:space="0" w:color="auto"/>
            <w:left w:val="none" w:sz="0" w:space="0" w:color="auto"/>
            <w:bottom w:val="none" w:sz="0" w:space="0" w:color="auto"/>
            <w:right w:val="none" w:sz="0" w:space="0" w:color="auto"/>
          </w:divBdr>
          <w:divsChild>
            <w:div w:id="707994520">
              <w:marLeft w:val="0"/>
              <w:marRight w:val="0"/>
              <w:marTop w:val="0"/>
              <w:marBottom w:val="0"/>
              <w:divBdr>
                <w:top w:val="none" w:sz="0" w:space="0" w:color="auto"/>
                <w:left w:val="none" w:sz="0" w:space="0" w:color="auto"/>
                <w:bottom w:val="none" w:sz="0" w:space="0" w:color="auto"/>
                <w:right w:val="none" w:sz="0" w:space="0" w:color="auto"/>
              </w:divBdr>
            </w:div>
          </w:divsChild>
        </w:div>
        <w:div w:id="2136873719">
          <w:marLeft w:val="0"/>
          <w:marRight w:val="0"/>
          <w:marTop w:val="0"/>
          <w:marBottom w:val="0"/>
          <w:divBdr>
            <w:top w:val="none" w:sz="0" w:space="0" w:color="auto"/>
            <w:left w:val="none" w:sz="0" w:space="0" w:color="auto"/>
            <w:bottom w:val="none" w:sz="0" w:space="0" w:color="auto"/>
            <w:right w:val="none" w:sz="0" w:space="0" w:color="auto"/>
          </w:divBdr>
          <w:divsChild>
            <w:div w:id="3019657">
              <w:marLeft w:val="0"/>
              <w:marRight w:val="0"/>
              <w:marTop w:val="0"/>
              <w:marBottom w:val="0"/>
              <w:divBdr>
                <w:top w:val="none" w:sz="0" w:space="0" w:color="auto"/>
                <w:left w:val="none" w:sz="0" w:space="0" w:color="auto"/>
                <w:bottom w:val="none" w:sz="0" w:space="0" w:color="auto"/>
                <w:right w:val="none" w:sz="0" w:space="0" w:color="auto"/>
              </w:divBdr>
            </w:div>
          </w:divsChild>
        </w:div>
        <w:div w:id="2141682155">
          <w:marLeft w:val="0"/>
          <w:marRight w:val="0"/>
          <w:marTop w:val="0"/>
          <w:marBottom w:val="0"/>
          <w:divBdr>
            <w:top w:val="none" w:sz="0" w:space="0" w:color="auto"/>
            <w:left w:val="none" w:sz="0" w:space="0" w:color="auto"/>
            <w:bottom w:val="none" w:sz="0" w:space="0" w:color="auto"/>
            <w:right w:val="none" w:sz="0" w:space="0" w:color="auto"/>
          </w:divBdr>
          <w:divsChild>
            <w:div w:id="484392811">
              <w:marLeft w:val="0"/>
              <w:marRight w:val="0"/>
              <w:marTop w:val="0"/>
              <w:marBottom w:val="0"/>
              <w:divBdr>
                <w:top w:val="none" w:sz="0" w:space="0" w:color="auto"/>
                <w:left w:val="none" w:sz="0" w:space="0" w:color="auto"/>
                <w:bottom w:val="none" w:sz="0" w:space="0" w:color="auto"/>
                <w:right w:val="none" w:sz="0" w:space="0" w:color="auto"/>
              </w:divBdr>
            </w:div>
          </w:divsChild>
        </w:div>
        <w:div w:id="2145850028">
          <w:marLeft w:val="0"/>
          <w:marRight w:val="0"/>
          <w:marTop w:val="0"/>
          <w:marBottom w:val="0"/>
          <w:divBdr>
            <w:top w:val="none" w:sz="0" w:space="0" w:color="auto"/>
            <w:left w:val="none" w:sz="0" w:space="0" w:color="auto"/>
            <w:bottom w:val="none" w:sz="0" w:space="0" w:color="auto"/>
            <w:right w:val="none" w:sz="0" w:space="0" w:color="auto"/>
          </w:divBdr>
          <w:divsChild>
            <w:div w:id="1383140323">
              <w:marLeft w:val="0"/>
              <w:marRight w:val="0"/>
              <w:marTop w:val="0"/>
              <w:marBottom w:val="0"/>
              <w:divBdr>
                <w:top w:val="none" w:sz="0" w:space="0" w:color="auto"/>
                <w:left w:val="none" w:sz="0" w:space="0" w:color="auto"/>
                <w:bottom w:val="none" w:sz="0" w:space="0" w:color="auto"/>
                <w:right w:val="none" w:sz="0" w:space="0" w:color="auto"/>
              </w:divBdr>
            </w:div>
          </w:divsChild>
        </w:div>
        <w:div w:id="2146047422">
          <w:marLeft w:val="0"/>
          <w:marRight w:val="0"/>
          <w:marTop w:val="0"/>
          <w:marBottom w:val="0"/>
          <w:divBdr>
            <w:top w:val="none" w:sz="0" w:space="0" w:color="auto"/>
            <w:left w:val="none" w:sz="0" w:space="0" w:color="auto"/>
            <w:bottom w:val="none" w:sz="0" w:space="0" w:color="auto"/>
            <w:right w:val="none" w:sz="0" w:space="0" w:color="auto"/>
          </w:divBdr>
          <w:divsChild>
            <w:div w:id="10230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1705">
      <w:bodyDiv w:val="1"/>
      <w:marLeft w:val="0"/>
      <w:marRight w:val="0"/>
      <w:marTop w:val="0"/>
      <w:marBottom w:val="0"/>
      <w:divBdr>
        <w:top w:val="none" w:sz="0" w:space="0" w:color="auto"/>
        <w:left w:val="none" w:sz="0" w:space="0" w:color="auto"/>
        <w:bottom w:val="none" w:sz="0" w:space="0" w:color="auto"/>
        <w:right w:val="none" w:sz="0" w:space="0" w:color="auto"/>
      </w:divBdr>
    </w:div>
    <w:div w:id="1702512557">
      <w:bodyDiv w:val="1"/>
      <w:marLeft w:val="0"/>
      <w:marRight w:val="0"/>
      <w:marTop w:val="0"/>
      <w:marBottom w:val="0"/>
      <w:divBdr>
        <w:top w:val="none" w:sz="0" w:space="0" w:color="auto"/>
        <w:left w:val="none" w:sz="0" w:space="0" w:color="auto"/>
        <w:bottom w:val="none" w:sz="0" w:space="0" w:color="auto"/>
        <w:right w:val="none" w:sz="0" w:space="0" w:color="auto"/>
      </w:divBdr>
    </w:div>
    <w:div w:id="1702703011">
      <w:bodyDiv w:val="1"/>
      <w:marLeft w:val="0"/>
      <w:marRight w:val="0"/>
      <w:marTop w:val="0"/>
      <w:marBottom w:val="0"/>
      <w:divBdr>
        <w:top w:val="none" w:sz="0" w:space="0" w:color="auto"/>
        <w:left w:val="none" w:sz="0" w:space="0" w:color="auto"/>
        <w:bottom w:val="none" w:sz="0" w:space="0" w:color="auto"/>
        <w:right w:val="none" w:sz="0" w:space="0" w:color="auto"/>
      </w:divBdr>
    </w:div>
    <w:div w:id="1702825668">
      <w:bodyDiv w:val="1"/>
      <w:marLeft w:val="0"/>
      <w:marRight w:val="0"/>
      <w:marTop w:val="0"/>
      <w:marBottom w:val="0"/>
      <w:divBdr>
        <w:top w:val="none" w:sz="0" w:space="0" w:color="auto"/>
        <w:left w:val="none" w:sz="0" w:space="0" w:color="auto"/>
        <w:bottom w:val="none" w:sz="0" w:space="0" w:color="auto"/>
        <w:right w:val="none" w:sz="0" w:space="0" w:color="auto"/>
      </w:divBdr>
    </w:div>
    <w:div w:id="1702827878">
      <w:bodyDiv w:val="1"/>
      <w:marLeft w:val="0"/>
      <w:marRight w:val="0"/>
      <w:marTop w:val="0"/>
      <w:marBottom w:val="0"/>
      <w:divBdr>
        <w:top w:val="none" w:sz="0" w:space="0" w:color="auto"/>
        <w:left w:val="none" w:sz="0" w:space="0" w:color="auto"/>
        <w:bottom w:val="none" w:sz="0" w:space="0" w:color="auto"/>
        <w:right w:val="none" w:sz="0" w:space="0" w:color="auto"/>
      </w:divBdr>
    </w:div>
    <w:div w:id="1702900108">
      <w:bodyDiv w:val="1"/>
      <w:marLeft w:val="0"/>
      <w:marRight w:val="0"/>
      <w:marTop w:val="0"/>
      <w:marBottom w:val="0"/>
      <w:divBdr>
        <w:top w:val="none" w:sz="0" w:space="0" w:color="auto"/>
        <w:left w:val="none" w:sz="0" w:space="0" w:color="auto"/>
        <w:bottom w:val="none" w:sz="0" w:space="0" w:color="auto"/>
        <w:right w:val="none" w:sz="0" w:space="0" w:color="auto"/>
      </w:divBdr>
    </w:div>
    <w:div w:id="1702901831">
      <w:bodyDiv w:val="1"/>
      <w:marLeft w:val="0"/>
      <w:marRight w:val="0"/>
      <w:marTop w:val="0"/>
      <w:marBottom w:val="0"/>
      <w:divBdr>
        <w:top w:val="none" w:sz="0" w:space="0" w:color="auto"/>
        <w:left w:val="none" w:sz="0" w:space="0" w:color="auto"/>
        <w:bottom w:val="none" w:sz="0" w:space="0" w:color="auto"/>
        <w:right w:val="none" w:sz="0" w:space="0" w:color="auto"/>
      </w:divBdr>
    </w:div>
    <w:div w:id="1702971366">
      <w:bodyDiv w:val="1"/>
      <w:marLeft w:val="0"/>
      <w:marRight w:val="0"/>
      <w:marTop w:val="0"/>
      <w:marBottom w:val="0"/>
      <w:divBdr>
        <w:top w:val="none" w:sz="0" w:space="0" w:color="auto"/>
        <w:left w:val="none" w:sz="0" w:space="0" w:color="auto"/>
        <w:bottom w:val="none" w:sz="0" w:space="0" w:color="auto"/>
        <w:right w:val="none" w:sz="0" w:space="0" w:color="auto"/>
      </w:divBdr>
    </w:div>
    <w:div w:id="1703047361">
      <w:bodyDiv w:val="1"/>
      <w:marLeft w:val="0"/>
      <w:marRight w:val="0"/>
      <w:marTop w:val="0"/>
      <w:marBottom w:val="0"/>
      <w:divBdr>
        <w:top w:val="none" w:sz="0" w:space="0" w:color="auto"/>
        <w:left w:val="none" w:sz="0" w:space="0" w:color="auto"/>
        <w:bottom w:val="none" w:sz="0" w:space="0" w:color="auto"/>
        <w:right w:val="none" w:sz="0" w:space="0" w:color="auto"/>
      </w:divBdr>
    </w:div>
    <w:div w:id="1703247389">
      <w:bodyDiv w:val="1"/>
      <w:marLeft w:val="0"/>
      <w:marRight w:val="0"/>
      <w:marTop w:val="0"/>
      <w:marBottom w:val="0"/>
      <w:divBdr>
        <w:top w:val="none" w:sz="0" w:space="0" w:color="auto"/>
        <w:left w:val="none" w:sz="0" w:space="0" w:color="auto"/>
        <w:bottom w:val="none" w:sz="0" w:space="0" w:color="auto"/>
        <w:right w:val="none" w:sz="0" w:space="0" w:color="auto"/>
      </w:divBdr>
    </w:div>
    <w:div w:id="1703287938">
      <w:bodyDiv w:val="1"/>
      <w:marLeft w:val="0"/>
      <w:marRight w:val="0"/>
      <w:marTop w:val="0"/>
      <w:marBottom w:val="0"/>
      <w:divBdr>
        <w:top w:val="none" w:sz="0" w:space="0" w:color="auto"/>
        <w:left w:val="none" w:sz="0" w:space="0" w:color="auto"/>
        <w:bottom w:val="none" w:sz="0" w:space="0" w:color="auto"/>
        <w:right w:val="none" w:sz="0" w:space="0" w:color="auto"/>
      </w:divBdr>
    </w:div>
    <w:div w:id="1703357195">
      <w:bodyDiv w:val="1"/>
      <w:marLeft w:val="0"/>
      <w:marRight w:val="0"/>
      <w:marTop w:val="0"/>
      <w:marBottom w:val="0"/>
      <w:divBdr>
        <w:top w:val="none" w:sz="0" w:space="0" w:color="auto"/>
        <w:left w:val="none" w:sz="0" w:space="0" w:color="auto"/>
        <w:bottom w:val="none" w:sz="0" w:space="0" w:color="auto"/>
        <w:right w:val="none" w:sz="0" w:space="0" w:color="auto"/>
      </w:divBdr>
    </w:div>
    <w:div w:id="1703360368">
      <w:bodyDiv w:val="1"/>
      <w:marLeft w:val="0"/>
      <w:marRight w:val="0"/>
      <w:marTop w:val="0"/>
      <w:marBottom w:val="0"/>
      <w:divBdr>
        <w:top w:val="none" w:sz="0" w:space="0" w:color="auto"/>
        <w:left w:val="none" w:sz="0" w:space="0" w:color="auto"/>
        <w:bottom w:val="none" w:sz="0" w:space="0" w:color="auto"/>
        <w:right w:val="none" w:sz="0" w:space="0" w:color="auto"/>
      </w:divBdr>
    </w:div>
    <w:div w:id="1703478324">
      <w:bodyDiv w:val="1"/>
      <w:marLeft w:val="0"/>
      <w:marRight w:val="0"/>
      <w:marTop w:val="0"/>
      <w:marBottom w:val="0"/>
      <w:divBdr>
        <w:top w:val="none" w:sz="0" w:space="0" w:color="auto"/>
        <w:left w:val="none" w:sz="0" w:space="0" w:color="auto"/>
        <w:bottom w:val="none" w:sz="0" w:space="0" w:color="auto"/>
        <w:right w:val="none" w:sz="0" w:space="0" w:color="auto"/>
      </w:divBdr>
    </w:div>
    <w:div w:id="1703478387">
      <w:bodyDiv w:val="1"/>
      <w:marLeft w:val="0"/>
      <w:marRight w:val="0"/>
      <w:marTop w:val="0"/>
      <w:marBottom w:val="0"/>
      <w:divBdr>
        <w:top w:val="none" w:sz="0" w:space="0" w:color="auto"/>
        <w:left w:val="none" w:sz="0" w:space="0" w:color="auto"/>
        <w:bottom w:val="none" w:sz="0" w:space="0" w:color="auto"/>
        <w:right w:val="none" w:sz="0" w:space="0" w:color="auto"/>
      </w:divBdr>
    </w:div>
    <w:div w:id="1703676154">
      <w:bodyDiv w:val="1"/>
      <w:marLeft w:val="0"/>
      <w:marRight w:val="0"/>
      <w:marTop w:val="0"/>
      <w:marBottom w:val="0"/>
      <w:divBdr>
        <w:top w:val="none" w:sz="0" w:space="0" w:color="auto"/>
        <w:left w:val="none" w:sz="0" w:space="0" w:color="auto"/>
        <w:bottom w:val="none" w:sz="0" w:space="0" w:color="auto"/>
        <w:right w:val="none" w:sz="0" w:space="0" w:color="auto"/>
      </w:divBdr>
    </w:div>
    <w:div w:id="1703744953">
      <w:bodyDiv w:val="1"/>
      <w:marLeft w:val="0"/>
      <w:marRight w:val="0"/>
      <w:marTop w:val="0"/>
      <w:marBottom w:val="0"/>
      <w:divBdr>
        <w:top w:val="none" w:sz="0" w:space="0" w:color="auto"/>
        <w:left w:val="none" w:sz="0" w:space="0" w:color="auto"/>
        <w:bottom w:val="none" w:sz="0" w:space="0" w:color="auto"/>
        <w:right w:val="none" w:sz="0" w:space="0" w:color="auto"/>
      </w:divBdr>
    </w:div>
    <w:div w:id="1703745025">
      <w:bodyDiv w:val="1"/>
      <w:marLeft w:val="0"/>
      <w:marRight w:val="0"/>
      <w:marTop w:val="0"/>
      <w:marBottom w:val="0"/>
      <w:divBdr>
        <w:top w:val="none" w:sz="0" w:space="0" w:color="auto"/>
        <w:left w:val="none" w:sz="0" w:space="0" w:color="auto"/>
        <w:bottom w:val="none" w:sz="0" w:space="0" w:color="auto"/>
        <w:right w:val="none" w:sz="0" w:space="0" w:color="auto"/>
      </w:divBdr>
    </w:div>
    <w:div w:id="1704095669">
      <w:bodyDiv w:val="1"/>
      <w:marLeft w:val="0"/>
      <w:marRight w:val="0"/>
      <w:marTop w:val="0"/>
      <w:marBottom w:val="0"/>
      <w:divBdr>
        <w:top w:val="none" w:sz="0" w:space="0" w:color="auto"/>
        <w:left w:val="none" w:sz="0" w:space="0" w:color="auto"/>
        <w:bottom w:val="none" w:sz="0" w:space="0" w:color="auto"/>
        <w:right w:val="none" w:sz="0" w:space="0" w:color="auto"/>
      </w:divBdr>
    </w:div>
    <w:div w:id="1704136671">
      <w:bodyDiv w:val="1"/>
      <w:marLeft w:val="0"/>
      <w:marRight w:val="0"/>
      <w:marTop w:val="0"/>
      <w:marBottom w:val="0"/>
      <w:divBdr>
        <w:top w:val="none" w:sz="0" w:space="0" w:color="auto"/>
        <w:left w:val="none" w:sz="0" w:space="0" w:color="auto"/>
        <w:bottom w:val="none" w:sz="0" w:space="0" w:color="auto"/>
        <w:right w:val="none" w:sz="0" w:space="0" w:color="auto"/>
      </w:divBdr>
    </w:div>
    <w:div w:id="1704211942">
      <w:bodyDiv w:val="1"/>
      <w:marLeft w:val="0"/>
      <w:marRight w:val="0"/>
      <w:marTop w:val="0"/>
      <w:marBottom w:val="0"/>
      <w:divBdr>
        <w:top w:val="none" w:sz="0" w:space="0" w:color="auto"/>
        <w:left w:val="none" w:sz="0" w:space="0" w:color="auto"/>
        <w:bottom w:val="none" w:sz="0" w:space="0" w:color="auto"/>
        <w:right w:val="none" w:sz="0" w:space="0" w:color="auto"/>
      </w:divBdr>
    </w:div>
    <w:div w:id="1704358443">
      <w:bodyDiv w:val="1"/>
      <w:marLeft w:val="0"/>
      <w:marRight w:val="0"/>
      <w:marTop w:val="0"/>
      <w:marBottom w:val="0"/>
      <w:divBdr>
        <w:top w:val="none" w:sz="0" w:space="0" w:color="auto"/>
        <w:left w:val="none" w:sz="0" w:space="0" w:color="auto"/>
        <w:bottom w:val="none" w:sz="0" w:space="0" w:color="auto"/>
        <w:right w:val="none" w:sz="0" w:space="0" w:color="auto"/>
      </w:divBdr>
    </w:div>
    <w:div w:id="1704403018">
      <w:bodyDiv w:val="1"/>
      <w:marLeft w:val="0"/>
      <w:marRight w:val="0"/>
      <w:marTop w:val="0"/>
      <w:marBottom w:val="0"/>
      <w:divBdr>
        <w:top w:val="none" w:sz="0" w:space="0" w:color="auto"/>
        <w:left w:val="none" w:sz="0" w:space="0" w:color="auto"/>
        <w:bottom w:val="none" w:sz="0" w:space="0" w:color="auto"/>
        <w:right w:val="none" w:sz="0" w:space="0" w:color="auto"/>
      </w:divBdr>
    </w:div>
    <w:div w:id="1704474375">
      <w:bodyDiv w:val="1"/>
      <w:marLeft w:val="0"/>
      <w:marRight w:val="0"/>
      <w:marTop w:val="0"/>
      <w:marBottom w:val="0"/>
      <w:divBdr>
        <w:top w:val="none" w:sz="0" w:space="0" w:color="auto"/>
        <w:left w:val="none" w:sz="0" w:space="0" w:color="auto"/>
        <w:bottom w:val="none" w:sz="0" w:space="0" w:color="auto"/>
        <w:right w:val="none" w:sz="0" w:space="0" w:color="auto"/>
      </w:divBdr>
    </w:div>
    <w:div w:id="1704477717">
      <w:bodyDiv w:val="1"/>
      <w:marLeft w:val="0"/>
      <w:marRight w:val="0"/>
      <w:marTop w:val="0"/>
      <w:marBottom w:val="0"/>
      <w:divBdr>
        <w:top w:val="none" w:sz="0" w:space="0" w:color="auto"/>
        <w:left w:val="none" w:sz="0" w:space="0" w:color="auto"/>
        <w:bottom w:val="none" w:sz="0" w:space="0" w:color="auto"/>
        <w:right w:val="none" w:sz="0" w:space="0" w:color="auto"/>
      </w:divBdr>
    </w:div>
    <w:div w:id="1704480163">
      <w:bodyDiv w:val="1"/>
      <w:marLeft w:val="0"/>
      <w:marRight w:val="0"/>
      <w:marTop w:val="0"/>
      <w:marBottom w:val="0"/>
      <w:divBdr>
        <w:top w:val="none" w:sz="0" w:space="0" w:color="auto"/>
        <w:left w:val="none" w:sz="0" w:space="0" w:color="auto"/>
        <w:bottom w:val="none" w:sz="0" w:space="0" w:color="auto"/>
        <w:right w:val="none" w:sz="0" w:space="0" w:color="auto"/>
      </w:divBdr>
    </w:div>
    <w:div w:id="1704481842">
      <w:bodyDiv w:val="1"/>
      <w:marLeft w:val="0"/>
      <w:marRight w:val="0"/>
      <w:marTop w:val="0"/>
      <w:marBottom w:val="0"/>
      <w:divBdr>
        <w:top w:val="none" w:sz="0" w:space="0" w:color="auto"/>
        <w:left w:val="none" w:sz="0" w:space="0" w:color="auto"/>
        <w:bottom w:val="none" w:sz="0" w:space="0" w:color="auto"/>
        <w:right w:val="none" w:sz="0" w:space="0" w:color="auto"/>
      </w:divBdr>
    </w:div>
    <w:div w:id="1704548478">
      <w:bodyDiv w:val="1"/>
      <w:marLeft w:val="0"/>
      <w:marRight w:val="0"/>
      <w:marTop w:val="0"/>
      <w:marBottom w:val="0"/>
      <w:divBdr>
        <w:top w:val="none" w:sz="0" w:space="0" w:color="auto"/>
        <w:left w:val="none" w:sz="0" w:space="0" w:color="auto"/>
        <w:bottom w:val="none" w:sz="0" w:space="0" w:color="auto"/>
        <w:right w:val="none" w:sz="0" w:space="0" w:color="auto"/>
      </w:divBdr>
    </w:div>
    <w:div w:id="1704592954">
      <w:bodyDiv w:val="1"/>
      <w:marLeft w:val="0"/>
      <w:marRight w:val="0"/>
      <w:marTop w:val="0"/>
      <w:marBottom w:val="0"/>
      <w:divBdr>
        <w:top w:val="none" w:sz="0" w:space="0" w:color="auto"/>
        <w:left w:val="none" w:sz="0" w:space="0" w:color="auto"/>
        <w:bottom w:val="none" w:sz="0" w:space="0" w:color="auto"/>
        <w:right w:val="none" w:sz="0" w:space="0" w:color="auto"/>
      </w:divBdr>
    </w:div>
    <w:div w:id="1704668422">
      <w:bodyDiv w:val="1"/>
      <w:marLeft w:val="0"/>
      <w:marRight w:val="0"/>
      <w:marTop w:val="0"/>
      <w:marBottom w:val="0"/>
      <w:divBdr>
        <w:top w:val="none" w:sz="0" w:space="0" w:color="auto"/>
        <w:left w:val="none" w:sz="0" w:space="0" w:color="auto"/>
        <w:bottom w:val="none" w:sz="0" w:space="0" w:color="auto"/>
        <w:right w:val="none" w:sz="0" w:space="0" w:color="auto"/>
      </w:divBdr>
    </w:div>
    <w:div w:id="1704747325">
      <w:bodyDiv w:val="1"/>
      <w:marLeft w:val="0"/>
      <w:marRight w:val="0"/>
      <w:marTop w:val="0"/>
      <w:marBottom w:val="0"/>
      <w:divBdr>
        <w:top w:val="none" w:sz="0" w:space="0" w:color="auto"/>
        <w:left w:val="none" w:sz="0" w:space="0" w:color="auto"/>
        <w:bottom w:val="none" w:sz="0" w:space="0" w:color="auto"/>
        <w:right w:val="none" w:sz="0" w:space="0" w:color="auto"/>
      </w:divBdr>
    </w:div>
    <w:div w:id="1704749330">
      <w:bodyDiv w:val="1"/>
      <w:marLeft w:val="0"/>
      <w:marRight w:val="0"/>
      <w:marTop w:val="0"/>
      <w:marBottom w:val="0"/>
      <w:divBdr>
        <w:top w:val="none" w:sz="0" w:space="0" w:color="auto"/>
        <w:left w:val="none" w:sz="0" w:space="0" w:color="auto"/>
        <w:bottom w:val="none" w:sz="0" w:space="0" w:color="auto"/>
        <w:right w:val="none" w:sz="0" w:space="0" w:color="auto"/>
      </w:divBdr>
    </w:div>
    <w:div w:id="1704866140">
      <w:bodyDiv w:val="1"/>
      <w:marLeft w:val="0"/>
      <w:marRight w:val="0"/>
      <w:marTop w:val="0"/>
      <w:marBottom w:val="0"/>
      <w:divBdr>
        <w:top w:val="none" w:sz="0" w:space="0" w:color="auto"/>
        <w:left w:val="none" w:sz="0" w:space="0" w:color="auto"/>
        <w:bottom w:val="none" w:sz="0" w:space="0" w:color="auto"/>
        <w:right w:val="none" w:sz="0" w:space="0" w:color="auto"/>
      </w:divBdr>
    </w:div>
    <w:div w:id="1704866709">
      <w:bodyDiv w:val="1"/>
      <w:marLeft w:val="0"/>
      <w:marRight w:val="0"/>
      <w:marTop w:val="0"/>
      <w:marBottom w:val="0"/>
      <w:divBdr>
        <w:top w:val="none" w:sz="0" w:space="0" w:color="auto"/>
        <w:left w:val="none" w:sz="0" w:space="0" w:color="auto"/>
        <w:bottom w:val="none" w:sz="0" w:space="0" w:color="auto"/>
        <w:right w:val="none" w:sz="0" w:space="0" w:color="auto"/>
      </w:divBdr>
    </w:div>
    <w:div w:id="1705014551">
      <w:bodyDiv w:val="1"/>
      <w:marLeft w:val="0"/>
      <w:marRight w:val="0"/>
      <w:marTop w:val="0"/>
      <w:marBottom w:val="0"/>
      <w:divBdr>
        <w:top w:val="none" w:sz="0" w:space="0" w:color="auto"/>
        <w:left w:val="none" w:sz="0" w:space="0" w:color="auto"/>
        <w:bottom w:val="none" w:sz="0" w:space="0" w:color="auto"/>
        <w:right w:val="none" w:sz="0" w:space="0" w:color="auto"/>
      </w:divBdr>
    </w:div>
    <w:div w:id="1705136168">
      <w:bodyDiv w:val="1"/>
      <w:marLeft w:val="0"/>
      <w:marRight w:val="0"/>
      <w:marTop w:val="0"/>
      <w:marBottom w:val="0"/>
      <w:divBdr>
        <w:top w:val="none" w:sz="0" w:space="0" w:color="auto"/>
        <w:left w:val="none" w:sz="0" w:space="0" w:color="auto"/>
        <w:bottom w:val="none" w:sz="0" w:space="0" w:color="auto"/>
        <w:right w:val="none" w:sz="0" w:space="0" w:color="auto"/>
      </w:divBdr>
    </w:div>
    <w:div w:id="1705136200">
      <w:bodyDiv w:val="1"/>
      <w:marLeft w:val="0"/>
      <w:marRight w:val="0"/>
      <w:marTop w:val="0"/>
      <w:marBottom w:val="0"/>
      <w:divBdr>
        <w:top w:val="none" w:sz="0" w:space="0" w:color="auto"/>
        <w:left w:val="none" w:sz="0" w:space="0" w:color="auto"/>
        <w:bottom w:val="none" w:sz="0" w:space="0" w:color="auto"/>
        <w:right w:val="none" w:sz="0" w:space="0" w:color="auto"/>
      </w:divBdr>
    </w:div>
    <w:div w:id="1705247307">
      <w:bodyDiv w:val="1"/>
      <w:marLeft w:val="0"/>
      <w:marRight w:val="0"/>
      <w:marTop w:val="0"/>
      <w:marBottom w:val="0"/>
      <w:divBdr>
        <w:top w:val="none" w:sz="0" w:space="0" w:color="auto"/>
        <w:left w:val="none" w:sz="0" w:space="0" w:color="auto"/>
        <w:bottom w:val="none" w:sz="0" w:space="0" w:color="auto"/>
        <w:right w:val="none" w:sz="0" w:space="0" w:color="auto"/>
      </w:divBdr>
    </w:div>
    <w:div w:id="1705403827">
      <w:bodyDiv w:val="1"/>
      <w:marLeft w:val="0"/>
      <w:marRight w:val="0"/>
      <w:marTop w:val="0"/>
      <w:marBottom w:val="0"/>
      <w:divBdr>
        <w:top w:val="none" w:sz="0" w:space="0" w:color="auto"/>
        <w:left w:val="none" w:sz="0" w:space="0" w:color="auto"/>
        <w:bottom w:val="none" w:sz="0" w:space="0" w:color="auto"/>
        <w:right w:val="none" w:sz="0" w:space="0" w:color="auto"/>
      </w:divBdr>
    </w:div>
    <w:div w:id="1705405711">
      <w:bodyDiv w:val="1"/>
      <w:marLeft w:val="0"/>
      <w:marRight w:val="0"/>
      <w:marTop w:val="0"/>
      <w:marBottom w:val="0"/>
      <w:divBdr>
        <w:top w:val="none" w:sz="0" w:space="0" w:color="auto"/>
        <w:left w:val="none" w:sz="0" w:space="0" w:color="auto"/>
        <w:bottom w:val="none" w:sz="0" w:space="0" w:color="auto"/>
        <w:right w:val="none" w:sz="0" w:space="0" w:color="auto"/>
      </w:divBdr>
    </w:div>
    <w:div w:id="1705474153">
      <w:bodyDiv w:val="1"/>
      <w:marLeft w:val="0"/>
      <w:marRight w:val="0"/>
      <w:marTop w:val="0"/>
      <w:marBottom w:val="0"/>
      <w:divBdr>
        <w:top w:val="none" w:sz="0" w:space="0" w:color="auto"/>
        <w:left w:val="none" w:sz="0" w:space="0" w:color="auto"/>
        <w:bottom w:val="none" w:sz="0" w:space="0" w:color="auto"/>
        <w:right w:val="none" w:sz="0" w:space="0" w:color="auto"/>
      </w:divBdr>
    </w:div>
    <w:div w:id="1705524555">
      <w:bodyDiv w:val="1"/>
      <w:marLeft w:val="0"/>
      <w:marRight w:val="0"/>
      <w:marTop w:val="0"/>
      <w:marBottom w:val="0"/>
      <w:divBdr>
        <w:top w:val="none" w:sz="0" w:space="0" w:color="auto"/>
        <w:left w:val="none" w:sz="0" w:space="0" w:color="auto"/>
        <w:bottom w:val="none" w:sz="0" w:space="0" w:color="auto"/>
        <w:right w:val="none" w:sz="0" w:space="0" w:color="auto"/>
      </w:divBdr>
    </w:div>
    <w:div w:id="1705713274">
      <w:bodyDiv w:val="1"/>
      <w:marLeft w:val="0"/>
      <w:marRight w:val="0"/>
      <w:marTop w:val="0"/>
      <w:marBottom w:val="0"/>
      <w:divBdr>
        <w:top w:val="none" w:sz="0" w:space="0" w:color="auto"/>
        <w:left w:val="none" w:sz="0" w:space="0" w:color="auto"/>
        <w:bottom w:val="none" w:sz="0" w:space="0" w:color="auto"/>
        <w:right w:val="none" w:sz="0" w:space="0" w:color="auto"/>
      </w:divBdr>
    </w:div>
    <w:div w:id="1705792319">
      <w:bodyDiv w:val="1"/>
      <w:marLeft w:val="0"/>
      <w:marRight w:val="0"/>
      <w:marTop w:val="0"/>
      <w:marBottom w:val="0"/>
      <w:divBdr>
        <w:top w:val="none" w:sz="0" w:space="0" w:color="auto"/>
        <w:left w:val="none" w:sz="0" w:space="0" w:color="auto"/>
        <w:bottom w:val="none" w:sz="0" w:space="0" w:color="auto"/>
        <w:right w:val="none" w:sz="0" w:space="0" w:color="auto"/>
      </w:divBdr>
    </w:div>
    <w:div w:id="1705979571">
      <w:bodyDiv w:val="1"/>
      <w:marLeft w:val="0"/>
      <w:marRight w:val="0"/>
      <w:marTop w:val="0"/>
      <w:marBottom w:val="0"/>
      <w:divBdr>
        <w:top w:val="none" w:sz="0" w:space="0" w:color="auto"/>
        <w:left w:val="none" w:sz="0" w:space="0" w:color="auto"/>
        <w:bottom w:val="none" w:sz="0" w:space="0" w:color="auto"/>
        <w:right w:val="none" w:sz="0" w:space="0" w:color="auto"/>
      </w:divBdr>
    </w:div>
    <w:div w:id="1705984373">
      <w:bodyDiv w:val="1"/>
      <w:marLeft w:val="0"/>
      <w:marRight w:val="0"/>
      <w:marTop w:val="0"/>
      <w:marBottom w:val="0"/>
      <w:divBdr>
        <w:top w:val="none" w:sz="0" w:space="0" w:color="auto"/>
        <w:left w:val="none" w:sz="0" w:space="0" w:color="auto"/>
        <w:bottom w:val="none" w:sz="0" w:space="0" w:color="auto"/>
        <w:right w:val="none" w:sz="0" w:space="0" w:color="auto"/>
      </w:divBdr>
    </w:div>
    <w:div w:id="1706053194">
      <w:bodyDiv w:val="1"/>
      <w:marLeft w:val="0"/>
      <w:marRight w:val="0"/>
      <w:marTop w:val="0"/>
      <w:marBottom w:val="0"/>
      <w:divBdr>
        <w:top w:val="none" w:sz="0" w:space="0" w:color="auto"/>
        <w:left w:val="none" w:sz="0" w:space="0" w:color="auto"/>
        <w:bottom w:val="none" w:sz="0" w:space="0" w:color="auto"/>
        <w:right w:val="none" w:sz="0" w:space="0" w:color="auto"/>
      </w:divBdr>
    </w:div>
    <w:div w:id="1706099501">
      <w:bodyDiv w:val="1"/>
      <w:marLeft w:val="0"/>
      <w:marRight w:val="0"/>
      <w:marTop w:val="0"/>
      <w:marBottom w:val="0"/>
      <w:divBdr>
        <w:top w:val="none" w:sz="0" w:space="0" w:color="auto"/>
        <w:left w:val="none" w:sz="0" w:space="0" w:color="auto"/>
        <w:bottom w:val="none" w:sz="0" w:space="0" w:color="auto"/>
        <w:right w:val="none" w:sz="0" w:space="0" w:color="auto"/>
      </w:divBdr>
    </w:div>
    <w:div w:id="1706103681">
      <w:bodyDiv w:val="1"/>
      <w:marLeft w:val="0"/>
      <w:marRight w:val="0"/>
      <w:marTop w:val="0"/>
      <w:marBottom w:val="0"/>
      <w:divBdr>
        <w:top w:val="none" w:sz="0" w:space="0" w:color="auto"/>
        <w:left w:val="none" w:sz="0" w:space="0" w:color="auto"/>
        <w:bottom w:val="none" w:sz="0" w:space="0" w:color="auto"/>
        <w:right w:val="none" w:sz="0" w:space="0" w:color="auto"/>
      </w:divBdr>
    </w:div>
    <w:div w:id="1706250775">
      <w:bodyDiv w:val="1"/>
      <w:marLeft w:val="0"/>
      <w:marRight w:val="0"/>
      <w:marTop w:val="0"/>
      <w:marBottom w:val="0"/>
      <w:divBdr>
        <w:top w:val="none" w:sz="0" w:space="0" w:color="auto"/>
        <w:left w:val="none" w:sz="0" w:space="0" w:color="auto"/>
        <w:bottom w:val="none" w:sz="0" w:space="0" w:color="auto"/>
        <w:right w:val="none" w:sz="0" w:space="0" w:color="auto"/>
      </w:divBdr>
    </w:div>
    <w:div w:id="1706253957">
      <w:bodyDiv w:val="1"/>
      <w:marLeft w:val="0"/>
      <w:marRight w:val="0"/>
      <w:marTop w:val="0"/>
      <w:marBottom w:val="0"/>
      <w:divBdr>
        <w:top w:val="none" w:sz="0" w:space="0" w:color="auto"/>
        <w:left w:val="none" w:sz="0" w:space="0" w:color="auto"/>
        <w:bottom w:val="none" w:sz="0" w:space="0" w:color="auto"/>
        <w:right w:val="none" w:sz="0" w:space="0" w:color="auto"/>
      </w:divBdr>
    </w:div>
    <w:div w:id="1706366565">
      <w:bodyDiv w:val="1"/>
      <w:marLeft w:val="0"/>
      <w:marRight w:val="0"/>
      <w:marTop w:val="0"/>
      <w:marBottom w:val="0"/>
      <w:divBdr>
        <w:top w:val="none" w:sz="0" w:space="0" w:color="auto"/>
        <w:left w:val="none" w:sz="0" w:space="0" w:color="auto"/>
        <w:bottom w:val="none" w:sz="0" w:space="0" w:color="auto"/>
        <w:right w:val="none" w:sz="0" w:space="0" w:color="auto"/>
      </w:divBdr>
    </w:div>
    <w:div w:id="1706514462">
      <w:bodyDiv w:val="1"/>
      <w:marLeft w:val="0"/>
      <w:marRight w:val="0"/>
      <w:marTop w:val="0"/>
      <w:marBottom w:val="0"/>
      <w:divBdr>
        <w:top w:val="none" w:sz="0" w:space="0" w:color="auto"/>
        <w:left w:val="none" w:sz="0" w:space="0" w:color="auto"/>
        <w:bottom w:val="none" w:sz="0" w:space="0" w:color="auto"/>
        <w:right w:val="none" w:sz="0" w:space="0" w:color="auto"/>
      </w:divBdr>
    </w:div>
    <w:div w:id="1706636349">
      <w:bodyDiv w:val="1"/>
      <w:marLeft w:val="0"/>
      <w:marRight w:val="0"/>
      <w:marTop w:val="0"/>
      <w:marBottom w:val="0"/>
      <w:divBdr>
        <w:top w:val="none" w:sz="0" w:space="0" w:color="auto"/>
        <w:left w:val="none" w:sz="0" w:space="0" w:color="auto"/>
        <w:bottom w:val="none" w:sz="0" w:space="0" w:color="auto"/>
        <w:right w:val="none" w:sz="0" w:space="0" w:color="auto"/>
      </w:divBdr>
    </w:div>
    <w:div w:id="1706639325">
      <w:bodyDiv w:val="1"/>
      <w:marLeft w:val="0"/>
      <w:marRight w:val="0"/>
      <w:marTop w:val="0"/>
      <w:marBottom w:val="0"/>
      <w:divBdr>
        <w:top w:val="none" w:sz="0" w:space="0" w:color="auto"/>
        <w:left w:val="none" w:sz="0" w:space="0" w:color="auto"/>
        <w:bottom w:val="none" w:sz="0" w:space="0" w:color="auto"/>
        <w:right w:val="none" w:sz="0" w:space="0" w:color="auto"/>
      </w:divBdr>
    </w:div>
    <w:div w:id="1706641512">
      <w:bodyDiv w:val="1"/>
      <w:marLeft w:val="0"/>
      <w:marRight w:val="0"/>
      <w:marTop w:val="0"/>
      <w:marBottom w:val="0"/>
      <w:divBdr>
        <w:top w:val="none" w:sz="0" w:space="0" w:color="auto"/>
        <w:left w:val="none" w:sz="0" w:space="0" w:color="auto"/>
        <w:bottom w:val="none" w:sz="0" w:space="0" w:color="auto"/>
        <w:right w:val="none" w:sz="0" w:space="0" w:color="auto"/>
      </w:divBdr>
    </w:div>
    <w:div w:id="1706708282">
      <w:bodyDiv w:val="1"/>
      <w:marLeft w:val="0"/>
      <w:marRight w:val="0"/>
      <w:marTop w:val="0"/>
      <w:marBottom w:val="0"/>
      <w:divBdr>
        <w:top w:val="none" w:sz="0" w:space="0" w:color="auto"/>
        <w:left w:val="none" w:sz="0" w:space="0" w:color="auto"/>
        <w:bottom w:val="none" w:sz="0" w:space="0" w:color="auto"/>
        <w:right w:val="none" w:sz="0" w:space="0" w:color="auto"/>
      </w:divBdr>
    </w:div>
    <w:div w:id="1706709160">
      <w:bodyDiv w:val="1"/>
      <w:marLeft w:val="0"/>
      <w:marRight w:val="0"/>
      <w:marTop w:val="0"/>
      <w:marBottom w:val="0"/>
      <w:divBdr>
        <w:top w:val="none" w:sz="0" w:space="0" w:color="auto"/>
        <w:left w:val="none" w:sz="0" w:space="0" w:color="auto"/>
        <w:bottom w:val="none" w:sz="0" w:space="0" w:color="auto"/>
        <w:right w:val="none" w:sz="0" w:space="0" w:color="auto"/>
      </w:divBdr>
    </w:div>
    <w:div w:id="1706716283">
      <w:bodyDiv w:val="1"/>
      <w:marLeft w:val="0"/>
      <w:marRight w:val="0"/>
      <w:marTop w:val="0"/>
      <w:marBottom w:val="0"/>
      <w:divBdr>
        <w:top w:val="none" w:sz="0" w:space="0" w:color="auto"/>
        <w:left w:val="none" w:sz="0" w:space="0" w:color="auto"/>
        <w:bottom w:val="none" w:sz="0" w:space="0" w:color="auto"/>
        <w:right w:val="none" w:sz="0" w:space="0" w:color="auto"/>
      </w:divBdr>
    </w:div>
    <w:div w:id="1706785454">
      <w:bodyDiv w:val="1"/>
      <w:marLeft w:val="0"/>
      <w:marRight w:val="0"/>
      <w:marTop w:val="0"/>
      <w:marBottom w:val="0"/>
      <w:divBdr>
        <w:top w:val="none" w:sz="0" w:space="0" w:color="auto"/>
        <w:left w:val="none" w:sz="0" w:space="0" w:color="auto"/>
        <w:bottom w:val="none" w:sz="0" w:space="0" w:color="auto"/>
        <w:right w:val="none" w:sz="0" w:space="0" w:color="auto"/>
      </w:divBdr>
    </w:div>
    <w:div w:id="1706829242">
      <w:bodyDiv w:val="1"/>
      <w:marLeft w:val="0"/>
      <w:marRight w:val="0"/>
      <w:marTop w:val="0"/>
      <w:marBottom w:val="0"/>
      <w:divBdr>
        <w:top w:val="none" w:sz="0" w:space="0" w:color="auto"/>
        <w:left w:val="none" w:sz="0" w:space="0" w:color="auto"/>
        <w:bottom w:val="none" w:sz="0" w:space="0" w:color="auto"/>
        <w:right w:val="none" w:sz="0" w:space="0" w:color="auto"/>
      </w:divBdr>
    </w:div>
    <w:div w:id="1706902525">
      <w:bodyDiv w:val="1"/>
      <w:marLeft w:val="0"/>
      <w:marRight w:val="0"/>
      <w:marTop w:val="0"/>
      <w:marBottom w:val="0"/>
      <w:divBdr>
        <w:top w:val="none" w:sz="0" w:space="0" w:color="auto"/>
        <w:left w:val="none" w:sz="0" w:space="0" w:color="auto"/>
        <w:bottom w:val="none" w:sz="0" w:space="0" w:color="auto"/>
        <w:right w:val="none" w:sz="0" w:space="0" w:color="auto"/>
      </w:divBdr>
    </w:div>
    <w:div w:id="1706903874">
      <w:bodyDiv w:val="1"/>
      <w:marLeft w:val="0"/>
      <w:marRight w:val="0"/>
      <w:marTop w:val="0"/>
      <w:marBottom w:val="0"/>
      <w:divBdr>
        <w:top w:val="none" w:sz="0" w:space="0" w:color="auto"/>
        <w:left w:val="none" w:sz="0" w:space="0" w:color="auto"/>
        <w:bottom w:val="none" w:sz="0" w:space="0" w:color="auto"/>
        <w:right w:val="none" w:sz="0" w:space="0" w:color="auto"/>
      </w:divBdr>
    </w:div>
    <w:div w:id="1707094287">
      <w:bodyDiv w:val="1"/>
      <w:marLeft w:val="0"/>
      <w:marRight w:val="0"/>
      <w:marTop w:val="0"/>
      <w:marBottom w:val="0"/>
      <w:divBdr>
        <w:top w:val="none" w:sz="0" w:space="0" w:color="auto"/>
        <w:left w:val="none" w:sz="0" w:space="0" w:color="auto"/>
        <w:bottom w:val="none" w:sz="0" w:space="0" w:color="auto"/>
        <w:right w:val="none" w:sz="0" w:space="0" w:color="auto"/>
      </w:divBdr>
    </w:div>
    <w:div w:id="1707094810">
      <w:bodyDiv w:val="1"/>
      <w:marLeft w:val="0"/>
      <w:marRight w:val="0"/>
      <w:marTop w:val="0"/>
      <w:marBottom w:val="0"/>
      <w:divBdr>
        <w:top w:val="none" w:sz="0" w:space="0" w:color="auto"/>
        <w:left w:val="none" w:sz="0" w:space="0" w:color="auto"/>
        <w:bottom w:val="none" w:sz="0" w:space="0" w:color="auto"/>
        <w:right w:val="none" w:sz="0" w:space="0" w:color="auto"/>
      </w:divBdr>
    </w:div>
    <w:div w:id="1707099727">
      <w:bodyDiv w:val="1"/>
      <w:marLeft w:val="0"/>
      <w:marRight w:val="0"/>
      <w:marTop w:val="0"/>
      <w:marBottom w:val="0"/>
      <w:divBdr>
        <w:top w:val="none" w:sz="0" w:space="0" w:color="auto"/>
        <w:left w:val="none" w:sz="0" w:space="0" w:color="auto"/>
        <w:bottom w:val="none" w:sz="0" w:space="0" w:color="auto"/>
        <w:right w:val="none" w:sz="0" w:space="0" w:color="auto"/>
      </w:divBdr>
    </w:div>
    <w:div w:id="1707173166">
      <w:bodyDiv w:val="1"/>
      <w:marLeft w:val="0"/>
      <w:marRight w:val="0"/>
      <w:marTop w:val="0"/>
      <w:marBottom w:val="0"/>
      <w:divBdr>
        <w:top w:val="none" w:sz="0" w:space="0" w:color="auto"/>
        <w:left w:val="none" w:sz="0" w:space="0" w:color="auto"/>
        <w:bottom w:val="none" w:sz="0" w:space="0" w:color="auto"/>
        <w:right w:val="none" w:sz="0" w:space="0" w:color="auto"/>
      </w:divBdr>
    </w:div>
    <w:div w:id="1707176970">
      <w:bodyDiv w:val="1"/>
      <w:marLeft w:val="0"/>
      <w:marRight w:val="0"/>
      <w:marTop w:val="0"/>
      <w:marBottom w:val="0"/>
      <w:divBdr>
        <w:top w:val="none" w:sz="0" w:space="0" w:color="auto"/>
        <w:left w:val="none" w:sz="0" w:space="0" w:color="auto"/>
        <w:bottom w:val="none" w:sz="0" w:space="0" w:color="auto"/>
        <w:right w:val="none" w:sz="0" w:space="0" w:color="auto"/>
      </w:divBdr>
    </w:div>
    <w:div w:id="1707212918">
      <w:bodyDiv w:val="1"/>
      <w:marLeft w:val="0"/>
      <w:marRight w:val="0"/>
      <w:marTop w:val="0"/>
      <w:marBottom w:val="0"/>
      <w:divBdr>
        <w:top w:val="none" w:sz="0" w:space="0" w:color="auto"/>
        <w:left w:val="none" w:sz="0" w:space="0" w:color="auto"/>
        <w:bottom w:val="none" w:sz="0" w:space="0" w:color="auto"/>
        <w:right w:val="none" w:sz="0" w:space="0" w:color="auto"/>
      </w:divBdr>
    </w:div>
    <w:div w:id="1707215524">
      <w:bodyDiv w:val="1"/>
      <w:marLeft w:val="0"/>
      <w:marRight w:val="0"/>
      <w:marTop w:val="0"/>
      <w:marBottom w:val="0"/>
      <w:divBdr>
        <w:top w:val="none" w:sz="0" w:space="0" w:color="auto"/>
        <w:left w:val="none" w:sz="0" w:space="0" w:color="auto"/>
        <w:bottom w:val="none" w:sz="0" w:space="0" w:color="auto"/>
        <w:right w:val="none" w:sz="0" w:space="0" w:color="auto"/>
      </w:divBdr>
    </w:div>
    <w:div w:id="1707291560">
      <w:bodyDiv w:val="1"/>
      <w:marLeft w:val="0"/>
      <w:marRight w:val="0"/>
      <w:marTop w:val="0"/>
      <w:marBottom w:val="0"/>
      <w:divBdr>
        <w:top w:val="none" w:sz="0" w:space="0" w:color="auto"/>
        <w:left w:val="none" w:sz="0" w:space="0" w:color="auto"/>
        <w:bottom w:val="none" w:sz="0" w:space="0" w:color="auto"/>
        <w:right w:val="none" w:sz="0" w:space="0" w:color="auto"/>
      </w:divBdr>
    </w:div>
    <w:div w:id="1707370336">
      <w:bodyDiv w:val="1"/>
      <w:marLeft w:val="0"/>
      <w:marRight w:val="0"/>
      <w:marTop w:val="0"/>
      <w:marBottom w:val="0"/>
      <w:divBdr>
        <w:top w:val="none" w:sz="0" w:space="0" w:color="auto"/>
        <w:left w:val="none" w:sz="0" w:space="0" w:color="auto"/>
        <w:bottom w:val="none" w:sz="0" w:space="0" w:color="auto"/>
        <w:right w:val="none" w:sz="0" w:space="0" w:color="auto"/>
      </w:divBdr>
    </w:div>
    <w:div w:id="1707411041">
      <w:bodyDiv w:val="1"/>
      <w:marLeft w:val="0"/>
      <w:marRight w:val="0"/>
      <w:marTop w:val="0"/>
      <w:marBottom w:val="0"/>
      <w:divBdr>
        <w:top w:val="none" w:sz="0" w:space="0" w:color="auto"/>
        <w:left w:val="none" w:sz="0" w:space="0" w:color="auto"/>
        <w:bottom w:val="none" w:sz="0" w:space="0" w:color="auto"/>
        <w:right w:val="none" w:sz="0" w:space="0" w:color="auto"/>
      </w:divBdr>
    </w:div>
    <w:div w:id="1707411551">
      <w:bodyDiv w:val="1"/>
      <w:marLeft w:val="0"/>
      <w:marRight w:val="0"/>
      <w:marTop w:val="0"/>
      <w:marBottom w:val="0"/>
      <w:divBdr>
        <w:top w:val="none" w:sz="0" w:space="0" w:color="auto"/>
        <w:left w:val="none" w:sz="0" w:space="0" w:color="auto"/>
        <w:bottom w:val="none" w:sz="0" w:space="0" w:color="auto"/>
        <w:right w:val="none" w:sz="0" w:space="0" w:color="auto"/>
      </w:divBdr>
    </w:div>
    <w:div w:id="1707632597">
      <w:bodyDiv w:val="1"/>
      <w:marLeft w:val="0"/>
      <w:marRight w:val="0"/>
      <w:marTop w:val="0"/>
      <w:marBottom w:val="0"/>
      <w:divBdr>
        <w:top w:val="none" w:sz="0" w:space="0" w:color="auto"/>
        <w:left w:val="none" w:sz="0" w:space="0" w:color="auto"/>
        <w:bottom w:val="none" w:sz="0" w:space="0" w:color="auto"/>
        <w:right w:val="none" w:sz="0" w:space="0" w:color="auto"/>
      </w:divBdr>
    </w:div>
    <w:div w:id="1707635450">
      <w:bodyDiv w:val="1"/>
      <w:marLeft w:val="0"/>
      <w:marRight w:val="0"/>
      <w:marTop w:val="0"/>
      <w:marBottom w:val="0"/>
      <w:divBdr>
        <w:top w:val="none" w:sz="0" w:space="0" w:color="auto"/>
        <w:left w:val="none" w:sz="0" w:space="0" w:color="auto"/>
        <w:bottom w:val="none" w:sz="0" w:space="0" w:color="auto"/>
        <w:right w:val="none" w:sz="0" w:space="0" w:color="auto"/>
      </w:divBdr>
    </w:div>
    <w:div w:id="1707638136">
      <w:bodyDiv w:val="1"/>
      <w:marLeft w:val="0"/>
      <w:marRight w:val="0"/>
      <w:marTop w:val="0"/>
      <w:marBottom w:val="0"/>
      <w:divBdr>
        <w:top w:val="none" w:sz="0" w:space="0" w:color="auto"/>
        <w:left w:val="none" w:sz="0" w:space="0" w:color="auto"/>
        <w:bottom w:val="none" w:sz="0" w:space="0" w:color="auto"/>
        <w:right w:val="none" w:sz="0" w:space="0" w:color="auto"/>
      </w:divBdr>
    </w:div>
    <w:div w:id="1707830929">
      <w:bodyDiv w:val="1"/>
      <w:marLeft w:val="0"/>
      <w:marRight w:val="0"/>
      <w:marTop w:val="0"/>
      <w:marBottom w:val="0"/>
      <w:divBdr>
        <w:top w:val="none" w:sz="0" w:space="0" w:color="auto"/>
        <w:left w:val="none" w:sz="0" w:space="0" w:color="auto"/>
        <w:bottom w:val="none" w:sz="0" w:space="0" w:color="auto"/>
        <w:right w:val="none" w:sz="0" w:space="0" w:color="auto"/>
      </w:divBdr>
    </w:div>
    <w:div w:id="1707869431">
      <w:bodyDiv w:val="1"/>
      <w:marLeft w:val="0"/>
      <w:marRight w:val="0"/>
      <w:marTop w:val="0"/>
      <w:marBottom w:val="0"/>
      <w:divBdr>
        <w:top w:val="none" w:sz="0" w:space="0" w:color="auto"/>
        <w:left w:val="none" w:sz="0" w:space="0" w:color="auto"/>
        <w:bottom w:val="none" w:sz="0" w:space="0" w:color="auto"/>
        <w:right w:val="none" w:sz="0" w:space="0" w:color="auto"/>
      </w:divBdr>
    </w:div>
    <w:div w:id="1707871916">
      <w:bodyDiv w:val="1"/>
      <w:marLeft w:val="0"/>
      <w:marRight w:val="0"/>
      <w:marTop w:val="0"/>
      <w:marBottom w:val="0"/>
      <w:divBdr>
        <w:top w:val="none" w:sz="0" w:space="0" w:color="auto"/>
        <w:left w:val="none" w:sz="0" w:space="0" w:color="auto"/>
        <w:bottom w:val="none" w:sz="0" w:space="0" w:color="auto"/>
        <w:right w:val="none" w:sz="0" w:space="0" w:color="auto"/>
      </w:divBdr>
    </w:div>
    <w:div w:id="1707872374">
      <w:bodyDiv w:val="1"/>
      <w:marLeft w:val="0"/>
      <w:marRight w:val="0"/>
      <w:marTop w:val="0"/>
      <w:marBottom w:val="0"/>
      <w:divBdr>
        <w:top w:val="none" w:sz="0" w:space="0" w:color="auto"/>
        <w:left w:val="none" w:sz="0" w:space="0" w:color="auto"/>
        <w:bottom w:val="none" w:sz="0" w:space="0" w:color="auto"/>
        <w:right w:val="none" w:sz="0" w:space="0" w:color="auto"/>
      </w:divBdr>
    </w:div>
    <w:div w:id="1707874117">
      <w:bodyDiv w:val="1"/>
      <w:marLeft w:val="0"/>
      <w:marRight w:val="0"/>
      <w:marTop w:val="0"/>
      <w:marBottom w:val="0"/>
      <w:divBdr>
        <w:top w:val="none" w:sz="0" w:space="0" w:color="auto"/>
        <w:left w:val="none" w:sz="0" w:space="0" w:color="auto"/>
        <w:bottom w:val="none" w:sz="0" w:space="0" w:color="auto"/>
        <w:right w:val="none" w:sz="0" w:space="0" w:color="auto"/>
      </w:divBdr>
    </w:div>
    <w:div w:id="1707875148">
      <w:bodyDiv w:val="1"/>
      <w:marLeft w:val="0"/>
      <w:marRight w:val="0"/>
      <w:marTop w:val="0"/>
      <w:marBottom w:val="0"/>
      <w:divBdr>
        <w:top w:val="none" w:sz="0" w:space="0" w:color="auto"/>
        <w:left w:val="none" w:sz="0" w:space="0" w:color="auto"/>
        <w:bottom w:val="none" w:sz="0" w:space="0" w:color="auto"/>
        <w:right w:val="none" w:sz="0" w:space="0" w:color="auto"/>
      </w:divBdr>
    </w:div>
    <w:div w:id="1707947473">
      <w:bodyDiv w:val="1"/>
      <w:marLeft w:val="0"/>
      <w:marRight w:val="0"/>
      <w:marTop w:val="0"/>
      <w:marBottom w:val="0"/>
      <w:divBdr>
        <w:top w:val="none" w:sz="0" w:space="0" w:color="auto"/>
        <w:left w:val="none" w:sz="0" w:space="0" w:color="auto"/>
        <w:bottom w:val="none" w:sz="0" w:space="0" w:color="auto"/>
        <w:right w:val="none" w:sz="0" w:space="0" w:color="auto"/>
      </w:divBdr>
    </w:div>
    <w:div w:id="1708212421">
      <w:bodyDiv w:val="1"/>
      <w:marLeft w:val="0"/>
      <w:marRight w:val="0"/>
      <w:marTop w:val="0"/>
      <w:marBottom w:val="0"/>
      <w:divBdr>
        <w:top w:val="none" w:sz="0" w:space="0" w:color="auto"/>
        <w:left w:val="none" w:sz="0" w:space="0" w:color="auto"/>
        <w:bottom w:val="none" w:sz="0" w:space="0" w:color="auto"/>
        <w:right w:val="none" w:sz="0" w:space="0" w:color="auto"/>
      </w:divBdr>
    </w:div>
    <w:div w:id="1708214163">
      <w:bodyDiv w:val="1"/>
      <w:marLeft w:val="0"/>
      <w:marRight w:val="0"/>
      <w:marTop w:val="0"/>
      <w:marBottom w:val="0"/>
      <w:divBdr>
        <w:top w:val="none" w:sz="0" w:space="0" w:color="auto"/>
        <w:left w:val="none" w:sz="0" w:space="0" w:color="auto"/>
        <w:bottom w:val="none" w:sz="0" w:space="0" w:color="auto"/>
        <w:right w:val="none" w:sz="0" w:space="0" w:color="auto"/>
      </w:divBdr>
    </w:div>
    <w:div w:id="1708217402">
      <w:bodyDiv w:val="1"/>
      <w:marLeft w:val="0"/>
      <w:marRight w:val="0"/>
      <w:marTop w:val="0"/>
      <w:marBottom w:val="0"/>
      <w:divBdr>
        <w:top w:val="none" w:sz="0" w:space="0" w:color="auto"/>
        <w:left w:val="none" w:sz="0" w:space="0" w:color="auto"/>
        <w:bottom w:val="none" w:sz="0" w:space="0" w:color="auto"/>
        <w:right w:val="none" w:sz="0" w:space="0" w:color="auto"/>
      </w:divBdr>
    </w:div>
    <w:div w:id="1708337063">
      <w:bodyDiv w:val="1"/>
      <w:marLeft w:val="0"/>
      <w:marRight w:val="0"/>
      <w:marTop w:val="0"/>
      <w:marBottom w:val="0"/>
      <w:divBdr>
        <w:top w:val="none" w:sz="0" w:space="0" w:color="auto"/>
        <w:left w:val="none" w:sz="0" w:space="0" w:color="auto"/>
        <w:bottom w:val="none" w:sz="0" w:space="0" w:color="auto"/>
        <w:right w:val="none" w:sz="0" w:space="0" w:color="auto"/>
      </w:divBdr>
    </w:div>
    <w:div w:id="1708524440">
      <w:bodyDiv w:val="1"/>
      <w:marLeft w:val="0"/>
      <w:marRight w:val="0"/>
      <w:marTop w:val="0"/>
      <w:marBottom w:val="0"/>
      <w:divBdr>
        <w:top w:val="none" w:sz="0" w:space="0" w:color="auto"/>
        <w:left w:val="none" w:sz="0" w:space="0" w:color="auto"/>
        <w:bottom w:val="none" w:sz="0" w:space="0" w:color="auto"/>
        <w:right w:val="none" w:sz="0" w:space="0" w:color="auto"/>
      </w:divBdr>
    </w:div>
    <w:div w:id="1708599771">
      <w:bodyDiv w:val="1"/>
      <w:marLeft w:val="0"/>
      <w:marRight w:val="0"/>
      <w:marTop w:val="0"/>
      <w:marBottom w:val="0"/>
      <w:divBdr>
        <w:top w:val="none" w:sz="0" w:space="0" w:color="auto"/>
        <w:left w:val="none" w:sz="0" w:space="0" w:color="auto"/>
        <w:bottom w:val="none" w:sz="0" w:space="0" w:color="auto"/>
        <w:right w:val="none" w:sz="0" w:space="0" w:color="auto"/>
      </w:divBdr>
    </w:div>
    <w:div w:id="1708600350">
      <w:bodyDiv w:val="1"/>
      <w:marLeft w:val="0"/>
      <w:marRight w:val="0"/>
      <w:marTop w:val="0"/>
      <w:marBottom w:val="0"/>
      <w:divBdr>
        <w:top w:val="none" w:sz="0" w:space="0" w:color="auto"/>
        <w:left w:val="none" w:sz="0" w:space="0" w:color="auto"/>
        <w:bottom w:val="none" w:sz="0" w:space="0" w:color="auto"/>
        <w:right w:val="none" w:sz="0" w:space="0" w:color="auto"/>
      </w:divBdr>
    </w:div>
    <w:div w:id="1708676216">
      <w:bodyDiv w:val="1"/>
      <w:marLeft w:val="0"/>
      <w:marRight w:val="0"/>
      <w:marTop w:val="0"/>
      <w:marBottom w:val="0"/>
      <w:divBdr>
        <w:top w:val="none" w:sz="0" w:space="0" w:color="auto"/>
        <w:left w:val="none" w:sz="0" w:space="0" w:color="auto"/>
        <w:bottom w:val="none" w:sz="0" w:space="0" w:color="auto"/>
        <w:right w:val="none" w:sz="0" w:space="0" w:color="auto"/>
      </w:divBdr>
    </w:div>
    <w:div w:id="1708721518">
      <w:bodyDiv w:val="1"/>
      <w:marLeft w:val="0"/>
      <w:marRight w:val="0"/>
      <w:marTop w:val="0"/>
      <w:marBottom w:val="0"/>
      <w:divBdr>
        <w:top w:val="none" w:sz="0" w:space="0" w:color="auto"/>
        <w:left w:val="none" w:sz="0" w:space="0" w:color="auto"/>
        <w:bottom w:val="none" w:sz="0" w:space="0" w:color="auto"/>
        <w:right w:val="none" w:sz="0" w:space="0" w:color="auto"/>
      </w:divBdr>
    </w:div>
    <w:div w:id="1708723552">
      <w:bodyDiv w:val="1"/>
      <w:marLeft w:val="0"/>
      <w:marRight w:val="0"/>
      <w:marTop w:val="0"/>
      <w:marBottom w:val="0"/>
      <w:divBdr>
        <w:top w:val="none" w:sz="0" w:space="0" w:color="auto"/>
        <w:left w:val="none" w:sz="0" w:space="0" w:color="auto"/>
        <w:bottom w:val="none" w:sz="0" w:space="0" w:color="auto"/>
        <w:right w:val="none" w:sz="0" w:space="0" w:color="auto"/>
      </w:divBdr>
    </w:div>
    <w:div w:id="1708791241">
      <w:bodyDiv w:val="1"/>
      <w:marLeft w:val="0"/>
      <w:marRight w:val="0"/>
      <w:marTop w:val="0"/>
      <w:marBottom w:val="0"/>
      <w:divBdr>
        <w:top w:val="none" w:sz="0" w:space="0" w:color="auto"/>
        <w:left w:val="none" w:sz="0" w:space="0" w:color="auto"/>
        <w:bottom w:val="none" w:sz="0" w:space="0" w:color="auto"/>
        <w:right w:val="none" w:sz="0" w:space="0" w:color="auto"/>
      </w:divBdr>
    </w:div>
    <w:div w:id="1708794633">
      <w:bodyDiv w:val="1"/>
      <w:marLeft w:val="0"/>
      <w:marRight w:val="0"/>
      <w:marTop w:val="0"/>
      <w:marBottom w:val="0"/>
      <w:divBdr>
        <w:top w:val="none" w:sz="0" w:space="0" w:color="auto"/>
        <w:left w:val="none" w:sz="0" w:space="0" w:color="auto"/>
        <w:bottom w:val="none" w:sz="0" w:space="0" w:color="auto"/>
        <w:right w:val="none" w:sz="0" w:space="0" w:color="auto"/>
      </w:divBdr>
    </w:div>
    <w:div w:id="1708871535">
      <w:bodyDiv w:val="1"/>
      <w:marLeft w:val="0"/>
      <w:marRight w:val="0"/>
      <w:marTop w:val="0"/>
      <w:marBottom w:val="0"/>
      <w:divBdr>
        <w:top w:val="none" w:sz="0" w:space="0" w:color="auto"/>
        <w:left w:val="none" w:sz="0" w:space="0" w:color="auto"/>
        <w:bottom w:val="none" w:sz="0" w:space="0" w:color="auto"/>
        <w:right w:val="none" w:sz="0" w:space="0" w:color="auto"/>
      </w:divBdr>
    </w:div>
    <w:div w:id="1708944560">
      <w:bodyDiv w:val="1"/>
      <w:marLeft w:val="0"/>
      <w:marRight w:val="0"/>
      <w:marTop w:val="0"/>
      <w:marBottom w:val="0"/>
      <w:divBdr>
        <w:top w:val="none" w:sz="0" w:space="0" w:color="auto"/>
        <w:left w:val="none" w:sz="0" w:space="0" w:color="auto"/>
        <w:bottom w:val="none" w:sz="0" w:space="0" w:color="auto"/>
        <w:right w:val="none" w:sz="0" w:space="0" w:color="auto"/>
      </w:divBdr>
    </w:div>
    <w:div w:id="1708945774">
      <w:bodyDiv w:val="1"/>
      <w:marLeft w:val="0"/>
      <w:marRight w:val="0"/>
      <w:marTop w:val="0"/>
      <w:marBottom w:val="0"/>
      <w:divBdr>
        <w:top w:val="none" w:sz="0" w:space="0" w:color="auto"/>
        <w:left w:val="none" w:sz="0" w:space="0" w:color="auto"/>
        <w:bottom w:val="none" w:sz="0" w:space="0" w:color="auto"/>
        <w:right w:val="none" w:sz="0" w:space="0" w:color="auto"/>
      </w:divBdr>
    </w:div>
    <w:div w:id="1708945891">
      <w:bodyDiv w:val="1"/>
      <w:marLeft w:val="0"/>
      <w:marRight w:val="0"/>
      <w:marTop w:val="0"/>
      <w:marBottom w:val="0"/>
      <w:divBdr>
        <w:top w:val="none" w:sz="0" w:space="0" w:color="auto"/>
        <w:left w:val="none" w:sz="0" w:space="0" w:color="auto"/>
        <w:bottom w:val="none" w:sz="0" w:space="0" w:color="auto"/>
        <w:right w:val="none" w:sz="0" w:space="0" w:color="auto"/>
      </w:divBdr>
    </w:div>
    <w:div w:id="1708985929">
      <w:bodyDiv w:val="1"/>
      <w:marLeft w:val="0"/>
      <w:marRight w:val="0"/>
      <w:marTop w:val="0"/>
      <w:marBottom w:val="0"/>
      <w:divBdr>
        <w:top w:val="none" w:sz="0" w:space="0" w:color="auto"/>
        <w:left w:val="none" w:sz="0" w:space="0" w:color="auto"/>
        <w:bottom w:val="none" w:sz="0" w:space="0" w:color="auto"/>
        <w:right w:val="none" w:sz="0" w:space="0" w:color="auto"/>
      </w:divBdr>
    </w:div>
    <w:div w:id="1709141837">
      <w:bodyDiv w:val="1"/>
      <w:marLeft w:val="0"/>
      <w:marRight w:val="0"/>
      <w:marTop w:val="0"/>
      <w:marBottom w:val="0"/>
      <w:divBdr>
        <w:top w:val="none" w:sz="0" w:space="0" w:color="auto"/>
        <w:left w:val="none" w:sz="0" w:space="0" w:color="auto"/>
        <w:bottom w:val="none" w:sz="0" w:space="0" w:color="auto"/>
        <w:right w:val="none" w:sz="0" w:space="0" w:color="auto"/>
      </w:divBdr>
    </w:div>
    <w:div w:id="1709328975">
      <w:bodyDiv w:val="1"/>
      <w:marLeft w:val="0"/>
      <w:marRight w:val="0"/>
      <w:marTop w:val="0"/>
      <w:marBottom w:val="0"/>
      <w:divBdr>
        <w:top w:val="none" w:sz="0" w:space="0" w:color="auto"/>
        <w:left w:val="none" w:sz="0" w:space="0" w:color="auto"/>
        <w:bottom w:val="none" w:sz="0" w:space="0" w:color="auto"/>
        <w:right w:val="none" w:sz="0" w:space="0" w:color="auto"/>
      </w:divBdr>
    </w:div>
    <w:div w:id="1709337717">
      <w:bodyDiv w:val="1"/>
      <w:marLeft w:val="0"/>
      <w:marRight w:val="0"/>
      <w:marTop w:val="0"/>
      <w:marBottom w:val="0"/>
      <w:divBdr>
        <w:top w:val="none" w:sz="0" w:space="0" w:color="auto"/>
        <w:left w:val="none" w:sz="0" w:space="0" w:color="auto"/>
        <w:bottom w:val="none" w:sz="0" w:space="0" w:color="auto"/>
        <w:right w:val="none" w:sz="0" w:space="0" w:color="auto"/>
      </w:divBdr>
    </w:div>
    <w:div w:id="1709378680">
      <w:bodyDiv w:val="1"/>
      <w:marLeft w:val="0"/>
      <w:marRight w:val="0"/>
      <w:marTop w:val="0"/>
      <w:marBottom w:val="0"/>
      <w:divBdr>
        <w:top w:val="none" w:sz="0" w:space="0" w:color="auto"/>
        <w:left w:val="none" w:sz="0" w:space="0" w:color="auto"/>
        <w:bottom w:val="none" w:sz="0" w:space="0" w:color="auto"/>
        <w:right w:val="none" w:sz="0" w:space="0" w:color="auto"/>
      </w:divBdr>
    </w:div>
    <w:div w:id="1709448063">
      <w:bodyDiv w:val="1"/>
      <w:marLeft w:val="0"/>
      <w:marRight w:val="0"/>
      <w:marTop w:val="0"/>
      <w:marBottom w:val="0"/>
      <w:divBdr>
        <w:top w:val="none" w:sz="0" w:space="0" w:color="auto"/>
        <w:left w:val="none" w:sz="0" w:space="0" w:color="auto"/>
        <w:bottom w:val="none" w:sz="0" w:space="0" w:color="auto"/>
        <w:right w:val="none" w:sz="0" w:space="0" w:color="auto"/>
      </w:divBdr>
    </w:div>
    <w:div w:id="1709449498">
      <w:bodyDiv w:val="1"/>
      <w:marLeft w:val="0"/>
      <w:marRight w:val="0"/>
      <w:marTop w:val="0"/>
      <w:marBottom w:val="0"/>
      <w:divBdr>
        <w:top w:val="none" w:sz="0" w:space="0" w:color="auto"/>
        <w:left w:val="none" w:sz="0" w:space="0" w:color="auto"/>
        <w:bottom w:val="none" w:sz="0" w:space="0" w:color="auto"/>
        <w:right w:val="none" w:sz="0" w:space="0" w:color="auto"/>
      </w:divBdr>
    </w:div>
    <w:div w:id="1709453634">
      <w:bodyDiv w:val="1"/>
      <w:marLeft w:val="0"/>
      <w:marRight w:val="0"/>
      <w:marTop w:val="0"/>
      <w:marBottom w:val="0"/>
      <w:divBdr>
        <w:top w:val="none" w:sz="0" w:space="0" w:color="auto"/>
        <w:left w:val="none" w:sz="0" w:space="0" w:color="auto"/>
        <w:bottom w:val="none" w:sz="0" w:space="0" w:color="auto"/>
        <w:right w:val="none" w:sz="0" w:space="0" w:color="auto"/>
      </w:divBdr>
    </w:div>
    <w:div w:id="1709524303">
      <w:bodyDiv w:val="1"/>
      <w:marLeft w:val="0"/>
      <w:marRight w:val="0"/>
      <w:marTop w:val="0"/>
      <w:marBottom w:val="0"/>
      <w:divBdr>
        <w:top w:val="none" w:sz="0" w:space="0" w:color="auto"/>
        <w:left w:val="none" w:sz="0" w:space="0" w:color="auto"/>
        <w:bottom w:val="none" w:sz="0" w:space="0" w:color="auto"/>
        <w:right w:val="none" w:sz="0" w:space="0" w:color="auto"/>
      </w:divBdr>
    </w:div>
    <w:div w:id="1709526264">
      <w:bodyDiv w:val="1"/>
      <w:marLeft w:val="0"/>
      <w:marRight w:val="0"/>
      <w:marTop w:val="0"/>
      <w:marBottom w:val="0"/>
      <w:divBdr>
        <w:top w:val="none" w:sz="0" w:space="0" w:color="auto"/>
        <w:left w:val="none" w:sz="0" w:space="0" w:color="auto"/>
        <w:bottom w:val="none" w:sz="0" w:space="0" w:color="auto"/>
        <w:right w:val="none" w:sz="0" w:space="0" w:color="auto"/>
      </w:divBdr>
    </w:div>
    <w:div w:id="1709642256">
      <w:bodyDiv w:val="1"/>
      <w:marLeft w:val="0"/>
      <w:marRight w:val="0"/>
      <w:marTop w:val="0"/>
      <w:marBottom w:val="0"/>
      <w:divBdr>
        <w:top w:val="none" w:sz="0" w:space="0" w:color="auto"/>
        <w:left w:val="none" w:sz="0" w:space="0" w:color="auto"/>
        <w:bottom w:val="none" w:sz="0" w:space="0" w:color="auto"/>
        <w:right w:val="none" w:sz="0" w:space="0" w:color="auto"/>
      </w:divBdr>
    </w:div>
    <w:div w:id="1709644171">
      <w:bodyDiv w:val="1"/>
      <w:marLeft w:val="0"/>
      <w:marRight w:val="0"/>
      <w:marTop w:val="0"/>
      <w:marBottom w:val="0"/>
      <w:divBdr>
        <w:top w:val="none" w:sz="0" w:space="0" w:color="auto"/>
        <w:left w:val="none" w:sz="0" w:space="0" w:color="auto"/>
        <w:bottom w:val="none" w:sz="0" w:space="0" w:color="auto"/>
        <w:right w:val="none" w:sz="0" w:space="0" w:color="auto"/>
      </w:divBdr>
    </w:div>
    <w:div w:id="1709648958">
      <w:bodyDiv w:val="1"/>
      <w:marLeft w:val="0"/>
      <w:marRight w:val="0"/>
      <w:marTop w:val="0"/>
      <w:marBottom w:val="0"/>
      <w:divBdr>
        <w:top w:val="none" w:sz="0" w:space="0" w:color="auto"/>
        <w:left w:val="none" w:sz="0" w:space="0" w:color="auto"/>
        <w:bottom w:val="none" w:sz="0" w:space="0" w:color="auto"/>
        <w:right w:val="none" w:sz="0" w:space="0" w:color="auto"/>
      </w:divBdr>
    </w:div>
    <w:div w:id="1709718845">
      <w:bodyDiv w:val="1"/>
      <w:marLeft w:val="0"/>
      <w:marRight w:val="0"/>
      <w:marTop w:val="0"/>
      <w:marBottom w:val="0"/>
      <w:divBdr>
        <w:top w:val="none" w:sz="0" w:space="0" w:color="auto"/>
        <w:left w:val="none" w:sz="0" w:space="0" w:color="auto"/>
        <w:bottom w:val="none" w:sz="0" w:space="0" w:color="auto"/>
        <w:right w:val="none" w:sz="0" w:space="0" w:color="auto"/>
      </w:divBdr>
    </w:div>
    <w:div w:id="1709720993">
      <w:bodyDiv w:val="1"/>
      <w:marLeft w:val="0"/>
      <w:marRight w:val="0"/>
      <w:marTop w:val="0"/>
      <w:marBottom w:val="0"/>
      <w:divBdr>
        <w:top w:val="none" w:sz="0" w:space="0" w:color="auto"/>
        <w:left w:val="none" w:sz="0" w:space="0" w:color="auto"/>
        <w:bottom w:val="none" w:sz="0" w:space="0" w:color="auto"/>
        <w:right w:val="none" w:sz="0" w:space="0" w:color="auto"/>
      </w:divBdr>
    </w:div>
    <w:div w:id="1709794101">
      <w:bodyDiv w:val="1"/>
      <w:marLeft w:val="0"/>
      <w:marRight w:val="0"/>
      <w:marTop w:val="0"/>
      <w:marBottom w:val="0"/>
      <w:divBdr>
        <w:top w:val="none" w:sz="0" w:space="0" w:color="auto"/>
        <w:left w:val="none" w:sz="0" w:space="0" w:color="auto"/>
        <w:bottom w:val="none" w:sz="0" w:space="0" w:color="auto"/>
        <w:right w:val="none" w:sz="0" w:space="0" w:color="auto"/>
      </w:divBdr>
    </w:div>
    <w:div w:id="1710059800">
      <w:bodyDiv w:val="1"/>
      <w:marLeft w:val="0"/>
      <w:marRight w:val="0"/>
      <w:marTop w:val="0"/>
      <w:marBottom w:val="0"/>
      <w:divBdr>
        <w:top w:val="none" w:sz="0" w:space="0" w:color="auto"/>
        <w:left w:val="none" w:sz="0" w:space="0" w:color="auto"/>
        <w:bottom w:val="none" w:sz="0" w:space="0" w:color="auto"/>
        <w:right w:val="none" w:sz="0" w:space="0" w:color="auto"/>
      </w:divBdr>
    </w:div>
    <w:div w:id="1710103087">
      <w:bodyDiv w:val="1"/>
      <w:marLeft w:val="0"/>
      <w:marRight w:val="0"/>
      <w:marTop w:val="0"/>
      <w:marBottom w:val="0"/>
      <w:divBdr>
        <w:top w:val="none" w:sz="0" w:space="0" w:color="auto"/>
        <w:left w:val="none" w:sz="0" w:space="0" w:color="auto"/>
        <w:bottom w:val="none" w:sz="0" w:space="0" w:color="auto"/>
        <w:right w:val="none" w:sz="0" w:space="0" w:color="auto"/>
      </w:divBdr>
    </w:div>
    <w:div w:id="1710229108">
      <w:bodyDiv w:val="1"/>
      <w:marLeft w:val="0"/>
      <w:marRight w:val="0"/>
      <w:marTop w:val="0"/>
      <w:marBottom w:val="0"/>
      <w:divBdr>
        <w:top w:val="none" w:sz="0" w:space="0" w:color="auto"/>
        <w:left w:val="none" w:sz="0" w:space="0" w:color="auto"/>
        <w:bottom w:val="none" w:sz="0" w:space="0" w:color="auto"/>
        <w:right w:val="none" w:sz="0" w:space="0" w:color="auto"/>
      </w:divBdr>
    </w:div>
    <w:div w:id="1710257807">
      <w:bodyDiv w:val="1"/>
      <w:marLeft w:val="0"/>
      <w:marRight w:val="0"/>
      <w:marTop w:val="0"/>
      <w:marBottom w:val="0"/>
      <w:divBdr>
        <w:top w:val="none" w:sz="0" w:space="0" w:color="auto"/>
        <w:left w:val="none" w:sz="0" w:space="0" w:color="auto"/>
        <w:bottom w:val="none" w:sz="0" w:space="0" w:color="auto"/>
        <w:right w:val="none" w:sz="0" w:space="0" w:color="auto"/>
      </w:divBdr>
    </w:div>
    <w:div w:id="1710372841">
      <w:bodyDiv w:val="1"/>
      <w:marLeft w:val="0"/>
      <w:marRight w:val="0"/>
      <w:marTop w:val="0"/>
      <w:marBottom w:val="0"/>
      <w:divBdr>
        <w:top w:val="none" w:sz="0" w:space="0" w:color="auto"/>
        <w:left w:val="none" w:sz="0" w:space="0" w:color="auto"/>
        <w:bottom w:val="none" w:sz="0" w:space="0" w:color="auto"/>
        <w:right w:val="none" w:sz="0" w:space="0" w:color="auto"/>
      </w:divBdr>
    </w:div>
    <w:div w:id="1710446269">
      <w:bodyDiv w:val="1"/>
      <w:marLeft w:val="0"/>
      <w:marRight w:val="0"/>
      <w:marTop w:val="0"/>
      <w:marBottom w:val="0"/>
      <w:divBdr>
        <w:top w:val="none" w:sz="0" w:space="0" w:color="auto"/>
        <w:left w:val="none" w:sz="0" w:space="0" w:color="auto"/>
        <w:bottom w:val="none" w:sz="0" w:space="0" w:color="auto"/>
        <w:right w:val="none" w:sz="0" w:space="0" w:color="auto"/>
      </w:divBdr>
    </w:div>
    <w:div w:id="1710452227">
      <w:bodyDiv w:val="1"/>
      <w:marLeft w:val="0"/>
      <w:marRight w:val="0"/>
      <w:marTop w:val="0"/>
      <w:marBottom w:val="0"/>
      <w:divBdr>
        <w:top w:val="none" w:sz="0" w:space="0" w:color="auto"/>
        <w:left w:val="none" w:sz="0" w:space="0" w:color="auto"/>
        <w:bottom w:val="none" w:sz="0" w:space="0" w:color="auto"/>
        <w:right w:val="none" w:sz="0" w:space="0" w:color="auto"/>
      </w:divBdr>
    </w:div>
    <w:div w:id="1710454424">
      <w:bodyDiv w:val="1"/>
      <w:marLeft w:val="0"/>
      <w:marRight w:val="0"/>
      <w:marTop w:val="0"/>
      <w:marBottom w:val="0"/>
      <w:divBdr>
        <w:top w:val="none" w:sz="0" w:space="0" w:color="auto"/>
        <w:left w:val="none" w:sz="0" w:space="0" w:color="auto"/>
        <w:bottom w:val="none" w:sz="0" w:space="0" w:color="auto"/>
        <w:right w:val="none" w:sz="0" w:space="0" w:color="auto"/>
      </w:divBdr>
    </w:div>
    <w:div w:id="1710497296">
      <w:bodyDiv w:val="1"/>
      <w:marLeft w:val="0"/>
      <w:marRight w:val="0"/>
      <w:marTop w:val="0"/>
      <w:marBottom w:val="0"/>
      <w:divBdr>
        <w:top w:val="none" w:sz="0" w:space="0" w:color="auto"/>
        <w:left w:val="none" w:sz="0" w:space="0" w:color="auto"/>
        <w:bottom w:val="none" w:sz="0" w:space="0" w:color="auto"/>
        <w:right w:val="none" w:sz="0" w:space="0" w:color="auto"/>
      </w:divBdr>
    </w:div>
    <w:div w:id="1710959403">
      <w:bodyDiv w:val="1"/>
      <w:marLeft w:val="0"/>
      <w:marRight w:val="0"/>
      <w:marTop w:val="0"/>
      <w:marBottom w:val="0"/>
      <w:divBdr>
        <w:top w:val="none" w:sz="0" w:space="0" w:color="auto"/>
        <w:left w:val="none" w:sz="0" w:space="0" w:color="auto"/>
        <w:bottom w:val="none" w:sz="0" w:space="0" w:color="auto"/>
        <w:right w:val="none" w:sz="0" w:space="0" w:color="auto"/>
      </w:divBdr>
    </w:div>
    <w:div w:id="1711104231">
      <w:bodyDiv w:val="1"/>
      <w:marLeft w:val="0"/>
      <w:marRight w:val="0"/>
      <w:marTop w:val="0"/>
      <w:marBottom w:val="0"/>
      <w:divBdr>
        <w:top w:val="none" w:sz="0" w:space="0" w:color="auto"/>
        <w:left w:val="none" w:sz="0" w:space="0" w:color="auto"/>
        <w:bottom w:val="none" w:sz="0" w:space="0" w:color="auto"/>
        <w:right w:val="none" w:sz="0" w:space="0" w:color="auto"/>
      </w:divBdr>
    </w:div>
    <w:div w:id="1711108055">
      <w:bodyDiv w:val="1"/>
      <w:marLeft w:val="0"/>
      <w:marRight w:val="0"/>
      <w:marTop w:val="0"/>
      <w:marBottom w:val="0"/>
      <w:divBdr>
        <w:top w:val="none" w:sz="0" w:space="0" w:color="auto"/>
        <w:left w:val="none" w:sz="0" w:space="0" w:color="auto"/>
        <w:bottom w:val="none" w:sz="0" w:space="0" w:color="auto"/>
        <w:right w:val="none" w:sz="0" w:space="0" w:color="auto"/>
      </w:divBdr>
    </w:div>
    <w:div w:id="1711146953">
      <w:bodyDiv w:val="1"/>
      <w:marLeft w:val="0"/>
      <w:marRight w:val="0"/>
      <w:marTop w:val="0"/>
      <w:marBottom w:val="0"/>
      <w:divBdr>
        <w:top w:val="none" w:sz="0" w:space="0" w:color="auto"/>
        <w:left w:val="none" w:sz="0" w:space="0" w:color="auto"/>
        <w:bottom w:val="none" w:sz="0" w:space="0" w:color="auto"/>
        <w:right w:val="none" w:sz="0" w:space="0" w:color="auto"/>
      </w:divBdr>
    </w:div>
    <w:div w:id="1711147202">
      <w:bodyDiv w:val="1"/>
      <w:marLeft w:val="0"/>
      <w:marRight w:val="0"/>
      <w:marTop w:val="0"/>
      <w:marBottom w:val="0"/>
      <w:divBdr>
        <w:top w:val="none" w:sz="0" w:space="0" w:color="auto"/>
        <w:left w:val="none" w:sz="0" w:space="0" w:color="auto"/>
        <w:bottom w:val="none" w:sz="0" w:space="0" w:color="auto"/>
        <w:right w:val="none" w:sz="0" w:space="0" w:color="auto"/>
      </w:divBdr>
    </w:div>
    <w:div w:id="1711420971">
      <w:bodyDiv w:val="1"/>
      <w:marLeft w:val="0"/>
      <w:marRight w:val="0"/>
      <w:marTop w:val="0"/>
      <w:marBottom w:val="0"/>
      <w:divBdr>
        <w:top w:val="none" w:sz="0" w:space="0" w:color="auto"/>
        <w:left w:val="none" w:sz="0" w:space="0" w:color="auto"/>
        <w:bottom w:val="none" w:sz="0" w:space="0" w:color="auto"/>
        <w:right w:val="none" w:sz="0" w:space="0" w:color="auto"/>
      </w:divBdr>
    </w:div>
    <w:div w:id="1711569073">
      <w:bodyDiv w:val="1"/>
      <w:marLeft w:val="0"/>
      <w:marRight w:val="0"/>
      <w:marTop w:val="0"/>
      <w:marBottom w:val="0"/>
      <w:divBdr>
        <w:top w:val="none" w:sz="0" w:space="0" w:color="auto"/>
        <w:left w:val="none" w:sz="0" w:space="0" w:color="auto"/>
        <w:bottom w:val="none" w:sz="0" w:space="0" w:color="auto"/>
        <w:right w:val="none" w:sz="0" w:space="0" w:color="auto"/>
      </w:divBdr>
    </w:div>
    <w:div w:id="1711686362">
      <w:bodyDiv w:val="1"/>
      <w:marLeft w:val="0"/>
      <w:marRight w:val="0"/>
      <w:marTop w:val="0"/>
      <w:marBottom w:val="0"/>
      <w:divBdr>
        <w:top w:val="none" w:sz="0" w:space="0" w:color="auto"/>
        <w:left w:val="none" w:sz="0" w:space="0" w:color="auto"/>
        <w:bottom w:val="none" w:sz="0" w:space="0" w:color="auto"/>
        <w:right w:val="none" w:sz="0" w:space="0" w:color="auto"/>
      </w:divBdr>
    </w:div>
    <w:div w:id="1711687432">
      <w:bodyDiv w:val="1"/>
      <w:marLeft w:val="0"/>
      <w:marRight w:val="0"/>
      <w:marTop w:val="0"/>
      <w:marBottom w:val="0"/>
      <w:divBdr>
        <w:top w:val="none" w:sz="0" w:space="0" w:color="auto"/>
        <w:left w:val="none" w:sz="0" w:space="0" w:color="auto"/>
        <w:bottom w:val="none" w:sz="0" w:space="0" w:color="auto"/>
        <w:right w:val="none" w:sz="0" w:space="0" w:color="auto"/>
      </w:divBdr>
    </w:div>
    <w:div w:id="1711761731">
      <w:bodyDiv w:val="1"/>
      <w:marLeft w:val="0"/>
      <w:marRight w:val="0"/>
      <w:marTop w:val="0"/>
      <w:marBottom w:val="0"/>
      <w:divBdr>
        <w:top w:val="none" w:sz="0" w:space="0" w:color="auto"/>
        <w:left w:val="none" w:sz="0" w:space="0" w:color="auto"/>
        <w:bottom w:val="none" w:sz="0" w:space="0" w:color="auto"/>
        <w:right w:val="none" w:sz="0" w:space="0" w:color="auto"/>
      </w:divBdr>
    </w:div>
    <w:div w:id="1711800542">
      <w:bodyDiv w:val="1"/>
      <w:marLeft w:val="0"/>
      <w:marRight w:val="0"/>
      <w:marTop w:val="0"/>
      <w:marBottom w:val="0"/>
      <w:divBdr>
        <w:top w:val="none" w:sz="0" w:space="0" w:color="auto"/>
        <w:left w:val="none" w:sz="0" w:space="0" w:color="auto"/>
        <w:bottom w:val="none" w:sz="0" w:space="0" w:color="auto"/>
        <w:right w:val="none" w:sz="0" w:space="0" w:color="auto"/>
      </w:divBdr>
    </w:div>
    <w:div w:id="1711878679">
      <w:bodyDiv w:val="1"/>
      <w:marLeft w:val="0"/>
      <w:marRight w:val="0"/>
      <w:marTop w:val="0"/>
      <w:marBottom w:val="0"/>
      <w:divBdr>
        <w:top w:val="none" w:sz="0" w:space="0" w:color="auto"/>
        <w:left w:val="none" w:sz="0" w:space="0" w:color="auto"/>
        <w:bottom w:val="none" w:sz="0" w:space="0" w:color="auto"/>
        <w:right w:val="none" w:sz="0" w:space="0" w:color="auto"/>
      </w:divBdr>
    </w:div>
    <w:div w:id="1711882542">
      <w:bodyDiv w:val="1"/>
      <w:marLeft w:val="0"/>
      <w:marRight w:val="0"/>
      <w:marTop w:val="0"/>
      <w:marBottom w:val="0"/>
      <w:divBdr>
        <w:top w:val="none" w:sz="0" w:space="0" w:color="auto"/>
        <w:left w:val="none" w:sz="0" w:space="0" w:color="auto"/>
        <w:bottom w:val="none" w:sz="0" w:space="0" w:color="auto"/>
        <w:right w:val="none" w:sz="0" w:space="0" w:color="auto"/>
      </w:divBdr>
    </w:div>
    <w:div w:id="1711950592">
      <w:bodyDiv w:val="1"/>
      <w:marLeft w:val="0"/>
      <w:marRight w:val="0"/>
      <w:marTop w:val="0"/>
      <w:marBottom w:val="0"/>
      <w:divBdr>
        <w:top w:val="none" w:sz="0" w:space="0" w:color="auto"/>
        <w:left w:val="none" w:sz="0" w:space="0" w:color="auto"/>
        <w:bottom w:val="none" w:sz="0" w:space="0" w:color="auto"/>
        <w:right w:val="none" w:sz="0" w:space="0" w:color="auto"/>
      </w:divBdr>
    </w:div>
    <w:div w:id="1711958570">
      <w:bodyDiv w:val="1"/>
      <w:marLeft w:val="0"/>
      <w:marRight w:val="0"/>
      <w:marTop w:val="0"/>
      <w:marBottom w:val="0"/>
      <w:divBdr>
        <w:top w:val="none" w:sz="0" w:space="0" w:color="auto"/>
        <w:left w:val="none" w:sz="0" w:space="0" w:color="auto"/>
        <w:bottom w:val="none" w:sz="0" w:space="0" w:color="auto"/>
        <w:right w:val="none" w:sz="0" w:space="0" w:color="auto"/>
      </w:divBdr>
    </w:div>
    <w:div w:id="1711997847">
      <w:bodyDiv w:val="1"/>
      <w:marLeft w:val="0"/>
      <w:marRight w:val="0"/>
      <w:marTop w:val="0"/>
      <w:marBottom w:val="0"/>
      <w:divBdr>
        <w:top w:val="none" w:sz="0" w:space="0" w:color="auto"/>
        <w:left w:val="none" w:sz="0" w:space="0" w:color="auto"/>
        <w:bottom w:val="none" w:sz="0" w:space="0" w:color="auto"/>
        <w:right w:val="none" w:sz="0" w:space="0" w:color="auto"/>
      </w:divBdr>
    </w:div>
    <w:div w:id="1712457632">
      <w:bodyDiv w:val="1"/>
      <w:marLeft w:val="0"/>
      <w:marRight w:val="0"/>
      <w:marTop w:val="0"/>
      <w:marBottom w:val="0"/>
      <w:divBdr>
        <w:top w:val="none" w:sz="0" w:space="0" w:color="auto"/>
        <w:left w:val="none" w:sz="0" w:space="0" w:color="auto"/>
        <w:bottom w:val="none" w:sz="0" w:space="0" w:color="auto"/>
        <w:right w:val="none" w:sz="0" w:space="0" w:color="auto"/>
      </w:divBdr>
    </w:div>
    <w:div w:id="1712463358">
      <w:bodyDiv w:val="1"/>
      <w:marLeft w:val="0"/>
      <w:marRight w:val="0"/>
      <w:marTop w:val="0"/>
      <w:marBottom w:val="0"/>
      <w:divBdr>
        <w:top w:val="none" w:sz="0" w:space="0" w:color="auto"/>
        <w:left w:val="none" w:sz="0" w:space="0" w:color="auto"/>
        <w:bottom w:val="none" w:sz="0" w:space="0" w:color="auto"/>
        <w:right w:val="none" w:sz="0" w:space="0" w:color="auto"/>
      </w:divBdr>
    </w:div>
    <w:div w:id="1712529684">
      <w:bodyDiv w:val="1"/>
      <w:marLeft w:val="0"/>
      <w:marRight w:val="0"/>
      <w:marTop w:val="0"/>
      <w:marBottom w:val="0"/>
      <w:divBdr>
        <w:top w:val="none" w:sz="0" w:space="0" w:color="auto"/>
        <w:left w:val="none" w:sz="0" w:space="0" w:color="auto"/>
        <w:bottom w:val="none" w:sz="0" w:space="0" w:color="auto"/>
        <w:right w:val="none" w:sz="0" w:space="0" w:color="auto"/>
      </w:divBdr>
    </w:div>
    <w:div w:id="1712538542">
      <w:bodyDiv w:val="1"/>
      <w:marLeft w:val="0"/>
      <w:marRight w:val="0"/>
      <w:marTop w:val="0"/>
      <w:marBottom w:val="0"/>
      <w:divBdr>
        <w:top w:val="none" w:sz="0" w:space="0" w:color="auto"/>
        <w:left w:val="none" w:sz="0" w:space="0" w:color="auto"/>
        <w:bottom w:val="none" w:sz="0" w:space="0" w:color="auto"/>
        <w:right w:val="none" w:sz="0" w:space="0" w:color="auto"/>
      </w:divBdr>
    </w:div>
    <w:div w:id="1712608110">
      <w:bodyDiv w:val="1"/>
      <w:marLeft w:val="0"/>
      <w:marRight w:val="0"/>
      <w:marTop w:val="0"/>
      <w:marBottom w:val="0"/>
      <w:divBdr>
        <w:top w:val="none" w:sz="0" w:space="0" w:color="auto"/>
        <w:left w:val="none" w:sz="0" w:space="0" w:color="auto"/>
        <w:bottom w:val="none" w:sz="0" w:space="0" w:color="auto"/>
        <w:right w:val="none" w:sz="0" w:space="0" w:color="auto"/>
      </w:divBdr>
    </w:div>
    <w:div w:id="1712614516">
      <w:bodyDiv w:val="1"/>
      <w:marLeft w:val="0"/>
      <w:marRight w:val="0"/>
      <w:marTop w:val="0"/>
      <w:marBottom w:val="0"/>
      <w:divBdr>
        <w:top w:val="none" w:sz="0" w:space="0" w:color="auto"/>
        <w:left w:val="none" w:sz="0" w:space="0" w:color="auto"/>
        <w:bottom w:val="none" w:sz="0" w:space="0" w:color="auto"/>
        <w:right w:val="none" w:sz="0" w:space="0" w:color="auto"/>
      </w:divBdr>
    </w:div>
    <w:div w:id="1712802165">
      <w:bodyDiv w:val="1"/>
      <w:marLeft w:val="0"/>
      <w:marRight w:val="0"/>
      <w:marTop w:val="0"/>
      <w:marBottom w:val="0"/>
      <w:divBdr>
        <w:top w:val="none" w:sz="0" w:space="0" w:color="auto"/>
        <w:left w:val="none" w:sz="0" w:space="0" w:color="auto"/>
        <w:bottom w:val="none" w:sz="0" w:space="0" w:color="auto"/>
        <w:right w:val="none" w:sz="0" w:space="0" w:color="auto"/>
      </w:divBdr>
    </w:div>
    <w:div w:id="1712803337">
      <w:bodyDiv w:val="1"/>
      <w:marLeft w:val="0"/>
      <w:marRight w:val="0"/>
      <w:marTop w:val="0"/>
      <w:marBottom w:val="0"/>
      <w:divBdr>
        <w:top w:val="none" w:sz="0" w:space="0" w:color="auto"/>
        <w:left w:val="none" w:sz="0" w:space="0" w:color="auto"/>
        <w:bottom w:val="none" w:sz="0" w:space="0" w:color="auto"/>
        <w:right w:val="none" w:sz="0" w:space="0" w:color="auto"/>
      </w:divBdr>
    </w:div>
    <w:div w:id="1712922273">
      <w:bodyDiv w:val="1"/>
      <w:marLeft w:val="0"/>
      <w:marRight w:val="0"/>
      <w:marTop w:val="0"/>
      <w:marBottom w:val="0"/>
      <w:divBdr>
        <w:top w:val="none" w:sz="0" w:space="0" w:color="auto"/>
        <w:left w:val="none" w:sz="0" w:space="0" w:color="auto"/>
        <w:bottom w:val="none" w:sz="0" w:space="0" w:color="auto"/>
        <w:right w:val="none" w:sz="0" w:space="0" w:color="auto"/>
      </w:divBdr>
    </w:div>
    <w:div w:id="1713071111">
      <w:bodyDiv w:val="1"/>
      <w:marLeft w:val="0"/>
      <w:marRight w:val="0"/>
      <w:marTop w:val="0"/>
      <w:marBottom w:val="0"/>
      <w:divBdr>
        <w:top w:val="none" w:sz="0" w:space="0" w:color="auto"/>
        <w:left w:val="none" w:sz="0" w:space="0" w:color="auto"/>
        <w:bottom w:val="none" w:sz="0" w:space="0" w:color="auto"/>
        <w:right w:val="none" w:sz="0" w:space="0" w:color="auto"/>
      </w:divBdr>
    </w:div>
    <w:div w:id="1713118355">
      <w:bodyDiv w:val="1"/>
      <w:marLeft w:val="0"/>
      <w:marRight w:val="0"/>
      <w:marTop w:val="0"/>
      <w:marBottom w:val="0"/>
      <w:divBdr>
        <w:top w:val="none" w:sz="0" w:space="0" w:color="auto"/>
        <w:left w:val="none" w:sz="0" w:space="0" w:color="auto"/>
        <w:bottom w:val="none" w:sz="0" w:space="0" w:color="auto"/>
        <w:right w:val="none" w:sz="0" w:space="0" w:color="auto"/>
      </w:divBdr>
    </w:div>
    <w:div w:id="1713186411">
      <w:bodyDiv w:val="1"/>
      <w:marLeft w:val="0"/>
      <w:marRight w:val="0"/>
      <w:marTop w:val="0"/>
      <w:marBottom w:val="0"/>
      <w:divBdr>
        <w:top w:val="none" w:sz="0" w:space="0" w:color="auto"/>
        <w:left w:val="none" w:sz="0" w:space="0" w:color="auto"/>
        <w:bottom w:val="none" w:sz="0" w:space="0" w:color="auto"/>
        <w:right w:val="none" w:sz="0" w:space="0" w:color="auto"/>
      </w:divBdr>
    </w:div>
    <w:div w:id="1713190926">
      <w:bodyDiv w:val="1"/>
      <w:marLeft w:val="0"/>
      <w:marRight w:val="0"/>
      <w:marTop w:val="0"/>
      <w:marBottom w:val="0"/>
      <w:divBdr>
        <w:top w:val="none" w:sz="0" w:space="0" w:color="auto"/>
        <w:left w:val="none" w:sz="0" w:space="0" w:color="auto"/>
        <w:bottom w:val="none" w:sz="0" w:space="0" w:color="auto"/>
        <w:right w:val="none" w:sz="0" w:space="0" w:color="auto"/>
      </w:divBdr>
    </w:div>
    <w:div w:id="1713191444">
      <w:bodyDiv w:val="1"/>
      <w:marLeft w:val="0"/>
      <w:marRight w:val="0"/>
      <w:marTop w:val="0"/>
      <w:marBottom w:val="0"/>
      <w:divBdr>
        <w:top w:val="none" w:sz="0" w:space="0" w:color="auto"/>
        <w:left w:val="none" w:sz="0" w:space="0" w:color="auto"/>
        <w:bottom w:val="none" w:sz="0" w:space="0" w:color="auto"/>
        <w:right w:val="none" w:sz="0" w:space="0" w:color="auto"/>
      </w:divBdr>
    </w:div>
    <w:div w:id="1713335746">
      <w:bodyDiv w:val="1"/>
      <w:marLeft w:val="0"/>
      <w:marRight w:val="0"/>
      <w:marTop w:val="0"/>
      <w:marBottom w:val="0"/>
      <w:divBdr>
        <w:top w:val="none" w:sz="0" w:space="0" w:color="auto"/>
        <w:left w:val="none" w:sz="0" w:space="0" w:color="auto"/>
        <w:bottom w:val="none" w:sz="0" w:space="0" w:color="auto"/>
        <w:right w:val="none" w:sz="0" w:space="0" w:color="auto"/>
      </w:divBdr>
    </w:div>
    <w:div w:id="1713453500">
      <w:bodyDiv w:val="1"/>
      <w:marLeft w:val="0"/>
      <w:marRight w:val="0"/>
      <w:marTop w:val="0"/>
      <w:marBottom w:val="0"/>
      <w:divBdr>
        <w:top w:val="none" w:sz="0" w:space="0" w:color="auto"/>
        <w:left w:val="none" w:sz="0" w:space="0" w:color="auto"/>
        <w:bottom w:val="none" w:sz="0" w:space="0" w:color="auto"/>
        <w:right w:val="none" w:sz="0" w:space="0" w:color="auto"/>
      </w:divBdr>
    </w:div>
    <w:div w:id="1713530406">
      <w:bodyDiv w:val="1"/>
      <w:marLeft w:val="0"/>
      <w:marRight w:val="0"/>
      <w:marTop w:val="0"/>
      <w:marBottom w:val="0"/>
      <w:divBdr>
        <w:top w:val="none" w:sz="0" w:space="0" w:color="auto"/>
        <w:left w:val="none" w:sz="0" w:space="0" w:color="auto"/>
        <w:bottom w:val="none" w:sz="0" w:space="0" w:color="auto"/>
        <w:right w:val="none" w:sz="0" w:space="0" w:color="auto"/>
      </w:divBdr>
    </w:div>
    <w:div w:id="1713573249">
      <w:bodyDiv w:val="1"/>
      <w:marLeft w:val="0"/>
      <w:marRight w:val="0"/>
      <w:marTop w:val="0"/>
      <w:marBottom w:val="0"/>
      <w:divBdr>
        <w:top w:val="none" w:sz="0" w:space="0" w:color="auto"/>
        <w:left w:val="none" w:sz="0" w:space="0" w:color="auto"/>
        <w:bottom w:val="none" w:sz="0" w:space="0" w:color="auto"/>
        <w:right w:val="none" w:sz="0" w:space="0" w:color="auto"/>
      </w:divBdr>
    </w:div>
    <w:div w:id="1713723921">
      <w:bodyDiv w:val="1"/>
      <w:marLeft w:val="0"/>
      <w:marRight w:val="0"/>
      <w:marTop w:val="0"/>
      <w:marBottom w:val="0"/>
      <w:divBdr>
        <w:top w:val="none" w:sz="0" w:space="0" w:color="auto"/>
        <w:left w:val="none" w:sz="0" w:space="0" w:color="auto"/>
        <w:bottom w:val="none" w:sz="0" w:space="0" w:color="auto"/>
        <w:right w:val="none" w:sz="0" w:space="0" w:color="auto"/>
      </w:divBdr>
    </w:div>
    <w:div w:id="1713724289">
      <w:bodyDiv w:val="1"/>
      <w:marLeft w:val="0"/>
      <w:marRight w:val="0"/>
      <w:marTop w:val="0"/>
      <w:marBottom w:val="0"/>
      <w:divBdr>
        <w:top w:val="none" w:sz="0" w:space="0" w:color="auto"/>
        <w:left w:val="none" w:sz="0" w:space="0" w:color="auto"/>
        <w:bottom w:val="none" w:sz="0" w:space="0" w:color="auto"/>
        <w:right w:val="none" w:sz="0" w:space="0" w:color="auto"/>
      </w:divBdr>
    </w:div>
    <w:div w:id="1713729915">
      <w:bodyDiv w:val="1"/>
      <w:marLeft w:val="0"/>
      <w:marRight w:val="0"/>
      <w:marTop w:val="0"/>
      <w:marBottom w:val="0"/>
      <w:divBdr>
        <w:top w:val="none" w:sz="0" w:space="0" w:color="auto"/>
        <w:left w:val="none" w:sz="0" w:space="0" w:color="auto"/>
        <w:bottom w:val="none" w:sz="0" w:space="0" w:color="auto"/>
        <w:right w:val="none" w:sz="0" w:space="0" w:color="auto"/>
      </w:divBdr>
    </w:div>
    <w:div w:id="1713730669">
      <w:bodyDiv w:val="1"/>
      <w:marLeft w:val="0"/>
      <w:marRight w:val="0"/>
      <w:marTop w:val="0"/>
      <w:marBottom w:val="0"/>
      <w:divBdr>
        <w:top w:val="none" w:sz="0" w:space="0" w:color="auto"/>
        <w:left w:val="none" w:sz="0" w:space="0" w:color="auto"/>
        <w:bottom w:val="none" w:sz="0" w:space="0" w:color="auto"/>
        <w:right w:val="none" w:sz="0" w:space="0" w:color="auto"/>
      </w:divBdr>
    </w:div>
    <w:div w:id="1713768137">
      <w:bodyDiv w:val="1"/>
      <w:marLeft w:val="0"/>
      <w:marRight w:val="0"/>
      <w:marTop w:val="0"/>
      <w:marBottom w:val="0"/>
      <w:divBdr>
        <w:top w:val="none" w:sz="0" w:space="0" w:color="auto"/>
        <w:left w:val="none" w:sz="0" w:space="0" w:color="auto"/>
        <w:bottom w:val="none" w:sz="0" w:space="0" w:color="auto"/>
        <w:right w:val="none" w:sz="0" w:space="0" w:color="auto"/>
      </w:divBdr>
    </w:div>
    <w:div w:id="1713797571">
      <w:bodyDiv w:val="1"/>
      <w:marLeft w:val="0"/>
      <w:marRight w:val="0"/>
      <w:marTop w:val="0"/>
      <w:marBottom w:val="0"/>
      <w:divBdr>
        <w:top w:val="none" w:sz="0" w:space="0" w:color="auto"/>
        <w:left w:val="none" w:sz="0" w:space="0" w:color="auto"/>
        <w:bottom w:val="none" w:sz="0" w:space="0" w:color="auto"/>
        <w:right w:val="none" w:sz="0" w:space="0" w:color="auto"/>
      </w:divBdr>
    </w:div>
    <w:div w:id="1713798554">
      <w:bodyDiv w:val="1"/>
      <w:marLeft w:val="0"/>
      <w:marRight w:val="0"/>
      <w:marTop w:val="0"/>
      <w:marBottom w:val="0"/>
      <w:divBdr>
        <w:top w:val="none" w:sz="0" w:space="0" w:color="auto"/>
        <w:left w:val="none" w:sz="0" w:space="0" w:color="auto"/>
        <w:bottom w:val="none" w:sz="0" w:space="0" w:color="auto"/>
        <w:right w:val="none" w:sz="0" w:space="0" w:color="auto"/>
      </w:divBdr>
    </w:div>
    <w:div w:id="1713844534">
      <w:bodyDiv w:val="1"/>
      <w:marLeft w:val="0"/>
      <w:marRight w:val="0"/>
      <w:marTop w:val="0"/>
      <w:marBottom w:val="0"/>
      <w:divBdr>
        <w:top w:val="none" w:sz="0" w:space="0" w:color="auto"/>
        <w:left w:val="none" w:sz="0" w:space="0" w:color="auto"/>
        <w:bottom w:val="none" w:sz="0" w:space="0" w:color="auto"/>
        <w:right w:val="none" w:sz="0" w:space="0" w:color="auto"/>
      </w:divBdr>
    </w:div>
    <w:div w:id="1713918299">
      <w:bodyDiv w:val="1"/>
      <w:marLeft w:val="0"/>
      <w:marRight w:val="0"/>
      <w:marTop w:val="0"/>
      <w:marBottom w:val="0"/>
      <w:divBdr>
        <w:top w:val="none" w:sz="0" w:space="0" w:color="auto"/>
        <w:left w:val="none" w:sz="0" w:space="0" w:color="auto"/>
        <w:bottom w:val="none" w:sz="0" w:space="0" w:color="auto"/>
        <w:right w:val="none" w:sz="0" w:space="0" w:color="auto"/>
      </w:divBdr>
    </w:div>
    <w:div w:id="1713965573">
      <w:bodyDiv w:val="1"/>
      <w:marLeft w:val="0"/>
      <w:marRight w:val="0"/>
      <w:marTop w:val="0"/>
      <w:marBottom w:val="0"/>
      <w:divBdr>
        <w:top w:val="none" w:sz="0" w:space="0" w:color="auto"/>
        <w:left w:val="none" w:sz="0" w:space="0" w:color="auto"/>
        <w:bottom w:val="none" w:sz="0" w:space="0" w:color="auto"/>
        <w:right w:val="none" w:sz="0" w:space="0" w:color="auto"/>
      </w:divBdr>
    </w:div>
    <w:div w:id="1714115210">
      <w:bodyDiv w:val="1"/>
      <w:marLeft w:val="0"/>
      <w:marRight w:val="0"/>
      <w:marTop w:val="0"/>
      <w:marBottom w:val="0"/>
      <w:divBdr>
        <w:top w:val="none" w:sz="0" w:space="0" w:color="auto"/>
        <w:left w:val="none" w:sz="0" w:space="0" w:color="auto"/>
        <w:bottom w:val="none" w:sz="0" w:space="0" w:color="auto"/>
        <w:right w:val="none" w:sz="0" w:space="0" w:color="auto"/>
      </w:divBdr>
    </w:div>
    <w:div w:id="1714192278">
      <w:bodyDiv w:val="1"/>
      <w:marLeft w:val="0"/>
      <w:marRight w:val="0"/>
      <w:marTop w:val="0"/>
      <w:marBottom w:val="0"/>
      <w:divBdr>
        <w:top w:val="none" w:sz="0" w:space="0" w:color="auto"/>
        <w:left w:val="none" w:sz="0" w:space="0" w:color="auto"/>
        <w:bottom w:val="none" w:sz="0" w:space="0" w:color="auto"/>
        <w:right w:val="none" w:sz="0" w:space="0" w:color="auto"/>
      </w:divBdr>
    </w:div>
    <w:div w:id="1714227722">
      <w:bodyDiv w:val="1"/>
      <w:marLeft w:val="0"/>
      <w:marRight w:val="0"/>
      <w:marTop w:val="0"/>
      <w:marBottom w:val="0"/>
      <w:divBdr>
        <w:top w:val="none" w:sz="0" w:space="0" w:color="auto"/>
        <w:left w:val="none" w:sz="0" w:space="0" w:color="auto"/>
        <w:bottom w:val="none" w:sz="0" w:space="0" w:color="auto"/>
        <w:right w:val="none" w:sz="0" w:space="0" w:color="auto"/>
      </w:divBdr>
    </w:div>
    <w:div w:id="1714235794">
      <w:bodyDiv w:val="1"/>
      <w:marLeft w:val="0"/>
      <w:marRight w:val="0"/>
      <w:marTop w:val="0"/>
      <w:marBottom w:val="0"/>
      <w:divBdr>
        <w:top w:val="none" w:sz="0" w:space="0" w:color="auto"/>
        <w:left w:val="none" w:sz="0" w:space="0" w:color="auto"/>
        <w:bottom w:val="none" w:sz="0" w:space="0" w:color="auto"/>
        <w:right w:val="none" w:sz="0" w:space="0" w:color="auto"/>
      </w:divBdr>
    </w:div>
    <w:div w:id="1714311419">
      <w:bodyDiv w:val="1"/>
      <w:marLeft w:val="0"/>
      <w:marRight w:val="0"/>
      <w:marTop w:val="0"/>
      <w:marBottom w:val="0"/>
      <w:divBdr>
        <w:top w:val="none" w:sz="0" w:space="0" w:color="auto"/>
        <w:left w:val="none" w:sz="0" w:space="0" w:color="auto"/>
        <w:bottom w:val="none" w:sz="0" w:space="0" w:color="auto"/>
        <w:right w:val="none" w:sz="0" w:space="0" w:color="auto"/>
      </w:divBdr>
    </w:div>
    <w:div w:id="1714380329">
      <w:bodyDiv w:val="1"/>
      <w:marLeft w:val="0"/>
      <w:marRight w:val="0"/>
      <w:marTop w:val="0"/>
      <w:marBottom w:val="0"/>
      <w:divBdr>
        <w:top w:val="none" w:sz="0" w:space="0" w:color="auto"/>
        <w:left w:val="none" w:sz="0" w:space="0" w:color="auto"/>
        <w:bottom w:val="none" w:sz="0" w:space="0" w:color="auto"/>
        <w:right w:val="none" w:sz="0" w:space="0" w:color="auto"/>
      </w:divBdr>
    </w:div>
    <w:div w:id="1714385725">
      <w:bodyDiv w:val="1"/>
      <w:marLeft w:val="0"/>
      <w:marRight w:val="0"/>
      <w:marTop w:val="0"/>
      <w:marBottom w:val="0"/>
      <w:divBdr>
        <w:top w:val="none" w:sz="0" w:space="0" w:color="auto"/>
        <w:left w:val="none" w:sz="0" w:space="0" w:color="auto"/>
        <w:bottom w:val="none" w:sz="0" w:space="0" w:color="auto"/>
        <w:right w:val="none" w:sz="0" w:space="0" w:color="auto"/>
      </w:divBdr>
    </w:div>
    <w:div w:id="1714578588">
      <w:bodyDiv w:val="1"/>
      <w:marLeft w:val="0"/>
      <w:marRight w:val="0"/>
      <w:marTop w:val="0"/>
      <w:marBottom w:val="0"/>
      <w:divBdr>
        <w:top w:val="none" w:sz="0" w:space="0" w:color="auto"/>
        <w:left w:val="none" w:sz="0" w:space="0" w:color="auto"/>
        <w:bottom w:val="none" w:sz="0" w:space="0" w:color="auto"/>
        <w:right w:val="none" w:sz="0" w:space="0" w:color="auto"/>
      </w:divBdr>
    </w:div>
    <w:div w:id="1714621839">
      <w:bodyDiv w:val="1"/>
      <w:marLeft w:val="0"/>
      <w:marRight w:val="0"/>
      <w:marTop w:val="0"/>
      <w:marBottom w:val="0"/>
      <w:divBdr>
        <w:top w:val="none" w:sz="0" w:space="0" w:color="auto"/>
        <w:left w:val="none" w:sz="0" w:space="0" w:color="auto"/>
        <w:bottom w:val="none" w:sz="0" w:space="0" w:color="auto"/>
        <w:right w:val="none" w:sz="0" w:space="0" w:color="auto"/>
      </w:divBdr>
    </w:div>
    <w:div w:id="1714694881">
      <w:bodyDiv w:val="1"/>
      <w:marLeft w:val="0"/>
      <w:marRight w:val="0"/>
      <w:marTop w:val="0"/>
      <w:marBottom w:val="0"/>
      <w:divBdr>
        <w:top w:val="none" w:sz="0" w:space="0" w:color="auto"/>
        <w:left w:val="none" w:sz="0" w:space="0" w:color="auto"/>
        <w:bottom w:val="none" w:sz="0" w:space="0" w:color="auto"/>
        <w:right w:val="none" w:sz="0" w:space="0" w:color="auto"/>
      </w:divBdr>
    </w:div>
    <w:div w:id="1714839866">
      <w:bodyDiv w:val="1"/>
      <w:marLeft w:val="0"/>
      <w:marRight w:val="0"/>
      <w:marTop w:val="0"/>
      <w:marBottom w:val="0"/>
      <w:divBdr>
        <w:top w:val="none" w:sz="0" w:space="0" w:color="auto"/>
        <w:left w:val="none" w:sz="0" w:space="0" w:color="auto"/>
        <w:bottom w:val="none" w:sz="0" w:space="0" w:color="auto"/>
        <w:right w:val="none" w:sz="0" w:space="0" w:color="auto"/>
      </w:divBdr>
    </w:div>
    <w:div w:id="1714963960">
      <w:bodyDiv w:val="1"/>
      <w:marLeft w:val="0"/>
      <w:marRight w:val="0"/>
      <w:marTop w:val="0"/>
      <w:marBottom w:val="0"/>
      <w:divBdr>
        <w:top w:val="none" w:sz="0" w:space="0" w:color="auto"/>
        <w:left w:val="none" w:sz="0" w:space="0" w:color="auto"/>
        <w:bottom w:val="none" w:sz="0" w:space="0" w:color="auto"/>
        <w:right w:val="none" w:sz="0" w:space="0" w:color="auto"/>
      </w:divBdr>
    </w:div>
    <w:div w:id="1715109593">
      <w:bodyDiv w:val="1"/>
      <w:marLeft w:val="0"/>
      <w:marRight w:val="0"/>
      <w:marTop w:val="0"/>
      <w:marBottom w:val="0"/>
      <w:divBdr>
        <w:top w:val="none" w:sz="0" w:space="0" w:color="auto"/>
        <w:left w:val="none" w:sz="0" w:space="0" w:color="auto"/>
        <w:bottom w:val="none" w:sz="0" w:space="0" w:color="auto"/>
        <w:right w:val="none" w:sz="0" w:space="0" w:color="auto"/>
      </w:divBdr>
    </w:div>
    <w:div w:id="1715153914">
      <w:bodyDiv w:val="1"/>
      <w:marLeft w:val="0"/>
      <w:marRight w:val="0"/>
      <w:marTop w:val="0"/>
      <w:marBottom w:val="0"/>
      <w:divBdr>
        <w:top w:val="none" w:sz="0" w:space="0" w:color="auto"/>
        <w:left w:val="none" w:sz="0" w:space="0" w:color="auto"/>
        <w:bottom w:val="none" w:sz="0" w:space="0" w:color="auto"/>
        <w:right w:val="none" w:sz="0" w:space="0" w:color="auto"/>
      </w:divBdr>
    </w:div>
    <w:div w:id="1715227091">
      <w:bodyDiv w:val="1"/>
      <w:marLeft w:val="0"/>
      <w:marRight w:val="0"/>
      <w:marTop w:val="0"/>
      <w:marBottom w:val="0"/>
      <w:divBdr>
        <w:top w:val="none" w:sz="0" w:space="0" w:color="auto"/>
        <w:left w:val="none" w:sz="0" w:space="0" w:color="auto"/>
        <w:bottom w:val="none" w:sz="0" w:space="0" w:color="auto"/>
        <w:right w:val="none" w:sz="0" w:space="0" w:color="auto"/>
      </w:divBdr>
    </w:div>
    <w:div w:id="1715305981">
      <w:bodyDiv w:val="1"/>
      <w:marLeft w:val="0"/>
      <w:marRight w:val="0"/>
      <w:marTop w:val="0"/>
      <w:marBottom w:val="0"/>
      <w:divBdr>
        <w:top w:val="none" w:sz="0" w:space="0" w:color="auto"/>
        <w:left w:val="none" w:sz="0" w:space="0" w:color="auto"/>
        <w:bottom w:val="none" w:sz="0" w:space="0" w:color="auto"/>
        <w:right w:val="none" w:sz="0" w:space="0" w:color="auto"/>
      </w:divBdr>
    </w:div>
    <w:div w:id="1715347599">
      <w:bodyDiv w:val="1"/>
      <w:marLeft w:val="0"/>
      <w:marRight w:val="0"/>
      <w:marTop w:val="0"/>
      <w:marBottom w:val="0"/>
      <w:divBdr>
        <w:top w:val="none" w:sz="0" w:space="0" w:color="auto"/>
        <w:left w:val="none" w:sz="0" w:space="0" w:color="auto"/>
        <w:bottom w:val="none" w:sz="0" w:space="0" w:color="auto"/>
        <w:right w:val="none" w:sz="0" w:space="0" w:color="auto"/>
      </w:divBdr>
    </w:div>
    <w:div w:id="1715352745">
      <w:bodyDiv w:val="1"/>
      <w:marLeft w:val="0"/>
      <w:marRight w:val="0"/>
      <w:marTop w:val="0"/>
      <w:marBottom w:val="0"/>
      <w:divBdr>
        <w:top w:val="none" w:sz="0" w:space="0" w:color="auto"/>
        <w:left w:val="none" w:sz="0" w:space="0" w:color="auto"/>
        <w:bottom w:val="none" w:sz="0" w:space="0" w:color="auto"/>
        <w:right w:val="none" w:sz="0" w:space="0" w:color="auto"/>
      </w:divBdr>
    </w:div>
    <w:div w:id="1715419711">
      <w:bodyDiv w:val="1"/>
      <w:marLeft w:val="0"/>
      <w:marRight w:val="0"/>
      <w:marTop w:val="0"/>
      <w:marBottom w:val="0"/>
      <w:divBdr>
        <w:top w:val="none" w:sz="0" w:space="0" w:color="auto"/>
        <w:left w:val="none" w:sz="0" w:space="0" w:color="auto"/>
        <w:bottom w:val="none" w:sz="0" w:space="0" w:color="auto"/>
        <w:right w:val="none" w:sz="0" w:space="0" w:color="auto"/>
      </w:divBdr>
    </w:div>
    <w:div w:id="1715471329">
      <w:bodyDiv w:val="1"/>
      <w:marLeft w:val="0"/>
      <w:marRight w:val="0"/>
      <w:marTop w:val="0"/>
      <w:marBottom w:val="0"/>
      <w:divBdr>
        <w:top w:val="none" w:sz="0" w:space="0" w:color="auto"/>
        <w:left w:val="none" w:sz="0" w:space="0" w:color="auto"/>
        <w:bottom w:val="none" w:sz="0" w:space="0" w:color="auto"/>
        <w:right w:val="none" w:sz="0" w:space="0" w:color="auto"/>
      </w:divBdr>
    </w:div>
    <w:div w:id="1715498751">
      <w:bodyDiv w:val="1"/>
      <w:marLeft w:val="0"/>
      <w:marRight w:val="0"/>
      <w:marTop w:val="0"/>
      <w:marBottom w:val="0"/>
      <w:divBdr>
        <w:top w:val="none" w:sz="0" w:space="0" w:color="auto"/>
        <w:left w:val="none" w:sz="0" w:space="0" w:color="auto"/>
        <w:bottom w:val="none" w:sz="0" w:space="0" w:color="auto"/>
        <w:right w:val="none" w:sz="0" w:space="0" w:color="auto"/>
      </w:divBdr>
    </w:div>
    <w:div w:id="1715807598">
      <w:bodyDiv w:val="1"/>
      <w:marLeft w:val="0"/>
      <w:marRight w:val="0"/>
      <w:marTop w:val="0"/>
      <w:marBottom w:val="0"/>
      <w:divBdr>
        <w:top w:val="none" w:sz="0" w:space="0" w:color="auto"/>
        <w:left w:val="none" w:sz="0" w:space="0" w:color="auto"/>
        <w:bottom w:val="none" w:sz="0" w:space="0" w:color="auto"/>
        <w:right w:val="none" w:sz="0" w:space="0" w:color="auto"/>
      </w:divBdr>
    </w:div>
    <w:div w:id="1715888765">
      <w:bodyDiv w:val="1"/>
      <w:marLeft w:val="0"/>
      <w:marRight w:val="0"/>
      <w:marTop w:val="0"/>
      <w:marBottom w:val="0"/>
      <w:divBdr>
        <w:top w:val="none" w:sz="0" w:space="0" w:color="auto"/>
        <w:left w:val="none" w:sz="0" w:space="0" w:color="auto"/>
        <w:bottom w:val="none" w:sz="0" w:space="0" w:color="auto"/>
        <w:right w:val="none" w:sz="0" w:space="0" w:color="auto"/>
      </w:divBdr>
    </w:div>
    <w:div w:id="1715958288">
      <w:bodyDiv w:val="1"/>
      <w:marLeft w:val="0"/>
      <w:marRight w:val="0"/>
      <w:marTop w:val="0"/>
      <w:marBottom w:val="0"/>
      <w:divBdr>
        <w:top w:val="none" w:sz="0" w:space="0" w:color="auto"/>
        <w:left w:val="none" w:sz="0" w:space="0" w:color="auto"/>
        <w:bottom w:val="none" w:sz="0" w:space="0" w:color="auto"/>
        <w:right w:val="none" w:sz="0" w:space="0" w:color="auto"/>
      </w:divBdr>
    </w:div>
    <w:div w:id="1715959693">
      <w:bodyDiv w:val="1"/>
      <w:marLeft w:val="0"/>
      <w:marRight w:val="0"/>
      <w:marTop w:val="0"/>
      <w:marBottom w:val="0"/>
      <w:divBdr>
        <w:top w:val="none" w:sz="0" w:space="0" w:color="auto"/>
        <w:left w:val="none" w:sz="0" w:space="0" w:color="auto"/>
        <w:bottom w:val="none" w:sz="0" w:space="0" w:color="auto"/>
        <w:right w:val="none" w:sz="0" w:space="0" w:color="auto"/>
      </w:divBdr>
    </w:div>
    <w:div w:id="1716001728">
      <w:bodyDiv w:val="1"/>
      <w:marLeft w:val="0"/>
      <w:marRight w:val="0"/>
      <w:marTop w:val="0"/>
      <w:marBottom w:val="0"/>
      <w:divBdr>
        <w:top w:val="none" w:sz="0" w:space="0" w:color="auto"/>
        <w:left w:val="none" w:sz="0" w:space="0" w:color="auto"/>
        <w:bottom w:val="none" w:sz="0" w:space="0" w:color="auto"/>
        <w:right w:val="none" w:sz="0" w:space="0" w:color="auto"/>
      </w:divBdr>
    </w:div>
    <w:div w:id="1716075577">
      <w:bodyDiv w:val="1"/>
      <w:marLeft w:val="0"/>
      <w:marRight w:val="0"/>
      <w:marTop w:val="0"/>
      <w:marBottom w:val="0"/>
      <w:divBdr>
        <w:top w:val="none" w:sz="0" w:space="0" w:color="auto"/>
        <w:left w:val="none" w:sz="0" w:space="0" w:color="auto"/>
        <w:bottom w:val="none" w:sz="0" w:space="0" w:color="auto"/>
        <w:right w:val="none" w:sz="0" w:space="0" w:color="auto"/>
      </w:divBdr>
    </w:div>
    <w:div w:id="1716083351">
      <w:bodyDiv w:val="1"/>
      <w:marLeft w:val="0"/>
      <w:marRight w:val="0"/>
      <w:marTop w:val="0"/>
      <w:marBottom w:val="0"/>
      <w:divBdr>
        <w:top w:val="none" w:sz="0" w:space="0" w:color="auto"/>
        <w:left w:val="none" w:sz="0" w:space="0" w:color="auto"/>
        <w:bottom w:val="none" w:sz="0" w:space="0" w:color="auto"/>
        <w:right w:val="none" w:sz="0" w:space="0" w:color="auto"/>
      </w:divBdr>
    </w:div>
    <w:div w:id="1716083561">
      <w:bodyDiv w:val="1"/>
      <w:marLeft w:val="0"/>
      <w:marRight w:val="0"/>
      <w:marTop w:val="0"/>
      <w:marBottom w:val="0"/>
      <w:divBdr>
        <w:top w:val="none" w:sz="0" w:space="0" w:color="auto"/>
        <w:left w:val="none" w:sz="0" w:space="0" w:color="auto"/>
        <w:bottom w:val="none" w:sz="0" w:space="0" w:color="auto"/>
        <w:right w:val="none" w:sz="0" w:space="0" w:color="auto"/>
      </w:divBdr>
    </w:div>
    <w:div w:id="1716201602">
      <w:bodyDiv w:val="1"/>
      <w:marLeft w:val="0"/>
      <w:marRight w:val="0"/>
      <w:marTop w:val="0"/>
      <w:marBottom w:val="0"/>
      <w:divBdr>
        <w:top w:val="none" w:sz="0" w:space="0" w:color="auto"/>
        <w:left w:val="none" w:sz="0" w:space="0" w:color="auto"/>
        <w:bottom w:val="none" w:sz="0" w:space="0" w:color="auto"/>
        <w:right w:val="none" w:sz="0" w:space="0" w:color="auto"/>
      </w:divBdr>
    </w:div>
    <w:div w:id="1716272371">
      <w:bodyDiv w:val="1"/>
      <w:marLeft w:val="0"/>
      <w:marRight w:val="0"/>
      <w:marTop w:val="0"/>
      <w:marBottom w:val="0"/>
      <w:divBdr>
        <w:top w:val="none" w:sz="0" w:space="0" w:color="auto"/>
        <w:left w:val="none" w:sz="0" w:space="0" w:color="auto"/>
        <w:bottom w:val="none" w:sz="0" w:space="0" w:color="auto"/>
        <w:right w:val="none" w:sz="0" w:space="0" w:color="auto"/>
      </w:divBdr>
    </w:div>
    <w:div w:id="1716275595">
      <w:bodyDiv w:val="1"/>
      <w:marLeft w:val="0"/>
      <w:marRight w:val="0"/>
      <w:marTop w:val="0"/>
      <w:marBottom w:val="0"/>
      <w:divBdr>
        <w:top w:val="none" w:sz="0" w:space="0" w:color="auto"/>
        <w:left w:val="none" w:sz="0" w:space="0" w:color="auto"/>
        <w:bottom w:val="none" w:sz="0" w:space="0" w:color="auto"/>
        <w:right w:val="none" w:sz="0" w:space="0" w:color="auto"/>
      </w:divBdr>
    </w:div>
    <w:div w:id="1716277313">
      <w:bodyDiv w:val="1"/>
      <w:marLeft w:val="0"/>
      <w:marRight w:val="0"/>
      <w:marTop w:val="0"/>
      <w:marBottom w:val="0"/>
      <w:divBdr>
        <w:top w:val="none" w:sz="0" w:space="0" w:color="auto"/>
        <w:left w:val="none" w:sz="0" w:space="0" w:color="auto"/>
        <w:bottom w:val="none" w:sz="0" w:space="0" w:color="auto"/>
        <w:right w:val="none" w:sz="0" w:space="0" w:color="auto"/>
      </w:divBdr>
    </w:div>
    <w:div w:id="1716390838">
      <w:bodyDiv w:val="1"/>
      <w:marLeft w:val="0"/>
      <w:marRight w:val="0"/>
      <w:marTop w:val="0"/>
      <w:marBottom w:val="0"/>
      <w:divBdr>
        <w:top w:val="none" w:sz="0" w:space="0" w:color="auto"/>
        <w:left w:val="none" w:sz="0" w:space="0" w:color="auto"/>
        <w:bottom w:val="none" w:sz="0" w:space="0" w:color="auto"/>
        <w:right w:val="none" w:sz="0" w:space="0" w:color="auto"/>
      </w:divBdr>
    </w:div>
    <w:div w:id="1716541100">
      <w:bodyDiv w:val="1"/>
      <w:marLeft w:val="0"/>
      <w:marRight w:val="0"/>
      <w:marTop w:val="0"/>
      <w:marBottom w:val="0"/>
      <w:divBdr>
        <w:top w:val="none" w:sz="0" w:space="0" w:color="auto"/>
        <w:left w:val="none" w:sz="0" w:space="0" w:color="auto"/>
        <w:bottom w:val="none" w:sz="0" w:space="0" w:color="auto"/>
        <w:right w:val="none" w:sz="0" w:space="0" w:color="auto"/>
      </w:divBdr>
    </w:div>
    <w:div w:id="1716664015">
      <w:bodyDiv w:val="1"/>
      <w:marLeft w:val="0"/>
      <w:marRight w:val="0"/>
      <w:marTop w:val="0"/>
      <w:marBottom w:val="0"/>
      <w:divBdr>
        <w:top w:val="none" w:sz="0" w:space="0" w:color="auto"/>
        <w:left w:val="none" w:sz="0" w:space="0" w:color="auto"/>
        <w:bottom w:val="none" w:sz="0" w:space="0" w:color="auto"/>
        <w:right w:val="none" w:sz="0" w:space="0" w:color="auto"/>
      </w:divBdr>
    </w:div>
    <w:div w:id="1716734536">
      <w:bodyDiv w:val="1"/>
      <w:marLeft w:val="0"/>
      <w:marRight w:val="0"/>
      <w:marTop w:val="0"/>
      <w:marBottom w:val="0"/>
      <w:divBdr>
        <w:top w:val="none" w:sz="0" w:space="0" w:color="auto"/>
        <w:left w:val="none" w:sz="0" w:space="0" w:color="auto"/>
        <w:bottom w:val="none" w:sz="0" w:space="0" w:color="auto"/>
        <w:right w:val="none" w:sz="0" w:space="0" w:color="auto"/>
      </w:divBdr>
    </w:div>
    <w:div w:id="1716734910">
      <w:bodyDiv w:val="1"/>
      <w:marLeft w:val="0"/>
      <w:marRight w:val="0"/>
      <w:marTop w:val="0"/>
      <w:marBottom w:val="0"/>
      <w:divBdr>
        <w:top w:val="none" w:sz="0" w:space="0" w:color="auto"/>
        <w:left w:val="none" w:sz="0" w:space="0" w:color="auto"/>
        <w:bottom w:val="none" w:sz="0" w:space="0" w:color="auto"/>
        <w:right w:val="none" w:sz="0" w:space="0" w:color="auto"/>
      </w:divBdr>
    </w:div>
    <w:div w:id="1716735206">
      <w:bodyDiv w:val="1"/>
      <w:marLeft w:val="0"/>
      <w:marRight w:val="0"/>
      <w:marTop w:val="0"/>
      <w:marBottom w:val="0"/>
      <w:divBdr>
        <w:top w:val="none" w:sz="0" w:space="0" w:color="auto"/>
        <w:left w:val="none" w:sz="0" w:space="0" w:color="auto"/>
        <w:bottom w:val="none" w:sz="0" w:space="0" w:color="auto"/>
        <w:right w:val="none" w:sz="0" w:space="0" w:color="auto"/>
      </w:divBdr>
    </w:div>
    <w:div w:id="1716805227">
      <w:bodyDiv w:val="1"/>
      <w:marLeft w:val="0"/>
      <w:marRight w:val="0"/>
      <w:marTop w:val="0"/>
      <w:marBottom w:val="0"/>
      <w:divBdr>
        <w:top w:val="none" w:sz="0" w:space="0" w:color="auto"/>
        <w:left w:val="none" w:sz="0" w:space="0" w:color="auto"/>
        <w:bottom w:val="none" w:sz="0" w:space="0" w:color="auto"/>
        <w:right w:val="none" w:sz="0" w:space="0" w:color="auto"/>
      </w:divBdr>
    </w:div>
    <w:div w:id="1716849476">
      <w:bodyDiv w:val="1"/>
      <w:marLeft w:val="0"/>
      <w:marRight w:val="0"/>
      <w:marTop w:val="0"/>
      <w:marBottom w:val="0"/>
      <w:divBdr>
        <w:top w:val="none" w:sz="0" w:space="0" w:color="auto"/>
        <w:left w:val="none" w:sz="0" w:space="0" w:color="auto"/>
        <w:bottom w:val="none" w:sz="0" w:space="0" w:color="auto"/>
        <w:right w:val="none" w:sz="0" w:space="0" w:color="auto"/>
      </w:divBdr>
    </w:div>
    <w:div w:id="1716851267">
      <w:bodyDiv w:val="1"/>
      <w:marLeft w:val="0"/>
      <w:marRight w:val="0"/>
      <w:marTop w:val="0"/>
      <w:marBottom w:val="0"/>
      <w:divBdr>
        <w:top w:val="none" w:sz="0" w:space="0" w:color="auto"/>
        <w:left w:val="none" w:sz="0" w:space="0" w:color="auto"/>
        <w:bottom w:val="none" w:sz="0" w:space="0" w:color="auto"/>
        <w:right w:val="none" w:sz="0" w:space="0" w:color="auto"/>
      </w:divBdr>
    </w:div>
    <w:div w:id="1716856591">
      <w:bodyDiv w:val="1"/>
      <w:marLeft w:val="0"/>
      <w:marRight w:val="0"/>
      <w:marTop w:val="0"/>
      <w:marBottom w:val="0"/>
      <w:divBdr>
        <w:top w:val="none" w:sz="0" w:space="0" w:color="auto"/>
        <w:left w:val="none" w:sz="0" w:space="0" w:color="auto"/>
        <w:bottom w:val="none" w:sz="0" w:space="0" w:color="auto"/>
        <w:right w:val="none" w:sz="0" w:space="0" w:color="auto"/>
      </w:divBdr>
    </w:div>
    <w:div w:id="1716924471">
      <w:bodyDiv w:val="1"/>
      <w:marLeft w:val="0"/>
      <w:marRight w:val="0"/>
      <w:marTop w:val="0"/>
      <w:marBottom w:val="0"/>
      <w:divBdr>
        <w:top w:val="none" w:sz="0" w:space="0" w:color="auto"/>
        <w:left w:val="none" w:sz="0" w:space="0" w:color="auto"/>
        <w:bottom w:val="none" w:sz="0" w:space="0" w:color="auto"/>
        <w:right w:val="none" w:sz="0" w:space="0" w:color="auto"/>
      </w:divBdr>
    </w:div>
    <w:div w:id="1716928373">
      <w:bodyDiv w:val="1"/>
      <w:marLeft w:val="0"/>
      <w:marRight w:val="0"/>
      <w:marTop w:val="0"/>
      <w:marBottom w:val="0"/>
      <w:divBdr>
        <w:top w:val="none" w:sz="0" w:space="0" w:color="auto"/>
        <w:left w:val="none" w:sz="0" w:space="0" w:color="auto"/>
        <w:bottom w:val="none" w:sz="0" w:space="0" w:color="auto"/>
        <w:right w:val="none" w:sz="0" w:space="0" w:color="auto"/>
      </w:divBdr>
    </w:div>
    <w:div w:id="1716932416">
      <w:bodyDiv w:val="1"/>
      <w:marLeft w:val="0"/>
      <w:marRight w:val="0"/>
      <w:marTop w:val="0"/>
      <w:marBottom w:val="0"/>
      <w:divBdr>
        <w:top w:val="none" w:sz="0" w:space="0" w:color="auto"/>
        <w:left w:val="none" w:sz="0" w:space="0" w:color="auto"/>
        <w:bottom w:val="none" w:sz="0" w:space="0" w:color="auto"/>
        <w:right w:val="none" w:sz="0" w:space="0" w:color="auto"/>
      </w:divBdr>
    </w:div>
    <w:div w:id="1717125825">
      <w:bodyDiv w:val="1"/>
      <w:marLeft w:val="0"/>
      <w:marRight w:val="0"/>
      <w:marTop w:val="0"/>
      <w:marBottom w:val="0"/>
      <w:divBdr>
        <w:top w:val="none" w:sz="0" w:space="0" w:color="auto"/>
        <w:left w:val="none" w:sz="0" w:space="0" w:color="auto"/>
        <w:bottom w:val="none" w:sz="0" w:space="0" w:color="auto"/>
        <w:right w:val="none" w:sz="0" w:space="0" w:color="auto"/>
      </w:divBdr>
    </w:div>
    <w:div w:id="1717194354">
      <w:bodyDiv w:val="1"/>
      <w:marLeft w:val="0"/>
      <w:marRight w:val="0"/>
      <w:marTop w:val="0"/>
      <w:marBottom w:val="0"/>
      <w:divBdr>
        <w:top w:val="none" w:sz="0" w:space="0" w:color="auto"/>
        <w:left w:val="none" w:sz="0" w:space="0" w:color="auto"/>
        <w:bottom w:val="none" w:sz="0" w:space="0" w:color="auto"/>
        <w:right w:val="none" w:sz="0" w:space="0" w:color="auto"/>
      </w:divBdr>
    </w:div>
    <w:div w:id="1717201544">
      <w:bodyDiv w:val="1"/>
      <w:marLeft w:val="0"/>
      <w:marRight w:val="0"/>
      <w:marTop w:val="0"/>
      <w:marBottom w:val="0"/>
      <w:divBdr>
        <w:top w:val="none" w:sz="0" w:space="0" w:color="auto"/>
        <w:left w:val="none" w:sz="0" w:space="0" w:color="auto"/>
        <w:bottom w:val="none" w:sz="0" w:space="0" w:color="auto"/>
        <w:right w:val="none" w:sz="0" w:space="0" w:color="auto"/>
      </w:divBdr>
    </w:div>
    <w:div w:id="1717242667">
      <w:bodyDiv w:val="1"/>
      <w:marLeft w:val="0"/>
      <w:marRight w:val="0"/>
      <w:marTop w:val="0"/>
      <w:marBottom w:val="0"/>
      <w:divBdr>
        <w:top w:val="none" w:sz="0" w:space="0" w:color="auto"/>
        <w:left w:val="none" w:sz="0" w:space="0" w:color="auto"/>
        <w:bottom w:val="none" w:sz="0" w:space="0" w:color="auto"/>
        <w:right w:val="none" w:sz="0" w:space="0" w:color="auto"/>
      </w:divBdr>
    </w:div>
    <w:div w:id="1717388539">
      <w:bodyDiv w:val="1"/>
      <w:marLeft w:val="0"/>
      <w:marRight w:val="0"/>
      <w:marTop w:val="0"/>
      <w:marBottom w:val="0"/>
      <w:divBdr>
        <w:top w:val="none" w:sz="0" w:space="0" w:color="auto"/>
        <w:left w:val="none" w:sz="0" w:space="0" w:color="auto"/>
        <w:bottom w:val="none" w:sz="0" w:space="0" w:color="auto"/>
        <w:right w:val="none" w:sz="0" w:space="0" w:color="auto"/>
      </w:divBdr>
    </w:div>
    <w:div w:id="1717505990">
      <w:bodyDiv w:val="1"/>
      <w:marLeft w:val="0"/>
      <w:marRight w:val="0"/>
      <w:marTop w:val="0"/>
      <w:marBottom w:val="0"/>
      <w:divBdr>
        <w:top w:val="none" w:sz="0" w:space="0" w:color="auto"/>
        <w:left w:val="none" w:sz="0" w:space="0" w:color="auto"/>
        <w:bottom w:val="none" w:sz="0" w:space="0" w:color="auto"/>
        <w:right w:val="none" w:sz="0" w:space="0" w:color="auto"/>
      </w:divBdr>
    </w:div>
    <w:div w:id="1717586396">
      <w:bodyDiv w:val="1"/>
      <w:marLeft w:val="0"/>
      <w:marRight w:val="0"/>
      <w:marTop w:val="0"/>
      <w:marBottom w:val="0"/>
      <w:divBdr>
        <w:top w:val="none" w:sz="0" w:space="0" w:color="auto"/>
        <w:left w:val="none" w:sz="0" w:space="0" w:color="auto"/>
        <w:bottom w:val="none" w:sz="0" w:space="0" w:color="auto"/>
        <w:right w:val="none" w:sz="0" w:space="0" w:color="auto"/>
      </w:divBdr>
    </w:div>
    <w:div w:id="1717659870">
      <w:bodyDiv w:val="1"/>
      <w:marLeft w:val="0"/>
      <w:marRight w:val="0"/>
      <w:marTop w:val="0"/>
      <w:marBottom w:val="0"/>
      <w:divBdr>
        <w:top w:val="none" w:sz="0" w:space="0" w:color="auto"/>
        <w:left w:val="none" w:sz="0" w:space="0" w:color="auto"/>
        <w:bottom w:val="none" w:sz="0" w:space="0" w:color="auto"/>
        <w:right w:val="none" w:sz="0" w:space="0" w:color="auto"/>
      </w:divBdr>
    </w:div>
    <w:div w:id="1717662788">
      <w:bodyDiv w:val="1"/>
      <w:marLeft w:val="0"/>
      <w:marRight w:val="0"/>
      <w:marTop w:val="0"/>
      <w:marBottom w:val="0"/>
      <w:divBdr>
        <w:top w:val="none" w:sz="0" w:space="0" w:color="auto"/>
        <w:left w:val="none" w:sz="0" w:space="0" w:color="auto"/>
        <w:bottom w:val="none" w:sz="0" w:space="0" w:color="auto"/>
        <w:right w:val="none" w:sz="0" w:space="0" w:color="auto"/>
      </w:divBdr>
    </w:div>
    <w:div w:id="1717663152">
      <w:bodyDiv w:val="1"/>
      <w:marLeft w:val="0"/>
      <w:marRight w:val="0"/>
      <w:marTop w:val="0"/>
      <w:marBottom w:val="0"/>
      <w:divBdr>
        <w:top w:val="none" w:sz="0" w:space="0" w:color="auto"/>
        <w:left w:val="none" w:sz="0" w:space="0" w:color="auto"/>
        <w:bottom w:val="none" w:sz="0" w:space="0" w:color="auto"/>
        <w:right w:val="none" w:sz="0" w:space="0" w:color="auto"/>
      </w:divBdr>
    </w:div>
    <w:div w:id="1717701962">
      <w:bodyDiv w:val="1"/>
      <w:marLeft w:val="0"/>
      <w:marRight w:val="0"/>
      <w:marTop w:val="0"/>
      <w:marBottom w:val="0"/>
      <w:divBdr>
        <w:top w:val="none" w:sz="0" w:space="0" w:color="auto"/>
        <w:left w:val="none" w:sz="0" w:space="0" w:color="auto"/>
        <w:bottom w:val="none" w:sz="0" w:space="0" w:color="auto"/>
        <w:right w:val="none" w:sz="0" w:space="0" w:color="auto"/>
      </w:divBdr>
    </w:div>
    <w:div w:id="1717847520">
      <w:bodyDiv w:val="1"/>
      <w:marLeft w:val="0"/>
      <w:marRight w:val="0"/>
      <w:marTop w:val="0"/>
      <w:marBottom w:val="0"/>
      <w:divBdr>
        <w:top w:val="none" w:sz="0" w:space="0" w:color="auto"/>
        <w:left w:val="none" w:sz="0" w:space="0" w:color="auto"/>
        <w:bottom w:val="none" w:sz="0" w:space="0" w:color="auto"/>
        <w:right w:val="none" w:sz="0" w:space="0" w:color="auto"/>
      </w:divBdr>
    </w:div>
    <w:div w:id="1717848783">
      <w:bodyDiv w:val="1"/>
      <w:marLeft w:val="0"/>
      <w:marRight w:val="0"/>
      <w:marTop w:val="0"/>
      <w:marBottom w:val="0"/>
      <w:divBdr>
        <w:top w:val="none" w:sz="0" w:space="0" w:color="auto"/>
        <w:left w:val="none" w:sz="0" w:space="0" w:color="auto"/>
        <w:bottom w:val="none" w:sz="0" w:space="0" w:color="auto"/>
        <w:right w:val="none" w:sz="0" w:space="0" w:color="auto"/>
      </w:divBdr>
    </w:div>
    <w:div w:id="1717967304">
      <w:bodyDiv w:val="1"/>
      <w:marLeft w:val="0"/>
      <w:marRight w:val="0"/>
      <w:marTop w:val="0"/>
      <w:marBottom w:val="0"/>
      <w:divBdr>
        <w:top w:val="none" w:sz="0" w:space="0" w:color="auto"/>
        <w:left w:val="none" w:sz="0" w:space="0" w:color="auto"/>
        <w:bottom w:val="none" w:sz="0" w:space="0" w:color="auto"/>
        <w:right w:val="none" w:sz="0" w:space="0" w:color="auto"/>
      </w:divBdr>
    </w:div>
    <w:div w:id="1718048174">
      <w:bodyDiv w:val="1"/>
      <w:marLeft w:val="0"/>
      <w:marRight w:val="0"/>
      <w:marTop w:val="0"/>
      <w:marBottom w:val="0"/>
      <w:divBdr>
        <w:top w:val="none" w:sz="0" w:space="0" w:color="auto"/>
        <w:left w:val="none" w:sz="0" w:space="0" w:color="auto"/>
        <w:bottom w:val="none" w:sz="0" w:space="0" w:color="auto"/>
        <w:right w:val="none" w:sz="0" w:space="0" w:color="auto"/>
      </w:divBdr>
    </w:div>
    <w:div w:id="1718092448">
      <w:bodyDiv w:val="1"/>
      <w:marLeft w:val="0"/>
      <w:marRight w:val="0"/>
      <w:marTop w:val="0"/>
      <w:marBottom w:val="0"/>
      <w:divBdr>
        <w:top w:val="none" w:sz="0" w:space="0" w:color="auto"/>
        <w:left w:val="none" w:sz="0" w:space="0" w:color="auto"/>
        <w:bottom w:val="none" w:sz="0" w:space="0" w:color="auto"/>
        <w:right w:val="none" w:sz="0" w:space="0" w:color="auto"/>
      </w:divBdr>
    </w:div>
    <w:div w:id="1718116178">
      <w:bodyDiv w:val="1"/>
      <w:marLeft w:val="0"/>
      <w:marRight w:val="0"/>
      <w:marTop w:val="0"/>
      <w:marBottom w:val="0"/>
      <w:divBdr>
        <w:top w:val="none" w:sz="0" w:space="0" w:color="auto"/>
        <w:left w:val="none" w:sz="0" w:space="0" w:color="auto"/>
        <w:bottom w:val="none" w:sz="0" w:space="0" w:color="auto"/>
        <w:right w:val="none" w:sz="0" w:space="0" w:color="auto"/>
      </w:divBdr>
    </w:div>
    <w:div w:id="1718118621">
      <w:bodyDiv w:val="1"/>
      <w:marLeft w:val="0"/>
      <w:marRight w:val="0"/>
      <w:marTop w:val="0"/>
      <w:marBottom w:val="0"/>
      <w:divBdr>
        <w:top w:val="none" w:sz="0" w:space="0" w:color="auto"/>
        <w:left w:val="none" w:sz="0" w:space="0" w:color="auto"/>
        <w:bottom w:val="none" w:sz="0" w:space="0" w:color="auto"/>
        <w:right w:val="none" w:sz="0" w:space="0" w:color="auto"/>
      </w:divBdr>
    </w:div>
    <w:div w:id="1718119804">
      <w:bodyDiv w:val="1"/>
      <w:marLeft w:val="0"/>
      <w:marRight w:val="0"/>
      <w:marTop w:val="0"/>
      <w:marBottom w:val="0"/>
      <w:divBdr>
        <w:top w:val="none" w:sz="0" w:space="0" w:color="auto"/>
        <w:left w:val="none" w:sz="0" w:space="0" w:color="auto"/>
        <w:bottom w:val="none" w:sz="0" w:space="0" w:color="auto"/>
        <w:right w:val="none" w:sz="0" w:space="0" w:color="auto"/>
      </w:divBdr>
    </w:div>
    <w:div w:id="1718121284">
      <w:bodyDiv w:val="1"/>
      <w:marLeft w:val="0"/>
      <w:marRight w:val="0"/>
      <w:marTop w:val="0"/>
      <w:marBottom w:val="0"/>
      <w:divBdr>
        <w:top w:val="none" w:sz="0" w:space="0" w:color="auto"/>
        <w:left w:val="none" w:sz="0" w:space="0" w:color="auto"/>
        <w:bottom w:val="none" w:sz="0" w:space="0" w:color="auto"/>
        <w:right w:val="none" w:sz="0" w:space="0" w:color="auto"/>
      </w:divBdr>
    </w:div>
    <w:div w:id="1718162385">
      <w:bodyDiv w:val="1"/>
      <w:marLeft w:val="0"/>
      <w:marRight w:val="0"/>
      <w:marTop w:val="0"/>
      <w:marBottom w:val="0"/>
      <w:divBdr>
        <w:top w:val="none" w:sz="0" w:space="0" w:color="auto"/>
        <w:left w:val="none" w:sz="0" w:space="0" w:color="auto"/>
        <w:bottom w:val="none" w:sz="0" w:space="0" w:color="auto"/>
        <w:right w:val="none" w:sz="0" w:space="0" w:color="auto"/>
      </w:divBdr>
    </w:div>
    <w:div w:id="1718241684">
      <w:bodyDiv w:val="1"/>
      <w:marLeft w:val="0"/>
      <w:marRight w:val="0"/>
      <w:marTop w:val="0"/>
      <w:marBottom w:val="0"/>
      <w:divBdr>
        <w:top w:val="none" w:sz="0" w:space="0" w:color="auto"/>
        <w:left w:val="none" w:sz="0" w:space="0" w:color="auto"/>
        <w:bottom w:val="none" w:sz="0" w:space="0" w:color="auto"/>
        <w:right w:val="none" w:sz="0" w:space="0" w:color="auto"/>
      </w:divBdr>
    </w:div>
    <w:div w:id="1718356545">
      <w:bodyDiv w:val="1"/>
      <w:marLeft w:val="0"/>
      <w:marRight w:val="0"/>
      <w:marTop w:val="0"/>
      <w:marBottom w:val="0"/>
      <w:divBdr>
        <w:top w:val="none" w:sz="0" w:space="0" w:color="auto"/>
        <w:left w:val="none" w:sz="0" w:space="0" w:color="auto"/>
        <w:bottom w:val="none" w:sz="0" w:space="0" w:color="auto"/>
        <w:right w:val="none" w:sz="0" w:space="0" w:color="auto"/>
      </w:divBdr>
    </w:div>
    <w:div w:id="1718384403">
      <w:bodyDiv w:val="1"/>
      <w:marLeft w:val="0"/>
      <w:marRight w:val="0"/>
      <w:marTop w:val="0"/>
      <w:marBottom w:val="0"/>
      <w:divBdr>
        <w:top w:val="none" w:sz="0" w:space="0" w:color="auto"/>
        <w:left w:val="none" w:sz="0" w:space="0" w:color="auto"/>
        <w:bottom w:val="none" w:sz="0" w:space="0" w:color="auto"/>
        <w:right w:val="none" w:sz="0" w:space="0" w:color="auto"/>
      </w:divBdr>
    </w:div>
    <w:div w:id="1718429923">
      <w:bodyDiv w:val="1"/>
      <w:marLeft w:val="0"/>
      <w:marRight w:val="0"/>
      <w:marTop w:val="0"/>
      <w:marBottom w:val="0"/>
      <w:divBdr>
        <w:top w:val="none" w:sz="0" w:space="0" w:color="auto"/>
        <w:left w:val="none" w:sz="0" w:space="0" w:color="auto"/>
        <w:bottom w:val="none" w:sz="0" w:space="0" w:color="auto"/>
        <w:right w:val="none" w:sz="0" w:space="0" w:color="auto"/>
      </w:divBdr>
    </w:div>
    <w:div w:id="1718430199">
      <w:bodyDiv w:val="1"/>
      <w:marLeft w:val="0"/>
      <w:marRight w:val="0"/>
      <w:marTop w:val="0"/>
      <w:marBottom w:val="0"/>
      <w:divBdr>
        <w:top w:val="none" w:sz="0" w:space="0" w:color="auto"/>
        <w:left w:val="none" w:sz="0" w:space="0" w:color="auto"/>
        <w:bottom w:val="none" w:sz="0" w:space="0" w:color="auto"/>
        <w:right w:val="none" w:sz="0" w:space="0" w:color="auto"/>
      </w:divBdr>
    </w:div>
    <w:div w:id="1718510978">
      <w:bodyDiv w:val="1"/>
      <w:marLeft w:val="0"/>
      <w:marRight w:val="0"/>
      <w:marTop w:val="0"/>
      <w:marBottom w:val="0"/>
      <w:divBdr>
        <w:top w:val="none" w:sz="0" w:space="0" w:color="auto"/>
        <w:left w:val="none" w:sz="0" w:space="0" w:color="auto"/>
        <w:bottom w:val="none" w:sz="0" w:space="0" w:color="auto"/>
        <w:right w:val="none" w:sz="0" w:space="0" w:color="auto"/>
      </w:divBdr>
    </w:div>
    <w:div w:id="1718552464">
      <w:bodyDiv w:val="1"/>
      <w:marLeft w:val="0"/>
      <w:marRight w:val="0"/>
      <w:marTop w:val="0"/>
      <w:marBottom w:val="0"/>
      <w:divBdr>
        <w:top w:val="none" w:sz="0" w:space="0" w:color="auto"/>
        <w:left w:val="none" w:sz="0" w:space="0" w:color="auto"/>
        <w:bottom w:val="none" w:sz="0" w:space="0" w:color="auto"/>
        <w:right w:val="none" w:sz="0" w:space="0" w:color="auto"/>
      </w:divBdr>
    </w:div>
    <w:div w:id="1718704029">
      <w:bodyDiv w:val="1"/>
      <w:marLeft w:val="0"/>
      <w:marRight w:val="0"/>
      <w:marTop w:val="0"/>
      <w:marBottom w:val="0"/>
      <w:divBdr>
        <w:top w:val="none" w:sz="0" w:space="0" w:color="auto"/>
        <w:left w:val="none" w:sz="0" w:space="0" w:color="auto"/>
        <w:bottom w:val="none" w:sz="0" w:space="0" w:color="auto"/>
        <w:right w:val="none" w:sz="0" w:space="0" w:color="auto"/>
      </w:divBdr>
    </w:div>
    <w:div w:id="1718704946">
      <w:bodyDiv w:val="1"/>
      <w:marLeft w:val="0"/>
      <w:marRight w:val="0"/>
      <w:marTop w:val="0"/>
      <w:marBottom w:val="0"/>
      <w:divBdr>
        <w:top w:val="none" w:sz="0" w:space="0" w:color="auto"/>
        <w:left w:val="none" w:sz="0" w:space="0" w:color="auto"/>
        <w:bottom w:val="none" w:sz="0" w:space="0" w:color="auto"/>
        <w:right w:val="none" w:sz="0" w:space="0" w:color="auto"/>
      </w:divBdr>
    </w:div>
    <w:div w:id="1718815202">
      <w:bodyDiv w:val="1"/>
      <w:marLeft w:val="0"/>
      <w:marRight w:val="0"/>
      <w:marTop w:val="0"/>
      <w:marBottom w:val="0"/>
      <w:divBdr>
        <w:top w:val="none" w:sz="0" w:space="0" w:color="auto"/>
        <w:left w:val="none" w:sz="0" w:space="0" w:color="auto"/>
        <w:bottom w:val="none" w:sz="0" w:space="0" w:color="auto"/>
        <w:right w:val="none" w:sz="0" w:space="0" w:color="auto"/>
      </w:divBdr>
    </w:div>
    <w:div w:id="1718964637">
      <w:bodyDiv w:val="1"/>
      <w:marLeft w:val="0"/>
      <w:marRight w:val="0"/>
      <w:marTop w:val="0"/>
      <w:marBottom w:val="0"/>
      <w:divBdr>
        <w:top w:val="none" w:sz="0" w:space="0" w:color="auto"/>
        <w:left w:val="none" w:sz="0" w:space="0" w:color="auto"/>
        <w:bottom w:val="none" w:sz="0" w:space="0" w:color="auto"/>
        <w:right w:val="none" w:sz="0" w:space="0" w:color="auto"/>
      </w:divBdr>
    </w:div>
    <w:div w:id="1719012895">
      <w:bodyDiv w:val="1"/>
      <w:marLeft w:val="0"/>
      <w:marRight w:val="0"/>
      <w:marTop w:val="0"/>
      <w:marBottom w:val="0"/>
      <w:divBdr>
        <w:top w:val="none" w:sz="0" w:space="0" w:color="auto"/>
        <w:left w:val="none" w:sz="0" w:space="0" w:color="auto"/>
        <w:bottom w:val="none" w:sz="0" w:space="0" w:color="auto"/>
        <w:right w:val="none" w:sz="0" w:space="0" w:color="auto"/>
      </w:divBdr>
    </w:div>
    <w:div w:id="1719088361">
      <w:bodyDiv w:val="1"/>
      <w:marLeft w:val="0"/>
      <w:marRight w:val="0"/>
      <w:marTop w:val="0"/>
      <w:marBottom w:val="0"/>
      <w:divBdr>
        <w:top w:val="none" w:sz="0" w:space="0" w:color="auto"/>
        <w:left w:val="none" w:sz="0" w:space="0" w:color="auto"/>
        <w:bottom w:val="none" w:sz="0" w:space="0" w:color="auto"/>
        <w:right w:val="none" w:sz="0" w:space="0" w:color="auto"/>
      </w:divBdr>
    </w:div>
    <w:div w:id="1719276295">
      <w:bodyDiv w:val="1"/>
      <w:marLeft w:val="0"/>
      <w:marRight w:val="0"/>
      <w:marTop w:val="0"/>
      <w:marBottom w:val="0"/>
      <w:divBdr>
        <w:top w:val="none" w:sz="0" w:space="0" w:color="auto"/>
        <w:left w:val="none" w:sz="0" w:space="0" w:color="auto"/>
        <w:bottom w:val="none" w:sz="0" w:space="0" w:color="auto"/>
        <w:right w:val="none" w:sz="0" w:space="0" w:color="auto"/>
      </w:divBdr>
    </w:div>
    <w:div w:id="1719277958">
      <w:bodyDiv w:val="1"/>
      <w:marLeft w:val="0"/>
      <w:marRight w:val="0"/>
      <w:marTop w:val="0"/>
      <w:marBottom w:val="0"/>
      <w:divBdr>
        <w:top w:val="none" w:sz="0" w:space="0" w:color="auto"/>
        <w:left w:val="none" w:sz="0" w:space="0" w:color="auto"/>
        <w:bottom w:val="none" w:sz="0" w:space="0" w:color="auto"/>
        <w:right w:val="none" w:sz="0" w:space="0" w:color="auto"/>
      </w:divBdr>
    </w:div>
    <w:div w:id="1719279919">
      <w:bodyDiv w:val="1"/>
      <w:marLeft w:val="0"/>
      <w:marRight w:val="0"/>
      <w:marTop w:val="0"/>
      <w:marBottom w:val="0"/>
      <w:divBdr>
        <w:top w:val="none" w:sz="0" w:space="0" w:color="auto"/>
        <w:left w:val="none" w:sz="0" w:space="0" w:color="auto"/>
        <w:bottom w:val="none" w:sz="0" w:space="0" w:color="auto"/>
        <w:right w:val="none" w:sz="0" w:space="0" w:color="auto"/>
      </w:divBdr>
    </w:div>
    <w:div w:id="1719356538">
      <w:bodyDiv w:val="1"/>
      <w:marLeft w:val="0"/>
      <w:marRight w:val="0"/>
      <w:marTop w:val="0"/>
      <w:marBottom w:val="0"/>
      <w:divBdr>
        <w:top w:val="none" w:sz="0" w:space="0" w:color="auto"/>
        <w:left w:val="none" w:sz="0" w:space="0" w:color="auto"/>
        <w:bottom w:val="none" w:sz="0" w:space="0" w:color="auto"/>
        <w:right w:val="none" w:sz="0" w:space="0" w:color="auto"/>
      </w:divBdr>
    </w:div>
    <w:div w:id="1719427202">
      <w:bodyDiv w:val="1"/>
      <w:marLeft w:val="0"/>
      <w:marRight w:val="0"/>
      <w:marTop w:val="0"/>
      <w:marBottom w:val="0"/>
      <w:divBdr>
        <w:top w:val="none" w:sz="0" w:space="0" w:color="auto"/>
        <w:left w:val="none" w:sz="0" w:space="0" w:color="auto"/>
        <w:bottom w:val="none" w:sz="0" w:space="0" w:color="auto"/>
        <w:right w:val="none" w:sz="0" w:space="0" w:color="auto"/>
      </w:divBdr>
    </w:div>
    <w:div w:id="1719472766">
      <w:bodyDiv w:val="1"/>
      <w:marLeft w:val="0"/>
      <w:marRight w:val="0"/>
      <w:marTop w:val="0"/>
      <w:marBottom w:val="0"/>
      <w:divBdr>
        <w:top w:val="none" w:sz="0" w:space="0" w:color="auto"/>
        <w:left w:val="none" w:sz="0" w:space="0" w:color="auto"/>
        <w:bottom w:val="none" w:sz="0" w:space="0" w:color="auto"/>
        <w:right w:val="none" w:sz="0" w:space="0" w:color="auto"/>
      </w:divBdr>
    </w:div>
    <w:div w:id="1719473833">
      <w:bodyDiv w:val="1"/>
      <w:marLeft w:val="0"/>
      <w:marRight w:val="0"/>
      <w:marTop w:val="0"/>
      <w:marBottom w:val="0"/>
      <w:divBdr>
        <w:top w:val="none" w:sz="0" w:space="0" w:color="auto"/>
        <w:left w:val="none" w:sz="0" w:space="0" w:color="auto"/>
        <w:bottom w:val="none" w:sz="0" w:space="0" w:color="auto"/>
        <w:right w:val="none" w:sz="0" w:space="0" w:color="auto"/>
      </w:divBdr>
    </w:div>
    <w:div w:id="1719476358">
      <w:bodyDiv w:val="1"/>
      <w:marLeft w:val="0"/>
      <w:marRight w:val="0"/>
      <w:marTop w:val="0"/>
      <w:marBottom w:val="0"/>
      <w:divBdr>
        <w:top w:val="none" w:sz="0" w:space="0" w:color="auto"/>
        <w:left w:val="none" w:sz="0" w:space="0" w:color="auto"/>
        <w:bottom w:val="none" w:sz="0" w:space="0" w:color="auto"/>
        <w:right w:val="none" w:sz="0" w:space="0" w:color="auto"/>
      </w:divBdr>
    </w:div>
    <w:div w:id="1719622823">
      <w:bodyDiv w:val="1"/>
      <w:marLeft w:val="0"/>
      <w:marRight w:val="0"/>
      <w:marTop w:val="0"/>
      <w:marBottom w:val="0"/>
      <w:divBdr>
        <w:top w:val="none" w:sz="0" w:space="0" w:color="auto"/>
        <w:left w:val="none" w:sz="0" w:space="0" w:color="auto"/>
        <w:bottom w:val="none" w:sz="0" w:space="0" w:color="auto"/>
        <w:right w:val="none" w:sz="0" w:space="0" w:color="auto"/>
      </w:divBdr>
    </w:div>
    <w:div w:id="1719626500">
      <w:bodyDiv w:val="1"/>
      <w:marLeft w:val="0"/>
      <w:marRight w:val="0"/>
      <w:marTop w:val="0"/>
      <w:marBottom w:val="0"/>
      <w:divBdr>
        <w:top w:val="none" w:sz="0" w:space="0" w:color="auto"/>
        <w:left w:val="none" w:sz="0" w:space="0" w:color="auto"/>
        <w:bottom w:val="none" w:sz="0" w:space="0" w:color="auto"/>
        <w:right w:val="none" w:sz="0" w:space="0" w:color="auto"/>
      </w:divBdr>
    </w:div>
    <w:div w:id="1719626736">
      <w:bodyDiv w:val="1"/>
      <w:marLeft w:val="0"/>
      <w:marRight w:val="0"/>
      <w:marTop w:val="0"/>
      <w:marBottom w:val="0"/>
      <w:divBdr>
        <w:top w:val="none" w:sz="0" w:space="0" w:color="auto"/>
        <w:left w:val="none" w:sz="0" w:space="0" w:color="auto"/>
        <w:bottom w:val="none" w:sz="0" w:space="0" w:color="auto"/>
        <w:right w:val="none" w:sz="0" w:space="0" w:color="auto"/>
      </w:divBdr>
    </w:div>
    <w:div w:id="1719670036">
      <w:bodyDiv w:val="1"/>
      <w:marLeft w:val="0"/>
      <w:marRight w:val="0"/>
      <w:marTop w:val="0"/>
      <w:marBottom w:val="0"/>
      <w:divBdr>
        <w:top w:val="none" w:sz="0" w:space="0" w:color="auto"/>
        <w:left w:val="none" w:sz="0" w:space="0" w:color="auto"/>
        <w:bottom w:val="none" w:sz="0" w:space="0" w:color="auto"/>
        <w:right w:val="none" w:sz="0" w:space="0" w:color="auto"/>
      </w:divBdr>
    </w:div>
    <w:div w:id="1719817375">
      <w:bodyDiv w:val="1"/>
      <w:marLeft w:val="0"/>
      <w:marRight w:val="0"/>
      <w:marTop w:val="0"/>
      <w:marBottom w:val="0"/>
      <w:divBdr>
        <w:top w:val="none" w:sz="0" w:space="0" w:color="auto"/>
        <w:left w:val="none" w:sz="0" w:space="0" w:color="auto"/>
        <w:bottom w:val="none" w:sz="0" w:space="0" w:color="auto"/>
        <w:right w:val="none" w:sz="0" w:space="0" w:color="auto"/>
      </w:divBdr>
    </w:div>
    <w:div w:id="1719890016">
      <w:bodyDiv w:val="1"/>
      <w:marLeft w:val="0"/>
      <w:marRight w:val="0"/>
      <w:marTop w:val="0"/>
      <w:marBottom w:val="0"/>
      <w:divBdr>
        <w:top w:val="none" w:sz="0" w:space="0" w:color="auto"/>
        <w:left w:val="none" w:sz="0" w:space="0" w:color="auto"/>
        <w:bottom w:val="none" w:sz="0" w:space="0" w:color="auto"/>
        <w:right w:val="none" w:sz="0" w:space="0" w:color="auto"/>
      </w:divBdr>
    </w:div>
    <w:div w:id="1719935805">
      <w:bodyDiv w:val="1"/>
      <w:marLeft w:val="0"/>
      <w:marRight w:val="0"/>
      <w:marTop w:val="0"/>
      <w:marBottom w:val="0"/>
      <w:divBdr>
        <w:top w:val="none" w:sz="0" w:space="0" w:color="auto"/>
        <w:left w:val="none" w:sz="0" w:space="0" w:color="auto"/>
        <w:bottom w:val="none" w:sz="0" w:space="0" w:color="auto"/>
        <w:right w:val="none" w:sz="0" w:space="0" w:color="auto"/>
      </w:divBdr>
    </w:div>
    <w:div w:id="1720006243">
      <w:bodyDiv w:val="1"/>
      <w:marLeft w:val="0"/>
      <w:marRight w:val="0"/>
      <w:marTop w:val="0"/>
      <w:marBottom w:val="0"/>
      <w:divBdr>
        <w:top w:val="none" w:sz="0" w:space="0" w:color="auto"/>
        <w:left w:val="none" w:sz="0" w:space="0" w:color="auto"/>
        <w:bottom w:val="none" w:sz="0" w:space="0" w:color="auto"/>
        <w:right w:val="none" w:sz="0" w:space="0" w:color="auto"/>
      </w:divBdr>
    </w:div>
    <w:div w:id="1720124218">
      <w:bodyDiv w:val="1"/>
      <w:marLeft w:val="0"/>
      <w:marRight w:val="0"/>
      <w:marTop w:val="0"/>
      <w:marBottom w:val="0"/>
      <w:divBdr>
        <w:top w:val="none" w:sz="0" w:space="0" w:color="auto"/>
        <w:left w:val="none" w:sz="0" w:space="0" w:color="auto"/>
        <w:bottom w:val="none" w:sz="0" w:space="0" w:color="auto"/>
        <w:right w:val="none" w:sz="0" w:space="0" w:color="auto"/>
      </w:divBdr>
    </w:div>
    <w:div w:id="1720133205">
      <w:bodyDiv w:val="1"/>
      <w:marLeft w:val="0"/>
      <w:marRight w:val="0"/>
      <w:marTop w:val="0"/>
      <w:marBottom w:val="0"/>
      <w:divBdr>
        <w:top w:val="none" w:sz="0" w:space="0" w:color="auto"/>
        <w:left w:val="none" w:sz="0" w:space="0" w:color="auto"/>
        <w:bottom w:val="none" w:sz="0" w:space="0" w:color="auto"/>
        <w:right w:val="none" w:sz="0" w:space="0" w:color="auto"/>
      </w:divBdr>
    </w:div>
    <w:div w:id="1720279863">
      <w:bodyDiv w:val="1"/>
      <w:marLeft w:val="0"/>
      <w:marRight w:val="0"/>
      <w:marTop w:val="0"/>
      <w:marBottom w:val="0"/>
      <w:divBdr>
        <w:top w:val="none" w:sz="0" w:space="0" w:color="auto"/>
        <w:left w:val="none" w:sz="0" w:space="0" w:color="auto"/>
        <w:bottom w:val="none" w:sz="0" w:space="0" w:color="auto"/>
        <w:right w:val="none" w:sz="0" w:space="0" w:color="auto"/>
      </w:divBdr>
    </w:div>
    <w:div w:id="1720323670">
      <w:bodyDiv w:val="1"/>
      <w:marLeft w:val="0"/>
      <w:marRight w:val="0"/>
      <w:marTop w:val="0"/>
      <w:marBottom w:val="0"/>
      <w:divBdr>
        <w:top w:val="none" w:sz="0" w:space="0" w:color="auto"/>
        <w:left w:val="none" w:sz="0" w:space="0" w:color="auto"/>
        <w:bottom w:val="none" w:sz="0" w:space="0" w:color="auto"/>
        <w:right w:val="none" w:sz="0" w:space="0" w:color="auto"/>
      </w:divBdr>
    </w:div>
    <w:div w:id="1720350836">
      <w:bodyDiv w:val="1"/>
      <w:marLeft w:val="0"/>
      <w:marRight w:val="0"/>
      <w:marTop w:val="0"/>
      <w:marBottom w:val="0"/>
      <w:divBdr>
        <w:top w:val="none" w:sz="0" w:space="0" w:color="auto"/>
        <w:left w:val="none" w:sz="0" w:space="0" w:color="auto"/>
        <w:bottom w:val="none" w:sz="0" w:space="0" w:color="auto"/>
        <w:right w:val="none" w:sz="0" w:space="0" w:color="auto"/>
      </w:divBdr>
    </w:div>
    <w:div w:id="1720587399">
      <w:bodyDiv w:val="1"/>
      <w:marLeft w:val="0"/>
      <w:marRight w:val="0"/>
      <w:marTop w:val="0"/>
      <w:marBottom w:val="0"/>
      <w:divBdr>
        <w:top w:val="none" w:sz="0" w:space="0" w:color="auto"/>
        <w:left w:val="none" w:sz="0" w:space="0" w:color="auto"/>
        <w:bottom w:val="none" w:sz="0" w:space="0" w:color="auto"/>
        <w:right w:val="none" w:sz="0" w:space="0" w:color="auto"/>
      </w:divBdr>
    </w:div>
    <w:div w:id="1720591381">
      <w:bodyDiv w:val="1"/>
      <w:marLeft w:val="0"/>
      <w:marRight w:val="0"/>
      <w:marTop w:val="0"/>
      <w:marBottom w:val="0"/>
      <w:divBdr>
        <w:top w:val="none" w:sz="0" w:space="0" w:color="auto"/>
        <w:left w:val="none" w:sz="0" w:space="0" w:color="auto"/>
        <w:bottom w:val="none" w:sz="0" w:space="0" w:color="auto"/>
        <w:right w:val="none" w:sz="0" w:space="0" w:color="auto"/>
      </w:divBdr>
    </w:div>
    <w:div w:id="1720855380">
      <w:bodyDiv w:val="1"/>
      <w:marLeft w:val="0"/>
      <w:marRight w:val="0"/>
      <w:marTop w:val="0"/>
      <w:marBottom w:val="0"/>
      <w:divBdr>
        <w:top w:val="none" w:sz="0" w:space="0" w:color="auto"/>
        <w:left w:val="none" w:sz="0" w:space="0" w:color="auto"/>
        <w:bottom w:val="none" w:sz="0" w:space="0" w:color="auto"/>
        <w:right w:val="none" w:sz="0" w:space="0" w:color="auto"/>
      </w:divBdr>
    </w:div>
    <w:div w:id="1720856434">
      <w:bodyDiv w:val="1"/>
      <w:marLeft w:val="0"/>
      <w:marRight w:val="0"/>
      <w:marTop w:val="0"/>
      <w:marBottom w:val="0"/>
      <w:divBdr>
        <w:top w:val="none" w:sz="0" w:space="0" w:color="auto"/>
        <w:left w:val="none" w:sz="0" w:space="0" w:color="auto"/>
        <w:bottom w:val="none" w:sz="0" w:space="0" w:color="auto"/>
        <w:right w:val="none" w:sz="0" w:space="0" w:color="auto"/>
      </w:divBdr>
    </w:div>
    <w:div w:id="1720980895">
      <w:bodyDiv w:val="1"/>
      <w:marLeft w:val="0"/>
      <w:marRight w:val="0"/>
      <w:marTop w:val="0"/>
      <w:marBottom w:val="0"/>
      <w:divBdr>
        <w:top w:val="none" w:sz="0" w:space="0" w:color="auto"/>
        <w:left w:val="none" w:sz="0" w:space="0" w:color="auto"/>
        <w:bottom w:val="none" w:sz="0" w:space="0" w:color="auto"/>
        <w:right w:val="none" w:sz="0" w:space="0" w:color="auto"/>
      </w:divBdr>
    </w:div>
    <w:div w:id="1721050312">
      <w:bodyDiv w:val="1"/>
      <w:marLeft w:val="0"/>
      <w:marRight w:val="0"/>
      <w:marTop w:val="0"/>
      <w:marBottom w:val="0"/>
      <w:divBdr>
        <w:top w:val="none" w:sz="0" w:space="0" w:color="auto"/>
        <w:left w:val="none" w:sz="0" w:space="0" w:color="auto"/>
        <w:bottom w:val="none" w:sz="0" w:space="0" w:color="auto"/>
        <w:right w:val="none" w:sz="0" w:space="0" w:color="auto"/>
      </w:divBdr>
    </w:div>
    <w:div w:id="1721057072">
      <w:bodyDiv w:val="1"/>
      <w:marLeft w:val="0"/>
      <w:marRight w:val="0"/>
      <w:marTop w:val="0"/>
      <w:marBottom w:val="0"/>
      <w:divBdr>
        <w:top w:val="none" w:sz="0" w:space="0" w:color="auto"/>
        <w:left w:val="none" w:sz="0" w:space="0" w:color="auto"/>
        <w:bottom w:val="none" w:sz="0" w:space="0" w:color="auto"/>
        <w:right w:val="none" w:sz="0" w:space="0" w:color="auto"/>
      </w:divBdr>
    </w:div>
    <w:div w:id="1721322297">
      <w:bodyDiv w:val="1"/>
      <w:marLeft w:val="0"/>
      <w:marRight w:val="0"/>
      <w:marTop w:val="0"/>
      <w:marBottom w:val="0"/>
      <w:divBdr>
        <w:top w:val="none" w:sz="0" w:space="0" w:color="auto"/>
        <w:left w:val="none" w:sz="0" w:space="0" w:color="auto"/>
        <w:bottom w:val="none" w:sz="0" w:space="0" w:color="auto"/>
        <w:right w:val="none" w:sz="0" w:space="0" w:color="auto"/>
      </w:divBdr>
    </w:div>
    <w:div w:id="1721325530">
      <w:bodyDiv w:val="1"/>
      <w:marLeft w:val="0"/>
      <w:marRight w:val="0"/>
      <w:marTop w:val="0"/>
      <w:marBottom w:val="0"/>
      <w:divBdr>
        <w:top w:val="none" w:sz="0" w:space="0" w:color="auto"/>
        <w:left w:val="none" w:sz="0" w:space="0" w:color="auto"/>
        <w:bottom w:val="none" w:sz="0" w:space="0" w:color="auto"/>
        <w:right w:val="none" w:sz="0" w:space="0" w:color="auto"/>
      </w:divBdr>
    </w:div>
    <w:div w:id="1721397477">
      <w:bodyDiv w:val="1"/>
      <w:marLeft w:val="0"/>
      <w:marRight w:val="0"/>
      <w:marTop w:val="0"/>
      <w:marBottom w:val="0"/>
      <w:divBdr>
        <w:top w:val="none" w:sz="0" w:space="0" w:color="auto"/>
        <w:left w:val="none" w:sz="0" w:space="0" w:color="auto"/>
        <w:bottom w:val="none" w:sz="0" w:space="0" w:color="auto"/>
        <w:right w:val="none" w:sz="0" w:space="0" w:color="auto"/>
      </w:divBdr>
    </w:div>
    <w:div w:id="1721440032">
      <w:bodyDiv w:val="1"/>
      <w:marLeft w:val="0"/>
      <w:marRight w:val="0"/>
      <w:marTop w:val="0"/>
      <w:marBottom w:val="0"/>
      <w:divBdr>
        <w:top w:val="none" w:sz="0" w:space="0" w:color="auto"/>
        <w:left w:val="none" w:sz="0" w:space="0" w:color="auto"/>
        <w:bottom w:val="none" w:sz="0" w:space="0" w:color="auto"/>
        <w:right w:val="none" w:sz="0" w:space="0" w:color="auto"/>
      </w:divBdr>
    </w:div>
    <w:div w:id="1721637640">
      <w:bodyDiv w:val="1"/>
      <w:marLeft w:val="0"/>
      <w:marRight w:val="0"/>
      <w:marTop w:val="0"/>
      <w:marBottom w:val="0"/>
      <w:divBdr>
        <w:top w:val="none" w:sz="0" w:space="0" w:color="auto"/>
        <w:left w:val="none" w:sz="0" w:space="0" w:color="auto"/>
        <w:bottom w:val="none" w:sz="0" w:space="0" w:color="auto"/>
        <w:right w:val="none" w:sz="0" w:space="0" w:color="auto"/>
      </w:divBdr>
    </w:div>
    <w:div w:id="1721707475">
      <w:bodyDiv w:val="1"/>
      <w:marLeft w:val="0"/>
      <w:marRight w:val="0"/>
      <w:marTop w:val="0"/>
      <w:marBottom w:val="0"/>
      <w:divBdr>
        <w:top w:val="none" w:sz="0" w:space="0" w:color="auto"/>
        <w:left w:val="none" w:sz="0" w:space="0" w:color="auto"/>
        <w:bottom w:val="none" w:sz="0" w:space="0" w:color="auto"/>
        <w:right w:val="none" w:sz="0" w:space="0" w:color="auto"/>
      </w:divBdr>
    </w:div>
    <w:div w:id="1721708559">
      <w:bodyDiv w:val="1"/>
      <w:marLeft w:val="0"/>
      <w:marRight w:val="0"/>
      <w:marTop w:val="0"/>
      <w:marBottom w:val="0"/>
      <w:divBdr>
        <w:top w:val="none" w:sz="0" w:space="0" w:color="auto"/>
        <w:left w:val="none" w:sz="0" w:space="0" w:color="auto"/>
        <w:bottom w:val="none" w:sz="0" w:space="0" w:color="auto"/>
        <w:right w:val="none" w:sz="0" w:space="0" w:color="auto"/>
      </w:divBdr>
    </w:div>
    <w:div w:id="1721711158">
      <w:bodyDiv w:val="1"/>
      <w:marLeft w:val="0"/>
      <w:marRight w:val="0"/>
      <w:marTop w:val="0"/>
      <w:marBottom w:val="0"/>
      <w:divBdr>
        <w:top w:val="none" w:sz="0" w:space="0" w:color="auto"/>
        <w:left w:val="none" w:sz="0" w:space="0" w:color="auto"/>
        <w:bottom w:val="none" w:sz="0" w:space="0" w:color="auto"/>
        <w:right w:val="none" w:sz="0" w:space="0" w:color="auto"/>
      </w:divBdr>
    </w:div>
    <w:div w:id="1721788318">
      <w:bodyDiv w:val="1"/>
      <w:marLeft w:val="0"/>
      <w:marRight w:val="0"/>
      <w:marTop w:val="0"/>
      <w:marBottom w:val="0"/>
      <w:divBdr>
        <w:top w:val="none" w:sz="0" w:space="0" w:color="auto"/>
        <w:left w:val="none" w:sz="0" w:space="0" w:color="auto"/>
        <w:bottom w:val="none" w:sz="0" w:space="0" w:color="auto"/>
        <w:right w:val="none" w:sz="0" w:space="0" w:color="auto"/>
      </w:divBdr>
    </w:div>
    <w:div w:id="1721898928">
      <w:bodyDiv w:val="1"/>
      <w:marLeft w:val="0"/>
      <w:marRight w:val="0"/>
      <w:marTop w:val="0"/>
      <w:marBottom w:val="0"/>
      <w:divBdr>
        <w:top w:val="none" w:sz="0" w:space="0" w:color="auto"/>
        <w:left w:val="none" w:sz="0" w:space="0" w:color="auto"/>
        <w:bottom w:val="none" w:sz="0" w:space="0" w:color="auto"/>
        <w:right w:val="none" w:sz="0" w:space="0" w:color="auto"/>
      </w:divBdr>
    </w:div>
    <w:div w:id="1721973948">
      <w:bodyDiv w:val="1"/>
      <w:marLeft w:val="0"/>
      <w:marRight w:val="0"/>
      <w:marTop w:val="0"/>
      <w:marBottom w:val="0"/>
      <w:divBdr>
        <w:top w:val="none" w:sz="0" w:space="0" w:color="auto"/>
        <w:left w:val="none" w:sz="0" w:space="0" w:color="auto"/>
        <w:bottom w:val="none" w:sz="0" w:space="0" w:color="auto"/>
        <w:right w:val="none" w:sz="0" w:space="0" w:color="auto"/>
      </w:divBdr>
    </w:div>
    <w:div w:id="1722165805">
      <w:bodyDiv w:val="1"/>
      <w:marLeft w:val="0"/>
      <w:marRight w:val="0"/>
      <w:marTop w:val="0"/>
      <w:marBottom w:val="0"/>
      <w:divBdr>
        <w:top w:val="none" w:sz="0" w:space="0" w:color="auto"/>
        <w:left w:val="none" w:sz="0" w:space="0" w:color="auto"/>
        <w:bottom w:val="none" w:sz="0" w:space="0" w:color="auto"/>
        <w:right w:val="none" w:sz="0" w:space="0" w:color="auto"/>
      </w:divBdr>
    </w:div>
    <w:div w:id="1722172214">
      <w:bodyDiv w:val="1"/>
      <w:marLeft w:val="0"/>
      <w:marRight w:val="0"/>
      <w:marTop w:val="0"/>
      <w:marBottom w:val="0"/>
      <w:divBdr>
        <w:top w:val="none" w:sz="0" w:space="0" w:color="auto"/>
        <w:left w:val="none" w:sz="0" w:space="0" w:color="auto"/>
        <w:bottom w:val="none" w:sz="0" w:space="0" w:color="auto"/>
        <w:right w:val="none" w:sz="0" w:space="0" w:color="auto"/>
      </w:divBdr>
    </w:div>
    <w:div w:id="1722241014">
      <w:bodyDiv w:val="1"/>
      <w:marLeft w:val="0"/>
      <w:marRight w:val="0"/>
      <w:marTop w:val="0"/>
      <w:marBottom w:val="0"/>
      <w:divBdr>
        <w:top w:val="none" w:sz="0" w:space="0" w:color="auto"/>
        <w:left w:val="none" w:sz="0" w:space="0" w:color="auto"/>
        <w:bottom w:val="none" w:sz="0" w:space="0" w:color="auto"/>
        <w:right w:val="none" w:sz="0" w:space="0" w:color="auto"/>
      </w:divBdr>
    </w:div>
    <w:div w:id="1722291265">
      <w:bodyDiv w:val="1"/>
      <w:marLeft w:val="0"/>
      <w:marRight w:val="0"/>
      <w:marTop w:val="0"/>
      <w:marBottom w:val="0"/>
      <w:divBdr>
        <w:top w:val="none" w:sz="0" w:space="0" w:color="auto"/>
        <w:left w:val="none" w:sz="0" w:space="0" w:color="auto"/>
        <w:bottom w:val="none" w:sz="0" w:space="0" w:color="auto"/>
        <w:right w:val="none" w:sz="0" w:space="0" w:color="auto"/>
      </w:divBdr>
    </w:div>
    <w:div w:id="1722484937">
      <w:bodyDiv w:val="1"/>
      <w:marLeft w:val="0"/>
      <w:marRight w:val="0"/>
      <w:marTop w:val="0"/>
      <w:marBottom w:val="0"/>
      <w:divBdr>
        <w:top w:val="none" w:sz="0" w:space="0" w:color="auto"/>
        <w:left w:val="none" w:sz="0" w:space="0" w:color="auto"/>
        <w:bottom w:val="none" w:sz="0" w:space="0" w:color="auto"/>
        <w:right w:val="none" w:sz="0" w:space="0" w:color="auto"/>
      </w:divBdr>
    </w:div>
    <w:div w:id="1722628400">
      <w:bodyDiv w:val="1"/>
      <w:marLeft w:val="0"/>
      <w:marRight w:val="0"/>
      <w:marTop w:val="0"/>
      <w:marBottom w:val="0"/>
      <w:divBdr>
        <w:top w:val="none" w:sz="0" w:space="0" w:color="auto"/>
        <w:left w:val="none" w:sz="0" w:space="0" w:color="auto"/>
        <w:bottom w:val="none" w:sz="0" w:space="0" w:color="auto"/>
        <w:right w:val="none" w:sz="0" w:space="0" w:color="auto"/>
      </w:divBdr>
    </w:div>
    <w:div w:id="1722631759">
      <w:bodyDiv w:val="1"/>
      <w:marLeft w:val="0"/>
      <w:marRight w:val="0"/>
      <w:marTop w:val="0"/>
      <w:marBottom w:val="0"/>
      <w:divBdr>
        <w:top w:val="none" w:sz="0" w:space="0" w:color="auto"/>
        <w:left w:val="none" w:sz="0" w:space="0" w:color="auto"/>
        <w:bottom w:val="none" w:sz="0" w:space="0" w:color="auto"/>
        <w:right w:val="none" w:sz="0" w:space="0" w:color="auto"/>
      </w:divBdr>
    </w:div>
    <w:div w:id="1722709229">
      <w:bodyDiv w:val="1"/>
      <w:marLeft w:val="0"/>
      <w:marRight w:val="0"/>
      <w:marTop w:val="0"/>
      <w:marBottom w:val="0"/>
      <w:divBdr>
        <w:top w:val="none" w:sz="0" w:space="0" w:color="auto"/>
        <w:left w:val="none" w:sz="0" w:space="0" w:color="auto"/>
        <w:bottom w:val="none" w:sz="0" w:space="0" w:color="auto"/>
        <w:right w:val="none" w:sz="0" w:space="0" w:color="auto"/>
      </w:divBdr>
    </w:div>
    <w:div w:id="1723089852">
      <w:bodyDiv w:val="1"/>
      <w:marLeft w:val="0"/>
      <w:marRight w:val="0"/>
      <w:marTop w:val="0"/>
      <w:marBottom w:val="0"/>
      <w:divBdr>
        <w:top w:val="none" w:sz="0" w:space="0" w:color="auto"/>
        <w:left w:val="none" w:sz="0" w:space="0" w:color="auto"/>
        <w:bottom w:val="none" w:sz="0" w:space="0" w:color="auto"/>
        <w:right w:val="none" w:sz="0" w:space="0" w:color="auto"/>
      </w:divBdr>
    </w:div>
    <w:div w:id="1723092490">
      <w:bodyDiv w:val="1"/>
      <w:marLeft w:val="0"/>
      <w:marRight w:val="0"/>
      <w:marTop w:val="0"/>
      <w:marBottom w:val="0"/>
      <w:divBdr>
        <w:top w:val="none" w:sz="0" w:space="0" w:color="auto"/>
        <w:left w:val="none" w:sz="0" w:space="0" w:color="auto"/>
        <w:bottom w:val="none" w:sz="0" w:space="0" w:color="auto"/>
        <w:right w:val="none" w:sz="0" w:space="0" w:color="auto"/>
      </w:divBdr>
    </w:div>
    <w:div w:id="1723285001">
      <w:bodyDiv w:val="1"/>
      <w:marLeft w:val="0"/>
      <w:marRight w:val="0"/>
      <w:marTop w:val="0"/>
      <w:marBottom w:val="0"/>
      <w:divBdr>
        <w:top w:val="none" w:sz="0" w:space="0" w:color="auto"/>
        <w:left w:val="none" w:sz="0" w:space="0" w:color="auto"/>
        <w:bottom w:val="none" w:sz="0" w:space="0" w:color="auto"/>
        <w:right w:val="none" w:sz="0" w:space="0" w:color="auto"/>
      </w:divBdr>
    </w:div>
    <w:div w:id="1723287081">
      <w:bodyDiv w:val="1"/>
      <w:marLeft w:val="0"/>
      <w:marRight w:val="0"/>
      <w:marTop w:val="0"/>
      <w:marBottom w:val="0"/>
      <w:divBdr>
        <w:top w:val="none" w:sz="0" w:space="0" w:color="auto"/>
        <w:left w:val="none" w:sz="0" w:space="0" w:color="auto"/>
        <w:bottom w:val="none" w:sz="0" w:space="0" w:color="auto"/>
        <w:right w:val="none" w:sz="0" w:space="0" w:color="auto"/>
      </w:divBdr>
    </w:div>
    <w:div w:id="1723362627">
      <w:bodyDiv w:val="1"/>
      <w:marLeft w:val="0"/>
      <w:marRight w:val="0"/>
      <w:marTop w:val="0"/>
      <w:marBottom w:val="0"/>
      <w:divBdr>
        <w:top w:val="none" w:sz="0" w:space="0" w:color="auto"/>
        <w:left w:val="none" w:sz="0" w:space="0" w:color="auto"/>
        <w:bottom w:val="none" w:sz="0" w:space="0" w:color="auto"/>
        <w:right w:val="none" w:sz="0" w:space="0" w:color="auto"/>
      </w:divBdr>
    </w:div>
    <w:div w:id="1723403198">
      <w:bodyDiv w:val="1"/>
      <w:marLeft w:val="0"/>
      <w:marRight w:val="0"/>
      <w:marTop w:val="0"/>
      <w:marBottom w:val="0"/>
      <w:divBdr>
        <w:top w:val="none" w:sz="0" w:space="0" w:color="auto"/>
        <w:left w:val="none" w:sz="0" w:space="0" w:color="auto"/>
        <w:bottom w:val="none" w:sz="0" w:space="0" w:color="auto"/>
        <w:right w:val="none" w:sz="0" w:space="0" w:color="auto"/>
      </w:divBdr>
    </w:div>
    <w:div w:id="1723599822">
      <w:bodyDiv w:val="1"/>
      <w:marLeft w:val="0"/>
      <w:marRight w:val="0"/>
      <w:marTop w:val="0"/>
      <w:marBottom w:val="0"/>
      <w:divBdr>
        <w:top w:val="none" w:sz="0" w:space="0" w:color="auto"/>
        <w:left w:val="none" w:sz="0" w:space="0" w:color="auto"/>
        <w:bottom w:val="none" w:sz="0" w:space="0" w:color="auto"/>
        <w:right w:val="none" w:sz="0" w:space="0" w:color="auto"/>
      </w:divBdr>
    </w:div>
    <w:div w:id="1723601168">
      <w:bodyDiv w:val="1"/>
      <w:marLeft w:val="0"/>
      <w:marRight w:val="0"/>
      <w:marTop w:val="0"/>
      <w:marBottom w:val="0"/>
      <w:divBdr>
        <w:top w:val="none" w:sz="0" w:space="0" w:color="auto"/>
        <w:left w:val="none" w:sz="0" w:space="0" w:color="auto"/>
        <w:bottom w:val="none" w:sz="0" w:space="0" w:color="auto"/>
        <w:right w:val="none" w:sz="0" w:space="0" w:color="auto"/>
      </w:divBdr>
    </w:div>
    <w:div w:id="1723627107">
      <w:bodyDiv w:val="1"/>
      <w:marLeft w:val="0"/>
      <w:marRight w:val="0"/>
      <w:marTop w:val="0"/>
      <w:marBottom w:val="0"/>
      <w:divBdr>
        <w:top w:val="none" w:sz="0" w:space="0" w:color="auto"/>
        <w:left w:val="none" w:sz="0" w:space="0" w:color="auto"/>
        <w:bottom w:val="none" w:sz="0" w:space="0" w:color="auto"/>
        <w:right w:val="none" w:sz="0" w:space="0" w:color="auto"/>
      </w:divBdr>
    </w:div>
    <w:div w:id="1723822174">
      <w:bodyDiv w:val="1"/>
      <w:marLeft w:val="0"/>
      <w:marRight w:val="0"/>
      <w:marTop w:val="0"/>
      <w:marBottom w:val="0"/>
      <w:divBdr>
        <w:top w:val="none" w:sz="0" w:space="0" w:color="auto"/>
        <w:left w:val="none" w:sz="0" w:space="0" w:color="auto"/>
        <w:bottom w:val="none" w:sz="0" w:space="0" w:color="auto"/>
        <w:right w:val="none" w:sz="0" w:space="0" w:color="auto"/>
      </w:divBdr>
    </w:div>
    <w:div w:id="1723870920">
      <w:bodyDiv w:val="1"/>
      <w:marLeft w:val="0"/>
      <w:marRight w:val="0"/>
      <w:marTop w:val="0"/>
      <w:marBottom w:val="0"/>
      <w:divBdr>
        <w:top w:val="none" w:sz="0" w:space="0" w:color="auto"/>
        <w:left w:val="none" w:sz="0" w:space="0" w:color="auto"/>
        <w:bottom w:val="none" w:sz="0" w:space="0" w:color="auto"/>
        <w:right w:val="none" w:sz="0" w:space="0" w:color="auto"/>
      </w:divBdr>
    </w:div>
    <w:div w:id="1723871367">
      <w:bodyDiv w:val="1"/>
      <w:marLeft w:val="0"/>
      <w:marRight w:val="0"/>
      <w:marTop w:val="0"/>
      <w:marBottom w:val="0"/>
      <w:divBdr>
        <w:top w:val="none" w:sz="0" w:space="0" w:color="auto"/>
        <w:left w:val="none" w:sz="0" w:space="0" w:color="auto"/>
        <w:bottom w:val="none" w:sz="0" w:space="0" w:color="auto"/>
        <w:right w:val="none" w:sz="0" w:space="0" w:color="auto"/>
      </w:divBdr>
    </w:div>
    <w:div w:id="1723941103">
      <w:bodyDiv w:val="1"/>
      <w:marLeft w:val="0"/>
      <w:marRight w:val="0"/>
      <w:marTop w:val="0"/>
      <w:marBottom w:val="0"/>
      <w:divBdr>
        <w:top w:val="none" w:sz="0" w:space="0" w:color="auto"/>
        <w:left w:val="none" w:sz="0" w:space="0" w:color="auto"/>
        <w:bottom w:val="none" w:sz="0" w:space="0" w:color="auto"/>
        <w:right w:val="none" w:sz="0" w:space="0" w:color="auto"/>
      </w:divBdr>
    </w:div>
    <w:div w:id="1724055741">
      <w:bodyDiv w:val="1"/>
      <w:marLeft w:val="0"/>
      <w:marRight w:val="0"/>
      <w:marTop w:val="0"/>
      <w:marBottom w:val="0"/>
      <w:divBdr>
        <w:top w:val="none" w:sz="0" w:space="0" w:color="auto"/>
        <w:left w:val="none" w:sz="0" w:space="0" w:color="auto"/>
        <w:bottom w:val="none" w:sz="0" w:space="0" w:color="auto"/>
        <w:right w:val="none" w:sz="0" w:space="0" w:color="auto"/>
      </w:divBdr>
    </w:div>
    <w:div w:id="1724055880">
      <w:bodyDiv w:val="1"/>
      <w:marLeft w:val="0"/>
      <w:marRight w:val="0"/>
      <w:marTop w:val="0"/>
      <w:marBottom w:val="0"/>
      <w:divBdr>
        <w:top w:val="none" w:sz="0" w:space="0" w:color="auto"/>
        <w:left w:val="none" w:sz="0" w:space="0" w:color="auto"/>
        <w:bottom w:val="none" w:sz="0" w:space="0" w:color="auto"/>
        <w:right w:val="none" w:sz="0" w:space="0" w:color="auto"/>
      </w:divBdr>
    </w:div>
    <w:div w:id="1724058941">
      <w:bodyDiv w:val="1"/>
      <w:marLeft w:val="0"/>
      <w:marRight w:val="0"/>
      <w:marTop w:val="0"/>
      <w:marBottom w:val="0"/>
      <w:divBdr>
        <w:top w:val="none" w:sz="0" w:space="0" w:color="auto"/>
        <w:left w:val="none" w:sz="0" w:space="0" w:color="auto"/>
        <w:bottom w:val="none" w:sz="0" w:space="0" w:color="auto"/>
        <w:right w:val="none" w:sz="0" w:space="0" w:color="auto"/>
      </w:divBdr>
    </w:div>
    <w:div w:id="1724334143">
      <w:bodyDiv w:val="1"/>
      <w:marLeft w:val="0"/>
      <w:marRight w:val="0"/>
      <w:marTop w:val="0"/>
      <w:marBottom w:val="0"/>
      <w:divBdr>
        <w:top w:val="none" w:sz="0" w:space="0" w:color="auto"/>
        <w:left w:val="none" w:sz="0" w:space="0" w:color="auto"/>
        <w:bottom w:val="none" w:sz="0" w:space="0" w:color="auto"/>
        <w:right w:val="none" w:sz="0" w:space="0" w:color="auto"/>
      </w:divBdr>
    </w:div>
    <w:div w:id="1724404098">
      <w:bodyDiv w:val="1"/>
      <w:marLeft w:val="0"/>
      <w:marRight w:val="0"/>
      <w:marTop w:val="0"/>
      <w:marBottom w:val="0"/>
      <w:divBdr>
        <w:top w:val="none" w:sz="0" w:space="0" w:color="auto"/>
        <w:left w:val="none" w:sz="0" w:space="0" w:color="auto"/>
        <w:bottom w:val="none" w:sz="0" w:space="0" w:color="auto"/>
        <w:right w:val="none" w:sz="0" w:space="0" w:color="auto"/>
      </w:divBdr>
    </w:div>
    <w:div w:id="1724519297">
      <w:bodyDiv w:val="1"/>
      <w:marLeft w:val="0"/>
      <w:marRight w:val="0"/>
      <w:marTop w:val="0"/>
      <w:marBottom w:val="0"/>
      <w:divBdr>
        <w:top w:val="none" w:sz="0" w:space="0" w:color="auto"/>
        <w:left w:val="none" w:sz="0" w:space="0" w:color="auto"/>
        <w:bottom w:val="none" w:sz="0" w:space="0" w:color="auto"/>
        <w:right w:val="none" w:sz="0" w:space="0" w:color="auto"/>
      </w:divBdr>
    </w:div>
    <w:div w:id="1724521651">
      <w:bodyDiv w:val="1"/>
      <w:marLeft w:val="0"/>
      <w:marRight w:val="0"/>
      <w:marTop w:val="0"/>
      <w:marBottom w:val="0"/>
      <w:divBdr>
        <w:top w:val="none" w:sz="0" w:space="0" w:color="auto"/>
        <w:left w:val="none" w:sz="0" w:space="0" w:color="auto"/>
        <w:bottom w:val="none" w:sz="0" w:space="0" w:color="auto"/>
        <w:right w:val="none" w:sz="0" w:space="0" w:color="auto"/>
      </w:divBdr>
    </w:div>
    <w:div w:id="1724522821">
      <w:bodyDiv w:val="1"/>
      <w:marLeft w:val="0"/>
      <w:marRight w:val="0"/>
      <w:marTop w:val="0"/>
      <w:marBottom w:val="0"/>
      <w:divBdr>
        <w:top w:val="none" w:sz="0" w:space="0" w:color="auto"/>
        <w:left w:val="none" w:sz="0" w:space="0" w:color="auto"/>
        <w:bottom w:val="none" w:sz="0" w:space="0" w:color="auto"/>
        <w:right w:val="none" w:sz="0" w:space="0" w:color="auto"/>
      </w:divBdr>
    </w:div>
    <w:div w:id="1724938453">
      <w:bodyDiv w:val="1"/>
      <w:marLeft w:val="0"/>
      <w:marRight w:val="0"/>
      <w:marTop w:val="0"/>
      <w:marBottom w:val="0"/>
      <w:divBdr>
        <w:top w:val="none" w:sz="0" w:space="0" w:color="auto"/>
        <w:left w:val="none" w:sz="0" w:space="0" w:color="auto"/>
        <w:bottom w:val="none" w:sz="0" w:space="0" w:color="auto"/>
        <w:right w:val="none" w:sz="0" w:space="0" w:color="auto"/>
      </w:divBdr>
    </w:div>
    <w:div w:id="1724938784">
      <w:bodyDiv w:val="1"/>
      <w:marLeft w:val="0"/>
      <w:marRight w:val="0"/>
      <w:marTop w:val="0"/>
      <w:marBottom w:val="0"/>
      <w:divBdr>
        <w:top w:val="none" w:sz="0" w:space="0" w:color="auto"/>
        <w:left w:val="none" w:sz="0" w:space="0" w:color="auto"/>
        <w:bottom w:val="none" w:sz="0" w:space="0" w:color="auto"/>
        <w:right w:val="none" w:sz="0" w:space="0" w:color="auto"/>
      </w:divBdr>
    </w:div>
    <w:div w:id="1725057654">
      <w:bodyDiv w:val="1"/>
      <w:marLeft w:val="0"/>
      <w:marRight w:val="0"/>
      <w:marTop w:val="0"/>
      <w:marBottom w:val="0"/>
      <w:divBdr>
        <w:top w:val="none" w:sz="0" w:space="0" w:color="auto"/>
        <w:left w:val="none" w:sz="0" w:space="0" w:color="auto"/>
        <w:bottom w:val="none" w:sz="0" w:space="0" w:color="auto"/>
        <w:right w:val="none" w:sz="0" w:space="0" w:color="auto"/>
      </w:divBdr>
    </w:div>
    <w:div w:id="1725254045">
      <w:bodyDiv w:val="1"/>
      <w:marLeft w:val="0"/>
      <w:marRight w:val="0"/>
      <w:marTop w:val="0"/>
      <w:marBottom w:val="0"/>
      <w:divBdr>
        <w:top w:val="none" w:sz="0" w:space="0" w:color="auto"/>
        <w:left w:val="none" w:sz="0" w:space="0" w:color="auto"/>
        <w:bottom w:val="none" w:sz="0" w:space="0" w:color="auto"/>
        <w:right w:val="none" w:sz="0" w:space="0" w:color="auto"/>
      </w:divBdr>
    </w:div>
    <w:div w:id="1725328574">
      <w:bodyDiv w:val="1"/>
      <w:marLeft w:val="0"/>
      <w:marRight w:val="0"/>
      <w:marTop w:val="0"/>
      <w:marBottom w:val="0"/>
      <w:divBdr>
        <w:top w:val="none" w:sz="0" w:space="0" w:color="auto"/>
        <w:left w:val="none" w:sz="0" w:space="0" w:color="auto"/>
        <w:bottom w:val="none" w:sz="0" w:space="0" w:color="auto"/>
        <w:right w:val="none" w:sz="0" w:space="0" w:color="auto"/>
      </w:divBdr>
    </w:div>
    <w:div w:id="1725373375">
      <w:bodyDiv w:val="1"/>
      <w:marLeft w:val="0"/>
      <w:marRight w:val="0"/>
      <w:marTop w:val="0"/>
      <w:marBottom w:val="0"/>
      <w:divBdr>
        <w:top w:val="none" w:sz="0" w:space="0" w:color="auto"/>
        <w:left w:val="none" w:sz="0" w:space="0" w:color="auto"/>
        <w:bottom w:val="none" w:sz="0" w:space="0" w:color="auto"/>
        <w:right w:val="none" w:sz="0" w:space="0" w:color="auto"/>
      </w:divBdr>
    </w:div>
    <w:div w:id="1725444721">
      <w:bodyDiv w:val="1"/>
      <w:marLeft w:val="0"/>
      <w:marRight w:val="0"/>
      <w:marTop w:val="0"/>
      <w:marBottom w:val="0"/>
      <w:divBdr>
        <w:top w:val="none" w:sz="0" w:space="0" w:color="auto"/>
        <w:left w:val="none" w:sz="0" w:space="0" w:color="auto"/>
        <w:bottom w:val="none" w:sz="0" w:space="0" w:color="auto"/>
        <w:right w:val="none" w:sz="0" w:space="0" w:color="auto"/>
      </w:divBdr>
    </w:div>
    <w:div w:id="1725522434">
      <w:bodyDiv w:val="1"/>
      <w:marLeft w:val="0"/>
      <w:marRight w:val="0"/>
      <w:marTop w:val="0"/>
      <w:marBottom w:val="0"/>
      <w:divBdr>
        <w:top w:val="none" w:sz="0" w:space="0" w:color="auto"/>
        <w:left w:val="none" w:sz="0" w:space="0" w:color="auto"/>
        <w:bottom w:val="none" w:sz="0" w:space="0" w:color="auto"/>
        <w:right w:val="none" w:sz="0" w:space="0" w:color="auto"/>
      </w:divBdr>
    </w:div>
    <w:div w:id="1725525735">
      <w:bodyDiv w:val="1"/>
      <w:marLeft w:val="0"/>
      <w:marRight w:val="0"/>
      <w:marTop w:val="0"/>
      <w:marBottom w:val="0"/>
      <w:divBdr>
        <w:top w:val="none" w:sz="0" w:space="0" w:color="auto"/>
        <w:left w:val="none" w:sz="0" w:space="0" w:color="auto"/>
        <w:bottom w:val="none" w:sz="0" w:space="0" w:color="auto"/>
        <w:right w:val="none" w:sz="0" w:space="0" w:color="auto"/>
      </w:divBdr>
    </w:div>
    <w:div w:id="1725568652">
      <w:bodyDiv w:val="1"/>
      <w:marLeft w:val="0"/>
      <w:marRight w:val="0"/>
      <w:marTop w:val="0"/>
      <w:marBottom w:val="0"/>
      <w:divBdr>
        <w:top w:val="none" w:sz="0" w:space="0" w:color="auto"/>
        <w:left w:val="none" w:sz="0" w:space="0" w:color="auto"/>
        <w:bottom w:val="none" w:sz="0" w:space="0" w:color="auto"/>
        <w:right w:val="none" w:sz="0" w:space="0" w:color="auto"/>
      </w:divBdr>
    </w:div>
    <w:div w:id="1725834821">
      <w:bodyDiv w:val="1"/>
      <w:marLeft w:val="0"/>
      <w:marRight w:val="0"/>
      <w:marTop w:val="0"/>
      <w:marBottom w:val="0"/>
      <w:divBdr>
        <w:top w:val="none" w:sz="0" w:space="0" w:color="auto"/>
        <w:left w:val="none" w:sz="0" w:space="0" w:color="auto"/>
        <w:bottom w:val="none" w:sz="0" w:space="0" w:color="auto"/>
        <w:right w:val="none" w:sz="0" w:space="0" w:color="auto"/>
      </w:divBdr>
    </w:div>
    <w:div w:id="1725910327">
      <w:bodyDiv w:val="1"/>
      <w:marLeft w:val="0"/>
      <w:marRight w:val="0"/>
      <w:marTop w:val="0"/>
      <w:marBottom w:val="0"/>
      <w:divBdr>
        <w:top w:val="none" w:sz="0" w:space="0" w:color="auto"/>
        <w:left w:val="none" w:sz="0" w:space="0" w:color="auto"/>
        <w:bottom w:val="none" w:sz="0" w:space="0" w:color="auto"/>
        <w:right w:val="none" w:sz="0" w:space="0" w:color="auto"/>
      </w:divBdr>
    </w:div>
    <w:div w:id="1726249932">
      <w:bodyDiv w:val="1"/>
      <w:marLeft w:val="0"/>
      <w:marRight w:val="0"/>
      <w:marTop w:val="0"/>
      <w:marBottom w:val="0"/>
      <w:divBdr>
        <w:top w:val="none" w:sz="0" w:space="0" w:color="auto"/>
        <w:left w:val="none" w:sz="0" w:space="0" w:color="auto"/>
        <w:bottom w:val="none" w:sz="0" w:space="0" w:color="auto"/>
        <w:right w:val="none" w:sz="0" w:space="0" w:color="auto"/>
      </w:divBdr>
    </w:div>
    <w:div w:id="1726366511">
      <w:bodyDiv w:val="1"/>
      <w:marLeft w:val="0"/>
      <w:marRight w:val="0"/>
      <w:marTop w:val="0"/>
      <w:marBottom w:val="0"/>
      <w:divBdr>
        <w:top w:val="none" w:sz="0" w:space="0" w:color="auto"/>
        <w:left w:val="none" w:sz="0" w:space="0" w:color="auto"/>
        <w:bottom w:val="none" w:sz="0" w:space="0" w:color="auto"/>
        <w:right w:val="none" w:sz="0" w:space="0" w:color="auto"/>
      </w:divBdr>
    </w:div>
    <w:div w:id="1726444831">
      <w:bodyDiv w:val="1"/>
      <w:marLeft w:val="0"/>
      <w:marRight w:val="0"/>
      <w:marTop w:val="0"/>
      <w:marBottom w:val="0"/>
      <w:divBdr>
        <w:top w:val="none" w:sz="0" w:space="0" w:color="auto"/>
        <w:left w:val="none" w:sz="0" w:space="0" w:color="auto"/>
        <w:bottom w:val="none" w:sz="0" w:space="0" w:color="auto"/>
        <w:right w:val="none" w:sz="0" w:space="0" w:color="auto"/>
      </w:divBdr>
    </w:div>
    <w:div w:id="1726445645">
      <w:bodyDiv w:val="1"/>
      <w:marLeft w:val="0"/>
      <w:marRight w:val="0"/>
      <w:marTop w:val="0"/>
      <w:marBottom w:val="0"/>
      <w:divBdr>
        <w:top w:val="none" w:sz="0" w:space="0" w:color="auto"/>
        <w:left w:val="none" w:sz="0" w:space="0" w:color="auto"/>
        <w:bottom w:val="none" w:sz="0" w:space="0" w:color="auto"/>
        <w:right w:val="none" w:sz="0" w:space="0" w:color="auto"/>
      </w:divBdr>
    </w:div>
    <w:div w:id="1726634587">
      <w:bodyDiv w:val="1"/>
      <w:marLeft w:val="0"/>
      <w:marRight w:val="0"/>
      <w:marTop w:val="0"/>
      <w:marBottom w:val="0"/>
      <w:divBdr>
        <w:top w:val="none" w:sz="0" w:space="0" w:color="auto"/>
        <w:left w:val="none" w:sz="0" w:space="0" w:color="auto"/>
        <w:bottom w:val="none" w:sz="0" w:space="0" w:color="auto"/>
        <w:right w:val="none" w:sz="0" w:space="0" w:color="auto"/>
      </w:divBdr>
    </w:div>
    <w:div w:id="1726638713">
      <w:bodyDiv w:val="1"/>
      <w:marLeft w:val="0"/>
      <w:marRight w:val="0"/>
      <w:marTop w:val="0"/>
      <w:marBottom w:val="0"/>
      <w:divBdr>
        <w:top w:val="none" w:sz="0" w:space="0" w:color="auto"/>
        <w:left w:val="none" w:sz="0" w:space="0" w:color="auto"/>
        <w:bottom w:val="none" w:sz="0" w:space="0" w:color="auto"/>
        <w:right w:val="none" w:sz="0" w:space="0" w:color="auto"/>
      </w:divBdr>
    </w:div>
    <w:div w:id="1726643059">
      <w:bodyDiv w:val="1"/>
      <w:marLeft w:val="0"/>
      <w:marRight w:val="0"/>
      <w:marTop w:val="0"/>
      <w:marBottom w:val="0"/>
      <w:divBdr>
        <w:top w:val="none" w:sz="0" w:space="0" w:color="auto"/>
        <w:left w:val="none" w:sz="0" w:space="0" w:color="auto"/>
        <w:bottom w:val="none" w:sz="0" w:space="0" w:color="auto"/>
        <w:right w:val="none" w:sz="0" w:space="0" w:color="auto"/>
      </w:divBdr>
    </w:div>
    <w:div w:id="1726683212">
      <w:bodyDiv w:val="1"/>
      <w:marLeft w:val="0"/>
      <w:marRight w:val="0"/>
      <w:marTop w:val="0"/>
      <w:marBottom w:val="0"/>
      <w:divBdr>
        <w:top w:val="none" w:sz="0" w:space="0" w:color="auto"/>
        <w:left w:val="none" w:sz="0" w:space="0" w:color="auto"/>
        <w:bottom w:val="none" w:sz="0" w:space="0" w:color="auto"/>
        <w:right w:val="none" w:sz="0" w:space="0" w:color="auto"/>
      </w:divBdr>
    </w:div>
    <w:div w:id="1726758122">
      <w:bodyDiv w:val="1"/>
      <w:marLeft w:val="0"/>
      <w:marRight w:val="0"/>
      <w:marTop w:val="0"/>
      <w:marBottom w:val="0"/>
      <w:divBdr>
        <w:top w:val="none" w:sz="0" w:space="0" w:color="auto"/>
        <w:left w:val="none" w:sz="0" w:space="0" w:color="auto"/>
        <w:bottom w:val="none" w:sz="0" w:space="0" w:color="auto"/>
        <w:right w:val="none" w:sz="0" w:space="0" w:color="auto"/>
      </w:divBdr>
    </w:div>
    <w:div w:id="1726828849">
      <w:bodyDiv w:val="1"/>
      <w:marLeft w:val="0"/>
      <w:marRight w:val="0"/>
      <w:marTop w:val="0"/>
      <w:marBottom w:val="0"/>
      <w:divBdr>
        <w:top w:val="none" w:sz="0" w:space="0" w:color="auto"/>
        <w:left w:val="none" w:sz="0" w:space="0" w:color="auto"/>
        <w:bottom w:val="none" w:sz="0" w:space="0" w:color="auto"/>
        <w:right w:val="none" w:sz="0" w:space="0" w:color="auto"/>
      </w:divBdr>
    </w:div>
    <w:div w:id="1726832169">
      <w:bodyDiv w:val="1"/>
      <w:marLeft w:val="0"/>
      <w:marRight w:val="0"/>
      <w:marTop w:val="0"/>
      <w:marBottom w:val="0"/>
      <w:divBdr>
        <w:top w:val="none" w:sz="0" w:space="0" w:color="auto"/>
        <w:left w:val="none" w:sz="0" w:space="0" w:color="auto"/>
        <w:bottom w:val="none" w:sz="0" w:space="0" w:color="auto"/>
        <w:right w:val="none" w:sz="0" w:space="0" w:color="auto"/>
      </w:divBdr>
    </w:div>
    <w:div w:id="1726834859">
      <w:bodyDiv w:val="1"/>
      <w:marLeft w:val="0"/>
      <w:marRight w:val="0"/>
      <w:marTop w:val="0"/>
      <w:marBottom w:val="0"/>
      <w:divBdr>
        <w:top w:val="none" w:sz="0" w:space="0" w:color="auto"/>
        <w:left w:val="none" w:sz="0" w:space="0" w:color="auto"/>
        <w:bottom w:val="none" w:sz="0" w:space="0" w:color="auto"/>
        <w:right w:val="none" w:sz="0" w:space="0" w:color="auto"/>
      </w:divBdr>
    </w:div>
    <w:div w:id="1726876204">
      <w:bodyDiv w:val="1"/>
      <w:marLeft w:val="0"/>
      <w:marRight w:val="0"/>
      <w:marTop w:val="0"/>
      <w:marBottom w:val="0"/>
      <w:divBdr>
        <w:top w:val="none" w:sz="0" w:space="0" w:color="auto"/>
        <w:left w:val="none" w:sz="0" w:space="0" w:color="auto"/>
        <w:bottom w:val="none" w:sz="0" w:space="0" w:color="auto"/>
        <w:right w:val="none" w:sz="0" w:space="0" w:color="auto"/>
      </w:divBdr>
    </w:div>
    <w:div w:id="1727021272">
      <w:bodyDiv w:val="1"/>
      <w:marLeft w:val="0"/>
      <w:marRight w:val="0"/>
      <w:marTop w:val="0"/>
      <w:marBottom w:val="0"/>
      <w:divBdr>
        <w:top w:val="none" w:sz="0" w:space="0" w:color="auto"/>
        <w:left w:val="none" w:sz="0" w:space="0" w:color="auto"/>
        <w:bottom w:val="none" w:sz="0" w:space="0" w:color="auto"/>
        <w:right w:val="none" w:sz="0" w:space="0" w:color="auto"/>
      </w:divBdr>
    </w:div>
    <w:div w:id="1727141492">
      <w:bodyDiv w:val="1"/>
      <w:marLeft w:val="0"/>
      <w:marRight w:val="0"/>
      <w:marTop w:val="0"/>
      <w:marBottom w:val="0"/>
      <w:divBdr>
        <w:top w:val="none" w:sz="0" w:space="0" w:color="auto"/>
        <w:left w:val="none" w:sz="0" w:space="0" w:color="auto"/>
        <w:bottom w:val="none" w:sz="0" w:space="0" w:color="auto"/>
        <w:right w:val="none" w:sz="0" w:space="0" w:color="auto"/>
      </w:divBdr>
    </w:div>
    <w:div w:id="1727218869">
      <w:bodyDiv w:val="1"/>
      <w:marLeft w:val="0"/>
      <w:marRight w:val="0"/>
      <w:marTop w:val="0"/>
      <w:marBottom w:val="0"/>
      <w:divBdr>
        <w:top w:val="none" w:sz="0" w:space="0" w:color="auto"/>
        <w:left w:val="none" w:sz="0" w:space="0" w:color="auto"/>
        <w:bottom w:val="none" w:sz="0" w:space="0" w:color="auto"/>
        <w:right w:val="none" w:sz="0" w:space="0" w:color="auto"/>
      </w:divBdr>
    </w:div>
    <w:div w:id="1727299219">
      <w:bodyDiv w:val="1"/>
      <w:marLeft w:val="0"/>
      <w:marRight w:val="0"/>
      <w:marTop w:val="0"/>
      <w:marBottom w:val="0"/>
      <w:divBdr>
        <w:top w:val="none" w:sz="0" w:space="0" w:color="auto"/>
        <w:left w:val="none" w:sz="0" w:space="0" w:color="auto"/>
        <w:bottom w:val="none" w:sz="0" w:space="0" w:color="auto"/>
        <w:right w:val="none" w:sz="0" w:space="0" w:color="auto"/>
      </w:divBdr>
    </w:div>
    <w:div w:id="1727409205">
      <w:bodyDiv w:val="1"/>
      <w:marLeft w:val="0"/>
      <w:marRight w:val="0"/>
      <w:marTop w:val="0"/>
      <w:marBottom w:val="0"/>
      <w:divBdr>
        <w:top w:val="none" w:sz="0" w:space="0" w:color="auto"/>
        <w:left w:val="none" w:sz="0" w:space="0" w:color="auto"/>
        <w:bottom w:val="none" w:sz="0" w:space="0" w:color="auto"/>
        <w:right w:val="none" w:sz="0" w:space="0" w:color="auto"/>
      </w:divBdr>
    </w:div>
    <w:div w:id="1727410259">
      <w:bodyDiv w:val="1"/>
      <w:marLeft w:val="0"/>
      <w:marRight w:val="0"/>
      <w:marTop w:val="0"/>
      <w:marBottom w:val="0"/>
      <w:divBdr>
        <w:top w:val="none" w:sz="0" w:space="0" w:color="auto"/>
        <w:left w:val="none" w:sz="0" w:space="0" w:color="auto"/>
        <w:bottom w:val="none" w:sz="0" w:space="0" w:color="auto"/>
        <w:right w:val="none" w:sz="0" w:space="0" w:color="auto"/>
      </w:divBdr>
    </w:div>
    <w:div w:id="1727530054">
      <w:bodyDiv w:val="1"/>
      <w:marLeft w:val="0"/>
      <w:marRight w:val="0"/>
      <w:marTop w:val="0"/>
      <w:marBottom w:val="0"/>
      <w:divBdr>
        <w:top w:val="none" w:sz="0" w:space="0" w:color="auto"/>
        <w:left w:val="none" w:sz="0" w:space="0" w:color="auto"/>
        <w:bottom w:val="none" w:sz="0" w:space="0" w:color="auto"/>
        <w:right w:val="none" w:sz="0" w:space="0" w:color="auto"/>
      </w:divBdr>
    </w:div>
    <w:div w:id="1727532562">
      <w:bodyDiv w:val="1"/>
      <w:marLeft w:val="0"/>
      <w:marRight w:val="0"/>
      <w:marTop w:val="0"/>
      <w:marBottom w:val="0"/>
      <w:divBdr>
        <w:top w:val="none" w:sz="0" w:space="0" w:color="auto"/>
        <w:left w:val="none" w:sz="0" w:space="0" w:color="auto"/>
        <w:bottom w:val="none" w:sz="0" w:space="0" w:color="auto"/>
        <w:right w:val="none" w:sz="0" w:space="0" w:color="auto"/>
      </w:divBdr>
    </w:div>
    <w:div w:id="1727680268">
      <w:bodyDiv w:val="1"/>
      <w:marLeft w:val="0"/>
      <w:marRight w:val="0"/>
      <w:marTop w:val="0"/>
      <w:marBottom w:val="0"/>
      <w:divBdr>
        <w:top w:val="none" w:sz="0" w:space="0" w:color="auto"/>
        <w:left w:val="none" w:sz="0" w:space="0" w:color="auto"/>
        <w:bottom w:val="none" w:sz="0" w:space="0" w:color="auto"/>
        <w:right w:val="none" w:sz="0" w:space="0" w:color="auto"/>
      </w:divBdr>
    </w:div>
    <w:div w:id="1727796836">
      <w:bodyDiv w:val="1"/>
      <w:marLeft w:val="0"/>
      <w:marRight w:val="0"/>
      <w:marTop w:val="0"/>
      <w:marBottom w:val="0"/>
      <w:divBdr>
        <w:top w:val="none" w:sz="0" w:space="0" w:color="auto"/>
        <w:left w:val="none" w:sz="0" w:space="0" w:color="auto"/>
        <w:bottom w:val="none" w:sz="0" w:space="0" w:color="auto"/>
        <w:right w:val="none" w:sz="0" w:space="0" w:color="auto"/>
      </w:divBdr>
    </w:div>
    <w:div w:id="1727798166">
      <w:bodyDiv w:val="1"/>
      <w:marLeft w:val="0"/>
      <w:marRight w:val="0"/>
      <w:marTop w:val="0"/>
      <w:marBottom w:val="0"/>
      <w:divBdr>
        <w:top w:val="none" w:sz="0" w:space="0" w:color="auto"/>
        <w:left w:val="none" w:sz="0" w:space="0" w:color="auto"/>
        <w:bottom w:val="none" w:sz="0" w:space="0" w:color="auto"/>
        <w:right w:val="none" w:sz="0" w:space="0" w:color="auto"/>
      </w:divBdr>
    </w:div>
    <w:div w:id="1727992813">
      <w:bodyDiv w:val="1"/>
      <w:marLeft w:val="0"/>
      <w:marRight w:val="0"/>
      <w:marTop w:val="0"/>
      <w:marBottom w:val="0"/>
      <w:divBdr>
        <w:top w:val="none" w:sz="0" w:space="0" w:color="auto"/>
        <w:left w:val="none" w:sz="0" w:space="0" w:color="auto"/>
        <w:bottom w:val="none" w:sz="0" w:space="0" w:color="auto"/>
        <w:right w:val="none" w:sz="0" w:space="0" w:color="auto"/>
      </w:divBdr>
    </w:div>
    <w:div w:id="1728071017">
      <w:bodyDiv w:val="1"/>
      <w:marLeft w:val="0"/>
      <w:marRight w:val="0"/>
      <w:marTop w:val="0"/>
      <w:marBottom w:val="0"/>
      <w:divBdr>
        <w:top w:val="none" w:sz="0" w:space="0" w:color="auto"/>
        <w:left w:val="none" w:sz="0" w:space="0" w:color="auto"/>
        <w:bottom w:val="none" w:sz="0" w:space="0" w:color="auto"/>
        <w:right w:val="none" w:sz="0" w:space="0" w:color="auto"/>
      </w:divBdr>
    </w:div>
    <w:div w:id="1728332923">
      <w:bodyDiv w:val="1"/>
      <w:marLeft w:val="0"/>
      <w:marRight w:val="0"/>
      <w:marTop w:val="0"/>
      <w:marBottom w:val="0"/>
      <w:divBdr>
        <w:top w:val="none" w:sz="0" w:space="0" w:color="auto"/>
        <w:left w:val="none" w:sz="0" w:space="0" w:color="auto"/>
        <w:bottom w:val="none" w:sz="0" w:space="0" w:color="auto"/>
        <w:right w:val="none" w:sz="0" w:space="0" w:color="auto"/>
      </w:divBdr>
    </w:div>
    <w:div w:id="1728407849">
      <w:bodyDiv w:val="1"/>
      <w:marLeft w:val="0"/>
      <w:marRight w:val="0"/>
      <w:marTop w:val="0"/>
      <w:marBottom w:val="0"/>
      <w:divBdr>
        <w:top w:val="none" w:sz="0" w:space="0" w:color="auto"/>
        <w:left w:val="none" w:sz="0" w:space="0" w:color="auto"/>
        <w:bottom w:val="none" w:sz="0" w:space="0" w:color="auto"/>
        <w:right w:val="none" w:sz="0" w:space="0" w:color="auto"/>
      </w:divBdr>
    </w:div>
    <w:div w:id="1728409597">
      <w:bodyDiv w:val="1"/>
      <w:marLeft w:val="0"/>
      <w:marRight w:val="0"/>
      <w:marTop w:val="0"/>
      <w:marBottom w:val="0"/>
      <w:divBdr>
        <w:top w:val="none" w:sz="0" w:space="0" w:color="auto"/>
        <w:left w:val="none" w:sz="0" w:space="0" w:color="auto"/>
        <w:bottom w:val="none" w:sz="0" w:space="0" w:color="auto"/>
        <w:right w:val="none" w:sz="0" w:space="0" w:color="auto"/>
      </w:divBdr>
    </w:div>
    <w:div w:id="1728526134">
      <w:bodyDiv w:val="1"/>
      <w:marLeft w:val="0"/>
      <w:marRight w:val="0"/>
      <w:marTop w:val="0"/>
      <w:marBottom w:val="0"/>
      <w:divBdr>
        <w:top w:val="none" w:sz="0" w:space="0" w:color="auto"/>
        <w:left w:val="none" w:sz="0" w:space="0" w:color="auto"/>
        <w:bottom w:val="none" w:sz="0" w:space="0" w:color="auto"/>
        <w:right w:val="none" w:sz="0" w:space="0" w:color="auto"/>
      </w:divBdr>
    </w:div>
    <w:div w:id="1728533569">
      <w:bodyDiv w:val="1"/>
      <w:marLeft w:val="0"/>
      <w:marRight w:val="0"/>
      <w:marTop w:val="0"/>
      <w:marBottom w:val="0"/>
      <w:divBdr>
        <w:top w:val="none" w:sz="0" w:space="0" w:color="auto"/>
        <w:left w:val="none" w:sz="0" w:space="0" w:color="auto"/>
        <w:bottom w:val="none" w:sz="0" w:space="0" w:color="auto"/>
        <w:right w:val="none" w:sz="0" w:space="0" w:color="auto"/>
      </w:divBdr>
    </w:div>
    <w:div w:id="1728602655">
      <w:bodyDiv w:val="1"/>
      <w:marLeft w:val="0"/>
      <w:marRight w:val="0"/>
      <w:marTop w:val="0"/>
      <w:marBottom w:val="0"/>
      <w:divBdr>
        <w:top w:val="none" w:sz="0" w:space="0" w:color="auto"/>
        <w:left w:val="none" w:sz="0" w:space="0" w:color="auto"/>
        <w:bottom w:val="none" w:sz="0" w:space="0" w:color="auto"/>
        <w:right w:val="none" w:sz="0" w:space="0" w:color="auto"/>
      </w:divBdr>
    </w:div>
    <w:div w:id="1728607838">
      <w:bodyDiv w:val="1"/>
      <w:marLeft w:val="0"/>
      <w:marRight w:val="0"/>
      <w:marTop w:val="0"/>
      <w:marBottom w:val="0"/>
      <w:divBdr>
        <w:top w:val="none" w:sz="0" w:space="0" w:color="auto"/>
        <w:left w:val="none" w:sz="0" w:space="0" w:color="auto"/>
        <w:bottom w:val="none" w:sz="0" w:space="0" w:color="auto"/>
        <w:right w:val="none" w:sz="0" w:space="0" w:color="auto"/>
      </w:divBdr>
    </w:div>
    <w:div w:id="1728721346">
      <w:bodyDiv w:val="1"/>
      <w:marLeft w:val="0"/>
      <w:marRight w:val="0"/>
      <w:marTop w:val="0"/>
      <w:marBottom w:val="0"/>
      <w:divBdr>
        <w:top w:val="none" w:sz="0" w:space="0" w:color="auto"/>
        <w:left w:val="none" w:sz="0" w:space="0" w:color="auto"/>
        <w:bottom w:val="none" w:sz="0" w:space="0" w:color="auto"/>
        <w:right w:val="none" w:sz="0" w:space="0" w:color="auto"/>
      </w:divBdr>
    </w:div>
    <w:div w:id="1728726615">
      <w:bodyDiv w:val="1"/>
      <w:marLeft w:val="0"/>
      <w:marRight w:val="0"/>
      <w:marTop w:val="0"/>
      <w:marBottom w:val="0"/>
      <w:divBdr>
        <w:top w:val="none" w:sz="0" w:space="0" w:color="auto"/>
        <w:left w:val="none" w:sz="0" w:space="0" w:color="auto"/>
        <w:bottom w:val="none" w:sz="0" w:space="0" w:color="auto"/>
        <w:right w:val="none" w:sz="0" w:space="0" w:color="auto"/>
      </w:divBdr>
    </w:div>
    <w:div w:id="1728797595">
      <w:bodyDiv w:val="1"/>
      <w:marLeft w:val="0"/>
      <w:marRight w:val="0"/>
      <w:marTop w:val="0"/>
      <w:marBottom w:val="0"/>
      <w:divBdr>
        <w:top w:val="none" w:sz="0" w:space="0" w:color="auto"/>
        <w:left w:val="none" w:sz="0" w:space="0" w:color="auto"/>
        <w:bottom w:val="none" w:sz="0" w:space="0" w:color="auto"/>
        <w:right w:val="none" w:sz="0" w:space="0" w:color="auto"/>
      </w:divBdr>
    </w:div>
    <w:div w:id="1728841137">
      <w:bodyDiv w:val="1"/>
      <w:marLeft w:val="0"/>
      <w:marRight w:val="0"/>
      <w:marTop w:val="0"/>
      <w:marBottom w:val="0"/>
      <w:divBdr>
        <w:top w:val="none" w:sz="0" w:space="0" w:color="auto"/>
        <w:left w:val="none" w:sz="0" w:space="0" w:color="auto"/>
        <w:bottom w:val="none" w:sz="0" w:space="0" w:color="auto"/>
        <w:right w:val="none" w:sz="0" w:space="0" w:color="auto"/>
      </w:divBdr>
    </w:div>
    <w:div w:id="1728841751">
      <w:bodyDiv w:val="1"/>
      <w:marLeft w:val="0"/>
      <w:marRight w:val="0"/>
      <w:marTop w:val="0"/>
      <w:marBottom w:val="0"/>
      <w:divBdr>
        <w:top w:val="none" w:sz="0" w:space="0" w:color="auto"/>
        <w:left w:val="none" w:sz="0" w:space="0" w:color="auto"/>
        <w:bottom w:val="none" w:sz="0" w:space="0" w:color="auto"/>
        <w:right w:val="none" w:sz="0" w:space="0" w:color="auto"/>
      </w:divBdr>
    </w:div>
    <w:div w:id="1728842504">
      <w:bodyDiv w:val="1"/>
      <w:marLeft w:val="0"/>
      <w:marRight w:val="0"/>
      <w:marTop w:val="0"/>
      <w:marBottom w:val="0"/>
      <w:divBdr>
        <w:top w:val="none" w:sz="0" w:space="0" w:color="auto"/>
        <w:left w:val="none" w:sz="0" w:space="0" w:color="auto"/>
        <w:bottom w:val="none" w:sz="0" w:space="0" w:color="auto"/>
        <w:right w:val="none" w:sz="0" w:space="0" w:color="auto"/>
      </w:divBdr>
    </w:div>
    <w:div w:id="1728843514">
      <w:bodyDiv w:val="1"/>
      <w:marLeft w:val="0"/>
      <w:marRight w:val="0"/>
      <w:marTop w:val="0"/>
      <w:marBottom w:val="0"/>
      <w:divBdr>
        <w:top w:val="none" w:sz="0" w:space="0" w:color="auto"/>
        <w:left w:val="none" w:sz="0" w:space="0" w:color="auto"/>
        <w:bottom w:val="none" w:sz="0" w:space="0" w:color="auto"/>
        <w:right w:val="none" w:sz="0" w:space="0" w:color="auto"/>
      </w:divBdr>
    </w:div>
    <w:div w:id="1728914809">
      <w:bodyDiv w:val="1"/>
      <w:marLeft w:val="0"/>
      <w:marRight w:val="0"/>
      <w:marTop w:val="0"/>
      <w:marBottom w:val="0"/>
      <w:divBdr>
        <w:top w:val="none" w:sz="0" w:space="0" w:color="auto"/>
        <w:left w:val="none" w:sz="0" w:space="0" w:color="auto"/>
        <w:bottom w:val="none" w:sz="0" w:space="0" w:color="auto"/>
        <w:right w:val="none" w:sz="0" w:space="0" w:color="auto"/>
      </w:divBdr>
    </w:div>
    <w:div w:id="1728915748">
      <w:bodyDiv w:val="1"/>
      <w:marLeft w:val="0"/>
      <w:marRight w:val="0"/>
      <w:marTop w:val="0"/>
      <w:marBottom w:val="0"/>
      <w:divBdr>
        <w:top w:val="none" w:sz="0" w:space="0" w:color="auto"/>
        <w:left w:val="none" w:sz="0" w:space="0" w:color="auto"/>
        <w:bottom w:val="none" w:sz="0" w:space="0" w:color="auto"/>
        <w:right w:val="none" w:sz="0" w:space="0" w:color="auto"/>
      </w:divBdr>
    </w:div>
    <w:div w:id="1728990776">
      <w:bodyDiv w:val="1"/>
      <w:marLeft w:val="0"/>
      <w:marRight w:val="0"/>
      <w:marTop w:val="0"/>
      <w:marBottom w:val="0"/>
      <w:divBdr>
        <w:top w:val="none" w:sz="0" w:space="0" w:color="auto"/>
        <w:left w:val="none" w:sz="0" w:space="0" w:color="auto"/>
        <w:bottom w:val="none" w:sz="0" w:space="0" w:color="auto"/>
        <w:right w:val="none" w:sz="0" w:space="0" w:color="auto"/>
      </w:divBdr>
    </w:div>
    <w:div w:id="1729038373">
      <w:bodyDiv w:val="1"/>
      <w:marLeft w:val="0"/>
      <w:marRight w:val="0"/>
      <w:marTop w:val="0"/>
      <w:marBottom w:val="0"/>
      <w:divBdr>
        <w:top w:val="none" w:sz="0" w:space="0" w:color="auto"/>
        <w:left w:val="none" w:sz="0" w:space="0" w:color="auto"/>
        <w:bottom w:val="none" w:sz="0" w:space="0" w:color="auto"/>
        <w:right w:val="none" w:sz="0" w:space="0" w:color="auto"/>
      </w:divBdr>
    </w:div>
    <w:div w:id="1729186402">
      <w:bodyDiv w:val="1"/>
      <w:marLeft w:val="0"/>
      <w:marRight w:val="0"/>
      <w:marTop w:val="0"/>
      <w:marBottom w:val="0"/>
      <w:divBdr>
        <w:top w:val="none" w:sz="0" w:space="0" w:color="auto"/>
        <w:left w:val="none" w:sz="0" w:space="0" w:color="auto"/>
        <w:bottom w:val="none" w:sz="0" w:space="0" w:color="auto"/>
        <w:right w:val="none" w:sz="0" w:space="0" w:color="auto"/>
      </w:divBdr>
    </w:div>
    <w:div w:id="1729187794">
      <w:bodyDiv w:val="1"/>
      <w:marLeft w:val="0"/>
      <w:marRight w:val="0"/>
      <w:marTop w:val="0"/>
      <w:marBottom w:val="0"/>
      <w:divBdr>
        <w:top w:val="none" w:sz="0" w:space="0" w:color="auto"/>
        <w:left w:val="none" w:sz="0" w:space="0" w:color="auto"/>
        <w:bottom w:val="none" w:sz="0" w:space="0" w:color="auto"/>
        <w:right w:val="none" w:sz="0" w:space="0" w:color="auto"/>
      </w:divBdr>
    </w:div>
    <w:div w:id="1729301757">
      <w:bodyDiv w:val="1"/>
      <w:marLeft w:val="0"/>
      <w:marRight w:val="0"/>
      <w:marTop w:val="0"/>
      <w:marBottom w:val="0"/>
      <w:divBdr>
        <w:top w:val="none" w:sz="0" w:space="0" w:color="auto"/>
        <w:left w:val="none" w:sz="0" w:space="0" w:color="auto"/>
        <w:bottom w:val="none" w:sz="0" w:space="0" w:color="auto"/>
        <w:right w:val="none" w:sz="0" w:space="0" w:color="auto"/>
      </w:divBdr>
    </w:div>
    <w:div w:id="1729306023">
      <w:bodyDiv w:val="1"/>
      <w:marLeft w:val="0"/>
      <w:marRight w:val="0"/>
      <w:marTop w:val="0"/>
      <w:marBottom w:val="0"/>
      <w:divBdr>
        <w:top w:val="none" w:sz="0" w:space="0" w:color="auto"/>
        <w:left w:val="none" w:sz="0" w:space="0" w:color="auto"/>
        <w:bottom w:val="none" w:sz="0" w:space="0" w:color="auto"/>
        <w:right w:val="none" w:sz="0" w:space="0" w:color="auto"/>
      </w:divBdr>
    </w:div>
    <w:div w:id="1729455523">
      <w:bodyDiv w:val="1"/>
      <w:marLeft w:val="0"/>
      <w:marRight w:val="0"/>
      <w:marTop w:val="0"/>
      <w:marBottom w:val="0"/>
      <w:divBdr>
        <w:top w:val="none" w:sz="0" w:space="0" w:color="auto"/>
        <w:left w:val="none" w:sz="0" w:space="0" w:color="auto"/>
        <w:bottom w:val="none" w:sz="0" w:space="0" w:color="auto"/>
        <w:right w:val="none" w:sz="0" w:space="0" w:color="auto"/>
      </w:divBdr>
    </w:div>
    <w:div w:id="1729647008">
      <w:bodyDiv w:val="1"/>
      <w:marLeft w:val="0"/>
      <w:marRight w:val="0"/>
      <w:marTop w:val="0"/>
      <w:marBottom w:val="0"/>
      <w:divBdr>
        <w:top w:val="none" w:sz="0" w:space="0" w:color="auto"/>
        <w:left w:val="none" w:sz="0" w:space="0" w:color="auto"/>
        <w:bottom w:val="none" w:sz="0" w:space="0" w:color="auto"/>
        <w:right w:val="none" w:sz="0" w:space="0" w:color="auto"/>
      </w:divBdr>
    </w:div>
    <w:div w:id="1729838570">
      <w:bodyDiv w:val="1"/>
      <w:marLeft w:val="0"/>
      <w:marRight w:val="0"/>
      <w:marTop w:val="0"/>
      <w:marBottom w:val="0"/>
      <w:divBdr>
        <w:top w:val="none" w:sz="0" w:space="0" w:color="auto"/>
        <w:left w:val="none" w:sz="0" w:space="0" w:color="auto"/>
        <w:bottom w:val="none" w:sz="0" w:space="0" w:color="auto"/>
        <w:right w:val="none" w:sz="0" w:space="0" w:color="auto"/>
      </w:divBdr>
    </w:div>
    <w:div w:id="1729957383">
      <w:bodyDiv w:val="1"/>
      <w:marLeft w:val="0"/>
      <w:marRight w:val="0"/>
      <w:marTop w:val="0"/>
      <w:marBottom w:val="0"/>
      <w:divBdr>
        <w:top w:val="none" w:sz="0" w:space="0" w:color="auto"/>
        <w:left w:val="none" w:sz="0" w:space="0" w:color="auto"/>
        <w:bottom w:val="none" w:sz="0" w:space="0" w:color="auto"/>
        <w:right w:val="none" w:sz="0" w:space="0" w:color="auto"/>
      </w:divBdr>
    </w:div>
    <w:div w:id="1730030053">
      <w:bodyDiv w:val="1"/>
      <w:marLeft w:val="0"/>
      <w:marRight w:val="0"/>
      <w:marTop w:val="0"/>
      <w:marBottom w:val="0"/>
      <w:divBdr>
        <w:top w:val="none" w:sz="0" w:space="0" w:color="auto"/>
        <w:left w:val="none" w:sz="0" w:space="0" w:color="auto"/>
        <w:bottom w:val="none" w:sz="0" w:space="0" w:color="auto"/>
        <w:right w:val="none" w:sz="0" w:space="0" w:color="auto"/>
      </w:divBdr>
    </w:div>
    <w:div w:id="1730152847">
      <w:bodyDiv w:val="1"/>
      <w:marLeft w:val="0"/>
      <w:marRight w:val="0"/>
      <w:marTop w:val="0"/>
      <w:marBottom w:val="0"/>
      <w:divBdr>
        <w:top w:val="none" w:sz="0" w:space="0" w:color="auto"/>
        <w:left w:val="none" w:sz="0" w:space="0" w:color="auto"/>
        <w:bottom w:val="none" w:sz="0" w:space="0" w:color="auto"/>
        <w:right w:val="none" w:sz="0" w:space="0" w:color="auto"/>
      </w:divBdr>
    </w:div>
    <w:div w:id="1730180128">
      <w:bodyDiv w:val="1"/>
      <w:marLeft w:val="0"/>
      <w:marRight w:val="0"/>
      <w:marTop w:val="0"/>
      <w:marBottom w:val="0"/>
      <w:divBdr>
        <w:top w:val="none" w:sz="0" w:space="0" w:color="auto"/>
        <w:left w:val="none" w:sz="0" w:space="0" w:color="auto"/>
        <w:bottom w:val="none" w:sz="0" w:space="0" w:color="auto"/>
        <w:right w:val="none" w:sz="0" w:space="0" w:color="auto"/>
      </w:divBdr>
    </w:div>
    <w:div w:id="1730182378">
      <w:bodyDiv w:val="1"/>
      <w:marLeft w:val="0"/>
      <w:marRight w:val="0"/>
      <w:marTop w:val="0"/>
      <w:marBottom w:val="0"/>
      <w:divBdr>
        <w:top w:val="none" w:sz="0" w:space="0" w:color="auto"/>
        <w:left w:val="none" w:sz="0" w:space="0" w:color="auto"/>
        <w:bottom w:val="none" w:sz="0" w:space="0" w:color="auto"/>
        <w:right w:val="none" w:sz="0" w:space="0" w:color="auto"/>
      </w:divBdr>
    </w:div>
    <w:div w:id="1730493640">
      <w:bodyDiv w:val="1"/>
      <w:marLeft w:val="0"/>
      <w:marRight w:val="0"/>
      <w:marTop w:val="0"/>
      <w:marBottom w:val="0"/>
      <w:divBdr>
        <w:top w:val="none" w:sz="0" w:space="0" w:color="auto"/>
        <w:left w:val="none" w:sz="0" w:space="0" w:color="auto"/>
        <w:bottom w:val="none" w:sz="0" w:space="0" w:color="auto"/>
        <w:right w:val="none" w:sz="0" w:space="0" w:color="auto"/>
      </w:divBdr>
    </w:div>
    <w:div w:id="1730569810">
      <w:bodyDiv w:val="1"/>
      <w:marLeft w:val="0"/>
      <w:marRight w:val="0"/>
      <w:marTop w:val="0"/>
      <w:marBottom w:val="0"/>
      <w:divBdr>
        <w:top w:val="none" w:sz="0" w:space="0" w:color="auto"/>
        <w:left w:val="none" w:sz="0" w:space="0" w:color="auto"/>
        <w:bottom w:val="none" w:sz="0" w:space="0" w:color="auto"/>
        <w:right w:val="none" w:sz="0" w:space="0" w:color="auto"/>
      </w:divBdr>
    </w:div>
    <w:div w:id="1730575270">
      <w:bodyDiv w:val="1"/>
      <w:marLeft w:val="0"/>
      <w:marRight w:val="0"/>
      <w:marTop w:val="0"/>
      <w:marBottom w:val="0"/>
      <w:divBdr>
        <w:top w:val="none" w:sz="0" w:space="0" w:color="auto"/>
        <w:left w:val="none" w:sz="0" w:space="0" w:color="auto"/>
        <w:bottom w:val="none" w:sz="0" w:space="0" w:color="auto"/>
        <w:right w:val="none" w:sz="0" w:space="0" w:color="auto"/>
      </w:divBdr>
    </w:div>
    <w:div w:id="1730611889">
      <w:bodyDiv w:val="1"/>
      <w:marLeft w:val="0"/>
      <w:marRight w:val="0"/>
      <w:marTop w:val="0"/>
      <w:marBottom w:val="0"/>
      <w:divBdr>
        <w:top w:val="none" w:sz="0" w:space="0" w:color="auto"/>
        <w:left w:val="none" w:sz="0" w:space="0" w:color="auto"/>
        <w:bottom w:val="none" w:sz="0" w:space="0" w:color="auto"/>
        <w:right w:val="none" w:sz="0" w:space="0" w:color="auto"/>
      </w:divBdr>
    </w:div>
    <w:div w:id="1730684014">
      <w:bodyDiv w:val="1"/>
      <w:marLeft w:val="0"/>
      <w:marRight w:val="0"/>
      <w:marTop w:val="0"/>
      <w:marBottom w:val="0"/>
      <w:divBdr>
        <w:top w:val="none" w:sz="0" w:space="0" w:color="auto"/>
        <w:left w:val="none" w:sz="0" w:space="0" w:color="auto"/>
        <w:bottom w:val="none" w:sz="0" w:space="0" w:color="auto"/>
        <w:right w:val="none" w:sz="0" w:space="0" w:color="auto"/>
      </w:divBdr>
    </w:div>
    <w:div w:id="1730684321">
      <w:bodyDiv w:val="1"/>
      <w:marLeft w:val="0"/>
      <w:marRight w:val="0"/>
      <w:marTop w:val="0"/>
      <w:marBottom w:val="0"/>
      <w:divBdr>
        <w:top w:val="none" w:sz="0" w:space="0" w:color="auto"/>
        <w:left w:val="none" w:sz="0" w:space="0" w:color="auto"/>
        <w:bottom w:val="none" w:sz="0" w:space="0" w:color="auto"/>
        <w:right w:val="none" w:sz="0" w:space="0" w:color="auto"/>
      </w:divBdr>
    </w:div>
    <w:div w:id="1730684544">
      <w:bodyDiv w:val="1"/>
      <w:marLeft w:val="0"/>
      <w:marRight w:val="0"/>
      <w:marTop w:val="0"/>
      <w:marBottom w:val="0"/>
      <w:divBdr>
        <w:top w:val="none" w:sz="0" w:space="0" w:color="auto"/>
        <w:left w:val="none" w:sz="0" w:space="0" w:color="auto"/>
        <w:bottom w:val="none" w:sz="0" w:space="0" w:color="auto"/>
        <w:right w:val="none" w:sz="0" w:space="0" w:color="auto"/>
      </w:divBdr>
    </w:div>
    <w:div w:id="1730687754">
      <w:bodyDiv w:val="1"/>
      <w:marLeft w:val="0"/>
      <w:marRight w:val="0"/>
      <w:marTop w:val="0"/>
      <w:marBottom w:val="0"/>
      <w:divBdr>
        <w:top w:val="none" w:sz="0" w:space="0" w:color="auto"/>
        <w:left w:val="none" w:sz="0" w:space="0" w:color="auto"/>
        <w:bottom w:val="none" w:sz="0" w:space="0" w:color="auto"/>
        <w:right w:val="none" w:sz="0" w:space="0" w:color="auto"/>
      </w:divBdr>
    </w:div>
    <w:div w:id="1730811455">
      <w:bodyDiv w:val="1"/>
      <w:marLeft w:val="0"/>
      <w:marRight w:val="0"/>
      <w:marTop w:val="0"/>
      <w:marBottom w:val="0"/>
      <w:divBdr>
        <w:top w:val="none" w:sz="0" w:space="0" w:color="auto"/>
        <w:left w:val="none" w:sz="0" w:space="0" w:color="auto"/>
        <w:bottom w:val="none" w:sz="0" w:space="0" w:color="auto"/>
        <w:right w:val="none" w:sz="0" w:space="0" w:color="auto"/>
      </w:divBdr>
    </w:div>
    <w:div w:id="1730879303">
      <w:bodyDiv w:val="1"/>
      <w:marLeft w:val="0"/>
      <w:marRight w:val="0"/>
      <w:marTop w:val="0"/>
      <w:marBottom w:val="0"/>
      <w:divBdr>
        <w:top w:val="none" w:sz="0" w:space="0" w:color="auto"/>
        <w:left w:val="none" w:sz="0" w:space="0" w:color="auto"/>
        <w:bottom w:val="none" w:sz="0" w:space="0" w:color="auto"/>
        <w:right w:val="none" w:sz="0" w:space="0" w:color="auto"/>
      </w:divBdr>
    </w:div>
    <w:div w:id="1730883144">
      <w:bodyDiv w:val="1"/>
      <w:marLeft w:val="0"/>
      <w:marRight w:val="0"/>
      <w:marTop w:val="0"/>
      <w:marBottom w:val="0"/>
      <w:divBdr>
        <w:top w:val="none" w:sz="0" w:space="0" w:color="auto"/>
        <w:left w:val="none" w:sz="0" w:space="0" w:color="auto"/>
        <w:bottom w:val="none" w:sz="0" w:space="0" w:color="auto"/>
        <w:right w:val="none" w:sz="0" w:space="0" w:color="auto"/>
      </w:divBdr>
    </w:div>
    <w:div w:id="1730958613">
      <w:bodyDiv w:val="1"/>
      <w:marLeft w:val="0"/>
      <w:marRight w:val="0"/>
      <w:marTop w:val="0"/>
      <w:marBottom w:val="0"/>
      <w:divBdr>
        <w:top w:val="none" w:sz="0" w:space="0" w:color="auto"/>
        <w:left w:val="none" w:sz="0" w:space="0" w:color="auto"/>
        <w:bottom w:val="none" w:sz="0" w:space="0" w:color="auto"/>
        <w:right w:val="none" w:sz="0" w:space="0" w:color="auto"/>
      </w:divBdr>
    </w:div>
    <w:div w:id="1731031225">
      <w:bodyDiv w:val="1"/>
      <w:marLeft w:val="0"/>
      <w:marRight w:val="0"/>
      <w:marTop w:val="0"/>
      <w:marBottom w:val="0"/>
      <w:divBdr>
        <w:top w:val="none" w:sz="0" w:space="0" w:color="auto"/>
        <w:left w:val="none" w:sz="0" w:space="0" w:color="auto"/>
        <w:bottom w:val="none" w:sz="0" w:space="0" w:color="auto"/>
        <w:right w:val="none" w:sz="0" w:space="0" w:color="auto"/>
      </w:divBdr>
    </w:div>
    <w:div w:id="1731072690">
      <w:bodyDiv w:val="1"/>
      <w:marLeft w:val="0"/>
      <w:marRight w:val="0"/>
      <w:marTop w:val="0"/>
      <w:marBottom w:val="0"/>
      <w:divBdr>
        <w:top w:val="none" w:sz="0" w:space="0" w:color="auto"/>
        <w:left w:val="none" w:sz="0" w:space="0" w:color="auto"/>
        <w:bottom w:val="none" w:sz="0" w:space="0" w:color="auto"/>
        <w:right w:val="none" w:sz="0" w:space="0" w:color="auto"/>
      </w:divBdr>
    </w:div>
    <w:div w:id="1731147787">
      <w:bodyDiv w:val="1"/>
      <w:marLeft w:val="0"/>
      <w:marRight w:val="0"/>
      <w:marTop w:val="0"/>
      <w:marBottom w:val="0"/>
      <w:divBdr>
        <w:top w:val="none" w:sz="0" w:space="0" w:color="auto"/>
        <w:left w:val="none" w:sz="0" w:space="0" w:color="auto"/>
        <w:bottom w:val="none" w:sz="0" w:space="0" w:color="auto"/>
        <w:right w:val="none" w:sz="0" w:space="0" w:color="auto"/>
      </w:divBdr>
    </w:div>
    <w:div w:id="1731149639">
      <w:bodyDiv w:val="1"/>
      <w:marLeft w:val="0"/>
      <w:marRight w:val="0"/>
      <w:marTop w:val="0"/>
      <w:marBottom w:val="0"/>
      <w:divBdr>
        <w:top w:val="none" w:sz="0" w:space="0" w:color="auto"/>
        <w:left w:val="none" w:sz="0" w:space="0" w:color="auto"/>
        <w:bottom w:val="none" w:sz="0" w:space="0" w:color="auto"/>
        <w:right w:val="none" w:sz="0" w:space="0" w:color="auto"/>
      </w:divBdr>
    </w:div>
    <w:div w:id="1731151400">
      <w:bodyDiv w:val="1"/>
      <w:marLeft w:val="0"/>
      <w:marRight w:val="0"/>
      <w:marTop w:val="0"/>
      <w:marBottom w:val="0"/>
      <w:divBdr>
        <w:top w:val="none" w:sz="0" w:space="0" w:color="auto"/>
        <w:left w:val="none" w:sz="0" w:space="0" w:color="auto"/>
        <w:bottom w:val="none" w:sz="0" w:space="0" w:color="auto"/>
        <w:right w:val="none" w:sz="0" w:space="0" w:color="auto"/>
      </w:divBdr>
    </w:div>
    <w:div w:id="1731340467">
      <w:bodyDiv w:val="1"/>
      <w:marLeft w:val="0"/>
      <w:marRight w:val="0"/>
      <w:marTop w:val="0"/>
      <w:marBottom w:val="0"/>
      <w:divBdr>
        <w:top w:val="none" w:sz="0" w:space="0" w:color="auto"/>
        <w:left w:val="none" w:sz="0" w:space="0" w:color="auto"/>
        <w:bottom w:val="none" w:sz="0" w:space="0" w:color="auto"/>
        <w:right w:val="none" w:sz="0" w:space="0" w:color="auto"/>
      </w:divBdr>
    </w:div>
    <w:div w:id="1731346499">
      <w:bodyDiv w:val="1"/>
      <w:marLeft w:val="0"/>
      <w:marRight w:val="0"/>
      <w:marTop w:val="0"/>
      <w:marBottom w:val="0"/>
      <w:divBdr>
        <w:top w:val="none" w:sz="0" w:space="0" w:color="auto"/>
        <w:left w:val="none" w:sz="0" w:space="0" w:color="auto"/>
        <w:bottom w:val="none" w:sz="0" w:space="0" w:color="auto"/>
        <w:right w:val="none" w:sz="0" w:space="0" w:color="auto"/>
      </w:divBdr>
    </w:div>
    <w:div w:id="1731462325">
      <w:bodyDiv w:val="1"/>
      <w:marLeft w:val="0"/>
      <w:marRight w:val="0"/>
      <w:marTop w:val="0"/>
      <w:marBottom w:val="0"/>
      <w:divBdr>
        <w:top w:val="none" w:sz="0" w:space="0" w:color="auto"/>
        <w:left w:val="none" w:sz="0" w:space="0" w:color="auto"/>
        <w:bottom w:val="none" w:sz="0" w:space="0" w:color="auto"/>
        <w:right w:val="none" w:sz="0" w:space="0" w:color="auto"/>
      </w:divBdr>
    </w:div>
    <w:div w:id="1731535288">
      <w:bodyDiv w:val="1"/>
      <w:marLeft w:val="0"/>
      <w:marRight w:val="0"/>
      <w:marTop w:val="0"/>
      <w:marBottom w:val="0"/>
      <w:divBdr>
        <w:top w:val="none" w:sz="0" w:space="0" w:color="auto"/>
        <w:left w:val="none" w:sz="0" w:space="0" w:color="auto"/>
        <w:bottom w:val="none" w:sz="0" w:space="0" w:color="auto"/>
        <w:right w:val="none" w:sz="0" w:space="0" w:color="auto"/>
      </w:divBdr>
    </w:div>
    <w:div w:id="1731535784">
      <w:bodyDiv w:val="1"/>
      <w:marLeft w:val="0"/>
      <w:marRight w:val="0"/>
      <w:marTop w:val="0"/>
      <w:marBottom w:val="0"/>
      <w:divBdr>
        <w:top w:val="none" w:sz="0" w:space="0" w:color="auto"/>
        <w:left w:val="none" w:sz="0" w:space="0" w:color="auto"/>
        <w:bottom w:val="none" w:sz="0" w:space="0" w:color="auto"/>
        <w:right w:val="none" w:sz="0" w:space="0" w:color="auto"/>
      </w:divBdr>
    </w:div>
    <w:div w:id="1731610193">
      <w:bodyDiv w:val="1"/>
      <w:marLeft w:val="0"/>
      <w:marRight w:val="0"/>
      <w:marTop w:val="0"/>
      <w:marBottom w:val="0"/>
      <w:divBdr>
        <w:top w:val="none" w:sz="0" w:space="0" w:color="auto"/>
        <w:left w:val="none" w:sz="0" w:space="0" w:color="auto"/>
        <w:bottom w:val="none" w:sz="0" w:space="0" w:color="auto"/>
        <w:right w:val="none" w:sz="0" w:space="0" w:color="auto"/>
      </w:divBdr>
    </w:div>
    <w:div w:id="1731616005">
      <w:bodyDiv w:val="1"/>
      <w:marLeft w:val="0"/>
      <w:marRight w:val="0"/>
      <w:marTop w:val="0"/>
      <w:marBottom w:val="0"/>
      <w:divBdr>
        <w:top w:val="none" w:sz="0" w:space="0" w:color="auto"/>
        <w:left w:val="none" w:sz="0" w:space="0" w:color="auto"/>
        <w:bottom w:val="none" w:sz="0" w:space="0" w:color="auto"/>
        <w:right w:val="none" w:sz="0" w:space="0" w:color="auto"/>
      </w:divBdr>
    </w:div>
    <w:div w:id="1731804395">
      <w:bodyDiv w:val="1"/>
      <w:marLeft w:val="0"/>
      <w:marRight w:val="0"/>
      <w:marTop w:val="0"/>
      <w:marBottom w:val="0"/>
      <w:divBdr>
        <w:top w:val="none" w:sz="0" w:space="0" w:color="auto"/>
        <w:left w:val="none" w:sz="0" w:space="0" w:color="auto"/>
        <w:bottom w:val="none" w:sz="0" w:space="0" w:color="auto"/>
        <w:right w:val="none" w:sz="0" w:space="0" w:color="auto"/>
      </w:divBdr>
    </w:div>
    <w:div w:id="1731810422">
      <w:bodyDiv w:val="1"/>
      <w:marLeft w:val="0"/>
      <w:marRight w:val="0"/>
      <w:marTop w:val="0"/>
      <w:marBottom w:val="0"/>
      <w:divBdr>
        <w:top w:val="none" w:sz="0" w:space="0" w:color="auto"/>
        <w:left w:val="none" w:sz="0" w:space="0" w:color="auto"/>
        <w:bottom w:val="none" w:sz="0" w:space="0" w:color="auto"/>
        <w:right w:val="none" w:sz="0" w:space="0" w:color="auto"/>
      </w:divBdr>
    </w:div>
    <w:div w:id="1732000046">
      <w:bodyDiv w:val="1"/>
      <w:marLeft w:val="0"/>
      <w:marRight w:val="0"/>
      <w:marTop w:val="0"/>
      <w:marBottom w:val="0"/>
      <w:divBdr>
        <w:top w:val="none" w:sz="0" w:space="0" w:color="auto"/>
        <w:left w:val="none" w:sz="0" w:space="0" w:color="auto"/>
        <w:bottom w:val="none" w:sz="0" w:space="0" w:color="auto"/>
        <w:right w:val="none" w:sz="0" w:space="0" w:color="auto"/>
      </w:divBdr>
    </w:div>
    <w:div w:id="1732461593">
      <w:bodyDiv w:val="1"/>
      <w:marLeft w:val="0"/>
      <w:marRight w:val="0"/>
      <w:marTop w:val="0"/>
      <w:marBottom w:val="0"/>
      <w:divBdr>
        <w:top w:val="none" w:sz="0" w:space="0" w:color="auto"/>
        <w:left w:val="none" w:sz="0" w:space="0" w:color="auto"/>
        <w:bottom w:val="none" w:sz="0" w:space="0" w:color="auto"/>
        <w:right w:val="none" w:sz="0" w:space="0" w:color="auto"/>
      </w:divBdr>
    </w:div>
    <w:div w:id="1732653742">
      <w:bodyDiv w:val="1"/>
      <w:marLeft w:val="0"/>
      <w:marRight w:val="0"/>
      <w:marTop w:val="0"/>
      <w:marBottom w:val="0"/>
      <w:divBdr>
        <w:top w:val="none" w:sz="0" w:space="0" w:color="auto"/>
        <w:left w:val="none" w:sz="0" w:space="0" w:color="auto"/>
        <w:bottom w:val="none" w:sz="0" w:space="0" w:color="auto"/>
        <w:right w:val="none" w:sz="0" w:space="0" w:color="auto"/>
      </w:divBdr>
    </w:div>
    <w:div w:id="1732654040">
      <w:bodyDiv w:val="1"/>
      <w:marLeft w:val="0"/>
      <w:marRight w:val="0"/>
      <w:marTop w:val="0"/>
      <w:marBottom w:val="0"/>
      <w:divBdr>
        <w:top w:val="none" w:sz="0" w:space="0" w:color="auto"/>
        <w:left w:val="none" w:sz="0" w:space="0" w:color="auto"/>
        <w:bottom w:val="none" w:sz="0" w:space="0" w:color="auto"/>
        <w:right w:val="none" w:sz="0" w:space="0" w:color="auto"/>
      </w:divBdr>
    </w:div>
    <w:div w:id="1732773794">
      <w:bodyDiv w:val="1"/>
      <w:marLeft w:val="0"/>
      <w:marRight w:val="0"/>
      <w:marTop w:val="0"/>
      <w:marBottom w:val="0"/>
      <w:divBdr>
        <w:top w:val="none" w:sz="0" w:space="0" w:color="auto"/>
        <w:left w:val="none" w:sz="0" w:space="0" w:color="auto"/>
        <w:bottom w:val="none" w:sz="0" w:space="0" w:color="auto"/>
        <w:right w:val="none" w:sz="0" w:space="0" w:color="auto"/>
      </w:divBdr>
    </w:div>
    <w:div w:id="1732801058">
      <w:bodyDiv w:val="1"/>
      <w:marLeft w:val="0"/>
      <w:marRight w:val="0"/>
      <w:marTop w:val="0"/>
      <w:marBottom w:val="0"/>
      <w:divBdr>
        <w:top w:val="none" w:sz="0" w:space="0" w:color="auto"/>
        <w:left w:val="none" w:sz="0" w:space="0" w:color="auto"/>
        <w:bottom w:val="none" w:sz="0" w:space="0" w:color="auto"/>
        <w:right w:val="none" w:sz="0" w:space="0" w:color="auto"/>
      </w:divBdr>
    </w:div>
    <w:div w:id="1732925579">
      <w:bodyDiv w:val="1"/>
      <w:marLeft w:val="0"/>
      <w:marRight w:val="0"/>
      <w:marTop w:val="0"/>
      <w:marBottom w:val="0"/>
      <w:divBdr>
        <w:top w:val="none" w:sz="0" w:space="0" w:color="auto"/>
        <w:left w:val="none" w:sz="0" w:space="0" w:color="auto"/>
        <w:bottom w:val="none" w:sz="0" w:space="0" w:color="auto"/>
        <w:right w:val="none" w:sz="0" w:space="0" w:color="auto"/>
      </w:divBdr>
    </w:div>
    <w:div w:id="1733117202">
      <w:bodyDiv w:val="1"/>
      <w:marLeft w:val="0"/>
      <w:marRight w:val="0"/>
      <w:marTop w:val="0"/>
      <w:marBottom w:val="0"/>
      <w:divBdr>
        <w:top w:val="none" w:sz="0" w:space="0" w:color="auto"/>
        <w:left w:val="none" w:sz="0" w:space="0" w:color="auto"/>
        <w:bottom w:val="none" w:sz="0" w:space="0" w:color="auto"/>
        <w:right w:val="none" w:sz="0" w:space="0" w:color="auto"/>
      </w:divBdr>
    </w:div>
    <w:div w:id="1733121308">
      <w:bodyDiv w:val="1"/>
      <w:marLeft w:val="0"/>
      <w:marRight w:val="0"/>
      <w:marTop w:val="0"/>
      <w:marBottom w:val="0"/>
      <w:divBdr>
        <w:top w:val="none" w:sz="0" w:space="0" w:color="auto"/>
        <w:left w:val="none" w:sz="0" w:space="0" w:color="auto"/>
        <w:bottom w:val="none" w:sz="0" w:space="0" w:color="auto"/>
        <w:right w:val="none" w:sz="0" w:space="0" w:color="auto"/>
      </w:divBdr>
    </w:div>
    <w:div w:id="1733187501">
      <w:bodyDiv w:val="1"/>
      <w:marLeft w:val="0"/>
      <w:marRight w:val="0"/>
      <w:marTop w:val="0"/>
      <w:marBottom w:val="0"/>
      <w:divBdr>
        <w:top w:val="none" w:sz="0" w:space="0" w:color="auto"/>
        <w:left w:val="none" w:sz="0" w:space="0" w:color="auto"/>
        <w:bottom w:val="none" w:sz="0" w:space="0" w:color="auto"/>
        <w:right w:val="none" w:sz="0" w:space="0" w:color="auto"/>
      </w:divBdr>
    </w:div>
    <w:div w:id="1733307325">
      <w:bodyDiv w:val="1"/>
      <w:marLeft w:val="0"/>
      <w:marRight w:val="0"/>
      <w:marTop w:val="0"/>
      <w:marBottom w:val="0"/>
      <w:divBdr>
        <w:top w:val="none" w:sz="0" w:space="0" w:color="auto"/>
        <w:left w:val="none" w:sz="0" w:space="0" w:color="auto"/>
        <w:bottom w:val="none" w:sz="0" w:space="0" w:color="auto"/>
        <w:right w:val="none" w:sz="0" w:space="0" w:color="auto"/>
      </w:divBdr>
    </w:div>
    <w:div w:id="1733578648">
      <w:bodyDiv w:val="1"/>
      <w:marLeft w:val="0"/>
      <w:marRight w:val="0"/>
      <w:marTop w:val="0"/>
      <w:marBottom w:val="0"/>
      <w:divBdr>
        <w:top w:val="none" w:sz="0" w:space="0" w:color="auto"/>
        <w:left w:val="none" w:sz="0" w:space="0" w:color="auto"/>
        <w:bottom w:val="none" w:sz="0" w:space="0" w:color="auto"/>
        <w:right w:val="none" w:sz="0" w:space="0" w:color="auto"/>
      </w:divBdr>
    </w:div>
    <w:div w:id="1733845412">
      <w:bodyDiv w:val="1"/>
      <w:marLeft w:val="0"/>
      <w:marRight w:val="0"/>
      <w:marTop w:val="0"/>
      <w:marBottom w:val="0"/>
      <w:divBdr>
        <w:top w:val="none" w:sz="0" w:space="0" w:color="auto"/>
        <w:left w:val="none" w:sz="0" w:space="0" w:color="auto"/>
        <w:bottom w:val="none" w:sz="0" w:space="0" w:color="auto"/>
        <w:right w:val="none" w:sz="0" w:space="0" w:color="auto"/>
      </w:divBdr>
    </w:div>
    <w:div w:id="1733851182">
      <w:bodyDiv w:val="1"/>
      <w:marLeft w:val="0"/>
      <w:marRight w:val="0"/>
      <w:marTop w:val="0"/>
      <w:marBottom w:val="0"/>
      <w:divBdr>
        <w:top w:val="none" w:sz="0" w:space="0" w:color="auto"/>
        <w:left w:val="none" w:sz="0" w:space="0" w:color="auto"/>
        <w:bottom w:val="none" w:sz="0" w:space="0" w:color="auto"/>
        <w:right w:val="none" w:sz="0" w:space="0" w:color="auto"/>
      </w:divBdr>
    </w:div>
    <w:div w:id="1733851741">
      <w:bodyDiv w:val="1"/>
      <w:marLeft w:val="0"/>
      <w:marRight w:val="0"/>
      <w:marTop w:val="0"/>
      <w:marBottom w:val="0"/>
      <w:divBdr>
        <w:top w:val="none" w:sz="0" w:space="0" w:color="auto"/>
        <w:left w:val="none" w:sz="0" w:space="0" w:color="auto"/>
        <w:bottom w:val="none" w:sz="0" w:space="0" w:color="auto"/>
        <w:right w:val="none" w:sz="0" w:space="0" w:color="auto"/>
      </w:divBdr>
    </w:div>
    <w:div w:id="1733965405">
      <w:bodyDiv w:val="1"/>
      <w:marLeft w:val="0"/>
      <w:marRight w:val="0"/>
      <w:marTop w:val="0"/>
      <w:marBottom w:val="0"/>
      <w:divBdr>
        <w:top w:val="none" w:sz="0" w:space="0" w:color="auto"/>
        <w:left w:val="none" w:sz="0" w:space="0" w:color="auto"/>
        <w:bottom w:val="none" w:sz="0" w:space="0" w:color="auto"/>
        <w:right w:val="none" w:sz="0" w:space="0" w:color="auto"/>
      </w:divBdr>
    </w:div>
    <w:div w:id="1733966390">
      <w:bodyDiv w:val="1"/>
      <w:marLeft w:val="0"/>
      <w:marRight w:val="0"/>
      <w:marTop w:val="0"/>
      <w:marBottom w:val="0"/>
      <w:divBdr>
        <w:top w:val="none" w:sz="0" w:space="0" w:color="auto"/>
        <w:left w:val="none" w:sz="0" w:space="0" w:color="auto"/>
        <w:bottom w:val="none" w:sz="0" w:space="0" w:color="auto"/>
        <w:right w:val="none" w:sz="0" w:space="0" w:color="auto"/>
      </w:divBdr>
    </w:div>
    <w:div w:id="1734083961">
      <w:bodyDiv w:val="1"/>
      <w:marLeft w:val="0"/>
      <w:marRight w:val="0"/>
      <w:marTop w:val="0"/>
      <w:marBottom w:val="0"/>
      <w:divBdr>
        <w:top w:val="none" w:sz="0" w:space="0" w:color="auto"/>
        <w:left w:val="none" w:sz="0" w:space="0" w:color="auto"/>
        <w:bottom w:val="none" w:sz="0" w:space="0" w:color="auto"/>
        <w:right w:val="none" w:sz="0" w:space="0" w:color="auto"/>
      </w:divBdr>
    </w:div>
    <w:div w:id="1734163079">
      <w:bodyDiv w:val="1"/>
      <w:marLeft w:val="0"/>
      <w:marRight w:val="0"/>
      <w:marTop w:val="0"/>
      <w:marBottom w:val="0"/>
      <w:divBdr>
        <w:top w:val="none" w:sz="0" w:space="0" w:color="auto"/>
        <w:left w:val="none" w:sz="0" w:space="0" w:color="auto"/>
        <w:bottom w:val="none" w:sz="0" w:space="0" w:color="auto"/>
        <w:right w:val="none" w:sz="0" w:space="0" w:color="auto"/>
      </w:divBdr>
    </w:div>
    <w:div w:id="1734232394">
      <w:bodyDiv w:val="1"/>
      <w:marLeft w:val="0"/>
      <w:marRight w:val="0"/>
      <w:marTop w:val="0"/>
      <w:marBottom w:val="0"/>
      <w:divBdr>
        <w:top w:val="none" w:sz="0" w:space="0" w:color="auto"/>
        <w:left w:val="none" w:sz="0" w:space="0" w:color="auto"/>
        <w:bottom w:val="none" w:sz="0" w:space="0" w:color="auto"/>
        <w:right w:val="none" w:sz="0" w:space="0" w:color="auto"/>
      </w:divBdr>
    </w:div>
    <w:div w:id="1734305884">
      <w:bodyDiv w:val="1"/>
      <w:marLeft w:val="0"/>
      <w:marRight w:val="0"/>
      <w:marTop w:val="0"/>
      <w:marBottom w:val="0"/>
      <w:divBdr>
        <w:top w:val="none" w:sz="0" w:space="0" w:color="auto"/>
        <w:left w:val="none" w:sz="0" w:space="0" w:color="auto"/>
        <w:bottom w:val="none" w:sz="0" w:space="0" w:color="auto"/>
        <w:right w:val="none" w:sz="0" w:space="0" w:color="auto"/>
      </w:divBdr>
    </w:div>
    <w:div w:id="1734428548">
      <w:bodyDiv w:val="1"/>
      <w:marLeft w:val="0"/>
      <w:marRight w:val="0"/>
      <w:marTop w:val="0"/>
      <w:marBottom w:val="0"/>
      <w:divBdr>
        <w:top w:val="none" w:sz="0" w:space="0" w:color="auto"/>
        <w:left w:val="none" w:sz="0" w:space="0" w:color="auto"/>
        <w:bottom w:val="none" w:sz="0" w:space="0" w:color="auto"/>
        <w:right w:val="none" w:sz="0" w:space="0" w:color="auto"/>
      </w:divBdr>
    </w:div>
    <w:div w:id="1734498557">
      <w:bodyDiv w:val="1"/>
      <w:marLeft w:val="0"/>
      <w:marRight w:val="0"/>
      <w:marTop w:val="0"/>
      <w:marBottom w:val="0"/>
      <w:divBdr>
        <w:top w:val="none" w:sz="0" w:space="0" w:color="auto"/>
        <w:left w:val="none" w:sz="0" w:space="0" w:color="auto"/>
        <w:bottom w:val="none" w:sz="0" w:space="0" w:color="auto"/>
        <w:right w:val="none" w:sz="0" w:space="0" w:color="auto"/>
      </w:divBdr>
    </w:div>
    <w:div w:id="1734548603">
      <w:bodyDiv w:val="1"/>
      <w:marLeft w:val="0"/>
      <w:marRight w:val="0"/>
      <w:marTop w:val="0"/>
      <w:marBottom w:val="0"/>
      <w:divBdr>
        <w:top w:val="none" w:sz="0" w:space="0" w:color="auto"/>
        <w:left w:val="none" w:sz="0" w:space="0" w:color="auto"/>
        <w:bottom w:val="none" w:sz="0" w:space="0" w:color="auto"/>
        <w:right w:val="none" w:sz="0" w:space="0" w:color="auto"/>
      </w:divBdr>
    </w:div>
    <w:div w:id="1734692615">
      <w:bodyDiv w:val="1"/>
      <w:marLeft w:val="0"/>
      <w:marRight w:val="0"/>
      <w:marTop w:val="0"/>
      <w:marBottom w:val="0"/>
      <w:divBdr>
        <w:top w:val="none" w:sz="0" w:space="0" w:color="auto"/>
        <w:left w:val="none" w:sz="0" w:space="0" w:color="auto"/>
        <w:bottom w:val="none" w:sz="0" w:space="0" w:color="auto"/>
        <w:right w:val="none" w:sz="0" w:space="0" w:color="auto"/>
      </w:divBdr>
    </w:div>
    <w:div w:id="1734936298">
      <w:bodyDiv w:val="1"/>
      <w:marLeft w:val="0"/>
      <w:marRight w:val="0"/>
      <w:marTop w:val="0"/>
      <w:marBottom w:val="0"/>
      <w:divBdr>
        <w:top w:val="none" w:sz="0" w:space="0" w:color="auto"/>
        <w:left w:val="none" w:sz="0" w:space="0" w:color="auto"/>
        <w:bottom w:val="none" w:sz="0" w:space="0" w:color="auto"/>
        <w:right w:val="none" w:sz="0" w:space="0" w:color="auto"/>
      </w:divBdr>
    </w:div>
    <w:div w:id="1735011483">
      <w:bodyDiv w:val="1"/>
      <w:marLeft w:val="0"/>
      <w:marRight w:val="0"/>
      <w:marTop w:val="0"/>
      <w:marBottom w:val="0"/>
      <w:divBdr>
        <w:top w:val="none" w:sz="0" w:space="0" w:color="auto"/>
        <w:left w:val="none" w:sz="0" w:space="0" w:color="auto"/>
        <w:bottom w:val="none" w:sz="0" w:space="0" w:color="auto"/>
        <w:right w:val="none" w:sz="0" w:space="0" w:color="auto"/>
      </w:divBdr>
    </w:div>
    <w:div w:id="1735079755">
      <w:bodyDiv w:val="1"/>
      <w:marLeft w:val="0"/>
      <w:marRight w:val="0"/>
      <w:marTop w:val="0"/>
      <w:marBottom w:val="0"/>
      <w:divBdr>
        <w:top w:val="none" w:sz="0" w:space="0" w:color="auto"/>
        <w:left w:val="none" w:sz="0" w:space="0" w:color="auto"/>
        <w:bottom w:val="none" w:sz="0" w:space="0" w:color="auto"/>
        <w:right w:val="none" w:sz="0" w:space="0" w:color="auto"/>
      </w:divBdr>
    </w:div>
    <w:div w:id="1735084614">
      <w:bodyDiv w:val="1"/>
      <w:marLeft w:val="0"/>
      <w:marRight w:val="0"/>
      <w:marTop w:val="0"/>
      <w:marBottom w:val="0"/>
      <w:divBdr>
        <w:top w:val="none" w:sz="0" w:space="0" w:color="auto"/>
        <w:left w:val="none" w:sz="0" w:space="0" w:color="auto"/>
        <w:bottom w:val="none" w:sz="0" w:space="0" w:color="auto"/>
        <w:right w:val="none" w:sz="0" w:space="0" w:color="auto"/>
      </w:divBdr>
    </w:div>
    <w:div w:id="1735543573">
      <w:bodyDiv w:val="1"/>
      <w:marLeft w:val="0"/>
      <w:marRight w:val="0"/>
      <w:marTop w:val="0"/>
      <w:marBottom w:val="0"/>
      <w:divBdr>
        <w:top w:val="none" w:sz="0" w:space="0" w:color="auto"/>
        <w:left w:val="none" w:sz="0" w:space="0" w:color="auto"/>
        <w:bottom w:val="none" w:sz="0" w:space="0" w:color="auto"/>
        <w:right w:val="none" w:sz="0" w:space="0" w:color="auto"/>
      </w:divBdr>
    </w:div>
    <w:div w:id="1735545203">
      <w:bodyDiv w:val="1"/>
      <w:marLeft w:val="0"/>
      <w:marRight w:val="0"/>
      <w:marTop w:val="0"/>
      <w:marBottom w:val="0"/>
      <w:divBdr>
        <w:top w:val="none" w:sz="0" w:space="0" w:color="auto"/>
        <w:left w:val="none" w:sz="0" w:space="0" w:color="auto"/>
        <w:bottom w:val="none" w:sz="0" w:space="0" w:color="auto"/>
        <w:right w:val="none" w:sz="0" w:space="0" w:color="auto"/>
      </w:divBdr>
    </w:div>
    <w:div w:id="1735733523">
      <w:bodyDiv w:val="1"/>
      <w:marLeft w:val="0"/>
      <w:marRight w:val="0"/>
      <w:marTop w:val="0"/>
      <w:marBottom w:val="0"/>
      <w:divBdr>
        <w:top w:val="none" w:sz="0" w:space="0" w:color="auto"/>
        <w:left w:val="none" w:sz="0" w:space="0" w:color="auto"/>
        <w:bottom w:val="none" w:sz="0" w:space="0" w:color="auto"/>
        <w:right w:val="none" w:sz="0" w:space="0" w:color="auto"/>
      </w:divBdr>
    </w:div>
    <w:div w:id="1735735408">
      <w:bodyDiv w:val="1"/>
      <w:marLeft w:val="0"/>
      <w:marRight w:val="0"/>
      <w:marTop w:val="0"/>
      <w:marBottom w:val="0"/>
      <w:divBdr>
        <w:top w:val="none" w:sz="0" w:space="0" w:color="auto"/>
        <w:left w:val="none" w:sz="0" w:space="0" w:color="auto"/>
        <w:bottom w:val="none" w:sz="0" w:space="0" w:color="auto"/>
        <w:right w:val="none" w:sz="0" w:space="0" w:color="auto"/>
      </w:divBdr>
    </w:div>
    <w:div w:id="1735854821">
      <w:bodyDiv w:val="1"/>
      <w:marLeft w:val="0"/>
      <w:marRight w:val="0"/>
      <w:marTop w:val="0"/>
      <w:marBottom w:val="0"/>
      <w:divBdr>
        <w:top w:val="none" w:sz="0" w:space="0" w:color="auto"/>
        <w:left w:val="none" w:sz="0" w:space="0" w:color="auto"/>
        <w:bottom w:val="none" w:sz="0" w:space="0" w:color="auto"/>
        <w:right w:val="none" w:sz="0" w:space="0" w:color="auto"/>
      </w:divBdr>
    </w:div>
    <w:div w:id="1735856973">
      <w:bodyDiv w:val="1"/>
      <w:marLeft w:val="0"/>
      <w:marRight w:val="0"/>
      <w:marTop w:val="0"/>
      <w:marBottom w:val="0"/>
      <w:divBdr>
        <w:top w:val="none" w:sz="0" w:space="0" w:color="auto"/>
        <w:left w:val="none" w:sz="0" w:space="0" w:color="auto"/>
        <w:bottom w:val="none" w:sz="0" w:space="0" w:color="auto"/>
        <w:right w:val="none" w:sz="0" w:space="0" w:color="auto"/>
      </w:divBdr>
    </w:div>
    <w:div w:id="1735858615">
      <w:bodyDiv w:val="1"/>
      <w:marLeft w:val="0"/>
      <w:marRight w:val="0"/>
      <w:marTop w:val="0"/>
      <w:marBottom w:val="0"/>
      <w:divBdr>
        <w:top w:val="none" w:sz="0" w:space="0" w:color="auto"/>
        <w:left w:val="none" w:sz="0" w:space="0" w:color="auto"/>
        <w:bottom w:val="none" w:sz="0" w:space="0" w:color="auto"/>
        <w:right w:val="none" w:sz="0" w:space="0" w:color="auto"/>
      </w:divBdr>
    </w:div>
    <w:div w:id="1735926370">
      <w:bodyDiv w:val="1"/>
      <w:marLeft w:val="0"/>
      <w:marRight w:val="0"/>
      <w:marTop w:val="0"/>
      <w:marBottom w:val="0"/>
      <w:divBdr>
        <w:top w:val="none" w:sz="0" w:space="0" w:color="auto"/>
        <w:left w:val="none" w:sz="0" w:space="0" w:color="auto"/>
        <w:bottom w:val="none" w:sz="0" w:space="0" w:color="auto"/>
        <w:right w:val="none" w:sz="0" w:space="0" w:color="auto"/>
      </w:divBdr>
    </w:div>
    <w:div w:id="1736052905">
      <w:bodyDiv w:val="1"/>
      <w:marLeft w:val="0"/>
      <w:marRight w:val="0"/>
      <w:marTop w:val="0"/>
      <w:marBottom w:val="0"/>
      <w:divBdr>
        <w:top w:val="none" w:sz="0" w:space="0" w:color="auto"/>
        <w:left w:val="none" w:sz="0" w:space="0" w:color="auto"/>
        <w:bottom w:val="none" w:sz="0" w:space="0" w:color="auto"/>
        <w:right w:val="none" w:sz="0" w:space="0" w:color="auto"/>
      </w:divBdr>
    </w:div>
    <w:div w:id="1736077179">
      <w:bodyDiv w:val="1"/>
      <w:marLeft w:val="0"/>
      <w:marRight w:val="0"/>
      <w:marTop w:val="0"/>
      <w:marBottom w:val="0"/>
      <w:divBdr>
        <w:top w:val="none" w:sz="0" w:space="0" w:color="auto"/>
        <w:left w:val="none" w:sz="0" w:space="0" w:color="auto"/>
        <w:bottom w:val="none" w:sz="0" w:space="0" w:color="auto"/>
        <w:right w:val="none" w:sz="0" w:space="0" w:color="auto"/>
      </w:divBdr>
    </w:div>
    <w:div w:id="1736120361">
      <w:bodyDiv w:val="1"/>
      <w:marLeft w:val="0"/>
      <w:marRight w:val="0"/>
      <w:marTop w:val="0"/>
      <w:marBottom w:val="0"/>
      <w:divBdr>
        <w:top w:val="none" w:sz="0" w:space="0" w:color="auto"/>
        <w:left w:val="none" w:sz="0" w:space="0" w:color="auto"/>
        <w:bottom w:val="none" w:sz="0" w:space="0" w:color="auto"/>
        <w:right w:val="none" w:sz="0" w:space="0" w:color="auto"/>
      </w:divBdr>
    </w:div>
    <w:div w:id="1736126060">
      <w:bodyDiv w:val="1"/>
      <w:marLeft w:val="0"/>
      <w:marRight w:val="0"/>
      <w:marTop w:val="0"/>
      <w:marBottom w:val="0"/>
      <w:divBdr>
        <w:top w:val="none" w:sz="0" w:space="0" w:color="auto"/>
        <w:left w:val="none" w:sz="0" w:space="0" w:color="auto"/>
        <w:bottom w:val="none" w:sz="0" w:space="0" w:color="auto"/>
        <w:right w:val="none" w:sz="0" w:space="0" w:color="auto"/>
      </w:divBdr>
    </w:div>
    <w:div w:id="1736200745">
      <w:bodyDiv w:val="1"/>
      <w:marLeft w:val="0"/>
      <w:marRight w:val="0"/>
      <w:marTop w:val="0"/>
      <w:marBottom w:val="0"/>
      <w:divBdr>
        <w:top w:val="none" w:sz="0" w:space="0" w:color="auto"/>
        <w:left w:val="none" w:sz="0" w:space="0" w:color="auto"/>
        <w:bottom w:val="none" w:sz="0" w:space="0" w:color="auto"/>
        <w:right w:val="none" w:sz="0" w:space="0" w:color="auto"/>
      </w:divBdr>
    </w:div>
    <w:div w:id="1736200751">
      <w:bodyDiv w:val="1"/>
      <w:marLeft w:val="0"/>
      <w:marRight w:val="0"/>
      <w:marTop w:val="0"/>
      <w:marBottom w:val="0"/>
      <w:divBdr>
        <w:top w:val="none" w:sz="0" w:space="0" w:color="auto"/>
        <w:left w:val="none" w:sz="0" w:space="0" w:color="auto"/>
        <w:bottom w:val="none" w:sz="0" w:space="0" w:color="auto"/>
        <w:right w:val="none" w:sz="0" w:space="0" w:color="auto"/>
      </w:divBdr>
    </w:div>
    <w:div w:id="1736317847">
      <w:bodyDiv w:val="1"/>
      <w:marLeft w:val="0"/>
      <w:marRight w:val="0"/>
      <w:marTop w:val="0"/>
      <w:marBottom w:val="0"/>
      <w:divBdr>
        <w:top w:val="none" w:sz="0" w:space="0" w:color="auto"/>
        <w:left w:val="none" w:sz="0" w:space="0" w:color="auto"/>
        <w:bottom w:val="none" w:sz="0" w:space="0" w:color="auto"/>
        <w:right w:val="none" w:sz="0" w:space="0" w:color="auto"/>
      </w:divBdr>
    </w:div>
    <w:div w:id="1736512813">
      <w:bodyDiv w:val="1"/>
      <w:marLeft w:val="0"/>
      <w:marRight w:val="0"/>
      <w:marTop w:val="0"/>
      <w:marBottom w:val="0"/>
      <w:divBdr>
        <w:top w:val="none" w:sz="0" w:space="0" w:color="auto"/>
        <w:left w:val="none" w:sz="0" w:space="0" w:color="auto"/>
        <w:bottom w:val="none" w:sz="0" w:space="0" w:color="auto"/>
        <w:right w:val="none" w:sz="0" w:space="0" w:color="auto"/>
      </w:divBdr>
    </w:div>
    <w:div w:id="1736513490">
      <w:bodyDiv w:val="1"/>
      <w:marLeft w:val="0"/>
      <w:marRight w:val="0"/>
      <w:marTop w:val="0"/>
      <w:marBottom w:val="0"/>
      <w:divBdr>
        <w:top w:val="none" w:sz="0" w:space="0" w:color="auto"/>
        <w:left w:val="none" w:sz="0" w:space="0" w:color="auto"/>
        <w:bottom w:val="none" w:sz="0" w:space="0" w:color="auto"/>
        <w:right w:val="none" w:sz="0" w:space="0" w:color="auto"/>
      </w:divBdr>
    </w:div>
    <w:div w:id="1736589944">
      <w:bodyDiv w:val="1"/>
      <w:marLeft w:val="0"/>
      <w:marRight w:val="0"/>
      <w:marTop w:val="0"/>
      <w:marBottom w:val="0"/>
      <w:divBdr>
        <w:top w:val="none" w:sz="0" w:space="0" w:color="auto"/>
        <w:left w:val="none" w:sz="0" w:space="0" w:color="auto"/>
        <w:bottom w:val="none" w:sz="0" w:space="0" w:color="auto"/>
        <w:right w:val="none" w:sz="0" w:space="0" w:color="auto"/>
      </w:divBdr>
    </w:div>
    <w:div w:id="1736590565">
      <w:bodyDiv w:val="1"/>
      <w:marLeft w:val="0"/>
      <w:marRight w:val="0"/>
      <w:marTop w:val="0"/>
      <w:marBottom w:val="0"/>
      <w:divBdr>
        <w:top w:val="none" w:sz="0" w:space="0" w:color="auto"/>
        <w:left w:val="none" w:sz="0" w:space="0" w:color="auto"/>
        <w:bottom w:val="none" w:sz="0" w:space="0" w:color="auto"/>
        <w:right w:val="none" w:sz="0" w:space="0" w:color="auto"/>
      </w:divBdr>
    </w:div>
    <w:div w:id="1736662084">
      <w:bodyDiv w:val="1"/>
      <w:marLeft w:val="0"/>
      <w:marRight w:val="0"/>
      <w:marTop w:val="0"/>
      <w:marBottom w:val="0"/>
      <w:divBdr>
        <w:top w:val="none" w:sz="0" w:space="0" w:color="auto"/>
        <w:left w:val="none" w:sz="0" w:space="0" w:color="auto"/>
        <w:bottom w:val="none" w:sz="0" w:space="0" w:color="auto"/>
        <w:right w:val="none" w:sz="0" w:space="0" w:color="auto"/>
      </w:divBdr>
    </w:div>
    <w:div w:id="1736735206">
      <w:bodyDiv w:val="1"/>
      <w:marLeft w:val="0"/>
      <w:marRight w:val="0"/>
      <w:marTop w:val="0"/>
      <w:marBottom w:val="0"/>
      <w:divBdr>
        <w:top w:val="none" w:sz="0" w:space="0" w:color="auto"/>
        <w:left w:val="none" w:sz="0" w:space="0" w:color="auto"/>
        <w:bottom w:val="none" w:sz="0" w:space="0" w:color="auto"/>
        <w:right w:val="none" w:sz="0" w:space="0" w:color="auto"/>
      </w:divBdr>
    </w:div>
    <w:div w:id="1736782353">
      <w:bodyDiv w:val="1"/>
      <w:marLeft w:val="0"/>
      <w:marRight w:val="0"/>
      <w:marTop w:val="0"/>
      <w:marBottom w:val="0"/>
      <w:divBdr>
        <w:top w:val="none" w:sz="0" w:space="0" w:color="auto"/>
        <w:left w:val="none" w:sz="0" w:space="0" w:color="auto"/>
        <w:bottom w:val="none" w:sz="0" w:space="0" w:color="auto"/>
        <w:right w:val="none" w:sz="0" w:space="0" w:color="auto"/>
      </w:divBdr>
    </w:div>
    <w:div w:id="1736902220">
      <w:bodyDiv w:val="1"/>
      <w:marLeft w:val="0"/>
      <w:marRight w:val="0"/>
      <w:marTop w:val="0"/>
      <w:marBottom w:val="0"/>
      <w:divBdr>
        <w:top w:val="none" w:sz="0" w:space="0" w:color="auto"/>
        <w:left w:val="none" w:sz="0" w:space="0" w:color="auto"/>
        <w:bottom w:val="none" w:sz="0" w:space="0" w:color="auto"/>
        <w:right w:val="none" w:sz="0" w:space="0" w:color="auto"/>
      </w:divBdr>
    </w:div>
    <w:div w:id="1736975062">
      <w:bodyDiv w:val="1"/>
      <w:marLeft w:val="0"/>
      <w:marRight w:val="0"/>
      <w:marTop w:val="0"/>
      <w:marBottom w:val="0"/>
      <w:divBdr>
        <w:top w:val="none" w:sz="0" w:space="0" w:color="auto"/>
        <w:left w:val="none" w:sz="0" w:space="0" w:color="auto"/>
        <w:bottom w:val="none" w:sz="0" w:space="0" w:color="auto"/>
        <w:right w:val="none" w:sz="0" w:space="0" w:color="auto"/>
      </w:divBdr>
    </w:div>
    <w:div w:id="1737510079">
      <w:bodyDiv w:val="1"/>
      <w:marLeft w:val="0"/>
      <w:marRight w:val="0"/>
      <w:marTop w:val="0"/>
      <w:marBottom w:val="0"/>
      <w:divBdr>
        <w:top w:val="none" w:sz="0" w:space="0" w:color="auto"/>
        <w:left w:val="none" w:sz="0" w:space="0" w:color="auto"/>
        <w:bottom w:val="none" w:sz="0" w:space="0" w:color="auto"/>
        <w:right w:val="none" w:sz="0" w:space="0" w:color="auto"/>
      </w:divBdr>
    </w:div>
    <w:div w:id="1737511333">
      <w:bodyDiv w:val="1"/>
      <w:marLeft w:val="0"/>
      <w:marRight w:val="0"/>
      <w:marTop w:val="0"/>
      <w:marBottom w:val="0"/>
      <w:divBdr>
        <w:top w:val="none" w:sz="0" w:space="0" w:color="auto"/>
        <w:left w:val="none" w:sz="0" w:space="0" w:color="auto"/>
        <w:bottom w:val="none" w:sz="0" w:space="0" w:color="auto"/>
        <w:right w:val="none" w:sz="0" w:space="0" w:color="auto"/>
      </w:divBdr>
    </w:div>
    <w:div w:id="1737512577">
      <w:bodyDiv w:val="1"/>
      <w:marLeft w:val="0"/>
      <w:marRight w:val="0"/>
      <w:marTop w:val="0"/>
      <w:marBottom w:val="0"/>
      <w:divBdr>
        <w:top w:val="none" w:sz="0" w:space="0" w:color="auto"/>
        <w:left w:val="none" w:sz="0" w:space="0" w:color="auto"/>
        <w:bottom w:val="none" w:sz="0" w:space="0" w:color="auto"/>
        <w:right w:val="none" w:sz="0" w:space="0" w:color="auto"/>
      </w:divBdr>
    </w:div>
    <w:div w:id="1737707886">
      <w:bodyDiv w:val="1"/>
      <w:marLeft w:val="0"/>
      <w:marRight w:val="0"/>
      <w:marTop w:val="0"/>
      <w:marBottom w:val="0"/>
      <w:divBdr>
        <w:top w:val="none" w:sz="0" w:space="0" w:color="auto"/>
        <w:left w:val="none" w:sz="0" w:space="0" w:color="auto"/>
        <w:bottom w:val="none" w:sz="0" w:space="0" w:color="auto"/>
        <w:right w:val="none" w:sz="0" w:space="0" w:color="auto"/>
      </w:divBdr>
    </w:div>
    <w:div w:id="1737780737">
      <w:bodyDiv w:val="1"/>
      <w:marLeft w:val="0"/>
      <w:marRight w:val="0"/>
      <w:marTop w:val="0"/>
      <w:marBottom w:val="0"/>
      <w:divBdr>
        <w:top w:val="none" w:sz="0" w:space="0" w:color="auto"/>
        <w:left w:val="none" w:sz="0" w:space="0" w:color="auto"/>
        <w:bottom w:val="none" w:sz="0" w:space="0" w:color="auto"/>
        <w:right w:val="none" w:sz="0" w:space="0" w:color="auto"/>
      </w:divBdr>
    </w:div>
    <w:div w:id="1737898365">
      <w:bodyDiv w:val="1"/>
      <w:marLeft w:val="0"/>
      <w:marRight w:val="0"/>
      <w:marTop w:val="0"/>
      <w:marBottom w:val="0"/>
      <w:divBdr>
        <w:top w:val="none" w:sz="0" w:space="0" w:color="auto"/>
        <w:left w:val="none" w:sz="0" w:space="0" w:color="auto"/>
        <w:bottom w:val="none" w:sz="0" w:space="0" w:color="auto"/>
        <w:right w:val="none" w:sz="0" w:space="0" w:color="auto"/>
      </w:divBdr>
    </w:div>
    <w:div w:id="1738090295">
      <w:bodyDiv w:val="1"/>
      <w:marLeft w:val="0"/>
      <w:marRight w:val="0"/>
      <w:marTop w:val="0"/>
      <w:marBottom w:val="0"/>
      <w:divBdr>
        <w:top w:val="none" w:sz="0" w:space="0" w:color="auto"/>
        <w:left w:val="none" w:sz="0" w:space="0" w:color="auto"/>
        <w:bottom w:val="none" w:sz="0" w:space="0" w:color="auto"/>
        <w:right w:val="none" w:sz="0" w:space="0" w:color="auto"/>
      </w:divBdr>
    </w:div>
    <w:div w:id="1738280134">
      <w:bodyDiv w:val="1"/>
      <w:marLeft w:val="0"/>
      <w:marRight w:val="0"/>
      <w:marTop w:val="0"/>
      <w:marBottom w:val="0"/>
      <w:divBdr>
        <w:top w:val="none" w:sz="0" w:space="0" w:color="auto"/>
        <w:left w:val="none" w:sz="0" w:space="0" w:color="auto"/>
        <w:bottom w:val="none" w:sz="0" w:space="0" w:color="auto"/>
        <w:right w:val="none" w:sz="0" w:space="0" w:color="auto"/>
      </w:divBdr>
    </w:div>
    <w:div w:id="1738478014">
      <w:bodyDiv w:val="1"/>
      <w:marLeft w:val="0"/>
      <w:marRight w:val="0"/>
      <w:marTop w:val="0"/>
      <w:marBottom w:val="0"/>
      <w:divBdr>
        <w:top w:val="none" w:sz="0" w:space="0" w:color="auto"/>
        <w:left w:val="none" w:sz="0" w:space="0" w:color="auto"/>
        <w:bottom w:val="none" w:sz="0" w:space="0" w:color="auto"/>
        <w:right w:val="none" w:sz="0" w:space="0" w:color="auto"/>
      </w:divBdr>
    </w:div>
    <w:div w:id="1738549899">
      <w:bodyDiv w:val="1"/>
      <w:marLeft w:val="0"/>
      <w:marRight w:val="0"/>
      <w:marTop w:val="0"/>
      <w:marBottom w:val="0"/>
      <w:divBdr>
        <w:top w:val="none" w:sz="0" w:space="0" w:color="auto"/>
        <w:left w:val="none" w:sz="0" w:space="0" w:color="auto"/>
        <w:bottom w:val="none" w:sz="0" w:space="0" w:color="auto"/>
        <w:right w:val="none" w:sz="0" w:space="0" w:color="auto"/>
      </w:divBdr>
    </w:div>
    <w:div w:id="1738626987">
      <w:bodyDiv w:val="1"/>
      <w:marLeft w:val="0"/>
      <w:marRight w:val="0"/>
      <w:marTop w:val="0"/>
      <w:marBottom w:val="0"/>
      <w:divBdr>
        <w:top w:val="none" w:sz="0" w:space="0" w:color="auto"/>
        <w:left w:val="none" w:sz="0" w:space="0" w:color="auto"/>
        <w:bottom w:val="none" w:sz="0" w:space="0" w:color="auto"/>
        <w:right w:val="none" w:sz="0" w:space="0" w:color="auto"/>
      </w:divBdr>
    </w:div>
    <w:div w:id="1738701657">
      <w:bodyDiv w:val="1"/>
      <w:marLeft w:val="0"/>
      <w:marRight w:val="0"/>
      <w:marTop w:val="0"/>
      <w:marBottom w:val="0"/>
      <w:divBdr>
        <w:top w:val="none" w:sz="0" w:space="0" w:color="auto"/>
        <w:left w:val="none" w:sz="0" w:space="0" w:color="auto"/>
        <w:bottom w:val="none" w:sz="0" w:space="0" w:color="auto"/>
        <w:right w:val="none" w:sz="0" w:space="0" w:color="auto"/>
      </w:divBdr>
    </w:div>
    <w:div w:id="1738891457">
      <w:bodyDiv w:val="1"/>
      <w:marLeft w:val="0"/>
      <w:marRight w:val="0"/>
      <w:marTop w:val="0"/>
      <w:marBottom w:val="0"/>
      <w:divBdr>
        <w:top w:val="none" w:sz="0" w:space="0" w:color="auto"/>
        <w:left w:val="none" w:sz="0" w:space="0" w:color="auto"/>
        <w:bottom w:val="none" w:sz="0" w:space="0" w:color="auto"/>
        <w:right w:val="none" w:sz="0" w:space="0" w:color="auto"/>
      </w:divBdr>
    </w:div>
    <w:div w:id="1738936941">
      <w:bodyDiv w:val="1"/>
      <w:marLeft w:val="0"/>
      <w:marRight w:val="0"/>
      <w:marTop w:val="0"/>
      <w:marBottom w:val="0"/>
      <w:divBdr>
        <w:top w:val="none" w:sz="0" w:space="0" w:color="auto"/>
        <w:left w:val="none" w:sz="0" w:space="0" w:color="auto"/>
        <w:bottom w:val="none" w:sz="0" w:space="0" w:color="auto"/>
        <w:right w:val="none" w:sz="0" w:space="0" w:color="auto"/>
      </w:divBdr>
    </w:div>
    <w:div w:id="1739012393">
      <w:bodyDiv w:val="1"/>
      <w:marLeft w:val="0"/>
      <w:marRight w:val="0"/>
      <w:marTop w:val="0"/>
      <w:marBottom w:val="0"/>
      <w:divBdr>
        <w:top w:val="none" w:sz="0" w:space="0" w:color="auto"/>
        <w:left w:val="none" w:sz="0" w:space="0" w:color="auto"/>
        <w:bottom w:val="none" w:sz="0" w:space="0" w:color="auto"/>
        <w:right w:val="none" w:sz="0" w:space="0" w:color="auto"/>
      </w:divBdr>
    </w:div>
    <w:div w:id="1739015847">
      <w:bodyDiv w:val="1"/>
      <w:marLeft w:val="0"/>
      <w:marRight w:val="0"/>
      <w:marTop w:val="0"/>
      <w:marBottom w:val="0"/>
      <w:divBdr>
        <w:top w:val="none" w:sz="0" w:space="0" w:color="auto"/>
        <w:left w:val="none" w:sz="0" w:space="0" w:color="auto"/>
        <w:bottom w:val="none" w:sz="0" w:space="0" w:color="auto"/>
        <w:right w:val="none" w:sz="0" w:space="0" w:color="auto"/>
      </w:divBdr>
    </w:div>
    <w:div w:id="1739130330">
      <w:bodyDiv w:val="1"/>
      <w:marLeft w:val="0"/>
      <w:marRight w:val="0"/>
      <w:marTop w:val="0"/>
      <w:marBottom w:val="0"/>
      <w:divBdr>
        <w:top w:val="none" w:sz="0" w:space="0" w:color="auto"/>
        <w:left w:val="none" w:sz="0" w:space="0" w:color="auto"/>
        <w:bottom w:val="none" w:sz="0" w:space="0" w:color="auto"/>
        <w:right w:val="none" w:sz="0" w:space="0" w:color="auto"/>
      </w:divBdr>
    </w:div>
    <w:div w:id="1739134688">
      <w:bodyDiv w:val="1"/>
      <w:marLeft w:val="0"/>
      <w:marRight w:val="0"/>
      <w:marTop w:val="0"/>
      <w:marBottom w:val="0"/>
      <w:divBdr>
        <w:top w:val="none" w:sz="0" w:space="0" w:color="auto"/>
        <w:left w:val="none" w:sz="0" w:space="0" w:color="auto"/>
        <w:bottom w:val="none" w:sz="0" w:space="0" w:color="auto"/>
        <w:right w:val="none" w:sz="0" w:space="0" w:color="auto"/>
      </w:divBdr>
    </w:div>
    <w:div w:id="1739160591">
      <w:bodyDiv w:val="1"/>
      <w:marLeft w:val="0"/>
      <w:marRight w:val="0"/>
      <w:marTop w:val="0"/>
      <w:marBottom w:val="0"/>
      <w:divBdr>
        <w:top w:val="none" w:sz="0" w:space="0" w:color="auto"/>
        <w:left w:val="none" w:sz="0" w:space="0" w:color="auto"/>
        <w:bottom w:val="none" w:sz="0" w:space="0" w:color="auto"/>
        <w:right w:val="none" w:sz="0" w:space="0" w:color="auto"/>
      </w:divBdr>
    </w:div>
    <w:div w:id="1739160927">
      <w:bodyDiv w:val="1"/>
      <w:marLeft w:val="0"/>
      <w:marRight w:val="0"/>
      <w:marTop w:val="0"/>
      <w:marBottom w:val="0"/>
      <w:divBdr>
        <w:top w:val="none" w:sz="0" w:space="0" w:color="auto"/>
        <w:left w:val="none" w:sz="0" w:space="0" w:color="auto"/>
        <w:bottom w:val="none" w:sz="0" w:space="0" w:color="auto"/>
        <w:right w:val="none" w:sz="0" w:space="0" w:color="auto"/>
      </w:divBdr>
    </w:div>
    <w:div w:id="1739207557">
      <w:bodyDiv w:val="1"/>
      <w:marLeft w:val="0"/>
      <w:marRight w:val="0"/>
      <w:marTop w:val="0"/>
      <w:marBottom w:val="0"/>
      <w:divBdr>
        <w:top w:val="none" w:sz="0" w:space="0" w:color="auto"/>
        <w:left w:val="none" w:sz="0" w:space="0" w:color="auto"/>
        <w:bottom w:val="none" w:sz="0" w:space="0" w:color="auto"/>
        <w:right w:val="none" w:sz="0" w:space="0" w:color="auto"/>
      </w:divBdr>
    </w:div>
    <w:div w:id="1739474208">
      <w:bodyDiv w:val="1"/>
      <w:marLeft w:val="0"/>
      <w:marRight w:val="0"/>
      <w:marTop w:val="0"/>
      <w:marBottom w:val="0"/>
      <w:divBdr>
        <w:top w:val="none" w:sz="0" w:space="0" w:color="auto"/>
        <w:left w:val="none" w:sz="0" w:space="0" w:color="auto"/>
        <w:bottom w:val="none" w:sz="0" w:space="0" w:color="auto"/>
        <w:right w:val="none" w:sz="0" w:space="0" w:color="auto"/>
      </w:divBdr>
    </w:div>
    <w:div w:id="1739548850">
      <w:bodyDiv w:val="1"/>
      <w:marLeft w:val="0"/>
      <w:marRight w:val="0"/>
      <w:marTop w:val="0"/>
      <w:marBottom w:val="0"/>
      <w:divBdr>
        <w:top w:val="none" w:sz="0" w:space="0" w:color="auto"/>
        <w:left w:val="none" w:sz="0" w:space="0" w:color="auto"/>
        <w:bottom w:val="none" w:sz="0" w:space="0" w:color="auto"/>
        <w:right w:val="none" w:sz="0" w:space="0" w:color="auto"/>
      </w:divBdr>
    </w:div>
    <w:div w:id="1739549113">
      <w:bodyDiv w:val="1"/>
      <w:marLeft w:val="0"/>
      <w:marRight w:val="0"/>
      <w:marTop w:val="0"/>
      <w:marBottom w:val="0"/>
      <w:divBdr>
        <w:top w:val="none" w:sz="0" w:space="0" w:color="auto"/>
        <w:left w:val="none" w:sz="0" w:space="0" w:color="auto"/>
        <w:bottom w:val="none" w:sz="0" w:space="0" w:color="auto"/>
        <w:right w:val="none" w:sz="0" w:space="0" w:color="auto"/>
      </w:divBdr>
    </w:div>
    <w:div w:id="1739746138">
      <w:bodyDiv w:val="1"/>
      <w:marLeft w:val="0"/>
      <w:marRight w:val="0"/>
      <w:marTop w:val="0"/>
      <w:marBottom w:val="0"/>
      <w:divBdr>
        <w:top w:val="none" w:sz="0" w:space="0" w:color="auto"/>
        <w:left w:val="none" w:sz="0" w:space="0" w:color="auto"/>
        <w:bottom w:val="none" w:sz="0" w:space="0" w:color="auto"/>
        <w:right w:val="none" w:sz="0" w:space="0" w:color="auto"/>
      </w:divBdr>
    </w:div>
    <w:div w:id="1739935925">
      <w:bodyDiv w:val="1"/>
      <w:marLeft w:val="0"/>
      <w:marRight w:val="0"/>
      <w:marTop w:val="0"/>
      <w:marBottom w:val="0"/>
      <w:divBdr>
        <w:top w:val="none" w:sz="0" w:space="0" w:color="auto"/>
        <w:left w:val="none" w:sz="0" w:space="0" w:color="auto"/>
        <w:bottom w:val="none" w:sz="0" w:space="0" w:color="auto"/>
        <w:right w:val="none" w:sz="0" w:space="0" w:color="auto"/>
      </w:divBdr>
    </w:div>
    <w:div w:id="1739983650">
      <w:bodyDiv w:val="1"/>
      <w:marLeft w:val="0"/>
      <w:marRight w:val="0"/>
      <w:marTop w:val="0"/>
      <w:marBottom w:val="0"/>
      <w:divBdr>
        <w:top w:val="none" w:sz="0" w:space="0" w:color="auto"/>
        <w:left w:val="none" w:sz="0" w:space="0" w:color="auto"/>
        <w:bottom w:val="none" w:sz="0" w:space="0" w:color="auto"/>
        <w:right w:val="none" w:sz="0" w:space="0" w:color="auto"/>
      </w:divBdr>
    </w:div>
    <w:div w:id="1740010262">
      <w:bodyDiv w:val="1"/>
      <w:marLeft w:val="0"/>
      <w:marRight w:val="0"/>
      <w:marTop w:val="0"/>
      <w:marBottom w:val="0"/>
      <w:divBdr>
        <w:top w:val="none" w:sz="0" w:space="0" w:color="auto"/>
        <w:left w:val="none" w:sz="0" w:space="0" w:color="auto"/>
        <w:bottom w:val="none" w:sz="0" w:space="0" w:color="auto"/>
        <w:right w:val="none" w:sz="0" w:space="0" w:color="auto"/>
      </w:divBdr>
    </w:div>
    <w:div w:id="1740252596">
      <w:bodyDiv w:val="1"/>
      <w:marLeft w:val="0"/>
      <w:marRight w:val="0"/>
      <w:marTop w:val="0"/>
      <w:marBottom w:val="0"/>
      <w:divBdr>
        <w:top w:val="none" w:sz="0" w:space="0" w:color="auto"/>
        <w:left w:val="none" w:sz="0" w:space="0" w:color="auto"/>
        <w:bottom w:val="none" w:sz="0" w:space="0" w:color="auto"/>
        <w:right w:val="none" w:sz="0" w:space="0" w:color="auto"/>
      </w:divBdr>
    </w:div>
    <w:div w:id="1740320731">
      <w:bodyDiv w:val="1"/>
      <w:marLeft w:val="0"/>
      <w:marRight w:val="0"/>
      <w:marTop w:val="0"/>
      <w:marBottom w:val="0"/>
      <w:divBdr>
        <w:top w:val="none" w:sz="0" w:space="0" w:color="auto"/>
        <w:left w:val="none" w:sz="0" w:space="0" w:color="auto"/>
        <w:bottom w:val="none" w:sz="0" w:space="0" w:color="auto"/>
        <w:right w:val="none" w:sz="0" w:space="0" w:color="auto"/>
      </w:divBdr>
    </w:div>
    <w:div w:id="1740399284">
      <w:bodyDiv w:val="1"/>
      <w:marLeft w:val="0"/>
      <w:marRight w:val="0"/>
      <w:marTop w:val="0"/>
      <w:marBottom w:val="0"/>
      <w:divBdr>
        <w:top w:val="none" w:sz="0" w:space="0" w:color="auto"/>
        <w:left w:val="none" w:sz="0" w:space="0" w:color="auto"/>
        <w:bottom w:val="none" w:sz="0" w:space="0" w:color="auto"/>
        <w:right w:val="none" w:sz="0" w:space="0" w:color="auto"/>
      </w:divBdr>
    </w:div>
    <w:div w:id="1740445354">
      <w:bodyDiv w:val="1"/>
      <w:marLeft w:val="0"/>
      <w:marRight w:val="0"/>
      <w:marTop w:val="0"/>
      <w:marBottom w:val="0"/>
      <w:divBdr>
        <w:top w:val="none" w:sz="0" w:space="0" w:color="auto"/>
        <w:left w:val="none" w:sz="0" w:space="0" w:color="auto"/>
        <w:bottom w:val="none" w:sz="0" w:space="0" w:color="auto"/>
        <w:right w:val="none" w:sz="0" w:space="0" w:color="auto"/>
      </w:divBdr>
    </w:div>
    <w:div w:id="1740520575">
      <w:bodyDiv w:val="1"/>
      <w:marLeft w:val="0"/>
      <w:marRight w:val="0"/>
      <w:marTop w:val="0"/>
      <w:marBottom w:val="0"/>
      <w:divBdr>
        <w:top w:val="none" w:sz="0" w:space="0" w:color="auto"/>
        <w:left w:val="none" w:sz="0" w:space="0" w:color="auto"/>
        <w:bottom w:val="none" w:sz="0" w:space="0" w:color="auto"/>
        <w:right w:val="none" w:sz="0" w:space="0" w:color="auto"/>
      </w:divBdr>
    </w:div>
    <w:div w:id="1740593161">
      <w:bodyDiv w:val="1"/>
      <w:marLeft w:val="0"/>
      <w:marRight w:val="0"/>
      <w:marTop w:val="0"/>
      <w:marBottom w:val="0"/>
      <w:divBdr>
        <w:top w:val="none" w:sz="0" w:space="0" w:color="auto"/>
        <w:left w:val="none" w:sz="0" w:space="0" w:color="auto"/>
        <w:bottom w:val="none" w:sz="0" w:space="0" w:color="auto"/>
        <w:right w:val="none" w:sz="0" w:space="0" w:color="auto"/>
      </w:divBdr>
    </w:div>
    <w:div w:id="1740664965">
      <w:bodyDiv w:val="1"/>
      <w:marLeft w:val="0"/>
      <w:marRight w:val="0"/>
      <w:marTop w:val="0"/>
      <w:marBottom w:val="0"/>
      <w:divBdr>
        <w:top w:val="none" w:sz="0" w:space="0" w:color="auto"/>
        <w:left w:val="none" w:sz="0" w:space="0" w:color="auto"/>
        <w:bottom w:val="none" w:sz="0" w:space="0" w:color="auto"/>
        <w:right w:val="none" w:sz="0" w:space="0" w:color="auto"/>
      </w:divBdr>
    </w:div>
    <w:div w:id="1740783922">
      <w:bodyDiv w:val="1"/>
      <w:marLeft w:val="0"/>
      <w:marRight w:val="0"/>
      <w:marTop w:val="0"/>
      <w:marBottom w:val="0"/>
      <w:divBdr>
        <w:top w:val="none" w:sz="0" w:space="0" w:color="auto"/>
        <w:left w:val="none" w:sz="0" w:space="0" w:color="auto"/>
        <w:bottom w:val="none" w:sz="0" w:space="0" w:color="auto"/>
        <w:right w:val="none" w:sz="0" w:space="0" w:color="auto"/>
      </w:divBdr>
    </w:div>
    <w:div w:id="1740787111">
      <w:bodyDiv w:val="1"/>
      <w:marLeft w:val="0"/>
      <w:marRight w:val="0"/>
      <w:marTop w:val="0"/>
      <w:marBottom w:val="0"/>
      <w:divBdr>
        <w:top w:val="none" w:sz="0" w:space="0" w:color="auto"/>
        <w:left w:val="none" w:sz="0" w:space="0" w:color="auto"/>
        <w:bottom w:val="none" w:sz="0" w:space="0" w:color="auto"/>
        <w:right w:val="none" w:sz="0" w:space="0" w:color="auto"/>
      </w:divBdr>
    </w:div>
    <w:div w:id="1740904165">
      <w:bodyDiv w:val="1"/>
      <w:marLeft w:val="0"/>
      <w:marRight w:val="0"/>
      <w:marTop w:val="0"/>
      <w:marBottom w:val="0"/>
      <w:divBdr>
        <w:top w:val="none" w:sz="0" w:space="0" w:color="auto"/>
        <w:left w:val="none" w:sz="0" w:space="0" w:color="auto"/>
        <w:bottom w:val="none" w:sz="0" w:space="0" w:color="auto"/>
        <w:right w:val="none" w:sz="0" w:space="0" w:color="auto"/>
      </w:divBdr>
    </w:div>
    <w:div w:id="1740979524">
      <w:bodyDiv w:val="1"/>
      <w:marLeft w:val="0"/>
      <w:marRight w:val="0"/>
      <w:marTop w:val="0"/>
      <w:marBottom w:val="0"/>
      <w:divBdr>
        <w:top w:val="none" w:sz="0" w:space="0" w:color="auto"/>
        <w:left w:val="none" w:sz="0" w:space="0" w:color="auto"/>
        <w:bottom w:val="none" w:sz="0" w:space="0" w:color="auto"/>
        <w:right w:val="none" w:sz="0" w:space="0" w:color="auto"/>
      </w:divBdr>
    </w:div>
    <w:div w:id="1740981644">
      <w:bodyDiv w:val="1"/>
      <w:marLeft w:val="0"/>
      <w:marRight w:val="0"/>
      <w:marTop w:val="0"/>
      <w:marBottom w:val="0"/>
      <w:divBdr>
        <w:top w:val="none" w:sz="0" w:space="0" w:color="auto"/>
        <w:left w:val="none" w:sz="0" w:space="0" w:color="auto"/>
        <w:bottom w:val="none" w:sz="0" w:space="0" w:color="auto"/>
        <w:right w:val="none" w:sz="0" w:space="0" w:color="auto"/>
      </w:divBdr>
    </w:div>
    <w:div w:id="1741368625">
      <w:bodyDiv w:val="1"/>
      <w:marLeft w:val="0"/>
      <w:marRight w:val="0"/>
      <w:marTop w:val="0"/>
      <w:marBottom w:val="0"/>
      <w:divBdr>
        <w:top w:val="none" w:sz="0" w:space="0" w:color="auto"/>
        <w:left w:val="none" w:sz="0" w:space="0" w:color="auto"/>
        <w:bottom w:val="none" w:sz="0" w:space="0" w:color="auto"/>
        <w:right w:val="none" w:sz="0" w:space="0" w:color="auto"/>
      </w:divBdr>
    </w:div>
    <w:div w:id="1741369784">
      <w:bodyDiv w:val="1"/>
      <w:marLeft w:val="0"/>
      <w:marRight w:val="0"/>
      <w:marTop w:val="0"/>
      <w:marBottom w:val="0"/>
      <w:divBdr>
        <w:top w:val="none" w:sz="0" w:space="0" w:color="auto"/>
        <w:left w:val="none" w:sz="0" w:space="0" w:color="auto"/>
        <w:bottom w:val="none" w:sz="0" w:space="0" w:color="auto"/>
        <w:right w:val="none" w:sz="0" w:space="0" w:color="auto"/>
      </w:divBdr>
    </w:div>
    <w:div w:id="1741440871">
      <w:bodyDiv w:val="1"/>
      <w:marLeft w:val="0"/>
      <w:marRight w:val="0"/>
      <w:marTop w:val="0"/>
      <w:marBottom w:val="0"/>
      <w:divBdr>
        <w:top w:val="none" w:sz="0" w:space="0" w:color="auto"/>
        <w:left w:val="none" w:sz="0" w:space="0" w:color="auto"/>
        <w:bottom w:val="none" w:sz="0" w:space="0" w:color="auto"/>
        <w:right w:val="none" w:sz="0" w:space="0" w:color="auto"/>
      </w:divBdr>
    </w:div>
    <w:div w:id="1741561728">
      <w:bodyDiv w:val="1"/>
      <w:marLeft w:val="0"/>
      <w:marRight w:val="0"/>
      <w:marTop w:val="0"/>
      <w:marBottom w:val="0"/>
      <w:divBdr>
        <w:top w:val="none" w:sz="0" w:space="0" w:color="auto"/>
        <w:left w:val="none" w:sz="0" w:space="0" w:color="auto"/>
        <w:bottom w:val="none" w:sz="0" w:space="0" w:color="auto"/>
        <w:right w:val="none" w:sz="0" w:space="0" w:color="auto"/>
      </w:divBdr>
    </w:div>
    <w:div w:id="1741632941">
      <w:bodyDiv w:val="1"/>
      <w:marLeft w:val="0"/>
      <w:marRight w:val="0"/>
      <w:marTop w:val="0"/>
      <w:marBottom w:val="0"/>
      <w:divBdr>
        <w:top w:val="none" w:sz="0" w:space="0" w:color="auto"/>
        <w:left w:val="none" w:sz="0" w:space="0" w:color="auto"/>
        <w:bottom w:val="none" w:sz="0" w:space="0" w:color="auto"/>
        <w:right w:val="none" w:sz="0" w:space="0" w:color="auto"/>
      </w:divBdr>
    </w:div>
    <w:div w:id="1741709380">
      <w:bodyDiv w:val="1"/>
      <w:marLeft w:val="0"/>
      <w:marRight w:val="0"/>
      <w:marTop w:val="0"/>
      <w:marBottom w:val="0"/>
      <w:divBdr>
        <w:top w:val="none" w:sz="0" w:space="0" w:color="auto"/>
        <w:left w:val="none" w:sz="0" w:space="0" w:color="auto"/>
        <w:bottom w:val="none" w:sz="0" w:space="0" w:color="auto"/>
        <w:right w:val="none" w:sz="0" w:space="0" w:color="auto"/>
      </w:divBdr>
    </w:div>
    <w:div w:id="1741756865">
      <w:bodyDiv w:val="1"/>
      <w:marLeft w:val="0"/>
      <w:marRight w:val="0"/>
      <w:marTop w:val="0"/>
      <w:marBottom w:val="0"/>
      <w:divBdr>
        <w:top w:val="none" w:sz="0" w:space="0" w:color="auto"/>
        <w:left w:val="none" w:sz="0" w:space="0" w:color="auto"/>
        <w:bottom w:val="none" w:sz="0" w:space="0" w:color="auto"/>
        <w:right w:val="none" w:sz="0" w:space="0" w:color="auto"/>
      </w:divBdr>
    </w:div>
    <w:div w:id="1741831347">
      <w:bodyDiv w:val="1"/>
      <w:marLeft w:val="0"/>
      <w:marRight w:val="0"/>
      <w:marTop w:val="0"/>
      <w:marBottom w:val="0"/>
      <w:divBdr>
        <w:top w:val="none" w:sz="0" w:space="0" w:color="auto"/>
        <w:left w:val="none" w:sz="0" w:space="0" w:color="auto"/>
        <w:bottom w:val="none" w:sz="0" w:space="0" w:color="auto"/>
        <w:right w:val="none" w:sz="0" w:space="0" w:color="auto"/>
      </w:divBdr>
    </w:div>
    <w:div w:id="1741901857">
      <w:bodyDiv w:val="1"/>
      <w:marLeft w:val="0"/>
      <w:marRight w:val="0"/>
      <w:marTop w:val="0"/>
      <w:marBottom w:val="0"/>
      <w:divBdr>
        <w:top w:val="none" w:sz="0" w:space="0" w:color="auto"/>
        <w:left w:val="none" w:sz="0" w:space="0" w:color="auto"/>
        <w:bottom w:val="none" w:sz="0" w:space="0" w:color="auto"/>
        <w:right w:val="none" w:sz="0" w:space="0" w:color="auto"/>
      </w:divBdr>
    </w:div>
    <w:div w:id="1741907407">
      <w:bodyDiv w:val="1"/>
      <w:marLeft w:val="0"/>
      <w:marRight w:val="0"/>
      <w:marTop w:val="0"/>
      <w:marBottom w:val="0"/>
      <w:divBdr>
        <w:top w:val="none" w:sz="0" w:space="0" w:color="auto"/>
        <w:left w:val="none" w:sz="0" w:space="0" w:color="auto"/>
        <w:bottom w:val="none" w:sz="0" w:space="0" w:color="auto"/>
        <w:right w:val="none" w:sz="0" w:space="0" w:color="auto"/>
      </w:divBdr>
    </w:div>
    <w:div w:id="1741979294">
      <w:bodyDiv w:val="1"/>
      <w:marLeft w:val="0"/>
      <w:marRight w:val="0"/>
      <w:marTop w:val="0"/>
      <w:marBottom w:val="0"/>
      <w:divBdr>
        <w:top w:val="none" w:sz="0" w:space="0" w:color="auto"/>
        <w:left w:val="none" w:sz="0" w:space="0" w:color="auto"/>
        <w:bottom w:val="none" w:sz="0" w:space="0" w:color="auto"/>
        <w:right w:val="none" w:sz="0" w:space="0" w:color="auto"/>
      </w:divBdr>
    </w:div>
    <w:div w:id="1742018353">
      <w:bodyDiv w:val="1"/>
      <w:marLeft w:val="0"/>
      <w:marRight w:val="0"/>
      <w:marTop w:val="0"/>
      <w:marBottom w:val="0"/>
      <w:divBdr>
        <w:top w:val="none" w:sz="0" w:space="0" w:color="auto"/>
        <w:left w:val="none" w:sz="0" w:space="0" w:color="auto"/>
        <w:bottom w:val="none" w:sz="0" w:space="0" w:color="auto"/>
        <w:right w:val="none" w:sz="0" w:space="0" w:color="auto"/>
      </w:divBdr>
    </w:div>
    <w:div w:id="1742019087">
      <w:bodyDiv w:val="1"/>
      <w:marLeft w:val="0"/>
      <w:marRight w:val="0"/>
      <w:marTop w:val="0"/>
      <w:marBottom w:val="0"/>
      <w:divBdr>
        <w:top w:val="none" w:sz="0" w:space="0" w:color="auto"/>
        <w:left w:val="none" w:sz="0" w:space="0" w:color="auto"/>
        <w:bottom w:val="none" w:sz="0" w:space="0" w:color="auto"/>
        <w:right w:val="none" w:sz="0" w:space="0" w:color="auto"/>
      </w:divBdr>
    </w:div>
    <w:div w:id="1742021525">
      <w:bodyDiv w:val="1"/>
      <w:marLeft w:val="0"/>
      <w:marRight w:val="0"/>
      <w:marTop w:val="0"/>
      <w:marBottom w:val="0"/>
      <w:divBdr>
        <w:top w:val="none" w:sz="0" w:space="0" w:color="auto"/>
        <w:left w:val="none" w:sz="0" w:space="0" w:color="auto"/>
        <w:bottom w:val="none" w:sz="0" w:space="0" w:color="auto"/>
        <w:right w:val="none" w:sz="0" w:space="0" w:color="auto"/>
      </w:divBdr>
    </w:div>
    <w:div w:id="1742099167">
      <w:bodyDiv w:val="1"/>
      <w:marLeft w:val="0"/>
      <w:marRight w:val="0"/>
      <w:marTop w:val="0"/>
      <w:marBottom w:val="0"/>
      <w:divBdr>
        <w:top w:val="none" w:sz="0" w:space="0" w:color="auto"/>
        <w:left w:val="none" w:sz="0" w:space="0" w:color="auto"/>
        <w:bottom w:val="none" w:sz="0" w:space="0" w:color="auto"/>
        <w:right w:val="none" w:sz="0" w:space="0" w:color="auto"/>
      </w:divBdr>
    </w:div>
    <w:div w:id="1742171667">
      <w:bodyDiv w:val="1"/>
      <w:marLeft w:val="0"/>
      <w:marRight w:val="0"/>
      <w:marTop w:val="0"/>
      <w:marBottom w:val="0"/>
      <w:divBdr>
        <w:top w:val="none" w:sz="0" w:space="0" w:color="auto"/>
        <w:left w:val="none" w:sz="0" w:space="0" w:color="auto"/>
        <w:bottom w:val="none" w:sz="0" w:space="0" w:color="auto"/>
        <w:right w:val="none" w:sz="0" w:space="0" w:color="auto"/>
      </w:divBdr>
    </w:div>
    <w:div w:id="1742214901">
      <w:bodyDiv w:val="1"/>
      <w:marLeft w:val="0"/>
      <w:marRight w:val="0"/>
      <w:marTop w:val="0"/>
      <w:marBottom w:val="0"/>
      <w:divBdr>
        <w:top w:val="none" w:sz="0" w:space="0" w:color="auto"/>
        <w:left w:val="none" w:sz="0" w:space="0" w:color="auto"/>
        <w:bottom w:val="none" w:sz="0" w:space="0" w:color="auto"/>
        <w:right w:val="none" w:sz="0" w:space="0" w:color="auto"/>
      </w:divBdr>
    </w:div>
    <w:div w:id="1742285516">
      <w:bodyDiv w:val="1"/>
      <w:marLeft w:val="0"/>
      <w:marRight w:val="0"/>
      <w:marTop w:val="0"/>
      <w:marBottom w:val="0"/>
      <w:divBdr>
        <w:top w:val="none" w:sz="0" w:space="0" w:color="auto"/>
        <w:left w:val="none" w:sz="0" w:space="0" w:color="auto"/>
        <w:bottom w:val="none" w:sz="0" w:space="0" w:color="auto"/>
        <w:right w:val="none" w:sz="0" w:space="0" w:color="auto"/>
      </w:divBdr>
    </w:div>
    <w:div w:id="1742368687">
      <w:bodyDiv w:val="1"/>
      <w:marLeft w:val="0"/>
      <w:marRight w:val="0"/>
      <w:marTop w:val="0"/>
      <w:marBottom w:val="0"/>
      <w:divBdr>
        <w:top w:val="none" w:sz="0" w:space="0" w:color="auto"/>
        <w:left w:val="none" w:sz="0" w:space="0" w:color="auto"/>
        <w:bottom w:val="none" w:sz="0" w:space="0" w:color="auto"/>
        <w:right w:val="none" w:sz="0" w:space="0" w:color="auto"/>
      </w:divBdr>
    </w:div>
    <w:div w:id="1742408249">
      <w:bodyDiv w:val="1"/>
      <w:marLeft w:val="0"/>
      <w:marRight w:val="0"/>
      <w:marTop w:val="0"/>
      <w:marBottom w:val="0"/>
      <w:divBdr>
        <w:top w:val="none" w:sz="0" w:space="0" w:color="auto"/>
        <w:left w:val="none" w:sz="0" w:space="0" w:color="auto"/>
        <w:bottom w:val="none" w:sz="0" w:space="0" w:color="auto"/>
        <w:right w:val="none" w:sz="0" w:space="0" w:color="auto"/>
      </w:divBdr>
    </w:div>
    <w:div w:id="1742560901">
      <w:bodyDiv w:val="1"/>
      <w:marLeft w:val="0"/>
      <w:marRight w:val="0"/>
      <w:marTop w:val="0"/>
      <w:marBottom w:val="0"/>
      <w:divBdr>
        <w:top w:val="none" w:sz="0" w:space="0" w:color="auto"/>
        <w:left w:val="none" w:sz="0" w:space="0" w:color="auto"/>
        <w:bottom w:val="none" w:sz="0" w:space="0" w:color="auto"/>
        <w:right w:val="none" w:sz="0" w:space="0" w:color="auto"/>
      </w:divBdr>
    </w:div>
    <w:div w:id="1742747728">
      <w:bodyDiv w:val="1"/>
      <w:marLeft w:val="0"/>
      <w:marRight w:val="0"/>
      <w:marTop w:val="0"/>
      <w:marBottom w:val="0"/>
      <w:divBdr>
        <w:top w:val="none" w:sz="0" w:space="0" w:color="auto"/>
        <w:left w:val="none" w:sz="0" w:space="0" w:color="auto"/>
        <w:bottom w:val="none" w:sz="0" w:space="0" w:color="auto"/>
        <w:right w:val="none" w:sz="0" w:space="0" w:color="auto"/>
      </w:divBdr>
    </w:div>
    <w:div w:id="1742944380">
      <w:bodyDiv w:val="1"/>
      <w:marLeft w:val="0"/>
      <w:marRight w:val="0"/>
      <w:marTop w:val="0"/>
      <w:marBottom w:val="0"/>
      <w:divBdr>
        <w:top w:val="none" w:sz="0" w:space="0" w:color="auto"/>
        <w:left w:val="none" w:sz="0" w:space="0" w:color="auto"/>
        <w:bottom w:val="none" w:sz="0" w:space="0" w:color="auto"/>
        <w:right w:val="none" w:sz="0" w:space="0" w:color="auto"/>
      </w:divBdr>
    </w:div>
    <w:div w:id="1743021254">
      <w:bodyDiv w:val="1"/>
      <w:marLeft w:val="0"/>
      <w:marRight w:val="0"/>
      <w:marTop w:val="0"/>
      <w:marBottom w:val="0"/>
      <w:divBdr>
        <w:top w:val="none" w:sz="0" w:space="0" w:color="auto"/>
        <w:left w:val="none" w:sz="0" w:space="0" w:color="auto"/>
        <w:bottom w:val="none" w:sz="0" w:space="0" w:color="auto"/>
        <w:right w:val="none" w:sz="0" w:space="0" w:color="auto"/>
      </w:divBdr>
    </w:div>
    <w:div w:id="1743067403">
      <w:bodyDiv w:val="1"/>
      <w:marLeft w:val="0"/>
      <w:marRight w:val="0"/>
      <w:marTop w:val="0"/>
      <w:marBottom w:val="0"/>
      <w:divBdr>
        <w:top w:val="none" w:sz="0" w:space="0" w:color="auto"/>
        <w:left w:val="none" w:sz="0" w:space="0" w:color="auto"/>
        <w:bottom w:val="none" w:sz="0" w:space="0" w:color="auto"/>
        <w:right w:val="none" w:sz="0" w:space="0" w:color="auto"/>
      </w:divBdr>
    </w:div>
    <w:div w:id="1743138312">
      <w:bodyDiv w:val="1"/>
      <w:marLeft w:val="0"/>
      <w:marRight w:val="0"/>
      <w:marTop w:val="0"/>
      <w:marBottom w:val="0"/>
      <w:divBdr>
        <w:top w:val="none" w:sz="0" w:space="0" w:color="auto"/>
        <w:left w:val="none" w:sz="0" w:space="0" w:color="auto"/>
        <w:bottom w:val="none" w:sz="0" w:space="0" w:color="auto"/>
        <w:right w:val="none" w:sz="0" w:space="0" w:color="auto"/>
      </w:divBdr>
    </w:div>
    <w:div w:id="1743213219">
      <w:bodyDiv w:val="1"/>
      <w:marLeft w:val="0"/>
      <w:marRight w:val="0"/>
      <w:marTop w:val="0"/>
      <w:marBottom w:val="0"/>
      <w:divBdr>
        <w:top w:val="none" w:sz="0" w:space="0" w:color="auto"/>
        <w:left w:val="none" w:sz="0" w:space="0" w:color="auto"/>
        <w:bottom w:val="none" w:sz="0" w:space="0" w:color="auto"/>
        <w:right w:val="none" w:sz="0" w:space="0" w:color="auto"/>
      </w:divBdr>
    </w:div>
    <w:div w:id="1743404541">
      <w:bodyDiv w:val="1"/>
      <w:marLeft w:val="0"/>
      <w:marRight w:val="0"/>
      <w:marTop w:val="0"/>
      <w:marBottom w:val="0"/>
      <w:divBdr>
        <w:top w:val="none" w:sz="0" w:space="0" w:color="auto"/>
        <w:left w:val="none" w:sz="0" w:space="0" w:color="auto"/>
        <w:bottom w:val="none" w:sz="0" w:space="0" w:color="auto"/>
        <w:right w:val="none" w:sz="0" w:space="0" w:color="auto"/>
      </w:divBdr>
    </w:div>
    <w:div w:id="1743486709">
      <w:bodyDiv w:val="1"/>
      <w:marLeft w:val="0"/>
      <w:marRight w:val="0"/>
      <w:marTop w:val="0"/>
      <w:marBottom w:val="0"/>
      <w:divBdr>
        <w:top w:val="none" w:sz="0" w:space="0" w:color="auto"/>
        <w:left w:val="none" w:sz="0" w:space="0" w:color="auto"/>
        <w:bottom w:val="none" w:sz="0" w:space="0" w:color="auto"/>
        <w:right w:val="none" w:sz="0" w:space="0" w:color="auto"/>
      </w:divBdr>
    </w:div>
    <w:div w:id="1743604722">
      <w:bodyDiv w:val="1"/>
      <w:marLeft w:val="0"/>
      <w:marRight w:val="0"/>
      <w:marTop w:val="0"/>
      <w:marBottom w:val="0"/>
      <w:divBdr>
        <w:top w:val="none" w:sz="0" w:space="0" w:color="auto"/>
        <w:left w:val="none" w:sz="0" w:space="0" w:color="auto"/>
        <w:bottom w:val="none" w:sz="0" w:space="0" w:color="auto"/>
        <w:right w:val="none" w:sz="0" w:space="0" w:color="auto"/>
      </w:divBdr>
    </w:div>
    <w:div w:id="1743676784">
      <w:bodyDiv w:val="1"/>
      <w:marLeft w:val="0"/>
      <w:marRight w:val="0"/>
      <w:marTop w:val="0"/>
      <w:marBottom w:val="0"/>
      <w:divBdr>
        <w:top w:val="none" w:sz="0" w:space="0" w:color="auto"/>
        <w:left w:val="none" w:sz="0" w:space="0" w:color="auto"/>
        <w:bottom w:val="none" w:sz="0" w:space="0" w:color="auto"/>
        <w:right w:val="none" w:sz="0" w:space="0" w:color="auto"/>
      </w:divBdr>
    </w:div>
    <w:div w:id="1743678788">
      <w:bodyDiv w:val="1"/>
      <w:marLeft w:val="0"/>
      <w:marRight w:val="0"/>
      <w:marTop w:val="0"/>
      <w:marBottom w:val="0"/>
      <w:divBdr>
        <w:top w:val="none" w:sz="0" w:space="0" w:color="auto"/>
        <w:left w:val="none" w:sz="0" w:space="0" w:color="auto"/>
        <w:bottom w:val="none" w:sz="0" w:space="0" w:color="auto"/>
        <w:right w:val="none" w:sz="0" w:space="0" w:color="auto"/>
      </w:divBdr>
    </w:div>
    <w:div w:id="1743789609">
      <w:bodyDiv w:val="1"/>
      <w:marLeft w:val="0"/>
      <w:marRight w:val="0"/>
      <w:marTop w:val="0"/>
      <w:marBottom w:val="0"/>
      <w:divBdr>
        <w:top w:val="none" w:sz="0" w:space="0" w:color="auto"/>
        <w:left w:val="none" w:sz="0" w:space="0" w:color="auto"/>
        <w:bottom w:val="none" w:sz="0" w:space="0" w:color="auto"/>
        <w:right w:val="none" w:sz="0" w:space="0" w:color="auto"/>
      </w:divBdr>
    </w:div>
    <w:div w:id="1743941637">
      <w:bodyDiv w:val="1"/>
      <w:marLeft w:val="0"/>
      <w:marRight w:val="0"/>
      <w:marTop w:val="0"/>
      <w:marBottom w:val="0"/>
      <w:divBdr>
        <w:top w:val="none" w:sz="0" w:space="0" w:color="auto"/>
        <w:left w:val="none" w:sz="0" w:space="0" w:color="auto"/>
        <w:bottom w:val="none" w:sz="0" w:space="0" w:color="auto"/>
        <w:right w:val="none" w:sz="0" w:space="0" w:color="auto"/>
      </w:divBdr>
    </w:div>
    <w:div w:id="1744060200">
      <w:bodyDiv w:val="1"/>
      <w:marLeft w:val="0"/>
      <w:marRight w:val="0"/>
      <w:marTop w:val="0"/>
      <w:marBottom w:val="0"/>
      <w:divBdr>
        <w:top w:val="none" w:sz="0" w:space="0" w:color="auto"/>
        <w:left w:val="none" w:sz="0" w:space="0" w:color="auto"/>
        <w:bottom w:val="none" w:sz="0" w:space="0" w:color="auto"/>
        <w:right w:val="none" w:sz="0" w:space="0" w:color="auto"/>
      </w:divBdr>
    </w:div>
    <w:div w:id="1744063536">
      <w:bodyDiv w:val="1"/>
      <w:marLeft w:val="0"/>
      <w:marRight w:val="0"/>
      <w:marTop w:val="0"/>
      <w:marBottom w:val="0"/>
      <w:divBdr>
        <w:top w:val="none" w:sz="0" w:space="0" w:color="auto"/>
        <w:left w:val="none" w:sz="0" w:space="0" w:color="auto"/>
        <w:bottom w:val="none" w:sz="0" w:space="0" w:color="auto"/>
        <w:right w:val="none" w:sz="0" w:space="0" w:color="auto"/>
      </w:divBdr>
    </w:div>
    <w:div w:id="1744138752">
      <w:bodyDiv w:val="1"/>
      <w:marLeft w:val="0"/>
      <w:marRight w:val="0"/>
      <w:marTop w:val="0"/>
      <w:marBottom w:val="0"/>
      <w:divBdr>
        <w:top w:val="none" w:sz="0" w:space="0" w:color="auto"/>
        <w:left w:val="none" w:sz="0" w:space="0" w:color="auto"/>
        <w:bottom w:val="none" w:sz="0" w:space="0" w:color="auto"/>
        <w:right w:val="none" w:sz="0" w:space="0" w:color="auto"/>
      </w:divBdr>
    </w:div>
    <w:div w:id="1744259268">
      <w:bodyDiv w:val="1"/>
      <w:marLeft w:val="0"/>
      <w:marRight w:val="0"/>
      <w:marTop w:val="0"/>
      <w:marBottom w:val="0"/>
      <w:divBdr>
        <w:top w:val="none" w:sz="0" w:space="0" w:color="auto"/>
        <w:left w:val="none" w:sz="0" w:space="0" w:color="auto"/>
        <w:bottom w:val="none" w:sz="0" w:space="0" w:color="auto"/>
        <w:right w:val="none" w:sz="0" w:space="0" w:color="auto"/>
      </w:divBdr>
    </w:div>
    <w:div w:id="1744523996">
      <w:bodyDiv w:val="1"/>
      <w:marLeft w:val="0"/>
      <w:marRight w:val="0"/>
      <w:marTop w:val="0"/>
      <w:marBottom w:val="0"/>
      <w:divBdr>
        <w:top w:val="none" w:sz="0" w:space="0" w:color="auto"/>
        <w:left w:val="none" w:sz="0" w:space="0" w:color="auto"/>
        <w:bottom w:val="none" w:sz="0" w:space="0" w:color="auto"/>
        <w:right w:val="none" w:sz="0" w:space="0" w:color="auto"/>
      </w:divBdr>
    </w:div>
    <w:div w:id="1744599987">
      <w:bodyDiv w:val="1"/>
      <w:marLeft w:val="0"/>
      <w:marRight w:val="0"/>
      <w:marTop w:val="0"/>
      <w:marBottom w:val="0"/>
      <w:divBdr>
        <w:top w:val="none" w:sz="0" w:space="0" w:color="auto"/>
        <w:left w:val="none" w:sz="0" w:space="0" w:color="auto"/>
        <w:bottom w:val="none" w:sz="0" w:space="0" w:color="auto"/>
        <w:right w:val="none" w:sz="0" w:space="0" w:color="auto"/>
      </w:divBdr>
    </w:div>
    <w:div w:id="1744644598">
      <w:bodyDiv w:val="1"/>
      <w:marLeft w:val="0"/>
      <w:marRight w:val="0"/>
      <w:marTop w:val="0"/>
      <w:marBottom w:val="0"/>
      <w:divBdr>
        <w:top w:val="none" w:sz="0" w:space="0" w:color="auto"/>
        <w:left w:val="none" w:sz="0" w:space="0" w:color="auto"/>
        <w:bottom w:val="none" w:sz="0" w:space="0" w:color="auto"/>
        <w:right w:val="none" w:sz="0" w:space="0" w:color="auto"/>
      </w:divBdr>
    </w:div>
    <w:div w:id="1744645651">
      <w:bodyDiv w:val="1"/>
      <w:marLeft w:val="0"/>
      <w:marRight w:val="0"/>
      <w:marTop w:val="0"/>
      <w:marBottom w:val="0"/>
      <w:divBdr>
        <w:top w:val="none" w:sz="0" w:space="0" w:color="auto"/>
        <w:left w:val="none" w:sz="0" w:space="0" w:color="auto"/>
        <w:bottom w:val="none" w:sz="0" w:space="0" w:color="auto"/>
        <w:right w:val="none" w:sz="0" w:space="0" w:color="auto"/>
      </w:divBdr>
    </w:div>
    <w:div w:id="1744720218">
      <w:bodyDiv w:val="1"/>
      <w:marLeft w:val="0"/>
      <w:marRight w:val="0"/>
      <w:marTop w:val="0"/>
      <w:marBottom w:val="0"/>
      <w:divBdr>
        <w:top w:val="none" w:sz="0" w:space="0" w:color="auto"/>
        <w:left w:val="none" w:sz="0" w:space="0" w:color="auto"/>
        <w:bottom w:val="none" w:sz="0" w:space="0" w:color="auto"/>
        <w:right w:val="none" w:sz="0" w:space="0" w:color="auto"/>
      </w:divBdr>
    </w:div>
    <w:div w:id="1744721667">
      <w:bodyDiv w:val="1"/>
      <w:marLeft w:val="0"/>
      <w:marRight w:val="0"/>
      <w:marTop w:val="0"/>
      <w:marBottom w:val="0"/>
      <w:divBdr>
        <w:top w:val="none" w:sz="0" w:space="0" w:color="auto"/>
        <w:left w:val="none" w:sz="0" w:space="0" w:color="auto"/>
        <w:bottom w:val="none" w:sz="0" w:space="0" w:color="auto"/>
        <w:right w:val="none" w:sz="0" w:space="0" w:color="auto"/>
      </w:divBdr>
    </w:div>
    <w:div w:id="1744790395">
      <w:bodyDiv w:val="1"/>
      <w:marLeft w:val="0"/>
      <w:marRight w:val="0"/>
      <w:marTop w:val="0"/>
      <w:marBottom w:val="0"/>
      <w:divBdr>
        <w:top w:val="none" w:sz="0" w:space="0" w:color="auto"/>
        <w:left w:val="none" w:sz="0" w:space="0" w:color="auto"/>
        <w:bottom w:val="none" w:sz="0" w:space="0" w:color="auto"/>
        <w:right w:val="none" w:sz="0" w:space="0" w:color="auto"/>
      </w:divBdr>
    </w:div>
    <w:div w:id="1744909061">
      <w:bodyDiv w:val="1"/>
      <w:marLeft w:val="0"/>
      <w:marRight w:val="0"/>
      <w:marTop w:val="0"/>
      <w:marBottom w:val="0"/>
      <w:divBdr>
        <w:top w:val="none" w:sz="0" w:space="0" w:color="auto"/>
        <w:left w:val="none" w:sz="0" w:space="0" w:color="auto"/>
        <w:bottom w:val="none" w:sz="0" w:space="0" w:color="auto"/>
        <w:right w:val="none" w:sz="0" w:space="0" w:color="auto"/>
      </w:divBdr>
    </w:div>
    <w:div w:id="1744912849">
      <w:bodyDiv w:val="1"/>
      <w:marLeft w:val="0"/>
      <w:marRight w:val="0"/>
      <w:marTop w:val="0"/>
      <w:marBottom w:val="0"/>
      <w:divBdr>
        <w:top w:val="none" w:sz="0" w:space="0" w:color="auto"/>
        <w:left w:val="none" w:sz="0" w:space="0" w:color="auto"/>
        <w:bottom w:val="none" w:sz="0" w:space="0" w:color="auto"/>
        <w:right w:val="none" w:sz="0" w:space="0" w:color="auto"/>
      </w:divBdr>
    </w:div>
    <w:div w:id="1745103160">
      <w:bodyDiv w:val="1"/>
      <w:marLeft w:val="0"/>
      <w:marRight w:val="0"/>
      <w:marTop w:val="0"/>
      <w:marBottom w:val="0"/>
      <w:divBdr>
        <w:top w:val="none" w:sz="0" w:space="0" w:color="auto"/>
        <w:left w:val="none" w:sz="0" w:space="0" w:color="auto"/>
        <w:bottom w:val="none" w:sz="0" w:space="0" w:color="auto"/>
        <w:right w:val="none" w:sz="0" w:space="0" w:color="auto"/>
      </w:divBdr>
    </w:div>
    <w:div w:id="1745178931">
      <w:bodyDiv w:val="1"/>
      <w:marLeft w:val="0"/>
      <w:marRight w:val="0"/>
      <w:marTop w:val="0"/>
      <w:marBottom w:val="0"/>
      <w:divBdr>
        <w:top w:val="none" w:sz="0" w:space="0" w:color="auto"/>
        <w:left w:val="none" w:sz="0" w:space="0" w:color="auto"/>
        <w:bottom w:val="none" w:sz="0" w:space="0" w:color="auto"/>
        <w:right w:val="none" w:sz="0" w:space="0" w:color="auto"/>
      </w:divBdr>
    </w:div>
    <w:div w:id="1745301684">
      <w:bodyDiv w:val="1"/>
      <w:marLeft w:val="0"/>
      <w:marRight w:val="0"/>
      <w:marTop w:val="0"/>
      <w:marBottom w:val="0"/>
      <w:divBdr>
        <w:top w:val="none" w:sz="0" w:space="0" w:color="auto"/>
        <w:left w:val="none" w:sz="0" w:space="0" w:color="auto"/>
        <w:bottom w:val="none" w:sz="0" w:space="0" w:color="auto"/>
        <w:right w:val="none" w:sz="0" w:space="0" w:color="auto"/>
      </w:divBdr>
    </w:div>
    <w:div w:id="1745374514">
      <w:bodyDiv w:val="1"/>
      <w:marLeft w:val="0"/>
      <w:marRight w:val="0"/>
      <w:marTop w:val="0"/>
      <w:marBottom w:val="0"/>
      <w:divBdr>
        <w:top w:val="none" w:sz="0" w:space="0" w:color="auto"/>
        <w:left w:val="none" w:sz="0" w:space="0" w:color="auto"/>
        <w:bottom w:val="none" w:sz="0" w:space="0" w:color="auto"/>
        <w:right w:val="none" w:sz="0" w:space="0" w:color="auto"/>
      </w:divBdr>
    </w:div>
    <w:div w:id="1745640339">
      <w:bodyDiv w:val="1"/>
      <w:marLeft w:val="0"/>
      <w:marRight w:val="0"/>
      <w:marTop w:val="0"/>
      <w:marBottom w:val="0"/>
      <w:divBdr>
        <w:top w:val="none" w:sz="0" w:space="0" w:color="auto"/>
        <w:left w:val="none" w:sz="0" w:space="0" w:color="auto"/>
        <w:bottom w:val="none" w:sz="0" w:space="0" w:color="auto"/>
        <w:right w:val="none" w:sz="0" w:space="0" w:color="auto"/>
      </w:divBdr>
    </w:div>
    <w:div w:id="1745686914">
      <w:bodyDiv w:val="1"/>
      <w:marLeft w:val="0"/>
      <w:marRight w:val="0"/>
      <w:marTop w:val="0"/>
      <w:marBottom w:val="0"/>
      <w:divBdr>
        <w:top w:val="none" w:sz="0" w:space="0" w:color="auto"/>
        <w:left w:val="none" w:sz="0" w:space="0" w:color="auto"/>
        <w:bottom w:val="none" w:sz="0" w:space="0" w:color="auto"/>
        <w:right w:val="none" w:sz="0" w:space="0" w:color="auto"/>
      </w:divBdr>
    </w:div>
    <w:div w:id="1745756854">
      <w:bodyDiv w:val="1"/>
      <w:marLeft w:val="0"/>
      <w:marRight w:val="0"/>
      <w:marTop w:val="0"/>
      <w:marBottom w:val="0"/>
      <w:divBdr>
        <w:top w:val="none" w:sz="0" w:space="0" w:color="auto"/>
        <w:left w:val="none" w:sz="0" w:space="0" w:color="auto"/>
        <w:bottom w:val="none" w:sz="0" w:space="0" w:color="auto"/>
        <w:right w:val="none" w:sz="0" w:space="0" w:color="auto"/>
      </w:divBdr>
    </w:div>
    <w:div w:id="1745756911">
      <w:bodyDiv w:val="1"/>
      <w:marLeft w:val="0"/>
      <w:marRight w:val="0"/>
      <w:marTop w:val="0"/>
      <w:marBottom w:val="0"/>
      <w:divBdr>
        <w:top w:val="none" w:sz="0" w:space="0" w:color="auto"/>
        <w:left w:val="none" w:sz="0" w:space="0" w:color="auto"/>
        <w:bottom w:val="none" w:sz="0" w:space="0" w:color="auto"/>
        <w:right w:val="none" w:sz="0" w:space="0" w:color="auto"/>
      </w:divBdr>
    </w:div>
    <w:div w:id="1745761225">
      <w:bodyDiv w:val="1"/>
      <w:marLeft w:val="0"/>
      <w:marRight w:val="0"/>
      <w:marTop w:val="0"/>
      <w:marBottom w:val="0"/>
      <w:divBdr>
        <w:top w:val="none" w:sz="0" w:space="0" w:color="auto"/>
        <w:left w:val="none" w:sz="0" w:space="0" w:color="auto"/>
        <w:bottom w:val="none" w:sz="0" w:space="0" w:color="auto"/>
        <w:right w:val="none" w:sz="0" w:space="0" w:color="auto"/>
      </w:divBdr>
    </w:div>
    <w:div w:id="1745950391">
      <w:bodyDiv w:val="1"/>
      <w:marLeft w:val="0"/>
      <w:marRight w:val="0"/>
      <w:marTop w:val="0"/>
      <w:marBottom w:val="0"/>
      <w:divBdr>
        <w:top w:val="none" w:sz="0" w:space="0" w:color="auto"/>
        <w:left w:val="none" w:sz="0" w:space="0" w:color="auto"/>
        <w:bottom w:val="none" w:sz="0" w:space="0" w:color="auto"/>
        <w:right w:val="none" w:sz="0" w:space="0" w:color="auto"/>
      </w:divBdr>
    </w:div>
    <w:div w:id="1746024167">
      <w:bodyDiv w:val="1"/>
      <w:marLeft w:val="0"/>
      <w:marRight w:val="0"/>
      <w:marTop w:val="0"/>
      <w:marBottom w:val="0"/>
      <w:divBdr>
        <w:top w:val="none" w:sz="0" w:space="0" w:color="auto"/>
        <w:left w:val="none" w:sz="0" w:space="0" w:color="auto"/>
        <w:bottom w:val="none" w:sz="0" w:space="0" w:color="auto"/>
        <w:right w:val="none" w:sz="0" w:space="0" w:color="auto"/>
      </w:divBdr>
    </w:div>
    <w:div w:id="1746029524">
      <w:bodyDiv w:val="1"/>
      <w:marLeft w:val="0"/>
      <w:marRight w:val="0"/>
      <w:marTop w:val="0"/>
      <w:marBottom w:val="0"/>
      <w:divBdr>
        <w:top w:val="none" w:sz="0" w:space="0" w:color="auto"/>
        <w:left w:val="none" w:sz="0" w:space="0" w:color="auto"/>
        <w:bottom w:val="none" w:sz="0" w:space="0" w:color="auto"/>
        <w:right w:val="none" w:sz="0" w:space="0" w:color="auto"/>
      </w:divBdr>
    </w:div>
    <w:div w:id="1746142496">
      <w:bodyDiv w:val="1"/>
      <w:marLeft w:val="0"/>
      <w:marRight w:val="0"/>
      <w:marTop w:val="0"/>
      <w:marBottom w:val="0"/>
      <w:divBdr>
        <w:top w:val="none" w:sz="0" w:space="0" w:color="auto"/>
        <w:left w:val="none" w:sz="0" w:space="0" w:color="auto"/>
        <w:bottom w:val="none" w:sz="0" w:space="0" w:color="auto"/>
        <w:right w:val="none" w:sz="0" w:space="0" w:color="auto"/>
      </w:divBdr>
    </w:div>
    <w:div w:id="1746147022">
      <w:bodyDiv w:val="1"/>
      <w:marLeft w:val="0"/>
      <w:marRight w:val="0"/>
      <w:marTop w:val="0"/>
      <w:marBottom w:val="0"/>
      <w:divBdr>
        <w:top w:val="none" w:sz="0" w:space="0" w:color="auto"/>
        <w:left w:val="none" w:sz="0" w:space="0" w:color="auto"/>
        <w:bottom w:val="none" w:sz="0" w:space="0" w:color="auto"/>
        <w:right w:val="none" w:sz="0" w:space="0" w:color="auto"/>
      </w:divBdr>
    </w:div>
    <w:div w:id="1746218987">
      <w:bodyDiv w:val="1"/>
      <w:marLeft w:val="0"/>
      <w:marRight w:val="0"/>
      <w:marTop w:val="0"/>
      <w:marBottom w:val="0"/>
      <w:divBdr>
        <w:top w:val="none" w:sz="0" w:space="0" w:color="auto"/>
        <w:left w:val="none" w:sz="0" w:space="0" w:color="auto"/>
        <w:bottom w:val="none" w:sz="0" w:space="0" w:color="auto"/>
        <w:right w:val="none" w:sz="0" w:space="0" w:color="auto"/>
      </w:divBdr>
    </w:div>
    <w:div w:id="1746226666">
      <w:bodyDiv w:val="1"/>
      <w:marLeft w:val="0"/>
      <w:marRight w:val="0"/>
      <w:marTop w:val="0"/>
      <w:marBottom w:val="0"/>
      <w:divBdr>
        <w:top w:val="none" w:sz="0" w:space="0" w:color="auto"/>
        <w:left w:val="none" w:sz="0" w:space="0" w:color="auto"/>
        <w:bottom w:val="none" w:sz="0" w:space="0" w:color="auto"/>
        <w:right w:val="none" w:sz="0" w:space="0" w:color="auto"/>
      </w:divBdr>
    </w:div>
    <w:div w:id="1746300617">
      <w:bodyDiv w:val="1"/>
      <w:marLeft w:val="0"/>
      <w:marRight w:val="0"/>
      <w:marTop w:val="0"/>
      <w:marBottom w:val="0"/>
      <w:divBdr>
        <w:top w:val="none" w:sz="0" w:space="0" w:color="auto"/>
        <w:left w:val="none" w:sz="0" w:space="0" w:color="auto"/>
        <w:bottom w:val="none" w:sz="0" w:space="0" w:color="auto"/>
        <w:right w:val="none" w:sz="0" w:space="0" w:color="auto"/>
      </w:divBdr>
    </w:div>
    <w:div w:id="1746300980">
      <w:bodyDiv w:val="1"/>
      <w:marLeft w:val="0"/>
      <w:marRight w:val="0"/>
      <w:marTop w:val="0"/>
      <w:marBottom w:val="0"/>
      <w:divBdr>
        <w:top w:val="none" w:sz="0" w:space="0" w:color="auto"/>
        <w:left w:val="none" w:sz="0" w:space="0" w:color="auto"/>
        <w:bottom w:val="none" w:sz="0" w:space="0" w:color="auto"/>
        <w:right w:val="none" w:sz="0" w:space="0" w:color="auto"/>
      </w:divBdr>
    </w:div>
    <w:div w:id="1746368066">
      <w:bodyDiv w:val="1"/>
      <w:marLeft w:val="0"/>
      <w:marRight w:val="0"/>
      <w:marTop w:val="0"/>
      <w:marBottom w:val="0"/>
      <w:divBdr>
        <w:top w:val="none" w:sz="0" w:space="0" w:color="auto"/>
        <w:left w:val="none" w:sz="0" w:space="0" w:color="auto"/>
        <w:bottom w:val="none" w:sz="0" w:space="0" w:color="auto"/>
        <w:right w:val="none" w:sz="0" w:space="0" w:color="auto"/>
      </w:divBdr>
    </w:div>
    <w:div w:id="1746415273">
      <w:bodyDiv w:val="1"/>
      <w:marLeft w:val="0"/>
      <w:marRight w:val="0"/>
      <w:marTop w:val="0"/>
      <w:marBottom w:val="0"/>
      <w:divBdr>
        <w:top w:val="none" w:sz="0" w:space="0" w:color="auto"/>
        <w:left w:val="none" w:sz="0" w:space="0" w:color="auto"/>
        <w:bottom w:val="none" w:sz="0" w:space="0" w:color="auto"/>
        <w:right w:val="none" w:sz="0" w:space="0" w:color="auto"/>
      </w:divBdr>
    </w:div>
    <w:div w:id="1746536895">
      <w:bodyDiv w:val="1"/>
      <w:marLeft w:val="0"/>
      <w:marRight w:val="0"/>
      <w:marTop w:val="0"/>
      <w:marBottom w:val="0"/>
      <w:divBdr>
        <w:top w:val="none" w:sz="0" w:space="0" w:color="auto"/>
        <w:left w:val="none" w:sz="0" w:space="0" w:color="auto"/>
        <w:bottom w:val="none" w:sz="0" w:space="0" w:color="auto"/>
        <w:right w:val="none" w:sz="0" w:space="0" w:color="auto"/>
      </w:divBdr>
    </w:div>
    <w:div w:id="1746604192">
      <w:bodyDiv w:val="1"/>
      <w:marLeft w:val="0"/>
      <w:marRight w:val="0"/>
      <w:marTop w:val="0"/>
      <w:marBottom w:val="0"/>
      <w:divBdr>
        <w:top w:val="none" w:sz="0" w:space="0" w:color="auto"/>
        <w:left w:val="none" w:sz="0" w:space="0" w:color="auto"/>
        <w:bottom w:val="none" w:sz="0" w:space="0" w:color="auto"/>
        <w:right w:val="none" w:sz="0" w:space="0" w:color="auto"/>
      </w:divBdr>
    </w:div>
    <w:div w:id="1746760020">
      <w:bodyDiv w:val="1"/>
      <w:marLeft w:val="0"/>
      <w:marRight w:val="0"/>
      <w:marTop w:val="0"/>
      <w:marBottom w:val="0"/>
      <w:divBdr>
        <w:top w:val="none" w:sz="0" w:space="0" w:color="auto"/>
        <w:left w:val="none" w:sz="0" w:space="0" w:color="auto"/>
        <w:bottom w:val="none" w:sz="0" w:space="0" w:color="auto"/>
        <w:right w:val="none" w:sz="0" w:space="0" w:color="auto"/>
      </w:divBdr>
    </w:div>
    <w:div w:id="1747259543">
      <w:bodyDiv w:val="1"/>
      <w:marLeft w:val="0"/>
      <w:marRight w:val="0"/>
      <w:marTop w:val="0"/>
      <w:marBottom w:val="0"/>
      <w:divBdr>
        <w:top w:val="none" w:sz="0" w:space="0" w:color="auto"/>
        <w:left w:val="none" w:sz="0" w:space="0" w:color="auto"/>
        <w:bottom w:val="none" w:sz="0" w:space="0" w:color="auto"/>
        <w:right w:val="none" w:sz="0" w:space="0" w:color="auto"/>
      </w:divBdr>
    </w:div>
    <w:div w:id="1747260646">
      <w:bodyDiv w:val="1"/>
      <w:marLeft w:val="0"/>
      <w:marRight w:val="0"/>
      <w:marTop w:val="0"/>
      <w:marBottom w:val="0"/>
      <w:divBdr>
        <w:top w:val="none" w:sz="0" w:space="0" w:color="auto"/>
        <w:left w:val="none" w:sz="0" w:space="0" w:color="auto"/>
        <w:bottom w:val="none" w:sz="0" w:space="0" w:color="auto"/>
        <w:right w:val="none" w:sz="0" w:space="0" w:color="auto"/>
      </w:divBdr>
    </w:div>
    <w:div w:id="1747334439">
      <w:bodyDiv w:val="1"/>
      <w:marLeft w:val="0"/>
      <w:marRight w:val="0"/>
      <w:marTop w:val="0"/>
      <w:marBottom w:val="0"/>
      <w:divBdr>
        <w:top w:val="none" w:sz="0" w:space="0" w:color="auto"/>
        <w:left w:val="none" w:sz="0" w:space="0" w:color="auto"/>
        <w:bottom w:val="none" w:sz="0" w:space="0" w:color="auto"/>
        <w:right w:val="none" w:sz="0" w:space="0" w:color="auto"/>
      </w:divBdr>
    </w:div>
    <w:div w:id="1747336067">
      <w:bodyDiv w:val="1"/>
      <w:marLeft w:val="0"/>
      <w:marRight w:val="0"/>
      <w:marTop w:val="0"/>
      <w:marBottom w:val="0"/>
      <w:divBdr>
        <w:top w:val="none" w:sz="0" w:space="0" w:color="auto"/>
        <w:left w:val="none" w:sz="0" w:space="0" w:color="auto"/>
        <w:bottom w:val="none" w:sz="0" w:space="0" w:color="auto"/>
        <w:right w:val="none" w:sz="0" w:space="0" w:color="auto"/>
      </w:divBdr>
    </w:div>
    <w:div w:id="1747343301">
      <w:bodyDiv w:val="1"/>
      <w:marLeft w:val="0"/>
      <w:marRight w:val="0"/>
      <w:marTop w:val="0"/>
      <w:marBottom w:val="0"/>
      <w:divBdr>
        <w:top w:val="none" w:sz="0" w:space="0" w:color="auto"/>
        <w:left w:val="none" w:sz="0" w:space="0" w:color="auto"/>
        <w:bottom w:val="none" w:sz="0" w:space="0" w:color="auto"/>
        <w:right w:val="none" w:sz="0" w:space="0" w:color="auto"/>
      </w:divBdr>
    </w:div>
    <w:div w:id="1747343531">
      <w:bodyDiv w:val="1"/>
      <w:marLeft w:val="0"/>
      <w:marRight w:val="0"/>
      <w:marTop w:val="0"/>
      <w:marBottom w:val="0"/>
      <w:divBdr>
        <w:top w:val="none" w:sz="0" w:space="0" w:color="auto"/>
        <w:left w:val="none" w:sz="0" w:space="0" w:color="auto"/>
        <w:bottom w:val="none" w:sz="0" w:space="0" w:color="auto"/>
        <w:right w:val="none" w:sz="0" w:space="0" w:color="auto"/>
      </w:divBdr>
    </w:div>
    <w:div w:id="1747411418">
      <w:bodyDiv w:val="1"/>
      <w:marLeft w:val="0"/>
      <w:marRight w:val="0"/>
      <w:marTop w:val="0"/>
      <w:marBottom w:val="0"/>
      <w:divBdr>
        <w:top w:val="none" w:sz="0" w:space="0" w:color="auto"/>
        <w:left w:val="none" w:sz="0" w:space="0" w:color="auto"/>
        <w:bottom w:val="none" w:sz="0" w:space="0" w:color="auto"/>
        <w:right w:val="none" w:sz="0" w:space="0" w:color="auto"/>
      </w:divBdr>
    </w:div>
    <w:div w:id="1747414578">
      <w:bodyDiv w:val="1"/>
      <w:marLeft w:val="0"/>
      <w:marRight w:val="0"/>
      <w:marTop w:val="0"/>
      <w:marBottom w:val="0"/>
      <w:divBdr>
        <w:top w:val="none" w:sz="0" w:space="0" w:color="auto"/>
        <w:left w:val="none" w:sz="0" w:space="0" w:color="auto"/>
        <w:bottom w:val="none" w:sz="0" w:space="0" w:color="auto"/>
        <w:right w:val="none" w:sz="0" w:space="0" w:color="auto"/>
      </w:divBdr>
    </w:div>
    <w:div w:id="1747458531">
      <w:bodyDiv w:val="1"/>
      <w:marLeft w:val="0"/>
      <w:marRight w:val="0"/>
      <w:marTop w:val="0"/>
      <w:marBottom w:val="0"/>
      <w:divBdr>
        <w:top w:val="none" w:sz="0" w:space="0" w:color="auto"/>
        <w:left w:val="none" w:sz="0" w:space="0" w:color="auto"/>
        <w:bottom w:val="none" w:sz="0" w:space="0" w:color="auto"/>
        <w:right w:val="none" w:sz="0" w:space="0" w:color="auto"/>
      </w:divBdr>
    </w:div>
    <w:div w:id="1747529106">
      <w:bodyDiv w:val="1"/>
      <w:marLeft w:val="0"/>
      <w:marRight w:val="0"/>
      <w:marTop w:val="0"/>
      <w:marBottom w:val="0"/>
      <w:divBdr>
        <w:top w:val="none" w:sz="0" w:space="0" w:color="auto"/>
        <w:left w:val="none" w:sz="0" w:space="0" w:color="auto"/>
        <w:bottom w:val="none" w:sz="0" w:space="0" w:color="auto"/>
        <w:right w:val="none" w:sz="0" w:space="0" w:color="auto"/>
      </w:divBdr>
    </w:div>
    <w:div w:id="1747605669">
      <w:bodyDiv w:val="1"/>
      <w:marLeft w:val="0"/>
      <w:marRight w:val="0"/>
      <w:marTop w:val="0"/>
      <w:marBottom w:val="0"/>
      <w:divBdr>
        <w:top w:val="none" w:sz="0" w:space="0" w:color="auto"/>
        <w:left w:val="none" w:sz="0" w:space="0" w:color="auto"/>
        <w:bottom w:val="none" w:sz="0" w:space="0" w:color="auto"/>
        <w:right w:val="none" w:sz="0" w:space="0" w:color="auto"/>
      </w:divBdr>
    </w:div>
    <w:div w:id="1747648676">
      <w:bodyDiv w:val="1"/>
      <w:marLeft w:val="0"/>
      <w:marRight w:val="0"/>
      <w:marTop w:val="0"/>
      <w:marBottom w:val="0"/>
      <w:divBdr>
        <w:top w:val="none" w:sz="0" w:space="0" w:color="auto"/>
        <w:left w:val="none" w:sz="0" w:space="0" w:color="auto"/>
        <w:bottom w:val="none" w:sz="0" w:space="0" w:color="auto"/>
        <w:right w:val="none" w:sz="0" w:space="0" w:color="auto"/>
      </w:divBdr>
    </w:div>
    <w:div w:id="1747722451">
      <w:bodyDiv w:val="1"/>
      <w:marLeft w:val="0"/>
      <w:marRight w:val="0"/>
      <w:marTop w:val="0"/>
      <w:marBottom w:val="0"/>
      <w:divBdr>
        <w:top w:val="none" w:sz="0" w:space="0" w:color="auto"/>
        <w:left w:val="none" w:sz="0" w:space="0" w:color="auto"/>
        <w:bottom w:val="none" w:sz="0" w:space="0" w:color="auto"/>
        <w:right w:val="none" w:sz="0" w:space="0" w:color="auto"/>
      </w:divBdr>
    </w:div>
    <w:div w:id="1747805252">
      <w:bodyDiv w:val="1"/>
      <w:marLeft w:val="0"/>
      <w:marRight w:val="0"/>
      <w:marTop w:val="0"/>
      <w:marBottom w:val="0"/>
      <w:divBdr>
        <w:top w:val="none" w:sz="0" w:space="0" w:color="auto"/>
        <w:left w:val="none" w:sz="0" w:space="0" w:color="auto"/>
        <w:bottom w:val="none" w:sz="0" w:space="0" w:color="auto"/>
        <w:right w:val="none" w:sz="0" w:space="0" w:color="auto"/>
      </w:divBdr>
    </w:div>
    <w:div w:id="1747848152">
      <w:bodyDiv w:val="1"/>
      <w:marLeft w:val="0"/>
      <w:marRight w:val="0"/>
      <w:marTop w:val="0"/>
      <w:marBottom w:val="0"/>
      <w:divBdr>
        <w:top w:val="none" w:sz="0" w:space="0" w:color="auto"/>
        <w:left w:val="none" w:sz="0" w:space="0" w:color="auto"/>
        <w:bottom w:val="none" w:sz="0" w:space="0" w:color="auto"/>
        <w:right w:val="none" w:sz="0" w:space="0" w:color="auto"/>
      </w:divBdr>
    </w:div>
    <w:div w:id="1748068006">
      <w:bodyDiv w:val="1"/>
      <w:marLeft w:val="0"/>
      <w:marRight w:val="0"/>
      <w:marTop w:val="0"/>
      <w:marBottom w:val="0"/>
      <w:divBdr>
        <w:top w:val="none" w:sz="0" w:space="0" w:color="auto"/>
        <w:left w:val="none" w:sz="0" w:space="0" w:color="auto"/>
        <w:bottom w:val="none" w:sz="0" w:space="0" w:color="auto"/>
        <w:right w:val="none" w:sz="0" w:space="0" w:color="auto"/>
      </w:divBdr>
    </w:div>
    <w:div w:id="1748069363">
      <w:bodyDiv w:val="1"/>
      <w:marLeft w:val="0"/>
      <w:marRight w:val="0"/>
      <w:marTop w:val="0"/>
      <w:marBottom w:val="0"/>
      <w:divBdr>
        <w:top w:val="none" w:sz="0" w:space="0" w:color="auto"/>
        <w:left w:val="none" w:sz="0" w:space="0" w:color="auto"/>
        <w:bottom w:val="none" w:sz="0" w:space="0" w:color="auto"/>
        <w:right w:val="none" w:sz="0" w:space="0" w:color="auto"/>
      </w:divBdr>
    </w:div>
    <w:div w:id="1748069718">
      <w:bodyDiv w:val="1"/>
      <w:marLeft w:val="0"/>
      <w:marRight w:val="0"/>
      <w:marTop w:val="0"/>
      <w:marBottom w:val="0"/>
      <w:divBdr>
        <w:top w:val="none" w:sz="0" w:space="0" w:color="auto"/>
        <w:left w:val="none" w:sz="0" w:space="0" w:color="auto"/>
        <w:bottom w:val="none" w:sz="0" w:space="0" w:color="auto"/>
        <w:right w:val="none" w:sz="0" w:space="0" w:color="auto"/>
      </w:divBdr>
    </w:div>
    <w:div w:id="1748074405">
      <w:bodyDiv w:val="1"/>
      <w:marLeft w:val="0"/>
      <w:marRight w:val="0"/>
      <w:marTop w:val="0"/>
      <w:marBottom w:val="0"/>
      <w:divBdr>
        <w:top w:val="none" w:sz="0" w:space="0" w:color="auto"/>
        <w:left w:val="none" w:sz="0" w:space="0" w:color="auto"/>
        <w:bottom w:val="none" w:sz="0" w:space="0" w:color="auto"/>
        <w:right w:val="none" w:sz="0" w:space="0" w:color="auto"/>
      </w:divBdr>
    </w:div>
    <w:div w:id="1748190935">
      <w:bodyDiv w:val="1"/>
      <w:marLeft w:val="0"/>
      <w:marRight w:val="0"/>
      <w:marTop w:val="0"/>
      <w:marBottom w:val="0"/>
      <w:divBdr>
        <w:top w:val="none" w:sz="0" w:space="0" w:color="auto"/>
        <w:left w:val="none" w:sz="0" w:space="0" w:color="auto"/>
        <w:bottom w:val="none" w:sz="0" w:space="0" w:color="auto"/>
        <w:right w:val="none" w:sz="0" w:space="0" w:color="auto"/>
      </w:divBdr>
    </w:div>
    <w:div w:id="1748192187">
      <w:bodyDiv w:val="1"/>
      <w:marLeft w:val="0"/>
      <w:marRight w:val="0"/>
      <w:marTop w:val="0"/>
      <w:marBottom w:val="0"/>
      <w:divBdr>
        <w:top w:val="none" w:sz="0" w:space="0" w:color="auto"/>
        <w:left w:val="none" w:sz="0" w:space="0" w:color="auto"/>
        <w:bottom w:val="none" w:sz="0" w:space="0" w:color="auto"/>
        <w:right w:val="none" w:sz="0" w:space="0" w:color="auto"/>
      </w:divBdr>
    </w:div>
    <w:div w:id="1748383709">
      <w:bodyDiv w:val="1"/>
      <w:marLeft w:val="0"/>
      <w:marRight w:val="0"/>
      <w:marTop w:val="0"/>
      <w:marBottom w:val="0"/>
      <w:divBdr>
        <w:top w:val="none" w:sz="0" w:space="0" w:color="auto"/>
        <w:left w:val="none" w:sz="0" w:space="0" w:color="auto"/>
        <w:bottom w:val="none" w:sz="0" w:space="0" w:color="auto"/>
        <w:right w:val="none" w:sz="0" w:space="0" w:color="auto"/>
      </w:divBdr>
    </w:div>
    <w:div w:id="1748459562">
      <w:bodyDiv w:val="1"/>
      <w:marLeft w:val="0"/>
      <w:marRight w:val="0"/>
      <w:marTop w:val="0"/>
      <w:marBottom w:val="0"/>
      <w:divBdr>
        <w:top w:val="none" w:sz="0" w:space="0" w:color="auto"/>
        <w:left w:val="none" w:sz="0" w:space="0" w:color="auto"/>
        <w:bottom w:val="none" w:sz="0" w:space="0" w:color="auto"/>
        <w:right w:val="none" w:sz="0" w:space="0" w:color="auto"/>
      </w:divBdr>
    </w:div>
    <w:div w:id="1748460862">
      <w:bodyDiv w:val="1"/>
      <w:marLeft w:val="0"/>
      <w:marRight w:val="0"/>
      <w:marTop w:val="0"/>
      <w:marBottom w:val="0"/>
      <w:divBdr>
        <w:top w:val="none" w:sz="0" w:space="0" w:color="auto"/>
        <w:left w:val="none" w:sz="0" w:space="0" w:color="auto"/>
        <w:bottom w:val="none" w:sz="0" w:space="0" w:color="auto"/>
        <w:right w:val="none" w:sz="0" w:space="0" w:color="auto"/>
      </w:divBdr>
    </w:div>
    <w:div w:id="1748842023">
      <w:bodyDiv w:val="1"/>
      <w:marLeft w:val="0"/>
      <w:marRight w:val="0"/>
      <w:marTop w:val="0"/>
      <w:marBottom w:val="0"/>
      <w:divBdr>
        <w:top w:val="none" w:sz="0" w:space="0" w:color="auto"/>
        <w:left w:val="none" w:sz="0" w:space="0" w:color="auto"/>
        <w:bottom w:val="none" w:sz="0" w:space="0" w:color="auto"/>
        <w:right w:val="none" w:sz="0" w:space="0" w:color="auto"/>
      </w:divBdr>
    </w:div>
    <w:div w:id="1749108307">
      <w:bodyDiv w:val="1"/>
      <w:marLeft w:val="0"/>
      <w:marRight w:val="0"/>
      <w:marTop w:val="0"/>
      <w:marBottom w:val="0"/>
      <w:divBdr>
        <w:top w:val="none" w:sz="0" w:space="0" w:color="auto"/>
        <w:left w:val="none" w:sz="0" w:space="0" w:color="auto"/>
        <w:bottom w:val="none" w:sz="0" w:space="0" w:color="auto"/>
        <w:right w:val="none" w:sz="0" w:space="0" w:color="auto"/>
      </w:divBdr>
    </w:div>
    <w:div w:id="1749112212">
      <w:bodyDiv w:val="1"/>
      <w:marLeft w:val="0"/>
      <w:marRight w:val="0"/>
      <w:marTop w:val="0"/>
      <w:marBottom w:val="0"/>
      <w:divBdr>
        <w:top w:val="none" w:sz="0" w:space="0" w:color="auto"/>
        <w:left w:val="none" w:sz="0" w:space="0" w:color="auto"/>
        <w:bottom w:val="none" w:sz="0" w:space="0" w:color="auto"/>
        <w:right w:val="none" w:sz="0" w:space="0" w:color="auto"/>
      </w:divBdr>
    </w:div>
    <w:div w:id="1749182537">
      <w:bodyDiv w:val="1"/>
      <w:marLeft w:val="0"/>
      <w:marRight w:val="0"/>
      <w:marTop w:val="0"/>
      <w:marBottom w:val="0"/>
      <w:divBdr>
        <w:top w:val="none" w:sz="0" w:space="0" w:color="auto"/>
        <w:left w:val="none" w:sz="0" w:space="0" w:color="auto"/>
        <w:bottom w:val="none" w:sz="0" w:space="0" w:color="auto"/>
        <w:right w:val="none" w:sz="0" w:space="0" w:color="auto"/>
      </w:divBdr>
    </w:div>
    <w:div w:id="1749182641">
      <w:bodyDiv w:val="1"/>
      <w:marLeft w:val="0"/>
      <w:marRight w:val="0"/>
      <w:marTop w:val="0"/>
      <w:marBottom w:val="0"/>
      <w:divBdr>
        <w:top w:val="none" w:sz="0" w:space="0" w:color="auto"/>
        <w:left w:val="none" w:sz="0" w:space="0" w:color="auto"/>
        <w:bottom w:val="none" w:sz="0" w:space="0" w:color="auto"/>
        <w:right w:val="none" w:sz="0" w:space="0" w:color="auto"/>
      </w:divBdr>
    </w:div>
    <w:div w:id="1749184422">
      <w:bodyDiv w:val="1"/>
      <w:marLeft w:val="0"/>
      <w:marRight w:val="0"/>
      <w:marTop w:val="0"/>
      <w:marBottom w:val="0"/>
      <w:divBdr>
        <w:top w:val="none" w:sz="0" w:space="0" w:color="auto"/>
        <w:left w:val="none" w:sz="0" w:space="0" w:color="auto"/>
        <w:bottom w:val="none" w:sz="0" w:space="0" w:color="auto"/>
        <w:right w:val="none" w:sz="0" w:space="0" w:color="auto"/>
      </w:divBdr>
    </w:div>
    <w:div w:id="1749231819">
      <w:bodyDiv w:val="1"/>
      <w:marLeft w:val="0"/>
      <w:marRight w:val="0"/>
      <w:marTop w:val="0"/>
      <w:marBottom w:val="0"/>
      <w:divBdr>
        <w:top w:val="none" w:sz="0" w:space="0" w:color="auto"/>
        <w:left w:val="none" w:sz="0" w:space="0" w:color="auto"/>
        <w:bottom w:val="none" w:sz="0" w:space="0" w:color="auto"/>
        <w:right w:val="none" w:sz="0" w:space="0" w:color="auto"/>
      </w:divBdr>
    </w:div>
    <w:div w:id="1749499155">
      <w:bodyDiv w:val="1"/>
      <w:marLeft w:val="0"/>
      <w:marRight w:val="0"/>
      <w:marTop w:val="0"/>
      <w:marBottom w:val="0"/>
      <w:divBdr>
        <w:top w:val="none" w:sz="0" w:space="0" w:color="auto"/>
        <w:left w:val="none" w:sz="0" w:space="0" w:color="auto"/>
        <w:bottom w:val="none" w:sz="0" w:space="0" w:color="auto"/>
        <w:right w:val="none" w:sz="0" w:space="0" w:color="auto"/>
      </w:divBdr>
    </w:div>
    <w:div w:id="1749500122">
      <w:bodyDiv w:val="1"/>
      <w:marLeft w:val="0"/>
      <w:marRight w:val="0"/>
      <w:marTop w:val="0"/>
      <w:marBottom w:val="0"/>
      <w:divBdr>
        <w:top w:val="none" w:sz="0" w:space="0" w:color="auto"/>
        <w:left w:val="none" w:sz="0" w:space="0" w:color="auto"/>
        <w:bottom w:val="none" w:sz="0" w:space="0" w:color="auto"/>
        <w:right w:val="none" w:sz="0" w:space="0" w:color="auto"/>
      </w:divBdr>
    </w:div>
    <w:div w:id="1749618268">
      <w:bodyDiv w:val="1"/>
      <w:marLeft w:val="0"/>
      <w:marRight w:val="0"/>
      <w:marTop w:val="0"/>
      <w:marBottom w:val="0"/>
      <w:divBdr>
        <w:top w:val="none" w:sz="0" w:space="0" w:color="auto"/>
        <w:left w:val="none" w:sz="0" w:space="0" w:color="auto"/>
        <w:bottom w:val="none" w:sz="0" w:space="0" w:color="auto"/>
        <w:right w:val="none" w:sz="0" w:space="0" w:color="auto"/>
      </w:divBdr>
    </w:div>
    <w:div w:id="1749688754">
      <w:bodyDiv w:val="1"/>
      <w:marLeft w:val="0"/>
      <w:marRight w:val="0"/>
      <w:marTop w:val="0"/>
      <w:marBottom w:val="0"/>
      <w:divBdr>
        <w:top w:val="none" w:sz="0" w:space="0" w:color="auto"/>
        <w:left w:val="none" w:sz="0" w:space="0" w:color="auto"/>
        <w:bottom w:val="none" w:sz="0" w:space="0" w:color="auto"/>
        <w:right w:val="none" w:sz="0" w:space="0" w:color="auto"/>
      </w:divBdr>
    </w:div>
    <w:div w:id="1749767382">
      <w:bodyDiv w:val="1"/>
      <w:marLeft w:val="0"/>
      <w:marRight w:val="0"/>
      <w:marTop w:val="0"/>
      <w:marBottom w:val="0"/>
      <w:divBdr>
        <w:top w:val="none" w:sz="0" w:space="0" w:color="auto"/>
        <w:left w:val="none" w:sz="0" w:space="0" w:color="auto"/>
        <w:bottom w:val="none" w:sz="0" w:space="0" w:color="auto"/>
        <w:right w:val="none" w:sz="0" w:space="0" w:color="auto"/>
      </w:divBdr>
    </w:div>
    <w:div w:id="1749882161">
      <w:bodyDiv w:val="1"/>
      <w:marLeft w:val="0"/>
      <w:marRight w:val="0"/>
      <w:marTop w:val="0"/>
      <w:marBottom w:val="0"/>
      <w:divBdr>
        <w:top w:val="none" w:sz="0" w:space="0" w:color="auto"/>
        <w:left w:val="none" w:sz="0" w:space="0" w:color="auto"/>
        <w:bottom w:val="none" w:sz="0" w:space="0" w:color="auto"/>
        <w:right w:val="none" w:sz="0" w:space="0" w:color="auto"/>
      </w:divBdr>
    </w:div>
    <w:div w:id="1749884471">
      <w:bodyDiv w:val="1"/>
      <w:marLeft w:val="0"/>
      <w:marRight w:val="0"/>
      <w:marTop w:val="0"/>
      <w:marBottom w:val="0"/>
      <w:divBdr>
        <w:top w:val="none" w:sz="0" w:space="0" w:color="auto"/>
        <w:left w:val="none" w:sz="0" w:space="0" w:color="auto"/>
        <w:bottom w:val="none" w:sz="0" w:space="0" w:color="auto"/>
        <w:right w:val="none" w:sz="0" w:space="0" w:color="auto"/>
      </w:divBdr>
    </w:div>
    <w:div w:id="1749956193">
      <w:bodyDiv w:val="1"/>
      <w:marLeft w:val="0"/>
      <w:marRight w:val="0"/>
      <w:marTop w:val="0"/>
      <w:marBottom w:val="0"/>
      <w:divBdr>
        <w:top w:val="none" w:sz="0" w:space="0" w:color="auto"/>
        <w:left w:val="none" w:sz="0" w:space="0" w:color="auto"/>
        <w:bottom w:val="none" w:sz="0" w:space="0" w:color="auto"/>
        <w:right w:val="none" w:sz="0" w:space="0" w:color="auto"/>
      </w:divBdr>
    </w:div>
    <w:div w:id="1750032647">
      <w:bodyDiv w:val="1"/>
      <w:marLeft w:val="0"/>
      <w:marRight w:val="0"/>
      <w:marTop w:val="0"/>
      <w:marBottom w:val="0"/>
      <w:divBdr>
        <w:top w:val="none" w:sz="0" w:space="0" w:color="auto"/>
        <w:left w:val="none" w:sz="0" w:space="0" w:color="auto"/>
        <w:bottom w:val="none" w:sz="0" w:space="0" w:color="auto"/>
        <w:right w:val="none" w:sz="0" w:space="0" w:color="auto"/>
      </w:divBdr>
    </w:div>
    <w:div w:id="1750034482">
      <w:bodyDiv w:val="1"/>
      <w:marLeft w:val="0"/>
      <w:marRight w:val="0"/>
      <w:marTop w:val="0"/>
      <w:marBottom w:val="0"/>
      <w:divBdr>
        <w:top w:val="none" w:sz="0" w:space="0" w:color="auto"/>
        <w:left w:val="none" w:sz="0" w:space="0" w:color="auto"/>
        <w:bottom w:val="none" w:sz="0" w:space="0" w:color="auto"/>
        <w:right w:val="none" w:sz="0" w:space="0" w:color="auto"/>
      </w:divBdr>
    </w:div>
    <w:div w:id="1750036226">
      <w:bodyDiv w:val="1"/>
      <w:marLeft w:val="0"/>
      <w:marRight w:val="0"/>
      <w:marTop w:val="0"/>
      <w:marBottom w:val="0"/>
      <w:divBdr>
        <w:top w:val="none" w:sz="0" w:space="0" w:color="auto"/>
        <w:left w:val="none" w:sz="0" w:space="0" w:color="auto"/>
        <w:bottom w:val="none" w:sz="0" w:space="0" w:color="auto"/>
        <w:right w:val="none" w:sz="0" w:space="0" w:color="auto"/>
      </w:divBdr>
    </w:div>
    <w:div w:id="1750232462">
      <w:bodyDiv w:val="1"/>
      <w:marLeft w:val="0"/>
      <w:marRight w:val="0"/>
      <w:marTop w:val="0"/>
      <w:marBottom w:val="0"/>
      <w:divBdr>
        <w:top w:val="none" w:sz="0" w:space="0" w:color="auto"/>
        <w:left w:val="none" w:sz="0" w:space="0" w:color="auto"/>
        <w:bottom w:val="none" w:sz="0" w:space="0" w:color="auto"/>
        <w:right w:val="none" w:sz="0" w:space="0" w:color="auto"/>
      </w:divBdr>
    </w:div>
    <w:div w:id="1750271071">
      <w:bodyDiv w:val="1"/>
      <w:marLeft w:val="0"/>
      <w:marRight w:val="0"/>
      <w:marTop w:val="0"/>
      <w:marBottom w:val="0"/>
      <w:divBdr>
        <w:top w:val="none" w:sz="0" w:space="0" w:color="auto"/>
        <w:left w:val="none" w:sz="0" w:space="0" w:color="auto"/>
        <w:bottom w:val="none" w:sz="0" w:space="0" w:color="auto"/>
        <w:right w:val="none" w:sz="0" w:space="0" w:color="auto"/>
      </w:divBdr>
    </w:div>
    <w:div w:id="1750273029">
      <w:bodyDiv w:val="1"/>
      <w:marLeft w:val="0"/>
      <w:marRight w:val="0"/>
      <w:marTop w:val="0"/>
      <w:marBottom w:val="0"/>
      <w:divBdr>
        <w:top w:val="none" w:sz="0" w:space="0" w:color="auto"/>
        <w:left w:val="none" w:sz="0" w:space="0" w:color="auto"/>
        <w:bottom w:val="none" w:sz="0" w:space="0" w:color="auto"/>
        <w:right w:val="none" w:sz="0" w:space="0" w:color="auto"/>
      </w:divBdr>
    </w:div>
    <w:div w:id="1750275840">
      <w:bodyDiv w:val="1"/>
      <w:marLeft w:val="0"/>
      <w:marRight w:val="0"/>
      <w:marTop w:val="0"/>
      <w:marBottom w:val="0"/>
      <w:divBdr>
        <w:top w:val="none" w:sz="0" w:space="0" w:color="auto"/>
        <w:left w:val="none" w:sz="0" w:space="0" w:color="auto"/>
        <w:bottom w:val="none" w:sz="0" w:space="0" w:color="auto"/>
        <w:right w:val="none" w:sz="0" w:space="0" w:color="auto"/>
      </w:divBdr>
    </w:div>
    <w:div w:id="1750345071">
      <w:bodyDiv w:val="1"/>
      <w:marLeft w:val="0"/>
      <w:marRight w:val="0"/>
      <w:marTop w:val="0"/>
      <w:marBottom w:val="0"/>
      <w:divBdr>
        <w:top w:val="none" w:sz="0" w:space="0" w:color="auto"/>
        <w:left w:val="none" w:sz="0" w:space="0" w:color="auto"/>
        <w:bottom w:val="none" w:sz="0" w:space="0" w:color="auto"/>
        <w:right w:val="none" w:sz="0" w:space="0" w:color="auto"/>
      </w:divBdr>
    </w:div>
    <w:div w:id="1750346896">
      <w:bodyDiv w:val="1"/>
      <w:marLeft w:val="0"/>
      <w:marRight w:val="0"/>
      <w:marTop w:val="0"/>
      <w:marBottom w:val="0"/>
      <w:divBdr>
        <w:top w:val="none" w:sz="0" w:space="0" w:color="auto"/>
        <w:left w:val="none" w:sz="0" w:space="0" w:color="auto"/>
        <w:bottom w:val="none" w:sz="0" w:space="0" w:color="auto"/>
        <w:right w:val="none" w:sz="0" w:space="0" w:color="auto"/>
      </w:divBdr>
    </w:div>
    <w:div w:id="1750424905">
      <w:bodyDiv w:val="1"/>
      <w:marLeft w:val="0"/>
      <w:marRight w:val="0"/>
      <w:marTop w:val="0"/>
      <w:marBottom w:val="0"/>
      <w:divBdr>
        <w:top w:val="none" w:sz="0" w:space="0" w:color="auto"/>
        <w:left w:val="none" w:sz="0" w:space="0" w:color="auto"/>
        <w:bottom w:val="none" w:sz="0" w:space="0" w:color="auto"/>
        <w:right w:val="none" w:sz="0" w:space="0" w:color="auto"/>
      </w:divBdr>
    </w:div>
    <w:div w:id="1750493908">
      <w:bodyDiv w:val="1"/>
      <w:marLeft w:val="0"/>
      <w:marRight w:val="0"/>
      <w:marTop w:val="0"/>
      <w:marBottom w:val="0"/>
      <w:divBdr>
        <w:top w:val="none" w:sz="0" w:space="0" w:color="auto"/>
        <w:left w:val="none" w:sz="0" w:space="0" w:color="auto"/>
        <w:bottom w:val="none" w:sz="0" w:space="0" w:color="auto"/>
        <w:right w:val="none" w:sz="0" w:space="0" w:color="auto"/>
      </w:divBdr>
    </w:div>
    <w:div w:id="1750539927">
      <w:bodyDiv w:val="1"/>
      <w:marLeft w:val="0"/>
      <w:marRight w:val="0"/>
      <w:marTop w:val="0"/>
      <w:marBottom w:val="0"/>
      <w:divBdr>
        <w:top w:val="none" w:sz="0" w:space="0" w:color="auto"/>
        <w:left w:val="none" w:sz="0" w:space="0" w:color="auto"/>
        <w:bottom w:val="none" w:sz="0" w:space="0" w:color="auto"/>
        <w:right w:val="none" w:sz="0" w:space="0" w:color="auto"/>
      </w:divBdr>
    </w:div>
    <w:div w:id="1750613149">
      <w:bodyDiv w:val="1"/>
      <w:marLeft w:val="0"/>
      <w:marRight w:val="0"/>
      <w:marTop w:val="0"/>
      <w:marBottom w:val="0"/>
      <w:divBdr>
        <w:top w:val="none" w:sz="0" w:space="0" w:color="auto"/>
        <w:left w:val="none" w:sz="0" w:space="0" w:color="auto"/>
        <w:bottom w:val="none" w:sz="0" w:space="0" w:color="auto"/>
        <w:right w:val="none" w:sz="0" w:space="0" w:color="auto"/>
      </w:divBdr>
    </w:div>
    <w:div w:id="1750619209">
      <w:bodyDiv w:val="1"/>
      <w:marLeft w:val="0"/>
      <w:marRight w:val="0"/>
      <w:marTop w:val="0"/>
      <w:marBottom w:val="0"/>
      <w:divBdr>
        <w:top w:val="none" w:sz="0" w:space="0" w:color="auto"/>
        <w:left w:val="none" w:sz="0" w:space="0" w:color="auto"/>
        <w:bottom w:val="none" w:sz="0" w:space="0" w:color="auto"/>
        <w:right w:val="none" w:sz="0" w:space="0" w:color="auto"/>
      </w:divBdr>
    </w:div>
    <w:div w:id="1750729731">
      <w:bodyDiv w:val="1"/>
      <w:marLeft w:val="0"/>
      <w:marRight w:val="0"/>
      <w:marTop w:val="0"/>
      <w:marBottom w:val="0"/>
      <w:divBdr>
        <w:top w:val="none" w:sz="0" w:space="0" w:color="auto"/>
        <w:left w:val="none" w:sz="0" w:space="0" w:color="auto"/>
        <w:bottom w:val="none" w:sz="0" w:space="0" w:color="auto"/>
        <w:right w:val="none" w:sz="0" w:space="0" w:color="auto"/>
      </w:divBdr>
    </w:div>
    <w:div w:id="1750761241">
      <w:bodyDiv w:val="1"/>
      <w:marLeft w:val="0"/>
      <w:marRight w:val="0"/>
      <w:marTop w:val="0"/>
      <w:marBottom w:val="0"/>
      <w:divBdr>
        <w:top w:val="none" w:sz="0" w:space="0" w:color="auto"/>
        <w:left w:val="none" w:sz="0" w:space="0" w:color="auto"/>
        <w:bottom w:val="none" w:sz="0" w:space="0" w:color="auto"/>
        <w:right w:val="none" w:sz="0" w:space="0" w:color="auto"/>
      </w:divBdr>
    </w:div>
    <w:div w:id="1750806633">
      <w:bodyDiv w:val="1"/>
      <w:marLeft w:val="0"/>
      <w:marRight w:val="0"/>
      <w:marTop w:val="0"/>
      <w:marBottom w:val="0"/>
      <w:divBdr>
        <w:top w:val="none" w:sz="0" w:space="0" w:color="auto"/>
        <w:left w:val="none" w:sz="0" w:space="0" w:color="auto"/>
        <w:bottom w:val="none" w:sz="0" w:space="0" w:color="auto"/>
        <w:right w:val="none" w:sz="0" w:space="0" w:color="auto"/>
      </w:divBdr>
    </w:div>
    <w:div w:id="1750927520">
      <w:bodyDiv w:val="1"/>
      <w:marLeft w:val="0"/>
      <w:marRight w:val="0"/>
      <w:marTop w:val="0"/>
      <w:marBottom w:val="0"/>
      <w:divBdr>
        <w:top w:val="none" w:sz="0" w:space="0" w:color="auto"/>
        <w:left w:val="none" w:sz="0" w:space="0" w:color="auto"/>
        <w:bottom w:val="none" w:sz="0" w:space="0" w:color="auto"/>
        <w:right w:val="none" w:sz="0" w:space="0" w:color="auto"/>
      </w:divBdr>
    </w:div>
    <w:div w:id="1751000543">
      <w:bodyDiv w:val="1"/>
      <w:marLeft w:val="0"/>
      <w:marRight w:val="0"/>
      <w:marTop w:val="0"/>
      <w:marBottom w:val="0"/>
      <w:divBdr>
        <w:top w:val="none" w:sz="0" w:space="0" w:color="auto"/>
        <w:left w:val="none" w:sz="0" w:space="0" w:color="auto"/>
        <w:bottom w:val="none" w:sz="0" w:space="0" w:color="auto"/>
        <w:right w:val="none" w:sz="0" w:space="0" w:color="auto"/>
      </w:divBdr>
    </w:div>
    <w:div w:id="1751147958">
      <w:bodyDiv w:val="1"/>
      <w:marLeft w:val="0"/>
      <w:marRight w:val="0"/>
      <w:marTop w:val="0"/>
      <w:marBottom w:val="0"/>
      <w:divBdr>
        <w:top w:val="none" w:sz="0" w:space="0" w:color="auto"/>
        <w:left w:val="none" w:sz="0" w:space="0" w:color="auto"/>
        <w:bottom w:val="none" w:sz="0" w:space="0" w:color="auto"/>
        <w:right w:val="none" w:sz="0" w:space="0" w:color="auto"/>
      </w:divBdr>
    </w:div>
    <w:div w:id="1751191936">
      <w:bodyDiv w:val="1"/>
      <w:marLeft w:val="0"/>
      <w:marRight w:val="0"/>
      <w:marTop w:val="0"/>
      <w:marBottom w:val="0"/>
      <w:divBdr>
        <w:top w:val="none" w:sz="0" w:space="0" w:color="auto"/>
        <w:left w:val="none" w:sz="0" w:space="0" w:color="auto"/>
        <w:bottom w:val="none" w:sz="0" w:space="0" w:color="auto"/>
        <w:right w:val="none" w:sz="0" w:space="0" w:color="auto"/>
      </w:divBdr>
    </w:div>
    <w:div w:id="1751194348">
      <w:bodyDiv w:val="1"/>
      <w:marLeft w:val="0"/>
      <w:marRight w:val="0"/>
      <w:marTop w:val="0"/>
      <w:marBottom w:val="0"/>
      <w:divBdr>
        <w:top w:val="none" w:sz="0" w:space="0" w:color="auto"/>
        <w:left w:val="none" w:sz="0" w:space="0" w:color="auto"/>
        <w:bottom w:val="none" w:sz="0" w:space="0" w:color="auto"/>
        <w:right w:val="none" w:sz="0" w:space="0" w:color="auto"/>
      </w:divBdr>
    </w:div>
    <w:div w:id="1751269256">
      <w:bodyDiv w:val="1"/>
      <w:marLeft w:val="0"/>
      <w:marRight w:val="0"/>
      <w:marTop w:val="0"/>
      <w:marBottom w:val="0"/>
      <w:divBdr>
        <w:top w:val="none" w:sz="0" w:space="0" w:color="auto"/>
        <w:left w:val="none" w:sz="0" w:space="0" w:color="auto"/>
        <w:bottom w:val="none" w:sz="0" w:space="0" w:color="auto"/>
        <w:right w:val="none" w:sz="0" w:space="0" w:color="auto"/>
      </w:divBdr>
    </w:div>
    <w:div w:id="1751584050">
      <w:bodyDiv w:val="1"/>
      <w:marLeft w:val="0"/>
      <w:marRight w:val="0"/>
      <w:marTop w:val="0"/>
      <w:marBottom w:val="0"/>
      <w:divBdr>
        <w:top w:val="none" w:sz="0" w:space="0" w:color="auto"/>
        <w:left w:val="none" w:sz="0" w:space="0" w:color="auto"/>
        <w:bottom w:val="none" w:sz="0" w:space="0" w:color="auto"/>
        <w:right w:val="none" w:sz="0" w:space="0" w:color="auto"/>
      </w:divBdr>
    </w:div>
    <w:div w:id="1751585231">
      <w:bodyDiv w:val="1"/>
      <w:marLeft w:val="0"/>
      <w:marRight w:val="0"/>
      <w:marTop w:val="0"/>
      <w:marBottom w:val="0"/>
      <w:divBdr>
        <w:top w:val="none" w:sz="0" w:space="0" w:color="auto"/>
        <w:left w:val="none" w:sz="0" w:space="0" w:color="auto"/>
        <w:bottom w:val="none" w:sz="0" w:space="0" w:color="auto"/>
        <w:right w:val="none" w:sz="0" w:space="0" w:color="auto"/>
      </w:divBdr>
    </w:div>
    <w:div w:id="1751656915">
      <w:bodyDiv w:val="1"/>
      <w:marLeft w:val="0"/>
      <w:marRight w:val="0"/>
      <w:marTop w:val="0"/>
      <w:marBottom w:val="0"/>
      <w:divBdr>
        <w:top w:val="none" w:sz="0" w:space="0" w:color="auto"/>
        <w:left w:val="none" w:sz="0" w:space="0" w:color="auto"/>
        <w:bottom w:val="none" w:sz="0" w:space="0" w:color="auto"/>
        <w:right w:val="none" w:sz="0" w:space="0" w:color="auto"/>
      </w:divBdr>
    </w:div>
    <w:div w:id="1751729423">
      <w:bodyDiv w:val="1"/>
      <w:marLeft w:val="0"/>
      <w:marRight w:val="0"/>
      <w:marTop w:val="0"/>
      <w:marBottom w:val="0"/>
      <w:divBdr>
        <w:top w:val="none" w:sz="0" w:space="0" w:color="auto"/>
        <w:left w:val="none" w:sz="0" w:space="0" w:color="auto"/>
        <w:bottom w:val="none" w:sz="0" w:space="0" w:color="auto"/>
        <w:right w:val="none" w:sz="0" w:space="0" w:color="auto"/>
      </w:divBdr>
    </w:div>
    <w:div w:id="1751925109">
      <w:bodyDiv w:val="1"/>
      <w:marLeft w:val="0"/>
      <w:marRight w:val="0"/>
      <w:marTop w:val="0"/>
      <w:marBottom w:val="0"/>
      <w:divBdr>
        <w:top w:val="none" w:sz="0" w:space="0" w:color="auto"/>
        <w:left w:val="none" w:sz="0" w:space="0" w:color="auto"/>
        <w:bottom w:val="none" w:sz="0" w:space="0" w:color="auto"/>
        <w:right w:val="none" w:sz="0" w:space="0" w:color="auto"/>
      </w:divBdr>
    </w:div>
    <w:div w:id="1752001528">
      <w:bodyDiv w:val="1"/>
      <w:marLeft w:val="0"/>
      <w:marRight w:val="0"/>
      <w:marTop w:val="0"/>
      <w:marBottom w:val="0"/>
      <w:divBdr>
        <w:top w:val="none" w:sz="0" w:space="0" w:color="auto"/>
        <w:left w:val="none" w:sz="0" w:space="0" w:color="auto"/>
        <w:bottom w:val="none" w:sz="0" w:space="0" w:color="auto"/>
        <w:right w:val="none" w:sz="0" w:space="0" w:color="auto"/>
      </w:divBdr>
    </w:div>
    <w:div w:id="1752004028">
      <w:bodyDiv w:val="1"/>
      <w:marLeft w:val="0"/>
      <w:marRight w:val="0"/>
      <w:marTop w:val="0"/>
      <w:marBottom w:val="0"/>
      <w:divBdr>
        <w:top w:val="none" w:sz="0" w:space="0" w:color="auto"/>
        <w:left w:val="none" w:sz="0" w:space="0" w:color="auto"/>
        <w:bottom w:val="none" w:sz="0" w:space="0" w:color="auto"/>
        <w:right w:val="none" w:sz="0" w:space="0" w:color="auto"/>
      </w:divBdr>
    </w:div>
    <w:div w:id="1752195128">
      <w:bodyDiv w:val="1"/>
      <w:marLeft w:val="0"/>
      <w:marRight w:val="0"/>
      <w:marTop w:val="0"/>
      <w:marBottom w:val="0"/>
      <w:divBdr>
        <w:top w:val="none" w:sz="0" w:space="0" w:color="auto"/>
        <w:left w:val="none" w:sz="0" w:space="0" w:color="auto"/>
        <w:bottom w:val="none" w:sz="0" w:space="0" w:color="auto"/>
        <w:right w:val="none" w:sz="0" w:space="0" w:color="auto"/>
      </w:divBdr>
    </w:div>
    <w:div w:id="1752239194">
      <w:bodyDiv w:val="1"/>
      <w:marLeft w:val="0"/>
      <w:marRight w:val="0"/>
      <w:marTop w:val="0"/>
      <w:marBottom w:val="0"/>
      <w:divBdr>
        <w:top w:val="none" w:sz="0" w:space="0" w:color="auto"/>
        <w:left w:val="none" w:sz="0" w:space="0" w:color="auto"/>
        <w:bottom w:val="none" w:sz="0" w:space="0" w:color="auto"/>
        <w:right w:val="none" w:sz="0" w:space="0" w:color="auto"/>
      </w:divBdr>
    </w:div>
    <w:div w:id="1752316126">
      <w:bodyDiv w:val="1"/>
      <w:marLeft w:val="0"/>
      <w:marRight w:val="0"/>
      <w:marTop w:val="0"/>
      <w:marBottom w:val="0"/>
      <w:divBdr>
        <w:top w:val="none" w:sz="0" w:space="0" w:color="auto"/>
        <w:left w:val="none" w:sz="0" w:space="0" w:color="auto"/>
        <w:bottom w:val="none" w:sz="0" w:space="0" w:color="auto"/>
        <w:right w:val="none" w:sz="0" w:space="0" w:color="auto"/>
      </w:divBdr>
    </w:div>
    <w:div w:id="1752583331">
      <w:bodyDiv w:val="1"/>
      <w:marLeft w:val="0"/>
      <w:marRight w:val="0"/>
      <w:marTop w:val="0"/>
      <w:marBottom w:val="0"/>
      <w:divBdr>
        <w:top w:val="none" w:sz="0" w:space="0" w:color="auto"/>
        <w:left w:val="none" w:sz="0" w:space="0" w:color="auto"/>
        <w:bottom w:val="none" w:sz="0" w:space="0" w:color="auto"/>
        <w:right w:val="none" w:sz="0" w:space="0" w:color="auto"/>
      </w:divBdr>
    </w:div>
    <w:div w:id="1752701282">
      <w:bodyDiv w:val="1"/>
      <w:marLeft w:val="0"/>
      <w:marRight w:val="0"/>
      <w:marTop w:val="0"/>
      <w:marBottom w:val="0"/>
      <w:divBdr>
        <w:top w:val="none" w:sz="0" w:space="0" w:color="auto"/>
        <w:left w:val="none" w:sz="0" w:space="0" w:color="auto"/>
        <w:bottom w:val="none" w:sz="0" w:space="0" w:color="auto"/>
        <w:right w:val="none" w:sz="0" w:space="0" w:color="auto"/>
      </w:divBdr>
    </w:div>
    <w:div w:id="1752777619">
      <w:bodyDiv w:val="1"/>
      <w:marLeft w:val="0"/>
      <w:marRight w:val="0"/>
      <w:marTop w:val="0"/>
      <w:marBottom w:val="0"/>
      <w:divBdr>
        <w:top w:val="none" w:sz="0" w:space="0" w:color="auto"/>
        <w:left w:val="none" w:sz="0" w:space="0" w:color="auto"/>
        <w:bottom w:val="none" w:sz="0" w:space="0" w:color="auto"/>
        <w:right w:val="none" w:sz="0" w:space="0" w:color="auto"/>
      </w:divBdr>
    </w:div>
    <w:div w:id="1752850579">
      <w:bodyDiv w:val="1"/>
      <w:marLeft w:val="0"/>
      <w:marRight w:val="0"/>
      <w:marTop w:val="0"/>
      <w:marBottom w:val="0"/>
      <w:divBdr>
        <w:top w:val="none" w:sz="0" w:space="0" w:color="auto"/>
        <w:left w:val="none" w:sz="0" w:space="0" w:color="auto"/>
        <w:bottom w:val="none" w:sz="0" w:space="0" w:color="auto"/>
        <w:right w:val="none" w:sz="0" w:space="0" w:color="auto"/>
      </w:divBdr>
    </w:div>
    <w:div w:id="1752894313">
      <w:bodyDiv w:val="1"/>
      <w:marLeft w:val="0"/>
      <w:marRight w:val="0"/>
      <w:marTop w:val="0"/>
      <w:marBottom w:val="0"/>
      <w:divBdr>
        <w:top w:val="none" w:sz="0" w:space="0" w:color="auto"/>
        <w:left w:val="none" w:sz="0" w:space="0" w:color="auto"/>
        <w:bottom w:val="none" w:sz="0" w:space="0" w:color="auto"/>
        <w:right w:val="none" w:sz="0" w:space="0" w:color="auto"/>
      </w:divBdr>
    </w:div>
    <w:div w:id="1753117794">
      <w:bodyDiv w:val="1"/>
      <w:marLeft w:val="0"/>
      <w:marRight w:val="0"/>
      <w:marTop w:val="0"/>
      <w:marBottom w:val="0"/>
      <w:divBdr>
        <w:top w:val="none" w:sz="0" w:space="0" w:color="auto"/>
        <w:left w:val="none" w:sz="0" w:space="0" w:color="auto"/>
        <w:bottom w:val="none" w:sz="0" w:space="0" w:color="auto"/>
        <w:right w:val="none" w:sz="0" w:space="0" w:color="auto"/>
      </w:divBdr>
    </w:div>
    <w:div w:id="1753120346">
      <w:bodyDiv w:val="1"/>
      <w:marLeft w:val="0"/>
      <w:marRight w:val="0"/>
      <w:marTop w:val="0"/>
      <w:marBottom w:val="0"/>
      <w:divBdr>
        <w:top w:val="none" w:sz="0" w:space="0" w:color="auto"/>
        <w:left w:val="none" w:sz="0" w:space="0" w:color="auto"/>
        <w:bottom w:val="none" w:sz="0" w:space="0" w:color="auto"/>
        <w:right w:val="none" w:sz="0" w:space="0" w:color="auto"/>
      </w:divBdr>
    </w:div>
    <w:div w:id="1753161859">
      <w:bodyDiv w:val="1"/>
      <w:marLeft w:val="0"/>
      <w:marRight w:val="0"/>
      <w:marTop w:val="0"/>
      <w:marBottom w:val="0"/>
      <w:divBdr>
        <w:top w:val="none" w:sz="0" w:space="0" w:color="auto"/>
        <w:left w:val="none" w:sz="0" w:space="0" w:color="auto"/>
        <w:bottom w:val="none" w:sz="0" w:space="0" w:color="auto"/>
        <w:right w:val="none" w:sz="0" w:space="0" w:color="auto"/>
      </w:divBdr>
    </w:div>
    <w:div w:id="1753233460">
      <w:bodyDiv w:val="1"/>
      <w:marLeft w:val="0"/>
      <w:marRight w:val="0"/>
      <w:marTop w:val="0"/>
      <w:marBottom w:val="0"/>
      <w:divBdr>
        <w:top w:val="none" w:sz="0" w:space="0" w:color="auto"/>
        <w:left w:val="none" w:sz="0" w:space="0" w:color="auto"/>
        <w:bottom w:val="none" w:sz="0" w:space="0" w:color="auto"/>
        <w:right w:val="none" w:sz="0" w:space="0" w:color="auto"/>
      </w:divBdr>
    </w:div>
    <w:div w:id="1753311619">
      <w:bodyDiv w:val="1"/>
      <w:marLeft w:val="0"/>
      <w:marRight w:val="0"/>
      <w:marTop w:val="0"/>
      <w:marBottom w:val="0"/>
      <w:divBdr>
        <w:top w:val="none" w:sz="0" w:space="0" w:color="auto"/>
        <w:left w:val="none" w:sz="0" w:space="0" w:color="auto"/>
        <w:bottom w:val="none" w:sz="0" w:space="0" w:color="auto"/>
        <w:right w:val="none" w:sz="0" w:space="0" w:color="auto"/>
      </w:divBdr>
    </w:div>
    <w:div w:id="1753425111">
      <w:bodyDiv w:val="1"/>
      <w:marLeft w:val="0"/>
      <w:marRight w:val="0"/>
      <w:marTop w:val="0"/>
      <w:marBottom w:val="0"/>
      <w:divBdr>
        <w:top w:val="none" w:sz="0" w:space="0" w:color="auto"/>
        <w:left w:val="none" w:sz="0" w:space="0" w:color="auto"/>
        <w:bottom w:val="none" w:sz="0" w:space="0" w:color="auto"/>
        <w:right w:val="none" w:sz="0" w:space="0" w:color="auto"/>
      </w:divBdr>
    </w:div>
    <w:div w:id="1753430601">
      <w:bodyDiv w:val="1"/>
      <w:marLeft w:val="0"/>
      <w:marRight w:val="0"/>
      <w:marTop w:val="0"/>
      <w:marBottom w:val="0"/>
      <w:divBdr>
        <w:top w:val="none" w:sz="0" w:space="0" w:color="auto"/>
        <w:left w:val="none" w:sz="0" w:space="0" w:color="auto"/>
        <w:bottom w:val="none" w:sz="0" w:space="0" w:color="auto"/>
        <w:right w:val="none" w:sz="0" w:space="0" w:color="auto"/>
      </w:divBdr>
    </w:div>
    <w:div w:id="1753431910">
      <w:bodyDiv w:val="1"/>
      <w:marLeft w:val="0"/>
      <w:marRight w:val="0"/>
      <w:marTop w:val="0"/>
      <w:marBottom w:val="0"/>
      <w:divBdr>
        <w:top w:val="none" w:sz="0" w:space="0" w:color="auto"/>
        <w:left w:val="none" w:sz="0" w:space="0" w:color="auto"/>
        <w:bottom w:val="none" w:sz="0" w:space="0" w:color="auto"/>
        <w:right w:val="none" w:sz="0" w:space="0" w:color="auto"/>
      </w:divBdr>
    </w:div>
    <w:div w:id="1753575774">
      <w:bodyDiv w:val="1"/>
      <w:marLeft w:val="0"/>
      <w:marRight w:val="0"/>
      <w:marTop w:val="0"/>
      <w:marBottom w:val="0"/>
      <w:divBdr>
        <w:top w:val="none" w:sz="0" w:space="0" w:color="auto"/>
        <w:left w:val="none" w:sz="0" w:space="0" w:color="auto"/>
        <w:bottom w:val="none" w:sz="0" w:space="0" w:color="auto"/>
        <w:right w:val="none" w:sz="0" w:space="0" w:color="auto"/>
      </w:divBdr>
    </w:div>
    <w:div w:id="1753619374">
      <w:bodyDiv w:val="1"/>
      <w:marLeft w:val="0"/>
      <w:marRight w:val="0"/>
      <w:marTop w:val="0"/>
      <w:marBottom w:val="0"/>
      <w:divBdr>
        <w:top w:val="none" w:sz="0" w:space="0" w:color="auto"/>
        <w:left w:val="none" w:sz="0" w:space="0" w:color="auto"/>
        <w:bottom w:val="none" w:sz="0" w:space="0" w:color="auto"/>
        <w:right w:val="none" w:sz="0" w:space="0" w:color="auto"/>
      </w:divBdr>
    </w:div>
    <w:div w:id="1753701480">
      <w:bodyDiv w:val="1"/>
      <w:marLeft w:val="0"/>
      <w:marRight w:val="0"/>
      <w:marTop w:val="0"/>
      <w:marBottom w:val="0"/>
      <w:divBdr>
        <w:top w:val="none" w:sz="0" w:space="0" w:color="auto"/>
        <w:left w:val="none" w:sz="0" w:space="0" w:color="auto"/>
        <w:bottom w:val="none" w:sz="0" w:space="0" w:color="auto"/>
        <w:right w:val="none" w:sz="0" w:space="0" w:color="auto"/>
      </w:divBdr>
    </w:div>
    <w:div w:id="1753773100">
      <w:bodyDiv w:val="1"/>
      <w:marLeft w:val="0"/>
      <w:marRight w:val="0"/>
      <w:marTop w:val="0"/>
      <w:marBottom w:val="0"/>
      <w:divBdr>
        <w:top w:val="none" w:sz="0" w:space="0" w:color="auto"/>
        <w:left w:val="none" w:sz="0" w:space="0" w:color="auto"/>
        <w:bottom w:val="none" w:sz="0" w:space="0" w:color="auto"/>
        <w:right w:val="none" w:sz="0" w:space="0" w:color="auto"/>
      </w:divBdr>
    </w:div>
    <w:div w:id="1753815012">
      <w:bodyDiv w:val="1"/>
      <w:marLeft w:val="0"/>
      <w:marRight w:val="0"/>
      <w:marTop w:val="0"/>
      <w:marBottom w:val="0"/>
      <w:divBdr>
        <w:top w:val="none" w:sz="0" w:space="0" w:color="auto"/>
        <w:left w:val="none" w:sz="0" w:space="0" w:color="auto"/>
        <w:bottom w:val="none" w:sz="0" w:space="0" w:color="auto"/>
        <w:right w:val="none" w:sz="0" w:space="0" w:color="auto"/>
      </w:divBdr>
    </w:div>
    <w:div w:id="1753967185">
      <w:bodyDiv w:val="1"/>
      <w:marLeft w:val="0"/>
      <w:marRight w:val="0"/>
      <w:marTop w:val="0"/>
      <w:marBottom w:val="0"/>
      <w:divBdr>
        <w:top w:val="none" w:sz="0" w:space="0" w:color="auto"/>
        <w:left w:val="none" w:sz="0" w:space="0" w:color="auto"/>
        <w:bottom w:val="none" w:sz="0" w:space="0" w:color="auto"/>
        <w:right w:val="none" w:sz="0" w:space="0" w:color="auto"/>
      </w:divBdr>
    </w:div>
    <w:div w:id="1754007121">
      <w:bodyDiv w:val="1"/>
      <w:marLeft w:val="0"/>
      <w:marRight w:val="0"/>
      <w:marTop w:val="0"/>
      <w:marBottom w:val="0"/>
      <w:divBdr>
        <w:top w:val="none" w:sz="0" w:space="0" w:color="auto"/>
        <w:left w:val="none" w:sz="0" w:space="0" w:color="auto"/>
        <w:bottom w:val="none" w:sz="0" w:space="0" w:color="auto"/>
        <w:right w:val="none" w:sz="0" w:space="0" w:color="auto"/>
      </w:divBdr>
    </w:div>
    <w:div w:id="1754206495">
      <w:bodyDiv w:val="1"/>
      <w:marLeft w:val="0"/>
      <w:marRight w:val="0"/>
      <w:marTop w:val="0"/>
      <w:marBottom w:val="0"/>
      <w:divBdr>
        <w:top w:val="none" w:sz="0" w:space="0" w:color="auto"/>
        <w:left w:val="none" w:sz="0" w:space="0" w:color="auto"/>
        <w:bottom w:val="none" w:sz="0" w:space="0" w:color="auto"/>
        <w:right w:val="none" w:sz="0" w:space="0" w:color="auto"/>
      </w:divBdr>
    </w:div>
    <w:div w:id="1754231667">
      <w:bodyDiv w:val="1"/>
      <w:marLeft w:val="0"/>
      <w:marRight w:val="0"/>
      <w:marTop w:val="0"/>
      <w:marBottom w:val="0"/>
      <w:divBdr>
        <w:top w:val="none" w:sz="0" w:space="0" w:color="auto"/>
        <w:left w:val="none" w:sz="0" w:space="0" w:color="auto"/>
        <w:bottom w:val="none" w:sz="0" w:space="0" w:color="auto"/>
        <w:right w:val="none" w:sz="0" w:space="0" w:color="auto"/>
      </w:divBdr>
    </w:div>
    <w:div w:id="1754234138">
      <w:bodyDiv w:val="1"/>
      <w:marLeft w:val="0"/>
      <w:marRight w:val="0"/>
      <w:marTop w:val="0"/>
      <w:marBottom w:val="0"/>
      <w:divBdr>
        <w:top w:val="none" w:sz="0" w:space="0" w:color="auto"/>
        <w:left w:val="none" w:sz="0" w:space="0" w:color="auto"/>
        <w:bottom w:val="none" w:sz="0" w:space="0" w:color="auto"/>
        <w:right w:val="none" w:sz="0" w:space="0" w:color="auto"/>
      </w:divBdr>
    </w:div>
    <w:div w:id="1754278828">
      <w:bodyDiv w:val="1"/>
      <w:marLeft w:val="0"/>
      <w:marRight w:val="0"/>
      <w:marTop w:val="0"/>
      <w:marBottom w:val="0"/>
      <w:divBdr>
        <w:top w:val="none" w:sz="0" w:space="0" w:color="auto"/>
        <w:left w:val="none" w:sz="0" w:space="0" w:color="auto"/>
        <w:bottom w:val="none" w:sz="0" w:space="0" w:color="auto"/>
        <w:right w:val="none" w:sz="0" w:space="0" w:color="auto"/>
      </w:divBdr>
    </w:div>
    <w:div w:id="1754355967">
      <w:bodyDiv w:val="1"/>
      <w:marLeft w:val="0"/>
      <w:marRight w:val="0"/>
      <w:marTop w:val="0"/>
      <w:marBottom w:val="0"/>
      <w:divBdr>
        <w:top w:val="none" w:sz="0" w:space="0" w:color="auto"/>
        <w:left w:val="none" w:sz="0" w:space="0" w:color="auto"/>
        <w:bottom w:val="none" w:sz="0" w:space="0" w:color="auto"/>
        <w:right w:val="none" w:sz="0" w:space="0" w:color="auto"/>
      </w:divBdr>
    </w:div>
    <w:div w:id="1754424777">
      <w:bodyDiv w:val="1"/>
      <w:marLeft w:val="0"/>
      <w:marRight w:val="0"/>
      <w:marTop w:val="0"/>
      <w:marBottom w:val="0"/>
      <w:divBdr>
        <w:top w:val="none" w:sz="0" w:space="0" w:color="auto"/>
        <w:left w:val="none" w:sz="0" w:space="0" w:color="auto"/>
        <w:bottom w:val="none" w:sz="0" w:space="0" w:color="auto"/>
        <w:right w:val="none" w:sz="0" w:space="0" w:color="auto"/>
      </w:divBdr>
    </w:div>
    <w:div w:id="1754472706">
      <w:bodyDiv w:val="1"/>
      <w:marLeft w:val="0"/>
      <w:marRight w:val="0"/>
      <w:marTop w:val="0"/>
      <w:marBottom w:val="0"/>
      <w:divBdr>
        <w:top w:val="none" w:sz="0" w:space="0" w:color="auto"/>
        <w:left w:val="none" w:sz="0" w:space="0" w:color="auto"/>
        <w:bottom w:val="none" w:sz="0" w:space="0" w:color="auto"/>
        <w:right w:val="none" w:sz="0" w:space="0" w:color="auto"/>
      </w:divBdr>
    </w:div>
    <w:div w:id="1754550902">
      <w:bodyDiv w:val="1"/>
      <w:marLeft w:val="0"/>
      <w:marRight w:val="0"/>
      <w:marTop w:val="0"/>
      <w:marBottom w:val="0"/>
      <w:divBdr>
        <w:top w:val="none" w:sz="0" w:space="0" w:color="auto"/>
        <w:left w:val="none" w:sz="0" w:space="0" w:color="auto"/>
        <w:bottom w:val="none" w:sz="0" w:space="0" w:color="auto"/>
        <w:right w:val="none" w:sz="0" w:space="0" w:color="auto"/>
      </w:divBdr>
    </w:div>
    <w:div w:id="1754619459">
      <w:bodyDiv w:val="1"/>
      <w:marLeft w:val="0"/>
      <w:marRight w:val="0"/>
      <w:marTop w:val="0"/>
      <w:marBottom w:val="0"/>
      <w:divBdr>
        <w:top w:val="none" w:sz="0" w:space="0" w:color="auto"/>
        <w:left w:val="none" w:sz="0" w:space="0" w:color="auto"/>
        <w:bottom w:val="none" w:sz="0" w:space="0" w:color="auto"/>
        <w:right w:val="none" w:sz="0" w:space="0" w:color="auto"/>
      </w:divBdr>
    </w:div>
    <w:div w:id="1754620608">
      <w:bodyDiv w:val="1"/>
      <w:marLeft w:val="0"/>
      <w:marRight w:val="0"/>
      <w:marTop w:val="0"/>
      <w:marBottom w:val="0"/>
      <w:divBdr>
        <w:top w:val="none" w:sz="0" w:space="0" w:color="auto"/>
        <w:left w:val="none" w:sz="0" w:space="0" w:color="auto"/>
        <w:bottom w:val="none" w:sz="0" w:space="0" w:color="auto"/>
        <w:right w:val="none" w:sz="0" w:space="0" w:color="auto"/>
      </w:divBdr>
    </w:div>
    <w:div w:id="1754664940">
      <w:bodyDiv w:val="1"/>
      <w:marLeft w:val="0"/>
      <w:marRight w:val="0"/>
      <w:marTop w:val="0"/>
      <w:marBottom w:val="0"/>
      <w:divBdr>
        <w:top w:val="none" w:sz="0" w:space="0" w:color="auto"/>
        <w:left w:val="none" w:sz="0" w:space="0" w:color="auto"/>
        <w:bottom w:val="none" w:sz="0" w:space="0" w:color="auto"/>
        <w:right w:val="none" w:sz="0" w:space="0" w:color="auto"/>
      </w:divBdr>
    </w:div>
    <w:div w:id="1754668662">
      <w:bodyDiv w:val="1"/>
      <w:marLeft w:val="0"/>
      <w:marRight w:val="0"/>
      <w:marTop w:val="0"/>
      <w:marBottom w:val="0"/>
      <w:divBdr>
        <w:top w:val="none" w:sz="0" w:space="0" w:color="auto"/>
        <w:left w:val="none" w:sz="0" w:space="0" w:color="auto"/>
        <w:bottom w:val="none" w:sz="0" w:space="0" w:color="auto"/>
        <w:right w:val="none" w:sz="0" w:space="0" w:color="auto"/>
      </w:divBdr>
    </w:div>
    <w:div w:id="1754738692">
      <w:bodyDiv w:val="1"/>
      <w:marLeft w:val="0"/>
      <w:marRight w:val="0"/>
      <w:marTop w:val="0"/>
      <w:marBottom w:val="0"/>
      <w:divBdr>
        <w:top w:val="none" w:sz="0" w:space="0" w:color="auto"/>
        <w:left w:val="none" w:sz="0" w:space="0" w:color="auto"/>
        <w:bottom w:val="none" w:sz="0" w:space="0" w:color="auto"/>
        <w:right w:val="none" w:sz="0" w:space="0" w:color="auto"/>
      </w:divBdr>
    </w:div>
    <w:div w:id="1754819851">
      <w:bodyDiv w:val="1"/>
      <w:marLeft w:val="0"/>
      <w:marRight w:val="0"/>
      <w:marTop w:val="0"/>
      <w:marBottom w:val="0"/>
      <w:divBdr>
        <w:top w:val="none" w:sz="0" w:space="0" w:color="auto"/>
        <w:left w:val="none" w:sz="0" w:space="0" w:color="auto"/>
        <w:bottom w:val="none" w:sz="0" w:space="0" w:color="auto"/>
        <w:right w:val="none" w:sz="0" w:space="0" w:color="auto"/>
      </w:divBdr>
    </w:div>
    <w:div w:id="1755009556">
      <w:bodyDiv w:val="1"/>
      <w:marLeft w:val="0"/>
      <w:marRight w:val="0"/>
      <w:marTop w:val="0"/>
      <w:marBottom w:val="0"/>
      <w:divBdr>
        <w:top w:val="none" w:sz="0" w:space="0" w:color="auto"/>
        <w:left w:val="none" w:sz="0" w:space="0" w:color="auto"/>
        <w:bottom w:val="none" w:sz="0" w:space="0" w:color="auto"/>
        <w:right w:val="none" w:sz="0" w:space="0" w:color="auto"/>
      </w:divBdr>
    </w:div>
    <w:div w:id="1755131627">
      <w:bodyDiv w:val="1"/>
      <w:marLeft w:val="0"/>
      <w:marRight w:val="0"/>
      <w:marTop w:val="0"/>
      <w:marBottom w:val="0"/>
      <w:divBdr>
        <w:top w:val="none" w:sz="0" w:space="0" w:color="auto"/>
        <w:left w:val="none" w:sz="0" w:space="0" w:color="auto"/>
        <w:bottom w:val="none" w:sz="0" w:space="0" w:color="auto"/>
        <w:right w:val="none" w:sz="0" w:space="0" w:color="auto"/>
      </w:divBdr>
    </w:div>
    <w:div w:id="1755316787">
      <w:bodyDiv w:val="1"/>
      <w:marLeft w:val="0"/>
      <w:marRight w:val="0"/>
      <w:marTop w:val="0"/>
      <w:marBottom w:val="0"/>
      <w:divBdr>
        <w:top w:val="none" w:sz="0" w:space="0" w:color="auto"/>
        <w:left w:val="none" w:sz="0" w:space="0" w:color="auto"/>
        <w:bottom w:val="none" w:sz="0" w:space="0" w:color="auto"/>
        <w:right w:val="none" w:sz="0" w:space="0" w:color="auto"/>
      </w:divBdr>
    </w:div>
    <w:div w:id="1755323947">
      <w:bodyDiv w:val="1"/>
      <w:marLeft w:val="0"/>
      <w:marRight w:val="0"/>
      <w:marTop w:val="0"/>
      <w:marBottom w:val="0"/>
      <w:divBdr>
        <w:top w:val="none" w:sz="0" w:space="0" w:color="auto"/>
        <w:left w:val="none" w:sz="0" w:space="0" w:color="auto"/>
        <w:bottom w:val="none" w:sz="0" w:space="0" w:color="auto"/>
        <w:right w:val="none" w:sz="0" w:space="0" w:color="auto"/>
      </w:divBdr>
    </w:div>
    <w:div w:id="1755392096">
      <w:bodyDiv w:val="1"/>
      <w:marLeft w:val="0"/>
      <w:marRight w:val="0"/>
      <w:marTop w:val="0"/>
      <w:marBottom w:val="0"/>
      <w:divBdr>
        <w:top w:val="none" w:sz="0" w:space="0" w:color="auto"/>
        <w:left w:val="none" w:sz="0" w:space="0" w:color="auto"/>
        <w:bottom w:val="none" w:sz="0" w:space="0" w:color="auto"/>
        <w:right w:val="none" w:sz="0" w:space="0" w:color="auto"/>
      </w:divBdr>
    </w:div>
    <w:div w:id="1755394632">
      <w:bodyDiv w:val="1"/>
      <w:marLeft w:val="0"/>
      <w:marRight w:val="0"/>
      <w:marTop w:val="0"/>
      <w:marBottom w:val="0"/>
      <w:divBdr>
        <w:top w:val="none" w:sz="0" w:space="0" w:color="auto"/>
        <w:left w:val="none" w:sz="0" w:space="0" w:color="auto"/>
        <w:bottom w:val="none" w:sz="0" w:space="0" w:color="auto"/>
        <w:right w:val="none" w:sz="0" w:space="0" w:color="auto"/>
      </w:divBdr>
    </w:div>
    <w:div w:id="1755470167">
      <w:bodyDiv w:val="1"/>
      <w:marLeft w:val="0"/>
      <w:marRight w:val="0"/>
      <w:marTop w:val="0"/>
      <w:marBottom w:val="0"/>
      <w:divBdr>
        <w:top w:val="none" w:sz="0" w:space="0" w:color="auto"/>
        <w:left w:val="none" w:sz="0" w:space="0" w:color="auto"/>
        <w:bottom w:val="none" w:sz="0" w:space="0" w:color="auto"/>
        <w:right w:val="none" w:sz="0" w:space="0" w:color="auto"/>
      </w:divBdr>
    </w:div>
    <w:div w:id="1755513985">
      <w:bodyDiv w:val="1"/>
      <w:marLeft w:val="0"/>
      <w:marRight w:val="0"/>
      <w:marTop w:val="0"/>
      <w:marBottom w:val="0"/>
      <w:divBdr>
        <w:top w:val="none" w:sz="0" w:space="0" w:color="auto"/>
        <w:left w:val="none" w:sz="0" w:space="0" w:color="auto"/>
        <w:bottom w:val="none" w:sz="0" w:space="0" w:color="auto"/>
        <w:right w:val="none" w:sz="0" w:space="0" w:color="auto"/>
      </w:divBdr>
    </w:div>
    <w:div w:id="1755586163">
      <w:bodyDiv w:val="1"/>
      <w:marLeft w:val="0"/>
      <w:marRight w:val="0"/>
      <w:marTop w:val="0"/>
      <w:marBottom w:val="0"/>
      <w:divBdr>
        <w:top w:val="none" w:sz="0" w:space="0" w:color="auto"/>
        <w:left w:val="none" w:sz="0" w:space="0" w:color="auto"/>
        <w:bottom w:val="none" w:sz="0" w:space="0" w:color="auto"/>
        <w:right w:val="none" w:sz="0" w:space="0" w:color="auto"/>
      </w:divBdr>
    </w:div>
    <w:div w:id="1755586802">
      <w:bodyDiv w:val="1"/>
      <w:marLeft w:val="0"/>
      <w:marRight w:val="0"/>
      <w:marTop w:val="0"/>
      <w:marBottom w:val="0"/>
      <w:divBdr>
        <w:top w:val="none" w:sz="0" w:space="0" w:color="auto"/>
        <w:left w:val="none" w:sz="0" w:space="0" w:color="auto"/>
        <w:bottom w:val="none" w:sz="0" w:space="0" w:color="auto"/>
        <w:right w:val="none" w:sz="0" w:space="0" w:color="auto"/>
      </w:divBdr>
    </w:div>
    <w:div w:id="1755587284">
      <w:bodyDiv w:val="1"/>
      <w:marLeft w:val="0"/>
      <w:marRight w:val="0"/>
      <w:marTop w:val="0"/>
      <w:marBottom w:val="0"/>
      <w:divBdr>
        <w:top w:val="none" w:sz="0" w:space="0" w:color="auto"/>
        <w:left w:val="none" w:sz="0" w:space="0" w:color="auto"/>
        <w:bottom w:val="none" w:sz="0" w:space="0" w:color="auto"/>
        <w:right w:val="none" w:sz="0" w:space="0" w:color="auto"/>
      </w:divBdr>
    </w:div>
    <w:div w:id="1755854159">
      <w:bodyDiv w:val="1"/>
      <w:marLeft w:val="0"/>
      <w:marRight w:val="0"/>
      <w:marTop w:val="0"/>
      <w:marBottom w:val="0"/>
      <w:divBdr>
        <w:top w:val="none" w:sz="0" w:space="0" w:color="auto"/>
        <w:left w:val="none" w:sz="0" w:space="0" w:color="auto"/>
        <w:bottom w:val="none" w:sz="0" w:space="0" w:color="auto"/>
        <w:right w:val="none" w:sz="0" w:space="0" w:color="auto"/>
      </w:divBdr>
    </w:div>
    <w:div w:id="1755856340">
      <w:bodyDiv w:val="1"/>
      <w:marLeft w:val="0"/>
      <w:marRight w:val="0"/>
      <w:marTop w:val="0"/>
      <w:marBottom w:val="0"/>
      <w:divBdr>
        <w:top w:val="none" w:sz="0" w:space="0" w:color="auto"/>
        <w:left w:val="none" w:sz="0" w:space="0" w:color="auto"/>
        <w:bottom w:val="none" w:sz="0" w:space="0" w:color="auto"/>
        <w:right w:val="none" w:sz="0" w:space="0" w:color="auto"/>
      </w:divBdr>
    </w:div>
    <w:div w:id="1756053823">
      <w:bodyDiv w:val="1"/>
      <w:marLeft w:val="0"/>
      <w:marRight w:val="0"/>
      <w:marTop w:val="0"/>
      <w:marBottom w:val="0"/>
      <w:divBdr>
        <w:top w:val="none" w:sz="0" w:space="0" w:color="auto"/>
        <w:left w:val="none" w:sz="0" w:space="0" w:color="auto"/>
        <w:bottom w:val="none" w:sz="0" w:space="0" w:color="auto"/>
        <w:right w:val="none" w:sz="0" w:space="0" w:color="auto"/>
      </w:divBdr>
    </w:div>
    <w:div w:id="1756241706">
      <w:bodyDiv w:val="1"/>
      <w:marLeft w:val="0"/>
      <w:marRight w:val="0"/>
      <w:marTop w:val="0"/>
      <w:marBottom w:val="0"/>
      <w:divBdr>
        <w:top w:val="none" w:sz="0" w:space="0" w:color="auto"/>
        <w:left w:val="none" w:sz="0" w:space="0" w:color="auto"/>
        <w:bottom w:val="none" w:sz="0" w:space="0" w:color="auto"/>
        <w:right w:val="none" w:sz="0" w:space="0" w:color="auto"/>
      </w:divBdr>
    </w:div>
    <w:div w:id="1756245023">
      <w:bodyDiv w:val="1"/>
      <w:marLeft w:val="0"/>
      <w:marRight w:val="0"/>
      <w:marTop w:val="0"/>
      <w:marBottom w:val="0"/>
      <w:divBdr>
        <w:top w:val="none" w:sz="0" w:space="0" w:color="auto"/>
        <w:left w:val="none" w:sz="0" w:space="0" w:color="auto"/>
        <w:bottom w:val="none" w:sz="0" w:space="0" w:color="auto"/>
        <w:right w:val="none" w:sz="0" w:space="0" w:color="auto"/>
      </w:divBdr>
    </w:div>
    <w:div w:id="1756246536">
      <w:bodyDiv w:val="1"/>
      <w:marLeft w:val="0"/>
      <w:marRight w:val="0"/>
      <w:marTop w:val="0"/>
      <w:marBottom w:val="0"/>
      <w:divBdr>
        <w:top w:val="none" w:sz="0" w:space="0" w:color="auto"/>
        <w:left w:val="none" w:sz="0" w:space="0" w:color="auto"/>
        <w:bottom w:val="none" w:sz="0" w:space="0" w:color="auto"/>
        <w:right w:val="none" w:sz="0" w:space="0" w:color="auto"/>
      </w:divBdr>
    </w:div>
    <w:div w:id="1756321888">
      <w:bodyDiv w:val="1"/>
      <w:marLeft w:val="0"/>
      <w:marRight w:val="0"/>
      <w:marTop w:val="0"/>
      <w:marBottom w:val="0"/>
      <w:divBdr>
        <w:top w:val="none" w:sz="0" w:space="0" w:color="auto"/>
        <w:left w:val="none" w:sz="0" w:space="0" w:color="auto"/>
        <w:bottom w:val="none" w:sz="0" w:space="0" w:color="auto"/>
        <w:right w:val="none" w:sz="0" w:space="0" w:color="auto"/>
      </w:divBdr>
    </w:div>
    <w:div w:id="1756321972">
      <w:bodyDiv w:val="1"/>
      <w:marLeft w:val="0"/>
      <w:marRight w:val="0"/>
      <w:marTop w:val="0"/>
      <w:marBottom w:val="0"/>
      <w:divBdr>
        <w:top w:val="none" w:sz="0" w:space="0" w:color="auto"/>
        <w:left w:val="none" w:sz="0" w:space="0" w:color="auto"/>
        <w:bottom w:val="none" w:sz="0" w:space="0" w:color="auto"/>
        <w:right w:val="none" w:sz="0" w:space="0" w:color="auto"/>
      </w:divBdr>
    </w:div>
    <w:div w:id="1756437390">
      <w:bodyDiv w:val="1"/>
      <w:marLeft w:val="0"/>
      <w:marRight w:val="0"/>
      <w:marTop w:val="0"/>
      <w:marBottom w:val="0"/>
      <w:divBdr>
        <w:top w:val="none" w:sz="0" w:space="0" w:color="auto"/>
        <w:left w:val="none" w:sz="0" w:space="0" w:color="auto"/>
        <w:bottom w:val="none" w:sz="0" w:space="0" w:color="auto"/>
        <w:right w:val="none" w:sz="0" w:space="0" w:color="auto"/>
      </w:divBdr>
    </w:div>
    <w:div w:id="1756439465">
      <w:bodyDiv w:val="1"/>
      <w:marLeft w:val="0"/>
      <w:marRight w:val="0"/>
      <w:marTop w:val="0"/>
      <w:marBottom w:val="0"/>
      <w:divBdr>
        <w:top w:val="none" w:sz="0" w:space="0" w:color="auto"/>
        <w:left w:val="none" w:sz="0" w:space="0" w:color="auto"/>
        <w:bottom w:val="none" w:sz="0" w:space="0" w:color="auto"/>
        <w:right w:val="none" w:sz="0" w:space="0" w:color="auto"/>
      </w:divBdr>
    </w:div>
    <w:div w:id="1756628868">
      <w:bodyDiv w:val="1"/>
      <w:marLeft w:val="0"/>
      <w:marRight w:val="0"/>
      <w:marTop w:val="0"/>
      <w:marBottom w:val="0"/>
      <w:divBdr>
        <w:top w:val="none" w:sz="0" w:space="0" w:color="auto"/>
        <w:left w:val="none" w:sz="0" w:space="0" w:color="auto"/>
        <w:bottom w:val="none" w:sz="0" w:space="0" w:color="auto"/>
        <w:right w:val="none" w:sz="0" w:space="0" w:color="auto"/>
      </w:divBdr>
    </w:div>
    <w:div w:id="1756703550">
      <w:bodyDiv w:val="1"/>
      <w:marLeft w:val="0"/>
      <w:marRight w:val="0"/>
      <w:marTop w:val="0"/>
      <w:marBottom w:val="0"/>
      <w:divBdr>
        <w:top w:val="none" w:sz="0" w:space="0" w:color="auto"/>
        <w:left w:val="none" w:sz="0" w:space="0" w:color="auto"/>
        <w:bottom w:val="none" w:sz="0" w:space="0" w:color="auto"/>
        <w:right w:val="none" w:sz="0" w:space="0" w:color="auto"/>
      </w:divBdr>
    </w:div>
    <w:div w:id="1756777168">
      <w:bodyDiv w:val="1"/>
      <w:marLeft w:val="0"/>
      <w:marRight w:val="0"/>
      <w:marTop w:val="0"/>
      <w:marBottom w:val="0"/>
      <w:divBdr>
        <w:top w:val="none" w:sz="0" w:space="0" w:color="auto"/>
        <w:left w:val="none" w:sz="0" w:space="0" w:color="auto"/>
        <w:bottom w:val="none" w:sz="0" w:space="0" w:color="auto"/>
        <w:right w:val="none" w:sz="0" w:space="0" w:color="auto"/>
      </w:divBdr>
    </w:div>
    <w:div w:id="1756852453">
      <w:bodyDiv w:val="1"/>
      <w:marLeft w:val="0"/>
      <w:marRight w:val="0"/>
      <w:marTop w:val="0"/>
      <w:marBottom w:val="0"/>
      <w:divBdr>
        <w:top w:val="none" w:sz="0" w:space="0" w:color="auto"/>
        <w:left w:val="none" w:sz="0" w:space="0" w:color="auto"/>
        <w:bottom w:val="none" w:sz="0" w:space="0" w:color="auto"/>
        <w:right w:val="none" w:sz="0" w:space="0" w:color="auto"/>
      </w:divBdr>
    </w:div>
    <w:div w:id="1756852622">
      <w:bodyDiv w:val="1"/>
      <w:marLeft w:val="0"/>
      <w:marRight w:val="0"/>
      <w:marTop w:val="0"/>
      <w:marBottom w:val="0"/>
      <w:divBdr>
        <w:top w:val="none" w:sz="0" w:space="0" w:color="auto"/>
        <w:left w:val="none" w:sz="0" w:space="0" w:color="auto"/>
        <w:bottom w:val="none" w:sz="0" w:space="0" w:color="auto"/>
        <w:right w:val="none" w:sz="0" w:space="0" w:color="auto"/>
      </w:divBdr>
    </w:div>
    <w:div w:id="1756900365">
      <w:bodyDiv w:val="1"/>
      <w:marLeft w:val="0"/>
      <w:marRight w:val="0"/>
      <w:marTop w:val="0"/>
      <w:marBottom w:val="0"/>
      <w:divBdr>
        <w:top w:val="none" w:sz="0" w:space="0" w:color="auto"/>
        <w:left w:val="none" w:sz="0" w:space="0" w:color="auto"/>
        <w:bottom w:val="none" w:sz="0" w:space="0" w:color="auto"/>
        <w:right w:val="none" w:sz="0" w:space="0" w:color="auto"/>
      </w:divBdr>
    </w:div>
    <w:div w:id="1756902982">
      <w:bodyDiv w:val="1"/>
      <w:marLeft w:val="0"/>
      <w:marRight w:val="0"/>
      <w:marTop w:val="0"/>
      <w:marBottom w:val="0"/>
      <w:divBdr>
        <w:top w:val="none" w:sz="0" w:space="0" w:color="auto"/>
        <w:left w:val="none" w:sz="0" w:space="0" w:color="auto"/>
        <w:bottom w:val="none" w:sz="0" w:space="0" w:color="auto"/>
        <w:right w:val="none" w:sz="0" w:space="0" w:color="auto"/>
      </w:divBdr>
    </w:div>
    <w:div w:id="1757048556">
      <w:bodyDiv w:val="1"/>
      <w:marLeft w:val="0"/>
      <w:marRight w:val="0"/>
      <w:marTop w:val="0"/>
      <w:marBottom w:val="0"/>
      <w:divBdr>
        <w:top w:val="none" w:sz="0" w:space="0" w:color="auto"/>
        <w:left w:val="none" w:sz="0" w:space="0" w:color="auto"/>
        <w:bottom w:val="none" w:sz="0" w:space="0" w:color="auto"/>
        <w:right w:val="none" w:sz="0" w:space="0" w:color="auto"/>
      </w:divBdr>
    </w:div>
    <w:div w:id="1757096352">
      <w:bodyDiv w:val="1"/>
      <w:marLeft w:val="0"/>
      <w:marRight w:val="0"/>
      <w:marTop w:val="0"/>
      <w:marBottom w:val="0"/>
      <w:divBdr>
        <w:top w:val="none" w:sz="0" w:space="0" w:color="auto"/>
        <w:left w:val="none" w:sz="0" w:space="0" w:color="auto"/>
        <w:bottom w:val="none" w:sz="0" w:space="0" w:color="auto"/>
        <w:right w:val="none" w:sz="0" w:space="0" w:color="auto"/>
      </w:divBdr>
    </w:div>
    <w:div w:id="1757172970">
      <w:bodyDiv w:val="1"/>
      <w:marLeft w:val="0"/>
      <w:marRight w:val="0"/>
      <w:marTop w:val="0"/>
      <w:marBottom w:val="0"/>
      <w:divBdr>
        <w:top w:val="none" w:sz="0" w:space="0" w:color="auto"/>
        <w:left w:val="none" w:sz="0" w:space="0" w:color="auto"/>
        <w:bottom w:val="none" w:sz="0" w:space="0" w:color="auto"/>
        <w:right w:val="none" w:sz="0" w:space="0" w:color="auto"/>
      </w:divBdr>
    </w:div>
    <w:div w:id="1757245095">
      <w:bodyDiv w:val="1"/>
      <w:marLeft w:val="0"/>
      <w:marRight w:val="0"/>
      <w:marTop w:val="0"/>
      <w:marBottom w:val="0"/>
      <w:divBdr>
        <w:top w:val="none" w:sz="0" w:space="0" w:color="auto"/>
        <w:left w:val="none" w:sz="0" w:space="0" w:color="auto"/>
        <w:bottom w:val="none" w:sz="0" w:space="0" w:color="auto"/>
        <w:right w:val="none" w:sz="0" w:space="0" w:color="auto"/>
      </w:divBdr>
    </w:div>
    <w:div w:id="1757285286">
      <w:bodyDiv w:val="1"/>
      <w:marLeft w:val="0"/>
      <w:marRight w:val="0"/>
      <w:marTop w:val="0"/>
      <w:marBottom w:val="0"/>
      <w:divBdr>
        <w:top w:val="none" w:sz="0" w:space="0" w:color="auto"/>
        <w:left w:val="none" w:sz="0" w:space="0" w:color="auto"/>
        <w:bottom w:val="none" w:sz="0" w:space="0" w:color="auto"/>
        <w:right w:val="none" w:sz="0" w:space="0" w:color="auto"/>
      </w:divBdr>
    </w:div>
    <w:div w:id="1757483422">
      <w:bodyDiv w:val="1"/>
      <w:marLeft w:val="0"/>
      <w:marRight w:val="0"/>
      <w:marTop w:val="0"/>
      <w:marBottom w:val="0"/>
      <w:divBdr>
        <w:top w:val="none" w:sz="0" w:space="0" w:color="auto"/>
        <w:left w:val="none" w:sz="0" w:space="0" w:color="auto"/>
        <w:bottom w:val="none" w:sz="0" w:space="0" w:color="auto"/>
        <w:right w:val="none" w:sz="0" w:space="0" w:color="auto"/>
      </w:divBdr>
    </w:div>
    <w:div w:id="1757703636">
      <w:bodyDiv w:val="1"/>
      <w:marLeft w:val="0"/>
      <w:marRight w:val="0"/>
      <w:marTop w:val="0"/>
      <w:marBottom w:val="0"/>
      <w:divBdr>
        <w:top w:val="none" w:sz="0" w:space="0" w:color="auto"/>
        <w:left w:val="none" w:sz="0" w:space="0" w:color="auto"/>
        <w:bottom w:val="none" w:sz="0" w:space="0" w:color="auto"/>
        <w:right w:val="none" w:sz="0" w:space="0" w:color="auto"/>
      </w:divBdr>
    </w:div>
    <w:div w:id="1757705582">
      <w:bodyDiv w:val="1"/>
      <w:marLeft w:val="0"/>
      <w:marRight w:val="0"/>
      <w:marTop w:val="0"/>
      <w:marBottom w:val="0"/>
      <w:divBdr>
        <w:top w:val="none" w:sz="0" w:space="0" w:color="auto"/>
        <w:left w:val="none" w:sz="0" w:space="0" w:color="auto"/>
        <w:bottom w:val="none" w:sz="0" w:space="0" w:color="auto"/>
        <w:right w:val="none" w:sz="0" w:space="0" w:color="auto"/>
      </w:divBdr>
    </w:div>
    <w:div w:id="1757752864">
      <w:bodyDiv w:val="1"/>
      <w:marLeft w:val="0"/>
      <w:marRight w:val="0"/>
      <w:marTop w:val="0"/>
      <w:marBottom w:val="0"/>
      <w:divBdr>
        <w:top w:val="none" w:sz="0" w:space="0" w:color="auto"/>
        <w:left w:val="none" w:sz="0" w:space="0" w:color="auto"/>
        <w:bottom w:val="none" w:sz="0" w:space="0" w:color="auto"/>
        <w:right w:val="none" w:sz="0" w:space="0" w:color="auto"/>
      </w:divBdr>
    </w:div>
    <w:div w:id="1757938596">
      <w:bodyDiv w:val="1"/>
      <w:marLeft w:val="0"/>
      <w:marRight w:val="0"/>
      <w:marTop w:val="0"/>
      <w:marBottom w:val="0"/>
      <w:divBdr>
        <w:top w:val="none" w:sz="0" w:space="0" w:color="auto"/>
        <w:left w:val="none" w:sz="0" w:space="0" w:color="auto"/>
        <w:bottom w:val="none" w:sz="0" w:space="0" w:color="auto"/>
        <w:right w:val="none" w:sz="0" w:space="0" w:color="auto"/>
      </w:divBdr>
    </w:div>
    <w:div w:id="1757941835">
      <w:bodyDiv w:val="1"/>
      <w:marLeft w:val="0"/>
      <w:marRight w:val="0"/>
      <w:marTop w:val="0"/>
      <w:marBottom w:val="0"/>
      <w:divBdr>
        <w:top w:val="none" w:sz="0" w:space="0" w:color="auto"/>
        <w:left w:val="none" w:sz="0" w:space="0" w:color="auto"/>
        <w:bottom w:val="none" w:sz="0" w:space="0" w:color="auto"/>
        <w:right w:val="none" w:sz="0" w:space="0" w:color="auto"/>
      </w:divBdr>
    </w:div>
    <w:div w:id="1758012655">
      <w:bodyDiv w:val="1"/>
      <w:marLeft w:val="0"/>
      <w:marRight w:val="0"/>
      <w:marTop w:val="0"/>
      <w:marBottom w:val="0"/>
      <w:divBdr>
        <w:top w:val="none" w:sz="0" w:space="0" w:color="auto"/>
        <w:left w:val="none" w:sz="0" w:space="0" w:color="auto"/>
        <w:bottom w:val="none" w:sz="0" w:space="0" w:color="auto"/>
        <w:right w:val="none" w:sz="0" w:space="0" w:color="auto"/>
      </w:divBdr>
    </w:div>
    <w:div w:id="1758213250">
      <w:bodyDiv w:val="1"/>
      <w:marLeft w:val="0"/>
      <w:marRight w:val="0"/>
      <w:marTop w:val="0"/>
      <w:marBottom w:val="0"/>
      <w:divBdr>
        <w:top w:val="none" w:sz="0" w:space="0" w:color="auto"/>
        <w:left w:val="none" w:sz="0" w:space="0" w:color="auto"/>
        <w:bottom w:val="none" w:sz="0" w:space="0" w:color="auto"/>
        <w:right w:val="none" w:sz="0" w:space="0" w:color="auto"/>
      </w:divBdr>
    </w:div>
    <w:div w:id="1758406450">
      <w:bodyDiv w:val="1"/>
      <w:marLeft w:val="0"/>
      <w:marRight w:val="0"/>
      <w:marTop w:val="0"/>
      <w:marBottom w:val="0"/>
      <w:divBdr>
        <w:top w:val="none" w:sz="0" w:space="0" w:color="auto"/>
        <w:left w:val="none" w:sz="0" w:space="0" w:color="auto"/>
        <w:bottom w:val="none" w:sz="0" w:space="0" w:color="auto"/>
        <w:right w:val="none" w:sz="0" w:space="0" w:color="auto"/>
      </w:divBdr>
    </w:div>
    <w:div w:id="1758481257">
      <w:bodyDiv w:val="1"/>
      <w:marLeft w:val="0"/>
      <w:marRight w:val="0"/>
      <w:marTop w:val="0"/>
      <w:marBottom w:val="0"/>
      <w:divBdr>
        <w:top w:val="none" w:sz="0" w:space="0" w:color="auto"/>
        <w:left w:val="none" w:sz="0" w:space="0" w:color="auto"/>
        <w:bottom w:val="none" w:sz="0" w:space="0" w:color="auto"/>
        <w:right w:val="none" w:sz="0" w:space="0" w:color="auto"/>
      </w:divBdr>
    </w:div>
    <w:div w:id="1758552486">
      <w:bodyDiv w:val="1"/>
      <w:marLeft w:val="0"/>
      <w:marRight w:val="0"/>
      <w:marTop w:val="0"/>
      <w:marBottom w:val="0"/>
      <w:divBdr>
        <w:top w:val="none" w:sz="0" w:space="0" w:color="auto"/>
        <w:left w:val="none" w:sz="0" w:space="0" w:color="auto"/>
        <w:bottom w:val="none" w:sz="0" w:space="0" w:color="auto"/>
        <w:right w:val="none" w:sz="0" w:space="0" w:color="auto"/>
      </w:divBdr>
    </w:div>
    <w:div w:id="1758558686">
      <w:bodyDiv w:val="1"/>
      <w:marLeft w:val="0"/>
      <w:marRight w:val="0"/>
      <w:marTop w:val="0"/>
      <w:marBottom w:val="0"/>
      <w:divBdr>
        <w:top w:val="none" w:sz="0" w:space="0" w:color="auto"/>
        <w:left w:val="none" w:sz="0" w:space="0" w:color="auto"/>
        <w:bottom w:val="none" w:sz="0" w:space="0" w:color="auto"/>
        <w:right w:val="none" w:sz="0" w:space="0" w:color="auto"/>
      </w:divBdr>
    </w:div>
    <w:div w:id="1758673993">
      <w:bodyDiv w:val="1"/>
      <w:marLeft w:val="0"/>
      <w:marRight w:val="0"/>
      <w:marTop w:val="0"/>
      <w:marBottom w:val="0"/>
      <w:divBdr>
        <w:top w:val="none" w:sz="0" w:space="0" w:color="auto"/>
        <w:left w:val="none" w:sz="0" w:space="0" w:color="auto"/>
        <w:bottom w:val="none" w:sz="0" w:space="0" w:color="auto"/>
        <w:right w:val="none" w:sz="0" w:space="0" w:color="auto"/>
      </w:divBdr>
    </w:div>
    <w:div w:id="1759249351">
      <w:bodyDiv w:val="1"/>
      <w:marLeft w:val="0"/>
      <w:marRight w:val="0"/>
      <w:marTop w:val="0"/>
      <w:marBottom w:val="0"/>
      <w:divBdr>
        <w:top w:val="none" w:sz="0" w:space="0" w:color="auto"/>
        <w:left w:val="none" w:sz="0" w:space="0" w:color="auto"/>
        <w:bottom w:val="none" w:sz="0" w:space="0" w:color="auto"/>
        <w:right w:val="none" w:sz="0" w:space="0" w:color="auto"/>
      </w:divBdr>
    </w:div>
    <w:div w:id="1759255314">
      <w:bodyDiv w:val="1"/>
      <w:marLeft w:val="0"/>
      <w:marRight w:val="0"/>
      <w:marTop w:val="0"/>
      <w:marBottom w:val="0"/>
      <w:divBdr>
        <w:top w:val="none" w:sz="0" w:space="0" w:color="auto"/>
        <w:left w:val="none" w:sz="0" w:space="0" w:color="auto"/>
        <w:bottom w:val="none" w:sz="0" w:space="0" w:color="auto"/>
        <w:right w:val="none" w:sz="0" w:space="0" w:color="auto"/>
      </w:divBdr>
    </w:div>
    <w:div w:id="1759447476">
      <w:bodyDiv w:val="1"/>
      <w:marLeft w:val="0"/>
      <w:marRight w:val="0"/>
      <w:marTop w:val="0"/>
      <w:marBottom w:val="0"/>
      <w:divBdr>
        <w:top w:val="none" w:sz="0" w:space="0" w:color="auto"/>
        <w:left w:val="none" w:sz="0" w:space="0" w:color="auto"/>
        <w:bottom w:val="none" w:sz="0" w:space="0" w:color="auto"/>
        <w:right w:val="none" w:sz="0" w:space="0" w:color="auto"/>
      </w:divBdr>
    </w:div>
    <w:div w:id="1759521497">
      <w:bodyDiv w:val="1"/>
      <w:marLeft w:val="0"/>
      <w:marRight w:val="0"/>
      <w:marTop w:val="0"/>
      <w:marBottom w:val="0"/>
      <w:divBdr>
        <w:top w:val="none" w:sz="0" w:space="0" w:color="auto"/>
        <w:left w:val="none" w:sz="0" w:space="0" w:color="auto"/>
        <w:bottom w:val="none" w:sz="0" w:space="0" w:color="auto"/>
        <w:right w:val="none" w:sz="0" w:space="0" w:color="auto"/>
      </w:divBdr>
    </w:div>
    <w:div w:id="1759591941">
      <w:bodyDiv w:val="1"/>
      <w:marLeft w:val="0"/>
      <w:marRight w:val="0"/>
      <w:marTop w:val="0"/>
      <w:marBottom w:val="0"/>
      <w:divBdr>
        <w:top w:val="none" w:sz="0" w:space="0" w:color="auto"/>
        <w:left w:val="none" w:sz="0" w:space="0" w:color="auto"/>
        <w:bottom w:val="none" w:sz="0" w:space="0" w:color="auto"/>
        <w:right w:val="none" w:sz="0" w:space="0" w:color="auto"/>
      </w:divBdr>
    </w:div>
    <w:div w:id="1759667640">
      <w:bodyDiv w:val="1"/>
      <w:marLeft w:val="0"/>
      <w:marRight w:val="0"/>
      <w:marTop w:val="0"/>
      <w:marBottom w:val="0"/>
      <w:divBdr>
        <w:top w:val="none" w:sz="0" w:space="0" w:color="auto"/>
        <w:left w:val="none" w:sz="0" w:space="0" w:color="auto"/>
        <w:bottom w:val="none" w:sz="0" w:space="0" w:color="auto"/>
        <w:right w:val="none" w:sz="0" w:space="0" w:color="auto"/>
      </w:divBdr>
    </w:div>
    <w:div w:id="1759671581">
      <w:bodyDiv w:val="1"/>
      <w:marLeft w:val="0"/>
      <w:marRight w:val="0"/>
      <w:marTop w:val="0"/>
      <w:marBottom w:val="0"/>
      <w:divBdr>
        <w:top w:val="none" w:sz="0" w:space="0" w:color="auto"/>
        <w:left w:val="none" w:sz="0" w:space="0" w:color="auto"/>
        <w:bottom w:val="none" w:sz="0" w:space="0" w:color="auto"/>
        <w:right w:val="none" w:sz="0" w:space="0" w:color="auto"/>
      </w:divBdr>
    </w:div>
    <w:div w:id="1759672653">
      <w:bodyDiv w:val="1"/>
      <w:marLeft w:val="0"/>
      <w:marRight w:val="0"/>
      <w:marTop w:val="0"/>
      <w:marBottom w:val="0"/>
      <w:divBdr>
        <w:top w:val="none" w:sz="0" w:space="0" w:color="auto"/>
        <w:left w:val="none" w:sz="0" w:space="0" w:color="auto"/>
        <w:bottom w:val="none" w:sz="0" w:space="0" w:color="auto"/>
        <w:right w:val="none" w:sz="0" w:space="0" w:color="auto"/>
      </w:divBdr>
    </w:div>
    <w:div w:id="1759711781">
      <w:bodyDiv w:val="1"/>
      <w:marLeft w:val="0"/>
      <w:marRight w:val="0"/>
      <w:marTop w:val="0"/>
      <w:marBottom w:val="0"/>
      <w:divBdr>
        <w:top w:val="none" w:sz="0" w:space="0" w:color="auto"/>
        <w:left w:val="none" w:sz="0" w:space="0" w:color="auto"/>
        <w:bottom w:val="none" w:sz="0" w:space="0" w:color="auto"/>
        <w:right w:val="none" w:sz="0" w:space="0" w:color="auto"/>
      </w:divBdr>
    </w:div>
    <w:div w:id="1759785097">
      <w:bodyDiv w:val="1"/>
      <w:marLeft w:val="0"/>
      <w:marRight w:val="0"/>
      <w:marTop w:val="0"/>
      <w:marBottom w:val="0"/>
      <w:divBdr>
        <w:top w:val="none" w:sz="0" w:space="0" w:color="auto"/>
        <w:left w:val="none" w:sz="0" w:space="0" w:color="auto"/>
        <w:bottom w:val="none" w:sz="0" w:space="0" w:color="auto"/>
        <w:right w:val="none" w:sz="0" w:space="0" w:color="auto"/>
      </w:divBdr>
    </w:div>
    <w:div w:id="1759792050">
      <w:bodyDiv w:val="1"/>
      <w:marLeft w:val="0"/>
      <w:marRight w:val="0"/>
      <w:marTop w:val="0"/>
      <w:marBottom w:val="0"/>
      <w:divBdr>
        <w:top w:val="none" w:sz="0" w:space="0" w:color="auto"/>
        <w:left w:val="none" w:sz="0" w:space="0" w:color="auto"/>
        <w:bottom w:val="none" w:sz="0" w:space="0" w:color="auto"/>
        <w:right w:val="none" w:sz="0" w:space="0" w:color="auto"/>
      </w:divBdr>
    </w:div>
    <w:div w:id="1759985272">
      <w:bodyDiv w:val="1"/>
      <w:marLeft w:val="0"/>
      <w:marRight w:val="0"/>
      <w:marTop w:val="0"/>
      <w:marBottom w:val="0"/>
      <w:divBdr>
        <w:top w:val="none" w:sz="0" w:space="0" w:color="auto"/>
        <w:left w:val="none" w:sz="0" w:space="0" w:color="auto"/>
        <w:bottom w:val="none" w:sz="0" w:space="0" w:color="auto"/>
        <w:right w:val="none" w:sz="0" w:space="0" w:color="auto"/>
      </w:divBdr>
    </w:div>
    <w:div w:id="1759985768">
      <w:bodyDiv w:val="1"/>
      <w:marLeft w:val="0"/>
      <w:marRight w:val="0"/>
      <w:marTop w:val="0"/>
      <w:marBottom w:val="0"/>
      <w:divBdr>
        <w:top w:val="none" w:sz="0" w:space="0" w:color="auto"/>
        <w:left w:val="none" w:sz="0" w:space="0" w:color="auto"/>
        <w:bottom w:val="none" w:sz="0" w:space="0" w:color="auto"/>
        <w:right w:val="none" w:sz="0" w:space="0" w:color="auto"/>
      </w:divBdr>
    </w:div>
    <w:div w:id="1760172361">
      <w:bodyDiv w:val="1"/>
      <w:marLeft w:val="0"/>
      <w:marRight w:val="0"/>
      <w:marTop w:val="0"/>
      <w:marBottom w:val="0"/>
      <w:divBdr>
        <w:top w:val="none" w:sz="0" w:space="0" w:color="auto"/>
        <w:left w:val="none" w:sz="0" w:space="0" w:color="auto"/>
        <w:bottom w:val="none" w:sz="0" w:space="0" w:color="auto"/>
        <w:right w:val="none" w:sz="0" w:space="0" w:color="auto"/>
      </w:divBdr>
    </w:div>
    <w:div w:id="1760174946">
      <w:bodyDiv w:val="1"/>
      <w:marLeft w:val="0"/>
      <w:marRight w:val="0"/>
      <w:marTop w:val="0"/>
      <w:marBottom w:val="0"/>
      <w:divBdr>
        <w:top w:val="none" w:sz="0" w:space="0" w:color="auto"/>
        <w:left w:val="none" w:sz="0" w:space="0" w:color="auto"/>
        <w:bottom w:val="none" w:sz="0" w:space="0" w:color="auto"/>
        <w:right w:val="none" w:sz="0" w:space="0" w:color="auto"/>
      </w:divBdr>
    </w:div>
    <w:div w:id="1760251197">
      <w:bodyDiv w:val="1"/>
      <w:marLeft w:val="0"/>
      <w:marRight w:val="0"/>
      <w:marTop w:val="0"/>
      <w:marBottom w:val="0"/>
      <w:divBdr>
        <w:top w:val="none" w:sz="0" w:space="0" w:color="auto"/>
        <w:left w:val="none" w:sz="0" w:space="0" w:color="auto"/>
        <w:bottom w:val="none" w:sz="0" w:space="0" w:color="auto"/>
        <w:right w:val="none" w:sz="0" w:space="0" w:color="auto"/>
      </w:divBdr>
    </w:div>
    <w:div w:id="1760322213">
      <w:bodyDiv w:val="1"/>
      <w:marLeft w:val="0"/>
      <w:marRight w:val="0"/>
      <w:marTop w:val="0"/>
      <w:marBottom w:val="0"/>
      <w:divBdr>
        <w:top w:val="none" w:sz="0" w:space="0" w:color="auto"/>
        <w:left w:val="none" w:sz="0" w:space="0" w:color="auto"/>
        <w:bottom w:val="none" w:sz="0" w:space="0" w:color="auto"/>
        <w:right w:val="none" w:sz="0" w:space="0" w:color="auto"/>
      </w:divBdr>
    </w:div>
    <w:div w:id="1760370790">
      <w:bodyDiv w:val="1"/>
      <w:marLeft w:val="0"/>
      <w:marRight w:val="0"/>
      <w:marTop w:val="0"/>
      <w:marBottom w:val="0"/>
      <w:divBdr>
        <w:top w:val="none" w:sz="0" w:space="0" w:color="auto"/>
        <w:left w:val="none" w:sz="0" w:space="0" w:color="auto"/>
        <w:bottom w:val="none" w:sz="0" w:space="0" w:color="auto"/>
        <w:right w:val="none" w:sz="0" w:space="0" w:color="auto"/>
      </w:divBdr>
    </w:div>
    <w:div w:id="1760372917">
      <w:bodyDiv w:val="1"/>
      <w:marLeft w:val="0"/>
      <w:marRight w:val="0"/>
      <w:marTop w:val="0"/>
      <w:marBottom w:val="0"/>
      <w:divBdr>
        <w:top w:val="none" w:sz="0" w:space="0" w:color="auto"/>
        <w:left w:val="none" w:sz="0" w:space="0" w:color="auto"/>
        <w:bottom w:val="none" w:sz="0" w:space="0" w:color="auto"/>
        <w:right w:val="none" w:sz="0" w:space="0" w:color="auto"/>
      </w:divBdr>
    </w:div>
    <w:div w:id="1760440970">
      <w:bodyDiv w:val="1"/>
      <w:marLeft w:val="0"/>
      <w:marRight w:val="0"/>
      <w:marTop w:val="0"/>
      <w:marBottom w:val="0"/>
      <w:divBdr>
        <w:top w:val="none" w:sz="0" w:space="0" w:color="auto"/>
        <w:left w:val="none" w:sz="0" w:space="0" w:color="auto"/>
        <w:bottom w:val="none" w:sz="0" w:space="0" w:color="auto"/>
        <w:right w:val="none" w:sz="0" w:space="0" w:color="auto"/>
      </w:divBdr>
    </w:div>
    <w:div w:id="1760634659">
      <w:bodyDiv w:val="1"/>
      <w:marLeft w:val="0"/>
      <w:marRight w:val="0"/>
      <w:marTop w:val="0"/>
      <w:marBottom w:val="0"/>
      <w:divBdr>
        <w:top w:val="none" w:sz="0" w:space="0" w:color="auto"/>
        <w:left w:val="none" w:sz="0" w:space="0" w:color="auto"/>
        <w:bottom w:val="none" w:sz="0" w:space="0" w:color="auto"/>
        <w:right w:val="none" w:sz="0" w:space="0" w:color="auto"/>
      </w:divBdr>
    </w:div>
    <w:div w:id="1760637296">
      <w:bodyDiv w:val="1"/>
      <w:marLeft w:val="0"/>
      <w:marRight w:val="0"/>
      <w:marTop w:val="0"/>
      <w:marBottom w:val="0"/>
      <w:divBdr>
        <w:top w:val="none" w:sz="0" w:space="0" w:color="auto"/>
        <w:left w:val="none" w:sz="0" w:space="0" w:color="auto"/>
        <w:bottom w:val="none" w:sz="0" w:space="0" w:color="auto"/>
        <w:right w:val="none" w:sz="0" w:space="0" w:color="auto"/>
      </w:divBdr>
    </w:div>
    <w:div w:id="1760640617">
      <w:bodyDiv w:val="1"/>
      <w:marLeft w:val="0"/>
      <w:marRight w:val="0"/>
      <w:marTop w:val="0"/>
      <w:marBottom w:val="0"/>
      <w:divBdr>
        <w:top w:val="none" w:sz="0" w:space="0" w:color="auto"/>
        <w:left w:val="none" w:sz="0" w:space="0" w:color="auto"/>
        <w:bottom w:val="none" w:sz="0" w:space="0" w:color="auto"/>
        <w:right w:val="none" w:sz="0" w:space="0" w:color="auto"/>
      </w:divBdr>
    </w:div>
    <w:div w:id="1760708455">
      <w:bodyDiv w:val="1"/>
      <w:marLeft w:val="0"/>
      <w:marRight w:val="0"/>
      <w:marTop w:val="0"/>
      <w:marBottom w:val="0"/>
      <w:divBdr>
        <w:top w:val="none" w:sz="0" w:space="0" w:color="auto"/>
        <w:left w:val="none" w:sz="0" w:space="0" w:color="auto"/>
        <w:bottom w:val="none" w:sz="0" w:space="0" w:color="auto"/>
        <w:right w:val="none" w:sz="0" w:space="0" w:color="auto"/>
      </w:divBdr>
    </w:div>
    <w:div w:id="1760710824">
      <w:bodyDiv w:val="1"/>
      <w:marLeft w:val="0"/>
      <w:marRight w:val="0"/>
      <w:marTop w:val="0"/>
      <w:marBottom w:val="0"/>
      <w:divBdr>
        <w:top w:val="none" w:sz="0" w:space="0" w:color="auto"/>
        <w:left w:val="none" w:sz="0" w:space="0" w:color="auto"/>
        <w:bottom w:val="none" w:sz="0" w:space="0" w:color="auto"/>
        <w:right w:val="none" w:sz="0" w:space="0" w:color="auto"/>
      </w:divBdr>
    </w:div>
    <w:div w:id="1760711414">
      <w:bodyDiv w:val="1"/>
      <w:marLeft w:val="0"/>
      <w:marRight w:val="0"/>
      <w:marTop w:val="0"/>
      <w:marBottom w:val="0"/>
      <w:divBdr>
        <w:top w:val="none" w:sz="0" w:space="0" w:color="auto"/>
        <w:left w:val="none" w:sz="0" w:space="0" w:color="auto"/>
        <w:bottom w:val="none" w:sz="0" w:space="0" w:color="auto"/>
        <w:right w:val="none" w:sz="0" w:space="0" w:color="auto"/>
      </w:divBdr>
    </w:div>
    <w:div w:id="1760788365">
      <w:bodyDiv w:val="1"/>
      <w:marLeft w:val="0"/>
      <w:marRight w:val="0"/>
      <w:marTop w:val="0"/>
      <w:marBottom w:val="0"/>
      <w:divBdr>
        <w:top w:val="none" w:sz="0" w:space="0" w:color="auto"/>
        <w:left w:val="none" w:sz="0" w:space="0" w:color="auto"/>
        <w:bottom w:val="none" w:sz="0" w:space="0" w:color="auto"/>
        <w:right w:val="none" w:sz="0" w:space="0" w:color="auto"/>
      </w:divBdr>
    </w:div>
    <w:div w:id="1760834886">
      <w:bodyDiv w:val="1"/>
      <w:marLeft w:val="0"/>
      <w:marRight w:val="0"/>
      <w:marTop w:val="0"/>
      <w:marBottom w:val="0"/>
      <w:divBdr>
        <w:top w:val="none" w:sz="0" w:space="0" w:color="auto"/>
        <w:left w:val="none" w:sz="0" w:space="0" w:color="auto"/>
        <w:bottom w:val="none" w:sz="0" w:space="0" w:color="auto"/>
        <w:right w:val="none" w:sz="0" w:space="0" w:color="auto"/>
      </w:divBdr>
    </w:div>
    <w:div w:id="1760905086">
      <w:bodyDiv w:val="1"/>
      <w:marLeft w:val="0"/>
      <w:marRight w:val="0"/>
      <w:marTop w:val="0"/>
      <w:marBottom w:val="0"/>
      <w:divBdr>
        <w:top w:val="none" w:sz="0" w:space="0" w:color="auto"/>
        <w:left w:val="none" w:sz="0" w:space="0" w:color="auto"/>
        <w:bottom w:val="none" w:sz="0" w:space="0" w:color="auto"/>
        <w:right w:val="none" w:sz="0" w:space="0" w:color="auto"/>
      </w:divBdr>
    </w:div>
    <w:div w:id="1761028210">
      <w:bodyDiv w:val="1"/>
      <w:marLeft w:val="0"/>
      <w:marRight w:val="0"/>
      <w:marTop w:val="0"/>
      <w:marBottom w:val="0"/>
      <w:divBdr>
        <w:top w:val="none" w:sz="0" w:space="0" w:color="auto"/>
        <w:left w:val="none" w:sz="0" w:space="0" w:color="auto"/>
        <w:bottom w:val="none" w:sz="0" w:space="0" w:color="auto"/>
        <w:right w:val="none" w:sz="0" w:space="0" w:color="auto"/>
      </w:divBdr>
    </w:div>
    <w:div w:id="1761098384">
      <w:bodyDiv w:val="1"/>
      <w:marLeft w:val="0"/>
      <w:marRight w:val="0"/>
      <w:marTop w:val="0"/>
      <w:marBottom w:val="0"/>
      <w:divBdr>
        <w:top w:val="none" w:sz="0" w:space="0" w:color="auto"/>
        <w:left w:val="none" w:sz="0" w:space="0" w:color="auto"/>
        <w:bottom w:val="none" w:sz="0" w:space="0" w:color="auto"/>
        <w:right w:val="none" w:sz="0" w:space="0" w:color="auto"/>
      </w:divBdr>
    </w:div>
    <w:div w:id="1761099457">
      <w:bodyDiv w:val="1"/>
      <w:marLeft w:val="0"/>
      <w:marRight w:val="0"/>
      <w:marTop w:val="0"/>
      <w:marBottom w:val="0"/>
      <w:divBdr>
        <w:top w:val="none" w:sz="0" w:space="0" w:color="auto"/>
        <w:left w:val="none" w:sz="0" w:space="0" w:color="auto"/>
        <w:bottom w:val="none" w:sz="0" w:space="0" w:color="auto"/>
        <w:right w:val="none" w:sz="0" w:space="0" w:color="auto"/>
      </w:divBdr>
    </w:div>
    <w:div w:id="1761101093">
      <w:bodyDiv w:val="1"/>
      <w:marLeft w:val="0"/>
      <w:marRight w:val="0"/>
      <w:marTop w:val="0"/>
      <w:marBottom w:val="0"/>
      <w:divBdr>
        <w:top w:val="none" w:sz="0" w:space="0" w:color="auto"/>
        <w:left w:val="none" w:sz="0" w:space="0" w:color="auto"/>
        <w:bottom w:val="none" w:sz="0" w:space="0" w:color="auto"/>
        <w:right w:val="none" w:sz="0" w:space="0" w:color="auto"/>
      </w:divBdr>
    </w:div>
    <w:div w:id="1761364445">
      <w:bodyDiv w:val="1"/>
      <w:marLeft w:val="0"/>
      <w:marRight w:val="0"/>
      <w:marTop w:val="0"/>
      <w:marBottom w:val="0"/>
      <w:divBdr>
        <w:top w:val="none" w:sz="0" w:space="0" w:color="auto"/>
        <w:left w:val="none" w:sz="0" w:space="0" w:color="auto"/>
        <w:bottom w:val="none" w:sz="0" w:space="0" w:color="auto"/>
        <w:right w:val="none" w:sz="0" w:space="0" w:color="auto"/>
      </w:divBdr>
    </w:div>
    <w:div w:id="1761370139">
      <w:bodyDiv w:val="1"/>
      <w:marLeft w:val="0"/>
      <w:marRight w:val="0"/>
      <w:marTop w:val="0"/>
      <w:marBottom w:val="0"/>
      <w:divBdr>
        <w:top w:val="none" w:sz="0" w:space="0" w:color="auto"/>
        <w:left w:val="none" w:sz="0" w:space="0" w:color="auto"/>
        <w:bottom w:val="none" w:sz="0" w:space="0" w:color="auto"/>
        <w:right w:val="none" w:sz="0" w:space="0" w:color="auto"/>
      </w:divBdr>
    </w:div>
    <w:div w:id="1761485450">
      <w:bodyDiv w:val="1"/>
      <w:marLeft w:val="0"/>
      <w:marRight w:val="0"/>
      <w:marTop w:val="0"/>
      <w:marBottom w:val="0"/>
      <w:divBdr>
        <w:top w:val="none" w:sz="0" w:space="0" w:color="auto"/>
        <w:left w:val="none" w:sz="0" w:space="0" w:color="auto"/>
        <w:bottom w:val="none" w:sz="0" w:space="0" w:color="auto"/>
        <w:right w:val="none" w:sz="0" w:space="0" w:color="auto"/>
      </w:divBdr>
    </w:div>
    <w:div w:id="1761488023">
      <w:bodyDiv w:val="1"/>
      <w:marLeft w:val="0"/>
      <w:marRight w:val="0"/>
      <w:marTop w:val="0"/>
      <w:marBottom w:val="0"/>
      <w:divBdr>
        <w:top w:val="none" w:sz="0" w:space="0" w:color="auto"/>
        <w:left w:val="none" w:sz="0" w:space="0" w:color="auto"/>
        <w:bottom w:val="none" w:sz="0" w:space="0" w:color="auto"/>
        <w:right w:val="none" w:sz="0" w:space="0" w:color="auto"/>
      </w:divBdr>
    </w:div>
    <w:div w:id="1761559752">
      <w:bodyDiv w:val="1"/>
      <w:marLeft w:val="0"/>
      <w:marRight w:val="0"/>
      <w:marTop w:val="0"/>
      <w:marBottom w:val="0"/>
      <w:divBdr>
        <w:top w:val="none" w:sz="0" w:space="0" w:color="auto"/>
        <w:left w:val="none" w:sz="0" w:space="0" w:color="auto"/>
        <w:bottom w:val="none" w:sz="0" w:space="0" w:color="auto"/>
        <w:right w:val="none" w:sz="0" w:space="0" w:color="auto"/>
      </w:divBdr>
    </w:div>
    <w:div w:id="1761559829">
      <w:bodyDiv w:val="1"/>
      <w:marLeft w:val="0"/>
      <w:marRight w:val="0"/>
      <w:marTop w:val="0"/>
      <w:marBottom w:val="0"/>
      <w:divBdr>
        <w:top w:val="none" w:sz="0" w:space="0" w:color="auto"/>
        <w:left w:val="none" w:sz="0" w:space="0" w:color="auto"/>
        <w:bottom w:val="none" w:sz="0" w:space="0" w:color="auto"/>
        <w:right w:val="none" w:sz="0" w:space="0" w:color="auto"/>
      </w:divBdr>
    </w:div>
    <w:div w:id="1761870625">
      <w:bodyDiv w:val="1"/>
      <w:marLeft w:val="0"/>
      <w:marRight w:val="0"/>
      <w:marTop w:val="0"/>
      <w:marBottom w:val="0"/>
      <w:divBdr>
        <w:top w:val="none" w:sz="0" w:space="0" w:color="auto"/>
        <w:left w:val="none" w:sz="0" w:space="0" w:color="auto"/>
        <w:bottom w:val="none" w:sz="0" w:space="0" w:color="auto"/>
        <w:right w:val="none" w:sz="0" w:space="0" w:color="auto"/>
      </w:divBdr>
    </w:div>
    <w:div w:id="1761945000">
      <w:bodyDiv w:val="1"/>
      <w:marLeft w:val="0"/>
      <w:marRight w:val="0"/>
      <w:marTop w:val="0"/>
      <w:marBottom w:val="0"/>
      <w:divBdr>
        <w:top w:val="none" w:sz="0" w:space="0" w:color="auto"/>
        <w:left w:val="none" w:sz="0" w:space="0" w:color="auto"/>
        <w:bottom w:val="none" w:sz="0" w:space="0" w:color="auto"/>
        <w:right w:val="none" w:sz="0" w:space="0" w:color="auto"/>
      </w:divBdr>
    </w:div>
    <w:div w:id="1762067653">
      <w:bodyDiv w:val="1"/>
      <w:marLeft w:val="0"/>
      <w:marRight w:val="0"/>
      <w:marTop w:val="0"/>
      <w:marBottom w:val="0"/>
      <w:divBdr>
        <w:top w:val="none" w:sz="0" w:space="0" w:color="auto"/>
        <w:left w:val="none" w:sz="0" w:space="0" w:color="auto"/>
        <w:bottom w:val="none" w:sz="0" w:space="0" w:color="auto"/>
        <w:right w:val="none" w:sz="0" w:space="0" w:color="auto"/>
      </w:divBdr>
    </w:div>
    <w:div w:id="1762146460">
      <w:bodyDiv w:val="1"/>
      <w:marLeft w:val="0"/>
      <w:marRight w:val="0"/>
      <w:marTop w:val="0"/>
      <w:marBottom w:val="0"/>
      <w:divBdr>
        <w:top w:val="none" w:sz="0" w:space="0" w:color="auto"/>
        <w:left w:val="none" w:sz="0" w:space="0" w:color="auto"/>
        <w:bottom w:val="none" w:sz="0" w:space="0" w:color="auto"/>
        <w:right w:val="none" w:sz="0" w:space="0" w:color="auto"/>
      </w:divBdr>
    </w:div>
    <w:div w:id="1762219567">
      <w:bodyDiv w:val="1"/>
      <w:marLeft w:val="0"/>
      <w:marRight w:val="0"/>
      <w:marTop w:val="0"/>
      <w:marBottom w:val="0"/>
      <w:divBdr>
        <w:top w:val="none" w:sz="0" w:space="0" w:color="auto"/>
        <w:left w:val="none" w:sz="0" w:space="0" w:color="auto"/>
        <w:bottom w:val="none" w:sz="0" w:space="0" w:color="auto"/>
        <w:right w:val="none" w:sz="0" w:space="0" w:color="auto"/>
      </w:divBdr>
    </w:div>
    <w:div w:id="1762332533">
      <w:bodyDiv w:val="1"/>
      <w:marLeft w:val="0"/>
      <w:marRight w:val="0"/>
      <w:marTop w:val="0"/>
      <w:marBottom w:val="0"/>
      <w:divBdr>
        <w:top w:val="none" w:sz="0" w:space="0" w:color="auto"/>
        <w:left w:val="none" w:sz="0" w:space="0" w:color="auto"/>
        <w:bottom w:val="none" w:sz="0" w:space="0" w:color="auto"/>
        <w:right w:val="none" w:sz="0" w:space="0" w:color="auto"/>
      </w:divBdr>
    </w:div>
    <w:div w:id="1762338258">
      <w:bodyDiv w:val="1"/>
      <w:marLeft w:val="0"/>
      <w:marRight w:val="0"/>
      <w:marTop w:val="0"/>
      <w:marBottom w:val="0"/>
      <w:divBdr>
        <w:top w:val="none" w:sz="0" w:space="0" w:color="auto"/>
        <w:left w:val="none" w:sz="0" w:space="0" w:color="auto"/>
        <w:bottom w:val="none" w:sz="0" w:space="0" w:color="auto"/>
        <w:right w:val="none" w:sz="0" w:space="0" w:color="auto"/>
      </w:divBdr>
    </w:div>
    <w:div w:id="1762526050">
      <w:bodyDiv w:val="1"/>
      <w:marLeft w:val="0"/>
      <w:marRight w:val="0"/>
      <w:marTop w:val="0"/>
      <w:marBottom w:val="0"/>
      <w:divBdr>
        <w:top w:val="none" w:sz="0" w:space="0" w:color="auto"/>
        <w:left w:val="none" w:sz="0" w:space="0" w:color="auto"/>
        <w:bottom w:val="none" w:sz="0" w:space="0" w:color="auto"/>
        <w:right w:val="none" w:sz="0" w:space="0" w:color="auto"/>
      </w:divBdr>
    </w:div>
    <w:div w:id="1762529316">
      <w:bodyDiv w:val="1"/>
      <w:marLeft w:val="0"/>
      <w:marRight w:val="0"/>
      <w:marTop w:val="0"/>
      <w:marBottom w:val="0"/>
      <w:divBdr>
        <w:top w:val="none" w:sz="0" w:space="0" w:color="auto"/>
        <w:left w:val="none" w:sz="0" w:space="0" w:color="auto"/>
        <w:bottom w:val="none" w:sz="0" w:space="0" w:color="auto"/>
        <w:right w:val="none" w:sz="0" w:space="0" w:color="auto"/>
      </w:divBdr>
    </w:div>
    <w:div w:id="1762529885">
      <w:bodyDiv w:val="1"/>
      <w:marLeft w:val="0"/>
      <w:marRight w:val="0"/>
      <w:marTop w:val="0"/>
      <w:marBottom w:val="0"/>
      <w:divBdr>
        <w:top w:val="none" w:sz="0" w:space="0" w:color="auto"/>
        <w:left w:val="none" w:sz="0" w:space="0" w:color="auto"/>
        <w:bottom w:val="none" w:sz="0" w:space="0" w:color="auto"/>
        <w:right w:val="none" w:sz="0" w:space="0" w:color="auto"/>
      </w:divBdr>
    </w:div>
    <w:div w:id="1762723503">
      <w:bodyDiv w:val="1"/>
      <w:marLeft w:val="0"/>
      <w:marRight w:val="0"/>
      <w:marTop w:val="0"/>
      <w:marBottom w:val="0"/>
      <w:divBdr>
        <w:top w:val="none" w:sz="0" w:space="0" w:color="auto"/>
        <w:left w:val="none" w:sz="0" w:space="0" w:color="auto"/>
        <w:bottom w:val="none" w:sz="0" w:space="0" w:color="auto"/>
        <w:right w:val="none" w:sz="0" w:space="0" w:color="auto"/>
      </w:divBdr>
    </w:div>
    <w:div w:id="1762799500">
      <w:bodyDiv w:val="1"/>
      <w:marLeft w:val="0"/>
      <w:marRight w:val="0"/>
      <w:marTop w:val="0"/>
      <w:marBottom w:val="0"/>
      <w:divBdr>
        <w:top w:val="none" w:sz="0" w:space="0" w:color="auto"/>
        <w:left w:val="none" w:sz="0" w:space="0" w:color="auto"/>
        <w:bottom w:val="none" w:sz="0" w:space="0" w:color="auto"/>
        <w:right w:val="none" w:sz="0" w:space="0" w:color="auto"/>
      </w:divBdr>
    </w:div>
    <w:div w:id="1762948555">
      <w:bodyDiv w:val="1"/>
      <w:marLeft w:val="0"/>
      <w:marRight w:val="0"/>
      <w:marTop w:val="0"/>
      <w:marBottom w:val="0"/>
      <w:divBdr>
        <w:top w:val="none" w:sz="0" w:space="0" w:color="auto"/>
        <w:left w:val="none" w:sz="0" w:space="0" w:color="auto"/>
        <w:bottom w:val="none" w:sz="0" w:space="0" w:color="auto"/>
        <w:right w:val="none" w:sz="0" w:space="0" w:color="auto"/>
      </w:divBdr>
    </w:div>
    <w:div w:id="1763062197">
      <w:bodyDiv w:val="1"/>
      <w:marLeft w:val="0"/>
      <w:marRight w:val="0"/>
      <w:marTop w:val="0"/>
      <w:marBottom w:val="0"/>
      <w:divBdr>
        <w:top w:val="none" w:sz="0" w:space="0" w:color="auto"/>
        <w:left w:val="none" w:sz="0" w:space="0" w:color="auto"/>
        <w:bottom w:val="none" w:sz="0" w:space="0" w:color="auto"/>
        <w:right w:val="none" w:sz="0" w:space="0" w:color="auto"/>
      </w:divBdr>
    </w:div>
    <w:div w:id="1763067672">
      <w:bodyDiv w:val="1"/>
      <w:marLeft w:val="0"/>
      <w:marRight w:val="0"/>
      <w:marTop w:val="0"/>
      <w:marBottom w:val="0"/>
      <w:divBdr>
        <w:top w:val="none" w:sz="0" w:space="0" w:color="auto"/>
        <w:left w:val="none" w:sz="0" w:space="0" w:color="auto"/>
        <w:bottom w:val="none" w:sz="0" w:space="0" w:color="auto"/>
        <w:right w:val="none" w:sz="0" w:space="0" w:color="auto"/>
      </w:divBdr>
    </w:div>
    <w:div w:id="1763139983">
      <w:bodyDiv w:val="1"/>
      <w:marLeft w:val="0"/>
      <w:marRight w:val="0"/>
      <w:marTop w:val="0"/>
      <w:marBottom w:val="0"/>
      <w:divBdr>
        <w:top w:val="none" w:sz="0" w:space="0" w:color="auto"/>
        <w:left w:val="none" w:sz="0" w:space="0" w:color="auto"/>
        <w:bottom w:val="none" w:sz="0" w:space="0" w:color="auto"/>
        <w:right w:val="none" w:sz="0" w:space="0" w:color="auto"/>
      </w:divBdr>
    </w:div>
    <w:div w:id="1763140532">
      <w:bodyDiv w:val="1"/>
      <w:marLeft w:val="0"/>
      <w:marRight w:val="0"/>
      <w:marTop w:val="0"/>
      <w:marBottom w:val="0"/>
      <w:divBdr>
        <w:top w:val="none" w:sz="0" w:space="0" w:color="auto"/>
        <w:left w:val="none" w:sz="0" w:space="0" w:color="auto"/>
        <w:bottom w:val="none" w:sz="0" w:space="0" w:color="auto"/>
        <w:right w:val="none" w:sz="0" w:space="0" w:color="auto"/>
      </w:divBdr>
    </w:div>
    <w:div w:id="1763259079">
      <w:bodyDiv w:val="1"/>
      <w:marLeft w:val="0"/>
      <w:marRight w:val="0"/>
      <w:marTop w:val="0"/>
      <w:marBottom w:val="0"/>
      <w:divBdr>
        <w:top w:val="none" w:sz="0" w:space="0" w:color="auto"/>
        <w:left w:val="none" w:sz="0" w:space="0" w:color="auto"/>
        <w:bottom w:val="none" w:sz="0" w:space="0" w:color="auto"/>
        <w:right w:val="none" w:sz="0" w:space="0" w:color="auto"/>
      </w:divBdr>
    </w:div>
    <w:div w:id="1763336810">
      <w:bodyDiv w:val="1"/>
      <w:marLeft w:val="0"/>
      <w:marRight w:val="0"/>
      <w:marTop w:val="0"/>
      <w:marBottom w:val="0"/>
      <w:divBdr>
        <w:top w:val="none" w:sz="0" w:space="0" w:color="auto"/>
        <w:left w:val="none" w:sz="0" w:space="0" w:color="auto"/>
        <w:bottom w:val="none" w:sz="0" w:space="0" w:color="auto"/>
        <w:right w:val="none" w:sz="0" w:space="0" w:color="auto"/>
      </w:divBdr>
    </w:div>
    <w:div w:id="1763379828">
      <w:bodyDiv w:val="1"/>
      <w:marLeft w:val="0"/>
      <w:marRight w:val="0"/>
      <w:marTop w:val="0"/>
      <w:marBottom w:val="0"/>
      <w:divBdr>
        <w:top w:val="none" w:sz="0" w:space="0" w:color="auto"/>
        <w:left w:val="none" w:sz="0" w:space="0" w:color="auto"/>
        <w:bottom w:val="none" w:sz="0" w:space="0" w:color="auto"/>
        <w:right w:val="none" w:sz="0" w:space="0" w:color="auto"/>
      </w:divBdr>
    </w:div>
    <w:div w:id="1763450700">
      <w:bodyDiv w:val="1"/>
      <w:marLeft w:val="0"/>
      <w:marRight w:val="0"/>
      <w:marTop w:val="0"/>
      <w:marBottom w:val="0"/>
      <w:divBdr>
        <w:top w:val="none" w:sz="0" w:space="0" w:color="auto"/>
        <w:left w:val="none" w:sz="0" w:space="0" w:color="auto"/>
        <w:bottom w:val="none" w:sz="0" w:space="0" w:color="auto"/>
        <w:right w:val="none" w:sz="0" w:space="0" w:color="auto"/>
      </w:divBdr>
    </w:div>
    <w:div w:id="1763456180">
      <w:bodyDiv w:val="1"/>
      <w:marLeft w:val="0"/>
      <w:marRight w:val="0"/>
      <w:marTop w:val="0"/>
      <w:marBottom w:val="0"/>
      <w:divBdr>
        <w:top w:val="none" w:sz="0" w:space="0" w:color="auto"/>
        <w:left w:val="none" w:sz="0" w:space="0" w:color="auto"/>
        <w:bottom w:val="none" w:sz="0" w:space="0" w:color="auto"/>
        <w:right w:val="none" w:sz="0" w:space="0" w:color="auto"/>
      </w:divBdr>
    </w:div>
    <w:div w:id="1763529064">
      <w:bodyDiv w:val="1"/>
      <w:marLeft w:val="0"/>
      <w:marRight w:val="0"/>
      <w:marTop w:val="0"/>
      <w:marBottom w:val="0"/>
      <w:divBdr>
        <w:top w:val="none" w:sz="0" w:space="0" w:color="auto"/>
        <w:left w:val="none" w:sz="0" w:space="0" w:color="auto"/>
        <w:bottom w:val="none" w:sz="0" w:space="0" w:color="auto"/>
        <w:right w:val="none" w:sz="0" w:space="0" w:color="auto"/>
      </w:divBdr>
    </w:div>
    <w:div w:id="1763530180">
      <w:bodyDiv w:val="1"/>
      <w:marLeft w:val="0"/>
      <w:marRight w:val="0"/>
      <w:marTop w:val="0"/>
      <w:marBottom w:val="0"/>
      <w:divBdr>
        <w:top w:val="none" w:sz="0" w:space="0" w:color="auto"/>
        <w:left w:val="none" w:sz="0" w:space="0" w:color="auto"/>
        <w:bottom w:val="none" w:sz="0" w:space="0" w:color="auto"/>
        <w:right w:val="none" w:sz="0" w:space="0" w:color="auto"/>
      </w:divBdr>
    </w:div>
    <w:div w:id="1763574538">
      <w:bodyDiv w:val="1"/>
      <w:marLeft w:val="0"/>
      <w:marRight w:val="0"/>
      <w:marTop w:val="0"/>
      <w:marBottom w:val="0"/>
      <w:divBdr>
        <w:top w:val="none" w:sz="0" w:space="0" w:color="auto"/>
        <w:left w:val="none" w:sz="0" w:space="0" w:color="auto"/>
        <w:bottom w:val="none" w:sz="0" w:space="0" w:color="auto"/>
        <w:right w:val="none" w:sz="0" w:space="0" w:color="auto"/>
      </w:divBdr>
    </w:div>
    <w:div w:id="1763837697">
      <w:bodyDiv w:val="1"/>
      <w:marLeft w:val="0"/>
      <w:marRight w:val="0"/>
      <w:marTop w:val="0"/>
      <w:marBottom w:val="0"/>
      <w:divBdr>
        <w:top w:val="none" w:sz="0" w:space="0" w:color="auto"/>
        <w:left w:val="none" w:sz="0" w:space="0" w:color="auto"/>
        <w:bottom w:val="none" w:sz="0" w:space="0" w:color="auto"/>
        <w:right w:val="none" w:sz="0" w:space="0" w:color="auto"/>
      </w:divBdr>
    </w:div>
    <w:div w:id="1763985405">
      <w:bodyDiv w:val="1"/>
      <w:marLeft w:val="0"/>
      <w:marRight w:val="0"/>
      <w:marTop w:val="0"/>
      <w:marBottom w:val="0"/>
      <w:divBdr>
        <w:top w:val="none" w:sz="0" w:space="0" w:color="auto"/>
        <w:left w:val="none" w:sz="0" w:space="0" w:color="auto"/>
        <w:bottom w:val="none" w:sz="0" w:space="0" w:color="auto"/>
        <w:right w:val="none" w:sz="0" w:space="0" w:color="auto"/>
      </w:divBdr>
    </w:div>
    <w:div w:id="1763988689">
      <w:bodyDiv w:val="1"/>
      <w:marLeft w:val="0"/>
      <w:marRight w:val="0"/>
      <w:marTop w:val="0"/>
      <w:marBottom w:val="0"/>
      <w:divBdr>
        <w:top w:val="none" w:sz="0" w:space="0" w:color="auto"/>
        <w:left w:val="none" w:sz="0" w:space="0" w:color="auto"/>
        <w:bottom w:val="none" w:sz="0" w:space="0" w:color="auto"/>
        <w:right w:val="none" w:sz="0" w:space="0" w:color="auto"/>
      </w:divBdr>
    </w:div>
    <w:div w:id="1764105755">
      <w:bodyDiv w:val="1"/>
      <w:marLeft w:val="0"/>
      <w:marRight w:val="0"/>
      <w:marTop w:val="0"/>
      <w:marBottom w:val="0"/>
      <w:divBdr>
        <w:top w:val="none" w:sz="0" w:space="0" w:color="auto"/>
        <w:left w:val="none" w:sz="0" w:space="0" w:color="auto"/>
        <w:bottom w:val="none" w:sz="0" w:space="0" w:color="auto"/>
        <w:right w:val="none" w:sz="0" w:space="0" w:color="auto"/>
      </w:divBdr>
    </w:div>
    <w:div w:id="1764111599">
      <w:bodyDiv w:val="1"/>
      <w:marLeft w:val="0"/>
      <w:marRight w:val="0"/>
      <w:marTop w:val="0"/>
      <w:marBottom w:val="0"/>
      <w:divBdr>
        <w:top w:val="none" w:sz="0" w:space="0" w:color="auto"/>
        <w:left w:val="none" w:sz="0" w:space="0" w:color="auto"/>
        <w:bottom w:val="none" w:sz="0" w:space="0" w:color="auto"/>
        <w:right w:val="none" w:sz="0" w:space="0" w:color="auto"/>
      </w:divBdr>
    </w:div>
    <w:div w:id="1764254901">
      <w:bodyDiv w:val="1"/>
      <w:marLeft w:val="0"/>
      <w:marRight w:val="0"/>
      <w:marTop w:val="0"/>
      <w:marBottom w:val="0"/>
      <w:divBdr>
        <w:top w:val="none" w:sz="0" w:space="0" w:color="auto"/>
        <w:left w:val="none" w:sz="0" w:space="0" w:color="auto"/>
        <w:bottom w:val="none" w:sz="0" w:space="0" w:color="auto"/>
        <w:right w:val="none" w:sz="0" w:space="0" w:color="auto"/>
      </w:divBdr>
    </w:div>
    <w:div w:id="1764299946">
      <w:bodyDiv w:val="1"/>
      <w:marLeft w:val="0"/>
      <w:marRight w:val="0"/>
      <w:marTop w:val="0"/>
      <w:marBottom w:val="0"/>
      <w:divBdr>
        <w:top w:val="none" w:sz="0" w:space="0" w:color="auto"/>
        <w:left w:val="none" w:sz="0" w:space="0" w:color="auto"/>
        <w:bottom w:val="none" w:sz="0" w:space="0" w:color="auto"/>
        <w:right w:val="none" w:sz="0" w:space="0" w:color="auto"/>
      </w:divBdr>
    </w:div>
    <w:div w:id="1764449480">
      <w:bodyDiv w:val="1"/>
      <w:marLeft w:val="0"/>
      <w:marRight w:val="0"/>
      <w:marTop w:val="0"/>
      <w:marBottom w:val="0"/>
      <w:divBdr>
        <w:top w:val="none" w:sz="0" w:space="0" w:color="auto"/>
        <w:left w:val="none" w:sz="0" w:space="0" w:color="auto"/>
        <w:bottom w:val="none" w:sz="0" w:space="0" w:color="auto"/>
        <w:right w:val="none" w:sz="0" w:space="0" w:color="auto"/>
      </w:divBdr>
    </w:div>
    <w:div w:id="1764451509">
      <w:bodyDiv w:val="1"/>
      <w:marLeft w:val="0"/>
      <w:marRight w:val="0"/>
      <w:marTop w:val="0"/>
      <w:marBottom w:val="0"/>
      <w:divBdr>
        <w:top w:val="none" w:sz="0" w:space="0" w:color="auto"/>
        <w:left w:val="none" w:sz="0" w:space="0" w:color="auto"/>
        <w:bottom w:val="none" w:sz="0" w:space="0" w:color="auto"/>
        <w:right w:val="none" w:sz="0" w:space="0" w:color="auto"/>
      </w:divBdr>
    </w:div>
    <w:div w:id="1764493309">
      <w:bodyDiv w:val="1"/>
      <w:marLeft w:val="0"/>
      <w:marRight w:val="0"/>
      <w:marTop w:val="0"/>
      <w:marBottom w:val="0"/>
      <w:divBdr>
        <w:top w:val="none" w:sz="0" w:space="0" w:color="auto"/>
        <w:left w:val="none" w:sz="0" w:space="0" w:color="auto"/>
        <w:bottom w:val="none" w:sz="0" w:space="0" w:color="auto"/>
        <w:right w:val="none" w:sz="0" w:space="0" w:color="auto"/>
      </w:divBdr>
    </w:div>
    <w:div w:id="1764572894">
      <w:bodyDiv w:val="1"/>
      <w:marLeft w:val="0"/>
      <w:marRight w:val="0"/>
      <w:marTop w:val="0"/>
      <w:marBottom w:val="0"/>
      <w:divBdr>
        <w:top w:val="none" w:sz="0" w:space="0" w:color="auto"/>
        <w:left w:val="none" w:sz="0" w:space="0" w:color="auto"/>
        <w:bottom w:val="none" w:sz="0" w:space="0" w:color="auto"/>
        <w:right w:val="none" w:sz="0" w:space="0" w:color="auto"/>
      </w:divBdr>
    </w:div>
    <w:div w:id="1764690957">
      <w:bodyDiv w:val="1"/>
      <w:marLeft w:val="0"/>
      <w:marRight w:val="0"/>
      <w:marTop w:val="0"/>
      <w:marBottom w:val="0"/>
      <w:divBdr>
        <w:top w:val="none" w:sz="0" w:space="0" w:color="auto"/>
        <w:left w:val="none" w:sz="0" w:space="0" w:color="auto"/>
        <w:bottom w:val="none" w:sz="0" w:space="0" w:color="auto"/>
        <w:right w:val="none" w:sz="0" w:space="0" w:color="auto"/>
      </w:divBdr>
    </w:div>
    <w:div w:id="1764718786">
      <w:bodyDiv w:val="1"/>
      <w:marLeft w:val="0"/>
      <w:marRight w:val="0"/>
      <w:marTop w:val="0"/>
      <w:marBottom w:val="0"/>
      <w:divBdr>
        <w:top w:val="none" w:sz="0" w:space="0" w:color="auto"/>
        <w:left w:val="none" w:sz="0" w:space="0" w:color="auto"/>
        <w:bottom w:val="none" w:sz="0" w:space="0" w:color="auto"/>
        <w:right w:val="none" w:sz="0" w:space="0" w:color="auto"/>
      </w:divBdr>
    </w:div>
    <w:div w:id="1764763726">
      <w:bodyDiv w:val="1"/>
      <w:marLeft w:val="0"/>
      <w:marRight w:val="0"/>
      <w:marTop w:val="0"/>
      <w:marBottom w:val="0"/>
      <w:divBdr>
        <w:top w:val="none" w:sz="0" w:space="0" w:color="auto"/>
        <w:left w:val="none" w:sz="0" w:space="0" w:color="auto"/>
        <w:bottom w:val="none" w:sz="0" w:space="0" w:color="auto"/>
        <w:right w:val="none" w:sz="0" w:space="0" w:color="auto"/>
      </w:divBdr>
    </w:div>
    <w:div w:id="1764834313">
      <w:bodyDiv w:val="1"/>
      <w:marLeft w:val="0"/>
      <w:marRight w:val="0"/>
      <w:marTop w:val="0"/>
      <w:marBottom w:val="0"/>
      <w:divBdr>
        <w:top w:val="none" w:sz="0" w:space="0" w:color="auto"/>
        <w:left w:val="none" w:sz="0" w:space="0" w:color="auto"/>
        <w:bottom w:val="none" w:sz="0" w:space="0" w:color="auto"/>
        <w:right w:val="none" w:sz="0" w:space="0" w:color="auto"/>
      </w:divBdr>
    </w:div>
    <w:div w:id="1764838198">
      <w:bodyDiv w:val="1"/>
      <w:marLeft w:val="0"/>
      <w:marRight w:val="0"/>
      <w:marTop w:val="0"/>
      <w:marBottom w:val="0"/>
      <w:divBdr>
        <w:top w:val="none" w:sz="0" w:space="0" w:color="auto"/>
        <w:left w:val="none" w:sz="0" w:space="0" w:color="auto"/>
        <w:bottom w:val="none" w:sz="0" w:space="0" w:color="auto"/>
        <w:right w:val="none" w:sz="0" w:space="0" w:color="auto"/>
      </w:divBdr>
    </w:div>
    <w:div w:id="1764842933">
      <w:bodyDiv w:val="1"/>
      <w:marLeft w:val="0"/>
      <w:marRight w:val="0"/>
      <w:marTop w:val="0"/>
      <w:marBottom w:val="0"/>
      <w:divBdr>
        <w:top w:val="none" w:sz="0" w:space="0" w:color="auto"/>
        <w:left w:val="none" w:sz="0" w:space="0" w:color="auto"/>
        <w:bottom w:val="none" w:sz="0" w:space="0" w:color="auto"/>
        <w:right w:val="none" w:sz="0" w:space="0" w:color="auto"/>
      </w:divBdr>
    </w:div>
    <w:div w:id="1764953349">
      <w:bodyDiv w:val="1"/>
      <w:marLeft w:val="0"/>
      <w:marRight w:val="0"/>
      <w:marTop w:val="0"/>
      <w:marBottom w:val="0"/>
      <w:divBdr>
        <w:top w:val="none" w:sz="0" w:space="0" w:color="auto"/>
        <w:left w:val="none" w:sz="0" w:space="0" w:color="auto"/>
        <w:bottom w:val="none" w:sz="0" w:space="0" w:color="auto"/>
        <w:right w:val="none" w:sz="0" w:space="0" w:color="auto"/>
      </w:divBdr>
    </w:div>
    <w:div w:id="1764955968">
      <w:bodyDiv w:val="1"/>
      <w:marLeft w:val="0"/>
      <w:marRight w:val="0"/>
      <w:marTop w:val="0"/>
      <w:marBottom w:val="0"/>
      <w:divBdr>
        <w:top w:val="none" w:sz="0" w:space="0" w:color="auto"/>
        <w:left w:val="none" w:sz="0" w:space="0" w:color="auto"/>
        <w:bottom w:val="none" w:sz="0" w:space="0" w:color="auto"/>
        <w:right w:val="none" w:sz="0" w:space="0" w:color="auto"/>
      </w:divBdr>
    </w:div>
    <w:div w:id="1764960629">
      <w:bodyDiv w:val="1"/>
      <w:marLeft w:val="0"/>
      <w:marRight w:val="0"/>
      <w:marTop w:val="0"/>
      <w:marBottom w:val="0"/>
      <w:divBdr>
        <w:top w:val="none" w:sz="0" w:space="0" w:color="auto"/>
        <w:left w:val="none" w:sz="0" w:space="0" w:color="auto"/>
        <w:bottom w:val="none" w:sz="0" w:space="0" w:color="auto"/>
        <w:right w:val="none" w:sz="0" w:space="0" w:color="auto"/>
      </w:divBdr>
    </w:div>
    <w:div w:id="1765147615">
      <w:bodyDiv w:val="1"/>
      <w:marLeft w:val="0"/>
      <w:marRight w:val="0"/>
      <w:marTop w:val="0"/>
      <w:marBottom w:val="0"/>
      <w:divBdr>
        <w:top w:val="none" w:sz="0" w:space="0" w:color="auto"/>
        <w:left w:val="none" w:sz="0" w:space="0" w:color="auto"/>
        <w:bottom w:val="none" w:sz="0" w:space="0" w:color="auto"/>
        <w:right w:val="none" w:sz="0" w:space="0" w:color="auto"/>
      </w:divBdr>
    </w:div>
    <w:div w:id="1765344511">
      <w:bodyDiv w:val="1"/>
      <w:marLeft w:val="0"/>
      <w:marRight w:val="0"/>
      <w:marTop w:val="0"/>
      <w:marBottom w:val="0"/>
      <w:divBdr>
        <w:top w:val="none" w:sz="0" w:space="0" w:color="auto"/>
        <w:left w:val="none" w:sz="0" w:space="0" w:color="auto"/>
        <w:bottom w:val="none" w:sz="0" w:space="0" w:color="auto"/>
        <w:right w:val="none" w:sz="0" w:space="0" w:color="auto"/>
      </w:divBdr>
    </w:div>
    <w:div w:id="1765420051">
      <w:bodyDiv w:val="1"/>
      <w:marLeft w:val="0"/>
      <w:marRight w:val="0"/>
      <w:marTop w:val="0"/>
      <w:marBottom w:val="0"/>
      <w:divBdr>
        <w:top w:val="none" w:sz="0" w:space="0" w:color="auto"/>
        <w:left w:val="none" w:sz="0" w:space="0" w:color="auto"/>
        <w:bottom w:val="none" w:sz="0" w:space="0" w:color="auto"/>
        <w:right w:val="none" w:sz="0" w:space="0" w:color="auto"/>
      </w:divBdr>
    </w:div>
    <w:div w:id="1765421871">
      <w:bodyDiv w:val="1"/>
      <w:marLeft w:val="0"/>
      <w:marRight w:val="0"/>
      <w:marTop w:val="0"/>
      <w:marBottom w:val="0"/>
      <w:divBdr>
        <w:top w:val="none" w:sz="0" w:space="0" w:color="auto"/>
        <w:left w:val="none" w:sz="0" w:space="0" w:color="auto"/>
        <w:bottom w:val="none" w:sz="0" w:space="0" w:color="auto"/>
        <w:right w:val="none" w:sz="0" w:space="0" w:color="auto"/>
      </w:divBdr>
    </w:div>
    <w:div w:id="1765496198">
      <w:bodyDiv w:val="1"/>
      <w:marLeft w:val="0"/>
      <w:marRight w:val="0"/>
      <w:marTop w:val="0"/>
      <w:marBottom w:val="0"/>
      <w:divBdr>
        <w:top w:val="none" w:sz="0" w:space="0" w:color="auto"/>
        <w:left w:val="none" w:sz="0" w:space="0" w:color="auto"/>
        <w:bottom w:val="none" w:sz="0" w:space="0" w:color="auto"/>
        <w:right w:val="none" w:sz="0" w:space="0" w:color="auto"/>
      </w:divBdr>
    </w:div>
    <w:div w:id="1765568441">
      <w:bodyDiv w:val="1"/>
      <w:marLeft w:val="0"/>
      <w:marRight w:val="0"/>
      <w:marTop w:val="0"/>
      <w:marBottom w:val="0"/>
      <w:divBdr>
        <w:top w:val="none" w:sz="0" w:space="0" w:color="auto"/>
        <w:left w:val="none" w:sz="0" w:space="0" w:color="auto"/>
        <w:bottom w:val="none" w:sz="0" w:space="0" w:color="auto"/>
        <w:right w:val="none" w:sz="0" w:space="0" w:color="auto"/>
      </w:divBdr>
    </w:div>
    <w:div w:id="1765611902">
      <w:bodyDiv w:val="1"/>
      <w:marLeft w:val="0"/>
      <w:marRight w:val="0"/>
      <w:marTop w:val="0"/>
      <w:marBottom w:val="0"/>
      <w:divBdr>
        <w:top w:val="none" w:sz="0" w:space="0" w:color="auto"/>
        <w:left w:val="none" w:sz="0" w:space="0" w:color="auto"/>
        <w:bottom w:val="none" w:sz="0" w:space="0" w:color="auto"/>
        <w:right w:val="none" w:sz="0" w:space="0" w:color="auto"/>
      </w:divBdr>
    </w:div>
    <w:div w:id="1765878329">
      <w:bodyDiv w:val="1"/>
      <w:marLeft w:val="0"/>
      <w:marRight w:val="0"/>
      <w:marTop w:val="0"/>
      <w:marBottom w:val="0"/>
      <w:divBdr>
        <w:top w:val="none" w:sz="0" w:space="0" w:color="auto"/>
        <w:left w:val="none" w:sz="0" w:space="0" w:color="auto"/>
        <w:bottom w:val="none" w:sz="0" w:space="0" w:color="auto"/>
        <w:right w:val="none" w:sz="0" w:space="0" w:color="auto"/>
      </w:divBdr>
    </w:div>
    <w:div w:id="1765879973">
      <w:bodyDiv w:val="1"/>
      <w:marLeft w:val="0"/>
      <w:marRight w:val="0"/>
      <w:marTop w:val="0"/>
      <w:marBottom w:val="0"/>
      <w:divBdr>
        <w:top w:val="none" w:sz="0" w:space="0" w:color="auto"/>
        <w:left w:val="none" w:sz="0" w:space="0" w:color="auto"/>
        <w:bottom w:val="none" w:sz="0" w:space="0" w:color="auto"/>
        <w:right w:val="none" w:sz="0" w:space="0" w:color="auto"/>
      </w:divBdr>
    </w:div>
    <w:div w:id="1765881049">
      <w:bodyDiv w:val="1"/>
      <w:marLeft w:val="0"/>
      <w:marRight w:val="0"/>
      <w:marTop w:val="0"/>
      <w:marBottom w:val="0"/>
      <w:divBdr>
        <w:top w:val="none" w:sz="0" w:space="0" w:color="auto"/>
        <w:left w:val="none" w:sz="0" w:space="0" w:color="auto"/>
        <w:bottom w:val="none" w:sz="0" w:space="0" w:color="auto"/>
        <w:right w:val="none" w:sz="0" w:space="0" w:color="auto"/>
      </w:divBdr>
    </w:div>
    <w:div w:id="1766028619">
      <w:bodyDiv w:val="1"/>
      <w:marLeft w:val="0"/>
      <w:marRight w:val="0"/>
      <w:marTop w:val="0"/>
      <w:marBottom w:val="0"/>
      <w:divBdr>
        <w:top w:val="none" w:sz="0" w:space="0" w:color="auto"/>
        <w:left w:val="none" w:sz="0" w:space="0" w:color="auto"/>
        <w:bottom w:val="none" w:sz="0" w:space="0" w:color="auto"/>
        <w:right w:val="none" w:sz="0" w:space="0" w:color="auto"/>
      </w:divBdr>
    </w:div>
    <w:div w:id="1766146510">
      <w:bodyDiv w:val="1"/>
      <w:marLeft w:val="0"/>
      <w:marRight w:val="0"/>
      <w:marTop w:val="0"/>
      <w:marBottom w:val="0"/>
      <w:divBdr>
        <w:top w:val="none" w:sz="0" w:space="0" w:color="auto"/>
        <w:left w:val="none" w:sz="0" w:space="0" w:color="auto"/>
        <w:bottom w:val="none" w:sz="0" w:space="0" w:color="auto"/>
        <w:right w:val="none" w:sz="0" w:space="0" w:color="auto"/>
      </w:divBdr>
    </w:div>
    <w:div w:id="1766151829">
      <w:bodyDiv w:val="1"/>
      <w:marLeft w:val="0"/>
      <w:marRight w:val="0"/>
      <w:marTop w:val="0"/>
      <w:marBottom w:val="0"/>
      <w:divBdr>
        <w:top w:val="none" w:sz="0" w:space="0" w:color="auto"/>
        <w:left w:val="none" w:sz="0" w:space="0" w:color="auto"/>
        <w:bottom w:val="none" w:sz="0" w:space="0" w:color="auto"/>
        <w:right w:val="none" w:sz="0" w:space="0" w:color="auto"/>
      </w:divBdr>
    </w:div>
    <w:div w:id="1766227439">
      <w:bodyDiv w:val="1"/>
      <w:marLeft w:val="0"/>
      <w:marRight w:val="0"/>
      <w:marTop w:val="0"/>
      <w:marBottom w:val="0"/>
      <w:divBdr>
        <w:top w:val="none" w:sz="0" w:space="0" w:color="auto"/>
        <w:left w:val="none" w:sz="0" w:space="0" w:color="auto"/>
        <w:bottom w:val="none" w:sz="0" w:space="0" w:color="auto"/>
        <w:right w:val="none" w:sz="0" w:space="0" w:color="auto"/>
      </w:divBdr>
    </w:div>
    <w:div w:id="1766263475">
      <w:bodyDiv w:val="1"/>
      <w:marLeft w:val="0"/>
      <w:marRight w:val="0"/>
      <w:marTop w:val="0"/>
      <w:marBottom w:val="0"/>
      <w:divBdr>
        <w:top w:val="none" w:sz="0" w:space="0" w:color="auto"/>
        <w:left w:val="none" w:sz="0" w:space="0" w:color="auto"/>
        <w:bottom w:val="none" w:sz="0" w:space="0" w:color="auto"/>
        <w:right w:val="none" w:sz="0" w:space="0" w:color="auto"/>
      </w:divBdr>
    </w:div>
    <w:div w:id="1766344457">
      <w:bodyDiv w:val="1"/>
      <w:marLeft w:val="0"/>
      <w:marRight w:val="0"/>
      <w:marTop w:val="0"/>
      <w:marBottom w:val="0"/>
      <w:divBdr>
        <w:top w:val="none" w:sz="0" w:space="0" w:color="auto"/>
        <w:left w:val="none" w:sz="0" w:space="0" w:color="auto"/>
        <w:bottom w:val="none" w:sz="0" w:space="0" w:color="auto"/>
        <w:right w:val="none" w:sz="0" w:space="0" w:color="auto"/>
      </w:divBdr>
    </w:div>
    <w:div w:id="1766345155">
      <w:bodyDiv w:val="1"/>
      <w:marLeft w:val="0"/>
      <w:marRight w:val="0"/>
      <w:marTop w:val="0"/>
      <w:marBottom w:val="0"/>
      <w:divBdr>
        <w:top w:val="none" w:sz="0" w:space="0" w:color="auto"/>
        <w:left w:val="none" w:sz="0" w:space="0" w:color="auto"/>
        <w:bottom w:val="none" w:sz="0" w:space="0" w:color="auto"/>
        <w:right w:val="none" w:sz="0" w:space="0" w:color="auto"/>
      </w:divBdr>
    </w:div>
    <w:div w:id="1766458642">
      <w:bodyDiv w:val="1"/>
      <w:marLeft w:val="0"/>
      <w:marRight w:val="0"/>
      <w:marTop w:val="0"/>
      <w:marBottom w:val="0"/>
      <w:divBdr>
        <w:top w:val="none" w:sz="0" w:space="0" w:color="auto"/>
        <w:left w:val="none" w:sz="0" w:space="0" w:color="auto"/>
        <w:bottom w:val="none" w:sz="0" w:space="0" w:color="auto"/>
        <w:right w:val="none" w:sz="0" w:space="0" w:color="auto"/>
      </w:divBdr>
    </w:div>
    <w:div w:id="1766462716">
      <w:bodyDiv w:val="1"/>
      <w:marLeft w:val="0"/>
      <w:marRight w:val="0"/>
      <w:marTop w:val="0"/>
      <w:marBottom w:val="0"/>
      <w:divBdr>
        <w:top w:val="none" w:sz="0" w:space="0" w:color="auto"/>
        <w:left w:val="none" w:sz="0" w:space="0" w:color="auto"/>
        <w:bottom w:val="none" w:sz="0" w:space="0" w:color="auto"/>
        <w:right w:val="none" w:sz="0" w:space="0" w:color="auto"/>
      </w:divBdr>
    </w:div>
    <w:div w:id="1766729004">
      <w:bodyDiv w:val="1"/>
      <w:marLeft w:val="0"/>
      <w:marRight w:val="0"/>
      <w:marTop w:val="0"/>
      <w:marBottom w:val="0"/>
      <w:divBdr>
        <w:top w:val="none" w:sz="0" w:space="0" w:color="auto"/>
        <w:left w:val="none" w:sz="0" w:space="0" w:color="auto"/>
        <w:bottom w:val="none" w:sz="0" w:space="0" w:color="auto"/>
        <w:right w:val="none" w:sz="0" w:space="0" w:color="auto"/>
      </w:divBdr>
    </w:div>
    <w:div w:id="1766799890">
      <w:bodyDiv w:val="1"/>
      <w:marLeft w:val="0"/>
      <w:marRight w:val="0"/>
      <w:marTop w:val="0"/>
      <w:marBottom w:val="0"/>
      <w:divBdr>
        <w:top w:val="none" w:sz="0" w:space="0" w:color="auto"/>
        <w:left w:val="none" w:sz="0" w:space="0" w:color="auto"/>
        <w:bottom w:val="none" w:sz="0" w:space="0" w:color="auto"/>
        <w:right w:val="none" w:sz="0" w:space="0" w:color="auto"/>
      </w:divBdr>
    </w:div>
    <w:div w:id="1766808167">
      <w:bodyDiv w:val="1"/>
      <w:marLeft w:val="0"/>
      <w:marRight w:val="0"/>
      <w:marTop w:val="0"/>
      <w:marBottom w:val="0"/>
      <w:divBdr>
        <w:top w:val="none" w:sz="0" w:space="0" w:color="auto"/>
        <w:left w:val="none" w:sz="0" w:space="0" w:color="auto"/>
        <w:bottom w:val="none" w:sz="0" w:space="0" w:color="auto"/>
        <w:right w:val="none" w:sz="0" w:space="0" w:color="auto"/>
      </w:divBdr>
    </w:div>
    <w:div w:id="1766875392">
      <w:bodyDiv w:val="1"/>
      <w:marLeft w:val="0"/>
      <w:marRight w:val="0"/>
      <w:marTop w:val="0"/>
      <w:marBottom w:val="0"/>
      <w:divBdr>
        <w:top w:val="none" w:sz="0" w:space="0" w:color="auto"/>
        <w:left w:val="none" w:sz="0" w:space="0" w:color="auto"/>
        <w:bottom w:val="none" w:sz="0" w:space="0" w:color="auto"/>
        <w:right w:val="none" w:sz="0" w:space="0" w:color="auto"/>
      </w:divBdr>
    </w:div>
    <w:div w:id="1766879460">
      <w:bodyDiv w:val="1"/>
      <w:marLeft w:val="0"/>
      <w:marRight w:val="0"/>
      <w:marTop w:val="0"/>
      <w:marBottom w:val="0"/>
      <w:divBdr>
        <w:top w:val="none" w:sz="0" w:space="0" w:color="auto"/>
        <w:left w:val="none" w:sz="0" w:space="0" w:color="auto"/>
        <w:bottom w:val="none" w:sz="0" w:space="0" w:color="auto"/>
        <w:right w:val="none" w:sz="0" w:space="0" w:color="auto"/>
      </w:divBdr>
    </w:div>
    <w:div w:id="1766918181">
      <w:bodyDiv w:val="1"/>
      <w:marLeft w:val="0"/>
      <w:marRight w:val="0"/>
      <w:marTop w:val="0"/>
      <w:marBottom w:val="0"/>
      <w:divBdr>
        <w:top w:val="none" w:sz="0" w:space="0" w:color="auto"/>
        <w:left w:val="none" w:sz="0" w:space="0" w:color="auto"/>
        <w:bottom w:val="none" w:sz="0" w:space="0" w:color="auto"/>
        <w:right w:val="none" w:sz="0" w:space="0" w:color="auto"/>
      </w:divBdr>
    </w:div>
    <w:div w:id="1766924465">
      <w:bodyDiv w:val="1"/>
      <w:marLeft w:val="0"/>
      <w:marRight w:val="0"/>
      <w:marTop w:val="0"/>
      <w:marBottom w:val="0"/>
      <w:divBdr>
        <w:top w:val="none" w:sz="0" w:space="0" w:color="auto"/>
        <w:left w:val="none" w:sz="0" w:space="0" w:color="auto"/>
        <w:bottom w:val="none" w:sz="0" w:space="0" w:color="auto"/>
        <w:right w:val="none" w:sz="0" w:space="0" w:color="auto"/>
      </w:divBdr>
    </w:div>
    <w:div w:id="1766993419">
      <w:bodyDiv w:val="1"/>
      <w:marLeft w:val="0"/>
      <w:marRight w:val="0"/>
      <w:marTop w:val="0"/>
      <w:marBottom w:val="0"/>
      <w:divBdr>
        <w:top w:val="none" w:sz="0" w:space="0" w:color="auto"/>
        <w:left w:val="none" w:sz="0" w:space="0" w:color="auto"/>
        <w:bottom w:val="none" w:sz="0" w:space="0" w:color="auto"/>
        <w:right w:val="none" w:sz="0" w:space="0" w:color="auto"/>
      </w:divBdr>
    </w:div>
    <w:div w:id="1766996463">
      <w:bodyDiv w:val="1"/>
      <w:marLeft w:val="0"/>
      <w:marRight w:val="0"/>
      <w:marTop w:val="0"/>
      <w:marBottom w:val="0"/>
      <w:divBdr>
        <w:top w:val="none" w:sz="0" w:space="0" w:color="auto"/>
        <w:left w:val="none" w:sz="0" w:space="0" w:color="auto"/>
        <w:bottom w:val="none" w:sz="0" w:space="0" w:color="auto"/>
        <w:right w:val="none" w:sz="0" w:space="0" w:color="auto"/>
      </w:divBdr>
    </w:div>
    <w:div w:id="1767313288">
      <w:bodyDiv w:val="1"/>
      <w:marLeft w:val="0"/>
      <w:marRight w:val="0"/>
      <w:marTop w:val="0"/>
      <w:marBottom w:val="0"/>
      <w:divBdr>
        <w:top w:val="none" w:sz="0" w:space="0" w:color="auto"/>
        <w:left w:val="none" w:sz="0" w:space="0" w:color="auto"/>
        <w:bottom w:val="none" w:sz="0" w:space="0" w:color="auto"/>
        <w:right w:val="none" w:sz="0" w:space="0" w:color="auto"/>
      </w:divBdr>
    </w:div>
    <w:div w:id="1767338339">
      <w:bodyDiv w:val="1"/>
      <w:marLeft w:val="0"/>
      <w:marRight w:val="0"/>
      <w:marTop w:val="0"/>
      <w:marBottom w:val="0"/>
      <w:divBdr>
        <w:top w:val="none" w:sz="0" w:space="0" w:color="auto"/>
        <w:left w:val="none" w:sz="0" w:space="0" w:color="auto"/>
        <w:bottom w:val="none" w:sz="0" w:space="0" w:color="auto"/>
        <w:right w:val="none" w:sz="0" w:space="0" w:color="auto"/>
      </w:divBdr>
    </w:div>
    <w:div w:id="1767532316">
      <w:bodyDiv w:val="1"/>
      <w:marLeft w:val="0"/>
      <w:marRight w:val="0"/>
      <w:marTop w:val="0"/>
      <w:marBottom w:val="0"/>
      <w:divBdr>
        <w:top w:val="none" w:sz="0" w:space="0" w:color="auto"/>
        <w:left w:val="none" w:sz="0" w:space="0" w:color="auto"/>
        <w:bottom w:val="none" w:sz="0" w:space="0" w:color="auto"/>
        <w:right w:val="none" w:sz="0" w:space="0" w:color="auto"/>
      </w:divBdr>
    </w:div>
    <w:div w:id="1767656445">
      <w:bodyDiv w:val="1"/>
      <w:marLeft w:val="0"/>
      <w:marRight w:val="0"/>
      <w:marTop w:val="0"/>
      <w:marBottom w:val="0"/>
      <w:divBdr>
        <w:top w:val="none" w:sz="0" w:space="0" w:color="auto"/>
        <w:left w:val="none" w:sz="0" w:space="0" w:color="auto"/>
        <w:bottom w:val="none" w:sz="0" w:space="0" w:color="auto"/>
        <w:right w:val="none" w:sz="0" w:space="0" w:color="auto"/>
      </w:divBdr>
    </w:div>
    <w:div w:id="1767657047">
      <w:bodyDiv w:val="1"/>
      <w:marLeft w:val="0"/>
      <w:marRight w:val="0"/>
      <w:marTop w:val="0"/>
      <w:marBottom w:val="0"/>
      <w:divBdr>
        <w:top w:val="none" w:sz="0" w:space="0" w:color="auto"/>
        <w:left w:val="none" w:sz="0" w:space="0" w:color="auto"/>
        <w:bottom w:val="none" w:sz="0" w:space="0" w:color="auto"/>
        <w:right w:val="none" w:sz="0" w:space="0" w:color="auto"/>
      </w:divBdr>
    </w:div>
    <w:div w:id="1767726793">
      <w:bodyDiv w:val="1"/>
      <w:marLeft w:val="0"/>
      <w:marRight w:val="0"/>
      <w:marTop w:val="0"/>
      <w:marBottom w:val="0"/>
      <w:divBdr>
        <w:top w:val="none" w:sz="0" w:space="0" w:color="auto"/>
        <w:left w:val="none" w:sz="0" w:space="0" w:color="auto"/>
        <w:bottom w:val="none" w:sz="0" w:space="0" w:color="auto"/>
        <w:right w:val="none" w:sz="0" w:space="0" w:color="auto"/>
      </w:divBdr>
    </w:div>
    <w:div w:id="1767728299">
      <w:bodyDiv w:val="1"/>
      <w:marLeft w:val="0"/>
      <w:marRight w:val="0"/>
      <w:marTop w:val="0"/>
      <w:marBottom w:val="0"/>
      <w:divBdr>
        <w:top w:val="none" w:sz="0" w:space="0" w:color="auto"/>
        <w:left w:val="none" w:sz="0" w:space="0" w:color="auto"/>
        <w:bottom w:val="none" w:sz="0" w:space="0" w:color="auto"/>
        <w:right w:val="none" w:sz="0" w:space="0" w:color="auto"/>
      </w:divBdr>
    </w:div>
    <w:div w:id="1767770933">
      <w:bodyDiv w:val="1"/>
      <w:marLeft w:val="0"/>
      <w:marRight w:val="0"/>
      <w:marTop w:val="0"/>
      <w:marBottom w:val="0"/>
      <w:divBdr>
        <w:top w:val="none" w:sz="0" w:space="0" w:color="auto"/>
        <w:left w:val="none" w:sz="0" w:space="0" w:color="auto"/>
        <w:bottom w:val="none" w:sz="0" w:space="0" w:color="auto"/>
        <w:right w:val="none" w:sz="0" w:space="0" w:color="auto"/>
      </w:divBdr>
    </w:div>
    <w:div w:id="1767841999">
      <w:bodyDiv w:val="1"/>
      <w:marLeft w:val="0"/>
      <w:marRight w:val="0"/>
      <w:marTop w:val="0"/>
      <w:marBottom w:val="0"/>
      <w:divBdr>
        <w:top w:val="none" w:sz="0" w:space="0" w:color="auto"/>
        <w:left w:val="none" w:sz="0" w:space="0" w:color="auto"/>
        <w:bottom w:val="none" w:sz="0" w:space="0" w:color="auto"/>
        <w:right w:val="none" w:sz="0" w:space="0" w:color="auto"/>
      </w:divBdr>
    </w:div>
    <w:div w:id="1767849185">
      <w:bodyDiv w:val="1"/>
      <w:marLeft w:val="0"/>
      <w:marRight w:val="0"/>
      <w:marTop w:val="0"/>
      <w:marBottom w:val="0"/>
      <w:divBdr>
        <w:top w:val="none" w:sz="0" w:space="0" w:color="auto"/>
        <w:left w:val="none" w:sz="0" w:space="0" w:color="auto"/>
        <w:bottom w:val="none" w:sz="0" w:space="0" w:color="auto"/>
        <w:right w:val="none" w:sz="0" w:space="0" w:color="auto"/>
      </w:divBdr>
    </w:div>
    <w:div w:id="1767916213">
      <w:bodyDiv w:val="1"/>
      <w:marLeft w:val="0"/>
      <w:marRight w:val="0"/>
      <w:marTop w:val="0"/>
      <w:marBottom w:val="0"/>
      <w:divBdr>
        <w:top w:val="none" w:sz="0" w:space="0" w:color="auto"/>
        <w:left w:val="none" w:sz="0" w:space="0" w:color="auto"/>
        <w:bottom w:val="none" w:sz="0" w:space="0" w:color="auto"/>
        <w:right w:val="none" w:sz="0" w:space="0" w:color="auto"/>
      </w:divBdr>
    </w:div>
    <w:div w:id="1767918621">
      <w:bodyDiv w:val="1"/>
      <w:marLeft w:val="0"/>
      <w:marRight w:val="0"/>
      <w:marTop w:val="0"/>
      <w:marBottom w:val="0"/>
      <w:divBdr>
        <w:top w:val="none" w:sz="0" w:space="0" w:color="auto"/>
        <w:left w:val="none" w:sz="0" w:space="0" w:color="auto"/>
        <w:bottom w:val="none" w:sz="0" w:space="0" w:color="auto"/>
        <w:right w:val="none" w:sz="0" w:space="0" w:color="auto"/>
      </w:divBdr>
    </w:div>
    <w:div w:id="1767967518">
      <w:bodyDiv w:val="1"/>
      <w:marLeft w:val="0"/>
      <w:marRight w:val="0"/>
      <w:marTop w:val="0"/>
      <w:marBottom w:val="0"/>
      <w:divBdr>
        <w:top w:val="none" w:sz="0" w:space="0" w:color="auto"/>
        <w:left w:val="none" w:sz="0" w:space="0" w:color="auto"/>
        <w:bottom w:val="none" w:sz="0" w:space="0" w:color="auto"/>
        <w:right w:val="none" w:sz="0" w:space="0" w:color="auto"/>
      </w:divBdr>
    </w:div>
    <w:div w:id="1768161513">
      <w:bodyDiv w:val="1"/>
      <w:marLeft w:val="0"/>
      <w:marRight w:val="0"/>
      <w:marTop w:val="0"/>
      <w:marBottom w:val="0"/>
      <w:divBdr>
        <w:top w:val="none" w:sz="0" w:space="0" w:color="auto"/>
        <w:left w:val="none" w:sz="0" w:space="0" w:color="auto"/>
        <w:bottom w:val="none" w:sz="0" w:space="0" w:color="auto"/>
        <w:right w:val="none" w:sz="0" w:space="0" w:color="auto"/>
      </w:divBdr>
    </w:div>
    <w:div w:id="1768230462">
      <w:bodyDiv w:val="1"/>
      <w:marLeft w:val="0"/>
      <w:marRight w:val="0"/>
      <w:marTop w:val="0"/>
      <w:marBottom w:val="0"/>
      <w:divBdr>
        <w:top w:val="none" w:sz="0" w:space="0" w:color="auto"/>
        <w:left w:val="none" w:sz="0" w:space="0" w:color="auto"/>
        <w:bottom w:val="none" w:sz="0" w:space="0" w:color="auto"/>
        <w:right w:val="none" w:sz="0" w:space="0" w:color="auto"/>
      </w:divBdr>
    </w:div>
    <w:div w:id="1768306139">
      <w:bodyDiv w:val="1"/>
      <w:marLeft w:val="0"/>
      <w:marRight w:val="0"/>
      <w:marTop w:val="0"/>
      <w:marBottom w:val="0"/>
      <w:divBdr>
        <w:top w:val="none" w:sz="0" w:space="0" w:color="auto"/>
        <w:left w:val="none" w:sz="0" w:space="0" w:color="auto"/>
        <w:bottom w:val="none" w:sz="0" w:space="0" w:color="auto"/>
        <w:right w:val="none" w:sz="0" w:space="0" w:color="auto"/>
      </w:divBdr>
    </w:div>
    <w:div w:id="1768385606">
      <w:bodyDiv w:val="1"/>
      <w:marLeft w:val="0"/>
      <w:marRight w:val="0"/>
      <w:marTop w:val="0"/>
      <w:marBottom w:val="0"/>
      <w:divBdr>
        <w:top w:val="none" w:sz="0" w:space="0" w:color="auto"/>
        <w:left w:val="none" w:sz="0" w:space="0" w:color="auto"/>
        <w:bottom w:val="none" w:sz="0" w:space="0" w:color="auto"/>
        <w:right w:val="none" w:sz="0" w:space="0" w:color="auto"/>
      </w:divBdr>
    </w:div>
    <w:div w:id="1768573082">
      <w:bodyDiv w:val="1"/>
      <w:marLeft w:val="0"/>
      <w:marRight w:val="0"/>
      <w:marTop w:val="0"/>
      <w:marBottom w:val="0"/>
      <w:divBdr>
        <w:top w:val="none" w:sz="0" w:space="0" w:color="auto"/>
        <w:left w:val="none" w:sz="0" w:space="0" w:color="auto"/>
        <w:bottom w:val="none" w:sz="0" w:space="0" w:color="auto"/>
        <w:right w:val="none" w:sz="0" w:space="0" w:color="auto"/>
      </w:divBdr>
    </w:div>
    <w:div w:id="1768772469">
      <w:bodyDiv w:val="1"/>
      <w:marLeft w:val="0"/>
      <w:marRight w:val="0"/>
      <w:marTop w:val="0"/>
      <w:marBottom w:val="0"/>
      <w:divBdr>
        <w:top w:val="none" w:sz="0" w:space="0" w:color="auto"/>
        <w:left w:val="none" w:sz="0" w:space="0" w:color="auto"/>
        <w:bottom w:val="none" w:sz="0" w:space="0" w:color="auto"/>
        <w:right w:val="none" w:sz="0" w:space="0" w:color="auto"/>
      </w:divBdr>
    </w:div>
    <w:div w:id="1768846164">
      <w:bodyDiv w:val="1"/>
      <w:marLeft w:val="0"/>
      <w:marRight w:val="0"/>
      <w:marTop w:val="0"/>
      <w:marBottom w:val="0"/>
      <w:divBdr>
        <w:top w:val="none" w:sz="0" w:space="0" w:color="auto"/>
        <w:left w:val="none" w:sz="0" w:space="0" w:color="auto"/>
        <w:bottom w:val="none" w:sz="0" w:space="0" w:color="auto"/>
        <w:right w:val="none" w:sz="0" w:space="0" w:color="auto"/>
      </w:divBdr>
    </w:div>
    <w:div w:id="1769234353">
      <w:bodyDiv w:val="1"/>
      <w:marLeft w:val="0"/>
      <w:marRight w:val="0"/>
      <w:marTop w:val="0"/>
      <w:marBottom w:val="0"/>
      <w:divBdr>
        <w:top w:val="none" w:sz="0" w:space="0" w:color="auto"/>
        <w:left w:val="none" w:sz="0" w:space="0" w:color="auto"/>
        <w:bottom w:val="none" w:sz="0" w:space="0" w:color="auto"/>
        <w:right w:val="none" w:sz="0" w:space="0" w:color="auto"/>
      </w:divBdr>
    </w:div>
    <w:div w:id="1769354143">
      <w:bodyDiv w:val="1"/>
      <w:marLeft w:val="0"/>
      <w:marRight w:val="0"/>
      <w:marTop w:val="0"/>
      <w:marBottom w:val="0"/>
      <w:divBdr>
        <w:top w:val="none" w:sz="0" w:space="0" w:color="auto"/>
        <w:left w:val="none" w:sz="0" w:space="0" w:color="auto"/>
        <w:bottom w:val="none" w:sz="0" w:space="0" w:color="auto"/>
        <w:right w:val="none" w:sz="0" w:space="0" w:color="auto"/>
      </w:divBdr>
    </w:div>
    <w:div w:id="1769422432">
      <w:bodyDiv w:val="1"/>
      <w:marLeft w:val="0"/>
      <w:marRight w:val="0"/>
      <w:marTop w:val="0"/>
      <w:marBottom w:val="0"/>
      <w:divBdr>
        <w:top w:val="none" w:sz="0" w:space="0" w:color="auto"/>
        <w:left w:val="none" w:sz="0" w:space="0" w:color="auto"/>
        <w:bottom w:val="none" w:sz="0" w:space="0" w:color="auto"/>
        <w:right w:val="none" w:sz="0" w:space="0" w:color="auto"/>
      </w:divBdr>
    </w:div>
    <w:div w:id="1769537995">
      <w:bodyDiv w:val="1"/>
      <w:marLeft w:val="0"/>
      <w:marRight w:val="0"/>
      <w:marTop w:val="0"/>
      <w:marBottom w:val="0"/>
      <w:divBdr>
        <w:top w:val="none" w:sz="0" w:space="0" w:color="auto"/>
        <w:left w:val="none" w:sz="0" w:space="0" w:color="auto"/>
        <w:bottom w:val="none" w:sz="0" w:space="0" w:color="auto"/>
        <w:right w:val="none" w:sz="0" w:space="0" w:color="auto"/>
      </w:divBdr>
    </w:div>
    <w:div w:id="1769545390">
      <w:bodyDiv w:val="1"/>
      <w:marLeft w:val="0"/>
      <w:marRight w:val="0"/>
      <w:marTop w:val="0"/>
      <w:marBottom w:val="0"/>
      <w:divBdr>
        <w:top w:val="none" w:sz="0" w:space="0" w:color="auto"/>
        <w:left w:val="none" w:sz="0" w:space="0" w:color="auto"/>
        <w:bottom w:val="none" w:sz="0" w:space="0" w:color="auto"/>
        <w:right w:val="none" w:sz="0" w:space="0" w:color="auto"/>
      </w:divBdr>
    </w:div>
    <w:div w:id="1769764416">
      <w:bodyDiv w:val="1"/>
      <w:marLeft w:val="0"/>
      <w:marRight w:val="0"/>
      <w:marTop w:val="0"/>
      <w:marBottom w:val="0"/>
      <w:divBdr>
        <w:top w:val="none" w:sz="0" w:space="0" w:color="auto"/>
        <w:left w:val="none" w:sz="0" w:space="0" w:color="auto"/>
        <w:bottom w:val="none" w:sz="0" w:space="0" w:color="auto"/>
        <w:right w:val="none" w:sz="0" w:space="0" w:color="auto"/>
      </w:divBdr>
    </w:div>
    <w:div w:id="1769766870">
      <w:bodyDiv w:val="1"/>
      <w:marLeft w:val="0"/>
      <w:marRight w:val="0"/>
      <w:marTop w:val="0"/>
      <w:marBottom w:val="0"/>
      <w:divBdr>
        <w:top w:val="none" w:sz="0" w:space="0" w:color="auto"/>
        <w:left w:val="none" w:sz="0" w:space="0" w:color="auto"/>
        <w:bottom w:val="none" w:sz="0" w:space="0" w:color="auto"/>
        <w:right w:val="none" w:sz="0" w:space="0" w:color="auto"/>
      </w:divBdr>
    </w:div>
    <w:div w:id="1769960382">
      <w:bodyDiv w:val="1"/>
      <w:marLeft w:val="0"/>
      <w:marRight w:val="0"/>
      <w:marTop w:val="0"/>
      <w:marBottom w:val="0"/>
      <w:divBdr>
        <w:top w:val="none" w:sz="0" w:space="0" w:color="auto"/>
        <w:left w:val="none" w:sz="0" w:space="0" w:color="auto"/>
        <w:bottom w:val="none" w:sz="0" w:space="0" w:color="auto"/>
        <w:right w:val="none" w:sz="0" w:space="0" w:color="auto"/>
      </w:divBdr>
    </w:div>
    <w:div w:id="1770001509">
      <w:bodyDiv w:val="1"/>
      <w:marLeft w:val="0"/>
      <w:marRight w:val="0"/>
      <w:marTop w:val="0"/>
      <w:marBottom w:val="0"/>
      <w:divBdr>
        <w:top w:val="none" w:sz="0" w:space="0" w:color="auto"/>
        <w:left w:val="none" w:sz="0" w:space="0" w:color="auto"/>
        <w:bottom w:val="none" w:sz="0" w:space="0" w:color="auto"/>
        <w:right w:val="none" w:sz="0" w:space="0" w:color="auto"/>
      </w:divBdr>
    </w:div>
    <w:div w:id="1770004405">
      <w:bodyDiv w:val="1"/>
      <w:marLeft w:val="0"/>
      <w:marRight w:val="0"/>
      <w:marTop w:val="0"/>
      <w:marBottom w:val="0"/>
      <w:divBdr>
        <w:top w:val="none" w:sz="0" w:space="0" w:color="auto"/>
        <w:left w:val="none" w:sz="0" w:space="0" w:color="auto"/>
        <w:bottom w:val="none" w:sz="0" w:space="0" w:color="auto"/>
        <w:right w:val="none" w:sz="0" w:space="0" w:color="auto"/>
      </w:divBdr>
    </w:div>
    <w:div w:id="1770076874">
      <w:bodyDiv w:val="1"/>
      <w:marLeft w:val="0"/>
      <w:marRight w:val="0"/>
      <w:marTop w:val="0"/>
      <w:marBottom w:val="0"/>
      <w:divBdr>
        <w:top w:val="none" w:sz="0" w:space="0" w:color="auto"/>
        <w:left w:val="none" w:sz="0" w:space="0" w:color="auto"/>
        <w:bottom w:val="none" w:sz="0" w:space="0" w:color="auto"/>
        <w:right w:val="none" w:sz="0" w:space="0" w:color="auto"/>
      </w:divBdr>
    </w:div>
    <w:div w:id="1770272742">
      <w:bodyDiv w:val="1"/>
      <w:marLeft w:val="0"/>
      <w:marRight w:val="0"/>
      <w:marTop w:val="0"/>
      <w:marBottom w:val="0"/>
      <w:divBdr>
        <w:top w:val="none" w:sz="0" w:space="0" w:color="auto"/>
        <w:left w:val="none" w:sz="0" w:space="0" w:color="auto"/>
        <w:bottom w:val="none" w:sz="0" w:space="0" w:color="auto"/>
        <w:right w:val="none" w:sz="0" w:space="0" w:color="auto"/>
      </w:divBdr>
    </w:div>
    <w:div w:id="1770346530">
      <w:bodyDiv w:val="1"/>
      <w:marLeft w:val="0"/>
      <w:marRight w:val="0"/>
      <w:marTop w:val="0"/>
      <w:marBottom w:val="0"/>
      <w:divBdr>
        <w:top w:val="none" w:sz="0" w:space="0" w:color="auto"/>
        <w:left w:val="none" w:sz="0" w:space="0" w:color="auto"/>
        <w:bottom w:val="none" w:sz="0" w:space="0" w:color="auto"/>
        <w:right w:val="none" w:sz="0" w:space="0" w:color="auto"/>
      </w:divBdr>
    </w:div>
    <w:div w:id="1770537834">
      <w:bodyDiv w:val="1"/>
      <w:marLeft w:val="0"/>
      <w:marRight w:val="0"/>
      <w:marTop w:val="0"/>
      <w:marBottom w:val="0"/>
      <w:divBdr>
        <w:top w:val="none" w:sz="0" w:space="0" w:color="auto"/>
        <w:left w:val="none" w:sz="0" w:space="0" w:color="auto"/>
        <w:bottom w:val="none" w:sz="0" w:space="0" w:color="auto"/>
        <w:right w:val="none" w:sz="0" w:space="0" w:color="auto"/>
      </w:divBdr>
    </w:div>
    <w:div w:id="1770588359">
      <w:bodyDiv w:val="1"/>
      <w:marLeft w:val="0"/>
      <w:marRight w:val="0"/>
      <w:marTop w:val="0"/>
      <w:marBottom w:val="0"/>
      <w:divBdr>
        <w:top w:val="none" w:sz="0" w:space="0" w:color="auto"/>
        <w:left w:val="none" w:sz="0" w:space="0" w:color="auto"/>
        <w:bottom w:val="none" w:sz="0" w:space="0" w:color="auto"/>
        <w:right w:val="none" w:sz="0" w:space="0" w:color="auto"/>
      </w:divBdr>
    </w:div>
    <w:div w:id="1770657832">
      <w:bodyDiv w:val="1"/>
      <w:marLeft w:val="0"/>
      <w:marRight w:val="0"/>
      <w:marTop w:val="0"/>
      <w:marBottom w:val="0"/>
      <w:divBdr>
        <w:top w:val="none" w:sz="0" w:space="0" w:color="auto"/>
        <w:left w:val="none" w:sz="0" w:space="0" w:color="auto"/>
        <w:bottom w:val="none" w:sz="0" w:space="0" w:color="auto"/>
        <w:right w:val="none" w:sz="0" w:space="0" w:color="auto"/>
      </w:divBdr>
    </w:div>
    <w:div w:id="1770663755">
      <w:bodyDiv w:val="1"/>
      <w:marLeft w:val="0"/>
      <w:marRight w:val="0"/>
      <w:marTop w:val="0"/>
      <w:marBottom w:val="0"/>
      <w:divBdr>
        <w:top w:val="none" w:sz="0" w:space="0" w:color="auto"/>
        <w:left w:val="none" w:sz="0" w:space="0" w:color="auto"/>
        <w:bottom w:val="none" w:sz="0" w:space="0" w:color="auto"/>
        <w:right w:val="none" w:sz="0" w:space="0" w:color="auto"/>
      </w:divBdr>
    </w:div>
    <w:div w:id="1770849864">
      <w:bodyDiv w:val="1"/>
      <w:marLeft w:val="0"/>
      <w:marRight w:val="0"/>
      <w:marTop w:val="0"/>
      <w:marBottom w:val="0"/>
      <w:divBdr>
        <w:top w:val="none" w:sz="0" w:space="0" w:color="auto"/>
        <w:left w:val="none" w:sz="0" w:space="0" w:color="auto"/>
        <w:bottom w:val="none" w:sz="0" w:space="0" w:color="auto"/>
        <w:right w:val="none" w:sz="0" w:space="0" w:color="auto"/>
      </w:divBdr>
    </w:div>
    <w:div w:id="1770853289">
      <w:bodyDiv w:val="1"/>
      <w:marLeft w:val="0"/>
      <w:marRight w:val="0"/>
      <w:marTop w:val="0"/>
      <w:marBottom w:val="0"/>
      <w:divBdr>
        <w:top w:val="none" w:sz="0" w:space="0" w:color="auto"/>
        <w:left w:val="none" w:sz="0" w:space="0" w:color="auto"/>
        <w:bottom w:val="none" w:sz="0" w:space="0" w:color="auto"/>
        <w:right w:val="none" w:sz="0" w:space="0" w:color="auto"/>
      </w:divBdr>
    </w:div>
    <w:div w:id="1770855285">
      <w:bodyDiv w:val="1"/>
      <w:marLeft w:val="0"/>
      <w:marRight w:val="0"/>
      <w:marTop w:val="0"/>
      <w:marBottom w:val="0"/>
      <w:divBdr>
        <w:top w:val="none" w:sz="0" w:space="0" w:color="auto"/>
        <w:left w:val="none" w:sz="0" w:space="0" w:color="auto"/>
        <w:bottom w:val="none" w:sz="0" w:space="0" w:color="auto"/>
        <w:right w:val="none" w:sz="0" w:space="0" w:color="auto"/>
      </w:divBdr>
    </w:div>
    <w:div w:id="1771050336">
      <w:bodyDiv w:val="1"/>
      <w:marLeft w:val="0"/>
      <w:marRight w:val="0"/>
      <w:marTop w:val="0"/>
      <w:marBottom w:val="0"/>
      <w:divBdr>
        <w:top w:val="none" w:sz="0" w:space="0" w:color="auto"/>
        <w:left w:val="none" w:sz="0" w:space="0" w:color="auto"/>
        <w:bottom w:val="none" w:sz="0" w:space="0" w:color="auto"/>
        <w:right w:val="none" w:sz="0" w:space="0" w:color="auto"/>
      </w:divBdr>
    </w:div>
    <w:div w:id="1771076355">
      <w:bodyDiv w:val="1"/>
      <w:marLeft w:val="0"/>
      <w:marRight w:val="0"/>
      <w:marTop w:val="0"/>
      <w:marBottom w:val="0"/>
      <w:divBdr>
        <w:top w:val="none" w:sz="0" w:space="0" w:color="auto"/>
        <w:left w:val="none" w:sz="0" w:space="0" w:color="auto"/>
        <w:bottom w:val="none" w:sz="0" w:space="0" w:color="auto"/>
        <w:right w:val="none" w:sz="0" w:space="0" w:color="auto"/>
      </w:divBdr>
    </w:div>
    <w:div w:id="1771117580">
      <w:bodyDiv w:val="1"/>
      <w:marLeft w:val="0"/>
      <w:marRight w:val="0"/>
      <w:marTop w:val="0"/>
      <w:marBottom w:val="0"/>
      <w:divBdr>
        <w:top w:val="none" w:sz="0" w:space="0" w:color="auto"/>
        <w:left w:val="none" w:sz="0" w:space="0" w:color="auto"/>
        <w:bottom w:val="none" w:sz="0" w:space="0" w:color="auto"/>
        <w:right w:val="none" w:sz="0" w:space="0" w:color="auto"/>
      </w:divBdr>
    </w:div>
    <w:div w:id="1771196454">
      <w:bodyDiv w:val="1"/>
      <w:marLeft w:val="0"/>
      <w:marRight w:val="0"/>
      <w:marTop w:val="0"/>
      <w:marBottom w:val="0"/>
      <w:divBdr>
        <w:top w:val="none" w:sz="0" w:space="0" w:color="auto"/>
        <w:left w:val="none" w:sz="0" w:space="0" w:color="auto"/>
        <w:bottom w:val="none" w:sz="0" w:space="0" w:color="auto"/>
        <w:right w:val="none" w:sz="0" w:space="0" w:color="auto"/>
      </w:divBdr>
    </w:div>
    <w:div w:id="1771199577">
      <w:bodyDiv w:val="1"/>
      <w:marLeft w:val="0"/>
      <w:marRight w:val="0"/>
      <w:marTop w:val="0"/>
      <w:marBottom w:val="0"/>
      <w:divBdr>
        <w:top w:val="none" w:sz="0" w:space="0" w:color="auto"/>
        <w:left w:val="none" w:sz="0" w:space="0" w:color="auto"/>
        <w:bottom w:val="none" w:sz="0" w:space="0" w:color="auto"/>
        <w:right w:val="none" w:sz="0" w:space="0" w:color="auto"/>
      </w:divBdr>
    </w:div>
    <w:div w:id="1771267958">
      <w:bodyDiv w:val="1"/>
      <w:marLeft w:val="0"/>
      <w:marRight w:val="0"/>
      <w:marTop w:val="0"/>
      <w:marBottom w:val="0"/>
      <w:divBdr>
        <w:top w:val="none" w:sz="0" w:space="0" w:color="auto"/>
        <w:left w:val="none" w:sz="0" w:space="0" w:color="auto"/>
        <w:bottom w:val="none" w:sz="0" w:space="0" w:color="auto"/>
        <w:right w:val="none" w:sz="0" w:space="0" w:color="auto"/>
      </w:divBdr>
    </w:div>
    <w:div w:id="1771386209">
      <w:bodyDiv w:val="1"/>
      <w:marLeft w:val="0"/>
      <w:marRight w:val="0"/>
      <w:marTop w:val="0"/>
      <w:marBottom w:val="0"/>
      <w:divBdr>
        <w:top w:val="none" w:sz="0" w:space="0" w:color="auto"/>
        <w:left w:val="none" w:sz="0" w:space="0" w:color="auto"/>
        <w:bottom w:val="none" w:sz="0" w:space="0" w:color="auto"/>
        <w:right w:val="none" w:sz="0" w:space="0" w:color="auto"/>
      </w:divBdr>
    </w:div>
    <w:div w:id="1771466148">
      <w:bodyDiv w:val="1"/>
      <w:marLeft w:val="0"/>
      <w:marRight w:val="0"/>
      <w:marTop w:val="0"/>
      <w:marBottom w:val="0"/>
      <w:divBdr>
        <w:top w:val="none" w:sz="0" w:space="0" w:color="auto"/>
        <w:left w:val="none" w:sz="0" w:space="0" w:color="auto"/>
        <w:bottom w:val="none" w:sz="0" w:space="0" w:color="auto"/>
        <w:right w:val="none" w:sz="0" w:space="0" w:color="auto"/>
      </w:divBdr>
    </w:div>
    <w:div w:id="1771469392">
      <w:bodyDiv w:val="1"/>
      <w:marLeft w:val="0"/>
      <w:marRight w:val="0"/>
      <w:marTop w:val="0"/>
      <w:marBottom w:val="0"/>
      <w:divBdr>
        <w:top w:val="none" w:sz="0" w:space="0" w:color="auto"/>
        <w:left w:val="none" w:sz="0" w:space="0" w:color="auto"/>
        <w:bottom w:val="none" w:sz="0" w:space="0" w:color="auto"/>
        <w:right w:val="none" w:sz="0" w:space="0" w:color="auto"/>
      </w:divBdr>
    </w:div>
    <w:div w:id="1771659254">
      <w:bodyDiv w:val="1"/>
      <w:marLeft w:val="0"/>
      <w:marRight w:val="0"/>
      <w:marTop w:val="0"/>
      <w:marBottom w:val="0"/>
      <w:divBdr>
        <w:top w:val="none" w:sz="0" w:space="0" w:color="auto"/>
        <w:left w:val="none" w:sz="0" w:space="0" w:color="auto"/>
        <w:bottom w:val="none" w:sz="0" w:space="0" w:color="auto"/>
        <w:right w:val="none" w:sz="0" w:space="0" w:color="auto"/>
      </w:divBdr>
    </w:div>
    <w:div w:id="1771660354">
      <w:bodyDiv w:val="1"/>
      <w:marLeft w:val="0"/>
      <w:marRight w:val="0"/>
      <w:marTop w:val="0"/>
      <w:marBottom w:val="0"/>
      <w:divBdr>
        <w:top w:val="none" w:sz="0" w:space="0" w:color="auto"/>
        <w:left w:val="none" w:sz="0" w:space="0" w:color="auto"/>
        <w:bottom w:val="none" w:sz="0" w:space="0" w:color="auto"/>
        <w:right w:val="none" w:sz="0" w:space="0" w:color="auto"/>
      </w:divBdr>
    </w:div>
    <w:div w:id="1771664030">
      <w:bodyDiv w:val="1"/>
      <w:marLeft w:val="0"/>
      <w:marRight w:val="0"/>
      <w:marTop w:val="0"/>
      <w:marBottom w:val="0"/>
      <w:divBdr>
        <w:top w:val="none" w:sz="0" w:space="0" w:color="auto"/>
        <w:left w:val="none" w:sz="0" w:space="0" w:color="auto"/>
        <w:bottom w:val="none" w:sz="0" w:space="0" w:color="auto"/>
        <w:right w:val="none" w:sz="0" w:space="0" w:color="auto"/>
      </w:divBdr>
    </w:div>
    <w:div w:id="1771704923">
      <w:bodyDiv w:val="1"/>
      <w:marLeft w:val="0"/>
      <w:marRight w:val="0"/>
      <w:marTop w:val="0"/>
      <w:marBottom w:val="0"/>
      <w:divBdr>
        <w:top w:val="none" w:sz="0" w:space="0" w:color="auto"/>
        <w:left w:val="none" w:sz="0" w:space="0" w:color="auto"/>
        <w:bottom w:val="none" w:sz="0" w:space="0" w:color="auto"/>
        <w:right w:val="none" w:sz="0" w:space="0" w:color="auto"/>
      </w:divBdr>
    </w:div>
    <w:div w:id="1772163553">
      <w:bodyDiv w:val="1"/>
      <w:marLeft w:val="0"/>
      <w:marRight w:val="0"/>
      <w:marTop w:val="0"/>
      <w:marBottom w:val="0"/>
      <w:divBdr>
        <w:top w:val="none" w:sz="0" w:space="0" w:color="auto"/>
        <w:left w:val="none" w:sz="0" w:space="0" w:color="auto"/>
        <w:bottom w:val="none" w:sz="0" w:space="0" w:color="auto"/>
        <w:right w:val="none" w:sz="0" w:space="0" w:color="auto"/>
      </w:divBdr>
    </w:div>
    <w:div w:id="1772164948">
      <w:bodyDiv w:val="1"/>
      <w:marLeft w:val="0"/>
      <w:marRight w:val="0"/>
      <w:marTop w:val="0"/>
      <w:marBottom w:val="0"/>
      <w:divBdr>
        <w:top w:val="none" w:sz="0" w:space="0" w:color="auto"/>
        <w:left w:val="none" w:sz="0" w:space="0" w:color="auto"/>
        <w:bottom w:val="none" w:sz="0" w:space="0" w:color="auto"/>
        <w:right w:val="none" w:sz="0" w:space="0" w:color="auto"/>
      </w:divBdr>
    </w:div>
    <w:div w:id="1772235413">
      <w:bodyDiv w:val="1"/>
      <w:marLeft w:val="0"/>
      <w:marRight w:val="0"/>
      <w:marTop w:val="0"/>
      <w:marBottom w:val="0"/>
      <w:divBdr>
        <w:top w:val="none" w:sz="0" w:space="0" w:color="auto"/>
        <w:left w:val="none" w:sz="0" w:space="0" w:color="auto"/>
        <w:bottom w:val="none" w:sz="0" w:space="0" w:color="auto"/>
        <w:right w:val="none" w:sz="0" w:space="0" w:color="auto"/>
      </w:divBdr>
    </w:div>
    <w:div w:id="1772360710">
      <w:bodyDiv w:val="1"/>
      <w:marLeft w:val="0"/>
      <w:marRight w:val="0"/>
      <w:marTop w:val="0"/>
      <w:marBottom w:val="0"/>
      <w:divBdr>
        <w:top w:val="none" w:sz="0" w:space="0" w:color="auto"/>
        <w:left w:val="none" w:sz="0" w:space="0" w:color="auto"/>
        <w:bottom w:val="none" w:sz="0" w:space="0" w:color="auto"/>
        <w:right w:val="none" w:sz="0" w:space="0" w:color="auto"/>
      </w:divBdr>
    </w:div>
    <w:div w:id="1772432950">
      <w:bodyDiv w:val="1"/>
      <w:marLeft w:val="0"/>
      <w:marRight w:val="0"/>
      <w:marTop w:val="0"/>
      <w:marBottom w:val="0"/>
      <w:divBdr>
        <w:top w:val="none" w:sz="0" w:space="0" w:color="auto"/>
        <w:left w:val="none" w:sz="0" w:space="0" w:color="auto"/>
        <w:bottom w:val="none" w:sz="0" w:space="0" w:color="auto"/>
        <w:right w:val="none" w:sz="0" w:space="0" w:color="auto"/>
      </w:divBdr>
    </w:div>
    <w:div w:id="1772580551">
      <w:bodyDiv w:val="1"/>
      <w:marLeft w:val="0"/>
      <w:marRight w:val="0"/>
      <w:marTop w:val="0"/>
      <w:marBottom w:val="0"/>
      <w:divBdr>
        <w:top w:val="none" w:sz="0" w:space="0" w:color="auto"/>
        <w:left w:val="none" w:sz="0" w:space="0" w:color="auto"/>
        <w:bottom w:val="none" w:sz="0" w:space="0" w:color="auto"/>
        <w:right w:val="none" w:sz="0" w:space="0" w:color="auto"/>
      </w:divBdr>
    </w:div>
    <w:div w:id="1772581256">
      <w:bodyDiv w:val="1"/>
      <w:marLeft w:val="0"/>
      <w:marRight w:val="0"/>
      <w:marTop w:val="0"/>
      <w:marBottom w:val="0"/>
      <w:divBdr>
        <w:top w:val="none" w:sz="0" w:space="0" w:color="auto"/>
        <w:left w:val="none" w:sz="0" w:space="0" w:color="auto"/>
        <w:bottom w:val="none" w:sz="0" w:space="0" w:color="auto"/>
        <w:right w:val="none" w:sz="0" w:space="0" w:color="auto"/>
      </w:divBdr>
    </w:div>
    <w:div w:id="1772627243">
      <w:bodyDiv w:val="1"/>
      <w:marLeft w:val="0"/>
      <w:marRight w:val="0"/>
      <w:marTop w:val="0"/>
      <w:marBottom w:val="0"/>
      <w:divBdr>
        <w:top w:val="none" w:sz="0" w:space="0" w:color="auto"/>
        <w:left w:val="none" w:sz="0" w:space="0" w:color="auto"/>
        <w:bottom w:val="none" w:sz="0" w:space="0" w:color="auto"/>
        <w:right w:val="none" w:sz="0" w:space="0" w:color="auto"/>
      </w:divBdr>
    </w:div>
    <w:div w:id="1772629073">
      <w:bodyDiv w:val="1"/>
      <w:marLeft w:val="0"/>
      <w:marRight w:val="0"/>
      <w:marTop w:val="0"/>
      <w:marBottom w:val="0"/>
      <w:divBdr>
        <w:top w:val="none" w:sz="0" w:space="0" w:color="auto"/>
        <w:left w:val="none" w:sz="0" w:space="0" w:color="auto"/>
        <w:bottom w:val="none" w:sz="0" w:space="0" w:color="auto"/>
        <w:right w:val="none" w:sz="0" w:space="0" w:color="auto"/>
      </w:divBdr>
    </w:div>
    <w:div w:id="1772696897">
      <w:bodyDiv w:val="1"/>
      <w:marLeft w:val="0"/>
      <w:marRight w:val="0"/>
      <w:marTop w:val="0"/>
      <w:marBottom w:val="0"/>
      <w:divBdr>
        <w:top w:val="none" w:sz="0" w:space="0" w:color="auto"/>
        <w:left w:val="none" w:sz="0" w:space="0" w:color="auto"/>
        <w:bottom w:val="none" w:sz="0" w:space="0" w:color="auto"/>
        <w:right w:val="none" w:sz="0" w:space="0" w:color="auto"/>
      </w:divBdr>
    </w:div>
    <w:div w:id="1772823368">
      <w:bodyDiv w:val="1"/>
      <w:marLeft w:val="0"/>
      <w:marRight w:val="0"/>
      <w:marTop w:val="0"/>
      <w:marBottom w:val="0"/>
      <w:divBdr>
        <w:top w:val="none" w:sz="0" w:space="0" w:color="auto"/>
        <w:left w:val="none" w:sz="0" w:space="0" w:color="auto"/>
        <w:bottom w:val="none" w:sz="0" w:space="0" w:color="auto"/>
        <w:right w:val="none" w:sz="0" w:space="0" w:color="auto"/>
      </w:divBdr>
    </w:div>
    <w:div w:id="1772894296">
      <w:bodyDiv w:val="1"/>
      <w:marLeft w:val="0"/>
      <w:marRight w:val="0"/>
      <w:marTop w:val="0"/>
      <w:marBottom w:val="0"/>
      <w:divBdr>
        <w:top w:val="none" w:sz="0" w:space="0" w:color="auto"/>
        <w:left w:val="none" w:sz="0" w:space="0" w:color="auto"/>
        <w:bottom w:val="none" w:sz="0" w:space="0" w:color="auto"/>
        <w:right w:val="none" w:sz="0" w:space="0" w:color="auto"/>
      </w:divBdr>
    </w:div>
    <w:div w:id="1772896045">
      <w:bodyDiv w:val="1"/>
      <w:marLeft w:val="0"/>
      <w:marRight w:val="0"/>
      <w:marTop w:val="0"/>
      <w:marBottom w:val="0"/>
      <w:divBdr>
        <w:top w:val="none" w:sz="0" w:space="0" w:color="auto"/>
        <w:left w:val="none" w:sz="0" w:space="0" w:color="auto"/>
        <w:bottom w:val="none" w:sz="0" w:space="0" w:color="auto"/>
        <w:right w:val="none" w:sz="0" w:space="0" w:color="auto"/>
      </w:divBdr>
    </w:div>
    <w:div w:id="1773087193">
      <w:bodyDiv w:val="1"/>
      <w:marLeft w:val="0"/>
      <w:marRight w:val="0"/>
      <w:marTop w:val="0"/>
      <w:marBottom w:val="0"/>
      <w:divBdr>
        <w:top w:val="none" w:sz="0" w:space="0" w:color="auto"/>
        <w:left w:val="none" w:sz="0" w:space="0" w:color="auto"/>
        <w:bottom w:val="none" w:sz="0" w:space="0" w:color="auto"/>
        <w:right w:val="none" w:sz="0" w:space="0" w:color="auto"/>
      </w:divBdr>
    </w:div>
    <w:div w:id="1773208175">
      <w:bodyDiv w:val="1"/>
      <w:marLeft w:val="0"/>
      <w:marRight w:val="0"/>
      <w:marTop w:val="0"/>
      <w:marBottom w:val="0"/>
      <w:divBdr>
        <w:top w:val="none" w:sz="0" w:space="0" w:color="auto"/>
        <w:left w:val="none" w:sz="0" w:space="0" w:color="auto"/>
        <w:bottom w:val="none" w:sz="0" w:space="0" w:color="auto"/>
        <w:right w:val="none" w:sz="0" w:space="0" w:color="auto"/>
      </w:divBdr>
    </w:div>
    <w:div w:id="1773235475">
      <w:bodyDiv w:val="1"/>
      <w:marLeft w:val="0"/>
      <w:marRight w:val="0"/>
      <w:marTop w:val="0"/>
      <w:marBottom w:val="0"/>
      <w:divBdr>
        <w:top w:val="none" w:sz="0" w:space="0" w:color="auto"/>
        <w:left w:val="none" w:sz="0" w:space="0" w:color="auto"/>
        <w:bottom w:val="none" w:sz="0" w:space="0" w:color="auto"/>
        <w:right w:val="none" w:sz="0" w:space="0" w:color="auto"/>
      </w:divBdr>
    </w:div>
    <w:div w:id="1773240278">
      <w:bodyDiv w:val="1"/>
      <w:marLeft w:val="0"/>
      <w:marRight w:val="0"/>
      <w:marTop w:val="0"/>
      <w:marBottom w:val="0"/>
      <w:divBdr>
        <w:top w:val="none" w:sz="0" w:space="0" w:color="auto"/>
        <w:left w:val="none" w:sz="0" w:space="0" w:color="auto"/>
        <w:bottom w:val="none" w:sz="0" w:space="0" w:color="auto"/>
        <w:right w:val="none" w:sz="0" w:space="0" w:color="auto"/>
      </w:divBdr>
    </w:div>
    <w:div w:id="1773351797">
      <w:bodyDiv w:val="1"/>
      <w:marLeft w:val="0"/>
      <w:marRight w:val="0"/>
      <w:marTop w:val="0"/>
      <w:marBottom w:val="0"/>
      <w:divBdr>
        <w:top w:val="none" w:sz="0" w:space="0" w:color="auto"/>
        <w:left w:val="none" w:sz="0" w:space="0" w:color="auto"/>
        <w:bottom w:val="none" w:sz="0" w:space="0" w:color="auto"/>
        <w:right w:val="none" w:sz="0" w:space="0" w:color="auto"/>
      </w:divBdr>
    </w:div>
    <w:div w:id="1773547680">
      <w:bodyDiv w:val="1"/>
      <w:marLeft w:val="0"/>
      <w:marRight w:val="0"/>
      <w:marTop w:val="0"/>
      <w:marBottom w:val="0"/>
      <w:divBdr>
        <w:top w:val="none" w:sz="0" w:space="0" w:color="auto"/>
        <w:left w:val="none" w:sz="0" w:space="0" w:color="auto"/>
        <w:bottom w:val="none" w:sz="0" w:space="0" w:color="auto"/>
        <w:right w:val="none" w:sz="0" w:space="0" w:color="auto"/>
      </w:divBdr>
    </w:div>
    <w:div w:id="1773548819">
      <w:bodyDiv w:val="1"/>
      <w:marLeft w:val="0"/>
      <w:marRight w:val="0"/>
      <w:marTop w:val="0"/>
      <w:marBottom w:val="0"/>
      <w:divBdr>
        <w:top w:val="none" w:sz="0" w:space="0" w:color="auto"/>
        <w:left w:val="none" w:sz="0" w:space="0" w:color="auto"/>
        <w:bottom w:val="none" w:sz="0" w:space="0" w:color="auto"/>
        <w:right w:val="none" w:sz="0" w:space="0" w:color="auto"/>
      </w:divBdr>
    </w:div>
    <w:div w:id="1773549759">
      <w:bodyDiv w:val="1"/>
      <w:marLeft w:val="0"/>
      <w:marRight w:val="0"/>
      <w:marTop w:val="0"/>
      <w:marBottom w:val="0"/>
      <w:divBdr>
        <w:top w:val="none" w:sz="0" w:space="0" w:color="auto"/>
        <w:left w:val="none" w:sz="0" w:space="0" w:color="auto"/>
        <w:bottom w:val="none" w:sz="0" w:space="0" w:color="auto"/>
        <w:right w:val="none" w:sz="0" w:space="0" w:color="auto"/>
      </w:divBdr>
    </w:div>
    <w:div w:id="1773625344">
      <w:bodyDiv w:val="1"/>
      <w:marLeft w:val="0"/>
      <w:marRight w:val="0"/>
      <w:marTop w:val="0"/>
      <w:marBottom w:val="0"/>
      <w:divBdr>
        <w:top w:val="none" w:sz="0" w:space="0" w:color="auto"/>
        <w:left w:val="none" w:sz="0" w:space="0" w:color="auto"/>
        <w:bottom w:val="none" w:sz="0" w:space="0" w:color="auto"/>
        <w:right w:val="none" w:sz="0" w:space="0" w:color="auto"/>
      </w:divBdr>
    </w:div>
    <w:div w:id="1773628667">
      <w:bodyDiv w:val="1"/>
      <w:marLeft w:val="0"/>
      <w:marRight w:val="0"/>
      <w:marTop w:val="0"/>
      <w:marBottom w:val="0"/>
      <w:divBdr>
        <w:top w:val="none" w:sz="0" w:space="0" w:color="auto"/>
        <w:left w:val="none" w:sz="0" w:space="0" w:color="auto"/>
        <w:bottom w:val="none" w:sz="0" w:space="0" w:color="auto"/>
        <w:right w:val="none" w:sz="0" w:space="0" w:color="auto"/>
      </w:divBdr>
    </w:div>
    <w:div w:id="1773671064">
      <w:bodyDiv w:val="1"/>
      <w:marLeft w:val="0"/>
      <w:marRight w:val="0"/>
      <w:marTop w:val="0"/>
      <w:marBottom w:val="0"/>
      <w:divBdr>
        <w:top w:val="none" w:sz="0" w:space="0" w:color="auto"/>
        <w:left w:val="none" w:sz="0" w:space="0" w:color="auto"/>
        <w:bottom w:val="none" w:sz="0" w:space="0" w:color="auto"/>
        <w:right w:val="none" w:sz="0" w:space="0" w:color="auto"/>
      </w:divBdr>
    </w:div>
    <w:div w:id="1773697585">
      <w:bodyDiv w:val="1"/>
      <w:marLeft w:val="0"/>
      <w:marRight w:val="0"/>
      <w:marTop w:val="0"/>
      <w:marBottom w:val="0"/>
      <w:divBdr>
        <w:top w:val="none" w:sz="0" w:space="0" w:color="auto"/>
        <w:left w:val="none" w:sz="0" w:space="0" w:color="auto"/>
        <w:bottom w:val="none" w:sz="0" w:space="0" w:color="auto"/>
        <w:right w:val="none" w:sz="0" w:space="0" w:color="auto"/>
      </w:divBdr>
    </w:div>
    <w:div w:id="1773745470">
      <w:bodyDiv w:val="1"/>
      <w:marLeft w:val="0"/>
      <w:marRight w:val="0"/>
      <w:marTop w:val="0"/>
      <w:marBottom w:val="0"/>
      <w:divBdr>
        <w:top w:val="none" w:sz="0" w:space="0" w:color="auto"/>
        <w:left w:val="none" w:sz="0" w:space="0" w:color="auto"/>
        <w:bottom w:val="none" w:sz="0" w:space="0" w:color="auto"/>
        <w:right w:val="none" w:sz="0" w:space="0" w:color="auto"/>
      </w:divBdr>
    </w:div>
    <w:div w:id="1773817482">
      <w:bodyDiv w:val="1"/>
      <w:marLeft w:val="0"/>
      <w:marRight w:val="0"/>
      <w:marTop w:val="0"/>
      <w:marBottom w:val="0"/>
      <w:divBdr>
        <w:top w:val="none" w:sz="0" w:space="0" w:color="auto"/>
        <w:left w:val="none" w:sz="0" w:space="0" w:color="auto"/>
        <w:bottom w:val="none" w:sz="0" w:space="0" w:color="auto"/>
        <w:right w:val="none" w:sz="0" w:space="0" w:color="auto"/>
      </w:divBdr>
    </w:div>
    <w:div w:id="1773940637">
      <w:bodyDiv w:val="1"/>
      <w:marLeft w:val="0"/>
      <w:marRight w:val="0"/>
      <w:marTop w:val="0"/>
      <w:marBottom w:val="0"/>
      <w:divBdr>
        <w:top w:val="none" w:sz="0" w:space="0" w:color="auto"/>
        <w:left w:val="none" w:sz="0" w:space="0" w:color="auto"/>
        <w:bottom w:val="none" w:sz="0" w:space="0" w:color="auto"/>
        <w:right w:val="none" w:sz="0" w:space="0" w:color="auto"/>
      </w:divBdr>
    </w:div>
    <w:div w:id="1774014770">
      <w:bodyDiv w:val="1"/>
      <w:marLeft w:val="0"/>
      <w:marRight w:val="0"/>
      <w:marTop w:val="0"/>
      <w:marBottom w:val="0"/>
      <w:divBdr>
        <w:top w:val="none" w:sz="0" w:space="0" w:color="auto"/>
        <w:left w:val="none" w:sz="0" w:space="0" w:color="auto"/>
        <w:bottom w:val="none" w:sz="0" w:space="0" w:color="auto"/>
        <w:right w:val="none" w:sz="0" w:space="0" w:color="auto"/>
      </w:divBdr>
    </w:div>
    <w:div w:id="1774089928">
      <w:bodyDiv w:val="1"/>
      <w:marLeft w:val="0"/>
      <w:marRight w:val="0"/>
      <w:marTop w:val="0"/>
      <w:marBottom w:val="0"/>
      <w:divBdr>
        <w:top w:val="none" w:sz="0" w:space="0" w:color="auto"/>
        <w:left w:val="none" w:sz="0" w:space="0" w:color="auto"/>
        <w:bottom w:val="none" w:sz="0" w:space="0" w:color="auto"/>
        <w:right w:val="none" w:sz="0" w:space="0" w:color="auto"/>
      </w:divBdr>
    </w:div>
    <w:div w:id="1774126301">
      <w:bodyDiv w:val="1"/>
      <w:marLeft w:val="0"/>
      <w:marRight w:val="0"/>
      <w:marTop w:val="0"/>
      <w:marBottom w:val="0"/>
      <w:divBdr>
        <w:top w:val="none" w:sz="0" w:space="0" w:color="auto"/>
        <w:left w:val="none" w:sz="0" w:space="0" w:color="auto"/>
        <w:bottom w:val="none" w:sz="0" w:space="0" w:color="auto"/>
        <w:right w:val="none" w:sz="0" w:space="0" w:color="auto"/>
      </w:divBdr>
    </w:div>
    <w:div w:id="1774127911">
      <w:bodyDiv w:val="1"/>
      <w:marLeft w:val="0"/>
      <w:marRight w:val="0"/>
      <w:marTop w:val="0"/>
      <w:marBottom w:val="0"/>
      <w:divBdr>
        <w:top w:val="none" w:sz="0" w:space="0" w:color="auto"/>
        <w:left w:val="none" w:sz="0" w:space="0" w:color="auto"/>
        <w:bottom w:val="none" w:sz="0" w:space="0" w:color="auto"/>
        <w:right w:val="none" w:sz="0" w:space="0" w:color="auto"/>
      </w:divBdr>
    </w:div>
    <w:div w:id="1774209362">
      <w:bodyDiv w:val="1"/>
      <w:marLeft w:val="0"/>
      <w:marRight w:val="0"/>
      <w:marTop w:val="0"/>
      <w:marBottom w:val="0"/>
      <w:divBdr>
        <w:top w:val="none" w:sz="0" w:space="0" w:color="auto"/>
        <w:left w:val="none" w:sz="0" w:space="0" w:color="auto"/>
        <w:bottom w:val="none" w:sz="0" w:space="0" w:color="auto"/>
        <w:right w:val="none" w:sz="0" w:space="0" w:color="auto"/>
      </w:divBdr>
    </w:div>
    <w:div w:id="1774395597">
      <w:bodyDiv w:val="1"/>
      <w:marLeft w:val="0"/>
      <w:marRight w:val="0"/>
      <w:marTop w:val="0"/>
      <w:marBottom w:val="0"/>
      <w:divBdr>
        <w:top w:val="none" w:sz="0" w:space="0" w:color="auto"/>
        <w:left w:val="none" w:sz="0" w:space="0" w:color="auto"/>
        <w:bottom w:val="none" w:sz="0" w:space="0" w:color="auto"/>
        <w:right w:val="none" w:sz="0" w:space="0" w:color="auto"/>
      </w:divBdr>
    </w:div>
    <w:div w:id="1774546899">
      <w:bodyDiv w:val="1"/>
      <w:marLeft w:val="0"/>
      <w:marRight w:val="0"/>
      <w:marTop w:val="0"/>
      <w:marBottom w:val="0"/>
      <w:divBdr>
        <w:top w:val="none" w:sz="0" w:space="0" w:color="auto"/>
        <w:left w:val="none" w:sz="0" w:space="0" w:color="auto"/>
        <w:bottom w:val="none" w:sz="0" w:space="0" w:color="auto"/>
        <w:right w:val="none" w:sz="0" w:space="0" w:color="auto"/>
      </w:divBdr>
    </w:div>
    <w:div w:id="1774548590">
      <w:bodyDiv w:val="1"/>
      <w:marLeft w:val="0"/>
      <w:marRight w:val="0"/>
      <w:marTop w:val="0"/>
      <w:marBottom w:val="0"/>
      <w:divBdr>
        <w:top w:val="none" w:sz="0" w:space="0" w:color="auto"/>
        <w:left w:val="none" w:sz="0" w:space="0" w:color="auto"/>
        <w:bottom w:val="none" w:sz="0" w:space="0" w:color="auto"/>
        <w:right w:val="none" w:sz="0" w:space="0" w:color="auto"/>
      </w:divBdr>
    </w:div>
    <w:div w:id="1774664816">
      <w:bodyDiv w:val="1"/>
      <w:marLeft w:val="0"/>
      <w:marRight w:val="0"/>
      <w:marTop w:val="0"/>
      <w:marBottom w:val="0"/>
      <w:divBdr>
        <w:top w:val="none" w:sz="0" w:space="0" w:color="auto"/>
        <w:left w:val="none" w:sz="0" w:space="0" w:color="auto"/>
        <w:bottom w:val="none" w:sz="0" w:space="0" w:color="auto"/>
        <w:right w:val="none" w:sz="0" w:space="0" w:color="auto"/>
      </w:divBdr>
    </w:div>
    <w:div w:id="1774741419">
      <w:bodyDiv w:val="1"/>
      <w:marLeft w:val="0"/>
      <w:marRight w:val="0"/>
      <w:marTop w:val="0"/>
      <w:marBottom w:val="0"/>
      <w:divBdr>
        <w:top w:val="none" w:sz="0" w:space="0" w:color="auto"/>
        <w:left w:val="none" w:sz="0" w:space="0" w:color="auto"/>
        <w:bottom w:val="none" w:sz="0" w:space="0" w:color="auto"/>
        <w:right w:val="none" w:sz="0" w:space="0" w:color="auto"/>
      </w:divBdr>
    </w:div>
    <w:div w:id="1774747279">
      <w:bodyDiv w:val="1"/>
      <w:marLeft w:val="0"/>
      <w:marRight w:val="0"/>
      <w:marTop w:val="0"/>
      <w:marBottom w:val="0"/>
      <w:divBdr>
        <w:top w:val="none" w:sz="0" w:space="0" w:color="auto"/>
        <w:left w:val="none" w:sz="0" w:space="0" w:color="auto"/>
        <w:bottom w:val="none" w:sz="0" w:space="0" w:color="auto"/>
        <w:right w:val="none" w:sz="0" w:space="0" w:color="auto"/>
      </w:divBdr>
    </w:div>
    <w:div w:id="1774857771">
      <w:bodyDiv w:val="1"/>
      <w:marLeft w:val="0"/>
      <w:marRight w:val="0"/>
      <w:marTop w:val="0"/>
      <w:marBottom w:val="0"/>
      <w:divBdr>
        <w:top w:val="none" w:sz="0" w:space="0" w:color="auto"/>
        <w:left w:val="none" w:sz="0" w:space="0" w:color="auto"/>
        <w:bottom w:val="none" w:sz="0" w:space="0" w:color="auto"/>
        <w:right w:val="none" w:sz="0" w:space="0" w:color="auto"/>
      </w:divBdr>
    </w:div>
    <w:div w:id="1774934021">
      <w:bodyDiv w:val="1"/>
      <w:marLeft w:val="0"/>
      <w:marRight w:val="0"/>
      <w:marTop w:val="0"/>
      <w:marBottom w:val="0"/>
      <w:divBdr>
        <w:top w:val="none" w:sz="0" w:space="0" w:color="auto"/>
        <w:left w:val="none" w:sz="0" w:space="0" w:color="auto"/>
        <w:bottom w:val="none" w:sz="0" w:space="0" w:color="auto"/>
        <w:right w:val="none" w:sz="0" w:space="0" w:color="auto"/>
      </w:divBdr>
    </w:div>
    <w:div w:id="1774977534">
      <w:bodyDiv w:val="1"/>
      <w:marLeft w:val="0"/>
      <w:marRight w:val="0"/>
      <w:marTop w:val="0"/>
      <w:marBottom w:val="0"/>
      <w:divBdr>
        <w:top w:val="none" w:sz="0" w:space="0" w:color="auto"/>
        <w:left w:val="none" w:sz="0" w:space="0" w:color="auto"/>
        <w:bottom w:val="none" w:sz="0" w:space="0" w:color="auto"/>
        <w:right w:val="none" w:sz="0" w:space="0" w:color="auto"/>
      </w:divBdr>
    </w:div>
    <w:div w:id="1775049267">
      <w:bodyDiv w:val="1"/>
      <w:marLeft w:val="0"/>
      <w:marRight w:val="0"/>
      <w:marTop w:val="0"/>
      <w:marBottom w:val="0"/>
      <w:divBdr>
        <w:top w:val="none" w:sz="0" w:space="0" w:color="auto"/>
        <w:left w:val="none" w:sz="0" w:space="0" w:color="auto"/>
        <w:bottom w:val="none" w:sz="0" w:space="0" w:color="auto"/>
        <w:right w:val="none" w:sz="0" w:space="0" w:color="auto"/>
      </w:divBdr>
    </w:div>
    <w:div w:id="1775050868">
      <w:bodyDiv w:val="1"/>
      <w:marLeft w:val="0"/>
      <w:marRight w:val="0"/>
      <w:marTop w:val="0"/>
      <w:marBottom w:val="0"/>
      <w:divBdr>
        <w:top w:val="none" w:sz="0" w:space="0" w:color="auto"/>
        <w:left w:val="none" w:sz="0" w:space="0" w:color="auto"/>
        <w:bottom w:val="none" w:sz="0" w:space="0" w:color="auto"/>
        <w:right w:val="none" w:sz="0" w:space="0" w:color="auto"/>
      </w:divBdr>
    </w:div>
    <w:div w:id="1775205749">
      <w:bodyDiv w:val="1"/>
      <w:marLeft w:val="0"/>
      <w:marRight w:val="0"/>
      <w:marTop w:val="0"/>
      <w:marBottom w:val="0"/>
      <w:divBdr>
        <w:top w:val="none" w:sz="0" w:space="0" w:color="auto"/>
        <w:left w:val="none" w:sz="0" w:space="0" w:color="auto"/>
        <w:bottom w:val="none" w:sz="0" w:space="0" w:color="auto"/>
        <w:right w:val="none" w:sz="0" w:space="0" w:color="auto"/>
      </w:divBdr>
    </w:div>
    <w:div w:id="1775242857">
      <w:bodyDiv w:val="1"/>
      <w:marLeft w:val="0"/>
      <w:marRight w:val="0"/>
      <w:marTop w:val="0"/>
      <w:marBottom w:val="0"/>
      <w:divBdr>
        <w:top w:val="none" w:sz="0" w:space="0" w:color="auto"/>
        <w:left w:val="none" w:sz="0" w:space="0" w:color="auto"/>
        <w:bottom w:val="none" w:sz="0" w:space="0" w:color="auto"/>
        <w:right w:val="none" w:sz="0" w:space="0" w:color="auto"/>
      </w:divBdr>
    </w:div>
    <w:div w:id="1775251846">
      <w:bodyDiv w:val="1"/>
      <w:marLeft w:val="0"/>
      <w:marRight w:val="0"/>
      <w:marTop w:val="0"/>
      <w:marBottom w:val="0"/>
      <w:divBdr>
        <w:top w:val="none" w:sz="0" w:space="0" w:color="auto"/>
        <w:left w:val="none" w:sz="0" w:space="0" w:color="auto"/>
        <w:bottom w:val="none" w:sz="0" w:space="0" w:color="auto"/>
        <w:right w:val="none" w:sz="0" w:space="0" w:color="auto"/>
      </w:divBdr>
    </w:div>
    <w:div w:id="1775319296">
      <w:bodyDiv w:val="1"/>
      <w:marLeft w:val="0"/>
      <w:marRight w:val="0"/>
      <w:marTop w:val="0"/>
      <w:marBottom w:val="0"/>
      <w:divBdr>
        <w:top w:val="none" w:sz="0" w:space="0" w:color="auto"/>
        <w:left w:val="none" w:sz="0" w:space="0" w:color="auto"/>
        <w:bottom w:val="none" w:sz="0" w:space="0" w:color="auto"/>
        <w:right w:val="none" w:sz="0" w:space="0" w:color="auto"/>
      </w:divBdr>
    </w:div>
    <w:div w:id="1775323831">
      <w:bodyDiv w:val="1"/>
      <w:marLeft w:val="0"/>
      <w:marRight w:val="0"/>
      <w:marTop w:val="0"/>
      <w:marBottom w:val="0"/>
      <w:divBdr>
        <w:top w:val="none" w:sz="0" w:space="0" w:color="auto"/>
        <w:left w:val="none" w:sz="0" w:space="0" w:color="auto"/>
        <w:bottom w:val="none" w:sz="0" w:space="0" w:color="auto"/>
        <w:right w:val="none" w:sz="0" w:space="0" w:color="auto"/>
      </w:divBdr>
    </w:div>
    <w:div w:id="1775394264">
      <w:bodyDiv w:val="1"/>
      <w:marLeft w:val="0"/>
      <w:marRight w:val="0"/>
      <w:marTop w:val="0"/>
      <w:marBottom w:val="0"/>
      <w:divBdr>
        <w:top w:val="none" w:sz="0" w:space="0" w:color="auto"/>
        <w:left w:val="none" w:sz="0" w:space="0" w:color="auto"/>
        <w:bottom w:val="none" w:sz="0" w:space="0" w:color="auto"/>
        <w:right w:val="none" w:sz="0" w:space="0" w:color="auto"/>
      </w:divBdr>
    </w:div>
    <w:div w:id="1775395103">
      <w:bodyDiv w:val="1"/>
      <w:marLeft w:val="0"/>
      <w:marRight w:val="0"/>
      <w:marTop w:val="0"/>
      <w:marBottom w:val="0"/>
      <w:divBdr>
        <w:top w:val="none" w:sz="0" w:space="0" w:color="auto"/>
        <w:left w:val="none" w:sz="0" w:space="0" w:color="auto"/>
        <w:bottom w:val="none" w:sz="0" w:space="0" w:color="auto"/>
        <w:right w:val="none" w:sz="0" w:space="0" w:color="auto"/>
      </w:divBdr>
    </w:div>
    <w:div w:id="1775444939">
      <w:bodyDiv w:val="1"/>
      <w:marLeft w:val="0"/>
      <w:marRight w:val="0"/>
      <w:marTop w:val="0"/>
      <w:marBottom w:val="0"/>
      <w:divBdr>
        <w:top w:val="none" w:sz="0" w:space="0" w:color="auto"/>
        <w:left w:val="none" w:sz="0" w:space="0" w:color="auto"/>
        <w:bottom w:val="none" w:sz="0" w:space="0" w:color="auto"/>
        <w:right w:val="none" w:sz="0" w:space="0" w:color="auto"/>
      </w:divBdr>
    </w:div>
    <w:div w:id="1775515840">
      <w:bodyDiv w:val="1"/>
      <w:marLeft w:val="0"/>
      <w:marRight w:val="0"/>
      <w:marTop w:val="0"/>
      <w:marBottom w:val="0"/>
      <w:divBdr>
        <w:top w:val="none" w:sz="0" w:space="0" w:color="auto"/>
        <w:left w:val="none" w:sz="0" w:space="0" w:color="auto"/>
        <w:bottom w:val="none" w:sz="0" w:space="0" w:color="auto"/>
        <w:right w:val="none" w:sz="0" w:space="0" w:color="auto"/>
      </w:divBdr>
    </w:div>
    <w:div w:id="1775707727">
      <w:bodyDiv w:val="1"/>
      <w:marLeft w:val="0"/>
      <w:marRight w:val="0"/>
      <w:marTop w:val="0"/>
      <w:marBottom w:val="0"/>
      <w:divBdr>
        <w:top w:val="none" w:sz="0" w:space="0" w:color="auto"/>
        <w:left w:val="none" w:sz="0" w:space="0" w:color="auto"/>
        <w:bottom w:val="none" w:sz="0" w:space="0" w:color="auto"/>
        <w:right w:val="none" w:sz="0" w:space="0" w:color="auto"/>
      </w:divBdr>
    </w:div>
    <w:div w:id="1775780915">
      <w:bodyDiv w:val="1"/>
      <w:marLeft w:val="0"/>
      <w:marRight w:val="0"/>
      <w:marTop w:val="0"/>
      <w:marBottom w:val="0"/>
      <w:divBdr>
        <w:top w:val="none" w:sz="0" w:space="0" w:color="auto"/>
        <w:left w:val="none" w:sz="0" w:space="0" w:color="auto"/>
        <w:bottom w:val="none" w:sz="0" w:space="0" w:color="auto"/>
        <w:right w:val="none" w:sz="0" w:space="0" w:color="auto"/>
      </w:divBdr>
    </w:div>
    <w:div w:id="1775783755">
      <w:bodyDiv w:val="1"/>
      <w:marLeft w:val="0"/>
      <w:marRight w:val="0"/>
      <w:marTop w:val="0"/>
      <w:marBottom w:val="0"/>
      <w:divBdr>
        <w:top w:val="none" w:sz="0" w:space="0" w:color="auto"/>
        <w:left w:val="none" w:sz="0" w:space="0" w:color="auto"/>
        <w:bottom w:val="none" w:sz="0" w:space="0" w:color="auto"/>
        <w:right w:val="none" w:sz="0" w:space="0" w:color="auto"/>
      </w:divBdr>
    </w:div>
    <w:div w:id="1775972800">
      <w:bodyDiv w:val="1"/>
      <w:marLeft w:val="0"/>
      <w:marRight w:val="0"/>
      <w:marTop w:val="0"/>
      <w:marBottom w:val="0"/>
      <w:divBdr>
        <w:top w:val="none" w:sz="0" w:space="0" w:color="auto"/>
        <w:left w:val="none" w:sz="0" w:space="0" w:color="auto"/>
        <w:bottom w:val="none" w:sz="0" w:space="0" w:color="auto"/>
        <w:right w:val="none" w:sz="0" w:space="0" w:color="auto"/>
      </w:divBdr>
    </w:div>
    <w:div w:id="1776095396">
      <w:bodyDiv w:val="1"/>
      <w:marLeft w:val="0"/>
      <w:marRight w:val="0"/>
      <w:marTop w:val="0"/>
      <w:marBottom w:val="0"/>
      <w:divBdr>
        <w:top w:val="none" w:sz="0" w:space="0" w:color="auto"/>
        <w:left w:val="none" w:sz="0" w:space="0" w:color="auto"/>
        <w:bottom w:val="none" w:sz="0" w:space="0" w:color="auto"/>
        <w:right w:val="none" w:sz="0" w:space="0" w:color="auto"/>
      </w:divBdr>
    </w:div>
    <w:div w:id="1776290543">
      <w:bodyDiv w:val="1"/>
      <w:marLeft w:val="0"/>
      <w:marRight w:val="0"/>
      <w:marTop w:val="0"/>
      <w:marBottom w:val="0"/>
      <w:divBdr>
        <w:top w:val="none" w:sz="0" w:space="0" w:color="auto"/>
        <w:left w:val="none" w:sz="0" w:space="0" w:color="auto"/>
        <w:bottom w:val="none" w:sz="0" w:space="0" w:color="auto"/>
        <w:right w:val="none" w:sz="0" w:space="0" w:color="auto"/>
      </w:divBdr>
    </w:div>
    <w:div w:id="1776365206">
      <w:bodyDiv w:val="1"/>
      <w:marLeft w:val="0"/>
      <w:marRight w:val="0"/>
      <w:marTop w:val="0"/>
      <w:marBottom w:val="0"/>
      <w:divBdr>
        <w:top w:val="none" w:sz="0" w:space="0" w:color="auto"/>
        <w:left w:val="none" w:sz="0" w:space="0" w:color="auto"/>
        <w:bottom w:val="none" w:sz="0" w:space="0" w:color="auto"/>
        <w:right w:val="none" w:sz="0" w:space="0" w:color="auto"/>
      </w:divBdr>
    </w:div>
    <w:div w:id="1776368925">
      <w:bodyDiv w:val="1"/>
      <w:marLeft w:val="0"/>
      <w:marRight w:val="0"/>
      <w:marTop w:val="0"/>
      <w:marBottom w:val="0"/>
      <w:divBdr>
        <w:top w:val="none" w:sz="0" w:space="0" w:color="auto"/>
        <w:left w:val="none" w:sz="0" w:space="0" w:color="auto"/>
        <w:bottom w:val="none" w:sz="0" w:space="0" w:color="auto"/>
        <w:right w:val="none" w:sz="0" w:space="0" w:color="auto"/>
      </w:divBdr>
    </w:div>
    <w:div w:id="1776435744">
      <w:bodyDiv w:val="1"/>
      <w:marLeft w:val="0"/>
      <w:marRight w:val="0"/>
      <w:marTop w:val="0"/>
      <w:marBottom w:val="0"/>
      <w:divBdr>
        <w:top w:val="none" w:sz="0" w:space="0" w:color="auto"/>
        <w:left w:val="none" w:sz="0" w:space="0" w:color="auto"/>
        <w:bottom w:val="none" w:sz="0" w:space="0" w:color="auto"/>
        <w:right w:val="none" w:sz="0" w:space="0" w:color="auto"/>
      </w:divBdr>
    </w:div>
    <w:div w:id="1776436391">
      <w:bodyDiv w:val="1"/>
      <w:marLeft w:val="0"/>
      <w:marRight w:val="0"/>
      <w:marTop w:val="0"/>
      <w:marBottom w:val="0"/>
      <w:divBdr>
        <w:top w:val="none" w:sz="0" w:space="0" w:color="auto"/>
        <w:left w:val="none" w:sz="0" w:space="0" w:color="auto"/>
        <w:bottom w:val="none" w:sz="0" w:space="0" w:color="auto"/>
        <w:right w:val="none" w:sz="0" w:space="0" w:color="auto"/>
      </w:divBdr>
    </w:div>
    <w:div w:id="1776823105">
      <w:bodyDiv w:val="1"/>
      <w:marLeft w:val="0"/>
      <w:marRight w:val="0"/>
      <w:marTop w:val="0"/>
      <w:marBottom w:val="0"/>
      <w:divBdr>
        <w:top w:val="none" w:sz="0" w:space="0" w:color="auto"/>
        <w:left w:val="none" w:sz="0" w:space="0" w:color="auto"/>
        <w:bottom w:val="none" w:sz="0" w:space="0" w:color="auto"/>
        <w:right w:val="none" w:sz="0" w:space="0" w:color="auto"/>
      </w:divBdr>
    </w:div>
    <w:div w:id="1776825100">
      <w:bodyDiv w:val="1"/>
      <w:marLeft w:val="0"/>
      <w:marRight w:val="0"/>
      <w:marTop w:val="0"/>
      <w:marBottom w:val="0"/>
      <w:divBdr>
        <w:top w:val="none" w:sz="0" w:space="0" w:color="auto"/>
        <w:left w:val="none" w:sz="0" w:space="0" w:color="auto"/>
        <w:bottom w:val="none" w:sz="0" w:space="0" w:color="auto"/>
        <w:right w:val="none" w:sz="0" w:space="0" w:color="auto"/>
      </w:divBdr>
    </w:div>
    <w:div w:id="1776899284">
      <w:bodyDiv w:val="1"/>
      <w:marLeft w:val="0"/>
      <w:marRight w:val="0"/>
      <w:marTop w:val="0"/>
      <w:marBottom w:val="0"/>
      <w:divBdr>
        <w:top w:val="none" w:sz="0" w:space="0" w:color="auto"/>
        <w:left w:val="none" w:sz="0" w:space="0" w:color="auto"/>
        <w:bottom w:val="none" w:sz="0" w:space="0" w:color="auto"/>
        <w:right w:val="none" w:sz="0" w:space="0" w:color="auto"/>
      </w:divBdr>
    </w:div>
    <w:div w:id="1776899327">
      <w:bodyDiv w:val="1"/>
      <w:marLeft w:val="0"/>
      <w:marRight w:val="0"/>
      <w:marTop w:val="0"/>
      <w:marBottom w:val="0"/>
      <w:divBdr>
        <w:top w:val="none" w:sz="0" w:space="0" w:color="auto"/>
        <w:left w:val="none" w:sz="0" w:space="0" w:color="auto"/>
        <w:bottom w:val="none" w:sz="0" w:space="0" w:color="auto"/>
        <w:right w:val="none" w:sz="0" w:space="0" w:color="auto"/>
      </w:divBdr>
    </w:div>
    <w:div w:id="1776903971">
      <w:bodyDiv w:val="1"/>
      <w:marLeft w:val="0"/>
      <w:marRight w:val="0"/>
      <w:marTop w:val="0"/>
      <w:marBottom w:val="0"/>
      <w:divBdr>
        <w:top w:val="none" w:sz="0" w:space="0" w:color="auto"/>
        <w:left w:val="none" w:sz="0" w:space="0" w:color="auto"/>
        <w:bottom w:val="none" w:sz="0" w:space="0" w:color="auto"/>
        <w:right w:val="none" w:sz="0" w:space="0" w:color="auto"/>
      </w:divBdr>
    </w:div>
    <w:div w:id="1776973356">
      <w:bodyDiv w:val="1"/>
      <w:marLeft w:val="0"/>
      <w:marRight w:val="0"/>
      <w:marTop w:val="0"/>
      <w:marBottom w:val="0"/>
      <w:divBdr>
        <w:top w:val="none" w:sz="0" w:space="0" w:color="auto"/>
        <w:left w:val="none" w:sz="0" w:space="0" w:color="auto"/>
        <w:bottom w:val="none" w:sz="0" w:space="0" w:color="auto"/>
        <w:right w:val="none" w:sz="0" w:space="0" w:color="auto"/>
      </w:divBdr>
    </w:div>
    <w:div w:id="1777015347">
      <w:bodyDiv w:val="1"/>
      <w:marLeft w:val="0"/>
      <w:marRight w:val="0"/>
      <w:marTop w:val="0"/>
      <w:marBottom w:val="0"/>
      <w:divBdr>
        <w:top w:val="none" w:sz="0" w:space="0" w:color="auto"/>
        <w:left w:val="none" w:sz="0" w:space="0" w:color="auto"/>
        <w:bottom w:val="none" w:sz="0" w:space="0" w:color="auto"/>
        <w:right w:val="none" w:sz="0" w:space="0" w:color="auto"/>
      </w:divBdr>
    </w:div>
    <w:div w:id="1777020617">
      <w:bodyDiv w:val="1"/>
      <w:marLeft w:val="0"/>
      <w:marRight w:val="0"/>
      <w:marTop w:val="0"/>
      <w:marBottom w:val="0"/>
      <w:divBdr>
        <w:top w:val="none" w:sz="0" w:space="0" w:color="auto"/>
        <w:left w:val="none" w:sz="0" w:space="0" w:color="auto"/>
        <w:bottom w:val="none" w:sz="0" w:space="0" w:color="auto"/>
        <w:right w:val="none" w:sz="0" w:space="0" w:color="auto"/>
      </w:divBdr>
    </w:div>
    <w:div w:id="1777091066">
      <w:bodyDiv w:val="1"/>
      <w:marLeft w:val="0"/>
      <w:marRight w:val="0"/>
      <w:marTop w:val="0"/>
      <w:marBottom w:val="0"/>
      <w:divBdr>
        <w:top w:val="none" w:sz="0" w:space="0" w:color="auto"/>
        <w:left w:val="none" w:sz="0" w:space="0" w:color="auto"/>
        <w:bottom w:val="none" w:sz="0" w:space="0" w:color="auto"/>
        <w:right w:val="none" w:sz="0" w:space="0" w:color="auto"/>
      </w:divBdr>
    </w:div>
    <w:div w:id="1777097125">
      <w:bodyDiv w:val="1"/>
      <w:marLeft w:val="0"/>
      <w:marRight w:val="0"/>
      <w:marTop w:val="0"/>
      <w:marBottom w:val="0"/>
      <w:divBdr>
        <w:top w:val="none" w:sz="0" w:space="0" w:color="auto"/>
        <w:left w:val="none" w:sz="0" w:space="0" w:color="auto"/>
        <w:bottom w:val="none" w:sz="0" w:space="0" w:color="auto"/>
        <w:right w:val="none" w:sz="0" w:space="0" w:color="auto"/>
      </w:divBdr>
    </w:div>
    <w:div w:id="1777170756">
      <w:bodyDiv w:val="1"/>
      <w:marLeft w:val="0"/>
      <w:marRight w:val="0"/>
      <w:marTop w:val="0"/>
      <w:marBottom w:val="0"/>
      <w:divBdr>
        <w:top w:val="none" w:sz="0" w:space="0" w:color="auto"/>
        <w:left w:val="none" w:sz="0" w:space="0" w:color="auto"/>
        <w:bottom w:val="none" w:sz="0" w:space="0" w:color="auto"/>
        <w:right w:val="none" w:sz="0" w:space="0" w:color="auto"/>
      </w:divBdr>
    </w:div>
    <w:div w:id="1777560220">
      <w:bodyDiv w:val="1"/>
      <w:marLeft w:val="0"/>
      <w:marRight w:val="0"/>
      <w:marTop w:val="0"/>
      <w:marBottom w:val="0"/>
      <w:divBdr>
        <w:top w:val="none" w:sz="0" w:space="0" w:color="auto"/>
        <w:left w:val="none" w:sz="0" w:space="0" w:color="auto"/>
        <w:bottom w:val="none" w:sz="0" w:space="0" w:color="auto"/>
        <w:right w:val="none" w:sz="0" w:space="0" w:color="auto"/>
      </w:divBdr>
    </w:div>
    <w:div w:id="1777603027">
      <w:bodyDiv w:val="1"/>
      <w:marLeft w:val="0"/>
      <w:marRight w:val="0"/>
      <w:marTop w:val="0"/>
      <w:marBottom w:val="0"/>
      <w:divBdr>
        <w:top w:val="none" w:sz="0" w:space="0" w:color="auto"/>
        <w:left w:val="none" w:sz="0" w:space="0" w:color="auto"/>
        <w:bottom w:val="none" w:sz="0" w:space="0" w:color="auto"/>
        <w:right w:val="none" w:sz="0" w:space="0" w:color="auto"/>
      </w:divBdr>
    </w:div>
    <w:div w:id="1777627305">
      <w:bodyDiv w:val="1"/>
      <w:marLeft w:val="0"/>
      <w:marRight w:val="0"/>
      <w:marTop w:val="0"/>
      <w:marBottom w:val="0"/>
      <w:divBdr>
        <w:top w:val="none" w:sz="0" w:space="0" w:color="auto"/>
        <w:left w:val="none" w:sz="0" w:space="0" w:color="auto"/>
        <w:bottom w:val="none" w:sz="0" w:space="0" w:color="auto"/>
        <w:right w:val="none" w:sz="0" w:space="0" w:color="auto"/>
      </w:divBdr>
    </w:div>
    <w:div w:id="1777630230">
      <w:bodyDiv w:val="1"/>
      <w:marLeft w:val="0"/>
      <w:marRight w:val="0"/>
      <w:marTop w:val="0"/>
      <w:marBottom w:val="0"/>
      <w:divBdr>
        <w:top w:val="none" w:sz="0" w:space="0" w:color="auto"/>
        <w:left w:val="none" w:sz="0" w:space="0" w:color="auto"/>
        <w:bottom w:val="none" w:sz="0" w:space="0" w:color="auto"/>
        <w:right w:val="none" w:sz="0" w:space="0" w:color="auto"/>
      </w:divBdr>
    </w:div>
    <w:div w:id="1777939190">
      <w:bodyDiv w:val="1"/>
      <w:marLeft w:val="0"/>
      <w:marRight w:val="0"/>
      <w:marTop w:val="0"/>
      <w:marBottom w:val="0"/>
      <w:divBdr>
        <w:top w:val="none" w:sz="0" w:space="0" w:color="auto"/>
        <w:left w:val="none" w:sz="0" w:space="0" w:color="auto"/>
        <w:bottom w:val="none" w:sz="0" w:space="0" w:color="auto"/>
        <w:right w:val="none" w:sz="0" w:space="0" w:color="auto"/>
      </w:divBdr>
    </w:div>
    <w:div w:id="1777942019">
      <w:bodyDiv w:val="1"/>
      <w:marLeft w:val="0"/>
      <w:marRight w:val="0"/>
      <w:marTop w:val="0"/>
      <w:marBottom w:val="0"/>
      <w:divBdr>
        <w:top w:val="none" w:sz="0" w:space="0" w:color="auto"/>
        <w:left w:val="none" w:sz="0" w:space="0" w:color="auto"/>
        <w:bottom w:val="none" w:sz="0" w:space="0" w:color="auto"/>
        <w:right w:val="none" w:sz="0" w:space="0" w:color="auto"/>
      </w:divBdr>
    </w:div>
    <w:div w:id="1777945042">
      <w:bodyDiv w:val="1"/>
      <w:marLeft w:val="0"/>
      <w:marRight w:val="0"/>
      <w:marTop w:val="0"/>
      <w:marBottom w:val="0"/>
      <w:divBdr>
        <w:top w:val="none" w:sz="0" w:space="0" w:color="auto"/>
        <w:left w:val="none" w:sz="0" w:space="0" w:color="auto"/>
        <w:bottom w:val="none" w:sz="0" w:space="0" w:color="auto"/>
        <w:right w:val="none" w:sz="0" w:space="0" w:color="auto"/>
      </w:divBdr>
    </w:div>
    <w:div w:id="1778135199">
      <w:bodyDiv w:val="1"/>
      <w:marLeft w:val="0"/>
      <w:marRight w:val="0"/>
      <w:marTop w:val="0"/>
      <w:marBottom w:val="0"/>
      <w:divBdr>
        <w:top w:val="none" w:sz="0" w:space="0" w:color="auto"/>
        <w:left w:val="none" w:sz="0" w:space="0" w:color="auto"/>
        <w:bottom w:val="none" w:sz="0" w:space="0" w:color="auto"/>
        <w:right w:val="none" w:sz="0" w:space="0" w:color="auto"/>
      </w:divBdr>
    </w:div>
    <w:div w:id="1778139544">
      <w:bodyDiv w:val="1"/>
      <w:marLeft w:val="0"/>
      <w:marRight w:val="0"/>
      <w:marTop w:val="0"/>
      <w:marBottom w:val="0"/>
      <w:divBdr>
        <w:top w:val="none" w:sz="0" w:space="0" w:color="auto"/>
        <w:left w:val="none" w:sz="0" w:space="0" w:color="auto"/>
        <w:bottom w:val="none" w:sz="0" w:space="0" w:color="auto"/>
        <w:right w:val="none" w:sz="0" w:space="0" w:color="auto"/>
      </w:divBdr>
    </w:div>
    <w:div w:id="1778207188">
      <w:bodyDiv w:val="1"/>
      <w:marLeft w:val="0"/>
      <w:marRight w:val="0"/>
      <w:marTop w:val="0"/>
      <w:marBottom w:val="0"/>
      <w:divBdr>
        <w:top w:val="none" w:sz="0" w:space="0" w:color="auto"/>
        <w:left w:val="none" w:sz="0" w:space="0" w:color="auto"/>
        <w:bottom w:val="none" w:sz="0" w:space="0" w:color="auto"/>
        <w:right w:val="none" w:sz="0" w:space="0" w:color="auto"/>
      </w:divBdr>
    </w:div>
    <w:div w:id="1778254962">
      <w:bodyDiv w:val="1"/>
      <w:marLeft w:val="0"/>
      <w:marRight w:val="0"/>
      <w:marTop w:val="0"/>
      <w:marBottom w:val="0"/>
      <w:divBdr>
        <w:top w:val="none" w:sz="0" w:space="0" w:color="auto"/>
        <w:left w:val="none" w:sz="0" w:space="0" w:color="auto"/>
        <w:bottom w:val="none" w:sz="0" w:space="0" w:color="auto"/>
        <w:right w:val="none" w:sz="0" w:space="0" w:color="auto"/>
      </w:divBdr>
    </w:div>
    <w:div w:id="1778325900">
      <w:bodyDiv w:val="1"/>
      <w:marLeft w:val="0"/>
      <w:marRight w:val="0"/>
      <w:marTop w:val="0"/>
      <w:marBottom w:val="0"/>
      <w:divBdr>
        <w:top w:val="none" w:sz="0" w:space="0" w:color="auto"/>
        <w:left w:val="none" w:sz="0" w:space="0" w:color="auto"/>
        <w:bottom w:val="none" w:sz="0" w:space="0" w:color="auto"/>
        <w:right w:val="none" w:sz="0" w:space="0" w:color="auto"/>
      </w:divBdr>
    </w:div>
    <w:div w:id="1778326679">
      <w:bodyDiv w:val="1"/>
      <w:marLeft w:val="0"/>
      <w:marRight w:val="0"/>
      <w:marTop w:val="0"/>
      <w:marBottom w:val="0"/>
      <w:divBdr>
        <w:top w:val="none" w:sz="0" w:space="0" w:color="auto"/>
        <w:left w:val="none" w:sz="0" w:space="0" w:color="auto"/>
        <w:bottom w:val="none" w:sz="0" w:space="0" w:color="auto"/>
        <w:right w:val="none" w:sz="0" w:space="0" w:color="auto"/>
      </w:divBdr>
    </w:div>
    <w:div w:id="1778333950">
      <w:bodyDiv w:val="1"/>
      <w:marLeft w:val="0"/>
      <w:marRight w:val="0"/>
      <w:marTop w:val="0"/>
      <w:marBottom w:val="0"/>
      <w:divBdr>
        <w:top w:val="none" w:sz="0" w:space="0" w:color="auto"/>
        <w:left w:val="none" w:sz="0" w:space="0" w:color="auto"/>
        <w:bottom w:val="none" w:sz="0" w:space="0" w:color="auto"/>
        <w:right w:val="none" w:sz="0" w:space="0" w:color="auto"/>
      </w:divBdr>
    </w:div>
    <w:div w:id="1778400711">
      <w:bodyDiv w:val="1"/>
      <w:marLeft w:val="0"/>
      <w:marRight w:val="0"/>
      <w:marTop w:val="0"/>
      <w:marBottom w:val="0"/>
      <w:divBdr>
        <w:top w:val="none" w:sz="0" w:space="0" w:color="auto"/>
        <w:left w:val="none" w:sz="0" w:space="0" w:color="auto"/>
        <w:bottom w:val="none" w:sz="0" w:space="0" w:color="auto"/>
        <w:right w:val="none" w:sz="0" w:space="0" w:color="auto"/>
      </w:divBdr>
    </w:div>
    <w:div w:id="1778476688">
      <w:bodyDiv w:val="1"/>
      <w:marLeft w:val="0"/>
      <w:marRight w:val="0"/>
      <w:marTop w:val="0"/>
      <w:marBottom w:val="0"/>
      <w:divBdr>
        <w:top w:val="none" w:sz="0" w:space="0" w:color="auto"/>
        <w:left w:val="none" w:sz="0" w:space="0" w:color="auto"/>
        <w:bottom w:val="none" w:sz="0" w:space="0" w:color="auto"/>
        <w:right w:val="none" w:sz="0" w:space="0" w:color="auto"/>
      </w:divBdr>
    </w:div>
    <w:div w:id="1778716599">
      <w:bodyDiv w:val="1"/>
      <w:marLeft w:val="0"/>
      <w:marRight w:val="0"/>
      <w:marTop w:val="0"/>
      <w:marBottom w:val="0"/>
      <w:divBdr>
        <w:top w:val="none" w:sz="0" w:space="0" w:color="auto"/>
        <w:left w:val="none" w:sz="0" w:space="0" w:color="auto"/>
        <w:bottom w:val="none" w:sz="0" w:space="0" w:color="auto"/>
        <w:right w:val="none" w:sz="0" w:space="0" w:color="auto"/>
      </w:divBdr>
    </w:div>
    <w:div w:id="1778718840">
      <w:bodyDiv w:val="1"/>
      <w:marLeft w:val="0"/>
      <w:marRight w:val="0"/>
      <w:marTop w:val="0"/>
      <w:marBottom w:val="0"/>
      <w:divBdr>
        <w:top w:val="none" w:sz="0" w:space="0" w:color="auto"/>
        <w:left w:val="none" w:sz="0" w:space="0" w:color="auto"/>
        <w:bottom w:val="none" w:sz="0" w:space="0" w:color="auto"/>
        <w:right w:val="none" w:sz="0" w:space="0" w:color="auto"/>
      </w:divBdr>
    </w:div>
    <w:div w:id="1778720241">
      <w:bodyDiv w:val="1"/>
      <w:marLeft w:val="0"/>
      <w:marRight w:val="0"/>
      <w:marTop w:val="0"/>
      <w:marBottom w:val="0"/>
      <w:divBdr>
        <w:top w:val="none" w:sz="0" w:space="0" w:color="auto"/>
        <w:left w:val="none" w:sz="0" w:space="0" w:color="auto"/>
        <w:bottom w:val="none" w:sz="0" w:space="0" w:color="auto"/>
        <w:right w:val="none" w:sz="0" w:space="0" w:color="auto"/>
      </w:divBdr>
    </w:div>
    <w:div w:id="1778789797">
      <w:bodyDiv w:val="1"/>
      <w:marLeft w:val="0"/>
      <w:marRight w:val="0"/>
      <w:marTop w:val="0"/>
      <w:marBottom w:val="0"/>
      <w:divBdr>
        <w:top w:val="none" w:sz="0" w:space="0" w:color="auto"/>
        <w:left w:val="none" w:sz="0" w:space="0" w:color="auto"/>
        <w:bottom w:val="none" w:sz="0" w:space="0" w:color="auto"/>
        <w:right w:val="none" w:sz="0" w:space="0" w:color="auto"/>
      </w:divBdr>
    </w:div>
    <w:div w:id="1778911148">
      <w:bodyDiv w:val="1"/>
      <w:marLeft w:val="0"/>
      <w:marRight w:val="0"/>
      <w:marTop w:val="0"/>
      <w:marBottom w:val="0"/>
      <w:divBdr>
        <w:top w:val="none" w:sz="0" w:space="0" w:color="auto"/>
        <w:left w:val="none" w:sz="0" w:space="0" w:color="auto"/>
        <w:bottom w:val="none" w:sz="0" w:space="0" w:color="auto"/>
        <w:right w:val="none" w:sz="0" w:space="0" w:color="auto"/>
      </w:divBdr>
    </w:div>
    <w:div w:id="1778914174">
      <w:bodyDiv w:val="1"/>
      <w:marLeft w:val="0"/>
      <w:marRight w:val="0"/>
      <w:marTop w:val="0"/>
      <w:marBottom w:val="0"/>
      <w:divBdr>
        <w:top w:val="none" w:sz="0" w:space="0" w:color="auto"/>
        <w:left w:val="none" w:sz="0" w:space="0" w:color="auto"/>
        <w:bottom w:val="none" w:sz="0" w:space="0" w:color="auto"/>
        <w:right w:val="none" w:sz="0" w:space="0" w:color="auto"/>
      </w:divBdr>
    </w:div>
    <w:div w:id="1779183488">
      <w:bodyDiv w:val="1"/>
      <w:marLeft w:val="0"/>
      <w:marRight w:val="0"/>
      <w:marTop w:val="0"/>
      <w:marBottom w:val="0"/>
      <w:divBdr>
        <w:top w:val="none" w:sz="0" w:space="0" w:color="auto"/>
        <w:left w:val="none" w:sz="0" w:space="0" w:color="auto"/>
        <w:bottom w:val="none" w:sz="0" w:space="0" w:color="auto"/>
        <w:right w:val="none" w:sz="0" w:space="0" w:color="auto"/>
      </w:divBdr>
    </w:div>
    <w:div w:id="1779250358">
      <w:bodyDiv w:val="1"/>
      <w:marLeft w:val="0"/>
      <w:marRight w:val="0"/>
      <w:marTop w:val="0"/>
      <w:marBottom w:val="0"/>
      <w:divBdr>
        <w:top w:val="none" w:sz="0" w:space="0" w:color="auto"/>
        <w:left w:val="none" w:sz="0" w:space="0" w:color="auto"/>
        <w:bottom w:val="none" w:sz="0" w:space="0" w:color="auto"/>
        <w:right w:val="none" w:sz="0" w:space="0" w:color="auto"/>
      </w:divBdr>
    </w:div>
    <w:div w:id="1779253106">
      <w:bodyDiv w:val="1"/>
      <w:marLeft w:val="0"/>
      <w:marRight w:val="0"/>
      <w:marTop w:val="0"/>
      <w:marBottom w:val="0"/>
      <w:divBdr>
        <w:top w:val="none" w:sz="0" w:space="0" w:color="auto"/>
        <w:left w:val="none" w:sz="0" w:space="0" w:color="auto"/>
        <w:bottom w:val="none" w:sz="0" w:space="0" w:color="auto"/>
        <w:right w:val="none" w:sz="0" w:space="0" w:color="auto"/>
      </w:divBdr>
    </w:div>
    <w:div w:id="1779368162">
      <w:bodyDiv w:val="1"/>
      <w:marLeft w:val="0"/>
      <w:marRight w:val="0"/>
      <w:marTop w:val="0"/>
      <w:marBottom w:val="0"/>
      <w:divBdr>
        <w:top w:val="none" w:sz="0" w:space="0" w:color="auto"/>
        <w:left w:val="none" w:sz="0" w:space="0" w:color="auto"/>
        <w:bottom w:val="none" w:sz="0" w:space="0" w:color="auto"/>
        <w:right w:val="none" w:sz="0" w:space="0" w:color="auto"/>
      </w:divBdr>
    </w:div>
    <w:div w:id="1779370136">
      <w:bodyDiv w:val="1"/>
      <w:marLeft w:val="0"/>
      <w:marRight w:val="0"/>
      <w:marTop w:val="0"/>
      <w:marBottom w:val="0"/>
      <w:divBdr>
        <w:top w:val="none" w:sz="0" w:space="0" w:color="auto"/>
        <w:left w:val="none" w:sz="0" w:space="0" w:color="auto"/>
        <w:bottom w:val="none" w:sz="0" w:space="0" w:color="auto"/>
        <w:right w:val="none" w:sz="0" w:space="0" w:color="auto"/>
      </w:divBdr>
    </w:div>
    <w:div w:id="1779372353">
      <w:bodyDiv w:val="1"/>
      <w:marLeft w:val="0"/>
      <w:marRight w:val="0"/>
      <w:marTop w:val="0"/>
      <w:marBottom w:val="0"/>
      <w:divBdr>
        <w:top w:val="none" w:sz="0" w:space="0" w:color="auto"/>
        <w:left w:val="none" w:sz="0" w:space="0" w:color="auto"/>
        <w:bottom w:val="none" w:sz="0" w:space="0" w:color="auto"/>
        <w:right w:val="none" w:sz="0" w:space="0" w:color="auto"/>
      </w:divBdr>
    </w:div>
    <w:div w:id="1779450183">
      <w:bodyDiv w:val="1"/>
      <w:marLeft w:val="0"/>
      <w:marRight w:val="0"/>
      <w:marTop w:val="0"/>
      <w:marBottom w:val="0"/>
      <w:divBdr>
        <w:top w:val="none" w:sz="0" w:space="0" w:color="auto"/>
        <w:left w:val="none" w:sz="0" w:space="0" w:color="auto"/>
        <w:bottom w:val="none" w:sz="0" w:space="0" w:color="auto"/>
        <w:right w:val="none" w:sz="0" w:space="0" w:color="auto"/>
      </w:divBdr>
    </w:div>
    <w:div w:id="1779521643">
      <w:bodyDiv w:val="1"/>
      <w:marLeft w:val="0"/>
      <w:marRight w:val="0"/>
      <w:marTop w:val="0"/>
      <w:marBottom w:val="0"/>
      <w:divBdr>
        <w:top w:val="none" w:sz="0" w:space="0" w:color="auto"/>
        <w:left w:val="none" w:sz="0" w:space="0" w:color="auto"/>
        <w:bottom w:val="none" w:sz="0" w:space="0" w:color="auto"/>
        <w:right w:val="none" w:sz="0" w:space="0" w:color="auto"/>
      </w:divBdr>
    </w:div>
    <w:div w:id="1779526483">
      <w:bodyDiv w:val="1"/>
      <w:marLeft w:val="0"/>
      <w:marRight w:val="0"/>
      <w:marTop w:val="0"/>
      <w:marBottom w:val="0"/>
      <w:divBdr>
        <w:top w:val="none" w:sz="0" w:space="0" w:color="auto"/>
        <w:left w:val="none" w:sz="0" w:space="0" w:color="auto"/>
        <w:bottom w:val="none" w:sz="0" w:space="0" w:color="auto"/>
        <w:right w:val="none" w:sz="0" w:space="0" w:color="auto"/>
      </w:divBdr>
    </w:div>
    <w:div w:id="1779568523">
      <w:bodyDiv w:val="1"/>
      <w:marLeft w:val="0"/>
      <w:marRight w:val="0"/>
      <w:marTop w:val="0"/>
      <w:marBottom w:val="0"/>
      <w:divBdr>
        <w:top w:val="none" w:sz="0" w:space="0" w:color="auto"/>
        <w:left w:val="none" w:sz="0" w:space="0" w:color="auto"/>
        <w:bottom w:val="none" w:sz="0" w:space="0" w:color="auto"/>
        <w:right w:val="none" w:sz="0" w:space="0" w:color="auto"/>
      </w:divBdr>
    </w:div>
    <w:div w:id="1779594816">
      <w:bodyDiv w:val="1"/>
      <w:marLeft w:val="0"/>
      <w:marRight w:val="0"/>
      <w:marTop w:val="0"/>
      <w:marBottom w:val="0"/>
      <w:divBdr>
        <w:top w:val="none" w:sz="0" w:space="0" w:color="auto"/>
        <w:left w:val="none" w:sz="0" w:space="0" w:color="auto"/>
        <w:bottom w:val="none" w:sz="0" w:space="0" w:color="auto"/>
        <w:right w:val="none" w:sz="0" w:space="0" w:color="auto"/>
      </w:divBdr>
    </w:div>
    <w:div w:id="1779640256">
      <w:bodyDiv w:val="1"/>
      <w:marLeft w:val="0"/>
      <w:marRight w:val="0"/>
      <w:marTop w:val="0"/>
      <w:marBottom w:val="0"/>
      <w:divBdr>
        <w:top w:val="none" w:sz="0" w:space="0" w:color="auto"/>
        <w:left w:val="none" w:sz="0" w:space="0" w:color="auto"/>
        <w:bottom w:val="none" w:sz="0" w:space="0" w:color="auto"/>
        <w:right w:val="none" w:sz="0" w:space="0" w:color="auto"/>
      </w:divBdr>
    </w:div>
    <w:div w:id="1779641920">
      <w:bodyDiv w:val="1"/>
      <w:marLeft w:val="0"/>
      <w:marRight w:val="0"/>
      <w:marTop w:val="0"/>
      <w:marBottom w:val="0"/>
      <w:divBdr>
        <w:top w:val="none" w:sz="0" w:space="0" w:color="auto"/>
        <w:left w:val="none" w:sz="0" w:space="0" w:color="auto"/>
        <w:bottom w:val="none" w:sz="0" w:space="0" w:color="auto"/>
        <w:right w:val="none" w:sz="0" w:space="0" w:color="auto"/>
      </w:divBdr>
    </w:div>
    <w:div w:id="1779715565">
      <w:bodyDiv w:val="1"/>
      <w:marLeft w:val="0"/>
      <w:marRight w:val="0"/>
      <w:marTop w:val="0"/>
      <w:marBottom w:val="0"/>
      <w:divBdr>
        <w:top w:val="none" w:sz="0" w:space="0" w:color="auto"/>
        <w:left w:val="none" w:sz="0" w:space="0" w:color="auto"/>
        <w:bottom w:val="none" w:sz="0" w:space="0" w:color="auto"/>
        <w:right w:val="none" w:sz="0" w:space="0" w:color="auto"/>
      </w:divBdr>
    </w:div>
    <w:div w:id="1779762866">
      <w:bodyDiv w:val="1"/>
      <w:marLeft w:val="0"/>
      <w:marRight w:val="0"/>
      <w:marTop w:val="0"/>
      <w:marBottom w:val="0"/>
      <w:divBdr>
        <w:top w:val="none" w:sz="0" w:space="0" w:color="auto"/>
        <w:left w:val="none" w:sz="0" w:space="0" w:color="auto"/>
        <w:bottom w:val="none" w:sz="0" w:space="0" w:color="auto"/>
        <w:right w:val="none" w:sz="0" w:space="0" w:color="auto"/>
      </w:divBdr>
    </w:div>
    <w:div w:id="1779908013">
      <w:bodyDiv w:val="1"/>
      <w:marLeft w:val="0"/>
      <w:marRight w:val="0"/>
      <w:marTop w:val="0"/>
      <w:marBottom w:val="0"/>
      <w:divBdr>
        <w:top w:val="none" w:sz="0" w:space="0" w:color="auto"/>
        <w:left w:val="none" w:sz="0" w:space="0" w:color="auto"/>
        <w:bottom w:val="none" w:sz="0" w:space="0" w:color="auto"/>
        <w:right w:val="none" w:sz="0" w:space="0" w:color="auto"/>
      </w:divBdr>
    </w:div>
    <w:div w:id="1779908128">
      <w:bodyDiv w:val="1"/>
      <w:marLeft w:val="0"/>
      <w:marRight w:val="0"/>
      <w:marTop w:val="0"/>
      <w:marBottom w:val="0"/>
      <w:divBdr>
        <w:top w:val="none" w:sz="0" w:space="0" w:color="auto"/>
        <w:left w:val="none" w:sz="0" w:space="0" w:color="auto"/>
        <w:bottom w:val="none" w:sz="0" w:space="0" w:color="auto"/>
        <w:right w:val="none" w:sz="0" w:space="0" w:color="auto"/>
      </w:divBdr>
    </w:div>
    <w:div w:id="1780026009">
      <w:bodyDiv w:val="1"/>
      <w:marLeft w:val="0"/>
      <w:marRight w:val="0"/>
      <w:marTop w:val="0"/>
      <w:marBottom w:val="0"/>
      <w:divBdr>
        <w:top w:val="none" w:sz="0" w:space="0" w:color="auto"/>
        <w:left w:val="none" w:sz="0" w:space="0" w:color="auto"/>
        <w:bottom w:val="none" w:sz="0" w:space="0" w:color="auto"/>
        <w:right w:val="none" w:sz="0" w:space="0" w:color="auto"/>
      </w:divBdr>
    </w:div>
    <w:div w:id="1780055494">
      <w:bodyDiv w:val="1"/>
      <w:marLeft w:val="0"/>
      <w:marRight w:val="0"/>
      <w:marTop w:val="0"/>
      <w:marBottom w:val="0"/>
      <w:divBdr>
        <w:top w:val="none" w:sz="0" w:space="0" w:color="auto"/>
        <w:left w:val="none" w:sz="0" w:space="0" w:color="auto"/>
        <w:bottom w:val="none" w:sz="0" w:space="0" w:color="auto"/>
        <w:right w:val="none" w:sz="0" w:space="0" w:color="auto"/>
      </w:divBdr>
    </w:div>
    <w:div w:id="1780105276">
      <w:bodyDiv w:val="1"/>
      <w:marLeft w:val="0"/>
      <w:marRight w:val="0"/>
      <w:marTop w:val="0"/>
      <w:marBottom w:val="0"/>
      <w:divBdr>
        <w:top w:val="none" w:sz="0" w:space="0" w:color="auto"/>
        <w:left w:val="none" w:sz="0" w:space="0" w:color="auto"/>
        <w:bottom w:val="none" w:sz="0" w:space="0" w:color="auto"/>
        <w:right w:val="none" w:sz="0" w:space="0" w:color="auto"/>
      </w:divBdr>
    </w:div>
    <w:div w:id="1780252258">
      <w:bodyDiv w:val="1"/>
      <w:marLeft w:val="0"/>
      <w:marRight w:val="0"/>
      <w:marTop w:val="0"/>
      <w:marBottom w:val="0"/>
      <w:divBdr>
        <w:top w:val="none" w:sz="0" w:space="0" w:color="auto"/>
        <w:left w:val="none" w:sz="0" w:space="0" w:color="auto"/>
        <w:bottom w:val="none" w:sz="0" w:space="0" w:color="auto"/>
        <w:right w:val="none" w:sz="0" w:space="0" w:color="auto"/>
      </w:divBdr>
    </w:div>
    <w:div w:id="1780293536">
      <w:bodyDiv w:val="1"/>
      <w:marLeft w:val="0"/>
      <w:marRight w:val="0"/>
      <w:marTop w:val="0"/>
      <w:marBottom w:val="0"/>
      <w:divBdr>
        <w:top w:val="none" w:sz="0" w:space="0" w:color="auto"/>
        <w:left w:val="none" w:sz="0" w:space="0" w:color="auto"/>
        <w:bottom w:val="none" w:sz="0" w:space="0" w:color="auto"/>
        <w:right w:val="none" w:sz="0" w:space="0" w:color="auto"/>
      </w:divBdr>
    </w:div>
    <w:div w:id="1780297965">
      <w:bodyDiv w:val="1"/>
      <w:marLeft w:val="0"/>
      <w:marRight w:val="0"/>
      <w:marTop w:val="0"/>
      <w:marBottom w:val="0"/>
      <w:divBdr>
        <w:top w:val="none" w:sz="0" w:space="0" w:color="auto"/>
        <w:left w:val="none" w:sz="0" w:space="0" w:color="auto"/>
        <w:bottom w:val="none" w:sz="0" w:space="0" w:color="auto"/>
        <w:right w:val="none" w:sz="0" w:space="0" w:color="auto"/>
      </w:divBdr>
    </w:div>
    <w:div w:id="1780299672">
      <w:bodyDiv w:val="1"/>
      <w:marLeft w:val="0"/>
      <w:marRight w:val="0"/>
      <w:marTop w:val="0"/>
      <w:marBottom w:val="0"/>
      <w:divBdr>
        <w:top w:val="none" w:sz="0" w:space="0" w:color="auto"/>
        <w:left w:val="none" w:sz="0" w:space="0" w:color="auto"/>
        <w:bottom w:val="none" w:sz="0" w:space="0" w:color="auto"/>
        <w:right w:val="none" w:sz="0" w:space="0" w:color="auto"/>
      </w:divBdr>
    </w:div>
    <w:div w:id="1780367066">
      <w:bodyDiv w:val="1"/>
      <w:marLeft w:val="0"/>
      <w:marRight w:val="0"/>
      <w:marTop w:val="0"/>
      <w:marBottom w:val="0"/>
      <w:divBdr>
        <w:top w:val="none" w:sz="0" w:space="0" w:color="auto"/>
        <w:left w:val="none" w:sz="0" w:space="0" w:color="auto"/>
        <w:bottom w:val="none" w:sz="0" w:space="0" w:color="auto"/>
        <w:right w:val="none" w:sz="0" w:space="0" w:color="auto"/>
      </w:divBdr>
    </w:div>
    <w:div w:id="1780368035">
      <w:bodyDiv w:val="1"/>
      <w:marLeft w:val="0"/>
      <w:marRight w:val="0"/>
      <w:marTop w:val="0"/>
      <w:marBottom w:val="0"/>
      <w:divBdr>
        <w:top w:val="none" w:sz="0" w:space="0" w:color="auto"/>
        <w:left w:val="none" w:sz="0" w:space="0" w:color="auto"/>
        <w:bottom w:val="none" w:sz="0" w:space="0" w:color="auto"/>
        <w:right w:val="none" w:sz="0" w:space="0" w:color="auto"/>
      </w:divBdr>
    </w:div>
    <w:div w:id="1780369790">
      <w:bodyDiv w:val="1"/>
      <w:marLeft w:val="0"/>
      <w:marRight w:val="0"/>
      <w:marTop w:val="0"/>
      <w:marBottom w:val="0"/>
      <w:divBdr>
        <w:top w:val="none" w:sz="0" w:space="0" w:color="auto"/>
        <w:left w:val="none" w:sz="0" w:space="0" w:color="auto"/>
        <w:bottom w:val="none" w:sz="0" w:space="0" w:color="auto"/>
        <w:right w:val="none" w:sz="0" w:space="0" w:color="auto"/>
      </w:divBdr>
    </w:div>
    <w:div w:id="1780418533">
      <w:bodyDiv w:val="1"/>
      <w:marLeft w:val="0"/>
      <w:marRight w:val="0"/>
      <w:marTop w:val="0"/>
      <w:marBottom w:val="0"/>
      <w:divBdr>
        <w:top w:val="none" w:sz="0" w:space="0" w:color="auto"/>
        <w:left w:val="none" w:sz="0" w:space="0" w:color="auto"/>
        <w:bottom w:val="none" w:sz="0" w:space="0" w:color="auto"/>
        <w:right w:val="none" w:sz="0" w:space="0" w:color="auto"/>
      </w:divBdr>
    </w:div>
    <w:div w:id="1780445342">
      <w:bodyDiv w:val="1"/>
      <w:marLeft w:val="0"/>
      <w:marRight w:val="0"/>
      <w:marTop w:val="0"/>
      <w:marBottom w:val="0"/>
      <w:divBdr>
        <w:top w:val="none" w:sz="0" w:space="0" w:color="auto"/>
        <w:left w:val="none" w:sz="0" w:space="0" w:color="auto"/>
        <w:bottom w:val="none" w:sz="0" w:space="0" w:color="auto"/>
        <w:right w:val="none" w:sz="0" w:space="0" w:color="auto"/>
      </w:divBdr>
    </w:div>
    <w:div w:id="1780447777">
      <w:bodyDiv w:val="1"/>
      <w:marLeft w:val="0"/>
      <w:marRight w:val="0"/>
      <w:marTop w:val="0"/>
      <w:marBottom w:val="0"/>
      <w:divBdr>
        <w:top w:val="none" w:sz="0" w:space="0" w:color="auto"/>
        <w:left w:val="none" w:sz="0" w:space="0" w:color="auto"/>
        <w:bottom w:val="none" w:sz="0" w:space="0" w:color="auto"/>
        <w:right w:val="none" w:sz="0" w:space="0" w:color="auto"/>
      </w:divBdr>
    </w:div>
    <w:div w:id="1780562965">
      <w:bodyDiv w:val="1"/>
      <w:marLeft w:val="0"/>
      <w:marRight w:val="0"/>
      <w:marTop w:val="0"/>
      <w:marBottom w:val="0"/>
      <w:divBdr>
        <w:top w:val="none" w:sz="0" w:space="0" w:color="auto"/>
        <w:left w:val="none" w:sz="0" w:space="0" w:color="auto"/>
        <w:bottom w:val="none" w:sz="0" w:space="0" w:color="auto"/>
        <w:right w:val="none" w:sz="0" w:space="0" w:color="auto"/>
      </w:divBdr>
    </w:div>
    <w:div w:id="1780829384">
      <w:bodyDiv w:val="1"/>
      <w:marLeft w:val="0"/>
      <w:marRight w:val="0"/>
      <w:marTop w:val="0"/>
      <w:marBottom w:val="0"/>
      <w:divBdr>
        <w:top w:val="none" w:sz="0" w:space="0" w:color="auto"/>
        <w:left w:val="none" w:sz="0" w:space="0" w:color="auto"/>
        <w:bottom w:val="none" w:sz="0" w:space="0" w:color="auto"/>
        <w:right w:val="none" w:sz="0" w:space="0" w:color="auto"/>
      </w:divBdr>
    </w:div>
    <w:div w:id="1780832631">
      <w:bodyDiv w:val="1"/>
      <w:marLeft w:val="0"/>
      <w:marRight w:val="0"/>
      <w:marTop w:val="0"/>
      <w:marBottom w:val="0"/>
      <w:divBdr>
        <w:top w:val="none" w:sz="0" w:space="0" w:color="auto"/>
        <w:left w:val="none" w:sz="0" w:space="0" w:color="auto"/>
        <w:bottom w:val="none" w:sz="0" w:space="0" w:color="auto"/>
        <w:right w:val="none" w:sz="0" w:space="0" w:color="auto"/>
      </w:divBdr>
    </w:div>
    <w:div w:id="1780877542">
      <w:bodyDiv w:val="1"/>
      <w:marLeft w:val="0"/>
      <w:marRight w:val="0"/>
      <w:marTop w:val="0"/>
      <w:marBottom w:val="0"/>
      <w:divBdr>
        <w:top w:val="none" w:sz="0" w:space="0" w:color="auto"/>
        <w:left w:val="none" w:sz="0" w:space="0" w:color="auto"/>
        <w:bottom w:val="none" w:sz="0" w:space="0" w:color="auto"/>
        <w:right w:val="none" w:sz="0" w:space="0" w:color="auto"/>
      </w:divBdr>
    </w:div>
    <w:div w:id="1780949159">
      <w:bodyDiv w:val="1"/>
      <w:marLeft w:val="0"/>
      <w:marRight w:val="0"/>
      <w:marTop w:val="0"/>
      <w:marBottom w:val="0"/>
      <w:divBdr>
        <w:top w:val="none" w:sz="0" w:space="0" w:color="auto"/>
        <w:left w:val="none" w:sz="0" w:space="0" w:color="auto"/>
        <w:bottom w:val="none" w:sz="0" w:space="0" w:color="auto"/>
        <w:right w:val="none" w:sz="0" w:space="0" w:color="auto"/>
      </w:divBdr>
    </w:div>
    <w:div w:id="1780952778">
      <w:bodyDiv w:val="1"/>
      <w:marLeft w:val="0"/>
      <w:marRight w:val="0"/>
      <w:marTop w:val="0"/>
      <w:marBottom w:val="0"/>
      <w:divBdr>
        <w:top w:val="none" w:sz="0" w:space="0" w:color="auto"/>
        <w:left w:val="none" w:sz="0" w:space="0" w:color="auto"/>
        <w:bottom w:val="none" w:sz="0" w:space="0" w:color="auto"/>
        <w:right w:val="none" w:sz="0" w:space="0" w:color="auto"/>
      </w:divBdr>
    </w:div>
    <w:div w:id="1781143308">
      <w:bodyDiv w:val="1"/>
      <w:marLeft w:val="0"/>
      <w:marRight w:val="0"/>
      <w:marTop w:val="0"/>
      <w:marBottom w:val="0"/>
      <w:divBdr>
        <w:top w:val="none" w:sz="0" w:space="0" w:color="auto"/>
        <w:left w:val="none" w:sz="0" w:space="0" w:color="auto"/>
        <w:bottom w:val="none" w:sz="0" w:space="0" w:color="auto"/>
        <w:right w:val="none" w:sz="0" w:space="0" w:color="auto"/>
      </w:divBdr>
    </w:div>
    <w:div w:id="1781222819">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1781411164">
      <w:bodyDiv w:val="1"/>
      <w:marLeft w:val="0"/>
      <w:marRight w:val="0"/>
      <w:marTop w:val="0"/>
      <w:marBottom w:val="0"/>
      <w:divBdr>
        <w:top w:val="none" w:sz="0" w:space="0" w:color="auto"/>
        <w:left w:val="none" w:sz="0" w:space="0" w:color="auto"/>
        <w:bottom w:val="none" w:sz="0" w:space="0" w:color="auto"/>
        <w:right w:val="none" w:sz="0" w:space="0" w:color="auto"/>
      </w:divBdr>
    </w:div>
    <w:div w:id="1781415023">
      <w:bodyDiv w:val="1"/>
      <w:marLeft w:val="0"/>
      <w:marRight w:val="0"/>
      <w:marTop w:val="0"/>
      <w:marBottom w:val="0"/>
      <w:divBdr>
        <w:top w:val="none" w:sz="0" w:space="0" w:color="auto"/>
        <w:left w:val="none" w:sz="0" w:space="0" w:color="auto"/>
        <w:bottom w:val="none" w:sz="0" w:space="0" w:color="auto"/>
        <w:right w:val="none" w:sz="0" w:space="0" w:color="auto"/>
      </w:divBdr>
    </w:div>
    <w:div w:id="1781678417">
      <w:bodyDiv w:val="1"/>
      <w:marLeft w:val="0"/>
      <w:marRight w:val="0"/>
      <w:marTop w:val="0"/>
      <w:marBottom w:val="0"/>
      <w:divBdr>
        <w:top w:val="none" w:sz="0" w:space="0" w:color="auto"/>
        <w:left w:val="none" w:sz="0" w:space="0" w:color="auto"/>
        <w:bottom w:val="none" w:sz="0" w:space="0" w:color="auto"/>
        <w:right w:val="none" w:sz="0" w:space="0" w:color="auto"/>
      </w:divBdr>
    </w:div>
    <w:div w:id="1781678463">
      <w:bodyDiv w:val="1"/>
      <w:marLeft w:val="0"/>
      <w:marRight w:val="0"/>
      <w:marTop w:val="0"/>
      <w:marBottom w:val="0"/>
      <w:divBdr>
        <w:top w:val="none" w:sz="0" w:space="0" w:color="auto"/>
        <w:left w:val="none" w:sz="0" w:space="0" w:color="auto"/>
        <w:bottom w:val="none" w:sz="0" w:space="0" w:color="auto"/>
        <w:right w:val="none" w:sz="0" w:space="0" w:color="auto"/>
      </w:divBdr>
    </w:div>
    <w:div w:id="1781684970">
      <w:bodyDiv w:val="1"/>
      <w:marLeft w:val="0"/>
      <w:marRight w:val="0"/>
      <w:marTop w:val="0"/>
      <w:marBottom w:val="0"/>
      <w:divBdr>
        <w:top w:val="none" w:sz="0" w:space="0" w:color="auto"/>
        <w:left w:val="none" w:sz="0" w:space="0" w:color="auto"/>
        <w:bottom w:val="none" w:sz="0" w:space="0" w:color="auto"/>
        <w:right w:val="none" w:sz="0" w:space="0" w:color="auto"/>
      </w:divBdr>
    </w:div>
    <w:div w:id="1782187206">
      <w:bodyDiv w:val="1"/>
      <w:marLeft w:val="0"/>
      <w:marRight w:val="0"/>
      <w:marTop w:val="0"/>
      <w:marBottom w:val="0"/>
      <w:divBdr>
        <w:top w:val="none" w:sz="0" w:space="0" w:color="auto"/>
        <w:left w:val="none" w:sz="0" w:space="0" w:color="auto"/>
        <w:bottom w:val="none" w:sz="0" w:space="0" w:color="auto"/>
        <w:right w:val="none" w:sz="0" w:space="0" w:color="auto"/>
      </w:divBdr>
    </w:div>
    <w:div w:id="1782188568">
      <w:bodyDiv w:val="1"/>
      <w:marLeft w:val="0"/>
      <w:marRight w:val="0"/>
      <w:marTop w:val="0"/>
      <w:marBottom w:val="0"/>
      <w:divBdr>
        <w:top w:val="none" w:sz="0" w:space="0" w:color="auto"/>
        <w:left w:val="none" w:sz="0" w:space="0" w:color="auto"/>
        <w:bottom w:val="none" w:sz="0" w:space="0" w:color="auto"/>
        <w:right w:val="none" w:sz="0" w:space="0" w:color="auto"/>
      </w:divBdr>
    </w:div>
    <w:div w:id="1782217699">
      <w:bodyDiv w:val="1"/>
      <w:marLeft w:val="0"/>
      <w:marRight w:val="0"/>
      <w:marTop w:val="0"/>
      <w:marBottom w:val="0"/>
      <w:divBdr>
        <w:top w:val="none" w:sz="0" w:space="0" w:color="auto"/>
        <w:left w:val="none" w:sz="0" w:space="0" w:color="auto"/>
        <w:bottom w:val="none" w:sz="0" w:space="0" w:color="auto"/>
        <w:right w:val="none" w:sz="0" w:space="0" w:color="auto"/>
      </w:divBdr>
    </w:div>
    <w:div w:id="1782384315">
      <w:bodyDiv w:val="1"/>
      <w:marLeft w:val="0"/>
      <w:marRight w:val="0"/>
      <w:marTop w:val="0"/>
      <w:marBottom w:val="0"/>
      <w:divBdr>
        <w:top w:val="none" w:sz="0" w:space="0" w:color="auto"/>
        <w:left w:val="none" w:sz="0" w:space="0" w:color="auto"/>
        <w:bottom w:val="none" w:sz="0" w:space="0" w:color="auto"/>
        <w:right w:val="none" w:sz="0" w:space="0" w:color="auto"/>
      </w:divBdr>
    </w:div>
    <w:div w:id="1782607614">
      <w:bodyDiv w:val="1"/>
      <w:marLeft w:val="0"/>
      <w:marRight w:val="0"/>
      <w:marTop w:val="0"/>
      <w:marBottom w:val="0"/>
      <w:divBdr>
        <w:top w:val="none" w:sz="0" w:space="0" w:color="auto"/>
        <w:left w:val="none" w:sz="0" w:space="0" w:color="auto"/>
        <w:bottom w:val="none" w:sz="0" w:space="0" w:color="auto"/>
        <w:right w:val="none" w:sz="0" w:space="0" w:color="auto"/>
      </w:divBdr>
    </w:div>
    <w:div w:id="1782799194">
      <w:bodyDiv w:val="1"/>
      <w:marLeft w:val="0"/>
      <w:marRight w:val="0"/>
      <w:marTop w:val="0"/>
      <w:marBottom w:val="0"/>
      <w:divBdr>
        <w:top w:val="none" w:sz="0" w:space="0" w:color="auto"/>
        <w:left w:val="none" w:sz="0" w:space="0" w:color="auto"/>
        <w:bottom w:val="none" w:sz="0" w:space="0" w:color="auto"/>
        <w:right w:val="none" w:sz="0" w:space="0" w:color="auto"/>
      </w:divBdr>
    </w:div>
    <w:div w:id="1782801018">
      <w:bodyDiv w:val="1"/>
      <w:marLeft w:val="0"/>
      <w:marRight w:val="0"/>
      <w:marTop w:val="0"/>
      <w:marBottom w:val="0"/>
      <w:divBdr>
        <w:top w:val="none" w:sz="0" w:space="0" w:color="auto"/>
        <w:left w:val="none" w:sz="0" w:space="0" w:color="auto"/>
        <w:bottom w:val="none" w:sz="0" w:space="0" w:color="auto"/>
        <w:right w:val="none" w:sz="0" w:space="0" w:color="auto"/>
      </w:divBdr>
    </w:div>
    <w:div w:id="1782869949">
      <w:bodyDiv w:val="1"/>
      <w:marLeft w:val="0"/>
      <w:marRight w:val="0"/>
      <w:marTop w:val="0"/>
      <w:marBottom w:val="0"/>
      <w:divBdr>
        <w:top w:val="none" w:sz="0" w:space="0" w:color="auto"/>
        <w:left w:val="none" w:sz="0" w:space="0" w:color="auto"/>
        <w:bottom w:val="none" w:sz="0" w:space="0" w:color="auto"/>
        <w:right w:val="none" w:sz="0" w:space="0" w:color="auto"/>
      </w:divBdr>
    </w:div>
    <w:div w:id="1782921600">
      <w:bodyDiv w:val="1"/>
      <w:marLeft w:val="0"/>
      <w:marRight w:val="0"/>
      <w:marTop w:val="0"/>
      <w:marBottom w:val="0"/>
      <w:divBdr>
        <w:top w:val="none" w:sz="0" w:space="0" w:color="auto"/>
        <w:left w:val="none" w:sz="0" w:space="0" w:color="auto"/>
        <w:bottom w:val="none" w:sz="0" w:space="0" w:color="auto"/>
        <w:right w:val="none" w:sz="0" w:space="0" w:color="auto"/>
      </w:divBdr>
    </w:div>
    <w:div w:id="1782988881">
      <w:bodyDiv w:val="1"/>
      <w:marLeft w:val="0"/>
      <w:marRight w:val="0"/>
      <w:marTop w:val="0"/>
      <w:marBottom w:val="0"/>
      <w:divBdr>
        <w:top w:val="none" w:sz="0" w:space="0" w:color="auto"/>
        <w:left w:val="none" w:sz="0" w:space="0" w:color="auto"/>
        <w:bottom w:val="none" w:sz="0" w:space="0" w:color="auto"/>
        <w:right w:val="none" w:sz="0" w:space="0" w:color="auto"/>
      </w:divBdr>
    </w:div>
    <w:div w:id="1783183743">
      <w:bodyDiv w:val="1"/>
      <w:marLeft w:val="0"/>
      <w:marRight w:val="0"/>
      <w:marTop w:val="0"/>
      <w:marBottom w:val="0"/>
      <w:divBdr>
        <w:top w:val="none" w:sz="0" w:space="0" w:color="auto"/>
        <w:left w:val="none" w:sz="0" w:space="0" w:color="auto"/>
        <w:bottom w:val="none" w:sz="0" w:space="0" w:color="auto"/>
        <w:right w:val="none" w:sz="0" w:space="0" w:color="auto"/>
      </w:divBdr>
    </w:div>
    <w:div w:id="1783256806">
      <w:bodyDiv w:val="1"/>
      <w:marLeft w:val="0"/>
      <w:marRight w:val="0"/>
      <w:marTop w:val="0"/>
      <w:marBottom w:val="0"/>
      <w:divBdr>
        <w:top w:val="none" w:sz="0" w:space="0" w:color="auto"/>
        <w:left w:val="none" w:sz="0" w:space="0" w:color="auto"/>
        <w:bottom w:val="none" w:sz="0" w:space="0" w:color="auto"/>
        <w:right w:val="none" w:sz="0" w:space="0" w:color="auto"/>
      </w:divBdr>
    </w:div>
    <w:div w:id="1783377633">
      <w:bodyDiv w:val="1"/>
      <w:marLeft w:val="0"/>
      <w:marRight w:val="0"/>
      <w:marTop w:val="0"/>
      <w:marBottom w:val="0"/>
      <w:divBdr>
        <w:top w:val="none" w:sz="0" w:space="0" w:color="auto"/>
        <w:left w:val="none" w:sz="0" w:space="0" w:color="auto"/>
        <w:bottom w:val="none" w:sz="0" w:space="0" w:color="auto"/>
        <w:right w:val="none" w:sz="0" w:space="0" w:color="auto"/>
      </w:divBdr>
    </w:div>
    <w:div w:id="1783380736">
      <w:bodyDiv w:val="1"/>
      <w:marLeft w:val="0"/>
      <w:marRight w:val="0"/>
      <w:marTop w:val="0"/>
      <w:marBottom w:val="0"/>
      <w:divBdr>
        <w:top w:val="none" w:sz="0" w:space="0" w:color="auto"/>
        <w:left w:val="none" w:sz="0" w:space="0" w:color="auto"/>
        <w:bottom w:val="none" w:sz="0" w:space="0" w:color="auto"/>
        <w:right w:val="none" w:sz="0" w:space="0" w:color="auto"/>
      </w:divBdr>
    </w:div>
    <w:div w:id="1783455414">
      <w:bodyDiv w:val="1"/>
      <w:marLeft w:val="0"/>
      <w:marRight w:val="0"/>
      <w:marTop w:val="0"/>
      <w:marBottom w:val="0"/>
      <w:divBdr>
        <w:top w:val="none" w:sz="0" w:space="0" w:color="auto"/>
        <w:left w:val="none" w:sz="0" w:space="0" w:color="auto"/>
        <w:bottom w:val="none" w:sz="0" w:space="0" w:color="auto"/>
        <w:right w:val="none" w:sz="0" w:space="0" w:color="auto"/>
      </w:divBdr>
    </w:div>
    <w:div w:id="1783576115">
      <w:bodyDiv w:val="1"/>
      <w:marLeft w:val="0"/>
      <w:marRight w:val="0"/>
      <w:marTop w:val="0"/>
      <w:marBottom w:val="0"/>
      <w:divBdr>
        <w:top w:val="none" w:sz="0" w:space="0" w:color="auto"/>
        <w:left w:val="none" w:sz="0" w:space="0" w:color="auto"/>
        <w:bottom w:val="none" w:sz="0" w:space="0" w:color="auto"/>
        <w:right w:val="none" w:sz="0" w:space="0" w:color="auto"/>
      </w:divBdr>
    </w:div>
    <w:div w:id="1783643551">
      <w:bodyDiv w:val="1"/>
      <w:marLeft w:val="0"/>
      <w:marRight w:val="0"/>
      <w:marTop w:val="0"/>
      <w:marBottom w:val="0"/>
      <w:divBdr>
        <w:top w:val="none" w:sz="0" w:space="0" w:color="auto"/>
        <w:left w:val="none" w:sz="0" w:space="0" w:color="auto"/>
        <w:bottom w:val="none" w:sz="0" w:space="0" w:color="auto"/>
        <w:right w:val="none" w:sz="0" w:space="0" w:color="auto"/>
      </w:divBdr>
    </w:div>
    <w:div w:id="1783650829">
      <w:bodyDiv w:val="1"/>
      <w:marLeft w:val="0"/>
      <w:marRight w:val="0"/>
      <w:marTop w:val="0"/>
      <w:marBottom w:val="0"/>
      <w:divBdr>
        <w:top w:val="none" w:sz="0" w:space="0" w:color="auto"/>
        <w:left w:val="none" w:sz="0" w:space="0" w:color="auto"/>
        <w:bottom w:val="none" w:sz="0" w:space="0" w:color="auto"/>
        <w:right w:val="none" w:sz="0" w:space="0" w:color="auto"/>
      </w:divBdr>
    </w:div>
    <w:div w:id="1783765097">
      <w:bodyDiv w:val="1"/>
      <w:marLeft w:val="0"/>
      <w:marRight w:val="0"/>
      <w:marTop w:val="0"/>
      <w:marBottom w:val="0"/>
      <w:divBdr>
        <w:top w:val="none" w:sz="0" w:space="0" w:color="auto"/>
        <w:left w:val="none" w:sz="0" w:space="0" w:color="auto"/>
        <w:bottom w:val="none" w:sz="0" w:space="0" w:color="auto"/>
        <w:right w:val="none" w:sz="0" w:space="0" w:color="auto"/>
      </w:divBdr>
    </w:div>
    <w:div w:id="1783836979">
      <w:bodyDiv w:val="1"/>
      <w:marLeft w:val="0"/>
      <w:marRight w:val="0"/>
      <w:marTop w:val="0"/>
      <w:marBottom w:val="0"/>
      <w:divBdr>
        <w:top w:val="none" w:sz="0" w:space="0" w:color="auto"/>
        <w:left w:val="none" w:sz="0" w:space="0" w:color="auto"/>
        <w:bottom w:val="none" w:sz="0" w:space="0" w:color="auto"/>
        <w:right w:val="none" w:sz="0" w:space="0" w:color="auto"/>
      </w:divBdr>
    </w:div>
    <w:div w:id="1783840129">
      <w:bodyDiv w:val="1"/>
      <w:marLeft w:val="0"/>
      <w:marRight w:val="0"/>
      <w:marTop w:val="0"/>
      <w:marBottom w:val="0"/>
      <w:divBdr>
        <w:top w:val="none" w:sz="0" w:space="0" w:color="auto"/>
        <w:left w:val="none" w:sz="0" w:space="0" w:color="auto"/>
        <w:bottom w:val="none" w:sz="0" w:space="0" w:color="auto"/>
        <w:right w:val="none" w:sz="0" w:space="0" w:color="auto"/>
      </w:divBdr>
    </w:div>
    <w:div w:id="1783917338">
      <w:bodyDiv w:val="1"/>
      <w:marLeft w:val="0"/>
      <w:marRight w:val="0"/>
      <w:marTop w:val="0"/>
      <w:marBottom w:val="0"/>
      <w:divBdr>
        <w:top w:val="none" w:sz="0" w:space="0" w:color="auto"/>
        <w:left w:val="none" w:sz="0" w:space="0" w:color="auto"/>
        <w:bottom w:val="none" w:sz="0" w:space="0" w:color="auto"/>
        <w:right w:val="none" w:sz="0" w:space="0" w:color="auto"/>
      </w:divBdr>
    </w:div>
    <w:div w:id="1783920336">
      <w:bodyDiv w:val="1"/>
      <w:marLeft w:val="0"/>
      <w:marRight w:val="0"/>
      <w:marTop w:val="0"/>
      <w:marBottom w:val="0"/>
      <w:divBdr>
        <w:top w:val="none" w:sz="0" w:space="0" w:color="auto"/>
        <w:left w:val="none" w:sz="0" w:space="0" w:color="auto"/>
        <w:bottom w:val="none" w:sz="0" w:space="0" w:color="auto"/>
        <w:right w:val="none" w:sz="0" w:space="0" w:color="auto"/>
      </w:divBdr>
    </w:div>
    <w:div w:id="1783920767">
      <w:bodyDiv w:val="1"/>
      <w:marLeft w:val="0"/>
      <w:marRight w:val="0"/>
      <w:marTop w:val="0"/>
      <w:marBottom w:val="0"/>
      <w:divBdr>
        <w:top w:val="none" w:sz="0" w:space="0" w:color="auto"/>
        <w:left w:val="none" w:sz="0" w:space="0" w:color="auto"/>
        <w:bottom w:val="none" w:sz="0" w:space="0" w:color="auto"/>
        <w:right w:val="none" w:sz="0" w:space="0" w:color="auto"/>
      </w:divBdr>
    </w:div>
    <w:div w:id="1784029304">
      <w:bodyDiv w:val="1"/>
      <w:marLeft w:val="0"/>
      <w:marRight w:val="0"/>
      <w:marTop w:val="0"/>
      <w:marBottom w:val="0"/>
      <w:divBdr>
        <w:top w:val="none" w:sz="0" w:space="0" w:color="auto"/>
        <w:left w:val="none" w:sz="0" w:space="0" w:color="auto"/>
        <w:bottom w:val="none" w:sz="0" w:space="0" w:color="auto"/>
        <w:right w:val="none" w:sz="0" w:space="0" w:color="auto"/>
      </w:divBdr>
    </w:div>
    <w:div w:id="1784109816">
      <w:bodyDiv w:val="1"/>
      <w:marLeft w:val="0"/>
      <w:marRight w:val="0"/>
      <w:marTop w:val="0"/>
      <w:marBottom w:val="0"/>
      <w:divBdr>
        <w:top w:val="none" w:sz="0" w:space="0" w:color="auto"/>
        <w:left w:val="none" w:sz="0" w:space="0" w:color="auto"/>
        <w:bottom w:val="none" w:sz="0" w:space="0" w:color="auto"/>
        <w:right w:val="none" w:sz="0" w:space="0" w:color="auto"/>
      </w:divBdr>
    </w:div>
    <w:div w:id="1784156276">
      <w:bodyDiv w:val="1"/>
      <w:marLeft w:val="0"/>
      <w:marRight w:val="0"/>
      <w:marTop w:val="0"/>
      <w:marBottom w:val="0"/>
      <w:divBdr>
        <w:top w:val="none" w:sz="0" w:space="0" w:color="auto"/>
        <w:left w:val="none" w:sz="0" w:space="0" w:color="auto"/>
        <w:bottom w:val="none" w:sz="0" w:space="0" w:color="auto"/>
        <w:right w:val="none" w:sz="0" w:space="0" w:color="auto"/>
      </w:divBdr>
    </w:div>
    <w:div w:id="1784180712">
      <w:bodyDiv w:val="1"/>
      <w:marLeft w:val="0"/>
      <w:marRight w:val="0"/>
      <w:marTop w:val="0"/>
      <w:marBottom w:val="0"/>
      <w:divBdr>
        <w:top w:val="none" w:sz="0" w:space="0" w:color="auto"/>
        <w:left w:val="none" w:sz="0" w:space="0" w:color="auto"/>
        <w:bottom w:val="none" w:sz="0" w:space="0" w:color="auto"/>
        <w:right w:val="none" w:sz="0" w:space="0" w:color="auto"/>
      </w:divBdr>
    </w:div>
    <w:div w:id="1784182108">
      <w:bodyDiv w:val="1"/>
      <w:marLeft w:val="0"/>
      <w:marRight w:val="0"/>
      <w:marTop w:val="0"/>
      <w:marBottom w:val="0"/>
      <w:divBdr>
        <w:top w:val="none" w:sz="0" w:space="0" w:color="auto"/>
        <w:left w:val="none" w:sz="0" w:space="0" w:color="auto"/>
        <w:bottom w:val="none" w:sz="0" w:space="0" w:color="auto"/>
        <w:right w:val="none" w:sz="0" w:space="0" w:color="auto"/>
      </w:divBdr>
    </w:div>
    <w:div w:id="1784184663">
      <w:bodyDiv w:val="1"/>
      <w:marLeft w:val="0"/>
      <w:marRight w:val="0"/>
      <w:marTop w:val="0"/>
      <w:marBottom w:val="0"/>
      <w:divBdr>
        <w:top w:val="none" w:sz="0" w:space="0" w:color="auto"/>
        <w:left w:val="none" w:sz="0" w:space="0" w:color="auto"/>
        <w:bottom w:val="none" w:sz="0" w:space="0" w:color="auto"/>
        <w:right w:val="none" w:sz="0" w:space="0" w:color="auto"/>
      </w:divBdr>
    </w:div>
    <w:div w:id="1784303448">
      <w:bodyDiv w:val="1"/>
      <w:marLeft w:val="0"/>
      <w:marRight w:val="0"/>
      <w:marTop w:val="0"/>
      <w:marBottom w:val="0"/>
      <w:divBdr>
        <w:top w:val="none" w:sz="0" w:space="0" w:color="auto"/>
        <w:left w:val="none" w:sz="0" w:space="0" w:color="auto"/>
        <w:bottom w:val="none" w:sz="0" w:space="0" w:color="auto"/>
        <w:right w:val="none" w:sz="0" w:space="0" w:color="auto"/>
      </w:divBdr>
    </w:div>
    <w:div w:id="1784379788">
      <w:bodyDiv w:val="1"/>
      <w:marLeft w:val="0"/>
      <w:marRight w:val="0"/>
      <w:marTop w:val="0"/>
      <w:marBottom w:val="0"/>
      <w:divBdr>
        <w:top w:val="none" w:sz="0" w:space="0" w:color="auto"/>
        <w:left w:val="none" w:sz="0" w:space="0" w:color="auto"/>
        <w:bottom w:val="none" w:sz="0" w:space="0" w:color="auto"/>
        <w:right w:val="none" w:sz="0" w:space="0" w:color="auto"/>
      </w:divBdr>
    </w:div>
    <w:div w:id="1784418770">
      <w:bodyDiv w:val="1"/>
      <w:marLeft w:val="0"/>
      <w:marRight w:val="0"/>
      <w:marTop w:val="0"/>
      <w:marBottom w:val="0"/>
      <w:divBdr>
        <w:top w:val="none" w:sz="0" w:space="0" w:color="auto"/>
        <w:left w:val="none" w:sz="0" w:space="0" w:color="auto"/>
        <w:bottom w:val="none" w:sz="0" w:space="0" w:color="auto"/>
        <w:right w:val="none" w:sz="0" w:space="0" w:color="auto"/>
      </w:divBdr>
    </w:div>
    <w:div w:id="1784572737">
      <w:bodyDiv w:val="1"/>
      <w:marLeft w:val="0"/>
      <w:marRight w:val="0"/>
      <w:marTop w:val="0"/>
      <w:marBottom w:val="0"/>
      <w:divBdr>
        <w:top w:val="none" w:sz="0" w:space="0" w:color="auto"/>
        <w:left w:val="none" w:sz="0" w:space="0" w:color="auto"/>
        <w:bottom w:val="none" w:sz="0" w:space="0" w:color="auto"/>
        <w:right w:val="none" w:sz="0" w:space="0" w:color="auto"/>
      </w:divBdr>
    </w:div>
    <w:div w:id="1785030211">
      <w:bodyDiv w:val="1"/>
      <w:marLeft w:val="0"/>
      <w:marRight w:val="0"/>
      <w:marTop w:val="0"/>
      <w:marBottom w:val="0"/>
      <w:divBdr>
        <w:top w:val="none" w:sz="0" w:space="0" w:color="auto"/>
        <w:left w:val="none" w:sz="0" w:space="0" w:color="auto"/>
        <w:bottom w:val="none" w:sz="0" w:space="0" w:color="auto"/>
        <w:right w:val="none" w:sz="0" w:space="0" w:color="auto"/>
      </w:divBdr>
    </w:div>
    <w:div w:id="1785073988">
      <w:bodyDiv w:val="1"/>
      <w:marLeft w:val="0"/>
      <w:marRight w:val="0"/>
      <w:marTop w:val="0"/>
      <w:marBottom w:val="0"/>
      <w:divBdr>
        <w:top w:val="none" w:sz="0" w:space="0" w:color="auto"/>
        <w:left w:val="none" w:sz="0" w:space="0" w:color="auto"/>
        <w:bottom w:val="none" w:sz="0" w:space="0" w:color="auto"/>
        <w:right w:val="none" w:sz="0" w:space="0" w:color="auto"/>
      </w:divBdr>
    </w:div>
    <w:div w:id="1785075980">
      <w:bodyDiv w:val="1"/>
      <w:marLeft w:val="0"/>
      <w:marRight w:val="0"/>
      <w:marTop w:val="0"/>
      <w:marBottom w:val="0"/>
      <w:divBdr>
        <w:top w:val="none" w:sz="0" w:space="0" w:color="auto"/>
        <w:left w:val="none" w:sz="0" w:space="0" w:color="auto"/>
        <w:bottom w:val="none" w:sz="0" w:space="0" w:color="auto"/>
        <w:right w:val="none" w:sz="0" w:space="0" w:color="auto"/>
      </w:divBdr>
    </w:div>
    <w:div w:id="1785155363">
      <w:bodyDiv w:val="1"/>
      <w:marLeft w:val="0"/>
      <w:marRight w:val="0"/>
      <w:marTop w:val="0"/>
      <w:marBottom w:val="0"/>
      <w:divBdr>
        <w:top w:val="none" w:sz="0" w:space="0" w:color="auto"/>
        <w:left w:val="none" w:sz="0" w:space="0" w:color="auto"/>
        <w:bottom w:val="none" w:sz="0" w:space="0" w:color="auto"/>
        <w:right w:val="none" w:sz="0" w:space="0" w:color="auto"/>
      </w:divBdr>
    </w:div>
    <w:div w:id="1785225116">
      <w:bodyDiv w:val="1"/>
      <w:marLeft w:val="0"/>
      <w:marRight w:val="0"/>
      <w:marTop w:val="0"/>
      <w:marBottom w:val="0"/>
      <w:divBdr>
        <w:top w:val="none" w:sz="0" w:space="0" w:color="auto"/>
        <w:left w:val="none" w:sz="0" w:space="0" w:color="auto"/>
        <w:bottom w:val="none" w:sz="0" w:space="0" w:color="auto"/>
        <w:right w:val="none" w:sz="0" w:space="0" w:color="auto"/>
      </w:divBdr>
    </w:div>
    <w:div w:id="1785880127">
      <w:bodyDiv w:val="1"/>
      <w:marLeft w:val="0"/>
      <w:marRight w:val="0"/>
      <w:marTop w:val="0"/>
      <w:marBottom w:val="0"/>
      <w:divBdr>
        <w:top w:val="none" w:sz="0" w:space="0" w:color="auto"/>
        <w:left w:val="none" w:sz="0" w:space="0" w:color="auto"/>
        <w:bottom w:val="none" w:sz="0" w:space="0" w:color="auto"/>
        <w:right w:val="none" w:sz="0" w:space="0" w:color="auto"/>
      </w:divBdr>
    </w:div>
    <w:div w:id="1785880878">
      <w:bodyDiv w:val="1"/>
      <w:marLeft w:val="0"/>
      <w:marRight w:val="0"/>
      <w:marTop w:val="0"/>
      <w:marBottom w:val="0"/>
      <w:divBdr>
        <w:top w:val="none" w:sz="0" w:space="0" w:color="auto"/>
        <w:left w:val="none" w:sz="0" w:space="0" w:color="auto"/>
        <w:bottom w:val="none" w:sz="0" w:space="0" w:color="auto"/>
        <w:right w:val="none" w:sz="0" w:space="0" w:color="auto"/>
      </w:divBdr>
    </w:div>
    <w:div w:id="1785886703">
      <w:bodyDiv w:val="1"/>
      <w:marLeft w:val="0"/>
      <w:marRight w:val="0"/>
      <w:marTop w:val="0"/>
      <w:marBottom w:val="0"/>
      <w:divBdr>
        <w:top w:val="none" w:sz="0" w:space="0" w:color="auto"/>
        <w:left w:val="none" w:sz="0" w:space="0" w:color="auto"/>
        <w:bottom w:val="none" w:sz="0" w:space="0" w:color="auto"/>
        <w:right w:val="none" w:sz="0" w:space="0" w:color="auto"/>
      </w:divBdr>
    </w:div>
    <w:div w:id="1785927944">
      <w:bodyDiv w:val="1"/>
      <w:marLeft w:val="0"/>
      <w:marRight w:val="0"/>
      <w:marTop w:val="0"/>
      <w:marBottom w:val="0"/>
      <w:divBdr>
        <w:top w:val="none" w:sz="0" w:space="0" w:color="auto"/>
        <w:left w:val="none" w:sz="0" w:space="0" w:color="auto"/>
        <w:bottom w:val="none" w:sz="0" w:space="0" w:color="auto"/>
        <w:right w:val="none" w:sz="0" w:space="0" w:color="auto"/>
      </w:divBdr>
    </w:div>
    <w:div w:id="1786071212">
      <w:bodyDiv w:val="1"/>
      <w:marLeft w:val="0"/>
      <w:marRight w:val="0"/>
      <w:marTop w:val="0"/>
      <w:marBottom w:val="0"/>
      <w:divBdr>
        <w:top w:val="none" w:sz="0" w:space="0" w:color="auto"/>
        <w:left w:val="none" w:sz="0" w:space="0" w:color="auto"/>
        <w:bottom w:val="none" w:sz="0" w:space="0" w:color="auto"/>
        <w:right w:val="none" w:sz="0" w:space="0" w:color="auto"/>
      </w:divBdr>
    </w:div>
    <w:div w:id="1786119637">
      <w:bodyDiv w:val="1"/>
      <w:marLeft w:val="0"/>
      <w:marRight w:val="0"/>
      <w:marTop w:val="0"/>
      <w:marBottom w:val="0"/>
      <w:divBdr>
        <w:top w:val="none" w:sz="0" w:space="0" w:color="auto"/>
        <w:left w:val="none" w:sz="0" w:space="0" w:color="auto"/>
        <w:bottom w:val="none" w:sz="0" w:space="0" w:color="auto"/>
        <w:right w:val="none" w:sz="0" w:space="0" w:color="auto"/>
      </w:divBdr>
    </w:div>
    <w:div w:id="1786271901">
      <w:bodyDiv w:val="1"/>
      <w:marLeft w:val="0"/>
      <w:marRight w:val="0"/>
      <w:marTop w:val="0"/>
      <w:marBottom w:val="0"/>
      <w:divBdr>
        <w:top w:val="none" w:sz="0" w:space="0" w:color="auto"/>
        <w:left w:val="none" w:sz="0" w:space="0" w:color="auto"/>
        <w:bottom w:val="none" w:sz="0" w:space="0" w:color="auto"/>
        <w:right w:val="none" w:sz="0" w:space="0" w:color="auto"/>
      </w:divBdr>
    </w:div>
    <w:div w:id="1786381849">
      <w:bodyDiv w:val="1"/>
      <w:marLeft w:val="0"/>
      <w:marRight w:val="0"/>
      <w:marTop w:val="0"/>
      <w:marBottom w:val="0"/>
      <w:divBdr>
        <w:top w:val="none" w:sz="0" w:space="0" w:color="auto"/>
        <w:left w:val="none" w:sz="0" w:space="0" w:color="auto"/>
        <w:bottom w:val="none" w:sz="0" w:space="0" w:color="auto"/>
        <w:right w:val="none" w:sz="0" w:space="0" w:color="auto"/>
      </w:divBdr>
    </w:div>
    <w:div w:id="1786534126">
      <w:bodyDiv w:val="1"/>
      <w:marLeft w:val="0"/>
      <w:marRight w:val="0"/>
      <w:marTop w:val="0"/>
      <w:marBottom w:val="0"/>
      <w:divBdr>
        <w:top w:val="none" w:sz="0" w:space="0" w:color="auto"/>
        <w:left w:val="none" w:sz="0" w:space="0" w:color="auto"/>
        <w:bottom w:val="none" w:sz="0" w:space="0" w:color="auto"/>
        <w:right w:val="none" w:sz="0" w:space="0" w:color="auto"/>
      </w:divBdr>
    </w:div>
    <w:div w:id="1786535501">
      <w:bodyDiv w:val="1"/>
      <w:marLeft w:val="0"/>
      <w:marRight w:val="0"/>
      <w:marTop w:val="0"/>
      <w:marBottom w:val="0"/>
      <w:divBdr>
        <w:top w:val="none" w:sz="0" w:space="0" w:color="auto"/>
        <w:left w:val="none" w:sz="0" w:space="0" w:color="auto"/>
        <w:bottom w:val="none" w:sz="0" w:space="0" w:color="auto"/>
        <w:right w:val="none" w:sz="0" w:space="0" w:color="auto"/>
      </w:divBdr>
    </w:div>
    <w:div w:id="1786607851">
      <w:bodyDiv w:val="1"/>
      <w:marLeft w:val="0"/>
      <w:marRight w:val="0"/>
      <w:marTop w:val="0"/>
      <w:marBottom w:val="0"/>
      <w:divBdr>
        <w:top w:val="none" w:sz="0" w:space="0" w:color="auto"/>
        <w:left w:val="none" w:sz="0" w:space="0" w:color="auto"/>
        <w:bottom w:val="none" w:sz="0" w:space="0" w:color="auto"/>
        <w:right w:val="none" w:sz="0" w:space="0" w:color="auto"/>
      </w:divBdr>
    </w:div>
    <w:div w:id="1786652244">
      <w:bodyDiv w:val="1"/>
      <w:marLeft w:val="0"/>
      <w:marRight w:val="0"/>
      <w:marTop w:val="0"/>
      <w:marBottom w:val="0"/>
      <w:divBdr>
        <w:top w:val="none" w:sz="0" w:space="0" w:color="auto"/>
        <w:left w:val="none" w:sz="0" w:space="0" w:color="auto"/>
        <w:bottom w:val="none" w:sz="0" w:space="0" w:color="auto"/>
        <w:right w:val="none" w:sz="0" w:space="0" w:color="auto"/>
      </w:divBdr>
    </w:div>
    <w:div w:id="1786730086">
      <w:bodyDiv w:val="1"/>
      <w:marLeft w:val="0"/>
      <w:marRight w:val="0"/>
      <w:marTop w:val="0"/>
      <w:marBottom w:val="0"/>
      <w:divBdr>
        <w:top w:val="none" w:sz="0" w:space="0" w:color="auto"/>
        <w:left w:val="none" w:sz="0" w:space="0" w:color="auto"/>
        <w:bottom w:val="none" w:sz="0" w:space="0" w:color="auto"/>
        <w:right w:val="none" w:sz="0" w:space="0" w:color="auto"/>
      </w:divBdr>
    </w:div>
    <w:div w:id="1786919545">
      <w:bodyDiv w:val="1"/>
      <w:marLeft w:val="0"/>
      <w:marRight w:val="0"/>
      <w:marTop w:val="0"/>
      <w:marBottom w:val="0"/>
      <w:divBdr>
        <w:top w:val="none" w:sz="0" w:space="0" w:color="auto"/>
        <w:left w:val="none" w:sz="0" w:space="0" w:color="auto"/>
        <w:bottom w:val="none" w:sz="0" w:space="0" w:color="auto"/>
        <w:right w:val="none" w:sz="0" w:space="0" w:color="auto"/>
      </w:divBdr>
    </w:div>
    <w:div w:id="1787037442">
      <w:bodyDiv w:val="1"/>
      <w:marLeft w:val="0"/>
      <w:marRight w:val="0"/>
      <w:marTop w:val="0"/>
      <w:marBottom w:val="0"/>
      <w:divBdr>
        <w:top w:val="none" w:sz="0" w:space="0" w:color="auto"/>
        <w:left w:val="none" w:sz="0" w:space="0" w:color="auto"/>
        <w:bottom w:val="none" w:sz="0" w:space="0" w:color="auto"/>
        <w:right w:val="none" w:sz="0" w:space="0" w:color="auto"/>
      </w:divBdr>
    </w:div>
    <w:div w:id="1787039575">
      <w:bodyDiv w:val="1"/>
      <w:marLeft w:val="0"/>
      <w:marRight w:val="0"/>
      <w:marTop w:val="0"/>
      <w:marBottom w:val="0"/>
      <w:divBdr>
        <w:top w:val="none" w:sz="0" w:space="0" w:color="auto"/>
        <w:left w:val="none" w:sz="0" w:space="0" w:color="auto"/>
        <w:bottom w:val="none" w:sz="0" w:space="0" w:color="auto"/>
        <w:right w:val="none" w:sz="0" w:space="0" w:color="auto"/>
      </w:divBdr>
    </w:div>
    <w:div w:id="1787042354">
      <w:bodyDiv w:val="1"/>
      <w:marLeft w:val="0"/>
      <w:marRight w:val="0"/>
      <w:marTop w:val="0"/>
      <w:marBottom w:val="0"/>
      <w:divBdr>
        <w:top w:val="none" w:sz="0" w:space="0" w:color="auto"/>
        <w:left w:val="none" w:sz="0" w:space="0" w:color="auto"/>
        <w:bottom w:val="none" w:sz="0" w:space="0" w:color="auto"/>
        <w:right w:val="none" w:sz="0" w:space="0" w:color="auto"/>
      </w:divBdr>
    </w:div>
    <w:div w:id="1787113850">
      <w:bodyDiv w:val="1"/>
      <w:marLeft w:val="0"/>
      <w:marRight w:val="0"/>
      <w:marTop w:val="0"/>
      <w:marBottom w:val="0"/>
      <w:divBdr>
        <w:top w:val="none" w:sz="0" w:space="0" w:color="auto"/>
        <w:left w:val="none" w:sz="0" w:space="0" w:color="auto"/>
        <w:bottom w:val="none" w:sz="0" w:space="0" w:color="auto"/>
        <w:right w:val="none" w:sz="0" w:space="0" w:color="auto"/>
      </w:divBdr>
    </w:div>
    <w:div w:id="1787115819">
      <w:bodyDiv w:val="1"/>
      <w:marLeft w:val="0"/>
      <w:marRight w:val="0"/>
      <w:marTop w:val="0"/>
      <w:marBottom w:val="0"/>
      <w:divBdr>
        <w:top w:val="none" w:sz="0" w:space="0" w:color="auto"/>
        <w:left w:val="none" w:sz="0" w:space="0" w:color="auto"/>
        <w:bottom w:val="none" w:sz="0" w:space="0" w:color="auto"/>
        <w:right w:val="none" w:sz="0" w:space="0" w:color="auto"/>
      </w:divBdr>
    </w:div>
    <w:div w:id="1787117500">
      <w:bodyDiv w:val="1"/>
      <w:marLeft w:val="0"/>
      <w:marRight w:val="0"/>
      <w:marTop w:val="0"/>
      <w:marBottom w:val="0"/>
      <w:divBdr>
        <w:top w:val="none" w:sz="0" w:space="0" w:color="auto"/>
        <w:left w:val="none" w:sz="0" w:space="0" w:color="auto"/>
        <w:bottom w:val="none" w:sz="0" w:space="0" w:color="auto"/>
        <w:right w:val="none" w:sz="0" w:space="0" w:color="auto"/>
      </w:divBdr>
    </w:div>
    <w:div w:id="1787120059">
      <w:bodyDiv w:val="1"/>
      <w:marLeft w:val="0"/>
      <w:marRight w:val="0"/>
      <w:marTop w:val="0"/>
      <w:marBottom w:val="0"/>
      <w:divBdr>
        <w:top w:val="none" w:sz="0" w:space="0" w:color="auto"/>
        <w:left w:val="none" w:sz="0" w:space="0" w:color="auto"/>
        <w:bottom w:val="none" w:sz="0" w:space="0" w:color="auto"/>
        <w:right w:val="none" w:sz="0" w:space="0" w:color="auto"/>
      </w:divBdr>
    </w:div>
    <w:div w:id="1787120887">
      <w:bodyDiv w:val="1"/>
      <w:marLeft w:val="0"/>
      <w:marRight w:val="0"/>
      <w:marTop w:val="0"/>
      <w:marBottom w:val="0"/>
      <w:divBdr>
        <w:top w:val="none" w:sz="0" w:space="0" w:color="auto"/>
        <w:left w:val="none" w:sz="0" w:space="0" w:color="auto"/>
        <w:bottom w:val="none" w:sz="0" w:space="0" w:color="auto"/>
        <w:right w:val="none" w:sz="0" w:space="0" w:color="auto"/>
      </w:divBdr>
    </w:div>
    <w:div w:id="1787237530">
      <w:bodyDiv w:val="1"/>
      <w:marLeft w:val="0"/>
      <w:marRight w:val="0"/>
      <w:marTop w:val="0"/>
      <w:marBottom w:val="0"/>
      <w:divBdr>
        <w:top w:val="none" w:sz="0" w:space="0" w:color="auto"/>
        <w:left w:val="none" w:sz="0" w:space="0" w:color="auto"/>
        <w:bottom w:val="none" w:sz="0" w:space="0" w:color="auto"/>
        <w:right w:val="none" w:sz="0" w:space="0" w:color="auto"/>
      </w:divBdr>
    </w:div>
    <w:div w:id="1787239320">
      <w:bodyDiv w:val="1"/>
      <w:marLeft w:val="0"/>
      <w:marRight w:val="0"/>
      <w:marTop w:val="0"/>
      <w:marBottom w:val="0"/>
      <w:divBdr>
        <w:top w:val="none" w:sz="0" w:space="0" w:color="auto"/>
        <w:left w:val="none" w:sz="0" w:space="0" w:color="auto"/>
        <w:bottom w:val="none" w:sz="0" w:space="0" w:color="auto"/>
        <w:right w:val="none" w:sz="0" w:space="0" w:color="auto"/>
      </w:divBdr>
    </w:div>
    <w:div w:id="1787312023">
      <w:bodyDiv w:val="1"/>
      <w:marLeft w:val="0"/>
      <w:marRight w:val="0"/>
      <w:marTop w:val="0"/>
      <w:marBottom w:val="0"/>
      <w:divBdr>
        <w:top w:val="none" w:sz="0" w:space="0" w:color="auto"/>
        <w:left w:val="none" w:sz="0" w:space="0" w:color="auto"/>
        <w:bottom w:val="none" w:sz="0" w:space="0" w:color="auto"/>
        <w:right w:val="none" w:sz="0" w:space="0" w:color="auto"/>
      </w:divBdr>
    </w:div>
    <w:div w:id="1787430343">
      <w:bodyDiv w:val="1"/>
      <w:marLeft w:val="0"/>
      <w:marRight w:val="0"/>
      <w:marTop w:val="0"/>
      <w:marBottom w:val="0"/>
      <w:divBdr>
        <w:top w:val="none" w:sz="0" w:space="0" w:color="auto"/>
        <w:left w:val="none" w:sz="0" w:space="0" w:color="auto"/>
        <w:bottom w:val="none" w:sz="0" w:space="0" w:color="auto"/>
        <w:right w:val="none" w:sz="0" w:space="0" w:color="auto"/>
      </w:divBdr>
    </w:div>
    <w:div w:id="1787457172">
      <w:bodyDiv w:val="1"/>
      <w:marLeft w:val="0"/>
      <w:marRight w:val="0"/>
      <w:marTop w:val="0"/>
      <w:marBottom w:val="0"/>
      <w:divBdr>
        <w:top w:val="none" w:sz="0" w:space="0" w:color="auto"/>
        <w:left w:val="none" w:sz="0" w:space="0" w:color="auto"/>
        <w:bottom w:val="none" w:sz="0" w:space="0" w:color="auto"/>
        <w:right w:val="none" w:sz="0" w:space="0" w:color="auto"/>
      </w:divBdr>
    </w:div>
    <w:div w:id="1787506262">
      <w:bodyDiv w:val="1"/>
      <w:marLeft w:val="0"/>
      <w:marRight w:val="0"/>
      <w:marTop w:val="0"/>
      <w:marBottom w:val="0"/>
      <w:divBdr>
        <w:top w:val="none" w:sz="0" w:space="0" w:color="auto"/>
        <w:left w:val="none" w:sz="0" w:space="0" w:color="auto"/>
        <w:bottom w:val="none" w:sz="0" w:space="0" w:color="auto"/>
        <w:right w:val="none" w:sz="0" w:space="0" w:color="auto"/>
      </w:divBdr>
    </w:div>
    <w:div w:id="1787506339">
      <w:bodyDiv w:val="1"/>
      <w:marLeft w:val="0"/>
      <w:marRight w:val="0"/>
      <w:marTop w:val="0"/>
      <w:marBottom w:val="0"/>
      <w:divBdr>
        <w:top w:val="none" w:sz="0" w:space="0" w:color="auto"/>
        <w:left w:val="none" w:sz="0" w:space="0" w:color="auto"/>
        <w:bottom w:val="none" w:sz="0" w:space="0" w:color="auto"/>
        <w:right w:val="none" w:sz="0" w:space="0" w:color="auto"/>
      </w:divBdr>
    </w:div>
    <w:div w:id="1787652581">
      <w:bodyDiv w:val="1"/>
      <w:marLeft w:val="0"/>
      <w:marRight w:val="0"/>
      <w:marTop w:val="0"/>
      <w:marBottom w:val="0"/>
      <w:divBdr>
        <w:top w:val="none" w:sz="0" w:space="0" w:color="auto"/>
        <w:left w:val="none" w:sz="0" w:space="0" w:color="auto"/>
        <w:bottom w:val="none" w:sz="0" w:space="0" w:color="auto"/>
        <w:right w:val="none" w:sz="0" w:space="0" w:color="auto"/>
      </w:divBdr>
    </w:div>
    <w:div w:id="1787772399">
      <w:bodyDiv w:val="1"/>
      <w:marLeft w:val="0"/>
      <w:marRight w:val="0"/>
      <w:marTop w:val="0"/>
      <w:marBottom w:val="0"/>
      <w:divBdr>
        <w:top w:val="none" w:sz="0" w:space="0" w:color="auto"/>
        <w:left w:val="none" w:sz="0" w:space="0" w:color="auto"/>
        <w:bottom w:val="none" w:sz="0" w:space="0" w:color="auto"/>
        <w:right w:val="none" w:sz="0" w:space="0" w:color="auto"/>
      </w:divBdr>
    </w:div>
    <w:div w:id="1787918710">
      <w:bodyDiv w:val="1"/>
      <w:marLeft w:val="0"/>
      <w:marRight w:val="0"/>
      <w:marTop w:val="0"/>
      <w:marBottom w:val="0"/>
      <w:divBdr>
        <w:top w:val="none" w:sz="0" w:space="0" w:color="auto"/>
        <w:left w:val="none" w:sz="0" w:space="0" w:color="auto"/>
        <w:bottom w:val="none" w:sz="0" w:space="0" w:color="auto"/>
        <w:right w:val="none" w:sz="0" w:space="0" w:color="auto"/>
      </w:divBdr>
    </w:div>
    <w:div w:id="1787966131">
      <w:bodyDiv w:val="1"/>
      <w:marLeft w:val="0"/>
      <w:marRight w:val="0"/>
      <w:marTop w:val="0"/>
      <w:marBottom w:val="0"/>
      <w:divBdr>
        <w:top w:val="none" w:sz="0" w:space="0" w:color="auto"/>
        <w:left w:val="none" w:sz="0" w:space="0" w:color="auto"/>
        <w:bottom w:val="none" w:sz="0" w:space="0" w:color="auto"/>
        <w:right w:val="none" w:sz="0" w:space="0" w:color="auto"/>
      </w:divBdr>
    </w:div>
    <w:div w:id="1788044281">
      <w:bodyDiv w:val="1"/>
      <w:marLeft w:val="0"/>
      <w:marRight w:val="0"/>
      <w:marTop w:val="0"/>
      <w:marBottom w:val="0"/>
      <w:divBdr>
        <w:top w:val="none" w:sz="0" w:space="0" w:color="auto"/>
        <w:left w:val="none" w:sz="0" w:space="0" w:color="auto"/>
        <w:bottom w:val="none" w:sz="0" w:space="0" w:color="auto"/>
        <w:right w:val="none" w:sz="0" w:space="0" w:color="auto"/>
      </w:divBdr>
    </w:div>
    <w:div w:id="1788235742">
      <w:bodyDiv w:val="1"/>
      <w:marLeft w:val="0"/>
      <w:marRight w:val="0"/>
      <w:marTop w:val="0"/>
      <w:marBottom w:val="0"/>
      <w:divBdr>
        <w:top w:val="none" w:sz="0" w:space="0" w:color="auto"/>
        <w:left w:val="none" w:sz="0" w:space="0" w:color="auto"/>
        <w:bottom w:val="none" w:sz="0" w:space="0" w:color="auto"/>
        <w:right w:val="none" w:sz="0" w:space="0" w:color="auto"/>
      </w:divBdr>
    </w:div>
    <w:div w:id="1788348141">
      <w:bodyDiv w:val="1"/>
      <w:marLeft w:val="0"/>
      <w:marRight w:val="0"/>
      <w:marTop w:val="0"/>
      <w:marBottom w:val="0"/>
      <w:divBdr>
        <w:top w:val="none" w:sz="0" w:space="0" w:color="auto"/>
        <w:left w:val="none" w:sz="0" w:space="0" w:color="auto"/>
        <w:bottom w:val="none" w:sz="0" w:space="0" w:color="auto"/>
        <w:right w:val="none" w:sz="0" w:space="0" w:color="auto"/>
      </w:divBdr>
    </w:div>
    <w:div w:id="1788348483">
      <w:bodyDiv w:val="1"/>
      <w:marLeft w:val="0"/>
      <w:marRight w:val="0"/>
      <w:marTop w:val="0"/>
      <w:marBottom w:val="0"/>
      <w:divBdr>
        <w:top w:val="none" w:sz="0" w:space="0" w:color="auto"/>
        <w:left w:val="none" w:sz="0" w:space="0" w:color="auto"/>
        <w:bottom w:val="none" w:sz="0" w:space="0" w:color="auto"/>
        <w:right w:val="none" w:sz="0" w:space="0" w:color="auto"/>
      </w:divBdr>
    </w:div>
    <w:div w:id="1788351223">
      <w:bodyDiv w:val="1"/>
      <w:marLeft w:val="0"/>
      <w:marRight w:val="0"/>
      <w:marTop w:val="0"/>
      <w:marBottom w:val="0"/>
      <w:divBdr>
        <w:top w:val="none" w:sz="0" w:space="0" w:color="auto"/>
        <w:left w:val="none" w:sz="0" w:space="0" w:color="auto"/>
        <w:bottom w:val="none" w:sz="0" w:space="0" w:color="auto"/>
        <w:right w:val="none" w:sz="0" w:space="0" w:color="auto"/>
      </w:divBdr>
    </w:div>
    <w:div w:id="1788352233">
      <w:bodyDiv w:val="1"/>
      <w:marLeft w:val="0"/>
      <w:marRight w:val="0"/>
      <w:marTop w:val="0"/>
      <w:marBottom w:val="0"/>
      <w:divBdr>
        <w:top w:val="none" w:sz="0" w:space="0" w:color="auto"/>
        <w:left w:val="none" w:sz="0" w:space="0" w:color="auto"/>
        <w:bottom w:val="none" w:sz="0" w:space="0" w:color="auto"/>
        <w:right w:val="none" w:sz="0" w:space="0" w:color="auto"/>
      </w:divBdr>
    </w:div>
    <w:div w:id="1788425899">
      <w:bodyDiv w:val="1"/>
      <w:marLeft w:val="0"/>
      <w:marRight w:val="0"/>
      <w:marTop w:val="0"/>
      <w:marBottom w:val="0"/>
      <w:divBdr>
        <w:top w:val="none" w:sz="0" w:space="0" w:color="auto"/>
        <w:left w:val="none" w:sz="0" w:space="0" w:color="auto"/>
        <w:bottom w:val="none" w:sz="0" w:space="0" w:color="auto"/>
        <w:right w:val="none" w:sz="0" w:space="0" w:color="auto"/>
      </w:divBdr>
    </w:div>
    <w:div w:id="1788504480">
      <w:bodyDiv w:val="1"/>
      <w:marLeft w:val="0"/>
      <w:marRight w:val="0"/>
      <w:marTop w:val="0"/>
      <w:marBottom w:val="0"/>
      <w:divBdr>
        <w:top w:val="none" w:sz="0" w:space="0" w:color="auto"/>
        <w:left w:val="none" w:sz="0" w:space="0" w:color="auto"/>
        <w:bottom w:val="none" w:sz="0" w:space="0" w:color="auto"/>
        <w:right w:val="none" w:sz="0" w:space="0" w:color="auto"/>
      </w:divBdr>
    </w:div>
    <w:div w:id="1788811644">
      <w:bodyDiv w:val="1"/>
      <w:marLeft w:val="0"/>
      <w:marRight w:val="0"/>
      <w:marTop w:val="0"/>
      <w:marBottom w:val="0"/>
      <w:divBdr>
        <w:top w:val="none" w:sz="0" w:space="0" w:color="auto"/>
        <w:left w:val="none" w:sz="0" w:space="0" w:color="auto"/>
        <w:bottom w:val="none" w:sz="0" w:space="0" w:color="auto"/>
        <w:right w:val="none" w:sz="0" w:space="0" w:color="auto"/>
      </w:divBdr>
    </w:div>
    <w:div w:id="1788815657">
      <w:bodyDiv w:val="1"/>
      <w:marLeft w:val="0"/>
      <w:marRight w:val="0"/>
      <w:marTop w:val="0"/>
      <w:marBottom w:val="0"/>
      <w:divBdr>
        <w:top w:val="none" w:sz="0" w:space="0" w:color="auto"/>
        <w:left w:val="none" w:sz="0" w:space="0" w:color="auto"/>
        <w:bottom w:val="none" w:sz="0" w:space="0" w:color="auto"/>
        <w:right w:val="none" w:sz="0" w:space="0" w:color="auto"/>
      </w:divBdr>
    </w:div>
    <w:div w:id="1788815915">
      <w:bodyDiv w:val="1"/>
      <w:marLeft w:val="0"/>
      <w:marRight w:val="0"/>
      <w:marTop w:val="0"/>
      <w:marBottom w:val="0"/>
      <w:divBdr>
        <w:top w:val="none" w:sz="0" w:space="0" w:color="auto"/>
        <w:left w:val="none" w:sz="0" w:space="0" w:color="auto"/>
        <w:bottom w:val="none" w:sz="0" w:space="0" w:color="auto"/>
        <w:right w:val="none" w:sz="0" w:space="0" w:color="auto"/>
      </w:divBdr>
    </w:div>
    <w:div w:id="1788816369">
      <w:bodyDiv w:val="1"/>
      <w:marLeft w:val="0"/>
      <w:marRight w:val="0"/>
      <w:marTop w:val="0"/>
      <w:marBottom w:val="0"/>
      <w:divBdr>
        <w:top w:val="none" w:sz="0" w:space="0" w:color="auto"/>
        <w:left w:val="none" w:sz="0" w:space="0" w:color="auto"/>
        <w:bottom w:val="none" w:sz="0" w:space="0" w:color="auto"/>
        <w:right w:val="none" w:sz="0" w:space="0" w:color="auto"/>
      </w:divBdr>
    </w:div>
    <w:div w:id="1788892461">
      <w:bodyDiv w:val="1"/>
      <w:marLeft w:val="0"/>
      <w:marRight w:val="0"/>
      <w:marTop w:val="0"/>
      <w:marBottom w:val="0"/>
      <w:divBdr>
        <w:top w:val="none" w:sz="0" w:space="0" w:color="auto"/>
        <w:left w:val="none" w:sz="0" w:space="0" w:color="auto"/>
        <w:bottom w:val="none" w:sz="0" w:space="0" w:color="auto"/>
        <w:right w:val="none" w:sz="0" w:space="0" w:color="auto"/>
      </w:divBdr>
    </w:div>
    <w:div w:id="1789008978">
      <w:bodyDiv w:val="1"/>
      <w:marLeft w:val="0"/>
      <w:marRight w:val="0"/>
      <w:marTop w:val="0"/>
      <w:marBottom w:val="0"/>
      <w:divBdr>
        <w:top w:val="none" w:sz="0" w:space="0" w:color="auto"/>
        <w:left w:val="none" w:sz="0" w:space="0" w:color="auto"/>
        <w:bottom w:val="none" w:sz="0" w:space="0" w:color="auto"/>
        <w:right w:val="none" w:sz="0" w:space="0" w:color="auto"/>
      </w:divBdr>
    </w:div>
    <w:div w:id="1789353013">
      <w:bodyDiv w:val="1"/>
      <w:marLeft w:val="0"/>
      <w:marRight w:val="0"/>
      <w:marTop w:val="0"/>
      <w:marBottom w:val="0"/>
      <w:divBdr>
        <w:top w:val="none" w:sz="0" w:space="0" w:color="auto"/>
        <w:left w:val="none" w:sz="0" w:space="0" w:color="auto"/>
        <w:bottom w:val="none" w:sz="0" w:space="0" w:color="auto"/>
        <w:right w:val="none" w:sz="0" w:space="0" w:color="auto"/>
      </w:divBdr>
    </w:div>
    <w:div w:id="1789396090">
      <w:bodyDiv w:val="1"/>
      <w:marLeft w:val="0"/>
      <w:marRight w:val="0"/>
      <w:marTop w:val="0"/>
      <w:marBottom w:val="0"/>
      <w:divBdr>
        <w:top w:val="none" w:sz="0" w:space="0" w:color="auto"/>
        <w:left w:val="none" w:sz="0" w:space="0" w:color="auto"/>
        <w:bottom w:val="none" w:sz="0" w:space="0" w:color="auto"/>
        <w:right w:val="none" w:sz="0" w:space="0" w:color="auto"/>
      </w:divBdr>
    </w:div>
    <w:div w:id="1789397360">
      <w:bodyDiv w:val="1"/>
      <w:marLeft w:val="0"/>
      <w:marRight w:val="0"/>
      <w:marTop w:val="0"/>
      <w:marBottom w:val="0"/>
      <w:divBdr>
        <w:top w:val="none" w:sz="0" w:space="0" w:color="auto"/>
        <w:left w:val="none" w:sz="0" w:space="0" w:color="auto"/>
        <w:bottom w:val="none" w:sz="0" w:space="0" w:color="auto"/>
        <w:right w:val="none" w:sz="0" w:space="0" w:color="auto"/>
      </w:divBdr>
    </w:div>
    <w:div w:id="1789468306">
      <w:bodyDiv w:val="1"/>
      <w:marLeft w:val="0"/>
      <w:marRight w:val="0"/>
      <w:marTop w:val="0"/>
      <w:marBottom w:val="0"/>
      <w:divBdr>
        <w:top w:val="none" w:sz="0" w:space="0" w:color="auto"/>
        <w:left w:val="none" w:sz="0" w:space="0" w:color="auto"/>
        <w:bottom w:val="none" w:sz="0" w:space="0" w:color="auto"/>
        <w:right w:val="none" w:sz="0" w:space="0" w:color="auto"/>
      </w:divBdr>
    </w:div>
    <w:div w:id="1789473263">
      <w:bodyDiv w:val="1"/>
      <w:marLeft w:val="0"/>
      <w:marRight w:val="0"/>
      <w:marTop w:val="0"/>
      <w:marBottom w:val="0"/>
      <w:divBdr>
        <w:top w:val="none" w:sz="0" w:space="0" w:color="auto"/>
        <w:left w:val="none" w:sz="0" w:space="0" w:color="auto"/>
        <w:bottom w:val="none" w:sz="0" w:space="0" w:color="auto"/>
        <w:right w:val="none" w:sz="0" w:space="0" w:color="auto"/>
      </w:divBdr>
    </w:div>
    <w:div w:id="1789549638">
      <w:bodyDiv w:val="1"/>
      <w:marLeft w:val="0"/>
      <w:marRight w:val="0"/>
      <w:marTop w:val="0"/>
      <w:marBottom w:val="0"/>
      <w:divBdr>
        <w:top w:val="none" w:sz="0" w:space="0" w:color="auto"/>
        <w:left w:val="none" w:sz="0" w:space="0" w:color="auto"/>
        <w:bottom w:val="none" w:sz="0" w:space="0" w:color="auto"/>
        <w:right w:val="none" w:sz="0" w:space="0" w:color="auto"/>
      </w:divBdr>
    </w:div>
    <w:div w:id="1789591858">
      <w:bodyDiv w:val="1"/>
      <w:marLeft w:val="0"/>
      <w:marRight w:val="0"/>
      <w:marTop w:val="0"/>
      <w:marBottom w:val="0"/>
      <w:divBdr>
        <w:top w:val="none" w:sz="0" w:space="0" w:color="auto"/>
        <w:left w:val="none" w:sz="0" w:space="0" w:color="auto"/>
        <w:bottom w:val="none" w:sz="0" w:space="0" w:color="auto"/>
        <w:right w:val="none" w:sz="0" w:space="0" w:color="auto"/>
      </w:divBdr>
    </w:div>
    <w:div w:id="1789615683">
      <w:bodyDiv w:val="1"/>
      <w:marLeft w:val="0"/>
      <w:marRight w:val="0"/>
      <w:marTop w:val="0"/>
      <w:marBottom w:val="0"/>
      <w:divBdr>
        <w:top w:val="none" w:sz="0" w:space="0" w:color="auto"/>
        <w:left w:val="none" w:sz="0" w:space="0" w:color="auto"/>
        <w:bottom w:val="none" w:sz="0" w:space="0" w:color="auto"/>
        <w:right w:val="none" w:sz="0" w:space="0" w:color="auto"/>
      </w:divBdr>
    </w:div>
    <w:div w:id="1789623029">
      <w:bodyDiv w:val="1"/>
      <w:marLeft w:val="0"/>
      <w:marRight w:val="0"/>
      <w:marTop w:val="0"/>
      <w:marBottom w:val="0"/>
      <w:divBdr>
        <w:top w:val="none" w:sz="0" w:space="0" w:color="auto"/>
        <w:left w:val="none" w:sz="0" w:space="0" w:color="auto"/>
        <w:bottom w:val="none" w:sz="0" w:space="0" w:color="auto"/>
        <w:right w:val="none" w:sz="0" w:space="0" w:color="auto"/>
      </w:divBdr>
    </w:div>
    <w:div w:id="1789663024">
      <w:bodyDiv w:val="1"/>
      <w:marLeft w:val="0"/>
      <w:marRight w:val="0"/>
      <w:marTop w:val="0"/>
      <w:marBottom w:val="0"/>
      <w:divBdr>
        <w:top w:val="none" w:sz="0" w:space="0" w:color="auto"/>
        <w:left w:val="none" w:sz="0" w:space="0" w:color="auto"/>
        <w:bottom w:val="none" w:sz="0" w:space="0" w:color="auto"/>
        <w:right w:val="none" w:sz="0" w:space="0" w:color="auto"/>
      </w:divBdr>
    </w:div>
    <w:div w:id="1789737371">
      <w:bodyDiv w:val="1"/>
      <w:marLeft w:val="0"/>
      <w:marRight w:val="0"/>
      <w:marTop w:val="0"/>
      <w:marBottom w:val="0"/>
      <w:divBdr>
        <w:top w:val="none" w:sz="0" w:space="0" w:color="auto"/>
        <w:left w:val="none" w:sz="0" w:space="0" w:color="auto"/>
        <w:bottom w:val="none" w:sz="0" w:space="0" w:color="auto"/>
        <w:right w:val="none" w:sz="0" w:space="0" w:color="auto"/>
      </w:divBdr>
    </w:div>
    <w:div w:id="1789739290">
      <w:bodyDiv w:val="1"/>
      <w:marLeft w:val="0"/>
      <w:marRight w:val="0"/>
      <w:marTop w:val="0"/>
      <w:marBottom w:val="0"/>
      <w:divBdr>
        <w:top w:val="none" w:sz="0" w:space="0" w:color="auto"/>
        <w:left w:val="none" w:sz="0" w:space="0" w:color="auto"/>
        <w:bottom w:val="none" w:sz="0" w:space="0" w:color="auto"/>
        <w:right w:val="none" w:sz="0" w:space="0" w:color="auto"/>
      </w:divBdr>
    </w:div>
    <w:div w:id="1789858218">
      <w:bodyDiv w:val="1"/>
      <w:marLeft w:val="0"/>
      <w:marRight w:val="0"/>
      <w:marTop w:val="0"/>
      <w:marBottom w:val="0"/>
      <w:divBdr>
        <w:top w:val="none" w:sz="0" w:space="0" w:color="auto"/>
        <w:left w:val="none" w:sz="0" w:space="0" w:color="auto"/>
        <w:bottom w:val="none" w:sz="0" w:space="0" w:color="auto"/>
        <w:right w:val="none" w:sz="0" w:space="0" w:color="auto"/>
      </w:divBdr>
    </w:div>
    <w:div w:id="1790010327">
      <w:bodyDiv w:val="1"/>
      <w:marLeft w:val="0"/>
      <w:marRight w:val="0"/>
      <w:marTop w:val="0"/>
      <w:marBottom w:val="0"/>
      <w:divBdr>
        <w:top w:val="none" w:sz="0" w:space="0" w:color="auto"/>
        <w:left w:val="none" w:sz="0" w:space="0" w:color="auto"/>
        <w:bottom w:val="none" w:sz="0" w:space="0" w:color="auto"/>
        <w:right w:val="none" w:sz="0" w:space="0" w:color="auto"/>
      </w:divBdr>
    </w:div>
    <w:div w:id="1790128662">
      <w:bodyDiv w:val="1"/>
      <w:marLeft w:val="0"/>
      <w:marRight w:val="0"/>
      <w:marTop w:val="0"/>
      <w:marBottom w:val="0"/>
      <w:divBdr>
        <w:top w:val="none" w:sz="0" w:space="0" w:color="auto"/>
        <w:left w:val="none" w:sz="0" w:space="0" w:color="auto"/>
        <w:bottom w:val="none" w:sz="0" w:space="0" w:color="auto"/>
        <w:right w:val="none" w:sz="0" w:space="0" w:color="auto"/>
      </w:divBdr>
    </w:div>
    <w:div w:id="1790276022">
      <w:bodyDiv w:val="1"/>
      <w:marLeft w:val="0"/>
      <w:marRight w:val="0"/>
      <w:marTop w:val="0"/>
      <w:marBottom w:val="0"/>
      <w:divBdr>
        <w:top w:val="none" w:sz="0" w:space="0" w:color="auto"/>
        <w:left w:val="none" w:sz="0" w:space="0" w:color="auto"/>
        <w:bottom w:val="none" w:sz="0" w:space="0" w:color="auto"/>
        <w:right w:val="none" w:sz="0" w:space="0" w:color="auto"/>
      </w:divBdr>
    </w:div>
    <w:div w:id="1790393614">
      <w:bodyDiv w:val="1"/>
      <w:marLeft w:val="0"/>
      <w:marRight w:val="0"/>
      <w:marTop w:val="0"/>
      <w:marBottom w:val="0"/>
      <w:divBdr>
        <w:top w:val="none" w:sz="0" w:space="0" w:color="auto"/>
        <w:left w:val="none" w:sz="0" w:space="0" w:color="auto"/>
        <w:bottom w:val="none" w:sz="0" w:space="0" w:color="auto"/>
        <w:right w:val="none" w:sz="0" w:space="0" w:color="auto"/>
      </w:divBdr>
    </w:div>
    <w:div w:id="1790397680">
      <w:bodyDiv w:val="1"/>
      <w:marLeft w:val="0"/>
      <w:marRight w:val="0"/>
      <w:marTop w:val="0"/>
      <w:marBottom w:val="0"/>
      <w:divBdr>
        <w:top w:val="none" w:sz="0" w:space="0" w:color="auto"/>
        <w:left w:val="none" w:sz="0" w:space="0" w:color="auto"/>
        <w:bottom w:val="none" w:sz="0" w:space="0" w:color="auto"/>
        <w:right w:val="none" w:sz="0" w:space="0" w:color="auto"/>
      </w:divBdr>
    </w:div>
    <w:div w:id="1790540996">
      <w:bodyDiv w:val="1"/>
      <w:marLeft w:val="0"/>
      <w:marRight w:val="0"/>
      <w:marTop w:val="0"/>
      <w:marBottom w:val="0"/>
      <w:divBdr>
        <w:top w:val="none" w:sz="0" w:space="0" w:color="auto"/>
        <w:left w:val="none" w:sz="0" w:space="0" w:color="auto"/>
        <w:bottom w:val="none" w:sz="0" w:space="0" w:color="auto"/>
        <w:right w:val="none" w:sz="0" w:space="0" w:color="auto"/>
      </w:divBdr>
    </w:div>
    <w:div w:id="1790586242">
      <w:bodyDiv w:val="1"/>
      <w:marLeft w:val="0"/>
      <w:marRight w:val="0"/>
      <w:marTop w:val="0"/>
      <w:marBottom w:val="0"/>
      <w:divBdr>
        <w:top w:val="none" w:sz="0" w:space="0" w:color="auto"/>
        <w:left w:val="none" w:sz="0" w:space="0" w:color="auto"/>
        <w:bottom w:val="none" w:sz="0" w:space="0" w:color="auto"/>
        <w:right w:val="none" w:sz="0" w:space="0" w:color="auto"/>
      </w:divBdr>
    </w:div>
    <w:div w:id="1790664798">
      <w:bodyDiv w:val="1"/>
      <w:marLeft w:val="0"/>
      <w:marRight w:val="0"/>
      <w:marTop w:val="0"/>
      <w:marBottom w:val="0"/>
      <w:divBdr>
        <w:top w:val="none" w:sz="0" w:space="0" w:color="auto"/>
        <w:left w:val="none" w:sz="0" w:space="0" w:color="auto"/>
        <w:bottom w:val="none" w:sz="0" w:space="0" w:color="auto"/>
        <w:right w:val="none" w:sz="0" w:space="0" w:color="auto"/>
      </w:divBdr>
    </w:div>
    <w:div w:id="1790666012">
      <w:bodyDiv w:val="1"/>
      <w:marLeft w:val="0"/>
      <w:marRight w:val="0"/>
      <w:marTop w:val="0"/>
      <w:marBottom w:val="0"/>
      <w:divBdr>
        <w:top w:val="none" w:sz="0" w:space="0" w:color="auto"/>
        <w:left w:val="none" w:sz="0" w:space="0" w:color="auto"/>
        <w:bottom w:val="none" w:sz="0" w:space="0" w:color="auto"/>
        <w:right w:val="none" w:sz="0" w:space="0" w:color="auto"/>
      </w:divBdr>
    </w:div>
    <w:div w:id="1790734964">
      <w:bodyDiv w:val="1"/>
      <w:marLeft w:val="0"/>
      <w:marRight w:val="0"/>
      <w:marTop w:val="0"/>
      <w:marBottom w:val="0"/>
      <w:divBdr>
        <w:top w:val="none" w:sz="0" w:space="0" w:color="auto"/>
        <w:left w:val="none" w:sz="0" w:space="0" w:color="auto"/>
        <w:bottom w:val="none" w:sz="0" w:space="0" w:color="auto"/>
        <w:right w:val="none" w:sz="0" w:space="0" w:color="auto"/>
      </w:divBdr>
    </w:div>
    <w:div w:id="1790784803">
      <w:bodyDiv w:val="1"/>
      <w:marLeft w:val="0"/>
      <w:marRight w:val="0"/>
      <w:marTop w:val="0"/>
      <w:marBottom w:val="0"/>
      <w:divBdr>
        <w:top w:val="none" w:sz="0" w:space="0" w:color="auto"/>
        <w:left w:val="none" w:sz="0" w:space="0" w:color="auto"/>
        <w:bottom w:val="none" w:sz="0" w:space="0" w:color="auto"/>
        <w:right w:val="none" w:sz="0" w:space="0" w:color="auto"/>
      </w:divBdr>
    </w:div>
    <w:div w:id="1790974590">
      <w:bodyDiv w:val="1"/>
      <w:marLeft w:val="0"/>
      <w:marRight w:val="0"/>
      <w:marTop w:val="0"/>
      <w:marBottom w:val="0"/>
      <w:divBdr>
        <w:top w:val="none" w:sz="0" w:space="0" w:color="auto"/>
        <w:left w:val="none" w:sz="0" w:space="0" w:color="auto"/>
        <w:bottom w:val="none" w:sz="0" w:space="0" w:color="auto"/>
        <w:right w:val="none" w:sz="0" w:space="0" w:color="auto"/>
      </w:divBdr>
    </w:div>
    <w:div w:id="1791049985">
      <w:bodyDiv w:val="1"/>
      <w:marLeft w:val="0"/>
      <w:marRight w:val="0"/>
      <w:marTop w:val="0"/>
      <w:marBottom w:val="0"/>
      <w:divBdr>
        <w:top w:val="none" w:sz="0" w:space="0" w:color="auto"/>
        <w:left w:val="none" w:sz="0" w:space="0" w:color="auto"/>
        <w:bottom w:val="none" w:sz="0" w:space="0" w:color="auto"/>
        <w:right w:val="none" w:sz="0" w:space="0" w:color="auto"/>
      </w:divBdr>
    </w:div>
    <w:div w:id="1791051952">
      <w:bodyDiv w:val="1"/>
      <w:marLeft w:val="0"/>
      <w:marRight w:val="0"/>
      <w:marTop w:val="0"/>
      <w:marBottom w:val="0"/>
      <w:divBdr>
        <w:top w:val="none" w:sz="0" w:space="0" w:color="auto"/>
        <w:left w:val="none" w:sz="0" w:space="0" w:color="auto"/>
        <w:bottom w:val="none" w:sz="0" w:space="0" w:color="auto"/>
        <w:right w:val="none" w:sz="0" w:space="0" w:color="auto"/>
      </w:divBdr>
    </w:div>
    <w:div w:id="1791124148">
      <w:bodyDiv w:val="1"/>
      <w:marLeft w:val="0"/>
      <w:marRight w:val="0"/>
      <w:marTop w:val="0"/>
      <w:marBottom w:val="0"/>
      <w:divBdr>
        <w:top w:val="none" w:sz="0" w:space="0" w:color="auto"/>
        <w:left w:val="none" w:sz="0" w:space="0" w:color="auto"/>
        <w:bottom w:val="none" w:sz="0" w:space="0" w:color="auto"/>
        <w:right w:val="none" w:sz="0" w:space="0" w:color="auto"/>
      </w:divBdr>
    </w:div>
    <w:div w:id="1791125542">
      <w:bodyDiv w:val="1"/>
      <w:marLeft w:val="0"/>
      <w:marRight w:val="0"/>
      <w:marTop w:val="0"/>
      <w:marBottom w:val="0"/>
      <w:divBdr>
        <w:top w:val="none" w:sz="0" w:space="0" w:color="auto"/>
        <w:left w:val="none" w:sz="0" w:space="0" w:color="auto"/>
        <w:bottom w:val="none" w:sz="0" w:space="0" w:color="auto"/>
        <w:right w:val="none" w:sz="0" w:space="0" w:color="auto"/>
      </w:divBdr>
    </w:div>
    <w:div w:id="1791126474">
      <w:bodyDiv w:val="1"/>
      <w:marLeft w:val="0"/>
      <w:marRight w:val="0"/>
      <w:marTop w:val="0"/>
      <w:marBottom w:val="0"/>
      <w:divBdr>
        <w:top w:val="none" w:sz="0" w:space="0" w:color="auto"/>
        <w:left w:val="none" w:sz="0" w:space="0" w:color="auto"/>
        <w:bottom w:val="none" w:sz="0" w:space="0" w:color="auto"/>
        <w:right w:val="none" w:sz="0" w:space="0" w:color="auto"/>
      </w:divBdr>
    </w:div>
    <w:div w:id="1791196171">
      <w:bodyDiv w:val="1"/>
      <w:marLeft w:val="0"/>
      <w:marRight w:val="0"/>
      <w:marTop w:val="0"/>
      <w:marBottom w:val="0"/>
      <w:divBdr>
        <w:top w:val="none" w:sz="0" w:space="0" w:color="auto"/>
        <w:left w:val="none" w:sz="0" w:space="0" w:color="auto"/>
        <w:bottom w:val="none" w:sz="0" w:space="0" w:color="auto"/>
        <w:right w:val="none" w:sz="0" w:space="0" w:color="auto"/>
      </w:divBdr>
    </w:div>
    <w:div w:id="1791317218">
      <w:bodyDiv w:val="1"/>
      <w:marLeft w:val="0"/>
      <w:marRight w:val="0"/>
      <w:marTop w:val="0"/>
      <w:marBottom w:val="0"/>
      <w:divBdr>
        <w:top w:val="none" w:sz="0" w:space="0" w:color="auto"/>
        <w:left w:val="none" w:sz="0" w:space="0" w:color="auto"/>
        <w:bottom w:val="none" w:sz="0" w:space="0" w:color="auto"/>
        <w:right w:val="none" w:sz="0" w:space="0" w:color="auto"/>
      </w:divBdr>
    </w:div>
    <w:div w:id="1791432342">
      <w:bodyDiv w:val="1"/>
      <w:marLeft w:val="0"/>
      <w:marRight w:val="0"/>
      <w:marTop w:val="0"/>
      <w:marBottom w:val="0"/>
      <w:divBdr>
        <w:top w:val="none" w:sz="0" w:space="0" w:color="auto"/>
        <w:left w:val="none" w:sz="0" w:space="0" w:color="auto"/>
        <w:bottom w:val="none" w:sz="0" w:space="0" w:color="auto"/>
        <w:right w:val="none" w:sz="0" w:space="0" w:color="auto"/>
      </w:divBdr>
    </w:div>
    <w:div w:id="1791590048">
      <w:bodyDiv w:val="1"/>
      <w:marLeft w:val="0"/>
      <w:marRight w:val="0"/>
      <w:marTop w:val="0"/>
      <w:marBottom w:val="0"/>
      <w:divBdr>
        <w:top w:val="none" w:sz="0" w:space="0" w:color="auto"/>
        <w:left w:val="none" w:sz="0" w:space="0" w:color="auto"/>
        <w:bottom w:val="none" w:sz="0" w:space="0" w:color="auto"/>
        <w:right w:val="none" w:sz="0" w:space="0" w:color="auto"/>
      </w:divBdr>
    </w:div>
    <w:div w:id="1792361118">
      <w:bodyDiv w:val="1"/>
      <w:marLeft w:val="0"/>
      <w:marRight w:val="0"/>
      <w:marTop w:val="0"/>
      <w:marBottom w:val="0"/>
      <w:divBdr>
        <w:top w:val="none" w:sz="0" w:space="0" w:color="auto"/>
        <w:left w:val="none" w:sz="0" w:space="0" w:color="auto"/>
        <w:bottom w:val="none" w:sz="0" w:space="0" w:color="auto"/>
        <w:right w:val="none" w:sz="0" w:space="0" w:color="auto"/>
      </w:divBdr>
    </w:div>
    <w:div w:id="1792429970">
      <w:bodyDiv w:val="1"/>
      <w:marLeft w:val="0"/>
      <w:marRight w:val="0"/>
      <w:marTop w:val="0"/>
      <w:marBottom w:val="0"/>
      <w:divBdr>
        <w:top w:val="none" w:sz="0" w:space="0" w:color="auto"/>
        <w:left w:val="none" w:sz="0" w:space="0" w:color="auto"/>
        <w:bottom w:val="none" w:sz="0" w:space="0" w:color="auto"/>
        <w:right w:val="none" w:sz="0" w:space="0" w:color="auto"/>
      </w:divBdr>
    </w:div>
    <w:div w:id="1792435109">
      <w:bodyDiv w:val="1"/>
      <w:marLeft w:val="0"/>
      <w:marRight w:val="0"/>
      <w:marTop w:val="0"/>
      <w:marBottom w:val="0"/>
      <w:divBdr>
        <w:top w:val="none" w:sz="0" w:space="0" w:color="auto"/>
        <w:left w:val="none" w:sz="0" w:space="0" w:color="auto"/>
        <w:bottom w:val="none" w:sz="0" w:space="0" w:color="auto"/>
        <w:right w:val="none" w:sz="0" w:space="0" w:color="auto"/>
      </w:divBdr>
    </w:div>
    <w:div w:id="1792476859">
      <w:bodyDiv w:val="1"/>
      <w:marLeft w:val="0"/>
      <w:marRight w:val="0"/>
      <w:marTop w:val="0"/>
      <w:marBottom w:val="0"/>
      <w:divBdr>
        <w:top w:val="none" w:sz="0" w:space="0" w:color="auto"/>
        <w:left w:val="none" w:sz="0" w:space="0" w:color="auto"/>
        <w:bottom w:val="none" w:sz="0" w:space="0" w:color="auto"/>
        <w:right w:val="none" w:sz="0" w:space="0" w:color="auto"/>
      </w:divBdr>
    </w:div>
    <w:div w:id="1792673213">
      <w:bodyDiv w:val="1"/>
      <w:marLeft w:val="0"/>
      <w:marRight w:val="0"/>
      <w:marTop w:val="0"/>
      <w:marBottom w:val="0"/>
      <w:divBdr>
        <w:top w:val="none" w:sz="0" w:space="0" w:color="auto"/>
        <w:left w:val="none" w:sz="0" w:space="0" w:color="auto"/>
        <w:bottom w:val="none" w:sz="0" w:space="0" w:color="auto"/>
        <w:right w:val="none" w:sz="0" w:space="0" w:color="auto"/>
      </w:divBdr>
    </w:div>
    <w:div w:id="1792699851">
      <w:bodyDiv w:val="1"/>
      <w:marLeft w:val="0"/>
      <w:marRight w:val="0"/>
      <w:marTop w:val="0"/>
      <w:marBottom w:val="0"/>
      <w:divBdr>
        <w:top w:val="none" w:sz="0" w:space="0" w:color="auto"/>
        <w:left w:val="none" w:sz="0" w:space="0" w:color="auto"/>
        <w:bottom w:val="none" w:sz="0" w:space="0" w:color="auto"/>
        <w:right w:val="none" w:sz="0" w:space="0" w:color="auto"/>
      </w:divBdr>
    </w:div>
    <w:div w:id="1792898228">
      <w:bodyDiv w:val="1"/>
      <w:marLeft w:val="0"/>
      <w:marRight w:val="0"/>
      <w:marTop w:val="0"/>
      <w:marBottom w:val="0"/>
      <w:divBdr>
        <w:top w:val="none" w:sz="0" w:space="0" w:color="auto"/>
        <w:left w:val="none" w:sz="0" w:space="0" w:color="auto"/>
        <w:bottom w:val="none" w:sz="0" w:space="0" w:color="auto"/>
        <w:right w:val="none" w:sz="0" w:space="0" w:color="auto"/>
      </w:divBdr>
    </w:div>
    <w:div w:id="1793013778">
      <w:bodyDiv w:val="1"/>
      <w:marLeft w:val="0"/>
      <w:marRight w:val="0"/>
      <w:marTop w:val="0"/>
      <w:marBottom w:val="0"/>
      <w:divBdr>
        <w:top w:val="none" w:sz="0" w:space="0" w:color="auto"/>
        <w:left w:val="none" w:sz="0" w:space="0" w:color="auto"/>
        <w:bottom w:val="none" w:sz="0" w:space="0" w:color="auto"/>
        <w:right w:val="none" w:sz="0" w:space="0" w:color="auto"/>
      </w:divBdr>
    </w:div>
    <w:div w:id="1793018032">
      <w:bodyDiv w:val="1"/>
      <w:marLeft w:val="0"/>
      <w:marRight w:val="0"/>
      <w:marTop w:val="0"/>
      <w:marBottom w:val="0"/>
      <w:divBdr>
        <w:top w:val="none" w:sz="0" w:space="0" w:color="auto"/>
        <w:left w:val="none" w:sz="0" w:space="0" w:color="auto"/>
        <w:bottom w:val="none" w:sz="0" w:space="0" w:color="auto"/>
        <w:right w:val="none" w:sz="0" w:space="0" w:color="auto"/>
      </w:divBdr>
    </w:div>
    <w:div w:id="1793093787">
      <w:bodyDiv w:val="1"/>
      <w:marLeft w:val="0"/>
      <w:marRight w:val="0"/>
      <w:marTop w:val="0"/>
      <w:marBottom w:val="0"/>
      <w:divBdr>
        <w:top w:val="none" w:sz="0" w:space="0" w:color="auto"/>
        <w:left w:val="none" w:sz="0" w:space="0" w:color="auto"/>
        <w:bottom w:val="none" w:sz="0" w:space="0" w:color="auto"/>
        <w:right w:val="none" w:sz="0" w:space="0" w:color="auto"/>
      </w:divBdr>
    </w:div>
    <w:div w:id="1793208803">
      <w:bodyDiv w:val="1"/>
      <w:marLeft w:val="0"/>
      <w:marRight w:val="0"/>
      <w:marTop w:val="0"/>
      <w:marBottom w:val="0"/>
      <w:divBdr>
        <w:top w:val="none" w:sz="0" w:space="0" w:color="auto"/>
        <w:left w:val="none" w:sz="0" w:space="0" w:color="auto"/>
        <w:bottom w:val="none" w:sz="0" w:space="0" w:color="auto"/>
        <w:right w:val="none" w:sz="0" w:space="0" w:color="auto"/>
      </w:divBdr>
    </w:div>
    <w:div w:id="1793210944">
      <w:bodyDiv w:val="1"/>
      <w:marLeft w:val="0"/>
      <w:marRight w:val="0"/>
      <w:marTop w:val="0"/>
      <w:marBottom w:val="0"/>
      <w:divBdr>
        <w:top w:val="none" w:sz="0" w:space="0" w:color="auto"/>
        <w:left w:val="none" w:sz="0" w:space="0" w:color="auto"/>
        <w:bottom w:val="none" w:sz="0" w:space="0" w:color="auto"/>
        <w:right w:val="none" w:sz="0" w:space="0" w:color="auto"/>
      </w:divBdr>
    </w:div>
    <w:div w:id="1793279692">
      <w:bodyDiv w:val="1"/>
      <w:marLeft w:val="0"/>
      <w:marRight w:val="0"/>
      <w:marTop w:val="0"/>
      <w:marBottom w:val="0"/>
      <w:divBdr>
        <w:top w:val="none" w:sz="0" w:space="0" w:color="auto"/>
        <w:left w:val="none" w:sz="0" w:space="0" w:color="auto"/>
        <w:bottom w:val="none" w:sz="0" w:space="0" w:color="auto"/>
        <w:right w:val="none" w:sz="0" w:space="0" w:color="auto"/>
      </w:divBdr>
    </w:div>
    <w:div w:id="1793329058">
      <w:bodyDiv w:val="1"/>
      <w:marLeft w:val="0"/>
      <w:marRight w:val="0"/>
      <w:marTop w:val="0"/>
      <w:marBottom w:val="0"/>
      <w:divBdr>
        <w:top w:val="none" w:sz="0" w:space="0" w:color="auto"/>
        <w:left w:val="none" w:sz="0" w:space="0" w:color="auto"/>
        <w:bottom w:val="none" w:sz="0" w:space="0" w:color="auto"/>
        <w:right w:val="none" w:sz="0" w:space="0" w:color="auto"/>
      </w:divBdr>
    </w:div>
    <w:div w:id="1793355663">
      <w:bodyDiv w:val="1"/>
      <w:marLeft w:val="0"/>
      <w:marRight w:val="0"/>
      <w:marTop w:val="0"/>
      <w:marBottom w:val="0"/>
      <w:divBdr>
        <w:top w:val="none" w:sz="0" w:space="0" w:color="auto"/>
        <w:left w:val="none" w:sz="0" w:space="0" w:color="auto"/>
        <w:bottom w:val="none" w:sz="0" w:space="0" w:color="auto"/>
        <w:right w:val="none" w:sz="0" w:space="0" w:color="auto"/>
      </w:divBdr>
    </w:div>
    <w:div w:id="1793359515">
      <w:bodyDiv w:val="1"/>
      <w:marLeft w:val="0"/>
      <w:marRight w:val="0"/>
      <w:marTop w:val="0"/>
      <w:marBottom w:val="0"/>
      <w:divBdr>
        <w:top w:val="none" w:sz="0" w:space="0" w:color="auto"/>
        <w:left w:val="none" w:sz="0" w:space="0" w:color="auto"/>
        <w:bottom w:val="none" w:sz="0" w:space="0" w:color="auto"/>
        <w:right w:val="none" w:sz="0" w:space="0" w:color="auto"/>
      </w:divBdr>
    </w:div>
    <w:div w:id="1793398381">
      <w:bodyDiv w:val="1"/>
      <w:marLeft w:val="0"/>
      <w:marRight w:val="0"/>
      <w:marTop w:val="0"/>
      <w:marBottom w:val="0"/>
      <w:divBdr>
        <w:top w:val="none" w:sz="0" w:space="0" w:color="auto"/>
        <w:left w:val="none" w:sz="0" w:space="0" w:color="auto"/>
        <w:bottom w:val="none" w:sz="0" w:space="0" w:color="auto"/>
        <w:right w:val="none" w:sz="0" w:space="0" w:color="auto"/>
      </w:divBdr>
    </w:div>
    <w:div w:id="1793554543">
      <w:bodyDiv w:val="1"/>
      <w:marLeft w:val="0"/>
      <w:marRight w:val="0"/>
      <w:marTop w:val="0"/>
      <w:marBottom w:val="0"/>
      <w:divBdr>
        <w:top w:val="none" w:sz="0" w:space="0" w:color="auto"/>
        <w:left w:val="none" w:sz="0" w:space="0" w:color="auto"/>
        <w:bottom w:val="none" w:sz="0" w:space="0" w:color="auto"/>
        <w:right w:val="none" w:sz="0" w:space="0" w:color="auto"/>
      </w:divBdr>
    </w:div>
    <w:div w:id="1793742304">
      <w:bodyDiv w:val="1"/>
      <w:marLeft w:val="0"/>
      <w:marRight w:val="0"/>
      <w:marTop w:val="0"/>
      <w:marBottom w:val="0"/>
      <w:divBdr>
        <w:top w:val="none" w:sz="0" w:space="0" w:color="auto"/>
        <w:left w:val="none" w:sz="0" w:space="0" w:color="auto"/>
        <w:bottom w:val="none" w:sz="0" w:space="0" w:color="auto"/>
        <w:right w:val="none" w:sz="0" w:space="0" w:color="auto"/>
      </w:divBdr>
    </w:div>
    <w:div w:id="1793746739">
      <w:bodyDiv w:val="1"/>
      <w:marLeft w:val="0"/>
      <w:marRight w:val="0"/>
      <w:marTop w:val="0"/>
      <w:marBottom w:val="0"/>
      <w:divBdr>
        <w:top w:val="none" w:sz="0" w:space="0" w:color="auto"/>
        <w:left w:val="none" w:sz="0" w:space="0" w:color="auto"/>
        <w:bottom w:val="none" w:sz="0" w:space="0" w:color="auto"/>
        <w:right w:val="none" w:sz="0" w:space="0" w:color="auto"/>
      </w:divBdr>
    </w:div>
    <w:div w:id="1793860255">
      <w:bodyDiv w:val="1"/>
      <w:marLeft w:val="0"/>
      <w:marRight w:val="0"/>
      <w:marTop w:val="0"/>
      <w:marBottom w:val="0"/>
      <w:divBdr>
        <w:top w:val="none" w:sz="0" w:space="0" w:color="auto"/>
        <w:left w:val="none" w:sz="0" w:space="0" w:color="auto"/>
        <w:bottom w:val="none" w:sz="0" w:space="0" w:color="auto"/>
        <w:right w:val="none" w:sz="0" w:space="0" w:color="auto"/>
      </w:divBdr>
    </w:div>
    <w:div w:id="1793865980">
      <w:bodyDiv w:val="1"/>
      <w:marLeft w:val="0"/>
      <w:marRight w:val="0"/>
      <w:marTop w:val="0"/>
      <w:marBottom w:val="0"/>
      <w:divBdr>
        <w:top w:val="none" w:sz="0" w:space="0" w:color="auto"/>
        <w:left w:val="none" w:sz="0" w:space="0" w:color="auto"/>
        <w:bottom w:val="none" w:sz="0" w:space="0" w:color="auto"/>
        <w:right w:val="none" w:sz="0" w:space="0" w:color="auto"/>
      </w:divBdr>
    </w:div>
    <w:div w:id="1794056764">
      <w:bodyDiv w:val="1"/>
      <w:marLeft w:val="0"/>
      <w:marRight w:val="0"/>
      <w:marTop w:val="0"/>
      <w:marBottom w:val="0"/>
      <w:divBdr>
        <w:top w:val="none" w:sz="0" w:space="0" w:color="auto"/>
        <w:left w:val="none" w:sz="0" w:space="0" w:color="auto"/>
        <w:bottom w:val="none" w:sz="0" w:space="0" w:color="auto"/>
        <w:right w:val="none" w:sz="0" w:space="0" w:color="auto"/>
      </w:divBdr>
    </w:div>
    <w:div w:id="1794058563">
      <w:bodyDiv w:val="1"/>
      <w:marLeft w:val="0"/>
      <w:marRight w:val="0"/>
      <w:marTop w:val="0"/>
      <w:marBottom w:val="0"/>
      <w:divBdr>
        <w:top w:val="none" w:sz="0" w:space="0" w:color="auto"/>
        <w:left w:val="none" w:sz="0" w:space="0" w:color="auto"/>
        <w:bottom w:val="none" w:sz="0" w:space="0" w:color="auto"/>
        <w:right w:val="none" w:sz="0" w:space="0" w:color="auto"/>
      </w:divBdr>
    </w:div>
    <w:div w:id="1794059017">
      <w:bodyDiv w:val="1"/>
      <w:marLeft w:val="0"/>
      <w:marRight w:val="0"/>
      <w:marTop w:val="0"/>
      <w:marBottom w:val="0"/>
      <w:divBdr>
        <w:top w:val="none" w:sz="0" w:space="0" w:color="auto"/>
        <w:left w:val="none" w:sz="0" w:space="0" w:color="auto"/>
        <w:bottom w:val="none" w:sz="0" w:space="0" w:color="auto"/>
        <w:right w:val="none" w:sz="0" w:space="0" w:color="auto"/>
      </w:divBdr>
    </w:div>
    <w:div w:id="1794129218">
      <w:bodyDiv w:val="1"/>
      <w:marLeft w:val="0"/>
      <w:marRight w:val="0"/>
      <w:marTop w:val="0"/>
      <w:marBottom w:val="0"/>
      <w:divBdr>
        <w:top w:val="none" w:sz="0" w:space="0" w:color="auto"/>
        <w:left w:val="none" w:sz="0" w:space="0" w:color="auto"/>
        <w:bottom w:val="none" w:sz="0" w:space="0" w:color="auto"/>
        <w:right w:val="none" w:sz="0" w:space="0" w:color="auto"/>
      </w:divBdr>
    </w:div>
    <w:div w:id="1794136522">
      <w:bodyDiv w:val="1"/>
      <w:marLeft w:val="0"/>
      <w:marRight w:val="0"/>
      <w:marTop w:val="0"/>
      <w:marBottom w:val="0"/>
      <w:divBdr>
        <w:top w:val="none" w:sz="0" w:space="0" w:color="auto"/>
        <w:left w:val="none" w:sz="0" w:space="0" w:color="auto"/>
        <w:bottom w:val="none" w:sz="0" w:space="0" w:color="auto"/>
        <w:right w:val="none" w:sz="0" w:space="0" w:color="auto"/>
      </w:divBdr>
    </w:div>
    <w:div w:id="1794211552">
      <w:bodyDiv w:val="1"/>
      <w:marLeft w:val="0"/>
      <w:marRight w:val="0"/>
      <w:marTop w:val="0"/>
      <w:marBottom w:val="0"/>
      <w:divBdr>
        <w:top w:val="none" w:sz="0" w:space="0" w:color="auto"/>
        <w:left w:val="none" w:sz="0" w:space="0" w:color="auto"/>
        <w:bottom w:val="none" w:sz="0" w:space="0" w:color="auto"/>
        <w:right w:val="none" w:sz="0" w:space="0" w:color="auto"/>
      </w:divBdr>
    </w:div>
    <w:div w:id="1794245980">
      <w:bodyDiv w:val="1"/>
      <w:marLeft w:val="0"/>
      <w:marRight w:val="0"/>
      <w:marTop w:val="0"/>
      <w:marBottom w:val="0"/>
      <w:divBdr>
        <w:top w:val="none" w:sz="0" w:space="0" w:color="auto"/>
        <w:left w:val="none" w:sz="0" w:space="0" w:color="auto"/>
        <w:bottom w:val="none" w:sz="0" w:space="0" w:color="auto"/>
        <w:right w:val="none" w:sz="0" w:space="0" w:color="auto"/>
      </w:divBdr>
    </w:div>
    <w:div w:id="1794321095">
      <w:bodyDiv w:val="1"/>
      <w:marLeft w:val="0"/>
      <w:marRight w:val="0"/>
      <w:marTop w:val="0"/>
      <w:marBottom w:val="0"/>
      <w:divBdr>
        <w:top w:val="none" w:sz="0" w:space="0" w:color="auto"/>
        <w:left w:val="none" w:sz="0" w:space="0" w:color="auto"/>
        <w:bottom w:val="none" w:sz="0" w:space="0" w:color="auto"/>
        <w:right w:val="none" w:sz="0" w:space="0" w:color="auto"/>
      </w:divBdr>
    </w:div>
    <w:div w:id="1794327394">
      <w:bodyDiv w:val="1"/>
      <w:marLeft w:val="0"/>
      <w:marRight w:val="0"/>
      <w:marTop w:val="0"/>
      <w:marBottom w:val="0"/>
      <w:divBdr>
        <w:top w:val="none" w:sz="0" w:space="0" w:color="auto"/>
        <w:left w:val="none" w:sz="0" w:space="0" w:color="auto"/>
        <w:bottom w:val="none" w:sz="0" w:space="0" w:color="auto"/>
        <w:right w:val="none" w:sz="0" w:space="0" w:color="auto"/>
      </w:divBdr>
    </w:div>
    <w:div w:id="1794445768">
      <w:bodyDiv w:val="1"/>
      <w:marLeft w:val="0"/>
      <w:marRight w:val="0"/>
      <w:marTop w:val="0"/>
      <w:marBottom w:val="0"/>
      <w:divBdr>
        <w:top w:val="none" w:sz="0" w:space="0" w:color="auto"/>
        <w:left w:val="none" w:sz="0" w:space="0" w:color="auto"/>
        <w:bottom w:val="none" w:sz="0" w:space="0" w:color="auto"/>
        <w:right w:val="none" w:sz="0" w:space="0" w:color="auto"/>
      </w:divBdr>
    </w:div>
    <w:div w:id="1794473655">
      <w:bodyDiv w:val="1"/>
      <w:marLeft w:val="0"/>
      <w:marRight w:val="0"/>
      <w:marTop w:val="0"/>
      <w:marBottom w:val="0"/>
      <w:divBdr>
        <w:top w:val="none" w:sz="0" w:space="0" w:color="auto"/>
        <w:left w:val="none" w:sz="0" w:space="0" w:color="auto"/>
        <w:bottom w:val="none" w:sz="0" w:space="0" w:color="auto"/>
        <w:right w:val="none" w:sz="0" w:space="0" w:color="auto"/>
      </w:divBdr>
    </w:div>
    <w:div w:id="1794521574">
      <w:bodyDiv w:val="1"/>
      <w:marLeft w:val="0"/>
      <w:marRight w:val="0"/>
      <w:marTop w:val="0"/>
      <w:marBottom w:val="0"/>
      <w:divBdr>
        <w:top w:val="none" w:sz="0" w:space="0" w:color="auto"/>
        <w:left w:val="none" w:sz="0" w:space="0" w:color="auto"/>
        <w:bottom w:val="none" w:sz="0" w:space="0" w:color="auto"/>
        <w:right w:val="none" w:sz="0" w:space="0" w:color="auto"/>
      </w:divBdr>
    </w:div>
    <w:div w:id="1794708880">
      <w:bodyDiv w:val="1"/>
      <w:marLeft w:val="0"/>
      <w:marRight w:val="0"/>
      <w:marTop w:val="0"/>
      <w:marBottom w:val="0"/>
      <w:divBdr>
        <w:top w:val="none" w:sz="0" w:space="0" w:color="auto"/>
        <w:left w:val="none" w:sz="0" w:space="0" w:color="auto"/>
        <w:bottom w:val="none" w:sz="0" w:space="0" w:color="auto"/>
        <w:right w:val="none" w:sz="0" w:space="0" w:color="auto"/>
      </w:divBdr>
    </w:div>
    <w:div w:id="1794984353">
      <w:bodyDiv w:val="1"/>
      <w:marLeft w:val="0"/>
      <w:marRight w:val="0"/>
      <w:marTop w:val="0"/>
      <w:marBottom w:val="0"/>
      <w:divBdr>
        <w:top w:val="none" w:sz="0" w:space="0" w:color="auto"/>
        <w:left w:val="none" w:sz="0" w:space="0" w:color="auto"/>
        <w:bottom w:val="none" w:sz="0" w:space="0" w:color="auto"/>
        <w:right w:val="none" w:sz="0" w:space="0" w:color="auto"/>
      </w:divBdr>
    </w:div>
    <w:div w:id="1795052296">
      <w:bodyDiv w:val="1"/>
      <w:marLeft w:val="0"/>
      <w:marRight w:val="0"/>
      <w:marTop w:val="0"/>
      <w:marBottom w:val="0"/>
      <w:divBdr>
        <w:top w:val="none" w:sz="0" w:space="0" w:color="auto"/>
        <w:left w:val="none" w:sz="0" w:space="0" w:color="auto"/>
        <w:bottom w:val="none" w:sz="0" w:space="0" w:color="auto"/>
        <w:right w:val="none" w:sz="0" w:space="0" w:color="auto"/>
      </w:divBdr>
    </w:div>
    <w:div w:id="1795055290">
      <w:bodyDiv w:val="1"/>
      <w:marLeft w:val="0"/>
      <w:marRight w:val="0"/>
      <w:marTop w:val="0"/>
      <w:marBottom w:val="0"/>
      <w:divBdr>
        <w:top w:val="none" w:sz="0" w:space="0" w:color="auto"/>
        <w:left w:val="none" w:sz="0" w:space="0" w:color="auto"/>
        <w:bottom w:val="none" w:sz="0" w:space="0" w:color="auto"/>
        <w:right w:val="none" w:sz="0" w:space="0" w:color="auto"/>
      </w:divBdr>
    </w:div>
    <w:div w:id="1795101993">
      <w:bodyDiv w:val="1"/>
      <w:marLeft w:val="0"/>
      <w:marRight w:val="0"/>
      <w:marTop w:val="0"/>
      <w:marBottom w:val="0"/>
      <w:divBdr>
        <w:top w:val="none" w:sz="0" w:space="0" w:color="auto"/>
        <w:left w:val="none" w:sz="0" w:space="0" w:color="auto"/>
        <w:bottom w:val="none" w:sz="0" w:space="0" w:color="auto"/>
        <w:right w:val="none" w:sz="0" w:space="0" w:color="auto"/>
      </w:divBdr>
    </w:div>
    <w:div w:id="1795170134">
      <w:bodyDiv w:val="1"/>
      <w:marLeft w:val="0"/>
      <w:marRight w:val="0"/>
      <w:marTop w:val="0"/>
      <w:marBottom w:val="0"/>
      <w:divBdr>
        <w:top w:val="none" w:sz="0" w:space="0" w:color="auto"/>
        <w:left w:val="none" w:sz="0" w:space="0" w:color="auto"/>
        <w:bottom w:val="none" w:sz="0" w:space="0" w:color="auto"/>
        <w:right w:val="none" w:sz="0" w:space="0" w:color="auto"/>
      </w:divBdr>
    </w:div>
    <w:div w:id="1795249019">
      <w:bodyDiv w:val="1"/>
      <w:marLeft w:val="0"/>
      <w:marRight w:val="0"/>
      <w:marTop w:val="0"/>
      <w:marBottom w:val="0"/>
      <w:divBdr>
        <w:top w:val="none" w:sz="0" w:space="0" w:color="auto"/>
        <w:left w:val="none" w:sz="0" w:space="0" w:color="auto"/>
        <w:bottom w:val="none" w:sz="0" w:space="0" w:color="auto"/>
        <w:right w:val="none" w:sz="0" w:space="0" w:color="auto"/>
      </w:divBdr>
    </w:div>
    <w:div w:id="1795253609">
      <w:bodyDiv w:val="1"/>
      <w:marLeft w:val="0"/>
      <w:marRight w:val="0"/>
      <w:marTop w:val="0"/>
      <w:marBottom w:val="0"/>
      <w:divBdr>
        <w:top w:val="none" w:sz="0" w:space="0" w:color="auto"/>
        <w:left w:val="none" w:sz="0" w:space="0" w:color="auto"/>
        <w:bottom w:val="none" w:sz="0" w:space="0" w:color="auto"/>
        <w:right w:val="none" w:sz="0" w:space="0" w:color="auto"/>
      </w:divBdr>
    </w:div>
    <w:div w:id="1795557472">
      <w:bodyDiv w:val="1"/>
      <w:marLeft w:val="0"/>
      <w:marRight w:val="0"/>
      <w:marTop w:val="0"/>
      <w:marBottom w:val="0"/>
      <w:divBdr>
        <w:top w:val="none" w:sz="0" w:space="0" w:color="auto"/>
        <w:left w:val="none" w:sz="0" w:space="0" w:color="auto"/>
        <w:bottom w:val="none" w:sz="0" w:space="0" w:color="auto"/>
        <w:right w:val="none" w:sz="0" w:space="0" w:color="auto"/>
      </w:divBdr>
    </w:div>
    <w:div w:id="1795559674">
      <w:bodyDiv w:val="1"/>
      <w:marLeft w:val="0"/>
      <w:marRight w:val="0"/>
      <w:marTop w:val="0"/>
      <w:marBottom w:val="0"/>
      <w:divBdr>
        <w:top w:val="none" w:sz="0" w:space="0" w:color="auto"/>
        <w:left w:val="none" w:sz="0" w:space="0" w:color="auto"/>
        <w:bottom w:val="none" w:sz="0" w:space="0" w:color="auto"/>
        <w:right w:val="none" w:sz="0" w:space="0" w:color="auto"/>
      </w:divBdr>
    </w:div>
    <w:div w:id="1795781958">
      <w:bodyDiv w:val="1"/>
      <w:marLeft w:val="0"/>
      <w:marRight w:val="0"/>
      <w:marTop w:val="0"/>
      <w:marBottom w:val="0"/>
      <w:divBdr>
        <w:top w:val="none" w:sz="0" w:space="0" w:color="auto"/>
        <w:left w:val="none" w:sz="0" w:space="0" w:color="auto"/>
        <w:bottom w:val="none" w:sz="0" w:space="0" w:color="auto"/>
        <w:right w:val="none" w:sz="0" w:space="0" w:color="auto"/>
      </w:divBdr>
    </w:div>
    <w:div w:id="1795826144">
      <w:bodyDiv w:val="1"/>
      <w:marLeft w:val="0"/>
      <w:marRight w:val="0"/>
      <w:marTop w:val="0"/>
      <w:marBottom w:val="0"/>
      <w:divBdr>
        <w:top w:val="none" w:sz="0" w:space="0" w:color="auto"/>
        <w:left w:val="none" w:sz="0" w:space="0" w:color="auto"/>
        <w:bottom w:val="none" w:sz="0" w:space="0" w:color="auto"/>
        <w:right w:val="none" w:sz="0" w:space="0" w:color="auto"/>
      </w:divBdr>
    </w:div>
    <w:div w:id="1795830234">
      <w:bodyDiv w:val="1"/>
      <w:marLeft w:val="0"/>
      <w:marRight w:val="0"/>
      <w:marTop w:val="0"/>
      <w:marBottom w:val="0"/>
      <w:divBdr>
        <w:top w:val="none" w:sz="0" w:space="0" w:color="auto"/>
        <w:left w:val="none" w:sz="0" w:space="0" w:color="auto"/>
        <w:bottom w:val="none" w:sz="0" w:space="0" w:color="auto"/>
        <w:right w:val="none" w:sz="0" w:space="0" w:color="auto"/>
      </w:divBdr>
    </w:div>
    <w:div w:id="1795831069">
      <w:bodyDiv w:val="1"/>
      <w:marLeft w:val="0"/>
      <w:marRight w:val="0"/>
      <w:marTop w:val="0"/>
      <w:marBottom w:val="0"/>
      <w:divBdr>
        <w:top w:val="none" w:sz="0" w:space="0" w:color="auto"/>
        <w:left w:val="none" w:sz="0" w:space="0" w:color="auto"/>
        <w:bottom w:val="none" w:sz="0" w:space="0" w:color="auto"/>
        <w:right w:val="none" w:sz="0" w:space="0" w:color="auto"/>
      </w:divBdr>
    </w:div>
    <w:div w:id="1795901428">
      <w:bodyDiv w:val="1"/>
      <w:marLeft w:val="0"/>
      <w:marRight w:val="0"/>
      <w:marTop w:val="0"/>
      <w:marBottom w:val="0"/>
      <w:divBdr>
        <w:top w:val="none" w:sz="0" w:space="0" w:color="auto"/>
        <w:left w:val="none" w:sz="0" w:space="0" w:color="auto"/>
        <w:bottom w:val="none" w:sz="0" w:space="0" w:color="auto"/>
        <w:right w:val="none" w:sz="0" w:space="0" w:color="auto"/>
      </w:divBdr>
    </w:div>
    <w:div w:id="1795902360">
      <w:bodyDiv w:val="1"/>
      <w:marLeft w:val="0"/>
      <w:marRight w:val="0"/>
      <w:marTop w:val="0"/>
      <w:marBottom w:val="0"/>
      <w:divBdr>
        <w:top w:val="none" w:sz="0" w:space="0" w:color="auto"/>
        <w:left w:val="none" w:sz="0" w:space="0" w:color="auto"/>
        <w:bottom w:val="none" w:sz="0" w:space="0" w:color="auto"/>
        <w:right w:val="none" w:sz="0" w:space="0" w:color="auto"/>
      </w:divBdr>
    </w:div>
    <w:div w:id="1795977622">
      <w:bodyDiv w:val="1"/>
      <w:marLeft w:val="0"/>
      <w:marRight w:val="0"/>
      <w:marTop w:val="0"/>
      <w:marBottom w:val="0"/>
      <w:divBdr>
        <w:top w:val="none" w:sz="0" w:space="0" w:color="auto"/>
        <w:left w:val="none" w:sz="0" w:space="0" w:color="auto"/>
        <w:bottom w:val="none" w:sz="0" w:space="0" w:color="auto"/>
        <w:right w:val="none" w:sz="0" w:space="0" w:color="auto"/>
      </w:divBdr>
    </w:div>
    <w:div w:id="1796026294">
      <w:bodyDiv w:val="1"/>
      <w:marLeft w:val="0"/>
      <w:marRight w:val="0"/>
      <w:marTop w:val="0"/>
      <w:marBottom w:val="0"/>
      <w:divBdr>
        <w:top w:val="none" w:sz="0" w:space="0" w:color="auto"/>
        <w:left w:val="none" w:sz="0" w:space="0" w:color="auto"/>
        <w:bottom w:val="none" w:sz="0" w:space="0" w:color="auto"/>
        <w:right w:val="none" w:sz="0" w:space="0" w:color="auto"/>
      </w:divBdr>
    </w:div>
    <w:div w:id="1796095539">
      <w:bodyDiv w:val="1"/>
      <w:marLeft w:val="0"/>
      <w:marRight w:val="0"/>
      <w:marTop w:val="0"/>
      <w:marBottom w:val="0"/>
      <w:divBdr>
        <w:top w:val="none" w:sz="0" w:space="0" w:color="auto"/>
        <w:left w:val="none" w:sz="0" w:space="0" w:color="auto"/>
        <w:bottom w:val="none" w:sz="0" w:space="0" w:color="auto"/>
        <w:right w:val="none" w:sz="0" w:space="0" w:color="auto"/>
      </w:divBdr>
    </w:div>
    <w:div w:id="1796212445">
      <w:bodyDiv w:val="1"/>
      <w:marLeft w:val="0"/>
      <w:marRight w:val="0"/>
      <w:marTop w:val="0"/>
      <w:marBottom w:val="0"/>
      <w:divBdr>
        <w:top w:val="none" w:sz="0" w:space="0" w:color="auto"/>
        <w:left w:val="none" w:sz="0" w:space="0" w:color="auto"/>
        <w:bottom w:val="none" w:sz="0" w:space="0" w:color="auto"/>
        <w:right w:val="none" w:sz="0" w:space="0" w:color="auto"/>
      </w:divBdr>
    </w:div>
    <w:div w:id="1796287156">
      <w:bodyDiv w:val="1"/>
      <w:marLeft w:val="0"/>
      <w:marRight w:val="0"/>
      <w:marTop w:val="0"/>
      <w:marBottom w:val="0"/>
      <w:divBdr>
        <w:top w:val="none" w:sz="0" w:space="0" w:color="auto"/>
        <w:left w:val="none" w:sz="0" w:space="0" w:color="auto"/>
        <w:bottom w:val="none" w:sz="0" w:space="0" w:color="auto"/>
        <w:right w:val="none" w:sz="0" w:space="0" w:color="auto"/>
      </w:divBdr>
    </w:div>
    <w:div w:id="1796559623">
      <w:bodyDiv w:val="1"/>
      <w:marLeft w:val="0"/>
      <w:marRight w:val="0"/>
      <w:marTop w:val="0"/>
      <w:marBottom w:val="0"/>
      <w:divBdr>
        <w:top w:val="none" w:sz="0" w:space="0" w:color="auto"/>
        <w:left w:val="none" w:sz="0" w:space="0" w:color="auto"/>
        <w:bottom w:val="none" w:sz="0" w:space="0" w:color="auto"/>
        <w:right w:val="none" w:sz="0" w:space="0" w:color="auto"/>
      </w:divBdr>
    </w:div>
    <w:div w:id="1796633694">
      <w:bodyDiv w:val="1"/>
      <w:marLeft w:val="0"/>
      <w:marRight w:val="0"/>
      <w:marTop w:val="0"/>
      <w:marBottom w:val="0"/>
      <w:divBdr>
        <w:top w:val="none" w:sz="0" w:space="0" w:color="auto"/>
        <w:left w:val="none" w:sz="0" w:space="0" w:color="auto"/>
        <w:bottom w:val="none" w:sz="0" w:space="0" w:color="auto"/>
        <w:right w:val="none" w:sz="0" w:space="0" w:color="auto"/>
      </w:divBdr>
    </w:div>
    <w:div w:id="1796832127">
      <w:bodyDiv w:val="1"/>
      <w:marLeft w:val="0"/>
      <w:marRight w:val="0"/>
      <w:marTop w:val="0"/>
      <w:marBottom w:val="0"/>
      <w:divBdr>
        <w:top w:val="none" w:sz="0" w:space="0" w:color="auto"/>
        <w:left w:val="none" w:sz="0" w:space="0" w:color="auto"/>
        <w:bottom w:val="none" w:sz="0" w:space="0" w:color="auto"/>
        <w:right w:val="none" w:sz="0" w:space="0" w:color="auto"/>
      </w:divBdr>
    </w:div>
    <w:div w:id="1796870157">
      <w:bodyDiv w:val="1"/>
      <w:marLeft w:val="0"/>
      <w:marRight w:val="0"/>
      <w:marTop w:val="0"/>
      <w:marBottom w:val="0"/>
      <w:divBdr>
        <w:top w:val="none" w:sz="0" w:space="0" w:color="auto"/>
        <w:left w:val="none" w:sz="0" w:space="0" w:color="auto"/>
        <w:bottom w:val="none" w:sz="0" w:space="0" w:color="auto"/>
        <w:right w:val="none" w:sz="0" w:space="0" w:color="auto"/>
      </w:divBdr>
    </w:div>
    <w:div w:id="1797063446">
      <w:bodyDiv w:val="1"/>
      <w:marLeft w:val="0"/>
      <w:marRight w:val="0"/>
      <w:marTop w:val="0"/>
      <w:marBottom w:val="0"/>
      <w:divBdr>
        <w:top w:val="none" w:sz="0" w:space="0" w:color="auto"/>
        <w:left w:val="none" w:sz="0" w:space="0" w:color="auto"/>
        <w:bottom w:val="none" w:sz="0" w:space="0" w:color="auto"/>
        <w:right w:val="none" w:sz="0" w:space="0" w:color="auto"/>
      </w:divBdr>
    </w:div>
    <w:div w:id="1797092494">
      <w:bodyDiv w:val="1"/>
      <w:marLeft w:val="0"/>
      <w:marRight w:val="0"/>
      <w:marTop w:val="0"/>
      <w:marBottom w:val="0"/>
      <w:divBdr>
        <w:top w:val="none" w:sz="0" w:space="0" w:color="auto"/>
        <w:left w:val="none" w:sz="0" w:space="0" w:color="auto"/>
        <w:bottom w:val="none" w:sz="0" w:space="0" w:color="auto"/>
        <w:right w:val="none" w:sz="0" w:space="0" w:color="auto"/>
      </w:divBdr>
    </w:div>
    <w:div w:id="1797289842">
      <w:bodyDiv w:val="1"/>
      <w:marLeft w:val="0"/>
      <w:marRight w:val="0"/>
      <w:marTop w:val="0"/>
      <w:marBottom w:val="0"/>
      <w:divBdr>
        <w:top w:val="none" w:sz="0" w:space="0" w:color="auto"/>
        <w:left w:val="none" w:sz="0" w:space="0" w:color="auto"/>
        <w:bottom w:val="none" w:sz="0" w:space="0" w:color="auto"/>
        <w:right w:val="none" w:sz="0" w:space="0" w:color="auto"/>
      </w:divBdr>
    </w:div>
    <w:div w:id="1797332190">
      <w:bodyDiv w:val="1"/>
      <w:marLeft w:val="0"/>
      <w:marRight w:val="0"/>
      <w:marTop w:val="0"/>
      <w:marBottom w:val="0"/>
      <w:divBdr>
        <w:top w:val="none" w:sz="0" w:space="0" w:color="auto"/>
        <w:left w:val="none" w:sz="0" w:space="0" w:color="auto"/>
        <w:bottom w:val="none" w:sz="0" w:space="0" w:color="auto"/>
        <w:right w:val="none" w:sz="0" w:space="0" w:color="auto"/>
      </w:divBdr>
    </w:div>
    <w:div w:id="1797334220">
      <w:bodyDiv w:val="1"/>
      <w:marLeft w:val="0"/>
      <w:marRight w:val="0"/>
      <w:marTop w:val="0"/>
      <w:marBottom w:val="0"/>
      <w:divBdr>
        <w:top w:val="none" w:sz="0" w:space="0" w:color="auto"/>
        <w:left w:val="none" w:sz="0" w:space="0" w:color="auto"/>
        <w:bottom w:val="none" w:sz="0" w:space="0" w:color="auto"/>
        <w:right w:val="none" w:sz="0" w:space="0" w:color="auto"/>
      </w:divBdr>
    </w:div>
    <w:div w:id="1797483554">
      <w:bodyDiv w:val="1"/>
      <w:marLeft w:val="0"/>
      <w:marRight w:val="0"/>
      <w:marTop w:val="0"/>
      <w:marBottom w:val="0"/>
      <w:divBdr>
        <w:top w:val="none" w:sz="0" w:space="0" w:color="auto"/>
        <w:left w:val="none" w:sz="0" w:space="0" w:color="auto"/>
        <w:bottom w:val="none" w:sz="0" w:space="0" w:color="auto"/>
        <w:right w:val="none" w:sz="0" w:space="0" w:color="auto"/>
      </w:divBdr>
    </w:div>
    <w:div w:id="1797487484">
      <w:bodyDiv w:val="1"/>
      <w:marLeft w:val="0"/>
      <w:marRight w:val="0"/>
      <w:marTop w:val="0"/>
      <w:marBottom w:val="0"/>
      <w:divBdr>
        <w:top w:val="none" w:sz="0" w:space="0" w:color="auto"/>
        <w:left w:val="none" w:sz="0" w:space="0" w:color="auto"/>
        <w:bottom w:val="none" w:sz="0" w:space="0" w:color="auto"/>
        <w:right w:val="none" w:sz="0" w:space="0" w:color="auto"/>
      </w:divBdr>
    </w:div>
    <w:div w:id="1797673421">
      <w:bodyDiv w:val="1"/>
      <w:marLeft w:val="0"/>
      <w:marRight w:val="0"/>
      <w:marTop w:val="0"/>
      <w:marBottom w:val="0"/>
      <w:divBdr>
        <w:top w:val="none" w:sz="0" w:space="0" w:color="auto"/>
        <w:left w:val="none" w:sz="0" w:space="0" w:color="auto"/>
        <w:bottom w:val="none" w:sz="0" w:space="0" w:color="auto"/>
        <w:right w:val="none" w:sz="0" w:space="0" w:color="auto"/>
      </w:divBdr>
    </w:div>
    <w:div w:id="1797794098">
      <w:bodyDiv w:val="1"/>
      <w:marLeft w:val="0"/>
      <w:marRight w:val="0"/>
      <w:marTop w:val="0"/>
      <w:marBottom w:val="0"/>
      <w:divBdr>
        <w:top w:val="none" w:sz="0" w:space="0" w:color="auto"/>
        <w:left w:val="none" w:sz="0" w:space="0" w:color="auto"/>
        <w:bottom w:val="none" w:sz="0" w:space="0" w:color="auto"/>
        <w:right w:val="none" w:sz="0" w:space="0" w:color="auto"/>
      </w:divBdr>
    </w:div>
    <w:div w:id="1797866109">
      <w:bodyDiv w:val="1"/>
      <w:marLeft w:val="0"/>
      <w:marRight w:val="0"/>
      <w:marTop w:val="0"/>
      <w:marBottom w:val="0"/>
      <w:divBdr>
        <w:top w:val="none" w:sz="0" w:space="0" w:color="auto"/>
        <w:left w:val="none" w:sz="0" w:space="0" w:color="auto"/>
        <w:bottom w:val="none" w:sz="0" w:space="0" w:color="auto"/>
        <w:right w:val="none" w:sz="0" w:space="0" w:color="auto"/>
      </w:divBdr>
    </w:div>
    <w:div w:id="1797874700">
      <w:bodyDiv w:val="1"/>
      <w:marLeft w:val="0"/>
      <w:marRight w:val="0"/>
      <w:marTop w:val="0"/>
      <w:marBottom w:val="0"/>
      <w:divBdr>
        <w:top w:val="none" w:sz="0" w:space="0" w:color="auto"/>
        <w:left w:val="none" w:sz="0" w:space="0" w:color="auto"/>
        <w:bottom w:val="none" w:sz="0" w:space="0" w:color="auto"/>
        <w:right w:val="none" w:sz="0" w:space="0" w:color="auto"/>
      </w:divBdr>
    </w:div>
    <w:div w:id="1797945951">
      <w:bodyDiv w:val="1"/>
      <w:marLeft w:val="0"/>
      <w:marRight w:val="0"/>
      <w:marTop w:val="0"/>
      <w:marBottom w:val="0"/>
      <w:divBdr>
        <w:top w:val="none" w:sz="0" w:space="0" w:color="auto"/>
        <w:left w:val="none" w:sz="0" w:space="0" w:color="auto"/>
        <w:bottom w:val="none" w:sz="0" w:space="0" w:color="auto"/>
        <w:right w:val="none" w:sz="0" w:space="0" w:color="auto"/>
      </w:divBdr>
    </w:div>
    <w:div w:id="1797947239">
      <w:bodyDiv w:val="1"/>
      <w:marLeft w:val="0"/>
      <w:marRight w:val="0"/>
      <w:marTop w:val="0"/>
      <w:marBottom w:val="0"/>
      <w:divBdr>
        <w:top w:val="none" w:sz="0" w:space="0" w:color="auto"/>
        <w:left w:val="none" w:sz="0" w:space="0" w:color="auto"/>
        <w:bottom w:val="none" w:sz="0" w:space="0" w:color="auto"/>
        <w:right w:val="none" w:sz="0" w:space="0" w:color="auto"/>
      </w:divBdr>
    </w:div>
    <w:div w:id="1797992292">
      <w:bodyDiv w:val="1"/>
      <w:marLeft w:val="0"/>
      <w:marRight w:val="0"/>
      <w:marTop w:val="0"/>
      <w:marBottom w:val="0"/>
      <w:divBdr>
        <w:top w:val="none" w:sz="0" w:space="0" w:color="auto"/>
        <w:left w:val="none" w:sz="0" w:space="0" w:color="auto"/>
        <w:bottom w:val="none" w:sz="0" w:space="0" w:color="auto"/>
        <w:right w:val="none" w:sz="0" w:space="0" w:color="auto"/>
      </w:divBdr>
    </w:div>
    <w:div w:id="1798059201">
      <w:bodyDiv w:val="1"/>
      <w:marLeft w:val="0"/>
      <w:marRight w:val="0"/>
      <w:marTop w:val="0"/>
      <w:marBottom w:val="0"/>
      <w:divBdr>
        <w:top w:val="none" w:sz="0" w:space="0" w:color="auto"/>
        <w:left w:val="none" w:sz="0" w:space="0" w:color="auto"/>
        <w:bottom w:val="none" w:sz="0" w:space="0" w:color="auto"/>
        <w:right w:val="none" w:sz="0" w:space="0" w:color="auto"/>
      </w:divBdr>
    </w:div>
    <w:div w:id="1798134657">
      <w:bodyDiv w:val="1"/>
      <w:marLeft w:val="0"/>
      <w:marRight w:val="0"/>
      <w:marTop w:val="0"/>
      <w:marBottom w:val="0"/>
      <w:divBdr>
        <w:top w:val="none" w:sz="0" w:space="0" w:color="auto"/>
        <w:left w:val="none" w:sz="0" w:space="0" w:color="auto"/>
        <w:bottom w:val="none" w:sz="0" w:space="0" w:color="auto"/>
        <w:right w:val="none" w:sz="0" w:space="0" w:color="auto"/>
      </w:divBdr>
    </w:div>
    <w:div w:id="1798177259">
      <w:bodyDiv w:val="1"/>
      <w:marLeft w:val="0"/>
      <w:marRight w:val="0"/>
      <w:marTop w:val="0"/>
      <w:marBottom w:val="0"/>
      <w:divBdr>
        <w:top w:val="none" w:sz="0" w:space="0" w:color="auto"/>
        <w:left w:val="none" w:sz="0" w:space="0" w:color="auto"/>
        <w:bottom w:val="none" w:sz="0" w:space="0" w:color="auto"/>
        <w:right w:val="none" w:sz="0" w:space="0" w:color="auto"/>
      </w:divBdr>
    </w:div>
    <w:div w:id="1798256248">
      <w:bodyDiv w:val="1"/>
      <w:marLeft w:val="0"/>
      <w:marRight w:val="0"/>
      <w:marTop w:val="0"/>
      <w:marBottom w:val="0"/>
      <w:divBdr>
        <w:top w:val="none" w:sz="0" w:space="0" w:color="auto"/>
        <w:left w:val="none" w:sz="0" w:space="0" w:color="auto"/>
        <w:bottom w:val="none" w:sz="0" w:space="0" w:color="auto"/>
        <w:right w:val="none" w:sz="0" w:space="0" w:color="auto"/>
      </w:divBdr>
    </w:div>
    <w:div w:id="1798378554">
      <w:bodyDiv w:val="1"/>
      <w:marLeft w:val="0"/>
      <w:marRight w:val="0"/>
      <w:marTop w:val="0"/>
      <w:marBottom w:val="0"/>
      <w:divBdr>
        <w:top w:val="none" w:sz="0" w:space="0" w:color="auto"/>
        <w:left w:val="none" w:sz="0" w:space="0" w:color="auto"/>
        <w:bottom w:val="none" w:sz="0" w:space="0" w:color="auto"/>
        <w:right w:val="none" w:sz="0" w:space="0" w:color="auto"/>
      </w:divBdr>
    </w:div>
    <w:div w:id="1798522422">
      <w:bodyDiv w:val="1"/>
      <w:marLeft w:val="0"/>
      <w:marRight w:val="0"/>
      <w:marTop w:val="0"/>
      <w:marBottom w:val="0"/>
      <w:divBdr>
        <w:top w:val="none" w:sz="0" w:space="0" w:color="auto"/>
        <w:left w:val="none" w:sz="0" w:space="0" w:color="auto"/>
        <w:bottom w:val="none" w:sz="0" w:space="0" w:color="auto"/>
        <w:right w:val="none" w:sz="0" w:space="0" w:color="auto"/>
      </w:divBdr>
    </w:div>
    <w:div w:id="1798528524">
      <w:bodyDiv w:val="1"/>
      <w:marLeft w:val="0"/>
      <w:marRight w:val="0"/>
      <w:marTop w:val="0"/>
      <w:marBottom w:val="0"/>
      <w:divBdr>
        <w:top w:val="none" w:sz="0" w:space="0" w:color="auto"/>
        <w:left w:val="none" w:sz="0" w:space="0" w:color="auto"/>
        <w:bottom w:val="none" w:sz="0" w:space="0" w:color="auto"/>
        <w:right w:val="none" w:sz="0" w:space="0" w:color="auto"/>
      </w:divBdr>
    </w:div>
    <w:div w:id="1798598185">
      <w:bodyDiv w:val="1"/>
      <w:marLeft w:val="0"/>
      <w:marRight w:val="0"/>
      <w:marTop w:val="0"/>
      <w:marBottom w:val="0"/>
      <w:divBdr>
        <w:top w:val="none" w:sz="0" w:space="0" w:color="auto"/>
        <w:left w:val="none" w:sz="0" w:space="0" w:color="auto"/>
        <w:bottom w:val="none" w:sz="0" w:space="0" w:color="auto"/>
        <w:right w:val="none" w:sz="0" w:space="0" w:color="auto"/>
      </w:divBdr>
    </w:div>
    <w:div w:id="1798718346">
      <w:bodyDiv w:val="1"/>
      <w:marLeft w:val="0"/>
      <w:marRight w:val="0"/>
      <w:marTop w:val="0"/>
      <w:marBottom w:val="0"/>
      <w:divBdr>
        <w:top w:val="none" w:sz="0" w:space="0" w:color="auto"/>
        <w:left w:val="none" w:sz="0" w:space="0" w:color="auto"/>
        <w:bottom w:val="none" w:sz="0" w:space="0" w:color="auto"/>
        <w:right w:val="none" w:sz="0" w:space="0" w:color="auto"/>
      </w:divBdr>
    </w:div>
    <w:div w:id="1798836926">
      <w:bodyDiv w:val="1"/>
      <w:marLeft w:val="0"/>
      <w:marRight w:val="0"/>
      <w:marTop w:val="0"/>
      <w:marBottom w:val="0"/>
      <w:divBdr>
        <w:top w:val="none" w:sz="0" w:space="0" w:color="auto"/>
        <w:left w:val="none" w:sz="0" w:space="0" w:color="auto"/>
        <w:bottom w:val="none" w:sz="0" w:space="0" w:color="auto"/>
        <w:right w:val="none" w:sz="0" w:space="0" w:color="auto"/>
      </w:divBdr>
    </w:div>
    <w:div w:id="1799180916">
      <w:bodyDiv w:val="1"/>
      <w:marLeft w:val="0"/>
      <w:marRight w:val="0"/>
      <w:marTop w:val="0"/>
      <w:marBottom w:val="0"/>
      <w:divBdr>
        <w:top w:val="none" w:sz="0" w:space="0" w:color="auto"/>
        <w:left w:val="none" w:sz="0" w:space="0" w:color="auto"/>
        <w:bottom w:val="none" w:sz="0" w:space="0" w:color="auto"/>
        <w:right w:val="none" w:sz="0" w:space="0" w:color="auto"/>
      </w:divBdr>
    </w:div>
    <w:div w:id="1799181237">
      <w:bodyDiv w:val="1"/>
      <w:marLeft w:val="0"/>
      <w:marRight w:val="0"/>
      <w:marTop w:val="0"/>
      <w:marBottom w:val="0"/>
      <w:divBdr>
        <w:top w:val="none" w:sz="0" w:space="0" w:color="auto"/>
        <w:left w:val="none" w:sz="0" w:space="0" w:color="auto"/>
        <w:bottom w:val="none" w:sz="0" w:space="0" w:color="auto"/>
        <w:right w:val="none" w:sz="0" w:space="0" w:color="auto"/>
      </w:divBdr>
    </w:div>
    <w:div w:id="1799225468">
      <w:bodyDiv w:val="1"/>
      <w:marLeft w:val="0"/>
      <w:marRight w:val="0"/>
      <w:marTop w:val="0"/>
      <w:marBottom w:val="0"/>
      <w:divBdr>
        <w:top w:val="none" w:sz="0" w:space="0" w:color="auto"/>
        <w:left w:val="none" w:sz="0" w:space="0" w:color="auto"/>
        <w:bottom w:val="none" w:sz="0" w:space="0" w:color="auto"/>
        <w:right w:val="none" w:sz="0" w:space="0" w:color="auto"/>
      </w:divBdr>
    </w:div>
    <w:div w:id="1799371055">
      <w:bodyDiv w:val="1"/>
      <w:marLeft w:val="0"/>
      <w:marRight w:val="0"/>
      <w:marTop w:val="0"/>
      <w:marBottom w:val="0"/>
      <w:divBdr>
        <w:top w:val="none" w:sz="0" w:space="0" w:color="auto"/>
        <w:left w:val="none" w:sz="0" w:space="0" w:color="auto"/>
        <w:bottom w:val="none" w:sz="0" w:space="0" w:color="auto"/>
        <w:right w:val="none" w:sz="0" w:space="0" w:color="auto"/>
      </w:divBdr>
    </w:div>
    <w:div w:id="1799375598">
      <w:bodyDiv w:val="1"/>
      <w:marLeft w:val="0"/>
      <w:marRight w:val="0"/>
      <w:marTop w:val="0"/>
      <w:marBottom w:val="0"/>
      <w:divBdr>
        <w:top w:val="none" w:sz="0" w:space="0" w:color="auto"/>
        <w:left w:val="none" w:sz="0" w:space="0" w:color="auto"/>
        <w:bottom w:val="none" w:sz="0" w:space="0" w:color="auto"/>
        <w:right w:val="none" w:sz="0" w:space="0" w:color="auto"/>
      </w:divBdr>
    </w:div>
    <w:div w:id="1799376066">
      <w:bodyDiv w:val="1"/>
      <w:marLeft w:val="0"/>
      <w:marRight w:val="0"/>
      <w:marTop w:val="0"/>
      <w:marBottom w:val="0"/>
      <w:divBdr>
        <w:top w:val="none" w:sz="0" w:space="0" w:color="auto"/>
        <w:left w:val="none" w:sz="0" w:space="0" w:color="auto"/>
        <w:bottom w:val="none" w:sz="0" w:space="0" w:color="auto"/>
        <w:right w:val="none" w:sz="0" w:space="0" w:color="auto"/>
      </w:divBdr>
    </w:div>
    <w:div w:id="1799447995">
      <w:bodyDiv w:val="1"/>
      <w:marLeft w:val="0"/>
      <w:marRight w:val="0"/>
      <w:marTop w:val="0"/>
      <w:marBottom w:val="0"/>
      <w:divBdr>
        <w:top w:val="none" w:sz="0" w:space="0" w:color="auto"/>
        <w:left w:val="none" w:sz="0" w:space="0" w:color="auto"/>
        <w:bottom w:val="none" w:sz="0" w:space="0" w:color="auto"/>
        <w:right w:val="none" w:sz="0" w:space="0" w:color="auto"/>
      </w:divBdr>
    </w:div>
    <w:div w:id="1799451327">
      <w:bodyDiv w:val="1"/>
      <w:marLeft w:val="0"/>
      <w:marRight w:val="0"/>
      <w:marTop w:val="0"/>
      <w:marBottom w:val="0"/>
      <w:divBdr>
        <w:top w:val="none" w:sz="0" w:space="0" w:color="auto"/>
        <w:left w:val="none" w:sz="0" w:space="0" w:color="auto"/>
        <w:bottom w:val="none" w:sz="0" w:space="0" w:color="auto"/>
        <w:right w:val="none" w:sz="0" w:space="0" w:color="auto"/>
      </w:divBdr>
    </w:div>
    <w:div w:id="1799569211">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799912098">
      <w:bodyDiv w:val="1"/>
      <w:marLeft w:val="0"/>
      <w:marRight w:val="0"/>
      <w:marTop w:val="0"/>
      <w:marBottom w:val="0"/>
      <w:divBdr>
        <w:top w:val="none" w:sz="0" w:space="0" w:color="auto"/>
        <w:left w:val="none" w:sz="0" w:space="0" w:color="auto"/>
        <w:bottom w:val="none" w:sz="0" w:space="0" w:color="auto"/>
        <w:right w:val="none" w:sz="0" w:space="0" w:color="auto"/>
      </w:divBdr>
    </w:div>
    <w:div w:id="1799953845">
      <w:bodyDiv w:val="1"/>
      <w:marLeft w:val="0"/>
      <w:marRight w:val="0"/>
      <w:marTop w:val="0"/>
      <w:marBottom w:val="0"/>
      <w:divBdr>
        <w:top w:val="none" w:sz="0" w:space="0" w:color="auto"/>
        <w:left w:val="none" w:sz="0" w:space="0" w:color="auto"/>
        <w:bottom w:val="none" w:sz="0" w:space="0" w:color="auto"/>
        <w:right w:val="none" w:sz="0" w:space="0" w:color="auto"/>
      </w:divBdr>
    </w:div>
    <w:div w:id="1800025010">
      <w:bodyDiv w:val="1"/>
      <w:marLeft w:val="0"/>
      <w:marRight w:val="0"/>
      <w:marTop w:val="0"/>
      <w:marBottom w:val="0"/>
      <w:divBdr>
        <w:top w:val="none" w:sz="0" w:space="0" w:color="auto"/>
        <w:left w:val="none" w:sz="0" w:space="0" w:color="auto"/>
        <w:bottom w:val="none" w:sz="0" w:space="0" w:color="auto"/>
        <w:right w:val="none" w:sz="0" w:space="0" w:color="auto"/>
      </w:divBdr>
    </w:div>
    <w:div w:id="1800151081">
      <w:bodyDiv w:val="1"/>
      <w:marLeft w:val="0"/>
      <w:marRight w:val="0"/>
      <w:marTop w:val="0"/>
      <w:marBottom w:val="0"/>
      <w:divBdr>
        <w:top w:val="none" w:sz="0" w:space="0" w:color="auto"/>
        <w:left w:val="none" w:sz="0" w:space="0" w:color="auto"/>
        <w:bottom w:val="none" w:sz="0" w:space="0" w:color="auto"/>
        <w:right w:val="none" w:sz="0" w:space="0" w:color="auto"/>
      </w:divBdr>
    </w:div>
    <w:div w:id="1800296070">
      <w:bodyDiv w:val="1"/>
      <w:marLeft w:val="0"/>
      <w:marRight w:val="0"/>
      <w:marTop w:val="0"/>
      <w:marBottom w:val="0"/>
      <w:divBdr>
        <w:top w:val="none" w:sz="0" w:space="0" w:color="auto"/>
        <w:left w:val="none" w:sz="0" w:space="0" w:color="auto"/>
        <w:bottom w:val="none" w:sz="0" w:space="0" w:color="auto"/>
        <w:right w:val="none" w:sz="0" w:space="0" w:color="auto"/>
      </w:divBdr>
    </w:div>
    <w:div w:id="1800340238">
      <w:bodyDiv w:val="1"/>
      <w:marLeft w:val="0"/>
      <w:marRight w:val="0"/>
      <w:marTop w:val="0"/>
      <w:marBottom w:val="0"/>
      <w:divBdr>
        <w:top w:val="none" w:sz="0" w:space="0" w:color="auto"/>
        <w:left w:val="none" w:sz="0" w:space="0" w:color="auto"/>
        <w:bottom w:val="none" w:sz="0" w:space="0" w:color="auto"/>
        <w:right w:val="none" w:sz="0" w:space="0" w:color="auto"/>
      </w:divBdr>
    </w:div>
    <w:div w:id="1800370051">
      <w:bodyDiv w:val="1"/>
      <w:marLeft w:val="0"/>
      <w:marRight w:val="0"/>
      <w:marTop w:val="0"/>
      <w:marBottom w:val="0"/>
      <w:divBdr>
        <w:top w:val="none" w:sz="0" w:space="0" w:color="auto"/>
        <w:left w:val="none" w:sz="0" w:space="0" w:color="auto"/>
        <w:bottom w:val="none" w:sz="0" w:space="0" w:color="auto"/>
        <w:right w:val="none" w:sz="0" w:space="0" w:color="auto"/>
      </w:divBdr>
    </w:div>
    <w:div w:id="1800488724">
      <w:bodyDiv w:val="1"/>
      <w:marLeft w:val="0"/>
      <w:marRight w:val="0"/>
      <w:marTop w:val="0"/>
      <w:marBottom w:val="0"/>
      <w:divBdr>
        <w:top w:val="none" w:sz="0" w:space="0" w:color="auto"/>
        <w:left w:val="none" w:sz="0" w:space="0" w:color="auto"/>
        <w:bottom w:val="none" w:sz="0" w:space="0" w:color="auto"/>
        <w:right w:val="none" w:sz="0" w:space="0" w:color="auto"/>
      </w:divBdr>
    </w:div>
    <w:div w:id="1800610224">
      <w:bodyDiv w:val="1"/>
      <w:marLeft w:val="0"/>
      <w:marRight w:val="0"/>
      <w:marTop w:val="0"/>
      <w:marBottom w:val="0"/>
      <w:divBdr>
        <w:top w:val="none" w:sz="0" w:space="0" w:color="auto"/>
        <w:left w:val="none" w:sz="0" w:space="0" w:color="auto"/>
        <w:bottom w:val="none" w:sz="0" w:space="0" w:color="auto"/>
        <w:right w:val="none" w:sz="0" w:space="0" w:color="auto"/>
      </w:divBdr>
    </w:div>
    <w:div w:id="1800686882">
      <w:bodyDiv w:val="1"/>
      <w:marLeft w:val="0"/>
      <w:marRight w:val="0"/>
      <w:marTop w:val="0"/>
      <w:marBottom w:val="0"/>
      <w:divBdr>
        <w:top w:val="none" w:sz="0" w:space="0" w:color="auto"/>
        <w:left w:val="none" w:sz="0" w:space="0" w:color="auto"/>
        <w:bottom w:val="none" w:sz="0" w:space="0" w:color="auto"/>
        <w:right w:val="none" w:sz="0" w:space="0" w:color="auto"/>
      </w:divBdr>
    </w:div>
    <w:div w:id="1800804739">
      <w:bodyDiv w:val="1"/>
      <w:marLeft w:val="0"/>
      <w:marRight w:val="0"/>
      <w:marTop w:val="0"/>
      <w:marBottom w:val="0"/>
      <w:divBdr>
        <w:top w:val="none" w:sz="0" w:space="0" w:color="auto"/>
        <w:left w:val="none" w:sz="0" w:space="0" w:color="auto"/>
        <w:bottom w:val="none" w:sz="0" w:space="0" w:color="auto"/>
        <w:right w:val="none" w:sz="0" w:space="0" w:color="auto"/>
      </w:divBdr>
    </w:div>
    <w:div w:id="1800951932">
      <w:bodyDiv w:val="1"/>
      <w:marLeft w:val="0"/>
      <w:marRight w:val="0"/>
      <w:marTop w:val="0"/>
      <w:marBottom w:val="0"/>
      <w:divBdr>
        <w:top w:val="none" w:sz="0" w:space="0" w:color="auto"/>
        <w:left w:val="none" w:sz="0" w:space="0" w:color="auto"/>
        <w:bottom w:val="none" w:sz="0" w:space="0" w:color="auto"/>
        <w:right w:val="none" w:sz="0" w:space="0" w:color="auto"/>
      </w:divBdr>
    </w:div>
    <w:div w:id="1800956549">
      <w:bodyDiv w:val="1"/>
      <w:marLeft w:val="0"/>
      <w:marRight w:val="0"/>
      <w:marTop w:val="0"/>
      <w:marBottom w:val="0"/>
      <w:divBdr>
        <w:top w:val="none" w:sz="0" w:space="0" w:color="auto"/>
        <w:left w:val="none" w:sz="0" w:space="0" w:color="auto"/>
        <w:bottom w:val="none" w:sz="0" w:space="0" w:color="auto"/>
        <w:right w:val="none" w:sz="0" w:space="0" w:color="auto"/>
      </w:divBdr>
    </w:div>
    <w:div w:id="1801024635">
      <w:bodyDiv w:val="1"/>
      <w:marLeft w:val="0"/>
      <w:marRight w:val="0"/>
      <w:marTop w:val="0"/>
      <w:marBottom w:val="0"/>
      <w:divBdr>
        <w:top w:val="none" w:sz="0" w:space="0" w:color="auto"/>
        <w:left w:val="none" w:sz="0" w:space="0" w:color="auto"/>
        <w:bottom w:val="none" w:sz="0" w:space="0" w:color="auto"/>
        <w:right w:val="none" w:sz="0" w:space="0" w:color="auto"/>
      </w:divBdr>
    </w:div>
    <w:div w:id="1801192460">
      <w:bodyDiv w:val="1"/>
      <w:marLeft w:val="0"/>
      <w:marRight w:val="0"/>
      <w:marTop w:val="0"/>
      <w:marBottom w:val="0"/>
      <w:divBdr>
        <w:top w:val="none" w:sz="0" w:space="0" w:color="auto"/>
        <w:left w:val="none" w:sz="0" w:space="0" w:color="auto"/>
        <w:bottom w:val="none" w:sz="0" w:space="0" w:color="auto"/>
        <w:right w:val="none" w:sz="0" w:space="0" w:color="auto"/>
      </w:divBdr>
    </w:div>
    <w:div w:id="1801223710">
      <w:bodyDiv w:val="1"/>
      <w:marLeft w:val="0"/>
      <w:marRight w:val="0"/>
      <w:marTop w:val="0"/>
      <w:marBottom w:val="0"/>
      <w:divBdr>
        <w:top w:val="none" w:sz="0" w:space="0" w:color="auto"/>
        <w:left w:val="none" w:sz="0" w:space="0" w:color="auto"/>
        <w:bottom w:val="none" w:sz="0" w:space="0" w:color="auto"/>
        <w:right w:val="none" w:sz="0" w:space="0" w:color="auto"/>
      </w:divBdr>
    </w:div>
    <w:div w:id="1801265359">
      <w:bodyDiv w:val="1"/>
      <w:marLeft w:val="0"/>
      <w:marRight w:val="0"/>
      <w:marTop w:val="0"/>
      <w:marBottom w:val="0"/>
      <w:divBdr>
        <w:top w:val="none" w:sz="0" w:space="0" w:color="auto"/>
        <w:left w:val="none" w:sz="0" w:space="0" w:color="auto"/>
        <w:bottom w:val="none" w:sz="0" w:space="0" w:color="auto"/>
        <w:right w:val="none" w:sz="0" w:space="0" w:color="auto"/>
      </w:divBdr>
    </w:div>
    <w:div w:id="1801268425">
      <w:bodyDiv w:val="1"/>
      <w:marLeft w:val="0"/>
      <w:marRight w:val="0"/>
      <w:marTop w:val="0"/>
      <w:marBottom w:val="0"/>
      <w:divBdr>
        <w:top w:val="none" w:sz="0" w:space="0" w:color="auto"/>
        <w:left w:val="none" w:sz="0" w:space="0" w:color="auto"/>
        <w:bottom w:val="none" w:sz="0" w:space="0" w:color="auto"/>
        <w:right w:val="none" w:sz="0" w:space="0" w:color="auto"/>
      </w:divBdr>
    </w:div>
    <w:div w:id="1801455045">
      <w:bodyDiv w:val="1"/>
      <w:marLeft w:val="0"/>
      <w:marRight w:val="0"/>
      <w:marTop w:val="0"/>
      <w:marBottom w:val="0"/>
      <w:divBdr>
        <w:top w:val="none" w:sz="0" w:space="0" w:color="auto"/>
        <w:left w:val="none" w:sz="0" w:space="0" w:color="auto"/>
        <w:bottom w:val="none" w:sz="0" w:space="0" w:color="auto"/>
        <w:right w:val="none" w:sz="0" w:space="0" w:color="auto"/>
      </w:divBdr>
    </w:div>
    <w:div w:id="1801456456">
      <w:bodyDiv w:val="1"/>
      <w:marLeft w:val="0"/>
      <w:marRight w:val="0"/>
      <w:marTop w:val="0"/>
      <w:marBottom w:val="0"/>
      <w:divBdr>
        <w:top w:val="none" w:sz="0" w:space="0" w:color="auto"/>
        <w:left w:val="none" w:sz="0" w:space="0" w:color="auto"/>
        <w:bottom w:val="none" w:sz="0" w:space="0" w:color="auto"/>
        <w:right w:val="none" w:sz="0" w:space="0" w:color="auto"/>
      </w:divBdr>
    </w:div>
    <w:div w:id="1801460671">
      <w:bodyDiv w:val="1"/>
      <w:marLeft w:val="0"/>
      <w:marRight w:val="0"/>
      <w:marTop w:val="0"/>
      <w:marBottom w:val="0"/>
      <w:divBdr>
        <w:top w:val="none" w:sz="0" w:space="0" w:color="auto"/>
        <w:left w:val="none" w:sz="0" w:space="0" w:color="auto"/>
        <w:bottom w:val="none" w:sz="0" w:space="0" w:color="auto"/>
        <w:right w:val="none" w:sz="0" w:space="0" w:color="auto"/>
      </w:divBdr>
    </w:div>
    <w:div w:id="1801537322">
      <w:bodyDiv w:val="1"/>
      <w:marLeft w:val="0"/>
      <w:marRight w:val="0"/>
      <w:marTop w:val="0"/>
      <w:marBottom w:val="0"/>
      <w:divBdr>
        <w:top w:val="none" w:sz="0" w:space="0" w:color="auto"/>
        <w:left w:val="none" w:sz="0" w:space="0" w:color="auto"/>
        <w:bottom w:val="none" w:sz="0" w:space="0" w:color="auto"/>
        <w:right w:val="none" w:sz="0" w:space="0" w:color="auto"/>
      </w:divBdr>
    </w:div>
    <w:div w:id="1801798030">
      <w:bodyDiv w:val="1"/>
      <w:marLeft w:val="0"/>
      <w:marRight w:val="0"/>
      <w:marTop w:val="0"/>
      <w:marBottom w:val="0"/>
      <w:divBdr>
        <w:top w:val="none" w:sz="0" w:space="0" w:color="auto"/>
        <w:left w:val="none" w:sz="0" w:space="0" w:color="auto"/>
        <w:bottom w:val="none" w:sz="0" w:space="0" w:color="auto"/>
        <w:right w:val="none" w:sz="0" w:space="0" w:color="auto"/>
      </w:divBdr>
    </w:div>
    <w:div w:id="1801848115">
      <w:bodyDiv w:val="1"/>
      <w:marLeft w:val="0"/>
      <w:marRight w:val="0"/>
      <w:marTop w:val="0"/>
      <w:marBottom w:val="0"/>
      <w:divBdr>
        <w:top w:val="none" w:sz="0" w:space="0" w:color="auto"/>
        <w:left w:val="none" w:sz="0" w:space="0" w:color="auto"/>
        <w:bottom w:val="none" w:sz="0" w:space="0" w:color="auto"/>
        <w:right w:val="none" w:sz="0" w:space="0" w:color="auto"/>
      </w:divBdr>
    </w:div>
    <w:div w:id="1801922489">
      <w:bodyDiv w:val="1"/>
      <w:marLeft w:val="0"/>
      <w:marRight w:val="0"/>
      <w:marTop w:val="0"/>
      <w:marBottom w:val="0"/>
      <w:divBdr>
        <w:top w:val="none" w:sz="0" w:space="0" w:color="auto"/>
        <w:left w:val="none" w:sz="0" w:space="0" w:color="auto"/>
        <w:bottom w:val="none" w:sz="0" w:space="0" w:color="auto"/>
        <w:right w:val="none" w:sz="0" w:space="0" w:color="auto"/>
      </w:divBdr>
    </w:div>
    <w:div w:id="1801993428">
      <w:bodyDiv w:val="1"/>
      <w:marLeft w:val="0"/>
      <w:marRight w:val="0"/>
      <w:marTop w:val="0"/>
      <w:marBottom w:val="0"/>
      <w:divBdr>
        <w:top w:val="none" w:sz="0" w:space="0" w:color="auto"/>
        <w:left w:val="none" w:sz="0" w:space="0" w:color="auto"/>
        <w:bottom w:val="none" w:sz="0" w:space="0" w:color="auto"/>
        <w:right w:val="none" w:sz="0" w:space="0" w:color="auto"/>
      </w:divBdr>
    </w:div>
    <w:div w:id="1801998984">
      <w:bodyDiv w:val="1"/>
      <w:marLeft w:val="0"/>
      <w:marRight w:val="0"/>
      <w:marTop w:val="0"/>
      <w:marBottom w:val="0"/>
      <w:divBdr>
        <w:top w:val="none" w:sz="0" w:space="0" w:color="auto"/>
        <w:left w:val="none" w:sz="0" w:space="0" w:color="auto"/>
        <w:bottom w:val="none" w:sz="0" w:space="0" w:color="auto"/>
        <w:right w:val="none" w:sz="0" w:space="0" w:color="auto"/>
      </w:divBdr>
    </w:div>
    <w:div w:id="1802068615">
      <w:bodyDiv w:val="1"/>
      <w:marLeft w:val="0"/>
      <w:marRight w:val="0"/>
      <w:marTop w:val="0"/>
      <w:marBottom w:val="0"/>
      <w:divBdr>
        <w:top w:val="none" w:sz="0" w:space="0" w:color="auto"/>
        <w:left w:val="none" w:sz="0" w:space="0" w:color="auto"/>
        <w:bottom w:val="none" w:sz="0" w:space="0" w:color="auto"/>
        <w:right w:val="none" w:sz="0" w:space="0" w:color="auto"/>
      </w:divBdr>
    </w:div>
    <w:div w:id="1802071633">
      <w:bodyDiv w:val="1"/>
      <w:marLeft w:val="0"/>
      <w:marRight w:val="0"/>
      <w:marTop w:val="0"/>
      <w:marBottom w:val="0"/>
      <w:divBdr>
        <w:top w:val="none" w:sz="0" w:space="0" w:color="auto"/>
        <w:left w:val="none" w:sz="0" w:space="0" w:color="auto"/>
        <w:bottom w:val="none" w:sz="0" w:space="0" w:color="auto"/>
        <w:right w:val="none" w:sz="0" w:space="0" w:color="auto"/>
      </w:divBdr>
    </w:div>
    <w:div w:id="1802109750">
      <w:bodyDiv w:val="1"/>
      <w:marLeft w:val="0"/>
      <w:marRight w:val="0"/>
      <w:marTop w:val="0"/>
      <w:marBottom w:val="0"/>
      <w:divBdr>
        <w:top w:val="none" w:sz="0" w:space="0" w:color="auto"/>
        <w:left w:val="none" w:sz="0" w:space="0" w:color="auto"/>
        <w:bottom w:val="none" w:sz="0" w:space="0" w:color="auto"/>
        <w:right w:val="none" w:sz="0" w:space="0" w:color="auto"/>
      </w:divBdr>
    </w:div>
    <w:div w:id="1802113079">
      <w:bodyDiv w:val="1"/>
      <w:marLeft w:val="0"/>
      <w:marRight w:val="0"/>
      <w:marTop w:val="0"/>
      <w:marBottom w:val="0"/>
      <w:divBdr>
        <w:top w:val="none" w:sz="0" w:space="0" w:color="auto"/>
        <w:left w:val="none" w:sz="0" w:space="0" w:color="auto"/>
        <w:bottom w:val="none" w:sz="0" w:space="0" w:color="auto"/>
        <w:right w:val="none" w:sz="0" w:space="0" w:color="auto"/>
      </w:divBdr>
    </w:div>
    <w:div w:id="1802259503">
      <w:bodyDiv w:val="1"/>
      <w:marLeft w:val="0"/>
      <w:marRight w:val="0"/>
      <w:marTop w:val="0"/>
      <w:marBottom w:val="0"/>
      <w:divBdr>
        <w:top w:val="none" w:sz="0" w:space="0" w:color="auto"/>
        <w:left w:val="none" w:sz="0" w:space="0" w:color="auto"/>
        <w:bottom w:val="none" w:sz="0" w:space="0" w:color="auto"/>
        <w:right w:val="none" w:sz="0" w:space="0" w:color="auto"/>
      </w:divBdr>
    </w:div>
    <w:div w:id="1802261558">
      <w:bodyDiv w:val="1"/>
      <w:marLeft w:val="0"/>
      <w:marRight w:val="0"/>
      <w:marTop w:val="0"/>
      <w:marBottom w:val="0"/>
      <w:divBdr>
        <w:top w:val="none" w:sz="0" w:space="0" w:color="auto"/>
        <w:left w:val="none" w:sz="0" w:space="0" w:color="auto"/>
        <w:bottom w:val="none" w:sz="0" w:space="0" w:color="auto"/>
        <w:right w:val="none" w:sz="0" w:space="0" w:color="auto"/>
      </w:divBdr>
    </w:div>
    <w:div w:id="1802306129">
      <w:bodyDiv w:val="1"/>
      <w:marLeft w:val="0"/>
      <w:marRight w:val="0"/>
      <w:marTop w:val="0"/>
      <w:marBottom w:val="0"/>
      <w:divBdr>
        <w:top w:val="none" w:sz="0" w:space="0" w:color="auto"/>
        <w:left w:val="none" w:sz="0" w:space="0" w:color="auto"/>
        <w:bottom w:val="none" w:sz="0" w:space="0" w:color="auto"/>
        <w:right w:val="none" w:sz="0" w:space="0" w:color="auto"/>
      </w:divBdr>
    </w:div>
    <w:div w:id="1802383181">
      <w:bodyDiv w:val="1"/>
      <w:marLeft w:val="0"/>
      <w:marRight w:val="0"/>
      <w:marTop w:val="0"/>
      <w:marBottom w:val="0"/>
      <w:divBdr>
        <w:top w:val="none" w:sz="0" w:space="0" w:color="auto"/>
        <w:left w:val="none" w:sz="0" w:space="0" w:color="auto"/>
        <w:bottom w:val="none" w:sz="0" w:space="0" w:color="auto"/>
        <w:right w:val="none" w:sz="0" w:space="0" w:color="auto"/>
      </w:divBdr>
    </w:div>
    <w:div w:id="1802573088">
      <w:bodyDiv w:val="1"/>
      <w:marLeft w:val="0"/>
      <w:marRight w:val="0"/>
      <w:marTop w:val="0"/>
      <w:marBottom w:val="0"/>
      <w:divBdr>
        <w:top w:val="none" w:sz="0" w:space="0" w:color="auto"/>
        <w:left w:val="none" w:sz="0" w:space="0" w:color="auto"/>
        <w:bottom w:val="none" w:sz="0" w:space="0" w:color="auto"/>
        <w:right w:val="none" w:sz="0" w:space="0" w:color="auto"/>
      </w:divBdr>
    </w:div>
    <w:div w:id="1802577066">
      <w:bodyDiv w:val="1"/>
      <w:marLeft w:val="0"/>
      <w:marRight w:val="0"/>
      <w:marTop w:val="0"/>
      <w:marBottom w:val="0"/>
      <w:divBdr>
        <w:top w:val="none" w:sz="0" w:space="0" w:color="auto"/>
        <w:left w:val="none" w:sz="0" w:space="0" w:color="auto"/>
        <w:bottom w:val="none" w:sz="0" w:space="0" w:color="auto"/>
        <w:right w:val="none" w:sz="0" w:space="0" w:color="auto"/>
      </w:divBdr>
    </w:div>
    <w:div w:id="1802645659">
      <w:bodyDiv w:val="1"/>
      <w:marLeft w:val="0"/>
      <w:marRight w:val="0"/>
      <w:marTop w:val="0"/>
      <w:marBottom w:val="0"/>
      <w:divBdr>
        <w:top w:val="none" w:sz="0" w:space="0" w:color="auto"/>
        <w:left w:val="none" w:sz="0" w:space="0" w:color="auto"/>
        <w:bottom w:val="none" w:sz="0" w:space="0" w:color="auto"/>
        <w:right w:val="none" w:sz="0" w:space="0" w:color="auto"/>
      </w:divBdr>
    </w:div>
    <w:div w:id="1802653013">
      <w:bodyDiv w:val="1"/>
      <w:marLeft w:val="0"/>
      <w:marRight w:val="0"/>
      <w:marTop w:val="0"/>
      <w:marBottom w:val="0"/>
      <w:divBdr>
        <w:top w:val="none" w:sz="0" w:space="0" w:color="auto"/>
        <w:left w:val="none" w:sz="0" w:space="0" w:color="auto"/>
        <w:bottom w:val="none" w:sz="0" w:space="0" w:color="auto"/>
        <w:right w:val="none" w:sz="0" w:space="0" w:color="auto"/>
      </w:divBdr>
    </w:div>
    <w:div w:id="1802727479">
      <w:bodyDiv w:val="1"/>
      <w:marLeft w:val="0"/>
      <w:marRight w:val="0"/>
      <w:marTop w:val="0"/>
      <w:marBottom w:val="0"/>
      <w:divBdr>
        <w:top w:val="none" w:sz="0" w:space="0" w:color="auto"/>
        <w:left w:val="none" w:sz="0" w:space="0" w:color="auto"/>
        <w:bottom w:val="none" w:sz="0" w:space="0" w:color="auto"/>
        <w:right w:val="none" w:sz="0" w:space="0" w:color="auto"/>
      </w:divBdr>
    </w:div>
    <w:div w:id="1802764500">
      <w:bodyDiv w:val="1"/>
      <w:marLeft w:val="0"/>
      <w:marRight w:val="0"/>
      <w:marTop w:val="0"/>
      <w:marBottom w:val="0"/>
      <w:divBdr>
        <w:top w:val="none" w:sz="0" w:space="0" w:color="auto"/>
        <w:left w:val="none" w:sz="0" w:space="0" w:color="auto"/>
        <w:bottom w:val="none" w:sz="0" w:space="0" w:color="auto"/>
        <w:right w:val="none" w:sz="0" w:space="0" w:color="auto"/>
      </w:divBdr>
    </w:div>
    <w:div w:id="1802772743">
      <w:bodyDiv w:val="1"/>
      <w:marLeft w:val="0"/>
      <w:marRight w:val="0"/>
      <w:marTop w:val="0"/>
      <w:marBottom w:val="0"/>
      <w:divBdr>
        <w:top w:val="none" w:sz="0" w:space="0" w:color="auto"/>
        <w:left w:val="none" w:sz="0" w:space="0" w:color="auto"/>
        <w:bottom w:val="none" w:sz="0" w:space="0" w:color="auto"/>
        <w:right w:val="none" w:sz="0" w:space="0" w:color="auto"/>
      </w:divBdr>
    </w:div>
    <w:div w:id="1802845590">
      <w:bodyDiv w:val="1"/>
      <w:marLeft w:val="0"/>
      <w:marRight w:val="0"/>
      <w:marTop w:val="0"/>
      <w:marBottom w:val="0"/>
      <w:divBdr>
        <w:top w:val="none" w:sz="0" w:space="0" w:color="auto"/>
        <w:left w:val="none" w:sz="0" w:space="0" w:color="auto"/>
        <w:bottom w:val="none" w:sz="0" w:space="0" w:color="auto"/>
        <w:right w:val="none" w:sz="0" w:space="0" w:color="auto"/>
      </w:divBdr>
    </w:div>
    <w:div w:id="1802846046">
      <w:bodyDiv w:val="1"/>
      <w:marLeft w:val="0"/>
      <w:marRight w:val="0"/>
      <w:marTop w:val="0"/>
      <w:marBottom w:val="0"/>
      <w:divBdr>
        <w:top w:val="none" w:sz="0" w:space="0" w:color="auto"/>
        <w:left w:val="none" w:sz="0" w:space="0" w:color="auto"/>
        <w:bottom w:val="none" w:sz="0" w:space="0" w:color="auto"/>
        <w:right w:val="none" w:sz="0" w:space="0" w:color="auto"/>
      </w:divBdr>
    </w:div>
    <w:div w:id="1802923009">
      <w:bodyDiv w:val="1"/>
      <w:marLeft w:val="0"/>
      <w:marRight w:val="0"/>
      <w:marTop w:val="0"/>
      <w:marBottom w:val="0"/>
      <w:divBdr>
        <w:top w:val="none" w:sz="0" w:space="0" w:color="auto"/>
        <w:left w:val="none" w:sz="0" w:space="0" w:color="auto"/>
        <w:bottom w:val="none" w:sz="0" w:space="0" w:color="auto"/>
        <w:right w:val="none" w:sz="0" w:space="0" w:color="auto"/>
      </w:divBdr>
    </w:div>
    <w:div w:id="1802990467">
      <w:bodyDiv w:val="1"/>
      <w:marLeft w:val="0"/>
      <w:marRight w:val="0"/>
      <w:marTop w:val="0"/>
      <w:marBottom w:val="0"/>
      <w:divBdr>
        <w:top w:val="none" w:sz="0" w:space="0" w:color="auto"/>
        <w:left w:val="none" w:sz="0" w:space="0" w:color="auto"/>
        <w:bottom w:val="none" w:sz="0" w:space="0" w:color="auto"/>
        <w:right w:val="none" w:sz="0" w:space="0" w:color="auto"/>
      </w:divBdr>
    </w:div>
    <w:div w:id="1803033479">
      <w:bodyDiv w:val="1"/>
      <w:marLeft w:val="0"/>
      <w:marRight w:val="0"/>
      <w:marTop w:val="0"/>
      <w:marBottom w:val="0"/>
      <w:divBdr>
        <w:top w:val="none" w:sz="0" w:space="0" w:color="auto"/>
        <w:left w:val="none" w:sz="0" w:space="0" w:color="auto"/>
        <w:bottom w:val="none" w:sz="0" w:space="0" w:color="auto"/>
        <w:right w:val="none" w:sz="0" w:space="0" w:color="auto"/>
      </w:divBdr>
    </w:div>
    <w:div w:id="1803033989">
      <w:bodyDiv w:val="1"/>
      <w:marLeft w:val="0"/>
      <w:marRight w:val="0"/>
      <w:marTop w:val="0"/>
      <w:marBottom w:val="0"/>
      <w:divBdr>
        <w:top w:val="none" w:sz="0" w:space="0" w:color="auto"/>
        <w:left w:val="none" w:sz="0" w:space="0" w:color="auto"/>
        <w:bottom w:val="none" w:sz="0" w:space="0" w:color="auto"/>
        <w:right w:val="none" w:sz="0" w:space="0" w:color="auto"/>
      </w:divBdr>
    </w:div>
    <w:div w:id="1803038456">
      <w:bodyDiv w:val="1"/>
      <w:marLeft w:val="0"/>
      <w:marRight w:val="0"/>
      <w:marTop w:val="0"/>
      <w:marBottom w:val="0"/>
      <w:divBdr>
        <w:top w:val="none" w:sz="0" w:space="0" w:color="auto"/>
        <w:left w:val="none" w:sz="0" w:space="0" w:color="auto"/>
        <w:bottom w:val="none" w:sz="0" w:space="0" w:color="auto"/>
        <w:right w:val="none" w:sz="0" w:space="0" w:color="auto"/>
      </w:divBdr>
    </w:div>
    <w:div w:id="1803111353">
      <w:bodyDiv w:val="1"/>
      <w:marLeft w:val="0"/>
      <w:marRight w:val="0"/>
      <w:marTop w:val="0"/>
      <w:marBottom w:val="0"/>
      <w:divBdr>
        <w:top w:val="none" w:sz="0" w:space="0" w:color="auto"/>
        <w:left w:val="none" w:sz="0" w:space="0" w:color="auto"/>
        <w:bottom w:val="none" w:sz="0" w:space="0" w:color="auto"/>
        <w:right w:val="none" w:sz="0" w:space="0" w:color="auto"/>
      </w:divBdr>
    </w:div>
    <w:div w:id="1803112511">
      <w:bodyDiv w:val="1"/>
      <w:marLeft w:val="0"/>
      <w:marRight w:val="0"/>
      <w:marTop w:val="0"/>
      <w:marBottom w:val="0"/>
      <w:divBdr>
        <w:top w:val="none" w:sz="0" w:space="0" w:color="auto"/>
        <w:left w:val="none" w:sz="0" w:space="0" w:color="auto"/>
        <w:bottom w:val="none" w:sz="0" w:space="0" w:color="auto"/>
        <w:right w:val="none" w:sz="0" w:space="0" w:color="auto"/>
      </w:divBdr>
    </w:div>
    <w:div w:id="1803114179">
      <w:bodyDiv w:val="1"/>
      <w:marLeft w:val="0"/>
      <w:marRight w:val="0"/>
      <w:marTop w:val="0"/>
      <w:marBottom w:val="0"/>
      <w:divBdr>
        <w:top w:val="none" w:sz="0" w:space="0" w:color="auto"/>
        <w:left w:val="none" w:sz="0" w:space="0" w:color="auto"/>
        <w:bottom w:val="none" w:sz="0" w:space="0" w:color="auto"/>
        <w:right w:val="none" w:sz="0" w:space="0" w:color="auto"/>
      </w:divBdr>
    </w:div>
    <w:div w:id="180311595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227107">
      <w:bodyDiv w:val="1"/>
      <w:marLeft w:val="0"/>
      <w:marRight w:val="0"/>
      <w:marTop w:val="0"/>
      <w:marBottom w:val="0"/>
      <w:divBdr>
        <w:top w:val="none" w:sz="0" w:space="0" w:color="auto"/>
        <w:left w:val="none" w:sz="0" w:space="0" w:color="auto"/>
        <w:bottom w:val="none" w:sz="0" w:space="0" w:color="auto"/>
        <w:right w:val="none" w:sz="0" w:space="0" w:color="auto"/>
      </w:divBdr>
    </w:div>
    <w:div w:id="1803228520">
      <w:bodyDiv w:val="1"/>
      <w:marLeft w:val="0"/>
      <w:marRight w:val="0"/>
      <w:marTop w:val="0"/>
      <w:marBottom w:val="0"/>
      <w:divBdr>
        <w:top w:val="none" w:sz="0" w:space="0" w:color="auto"/>
        <w:left w:val="none" w:sz="0" w:space="0" w:color="auto"/>
        <w:bottom w:val="none" w:sz="0" w:space="0" w:color="auto"/>
        <w:right w:val="none" w:sz="0" w:space="0" w:color="auto"/>
      </w:divBdr>
    </w:div>
    <w:div w:id="1803233997">
      <w:bodyDiv w:val="1"/>
      <w:marLeft w:val="0"/>
      <w:marRight w:val="0"/>
      <w:marTop w:val="0"/>
      <w:marBottom w:val="0"/>
      <w:divBdr>
        <w:top w:val="none" w:sz="0" w:space="0" w:color="auto"/>
        <w:left w:val="none" w:sz="0" w:space="0" w:color="auto"/>
        <w:bottom w:val="none" w:sz="0" w:space="0" w:color="auto"/>
        <w:right w:val="none" w:sz="0" w:space="0" w:color="auto"/>
      </w:divBdr>
    </w:div>
    <w:div w:id="1803301053">
      <w:bodyDiv w:val="1"/>
      <w:marLeft w:val="0"/>
      <w:marRight w:val="0"/>
      <w:marTop w:val="0"/>
      <w:marBottom w:val="0"/>
      <w:divBdr>
        <w:top w:val="none" w:sz="0" w:space="0" w:color="auto"/>
        <w:left w:val="none" w:sz="0" w:space="0" w:color="auto"/>
        <w:bottom w:val="none" w:sz="0" w:space="0" w:color="auto"/>
        <w:right w:val="none" w:sz="0" w:space="0" w:color="auto"/>
      </w:divBdr>
    </w:div>
    <w:div w:id="1803301508">
      <w:bodyDiv w:val="1"/>
      <w:marLeft w:val="0"/>
      <w:marRight w:val="0"/>
      <w:marTop w:val="0"/>
      <w:marBottom w:val="0"/>
      <w:divBdr>
        <w:top w:val="none" w:sz="0" w:space="0" w:color="auto"/>
        <w:left w:val="none" w:sz="0" w:space="0" w:color="auto"/>
        <w:bottom w:val="none" w:sz="0" w:space="0" w:color="auto"/>
        <w:right w:val="none" w:sz="0" w:space="0" w:color="auto"/>
      </w:divBdr>
    </w:div>
    <w:div w:id="1803378149">
      <w:bodyDiv w:val="1"/>
      <w:marLeft w:val="0"/>
      <w:marRight w:val="0"/>
      <w:marTop w:val="0"/>
      <w:marBottom w:val="0"/>
      <w:divBdr>
        <w:top w:val="none" w:sz="0" w:space="0" w:color="auto"/>
        <w:left w:val="none" w:sz="0" w:space="0" w:color="auto"/>
        <w:bottom w:val="none" w:sz="0" w:space="0" w:color="auto"/>
        <w:right w:val="none" w:sz="0" w:space="0" w:color="auto"/>
      </w:divBdr>
    </w:div>
    <w:div w:id="1803499076">
      <w:bodyDiv w:val="1"/>
      <w:marLeft w:val="0"/>
      <w:marRight w:val="0"/>
      <w:marTop w:val="0"/>
      <w:marBottom w:val="0"/>
      <w:divBdr>
        <w:top w:val="none" w:sz="0" w:space="0" w:color="auto"/>
        <w:left w:val="none" w:sz="0" w:space="0" w:color="auto"/>
        <w:bottom w:val="none" w:sz="0" w:space="0" w:color="auto"/>
        <w:right w:val="none" w:sz="0" w:space="0" w:color="auto"/>
      </w:divBdr>
    </w:div>
    <w:div w:id="1803502764">
      <w:bodyDiv w:val="1"/>
      <w:marLeft w:val="0"/>
      <w:marRight w:val="0"/>
      <w:marTop w:val="0"/>
      <w:marBottom w:val="0"/>
      <w:divBdr>
        <w:top w:val="none" w:sz="0" w:space="0" w:color="auto"/>
        <w:left w:val="none" w:sz="0" w:space="0" w:color="auto"/>
        <w:bottom w:val="none" w:sz="0" w:space="0" w:color="auto"/>
        <w:right w:val="none" w:sz="0" w:space="0" w:color="auto"/>
      </w:divBdr>
    </w:div>
    <w:div w:id="1803570739">
      <w:bodyDiv w:val="1"/>
      <w:marLeft w:val="0"/>
      <w:marRight w:val="0"/>
      <w:marTop w:val="0"/>
      <w:marBottom w:val="0"/>
      <w:divBdr>
        <w:top w:val="none" w:sz="0" w:space="0" w:color="auto"/>
        <w:left w:val="none" w:sz="0" w:space="0" w:color="auto"/>
        <w:bottom w:val="none" w:sz="0" w:space="0" w:color="auto"/>
        <w:right w:val="none" w:sz="0" w:space="0" w:color="auto"/>
      </w:divBdr>
    </w:div>
    <w:div w:id="1803648457">
      <w:bodyDiv w:val="1"/>
      <w:marLeft w:val="0"/>
      <w:marRight w:val="0"/>
      <w:marTop w:val="0"/>
      <w:marBottom w:val="0"/>
      <w:divBdr>
        <w:top w:val="none" w:sz="0" w:space="0" w:color="auto"/>
        <w:left w:val="none" w:sz="0" w:space="0" w:color="auto"/>
        <w:bottom w:val="none" w:sz="0" w:space="0" w:color="auto"/>
        <w:right w:val="none" w:sz="0" w:space="0" w:color="auto"/>
      </w:divBdr>
    </w:div>
    <w:div w:id="1803812895">
      <w:bodyDiv w:val="1"/>
      <w:marLeft w:val="0"/>
      <w:marRight w:val="0"/>
      <w:marTop w:val="0"/>
      <w:marBottom w:val="0"/>
      <w:divBdr>
        <w:top w:val="none" w:sz="0" w:space="0" w:color="auto"/>
        <w:left w:val="none" w:sz="0" w:space="0" w:color="auto"/>
        <w:bottom w:val="none" w:sz="0" w:space="0" w:color="auto"/>
        <w:right w:val="none" w:sz="0" w:space="0" w:color="auto"/>
      </w:divBdr>
    </w:div>
    <w:div w:id="1803845080">
      <w:bodyDiv w:val="1"/>
      <w:marLeft w:val="0"/>
      <w:marRight w:val="0"/>
      <w:marTop w:val="0"/>
      <w:marBottom w:val="0"/>
      <w:divBdr>
        <w:top w:val="none" w:sz="0" w:space="0" w:color="auto"/>
        <w:left w:val="none" w:sz="0" w:space="0" w:color="auto"/>
        <w:bottom w:val="none" w:sz="0" w:space="0" w:color="auto"/>
        <w:right w:val="none" w:sz="0" w:space="0" w:color="auto"/>
      </w:divBdr>
    </w:div>
    <w:div w:id="1803884595">
      <w:bodyDiv w:val="1"/>
      <w:marLeft w:val="0"/>
      <w:marRight w:val="0"/>
      <w:marTop w:val="0"/>
      <w:marBottom w:val="0"/>
      <w:divBdr>
        <w:top w:val="none" w:sz="0" w:space="0" w:color="auto"/>
        <w:left w:val="none" w:sz="0" w:space="0" w:color="auto"/>
        <w:bottom w:val="none" w:sz="0" w:space="0" w:color="auto"/>
        <w:right w:val="none" w:sz="0" w:space="0" w:color="auto"/>
      </w:divBdr>
    </w:div>
    <w:div w:id="1804275652">
      <w:bodyDiv w:val="1"/>
      <w:marLeft w:val="0"/>
      <w:marRight w:val="0"/>
      <w:marTop w:val="0"/>
      <w:marBottom w:val="0"/>
      <w:divBdr>
        <w:top w:val="none" w:sz="0" w:space="0" w:color="auto"/>
        <w:left w:val="none" w:sz="0" w:space="0" w:color="auto"/>
        <w:bottom w:val="none" w:sz="0" w:space="0" w:color="auto"/>
        <w:right w:val="none" w:sz="0" w:space="0" w:color="auto"/>
      </w:divBdr>
    </w:div>
    <w:div w:id="1804304166">
      <w:bodyDiv w:val="1"/>
      <w:marLeft w:val="0"/>
      <w:marRight w:val="0"/>
      <w:marTop w:val="0"/>
      <w:marBottom w:val="0"/>
      <w:divBdr>
        <w:top w:val="none" w:sz="0" w:space="0" w:color="auto"/>
        <w:left w:val="none" w:sz="0" w:space="0" w:color="auto"/>
        <w:bottom w:val="none" w:sz="0" w:space="0" w:color="auto"/>
        <w:right w:val="none" w:sz="0" w:space="0" w:color="auto"/>
      </w:divBdr>
    </w:div>
    <w:div w:id="1804418022">
      <w:bodyDiv w:val="1"/>
      <w:marLeft w:val="0"/>
      <w:marRight w:val="0"/>
      <w:marTop w:val="0"/>
      <w:marBottom w:val="0"/>
      <w:divBdr>
        <w:top w:val="none" w:sz="0" w:space="0" w:color="auto"/>
        <w:left w:val="none" w:sz="0" w:space="0" w:color="auto"/>
        <w:bottom w:val="none" w:sz="0" w:space="0" w:color="auto"/>
        <w:right w:val="none" w:sz="0" w:space="0" w:color="auto"/>
      </w:divBdr>
    </w:div>
    <w:div w:id="1804418027">
      <w:bodyDiv w:val="1"/>
      <w:marLeft w:val="0"/>
      <w:marRight w:val="0"/>
      <w:marTop w:val="0"/>
      <w:marBottom w:val="0"/>
      <w:divBdr>
        <w:top w:val="none" w:sz="0" w:space="0" w:color="auto"/>
        <w:left w:val="none" w:sz="0" w:space="0" w:color="auto"/>
        <w:bottom w:val="none" w:sz="0" w:space="0" w:color="auto"/>
        <w:right w:val="none" w:sz="0" w:space="0" w:color="auto"/>
      </w:divBdr>
    </w:div>
    <w:div w:id="1804418633">
      <w:bodyDiv w:val="1"/>
      <w:marLeft w:val="0"/>
      <w:marRight w:val="0"/>
      <w:marTop w:val="0"/>
      <w:marBottom w:val="0"/>
      <w:divBdr>
        <w:top w:val="none" w:sz="0" w:space="0" w:color="auto"/>
        <w:left w:val="none" w:sz="0" w:space="0" w:color="auto"/>
        <w:bottom w:val="none" w:sz="0" w:space="0" w:color="auto"/>
        <w:right w:val="none" w:sz="0" w:space="0" w:color="auto"/>
      </w:divBdr>
    </w:div>
    <w:div w:id="1804423615">
      <w:bodyDiv w:val="1"/>
      <w:marLeft w:val="0"/>
      <w:marRight w:val="0"/>
      <w:marTop w:val="0"/>
      <w:marBottom w:val="0"/>
      <w:divBdr>
        <w:top w:val="none" w:sz="0" w:space="0" w:color="auto"/>
        <w:left w:val="none" w:sz="0" w:space="0" w:color="auto"/>
        <w:bottom w:val="none" w:sz="0" w:space="0" w:color="auto"/>
        <w:right w:val="none" w:sz="0" w:space="0" w:color="auto"/>
      </w:divBdr>
    </w:div>
    <w:div w:id="1804620898">
      <w:bodyDiv w:val="1"/>
      <w:marLeft w:val="0"/>
      <w:marRight w:val="0"/>
      <w:marTop w:val="0"/>
      <w:marBottom w:val="0"/>
      <w:divBdr>
        <w:top w:val="none" w:sz="0" w:space="0" w:color="auto"/>
        <w:left w:val="none" w:sz="0" w:space="0" w:color="auto"/>
        <w:bottom w:val="none" w:sz="0" w:space="0" w:color="auto"/>
        <w:right w:val="none" w:sz="0" w:space="0" w:color="auto"/>
      </w:divBdr>
    </w:div>
    <w:div w:id="1804687558">
      <w:bodyDiv w:val="1"/>
      <w:marLeft w:val="0"/>
      <w:marRight w:val="0"/>
      <w:marTop w:val="0"/>
      <w:marBottom w:val="0"/>
      <w:divBdr>
        <w:top w:val="none" w:sz="0" w:space="0" w:color="auto"/>
        <w:left w:val="none" w:sz="0" w:space="0" w:color="auto"/>
        <w:bottom w:val="none" w:sz="0" w:space="0" w:color="auto"/>
        <w:right w:val="none" w:sz="0" w:space="0" w:color="auto"/>
      </w:divBdr>
    </w:div>
    <w:div w:id="1804690119">
      <w:bodyDiv w:val="1"/>
      <w:marLeft w:val="0"/>
      <w:marRight w:val="0"/>
      <w:marTop w:val="0"/>
      <w:marBottom w:val="0"/>
      <w:divBdr>
        <w:top w:val="none" w:sz="0" w:space="0" w:color="auto"/>
        <w:left w:val="none" w:sz="0" w:space="0" w:color="auto"/>
        <w:bottom w:val="none" w:sz="0" w:space="0" w:color="auto"/>
        <w:right w:val="none" w:sz="0" w:space="0" w:color="auto"/>
      </w:divBdr>
    </w:div>
    <w:div w:id="1804690344">
      <w:bodyDiv w:val="1"/>
      <w:marLeft w:val="0"/>
      <w:marRight w:val="0"/>
      <w:marTop w:val="0"/>
      <w:marBottom w:val="0"/>
      <w:divBdr>
        <w:top w:val="none" w:sz="0" w:space="0" w:color="auto"/>
        <w:left w:val="none" w:sz="0" w:space="0" w:color="auto"/>
        <w:bottom w:val="none" w:sz="0" w:space="0" w:color="auto"/>
        <w:right w:val="none" w:sz="0" w:space="0" w:color="auto"/>
      </w:divBdr>
    </w:div>
    <w:div w:id="1804734326">
      <w:bodyDiv w:val="1"/>
      <w:marLeft w:val="0"/>
      <w:marRight w:val="0"/>
      <w:marTop w:val="0"/>
      <w:marBottom w:val="0"/>
      <w:divBdr>
        <w:top w:val="none" w:sz="0" w:space="0" w:color="auto"/>
        <w:left w:val="none" w:sz="0" w:space="0" w:color="auto"/>
        <w:bottom w:val="none" w:sz="0" w:space="0" w:color="auto"/>
        <w:right w:val="none" w:sz="0" w:space="0" w:color="auto"/>
      </w:divBdr>
    </w:div>
    <w:div w:id="1804808739">
      <w:bodyDiv w:val="1"/>
      <w:marLeft w:val="0"/>
      <w:marRight w:val="0"/>
      <w:marTop w:val="0"/>
      <w:marBottom w:val="0"/>
      <w:divBdr>
        <w:top w:val="none" w:sz="0" w:space="0" w:color="auto"/>
        <w:left w:val="none" w:sz="0" w:space="0" w:color="auto"/>
        <w:bottom w:val="none" w:sz="0" w:space="0" w:color="auto"/>
        <w:right w:val="none" w:sz="0" w:space="0" w:color="auto"/>
      </w:divBdr>
    </w:div>
    <w:div w:id="1804880137">
      <w:bodyDiv w:val="1"/>
      <w:marLeft w:val="0"/>
      <w:marRight w:val="0"/>
      <w:marTop w:val="0"/>
      <w:marBottom w:val="0"/>
      <w:divBdr>
        <w:top w:val="none" w:sz="0" w:space="0" w:color="auto"/>
        <w:left w:val="none" w:sz="0" w:space="0" w:color="auto"/>
        <w:bottom w:val="none" w:sz="0" w:space="0" w:color="auto"/>
        <w:right w:val="none" w:sz="0" w:space="0" w:color="auto"/>
      </w:divBdr>
    </w:div>
    <w:div w:id="1805007585">
      <w:bodyDiv w:val="1"/>
      <w:marLeft w:val="0"/>
      <w:marRight w:val="0"/>
      <w:marTop w:val="0"/>
      <w:marBottom w:val="0"/>
      <w:divBdr>
        <w:top w:val="none" w:sz="0" w:space="0" w:color="auto"/>
        <w:left w:val="none" w:sz="0" w:space="0" w:color="auto"/>
        <w:bottom w:val="none" w:sz="0" w:space="0" w:color="auto"/>
        <w:right w:val="none" w:sz="0" w:space="0" w:color="auto"/>
      </w:divBdr>
    </w:div>
    <w:div w:id="1805153116">
      <w:bodyDiv w:val="1"/>
      <w:marLeft w:val="0"/>
      <w:marRight w:val="0"/>
      <w:marTop w:val="0"/>
      <w:marBottom w:val="0"/>
      <w:divBdr>
        <w:top w:val="none" w:sz="0" w:space="0" w:color="auto"/>
        <w:left w:val="none" w:sz="0" w:space="0" w:color="auto"/>
        <w:bottom w:val="none" w:sz="0" w:space="0" w:color="auto"/>
        <w:right w:val="none" w:sz="0" w:space="0" w:color="auto"/>
      </w:divBdr>
    </w:div>
    <w:div w:id="1805154301">
      <w:bodyDiv w:val="1"/>
      <w:marLeft w:val="0"/>
      <w:marRight w:val="0"/>
      <w:marTop w:val="0"/>
      <w:marBottom w:val="0"/>
      <w:divBdr>
        <w:top w:val="none" w:sz="0" w:space="0" w:color="auto"/>
        <w:left w:val="none" w:sz="0" w:space="0" w:color="auto"/>
        <w:bottom w:val="none" w:sz="0" w:space="0" w:color="auto"/>
        <w:right w:val="none" w:sz="0" w:space="0" w:color="auto"/>
      </w:divBdr>
    </w:div>
    <w:div w:id="1805196703">
      <w:bodyDiv w:val="1"/>
      <w:marLeft w:val="0"/>
      <w:marRight w:val="0"/>
      <w:marTop w:val="0"/>
      <w:marBottom w:val="0"/>
      <w:divBdr>
        <w:top w:val="none" w:sz="0" w:space="0" w:color="auto"/>
        <w:left w:val="none" w:sz="0" w:space="0" w:color="auto"/>
        <w:bottom w:val="none" w:sz="0" w:space="0" w:color="auto"/>
        <w:right w:val="none" w:sz="0" w:space="0" w:color="auto"/>
      </w:divBdr>
    </w:div>
    <w:div w:id="1805197233">
      <w:bodyDiv w:val="1"/>
      <w:marLeft w:val="0"/>
      <w:marRight w:val="0"/>
      <w:marTop w:val="0"/>
      <w:marBottom w:val="0"/>
      <w:divBdr>
        <w:top w:val="none" w:sz="0" w:space="0" w:color="auto"/>
        <w:left w:val="none" w:sz="0" w:space="0" w:color="auto"/>
        <w:bottom w:val="none" w:sz="0" w:space="0" w:color="auto"/>
        <w:right w:val="none" w:sz="0" w:space="0" w:color="auto"/>
      </w:divBdr>
    </w:div>
    <w:div w:id="1805349236">
      <w:bodyDiv w:val="1"/>
      <w:marLeft w:val="0"/>
      <w:marRight w:val="0"/>
      <w:marTop w:val="0"/>
      <w:marBottom w:val="0"/>
      <w:divBdr>
        <w:top w:val="none" w:sz="0" w:space="0" w:color="auto"/>
        <w:left w:val="none" w:sz="0" w:space="0" w:color="auto"/>
        <w:bottom w:val="none" w:sz="0" w:space="0" w:color="auto"/>
        <w:right w:val="none" w:sz="0" w:space="0" w:color="auto"/>
      </w:divBdr>
    </w:div>
    <w:div w:id="1805351520">
      <w:bodyDiv w:val="1"/>
      <w:marLeft w:val="0"/>
      <w:marRight w:val="0"/>
      <w:marTop w:val="0"/>
      <w:marBottom w:val="0"/>
      <w:divBdr>
        <w:top w:val="none" w:sz="0" w:space="0" w:color="auto"/>
        <w:left w:val="none" w:sz="0" w:space="0" w:color="auto"/>
        <w:bottom w:val="none" w:sz="0" w:space="0" w:color="auto"/>
        <w:right w:val="none" w:sz="0" w:space="0" w:color="auto"/>
      </w:divBdr>
    </w:div>
    <w:div w:id="1805389573">
      <w:bodyDiv w:val="1"/>
      <w:marLeft w:val="0"/>
      <w:marRight w:val="0"/>
      <w:marTop w:val="0"/>
      <w:marBottom w:val="0"/>
      <w:divBdr>
        <w:top w:val="none" w:sz="0" w:space="0" w:color="auto"/>
        <w:left w:val="none" w:sz="0" w:space="0" w:color="auto"/>
        <w:bottom w:val="none" w:sz="0" w:space="0" w:color="auto"/>
        <w:right w:val="none" w:sz="0" w:space="0" w:color="auto"/>
      </w:divBdr>
    </w:div>
    <w:div w:id="1805391389">
      <w:bodyDiv w:val="1"/>
      <w:marLeft w:val="0"/>
      <w:marRight w:val="0"/>
      <w:marTop w:val="0"/>
      <w:marBottom w:val="0"/>
      <w:divBdr>
        <w:top w:val="none" w:sz="0" w:space="0" w:color="auto"/>
        <w:left w:val="none" w:sz="0" w:space="0" w:color="auto"/>
        <w:bottom w:val="none" w:sz="0" w:space="0" w:color="auto"/>
        <w:right w:val="none" w:sz="0" w:space="0" w:color="auto"/>
      </w:divBdr>
    </w:div>
    <w:div w:id="1805536595">
      <w:bodyDiv w:val="1"/>
      <w:marLeft w:val="0"/>
      <w:marRight w:val="0"/>
      <w:marTop w:val="0"/>
      <w:marBottom w:val="0"/>
      <w:divBdr>
        <w:top w:val="none" w:sz="0" w:space="0" w:color="auto"/>
        <w:left w:val="none" w:sz="0" w:space="0" w:color="auto"/>
        <w:bottom w:val="none" w:sz="0" w:space="0" w:color="auto"/>
        <w:right w:val="none" w:sz="0" w:space="0" w:color="auto"/>
      </w:divBdr>
    </w:div>
    <w:div w:id="1805539892">
      <w:bodyDiv w:val="1"/>
      <w:marLeft w:val="0"/>
      <w:marRight w:val="0"/>
      <w:marTop w:val="0"/>
      <w:marBottom w:val="0"/>
      <w:divBdr>
        <w:top w:val="none" w:sz="0" w:space="0" w:color="auto"/>
        <w:left w:val="none" w:sz="0" w:space="0" w:color="auto"/>
        <w:bottom w:val="none" w:sz="0" w:space="0" w:color="auto"/>
        <w:right w:val="none" w:sz="0" w:space="0" w:color="auto"/>
      </w:divBdr>
    </w:div>
    <w:div w:id="1805653695">
      <w:bodyDiv w:val="1"/>
      <w:marLeft w:val="0"/>
      <w:marRight w:val="0"/>
      <w:marTop w:val="0"/>
      <w:marBottom w:val="0"/>
      <w:divBdr>
        <w:top w:val="none" w:sz="0" w:space="0" w:color="auto"/>
        <w:left w:val="none" w:sz="0" w:space="0" w:color="auto"/>
        <w:bottom w:val="none" w:sz="0" w:space="0" w:color="auto"/>
        <w:right w:val="none" w:sz="0" w:space="0" w:color="auto"/>
      </w:divBdr>
    </w:div>
    <w:div w:id="1805735452">
      <w:bodyDiv w:val="1"/>
      <w:marLeft w:val="0"/>
      <w:marRight w:val="0"/>
      <w:marTop w:val="0"/>
      <w:marBottom w:val="0"/>
      <w:divBdr>
        <w:top w:val="none" w:sz="0" w:space="0" w:color="auto"/>
        <w:left w:val="none" w:sz="0" w:space="0" w:color="auto"/>
        <w:bottom w:val="none" w:sz="0" w:space="0" w:color="auto"/>
        <w:right w:val="none" w:sz="0" w:space="0" w:color="auto"/>
      </w:divBdr>
    </w:div>
    <w:div w:id="1805808122">
      <w:bodyDiv w:val="1"/>
      <w:marLeft w:val="0"/>
      <w:marRight w:val="0"/>
      <w:marTop w:val="0"/>
      <w:marBottom w:val="0"/>
      <w:divBdr>
        <w:top w:val="none" w:sz="0" w:space="0" w:color="auto"/>
        <w:left w:val="none" w:sz="0" w:space="0" w:color="auto"/>
        <w:bottom w:val="none" w:sz="0" w:space="0" w:color="auto"/>
        <w:right w:val="none" w:sz="0" w:space="0" w:color="auto"/>
      </w:divBdr>
    </w:div>
    <w:div w:id="1806001165">
      <w:bodyDiv w:val="1"/>
      <w:marLeft w:val="0"/>
      <w:marRight w:val="0"/>
      <w:marTop w:val="0"/>
      <w:marBottom w:val="0"/>
      <w:divBdr>
        <w:top w:val="none" w:sz="0" w:space="0" w:color="auto"/>
        <w:left w:val="none" w:sz="0" w:space="0" w:color="auto"/>
        <w:bottom w:val="none" w:sz="0" w:space="0" w:color="auto"/>
        <w:right w:val="none" w:sz="0" w:space="0" w:color="auto"/>
      </w:divBdr>
    </w:div>
    <w:div w:id="1806043291">
      <w:bodyDiv w:val="1"/>
      <w:marLeft w:val="0"/>
      <w:marRight w:val="0"/>
      <w:marTop w:val="0"/>
      <w:marBottom w:val="0"/>
      <w:divBdr>
        <w:top w:val="none" w:sz="0" w:space="0" w:color="auto"/>
        <w:left w:val="none" w:sz="0" w:space="0" w:color="auto"/>
        <w:bottom w:val="none" w:sz="0" w:space="0" w:color="auto"/>
        <w:right w:val="none" w:sz="0" w:space="0" w:color="auto"/>
      </w:divBdr>
    </w:div>
    <w:div w:id="1806123915">
      <w:bodyDiv w:val="1"/>
      <w:marLeft w:val="0"/>
      <w:marRight w:val="0"/>
      <w:marTop w:val="0"/>
      <w:marBottom w:val="0"/>
      <w:divBdr>
        <w:top w:val="none" w:sz="0" w:space="0" w:color="auto"/>
        <w:left w:val="none" w:sz="0" w:space="0" w:color="auto"/>
        <w:bottom w:val="none" w:sz="0" w:space="0" w:color="auto"/>
        <w:right w:val="none" w:sz="0" w:space="0" w:color="auto"/>
      </w:divBdr>
    </w:div>
    <w:div w:id="1806124580">
      <w:bodyDiv w:val="1"/>
      <w:marLeft w:val="0"/>
      <w:marRight w:val="0"/>
      <w:marTop w:val="0"/>
      <w:marBottom w:val="0"/>
      <w:divBdr>
        <w:top w:val="none" w:sz="0" w:space="0" w:color="auto"/>
        <w:left w:val="none" w:sz="0" w:space="0" w:color="auto"/>
        <w:bottom w:val="none" w:sz="0" w:space="0" w:color="auto"/>
        <w:right w:val="none" w:sz="0" w:space="0" w:color="auto"/>
      </w:divBdr>
    </w:div>
    <w:div w:id="1806390980">
      <w:bodyDiv w:val="1"/>
      <w:marLeft w:val="0"/>
      <w:marRight w:val="0"/>
      <w:marTop w:val="0"/>
      <w:marBottom w:val="0"/>
      <w:divBdr>
        <w:top w:val="none" w:sz="0" w:space="0" w:color="auto"/>
        <w:left w:val="none" w:sz="0" w:space="0" w:color="auto"/>
        <w:bottom w:val="none" w:sz="0" w:space="0" w:color="auto"/>
        <w:right w:val="none" w:sz="0" w:space="0" w:color="auto"/>
      </w:divBdr>
    </w:div>
    <w:div w:id="1806578877">
      <w:bodyDiv w:val="1"/>
      <w:marLeft w:val="0"/>
      <w:marRight w:val="0"/>
      <w:marTop w:val="0"/>
      <w:marBottom w:val="0"/>
      <w:divBdr>
        <w:top w:val="none" w:sz="0" w:space="0" w:color="auto"/>
        <w:left w:val="none" w:sz="0" w:space="0" w:color="auto"/>
        <w:bottom w:val="none" w:sz="0" w:space="0" w:color="auto"/>
        <w:right w:val="none" w:sz="0" w:space="0" w:color="auto"/>
      </w:divBdr>
    </w:div>
    <w:div w:id="1806657478">
      <w:bodyDiv w:val="1"/>
      <w:marLeft w:val="0"/>
      <w:marRight w:val="0"/>
      <w:marTop w:val="0"/>
      <w:marBottom w:val="0"/>
      <w:divBdr>
        <w:top w:val="none" w:sz="0" w:space="0" w:color="auto"/>
        <w:left w:val="none" w:sz="0" w:space="0" w:color="auto"/>
        <w:bottom w:val="none" w:sz="0" w:space="0" w:color="auto"/>
        <w:right w:val="none" w:sz="0" w:space="0" w:color="auto"/>
      </w:divBdr>
    </w:div>
    <w:div w:id="1806659845">
      <w:bodyDiv w:val="1"/>
      <w:marLeft w:val="0"/>
      <w:marRight w:val="0"/>
      <w:marTop w:val="0"/>
      <w:marBottom w:val="0"/>
      <w:divBdr>
        <w:top w:val="none" w:sz="0" w:space="0" w:color="auto"/>
        <w:left w:val="none" w:sz="0" w:space="0" w:color="auto"/>
        <w:bottom w:val="none" w:sz="0" w:space="0" w:color="auto"/>
        <w:right w:val="none" w:sz="0" w:space="0" w:color="auto"/>
      </w:divBdr>
    </w:div>
    <w:div w:id="1806661140">
      <w:bodyDiv w:val="1"/>
      <w:marLeft w:val="0"/>
      <w:marRight w:val="0"/>
      <w:marTop w:val="0"/>
      <w:marBottom w:val="0"/>
      <w:divBdr>
        <w:top w:val="none" w:sz="0" w:space="0" w:color="auto"/>
        <w:left w:val="none" w:sz="0" w:space="0" w:color="auto"/>
        <w:bottom w:val="none" w:sz="0" w:space="0" w:color="auto"/>
        <w:right w:val="none" w:sz="0" w:space="0" w:color="auto"/>
      </w:divBdr>
    </w:div>
    <w:div w:id="1806894459">
      <w:bodyDiv w:val="1"/>
      <w:marLeft w:val="0"/>
      <w:marRight w:val="0"/>
      <w:marTop w:val="0"/>
      <w:marBottom w:val="0"/>
      <w:divBdr>
        <w:top w:val="none" w:sz="0" w:space="0" w:color="auto"/>
        <w:left w:val="none" w:sz="0" w:space="0" w:color="auto"/>
        <w:bottom w:val="none" w:sz="0" w:space="0" w:color="auto"/>
        <w:right w:val="none" w:sz="0" w:space="0" w:color="auto"/>
      </w:divBdr>
    </w:div>
    <w:div w:id="1806963934">
      <w:bodyDiv w:val="1"/>
      <w:marLeft w:val="0"/>
      <w:marRight w:val="0"/>
      <w:marTop w:val="0"/>
      <w:marBottom w:val="0"/>
      <w:divBdr>
        <w:top w:val="none" w:sz="0" w:space="0" w:color="auto"/>
        <w:left w:val="none" w:sz="0" w:space="0" w:color="auto"/>
        <w:bottom w:val="none" w:sz="0" w:space="0" w:color="auto"/>
        <w:right w:val="none" w:sz="0" w:space="0" w:color="auto"/>
      </w:divBdr>
    </w:div>
    <w:div w:id="1807122167">
      <w:bodyDiv w:val="1"/>
      <w:marLeft w:val="0"/>
      <w:marRight w:val="0"/>
      <w:marTop w:val="0"/>
      <w:marBottom w:val="0"/>
      <w:divBdr>
        <w:top w:val="none" w:sz="0" w:space="0" w:color="auto"/>
        <w:left w:val="none" w:sz="0" w:space="0" w:color="auto"/>
        <w:bottom w:val="none" w:sz="0" w:space="0" w:color="auto"/>
        <w:right w:val="none" w:sz="0" w:space="0" w:color="auto"/>
      </w:divBdr>
    </w:div>
    <w:div w:id="1807159332">
      <w:bodyDiv w:val="1"/>
      <w:marLeft w:val="0"/>
      <w:marRight w:val="0"/>
      <w:marTop w:val="0"/>
      <w:marBottom w:val="0"/>
      <w:divBdr>
        <w:top w:val="none" w:sz="0" w:space="0" w:color="auto"/>
        <w:left w:val="none" w:sz="0" w:space="0" w:color="auto"/>
        <w:bottom w:val="none" w:sz="0" w:space="0" w:color="auto"/>
        <w:right w:val="none" w:sz="0" w:space="0" w:color="auto"/>
      </w:divBdr>
    </w:div>
    <w:div w:id="1807161591">
      <w:bodyDiv w:val="1"/>
      <w:marLeft w:val="0"/>
      <w:marRight w:val="0"/>
      <w:marTop w:val="0"/>
      <w:marBottom w:val="0"/>
      <w:divBdr>
        <w:top w:val="none" w:sz="0" w:space="0" w:color="auto"/>
        <w:left w:val="none" w:sz="0" w:space="0" w:color="auto"/>
        <w:bottom w:val="none" w:sz="0" w:space="0" w:color="auto"/>
        <w:right w:val="none" w:sz="0" w:space="0" w:color="auto"/>
      </w:divBdr>
    </w:div>
    <w:div w:id="1807166368">
      <w:bodyDiv w:val="1"/>
      <w:marLeft w:val="0"/>
      <w:marRight w:val="0"/>
      <w:marTop w:val="0"/>
      <w:marBottom w:val="0"/>
      <w:divBdr>
        <w:top w:val="none" w:sz="0" w:space="0" w:color="auto"/>
        <w:left w:val="none" w:sz="0" w:space="0" w:color="auto"/>
        <w:bottom w:val="none" w:sz="0" w:space="0" w:color="auto"/>
        <w:right w:val="none" w:sz="0" w:space="0" w:color="auto"/>
      </w:divBdr>
    </w:div>
    <w:div w:id="1807238254">
      <w:bodyDiv w:val="1"/>
      <w:marLeft w:val="0"/>
      <w:marRight w:val="0"/>
      <w:marTop w:val="0"/>
      <w:marBottom w:val="0"/>
      <w:divBdr>
        <w:top w:val="none" w:sz="0" w:space="0" w:color="auto"/>
        <w:left w:val="none" w:sz="0" w:space="0" w:color="auto"/>
        <w:bottom w:val="none" w:sz="0" w:space="0" w:color="auto"/>
        <w:right w:val="none" w:sz="0" w:space="0" w:color="auto"/>
      </w:divBdr>
    </w:div>
    <w:div w:id="1807352561">
      <w:bodyDiv w:val="1"/>
      <w:marLeft w:val="0"/>
      <w:marRight w:val="0"/>
      <w:marTop w:val="0"/>
      <w:marBottom w:val="0"/>
      <w:divBdr>
        <w:top w:val="none" w:sz="0" w:space="0" w:color="auto"/>
        <w:left w:val="none" w:sz="0" w:space="0" w:color="auto"/>
        <w:bottom w:val="none" w:sz="0" w:space="0" w:color="auto"/>
        <w:right w:val="none" w:sz="0" w:space="0" w:color="auto"/>
      </w:divBdr>
    </w:div>
    <w:div w:id="1807353576">
      <w:bodyDiv w:val="1"/>
      <w:marLeft w:val="0"/>
      <w:marRight w:val="0"/>
      <w:marTop w:val="0"/>
      <w:marBottom w:val="0"/>
      <w:divBdr>
        <w:top w:val="none" w:sz="0" w:space="0" w:color="auto"/>
        <w:left w:val="none" w:sz="0" w:space="0" w:color="auto"/>
        <w:bottom w:val="none" w:sz="0" w:space="0" w:color="auto"/>
        <w:right w:val="none" w:sz="0" w:space="0" w:color="auto"/>
      </w:divBdr>
    </w:div>
    <w:div w:id="1807354628">
      <w:bodyDiv w:val="1"/>
      <w:marLeft w:val="0"/>
      <w:marRight w:val="0"/>
      <w:marTop w:val="0"/>
      <w:marBottom w:val="0"/>
      <w:divBdr>
        <w:top w:val="none" w:sz="0" w:space="0" w:color="auto"/>
        <w:left w:val="none" w:sz="0" w:space="0" w:color="auto"/>
        <w:bottom w:val="none" w:sz="0" w:space="0" w:color="auto"/>
        <w:right w:val="none" w:sz="0" w:space="0" w:color="auto"/>
      </w:divBdr>
    </w:div>
    <w:div w:id="1807427244">
      <w:bodyDiv w:val="1"/>
      <w:marLeft w:val="0"/>
      <w:marRight w:val="0"/>
      <w:marTop w:val="0"/>
      <w:marBottom w:val="0"/>
      <w:divBdr>
        <w:top w:val="none" w:sz="0" w:space="0" w:color="auto"/>
        <w:left w:val="none" w:sz="0" w:space="0" w:color="auto"/>
        <w:bottom w:val="none" w:sz="0" w:space="0" w:color="auto"/>
        <w:right w:val="none" w:sz="0" w:space="0" w:color="auto"/>
      </w:divBdr>
    </w:div>
    <w:div w:id="1807508709">
      <w:bodyDiv w:val="1"/>
      <w:marLeft w:val="0"/>
      <w:marRight w:val="0"/>
      <w:marTop w:val="0"/>
      <w:marBottom w:val="0"/>
      <w:divBdr>
        <w:top w:val="none" w:sz="0" w:space="0" w:color="auto"/>
        <w:left w:val="none" w:sz="0" w:space="0" w:color="auto"/>
        <w:bottom w:val="none" w:sz="0" w:space="0" w:color="auto"/>
        <w:right w:val="none" w:sz="0" w:space="0" w:color="auto"/>
      </w:divBdr>
    </w:div>
    <w:div w:id="1807624412">
      <w:bodyDiv w:val="1"/>
      <w:marLeft w:val="0"/>
      <w:marRight w:val="0"/>
      <w:marTop w:val="0"/>
      <w:marBottom w:val="0"/>
      <w:divBdr>
        <w:top w:val="none" w:sz="0" w:space="0" w:color="auto"/>
        <w:left w:val="none" w:sz="0" w:space="0" w:color="auto"/>
        <w:bottom w:val="none" w:sz="0" w:space="0" w:color="auto"/>
        <w:right w:val="none" w:sz="0" w:space="0" w:color="auto"/>
      </w:divBdr>
    </w:div>
    <w:div w:id="1807776754">
      <w:bodyDiv w:val="1"/>
      <w:marLeft w:val="0"/>
      <w:marRight w:val="0"/>
      <w:marTop w:val="0"/>
      <w:marBottom w:val="0"/>
      <w:divBdr>
        <w:top w:val="none" w:sz="0" w:space="0" w:color="auto"/>
        <w:left w:val="none" w:sz="0" w:space="0" w:color="auto"/>
        <w:bottom w:val="none" w:sz="0" w:space="0" w:color="auto"/>
        <w:right w:val="none" w:sz="0" w:space="0" w:color="auto"/>
      </w:divBdr>
    </w:div>
    <w:div w:id="1807814223">
      <w:bodyDiv w:val="1"/>
      <w:marLeft w:val="0"/>
      <w:marRight w:val="0"/>
      <w:marTop w:val="0"/>
      <w:marBottom w:val="0"/>
      <w:divBdr>
        <w:top w:val="none" w:sz="0" w:space="0" w:color="auto"/>
        <w:left w:val="none" w:sz="0" w:space="0" w:color="auto"/>
        <w:bottom w:val="none" w:sz="0" w:space="0" w:color="auto"/>
        <w:right w:val="none" w:sz="0" w:space="0" w:color="auto"/>
      </w:divBdr>
    </w:div>
    <w:div w:id="1807897042">
      <w:bodyDiv w:val="1"/>
      <w:marLeft w:val="0"/>
      <w:marRight w:val="0"/>
      <w:marTop w:val="0"/>
      <w:marBottom w:val="0"/>
      <w:divBdr>
        <w:top w:val="none" w:sz="0" w:space="0" w:color="auto"/>
        <w:left w:val="none" w:sz="0" w:space="0" w:color="auto"/>
        <w:bottom w:val="none" w:sz="0" w:space="0" w:color="auto"/>
        <w:right w:val="none" w:sz="0" w:space="0" w:color="auto"/>
      </w:divBdr>
    </w:div>
    <w:div w:id="1807969947">
      <w:bodyDiv w:val="1"/>
      <w:marLeft w:val="0"/>
      <w:marRight w:val="0"/>
      <w:marTop w:val="0"/>
      <w:marBottom w:val="0"/>
      <w:divBdr>
        <w:top w:val="none" w:sz="0" w:space="0" w:color="auto"/>
        <w:left w:val="none" w:sz="0" w:space="0" w:color="auto"/>
        <w:bottom w:val="none" w:sz="0" w:space="0" w:color="auto"/>
        <w:right w:val="none" w:sz="0" w:space="0" w:color="auto"/>
      </w:divBdr>
    </w:div>
    <w:div w:id="1807972734">
      <w:bodyDiv w:val="1"/>
      <w:marLeft w:val="0"/>
      <w:marRight w:val="0"/>
      <w:marTop w:val="0"/>
      <w:marBottom w:val="0"/>
      <w:divBdr>
        <w:top w:val="none" w:sz="0" w:space="0" w:color="auto"/>
        <w:left w:val="none" w:sz="0" w:space="0" w:color="auto"/>
        <w:bottom w:val="none" w:sz="0" w:space="0" w:color="auto"/>
        <w:right w:val="none" w:sz="0" w:space="0" w:color="auto"/>
      </w:divBdr>
    </w:div>
    <w:div w:id="1808038495">
      <w:bodyDiv w:val="1"/>
      <w:marLeft w:val="0"/>
      <w:marRight w:val="0"/>
      <w:marTop w:val="0"/>
      <w:marBottom w:val="0"/>
      <w:divBdr>
        <w:top w:val="none" w:sz="0" w:space="0" w:color="auto"/>
        <w:left w:val="none" w:sz="0" w:space="0" w:color="auto"/>
        <w:bottom w:val="none" w:sz="0" w:space="0" w:color="auto"/>
        <w:right w:val="none" w:sz="0" w:space="0" w:color="auto"/>
      </w:divBdr>
    </w:div>
    <w:div w:id="1808086197">
      <w:bodyDiv w:val="1"/>
      <w:marLeft w:val="0"/>
      <w:marRight w:val="0"/>
      <w:marTop w:val="0"/>
      <w:marBottom w:val="0"/>
      <w:divBdr>
        <w:top w:val="none" w:sz="0" w:space="0" w:color="auto"/>
        <w:left w:val="none" w:sz="0" w:space="0" w:color="auto"/>
        <w:bottom w:val="none" w:sz="0" w:space="0" w:color="auto"/>
        <w:right w:val="none" w:sz="0" w:space="0" w:color="auto"/>
      </w:divBdr>
    </w:div>
    <w:div w:id="1808087627">
      <w:bodyDiv w:val="1"/>
      <w:marLeft w:val="0"/>
      <w:marRight w:val="0"/>
      <w:marTop w:val="0"/>
      <w:marBottom w:val="0"/>
      <w:divBdr>
        <w:top w:val="none" w:sz="0" w:space="0" w:color="auto"/>
        <w:left w:val="none" w:sz="0" w:space="0" w:color="auto"/>
        <w:bottom w:val="none" w:sz="0" w:space="0" w:color="auto"/>
        <w:right w:val="none" w:sz="0" w:space="0" w:color="auto"/>
      </w:divBdr>
    </w:div>
    <w:div w:id="1808205703">
      <w:bodyDiv w:val="1"/>
      <w:marLeft w:val="0"/>
      <w:marRight w:val="0"/>
      <w:marTop w:val="0"/>
      <w:marBottom w:val="0"/>
      <w:divBdr>
        <w:top w:val="none" w:sz="0" w:space="0" w:color="auto"/>
        <w:left w:val="none" w:sz="0" w:space="0" w:color="auto"/>
        <w:bottom w:val="none" w:sz="0" w:space="0" w:color="auto"/>
        <w:right w:val="none" w:sz="0" w:space="0" w:color="auto"/>
      </w:divBdr>
    </w:div>
    <w:div w:id="1808282626">
      <w:bodyDiv w:val="1"/>
      <w:marLeft w:val="0"/>
      <w:marRight w:val="0"/>
      <w:marTop w:val="0"/>
      <w:marBottom w:val="0"/>
      <w:divBdr>
        <w:top w:val="none" w:sz="0" w:space="0" w:color="auto"/>
        <w:left w:val="none" w:sz="0" w:space="0" w:color="auto"/>
        <w:bottom w:val="none" w:sz="0" w:space="0" w:color="auto"/>
        <w:right w:val="none" w:sz="0" w:space="0" w:color="auto"/>
      </w:divBdr>
    </w:div>
    <w:div w:id="1808425448">
      <w:bodyDiv w:val="1"/>
      <w:marLeft w:val="0"/>
      <w:marRight w:val="0"/>
      <w:marTop w:val="0"/>
      <w:marBottom w:val="0"/>
      <w:divBdr>
        <w:top w:val="none" w:sz="0" w:space="0" w:color="auto"/>
        <w:left w:val="none" w:sz="0" w:space="0" w:color="auto"/>
        <w:bottom w:val="none" w:sz="0" w:space="0" w:color="auto"/>
        <w:right w:val="none" w:sz="0" w:space="0" w:color="auto"/>
      </w:divBdr>
    </w:div>
    <w:div w:id="1808473786">
      <w:bodyDiv w:val="1"/>
      <w:marLeft w:val="0"/>
      <w:marRight w:val="0"/>
      <w:marTop w:val="0"/>
      <w:marBottom w:val="0"/>
      <w:divBdr>
        <w:top w:val="none" w:sz="0" w:space="0" w:color="auto"/>
        <w:left w:val="none" w:sz="0" w:space="0" w:color="auto"/>
        <w:bottom w:val="none" w:sz="0" w:space="0" w:color="auto"/>
        <w:right w:val="none" w:sz="0" w:space="0" w:color="auto"/>
      </w:divBdr>
    </w:div>
    <w:div w:id="1808622382">
      <w:bodyDiv w:val="1"/>
      <w:marLeft w:val="0"/>
      <w:marRight w:val="0"/>
      <w:marTop w:val="0"/>
      <w:marBottom w:val="0"/>
      <w:divBdr>
        <w:top w:val="none" w:sz="0" w:space="0" w:color="auto"/>
        <w:left w:val="none" w:sz="0" w:space="0" w:color="auto"/>
        <w:bottom w:val="none" w:sz="0" w:space="0" w:color="auto"/>
        <w:right w:val="none" w:sz="0" w:space="0" w:color="auto"/>
      </w:divBdr>
    </w:div>
    <w:div w:id="1808667083">
      <w:bodyDiv w:val="1"/>
      <w:marLeft w:val="0"/>
      <w:marRight w:val="0"/>
      <w:marTop w:val="0"/>
      <w:marBottom w:val="0"/>
      <w:divBdr>
        <w:top w:val="none" w:sz="0" w:space="0" w:color="auto"/>
        <w:left w:val="none" w:sz="0" w:space="0" w:color="auto"/>
        <w:bottom w:val="none" w:sz="0" w:space="0" w:color="auto"/>
        <w:right w:val="none" w:sz="0" w:space="0" w:color="auto"/>
      </w:divBdr>
    </w:div>
    <w:div w:id="1808737153">
      <w:bodyDiv w:val="1"/>
      <w:marLeft w:val="0"/>
      <w:marRight w:val="0"/>
      <w:marTop w:val="0"/>
      <w:marBottom w:val="0"/>
      <w:divBdr>
        <w:top w:val="none" w:sz="0" w:space="0" w:color="auto"/>
        <w:left w:val="none" w:sz="0" w:space="0" w:color="auto"/>
        <w:bottom w:val="none" w:sz="0" w:space="0" w:color="auto"/>
        <w:right w:val="none" w:sz="0" w:space="0" w:color="auto"/>
      </w:divBdr>
    </w:div>
    <w:div w:id="1808744135">
      <w:bodyDiv w:val="1"/>
      <w:marLeft w:val="0"/>
      <w:marRight w:val="0"/>
      <w:marTop w:val="0"/>
      <w:marBottom w:val="0"/>
      <w:divBdr>
        <w:top w:val="none" w:sz="0" w:space="0" w:color="auto"/>
        <w:left w:val="none" w:sz="0" w:space="0" w:color="auto"/>
        <w:bottom w:val="none" w:sz="0" w:space="0" w:color="auto"/>
        <w:right w:val="none" w:sz="0" w:space="0" w:color="auto"/>
      </w:divBdr>
    </w:div>
    <w:div w:id="1808813187">
      <w:bodyDiv w:val="1"/>
      <w:marLeft w:val="0"/>
      <w:marRight w:val="0"/>
      <w:marTop w:val="0"/>
      <w:marBottom w:val="0"/>
      <w:divBdr>
        <w:top w:val="none" w:sz="0" w:space="0" w:color="auto"/>
        <w:left w:val="none" w:sz="0" w:space="0" w:color="auto"/>
        <w:bottom w:val="none" w:sz="0" w:space="0" w:color="auto"/>
        <w:right w:val="none" w:sz="0" w:space="0" w:color="auto"/>
      </w:divBdr>
    </w:div>
    <w:div w:id="1808816634">
      <w:bodyDiv w:val="1"/>
      <w:marLeft w:val="0"/>
      <w:marRight w:val="0"/>
      <w:marTop w:val="0"/>
      <w:marBottom w:val="0"/>
      <w:divBdr>
        <w:top w:val="none" w:sz="0" w:space="0" w:color="auto"/>
        <w:left w:val="none" w:sz="0" w:space="0" w:color="auto"/>
        <w:bottom w:val="none" w:sz="0" w:space="0" w:color="auto"/>
        <w:right w:val="none" w:sz="0" w:space="0" w:color="auto"/>
      </w:divBdr>
    </w:div>
    <w:div w:id="1808859720">
      <w:bodyDiv w:val="1"/>
      <w:marLeft w:val="0"/>
      <w:marRight w:val="0"/>
      <w:marTop w:val="0"/>
      <w:marBottom w:val="0"/>
      <w:divBdr>
        <w:top w:val="none" w:sz="0" w:space="0" w:color="auto"/>
        <w:left w:val="none" w:sz="0" w:space="0" w:color="auto"/>
        <w:bottom w:val="none" w:sz="0" w:space="0" w:color="auto"/>
        <w:right w:val="none" w:sz="0" w:space="0" w:color="auto"/>
      </w:divBdr>
    </w:div>
    <w:div w:id="1808888378">
      <w:bodyDiv w:val="1"/>
      <w:marLeft w:val="0"/>
      <w:marRight w:val="0"/>
      <w:marTop w:val="0"/>
      <w:marBottom w:val="0"/>
      <w:divBdr>
        <w:top w:val="none" w:sz="0" w:space="0" w:color="auto"/>
        <w:left w:val="none" w:sz="0" w:space="0" w:color="auto"/>
        <w:bottom w:val="none" w:sz="0" w:space="0" w:color="auto"/>
        <w:right w:val="none" w:sz="0" w:space="0" w:color="auto"/>
      </w:divBdr>
    </w:div>
    <w:div w:id="1808891860">
      <w:bodyDiv w:val="1"/>
      <w:marLeft w:val="0"/>
      <w:marRight w:val="0"/>
      <w:marTop w:val="0"/>
      <w:marBottom w:val="0"/>
      <w:divBdr>
        <w:top w:val="none" w:sz="0" w:space="0" w:color="auto"/>
        <w:left w:val="none" w:sz="0" w:space="0" w:color="auto"/>
        <w:bottom w:val="none" w:sz="0" w:space="0" w:color="auto"/>
        <w:right w:val="none" w:sz="0" w:space="0" w:color="auto"/>
      </w:divBdr>
    </w:div>
    <w:div w:id="1808938522">
      <w:bodyDiv w:val="1"/>
      <w:marLeft w:val="0"/>
      <w:marRight w:val="0"/>
      <w:marTop w:val="0"/>
      <w:marBottom w:val="0"/>
      <w:divBdr>
        <w:top w:val="none" w:sz="0" w:space="0" w:color="auto"/>
        <w:left w:val="none" w:sz="0" w:space="0" w:color="auto"/>
        <w:bottom w:val="none" w:sz="0" w:space="0" w:color="auto"/>
        <w:right w:val="none" w:sz="0" w:space="0" w:color="auto"/>
      </w:divBdr>
    </w:div>
    <w:div w:id="1809006920">
      <w:bodyDiv w:val="1"/>
      <w:marLeft w:val="0"/>
      <w:marRight w:val="0"/>
      <w:marTop w:val="0"/>
      <w:marBottom w:val="0"/>
      <w:divBdr>
        <w:top w:val="none" w:sz="0" w:space="0" w:color="auto"/>
        <w:left w:val="none" w:sz="0" w:space="0" w:color="auto"/>
        <w:bottom w:val="none" w:sz="0" w:space="0" w:color="auto"/>
        <w:right w:val="none" w:sz="0" w:space="0" w:color="auto"/>
      </w:divBdr>
    </w:div>
    <w:div w:id="1809199359">
      <w:bodyDiv w:val="1"/>
      <w:marLeft w:val="0"/>
      <w:marRight w:val="0"/>
      <w:marTop w:val="0"/>
      <w:marBottom w:val="0"/>
      <w:divBdr>
        <w:top w:val="none" w:sz="0" w:space="0" w:color="auto"/>
        <w:left w:val="none" w:sz="0" w:space="0" w:color="auto"/>
        <w:bottom w:val="none" w:sz="0" w:space="0" w:color="auto"/>
        <w:right w:val="none" w:sz="0" w:space="0" w:color="auto"/>
      </w:divBdr>
    </w:div>
    <w:div w:id="1809202154">
      <w:bodyDiv w:val="1"/>
      <w:marLeft w:val="0"/>
      <w:marRight w:val="0"/>
      <w:marTop w:val="0"/>
      <w:marBottom w:val="0"/>
      <w:divBdr>
        <w:top w:val="none" w:sz="0" w:space="0" w:color="auto"/>
        <w:left w:val="none" w:sz="0" w:space="0" w:color="auto"/>
        <w:bottom w:val="none" w:sz="0" w:space="0" w:color="auto"/>
        <w:right w:val="none" w:sz="0" w:space="0" w:color="auto"/>
      </w:divBdr>
    </w:div>
    <w:div w:id="1809466965">
      <w:bodyDiv w:val="1"/>
      <w:marLeft w:val="0"/>
      <w:marRight w:val="0"/>
      <w:marTop w:val="0"/>
      <w:marBottom w:val="0"/>
      <w:divBdr>
        <w:top w:val="none" w:sz="0" w:space="0" w:color="auto"/>
        <w:left w:val="none" w:sz="0" w:space="0" w:color="auto"/>
        <w:bottom w:val="none" w:sz="0" w:space="0" w:color="auto"/>
        <w:right w:val="none" w:sz="0" w:space="0" w:color="auto"/>
      </w:divBdr>
    </w:div>
    <w:div w:id="1809472734">
      <w:bodyDiv w:val="1"/>
      <w:marLeft w:val="0"/>
      <w:marRight w:val="0"/>
      <w:marTop w:val="0"/>
      <w:marBottom w:val="0"/>
      <w:divBdr>
        <w:top w:val="none" w:sz="0" w:space="0" w:color="auto"/>
        <w:left w:val="none" w:sz="0" w:space="0" w:color="auto"/>
        <w:bottom w:val="none" w:sz="0" w:space="0" w:color="auto"/>
        <w:right w:val="none" w:sz="0" w:space="0" w:color="auto"/>
      </w:divBdr>
    </w:div>
    <w:div w:id="1809474138">
      <w:bodyDiv w:val="1"/>
      <w:marLeft w:val="0"/>
      <w:marRight w:val="0"/>
      <w:marTop w:val="0"/>
      <w:marBottom w:val="0"/>
      <w:divBdr>
        <w:top w:val="none" w:sz="0" w:space="0" w:color="auto"/>
        <w:left w:val="none" w:sz="0" w:space="0" w:color="auto"/>
        <w:bottom w:val="none" w:sz="0" w:space="0" w:color="auto"/>
        <w:right w:val="none" w:sz="0" w:space="0" w:color="auto"/>
      </w:divBdr>
    </w:div>
    <w:div w:id="1809516201">
      <w:bodyDiv w:val="1"/>
      <w:marLeft w:val="0"/>
      <w:marRight w:val="0"/>
      <w:marTop w:val="0"/>
      <w:marBottom w:val="0"/>
      <w:divBdr>
        <w:top w:val="none" w:sz="0" w:space="0" w:color="auto"/>
        <w:left w:val="none" w:sz="0" w:space="0" w:color="auto"/>
        <w:bottom w:val="none" w:sz="0" w:space="0" w:color="auto"/>
        <w:right w:val="none" w:sz="0" w:space="0" w:color="auto"/>
      </w:divBdr>
    </w:div>
    <w:div w:id="1809516404">
      <w:bodyDiv w:val="1"/>
      <w:marLeft w:val="0"/>
      <w:marRight w:val="0"/>
      <w:marTop w:val="0"/>
      <w:marBottom w:val="0"/>
      <w:divBdr>
        <w:top w:val="none" w:sz="0" w:space="0" w:color="auto"/>
        <w:left w:val="none" w:sz="0" w:space="0" w:color="auto"/>
        <w:bottom w:val="none" w:sz="0" w:space="0" w:color="auto"/>
        <w:right w:val="none" w:sz="0" w:space="0" w:color="auto"/>
      </w:divBdr>
    </w:div>
    <w:div w:id="1809661126">
      <w:bodyDiv w:val="1"/>
      <w:marLeft w:val="0"/>
      <w:marRight w:val="0"/>
      <w:marTop w:val="0"/>
      <w:marBottom w:val="0"/>
      <w:divBdr>
        <w:top w:val="none" w:sz="0" w:space="0" w:color="auto"/>
        <w:left w:val="none" w:sz="0" w:space="0" w:color="auto"/>
        <w:bottom w:val="none" w:sz="0" w:space="0" w:color="auto"/>
        <w:right w:val="none" w:sz="0" w:space="0" w:color="auto"/>
      </w:divBdr>
    </w:div>
    <w:div w:id="1809931643">
      <w:bodyDiv w:val="1"/>
      <w:marLeft w:val="0"/>
      <w:marRight w:val="0"/>
      <w:marTop w:val="0"/>
      <w:marBottom w:val="0"/>
      <w:divBdr>
        <w:top w:val="none" w:sz="0" w:space="0" w:color="auto"/>
        <w:left w:val="none" w:sz="0" w:space="0" w:color="auto"/>
        <w:bottom w:val="none" w:sz="0" w:space="0" w:color="auto"/>
        <w:right w:val="none" w:sz="0" w:space="0" w:color="auto"/>
      </w:divBdr>
    </w:div>
    <w:div w:id="1809975508">
      <w:bodyDiv w:val="1"/>
      <w:marLeft w:val="0"/>
      <w:marRight w:val="0"/>
      <w:marTop w:val="0"/>
      <w:marBottom w:val="0"/>
      <w:divBdr>
        <w:top w:val="none" w:sz="0" w:space="0" w:color="auto"/>
        <w:left w:val="none" w:sz="0" w:space="0" w:color="auto"/>
        <w:bottom w:val="none" w:sz="0" w:space="0" w:color="auto"/>
        <w:right w:val="none" w:sz="0" w:space="0" w:color="auto"/>
      </w:divBdr>
    </w:div>
    <w:div w:id="1810124775">
      <w:bodyDiv w:val="1"/>
      <w:marLeft w:val="0"/>
      <w:marRight w:val="0"/>
      <w:marTop w:val="0"/>
      <w:marBottom w:val="0"/>
      <w:divBdr>
        <w:top w:val="none" w:sz="0" w:space="0" w:color="auto"/>
        <w:left w:val="none" w:sz="0" w:space="0" w:color="auto"/>
        <w:bottom w:val="none" w:sz="0" w:space="0" w:color="auto"/>
        <w:right w:val="none" w:sz="0" w:space="0" w:color="auto"/>
      </w:divBdr>
    </w:div>
    <w:div w:id="1810124791">
      <w:bodyDiv w:val="1"/>
      <w:marLeft w:val="0"/>
      <w:marRight w:val="0"/>
      <w:marTop w:val="0"/>
      <w:marBottom w:val="0"/>
      <w:divBdr>
        <w:top w:val="none" w:sz="0" w:space="0" w:color="auto"/>
        <w:left w:val="none" w:sz="0" w:space="0" w:color="auto"/>
        <w:bottom w:val="none" w:sz="0" w:space="0" w:color="auto"/>
        <w:right w:val="none" w:sz="0" w:space="0" w:color="auto"/>
      </w:divBdr>
    </w:div>
    <w:div w:id="1810198523">
      <w:bodyDiv w:val="1"/>
      <w:marLeft w:val="0"/>
      <w:marRight w:val="0"/>
      <w:marTop w:val="0"/>
      <w:marBottom w:val="0"/>
      <w:divBdr>
        <w:top w:val="none" w:sz="0" w:space="0" w:color="auto"/>
        <w:left w:val="none" w:sz="0" w:space="0" w:color="auto"/>
        <w:bottom w:val="none" w:sz="0" w:space="0" w:color="auto"/>
        <w:right w:val="none" w:sz="0" w:space="0" w:color="auto"/>
      </w:divBdr>
    </w:div>
    <w:div w:id="1810249299">
      <w:bodyDiv w:val="1"/>
      <w:marLeft w:val="0"/>
      <w:marRight w:val="0"/>
      <w:marTop w:val="0"/>
      <w:marBottom w:val="0"/>
      <w:divBdr>
        <w:top w:val="none" w:sz="0" w:space="0" w:color="auto"/>
        <w:left w:val="none" w:sz="0" w:space="0" w:color="auto"/>
        <w:bottom w:val="none" w:sz="0" w:space="0" w:color="auto"/>
        <w:right w:val="none" w:sz="0" w:space="0" w:color="auto"/>
      </w:divBdr>
    </w:div>
    <w:div w:id="1810315529">
      <w:bodyDiv w:val="1"/>
      <w:marLeft w:val="0"/>
      <w:marRight w:val="0"/>
      <w:marTop w:val="0"/>
      <w:marBottom w:val="0"/>
      <w:divBdr>
        <w:top w:val="none" w:sz="0" w:space="0" w:color="auto"/>
        <w:left w:val="none" w:sz="0" w:space="0" w:color="auto"/>
        <w:bottom w:val="none" w:sz="0" w:space="0" w:color="auto"/>
        <w:right w:val="none" w:sz="0" w:space="0" w:color="auto"/>
      </w:divBdr>
    </w:div>
    <w:div w:id="1810318324">
      <w:bodyDiv w:val="1"/>
      <w:marLeft w:val="0"/>
      <w:marRight w:val="0"/>
      <w:marTop w:val="0"/>
      <w:marBottom w:val="0"/>
      <w:divBdr>
        <w:top w:val="none" w:sz="0" w:space="0" w:color="auto"/>
        <w:left w:val="none" w:sz="0" w:space="0" w:color="auto"/>
        <w:bottom w:val="none" w:sz="0" w:space="0" w:color="auto"/>
        <w:right w:val="none" w:sz="0" w:space="0" w:color="auto"/>
      </w:divBdr>
    </w:div>
    <w:div w:id="1810324193">
      <w:bodyDiv w:val="1"/>
      <w:marLeft w:val="0"/>
      <w:marRight w:val="0"/>
      <w:marTop w:val="0"/>
      <w:marBottom w:val="0"/>
      <w:divBdr>
        <w:top w:val="none" w:sz="0" w:space="0" w:color="auto"/>
        <w:left w:val="none" w:sz="0" w:space="0" w:color="auto"/>
        <w:bottom w:val="none" w:sz="0" w:space="0" w:color="auto"/>
        <w:right w:val="none" w:sz="0" w:space="0" w:color="auto"/>
      </w:divBdr>
    </w:div>
    <w:div w:id="1810433418">
      <w:bodyDiv w:val="1"/>
      <w:marLeft w:val="0"/>
      <w:marRight w:val="0"/>
      <w:marTop w:val="0"/>
      <w:marBottom w:val="0"/>
      <w:divBdr>
        <w:top w:val="none" w:sz="0" w:space="0" w:color="auto"/>
        <w:left w:val="none" w:sz="0" w:space="0" w:color="auto"/>
        <w:bottom w:val="none" w:sz="0" w:space="0" w:color="auto"/>
        <w:right w:val="none" w:sz="0" w:space="0" w:color="auto"/>
      </w:divBdr>
    </w:div>
    <w:div w:id="1810440477">
      <w:bodyDiv w:val="1"/>
      <w:marLeft w:val="0"/>
      <w:marRight w:val="0"/>
      <w:marTop w:val="0"/>
      <w:marBottom w:val="0"/>
      <w:divBdr>
        <w:top w:val="none" w:sz="0" w:space="0" w:color="auto"/>
        <w:left w:val="none" w:sz="0" w:space="0" w:color="auto"/>
        <w:bottom w:val="none" w:sz="0" w:space="0" w:color="auto"/>
        <w:right w:val="none" w:sz="0" w:space="0" w:color="auto"/>
      </w:divBdr>
    </w:div>
    <w:div w:id="1810629239">
      <w:bodyDiv w:val="1"/>
      <w:marLeft w:val="0"/>
      <w:marRight w:val="0"/>
      <w:marTop w:val="0"/>
      <w:marBottom w:val="0"/>
      <w:divBdr>
        <w:top w:val="none" w:sz="0" w:space="0" w:color="auto"/>
        <w:left w:val="none" w:sz="0" w:space="0" w:color="auto"/>
        <w:bottom w:val="none" w:sz="0" w:space="0" w:color="auto"/>
        <w:right w:val="none" w:sz="0" w:space="0" w:color="auto"/>
      </w:divBdr>
    </w:div>
    <w:div w:id="1810706020">
      <w:bodyDiv w:val="1"/>
      <w:marLeft w:val="0"/>
      <w:marRight w:val="0"/>
      <w:marTop w:val="0"/>
      <w:marBottom w:val="0"/>
      <w:divBdr>
        <w:top w:val="none" w:sz="0" w:space="0" w:color="auto"/>
        <w:left w:val="none" w:sz="0" w:space="0" w:color="auto"/>
        <w:bottom w:val="none" w:sz="0" w:space="0" w:color="auto"/>
        <w:right w:val="none" w:sz="0" w:space="0" w:color="auto"/>
      </w:divBdr>
    </w:div>
    <w:div w:id="1810782951">
      <w:bodyDiv w:val="1"/>
      <w:marLeft w:val="0"/>
      <w:marRight w:val="0"/>
      <w:marTop w:val="0"/>
      <w:marBottom w:val="0"/>
      <w:divBdr>
        <w:top w:val="none" w:sz="0" w:space="0" w:color="auto"/>
        <w:left w:val="none" w:sz="0" w:space="0" w:color="auto"/>
        <w:bottom w:val="none" w:sz="0" w:space="0" w:color="auto"/>
        <w:right w:val="none" w:sz="0" w:space="0" w:color="auto"/>
      </w:divBdr>
    </w:div>
    <w:div w:id="1810853128">
      <w:bodyDiv w:val="1"/>
      <w:marLeft w:val="0"/>
      <w:marRight w:val="0"/>
      <w:marTop w:val="0"/>
      <w:marBottom w:val="0"/>
      <w:divBdr>
        <w:top w:val="none" w:sz="0" w:space="0" w:color="auto"/>
        <w:left w:val="none" w:sz="0" w:space="0" w:color="auto"/>
        <w:bottom w:val="none" w:sz="0" w:space="0" w:color="auto"/>
        <w:right w:val="none" w:sz="0" w:space="0" w:color="auto"/>
      </w:divBdr>
    </w:div>
    <w:div w:id="1810900829">
      <w:bodyDiv w:val="1"/>
      <w:marLeft w:val="0"/>
      <w:marRight w:val="0"/>
      <w:marTop w:val="0"/>
      <w:marBottom w:val="0"/>
      <w:divBdr>
        <w:top w:val="none" w:sz="0" w:space="0" w:color="auto"/>
        <w:left w:val="none" w:sz="0" w:space="0" w:color="auto"/>
        <w:bottom w:val="none" w:sz="0" w:space="0" w:color="auto"/>
        <w:right w:val="none" w:sz="0" w:space="0" w:color="auto"/>
      </w:divBdr>
    </w:div>
    <w:div w:id="1810904373">
      <w:bodyDiv w:val="1"/>
      <w:marLeft w:val="0"/>
      <w:marRight w:val="0"/>
      <w:marTop w:val="0"/>
      <w:marBottom w:val="0"/>
      <w:divBdr>
        <w:top w:val="none" w:sz="0" w:space="0" w:color="auto"/>
        <w:left w:val="none" w:sz="0" w:space="0" w:color="auto"/>
        <w:bottom w:val="none" w:sz="0" w:space="0" w:color="auto"/>
        <w:right w:val="none" w:sz="0" w:space="0" w:color="auto"/>
      </w:divBdr>
    </w:div>
    <w:div w:id="1811050188">
      <w:bodyDiv w:val="1"/>
      <w:marLeft w:val="0"/>
      <w:marRight w:val="0"/>
      <w:marTop w:val="0"/>
      <w:marBottom w:val="0"/>
      <w:divBdr>
        <w:top w:val="none" w:sz="0" w:space="0" w:color="auto"/>
        <w:left w:val="none" w:sz="0" w:space="0" w:color="auto"/>
        <w:bottom w:val="none" w:sz="0" w:space="0" w:color="auto"/>
        <w:right w:val="none" w:sz="0" w:space="0" w:color="auto"/>
      </w:divBdr>
    </w:div>
    <w:div w:id="1811051783">
      <w:bodyDiv w:val="1"/>
      <w:marLeft w:val="0"/>
      <w:marRight w:val="0"/>
      <w:marTop w:val="0"/>
      <w:marBottom w:val="0"/>
      <w:divBdr>
        <w:top w:val="none" w:sz="0" w:space="0" w:color="auto"/>
        <w:left w:val="none" w:sz="0" w:space="0" w:color="auto"/>
        <w:bottom w:val="none" w:sz="0" w:space="0" w:color="auto"/>
        <w:right w:val="none" w:sz="0" w:space="0" w:color="auto"/>
      </w:divBdr>
    </w:div>
    <w:div w:id="1811052325">
      <w:bodyDiv w:val="1"/>
      <w:marLeft w:val="0"/>
      <w:marRight w:val="0"/>
      <w:marTop w:val="0"/>
      <w:marBottom w:val="0"/>
      <w:divBdr>
        <w:top w:val="none" w:sz="0" w:space="0" w:color="auto"/>
        <w:left w:val="none" w:sz="0" w:space="0" w:color="auto"/>
        <w:bottom w:val="none" w:sz="0" w:space="0" w:color="auto"/>
        <w:right w:val="none" w:sz="0" w:space="0" w:color="auto"/>
      </w:divBdr>
    </w:div>
    <w:div w:id="1811054010">
      <w:bodyDiv w:val="1"/>
      <w:marLeft w:val="0"/>
      <w:marRight w:val="0"/>
      <w:marTop w:val="0"/>
      <w:marBottom w:val="0"/>
      <w:divBdr>
        <w:top w:val="none" w:sz="0" w:space="0" w:color="auto"/>
        <w:left w:val="none" w:sz="0" w:space="0" w:color="auto"/>
        <w:bottom w:val="none" w:sz="0" w:space="0" w:color="auto"/>
        <w:right w:val="none" w:sz="0" w:space="0" w:color="auto"/>
      </w:divBdr>
    </w:div>
    <w:div w:id="1811289005">
      <w:bodyDiv w:val="1"/>
      <w:marLeft w:val="0"/>
      <w:marRight w:val="0"/>
      <w:marTop w:val="0"/>
      <w:marBottom w:val="0"/>
      <w:divBdr>
        <w:top w:val="none" w:sz="0" w:space="0" w:color="auto"/>
        <w:left w:val="none" w:sz="0" w:space="0" w:color="auto"/>
        <w:bottom w:val="none" w:sz="0" w:space="0" w:color="auto"/>
        <w:right w:val="none" w:sz="0" w:space="0" w:color="auto"/>
      </w:divBdr>
    </w:div>
    <w:div w:id="1811358225">
      <w:bodyDiv w:val="1"/>
      <w:marLeft w:val="0"/>
      <w:marRight w:val="0"/>
      <w:marTop w:val="0"/>
      <w:marBottom w:val="0"/>
      <w:divBdr>
        <w:top w:val="none" w:sz="0" w:space="0" w:color="auto"/>
        <w:left w:val="none" w:sz="0" w:space="0" w:color="auto"/>
        <w:bottom w:val="none" w:sz="0" w:space="0" w:color="auto"/>
        <w:right w:val="none" w:sz="0" w:space="0" w:color="auto"/>
      </w:divBdr>
    </w:div>
    <w:div w:id="1811364191">
      <w:bodyDiv w:val="1"/>
      <w:marLeft w:val="0"/>
      <w:marRight w:val="0"/>
      <w:marTop w:val="0"/>
      <w:marBottom w:val="0"/>
      <w:divBdr>
        <w:top w:val="none" w:sz="0" w:space="0" w:color="auto"/>
        <w:left w:val="none" w:sz="0" w:space="0" w:color="auto"/>
        <w:bottom w:val="none" w:sz="0" w:space="0" w:color="auto"/>
        <w:right w:val="none" w:sz="0" w:space="0" w:color="auto"/>
      </w:divBdr>
    </w:div>
    <w:div w:id="1811366842">
      <w:bodyDiv w:val="1"/>
      <w:marLeft w:val="0"/>
      <w:marRight w:val="0"/>
      <w:marTop w:val="0"/>
      <w:marBottom w:val="0"/>
      <w:divBdr>
        <w:top w:val="none" w:sz="0" w:space="0" w:color="auto"/>
        <w:left w:val="none" w:sz="0" w:space="0" w:color="auto"/>
        <w:bottom w:val="none" w:sz="0" w:space="0" w:color="auto"/>
        <w:right w:val="none" w:sz="0" w:space="0" w:color="auto"/>
      </w:divBdr>
    </w:div>
    <w:div w:id="1811552870">
      <w:bodyDiv w:val="1"/>
      <w:marLeft w:val="0"/>
      <w:marRight w:val="0"/>
      <w:marTop w:val="0"/>
      <w:marBottom w:val="0"/>
      <w:divBdr>
        <w:top w:val="none" w:sz="0" w:space="0" w:color="auto"/>
        <w:left w:val="none" w:sz="0" w:space="0" w:color="auto"/>
        <w:bottom w:val="none" w:sz="0" w:space="0" w:color="auto"/>
        <w:right w:val="none" w:sz="0" w:space="0" w:color="auto"/>
      </w:divBdr>
    </w:div>
    <w:div w:id="1811554693">
      <w:bodyDiv w:val="1"/>
      <w:marLeft w:val="0"/>
      <w:marRight w:val="0"/>
      <w:marTop w:val="0"/>
      <w:marBottom w:val="0"/>
      <w:divBdr>
        <w:top w:val="none" w:sz="0" w:space="0" w:color="auto"/>
        <w:left w:val="none" w:sz="0" w:space="0" w:color="auto"/>
        <w:bottom w:val="none" w:sz="0" w:space="0" w:color="auto"/>
        <w:right w:val="none" w:sz="0" w:space="0" w:color="auto"/>
      </w:divBdr>
    </w:div>
    <w:div w:id="1811627877">
      <w:bodyDiv w:val="1"/>
      <w:marLeft w:val="0"/>
      <w:marRight w:val="0"/>
      <w:marTop w:val="0"/>
      <w:marBottom w:val="0"/>
      <w:divBdr>
        <w:top w:val="none" w:sz="0" w:space="0" w:color="auto"/>
        <w:left w:val="none" w:sz="0" w:space="0" w:color="auto"/>
        <w:bottom w:val="none" w:sz="0" w:space="0" w:color="auto"/>
        <w:right w:val="none" w:sz="0" w:space="0" w:color="auto"/>
      </w:divBdr>
    </w:div>
    <w:div w:id="1811753010">
      <w:bodyDiv w:val="1"/>
      <w:marLeft w:val="0"/>
      <w:marRight w:val="0"/>
      <w:marTop w:val="0"/>
      <w:marBottom w:val="0"/>
      <w:divBdr>
        <w:top w:val="none" w:sz="0" w:space="0" w:color="auto"/>
        <w:left w:val="none" w:sz="0" w:space="0" w:color="auto"/>
        <w:bottom w:val="none" w:sz="0" w:space="0" w:color="auto"/>
        <w:right w:val="none" w:sz="0" w:space="0" w:color="auto"/>
      </w:divBdr>
    </w:div>
    <w:div w:id="1811828390">
      <w:bodyDiv w:val="1"/>
      <w:marLeft w:val="0"/>
      <w:marRight w:val="0"/>
      <w:marTop w:val="0"/>
      <w:marBottom w:val="0"/>
      <w:divBdr>
        <w:top w:val="none" w:sz="0" w:space="0" w:color="auto"/>
        <w:left w:val="none" w:sz="0" w:space="0" w:color="auto"/>
        <w:bottom w:val="none" w:sz="0" w:space="0" w:color="auto"/>
        <w:right w:val="none" w:sz="0" w:space="0" w:color="auto"/>
      </w:divBdr>
    </w:div>
    <w:div w:id="1812013611">
      <w:bodyDiv w:val="1"/>
      <w:marLeft w:val="0"/>
      <w:marRight w:val="0"/>
      <w:marTop w:val="0"/>
      <w:marBottom w:val="0"/>
      <w:divBdr>
        <w:top w:val="none" w:sz="0" w:space="0" w:color="auto"/>
        <w:left w:val="none" w:sz="0" w:space="0" w:color="auto"/>
        <w:bottom w:val="none" w:sz="0" w:space="0" w:color="auto"/>
        <w:right w:val="none" w:sz="0" w:space="0" w:color="auto"/>
      </w:divBdr>
    </w:div>
    <w:div w:id="1812015905">
      <w:bodyDiv w:val="1"/>
      <w:marLeft w:val="0"/>
      <w:marRight w:val="0"/>
      <w:marTop w:val="0"/>
      <w:marBottom w:val="0"/>
      <w:divBdr>
        <w:top w:val="none" w:sz="0" w:space="0" w:color="auto"/>
        <w:left w:val="none" w:sz="0" w:space="0" w:color="auto"/>
        <w:bottom w:val="none" w:sz="0" w:space="0" w:color="auto"/>
        <w:right w:val="none" w:sz="0" w:space="0" w:color="auto"/>
      </w:divBdr>
    </w:div>
    <w:div w:id="1812019537">
      <w:bodyDiv w:val="1"/>
      <w:marLeft w:val="0"/>
      <w:marRight w:val="0"/>
      <w:marTop w:val="0"/>
      <w:marBottom w:val="0"/>
      <w:divBdr>
        <w:top w:val="none" w:sz="0" w:space="0" w:color="auto"/>
        <w:left w:val="none" w:sz="0" w:space="0" w:color="auto"/>
        <w:bottom w:val="none" w:sz="0" w:space="0" w:color="auto"/>
        <w:right w:val="none" w:sz="0" w:space="0" w:color="auto"/>
      </w:divBdr>
    </w:div>
    <w:div w:id="1812136302">
      <w:bodyDiv w:val="1"/>
      <w:marLeft w:val="0"/>
      <w:marRight w:val="0"/>
      <w:marTop w:val="0"/>
      <w:marBottom w:val="0"/>
      <w:divBdr>
        <w:top w:val="none" w:sz="0" w:space="0" w:color="auto"/>
        <w:left w:val="none" w:sz="0" w:space="0" w:color="auto"/>
        <w:bottom w:val="none" w:sz="0" w:space="0" w:color="auto"/>
        <w:right w:val="none" w:sz="0" w:space="0" w:color="auto"/>
      </w:divBdr>
    </w:div>
    <w:div w:id="1812210304">
      <w:bodyDiv w:val="1"/>
      <w:marLeft w:val="0"/>
      <w:marRight w:val="0"/>
      <w:marTop w:val="0"/>
      <w:marBottom w:val="0"/>
      <w:divBdr>
        <w:top w:val="none" w:sz="0" w:space="0" w:color="auto"/>
        <w:left w:val="none" w:sz="0" w:space="0" w:color="auto"/>
        <w:bottom w:val="none" w:sz="0" w:space="0" w:color="auto"/>
        <w:right w:val="none" w:sz="0" w:space="0" w:color="auto"/>
      </w:divBdr>
    </w:div>
    <w:div w:id="1812211921">
      <w:bodyDiv w:val="1"/>
      <w:marLeft w:val="0"/>
      <w:marRight w:val="0"/>
      <w:marTop w:val="0"/>
      <w:marBottom w:val="0"/>
      <w:divBdr>
        <w:top w:val="none" w:sz="0" w:space="0" w:color="auto"/>
        <w:left w:val="none" w:sz="0" w:space="0" w:color="auto"/>
        <w:bottom w:val="none" w:sz="0" w:space="0" w:color="auto"/>
        <w:right w:val="none" w:sz="0" w:space="0" w:color="auto"/>
      </w:divBdr>
    </w:div>
    <w:div w:id="1812215043">
      <w:bodyDiv w:val="1"/>
      <w:marLeft w:val="0"/>
      <w:marRight w:val="0"/>
      <w:marTop w:val="0"/>
      <w:marBottom w:val="0"/>
      <w:divBdr>
        <w:top w:val="none" w:sz="0" w:space="0" w:color="auto"/>
        <w:left w:val="none" w:sz="0" w:space="0" w:color="auto"/>
        <w:bottom w:val="none" w:sz="0" w:space="0" w:color="auto"/>
        <w:right w:val="none" w:sz="0" w:space="0" w:color="auto"/>
      </w:divBdr>
    </w:div>
    <w:div w:id="1812284246">
      <w:bodyDiv w:val="1"/>
      <w:marLeft w:val="0"/>
      <w:marRight w:val="0"/>
      <w:marTop w:val="0"/>
      <w:marBottom w:val="0"/>
      <w:divBdr>
        <w:top w:val="none" w:sz="0" w:space="0" w:color="auto"/>
        <w:left w:val="none" w:sz="0" w:space="0" w:color="auto"/>
        <w:bottom w:val="none" w:sz="0" w:space="0" w:color="auto"/>
        <w:right w:val="none" w:sz="0" w:space="0" w:color="auto"/>
      </w:divBdr>
    </w:div>
    <w:div w:id="1812289395">
      <w:bodyDiv w:val="1"/>
      <w:marLeft w:val="0"/>
      <w:marRight w:val="0"/>
      <w:marTop w:val="0"/>
      <w:marBottom w:val="0"/>
      <w:divBdr>
        <w:top w:val="none" w:sz="0" w:space="0" w:color="auto"/>
        <w:left w:val="none" w:sz="0" w:space="0" w:color="auto"/>
        <w:bottom w:val="none" w:sz="0" w:space="0" w:color="auto"/>
        <w:right w:val="none" w:sz="0" w:space="0" w:color="auto"/>
      </w:divBdr>
    </w:div>
    <w:div w:id="1812483795">
      <w:bodyDiv w:val="1"/>
      <w:marLeft w:val="0"/>
      <w:marRight w:val="0"/>
      <w:marTop w:val="0"/>
      <w:marBottom w:val="0"/>
      <w:divBdr>
        <w:top w:val="none" w:sz="0" w:space="0" w:color="auto"/>
        <w:left w:val="none" w:sz="0" w:space="0" w:color="auto"/>
        <w:bottom w:val="none" w:sz="0" w:space="0" w:color="auto"/>
        <w:right w:val="none" w:sz="0" w:space="0" w:color="auto"/>
      </w:divBdr>
    </w:div>
    <w:div w:id="1812559524">
      <w:bodyDiv w:val="1"/>
      <w:marLeft w:val="0"/>
      <w:marRight w:val="0"/>
      <w:marTop w:val="0"/>
      <w:marBottom w:val="0"/>
      <w:divBdr>
        <w:top w:val="none" w:sz="0" w:space="0" w:color="auto"/>
        <w:left w:val="none" w:sz="0" w:space="0" w:color="auto"/>
        <w:bottom w:val="none" w:sz="0" w:space="0" w:color="auto"/>
        <w:right w:val="none" w:sz="0" w:space="0" w:color="auto"/>
      </w:divBdr>
    </w:div>
    <w:div w:id="1812669362">
      <w:bodyDiv w:val="1"/>
      <w:marLeft w:val="0"/>
      <w:marRight w:val="0"/>
      <w:marTop w:val="0"/>
      <w:marBottom w:val="0"/>
      <w:divBdr>
        <w:top w:val="none" w:sz="0" w:space="0" w:color="auto"/>
        <w:left w:val="none" w:sz="0" w:space="0" w:color="auto"/>
        <w:bottom w:val="none" w:sz="0" w:space="0" w:color="auto"/>
        <w:right w:val="none" w:sz="0" w:space="0" w:color="auto"/>
      </w:divBdr>
    </w:div>
    <w:div w:id="1812674075">
      <w:bodyDiv w:val="1"/>
      <w:marLeft w:val="0"/>
      <w:marRight w:val="0"/>
      <w:marTop w:val="0"/>
      <w:marBottom w:val="0"/>
      <w:divBdr>
        <w:top w:val="none" w:sz="0" w:space="0" w:color="auto"/>
        <w:left w:val="none" w:sz="0" w:space="0" w:color="auto"/>
        <w:bottom w:val="none" w:sz="0" w:space="0" w:color="auto"/>
        <w:right w:val="none" w:sz="0" w:space="0" w:color="auto"/>
      </w:divBdr>
    </w:div>
    <w:div w:id="1812743525">
      <w:bodyDiv w:val="1"/>
      <w:marLeft w:val="0"/>
      <w:marRight w:val="0"/>
      <w:marTop w:val="0"/>
      <w:marBottom w:val="0"/>
      <w:divBdr>
        <w:top w:val="none" w:sz="0" w:space="0" w:color="auto"/>
        <w:left w:val="none" w:sz="0" w:space="0" w:color="auto"/>
        <w:bottom w:val="none" w:sz="0" w:space="0" w:color="auto"/>
        <w:right w:val="none" w:sz="0" w:space="0" w:color="auto"/>
      </w:divBdr>
    </w:div>
    <w:div w:id="1812744542">
      <w:bodyDiv w:val="1"/>
      <w:marLeft w:val="0"/>
      <w:marRight w:val="0"/>
      <w:marTop w:val="0"/>
      <w:marBottom w:val="0"/>
      <w:divBdr>
        <w:top w:val="none" w:sz="0" w:space="0" w:color="auto"/>
        <w:left w:val="none" w:sz="0" w:space="0" w:color="auto"/>
        <w:bottom w:val="none" w:sz="0" w:space="0" w:color="auto"/>
        <w:right w:val="none" w:sz="0" w:space="0" w:color="auto"/>
      </w:divBdr>
    </w:div>
    <w:div w:id="1812940700">
      <w:bodyDiv w:val="1"/>
      <w:marLeft w:val="0"/>
      <w:marRight w:val="0"/>
      <w:marTop w:val="0"/>
      <w:marBottom w:val="0"/>
      <w:divBdr>
        <w:top w:val="none" w:sz="0" w:space="0" w:color="auto"/>
        <w:left w:val="none" w:sz="0" w:space="0" w:color="auto"/>
        <w:bottom w:val="none" w:sz="0" w:space="0" w:color="auto"/>
        <w:right w:val="none" w:sz="0" w:space="0" w:color="auto"/>
      </w:divBdr>
    </w:div>
    <w:div w:id="1812941710">
      <w:bodyDiv w:val="1"/>
      <w:marLeft w:val="0"/>
      <w:marRight w:val="0"/>
      <w:marTop w:val="0"/>
      <w:marBottom w:val="0"/>
      <w:divBdr>
        <w:top w:val="none" w:sz="0" w:space="0" w:color="auto"/>
        <w:left w:val="none" w:sz="0" w:space="0" w:color="auto"/>
        <w:bottom w:val="none" w:sz="0" w:space="0" w:color="auto"/>
        <w:right w:val="none" w:sz="0" w:space="0" w:color="auto"/>
      </w:divBdr>
    </w:div>
    <w:div w:id="1812988410">
      <w:bodyDiv w:val="1"/>
      <w:marLeft w:val="0"/>
      <w:marRight w:val="0"/>
      <w:marTop w:val="0"/>
      <w:marBottom w:val="0"/>
      <w:divBdr>
        <w:top w:val="none" w:sz="0" w:space="0" w:color="auto"/>
        <w:left w:val="none" w:sz="0" w:space="0" w:color="auto"/>
        <w:bottom w:val="none" w:sz="0" w:space="0" w:color="auto"/>
        <w:right w:val="none" w:sz="0" w:space="0" w:color="auto"/>
      </w:divBdr>
    </w:div>
    <w:div w:id="1813058861">
      <w:bodyDiv w:val="1"/>
      <w:marLeft w:val="0"/>
      <w:marRight w:val="0"/>
      <w:marTop w:val="0"/>
      <w:marBottom w:val="0"/>
      <w:divBdr>
        <w:top w:val="none" w:sz="0" w:space="0" w:color="auto"/>
        <w:left w:val="none" w:sz="0" w:space="0" w:color="auto"/>
        <w:bottom w:val="none" w:sz="0" w:space="0" w:color="auto"/>
        <w:right w:val="none" w:sz="0" w:space="0" w:color="auto"/>
      </w:divBdr>
    </w:div>
    <w:div w:id="1813131944">
      <w:bodyDiv w:val="1"/>
      <w:marLeft w:val="0"/>
      <w:marRight w:val="0"/>
      <w:marTop w:val="0"/>
      <w:marBottom w:val="0"/>
      <w:divBdr>
        <w:top w:val="none" w:sz="0" w:space="0" w:color="auto"/>
        <w:left w:val="none" w:sz="0" w:space="0" w:color="auto"/>
        <w:bottom w:val="none" w:sz="0" w:space="0" w:color="auto"/>
        <w:right w:val="none" w:sz="0" w:space="0" w:color="auto"/>
      </w:divBdr>
    </w:div>
    <w:div w:id="1813399055">
      <w:bodyDiv w:val="1"/>
      <w:marLeft w:val="0"/>
      <w:marRight w:val="0"/>
      <w:marTop w:val="0"/>
      <w:marBottom w:val="0"/>
      <w:divBdr>
        <w:top w:val="none" w:sz="0" w:space="0" w:color="auto"/>
        <w:left w:val="none" w:sz="0" w:space="0" w:color="auto"/>
        <w:bottom w:val="none" w:sz="0" w:space="0" w:color="auto"/>
        <w:right w:val="none" w:sz="0" w:space="0" w:color="auto"/>
      </w:divBdr>
    </w:div>
    <w:div w:id="1813400049">
      <w:bodyDiv w:val="1"/>
      <w:marLeft w:val="0"/>
      <w:marRight w:val="0"/>
      <w:marTop w:val="0"/>
      <w:marBottom w:val="0"/>
      <w:divBdr>
        <w:top w:val="none" w:sz="0" w:space="0" w:color="auto"/>
        <w:left w:val="none" w:sz="0" w:space="0" w:color="auto"/>
        <w:bottom w:val="none" w:sz="0" w:space="0" w:color="auto"/>
        <w:right w:val="none" w:sz="0" w:space="0" w:color="auto"/>
      </w:divBdr>
    </w:div>
    <w:div w:id="1813408180">
      <w:bodyDiv w:val="1"/>
      <w:marLeft w:val="0"/>
      <w:marRight w:val="0"/>
      <w:marTop w:val="0"/>
      <w:marBottom w:val="0"/>
      <w:divBdr>
        <w:top w:val="none" w:sz="0" w:space="0" w:color="auto"/>
        <w:left w:val="none" w:sz="0" w:space="0" w:color="auto"/>
        <w:bottom w:val="none" w:sz="0" w:space="0" w:color="auto"/>
        <w:right w:val="none" w:sz="0" w:space="0" w:color="auto"/>
      </w:divBdr>
    </w:div>
    <w:div w:id="1813673794">
      <w:bodyDiv w:val="1"/>
      <w:marLeft w:val="0"/>
      <w:marRight w:val="0"/>
      <w:marTop w:val="0"/>
      <w:marBottom w:val="0"/>
      <w:divBdr>
        <w:top w:val="none" w:sz="0" w:space="0" w:color="auto"/>
        <w:left w:val="none" w:sz="0" w:space="0" w:color="auto"/>
        <w:bottom w:val="none" w:sz="0" w:space="0" w:color="auto"/>
        <w:right w:val="none" w:sz="0" w:space="0" w:color="auto"/>
      </w:divBdr>
    </w:div>
    <w:div w:id="1813794343">
      <w:bodyDiv w:val="1"/>
      <w:marLeft w:val="0"/>
      <w:marRight w:val="0"/>
      <w:marTop w:val="0"/>
      <w:marBottom w:val="0"/>
      <w:divBdr>
        <w:top w:val="none" w:sz="0" w:space="0" w:color="auto"/>
        <w:left w:val="none" w:sz="0" w:space="0" w:color="auto"/>
        <w:bottom w:val="none" w:sz="0" w:space="0" w:color="auto"/>
        <w:right w:val="none" w:sz="0" w:space="0" w:color="auto"/>
      </w:divBdr>
    </w:div>
    <w:div w:id="1813862451">
      <w:bodyDiv w:val="1"/>
      <w:marLeft w:val="0"/>
      <w:marRight w:val="0"/>
      <w:marTop w:val="0"/>
      <w:marBottom w:val="0"/>
      <w:divBdr>
        <w:top w:val="none" w:sz="0" w:space="0" w:color="auto"/>
        <w:left w:val="none" w:sz="0" w:space="0" w:color="auto"/>
        <w:bottom w:val="none" w:sz="0" w:space="0" w:color="auto"/>
        <w:right w:val="none" w:sz="0" w:space="0" w:color="auto"/>
      </w:divBdr>
    </w:div>
    <w:div w:id="1813909925">
      <w:bodyDiv w:val="1"/>
      <w:marLeft w:val="0"/>
      <w:marRight w:val="0"/>
      <w:marTop w:val="0"/>
      <w:marBottom w:val="0"/>
      <w:divBdr>
        <w:top w:val="none" w:sz="0" w:space="0" w:color="auto"/>
        <w:left w:val="none" w:sz="0" w:space="0" w:color="auto"/>
        <w:bottom w:val="none" w:sz="0" w:space="0" w:color="auto"/>
        <w:right w:val="none" w:sz="0" w:space="0" w:color="auto"/>
      </w:divBdr>
    </w:div>
    <w:div w:id="1813935986">
      <w:bodyDiv w:val="1"/>
      <w:marLeft w:val="0"/>
      <w:marRight w:val="0"/>
      <w:marTop w:val="0"/>
      <w:marBottom w:val="0"/>
      <w:divBdr>
        <w:top w:val="none" w:sz="0" w:space="0" w:color="auto"/>
        <w:left w:val="none" w:sz="0" w:space="0" w:color="auto"/>
        <w:bottom w:val="none" w:sz="0" w:space="0" w:color="auto"/>
        <w:right w:val="none" w:sz="0" w:space="0" w:color="auto"/>
      </w:divBdr>
    </w:div>
    <w:div w:id="1813936856">
      <w:bodyDiv w:val="1"/>
      <w:marLeft w:val="0"/>
      <w:marRight w:val="0"/>
      <w:marTop w:val="0"/>
      <w:marBottom w:val="0"/>
      <w:divBdr>
        <w:top w:val="none" w:sz="0" w:space="0" w:color="auto"/>
        <w:left w:val="none" w:sz="0" w:space="0" w:color="auto"/>
        <w:bottom w:val="none" w:sz="0" w:space="0" w:color="auto"/>
        <w:right w:val="none" w:sz="0" w:space="0" w:color="auto"/>
      </w:divBdr>
    </w:div>
    <w:div w:id="1813978396">
      <w:bodyDiv w:val="1"/>
      <w:marLeft w:val="0"/>
      <w:marRight w:val="0"/>
      <w:marTop w:val="0"/>
      <w:marBottom w:val="0"/>
      <w:divBdr>
        <w:top w:val="none" w:sz="0" w:space="0" w:color="auto"/>
        <w:left w:val="none" w:sz="0" w:space="0" w:color="auto"/>
        <w:bottom w:val="none" w:sz="0" w:space="0" w:color="auto"/>
        <w:right w:val="none" w:sz="0" w:space="0" w:color="auto"/>
      </w:divBdr>
    </w:div>
    <w:div w:id="1813986150">
      <w:bodyDiv w:val="1"/>
      <w:marLeft w:val="0"/>
      <w:marRight w:val="0"/>
      <w:marTop w:val="0"/>
      <w:marBottom w:val="0"/>
      <w:divBdr>
        <w:top w:val="none" w:sz="0" w:space="0" w:color="auto"/>
        <w:left w:val="none" w:sz="0" w:space="0" w:color="auto"/>
        <w:bottom w:val="none" w:sz="0" w:space="0" w:color="auto"/>
        <w:right w:val="none" w:sz="0" w:space="0" w:color="auto"/>
      </w:divBdr>
    </w:div>
    <w:div w:id="1814055708">
      <w:bodyDiv w:val="1"/>
      <w:marLeft w:val="0"/>
      <w:marRight w:val="0"/>
      <w:marTop w:val="0"/>
      <w:marBottom w:val="0"/>
      <w:divBdr>
        <w:top w:val="none" w:sz="0" w:space="0" w:color="auto"/>
        <w:left w:val="none" w:sz="0" w:space="0" w:color="auto"/>
        <w:bottom w:val="none" w:sz="0" w:space="0" w:color="auto"/>
        <w:right w:val="none" w:sz="0" w:space="0" w:color="auto"/>
      </w:divBdr>
    </w:div>
    <w:div w:id="1814132739">
      <w:bodyDiv w:val="1"/>
      <w:marLeft w:val="0"/>
      <w:marRight w:val="0"/>
      <w:marTop w:val="0"/>
      <w:marBottom w:val="0"/>
      <w:divBdr>
        <w:top w:val="none" w:sz="0" w:space="0" w:color="auto"/>
        <w:left w:val="none" w:sz="0" w:space="0" w:color="auto"/>
        <w:bottom w:val="none" w:sz="0" w:space="0" w:color="auto"/>
        <w:right w:val="none" w:sz="0" w:space="0" w:color="auto"/>
      </w:divBdr>
    </w:div>
    <w:div w:id="1814256076">
      <w:bodyDiv w:val="1"/>
      <w:marLeft w:val="0"/>
      <w:marRight w:val="0"/>
      <w:marTop w:val="0"/>
      <w:marBottom w:val="0"/>
      <w:divBdr>
        <w:top w:val="none" w:sz="0" w:space="0" w:color="auto"/>
        <w:left w:val="none" w:sz="0" w:space="0" w:color="auto"/>
        <w:bottom w:val="none" w:sz="0" w:space="0" w:color="auto"/>
        <w:right w:val="none" w:sz="0" w:space="0" w:color="auto"/>
      </w:divBdr>
    </w:div>
    <w:div w:id="1814256177">
      <w:bodyDiv w:val="1"/>
      <w:marLeft w:val="0"/>
      <w:marRight w:val="0"/>
      <w:marTop w:val="0"/>
      <w:marBottom w:val="0"/>
      <w:divBdr>
        <w:top w:val="none" w:sz="0" w:space="0" w:color="auto"/>
        <w:left w:val="none" w:sz="0" w:space="0" w:color="auto"/>
        <w:bottom w:val="none" w:sz="0" w:space="0" w:color="auto"/>
        <w:right w:val="none" w:sz="0" w:space="0" w:color="auto"/>
      </w:divBdr>
    </w:div>
    <w:div w:id="1814518481">
      <w:bodyDiv w:val="1"/>
      <w:marLeft w:val="0"/>
      <w:marRight w:val="0"/>
      <w:marTop w:val="0"/>
      <w:marBottom w:val="0"/>
      <w:divBdr>
        <w:top w:val="none" w:sz="0" w:space="0" w:color="auto"/>
        <w:left w:val="none" w:sz="0" w:space="0" w:color="auto"/>
        <w:bottom w:val="none" w:sz="0" w:space="0" w:color="auto"/>
        <w:right w:val="none" w:sz="0" w:space="0" w:color="auto"/>
      </w:divBdr>
    </w:div>
    <w:div w:id="1814519812">
      <w:bodyDiv w:val="1"/>
      <w:marLeft w:val="0"/>
      <w:marRight w:val="0"/>
      <w:marTop w:val="0"/>
      <w:marBottom w:val="0"/>
      <w:divBdr>
        <w:top w:val="none" w:sz="0" w:space="0" w:color="auto"/>
        <w:left w:val="none" w:sz="0" w:space="0" w:color="auto"/>
        <w:bottom w:val="none" w:sz="0" w:space="0" w:color="auto"/>
        <w:right w:val="none" w:sz="0" w:space="0" w:color="auto"/>
      </w:divBdr>
    </w:div>
    <w:div w:id="1814524440">
      <w:bodyDiv w:val="1"/>
      <w:marLeft w:val="0"/>
      <w:marRight w:val="0"/>
      <w:marTop w:val="0"/>
      <w:marBottom w:val="0"/>
      <w:divBdr>
        <w:top w:val="none" w:sz="0" w:space="0" w:color="auto"/>
        <w:left w:val="none" w:sz="0" w:space="0" w:color="auto"/>
        <w:bottom w:val="none" w:sz="0" w:space="0" w:color="auto"/>
        <w:right w:val="none" w:sz="0" w:space="0" w:color="auto"/>
      </w:divBdr>
    </w:div>
    <w:div w:id="1814525318">
      <w:bodyDiv w:val="1"/>
      <w:marLeft w:val="0"/>
      <w:marRight w:val="0"/>
      <w:marTop w:val="0"/>
      <w:marBottom w:val="0"/>
      <w:divBdr>
        <w:top w:val="none" w:sz="0" w:space="0" w:color="auto"/>
        <w:left w:val="none" w:sz="0" w:space="0" w:color="auto"/>
        <w:bottom w:val="none" w:sz="0" w:space="0" w:color="auto"/>
        <w:right w:val="none" w:sz="0" w:space="0" w:color="auto"/>
      </w:divBdr>
    </w:div>
    <w:div w:id="1814567898">
      <w:bodyDiv w:val="1"/>
      <w:marLeft w:val="0"/>
      <w:marRight w:val="0"/>
      <w:marTop w:val="0"/>
      <w:marBottom w:val="0"/>
      <w:divBdr>
        <w:top w:val="none" w:sz="0" w:space="0" w:color="auto"/>
        <w:left w:val="none" w:sz="0" w:space="0" w:color="auto"/>
        <w:bottom w:val="none" w:sz="0" w:space="0" w:color="auto"/>
        <w:right w:val="none" w:sz="0" w:space="0" w:color="auto"/>
      </w:divBdr>
    </w:div>
    <w:div w:id="1814591341">
      <w:bodyDiv w:val="1"/>
      <w:marLeft w:val="0"/>
      <w:marRight w:val="0"/>
      <w:marTop w:val="0"/>
      <w:marBottom w:val="0"/>
      <w:divBdr>
        <w:top w:val="none" w:sz="0" w:space="0" w:color="auto"/>
        <w:left w:val="none" w:sz="0" w:space="0" w:color="auto"/>
        <w:bottom w:val="none" w:sz="0" w:space="0" w:color="auto"/>
        <w:right w:val="none" w:sz="0" w:space="0" w:color="auto"/>
      </w:divBdr>
    </w:div>
    <w:div w:id="1814591722">
      <w:bodyDiv w:val="1"/>
      <w:marLeft w:val="0"/>
      <w:marRight w:val="0"/>
      <w:marTop w:val="0"/>
      <w:marBottom w:val="0"/>
      <w:divBdr>
        <w:top w:val="none" w:sz="0" w:space="0" w:color="auto"/>
        <w:left w:val="none" w:sz="0" w:space="0" w:color="auto"/>
        <w:bottom w:val="none" w:sz="0" w:space="0" w:color="auto"/>
        <w:right w:val="none" w:sz="0" w:space="0" w:color="auto"/>
      </w:divBdr>
    </w:div>
    <w:div w:id="1814641957">
      <w:bodyDiv w:val="1"/>
      <w:marLeft w:val="0"/>
      <w:marRight w:val="0"/>
      <w:marTop w:val="0"/>
      <w:marBottom w:val="0"/>
      <w:divBdr>
        <w:top w:val="none" w:sz="0" w:space="0" w:color="auto"/>
        <w:left w:val="none" w:sz="0" w:space="0" w:color="auto"/>
        <w:bottom w:val="none" w:sz="0" w:space="0" w:color="auto"/>
        <w:right w:val="none" w:sz="0" w:space="0" w:color="auto"/>
      </w:divBdr>
    </w:div>
    <w:div w:id="1814712444">
      <w:bodyDiv w:val="1"/>
      <w:marLeft w:val="0"/>
      <w:marRight w:val="0"/>
      <w:marTop w:val="0"/>
      <w:marBottom w:val="0"/>
      <w:divBdr>
        <w:top w:val="none" w:sz="0" w:space="0" w:color="auto"/>
        <w:left w:val="none" w:sz="0" w:space="0" w:color="auto"/>
        <w:bottom w:val="none" w:sz="0" w:space="0" w:color="auto"/>
        <w:right w:val="none" w:sz="0" w:space="0" w:color="auto"/>
      </w:divBdr>
    </w:div>
    <w:div w:id="1814830798">
      <w:bodyDiv w:val="1"/>
      <w:marLeft w:val="0"/>
      <w:marRight w:val="0"/>
      <w:marTop w:val="0"/>
      <w:marBottom w:val="0"/>
      <w:divBdr>
        <w:top w:val="none" w:sz="0" w:space="0" w:color="auto"/>
        <w:left w:val="none" w:sz="0" w:space="0" w:color="auto"/>
        <w:bottom w:val="none" w:sz="0" w:space="0" w:color="auto"/>
        <w:right w:val="none" w:sz="0" w:space="0" w:color="auto"/>
      </w:divBdr>
    </w:div>
    <w:div w:id="1815174964">
      <w:bodyDiv w:val="1"/>
      <w:marLeft w:val="0"/>
      <w:marRight w:val="0"/>
      <w:marTop w:val="0"/>
      <w:marBottom w:val="0"/>
      <w:divBdr>
        <w:top w:val="none" w:sz="0" w:space="0" w:color="auto"/>
        <w:left w:val="none" w:sz="0" w:space="0" w:color="auto"/>
        <w:bottom w:val="none" w:sz="0" w:space="0" w:color="auto"/>
        <w:right w:val="none" w:sz="0" w:space="0" w:color="auto"/>
      </w:divBdr>
    </w:div>
    <w:div w:id="1815179882">
      <w:bodyDiv w:val="1"/>
      <w:marLeft w:val="0"/>
      <w:marRight w:val="0"/>
      <w:marTop w:val="0"/>
      <w:marBottom w:val="0"/>
      <w:divBdr>
        <w:top w:val="none" w:sz="0" w:space="0" w:color="auto"/>
        <w:left w:val="none" w:sz="0" w:space="0" w:color="auto"/>
        <w:bottom w:val="none" w:sz="0" w:space="0" w:color="auto"/>
        <w:right w:val="none" w:sz="0" w:space="0" w:color="auto"/>
      </w:divBdr>
    </w:div>
    <w:div w:id="1815372090">
      <w:bodyDiv w:val="1"/>
      <w:marLeft w:val="0"/>
      <w:marRight w:val="0"/>
      <w:marTop w:val="0"/>
      <w:marBottom w:val="0"/>
      <w:divBdr>
        <w:top w:val="none" w:sz="0" w:space="0" w:color="auto"/>
        <w:left w:val="none" w:sz="0" w:space="0" w:color="auto"/>
        <w:bottom w:val="none" w:sz="0" w:space="0" w:color="auto"/>
        <w:right w:val="none" w:sz="0" w:space="0" w:color="auto"/>
      </w:divBdr>
    </w:div>
    <w:div w:id="1815484144">
      <w:bodyDiv w:val="1"/>
      <w:marLeft w:val="0"/>
      <w:marRight w:val="0"/>
      <w:marTop w:val="0"/>
      <w:marBottom w:val="0"/>
      <w:divBdr>
        <w:top w:val="none" w:sz="0" w:space="0" w:color="auto"/>
        <w:left w:val="none" w:sz="0" w:space="0" w:color="auto"/>
        <w:bottom w:val="none" w:sz="0" w:space="0" w:color="auto"/>
        <w:right w:val="none" w:sz="0" w:space="0" w:color="auto"/>
      </w:divBdr>
    </w:div>
    <w:div w:id="1815491096">
      <w:bodyDiv w:val="1"/>
      <w:marLeft w:val="0"/>
      <w:marRight w:val="0"/>
      <w:marTop w:val="0"/>
      <w:marBottom w:val="0"/>
      <w:divBdr>
        <w:top w:val="none" w:sz="0" w:space="0" w:color="auto"/>
        <w:left w:val="none" w:sz="0" w:space="0" w:color="auto"/>
        <w:bottom w:val="none" w:sz="0" w:space="0" w:color="auto"/>
        <w:right w:val="none" w:sz="0" w:space="0" w:color="auto"/>
      </w:divBdr>
    </w:div>
    <w:div w:id="1815835239">
      <w:bodyDiv w:val="1"/>
      <w:marLeft w:val="0"/>
      <w:marRight w:val="0"/>
      <w:marTop w:val="0"/>
      <w:marBottom w:val="0"/>
      <w:divBdr>
        <w:top w:val="none" w:sz="0" w:space="0" w:color="auto"/>
        <w:left w:val="none" w:sz="0" w:space="0" w:color="auto"/>
        <w:bottom w:val="none" w:sz="0" w:space="0" w:color="auto"/>
        <w:right w:val="none" w:sz="0" w:space="0" w:color="auto"/>
      </w:divBdr>
    </w:div>
    <w:div w:id="1815872305">
      <w:bodyDiv w:val="1"/>
      <w:marLeft w:val="0"/>
      <w:marRight w:val="0"/>
      <w:marTop w:val="0"/>
      <w:marBottom w:val="0"/>
      <w:divBdr>
        <w:top w:val="none" w:sz="0" w:space="0" w:color="auto"/>
        <w:left w:val="none" w:sz="0" w:space="0" w:color="auto"/>
        <w:bottom w:val="none" w:sz="0" w:space="0" w:color="auto"/>
        <w:right w:val="none" w:sz="0" w:space="0" w:color="auto"/>
      </w:divBdr>
    </w:div>
    <w:div w:id="1815951736">
      <w:bodyDiv w:val="1"/>
      <w:marLeft w:val="0"/>
      <w:marRight w:val="0"/>
      <w:marTop w:val="0"/>
      <w:marBottom w:val="0"/>
      <w:divBdr>
        <w:top w:val="none" w:sz="0" w:space="0" w:color="auto"/>
        <w:left w:val="none" w:sz="0" w:space="0" w:color="auto"/>
        <w:bottom w:val="none" w:sz="0" w:space="0" w:color="auto"/>
        <w:right w:val="none" w:sz="0" w:space="0" w:color="auto"/>
      </w:divBdr>
    </w:div>
    <w:div w:id="1816145961">
      <w:bodyDiv w:val="1"/>
      <w:marLeft w:val="0"/>
      <w:marRight w:val="0"/>
      <w:marTop w:val="0"/>
      <w:marBottom w:val="0"/>
      <w:divBdr>
        <w:top w:val="none" w:sz="0" w:space="0" w:color="auto"/>
        <w:left w:val="none" w:sz="0" w:space="0" w:color="auto"/>
        <w:bottom w:val="none" w:sz="0" w:space="0" w:color="auto"/>
        <w:right w:val="none" w:sz="0" w:space="0" w:color="auto"/>
      </w:divBdr>
    </w:div>
    <w:div w:id="1816290837">
      <w:bodyDiv w:val="1"/>
      <w:marLeft w:val="0"/>
      <w:marRight w:val="0"/>
      <w:marTop w:val="0"/>
      <w:marBottom w:val="0"/>
      <w:divBdr>
        <w:top w:val="none" w:sz="0" w:space="0" w:color="auto"/>
        <w:left w:val="none" w:sz="0" w:space="0" w:color="auto"/>
        <w:bottom w:val="none" w:sz="0" w:space="0" w:color="auto"/>
        <w:right w:val="none" w:sz="0" w:space="0" w:color="auto"/>
      </w:divBdr>
    </w:div>
    <w:div w:id="1816294704">
      <w:bodyDiv w:val="1"/>
      <w:marLeft w:val="0"/>
      <w:marRight w:val="0"/>
      <w:marTop w:val="0"/>
      <w:marBottom w:val="0"/>
      <w:divBdr>
        <w:top w:val="none" w:sz="0" w:space="0" w:color="auto"/>
        <w:left w:val="none" w:sz="0" w:space="0" w:color="auto"/>
        <w:bottom w:val="none" w:sz="0" w:space="0" w:color="auto"/>
        <w:right w:val="none" w:sz="0" w:space="0" w:color="auto"/>
      </w:divBdr>
    </w:div>
    <w:div w:id="1816336622">
      <w:bodyDiv w:val="1"/>
      <w:marLeft w:val="0"/>
      <w:marRight w:val="0"/>
      <w:marTop w:val="0"/>
      <w:marBottom w:val="0"/>
      <w:divBdr>
        <w:top w:val="none" w:sz="0" w:space="0" w:color="auto"/>
        <w:left w:val="none" w:sz="0" w:space="0" w:color="auto"/>
        <w:bottom w:val="none" w:sz="0" w:space="0" w:color="auto"/>
        <w:right w:val="none" w:sz="0" w:space="0" w:color="auto"/>
      </w:divBdr>
    </w:div>
    <w:div w:id="1816533578">
      <w:bodyDiv w:val="1"/>
      <w:marLeft w:val="0"/>
      <w:marRight w:val="0"/>
      <w:marTop w:val="0"/>
      <w:marBottom w:val="0"/>
      <w:divBdr>
        <w:top w:val="none" w:sz="0" w:space="0" w:color="auto"/>
        <w:left w:val="none" w:sz="0" w:space="0" w:color="auto"/>
        <w:bottom w:val="none" w:sz="0" w:space="0" w:color="auto"/>
        <w:right w:val="none" w:sz="0" w:space="0" w:color="auto"/>
      </w:divBdr>
    </w:div>
    <w:div w:id="1816675047">
      <w:bodyDiv w:val="1"/>
      <w:marLeft w:val="0"/>
      <w:marRight w:val="0"/>
      <w:marTop w:val="0"/>
      <w:marBottom w:val="0"/>
      <w:divBdr>
        <w:top w:val="none" w:sz="0" w:space="0" w:color="auto"/>
        <w:left w:val="none" w:sz="0" w:space="0" w:color="auto"/>
        <w:bottom w:val="none" w:sz="0" w:space="0" w:color="auto"/>
        <w:right w:val="none" w:sz="0" w:space="0" w:color="auto"/>
      </w:divBdr>
    </w:div>
    <w:div w:id="1816725309">
      <w:bodyDiv w:val="1"/>
      <w:marLeft w:val="0"/>
      <w:marRight w:val="0"/>
      <w:marTop w:val="0"/>
      <w:marBottom w:val="0"/>
      <w:divBdr>
        <w:top w:val="none" w:sz="0" w:space="0" w:color="auto"/>
        <w:left w:val="none" w:sz="0" w:space="0" w:color="auto"/>
        <w:bottom w:val="none" w:sz="0" w:space="0" w:color="auto"/>
        <w:right w:val="none" w:sz="0" w:space="0" w:color="auto"/>
      </w:divBdr>
    </w:div>
    <w:div w:id="1816750702">
      <w:bodyDiv w:val="1"/>
      <w:marLeft w:val="0"/>
      <w:marRight w:val="0"/>
      <w:marTop w:val="0"/>
      <w:marBottom w:val="0"/>
      <w:divBdr>
        <w:top w:val="none" w:sz="0" w:space="0" w:color="auto"/>
        <w:left w:val="none" w:sz="0" w:space="0" w:color="auto"/>
        <w:bottom w:val="none" w:sz="0" w:space="0" w:color="auto"/>
        <w:right w:val="none" w:sz="0" w:space="0" w:color="auto"/>
      </w:divBdr>
    </w:div>
    <w:div w:id="1816755100">
      <w:bodyDiv w:val="1"/>
      <w:marLeft w:val="0"/>
      <w:marRight w:val="0"/>
      <w:marTop w:val="0"/>
      <w:marBottom w:val="0"/>
      <w:divBdr>
        <w:top w:val="none" w:sz="0" w:space="0" w:color="auto"/>
        <w:left w:val="none" w:sz="0" w:space="0" w:color="auto"/>
        <w:bottom w:val="none" w:sz="0" w:space="0" w:color="auto"/>
        <w:right w:val="none" w:sz="0" w:space="0" w:color="auto"/>
      </w:divBdr>
    </w:div>
    <w:div w:id="1816795435">
      <w:bodyDiv w:val="1"/>
      <w:marLeft w:val="0"/>
      <w:marRight w:val="0"/>
      <w:marTop w:val="0"/>
      <w:marBottom w:val="0"/>
      <w:divBdr>
        <w:top w:val="none" w:sz="0" w:space="0" w:color="auto"/>
        <w:left w:val="none" w:sz="0" w:space="0" w:color="auto"/>
        <w:bottom w:val="none" w:sz="0" w:space="0" w:color="auto"/>
        <w:right w:val="none" w:sz="0" w:space="0" w:color="auto"/>
      </w:divBdr>
    </w:div>
    <w:div w:id="1816796471">
      <w:bodyDiv w:val="1"/>
      <w:marLeft w:val="0"/>
      <w:marRight w:val="0"/>
      <w:marTop w:val="0"/>
      <w:marBottom w:val="0"/>
      <w:divBdr>
        <w:top w:val="none" w:sz="0" w:space="0" w:color="auto"/>
        <w:left w:val="none" w:sz="0" w:space="0" w:color="auto"/>
        <w:bottom w:val="none" w:sz="0" w:space="0" w:color="auto"/>
        <w:right w:val="none" w:sz="0" w:space="0" w:color="auto"/>
      </w:divBdr>
    </w:div>
    <w:div w:id="1816801432">
      <w:bodyDiv w:val="1"/>
      <w:marLeft w:val="0"/>
      <w:marRight w:val="0"/>
      <w:marTop w:val="0"/>
      <w:marBottom w:val="0"/>
      <w:divBdr>
        <w:top w:val="none" w:sz="0" w:space="0" w:color="auto"/>
        <w:left w:val="none" w:sz="0" w:space="0" w:color="auto"/>
        <w:bottom w:val="none" w:sz="0" w:space="0" w:color="auto"/>
        <w:right w:val="none" w:sz="0" w:space="0" w:color="auto"/>
      </w:divBdr>
    </w:div>
    <w:div w:id="1816802438">
      <w:bodyDiv w:val="1"/>
      <w:marLeft w:val="0"/>
      <w:marRight w:val="0"/>
      <w:marTop w:val="0"/>
      <w:marBottom w:val="0"/>
      <w:divBdr>
        <w:top w:val="none" w:sz="0" w:space="0" w:color="auto"/>
        <w:left w:val="none" w:sz="0" w:space="0" w:color="auto"/>
        <w:bottom w:val="none" w:sz="0" w:space="0" w:color="auto"/>
        <w:right w:val="none" w:sz="0" w:space="0" w:color="auto"/>
      </w:divBdr>
    </w:div>
    <w:div w:id="1816869839">
      <w:bodyDiv w:val="1"/>
      <w:marLeft w:val="0"/>
      <w:marRight w:val="0"/>
      <w:marTop w:val="0"/>
      <w:marBottom w:val="0"/>
      <w:divBdr>
        <w:top w:val="none" w:sz="0" w:space="0" w:color="auto"/>
        <w:left w:val="none" w:sz="0" w:space="0" w:color="auto"/>
        <w:bottom w:val="none" w:sz="0" w:space="0" w:color="auto"/>
        <w:right w:val="none" w:sz="0" w:space="0" w:color="auto"/>
      </w:divBdr>
    </w:div>
    <w:div w:id="1816952140">
      <w:bodyDiv w:val="1"/>
      <w:marLeft w:val="0"/>
      <w:marRight w:val="0"/>
      <w:marTop w:val="0"/>
      <w:marBottom w:val="0"/>
      <w:divBdr>
        <w:top w:val="none" w:sz="0" w:space="0" w:color="auto"/>
        <w:left w:val="none" w:sz="0" w:space="0" w:color="auto"/>
        <w:bottom w:val="none" w:sz="0" w:space="0" w:color="auto"/>
        <w:right w:val="none" w:sz="0" w:space="0" w:color="auto"/>
      </w:divBdr>
    </w:div>
    <w:div w:id="1817188080">
      <w:bodyDiv w:val="1"/>
      <w:marLeft w:val="0"/>
      <w:marRight w:val="0"/>
      <w:marTop w:val="0"/>
      <w:marBottom w:val="0"/>
      <w:divBdr>
        <w:top w:val="none" w:sz="0" w:space="0" w:color="auto"/>
        <w:left w:val="none" w:sz="0" w:space="0" w:color="auto"/>
        <w:bottom w:val="none" w:sz="0" w:space="0" w:color="auto"/>
        <w:right w:val="none" w:sz="0" w:space="0" w:color="auto"/>
      </w:divBdr>
    </w:div>
    <w:div w:id="1817337238">
      <w:bodyDiv w:val="1"/>
      <w:marLeft w:val="0"/>
      <w:marRight w:val="0"/>
      <w:marTop w:val="0"/>
      <w:marBottom w:val="0"/>
      <w:divBdr>
        <w:top w:val="none" w:sz="0" w:space="0" w:color="auto"/>
        <w:left w:val="none" w:sz="0" w:space="0" w:color="auto"/>
        <w:bottom w:val="none" w:sz="0" w:space="0" w:color="auto"/>
        <w:right w:val="none" w:sz="0" w:space="0" w:color="auto"/>
      </w:divBdr>
    </w:div>
    <w:div w:id="1817379850">
      <w:bodyDiv w:val="1"/>
      <w:marLeft w:val="0"/>
      <w:marRight w:val="0"/>
      <w:marTop w:val="0"/>
      <w:marBottom w:val="0"/>
      <w:divBdr>
        <w:top w:val="none" w:sz="0" w:space="0" w:color="auto"/>
        <w:left w:val="none" w:sz="0" w:space="0" w:color="auto"/>
        <w:bottom w:val="none" w:sz="0" w:space="0" w:color="auto"/>
        <w:right w:val="none" w:sz="0" w:space="0" w:color="auto"/>
      </w:divBdr>
    </w:div>
    <w:div w:id="1817409074">
      <w:bodyDiv w:val="1"/>
      <w:marLeft w:val="0"/>
      <w:marRight w:val="0"/>
      <w:marTop w:val="0"/>
      <w:marBottom w:val="0"/>
      <w:divBdr>
        <w:top w:val="none" w:sz="0" w:space="0" w:color="auto"/>
        <w:left w:val="none" w:sz="0" w:space="0" w:color="auto"/>
        <w:bottom w:val="none" w:sz="0" w:space="0" w:color="auto"/>
        <w:right w:val="none" w:sz="0" w:space="0" w:color="auto"/>
      </w:divBdr>
    </w:div>
    <w:div w:id="1817409746">
      <w:bodyDiv w:val="1"/>
      <w:marLeft w:val="0"/>
      <w:marRight w:val="0"/>
      <w:marTop w:val="0"/>
      <w:marBottom w:val="0"/>
      <w:divBdr>
        <w:top w:val="none" w:sz="0" w:space="0" w:color="auto"/>
        <w:left w:val="none" w:sz="0" w:space="0" w:color="auto"/>
        <w:bottom w:val="none" w:sz="0" w:space="0" w:color="auto"/>
        <w:right w:val="none" w:sz="0" w:space="0" w:color="auto"/>
      </w:divBdr>
    </w:div>
    <w:div w:id="1817525069">
      <w:bodyDiv w:val="1"/>
      <w:marLeft w:val="0"/>
      <w:marRight w:val="0"/>
      <w:marTop w:val="0"/>
      <w:marBottom w:val="0"/>
      <w:divBdr>
        <w:top w:val="none" w:sz="0" w:space="0" w:color="auto"/>
        <w:left w:val="none" w:sz="0" w:space="0" w:color="auto"/>
        <w:bottom w:val="none" w:sz="0" w:space="0" w:color="auto"/>
        <w:right w:val="none" w:sz="0" w:space="0" w:color="auto"/>
      </w:divBdr>
    </w:div>
    <w:div w:id="1817526791">
      <w:bodyDiv w:val="1"/>
      <w:marLeft w:val="0"/>
      <w:marRight w:val="0"/>
      <w:marTop w:val="0"/>
      <w:marBottom w:val="0"/>
      <w:divBdr>
        <w:top w:val="none" w:sz="0" w:space="0" w:color="auto"/>
        <w:left w:val="none" w:sz="0" w:space="0" w:color="auto"/>
        <w:bottom w:val="none" w:sz="0" w:space="0" w:color="auto"/>
        <w:right w:val="none" w:sz="0" w:space="0" w:color="auto"/>
      </w:divBdr>
    </w:div>
    <w:div w:id="1817527633">
      <w:bodyDiv w:val="1"/>
      <w:marLeft w:val="0"/>
      <w:marRight w:val="0"/>
      <w:marTop w:val="0"/>
      <w:marBottom w:val="0"/>
      <w:divBdr>
        <w:top w:val="none" w:sz="0" w:space="0" w:color="auto"/>
        <w:left w:val="none" w:sz="0" w:space="0" w:color="auto"/>
        <w:bottom w:val="none" w:sz="0" w:space="0" w:color="auto"/>
        <w:right w:val="none" w:sz="0" w:space="0" w:color="auto"/>
      </w:divBdr>
    </w:div>
    <w:div w:id="1817799281">
      <w:bodyDiv w:val="1"/>
      <w:marLeft w:val="0"/>
      <w:marRight w:val="0"/>
      <w:marTop w:val="0"/>
      <w:marBottom w:val="0"/>
      <w:divBdr>
        <w:top w:val="none" w:sz="0" w:space="0" w:color="auto"/>
        <w:left w:val="none" w:sz="0" w:space="0" w:color="auto"/>
        <w:bottom w:val="none" w:sz="0" w:space="0" w:color="auto"/>
        <w:right w:val="none" w:sz="0" w:space="0" w:color="auto"/>
      </w:divBdr>
    </w:div>
    <w:div w:id="1817799678">
      <w:bodyDiv w:val="1"/>
      <w:marLeft w:val="0"/>
      <w:marRight w:val="0"/>
      <w:marTop w:val="0"/>
      <w:marBottom w:val="0"/>
      <w:divBdr>
        <w:top w:val="none" w:sz="0" w:space="0" w:color="auto"/>
        <w:left w:val="none" w:sz="0" w:space="0" w:color="auto"/>
        <w:bottom w:val="none" w:sz="0" w:space="0" w:color="auto"/>
        <w:right w:val="none" w:sz="0" w:space="0" w:color="auto"/>
      </w:divBdr>
    </w:div>
    <w:div w:id="1817801058">
      <w:bodyDiv w:val="1"/>
      <w:marLeft w:val="0"/>
      <w:marRight w:val="0"/>
      <w:marTop w:val="0"/>
      <w:marBottom w:val="0"/>
      <w:divBdr>
        <w:top w:val="none" w:sz="0" w:space="0" w:color="auto"/>
        <w:left w:val="none" w:sz="0" w:space="0" w:color="auto"/>
        <w:bottom w:val="none" w:sz="0" w:space="0" w:color="auto"/>
        <w:right w:val="none" w:sz="0" w:space="0" w:color="auto"/>
      </w:divBdr>
    </w:div>
    <w:div w:id="1817867874">
      <w:bodyDiv w:val="1"/>
      <w:marLeft w:val="0"/>
      <w:marRight w:val="0"/>
      <w:marTop w:val="0"/>
      <w:marBottom w:val="0"/>
      <w:divBdr>
        <w:top w:val="none" w:sz="0" w:space="0" w:color="auto"/>
        <w:left w:val="none" w:sz="0" w:space="0" w:color="auto"/>
        <w:bottom w:val="none" w:sz="0" w:space="0" w:color="auto"/>
        <w:right w:val="none" w:sz="0" w:space="0" w:color="auto"/>
      </w:divBdr>
    </w:div>
    <w:div w:id="1817915411">
      <w:bodyDiv w:val="1"/>
      <w:marLeft w:val="0"/>
      <w:marRight w:val="0"/>
      <w:marTop w:val="0"/>
      <w:marBottom w:val="0"/>
      <w:divBdr>
        <w:top w:val="none" w:sz="0" w:space="0" w:color="auto"/>
        <w:left w:val="none" w:sz="0" w:space="0" w:color="auto"/>
        <w:bottom w:val="none" w:sz="0" w:space="0" w:color="auto"/>
        <w:right w:val="none" w:sz="0" w:space="0" w:color="auto"/>
      </w:divBdr>
    </w:div>
    <w:div w:id="1817918572">
      <w:bodyDiv w:val="1"/>
      <w:marLeft w:val="0"/>
      <w:marRight w:val="0"/>
      <w:marTop w:val="0"/>
      <w:marBottom w:val="0"/>
      <w:divBdr>
        <w:top w:val="none" w:sz="0" w:space="0" w:color="auto"/>
        <w:left w:val="none" w:sz="0" w:space="0" w:color="auto"/>
        <w:bottom w:val="none" w:sz="0" w:space="0" w:color="auto"/>
        <w:right w:val="none" w:sz="0" w:space="0" w:color="auto"/>
      </w:divBdr>
    </w:div>
    <w:div w:id="1817987183">
      <w:bodyDiv w:val="1"/>
      <w:marLeft w:val="0"/>
      <w:marRight w:val="0"/>
      <w:marTop w:val="0"/>
      <w:marBottom w:val="0"/>
      <w:divBdr>
        <w:top w:val="none" w:sz="0" w:space="0" w:color="auto"/>
        <w:left w:val="none" w:sz="0" w:space="0" w:color="auto"/>
        <w:bottom w:val="none" w:sz="0" w:space="0" w:color="auto"/>
        <w:right w:val="none" w:sz="0" w:space="0" w:color="auto"/>
      </w:divBdr>
    </w:div>
    <w:div w:id="1817987583">
      <w:bodyDiv w:val="1"/>
      <w:marLeft w:val="0"/>
      <w:marRight w:val="0"/>
      <w:marTop w:val="0"/>
      <w:marBottom w:val="0"/>
      <w:divBdr>
        <w:top w:val="none" w:sz="0" w:space="0" w:color="auto"/>
        <w:left w:val="none" w:sz="0" w:space="0" w:color="auto"/>
        <w:bottom w:val="none" w:sz="0" w:space="0" w:color="auto"/>
        <w:right w:val="none" w:sz="0" w:space="0" w:color="auto"/>
      </w:divBdr>
    </w:div>
    <w:div w:id="1818184741">
      <w:bodyDiv w:val="1"/>
      <w:marLeft w:val="0"/>
      <w:marRight w:val="0"/>
      <w:marTop w:val="0"/>
      <w:marBottom w:val="0"/>
      <w:divBdr>
        <w:top w:val="none" w:sz="0" w:space="0" w:color="auto"/>
        <w:left w:val="none" w:sz="0" w:space="0" w:color="auto"/>
        <w:bottom w:val="none" w:sz="0" w:space="0" w:color="auto"/>
        <w:right w:val="none" w:sz="0" w:space="0" w:color="auto"/>
      </w:divBdr>
    </w:div>
    <w:div w:id="1818449187">
      <w:bodyDiv w:val="1"/>
      <w:marLeft w:val="0"/>
      <w:marRight w:val="0"/>
      <w:marTop w:val="0"/>
      <w:marBottom w:val="0"/>
      <w:divBdr>
        <w:top w:val="none" w:sz="0" w:space="0" w:color="auto"/>
        <w:left w:val="none" w:sz="0" w:space="0" w:color="auto"/>
        <w:bottom w:val="none" w:sz="0" w:space="0" w:color="auto"/>
        <w:right w:val="none" w:sz="0" w:space="0" w:color="auto"/>
      </w:divBdr>
    </w:div>
    <w:div w:id="1818452319">
      <w:bodyDiv w:val="1"/>
      <w:marLeft w:val="0"/>
      <w:marRight w:val="0"/>
      <w:marTop w:val="0"/>
      <w:marBottom w:val="0"/>
      <w:divBdr>
        <w:top w:val="none" w:sz="0" w:space="0" w:color="auto"/>
        <w:left w:val="none" w:sz="0" w:space="0" w:color="auto"/>
        <w:bottom w:val="none" w:sz="0" w:space="0" w:color="auto"/>
        <w:right w:val="none" w:sz="0" w:space="0" w:color="auto"/>
      </w:divBdr>
    </w:div>
    <w:div w:id="1818453265">
      <w:bodyDiv w:val="1"/>
      <w:marLeft w:val="0"/>
      <w:marRight w:val="0"/>
      <w:marTop w:val="0"/>
      <w:marBottom w:val="0"/>
      <w:divBdr>
        <w:top w:val="none" w:sz="0" w:space="0" w:color="auto"/>
        <w:left w:val="none" w:sz="0" w:space="0" w:color="auto"/>
        <w:bottom w:val="none" w:sz="0" w:space="0" w:color="auto"/>
        <w:right w:val="none" w:sz="0" w:space="0" w:color="auto"/>
      </w:divBdr>
    </w:div>
    <w:div w:id="1818455315">
      <w:bodyDiv w:val="1"/>
      <w:marLeft w:val="0"/>
      <w:marRight w:val="0"/>
      <w:marTop w:val="0"/>
      <w:marBottom w:val="0"/>
      <w:divBdr>
        <w:top w:val="none" w:sz="0" w:space="0" w:color="auto"/>
        <w:left w:val="none" w:sz="0" w:space="0" w:color="auto"/>
        <w:bottom w:val="none" w:sz="0" w:space="0" w:color="auto"/>
        <w:right w:val="none" w:sz="0" w:space="0" w:color="auto"/>
      </w:divBdr>
    </w:div>
    <w:div w:id="1818494544">
      <w:bodyDiv w:val="1"/>
      <w:marLeft w:val="0"/>
      <w:marRight w:val="0"/>
      <w:marTop w:val="0"/>
      <w:marBottom w:val="0"/>
      <w:divBdr>
        <w:top w:val="none" w:sz="0" w:space="0" w:color="auto"/>
        <w:left w:val="none" w:sz="0" w:space="0" w:color="auto"/>
        <w:bottom w:val="none" w:sz="0" w:space="0" w:color="auto"/>
        <w:right w:val="none" w:sz="0" w:space="0" w:color="auto"/>
      </w:divBdr>
    </w:div>
    <w:div w:id="1818649719">
      <w:bodyDiv w:val="1"/>
      <w:marLeft w:val="0"/>
      <w:marRight w:val="0"/>
      <w:marTop w:val="0"/>
      <w:marBottom w:val="0"/>
      <w:divBdr>
        <w:top w:val="none" w:sz="0" w:space="0" w:color="auto"/>
        <w:left w:val="none" w:sz="0" w:space="0" w:color="auto"/>
        <w:bottom w:val="none" w:sz="0" w:space="0" w:color="auto"/>
        <w:right w:val="none" w:sz="0" w:space="0" w:color="auto"/>
      </w:divBdr>
    </w:div>
    <w:div w:id="1818650294">
      <w:bodyDiv w:val="1"/>
      <w:marLeft w:val="0"/>
      <w:marRight w:val="0"/>
      <w:marTop w:val="0"/>
      <w:marBottom w:val="0"/>
      <w:divBdr>
        <w:top w:val="none" w:sz="0" w:space="0" w:color="auto"/>
        <w:left w:val="none" w:sz="0" w:space="0" w:color="auto"/>
        <w:bottom w:val="none" w:sz="0" w:space="0" w:color="auto"/>
        <w:right w:val="none" w:sz="0" w:space="0" w:color="auto"/>
      </w:divBdr>
    </w:div>
    <w:div w:id="1818717537">
      <w:bodyDiv w:val="1"/>
      <w:marLeft w:val="0"/>
      <w:marRight w:val="0"/>
      <w:marTop w:val="0"/>
      <w:marBottom w:val="0"/>
      <w:divBdr>
        <w:top w:val="none" w:sz="0" w:space="0" w:color="auto"/>
        <w:left w:val="none" w:sz="0" w:space="0" w:color="auto"/>
        <w:bottom w:val="none" w:sz="0" w:space="0" w:color="auto"/>
        <w:right w:val="none" w:sz="0" w:space="0" w:color="auto"/>
      </w:divBdr>
    </w:div>
    <w:div w:id="1818760903">
      <w:bodyDiv w:val="1"/>
      <w:marLeft w:val="0"/>
      <w:marRight w:val="0"/>
      <w:marTop w:val="0"/>
      <w:marBottom w:val="0"/>
      <w:divBdr>
        <w:top w:val="none" w:sz="0" w:space="0" w:color="auto"/>
        <w:left w:val="none" w:sz="0" w:space="0" w:color="auto"/>
        <w:bottom w:val="none" w:sz="0" w:space="0" w:color="auto"/>
        <w:right w:val="none" w:sz="0" w:space="0" w:color="auto"/>
      </w:divBdr>
    </w:div>
    <w:div w:id="1818765000">
      <w:bodyDiv w:val="1"/>
      <w:marLeft w:val="0"/>
      <w:marRight w:val="0"/>
      <w:marTop w:val="0"/>
      <w:marBottom w:val="0"/>
      <w:divBdr>
        <w:top w:val="none" w:sz="0" w:space="0" w:color="auto"/>
        <w:left w:val="none" w:sz="0" w:space="0" w:color="auto"/>
        <w:bottom w:val="none" w:sz="0" w:space="0" w:color="auto"/>
        <w:right w:val="none" w:sz="0" w:space="0" w:color="auto"/>
      </w:divBdr>
    </w:div>
    <w:div w:id="1818909511">
      <w:bodyDiv w:val="1"/>
      <w:marLeft w:val="0"/>
      <w:marRight w:val="0"/>
      <w:marTop w:val="0"/>
      <w:marBottom w:val="0"/>
      <w:divBdr>
        <w:top w:val="none" w:sz="0" w:space="0" w:color="auto"/>
        <w:left w:val="none" w:sz="0" w:space="0" w:color="auto"/>
        <w:bottom w:val="none" w:sz="0" w:space="0" w:color="auto"/>
        <w:right w:val="none" w:sz="0" w:space="0" w:color="auto"/>
      </w:divBdr>
    </w:div>
    <w:div w:id="1818914609">
      <w:bodyDiv w:val="1"/>
      <w:marLeft w:val="0"/>
      <w:marRight w:val="0"/>
      <w:marTop w:val="0"/>
      <w:marBottom w:val="0"/>
      <w:divBdr>
        <w:top w:val="none" w:sz="0" w:space="0" w:color="auto"/>
        <w:left w:val="none" w:sz="0" w:space="0" w:color="auto"/>
        <w:bottom w:val="none" w:sz="0" w:space="0" w:color="auto"/>
        <w:right w:val="none" w:sz="0" w:space="0" w:color="auto"/>
      </w:divBdr>
    </w:div>
    <w:div w:id="1819031612">
      <w:bodyDiv w:val="1"/>
      <w:marLeft w:val="0"/>
      <w:marRight w:val="0"/>
      <w:marTop w:val="0"/>
      <w:marBottom w:val="0"/>
      <w:divBdr>
        <w:top w:val="none" w:sz="0" w:space="0" w:color="auto"/>
        <w:left w:val="none" w:sz="0" w:space="0" w:color="auto"/>
        <w:bottom w:val="none" w:sz="0" w:space="0" w:color="auto"/>
        <w:right w:val="none" w:sz="0" w:space="0" w:color="auto"/>
      </w:divBdr>
    </w:div>
    <w:div w:id="1819102811">
      <w:bodyDiv w:val="1"/>
      <w:marLeft w:val="0"/>
      <w:marRight w:val="0"/>
      <w:marTop w:val="0"/>
      <w:marBottom w:val="0"/>
      <w:divBdr>
        <w:top w:val="none" w:sz="0" w:space="0" w:color="auto"/>
        <w:left w:val="none" w:sz="0" w:space="0" w:color="auto"/>
        <w:bottom w:val="none" w:sz="0" w:space="0" w:color="auto"/>
        <w:right w:val="none" w:sz="0" w:space="0" w:color="auto"/>
      </w:divBdr>
    </w:div>
    <w:div w:id="1819106189">
      <w:bodyDiv w:val="1"/>
      <w:marLeft w:val="0"/>
      <w:marRight w:val="0"/>
      <w:marTop w:val="0"/>
      <w:marBottom w:val="0"/>
      <w:divBdr>
        <w:top w:val="none" w:sz="0" w:space="0" w:color="auto"/>
        <w:left w:val="none" w:sz="0" w:space="0" w:color="auto"/>
        <w:bottom w:val="none" w:sz="0" w:space="0" w:color="auto"/>
        <w:right w:val="none" w:sz="0" w:space="0" w:color="auto"/>
      </w:divBdr>
    </w:div>
    <w:div w:id="1819153097">
      <w:bodyDiv w:val="1"/>
      <w:marLeft w:val="0"/>
      <w:marRight w:val="0"/>
      <w:marTop w:val="0"/>
      <w:marBottom w:val="0"/>
      <w:divBdr>
        <w:top w:val="none" w:sz="0" w:space="0" w:color="auto"/>
        <w:left w:val="none" w:sz="0" w:space="0" w:color="auto"/>
        <w:bottom w:val="none" w:sz="0" w:space="0" w:color="auto"/>
        <w:right w:val="none" w:sz="0" w:space="0" w:color="auto"/>
      </w:divBdr>
    </w:div>
    <w:div w:id="1819224317">
      <w:bodyDiv w:val="1"/>
      <w:marLeft w:val="0"/>
      <w:marRight w:val="0"/>
      <w:marTop w:val="0"/>
      <w:marBottom w:val="0"/>
      <w:divBdr>
        <w:top w:val="none" w:sz="0" w:space="0" w:color="auto"/>
        <w:left w:val="none" w:sz="0" w:space="0" w:color="auto"/>
        <w:bottom w:val="none" w:sz="0" w:space="0" w:color="auto"/>
        <w:right w:val="none" w:sz="0" w:space="0" w:color="auto"/>
      </w:divBdr>
    </w:div>
    <w:div w:id="1819299674">
      <w:bodyDiv w:val="1"/>
      <w:marLeft w:val="0"/>
      <w:marRight w:val="0"/>
      <w:marTop w:val="0"/>
      <w:marBottom w:val="0"/>
      <w:divBdr>
        <w:top w:val="none" w:sz="0" w:space="0" w:color="auto"/>
        <w:left w:val="none" w:sz="0" w:space="0" w:color="auto"/>
        <w:bottom w:val="none" w:sz="0" w:space="0" w:color="auto"/>
        <w:right w:val="none" w:sz="0" w:space="0" w:color="auto"/>
      </w:divBdr>
    </w:div>
    <w:div w:id="1819347981">
      <w:bodyDiv w:val="1"/>
      <w:marLeft w:val="0"/>
      <w:marRight w:val="0"/>
      <w:marTop w:val="0"/>
      <w:marBottom w:val="0"/>
      <w:divBdr>
        <w:top w:val="none" w:sz="0" w:space="0" w:color="auto"/>
        <w:left w:val="none" w:sz="0" w:space="0" w:color="auto"/>
        <w:bottom w:val="none" w:sz="0" w:space="0" w:color="auto"/>
        <w:right w:val="none" w:sz="0" w:space="0" w:color="auto"/>
      </w:divBdr>
    </w:div>
    <w:div w:id="1819415248">
      <w:bodyDiv w:val="1"/>
      <w:marLeft w:val="0"/>
      <w:marRight w:val="0"/>
      <w:marTop w:val="0"/>
      <w:marBottom w:val="0"/>
      <w:divBdr>
        <w:top w:val="none" w:sz="0" w:space="0" w:color="auto"/>
        <w:left w:val="none" w:sz="0" w:space="0" w:color="auto"/>
        <w:bottom w:val="none" w:sz="0" w:space="0" w:color="auto"/>
        <w:right w:val="none" w:sz="0" w:space="0" w:color="auto"/>
      </w:divBdr>
    </w:div>
    <w:div w:id="1819416526">
      <w:bodyDiv w:val="1"/>
      <w:marLeft w:val="0"/>
      <w:marRight w:val="0"/>
      <w:marTop w:val="0"/>
      <w:marBottom w:val="0"/>
      <w:divBdr>
        <w:top w:val="none" w:sz="0" w:space="0" w:color="auto"/>
        <w:left w:val="none" w:sz="0" w:space="0" w:color="auto"/>
        <w:bottom w:val="none" w:sz="0" w:space="0" w:color="auto"/>
        <w:right w:val="none" w:sz="0" w:space="0" w:color="auto"/>
      </w:divBdr>
    </w:div>
    <w:div w:id="1819417873">
      <w:bodyDiv w:val="1"/>
      <w:marLeft w:val="0"/>
      <w:marRight w:val="0"/>
      <w:marTop w:val="0"/>
      <w:marBottom w:val="0"/>
      <w:divBdr>
        <w:top w:val="none" w:sz="0" w:space="0" w:color="auto"/>
        <w:left w:val="none" w:sz="0" w:space="0" w:color="auto"/>
        <w:bottom w:val="none" w:sz="0" w:space="0" w:color="auto"/>
        <w:right w:val="none" w:sz="0" w:space="0" w:color="auto"/>
      </w:divBdr>
    </w:div>
    <w:div w:id="1819494299">
      <w:bodyDiv w:val="1"/>
      <w:marLeft w:val="0"/>
      <w:marRight w:val="0"/>
      <w:marTop w:val="0"/>
      <w:marBottom w:val="0"/>
      <w:divBdr>
        <w:top w:val="none" w:sz="0" w:space="0" w:color="auto"/>
        <w:left w:val="none" w:sz="0" w:space="0" w:color="auto"/>
        <w:bottom w:val="none" w:sz="0" w:space="0" w:color="auto"/>
        <w:right w:val="none" w:sz="0" w:space="0" w:color="auto"/>
      </w:divBdr>
    </w:div>
    <w:div w:id="1819762676">
      <w:bodyDiv w:val="1"/>
      <w:marLeft w:val="0"/>
      <w:marRight w:val="0"/>
      <w:marTop w:val="0"/>
      <w:marBottom w:val="0"/>
      <w:divBdr>
        <w:top w:val="none" w:sz="0" w:space="0" w:color="auto"/>
        <w:left w:val="none" w:sz="0" w:space="0" w:color="auto"/>
        <w:bottom w:val="none" w:sz="0" w:space="0" w:color="auto"/>
        <w:right w:val="none" w:sz="0" w:space="0" w:color="auto"/>
      </w:divBdr>
    </w:div>
    <w:div w:id="1819959157">
      <w:bodyDiv w:val="1"/>
      <w:marLeft w:val="0"/>
      <w:marRight w:val="0"/>
      <w:marTop w:val="0"/>
      <w:marBottom w:val="0"/>
      <w:divBdr>
        <w:top w:val="none" w:sz="0" w:space="0" w:color="auto"/>
        <w:left w:val="none" w:sz="0" w:space="0" w:color="auto"/>
        <w:bottom w:val="none" w:sz="0" w:space="0" w:color="auto"/>
        <w:right w:val="none" w:sz="0" w:space="0" w:color="auto"/>
      </w:divBdr>
    </w:div>
    <w:div w:id="1820031692">
      <w:bodyDiv w:val="1"/>
      <w:marLeft w:val="0"/>
      <w:marRight w:val="0"/>
      <w:marTop w:val="0"/>
      <w:marBottom w:val="0"/>
      <w:divBdr>
        <w:top w:val="none" w:sz="0" w:space="0" w:color="auto"/>
        <w:left w:val="none" w:sz="0" w:space="0" w:color="auto"/>
        <w:bottom w:val="none" w:sz="0" w:space="0" w:color="auto"/>
        <w:right w:val="none" w:sz="0" w:space="0" w:color="auto"/>
      </w:divBdr>
    </w:div>
    <w:div w:id="1820149261">
      <w:bodyDiv w:val="1"/>
      <w:marLeft w:val="0"/>
      <w:marRight w:val="0"/>
      <w:marTop w:val="0"/>
      <w:marBottom w:val="0"/>
      <w:divBdr>
        <w:top w:val="none" w:sz="0" w:space="0" w:color="auto"/>
        <w:left w:val="none" w:sz="0" w:space="0" w:color="auto"/>
        <w:bottom w:val="none" w:sz="0" w:space="0" w:color="auto"/>
        <w:right w:val="none" w:sz="0" w:space="0" w:color="auto"/>
      </w:divBdr>
    </w:div>
    <w:div w:id="1820268134">
      <w:bodyDiv w:val="1"/>
      <w:marLeft w:val="0"/>
      <w:marRight w:val="0"/>
      <w:marTop w:val="0"/>
      <w:marBottom w:val="0"/>
      <w:divBdr>
        <w:top w:val="none" w:sz="0" w:space="0" w:color="auto"/>
        <w:left w:val="none" w:sz="0" w:space="0" w:color="auto"/>
        <w:bottom w:val="none" w:sz="0" w:space="0" w:color="auto"/>
        <w:right w:val="none" w:sz="0" w:space="0" w:color="auto"/>
      </w:divBdr>
    </w:div>
    <w:div w:id="1820337759">
      <w:bodyDiv w:val="1"/>
      <w:marLeft w:val="0"/>
      <w:marRight w:val="0"/>
      <w:marTop w:val="0"/>
      <w:marBottom w:val="0"/>
      <w:divBdr>
        <w:top w:val="none" w:sz="0" w:space="0" w:color="auto"/>
        <w:left w:val="none" w:sz="0" w:space="0" w:color="auto"/>
        <w:bottom w:val="none" w:sz="0" w:space="0" w:color="auto"/>
        <w:right w:val="none" w:sz="0" w:space="0" w:color="auto"/>
      </w:divBdr>
    </w:div>
    <w:div w:id="1820340067">
      <w:bodyDiv w:val="1"/>
      <w:marLeft w:val="0"/>
      <w:marRight w:val="0"/>
      <w:marTop w:val="0"/>
      <w:marBottom w:val="0"/>
      <w:divBdr>
        <w:top w:val="none" w:sz="0" w:space="0" w:color="auto"/>
        <w:left w:val="none" w:sz="0" w:space="0" w:color="auto"/>
        <w:bottom w:val="none" w:sz="0" w:space="0" w:color="auto"/>
        <w:right w:val="none" w:sz="0" w:space="0" w:color="auto"/>
      </w:divBdr>
    </w:div>
    <w:div w:id="1820343892">
      <w:bodyDiv w:val="1"/>
      <w:marLeft w:val="0"/>
      <w:marRight w:val="0"/>
      <w:marTop w:val="0"/>
      <w:marBottom w:val="0"/>
      <w:divBdr>
        <w:top w:val="none" w:sz="0" w:space="0" w:color="auto"/>
        <w:left w:val="none" w:sz="0" w:space="0" w:color="auto"/>
        <w:bottom w:val="none" w:sz="0" w:space="0" w:color="auto"/>
        <w:right w:val="none" w:sz="0" w:space="0" w:color="auto"/>
      </w:divBdr>
    </w:div>
    <w:div w:id="1820532260">
      <w:bodyDiv w:val="1"/>
      <w:marLeft w:val="0"/>
      <w:marRight w:val="0"/>
      <w:marTop w:val="0"/>
      <w:marBottom w:val="0"/>
      <w:divBdr>
        <w:top w:val="none" w:sz="0" w:space="0" w:color="auto"/>
        <w:left w:val="none" w:sz="0" w:space="0" w:color="auto"/>
        <w:bottom w:val="none" w:sz="0" w:space="0" w:color="auto"/>
        <w:right w:val="none" w:sz="0" w:space="0" w:color="auto"/>
      </w:divBdr>
    </w:div>
    <w:div w:id="1820534684">
      <w:bodyDiv w:val="1"/>
      <w:marLeft w:val="0"/>
      <w:marRight w:val="0"/>
      <w:marTop w:val="0"/>
      <w:marBottom w:val="0"/>
      <w:divBdr>
        <w:top w:val="none" w:sz="0" w:space="0" w:color="auto"/>
        <w:left w:val="none" w:sz="0" w:space="0" w:color="auto"/>
        <w:bottom w:val="none" w:sz="0" w:space="0" w:color="auto"/>
        <w:right w:val="none" w:sz="0" w:space="0" w:color="auto"/>
      </w:divBdr>
    </w:div>
    <w:div w:id="1820535707">
      <w:bodyDiv w:val="1"/>
      <w:marLeft w:val="0"/>
      <w:marRight w:val="0"/>
      <w:marTop w:val="0"/>
      <w:marBottom w:val="0"/>
      <w:divBdr>
        <w:top w:val="none" w:sz="0" w:space="0" w:color="auto"/>
        <w:left w:val="none" w:sz="0" w:space="0" w:color="auto"/>
        <w:bottom w:val="none" w:sz="0" w:space="0" w:color="auto"/>
        <w:right w:val="none" w:sz="0" w:space="0" w:color="auto"/>
      </w:divBdr>
    </w:div>
    <w:div w:id="1820540694">
      <w:bodyDiv w:val="1"/>
      <w:marLeft w:val="0"/>
      <w:marRight w:val="0"/>
      <w:marTop w:val="0"/>
      <w:marBottom w:val="0"/>
      <w:divBdr>
        <w:top w:val="none" w:sz="0" w:space="0" w:color="auto"/>
        <w:left w:val="none" w:sz="0" w:space="0" w:color="auto"/>
        <w:bottom w:val="none" w:sz="0" w:space="0" w:color="auto"/>
        <w:right w:val="none" w:sz="0" w:space="0" w:color="auto"/>
      </w:divBdr>
    </w:div>
    <w:div w:id="1820656613">
      <w:bodyDiv w:val="1"/>
      <w:marLeft w:val="0"/>
      <w:marRight w:val="0"/>
      <w:marTop w:val="0"/>
      <w:marBottom w:val="0"/>
      <w:divBdr>
        <w:top w:val="none" w:sz="0" w:space="0" w:color="auto"/>
        <w:left w:val="none" w:sz="0" w:space="0" w:color="auto"/>
        <w:bottom w:val="none" w:sz="0" w:space="0" w:color="auto"/>
        <w:right w:val="none" w:sz="0" w:space="0" w:color="auto"/>
      </w:divBdr>
    </w:div>
    <w:div w:id="1820683424">
      <w:bodyDiv w:val="1"/>
      <w:marLeft w:val="0"/>
      <w:marRight w:val="0"/>
      <w:marTop w:val="0"/>
      <w:marBottom w:val="0"/>
      <w:divBdr>
        <w:top w:val="none" w:sz="0" w:space="0" w:color="auto"/>
        <w:left w:val="none" w:sz="0" w:space="0" w:color="auto"/>
        <w:bottom w:val="none" w:sz="0" w:space="0" w:color="auto"/>
        <w:right w:val="none" w:sz="0" w:space="0" w:color="auto"/>
      </w:divBdr>
    </w:div>
    <w:div w:id="1820683678">
      <w:bodyDiv w:val="1"/>
      <w:marLeft w:val="0"/>
      <w:marRight w:val="0"/>
      <w:marTop w:val="0"/>
      <w:marBottom w:val="0"/>
      <w:divBdr>
        <w:top w:val="none" w:sz="0" w:space="0" w:color="auto"/>
        <w:left w:val="none" w:sz="0" w:space="0" w:color="auto"/>
        <w:bottom w:val="none" w:sz="0" w:space="0" w:color="auto"/>
        <w:right w:val="none" w:sz="0" w:space="0" w:color="auto"/>
      </w:divBdr>
    </w:div>
    <w:div w:id="1820685993">
      <w:bodyDiv w:val="1"/>
      <w:marLeft w:val="0"/>
      <w:marRight w:val="0"/>
      <w:marTop w:val="0"/>
      <w:marBottom w:val="0"/>
      <w:divBdr>
        <w:top w:val="none" w:sz="0" w:space="0" w:color="auto"/>
        <w:left w:val="none" w:sz="0" w:space="0" w:color="auto"/>
        <w:bottom w:val="none" w:sz="0" w:space="0" w:color="auto"/>
        <w:right w:val="none" w:sz="0" w:space="0" w:color="auto"/>
      </w:divBdr>
    </w:div>
    <w:div w:id="1820733979">
      <w:bodyDiv w:val="1"/>
      <w:marLeft w:val="0"/>
      <w:marRight w:val="0"/>
      <w:marTop w:val="0"/>
      <w:marBottom w:val="0"/>
      <w:divBdr>
        <w:top w:val="none" w:sz="0" w:space="0" w:color="auto"/>
        <w:left w:val="none" w:sz="0" w:space="0" w:color="auto"/>
        <w:bottom w:val="none" w:sz="0" w:space="0" w:color="auto"/>
        <w:right w:val="none" w:sz="0" w:space="0" w:color="auto"/>
      </w:divBdr>
    </w:div>
    <w:div w:id="1820801192">
      <w:bodyDiv w:val="1"/>
      <w:marLeft w:val="0"/>
      <w:marRight w:val="0"/>
      <w:marTop w:val="0"/>
      <w:marBottom w:val="0"/>
      <w:divBdr>
        <w:top w:val="none" w:sz="0" w:space="0" w:color="auto"/>
        <w:left w:val="none" w:sz="0" w:space="0" w:color="auto"/>
        <w:bottom w:val="none" w:sz="0" w:space="0" w:color="auto"/>
        <w:right w:val="none" w:sz="0" w:space="0" w:color="auto"/>
      </w:divBdr>
    </w:div>
    <w:div w:id="1820808058">
      <w:bodyDiv w:val="1"/>
      <w:marLeft w:val="0"/>
      <w:marRight w:val="0"/>
      <w:marTop w:val="0"/>
      <w:marBottom w:val="0"/>
      <w:divBdr>
        <w:top w:val="none" w:sz="0" w:space="0" w:color="auto"/>
        <w:left w:val="none" w:sz="0" w:space="0" w:color="auto"/>
        <w:bottom w:val="none" w:sz="0" w:space="0" w:color="auto"/>
        <w:right w:val="none" w:sz="0" w:space="0" w:color="auto"/>
      </w:divBdr>
    </w:div>
    <w:div w:id="1820923099">
      <w:bodyDiv w:val="1"/>
      <w:marLeft w:val="0"/>
      <w:marRight w:val="0"/>
      <w:marTop w:val="0"/>
      <w:marBottom w:val="0"/>
      <w:divBdr>
        <w:top w:val="none" w:sz="0" w:space="0" w:color="auto"/>
        <w:left w:val="none" w:sz="0" w:space="0" w:color="auto"/>
        <w:bottom w:val="none" w:sz="0" w:space="0" w:color="auto"/>
        <w:right w:val="none" w:sz="0" w:space="0" w:color="auto"/>
      </w:divBdr>
    </w:div>
    <w:div w:id="1820926823">
      <w:bodyDiv w:val="1"/>
      <w:marLeft w:val="0"/>
      <w:marRight w:val="0"/>
      <w:marTop w:val="0"/>
      <w:marBottom w:val="0"/>
      <w:divBdr>
        <w:top w:val="none" w:sz="0" w:space="0" w:color="auto"/>
        <w:left w:val="none" w:sz="0" w:space="0" w:color="auto"/>
        <w:bottom w:val="none" w:sz="0" w:space="0" w:color="auto"/>
        <w:right w:val="none" w:sz="0" w:space="0" w:color="auto"/>
      </w:divBdr>
    </w:div>
    <w:div w:id="1821119614">
      <w:bodyDiv w:val="1"/>
      <w:marLeft w:val="0"/>
      <w:marRight w:val="0"/>
      <w:marTop w:val="0"/>
      <w:marBottom w:val="0"/>
      <w:divBdr>
        <w:top w:val="none" w:sz="0" w:space="0" w:color="auto"/>
        <w:left w:val="none" w:sz="0" w:space="0" w:color="auto"/>
        <w:bottom w:val="none" w:sz="0" w:space="0" w:color="auto"/>
        <w:right w:val="none" w:sz="0" w:space="0" w:color="auto"/>
      </w:divBdr>
    </w:div>
    <w:div w:id="1821146251">
      <w:bodyDiv w:val="1"/>
      <w:marLeft w:val="0"/>
      <w:marRight w:val="0"/>
      <w:marTop w:val="0"/>
      <w:marBottom w:val="0"/>
      <w:divBdr>
        <w:top w:val="none" w:sz="0" w:space="0" w:color="auto"/>
        <w:left w:val="none" w:sz="0" w:space="0" w:color="auto"/>
        <w:bottom w:val="none" w:sz="0" w:space="0" w:color="auto"/>
        <w:right w:val="none" w:sz="0" w:space="0" w:color="auto"/>
      </w:divBdr>
    </w:div>
    <w:div w:id="1821190542">
      <w:bodyDiv w:val="1"/>
      <w:marLeft w:val="0"/>
      <w:marRight w:val="0"/>
      <w:marTop w:val="0"/>
      <w:marBottom w:val="0"/>
      <w:divBdr>
        <w:top w:val="none" w:sz="0" w:space="0" w:color="auto"/>
        <w:left w:val="none" w:sz="0" w:space="0" w:color="auto"/>
        <w:bottom w:val="none" w:sz="0" w:space="0" w:color="auto"/>
        <w:right w:val="none" w:sz="0" w:space="0" w:color="auto"/>
      </w:divBdr>
    </w:div>
    <w:div w:id="1821312882">
      <w:bodyDiv w:val="1"/>
      <w:marLeft w:val="0"/>
      <w:marRight w:val="0"/>
      <w:marTop w:val="0"/>
      <w:marBottom w:val="0"/>
      <w:divBdr>
        <w:top w:val="none" w:sz="0" w:space="0" w:color="auto"/>
        <w:left w:val="none" w:sz="0" w:space="0" w:color="auto"/>
        <w:bottom w:val="none" w:sz="0" w:space="0" w:color="auto"/>
        <w:right w:val="none" w:sz="0" w:space="0" w:color="auto"/>
      </w:divBdr>
    </w:div>
    <w:div w:id="1821339689">
      <w:bodyDiv w:val="1"/>
      <w:marLeft w:val="0"/>
      <w:marRight w:val="0"/>
      <w:marTop w:val="0"/>
      <w:marBottom w:val="0"/>
      <w:divBdr>
        <w:top w:val="none" w:sz="0" w:space="0" w:color="auto"/>
        <w:left w:val="none" w:sz="0" w:space="0" w:color="auto"/>
        <w:bottom w:val="none" w:sz="0" w:space="0" w:color="auto"/>
        <w:right w:val="none" w:sz="0" w:space="0" w:color="auto"/>
      </w:divBdr>
    </w:div>
    <w:div w:id="1821389315">
      <w:bodyDiv w:val="1"/>
      <w:marLeft w:val="0"/>
      <w:marRight w:val="0"/>
      <w:marTop w:val="0"/>
      <w:marBottom w:val="0"/>
      <w:divBdr>
        <w:top w:val="none" w:sz="0" w:space="0" w:color="auto"/>
        <w:left w:val="none" w:sz="0" w:space="0" w:color="auto"/>
        <w:bottom w:val="none" w:sz="0" w:space="0" w:color="auto"/>
        <w:right w:val="none" w:sz="0" w:space="0" w:color="auto"/>
      </w:divBdr>
    </w:div>
    <w:div w:id="1821457529">
      <w:bodyDiv w:val="1"/>
      <w:marLeft w:val="0"/>
      <w:marRight w:val="0"/>
      <w:marTop w:val="0"/>
      <w:marBottom w:val="0"/>
      <w:divBdr>
        <w:top w:val="none" w:sz="0" w:space="0" w:color="auto"/>
        <w:left w:val="none" w:sz="0" w:space="0" w:color="auto"/>
        <w:bottom w:val="none" w:sz="0" w:space="0" w:color="auto"/>
        <w:right w:val="none" w:sz="0" w:space="0" w:color="auto"/>
      </w:divBdr>
    </w:div>
    <w:div w:id="1821531583">
      <w:bodyDiv w:val="1"/>
      <w:marLeft w:val="0"/>
      <w:marRight w:val="0"/>
      <w:marTop w:val="0"/>
      <w:marBottom w:val="0"/>
      <w:divBdr>
        <w:top w:val="none" w:sz="0" w:space="0" w:color="auto"/>
        <w:left w:val="none" w:sz="0" w:space="0" w:color="auto"/>
        <w:bottom w:val="none" w:sz="0" w:space="0" w:color="auto"/>
        <w:right w:val="none" w:sz="0" w:space="0" w:color="auto"/>
      </w:divBdr>
    </w:div>
    <w:div w:id="1821652948">
      <w:bodyDiv w:val="1"/>
      <w:marLeft w:val="0"/>
      <w:marRight w:val="0"/>
      <w:marTop w:val="0"/>
      <w:marBottom w:val="0"/>
      <w:divBdr>
        <w:top w:val="none" w:sz="0" w:space="0" w:color="auto"/>
        <w:left w:val="none" w:sz="0" w:space="0" w:color="auto"/>
        <w:bottom w:val="none" w:sz="0" w:space="0" w:color="auto"/>
        <w:right w:val="none" w:sz="0" w:space="0" w:color="auto"/>
      </w:divBdr>
    </w:div>
    <w:div w:id="1821655634">
      <w:bodyDiv w:val="1"/>
      <w:marLeft w:val="0"/>
      <w:marRight w:val="0"/>
      <w:marTop w:val="0"/>
      <w:marBottom w:val="0"/>
      <w:divBdr>
        <w:top w:val="none" w:sz="0" w:space="0" w:color="auto"/>
        <w:left w:val="none" w:sz="0" w:space="0" w:color="auto"/>
        <w:bottom w:val="none" w:sz="0" w:space="0" w:color="auto"/>
        <w:right w:val="none" w:sz="0" w:space="0" w:color="auto"/>
      </w:divBdr>
    </w:div>
    <w:div w:id="1821732199">
      <w:bodyDiv w:val="1"/>
      <w:marLeft w:val="0"/>
      <w:marRight w:val="0"/>
      <w:marTop w:val="0"/>
      <w:marBottom w:val="0"/>
      <w:divBdr>
        <w:top w:val="none" w:sz="0" w:space="0" w:color="auto"/>
        <w:left w:val="none" w:sz="0" w:space="0" w:color="auto"/>
        <w:bottom w:val="none" w:sz="0" w:space="0" w:color="auto"/>
        <w:right w:val="none" w:sz="0" w:space="0" w:color="auto"/>
      </w:divBdr>
    </w:div>
    <w:div w:id="1821771278">
      <w:bodyDiv w:val="1"/>
      <w:marLeft w:val="0"/>
      <w:marRight w:val="0"/>
      <w:marTop w:val="0"/>
      <w:marBottom w:val="0"/>
      <w:divBdr>
        <w:top w:val="none" w:sz="0" w:space="0" w:color="auto"/>
        <w:left w:val="none" w:sz="0" w:space="0" w:color="auto"/>
        <w:bottom w:val="none" w:sz="0" w:space="0" w:color="auto"/>
        <w:right w:val="none" w:sz="0" w:space="0" w:color="auto"/>
      </w:divBdr>
    </w:div>
    <w:div w:id="1821849347">
      <w:bodyDiv w:val="1"/>
      <w:marLeft w:val="0"/>
      <w:marRight w:val="0"/>
      <w:marTop w:val="0"/>
      <w:marBottom w:val="0"/>
      <w:divBdr>
        <w:top w:val="none" w:sz="0" w:space="0" w:color="auto"/>
        <w:left w:val="none" w:sz="0" w:space="0" w:color="auto"/>
        <w:bottom w:val="none" w:sz="0" w:space="0" w:color="auto"/>
        <w:right w:val="none" w:sz="0" w:space="0" w:color="auto"/>
      </w:divBdr>
    </w:div>
    <w:div w:id="182211290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335">
      <w:bodyDiv w:val="1"/>
      <w:marLeft w:val="0"/>
      <w:marRight w:val="0"/>
      <w:marTop w:val="0"/>
      <w:marBottom w:val="0"/>
      <w:divBdr>
        <w:top w:val="none" w:sz="0" w:space="0" w:color="auto"/>
        <w:left w:val="none" w:sz="0" w:space="0" w:color="auto"/>
        <w:bottom w:val="none" w:sz="0" w:space="0" w:color="auto"/>
        <w:right w:val="none" w:sz="0" w:space="0" w:color="auto"/>
      </w:divBdr>
    </w:div>
    <w:div w:id="1822114690">
      <w:bodyDiv w:val="1"/>
      <w:marLeft w:val="0"/>
      <w:marRight w:val="0"/>
      <w:marTop w:val="0"/>
      <w:marBottom w:val="0"/>
      <w:divBdr>
        <w:top w:val="none" w:sz="0" w:space="0" w:color="auto"/>
        <w:left w:val="none" w:sz="0" w:space="0" w:color="auto"/>
        <w:bottom w:val="none" w:sz="0" w:space="0" w:color="auto"/>
        <w:right w:val="none" w:sz="0" w:space="0" w:color="auto"/>
      </w:divBdr>
    </w:div>
    <w:div w:id="1822233097">
      <w:bodyDiv w:val="1"/>
      <w:marLeft w:val="0"/>
      <w:marRight w:val="0"/>
      <w:marTop w:val="0"/>
      <w:marBottom w:val="0"/>
      <w:divBdr>
        <w:top w:val="none" w:sz="0" w:space="0" w:color="auto"/>
        <w:left w:val="none" w:sz="0" w:space="0" w:color="auto"/>
        <w:bottom w:val="none" w:sz="0" w:space="0" w:color="auto"/>
        <w:right w:val="none" w:sz="0" w:space="0" w:color="auto"/>
      </w:divBdr>
    </w:div>
    <w:div w:id="1822236633">
      <w:bodyDiv w:val="1"/>
      <w:marLeft w:val="0"/>
      <w:marRight w:val="0"/>
      <w:marTop w:val="0"/>
      <w:marBottom w:val="0"/>
      <w:divBdr>
        <w:top w:val="none" w:sz="0" w:space="0" w:color="auto"/>
        <w:left w:val="none" w:sz="0" w:space="0" w:color="auto"/>
        <w:bottom w:val="none" w:sz="0" w:space="0" w:color="auto"/>
        <w:right w:val="none" w:sz="0" w:space="0" w:color="auto"/>
      </w:divBdr>
    </w:div>
    <w:div w:id="1822304735">
      <w:bodyDiv w:val="1"/>
      <w:marLeft w:val="0"/>
      <w:marRight w:val="0"/>
      <w:marTop w:val="0"/>
      <w:marBottom w:val="0"/>
      <w:divBdr>
        <w:top w:val="none" w:sz="0" w:space="0" w:color="auto"/>
        <w:left w:val="none" w:sz="0" w:space="0" w:color="auto"/>
        <w:bottom w:val="none" w:sz="0" w:space="0" w:color="auto"/>
        <w:right w:val="none" w:sz="0" w:space="0" w:color="auto"/>
      </w:divBdr>
    </w:div>
    <w:div w:id="1822387195">
      <w:bodyDiv w:val="1"/>
      <w:marLeft w:val="0"/>
      <w:marRight w:val="0"/>
      <w:marTop w:val="0"/>
      <w:marBottom w:val="0"/>
      <w:divBdr>
        <w:top w:val="none" w:sz="0" w:space="0" w:color="auto"/>
        <w:left w:val="none" w:sz="0" w:space="0" w:color="auto"/>
        <w:bottom w:val="none" w:sz="0" w:space="0" w:color="auto"/>
        <w:right w:val="none" w:sz="0" w:space="0" w:color="auto"/>
      </w:divBdr>
    </w:div>
    <w:div w:id="1822574200">
      <w:bodyDiv w:val="1"/>
      <w:marLeft w:val="0"/>
      <w:marRight w:val="0"/>
      <w:marTop w:val="0"/>
      <w:marBottom w:val="0"/>
      <w:divBdr>
        <w:top w:val="none" w:sz="0" w:space="0" w:color="auto"/>
        <w:left w:val="none" w:sz="0" w:space="0" w:color="auto"/>
        <w:bottom w:val="none" w:sz="0" w:space="0" w:color="auto"/>
        <w:right w:val="none" w:sz="0" w:space="0" w:color="auto"/>
      </w:divBdr>
    </w:div>
    <w:div w:id="1822623620">
      <w:bodyDiv w:val="1"/>
      <w:marLeft w:val="0"/>
      <w:marRight w:val="0"/>
      <w:marTop w:val="0"/>
      <w:marBottom w:val="0"/>
      <w:divBdr>
        <w:top w:val="none" w:sz="0" w:space="0" w:color="auto"/>
        <w:left w:val="none" w:sz="0" w:space="0" w:color="auto"/>
        <w:bottom w:val="none" w:sz="0" w:space="0" w:color="auto"/>
        <w:right w:val="none" w:sz="0" w:space="0" w:color="auto"/>
      </w:divBdr>
    </w:div>
    <w:div w:id="1822767794">
      <w:bodyDiv w:val="1"/>
      <w:marLeft w:val="0"/>
      <w:marRight w:val="0"/>
      <w:marTop w:val="0"/>
      <w:marBottom w:val="0"/>
      <w:divBdr>
        <w:top w:val="none" w:sz="0" w:space="0" w:color="auto"/>
        <w:left w:val="none" w:sz="0" w:space="0" w:color="auto"/>
        <w:bottom w:val="none" w:sz="0" w:space="0" w:color="auto"/>
        <w:right w:val="none" w:sz="0" w:space="0" w:color="auto"/>
      </w:divBdr>
    </w:div>
    <w:div w:id="1822771057">
      <w:bodyDiv w:val="1"/>
      <w:marLeft w:val="0"/>
      <w:marRight w:val="0"/>
      <w:marTop w:val="0"/>
      <w:marBottom w:val="0"/>
      <w:divBdr>
        <w:top w:val="none" w:sz="0" w:space="0" w:color="auto"/>
        <w:left w:val="none" w:sz="0" w:space="0" w:color="auto"/>
        <w:bottom w:val="none" w:sz="0" w:space="0" w:color="auto"/>
        <w:right w:val="none" w:sz="0" w:space="0" w:color="auto"/>
      </w:divBdr>
    </w:div>
    <w:div w:id="1822845065">
      <w:bodyDiv w:val="1"/>
      <w:marLeft w:val="0"/>
      <w:marRight w:val="0"/>
      <w:marTop w:val="0"/>
      <w:marBottom w:val="0"/>
      <w:divBdr>
        <w:top w:val="none" w:sz="0" w:space="0" w:color="auto"/>
        <w:left w:val="none" w:sz="0" w:space="0" w:color="auto"/>
        <w:bottom w:val="none" w:sz="0" w:space="0" w:color="auto"/>
        <w:right w:val="none" w:sz="0" w:space="0" w:color="auto"/>
      </w:divBdr>
    </w:div>
    <w:div w:id="1822892867">
      <w:bodyDiv w:val="1"/>
      <w:marLeft w:val="0"/>
      <w:marRight w:val="0"/>
      <w:marTop w:val="0"/>
      <w:marBottom w:val="0"/>
      <w:divBdr>
        <w:top w:val="none" w:sz="0" w:space="0" w:color="auto"/>
        <w:left w:val="none" w:sz="0" w:space="0" w:color="auto"/>
        <w:bottom w:val="none" w:sz="0" w:space="0" w:color="auto"/>
        <w:right w:val="none" w:sz="0" w:space="0" w:color="auto"/>
      </w:divBdr>
    </w:div>
    <w:div w:id="1822964125">
      <w:bodyDiv w:val="1"/>
      <w:marLeft w:val="0"/>
      <w:marRight w:val="0"/>
      <w:marTop w:val="0"/>
      <w:marBottom w:val="0"/>
      <w:divBdr>
        <w:top w:val="none" w:sz="0" w:space="0" w:color="auto"/>
        <w:left w:val="none" w:sz="0" w:space="0" w:color="auto"/>
        <w:bottom w:val="none" w:sz="0" w:space="0" w:color="auto"/>
        <w:right w:val="none" w:sz="0" w:space="0" w:color="auto"/>
      </w:divBdr>
    </w:div>
    <w:div w:id="1823035166">
      <w:bodyDiv w:val="1"/>
      <w:marLeft w:val="0"/>
      <w:marRight w:val="0"/>
      <w:marTop w:val="0"/>
      <w:marBottom w:val="0"/>
      <w:divBdr>
        <w:top w:val="none" w:sz="0" w:space="0" w:color="auto"/>
        <w:left w:val="none" w:sz="0" w:space="0" w:color="auto"/>
        <w:bottom w:val="none" w:sz="0" w:space="0" w:color="auto"/>
        <w:right w:val="none" w:sz="0" w:space="0" w:color="auto"/>
      </w:divBdr>
    </w:div>
    <w:div w:id="1823109679">
      <w:bodyDiv w:val="1"/>
      <w:marLeft w:val="0"/>
      <w:marRight w:val="0"/>
      <w:marTop w:val="0"/>
      <w:marBottom w:val="0"/>
      <w:divBdr>
        <w:top w:val="none" w:sz="0" w:space="0" w:color="auto"/>
        <w:left w:val="none" w:sz="0" w:space="0" w:color="auto"/>
        <w:bottom w:val="none" w:sz="0" w:space="0" w:color="auto"/>
        <w:right w:val="none" w:sz="0" w:space="0" w:color="auto"/>
      </w:divBdr>
    </w:div>
    <w:div w:id="1823112726">
      <w:bodyDiv w:val="1"/>
      <w:marLeft w:val="0"/>
      <w:marRight w:val="0"/>
      <w:marTop w:val="0"/>
      <w:marBottom w:val="0"/>
      <w:divBdr>
        <w:top w:val="none" w:sz="0" w:space="0" w:color="auto"/>
        <w:left w:val="none" w:sz="0" w:space="0" w:color="auto"/>
        <w:bottom w:val="none" w:sz="0" w:space="0" w:color="auto"/>
        <w:right w:val="none" w:sz="0" w:space="0" w:color="auto"/>
      </w:divBdr>
    </w:div>
    <w:div w:id="1823352048">
      <w:bodyDiv w:val="1"/>
      <w:marLeft w:val="0"/>
      <w:marRight w:val="0"/>
      <w:marTop w:val="0"/>
      <w:marBottom w:val="0"/>
      <w:divBdr>
        <w:top w:val="none" w:sz="0" w:space="0" w:color="auto"/>
        <w:left w:val="none" w:sz="0" w:space="0" w:color="auto"/>
        <w:bottom w:val="none" w:sz="0" w:space="0" w:color="auto"/>
        <w:right w:val="none" w:sz="0" w:space="0" w:color="auto"/>
      </w:divBdr>
    </w:div>
    <w:div w:id="1823500057">
      <w:bodyDiv w:val="1"/>
      <w:marLeft w:val="0"/>
      <w:marRight w:val="0"/>
      <w:marTop w:val="0"/>
      <w:marBottom w:val="0"/>
      <w:divBdr>
        <w:top w:val="none" w:sz="0" w:space="0" w:color="auto"/>
        <w:left w:val="none" w:sz="0" w:space="0" w:color="auto"/>
        <w:bottom w:val="none" w:sz="0" w:space="0" w:color="auto"/>
        <w:right w:val="none" w:sz="0" w:space="0" w:color="auto"/>
      </w:divBdr>
    </w:div>
    <w:div w:id="1823504254">
      <w:bodyDiv w:val="1"/>
      <w:marLeft w:val="0"/>
      <w:marRight w:val="0"/>
      <w:marTop w:val="0"/>
      <w:marBottom w:val="0"/>
      <w:divBdr>
        <w:top w:val="none" w:sz="0" w:space="0" w:color="auto"/>
        <w:left w:val="none" w:sz="0" w:space="0" w:color="auto"/>
        <w:bottom w:val="none" w:sz="0" w:space="0" w:color="auto"/>
        <w:right w:val="none" w:sz="0" w:space="0" w:color="auto"/>
      </w:divBdr>
    </w:div>
    <w:div w:id="1823618543">
      <w:bodyDiv w:val="1"/>
      <w:marLeft w:val="0"/>
      <w:marRight w:val="0"/>
      <w:marTop w:val="0"/>
      <w:marBottom w:val="0"/>
      <w:divBdr>
        <w:top w:val="none" w:sz="0" w:space="0" w:color="auto"/>
        <w:left w:val="none" w:sz="0" w:space="0" w:color="auto"/>
        <w:bottom w:val="none" w:sz="0" w:space="0" w:color="auto"/>
        <w:right w:val="none" w:sz="0" w:space="0" w:color="auto"/>
      </w:divBdr>
    </w:div>
    <w:div w:id="1823698282">
      <w:bodyDiv w:val="1"/>
      <w:marLeft w:val="0"/>
      <w:marRight w:val="0"/>
      <w:marTop w:val="0"/>
      <w:marBottom w:val="0"/>
      <w:divBdr>
        <w:top w:val="none" w:sz="0" w:space="0" w:color="auto"/>
        <w:left w:val="none" w:sz="0" w:space="0" w:color="auto"/>
        <w:bottom w:val="none" w:sz="0" w:space="0" w:color="auto"/>
        <w:right w:val="none" w:sz="0" w:space="0" w:color="auto"/>
      </w:divBdr>
    </w:div>
    <w:div w:id="1823767519">
      <w:bodyDiv w:val="1"/>
      <w:marLeft w:val="0"/>
      <w:marRight w:val="0"/>
      <w:marTop w:val="0"/>
      <w:marBottom w:val="0"/>
      <w:divBdr>
        <w:top w:val="none" w:sz="0" w:space="0" w:color="auto"/>
        <w:left w:val="none" w:sz="0" w:space="0" w:color="auto"/>
        <w:bottom w:val="none" w:sz="0" w:space="0" w:color="auto"/>
        <w:right w:val="none" w:sz="0" w:space="0" w:color="auto"/>
      </w:divBdr>
    </w:div>
    <w:div w:id="1823807933">
      <w:bodyDiv w:val="1"/>
      <w:marLeft w:val="0"/>
      <w:marRight w:val="0"/>
      <w:marTop w:val="0"/>
      <w:marBottom w:val="0"/>
      <w:divBdr>
        <w:top w:val="none" w:sz="0" w:space="0" w:color="auto"/>
        <w:left w:val="none" w:sz="0" w:space="0" w:color="auto"/>
        <w:bottom w:val="none" w:sz="0" w:space="0" w:color="auto"/>
        <w:right w:val="none" w:sz="0" w:space="0" w:color="auto"/>
      </w:divBdr>
    </w:div>
    <w:div w:id="1823889950">
      <w:bodyDiv w:val="1"/>
      <w:marLeft w:val="0"/>
      <w:marRight w:val="0"/>
      <w:marTop w:val="0"/>
      <w:marBottom w:val="0"/>
      <w:divBdr>
        <w:top w:val="none" w:sz="0" w:space="0" w:color="auto"/>
        <w:left w:val="none" w:sz="0" w:space="0" w:color="auto"/>
        <w:bottom w:val="none" w:sz="0" w:space="0" w:color="auto"/>
        <w:right w:val="none" w:sz="0" w:space="0" w:color="auto"/>
      </w:divBdr>
    </w:div>
    <w:div w:id="1823933115">
      <w:bodyDiv w:val="1"/>
      <w:marLeft w:val="0"/>
      <w:marRight w:val="0"/>
      <w:marTop w:val="0"/>
      <w:marBottom w:val="0"/>
      <w:divBdr>
        <w:top w:val="none" w:sz="0" w:space="0" w:color="auto"/>
        <w:left w:val="none" w:sz="0" w:space="0" w:color="auto"/>
        <w:bottom w:val="none" w:sz="0" w:space="0" w:color="auto"/>
        <w:right w:val="none" w:sz="0" w:space="0" w:color="auto"/>
      </w:divBdr>
    </w:div>
    <w:div w:id="1824006420">
      <w:bodyDiv w:val="1"/>
      <w:marLeft w:val="0"/>
      <w:marRight w:val="0"/>
      <w:marTop w:val="0"/>
      <w:marBottom w:val="0"/>
      <w:divBdr>
        <w:top w:val="none" w:sz="0" w:space="0" w:color="auto"/>
        <w:left w:val="none" w:sz="0" w:space="0" w:color="auto"/>
        <w:bottom w:val="none" w:sz="0" w:space="0" w:color="auto"/>
        <w:right w:val="none" w:sz="0" w:space="0" w:color="auto"/>
      </w:divBdr>
    </w:div>
    <w:div w:id="1824006831">
      <w:bodyDiv w:val="1"/>
      <w:marLeft w:val="0"/>
      <w:marRight w:val="0"/>
      <w:marTop w:val="0"/>
      <w:marBottom w:val="0"/>
      <w:divBdr>
        <w:top w:val="none" w:sz="0" w:space="0" w:color="auto"/>
        <w:left w:val="none" w:sz="0" w:space="0" w:color="auto"/>
        <w:bottom w:val="none" w:sz="0" w:space="0" w:color="auto"/>
        <w:right w:val="none" w:sz="0" w:space="0" w:color="auto"/>
      </w:divBdr>
    </w:div>
    <w:div w:id="1824007175">
      <w:bodyDiv w:val="1"/>
      <w:marLeft w:val="0"/>
      <w:marRight w:val="0"/>
      <w:marTop w:val="0"/>
      <w:marBottom w:val="0"/>
      <w:divBdr>
        <w:top w:val="none" w:sz="0" w:space="0" w:color="auto"/>
        <w:left w:val="none" w:sz="0" w:space="0" w:color="auto"/>
        <w:bottom w:val="none" w:sz="0" w:space="0" w:color="auto"/>
        <w:right w:val="none" w:sz="0" w:space="0" w:color="auto"/>
      </w:divBdr>
    </w:div>
    <w:div w:id="1824079113">
      <w:bodyDiv w:val="1"/>
      <w:marLeft w:val="0"/>
      <w:marRight w:val="0"/>
      <w:marTop w:val="0"/>
      <w:marBottom w:val="0"/>
      <w:divBdr>
        <w:top w:val="none" w:sz="0" w:space="0" w:color="auto"/>
        <w:left w:val="none" w:sz="0" w:space="0" w:color="auto"/>
        <w:bottom w:val="none" w:sz="0" w:space="0" w:color="auto"/>
        <w:right w:val="none" w:sz="0" w:space="0" w:color="auto"/>
      </w:divBdr>
    </w:div>
    <w:div w:id="1824202279">
      <w:bodyDiv w:val="1"/>
      <w:marLeft w:val="0"/>
      <w:marRight w:val="0"/>
      <w:marTop w:val="0"/>
      <w:marBottom w:val="0"/>
      <w:divBdr>
        <w:top w:val="none" w:sz="0" w:space="0" w:color="auto"/>
        <w:left w:val="none" w:sz="0" w:space="0" w:color="auto"/>
        <w:bottom w:val="none" w:sz="0" w:space="0" w:color="auto"/>
        <w:right w:val="none" w:sz="0" w:space="0" w:color="auto"/>
      </w:divBdr>
    </w:div>
    <w:div w:id="1824345847">
      <w:bodyDiv w:val="1"/>
      <w:marLeft w:val="0"/>
      <w:marRight w:val="0"/>
      <w:marTop w:val="0"/>
      <w:marBottom w:val="0"/>
      <w:divBdr>
        <w:top w:val="none" w:sz="0" w:space="0" w:color="auto"/>
        <w:left w:val="none" w:sz="0" w:space="0" w:color="auto"/>
        <w:bottom w:val="none" w:sz="0" w:space="0" w:color="auto"/>
        <w:right w:val="none" w:sz="0" w:space="0" w:color="auto"/>
      </w:divBdr>
    </w:div>
    <w:div w:id="1824395213">
      <w:bodyDiv w:val="1"/>
      <w:marLeft w:val="0"/>
      <w:marRight w:val="0"/>
      <w:marTop w:val="0"/>
      <w:marBottom w:val="0"/>
      <w:divBdr>
        <w:top w:val="none" w:sz="0" w:space="0" w:color="auto"/>
        <w:left w:val="none" w:sz="0" w:space="0" w:color="auto"/>
        <w:bottom w:val="none" w:sz="0" w:space="0" w:color="auto"/>
        <w:right w:val="none" w:sz="0" w:space="0" w:color="auto"/>
      </w:divBdr>
    </w:div>
    <w:div w:id="1824469717">
      <w:bodyDiv w:val="1"/>
      <w:marLeft w:val="0"/>
      <w:marRight w:val="0"/>
      <w:marTop w:val="0"/>
      <w:marBottom w:val="0"/>
      <w:divBdr>
        <w:top w:val="none" w:sz="0" w:space="0" w:color="auto"/>
        <w:left w:val="none" w:sz="0" w:space="0" w:color="auto"/>
        <w:bottom w:val="none" w:sz="0" w:space="0" w:color="auto"/>
        <w:right w:val="none" w:sz="0" w:space="0" w:color="auto"/>
      </w:divBdr>
    </w:div>
    <w:div w:id="1824540884">
      <w:bodyDiv w:val="1"/>
      <w:marLeft w:val="0"/>
      <w:marRight w:val="0"/>
      <w:marTop w:val="0"/>
      <w:marBottom w:val="0"/>
      <w:divBdr>
        <w:top w:val="none" w:sz="0" w:space="0" w:color="auto"/>
        <w:left w:val="none" w:sz="0" w:space="0" w:color="auto"/>
        <w:bottom w:val="none" w:sz="0" w:space="0" w:color="auto"/>
        <w:right w:val="none" w:sz="0" w:space="0" w:color="auto"/>
      </w:divBdr>
    </w:div>
    <w:div w:id="1824543564">
      <w:bodyDiv w:val="1"/>
      <w:marLeft w:val="0"/>
      <w:marRight w:val="0"/>
      <w:marTop w:val="0"/>
      <w:marBottom w:val="0"/>
      <w:divBdr>
        <w:top w:val="none" w:sz="0" w:space="0" w:color="auto"/>
        <w:left w:val="none" w:sz="0" w:space="0" w:color="auto"/>
        <w:bottom w:val="none" w:sz="0" w:space="0" w:color="auto"/>
        <w:right w:val="none" w:sz="0" w:space="0" w:color="auto"/>
      </w:divBdr>
    </w:div>
    <w:div w:id="1824658291">
      <w:bodyDiv w:val="1"/>
      <w:marLeft w:val="0"/>
      <w:marRight w:val="0"/>
      <w:marTop w:val="0"/>
      <w:marBottom w:val="0"/>
      <w:divBdr>
        <w:top w:val="none" w:sz="0" w:space="0" w:color="auto"/>
        <w:left w:val="none" w:sz="0" w:space="0" w:color="auto"/>
        <w:bottom w:val="none" w:sz="0" w:space="0" w:color="auto"/>
        <w:right w:val="none" w:sz="0" w:space="0" w:color="auto"/>
      </w:divBdr>
    </w:div>
    <w:div w:id="1824732371">
      <w:bodyDiv w:val="1"/>
      <w:marLeft w:val="0"/>
      <w:marRight w:val="0"/>
      <w:marTop w:val="0"/>
      <w:marBottom w:val="0"/>
      <w:divBdr>
        <w:top w:val="none" w:sz="0" w:space="0" w:color="auto"/>
        <w:left w:val="none" w:sz="0" w:space="0" w:color="auto"/>
        <w:bottom w:val="none" w:sz="0" w:space="0" w:color="auto"/>
        <w:right w:val="none" w:sz="0" w:space="0" w:color="auto"/>
      </w:divBdr>
    </w:div>
    <w:div w:id="1824735710">
      <w:bodyDiv w:val="1"/>
      <w:marLeft w:val="0"/>
      <w:marRight w:val="0"/>
      <w:marTop w:val="0"/>
      <w:marBottom w:val="0"/>
      <w:divBdr>
        <w:top w:val="none" w:sz="0" w:space="0" w:color="auto"/>
        <w:left w:val="none" w:sz="0" w:space="0" w:color="auto"/>
        <w:bottom w:val="none" w:sz="0" w:space="0" w:color="auto"/>
        <w:right w:val="none" w:sz="0" w:space="0" w:color="auto"/>
      </w:divBdr>
    </w:div>
    <w:div w:id="1824811118">
      <w:bodyDiv w:val="1"/>
      <w:marLeft w:val="0"/>
      <w:marRight w:val="0"/>
      <w:marTop w:val="0"/>
      <w:marBottom w:val="0"/>
      <w:divBdr>
        <w:top w:val="none" w:sz="0" w:space="0" w:color="auto"/>
        <w:left w:val="none" w:sz="0" w:space="0" w:color="auto"/>
        <w:bottom w:val="none" w:sz="0" w:space="0" w:color="auto"/>
        <w:right w:val="none" w:sz="0" w:space="0" w:color="auto"/>
      </w:divBdr>
    </w:div>
    <w:div w:id="1824814130">
      <w:bodyDiv w:val="1"/>
      <w:marLeft w:val="0"/>
      <w:marRight w:val="0"/>
      <w:marTop w:val="0"/>
      <w:marBottom w:val="0"/>
      <w:divBdr>
        <w:top w:val="none" w:sz="0" w:space="0" w:color="auto"/>
        <w:left w:val="none" w:sz="0" w:space="0" w:color="auto"/>
        <w:bottom w:val="none" w:sz="0" w:space="0" w:color="auto"/>
        <w:right w:val="none" w:sz="0" w:space="0" w:color="auto"/>
      </w:divBdr>
    </w:div>
    <w:div w:id="1824814472">
      <w:bodyDiv w:val="1"/>
      <w:marLeft w:val="0"/>
      <w:marRight w:val="0"/>
      <w:marTop w:val="0"/>
      <w:marBottom w:val="0"/>
      <w:divBdr>
        <w:top w:val="none" w:sz="0" w:space="0" w:color="auto"/>
        <w:left w:val="none" w:sz="0" w:space="0" w:color="auto"/>
        <w:bottom w:val="none" w:sz="0" w:space="0" w:color="auto"/>
        <w:right w:val="none" w:sz="0" w:space="0" w:color="auto"/>
      </w:divBdr>
    </w:div>
    <w:div w:id="1824815615">
      <w:bodyDiv w:val="1"/>
      <w:marLeft w:val="0"/>
      <w:marRight w:val="0"/>
      <w:marTop w:val="0"/>
      <w:marBottom w:val="0"/>
      <w:divBdr>
        <w:top w:val="none" w:sz="0" w:space="0" w:color="auto"/>
        <w:left w:val="none" w:sz="0" w:space="0" w:color="auto"/>
        <w:bottom w:val="none" w:sz="0" w:space="0" w:color="auto"/>
        <w:right w:val="none" w:sz="0" w:space="0" w:color="auto"/>
      </w:divBdr>
    </w:div>
    <w:div w:id="1824853868">
      <w:bodyDiv w:val="1"/>
      <w:marLeft w:val="0"/>
      <w:marRight w:val="0"/>
      <w:marTop w:val="0"/>
      <w:marBottom w:val="0"/>
      <w:divBdr>
        <w:top w:val="none" w:sz="0" w:space="0" w:color="auto"/>
        <w:left w:val="none" w:sz="0" w:space="0" w:color="auto"/>
        <w:bottom w:val="none" w:sz="0" w:space="0" w:color="auto"/>
        <w:right w:val="none" w:sz="0" w:space="0" w:color="auto"/>
      </w:divBdr>
    </w:div>
    <w:div w:id="1825004441">
      <w:bodyDiv w:val="1"/>
      <w:marLeft w:val="0"/>
      <w:marRight w:val="0"/>
      <w:marTop w:val="0"/>
      <w:marBottom w:val="0"/>
      <w:divBdr>
        <w:top w:val="none" w:sz="0" w:space="0" w:color="auto"/>
        <w:left w:val="none" w:sz="0" w:space="0" w:color="auto"/>
        <w:bottom w:val="none" w:sz="0" w:space="0" w:color="auto"/>
        <w:right w:val="none" w:sz="0" w:space="0" w:color="auto"/>
      </w:divBdr>
    </w:div>
    <w:div w:id="1825274334">
      <w:bodyDiv w:val="1"/>
      <w:marLeft w:val="0"/>
      <w:marRight w:val="0"/>
      <w:marTop w:val="0"/>
      <w:marBottom w:val="0"/>
      <w:divBdr>
        <w:top w:val="none" w:sz="0" w:space="0" w:color="auto"/>
        <w:left w:val="none" w:sz="0" w:space="0" w:color="auto"/>
        <w:bottom w:val="none" w:sz="0" w:space="0" w:color="auto"/>
        <w:right w:val="none" w:sz="0" w:space="0" w:color="auto"/>
      </w:divBdr>
    </w:div>
    <w:div w:id="1825387430">
      <w:bodyDiv w:val="1"/>
      <w:marLeft w:val="0"/>
      <w:marRight w:val="0"/>
      <w:marTop w:val="0"/>
      <w:marBottom w:val="0"/>
      <w:divBdr>
        <w:top w:val="none" w:sz="0" w:space="0" w:color="auto"/>
        <w:left w:val="none" w:sz="0" w:space="0" w:color="auto"/>
        <w:bottom w:val="none" w:sz="0" w:space="0" w:color="auto"/>
        <w:right w:val="none" w:sz="0" w:space="0" w:color="auto"/>
      </w:divBdr>
    </w:div>
    <w:div w:id="1825387639">
      <w:bodyDiv w:val="1"/>
      <w:marLeft w:val="0"/>
      <w:marRight w:val="0"/>
      <w:marTop w:val="0"/>
      <w:marBottom w:val="0"/>
      <w:divBdr>
        <w:top w:val="none" w:sz="0" w:space="0" w:color="auto"/>
        <w:left w:val="none" w:sz="0" w:space="0" w:color="auto"/>
        <w:bottom w:val="none" w:sz="0" w:space="0" w:color="auto"/>
        <w:right w:val="none" w:sz="0" w:space="0" w:color="auto"/>
      </w:divBdr>
    </w:div>
    <w:div w:id="1825388025">
      <w:bodyDiv w:val="1"/>
      <w:marLeft w:val="0"/>
      <w:marRight w:val="0"/>
      <w:marTop w:val="0"/>
      <w:marBottom w:val="0"/>
      <w:divBdr>
        <w:top w:val="none" w:sz="0" w:space="0" w:color="auto"/>
        <w:left w:val="none" w:sz="0" w:space="0" w:color="auto"/>
        <w:bottom w:val="none" w:sz="0" w:space="0" w:color="auto"/>
        <w:right w:val="none" w:sz="0" w:space="0" w:color="auto"/>
      </w:divBdr>
    </w:div>
    <w:div w:id="1825392829">
      <w:bodyDiv w:val="1"/>
      <w:marLeft w:val="0"/>
      <w:marRight w:val="0"/>
      <w:marTop w:val="0"/>
      <w:marBottom w:val="0"/>
      <w:divBdr>
        <w:top w:val="none" w:sz="0" w:space="0" w:color="auto"/>
        <w:left w:val="none" w:sz="0" w:space="0" w:color="auto"/>
        <w:bottom w:val="none" w:sz="0" w:space="0" w:color="auto"/>
        <w:right w:val="none" w:sz="0" w:space="0" w:color="auto"/>
      </w:divBdr>
    </w:div>
    <w:div w:id="1825470828">
      <w:bodyDiv w:val="1"/>
      <w:marLeft w:val="0"/>
      <w:marRight w:val="0"/>
      <w:marTop w:val="0"/>
      <w:marBottom w:val="0"/>
      <w:divBdr>
        <w:top w:val="none" w:sz="0" w:space="0" w:color="auto"/>
        <w:left w:val="none" w:sz="0" w:space="0" w:color="auto"/>
        <w:bottom w:val="none" w:sz="0" w:space="0" w:color="auto"/>
        <w:right w:val="none" w:sz="0" w:space="0" w:color="auto"/>
      </w:divBdr>
    </w:div>
    <w:div w:id="1825506183">
      <w:bodyDiv w:val="1"/>
      <w:marLeft w:val="0"/>
      <w:marRight w:val="0"/>
      <w:marTop w:val="0"/>
      <w:marBottom w:val="0"/>
      <w:divBdr>
        <w:top w:val="none" w:sz="0" w:space="0" w:color="auto"/>
        <w:left w:val="none" w:sz="0" w:space="0" w:color="auto"/>
        <w:bottom w:val="none" w:sz="0" w:space="0" w:color="auto"/>
        <w:right w:val="none" w:sz="0" w:space="0" w:color="auto"/>
      </w:divBdr>
    </w:div>
    <w:div w:id="1825656656">
      <w:bodyDiv w:val="1"/>
      <w:marLeft w:val="0"/>
      <w:marRight w:val="0"/>
      <w:marTop w:val="0"/>
      <w:marBottom w:val="0"/>
      <w:divBdr>
        <w:top w:val="none" w:sz="0" w:space="0" w:color="auto"/>
        <w:left w:val="none" w:sz="0" w:space="0" w:color="auto"/>
        <w:bottom w:val="none" w:sz="0" w:space="0" w:color="auto"/>
        <w:right w:val="none" w:sz="0" w:space="0" w:color="auto"/>
      </w:divBdr>
    </w:div>
    <w:div w:id="1825660492">
      <w:bodyDiv w:val="1"/>
      <w:marLeft w:val="0"/>
      <w:marRight w:val="0"/>
      <w:marTop w:val="0"/>
      <w:marBottom w:val="0"/>
      <w:divBdr>
        <w:top w:val="none" w:sz="0" w:space="0" w:color="auto"/>
        <w:left w:val="none" w:sz="0" w:space="0" w:color="auto"/>
        <w:bottom w:val="none" w:sz="0" w:space="0" w:color="auto"/>
        <w:right w:val="none" w:sz="0" w:space="0" w:color="auto"/>
      </w:divBdr>
    </w:div>
    <w:div w:id="1825706806">
      <w:bodyDiv w:val="1"/>
      <w:marLeft w:val="0"/>
      <w:marRight w:val="0"/>
      <w:marTop w:val="0"/>
      <w:marBottom w:val="0"/>
      <w:divBdr>
        <w:top w:val="none" w:sz="0" w:space="0" w:color="auto"/>
        <w:left w:val="none" w:sz="0" w:space="0" w:color="auto"/>
        <w:bottom w:val="none" w:sz="0" w:space="0" w:color="auto"/>
        <w:right w:val="none" w:sz="0" w:space="0" w:color="auto"/>
      </w:divBdr>
    </w:div>
    <w:div w:id="1825775089">
      <w:bodyDiv w:val="1"/>
      <w:marLeft w:val="0"/>
      <w:marRight w:val="0"/>
      <w:marTop w:val="0"/>
      <w:marBottom w:val="0"/>
      <w:divBdr>
        <w:top w:val="none" w:sz="0" w:space="0" w:color="auto"/>
        <w:left w:val="none" w:sz="0" w:space="0" w:color="auto"/>
        <w:bottom w:val="none" w:sz="0" w:space="0" w:color="auto"/>
        <w:right w:val="none" w:sz="0" w:space="0" w:color="auto"/>
      </w:divBdr>
    </w:div>
    <w:div w:id="1825854660">
      <w:bodyDiv w:val="1"/>
      <w:marLeft w:val="0"/>
      <w:marRight w:val="0"/>
      <w:marTop w:val="0"/>
      <w:marBottom w:val="0"/>
      <w:divBdr>
        <w:top w:val="none" w:sz="0" w:space="0" w:color="auto"/>
        <w:left w:val="none" w:sz="0" w:space="0" w:color="auto"/>
        <w:bottom w:val="none" w:sz="0" w:space="0" w:color="auto"/>
        <w:right w:val="none" w:sz="0" w:space="0" w:color="auto"/>
      </w:divBdr>
    </w:div>
    <w:div w:id="1825926837">
      <w:bodyDiv w:val="1"/>
      <w:marLeft w:val="0"/>
      <w:marRight w:val="0"/>
      <w:marTop w:val="0"/>
      <w:marBottom w:val="0"/>
      <w:divBdr>
        <w:top w:val="none" w:sz="0" w:space="0" w:color="auto"/>
        <w:left w:val="none" w:sz="0" w:space="0" w:color="auto"/>
        <w:bottom w:val="none" w:sz="0" w:space="0" w:color="auto"/>
        <w:right w:val="none" w:sz="0" w:space="0" w:color="auto"/>
      </w:divBdr>
    </w:div>
    <w:div w:id="1825929123">
      <w:bodyDiv w:val="1"/>
      <w:marLeft w:val="0"/>
      <w:marRight w:val="0"/>
      <w:marTop w:val="0"/>
      <w:marBottom w:val="0"/>
      <w:divBdr>
        <w:top w:val="none" w:sz="0" w:space="0" w:color="auto"/>
        <w:left w:val="none" w:sz="0" w:space="0" w:color="auto"/>
        <w:bottom w:val="none" w:sz="0" w:space="0" w:color="auto"/>
        <w:right w:val="none" w:sz="0" w:space="0" w:color="auto"/>
      </w:divBdr>
    </w:div>
    <w:div w:id="1826315246">
      <w:bodyDiv w:val="1"/>
      <w:marLeft w:val="0"/>
      <w:marRight w:val="0"/>
      <w:marTop w:val="0"/>
      <w:marBottom w:val="0"/>
      <w:divBdr>
        <w:top w:val="none" w:sz="0" w:space="0" w:color="auto"/>
        <w:left w:val="none" w:sz="0" w:space="0" w:color="auto"/>
        <w:bottom w:val="none" w:sz="0" w:space="0" w:color="auto"/>
        <w:right w:val="none" w:sz="0" w:space="0" w:color="auto"/>
      </w:divBdr>
    </w:div>
    <w:div w:id="1826360995">
      <w:bodyDiv w:val="1"/>
      <w:marLeft w:val="0"/>
      <w:marRight w:val="0"/>
      <w:marTop w:val="0"/>
      <w:marBottom w:val="0"/>
      <w:divBdr>
        <w:top w:val="none" w:sz="0" w:space="0" w:color="auto"/>
        <w:left w:val="none" w:sz="0" w:space="0" w:color="auto"/>
        <w:bottom w:val="none" w:sz="0" w:space="0" w:color="auto"/>
        <w:right w:val="none" w:sz="0" w:space="0" w:color="auto"/>
      </w:divBdr>
    </w:div>
    <w:div w:id="1826429205">
      <w:bodyDiv w:val="1"/>
      <w:marLeft w:val="0"/>
      <w:marRight w:val="0"/>
      <w:marTop w:val="0"/>
      <w:marBottom w:val="0"/>
      <w:divBdr>
        <w:top w:val="none" w:sz="0" w:space="0" w:color="auto"/>
        <w:left w:val="none" w:sz="0" w:space="0" w:color="auto"/>
        <w:bottom w:val="none" w:sz="0" w:space="0" w:color="auto"/>
        <w:right w:val="none" w:sz="0" w:space="0" w:color="auto"/>
      </w:divBdr>
    </w:div>
    <w:div w:id="1826508246">
      <w:bodyDiv w:val="1"/>
      <w:marLeft w:val="0"/>
      <w:marRight w:val="0"/>
      <w:marTop w:val="0"/>
      <w:marBottom w:val="0"/>
      <w:divBdr>
        <w:top w:val="none" w:sz="0" w:space="0" w:color="auto"/>
        <w:left w:val="none" w:sz="0" w:space="0" w:color="auto"/>
        <w:bottom w:val="none" w:sz="0" w:space="0" w:color="auto"/>
        <w:right w:val="none" w:sz="0" w:space="0" w:color="auto"/>
      </w:divBdr>
    </w:div>
    <w:div w:id="1826775323">
      <w:bodyDiv w:val="1"/>
      <w:marLeft w:val="0"/>
      <w:marRight w:val="0"/>
      <w:marTop w:val="0"/>
      <w:marBottom w:val="0"/>
      <w:divBdr>
        <w:top w:val="none" w:sz="0" w:space="0" w:color="auto"/>
        <w:left w:val="none" w:sz="0" w:space="0" w:color="auto"/>
        <w:bottom w:val="none" w:sz="0" w:space="0" w:color="auto"/>
        <w:right w:val="none" w:sz="0" w:space="0" w:color="auto"/>
      </w:divBdr>
    </w:div>
    <w:div w:id="1826893381">
      <w:bodyDiv w:val="1"/>
      <w:marLeft w:val="0"/>
      <w:marRight w:val="0"/>
      <w:marTop w:val="0"/>
      <w:marBottom w:val="0"/>
      <w:divBdr>
        <w:top w:val="none" w:sz="0" w:space="0" w:color="auto"/>
        <w:left w:val="none" w:sz="0" w:space="0" w:color="auto"/>
        <w:bottom w:val="none" w:sz="0" w:space="0" w:color="auto"/>
        <w:right w:val="none" w:sz="0" w:space="0" w:color="auto"/>
      </w:divBdr>
    </w:div>
    <w:div w:id="1827013140">
      <w:bodyDiv w:val="1"/>
      <w:marLeft w:val="0"/>
      <w:marRight w:val="0"/>
      <w:marTop w:val="0"/>
      <w:marBottom w:val="0"/>
      <w:divBdr>
        <w:top w:val="none" w:sz="0" w:space="0" w:color="auto"/>
        <w:left w:val="none" w:sz="0" w:space="0" w:color="auto"/>
        <w:bottom w:val="none" w:sz="0" w:space="0" w:color="auto"/>
        <w:right w:val="none" w:sz="0" w:space="0" w:color="auto"/>
      </w:divBdr>
    </w:div>
    <w:div w:id="1827042515">
      <w:bodyDiv w:val="1"/>
      <w:marLeft w:val="0"/>
      <w:marRight w:val="0"/>
      <w:marTop w:val="0"/>
      <w:marBottom w:val="0"/>
      <w:divBdr>
        <w:top w:val="none" w:sz="0" w:space="0" w:color="auto"/>
        <w:left w:val="none" w:sz="0" w:space="0" w:color="auto"/>
        <w:bottom w:val="none" w:sz="0" w:space="0" w:color="auto"/>
        <w:right w:val="none" w:sz="0" w:space="0" w:color="auto"/>
      </w:divBdr>
    </w:div>
    <w:div w:id="1827092311">
      <w:bodyDiv w:val="1"/>
      <w:marLeft w:val="0"/>
      <w:marRight w:val="0"/>
      <w:marTop w:val="0"/>
      <w:marBottom w:val="0"/>
      <w:divBdr>
        <w:top w:val="none" w:sz="0" w:space="0" w:color="auto"/>
        <w:left w:val="none" w:sz="0" w:space="0" w:color="auto"/>
        <w:bottom w:val="none" w:sz="0" w:space="0" w:color="auto"/>
        <w:right w:val="none" w:sz="0" w:space="0" w:color="auto"/>
      </w:divBdr>
    </w:div>
    <w:div w:id="1827162233">
      <w:bodyDiv w:val="1"/>
      <w:marLeft w:val="0"/>
      <w:marRight w:val="0"/>
      <w:marTop w:val="0"/>
      <w:marBottom w:val="0"/>
      <w:divBdr>
        <w:top w:val="none" w:sz="0" w:space="0" w:color="auto"/>
        <w:left w:val="none" w:sz="0" w:space="0" w:color="auto"/>
        <w:bottom w:val="none" w:sz="0" w:space="0" w:color="auto"/>
        <w:right w:val="none" w:sz="0" w:space="0" w:color="auto"/>
      </w:divBdr>
    </w:div>
    <w:div w:id="1827163957">
      <w:bodyDiv w:val="1"/>
      <w:marLeft w:val="0"/>
      <w:marRight w:val="0"/>
      <w:marTop w:val="0"/>
      <w:marBottom w:val="0"/>
      <w:divBdr>
        <w:top w:val="none" w:sz="0" w:space="0" w:color="auto"/>
        <w:left w:val="none" w:sz="0" w:space="0" w:color="auto"/>
        <w:bottom w:val="none" w:sz="0" w:space="0" w:color="auto"/>
        <w:right w:val="none" w:sz="0" w:space="0" w:color="auto"/>
      </w:divBdr>
    </w:div>
    <w:div w:id="1827433634">
      <w:bodyDiv w:val="1"/>
      <w:marLeft w:val="0"/>
      <w:marRight w:val="0"/>
      <w:marTop w:val="0"/>
      <w:marBottom w:val="0"/>
      <w:divBdr>
        <w:top w:val="none" w:sz="0" w:space="0" w:color="auto"/>
        <w:left w:val="none" w:sz="0" w:space="0" w:color="auto"/>
        <w:bottom w:val="none" w:sz="0" w:space="0" w:color="auto"/>
        <w:right w:val="none" w:sz="0" w:space="0" w:color="auto"/>
      </w:divBdr>
    </w:div>
    <w:div w:id="1827434327">
      <w:bodyDiv w:val="1"/>
      <w:marLeft w:val="0"/>
      <w:marRight w:val="0"/>
      <w:marTop w:val="0"/>
      <w:marBottom w:val="0"/>
      <w:divBdr>
        <w:top w:val="none" w:sz="0" w:space="0" w:color="auto"/>
        <w:left w:val="none" w:sz="0" w:space="0" w:color="auto"/>
        <w:bottom w:val="none" w:sz="0" w:space="0" w:color="auto"/>
        <w:right w:val="none" w:sz="0" w:space="0" w:color="auto"/>
      </w:divBdr>
    </w:div>
    <w:div w:id="1827473803">
      <w:bodyDiv w:val="1"/>
      <w:marLeft w:val="0"/>
      <w:marRight w:val="0"/>
      <w:marTop w:val="0"/>
      <w:marBottom w:val="0"/>
      <w:divBdr>
        <w:top w:val="none" w:sz="0" w:space="0" w:color="auto"/>
        <w:left w:val="none" w:sz="0" w:space="0" w:color="auto"/>
        <w:bottom w:val="none" w:sz="0" w:space="0" w:color="auto"/>
        <w:right w:val="none" w:sz="0" w:space="0" w:color="auto"/>
      </w:divBdr>
    </w:div>
    <w:div w:id="1827550191">
      <w:bodyDiv w:val="1"/>
      <w:marLeft w:val="0"/>
      <w:marRight w:val="0"/>
      <w:marTop w:val="0"/>
      <w:marBottom w:val="0"/>
      <w:divBdr>
        <w:top w:val="none" w:sz="0" w:space="0" w:color="auto"/>
        <w:left w:val="none" w:sz="0" w:space="0" w:color="auto"/>
        <w:bottom w:val="none" w:sz="0" w:space="0" w:color="auto"/>
        <w:right w:val="none" w:sz="0" w:space="0" w:color="auto"/>
      </w:divBdr>
    </w:div>
    <w:div w:id="1827554068">
      <w:bodyDiv w:val="1"/>
      <w:marLeft w:val="0"/>
      <w:marRight w:val="0"/>
      <w:marTop w:val="0"/>
      <w:marBottom w:val="0"/>
      <w:divBdr>
        <w:top w:val="none" w:sz="0" w:space="0" w:color="auto"/>
        <w:left w:val="none" w:sz="0" w:space="0" w:color="auto"/>
        <w:bottom w:val="none" w:sz="0" w:space="0" w:color="auto"/>
        <w:right w:val="none" w:sz="0" w:space="0" w:color="auto"/>
      </w:divBdr>
    </w:div>
    <w:div w:id="1827625235">
      <w:bodyDiv w:val="1"/>
      <w:marLeft w:val="0"/>
      <w:marRight w:val="0"/>
      <w:marTop w:val="0"/>
      <w:marBottom w:val="0"/>
      <w:divBdr>
        <w:top w:val="none" w:sz="0" w:space="0" w:color="auto"/>
        <w:left w:val="none" w:sz="0" w:space="0" w:color="auto"/>
        <w:bottom w:val="none" w:sz="0" w:space="0" w:color="auto"/>
        <w:right w:val="none" w:sz="0" w:space="0" w:color="auto"/>
      </w:divBdr>
    </w:div>
    <w:div w:id="1827625741">
      <w:bodyDiv w:val="1"/>
      <w:marLeft w:val="0"/>
      <w:marRight w:val="0"/>
      <w:marTop w:val="0"/>
      <w:marBottom w:val="0"/>
      <w:divBdr>
        <w:top w:val="none" w:sz="0" w:space="0" w:color="auto"/>
        <w:left w:val="none" w:sz="0" w:space="0" w:color="auto"/>
        <w:bottom w:val="none" w:sz="0" w:space="0" w:color="auto"/>
        <w:right w:val="none" w:sz="0" w:space="0" w:color="auto"/>
      </w:divBdr>
    </w:div>
    <w:div w:id="1827698081">
      <w:bodyDiv w:val="1"/>
      <w:marLeft w:val="0"/>
      <w:marRight w:val="0"/>
      <w:marTop w:val="0"/>
      <w:marBottom w:val="0"/>
      <w:divBdr>
        <w:top w:val="none" w:sz="0" w:space="0" w:color="auto"/>
        <w:left w:val="none" w:sz="0" w:space="0" w:color="auto"/>
        <w:bottom w:val="none" w:sz="0" w:space="0" w:color="auto"/>
        <w:right w:val="none" w:sz="0" w:space="0" w:color="auto"/>
      </w:divBdr>
    </w:div>
    <w:div w:id="1827815767">
      <w:bodyDiv w:val="1"/>
      <w:marLeft w:val="0"/>
      <w:marRight w:val="0"/>
      <w:marTop w:val="0"/>
      <w:marBottom w:val="0"/>
      <w:divBdr>
        <w:top w:val="none" w:sz="0" w:space="0" w:color="auto"/>
        <w:left w:val="none" w:sz="0" w:space="0" w:color="auto"/>
        <w:bottom w:val="none" w:sz="0" w:space="0" w:color="auto"/>
        <w:right w:val="none" w:sz="0" w:space="0" w:color="auto"/>
      </w:divBdr>
    </w:div>
    <w:div w:id="1827817705">
      <w:bodyDiv w:val="1"/>
      <w:marLeft w:val="0"/>
      <w:marRight w:val="0"/>
      <w:marTop w:val="0"/>
      <w:marBottom w:val="0"/>
      <w:divBdr>
        <w:top w:val="none" w:sz="0" w:space="0" w:color="auto"/>
        <w:left w:val="none" w:sz="0" w:space="0" w:color="auto"/>
        <w:bottom w:val="none" w:sz="0" w:space="0" w:color="auto"/>
        <w:right w:val="none" w:sz="0" w:space="0" w:color="auto"/>
      </w:divBdr>
    </w:div>
    <w:div w:id="1827820120">
      <w:bodyDiv w:val="1"/>
      <w:marLeft w:val="0"/>
      <w:marRight w:val="0"/>
      <w:marTop w:val="0"/>
      <w:marBottom w:val="0"/>
      <w:divBdr>
        <w:top w:val="none" w:sz="0" w:space="0" w:color="auto"/>
        <w:left w:val="none" w:sz="0" w:space="0" w:color="auto"/>
        <w:bottom w:val="none" w:sz="0" w:space="0" w:color="auto"/>
        <w:right w:val="none" w:sz="0" w:space="0" w:color="auto"/>
      </w:divBdr>
    </w:div>
    <w:div w:id="1827896238">
      <w:bodyDiv w:val="1"/>
      <w:marLeft w:val="0"/>
      <w:marRight w:val="0"/>
      <w:marTop w:val="0"/>
      <w:marBottom w:val="0"/>
      <w:divBdr>
        <w:top w:val="none" w:sz="0" w:space="0" w:color="auto"/>
        <w:left w:val="none" w:sz="0" w:space="0" w:color="auto"/>
        <w:bottom w:val="none" w:sz="0" w:space="0" w:color="auto"/>
        <w:right w:val="none" w:sz="0" w:space="0" w:color="auto"/>
      </w:divBdr>
    </w:div>
    <w:div w:id="1828014076">
      <w:bodyDiv w:val="1"/>
      <w:marLeft w:val="0"/>
      <w:marRight w:val="0"/>
      <w:marTop w:val="0"/>
      <w:marBottom w:val="0"/>
      <w:divBdr>
        <w:top w:val="none" w:sz="0" w:space="0" w:color="auto"/>
        <w:left w:val="none" w:sz="0" w:space="0" w:color="auto"/>
        <w:bottom w:val="none" w:sz="0" w:space="0" w:color="auto"/>
        <w:right w:val="none" w:sz="0" w:space="0" w:color="auto"/>
      </w:divBdr>
    </w:div>
    <w:div w:id="1828203402">
      <w:bodyDiv w:val="1"/>
      <w:marLeft w:val="0"/>
      <w:marRight w:val="0"/>
      <w:marTop w:val="0"/>
      <w:marBottom w:val="0"/>
      <w:divBdr>
        <w:top w:val="none" w:sz="0" w:space="0" w:color="auto"/>
        <w:left w:val="none" w:sz="0" w:space="0" w:color="auto"/>
        <w:bottom w:val="none" w:sz="0" w:space="0" w:color="auto"/>
        <w:right w:val="none" w:sz="0" w:space="0" w:color="auto"/>
      </w:divBdr>
    </w:div>
    <w:div w:id="1828207878">
      <w:bodyDiv w:val="1"/>
      <w:marLeft w:val="0"/>
      <w:marRight w:val="0"/>
      <w:marTop w:val="0"/>
      <w:marBottom w:val="0"/>
      <w:divBdr>
        <w:top w:val="none" w:sz="0" w:space="0" w:color="auto"/>
        <w:left w:val="none" w:sz="0" w:space="0" w:color="auto"/>
        <w:bottom w:val="none" w:sz="0" w:space="0" w:color="auto"/>
        <w:right w:val="none" w:sz="0" w:space="0" w:color="auto"/>
      </w:divBdr>
    </w:div>
    <w:div w:id="1828326717">
      <w:bodyDiv w:val="1"/>
      <w:marLeft w:val="0"/>
      <w:marRight w:val="0"/>
      <w:marTop w:val="0"/>
      <w:marBottom w:val="0"/>
      <w:divBdr>
        <w:top w:val="none" w:sz="0" w:space="0" w:color="auto"/>
        <w:left w:val="none" w:sz="0" w:space="0" w:color="auto"/>
        <w:bottom w:val="none" w:sz="0" w:space="0" w:color="auto"/>
        <w:right w:val="none" w:sz="0" w:space="0" w:color="auto"/>
      </w:divBdr>
    </w:div>
    <w:div w:id="1828593549">
      <w:bodyDiv w:val="1"/>
      <w:marLeft w:val="0"/>
      <w:marRight w:val="0"/>
      <w:marTop w:val="0"/>
      <w:marBottom w:val="0"/>
      <w:divBdr>
        <w:top w:val="none" w:sz="0" w:space="0" w:color="auto"/>
        <w:left w:val="none" w:sz="0" w:space="0" w:color="auto"/>
        <w:bottom w:val="none" w:sz="0" w:space="0" w:color="auto"/>
        <w:right w:val="none" w:sz="0" w:space="0" w:color="auto"/>
      </w:divBdr>
    </w:div>
    <w:div w:id="1828665429">
      <w:bodyDiv w:val="1"/>
      <w:marLeft w:val="0"/>
      <w:marRight w:val="0"/>
      <w:marTop w:val="0"/>
      <w:marBottom w:val="0"/>
      <w:divBdr>
        <w:top w:val="none" w:sz="0" w:space="0" w:color="auto"/>
        <w:left w:val="none" w:sz="0" w:space="0" w:color="auto"/>
        <w:bottom w:val="none" w:sz="0" w:space="0" w:color="auto"/>
        <w:right w:val="none" w:sz="0" w:space="0" w:color="auto"/>
      </w:divBdr>
    </w:div>
    <w:div w:id="1828789341">
      <w:bodyDiv w:val="1"/>
      <w:marLeft w:val="0"/>
      <w:marRight w:val="0"/>
      <w:marTop w:val="0"/>
      <w:marBottom w:val="0"/>
      <w:divBdr>
        <w:top w:val="none" w:sz="0" w:space="0" w:color="auto"/>
        <w:left w:val="none" w:sz="0" w:space="0" w:color="auto"/>
        <w:bottom w:val="none" w:sz="0" w:space="0" w:color="auto"/>
        <w:right w:val="none" w:sz="0" w:space="0" w:color="auto"/>
      </w:divBdr>
    </w:div>
    <w:div w:id="1828939108">
      <w:bodyDiv w:val="1"/>
      <w:marLeft w:val="0"/>
      <w:marRight w:val="0"/>
      <w:marTop w:val="0"/>
      <w:marBottom w:val="0"/>
      <w:divBdr>
        <w:top w:val="none" w:sz="0" w:space="0" w:color="auto"/>
        <w:left w:val="none" w:sz="0" w:space="0" w:color="auto"/>
        <w:bottom w:val="none" w:sz="0" w:space="0" w:color="auto"/>
        <w:right w:val="none" w:sz="0" w:space="0" w:color="auto"/>
      </w:divBdr>
    </w:div>
    <w:div w:id="1828982955">
      <w:bodyDiv w:val="1"/>
      <w:marLeft w:val="0"/>
      <w:marRight w:val="0"/>
      <w:marTop w:val="0"/>
      <w:marBottom w:val="0"/>
      <w:divBdr>
        <w:top w:val="none" w:sz="0" w:space="0" w:color="auto"/>
        <w:left w:val="none" w:sz="0" w:space="0" w:color="auto"/>
        <w:bottom w:val="none" w:sz="0" w:space="0" w:color="auto"/>
        <w:right w:val="none" w:sz="0" w:space="0" w:color="auto"/>
      </w:divBdr>
    </w:div>
    <w:div w:id="1829009537">
      <w:bodyDiv w:val="1"/>
      <w:marLeft w:val="0"/>
      <w:marRight w:val="0"/>
      <w:marTop w:val="0"/>
      <w:marBottom w:val="0"/>
      <w:divBdr>
        <w:top w:val="none" w:sz="0" w:space="0" w:color="auto"/>
        <w:left w:val="none" w:sz="0" w:space="0" w:color="auto"/>
        <w:bottom w:val="none" w:sz="0" w:space="0" w:color="auto"/>
        <w:right w:val="none" w:sz="0" w:space="0" w:color="auto"/>
      </w:divBdr>
    </w:div>
    <w:div w:id="1829050826">
      <w:bodyDiv w:val="1"/>
      <w:marLeft w:val="0"/>
      <w:marRight w:val="0"/>
      <w:marTop w:val="0"/>
      <w:marBottom w:val="0"/>
      <w:divBdr>
        <w:top w:val="none" w:sz="0" w:space="0" w:color="auto"/>
        <w:left w:val="none" w:sz="0" w:space="0" w:color="auto"/>
        <w:bottom w:val="none" w:sz="0" w:space="0" w:color="auto"/>
        <w:right w:val="none" w:sz="0" w:space="0" w:color="auto"/>
      </w:divBdr>
    </w:div>
    <w:div w:id="1829055794">
      <w:bodyDiv w:val="1"/>
      <w:marLeft w:val="0"/>
      <w:marRight w:val="0"/>
      <w:marTop w:val="0"/>
      <w:marBottom w:val="0"/>
      <w:divBdr>
        <w:top w:val="none" w:sz="0" w:space="0" w:color="auto"/>
        <w:left w:val="none" w:sz="0" w:space="0" w:color="auto"/>
        <w:bottom w:val="none" w:sz="0" w:space="0" w:color="auto"/>
        <w:right w:val="none" w:sz="0" w:space="0" w:color="auto"/>
      </w:divBdr>
    </w:div>
    <w:div w:id="1829058012">
      <w:bodyDiv w:val="1"/>
      <w:marLeft w:val="0"/>
      <w:marRight w:val="0"/>
      <w:marTop w:val="0"/>
      <w:marBottom w:val="0"/>
      <w:divBdr>
        <w:top w:val="none" w:sz="0" w:space="0" w:color="auto"/>
        <w:left w:val="none" w:sz="0" w:space="0" w:color="auto"/>
        <w:bottom w:val="none" w:sz="0" w:space="0" w:color="auto"/>
        <w:right w:val="none" w:sz="0" w:space="0" w:color="auto"/>
      </w:divBdr>
    </w:div>
    <w:div w:id="1829176269">
      <w:bodyDiv w:val="1"/>
      <w:marLeft w:val="0"/>
      <w:marRight w:val="0"/>
      <w:marTop w:val="0"/>
      <w:marBottom w:val="0"/>
      <w:divBdr>
        <w:top w:val="none" w:sz="0" w:space="0" w:color="auto"/>
        <w:left w:val="none" w:sz="0" w:space="0" w:color="auto"/>
        <w:bottom w:val="none" w:sz="0" w:space="0" w:color="auto"/>
        <w:right w:val="none" w:sz="0" w:space="0" w:color="auto"/>
      </w:divBdr>
    </w:div>
    <w:div w:id="1829201898">
      <w:bodyDiv w:val="1"/>
      <w:marLeft w:val="0"/>
      <w:marRight w:val="0"/>
      <w:marTop w:val="0"/>
      <w:marBottom w:val="0"/>
      <w:divBdr>
        <w:top w:val="none" w:sz="0" w:space="0" w:color="auto"/>
        <w:left w:val="none" w:sz="0" w:space="0" w:color="auto"/>
        <w:bottom w:val="none" w:sz="0" w:space="0" w:color="auto"/>
        <w:right w:val="none" w:sz="0" w:space="0" w:color="auto"/>
      </w:divBdr>
    </w:div>
    <w:div w:id="1829246613">
      <w:bodyDiv w:val="1"/>
      <w:marLeft w:val="0"/>
      <w:marRight w:val="0"/>
      <w:marTop w:val="0"/>
      <w:marBottom w:val="0"/>
      <w:divBdr>
        <w:top w:val="none" w:sz="0" w:space="0" w:color="auto"/>
        <w:left w:val="none" w:sz="0" w:space="0" w:color="auto"/>
        <w:bottom w:val="none" w:sz="0" w:space="0" w:color="auto"/>
        <w:right w:val="none" w:sz="0" w:space="0" w:color="auto"/>
      </w:divBdr>
    </w:div>
    <w:div w:id="1829324085">
      <w:bodyDiv w:val="1"/>
      <w:marLeft w:val="0"/>
      <w:marRight w:val="0"/>
      <w:marTop w:val="0"/>
      <w:marBottom w:val="0"/>
      <w:divBdr>
        <w:top w:val="none" w:sz="0" w:space="0" w:color="auto"/>
        <w:left w:val="none" w:sz="0" w:space="0" w:color="auto"/>
        <w:bottom w:val="none" w:sz="0" w:space="0" w:color="auto"/>
        <w:right w:val="none" w:sz="0" w:space="0" w:color="auto"/>
      </w:divBdr>
    </w:div>
    <w:div w:id="1829442104">
      <w:bodyDiv w:val="1"/>
      <w:marLeft w:val="0"/>
      <w:marRight w:val="0"/>
      <w:marTop w:val="0"/>
      <w:marBottom w:val="0"/>
      <w:divBdr>
        <w:top w:val="none" w:sz="0" w:space="0" w:color="auto"/>
        <w:left w:val="none" w:sz="0" w:space="0" w:color="auto"/>
        <w:bottom w:val="none" w:sz="0" w:space="0" w:color="auto"/>
        <w:right w:val="none" w:sz="0" w:space="0" w:color="auto"/>
      </w:divBdr>
    </w:div>
    <w:div w:id="1829591235">
      <w:bodyDiv w:val="1"/>
      <w:marLeft w:val="0"/>
      <w:marRight w:val="0"/>
      <w:marTop w:val="0"/>
      <w:marBottom w:val="0"/>
      <w:divBdr>
        <w:top w:val="none" w:sz="0" w:space="0" w:color="auto"/>
        <w:left w:val="none" w:sz="0" w:space="0" w:color="auto"/>
        <w:bottom w:val="none" w:sz="0" w:space="0" w:color="auto"/>
        <w:right w:val="none" w:sz="0" w:space="0" w:color="auto"/>
      </w:divBdr>
    </w:div>
    <w:div w:id="1829593113">
      <w:bodyDiv w:val="1"/>
      <w:marLeft w:val="0"/>
      <w:marRight w:val="0"/>
      <w:marTop w:val="0"/>
      <w:marBottom w:val="0"/>
      <w:divBdr>
        <w:top w:val="none" w:sz="0" w:space="0" w:color="auto"/>
        <w:left w:val="none" w:sz="0" w:space="0" w:color="auto"/>
        <w:bottom w:val="none" w:sz="0" w:space="0" w:color="auto"/>
        <w:right w:val="none" w:sz="0" w:space="0" w:color="auto"/>
      </w:divBdr>
    </w:div>
    <w:div w:id="1829789039">
      <w:bodyDiv w:val="1"/>
      <w:marLeft w:val="0"/>
      <w:marRight w:val="0"/>
      <w:marTop w:val="0"/>
      <w:marBottom w:val="0"/>
      <w:divBdr>
        <w:top w:val="none" w:sz="0" w:space="0" w:color="auto"/>
        <w:left w:val="none" w:sz="0" w:space="0" w:color="auto"/>
        <w:bottom w:val="none" w:sz="0" w:space="0" w:color="auto"/>
        <w:right w:val="none" w:sz="0" w:space="0" w:color="auto"/>
      </w:divBdr>
    </w:div>
    <w:div w:id="1829902182">
      <w:bodyDiv w:val="1"/>
      <w:marLeft w:val="0"/>
      <w:marRight w:val="0"/>
      <w:marTop w:val="0"/>
      <w:marBottom w:val="0"/>
      <w:divBdr>
        <w:top w:val="none" w:sz="0" w:space="0" w:color="auto"/>
        <w:left w:val="none" w:sz="0" w:space="0" w:color="auto"/>
        <w:bottom w:val="none" w:sz="0" w:space="0" w:color="auto"/>
        <w:right w:val="none" w:sz="0" w:space="0" w:color="auto"/>
      </w:divBdr>
    </w:div>
    <w:div w:id="1829902217">
      <w:bodyDiv w:val="1"/>
      <w:marLeft w:val="0"/>
      <w:marRight w:val="0"/>
      <w:marTop w:val="0"/>
      <w:marBottom w:val="0"/>
      <w:divBdr>
        <w:top w:val="none" w:sz="0" w:space="0" w:color="auto"/>
        <w:left w:val="none" w:sz="0" w:space="0" w:color="auto"/>
        <w:bottom w:val="none" w:sz="0" w:space="0" w:color="auto"/>
        <w:right w:val="none" w:sz="0" w:space="0" w:color="auto"/>
      </w:divBdr>
    </w:div>
    <w:div w:id="1829906380">
      <w:bodyDiv w:val="1"/>
      <w:marLeft w:val="0"/>
      <w:marRight w:val="0"/>
      <w:marTop w:val="0"/>
      <w:marBottom w:val="0"/>
      <w:divBdr>
        <w:top w:val="none" w:sz="0" w:space="0" w:color="auto"/>
        <w:left w:val="none" w:sz="0" w:space="0" w:color="auto"/>
        <w:bottom w:val="none" w:sz="0" w:space="0" w:color="auto"/>
        <w:right w:val="none" w:sz="0" w:space="0" w:color="auto"/>
      </w:divBdr>
    </w:div>
    <w:div w:id="1830125371">
      <w:bodyDiv w:val="1"/>
      <w:marLeft w:val="0"/>
      <w:marRight w:val="0"/>
      <w:marTop w:val="0"/>
      <w:marBottom w:val="0"/>
      <w:divBdr>
        <w:top w:val="none" w:sz="0" w:space="0" w:color="auto"/>
        <w:left w:val="none" w:sz="0" w:space="0" w:color="auto"/>
        <w:bottom w:val="none" w:sz="0" w:space="0" w:color="auto"/>
        <w:right w:val="none" w:sz="0" w:space="0" w:color="auto"/>
      </w:divBdr>
    </w:div>
    <w:div w:id="1830293501">
      <w:bodyDiv w:val="1"/>
      <w:marLeft w:val="0"/>
      <w:marRight w:val="0"/>
      <w:marTop w:val="0"/>
      <w:marBottom w:val="0"/>
      <w:divBdr>
        <w:top w:val="none" w:sz="0" w:space="0" w:color="auto"/>
        <w:left w:val="none" w:sz="0" w:space="0" w:color="auto"/>
        <w:bottom w:val="none" w:sz="0" w:space="0" w:color="auto"/>
        <w:right w:val="none" w:sz="0" w:space="0" w:color="auto"/>
      </w:divBdr>
    </w:div>
    <w:div w:id="1830367113">
      <w:bodyDiv w:val="1"/>
      <w:marLeft w:val="0"/>
      <w:marRight w:val="0"/>
      <w:marTop w:val="0"/>
      <w:marBottom w:val="0"/>
      <w:divBdr>
        <w:top w:val="none" w:sz="0" w:space="0" w:color="auto"/>
        <w:left w:val="none" w:sz="0" w:space="0" w:color="auto"/>
        <w:bottom w:val="none" w:sz="0" w:space="0" w:color="auto"/>
        <w:right w:val="none" w:sz="0" w:space="0" w:color="auto"/>
      </w:divBdr>
    </w:div>
    <w:div w:id="1830513741">
      <w:bodyDiv w:val="1"/>
      <w:marLeft w:val="0"/>
      <w:marRight w:val="0"/>
      <w:marTop w:val="0"/>
      <w:marBottom w:val="0"/>
      <w:divBdr>
        <w:top w:val="none" w:sz="0" w:space="0" w:color="auto"/>
        <w:left w:val="none" w:sz="0" w:space="0" w:color="auto"/>
        <w:bottom w:val="none" w:sz="0" w:space="0" w:color="auto"/>
        <w:right w:val="none" w:sz="0" w:space="0" w:color="auto"/>
      </w:divBdr>
    </w:div>
    <w:div w:id="1830560844">
      <w:bodyDiv w:val="1"/>
      <w:marLeft w:val="0"/>
      <w:marRight w:val="0"/>
      <w:marTop w:val="0"/>
      <w:marBottom w:val="0"/>
      <w:divBdr>
        <w:top w:val="none" w:sz="0" w:space="0" w:color="auto"/>
        <w:left w:val="none" w:sz="0" w:space="0" w:color="auto"/>
        <w:bottom w:val="none" w:sz="0" w:space="0" w:color="auto"/>
        <w:right w:val="none" w:sz="0" w:space="0" w:color="auto"/>
      </w:divBdr>
    </w:div>
    <w:div w:id="1830562928">
      <w:bodyDiv w:val="1"/>
      <w:marLeft w:val="0"/>
      <w:marRight w:val="0"/>
      <w:marTop w:val="0"/>
      <w:marBottom w:val="0"/>
      <w:divBdr>
        <w:top w:val="none" w:sz="0" w:space="0" w:color="auto"/>
        <w:left w:val="none" w:sz="0" w:space="0" w:color="auto"/>
        <w:bottom w:val="none" w:sz="0" w:space="0" w:color="auto"/>
        <w:right w:val="none" w:sz="0" w:space="0" w:color="auto"/>
      </w:divBdr>
    </w:div>
    <w:div w:id="1830630744">
      <w:bodyDiv w:val="1"/>
      <w:marLeft w:val="0"/>
      <w:marRight w:val="0"/>
      <w:marTop w:val="0"/>
      <w:marBottom w:val="0"/>
      <w:divBdr>
        <w:top w:val="none" w:sz="0" w:space="0" w:color="auto"/>
        <w:left w:val="none" w:sz="0" w:space="0" w:color="auto"/>
        <w:bottom w:val="none" w:sz="0" w:space="0" w:color="auto"/>
        <w:right w:val="none" w:sz="0" w:space="0" w:color="auto"/>
      </w:divBdr>
    </w:div>
    <w:div w:id="1830637809">
      <w:bodyDiv w:val="1"/>
      <w:marLeft w:val="0"/>
      <w:marRight w:val="0"/>
      <w:marTop w:val="0"/>
      <w:marBottom w:val="0"/>
      <w:divBdr>
        <w:top w:val="none" w:sz="0" w:space="0" w:color="auto"/>
        <w:left w:val="none" w:sz="0" w:space="0" w:color="auto"/>
        <w:bottom w:val="none" w:sz="0" w:space="0" w:color="auto"/>
        <w:right w:val="none" w:sz="0" w:space="0" w:color="auto"/>
      </w:divBdr>
    </w:div>
    <w:div w:id="1830707087">
      <w:bodyDiv w:val="1"/>
      <w:marLeft w:val="0"/>
      <w:marRight w:val="0"/>
      <w:marTop w:val="0"/>
      <w:marBottom w:val="0"/>
      <w:divBdr>
        <w:top w:val="none" w:sz="0" w:space="0" w:color="auto"/>
        <w:left w:val="none" w:sz="0" w:space="0" w:color="auto"/>
        <w:bottom w:val="none" w:sz="0" w:space="0" w:color="auto"/>
        <w:right w:val="none" w:sz="0" w:space="0" w:color="auto"/>
      </w:divBdr>
    </w:div>
    <w:div w:id="1830711438">
      <w:bodyDiv w:val="1"/>
      <w:marLeft w:val="0"/>
      <w:marRight w:val="0"/>
      <w:marTop w:val="0"/>
      <w:marBottom w:val="0"/>
      <w:divBdr>
        <w:top w:val="none" w:sz="0" w:space="0" w:color="auto"/>
        <w:left w:val="none" w:sz="0" w:space="0" w:color="auto"/>
        <w:bottom w:val="none" w:sz="0" w:space="0" w:color="auto"/>
        <w:right w:val="none" w:sz="0" w:space="0" w:color="auto"/>
      </w:divBdr>
    </w:div>
    <w:div w:id="1830756338">
      <w:bodyDiv w:val="1"/>
      <w:marLeft w:val="0"/>
      <w:marRight w:val="0"/>
      <w:marTop w:val="0"/>
      <w:marBottom w:val="0"/>
      <w:divBdr>
        <w:top w:val="none" w:sz="0" w:space="0" w:color="auto"/>
        <w:left w:val="none" w:sz="0" w:space="0" w:color="auto"/>
        <w:bottom w:val="none" w:sz="0" w:space="0" w:color="auto"/>
        <w:right w:val="none" w:sz="0" w:space="0" w:color="auto"/>
      </w:divBdr>
    </w:div>
    <w:div w:id="1830826917">
      <w:bodyDiv w:val="1"/>
      <w:marLeft w:val="0"/>
      <w:marRight w:val="0"/>
      <w:marTop w:val="0"/>
      <w:marBottom w:val="0"/>
      <w:divBdr>
        <w:top w:val="none" w:sz="0" w:space="0" w:color="auto"/>
        <w:left w:val="none" w:sz="0" w:space="0" w:color="auto"/>
        <w:bottom w:val="none" w:sz="0" w:space="0" w:color="auto"/>
        <w:right w:val="none" w:sz="0" w:space="0" w:color="auto"/>
      </w:divBdr>
    </w:div>
    <w:div w:id="1831142625">
      <w:bodyDiv w:val="1"/>
      <w:marLeft w:val="0"/>
      <w:marRight w:val="0"/>
      <w:marTop w:val="0"/>
      <w:marBottom w:val="0"/>
      <w:divBdr>
        <w:top w:val="none" w:sz="0" w:space="0" w:color="auto"/>
        <w:left w:val="none" w:sz="0" w:space="0" w:color="auto"/>
        <w:bottom w:val="none" w:sz="0" w:space="0" w:color="auto"/>
        <w:right w:val="none" w:sz="0" w:space="0" w:color="auto"/>
      </w:divBdr>
    </w:div>
    <w:div w:id="1831142998">
      <w:bodyDiv w:val="1"/>
      <w:marLeft w:val="0"/>
      <w:marRight w:val="0"/>
      <w:marTop w:val="0"/>
      <w:marBottom w:val="0"/>
      <w:divBdr>
        <w:top w:val="none" w:sz="0" w:space="0" w:color="auto"/>
        <w:left w:val="none" w:sz="0" w:space="0" w:color="auto"/>
        <w:bottom w:val="none" w:sz="0" w:space="0" w:color="auto"/>
        <w:right w:val="none" w:sz="0" w:space="0" w:color="auto"/>
      </w:divBdr>
    </w:div>
    <w:div w:id="1831170582">
      <w:bodyDiv w:val="1"/>
      <w:marLeft w:val="0"/>
      <w:marRight w:val="0"/>
      <w:marTop w:val="0"/>
      <w:marBottom w:val="0"/>
      <w:divBdr>
        <w:top w:val="none" w:sz="0" w:space="0" w:color="auto"/>
        <w:left w:val="none" w:sz="0" w:space="0" w:color="auto"/>
        <w:bottom w:val="none" w:sz="0" w:space="0" w:color="auto"/>
        <w:right w:val="none" w:sz="0" w:space="0" w:color="auto"/>
      </w:divBdr>
    </w:div>
    <w:div w:id="1831170747">
      <w:bodyDiv w:val="1"/>
      <w:marLeft w:val="0"/>
      <w:marRight w:val="0"/>
      <w:marTop w:val="0"/>
      <w:marBottom w:val="0"/>
      <w:divBdr>
        <w:top w:val="none" w:sz="0" w:space="0" w:color="auto"/>
        <w:left w:val="none" w:sz="0" w:space="0" w:color="auto"/>
        <w:bottom w:val="none" w:sz="0" w:space="0" w:color="auto"/>
        <w:right w:val="none" w:sz="0" w:space="0" w:color="auto"/>
      </w:divBdr>
    </w:div>
    <w:div w:id="1831172944">
      <w:bodyDiv w:val="1"/>
      <w:marLeft w:val="0"/>
      <w:marRight w:val="0"/>
      <w:marTop w:val="0"/>
      <w:marBottom w:val="0"/>
      <w:divBdr>
        <w:top w:val="none" w:sz="0" w:space="0" w:color="auto"/>
        <w:left w:val="none" w:sz="0" w:space="0" w:color="auto"/>
        <w:bottom w:val="none" w:sz="0" w:space="0" w:color="auto"/>
        <w:right w:val="none" w:sz="0" w:space="0" w:color="auto"/>
      </w:divBdr>
    </w:div>
    <w:div w:id="1831216437">
      <w:bodyDiv w:val="1"/>
      <w:marLeft w:val="0"/>
      <w:marRight w:val="0"/>
      <w:marTop w:val="0"/>
      <w:marBottom w:val="0"/>
      <w:divBdr>
        <w:top w:val="none" w:sz="0" w:space="0" w:color="auto"/>
        <w:left w:val="none" w:sz="0" w:space="0" w:color="auto"/>
        <w:bottom w:val="none" w:sz="0" w:space="0" w:color="auto"/>
        <w:right w:val="none" w:sz="0" w:space="0" w:color="auto"/>
      </w:divBdr>
    </w:div>
    <w:div w:id="1831483740">
      <w:bodyDiv w:val="1"/>
      <w:marLeft w:val="0"/>
      <w:marRight w:val="0"/>
      <w:marTop w:val="0"/>
      <w:marBottom w:val="0"/>
      <w:divBdr>
        <w:top w:val="none" w:sz="0" w:space="0" w:color="auto"/>
        <w:left w:val="none" w:sz="0" w:space="0" w:color="auto"/>
        <w:bottom w:val="none" w:sz="0" w:space="0" w:color="auto"/>
        <w:right w:val="none" w:sz="0" w:space="0" w:color="auto"/>
      </w:divBdr>
    </w:div>
    <w:div w:id="1831553925">
      <w:bodyDiv w:val="1"/>
      <w:marLeft w:val="0"/>
      <w:marRight w:val="0"/>
      <w:marTop w:val="0"/>
      <w:marBottom w:val="0"/>
      <w:divBdr>
        <w:top w:val="none" w:sz="0" w:space="0" w:color="auto"/>
        <w:left w:val="none" w:sz="0" w:space="0" w:color="auto"/>
        <w:bottom w:val="none" w:sz="0" w:space="0" w:color="auto"/>
        <w:right w:val="none" w:sz="0" w:space="0" w:color="auto"/>
      </w:divBdr>
    </w:div>
    <w:div w:id="1831748153">
      <w:bodyDiv w:val="1"/>
      <w:marLeft w:val="0"/>
      <w:marRight w:val="0"/>
      <w:marTop w:val="0"/>
      <w:marBottom w:val="0"/>
      <w:divBdr>
        <w:top w:val="none" w:sz="0" w:space="0" w:color="auto"/>
        <w:left w:val="none" w:sz="0" w:space="0" w:color="auto"/>
        <w:bottom w:val="none" w:sz="0" w:space="0" w:color="auto"/>
        <w:right w:val="none" w:sz="0" w:space="0" w:color="auto"/>
      </w:divBdr>
    </w:div>
    <w:div w:id="1831751442">
      <w:bodyDiv w:val="1"/>
      <w:marLeft w:val="0"/>
      <w:marRight w:val="0"/>
      <w:marTop w:val="0"/>
      <w:marBottom w:val="0"/>
      <w:divBdr>
        <w:top w:val="none" w:sz="0" w:space="0" w:color="auto"/>
        <w:left w:val="none" w:sz="0" w:space="0" w:color="auto"/>
        <w:bottom w:val="none" w:sz="0" w:space="0" w:color="auto"/>
        <w:right w:val="none" w:sz="0" w:space="0" w:color="auto"/>
      </w:divBdr>
    </w:div>
    <w:div w:id="1831822866">
      <w:bodyDiv w:val="1"/>
      <w:marLeft w:val="0"/>
      <w:marRight w:val="0"/>
      <w:marTop w:val="0"/>
      <w:marBottom w:val="0"/>
      <w:divBdr>
        <w:top w:val="none" w:sz="0" w:space="0" w:color="auto"/>
        <w:left w:val="none" w:sz="0" w:space="0" w:color="auto"/>
        <w:bottom w:val="none" w:sz="0" w:space="0" w:color="auto"/>
        <w:right w:val="none" w:sz="0" w:space="0" w:color="auto"/>
      </w:divBdr>
    </w:div>
    <w:div w:id="1831868288">
      <w:bodyDiv w:val="1"/>
      <w:marLeft w:val="0"/>
      <w:marRight w:val="0"/>
      <w:marTop w:val="0"/>
      <w:marBottom w:val="0"/>
      <w:divBdr>
        <w:top w:val="none" w:sz="0" w:space="0" w:color="auto"/>
        <w:left w:val="none" w:sz="0" w:space="0" w:color="auto"/>
        <w:bottom w:val="none" w:sz="0" w:space="0" w:color="auto"/>
        <w:right w:val="none" w:sz="0" w:space="0" w:color="auto"/>
      </w:divBdr>
    </w:div>
    <w:div w:id="1831942295">
      <w:bodyDiv w:val="1"/>
      <w:marLeft w:val="0"/>
      <w:marRight w:val="0"/>
      <w:marTop w:val="0"/>
      <w:marBottom w:val="0"/>
      <w:divBdr>
        <w:top w:val="none" w:sz="0" w:space="0" w:color="auto"/>
        <w:left w:val="none" w:sz="0" w:space="0" w:color="auto"/>
        <w:bottom w:val="none" w:sz="0" w:space="0" w:color="auto"/>
        <w:right w:val="none" w:sz="0" w:space="0" w:color="auto"/>
      </w:divBdr>
    </w:div>
    <w:div w:id="1832402071">
      <w:bodyDiv w:val="1"/>
      <w:marLeft w:val="0"/>
      <w:marRight w:val="0"/>
      <w:marTop w:val="0"/>
      <w:marBottom w:val="0"/>
      <w:divBdr>
        <w:top w:val="none" w:sz="0" w:space="0" w:color="auto"/>
        <w:left w:val="none" w:sz="0" w:space="0" w:color="auto"/>
        <w:bottom w:val="none" w:sz="0" w:space="0" w:color="auto"/>
        <w:right w:val="none" w:sz="0" w:space="0" w:color="auto"/>
      </w:divBdr>
    </w:div>
    <w:div w:id="1832403873">
      <w:bodyDiv w:val="1"/>
      <w:marLeft w:val="0"/>
      <w:marRight w:val="0"/>
      <w:marTop w:val="0"/>
      <w:marBottom w:val="0"/>
      <w:divBdr>
        <w:top w:val="none" w:sz="0" w:space="0" w:color="auto"/>
        <w:left w:val="none" w:sz="0" w:space="0" w:color="auto"/>
        <w:bottom w:val="none" w:sz="0" w:space="0" w:color="auto"/>
        <w:right w:val="none" w:sz="0" w:space="0" w:color="auto"/>
      </w:divBdr>
    </w:div>
    <w:div w:id="1832406856">
      <w:bodyDiv w:val="1"/>
      <w:marLeft w:val="0"/>
      <w:marRight w:val="0"/>
      <w:marTop w:val="0"/>
      <w:marBottom w:val="0"/>
      <w:divBdr>
        <w:top w:val="none" w:sz="0" w:space="0" w:color="auto"/>
        <w:left w:val="none" w:sz="0" w:space="0" w:color="auto"/>
        <w:bottom w:val="none" w:sz="0" w:space="0" w:color="auto"/>
        <w:right w:val="none" w:sz="0" w:space="0" w:color="auto"/>
      </w:divBdr>
    </w:div>
    <w:div w:id="1832453362">
      <w:bodyDiv w:val="1"/>
      <w:marLeft w:val="0"/>
      <w:marRight w:val="0"/>
      <w:marTop w:val="0"/>
      <w:marBottom w:val="0"/>
      <w:divBdr>
        <w:top w:val="none" w:sz="0" w:space="0" w:color="auto"/>
        <w:left w:val="none" w:sz="0" w:space="0" w:color="auto"/>
        <w:bottom w:val="none" w:sz="0" w:space="0" w:color="auto"/>
        <w:right w:val="none" w:sz="0" w:space="0" w:color="auto"/>
      </w:divBdr>
    </w:div>
    <w:div w:id="1832528837">
      <w:bodyDiv w:val="1"/>
      <w:marLeft w:val="0"/>
      <w:marRight w:val="0"/>
      <w:marTop w:val="0"/>
      <w:marBottom w:val="0"/>
      <w:divBdr>
        <w:top w:val="none" w:sz="0" w:space="0" w:color="auto"/>
        <w:left w:val="none" w:sz="0" w:space="0" w:color="auto"/>
        <w:bottom w:val="none" w:sz="0" w:space="0" w:color="auto"/>
        <w:right w:val="none" w:sz="0" w:space="0" w:color="auto"/>
      </w:divBdr>
    </w:div>
    <w:div w:id="1832600725">
      <w:bodyDiv w:val="1"/>
      <w:marLeft w:val="0"/>
      <w:marRight w:val="0"/>
      <w:marTop w:val="0"/>
      <w:marBottom w:val="0"/>
      <w:divBdr>
        <w:top w:val="none" w:sz="0" w:space="0" w:color="auto"/>
        <w:left w:val="none" w:sz="0" w:space="0" w:color="auto"/>
        <w:bottom w:val="none" w:sz="0" w:space="0" w:color="auto"/>
        <w:right w:val="none" w:sz="0" w:space="0" w:color="auto"/>
      </w:divBdr>
    </w:div>
    <w:div w:id="1832601182">
      <w:bodyDiv w:val="1"/>
      <w:marLeft w:val="0"/>
      <w:marRight w:val="0"/>
      <w:marTop w:val="0"/>
      <w:marBottom w:val="0"/>
      <w:divBdr>
        <w:top w:val="none" w:sz="0" w:space="0" w:color="auto"/>
        <w:left w:val="none" w:sz="0" w:space="0" w:color="auto"/>
        <w:bottom w:val="none" w:sz="0" w:space="0" w:color="auto"/>
        <w:right w:val="none" w:sz="0" w:space="0" w:color="auto"/>
      </w:divBdr>
    </w:div>
    <w:div w:id="1832672061">
      <w:bodyDiv w:val="1"/>
      <w:marLeft w:val="0"/>
      <w:marRight w:val="0"/>
      <w:marTop w:val="0"/>
      <w:marBottom w:val="0"/>
      <w:divBdr>
        <w:top w:val="none" w:sz="0" w:space="0" w:color="auto"/>
        <w:left w:val="none" w:sz="0" w:space="0" w:color="auto"/>
        <w:bottom w:val="none" w:sz="0" w:space="0" w:color="auto"/>
        <w:right w:val="none" w:sz="0" w:space="0" w:color="auto"/>
      </w:divBdr>
    </w:div>
    <w:div w:id="1832672063">
      <w:bodyDiv w:val="1"/>
      <w:marLeft w:val="0"/>
      <w:marRight w:val="0"/>
      <w:marTop w:val="0"/>
      <w:marBottom w:val="0"/>
      <w:divBdr>
        <w:top w:val="none" w:sz="0" w:space="0" w:color="auto"/>
        <w:left w:val="none" w:sz="0" w:space="0" w:color="auto"/>
        <w:bottom w:val="none" w:sz="0" w:space="0" w:color="auto"/>
        <w:right w:val="none" w:sz="0" w:space="0" w:color="auto"/>
      </w:divBdr>
    </w:div>
    <w:div w:id="1832672838">
      <w:bodyDiv w:val="1"/>
      <w:marLeft w:val="0"/>
      <w:marRight w:val="0"/>
      <w:marTop w:val="0"/>
      <w:marBottom w:val="0"/>
      <w:divBdr>
        <w:top w:val="none" w:sz="0" w:space="0" w:color="auto"/>
        <w:left w:val="none" w:sz="0" w:space="0" w:color="auto"/>
        <w:bottom w:val="none" w:sz="0" w:space="0" w:color="auto"/>
        <w:right w:val="none" w:sz="0" w:space="0" w:color="auto"/>
      </w:divBdr>
    </w:div>
    <w:div w:id="1832746548">
      <w:bodyDiv w:val="1"/>
      <w:marLeft w:val="0"/>
      <w:marRight w:val="0"/>
      <w:marTop w:val="0"/>
      <w:marBottom w:val="0"/>
      <w:divBdr>
        <w:top w:val="none" w:sz="0" w:space="0" w:color="auto"/>
        <w:left w:val="none" w:sz="0" w:space="0" w:color="auto"/>
        <w:bottom w:val="none" w:sz="0" w:space="0" w:color="auto"/>
        <w:right w:val="none" w:sz="0" w:space="0" w:color="auto"/>
      </w:divBdr>
    </w:div>
    <w:div w:id="1832797418">
      <w:bodyDiv w:val="1"/>
      <w:marLeft w:val="0"/>
      <w:marRight w:val="0"/>
      <w:marTop w:val="0"/>
      <w:marBottom w:val="0"/>
      <w:divBdr>
        <w:top w:val="none" w:sz="0" w:space="0" w:color="auto"/>
        <w:left w:val="none" w:sz="0" w:space="0" w:color="auto"/>
        <w:bottom w:val="none" w:sz="0" w:space="0" w:color="auto"/>
        <w:right w:val="none" w:sz="0" w:space="0" w:color="auto"/>
      </w:divBdr>
    </w:div>
    <w:div w:id="1832863892">
      <w:bodyDiv w:val="1"/>
      <w:marLeft w:val="0"/>
      <w:marRight w:val="0"/>
      <w:marTop w:val="0"/>
      <w:marBottom w:val="0"/>
      <w:divBdr>
        <w:top w:val="none" w:sz="0" w:space="0" w:color="auto"/>
        <w:left w:val="none" w:sz="0" w:space="0" w:color="auto"/>
        <w:bottom w:val="none" w:sz="0" w:space="0" w:color="auto"/>
        <w:right w:val="none" w:sz="0" w:space="0" w:color="auto"/>
      </w:divBdr>
    </w:div>
    <w:div w:id="1832865379">
      <w:bodyDiv w:val="1"/>
      <w:marLeft w:val="0"/>
      <w:marRight w:val="0"/>
      <w:marTop w:val="0"/>
      <w:marBottom w:val="0"/>
      <w:divBdr>
        <w:top w:val="none" w:sz="0" w:space="0" w:color="auto"/>
        <w:left w:val="none" w:sz="0" w:space="0" w:color="auto"/>
        <w:bottom w:val="none" w:sz="0" w:space="0" w:color="auto"/>
        <w:right w:val="none" w:sz="0" w:space="0" w:color="auto"/>
      </w:divBdr>
    </w:div>
    <w:div w:id="1832871551">
      <w:bodyDiv w:val="1"/>
      <w:marLeft w:val="0"/>
      <w:marRight w:val="0"/>
      <w:marTop w:val="0"/>
      <w:marBottom w:val="0"/>
      <w:divBdr>
        <w:top w:val="none" w:sz="0" w:space="0" w:color="auto"/>
        <w:left w:val="none" w:sz="0" w:space="0" w:color="auto"/>
        <w:bottom w:val="none" w:sz="0" w:space="0" w:color="auto"/>
        <w:right w:val="none" w:sz="0" w:space="0" w:color="auto"/>
      </w:divBdr>
    </w:div>
    <w:div w:id="1832982917">
      <w:bodyDiv w:val="1"/>
      <w:marLeft w:val="0"/>
      <w:marRight w:val="0"/>
      <w:marTop w:val="0"/>
      <w:marBottom w:val="0"/>
      <w:divBdr>
        <w:top w:val="none" w:sz="0" w:space="0" w:color="auto"/>
        <w:left w:val="none" w:sz="0" w:space="0" w:color="auto"/>
        <w:bottom w:val="none" w:sz="0" w:space="0" w:color="auto"/>
        <w:right w:val="none" w:sz="0" w:space="0" w:color="auto"/>
      </w:divBdr>
    </w:div>
    <w:div w:id="1832984080">
      <w:bodyDiv w:val="1"/>
      <w:marLeft w:val="0"/>
      <w:marRight w:val="0"/>
      <w:marTop w:val="0"/>
      <w:marBottom w:val="0"/>
      <w:divBdr>
        <w:top w:val="none" w:sz="0" w:space="0" w:color="auto"/>
        <w:left w:val="none" w:sz="0" w:space="0" w:color="auto"/>
        <w:bottom w:val="none" w:sz="0" w:space="0" w:color="auto"/>
        <w:right w:val="none" w:sz="0" w:space="0" w:color="auto"/>
      </w:divBdr>
    </w:div>
    <w:div w:id="1832990508">
      <w:bodyDiv w:val="1"/>
      <w:marLeft w:val="0"/>
      <w:marRight w:val="0"/>
      <w:marTop w:val="0"/>
      <w:marBottom w:val="0"/>
      <w:divBdr>
        <w:top w:val="none" w:sz="0" w:space="0" w:color="auto"/>
        <w:left w:val="none" w:sz="0" w:space="0" w:color="auto"/>
        <w:bottom w:val="none" w:sz="0" w:space="0" w:color="auto"/>
        <w:right w:val="none" w:sz="0" w:space="0" w:color="auto"/>
      </w:divBdr>
    </w:div>
    <w:div w:id="1833132392">
      <w:bodyDiv w:val="1"/>
      <w:marLeft w:val="0"/>
      <w:marRight w:val="0"/>
      <w:marTop w:val="0"/>
      <w:marBottom w:val="0"/>
      <w:divBdr>
        <w:top w:val="none" w:sz="0" w:space="0" w:color="auto"/>
        <w:left w:val="none" w:sz="0" w:space="0" w:color="auto"/>
        <w:bottom w:val="none" w:sz="0" w:space="0" w:color="auto"/>
        <w:right w:val="none" w:sz="0" w:space="0" w:color="auto"/>
      </w:divBdr>
    </w:div>
    <w:div w:id="1833180517">
      <w:bodyDiv w:val="1"/>
      <w:marLeft w:val="0"/>
      <w:marRight w:val="0"/>
      <w:marTop w:val="0"/>
      <w:marBottom w:val="0"/>
      <w:divBdr>
        <w:top w:val="none" w:sz="0" w:space="0" w:color="auto"/>
        <w:left w:val="none" w:sz="0" w:space="0" w:color="auto"/>
        <w:bottom w:val="none" w:sz="0" w:space="0" w:color="auto"/>
        <w:right w:val="none" w:sz="0" w:space="0" w:color="auto"/>
      </w:divBdr>
    </w:div>
    <w:div w:id="1833450378">
      <w:bodyDiv w:val="1"/>
      <w:marLeft w:val="0"/>
      <w:marRight w:val="0"/>
      <w:marTop w:val="0"/>
      <w:marBottom w:val="0"/>
      <w:divBdr>
        <w:top w:val="none" w:sz="0" w:space="0" w:color="auto"/>
        <w:left w:val="none" w:sz="0" w:space="0" w:color="auto"/>
        <w:bottom w:val="none" w:sz="0" w:space="0" w:color="auto"/>
        <w:right w:val="none" w:sz="0" w:space="0" w:color="auto"/>
      </w:divBdr>
    </w:div>
    <w:div w:id="1833450591">
      <w:bodyDiv w:val="1"/>
      <w:marLeft w:val="0"/>
      <w:marRight w:val="0"/>
      <w:marTop w:val="0"/>
      <w:marBottom w:val="0"/>
      <w:divBdr>
        <w:top w:val="none" w:sz="0" w:space="0" w:color="auto"/>
        <w:left w:val="none" w:sz="0" w:space="0" w:color="auto"/>
        <w:bottom w:val="none" w:sz="0" w:space="0" w:color="auto"/>
        <w:right w:val="none" w:sz="0" w:space="0" w:color="auto"/>
      </w:divBdr>
    </w:div>
    <w:div w:id="1833452340">
      <w:bodyDiv w:val="1"/>
      <w:marLeft w:val="0"/>
      <w:marRight w:val="0"/>
      <w:marTop w:val="0"/>
      <w:marBottom w:val="0"/>
      <w:divBdr>
        <w:top w:val="none" w:sz="0" w:space="0" w:color="auto"/>
        <w:left w:val="none" w:sz="0" w:space="0" w:color="auto"/>
        <w:bottom w:val="none" w:sz="0" w:space="0" w:color="auto"/>
        <w:right w:val="none" w:sz="0" w:space="0" w:color="auto"/>
      </w:divBdr>
    </w:div>
    <w:div w:id="1833639375">
      <w:bodyDiv w:val="1"/>
      <w:marLeft w:val="0"/>
      <w:marRight w:val="0"/>
      <w:marTop w:val="0"/>
      <w:marBottom w:val="0"/>
      <w:divBdr>
        <w:top w:val="none" w:sz="0" w:space="0" w:color="auto"/>
        <w:left w:val="none" w:sz="0" w:space="0" w:color="auto"/>
        <w:bottom w:val="none" w:sz="0" w:space="0" w:color="auto"/>
        <w:right w:val="none" w:sz="0" w:space="0" w:color="auto"/>
      </w:divBdr>
    </w:div>
    <w:div w:id="1834025018">
      <w:bodyDiv w:val="1"/>
      <w:marLeft w:val="0"/>
      <w:marRight w:val="0"/>
      <w:marTop w:val="0"/>
      <w:marBottom w:val="0"/>
      <w:divBdr>
        <w:top w:val="none" w:sz="0" w:space="0" w:color="auto"/>
        <w:left w:val="none" w:sz="0" w:space="0" w:color="auto"/>
        <w:bottom w:val="none" w:sz="0" w:space="0" w:color="auto"/>
        <w:right w:val="none" w:sz="0" w:space="0" w:color="auto"/>
      </w:divBdr>
    </w:div>
    <w:div w:id="1834101109">
      <w:bodyDiv w:val="1"/>
      <w:marLeft w:val="0"/>
      <w:marRight w:val="0"/>
      <w:marTop w:val="0"/>
      <w:marBottom w:val="0"/>
      <w:divBdr>
        <w:top w:val="none" w:sz="0" w:space="0" w:color="auto"/>
        <w:left w:val="none" w:sz="0" w:space="0" w:color="auto"/>
        <w:bottom w:val="none" w:sz="0" w:space="0" w:color="auto"/>
        <w:right w:val="none" w:sz="0" w:space="0" w:color="auto"/>
      </w:divBdr>
    </w:div>
    <w:div w:id="1834101227">
      <w:bodyDiv w:val="1"/>
      <w:marLeft w:val="0"/>
      <w:marRight w:val="0"/>
      <w:marTop w:val="0"/>
      <w:marBottom w:val="0"/>
      <w:divBdr>
        <w:top w:val="none" w:sz="0" w:space="0" w:color="auto"/>
        <w:left w:val="none" w:sz="0" w:space="0" w:color="auto"/>
        <w:bottom w:val="none" w:sz="0" w:space="0" w:color="auto"/>
        <w:right w:val="none" w:sz="0" w:space="0" w:color="auto"/>
      </w:divBdr>
    </w:div>
    <w:div w:id="1834175362">
      <w:bodyDiv w:val="1"/>
      <w:marLeft w:val="0"/>
      <w:marRight w:val="0"/>
      <w:marTop w:val="0"/>
      <w:marBottom w:val="0"/>
      <w:divBdr>
        <w:top w:val="none" w:sz="0" w:space="0" w:color="auto"/>
        <w:left w:val="none" w:sz="0" w:space="0" w:color="auto"/>
        <w:bottom w:val="none" w:sz="0" w:space="0" w:color="auto"/>
        <w:right w:val="none" w:sz="0" w:space="0" w:color="auto"/>
      </w:divBdr>
    </w:div>
    <w:div w:id="1834181471">
      <w:bodyDiv w:val="1"/>
      <w:marLeft w:val="0"/>
      <w:marRight w:val="0"/>
      <w:marTop w:val="0"/>
      <w:marBottom w:val="0"/>
      <w:divBdr>
        <w:top w:val="none" w:sz="0" w:space="0" w:color="auto"/>
        <w:left w:val="none" w:sz="0" w:space="0" w:color="auto"/>
        <w:bottom w:val="none" w:sz="0" w:space="0" w:color="auto"/>
        <w:right w:val="none" w:sz="0" w:space="0" w:color="auto"/>
      </w:divBdr>
    </w:div>
    <w:div w:id="1834249649">
      <w:bodyDiv w:val="1"/>
      <w:marLeft w:val="0"/>
      <w:marRight w:val="0"/>
      <w:marTop w:val="0"/>
      <w:marBottom w:val="0"/>
      <w:divBdr>
        <w:top w:val="none" w:sz="0" w:space="0" w:color="auto"/>
        <w:left w:val="none" w:sz="0" w:space="0" w:color="auto"/>
        <w:bottom w:val="none" w:sz="0" w:space="0" w:color="auto"/>
        <w:right w:val="none" w:sz="0" w:space="0" w:color="auto"/>
      </w:divBdr>
    </w:div>
    <w:div w:id="1834252990">
      <w:bodyDiv w:val="1"/>
      <w:marLeft w:val="0"/>
      <w:marRight w:val="0"/>
      <w:marTop w:val="0"/>
      <w:marBottom w:val="0"/>
      <w:divBdr>
        <w:top w:val="none" w:sz="0" w:space="0" w:color="auto"/>
        <w:left w:val="none" w:sz="0" w:space="0" w:color="auto"/>
        <w:bottom w:val="none" w:sz="0" w:space="0" w:color="auto"/>
        <w:right w:val="none" w:sz="0" w:space="0" w:color="auto"/>
      </w:divBdr>
    </w:div>
    <w:div w:id="1834293910">
      <w:bodyDiv w:val="1"/>
      <w:marLeft w:val="0"/>
      <w:marRight w:val="0"/>
      <w:marTop w:val="0"/>
      <w:marBottom w:val="0"/>
      <w:divBdr>
        <w:top w:val="none" w:sz="0" w:space="0" w:color="auto"/>
        <w:left w:val="none" w:sz="0" w:space="0" w:color="auto"/>
        <w:bottom w:val="none" w:sz="0" w:space="0" w:color="auto"/>
        <w:right w:val="none" w:sz="0" w:space="0" w:color="auto"/>
      </w:divBdr>
    </w:div>
    <w:div w:id="1834370945">
      <w:bodyDiv w:val="1"/>
      <w:marLeft w:val="0"/>
      <w:marRight w:val="0"/>
      <w:marTop w:val="0"/>
      <w:marBottom w:val="0"/>
      <w:divBdr>
        <w:top w:val="none" w:sz="0" w:space="0" w:color="auto"/>
        <w:left w:val="none" w:sz="0" w:space="0" w:color="auto"/>
        <w:bottom w:val="none" w:sz="0" w:space="0" w:color="auto"/>
        <w:right w:val="none" w:sz="0" w:space="0" w:color="auto"/>
      </w:divBdr>
    </w:div>
    <w:div w:id="1834375658">
      <w:bodyDiv w:val="1"/>
      <w:marLeft w:val="0"/>
      <w:marRight w:val="0"/>
      <w:marTop w:val="0"/>
      <w:marBottom w:val="0"/>
      <w:divBdr>
        <w:top w:val="none" w:sz="0" w:space="0" w:color="auto"/>
        <w:left w:val="none" w:sz="0" w:space="0" w:color="auto"/>
        <w:bottom w:val="none" w:sz="0" w:space="0" w:color="auto"/>
        <w:right w:val="none" w:sz="0" w:space="0" w:color="auto"/>
      </w:divBdr>
    </w:div>
    <w:div w:id="1834568820">
      <w:bodyDiv w:val="1"/>
      <w:marLeft w:val="0"/>
      <w:marRight w:val="0"/>
      <w:marTop w:val="0"/>
      <w:marBottom w:val="0"/>
      <w:divBdr>
        <w:top w:val="none" w:sz="0" w:space="0" w:color="auto"/>
        <w:left w:val="none" w:sz="0" w:space="0" w:color="auto"/>
        <w:bottom w:val="none" w:sz="0" w:space="0" w:color="auto"/>
        <w:right w:val="none" w:sz="0" w:space="0" w:color="auto"/>
      </w:divBdr>
    </w:div>
    <w:div w:id="1834683877">
      <w:bodyDiv w:val="1"/>
      <w:marLeft w:val="0"/>
      <w:marRight w:val="0"/>
      <w:marTop w:val="0"/>
      <w:marBottom w:val="0"/>
      <w:divBdr>
        <w:top w:val="none" w:sz="0" w:space="0" w:color="auto"/>
        <w:left w:val="none" w:sz="0" w:space="0" w:color="auto"/>
        <w:bottom w:val="none" w:sz="0" w:space="0" w:color="auto"/>
        <w:right w:val="none" w:sz="0" w:space="0" w:color="auto"/>
      </w:divBdr>
    </w:div>
    <w:div w:id="1834829977">
      <w:bodyDiv w:val="1"/>
      <w:marLeft w:val="0"/>
      <w:marRight w:val="0"/>
      <w:marTop w:val="0"/>
      <w:marBottom w:val="0"/>
      <w:divBdr>
        <w:top w:val="none" w:sz="0" w:space="0" w:color="auto"/>
        <w:left w:val="none" w:sz="0" w:space="0" w:color="auto"/>
        <w:bottom w:val="none" w:sz="0" w:space="0" w:color="auto"/>
        <w:right w:val="none" w:sz="0" w:space="0" w:color="auto"/>
      </w:divBdr>
    </w:div>
    <w:div w:id="1834834124">
      <w:bodyDiv w:val="1"/>
      <w:marLeft w:val="0"/>
      <w:marRight w:val="0"/>
      <w:marTop w:val="0"/>
      <w:marBottom w:val="0"/>
      <w:divBdr>
        <w:top w:val="none" w:sz="0" w:space="0" w:color="auto"/>
        <w:left w:val="none" w:sz="0" w:space="0" w:color="auto"/>
        <w:bottom w:val="none" w:sz="0" w:space="0" w:color="auto"/>
        <w:right w:val="none" w:sz="0" w:space="0" w:color="auto"/>
      </w:divBdr>
    </w:div>
    <w:div w:id="1834879722">
      <w:bodyDiv w:val="1"/>
      <w:marLeft w:val="0"/>
      <w:marRight w:val="0"/>
      <w:marTop w:val="0"/>
      <w:marBottom w:val="0"/>
      <w:divBdr>
        <w:top w:val="none" w:sz="0" w:space="0" w:color="auto"/>
        <w:left w:val="none" w:sz="0" w:space="0" w:color="auto"/>
        <w:bottom w:val="none" w:sz="0" w:space="0" w:color="auto"/>
        <w:right w:val="none" w:sz="0" w:space="0" w:color="auto"/>
      </w:divBdr>
    </w:div>
    <w:div w:id="1834909218">
      <w:bodyDiv w:val="1"/>
      <w:marLeft w:val="0"/>
      <w:marRight w:val="0"/>
      <w:marTop w:val="0"/>
      <w:marBottom w:val="0"/>
      <w:divBdr>
        <w:top w:val="none" w:sz="0" w:space="0" w:color="auto"/>
        <w:left w:val="none" w:sz="0" w:space="0" w:color="auto"/>
        <w:bottom w:val="none" w:sz="0" w:space="0" w:color="auto"/>
        <w:right w:val="none" w:sz="0" w:space="0" w:color="auto"/>
      </w:divBdr>
    </w:div>
    <w:div w:id="1834948204">
      <w:bodyDiv w:val="1"/>
      <w:marLeft w:val="0"/>
      <w:marRight w:val="0"/>
      <w:marTop w:val="0"/>
      <w:marBottom w:val="0"/>
      <w:divBdr>
        <w:top w:val="none" w:sz="0" w:space="0" w:color="auto"/>
        <w:left w:val="none" w:sz="0" w:space="0" w:color="auto"/>
        <w:bottom w:val="none" w:sz="0" w:space="0" w:color="auto"/>
        <w:right w:val="none" w:sz="0" w:space="0" w:color="auto"/>
      </w:divBdr>
    </w:div>
    <w:div w:id="1834951651">
      <w:bodyDiv w:val="1"/>
      <w:marLeft w:val="0"/>
      <w:marRight w:val="0"/>
      <w:marTop w:val="0"/>
      <w:marBottom w:val="0"/>
      <w:divBdr>
        <w:top w:val="none" w:sz="0" w:space="0" w:color="auto"/>
        <w:left w:val="none" w:sz="0" w:space="0" w:color="auto"/>
        <w:bottom w:val="none" w:sz="0" w:space="0" w:color="auto"/>
        <w:right w:val="none" w:sz="0" w:space="0" w:color="auto"/>
      </w:divBdr>
    </w:div>
    <w:div w:id="1835031804">
      <w:bodyDiv w:val="1"/>
      <w:marLeft w:val="0"/>
      <w:marRight w:val="0"/>
      <w:marTop w:val="0"/>
      <w:marBottom w:val="0"/>
      <w:divBdr>
        <w:top w:val="none" w:sz="0" w:space="0" w:color="auto"/>
        <w:left w:val="none" w:sz="0" w:space="0" w:color="auto"/>
        <w:bottom w:val="none" w:sz="0" w:space="0" w:color="auto"/>
        <w:right w:val="none" w:sz="0" w:space="0" w:color="auto"/>
      </w:divBdr>
    </w:div>
    <w:div w:id="1835410337">
      <w:bodyDiv w:val="1"/>
      <w:marLeft w:val="0"/>
      <w:marRight w:val="0"/>
      <w:marTop w:val="0"/>
      <w:marBottom w:val="0"/>
      <w:divBdr>
        <w:top w:val="none" w:sz="0" w:space="0" w:color="auto"/>
        <w:left w:val="none" w:sz="0" w:space="0" w:color="auto"/>
        <w:bottom w:val="none" w:sz="0" w:space="0" w:color="auto"/>
        <w:right w:val="none" w:sz="0" w:space="0" w:color="auto"/>
      </w:divBdr>
    </w:div>
    <w:div w:id="1835491158">
      <w:bodyDiv w:val="1"/>
      <w:marLeft w:val="0"/>
      <w:marRight w:val="0"/>
      <w:marTop w:val="0"/>
      <w:marBottom w:val="0"/>
      <w:divBdr>
        <w:top w:val="none" w:sz="0" w:space="0" w:color="auto"/>
        <w:left w:val="none" w:sz="0" w:space="0" w:color="auto"/>
        <w:bottom w:val="none" w:sz="0" w:space="0" w:color="auto"/>
        <w:right w:val="none" w:sz="0" w:space="0" w:color="auto"/>
      </w:divBdr>
    </w:div>
    <w:div w:id="1835560424">
      <w:bodyDiv w:val="1"/>
      <w:marLeft w:val="0"/>
      <w:marRight w:val="0"/>
      <w:marTop w:val="0"/>
      <w:marBottom w:val="0"/>
      <w:divBdr>
        <w:top w:val="none" w:sz="0" w:space="0" w:color="auto"/>
        <w:left w:val="none" w:sz="0" w:space="0" w:color="auto"/>
        <w:bottom w:val="none" w:sz="0" w:space="0" w:color="auto"/>
        <w:right w:val="none" w:sz="0" w:space="0" w:color="auto"/>
      </w:divBdr>
    </w:div>
    <w:div w:id="1835604762">
      <w:bodyDiv w:val="1"/>
      <w:marLeft w:val="0"/>
      <w:marRight w:val="0"/>
      <w:marTop w:val="0"/>
      <w:marBottom w:val="0"/>
      <w:divBdr>
        <w:top w:val="none" w:sz="0" w:space="0" w:color="auto"/>
        <w:left w:val="none" w:sz="0" w:space="0" w:color="auto"/>
        <w:bottom w:val="none" w:sz="0" w:space="0" w:color="auto"/>
        <w:right w:val="none" w:sz="0" w:space="0" w:color="auto"/>
      </w:divBdr>
    </w:div>
    <w:div w:id="1835605580">
      <w:bodyDiv w:val="1"/>
      <w:marLeft w:val="0"/>
      <w:marRight w:val="0"/>
      <w:marTop w:val="0"/>
      <w:marBottom w:val="0"/>
      <w:divBdr>
        <w:top w:val="none" w:sz="0" w:space="0" w:color="auto"/>
        <w:left w:val="none" w:sz="0" w:space="0" w:color="auto"/>
        <w:bottom w:val="none" w:sz="0" w:space="0" w:color="auto"/>
        <w:right w:val="none" w:sz="0" w:space="0" w:color="auto"/>
      </w:divBdr>
    </w:div>
    <w:div w:id="1835681149">
      <w:bodyDiv w:val="1"/>
      <w:marLeft w:val="0"/>
      <w:marRight w:val="0"/>
      <w:marTop w:val="0"/>
      <w:marBottom w:val="0"/>
      <w:divBdr>
        <w:top w:val="none" w:sz="0" w:space="0" w:color="auto"/>
        <w:left w:val="none" w:sz="0" w:space="0" w:color="auto"/>
        <w:bottom w:val="none" w:sz="0" w:space="0" w:color="auto"/>
        <w:right w:val="none" w:sz="0" w:space="0" w:color="auto"/>
      </w:divBdr>
    </w:div>
    <w:div w:id="1835684857">
      <w:bodyDiv w:val="1"/>
      <w:marLeft w:val="0"/>
      <w:marRight w:val="0"/>
      <w:marTop w:val="0"/>
      <w:marBottom w:val="0"/>
      <w:divBdr>
        <w:top w:val="none" w:sz="0" w:space="0" w:color="auto"/>
        <w:left w:val="none" w:sz="0" w:space="0" w:color="auto"/>
        <w:bottom w:val="none" w:sz="0" w:space="0" w:color="auto"/>
        <w:right w:val="none" w:sz="0" w:space="0" w:color="auto"/>
      </w:divBdr>
    </w:div>
    <w:div w:id="1835684912">
      <w:bodyDiv w:val="1"/>
      <w:marLeft w:val="0"/>
      <w:marRight w:val="0"/>
      <w:marTop w:val="0"/>
      <w:marBottom w:val="0"/>
      <w:divBdr>
        <w:top w:val="none" w:sz="0" w:space="0" w:color="auto"/>
        <w:left w:val="none" w:sz="0" w:space="0" w:color="auto"/>
        <w:bottom w:val="none" w:sz="0" w:space="0" w:color="auto"/>
        <w:right w:val="none" w:sz="0" w:space="0" w:color="auto"/>
      </w:divBdr>
    </w:div>
    <w:div w:id="1835685747">
      <w:bodyDiv w:val="1"/>
      <w:marLeft w:val="0"/>
      <w:marRight w:val="0"/>
      <w:marTop w:val="0"/>
      <w:marBottom w:val="0"/>
      <w:divBdr>
        <w:top w:val="none" w:sz="0" w:space="0" w:color="auto"/>
        <w:left w:val="none" w:sz="0" w:space="0" w:color="auto"/>
        <w:bottom w:val="none" w:sz="0" w:space="0" w:color="auto"/>
        <w:right w:val="none" w:sz="0" w:space="0" w:color="auto"/>
      </w:divBdr>
    </w:div>
    <w:div w:id="1835686467">
      <w:bodyDiv w:val="1"/>
      <w:marLeft w:val="0"/>
      <w:marRight w:val="0"/>
      <w:marTop w:val="0"/>
      <w:marBottom w:val="0"/>
      <w:divBdr>
        <w:top w:val="none" w:sz="0" w:space="0" w:color="auto"/>
        <w:left w:val="none" w:sz="0" w:space="0" w:color="auto"/>
        <w:bottom w:val="none" w:sz="0" w:space="0" w:color="auto"/>
        <w:right w:val="none" w:sz="0" w:space="0" w:color="auto"/>
      </w:divBdr>
    </w:div>
    <w:div w:id="1835803737">
      <w:bodyDiv w:val="1"/>
      <w:marLeft w:val="0"/>
      <w:marRight w:val="0"/>
      <w:marTop w:val="0"/>
      <w:marBottom w:val="0"/>
      <w:divBdr>
        <w:top w:val="none" w:sz="0" w:space="0" w:color="auto"/>
        <w:left w:val="none" w:sz="0" w:space="0" w:color="auto"/>
        <w:bottom w:val="none" w:sz="0" w:space="0" w:color="auto"/>
        <w:right w:val="none" w:sz="0" w:space="0" w:color="auto"/>
      </w:divBdr>
    </w:div>
    <w:div w:id="1835874545">
      <w:bodyDiv w:val="1"/>
      <w:marLeft w:val="0"/>
      <w:marRight w:val="0"/>
      <w:marTop w:val="0"/>
      <w:marBottom w:val="0"/>
      <w:divBdr>
        <w:top w:val="none" w:sz="0" w:space="0" w:color="auto"/>
        <w:left w:val="none" w:sz="0" w:space="0" w:color="auto"/>
        <w:bottom w:val="none" w:sz="0" w:space="0" w:color="auto"/>
        <w:right w:val="none" w:sz="0" w:space="0" w:color="auto"/>
      </w:divBdr>
    </w:div>
    <w:div w:id="1836215538">
      <w:bodyDiv w:val="1"/>
      <w:marLeft w:val="0"/>
      <w:marRight w:val="0"/>
      <w:marTop w:val="0"/>
      <w:marBottom w:val="0"/>
      <w:divBdr>
        <w:top w:val="none" w:sz="0" w:space="0" w:color="auto"/>
        <w:left w:val="none" w:sz="0" w:space="0" w:color="auto"/>
        <w:bottom w:val="none" w:sz="0" w:space="0" w:color="auto"/>
        <w:right w:val="none" w:sz="0" w:space="0" w:color="auto"/>
      </w:divBdr>
    </w:div>
    <w:div w:id="1836217410">
      <w:bodyDiv w:val="1"/>
      <w:marLeft w:val="0"/>
      <w:marRight w:val="0"/>
      <w:marTop w:val="0"/>
      <w:marBottom w:val="0"/>
      <w:divBdr>
        <w:top w:val="none" w:sz="0" w:space="0" w:color="auto"/>
        <w:left w:val="none" w:sz="0" w:space="0" w:color="auto"/>
        <w:bottom w:val="none" w:sz="0" w:space="0" w:color="auto"/>
        <w:right w:val="none" w:sz="0" w:space="0" w:color="auto"/>
      </w:divBdr>
    </w:div>
    <w:div w:id="1836409890">
      <w:bodyDiv w:val="1"/>
      <w:marLeft w:val="0"/>
      <w:marRight w:val="0"/>
      <w:marTop w:val="0"/>
      <w:marBottom w:val="0"/>
      <w:divBdr>
        <w:top w:val="none" w:sz="0" w:space="0" w:color="auto"/>
        <w:left w:val="none" w:sz="0" w:space="0" w:color="auto"/>
        <w:bottom w:val="none" w:sz="0" w:space="0" w:color="auto"/>
        <w:right w:val="none" w:sz="0" w:space="0" w:color="auto"/>
      </w:divBdr>
    </w:div>
    <w:div w:id="1836457700">
      <w:bodyDiv w:val="1"/>
      <w:marLeft w:val="0"/>
      <w:marRight w:val="0"/>
      <w:marTop w:val="0"/>
      <w:marBottom w:val="0"/>
      <w:divBdr>
        <w:top w:val="none" w:sz="0" w:space="0" w:color="auto"/>
        <w:left w:val="none" w:sz="0" w:space="0" w:color="auto"/>
        <w:bottom w:val="none" w:sz="0" w:space="0" w:color="auto"/>
        <w:right w:val="none" w:sz="0" w:space="0" w:color="auto"/>
      </w:divBdr>
    </w:div>
    <w:div w:id="1836526201">
      <w:bodyDiv w:val="1"/>
      <w:marLeft w:val="0"/>
      <w:marRight w:val="0"/>
      <w:marTop w:val="0"/>
      <w:marBottom w:val="0"/>
      <w:divBdr>
        <w:top w:val="none" w:sz="0" w:space="0" w:color="auto"/>
        <w:left w:val="none" w:sz="0" w:space="0" w:color="auto"/>
        <w:bottom w:val="none" w:sz="0" w:space="0" w:color="auto"/>
        <w:right w:val="none" w:sz="0" w:space="0" w:color="auto"/>
      </w:divBdr>
    </w:div>
    <w:div w:id="1836606148">
      <w:bodyDiv w:val="1"/>
      <w:marLeft w:val="0"/>
      <w:marRight w:val="0"/>
      <w:marTop w:val="0"/>
      <w:marBottom w:val="0"/>
      <w:divBdr>
        <w:top w:val="none" w:sz="0" w:space="0" w:color="auto"/>
        <w:left w:val="none" w:sz="0" w:space="0" w:color="auto"/>
        <w:bottom w:val="none" w:sz="0" w:space="0" w:color="auto"/>
        <w:right w:val="none" w:sz="0" w:space="0" w:color="auto"/>
      </w:divBdr>
    </w:div>
    <w:div w:id="1836796203">
      <w:bodyDiv w:val="1"/>
      <w:marLeft w:val="0"/>
      <w:marRight w:val="0"/>
      <w:marTop w:val="0"/>
      <w:marBottom w:val="0"/>
      <w:divBdr>
        <w:top w:val="none" w:sz="0" w:space="0" w:color="auto"/>
        <w:left w:val="none" w:sz="0" w:space="0" w:color="auto"/>
        <w:bottom w:val="none" w:sz="0" w:space="0" w:color="auto"/>
        <w:right w:val="none" w:sz="0" w:space="0" w:color="auto"/>
      </w:divBdr>
    </w:div>
    <w:div w:id="1836800117">
      <w:bodyDiv w:val="1"/>
      <w:marLeft w:val="0"/>
      <w:marRight w:val="0"/>
      <w:marTop w:val="0"/>
      <w:marBottom w:val="0"/>
      <w:divBdr>
        <w:top w:val="none" w:sz="0" w:space="0" w:color="auto"/>
        <w:left w:val="none" w:sz="0" w:space="0" w:color="auto"/>
        <w:bottom w:val="none" w:sz="0" w:space="0" w:color="auto"/>
        <w:right w:val="none" w:sz="0" w:space="0" w:color="auto"/>
      </w:divBdr>
    </w:div>
    <w:div w:id="1836991392">
      <w:bodyDiv w:val="1"/>
      <w:marLeft w:val="0"/>
      <w:marRight w:val="0"/>
      <w:marTop w:val="0"/>
      <w:marBottom w:val="0"/>
      <w:divBdr>
        <w:top w:val="none" w:sz="0" w:space="0" w:color="auto"/>
        <w:left w:val="none" w:sz="0" w:space="0" w:color="auto"/>
        <w:bottom w:val="none" w:sz="0" w:space="0" w:color="auto"/>
        <w:right w:val="none" w:sz="0" w:space="0" w:color="auto"/>
      </w:divBdr>
    </w:div>
    <w:div w:id="1836993472">
      <w:bodyDiv w:val="1"/>
      <w:marLeft w:val="0"/>
      <w:marRight w:val="0"/>
      <w:marTop w:val="0"/>
      <w:marBottom w:val="0"/>
      <w:divBdr>
        <w:top w:val="none" w:sz="0" w:space="0" w:color="auto"/>
        <w:left w:val="none" w:sz="0" w:space="0" w:color="auto"/>
        <w:bottom w:val="none" w:sz="0" w:space="0" w:color="auto"/>
        <w:right w:val="none" w:sz="0" w:space="0" w:color="auto"/>
      </w:divBdr>
    </w:div>
    <w:div w:id="1836996918">
      <w:bodyDiv w:val="1"/>
      <w:marLeft w:val="0"/>
      <w:marRight w:val="0"/>
      <w:marTop w:val="0"/>
      <w:marBottom w:val="0"/>
      <w:divBdr>
        <w:top w:val="none" w:sz="0" w:space="0" w:color="auto"/>
        <w:left w:val="none" w:sz="0" w:space="0" w:color="auto"/>
        <w:bottom w:val="none" w:sz="0" w:space="0" w:color="auto"/>
        <w:right w:val="none" w:sz="0" w:space="0" w:color="auto"/>
      </w:divBdr>
    </w:div>
    <w:div w:id="1837065460">
      <w:bodyDiv w:val="1"/>
      <w:marLeft w:val="0"/>
      <w:marRight w:val="0"/>
      <w:marTop w:val="0"/>
      <w:marBottom w:val="0"/>
      <w:divBdr>
        <w:top w:val="none" w:sz="0" w:space="0" w:color="auto"/>
        <w:left w:val="none" w:sz="0" w:space="0" w:color="auto"/>
        <w:bottom w:val="none" w:sz="0" w:space="0" w:color="auto"/>
        <w:right w:val="none" w:sz="0" w:space="0" w:color="auto"/>
      </w:divBdr>
    </w:div>
    <w:div w:id="1837067361">
      <w:bodyDiv w:val="1"/>
      <w:marLeft w:val="0"/>
      <w:marRight w:val="0"/>
      <w:marTop w:val="0"/>
      <w:marBottom w:val="0"/>
      <w:divBdr>
        <w:top w:val="none" w:sz="0" w:space="0" w:color="auto"/>
        <w:left w:val="none" w:sz="0" w:space="0" w:color="auto"/>
        <w:bottom w:val="none" w:sz="0" w:space="0" w:color="auto"/>
        <w:right w:val="none" w:sz="0" w:space="0" w:color="auto"/>
      </w:divBdr>
    </w:div>
    <w:div w:id="1837067961">
      <w:bodyDiv w:val="1"/>
      <w:marLeft w:val="0"/>
      <w:marRight w:val="0"/>
      <w:marTop w:val="0"/>
      <w:marBottom w:val="0"/>
      <w:divBdr>
        <w:top w:val="none" w:sz="0" w:space="0" w:color="auto"/>
        <w:left w:val="none" w:sz="0" w:space="0" w:color="auto"/>
        <w:bottom w:val="none" w:sz="0" w:space="0" w:color="auto"/>
        <w:right w:val="none" w:sz="0" w:space="0" w:color="auto"/>
      </w:divBdr>
    </w:div>
    <w:div w:id="1837183421">
      <w:bodyDiv w:val="1"/>
      <w:marLeft w:val="0"/>
      <w:marRight w:val="0"/>
      <w:marTop w:val="0"/>
      <w:marBottom w:val="0"/>
      <w:divBdr>
        <w:top w:val="none" w:sz="0" w:space="0" w:color="auto"/>
        <w:left w:val="none" w:sz="0" w:space="0" w:color="auto"/>
        <w:bottom w:val="none" w:sz="0" w:space="0" w:color="auto"/>
        <w:right w:val="none" w:sz="0" w:space="0" w:color="auto"/>
      </w:divBdr>
    </w:div>
    <w:div w:id="1837185660">
      <w:bodyDiv w:val="1"/>
      <w:marLeft w:val="0"/>
      <w:marRight w:val="0"/>
      <w:marTop w:val="0"/>
      <w:marBottom w:val="0"/>
      <w:divBdr>
        <w:top w:val="none" w:sz="0" w:space="0" w:color="auto"/>
        <w:left w:val="none" w:sz="0" w:space="0" w:color="auto"/>
        <w:bottom w:val="none" w:sz="0" w:space="0" w:color="auto"/>
        <w:right w:val="none" w:sz="0" w:space="0" w:color="auto"/>
      </w:divBdr>
    </w:div>
    <w:div w:id="1837256966">
      <w:bodyDiv w:val="1"/>
      <w:marLeft w:val="0"/>
      <w:marRight w:val="0"/>
      <w:marTop w:val="0"/>
      <w:marBottom w:val="0"/>
      <w:divBdr>
        <w:top w:val="none" w:sz="0" w:space="0" w:color="auto"/>
        <w:left w:val="none" w:sz="0" w:space="0" w:color="auto"/>
        <w:bottom w:val="none" w:sz="0" w:space="0" w:color="auto"/>
        <w:right w:val="none" w:sz="0" w:space="0" w:color="auto"/>
      </w:divBdr>
    </w:div>
    <w:div w:id="1837262618">
      <w:bodyDiv w:val="1"/>
      <w:marLeft w:val="0"/>
      <w:marRight w:val="0"/>
      <w:marTop w:val="0"/>
      <w:marBottom w:val="0"/>
      <w:divBdr>
        <w:top w:val="none" w:sz="0" w:space="0" w:color="auto"/>
        <w:left w:val="none" w:sz="0" w:space="0" w:color="auto"/>
        <w:bottom w:val="none" w:sz="0" w:space="0" w:color="auto"/>
        <w:right w:val="none" w:sz="0" w:space="0" w:color="auto"/>
      </w:divBdr>
    </w:div>
    <w:div w:id="1837263278">
      <w:bodyDiv w:val="1"/>
      <w:marLeft w:val="0"/>
      <w:marRight w:val="0"/>
      <w:marTop w:val="0"/>
      <w:marBottom w:val="0"/>
      <w:divBdr>
        <w:top w:val="none" w:sz="0" w:space="0" w:color="auto"/>
        <w:left w:val="none" w:sz="0" w:space="0" w:color="auto"/>
        <w:bottom w:val="none" w:sz="0" w:space="0" w:color="auto"/>
        <w:right w:val="none" w:sz="0" w:space="0" w:color="auto"/>
      </w:divBdr>
    </w:div>
    <w:div w:id="1837379430">
      <w:bodyDiv w:val="1"/>
      <w:marLeft w:val="0"/>
      <w:marRight w:val="0"/>
      <w:marTop w:val="0"/>
      <w:marBottom w:val="0"/>
      <w:divBdr>
        <w:top w:val="none" w:sz="0" w:space="0" w:color="auto"/>
        <w:left w:val="none" w:sz="0" w:space="0" w:color="auto"/>
        <w:bottom w:val="none" w:sz="0" w:space="0" w:color="auto"/>
        <w:right w:val="none" w:sz="0" w:space="0" w:color="auto"/>
      </w:divBdr>
    </w:div>
    <w:div w:id="1837530874">
      <w:bodyDiv w:val="1"/>
      <w:marLeft w:val="0"/>
      <w:marRight w:val="0"/>
      <w:marTop w:val="0"/>
      <w:marBottom w:val="0"/>
      <w:divBdr>
        <w:top w:val="none" w:sz="0" w:space="0" w:color="auto"/>
        <w:left w:val="none" w:sz="0" w:space="0" w:color="auto"/>
        <w:bottom w:val="none" w:sz="0" w:space="0" w:color="auto"/>
        <w:right w:val="none" w:sz="0" w:space="0" w:color="auto"/>
      </w:divBdr>
    </w:div>
    <w:div w:id="1837574933">
      <w:bodyDiv w:val="1"/>
      <w:marLeft w:val="0"/>
      <w:marRight w:val="0"/>
      <w:marTop w:val="0"/>
      <w:marBottom w:val="0"/>
      <w:divBdr>
        <w:top w:val="none" w:sz="0" w:space="0" w:color="auto"/>
        <w:left w:val="none" w:sz="0" w:space="0" w:color="auto"/>
        <w:bottom w:val="none" w:sz="0" w:space="0" w:color="auto"/>
        <w:right w:val="none" w:sz="0" w:space="0" w:color="auto"/>
      </w:divBdr>
    </w:div>
    <w:div w:id="1837644120">
      <w:bodyDiv w:val="1"/>
      <w:marLeft w:val="0"/>
      <w:marRight w:val="0"/>
      <w:marTop w:val="0"/>
      <w:marBottom w:val="0"/>
      <w:divBdr>
        <w:top w:val="none" w:sz="0" w:space="0" w:color="auto"/>
        <w:left w:val="none" w:sz="0" w:space="0" w:color="auto"/>
        <w:bottom w:val="none" w:sz="0" w:space="0" w:color="auto"/>
        <w:right w:val="none" w:sz="0" w:space="0" w:color="auto"/>
      </w:divBdr>
    </w:div>
    <w:div w:id="1837649132">
      <w:bodyDiv w:val="1"/>
      <w:marLeft w:val="0"/>
      <w:marRight w:val="0"/>
      <w:marTop w:val="0"/>
      <w:marBottom w:val="0"/>
      <w:divBdr>
        <w:top w:val="none" w:sz="0" w:space="0" w:color="auto"/>
        <w:left w:val="none" w:sz="0" w:space="0" w:color="auto"/>
        <w:bottom w:val="none" w:sz="0" w:space="0" w:color="auto"/>
        <w:right w:val="none" w:sz="0" w:space="0" w:color="auto"/>
      </w:divBdr>
    </w:div>
    <w:div w:id="1837761885">
      <w:bodyDiv w:val="1"/>
      <w:marLeft w:val="0"/>
      <w:marRight w:val="0"/>
      <w:marTop w:val="0"/>
      <w:marBottom w:val="0"/>
      <w:divBdr>
        <w:top w:val="none" w:sz="0" w:space="0" w:color="auto"/>
        <w:left w:val="none" w:sz="0" w:space="0" w:color="auto"/>
        <w:bottom w:val="none" w:sz="0" w:space="0" w:color="auto"/>
        <w:right w:val="none" w:sz="0" w:space="0" w:color="auto"/>
      </w:divBdr>
    </w:div>
    <w:div w:id="1837769021">
      <w:bodyDiv w:val="1"/>
      <w:marLeft w:val="0"/>
      <w:marRight w:val="0"/>
      <w:marTop w:val="0"/>
      <w:marBottom w:val="0"/>
      <w:divBdr>
        <w:top w:val="none" w:sz="0" w:space="0" w:color="auto"/>
        <w:left w:val="none" w:sz="0" w:space="0" w:color="auto"/>
        <w:bottom w:val="none" w:sz="0" w:space="0" w:color="auto"/>
        <w:right w:val="none" w:sz="0" w:space="0" w:color="auto"/>
      </w:divBdr>
    </w:div>
    <w:div w:id="1837837805">
      <w:bodyDiv w:val="1"/>
      <w:marLeft w:val="0"/>
      <w:marRight w:val="0"/>
      <w:marTop w:val="0"/>
      <w:marBottom w:val="0"/>
      <w:divBdr>
        <w:top w:val="none" w:sz="0" w:space="0" w:color="auto"/>
        <w:left w:val="none" w:sz="0" w:space="0" w:color="auto"/>
        <w:bottom w:val="none" w:sz="0" w:space="0" w:color="auto"/>
        <w:right w:val="none" w:sz="0" w:space="0" w:color="auto"/>
      </w:divBdr>
    </w:div>
    <w:div w:id="1837843757">
      <w:bodyDiv w:val="1"/>
      <w:marLeft w:val="0"/>
      <w:marRight w:val="0"/>
      <w:marTop w:val="0"/>
      <w:marBottom w:val="0"/>
      <w:divBdr>
        <w:top w:val="none" w:sz="0" w:space="0" w:color="auto"/>
        <w:left w:val="none" w:sz="0" w:space="0" w:color="auto"/>
        <w:bottom w:val="none" w:sz="0" w:space="0" w:color="auto"/>
        <w:right w:val="none" w:sz="0" w:space="0" w:color="auto"/>
      </w:divBdr>
    </w:div>
    <w:div w:id="1837959114">
      <w:bodyDiv w:val="1"/>
      <w:marLeft w:val="0"/>
      <w:marRight w:val="0"/>
      <w:marTop w:val="0"/>
      <w:marBottom w:val="0"/>
      <w:divBdr>
        <w:top w:val="none" w:sz="0" w:space="0" w:color="auto"/>
        <w:left w:val="none" w:sz="0" w:space="0" w:color="auto"/>
        <w:bottom w:val="none" w:sz="0" w:space="0" w:color="auto"/>
        <w:right w:val="none" w:sz="0" w:space="0" w:color="auto"/>
      </w:divBdr>
    </w:div>
    <w:div w:id="1838035388">
      <w:bodyDiv w:val="1"/>
      <w:marLeft w:val="0"/>
      <w:marRight w:val="0"/>
      <w:marTop w:val="0"/>
      <w:marBottom w:val="0"/>
      <w:divBdr>
        <w:top w:val="none" w:sz="0" w:space="0" w:color="auto"/>
        <w:left w:val="none" w:sz="0" w:space="0" w:color="auto"/>
        <w:bottom w:val="none" w:sz="0" w:space="0" w:color="auto"/>
        <w:right w:val="none" w:sz="0" w:space="0" w:color="auto"/>
      </w:divBdr>
    </w:div>
    <w:div w:id="1838114179">
      <w:bodyDiv w:val="1"/>
      <w:marLeft w:val="0"/>
      <w:marRight w:val="0"/>
      <w:marTop w:val="0"/>
      <w:marBottom w:val="0"/>
      <w:divBdr>
        <w:top w:val="none" w:sz="0" w:space="0" w:color="auto"/>
        <w:left w:val="none" w:sz="0" w:space="0" w:color="auto"/>
        <w:bottom w:val="none" w:sz="0" w:space="0" w:color="auto"/>
        <w:right w:val="none" w:sz="0" w:space="0" w:color="auto"/>
      </w:divBdr>
    </w:div>
    <w:div w:id="1838181919">
      <w:bodyDiv w:val="1"/>
      <w:marLeft w:val="0"/>
      <w:marRight w:val="0"/>
      <w:marTop w:val="0"/>
      <w:marBottom w:val="0"/>
      <w:divBdr>
        <w:top w:val="none" w:sz="0" w:space="0" w:color="auto"/>
        <w:left w:val="none" w:sz="0" w:space="0" w:color="auto"/>
        <w:bottom w:val="none" w:sz="0" w:space="0" w:color="auto"/>
        <w:right w:val="none" w:sz="0" w:space="0" w:color="auto"/>
      </w:divBdr>
    </w:div>
    <w:div w:id="1838306316">
      <w:bodyDiv w:val="1"/>
      <w:marLeft w:val="0"/>
      <w:marRight w:val="0"/>
      <w:marTop w:val="0"/>
      <w:marBottom w:val="0"/>
      <w:divBdr>
        <w:top w:val="none" w:sz="0" w:space="0" w:color="auto"/>
        <w:left w:val="none" w:sz="0" w:space="0" w:color="auto"/>
        <w:bottom w:val="none" w:sz="0" w:space="0" w:color="auto"/>
        <w:right w:val="none" w:sz="0" w:space="0" w:color="auto"/>
      </w:divBdr>
    </w:div>
    <w:div w:id="1838378594">
      <w:bodyDiv w:val="1"/>
      <w:marLeft w:val="0"/>
      <w:marRight w:val="0"/>
      <w:marTop w:val="0"/>
      <w:marBottom w:val="0"/>
      <w:divBdr>
        <w:top w:val="none" w:sz="0" w:space="0" w:color="auto"/>
        <w:left w:val="none" w:sz="0" w:space="0" w:color="auto"/>
        <w:bottom w:val="none" w:sz="0" w:space="0" w:color="auto"/>
        <w:right w:val="none" w:sz="0" w:space="0" w:color="auto"/>
      </w:divBdr>
    </w:div>
    <w:div w:id="1838419176">
      <w:bodyDiv w:val="1"/>
      <w:marLeft w:val="0"/>
      <w:marRight w:val="0"/>
      <w:marTop w:val="0"/>
      <w:marBottom w:val="0"/>
      <w:divBdr>
        <w:top w:val="none" w:sz="0" w:space="0" w:color="auto"/>
        <w:left w:val="none" w:sz="0" w:space="0" w:color="auto"/>
        <w:bottom w:val="none" w:sz="0" w:space="0" w:color="auto"/>
        <w:right w:val="none" w:sz="0" w:space="0" w:color="auto"/>
      </w:divBdr>
    </w:div>
    <w:div w:id="1838495801">
      <w:bodyDiv w:val="1"/>
      <w:marLeft w:val="0"/>
      <w:marRight w:val="0"/>
      <w:marTop w:val="0"/>
      <w:marBottom w:val="0"/>
      <w:divBdr>
        <w:top w:val="none" w:sz="0" w:space="0" w:color="auto"/>
        <w:left w:val="none" w:sz="0" w:space="0" w:color="auto"/>
        <w:bottom w:val="none" w:sz="0" w:space="0" w:color="auto"/>
        <w:right w:val="none" w:sz="0" w:space="0" w:color="auto"/>
      </w:divBdr>
    </w:div>
    <w:div w:id="1838499215">
      <w:bodyDiv w:val="1"/>
      <w:marLeft w:val="0"/>
      <w:marRight w:val="0"/>
      <w:marTop w:val="0"/>
      <w:marBottom w:val="0"/>
      <w:divBdr>
        <w:top w:val="none" w:sz="0" w:space="0" w:color="auto"/>
        <w:left w:val="none" w:sz="0" w:space="0" w:color="auto"/>
        <w:bottom w:val="none" w:sz="0" w:space="0" w:color="auto"/>
        <w:right w:val="none" w:sz="0" w:space="0" w:color="auto"/>
      </w:divBdr>
    </w:div>
    <w:div w:id="1838575013">
      <w:bodyDiv w:val="1"/>
      <w:marLeft w:val="0"/>
      <w:marRight w:val="0"/>
      <w:marTop w:val="0"/>
      <w:marBottom w:val="0"/>
      <w:divBdr>
        <w:top w:val="none" w:sz="0" w:space="0" w:color="auto"/>
        <w:left w:val="none" w:sz="0" w:space="0" w:color="auto"/>
        <w:bottom w:val="none" w:sz="0" w:space="0" w:color="auto"/>
        <w:right w:val="none" w:sz="0" w:space="0" w:color="auto"/>
      </w:divBdr>
    </w:div>
    <w:div w:id="1838761841">
      <w:bodyDiv w:val="1"/>
      <w:marLeft w:val="0"/>
      <w:marRight w:val="0"/>
      <w:marTop w:val="0"/>
      <w:marBottom w:val="0"/>
      <w:divBdr>
        <w:top w:val="none" w:sz="0" w:space="0" w:color="auto"/>
        <w:left w:val="none" w:sz="0" w:space="0" w:color="auto"/>
        <w:bottom w:val="none" w:sz="0" w:space="0" w:color="auto"/>
        <w:right w:val="none" w:sz="0" w:space="0" w:color="auto"/>
      </w:divBdr>
    </w:div>
    <w:div w:id="1838879655">
      <w:bodyDiv w:val="1"/>
      <w:marLeft w:val="0"/>
      <w:marRight w:val="0"/>
      <w:marTop w:val="0"/>
      <w:marBottom w:val="0"/>
      <w:divBdr>
        <w:top w:val="none" w:sz="0" w:space="0" w:color="auto"/>
        <w:left w:val="none" w:sz="0" w:space="0" w:color="auto"/>
        <w:bottom w:val="none" w:sz="0" w:space="0" w:color="auto"/>
        <w:right w:val="none" w:sz="0" w:space="0" w:color="auto"/>
      </w:divBdr>
    </w:div>
    <w:div w:id="1838887071">
      <w:bodyDiv w:val="1"/>
      <w:marLeft w:val="0"/>
      <w:marRight w:val="0"/>
      <w:marTop w:val="0"/>
      <w:marBottom w:val="0"/>
      <w:divBdr>
        <w:top w:val="none" w:sz="0" w:space="0" w:color="auto"/>
        <w:left w:val="none" w:sz="0" w:space="0" w:color="auto"/>
        <w:bottom w:val="none" w:sz="0" w:space="0" w:color="auto"/>
        <w:right w:val="none" w:sz="0" w:space="0" w:color="auto"/>
      </w:divBdr>
    </w:div>
    <w:div w:id="1839073303">
      <w:bodyDiv w:val="1"/>
      <w:marLeft w:val="0"/>
      <w:marRight w:val="0"/>
      <w:marTop w:val="0"/>
      <w:marBottom w:val="0"/>
      <w:divBdr>
        <w:top w:val="none" w:sz="0" w:space="0" w:color="auto"/>
        <w:left w:val="none" w:sz="0" w:space="0" w:color="auto"/>
        <w:bottom w:val="none" w:sz="0" w:space="0" w:color="auto"/>
        <w:right w:val="none" w:sz="0" w:space="0" w:color="auto"/>
      </w:divBdr>
    </w:div>
    <w:div w:id="1839150718">
      <w:bodyDiv w:val="1"/>
      <w:marLeft w:val="0"/>
      <w:marRight w:val="0"/>
      <w:marTop w:val="0"/>
      <w:marBottom w:val="0"/>
      <w:divBdr>
        <w:top w:val="none" w:sz="0" w:space="0" w:color="auto"/>
        <w:left w:val="none" w:sz="0" w:space="0" w:color="auto"/>
        <w:bottom w:val="none" w:sz="0" w:space="0" w:color="auto"/>
        <w:right w:val="none" w:sz="0" w:space="0" w:color="auto"/>
      </w:divBdr>
    </w:div>
    <w:div w:id="1839152185">
      <w:bodyDiv w:val="1"/>
      <w:marLeft w:val="0"/>
      <w:marRight w:val="0"/>
      <w:marTop w:val="0"/>
      <w:marBottom w:val="0"/>
      <w:divBdr>
        <w:top w:val="none" w:sz="0" w:space="0" w:color="auto"/>
        <w:left w:val="none" w:sz="0" w:space="0" w:color="auto"/>
        <w:bottom w:val="none" w:sz="0" w:space="0" w:color="auto"/>
        <w:right w:val="none" w:sz="0" w:space="0" w:color="auto"/>
      </w:divBdr>
    </w:div>
    <w:div w:id="1839152891">
      <w:bodyDiv w:val="1"/>
      <w:marLeft w:val="0"/>
      <w:marRight w:val="0"/>
      <w:marTop w:val="0"/>
      <w:marBottom w:val="0"/>
      <w:divBdr>
        <w:top w:val="none" w:sz="0" w:space="0" w:color="auto"/>
        <w:left w:val="none" w:sz="0" w:space="0" w:color="auto"/>
        <w:bottom w:val="none" w:sz="0" w:space="0" w:color="auto"/>
        <w:right w:val="none" w:sz="0" w:space="0" w:color="auto"/>
      </w:divBdr>
    </w:div>
    <w:div w:id="1839156867">
      <w:bodyDiv w:val="1"/>
      <w:marLeft w:val="0"/>
      <w:marRight w:val="0"/>
      <w:marTop w:val="0"/>
      <w:marBottom w:val="0"/>
      <w:divBdr>
        <w:top w:val="none" w:sz="0" w:space="0" w:color="auto"/>
        <w:left w:val="none" w:sz="0" w:space="0" w:color="auto"/>
        <w:bottom w:val="none" w:sz="0" w:space="0" w:color="auto"/>
        <w:right w:val="none" w:sz="0" w:space="0" w:color="auto"/>
      </w:divBdr>
    </w:div>
    <w:div w:id="1839224154">
      <w:bodyDiv w:val="1"/>
      <w:marLeft w:val="0"/>
      <w:marRight w:val="0"/>
      <w:marTop w:val="0"/>
      <w:marBottom w:val="0"/>
      <w:divBdr>
        <w:top w:val="none" w:sz="0" w:space="0" w:color="auto"/>
        <w:left w:val="none" w:sz="0" w:space="0" w:color="auto"/>
        <w:bottom w:val="none" w:sz="0" w:space="0" w:color="auto"/>
        <w:right w:val="none" w:sz="0" w:space="0" w:color="auto"/>
      </w:divBdr>
    </w:div>
    <w:div w:id="1839342076">
      <w:bodyDiv w:val="1"/>
      <w:marLeft w:val="0"/>
      <w:marRight w:val="0"/>
      <w:marTop w:val="0"/>
      <w:marBottom w:val="0"/>
      <w:divBdr>
        <w:top w:val="none" w:sz="0" w:space="0" w:color="auto"/>
        <w:left w:val="none" w:sz="0" w:space="0" w:color="auto"/>
        <w:bottom w:val="none" w:sz="0" w:space="0" w:color="auto"/>
        <w:right w:val="none" w:sz="0" w:space="0" w:color="auto"/>
      </w:divBdr>
    </w:div>
    <w:div w:id="1839418234">
      <w:bodyDiv w:val="1"/>
      <w:marLeft w:val="0"/>
      <w:marRight w:val="0"/>
      <w:marTop w:val="0"/>
      <w:marBottom w:val="0"/>
      <w:divBdr>
        <w:top w:val="none" w:sz="0" w:space="0" w:color="auto"/>
        <w:left w:val="none" w:sz="0" w:space="0" w:color="auto"/>
        <w:bottom w:val="none" w:sz="0" w:space="0" w:color="auto"/>
        <w:right w:val="none" w:sz="0" w:space="0" w:color="auto"/>
      </w:divBdr>
    </w:div>
    <w:div w:id="1839420002">
      <w:bodyDiv w:val="1"/>
      <w:marLeft w:val="0"/>
      <w:marRight w:val="0"/>
      <w:marTop w:val="0"/>
      <w:marBottom w:val="0"/>
      <w:divBdr>
        <w:top w:val="none" w:sz="0" w:space="0" w:color="auto"/>
        <w:left w:val="none" w:sz="0" w:space="0" w:color="auto"/>
        <w:bottom w:val="none" w:sz="0" w:space="0" w:color="auto"/>
        <w:right w:val="none" w:sz="0" w:space="0" w:color="auto"/>
      </w:divBdr>
    </w:div>
    <w:div w:id="1839613889">
      <w:bodyDiv w:val="1"/>
      <w:marLeft w:val="0"/>
      <w:marRight w:val="0"/>
      <w:marTop w:val="0"/>
      <w:marBottom w:val="0"/>
      <w:divBdr>
        <w:top w:val="none" w:sz="0" w:space="0" w:color="auto"/>
        <w:left w:val="none" w:sz="0" w:space="0" w:color="auto"/>
        <w:bottom w:val="none" w:sz="0" w:space="0" w:color="auto"/>
        <w:right w:val="none" w:sz="0" w:space="0" w:color="auto"/>
      </w:divBdr>
    </w:div>
    <w:div w:id="1839736311">
      <w:bodyDiv w:val="1"/>
      <w:marLeft w:val="0"/>
      <w:marRight w:val="0"/>
      <w:marTop w:val="0"/>
      <w:marBottom w:val="0"/>
      <w:divBdr>
        <w:top w:val="none" w:sz="0" w:space="0" w:color="auto"/>
        <w:left w:val="none" w:sz="0" w:space="0" w:color="auto"/>
        <w:bottom w:val="none" w:sz="0" w:space="0" w:color="auto"/>
        <w:right w:val="none" w:sz="0" w:space="0" w:color="auto"/>
      </w:divBdr>
    </w:div>
    <w:div w:id="1839804578">
      <w:bodyDiv w:val="1"/>
      <w:marLeft w:val="0"/>
      <w:marRight w:val="0"/>
      <w:marTop w:val="0"/>
      <w:marBottom w:val="0"/>
      <w:divBdr>
        <w:top w:val="none" w:sz="0" w:space="0" w:color="auto"/>
        <w:left w:val="none" w:sz="0" w:space="0" w:color="auto"/>
        <w:bottom w:val="none" w:sz="0" w:space="0" w:color="auto"/>
        <w:right w:val="none" w:sz="0" w:space="0" w:color="auto"/>
      </w:divBdr>
    </w:div>
    <w:div w:id="1839886222">
      <w:bodyDiv w:val="1"/>
      <w:marLeft w:val="0"/>
      <w:marRight w:val="0"/>
      <w:marTop w:val="0"/>
      <w:marBottom w:val="0"/>
      <w:divBdr>
        <w:top w:val="none" w:sz="0" w:space="0" w:color="auto"/>
        <w:left w:val="none" w:sz="0" w:space="0" w:color="auto"/>
        <w:bottom w:val="none" w:sz="0" w:space="0" w:color="auto"/>
        <w:right w:val="none" w:sz="0" w:space="0" w:color="auto"/>
      </w:divBdr>
    </w:div>
    <w:div w:id="1839955014">
      <w:bodyDiv w:val="1"/>
      <w:marLeft w:val="0"/>
      <w:marRight w:val="0"/>
      <w:marTop w:val="0"/>
      <w:marBottom w:val="0"/>
      <w:divBdr>
        <w:top w:val="none" w:sz="0" w:space="0" w:color="auto"/>
        <w:left w:val="none" w:sz="0" w:space="0" w:color="auto"/>
        <w:bottom w:val="none" w:sz="0" w:space="0" w:color="auto"/>
        <w:right w:val="none" w:sz="0" w:space="0" w:color="auto"/>
      </w:divBdr>
    </w:div>
    <w:div w:id="1840005222">
      <w:bodyDiv w:val="1"/>
      <w:marLeft w:val="0"/>
      <w:marRight w:val="0"/>
      <w:marTop w:val="0"/>
      <w:marBottom w:val="0"/>
      <w:divBdr>
        <w:top w:val="none" w:sz="0" w:space="0" w:color="auto"/>
        <w:left w:val="none" w:sz="0" w:space="0" w:color="auto"/>
        <w:bottom w:val="none" w:sz="0" w:space="0" w:color="auto"/>
        <w:right w:val="none" w:sz="0" w:space="0" w:color="auto"/>
      </w:divBdr>
    </w:div>
    <w:div w:id="1840073145">
      <w:bodyDiv w:val="1"/>
      <w:marLeft w:val="0"/>
      <w:marRight w:val="0"/>
      <w:marTop w:val="0"/>
      <w:marBottom w:val="0"/>
      <w:divBdr>
        <w:top w:val="none" w:sz="0" w:space="0" w:color="auto"/>
        <w:left w:val="none" w:sz="0" w:space="0" w:color="auto"/>
        <w:bottom w:val="none" w:sz="0" w:space="0" w:color="auto"/>
        <w:right w:val="none" w:sz="0" w:space="0" w:color="auto"/>
      </w:divBdr>
    </w:div>
    <w:div w:id="1840073759">
      <w:bodyDiv w:val="1"/>
      <w:marLeft w:val="0"/>
      <w:marRight w:val="0"/>
      <w:marTop w:val="0"/>
      <w:marBottom w:val="0"/>
      <w:divBdr>
        <w:top w:val="none" w:sz="0" w:space="0" w:color="auto"/>
        <w:left w:val="none" w:sz="0" w:space="0" w:color="auto"/>
        <w:bottom w:val="none" w:sz="0" w:space="0" w:color="auto"/>
        <w:right w:val="none" w:sz="0" w:space="0" w:color="auto"/>
      </w:divBdr>
    </w:div>
    <w:div w:id="1840194531">
      <w:bodyDiv w:val="1"/>
      <w:marLeft w:val="0"/>
      <w:marRight w:val="0"/>
      <w:marTop w:val="0"/>
      <w:marBottom w:val="0"/>
      <w:divBdr>
        <w:top w:val="none" w:sz="0" w:space="0" w:color="auto"/>
        <w:left w:val="none" w:sz="0" w:space="0" w:color="auto"/>
        <w:bottom w:val="none" w:sz="0" w:space="0" w:color="auto"/>
        <w:right w:val="none" w:sz="0" w:space="0" w:color="auto"/>
      </w:divBdr>
    </w:div>
    <w:div w:id="1840538568">
      <w:bodyDiv w:val="1"/>
      <w:marLeft w:val="0"/>
      <w:marRight w:val="0"/>
      <w:marTop w:val="0"/>
      <w:marBottom w:val="0"/>
      <w:divBdr>
        <w:top w:val="none" w:sz="0" w:space="0" w:color="auto"/>
        <w:left w:val="none" w:sz="0" w:space="0" w:color="auto"/>
        <w:bottom w:val="none" w:sz="0" w:space="0" w:color="auto"/>
        <w:right w:val="none" w:sz="0" w:space="0" w:color="auto"/>
      </w:divBdr>
    </w:div>
    <w:div w:id="1840583658">
      <w:bodyDiv w:val="1"/>
      <w:marLeft w:val="0"/>
      <w:marRight w:val="0"/>
      <w:marTop w:val="0"/>
      <w:marBottom w:val="0"/>
      <w:divBdr>
        <w:top w:val="none" w:sz="0" w:space="0" w:color="auto"/>
        <w:left w:val="none" w:sz="0" w:space="0" w:color="auto"/>
        <w:bottom w:val="none" w:sz="0" w:space="0" w:color="auto"/>
        <w:right w:val="none" w:sz="0" w:space="0" w:color="auto"/>
      </w:divBdr>
    </w:div>
    <w:div w:id="1840611311">
      <w:bodyDiv w:val="1"/>
      <w:marLeft w:val="0"/>
      <w:marRight w:val="0"/>
      <w:marTop w:val="0"/>
      <w:marBottom w:val="0"/>
      <w:divBdr>
        <w:top w:val="none" w:sz="0" w:space="0" w:color="auto"/>
        <w:left w:val="none" w:sz="0" w:space="0" w:color="auto"/>
        <w:bottom w:val="none" w:sz="0" w:space="0" w:color="auto"/>
        <w:right w:val="none" w:sz="0" w:space="0" w:color="auto"/>
      </w:divBdr>
    </w:div>
    <w:div w:id="1840651045">
      <w:bodyDiv w:val="1"/>
      <w:marLeft w:val="0"/>
      <w:marRight w:val="0"/>
      <w:marTop w:val="0"/>
      <w:marBottom w:val="0"/>
      <w:divBdr>
        <w:top w:val="none" w:sz="0" w:space="0" w:color="auto"/>
        <w:left w:val="none" w:sz="0" w:space="0" w:color="auto"/>
        <w:bottom w:val="none" w:sz="0" w:space="0" w:color="auto"/>
        <w:right w:val="none" w:sz="0" w:space="0" w:color="auto"/>
      </w:divBdr>
    </w:div>
    <w:div w:id="1840657303">
      <w:bodyDiv w:val="1"/>
      <w:marLeft w:val="0"/>
      <w:marRight w:val="0"/>
      <w:marTop w:val="0"/>
      <w:marBottom w:val="0"/>
      <w:divBdr>
        <w:top w:val="none" w:sz="0" w:space="0" w:color="auto"/>
        <w:left w:val="none" w:sz="0" w:space="0" w:color="auto"/>
        <w:bottom w:val="none" w:sz="0" w:space="0" w:color="auto"/>
        <w:right w:val="none" w:sz="0" w:space="0" w:color="auto"/>
      </w:divBdr>
    </w:div>
    <w:div w:id="1840729354">
      <w:bodyDiv w:val="1"/>
      <w:marLeft w:val="0"/>
      <w:marRight w:val="0"/>
      <w:marTop w:val="0"/>
      <w:marBottom w:val="0"/>
      <w:divBdr>
        <w:top w:val="none" w:sz="0" w:space="0" w:color="auto"/>
        <w:left w:val="none" w:sz="0" w:space="0" w:color="auto"/>
        <w:bottom w:val="none" w:sz="0" w:space="0" w:color="auto"/>
        <w:right w:val="none" w:sz="0" w:space="0" w:color="auto"/>
      </w:divBdr>
    </w:div>
    <w:div w:id="1840851126">
      <w:bodyDiv w:val="1"/>
      <w:marLeft w:val="0"/>
      <w:marRight w:val="0"/>
      <w:marTop w:val="0"/>
      <w:marBottom w:val="0"/>
      <w:divBdr>
        <w:top w:val="none" w:sz="0" w:space="0" w:color="auto"/>
        <w:left w:val="none" w:sz="0" w:space="0" w:color="auto"/>
        <w:bottom w:val="none" w:sz="0" w:space="0" w:color="auto"/>
        <w:right w:val="none" w:sz="0" w:space="0" w:color="auto"/>
      </w:divBdr>
    </w:div>
    <w:div w:id="1840995616">
      <w:bodyDiv w:val="1"/>
      <w:marLeft w:val="0"/>
      <w:marRight w:val="0"/>
      <w:marTop w:val="0"/>
      <w:marBottom w:val="0"/>
      <w:divBdr>
        <w:top w:val="none" w:sz="0" w:space="0" w:color="auto"/>
        <w:left w:val="none" w:sz="0" w:space="0" w:color="auto"/>
        <w:bottom w:val="none" w:sz="0" w:space="0" w:color="auto"/>
        <w:right w:val="none" w:sz="0" w:space="0" w:color="auto"/>
      </w:divBdr>
    </w:div>
    <w:div w:id="1841113033">
      <w:bodyDiv w:val="1"/>
      <w:marLeft w:val="0"/>
      <w:marRight w:val="0"/>
      <w:marTop w:val="0"/>
      <w:marBottom w:val="0"/>
      <w:divBdr>
        <w:top w:val="none" w:sz="0" w:space="0" w:color="auto"/>
        <w:left w:val="none" w:sz="0" w:space="0" w:color="auto"/>
        <w:bottom w:val="none" w:sz="0" w:space="0" w:color="auto"/>
        <w:right w:val="none" w:sz="0" w:space="0" w:color="auto"/>
      </w:divBdr>
    </w:div>
    <w:div w:id="1841116841">
      <w:bodyDiv w:val="1"/>
      <w:marLeft w:val="0"/>
      <w:marRight w:val="0"/>
      <w:marTop w:val="0"/>
      <w:marBottom w:val="0"/>
      <w:divBdr>
        <w:top w:val="none" w:sz="0" w:space="0" w:color="auto"/>
        <w:left w:val="none" w:sz="0" w:space="0" w:color="auto"/>
        <w:bottom w:val="none" w:sz="0" w:space="0" w:color="auto"/>
        <w:right w:val="none" w:sz="0" w:space="0" w:color="auto"/>
      </w:divBdr>
    </w:div>
    <w:div w:id="1841193066">
      <w:bodyDiv w:val="1"/>
      <w:marLeft w:val="0"/>
      <w:marRight w:val="0"/>
      <w:marTop w:val="0"/>
      <w:marBottom w:val="0"/>
      <w:divBdr>
        <w:top w:val="none" w:sz="0" w:space="0" w:color="auto"/>
        <w:left w:val="none" w:sz="0" w:space="0" w:color="auto"/>
        <w:bottom w:val="none" w:sz="0" w:space="0" w:color="auto"/>
        <w:right w:val="none" w:sz="0" w:space="0" w:color="auto"/>
      </w:divBdr>
    </w:div>
    <w:div w:id="1841196774">
      <w:bodyDiv w:val="1"/>
      <w:marLeft w:val="0"/>
      <w:marRight w:val="0"/>
      <w:marTop w:val="0"/>
      <w:marBottom w:val="0"/>
      <w:divBdr>
        <w:top w:val="none" w:sz="0" w:space="0" w:color="auto"/>
        <w:left w:val="none" w:sz="0" w:space="0" w:color="auto"/>
        <w:bottom w:val="none" w:sz="0" w:space="0" w:color="auto"/>
        <w:right w:val="none" w:sz="0" w:space="0" w:color="auto"/>
      </w:divBdr>
    </w:div>
    <w:div w:id="1841310453">
      <w:bodyDiv w:val="1"/>
      <w:marLeft w:val="0"/>
      <w:marRight w:val="0"/>
      <w:marTop w:val="0"/>
      <w:marBottom w:val="0"/>
      <w:divBdr>
        <w:top w:val="none" w:sz="0" w:space="0" w:color="auto"/>
        <w:left w:val="none" w:sz="0" w:space="0" w:color="auto"/>
        <w:bottom w:val="none" w:sz="0" w:space="0" w:color="auto"/>
        <w:right w:val="none" w:sz="0" w:space="0" w:color="auto"/>
      </w:divBdr>
    </w:div>
    <w:div w:id="1841314164">
      <w:bodyDiv w:val="1"/>
      <w:marLeft w:val="0"/>
      <w:marRight w:val="0"/>
      <w:marTop w:val="0"/>
      <w:marBottom w:val="0"/>
      <w:divBdr>
        <w:top w:val="none" w:sz="0" w:space="0" w:color="auto"/>
        <w:left w:val="none" w:sz="0" w:space="0" w:color="auto"/>
        <w:bottom w:val="none" w:sz="0" w:space="0" w:color="auto"/>
        <w:right w:val="none" w:sz="0" w:space="0" w:color="auto"/>
      </w:divBdr>
    </w:div>
    <w:div w:id="1841458776">
      <w:bodyDiv w:val="1"/>
      <w:marLeft w:val="0"/>
      <w:marRight w:val="0"/>
      <w:marTop w:val="0"/>
      <w:marBottom w:val="0"/>
      <w:divBdr>
        <w:top w:val="none" w:sz="0" w:space="0" w:color="auto"/>
        <w:left w:val="none" w:sz="0" w:space="0" w:color="auto"/>
        <w:bottom w:val="none" w:sz="0" w:space="0" w:color="auto"/>
        <w:right w:val="none" w:sz="0" w:space="0" w:color="auto"/>
      </w:divBdr>
    </w:div>
    <w:div w:id="1841583008">
      <w:bodyDiv w:val="1"/>
      <w:marLeft w:val="0"/>
      <w:marRight w:val="0"/>
      <w:marTop w:val="0"/>
      <w:marBottom w:val="0"/>
      <w:divBdr>
        <w:top w:val="none" w:sz="0" w:space="0" w:color="auto"/>
        <w:left w:val="none" w:sz="0" w:space="0" w:color="auto"/>
        <w:bottom w:val="none" w:sz="0" w:space="0" w:color="auto"/>
        <w:right w:val="none" w:sz="0" w:space="0" w:color="auto"/>
      </w:divBdr>
    </w:div>
    <w:div w:id="1841693241">
      <w:bodyDiv w:val="1"/>
      <w:marLeft w:val="0"/>
      <w:marRight w:val="0"/>
      <w:marTop w:val="0"/>
      <w:marBottom w:val="0"/>
      <w:divBdr>
        <w:top w:val="none" w:sz="0" w:space="0" w:color="auto"/>
        <w:left w:val="none" w:sz="0" w:space="0" w:color="auto"/>
        <w:bottom w:val="none" w:sz="0" w:space="0" w:color="auto"/>
        <w:right w:val="none" w:sz="0" w:space="0" w:color="auto"/>
      </w:divBdr>
    </w:div>
    <w:div w:id="1841698931">
      <w:bodyDiv w:val="1"/>
      <w:marLeft w:val="0"/>
      <w:marRight w:val="0"/>
      <w:marTop w:val="0"/>
      <w:marBottom w:val="0"/>
      <w:divBdr>
        <w:top w:val="none" w:sz="0" w:space="0" w:color="auto"/>
        <w:left w:val="none" w:sz="0" w:space="0" w:color="auto"/>
        <w:bottom w:val="none" w:sz="0" w:space="0" w:color="auto"/>
        <w:right w:val="none" w:sz="0" w:space="0" w:color="auto"/>
      </w:divBdr>
    </w:div>
    <w:div w:id="1841852008">
      <w:bodyDiv w:val="1"/>
      <w:marLeft w:val="0"/>
      <w:marRight w:val="0"/>
      <w:marTop w:val="0"/>
      <w:marBottom w:val="0"/>
      <w:divBdr>
        <w:top w:val="none" w:sz="0" w:space="0" w:color="auto"/>
        <w:left w:val="none" w:sz="0" w:space="0" w:color="auto"/>
        <w:bottom w:val="none" w:sz="0" w:space="0" w:color="auto"/>
        <w:right w:val="none" w:sz="0" w:space="0" w:color="auto"/>
      </w:divBdr>
    </w:div>
    <w:div w:id="1841963663">
      <w:bodyDiv w:val="1"/>
      <w:marLeft w:val="0"/>
      <w:marRight w:val="0"/>
      <w:marTop w:val="0"/>
      <w:marBottom w:val="0"/>
      <w:divBdr>
        <w:top w:val="none" w:sz="0" w:space="0" w:color="auto"/>
        <w:left w:val="none" w:sz="0" w:space="0" w:color="auto"/>
        <w:bottom w:val="none" w:sz="0" w:space="0" w:color="auto"/>
        <w:right w:val="none" w:sz="0" w:space="0" w:color="auto"/>
      </w:divBdr>
    </w:div>
    <w:div w:id="1842039383">
      <w:bodyDiv w:val="1"/>
      <w:marLeft w:val="0"/>
      <w:marRight w:val="0"/>
      <w:marTop w:val="0"/>
      <w:marBottom w:val="0"/>
      <w:divBdr>
        <w:top w:val="none" w:sz="0" w:space="0" w:color="auto"/>
        <w:left w:val="none" w:sz="0" w:space="0" w:color="auto"/>
        <w:bottom w:val="none" w:sz="0" w:space="0" w:color="auto"/>
        <w:right w:val="none" w:sz="0" w:space="0" w:color="auto"/>
      </w:divBdr>
    </w:div>
    <w:div w:id="1842046048">
      <w:bodyDiv w:val="1"/>
      <w:marLeft w:val="0"/>
      <w:marRight w:val="0"/>
      <w:marTop w:val="0"/>
      <w:marBottom w:val="0"/>
      <w:divBdr>
        <w:top w:val="none" w:sz="0" w:space="0" w:color="auto"/>
        <w:left w:val="none" w:sz="0" w:space="0" w:color="auto"/>
        <w:bottom w:val="none" w:sz="0" w:space="0" w:color="auto"/>
        <w:right w:val="none" w:sz="0" w:space="0" w:color="auto"/>
      </w:divBdr>
    </w:div>
    <w:div w:id="1842155246">
      <w:bodyDiv w:val="1"/>
      <w:marLeft w:val="0"/>
      <w:marRight w:val="0"/>
      <w:marTop w:val="0"/>
      <w:marBottom w:val="0"/>
      <w:divBdr>
        <w:top w:val="none" w:sz="0" w:space="0" w:color="auto"/>
        <w:left w:val="none" w:sz="0" w:space="0" w:color="auto"/>
        <w:bottom w:val="none" w:sz="0" w:space="0" w:color="auto"/>
        <w:right w:val="none" w:sz="0" w:space="0" w:color="auto"/>
      </w:divBdr>
    </w:div>
    <w:div w:id="1842546889">
      <w:bodyDiv w:val="1"/>
      <w:marLeft w:val="0"/>
      <w:marRight w:val="0"/>
      <w:marTop w:val="0"/>
      <w:marBottom w:val="0"/>
      <w:divBdr>
        <w:top w:val="none" w:sz="0" w:space="0" w:color="auto"/>
        <w:left w:val="none" w:sz="0" w:space="0" w:color="auto"/>
        <w:bottom w:val="none" w:sz="0" w:space="0" w:color="auto"/>
        <w:right w:val="none" w:sz="0" w:space="0" w:color="auto"/>
      </w:divBdr>
    </w:div>
    <w:div w:id="1842693759">
      <w:bodyDiv w:val="1"/>
      <w:marLeft w:val="0"/>
      <w:marRight w:val="0"/>
      <w:marTop w:val="0"/>
      <w:marBottom w:val="0"/>
      <w:divBdr>
        <w:top w:val="none" w:sz="0" w:space="0" w:color="auto"/>
        <w:left w:val="none" w:sz="0" w:space="0" w:color="auto"/>
        <w:bottom w:val="none" w:sz="0" w:space="0" w:color="auto"/>
        <w:right w:val="none" w:sz="0" w:space="0" w:color="auto"/>
      </w:divBdr>
    </w:div>
    <w:div w:id="1842767735">
      <w:bodyDiv w:val="1"/>
      <w:marLeft w:val="0"/>
      <w:marRight w:val="0"/>
      <w:marTop w:val="0"/>
      <w:marBottom w:val="0"/>
      <w:divBdr>
        <w:top w:val="none" w:sz="0" w:space="0" w:color="auto"/>
        <w:left w:val="none" w:sz="0" w:space="0" w:color="auto"/>
        <w:bottom w:val="none" w:sz="0" w:space="0" w:color="auto"/>
        <w:right w:val="none" w:sz="0" w:space="0" w:color="auto"/>
      </w:divBdr>
    </w:div>
    <w:div w:id="1842937857">
      <w:bodyDiv w:val="1"/>
      <w:marLeft w:val="0"/>
      <w:marRight w:val="0"/>
      <w:marTop w:val="0"/>
      <w:marBottom w:val="0"/>
      <w:divBdr>
        <w:top w:val="none" w:sz="0" w:space="0" w:color="auto"/>
        <w:left w:val="none" w:sz="0" w:space="0" w:color="auto"/>
        <w:bottom w:val="none" w:sz="0" w:space="0" w:color="auto"/>
        <w:right w:val="none" w:sz="0" w:space="0" w:color="auto"/>
      </w:divBdr>
    </w:div>
    <w:div w:id="1842967225">
      <w:bodyDiv w:val="1"/>
      <w:marLeft w:val="0"/>
      <w:marRight w:val="0"/>
      <w:marTop w:val="0"/>
      <w:marBottom w:val="0"/>
      <w:divBdr>
        <w:top w:val="none" w:sz="0" w:space="0" w:color="auto"/>
        <w:left w:val="none" w:sz="0" w:space="0" w:color="auto"/>
        <w:bottom w:val="none" w:sz="0" w:space="0" w:color="auto"/>
        <w:right w:val="none" w:sz="0" w:space="0" w:color="auto"/>
      </w:divBdr>
    </w:div>
    <w:div w:id="1843005533">
      <w:bodyDiv w:val="1"/>
      <w:marLeft w:val="0"/>
      <w:marRight w:val="0"/>
      <w:marTop w:val="0"/>
      <w:marBottom w:val="0"/>
      <w:divBdr>
        <w:top w:val="none" w:sz="0" w:space="0" w:color="auto"/>
        <w:left w:val="none" w:sz="0" w:space="0" w:color="auto"/>
        <w:bottom w:val="none" w:sz="0" w:space="0" w:color="auto"/>
        <w:right w:val="none" w:sz="0" w:space="0" w:color="auto"/>
      </w:divBdr>
    </w:div>
    <w:div w:id="1843011747">
      <w:bodyDiv w:val="1"/>
      <w:marLeft w:val="0"/>
      <w:marRight w:val="0"/>
      <w:marTop w:val="0"/>
      <w:marBottom w:val="0"/>
      <w:divBdr>
        <w:top w:val="none" w:sz="0" w:space="0" w:color="auto"/>
        <w:left w:val="none" w:sz="0" w:space="0" w:color="auto"/>
        <w:bottom w:val="none" w:sz="0" w:space="0" w:color="auto"/>
        <w:right w:val="none" w:sz="0" w:space="0" w:color="auto"/>
      </w:divBdr>
    </w:div>
    <w:div w:id="1843013256">
      <w:bodyDiv w:val="1"/>
      <w:marLeft w:val="0"/>
      <w:marRight w:val="0"/>
      <w:marTop w:val="0"/>
      <w:marBottom w:val="0"/>
      <w:divBdr>
        <w:top w:val="none" w:sz="0" w:space="0" w:color="auto"/>
        <w:left w:val="none" w:sz="0" w:space="0" w:color="auto"/>
        <w:bottom w:val="none" w:sz="0" w:space="0" w:color="auto"/>
        <w:right w:val="none" w:sz="0" w:space="0" w:color="auto"/>
      </w:divBdr>
    </w:div>
    <w:div w:id="1843081546">
      <w:bodyDiv w:val="1"/>
      <w:marLeft w:val="0"/>
      <w:marRight w:val="0"/>
      <w:marTop w:val="0"/>
      <w:marBottom w:val="0"/>
      <w:divBdr>
        <w:top w:val="none" w:sz="0" w:space="0" w:color="auto"/>
        <w:left w:val="none" w:sz="0" w:space="0" w:color="auto"/>
        <w:bottom w:val="none" w:sz="0" w:space="0" w:color="auto"/>
        <w:right w:val="none" w:sz="0" w:space="0" w:color="auto"/>
      </w:divBdr>
    </w:div>
    <w:div w:id="1843203080">
      <w:bodyDiv w:val="1"/>
      <w:marLeft w:val="0"/>
      <w:marRight w:val="0"/>
      <w:marTop w:val="0"/>
      <w:marBottom w:val="0"/>
      <w:divBdr>
        <w:top w:val="none" w:sz="0" w:space="0" w:color="auto"/>
        <w:left w:val="none" w:sz="0" w:space="0" w:color="auto"/>
        <w:bottom w:val="none" w:sz="0" w:space="0" w:color="auto"/>
        <w:right w:val="none" w:sz="0" w:space="0" w:color="auto"/>
      </w:divBdr>
    </w:div>
    <w:div w:id="1843205235">
      <w:bodyDiv w:val="1"/>
      <w:marLeft w:val="0"/>
      <w:marRight w:val="0"/>
      <w:marTop w:val="0"/>
      <w:marBottom w:val="0"/>
      <w:divBdr>
        <w:top w:val="none" w:sz="0" w:space="0" w:color="auto"/>
        <w:left w:val="none" w:sz="0" w:space="0" w:color="auto"/>
        <w:bottom w:val="none" w:sz="0" w:space="0" w:color="auto"/>
        <w:right w:val="none" w:sz="0" w:space="0" w:color="auto"/>
      </w:divBdr>
    </w:div>
    <w:div w:id="1843275660">
      <w:bodyDiv w:val="1"/>
      <w:marLeft w:val="0"/>
      <w:marRight w:val="0"/>
      <w:marTop w:val="0"/>
      <w:marBottom w:val="0"/>
      <w:divBdr>
        <w:top w:val="none" w:sz="0" w:space="0" w:color="auto"/>
        <w:left w:val="none" w:sz="0" w:space="0" w:color="auto"/>
        <w:bottom w:val="none" w:sz="0" w:space="0" w:color="auto"/>
        <w:right w:val="none" w:sz="0" w:space="0" w:color="auto"/>
      </w:divBdr>
    </w:div>
    <w:div w:id="1843278881">
      <w:bodyDiv w:val="1"/>
      <w:marLeft w:val="0"/>
      <w:marRight w:val="0"/>
      <w:marTop w:val="0"/>
      <w:marBottom w:val="0"/>
      <w:divBdr>
        <w:top w:val="none" w:sz="0" w:space="0" w:color="auto"/>
        <w:left w:val="none" w:sz="0" w:space="0" w:color="auto"/>
        <w:bottom w:val="none" w:sz="0" w:space="0" w:color="auto"/>
        <w:right w:val="none" w:sz="0" w:space="0" w:color="auto"/>
      </w:divBdr>
    </w:div>
    <w:div w:id="1843279474">
      <w:bodyDiv w:val="1"/>
      <w:marLeft w:val="0"/>
      <w:marRight w:val="0"/>
      <w:marTop w:val="0"/>
      <w:marBottom w:val="0"/>
      <w:divBdr>
        <w:top w:val="none" w:sz="0" w:space="0" w:color="auto"/>
        <w:left w:val="none" w:sz="0" w:space="0" w:color="auto"/>
        <w:bottom w:val="none" w:sz="0" w:space="0" w:color="auto"/>
        <w:right w:val="none" w:sz="0" w:space="0" w:color="auto"/>
      </w:divBdr>
    </w:div>
    <w:div w:id="1843424732">
      <w:bodyDiv w:val="1"/>
      <w:marLeft w:val="0"/>
      <w:marRight w:val="0"/>
      <w:marTop w:val="0"/>
      <w:marBottom w:val="0"/>
      <w:divBdr>
        <w:top w:val="none" w:sz="0" w:space="0" w:color="auto"/>
        <w:left w:val="none" w:sz="0" w:space="0" w:color="auto"/>
        <w:bottom w:val="none" w:sz="0" w:space="0" w:color="auto"/>
        <w:right w:val="none" w:sz="0" w:space="0" w:color="auto"/>
      </w:divBdr>
    </w:div>
    <w:div w:id="1843467484">
      <w:bodyDiv w:val="1"/>
      <w:marLeft w:val="0"/>
      <w:marRight w:val="0"/>
      <w:marTop w:val="0"/>
      <w:marBottom w:val="0"/>
      <w:divBdr>
        <w:top w:val="none" w:sz="0" w:space="0" w:color="auto"/>
        <w:left w:val="none" w:sz="0" w:space="0" w:color="auto"/>
        <w:bottom w:val="none" w:sz="0" w:space="0" w:color="auto"/>
        <w:right w:val="none" w:sz="0" w:space="0" w:color="auto"/>
      </w:divBdr>
    </w:div>
    <w:div w:id="1843549699">
      <w:bodyDiv w:val="1"/>
      <w:marLeft w:val="0"/>
      <w:marRight w:val="0"/>
      <w:marTop w:val="0"/>
      <w:marBottom w:val="0"/>
      <w:divBdr>
        <w:top w:val="none" w:sz="0" w:space="0" w:color="auto"/>
        <w:left w:val="none" w:sz="0" w:space="0" w:color="auto"/>
        <w:bottom w:val="none" w:sz="0" w:space="0" w:color="auto"/>
        <w:right w:val="none" w:sz="0" w:space="0" w:color="auto"/>
      </w:divBdr>
    </w:div>
    <w:div w:id="1843623707">
      <w:bodyDiv w:val="1"/>
      <w:marLeft w:val="0"/>
      <w:marRight w:val="0"/>
      <w:marTop w:val="0"/>
      <w:marBottom w:val="0"/>
      <w:divBdr>
        <w:top w:val="none" w:sz="0" w:space="0" w:color="auto"/>
        <w:left w:val="none" w:sz="0" w:space="0" w:color="auto"/>
        <w:bottom w:val="none" w:sz="0" w:space="0" w:color="auto"/>
        <w:right w:val="none" w:sz="0" w:space="0" w:color="auto"/>
      </w:divBdr>
    </w:div>
    <w:div w:id="1843665661">
      <w:bodyDiv w:val="1"/>
      <w:marLeft w:val="0"/>
      <w:marRight w:val="0"/>
      <w:marTop w:val="0"/>
      <w:marBottom w:val="0"/>
      <w:divBdr>
        <w:top w:val="none" w:sz="0" w:space="0" w:color="auto"/>
        <w:left w:val="none" w:sz="0" w:space="0" w:color="auto"/>
        <w:bottom w:val="none" w:sz="0" w:space="0" w:color="auto"/>
        <w:right w:val="none" w:sz="0" w:space="0" w:color="auto"/>
      </w:divBdr>
    </w:div>
    <w:div w:id="1843861715">
      <w:bodyDiv w:val="1"/>
      <w:marLeft w:val="0"/>
      <w:marRight w:val="0"/>
      <w:marTop w:val="0"/>
      <w:marBottom w:val="0"/>
      <w:divBdr>
        <w:top w:val="none" w:sz="0" w:space="0" w:color="auto"/>
        <w:left w:val="none" w:sz="0" w:space="0" w:color="auto"/>
        <w:bottom w:val="none" w:sz="0" w:space="0" w:color="auto"/>
        <w:right w:val="none" w:sz="0" w:space="0" w:color="auto"/>
      </w:divBdr>
    </w:div>
    <w:div w:id="1843884792">
      <w:bodyDiv w:val="1"/>
      <w:marLeft w:val="0"/>
      <w:marRight w:val="0"/>
      <w:marTop w:val="0"/>
      <w:marBottom w:val="0"/>
      <w:divBdr>
        <w:top w:val="none" w:sz="0" w:space="0" w:color="auto"/>
        <w:left w:val="none" w:sz="0" w:space="0" w:color="auto"/>
        <w:bottom w:val="none" w:sz="0" w:space="0" w:color="auto"/>
        <w:right w:val="none" w:sz="0" w:space="0" w:color="auto"/>
      </w:divBdr>
    </w:div>
    <w:div w:id="1843885151">
      <w:bodyDiv w:val="1"/>
      <w:marLeft w:val="0"/>
      <w:marRight w:val="0"/>
      <w:marTop w:val="0"/>
      <w:marBottom w:val="0"/>
      <w:divBdr>
        <w:top w:val="none" w:sz="0" w:space="0" w:color="auto"/>
        <w:left w:val="none" w:sz="0" w:space="0" w:color="auto"/>
        <w:bottom w:val="none" w:sz="0" w:space="0" w:color="auto"/>
        <w:right w:val="none" w:sz="0" w:space="0" w:color="auto"/>
      </w:divBdr>
    </w:div>
    <w:div w:id="1843885942">
      <w:bodyDiv w:val="1"/>
      <w:marLeft w:val="0"/>
      <w:marRight w:val="0"/>
      <w:marTop w:val="0"/>
      <w:marBottom w:val="0"/>
      <w:divBdr>
        <w:top w:val="none" w:sz="0" w:space="0" w:color="auto"/>
        <w:left w:val="none" w:sz="0" w:space="0" w:color="auto"/>
        <w:bottom w:val="none" w:sz="0" w:space="0" w:color="auto"/>
        <w:right w:val="none" w:sz="0" w:space="0" w:color="auto"/>
      </w:divBdr>
    </w:div>
    <w:div w:id="1843937001">
      <w:bodyDiv w:val="1"/>
      <w:marLeft w:val="0"/>
      <w:marRight w:val="0"/>
      <w:marTop w:val="0"/>
      <w:marBottom w:val="0"/>
      <w:divBdr>
        <w:top w:val="none" w:sz="0" w:space="0" w:color="auto"/>
        <w:left w:val="none" w:sz="0" w:space="0" w:color="auto"/>
        <w:bottom w:val="none" w:sz="0" w:space="0" w:color="auto"/>
        <w:right w:val="none" w:sz="0" w:space="0" w:color="auto"/>
      </w:divBdr>
    </w:div>
    <w:div w:id="1844002938">
      <w:bodyDiv w:val="1"/>
      <w:marLeft w:val="0"/>
      <w:marRight w:val="0"/>
      <w:marTop w:val="0"/>
      <w:marBottom w:val="0"/>
      <w:divBdr>
        <w:top w:val="none" w:sz="0" w:space="0" w:color="auto"/>
        <w:left w:val="none" w:sz="0" w:space="0" w:color="auto"/>
        <w:bottom w:val="none" w:sz="0" w:space="0" w:color="auto"/>
        <w:right w:val="none" w:sz="0" w:space="0" w:color="auto"/>
      </w:divBdr>
    </w:div>
    <w:div w:id="1844003239">
      <w:bodyDiv w:val="1"/>
      <w:marLeft w:val="0"/>
      <w:marRight w:val="0"/>
      <w:marTop w:val="0"/>
      <w:marBottom w:val="0"/>
      <w:divBdr>
        <w:top w:val="none" w:sz="0" w:space="0" w:color="auto"/>
        <w:left w:val="none" w:sz="0" w:space="0" w:color="auto"/>
        <w:bottom w:val="none" w:sz="0" w:space="0" w:color="auto"/>
        <w:right w:val="none" w:sz="0" w:space="0" w:color="auto"/>
      </w:divBdr>
    </w:div>
    <w:div w:id="1844006488">
      <w:bodyDiv w:val="1"/>
      <w:marLeft w:val="0"/>
      <w:marRight w:val="0"/>
      <w:marTop w:val="0"/>
      <w:marBottom w:val="0"/>
      <w:divBdr>
        <w:top w:val="none" w:sz="0" w:space="0" w:color="auto"/>
        <w:left w:val="none" w:sz="0" w:space="0" w:color="auto"/>
        <w:bottom w:val="none" w:sz="0" w:space="0" w:color="auto"/>
        <w:right w:val="none" w:sz="0" w:space="0" w:color="auto"/>
      </w:divBdr>
    </w:div>
    <w:div w:id="1844010634">
      <w:bodyDiv w:val="1"/>
      <w:marLeft w:val="0"/>
      <w:marRight w:val="0"/>
      <w:marTop w:val="0"/>
      <w:marBottom w:val="0"/>
      <w:divBdr>
        <w:top w:val="none" w:sz="0" w:space="0" w:color="auto"/>
        <w:left w:val="none" w:sz="0" w:space="0" w:color="auto"/>
        <w:bottom w:val="none" w:sz="0" w:space="0" w:color="auto"/>
        <w:right w:val="none" w:sz="0" w:space="0" w:color="auto"/>
      </w:divBdr>
    </w:div>
    <w:div w:id="1844084201">
      <w:bodyDiv w:val="1"/>
      <w:marLeft w:val="0"/>
      <w:marRight w:val="0"/>
      <w:marTop w:val="0"/>
      <w:marBottom w:val="0"/>
      <w:divBdr>
        <w:top w:val="none" w:sz="0" w:space="0" w:color="auto"/>
        <w:left w:val="none" w:sz="0" w:space="0" w:color="auto"/>
        <w:bottom w:val="none" w:sz="0" w:space="0" w:color="auto"/>
        <w:right w:val="none" w:sz="0" w:space="0" w:color="auto"/>
      </w:divBdr>
    </w:div>
    <w:div w:id="1844125600">
      <w:bodyDiv w:val="1"/>
      <w:marLeft w:val="0"/>
      <w:marRight w:val="0"/>
      <w:marTop w:val="0"/>
      <w:marBottom w:val="0"/>
      <w:divBdr>
        <w:top w:val="none" w:sz="0" w:space="0" w:color="auto"/>
        <w:left w:val="none" w:sz="0" w:space="0" w:color="auto"/>
        <w:bottom w:val="none" w:sz="0" w:space="0" w:color="auto"/>
        <w:right w:val="none" w:sz="0" w:space="0" w:color="auto"/>
      </w:divBdr>
    </w:div>
    <w:div w:id="1844198066">
      <w:bodyDiv w:val="1"/>
      <w:marLeft w:val="0"/>
      <w:marRight w:val="0"/>
      <w:marTop w:val="0"/>
      <w:marBottom w:val="0"/>
      <w:divBdr>
        <w:top w:val="none" w:sz="0" w:space="0" w:color="auto"/>
        <w:left w:val="none" w:sz="0" w:space="0" w:color="auto"/>
        <w:bottom w:val="none" w:sz="0" w:space="0" w:color="auto"/>
        <w:right w:val="none" w:sz="0" w:space="0" w:color="auto"/>
      </w:divBdr>
    </w:div>
    <w:div w:id="1844204191">
      <w:bodyDiv w:val="1"/>
      <w:marLeft w:val="0"/>
      <w:marRight w:val="0"/>
      <w:marTop w:val="0"/>
      <w:marBottom w:val="0"/>
      <w:divBdr>
        <w:top w:val="none" w:sz="0" w:space="0" w:color="auto"/>
        <w:left w:val="none" w:sz="0" w:space="0" w:color="auto"/>
        <w:bottom w:val="none" w:sz="0" w:space="0" w:color="auto"/>
        <w:right w:val="none" w:sz="0" w:space="0" w:color="auto"/>
      </w:divBdr>
    </w:div>
    <w:div w:id="1844314318">
      <w:bodyDiv w:val="1"/>
      <w:marLeft w:val="0"/>
      <w:marRight w:val="0"/>
      <w:marTop w:val="0"/>
      <w:marBottom w:val="0"/>
      <w:divBdr>
        <w:top w:val="none" w:sz="0" w:space="0" w:color="auto"/>
        <w:left w:val="none" w:sz="0" w:space="0" w:color="auto"/>
        <w:bottom w:val="none" w:sz="0" w:space="0" w:color="auto"/>
        <w:right w:val="none" w:sz="0" w:space="0" w:color="auto"/>
      </w:divBdr>
    </w:div>
    <w:div w:id="1844317802">
      <w:bodyDiv w:val="1"/>
      <w:marLeft w:val="0"/>
      <w:marRight w:val="0"/>
      <w:marTop w:val="0"/>
      <w:marBottom w:val="0"/>
      <w:divBdr>
        <w:top w:val="none" w:sz="0" w:space="0" w:color="auto"/>
        <w:left w:val="none" w:sz="0" w:space="0" w:color="auto"/>
        <w:bottom w:val="none" w:sz="0" w:space="0" w:color="auto"/>
        <w:right w:val="none" w:sz="0" w:space="0" w:color="auto"/>
      </w:divBdr>
    </w:div>
    <w:div w:id="1844540268">
      <w:bodyDiv w:val="1"/>
      <w:marLeft w:val="0"/>
      <w:marRight w:val="0"/>
      <w:marTop w:val="0"/>
      <w:marBottom w:val="0"/>
      <w:divBdr>
        <w:top w:val="none" w:sz="0" w:space="0" w:color="auto"/>
        <w:left w:val="none" w:sz="0" w:space="0" w:color="auto"/>
        <w:bottom w:val="none" w:sz="0" w:space="0" w:color="auto"/>
        <w:right w:val="none" w:sz="0" w:space="0" w:color="auto"/>
      </w:divBdr>
    </w:div>
    <w:div w:id="1844659597">
      <w:bodyDiv w:val="1"/>
      <w:marLeft w:val="0"/>
      <w:marRight w:val="0"/>
      <w:marTop w:val="0"/>
      <w:marBottom w:val="0"/>
      <w:divBdr>
        <w:top w:val="none" w:sz="0" w:space="0" w:color="auto"/>
        <w:left w:val="none" w:sz="0" w:space="0" w:color="auto"/>
        <w:bottom w:val="none" w:sz="0" w:space="0" w:color="auto"/>
        <w:right w:val="none" w:sz="0" w:space="0" w:color="auto"/>
      </w:divBdr>
    </w:div>
    <w:div w:id="1844663687">
      <w:bodyDiv w:val="1"/>
      <w:marLeft w:val="0"/>
      <w:marRight w:val="0"/>
      <w:marTop w:val="0"/>
      <w:marBottom w:val="0"/>
      <w:divBdr>
        <w:top w:val="none" w:sz="0" w:space="0" w:color="auto"/>
        <w:left w:val="none" w:sz="0" w:space="0" w:color="auto"/>
        <w:bottom w:val="none" w:sz="0" w:space="0" w:color="auto"/>
        <w:right w:val="none" w:sz="0" w:space="0" w:color="auto"/>
      </w:divBdr>
    </w:div>
    <w:div w:id="1844777743">
      <w:bodyDiv w:val="1"/>
      <w:marLeft w:val="0"/>
      <w:marRight w:val="0"/>
      <w:marTop w:val="0"/>
      <w:marBottom w:val="0"/>
      <w:divBdr>
        <w:top w:val="none" w:sz="0" w:space="0" w:color="auto"/>
        <w:left w:val="none" w:sz="0" w:space="0" w:color="auto"/>
        <w:bottom w:val="none" w:sz="0" w:space="0" w:color="auto"/>
        <w:right w:val="none" w:sz="0" w:space="0" w:color="auto"/>
      </w:divBdr>
    </w:div>
    <w:div w:id="1844784696">
      <w:bodyDiv w:val="1"/>
      <w:marLeft w:val="0"/>
      <w:marRight w:val="0"/>
      <w:marTop w:val="0"/>
      <w:marBottom w:val="0"/>
      <w:divBdr>
        <w:top w:val="none" w:sz="0" w:space="0" w:color="auto"/>
        <w:left w:val="none" w:sz="0" w:space="0" w:color="auto"/>
        <w:bottom w:val="none" w:sz="0" w:space="0" w:color="auto"/>
        <w:right w:val="none" w:sz="0" w:space="0" w:color="auto"/>
      </w:divBdr>
    </w:div>
    <w:div w:id="1844858370">
      <w:bodyDiv w:val="1"/>
      <w:marLeft w:val="0"/>
      <w:marRight w:val="0"/>
      <w:marTop w:val="0"/>
      <w:marBottom w:val="0"/>
      <w:divBdr>
        <w:top w:val="none" w:sz="0" w:space="0" w:color="auto"/>
        <w:left w:val="none" w:sz="0" w:space="0" w:color="auto"/>
        <w:bottom w:val="none" w:sz="0" w:space="0" w:color="auto"/>
        <w:right w:val="none" w:sz="0" w:space="0" w:color="auto"/>
      </w:divBdr>
    </w:div>
    <w:div w:id="1844858702">
      <w:bodyDiv w:val="1"/>
      <w:marLeft w:val="0"/>
      <w:marRight w:val="0"/>
      <w:marTop w:val="0"/>
      <w:marBottom w:val="0"/>
      <w:divBdr>
        <w:top w:val="none" w:sz="0" w:space="0" w:color="auto"/>
        <w:left w:val="none" w:sz="0" w:space="0" w:color="auto"/>
        <w:bottom w:val="none" w:sz="0" w:space="0" w:color="auto"/>
        <w:right w:val="none" w:sz="0" w:space="0" w:color="auto"/>
      </w:divBdr>
    </w:div>
    <w:div w:id="1844935722">
      <w:bodyDiv w:val="1"/>
      <w:marLeft w:val="0"/>
      <w:marRight w:val="0"/>
      <w:marTop w:val="0"/>
      <w:marBottom w:val="0"/>
      <w:divBdr>
        <w:top w:val="none" w:sz="0" w:space="0" w:color="auto"/>
        <w:left w:val="none" w:sz="0" w:space="0" w:color="auto"/>
        <w:bottom w:val="none" w:sz="0" w:space="0" w:color="auto"/>
        <w:right w:val="none" w:sz="0" w:space="0" w:color="auto"/>
      </w:divBdr>
    </w:div>
    <w:div w:id="1844973679">
      <w:bodyDiv w:val="1"/>
      <w:marLeft w:val="0"/>
      <w:marRight w:val="0"/>
      <w:marTop w:val="0"/>
      <w:marBottom w:val="0"/>
      <w:divBdr>
        <w:top w:val="none" w:sz="0" w:space="0" w:color="auto"/>
        <w:left w:val="none" w:sz="0" w:space="0" w:color="auto"/>
        <w:bottom w:val="none" w:sz="0" w:space="0" w:color="auto"/>
        <w:right w:val="none" w:sz="0" w:space="0" w:color="auto"/>
      </w:divBdr>
    </w:div>
    <w:div w:id="1844976549">
      <w:bodyDiv w:val="1"/>
      <w:marLeft w:val="0"/>
      <w:marRight w:val="0"/>
      <w:marTop w:val="0"/>
      <w:marBottom w:val="0"/>
      <w:divBdr>
        <w:top w:val="none" w:sz="0" w:space="0" w:color="auto"/>
        <w:left w:val="none" w:sz="0" w:space="0" w:color="auto"/>
        <w:bottom w:val="none" w:sz="0" w:space="0" w:color="auto"/>
        <w:right w:val="none" w:sz="0" w:space="0" w:color="auto"/>
      </w:divBdr>
    </w:div>
    <w:div w:id="1845049784">
      <w:bodyDiv w:val="1"/>
      <w:marLeft w:val="0"/>
      <w:marRight w:val="0"/>
      <w:marTop w:val="0"/>
      <w:marBottom w:val="0"/>
      <w:divBdr>
        <w:top w:val="none" w:sz="0" w:space="0" w:color="auto"/>
        <w:left w:val="none" w:sz="0" w:space="0" w:color="auto"/>
        <w:bottom w:val="none" w:sz="0" w:space="0" w:color="auto"/>
        <w:right w:val="none" w:sz="0" w:space="0" w:color="auto"/>
      </w:divBdr>
    </w:div>
    <w:div w:id="1845391704">
      <w:bodyDiv w:val="1"/>
      <w:marLeft w:val="0"/>
      <w:marRight w:val="0"/>
      <w:marTop w:val="0"/>
      <w:marBottom w:val="0"/>
      <w:divBdr>
        <w:top w:val="none" w:sz="0" w:space="0" w:color="auto"/>
        <w:left w:val="none" w:sz="0" w:space="0" w:color="auto"/>
        <w:bottom w:val="none" w:sz="0" w:space="0" w:color="auto"/>
        <w:right w:val="none" w:sz="0" w:space="0" w:color="auto"/>
      </w:divBdr>
    </w:div>
    <w:div w:id="1845506867">
      <w:bodyDiv w:val="1"/>
      <w:marLeft w:val="0"/>
      <w:marRight w:val="0"/>
      <w:marTop w:val="0"/>
      <w:marBottom w:val="0"/>
      <w:divBdr>
        <w:top w:val="none" w:sz="0" w:space="0" w:color="auto"/>
        <w:left w:val="none" w:sz="0" w:space="0" w:color="auto"/>
        <w:bottom w:val="none" w:sz="0" w:space="0" w:color="auto"/>
        <w:right w:val="none" w:sz="0" w:space="0" w:color="auto"/>
      </w:divBdr>
    </w:div>
    <w:div w:id="1845513845">
      <w:bodyDiv w:val="1"/>
      <w:marLeft w:val="0"/>
      <w:marRight w:val="0"/>
      <w:marTop w:val="0"/>
      <w:marBottom w:val="0"/>
      <w:divBdr>
        <w:top w:val="none" w:sz="0" w:space="0" w:color="auto"/>
        <w:left w:val="none" w:sz="0" w:space="0" w:color="auto"/>
        <w:bottom w:val="none" w:sz="0" w:space="0" w:color="auto"/>
        <w:right w:val="none" w:sz="0" w:space="0" w:color="auto"/>
      </w:divBdr>
    </w:div>
    <w:div w:id="1845585564">
      <w:bodyDiv w:val="1"/>
      <w:marLeft w:val="0"/>
      <w:marRight w:val="0"/>
      <w:marTop w:val="0"/>
      <w:marBottom w:val="0"/>
      <w:divBdr>
        <w:top w:val="none" w:sz="0" w:space="0" w:color="auto"/>
        <w:left w:val="none" w:sz="0" w:space="0" w:color="auto"/>
        <w:bottom w:val="none" w:sz="0" w:space="0" w:color="auto"/>
        <w:right w:val="none" w:sz="0" w:space="0" w:color="auto"/>
      </w:divBdr>
    </w:div>
    <w:div w:id="1845626703">
      <w:bodyDiv w:val="1"/>
      <w:marLeft w:val="0"/>
      <w:marRight w:val="0"/>
      <w:marTop w:val="0"/>
      <w:marBottom w:val="0"/>
      <w:divBdr>
        <w:top w:val="none" w:sz="0" w:space="0" w:color="auto"/>
        <w:left w:val="none" w:sz="0" w:space="0" w:color="auto"/>
        <w:bottom w:val="none" w:sz="0" w:space="0" w:color="auto"/>
        <w:right w:val="none" w:sz="0" w:space="0" w:color="auto"/>
      </w:divBdr>
    </w:div>
    <w:div w:id="1845629898">
      <w:bodyDiv w:val="1"/>
      <w:marLeft w:val="0"/>
      <w:marRight w:val="0"/>
      <w:marTop w:val="0"/>
      <w:marBottom w:val="0"/>
      <w:divBdr>
        <w:top w:val="none" w:sz="0" w:space="0" w:color="auto"/>
        <w:left w:val="none" w:sz="0" w:space="0" w:color="auto"/>
        <w:bottom w:val="none" w:sz="0" w:space="0" w:color="auto"/>
        <w:right w:val="none" w:sz="0" w:space="0" w:color="auto"/>
      </w:divBdr>
    </w:div>
    <w:div w:id="1845631859">
      <w:bodyDiv w:val="1"/>
      <w:marLeft w:val="0"/>
      <w:marRight w:val="0"/>
      <w:marTop w:val="0"/>
      <w:marBottom w:val="0"/>
      <w:divBdr>
        <w:top w:val="none" w:sz="0" w:space="0" w:color="auto"/>
        <w:left w:val="none" w:sz="0" w:space="0" w:color="auto"/>
        <w:bottom w:val="none" w:sz="0" w:space="0" w:color="auto"/>
        <w:right w:val="none" w:sz="0" w:space="0" w:color="auto"/>
      </w:divBdr>
    </w:div>
    <w:div w:id="1845633232">
      <w:bodyDiv w:val="1"/>
      <w:marLeft w:val="0"/>
      <w:marRight w:val="0"/>
      <w:marTop w:val="0"/>
      <w:marBottom w:val="0"/>
      <w:divBdr>
        <w:top w:val="none" w:sz="0" w:space="0" w:color="auto"/>
        <w:left w:val="none" w:sz="0" w:space="0" w:color="auto"/>
        <w:bottom w:val="none" w:sz="0" w:space="0" w:color="auto"/>
        <w:right w:val="none" w:sz="0" w:space="0" w:color="auto"/>
      </w:divBdr>
    </w:div>
    <w:div w:id="1845633587">
      <w:bodyDiv w:val="1"/>
      <w:marLeft w:val="0"/>
      <w:marRight w:val="0"/>
      <w:marTop w:val="0"/>
      <w:marBottom w:val="0"/>
      <w:divBdr>
        <w:top w:val="none" w:sz="0" w:space="0" w:color="auto"/>
        <w:left w:val="none" w:sz="0" w:space="0" w:color="auto"/>
        <w:bottom w:val="none" w:sz="0" w:space="0" w:color="auto"/>
        <w:right w:val="none" w:sz="0" w:space="0" w:color="auto"/>
      </w:divBdr>
    </w:div>
    <w:div w:id="1845851838">
      <w:bodyDiv w:val="1"/>
      <w:marLeft w:val="0"/>
      <w:marRight w:val="0"/>
      <w:marTop w:val="0"/>
      <w:marBottom w:val="0"/>
      <w:divBdr>
        <w:top w:val="none" w:sz="0" w:space="0" w:color="auto"/>
        <w:left w:val="none" w:sz="0" w:space="0" w:color="auto"/>
        <w:bottom w:val="none" w:sz="0" w:space="0" w:color="auto"/>
        <w:right w:val="none" w:sz="0" w:space="0" w:color="auto"/>
      </w:divBdr>
    </w:div>
    <w:div w:id="1845852317">
      <w:bodyDiv w:val="1"/>
      <w:marLeft w:val="0"/>
      <w:marRight w:val="0"/>
      <w:marTop w:val="0"/>
      <w:marBottom w:val="0"/>
      <w:divBdr>
        <w:top w:val="none" w:sz="0" w:space="0" w:color="auto"/>
        <w:left w:val="none" w:sz="0" w:space="0" w:color="auto"/>
        <w:bottom w:val="none" w:sz="0" w:space="0" w:color="auto"/>
        <w:right w:val="none" w:sz="0" w:space="0" w:color="auto"/>
      </w:divBdr>
    </w:div>
    <w:div w:id="1845970066">
      <w:bodyDiv w:val="1"/>
      <w:marLeft w:val="0"/>
      <w:marRight w:val="0"/>
      <w:marTop w:val="0"/>
      <w:marBottom w:val="0"/>
      <w:divBdr>
        <w:top w:val="none" w:sz="0" w:space="0" w:color="auto"/>
        <w:left w:val="none" w:sz="0" w:space="0" w:color="auto"/>
        <w:bottom w:val="none" w:sz="0" w:space="0" w:color="auto"/>
        <w:right w:val="none" w:sz="0" w:space="0" w:color="auto"/>
      </w:divBdr>
    </w:div>
    <w:div w:id="1845975001">
      <w:bodyDiv w:val="1"/>
      <w:marLeft w:val="0"/>
      <w:marRight w:val="0"/>
      <w:marTop w:val="0"/>
      <w:marBottom w:val="0"/>
      <w:divBdr>
        <w:top w:val="none" w:sz="0" w:space="0" w:color="auto"/>
        <w:left w:val="none" w:sz="0" w:space="0" w:color="auto"/>
        <w:bottom w:val="none" w:sz="0" w:space="0" w:color="auto"/>
        <w:right w:val="none" w:sz="0" w:space="0" w:color="auto"/>
      </w:divBdr>
    </w:div>
    <w:div w:id="1846047871">
      <w:bodyDiv w:val="1"/>
      <w:marLeft w:val="0"/>
      <w:marRight w:val="0"/>
      <w:marTop w:val="0"/>
      <w:marBottom w:val="0"/>
      <w:divBdr>
        <w:top w:val="none" w:sz="0" w:space="0" w:color="auto"/>
        <w:left w:val="none" w:sz="0" w:space="0" w:color="auto"/>
        <w:bottom w:val="none" w:sz="0" w:space="0" w:color="auto"/>
        <w:right w:val="none" w:sz="0" w:space="0" w:color="auto"/>
      </w:divBdr>
    </w:div>
    <w:div w:id="1846167572">
      <w:bodyDiv w:val="1"/>
      <w:marLeft w:val="0"/>
      <w:marRight w:val="0"/>
      <w:marTop w:val="0"/>
      <w:marBottom w:val="0"/>
      <w:divBdr>
        <w:top w:val="none" w:sz="0" w:space="0" w:color="auto"/>
        <w:left w:val="none" w:sz="0" w:space="0" w:color="auto"/>
        <w:bottom w:val="none" w:sz="0" w:space="0" w:color="auto"/>
        <w:right w:val="none" w:sz="0" w:space="0" w:color="auto"/>
      </w:divBdr>
    </w:div>
    <w:div w:id="1846239070">
      <w:bodyDiv w:val="1"/>
      <w:marLeft w:val="0"/>
      <w:marRight w:val="0"/>
      <w:marTop w:val="0"/>
      <w:marBottom w:val="0"/>
      <w:divBdr>
        <w:top w:val="none" w:sz="0" w:space="0" w:color="auto"/>
        <w:left w:val="none" w:sz="0" w:space="0" w:color="auto"/>
        <w:bottom w:val="none" w:sz="0" w:space="0" w:color="auto"/>
        <w:right w:val="none" w:sz="0" w:space="0" w:color="auto"/>
      </w:divBdr>
    </w:div>
    <w:div w:id="1846242314">
      <w:bodyDiv w:val="1"/>
      <w:marLeft w:val="0"/>
      <w:marRight w:val="0"/>
      <w:marTop w:val="0"/>
      <w:marBottom w:val="0"/>
      <w:divBdr>
        <w:top w:val="none" w:sz="0" w:space="0" w:color="auto"/>
        <w:left w:val="none" w:sz="0" w:space="0" w:color="auto"/>
        <w:bottom w:val="none" w:sz="0" w:space="0" w:color="auto"/>
        <w:right w:val="none" w:sz="0" w:space="0" w:color="auto"/>
      </w:divBdr>
    </w:div>
    <w:div w:id="1846358695">
      <w:bodyDiv w:val="1"/>
      <w:marLeft w:val="0"/>
      <w:marRight w:val="0"/>
      <w:marTop w:val="0"/>
      <w:marBottom w:val="0"/>
      <w:divBdr>
        <w:top w:val="none" w:sz="0" w:space="0" w:color="auto"/>
        <w:left w:val="none" w:sz="0" w:space="0" w:color="auto"/>
        <w:bottom w:val="none" w:sz="0" w:space="0" w:color="auto"/>
        <w:right w:val="none" w:sz="0" w:space="0" w:color="auto"/>
      </w:divBdr>
    </w:div>
    <w:div w:id="1846359320">
      <w:bodyDiv w:val="1"/>
      <w:marLeft w:val="0"/>
      <w:marRight w:val="0"/>
      <w:marTop w:val="0"/>
      <w:marBottom w:val="0"/>
      <w:divBdr>
        <w:top w:val="none" w:sz="0" w:space="0" w:color="auto"/>
        <w:left w:val="none" w:sz="0" w:space="0" w:color="auto"/>
        <w:bottom w:val="none" w:sz="0" w:space="0" w:color="auto"/>
        <w:right w:val="none" w:sz="0" w:space="0" w:color="auto"/>
      </w:divBdr>
    </w:div>
    <w:div w:id="1846434739">
      <w:bodyDiv w:val="1"/>
      <w:marLeft w:val="0"/>
      <w:marRight w:val="0"/>
      <w:marTop w:val="0"/>
      <w:marBottom w:val="0"/>
      <w:divBdr>
        <w:top w:val="none" w:sz="0" w:space="0" w:color="auto"/>
        <w:left w:val="none" w:sz="0" w:space="0" w:color="auto"/>
        <w:bottom w:val="none" w:sz="0" w:space="0" w:color="auto"/>
        <w:right w:val="none" w:sz="0" w:space="0" w:color="auto"/>
      </w:divBdr>
    </w:div>
    <w:div w:id="1846509286">
      <w:bodyDiv w:val="1"/>
      <w:marLeft w:val="0"/>
      <w:marRight w:val="0"/>
      <w:marTop w:val="0"/>
      <w:marBottom w:val="0"/>
      <w:divBdr>
        <w:top w:val="none" w:sz="0" w:space="0" w:color="auto"/>
        <w:left w:val="none" w:sz="0" w:space="0" w:color="auto"/>
        <w:bottom w:val="none" w:sz="0" w:space="0" w:color="auto"/>
        <w:right w:val="none" w:sz="0" w:space="0" w:color="auto"/>
      </w:divBdr>
    </w:div>
    <w:div w:id="1846550052">
      <w:bodyDiv w:val="1"/>
      <w:marLeft w:val="0"/>
      <w:marRight w:val="0"/>
      <w:marTop w:val="0"/>
      <w:marBottom w:val="0"/>
      <w:divBdr>
        <w:top w:val="none" w:sz="0" w:space="0" w:color="auto"/>
        <w:left w:val="none" w:sz="0" w:space="0" w:color="auto"/>
        <w:bottom w:val="none" w:sz="0" w:space="0" w:color="auto"/>
        <w:right w:val="none" w:sz="0" w:space="0" w:color="auto"/>
      </w:divBdr>
    </w:div>
    <w:div w:id="1846700124">
      <w:bodyDiv w:val="1"/>
      <w:marLeft w:val="0"/>
      <w:marRight w:val="0"/>
      <w:marTop w:val="0"/>
      <w:marBottom w:val="0"/>
      <w:divBdr>
        <w:top w:val="none" w:sz="0" w:space="0" w:color="auto"/>
        <w:left w:val="none" w:sz="0" w:space="0" w:color="auto"/>
        <w:bottom w:val="none" w:sz="0" w:space="0" w:color="auto"/>
        <w:right w:val="none" w:sz="0" w:space="0" w:color="auto"/>
      </w:divBdr>
    </w:div>
    <w:div w:id="1846704601">
      <w:bodyDiv w:val="1"/>
      <w:marLeft w:val="0"/>
      <w:marRight w:val="0"/>
      <w:marTop w:val="0"/>
      <w:marBottom w:val="0"/>
      <w:divBdr>
        <w:top w:val="none" w:sz="0" w:space="0" w:color="auto"/>
        <w:left w:val="none" w:sz="0" w:space="0" w:color="auto"/>
        <w:bottom w:val="none" w:sz="0" w:space="0" w:color="auto"/>
        <w:right w:val="none" w:sz="0" w:space="0" w:color="auto"/>
      </w:divBdr>
    </w:div>
    <w:div w:id="1846743346">
      <w:bodyDiv w:val="1"/>
      <w:marLeft w:val="0"/>
      <w:marRight w:val="0"/>
      <w:marTop w:val="0"/>
      <w:marBottom w:val="0"/>
      <w:divBdr>
        <w:top w:val="none" w:sz="0" w:space="0" w:color="auto"/>
        <w:left w:val="none" w:sz="0" w:space="0" w:color="auto"/>
        <w:bottom w:val="none" w:sz="0" w:space="0" w:color="auto"/>
        <w:right w:val="none" w:sz="0" w:space="0" w:color="auto"/>
      </w:divBdr>
    </w:div>
    <w:div w:id="1846744386">
      <w:bodyDiv w:val="1"/>
      <w:marLeft w:val="0"/>
      <w:marRight w:val="0"/>
      <w:marTop w:val="0"/>
      <w:marBottom w:val="0"/>
      <w:divBdr>
        <w:top w:val="none" w:sz="0" w:space="0" w:color="auto"/>
        <w:left w:val="none" w:sz="0" w:space="0" w:color="auto"/>
        <w:bottom w:val="none" w:sz="0" w:space="0" w:color="auto"/>
        <w:right w:val="none" w:sz="0" w:space="0" w:color="auto"/>
      </w:divBdr>
    </w:div>
    <w:div w:id="1846819066">
      <w:bodyDiv w:val="1"/>
      <w:marLeft w:val="0"/>
      <w:marRight w:val="0"/>
      <w:marTop w:val="0"/>
      <w:marBottom w:val="0"/>
      <w:divBdr>
        <w:top w:val="none" w:sz="0" w:space="0" w:color="auto"/>
        <w:left w:val="none" w:sz="0" w:space="0" w:color="auto"/>
        <w:bottom w:val="none" w:sz="0" w:space="0" w:color="auto"/>
        <w:right w:val="none" w:sz="0" w:space="0" w:color="auto"/>
      </w:divBdr>
    </w:div>
    <w:div w:id="1847018263">
      <w:bodyDiv w:val="1"/>
      <w:marLeft w:val="0"/>
      <w:marRight w:val="0"/>
      <w:marTop w:val="0"/>
      <w:marBottom w:val="0"/>
      <w:divBdr>
        <w:top w:val="none" w:sz="0" w:space="0" w:color="auto"/>
        <w:left w:val="none" w:sz="0" w:space="0" w:color="auto"/>
        <w:bottom w:val="none" w:sz="0" w:space="0" w:color="auto"/>
        <w:right w:val="none" w:sz="0" w:space="0" w:color="auto"/>
      </w:divBdr>
    </w:div>
    <w:div w:id="1847019502">
      <w:bodyDiv w:val="1"/>
      <w:marLeft w:val="0"/>
      <w:marRight w:val="0"/>
      <w:marTop w:val="0"/>
      <w:marBottom w:val="0"/>
      <w:divBdr>
        <w:top w:val="none" w:sz="0" w:space="0" w:color="auto"/>
        <w:left w:val="none" w:sz="0" w:space="0" w:color="auto"/>
        <w:bottom w:val="none" w:sz="0" w:space="0" w:color="auto"/>
        <w:right w:val="none" w:sz="0" w:space="0" w:color="auto"/>
      </w:divBdr>
    </w:div>
    <w:div w:id="1847089260">
      <w:bodyDiv w:val="1"/>
      <w:marLeft w:val="0"/>
      <w:marRight w:val="0"/>
      <w:marTop w:val="0"/>
      <w:marBottom w:val="0"/>
      <w:divBdr>
        <w:top w:val="none" w:sz="0" w:space="0" w:color="auto"/>
        <w:left w:val="none" w:sz="0" w:space="0" w:color="auto"/>
        <w:bottom w:val="none" w:sz="0" w:space="0" w:color="auto"/>
        <w:right w:val="none" w:sz="0" w:space="0" w:color="auto"/>
      </w:divBdr>
    </w:div>
    <w:div w:id="1847164642">
      <w:bodyDiv w:val="1"/>
      <w:marLeft w:val="0"/>
      <w:marRight w:val="0"/>
      <w:marTop w:val="0"/>
      <w:marBottom w:val="0"/>
      <w:divBdr>
        <w:top w:val="none" w:sz="0" w:space="0" w:color="auto"/>
        <w:left w:val="none" w:sz="0" w:space="0" w:color="auto"/>
        <w:bottom w:val="none" w:sz="0" w:space="0" w:color="auto"/>
        <w:right w:val="none" w:sz="0" w:space="0" w:color="auto"/>
      </w:divBdr>
    </w:div>
    <w:div w:id="1847358727">
      <w:bodyDiv w:val="1"/>
      <w:marLeft w:val="0"/>
      <w:marRight w:val="0"/>
      <w:marTop w:val="0"/>
      <w:marBottom w:val="0"/>
      <w:divBdr>
        <w:top w:val="none" w:sz="0" w:space="0" w:color="auto"/>
        <w:left w:val="none" w:sz="0" w:space="0" w:color="auto"/>
        <w:bottom w:val="none" w:sz="0" w:space="0" w:color="auto"/>
        <w:right w:val="none" w:sz="0" w:space="0" w:color="auto"/>
      </w:divBdr>
    </w:div>
    <w:div w:id="1847360762">
      <w:bodyDiv w:val="1"/>
      <w:marLeft w:val="0"/>
      <w:marRight w:val="0"/>
      <w:marTop w:val="0"/>
      <w:marBottom w:val="0"/>
      <w:divBdr>
        <w:top w:val="none" w:sz="0" w:space="0" w:color="auto"/>
        <w:left w:val="none" w:sz="0" w:space="0" w:color="auto"/>
        <w:bottom w:val="none" w:sz="0" w:space="0" w:color="auto"/>
        <w:right w:val="none" w:sz="0" w:space="0" w:color="auto"/>
      </w:divBdr>
    </w:div>
    <w:div w:id="1847400422">
      <w:bodyDiv w:val="1"/>
      <w:marLeft w:val="0"/>
      <w:marRight w:val="0"/>
      <w:marTop w:val="0"/>
      <w:marBottom w:val="0"/>
      <w:divBdr>
        <w:top w:val="none" w:sz="0" w:space="0" w:color="auto"/>
        <w:left w:val="none" w:sz="0" w:space="0" w:color="auto"/>
        <w:bottom w:val="none" w:sz="0" w:space="0" w:color="auto"/>
        <w:right w:val="none" w:sz="0" w:space="0" w:color="auto"/>
      </w:divBdr>
    </w:div>
    <w:div w:id="1847550918">
      <w:bodyDiv w:val="1"/>
      <w:marLeft w:val="0"/>
      <w:marRight w:val="0"/>
      <w:marTop w:val="0"/>
      <w:marBottom w:val="0"/>
      <w:divBdr>
        <w:top w:val="none" w:sz="0" w:space="0" w:color="auto"/>
        <w:left w:val="none" w:sz="0" w:space="0" w:color="auto"/>
        <w:bottom w:val="none" w:sz="0" w:space="0" w:color="auto"/>
        <w:right w:val="none" w:sz="0" w:space="0" w:color="auto"/>
      </w:divBdr>
    </w:div>
    <w:div w:id="1847551183">
      <w:bodyDiv w:val="1"/>
      <w:marLeft w:val="0"/>
      <w:marRight w:val="0"/>
      <w:marTop w:val="0"/>
      <w:marBottom w:val="0"/>
      <w:divBdr>
        <w:top w:val="none" w:sz="0" w:space="0" w:color="auto"/>
        <w:left w:val="none" w:sz="0" w:space="0" w:color="auto"/>
        <w:bottom w:val="none" w:sz="0" w:space="0" w:color="auto"/>
        <w:right w:val="none" w:sz="0" w:space="0" w:color="auto"/>
      </w:divBdr>
    </w:div>
    <w:div w:id="1847553688">
      <w:bodyDiv w:val="1"/>
      <w:marLeft w:val="0"/>
      <w:marRight w:val="0"/>
      <w:marTop w:val="0"/>
      <w:marBottom w:val="0"/>
      <w:divBdr>
        <w:top w:val="none" w:sz="0" w:space="0" w:color="auto"/>
        <w:left w:val="none" w:sz="0" w:space="0" w:color="auto"/>
        <w:bottom w:val="none" w:sz="0" w:space="0" w:color="auto"/>
        <w:right w:val="none" w:sz="0" w:space="0" w:color="auto"/>
      </w:divBdr>
    </w:div>
    <w:div w:id="1847595792">
      <w:bodyDiv w:val="1"/>
      <w:marLeft w:val="0"/>
      <w:marRight w:val="0"/>
      <w:marTop w:val="0"/>
      <w:marBottom w:val="0"/>
      <w:divBdr>
        <w:top w:val="none" w:sz="0" w:space="0" w:color="auto"/>
        <w:left w:val="none" w:sz="0" w:space="0" w:color="auto"/>
        <w:bottom w:val="none" w:sz="0" w:space="0" w:color="auto"/>
        <w:right w:val="none" w:sz="0" w:space="0" w:color="auto"/>
      </w:divBdr>
    </w:div>
    <w:div w:id="1847675479">
      <w:bodyDiv w:val="1"/>
      <w:marLeft w:val="0"/>
      <w:marRight w:val="0"/>
      <w:marTop w:val="0"/>
      <w:marBottom w:val="0"/>
      <w:divBdr>
        <w:top w:val="none" w:sz="0" w:space="0" w:color="auto"/>
        <w:left w:val="none" w:sz="0" w:space="0" w:color="auto"/>
        <w:bottom w:val="none" w:sz="0" w:space="0" w:color="auto"/>
        <w:right w:val="none" w:sz="0" w:space="0" w:color="auto"/>
      </w:divBdr>
    </w:div>
    <w:div w:id="1847745532">
      <w:bodyDiv w:val="1"/>
      <w:marLeft w:val="0"/>
      <w:marRight w:val="0"/>
      <w:marTop w:val="0"/>
      <w:marBottom w:val="0"/>
      <w:divBdr>
        <w:top w:val="none" w:sz="0" w:space="0" w:color="auto"/>
        <w:left w:val="none" w:sz="0" w:space="0" w:color="auto"/>
        <w:bottom w:val="none" w:sz="0" w:space="0" w:color="auto"/>
        <w:right w:val="none" w:sz="0" w:space="0" w:color="auto"/>
      </w:divBdr>
    </w:div>
    <w:div w:id="1847819704">
      <w:bodyDiv w:val="1"/>
      <w:marLeft w:val="0"/>
      <w:marRight w:val="0"/>
      <w:marTop w:val="0"/>
      <w:marBottom w:val="0"/>
      <w:divBdr>
        <w:top w:val="none" w:sz="0" w:space="0" w:color="auto"/>
        <w:left w:val="none" w:sz="0" w:space="0" w:color="auto"/>
        <w:bottom w:val="none" w:sz="0" w:space="0" w:color="auto"/>
        <w:right w:val="none" w:sz="0" w:space="0" w:color="auto"/>
      </w:divBdr>
    </w:div>
    <w:div w:id="1847862513">
      <w:bodyDiv w:val="1"/>
      <w:marLeft w:val="0"/>
      <w:marRight w:val="0"/>
      <w:marTop w:val="0"/>
      <w:marBottom w:val="0"/>
      <w:divBdr>
        <w:top w:val="none" w:sz="0" w:space="0" w:color="auto"/>
        <w:left w:val="none" w:sz="0" w:space="0" w:color="auto"/>
        <w:bottom w:val="none" w:sz="0" w:space="0" w:color="auto"/>
        <w:right w:val="none" w:sz="0" w:space="0" w:color="auto"/>
      </w:divBdr>
    </w:div>
    <w:div w:id="1847867769">
      <w:bodyDiv w:val="1"/>
      <w:marLeft w:val="0"/>
      <w:marRight w:val="0"/>
      <w:marTop w:val="0"/>
      <w:marBottom w:val="0"/>
      <w:divBdr>
        <w:top w:val="none" w:sz="0" w:space="0" w:color="auto"/>
        <w:left w:val="none" w:sz="0" w:space="0" w:color="auto"/>
        <w:bottom w:val="none" w:sz="0" w:space="0" w:color="auto"/>
        <w:right w:val="none" w:sz="0" w:space="0" w:color="auto"/>
      </w:divBdr>
    </w:div>
    <w:div w:id="1848134109">
      <w:bodyDiv w:val="1"/>
      <w:marLeft w:val="0"/>
      <w:marRight w:val="0"/>
      <w:marTop w:val="0"/>
      <w:marBottom w:val="0"/>
      <w:divBdr>
        <w:top w:val="none" w:sz="0" w:space="0" w:color="auto"/>
        <w:left w:val="none" w:sz="0" w:space="0" w:color="auto"/>
        <w:bottom w:val="none" w:sz="0" w:space="0" w:color="auto"/>
        <w:right w:val="none" w:sz="0" w:space="0" w:color="auto"/>
      </w:divBdr>
    </w:div>
    <w:div w:id="1848209127">
      <w:bodyDiv w:val="1"/>
      <w:marLeft w:val="0"/>
      <w:marRight w:val="0"/>
      <w:marTop w:val="0"/>
      <w:marBottom w:val="0"/>
      <w:divBdr>
        <w:top w:val="none" w:sz="0" w:space="0" w:color="auto"/>
        <w:left w:val="none" w:sz="0" w:space="0" w:color="auto"/>
        <w:bottom w:val="none" w:sz="0" w:space="0" w:color="auto"/>
        <w:right w:val="none" w:sz="0" w:space="0" w:color="auto"/>
      </w:divBdr>
    </w:div>
    <w:div w:id="1848251275">
      <w:bodyDiv w:val="1"/>
      <w:marLeft w:val="0"/>
      <w:marRight w:val="0"/>
      <w:marTop w:val="0"/>
      <w:marBottom w:val="0"/>
      <w:divBdr>
        <w:top w:val="none" w:sz="0" w:space="0" w:color="auto"/>
        <w:left w:val="none" w:sz="0" w:space="0" w:color="auto"/>
        <w:bottom w:val="none" w:sz="0" w:space="0" w:color="auto"/>
        <w:right w:val="none" w:sz="0" w:space="0" w:color="auto"/>
      </w:divBdr>
    </w:div>
    <w:div w:id="1848398589">
      <w:bodyDiv w:val="1"/>
      <w:marLeft w:val="0"/>
      <w:marRight w:val="0"/>
      <w:marTop w:val="0"/>
      <w:marBottom w:val="0"/>
      <w:divBdr>
        <w:top w:val="none" w:sz="0" w:space="0" w:color="auto"/>
        <w:left w:val="none" w:sz="0" w:space="0" w:color="auto"/>
        <w:bottom w:val="none" w:sz="0" w:space="0" w:color="auto"/>
        <w:right w:val="none" w:sz="0" w:space="0" w:color="auto"/>
      </w:divBdr>
    </w:div>
    <w:div w:id="1848402574">
      <w:bodyDiv w:val="1"/>
      <w:marLeft w:val="0"/>
      <w:marRight w:val="0"/>
      <w:marTop w:val="0"/>
      <w:marBottom w:val="0"/>
      <w:divBdr>
        <w:top w:val="none" w:sz="0" w:space="0" w:color="auto"/>
        <w:left w:val="none" w:sz="0" w:space="0" w:color="auto"/>
        <w:bottom w:val="none" w:sz="0" w:space="0" w:color="auto"/>
        <w:right w:val="none" w:sz="0" w:space="0" w:color="auto"/>
      </w:divBdr>
    </w:div>
    <w:div w:id="1848519136">
      <w:bodyDiv w:val="1"/>
      <w:marLeft w:val="0"/>
      <w:marRight w:val="0"/>
      <w:marTop w:val="0"/>
      <w:marBottom w:val="0"/>
      <w:divBdr>
        <w:top w:val="none" w:sz="0" w:space="0" w:color="auto"/>
        <w:left w:val="none" w:sz="0" w:space="0" w:color="auto"/>
        <w:bottom w:val="none" w:sz="0" w:space="0" w:color="auto"/>
        <w:right w:val="none" w:sz="0" w:space="0" w:color="auto"/>
      </w:divBdr>
    </w:div>
    <w:div w:id="1848522919">
      <w:bodyDiv w:val="1"/>
      <w:marLeft w:val="0"/>
      <w:marRight w:val="0"/>
      <w:marTop w:val="0"/>
      <w:marBottom w:val="0"/>
      <w:divBdr>
        <w:top w:val="none" w:sz="0" w:space="0" w:color="auto"/>
        <w:left w:val="none" w:sz="0" w:space="0" w:color="auto"/>
        <w:bottom w:val="none" w:sz="0" w:space="0" w:color="auto"/>
        <w:right w:val="none" w:sz="0" w:space="0" w:color="auto"/>
      </w:divBdr>
    </w:div>
    <w:div w:id="1848523934">
      <w:bodyDiv w:val="1"/>
      <w:marLeft w:val="0"/>
      <w:marRight w:val="0"/>
      <w:marTop w:val="0"/>
      <w:marBottom w:val="0"/>
      <w:divBdr>
        <w:top w:val="none" w:sz="0" w:space="0" w:color="auto"/>
        <w:left w:val="none" w:sz="0" w:space="0" w:color="auto"/>
        <w:bottom w:val="none" w:sz="0" w:space="0" w:color="auto"/>
        <w:right w:val="none" w:sz="0" w:space="0" w:color="auto"/>
      </w:divBdr>
    </w:div>
    <w:div w:id="1848594963">
      <w:bodyDiv w:val="1"/>
      <w:marLeft w:val="0"/>
      <w:marRight w:val="0"/>
      <w:marTop w:val="0"/>
      <w:marBottom w:val="0"/>
      <w:divBdr>
        <w:top w:val="none" w:sz="0" w:space="0" w:color="auto"/>
        <w:left w:val="none" w:sz="0" w:space="0" w:color="auto"/>
        <w:bottom w:val="none" w:sz="0" w:space="0" w:color="auto"/>
        <w:right w:val="none" w:sz="0" w:space="0" w:color="auto"/>
      </w:divBdr>
    </w:div>
    <w:div w:id="1848596196">
      <w:bodyDiv w:val="1"/>
      <w:marLeft w:val="0"/>
      <w:marRight w:val="0"/>
      <w:marTop w:val="0"/>
      <w:marBottom w:val="0"/>
      <w:divBdr>
        <w:top w:val="none" w:sz="0" w:space="0" w:color="auto"/>
        <w:left w:val="none" w:sz="0" w:space="0" w:color="auto"/>
        <w:bottom w:val="none" w:sz="0" w:space="0" w:color="auto"/>
        <w:right w:val="none" w:sz="0" w:space="0" w:color="auto"/>
      </w:divBdr>
    </w:div>
    <w:div w:id="1848641872">
      <w:bodyDiv w:val="1"/>
      <w:marLeft w:val="0"/>
      <w:marRight w:val="0"/>
      <w:marTop w:val="0"/>
      <w:marBottom w:val="0"/>
      <w:divBdr>
        <w:top w:val="none" w:sz="0" w:space="0" w:color="auto"/>
        <w:left w:val="none" w:sz="0" w:space="0" w:color="auto"/>
        <w:bottom w:val="none" w:sz="0" w:space="0" w:color="auto"/>
        <w:right w:val="none" w:sz="0" w:space="0" w:color="auto"/>
      </w:divBdr>
    </w:div>
    <w:div w:id="1848668795">
      <w:bodyDiv w:val="1"/>
      <w:marLeft w:val="0"/>
      <w:marRight w:val="0"/>
      <w:marTop w:val="0"/>
      <w:marBottom w:val="0"/>
      <w:divBdr>
        <w:top w:val="none" w:sz="0" w:space="0" w:color="auto"/>
        <w:left w:val="none" w:sz="0" w:space="0" w:color="auto"/>
        <w:bottom w:val="none" w:sz="0" w:space="0" w:color="auto"/>
        <w:right w:val="none" w:sz="0" w:space="0" w:color="auto"/>
      </w:divBdr>
    </w:div>
    <w:div w:id="1848669350">
      <w:bodyDiv w:val="1"/>
      <w:marLeft w:val="0"/>
      <w:marRight w:val="0"/>
      <w:marTop w:val="0"/>
      <w:marBottom w:val="0"/>
      <w:divBdr>
        <w:top w:val="none" w:sz="0" w:space="0" w:color="auto"/>
        <w:left w:val="none" w:sz="0" w:space="0" w:color="auto"/>
        <w:bottom w:val="none" w:sz="0" w:space="0" w:color="auto"/>
        <w:right w:val="none" w:sz="0" w:space="0" w:color="auto"/>
      </w:divBdr>
    </w:div>
    <w:div w:id="1848710744">
      <w:bodyDiv w:val="1"/>
      <w:marLeft w:val="0"/>
      <w:marRight w:val="0"/>
      <w:marTop w:val="0"/>
      <w:marBottom w:val="0"/>
      <w:divBdr>
        <w:top w:val="none" w:sz="0" w:space="0" w:color="auto"/>
        <w:left w:val="none" w:sz="0" w:space="0" w:color="auto"/>
        <w:bottom w:val="none" w:sz="0" w:space="0" w:color="auto"/>
        <w:right w:val="none" w:sz="0" w:space="0" w:color="auto"/>
      </w:divBdr>
    </w:div>
    <w:div w:id="1848714256">
      <w:bodyDiv w:val="1"/>
      <w:marLeft w:val="0"/>
      <w:marRight w:val="0"/>
      <w:marTop w:val="0"/>
      <w:marBottom w:val="0"/>
      <w:divBdr>
        <w:top w:val="none" w:sz="0" w:space="0" w:color="auto"/>
        <w:left w:val="none" w:sz="0" w:space="0" w:color="auto"/>
        <w:bottom w:val="none" w:sz="0" w:space="0" w:color="auto"/>
        <w:right w:val="none" w:sz="0" w:space="0" w:color="auto"/>
      </w:divBdr>
    </w:div>
    <w:div w:id="1849103607">
      <w:bodyDiv w:val="1"/>
      <w:marLeft w:val="0"/>
      <w:marRight w:val="0"/>
      <w:marTop w:val="0"/>
      <w:marBottom w:val="0"/>
      <w:divBdr>
        <w:top w:val="none" w:sz="0" w:space="0" w:color="auto"/>
        <w:left w:val="none" w:sz="0" w:space="0" w:color="auto"/>
        <w:bottom w:val="none" w:sz="0" w:space="0" w:color="auto"/>
        <w:right w:val="none" w:sz="0" w:space="0" w:color="auto"/>
      </w:divBdr>
    </w:div>
    <w:div w:id="1849248875">
      <w:bodyDiv w:val="1"/>
      <w:marLeft w:val="0"/>
      <w:marRight w:val="0"/>
      <w:marTop w:val="0"/>
      <w:marBottom w:val="0"/>
      <w:divBdr>
        <w:top w:val="none" w:sz="0" w:space="0" w:color="auto"/>
        <w:left w:val="none" w:sz="0" w:space="0" w:color="auto"/>
        <w:bottom w:val="none" w:sz="0" w:space="0" w:color="auto"/>
        <w:right w:val="none" w:sz="0" w:space="0" w:color="auto"/>
      </w:divBdr>
    </w:div>
    <w:div w:id="1849517781">
      <w:bodyDiv w:val="1"/>
      <w:marLeft w:val="0"/>
      <w:marRight w:val="0"/>
      <w:marTop w:val="0"/>
      <w:marBottom w:val="0"/>
      <w:divBdr>
        <w:top w:val="none" w:sz="0" w:space="0" w:color="auto"/>
        <w:left w:val="none" w:sz="0" w:space="0" w:color="auto"/>
        <w:bottom w:val="none" w:sz="0" w:space="0" w:color="auto"/>
        <w:right w:val="none" w:sz="0" w:space="0" w:color="auto"/>
      </w:divBdr>
    </w:div>
    <w:div w:id="1849519661">
      <w:bodyDiv w:val="1"/>
      <w:marLeft w:val="0"/>
      <w:marRight w:val="0"/>
      <w:marTop w:val="0"/>
      <w:marBottom w:val="0"/>
      <w:divBdr>
        <w:top w:val="none" w:sz="0" w:space="0" w:color="auto"/>
        <w:left w:val="none" w:sz="0" w:space="0" w:color="auto"/>
        <w:bottom w:val="none" w:sz="0" w:space="0" w:color="auto"/>
        <w:right w:val="none" w:sz="0" w:space="0" w:color="auto"/>
      </w:divBdr>
    </w:div>
    <w:div w:id="1849564920">
      <w:bodyDiv w:val="1"/>
      <w:marLeft w:val="0"/>
      <w:marRight w:val="0"/>
      <w:marTop w:val="0"/>
      <w:marBottom w:val="0"/>
      <w:divBdr>
        <w:top w:val="none" w:sz="0" w:space="0" w:color="auto"/>
        <w:left w:val="none" w:sz="0" w:space="0" w:color="auto"/>
        <w:bottom w:val="none" w:sz="0" w:space="0" w:color="auto"/>
        <w:right w:val="none" w:sz="0" w:space="0" w:color="auto"/>
      </w:divBdr>
    </w:div>
    <w:div w:id="1849636128">
      <w:bodyDiv w:val="1"/>
      <w:marLeft w:val="0"/>
      <w:marRight w:val="0"/>
      <w:marTop w:val="0"/>
      <w:marBottom w:val="0"/>
      <w:divBdr>
        <w:top w:val="none" w:sz="0" w:space="0" w:color="auto"/>
        <w:left w:val="none" w:sz="0" w:space="0" w:color="auto"/>
        <w:bottom w:val="none" w:sz="0" w:space="0" w:color="auto"/>
        <w:right w:val="none" w:sz="0" w:space="0" w:color="auto"/>
      </w:divBdr>
    </w:div>
    <w:div w:id="1849901960">
      <w:bodyDiv w:val="1"/>
      <w:marLeft w:val="0"/>
      <w:marRight w:val="0"/>
      <w:marTop w:val="0"/>
      <w:marBottom w:val="0"/>
      <w:divBdr>
        <w:top w:val="none" w:sz="0" w:space="0" w:color="auto"/>
        <w:left w:val="none" w:sz="0" w:space="0" w:color="auto"/>
        <w:bottom w:val="none" w:sz="0" w:space="0" w:color="auto"/>
        <w:right w:val="none" w:sz="0" w:space="0" w:color="auto"/>
      </w:divBdr>
    </w:div>
    <w:div w:id="1849977125">
      <w:bodyDiv w:val="1"/>
      <w:marLeft w:val="0"/>
      <w:marRight w:val="0"/>
      <w:marTop w:val="0"/>
      <w:marBottom w:val="0"/>
      <w:divBdr>
        <w:top w:val="none" w:sz="0" w:space="0" w:color="auto"/>
        <w:left w:val="none" w:sz="0" w:space="0" w:color="auto"/>
        <w:bottom w:val="none" w:sz="0" w:space="0" w:color="auto"/>
        <w:right w:val="none" w:sz="0" w:space="0" w:color="auto"/>
      </w:divBdr>
    </w:div>
    <w:div w:id="1850024579">
      <w:bodyDiv w:val="1"/>
      <w:marLeft w:val="0"/>
      <w:marRight w:val="0"/>
      <w:marTop w:val="0"/>
      <w:marBottom w:val="0"/>
      <w:divBdr>
        <w:top w:val="none" w:sz="0" w:space="0" w:color="auto"/>
        <w:left w:val="none" w:sz="0" w:space="0" w:color="auto"/>
        <w:bottom w:val="none" w:sz="0" w:space="0" w:color="auto"/>
        <w:right w:val="none" w:sz="0" w:space="0" w:color="auto"/>
      </w:divBdr>
    </w:div>
    <w:div w:id="1850102965">
      <w:bodyDiv w:val="1"/>
      <w:marLeft w:val="0"/>
      <w:marRight w:val="0"/>
      <w:marTop w:val="0"/>
      <w:marBottom w:val="0"/>
      <w:divBdr>
        <w:top w:val="none" w:sz="0" w:space="0" w:color="auto"/>
        <w:left w:val="none" w:sz="0" w:space="0" w:color="auto"/>
        <w:bottom w:val="none" w:sz="0" w:space="0" w:color="auto"/>
        <w:right w:val="none" w:sz="0" w:space="0" w:color="auto"/>
      </w:divBdr>
    </w:div>
    <w:div w:id="1850215261">
      <w:bodyDiv w:val="1"/>
      <w:marLeft w:val="0"/>
      <w:marRight w:val="0"/>
      <w:marTop w:val="0"/>
      <w:marBottom w:val="0"/>
      <w:divBdr>
        <w:top w:val="none" w:sz="0" w:space="0" w:color="auto"/>
        <w:left w:val="none" w:sz="0" w:space="0" w:color="auto"/>
        <w:bottom w:val="none" w:sz="0" w:space="0" w:color="auto"/>
        <w:right w:val="none" w:sz="0" w:space="0" w:color="auto"/>
      </w:divBdr>
    </w:div>
    <w:div w:id="1850289226">
      <w:bodyDiv w:val="1"/>
      <w:marLeft w:val="0"/>
      <w:marRight w:val="0"/>
      <w:marTop w:val="0"/>
      <w:marBottom w:val="0"/>
      <w:divBdr>
        <w:top w:val="none" w:sz="0" w:space="0" w:color="auto"/>
        <w:left w:val="none" w:sz="0" w:space="0" w:color="auto"/>
        <w:bottom w:val="none" w:sz="0" w:space="0" w:color="auto"/>
        <w:right w:val="none" w:sz="0" w:space="0" w:color="auto"/>
      </w:divBdr>
    </w:div>
    <w:div w:id="1850369121">
      <w:bodyDiv w:val="1"/>
      <w:marLeft w:val="0"/>
      <w:marRight w:val="0"/>
      <w:marTop w:val="0"/>
      <w:marBottom w:val="0"/>
      <w:divBdr>
        <w:top w:val="none" w:sz="0" w:space="0" w:color="auto"/>
        <w:left w:val="none" w:sz="0" w:space="0" w:color="auto"/>
        <w:bottom w:val="none" w:sz="0" w:space="0" w:color="auto"/>
        <w:right w:val="none" w:sz="0" w:space="0" w:color="auto"/>
      </w:divBdr>
    </w:div>
    <w:div w:id="1850485277">
      <w:bodyDiv w:val="1"/>
      <w:marLeft w:val="0"/>
      <w:marRight w:val="0"/>
      <w:marTop w:val="0"/>
      <w:marBottom w:val="0"/>
      <w:divBdr>
        <w:top w:val="none" w:sz="0" w:space="0" w:color="auto"/>
        <w:left w:val="none" w:sz="0" w:space="0" w:color="auto"/>
        <w:bottom w:val="none" w:sz="0" w:space="0" w:color="auto"/>
        <w:right w:val="none" w:sz="0" w:space="0" w:color="auto"/>
      </w:divBdr>
    </w:div>
    <w:div w:id="1850559576">
      <w:bodyDiv w:val="1"/>
      <w:marLeft w:val="0"/>
      <w:marRight w:val="0"/>
      <w:marTop w:val="0"/>
      <w:marBottom w:val="0"/>
      <w:divBdr>
        <w:top w:val="none" w:sz="0" w:space="0" w:color="auto"/>
        <w:left w:val="none" w:sz="0" w:space="0" w:color="auto"/>
        <w:bottom w:val="none" w:sz="0" w:space="0" w:color="auto"/>
        <w:right w:val="none" w:sz="0" w:space="0" w:color="auto"/>
      </w:divBdr>
    </w:div>
    <w:div w:id="1850564086">
      <w:bodyDiv w:val="1"/>
      <w:marLeft w:val="0"/>
      <w:marRight w:val="0"/>
      <w:marTop w:val="0"/>
      <w:marBottom w:val="0"/>
      <w:divBdr>
        <w:top w:val="none" w:sz="0" w:space="0" w:color="auto"/>
        <w:left w:val="none" w:sz="0" w:space="0" w:color="auto"/>
        <w:bottom w:val="none" w:sz="0" w:space="0" w:color="auto"/>
        <w:right w:val="none" w:sz="0" w:space="0" w:color="auto"/>
      </w:divBdr>
    </w:div>
    <w:div w:id="1850755462">
      <w:bodyDiv w:val="1"/>
      <w:marLeft w:val="0"/>
      <w:marRight w:val="0"/>
      <w:marTop w:val="0"/>
      <w:marBottom w:val="0"/>
      <w:divBdr>
        <w:top w:val="none" w:sz="0" w:space="0" w:color="auto"/>
        <w:left w:val="none" w:sz="0" w:space="0" w:color="auto"/>
        <w:bottom w:val="none" w:sz="0" w:space="0" w:color="auto"/>
        <w:right w:val="none" w:sz="0" w:space="0" w:color="auto"/>
      </w:divBdr>
    </w:div>
    <w:div w:id="1850756884">
      <w:bodyDiv w:val="1"/>
      <w:marLeft w:val="0"/>
      <w:marRight w:val="0"/>
      <w:marTop w:val="0"/>
      <w:marBottom w:val="0"/>
      <w:divBdr>
        <w:top w:val="none" w:sz="0" w:space="0" w:color="auto"/>
        <w:left w:val="none" w:sz="0" w:space="0" w:color="auto"/>
        <w:bottom w:val="none" w:sz="0" w:space="0" w:color="auto"/>
        <w:right w:val="none" w:sz="0" w:space="0" w:color="auto"/>
      </w:divBdr>
    </w:div>
    <w:div w:id="1850828511">
      <w:bodyDiv w:val="1"/>
      <w:marLeft w:val="0"/>
      <w:marRight w:val="0"/>
      <w:marTop w:val="0"/>
      <w:marBottom w:val="0"/>
      <w:divBdr>
        <w:top w:val="none" w:sz="0" w:space="0" w:color="auto"/>
        <w:left w:val="none" w:sz="0" w:space="0" w:color="auto"/>
        <w:bottom w:val="none" w:sz="0" w:space="0" w:color="auto"/>
        <w:right w:val="none" w:sz="0" w:space="0" w:color="auto"/>
      </w:divBdr>
    </w:div>
    <w:div w:id="1850868986">
      <w:bodyDiv w:val="1"/>
      <w:marLeft w:val="0"/>
      <w:marRight w:val="0"/>
      <w:marTop w:val="0"/>
      <w:marBottom w:val="0"/>
      <w:divBdr>
        <w:top w:val="none" w:sz="0" w:space="0" w:color="auto"/>
        <w:left w:val="none" w:sz="0" w:space="0" w:color="auto"/>
        <w:bottom w:val="none" w:sz="0" w:space="0" w:color="auto"/>
        <w:right w:val="none" w:sz="0" w:space="0" w:color="auto"/>
      </w:divBdr>
    </w:div>
    <w:div w:id="1851144839">
      <w:bodyDiv w:val="1"/>
      <w:marLeft w:val="0"/>
      <w:marRight w:val="0"/>
      <w:marTop w:val="0"/>
      <w:marBottom w:val="0"/>
      <w:divBdr>
        <w:top w:val="none" w:sz="0" w:space="0" w:color="auto"/>
        <w:left w:val="none" w:sz="0" w:space="0" w:color="auto"/>
        <w:bottom w:val="none" w:sz="0" w:space="0" w:color="auto"/>
        <w:right w:val="none" w:sz="0" w:space="0" w:color="auto"/>
      </w:divBdr>
    </w:div>
    <w:div w:id="1851262413">
      <w:bodyDiv w:val="1"/>
      <w:marLeft w:val="0"/>
      <w:marRight w:val="0"/>
      <w:marTop w:val="0"/>
      <w:marBottom w:val="0"/>
      <w:divBdr>
        <w:top w:val="none" w:sz="0" w:space="0" w:color="auto"/>
        <w:left w:val="none" w:sz="0" w:space="0" w:color="auto"/>
        <w:bottom w:val="none" w:sz="0" w:space="0" w:color="auto"/>
        <w:right w:val="none" w:sz="0" w:space="0" w:color="auto"/>
      </w:divBdr>
    </w:div>
    <w:div w:id="1851286888">
      <w:bodyDiv w:val="1"/>
      <w:marLeft w:val="0"/>
      <w:marRight w:val="0"/>
      <w:marTop w:val="0"/>
      <w:marBottom w:val="0"/>
      <w:divBdr>
        <w:top w:val="none" w:sz="0" w:space="0" w:color="auto"/>
        <w:left w:val="none" w:sz="0" w:space="0" w:color="auto"/>
        <w:bottom w:val="none" w:sz="0" w:space="0" w:color="auto"/>
        <w:right w:val="none" w:sz="0" w:space="0" w:color="auto"/>
      </w:divBdr>
    </w:div>
    <w:div w:id="1851338426">
      <w:bodyDiv w:val="1"/>
      <w:marLeft w:val="0"/>
      <w:marRight w:val="0"/>
      <w:marTop w:val="0"/>
      <w:marBottom w:val="0"/>
      <w:divBdr>
        <w:top w:val="none" w:sz="0" w:space="0" w:color="auto"/>
        <w:left w:val="none" w:sz="0" w:space="0" w:color="auto"/>
        <w:bottom w:val="none" w:sz="0" w:space="0" w:color="auto"/>
        <w:right w:val="none" w:sz="0" w:space="0" w:color="auto"/>
      </w:divBdr>
    </w:div>
    <w:div w:id="1851410799">
      <w:bodyDiv w:val="1"/>
      <w:marLeft w:val="0"/>
      <w:marRight w:val="0"/>
      <w:marTop w:val="0"/>
      <w:marBottom w:val="0"/>
      <w:divBdr>
        <w:top w:val="none" w:sz="0" w:space="0" w:color="auto"/>
        <w:left w:val="none" w:sz="0" w:space="0" w:color="auto"/>
        <w:bottom w:val="none" w:sz="0" w:space="0" w:color="auto"/>
        <w:right w:val="none" w:sz="0" w:space="0" w:color="auto"/>
      </w:divBdr>
    </w:div>
    <w:div w:id="1851483379">
      <w:bodyDiv w:val="1"/>
      <w:marLeft w:val="0"/>
      <w:marRight w:val="0"/>
      <w:marTop w:val="0"/>
      <w:marBottom w:val="0"/>
      <w:divBdr>
        <w:top w:val="none" w:sz="0" w:space="0" w:color="auto"/>
        <w:left w:val="none" w:sz="0" w:space="0" w:color="auto"/>
        <w:bottom w:val="none" w:sz="0" w:space="0" w:color="auto"/>
        <w:right w:val="none" w:sz="0" w:space="0" w:color="auto"/>
      </w:divBdr>
    </w:div>
    <w:div w:id="1851488716">
      <w:bodyDiv w:val="1"/>
      <w:marLeft w:val="0"/>
      <w:marRight w:val="0"/>
      <w:marTop w:val="0"/>
      <w:marBottom w:val="0"/>
      <w:divBdr>
        <w:top w:val="none" w:sz="0" w:space="0" w:color="auto"/>
        <w:left w:val="none" w:sz="0" w:space="0" w:color="auto"/>
        <w:bottom w:val="none" w:sz="0" w:space="0" w:color="auto"/>
        <w:right w:val="none" w:sz="0" w:space="0" w:color="auto"/>
      </w:divBdr>
    </w:div>
    <w:div w:id="1851531522">
      <w:bodyDiv w:val="1"/>
      <w:marLeft w:val="0"/>
      <w:marRight w:val="0"/>
      <w:marTop w:val="0"/>
      <w:marBottom w:val="0"/>
      <w:divBdr>
        <w:top w:val="none" w:sz="0" w:space="0" w:color="auto"/>
        <w:left w:val="none" w:sz="0" w:space="0" w:color="auto"/>
        <w:bottom w:val="none" w:sz="0" w:space="0" w:color="auto"/>
        <w:right w:val="none" w:sz="0" w:space="0" w:color="auto"/>
      </w:divBdr>
    </w:div>
    <w:div w:id="1851601725">
      <w:bodyDiv w:val="1"/>
      <w:marLeft w:val="0"/>
      <w:marRight w:val="0"/>
      <w:marTop w:val="0"/>
      <w:marBottom w:val="0"/>
      <w:divBdr>
        <w:top w:val="none" w:sz="0" w:space="0" w:color="auto"/>
        <w:left w:val="none" w:sz="0" w:space="0" w:color="auto"/>
        <w:bottom w:val="none" w:sz="0" w:space="0" w:color="auto"/>
        <w:right w:val="none" w:sz="0" w:space="0" w:color="auto"/>
      </w:divBdr>
    </w:div>
    <w:div w:id="1851605526">
      <w:bodyDiv w:val="1"/>
      <w:marLeft w:val="0"/>
      <w:marRight w:val="0"/>
      <w:marTop w:val="0"/>
      <w:marBottom w:val="0"/>
      <w:divBdr>
        <w:top w:val="none" w:sz="0" w:space="0" w:color="auto"/>
        <w:left w:val="none" w:sz="0" w:space="0" w:color="auto"/>
        <w:bottom w:val="none" w:sz="0" w:space="0" w:color="auto"/>
        <w:right w:val="none" w:sz="0" w:space="0" w:color="auto"/>
      </w:divBdr>
    </w:div>
    <w:div w:id="1851606330">
      <w:bodyDiv w:val="1"/>
      <w:marLeft w:val="0"/>
      <w:marRight w:val="0"/>
      <w:marTop w:val="0"/>
      <w:marBottom w:val="0"/>
      <w:divBdr>
        <w:top w:val="none" w:sz="0" w:space="0" w:color="auto"/>
        <w:left w:val="none" w:sz="0" w:space="0" w:color="auto"/>
        <w:bottom w:val="none" w:sz="0" w:space="0" w:color="auto"/>
        <w:right w:val="none" w:sz="0" w:space="0" w:color="auto"/>
      </w:divBdr>
    </w:div>
    <w:div w:id="1851942511">
      <w:bodyDiv w:val="1"/>
      <w:marLeft w:val="0"/>
      <w:marRight w:val="0"/>
      <w:marTop w:val="0"/>
      <w:marBottom w:val="0"/>
      <w:divBdr>
        <w:top w:val="none" w:sz="0" w:space="0" w:color="auto"/>
        <w:left w:val="none" w:sz="0" w:space="0" w:color="auto"/>
        <w:bottom w:val="none" w:sz="0" w:space="0" w:color="auto"/>
        <w:right w:val="none" w:sz="0" w:space="0" w:color="auto"/>
      </w:divBdr>
    </w:div>
    <w:div w:id="1851983988">
      <w:bodyDiv w:val="1"/>
      <w:marLeft w:val="0"/>
      <w:marRight w:val="0"/>
      <w:marTop w:val="0"/>
      <w:marBottom w:val="0"/>
      <w:divBdr>
        <w:top w:val="none" w:sz="0" w:space="0" w:color="auto"/>
        <w:left w:val="none" w:sz="0" w:space="0" w:color="auto"/>
        <w:bottom w:val="none" w:sz="0" w:space="0" w:color="auto"/>
        <w:right w:val="none" w:sz="0" w:space="0" w:color="auto"/>
      </w:divBdr>
    </w:div>
    <w:div w:id="1851987120">
      <w:bodyDiv w:val="1"/>
      <w:marLeft w:val="0"/>
      <w:marRight w:val="0"/>
      <w:marTop w:val="0"/>
      <w:marBottom w:val="0"/>
      <w:divBdr>
        <w:top w:val="none" w:sz="0" w:space="0" w:color="auto"/>
        <w:left w:val="none" w:sz="0" w:space="0" w:color="auto"/>
        <w:bottom w:val="none" w:sz="0" w:space="0" w:color="auto"/>
        <w:right w:val="none" w:sz="0" w:space="0" w:color="auto"/>
      </w:divBdr>
    </w:div>
    <w:div w:id="1852065852">
      <w:bodyDiv w:val="1"/>
      <w:marLeft w:val="0"/>
      <w:marRight w:val="0"/>
      <w:marTop w:val="0"/>
      <w:marBottom w:val="0"/>
      <w:divBdr>
        <w:top w:val="none" w:sz="0" w:space="0" w:color="auto"/>
        <w:left w:val="none" w:sz="0" w:space="0" w:color="auto"/>
        <w:bottom w:val="none" w:sz="0" w:space="0" w:color="auto"/>
        <w:right w:val="none" w:sz="0" w:space="0" w:color="auto"/>
      </w:divBdr>
    </w:div>
    <w:div w:id="1852141387">
      <w:bodyDiv w:val="1"/>
      <w:marLeft w:val="0"/>
      <w:marRight w:val="0"/>
      <w:marTop w:val="0"/>
      <w:marBottom w:val="0"/>
      <w:divBdr>
        <w:top w:val="none" w:sz="0" w:space="0" w:color="auto"/>
        <w:left w:val="none" w:sz="0" w:space="0" w:color="auto"/>
        <w:bottom w:val="none" w:sz="0" w:space="0" w:color="auto"/>
        <w:right w:val="none" w:sz="0" w:space="0" w:color="auto"/>
      </w:divBdr>
    </w:div>
    <w:div w:id="1852143520">
      <w:bodyDiv w:val="1"/>
      <w:marLeft w:val="0"/>
      <w:marRight w:val="0"/>
      <w:marTop w:val="0"/>
      <w:marBottom w:val="0"/>
      <w:divBdr>
        <w:top w:val="none" w:sz="0" w:space="0" w:color="auto"/>
        <w:left w:val="none" w:sz="0" w:space="0" w:color="auto"/>
        <w:bottom w:val="none" w:sz="0" w:space="0" w:color="auto"/>
        <w:right w:val="none" w:sz="0" w:space="0" w:color="auto"/>
      </w:divBdr>
    </w:div>
    <w:div w:id="1852180167">
      <w:bodyDiv w:val="1"/>
      <w:marLeft w:val="0"/>
      <w:marRight w:val="0"/>
      <w:marTop w:val="0"/>
      <w:marBottom w:val="0"/>
      <w:divBdr>
        <w:top w:val="none" w:sz="0" w:space="0" w:color="auto"/>
        <w:left w:val="none" w:sz="0" w:space="0" w:color="auto"/>
        <w:bottom w:val="none" w:sz="0" w:space="0" w:color="auto"/>
        <w:right w:val="none" w:sz="0" w:space="0" w:color="auto"/>
      </w:divBdr>
    </w:div>
    <w:div w:id="1852183835">
      <w:bodyDiv w:val="1"/>
      <w:marLeft w:val="0"/>
      <w:marRight w:val="0"/>
      <w:marTop w:val="0"/>
      <w:marBottom w:val="0"/>
      <w:divBdr>
        <w:top w:val="none" w:sz="0" w:space="0" w:color="auto"/>
        <w:left w:val="none" w:sz="0" w:space="0" w:color="auto"/>
        <w:bottom w:val="none" w:sz="0" w:space="0" w:color="auto"/>
        <w:right w:val="none" w:sz="0" w:space="0" w:color="auto"/>
      </w:divBdr>
    </w:div>
    <w:div w:id="1852258565">
      <w:bodyDiv w:val="1"/>
      <w:marLeft w:val="0"/>
      <w:marRight w:val="0"/>
      <w:marTop w:val="0"/>
      <w:marBottom w:val="0"/>
      <w:divBdr>
        <w:top w:val="none" w:sz="0" w:space="0" w:color="auto"/>
        <w:left w:val="none" w:sz="0" w:space="0" w:color="auto"/>
        <w:bottom w:val="none" w:sz="0" w:space="0" w:color="auto"/>
        <w:right w:val="none" w:sz="0" w:space="0" w:color="auto"/>
      </w:divBdr>
    </w:div>
    <w:div w:id="1852258935">
      <w:bodyDiv w:val="1"/>
      <w:marLeft w:val="0"/>
      <w:marRight w:val="0"/>
      <w:marTop w:val="0"/>
      <w:marBottom w:val="0"/>
      <w:divBdr>
        <w:top w:val="none" w:sz="0" w:space="0" w:color="auto"/>
        <w:left w:val="none" w:sz="0" w:space="0" w:color="auto"/>
        <w:bottom w:val="none" w:sz="0" w:space="0" w:color="auto"/>
        <w:right w:val="none" w:sz="0" w:space="0" w:color="auto"/>
      </w:divBdr>
    </w:div>
    <w:div w:id="1852261151">
      <w:bodyDiv w:val="1"/>
      <w:marLeft w:val="0"/>
      <w:marRight w:val="0"/>
      <w:marTop w:val="0"/>
      <w:marBottom w:val="0"/>
      <w:divBdr>
        <w:top w:val="none" w:sz="0" w:space="0" w:color="auto"/>
        <w:left w:val="none" w:sz="0" w:space="0" w:color="auto"/>
        <w:bottom w:val="none" w:sz="0" w:space="0" w:color="auto"/>
        <w:right w:val="none" w:sz="0" w:space="0" w:color="auto"/>
      </w:divBdr>
    </w:div>
    <w:div w:id="1852336706">
      <w:bodyDiv w:val="1"/>
      <w:marLeft w:val="0"/>
      <w:marRight w:val="0"/>
      <w:marTop w:val="0"/>
      <w:marBottom w:val="0"/>
      <w:divBdr>
        <w:top w:val="none" w:sz="0" w:space="0" w:color="auto"/>
        <w:left w:val="none" w:sz="0" w:space="0" w:color="auto"/>
        <w:bottom w:val="none" w:sz="0" w:space="0" w:color="auto"/>
        <w:right w:val="none" w:sz="0" w:space="0" w:color="auto"/>
      </w:divBdr>
    </w:div>
    <w:div w:id="1852448184">
      <w:bodyDiv w:val="1"/>
      <w:marLeft w:val="0"/>
      <w:marRight w:val="0"/>
      <w:marTop w:val="0"/>
      <w:marBottom w:val="0"/>
      <w:divBdr>
        <w:top w:val="none" w:sz="0" w:space="0" w:color="auto"/>
        <w:left w:val="none" w:sz="0" w:space="0" w:color="auto"/>
        <w:bottom w:val="none" w:sz="0" w:space="0" w:color="auto"/>
        <w:right w:val="none" w:sz="0" w:space="0" w:color="auto"/>
      </w:divBdr>
    </w:div>
    <w:div w:id="1852452843">
      <w:bodyDiv w:val="1"/>
      <w:marLeft w:val="0"/>
      <w:marRight w:val="0"/>
      <w:marTop w:val="0"/>
      <w:marBottom w:val="0"/>
      <w:divBdr>
        <w:top w:val="none" w:sz="0" w:space="0" w:color="auto"/>
        <w:left w:val="none" w:sz="0" w:space="0" w:color="auto"/>
        <w:bottom w:val="none" w:sz="0" w:space="0" w:color="auto"/>
        <w:right w:val="none" w:sz="0" w:space="0" w:color="auto"/>
      </w:divBdr>
    </w:div>
    <w:div w:id="1852596786">
      <w:bodyDiv w:val="1"/>
      <w:marLeft w:val="0"/>
      <w:marRight w:val="0"/>
      <w:marTop w:val="0"/>
      <w:marBottom w:val="0"/>
      <w:divBdr>
        <w:top w:val="none" w:sz="0" w:space="0" w:color="auto"/>
        <w:left w:val="none" w:sz="0" w:space="0" w:color="auto"/>
        <w:bottom w:val="none" w:sz="0" w:space="0" w:color="auto"/>
        <w:right w:val="none" w:sz="0" w:space="0" w:color="auto"/>
      </w:divBdr>
    </w:div>
    <w:div w:id="1852642569">
      <w:bodyDiv w:val="1"/>
      <w:marLeft w:val="0"/>
      <w:marRight w:val="0"/>
      <w:marTop w:val="0"/>
      <w:marBottom w:val="0"/>
      <w:divBdr>
        <w:top w:val="none" w:sz="0" w:space="0" w:color="auto"/>
        <w:left w:val="none" w:sz="0" w:space="0" w:color="auto"/>
        <w:bottom w:val="none" w:sz="0" w:space="0" w:color="auto"/>
        <w:right w:val="none" w:sz="0" w:space="0" w:color="auto"/>
      </w:divBdr>
    </w:div>
    <w:div w:id="1852643133">
      <w:bodyDiv w:val="1"/>
      <w:marLeft w:val="0"/>
      <w:marRight w:val="0"/>
      <w:marTop w:val="0"/>
      <w:marBottom w:val="0"/>
      <w:divBdr>
        <w:top w:val="none" w:sz="0" w:space="0" w:color="auto"/>
        <w:left w:val="none" w:sz="0" w:space="0" w:color="auto"/>
        <w:bottom w:val="none" w:sz="0" w:space="0" w:color="auto"/>
        <w:right w:val="none" w:sz="0" w:space="0" w:color="auto"/>
      </w:divBdr>
    </w:div>
    <w:div w:id="1852723379">
      <w:bodyDiv w:val="1"/>
      <w:marLeft w:val="0"/>
      <w:marRight w:val="0"/>
      <w:marTop w:val="0"/>
      <w:marBottom w:val="0"/>
      <w:divBdr>
        <w:top w:val="none" w:sz="0" w:space="0" w:color="auto"/>
        <w:left w:val="none" w:sz="0" w:space="0" w:color="auto"/>
        <w:bottom w:val="none" w:sz="0" w:space="0" w:color="auto"/>
        <w:right w:val="none" w:sz="0" w:space="0" w:color="auto"/>
      </w:divBdr>
    </w:div>
    <w:div w:id="1852792669">
      <w:bodyDiv w:val="1"/>
      <w:marLeft w:val="0"/>
      <w:marRight w:val="0"/>
      <w:marTop w:val="0"/>
      <w:marBottom w:val="0"/>
      <w:divBdr>
        <w:top w:val="none" w:sz="0" w:space="0" w:color="auto"/>
        <w:left w:val="none" w:sz="0" w:space="0" w:color="auto"/>
        <w:bottom w:val="none" w:sz="0" w:space="0" w:color="auto"/>
        <w:right w:val="none" w:sz="0" w:space="0" w:color="auto"/>
      </w:divBdr>
    </w:div>
    <w:div w:id="1853033404">
      <w:bodyDiv w:val="1"/>
      <w:marLeft w:val="0"/>
      <w:marRight w:val="0"/>
      <w:marTop w:val="0"/>
      <w:marBottom w:val="0"/>
      <w:divBdr>
        <w:top w:val="none" w:sz="0" w:space="0" w:color="auto"/>
        <w:left w:val="none" w:sz="0" w:space="0" w:color="auto"/>
        <w:bottom w:val="none" w:sz="0" w:space="0" w:color="auto"/>
        <w:right w:val="none" w:sz="0" w:space="0" w:color="auto"/>
      </w:divBdr>
    </w:div>
    <w:div w:id="1853108193">
      <w:bodyDiv w:val="1"/>
      <w:marLeft w:val="0"/>
      <w:marRight w:val="0"/>
      <w:marTop w:val="0"/>
      <w:marBottom w:val="0"/>
      <w:divBdr>
        <w:top w:val="none" w:sz="0" w:space="0" w:color="auto"/>
        <w:left w:val="none" w:sz="0" w:space="0" w:color="auto"/>
        <w:bottom w:val="none" w:sz="0" w:space="0" w:color="auto"/>
        <w:right w:val="none" w:sz="0" w:space="0" w:color="auto"/>
      </w:divBdr>
    </w:div>
    <w:div w:id="1853184817">
      <w:bodyDiv w:val="1"/>
      <w:marLeft w:val="0"/>
      <w:marRight w:val="0"/>
      <w:marTop w:val="0"/>
      <w:marBottom w:val="0"/>
      <w:divBdr>
        <w:top w:val="none" w:sz="0" w:space="0" w:color="auto"/>
        <w:left w:val="none" w:sz="0" w:space="0" w:color="auto"/>
        <w:bottom w:val="none" w:sz="0" w:space="0" w:color="auto"/>
        <w:right w:val="none" w:sz="0" w:space="0" w:color="auto"/>
      </w:divBdr>
    </w:div>
    <w:div w:id="1853227513">
      <w:bodyDiv w:val="1"/>
      <w:marLeft w:val="0"/>
      <w:marRight w:val="0"/>
      <w:marTop w:val="0"/>
      <w:marBottom w:val="0"/>
      <w:divBdr>
        <w:top w:val="none" w:sz="0" w:space="0" w:color="auto"/>
        <w:left w:val="none" w:sz="0" w:space="0" w:color="auto"/>
        <w:bottom w:val="none" w:sz="0" w:space="0" w:color="auto"/>
        <w:right w:val="none" w:sz="0" w:space="0" w:color="auto"/>
      </w:divBdr>
    </w:div>
    <w:div w:id="1853302011">
      <w:bodyDiv w:val="1"/>
      <w:marLeft w:val="0"/>
      <w:marRight w:val="0"/>
      <w:marTop w:val="0"/>
      <w:marBottom w:val="0"/>
      <w:divBdr>
        <w:top w:val="none" w:sz="0" w:space="0" w:color="auto"/>
        <w:left w:val="none" w:sz="0" w:space="0" w:color="auto"/>
        <w:bottom w:val="none" w:sz="0" w:space="0" w:color="auto"/>
        <w:right w:val="none" w:sz="0" w:space="0" w:color="auto"/>
      </w:divBdr>
    </w:div>
    <w:div w:id="1853374307">
      <w:bodyDiv w:val="1"/>
      <w:marLeft w:val="0"/>
      <w:marRight w:val="0"/>
      <w:marTop w:val="0"/>
      <w:marBottom w:val="0"/>
      <w:divBdr>
        <w:top w:val="none" w:sz="0" w:space="0" w:color="auto"/>
        <w:left w:val="none" w:sz="0" w:space="0" w:color="auto"/>
        <w:bottom w:val="none" w:sz="0" w:space="0" w:color="auto"/>
        <w:right w:val="none" w:sz="0" w:space="0" w:color="auto"/>
      </w:divBdr>
    </w:div>
    <w:div w:id="1853449021">
      <w:bodyDiv w:val="1"/>
      <w:marLeft w:val="0"/>
      <w:marRight w:val="0"/>
      <w:marTop w:val="0"/>
      <w:marBottom w:val="0"/>
      <w:divBdr>
        <w:top w:val="none" w:sz="0" w:space="0" w:color="auto"/>
        <w:left w:val="none" w:sz="0" w:space="0" w:color="auto"/>
        <w:bottom w:val="none" w:sz="0" w:space="0" w:color="auto"/>
        <w:right w:val="none" w:sz="0" w:space="0" w:color="auto"/>
      </w:divBdr>
    </w:div>
    <w:div w:id="1853449818">
      <w:bodyDiv w:val="1"/>
      <w:marLeft w:val="0"/>
      <w:marRight w:val="0"/>
      <w:marTop w:val="0"/>
      <w:marBottom w:val="0"/>
      <w:divBdr>
        <w:top w:val="none" w:sz="0" w:space="0" w:color="auto"/>
        <w:left w:val="none" w:sz="0" w:space="0" w:color="auto"/>
        <w:bottom w:val="none" w:sz="0" w:space="0" w:color="auto"/>
        <w:right w:val="none" w:sz="0" w:space="0" w:color="auto"/>
      </w:divBdr>
    </w:div>
    <w:div w:id="1853563329">
      <w:bodyDiv w:val="1"/>
      <w:marLeft w:val="0"/>
      <w:marRight w:val="0"/>
      <w:marTop w:val="0"/>
      <w:marBottom w:val="0"/>
      <w:divBdr>
        <w:top w:val="none" w:sz="0" w:space="0" w:color="auto"/>
        <w:left w:val="none" w:sz="0" w:space="0" w:color="auto"/>
        <w:bottom w:val="none" w:sz="0" w:space="0" w:color="auto"/>
        <w:right w:val="none" w:sz="0" w:space="0" w:color="auto"/>
      </w:divBdr>
    </w:div>
    <w:div w:id="1853638679">
      <w:bodyDiv w:val="1"/>
      <w:marLeft w:val="0"/>
      <w:marRight w:val="0"/>
      <w:marTop w:val="0"/>
      <w:marBottom w:val="0"/>
      <w:divBdr>
        <w:top w:val="none" w:sz="0" w:space="0" w:color="auto"/>
        <w:left w:val="none" w:sz="0" w:space="0" w:color="auto"/>
        <w:bottom w:val="none" w:sz="0" w:space="0" w:color="auto"/>
        <w:right w:val="none" w:sz="0" w:space="0" w:color="auto"/>
      </w:divBdr>
    </w:div>
    <w:div w:id="1853641040">
      <w:bodyDiv w:val="1"/>
      <w:marLeft w:val="0"/>
      <w:marRight w:val="0"/>
      <w:marTop w:val="0"/>
      <w:marBottom w:val="0"/>
      <w:divBdr>
        <w:top w:val="none" w:sz="0" w:space="0" w:color="auto"/>
        <w:left w:val="none" w:sz="0" w:space="0" w:color="auto"/>
        <w:bottom w:val="none" w:sz="0" w:space="0" w:color="auto"/>
        <w:right w:val="none" w:sz="0" w:space="0" w:color="auto"/>
      </w:divBdr>
    </w:div>
    <w:div w:id="1853644582">
      <w:bodyDiv w:val="1"/>
      <w:marLeft w:val="0"/>
      <w:marRight w:val="0"/>
      <w:marTop w:val="0"/>
      <w:marBottom w:val="0"/>
      <w:divBdr>
        <w:top w:val="none" w:sz="0" w:space="0" w:color="auto"/>
        <w:left w:val="none" w:sz="0" w:space="0" w:color="auto"/>
        <w:bottom w:val="none" w:sz="0" w:space="0" w:color="auto"/>
        <w:right w:val="none" w:sz="0" w:space="0" w:color="auto"/>
      </w:divBdr>
    </w:div>
    <w:div w:id="1853646289">
      <w:bodyDiv w:val="1"/>
      <w:marLeft w:val="0"/>
      <w:marRight w:val="0"/>
      <w:marTop w:val="0"/>
      <w:marBottom w:val="0"/>
      <w:divBdr>
        <w:top w:val="none" w:sz="0" w:space="0" w:color="auto"/>
        <w:left w:val="none" w:sz="0" w:space="0" w:color="auto"/>
        <w:bottom w:val="none" w:sz="0" w:space="0" w:color="auto"/>
        <w:right w:val="none" w:sz="0" w:space="0" w:color="auto"/>
      </w:divBdr>
    </w:div>
    <w:div w:id="1853687398">
      <w:bodyDiv w:val="1"/>
      <w:marLeft w:val="0"/>
      <w:marRight w:val="0"/>
      <w:marTop w:val="0"/>
      <w:marBottom w:val="0"/>
      <w:divBdr>
        <w:top w:val="none" w:sz="0" w:space="0" w:color="auto"/>
        <w:left w:val="none" w:sz="0" w:space="0" w:color="auto"/>
        <w:bottom w:val="none" w:sz="0" w:space="0" w:color="auto"/>
        <w:right w:val="none" w:sz="0" w:space="0" w:color="auto"/>
      </w:divBdr>
    </w:div>
    <w:div w:id="1853764769">
      <w:bodyDiv w:val="1"/>
      <w:marLeft w:val="0"/>
      <w:marRight w:val="0"/>
      <w:marTop w:val="0"/>
      <w:marBottom w:val="0"/>
      <w:divBdr>
        <w:top w:val="none" w:sz="0" w:space="0" w:color="auto"/>
        <w:left w:val="none" w:sz="0" w:space="0" w:color="auto"/>
        <w:bottom w:val="none" w:sz="0" w:space="0" w:color="auto"/>
        <w:right w:val="none" w:sz="0" w:space="0" w:color="auto"/>
      </w:divBdr>
    </w:div>
    <w:div w:id="1853831969">
      <w:bodyDiv w:val="1"/>
      <w:marLeft w:val="0"/>
      <w:marRight w:val="0"/>
      <w:marTop w:val="0"/>
      <w:marBottom w:val="0"/>
      <w:divBdr>
        <w:top w:val="none" w:sz="0" w:space="0" w:color="auto"/>
        <w:left w:val="none" w:sz="0" w:space="0" w:color="auto"/>
        <w:bottom w:val="none" w:sz="0" w:space="0" w:color="auto"/>
        <w:right w:val="none" w:sz="0" w:space="0" w:color="auto"/>
      </w:divBdr>
    </w:div>
    <w:div w:id="1853838533">
      <w:bodyDiv w:val="1"/>
      <w:marLeft w:val="0"/>
      <w:marRight w:val="0"/>
      <w:marTop w:val="0"/>
      <w:marBottom w:val="0"/>
      <w:divBdr>
        <w:top w:val="none" w:sz="0" w:space="0" w:color="auto"/>
        <w:left w:val="none" w:sz="0" w:space="0" w:color="auto"/>
        <w:bottom w:val="none" w:sz="0" w:space="0" w:color="auto"/>
        <w:right w:val="none" w:sz="0" w:space="0" w:color="auto"/>
      </w:divBdr>
    </w:div>
    <w:div w:id="1853882884">
      <w:bodyDiv w:val="1"/>
      <w:marLeft w:val="0"/>
      <w:marRight w:val="0"/>
      <w:marTop w:val="0"/>
      <w:marBottom w:val="0"/>
      <w:divBdr>
        <w:top w:val="none" w:sz="0" w:space="0" w:color="auto"/>
        <w:left w:val="none" w:sz="0" w:space="0" w:color="auto"/>
        <w:bottom w:val="none" w:sz="0" w:space="0" w:color="auto"/>
        <w:right w:val="none" w:sz="0" w:space="0" w:color="auto"/>
      </w:divBdr>
    </w:div>
    <w:div w:id="1853910301">
      <w:bodyDiv w:val="1"/>
      <w:marLeft w:val="0"/>
      <w:marRight w:val="0"/>
      <w:marTop w:val="0"/>
      <w:marBottom w:val="0"/>
      <w:divBdr>
        <w:top w:val="none" w:sz="0" w:space="0" w:color="auto"/>
        <w:left w:val="none" w:sz="0" w:space="0" w:color="auto"/>
        <w:bottom w:val="none" w:sz="0" w:space="0" w:color="auto"/>
        <w:right w:val="none" w:sz="0" w:space="0" w:color="auto"/>
      </w:divBdr>
    </w:div>
    <w:div w:id="1854144856">
      <w:bodyDiv w:val="1"/>
      <w:marLeft w:val="0"/>
      <w:marRight w:val="0"/>
      <w:marTop w:val="0"/>
      <w:marBottom w:val="0"/>
      <w:divBdr>
        <w:top w:val="none" w:sz="0" w:space="0" w:color="auto"/>
        <w:left w:val="none" w:sz="0" w:space="0" w:color="auto"/>
        <w:bottom w:val="none" w:sz="0" w:space="0" w:color="auto"/>
        <w:right w:val="none" w:sz="0" w:space="0" w:color="auto"/>
      </w:divBdr>
    </w:div>
    <w:div w:id="1854219584">
      <w:bodyDiv w:val="1"/>
      <w:marLeft w:val="0"/>
      <w:marRight w:val="0"/>
      <w:marTop w:val="0"/>
      <w:marBottom w:val="0"/>
      <w:divBdr>
        <w:top w:val="none" w:sz="0" w:space="0" w:color="auto"/>
        <w:left w:val="none" w:sz="0" w:space="0" w:color="auto"/>
        <w:bottom w:val="none" w:sz="0" w:space="0" w:color="auto"/>
        <w:right w:val="none" w:sz="0" w:space="0" w:color="auto"/>
      </w:divBdr>
    </w:div>
    <w:div w:id="1854227038">
      <w:bodyDiv w:val="1"/>
      <w:marLeft w:val="0"/>
      <w:marRight w:val="0"/>
      <w:marTop w:val="0"/>
      <w:marBottom w:val="0"/>
      <w:divBdr>
        <w:top w:val="none" w:sz="0" w:space="0" w:color="auto"/>
        <w:left w:val="none" w:sz="0" w:space="0" w:color="auto"/>
        <w:bottom w:val="none" w:sz="0" w:space="0" w:color="auto"/>
        <w:right w:val="none" w:sz="0" w:space="0" w:color="auto"/>
      </w:divBdr>
    </w:div>
    <w:div w:id="1854342585">
      <w:bodyDiv w:val="1"/>
      <w:marLeft w:val="0"/>
      <w:marRight w:val="0"/>
      <w:marTop w:val="0"/>
      <w:marBottom w:val="0"/>
      <w:divBdr>
        <w:top w:val="none" w:sz="0" w:space="0" w:color="auto"/>
        <w:left w:val="none" w:sz="0" w:space="0" w:color="auto"/>
        <w:bottom w:val="none" w:sz="0" w:space="0" w:color="auto"/>
        <w:right w:val="none" w:sz="0" w:space="0" w:color="auto"/>
      </w:divBdr>
    </w:div>
    <w:div w:id="1854370787">
      <w:bodyDiv w:val="1"/>
      <w:marLeft w:val="0"/>
      <w:marRight w:val="0"/>
      <w:marTop w:val="0"/>
      <w:marBottom w:val="0"/>
      <w:divBdr>
        <w:top w:val="none" w:sz="0" w:space="0" w:color="auto"/>
        <w:left w:val="none" w:sz="0" w:space="0" w:color="auto"/>
        <w:bottom w:val="none" w:sz="0" w:space="0" w:color="auto"/>
        <w:right w:val="none" w:sz="0" w:space="0" w:color="auto"/>
      </w:divBdr>
    </w:div>
    <w:div w:id="1854412549">
      <w:bodyDiv w:val="1"/>
      <w:marLeft w:val="0"/>
      <w:marRight w:val="0"/>
      <w:marTop w:val="0"/>
      <w:marBottom w:val="0"/>
      <w:divBdr>
        <w:top w:val="none" w:sz="0" w:space="0" w:color="auto"/>
        <w:left w:val="none" w:sz="0" w:space="0" w:color="auto"/>
        <w:bottom w:val="none" w:sz="0" w:space="0" w:color="auto"/>
        <w:right w:val="none" w:sz="0" w:space="0" w:color="auto"/>
      </w:divBdr>
    </w:div>
    <w:div w:id="1854420556">
      <w:bodyDiv w:val="1"/>
      <w:marLeft w:val="0"/>
      <w:marRight w:val="0"/>
      <w:marTop w:val="0"/>
      <w:marBottom w:val="0"/>
      <w:divBdr>
        <w:top w:val="none" w:sz="0" w:space="0" w:color="auto"/>
        <w:left w:val="none" w:sz="0" w:space="0" w:color="auto"/>
        <w:bottom w:val="none" w:sz="0" w:space="0" w:color="auto"/>
        <w:right w:val="none" w:sz="0" w:space="0" w:color="auto"/>
      </w:divBdr>
    </w:div>
    <w:div w:id="1854538412">
      <w:bodyDiv w:val="1"/>
      <w:marLeft w:val="0"/>
      <w:marRight w:val="0"/>
      <w:marTop w:val="0"/>
      <w:marBottom w:val="0"/>
      <w:divBdr>
        <w:top w:val="none" w:sz="0" w:space="0" w:color="auto"/>
        <w:left w:val="none" w:sz="0" w:space="0" w:color="auto"/>
        <w:bottom w:val="none" w:sz="0" w:space="0" w:color="auto"/>
        <w:right w:val="none" w:sz="0" w:space="0" w:color="auto"/>
      </w:divBdr>
    </w:div>
    <w:div w:id="1854608114">
      <w:bodyDiv w:val="1"/>
      <w:marLeft w:val="0"/>
      <w:marRight w:val="0"/>
      <w:marTop w:val="0"/>
      <w:marBottom w:val="0"/>
      <w:divBdr>
        <w:top w:val="none" w:sz="0" w:space="0" w:color="auto"/>
        <w:left w:val="none" w:sz="0" w:space="0" w:color="auto"/>
        <w:bottom w:val="none" w:sz="0" w:space="0" w:color="auto"/>
        <w:right w:val="none" w:sz="0" w:space="0" w:color="auto"/>
      </w:divBdr>
    </w:div>
    <w:div w:id="1854756571">
      <w:bodyDiv w:val="1"/>
      <w:marLeft w:val="0"/>
      <w:marRight w:val="0"/>
      <w:marTop w:val="0"/>
      <w:marBottom w:val="0"/>
      <w:divBdr>
        <w:top w:val="none" w:sz="0" w:space="0" w:color="auto"/>
        <w:left w:val="none" w:sz="0" w:space="0" w:color="auto"/>
        <w:bottom w:val="none" w:sz="0" w:space="0" w:color="auto"/>
        <w:right w:val="none" w:sz="0" w:space="0" w:color="auto"/>
      </w:divBdr>
    </w:div>
    <w:div w:id="1854807049">
      <w:bodyDiv w:val="1"/>
      <w:marLeft w:val="0"/>
      <w:marRight w:val="0"/>
      <w:marTop w:val="0"/>
      <w:marBottom w:val="0"/>
      <w:divBdr>
        <w:top w:val="none" w:sz="0" w:space="0" w:color="auto"/>
        <w:left w:val="none" w:sz="0" w:space="0" w:color="auto"/>
        <w:bottom w:val="none" w:sz="0" w:space="0" w:color="auto"/>
        <w:right w:val="none" w:sz="0" w:space="0" w:color="auto"/>
      </w:divBdr>
    </w:div>
    <w:div w:id="1854879957">
      <w:bodyDiv w:val="1"/>
      <w:marLeft w:val="0"/>
      <w:marRight w:val="0"/>
      <w:marTop w:val="0"/>
      <w:marBottom w:val="0"/>
      <w:divBdr>
        <w:top w:val="none" w:sz="0" w:space="0" w:color="auto"/>
        <w:left w:val="none" w:sz="0" w:space="0" w:color="auto"/>
        <w:bottom w:val="none" w:sz="0" w:space="0" w:color="auto"/>
        <w:right w:val="none" w:sz="0" w:space="0" w:color="auto"/>
      </w:divBdr>
    </w:div>
    <w:div w:id="1854880170">
      <w:bodyDiv w:val="1"/>
      <w:marLeft w:val="0"/>
      <w:marRight w:val="0"/>
      <w:marTop w:val="0"/>
      <w:marBottom w:val="0"/>
      <w:divBdr>
        <w:top w:val="none" w:sz="0" w:space="0" w:color="auto"/>
        <w:left w:val="none" w:sz="0" w:space="0" w:color="auto"/>
        <w:bottom w:val="none" w:sz="0" w:space="0" w:color="auto"/>
        <w:right w:val="none" w:sz="0" w:space="0" w:color="auto"/>
      </w:divBdr>
    </w:div>
    <w:div w:id="1854949188">
      <w:bodyDiv w:val="1"/>
      <w:marLeft w:val="0"/>
      <w:marRight w:val="0"/>
      <w:marTop w:val="0"/>
      <w:marBottom w:val="0"/>
      <w:divBdr>
        <w:top w:val="none" w:sz="0" w:space="0" w:color="auto"/>
        <w:left w:val="none" w:sz="0" w:space="0" w:color="auto"/>
        <w:bottom w:val="none" w:sz="0" w:space="0" w:color="auto"/>
        <w:right w:val="none" w:sz="0" w:space="0" w:color="auto"/>
      </w:divBdr>
    </w:div>
    <w:div w:id="1854952592">
      <w:bodyDiv w:val="1"/>
      <w:marLeft w:val="0"/>
      <w:marRight w:val="0"/>
      <w:marTop w:val="0"/>
      <w:marBottom w:val="0"/>
      <w:divBdr>
        <w:top w:val="none" w:sz="0" w:space="0" w:color="auto"/>
        <w:left w:val="none" w:sz="0" w:space="0" w:color="auto"/>
        <w:bottom w:val="none" w:sz="0" w:space="0" w:color="auto"/>
        <w:right w:val="none" w:sz="0" w:space="0" w:color="auto"/>
      </w:divBdr>
    </w:div>
    <w:div w:id="1854958594">
      <w:bodyDiv w:val="1"/>
      <w:marLeft w:val="0"/>
      <w:marRight w:val="0"/>
      <w:marTop w:val="0"/>
      <w:marBottom w:val="0"/>
      <w:divBdr>
        <w:top w:val="none" w:sz="0" w:space="0" w:color="auto"/>
        <w:left w:val="none" w:sz="0" w:space="0" w:color="auto"/>
        <w:bottom w:val="none" w:sz="0" w:space="0" w:color="auto"/>
        <w:right w:val="none" w:sz="0" w:space="0" w:color="auto"/>
      </w:divBdr>
    </w:div>
    <w:div w:id="1855073878">
      <w:bodyDiv w:val="1"/>
      <w:marLeft w:val="0"/>
      <w:marRight w:val="0"/>
      <w:marTop w:val="0"/>
      <w:marBottom w:val="0"/>
      <w:divBdr>
        <w:top w:val="none" w:sz="0" w:space="0" w:color="auto"/>
        <w:left w:val="none" w:sz="0" w:space="0" w:color="auto"/>
        <w:bottom w:val="none" w:sz="0" w:space="0" w:color="auto"/>
        <w:right w:val="none" w:sz="0" w:space="0" w:color="auto"/>
      </w:divBdr>
    </w:div>
    <w:div w:id="1855267892">
      <w:bodyDiv w:val="1"/>
      <w:marLeft w:val="0"/>
      <w:marRight w:val="0"/>
      <w:marTop w:val="0"/>
      <w:marBottom w:val="0"/>
      <w:divBdr>
        <w:top w:val="none" w:sz="0" w:space="0" w:color="auto"/>
        <w:left w:val="none" w:sz="0" w:space="0" w:color="auto"/>
        <w:bottom w:val="none" w:sz="0" w:space="0" w:color="auto"/>
        <w:right w:val="none" w:sz="0" w:space="0" w:color="auto"/>
      </w:divBdr>
    </w:div>
    <w:div w:id="1855456088">
      <w:bodyDiv w:val="1"/>
      <w:marLeft w:val="0"/>
      <w:marRight w:val="0"/>
      <w:marTop w:val="0"/>
      <w:marBottom w:val="0"/>
      <w:divBdr>
        <w:top w:val="none" w:sz="0" w:space="0" w:color="auto"/>
        <w:left w:val="none" w:sz="0" w:space="0" w:color="auto"/>
        <w:bottom w:val="none" w:sz="0" w:space="0" w:color="auto"/>
        <w:right w:val="none" w:sz="0" w:space="0" w:color="auto"/>
      </w:divBdr>
    </w:div>
    <w:div w:id="1855655713">
      <w:bodyDiv w:val="1"/>
      <w:marLeft w:val="0"/>
      <w:marRight w:val="0"/>
      <w:marTop w:val="0"/>
      <w:marBottom w:val="0"/>
      <w:divBdr>
        <w:top w:val="none" w:sz="0" w:space="0" w:color="auto"/>
        <w:left w:val="none" w:sz="0" w:space="0" w:color="auto"/>
        <w:bottom w:val="none" w:sz="0" w:space="0" w:color="auto"/>
        <w:right w:val="none" w:sz="0" w:space="0" w:color="auto"/>
      </w:divBdr>
    </w:div>
    <w:div w:id="1855724709">
      <w:bodyDiv w:val="1"/>
      <w:marLeft w:val="0"/>
      <w:marRight w:val="0"/>
      <w:marTop w:val="0"/>
      <w:marBottom w:val="0"/>
      <w:divBdr>
        <w:top w:val="none" w:sz="0" w:space="0" w:color="auto"/>
        <w:left w:val="none" w:sz="0" w:space="0" w:color="auto"/>
        <w:bottom w:val="none" w:sz="0" w:space="0" w:color="auto"/>
        <w:right w:val="none" w:sz="0" w:space="0" w:color="auto"/>
      </w:divBdr>
    </w:div>
    <w:div w:id="1855872938">
      <w:bodyDiv w:val="1"/>
      <w:marLeft w:val="0"/>
      <w:marRight w:val="0"/>
      <w:marTop w:val="0"/>
      <w:marBottom w:val="0"/>
      <w:divBdr>
        <w:top w:val="none" w:sz="0" w:space="0" w:color="auto"/>
        <w:left w:val="none" w:sz="0" w:space="0" w:color="auto"/>
        <w:bottom w:val="none" w:sz="0" w:space="0" w:color="auto"/>
        <w:right w:val="none" w:sz="0" w:space="0" w:color="auto"/>
      </w:divBdr>
    </w:div>
    <w:div w:id="1855875478">
      <w:bodyDiv w:val="1"/>
      <w:marLeft w:val="0"/>
      <w:marRight w:val="0"/>
      <w:marTop w:val="0"/>
      <w:marBottom w:val="0"/>
      <w:divBdr>
        <w:top w:val="none" w:sz="0" w:space="0" w:color="auto"/>
        <w:left w:val="none" w:sz="0" w:space="0" w:color="auto"/>
        <w:bottom w:val="none" w:sz="0" w:space="0" w:color="auto"/>
        <w:right w:val="none" w:sz="0" w:space="0" w:color="auto"/>
      </w:divBdr>
    </w:div>
    <w:div w:id="1855877992">
      <w:bodyDiv w:val="1"/>
      <w:marLeft w:val="0"/>
      <w:marRight w:val="0"/>
      <w:marTop w:val="0"/>
      <w:marBottom w:val="0"/>
      <w:divBdr>
        <w:top w:val="none" w:sz="0" w:space="0" w:color="auto"/>
        <w:left w:val="none" w:sz="0" w:space="0" w:color="auto"/>
        <w:bottom w:val="none" w:sz="0" w:space="0" w:color="auto"/>
        <w:right w:val="none" w:sz="0" w:space="0" w:color="auto"/>
      </w:divBdr>
    </w:div>
    <w:div w:id="1856071462">
      <w:bodyDiv w:val="1"/>
      <w:marLeft w:val="0"/>
      <w:marRight w:val="0"/>
      <w:marTop w:val="0"/>
      <w:marBottom w:val="0"/>
      <w:divBdr>
        <w:top w:val="none" w:sz="0" w:space="0" w:color="auto"/>
        <w:left w:val="none" w:sz="0" w:space="0" w:color="auto"/>
        <w:bottom w:val="none" w:sz="0" w:space="0" w:color="auto"/>
        <w:right w:val="none" w:sz="0" w:space="0" w:color="auto"/>
      </w:divBdr>
    </w:div>
    <w:div w:id="1856073234">
      <w:bodyDiv w:val="1"/>
      <w:marLeft w:val="0"/>
      <w:marRight w:val="0"/>
      <w:marTop w:val="0"/>
      <w:marBottom w:val="0"/>
      <w:divBdr>
        <w:top w:val="none" w:sz="0" w:space="0" w:color="auto"/>
        <w:left w:val="none" w:sz="0" w:space="0" w:color="auto"/>
        <w:bottom w:val="none" w:sz="0" w:space="0" w:color="auto"/>
        <w:right w:val="none" w:sz="0" w:space="0" w:color="auto"/>
      </w:divBdr>
    </w:div>
    <w:div w:id="1856262028">
      <w:bodyDiv w:val="1"/>
      <w:marLeft w:val="0"/>
      <w:marRight w:val="0"/>
      <w:marTop w:val="0"/>
      <w:marBottom w:val="0"/>
      <w:divBdr>
        <w:top w:val="none" w:sz="0" w:space="0" w:color="auto"/>
        <w:left w:val="none" w:sz="0" w:space="0" w:color="auto"/>
        <w:bottom w:val="none" w:sz="0" w:space="0" w:color="auto"/>
        <w:right w:val="none" w:sz="0" w:space="0" w:color="auto"/>
      </w:divBdr>
    </w:div>
    <w:div w:id="1856264022">
      <w:bodyDiv w:val="1"/>
      <w:marLeft w:val="0"/>
      <w:marRight w:val="0"/>
      <w:marTop w:val="0"/>
      <w:marBottom w:val="0"/>
      <w:divBdr>
        <w:top w:val="none" w:sz="0" w:space="0" w:color="auto"/>
        <w:left w:val="none" w:sz="0" w:space="0" w:color="auto"/>
        <w:bottom w:val="none" w:sz="0" w:space="0" w:color="auto"/>
        <w:right w:val="none" w:sz="0" w:space="0" w:color="auto"/>
      </w:divBdr>
    </w:div>
    <w:div w:id="1856265539">
      <w:bodyDiv w:val="1"/>
      <w:marLeft w:val="0"/>
      <w:marRight w:val="0"/>
      <w:marTop w:val="0"/>
      <w:marBottom w:val="0"/>
      <w:divBdr>
        <w:top w:val="none" w:sz="0" w:space="0" w:color="auto"/>
        <w:left w:val="none" w:sz="0" w:space="0" w:color="auto"/>
        <w:bottom w:val="none" w:sz="0" w:space="0" w:color="auto"/>
        <w:right w:val="none" w:sz="0" w:space="0" w:color="auto"/>
      </w:divBdr>
    </w:div>
    <w:div w:id="1856308472">
      <w:bodyDiv w:val="1"/>
      <w:marLeft w:val="0"/>
      <w:marRight w:val="0"/>
      <w:marTop w:val="0"/>
      <w:marBottom w:val="0"/>
      <w:divBdr>
        <w:top w:val="none" w:sz="0" w:space="0" w:color="auto"/>
        <w:left w:val="none" w:sz="0" w:space="0" w:color="auto"/>
        <w:bottom w:val="none" w:sz="0" w:space="0" w:color="auto"/>
        <w:right w:val="none" w:sz="0" w:space="0" w:color="auto"/>
      </w:divBdr>
    </w:div>
    <w:div w:id="1856378653">
      <w:bodyDiv w:val="1"/>
      <w:marLeft w:val="0"/>
      <w:marRight w:val="0"/>
      <w:marTop w:val="0"/>
      <w:marBottom w:val="0"/>
      <w:divBdr>
        <w:top w:val="none" w:sz="0" w:space="0" w:color="auto"/>
        <w:left w:val="none" w:sz="0" w:space="0" w:color="auto"/>
        <w:bottom w:val="none" w:sz="0" w:space="0" w:color="auto"/>
        <w:right w:val="none" w:sz="0" w:space="0" w:color="auto"/>
      </w:divBdr>
    </w:div>
    <w:div w:id="1856535397">
      <w:bodyDiv w:val="1"/>
      <w:marLeft w:val="0"/>
      <w:marRight w:val="0"/>
      <w:marTop w:val="0"/>
      <w:marBottom w:val="0"/>
      <w:divBdr>
        <w:top w:val="none" w:sz="0" w:space="0" w:color="auto"/>
        <w:left w:val="none" w:sz="0" w:space="0" w:color="auto"/>
        <w:bottom w:val="none" w:sz="0" w:space="0" w:color="auto"/>
        <w:right w:val="none" w:sz="0" w:space="0" w:color="auto"/>
      </w:divBdr>
    </w:div>
    <w:div w:id="1856653985">
      <w:bodyDiv w:val="1"/>
      <w:marLeft w:val="0"/>
      <w:marRight w:val="0"/>
      <w:marTop w:val="0"/>
      <w:marBottom w:val="0"/>
      <w:divBdr>
        <w:top w:val="none" w:sz="0" w:space="0" w:color="auto"/>
        <w:left w:val="none" w:sz="0" w:space="0" w:color="auto"/>
        <w:bottom w:val="none" w:sz="0" w:space="0" w:color="auto"/>
        <w:right w:val="none" w:sz="0" w:space="0" w:color="auto"/>
      </w:divBdr>
    </w:div>
    <w:div w:id="1856655204">
      <w:bodyDiv w:val="1"/>
      <w:marLeft w:val="0"/>
      <w:marRight w:val="0"/>
      <w:marTop w:val="0"/>
      <w:marBottom w:val="0"/>
      <w:divBdr>
        <w:top w:val="none" w:sz="0" w:space="0" w:color="auto"/>
        <w:left w:val="none" w:sz="0" w:space="0" w:color="auto"/>
        <w:bottom w:val="none" w:sz="0" w:space="0" w:color="auto"/>
        <w:right w:val="none" w:sz="0" w:space="0" w:color="auto"/>
      </w:divBdr>
    </w:div>
    <w:div w:id="1856730022">
      <w:bodyDiv w:val="1"/>
      <w:marLeft w:val="0"/>
      <w:marRight w:val="0"/>
      <w:marTop w:val="0"/>
      <w:marBottom w:val="0"/>
      <w:divBdr>
        <w:top w:val="none" w:sz="0" w:space="0" w:color="auto"/>
        <w:left w:val="none" w:sz="0" w:space="0" w:color="auto"/>
        <w:bottom w:val="none" w:sz="0" w:space="0" w:color="auto"/>
        <w:right w:val="none" w:sz="0" w:space="0" w:color="auto"/>
      </w:divBdr>
    </w:div>
    <w:div w:id="1856845473">
      <w:bodyDiv w:val="1"/>
      <w:marLeft w:val="0"/>
      <w:marRight w:val="0"/>
      <w:marTop w:val="0"/>
      <w:marBottom w:val="0"/>
      <w:divBdr>
        <w:top w:val="none" w:sz="0" w:space="0" w:color="auto"/>
        <w:left w:val="none" w:sz="0" w:space="0" w:color="auto"/>
        <w:bottom w:val="none" w:sz="0" w:space="0" w:color="auto"/>
        <w:right w:val="none" w:sz="0" w:space="0" w:color="auto"/>
      </w:divBdr>
    </w:div>
    <w:div w:id="1856923028">
      <w:bodyDiv w:val="1"/>
      <w:marLeft w:val="0"/>
      <w:marRight w:val="0"/>
      <w:marTop w:val="0"/>
      <w:marBottom w:val="0"/>
      <w:divBdr>
        <w:top w:val="none" w:sz="0" w:space="0" w:color="auto"/>
        <w:left w:val="none" w:sz="0" w:space="0" w:color="auto"/>
        <w:bottom w:val="none" w:sz="0" w:space="0" w:color="auto"/>
        <w:right w:val="none" w:sz="0" w:space="0" w:color="auto"/>
      </w:divBdr>
    </w:div>
    <w:div w:id="1856963241">
      <w:bodyDiv w:val="1"/>
      <w:marLeft w:val="0"/>
      <w:marRight w:val="0"/>
      <w:marTop w:val="0"/>
      <w:marBottom w:val="0"/>
      <w:divBdr>
        <w:top w:val="none" w:sz="0" w:space="0" w:color="auto"/>
        <w:left w:val="none" w:sz="0" w:space="0" w:color="auto"/>
        <w:bottom w:val="none" w:sz="0" w:space="0" w:color="auto"/>
        <w:right w:val="none" w:sz="0" w:space="0" w:color="auto"/>
      </w:divBdr>
    </w:div>
    <w:div w:id="1856965691">
      <w:bodyDiv w:val="1"/>
      <w:marLeft w:val="0"/>
      <w:marRight w:val="0"/>
      <w:marTop w:val="0"/>
      <w:marBottom w:val="0"/>
      <w:divBdr>
        <w:top w:val="none" w:sz="0" w:space="0" w:color="auto"/>
        <w:left w:val="none" w:sz="0" w:space="0" w:color="auto"/>
        <w:bottom w:val="none" w:sz="0" w:space="0" w:color="auto"/>
        <w:right w:val="none" w:sz="0" w:space="0" w:color="auto"/>
      </w:divBdr>
    </w:div>
    <w:div w:id="1856991779">
      <w:bodyDiv w:val="1"/>
      <w:marLeft w:val="0"/>
      <w:marRight w:val="0"/>
      <w:marTop w:val="0"/>
      <w:marBottom w:val="0"/>
      <w:divBdr>
        <w:top w:val="none" w:sz="0" w:space="0" w:color="auto"/>
        <w:left w:val="none" w:sz="0" w:space="0" w:color="auto"/>
        <w:bottom w:val="none" w:sz="0" w:space="0" w:color="auto"/>
        <w:right w:val="none" w:sz="0" w:space="0" w:color="auto"/>
      </w:divBdr>
    </w:div>
    <w:div w:id="1857233730">
      <w:bodyDiv w:val="1"/>
      <w:marLeft w:val="0"/>
      <w:marRight w:val="0"/>
      <w:marTop w:val="0"/>
      <w:marBottom w:val="0"/>
      <w:divBdr>
        <w:top w:val="none" w:sz="0" w:space="0" w:color="auto"/>
        <w:left w:val="none" w:sz="0" w:space="0" w:color="auto"/>
        <w:bottom w:val="none" w:sz="0" w:space="0" w:color="auto"/>
        <w:right w:val="none" w:sz="0" w:space="0" w:color="auto"/>
      </w:divBdr>
    </w:div>
    <w:div w:id="1857235859">
      <w:bodyDiv w:val="1"/>
      <w:marLeft w:val="0"/>
      <w:marRight w:val="0"/>
      <w:marTop w:val="0"/>
      <w:marBottom w:val="0"/>
      <w:divBdr>
        <w:top w:val="none" w:sz="0" w:space="0" w:color="auto"/>
        <w:left w:val="none" w:sz="0" w:space="0" w:color="auto"/>
        <w:bottom w:val="none" w:sz="0" w:space="0" w:color="auto"/>
        <w:right w:val="none" w:sz="0" w:space="0" w:color="auto"/>
      </w:divBdr>
    </w:div>
    <w:div w:id="1857308391">
      <w:bodyDiv w:val="1"/>
      <w:marLeft w:val="0"/>
      <w:marRight w:val="0"/>
      <w:marTop w:val="0"/>
      <w:marBottom w:val="0"/>
      <w:divBdr>
        <w:top w:val="none" w:sz="0" w:space="0" w:color="auto"/>
        <w:left w:val="none" w:sz="0" w:space="0" w:color="auto"/>
        <w:bottom w:val="none" w:sz="0" w:space="0" w:color="auto"/>
        <w:right w:val="none" w:sz="0" w:space="0" w:color="auto"/>
      </w:divBdr>
    </w:div>
    <w:div w:id="1857426592">
      <w:bodyDiv w:val="1"/>
      <w:marLeft w:val="0"/>
      <w:marRight w:val="0"/>
      <w:marTop w:val="0"/>
      <w:marBottom w:val="0"/>
      <w:divBdr>
        <w:top w:val="none" w:sz="0" w:space="0" w:color="auto"/>
        <w:left w:val="none" w:sz="0" w:space="0" w:color="auto"/>
        <w:bottom w:val="none" w:sz="0" w:space="0" w:color="auto"/>
        <w:right w:val="none" w:sz="0" w:space="0" w:color="auto"/>
      </w:divBdr>
    </w:div>
    <w:div w:id="1857495892">
      <w:bodyDiv w:val="1"/>
      <w:marLeft w:val="0"/>
      <w:marRight w:val="0"/>
      <w:marTop w:val="0"/>
      <w:marBottom w:val="0"/>
      <w:divBdr>
        <w:top w:val="none" w:sz="0" w:space="0" w:color="auto"/>
        <w:left w:val="none" w:sz="0" w:space="0" w:color="auto"/>
        <w:bottom w:val="none" w:sz="0" w:space="0" w:color="auto"/>
        <w:right w:val="none" w:sz="0" w:space="0" w:color="auto"/>
      </w:divBdr>
    </w:div>
    <w:div w:id="1857571797">
      <w:bodyDiv w:val="1"/>
      <w:marLeft w:val="0"/>
      <w:marRight w:val="0"/>
      <w:marTop w:val="0"/>
      <w:marBottom w:val="0"/>
      <w:divBdr>
        <w:top w:val="none" w:sz="0" w:space="0" w:color="auto"/>
        <w:left w:val="none" w:sz="0" w:space="0" w:color="auto"/>
        <w:bottom w:val="none" w:sz="0" w:space="0" w:color="auto"/>
        <w:right w:val="none" w:sz="0" w:space="0" w:color="auto"/>
      </w:divBdr>
    </w:div>
    <w:div w:id="1857693667">
      <w:bodyDiv w:val="1"/>
      <w:marLeft w:val="0"/>
      <w:marRight w:val="0"/>
      <w:marTop w:val="0"/>
      <w:marBottom w:val="0"/>
      <w:divBdr>
        <w:top w:val="none" w:sz="0" w:space="0" w:color="auto"/>
        <w:left w:val="none" w:sz="0" w:space="0" w:color="auto"/>
        <w:bottom w:val="none" w:sz="0" w:space="0" w:color="auto"/>
        <w:right w:val="none" w:sz="0" w:space="0" w:color="auto"/>
      </w:divBdr>
    </w:div>
    <w:div w:id="1857764481">
      <w:bodyDiv w:val="1"/>
      <w:marLeft w:val="0"/>
      <w:marRight w:val="0"/>
      <w:marTop w:val="0"/>
      <w:marBottom w:val="0"/>
      <w:divBdr>
        <w:top w:val="none" w:sz="0" w:space="0" w:color="auto"/>
        <w:left w:val="none" w:sz="0" w:space="0" w:color="auto"/>
        <w:bottom w:val="none" w:sz="0" w:space="0" w:color="auto"/>
        <w:right w:val="none" w:sz="0" w:space="0" w:color="auto"/>
      </w:divBdr>
    </w:div>
    <w:div w:id="1857764610">
      <w:bodyDiv w:val="1"/>
      <w:marLeft w:val="0"/>
      <w:marRight w:val="0"/>
      <w:marTop w:val="0"/>
      <w:marBottom w:val="0"/>
      <w:divBdr>
        <w:top w:val="none" w:sz="0" w:space="0" w:color="auto"/>
        <w:left w:val="none" w:sz="0" w:space="0" w:color="auto"/>
        <w:bottom w:val="none" w:sz="0" w:space="0" w:color="auto"/>
        <w:right w:val="none" w:sz="0" w:space="0" w:color="auto"/>
      </w:divBdr>
    </w:div>
    <w:div w:id="1857768395">
      <w:bodyDiv w:val="1"/>
      <w:marLeft w:val="0"/>
      <w:marRight w:val="0"/>
      <w:marTop w:val="0"/>
      <w:marBottom w:val="0"/>
      <w:divBdr>
        <w:top w:val="none" w:sz="0" w:space="0" w:color="auto"/>
        <w:left w:val="none" w:sz="0" w:space="0" w:color="auto"/>
        <w:bottom w:val="none" w:sz="0" w:space="0" w:color="auto"/>
        <w:right w:val="none" w:sz="0" w:space="0" w:color="auto"/>
      </w:divBdr>
    </w:div>
    <w:div w:id="1857772376">
      <w:bodyDiv w:val="1"/>
      <w:marLeft w:val="0"/>
      <w:marRight w:val="0"/>
      <w:marTop w:val="0"/>
      <w:marBottom w:val="0"/>
      <w:divBdr>
        <w:top w:val="none" w:sz="0" w:space="0" w:color="auto"/>
        <w:left w:val="none" w:sz="0" w:space="0" w:color="auto"/>
        <w:bottom w:val="none" w:sz="0" w:space="0" w:color="auto"/>
        <w:right w:val="none" w:sz="0" w:space="0" w:color="auto"/>
      </w:divBdr>
    </w:div>
    <w:div w:id="1857890640">
      <w:bodyDiv w:val="1"/>
      <w:marLeft w:val="0"/>
      <w:marRight w:val="0"/>
      <w:marTop w:val="0"/>
      <w:marBottom w:val="0"/>
      <w:divBdr>
        <w:top w:val="none" w:sz="0" w:space="0" w:color="auto"/>
        <w:left w:val="none" w:sz="0" w:space="0" w:color="auto"/>
        <w:bottom w:val="none" w:sz="0" w:space="0" w:color="auto"/>
        <w:right w:val="none" w:sz="0" w:space="0" w:color="auto"/>
      </w:divBdr>
    </w:div>
    <w:div w:id="1857959292">
      <w:bodyDiv w:val="1"/>
      <w:marLeft w:val="0"/>
      <w:marRight w:val="0"/>
      <w:marTop w:val="0"/>
      <w:marBottom w:val="0"/>
      <w:divBdr>
        <w:top w:val="none" w:sz="0" w:space="0" w:color="auto"/>
        <w:left w:val="none" w:sz="0" w:space="0" w:color="auto"/>
        <w:bottom w:val="none" w:sz="0" w:space="0" w:color="auto"/>
        <w:right w:val="none" w:sz="0" w:space="0" w:color="auto"/>
      </w:divBdr>
    </w:div>
    <w:div w:id="1858035841">
      <w:bodyDiv w:val="1"/>
      <w:marLeft w:val="0"/>
      <w:marRight w:val="0"/>
      <w:marTop w:val="0"/>
      <w:marBottom w:val="0"/>
      <w:divBdr>
        <w:top w:val="none" w:sz="0" w:space="0" w:color="auto"/>
        <w:left w:val="none" w:sz="0" w:space="0" w:color="auto"/>
        <w:bottom w:val="none" w:sz="0" w:space="0" w:color="auto"/>
        <w:right w:val="none" w:sz="0" w:space="0" w:color="auto"/>
      </w:divBdr>
    </w:div>
    <w:div w:id="1858150445">
      <w:bodyDiv w:val="1"/>
      <w:marLeft w:val="0"/>
      <w:marRight w:val="0"/>
      <w:marTop w:val="0"/>
      <w:marBottom w:val="0"/>
      <w:divBdr>
        <w:top w:val="none" w:sz="0" w:space="0" w:color="auto"/>
        <w:left w:val="none" w:sz="0" w:space="0" w:color="auto"/>
        <w:bottom w:val="none" w:sz="0" w:space="0" w:color="auto"/>
        <w:right w:val="none" w:sz="0" w:space="0" w:color="auto"/>
      </w:divBdr>
    </w:div>
    <w:div w:id="1858348228">
      <w:bodyDiv w:val="1"/>
      <w:marLeft w:val="0"/>
      <w:marRight w:val="0"/>
      <w:marTop w:val="0"/>
      <w:marBottom w:val="0"/>
      <w:divBdr>
        <w:top w:val="none" w:sz="0" w:space="0" w:color="auto"/>
        <w:left w:val="none" w:sz="0" w:space="0" w:color="auto"/>
        <w:bottom w:val="none" w:sz="0" w:space="0" w:color="auto"/>
        <w:right w:val="none" w:sz="0" w:space="0" w:color="auto"/>
      </w:divBdr>
    </w:div>
    <w:div w:id="1858352361">
      <w:bodyDiv w:val="1"/>
      <w:marLeft w:val="0"/>
      <w:marRight w:val="0"/>
      <w:marTop w:val="0"/>
      <w:marBottom w:val="0"/>
      <w:divBdr>
        <w:top w:val="none" w:sz="0" w:space="0" w:color="auto"/>
        <w:left w:val="none" w:sz="0" w:space="0" w:color="auto"/>
        <w:bottom w:val="none" w:sz="0" w:space="0" w:color="auto"/>
        <w:right w:val="none" w:sz="0" w:space="0" w:color="auto"/>
      </w:divBdr>
    </w:div>
    <w:div w:id="1858617926">
      <w:bodyDiv w:val="1"/>
      <w:marLeft w:val="0"/>
      <w:marRight w:val="0"/>
      <w:marTop w:val="0"/>
      <w:marBottom w:val="0"/>
      <w:divBdr>
        <w:top w:val="none" w:sz="0" w:space="0" w:color="auto"/>
        <w:left w:val="none" w:sz="0" w:space="0" w:color="auto"/>
        <w:bottom w:val="none" w:sz="0" w:space="0" w:color="auto"/>
        <w:right w:val="none" w:sz="0" w:space="0" w:color="auto"/>
      </w:divBdr>
    </w:div>
    <w:div w:id="1858695360">
      <w:bodyDiv w:val="1"/>
      <w:marLeft w:val="0"/>
      <w:marRight w:val="0"/>
      <w:marTop w:val="0"/>
      <w:marBottom w:val="0"/>
      <w:divBdr>
        <w:top w:val="none" w:sz="0" w:space="0" w:color="auto"/>
        <w:left w:val="none" w:sz="0" w:space="0" w:color="auto"/>
        <w:bottom w:val="none" w:sz="0" w:space="0" w:color="auto"/>
        <w:right w:val="none" w:sz="0" w:space="0" w:color="auto"/>
      </w:divBdr>
    </w:div>
    <w:div w:id="1858805751">
      <w:bodyDiv w:val="1"/>
      <w:marLeft w:val="0"/>
      <w:marRight w:val="0"/>
      <w:marTop w:val="0"/>
      <w:marBottom w:val="0"/>
      <w:divBdr>
        <w:top w:val="none" w:sz="0" w:space="0" w:color="auto"/>
        <w:left w:val="none" w:sz="0" w:space="0" w:color="auto"/>
        <w:bottom w:val="none" w:sz="0" w:space="0" w:color="auto"/>
        <w:right w:val="none" w:sz="0" w:space="0" w:color="auto"/>
      </w:divBdr>
    </w:div>
    <w:div w:id="1858885485">
      <w:bodyDiv w:val="1"/>
      <w:marLeft w:val="0"/>
      <w:marRight w:val="0"/>
      <w:marTop w:val="0"/>
      <w:marBottom w:val="0"/>
      <w:divBdr>
        <w:top w:val="none" w:sz="0" w:space="0" w:color="auto"/>
        <w:left w:val="none" w:sz="0" w:space="0" w:color="auto"/>
        <w:bottom w:val="none" w:sz="0" w:space="0" w:color="auto"/>
        <w:right w:val="none" w:sz="0" w:space="0" w:color="auto"/>
      </w:divBdr>
    </w:div>
    <w:div w:id="1858886734">
      <w:bodyDiv w:val="1"/>
      <w:marLeft w:val="0"/>
      <w:marRight w:val="0"/>
      <w:marTop w:val="0"/>
      <w:marBottom w:val="0"/>
      <w:divBdr>
        <w:top w:val="none" w:sz="0" w:space="0" w:color="auto"/>
        <w:left w:val="none" w:sz="0" w:space="0" w:color="auto"/>
        <w:bottom w:val="none" w:sz="0" w:space="0" w:color="auto"/>
        <w:right w:val="none" w:sz="0" w:space="0" w:color="auto"/>
      </w:divBdr>
    </w:div>
    <w:div w:id="1858959649">
      <w:bodyDiv w:val="1"/>
      <w:marLeft w:val="0"/>
      <w:marRight w:val="0"/>
      <w:marTop w:val="0"/>
      <w:marBottom w:val="0"/>
      <w:divBdr>
        <w:top w:val="none" w:sz="0" w:space="0" w:color="auto"/>
        <w:left w:val="none" w:sz="0" w:space="0" w:color="auto"/>
        <w:bottom w:val="none" w:sz="0" w:space="0" w:color="auto"/>
        <w:right w:val="none" w:sz="0" w:space="0" w:color="auto"/>
      </w:divBdr>
    </w:div>
    <w:div w:id="1858960334">
      <w:bodyDiv w:val="1"/>
      <w:marLeft w:val="0"/>
      <w:marRight w:val="0"/>
      <w:marTop w:val="0"/>
      <w:marBottom w:val="0"/>
      <w:divBdr>
        <w:top w:val="none" w:sz="0" w:space="0" w:color="auto"/>
        <w:left w:val="none" w:sz="0" w:space="0" w:color="auto"/>
        <w:bottom w:val="none" w:sz="0" w:space="0" w:color="auto"/>
        <w:right w:val="none" w:sz="0" w:space="0" w:color="auto"/>
      </w:divBdr>
    </w:div>
    <w:div w:id="1858998759">
      <w:bodyDiv w:val="1"/>
      <w:marLeft w:val="0"/>
      <w:marRight w:val="0"/>
      <w:marTop w:val="0"/>
      <w:marBottom w:val="0"/>
      <w:divBdr>
        <w:top w:val="none" w:sz="0" w:space="0" w:color="auto"/>
        <w:left w:val="none" w:sz="0" w:space="0" w:color="auto"/>
        <w:bottom w:val="none" w:sz="0" w:space="0" w:color="auto"/>
        <w:right w:val="none" w:sz="0" w:space="0" w:color="auto"/>
      </w:divBdr>
    </w:div>
    <w:div w:id="1859002215">
      <w:bodyDiv w:val="1"/>
      <w:marLeft w:val="0"/>
      <w:marRight w:val="0"/>
      <w:marTop w:val="0"/>
      <w:marBottom w:val="0"/>
      <w:divBdr>
        <w:top w:val="none" w:sz="0" w:space="0" w:color="auto"/>
        <w:left w:val="none" w:sz="0" w:space="0" w:color="auto"/>
        <w:bottom w:val="none" w:sz="0" w:space="0" w:color="auto"/>
        <w:right w:val="none" w:sz="0" w:space="0" w:color="auto"/>
      </w:divBdr>
    </w:div>
    <w:div w:id="1859074362">
      <w:bodyDiv w:val="1"/>
      <w:marLeft w:val="0"/>
      <w:marRight w:val="0"/>
      <w:marTop w:val="0"/>
      <w:marBottom w:val="0"/>
      <w:divBdr>
        <w:top w:val="none" w:sz="0" w:space="0" w:color="auto"/>
        <w:left w:val="none" w:sz="0" w:space="0" w:color="auto"/>
        <w:bottom w:val="none" w:sz="0" w:space="0" w:color="auto"/>
        <w:right w:val="none" w:sz="0" w:space="0" w:color="auto"/>
      </w:divBdr>
    </w:div>
    <w:div w:id="1859080677">
      <w:bodyDiv w:val="1"/>
      <w:marLeft w:val="0"/>
      <w:marRight w:val="0"/>
      <w:marTop w:val="0"/>
      <w:marBottom w:val="0"/>
      <w:divBdr>
        <w:top w:val="none" w:sz="0" w:space="0" w:color="auto"/>
        <w:left w:val="none" w:sz="0" w:space="0" w:color="auto"/>
        <w:bottom w:val="none" w:sz="0" w:space="0" w:color="auto"/>
        <w:right w:val="none" w:sz="0" w:space="0" w:color="auto"/>
      </w:divBdr>
    </w:div>
    <w:div w:id="1859081891">
      <w:bodyDiv w:val="1"/>
      <w:marLeft w:val="0"/>
      <w:marRight w:val="0"/>
      <w:marTop w:val="0"/>
      <w:marBottom w:val="0"/>
      <w:divBdr>
        <w:top w:val="none" w:sz="0" w:space="0" w:color="auto"/>
        <w:left w:val="none" w:sz="0" w:space="0" w:color="auto"/>
        <w:bottom w:val="none" w:sz="0" w:space="0" w:color="auto"/>
        <w:right w:val="none" w:sz="0" w:space="0" w:color="auto"/>
      </w:divBdr>
    </w:div>
    <w:div w:id="1859196939">
      <w:bodyDiv w:val="1"/>
      <w:marLeft w:val="0"/>
      <w:marRight w:val="0"/>
      <w:marTop w:val="0"/>
      <w:marBottom w:val="0"/>
      <w:divBdr>
        <w:top w:val="none" w:sz="0" w:space="0" w:color="auto"/>
        <w:left w:val="none" w:sz="0" w:space="0" w:color="auto"/>
        <w:bottom w:val="none" w:sz="0" w:space="0" w:color="auto"/>
        <w:right w:val="none" w:sz="0" w:space="0" w:color="auto"/>
      </w:divBdr>
    </w:div>
    <w:div w:id="1859198264">
      <w:bodyDiv w:val="1"/>
      <w:marLeft w:val="0"/>
      <w:marRight w:val="0"/>
      <w:marTop w:val="0"/>
      <w:marBottom w:val="0"/>
      <w:divBdr>
        <w:top w:val="none" w:sz="0" w:space="0" w:color="auto"/>
        <w:left w:val="none" w:sz="0" w:space="0" w:color="auto"/>
        <w:bottom w:val="none" w:sz="0" w:space="0" w:color="auto"/>
        <w:right w:val="none" w:sz="0" w:space="0" w:color="auto"/>
      </w:divBdr>
    </w:div>
    <w:div w:id="1859344194">
      <w:bodyDiv w:val="1"/>
      <w:marLeft w:val="0"/>
      <w:marRight w:val="0"/>
      <w:marTop w:val="0"/>
      <w:marBottom w:val="0"/>
      <w:divBdr>
        <w:top w:val="none" w:sz="0" w:space="0" w:color="auto"/>
        <w:left w:val="none" w:sz="0" w:space="0" w:color="auto"/>
        <w:bottom w:val="none" w:sz="0" w:space="0" w:color="auto"/>
        <w:right w:val="none" w:sz="0" w:space="0" w:color="auto"/>
      </w:divBdr>
    </w:div>
    <w:div w:id="1859388471">
      <w:bodyDiv w:val="1"/>
      <w:marLeft w:val="0"/>
      <w:marRight w:val="0"/>
      <w:marTop w:val="0"/>
      <w:marBottom w:val="0"/>
      <w:divBdr>
        <w:top w:val="none" w:sz="0" w:space="0" w:color="auto"/>
        <w:left w:val="none" w:sz="0" w:space="0" w:color="auto"/>
        <w:bottom w:val="none" w:sz="0" w:space="0" w:color="auto"/>
        <w:right w:val="none" w:sz="0" w:space="0" w:color="auto"/>
      </w:divBdr>
    </w:div>
    <w:div w:id="1859541420">
      <w:bodyDiv w:val="1"/>
      <w:marLeft w:val="0"/>
      <w:marRight w:val="0"/>
      <w:marTop w:val="0"/>
      <w:marBottom w:val="0"/>
      <w:divBdr>
        <w:top w:val="none" w:sz="0" w:space="0" w:color="auto"/>
        <w:left w:val="none" w:sz="0" w:space="0" w:color="auto"/>
        <w:bottom w:val="none" w:sz="0" w:space="0" w:color="auto"/>
        <w:right w:val="none" w:sz="0" w:space="0" w:color="auto"/>
      </w:divBdr>
    </w:div>
    <w:div w:id="1859656375">
      <w:bodyDiv w:val="1"/>
      <w:marLeft w:val="0"/>
      <w:marRight w:val="0"/>
      <w:marTop w:val="0"/>
      <w:marBottom w:val="0"/>
      <w:divBdr>
        <w:top w:val="none" w:sz="0" w:space="0" w:color="auto"/>
        <w:left w:val="none" w:sz="0" w:space="0" w:color="auto"/>
        <w:bottom w:val="none" w:sz="0" w:space="0" w:color="auto"/>
        <w:right w:val="none" w:sz="0" w:space="0" w:color="auto"/>
      </w:divBdr>
    </w:div>
    <w:div w:id="1859658192">
      <w:bodyDiv w:val="1"/>
      <w:marLeft w:val="0"/>
      <w:marRight w:val="0"/>
      <w:marTop w:val="0"/>
      <w:marBottom w:val="0"/>
      <w:divBdr>
        <w:top w:val="none" w:sz="0" w:space="0" w:color="auto"/>
        <w:left w:val="none" w:sz="0" w:space="0" w:color="auto"/>
        <w:bottom w:val="none" w:sz="0" w:space="0" w:color="auto"/>
        <w:right w:val="none" w:sz="0" w:space="0" w:color="auto"/>
      </w:divBdr>
    </w:div>
    <w:div w:id="1859663582">
      <w:bodyDiv w:val="1"/>
      <w:marLeft w:val="0"/>
      <w:marRight w:val="0"/>
      <w:marTop w:val="0"/>
      <w:marBottom w:val="0"/>
      <w:divBdr>
        <w:top w:val="none" w:sz="0" w:space="0" w:color="auto"/>
        <w:left w:val="none" w:sz="0" w:space="0" w:color="auto"/>
        <w:bottom w:val="none" w:sz="0" w:space="0" w:color="auto"/>
        <w:right w:val="none" w:sz="0" w:space="0" w:color="auto"/>
      </w:divBdr>
    </w:div>
    <w:div w:id="1859926802">
      <w:bodyDiv w:val="1"/>
      <w:marLeft w:val="0"/>
      <w:marRight w:val="0"/>
      <w:marTop w:val="0"/>
      <w:marBottom w:val="0"/>
      <w:divBdr>
        <w:top w:val="none" w:sz="0" w:space="0" w:color="auto"/>
        <w:left w:val="none" w:sz="0" w:space="0" w:color="auto"/>
        <w:bottom w:val="none" w:sz="0" w:space="0" w:color="auto"/>
        <w:right w:val="none" w:sz="0" w:space="0" w:color="auto"/>
      </w:divBdr>
    </w:div>
    <w:div w:id="1859928606">
      <w:bodyDiv w:val="1"/>
      <w:marLeft w:val="0"/>
      <w:marRight w:val="0"/>
      <w:marTop w:val="0"/>
      <w:marBottom w:val="0"/>
      <w:divBdr>
        <w:top w:val="none" w:sz="0" w:space="0" w:color="auto"/>
        <w:left w:val="none" w:sz="0" w:space="0" w:color="auto"/>
        <w:bottom w:val="none" w:sz="0" w:space="0" w:color="auto"/>
        <w:right w:val="none" w:sz="0" w:space="0" w:color="auto"/>
      </w:divBdr>
    </w:div>
    <w:div w:id="1860003259">
      <w:bodyDiv w:val="1"/>
      <w:marLeft w:val="0"/>
      <w:marRight w:val="0"/>
      <w:marTop w:val="0"/>
      <w:marBottom w:val="0"/>
      <w:divBdr>
        <w:top w:val="none" w:sz="0" w:space="0" w:color="auto"/>
        <w:left w:val="none" w:sz="0" w:space="0" w:color="auto"/>
        <w:bottom w:val="none" w:sz="0" w:space="0" w:color="auto"/>
        <w:right w:val="none" w:sz="0" w:space="0" w:color="auto"/>
      </w:divBdr>
    </w:div>
    <w:div w:id="1860117422">
      <w:bodyDiv w:val="1"/>
      <w:marLeft w:val="0"/>
      <w:marRight w:val="0"/>
      <w:marTop w:val="0"/>
      <w:marBottom w:val="0"/>
      <w:divBdr>
        <w:top w:val="none" w:sz="0" w:space="0" w:color="auto"/>
        <w:left w:val="none" w:sz="0" w:space="0" w:color="auto"/>
        <w:bottom w:val="none" w:sz="0" w:space="0" w:color="auto"/>
        <w:right w:val="none" w:sz="0" w:space="0" w:color="auto"/>
      </w:divBdr>
    </w:div>
    <w:div w:id="1860119642">
      <w:bodyDiv w:val="1"/>
      <w:marLeft w:val="0"/>
      <w:marRight w:val="0"/>
      <w:marTop w:val="0"/>
      <w:marBottom w:val="0"/>
      <w:divBdr>
        <w:top w:val="none" w:sz="0" w:space="0" w:color="auto"/>
        <w:left w:val="none" w:sz="0" w:space="0" w:color="auto"/>
        <w:bottom w:val="none" w:sz="0" w:space="0" w:color="auto"/>
        <w:right w:val="none" w:sz="0" w:space="0" w:color="auto"/>
      </w:divBdr>
    </w:div>
    <w:div w:id="1860314734">
      <w:bodyDiv w:val="1"/>
      <w:marLeft w:val="0"/>
      <w:marRight w:val="0"/>
      <w:marTop w:val="0"/>
      <w:marBottom w:val="0"/>
      <w:divBdr>
        <w:top w:val="none" w:sz="0" w:space="0" w:color="auto"/>
        <w:left w:val="none" w:sz="0" w:space="0" w:color="auto"/>
        <w:bottom w:val="none" w:sz="0" w:space="0" w:color="auto"/>
        <w:right w:val="none" w:sz="0" w:space="0" w:color="auto"/>
      </w:divBdr>
    </w:div>
    <w:div w:id="1860460710">
      <w:bodyDiv w:val="1"/>
      <w:marLeft w:val="0"/>
      <w:marRight w:val="0"/>
      <w:marTop w:val="0"/>
      <w:marBottom w:val="0"/>
      <w:divBdr>
        <w:top w:val="none" w:sz="0" w:space="0" w:color="auto"/>
        <w:left w:val="none" w:sz="0" w:space="0" w:color="auto"/>
        <w:bottom w:val="none" w:sz="0" w:space="0" w:color="auto"/>
        <w:right w:val="none" w:sz="0" w:space="0" w:color="auto"/>
      </w:divBdr>
    </w:div>
    <w:div w:id="1860466057">
      <w:bodyDiv w:val="1"/>
      <w:marLeft w:val="0"/>
      <w:marRight w:val="0"/>
      <w:marTop w:val="0"/>
      <w:marBottom w:val="0"/>
      <w:divBdr>
        <w:top w:val="none" w:sz="0" w:space="0" w:color="auto"/>
        <w:left w:val="none" w:sz="0" w:space="0" w:color="auto"/>
        <w:bottom w:val="none" w:sz="0" w:space="0" w:color="auto"/>
        <w:right w:val="none" w:sz="0" w:space="0" w:color="auto"/>
      </w:divBdr>
    </w:div>
    <w:div w:id="1860653313">
      <w:bodyDiv w:val="1"/>
      <w:marLeft w:val="0"/>
      <w:marRight w:val="0"/>
      <w:marTop w:val="0"/>
      <w:marBottom w:val="0"/>
      <w:divBdr>
        <w:top w:val="none" w:sz="0" w:space="0" w:color="auto"/>
        <w:left w:val="none" w:sz="0" w:space="0" w:color="auto"/>
        <w:bottom w:val="none" w:sz="0" w:space="0" w:color="auto"/>
        <w:right w:val="none" w:sz="0" w:space="0" w:color="auto"/>
      </w:divBdr>
    </w:div>
    <w:div w:id="1860703198">
      <w:bodyDiv w:val="1"/>
      <w:marLeft w:val="0"/>
      <w:marRight w:val="0"/>
      <w:marTop w:val="0"/>
      <w:marBottom w:val="0"/>
      <w:divBdr>
        <w:top w:val="none" w:sz="0" w:space="0" w:color="auto"/>
        <w:left w:val="none" w:sz="0" w:space="0" w:color="auto"/>
        <w:bottom w:val="none" w:sz="0" w:space="0" w:color="auto"/>
        <w:right w:val="none" w:sz="0" w:space="0" w:color="auto"/>
      </w:divBdr>
    </w:div>
    <w:div w:id="1860896212">
      <w:bodyDiv w:val="1"/>
      <w:marLeft w:val="0"/>
      <w:marRight w:val="0"/>
      <w:marTop w:val="0"/>
      <w:marBottom w:val="0"/>
      <w:divBdr>
        <w:top w:val="none" w:sz="0" w:space="0" w:color="auto"/>
        <w:left w:val="none" w:sz="0" w:space="0" w:color="auto"/>
        <w:bottom w:val="none" w:sz="0" w:space="0" w:color="auto"/>
        <w:right w:val="none" w:sz="0" w:space="0" w:color="auto"/>
      </w:divBdr>
    </w:div>
    <w:div w:id="1861044826">
      <w:bodyDiv w:val="1"/>
      <w:marLeft w:val="0"/>
      <w:marRight w:val="0"/>
      <w:marTop w:val="0"/>
      <w:marBottom w:val="0"/>
      <w:divBdr>
        <w:top w:val="none" w:sz="0" w:space="0" w:color="auto"/>
        <w:left w:val="none" w:sz="0" w:space="0" w:color="auto"/>
        <w:bottom w:val="none" w:sz="0" w:space="0" w:color="auto"/>
        <w:right w:val="none" w:sz="0" w:space="0" w:color="auto"/>
      </w:divBdr>
    </w:div>
    <w:div w:id="1861115528">
      <w:bodyDiv w:val="1"/>
      <w:marLeft w:val="0"/>
      <w:marRight w:val="0"/>
      <w:marTop w:val="0"/>
      <w:marBottom w:val="0"/>
      <w:divBdr>
        <w:top w:val="none" w:sz="0" w:space="0" w:color="auto"/>
        <w:left w:val="none" w:sz="0" w:space="0" w:color="auto"/>
        <w:bottom w:val="none" w:sz="0" w:space="0" w:color="auto"/>
        <w:right w:val="none" w:sz="0" w:space="0" w:color="auto"/>
      </w:divBdr>
    </w:div>
    <w:div w:id="1861236638">
      <w:bodyDiv w:val="1"/>
      <w:marLeft w:val="0"/>
      <w:marRight w:val="0"/>
      <w:marTop w:val="0"/>
      <w:marBottom w:val="0"/>
      <w:divBdr>
        <w:top w:val="none" w:sz="0" w:space="0" w:color="auto"/>
        <w:left w:val="none" w:sz="0" w:space="0" w:color="auto"/>
        <w:bottom w:val="none" w:sz="0" w:space="0" w:color="auto"/>
        <w:right w:val="none" w:sz="0" w:space="0" w:color="auto"/>
      </w:divBdr>
    </w:div>
    <w:div w:id="1861314217">
      <w:bodyDiv w:val="1"/>
      <w:marLeft w:val="0"/>
      <w:marRight w:val="0"/>
      <w:marTop w:val="0"/>
      <w:marBottom w:val="0"/>
      <w:divBdr>
        <w:top w:val="none" w:sz="0" w:space="0" w:color="auto"/>
        <w:left w:val="none" w:sz="0" w:space="0" w:color="auto"/>
        <w:bottom w:val="none" w:sz="0" w:space="0" w:color="auto"/>
        <w:right w:val="none" w:sz="0" w:space="0" w:color="auto"/>
      </w:divBdr>
    </w:div>
    <w:div w:id="1861359643">
      <w:bodyDiv w:val="1"/>
      <w:marLeft w:val="0"/>
      <w:marRight w:val="0"/>
      <w:marTop w:val="0"/>
      <w:marBottom w:val="0"/>
      <w:divBdr>
        <w:top w:val="none" w:sz="0" w:space="0" w:color="auto"/>
        <w:left w:val="none" w:sz="0" w:space="0" w:color="auto"/>
        <w:bottom w:val="none" w:sz="0" w:space="0" w:color="auto"/>
        <w:right w:val="none" w:sz="0" w:space="0" w:color="auto"/>
      </w:divBdr>
    </w:div>
    <w:div w:id="1861432066">
      <w:bodyDiv w:val="1"/>
      <w:marLeft w:val="0"/>
      <w:marRight w:val="0"/>
      <w:marTop w:val="0"/>
      <w:marBottom w:val="0"/>
      <w:divBdr>
        <w:top w:val="none" w:sz="0" w:space="0" w:color="auto"/>
        <w:left w:val="none" w:sz="0" w:space="0" w:color="auto"/>
        <w:bottom w:val="none" w:sz="0" w:space="0" w:color="auto"/>
        <w:right w:val="none" w:sz="0" w:space="0" w:color="auto"/>
      </w:divBdr>
    </w:div>
    <w:div w:id="1861581751">
      <w:bodyDiv w:val="1"/>
      <w:marLeft w:val="0"/>
      <w:marRight w:val="0"/>
      <w:marTop w:val="0"/>
      <w:marBottom w:val="0"/>
      <w:divBdr>
        <w:top w:val="none" w:sz="0" w:space="0" w:color="auto"/>
        <w:left w:val="none" w:sz="0" w:space="0" w:color="auto"/>
        <w:bottom w:val="none" w:sz="0" w:space="0" w:color="auto"/>
        <w:right w:val="none" w:sz="0" w:space="0" w:color="auto"/>
      </w:divBdr>
    </w:div>
    <w:div w:id="1861700394">
      <w:bodyDiv w:val="1"/>
      <w:marLeft w:val="0"/>
      <w:marRight w:val="0"/>
      <w:marTop w:val="0"/>
      <w:marBottom w:val="0"/>
      <w:divBdr>
        <w:top w:val="none" w:sz="0" w:space="0" w:color="auto"/>
        <w:left w:val="none" w:sz="0" w:space="0" w:color="auto"/>
        <w:bottom w:val="none" w:sz="0" w:space="0" w:color="auto"/>
        <w:right w:val="none" w:sz="0" w:space="0" w:color="auto"/>
      </w:divBdr>
    </w:div>
    <w:div w:id="1861703413">
      <w:bodyDiv w:val="1"/>
      <w:marLeft w:val="0"/>
      <w:marRight w:val="0"/>
      <w:marTop w:val="0"/>
      <w:marBottom w:val="0"/>
      <w:divBdr>
        <w:top w:val="none" w:sz="0" w:space="0" w:color="auto"/>
        <w:left w:val="none" w:sz="0" w:space="0" w:color="auto"/>
        <w:bottom w:val="none" w:sz="0" w:space="0" w:color="auto"/>
        <w:right w:val="none" w:sz="0" w:space="0" w:color="auto"/>
      </w:divBdr>
    </w:div>
    <w:div w:id="1861778791">
      <w:bodyDiv w:val="1"/>
      <w:marLeft w:val="0"/>
      <w:marRight w:val="0"/>
      <w:marTop w:val="0"/>
      <w:marBottom w:val="0"/>
      <w:divBdr>
        <w:top w:val="none" w:sz="0" w:space="0" w:color="auto"/>
        <w:left w:val="none" w:sz="0" w:space="0" w:color="auto"/>
        <w:bottom w:val="none" w:sz="0" w:space="0" w:color="auto"/>
        <w:right w:val="none" w:sz="0" w:space="0" w:color="auto"/>
      </w:divBdr>
    </w:div>
    <w:div w:id="1862009391">
      <w:bodyDiv w:val="1"/>
      <w:marLeft w:val="0"/>
      <w:marRight w:val="0"/>
      <w:marTop w:val="0"/>
      <w:marBottom w:val="0"/>
      <w:divBdr>
        <w:top w:val="none" w:sz="0" w:space="0" w:color="auto"/>
        <w:left w:val="none" w:sz="0" w:space="0" w:color="auto"/>
        <w:bottom w:val="none" w:sz="0" w:space="0" w:color="auto"/>
        <w:right w:val="none" w:sz="0" w:space="0" w:color="auto"/>
      </w:divBdr>
    </w:div>
    <w:div w:id="1862015320">
      <w:bodyDiv w:val="1"/>
      <w:marLeft w:val="0"/>
      <w:marRight w:val="0"/>
      <w:marTop w:val="0"/>
      <w:marBottom w:val="0"/>
      <w:divBdr>
        <w:top w:val="none" w:sz="0" w:space="0" w:color="auto"/>
        <w:left w:val="none" w:sz="0" w:space="0" w:color="auto"/>
        <w:bottom w:val="none" w:sz="0" w:space="0" w:color="auto"/>
        <w:right w:val="none" w:sz="0" w:space="0" w:color="auto"/>
      </w:divBdr>
    </w:div>
    <w:div w:id="1862350372">
      <w:bodyDiv w:val="1"/>
      <w:marLeft w:val="0"/>
      <w:marRight w:val="0"/>
      <w:marTop w:val="0"/>
      <w:marBottom w:val="0"/>
      <w:divBdr>
        <w:top w:val="none" w:sz="0" w:space="0" w:color="auto"/>
        <w:left w:val="none" w:sz="0" w:space="0" w:color="auto"/>
        <w:bottom w:val="none" w:sz="0" w:space="0" w:color="auto"/>
        <w:right w:val="none" w:sz="0" w:space="0" w:color="auto"/>
      </w:divBdr>
    </w:div>
    <w:div w:id="1862357209">
      <w:bodyDiv w:val="1"/>
      <w:marLeft w:val="0"/>
      <w:marRight w:val="0"/>
      <w:marTop w:val="0"/>
      <w:marBottom w:val="0"/>
      <w:divBdr>
        <w:top w:val="none" w:sz="0" w:space="0" w:color="auto"/>
        <w:left w:val="none" w:sz="0" w:space="0" w:color="auto"/>
        <w:bottom w:val="none" w:sz="0" w:space="0" w:color="auto"/>
        <w:right w:val="none" w:sz="0" w:space="0" w:color="auto"/>
      </w:divBdr>
    </w:div>
    <w:div w:id="1862474029">
      <w:bodyDiv w:val="1"/>
      <w:marLeft w:val="0"/>
      <w:marRight w:val="0"/>
      <w:marTop w:val="0"/>
      <w:marBottom w:val="0"/>
      <w:divBdr>
        <w:top w:val="none" w:sz="0" w:space="0" w:color="auto"/>
        <w:left w:val="none" w:sz="0" w:space="0" w:color="auto"/>
        <w:bottom w:val="none" w:sz="0" w:space="0" w:color="auto"/>
        <w:right w:val="none" w:sz="0" w:space="0" w:color="auto"/>
      </w:divBdr>
    </w:div>
    <w:div w:id="1862549991">
      <w:bodyDiv w:val="1"/>
      <w:marLeft w:val="0"/>
      <w:marRight w:val="0"/>
      <w:marTop w:val="0"/>
      <w:marBottom w:val="0"/>
      <w:divBdr>
        <w:top w:val="none" w:sz="0" w:space="0" w:color="auto"/>
        <w:left w:val="none" w:sz="0" w:space="0" w:color="auto"/>
        <w:bottom w:val="none" w:sz="0" w:space="0" w:color="auto"/>
        <w:right w:val="none" w:sz="0" w:space="0" w:color="auto"/>
      </w:divBdr>
    </w:div>
    <w:div w:id="1862668201">
      <w:bodyDiv w:val="1"/>
      <w:marLeft w:val="0"/>
      <w:marRight w:val="0"/>
      <w:marTop w:val="0"/>
      <w:marBottom w:val="0"/>
      <w:divBdr>
        <w:top w:val="none" w:sz="0" w:space="0" w:color="auto"/>
        <w:left w:val="none" w:sz="0" w:space="0" w:color="auto"/>
        <w:bottom w:val="none" w:sz="0" w:space="0" w:color="auto"/>
        <w:right w:val="none" w:sz="0" w:space="0" w:color="auto"/>
      </w:divBdr>
    </w:div>
    <w:div w:id="1862893052">
      <w:bodyDiv w:val="1"/>
      <w:marLeft w:val="0"/>
      <w:marRight w:val="0"/>
      <w:marTop w:val="0"/>
      <w:marBottom w:val="0"/>
      <w:divBdr>
        <w:top w:val="none" w:sz="0" w:space="0" w:color="auto"/>
        <w:left w:val="none" w:sz="0" w:space="0" w:color="auto"/>
        <w:bottom w:val="none" w:sz="0" w:space="0" w:color="auto"/>
        <w:right w:val="none" w:sz="0" w:space="0" w:color="auto"/>
      </w:divBdr>
    </w:div>
    <w:div w:id="1863006376">
      <w:bodyDiv w:val="1"/>
      <w:marLeft w:val="0"/>
      <w:marRight w:val="0"/>
      <w:marTop w:val="0"/>
      <w:marBottom w:val="0"/>
      <w:divBdr>
        <w:top w:val="none" w:sz="0" w:space="0" w:color="auto"/>
        <w:left w:val="none" w:sz="0" w:space="0" w:color="auto"/>
        <w:bottom w:val="none" w:sz="0" w:space="0" w:color="auto"/>
        <w:right w:val="none" w:sz="0" w:space="0" w:color="auto"/>
      </w:divBdr>
    </w:div>
    <w:div w:id="1863087939">
      <w:bodyDiv w:val="1"/>
      <w:marLeft w:val="0"/>
      <w:marRight w:val="0"/>
      <w:marTop w:val="0"/>
      <w:marBottom w:val="0"/>
      <w:divBdr>
        <w:top w:val="none" w:sz="0" w:space="0" w:color="auto"/>
        <w:left w:val="none" w:sz="0" w:space="0" w:color="auto"/>
        <w:bottom w:val="none" w:sz="0" w:space="0" w:color="auto"/>
        <w:right w:val="none" w:sz="0" w:space="0" w:color="auto"/>
      </w:divBdr>
    </w:div>
    <w:div w:id="1863202760">
      <w:bodyDiv w:val="1"/>
      <w:marLeft w:val="0"/>
      <w:marRight w:val="0"/>
      <w:marTop w:val="0"/>
      <w:marBottom w:val="0"/>
      <w:divBdr>
        <w:top w:val="none" w:sz="0" w:space="0" w:color="auto"/>
        <w:left w:val="none" w:sz="0" w:space="0" w:color="auto"/>
        <w:bottom w:val="none" w:sz="0" w:space="0" w:color="auto"/>
        <w:right w:val="none" w:sz="0" w:space="0" w:color="auto"/>
      </w:divBdr>
    </w:div>
    <w:div w:id="1863203730">
      <w:bodyDiv w:val="1"/>
      <w:marLeft w:val="0"/>
      <w:marRight w:val="0"/>
      <w:marTop w:val="0"/>
      <w:marBottom w:val="0"/>
      <w:divBdr>
        <w:top w:val="none" w:sz="0" w:space="0" w:color="auto"/>
        <w:left w:val="none" w:sz="0" w:space="0" w:color="auto"/>
        <w:bottom w:val="none" w:sz="0" w:space="0" w:color="auto"/>
        <w:right w:val="none" w:sz="0" w:space="0" w:color="auto"/>
      </w:divBdr>
    </w:div>
    <w:div w:id="1863205271">
      <w:bodyDiv w:val="1"/>
      <w:marLeft w:val="0"/>
      <w:marRight w:val="0"/>
      <w:marTop w:val="0"/>
      <w:marBottom w:val="0"/>
      <w:divBdr>
        <w:top w:val="none" w:sz="0" w:space="0" w:color="auto"/>
        <w:left w:val="none" w:sz="0" w:space="0" w:color="auto"/>
        <w:bottom w:val="none" w:sz="0" w:space="0" w:color="auto"/>
        <w:right w:val="none" w:sz="0" w:space="0" w:color="auto"/>
      </w:divBdr>
    </w:div>
    <w:div w:id="1863350538">
      <w:bodyDiv w:val="1"/>
      <w:marLeft w:val="0"/>
      <w:marRight w:val="0"/>
      <w:marTop w:val="0"/>
      <w:marBottom w:val="0"/>
      <w:divBdr>
        <w:top w:val="none" w:sz="0" w:space="0" w:color="auto"/>
        <w:left w:val="none" w:sz="0" w:space="0" w:color="auto"/>
        <w:bottom w:val="none" w:sz="0" w:space="0" w:color="auto"/>
        <w:right w:val="none" w:sz="0" w:space="0" w:color="auto"/>
      </w:divBdr>
    </w:div>
    <w:div w:id="1863395357">
      <w:bodyDiv w:val="1"/>
      <w:marLeft w:val="0"/>
      <w:marRight w:val="0"/>
      <w:marTop w:val="0"/>
      <w:marBottom w:val="0"/>
      <w:divBdr>
        <w:top w:val="none" w:sz="0" w:space="0" w:color="auto"/>
        <w:left w:val="none" w:sz="0" w:space="0" w:color="auto"/>
        <w:bottom w:val="none" w:sz="0" w:space="0" w:color="auto"/>
        <w:right w:val="none" w:sz="0" w:space="0" w:color="auto"/>
      </w:divBdr>
    </w:div>
    <w:div w:id="1863470964">
      <w:bodyDiv w:val="1"/>
      <w:marLeft w:val="0"/>
      <w:marRight w:val="0"/>
      <w:marTop w:val="0"/>
      <w:marBottom w:val="0"/>
      <w:divBdr>
        <w:top w:val="none" w:sz="0" w:space="0" w:color="auto"/>
        <w:left w:val="none" w:sz="0" w:space="0" w:color="auto"/>
        <w:bottom w:val="none" w:sz="0" w:space="0" w:color="auto"/>
        <w:right w:val="none" w:sz="0" w:space="0" w:color="auto"/>
      </w:divBdr>
    </w:div>
    <w:div w:id="1863593778">
      <w:bodyDiv w:val="1"/>
      <w:marLeft w:val="0"/>
      <w:marRight w:val="0"/>
      <w:marTop w:val="0"/>
      <w:marBottom w:val="0"/>
      <w:divBdr>
        <w:top w:val="none" w:sz="0" w:space="0" w:color="auto"/>
        <w:left w:val="none" w:sz="0" w:space="0" w:color="auto"/>
        <w:bottom w:val="none" w:sz="0" w:space="0" w:color="auto"/>
        <w:right w:val="none" w:sz="0" w:space="0" w:color="auto"/>
      </w:divBdr>
    </w:div>
    <w:div w:id="1863595250">
      <w:bodyDiv w:val="1"/>
      <w:marLeft w:val="0"/>
      <w:marRight w:val="0"/>
      <w:marTop w:val="0"/>
      <w:marBottom w:val="0"/>
      <w:divBdr>
        <w:top w:val="none" w:sz="0" w:space="0" w:color="auto"/>
        <w:left w:val="none" w:sz="0" w:space="0" w:color="auto"/>
        <w:bottom w:val="none" w:sz="0" w:space="0" w:color="auto"/>
        <w:right w:val="none" w:sz="0" w:space="0" w:color="auto"/>
      </w:divBdr>
    </w:div>
    <w:div w:id="1863740063">
      <w:bodyDiv w:val="1"/>
      <w:marLeft w:val="0"/>
      <w:marRight w:val="0"/>
      <w:marTop w:val="0"/>
      <w:marBottom w:val="0"/>
      <w:divBdr>
        <w:top w:val="none" w:sz="0" w:space="0" w:color="auto"/>
        <w:left w:val="none" w:sz="0" w:space="0" w:color="auto"/>
        <w:bottom w:val="none" w:sz="0" w:space="0" w:color="auto"/>
        <w:right w:val="none" w:sz="0" w:space="0" w:color="auto"/>
      </w:divBdr>
    </w:div>
    <w:div w:id="1863858801">
      <w:bodyDiv w:val="1"/>
      <w:marLeft w:val="0"/>
      <w:marRight w:val="0"/>
      <w:marTop w:val="0"/>
      <w:marBottom w:val="0"/>
      <w:divBdr>
        <w:top w:val="none" w:sz="0" w:space="0" w:color="auto"/>
        <w:left w:val="none" w:sz="0" w:space="0" w:color="auto"/>
        <w:bottom w:val="none" w:sz="0" w:space="0" w:color="auto"/>
        <w:right w:val="none" w:sz="0" w:space="0" w:color="auto"/>
      </w:divBdr>
    </w:div>
    <w:div w:id="1863933800">
      <w:bodyDiv w:val="1"/>
      <w:marLeft w:val="0"/>
      <w:marRight w:val="0"/>
      <w:marTop w:val="0"/>
      <w:marBottom w:val="0"/>
      <w:divBdr>
        <w:top w:val="none" w:sz="0" w:space="0" w:color="auto"/>
        <w:left w:val="none" w:sz="0" w:space="0" w:color="auto"/>
        <w:bottom w:val="none" w:sz="0" w:space="0" w:color="auto"/>
        <w:right w:val="none" w:sz="0" w:space="0" w:color="auto"/>
      </w:divBdr>
    </w:div>
    <w:div w:id="1864129381">
      <w:bodyDiv w:val="1"/>
      <w:marLeft w:val="0"/>
      <w:marRight w:val="0"/>
      <w:marTop w:val="0"/>
      <w:marBottom w:val="0"/>
      <w:divBdr>
        <w:top w:val="none" w:sz="0" w:space="0" w:color="auto"/>
        <w:left w:val="none" w:sz="0" w:space="0" w:color="auto"/>
        <w:bottom w:val="none" w:sz="0" w:space="0" w:color="auto"/>
        <w:right w:val="none" w:sz="0" w:space="0" w:color="auto"/>
      </w:divBdr>
    </w:div>
    <w:div w:id="1864247292">
      <w:bodyDiv w:val="1"/>
      <w:marLeft w:val="0"/>
      <w:marRight w:val="0"/>
      <w:marTop w:val="0"/>
      <w:marBottom w:val="0"/>
      <w:divBdr>
        <w:top w:val="none" w:sz="0" w:space="0" w:color="auto"/>
        <w:left w:val="none" w:sz="0" w:space="0" w:color="auto"/>
        <w:bottom w:val="none" w:sz="0" w:space="0" w:color="auto"/>
        <w:right w:val="none" w:sz="0" w:space="0" w:color="auto"/>
      </w:divBdr>
    </w:div>
    <w:div w:id="1864319265">
      <w:bodyDiv w:val="1"/>
      <w:marLeft w:val="0"/>
      <w:marRight w:val="0"/>
      <w:marTop w:val="0"/>
      <w:marBottom w:val="0"/>
      <w:divBdr>
        <w:top w:val="none" w:sz="0" w:space="0" w:color="auto"/>
        <w:left w:val="none" w:sz="0" w:space="0" w:color="auto"/>
        <w:bottom w:val="none" w:sz="0" w:space="0" w:color="auto"/>
        <w:right w:val="none" w:sz="0" w:space="0" w:color="auto"/>
      </w:divBdr>
    </w:div>
    <w:div w:id="1864321024">
      <w:bodyDiv w:val="1"/>
      <w:marLeft w:val="0"/>
      <w:marRight w:val="0"/>
      <w:marTop w:val="0"/>
      <w:marBottom w:val="0"/>
      <w:divBdr>
        <w:top w:val="none" w:sz="0" w:space="0" w:color="auto"/>
        <w:left w:val="none" w:sz="0" w:space="0" w:color="auto"/>
        <w:bottom w:val="none" w:sz="0" w:space="0" w:color="auto"/>
        <w:right w:val="none" w:sz="0" w:space="0" w:color="auto"/>
      </w:divBdr>
    </w:div>
    <w:div w:id="1864399356">
      <w:bodyDiv w:val="1"/>
      <w:marLeft w:val="0"/>
      <w:marRight w:val="0"/>
      <w:marTop w:val="0"/>
      <w:marBottom w:val="0"/>
      <w:divBdr>
        <w:top w:val="none" w:sz="0" w:space="0" w:color="auto"/>
        <w:left w:val="none" w:sz="0" w:space="0" w:color="auto"/>
        <w:bottom w:val="none" w:sz="0" w:space="0" w:color="auto"/>
        <w:right w:val="none" w:sz="0" w:space="0" w:color="auto"/>
      </w:divBdr>
    </w:div>
    <w:div w:id="1864434954">
      <w:bodyDiv w:val="1"/>
      <w:marLeft w:val="0"/>
      <w:marRight w:val="0"/>
      <w:marTop w:val="0"/>
      <w:marBottom w:val="0"/>
      <w:divBdr>
        <w:top w:val="none" w:sz="0" w:space="0" w:color="auto"/>
        <w:left w:val="none" w:sz="0" w:space="0" w:color="auto"/>
        <w:bottom w:val="none" w:sz="0" w:space="0" w:color="auto"/>
        <w:right w:val="none" w:sz="0" w:space="0" w:color="auto"/>
      </w:divBdr>
    </w:div>
    <w:div w:id="1864590570">
      <w:bodyDiv w:val="1"/>
      <w:marLeft w:val="0"/>
      <w:marRight w:val="0"/>
      <w:marTop w:val="0"/>
      <w:marBottom w:val="0"/>
      <w:divBdr>
        <w:top w:val="none" w:sz="0" w:space="0" w:color="auto"/>
        <w:left w:val="none" w:sz="0" w:space="0" w:color="auto"/>
        <w:bottom w:val="none" w:sz="0" w:space="0" w:color="auto"/>
        <w:right w:val="none" w:sz="0" w:space="0" w:color="auto"/>
      </w:divBdr>
    </w:div>
    <w:div w:id="1864779030">
      <w:bodyDiv w:val="1"/>
      <w:marLeft w:val="0"/>
      <w:marRight w:val="0"/>
      <w:marTop w:val="0"/>
      <w:marBottom w:val="0"/>
      <w:divBdr>
        <w:top w:val="none" w:sz="0" w:space="0" w:color="auto"/>
        <w:left w:val="none" w:sz="0" w:space="0" w:color="auto"/>
        <w:bottom w:val="none" w:sz="0" w:space="0" w:color="auto"/>
        <w:right w:val="none" w:sz="0" w:space="0" w:color="auto"/>
      </w:divBdr>
    </w:div>
    <w:div w:id="1864858462">
      <w:bodyDiv w:val="1"/>
      <w:marLeft w:val="0"/>
      <w:marRight w:val="0"/>
      <w:marTop w:val="0"/>
      <w:marBottom w:val="0"/>
      <w:divBdr>
        <w:top w:val="none" w:sz="0" w:space="0" w:color="auto"/>
        <w:left w:val="none" w:sz="0" w:space="0" w:color="auto"/>
        <w:bottom w:val="none" w:sz="0" w:space="0" w:color="auto"/>
        <w:right w:val="none" w:sz="0" w:space="0" w:color="auto"/>
      </w:divBdr>
    </w:div>
    <w:div w:id="1864898380">
      <w:bodyDiv w:val="1"/>
      <w:marLeft w:val="0"/>
      <w:marRight w:val="0"/>
      <w:marTop w:val="0"/>
      <w:marBottom w:val="0"/>
      <w:divBdr>
        <w:top w:val="none" w:sz="0" w:space="0" w:color="auto"/>
        <w:left w:val="none" w:sz="0" w:space="0" w:color="auto"/>
        <w:bottom w:val="none" w:sz="0" w:space="0" w:color="auto"/>
        <w:right w:val="none" w:sz="0" w:space="0" w:color="auto"/>
      </w:divBdr>
    </w:div>
    <w:div w:id="1865049849">
      <w:bodyDiv w:val="1"/>
      <w:marLeft w:val="0"/>
      <w:marRight w:val="0"/>
      <w:marTop w:val="0"/>
      <w:marBottom w:val="0"/>
      <w:divBdr>
        <w:top w:val="none" w:sz="0" w:space="0" w:color="auto"/>
        <w:left w:val="none" w:sz="0" w:space="0" w:color="auto"/>
        <w:bottom w:val="none" w:sz="0" w:space="0" w:color="auto"/>
        <w:right w:val="none" w:sz="0" w:space="0" w:color="auto"/>
      </w:divBdr>
    </w:div>
    <w:div w:id="1865053595">
      <w:bodyDiv w:val="1"/>
      <w:marLeft w:val="0"/>
      <w:marRight w:val="0"/>
      <w:marTop w:val="0"/>
      <w:marBottom w:val="0"/>
      <w:divBdr>
        <w:top w:val="none" w:sz="0" w:space="0" w:color="auto"/>
        <w:left w:val="none" w:sz="0" w:space="0" w:color="auto"/>
        <w:bottom w:val="none" w:sz="0" w:space="0" w:color="auto"/>
        <w:right w:val="none" w:sz="0" w:space="0" w:color="auto"/>
      </w:divBdr>
    </w:div>
    <w:div w:id="1865092202">
      <w:bodyDiv w:val="1"/>
      <w:marLeft w:val="0"/>
      <w:marRight w:val="0"/>
      <w:marTop w:val="0"/>
      <w:marBottom w:val="0"/>
      <w:divBdr>
        <w:top w:val="none" w:sz="0" w:space="0" w:color="auto"/>
        <w:left w:val="none" w:sz="0" w:space="0" w:color="auto"/>
        <w:bottom w:val="none" w:sz="0" w:space="0" w:color="auto"/>
        <w:right w:val="none" w:sz="0" w:space="0" w:color="auto"/>
      </w:divBdr>
    </w:div>
    <w:div w:id="1865093990">
      <w:bodyDiv w:val="1"/>
      <w:marLeft w:val="0"/>
      <w:marRight w:val="0"/>
      <w:marTop w:val="0"/>
      <w:marBottom w:val="0"/>
      <w:divBdr>
        <w:top w:val="none" w:sz="0" w:space="0" w:color="auto"/>
        <w:left w:val="none" w:sz="0" w:space="0" w:color="auto"/>
        <w:bottom w:val="none" w:sz="0" w:space="0" w:color="auto"/>
        <w:right w:val="none" w:sz="0" w:space="0" w:color="auto"/>
      </w:divBdr>
    </w:div>
    <w:div w:id="1865094088">
      <w:bodyDiv w:val="1"/>
      <w:marLeft w:val="0"/>
      <w:marRight w:val="0"/>
      <w:marTop w:val="0"/>
      <w:marBottom w:val="0"/>
      <w:divBdr>
        <w:top w:val="none" w:sz="0" w:space="0" w:color="auto"/>
        <w:left w:val="none" w:sz="0" w:space="0" w:color="auto"/>
        <w:bottom w:val="none" w:sz="0" w:space="0" w:color="auto"/>
        <w:right w:val="none" w:sz="0" w:space="0" w:color="auto"/>
      </w:divBdr>
    </w:div>
    <w:div w:id="1865245444">
      <w:bodyDiv w:val="1"/>
      <w:marLeft w:val="0"/>
      <w:marRight w:val="0"/>
      <w:marTop w:val="0"/>
      <w:marBottom w:val="0"/>
      <w:divBdr>
        <w:top w:val="none" w:sz="0" w:space="0" w:color="auto"/>
        <w:left w:val="none" w:sz="0" w:space="0" w:color="auto"/>
        <w:bottom w:val="none" w:sz="0" w:space="0" w:color="auto"/>
        <w:right w:val="none" w:sz="0" w:space="0" w:color="auto"/>
      </w:divBdr>
    </w:div>
    <w:div w:id="1865288487">
      <w:bodyDiv w:val="1"/>
      <w:marLeft w:val="0"/>
      <w:marRight w:val="0"/>
      <w:marTop w:val="0"/>
      <w:marBottom w:val="0"/>
      <w:divBdr>
        <w:top w:val="none" w:sz="0" w:space="0" w:color="auto"/>
        <w:left w:val="none" w:sz="0" w:space="0" w:color="auto"/>
        <w:bottom w:val="none" w:sz="0" w:space="0" w:color="auto"/>
        <w:right w:val="none" w:sz="0" w:space="0" w:color="auto"/>
      </w:divBdr>
    </w:div>
    <w:div w:id="1865315875">
      <w:bodyDiv w:val="1"/>
      <w:marLeft w:val="0"/>
      <w:marRight w:val="0"/>
      <w:marTop w:val="0"/>
      <w:marBottom w:val="0"/>
      <w:divBdr>
        <w:top w:val="none" w:sz="0" w:space="0" w:color="auto"/>
        <w:left w:val="none" w:sz="0" w:space="0" w:color="auto"/>
        <w:bottom w:val="none" w:sz="0" w:space="0" w:color="auto"/>
        <w:right w:val="none" w:sz="0" w:space="0" w:color="auto"/>
      </w:divBdr>
    </w:div>
    <w:div w:id="1865316165">
      <w:bodyDiv w:val="1"/>
      <w:marLeft w:val="0"/>
      <w:marRight w:val="0"/>
      <w:marTop w:val="0"/>
      <w:marBottom w:val="0"/>
      <w:divBdr>
        <w:top w:val="none" w:sz="0" w:space="0" w:color="auto"/>
        <w:left w:val="none" w:sz="0" w:space="0" w:color="auto"/>
        <w:bottom w:val="none" w:sz="0" w:space="0" w:color="auto"/>
        <w:right w:val="none" w:sz="0" w:space="0" w:color="auto"/>
      </w:divBdr>
    </w:div>
    <w:div w:id="1865484083">
      <w:bodyDiv w:val="1"/>
      <w:marLeft w:val="0"/>
      <w:marRight w:val="0"/>
      <w:marTop w:val="0"/>
      <w:marBottom w:val="0"/>
      <w:divBdr>
        <w:top w:val="none" w:sz="0" w:space="0" w:color="auto"/>
        <w:left w:val="none" w:sz="0" w:space="0" w:color="auto"/>
        <w:bottom w:val="none" w:sz="0" w:space="0" w:color="auto"/>
        <w:right w:val="none" w:sz="0" w:space="0" w:color="auto"/>
      </w:divBdr>
    </w:div>
    <w:div w:id="1865510322">
      <w:bodyDiv w:val="1"/>
      <w:marLeft w:val="0"/>
      <w:marRight w:val="0"/>
      <w:marTop w:val="0"/>
      <w:marBottom w:val="0"/>
      <w:divBdr>
        <w:top w:val="none" w:sz="0" w:space="0" w:color="auto"/>
        <w:left w:val="none" w:sz="0" w:space="0" w:color="auto"/>
        <w:bottom w:val="none" w:sz="0" w:space="0" w:color="auto"/>
        <w:right w:val="none" w:sz="0" w:space="0" w:color="auto"/>
      </w:divBdr>
    </w:div>
    <w:div w:id="1865560469">
      <w:bodyDiv w:val="1"/>
      <w:marLeft w:val="0"/>
      <w:marRight w:val="0"/>
      <w:marTop w:val="0"/>
      <w:marBottom w:val="0"/>
      <w:divBdr>
        <w:top w:val="none" w:sz="0" w:space="0" w:color="auto"/>
        <w:left w:val="none" w:sz="0" w:space="0" w:color="auto"/>
        <w:bottom w:val="none" w:sz="0" w:space="0" w:color="auto"/>
        <w:right w:val="none" w:sz="0" w:space="0" w:color="auto"/>
      </w:divBdr>
    </w:div>
    <w:div w:id="1865630864">
      <w:bodyDiv w:val="1"/>
      <w:marLeft w:val="0"/>
      <w:marRight w:val="0"/>
      <w:marTop w:val="0"/>
      <w:marBottom w:val="0"/>
      <w:divBdr>
        <w:top w:val="none" w:sz="0" w:space="0" w:color="auto"/>
        <w:left w:val="none" w:sz="0" w:space="0" w:color="auto"/>
        <w:bottom w:val="none" w:sz="0" w:space="0" w:color="auto"/>
        <w:right w:val="none" w:sz="0" w:space="0" w:color="auto"/>
      </w:divBdr>
    </w:div>
    <w:div w:id="1865708524">
      <w:bodyDiv w:val="1"/>
      <w:marLeft w:val="0"/>
      <w:marRight w:val="0"/>
      <w:marTop w:val="0"/>
      <w:marBottom w:val="0"/>
      <w:divBdr>
        <w:top w:val="none" w:sz="0" w:space="0" w:color="auto"/>
        <w:left w:val="none" w:sz="0" w:space="0" w:color="auto"/>
        <w:bottom w:val="none" w:sz="0" w:space="0" w:color="auto"/>
        <w:right w:val="none" w:sz="0" w:space="0" w:color="auto"/>
      </w:divBdr>
    </w:div>
    <w:div w:id="1865823262">
      <w:bodyDiv w:val="1"/>
      <w:marLeft w:val="0"/>
      <w:marRight w:val="0"/>
      <w:marTop w:val="0"/>
      <w:marBottom w:val="0"/>
      <w:divBdr>
        <w:top w:val="none" w:sz="0" w:space="0" w:color="auto"/>
        <w:left w:val="none" w:sz="0" w:space="0" w:color="auto"/>
        <w:bottom w:val="none" w:sz="0" w:space="0" w:color="auto"/>
        <w:right w:val="none" w:sz="0" w:space="0" w:color="auto"/>
      </w:divBdr>
    </w:div>
    <w:div w:id="1865828609">
      <w:bodyDiv w:val="1"/>
      <w:marLeft w:val="0"/>
      <w:marRight w:val="0"/>
      <w:marTop w:val="0"/>
      <w:marBottom w:val="0"/>
      <w:divBdr>
        <w:top w:val="none" w:sz="0" w:space="0" w:color="auto"/>
        <w:left w:val="none" w:sz="0" w:space="0" w:color="auto"/>
        <w:bottom w:val="none" w:sz="0" w:space="0" w:color="auto"/>
        <w:right w:val="none" w:sz="0" w:space="0" w:color="auto"/>
      </w:divBdr>
    </w:div>
    <w:div w:id="1865898117">
      <w:bodyDiv w:val="1"/>
      <w:marLeft w:val="0"/>
      <w:marRight w:val="0"/>
      <w:marTop w:val="0"/>
      <w:marBottom w:val="0"/>
      <w:divBdr>
        <w:top w:val="none" w:sz="0" w:space="0" w:color="auto"/>
        <w:left w:val="none" w:sz="0" w:space="0" w:color="auto"/>
        <w:bottom w:val="none" w:sz="0" w:space="0" w:color="auto"/>
        <w:right w:val="none" w:sz="0" w:space="0" w:color="auto"/>
      </w:divBdr>
    </w:div>
    <w:div w:id="1865899436">
      <w:bodyDiv w:val="1"/>
      <w:marLeft w:val="0"/>
      <w:marRight w:val="0"/>
      <w:marTop w:val="0"/>
      <w:marBottom w:val="0"/>
      <w:divBdr>
        <w:top w:val="none" w:sz="0" w:space="0" w:color="auto"/>
        <w:left w:val="none" w:sz="0" w:space="0" w:color="auto"/>
        <w:bottom w:val="none" w:sz="0" w:space="0" w:color="auto"/>
        <w:right w:val="none" w:sz="0" w:space="0" w:color="auto"/>
      </w:divBdr>
    </w:div>
    <w:div w:id="1865901497">
      <w:bodyDiv w:val="1"/>
      <w:marLeft w:val="0"/>
      <w:marRight w:val="0"/>
      <w:marTop w:val="0"/>
      <w:marBottom w:val="0"/>
      <w:divBdr>
        <w:top w:val="none" w:sz="0" w:space="0" w:color="auto"/>
        <w:left w:val="none" w:sz="0" w:space="0" w:color="auto"/>
        <w:bottom w:val="none" w:sz="0" w:space="0" w:color="auto"/>
        <w:right w:val="none" w:sz="0" w:space="0" w:color="auto"/>
      </w:divBdr>
    </w:div>
    <w:div w:id="1866017453">
      <w:bodyDiv w:val="1"/>
      <w:marLeft w:val="0"/>
      <w:marRight w:val="0"/>
      <w:marTop w:val="0"/>
      <w:marBottom w:val="0"/>
      <w:divBdr>
        <w:top w:val="none" w:sz="0" w:space="0" w:color="auto"/>
        <w:left w:val="none" w:sz="0" w:space="0" w:color="auto"/>
        <w:bottom w:val="none" w:sz="0" w:space="0" w:color="auto"/>
        <w:right w:val="none" w:sz="0" w:space="0" w:color="auto"/>
      </w:divBdr>
    </w:div>
    <w:div w:id="1866019481">
      <w:bodyDiv w:val="1"/>
      <w:marLeft w:val="0"/>
      <w:marRight w:val="0"/>
      <w:marTop w:val="0"/>
      <w:marBottom w:val="0"/>
      <w:divBdr>
        <w:top w:val="none" w:sz="0" w:space="0" w:color="auto"/>
        <w:left w:val="none" w:sz="0" w:space="0" w:color="auto"/>
        <w:bottom w:val="none" w:sz="0" w:space="0" w:color="auto"/>
        <w:right w:val="none" w:sz="0" w:space="0" w:color="auto"/>
      </w:divBdr>
    </w:div>
    <w:div w:id="1866021872">
      <w:bodyDiv w:val="1"/>
      <w:marLeft w:val="0"/>
      <w:marRight w:val="0"/>
      <w:marTop w:val="0"/>
      <w:marBottom w:val="0"/>
      <w:divBdr>
        <w:top w:val="none" w:sz="0" w:space="0" w:color="auto"/>
        <w:left w:val="none" w:sz="0" w:space="0" w:color="auto"/>
        <w:bottom w:val="none" w:sz="0" w:space="0" w:color="auto"/>
        <w:right w:val="none" w:sz="0" w:space="0" w:color="auto"/>
      </w:divBdr>
    </w:div>
    <w:div w:id="1866138634">
      <w:bodyDiv w:val="1"/>
      <w:marLeft w:val="0"/>
      <w:marRight w:val="0"/>
      <w:marTop w:val="0"/>
      <w:marBottom w:val="0"/>
      <w:divBdr>
        <w:top w:val="none" w:sz="0" w:space="0" w:color="auto"/>
        <w:left w:val="none" w:sz="0" w:space="0" w:color="auto"/>
        <w:bottom w:val="none" w:sz="0" w:space="0" w:color="auto"/>
        <w:right w:val="none" w:sz="0" w:space="0" w:color="auto"/>
      </w:divBdr>
    </w:div>
    <w:div w:id="1866206571">
      <w:bodyDiv w:val="1"/>
      <w:marLeft w:val="0"/>
      <w:marRight w:val="0"/>
      <w:marTop w:val="0"/>
      <w:marBottom w:val="0"/>
      <w:divBdr>
        <w:top w:val="none" w:sz="0" w:space="0" w:color="auto"/>
        <w:left w:val="none" w:sz="0" w:space="0" w:color="auto"/>
        <w:bottom w:val="none" w:sz="0" w:space="0" w:color="auto"/>
        <w:right w:val="none" w:sz="0" w:space="0" w:color="auto"/>
      </w:divBdr>
    </w:div>
    <w:div w:id="1866359440">
      <w:bodyDiv w:val="1"/>
      <w:marLeft w:val="0"/>
      <w:marRight w:val="0"/>
      <w:marTop w:val="0"/>
      <w:marBottom w:val="0"/>
      <w:divBdr>
        <w:top w:val="none" w:sz="0" w:space="0" w:color="auto"/>
        <w:left w:val="none" w:sz="0" w:space="0" w:color="auto"/>
        <w:bottom w:val="none" w:sz="0" w:space="0" w:color="auto"/>
        <w:right w:val="none" w:sz="0" w:space="0" w:color="auto"/>
      </w:divBdr>
    </w:div>
    <w:div w:id="1866364670">
      <w:bodyDiv w:val="1"/>
      <w:marLeft w:val="0"/>
      <w:marRight w:val="0"/>
      <w:marTop w:val="0"/>
      <w:marBottom w:val="0"/>
      <w:divBdr>
        <w:top w:val="none" w:sz="0" w:space="0" w:color="auto"/>
        <w:left w:val="none" w:sz="0" w:space="0" w:color="auto"/>
        <w:bottom w:val="none" w:sz="0" w:space="0" w:color="auto"/>
        <w:right w:val="none" w:sz="0" w:space="0" w:color="auto"/>
      </w:divBdr>
    </w:div>
    <w:div w:id="1866406134">
      <w:bodyDiv w:val="1"/>
      <w:marLeft w:val="0"/>
      <w:marRight w:val="0"/>
      <w:marTop w:val="0"/>
      <w:marBottom w:val="0"/>
      <w:divBdr>
        <w:top w:val="none" w:sz="0" w:space="0" w:color="auto"/>
        <w:left w:val="none" w:sz="0" w:space="0" w:color="auto"/>
        <w:bottom w:val="none" w:sz="0" w:space="0" w:color="auto"/>
        <w:right w:val="none" w:sz="0" w:space="0" w:color="auto"/>
      </w:divBdr>
    </w:div>
    <w:div w:id="1866484351">
      <w:bodyDiv w:val="1"/>
      <w:marLeft w:val="0"/>
      <w:marRight w:val="0"/>
      <w:marTop w:val="0"/>
      <w:marBottom w:val="0"/>
      <w:divBdr>
        <w:top w:val="none" w:sz="0" w:space="0" w:color="auto"/>
        <w:left w:val="none" w:sz="0" w:space="0" w:color="auto"/>
        <w:bottom w:val="none" w:sz="0" w:space="0" w:color="auto"/>
        <w:right w:val="none" w:sz="0" w:space="0" w:color="auto"/>
      </w:divBdr>
    </w:div>
    <w:div w:id="1866870805">
      <w:bodyDiv w:val="1"/>
      <w:marLeft w:val="0"/>
      <w:marRight w:val="0"/>
      <w:marTop w:val="0"/>
      <w:marBottom w:val="0"/>
      <w:divBdr>
        <w:top w:val="none" w:sz="0" w:space="0" w:color="auto"/>
        <w:left w:val="none" w:sz="0" w:space="0" w:color="auto"/>
        <w:bottom w:val="none" w:sz="0" w:space="0" w:color="auto"/>
        <w:right w:val="none" w:sz="0" w:space="0" w:color="auto"/>
      </w:divBdr>
    </w:div>
    <w:div w:id="1867062259">
      <w:bodyDiv w:val="1"/>
      <w:marLeft w:val="0"/>
      <w:marRight w:val="0"/>
      <w:marTop w:val="0"/>
      <w:marBottom w:val="0"/>
      <w:divBdr>
        <w:top w:val="none" w:sz="0" w:space="0" w:color="auto"/>
        <w:left w:val="none" w:sz="0" w:space="0" w:color="auto"/>
        <w:bottom w:val="none" w:sz="0" w:space="0" w:color="auto"/>
        <w:right w:val="none" w:sz="0" w:space="0" w:color="auto"/>
      </w:divBdr>
    </w:div>
    <w:div w:id="1867064810">
      <w:bodyDiv w:val="1"/>
      <w:marLeft w:val="0"/>
      <w:marRight w:val="0"/>
      <w:marTop w:val="0"/>
      <w:marBottom w:val="0"/>
      <w:divBdr>
        <w:top w:val="none" w:sz="0" w:space="0" w:color="auto"/>
        <w:left w:val="none" w:sz="0" w:space="0" w:color="auto"/>
        <w:bottom w:val="none" w:sz="0" w:space="0" w:color="auto"/>
        <w:right w:val="none" w:sz="0" w:space="0" w:color="auto"/>
      </w:divBdr>
    </w:div>
    <w:div w:id="1867207225">
      <w:bodyDiv w:val="1"/>
      <w:marLeft w:val="0"/>
      <w:marRight w:val="0"/>
      <w:marTop w:val="0"/>
      <w:marBottom w:val="0"/>
      <w:divBdr>
        <w:top w:val="none" w:sz="0" w:space="0" w:color="auto"/>
        <w:left w:val="none" w:sz="0" w:space="0" w:color="auto"/>
        <w:bottom w:val="none" w:sz="0" w:space="0" w:color="auto"/>
        <w:right w:val="none" w:sz="0" w:space="0" w:color="auto"/>
      </w:divBdr>
    </w:div>
    <w:div w:id="1867212281">
      <w:bodyDiv w:val="1"/>
      <w:marLeft w:val="0"/>
      <w:marRight w:val="0"/>
      <w:marTop w:val="0"/>
      <w:marBottom w:val="0"/>
      <w:divBdr>
        <w:top w:val="none" w:sz="0" w:space="0" w:color="auto"/>
        <w:left w:val="none" w:sz="0" w:space="0" w:color="auto"/>
        <w:bottom w:val="none" w:sz="0" w:space="0" w:color="auto"/>
        <w:right w:val="none" w:sz="0" w:space="0" w:color="auto"/>
      </w:divBdr>
    </w:div>
    <w:div w:id="1867252717">
      <w:bodyDiv w:val="1"/>
      <w:marLeft w:val="0"/>
      <w:marRight w:val="0"/>
      <w:marTop w:val="0"/>
      <w:marBottom w:val="0"/>
      <w:divBdr>
        <w:top w:val="none" w:sz="0" w:space="0" w:color="auto"/>
        <w:left w:val="none" w:sz="0" w:space="0" w:color="auto"/>
        <w:bottom w:val="none" w:sz="0" w:space="0" w:color="auto"/>
        <w:right w:val="none" w:sz="0" w:space="0" w:color="auto"/>
      </w:divBdr>
    </w:div>
    <w:div w:id="1867281433">
      <w:bodyDiv w:val="1"/>
      <w:marLeft w:val="0"/>
      <w:marRight w:val="0"/>
      <w:marTop w:val="0"/>
      <w:marBottom w:val="0"/>
      <w:divBdr>
        <w:top w:val="none" w:sz="0" w:space="0" w:color="auto"/>
        <w:left w:val="none" w:sz="0" w:space="0" w:color="auto"/>
        <w:bottom w:val="none" w:sz="0" w:space="0" w:color="auto"/>
        <w:right w:val="none" w:sz="0" w:space="0" w:color="auto"/>
      </w:divBdr>
    </w:div>
    <w:div w:id="1867324137">
      <w:bodyDiv w:val="1"/>
      <w:marLeft w:val="0"/>
      <w:marRight w:val="0"/>
      <w:marTop w:val="0"/>
      <w:marBottom w:val="0"/>
      <w:divBdr>
        <w:top w:val="none" w:sz="0" w:space="0" w:color="auto"/>
        <w:left w:val="none" w:sz="0" w:space="0" w:color="auto"/>
        <w:bottom w:val="none" w:sz="0" w:space="0" w:color="auto"/>
        <w:right w:val="none" w:sz="0" w:space="0" w:color="auto"/>
      </w:divBdr>
    </w:div>
    <w:div w:id="1867476212">
      <w:bodyDiv w:val="1"/>
      <w:marLeft w:val="0"/>
      <w:marRight w:val="0"/>
      <w:marTop w:val="0"/>
      <w:marBottom w:val="0"/>
      <w:divBdr>
        <w:top w:val="none" w:sz="0" w:space="0" w:color="auto"/>
        <w:left w:val="none" w:sz="0" w:space="0" w:color="auto"/>
        <w:bottom w:val="none" w:sz="0" w:space="0" w:color="auto"/>
        <w:right w:val="none" w:sz="0" w:space="0" w:color="auto"/>
      </w:divBdr>
    </w:div>
    <w:div w:id="1867595607">
      <w:bodyDiv w:val="1"/>
      <w:marLeft w:val="0"/>
      <w:marRight w:val="0"/>
      <w:marTop w:val="0"/>
      <w:marBottom w:val="0"/>
      <w:divBdr>
        <w:top w:val="none" w:sz="0" w:space="0" w:color="auto"/>
        <w:left w:val="none" w:sz="0" w:space="0" w:color="auto"/>
        <w:bottom w:val="none" w:sz="0" w:space="0" w:color="auto"/>
        <w:right w:val="none" w:sz="0" w:space="0" w:color="auto"/>
      </w:divBdr>
    </w:div>
    <w:div w:id="1867785881">
      <w:bodyDiv w:val="1"/>
      <w:marLeft w:val="0"/>
      <w:marRight w:val="0"/>
      <w:marTop w:val="0"/>
      <w:marBottom w:val="0"/>
      <w:divBdr>
        <w:top w:val="none" w:sz="0" w:space="0" w:color="auto"/>
        <w:left w:val="none" w:sz="0" w:space="0" w:color="auto"/>
        <w:bottom w:val="none" w:sz="0" w:space="0" w:color="auto"/>
        <w:right w:val="none" w:sz="0" w:space="0" w:color="auto"/>
      </w:divBdr>
    </w:div>
    <w:div w:id="1867792971">
      <w:bodyDiv w:val="1"/>
      <w:marLeft w:val="0"/>
      <w:marRight w:val="0"/>
      <w:marTop w:val="0"/>
      <w:marBottom w:val="0"/>
      <w:divBdr>
        <w:top w:val="none" w:sz="0" w:space="0" w:color="auto"/>
        <w:left w:val="none" w:sz="0" w:space="0" w:color="auto"/>
        <w:bottom w:val="none" w:sz="0" w:space="0" w:color="auto"/>
        <w:right w:val="none" w:sz="0" w:space="0" w:color="auto"/>
      </w:divBdr>
    </w:div>
    <w:div w:id="1867868245">
      <w:bodyDiv w:val="1"/>
      <w:marLeft w:val="0"/>
      <w:marRight w:val="0"/>
      <w:marTop w:val="0"/>
      <w:marBottom w:val="0"/>
      <w:divBdr>
        <w:top w:val="none" w:sz="0" w:space="0" w:color="auto"/>
        <w:left w:val="none" w:sz="0" w:space="0" w:color="auto"/>
        <w:bottom w:val="none" w:sz="0" w:space="0" w:color="auto"/>
        <w:right w:val="none" w:sz="0" w:space="0" w:color="auto"/>
      </w:divBdr>
    </w:div>
    <w:div w:id="1867908700">
      <w:bodyDiv w:val="1"/>
      <w:marLeft w:val="0"/>
      <w:marRight w:val="0"/>
      <w:marTop w:val="0"/>
      <w:marBottom w:val="0"/>
      <w:divBdr>
        <w:top w:val="none" w:sz="0" w:space="0" w:color="auto"/>
        <w:left w:val="none" w:sz="0" w:space="0" w:color="auto"/>
        <w:bottom w:val="none" w:sz="0" w:space="0" w:color="auto"/>
        <w:right w:val="none" w:sz="0" w:space="0" w:color="auto"/>
      </w:divBdr>
    </w:div>
    <w:div w:id="1868172407">
      <w:bodyDiv w:val="1"/>
      <w:marLeft w:val="0"/>
      <w:marRight w:val="0"/>
      <w:marTop w:val="0"/>
      <w:marBottom w:val="0"/>
      <w:divBdr>
        <w:top w:val="none" w:sz="0" w:space="0" w:color="auto"/>
        <w:left w:val="none" w:sz="0" w:space="0" w:color="auto"/>
        <w:bottom w:val="none" w:sz="0" w:space="0" w:color="auto"/>
        <w:right w:val="none" w:sz="0" w:space="0" w:color="auto"/>
      </w:divBdr>
    </w:div>
    <w:div w:id="1868441105">
      <w:bodyDiv w:val="1"/>
      <w:marLeft w:val="0"/>
      <w:marRight w:val="0"/>
      <w:marTop w:val="0"/>
      <w:marBottom w:val="0"/>
      <w:divBdr>
        <w:top w:val="none" w:sz="0" w:space="0" w:color="auto"/>
        <w:left w:val="none" w:sz="0" w:space="0" w:color="auto"/>
        <w:bottom w:val="none" w:sz="0" w:space="0" w:color="auto"/>
        <w:right w:val="none" w:sz="0" w:space="0" w:color="auto"/>
      </w:divBdr>
    </w:div>
    <w:div w:id="1868520163">
      <w:bodyDiv w:val="1"/>
      <w:marLeft w:val="0"/>
      <w:marRight w:val="0"/>
      <w:marTop w:val="0"/>
      <w:marBottom w:val="0"/>
      <w:divBdr>
        <w:top w:val="none" w:sz="0" w:space="0" w:color="auto"/>
        <w:left w:val="none" w:sz="0" w:space="0" w:color="auto"/>
        <w:bottom w:val="none" w:sz="0" w:space="0" w:color="auto"/>
        <w:right w:val="none" w:sz="0" w:space="0" w:color="auto"/>
      </w:divBdr>
    </w:div>
    <w:div w:id="1868642946">
      <w:bodyDiv w:val="1"/>
      <w:marLeft w:val="0"/>
      <w:marRight w:val="0"/>
      <w:marTop w:val="0"/>
      <w:marBottom w:val="0"/>
      <w:divBdr>
        <w:top w:val="none" w:sz="0" w:space="0" w:color="auto"/>
        <w:left w:val="none" w:sz="0" w:space="0" w:color="auto"/>
        <w:bottom w:val="none" w:sz="0" w:space="0" w:color="auto"/>
        <w:right w:val="none" w:sz="0" w:space="0" w:color="auto"/>
      </w:divBdr>
    </w:div>
    <w:div w:id="1868761309">
      <w:bodyDiv w:val="1"/>
      <w:marLeft w:val="0"/>
      <w:marRight w:val="0"/>
      <w:marTop w:val="0"/>
      <w:marBottom w:val="0"/>
      <w:divBdr>
        <w:top w:val="none" w:sz="0" w:space="0" w:color="auto"/>
        <w:left w:val="none" w:sz="0" w:space="0" w:color="auto"/>
        <w:bottom w:val="none" w:sz="0" w:space="0" w:color="auto"/>
        <w:right w:val="none" w:sz="0" w:space="0" w:color="auto"/>
      </w:divBdr>
    </w:div>
    <w:div w:id="1868912761">
      <w:bodyDiv w:val="1"/>
      <w:marLeft w:val="0"/>
      <w:marRight w:val="0"/>
      <w:marTop w:val="0"/>
      <w:marBottom w:val="0"/>
      <w:divBdr>
        <w:top w:val="none" w:sz="0" w:space="0" w:color="auto"/>
        <w:left w:val="none" w:sz="0" w:space="0" w:color="auto"/>
        <w:bottom w:val="none" w:sz="0" w:space="0" w:color="auto"/>
        <w:right w:val="none" w:sz="0" w:space="0" w:color="auto"/>
      </w:divBdr>
    </w:div>
    <w:div w:id="1868978622">
      <w:bodyDiv w:val="1"/>
      <w:marLeft w:val="0"/>
      <w:marRight w:val="0"/>
      <w:marTop w:val="0"/>
      <w:marBottom w:val="0"/>
      <w:divBdr>
        <w:top w:val="none" w:sz="0" w:space="0" w:color="auto"/>
        <w:left w:val="none" w:sz="0" w:space="0" w:color="auto"/>
        <w:bottom w:val="none" w:sz="0" w:space="0" w:color="auto"/>
        <w:right w:val="none" w:sz="0" w:space="0" w:color="auto"/>
      </w:divBdr>
    </w:div>
    <w:div w:id="1868985756">
      <w:bodyDiv w:val="1"/>
      <w:marLeft w:val="0"/>
      <w:marRight w:val="0"/>
      <w:marTop w:val="0"/>
      <w:marBottom w:val="0"/>
      <w:divBdr>
        <w:top w:val="none" w:sz="0" w:space="0" w:color="auto"/>
        <w:left w:val="none" w:sz="0" w:space="0" w:color="auto"/>
        <w:bottom w:val="none" w:sz="0" w:space="0" w:color="auto"/>
        <w:right w:val="none" w:sz="0" w:space="0" w:color="auto"/>
      </w:divBdr>
    </w:div>
    <w:div w:id="1869097535">
      <w:bodyDiv w:val="1"/>
      <w:marLeft w:val="0"/>
      <w:marRight w:val="0"/>
      <w:marTop w:val="0"/>
      <w:marBottom w:val="0"/>
      <w:divBdr>
        <w:top w:val="none" w:sz="0" w:space="0" w:color="auto"/>
        <w:left w:val="none" w:sz="0" w:space="0" w:color="auto"/>
        <w:bottom w:val="none" w:sz="0" w:space="0" w:color="auto"/>
        <w:right w:val="none" w:sz="0" w:space="0" w:color="auto"/>
      </w:divBdr>
    </w:div>
    <w:div w:id="1869102762">
      <w:bodyDiv w:val="1"/>
      <w:marLeft w:val="0"/>
      <w:marRight w:val="0"/>
      <w:marTop w:val="0"/>
      <w:marBottom w:val="0"/>
      <w:divBdr>
        <w:top w:val="none" w:sz="0" w:space="0" w:color="auto"/>
        <w:left w:val="none" w:sz="0" w:space="0" w:color="auto"/>
        <w:bottom w:val="none" w:sz="0" w:space="0" w:color="auto"/>
        <w:right w:val="none" w:sz="0" w:space="0" w:color="auto"/>
      </w:divBdr>
    </w:div>
    <w:div w:id="1869247489">
      <w:bodyDiv w:val="1"/>
      <w:marLeft w:val="0"/>
      <w:marRight w:val="0"/>
      <w:marTop w:val="0"/>
      <w:marBottom w:val="0"/>
      <w:divBdr>
        <w:top w:val="none" w:sz="0" w:space="0" w:color="auto"/>
        <w:left w:val="none" w:sz="0" w:space="0" w:color="auto"/>
        <w:bottom w:val="none" w:sz="0" w:space="0" w:color="auto"/>
        <w:right w:val="none" w:sz="0" w:space="0" w:color="auto"/>
      </w:divBdr>
    </w:div>
    <w:div w:id="1869293085">
      <w:bodyDiv w:val="1"/>
      <w:marLeft w:val="0"/>
      <w:marRight w:val="0"/>
      <w:marTop w:val="0"/>
      <w:marBottom w:val="0"/>
      <w:divBdr>
        <w:top w:val="none" w:sz="0" w:space="0" w:color="auto"/>
        <w:left w:val="none" w:sz="0" w:space="0" w:color="auto"/>
        <w:bottom w:val="none" w:sz="0" w:space="0" w:color="auto"/>
        <w:right w:val="none" w:sz="0" w:space="0" w:color="auto"/>
      </w:divBdr>
    </w:div>
    <w:div w:id="1869365008">
      <w:bodyDiv w:val="1"/>
      <w:marLeft w:val="0"/>
      <w:marRight w:val="0"/>
      <w:marTop w:val="0"/>
      <w:marBottom w:val="0"/>
      <w:divBdr>
        <w:top w:val="none" w:sz="0" w:space="0" w:color="auto"/>
        <w:left w:val="none" w:sz="0" w:space="0" w:color="auto"/>
        <w:bottom w:val="none" w:sz="0" w:space="0" w:color="auto"/>
        <w:right w:val="none" w:sz="0" w:space="0" w:color="auto"/>
      </w:divBdr>
    </w:div>
    <w:div w:id="1869492121">
      <w:bodyDiv w:val="1"/>
      <w:marLeft w:val="0"/>
      <w:marRight w:val="0"/>
      <w:marTop w:val="0"/>
      <w:marBottom w:val="0"/>
      <w:divBdr>
        <w:top w:val="none" w:sz="0" w:space="0" w:color="auto"/>
        <w:left w:val="none" w:sz="0" w:space="0" w:color="auto"/>
        <w:bottom w:val="none" w:sz="0" w:space="0" w:color="auto"/>
        <w:right w:val="none" w:sz="0" w:space="0" w:color="auto"/>
      </w:divBdr>
    </w:div>
    <w:div w:id="1869634632">
      <w:bodyDiv w:val="1"/>
      <w:marLeft w:val="0"/>
      <w:marRight w:val="0"/>
      <w:marTop w:val="0"/>
      <w:marBottom w:val="0"/>
      <w:divBdr>
        <w:top w:val="none" w:sz="0" w:space="0" w:color="auto"/>
        <w:left w:val="none" w:sz="0" w:space="0" w:color="auto"/>
        <w:bottom w:val="none" w:sz="0" w:space="0" w:color="auto"/>
        <w:right w:val="none" w:sz="0" w:space="0" w:color="auto"/>
      </w:divBdr>
    </w:div>
    <w:div w:id="1869753424">
      <w:bodyDiv w:val="1"/>
      <w:marLeft w:val="0"/>
      <w:marRight w:val="0"/>
      <w:marTop w:val="0"/>
      <w:marBottom w:val="0"/>
      <w:divBdr>
        <w:top w:val="none" w:sz="0" w:space="0" w:color="auto"/>
        <w:left w:val="none" w:sz="0" w:space="0" w:color="auto"/>
        <w:bottom w:val="none" w:sz="0" w:space="0" w:color="auto"/>
        <w:right w:val="none" w:sz="0" w:space="0" w:color="auto"/>
      </w:divBdr>
    </w:div>
    <w:div w:id="1869832481">
      <w:bodyDiv w:val="1"/>
      <w:marLeft w:val="0"/>
      <w:marRight w:val="0"/>
      <w:marTop w:val="0"/>
      <w:marBottom w:val="0"/>
      <w:divBdr>
        <w:top w:val="none" w:sz="0" w:space="0" w:color="auto"/>
        <w:left w:val="none" w:sz="0" w:space="0" w:color="auto"/>
        <w:bottom w:val="none" w:sz="0" w:space="0" w:color="auto"/>
        <w:right w:val="none" w:sz="0" w:space="0" w:color="auto"/>
      </w:divBdr>
    </w:div>
    <w:div w:id="1870146966">
      <w:bodyDiv w:val="1"/>
      <w:marLeft w:val="0"/>
      <w:marRight w:val="0"/>
      <w:marTop w:val="0"/>
      <w:marBottom w:val="0"/>
      <w:divBdr>
        <w:top w:val="none" w:sz="0" w:space="0" w:color="auto"/>
        <w:left w:val="none" w:sz="0" w:space="0" w:color="auto"/>
        <w:bottom w:val="none" w:sz="0" w:space="0" w:color="auto"/>
        <w:right w:val="none" w:sz="0" w:space="0" w:color="auto"/>
      </w:divBdr>
    </w:div>
    <w:div w:id="1870292808">
      <w:bodyDiv w:val="1"/>
      <w:marLeft w:val="0"/>
      <w:marRight w:val="0"/>
      <w:marTop w:val="0"/>
      <w:marBottom w:val="0"/>
      <w:divBdr>
        <w:top w:val="none" w:sz="0" w:space="0" w:color="auto"/>
        <w:left w:val="none" w:sz="0" w:space="0" w:color="auto"/>
        <w:bottom w:val="none" w:sz="0" w:space="0" w:color="auto"/>
        <w:right w:val="none" w:sz="0" w:space="0" w:color="auto"/>
      </w:divBdr>
    </w:div>
    <w:div w:id="1870531094">
      <w:bodyDiv w:val="1"/>
      <w:marLeft w:val="0"/>
      <w:marRight w:val="0"/>
      <w:marTop w:val="0"/>
      <w:marBottom w:val="0"/>
      <w:divBdr>
        <w:top w:val="none" w:sz="0" w:space="0" w:color="auto"/>
        <w:left w:val="none" w:sz="0" w:space="0" w:color="auto"/>
        <w:bottom w:val="none" w:sz="0" w:space="0" w:color="auto"/>
        <w:right w:val="none" w:sz="0" w:space="0" w:color="auto"/>
      </w:divBdr>
    </w:div>
    <w:div w:id="1870602099">
      <w:bodyDiv w:val="1"/>
      <w:marLeft w:val="0"/>
      <w:marRight w:val="0"/>
      <w:marTop w:val="0"/>
      <w:marBottom w:val="0"/>
      <w:divBdr>
        <w:top w:val="none" w:sz="0" w:space="0" w:color="auto"/>
        <w:left w:val="none" w:sz="0" w:space="0" w:color="auto"/>
        <w:bottom w:val="none" w:sz="0" w:space="0" w:color="auto"/>
        <w:right w:val="none" w:sz="0" w:space="0" w:color="auto"/>
      </w:divBdr>
    </w:div>
    <w:div w:id="1870609182">
      <w:bodyDiv w:val="1"/>
      <w:marLeft w:val="0"/>
      <w:marRight w:val="0"/>
      <w:marTop w:val="0"/>
      <w:marBottom w:val="0"/>
      <w:divBdr>
        <w:top w:val="none" w:sz="0" w:space="0" w:color="auto"/>
        <w:left w:val="none" w:sz="0" w:space="0" w:color="auto"/>
        <w:bottom w:val="none" w:sz="0" w:space="0" w:color="auto"/>
        <w:right w:val="none" w:sz="0" w:space="0" w:color="auto"/>
      </w:divBdr>
    </w:div>
    <w:div w:id="1870797987">
      <w:bodyDiv w:val="1"/>
      <w:marLeft w:val="0"/>
      <w:marRight w:val="0"/>
      <w:marTop w:val="0"/>
      <w:marBottom w:val="0"/>
      <w:divBdr>
        <w:top w:val="none" w:sz="0" w:space="0" w:color="auto"/>
        <w:left w:val="none" w:sz="0" w:space="0" w:color="auto"/>
        <w:bottom w:val="none" w:sz="0" w:space="0" w:color="auto"/>
        <w:right w:val="none" w:sz="0" w:space="0" w:color="auto"/>
      </w:divBdr>
    </w:div>
    <w:div w:id="1870991135">
      <w:bodyDiv w:val="1"/>
      <w:marLeft w:val="0"/>
      <w:marRight w:val="0"/>
      <w:marTop w:val="0"/>
      <w:marBottom w:val="0"/>
      <w:divBdr>
        <w:top w:val="none" w:sz="0" w:space="0" w:color="auto"/>
        <w:left w:val="none" w:sz="0" w:space="0" w:color="auto"/>
        <w:bottom w:val="none" w:sz="0" w:space="0" w:color="auto"/>
        <w:right w:val="none" w:sz="0" w:space="0" w:color="auto"/>
      </w:divBdr>
    </w:div>
    <w:div w:id="1870991698">
      <w:bodyDiv w:val="1"/>
      <w:marLeft w:val="0"/>
      <w:marRight w:val="0"/>
      <w:marTop w:val="0"/>
      <w:marBottom w:val="0"/>
      <w:divBdr>
        <w:top w:val="none" w:sz="0" w:space="0" w:color="auto"/>
        <w:left w:val="none" w:sz="0" w:space="0" w:color="auto"/>
        <w:bottom w:val="none" w:sz="0" w:space="0" w:color="auto"/>
        <w:right w:val="none" w:sz="0" w:space="0" w:color="auto"/>
      </w:divBdr>
    </w:div>
    <w:div w:id="1871065209">
      <w:bodyDiv w:val="1"/>
      <w:marLeft w:val="0"/>
      <w:marRight w:val="0"/>
      <w:marTop w:val="0"/>
      <w:marBottom w:val="0"/>
      <w:divBdr>
        <w:top w:val="none" w:sz="0" w:space="0" w:color="auto"/>
        <w:left w:val="none" w:sz="0" w:space="0" w:color="auto"/>
        <w:bottom w:val="none" w:sz="0" w:space="0" w:color="auto"/>
        <w:right w:val="none" w:sz="0" w:space="0" w:color="auto"/>
      </w:divBdr>
    </w:div>
    <w:div w:id="1871141855">
      <w:bodyDiv w:val="1"/>
      <w:marLeft w:val="0"/>
      <w:marRight w:val="0"/>
      <w:marTop w:val="0"/>
      <w:marBottom w:val="0"/>
      <w:divBdr>
        <w:top w:val="none" w:sz="0" w:space="0" w:color="auto"/>
        <w:left w:val="none" w:sz="0" w:space="0" w:color="auto"/>
        <w:bottom w:val="none" w:sz="0" w:space="0" w:color="auto"/>
        <w:right w:val="none" w:sz="0" w:space="0" w:color="auto"/>
      </w:divBdr>
    </w:div>
    <w:div w:id="1871144553">
      <w:bodyDiv w:val="1"/>
      <w:marLeft w:val="0"/>
      <w:marRight w:val="0"/>
      <w:marTop w:val="0"/>
      <w:marBottom w:val="0"/>
      <w:divBdr>
        <w:top w:val="none" w:sz="0" w:space="0" w:color="auto"/>
        <w:left w:val="none" w:sz="0" w:space="0" w:color="auto"/>
        <w:bottom w:val="none" w:sz="0" w:space="0" w:color="auto"/>
        <w:right w:val="none" w:sz="0" w:space="0" w:color="auto"/>
      </w:divBdr>
    </w:div>
    <w:div w:id="1871338119">
      <w:bodyDiv w:val="1"/>
      <w:marLeft w:val="0"/>
      <w:marRight w:val="0"/>
      <w:marTop w:val="0"/>
      <w:marBottom w:val="0"/>
      <w:divBdr>
        <w:top w:val="none" w:sz="0" w:space="0" w:color="auto"/>
        <w:left w:val="none" w:sz="0" w:space="0" w:color="auto"/>
        <w:bottom w:val="none" w:sz="0" w:space="0" w:color="auto"/>
        <w:right w:val="none" w:sz="0" w:space="0" w:color="auto"/>
      </w:divBdr>
    </w:div>
    <w:div w:id="1871407010">
      <w:bodyDiv w:val="1"/>
      <w:marLeft w:val="0"/>
      <w:marRight w:val="0"/>
      <w:marTop w:val="0"/>
      <w:marBottom w:val="0"/>
      <w:divBdr>
        <w:top w:val="none" w:sz="0" w:space="0" w:color="auto"/>
        <w:left w:val="none" w:sz="0" w:space="0" w:color="auto"/>
        <w:bottom w:val="none" w:sz="0" w:space="0" w:color="auto"/>
        <w:right w:val="none" w:sz="0" w:space="0" w:color="auto"/>
      </w:divBdr>
    </w:div>
    <w:div w:id="1871457014">
      <w:bodyDiv w:val="1"/>
      <w:marLeft w:val="0"/>
      <w:marRight w:val="0"/>
      <w:marTop w:val="0"/>
      <w:marBottom w:val="0"/>
      <w:divBdr>
        <w:top w:val="none" w:sz="0" w:space="0" w:color="auto"/>
        <w:left w:val="none" w:sz="0" w:space="0" w:color="auto"/>
        <w:bottom w:val="none" w:sz="0" w:space="0" w:color="auto"/>
        <w:right w:val="none" w:sz="0" w:space="0" w:color="auto"/>
      </w:divBdr>
    </w:div>
    <w:div w:id="1871457914">
      <w:bodyDiv w:val="1"/>
      <w:marLeft w:val="0"/>
      <w:marRight w:val="0"/>
      <w:marTop w:val="0"/>
      <w:marBottom w:val="0"/>
      <w:divBdr>
        <w:top w:val="none" w:sz="0" w:space="0" w:color="auto"/>
        <w:left w:val="none" w:sz="0" w:space="0" w:color="auto"/>
        <w:bottom w:val="none" w:sz="0" w:space="0" w:color="auto"/>
        <w:right w:val="none" w:sz="0" w:space="0" w:color="auto"/>
      </w:divBdr>
    </w:div>
    <w:div w:id="1871531445">
      <w:bodyDiv w:val="1"/>
      <w:marLeft w:val="0"/>
      <w:marRight w:val="0"/>
      <w:marTop w:val="0"/>
      <w:marBottom w:val="0"/>
      <w:divBdr>
        <w:top w:val="none" w:sz="0" w:space="0" w:color="auto"/>
        <w:left w:val="none" w:sz="0" w:space="0" w:color="auto"/>
        <w:bottom w:val="none" w:sz="0" w:space="0" w:color="auto"/>
        <w:right w:val="none" w:sz="0" w:space="0" w:color="auto"/>
      </w:divBdr>
    </w:div>
    <w:div w:id="1871601962">
      <w:bodyDiv w:val="1"/>
      <w:marLeft w:val="0"/>
      <w:marRight w:val="0"/>
      <w:marTop w:val="0"/>
      <w:marBottom w:val="0"/>
      <w:divBdr>
        <w:top w:val="none" w:sz="0" w:space="0" w:color="auto"/>
        <w:left w:val="none" w:sz="0" w:space="0" w:color="auto"/>
        <w:bottom w:val="none" w:sz="0" w:space="0" w:color="auto"/>
        <w:right w:val="none" w:sz="0" w:space="0" w:color="auto"/>
      </w:divBdr>
    </w:div>
    <w:div w:id="1871719666">
      <w:bodyDiv w:val="1"/>
      <w:marLeft w:val="0"/>
      <w:marRight w:val="0"/>
      <w:marTop w:val="0"/>
      <w:marBottom w:val="0"/>
      <w:divBdr>
        <w:top w:val="none" w:sz="0" w:space="0" w:color="auto"/>
        <w:left w:val="none" w:sz="0" w:space="0" w:color="auto"/>
        <w:bottom w:val="none" w:sz="0" w:space="0" w:color="auto"/>
        <w:right w:val="none" w:sz="0" w:space="0" w:color="auto"/>
      </w:divBdr>
    </w:div>
    <w:div w:id="1871725758">
      <w:bodyDiv w:val="1"/>
      <w:marLeft w:val="0"/>
      <w:marRight w:val="0"/>
      <w:marTop w:val="0"/>
      <w:marBottom w:val="0"/>
      <w:divBdr>
        <w:top w:val="none" w:sz="0" w:space="0" w:color="auto"/>
        <w:left w:val="none" w:sz="0" w:space="0" w:color="auto"/>
        <w:bottom w:val="none" w:sz="0" w:space="0" w:color="auto"/>
        <w:right w:val="none" w:sz="0" w:space="0" w:color="auto"/>
      </w:divBdr>
    </w:div>
    <w:div w:id="1871795382">
      <w:bodyDiv w:val="1"/>
      <w:marLeft w:val="0"/>
      <w:marRight w:val="0"/>
      <w:marTop w:val="0"/>
      <w:marBottom w:val="0"/>
      <w:divBdr>
        <w:top w:val="none" w:sz="0" w:space="0" w:color="auto"/>
        <w:left w:val="none" w:sz="0" w:space="0" w:color="auto"/>
        <w:bottom w:val="none" w:sz="0" w:space="0" w:color="auto"/>
        <w:right w:val="none" w:sz="0" w:space="0" w:color="auto"/>
      </w:divBdr>
    </w:div>
    <w:div w:id="1871840688">
      <w:bodyDiv w:val="1"/>
      <w:marLeft w:val="0"/>
      <w:marRight w:val="0"/>
      <w:marTop w:val="0"/>
      <w:marBottom w:val="0"/>
      <w:divBdr>
        <w:top w:val="none" w:sz="0" w:space="0" w:color="auto"/>
        <w:left w:val="none" w:sz="0" w:space="0" w:color="auto"/>
        <w:bottom w:val="none" w:sz="0" w:space="0" w:color="auto"/>
        <w:right w:val="none" w:sz="0" w:space="0" w:color="auto"/>
      </w:divBdr>
    </w:div>
    <w:div w:id="1871842991">
      <w:bodyDiv w:val="1"/>
      <w:marLeft w:val="0"/>
      <w:marRight w:val="0"/>
      <w:marTop w:val="0"/>
      <w:marBottom w:val="0"/>
      <w:divBdr>
        <w:top w:val="none" w:sz="0" w:space="0" w:color="auto"/>
        <w:left w:val="none" w:sz="0" w:space="0" w:color="auto"/>
        <w:bottom w:val="none" w:sz="0" w:space="0" w:color="auto"/>
        <w:right w:val="none" w:sz="0" w:space="0" w:color="auto"/>
      </w:divBdr>
    </w:div>
    <w:div w:id="1871843353">
      <w:bodyDiv w:val="1"/>
      <w:marLeft w:val="0"/>
      <w:marRight w:val="0"/>
      <w:marTop w:val="0"/>
      <w:marBottom w:val="0"/>
      <w:divBdr>
        <w:top w:val="none" w:sz="0" w:space="0" w:color="auto"/>
        <w:left w:val="none" w:sz="0" w:space="0" w:color="auto"/>
        <w:bottom w:val="none" w:sz="0" w:space="0" w:color="auto"/>
        <w:right w:val="none" w:sz="0" w:space="0" w:color="auto"/>
      </w:divBdr>
    </w:div>
    <w:div w:id="1871915089">
      <w:bodyDiv w:val="1"/>
      <w:marLeft w:val="0"/>
      <w:marRight w:val="0"/>
      <w:marTop w:val="0"/>
      <w:marBottom w:val="0"/>
      <w:divBdr>
        <w:top w:val="none" w:sz="0" w:space="0" w:color="auto"/>
        <w:left w:val="none" w:sz="0" w:space="0" w:color="auto"/>
        <w:bottom w:val="none" w:sz="0" w:space="0" w:color="auto"/>
        <w:right w:val="none" w:sz="0" w:space="0" w:color="auto"/>
      </w:divBdr>
    </w:div>
    <w:div w:id="1871918390">
      <w:bodyDiv w:val="1"/>
      <w:marLeft w:val="0"/>
      <w:marRight w:val="0"/>
      <w:marTop w:val="0"/>
      <w:marBottom w:val="0"/>
      <w:divBdr>
        <w:top w:val="none" w:sz="0" w:space="0" w:color="auto"/>
        <w:left w:val="none" w:sz="0" w:space="0" w:color="auto"/>
        <w:bottom w:val="none" w:sz="0" w:space="0" w:color="auto"/>
        <w:right w:val="none" w:sz="0" w:space="0" w:color="auto"/>
      </w:divBdr>
    </w:div>
    <w:div w:id="1871918438">
      <w:bodyDiv w:val="1"/>
      <w:marLeft w:val="0"/>
      <w:marRight w:val="0"/>
      <w:marTop w:val="0"/>
      <w:marBottom w:val="0"/>
      <w:divBdr>
        <w:top w:val="none" w:sz="0" w:space="0" w:color="auto"/>
        <w:left w:val="none" w:sz="0" w:space="0" w:color="auto"/>
        <w:bottom w:val="none" w:sz="0" w:space="0" w:color="auto"/>
        <w:right w:val="none" w:sz="0" w:space="0" w:color="auto"/>
      </w:divBdr>
    </w:div>
    <w:div w:id="1872065637">
      <w:bodyDiv w:val="1"/>
      <w:marLeft w:val="0"/>
      <w:marRight w:val="0"/>
      <w:marTop w:val="0"/>
      <w:marBottom w:val="0"/>
      <w:divBdr>
        <w:top w:val="none" w:sz="0" w:space="0" w:color="auto"/>
        <w:left w:val="none" w:sz="0" w:space="0" w:color="auto"/>
        <w:bottom w:val="none" w:sz="0" w:space="0" w:color="auto"/>
        <w:right w:val="none" w:sz="0" w:space="0" w:color="auto"/>
      </w:divBdr>
    </w:div>
    <w:div w:id="1872104075">
      <w:bodyDiv w:val="1"/>
      <w:marLeft w:val="0"/>
      <w:marRight w:val="0"/>
      <w:marTop w:val="0"/>
      <w:marBottom w:val="0"/>
      <w:divBdr>
        <w:top w:val="none" w:sz="0" w:space="0" w:color="auto"/>
        <w:left w:val="none" w:sz="0" w:space="0" w:color="auto"/>
        <w:bottom w:val="none" w:sz="0" w:space="0" w:color="auto"/>
        <w:right w:val="none" w:sz="0" w:space="0" w:color="auto"/>
      </w:divBdr>
    </w:div>
    <w:div w:id="1872381536">
      <w:bodyDiv w:val="1"/>
      <w:marLeft w:val="0"/>
      <w:marRight w:val="0"/>
      <w:marTop w:val="0"/>
      <w:marBottom w:val="0"/>
      <w:divBdr>
        <w:top w:val="none" w:sz="0" w:space="0" w:color="auto"/>
        <w:left w:val="none" w:sz="0" w:space="0" w:color="auto"/>
        <w:bottom w:val="none" w:sz="0" w:space="0" w:color="auto"/>
        <w:right w:val="none" w:sz="0" w:space="0" w:color="auto"/>
      </w:divBdr>
    </w:div>
    <w:div w:id="1872455268">
      <w:bodyDiv w:val="1"/>
      <w:marLeft w:val="0"/>
      <w:marRight w:val="0"/>
      <w:marTop w:val="0"/>
      <w:marBottom w:val="0"/>
      <w:divBdr>
        <w:top w:val="none" w:sz="0" w:space="0" w:color="auto"/>
        <w:left w:val="none" w:sz="0" w:space="0" w:color="auto"/>
        <w:bottom w:val="none" w:sz="0" w:space="0" w:color="auto"/>
        <w:right w:val="none" w:sz="0" w:space="0" w:color="auto"/>
      </w:divBdr>
    </w:div>
    <w:div w:id="1872718699">
      <w:bodyDiv w:val="1"/>
      <w:marLeft w:val="0"/>
      <w:marRight w:val="0"/>
      <w:marTop w:val="0"/>
      <w:marBottom w:val="0"/>
      <w:divBdr>
        <w:top w:val="none" w:sz="0" w:space="0" w:color="auto"/>
        <w:left w:val="none" w:sz="0" w:space="0" w:color="auto"/>
        <w:bottom w:val="none" w:sz="0" w:space="0" w:color="auto"/>
        <w:right w:val="none" w:sz="0" w:space="0" w:color="auto"/>
      </w:divBdr>
    </w:div>
    <w:div w:id="1872911631">
      <w:bodyDiv w:val="1"/>
      <w:marLeft w:val="0"/>
      <w:marRight w:val="0"/>
      <w:marTop w:val="0"/>
      <w:marBottom w:val="0"/>
      <w:divBdr>
        <w:top w:val="none" w:sz="0" w:space="0" w:color="auto"/>
        <w:left w:val="none" w:sz="0" w:space="0" w:color="auto"/>
        <w:bottom w:val="none" w:sz="0" w:space="0" w:color="auto"/>
        <w:right w:val="none" w:sz="0" w:space="0" w:color="auto"/>
      </w:divBdr>
    </w:div>
    <w:div w:id="1872956374">
      <w:bodyDiv w:val="1"/>
      <w:marLeft w:val="0"/>
      <w:marRight w:val="0"/>
      <w:marTop w:val="0"/>
      <w:marBottom w:val="0"/>
      <w:divBdr>
        <w:top w:val="none" w:sz="0" w:space="0" w:color="auto"/>
        <w:left w:val="none" w:sz="0" w:space="0" w:color="auto"/>
        <w:bottom w:val="none" w:sz="0" w:space="0" w:color="auto"/>
        <w:right w:val="none" w:sz="0" w:space="0" w:color="auto"/>
      </w:divBdr>
    </w:div>
    <w:div w:id="1873180327">
      <w:bodyDiv w:val="1"/>
      <w:marLeft w:val="0"/>
      <w:marRight w:val="0"/>
      <w:marTop w:val="0"/>
      <w:marBottom w:val="0"/>
      <w:divBdr>
        <w:top w:val="none" w:sz="0" w:space="0" w:color="auto"/>
        <w:left w:val="none" w:sz="0" w:space="0" w:color="auto"/>
        <w:bottom w:val="none" w:sz="0" w:space="0" w:color="auto"/>
        <w:right w:val="none" w:sz="0" w:space="0" w:color="auto"/>
      </w:divBdr>
    </w:div>
    <w:div w:id="1873225886">
      <w:bodyDiv w:val="1"/>
      <w:marLeft w:val="0"/>
      <w:marRight w:val="0"/>
      <w:marTop w:val="0"/>
      <w:marBottom w:val="0"/>
      <w:divBdr>
        <w:top w:val="none" w:sz="0" w:space="0" w:color="auto"/>
        <w:left w:val="none" w:sz="0" w:space="0" w:color="auto"/>
        <w:bottom w:val="none" w:sz="0" w:space="0" w:color="auto"/>
        <w:right w:val="none" w:sz="0" w:space="0" w:color="auto"/>
      </w:divBdr>
    </w:div>
    <w:div w:id="1873298659">
      <w:bodyDiv w:val="1"/>
      <w:marLeft w:val="0"/>
      <w:marRight w:val="0"/>
      <w:marTop w:val="0"/>
      <w:marBottom w:val="0"/>
      <w:divBdr>
        <w:top w:val="none" w:sz="0" w:space="0" w:color="auto"/>
        <w:left w:val="none" w:sz="0" w:space="0" w:color="auto"/>
        <w:bottom w:val="none" w:sz="0" w:space="0" w:color="auto"/>
        <w:right w:val="none" w:sz="0" w:space="0" w:color="auto"/>
      </w:divBdr>
    </w:div>
    <w:div w:id="1873415296">
      <w:bodyDiv w:val="1"/>
      <w:marLeft w:val="0"/>
      <w:marRight w:val="0"/>
      <w:marTop w:val="0"/>
      <w:marBottom w:val="0"/>
      <w:divBdr>
        <w:top w:val="none" w:sz="0" w:space="0" w:color="auto"/>
        <w:left w:val="none" w:sz="0" w:space="0" w:color="auto"/>
        <w:bottom w:val="none" w:sz="0" w:space="0" w:color="auto"/>
        <w:right w:val="none" w:sz="0" w:space="0" w:color="auto"/>
      </w:divBdr>
    </w:div>
    <w:div w:id="1873417831">
      <w:bodyDiv w:val="1"/>
      <w:marLeft w:val="0"/>
      <w:marRight w:val="0"/>
      <w:marTop w:val="0"/>
      <w:marBottom w:val="0"/>
      <w:divBdr>
        <w:top w:val="none" w:sz="0" w:space="0" w:color="auto"/>
        <w:left w:val="none" w:sz="0" w:space="0" w:color="auto"/>
        <w:bottom w:val="none" w:sz="0" w:space="0" w:color="auto"/>
        <w:right w:val="none" w:sz="0" w:space="0" w:color="auto"/>
      </w:divBdr>
    </w:div>
    <w:div w:id="1873419086">
      <w:bodyDiv w:val="1"/>
      <w:marLeft w:val="0"/>
      <w:marRight w:val="0"/>
      <w:marTop w:val="0"/>
      <w:marBottom w:val="0"/>
      <w:divBdr>
        <w:top w:val="none" w:sz="0" w:space="0" w:color="auto"/>
        <w:left w:val="none" w:sz="0" w:space="0" w:color="auto"/>
        <w:bottom w:val="none" w:sz="0" w:space="0" w:color="auto"/>
        <w:right w:val="none" w:sz="0" w:space="0" w:color="auto"/>
      </w:divBdr>
    </w:div>
    <w:div w:id="1873611625">
      <w:bodyDiv w:val="1"/>
      <w:marLeft w:val="0"/>
      <w:marRight w:val="0"/>
      <w:marTop w:val="0"/>
      <w:marBottom w:val="0"/>
      <w:divBdr>
        <w:top w:val="none" w:sz="0" w:space="0" w:color="auto"/>
        <w:left w:val="none" w:sz="0" w:space="0" w:color="auto"/>
        <w:bottom w:val="none" w:sz="0" w:space="0" w:color="auto"/>
        <w:right w:val="none" w:sz="0" w:space="0" w:color="auto"/>
      </w:divBdr>
    </w:div>
    <w:div w:id="1873877307">
      <w:bodyDiv w:val="1"/>
      <w:marLeft w:val="0"/>
      <w:marRight w:val="0"/>
      <w:marTop w:val="0"/>
      <w:marBottom w:val="0"/>
      <w:divBdr>
        <w:top w:val="none" w:sz="0" w:space="0" w:color="auto"/>
        <w:left w:val="none" w:sz="0" w:space="0" w:color="auto"/>
        <w:bottom w:val="none" w:sz="0" w:space="0" w:color="auto"/>
        <w:right w:val="none" w:sz="0" w:space="0" w:color="auto"/>
      </w:divBdr>
    </w:div>
    <w:div w:id="1874002464">
      <w:bodyDiv w:val="1"/>
      <w:marLeft w:val="0"/>
      <w:marRight w:val="0"/>
      <w:marTop w:val="0"/>
      <w:marBottom w:val="0"/>
      <w:divBdr>
        <w:top w:val="none" w:sz="0" w:space="0" w:color="auto"/>
        <w:left w:val="none" w:sz="0" w:space="0" w:color="auto"/>
        <w:bottom w:val="none" w:sz="0" w:space="0" w:color="auto"/>
        <w:right w:val="none" w:sz="0" w:space="0" w:color="auto"/>
      </w:divBdr>
    </w:div>
    <w:div w:id="1874029530">
      <w:bodyDiv w:val="1"/>
      <w:marLeft w:val="0"/>
      <w:marRight w:val="0"/>
      <w:marTop w:val="0"/>
      <w:marBottom w:val="0"/>
      <w:divBdr>
        <w:top w:val="none" w:sz="0" w:space="0" w:color="auto"/>
        <w:left w:val="none" w:sz="0" w:space="0" w:color="auto"/>
        <w:bottom w:val="none" w:sz="0" w:space="0" w:color="auto"/>
        <w:right w:val="none" w:sz="0" w:space="0" w:color="auto"/>
      </w:divBdr>
    </w:div>
    <w:div w:id="1874034511">
      <w:bodyDiv w:val="1"/>
      <w:marLeft w:val="0"/>
      <w:marRight w:val="0"/>
      <w:marTop w:val="0"/>
      <w:marBottom w:val="0"/>
      <w:divBdr>
        <w:top w:val="none" w:sz="0" w:space="0" w:color="auto"/>
        <w:left w:val="none" w:sz="0" w:space="0" w:color="auto"/>
        <w:bottom w:val="none" w:sz="0" w:space="0" w:color="auto"/>
        <w:right w:val="none" w:sz="0" w:space="0" w:color="auto"/>
      </w:divBdr>
    </w:div>
    <w:div w:id="1874145836">
      <w:bodyDiv w:val="1"/>
      <w:marLeft w:val="0"/>
      <w:marRight w:val="0"/>
      <w:marTop w:val="0"/>
      <w:marBottom w:val="0"/>
      <w:divBdr>
        <w:top w:val="none" w:sz="0" w:space="0" w:color="auto"/>
        <w:left w:val="none" w:sz="0" w:space="0" w:color="auto"/>
        <w:bottom w:val="none" w:sz="0" w:space="0" w:color="auto"/>
        <w:right w:val="none" w:sz="0" w:space="0" w:color="auto"/>
      </w:divBdr>
    </w:div>
    <w:div w:id="1874228636">
      <w:bodyDiv w:val="1"/>
      <w:marLeft w:val="0"/>
      <w:marRight w:val="0"/>
      <w:marTop w:val="0"/>
      <w:marBottom w:val="0"/>
      <w:divBdr>
        <w:top w:val="none" w:sz="0" w:space="0" w:color="auto"/>
        <w:left w:val="none" w:sz="0" w:space="0" w:color="auto"/>
        <w:bottom w:val="none" w:sz="0" w:space="0" w:color="auto"/>
        <w:right w:val="none" w:sz="0" w:space="0" w:color="auto"/>
      </w:divBdr>
    </w:div>
    <w:div w:id="1874267218">
      <w:bodyDiv w:val="1"/>
      <w:marLeft w:val="0"/>
      <w:marRight w:val="0"/>
      <w:marTop w:val="0"/>
      <w:marBottom w:val="0"/>
      <w:divBdr>
        <w:top w:val="none" w:sz="0" w:space="0" w:color="auto"/>
        <w:left w:val="none" w:sz="0" w:space="0" w:color="auto"/>
        <w:bottom w:val="none" w:sz="0" w:space="0" w:color="auto"/>
        <w:right w:val="none" w:sz="0" w:space="0" w:color="auto"/>
      </w:divBdr>
    </w:div>
    <w:div w:id="1874270466">
      <w:bodyDiv w:val="1"/>
      <w:marLeft w:val="0"/>
      <w:marRight w:val="0"/>
      <w:marTop w:val="0"/>
      <w:marBottom w:val="0"/>
      <w:divBdr>
        <w:top w:val="none" w:sz="0" w:space="0" w:color="auto"/>
        <w:left w:val="none" w:sz="0" w:space="0" w:color="auto"/>
        <w:bottom w:val="none" w:sz="0" w:space="0" w:color="auto"/>
        <w:right w:val="none" w:sz="0" w:space="0" w:color="auto"/>
      </w:divBdr>
    </w:div>
    <w:div w:id="1874271345">
      <w:bodyDiv w:val="1"/>
      <w:marLeft w:val="0"/>
      <w:marRight w:val="0"/>
      <w:marTop w:val="0"/>
      <w:marBottom w:val="0"/>
      <w:divBdr>
        <w:top w:val="none" w:sz="0" w:space="0" w:color="auto"/>
        <w:left w:val="none" w:sz="0" w:space="0" w:color="auto"/>
        <w:bottom w:val="none" w:sz="0" w:space="0" w:color="auto"/>
        <w:right w:val="none" w:sz="0" w:space="0" w:color="auto"/>
      </w:divBdr>
    </w:div>
    <w:div w:id="1874341017">
      <w:bodyDiv w:val="1"/>
      <w:marLeft w:val="0"/>
      <w:marRight w:val="0"/>
      <w:marTop w:val="0"/>
      <w:marBottom w:val="0"/>
      <w:divBdr>
        <w:top w:val="none" w:sz="0" w:space="0" w:color="auto"/>
        <w:left w:val="none" w:sz="0" w:space="0" w:color="auto"/>
        <w:bottom w:val="none" w:sz="0" w:space="0" w:color="auto"/>
        <w:right w:val="none" w:sz="0" w:space="0" w:color="auto"/>
      </w:divBdr>
    </w:div>
    <w:div w:id="1874343601">
      <w:bodyDiv w:val="1"/>
      <w:marLeft w:val="0"/>
      <w:marRight w:val="0"/>
      <w:marTop w:val="0"/>
      <w:marBottom w:val="0"/>
      <w:divBdr>
        <w:top w:val="none" w:sz="0" w:space="0" w:color="auto"/>
        <w:left w:val="none" w:sz="0" w:space="0" w:color="auto"/>
        <w:bottom w:val="none" w:sz="0" w:space="0" w:color="auto"/>
        <w:right w:val="none" w:sz="0" w:space="0" w:color="auto"/>
      </w:divBdr>
    </w:div>
    <w:div w:id="1874347682">
      <w:bodyDiv w:val="1"/>
      <w:marLeft w:val="0"/>
      <w:marRight w:val="0"/>
      <w:marTop w:val="0"/>
      <w:marBottom w:val="0"/>
      <w:divBdr>
        <w:top w:val="none" w:sz="0" w:space="0" w:color="auto"/>
        <w:left w:val="none" w:sz="0" w:space="0" w:color="auto"/>
        <w:bottom w:val="none" w:sz="0" w:space="0" w:color="auto"/>
        <w:right w:val="none" w:sz="0" w:space="0" w:color="auto"/>
      </w:divBdr>
    </w:div>
    <w:div w:id="1874461812">
      <w:bodyDiv w:val="1"/>
      <w:marLeft w:val="0"/>
      <w:marRight w:val="0"/>
      <w:marTop w:val="0"/>
      <w:marBottom w:val="0"/>
      <w:divBdr>
        <w:top w:val="none" w:sz="0" w:space="0" w:color="auto"/>
        <w:left w:val="none" w:sz="0" w:space="0" w:color="auto"/>
        <w:bottom w:val="none" w:sz="0" w:space="0" w:color="auto"/>
        <w:right w:val="none" w:sz="0" w:space="0" w:color="auto"/>
      </w:divBdr>
    </w:div>
    <w:div w:id="1874463997">
      <w:bodyDiv w:val="1"/>
      <w:marLeft w:val="0"/>
      <w:marRight w:val="0"/>
      <w:marTop w:val="0"/>
      <w:marBottom w:val="0"/>
      <w:divBdr>
        <w:top w:val="none" w:sz="0" w:space="0" w:color="auto"/>
        <w:left w:val="none" w:sz="0" w:space="0" w:color="auto"/>
        <w:bottom w:val="none" w:sz="0" w:space="0" w:color="auto"/>
        <w:right w:val="none" w:sz="0" w:space="0" w:color="auto"/>
      </w:divBdr>
    </w:div>
    <w:div w:id="1874464748">
      <w:bodyDiv w:val="1"/>
      <w:marLeft w:val="0"/>
      <w:marRight w:val="0"/>
      <w:marTop w:val="0"/>
      <w:marBottom w:val="0"/>
      <w:divBdr>
        <w:top w:val="none" w:sz="0" w:space="0" w:color="auto"/>
        <w:left w:val="none" w:sz="0" w:space="0" w:color="auto"/>
        <w:bottom w:val="none" w:sz="0" w:space="0" w:color="auto"/>
        <w:right w:val="none" w:sz="0" w:space="0" w:color="auto"/>
      </w:divBdr>
    </w:div>
    <w:div w:id="1874534132">
      <w:bodyDiv w:val="1"/>
      <w:marLeft w:val="0"/>
      <w:marRight w:val="0"/>
      <w:marTop w:val="0"/>
      <w:marBottom w:val="0"/>
      <w:divBdr>
        <w:top w:val="none" w:sz="0" w:space="0" w:color="auto"/>
        <w:left w:val="none" w:sz="0" w:space="0" w:color="auto"/>
        <w:bottom w:val="none" w:sz="0" w:space="0" w:color="auto"/>
        <w:right w:val="none" w:sz="0" w:space="0" w:color="auto"/>
      </w:divBdr>
    </w:div>
    <w:div w:id="1874539250">
      <w:bodyDiv w:val="1"/>
      <w:marLeft w:val="0"/>
      <w:marRight w:val="0"/>
      <w:marTop w:val="0"/>
      <w:marBottom w:val="0"/>
      <w:divBdr>
        <w:top w:val="none" w:sz="0" w:space="0" w:color="auto"/>
        <w:left w:val="none" w:sz="0" w:space="0" w:color="auto"/>
        <w:bottom w:val="none" w:sz="0" w:space="0" w:color="auto"/>
        <w:right w:val="none" w:sz="0" w:space="0" w:color="auto"/>
      </w:divBdr>
    </w:div>
    <w:div w:id="1874609567">
      <w:bodyDiv w:val="1"/>
      <w:marLeft w:val="0"/>
      <w:marRight w:val="0"/>
      <w:marTop w:val="0"/>
      <w:marBottom w:val="0"/>
      <w:divBdr>
        <w:top w:val="none" w:sz="0" w:space="0" w:color="auto"/>
        <w:left w:val="none" w:sz="0" w:space="0" w:color="auto"/>
        <w:bottom w:val="none" w:sz="0" w:space="0" w:color="auto"/>
        <w:right w:val="none" w:sz="0" w:space="0" w:color="auto"/>
      </w:divBdr>
    </w:div>
    <w:div w:id="1874683668">
      <w:bodyDiv w:val="1"/>
      <w:marLeft w:val="0"/>
      <w:marRight w:val="0"/>
      <w:marTop w:val="0"/>
      <w:marBottom w:val="0"/>
      <w:divBdr>
        <w:top w:val="none" w:sz="0" w:space="0" w:color="auto"/>
        <w:left w:val="none" w:sz="0" w:space="0" w:color="auto"/>
        <w:bottom w:val="none" w:sz="0" w:space="0" w:color="auto"/>
        <w:right w:val="none" w:sz="0" w:space="0" w:color="auto"/>
      </w:divBdr>
    </w:div>
    <w:div w:id="1874803892">
      <w:bodyDiv w:val="1"/>
      <w:marLeft w:val="0"/>
      <w:marRight w:val="0"/>
      <w:marTop w:val="0"/>
      <w:marBottom w:val="0"/>
      <w:divBdr>
        <w:top w:val="none" w:sz="0" w:space="0" w:color="auto"/>
        <w:left w:val="none" w:sz="0" w:space="0" w:color="auto"/>
        <w:bottom w:val="none" w:sz="0" w:space="0" w:color="auto"/>
        <w:right w:val="none" w:sz="0" w:space="0" w:color="auto"/>
      </w:divBdr>
    </w:div>
    <w:div w:id="1874804725">
      <w:bodyDiv w:val="1"/>
      <w:marLeft w:val="0"/>
      <w:marRight w:val="0"/>
      <w:marTop w:val="0"/>
      <w:marBottom w:val="0"/>
      <w:divBdr>
        <w:top w:val="none" w:sz="0" w:space="0" w:color="auto"/>
        <w:left w:val="none" w:sz="0" w:space="0" w:color="auto"/>
        <w:bottom w:val="none" w:sz="0" w:space="0" w:color="auto"/>
        <w:right w:val="none" w:sz="0" w:space="0" w:color="auto"/>
      </w:divBdr>
    </w:div>
    <w:div w:id="1874876318">
      <w:bodyDiv w:val="1"/>
      <w:marLeft w:val="0"/>
      <w:marRight w:val="0"/>
      <w:marTop w:val="0"/>
      <w:marBottom w:val="0"/>
      <w:divBdr>
        <w:top w:val="none" w:sz="0" w:space="0" w:color="auto"/>
        <w:left w:val="none" w:sz="0" w:space="0" w:color="auto"/>
        <w:bottom w:val="none" w:sz="0" w:space="0" w:color="auto"/>
        <w:right w:val="none" w:sz="0" w:space="0" w:color="auto"/>
      </w:divBdr>
    </w:div>
    <w:div w:id="1874924775">
      <w:bodyDiv w:val="1"/>
      <w:marLeft w:val="0"/>
      <w:marRight w:val="0"/>
      <w:marTop w:val="0"/>
      <w:marBottom w:val="0"/>
      <w:divBdr>
        <w:top w:val="none" w:sz="0" w:space="0" w:color="auto"/>
        <w:left w:val="none" w:sz="0" w:space="0" w:color="auto"/>
        <w:bottom w:val="none" w:sz="0" w:space="0" w:color="auto"/>
        <w:right w:val="none" w:sz="0" w:space="0" w:color="auto"/>
      </w:divBdr>
    </w:div>
    <w:div w:id="1874994473">
      <w:bodyDiv w:val="1"/>
      <w:marLeft w:val="0"/>
      <w:marRight w:val="0"/>
      <w:marTop w:val="0"/>
      <w:marBottom w:val="0"/>
      <w:divBdr>
        <w:top w:val="none" w:sz="0" w:space="0" w:color="auto"/>
        <w:left w:val="none" w:sz="0" w:space="0" w:color="auto"/>
        <w:bottom w:val="none" w:sz="0" w:space="0" w:color="auto"/>
        <w:right w:val="none" w:sz="0" w:space="0" w:color="auto"/>
      </w:divBdr>
    </w:div>
    <w:div w:id="1875075181">
      <w:bodyDiv w:val="1"/>
      <w:marLeft w:val="0"/>
      <w:marRight w:val="0"/>
      <w:marTop w:val="0"/>
      <w:marBottom w:val="0"/>
      <w:divBdr>
        <w:top w:val="none" w:sz="0" w:space="0" w:color="auto"/>
        <w:left w:val="none" w:sz="0" w:space="0" w:color="auto"/>
        <w:bottom w:val="none" w:sz="0" w:space="0" w:color="auto"/>
        <w:right w:val="none" w:sz="0" w:space="0" w:color="auto"/>
      </w:divBdr>
    </w:div>
    <w:div w:id="1875076931">
      <w:bodyDiv w:val="1"/>
      <w:marLeft w:val="0"/>
      <w:marRight w:val="0"/>
      <w:marTop w:val="0"/>
      <w:marBottom w:val="0"/>
      <w:divBdr>
        <w:top w:val="none" w:sz="0" w:space="0" w:color="auto"/>
        <w:left w:val="none" w:sz="0" w:space="0" w:color="auto"/>
        <w:bottom w:val="none" w:sz="0" w:space="0" w:color="auto"/>
        <w:right w:val="none" w:sz="0" w:space="0" w:color="auto"/>
      </w:divBdr>
    </w:div>
    <w:div w:id="1875117594">
      <w:bodyDiv w:val="1"/>
      <w:marLeft w:val="0"/>
      <w:marRight w:val="0"/>
      <w:marTop w:val="0"/>
      <w:marBottom w:val="0"/>
      <w:divBdr>
        <w:top w:val="none" w:sz="0" w:space="0" w:color="auto"/>
        <w:left w:val="none" w:sz="0" w:space="0" w:color="auto"/>
        <w:bottom w:val="none" w:sz="0" w:space="0" w:color="auto"/>
        <w:right w:val="none" w:sz="0" w:space="0" w:color="auto"/>
      </w:divBdr>
    </w:div>
    <w:div w:id="1875119069">
      <w:bodyDiv w:val="1"/>
      <w:marLeft w:val="0"/>
      <w:marRight w:val="0"/>
      <w:marTop w:val="0"/>
      <w:marBottom w:val="0"/>
      <w:divBdr>
        <w:top w:val="none" w:sz="0" w:space="0" w:color="auto"/>
        <w:left w:val="none" w:sz="0" w:space="0" w:color="auto"/>
        <w:bottom w:val="none" w:sz="0" w:space="0" w:color="auto"/>
        <w:right w:val="none" w:sz="0" w:space="0" w:color="auto"/>
      </w:divBdr>
    </w:div>
    <w:div w:id="1875456333">
      <w:bodyDiv w:val="1"/>
      <w:marLeft w:val="0"/>
      <w:marRight w:val="0"/>
      <w:marTop w:val="0"/>
      <w:marBottom w:val="0"/>
      <w:divBdr>
        <w:top w:val="none" w:sz="0" w:space="0" w:color="auto"/>
        <w:left w:val="none" w:sz="0" w:space="0" w:color="auto"/>
        <w:bottom w:val="none" w:sz="0" w:space="0" w:color="auto"/>
        <w:right w:val="none" w:sz="0" w:space="0" w:color="auto"/>
      </w:divBdr>
    </w:div>
    <w:div w:id="1875463898">
      <w:bodyDiv w:val="1"/>
      <w:marLeft w:val="0"/>
      <w:marRight w:val="0"/>
      <w:marTop w:val="0"/>
      <w:marBottom w:val="0"/>
      <w:divBdr>
        <w:top w:val="none" w:sz="0" w:space="0" w:color="auto"/>
        <w:left w:val="none" w:sz="0" w:space="0" w:color="auto"/>
        <w:bottom w:val="none" w:sz="0" w:space="0" w:color="auto"/>
        <w:right w:val="none" w:sz="0" w:space="0" w:color="auto"/>
      </w:divBdr>
    </w:div>
    <w:div w:id="1875540168">
      <w:bodyDiv w:val="1"/>
      <w:marLeft w:val="0"/>
      <w:marRight w:val="0"/>
      <w:marTop w:val="0"/>
      <w:marBottom w:val="0"/>
      <w:divBdr>
        <w:top w:val="none" w:sz="0" w:space="0" w:color="auto"/>
        <w:left w:val="none" w:sz="0" w:space="0" w:color="auto"/>
        <w:bottom w:val="none" w:sz="0" w:space="0" w:color="auto"/>
        <w:right w:val="none" w:sz="0" w:space="0" w:color="auto"/>
      </w:divBdr>
    </w:div>
    <w:div w:id="1875772533">
      <w:bodyDiv w:val="1"/>
      <w:marLeft w:val="0"/>
      <w:marRight w:val="0"/>
      <w:marTop w:val="0"/>
      <w:marBottom w:val="0"/>
      <w:divBdr>
        <w:top w:val="none" w:sz="0" w:space="0" w:color="auto"/>
        <w:left w:val="none" w:sz="0" w:space="0" w:color="auto"/>
        <w:bottom w:val="none" w:sz="0" w:space="0" w:color="auto"/>
        <w:right w:val="none" w:sz="0" w:space="0" w:color="auto"/>
      </w:divBdr>
    </w:div>
    <w:div w:id="1875774853">
      <w:bodyDiv w:val="1"/>
      <w:marLeft w:val="0"/>
      <w:marRight w:val="0"/>
      <w:marTop w:val="0"/>
      <w:marBottom w:val="0"/>
      <w:divBdr>
        <w:top w:val="none" w:sz="0" w:space="0" w:color="auto"/>
        <w:left w:val="none" w:sz="0" w:space="0" w:color="auto"/>
        <w:bottom w:val="none" w:sz="0" w:space="0" w:color="auto"/>
        <w:right w:val="none" w:sz="0" w:space="0" w:color="auto"/>
      </w:divBdr>
    </w:div>
    <w:div w:id="1875845437">
      <w:bodyDiv w:val="1"/>
      <w:marLeft w:val="0"/>
      <w:marRight w:val="0"/>
      <w:marTop w:val="0"/>
      <w:marBottom w:val="0"/>
      <w:divBdr>
        <w:top w:val="none" w:sz="0" w:space="0" w:color="auto"/>
        <w:left w:val="none" w:sz="0" w:space="0" w:color="auto"/>
        <w:bottom w:val="none" w:sz="0" w:space="0" w:color="auto"/>
        <w:right w:val="none" w:sz="0" w:space="0" w:color="auto"/>
      </w:divBdr>
    </w:div>
    <w:div w:id="1875926467">
      <w:bodyDiv w:val="1"/>
      <w:marLeft w:val="0"/>
      <w:marRight w:val="0"/>
      <w:marTop w:val="0"/>
      <w:marBottom w:val="0"/>
      <w:divBdr>
        <w:top w:val="none" w:sz="0" w:space="0" w:color="auto"/>
        <w:left w:val="none" w:sz="0" w:space="0" w:color="auto"/>
        <w:bottom w:val="none" w:sz="0" w:space="0" w:color="auto"/>
        <w:right w:val="none" w:sz="0" w:space="0" w:color="auto"/>
      </w:divBdr>
    </w:div>
    <w:div w:id="1875996558">
      <w:bodyDiv w:val="1"/>
      <w:marLeft w:val="0"/>
      <w:marRight w:val="0"/>
      <w:marTop w:val="0"/>
      <w:marBottom w:val="0"/>
      <w:divBdr>
        <w:top w:val="none" w:sz="0" w:space="0" w:color="auto"/>
        <w:left w:val="none" w:sz="0" w:space="0" w:color="auto"/>
        <w:bottom w:val="none" w:sz="0" w:space="0" w:color="auto"/>
        <w:right w:val="none" w:sz="0" w:space="0" w:color="auto"/>
      </w:divBdr>
    </w:div>
    <w:div w:id="1876035852">
      <w:bodyDiv w:val="1"/>
      <w:marLeft w:val="0"/>
      <w:marRight w:val="0"/>
      <w:marTop w:val="0"/>
      <w:marBottom w:val="0"/>
      <w:divBdr>
        <w:top w:val="none" w:sz="0" w:space="0" w:color="auto"/>
        <w:left w:val="none" w:sz="0" w:space="0" w:color="auto"/>
        <w:bottom w:val="none" w:sz="0" w:space="0" w:color="auto"/>
        <w:right w:val="none" w:sz="0" w:space="0" w:color="auto"/>
      </w:divBdr>
    </w:div>
    <w:div w:id="1876042852">
      <w:bodyDiv w:val="1"/>
      <w:marLeft w:val="0"/>
      <w:marRight w:val="0"/>
      <w:marTop w:val="0"/>
      <w:marBottom w:val="0"/>
      <w:divBdr>
        <w:top w:val="none" w:sz="0" w:space="0" w:color="auto"/>
        <w:left w:val="none" w:sz="0" w:space="0" w:color="auto"/>
        <w:bottom w:val="none" w:sz="0" w:space="0" w:color="auto"/>
        <w:right w:val="none" w:sz="0" w:space="0" w:color="auto"/>
      </w:divBdr>
    </w:div>
    <w:div w:id="1876231465">
      <w:bodyDiv w:val="1"/>
      <w:marLeft w:val="0"/>
      <w:marRight w:val="0"/>
      <w:marTop w:val="0"/>
      <w:marBottom w:val="0"/>
      <w:divBdr>
        <w:top w:val="none" w:sz="0" w:space="0" w:color="auto"/>
        <w:left w:val="none" w:sz="0" w:space="0" w:color="auto"/>
        <w:bottom w:val="none" w:sz="0" w:space="0" w:color="auto"/>
        <w:right w:val="none" w:sz="0" w:space="0" w:color="auto"/>
      </w:divBdr>
    </w:div>
    <w:div w:id="1876237303">
      <w:bodyDiv w:val="1"/>
      <w:marLeft w:val="0"/>
      <w:marRight w:val="0"/>
      <w:marTop w:val="0"/>
      <w:marBottom w:val="0"/>
      <w:divBdr>
        <w:top w:val="none" w:sz="0" w:space="0" w:color="auto"/>
        <w:left w:val="none" w:sz="0" w:space="0" w:color="auto"/>
        <w:bottom w:val="none" w:sz="0" w:space="0" w:color="auto"/>
        <w:right w:val="none" w:sz="0" w:space="0" w:color="auto"/>
      </w:divBdr>
    </w:div>
    <w:div w:id="1876305709">
      <w:bodyDiv w:val="1"/>
      <w:marLeft w:val="0"/>
      <w:marRight w:val="0"/>
      <w:marTop w:val="0"/>
      <w:marBottom w:val="0"/>
      <w:divBdr>
        <w:top w:val="none" w:sz="0" w:space="0" w:color="auto"/>
        <w:left w:val="none" w:sz="0" w:space="0" w:color="auto"/>
        <w:bottom w:val="none" w:sz="0" w:space="0" w:color="auto"/>
        <w:right w:val="none" w:sz="0" w:space="0" w:color="auto"/>
      </w:divBdr>
    </w:div>
    <w:div w:id="1876308975">
      <w:bodyDiv w:val="1"/>
      <w:marLeft w:val="0"/>
      <w:marRight w:val="0"/>
      <w:marTop w:val="0"/>
      <w:marBottom w:val="0"/>
      <w:divBdr>
        <w:top w:val="none" w:sz="0" w:space="0" w:color="auto"/>
        <w:left w:val="none" w:sz="0" w:space="0" w:color="auto"/>
        <w:bottom w:val="none" w:sz="0" w:space="0" w:color="auto"/>
        <w:right w:val="none" w:sz="0" w:space="0" w:color="auto"/>
      </w:divBdr>
    </w:div>
    <w:div w:id="1876311116">
      <w:bodyDiv w:val="1"/>
      <w:marLeft w:val="0"/>
      <w:marRight w:val="0"/>
      <w:marTop w:val="0"/>
      <w:marBottom w:val="0"/>
      <w:divBdr>
        <w:top w:val="none" w:sz="0" w:space="0" w:color="auto"/>
        <w:left w:val="none" w:sz="0" w:space="0" w:color="auto"/>
        <w:bottom w:val="none" w:sz="0" w:space="0" w:color="auto"/>
        <w:right w:val="none" w:sz="0" w:space="0" w:color="auto"/>
      </w:divBdr>
    </w:div>
    <w:div w:id="1876429913">
      <w:bodyDiv w:val="1"/>
      <w:marLeft w:val="0"/>
      <w:marRight w:val="0"/>
      <w:marTop w:val="0"/>
      <w:marBottom w:val="0"/>
      <w:divBdr>
        <w:top w:val="none" w:sz="0" w:space="0" w:color="auto"/>
        <w:left w:val="none" w:sz="0" w:space="0" w:color="auto"/>
        <w:bottom w:val="none" w:sz="0" w:space="0" w:color="auto"/>
        <w:right w:val="none" w:sz="0" w:space="0" w:color="auto"/>
      </w:divBdr>
    </w:div>
    <w:div w:id="1876430206">
      <w:bodyDiv w:val="1"/>
      <w:marLeft w:val="0"/>
      <w:marRight w:val="0"/>
      <w:marTop w:val="0"/>
      <w:marBottom w:val="0"/>
      <w:divBdr>
        <w:top w:val="none" w:sz="0" w:space="0" w:color="auto"/>
        <w:left w:val="none" w:sz="0" w:space="0" w:color="auto"/>
        <w:bottom w:val="none" w:sz="0" w:space="0" w:color="auto"/>
        <w:right w:val="none" w:sz="0" w:space="0" w:color="auto"/>
      </w:divBdr>
    </w:div>
    <w:div w:id="1876502210">
      <w:bodyDiv w:val="1"/>
      <w:marLeft w:val="0"/>
      <w:marRight w:val="0"/>
      <w:marTop w:val="0"/>
      <w:marBottom w:val="0"/>
      <w:divBdr>
        <w:top w:val="none" w:sz="0" w:space="0" w:color="auto"/>
        <w:left w:val="none" w:sz="0" w:space="0" w:color="auto"/>
        <w:bottom w:val="none" w:sz="0" w:space="0" w:color="auto"/>
        <w:right w:val="none" w:sz="0" w:space="0" w:color="auto"/>
      </w:divBdr>
    </w:div>
    <w:div w:id="1876652218">
      <w:bodyDiv w:val="1"/>
      <w:marLeft w:val="0"/>
      <w:marRight w:val="0"/>
      <w:marTop w:val="0"/>
      <w:marBottom w:val="0"/>
      <w:divBdr>
        <w:top w:val="none" w:sz="0" w:space="0" w:color="auto"/>
        <w:left w:val="none" w:sz="0" w:space="0" w:color="auto"/>
        <w:bottom w:val="none" w:sz="0" w:space="0" w:color="auto"/>
        <w:right w:val="none" w:sz="0" w:space="0" w:color="auto"/>
      </w:divBdr>
    </w:div>
    <w:div w:id="1876653317">
      <w:bodyDiv w:val="1"/>
      <w:marLeft w:val="0"/>
      <w:marRight w:val="0"/>
      <w:marTop w:val="0"/>
      <w:marBottom w:val="0"/>
      <w:divBdr>
        <w:top w:val="none" w:sz="0" w:space="0" w:color="auto"/>
        <w:left w:val="none" w:sz="0" w:space="0" w:color="auto"/>
        <w:bottom w:val="none" w:sz="0" w:space="0" w:color="auto"/>
        <w:right w:val="none" w:sz="0" w:space="0" w:color="auto"/>
      </w:divBdr>
    </w:div>
    <w:div w:id="1876691515">
      <w:bodyDiv w:val="1"/>
      <w:marLeft w:val="0"/>
      <w:marRight w:val="0"/>
      <w:marTop w:val="0"/>
      <w:marBottom w:val="0"/>
      <w:divBdr>
        <w:top w:val="none" w:sz="0" w:space="0" w:color="auto"/>
        <w:left w:val="none" w:sz="0" w:space="0" w:color="auto"/>
        <w:bottom w:val="none" w:sz="0" w:space="0" w:color="auto"/>
        <w:right w:val="none" w:sz="0" w:space="0" w:color="auto"/>
      </w:divBdr>
    </w:div>
    <w:div w:id="1876693121">
      <w:bodyDiv w:val="1"/>
      <w:marLeft w:val="0"/>
      <w:marRight w:val="0"/>
      <w:marTop w:val="0"/>
      <w:marBottom w:val="0"/>
      <w:divBdr>
        <w:top w:val="none" w:sz="0" w:space="0" w:color="auto"/>
        <w:left w:val="none" w:sz="0" w:space="0" w:color="auto"/>
        <w:bottom w:val="none" w:sz="0" w:space="0" w:color="auto"/>
        <w:right w:val="none" w:sz="0" w:space="0" w:color="auto"/>
      </w:divBdr>
    </w:div>
    <w:div w:id="1876695511">
      <w:bodyDiv w:val="1"/>
      <w:marLeft w:val="0"/>
      <w:marRight w:val="0"/>
      <w:marTop w:val="0"/>
      <w:marBottom w:val="0"/>
      <w:divBdr>
        <w:top w:val="none" w:sz="0" w:space="0" w:color="auto"/>
        <w:left w:val="none" w:sz="0" w:space="0" w:color="auto"/>
        <w:bottom w:val="none" w:sz="0" w:space="0" w:color="auto"/>
        <w:right w:val="none" w:sz="0" w:space="0" w:color="auto"/>
      </w:divBdr>
    </w:div>
    <w:div w:id="1876700148">
      <w:bodyDiv w:val="1"/>
      <w:marLeft w:val="0"/>
      <w:marRight w:val="0"/>
      <w:marTop w:val="0"/>
      <w:marBottom w:val="0"/>
      <w:divBdr>
        <w:top w:val="none" w:sz="0" w:space="0" w:color="auto"/>
        <w:left w:val="none" w:sz="0" w:space="0" w:color="auto"/>
        <w:bottom w:val="none" w:sz="0" w:space="0" w:color="auto"/>
        <w:right w:val="none" w:sz="0" w:space="0" w:color="auto"/>
      </w:divBdr>
    </w:div>
    <w:div w:id="1876771453">
      <w:bodyDiv w:val="1"/>
      <w:marLeft w:val="0"/>
      <w:marRight w:val="0"/>
      <w:marTop w:val="0"/>
      <w:marBottom w:val="0"/>
      <w:divBdr>
        <w:top w:val="none" w:sz="0" w:space="0" w:color="auto"/>
        <w:left w:val="none" w:sz="0" w:space="0" w:color="auto"/>
        <w:bottom w:val="none" w:sz="0" w:space="0" w:color="auto"/>
        <w:right w:val="none" w:sz="0" w:space="0" w:color="auto"/>
      </w:divBdr>
    </w:div>
    <w:div w:id="1876773874">
      <w:bodyDiv w:val="1"/>
      <w:marLeft w:val="0"/>
      <w:marRight w:val="0"/>
      <w:marTop w:val="0"/>
      <w:marBottom w:val="0"/>
      <w:divBdr>
        <w:top w:val="none" w:sz="0" w:space="0" w:color="auto"/>
        <w:left w:val="none" w:sz="0" w:space="0" w:color="auto"/>
        <w:bottom w:val="none" w:sz="0" w:space="0" w:color="auto"/>
        <w:right w:val="none" w:sz="0" w:space="0" w:color="auto"/>
      </w:divBdr>
    </w:div>
    <w:div w:id="1876847397">
      <w:bodyDiv w:val="1"/>
      <w:marLeft w:val="0"/>
      <w:marRight w:val="0"/>
      <w:marTop w:val="0"/>
      <w:marBottom w:val="0"/>
      <w:divBdr>
        <w:top w:val="none" w:sz="0" w:space="0" w:color="auto"/>
        <w:left w:val="none" w:sz="0" w:space="0" w:color="auto"/>
        <w:bottom w:val="none" w:sz="0" w:space="0" w:color="auto"/>
        <w:right w:val="none" w:sz="0" w:space="0" w:color="auto"/>
      </w:divBdr>
    </w:div>
    <w:div w:id="1876961677">
      <w:bodyDiv w:val="1"/>
      <w:marLeft w:val="0"/>
      <w:marRight w:val="0"/>
      <w:marTop w:val="0"/>
      <w:marBottom w:val="0"/>
      <w:divBdr>
        <w:top w:val="none" w:sz="0" w:space="0" w:color="auto"/>
        <w:left w:val="none" w:sz="0" w:space="0" w:color="auto"/>
        <w:bottom w:val="none" w:sz="0" w:space="0" w:color="auto"/>
        <w:right w:val="none" w:sz="0" w:space="0" w:color="auto"/>
      </w:divBdr>
    </w:div>
    <w:div w:id="1876966167">
      <w:bodyDiv w:val="1"/>
      <w:marLeft w:val="0"/>
      <w:marRight w:val="0"/>
      <w:marTop w:val="0"/>
      <w:marBottom w:val="0"/>
      <w:divBdr>
        <w:top w:val="none" w:sz="0" w:space="0" w:color="auto"/>
        <w:left w:val="none" w:sz="0" w:space="0" w:color="auto"/>
        <w:bottom w:val="none" w:sz="0" w:space="0" w:color="auto"/>
        <w:right w:val="none" w:sz="0" w:space="0" w:color="auto"/>
      </w:divBdr>
    </w:div>
    <w:div w:id="1877112248">
      <w:bodyDiv w:val="1"/>
      <w:marLeft w:val="0"/>
      <w:marRight w:val="0"/>
      <w:marTop w:val="0"/>
      <w:marBottom w:val="0"/>
      <w:divBdr>
        <w:top w:val="none" w:sz="0" w:space="0" w:color="auto"/>
        <w:left w:val="none" w:sz="0" w:space="0" w:color="auto"/>
        <w:bottom w:val="none" w:sz="0" w:space="0" w:color="auto"/>
        <w:right w:val="none" w:sz="0" w:space="0" w:color="auto"/>
      </w:divBdr>
    </w:div>
    <w:div w:id="1877112403">
      <w:bodyDiv w:val="1"/>
      <w:marLeft w:val="0"/>
      <w:marRight w:val="0"/>
      <w:marTop w:val="0"/>
      <w:marBottom w:val="0"/>
      <w:divBdr>
        <w:top w:val="none" w:sz="0" w:space="0" w:color="auto"/>
        <w:left w:val="none" w:sz="0" w:space="0" w:color="auto"/>
        <w:bottom w:val="none" w:sz="0" w:space="0" w:color="auto"/>
        <w:right w:val="none" w:sz="0" w:space="0" w:color="auto"/>
      </w:divBdr>
    </w:div>
    <w:div w:id="1877154919">
      <w:bodyDiv w:val="1"/>
      <w:marLeft w:val="0"/>
      <w:marRight w:val="0"/>
      <w:marTop w:val="0"/>
      <w:marBottom w:val="0"/>
      <w:divBdr>
        <w:top w:val="none" w:sz="0" w:space="0" w:color="auto"/>
        <w:left w:val="none" w:sz="0" w:space="0" w:color="auto"/>
        <w:bottom w:val="none" w:sz="0" w:space="0" w:color="auto"/>
        <w:right w:val="none" w:sz="0" w:space="0" w:color="auto"/>
      </w:divBdr>
    </w:div>
    <w:div w:id="1877156111">
      <w:bodyDiv w:val="1"/>
      <w:marLeft w:val="0"/>
      <w:marRight w:val="0"/>
      <w:marTop w:val="0"/>
      <w:marBottom w:val="0"/>
      <w:divBdr>
        <w:top w:val="none" w:sz="0" w:space="0" w:color="auto"/>
        <w:left w:val="none" w:sz="0" w:space="0" w:color="auto"/>
        <w:bottom w:val="none" w:sz="0" w:space="0" w:color="auto"/>
        <w:right w:val="none" w:sz="0" w:space="0" w:color="auto"/>
      </w:divBdr>
    </w:div>
    <w:div w:id="1877158952">
      <w:bodyDiv w:val="1"/>
      <w:marLeft w:val="0"/>
      <w:marRight w:val="0"/>
      <w:marTop w:val="0"/>
      <w:marBottom w:val="0"/>
      <w:divBdr>
        <w:top w:val="none" w:sz="0" w:space="0" w:color="auto"/>
        <w:left w:val="none" w:sz="0" w:space="0" w:color="auto"/>
        <w:bottom w:val="none" w:sz="0" w:space="0" w:color="auto"/>
        <w:right w:val="none" w:sz="0" w:space="0" w:color="auto"/>
      </w:divBdr>
    </w:div>
    <w:div w:id="1877237738">
      <w:bodyDiv w:val="1"/>
      <w:marLeft w:val="0"/>
      <w:marRight w:val="0"/>
      <w:marTop w:val="0"/>
      <w:marBottom w:val="0"/>
      <w:divBdr>
        <w:top w:val="none" w:sz="0" w:space="0" w:color="auto"/>
        <w:left w:val="none" w:sz="0" w:space="0" w:color="auto"/>
        <w:bottom w:val="none" w:sz="0" w:space="0" w:color="auto"/>
        <w:right w:val="none" w:sz="0" w:space="0" w:color="auto"/>
      </w:divBdr>
    </w:div>
    <w:div w:id="1877304137">
      <w:bodyDiv w:val="1"/>
      <w:marLeft w:val="0"/>
      <w:marRight w:val="0"/>
      <w:marTop w:val="0"/>
      <w:marBottom w:val="0"/>
      <w:divBdr>
        <w:top w:val="none" w:sz="0" w:space="0" w:color="auto"/>
        <w:left w:val="none" w:sz="0" w:space="0" w:color="auto"/>
        <w:bottom w:val="none" w:sz="0" w:space="0" w:color="auto"/>
        <w:right w:val="none" w:sz="0" w:space="0" w:color="auto"/>
      </w:divBdr>
    </w:div>
    <w:div w:id="1877347241">
      <w:bodyDiv w:val="1"/>
      <w:marLeft w:val="0"/>
      <w:marRight w:val="0"/>
      <w:marTop w:val="0"/>
      <w:marBottom w:val="0"/>
      <w:divBdr>
        <w:top w:val="none" w:sz="0" w:space="0" w:color="auto"/>
        <w:left w:val="none" w:sz="0" w:space="0" w:color="auto"/>
        <w:bottom w:val="none" w:sz="0" w:space="0" w:color="auto"/>
        <w:right w:val="none" w:sz="0" w:space="0" w:color="auto"/>
      </w:divBdr>
    </w:div>
    <w:div w:id="1877424476">
      <w:bodyDiv w:val="1"/>
      <w:marLeft w:val="0"/>
      <w:marRight w:val="0"/>
      <w:marTop w:val="0"/>
      <w:marBottom w:val="0"/>
      <w:divBdr>
        <w:top w:val="none" w:sz="0" w:space="0" w:color="auto"/>
        <w:left w:val="none" w:sz="0" w:space="0" w:color="auto"/>
        <w:bottom w:val="none" w:sz="0" w:space="0" w:color="auto"/>
        <w:right w:val="none" w:sz="0" w:space="0" w:color="auto"/>
      </w:divBdr>
    </w:div>
    <w:div w:id="1877427953">
      <w:bodyDiv w:val="1"/>
      <w:marLeft w:val="0"/>
      <w:marRight w:val="0"/>
      <w:marTop w:val="0"/>
      <w:marBottom w:val="0"/>
      <w:divBdr>
        <w:top w:val="none" w:sz="0" w:space="0" w:color="auto"/>
        <w:left w:val="none" w:sz="0" w:space="0" w:color="auto"/>
        <w:bottom w:val="none" w:sz="0" w:space="0" w:color="auto"/>
        <w:right w:val="none" w:sz="0" w:space="0" w:color="auto"/>
      </w:divBdr>
    </w:div>
    <w:div w:id="1877503427">
      <w:bodyDiv w:val="1"/>
      <w:marLeft w:val="0"/>
      <w:marRight w:val="0"/>
      <w:marTop w:val="0"/>
      <w:marBottom w:val="0"/>
      <w:divBdr>
        <w:top w:val="none" w:sz="0" w:space="0" w:color="auto"/>
        <w:left w:val="none" w:sz="0" w:space="0" w:color="auto"/>
        <w:bottom w:val="none" w:sz="0" w:space="0" w:color="auto"/>
        <w:right w:val="none" w:sz="0" w:space="0" w:color="auto"/>
      </w:divBdr>
    </w:div>
    <w:div w:id="1877573127">
      <w:bodyDiv w:val="1"/>
      <w:marLeft w:val="0"/>
      <w:marRight w:val="0"/>
      <w:marTop w:val="0"/>
      <w:marBottom w:val="0"/>
      <w:divBdr>
        <w:top w:val="none" w:sz="0" w:space="0" w:color="auto"/>
        <w:left w:val="none" w:sz="0" w:space="0" w:color="auto"/>
        <w:bottom w:val="none" w:sz="0" w:space="0" w:color="auto"/>
        <w:right w:val="none" w:sz="0" w:space="0" w:color="auto"/>
      </w:divBdr>
    </w:div>
    <w:div w:id="1877621534">
      <w:bodyDiv w:val="1"/>
      <w:marLeft w:val="0"/>
      <w:marRight w:val="0"/>
      <w:marTop w:val="0"/>
      <w:marBottom w:val="0"/>
      <w:divBdr>
        <w:top w:val="none" w:sz="0" w:space="0" w:color="auto"/>
        <w:left w:val="none" w:sz="0" w:space="0" w:color="auto"/>
        <w:bottom w:val="none" w:sz="0" w:space="0" w:color="auto"/>
        <w:right w:val="none" w:sz="0" w:space="0" w:color="auto"/>
      </w:divBdr>
    </w:div>
    <w:div w:id="1877622366">
      <w:bodyDiv w:val="1"/>
      <w:marLeft w:val="0"/>
      <w:marRight w:val="0"/>
      <w:marTop w:val="0"/>
      <w:marBottom w:val="0"/>
      <w:divBdr>
        <w:top w:val="none" w:sz="0" w:space="0" w:color="auto"/>
        <w:left w:val="none" w:sz="0" w:space="0" w:color="auto"/>
        <w:bottom w:val="none" w:sz="0" w:space="0" w:color="auto"/>
        <w:right w:val="none" w:sz="0" w:space="0" w:color="auto"/>
      </w:divBdr>
    </w:div>
    <w:div w:id="1877768786">
      <w:bodyDiv w:val="1"/>
      <w:marLeft w:val="0"/>
      <w:marRight w:val="0"/>
      <w:marTop w:val="0"/>
      <w:marBottom w:val="0"/>
      <w:divBdr>
        <w:top w:val="none" w:sz="0" w:space="0" w:color="auto"/>
        <w:left w:val="none" w:sz="0" w:space="0" w:color="auto"/>
        <w:bottom w:val="none" w:sz="0" w:space="0" w:color="auto"/>
        <w:right w:val="none" w:sz="0" w:space="0" w:color="auto"/>
      </w:divBdr>
    </w:div>
    <w:div w:id="1877890372">
      <w:bodyDiv w:val="1"/>
      <w:marLeft w:val="0"/>
      <w:marRight w:val="0"/>
      <w:marTop w:val="0"/>
      <w:marBottom w:val="0"/>
      <w:divBdr>
        <w:top w:val="none" w:sz="0" w:space="0" w:color="auto"/>
        <w:left w:val="none" w:sz="0" w:space="0" w:color="auto"/>
        <w:bottom w:val="none" w:sz="0" w:space="0" w:color="auto"/>
        <w:right w:val="none" w:sz="0" w:space="0" w:color="auto"/>
      </w:divBdr>
    </w:div>
    <w:div w:id="1878003452">
      <w:bodyDiv w:val="1"/>
      <w:marLeft w:val="0"/>
      <w:marRight w:val="0"/>
      <w:marTop w:val="0"/>
      <w:marBottom w:val="0"/>
      <w:divBdr>
        <w:top w:val="none" w:sz="0" w:space="0" w:color="auto"/>
        <w:left w:val="none" w:sz="0" w:space="0" w:color="auto"/>
        <w:bottom w:val="none" w:sz="0" w:space="0" w:color="auto"/>
        <w:right w:val="none" w:sz="0" w:space="0" w:color="auto"/>
      </w:divBdr>
    </w:div>
    <w:div w:id="1878079715">
      <w:bodyDiv w:val="1"/>
      <w:marLeft w:val="0"/>
      <w:marRight w:val="0"/>
      <w:marTop w:val="0"/>
      <w:marBottom w:val="0"/>
      <w:divBdr>
        <w:top w:val="none" w:sz="0" w:space="0" w:color="auto"/>
        <w:left w:val="none" w:sz="0" w:space="0" w:color="auto"/>
        <w:bottom w:val="none" w:sz="0" w:space="0" w:color="auto"/>
        <w:right w:val="none" w:sz="0" w:space="0" w:color="auto"/>
      </w:divBdr>
    </w:div>
    <w:div w:id="1878274126">
      <w:bodyDiv w:val="1"/>
      <w:marLeft w:val="0"/>
      <w:marRight w:val="0"/>
      <w:marTop w:val="0"/>
      <w:marBottom w:val="0"/>
      <w:divBdr>
        <w:top w:val="none" w:sz="0" w:space="0" w:color="auto"/>
        <w:left w:val="none" w:sz="0" w:space="0" w:color="auto"/>
        <w:bottom w:val="none" w:sz="0" w:space="0" w:color="auto"/>
        <w:right w:val="none" w:sz="0" w:space="0" w:color="auto"/>
      </w:divBdr>
    </w:div>
    <w:div w:id="1878346320">
      <w:bodyDiv w:val="1"/>
      <w:marLeft w:val="0"/>
      <w:marRight w:val="0"/>
      <w:marTop w:val="0"/>
      <w:marBottom w:val="0"/>
      <w:divBdr>
        <w:top w:val="none" w:sz="0" w:space="0" w:color="auto"/>
        <w:left w:val="none" w:sz="0" w:space="0" w:color="auto"/>
        <w:bottom w:val="none" w:sz="0" w:space="0" w:color="auto"/>
        <w:right w:val="none" w:sz="0" w:space="0" w:color="auto"/>
      </w:divBdr>
    </w:div>
    <w:div w:id="1878395115">
      <w:bodyDiv w:val="1"/>
      <w:marLeft w:val="0"/>
      <w:marRight w:val="0"/>
      <w:marTop w:val="0"/>
      <w:marBottom w:val="0"/>
      <w:divBdr>
        <w:top w:val="none" w:sz="0" w:space="0" w:color="auto"/>
        <w:left w:val="none" w:sz="0" w:space="0" w:color="auto"/>
        <w:bottom w:val="none" w:sz="0" w:space="0" w:color="auto"/>
        <w:right w:val="none" w:sz="0" w:space="0" w:color="auto"/>
      </w:divBdr>
    </w:div>
    <w:div w:id="1878421166">
      <w:bodyDiv w:val="1"/>
      <w:marLeft w:val="0"/>
      <w:marRight w:val="0"/>
      <w:marTop w:val="0"/>
      <w:marBottom w:val="0"/>
      <w:divBdr>
        <w:top w:val="none" w:sz="0" w:space="0" w:color="auto"/>
        <w:left w:val="none" w:sz="0" w:space="0" w:color="auto"/>
        <w:bottom w:val="none" w:sz="0" w:space="0" w:color="auto"/>
        <w:right w:val="none" w:sz="0" w:space="0" w:color="auto"/>
      </w:divBdr>
    </w:div>
    <w:div w:id="1878471187">
      <w:bodyDiv w:val="1"/>
      <w:marLeft w:val="0"/>
      <w:marRight w:val="0"/>
      <w:marTop w:val="0"/>
      <w:marBottom w:val="0"/>
      <w:divBdr>
        <w:top w:val="none" w:sz="0" w:space="0" w:color="auto"/>
        <w:left w:val="none" w:sz="0" w:space="0" w:color="auto"/>
        <w:bottom w:val="none" w:sz="0" w:space="0" w:color="auto"/>
        <w:right w:val="none" w:sz="0" w:space="0" w:color="auto"/>
      </w:divBdr>
    </w:div>
    <w:div w:id="1878545117">
      <w:bodyDiv w:val="1"/>
      <w:marLeft w:val="0"/>
      <w:marRight w:val="0"/>
      <w:marTop w:val="0"/>
      <w:marBottom w:val="0"/>
      <w:divBdr>
        <w:top w:val="none" w:sz="0" w:space="0" w:color="auto"/>
        <w:left w:val="none" w:sz="0" w:space="0" w:color="auto"/>
        <w:bottom w:val="none" w:sz="0" w:space="0" w:color="auto"/>
        <w:right w:val="none" w:sz="0" w:space="0" w:color="auto"/>
      </w:divBdr>
    </w:div>
    <w:div w:id="1878547781">
      <w:bodyDiv w:val="1"/>
      <w:marLeft w:val="0"/>
      <w:marRight w:val="0"/>
      <w:marTop w:val="0"/>
      <w:marBottom w:val="0"/>
      <w:divBdr>
        <w:top w:val="none" w:sz="0" w:space="0" w:color="auto"/>
        <w:left w:val="none" w:sz="0" w:space="0" w:color="auto"/>
        <w:bottom w:val="none" w:sz="0" w:space="0" w:color="auto"/>
        <w:right w:val="none" w:sz="0" w:space="0" w:color="auto"/>
      </w:divBdr>
    </w:div>
    <w:div w:id="1878657044">
      <w:bodyDiv w:val="1"/>
      <w:marLeft w:val="0"/>
      <w:marRight w:val="0"/>
      <w:marTop w:val="0"/>
      <w:marBottom w:val="0"/>
      <w:divBdr>
        <w:top w:val="none" w:sz="0" w:space="0" w:color="auto"/>
        <w:left w:val="none" w:sz="0" w:space="0" w:color="auto"/>
        <w:bottom w:val="none" w:sz="0" w:space="0" w:color="auto"/>
        <w:right w:val="none" w:sz="0" w:space="0" w:color="auto"/>
      </w:divBdr>
    </w:div>
    <w:div w:id="1878733230">
      <w:bodyDiv w:val="1"/>
      <w:marLeft w:val="0"/>
      <w:marRight w:val="0"/>
      <w:marTop w:val="0"/>
      <w:marBottom w:val="0"/>
      <w:divBdr>
        <w:top w:val="none" w:sz="0" w:space="0" w:color="auto"/>
        <w:left w:val="none" w:sz="0" w:space="0" w:color="auto"/>
        <w:bottom w:val="none" w:sz="0" w:space="0" w:color="auto"/>
        <w:right w:val="none" w:sz="0" w:space="0" w:color="auto"/>
      </w:divBdr>
    </w:div>
    <w:div w:id="1878734086">
      <w:bodyDiv w:val="1"/>
      <w:marLeft w:val="0"/>
      <w:marRight w:val="0"/>
      <w:marTop w:val="0"/>
      <w:marBottom w:val="0"/>
      <w:divBdr>
        <w:top w:val="none" w:sz="0" w:space="0" w:color="auto"/>
        <w:left w:val="none" w:sz="0" w:space="0" w:color="auto"/>
        <w:bottom w:val="none" w:sz="0" w:space="0" w:color="auto"/>
        <w:right w:val="none" w:sz="0" w:space="0" w:color="auto"/>
      </w:divBdr>
    </w:div>
    <w:div w:id="1878813351">
      <w:bodyDiv w:val="1"/>
      <w:marLeft w:val="0"/>
      <w:marRight w:val="0"/>
      <w:marTop w:val="0"/>
      <w:marBottom w:val="0"/>
      <w:divBdr>
        <w:top w:val="none" w:sz="0" w:space="0" w:color="auto"/>
        <w:left w:val="none" w:sz="0" w:space="0" w:color="auto"/>
        <w:bottom w:val="none" w:sz="0" w:space="0" w:color="auto"/>
        <w:right w:val="none" w:sz="0" w:space="0" w:color="auto"/>
      </w:divBdr>
    </w:div>
    <w:div w:id="1878851703">
      <w:bodyDiv w:val="1"/>
      <w:marLeft w:val="0"/>
      <w:marRight w:val="0"/>
      <w:marTop w:val="0"/>
      <w:marBottom w:val="0"/>
      <w:divBdr>
        <w:top w:val="none" w:sz="0" w:space="0" w:color="auto"/>
        <w:left w:val="none" w:sz="0" w:space="0" w:color="auto"/>
        <w:bottom w:val="none" w:sz="0" w:space="0" w:color="auto"/>
        <w:right w:val="none" w:sz="0" w:space="0" w:color="auto"/>
      </w:divBdr>
    </w:div>
    <w:div w:id="1878856134">
      <w:bodyDiv w:val="1"/>
      <w:marLeft w:val="0"/>
      <w:marRight w:val="0"/>
      <w:marTop w:val="0"/>
      <w:marBottom w:val="0"/>
      <w:divBdr>
        <w:top w:val="none" w:sz="0" w:space="0" w:color="auto"/>
        <w:left w:val="none" w:sz="0" w:space="0" w:color="auto"/>
        <w:bottom w:val="none" w:sz="0" w:space="0" w:color="auto"/>
        <w:right w:val="none" w:sz="0" w:space="0" w:color="auto"/>
      </w:divBdr>
    </w:div>
    <w:div w:id="1879001308">
      <w:bodyDiv w:val="1"/>
      <w:marLeft w:val="0"/>
      <w:marRight w:val="0"/>
      <w:marTop w:val="0"/>
      <w:marBottom w:val="0"/>
      <w:divBdr>
        <w:top w:val="none" w:sz="0" w:space="0" w:color="auto"/>
        <w:left w:val="none" w:sz="0" w:space="0" w:color="auto"/>
        <w:bottom w:val="none" w:sz="0" w:space="0" w:color="auto"/>
        <w:right w:val="none" w:sz="0" w:space="0" w:color="auto"/>
      </w:divBdr>
    </w:div>
    <w:div w:id="1879078825">
      <w:bodyDiv w:val="1"/>
      <w:marLeft w:val="0"/>
      <w:marRight w:val="0"/>
      <w:marTop w:val="0"/>
      <w:marBottom w:val="0"/>
      <w:divBdr>
        <w:top w:val="none" w:sz="0" w:space="0" w:color="auto"/>
        <w:left w:val="none" w:sz="0" w:space="0" w:color="auto"/>
        <w:bottom w:val="none" w:sz="0" w:space="0" w:color="auto"/>
        <w:right w:val="none" w:sz="0" w:space="0" w:color="auto"/>
      </w:divBdr>
    </w:div>
    <w:div w:id="1879119748">
      <w:bodyDiv w:val="1"/>
      <w:marLeft w:val="0"/>
      <w:marRight w:val="0"/>
      <w:marTop w:val="0"/>
      <w:marBottom w:val="0"/>
      <w:divBdr>
        <w:top w:val="none" w:sz="0" w:space="0" w:color="auto"/>
        <w:left w:val="none" w:sz="0" w:space="0" w:color="auto"/>
        <w:bottom w:val="none" w:sz="0" w:space="0" w:color="auto"/>
        <w:right w:val="none" w:sz="0" w:space="0" w:color="auto"/>
      </w:divBdr>
    </w:div>
    <w:div w:id="1879127992">
      <w:bodyDiv w:val="1"/>
      <w:marLeft w:val="0"/>
      <w:marRight w:val="0"/>
      <w:marTop w:val="0"/>
      <w:marBottom w:val="0"/>
      <w:divBdr>
        <w:top w:val="none" w:sz="0" w:space="0" w:color="auto"/>
        <w:left w:val="none" w:sz="0" w:space="0" w:color="auto"/>
        <w:bottom w:val="none" w:sz="0" w:space="0" w:color="auto"/>
        <w:right w:val="none" w:sz="0" w:space="0" w:color="auto"/>
      </w:divBdr>
    </w:div>
    <w:div w:id="1879202089">
      <w:bodyDiv w:val="1"/>
      <w:marLeft w:val="0"/>
      <w:marRight w:val="0"/>
      <w:marTop w:val="0"/>
      <w:marBottom w:val="0"/>
      <w:divBdr>
        <w:top w:val="none" w:sz="0" w:space="0" w:color="auto"/>
        <w:left w:val="none" w:sz="0" w:space="0" w:color="auto"/>
        <w:bottom w:val="none" w:sz="0" w:space="0" w:color="auto"/>
        <w:right w:val="none" w:sz="0" w:space="0" w:color="auto"/>
      </w:divBdr>
    </w:div>
    <w:div w:id="1879507460">
      <w:bodyDiv w:val="1"/>
      <w:marLeft w:val="0"/>
      <w:marRight w:val="0"/>
      <w:marTop w:val="0"/>
      <w:marBottom w:val="0"/>
      <w:divBdr>
        <w:top w:val="none" w:sz="0" w:space="0" w:color="auto"/>
        <w:left w:val="none" w:sz="0" w:space="0" w:color="auto"/>
        <w:bottom w:val="none" w:sz="0" w:space="0" w:color="auto"/>
        <w:right w:val="none" w:sz="0" w:space="0" w:color="auto"/>
      </w:divBdr>
    </w:div>
    <w:div w:id="1879660733">
      <w:bodyDiv w:val="1"/>
      <w:marLeft w:val="0"/>
      <w:marRight w:val="0"/>
      <w:marTop w:val="0"/>
      <w:marBottom w:val="0"/>
      <w:divBdr>
        <w:top w:val="none" w:sz="0" w:space="0" w:color="auto"/>
        <w:left w:val="none" w:sz="0" w:space="0" w:color="auto"/>
        <w:bottom w:val="none" w:sz="0" w:space="0" w:color="auto"/>
        <w:right w:val="none" w:sz="0" w:space="0" w:color="auto"/>
      </w:divBdr>
    </w:div>
    <w:div w:id="1879732373">
      <w:bodyDiv w:val="1"/>
      <w:marLeft w:val="0"/>
      <w:marRight w:val="0"/>
      <w:marTop w:val="0"/>
      <w:marBottom w:val="0"/>
      <w:divBdr>
        <w:top w:val="none" w:sz="0" w:space="0" w:color="auto"/>
        <w:left w:val="none" w:sz="0" w:space="0" w:color="auto"/>
        <w:bottom w:val="none" w:sz="0" w:space="0" w:color="auto"/>
        <w:right w:val="none" w:sz="0" w:space="0" w:color="auto"/>
      </w:divBdr>
    </w:div>
    <w:div w:id="1879777354">
      <w:bodyDiv w:val="1"/>
      <w:marLeft w:val="0"/>
      <w:marRight w:val="0"/>
      <w:marTop w:val="0"/>
      <w:marBottom w:val="0"/>
      <w:divBdr>
        <w:top w:val="none" w:sz="0" w:space="0" w:color="auto"/>
        <w:left w:val="none" w:sz="0" w:space="0" w:color="auto"/>
        <w:bottom w:val="none" w:sz="0" w:space="0" w:color="auto"/>
        <w:right w:val="none" w:sz="0" w:space="0" w:color="auto"/>
      </w:divBdr>
    </w:div>
    <w:div w:id="1879855297">
      <w:bodyDiv w:val="1"/>
      <w:marLeft w:val="0"/>
      <w:marRight w:val="0"/>
      <w:marTop w:val="0"/>
      <w:marBottom w:val="0"/>
      <w:divBdr>
        <w:top w:val="none" w:sz="0" w:space="0" w:color="auto"/>
        <w:left w:val="none" w:sz="0" w:space="0" w:color="auto"/>
        <w:bottom w:val="none" w:sz="0" w:space="0" w:color="auto"/>
        <w:right w:val="none" w:sz="0" w:space="0" w:color="auto"/>
      </w:divBdr>
    </w:div>
    <w:div w:id="1879900378">
      <w:bodyDiv w:val="1"/>
      <w:marLeft w:val="0"/>
      <w:marRight w:val="0"/>
      <w:marTop w:val="0"/>
      <w:marBottom w:val="0"/>
      <w:divBdr>
        <w:top w:val="none" w:sz="0" w:space="0" w:color="auto"/>
        <w:left w:val="none" w:sz="0" w:space="0" w:color="auto"/>
        <w:bottom w:val="none" w:sz="0" w:space="0" w:color="auto"/>
        <w:right w:val="none" w:sz="0" w:space="0" w:color="auto"/>
      </w:divBdr>
    </w:div>
    <w:div w:id="1880042912">
      <w:bodyDiv w:val="1"/>
      <w:marLeft w:val="0"/>
      <w:marRight w:val="0"/>
      <w:marTop w:val="0"/>
      <w:marBottom w:val="0"/>
      <w:divBdr>
        <w:top w:val="none" w:sz="0" w:space="0" w:color="auto"/>
        <w:left w:val="none" w:sz="0" w:space="0" w:color="auto"/>
        <w:bottom w:val="none" w:sz="0" w:space="0" w:color="auto"/>
        <w:right w:val="none" w:sz="0" w:space="0" w:color="auto"/>
      </w:divBdr>
    </w:div>
    <w:div w:id="1880163061">
      <w:bodyDiv w:val="1"/>
      <w:marLeft w:val="0"/>
      <w:marRight w:val="0"/>
      <w:marTop w:val="0"/>
      <w:marBottom w:val="0"/>
      <w:divBdr>
        <w:top w:val="none" w:sz="0" w:space="0" w:color="auto"/>
        <w:left w:val="none" w:sz="0" w:space="0" w:color="auto"/>
        <w:bottom w:val="none" w:sz="0" w:space="0" w:color="auto"/>
        <w:right w:val="none" w:sz="0" w:space="0" w:color="auto"/>
      </w:divBdr>
    </w:div>
    <w:div w:id="1880319164">
      <w:bodyDiv w:val="1"/>
      <w:marLeft w:val="0"/>
      <w:marRight w:val="0"/>
      <w:marTop w:val="0"/>
      <w:marBottom w:val="0"/>
      <w:divBdr>
        <w:top w:val="none" w:sz="0" w:space="0" w:color="auto"/>
        <w:left w:val="none" w:sz="0" w:space="0" w:color="auto"/>
        <w:bottom w:val="none" w:sz="0" w:space="0" w:color="auto"/>
        <w:right w:val="none" w:sz="0" w:space="0" w:color="auto"/>
      </w:divBdr>
    </w:div>
    <w:div w:id="1880432971">
      <w:bodyDiv w:val="1"/>
      <w:marLeft w:val="0"/>
      <w:marRight w:val="0"/>
      <w:marTop w:val="0"/>
      <w:marBottom w:val="0"/>
      <w:divBdr>
        <w:top w:val="none" w:sz="0" w:space="0" w:color="auto"/>
        <w:left w:val="none" w:sz="0" w:space="0" w:color="auto"/>
        <w:bottom w:val="none" w:sz="0" w:space="0" w:color="auto"/>
        <w:right w:val="none" w:sz="0" w:space="0" w:color="auto"/>
      </w:divBdr>
    </w:div>
    <w:div w:id="1880581651">
      <w:bodyDiv w:val="1"/>
      <w:marLeft w:val="0"/>
      <w:marRight w:val="0"/>
      <w:marTop w:val="0"/>
      <w:marBottom w:val="0"/>
      <w:divBdr>
        <w:top w:val="none" w:sz="0" w:space="0" w:color="auto"/>
        <w:left w:val="none" w:sz="0" w:space="0" w:color="auto"/>
        <w:bottom w:val="none" w:sz="0" w:space="0" w:color="auto"/>
        <w:right w:val="none" w:sz="0" w:space="0" w:color="auto"/>
      </w:divBdr>
    </w:div>
    <w:div w:id="1880582898">
      <w:bodyDiv w:val="1"/>
      <w:marLeft w:val="0"/>
      <w:marRight w:val="0"/>
      <w:marTop w:val="0"/>
      <w:marBottom w:val="0"/>
      <w:divBdr>
        <w:top w:val="none" w:sz="0" w:space="0" w:color="auto"/>
        <w:left w:val="none" w:sz="0" w:space="0" w:color="auto"/>
        <w:bottom w:val="none" w:sz="0" w:space="0" w:color="auto"/>
        <w:right w:val="none" w:sz="0" w:space="0" w:color="auto"/>
      </w:divBdr>
    </w:div>
    <w:div w:id="1880584485">
      <w:bodyDiv w:val="1"/>
      <w:marLeft w:val="0"/>
      <w:marRight w:val="0"/>
      <w:marTop w:val="0"/>
      <w:marBottom w:val="0"/>
      <w:divBdr>
        <w:top w:val="none" w:sz="0" w:space="0" w:color="auto"/>
        <w:left w:val="none" w:sz="0" w:space="0" w:color="auto"/>
        <w:bottom w:val="none" w:sz="0" w:space="0" w:color="auto"/>
        <w:right w:val="none" w:sz="0" w:space="0" w:color="auto"/>
      </w:divBdr>
    </w:div>
    <w:div w:id="1880624605">
      <w:bodyDiv w:val="1"/>
      <w:marLeft w:val="0"/>
      <w:marRight w:val="0"/>
      <w:marTop w:val="0"/>
      <w:marBottom w:val="0"/>
      <w:divBdr>
        <w:top w:val="none" w:sz="0" w:space="0" w:color="auto"/>
        <w:left w:val="none" w:sz="0" w:space="0" w:color="auto"/>
        <w:bottom w:val="none" w:sz="0" w:space="0" w:color="auto"/>
        <w:right w:val="none" w:sz="0" w:space="0" w:color="auto"/>
      </w:divBdr>
    </w:div>
    <w:div w:id="1880628316">
      <w:bodyDiv w:val="1"/>
      <w:marLeft w:val="0"/>
      <w:marRight w:val="0"/>
      <w:marTop w:val="0"/>
      <w:marBottom w:val="0"/>
      <w:divBdr>
        <w:top w:val="none" w:sz="0" w:space="0" w:color="auto"/>
        <w:left w:val="none" w:sz="0" w:space="0" w:color="auto"/>
        <w:bottom w:val="none" w:sz="0" w:space="0" w:color="auto"/>
        <w:right w:val="none" w:sz="0" w:space="0" w:color="auto"/>
      </w:divBdr>
    </w:div>
    <w:div w:id="1880779172">
      <w:bodyDiv w:val="1"/>
      <w:marLeft w:val="0"/>
      <w:marRight w:val="0"/>
      <w:marTop w:val="0"/>
      <w:marBottom w:val="0"/>
      <w:divBdr>
        <w:top w:val="none" w:sz="0" w:space="0" w:color="auto"/>
        <w:left w:val="none" w:sz="0" w:space="0" w:color="auto"/>
        <w:bottom w:val="none" w:sz="0" w:space="0" w:color="auto"/>
        <w:right w:val="none" w:sz="0" w:space="0" w:color="auto"/>
      </w:divBdr>
    </w:div>
    <w:div w:id="1880969371">
      <w:bodyDiv w:val="1"/>
      <w:marLeft w:val="0"/>
      <w:marRight w:val="0"/>
      <w:marTop w:val="0"/>
      <w:marBottom w:val="0"/>
      <w:divBdr>
        <w:top w:val="none" w:sz="0" w:space="0" w:color="auto"/>
        <w:left w:val="none" w:sz="0" w:space="0" w:color="auto"/>
        <w:bottom w:val="none" w:sz="0" w:space="0" w:color="auto"/>
        <w:right w:val="none" w:sz="0" w:space="0" w:color="auto"/>
      </w:divBdr>
    </w:div>
    <w:div w:id="1880969930">
      <w:bodyDiv w:val="1"/>
      <w:marLeft w:val="0"/>
      <w:marRight w:val="0"/>
      <w:marTop w:val="0"/>
      <w:marBottom w:val="0"/>
      <w:divBdr>
        <w:top w:val="none" w:sz="0" w:space="0" w:color="auto"/>
        <w:left w:val="none" w:sz="0" w:space="0" w:color="auto"/>
        <w:bottom w:val="none" w:sz="0" w:space="0" w:color="auto"/>
        <w:right w:val="none" w:sz="0" w:space="0" w:color="auto"/>
      </w:divBdr>
    </w:div>
    <w:div w:id="1881044536">
      <w:bodyDiv w:val="1"/>
      <w:marLeft w:val="0"/>
      <w:marRight w:val="0"/>
      <w:marTop w:val="0"/>
      <w:marBottom w:val="0"/>
      <w:divBdr>
        <w:top w:val="none" w:sz="0" w:space="0" w:color="auto"/>
        <w:left w:val="none" w:sz="0" w:space="0" w:color="auto"/>
        <w:bottom w:val="none" w:sz="0" w:space="0" w:color="auto"/>
        <w:right w:val="none" w:sz="0" w:space="0" w:color="auto"/>
      </w:divBdr>
    </w:div>
    <w:div w:id="1881087788">
      <w:bodyDiv w:val="1"/>
      <w:marLeft w:val="0"/>
      <w:marRight w:val="0"/>
      <w:marTop w:val="0"/>
      <w:marBottom w:val="0"/>
      <w:divBdr>
        <w:top w:val="none" w:sz="0" w:space="0" w:color="auto"/>
        <w:left w:val="none" w:sz="0" w:space="0" w:color="auto"/>
        <w:bottom w:val="none" w:sz="0" w:space="0" w:color="auto"/>
        <w:right w:val="none" w:sz="0" w:space="0" w:color="auto"/>
      </w:divBdr>
    </w:div>
    <w:div w:id="1881090900">
      <w:bodyDiv w:val="1"/>
      <w:marLeft w:val="0"/>
      <w:marRight w:val="0"/>
      <w:marTop w:val="0"/>
      <w:marBottom w:val="0"/>
      <w:divBdr>
        <w:top w:val="none" w:sz="0" w:space="0" w:color="auto"/>
        <w:left w:val="none" w:sz="0" w:space="0" w:color="auto"/>
        <w:bottom w:val="none" w:sz="0" w:space="0" w:color="auto"/>
        <w:right w:val="none" w:sz="0" w:space="0" w:color="auto"/>
      </w:divBdr>
    </w:div>
    <w:div w:id="1881091463">
      <w:bodyDiv w:val="1"/>
      <w:marLeft w:val="0"/>
      <w:marRight w:val="0"/>
      <w:marTop w:val="0"/>
      <w:marBottom w:val="0"/>
      <w:divBdr>
        <w:top w:val="none" w:sz="0" w:space="0" w:color="auto"/>
        <w:left w:val="none" w:sz="0" w:space="0" w:color="auto"/>
        <w:bottom w:val="none" w:sz="0" w:space="0" w:color="auto"/>
        <w:right w:val="none" w:sz="0" w:space="0" w:color="auto"/>
      </w:divBdr>
    </w:div>
    <w:div w:id="1881091825">
      <w:bodyDiv w:val="1"/>
      <w:marLeft w:val="0"/>
      <w:marRight w:val="0"/>
      <w:marTop w:val="0"/>
      <w:marBottom w:val="0"/>
      <w:divBdr>
        <w:top w:val="none" w:sz="0" w:space="0" w:color="auto"/>
        <w:left w:val="none" w:sz="0" w:space="0" w:color="auto"/>
        <w:bottom w:val="none" w:sz="0" w:space="0" w:color="auto"/>
        <w:right w:val="none" w:sz="0" w:space="0" w:color="auto"/>
      </w:divBdr>
    </w:div>
    <w:div w:id="1881161439">
      <w:bodyDiv w:val="1"/>
      <w:marLeft w:val="0"/>
      <w:marRight w:val="0"/>
      <w:marTop w:val="0"/>
      <w:marBottom w:val="0"/>
      <w:divBdr>
        <w:top w:val="none" w:sz="0" w:space="0" w:color="auto"/>
        <w:left w:val="none" w:sz="0" w:space="0" w:color="auto"/>
        <w:bottom w:val="none" w:sz="0" w:space="0" w:color="auto"/>
        <w:right w:val="none" w:sz="0" w:space="0" w:color="auto"/>
      </w:divBdr>
    </w:div>
    <w:div w:id="1881166179">
      <w:bodyDiv w:val="1"/>
      <w:marLeft w:val="0"/>
      <w:marRight w:val="0"/>
      <w:marTop w:val="0"/>
      <w:marBottom w:val="0"/>
      <w:divBdr>
        <w:top w:val="none" w:sz="0" w:space="0" w:color="auto"/>
        <w:left w:val="none" w:sz="0" w:space="0" w:color="auto"/>
        <w:bottom w:val="none" w:sz="0" w:space="0" w:color="auto"/>
        <w:right w:val="none" w:sz="0" w:space="0" w:color="auto"/>
      </w:divBdr>
    </w:div>
    <w:div w:id="1881237383">
      <w:bodyDiv w:val="1"/>
      <w:marLeft w:val="0"/>
      <w:marRight w:val="0"/>
      <w:marTop w:val="0"/>
      <w:marBottom w:val="0"/>
      <w:divBdr>
        <w:top w:val="none" w:sz="0" w:space="0" w:color="auto"/>
        <w:left w:val="none" w:sz="0" w:space="0" w:color="auto"/>
        <w:bottom w:val="none" w:sz="0" w:space="0" w:color="auto"/>
        <w:right w:val="none" w:sz="0" w:space="0" w:color="auto"/>
      </w:divBdr>
    </w:div>
    <w:div w:id="1881285101">
      <w:bodyDiv w:val="1"/>
      <w:marLeft w:val="0"/>
      <w:marRight w:val="0"/>
      <w:marTop w:val="0"/>
      <w:marBottom w:val="0"/>
      <w:divBdr>
        <w:top w:val="none" w:sz="0" w:space="0" w:color="auto"/>
        <w:left w:val="none" w:sz="0" w:space="0" w:color="auto"/>
        <w:bottom w:val="none" w:sz="0" w:space="0" w:color="auto"/>
        <w:right w:val="none" w:sz="0" w:space="0" w:color="auto"/>
      </w:divBdr>
    </w:div>
    <w:div w:id="1881429969">
      <w:bodyDiv w:val="1"/>
      <w:marLeft w:val="0"/>
      <w:marRight w:val="0"/>
      <w:marTop w:val="0"/>
      <w:marBottom w:val="0"/>
      <w:divBdr>
        <w:top w:val="none" w:sz="0" w:space="0" w:color="auto"/>
        <w:left w:val="none" w:sz="0" w:space="0" w:color="auto"/>
        <w:bottom w:val="none" w:sz="0" w:space="0" w:color="auto"/>
        <w:right w:val="none" w:sz="0" w:space="0" w:color="auto"/>
      </w:divBdr>
    </w:div>
    <w:div w:id="1881477965">
      <w:bodyDiv w:val="1"/>
      <w:marLeft w:val="0"/>
      <w:marRight w:val="0"/>
      <w:marTop w:val="0"/>
      <w:marBottom w:val="0"/>
      <w:divBdr>
        <w:top w:val="none" w:sz="0" w:space="0" w:color="auto"/>
        <w:left w:val="none" w:sz="0" w:space="0" w:color="auto"/>
        <w:bottom w:val="none" w:sz="0" w:space="0" w:color="auto"/>
        <w:right w:val="none" w:sz="0" w:space="0" w:color="auto"/>
      </w:divBdr>
    </w:div>
    <w:div w:id="1881552894">
      <w:bodyDiv w:val="1"/>
      <w:marLeft w:val="0"/>
      <w:marRight w:val="0"/>
      <w:marTop w:val="0"/>
      <w:marBottom w:val="0"/>
      <w:divBdr>
        <w:top w:val="none" w:sz="0" w:space="0" w:color="auto"/>
        <w:left w:val="none" w:sz="0" w:space="0" w:color="auto"/>
        <w:bottom w:val="none" w:sz="0" w:space="0" w:color="auto"/>
        <w:right w:val="none" w:sz="0" w:space="0" w:color="auto"/>
      </w:divBdr>
    </w:div>
    <w:div w:id="1881624744">
      <w:bodyDiv w:val="1"/>
      <w:marLeft w:val="0"/>
      <w:marRight w:val="0"/>
      <w:marTop w:val="0"/>
      <w:marBottom w:val="0"/>
      <w:divBdr>
        <w:top w:val="none" w:sz="0" w:space="0" w:color="auto"/>
        <w:left w:val="none" w:sz="0" w:space="0" w:color="auto"/>
        <w:bottom w:val="none" w:sz="0" w:space="0" w:color="auto"/>
        <w:right w:val="none" w:sz="0" w:space="0" w:color="auto"/>
      </w:divBdr>
    </w:div>
    <w:div w:id="1881626104">
      <w:bodyDiv w:val="1"/>
      <w:marLeft w:val="0"/>
      <w:marRight w:val="0"/>
      <w:marTop w:val="0"/>
      <w:marBottom w:val="0"/>
      <w:divBdr>
        <w:top w:val="none" w:sz="0" w:space="0" w:color="auto"/>
        <w:left w:val="none" w:sz="0" w:space="0" w:color="auto"/>
        <w:bottom w:val="none" w:sz="0" w:space="0" w:color="auto"/>
        <w:right w:val="none" w:sz="0" w:space="0" w:color="auto"/>
      </w:divBdr>
    </w:div>
    <w:div w:id="1881741084">
      <w:bodyDiv w:val="1"/>
      <w:marLeft w:val="0"/>
      <w:marRight w:val="0"/>
      <w:marTop w:val="0"/>
      <w:marBottom w:val="0"/>
      <w:divBdr>
        <w:top w:val="none" w:sz="0" w:space="0" w:color="auto"/>
        <w:left w:val="none" w:sz="0" w:space="0" w:color="auto"/>
        <w:bottom w:val="none" w:sz="0" w:space="0" w:color="auto"/>
        <w:right w:val="none" w:sz="0" w:space="0" w:color="auto"/>
      </w:divBdr>
    </w:div>
    <w:div w:id="1881748372">
      <w:bodyDiv w:val="1"/>
      <w:marLeft w:val="0"/>
      <w:marRight w:val="0"/>
      <w:marTop w:val="0"/>
      <w:marBottom w:val="0"/>
      <w:divBdr>
        <w:top w:val="none" w:sz="0" w:space="0" w:color="auto"/>
        <w:left w:val="none" w:sz="0" w:space="0" w:color="auto"/>
        <w:bottom w:val="none" w:sz="0" w:space="0" w:color="auto"/>
        <w:right w:val="none" w:sz="0" w:space="0" w:color="auto"/>
      </w:divBdr>
    </w:div>
    <w:div w:id="1881896538">
      <w:bodyDiv w:val="1"/>
      <w:marLeft w:val="0"/>
      <w:marRight w:val="0"/>
      <w:marTop w:val="0"/>
      <w:marBottom w:val="0"/>
      <w:divBdr>
        <w:top w:val="none" w:sz="0" w:space="0" w:color="auto"/>
        <w:left w:val="none" w:sz="0" w:space="0" w:color="auto"/>
        <w:bottom w:val="none" w:sz="0" w:space="0" w:color="auto"/>
        <w:right w:val="none" w:sz="0" w:space="0" w:color="auto"/>
      </w:divBdr>
    </w:div>
    <w:div w:id="1881934469">
      <w:bodyDiv w:val="1"/>
      <w:marLeft w:val="0"/>
      <w:marRight w:val="0"/>
      <w:marTop w:val="0"/>
      <w:marBottom w:val="0"/>
      <w:divBdr>
        <w:top w:val="none" w:sz="0" w:space="0" w:color="auto"/>
        <w:left w:val="none" w:sz="0" w:space="0" w:color="auto"/>
        <w:bottom w:val="none" w:sz="0" w:space="0" w:color="auto"/>
        <w:right w:val="none" w:sz="0" w:space="0" w:color="auto"/>
      </w:divBdr>
    </w:div>
    <w:div w:id="1881941787">
      <w:bodyDiv w:val="1"/>
      <w:marLeft w:val="0"/>
      <w:marRight w:val="0"/>
      <w:marTop w:val="0"/>
      <w:marBottom w:val="0"/>
      <w:divBdr>
        <w:top w:val="none" w:sz="0" w:space="0" w:color="auto"/>
        <w:left w:val="none" w:sz="0" w:space="0" w:color="auto"/>
        <w:bottom w:val="none" w:sz="0" w:space="0" w:color="auto"/>
        <w:right w:val="none" w:sz="0" w:space="0" w:color="auto"/>
      </w:divBdr>
    </w:div>
    <w:div w:id="1882009966">
      <w:bodyDiv w:val="1"/>
      <w:marLeft w:val="0"/>
      <w:marRight w:val="0"/>
      <w:marTop w:val="0"/>
      <w:marBottom w:val="0"/>
      <w:divBdr>
        <w:top w:val="none" w:sz="0" w:space="0" w:color="auto"/>
        <w:left w:val="none" w:sz="0" w:space="0" w:color="auto"/>
        <w:bottom w:val="none" w:sz="0" w:space="0" w:color="auto"/>
        <w:right w:val="none" w:sz="0" w:space="0" w:color="auto"/>
      </w:divBdr>
    </w:div>
    <w:div w:id="1882014605">
      <w:bodyDiv w:val="1"/>
      <w:marLeft w:val="0"/>
      <w:marRight w:val="0"/>
      <w:marTop w:val="0"/>
      <w:marBottom w:val="0"/>
      <w:divBdr>
        <w:top w:val="none" w:sz="0" w:space="0" w:color="auto"/>
        <w:left w:val="none" w:sz="0" w:space="0" w:color="auto"/>
        <w:bottom w:val="none" w:sz="0" w:space="0" w:color="auto"/>
        <w:right w:val="none" w:sz="0" w:space="0" w:color="auto"/>
      </w:divBdr>
    </w:div>
    <w:div w:id="1882201905">
      <w:bodyDiv w:val="1"/>
      <w:marLeft w:val="0"/>
      <w:marRight w:val="0"/>
      <w:marTop w:val="0"/>
      <w:marBottom w:val="0"/>
      <w:divBdr>
        <w:top w:val="none" w:sz="0" w:space="0" w:color="auto"/>
        <w:left w:val="none" w:sz="0" w:space="0" w:color="auto"/>
        <w:bottom w:val="none" w:sz="0" w:space="0" w:color="auto"/>
        <w:right w:val="none" w:sz="0" w:space="0" w:color="auto"/>
      </w:divBdr>
    </w:div>
    <w:div w:id="1882325139">
      <w:bodyDiv w:val="1"/>
      <w:marLeft w:val="0"/>
      <w:marRight w:val="0"/>
      <w:marTop w:val="0"/>
      <w:marBottom w:val="0"/>
      <w:divBdr>
        <w:top w:val="none" w:sz="0" w:space="0" w:color="auto"/>
        <w:left w:val="none" w:sz="0" w:space="0" w:color="auto"/>
        <w:bottom w:val="none" w:sz="0" w:space="0" w:color="auto"/>
        <w:right w:val="none" w:sz="0" w:space="0" w:color="auto"/>
      </w:divBdr>
    </w:div>
    <w:div w:id="1882395854">
      <w:bodyDiv w:val="1"/>
      <w:marLeft w:val="0"/>
      <w:marRight w:val="0"/>
      <w:marTop w:val="0"/>
      <w:marBottom w:val="0"/>
      <w:divBdr>
        <w:top w:val="none" w:sz="0" w:space="0" w:color="auto"/>
        <w:left w:val="none" w:sz="0" w:space="0" w:color="auto"/>
        <w:bottom w:val="none" w:sz="0" w:space="0" w:color="auto"/>
        <w:right w:val="none" w:sz="0" w:space="0" w:color="auto"/>
      </w:divBdr>
    </w:div>
    <w:div w:id="1882395934">
      <w:bodyDiv w:val="1"/>
      <w:marLeft w:val="0"/>
      <w:marRight w:val="0"/>
      <w:marTop w:val="0"/>
      <w:marBottom w:val="0"/>
      <w:divBdr>
        <w:top w:val="none" w:sz="0" w:space="0" w:color="auto"/>
        <w:left w:val="none" w:sz="0" w:space="0" w:color="auto"/>
        <w:bottom w:val="none" w:sz="0" w:space="0" w:color="auto"/>
        <w:right w:val="none" w:sz="0" w:space="0" w:color="auto"/>
      </w:divBdr>
    </w:div>
    <w:div w:id="1882398191">
      <w:bodyDiv w:val="1"/>
      <w:marLeft w:val="0"/>
      <w:marRight w:val="0"/>
      <w:marTop w:val="0"/>
      <w:marBottom w:val="0"/>
      <w:divBdr>
        <w:top w:val="none" w:sz="0" w:space="0" w:color="auto"/>
        <w:left w:val="none" w:sz="0" w:space="0" w:color="auto"/>
        <w:bottom w:val="none" w:sz="0" w:space="0" w:color="auto"/>
        <w:right w:val="none" w:sz="0" w:space="0" w:color="auto"/>
      </w:divBdr>
    </w:div>
    <w:div w:id="1882475619">
      <w:bodyDiv w:val="1"/>
      <w:marLeft w:val="0"/>
      <w:marRight w:val="0"/>
      <w:marTop w:val="0"/>
      <w:marBottom w:val="0"/>
      <w:divBdr>
        <w:top w:val="none" w:sz="0" w:space="0" w:color="auto"/>
        <w:left w:val="none" w:sz="0" w:space="0" w:color="auto"/>
        <w:bottom w:val="none" w:sz="0" w:space="0" w:color="auto"/>
        <w:right w:val="none" w:sz="0" w:space="0" w:color="auto"/>
      </w:divBdr>
    </w:div>
    <w:div w:id="1882477587">
      <w:bodyDiv w:val="1"/>
      <w:marLeft w:val="0"/>
      <w:marRight w:val="0"/>
      <w:marTop w:val="0"/>
      <w:marBottom w:val="0"/>
      <w:divBdr>
        <w:top w:val="none" w:sz="0" w:space="0" w:color="auto"/>
        <w:left w:val="none" w:sz="0" w:space="0" w:color="auto"/>
        <w:bottom w:val="none" w:sz="0" w:space="0" w:color="auto"/>
        <w:right w:val="none" w:sz="0" w:space="0" w:color="auto"/>
      </w:divBdr>
    </w:div>
    <w:div w:id="1882479803">
      <w:bodyDiv w:val="1"/>
      <w:marLeft w:val="0"/>
      <w:marRight w:val="0"/>
      <w:marTop w:val="0"/>
      <w:marBottom w:val="0"/>
      <w:divBdr>
        <w:top w:val="none" w:sz="0" w:space="0" w:color="auto"/>
        <w:left w:val="none" w:sz="0" w:space="0" w:color="auto"/>
        <w:bottom w:val="none" w:sz="0" w:space="0" w:color="auto"/>
        <w:right w:val="none" w:sz="0" w:space="0" w:color="auto"/>
      </w:divBdr>
    </w:div>
    <w:div w:id="1882550685">
      <w:bodyDiv w:val="1"/>
      <w:marLeft w:val="0"/>
      <w:marRight w:val="0"/>
      <w:marTop w:val="0"/>
      <w:marBottom w:val="0"/>
      <w:divBdr>
        <w:top w:val="none" w:sz="0" w:space="0" w:color="auto"/>
        <w:left w:val="none" w:sz="0" w:space="0" w:color="auto"/>
        <w:bottom w:val="none" w:sz="0" w:space="0" w:color="auto"/>
        <w:right w:val="none" w:sz="0" w:space="0" w:color="auto"/>
      </w:divBdr>
    </w:div>
    <w:div w:id="1882670875">
      <w:bodyDiv w:val="1"/>
      <w:marLeft w:val="0"/>
      <w:marRight w:val="0"/>
      <w:marTop w:val="0"/>
      <w:marBottom w:val="0"/>
      <w:divBdr>
        <w:top w:val="none" w:sz="0" w:space="0" w:color="auto"/>
        <w:left w:val="none" w:sz="0" w:space="0" w:color="auto"/>
        <w:bottom w:val="none" w:sz="0" w:space="0" w:color="auto"/>
        <w:right w:val="none" w:sz="0" w:space="0" w:color="auto"/>
      </w:divBdr>
    </w:div>
    <w:div w:id="1882739889">
      <w:bodyDiv w:val="1"/>
      <w:marLeft w:val="0"/>
      <w:marRight w:val="0"/>
      <w:marTop w:val="0"/>
      <w:marBottom w:val="0"/>
      <w:divBdr>
        <w:top w:val="none" w:sz="0" w:space="0" w:color="auto"/>
        <w:left w:val="none" w:sz="0" w:space="0" w:color="auto"/>
        <w:bottom w:val="none" w:sz="0" w:space="0" w:color="auto"/>
        <w:right w:val="none" w:sz="0" w:space="0" w:color="auto"/>
      </w:divBdr>
    </w:div>
    <w:div w:id="1883125677">
      <w:bodyDiv w:val="1"/>
      <w:marLeft w:val="0"/>
      <w:marRight w:val="0"/>
      <w:marTop w:val="0"/>
      <w:marBottom w:val="0"/>
      <w:divBdr>
        <w:top w:val="none" w:sz="0" w:space="0" w:color="auto"/>
        <w:left w:val="none" w:sz="0" w:space="0" w:color="auto"/>
        <w:bottom w:val="none" w:sz="0" w:space="0" w:color="auto"/>
        <w:right w:val="none" w:sz="0" w:space="0" w:color="auto"/>
      </w:divBdr>
    </w:div>
    <w:div w:id="1883201585">
      <w:bodyDiv w:val="1"/>
      <w:marLeft w:val="0"/>
      <w:marRight w:val="0"/>
      <w:marTop w:val="0"/>
      <w:marBottom w:val="0"/>
      <w:divBdr>
        <w:top w:val="none" w:sz="0" w:space="0" w:color="auto"/>
        <w:left w:val="none" w:sz="0" w:space="0" w:color="auto"/>
        <w:bottom w:val="none" w:sz="0" w:space="0" w:color="auto"/>
        <w:right w:val="none" w:sz="0" w:space="0" w:color="auto"/>
      </w:divBdr>
    </w:div>
    <w:div w:id="1883207412">
      <w:bodyDiv w:val="1"/>
      <w:marLeft w:val="0"/>
      <w:marRight w:val="0"/>
      <w:marTop w:val="0"/>
      <w:marBottom w:val="0"/>
      <w:divBdr>
        <w:top w:val="none" w:sz="0" w:space="0" w:color="auto"/>
        <w:left w:val="none" w:sz="0" w:space="0" w:color="auto"/>
        <w:bottom w:val="none" w:sz="0" w:space="0" w:color="auto"/>
        <w:right w:val="none" w:sz="0" w:space="0" w:color="auto"/>
      </w:divBdr>
    </w:div>
    <w:div w:id="1883327117">
      <w:bodyDiv w:val="1"/>
      <w:marLeft w:val="0"/>
      <w:marRight w:val="0"/>
      <w:marTop w:val="0"/>
      <w:marBottom w:val="0"/>
      <w:divBdr>
        <w:top w:val="none" w:sz="0" w:space="0" w:color="auto"/>
        <w:left w:val="none" w:sz="0" w:space="0" w:color="auto"/>
        <w:bottom w:val="none" w:sz="0" w:space="0" w:color="auto"/>
        <w:right w:val="none" w:sz="0" w:space="0" w:color="auto"/>
      </w:divBdr>
    </w:div>
    <w:div w:id="1883327600">
      <w:bodyDiv w:val="1"/>
      <w:marLeft w:val="0"/>
      <w:marRight w:val="0"/>
      <w:marTop w:val="0"/>
      <w:marBottom w:val="0"/>
      <w:divBdr>
        <w:top w:val="none" w:sz="0" w:space="0" w:color="auto"/>
        <w:left w:val="none" w:sz="0" w:space="0" w:color="auto"/>
        <w:bottom w:val="none" w:sz="0" w:space="0" w:color="auto"/>
        <w:right w:val="none" w:sz="0" w:space="0" w:color="auto"/>
      </w:divBdr>
    </w:div>
    <w:div w:id="1883399722">
      <w:bodyDiv w:val="1"/>
      <w:marLeft w:val="0"/>
      <w:marRight w:val="0"/>
      <w:marTop w:val="0"/>
      <w:marBottom w:val="0"/>
      <w:divBdr>
        <w:top w:val="none" w:sz="0" w:space="0" w:color="auto"/>
        <w:left w:val="none" w:sz="0" w:space="0" w:color="auto"/>
        <w:bottom w:val="none" w:sz="0" w:space="0" w:color="auto"/>
        <w:right w:val="none" w:sz="0" w:space="0" w:color="auto"/>
      </w:divBdr>
    </w:div>
    <w:div w:id="1883439622">
      <w:bodyDiv w:val="1"/>
      <w:marLeft w:val="0"/>
      <w:marRight w:val="0"/>
      <w:marTop w:val="0"/>
      <w:marBottom w:val="0"/>
      <w:divBdr>
        <w:top w:val="none" w:sz="0" w:space="0" w:color="auto"/>
        <w:left w:val="none" w:sz="0" w:space="0" w:color="auto"/>
        <w:bottom w:val="none" w:sz="0" w:space="0" w:color="auto"/>
        <w:right w:val="none" w:sz="0" w:space="0" w:color="auto"/>
      </w:divBdr>
    </w:div>
    <w:div w:id="1883514429">
      <w:bodyDiv w:val="1"/>
      <w:marLeft w:val="0"/>
      <w:marRight w:val="0"/>
      <w:marTop w:val="0"/>
      <w:marBottom w:val="0"/>
      <w:divBdr>
        <w:top w:val="none" w:sz="0" w:space="0" w:color="auto"/>
        <w:left w:val="none" w:sz="0" w:space="0" w:color="auto"/>
        <w:bottom w:val="none" w:sz="0" w:space="0" w:color="auto"/>
        <w:right w:val="none" w:sz="0" w:space="0" w:color="auto"/>
      </w:divBdr>
    </w:div>
    <w:div w:id="1883637621">
      <w:bodyDiv w:val="1"/>
      <w:marLeft w:val="0"/>
      <w:marRight w:val="0"/>
      <w:marTop w:val="0"/>
      <w:marBottom w:val="0"/>
      <w:divBdr>
        <w:top w:val="none" w:sz="0" w:space="0" w:color="auto"/>
        <w:left w:val="none" w:sz="0" w:space="0" w:color="auto"/>
        <w:bottom w:val="none" w:sz="0" w:space="0" w:color="auto"/>
        <w:right w:val="none" w:sz="0" w:space="0" w:color="auto"/>
      </w:divBdr>
    </w:div>
    <w:div w:id="1883863419">
      <w:bodyDiv w:val="1"/>
      <w:marLeft w:val="0"/>
      <w:marRight w:val="0"/>
      <w:marTop w:val="0"/>
      <w:marBottom w:val="0"/>
      <w:divBdr>
        <w:top w:val="none" w:sz="0" w:space="0" w:color="auto"/>
        <w:left w:val="none" w:sz="0" w:space="0" w:color="auto"/>
        <w:bottom w:val="none" w:sz="0" w:space="0" w:color="auto"/>
        <w:right w:val="none" w:sz="0" w:space="0" w:color="auto"/>
      </w:divBdr>
    </w:div>
    <w:div w:id="1883907966">
      <w:bodyDiv w:val="1"/>
      <w:marLeft w:val="0"/>
      <w:marRight w:val="0"/>
      <w:marTop w:val="0"/>
      <w:marBottom w:val="0"/>
      <w:divBdr>
        <w:top w:val="none" w:sz="0" w:space="0" w:color="auto"/>
        <w:left w:val="none" w:sz="0" w:space="0" w:color="auto"/>
        <w:bottom w:val="none" w:sz="0" w:space="0" w:color="auto"/>
        <w:right w:val="none" w:sz="0" w:space="0" w:color="auto"/>
      </w:divBdr>
    </w:div>
    <w:div w:id="1884094840">
      <w:bodyDiv w:val="1"/>
      <w:marLeft w:val="0"/>
      <w:marRight w:val="0"/>
      <w:marTop w:val="0"/>
      <w:marBottom w:val="0"/>
      <w:divBdr>
        <w:top w:val="none" w:sz="0" w:space="0" w:color="auto"/>
        <w:left w:val="none" w:sz="0" w:space="0" w:color="auto"/>
        <w:bottom w:val="none" w:sz="0" w:space="0" w:color="auto"/>
        <w:right w:val="none" w:sz="0" w:space="0" w:color="auto"/>
      </w:divBdr>
    </w:div>
    <w:div w:id="1884097136">
      <w:bodyDiv w:val="1"/>
      <w:marLeft w:val="0"/>
      <w:marRight w:val="0"/>
      <w:marTop w:val="0"/>
      <w:marBottom w:val="0"/>
      <w:divBdr>
        <w:top w:val="none" w:sz="0" w:space="0" w:color="auto"/>
        <w:left w:val="none" w:sz="0" w:space="0" w:color="auto"/>
        <w:bottom w:val="none" w:sz="0" w:space="0" w:color="auto"/>
        <w:right w:val="none" w:sz="0" w:space="0" w:color="auto"/>
      </w:divBdr>
    </w:div>
    <w:div w:id="1884247980">
      <w:bodyDiv w:val="1"/>
      <w:marLeft w:val="0"/>
      <w:marRight w:val="0"/>
      <w:marTop w:val="0"/>
      <w:marBottom w:val="0"/>
      <w:divBdr>
        <w:top w:val="none" w:sz="0" w:space="0" w:color="auto"/>
        <w:left w:val="none" w:sz="0" w:space="0" w:color="auto"/>
        <w:bottom w:val="none" w:sz="0" w:space="0" w:color="auto"/>
        <w:right w:val="none" w:sz="0" w:space="0" w:color="auto"/>
      </w:divBdr>
    </w:div>
    <w:div w:id="1884438251">
      <w:bodyDiv w:val="1"/>
      <w:marLeft w:val="0"/>
      <w:marRight w:val="0"/>
      <w:marTop w:val="0"/>
      <w:marBottom w:val="0"/>
      <w:divBdr>
        <w:top w:val="none" w:sz="0" w:space="0" w:color="auto"/>
        <w:left w:val="none" w:sz="0" w:space="0" w:color="auto"/>
        <w:bottom w:val="none" w:sz="0" w:space="0" w:color="auto"/>
        <w:right w:val="none" w:sz="0" w:space="0" w:color="auto"/>
      </w:divBdr>
    </w:div>
    <w:div w:id="1884440924">
      <w:bodyDiv w:val="1"/>
      <w:marLeft w:val="0"/>
      <w:marRight w:val="0"/>
      <w:marTop w:val="0"/>
      <w:marBottom w:val="0"/>
      <w:divBdr>
        <w:top w:val="none" w:sz="0" w:space="0" w:color="auto"/>
        <w:left w:val="none" w:sz="0" w:space="0" w:color="auto"/>
        <w:bottom w:val="none" w:sz="0" w:space="0" w:color="auto"/>
        <w:right w:val="none" w:sz="0" w:space="0" w:color="auto"/>
      </w:divBdr>
    </w:div>
    <w:div w:id="1884518038">
      <w:bodyDiv w:val="1"/>
      <w:marLeft w:val="0"/>
      <w:marRight w:val="0"/>
      <w:marTop w:val="0"/>
      <w:marBottom w:val="0"/>
      <w:divBdr>
        <w:top w:val="none" w:sz="0" w:space="0" w:color="auto"/>
        <w:left w:val="none" w:sz="0" w:space="0" w:color="auto"/>
        <w:bottom w:val="none" w:sz="0" w:space="0" w:color="auto"/>
        <w:right w:val="none" w:sz="0" w:space="0" w:color="auto"/>
      </w:divBdr>
    </w:div>
    <w:div w:id="1884560201">
      <w:bodyDiv w:val="1"/>
      <w:marLeft w:val="0"/>
      <w:marRight w:val="0"/>
      <w:marTop w:val="0"/>
      <w:marBottom w:val="0"/>
      <w:divBdr>
        <w:top w:val="none" w:sz="0" w:space="0" w:color="auto"/>
        <w:left w:val="none" w:sz="0" w:space="0" w:color="auto"/>
        <w:bottom w:val="none" w:sz="0" w:space="0" w:color="auto"/>
        <w:right w:val="none" w:sz="0" w:space="0" w:color="auto"/>
      </w:divBdr>
    </w:div>
    <w:div w:id="1884561663">
      <w:bodyDiv w:val="1"/>
      <w:marLeft w:val="0"/>
      <w:marRight w:val="0"/>
      <w:marTop w:val="0"/>
      <w:marBottom w:val="0"/>
      <w:divBdr>
        <w:top w:val="none" w:sz="0" w:space="0" w:color="auto"/>
        <w:left w:val="none" w:sz="0" w:space="0" w:color="auto"/>
        <w:bottom w:val="none" w:sz="0" w:space="0" w:color="auto"/>
        <w:right w:val="none" w:sz="0" w:space="0" w:color="auto"/>
      </w:divBdr>
    </w:div>
    <w:div w:id="1884782323">
      <w:bodyDiv w:val="1"/>
      <w:marLeft w:val="0"/>
      <w:marRight w:val="0"/>
      <w:marTop w:val="0"/>
      <w:marBottom w:val="0"/>
      <w:divBdr>
        <w:top w:val="none" w:sz="0" w:space="0" w:color="auto"/>
        <w:left w:val="none" w:sz="0" w:space="0" w:color="auto"/>
        <w:bottom w:val="none" w:sz="0" w:space="0" w:color="auto"/>
        <w:right w:val="none" w:sz="0" w:space="0" w:color="auto"/>
      </w:divBdr>
    </w:div>
    <w:div w:id="1885095242">
      <w:bodyDiv w:val="1"/>
      <w:marLeft w:val="0"/>
      <w:marRight w:val="0"/>
      <w:marTop w:val="0"/>
      <w:marBottom w:val="0"/>
      <w:divBdr>
        <w:top w:val="none" w:sz="0" w:space="0" w:color="auto"/>
        <w:left w:val="none" w:sz="0" w:space="0" w:color="auto"/>
        <w:bottom w:val="none" w:sz="0" w:space="0" w:color="auto"/>
        <w:right w:val="none" w:sz="0" w:space="0" w:color="auto"/>
      </w:divBdr>
    </w:div>
    <w:div w:id="1885096199">
      <w:bodyDiv w:val="1"/>
      <w:marLeft w:val="0"/>
      <w:marRight w:val="0"/>
      <w:marTop w:val="0"/>
      <w:marBottom w:val="0"/>
      <w:divBdr>
        <w:top w:val="none" w:sz="0" w:space="0" w:color="auto"/>
        <w:left w:val="none" w:sz="0" w:space="0" w:color="auto"/>
        <w:bottom w:val="none" w:sz="0" w:space="0" w:color="auto"/>
        <w:right w:val="none" w:sz="0" w:space="0" w:color="auto"/>
      </w:divBdr>
    </w:div>
    <w:div w:id="1885174875">
      <w:bodyDiv w:val="1"/>
      <w:marLeft w:val="0"/>
      <w:marRight w:val="0"/>
      <w:marTop w:val="0"/>
      <w:marBottom w:val="0"/>
      <w:divBdr>
        <w:top w:val="none" w:sz="0" w:space="0" w:color="auto"/>
        <w:left w:val="none" w:sz="0" w:space="0" w:color="auto"/>
        <w:bottom w:val="none" w:sz="0" w:space="0" w:color="auto"/>
        <w:right w:val="none" w:sz="0" w:space="0" w:color="auto"/>
      </w:divBdr>
    </w:div>
    <w:div w:id="1885437286">
      <w:bodyDiv w:val="1"/>
      <w:marLeft w:val="0"/>
      <w:marRight w:val="0"/>
      <w:marTop w:val="0"/>
      <w:marBottom w:val="0"/>
      <w:divBdr>
        <w:top w:val="none" w:sz="0" w:space="0" w:color="auto"/>
        <w:left w:val="none" w:sz="0" w:space="0" w:color="auto"/>
        <w:bottom w:val="none" w:sz="0" w:space="0" w:color="auto"/>
        <w:right w:val="none" w:sz="0" w:space="0" w:color="auto"/>
      </w:divBdr>
    </w:div>
    <w:div w:id="1885483179">
      <w:bodyDiv w:val="1"/>
      <w:marLeft w:val="0"/>
      <w:marRight w:val="0"/>
      <w:marTop w:val="0"/>
      <w:marBottom w:val="0"/>
      <w:divBdr>
        <w:top w:val="none" w:sz="0" w:space="0" w:color="auto"/>
        <w:left w:val="none" w:sz="0" w:space="0" w:color="auto"/>
        <w:bottom w:val="none" w:sz="0" w:space="0" w:color="auto"/>
        <w:right w:val="none" w:sz="0" w:space="0" w:color="auto"/>
      </w:divBdr>
    </w:div>
    <w:div w:id="1885483711">
      <w:bodyDiv w:val="1"/>
      <w:marLeft w:val="0"/>
      <w:marRight w:val="0"/>
      <w:marTop w:val="0"/>
      <w:marBottom w:val="0"/>
      <w:divBdr>
        <w:top w:val="none" w:sz="0" w:space="0" w:color="auto"/>
        <w:left w:val="none" w:sz="0" w:space="0" w:color="auto"/>
        <w:bottom w:val="none" w:sz="0" w:space="0" w:color="auto"/>
        <w:right w:val="none" w:sz="0" w:space="0" w:color="auto"/>
      </w:divBdr>
    </w:div>
    <w:div w:id="1885484614">
      <w:bodyDiv w:val="1"/>
      <w:marLeft w:val="0"/>
      <w:marRight w:val="0"/>
      <w:marTop w:val="0"/>
      <w:marBottom w:val="0"/>
      <w:divBdr>
        <w:top w:val="none" w:sz="0" w:space="0" w:color="auto"/>
        <w:left w:val="none" w:sz="0" w:space="0" w:color="auto"/>
        <w:bottom w:val="none" w:sz="0" w:space="0" w:color="auto"/>
        <w:right w:val="none" w:sz="0" w:space="0" w:color="auto"/>
      </w:divBdr>
    </w:div>
    <w:div w:id="1885558029">
      <w:bodyDiv w:val="1"/>
      <w:marLeft w:val="0"/>
      <w:marRight w:val="0"/>
      <w:marTop w:val="0"/>
      <w:marBottom w:val="0"/>
      <w:divBdr>
        <w:top w:val="none" w:sz="0" w:space="0" w:color="auto"/>
        <w:left w:val="none" w:sz="0" w:space="0" w:color="auto"/>
        <w:bottom w:val="none" w:sz="0" w:space="0" w:color="auto"/>
        <w:right w:val="none" w:sz="0" w:space="0" w:color="auto"/>
      </w:divBdr>
    </w:div>
    <w:div w:id="1885675372">
      <w:bodyDiv w:val="1"/>
      <w:marLeft w:val="0"/>
      <w:marRight w:val="0"/>
      <w:marTop w:val="0"/>
      <w:marBottom w:val="0"/>
      <w:divBdr>
        <w:top w:val="none" w:sz="0" w:space="0" w:color="auto"/>
        <w:left w:val="none" w:sz="0" w:space="0" w:color="auto"/>
        <w:bottom w:val="none" w:sz="0" w:space="0" w:color="auto"/>
        <w:right w:val="none" w:sz="0" w:space="0" w:color="auto"/>
      </w:divBdr>
    </w:div>
    <w:div w:id="1885749114">
      <w:bodyDiv w:val="1"/>
      <w:marLeft w:val="0"/>
      <w:marRight w:val="0"/>
      <w:marTop w:val="0"/>
      <w:marBottom w:val="0"/>
      <w:divBdr>
        <w:top w:val="none" w:sz="0" w:space="0" w:color="auto"/>
        <w:left w:val="none" w:sz="0" w:space="0" w:color="auto"/>
        <w:bottom w:val="none" w:sz="0" w:space="0" w:color="auto"/>
        <w:right w:val="none" w:sz="0" w:space="0" w:color="auto"/>
      </w:divBdr>
    </w:div>
    <w:div w:id="1886134527">
      <w:bodyDiv w:val="1"/>
      <w:marLeft w:val="0"/>
      <w:marRight w:val="0"/>
      <w:marTop w:val="0"/>
      <w:marBottom w:val="0"/>
      <w:divBdr>
        <w:top w:val="none" w:sz="0" w:space="0" w:color="auto"/>
        <w:left w:val="none" w:sz="0" w:space="0" w:color="auto"/>
        <w:bottom w:val="none" w:sz="0" w:space="0" w:color="auto"/>
        <w:right w:val="none" w:sz="0" w:space="0" w:color="auto"/>
      </w:divBdr>
    </w:div>
    <w:div w:id="1886211307">
      <w:bodyDiv w:val="1"/>
      <w:marLeft w:val="0"/>
      <w:marRight w:val="0"/>
      <w:marTop w:val="0"/>
      <w:marBottom w:val="0"/>
      <w:divBdr>
        <w:top w:val="none" w:sz="0" w:space="0" w:color="auto"/>
        <w:left w:val="none" w:sz="0" w:space="0" w:color="auto"/>
        <w:bottom w:val="none" w:sz="0" w:space="0" w:color="auto"/>
        <w:right w:val="none" w:sz="0" w:space="0" w:color="auto"/>
      </w:divBdr>
    </w:div>
    <w:div w:id="1886212673">
      <w:bodyDiv w:val="1"/>
      <w:marLeft w:val="0"/>
      <w:marRight w:val="0"/>
      <w:marTop w:val="0"/>
      <w:marBottom w:val="0"/>
      <w:divBdr>
        <w:top w:val="none" w:sz="0" w:space="0" w:color="auto"/>
        <w:left w:val="none" w:sz="0" w:space="0" w:color="auto"/>
        <w:bottom w:val="none" w:sz="0" w:space="0" w:color="auto"/>
        <w:right w:val="none" w:sz="0" w:space="0" w:color="auto"/>
      </w:divBdr>
    </w:div>
    <w:div w:id="1886218032">
      <w:bodyDiv w:val="1"/>
      <w:marLeft w:val="0"/>
      <w:marRight w:val="0"/>
      <w:marTop w:val="0"/>
      <w:marBottom w:val="0"/>
      <w:divBdr>
        <w:top w:val="none" w:sz="0" w:space="0" w:color="auto"/>
        <w:left w:val="none" w:sz="0" w:space="0" w:color="auto"/>
        <w:bottom w:val="none" w:sz="0" w:space="0" w:color="auto"/>
        <w:right w:val="none" w:sz="0" w:space="0" w:color="auto"/>
      </w:divBdr>
    </w:div>
    <w:div w:id="1886327346">
      <w:bodyDiv w:val="1"/>
      <w:marLeft w:val="0"/>
      <w:marRight w:val="0"/>
      <w:marTop w:val="0"/>
      <w:marBottom w:val="0"/>
      <w:divBdr>
        <w:top w:val="none" w:sz="0" w:space="0" w:color="auto"/>
        <w:left w:val="none" w:sz="0" w:space="0" w:color="auto"/>
        <w:bottom w:val="none" w:sz="0" w:space="0" w:color="auto"/>
        <w:right w:val="none" w:sz="0" w:space="0" w:color="auto"/>
      </w:divBdr>
    </w:div>
    <w:div w:id="1886327419">
      <w:bodyDiv w:val="1"/>
      <w:marLeft w:val="0"/>
      <w:marRight w:val="0"/>
      <w:marTop w:val="0"/>
      <w:marBottom w:val="0"/>
      <w:divBdr>
        <w:top w:val="none" w:sz="0" w:space="0" w:color="auto"/>
        <w:left w:val="none" w:sz="0" w:space="0" w:color="auto"/>
        <w:bottom w:val="none" w:sz="0" w:space="0" w:color="auto"/>
        <w:right w:val="none" w:sz="0" w:space="0" w:color="auto"/>
      </w:divBdr>
    </w:div>
    <w:div w:id="1886402424">
      <w:bodyDiv w:val="1"/>
      <w:marLeft w:val="0"/>
      <w:marRight w:val="0"/>
      <w:marTop w:val="0"/>
      <w:marBottom w:val="0"/>
      <w:divBdr>
        <w:top w:val="none" w:sz="0" w:space="0" w:color="auto"/>
        <w:left w:val="none" w:sz="0" w:space="0" w:color="auto"/>
        <w:bottom w:val="none" w:sz="0" w:space="0" w:color="auto"/>
        <w:right w:val="none" w:sz="0" w:space="0" w:color="auto"/>
      </w:divBdr>
    </w:div>
    <w:div w:id="1886524978">
      <w:bodyDiv w:val="1"/>
      <w:marLeft w:val="0"/>
      <w:marRight w:val="0"/>
      <w:marTop w:val="0"/>
      <w:marBottom w:val="0"/>
      <w:divBdr>
        <w:top w:val="none" w:sz="0" w:space="0" w:color="auto"/>
        <w:left w:val="none" w:sz="0" w:space="0" w:color="auto"/>
        <w:bottom w:val="none" w:sz="0" w:space="0" w:color="auto"/>
        <w:right w:val="none" w:sz="0" w:space="0" w:color="auto"/>
      </w:divBdr>
    </w:div>
    <w:div w:id="1886525223">
      <w:bodyDiv w:val="1"/>
      <w:marLeft w:val="0"/>
      <w:marRight w:val="0"/>
      <w:marTop w:val="0"/>
      <w:marBottom w:val="0"/>
      <w:divBdr>
        <w:top w:val="none" w:sz="0" w:space="0" w:color="auto"/>
        <w:left w:val="none" w:sz="0" w:space="0" w:color="auto"/>
        <w:bottom w:val="none" w:sz="0" w:space="0" w:color="auto"/>
        <w:right w:val="none" w:sz="0" w:space="0" w:color="auto"/>
      </w:divBdr>
    </w:div>
    <w:div w:id="1886527684">
      <w:bodyDiv w:val="1"/>
      <w:marLeft w:val="0"/>
      <w:marRight w:val="0"/>
      <w:marTop w:val="0"/>
      <w:marBottom w:val="0"/>
      <w:divBdr>
        <w:top w:val="none" w:sz="0" w:space="0" w:color="auto"/>
        <w:left w:val="none" w:sz="0" w:space="0" w:color="auto"/>
        <w:bottom w:val="none" w:sz="0" w:space="0" w:color="auto"/>
        <w:right w:val="none" w:sz="0" w:space="0" w:color="auto"/>
      </w:divBdr>
    </w:div>
    <w:div w:id="1886598013">
      <w:bodyDiv w:val="1"/>
      <w:marLeft w:val="0"/>
      <w:marRight w:val="0"/>
      <w:marTop w:val="0"/>
      <w:marBottom w:val="0"/>
      <w:divBdr>
        <w:top w:val="none" w:sz="0" w:space="0" w:color="auto"/>
        <w:left w:val="none" w:sz="0" w:space="0" w:color="auto"/>
        <w:bottom w:val="none" w:sz="0" w:space="0" w:color="auto"/>
        <w:right w:val="none" w:sz="0" w:space="0" w:color="auto"/>
      </w:divBdr>
    </w:div>
    <w:div w:id="1886677894">
      <w:bodyDiv w:val="1"/>
      <w:marLeft w:val="0"/>
      <w:marRight w:val="0"/>
      <w:marTop w:val="0"/>
      <w:marBottom w:val="0"/>
      <w:divBdr>
        <w:top w:val="none" w:sz="0" w:space="0" w:color="auto"/>
        <w:left w:val="none" w:sz="0" w:space="0" w:color="auto"/>
        <w:bottom w:val="none" w:sz="0" w:space="0" w:color="auto"/>
        <w:right w:val="none" w:sz="0" w:space="0" w:color="auto"/>
      </w:divBdr>
    </w:div>
    <w:div w:id="1886717448">
      <w:bodyDiv w:val="1"/>
      <w:marLeft w:val="0"/>
      <w:marRight w:val="0"/>
      <w:marTop w:val="0"/>
      <w:marBottom w:val="0"/>
      <w:divBdr>
        <w:top w:val="none" w:sz="0" w:space="0" w:color="auto"/>
        <w:left w:val="none" w:sz="0" w:space="0" w:color="auto"/>
        <w:bottom w:val="none" w:sz="0" w:space="0" w:color="auto"/>
        <w:right w:val="none" w:sz="0" w:space="0" w:color="auto"/>
      </w:divBdr>
    </w:div>
    <w:div w:id="1886719056">
      <w:bodyDiv w:val="1"/>
      <w:marLeft w:val="0"/>
      <w:marRight w:val="0"/>
      <w:marTop w:val="0"/>
      <w:marBottom w:val="0"/>
      <w:divBdr>
        <w:top w:val="none" w:sz="0" w:space="0" w:color="auto"/>
        <w:left w:val="none" w:sz="0" w:space="0" w:color="auto"/>
        <w:bottom w:val="none" w:sz="0" w:space="0" w:color="auto"/>
        <w:right w:val="none" w:sz="0" w:space="0" w:color="auto"/>
      </w:divBdr>
    </w:div>
    <w:div w:id="1886941746">
      <w:bodyDiv w:val="1"/>
      <w:marLeft w:val="0"/>
      <w:marRight w:val="0"/>
      <w:marTop w:val="0"/>
      <w:marBottom w:val="0"/>
      <w:divBdr>
        <w:top w:val="none" w:sz="0" w:space="0" w:color="auto"/>
        <w:left w:val="none" w:sz="0" w:space="0" w:color="auto"/>
        <w:bottom w:val="none" w:sz="0" w:space="0" w:color="auto"/>
        <w:right w:val="none" w:sz="0" w:space="0" w:color="auto"/>
      </w:divBdr>
    </w:div>
    <w:div w:id="1887061718">
      <w:bodyDiv w:val="1"/>
      <w:marLeft w:val="0"/>
      <w:marRight w:val="0"/>
      <w:marTop w:val="0"/>
      <w:marBottom w:val="0"/>
      <w:divBdr>
        <w:top w:val="none" w:sz="0" w:space="0" w:color="auto"/>
        <w:left w:val="none" w:sz="0" w:space="0" w:color="auto"/>
        <w:bottom w:val="none" w:sz="0" w:space="0" w:color="auto"/>
        <w:right w:val="none" w:sz="0" w:space="0" w:color="auto"/>
      </w:divBdr>
    </w:div>
    <w:div w:id="1887063261">
      <w:bodyDiv w:val="1"/>
      <w:marLeft w:val="0"/>
      <w:marRight w:val="0"/>
      <w:marTop w:val="0"/>
      <w:marBottom w:val="0"/>
      <w:divBdr>
        <w:top w:val="none" w:sz="0" w:space="0" w:color="auto"/>
        <w:left w:val="none" w:sz="0" w:space="0" w:color="auto"/>
        <w:bottom w:val="none" w:sz="0" w:space="0" w:color="auto"/>
        <w:right w:val="none" w:sz="0" w:space="0" w:color="auto"/>
      </w:divBdr>
    </w:div>
    <w:div w:id="1887064817">
      <w:bodyDiv w:val="1"/>
      <w:marLeft w:val="0"/>
      <w:marRight w:val="0"/>
      <w:marTop w:val="0"/>
      <w:marBottom w:val="0"/>
      <w:divBdr>
        <w:top w:val="none" w:sz="0" w:space="0" w:color="auto"/>
        <w:left w:val="none" w:sz="0" w:space="0" w:color="auto"/>
        <w:bottom w:val="none" w:sz="0" w:space="0" w:color="auto"/>
        <w:right w:val="none" w:sz="0" w:space="0" w:color="auto"/>
      </w:divBdr>
    </w:div>
    <w:div w:id="1887375250">
      <w:bodyDiv w:val="1"/>
      <w:marLeft w:val="0"/>
      <w:marRight w:val="0"/>
      <w:marTop w:val="0"/>
      <w:marBottom w:val="0"/>
      <w:divBdr>
        <w:top w:val="none" w:sz="0" w:space="0" w:color="auto"/>
        <w:left w:val="none" w:sz="0" w:space="0" w:color="auto"/>
        <w:bottom w:val="none" w:sz="0" w:space="0" w:color="auto"/>
        <w:right w:val="none" w:sz="0" w:space="0" w:color="auto"/>
      </w:divBdr>
    </w:div>
    <w:div w:id="1887402327">
      <w:bodyDiv w:val="1"/>
      <w:marLeft w:val="0"/>
      <w:marRight w:val="0"/>
      <w:marTop w:val="0"/>
      <w:marBottom w:val="0"/>
      <w:divBdr>
        <w:top w:val="none" w:sz="0" w:space="0" w:color="auto"/>
        <w:left w:val="none" w:sz="0" w:space="0" w:color="auto"/>
        <w:bottom w:val="none" w:sz="0" w:space="0" w:color="auto"/>
        <w:right w:val="none" w:sz="0" w:space="0" w:color="auto"/>
      </w:divBdr>
    </w:div>
    <w:div w:id="1887402433">
      <w:bodyDiv w:val="1"/>
      <w:marLeft w:val="0"/>
      <w:marRight w:val="0"/>
      <w:marTop w:val="0"/>
      <w:marBottom w:val="0"/>
      <w:divBdr>
        <w:top w:val="none" w:sz="0" w:space="0" w:color="auto"/>
        <w:left w:val="none" w:sz="0" w:space="0" w:color="auto"/>
        <w:bottom w:val="none" w:sz="0" w:space="0" w:color="auto"/>
        <w:right w:val="none" w:sz="0" w:space="0" w:color="auto"/>
      </w:divBdr>
    </w:div>
    <w:div w:id="1887640086">
      <w:bodyDiv w:val="1"/>
      <w:marLeft w:val="0"/>
      <w:marRight w:val="0"/>
      <w:marTop w:val="0"/>
      <w:marBottom w:val="0"/>
      <w:divBdr>
        <w:top w:val="none" w:sz="0" w:space="0" w:color="auto"/>
        <w:left w:val="none" w:sz="0" w:space="0" w:color="auto"/>
        <w:bottom w:val="none" w:sz="0" w:space="0" w:color="auto"/>
        <w:right w:val="none" w:sz="0" w:space="0" w:color="auto"/>
      </w:divBdr>
    </w:div>
    <w:div w:id="1887642987">
      <w:bodyDiv w:val="1"/>
      <w:marLeft w:val="0"/>
      <w:marRight w:val="0"/>
      <w:marTop w:val="0"/>
      <w:marBottom w:val="0"/>
      <w:divBdr>
        <w:top w:val="none" w:sz="0" w:space="0" w:color="auto"/>
        <w:left w:val="none" w:sz="0" w:space="0" w:color="auto"/>
        <w:bottom w:val="none" w:sz="0" w:space="0" w:color="auto"/>
        <w:right w:val="none" w:sz="0" w:space="0" w:color="auto"/>
      </w:divBdr>
    </w:div>
    <w:div w:id="1887719131">
      <w:bodyDiv w:val="1"/>
      <w:marLeft w:val="0"/>
      <w:marRight w:val="0"/>
      <w:marTop w:val="0"/>
      <w:marBottom w:val="0"/>
      <w:divBdr>
        <w:top w:val="none" w:sz="0" w:space="0" w:color="auto"/>
        <w:left w:val="none" w:sz="0" w:space="0" w:color="auto"/>
        <w:bottom w:val="none" w:sz="0" w:space="0" w:color="auto"/>
        <w:right w:val="none" w:sz="0" w:space="0" w:color="auto"/>
      </w:divBdr>
    </w:div>
    <w:div w:id="1887788322">
      <w:bodyDiv w:val="1"/>
      <w:marLeft w:val="0"/>
      <w:marRight w:val="0"/>
      <w:marTop w:val="0"/>
      <w:marBottom w:val="0"/>
      <w:divBdr>
        <w:top w:val="none" w:sz="0" w:space="0" w:color="auto"/>
        <w:left w:val="none" w:sz="0" w:space="0" w:color="auto"/>
        <w:bottom w:val="none" w:sz="0" w:space="0" w:color="auto"/>
        <w:right w:val="none" w:sz="0" w:space="0" w:color="auto"/>
      </w:divBdr>
    </w:div>
    <w:div w:id="1887795710">
      <w:bodyDiv w:val="1"/>
      <w:marLeft w:val="0"/>
      <w:marRight w:val="0"/>
      <w:marTop w:val="0"/>
      <w:marBottom w:val="0"/>
      <w:divBdr>
        <w:top w:val="none" w:sz="0" w:space="0" w:color="auto"/>
        <w:left w:val="none" w:sz="0" w:space="0" w:color="auto"/>
        <w:bottom w:val="none" w:sz="0" w:space="0" w:color="auto"/>
        <w:right w:val="none" w:sz="0" w:space="0" w:color="auto"/>
      </w:divBdr>
    </w:div>
    <w:div w:id="1887990112">
      <w:bodyDiv w:val="1"/>
      <w:marLeft w:val="0"/>
      <w:marRight w:val="0"/>
      <w:marTop w:val="0"/>
      <w:marBottom w:val="0"/>
      <w:divBdr>
        <w:top w:val="none" w:sz="0" w:space="0" w:color="auto"/>
        <w:left w:val="none" w:sz="0" w:space="0" w:color="auto"/>
        <w:bottom w:val="none" w:sz="0" w:space="0" w:color="auto"/>
        <w:right w:val="none" w:sz="0" w:space="0" w:color="auto"/>
      </w:divBdr>
    </w:div>
    <w:div w:id="1888178992">
      <w:bodyDiv w:val="1"/>
      <w:marLeft w:val="0"/>
      <w:marRight w:val="0"/>
      <w:marTop w:val="0"/>
      <w:marBottom w:val="0"/>
      <w:divBdr>
        <w:top w:val="none" w:sz="0" w:space="0" w:color="auto"/>
        <w:left w:val="none" w:sz="0" w:space="0" w:color="auto"/>
        <w:bottom w:val="none" w:sz="0" w:space="0" w:color="auto"/>
        <w:right w:val="none" w:sz="0" w:space="0" w:color="auto"/>
      </w:divBdr>
    </w:div>
    <w:div w:id="1888184118">
      <w:bodyDiv w:val="1"/>
      <w:marLeft w:val="0"/>
      <w:marRight w:val="0"/>
      <w:marTop w:val="0"/>
      <w:marBottom w:val="0"/>
      <w:divBdr>
        <w:top w:val="none" w:sz="0" w:space="0" w:color="auto"/>
        <w:left w:val="none" w:sz="0" w:space="0" w:color="auto"/>
        <w:bottom w:val="none" w:sz="0" w:space="0" w:color="auto"/>
        <w:right w:val="none" w:sz="0" w:space="0" w:color="auto"/>
      </w:divBdr>
    </w:div>
    <w:div w:id="1888372537">
      <w:bodyDiv w:val="1"/>
      <w:marLeft w:val="0"/>
      <w:marRight w:val="0"/>
      <w:marTop w:val="0"/>
      <w:marBottom w:val="0"/>
      <w:divBdr>
        <w:top w:val="none" w:sz="0" w:space="0" w:color="auto"/>
        <w:left w:val="none" w:sz="0" w:space="0" w:color="auto"/>
        <w:bottom w:val="none" w:sz="0" w:space="0" w:color="auto"/>
        <w:right w:val="none" w:sz="0" w:space="0" w:color="auto"/>
      </w:divBdr>
    </w:div>
    <w:div w:id="1888451135">
      <w:bodyDiv w:val="1"/>
      <w:marLeft w:val="0"/>
      <w:marRight w:val="0"/>
      <w:marTop w:val="0"/>
      <w:marBottom w:val="0"/>
      <w:divBdr>
        <w:top w:val="none" w:sz="0" w:space="0" w:color="auto"/>
        <w:left w:val="none" w:sz="0" w:space="0" w:color="auto"/>
        <w:bottom w:val="none" w:sz="0" w:space="0" w:color="auto"/>
        <w:right w:val="none" w:sz="0" w:space="0" w:color="auto"/>
      </w:divBdr>
    </w:div>
    <w:div w:id="1888488786">
      <w:bodyDiv w:val="1"/>
      <w:marLeft w:val="0"/>
      <w:marRight w:val="0"/>
      <w:marTop w:val="0"/>
      <w:marBottom w:val="0"/>
      <w:divBdr>
        <w:top w:val="none" w:sz="0" w:space="0" w:color="auto"/>
        <w:left w:val="none" w:sz="0" w:space="0" w:color="auto"/>
        <w:bottom w:val="none" w:sz="0" w:space="0" w:color="auto"/>
        <w:right w:val="none" w:sz="0" w:space="0" w:color="auto"/>
      </w:divBdr>
    </w:div>
    <w:div w:id="1888834897">
      <w:bodyDiv w:val="1"/>
      <w:marLeft w:val="0"/>
      <w:marRight w:val="0"/>
      <w:marTop w:val="0"/>
      <w:marBottom w:val="0"/>
      <w:divBdr>
        <w:top w:val="none" w:sz="0" w:space="0" w:color="auto"/>
        <w:left w:val="none" w:sz="0" w:space="0" w:color="auto"/>
        <w:bottom w:val="none" w:sz="0" w:space="0" w:color="auto"/>
        <w:right w:val="none" w:sz="0" w:space="0" w:color="auto"/>
      </w:divBdr>
    </w:div>
    <w:div w:id="1889028463">
      <w:bodyDiv w:val="1"/>
      <w:marLeft w:val="0"/>
      <w:marRight w:val="0"/>
      <w:marTop w:val="0"/>
      <w:marBottom w:val="0"/>
      <w:divBdr>
        <w:top w:val="none" w:sz="0" w:space="0" w:color="auto"/>
        <w:left w:val="none" w:sz="0" w:space="0" w:color="auto"/>
        <w:bottom w:val="none" w:sz="0" w:space="0" w:color="auto"/>
        <w:right w:val="none" w:sz="0" w:space="0" w:color="auto"/>
      </w:divBdr>
    </w:div>
    <w:div w:id="1889222504">
      <w:bodyDiv w:val="1"/>
      <w:marLeft w:val="0"/>
      <w:marRight w:val="0"/>
      <w:marTop w:val="0"/>
      <w:marBottom w:val="0"/>
      <w:divBdr>
        <w:top w:val="none" w:sz="0" w:space="0" w:color="auto"/>
        <w:left w:val="none" w:sz="0" w:space="0" w:color="auto"/>
        <w:bottom w:val="none" w:sz="0" w:space="0" w:color="auto"/>
        <w:right w:val="none" w:sz="0" w:space="0" w:color="auto"/>
      </w:divBdr>
    </w:div>
    <w:div w:id="1889299912">
      <w:bodyDiv w:val="1"/>
      <w:marLeft w:val="0"/>
      <w:marRight w:val="0"/>
      <w:marTop w:val="0"/>
      <w:marBottom w:val="0"/>
      <w:divBdr>
        <w:top w:val="none" w:sz="0" w:space="0" w:color="auto"/>
        <w:left w:val="none" w:sz="0" w:space="0" w:color="auto"/>
        <w:bottom w:val="none" w:sz="0" w:space="0" w:color="auto"/>
        <w:right w:val="none" w:sz="0" w:space="0" w:color="auto"/>
      </w:divBdr>
    </w:div>
    <w:div w:id="1889301069">
      <w:bodyDiv w:val="1"/>
      <w:marLeft w:val="0"/>
      <w:marRight w:val="0"/>
      <w:marTop w:val="0"/>
      <w:marBottom w:val="0"/>
      <w:divBdr>
        <w:top w:val="none" w:sz="0" w:space="0" w:color="auto"/>
        <w:left w:val="none" w:sz="0" w:space="0" w:color="auto"/>
        <w:bottom w:val="none" w:sz="0" w:space="0" w:color="auto"/>
        <w:right w:val="none" w:sz="0" w:space="0" w:color="auto"/>
      </w:divBdr>
    </w:div>
    <w:div w:id="1889535499">
      <w:bodyDiv w:val="1"/>
      <w:marLeft w:val="0"/>
      <w:marRight w:val="0"/>
      <w:marTop w:val="0"/>
      <w:marBottom w:val="0"/>
      <w:divBdr>
        <w:top w:val="none" w:sz="0" w:space="0" w:color="auto"/>
        <w:left w:val="none" w:sz="0" w:space="0" w:color="auto"/>
        <w:bottom w:val="none" w:sz="0" w:space="0" w:color="auto"/>
        <w:right w:val="none" w:sz="0" w:space="0" w:color="auto"/>
      </w:divBdr>
    </w:div>
    <w:div w:id="1889536190">
      <w:bodyDiv w:val="1"/>
      <w:marLeft w:val="0"/>
      <w:marRight w:val="0"/>
      <w:marTop w:val="0"/>
      <w:marBottom w:val="0"/>
      <w:divBdr>
        <w:top w:val="none" w:sz="0" w:space="0" w:color="auto"/>
        <w:left w:val="none" w:sz="0" w:space="0" w:color="auto"/>
        <w:bottom w:val="none" w:sz="0" w:space="0" w:color="auto"/>
        <w:right w:val="none" w:sz="0" w:space="0" w:color="auto"/>
      </w:divBdr>
    </w:div>
    <w:div w:id="1889685737">
      <w:bodyDiv w:val="1"/>
      <w:marLeft w:val="0"/>
      <w:marRight w:val="0"/>
      <w:marTop w:val="0"/>
      <w:marBottom w:val="0"/>
      <w:divBdr>
        <w:top w:val="none" w:sz="0" w:space="0" w:color="auto"/>
        <w:left w:val="none" w:sz="0" w:space="0" w:color="auto"/>
        <w:bottom w:val="none" w:sz="0" w:space="0" w:color="auto"/>
        <w:right w:val="none" w:sz="0" w:space="0" w:color="auto"/>
      </w:divBdr>
    </w:div>
    <w:div w:id="1889798192">
      <w:bodyDiv w:val="1"/>
      <w:marLeft w:val="0"/>
      <w:marRight w:val="0"/>
      <w:marTop w:val="0"/>
      <w:marBottom w:val="0"/>
      <w:divBdr>
        <w:top w:val="none" w:sz="0" w:space="0" w:color="auto"/>
        <w:left w:val="none" w:sz="0" w:space="0" w:color="auto"/>
        <w:bottom w:val="none" w:sz="0" w:space="0" w:color="auto"/>
        <w:right w:val="none" w:sz="0" w:space="0" w:color="auto"/>
      </w:divBdr>
    </w:div>
    <w:div w:id="1889952177">
      <w:bodyDiv w:val="1"/>
      <w:marLeft w:val="0"/>
      <w:marRight w:val="0"/>
      <w:marTop w:val="0"/>
      <w:marBottom w:val="0"/>
      <w:divBdr>
        <w:top w:val="none" w:sz="0" w:space="0" w:color="auto"/>
        <w:left w:val="none" w:sz="0" w:space="0" w:color="auto"/>
        <w:bottom w:val="none" w:sz="0" w:space="0" w:color="auto"/>
        <w:right w:val="none" w:sz="0" w:space="0" w:color="auto"/>
      </w:divBdr>
    </w:div>
    <w:div w:id="1890023219">
      <w:bodyDiv w:val="1"/>
      <w:marLeft w:val="0"/>
      <w:marRight w:val="0"/>
      <w:marTop w:val="0"/>
      <w:marBottom w:val="0"/>
      <w:divBdr>
        <w:top w:val="none" w:sz="0" w:space="0" w:color="auto"/>
        <w:left w:val="none" w:sz="0" w:space="0" w:color="auto"/>
        <w:bottom w:val="none" w:sz="0" w:space="0" w:color="auto"/>
        <w:right w:val="none" w:sz="0" w:space="0" w:color="auto"/>
      </w:divBdr>
    </w:div>
    <w:div w:id="1890068354">
      <w:bodyDiv w:val="1"/>
      <w:marLeft w:val="0"/>
      <w:marRight w:val="0"/>
      <w:marTop w:val="0"/>
      <w:marBottom w:val="0"/>
      <w:divBdr>
        <w:top w:val="none" w:sz="0" w:space="0" w:color="auto"/>
        <w:left w:val="none" w:sz="0" w:space="0" w:color="auto"/>
        <w:bottom w:val="none" w:sz="0" w:space="0" w:color="auto"/>
        <w:right w:val="none" w:sz="0" w:space="0" w:color="auto"/>
      </w:divBdr>
    </w:div>
    <w:div w:id="1890143464">
      <w:bodyDiv w:val="1"/>
      <w:marLeft w:val="0"/>
      <w:marRight w:val="0"/>
      <w:marTop w:val="0"/>
      <w:marBottom w:val="0"/>
      <w:divBdr>
        <w:top w:val="none" w:sz="0" w:space="0" w:color="auto"/>
        <w:left w:val="none" w:sz="0" w:space="0" w:color="auto"/>
        <w:bottom w:val="none" w:sz="0" w:space="0" w:color="auto"/>
        <w:right w:val="none" w:sz="0" w:space="0" w:color="auto"/>
      </w:divBdr>
    </w:div>
    <w:div w:id="1890143777">
      <w:bodyDiv w:val="1"/>
      <w:marLeft w:val="0"/>
      <w:marRight w:val="0"/>
      <w:marTop w:val="0"/>
      <w:marBottom w:val="0"/>
      <w:divBdr>
        <w:top w:val="none" w:sz="0" w:space="0" w:color="auto"/>
        <w:left w:val="none" w:sz="0" w:space="0" w:color="auto"/>
        <w:bottom w:val="none" w:sz="0" w:space="0" w:color="auto"/>
        <w:right w:val="none" w:sz="0" w:space="0" w:color="auto"/>
      </w:divBdr>
    </w:div>
    <w:div w:id="1890266018">
      <w:bodyDiv w:val="1"/>
      <w:marLeft w:val="0"/>
      <w:marRight w:val="0"/>
      <w:marTop w:val="0"/>
      <w:marBottom w:val="0"/>
      <w:divBdr>
        <w:top w:val="none" w:sz="0" w:space="0" w:color="auto"/>
        <w:left w:val="none" w:sz="0" w:space="0" w:color="auto"/>
        <w:bottom w:val="none" w:sz="0" w:space="0" w:color="auto"/>
        <w:right w:val="none" w:sz="0" w:space="0" w:color="auto"/>
      </w:divBdr>
    </w:div>
    <w:div w:id="1890266712">
      <w:bodyDiv w:val="1"/>
      <w:marLeft w:val="0"/>
      <w:marRight w:val="0"/>
      <w:marTop w:val="0"/>
      <w:marBottom w:val="0"/>
      <w:divBdr>
        <w:top w:val="none" w:sz="0" w:space="0" w:color="auto"/>
        <w:left w:val="none" w:sz="0" w:space="0" w:color="auto"/>
        <w:bottom w:val="none" w:sz="0" w:space="0" w:color="auto"/>
        <w:right w:val="none" w:sz="0" w:space="0" w:color="auto"/>
      </w:divBdr>
    </w:div>
    <w:div w:id="1890417708">
      <w:bodyDiv w:val="1"/>
      <w:marLeft w:val="0"/>
      <w:marRight w:val="0"/>
      <w:marTop w:val="0"/>
      <w:marBottom w:val="0"/>
      <w:divBdr>
        <w:top w:val="none" w:sz="0" w:space="0" w:color="auto"/>
        <w:left w:val="none" w:sz="0" w:space="0" w:color="auto"/>
        <w:bottom w:val="none" w:sz="0" w:space="0" w:color="auto"/>
        <w:right w:val="none" w:sz="0" w:space="0" w:color="auto"/>
      </w:divBdr>
    </w:div>
    <w:div w:id="1890458974">
      <w:bodyDiv w:val="1"/>
      <w:marLeft w:val="0"/>
      <w:marRight w:val="0"/>
      <w:marTop w:val="0"/>
      <w:marBottom w:val="0"/>
      <w:divBdr>
        <w:top w:val="none" w:sz="0" w:space="0" w:color="auto"/>
        <w:left w:val="none" w:sz="0" w:space="0" w:color="auto"/>
        <w:bottom w:val="none" w:sz="0" w:space="0" w:color="auto"/>
        <w:right w:val="none" w:sz="0" w:space="0" w:color="auto"/>
      </w:divBdr>
    </w:div>
    <w:div w:id="1890460610">
      <w:bodyDiv w:val="1"/>
      <w:marLeft w:val="0"/>
      <w:marRight w:val="0"/>
      <w:marTop w:val="0"/>
      <w:marBottom w:val="0"/>
      <w:divBdr>
        <w:top w:val="none" w:sz="0" w:space="0" w:color="auto"/>
        <w:left w:val="none" w:sz="0" w:space="0" w:color="auto"/>
        <w:bottom w:val="none" w:sz="0" w:space="0" w:color="auto"/>
        <w:right w:val="none" w:sz="0" w:space="0" w:color="auto"/>
      </w:divBdr>
    </w:div>
    <w:div w:id="1890611232">
      <w:bodyDiv w:val="1"/>
      <w:marLeft w:val="0"/>
      <w:marRight w:val="0"/>
      <w:marTop w:val="0"/>
      <w:marBottom w:val="0"/>
      <w:divBdr>
        <w:top w:val="none" w:sz="0" w:space="0" w:color="auto"/>
        <w:left w:val="none" w:sz="0" w:space="0" w:color="auto"/>
        <w:bottom w:val="none" w:sz="0" w:space="0" w:color="auto"/>
        <w:right w:val="none" w:sz="0" w:space="0" w:color="auto"/>
      </w:divBdr>
    </w:div>
    <w:div w:id="1890611460">
      <w:bodyDiv w:val="1"/>
      <w:marLeft w:val="0"/>
      <w:marRight w:val="0"/>
      <w:marTop w:val="0"/>
      <w:marBottom w:val="0"/>
      <w:divBdr>
        <w:top w:val="none" w:sz="0" w:space="0" w:color="auto"/>
        <w:left w:val="none" w:sz="0" w:space="0" w:color="auto"/>
        <w:bottom w:val="none" w:sz="0" w:space="0" w:color="auto"/>
        <w:right w:val="none" w:sz="0" w:space="0" w:color="auto"/>
      </w:divBdr>
    </w:div>
    <w:div w:id="1890679249">
      <w:bodyDiv w:val="1"/>
      <w:marLeft w:val="0"/>
      <w:marRight w:val="0"/>
      <w:marTop w:val="0"/>
      <w:marBottom w:val="0"/>
      <w:divBdr>
        <w:top w:val="none" w:sz="0" w:space="0" w:color="auto"/>
        <w:left w:val="none" w:sz="0" w:space="0" w:color="auto"/>
        <w:bottom w:val="none" w:sz="0" w:space="0" w:color="auto"/>
        <w:right w:val="none" w:sz="0" w:space="0" w:color="auto"/>
      </w:divBdr>
    </w:div>
    <w:div w:id="1890720491">
      <w:bodyDiv w:val="1"/>
      <w:marLeft w:val="0"/>
      <w:marRight w:val="0"/>
      <w:marTop w:val="0"/>
      <w:marBottom w:val="0"/>
      <w:divBdr>
        <w:top w:val="none" w:sz="0" w:space="0" w:color="auto"/>
        <w:left w:val="none" w:sz="0" w:space="0" w:color="auto"/>
        <w:bottom w:val="none" w:sz="0" w:space="0" w:color="auto"/>
        <w:right w:val="none" w:sz="0" w:space="0" w:color="auto"/>
      </w:divBdr>
    </w:div>
    <w:div w:id="1890721083">
      <w:bodyDiv w:val="1"/>
      <w:marLeft w:val="0"/>
      <w:marRight w:val="0"/>
      <w:marTop w:val="0"/>
      <w:marBottom w:val="0"/>
      <w:divBdr>
        <w:top w:val="none" w:sz="0" w:space="0" w:color="auto"/>
        <w:left w:val="none" w:sz="0" w:space="0" w:color="auto"/>
        <w:bottom w:val="none" w:sz="0" w:space="0" w:color="auto"/>
        <w:right w:val="none" w:sz="0" w:space="0" w:color="auto"/>
      </w:divBdr>
    </w:div>
    <w:div w:id="1890992743">
      <w:bodyDiv w:val="1"/>
      <w:marLeft w:val="0"/>
      <w:marRight w:val="0"/>
      <w:marTop w:val="0"/>
      <w:marBottom w:val="0"/>
      <w:divBdr>
        <w:top w:val="none" w:sz="0" w:space="0" w:color="auto"/>
        <w:left w:val="none" w:sz="0" w:space="0" w:color="auto"/>
        <w:bottom w:val="none" w:sz="0" w:space="0" w:color="auto"/>
        <w:right w:val="none" w:sz="0" w:space="0" w:color="auto"/>
      </w:divBdr>
    </w:div>
    <w:div w:id="1890994194">
      <w:bodyDiv w:val="1"/>
      <w:marLeft w:val="0"/>
      <w:marRight w:val="0"/>
      <w:marTop w:val="0"/>
      <w:marBottom w:val="0"/>
      <w:divBdr>
        <w:top w:val="none" w:sz="0" w:space="0" w:color="auto"/>
        <w:left w:val="none" w:sz="0" w:space="0" w:color="auto"/>
        <w:bottom w:val="none" w:sz="0" w:space="0" w:color="auto"/>
        <w:right w:val="none" w:sz="0" w:space="0" w:color="auto"/>
      </w:divBdr>
    </w:div>
    <w:div w:id="1891065620">
      <w:bodyDiv w:val="1"/>
      <w:marLeft w:val="0"/>
      <w:marRight w:val="0"/>
      <w:marTop w:val="0"/>
      <w:marBottom w:val="0"/>
      <w:divBdr>
        <w:top w:val="none" w:sz="0" w:space="0" w:color="auto"/>
        <w:left w:val="none" w:sz="0" w:space="0" w:color="auto"/>
        <w:bottom w:val="none" w:sz="0" w:space="0" w:color="auto"/>
        <w:right w:val="none" w:sz="0" w:space="0" w:color="auto"/>
      </w:divBdr>
    </w:div>
    <w:div w:id="1891109512">
      <w:bodyDiv w:val="1"/>
      <w:marLeft w:val="0"/>
      <w:marRight w:val="0"/>
      <w:marTop w:val="0"/>
      <w:marBottom w:val="0"/>
      <w:divBdr>
        <w:top w:val="none" w:sz="0" w:space="0" w:color="auto"/>
        <w:left w:val="none" w:sz="0" w:space="0" w:color="auto"/>
        <w:bottom w:val="none" w:sz="0" w:space="0" w:color="auto"/>
        <w:right w:val="none" w:sz="0" w:space="0" w:color="auto"/>
      </w:divBdr>
    </w:div>
    <w:div w:id="1891262674">
      <w:bodyDiv w:val="1"/>
      <w:marLeft w:val="0"/>
      <w:marRight w:val="0"/>
      <w:marTop w:val="0"/>
      <w:marBottom w:val="0"/>
      <w:divBdr>
        <w:top w:val="none" w:sz="0" w:space="0" w:color="auto"/>
        <w:left w:val="none" w:sz="0" w:space="0" w:color="auto"/>
        <w:bottom w:val="none" w:sz="0" w:space="0" w:color="auto"/>
        <w:right w:val="none" w:sz="0" w:space="0" w:color="auto"/>
      </w:divBdr>
    </w:div>
    <w:div w:id="1891263562">
      <w:bodyDiv w:val="1"/>
      <w:marLeft w:val="0"/>
      <w:marRight w:val="0"/>
      <w:marTop w:val="0"/>
      <w:marBottom w:val="0"/>
      <w:divBdr>
        <w:top w:val="none" w:sz="0" w:space="0" w:color="auto"/>
        <w:left w:val="none" w:sz="0" w:space="0" w:color="auto"/>
        <w:bottom w:val="none" w:sz="0" w:space="0" w:color="auto"/>
        <w:right w:val="none" w:sz="0" w:space="0" w:color="auto"/>
      </w:divBdr>
    </w:div>
    <w:div w:id="1891307722">
      <w:bodyDiv w:val="1"/>
      <w:marLeft w:val="0"/>
      <w:marRight w:val="0"/>
      <w:marTop w:val="0"/>
      <w:marBottom w:val="0"/>
      <w:divBdr>
        <w:top w:val="none" w:sz="0" w:space="0" w:color="auto"/>
        <w:left w:val="none" w:sz="0" w:space="0" w:color="auto"/>
        <w:bottom w:val="none" w:sz="0" w:space="0" w:color="auto"/>
        <w:right w:val="none" w:sz="0" w:space="0" w:color="auto"/>
      </w:divBdr>
    </w:div>
    <w:div w:id="1891334283">
      <w:bodyDiv w:val="1"/>
      <w:marLeft w:val="0"/>
      <w:marRight w:val="0"/>
      <w:marTop w:val="0"/>
      <w:marBottom w:val="0"/>
      <w:divBdr>
        <w:top w:val="none" w:sz="0" w:space="0" w:color="auto"/>
        <w:left w:val="none" w:sz="0" w:space="0" w:color="auto"/>
        <w:bottom w:val="none" w:sz="0" w:space="0" w:color="auto"/>
        <w:right w:val="none" w:sz="0" w:space="0" w:color="auto"/>
      </w:divBdr>
    </w:div>
    <w:div w:id="1891383030">
      <w:bodyDiv w:val="1"/>
      <w:marLeft w:val="0"/>
      <w:marRight w:val="0"/>
      <w:marTop w:val="0"/>
      <w:marBottom w:val="0"/>
      <w:divBdr>
        <w:top w:val="none" w:sz="0" w:space="0" w:color="auto"/>
        <w:left w:val="none" w:sz="0" w:space="0" w:color="auto"/>
        <w:bottom w:val="none" w:sz="0" w:space="0" w:color="auto"/>
        <w:right w:val="none" w:sz="0" w:space="0" w:color="auto"/>
      </w:divBdr>
    </w:div>
    <w:div w:id="1891842729">
      <w:bodyDiv w:val="1"/>
      <w:marLeft w:val="0"/>
      <w:marRight w:val="0"/>
      <w:marTop w:val="0"/>
      <w:marBottom w:val="0"/>
      <w:divBdr>
        <w:top w:val="none" w:sz="0" w:space="0" w:color="auto"/>
        <w:left w:val="none" w:sz="0" w:space="0" w:color="auto"/>
        <w:bottom w:val="none" w:sz="0" w:space="0" w:color="auto"/>
        <w:right w:val="none" w:sz="0" w:space="0" w:color="auto"/>
      </w:divBdr>
    </w:div>
    <w:div w:id="1891913274">
      <w:bodyDiv w:val="1"/>
      <w:marLeft w:val="0"/>
      <w:marRight w:val="0"/>
      <w:marTop w:val="0"/>
      <w:marBottom w:val="0"/>
      <w:divBdr>
        <w:top w:val="none" w:sz="0" w:space="0" w:color="auto"/>
        <w:left w:val="none" w:sz="0" w:space="0" w:color="auto"/>
        <w:bottom w:val="none" w:sz="0" w:space="0" w:color="auto"/>
        <w:right w:val="none" w:sz="0" w:space="0" w:color="auto"/>
      </w:divBdr>
    </w:div>
    <w:div w:id="1891914949">
      <w:bodyDiv w:val="1"/>
      <w:marLeft w:val="0"/>
      <w:marRight w:val="0"/>
      <w:marTop w:val="0"/>
      <w:marBottom w:val="0"/>
      <w:divBdr>
        <w:top w:val="none" w:sz="0" w:space="0" w:color="auto"/>
        <w:left w:val="none" w:sz="0" w:space="0" w:color="auto"/>
        <w:bottom w:val="none" w:sz="0" w:space="0" w:color="auto"/>
        <w:right w:val="none" w:sz="0" w:space="0" w:color="auto"/>
      </w:divBdr>
    </w:div>
    <w:div w:id="1892037174">
      <w:bodyDiv w:val="1"/>
      <w:marLeft w:val="0"/>
      <w:marRight w:val="0"/>
      <w:marTop w:val="0"/>
      <w:marBottom w:val="0"/>
      <w:divBdr>
        <w:top w:val="none" w:sz="0" w:space="0" w:color="auto"/>
        <w:left w:val="none" w:sz="0" w:space="0" w:color="auto"/>
        <w:bottom w:val="none" w:sz="0" w:space="0" w:color="auto"/>
        <w:right w:val="none" w:sz="0" w:space="0" w:color="auto"/>
      </w:divBdr>
    </w:div>
    <w:div w:id="1892158121">
      <w:bodyDiv w:val="1"/>
      <w:marLeft w:val="0"/>
      <w:marRight w:val="0"/>
      <w:marTop w:val="0"/>
      <w:marBottom w:val="0"/>
      <w:divBdr>
        <w:top w:val="none" w:sz="0" w:space="0" w:color="auto"/>
        <w:left w:val="none" w:sz="0" w:space="0" w:color="auto"/>
        <w:bottom w:val="none" w:sz="0" w:space="0" w:color="auto"/>
        <w:right w:val="none" w:sz="0" w:space="0" w:color="auto"/>
      </w:divBdr>
    </w:div>
    <w:div w:id="1892227959">
      <w:bodyDiv w:val="1"/>
      <w:marLeft w:val="0"/>
      <w:marRight w:val="0"/>
      <w:marTop w:val="0"/>
      <w:marBottom w:val="0"/>
      <w:divBdr>
        <w:top w:val="none" w:sz="0" w:space="0" w:color="auto"/>
        <w:left w:val="none" w:sz="0" w:space="0" w:color="auto"/>
        <w:bottom w:val="none" w:sz="0" w:space="0" w:color="auto"/>
        <w:right w:val="none" w:sz="0" w:space="0" w:color="auto"/>
      </w:divBdr>
    </w:div>
    <w:div w:id="1892421006">
      <w:bodyDiv w:val="1"/>
      <w:marLeft w:val="0"/>
      <w:marRight w:val="0"/>
      <w:marTop w:val="0"/>
      <w:marBottom w:val="0"/>
      <w:divBdr>
        <w:top w:val="none" w:sz="0" w:space="0" w:color="auto"/>
        <w:left w:val="none" w:sz="0" w:space="0" w:color="auto"/>
        <w:bottom w:val="none" w:sz="0" w:space="0" w:color="auto"/>
        <w:right w:val="none" w:sz="0" w:space="0" w:color="auto"/>
      </w:divBdr>
    </w:div>
    <w:div w:id="1892424036">
      <w:bodyDiv w:val="1"/>
      <w:marLeft w:val="0"/>
      <w:marRight w:val="0"/>
      <w:marTop w:val="0"/>
      <w:marBottom w:val="0"/>
      <w:divBdr>
        <w:top w:val="none" w:sz="0" w:space="0" w:color="auto"/>
        <w:left w:val="none" w:sz="0" w:space="0" w:color="auto"/>
        <w:bottom w:val="none" w:sz="0" w:space="0" w:color="auto"/>
        <w:right w:val="none" w:sz="0" w:space="0" w:color="auto"/>
      </w:divBdr>
    </w:div>
    <w:div w:id="1892496885">
      <w:bodyDiv w:val="1"/>
      <w:marLeft w:val="0"/>
      <w:marRight w:val="0"/>
      <w:marTop w:val="0"/>
      <w:marBottom w:val="0"/>
      <w:divBdr>
        <w:top w:val="none" w:sz="0" w:space="0" w:color="auto"/>
        <w:left w:val="none" w:sz="0" w:space="0" w:color="auto"/>
        <w:bottom w:val="none" w:sz="0" w:space="0" w:color="auto"/>
        <w:right w:val="none" w:sz="0" w:space="0" w:color="auto"/>
      </w:divBdr>
    </w:div>
    <w:div w:id="1892497239">
      <w:bodyDiv w:val="1"/>
      <w:marLeft w:val="0"/>
      <w:marRight w:val="0"/>
      <w:marTop w:val="0"/>
      <w:marBottom w:val="0"/>
      <w:divBdr>
        <w:top w:val="none" w:sz="0" w:space="0" w:color="auto"/>
        <w:left w:val="none" w:sz="0" w:space="0" w:color="auto"/>
        <w:bottom w:val="none" w:sz="0" w:space="0" w:color="auto"/>
        <w:right w:val="none" w:sz="0" w:space="0" w:color="auto"/>
      </w:divBdr>
    </w:div>
    <w:div w:id="1892568396">
      <w:bodyDiv w:val="1"/>
      <w:marLeft w:val="0"/>
      <w:marRight w:val="0"/>
      <w:marTop w:val="0"/>
      <w:marBottom w:val="0"/>
      <w:divBdr>
        <w:top w:val="none" w:sz="0" w:space="0" w:color="auto"/>
        <w:left w:val="none" w:sz="0" w:space="0" w:color="auto"/>
        <w:bottom w:val="none" w:sz="0" w:space="0" w:color="auto"/>
        <w:right w:val="none" w:sz="0" w:space="0" w:color="auto"/>
      </w:divBdr>
    </w:div>
    <w:div w:id="1892571488">
      <w:bodyDiv w:val="1"/>
      <w:marLeft w:val="0"/>
      <w:marRight w:val="0"/>
      <w:marTop w:val="0"/>
      <w:marBottom w:val="0"/>
      <w:divBdr>
        <w:top w:val="none" w:sz="0" w:space="0" w:color="auto"/>
        <w:left w:val="none" w:sz="0" w:space="0" w:color="auto"/>
        <w:bottom w:val="none" w:sz="0" w:space="0" w:color="auto"/>
        <w:right w:val="none" w:sz="0" w:space="0" w:color="auto"/>
      </w:divBdr>
    </w:div>
    <w:div w:id="1892574674">
      <w:bodyDiv w:val="1"/>
      <w:marLeft w:val="0"/>
      <w:marRight w:val="0"/>
      <w:marTop w:val="0"/>
      <w:marBottom w:val="0"/>
      <w:divBdr>
        <w:top w:val="none" w:sz="0" w:space="0" w:color="auto"/>
        <w:left w:val="none" w:sz="0" w:space="0" w:color="auto"/>
        <w:bottom w:val="none" w:sz="0" w:space="0" w:color="auto"/>
        <w:right w:val="none" w:sz="0" w:space="0" w:color="auto"/>
      </w:divBdr>
    </w:div>
    <w:div w:id="1892614752">
      <w:bodyDiv w:val="1"/>
      <w:marLeft w:val="0"/>
      <w:marRight w:val="0"/>
      <w:marTop w:val="0"/>
      <w:marBottom w:val="0"/>
      <w:divBdr>
        <w:top w:val="none" w:sz="0" w:space="0" w:color="auto"/>
        <w:left w:val="none" w:sz="0" w:space="0" w:color="auto"/>
        <w:bottom w:val="none" w:sz="0" w:space="0" w:color="auto"/>
        <w:right w:val="none" w:sz="0" w:space="0" w:color="auto"/>
      </w:divBdr>
    </w:div>
    <w:div w:id="1892616473">
      <w:bodyDiv w:val="1"/>
      <w:marLeft w:val="0"/>
      <w:marRight w:val="0"/>
      <w:marTop w:val="0"/>
      <w:marBottom w:val="0"/>
      <w:divBdr>
        <w:top w:val="none" w:sz="0" w:space="0" w:color="auto"/>
        <w:left w:val="none" w:sz="0" w:space="0" w:color="auto"/>
        <w:bottom w:val="none" w:sz="0" w:space="0" w:color="auto"/>
        <w:right w:val="none" w:sz="0" w:space="0" w:color="auto"/>
      </w:divBdr>
    </w:div>
    <w:div w:id="1892644575">
      <w:bodyDiv w:val="1"/>
      <w:marLeft w:val="0"/>
      <w:marRight w:val="0"/>
      <w:marTop w:val="0"/>
      <w:marBottom w:val="0"/>
      <w:divBdr>
        <w:top w:val="none" w:sz="0" w:space="0" w:color="auto"/>
        <w:left w:val="none" w:sz="0" w:space="0" w:color="auto"/>
        <w:bottom w:val="none" w:sz="0" w:space="0" w:color="auto"/>
        <w:right w:val="none" w:sz="0" w:space="0" w:color="auto"/>
      </w:divBdr>
    </w:div>
    <w:div w:id="1892691651">
      <w:bodyDiv w:val="1"/>
      <w:marLeft w:val="0"/>
      <w:marRight w:val="0"/>
      <w:marTop w:val="0"/>
      <w:marBottom w:val="0"/>
      <w:divBdr>
        <w:top w:val="none" w:sz="0" w:space="0" w:color="auto"/>
        <w:left w:val="none" w:sz="0" w:space="0" w:color="auto"/>
        <w:bottom w:val="none" w:sz="0" w:space="0" w:color="auto"/>
        <w:right w:val="none" w:sz="0" w:space="0" w:color="auto"/>
      </w:divBdr>
    </w:div>
    <w:div w:id="1892761333">
      <w:bodyDiv w:val="1"/>
      <w:marLeft w:val="0"/>
      <w:marRight w:val="0"/>
      <w:marTop w:val="0"/>
      <w:marBottom w:val="0"/>
      <w:divBdr>
        <w:top w:val="none" w:sz="0" w:space="0" w:color="auto"/>
        <w:left w:val="none" w:sz="0" w:space="0" w:color="auto"/>
        <w:bottom w:val="none" w:sz="0" w:space="0" w:color="auto"/>
        <w:right w:val="none" w:sz="0" w:space="0" w:color="auto"/>
      </w:divBdr>
    </w:div>
    <w:div w:id="1892763727">
      <w:bodyDiv w:val="1"/>
      <w:marLeft w:val="0"/>
      <w:marRight w:val="0"/>
      <w:marTop w:val="0"/>
      <w:marBottom w:val="0"/>
      <w:divBdr>
        <w:top w:val="none" w:sz="0" w:space="0" w:color="auto"/>
        <w:left w:val="none" w:sz="0" w:space="0" w:color="auto"/>
        <w:bottom w:val="none" w:sz="0" w:space="0" w:color="auto"/>
        <w:right w:val="none" w:sz="0" w:space="0" w:color="auto"/>
      </w:divBdr>
    </w:div>
    <w:div w:id="1892837723">
      <w:bodyDiv w:val="1"/>
      <w:marLeft w:val="0"/>
      <w:marRight w:val="0"/>
      <w:marTop w:val="0"/>
      <w:marBottom w:val="0"/>
      <w:divBdr>
        <w:top w:val="none" w:sz="0" w:space="0" w:color="auto"/>
        <w:left w:val="none" w:sz="0" w:space="0" w:color="auto"/>
        <w:bottom w:val="none" w:sz="0" w:space="0" w:color="auto"/>
        <w:right w:val="none" w:sz="0" w:space="0" w:color="auto"/>
      </w:divBdr>
    </w:div>
    <w:div w:id="1892838520">
      <w:bodyDiv w:val="1"/>
      <w:marLeft w:val="0"/>
      <w:marRight w:val="0"/>
      <w:marTop w:val="0"/>
      <w:marBottom w:val="0"/>
      <w:divBdr>
        <w:top w:val="none" w:sz="0" w:space="0" w:color="auto"/>
        <w:left w:val="none" w:sz="0" w:space="0" w:color="auto"/>
        <w:bottom w:val="none" w:sz="0" w:space="0" w:color="auto"/>
        <w:right w:val="none" w:sz="0" w:space="0" w:color="auto"/>
      </w:divBdr>
    </w:div>
    <w:div w:id="1892842932">
      <w:bodyDiv w:val="1"/>
      <w:marLeft w:val="0"/>
      <w:marRight w:val="0"/>
      <w:marTop w:val="0"/>
      <w:marBottom w:val="0"/>
      <w:divBdr>
        <w:top w:val="none" w:sz="0" w:space="0" w:color="auto"/>
        <w:left w:val="none" w:sz="0" w:space="0" w:color="auto"/>
        <w:bottom w:val="none" w:sz="0" w:space="0" w:color="auto"/>
        <w:right w:val="none" w:sz="0" w:space="0" w:color="auto"/>
      </w:divBdr>
    </w:div>
    <w:div w:id="1892887738">
      <w:bodyDiv w:val="1"/>
      <w:marLeft w:val="0"/>
      <w:marRight w:val="0"/>
      <w:marTop w:val="0"/>
      <w:marBottom w:val="0"/>
      <w:divBdr>
        <w:top w:val="none" w:sz="0" w:space="0" w:color="auto"/>
        <w:left w:val="none" w:sz="0" w:space="0" w:color="auto"/>
        <w:bottom w:val="none" w:sz="0" w:space="0" w:color="auto"/>
        <w:right w:val="none" w:sz="0" w:space="0" w:color="auto"/>
      </w:divBdr>
    </w:div>
    <w:div w:id="1892962031">
      <w:bodyDiv w:val="1"/>
      <w:marLeft w:val="0"/>
      <w:marRight w:val="0"/>
      <w:marTop w:val="0"/>
      <w:marBottom w:val="0"/>
      <w:divBdr>
        <w:top w:val="none" w:sz="0" w:space="0" w:color="auto"/>
        <w:left w:val="none" w:sz="0" w:space="0" w:color="auto"/>
        <w:bottom w:val="none" w:sz="0" w:space="0" w:color="auto"/>
        <w:right w:val="none" w:sz="0" w:space="0" w:color="auto"/>
      </w:divBdr>
    </w:div>
    <w:div w:id="1892963737">
      <w:bodyDiv w:val="1"/>
      <w:marLeft w:val="0"/>
      <w:marRight w:val="0"/>
      <w:marTop w:val="0"/>
      <w:marBottom w:val="0"/>
      <w:divBdr>
        <w:top w:val="none" w:sz="0" w:space="0" w:color="auto"/>
        <w:left w:val="none" w:sz="0" w:space="0" w:color="auto"/>
        <w:bottom w:val="none" w:sz="0" w:space="0" w:color="auto"/>
        <w:right w:val="none" w:sz="0" w:space="0" w:color="auto"/>
      </w:divBdr>
    </w:div>
    <w:div w:id="1893037040">
      <w:bodyDiv w:val="1"/>
      <w:marLeft w:val="0"/>
      <w:marRight w:val="0"/>
      <w:marTop w:val="0"/>
      <w:marBottom w:val="0"/>
      <w:divBdr>
        <w:top w:val="none" w:sz="0" w:space="0" w:color="auto"/>
        <w:left w:val="none" w:sz="0" w:space="0" w:color="auto"/>
        <w:bottom w:val="none" w:sz="0" w:space="0" w:color="auto"/>
        <w:right w:val="none" w:sz="0" w:space="0" w:color="auto"/>
      </w:divBdr>
    </w:div>
    <w:div w:id="1893151172">
      <w:bodyDiv w:val="1"/>
      <w:marLeft w:val="0"/>
      <w:marRight w:val="0"/>
      <w:marTop w:val="0"/>
      <w:marBottom w:val="0"/>
      <w:divBdr>
        <w:top w:val="none" w:sz="0" w:space="0" w:color="auto"/>
        <w:left w:val="none" w:sz="0" w:space="0" w:color="auto"/>
        <w:bottom w:val="none" w:sz="0" w:space="0" w:color="auto"/>
        <w:right w:val="none" w:sz="0" w:space="0" w:color="auto"/>
      </w:divBdr>
    </w:div>
    <w:div w:id="1893270836">
      <w:bodyDiv w:val="1"/>
      <w:marLeft w:val="0"/>
      <w:marRight w:val="0"/>
      <w:marTop w:val="0"/>
      <w:marBottom w:val="0"/>
      <w:divBdr>
        <w:top w:val="none" w:sz="0" w:space="0" w:color="auto"/>
        <w:left w:val="none" w:sz="0" w:space="0" w:color="auto"/>
        <w:bottom w:val="none" w:sz="0" w:space="0" w:color="auto"/>
        <w:right w:val="none" w:sz="0" w:space="0" w:color="auto"/>
      </w:divBdr>
    </w:div>
    <w:div w:id="1893273263">
      <w:bodyDiv w:val="1"/>
      <w:marLeft w:val="0"/>
      <w:marRight w:val="0"/>
      <w:marTop w:val="0"/>
      <w:marBottom w:val="0"/>
      <w:divBdr>
        <w:top w:val="none" w:sz="0" w:space="0" w:color="auto"/>
        <w:left w:val="none" w:sz="0" w:space="0" w:color="auto"/>
        <w:bottom w:val="none" w:sz="0" w:space="0" w:color="auto"/>
        <w:right w:val="none" w:sz="0" w:space="0" w:color="auto"/>
      </w:divBdr>
    </w:div>
    <w:div w:id="1893421189">
      <w:bodyDiv w:val="1"/>
      <w:marLeft w:val="0"/>
      <w:marRight w:val="0"/>
      <w:marTop w:val="0"/>
      <w:marBottom w:val="0"/>
      <w:divBdr>
        <w:top w:val="none" w:sz="0" w:space="0" w:color="auto"/>
        <w:left w:val="none" w:sz="0" w:space="0" w:color="auto"/>
        <w:bottom w:val="none" w:sz="0" w:space="0" w:color="auto"/>
        <w:right w:val="none" w:sz="0" w:space="0" w:color="auto"/>
      </w:divBdr>
    </w:div>
    <w:div w:id="1893492893">
      <w:bodyDiv w:val="1"/>
      <w:marLeft w:val="0"/>
      <w:marRight w:val="0"/>
      <w:marTop w:val="0"/>
      <w:marBottom w:val="0"/>
      <w:divBdr>
        <w:top w:val="none" w:sz="0" w:space="0" w:color="auto"/>
        <w:left w:val="none" w:sz="0" w:space="0" w:color="auto"/>
        <w:bottom w:val="none" w:sz="0" w:space="0" w:color="auto"/>
        <w:right w:val="none" w:sz="0" w:space="0" w:color="auto"/>
      </w:divBdr>
    </w:div>
    <w:div w:id="1893690384">
      <w:bodyDiv w:val="1"/>
      <w:marLeft w:val="0"/>
      <w:marRight w:val="0"/>
      <w:marTop w:val="0"/>
      <w:marBottom w:val="0"/>
      <w:divBdr>
        <w:top w:val="none" w:sz="0" w:space="0" w:color="auto"/>
        <w:left w:val="none" w:sz="0" w:space="0" w:color="auto"/>
        <w:bottom w:val="none" w:sz="0" w:space="0" w:color="auto"/>
        <w:right w:val="none" w:sz="0" w:space="0" w:color="auto"/>
      </w:divBdr>
    </w:div>
    <w:div w:id="1893691346">
      <w:bodyDiv w:val="1"/>
      <w:marLeft w:val="0"/>
      <w:marRight w:val="0"/>
      <w:marTop w:val="0"/>
      <w:marBottom w:val="0"/>
      <w:divBdr>
        <w:top w:val="none" w:sz="0" w:space="0" w:color="auto"/>
        <w:left w:val="none" w:sz="0" w:space="0" w:color="auto"/>
        <w:bottom w:val="none" w:sz="0" w:space="0" w:color="auto"/>
        <w:right w:val="none" w:sz="0" w:space="0" w:color="auto"/>
      </w:divBdr>
    </w:div>
    <w:div w:id="1893694082">
      <w:bodyDiv w:val="1"/>
      <w:marLeft w:val="0"/>
      <w:marRight w:val="0"/>
      <w:marTop w:val="0"/>
      <w:marBottom w:val="0"/>
      <w:divBdr>
        <w:top w:val="none" w:sz="0" w:space="0" w:color="auto"/>
        <w:left w:val="none" w:sz="0" w:space="0" w:color="auto"/>
        <w:bottom w:val="none" w:sz="0" w:space="0" w:color="auto"/>
        <w:right w:val="none" w:sz="0" w:space="0" w:color="auto"/>
      </w:divBdr>
    </w:div>
    <w:div w:id="1893731506">
      <w:bodyDiv w:val="1"/>
      <w:marLeft w:val="0"/>
      <w:marRight w:val="0"/>
      <w:marTop w:val="0"/>
      <w:marBottom w:val="0"/>
      <w:divBdr>
        <w:top w:val="none" w:sz="0" w:space="0" w:color="auto"/>
        <w:left w:val="none" w:sz="0" w:space="0" w:color="auto"/>
        <w:bottom w:val="none" w:sz="0" w:space="0" w:color="auto"/>
        <w:right w:val="none" w:sz="0" w:space="0" w:color="auto"/>
      </w:divBdr>
    </w:div>
    <w:div w:id="1893732065">
      <w:bodyDiv w:val="1"/>
      <w:marLeft w:val="0"/>
      <w:marRight w:val="0"/>
      <w:marTop w:val="0"/>
      <w:marBottom w:val="0"/>
      <w:divBdr>
        <w:top w:val="none" w:sz="0" w:space="0" w:color="auto"/>
        <w:left w:val="none" w:sz="0" w:space="0" w:color="auto"/>
        <w:bottom w:val="none" w:sz="0" w:space="0" w:color="auto"/>
        <w:right w:val="none" w:sz="0" w:space="0" w:color="auto"/>
      </w:divBdr>
    </w:div>
    <w:div w:id="1893733122">
      <w:bodyDiv w:val="1"/>
      <w:marLeft w:val="0"/>
      <w:marRight w:val="0"/>
      <w:marTop w:val="0"/>
      <w:marBottom w:val="0"/>
      <w:divBdr>
        <w:top w:val="none" w:sz="0" w:space="0" w:color="auto"/>
        <w:left w:val="none" w:sz="0" w:space="0" w:color="auto"/>
        <w:bottom w:val="none" w:sz="0" w:space="0" w:color="auto"/>
        <w:right w:val="none" w:sz="0" w:space="0" w:color="auto"/>
      </w:divBdr>
    </w:div>
    <w:div w:id="1893804179">
      <w:bodyDiv w:val="1"/>
      <w:marLeft w:val="0"/>
      <w:marRight w:val="0"/>
      <w:marTop w:val="0"/>
      <w:marBottom w:val="0"/>
      <w:divBdr>
        <w:top w:val="none" w:sz="0" w:space="0" w:color="auto"/>
        <w:left w:val="none" w:sz="0" w:space="0" w:color="auto"/>
        <w:bottom w:val="none" w:sz="0" w:space="0" w:color="auto"/>
        <w:right w:val="none" w:sz="0" w:space="0" w:color="auto"/>
      </w:divBdr>
    </w:div>
    <w:div w:id="1893806351">
      <w:bodyDiv w:val="1"/>
      <w:marLeft w:val="0"/>
      <w:marRight w:val="0"/>
      <w:marTop w:val="0"/>
      <w:marBottom w:val="0"/>
      <w:divBdr>
        <w:top w:val="none" w:sz="0" w:space="0" w:color="auto"/>
        <w:left w:val="none" w:sz="0" w:space="0" w:color="auto"/>
        <w:bottom w:val="none" w:sz="0" w:space="0" w:color="auto"/>
        <w:right w:val="none" w:sz="0" w:space="0" w:color="auto"/>
      </w:divBdr>
    </w:div>
    <w:div w:id="1893878854">
      <w:bodyDiv w:val="1"/>
      <w:marLeft w:val="0"/>
      <w:marRight w:val="0"/>
      <w:marTop w:val="0"/>
      <w:marBottom w:val="0"/>
      <w:divBdr>
        <w:top w:val="none" w:sz="0" w:space="0" w:color="auto"/>
        <w:left w:val="none" w:sz="0" w:space="0" w:color="auto"/>
        <w:bottom w:val="none" w:sz="0" w:space="0" w:color="auto"/>
        <w:right w:val="none" w:sz="0" w:space="0" w:color="auto"/>
      </w:divBdr>
    </w:div>
    <w:div w:id="1893999790">
      <w:bodyDiv w:val="1"/>
      <w:marLeft w:val="0"/>
      <w:marRight w:val="0"/>
      <w:marTop w:val="0"/>
      <w:marBottom w:val="0"/>
      <w:divBdr>
        <w:top w:val="none" w:sz="0" w:space="0" w:color="auto"/>
        <w:left w:val="none" w:sz="0" w:space="0" w:color="auto"/>
        <w:bottom w:val="none" w:sz="0" w:space="0" w:color="auto"/>
        <w:right w:val="none" w:sz="0" w:space="0" w:color="auto"/>
      </w:divBdr>
    </w:div>
    <w:div w:id="1894000756">
      <w:bodyDiv w:val="1"/>
      <w:marLeft w:val="0"/>
      <w:marRight w:val="0"/>
      <w:marTop w:val="0"/>
      <w:marBottom w:val="0"/>
      <w:divBdr>
        <w:top w:val="none" w:sz="0" w:space="0" w:color="auto"/>
        <w:left w:val="none" w:sz="0" w:space="0" w:color="auto"/>
        <w:bottom w:val="none" w:sz="0" w:space="0" w:color="auto"/>
        <w:right w:val="none" w:sz="0" w:space="0" w:color="auto"/>
      </w:divBdr>
    </w:div>
    <w:div w:id="1894073943">
      <w:bodyDiv w:val="1"/>
      <w:marLeft w:val="0"/>
      <w:marRight w:val="0"/>
      <w:marTop w:val="0"/>
      <w:marBottom w:val="0"/>
      <w:divBdr>
        <w:top w:val="none" w:sz="0" w:space="0" w:color="auto"/>
        <w:left w:val="none" w:sz="0" w:space="0" w:color="auto"/>
        <w:bottom w:val="none" w:sz="0" w:space="0" w:color="auto"/>
        <w:right w:val="none" w:sz="0" w:space="0" w:color="auto"/>
      </w:divBdr>
    </w:div>
    <w:div w:id="1894076685">
      <w:bodyDiv w:val="1"/>
      <w:marLeft w:val="0"/>
      <w:marRight w:val="0"/>
      <w:marTop w:val="0"/>
      <w:marBottom w:val="0"/>
      <w:divBdr>
        <w:top w:val="none" w:sz="0" w:space="0" w:color="auto"/>
        <w:left w:val="none" w:sz="0" w:space="0" w:color="auto"/>
        <w:bottom w:val="none" w:sz="0" w:space="0" w:color="auto"/>
        <w:right w:val="none" w:sz="0" w:space="0" w:color="auto"/>
      </w:divBdr>
    </w:div>
    <w:div w:id="1894121647">
      <w:bodyDiv w:val="1"/>
      <w:marLeft w:val="0"/>
      <w:marRight w:val="0"/>
      <w:marTop w:val="0"/>
      <w:marBottom w:val="0"/>
      <w:divBdr>
        <w:top w:val="none" w:sz="0" w:space="0" w:color="auto"/>
        <w:left w:val="none" w:sz="0" w:space="0" w:color="auto"/>
        <w:bottom w:val="none" w:sz="0" w:space="0" w:color="auto"/>
        <w:right w:val="none" w:sz="0" w:space="0" w:color="auto"/>
      </w:divBdr>
    </w:div>
    <w:div w:id="1894149187">
      <w:bodyDiv w:val="1"/>
      <w:marLeft w:val="0"/>
      <w:marRight w:val="0"/>
      <w:marTop w:val="0"/>
      <w:marBottom w:val="0"/>
      <w:divBdr>
        <w:top w:val="none" w:sz="0" w:space="0" w:color="auto"/>
        <w:left w:val="none" w:sz="0" w:space="0" w:color="auto"/>
        <w:bottom w:val="none" w:sz="0" w:space="0" w:color="auto"/>
        <w:right w:val="none" w:sz="0" w:space="0" w:color="auto"/>
      </w:divBdr>
    </w:div>
    <w:div w:id="1894385827">
      <w:bodyDiv w:val="1"/>
      <w:marLeft w:val="0"/>
      <w:marRight w:val="0"/>
      <w:marTop w:val="0"/>
      <w:marBottom w:val="0"/>
      <w:divBdr>
        <w:top w:val="none" w:sz="0" w:space="0" w:color="auto"/>
        <w:left w:val="none" w:sz="0" w:space="0" w:color="auto"/>
        <w:bottom w:val="none" w:sz="0" w:space="0" w:color="auto"/>
        <w:right w:val="none" w:sz="0" w:space="0" w:color="auto"/>
      </w:divBdr>
    </w:div>
    <w:div w:id="1894392781">
      <w:bodyDiv w:val="1"/>
      <w:marLeft w:val="0"/>
      <w:marRight w:val="0"/>
      <w:marTop w:val="0"/>
      <w:marBottom w:val="0"/>
      <w:divBdr>
        <w:top w:val="none" w:sz="0" w:space="0" w:color="auto"/>
        <w:left w:val="none" w:sz="0" w:space="0" w:color="auto"/>
        <w:bottom w:val="none" w:sz="0" w:space="0" w:color="auto"/>
        <w:right w:val="none" w:sz="0" w:space="0" w:color="auto"/>
      </w:divBdr>
    </w:div>
    <w:div w:id="1894659819">
      <w:bodyDiv w:val="1"/>
      <w:marLeft w:val="0"/>
      <w:marRight w:val="0"/>
      <w:marTop w:val="0"/>
      <w:marBottom w:val="0"/>
      <w:divBdr>
        <w:top w:val="none" w:sz="0" w:space="0" w:color="auto"/>
        <w:left w:val="none" w:sz="0" w:space="0" w:color="auto"/>
        <w:bottom w:val="none" w:sz="0" w:space="0" w:color="auto"/>
        <w:right w:val="none" w:sz="0" w:space="0" w:color="auto"/>
      </w:divBdr>
    </w:div>
    <w:div w:id="1894729612">
      <w:bodyDiv w:val="1"/>
      <w:marLeft w:val="0"/>
      <w:marRight w:val="0"/>
      <w:marTop w:val="0"/>
      <w:marBottom w:val="0"/>
      <w:divBdr>
        <w:top w:val="none" w:sz="0" w:space="0" w:color="auto"/>
        <w:left w:val="none" w:sz="0" w:space="0" w:color="auto"/>
        <w:bottom w:val="none" w:sz="0" w:space="0" w:color="auto"/>
        <w:right w:val="none" w:sz="0" w:space="0" w:color="auto"/>
      </w:divBdr>
    </w:div>
    <w:div w:id="1894736673">
      <w:bodyDiv w:val="1"/>
      <w:marLeft w:val="0"/>
      <w:marRight w:val="0"/>
      <w:marTop w:val="0"/>
      <w:marBottom w:val="0"/>
      <w:divBdr>
        <w:top w:val="none" w:sz="0" w:space="0" w:color="auto"/>
        <w:left w:val="none" w:sz="0" w:space="0" w:color="auto"/>
        <w:bottom w:val="none" w:sz="0" w:space="0" w:color="auto"/>
        <w:right w:val="none" w:sz="0" w:space="0" w:color="auto"/>
      </w:divBdr>
    </w:div>
    <w:div w:id="1894777971">
      <w:bodyDiv w:val="1"/>
      <w:marLeft w:val="0"/>
      <w:marRight w:val="0"/>
      <w:marTop w:val="0"/>
      <w:marBottom w:val="0"/>
      <w:divBdr>
        <w:top w:val="none" w:sz="0" w:space="0" w:color="auto"/>
        <w:left w:val="none" w:sz="0" w:space="0" w:color="auto"/>
        <w:bottom w:val="none" w:sz="0" w:space="0" w:color="auto"/>
        <w:right w:val="none" w:sz="0" w:space="0" w:color="auto"/>
      </w:divBdr>
    </w:div>
    <w:div w:id="1894778666">
      <w:bodyDiv w:val="1"/>
      <w:marLeft w:val="0"/>
      <w:marRight w:val="0"/>
      <w:marTop w:val="0"/>
      <w:marBottom w:val="0"/>
      <w:divBdr>
        <w:top w:val="none" w:sz="0" w:space="0" w:color="auto"/>
        <w:left w:val="none" w:sz="0" w:space="0" w:color="auto"/>
        <w:bottom w:val="none" w:sz="0" w:space="0" w:color="auto"/>
        <w:right w:val="none" w:sz="0" w:space="0" w:color="auto"/>
      </w:divBdr>
    </w:div>
    <w:div w:id="1894807287">
      <w:bodyDiv w:val="1"/>
      <w:marLeft w:val="0"/>
      <w:marRight w:val="0"/>
      <w:marTop w:val="0"/>
      <w:marBottom w:val="0"/>
      <w:divBdr>
        <w:top w:val="none" w:sz="0" w:space="0" w:color="auto"/>
        <w:left w:val="none" w:sz="0" w:space="0" w:color="auto"/>
        <w:bottom w:val="none" w:sz="0" w:space="0" w:color="auto"/>
        <w:right w:val="none" w:sz="0" w:space="0" w:color="auto"/>
      </w:divBdr>
    </w:div>
    <w:div w:id="1894926806">
      <w:bodyDiv w:val="1"/>
      <w:marLeft w:val="0"/>
      <w:marRight w:val="0"/>
      <w:marTop w:val="0"/>
      <w:marBottom w:val="0"/>
      <w:divBdr>
        <w:top w:val="none" w:sz="0" w:space="0" w:color="auto"/>
        <w:left w:val="none" w:sz="0" w:space="0" w:color="auto"/>
        <w:bottom w:val="none" w:sz="0" w:space="0" w:color="auto"/>
        <w:right w:val="none" w:sz="0" w:space="0" w:color="auto"/>
      </w:divBdr>
    </w:div>
    <w:div w:id="1894929842">
      <w:bodyDiv w:val="1"/>
      <w:marLeft w:val="0"/>
      <w:marRight w:val="0"/>
      <w:marTop w:val="0"/>
      <w:marBottom w:val="0"/>
      <w:divBdr>
        <w:top w:val="none" w:sz="0" w:space="0" w:color="auto"/>
        <w:left w:val="none" w:sz="0" w:space="0" w:color="auto"/>
        <w:bottom w:val="none" w:sz="0" w:space="0" w:color="auto"/>
        <w:right w:val="none" w:sz="0" w:space="0" w:color="auto"/>
      </w:divBdr>
    </w:div>
    <w:div w:id="1895040955">
      <w:bodyDiv w:val="1"/>
      <w:marLeft w:val="0"/>
      <w:marRight w:val="0"/>
      <w:marTop w:val="0"/>
      <w:marBottom w:val="0"/>
      <w:divBdr>
        <w:top w:val="none" w:sz="0" w:space="0" w:color="auto"/>
        <w:left w:val="none" w:sz="0" w:space="0" w:color="auto"/>
        <w:bottom w:val="none" w:sz="0" w:space="0" w:color="auto"/>
        <w:right w:val="none" w:sz="0" w:space="0" w:color="auto"/>
      </w:divBdr>
    </w:div>
    <w:div w:id="1895190258">
      <w:bodyDiv w:val="1"/>
      <w:marLeft w:val="0"/>
      <w:marRight w:val="0"/>
      <w:marTop w:val="0"/>
      <w:marBottom w:val="0"/>
      <w:divBdr>
        <w:top w:val="none" w:sz="0" w:space="0" w:color="auto"/>
        <w:left w:val="none" w:sz="0" w:space="0" w:color="auto"/>
        <w:bottom w:val="none" w:sz="0" w:space="0" w:color="auto"/>
        <w:right w:val="none" w:sz="0" w:space="0" w:color="auto"/>
      </w:divBdr>
    </w:div>
    <w:div w:id="1895193403">
      <w:bodyDiv w:val="1"/>
      <w:marLeft w:val="0"/>
      <w:marRight w:val="0"/>
      <w:marTop w:val="0"/>
      <w:marBottom w:val="0"/>
      <w:divBdr>
        <w:top w:val="none" w:sz="0" w:space="0" w:color="auto"/>
        <w:left w:val="none" w:sz="0" w:space="0" w:color="auto"/>
        <w:bottom w:val="none" w:sz="0" w:space="0" w:color="auto"/>
        <w:right w:val="none" w:sz="0" w:space="0" w:color="auto"/>
      </w:divBdr>
    </w:div>
    <w:div w:id="1895196137">
      <w:bodyDiv w:val="1"/>
      <w:marLeft w:val="0"/>
      <w:marRight w:val="0"/>
      <w:marTop w:val="0"/>
      <w:marBottom w:val="0"/>
      <w:divBdr>
        <w:top w:val="none" w:sz="0" w:space="0" w:color="auto"/>
        <w:left w:val="none" w:sz="0" w:space="0" w:color="auto"/>
        <w:bottom w:val="none" w:sz="0" w:space="0" w:color="auto"/>
        <w:right w:val="none" w:sz="0" w:space="0" w:color="auto"/>
      </w:divBdr>
    </w:div>
    <w:div w:id="1895237431">
      <w:bodyDiv w:val="1"/>
      <w:marLeft w:val="0"/>
      <w:marRight w:val="0"/>
      <w:marTop w:val="0"/>
      <w:marBottom w:val="0"/>
      <w:divBdr>
        <w:top w:val="none" w:sz="0" w:space="0" w:color="auto"/>
        <w:left w:val="none" w:sz="0" w:space="0" w:color="auto"/>
        <w:bottom w:val="none" w:sz="0" w:space="0" w:color="auto"/>
        <w:right w:val="none" w:sz="0" w:space="0" w:color="auto"/>
      </w:divBdr>
    </w:div>
    <w:div w:id="1895266375">
      <w:bodyDiv w:val="1"/>
      <w:marLeft w:val="0"/>
      <w:marRight w:val="0"/>
      <w:marTop w:val="0"/>
      <w:marBottom w:val="0"/>
      <w:divBdr>
        <w:top w:val="none" w:sz="0" w:space="0" w:color="auto"/>
        <w:left w:val="none" w:sz="0" w:space="0" w:color="auto"/>
        <w:bottom w:val="none" w:sz="0" w:space="0" w:color="auto"/>
        <w:right w:val="none" w:sz="0" w:space="0" w:color="auto"/>
      </w:divBdr>
    </w:div>
    <w:div w:id="1895308241">
      <w:bodyDiv w:val="1"/>
      <w:marLeft w:val="0"/>
      <w:marRight w:val="0"/>
      <w:marTop w:val="0"/>
      <w:marBottom w:val="0"/>
      <w:divBdr>
        <w:top w:val="none" w:sz="0" w:space="0" w:color="auto"/>
        <w:left w:val="none" w:sz="0" w:space="0" w:color="auto"/>
        <w:bottom w:val="none" w:sz="0" w:space="0" w:color="auto"/>
        <w:right w:val="none" w:sz="0" w:space="0" w:color="auto"/>
      </w:divBdr>
    </w:div>
    <w:div w:id="1895313040">
      <w:bodyDiv w:val="1"/>
      <w:marLeft w:val="0"/>
      <w:marRight w:val="0"/>
      <w:marTop w:val="0"/>
      <w:marBottom w:val="0"/>
      <w:divBdr>
        <w:top w:val="none" w:sz="0" w:space="0" w:color="auto"/>
        <w:left w:val="none" w:sz="0" w:space="0" w:color="auto"/>
        <w:bottom w:val="none" w:sz="0" w:space="0" w:color="auto"/>
        <w:right w:val="none" w:sz="0" w:space="0" w:color="auto"/>
      </w:divBdr>
    </w:div>
    <w:div w:id="1895314467">
      <w:bodyDiv w:val="1"/>
      <w:marLeft w:val="0"/>
      <w:marRight w:val="0"/>
      <w:marTop w:val="0"/>
      <w:marBottom w:val="0"/>
      <w:divBdr>
        <w:top w:val="none" w:sz="0" w:space="0" w:color="auto"/>
        <w:left w:val="none" w:sz="0" w:space="0" w:color="auto"/>
        <w:bottom w:val="none" w:sz="0" w:space="0" w:color="auto"/>
        <w:right w:val="none" w:sz="0" w:space="0" w:color="auto"/>
      </w:divBdr>
    </w:div>
    <w:div w:id="1895387148">
      <w:bodyDiv w:val="1"/>
      <w:marLeft w:val="0"/>
      <w:marRight w:val="0"/>
      <w:marTop w:val="0"/>
      <w:marBottom w:val="0"/>
      <w:divBdr>
        <w:top w:val="none" w:sz="0" w:space="0" w:color="auto"/>
        <w:left w:val="none" w:sz="0" w:space="0" w:color="auto"/>
        <w:bottom w:val="none" w:sz="0" w:space="0" w:color="auto"/>
        <w:right w:val="none" w:sz="0" w:space="0" w:color="auto"/>
      </w:divBdr>
    </w:div>
    <w:div w:id="1895458583">
      <w:bodyDiv w:val="1"/>
      <w:marLeft w:val="0"/>
      <w:marRight w:val="0"/>
      <w:marTop w:val="0"/>
      <w:marBottom w:val="0"/>
      <w:divBdr>
        <w:top w:val="none" w:sz="0" w:space="0" w:color="auto"/>
        <w:left w:val="none" w:sz="0" w:space="0" w:color="auto"/>
        <w:bottom w:val="none" w:sz="0" w:space="0" w:color="auto"/>
        <w:right w:val="none" w:sz="0" w:space="0" w:color="auto"/>
      </w:divBdr>
    </w:div>
    <w:div w:id="1895464439">
      <w:bodyDiv w:val="1"/>
      <w:marLeft w:val="0"/>
      <w:marRight w:val="0"/>
      <w:marTop w:val="0"/>
      <w:marBottom w:val="0"/>
      <w:divBdr>
        <w:top w:val="none" w:sz="0" w:space="0" w:color="auto"/>
        <w:left w:val="none" w:sz="0" w:space="0" w:color="auto"/>
        <w:bottom w:val="none" w:sz="0" w:space="0" w:color="auto"/>
        <w:right w:val="none" w:sz="0" w:space="0" w:color="auto"/>
      </w:divBdr>
    </w:div>
    <w:div w:id="1895501866">
      <w:bodyDiv w:val="1"/>
      <w:marLeft w:val="0"/>
      <w:marRight w:val="0"/>
      <w:marTop w:val="0"/>
      <w:marBottom w:val="0"/>
      <w:divBdr>
        <w:top w:val="none" w:sz="0" w:space="0" w:color="auto"/>
        <w:left w:val="none" w:sz="0" w:space="0" w:color="auto"/>
        <w:bottom w:val="none" w:sz="0" w:space="0" w:color="auto"/>
        <w:right w:val="none" w:sz="0" w:space="0" w:color="auto"/>
      </w:divBdr>
    </w:div>
    <w:div w:id="1895504234">
      <w:bodyDiv w:val="1"/>
      <w:marLeft w:val="0"/>
      <w:marRight w:val="0"/>
      <w:marTop w:val="0"/>
      <w:marBottom w:val="0"/>
      <w:divBdr>
        <w:top w:val="none" w:sz="0" w:space="0" w:color="auto"/>
        <w:left w:val="none" w:sz="0" w:space="0" w:color="auto"/>
        <w:bottom w:val="none" w:sz="0" w:space="0" w:color="auto"/>
        <w:right w:val="none" w:sz="0" w:space="0" w:color="auto"/>
      </w:divBdr>
    </w:div>
    <w:div w:id="1895506211">
      <w:bodyDiv w:val="1"/>
      <w:marLeft w:val="0"/>
      <w:marRight w:val="0"/>
      <w:marTop w:val="0"/>
      <w:marBottom w:val="0"/>
      <w:divBdr>
        <w:top w:val="none" w:sz="0" w:space="0" w:color="auto"/>
        <w:left w:val="none" w:sz="0" w:space="0" w:color="auto"/>
        <w:bottom w:val="none" w:sz="0" w:space="0" w:color="auto"/>
        <w:right w:val="none" w:sz="0" w:space="0" w:color="auto"/>
      </w:divBdr>
    </w:div>
    <w:div w:id="1895579226">
      <w:bodyDiv w:val="1"/>
      <w:marLeft w:val="0"/>
      <w:marRight w:val="0"/>
      <w:marTop w:val="0"/>
      <w:marBottom w:val="0"/>
      <w:divBdr>
        <w:top w:val="none" w:sz="0" w:space="0" w:color="auto"/>
        <w:left w:val="none" w:sz="0" w:space="0" w:color="auto"/>
        <w:bottom w:val="none" w:sz="0" w:space="0" w:color="auto"/>
        <w:right w:val="none" w:sz="0" w:space="0" w:color="auto"/>
      </w:divBdr>
    </w:div>
    <w:div w:id="1895653589">
      <w:bodyDiv w:val="1"/>
      <w:marLeft w:val="0"/>
      <w:marRight w:val="0"/>
      <w:marTop w:val="0"/>
      <w:marBottom w:val="0"/>
      <w:divBdr>
        <w:top w:val="none" w:sz="0" w:space="0" w:color="auto"/>
        <w:left w:val="none" w:sz="0" w:space="0" w:color="auto"/>
        <w:bottom w:val="none" w:sz="0" w:space="0" w:color="auto"/>
        <w:right w:val="none" w:sz="0" w:space="0" w:color="auto"/>
      </w:divBdr>
    </w:div>
    <w:div w:id="1895848388">
      <w:bodyDiv w:val="1"/>
      <w:marLeft w:val="0"/>
      <w:marRight w:val="0"/>
      <w:marTop w:val="0"/>
      <w:marBottom w:val="0"/>
      <w:divBdr>
        <w:top w:val="none" w:sz="0" w:space="0" w:color="auto"/>
        <w:left w:val="none" w:sz="0" w:space="0" w:color="auto"/>
        <w:bottom w:val="none" w:sz="0" w:space="0" w:color="auto"/>
        <w:right w:val="none" w:sz="0" w:space="0" w:color="auto"/>
      </w:divBdr>
    </w:div>
    <w:div w:id="1895848842">
      <w:bodyDiv w:val="1"/>
      <w:marLeft w:val="0"/>
      <w:marRight w:val="0"/>
      <w:marTop w:val="0"/>
      <w:marBottom w:val="0"/>
      <w:divBdr>
        <w:top w:val="none" w:sz="0" w:space="0" w:color="auto"/>
        <w:left w:val="none" w:sz="0" w:space="0" w:color="auto"/>
        <w:bottom w:val="none" w:sz="0" w:space="0" w:color="auto"/>
        <w:right w:val="none" w:sz="0" w:space="0" w:color="auto"/>
      </w:divBdr>
    </w:div>
    <w:div w:id="1895853723">
      <w:bodyDiv w:val="1"/>
      <w:marLeft w:val="0"/>
      <w:marRight w:val="0"/>
      <w:marTop w:val="0"/>
      <w:marBottom w:val="0"/>
      <w:divBdr>
        <w:top w:val="none" w:sz="0" w:space="0" w:color="auto"/>
        <w:left w:val="none" w:sz="0" w:space="0" w:color="auto"/>
        <w:bottom w:val="none" w:sz="0" w:space="0" w:color="auto"/>
        <w:right w:val="none" w:sz="0" w:space="0" w:color="auto"/>
      </w:divBdr>
    </w:div>
    <w:div w:id="1895894580">
      <w:bodyDiv w:val="1"/>
      <w:marLeft w:val="0"/>
      <w:marRight w:val="0"/>
      <w:marTop w:val="0"/>
      <w:marBottom w:val="0"/>
      <w:divBdr>
        <w:top w:val="none" w:sz="0" w:space="0" w:color="auto"/>
        <w:left w:val="none" w:sz="0" w:space="0" w:color="auto"/>
        <w:bottom w:val="none" w:sz="0" w:space="0" w:color="auto"/>
        <w:right w:val="none" w:sz="0" w:space="0" w:color="auto"/>
      </w:divBdr>
    </w:div>
    <w:div w:id="1896038694">
      <w:bodyDiv w:val="1"/>
      <w:marLeft w:val="0"/>
      <w:marRight w:val="0"/>
      <w:marTop w:val="0"/>
      <w:marBottom w:val="0"/>
      <w:divBdr>
        <w:top w:val="none" w:sz="0" w:space="0" w:color="auto"/>
        <w:left w:val="none" w:sz="0" w:space="0" w:color="auto"/>
        <w:bottom w:val="none" w:sz="0" w:space="0" w:color="auto"/>
        <w:right w:val="none" w:sz="0" w:space="0" w:color="auto"/>
      </w:divBdr>
    </w:div>
    <w:div w:id="1896115934">
      <w:bodyDiv w:val="1"/>
      <w:marLeft w:val="0"/>
      <w:marRight w:val="0"/>
      <w:marTop w:val="0"/>
      <w:marBottom w:val="0"/>
      <w:divBdr>
        <w:top w:val="none" w:sz="0" w:space="0" w:color="auto"/>
        <w:left w:val="none" w:sz="0" w:space="0" w:color="auto"/>
        <w:bottom w:val="none" w:sz="0" w:space="0" w:color="auto"/>
        <w:right w:val="none" w:sz="0" w:space="0" w:color="auto"/>
      </w:divBdr>
    </w:div>
    <w:div w:id="1896356666">
      <w:bodyDiv w:val="1"/>
      <w:marLeft w:val="0"/>
      <w:marRight w:val="0"/>
      <w:marTop w:val="0"/>
      <w:marBottom w:val="0"/>
      <w:divBdr>
        <w:top w:val="none" w:sz="0" w:space="0" w:color="auto"/>
        <w:left w:val="none" w:sz="0" w:space="0" w:color="auto"/>
        <w:bottom w:val="none" w:sz="0" w:space="0" w:color="auto"/>
        <w:right w:val="none" w:sz="0" w:space="0" w:color="auto"/>
      </w:divBdr>
    </w:div>
    <w:div w:id="1896358263">
      <w:bodyDiv w:val="1"/>
      <w:marLeft w:val="0"/>
      <w:marRight w:val="0"/>
      <w:marTop w:val="0"/>
      <w:marBottom w:val="0"/>
      <w:divBdr>
        <w:top w:val="none" w:sz="0" w:space="0" w:color="auto"/>
        <w:left w:val="none" w:sz="0" w:space="0" w:color="auto"/>
        <w:bottom w:val="none" w:sz="0" w:space="0" w:color="auto"/>
        <w:right w:val="none" w:sz="0" w:space="0" w:color="auto"/>
      </w:divBdr>
    </w:div>
    <w:div w:id="1896548060">
      <w:bodyDiv w:val="1"/>
      <w:marLeft w:val="0"/>
      <w:marRight w:val="0"/>
      <w:marTop w:val="0"/>
      <w:marBottom w:val="0"/>
      <w:divBdr>
        <w:top w:val="none" w:sz="0" w:space="0" w:color="auto"/>
        <w:left w:val="none" w:sz="0" w:space="0" w:color="auto"/>
        <w:bottom w:val="none" w:sz="0" w:space="0" w:color="auto"/>
        <w:right w:val="none" w:sz="0" w:space="0" w:color="auto"/>
      </w:divBdr>
    </w:div>
    <w:div w:id="1896575966">
      <w:bodyDiv w:val="1"/>
      <w:marLeft w:val="0"/>
      <w:marRight w:val="0"/>
      <w:marTop w:val="0"/>
      <w:marBottom w:val="0"/>
      <w:divBdr>
        <w:top w:val="none" w:sz="0" w:space="0" w:color="auto"/>
        <w:left w:val="none" w:sz="0" w:space="0" w:color="auto"/>
        <w:bottom w:val="none" w:sz="0" w:space="0" w:color="auto"/>
        <w:right w:val="none" w:sz="0" w:space="0" w:color="auto"/>
      </w:divBdr>
    </w:div>
    <w:div w:id="1896702313">
      <w:bodyDiv w:val="1"/>
      <w:marLeft w:val="0"/>
      <w:marRight w:val="0"/>
      <w:marTop w:val="0"/>
      <w:marBottom w:val="0"/>
      <w:divBdr>
        <w:top w:val="none" w:sz="0" w:space="0" w:color="auto"/>
        <w:left w:val="none" w:sz="0" w:space="0" w:color="auto"/>
        <w:bottom w:val="none" w:sz="0" w:space="0" w:color="auto"/>
        <w:right w:val="none" w:sz="0" w:space="0" w:color="auto"/>
      </w:divBdr>
    </w:div>
    <w:div w:id="1896772823">
      <w:bodyDiv w:val="1"/>
      <w:marLeft w:val="0"/>
      <w:marRight w:val="0"/>
      <w:marTop w:val="0"/>
      <w:marBottom w:val="0"/>
      <w:divBdr>
        <w:top w:val="none" w:sz="0" w:space="0" w:color="auto"/>
        <w:left w:val="none" w:sz="0" w:space="0" w:color="auto"/>
        <w:bottom w:val="none" w:sz="0" w:space="0" w:color="auto"/>
        <w:right w:val="none" w:sz="0" w:space="0" w:color="auto"/>
      </w:divBdr>
    </w:div>
    <w:div w:id="1896819056">
      <w:bodyDiv w:val="1"/>
      <w:marLeft w:val="0"/>
      <w:marRight w:val="0"/>
      <w:marTop w:val="0"/>
      <w:marBottom w:val="0"/>
      <w:divBdr>
        <w:top w:val="none" w:sz="0" w:space="0" w:color="auto"/>
        <w:left w:val="none" w:sz="0" w:space="0" w:color="auto"/>
        <w:bottom w:val="none" w:sz="0" w:space="0" w:color="auto"/>
        <w:right w:val="none" w:sz="0" w:space="0" w:color="auto"/>
      </w:divBdr>
    </w:div>
    <w:div w:id="1896892169">
      <w:bodyDiv w:val="1"/>
      <w:marLeft w:val="0"/>
      <w:marRight w:val="0"/>
      <w:marTop w:val="0"/>
      <w:marBottom w:val="0"/>
      <w:divBdr>
        <w:top w:val="none" w:sz="0" w:space="0" w:color="auto"/>
        <w:left w:val="none" w:sz="0" w:space="0" w:color="auto"/>
        <w:bottom w:val="none" w:sz="0" w:space="0" w:color="auto"/>
        <w:right w:val="none" w:sz="0" w:space="0" w:color="auto"/>
      </w:divBdr>
    </w:div>
    <w:div w:id="1896966760">
      <w:bodyDiv w:val="1"/>
      <w:marLeft w:val="0"/>
      <w:marRight w:val="0"/>
      <w:marTop w:val="0"/>
      <w:marBottom w:val="0"/>
      <w:divBdr>
        <w:top w:val="none" w:sz="0" w:space="0" w:color="auto"/>
        <w:left w:val="none" w:sz="0" w:space="0" w:color="auto"/>
        <w:bottom w:val="none" w:sz="0" w:space="0" w:color="auto"/>
        <w:right w:val="none" w:sz="0" w:space="0" w:color="auto"/>
      </w:divBdr>
    </w:div>
    <w:div w:id="1896968767">
      <w:bodyDiv w:val="1"/>
      <w:marLeft w:val="0"/>
      <w:marRight w:val="0"/>
      <w:marTop w:val="0"/>
      <w:marBottom w:val="0"/>
      <w:divBdr>
        <w:top w:val="none" w:sz="0" w:space="0" w:color="auto"/>
        <w:left w:val="none" w:sz="0" w:space="0" w:color="auto"/>
        <w:bottom w:val="none" w:sz="0" w:space="0" w:color="auto"/>
        <w:right w:val="none" w:sz="0" w:space="0" w:color="auto"/>
      </w:divBdr>
    </w:div>
    <w:div w:id="1897010866">
      <w:bodyDiv w:val="1"/>
      <w:marLeft w:val="0"/>
      <w:marRight w:val="0"/>
      <w:marTop w:val="0"/>
      <w:marBottom w:val="0"/>
      <w:divBdr>
        <w:top w:val="none" w:sz="0" w:space="0" w:color="auto"/>
        <w:left w:val="none" w:sz="0" w:space="0" w:color="auto"/>
        <w:bottom w:val="none" w:sz="0" w:space="0" w:color="auto"/>
        <w:right w:val="none" w:sz="0" w:space="0" w:color="auto"/>
      </w:divBdr>
    </w:div>
    <w:div w:id="1897087504">
      <w:bodyDiv w:val="1"/>
      <w:marLeft w:val="0"/>
      <w:marRight w:val="0"/>
      <w:marTop w:val="0"/>
      <w:marBottom w:val="0"/>
      <w:divBdr>
        <w:top w:val="none" w:sz="0" w:space="0" w:color="auto"/>
        <w:left w:val="none" w:sz="0" w:space="0" w:color="auto"/>
        <w:bottom w:val="none" w:sz="0" w:space="0" w:color="auto"/>
        <w:right w:val="none" w:sz="0" w:space="0" w:color="auto"/>
      </w:divBdr>
    </w:div>
    <w:div w:id="1897088260">
      <w:bodyDiv w:val="1"/>
      <w:marLeft w:val="0"/>
      <w:marRight w:val="0"/>
      <w:marTop w:val="0"/>
      <w:marBottom w:val="0"/>
      <w:divBdr>
        <w:top w:val="none" w:sz="0" w:space="0" w:color="auto"/>
        <w:left w:val="none" w:sz="0" w:space="0" w:color="auto"/>
        <w:bottom w:val="none" w:sz="0" w:space="0" w:color="auto"/>
        <w:right w:val="none" w:sz="0" w:space="0" w:color="auto"/>
      </w:divBdr>
    </w:div>
    <w:div w:id="1897155554">
      <w:bodyDiv w:val="1"/>
      <w:marLeft w:val="0"/>
      <w:marRight w:val="0"/>
      <w:marTop w:val="0"/>
      <w:marBottom w:val="0"/>
      <w:divBdr>
        <w:top w:val="none" w:sz="0" w:space="0" w:color="auto"/>
        <w:left w:val="none" w:sz="0" w:space="0" w:color="auto"/>
        <w:bottom w:val="none" w:sz="0" w:space="0" w:color="auto"/>
        <w:right w:val="none" w:sz="0" w:space="0" w:color="auto"/>
      </w:divBdr>
    </w:div>
    <w:div w:id="1897205738">
      <w:bodyDiv w:val="1"/>
      <w:marLeft w:val="0"/>
      <w:marRight w:val="0"/>
      <w:marTop w:val="0"/>
      <w:marBottom w:val="0"/>
      <w:divBdr>
        <w:top w:val="none" w:sz="0" w:space="0" w:color="auto"/>
        <w:left w:val="none" w:sz="0" w:space="0" w:color="auto"/>
        <w:bottom w:val="none" w:sz="0" w:space="0" w:color="auto"/>
        <w:right w:val="none" w:sz="0" w:space="0" w:color="auto"/>
      </w:divBdr>
    </w:div>
    <w:div w:id="1897549003">
      <w:bodyDiv w:val="1"/>
      <w:marLeft w:val="0"/>
      <w:marRight w:val="0"/>
      <w:marTop w:val="0"/>
      <w:marBottom w:val="0"/>
      <w:divBdr>
        <w:top w:val="none" w:sz="0" w:space="0" w:color="auto"/>
        <w:left w:val="none" w:sz="0" w:space="0" w:color="auto"/>
        <w:bottom w:val="none" w:sz="0" w:space="0" w:color="auto"/>
        <w:right w:val="none" w:sz="0" w:space="0" w:color="auto"/>
      </w:divBdr>
    </w:div>
    <w:div w:id="1897663955">
      <w:bodyDiv w:val="1"/>
      <w:marLeft w:val="0"/>
      <w:marRight w:val="0"/>
      <w:marTop w:val="0"/>
      <w:marBottom w:val="0"/>
      <w:divBdr>
        <w:top w:val="none" w:sz="0" w:space="0" w:color="auto"/>
        <w:left w:val="none" w:sz="0" w:space="0" w:color="auto"/>
        <w:bottom w:val="none" w:sz="0" w:space="0" w:color="auto"/>
        <w:right w:val="none" w:sz="0" w:space="0" w:color="auto"/>
      </w:divBdr>
    </w:div>
    <w:div w:id="1897816972">
      <w:bodyDiv w:val="1"/>
      <w:marLeft w:val="0"/>
      <w:marRight w:val="0"/>
      <w:marTop w:val="0"/>
      <w:marBottom w:val="0"/>
      <w:divBdr>
        <w:top w:val="none" w:sz="0" w:space="0" w:color="auto"/>
        <w:left w:val="none" w:sz="0" w:space="0" w:color="auto"/>
        <w:bottom w:val="none" w:sz="0" w:space="0" w:color="auto"/>
        <w:right w:val="none" w:sz="0" w:space="0" w:color="auto"/>
      </w:divBdr>
    </w:div>
    <w:div w:id="1897888591">
      <w:bodyDiv w:val="1"/>
      <w:marLeft w:val="0"/>
      <w:marRight w:val="0"/>
      <w:marTop w:val="0"/>
      <w:marBottom w:val="0"/>
      <w:divBdr>
        <w:top w:val="none" w:sz="0" w:space="0" w:color="auto"/>
        <w:left w:val="none" w:sz="0" w:space="0" w:color="auto"/>
        <w:bottom w:val="none" w:sz="0" w:space="0" w:color="auto"/>
        <w:right w:val="none" w:sz="0" w:space="0" w:color="auto"/>
      </w:divBdr>
    </w:div>
    <w:div w:id="1897888959">
      <w:bodyDiv w:val="1"/>
      <w:marLeft w:val="0"/>
      <w:marRight w:val="0"/>
      <w:marTop w:val="0"/>
      <w:marBottom w:val="0"/>
      <w:divBdr>
        <w:top w:val="none" w:sz="0" w:space="0" w:color="auto"/>
        <w:left w:val="none" w:sz="0" w:space="0" w:color="auto"/>
        <w:bottom w:val="none" w:sz="0" w:space="0" w:color="auto"/>
        <w:right w:val="none" w:sz="0" w:space="0" w:color="auto"/>
      </w:divBdr>
    </w:div>
    <w:div w:id="1897929924">
      <w:bodyDiv w:val="1"/>
      <w:marLeft w:val="0"/>
      <w:marRight w:val="0"/>
      <w:marTop w:val="0"/>
      <w:marBottom w:val="0"/>
      <w:divBdr>
        <w:top w:val="none" w:sz="0" w:space="0" w:color="auto"/>
        <w:left w:val="none" w:sz="0" w:space="0" w:color="auto"/>
        <w:bottom w:val="none" w:sz="0" w:space="0" w:color="auto"/>
        <w:right w:val="none" w:sz="0" w:space="0" w:color="auto"/>
      </w:divBdr>
    </w:div>
    <w:div w:id="1898004704">
      <w:bodyDiv w:val="1"/>
      <w:marLeft w:val="0"/>
      <w:marRight w:val="0"/>
      <w:marTop w:val="0"/>
      <w:marBottom w:val="0"/>
      <w:divBdr>
        <w:top w:val="none" w:sz="0" w:space="0" w:color="auto"/>
        <w:left w:val="none" w:sz="0" w:space="0" w:color="auto"/>
        <w:bottom w:val="none" w:sz="0" w:space="0" w:color="auto"/>
        <w:right w:val="none" w:sz="0" w:space="0" w:color="auto"/>
      </w:divBdr>
    </w:div>
    <w:div w:id="1898200267">
      <w:bodyDiv w:val="1"/>
      <w:marLeft w:val="0"/>
      <w:marRight w:val="0"/>
      <w:marTop w:val="0"/>
      <w:marBottom w:val="0"/>
      <w:divBdr>
        <w:top w:val="none" w:sz="0" w:space="0" w:color="auto"/>
        <w:left w:val="none" w:sz="0" w:space="0" w:color="auto"/>
        <w:bottom w:val="none" w:sz="0" w:space="0" w:color="auto"/>
        <w:right w:val="none" w:sz="0" w:space="0" w:color="auto"/>
      </w:divBdr>
    </w:div>
    <w:div w:id="1898323279">
      <w:bodyDiv w:val="1"/>
      <w:marLeft w:val="0"/>
      <w:marRight w:val="0"/>
      <w:marTop w:val="0"/>
      <w:marBottom w:val="0"/>
      <w:divBdr>
        <w:top w:val="none" w:sz="0" w:space="0" w:color="auto"/>
        <w:left w:val="none" w:sz="0" w:space="0" w:color="auto"/>
        <w:bottom w:val="none" w:sz="0" w:space="0" w:color="auto"/>
        <w:right w:val="none" w:sz="0" w:space="0" w:color="auto"/>
      </w:divBdr>
    </w:div>
    <w:div w:id="1898323738">
      <w:bodyDiv w:val="1"/>
      <w:marLeft w:val="0"/>
      <w:marRight w:val="0"/>
      <w:marTop w:val="0"/>
      <w:marBottom w:val="0"/>
      <w:divBdr>
        <w:top w:val="none" w:sz="0" w:space="0" w:color="auto"/>
        <w:left w:val="none" w:sz="0" w:space="0" w:color="auto"/>
        <w:bottom w:val="none" w:sz="0" w:space="0" w:color="auto"/>
        <w:right w:val="none" w:sz="0" w:space="0" w:color="auto"/>
      </w:divBdr>
    </w:div>
    <w:div w:id="1898467886">
      <w:bodyDiv w:val="1"/>
      <w:marLeft w:val="0"/>
      <w:marRight w:val="0"/>
      <w:marTop w:val="0"/>
      <w:marBottom w:val="0"/>
      <w:divBdr>
        <w:top w:val="none" w:sz="0" w:space="0" w:color="auto"/>
        <w:left w:val="none" w:sz="0" w:space="0" w:color="auto"/>
        <w:bottom w:val="none" w:sz="0" w:space="0" w:color="auto"/>
        <w:right w:val="none" w:sz="0" w:space="0" w:color="auto"/>
      </w:divBdr>
    </w:div>
    <w:div w:id="1898471523">
      <w:bodyDiv w:val="1"/>
      <w:marLeft w:val="0"/>
      <w:marRight w:val="0"/>
      <w:marTop w:val="0"/>
      <w:marBottom w:val="0"/>
      <w:divBdr>
        <w:top w:val="none" w:sz="0" w:space="0" w:color="auto"/>
        <w:left w:val="none" w:sz="0" w:space="0" w:color="auto"/>
        <w:bottom w:val="none" w:sz="0" w:space="0" w:color="auto"/>
        <w:right w:val="none" w:sz="0" w:space="0" w:color="auto"/>
      </w:divBdr>
    </w:div>
    <w:div w:id="1898472552">
      <w:bodyDiv w:val="1"/>
      <w:marLeft w:val="0"/>
      <w:marRight w:val="0"/>
      <w:marTop w:val="0"/>
      <w:marBottom w:val="0"/>
      <w:divBdr>
        <w:top w:val="none" w:sz="0" w:space="0" w:color="auto"/>
        <w:left w:val="none" w:sz="0" w:space="0" w:color="auto"/>
        <w:bottom w:val="none" w:sz="0" w:space="0" w:color="auto"/>
        <w:right w:val="none" w:sz="0" w:space="0" w:color="auto"/>
      </w:divBdr>
    </w:div>
    <w:div w:id="1898588284">
      <w:bodyDiv w:val="1"/>
      <w:marLeft w:val="0"/>
      <w:marRight w:val="0"/>
      <w:marTop w:val="0"/>
      <w:marBottom w:val="0"/>
      <w:divBdr>
        <w:top w:val="none" w:sz="0" w:space="0" w:color="auto"/>
        <w:left w:val="none" w:sz="0" w:space="0" w:color="auto"/>
        <w:bottom w:val="none" w:sz="0" w:space="0" w:color="auto"/>
        <w:right w:val="none" w:sz="0" w:space="0" w:color="auto"/>
      </w:divBdr>
    </w:div>
    <w:div w:id="1898588708">
      <w:bodyDiv w:val="1"/>
      <w:marLeft w:val="0"/>
      <w:marRight w:val="0"/>
      <w:marTop w:val="0"/>
      <w:marBottom w:val="0"/>
      <w:divBdr>
        <w:top w:val="none" w:sz="0" w:space="0" w:color="auto"/>
        <w:left w:val="none" w:sz="0" w:space="0" w:color="auto"/>
        <w:bottom w:val="none" w:sz="0" w:space="0" w:color="auto"/>
        <w:right w:val="none" w:sz="0" w:space="0" w:color="auto"/>
      </w:divBdr>
    </w:div>
    <w:div w:id="1898662082">
      <w:bodyDiv w:val="1"/>
      <w:marLeft w:val="0"/>
      <w:marRight w:val="0"/>
      <w:marTop w:val="0"/>
      <w:marBottom w:val="0"/>
      <w:divBdr>
        <w:top w:val="none" w:sz="0" w:space="0" w:color="auto"/>
        <w:left w:val="none" w:sz="0" w:space="0" w:color="auto"/>
        <w:bottom w:val="none" w:sz="0" w:space="0" w:color="auto"/>
        <w:right w:val="none" w:sz="0" w:space="0" w:color="auto"/>
      </w:divBdr>
    </w:div>
    <w:div w:id="1898662510">
      <w:bodyDiv w:val="1"/>
      <w:marLeft w:val="0"/>
      <w:marRight w:val="0"/>
      <w:marTop w:val="0"/>
      <w:marBottom w:val="0"/>
      <w:divBdr>
        <w:top w:val="none" w:sz="0" w:space="0" w:color="auto"/>
        <w:left w:val="none" w:sz="0" w:space="0" w:color="auto"/>
        <w:bottom w:val="none" w:sz="0" w:space="0" w:color="auto"/>
        <w:right w:val="none" w:sz="0" w:space="0" w:color="auto"/>
      </w:divBdr>
    </w:div>
    <w:div w:id="1898779671">
      <w:bodyDiv w:val="1"/>
      <w:marLeft w:val="0"/>
      <w:marRight w:val="0"/>
      <w:marTop w:val="0"/>
      <w:marBottom w:val="0"/>
      <w:divBdr>
        <w:top w:val="none" w:sz="0" w:space="0" w:color="auto"/>
        <w:left w:val="none" w:sz="0" w:space="0" w:color="auto"/>
        <w:bottom w:val="none" w:sz="0" w:space="0" w:color="auto"/>
        <w:right w:val="none" w:sz="0" w:space="0" w:color="auto"/>
      </w:divBdr>
    </w:div>
    <w:div w:id="1898853377">
      <w:bodyDiv w:val="1"/>
      <w:marLeft w:val="0"/>
      <w:marRight w:val="0"/>
      <w:marTop w:val="0"/>
      <w:marBottom w:val="0"/>
      <w:divBdr>
        <w:top w:val="none" w:sz="0" w:space="0" w:color="auto"/>
        <w:left w:val="none" w:sz="0" w:space="0" w:color="auto"/>
        <w:bottom w:val="none" w:sz="0" w:space="0" w:color="auto"/>
        <w:right w:val="none" w:sz="0" w:space="0" w:color="auto"/>
      </w:divBdr>
    </w:div>
    <w:div w:id="1898861532">
      <w:bodyDiv w:val="1"/>
      <w:marLeft w:val="0"/>
      <w:marRight w:val="0"/>
      <w:marTop w:val="0"/>
      <w:marBottom w:val="0"/>
      <w:divBdr>
        <w:top w:val="none" w:sz="0" w:space="0" w:color="auto"/>
        <w:left w:val="none" w:sz="0" w:space="0" w:color="auto"/>
        <w:bottom w:val="none" w:sz="0" w:space="0" w:color="auto"/>
        <w:right w:val="none" w:sz="0" w:space="0" w:color="auto"/>
      </w:divBdr>
    </w:div>
    <w:div w:id="1899317279">
      <w:bodyDiv w:val="1"/>
      <w:marLeft w:val="0"/>
      <w:marRight w:val="0"/>
      <w:marTop w:val="0"/>
      <w:marBottom w:val="0"/>
      <w:divBdr>
        <w:top w:val="none" w:sz="0" w:space="0" w:color="auto"/>
        <w:left w:val="none" w:sz="0" w:space="0" w:color="auto"/>
        <w:bottom w:val="none" w:sz="0" w:space="0" w:color="auto"/>
        <w:right w:val="none" w:sz="0" w:space="0" w:color="auto"/>
      </w:divBdr>
    </w:div>
    <w:div w:id="1899320468">
      <w:bodyDiv w:val="1"/>
      <w:marLeft w:val="0"/>
      <w:marRight w:val="0"/>
      <w:marTop w:val="0"/>
      <w:marBottom w:val="0"/>
      <w:divBdr>
        <w:top w:val="none" w:sz="0" w:space="0" w:color="auto"/>
        <w:left w:val="none" w:sz="0" w:space="0" w:color="auto"/>
        <w:bottom w:val="none" w:sz="0" w:space="0" w:color="auto"/>
        <w:right w:val="none" w:sz="0" w:space="0" w:color="auto"/>
      </w:divBdr>
    </w:div>
    <w:div w:id="1899393490">
      <w:bodyDiv w:val="1"/>
      <w:marLeft w:val="0"/>
      <w:marRight w:val="0"/>
      <w:marTop w:val="0"/>
      <w:marBottom w:val="0"/>
      <w:divBdr>
        <w:top w:val="none" w:sz="0" w:space="0" w:color="auto"/>
        <w:left w:val="none" w:sz="0" w:space="0" w:color="auto"/>
        <w:bottom w:val="none" w:sz="0" w:space="0" w:color="auto"/>
        <w:right w:val="none" w:sz="0" w:space="0" w:color="auto"/>
      </w:divBdr>
    </w:div>
    <w:div w:id="1899634838">
      <w:bodyDiv w:val="1"/>
      <w:marLeft w:val="0"/>
      <w:marRight w:val="0"/>
      <w:marTop w:val="0"/>
      <w:marBottom w:val="0"/>
      <w:divBdr>
        <w:top w:val="none" w:sz="0" w:space="0" w:color="auto"/>
        <w:left w:val="none" w:sz="0" w:space="0" w:color="auto"/>
        <w:bottom w:val="none" w:sz="0" w:space="0" w:color="auto"/>
        <w:right w:val="none" w:sz="0" w:space="0" w:color="auto"/>
      </w:divBdr>
    </w:div>
    <w:div w:id="1899658037">
      <w:bodyDiv w:val="1"/>
      <w:marLeft w:val="0"/>
      <w:marRight w:val="0"/>
      <w:marTop w:val="0"/>
      <w:marBottom w:val="0"/>
      <w:divBdr>
        <w:top w:val="none" w:sz="0" w:space="0" w:color="auto"/>
        <w:left w:val="none" w:sz="0" w:space="0" w:color="auto"/>
        <w:bottom w:val="none" w:sz="0" w:space="0" w:color="auto"/>
        <w:right w:val="none" w:sz="0" w:space="0" w:color="auto"/>
      </w:divBdr>
    </w:div>
    <w:div w:id="1899703629">
      <w:bodyDiv w:val="1"/>
      <w:marLeft w:val="0"/>
      <w:marRight w:val="0"/>
      <w:marTop w:val="0"/>
      <w:marBottom w:val="0"/>
      <w:divBdr>
        <w:top w:val="none" w:sz="0" w:space="0" w:color="auto"/>
        <w:left w:val="none" w:sz="0" w:space="0" w:color="auto"/>
        <w:bottom w:val="none" w:sz="0" w:space="0" w:color="auto"/>
        <w:right w:val="none" w:sz="0" w:space="0" w:color="auto"/>
      </w:divBdr>
    </w:div>
    <w:div w:id="1899704169">
      <w:bodyDiv w:val="1"/>
      <w:marLeft w:val="0"/>
      <w:marRight w:val="0"/>
      <w:marTop w:val="0"/>
      <w:marBottom w:val="0"/>
      <w:divBdr>
        <w:top w:val="none" w:sz="0" w:space="0" w:color="auto"/>
        <w:left w:val="none" w:sz="0" w:space="0" w:color="auto"/>
        <w:bottom w:val="none" w:sz="0" w:space="0" w:color="auto"/>
        <w:right w:val="none" w:sz="0" w:space="0" w:color="auto"/>
      </w:divBdr>
    </w:div>
    <w:div w:id="1899704570">
      <w:bodyDiv w:val="1"/>
      <w:marLeft w:val="0"/>
      <w:marRight w:val="0"/>
      <w:marTop w:val="0"/>
      <w:marBottom w:val="0"/>
      <w:divBdr>
        <w:top w:val="none" w:sz="0" w:space="0" w:color="auto"/>
        <w:left w:val="none" w:sz="0" w:space="0" w:color="auto"/>
        <w:bottom w:val="none" w:sz="0" w:space="0" w:color="auto"/>
        <w:right w:val="none" w:sz="0" w:space="0" w:color="auto"/>
      </w:divBdr>
    </w:div>
    <w:div w:id="1899826629">
      <w:bodyDiv w:val="1"/>
      <w:marLeft w:val="0"/>
      <w:marRight w:val="0"/>
      <w:marTop w:val="0"/>
      <w:marBottom w:val="0"/>
      <w:divBdr>
        <w:top w:val="none" w:sz="0" w:space="0" w:color="auto"/>
        <w:left w:val="none" w:sz="0" w:space="0" w:color="auto"/>
        <w:bottom w:val="none" w:sz="0" w:space="0" w:color="auto"/>
        <w:right w:val="none" w:sz="0" w:space="0" w:color="auto"/>
      </w:divBdr>
    </w:div>
    <w:div w:id="1899851581">
      <w:bodyDiv w:val="1"/>
      <w:marLeft w:val="0"/>
      <w:marRight w:val="0"/>
      <w:marTop w:val="0"/>
      <w:marBottom w:val="0"/>
      <w:divBdr>
        <w:top w:val="none" w:sz="0" w:space="0" w:color="auto"/>
        <w:left w:val="none" w:sz="0" w:space="0" w:color="auto"/>
        <w:bottom w:val="none" w:sz="0" w:space="0" w:color="auto"/>
        <w:right w:val="none" w:sz="0" w:space="0" w:color="auto"/>
      </w:divBdr>
    </w:div>
    <w:div w:id="1900171813">
      <w:bodyDiv w:val="1"/>
      <w:marLeft w:val="0"/>
      <w:marRight w:val="0"/>
      <w:marTop w:val="0"/>
      <w:marBottom w:val="0"/>
      <w:divBdr>
        <w:top w:val="none" w:sz="0" w:space="0" w:color="auto"/>
        <w:left w:val="none" w:sz="0" w:space="0" w:color="auto"/>
        <w:bottom w:val="none" w:sz="0" w:space="0" w:color="auto"/>
        <w:right w:val="none" w:sz="0" w:space="0" w:color="auto"/>
      </w:divBdr>
    </w:div>
    <w:div w:id="1900289993">
      <w:bodyDiv w:val="1"/>
      <w:marLeft w:val="0"/>
      <w:marRight w:val="0"/>
      <w:marTop w:val="0"/>
      <w:marBottom w:val="0"/>
      <w:divBdr>
        <w:top w:val="none" w:sz="0" w:space="0" w:color="auto"/>
        <w:left w:val="none" w:sz="0" w:space="0" w:color="auto"/>
        <w:bottom w:val="none" w:sz="0" w:space="0" w:color="auto"/>
        <w:right w:val="none" w:sz="0" w:space="0" w:color="auto"/>
      </w:divBdr>
    </w:div>
    <w:div w:id="1900364284">
      <w:bodyDiv w:val="1"/>
      <w:marLeft w:val="0"/>
      <w:marRight w:val="0"/>
      <w:marTop w:val="0"/>
      <w:marBottom w:val="0"/>
      <w:divBdr>
        <w:top w:val="none" w:sz="0" w:space="0" w:color="auto"/>
        <w:left w:val="none" w:sz="0" w:space="0" w:color="auto"/>
        <w:bottom w:val="none" w:sz="0" w:space="0" w:color="auto"/>
        <w:right w:val="none" w:sz="0" w:space="0" w:color="auto"/>
      </w:divBdr>
    </w:div>
    <w:div w:id="1900479540">
      <w:bodyDiv w:val="1"/>
      <w:marLeft w:val="0"/>
      <w:marRight w:val="0"/>
      <w:marTop w:val="0"/>
      <w:marBottom w:val="0"/>
      <w:divBdr>
        <w:top w:val="none" w:sz="0" w:space="0" w:color="auto"/>
        <w:left w:val="none" w:sz="0" w:space="0" w:color="auto"/>
        <w:bottom w:val="none" w:sz="0" w:space="0" w:color="auto"/>
        <w:right w:val="none" w:sz="0" w:space="0" w:color="auto"/>
      </w:divBdr>
    </w:div>
    <w:div w:id="1900553387">
      <w:bodyDiv w:val="1"/>
      <w:marLeft w:val="0"/>
      <w:marRight w:val="0"/>
      <w:marTop w:val="0"/>
      <w:marBottom w:val="0"/>
      <w:divBdr>
        <w:top w:val="none" w:sz="0" w:space="0" w:color="auto"/>
        <w:left w:val="none" w:sz="0" w:space="0" w:color="auto"/>
        <w:bottom w:val="none" w:sz="0" w:space="0" w:color="auto"/>
        <w:right w:val="none" w:sz="0" w:space="0" w:color="auto"/>
      </w:divBdr>
    </w:div>
    <w:div w:id="1900557479">
      <w:bodyDiv w:val="1"/>
      <w:marLeft w:val="0"/>
      <w:marRight w:val="0"/>
      <w:marTop w:val="0"/>
      <w:marBottom w:val="0"/>
      <w:divBdr>
        <w:top w:val="none" w:sz="0" w:space="0" w:color="auto"/>
        <w:left w:val="none" w:sz="0" w:space="0" w:color="auto"/>
        <w:bottom w:val="none" w:sz="0" w:space="0" w:color="auto"/>
        <w:right w:val="none" w:sz="0" w:space="0" w:color="auto"/>
      </w:divBdr>
    </w:div>
    <w:div w:id="1900627651">
      <w:bodyDiv w:val="1"/>
      <w:marLeft w:val="0"/>
      <w:marRight w:val="0"/>
      <w:marTop w:val="0"/>
      <w:marBottom w:val="0"/>
      <w:divBdr>
        <w:top w:val="none" w:sz="0" w:space="0" w:color="auto"/>
        <w:left w:val="none" w:sz="0" w:space="0" w:color="auto"/>
        <w:bottom w:val="none" w:sz="0" w:space="0" w:color="auto"/>
        <w:right w:val="none" w:sz="0" w:space="0" w:color="auto"/>
      </w:divBdr>
    </w:div>
    <w:div w:id="1900703891">
      <w:bodyDiv w:val="1"/>
      <w:marLeft w:val="0"/>
      <w:marRight w:val="0"/>
      <w:marTop w:val="0"/>
      <w:marBottom w:val="0"/>
      <w:divBdr>
        <w:top w:val="none" w:sz="0" w:space="0" w:color="auto"/>
        <w:left w:val="none" w:sz="0" w:space="0" w:color="auto"/>
        <w:bottom w:val="none" w:sz="0" w:space="0" w:color="auto"/>
        <w:right w:val="none" w:sz="0" w:space="0" w:color="auto"/>
      </w:divBdr>
    </w:div>
    <w:div w:id="1900750465">
      <w:bodyDiv w:val="1"/>
      <w:marLeft w:val="0"/>
      <w:marRight w:val="0"/>
      <w:marTop w:val="0"/>
      <w:marBottom w:val="0"/>
      <w:divBdr>
        <w:top w:val="none" w:sz="0" w:space="0" w:color="auto"/>
        <w:left w:val="none" w:sz="0" w:space="0" w:color="auto"/>
        <w:bottom w:val="none" w:sz="0" w:space="0" w:color="auto"/>
        <w:right w:val="none" w:sz="0" w:space="0" w:color="auto"/>
      </w:divBdr>
    </w:div>
    <w:div w:id="1900751655">
      <w:bodyDiv w:val="1"/>
      <w:marLeft w:val="0"/>
      <w:marRight w:val="0"/>
      <w:marTop w:val="0"/>
      <w:marBottom w:val="0"/>
      <w:divBdr>
        <w:top w:val="none" w:sz="0" w:space="0" w:color="auto"/>
        <w:left w:val="none" w:sz="0" w:space="0" w:color="auto"/>
        <w:bottom w:val="none" w:sz="0" w:space="0" w:color="auto"/>
        <w:right w:val="none" w:sz="0" w:space="0" w:color="auto"/>
      </w:divBdr>
    </w:div>
    <w:div w:id="1900897108">
      <w:bodyDiv w:val="1"/>
      <w:marLeft w:val="0"/>
      <w:marRight w:val="0"/>
      <w:marTop w:val="0"/>
      <w:marBottom w:val="0"/>
      <w:divBdr>
        <w:top w:val="none" w:sz="0" w:space="0" w:color="auto"/>
        <w:left w:val="none" w:sz="0" w:space="0" w:color="auto"/>
        <w:bottom w:val="none" w:sz="0" w:space="0" w:color="auto"/>
        <w:right w:val="none" w:sz="0" w:space="0" w:color="auto"/>
      </w:divBdr>
    </w:div>
    <w:div w:id="1900898676">
      <w:bodyDiv w:val="1"/>
      <w:marLeft w:val="0"/>
      <w:marRight w:val="0"/>
      <w:marTop w:val="0"/>
      <w:marBottom w:val="0"/>
      <w:divBdr>
        <w:top w:val="none" w:sz="0" w:space="0" w:color="auto"/>
        <w:left w:val="none" w:sz="0" w:space="0" w:color="auto"/>
        <w:bottom w:val="none" w:sz="0" w:space="0" w:color="auto"/>
        <w:right w:val="none" w:sz="0" w:space="0" w:color="auto"/>
      </w:divBdr>
    </w:div>
    <w:div w:id="1900941411">
      <w:bodyDiv w:val="1"/>
      <w:marLeft w:val="0"/>
      <w:marRight w:val="0"/>
      <w:marTop w:val="0"/>
      <w:marBottom w:val="0"/>
      <w:divBdr>
        <w:top w:val="none" w:sz="0" w:space="0" w:color="auto"/>
        <w:left w:val="none" w:sz="0" w:space="0" w:color="auto"/>
        <w:bottom w:val="none" w:sz="0" w:space="0" w:color="auto"/>
        <w:right w:val="none" w:sz="0" w:space="0" w:color="auto"/>
      </w:divBdr>
    </w:div>
    <w:div w:id="1901134766">
      <w:bodyDiv w:val="1"/>
      <w:marLeft w:val="0"/>
      <w:marRight w:val="0"/>
      <w:marTop w:val="0"/>
      <w:marBottom w:val="0"/>
      <w:divBdr>
        <w:top w:val="none" w:sz="0" w:space="0" w:color="auto"/>
        <w:left w:val="none" w:sz="0" w:space="0" w:color="auto"/>
        <w:bottom w:val="none" w:sz="0" w:space="0" w:color="auto"/>
        <w:right w:val="none" w:sz="0" w:space="0" w:color="auto"/>
      </w:divBdr>
    </w:div>
    <w:div w:id="1901163528">
      <w:bodyDiv w:val="1"/>
      <w:marLeft w:val="0"/>
      <w:marRight w:val="0"/>
      <w:marTop w:val="0"/>
      <w:marBottom w:val="0"/>
      <w:divBdr>
        <w:top w:val="none" w:sz="0" w:space="0" w:color="auto"/>
        <w:left w:val="none" w:sz="0" w:space="0" w:color="auto"/>
        <w:bottom w:val="none" w:sz="0" w:space="0" w:color="auto"/>
        <w:right w:val="none" w:sz="0" w:space="0" w:color="auto"/>
      </w:divBdr>
    </w:div>
    <w:div w:id="1901355269">
      <w:bodyDiv w:val="1"/>
      <w:marLeft w:val="0"/>
      <w:marRight w:val="0"/>
      <w:marTop w:val="0"/>
      <w:marBottom w:val="0"/>
      <w:divBdr>
        <w:top w:val="none" w:sz="0" w:space="0" w:color="auto"/>
        <w:left w:val="none" w:sz="0" w:space="0" w:color="auto"/>
        <w:bottom w:val="none" w:sz="0" w:space="0" w:color="auto"/>
        <w:right w:val="none" w:sz="0" w:space="0" w:color="auto"/>
      </w:divBdr>
    </w:div>
    <w:div w:id="1901400751">
      <w:bodyDiv w:val="1"/>
      <w:marLeft w:val="0"/>
      <w:marRight w:val="0"/>
      <w:marTop w:val="0"/>
      <w:marBottom w:val="0"/>
      <w:divBdr>
        <w:top w:val="none" w:sz="0" w:space="0" w:color="auto"/>
        <w:left w:val="none" w:sz="0" w:space="0" w:color="auto"/>
        <w:bottom w:val="none" w:sz="0" w:space="0" w:color="auto"/>
        <w:right w:val="none" w:sz="0" w:space="0" w:color="auto"/>
      </w:divBdr>
    </w:div>
    <w:div w:id="1901477938">
      <w:bodyDiv w:val="1"/>
      <w:marLeft w:val="0"/>
      <w:marRight w:val="0"/>
      <w:marTop w:val="0"/>
      <w:marBottom w:val="0"/>
      <w:divBdr>
        <w:top w:val="none" w:sz="0" w:space="0" w:color="auto"/>
        <w:left w:val="none" w:sz="0" w:space="0" w:color="auto"/>
        <w:bottom w:val="none" w:sz="0" w:space="0" w:color="auto"/>
        <w:right w:val="none" w:sz="0" w:space="0" w:color="auto"/>
      </w:divBdr>
    </w:div>
    <w:div w:id="1901599230">
      <w:bodyDiv w:val="1"/>
      <w:marLeft w:val="0"/>
      <w:marRight w:val="0"/>
      <w:marTop w:val="0"/>
      <w:marBottom w:val="0"/>
      <w:divBdr>
        <w:top w:val="none" w:sz="0" w:space="0" w:color="auto"/>
        <w:left w:val="none" w:sz="0" w:space="0" w:color="auto"/>
        <w:bottom w:val="none" w:sz="0" w:space="0" w:color="auto"/>
        <w:right w:val="none" w:sz="0" w:space="0" w:color="auto"/>
      </w:divBdr>
    </w:div>
    <w:div w:id="1901600314">
      <w:bodyDiv w:val="1"/>
      <w:marLeft w:val="0"/>
      <w:marRight w:val="0"/>
      <w:marTop w:val="0"/>
      <w:marBottom w:val="0"/>
      <w:divBdr>
        <w:top w:val="none" w:sz="0" w:space="0" w:color="auto"/>
        <w:left w:val="none" w:sz="0" w:space="0" w:color="auto"/>
        <w:bottom w:val="none" w:sz="0" w:space="0" w:color="auto"/>
        <w:right w:val="none" w:sz="0" w:space="0" w:color="auto"/>
      </w:divBdr>
    </w:div>
    <w:div w:id="1901625099">
      <w:bodyDiv w:val="1"/>
      <w:marLeft w:val="0"/>
      <w:marRight w:val="0"/>
      <w:marTop w:val="0"/>
      <w:marBottom w:val="0"/>
      <w:divBdr>
        <w:top w:val="none" w:sz="0" w:space="0" w:color="auto"/>
        <w:left w:val="none" w:sz="0" w:space="0" w:color="auto"/>
        <w:bottom w:val="none" w:sz="0" w:space="0" w:color="auto"/>
        <w:right w:val="none" w:sz="0" w:space="0" w:color="auto"/>
      </w:divBdr>
    </w:div>
    <w:div w:id="1901668095">
      <w:bodyDiv w:val="1"/>
      <w:marLeft w:val="0"/>
      <w:marRight w:val="0"/>
      <w:marTop w:val="0"/>
      <w:marBottom w:val="0"/>
      <w:divBdr>
        <w:top w:val="none" w:sz="0" w:space="0" w:color="auto"/>
        <w:left w:val="none" w:sz="0" w:space="0" w:color="auto"/>
        <w:bottom w:val="none" w:sz="0" w:space="0" w:color="auto"/>
        <w:right w:val="none" w:sz="0" w:space="0" w:color="auto"/>
      </w:divBdr>
    </w:div>
    <w:div w:id="1901744698">
      <w:bodyDiv w:val="1"/>
      <w:marLeft w:val="0"/>
      <w:marRight w:val="0"/>
      <w:marTop w:val="0"/>
      <w:marBottom w:val="0"/>
      <w:divBdr>
        <w:top w:val="none" w:sz="0" w:space="0" w:color="auto"/>
        <w:left w:val="none" w:sz="0" w:space="0" w:color="auto"/>
        <w:bottom w:val="none" w:sz="0" w:space="0" w:color="auto"/>
        <w:right w:val="none" w:sz="0" w:space="0" w:color="auto"/>
      </w:divBdr>
    </w:div>
    <w:div w:id="1901750923">
      <w:bodyDiv w:val="1"/>
      <w:marLeft w:val="0"/>
      <w:marRight w:val="0"/>
      <w:marTop w:val="0"/>
      <w:marBottom w:val="0"/>
      <w:divBdr>
        <w:top w:val="none" w:sz="0" w:space="0" w:color="auto"/>
        <w:left w:val="none" w:sz="0" w:space="0" w:color="auto"/>
        <w:bottom w:val="none" w:sz="0" w:space="0" w:color="auto"/>
        <w:right w:val="none" w:sz="0" w:space="0" w:color="auto"/>
      </w:divBdr>
    </w:div>
    <w:div w:id="1901819956">
      <w:bodyDiv w:val="1"/>
      <w:marLeft w:val="0"/>
      <w:marRight w:val="0"/>
      <w:marTop w:val="0"/>
      <w:marBottom w:val="0"/>
      <w:divBdr>
        <w:top w:val="none" w:sz="0" w:space="0" w:color="auto"/>
        <w:left w:val="none" w:sz="0" w:space="0" w:color="auto"/>
        <w:bottom w:val="none" w:sz="0" w:space="0" w:color="auto"/>
        <w:right w:val="none" w:sz="0" w:space="0" w:color="auto"/>
      </w:divBdr>
    </w:div>
    <w:div w:id="1901820859">
      <w:bodyDiv w:val="1"/>
      <w:marLeft w:val="0"/>
      <w:marRight w:val="0"/>
      <w:marTop w:val="0"/>
      <w:marBottom w:val="0"/>
      <w:divBdr>
        <w:top w:val="none" w:sz="0" w:space="0" w:color="auto"/>
        <w:left w:val="none" w:sz="0" w:space="0" w:color="auto"/>
        <w:bottom w:val="none" w:sz="0" w:space="0" w:color="auto"/>
        <w:right w:val="none" w:sz="0" w:space="0" w:color="auto"/>
      </w:divBdr>
    </w:div>
    <w:div w:id="1901937424">
      <w:bodyDiv w:val="1"/>
      <w:marLeft w:val="0"/>
      <w:marRight w:val="0"/>
      <w:marTop w:val="0"/>
      <w:marBottom w:val="0"/>
      <w:divBdr>
        <w:top w:val="none" w:sz="0" w:space="0" w:color="auto"/>
        <w:left w:val="none" w:sz="0" w:space="0" w:color="auto"/>
        <w:bottom w:val="none" w:sz="0" w:space="0" w:color="auto"/>
        <w:right w:val="none" w:sz="0" w:space="0" w:color="auto"/>
      </w:divBdr>
    </w:div>
    <w:div w:id="1901940468">
      <w:bodyDiv w:val="1"/>
      <w:marLeft w:val="0"/>
      <w:marRight w:val="0"/>
      <w:marTop w:val="0"/>
      <w:marBottom w:val="0"/>
      <w:divBdr>
        <w:top w:val="none" w:sz="0" w:space="0" w:color="auto"/>
        <w:left w:val="none" w:sz="0" w:space="0" w:color="auto"/>
        <w:bottom w:val="none" w:sz="0" w:space="0" w:color="auto"/>
        <w:right w:val="none" w:sz="0" w:space="0" w:color="auto"/>
      </w:divBdr>
    </w:div>
    <w:div w:id="1902205879">
      <w:bodyDiv w:val="1"/>
      <w:marLeft w:val="0"/>
      <w:marRight w:val="0"/>
      <w:marTop w:val="0"/>
      <w:marBottom w:val="0"/>
      <w:divBdr>
        <w:top w:val="none" w:sz="0" w:space="0" w:color="auto"/>
        <w:left w:val="none" w:sz="0" w:space="0" w:color="auto"/>
        <w:bottom w:val="none" w:sz="0" w:space="0" w:color="auto"/>
        <w:right w:val="none" w:sz="0" w:space="0" w:color="auto"/>
      </w:divBdr>
    </w:div>
    <w:div w:id="1902323909">
      <w:bodyDiv w:val="1"/>
      <w:marLeft w:val="0"/>
      <w:marRight w:val="0"/>
      <w:marTop w:val="0"/>
      <w:marBottom w:val="0"/>
      <w:divBdr>
        <w:top w:val="none" w:sz="0" w:space="0" w:color="auto"/>
        <w:left w:val="none" w:sz="0" w:space="0" w:color="auto"/>
        <w:bottom w:val="none" w:sz="0" w:space="0" w:color="auto"/>
        <w:right w:val="none" w:sz="0" w:space="0" w:color="auto"/>
      </w:divBdr>
    </w:div>
    <w:div w:id="1902400393">
      <w:bodyDiv w:val="1"/>
      <w:marLeft w:val="0"/>
      <w:marRight w:val="0"/>
      <w:marTop w:val="0"/>
      <w:marBottom w:val="0"/>
      <w:divBdr>
        <w:top w:val="none" w:sz="0" w:space="0" w:color="auto"/>
        <w:left w:val="none" w:sz="0" w:space="0" w:color="auto"/>
        <w:bottom w:val="none" w:sz="0" w:space="0" w:color="auto"/>
        <w:right w:val="none" w:sz="0" w:space="0" w:color="auto"/>
      </w:divBdr>
    </w:div>
    <w:div w:id="1902473461">
      <w:bodyDiv w:val="1"/>
      <w:marLeft w:val="0"/>
      <w:marRight w:val="0"/>
      <w:marTop w:val="0"/>
      <w:marBottom w:val="0"/>
      <w:divBdr>
        <w:top w:val="none" w:sz="0" w:space="0" w:color="auto"/>
        <w:left w:val="none" w:sz="0" w:space="0" w:color="auto"/>
        <w:bottom w:val="none" w:sz="0" w:space="0" w:color="auto"/>
        <w:right w:val="none" w:sz="0" w:space="0" w:color="auto"/>
      </w:divBdr>
    </w:div>
    <w:div w:id="1902473775">
      <w:bodyDiv w:val="1"/>
      <w:marLeft w:val="0"/>
      <w:marRight w:val="0"/>
      <w:marTop w:val="0"/>
      <w:marBottom w:val="0"/>
      <w:divBdr>
        <w:top w:val="none" w:sz="0" w:space="0" w:color="auto"/>
        <w:left w:val="none" w:sz="0" w:space="0" w:color="auto"/>
        <w:bottom w:val="none" w:sz="0" w:space="0" w:color="auto"/>
        <w:right w:val="none" w:sz="0" w:space="0" w:color="auto"/>
      </w:divBdr>
    </w:div>
    <w:div w:id="1902474059">
      <w:bodyDiv w:val="1"/>
      <w:marLeft w:val="0"/>
      <w:marRight w:val="0"/>
      <w:marTop w:val="0"/>
      <w:marBottom w:val="0"/>
      <w:divBdr>
        <w:top w:val="none" w:sz="0" w:space="0" w:color="auto"/>
        <w:left w:val="none" w:sz="0" w:space="0" w:color="auto"/>
        <w:bottom w:val="none" w:sz="0" w:space="0" w:color="auto"/>
        <w:right w:val="none" w:sz="0" w:space="0" w:color="auto"/>
      </w:divBdr>
    </w:div>
    <w:div w:id="1902593491">
      <w:bodyDiv w:val="1"/>
      <w:marLeft w:val="0"/>
      <w:marRight w:val="0"/>
      <w:marTop w:val="0"/>
      <w:marBottom w:val="0"/>
      <w:divBdr>
        <w:top w:val="none" w:sz="0" w:space="0" w:color="auto"/>
        <w:left w:val="none" w:sz="0" w:space="0" w:color="auto"/>
        <w:bottom w:val="none" w:sz="0" w:space="0" w:color="auto"/>
        <w:right w:val="none" w:sz="0" w:space="0" w:color="auto"/>
      </w:divBdr>
    </w:div>
    <w:div w:id="1902785676">
      <w:bodyDiv w:val="1"/>
      <w:marLeft w:val="0"/>
      <w:marRight w:val="0"/>
      <w:marTop w:val="0"/>
      <w:marBottom w:val="0"/>
      <w:divBdr>
        <w:top w:val="none" w:sz="0" w:space="0" w:color="auto"/>
        <w:left w:val="none" w:sz="0" w:space="0" w:color="auto"/>
        <w:bottom w:val="none" w:sz="0" w:space="0" w:color="auto"/>
        <w:right w:val="none" w:sz="0" w:space="0" w:color="auto"/>
      </w:divBdr>
    </w:div>
    <w:div w:id="1902789647">
      <w:bodyDiv w:val="1"/>
      <w:marLeft w:val="0"/>
      <w:marRight w:val="0"/>
      <w:marTop w:val="0"/>
      <w:marBottom w:val="0"/>
      <w:divBdr>
        <w:top w:val="none" w:sz="0" w:space="0" w:color="auto"/>
        <w:left w:val="none" w:sz="0" w:space="0" w:color="auto"/>
        <w:bottom w:val="none" w:sz="0" w:space="0" w:color="auto"/>
        <w:right w:val="none" w:sz="0" w:space="0" w:color="auto"/>
      </w:divBdr>
    </w:div>
    <w:div w:id="1902903856">
      <w:bodyDiv w:val="1"/>
      <w:marLeft w:val="0"/>
      <w:marRight w:val="0"/>
      <w:marTop w:val="0"/>
      <w:marBottom w:val="0"/>
      <w:divBdr>
        <w:top w:val="none" w:sz="0" w:space="0" w:color="auto"/>
        <w:left w:val="none" w:sz="0" w:space="0" w:color="auto"/>
        <w:bottom w:val="none" w:sz="0" w:space="0" w:color="auto"/>
        <w:right w:val="none" w:sz="0" w:space="0" w:color="auto"/>
      </w:divBdr>
    </w:div>
    <w:div w:id="1902908320">
      <w:bodyDiv w:val="1"/>
      <w:marLeft w:val="0"/>
      <w:marRight w:val="0"/>
      <w:marTop w:val="0"/>
      <w:marBottom w:val="0"/>
      <w:divBdr>
        <w:top w:val="none" w:sz="0" w:space="0" w:color="auto"/>
        <w:left w:val="none" w:sz="0" w:space="0" w:color="auto"/>
        <w:bottom w:val="none" w:sz="0" w:space="0" w:color="auto"/>
        <w:right w:val="none" w:sz="0" w:space="0" w:color="auto"/>
      </w:divBdr>
    </w:div>
    <w:div w:id="1902982144">
      <w:bodyDiv w:val="1"/>
      <w:marLeft w:val="0"/>
      <w:marRight w:val="0"/>
      <w:marTop w:val="0"/>
      <w:marBottom w:val="0"/>
      <w:divBdr>
        <w:top w:val="none" w:sz="0" w:space="0" w:color="auto"/>
        <w:left w:val="none" w:sz="0" w:space="0" w:color="auto"/>
        <w:bottom w:val="none" w:sz="0" w:space="0" w:color="auto"/>
        <w:right w:val="none" w:sz="0" w:space="0" w:color="auto"/>
      </w:divBdr>
    </w:div>
    <w:div w:id="1903059949">
      <w:bodyDiv w:val="1"/>
      <w:marLeft w:val="0"/>
      <w:marRight w:val="0"/>
      <w:marTop w:val="0"/>
      <w:marBottom w:val="0"/>
      <w:divBdr>
        <w:top w:val="none" w:sz="0" w:space="0" w:color="auto"/>
        <w:left w:val="none" w:sz="0" w:space="0" w:color="auto"/>
        <w:bottom w:val="none" w:sz="0" w:space="0" w:color="auto"/>
        <w:right w:val="none" w:sz="0" w:space="0" w:color="auto"/>
      </w:divBdr>
    </w:div>
    <w:div w:id="1903131682">
      <w:bodyDiv w:val="1"/>
      <w:marLeft w:val="0"/>
      <w:marRight w:val="0"/>
      <w:marTop w:val="0"/>
      <w:marBottom w:val="0"/>
      <w:divBdr>
        <w:top w:val="none" w:sz="0" w:space="0" w:color="auto"/>
        <w:left w:val="none" w:sz="0" w:space="0" w:color="auto"/>
        <w:bottom w:val="none" w:sz="0" w:space="0" w:color="auto"/>
        <w:right w:val="none" w:sz="0" w:space="0" w:color="auto"/>
      </w:divBdr>
    </w:div>
    <w:div w:id="1903174168">
      <w:bodyDiv w:val="1"/>
      <w:marLeft w:val="0"/>
      <w:marRight w:val="0"/>
      <w:marTop w:val="0"/>
      <w:marBottom w:val="0"/>
      <w:divBdr>
        <w:top w:val="none" w:sz="0" w:space="0" w:color="auto"/>
        <w:left w:val="none" w:sz="0" w:space="0" w:color="auto"/>
        <w:bottom w:val="none" w:sz="0" w:space="0" w:color="auto"/>
        <w:right w:val="none" w:sz="0" w:space="0" w:color="auto"/>
      </w:divBdr>
    </w:div>
    <w:div w:id="1903326635">
      <w:bodyDiv w:val="1"/>
      <w:marLeft w:val="0"/>
      <w:marRight w:val="0"/>
      <w:marTop w:val="0"/>
      <w:marBottom w:val="0"/>
      <w:divBdr>
        <w:top w:val="none" w:sz="0" w:space="0" w:color="auto"/>
        <w:left w:val="none" w:sz="0" w:space="0" w:color="auto"/>
        <w:bottom w:val="none" w:sz="0" w:space="0" w:color="auto"/>
        <w:right w:val="none" w:sz="0" w:space="0" w:color="auto"/>
      </w:divBdr>
    </w:div>
    <w:div w:id="1903444295">
      <w:bodyDiv w:val="1"/>
      <w:marLeft w:val="0"/>
      <w:marRight w:val="0"/>
      <w:marTop w:val="0"/>
      <w:marBottom w:val="0"/>
      <w:divBdr>
        <w:top w:val="none" w:sz="0" w:space="0" w:color="auto"/>
        <w:left w:val="none" w:sz="0" w:space="0" w:color="auto"/>
        <w:bottom w:val="none" w:sz="0" w:space="0" w:color="auto"/>
        <w:right w:val="none" w:sz="0" w:space="0" w:color="auto"/>
      </w:divBdr>
    </w:div>
    <w:div w:id="1903522233">
      <w:bodyDiv w:val="1"/>
      <w:marLeft w:val="0"/>
      <w:marRight w:val="0"/>
      <w:marTop w:val="0"/>
      <w:marBottom w:val="0"/>
      <w:divBdr>
        <w:top w:val="none" w:sz="0" w:space="0" w:color="auto"/>
        <w:left w:val="none" w:sz="0" w:space="0" w:color="auto"/>
        <w:bottom w:val="none" w:sz="0" w:space="0" w:color="auto"/>
        <w:right w:val="none" w:sz="0" w:space="0" w:color="auto"/>
      </w:divBdr>
    </w:div>
    <w:div w:id="1903641760">
      <w:bodyDiv w:val="1"/>
      <w:marLeft w:val="0"/>
      <w:marRight w:val="0"/>
      <w:marTop w:val="0"/>
      <w:marBottom w:val="0"/>
      <w:divBdr>
        <w:top w:val="none" w:sz="0" w:space="0" w:color="auto"/>
        <w:left w:val="none" w:sz="0" w:space="0" w:color="auto"/>
        <w:bottom w:val="none" w:sz="0" w:space="0" w:color="auto"/>
        <w:right w:val="none" w:sz="0" w:space="0" w:color="auto"/>
      </w:divBdr>
    </w:div>
    <w:div w:id="1903707771">
      <w:bodyDiv w:val="1"/>
      <w:marLeft w:val="0"/>
      <w:marRight w:val="0"/>
      <w:marTop w:val="0"/>
      <w:marBottom w:val="0"/>
      <w:divBdr>
        <w:top w:val="none" w:sz="0" w:space="0" w:color="auto"/>
        <w:left w:val="none" w:sz="0" w:space="0" w:color="auto"/>
        <w:bottom w:val="none" w:sz="0" w:space="0" w:color="auto"/>
        <w:right w:val="none" w:sz="0" w:space="0" w:color="auto"/>
      </w:divBdr>
    </w:div>
    <w:div w:id="1903710734">
      <w:bodyDiv w:val="1"/>
      <w:marLeft w:val="0"/>
      <w:marRight w:val="0"/>
      <w:marTop w:val="0"/>
      <w:marBottom w:val="0"/>
      <w:divBdr>
        <w:top w:val="none" w:sz="0" w:space="0" w:color="auto"/>
        <w:left w:val="none" w:sz="0" w:space="0" w:color="auto"/>
        <w:bottom w:val="none" w:sz="0" w:space="0" w:color="auto"/>
        <w:right w:val="none" w:sz="0" w:space="0" w:color="auto"/>
      </w:divBdr>
    </w:div>
    <w:div w:id="1903784785">
      <w:bodyDiv w:val="1"/>
      <w:marLeft w:val="0"/>
      <w:marRight w:val="0"/>
      <w:marTop w:val="0"/>
      <w:marBottom w:val="0"/>
      <w:divBdr>
        <w:top w:val="none" w:sz="0" w:space="0" w:color="auto"/>
        <w:left w:val="none" w:sz="0" w:space="0" w:color="auto"/>
        <w:bottom w:val="none" w:sz="0" w:space="0" w:color="auto"/>
        <w:right w:val="none" w:sz="0" w:space="0" w:color="auto"/>
      </w:divBdr>
    </w:div>
    <w:div w:id="1903787893">
      <w:bodyDiv w:val="1"/>
      <w:marLeft w:val="0"/>
      <w:marRight w:val="0"/>
      <w:marTop w:val="0"/>
      <w:marBottom w:val="0"/>
      <w:divBdr>
        <w:top w:val="none" w:sz="0" w:space="0" w:color="auto"/>
        <w:left w:val="none" w:sz="0" w:space="0" w:color="auto"/>
        <w:bottom w:val="none" w:sz="0" w:space="0" w:color="auto"/>
        <w:right w:val="none" w:sz="0" w:space="0" w:color="auto"/>
      </w:divBdr>
    </w:div>
    <w:div w:id="1903830625">
      <w:bodyDiv w:val="1"/>
      <w:marLeft w:val="0"/>
      <w:marRight w:val="0"/>
      <w:marTop w:val="0"/>
      <w:marBottom w:val="0"/>
      <w:divBdr>
        <w:top w:val="none" w:sz="0" w:space="0" w:color="auto"/>
        <w:left w:val="none" w:sz="0" w:space="0" w:color="auto"/>
        <w:bottom w:val="none" w:sz="0" w:space="0" w:color="auto"/>
        <w:right w:val="none" w:sz="0" w:space="0" w:color="auto"/>
      </w:divBdr>
    </w:div>
    <w:div w:id="1904098492">
      <w:bodyDiv w:val="1"/>
      <w:marLeft w:val="0"/>
      <w:marRight w:val="0"/>
      <w:marTop w:val="0"/>
      <w:marBottom w:val="0"/>
      <w:divBdr>
        <w:top w:val="none" w:sz="0" w:space="0" w:color="auto"/>
        <w:left w:val="none" w:sz="0" w:space="0" w:color="auto"/>
        <w:bottom w:val="none" w:sz="0" w:space="0" w:color="auto"/>
        <w:right w:val="none" w:sz="0" w:space="0" w:color="auto"/>
      </w:divBdr>
    </w:div>
    <w:div w:id="1904101119">
      <w:bodyDiv w:val="1"/>
      <w:marLeft w:val="0"/>
      <w:marRight w:val="0"/>
      <w:marTop w:val="0"/>
      <w:marBottom w:val="0"/>
      <w:divBdr>
        <w:top w:val="none" w:sz="0" w:space="0" w:color="auto"/>
        <w:left w:val="none" w:sz="0" w:space="0" w:color="auto"/>
        <w:bottom w:val="none" w:sz="0" w:space="0" w:color="auto"/>
        <w:right w:val="none" w:sz="0" w:space="0" w:color="auto"/>
      </w:divBdr>
    </w:div>
    <w:div w:id="1904214501">
      <w:bodyDiv w:val="1"/>
      <w:marLeft w:val="0"/>
      <w:marRight w:val="0"/>
      <w:marTop w:val="0"/>
      <w:marBottom w:val="0"/>
      <w:divBdr>
        <w:top w:val="none" w:sz="0" w:space="0" w:color="auto"/>
        <w:left w:val="none" w:sz="0" w:space="0" w:color="auto"/>
        <w:bottom w:val="none" w:sz="0" w:space="0" w:color="auto"/>
        <w:right w:val="none" w:sz="0" w:space="0" w:color="auto"/>
      </w:divBdr>
    </w:div>
    <w:div w:id="1904245052">
      <w:bodyDiv w:val="1"/>
      <w:marLeft w:val="0"/>
      <w:marRight w:val="0"/>
      <w:marTop w:val="0"/>
      <w:marBottom w:val="0"/>
      <w:divBdr>
        <w:top w:val="none" w:sz="0" w:space="0" w:color="auto"/>
        <w:left w:val="none" w:sz="0" w:space="0" w:color="auto"/>
        <w:bottom w:val="none" w:sz="0" w:space="0" w:color="auto"/>
        <w:right w:val="none" w:sz="0" w:space="0" w:color="auto"/>
      </w:divBdr>
    </w:div>
    <w:div w:id="1904366216">
      <w:bodyDiv w:val="1"/>
      <w:marLeft w:val="0"/>
      <w:marRight w:val="0"/>
      <w:marTop w:val="0"/>
      <w:marBottom w:val="0"/>
      <w:divBdr>
        <w:top w:val="none" w:sz="0" w:space="0" w:color="auto"/>
        <w:left w:val="none" w:sz="0" w:space="0" w:color="auto"/>
        <w:bottom w:val="none" w:sz="0" w:space="0" w:color="auto"/>
        <w:right w:val="none" w:sz="0" w:space="0" w:color="auto"/>
      </w:divBdr>
    </w:div>
    <w:div w:id="1904440408">
      <w:bodyDiv w:val="1"/>
      <w:marLeft w:val="0"/>
      <w:marRight w:val="0"/>
      <w:marTop w:val="0"/>
      <w:marBottom w:val="0"/>
      <w:divBdr>
        <w:top w:val="none" w:sz="0" w:space="0" w:color="auto"/>
        <w:left w:val="none" w:sz="0" w:space="0" w:color="auto"/>
        <w:bottom w:val="none" w:sz="0" w:space="0" w:color="auto"/>
        <w:right w:val="none" w:sz="0" w:space="0" w:color="auto"/>
      </w:divBdr>
    </w:div>
    <w:div w:id="1904486789">
      <w:bodyDiv w:val="1"/>
      <w:marLeft w:val="0"/>
      <w:marRight w:val="0"/>
      <w:marTop w:val="0"/>
      <w:marBottom w:val="0"/>
      <w:divBdr>
        <w:top w:val="none" w:sz="0" w:space="0" w:color="auto"/>
        <w:left w:val="none" w:sz="0" w:space="0" w:color="auto"/>
        <w:bottom w:val="none" w:sz="0" w:space="0" w:color="auto"/>
        <w:right w:val="none" w:sz="0" w:space="0" w:color="auto"/>
      </w:divBdr>
    </w:div>
    <w:div w:id="1904677375">
      <w:bodyDiv w:val="1"/>
      <w:marLeft w:val="0"/>
      <w:marRight w:val="0"/>
      <w:marTop w:val="0"/>
      <w:marBottom w:val="0"/>
      <w:divBdr>
        <w:top w:val="none" w:sz="0" w:space="0" w:color="auto"/>
        <w:left w:val="none" w:sz="0" w:space="0" w:color="auto"/>
        <w:bottom w:val="none" w:sz="0" w:space="0" w:color="auto"/>
        <w:right w:val="none" w:sz="0" w:space="0" w:color="auto"/>
      </w:divBdr>
    </w:div>
    <w:div w:id="1904680205">
      <w:bodyDiv w:val="1"/>
      <w:marLeft w:val="0"/>
      <w:marRight w:val="0"/>
      <w:marTop w:val="0"/>
      <w:marBottom w:val="0"/>
      <w:divBdr>
        <w:top w:val="none" w:sz="0" w:space="0" w:color="auto"/>
        <w:left w:val="none" w:sz="0" w:space="0" w:color="auto"/>
        <w:bottom w:val="none" w:sz="0" w:space="0" w:color="auto"/>
        <w:right w:val="none" w:sz="0" w:space="0" w:color="auto"/>
      </w:divBdr>
    </w:div>
    <w:div w:id="1904758957">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4944374">
      <w:bodyDiv w:val="1"/>
      <w:marLeft w:val="0"/>
      <w:marRight w:val="0"/>
      <w:marTop w:val="0"/>
      <w:marBottom w:val="0"/>
      <w:divBdr>
        <w:top w:val="none" w:sz="0" w:space="0" w:color="auto"/>
        <w:left w:val="none" w:sz="0" w:space="0" w:color="auto"/>
        <w:bottom w:val="none" w:sz="0" w:space="0" w:color="auto"/>
        <w:right w:val="none" w:sz="0" w:space="0" w:color="auto"/>
      </w:divBdr>
    </w:div>
    <w:div w:id="1904945222">
      <w:bodyDiv w:val="1"/>
      <w:marLeft w:val="0"/>
      <w:marRight w:val="0"/>
      <w:marTop w:val="0"/>
      <w:marBottom w:val="0"/>
      <w:divBdr>
        <w:top w:val="none" w:sz="0" w:space="0" w:color="auto"/>
        <w:left w:val="none" w:sz="0" w:space="0" w:color="auto"/>
        <w:bottom w:val="none" w:sz="0" w:space="0" w:color="auto"/>
        <w:right w:val="none" w:sz="0" w:space="0" w:color="auto"/>
      </w:divBdr>
    </w:div>
    <w:div w:id="1905019106">
      <w:bodyDiv w:val="1"/>
      <w:marLeft w:val="0"/>
      <w:marRight w:val="0"/>
      <w:marTop w:val="0"/>
      <w:marBottom w:val="0"/>
      <w:divBdr>
        <w:top w:val="none" w:sz="0" w:space="0" w:color="auto"/>
        <w:left w:val="none" w:sz="0" w:space="0" w:color="auto"/>
        <w:bottom w:val="none" w:sz="0" w:space="0" w:color="auto"/>
        <w:right w:val="none" w:sz="0" w:space="0" w:color="auto"/>
      </w:divBdr>
    </w:div>
    <w:div w:id="1905023278">
      <w:bodyDiv w:val="1"/>
      <w:marLeft w:val="0"/>
      <w:marRight w:val="0"/>
      <w:marTop w:val="0"/>
      <w:marBottom w:val="0"/>
      <w:divBdr>
        <w:top w:val="none" w:sz="0" w:space="0" w:color="auto"/>
        <w:left w:val="none" w:sz="0" w:space="0" w:color="auto"/>
        <w:bottom w:val="none" w:sz="0" w:space="0" w:color="auto"/>
        <w:right w:val="none" w:sz="0" w:space="0" w:color="auto"/>
      </w:divBdr>
    </w:div>
    <w:div w:id="1905214159">
      <w:bodyDiv w:val="1"/>
      <w:marLeft w:val="0"/>
      <w:marRight w:val="0"/>
      <w:marTop w:val="0"/>
      <w:marBottom w:val="0"/>
      <w:divBdr>
        <w:top w:val="none" w:sz="0" w:space="0" w:color="auto"/>
        <w:left w:val="none" w:sz="0" w:space="0" w:color="auto"/>
        <w:bottom w:val="none" w:sz="0" w:space="0" w:color="auto"/>
        <w:right w:val="none" w:sz="0" w:space="0" w:color="auto"/>
      </w:divBdr>
    </w:div>
    <w:div w:id="1905218425">
      <w:bodyDiv w:val="1"/>
      <w:marLeft w:val="0"/>
      <w:marRight w:val="0"/>
      <w:marTop w:val="0"/>
      <w:marBottom w:val="0"/>
      <w:divBdr>
        <w:top w:val="none" w:sz="0" w:space="0" w:color="auto"/>
        <w:left w:val="none" w:sz="0" w:space="0" w:color="auto"/>
        <w:bottom w:val="none" w:sz="0" w:space="0" w:color="auto"/>
        <w:right w:val="none" w:sz="0" w:space="0" w:color="auto"/>
      </w:divBdr>
    </w:div>
    <w:div w:id="1905288796">
      <w:bodyDiv w:val="1"/>
      <w:marLeft w:val="0"/>
      <w:marRight w:val="0"/>
      <w:marTop w:val="0"/>
      <w:marBottom w:val="0"/>
      <w:divBdr>
        <w:top w:val="none" w:sz="0" w:space="0" w:color="auto"/>
        <w:left w:val="none" w:sz="0" w:space="0" w:color="auto"/>
        <w:bottom w:val="none" w:sz="0" w:space="0" w:color="auto"/>
        <w:right w:val="none" w:sz="0" w:space="0" w:color="auto"/>
      </w:divBdr>
    </w:div>
    <w:div w:id="1905292346">
      <w:bodyDiv w:val="1"/>
      <w:marLeft w:val="0"/>
      <w:marRight w:val="0"/>
      <w:marTop w:val="0"/>
      <w:marBottom w:val="0"/>
      <w:divBdr>
        <w:top w:val="none" w:sz="0" w:space="0" w:color="auto"/>
        <w:left w:val="none" w:sz="0" w:space="0" w:color="auto"/>
        <w:bottom w:val="none" w:sz="0" w:space="0" w:color="auto"/>
        <w:right w:val="none" w:sz="0" w:space="0" w:color="auto"/>
      </w:divBdr>
    </w:div>
    <w:div w:id="1905413175">
      <w:bodyDiv w:val="1"/>
      <w:marLeft w:val="0"/>
      <w:marRight w:val="0"/>
      <w:marTop w:val="0"/>
      <w:marBottom w:val="0"/>
      <w:divBdr>
        <w:top w:val="none" w:sz="0" w:space="0" w:color="auto"/>
        <w:left w:val="none" w:sz="0" w:space="0" w:color="auto"/>
        <w:bottom w:val="none" w:sz="0" w:space="0" w:color="auto"/>
        <w:right w:val="none" w:sz="0" w:space="0" w:color="auto"/>
      </w:divBdr>
    </w:div>
    <w:div w:id="1905525798">
      <w:bodyDiv w:val="1"/>
      <w:marLeft w:val="0"/>
      <w:marRight w:val="0"/>
      <w:marTop w:val="0"/>
      <w:marBottom w:val="0"/>
      <w:divBdr>
        <w:top w:val="none" w:sz="0" w:space="0" w:color="auto"/>
        <w:left w:val="none" w:sz="0" w:space="0" w:color="auto"/>
        <w:bottom w:val="none" w:sz="0" w:space="0" w:color="auto"/>
        <w:right w:val="none" w:sz="0" w:space="0" w:color="auto"/>
      </w:divBdr>
    </w:div>
    <w:div w:id="1905599143">
      <w:bodyDiv w:val="1"/>
      <w:marLeft w:val="0"/>
      <w:marRight w:val="0"/>
      <w:marTop w:val="0"/>
      <w:marBottom w:val="0"/>
      <w:divBdr>
        <w:top w:val="none" w:sz="0" w:space="0" w:color="auto"/>
        <w:left w:val="none" w:sz="0" w:space="0" w:color="auto"/>
        <w:bottom w:val="none" w:sz="0" w:space="0" w:color="auto"/>
        <w:right w:val="none" w:sz="0" w:space="0" w:color="auto"/>
      </w:divBdr>
    </w:div>
    <w:div w:id="1905676548">
      <w:bodyDiv w:val="1"/>
      <w:marLeft w:val="0"/>
      <w:marRight w:val="0"/>
      <w:marTop w:val="0"/>
      <w:marBottom w:val="0"/>
      <w:divBdr>
        <w:top w:val="none" w:sz="0" w:space="0" w:color="auto"/>
        <w:left w:val="none" w:sz="0" w:space="0" w:color="auto"/>
        <w:bottom w:val="none" w:sz="0" w:space="0" w:color="auto"/>
        <w:right w:val="none" w:sz="0" w:space="0" w:color="auto"/>
      </w:divBdr>
    </w:div>
    <w:div w:id="1905680428">
      <w:bodyDiv w:val="1"/>
      <w:marLeft w:val="0"/>
      <w:marRight w:val="0"/>
      <w:marTop w:val="0"/>
      <w:marBottom w:val="0"/>
      <w:divBdr>
        <w:top w:val="none" w:sz="0" w:space="0" w:color="auto"/>
        <w:left w:val="none" w:sz="0" w:space="0" w:color="auto"/>
        <w:bottom w:val="none" w:sz="0" w:space="0" w:color="auto"/>
        <w:right w:val="none" w:sz="0" w:space="0" w:color="auto"/>
      </w:divBdr>
    </w:div>
    <w:div w:id="1905723684">
      <w:bodyDiv w:val="1"/>
      <w:marLeft w:val="0"/>
      <w:marRight w:val="0"/>
      <w:marTop w:val="0"/>
      <w:marBottom w:val="0"/>
      <w:divBdr>
        <w:top w:val="none" w:sz="0" w:space="0" w:color="auto"/>
        <w:left w:val="none" w:sz="0" w:space="0" w:color="auto"/>
        <w:bottom w:val="none" w:sz="0" w:space="0" w:color="auto"/>
        <w:right w:val="none" w:sz="0" w:space="0" w:color="auto"/>
      </w:divBdr>
    </w:div>
    <w:div w:id="1905793937">
      <w:bodyDiv w:val="1"/>
      <w:marLeft w:val="0"/>
      <w:marRight w:val="0"/>
      <w:marTop w:val="0"/>
      <w:marBottom w:val="0"/>
      <w:divBdr>
        <w:top w:val="none" w:sz="0" w:space="0" w:color="auto"/>
        <w:left w:val="none" w:sz="0" w:space="0" w:color="auto"/>
        <w:bottom w:val="none" w:sz="0" w:space="0" w:color="auto"/>
        <w:right w:val="none" w:sz="0" w:space="0" w:color="auto"/>
      </w:divBdr>
    </w:div>
    <w:div w:id="1905796275">
      <w:bodyDiv w:val="1"/>
      <w:marLeft w:val="0"/>
      <w:marRight w:val="0"/>
      <w:marTop w:val="0"/>
      <w:marBottom w:val="0"/>
      <w:divBdr>
        <w:top w:val="none" w:sz="0" w:space="0" w:color="auto"/>
        <w:left w:val="none" w:sz="0" w:space="0" w:color="auto"/>
        <w:bottom w:val="none" w:sz="0" w:space="0" w:color="auto"/>
        <w:right w:val="none" w:sz="0" w:space="0" w:color="auto"/>
      </w:divBdr>
    </w:div>
    <w:div w:id="1905800759">
      <w:bodyDiv w:val="1"/>
      <w:marLeft w:val="0"/>
      <w:marRight w:val="0"/>
      <w:marTop w:val="0"/>
      <w:marBottom w:val="0"/>
      <w:divBdr>
        <w:top w:val="none" w:sz="0" w:space="0" w:color="auto"/>
        <w:left w:val="none" w:sz="0" w:space="0" w:color="auto"/>
        <w:bottom w:val="none" w:sz="0" w:space="0" w:color="auto"/>
        <w:right w:val="none" w:sz="0" w:space="0" w:color="auto"/>
      </w:divBdr>
    </w:div>
    <w:div w:id="1905800938">
      <w:bodyDiv w:val="1"/>
      <w:marLeft w:val="0"/>
      <w:marRight w:val="0"/>
      <w:marTop w:val="0"/>
      <w:marBottom w:val="0"/>
      <w:divBdr>
        <w:top w:val="none" w:sz="0" w:space="0" w:color="auto"/>
        <w:left w:val="none" w:sz="0" w:space="0" w:color="auto"/>
        <w:bottom w:val="none" w:sz="0" w:space="0" w:color="auto"/>
        <w:right w:val="none" w:sz="0" w:space="0" w:color="auto"/>
      </w:divBdr>
    </w:div>
    <w:div w:id="1905867191">
      <w:bodyDiv w:val="1"/>
      <w:marLeft w:val="0"/>
      <w:marRight w:val="0"/>
      <w:marTop w:val="0"/>
      <w:marBottom w:val="0"/>
      <w:divBdr>
        <w:top w:val="none" w:sz="0" w:space="0" w:color="auto"/>
        <w:left w:val="none" w:sz="0" w:space="0" w:color="auto"/>
        <w:bottom w:val="none" w:sz="0" w:space="0" w:color="auto"/>
        <w:right w:val="none" w:sz="0" w:space="0" w:color="auto"/>
      </w:divBdr>
    </w:div>
    <w:div w:id="1905872760">
      <w:bodyDiv w:val="1"/>
      <w:marLeft w:val="0"/>
      <w:marRight w:val="0"/>
      <w:marTop w:val="0"/>
      <w:marBottom w:val="0"/>
      <w:divBdr>
        <w:top w:val="none" w:sz="0" w:space="0" w:color="auto"/>
        <w:left w:val="none" w:sz="0" w:space="0" w:color="auto"/>
        <w:bottom w:val="none" w:sz="0" w:space="0" w:color="auto"/>
        <w:right w:val="none" w:sz="0" w:space="0" w:color="auto"/>
      </w:divBdr>
    </w:div>
    <w:div w:id="1905874497">
      <w:bodyDiv w:val="1"/>
      <w:marLeft w:val="0"/>
      <w:marRight w:val="0"/>
      <w:marTop w:val="0"/>
      <w:marBottom w:val="0"/>
      <w:divBdr>
        <w:top w:val="none" w:sz="0" w:space="0" w:color="auto"/>
        <w:left w:val="none" w:sz="0" w:space="0" w:color="auto"/>
        <w:bottom w:val="none" w:sz="0" w:space="0" w:color="auto"/>
        <w:right w:val="none" w:sz="0" w:space="0" w:color="auto"/>
      </w:divBdr>
    </w:div>
    <w:div w:id="1905948833">
      <w:bodyDiv w:val="1"/>
      <w:marLeft w:val="0"/>
      <w:marRight w:val="0"/>
      <w:marTop w:val="0"/>
      <w:marBottom w:val="0"/>
      <w:divBdr>
        <w:top w:val="none" w:sz="0" w:space="0" w:color="auto"/>
        <w:left w:val="none" w:sz="0" w:space="0" w:color="auto"/>
        <w:bottom w:val="none" w:sz="0" w:space="0" w:color="auto"/>
        <w:right w:val="none" w:sz="0" w:space="0" w:color="auto"/>
      </w:divBdr>
    </w:div>
    <w:div w:id="1905949558">
      <w:bodyDiv w:val="1"/>
      <w:marLeft w:val="0"/>
      <w:marRight w:val="0"/>
      <w:marTop w:val="0"/>
      <w:marBottom w:val="0"/>
      <w:divBdr>
        <w:top w:val="none" w:sz="0" w:space="0" w:color="auto"/>
        <w:left w:val="none" w:sz="0" w:space="0" w:color="auto"/>
        <w:bottom w:val="none" w:sz="0" w:space="0" w:color="auto"/>
        <w:right w:val="none" w:sz="0" w:space="0" w:color="auto"/>
      </w:divBdr>
    </w:div>
    <w:div w:id="1905989305">
      <w:bodyDiv w:val="1"/>
      <w:marLeft w:val="0"/>
      <w:marRight w:val="0"/>
      <w:marTop w:val="0"/>
      <w:marBottom w:val="0"/>
      <w:divBdr>
        <w:top w:val="none" w:sz="0" w:space="0" w:color="auto"/>
        <w:left w:val="none" w:sz="0" w:space="0" w:color="auto"/>
        <w:bottom w:val="none" w:sz="0" w:space="0" w:color="auto"/>
        <w:right w:val="none" w:sz="0" w:space="0" w:color="auto"/>
      </w:divBdr>
    </w:div>
    <w:div w:id="1905991839">
      <w:bodyDiv w:val="1"/>
      <w:marLeft w:val="0"/>
      <w:marRight w:val="0"/>
      <w:marTop w:val="0"/>
      <w:marBottom w:val="0"/>
      <w:divBdr>
        <w:top w:val="none" w:sz="0" w:space="0" w:color="auto"/>
        <w:left w:val="none" w:sz="0" w:space="0" w:color="auto"/>
        <w:bottom w:val="none" w:sz="0" w:space="0" w:color="auto"/>
        <w:right w:val="none" w:sz="0" w:space="0" w:color="auto"/>
      </w:divBdr>
    </w:div>
    <w:div w:id="1906062486">
      <w:bodyDiv w:val="1"/>
      <w:marLeft w:val="0"/>
      <w:marRight w:val="0"/>
      <w:marTop w:val="0"/>
      <w:marBottom w:val="0"/>
      <w:divBdr>
        <w:top w:val="none" w:sz="0" w:space="0" w:color="auto"/>
        <w:left w:val="none" w:sz="0" w:space="0" w:color="auto"/>
        <w:bottom w:val="none" w:sz="0" w:space="0" w:color="auto"/>
        <w:right w:val="none" w:sz="0" w:space="0" w:color="auto"/>
      </w:divBdr>
    </w:div>
    <w:div w:id="1906138302">
      <w:bodyDiv w:val="1"/>
      <w:marLeft w:val="0"/>
      <w:marRight w:val="0"/>
      <w:marTop w:val="0"/>
      <w:marBottom w:val="0"/>
      <w:divBdr>
        <w:top w:val="none" w:sz="0" w:space="0" w:color="auto"/>
        <w:left w:val="none" w:sz="0" w:space="0" w:color="auto"/>
        <w:bottom w:val="none" w:sz="0" w:space="0" w:color="auto"/>
        <w:right w:val="none" w:sz="0" w:space="0" w:color="auto"/>
      </w:divBdr>
    </w:div>
    <w:div w:id="1906337633">
      <w:bodyDiv w:val="1"/>
      <w:marLeft w:val="0"/>
      <w:marRight w:val="0"/>
      <w:marTop w:val="0"/>
      <w:marBottom w:val="0"/>
      <w:divBdr>
        <w:top w:val="none" w:sz="0" w:space="0" w:color="auto"/>
        <w:left w:val="none" w:sz="0" w:space="0" w:color="auto"/>
        <w:bottom w:val="none" w:sz="0" w:space="0" w:color="auto"/>
        <w:right w:val="none" w:sz="0" w:space="0" w:color="auto"/>
      </w:divBdr>
    </w:div>
    <w:div w:id="1906603139">
      <w:bodyDiv w:val="1"/>
      <w:marLeft w:val="0"/>
      <w:marRight w:val="0"/>
      <w:marTop w:val="0"/>
      <w:marBottom w:val="0"/>
      <w:divBdr>
        <w:top w:val="none" w:sz="0" w:space="0" w:color="auto"/>
        <w:left w:val="none" w:sz="0" w:space="0" w:color="auto"/>
        <w:bottom w:val="none" w:sz="0" w:space="0" w:color="auto"/>
        <w:right w:val="none" w:sz="0" w:space="0" w:color="auto"/>
      </w:divBdr>
    </w:div>
    <w:div w:id="1906604196">
      <w:bodyDiv w:val="1"/>
      <w:marLeft w:val="0"/>
      <w:marRight w:val="0"/>
      <w:marTop w:val="0"/>
      <w:marBottom w:val="0"/>
      <w:divBdr>
        <w:top w:val="none" w:sz="0" w:space="0" w:color="auto"/>
        <w:left w:val="none" w:sz="0" w:space="0" w:color="auto"/>
        <w:bottom w:val="none" w:sz="0" w:space="0" w:color="auto"/>
        <w:right w:val="none" w:sz="0" w:space="0" w:color="auto"/>
      </w:divBdr>
    </w:div>
    <w:div w:id="1906648284">
      <w:bodyDiv w:val="1"/>
      <w:marLeft w:val="0"/>
      <w:marRight w:val="0"/>
      <w:marTop w:val="0"/>
      <w:marBottom w:val="0"/>
      <w:divBdr>
        <w:top w:val="none" w:sz="0" w:space="0" w:color="auto"/>
        <w:left w:val="none" w:sz="0" w:space="0" w:color="auto"/>
        <w:bottom w:val="none" w:sz="0" w:space="0" w:color="auto"/>
        <w:right w:val="none" w:sz="0" w:space="0" w:color="auto"/>
      </w:divBdr>
    </w:div>
    <w:div w:id="1906715417">
      <w:bodyDiv w:val="1"/>
      <w:marLeft w:val="0"/>
      <w:marRight w:val="0"/>
      <w:marTop w:val="0"/>
      <w:marBottom w:val="0"/>
      <w:divBdr>
        <w:top w:val="none" w:sz="0" w:space="0" w:color="auto"/>
        <w:left w:val="none" w:sz="0" w:space="0" w:color="auto"/>
        <w:bottom w:val="none" w:sz="0" w:space="0" w:color="auto"/>
        <w:right w:val="none" w:sz="0" w:space="0" w:color="auto"/>
      </w:divBdr>
    </w:div>
    <w:div w:id="1906800103">
      <w:bodyDiv w:val="1"/>
      <w:marLeft w:val="0"/>
      <w:marRight w:val="0"/>
      <w:marTop w:val="0"/>
      <w:marBottom w:val="0"/>
      <w:divBdr>
        <w:top w:val="none" w:sz="0" w:space="0" w:color="auto"/>
        <w:left w:val="none" w:sz="0" w:space="0" w:color="auto"/>
        <w:bottom w:val="none" w:sz="0" w:space="0" w:color="auto"/>
        <w:right w:val="none" w:sz="0" w:space="0" w:color="auto"/>
      </w:divBdr>
    </w:div>
    <w:div w:id="1906838328">
      <w:bodyDiv w:val="1"/>
      <w:marLeft w:val="0"/>
      <w:marRight w:val="0"/>
      <w:marTop w:val="0"/>
      <w:marBottom w:val="0"/>
      <w:divBdr>
        <w:top w:val="none" w:sz="0" w:space="0" w:color="auto"/>
        <w:left w:val="none" w:sz="0" w:space="0" w:color="auto"/>
        <w:bottom w:val="none" w:sz="0" w:space="0" w:color="auto"/>
        <w:right w:val="none" w:sz="0" w:space="0" w:color="auto"/>
      </w:divBdr>
    </w:div>
    <w:div w:id="1906866975">
      <w:bodyDiv w:val="1"/>
      <w:marLeft w:val="0"/>
      <w:marRight w:val="0"/>
      <w:marTop w:val="0"/>
      <w:marBottom w:val="0"/>
      <w:divBdr>
        <w:top w:val="none" w:sz="0" w:space="0" w:color="auto"/>
        <w:left w:val="none" w:sz="0" w:space="0" w:color="auto"/>
        <w:bottom w:val="none" w:sz="0" w:space="0" w:color="auto"/>
        <w:right w:val="none" w:sz="0" w:space="0" w:color="auto"/>
      </w:divBdr>
    </w:div>
    <w:div w:id="1906918062">
      <w:bodyDiv w:val="1"/>
      <w:marLeft w:val="0"/>
      <w:marRight w:val="0"/>
      <w:marTop w:val="0"/>
      <w:marBottom w:val="0"/>
      <w:divBdr>
        <w:top w:val="none" w:sz="0" w:space="0" w:color="auto"/>
        <w:left w:val="none" w:sz="0" w:space="0" w:color="auto"/>
        <w:bottom w:val="none" w:sz="0" w:space="0" w:color="auto"/>
        <w:right w:val="none" w:sz="0" w:space="0" w:color="auto"/>
      </w:divBdr>
    </w:div>
    <w:div w:id="1907060492">
      <w:bodyDiv w:val="1"/>
      <w:marLeft w:val="0"/>
      <w:marRight w:val="0"/>
      <w:marTop w:val="0"/>
      <w:marBottom w:val="0"/>
      <w:divBdr>
        <w:top w:val="none" w:sz="0" w:space="0" w:color="auto"/>
        <w:left w:val="none" w:sz="0" w:space="0" w:color="auto"/>
        <w:bottom w:val="none" w:sz="0" w:space="0" w:color="auto"/>
        <w:right w:val="none" w:sz="0" w:space="0" w:color="auto"/>
      </w:divBdr>
    </w:div>
    <w:div w:id="1907105947">
      <w:bodyDiv w:val="1"/>
      <w:marLeft w:val="0"/>
      <w:marRight w:val="0"/>
      <w:marTop w:val="0"/>
      <w:marBottom w:val="0"/>
      <w:divBdr>
        <w:top w:val="none" w:sz="0" w:space="0" w:color="auto"/>
        <w:left w:val="none" w:sz="0" w:space="0" w:color="auto"/>
        <w:bottom w:val="none" w:sz="0" w:space="0" w:color="auto"/>
        <w:right w:val="none" w:sz="0" w:space="0" w:color="auto"/>
      </w:divBdr>
    </w:div>
    <w:div w:id="1907108596">
      <w:bodyDiv w:val="1"/>
      <w:marLeft w:val="0"/>
      <w:marRight w:val="0"/>
      <w:marTop w:val="0"/>
      <w:marBottom w:val="0"/>
      <w:divBdr>
        <w:top w:val="none" w:sz="0" w:space="0" w:color="auto"/>
        <w:left w:val="none" w:sz="0" w:space="0" w:color="auto"/>
        <w:bottom w:val="none" w:sz="0" w:space="0" w:color="auto"/>
        <w:right w:val="none" w:sz="0" w:space="0" w:color="auto"/>
      </w:divBdr>
    </w:div>
    <w:div w:id="1907181450">
      <w:bodyDiv w:val="1"/>
      <w:marLeft w:val="0"/>
      <w:marRight w:val="0"/>
      <w:marTop w:val="0"/>
      <w:marBottom w:val="0"/>
      <w:divBdr>
        <w:top w:val="none" w:sz="0" w:space="0" w:color="auto"/>
        <w:left w:val="none" w:sz="0" w:space="0" w:color="auto"/>
        <w:bottom w:val="none" w:sz="0" w:space="0" w:color="auto"/>
        <w:right w:val="none" w:sz="0" w:space="0" w:color="auto"/>
      </w:divBdr>
    </w:div>
    <w:div w:id="1907182516">
      <w:bodyDiv w:val="1"/>
      <w:marLeft w:val="0"/>
      <w:marRight w:val="0"/>
      <w:marTop w:val="0"/>
      <w:marBottom w:val="0"/>
      <w:divBdr>
        <w:top w:val="none" w:sz="0" w:space="0" w:color="auto"/>
        <w:left w:val="none" w:sz="0" w:space="0" w:color="auto"/>
        <w:bottom w:val="none" w:sz="0" w:space="0" w:color="auto"/>
        <w:right w:val="none" w:sz="0" w:space="0" w:color="auto"/>
      </w:divBdr>
    </w:div>
    <w:div w:id="1907255022">
      <w:bodyDiv w:val="1"/>
      <w:marLeft w:val="0"/>
      <w:marRight w:val="0"/>
      <w:marTop w:val="0"/>
      <w:marBottom w:val="0"/>
      <w:divBdr>
        <w:top w:val="none" w:sz="0" w:space="0" w:color="auto"/>
        <w:left w:val="none" w:sz="0" w:space="0" w:color="auto"/>
        <w:bottom w:val="none" w:sz="0" w:space="0" w:color="auto"/>
        <w:right w:val="none" w:sz="0" w:space="0" w:color="auto"/>
      </w:divBdr>
    </w:div>
    <w:div w:id="1907257119">
      <w:bodyDiv w:val="1"/>
      <w:marLeft w:val="0"/>
      <w:marRight w:val="0"/>
      <w:marTop w:val="0"/>
      <w:marBottom w:val="0"/>
      <w:divBdr>
        <w:top w:val="none" w:sz="0" w:space="0" w:color="auto"/>
        <w:left w:val="none" w:sz="0" w:space="0" w:color="auto"/>
        <w:bottom w:val="none" w:sz="0" w:space="0" w:color="auto"/>
        <w:right w:val="none" w:sz="0" w:space="0" w:color="auto"/>
      </w:divBdr>
    </w:div>
    <w:div w:id="1907298755">
      <w:bodyDiv w:val="1"/>
      <w:marLeft w:val="0"/>
      <w:marRight w:val="0"/>
      <w:marTop w:val="0"/>
      <w:marBottom w:val="0"/>
      <w:divBdr>
        <w:top w:val="none" w:sz="0" w:space="0" w:color="auto"/>
        <w:left w:val="none" w:sz="0" w:space="0" w:color="auto"/>
        <w:bottom w:val="none" w:sz="0" w:space="0" w:color="auto"/>
        <w:right w:val="none" w:sz="0" w:space="0" w:color="auto"/>
      </w:divBdr>
    </w:div>
    <w:div w:id="1907371863">
      <w:bodyDiv w:val="1"/>
      <w:marLeft w:val="0"/>
      <w:marRight w:val="0"/>
      <w:marTop w:val="0"/>
      <w:marBottom w:val="0"/>
      <w:divBdr>
        <w:top w:val="none" w:sz="0" w:space="0" w:color="auto"/>
        <w:left w:val="none" w:sz="0" w:space="0" w:color="auto"/>
        <w:bottom w:val="none" w:sz="0" w:space="0" w:color="auto"/>
        <w:right w:val="none" w:sz="0" w:space="0" w:color="auto"/>
      </w:divBdr>
    </w:div>
    <w:div w:id="1907497387">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07757494">
      <w:bodyDiv w:val="1"/>
      <w:marLeft w:val="0"/>
      <w:marRight w:val="0"/>
      <w:marTop w:val="0"/>
      <w:marBottom w:val="0"/>
      <w:divBdr>
        <w:top w:val="none" w:sz="0" w:space="0" w:color="auto"/>
        <w:left w:val="none" w:sz="0" w:space="0" w:color="auto"/>
        <w:bottom w:val="none" w:sz="0" w:space="0" w:color="auto"/>
        <w:right w:val="none" w:sz="0" w:space="0" w:color="auto"/>
      </w:divBdr>
    </w:div>
    <w:div w:id="1907833367">
      <w:bodyDiv w:val="1"/>
      <w:marLeft w:val="0"/>
      <w:marRight w:val="0"/>
      <w:marTop w:val="0"/>
      <w:marBottom w:val="0"/>
      <w:divBdr>
        <w:top w:val="none" w:sz="0" w:space="0" w:color="auto"/>
        <w:left w:val="none" w:sz="0" w:space="0" w:color="auto"/>
        <w:bottom w:val="none" w:sz="0" w:space="0" w:color="auto"/>
        <w:right w:val="none" w:sz="0" w:space="0" w:color="auto"/>
      </w:divBdr>
    </w:div>
    <w:div w:id="1907907892">
      <w:bodyDiv w:val="1"/>
      <w:marLeft w:val="0"/>
      <w:marRight w:val="0"/>
      <w:marTop w:val="0"/>
      <w:marBottom w:val="0"/>
      <w:divBdr>
        <w:top w:val="none" w:sz="0" w:space="0" w:color="auto"/>
        <w:left w:val="none" w:sz="0" w:space="0" w:color="auto"/>
        <w:bottom w:val="none" w:sz="0" w:space="0" w:color="auto"/>
        <w:right w:val="none" w:sz="0" w:space="0" w:color="auto"/>
      </w:divBdr>
    </w:div>
    <w:div w:id="1907951825">
      <w:bodyDiv w:val="1"/>
      <w:marLeft w:val="0"/>
      <w:marRight w:val="0"/>
      <w:marTop w:val="0"/>
      <w:marBottom w:val="0"/>
      <w:divBdr>
        <w:top w:val="none" w:sz="0" w:space="0" w:color="auto"/>
        <w:left w:val="none" w:sz="0" w:space="0" w:color="auto"/>
        <w:bottom w:val="none" w:sz="0" w:space="0" w:color="auto"/>
        <w:right w:val="none" w:sz="0" w:space="0" w:color="auto"/>
      </w:divBdr>
    </w:div>
    <w:div w:id="1907958132">
      <w:bodyDiv w:val="1"/>
      <w:marLeft w:val="0"/>
      <w:marRight w:val="0"/>
      <w:marTop w:val="0"/>
      <w:marBottom w:val="0"/>
      <w:divBdr>
        <w:top w:val="none" w:sz="0" w:space="0" w:color="auto"/>
        <w:left w:val="none" w:sz="0" w:space="0" w:color="auto"/>
        <w:bottom w:val="none" w:sz="0" w:space="0" w:color="auto"/>
        <w:right w:val="none" w:sz="0" w:space="0" w:color="auto"/>
      </w:divBdr>
    </w:div>
    <w:div w:id="1908101287">
      <w:bodyDiv w:val="1"/>
      <w:marLeft w:val="0"/>
      <w:marRight w:val="0"/>
      <w:marTop w:val="0"/>
      <w:marBottom w:val="0"/>
      <w:divBdr>
        <w:top w:val="none" w:sz="0" w:space="0" w:color="auto"/>
        <w:left w:val="none" w:sz="0" w:space="0" w:color="auto"/>
        <w:bottom w:val="none" w:sz="0" w:space="0" w:color="auto"/>
        <w:right w:val="none" w:sz="0" w:space="0" w:color="auto"/>
      </w:divBdr>
    </w:div>
    <w:div w:id="1908146532">
      <w:bodyDiv w:val="1"/>
      <w:marLeft w:val="0"/>
      <w:marRight w:val="0"/>
      <w:marTop w:val="0"/>
      <w:marBottom w:val="0"/>
      <w:divBdr>
        <w:top w:val="none" w:sz="0" w:space="0" w:color="auto"/>
        <w:left w:val="none" w:sz="0" w:space="0" w:color="auto"/>
        <w:bottom w:val="none" w:sz="0" w:space="0" w:color="auto"/>
        <w:right w:val="none" w:sz="0" w:space="0" w:color="auto"/>
      </w:divBdr>
    </w:div>
    <w:div w:id="1908151506">
      <w:bodyDiv w:val="1"/>
      <w:marLeft w:val="0"/>
      <w:marRight w:val="0"/>
      <w:marTop w:val="0"/>
      <w:marBottom w:val="0"/>
      <w:divBdr>
        <w:top w:val="none" w:sz="0" w:space="0" w:color="auto"/>
        <w:left w:val="none" w:sz="0" w:space="0" w:color="auto"/>
        <w:bottom w:val="none" w:sz="0" w:space="0" w:color="auto"/>
        <w:right w:val="none" w:sz="0" w:space="0" w:color="auto"/>
      </w:divBdr>
    </w:div>
    <w:div w:id="1908153157">
      <w:bodyDiv w:val="1"/>
      <w:marLeft w:val="0"/>
      <w:marRight w:val="0"/>
      <w:marTop w:val="0"/>
      <w:marBottom w:val="0"/>
      <w:divBdr>
        <w:top w:val="none" w:sz="0" w:space="0" w:color="auto"/>
        <w:left w:val="none" w:sz="0" w:space="0" w:color="auto"/>
        <w:bottom w:val="none" w:sz="0" w:space="0" w:color="auto"/>
        <w:right w:val="none" w:sz="0" w:space="0" w:color="auto"/>
      </w:divBdr>
    </w:div>
    <w:div w:id="1908227533">
      <w:bodyDiv w:val="1"/>
      <w:marLeft w:val="0"/>
      <w:marRight w:val="0"/>
      <w:marTop w:val="0"/>
      <w:marBottom w:val="0"/>
      <w:divBdr>
        <w:top w:val="none" w:sz="0" w:space="0" w:color="auto"/>
        <w:left w:val="none" w:sz="0" w:space="0" w:color="auto"/>
        <w:bottom w:val="none" w:sz="0" w:space="0" w:color="auto"/>
        <w:right w:val="none" w:sz="0" w:space="0" w:color="auto"/>
      </w:divBdr>
    </w:div>
    <w:div w:id="1908301372">
      <w:bodyDiv w:val="1"/>
      <w:marLeft w:val="0"/>
      <w:marRight w:val="0"/>
      <w:marTop w:val="0"/>
      <w:marBottom w:val="0"/>
      <w:divBdr>
        <w:top w:val="none" w:sz="0" w:space="0" w:color="auto"/>
        <w:left w:val="none" w:sz="0" w:space="0" w:color="auto"/>
        <w:bottom w:val="none" w:sz="0" w:space="0" w:color="auto"/>
        <w:right w:val="none" w:sz="0" w:space="0" w:color="auto"/>
      </w:divBdr>
    </w:div>
    <w:div w:id="1908413499">
      <w:bodyDiv w:val="1"/>
      <w:marLeft w:val="0"/>
      <w:marRight w:val="0"/>
      <w:marTop w:val="0"/>
      <w:marBottom w:val="0"/>
      <w:divBdr>
        <w:top w:val="none" w:sz="0" w:space="0" w:color="auto"/>
        <w:left w:val="none" w:sz="0" w:space="0" w:color="auto"/>
        <w:bottom w:val="none" w:sz="0" w:space="0" w:color="auto"/>
        <w:right w:val="none" w:sz="0" w:space="0" w:color="auto"/>
      </w:divBdr>
    </w:div>
    <w:div w:id="1908681760">
      <w:bodyDiv w:val="1"/>
      <w:marLeft w:val="0"/>
      <w:marRight w:val="0"/>
      <w:marTop w:val="0"/>
      <w:marBottom w:val="0"/>
      <w:divBdr>
        <w:top w:val="none" w:sz="0" w:space="0" w:color="auto"/>
        <w:left w:val="none" w:sz="0" w:space="0" w:color="auto"/>
        <w:bottom w:val="none" w:sz="0" w:space="0" w:color="auto"/>
        <w:right w:val="none" w:sz="0" w:space="0" w:color="auto"/>
      </w:divBdr>
    </w:div>
    <w:div w:id="1908684504">
      <w:bodyDiv w:val="1"/>
      <w:marLeft w:val="0"/>
      <w:marRight w:val="0"/>
      <w:marTop w:val="0"/>
      <w:marBottom w:val="0"/>
      <w:divBdr>
        <w:top w:val="none" w:sz="0" w:space="0" w:color="auto"/>
        <w:left w:val="none" w:sz="0" w:space="0" w:color="auto"/>
        <w:bottom w:val="none" w:sz="0" w:space="0" w:color="auto"/>
        <w:right w:val="none" w:sz="0" w:space="0" w:color="auto"/>
      </w:divBdr>
    </w:div>
    <w:div w:id="1908765317">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
    <w:div w:id="1908953503">
      <w:bodyDiv w:val="1"/>
      <w:marLeft w:val="0"/>
      <w:marRight w:val="0"/>
      <w:marTop w:val="0"/>
      <w:marBottom w:val="0"/>
      <w:divBdr>
        <w:top w:val="none" w:sz="0" w:space="0" w:color="auto"/>
        <w:left w:val="none" w:sz="0" w:space="0" w:color="auto"/>
        <w:bottom w:val="none" w:sz="0" w:space="0" w:color="auto"/>
        <w:right w:val="none" w:sz="0" w:space="0" w:color="auto"/>
      </w:divBdr>
    </w:div>
    <w:div w:id="1908953611">
      <w:bodyDiv w:val="1"/>
      <w:marLeft w:val="0"/>
      <w:marRight w:val="0"/>
      <w:marTop w:val="0"/>
      <w:marBottom w:val="0"/>
      <w:divBdr>
        <w:top w:val="none" w:sz="0" w:space="0" w:color="auto"/>
        <w:left w:val="none" w:sz="0" w:space="0" w:color="auto"/>
        <w:bottom w:val="none" w:sz="0" w:space="0" w:color="auto"/>
        <w:right w:val="none" w:sz="0" w:space="0" w:color="auto"/>
      </w:divBdr>
    </w:div>
    <w:div w:id="1909076618">
      <w:bodyDiv w:val="1"/>
      <w:marLeft w:val="0"/>
      <w:marRight w:val="0"/>
      <w:marTop w:val="0"/>
      <w:marBottom w:val="0"/>
      <w:divBdr>
        <w:top w:val="none" w:sz="0" w:space="0" w:color="auto"/>
        <w:left w:val="none" w:sz="0" w:space="0" w:color="auto"/>
        <w:bottom w:val="none" w:sz="0" w:space="0" w:color="auto"/>
        <w:right w:val="none" w:sz="0" w:space="0" w:color="auto"/>
      </w:divBdr>
    </w:div>
    <w:div w:id="1909263873">
      <w:bodyDiv w:val="1"/>
      <w:marLeft w:val="0"/>
      <w:marRight w:val="0"/>
      <w:marTop w:val="0"/>
      <w:marBottom w:val="0"/>
      <w:divBdr>
        <w:top w:val="none" w:sz="0" w:space="0" w:color="auto"/>
        <w:left w:val="none" w:sz="0" w:space="0" w:color="auto"/>
        <w:bottom w:val="none" w:sz="0" w:space="0" w:color="auto"/>
        <w:right w:val="none" w:sz="0" w:space="0" w:color="auto"/>
      </w:divBdr>
    </w:div>
    <w:div w:id="1909265543">
      <w:bodyDiv w:val="1"/>
      <w:marLeft w:val="0"/>
      <w:marRight w:val="0"/>
      <w:marTop w:val="0"/>
      <w:marBottom w:val="0"/>
      <w:divBdr>
        <w:top w:val="none" w:sz="0" w:space="0" w:color="auto"/>
        <w:left w:val="none" w:sz="0" w:space="0" w:color="auto"/>
        <w:bottom w:val="none" w:sz="0" w:space="0" w:color="auto"/>
        <w:right w:val="none" w:sz="0" w:space="0" w:color="auto"/>
      </w:divBdr>
    </w:div>
    <w:div w:id="1909462879">
      <w:bodyDiv w:val="1"/>
      <w:marLeft w:val="0"/>
      <w:marRight w:val="0"/>
      <w:marTop w:val="0"/>
      <w:marBottom w:val="0"/>
      <w:divBdr>
        <w:top w:val="none" w:sz="0" w:space="0" w:color="auto"/>
        <w:left w:val="none" w:sz="0" w:space="0" w:color="auto"/>
        <w:bottom w:val="none" w:sz="0" w:space="0" w:color="auto"/>
        <w:right w:val="none" w:sz="0" w:space="0" w:color="auto"/>
      </w:divBdr>
    </w:div>
    <w:div w:id="1909535873">
      <w:bodyDiv w:val="1"/>
      <w:marLeft w:val="0"/>
      <w:marRight w:val="0"/>
      <w:marTop w:val="0"/>
      <w:marBottom w:val="0"/>
      <w:divBdr>
        <w:top w:val="none" w:sz="0" w:space="0" w:color="auto"/>
        <w:left w:val="none" w:sz="0" w:space="0" w:color="auto"/>
        <w:bottom w:val="none" w:sz="0" w:space="0" w:color="auto"/>
        <w:right w:val="none" w:sz="0" w:space="0" w:color="auto"/>
      </w:divBdr>
    </w:div>
    <w:div w:id="1909683876">
      <w:bodyDiv w:val="1"/>
      <w:marLeft w:val="0"/>
      <w:marRight w:val="0"/>
      <w:marTop w:val="0"/>
      <w:marBottom w:val="0"/>
      <w:divBdr>
        <w:top w:val="none" w:sz="0" w:space="0" w:color="auto"/>
        <w:left w:val="none" w:sz="0" w:space="0" w:color="auto"/>
        <w:bottom w:val="none" w:sz="0" w:space="0" w:color="auto"/>
        <w:right w:val="none" w:sz="0" w:space="0" w:color="auto"/>
      </w:divBdr>
    </w:div>
    <w:div w:id="1909684193">
      <w:bodyDiv w:val="1"/>
      <w:marLeft w:val="0"/>
      <w:marRight w:val="0"/>
      <w:marTop w:val="0"/>
      <w:marBottom w:val="0"/>
      <w:divBdr>
        <w:top w:val="none" w:sz="0" w:space="0" w:color="auto"/>
        <w:left w:val="none" w:sz="0" w:space="0" w:color="auto"/>
        <w:bottom w:val="none" w:sz="0" w:space="0" w:color="auto"/>
        <w:right w:val="none" w:sz="0" w:space="0" w:color="auto"/>
      </w:divBdr>
    </w:div>
    <w:div w:id="1910072485">
      <w:bodyDiv w:val="1"/>
      <w:marLeft w:val="0"/>
      <w:marRight w:val="0"/>
      <w:marTop w:val="0"/>
      <w:marBottom w:val="0"/>
      <w:divBdr>
        <w:top w:val="none" w:sz="0" w:space="0" w:color="auto"/>
        <w:left w:val="none" w:sz="0" w:space="0" w:color="auto"/>
        <w:bottom w:val="none" w:sz="0" w:space="0" w:color="auto"/>
        <w:right w:val="none" w:sz="0" w:space="0" w:color="auto"/>
      </w:divBdr>
    </w:div>
    <w:div w:id="1910072608">
      <w:bodyDiv w:val="1"/>
      <w:marLeft w:val="0"/>
      <w:marRight w:val="0"/>
      <w:marTop w:val="0"/>
      <w:marBottom w:val="0"/>
      <w:divBdr>
        <w:top w:val="none" w:sz="0" w:space="0" w:color="auto"/>
        <w:left w:val="none" w:sz="0" w:space="0" w:color="auto"/>
        <w:bottom w:val="none" w:sz="0" w:space="0" w:color="auto"/>
        <w:right w:val="none" w:sz="0" w:space="0" w:color="auto"/>
      </w:divBdr>
    </w:div>
    <w:div w:id="1910075112">
      <w:bodyDiv w:val="1"/>
      <w:marLeft w:val="0"/>
      <w:marRight w:val="0"/>
      <w:marTop w:val="0"/>
      <w:marBottom w:val="0"/>
      <w:divBdr>
        <w:top w:val="none" w:sz="0" w:space="0" w:color="auto"/>
        <w:left w:val="none" w:sz="0" w:space="0" w:color="auto"/>
        <w:bottom w:val="none" w:sz="0" w:space="0" w:color="auto"/>
        <w:right w:val="none" w:sz="0" w:space="0" w:color="auto"/>
      </w:divBdr>
    </w:div>
    <w:div w:id="1910144661">
      <w:bodyDiv w:val="1"/>
      <w:marLeft w:val="0"/>
      <w:marRight w:val="0"/>
      <w:marTop w:val="0"/>
      <w:marBottom w:val="0"/>
      <w:divBdr>
        <w:top w:val="none" w:sz="0" w:space="0" w:color="auto"/>
        <w:left w:val="none" w:sz="0" w:space="0" w:color="auto"/>
        <w:bottom w:val="none" w:sz="0" w:space="0" w:color="auto"/>
        <w:right w:val="none" w:sz="0" w:space="0" w:color="auto"/>
      </w:divBdr>
    </w:div>
    <w:div w:id="1910194278">
      <w:bodyDiv w:val="1"/>
      <w:marLeft w:val="0"/>
      <w:marRight w:val="0"/>
      <w:marTop w:val="0"/>
      <w:marBottom w:val="0"/>
      <w:divBdr>
        <w:top w:val="none" w:sz="0" w:space="0" w:color="auto"/>
        <w:left w:val="none" w:sz="0" w:space="0" w:color="auto"/>
        <w:bottom w:val="none" w:sz="0" w:space="0" w:color="auto"/>
        <w:right w:val="none" w:sz="0" w:space="0" w:color="auto"/>
      </w:divBdr>
    </w:div>
    <w:div w:id="1910260730">
      <w:bodyDiv w:val="1"/>
      <w:marLeft w:val="0"/>
      <w:marRight w:val="0"/>
      <w:marTop w:val="0"/>
      <w:marBottom w:val="0"/>
      <w:divBdr>
        <w:top w:val="none" w:sz="0" w:space="0" w:color="auto"/>
        <w:left w:val="none" w:sz="0" w:space="0" w:color="auto"/>
        <w:bottom w:val="none" w:sz="0" w:space="0" w:color="auto"/>
        <w:right w:val="none" w:sz="0" w:space="0" w:color="auto"/>
      </w:divBdr>
    </w:div>
    <w:div w:id="1910338237">
      <w:bodyDiv w:val="1"/>
      <w:marLeft w:val="0"/>
      <w:marRight w:val="0"/>
      <w:marTop w:val="0"/>
      <w:marBottom w:val="0"/>
      <w:divBdr>
        <w:top w:val="none" w:sz="0" w:space="0" w:color="auto"/>
        <w:left w:val="none" w:sz="0" w:space="0" w:color="auto"/>
        <w:bottom w:val="none" w:sz="0" w:space="0" w:color="auto"/>
        <w:right w:val="none" w:sz="0" w:space="0" w:color="auto"/>
      </w:divBdr>
    </w:div>
    <w:div w:id="1910384208">
      <w:bodyDiv w:val="1"/>
      <w:marLeft w:val="0"/>
      <w:marRight w:val="0"/>
      <w:marTop w:val="0"/>
      <w:marBottom w:val="0"/>
      <w:divBdr>
        <w:top w:val="none" w:sz="0" w:space="0" w:color="auto"/>
        <w:left w:val="none" w:sz="0" w:space="0" w:color="auto"/>
        <w:bottom w:val="none" w:sz="0" w:space="0" w:color="auto"/>
        <w:right w:val="none" w:sz="0" w:space="0" w:color="auto"/>
      </w:divBdr>
    </w:div>
    <w:div w:id="1910456013">
      <w:bodyDiv w:val="1"/>
      <w:marLeft w:val="0"/>
      <w:marRight w:val="0"/>
      <w:marTop w:val="0"/>
      <w:marBottom w:val="0"/>
      <w:divBdr>
        <w:top w:val="none" w:sz="0" w:space="0" w:color="auto"/>
        <w:left w:val="none" w:sz="0" w:space="0" w:color="auto"/>
        <w:bottom w:val="none" w:sz="0" w:space="0" w:color="auto"/>
        <w:right w:val="none" w:sz="0" w:space="0" w:color="auto"/>
      </w:divBdr>
    </w:div>
    <w:div w:id="1910536259">
      <w:bodyDiv w:val="1"/>
      <w:marLeft w:val="0"/>
      <w:marRight w:val="0"/>
      <w:marTop w:val="0"/>
      <w:marBottom w:val="0"/>
      <w:divBdr>
        <w:top w:val="none" w:sz="0" w:space="0" w:color="auto"/>
        <w:left w:val="none" w:sz="0" w:space="0" w:color="auto"/>
        <w:bottom w:val="none" w:sz="0" w:space="0" w:color="auto"/>
        <w:right w:val="none" w:sz="0" w:space="0" w:color="auto"/>
      </w:divBdr>
    </w:div>
    <w:div w:id="1910537109">
      <w:bodyDiv w:val="1"/>
      <w:marLeft w:val="0"/>
      <w:marRight w:val="0"/>
      <w:marTop w:val="0"/>
      <w:marBottom w:val="0"/>
      <w:divBdr>
        <w:top w:val="none" w:sz="0" w:space="0" w:color="auto"/>
        <w:left w:val="none" w:sz="0" w:space="0" w:color="auto"/>
        <w:bottom w:val="none" w:sz="0" w:space="0" w:color="auto"/>
        <w:right w:val="none" w:sz="0" w:space="0" w:color="auto"/>
      </w:divBdr>
    </w:div>
    <w:div w:id="1910650796">
      <w:bodyDiv w:val="1"/>
      <w:marLeft w:val="0"/>
      <w:marRight w:val="0"/>
      <w:marTop w:val="0"/>
      <w:marBottom w:val="0"/>
      <w:divBdr>
        <w:top w:val="none" w:sz="0" w:space="0" w:color="auto"/>
        <w:left w:val="none" w:sz="0" w:space="0" w:color="auto"/>
        <w:bottom w:val="none" w:sz="0" w:space="0" w:color="auto"/>
        <w:right w:val="none" w:sz="0" w:space="0" w:color="auto"/>
      </w:divBdr>
    </w:div>
    <w:div w:id="1910651988">
      <w:bodyDiv w:val="1"/>
      <w:marLeft w:val="0"/>
      <w:marRight w:val="0"/>
      <w:marTop w:val="0"/>
      <w:marBottom w:val="0"/>
      <w:divBdr>
        <w:top w:val="none" w:sz="0" w:space="0" w:color="auto"/>
        <w:left w:val="none" w:sz="0" w:space="0" w:color="auto"/>
        <w:bottom w:val="none" w:sz="0" w:space="0" w:color="auto"/>
        <w:right w:val="none" w:sz="0" w:space="0" w:color="auto"/>
      </w:divBdr>
    </w:div>
    <w:div w:id="1910846887">
      <w:bodyDiv w:val="1"/>
      <w:marLeft w:val="0"/>
      <w:marRight w:val="0"/>
      <w:marTop w:val="0"/>
      <w:marBottom w:val="0"/>
      <w:divBdr>
        <w:top w:val="none" w:sz="0" w:space="0" w:color="auto"/>
        <w:left w:val="none" w:sz="0" w:space="0" w:color="auto"/>
        <w:bottom w:val="none" w:sz="0" w:space="0" w:color="auto"/>
        <w:right w:val="none" w:sz="0" w:space="0" w:color="auto"/>
      </w:divBdr>
    </w:div>
    <w:div w:id="1910924271">
      <w:bodyDiv w:val="1"/>
      <w:marLeft w:val="0"/>
      <w:marRight w:val="0"/>
      <w:marTop w:val="0"/>
      <w:marBottom w:val="0"/>
      <w:divBdr>
        <w:top w:val="none" w:sz="0" w:space="0" w:color="auto"/>
        <w:left w:val="none" w:sz="0" w:space="0" w:color="auto"/>
        <w:bottom w:val="none" w:sz="0" w:space="0" w:color="auto"/>
        <w:right w:val="none" w:sz="0" w:space="0" w:color="auto"/>
      </w:divBdr>
    </w:div>
    <w:div w:id="1910965735">
      <w:bodyDiv w:val="1"/>
      <w:marLeft w:val="0"/>
      <w:marRight w:val="0"/>
      <w:marTop w:val="0"/>
      <w:marBottom w:val="0"/>
      <w:divBdr>
        <w:top w:val="none" w:sz="0" w:space="0" w:color="auto"/>
        <w:left w:val="none" w:sz="0" w:space="0" w:color="auto"/>
        <w:bottom w:val="none" w:sz="0" w:space="0" w:color="auto"/>
        <w:right w:val="none" w:sz="0" w:space="0" w:color="auto"/>
      </w:divBdr>
    </w:div>
    <w:div w:id="1911037091">
      <w:bodyDiv w:val="1"/>
      <w:marLeft w:val="0"/>
      <w:marRight w:val="0"/>
      <w:marTop w:val="0"/>
      <w:marBottom w:val="0"/>
      <w:divBdr>
        <w:top w:val="none" w:sz="0" w:space="0" w:color="auto"/>
        <w:left w:val="none" w:sz="0" w:space="0" w:color="auto"/>
        <w:bottom w:val="none" w:sz="0" w:space="0" w:color="auto"/>
        <w:right w:val="none" w:sz="0" w:space="0" w:color="auto"/>
      </w:divBdr>
    </w:div>
    <w:div w:id="1911041401">
      <w:bodyDiv w:val="1"/>
      <w:marLeft w:val="0"/>
      <w:marRight w:val="0"/>
      <w:marTop w:val="0"/>
      <w:marBottom w:val="0"/>
      <w:divBdr>
        <w:top w:val="none" w:sz="0" w:space="0" w:color="auto"/>
        <w:left w:val="none" w:sz="0" w:space="0" w:color="auto"/>
        <w:bottom w:val="none" w:sz="0" w:space="0" w:color="auto"/>
        <w:right w:val="none" w:sz="0" w:space="0" w:color="auto"/>
      </w:divBdr>
    </w:div>
    <w:div w:id="1911042973">
      <w:bodyDiv w:val="1"/>
      <w:marLeft w:val="0"/>
      <w:marRight w:val="0"/>
      <w:marTop w:val="0"/>
      <w:marBottom w:val="0"/>
      <w:divBdr>
        <w:top w:val="none" w:sz="0" w:space="0" w:color="auto"/>
        <w:left w:val="none" w:sz="0" w:space="0" w:color="auto"/>
        <w:bottom w:val="none" w:sz="0" w:space="0" w:color="auto"/>
        <w:right w:val="none" w:sz="0" w:space="0" w:color="auto"/>
      </w:divBdr>
    </w:div>
    <w:div w:id="1911117502">
      <w:bodyDiv w:val="1"/>
      <w:marLeft w:val="0"/>
      <w:marRight w:val="0"/>
      <w:marTop w:val="0"/>
      <w:marBottom w:val="0"/>
      <w:divBdr>
        <w:top w:val="none" w:sz="0" w:space="0" w:color="auto"/>
        <w:left w:val="none" w:sz="0" w:space="0" w:color="auto"/>
        <w:bottom w:val="none" w:sz="0" w:space="0" w:color="auto"/>
        <w:right w:val="none" w:sz="0" w:space="0" w:color="auto"/>
      </w:divBdr>
    </w:div>
    <w:div w:id="1911228769">
      <w:bodyDiv w:val="1"/>
      <w:marLeft w:val="0"/>
      <w:marRight w:val="0"/>
      <w:marTop w:val="0"/>
      <w:marBottom w:val="0"/>
      <w:divBdr>
        <w:top w:val="none" w:sz="0" w:space="0" w:color="auto"/>
        <w:left w:val="none" w:sz="0" w:space="0" w:color="auto"/>
        <w:bottom w:val="none" w:sz="0" w:space="0" w:color="auto"/>
        <w:right w:val="none" w:sz="0" w:space="0" w:color="auto"/>
      </w:divBdr>
    </w:div>
    <w:div w:id="1911236413">
      <w:bodyDiv w:val="1"/>
      <w:marLeft w:val="0"/>
      <w:marRight w:val="0"/>
      <w:marTop w:val="0"/>
      <w:marBottom w:val="0"/>
      <w:divBdr>
        <w:top w:val="none" w:sz="0" w:space="0" w:color="auto"/>
        <w:left w:val="none" w:sz="0" w:space="0" w:color="auto"/>
        <w:bottom w:val="none" w:sz="0" w:space="0" w:color="auto"/>
        <w:right w:val="none" w:sz="0" w:space="0" w:color="auto"/>
      </w:divBdr>
    </w:div>
    <w:div w:id="1911303267">
      <w:bodyDiv w:val="1"/>
      <w:marLeft w:val="0"/>
      <w:marRight w:val="0"/>
      <w:marTop w:val="0"/>
      <w:marBottom w:val="0"/>
      <w:divBdr>
        <w:top w:val="none" w:sz="0" w:space="0" w:color="auto"/>
        <w:left w:val="none" w:sz="0" w:space="0" w:color="auto"/>
        <w:bottom w:val="none" w:sz="0" w:space="0" w:color="auto"/>
        <w:right w:val="none" w:sz="0" w:space="0" w:color="auto"/>
      </w:divBdr>
    </w:div>
    <w:div w:id="1911381057">
      <w:bodyDiv w:val="1"/>
      <w:marLeft w:val="0"/>
      <w:marRight w:val="0"/>
      <w:marTop w:val="0"/>
      <w:marBottom w:val="0"/>
      <w:divBdr>
        <w:top w:val="none" w:sz="0" w:space="0" w:color="auto"/>
        <w:left w:val="none" w:sz="0" w:space="0" w:color="auto"/>
        <w:bottom w:val="none" w:sz="0" w:space="0" w:color="auto"/>
        <w:right w:val="none" w:sz="0" w:space="0" w:color="auto"/>
      </w:divBdr>
    </w:div>
    <w:div w:id="1911385325">
      <w:bodyDiv w:val="1"/>
      <w:marLeft w:val="0"/>
      <w:marRight w:val="0"/>
      <w:marTop w:val="0"/>
      <w:marBottom w:val="0"/>
      <w:divBdr>
        <w:top w:val="none" w:sz="0" w:space="0" w:color="auto"/>
        <w:left w:val="none" w:sz="0" w:space="0" w:color="auto"/>
        <w:bottom w:val="none" w:sz="0" w:space="0" w:color="auto"/>
        <w:right w:val="none" w:sz="0" w:space="0" w:color="auto"/>
      </w:divBdr>
    </w:div>
    <w:div w:id="1911429042">
      <w:bodyDiv w:val="1"/>
      <w:marLeft w:val="0"/>
      <w:marRight w:val="0"/>
      <w:marTop w:val="0"/>
      <w:marBottom w:val="0"/>
      <w:divBdr>
        <w:top w:val="none" w:sz="0" w:space="0" w:color="auto"/>
        <w:left w:val="none" w:sz="0" w:space="0" w:color="auto"/>
        <w:bottom w:val="none" w:sz="0" w:space="0" w:color="auto"/>
        <w:right w:val="none" w:sz="0" w:space="0" w:color="auto"/>
      </w:divBdr>
    </w:div>
    <w:div w:id="1911429454">
      <w:bodyDiv w:val="1"/>
      <w:marLeft w:val="0"/>
      <w:marRight w:val="0"/>
      <w:marTop w:val="0"/>
      <w:marBottom w:val="0"/>
      <w:divBdr>
        <w:top w:val="none" w:sz="0" w:space="0" w:color="auto"/>
        <w:left w:val="none" w:sz="0" w:space="0" w:color="auto"/>
        <w:bottom w:val="none" w:sz="0" w:space="0" w:color="auto"/>
        <w:right w:val="none" w:sz="0" w:space="0" w:color="auto"/>
      </w:divBdr>
    </w:div>
    <w:div w:id="1911499514">
      <w:bodyDiv w:val="1"/>
      <w:marLeft w:val="0"/>
      <w:marRight w:val="0"/>
      <w:marTop w:val="0"/>
      <w:marBottom w:val="0"/>
      <w:divBdr>
        <w:top w:val="none" w:sz="0" w:space="0" w:color="auto"/>
        <w:left w:val="none" w:sz="0" w:space="0" w:color="auto"/>
        <w:bottom w:val="none" w:sz="0" w:space="0" w:color="auto"/>
        <w:right w:val="none" w:sz="0" w:space="0" w:color="auto"/>
      </w:divBdr>
    </w:div>
    <w:div w:id="1911499877">
      <w:bodyDiv w:val="1"/>
      <w:marLeft w:val="0"/>
      <w:marRight w:val="0"/>
      <w:marTop w:val="0"/>
      <w:marBottom w:val="0"/>
      <w:divBdr>
        <w:top w:val="none" w:sz="0" w:space="0" w:color="auto"/>
        <w:left w:val="none" w:sz="0" w:space="0" w:color="auto"/>
        <w:bottom w:val="none" w:sz="0" w:space="0" w:color="auto"/>
        <w:right w:val="none" w:sz="0" w:space="0" w:color="auto"/>
      </w:divBdr>
    </w:div>
    <w:div w:id="1911621875">
      <w:bodyDiv w:val="1"/>
      <w:marLeft w:val="0"/>
      <w:marRight w:val="0"/>
      <w:marTop w:val="0"/>
      <w:marBottom w:val="0"/>
      <w:divBdr>
        <w:top w:val="none" w:sz="0" w:space="0" w:color="auto"/>
        <w:left w:val="none" w:sz="0" w:space="0" w:color="auto"/>
        <w:bottom w:val="none" w:sz="0" w:space="0" w:color="auto"/>
        <w:right w:val="none" w:sz="0" w:space="0" w:color="auto"/>
      </w:divBdr>
    </w:div>
    <w:div w:id="1911690103">
      <w:bodyDiv w:val="1"/>
      <w:marLeft w:val="0"/>
      <w:marRight w:val="0"/>
      <w:marTop w:val="0"/>
      <w:marBottom w:val="0"/>
      <w:divBdr>
        <w:top w:val="none" w:sz="0" w:space="0" w:color="auto"/>
        <w:left w:val="none" w:sz="0" w:space="0" w:color="auto"/>
        <w:bottom w:val="none" w:sz="0" w:space="0" w:color="auto"/>
        <w:right w:val="none" w:sz="0" w:space="0" w:color="auto"/>
      </w:divBdr>
    </w:div>
    <w:div w:id="1911694036">
      <w:bodyDiv w:val="1"/>
      <w:marLeft w:val="0"/>
      <w:marRight w:val="0"/>
      <w:marTop w:val="0"/>
      <w:marBottom w:val="0"/>
      <w:divBdr>
        <w:top w:val="none" w:sz="0" w:space="0" w:color="auto"/>
        <w:left w:val="none" w:sz="0" w:space="0" w:color="auto"/>
        <w:bottom w:val="none" w:sz="0" w:space="0" w:color="auto"/>
        <w:right w:val="none" w:sz="0" w:space="0" w:color="auto"/>
      </w:divBdr>
    </w:div>
    <w:div w:id="1911695269">
      <w:bodyDiv w:val="1"/>
      <w:marLeft w:val="0"/>
      <w:marRight w:val="0"/>
      <w:marTop w:val="0"/>
      <w:marBottom w:val="0"/>
      <w:divBdr>
        <w:top w:val="none" w:sz="0" w:space="0" w:color="auto"/>
        <w:left w:val="none" w:sz="0" w:space="0" w:color="auto"/>
        <w:bottom w:val="none" w:sz="0" w:space="0" w:color="auto"/>
        <w:right w:val="none" w:sz="0" w:space="0" w:color="auto"/>
      </w:divBdr>
    </w:div>
    <w:div w:id="1911845790">
      <w:bodyDiv w:val="1"/>
      <w:marLeft w:val="0"/>
      <w:marRight w:val="0"/>
      <w:marTop w:val="0"/>
      <w:marBottom w:val="0"/>
      <w:divBdr>
        <w:top w:val="none" w:sz="0" w:space="0" w:color="auto"/>
        <w:left w:val="none" w:sz="0" w:space="0" w:color="auto"/>
        <w:bottom w:val="none" w:sz="0" w:space="0" w:color="auto"/>
        <w:right w:val="none" w:sz="0" w:space="0" w:color="auto"/>
      </w:divBdr>
    </w:div>
    <w:div w:id="1912039768">
      <w:bodyDiv w:val="1"/>
      <w:marLeft w:val="0"/>
      <w:marRight w:val="0"/>
      <w:marTop w:val="0"/>
      <w:marBottom w:val="0"/>
      <w:divBdr>
        <w:top w:val="none" w:sz="0" w:space="0" w:color="auto"/>
        <w:left w:val="none" w:sz="0" w:space="0" w:color="auto"/>
        <w:bottom w:val="none" w:sz="0" w:space="0" w:color="auto"/>
        <w:right w:val="none" w:sz="0" w:space="0" w:color="auto"/>
      </w:divBdr>
    </w:div>
    <w:div w:id="1912079839">
      <w:bodyDiv w:val="1"/>
      <w:marLeft w:val="0"/>
      <w:marRight w:val="0"/>
      <w:marTop w:val="0"/>
      <w:marBottom w:val="0"/>
      <w:divBdr>
        <w:top w:val="none" w:sz="0" w:space="0" w:color="auto"/>
        <w:left w:val="none" w:sz="0" w:space="0" w:color="auto"/>
        <w:bottom w:val="none" w:sz="0" w:space="0" w:color="auto"/>
        <w:right w:val="none" w:sz="0" w:space="0" w:color="auto"/>
      </w:divBdr>
    </w:div>
    <w:div w:id="1912079870">
      <w:bodyDiv w:val="1"/>
      <w:marLeft w:val="0"/>
      <w:marRight w:val="0"/>
      <w:marTop w:val="0"/>
      <w:marBottom w:val="0"/>
      <w:divBdr>
        <w:top w:val="none" w:sz="0" w:space="0" w:color="auto"/>
        <w:left w:val="none" w:sz="0" w:space="0" w:color="auto"/>
        <w:bottom w:val="none" w:sz="0" w:space="0" w:color="auto"/>
        <w:right w:val="none" w:sz="0" w:space="0" w:color="auto"/>
      </w:divBdr>
    </w:div>
    <w:div w:id="1912080298">
      <w:bodyDiv w:val="1"/>
      <w:marLeft w:val="0"/>
      <w:marRight w:val="0"/>
      <w:marTop w:val="0"/>
      <w:marBottom w:val="0"/>
      <w:divBdr>
        <w:top w:val="none" w:sz="0" w:space="0" w:color="auto"/>
        <w:left w:val="none" w:sz="0" w:space="0" w:color="auto"/>
        <w:bottom w:val="none" w:sz="0" w:space="0" w:color="auto"/>
        <w:right w:val="none" w:sz="0" w:space="0" w:color="auto"/>
      </w:divBdr>
    </w:div>
    <w:div w:id="1912085096">
      <w:bodyDiv w:val="1"/>
      <w:marLeft w:val="0"/>
      <w:marRight w:val="0"/>
      <w:marTop w:val="0"/>
      <w:marBottom w:val="0"/>
      <w:divBdr>
        <w:top w:val="none" w:sz="0" w:space="0" w:color="auto"/>
        <w:left w:val="none" w:sz="0" w:space="0" w:color="auto"/>
        <w:bottom w:val="none" w:sz="0" w:space="0" w:color="auto"/>
        <w:right w:val="none" w:sz="0" w:space="0" w:color="auto"/>
      </w:divBdr>
    </w:div>
    <w:div w:id="1912108747">
      <w:bodyDiv w:val="1"/>
      <w:marLeft w:val="0"/>
      <w:marRight w:val="0"/>
      <w:marTop w:val="0"/>
      <w:marBottom w:val="0"/>
      <w:divBdr>
        <w:top w:val="none" w:sz="0" w:space="0" w:color="auto"/>
        <w:left w:val="none" w:sz="0" w:space="0" w:color="auto"/>
        <w:bottom w:val="none" w:sz="0" w:space="0" w:color="auto"/>
        <w:right w:val="none" w:sz="0" w:space="0" w:color="auto"/>
      </w:divBdr>
    </w:div>
    <w:div w:id="1912160380">
      <w:bodyDiv w:val="1"/>
      <w:marLeft w:val="0"/>
      <w:marRight w:val="0"/>
      <w:marTop w:val="0"/>
      <w:marBottom w:val="0"/>
      <w:divBdr>
        <w:top w:val="none" w:sz="0" w:space="0" w:color="auto"/>
        <w:left w:val="none" w:sz="0" w:space="0" w:color="auto"/>
        <w:bottom w:val="none" w:sz="0" w:space="0" w:color="auto"/>
        <w:right w:val="none" w:sz="0" w:space="0" w:color="auto"/>
      </w:divBdr>
    </w:div>
    <w:div w:id="1912231302">
      <w:bodyDiv w:val="1"/>
      <w:marLeft w:val="0"/>
      <w:marRight w:val="0"/>
      <w:marTop w:val="0"/>
      <w:marBottom w:val="0"/>
      <w:divBdr>
        <w:top w:val="none" w:sz="0" w:space="0" w:color="auto"/>
        <w:left w:val="none" w:sz="0" w:space="0" w:color="auto"/>
        <w:bottom w:val="none" w:sz="0" w:space="0" w:color="auto"/>
        <w:right w:val="none" w:sz="0" w:space="0" w:color="auto"/>
      </w:divBdr>
    </w:div>
    <w:div w:id="1912352229">
      <w:bodyDiv w:val="1"/>
      <w:marLeft w:val="0"/>
      <w:marRight w:val="0"/>
      <w:marTop w:val="0"/>
      <w:marBottom w:val="0"/>
      <w:divBdr>
        <w:top w:val="none" w:sz="0" w:space="0" w:color="auto"/>
        <w:left w:val="none" w:sz="0" w:space="0" w:color="auto"/>
        <w:bottom w:val="none" w:sz="0" w:space="0" w:color="auto"/>
        <w:right w:val="none" w:sz="0" w:space="0" w:color="auto"/>
      </w:divBdr>
    </w:div>
    <w:div w:id="1912421366">
      <w:bodyDiv w:val="1"/>
      <w:marLeft w:val="0"/>
      <w:marRight w:val="0"/>
      <w:marTop w:val="0"/>
      <w:marBottom w:val="0"/>
      <w:divBdr>
        <w:top w:val="none" w:sz="0" w:space="0" w:color="auto"/>
        <w:left w:val="none" w:sz="0" w:space="0" w:color="auto"/>
        <w:bottom w:val="none" w:sz="0" w:space="0" w:color="auto"/>
        <w:right w:val="none" w:sz="0" w:space="0" w:color="auto"/>
      </w:divBdr>
    </w:div>
    <w:div w:id="1912421779">
      <w:bodyDiv w:val="1"/>
      <w:marLeft w:val="0"/>
      <w:marRight w:val="0"/>
      <w:marTop w:val="0"/>
      <w:marBottom w:val="0"/>
      <w:divBdr>
        <w:top w:val="none" w:sz="0" w:space="0" w:color="auto"/>
        <w:left w:val="none" w:sz="0" w:space="0" w:color="auto"/>
        <w:bottom w:val="none" w:sz="0" w:space="0" w:color="auto"/>
        <w:right w:val="none" w:sz="0" w:space="0" w:color="auto"/>
      </w:divBdr>
    </w:div>
    <w:div w:id="1912502262">
      <w:bodyDiv w:val="1"/>
      <w:marLeft w:val="0"/>
      <w:marRight w:val="0"/>
      <w:marTop w:val="0"/>
      <w:marBottom w:val="0"/>
      <w:divBdr>
        <w:top w:val="none" w:sz="0" w:space="0" w:color="auto"/>
        <w:left w:val="none" w:sz="0" w:space="0" w:color="auto"/>
        <w:bottom w:val="none" w:sz="0" w:space="0" w:color="auto"/>
        <w:right w:val="none" w:sz="0" w:space="0" w:color="auto"/>
      </w:divBdr>
    </w:div>
    <w:div w:id="1912541049">
      <w:bodyDiv w:val="1"/>
      <w:marLeft w:val="0"/>
      <w:marRight w:val="0"/>
      <w:marTop w:val="0"/>
      <w:marBottom w:val="0"/>
      <w:divBdr>
        <w:top w:val="none" w:sz="0" w:space="0" w:color="auto"/>
        <w:left w:val="none" w:sz="0" w:space="0" w:color="auto"/>
        <w:bottom w:val="none" w:sz="0" w:space="0" w:color="auto"/>
        <w:right w:val="none" w:sz="0" w:space="0" w:color="auto"/>
      </w:divBdr>
    </w:div>
    <w:div w:id="1912545991">
      <w:bodyDiv w:val="1"/>
      <w:marLeft w:val="0"/>
      <w:marRight w:val="0"/>
      <w:marTop w:val="0"/>
      <w:marBottom w:val="0"/>
      <w:divBdr>
        <w:top w:val="none" w:sz="0" w:space="0" w:color="auto"/>
        <w:left w:val="none" w:sz="0" w:space="0" w:color="auto"/>
        <w:bottom w:val="none" w:sz="0" w:space="0" w:color="auto"/>
        <w:right w:val="none" w:sz="0" w:space="0" w:color="auto"/>
      </w:divBdr>
    </w:div>
    <w:div w:id="1912613772">
      <w:bodyDiv w:val="1"/>
      <w:marLeft w:val="0"/>
      <w:marRight w:val="0"/>
      <w:marTop w:val="0"/>
      <w:marBottom w:val="0"/>
      <w:divBdr>
        <w:top w:val="none" w:sz="0" w:space="0" w:color="auto"/>
        <w:left w:val="none" w:sz="0" w:space="0" w:color="auto"/>
        <w:bottom w:val="none" w:sz="0" w:space="0" w:color="auto"/>
        <w:right w:val="none" w:sz="0" w:space="0" w:color="auto"/>
      </w:divBdr>
    </w:div>
    <w:div w:id="1912616073">
      <w:bodyDiv w:val="1"/>
      <w:marLeft w:val="0"/>
      <w:marRight w:val="0"/>
      <w:marTop w:val="0"/>
      <w:marBottom w:val="0"/>
      <w:divBdr>
        <w:top w:val="none" w:sz="0" w:space="0" w:color="auto"/>
        <w:left w:val="none" w:sz="0" w:space="0" w:color="auto"/>
        <w:bottom w:val="none" w:sz="0" w:space="0" w:color="auto"/>
        <w:right w:val="none" w:sz="0" w:space="0" w:color="auto"/>
      </w:divBdr>
    </w:div>
    <w:div w:id="1912618508">
      <w:bodyDiv w:val="1"/>
      <w:marLeft w:val="0"/>
      <w:marRight w:val="0"/>
      <w:marTop w:val="0"/>
      <w:marBottom w:val="0"/>
      <w:divBdr>
        <w:top w:val="none" w:sz="0" w:space="0" w:color="auto"/>
        <w:left w:val="none" w:sz="0" w:space="0" w:color="auto"/>
        <w:bottom w:val="none" w:sz="0" w:space="0" w:color="auto"/>
        <w:right w:val="none" w:sz="0" w:space="0" w:color="auto"/>
      </w:divBdr>
    </w:div>
    <w:div w:id="1912693679">
      <w:bodyDiv w:val="1"/>
      <w:marLeft w:val="0"/>
      <w:marRight w:val="0"/>
      <w:marTop w:val="0"/>
      <w:marBottom w:val="0"/>
      <w:divBdr>
        <w:top w:val="none" w:sz="0" w:space="0" w:color="auto"/>
        <w:left w:val="none" w:sz="0" w:space="0" w:color="auto"/>
        <w:bottom w:val="none" w:sz="0" w:space="0" w:color="auto"/>
        <w:right w:val="none" w:sz="0" w:space="0" w:color="auto"/>
      </w:divBdr>
    </w:div>
    <w:div w:id="1912734213">
      <w:bodyDiv w:val="1"/>
      <w:marLeft w:val="0"/>
      <w:marRight w:val="0"/>
      <w:marTop w:val="0"/>
      <w:marBottom w:val="0"/>
      <w:divBdr>
        <w:top w:val="none" w:sz="0" w:space="0" w:color="auto"/>
        <w:left w:val="none" w:sz="0" w:space="0" w:color="auto"/>
        <w:bottom w:val="none" w:sz="0" w:space="0" w:color="auto"/>
        <w:right w:val="none" w:sz="0" w:space="0" w:color="auto"/>
      </w:divBdr>
    </w:div>
    <w:div w:id="1912736437">
      <w:bodyDiv w:val="1"/>
      <w:marLeft w:val="0"/>
      <w:marRight w:val="0"/>
      <w:marTop w:val="0"/>
      <w:marBottom w:val="0"/>
      <w:divBdr>
        <w:top w:val="none" w:sz="0" w:space="0" w:color="auto"/>
        <w:left w:val="none" w:sz="0" w:space="0" w:color="auto"/>
        <w:bottom w:val="none" w:sz="0" w:space="0" w:color="auto"/>
        <w:right w:val="none" w:sz="0" w:space="0" w:color="auto"/>
      </w:divBdr>
    </w:div>
    <w:div w:id="1912811148">
      <w:bodyDiv w:val="1"/>
      <w:marLeft w:val="0"/>
      <w:marRight w:val="0"/>
      <w:marTop w:val="0"/>
      <w:marBottom w:val="0"/>
      <w:divBdr>
        <w:top w:val="none" w:sz="0" w:space="0" w:color="auto"/>
        <w:left w:val="none" w:sz="0" w:space="0" w:color="auto"/>
        <w:bottom w:val="none" w:sz="0" w:space="0" w:color="auto"/>
        <w:right w:val="none" w:sz="0" w:space="0" w:color="auto"/>
      </w:divBdr>
    </w:div>
    <w:div w:id="1912811412">
      <w:bodyDiv w:val="1"/>
      <w:marLeft w:val="0"/>
      <w:marRight w:val="0"/>
      <w:marTop w:val="0"/>
      <w:marBottom w:val="0"/>
      <w:divBdr>
        <w:top w:val="none" w:sz="0" w:space="0" w:color="auto"/>
        <w:left w:val="none" w:sz="0" w:space="0" w:color="auto"/>
        <w:bottom w:val="none" w:sz="0" w:space="0" w:color="auto"/>
        <w:right w:val="none" w:sz="0" w:space="0" w:color="auto"/>
      </w:divBdr>
    </w:div>
    <w:div w:id="1912881730">
      <w:bodyDiv w:val="1"/>
      <w:marLeft w:val="0"/>
      <w:marRight w:val="0"/>
      <w:marTop w:val="0"/>
      <w:marBottom w:val="0"/>
      <w:divBdr>
        <w:top w:val="none" w:sz="0" w:space="0" w:color="auto"/>
        <w:left w:val="none" w:sz="0" w:space="0" w:color="auto"/>
        <w:bottom w:val="none" w:sz="0" w:space="0" w:color="auto"/>
        <w:right w:val="none" w:sz="0" w:space="0" w:color="auto"/>
      </w:divBdr>
    </w:div>
    <w:div w:id="1912959387">
      <w:bodyDiv w:val="1"/>
      <w:marLeft w:val="0"/>
      <w:marRight w:val="0"/>
      <w:marTop w:val="0"/>
      <w:marBottom w:val="0"/>
      <w:divBdr>
        <w:top w:val="none" w:sz="0" w:space="0" w:color="auto"/>
        <w:left w:val="none" w:sz="0" w:space="0" w:color="auto"/>
        <w:bottom w:val="none" w:sz="0" w:space="0" w:color="auto"/>
        <w:right w:val="none" w:sz="0" w:space="0" w:color="auto"/>
      </w:divBdr>
    </w:div>
    <w:div w:id="1913076415">
      <w:bodyDiv w:val="1"/>
      <w:marLeft w:val="0"/>
      <w:marRight w:val="0"/>
      <w:marTop w:val="0"/>
      <w:marBottom w:val="0"/>
      <w:divBdr>
        <w:top w:val="none" w:sz="0" w:space="0" w:color="auto"/>
        <w:left w:val="none" w:sz="0" w:space="0" w:color="auto"/>
        <w:bottom w:val="none" w:sz="0" w:space="0" w:color="auto"/>
        <w:right w:val="none" w:sz="0" w:space="0" w:color="auto"/>
      </w:divBdr>
    </w:div>
    <w:div w:id="1913270173">
      <w:bodyDiv w:val="1"/>
      <w:marLeft w:val="0"/>
      <w:marRight w:val="0"/>
      <w:marTop w:val="0"/>
      <w:marBottom w:val="0"/>
      <w:divBdr>
        <w:top w:val="none" w:sz="0" w:space="0" w:color="auto"/>
        <w:left w:val="none" w:sz="0" w:space="0" w:color="auto"/>
        <w:bottom w:val="none" w:sz="0" w:space="0" w:color="auto"/>
        <w:right w:val="none" w:sz="0" w:space="0" w:color="auto"/>
      </w:divBdr>
    </w:div>
    <w:div w:id="1913348133">
      <w:bodyDiv w:val="1"/>
      <w:marLeft w:val="0"/>
      <w:marRight w:val="0"/>
      <w:marTop w:val="0"/>
      <w:marBottom w:val="0"/>
      <w:divBdr>
        <w:top w:val="none" w:sz="0" w:space="0" w:color="auto"/>
        <w:left w:val="none" w:sz="0" w:space="0" w:color="auto"/>
        <w:bottom w:val="none" w:sz="0" w:space="0" w:color="auto"/>
        <w:right w:val="none" w:sz="0" w:space="0" w:color="auto"/>
      </w:divBdr>
    </w:div>
    <w:div w:id="1913394697">
      <w:bodyDiv w:val="1"/>
      <w:marLeft w:val="0"/>
      <w:marRight w:val="0"/>
      <w:marTop w:val="0"/>
      <w:marBottom w:val="0"/>
      <w:divBdr>
        <w:top w:val="none" w:sz="0" w:space="0" w:color="auto"/>
        <w:left w:val="none" w:sz="0" w:space="0" w:color="auto"/>
        <w:bottom w:val="none" w:sz="0" w:space="0" w:color="auto"/>
        <w:right w:val="none" w:sz="0" w:space="0" w:color="auto"/>
      </w:divBdr>
    </w:div>
    <w:div w:id="1913395582">
      <w:bodyDiv w:val="1"/>
      <w:marLeft w:val="0"/>
      <w:marRight w:val="0"/>
      <w:marTop w:val="0"/>
      <w:marBottom w:val="0"/>
      <w:divBdr>
        <w:top w:val="none" w:sz="0" w:space="0" w:color="auto"/>
        <w:left w:val="none" w:sz="0" w:space="0" w:color="auto"/>
        <w:bottom w:val="none" w:sz="0" w:space="0" w:color="auto"/>
        <w:right w:val="none" w:sz="0" w:space="0" w:color="auto"/>
      </w:divBdr>
    </w:div>
    <w:div w:id="1913463707">
      <w:bodyDiv w:val="1"/>
      <w:marLeft w:val="0"/>
      <w:marRight w:val="0"/>
      <w:marTop w:val="0"/>
      <w:marBottom w:val="0"/>
      <w:divBdr>
        <w:top w:val="none" w:sz="0" w:space="0" w:color="auto"/>
        <w:left w:val="none" w:sz="0" w:space="0" w:color="auto"/>
        <w:bottom w:val="none" w:sz="0" w:space="0" w:color="auto"/>
        <w:right w:val="none" w:sz="0" w:space="0" w:color="auto"/>
      </w:divBdr>
    </w:div>
    <w:div w:id="1913466455">
      <w:bodyDiv w:val="1"/>
      <w:marLeft w:val="0"/>
      <w:marRight w:val="0"/>
      <w:marTop w:val="0"/>
      <w:marBottom w:val="0"/>
      <w:divBdr>
        <w:top w:val="none" w:sz="0" w:space="0" w:color="auto"/>
        <w:left w:val="none" w:sz="0" w:space="0" w:color="auto"/>
        <w:bottom w:val="none" w:sz="0" w:space="0" w:color="auto"/>
        <w:right w:val="none" w:sz="0" w:space="0" w:color="auto"/>
      </w:divBdr>
    </w:div>
    <w:div w:id="1913616899">
      <w:bodyDiv w:val="1"/>
      <w:marLeft w:val="0"/>
      <w:marRight w:val="0"/>
      <w:marTop w:val="0"/>
      <w:marBottom w:val="0"/>
      <w:divBdr>
        <w:top w:val="none" w:sz="0" w:space="0" w:color="auto"/>
        <w:left w:val="none" w:sz="0" w:space="0" w:color="auto"/>
        <w:bottom w:val="none" w:sz="0" w:space="0" w:color="auto"/>
        <w:right w:val="none" w:sz="0" w:space="0" w:color="auto"/>
      </w:divBdr>
    </w:div>
    <w:div w:id="1913660004">
      <w:bodyDiv w:val="1"/>
      <w:marLeft w:val="0"/>
      <w:marRight w:val="0"/>
      <w:marTop w:val="0"/>
      <w:marBottom w:val="0"/>
      <w:divBdr>
        <w:top w:val="none" w:sz="0" w:space="0" w:color="auto"/>
        <w:left w:val="none" w:sz="0" w:space="0" w:color="auto"/>
        <w:bottom w:val="none" w:sz="0" w:space="0" w:color="auto"/>
        <w:right w:val="none" w:sz="0" w:space="0" w:color="auto"/>
      </w:divBdr>
    </w:div>
    <w:div w:id="1913732191">
      <w:bodyDiv w:val="1"/>
      <w:marLeft w:val="0"/>
      <w:marRight w:val="0"/>
      <w:marTop w:val="0"/>
      <w:marBottom w:val="0"/>
      <w:divBdr>
        <w:top w:val="none" w:sz="0" w:space="0" w:color="auto"/>
        <w:left w:val="none" w:sz="0" w:space="0" w:color="auto"/>
        <w:bottom w:val="none" w:sz="0" w:space="0" w:color="auto"/>
        <w:right w:val="none" w:sz="0" w:space="0" w:color="auto"/>
      </w:divBdr>
    </w:div>
    <w:div w:id="1913815006">
      <w:bodyDiv w:val="1"/>
      <w:marLeft w:val="0"/>
      <w:marRight w:val="0"/>
      <w:marTop w:val="0"/>
      <w:marBottom w:val="0"/>
      <w:divBdr>
        <w:top w:val="none" w:sz="0" w:space="0" w:color="auto"/>
        <w:left w:val="none" w:sz="0" w:space="0" w:color="auto"/>
        <w:bottom w:val="none" w:sz="0" w:space="0" w:color="auto"/>
        <w:right w:val="none" w:sz="0" w:space="0" w:color="auto"/>
      </w:divBdr>
    </w:div>
    <w:div w:id="1913856872">
      <w:bodyDiv w:val="1"/>
      <w:marLeft w:val="0"/>
      <w:marRight w:val="0"/>
      <w:marTop w:val="0"/>
      <w:marBottom w:val="0"/>
      <w:divBdr>
        <w:top w:val="none" w:sz="0" w:space="0" w:color="auto"/>
        <w:left w:val="none" w:sz="0" w:space="0" w:color="auto"/>
        <w:bottom w:val="none" w:sz="0" w:space="0" w:color="auto"/>
        <w:right w:val="none" w:sz="0" w:space="0" w:color="auto"/>
      </w:divBdr>
    </w:div>
    <w:div w:id="1913925037">
      <w:bodyDiv w:val="1"/>
      <w:marLeft w:val="0"/>
      <w:marRight w:val="0"/>
      <w:marTop w:val="0"/>
      <w:marBottom w:val="0"/>
      <w:divBdr>
        <w:top w:val="none" w:sz="0" w:space="0" w:color="auto"/>
        <w:left w:val="none" w:sz="0" w:space="0" w:color="auto"/>
        <w:bottom w:val="none" w:sz="0" w:space="0" w:color="auto"/>
        <w:right w:val="none" w:sz="0" w:space="0" w:color="auto"/>
      </w:divBdr>
    </w:div>
    <w:div w:id="1914008007">
      <w:bodyDiv w:val="1"/>
      <w:marLeft w:val="0"/>
      <w:marRight w:val="0"/>
      <w:marTop w:val="0"/>
      <w:marBottom w:val="0"/>
      <w:divBdr>
        <w:top w:val="none" w:sz="0" w:space="0" w:color="auto"/>
        <w:left w:val="none" w:sz="0" w:space="0" w:color="auto"/>
        <w:bottom w:val="none" w:sz="0" w:space="0" w:color="auto"/>
        <w:right w:val="none" w:sz="0" w:space="0" w:color="auto"/>
      </w:divBdr>
    </w:div>
    <w:div w:id="1914048689">
      <w:bodyDiv w:val="1"/>
      <w:marLeft w:val="0"/>
      <w:marRight w:val="0"/>
      <w:marTop w:val="0"/>
      <w:marBottom w:val="0"/>
      <w:divBdr>
        <w:top w:val="none" w:sz="0" w:space="0" w:color="auto"/>
        <w:left w:val="none" w:sz="0" w:space="0" w:color="auto"/>
        <w:bottom w:val="none" w:sz="0" w:space="0" w:color="auto"/>
        <w:right w:val="none" w:sz="0" w:space="0" w:color="auto"/>
      </w:divBdr>
    </w:div>
    <w:div w:id="1914050385">
      <w:bodyDiv w:val="1"/>
      <w:marLeft w:val="0"/>
      <w:marRight w:val="0"/>
      <w:marTop w:val="0"/>
      <w:marBottom w:val="0"/>
      <w:divBdr>
        <w:top w:val="none" w:sz="0" w:space="0" w:color="auto"/>
        <w:left w:val="none" w:sz="0" w:space="0" w:color="auto"/>
        <w:bottom w:val="none" w:sz="0" w:space="0" w:color="auto"/>
        <w:right w:val="none" w:sz="0" w:space="0" w:color="auto"/>
      </w:divBdr>
    </w:div>
    <w:div w:id="1914122502">
      <w:bodyDiv w:val="1"/>
      <w:marLeft w:val="0"/>
      <w:marRight w:val="0"/>
      <w:marTop w:val="0"/>
      <w:marBottom w:val="0"/>
      <w:divBdr>
        <w:top w:val="none" w:sz="0" w:space="0" w:color="auto"/>
        <w:left w:val="none" w:sz="0" w:space="0" w:color="auto"/>
        <w:bottom w:val="none" w:sz="0" w:space="0" w:color="auto"/>
        <w:right w:val="none" w:sz="0" w:space="0" w:color="auto"/>
      </w:divBdr>
    </w:div>
    <w:div w:id="1914191876">
      <w:bodyDiv w:val="1"/>
      <w:marLeft w:val="0"/>
      <w:marRight w:val="0"/>
      <w:marTop w:val="0"/>
      <w:marBottom w:val="0"/>
      <w:divBdr>
        <w:top w:val="none" w:sz="0" w:space="0" w:color="auto"/>
        <w:left w:val="none" w:sz="0" w:space="0" w:color="auto"/>
        <w:bottom w:val="none" w:sz="0" w:space="0" w:color="auto"/>
        <w:right w:val="none" w:sz="0" w:space="0" w:color="auto"/>
      </w:divBdr>
    </w:div>
    <w:div w:id="1914192040">
      <w:bodyDiv w:val="1"/>
      <w:marLeft w:val="0"/>
      <w:marRight w:val="0"/>
      <w:marTop w:val="0"/>
      <w:marBottom w:val="0"/>
      <w:divBdr>
        <w:top w:val="none" w:sz="0" w:space="0" w:color="auto"/>
        <w:left w:val="none" w:sz="0" w:space="0" w:color="auto"/>
        <w:bottom w:val="none" w:sz="0" w:space="0" w:color="auto"/>
        <w:right w:val="none" w:sz="0" w:space="0" w:color="auto"/>
      </w:divBdr>
    </w:div>
    <w:div w:id="1914197886">
      <w:bodyDiv w:val="1"/>
      <w:marLeft w:val="0"/>
      <w:marRight w:val="0"/>
      <w:marTop w:val="0"/>
      <w:marBottom w:val="0"/>
      <w:divBdr>
        <w:top w:val="none" w:sz="0" w:space="0" w:color="auto"/>
        <w:left w:val="none" w:sz="0" w:space="0" w:color="auto"/>
        <w:bottom w:val="none" w:sz="0" w:space="0" w:color="auto"/>
        <w:right w:val="none" w:sz="0" w:space="0" w:color="auto"/>
      </w:divBdr>
    </w:div>
    <w:div w:id="1914314396">
      <w:bodyDiv w:val="1"/>
      <w:marLeft w:val="0"/>
      <w:marRight w:val="0"/>
      <w:marTop w:val="0"/>
      <w:marBottom w:val="0"/>
      <w:divBdr>
        <w:top w:val="none" w:sz="0" w:space="0" w:color="auto"/>
        <w:left w:val="none" w:sz="0" w:space="0" w:color="auto"/>
        <w:bottom w:val="none" w:sz="0" w:space="0" w:color="auto"/>
        <w:right w:val="none" w:sz="0" w:space="0" w:color="auto"/>
      </w:divBdr>
    </w:div>
    <w:div w:id="1914460538">
      <w:bodyDiv w:val="1"/>
      <w:marLeft w:val="0"/>
      <w:marRight w:val="0"/>
      <w:marTop w:val="0"/>
      <w:marBottom w:val="0"/>
      <w:divBdr>
        <w:top w:val="none" w:sz="0" w:space="0" w:color="auto"/>
        <w:left w:val="none" w:sz="0" w:space="0" w:color="auto"/>
        <w:bottom w:val="none" w:sz="0" w:space="0" w:color="auto"/>
        <w:right w:val="none" w:sz="0" w:space="0" w:color="auto"/>
      </w:divBdr>
    </w:div>
    <w:div w:id="1914464546">
      <w:bodyDiv w:val="1"/>
      <w:marLeft w:val="0"/>
      <w:marRight w:val="0"/>
      <w:marTop w:val="0"/>
      <w:marBottom w:val="0"/>
      <w:divBdr>
        <w:top w:val="none" w:sz="0" w:space="0" w:color="auto"/>
        <w:left w:val="none" w:sz="0" w:space="0" w:color="auto"/>
        <w:bottom w:val="none" w:sz="0" w:space="0" w:color="auto"/>
        <w:right w:val="none" w:sz="0" w:space="0" w:color="auto"/>
      </w:divBdr>
    </w:div>
    <w:div w:id="1914465576">
      <w:bodyDiv w:val="1"/>
      <w:marLeft w:val="0"/>
      <w:marRight w:val="0"/>
      <w:marTop w:val="0"/>
      <w:marBottom w:val="0"/>
      <w:divBdr>
        <w:top w:val="none" w:sz="0" w:space="0" w:color="auto"/>
        <w:left w:val="none" w:sz="0" w:space="0" w:color="auto"/>
        <w:bottom w:val="none" w:sz="0" w:space="0" w:color="auto"/>
        <w:right w:val="none" w:sz="0" w:space="0" w:color="auto"/>
      </w:divBdr>
    </w:div>
    <w:div w:id="1914465763">
      <w:bodyDiv w:val="1"/>
      <w:marLeft w:val="0"/>
      <w:marRight w:val="0"/>
      <w:marTop w:val="0"/>
      <w:marBottom w:val="0"/>
      <w:divBdr>
        <w:top w:val="none" w:sz="0" w:space="0" w:color="auto"/>
        <w:left w:val="none" w:sz="0" w:space="0" w:color="auto"/>
        <w:bottom w:val="none" w:sz="0" w:space="0" w:color="auto"/>
        <w:right w:val="none" w:sz="0" w:space="0" w:color="auto"/>
      </w:divBdr>
    </w:div>
    <w:div w:id="1914583038">
      <w:bodyDiv w:val="1"/>
      <w:marLeft w:val="0"/>
      <w:marRight w:val="0"/>
      <w:marTop w:val="0"/>
      <w:marBottom w:val="0"/>
      <w:divBdr>
        <w:top w:val="none" w:sz="0" w:space="0" w:color="auto"/>
        <w:left w:val="none" w:sz="0" w:space="0" w:color="auto"/>
        <w:bottom w:val="none" w:sz="0" w:space="0" w:color="auto"/>
        <w:right w:val="none" w:sz="0" w:space="0" w:color="auto"/>
      </w:divBdr>
    </w:div>
    <w:div w:id="1914656191">
      <w:bodyDiv w:val="1"/>
      <w:marLeft w:val="0"/>
      <w:marRight w:val="0"/>
      <w:marTop w:val="0"/>
      <w:marBottom w:val="0"/>
      <w:divBdr>
        <w:top w:val="none" w:sz="0" w:space="0" w:color="auto"/>
        <w:left w:val="none" w:sz="0" w:space="0" w:color="auto"/>
        <w:bottom w:val="none" w:sz="0" w:space="0" w:color="auto"/>
        <w:right w:val="none" w:sz="0" w:space="0" w:color="auto"/>
      </w:divBdr>
    </w:div>
    <w:div w:id="1914848821">
      <w:bodyDiv w:val="1"/>
      <w:marLeft w:val="0"/>
      <w:marRight w:val="0"/>
      <w:marTop w:val="0"/>
      <w:marBottom w:val="0"/>
      <w:divBdr>
        <w:top w:val="none" w:sz="0" w:space="0" w:color="auto"/>
        <w:left w:val="none" w:sz="0" w:space="0" w:color="auto"/>
        <w:bottom w:val="none" w:sz="0" w:space="0" w:color="auto"/>
        <w:right w:val="none" w:sz="0" w:space="0" w:color="auto"/>
      </w:divBdr>
    </w:div>
    <w:div w:id="1914850724">
      <w:bodyDiv w:val="1"/>
      <w:marLeft w:val="0"/>
      <w:marRight w:val="0"/>
      <w:marTop w:val="0"/>
      <w:marBottom w:val="0"/>
      <w:divBdr>
        <w:top w:val="none" w:sz="0" w:space="0" w:color="auto"/>
        <w:left w:val="none" w:sz="0" w:space="0" w:color="auto"/>
        <w:bottom w:val="none" w:sz="0" w:space="0" w:color="auto"/>
        <w:right w:val="none" w:sz="0" w:space="0" w:color="auto"/>
      </w:divBdr>
    </w:div>
    <w:div w:id="1914965839">
      <w:bodyDiv w:val="1"/>
      <w:marLeft w:val="0"/>
      <w:marRight w:val="0"/>
      <w:marTop w:val="0"/>
      <w:marBottom w:val="0"/>
      <w:divBdr>
        <w:top w:val="none" w:sz="0" w:space="0" w:color="auto"/>
        <w:left w:val="none" w:sz="0" w:space="0" w:color="auto"/>
        <w:bottom w:val="none" w:sz="0" w:space="0" w:color="auto"/>
        <w:right w:val="none" w:sz="0" w:space="0" w:color="auto"/>
      </w:divBdr>
    </w:div>
    <w:div w:id="1915360240">
      <w:bodyDiv w:val="1"/>
      <w:marLeft w:val="0"/>
      <w:marRight w:val="0"/>
      <w:marTop w:val="0"/>
      <w:marBottom w:val="0"/>
      <w:divBdr>
        <w:top w:val="none" w:sz="0" w:space="0" w:color="auto"/>
        <w:left w:val="none" w:sz="0" w:space="0" w:color="auto"/>
        <w:bottom w:val="none" w:sz="0" w:space="0" w:color="auto"/>
        <w:right w:val="none" w:sz="0" w:space="0" w:color="auto"/>
      </w:divBdr>
    </w:div>
    <w:div w:id="1915384786">
      <w:bodyDiv w:val="1"/>
      <w:marLeft w:val="0"/>
      <w:marRight w:val="0"/>
      <w:marTop w:val="0"/>
      <w:marBottom w:val="0"/>
      <w:divBdr>
        <w:top w:val="none" w:sz="0" w:space="0" w:color="auto"/>
        <w:left w:val="none" w:sz="0" w:space="0" w:color="auto"/>
        <w:bottom w:val="none" w:sz="0" w:space="0" w:color="auto"/>
        <w:right w:val="none" w:sz="0" w:space="0" w:color="auto"/>
      </w:divBdr>
    </w:div>
    <w:div w:id="1915385672">
      <w:bodyDiv w:val="1"/>
      <w:marLeft w:val="0"/>
      <w:marRight w:val="0"/>
      <w:marTop w:val="0"/>
      <w:marBottom w:val="0"/>
      <w:divBdr>
        <w:top w:val="none" w:sz="0" w:space="0" w:color="auto"/>
        <w:left w:val="none" w:sz="0" w:space="0" w:color="auto"/>
        <w:bottom w:val="none" w:sz="0" w:space="0" w:color="auto"/>
        <w:right w:val="none" w:sz="0" w:space="0" w:color="auto"/>
      </w:divBdr>
    </w:div>
    <w:div w:id="1915428714">
      <w:bodyDiv w:val="1"/>
      <w:marLeft w:val="0"/>
      <w:marRight w:val="0"/>
      <w:marTop w:val="0"/>
      <w:marBottom w:val="0"/>
      <w:divBdr>
        <w:top w:val="none" w:sz="0" w:space="0" w:color="auto"/>
        <w:left w:val="none" w:sz="0" w:space="0" w:color="auto"/>
        <w:bottom w:val="none" w:sz="0" w:space="0" w:color="auto"/>
        <w:right w:val="none" w:sz="0" w:space="0" w:color="auto"/>
      </w:divBdr>
    </w:div>
    <w:div w:id="1915434565">
      <w:bodyDiv w:val="1"/>
      <w:marLeft w:val="0"/>
      <w:marRight w:val="0"/>
      <w:marTop w:val="0"/>
      <w:marBottom w:val="0"/>
      <w:divBdr>
        <w:top w:val="none" w:sz="0" w:space="0" w:color="auto"/>
        <w:left w:val="none" w:sz="0" w:space="0" w:color="auto"/>
        <w:bottom w:val="none" w:sz="0" w:space="0" w:color="auto"/>
        <w:right w:val="none" w:sz="0" w:space="0" w:color="auto"/>
      </w:divBdr>
    </w:div>
    <w:div w:id="1915579593">
      <w:bodyDiv w:val="1"/>
      <w:marLeft w:val="0"/>
      <w:marRight w:val="0"/>
      <w:marTop w:val="0"/>
      <w:marBottom w:val="0"/>
      <w:divBdr>
        <w:top w:val="none" w:sz="0" w:space="0" w:color="auto"/>
        <w:left w:val="none" w:sz="0" w:space="0" w:color="auto"/>
        <w:bottom w:val="none" w:sz="0" w:space="0" w:color="auto"/>
        <w:right w:val="none" w:sz="0" w:space="0" w:color="auto"/>
      </w:divBdr>
    </w:div>
    <w:div w:id="1915582561">
      <w:bodyDiv w:val="1"/>
      <w:marLeft w:val="0"/>
      <w:marRight w:val="0"/>
      <w:marTop w:val="0"/>
      <w:marBottom w:val="0"/>
      <w:divBdr>
        <w:top w:val="none" w:sz="0" w:space="0" w:color="auto"/>
        <w:left w:val="none" w:sz="0" w:space="0" w:color="auto"/>
        <w:bottom w:val="none" w:sz="0" w:space="0" w:color="auto"/>
        <w:right w:val="none" w:sz="0" w:space="0" w:color="auto"/>
      </w:divBdr>
    </w:div>
    <w:div w:id="1915623866">
      <w:bodyDiv w:val="1"/>
      <w:marLeft w:val="0"/>
      <w:marRight w:val="0"/>
      <w:marTop w:val="0"/>
      <w:marBottom w:val="0"/>
      <w:divBdr>
        <w:top w:val="none" w:sz="0" w:space="0" w:color="auto"/>
        <w:left w:val="none" w:sz="0" w:space="0" w:color="auto"/>
        <w:bottom w:val="none" w:sz="0" w:space="0" w:color="auto"/>
        <w:right w:val="none" w:sz="0" w:space="0" w:color="auto"/>
      </w:divBdr>
    </w:div>
    <w:div w:id="1915699993">
      <w:bodyDiv w:val="1"/>
      <w:marLeft w:val="0"/>
      <w:marRight w:val="0"/>
      <w:marTop w:val="0"/>
      <w:marBottom w:val="0"/>
      <w:divBdr>
        <w:top w:val="none" w:sz="0" w:space="0" w:color="auto"/>
        <w:left w:val="none" w:sz="0" w:space="0" w:color="auto"/>
        <w:bottom w:val="none" w:sz="0" w:space="0" w:color="auto"/>
        <w:right w:val="none" w:sz="0" w:space="0" w:color="auto"/>
      </w:divBdr>
    </w:div>
    <w:div w:id="1915702163">
      <w:bodyDiv w:val="1"/>
      <w:marLeft w:val="0"/>
      <w:marRight w:val="0"/>
      <w:marTop w:val="0"/>
      <w:marBottom w:val="0"/>
      <w:divBdr>
        <w:top w:val="none" w:sz="0" w:space="0" w:color="auto"/>
        <w:left w:val="none" w:sz="0" w:space="0" w:color="auto"/>
        <w:bottom w:val="none" w:sz="0" w:space="0" w:color="auto"/>
        <w:right w:val="none" w:sz="0" w:space="0" w:color="auto"/>
      </w:divBdr>
    </w:div>
    <w:div w:id="1915820863">
      <w:bodyDiv w:val="1"/>
      <w:marLeft w:val="0"/>
      <w:marRight w:val="0"/>
      <w:marTop w:val="0"/>
      <w:marBottom w:val="0"/>
      <w:divBdr>
        <w:top w:val="none" w:sz="0" w:space="0" w:color="auto"/>
        <w:left w:val="none" w:sz="0" w:space="0" w:color="auto"/>
        <w:bottom w:val="none" w:sz="0" w:space="0" w:color="auto"/>
        <w:right w:val="none" w:sz="0" w:space="0" w:color="auto"/>
      </w:divBdr>
    </w:div>
    <w:div w:id="1915892681">
      <w:bodyDiv w:val="1"/>
      <w:marLeft w:val="0"/>
      <w:marRight w:val="0"/>
      <w:marTop w:val="0"/>
      <w:marBottom w:val="0"/>
      <w:divBdr>
        <w:top w:val="none" w:sz="0" w:space="0" w:color="auto"/>
        <w:left w:val="none" w:sz="0" w:space="0" w:color="auto"/>
        <w:bottom w:val="none" w:sz="0" w:space="0" w:color="auto"/>
        <w:right w:val="none" w:sz="0" w:space="0" w:color="auto"/>
      </w:divBdr>
    </w:div>
    <w:div w:id="1915898645">
      <w:bodyDiv w:val="1"/>
      <w:marLeft w:val="0"/>
      <w:marRight w:val="0"/>
      <w:marTop w:val="0"/>
      <w:marBottom w:val="0"/>
      <w:divBdr>
        <w:top w:val="none" w:sz="0" w:space="0" w:color="auto"/>
        <w:left w:val="none" w:sz="0" w:space="0" w:color="auto"/>
        <w:bottom w:val="none" w:sz="0" w:space="0" w:color="auto"/>
        <w:right w:val="none" w:sz="0" w:space="0" w:color="auto"/>
      </w:divBdr>
    </w:div>
    <w:div w:id="1916012067">
      <w:bodyDiv w:val="1"/>
      <w:marLeft w:val="0"/>
      <w:marRight w:val="0"/>
      <w:marTop w:val="0"/>
      <w:marBottom w:val="0"/>
      <w:divBdr>
        <w:top w:val="none" w:sz="0" w:space="0" w:color="auto"/>
        <w:left w:val="none" w:sz="0" w:space="0" w:color="auto"/>
        <w:bottom w:val="none" w:sz="0" w:space="0" w:color="auto"/>
        <w:right w:val="none" w:sz="0" w:space="0" w:color="auto"/>
      </w:divBdr>
    </w:div>
    <w:div w:id="1916014846">
      <w:bodyDiv w:val="1"/>
      <w:marLeft w:val="0"/>
      <w:marRight w:val="0"/>
      <w:marTop w:val="0"/>
      <w:marBottom w:val="0"/>
      <w:divBdr>
        <w:top w:val="none" w:sz="0" w:space="0" w:color="auto"/>
        <w:left w:val="none" w:sz="0" w:space="0" w:color="auto"/>
        <w:bottom w:val="none" w:sz="0" w:space="0" w:color="auto"/>
        <w:right w:val="none" w:sz="0" w:space="0" w:color="auto"/>
      </w:divBdr>
    </w:div>
    <w:div w:id="1916015032">
      <w:bodyDiv w:val="1"/>
      <w:marLeft w:val="0"/>
      <w:marRight w:val="0"/>
      <w:marTop w:val="0"/>
      <w:marBottom w:val="0"/>
      <w:divBdr>
        <w:top w:val="none" w:sz="0" w:space="0" w:color="auto"/>
        <w:left w:val="none" w:sz="0" w:space="0" w:color="auto"/>
        <w:bottom w:val="none" w:sz="0" w:space="0" w:color="auto"/>
        <w:right w:val="none" w:sz="0" w:space="0" w:color="auto"/>
      </w:divBdr>
    </w:div>
    <w:div w:id="1916040780">
      <w:bodyDiv w:val="1"/>
      <w:marLeft w:val="0"/>
      <w:marRight w:val="0"/>
      <w:marTop w:val="0"/>
      <w:marBottom w:val="0"/>
      <w:divBdr>
        <w:top w:val="none" w:sz="0" w:space="0" w:color="auto"/>
        <w:left w:val="none" w:sz="0" w:space="0" w:color="auto"/>
        <w:bottom w:val="none" w:sz="0" w:space="0" w:color="auto"/>
        <w:right w:val="none" w:sz="0" w:space="0" w:color="auto"/>
      </w:divBdr>
    </w:div>
    <w:div w:id="1916239662">
      <w:bodyDiv w:val="1"/>
      <w:marLeft w:val="0"/>
      <w:marRight w:val="0"/>
      <w:marTop w:val="0"/>
      <w:marBottom w:val="0"/>
      <w:divBdr>
        <w:top w:val="none" w:sz="0" w:space="0" w:color="auto"/>
        <w:left w:val="none" w:sz="0" w:space="0" w:color="auto"/>
        <w:bottom w:val="none" w:sz="0" w:space="0" w:color="auto"/>
        <w:right w:val="none" w:sz="0" w:space="0" w:color="auto"/>
      </w:divBdr>
    </w:div>
    <w:div w:id="1916282414">
      <w:bodyDiv w:val="1"/>
      <w:marLeft w:val="0"/>
      <w:marRight w:val="0"/>
      <w:marTop w:val="0"/>
      <w:marBottom w:val="0"/>
      <w:divBdr>
        <w:top w:val="none" w:sz="0" w:space="0" w:color="auto"/>
        <w:left w:val="none" w:sz="0" w:space="0" w:color="auto"/>
        <w:bottom w:val="none" w:sz="0" w:space="0" w:color="auto"/>
        <w:right w:val="none" w:sz="0" w:space="0" w:color="auto"/>
      </w:divBdr>
    </w:div>
    <w:div w:id="1916283409">
      <w:bodyDiv w:val="1"/>
      <w:marLeft w:val="0"/>
      <w:marRight w:val="0"/>
      <w:marTop w:val="0"/>
      <w:marBottom w:val="0"/>
      <w:divBdr>
        <w:top w:val="none" w:sz="0" w:space="0" w:color="auto"/>
        <w:left w:val="none" w:sz="0" w:space="0" w:color="auto"/>
        <w:bottom w:val="none" w:sz="0" w:space="0" w:color="auto"/>
        <w:right w:val="none" w:sz="0" w:space="0" w:color="auto"/>
      </w:divBdr>
    </w:div>
    <w:div w:id="1916355151">
      <w:bodyDiv w:val="1"/>
      <w:marLeft w:val="0"/>
      <w:marRight w:val="0"/>
      <w:marTop w:val="0"/>
      <w:marBottom w:val="0"/>
      <w:divBdr>
        <w:top w:val="none" w:sz="0" w:space="0" w:color="auto"/>
        <w:left w:val="none" w:sz="0" w:space="0" w:color="auto"/>
        <w:bottom w:val="none" w:sz="0" w:space="0" w:color="auto"/>
        <w:right w:val="none" w:sz="0" w:space="0" w:color="auto"/>
      </w:divBdr>
    </w:div>
    <w:div w:id="1916355419">
      <w:bodyDiv w:val="1"/>
      <w:marLeft w:val="0"/>
      <w:marRight w:val="0"/>
      <w:marTop w:val="0"/>
      <w:marBottom w:val="0"/>
      <w:divBdr>
        <w:top w:val="none" w:sz="0" w:space="0" w:color="auto"/>
        <w:left w:val="none" w:sz="0" w:space="0" w:color="auto"/>
        <w:bottom w:val="none" w:sz="0" w:space="0" w:color="auto"/>
        <w:right w:val="none" w:sz="0" w:space="0" w:color="auto"/>
      </w:divBdr>
    </w:div>
    <w:div w:id="1916360635">
      <w:bodyDiv w:val="1"/>
      <w:marLeft w:val="0"/>
      <w:marRight w:val="0"/>
      <w:marTop w:val="0"/>
      <w:marBottom w:val="0"/>
      <w:divBdr>
        <w:top w:val="none" w:sz="0" w:space="0" w:color="auto"/>
        <w:left w:val="none" w:sz="0" w:space="0" w:color="auto"/>
        <w:bottom w:val="none" w:sz="0" w:space="0" w:color="auto"/>
        <w:right w:val="none" w:sz="0" w:space="0" w:color="auto"/>
      </w:divBdr>
    </w:div>
    <w:div w:id="1916469433">
      <w:bodyDiv w:val="1"/>
      <w:marLeft w:val="0"/>
      <w:marRight w:val="0"/>
      <w:marTop w:val="0"/>
      <w:marBottom w:val="0"/>
      <w:divBdr>
        <w:top w:val="none" w:sz="0" w:space="0" w:color="auto"/>
        <w:left w:val="none" w:sz="0" w:space="0" w:color="auto"/>
        <w:bottom w:val="none" w:sz="0" w:space="0" w:color="auto"/>
        <w:right w:val="none" w:sz="0" w:space="0" w:color="auto"/>
      </w:divBdr>
    </w:div>
    <w:div w:id="1916475257">
      <w:bodyDiv w:val="1"/>
      <w:marLeft w:val="0"/>
      <w:marRight w:val="0"/>
      <w:marTop w:val="0"/>
      <w:marBottom w:val="0"/>
      <w:divBdr>
        <w:top w:val="none" w:sz="0" w:space="0" w:color="auto"/>
        <w:left w:val="none" w:sz="0" w:space="0" w:color="auto"/>
        <w:bottom w:val="none" w:sz="0" w:space="0" w:color="auto"/>
        <w:right w:val="none" w:sz="0" w:space="0" w:color="auto"/>
      </w:divBdr>
    </w:div>
    <w:div w:id="1916666799">
      <w:bodyDiv w:val="1"/>
      <w:marLeft w:val="0"/>
      <w:marRight w:val="0"/>
      <w:marTop w:val="0"/>
      <w:marBottom w:val="0"/>
      <w:divBdr>
        <w:top w:val="none" w:sz="0" w:space="0" w:color="auto"/>
        <w:left w:val="none" w:sz="0" w:space="0" w:color="auto"/>
        <w:bottom w:val="none" w:sz="0" w:space="0" w:color="auto"/>
        <w:right w:val="none" w:sz="0" w:space="0" w:color="auto"/>
      </w:divBdr>
    </w:div>
    <w:div w:id="1916891503">
      <w:bodyDiv w:val="1"/>
      <w:marLeft w:val="0"/>
      <w:marRight w:val="0"/>
      <w:marTop w:val="0"/>
      <w:marBottom w:val="0"/>
      <w:divBdr>
        <w:top w:val="none" w:sz="0" w:space="0" w:color="auto"/>
        <w:left w:val="none" w:sz="0" w:space="0" w:color="auto"/>
        <w:bottom w:val="none" w:sz="0" w:space="0" w:color="auto"/>
        <w:right w:val="none" w:sz="0" w:space="0" w:color="auto"/>
      </w:divBdr>
    </w:div>
    <w:div w:id="1916935054">
      <w:bodyDiv w:val="1"/>
      <w:marLeft w:val="0"/>
      <w:marRight w:val="0"/>
      <w:marTop w:val="0"/>
      <w:marBottom w:val="0"/>
      <w:divBdr>
        <w:top w:val="none" w:sz="0" w:space="0" w:color="auto"/>
        <w:left w:val="none" w:sz="0" w:space="0" w:color="auto"/>
        <w:bottom w:val="none" w:sz="0" w:space="0" w:color="auto"/>
        <w:right w:val="none" w:sz="0" w:space="0" w:color="auto"/>
      </w:divBdr>
    </w:div>
    <w:div w:id="1916936966">
      <w:bodyDiv w:val="1"/>
      <w:marLeft w:val="0"/>
      <w:marRight w:val="0"/>
      <w:marTop w:val="0"/>
      <w:marBottom w:val="0"/>
      <w:divBdr>
        <w:top w:val="none" w:sz="0" w:space="0" w:color="auto"/>
        <w:left w:val="none" w:sz="0" w:space="0" w:color="auto"/>
        <w:bottom w:val="none" w:sz="0" w:space="0" w:color="auto"/>
        <w:right w:val="none" w:sz="0" w:space="0" w:color="auto"/>
      </w:divBdr>
    </w:div>
    <w:div w:id="1917087714">
      <w:bodyDiv w:val="1"/>
      <w:marLeft w:val="0"/>
      <w:marRight w:val="0"/>
      <w:marTop w:val="0"/>
      <w:marBottom w:val="0"/>
      <w:divBdr>
        <w:top w:val="none" w:sz="0" w:space="0" w:color="auto"/>
        <w:left w:val="none" w:sz="0" w:space="0" w:color="auto"/>
        <w:bottom w:val="none" w:sz="0" w:space="0" w:color="auto"/>
        <w:right w:val="none" w:sz="0" w:space="0" w:color="auto"/>
      </w:divBdr>
    </w:div>
    <w:div w:id="1917204321">
      <w:bodyDiv w:val="1"/>
      <w:marLeft w:val="0"/>
      <w:marRight w:val="0"/>
      <w:marTop w:val="0"/>
      <w:marBottom w:val="0"/>
      <w:divBdr>
        <w:top w:val="none" w:sz="0" w:space="0" w:color="auto"/>
        <w:left w:val="none" w:sz="0" w:space="0" w:color="auto"/>
        <w:bottom w:val="none" w:sz="0" w:space="0" w:color="auto"/>
        <w:right w:val="none" w:sz="0" w:space="0" w:color="auto"/>
      </w:divBdr>
    </w:div>
    <w:div w:id="1917207537">
      <w:bodyDiv w:val="1"/>
      <w:marLeft w:val="0"/>
      <w:marRight w:val="0"/>
      <w:marTop w:val="0"/>
      <w:marBottom w:val="0"/>
      <w:divBdr>
        <w:top w:val="none" w:sz="0" w:space="0" w:color="auto"/>
        <w:left w:val="none" w:sz="0" w:space="0" w:color="auto"/>
        <w:bottom w:val="none" w:sz="0" w:space="0" w:color="auto"/>
        <w:right w:val="none" w:sz="0" w:space="0" w:color="auto"/>
      </w:divBdr>
    </w:div>
    <w:div w:id="1917351953">
      <w:bodyDiv w:val="1"/>
      <w:marLeft w:val="0"/>
      <w:marRight w:val="0"/>
      <w:marTop w:val="0"/>
      <w:marBottom w:val="0"/>
      <w:divBdr>
        <w:top w:val="none" w:sz="0" w:space="0" w:color="auto"/>
        <w:left w:val="none" w:sz="0" w:space="0" w:color="auto"/>
        <w:bottom w:val="none" w:sz="0" w:space="0" w:color="auto"/>
        <w:right w:val="none" w:sz="0" w:space="0" w:color="auto"/>
      </w:divBdr>
    </w:div>
    <w:div w:id="1917352755">
      <w:bodyDiv w:val="1"/>
      <w:marLeft w:val="0"/>
      <w:marRight w:val="0"/>
      <w:marTop w:val="0"/>
      <w:marBottom w:val="0"/>
      <w:divBdr>
        <w:top w:val="none" w:sz="0" w:space="0" w:color="auto"/>
        <w:left w:val="none" w:sz="0" w:space="0" w:color="auto"/>
        <w:bottom w:val="none" w:sz="0" w:space="0" w:color="auto"/>
        <w:right w:val="none" w:sz="0" w:space="0" w:color="auto"/>
      </w:divBdr>
    </w:div>
    <w:div w:id="1917353194">
      <w:bodyDiv w:val="1"/>
      <w:marLeft w:val="0"/>
      <w:marRight w:val="0"/>
      <w:marTop w:val="0"/>
      <w:marBottom w:val="0"/>
      <w:divBdr>
        <w:top w:val="none" w:sz="0" w:space="0" w:color="auto"/>
        <w:left w:val="none" w:sz="0" w:space="0" w:color="auto"/>
        <w:bottom w:val="none" w:sz="0" w:space="0" w:color="auto"/>
        <w:right w:val="none" w:sz="0" w:space="0" w:color="auto"/>
      </w:divBdr>
    </w:div>
    <w:div w:id="1917548215">
      <w:bodyDiv w:val="1"/>
      <w:marLeft w:val="0"/>
      <w:marRight w:val="0"/>
      <w:marTop w:val="0"/>
      <w:marBottom w:val="0"/>
      <w:divBdr>
        <w:top w:val="none" w:sz="0" w:space="0" w:color="auto"/>
        <w:left w:val="none" w:sz="0" w:space="0" w:color="auto"/>
        <w:bottom w:val="none" w:sz="0" w:space="0" w:color="auto"/>
        <w:right w:val="none" w:sz="0" w:space="0" w:color="auto"/>
      </w:divBdr>
    </w:div>
    <w:div w:id="1917550585">
      <w:bodyDiv w:val="1"/>
      <w:marLeft w:val="0"/>
      <w:marRight w:val="0"/>
      <w:marTop w:val="0"/>
      <w:marBottom w:val="0"/>
      <w:divBdr>
        <w:top w:val="none" w:sz="0" w:space="0" w:color="auto"/>
        <w:left w:val="none" w:sz="0" w:space="0" w:color="auto"/>
        <w:bottom w:val="none" w:sz="0" w:space="0" w:color="auto"/>
        <w:right w:val="none" w:sz="0" w:space="0" w:color="auto"/>
      </w:divBdr>
    </w:div>
    <w:div w:id="1917662741">
      <w:bodyDiv w:val="1"/>
      <w:marLeft w:val="0"/>
      <w:marRight w:val="0"/>
      <w:marTop w:val="0"/>
      <w:marBottom w:val="0"/>
      <w:divBdr>
        <w:top w:val="none" w:sz="0" w:space="0" w:color="auto"/>
        <w:left w:val="none" w:sz="0" w:space="0" w:color="auto"/>
        <w:bottom w:val="none" w:sz="0" w:space="0" w:color="auto"/>
        <w:right w:val="none" w:sz="0" w:space="0" w:color="auto"/>
      </w:divBdr>
    </w:div>
    <w:div w:id="1917665331">
      <w:bodyDiv w:val="1"/>
      <w:marLeft w:val="0"/>
      <w:marRight w:val="0"/>
      <w:marTop w:val="0"/>
      <w:marBottom w:val="0"/>
      <w:divBdr>
        <w:top w:val="none" w:sz="0" w:space="0" w:color="auto"/>
        <w:left w:val="none" w:sz="0" w:space="0" w:color="auto"/>
        <w:bottom w:val="none" w:sz="0" w:space="0" w:color="auto"/>
        <w:right w:val="none" w:sz="0" w:space="0" w:color="auto"/>
      </w:divBdr>
    </w:div>
    <w:div w:id="1917665885">
      <w:bodyDiv w:val="1"/>
      <w:marLeft w:val="0"/>
      <w:marRight w:val="0"/>
      <w:marTop w:val="0"/>
      <w:marBottom w:val="0"/>
      <w:divBdr>
        <w:top w:val="none" w:sz="0" w:space="0" w:color="auto"/>
        <w:left w:val="none" w:sz="0" w:space="0" w:color="auto"/>
        <w:bottom w:val="none" w:sz="0" w:space="0" w:color="auto"/>
        <w:right w:val="none" w:sz="0" w:space="0" w:color="auto"/>
      </w:divBdr>
    </w:div>
    <w:div w:id="1917782263">
      <w:bodyDiv w:val="1"/>
      <w:marLeft w:val="0"/>
      <w:marRight w:val="0"/>
      <w:marTop w:val="0"/>
      <w:marBottom w:val="0"/>
      <w:divBdr>
        <w:top w:val="none" w:sz="0" w:space="0" w:color="auto"/>
        <w:left w:val="none" w:sz="0" w:space="0" w:color="auto"/>
        <w:bottom w:val="none" w:sz="0" w:space="0" w:color="auto"/>
        <w:right w:val="none" w:sz="0" w:space="0" w:color="auto"/>
      </w:divBdr>
    </w:div>
    <w:div w:id="1917783332">
      <w:bodyDiv w:val="1"/>
      <w:marLeft w:val="0"/>
      <w:marRight w:val="0"/>
      <w:marTop w:val="0"/>
      <w:marBottom w:val="0"/>
      <w:divBdr>
        <w:top w:val="none" w:sz="0" w:space="0" w:color="auto"/>
        <w:left w:val="none" w:sz="0" w:space="0" w:color="auto"/>
        <w:bottom w:val="none" w:sz="0" w:space="0" w:color="auto"/>
        <w:right w:val="none" w:sz="0" w:space="0" w:color="auto"/>
      </w:divBdr>
    </w:div>
    <w:div w:id="1917786053">
      <w:bodyDiv w:val="1"/>
      <w:marLeft w:val="0"/>
      <w:marRight w:val="0"/>
      <w:marTop w:val="0"/>
      <w:marBottom w:val="0"/>
      <w:divBdr>
        <w:top w:val="none" w:sz="0" w:space="0" w:color="auto"/>
        <w:left w:val="none" w:sz="0" w:space="0" w:color="auto"/>
        <w:bottom w:val="none" w:sz="0" w:space="0" w:color="auto"/>
        <w:right w:val="none" w:sz="0" w:space="0" w:color="auto"/>
      </w:divBdr>
    </w:div>
    <w:div w:id="1917856710">
      <w:bodyDiv w:val="1"/>
      <w:marLeft w:val="0"/>
      <w:marRight w:val="0"/>
      <w:marTop w:val="0"/>
      <w:marBottom w:val="0"/>
      <w:divBdr>
        <w:top w:val="none" w:sz="0" w:space="0" w:color="auto"/>
        <w:left w:val="none" w:sz="0" w:space="0" w:color="auto"/>
        <w:bottom w:val="none" w:sz="0" w:space="0" w:color="auto"/>
        <w:right w:val="none" w:sz="0" w:space="0" w:color="auto"/>
      </w:divBdr>
    </w:div>
    <w:div w:id="1917860601">
      <w:bodyDiv w:val="1"/>
      <w:marLeft w:val="0"/>
      <w:marRight w:val="0"/>
      <w:marTop w:val="0"/>
      <w:marBottom w:val="0"/>
      <w:divBdr>
        <w:top w:val="none" w:sz="0" w:space="0" w:color="auto"/>
        <w:left w:val="none" w:sz="0" w:space="0" w:color="auto"/>
        <w:bottom w:val="none" w:sz="0" w:space="0" w:color="auto"/>
        <w:right w:val="none" w:sz="0" w:space="0" w:color="auto"/>
      </w:divBdr>
    </w:div>
    <w:div w:id="1917932453">
      <w:bodyDiv w:val="1"/>
      <w:marLeft w:val="0"/>
      <w:marRight w:val="0"/>
      <w:marTop w:val="0"/>
      <w:marBottom w:val="0"/>
      <w:divBdr>
        <w:top w:val="none" w:sz="0" w:space="0" w:color="auto"/>
        <w:left w:val="none" w:sz="0" w:space="0" w:color="auto"/>
        <w:bottom w:val="none" w:sz="0" w:space="0" w:color="auto"/>
        <w:right w:val="none" w:sz="0" w:space="0" w:color="auto"/>
      </w:divBdr>
    </w:div>
    <w:div w:id="1918048133">
      <w:bodyDiv w:val="1"/>
      <w:marLeft w:val="0"/>
      <w:marRight w:val="0"/>
      <w:marTop w:val="0"/>
      <w:marBottom w:val="0"/>
      <w:divBdr>
        <w:top w:val="none" w:sz="0" w:space="0" w:color="auto"/>
        <w:left w:val="none" w:sz="0" w:space="0" w:color="auto"/>
        <w:bottom w:val="none" w:sz="0" w:space="0" w:color="auto"/>
        <w:right w:val="none" w:sz="0" w:space="0" w:color="auto"/>
      </w:divBdr>
    </w:div>
    <w:div w:id="1918057635">
      <w:bodyDiv w:val="1"/>
      <w:marLeft w:val="0"/>
      <w:marRight w:val="0"/>
      <w:marTop w:val="0"/>
      <w:marBottom w:val="0"/>
      <w:divBdr>
        <w:top w:val="none" w:sz="0" w:space="0" w:color="auto"/>
        <w:left w:val="none" w:sz="0" w:space="0" w:color="auto"/>
        <w:bottom w:val="none" w:sz="0" w:space="0" w:color="auto"/>
        <w:right w:val="none" w:sz="0" w:space="0" w:color="auto"/>
      </w:divBdr>
    </w:div>
    <w:div w:id="1918173856">
      <w:bodyDiv w:val="1"/>
      <w:marLeft w:val="0"/>
      <w:marRight w:val="0"/>
      <w:marTop w:val="0"/>
      <w:marBottom w:val="0"/>
      <w:divBdr>
        <w:top w:val="none" w:sz="0" w:space="0" w:color="auto"/>
        <w:left w:val="none" w:sz="0" w:space="0" w:color="auto"/>
        <w:bottom w:val="none" w:sz="0" w:space="0" w:color="auto"/>
        <w:right w:val="none" w:sz="0" w:space="0" w:color="auto"/>
      </w:divBdr>
    </w:div>
    <w:div w:id="1918174806">
      <w:bodyDiv w:val="1"/>
      <w:marLeft w:val="0"/>
      <w:marRight w:val="0"/>
      <w:marTop w:val="0"/>
      <w:marBottom w:val="0"/>
      <w:divBdr>
        <w:top w:val="none" w:sz="0" w:space="0" w:color="auto"/>
        <w:left w:val="none" w:sz="0" w:space="0" w:color="auto"/>
        <w:bottom w:val="none" w:sz="0" w:space="0" w:color="auto"/>
        <w:right w:val="none" w:sz="0" w:space="0" w:color="auto"/>
      </w:divBdr>
    </w:div>
    <w:div w:id="1918320150">
      <w:bodyDiv w:val="1"/>
      <w:marLeft w:val="0"/>
      <w:marRight w:val="0"/>
      <w:marTop w:val="0"/>
      <w:marBottom w:val="0"/>
      <w:divBdr>
        <w:top w:val="none" w:sz="0" w:space="0" w:color="auto"/>
        <w:left w:val="none" w:sz="0" w:space="0" w:color="auto"/>
        <w:bottom w:val="none" w:sz="0" w:space="0" w:color="auto"/>
        <w:right w:val="none" w:sz="0" w:space="0" w:color="auto"/>
      </w:divBdr>
    </w:div>
    <w:div w:id="1918326105">
      <w:bodyDiv w:val="1"/>
      <w:marLeft w:val="0"/>
      <w:marRight w:val="0"/>
      <w:marTop w:val="0"/>
      <w:marBottom w:val="0"/>
      <w:divBdr>
        <w:top w:val="none" w:sz="0" w:space="0" w:color="auto"/>
        <w:left w:val="none" w:sz="0" w:space="0" w:color="auto"/>
        <w:bottom w:val="none" w:sz="0" w:space="0" w:color="auto"/>
        <w:right w:val="none" w:sz="0" w:space="0" w:color="auto"/>
      </w:divBdr>
    </w:div>
    <w:div w:id="1918393340">
      <w:bodyDiv w:val="1"/>
      <w:marLeft w:val="0"/>
      <w:marRight w:val="0"/>
      <w:marTop w:val="0"/>
      <w:marBottom w:val="0"/>
      <w:divBdr>
        <w:top w:val="none" w:sz="0" w:space="0" w:color="auto"/>
        <w:left w:val="none" w:sz="0" w:space="0" w:color="auto"/>
        <w:bottom w:val="none" w:sz="0" w:space="0" w:color="auto"/>
        <w:right w:val="none" w:sz="0" w:space="0" w:color="auto"/>
      </w:divBdr>
    </w:div>
    <w:div w:id="1918397699">
      <w:bodyDiv w:val="1"/>
      <w:marLeft w:val="0"/>
      <w:marRight w:val="0"/>
      <w:marTop w:val="0"/>
      <w:marBottom w:val="0"/>
      <w:divBdr>
        <w:top w:val="none" w:sz="0" w:space="0" w:color="auto"/>
        <w:left w:val="none" w:sz="0" w:space="0" w:color="auto"/>
        <w:bottom w:val="none" w:sz="0" w:space="0" w:color="auto"/>
        <w:right w:val="none" w:sz="0" w:space="0" w:color="auto"/>
      </w:divBdr>
    </w:div>
    <w:div w:id="1918400040">
      <w:bodyDiv w:val="1"/>
      <w:marLeft w:val="0"/>
      <w:marRight w:val="0"/>
      <w:marTop w:val="0"/>
      <w:marBottom w:val="0"/>
      <w:divBdr>
        <w:top w:val="none" w:sz="0" w:space="0" w:color="auto"/>
        <w:left w:val="none" w:sz="0" w:space="0" w:color="auto"/>
        <w:bottom w:val="none" w:sz="0" w:space="0" w:color="auto"/>
        <w:right w:val="none" w:sz="0" w:space="0" w:color="auto"/>
      </w:divBdr>
    </w:div>
    <w:div w:id="1918444346">
      <w:bodyDiv w:val="1"/>
      <w:marLeft w:val="0"/>
      <w:marRight w:val="0"/>
      <w:marTop w:val="0"/>
      <w:marBottom w:val="0"/>
      <w:divBdr>
        <w:top w:val="none" w:sz="0" w:space="0" w:color="auto"/>
        <w:left w:val="none" w:sz="0" w:space="0" w:color="auto"/>
        <w:bottom w:val="none" w:sz="0" w:space="0" w:color="auto"/>
        <w:right w:val="none" w:sz="0" w:space="0" w:color="auto"/>
      </w:divBdr>
    </w:div>
    <w:div w:id="1918589343">
      <w:bodyDiv w:val="1"/>
      <w:marLeft w:val="0"/>
      <w:marRight w:val="0"/>
      <w:marTop w:val="0"/>
      <w:marBottom w:val="0"/>
      <w:divBdr>
        <w:top w:val="none" w:sz="0" w:space="0" w:color="auto"/>
        <w:left w:val="none" w:sz="0" w:space="0" w:color="auto"/>
        <w:bottom w:val="none" w:sz="0" w:space="0" w:color="auto"/>
        <w:right w:val="none" w:sz="0" w:space="0" w:color="auto"/>
      </w:divBdr>
    </w:div>
    <w:div w:id="1918705361">
      <w:bodyDiv w:val="1"/>
      <w:marLeft w:val="0"/>
      <w:marRight w:val="0"/>
      <w:marTop w:val="0"/>
      <w:marBottom w:val="0"/>
      <w:divBdr>
        <w:top w:val="none" w:sz="0" w:space="0" w:color="auto"/>
        <w:left w:val="none" w:sz="0" w:space="0" w:color="auto"/>
        <w:bottom w:val="none" w:sz="0" w:space="0" w:color="auto"/>
        <w:right w:val="none" w:sz="0" w:space="0" w:color="auto"/>
      </w:divBdr>
    </w:div>
    <w:div w:id="1918780496">
      <w:bodyDiv w:val="1"/>
      <w:marLeft w:val="0"/>
      <w:marRight w:val="0"/>
      <w:marTop w:val="0"/>
      <w:marBottom w:val="0"/>
      <w:divBdr>
        <w:top w:val="none" w:sz="0" w:space="0" w:color="auto"/>
        <w:left w:val="none" w:sz="0" w:space="0" w:color="auto"/>
        <w:bottom w:val="none" w:sz="0" w:space="0" w:color="auto"/>
        <w:right w:val="none" w:sz="0" w:space="0" w:color="auto"/>
      </w:divBdr>
    </w:div>
    <w:div w:id="1918784667">
      <w:bodyDiv w:val="1"/>
      <w:marLeft w:val="0"/>
      <w:marRight w:val="0"/>
      <w:marTop w:val="0"/>
      <w:marBottom w:val="0"/>
      <w:divBdr>
        <w:top w:val="none" w:sz="0" w:space="0" w:color="auto"/>
        <w:left w:val="none" w:sz="0" w:space="0" w:color="auto"/>
        <w:bottom w:val="none" w:sz="0" w:space="0" w:color="auto"/>
        <w:right w:val="none" w:sz="0" w:space="0" w:color="auto"/>
      </w:divBdr>
    </w:div>
    <w:div w:id="1919291832">
      <w:bodyDiv w:val="1"/>
      <w:marLeft w:val="0"/>
      <w:marRight w:val="0"/>
      <w:marTop w:val="0"/>
      <w:marBottom w:val="0"/>
      <w:divBdr>
        <w:top w:val="none" w:sz="0" w:space="0" w:color="auto"/>
        <w:left w:val="none" w:sz="0" w:space="0" w:color="auto"/>
        <w:bottom w:val="none" w:sz="0" w:space="0" w:color="auto"/>
        <w:right w:val="none" w:sz="0" w:space="0" w:color="auto"/>
      </w:divBdr>
    </w:div>
    <w:div w:id="1919317276">
      <w:bodyDiv w:val="1"/>
      <w:marLeft w:val="0"/>
      <w:marRight w:val="0"/>
      <w:marTop w:val="0"/>
      <w:marBottom w:val="0"/>
      <w:divBdr>
        <w:top w:val="none" w:sz="0" w:space="0" w:color="auto"/>
        <w:left w:val="none" w:sz="0" w:space="0" w:color="auto"/>
        <w:bottom w:val="none" w:sz="0" w:space="0" w:color="auto"/>
        <w:right w:val="none" w:sz="0" w:space="0" w:color="auto"/>
      </w:divBdr>
    </w:div>
    <w:div w:id="1919367284">
      <w:bodyDiv w:val="1"/>
      <w:marLeft w:val="0"/>
      <w:marRight w:val="0"/>
      <w:marTop w:val="0"/>
      <w:marBottom w:val="0"/>
      <w:divBdr>
        <w:top w:val="none" w:sz="0" w:space="0" w:color="auto"/>
        <w:left w:val="none" w:sz="0" w:space="0" w:color="auto"/>
        <w:bottom w:val="none" w:sz="0" w:space="0" w:color="auto"/>
        <w:right w:val="none" w:sz="0" w:space="0" w:color="auto"/>
      </w:divBdr>
    </w:div>
    <w:div w:id="1919552829">
      <w:bodyDiv w:val="1"/>
      <w:marLeft w:val="0"/>
      <w:marRight w:val="0"/>
      <w:marTop w:val="0"/>
      <w:marBottom w:val="0"/>
      <w:divBdr>
        <w:top w:val="none" w:sz="0" w:space="0" w:color="auto"/>
        <w:left w:val="none" w:sz="0" w:space="0" w:color="auto"/>
        <w:bottom w:val="none" w:sz="0" w:space="0" w:color="auto"/>
        <w:right w:val="none" w:sz="0" w:space="0" w:color="auto"/>
      </w:divBdr>
    </w:div>
    <w:div w:id="1919631841">
      <w:bodyDiv w:val="1"/>
      <w:marLeft w:val="0"/>
      <w:marRight w:val="0"/>
      <w:marTop w:val="0"/>
      <w:marBottom w:val="0"/>
      <w:divBdr>
        <w:top w:val="none" w:sz="0" w:space="0" w:color="auto"/>
        <w:left w:val="none" w:sz="0" w:space="0" w:color="auto"/>
        <w:bottom w:val="none" w:sz="0" w:space="0" w:color="auto"/>
        <w:right w:val="none" w:sz="0" w:space="0" w:color="auto"/>
      </w:divBdr>
    </w:div>
    <w:div w:id="1919635525">
      <w:bodyDiv w:val="1"/>
      <w:marLeft w:val="0"/>
      <w:marRight w:val="0"/>
      <w:marTop w:val="0"/>
      <w:marBottom w:val="0"/>
      <w:divBdr>
        <w:top w:val="none" w:sz="0" w:space="0" w:color="auto"/>
        <w:left w:val="none" w:sz="0" w:space="0" w:color="auto"/>
        <w:bottom w:val="none" w:sz="0" w:space="0" w:color="auto"/>
        <w:right w:val="none" w:sz="0" w:space="0" w:color="auto"/>
      </w:divBdr>
    </w:div>
    <w:div w:id="1919822155">
      <w:bodyDiv w:val="1"/>
      <w:marLeft w:val="0"/>
      <w:marRight w:val="0"/>
      <w:marTop w:val="0"/>
      <w:marBottom w:val="0"/>
      <w:divBdr>
        <w:top w:val="none" w:sz="0" w:space="0" w:color="auto"/>
        <w:left w:val="none" w:sz="0" w:space="0" w:color="auto"/>
        <w:bottom w:val="none" w:sz="0" w:space="0" w:color="auto"/>
        <w:right w:val="none" w:sz="0" w:space="0" w:color="auto"/>
      </w:divBdr>
    </w:div>
    <w:div w:id="1919971718">
      <w:bodyDiv w:val="1"/>
      <w:marLeft w:val="0"/>
      <w:marRight w:val="0"/>
      <w:marTop w:val="0"/>
      <w:marBottom w:val="0"/>
      <w:divBdr>
        <w:top w:val="none" w:sz="0" w:space="0" w:color="auto"/>
        <w:left w:val="none" w:sz="0" w:space="0" w:color="auto"/>
        <w:bottom w:val="none" w:sz="0" w:space="0" w:color="auto"/>
        <w:right w:val="none" w:sz="0" w:space="0" w:color="auto"/>
      </w:divBdr>
    </w:div>
    <w:div w:id="1920014154">
      <w:bodyDiv w:val="1"/>
      <w:marLeft w:val="0"/>
      <w:marRight w:val="0"/>
      <w:marTop w:val="0"/>
      <w:marBottom w:val="0"/>
      <w:divBdr>
        <w:top w:val="none" w:sz="0" w:space="0" w:color="auto"/>
        <w:left w:val="none" w:sz="0" w:space="0" w:color="auto"/>
        <w:bottom w:val="none" w:sz="0" w:space="0" w:color="auto"/>
        <w:right w:val="none" w:sz="0" w:space="0" w:color="auto"/>
      </w:divBdr>
    </w:div>
    <w:div w:id="1920020782">
      <w:bodyDiv w:val="1"/>
      <w:marLeft w:val="0"/>
      <w:marRight w:val="0"/>
      <w:marTop w:val="0"/>
      <w:marBottom w:val="0"/>
      <w:divBdr>
        <w:top w:val="none" w:sz="0" w:space="0" w:color="auto"/>
        <w:left w:val="none" w:sz="0" w:space="0" w:color="auto"/>
        <w:bottom w:val="none" w:sz="0" w:space="0" w:color="auto"/>
        <w:right w:val="none" w:sz="0" w:space="0" w:color="auto"/>
      </w:divBdr>
    </w:div>
    <w:div w:id="1920092191">
      <w:bodyDiv w:val="1"/>
      <w:marLeft w:val="0"/>
      <w:marRight w:val="0"/>
      <w:marTop w:val="0"/>
      <w:marBottom w:val="0"/>
      <w:divBdr>
        <w:top w:val="none" w:sz="0" w:space="0" w:color="auto"/>
        <w:left w:val="none" w:sz="0" w:space="0" w:color="auto"/>
        <w:bottom w:val="none" w:sz="0" w:space="0" w:color="auto"/>
        <w:right w:val="none" w:sz="0" w:space="0" w:color="auto"/>
      </w:divBdr>
    </w:div>
    <w:div w:id="1920367134">
      <w:bodyDiv w:val="1"/>
      <w:marLeft w:val="0"/>
      <w:marRight w:val="0"/>
      <w:marTop w:val="0"/>
      <w:marBottom w:val="0"/>
      <w:divBdr>
        <w:top w:val="none" w:sz="0" w:space="0" w:color="auto"/>
        <w:left w:val="none" w:sz="0" w:space="0" w:color="auto"/>
        <w:bottom w:val="none" w:sz="0" w:space="0" w:color="auto"/>
        <w:right w:val="none" w:sz="0" w:space="0" w:color="auto"/>
      </w:divBdr>
    </w:div>
    <w:div w:id="1920405766">
      <w:bodyDiv w:val="1"/>
      <w:marLeft w:val="0"/>
      <w:marRight w:val="0"/>
      <w:marTop w:val="0"/>
      <w:marBottom w:val="0"/>
      <w:divBdr>
        <w:top w:val="none" w:sz="0" w:space="0" w:color="auto"/>
        <w:left w:val="none" w:sz="0" w:space="0" w:color="auto"/>
        <w:bottom w:val="none" w:sz="0" w:space="0" w:color="auto"/>
        <w:right w:val="none" w:sz="0" w:space="0" w:color="auto"/>
      </w:divBdr>
    </w:div>
    <w:div w:id="1920601787">
      <w:bodyDiv w:val="1"/>
      <w:marLeft w:val="0"/>
      <w:marRight w:val="0"/>
      <w:marTop w:val="0"/>
      <w:marBottom w:val="0"/>
      <w:divBdr>
        <w:top w:val="none" w:sz="0" w:space="0" w:color="auto"/>
        <w:left w:val="none" w:sz="0" w:space="0" w:color="auto"/>
        <w:bottom w:val="none" w:sz="0" w:space="0" w:color="auto"/>
        <w:right w:val="none" w:sz="0" w:space="0" w:color="auto"/>
      </w:divBdr>
    </w:div>
    <w:div w:id="1920675068">
      <w:bodyDiv w:val="1"/>
      <w:marLeft w:val="0"/>
      <w:marRight w:val="0"/>
      <w:marTop w:val="0"/>
      <w:marBottom w:val="0"/>
      <w:divBdr>
        <w:top w:val="none" w:sz="0" w:space="0" w:color="auto"/>
        <w:left w:val="none" w:sz="0" w:space="0" w:color="auto"/>
        <w:bottom w:val="none" w:sz="0" w:space="0" w:color="auto"/>
        <w:right w:val="none" w:sz="0" w:space="0" w:color="auto"/>
      </w:divBdr>
    </w:div>
    <w:div w:id="1920824394">
      <w:bodyDiv w:val="1"/>
      <w:marLeft w:val="0"/>
      <w:marRight w:val="0"/>
      <w:marTop w:val="0"/>
      <w:marBottom w:val="0"/>
      <w:divBdr>
        <w:top w:val="none" w:sz="0" w:space="0" w:color="auto"/>
        <w:left w:val="none" w:sz="0" w:space="0" w:color="auto"/>
        <w:bottom w:val="none" w:sz="0" w:space="0" w:color="auto"/>
        <w:right w:val="none" w:sz="0" w:space="0" w:color="auto"/>
      </w:divBdr>
    </w:div>
    <w:div w:id="1920865313">
      <w:bodyDiv w:val="1"/>
      <w:marLeft w:val="0"/>
      <w:marRight w:val="0"/>
      <w:marTop w:val="0"/>
      <w:marBottom w:val="0"/>
      <w:divBdr>
        <w:top w:val="none" w:sz="0" w:space="0" w:color="auto"/>
        <w:left w:val="none" w:sz="0" w:space="0" w:color="auto"/>
        <w:bottom w:val="none" w:sz="0" w:space="0" w:color="auto"/>
        <w:right w:val="none" w:sz="0" w:space="0" w:color="auto"/>
      </w:divBdr>
    </w:div>
    <w:div w:id="1920947363">
      <w:bodyDiv w:val="1"/>
      <w:marLeft w:val="0"/>
      <w:marRight w:val="0"/>
      <w:marTop w:val="0"/>
      <w:marBottom w:val="0"/>
      <w:divBdr>
        <w:top w:val="none" w:sz="0" w:space="0" w:color="auto"/>
        <w:left w:val="none" w:sz="0" w:space="0" w:color="auto"/>
        <w:bottom w:val="none" w:sz="0" w:space="0" w:color="auto"/>
        <w:right w:val="none" w:sz="0" w:space="0" w:color="auto"/>
      </w:divBdr>
    </w:div>
    <w:div w:id="1921062970">
      <w:bodyDiv w:val="1"/>
      <w:marLeft w:val="0"/>
      <w:marRight w:val="0"/>
      <w:marTop w:val="0"/>
      <w:marBottom w:val="0"/>
      <w:divBdr>
        <w:top w:val="none" w:sz="0" w:space="0" w:color="auto"/>
        <w:left w:val="none" w:sz="0" w:space="0" w:color="auto"/>
        <w:bottom w:val="none" w:sz="0" w:space="0" w:color="auto"/>
        <w:right w:val="none" w:sz="0" w:space="0" w:color="auto"/>
      </w:divBdr>
    </w:div>
    <w:div w:id="1921210238">
      <w:bodyDiv w:val="1"/>
      <w:marLeft w:val="0"/>
      <w:marRight w:val="0"/>
      <w:marTop w:val="0"/>
      <w:marBottom w:val="0"/>
      <w:divBdr>
        <w:top w:val="none" w:sz="0" w:space="0" w:color="auto"/>
        <w:left w:val="none" w:sz="0" w:space="0" w:color="auto"/>
        <w:bottom w:val="none" w:sz="0" w:space="0" w:color="auto"/>
        <w:right w:val="none" w:sz="0" w:space="0" w:color="auto"/>
      </w:divBdr>
    </w:div>
    <w:div w:id="1921215563">
      <w:bodyDiv w:val="1"/>
      <w:marLeft w:val="0"/>
      <w:marRight w:val="0"/>
      <w:marTop w:val="0"/>
      <w:marBottom w:val="0"/>
      <w:divBdr>
        <w:top w:val="none" w:sz="0" w:space="0" w:color="auto"/>
        <w:left w:val="none" w:sz="0" w:space="0" w:color="auto"/>
        <w:bottom w:val="none" w:sz="0" w:space="0" w:color="auto"/>
        <w:right w:val="none" w:sz="0" w:space="0" w:color="auto"/>
      </w:divBdr>
    </w:div>
    <w:div w:id="1921478087">
      <w:bodyDiv w:val="1"/>
      <w:marLeft w:val="0"/>
      <w:marRight w:val="0"/>
      <w:marTop w:val="0"/>
      <w:marBottom w:val="0"/>
      <w:divBdr>
        <w:top w:val="none" w:sz="0" w:space="0" w:color="auto"/>
        <w:left w:val="none" w:sz="0" w:space="0" w:color="auto"/>
        <w:bottom w:val="none" w:sz="0" w:space="0" w:color="auto"/>
        <w:right w:val="none" w:sz="0" w:space="0" w:color="auto"/>
      </w:divBdr>
    </w:div>
    <w:div w:id="1921593606">
      <w:bodyDiv w:val="1"/>
      <w:marLeft w:val="0"/>
      <w:marRight w:val="0"/>
      <w:marTop w:val="0"/>
      <w:marBottom w:val="0"/>
      <w:divBdr>
        <w:top w:val="none" w:sz="0" w:space="0" w:color="auto"/>
        <w:left w:val="none" w:sz="0" w:space="0" w:color="auto"/>
        <w:bottom w:val="none" w:sz="0" w:space="0" w:color="auto"/>
        <w:right w:val="none" w:sz="0" w:space="0" w:color="auto"/>
      </w:divBdr>
    </w:div>
    <w:div w:id="1921671510">
      <w:bodyDiv w:val="1"/>
      <w:marLeft w:val="0"/>
      <w:marRight w:val="0"/>
      <w:marTop w:val="0"/>
      <w:marBottom w:val="0"/>
      <w:divBdr>
        <w:top w:val="none" w:sz="0" w:space="0" w:color="auto"/>
        <w:left w:val="none" w:sz="0" w:space="0" w:color="auto"/>
        <w:bottom w:val="none" w:sz="0" w:space="0" w:color="auto"/>
        <w:right w:val="none" w:sz="0" w:space="0" w:color="auto"/>
      </w:divBdr>
    </w:div>
    <w:div w:id="1921791832">
      <w:bodyDiv w:val="1"/>
      <w:marLeft w:val="0"/>
      <w:marRight w:val="0"/>
      <w:marTop w:val="0"/>
      <w:marBottom w:val="0"/>
      <w:divBdr>
        <w:top w:val="none" w:sz="0" w:space="0" w:color="auto"/>
        <w:left w:val="none" w:sz="0" w:space="0" w:color="auto"/>
        <w:bottom w:val="none" w:sz="0" w:space="0" w:color="auto"/>
        <w:right w:val="none" w:sz="0" w:space="0" w:color="auto"/>
      </w:divBdr>
    </w:div>
    <w:div w:id="1921910095">
      <w:bodyDiv w:val="1"/>
      <w:marLeft w:val="0"/>
      <w:marRight w:val="0"/>
      <w:marTop w:val="0"/>
      <w:marBottom w:val="0"/>
      <w:divBdr>
        <w:top w:val="none" w:sz="0" w:space="0" w:color="auto"/>
        <w:left w:val="none" w:sz="0" w:space="0" w:color="auto"/>
        <w:bottom w:val="none" w:sz="0" w:space="0" w:color="auto"/>
        <w:right w:val="none" w:sz="0" w:space="0" w:color="auto"/>
      </w:divBdr>
    </w:div>
    <w:div w:id="1921912470">
      <w:bodyDiv w:val="1"/>
      <w:marLeft w:val="0"/>
      <w:marRight w:val="0"/>
      <w:marTop w:val="0"/>
      <w:marBottom w:val="0"/>
      <w:divBdr>
        <w:top w:val="none" w:sz="0" w:space="0" w:color="auto"/>
        <w:left w:val="none" w:sz="0" w:space="0" w:color="auto"/>
        <w:bottom w:val="none" w:sz="0" w:space="0" w:color="auto"/>
        <w:right w:val="none" w:sz="0" w:space="0" w:color="auto"/>
      </w:divBdr>
    </w:div>
    <w:div w:id="1921913979">
      <w:bodyDiv w:val="1"/>
      <w:marLeft w:val="0"/>
      <w:marRight w:val="0"/>
      <w:marTop w:val="0"/>
      <w:marBottom w:val="0"/>
      <w:divBdr>
        <w:top w:val="none" w:sz="0" w:space="0" w:color="auto"/>
        <w:left w:val="none" w:sz="0" w:space="0" w:color="auto"/>
        <w:bottom w:val="none" w:sz="0" w:space="0" w:color="auto"/>
        <w:right w:val="none" w:sz="0" w:space="0" w:color="auto"/>
      </w:divBdr>
    </w:div>
    <w:div w:id="1921988292">
      <w:bodyDiv w:val="1"/>
      <w:marLeft w:val="0"/>
      <w:marRight w:val="0"/>
      <w:marTop w:val="0"/>
      <w:marBottom w:val="0"/>
      <w:divBdr>
        <w:top w:val="none" w:sz="0" w:space="0" w:color="auto"/>
        <w:left w:val="none" w:sz="0" w:space="0" w:color="auto"/>
        <w:bottom w:val="none" w:sz="0" w:space="0" w:color="auto"/>
        <w:right w:val="none" w:sz="0" w:space="0" w:color="auto"/>
      </w:divBdr>
    </w:div>
    <w:div w:id="1922060129">
      <w:bodyDiv w:val="1"/>
      <w:marLeft w:val="0"/>
      <w:marRight w:val="0"/>
      <w:marTop w:val="0"/>
      <w:marBottom w:val="0"/>
      <w:divBdr>
        <w:top w:val="none" w:sz="0" w:space="0" w:color="auto"/>
        <w:left w:val="none" w:sz="0" w:space="0" w:color="auto"/>
        <w:bottom w:val="none" w:sz="0" w:space="0" w:color="auto"/>
        <w:right w:val="none" w:sz="0" w:space="0" w:color="auto"/>
      </w:divBdr>
    </w:div>
    <w:div w:id="1922178792">
      <w:bodyDiv w:val="1"/>
      <w:marLeft w:val="0"/>
      <w:marRight w:val="0"/>
      <w:marTop w:val="0"/>
      <w:marBottom w:val="0"/>
      <w:divBdr>
        <w:top w:val="none" w:sz="0" w:space="0" w:color="auto"/>
        <w:left w:val="none" w:sz="0" w:space="0" w:color="auto"/>
        <w:bottom w:val="none" w:sz="0" w:space="0" w:color="auto"/>
        <w:right w:val="none" w:sz="0" w:space="0" w:color="auto"/>
      </w:divBdr>
    </w:div>
    <w:div w:id="1922525926">
      <w:bodyDiv w:val="1"/>
      <w:marLeft w:val="0"/>
      <w:marRight w:val="0"/>
      <w:marTop w:val="0"/>
      <w:marBottom w:val="0"/>
      <w:divBdr>
        <w:top w:val="none" w:sz="0" w:space="0" w:color="auto"/>
        <w:left w:val="none" w:sz="0" w:space="0" w:color="auto"/>
        <w:bottom w:val="none" w:sz="0" w:space="0" w:color="auto"/>
        <w:right w:val="none" w:sz="0" w:space="0" w:color="auto"/>
      </w:divBdr>
    </w:div>
    <w:div w:id="1922712024">
      <w:bodyDiv w:val="1"/>
      <w:marLeft w:val="0"/>
      <w:marRight w:val="0"/>
      <w:marTop w:val="0"/>
      <w:marBottom w:val="0"/>
      <w:divBdr>
        <w:top w:val="none" w:sz="0" w:space="0" w:color="auto"/>
        <w:left w:val="none" w:sz="0" w:space="0" w:color="auto"/>
        <w:bottom w:val="none" w:sz="0" w:space="0" w:color="auto"/>
        <w:right w:val="none" w:sz="0" w:space="0" w:color="auto"/>
      </w:divBdr>
    </w:div>
    <w:div w:id="1922762499">
      <w:bodyDiv w:val="1"/>
      <w:marLeft w:val="0"/>
      <w:marRight w:val="0"/>
      <w:marTop w:val="0"/>
      <w:marBottom w:val="0"/>
      <w:divBdr>
        <w:top w:val="none" w:sz="0" w:space="0" w:color="auto"/>
        <w:left w:val="none" w:sz="0" w:space="0" w:color="auto"/>
        <w:bottom w:val="none" w:sz="0" w:space="0" w:color="auto"/>
        <w:right w:val="none" w:sz="0" w:space="0" w:color="auto"/>
      </w:divBdr>
    </w:div>
    <w:div w:id="1922787759">
      <w:bodyDiv w:val="1"/>
      <w:marLeft w:val="0"/>
      <w:marRight w:val="0"/>
      <w:marTop w:val="0"/>
      <w:marBottom w:val="0"/>
      <w:divBdr>
        <w:top w:val="none" w:sz="0" w:space="0" w:color="auto"/>
        <w:left w:val="none" w:sz="0" w:space="0" w:color="auto"/>
        <w:bottom w:val="none" w:sz="0" w:space="0" w:color="auto"/>
        <w:right w:val="none" w:sz="0" w:space="0" w:color="auto"/>
      </w:divBdr>
    </w:div>
    <w:div w:id="1922913293">
      <w:bodyDiv w:val="1"/>
      <w:marLeft w:val="0"/>
      <w:marRight w:val="0"/>
      <w:marTop w:val="0"/>
      <w:marBottom w:val="0"/>
      <w:divBdr>
        <w:top w:val="none" w:sz="0" w:space="0" w:color="auto"/>
        <w:left w:val="none" w:sz="0" w:space="0" w:color="auto"/>
        <w:bottom w:val="none" w:sz="0" w:space="0" w:color="auto"/>
        <w:right w:val="none" w:sz="0" w:space="0" w:color="auto"/>
      </w:divBdr>
    </w:div>
    <w:div w:id="1922982175">
      <w:bodyDiv w:val="1"/>
      <w:marLeft w:val="0"/>
      <w:marRight w:val="0"/>
      <w:marTop w:val="0"/>
      <w:marBottom w:val="0"/>
      <w:divBdr>
        <w:top w:val="none" w:sz="0" w:space="0" w:color="auto"/>
        <w:left w:val="none" w:sz="0" w:space="0" w:color="auto"/>
        <w:bottom w:val="none" w:sz="0" w:space="0" w:color="auto"/>
        <w:right w:val="none" w:sz="0" w:space="0" w:color="auto"/>
      </w:divBdr>
    </w:div>
    <w:div w:id="1922983515">
      <w:bodyDiv w:val="1"/>
      <w:marLeft w:val="0"/>
      <w:marRight w:val="0"/>
      <w:marTop w:val="0"/>
      <w:marBottom w:val="0"/>
      <w:divBdr>
        <w:top w:val="none" w:sz="0" w:space="0" w:color="auto"/>
        <w:left w:val="none" w:sz="0" w:space="0" w:color="auto"/>
        <w:bottom w:val="none" w:sz="0" w:space="0" w:color="auto"/>
        <w:right w:val="none" w:sz="0" w:space="0" w:color="auto"/>
      </w:divBdr>
    </w:div>
    <w:div w:id="1923025726">
      <w:bodyDiv w:val="1"/>
      <w:marLeft w:val="0"/>
      <w:marRight w:val="0"/>
      <w:marTop w:val="0"/>
      <w:marBottom w:val="0"/>
      <w:divBdr>
        <w:top w:val="none" w:sz="0" w:space="0" w:color="auto"/>
        <w:left w:val="none" w:sz="0" w:space="0" w:color="auto"/>
        <w:bottom w:val="none" w:sz="0" w:space="0" w:color="auto"/>
        <w:right w:val="none" w:sz="0" w:space="0" w:color="auto"/>
      </w:divBdr>
    </w:div>
    <w:div w:id="1923174982">
      <w:bodyDiv w:val="1"/>
      <w:marLeft w:val="0"/>
      <w:marRight w:val="0"/>
      <w:marTop w:val="0"/>
      <w:marBottom w:val="0"/>
      <w:divBdr>
        <w:top w:val="none" w:sz="0" w:space="0" w:color="auto"/>
        <w:left w:val="none" w:sz="0" w:space="0" w:color="auto"/>
        <w:bottom w:val="none" w:sz="0" w:space="0" w:color="auto"/>
        <w:right w:val="none" w:sz="0" w:space="0" w:color="auto"/>
      </w:divBdr>
    </w:div>
    <w:div w:id="1923177606">
      <w:bodyDiv w:val="1"/>
      <w:marLeft w:val="0"/>
      <w:marRight w:val="0"/>
      <w:marTop w:val="0"/>
      <w:marBottom w:val="0"/>
      <w:divBdr>
        <w:top w:val="none" w:sz="0" w:space="0" w:color="auto"/>
        <w:left w:val="none" w:sz="0" w:space="0" w:color="auto"/>
        <w:bottom w:val="none" w:sz="0" w:space="0" w:color="auto"/>
        <w:right w:val="none" w:sz="0" w:space="0" w:color="auto"/>
      </w:divBdr>
    </w:div>
    <w:div w:id="1923251774">
      <w:bodyDiv w:val="1"/>
      <w:marLeft w:val="0"/>
      <w:marRight w:val="0"/>
      <w:marTop w:val="0"/>
      <w:marBottom w:val="0"/>
      <w:divBdr>
        <w:top w:val="none" w:sz="0" w:space="0" w:color="auto"/>
        <w:left w:val="none" w:sz="0" w:space="0" w:color="auto"/>
        <w:bottom w:val="none" w:sz="0" w:space="0" w:color="auto"/>
        <w:right w:val="none" w:sz="0" w:space="0" w:color="auto"/>
      </w:divBdr>
    </w:div>
    <w:div w:id="1923448109">
      <w:bodyDiv w:val="1"/>
      <w:marLeft w:val="0"/>
      <w:marRight w:val="0"/>
      <w:marTop w:val="0"/>
      <w:marBottom w:val="0"/>
      <w:divBdr>
        <w:top w:val="none" w:sz="0" w:space="0" w:color="auto"/>
        <w:left w:val="none" w:sz="0" w:space="0" w:color="auto"/>
        <w:bottom w:val="none" w:sz="0" w:space="0" w:color="auto"/>
        <w:right w:val="none" w:sz="0" w:space="0" w:color="auto"/>
      </w:divBdr>
    </w:div>
    <w:div w:id="1923640816">
      <w:bodyDiv w:val="1"/>
      <w:marLeft w:val="0"/>
      <w:marRight w:val="0"/>
      <w:marTop w:val="0"/>
      <w:marBottom w:val="0"/>
      <w:divBdr>
        <w:top w:val="none" w:sz="0" w:space="0" w:color="auto"/>
        <w:left w:val="none" w:sz="0" w:space="0" w:color="auto"/>
        <w:bottom w:val="none" w:sz="0" w:space="0" w:color="auto"/>
        <w:right w:val="none" w:sz="0" w:space="0" w:color="auto"/>
      </w:divBdr>
    </w:div>
    <w:div w:id="1923952355">
      <w:bodyDiv w:val="1"/>
      <w:marLeft w:val="0"/>
      <w:marRight w:val="0"/>
      <w:marTop w:val="0"/>
      <w:marBottom w:val="0"/>
      <w:divBdr>
        <w:top w:val="none" w:sz="0" w:space="0" w:color="auto"/>
        <w:left w:val="none" w:sz="0" w:space="0" w:color="auto"/>
        <w:bottom w:val="none" w:sz="0" w:space="0" w:color="auto"/>
        <w:right w:val="none" w:sz="0" w:space="0" w:color="auto"/>
      </w:divBdr>
    </w:div>
    <w:div w:id="1924146618">
      <w:bodyDiv w:val="1"/>
      <w:marLeft w:val="0"/>
      <w:marRight w:val="0"/>
      <w:marTop w:val="0"/>
      <w:marBottom w:val="0"/>
      <w:divBdr>
        <w:top w:val="none" w:sz="0" w:space="0" w:color="auto"/>
        <w:left w:val="none" w:sz="0" w:space="0" w:color="auto"/>
        <w:bottom w:val="none" w:sz="0" w:space="0" w:color="auto"/>
        <w:right w:val="none" w:sz="0" w:space="0" w:color="auto"/>
      </w:divBdr>
    </w:div>
    <w:div w:id="1924221576">
      <w:bodyDiv w:val="1"/>
      <w:marLeft w:val="0"/>
      <w:marRight w:val="0"/>
      <w:marTop w:val="0"/>
      <w:marBottom w:val="0"/>
      <w:divBdr>
        <w:top w:val="none" w:sz="0" w:space="0" w:color="auto"/>
        <w:left w:val="none" w:sz="0" w:space="0" w:color="auto"/>
        <w:bottom w:val="none" w:sz="0" w:space="0" w:color="auto"/>
        <w:right w:val="none" w:sz="0" w:space="0" w:color="auto"/>
      </w:divBdr>
    </w:div>
    <w:div w:id="1924222250">
      <w:bodyDiv w:val="1"/>
      <w:marLeft w:val="0"/>
      <w:marRight w:val="0"/>
      <w:marTop w:val="0"/>
      <w:marBottom w:val="0"/>
      <w:divBdr>
        <w:top w:val="none" w:sz="0" w:space="0" w:color="auto"/>
        <w:left w:val="none" w:sz="0" w:space="0" w:color="auto"/>
        <w:bottom w:val="none" w:sz="0" w:space="0" w:color="auto"/>
        <w:right w:val="none" w:sz="0" w:space="0" w:color="auto"/>
      </w:divBdr>
    </w:div>
    <w:div w:id="1924222575">
      <w:bodyDiv w:val="1"/>
      <w:marLeft w:val="0"/>
      <w:marRight w:val="0"/>
      <w:marTop w:val="0"/>
      <w:marBottom w:val="0"/>
      <w:divBdr>
        <w:top w:val="none" w:sz="0" w:space="0" w:color="auto"/>
        <w:left w:val="none" w:sz="0" w:space="0" w:color="auto"/>
        <w:bottom w:val="none" w:sz="0" w:space="0" w:color="auto"/>
        <w:right w:val="none" w:sz="0" w:space="0" w:color="auto"/>
      </w:divBdr>
    </w:div>
    <w:div w:id="1924340858">
      <w:bodyDiv w:val="1"/>
      <w:marLeft w:val="0"/>
      <w:marRight w:val="0"/>
      <w:marTop w:val="0"/>
      <w:marBottom w:val="0"/>
      <w:divBdr>
        <w:top w:val="none" w:sz="0" w:space="0" w:color="auto"/>
        <w:left w:val="none" w:sz="0" w:space="0" w:color="auto"/>
        <w:bottom w:val="none" w:sz="0" w:space="0" w:color="auto"/>
        <w:right w:val="none" w:sz="0" w:space="0" w:color="auto"/>
      </w:divBdr>
    </w:div>
    <w:div w:id="1924409076">
      <w:bodyDiv w:val="1"/>
      <w:marLeft w:val="0"/>
      <w:marRight w:val="0"/>
      <w:marTop w:val="0"/>
      <w:marBottom w:val="0"/>
      <w:divBdr>
        <w:top w:val="none" w:sz="0" w:space="0" w:color="auto"/>
        <w:left w:val="none" w:sz="0" w:space="0" w:color="auto"/>
        <w:bottom w:val="none" w:sz="0" w:space="0" w:color="auto"/>
        <w:right w:val="none" w:sz="0" w:space="0" w:color="auto"/>
      </w:divBdr>
    </w:div>
    <w:div w:id="1924488222">
      <w:bodyDiv w:val="1"/>
      <w:marLeft w:val="0"/>
      <w:marRight w:val="0"/>
      <w:marTop w:val="0"/>
      <w:marBottom w:val="0"/>
      <w:divBdr>
        <w:top w:val="none" w:sz="0" w:space="0" w:color="auto"/>
        <w:left w:val="none" w:sz="0" w:space="0" w:color="auto"/>
        <w:bottom w:val="none" w:sz="0" w:space="0" w:color="auto"/>
        <w:right w:val="none" w:sz="0" w:space="0" w:color="auto"/>
      </w:divBdr>
    </w:div>
    <w:div w:id="1924609999">
      <w:bodyDiv w:val="1"/>
      <w:marLeft w:val="0"/>
      <w:marRight w:val="0"/>
      <w:marTop w:val="0"/>
      <w:marBottom w:val="0"/>
      <w:divBdr>
        <w:top w:val="none" w:sz="0" w:space="0" w:color="auto"/>
        <w:left w:val="none" w:sz="0" w:space="0" w:color="auto"/>
        <w:bottom w:val="none" w:sz="0" w:space="0" w:color="auto"/>
        <w:right w:val="none" w:sz="0" w:space="0" w:color="auto"/>
      </w:divBdr>
    </w:div>
    <w:div w:id="1924610058">
      <w:bodyDiv w:val="1"/>
      <w:marLeft w:val="0"/>
      <w:marRight w:val="0"/>
      <w:marTop w:val="0"/>
      <w:marBottom w:val="0"/>
      <w:divBdr>
        <w:top w:val="none" w:sz="0" w:space="0" w:color="auto"/>
        <w:left w:val="none" w:sz="0" w:space="0" w:color="auto"/>
        <w:bottom w:val="none" w:sz="0" w:space="0" w:color="auto"/>
        <w:right w:val="none" w:sz="0" w:space="0" w:color="auto"/>
      </w:divBdr>
    </w:div>
    <w:div w:id="1924610270">
      <w:bodyDiv w:val="1"/>
      <w:marLeft w:val="0"/>
      <w:marRight w:val="0"/>
      <w:marTop w:val="0"/>
      <w:marBottom w:val="0"/>
      <w:divBdr>
        <w:top w:val="none" w:sz="0" w:space="0" w:color="auto"/>
        <w:left w:val="none" w:sz="0" w:space="0" w:color="auto"/>
        <w:bottom w:val="none" w:sz="0" w:space="0" w:color="auto"/>
        <w:right w:val="none" w:sz="0" w:space="0" w:color="auto"/>
      </w:divBdr>
    </w:div>
    <w:div w:id="1924681586">
      <w:bodyDiv w:val="1"/>
      <w:marLeft w:val="0"/>
      <w:marRight w:val="0"/>
      <w:marTop w:val="0"/>
      <w:marBottom w:val="0"/>
      <w:divBdr>
        <w:top w:val="none" w:sz="0" w:space="0" w:color="auto"/>
        <w:left w:val="none" w:sz="0" w:space="0" w:color="auto"/>
        <w:bottom w:val="none" w:sz="0" w:space="0" w:color="auto"/>
        <w:right w:val="none" w:sz="0" w:space="0" w:color="auto"/>
      </w:divBdr>
    </w:div>
    <w:div w:id="1924682970">
      <w:bodyDiv w:val="1"/>
      <w:marLeft w:val="0"/>
      <w:marRight w:val="0"/>
      <w:marTop w:val="0"/>
      <w:marBottom w:val="0"/>
      <w:divBdr>
        <w:top w:val="none" w:sz="0" w:space="0" w:color="auto"/>
        <w:left w:val="none" w:sz="0" w:space="0" w:color="auto"/>
        <w:bottom w:val="none" w:sz="0" w:space="0" w:color="auto"/>
        <w:right w:val="none" w:sz="0" w:space="0" w:color="auto"/>
      </w:divBdr>
    </w:div>
    <w:div w:id="1924685148">
      <w:bodyDiv w:val="1"/>
      <w:marLeft w:val="0"/>
      <w:marRight w:val="0"/>
      <w:marTop w:val="0"/>
      <w:marBottom w:val="0"/>
      <w:divBdr>
        <w:top w:val="none" w:sz="0" w:space="0" w:color="auto"/>
        <w:left w:val="none" w:sz="0" w:space="0" w:color="auto"/>
        <w:bottom w:val="none" w:sz="0" w:space="0" w:color="auto"/>
        <w:right w:val="none" w:sz="0" w:space="0" w:color="auto"/>
      </w:divBdr>
    </w:div>
    <w:div w:id="1924876188">
      <w:bodyDiv w:val="1"/>
      <w:marLeft w:val="0"/>
      <w:marRight w:val="0"/>
      <w:marTop w:val="0"/>
      <w:marBottom w:val="0"/>
      <w:divBdr>
        <w:top w:val="none" w:sz="0" w:space="0" w:color="auto"/>
        <w:left w:val="none" w:sz="0" w:space="0" w:color="auto"/>
        <w:bottom w:val="none" w:sz="0" w:space="0" w:color="auto"/>
        <w:right w:val="none" w:sz="0" w:space="0" w:color="auto"/>
      </w:divBdr>
    </w:div>
    <w:div w:id="1924954424">
      <w:bodyDiv w:val="1"/>
      <w:marLeft w:val="0"/>
      <w:marRight w:val="0"/>
      <w:marTop w:val="0"/>
      <w:marBottom w:val="0"/>
      <w:divBdr>
        <w:top w:val="none" w:sz="0" w:space="0" w:color="auto"/>
        <w:left w:val="none" w:sz="0" w:space="0" w:color="auto"/>
        <w:bottom w:val="none" w:sz="0" w:space="0" w:color="auto"/>
        <w:right w:val="none" w:sz="0" w:space="0" w:color="auto"/>
      </w:divBdr>
    </w:div>
    <w:div w:id="1925070295">
      <w:bodyDiv w:val="1"/>
      <w:marLeft w:val="0"/>
      <w:marRight w:val="0"/>
      <w:marTop w:val="0"/>
      <w:marBottom w:val="0"/>
      <w:divBdr>
        <w:top w:val="none" w:sz="0" w:space="0" w:color="auto"/>
        <w:left w:val="none" w:sz="0" w:space="0" w:color="auto"/>
        <w:bottom w:val="none" w:sz="0" w:space="0" w:color="auto"/>
        <w:right w:val="none" w:sz="0" w:space="0" w:color="auto"/>
      </w:divBdr>
    </w:div>
    <w:div w:id="1925187663">
      <w:bodyDiv w:val="1"/>
      <w:marLeft w:val="0"/>
      <w:marRight w:val="0"/>
      <w:marTop w:val="0"/>
      <w:marBottom w:val="0"/>
      <w:divBdr>
        <w:top w:val="none" w:sz="0" w:space="0" w:color="auto"/>
        <w:left w:val="none" w:sz="0" w:space="0" w:color="auto"/>
        <w:bottom w:val="none" w:sz="0" w:space="0" w:color="auto"/>
        <w:right w:val="none" w:sz="0" w:space="0" w:color="auto"/>
      </w:divBdr>
    </w:div>
    <w:div w:id="1925217855">
      <w:bodyDiv w:val="1"/>
      <w:marLeft w:val="0"/>
      <w:marRight w:val="0"/>
      <w:marTop w:val="0"/>
      <w:marBottom w:val="0"/>
      <w:divBdr>
        <w:top w:val="none" w:sz="0" w:space="0" w:color="auto"/>
        <w:left w:val="none" w:sz="0" w:space="0" w:color="auto"/>
        <w:bottom w:val="none" w:sz="0" w:space="0" w:color="auto"/>
        <w:right w:val="none" w:sz="0" w:space="0" w:color="auto"/>
      </w:divBdr>
    </w:div>
    <w:div w:id="1925260193">
      <w:bodyDiv w:val="1"/>
      <w:marLeft w:val="0"/>
      <w:marRight w:val="0"/>
      <w:marTop w:val="0"/>
      <w:marBottom w:val="0"/>
      <w:divBdr>
        <w:top w:val="none" w:sz="0" w:space="0" w:color="auto"/>
        <w:left w:val="none" w:sz="0" w:space="0" w:color="auto"/>
        <w:bottom w:val="none" w:sz="0" w:space="0" w:color="auto"/>
        <w:right w:val="none" w:sz="0" w:space="0" w:color="auto"/>
      </w:divBdr>
    </w:div>
    <w:div w:id="1925265741">
      <w:bodyDiv w:val="1"/>
      <w:marLeft w:val="0"/>
      <w:marRight w:val="0"/>
      <w:marTop w:val="0"/>
      <w:marBottom w:val="0"/>
      <w:divBdr>
        <w:top w:val="none" w:sz="0" w:space="0" w:color="auto"/>
        <w:left w:val="none" w:sz="0" w:space="0" w:color="auto"/>
        <w:bottom w:val="none" w:sz="0" w:space="0" w:color="auto"/>
        <w:right w:val="none" w:sz="0" w:space="0" w:color="auto"/>
      </w:divBdr>
    </w:div>
    <w:div w:id="1925340800">
      <w:bodyDiv w:val="1"/>
      <w:marLeft w:val="0"/>
      <w:marRight w:val="0"/>
      <w:marTop w:val="0"/>
      <w:marBottom w:val="0"/>
      <w:divBdr>
        <w:top w:val="none" w:sz="0" w:space="0" w:color="auto"/>
        <w:left w:val="none" w:sz="0" w:space="0" w:color="auto"/>
        <w:bottom w:val="none" w:sz="0" w:space="0" w:color="auto"/>
        <w:right w:val="none" w:sz="0" w:space="0" w:color="auto"/>
      </w:divBdr>
    </w:div>
    <w:div w:id="1925408155">
      <w:bodyDiv w:val="1"/>
      <w:marLeft w:val="0"/>
      <w:marRight w:val="0"/>
      <w:marTop w:val="0"/>
      <w:marBottom w:val="0"/>
      <w:divBdr>
        <w:top w:val="none" w:sz="0" w:space="0" w:color="auto"/>
        <w:left w:val="none" w:sz="0" w:space="0" w:color="auto"/>
        <w:bottom w:val="none" w:sz="0" w:space="0" w:color="auto"/>
        <w:right w:val="none" w:sz="0" w:space="0" w:color="auto"/>
      </w:divBdr>
    </w:div>
    <w:div w:id="1925456914">
      <w:bodyDiv w:val="1"/>
      <w:marLeft w:val="0"/>
      <w:marRight w:val="0"/>
      <w:marTop w:val="0"/>
      <w:marBottom w:val="0"/>
      <w:divBdr>
        <w:top w:val="none" w:sz="0" w:space="0" w:color="auto"/>
        <w:left w:val="none" w:sz="0" w:space="0" w:color="auto"/>
        <w:bottom w:val="none" w:sz="0" w:space="0" w:color="auto"/>
        <w:right w:val="none" w:sz="0" w:space="0" w:color="auto"/>
      </w:divBdr>
    </w:div>
    <w:div w:id="1925646588">
      <w:bodyDiv w:val="1"/>
      <w:marLeft w:val="0"/>
      <w:marRight w:val="0"/>
      <w:marTop w:val="0"/>
      <w:marBottom w:val="0"/>
      <w:divBdr>
        <w:top w:val="none" w:sz="0" w:space="0" w:color="auto"/>
        <w:left w:val="none" w:sz="0" w:space="0" w:color="auto"/>
        <w:bottom w:val="none" w:sz="0" w:space="0" w:color="auto"/>
        <w:right w:val="none" w:sz="0" w:space="0" w:color="auto"/>
      </w:divBdr>
    </w:div>
    <w:div w:id="1925722786">
      <w:bodyDiv w:val="1"/>
      <w:marLeft w:val="0"/>
      <w:marRight w:val="0"/>
      <w:marTop w:val="0"/>
      <w:marBottom w:val="0"/>
      <w:divBdr>
        <w:top w:val="none" w:sz="0" w:space="0" w:color="auto"/>
        <w:left w:val="none" w:sz="0" w:space="0" w:color="auto"/>
        <w:bottom w:val="none" w:sz="0" w:space="0" w:color="auto"/>
        <w:right w:val="none" w:sz="0" w:space="0" w:color="auto"/>
      </w:divBdr>
    </w:div>
    <w:div w:id="1925989707">
      <w:bodyDiv w:val="1"/>
      <w:marLeft w:val="0"/>
      <w:marRight w:val="0"/>
      <w:marTop w:val="0"/>
      <w:marBottom w:val="0"/>
      <w:divBdr>
        <w:top w:val="none" w:sz="0" w:space="0" w:color="auto"/>
        <w:left w:val="none" w:sz="0" w:space="0" w:color="auto"/>
        <w:bottom w:val="none" w:sz="0" w:space="0" w:color="auto"/>
        <w:right w:val="none" w:sz="0" w:space="0" w:color="auto"/>
      </w:divBdr>
    </w:div>
    <w:div w:id="1925996442">
      <w:bodyDiv w:val="1"/>
      <w:marLeft w:val="0"/>
      <w:marRight w:val="0"/>
      <w:marTop w:val="0"/>
      <w:marBottom w:val="0"/>
      <w:divBdr>
        <w:top w:val="none" w:sz="0" w:space="0" w:color="auto"/>
        <w:left w:val="none" w:sz="0" w:space="0" w:color="auto"/>
        <w:bottom w:val="none" w:sz="0" w:space="0" w:color="auto"/>
        <w:right w:val="none" w:sz="0" w:space="0" w:color="auto"/>
      </w:divBdr>
    </w:div>
    <w:div w:id="1926064100">
      <w:bodyDiv w:val="1"/>
      <w:marLeft w:val="0"/>
      <w:marRight w:val="0"/>
      <w:marTop w:val="0"/>
      <w:marBottom w:val="0"/>
      <w:divBdr>
        <w:top w:val="none" w:sz="0" w:space="0" w:color="auto"/>
        <w:left w:val="none" w:sz="0" w:space="0" w:color="auto"/>
        <w:bottom w:val="none" w:sz="0" w:space="0" w:color="auto"/>
        <w:right w:val="none" w:sz="0" w:space="0" w:color="auto"/>
      </w:divBdr>
    </w:div>
    <w:div w:id="1926110325">
      <w:bodyDiv w:val="1"/>
      <w:marLeft w:val="0"/>
      <w:marRight w:val="0"/>
      <w:marTop w:val="0"/>
      <w:marBottom w:val="0"/>
      <w:divBdr>
        <w:top w:val="none" w:sz="0" w:space="0" w:color="auto"/>
        <w:left w:val="none" w:sz="0" w:space="0" w:color="auto"/>
        <w:bottom w:val="none" w:sz="0" w:space="0" w:color="auto"/>
        <w:right w:val="none" w:sz="0" w:space="0" w:color="auto"/>
      </w:divBdr>
    </w:div>
    <w:div w:id="1926189004">
      <w:bodyDiv w:val="1"/>
      <w:marLeft w:val="0"/>
      <w:marRight w:val="0"/>
      <w:marTop w:val="0"/>
      <w:marBottom w:val="0"/>
      <w:divBdr>
        <w:top w:val="none" w:sz="0" w:space="0" w:color="auto"/>
        <w:left w:val="none" w:sz="0" w:space="0" w:color="auto"/>
        <w:bottom w:val="none" w:sz="0" w:space="0" w:color="auto"/>
        <w:right w:val="none" w:sz="0" w:space="0" w:color="auto"/>
      </w:divBdr>
    </w:div>
    <w:div w:id="1926255533">
      <w:bodyDiv w:val="1"/>
      <w:marLeft w:val="0"/>
      <w:marRight w:val="0"/>
      <w:marTop w:val="0"/>
      <w:marBottom w:val="0"/>
      <w:divBdr>
        <w:top w:val="none" w:sz="0" w:space="0" w:color="auto"/>
        <w:left w:val="none" w:sz="0" w:space="0" w:color="auto"/>
        <w:bottom w:val="none" w:sz="0" w:space="0" w:color="auto"/>
        <w:right w:val="none" w:sz="0" w:space="0" w:color="auto"/>
      </w:divBdr>
    </w:div>
    <w:div w:id="1926258353">
      <w:bodyDiv w:val="1"/>
      <w:marLeft w:val="0"/>
      <w:marRight w:val="0"/>
      <w:marTop w:val="0"/>
      <w:marBottom w:val="0"/>
      <w:divBdr>
        <w:top w:val="none" w:sz="0" w:space="0" w:color="auto"/>
        <w:left w:val="none" w:sz="0" w:space="0" w:color="auto"/>
        <w:bottom w:val="none" w:sz="0" w:space="0" w:color="auto"/>
        <w:right w:val="none" w:sz="0" w:space="0" w:color="auto"/>
      </w:divBdr>
    </w:div>
    <w:div w:id="1926379350">
      <w:bodyDiv w:val="1"/>
      <w:marLeft w:val="0"/>
      <w:marRight w:val="0"/>
      <w:marTop w:val="0"/>
      <w:marBottom w:val="0"/>
      <w:divBdr>
        <w:top w:val="none" w:sz="0" w:space="0" w:color="auto"/>
        <w:left w:val="none" w:sz="0" w:space="0" w:color="auto"/>
        <w:bottom w:val="none" w:sz="0" w:space="0" w:color="auto"/>
        <w:right w:val="none" w:sz="0" w:space="0" w:color="auto"/>
      </w:divBdr>
    </w:div>
    <w:div w:id="1926647571">
      <w:bodyDiv w:val="1"/>
      <w:marLeft w:val="0"/>
      <w:marRight w:val="0"/>
      <w:marTop w:val="0"/>
      <w:marBottom w:val="0"/>
      <w:divBdr>
        <w:top w:val="none" w:sz="0" w:space="0" w:color="auto"/>
        <w:left w:val="none" w:sz="0" w:space="0" w:color="auto"/>
        <w:bottom w:val="none" w:sz="0" w:space="0" w:color="auto"/>
        <w:right w:val="none" w:sz="0" w:space="0" w:color="auto"/>
      </w:divBdr>
    </w:div>
    <w:div w:id="1926722771">
      <w:bodyDiv w:val="1"/>
      <w:marLeft w:val="0"/>
      <w:marRight w:val="0"/>
      <w:marTop w:val="0"/>
      <w:marBottom w:val="0"/>
      <w:divBdr>
        <w:top w:val="none" w:sz="0" w:space="0" w:color="auto"/>
        <w:left w:val="none" w:sz="0" w:space="0" w:color="auto"/>
        <w:bottom w:val="none" w:sz="0" w:space="0" w:color="auto"/>
        <w:right w:val="none" w:sz="0" w:space="0" w:color="auto"/>
      </w:divBdr>
    </w:div>
    <w:div w:id="1926760671">
      <w:bodyDiv w:val="1"/>
      <w:marLeft w:val="0"/>
      <w:marRight w:val="0"/>
      <w:marTop w:val="0"/>
      <w:marBottom w:val="0"/>
      <w:divBdr>
        <w:top w:val="none" w:sz="0" w:space="0" w:color="auto"/>
        <w:left w:val="none" w:sz="0" w:space="0" w:color="auto"/>
        <w:bottom w:val="none" w:sz="0" w:space="0" w:color="auto"/>
        <w:right w:val="none" w:sz="0" w:space="0" w:color="auto"/>
      </w:divBdr>
    </w:div>
    <w:div w:id="1926842012">
      <w:bodyDiv w:val="1"/>
      <w:marLeft w:val="0"/>
      <w:marRight w:val="0"/>
      <w:marTop w:val="0"/>
      <w:marBottom w:val="0"/>
      <w:divBdr>
        <w:top w:val="none" w:sz="0" w:space="0" w:color="auto"/>
        <w:left w:val="none" w:sz="0" w:space="0" w:color="auto"/>
        <w:bottom w:val="none" w:sz="0" w:space="0" w:color="auto"/>
        <w:right w:val="none" w:sz="0" w:space="0" w:color="auto"/>
      </w:divBdr>
    </w:div>
    <w:div w:id="1927033859">
      <w:bodyDiv w:val="1"/>
      <w:marLeft w:val="0"/>
      <w:marRight w:val="0"/>
      <w:marTop w:val="0"/>
      <w:marBottom w:val="0"/>
      <w:divBdr>
        <w:top w:val="none" w:sz="0" w:space="0" w:color="auto"/>
        <w:left w:val="none" w:sz="0" w:space="0" w:color="auto"/>
        <w:bottom w:val="none" w:sz="0" w:space="0" w:color="auto"/>
        <w:right w:val="none" w:sz="0" w:space="0" w:color="auto"/>
      </w:divBdr>
    </w:div>
    <w:div w:id="1927222295">
      <w:bodyDiv w:val="1"/>
      <w:marLeft w:val="0"/>
      <w:marRight w:val="0"/>
      <w:marTop w:val="0"/>
      <w:marBottom w:val="0"/>
      <w:divBdr>
        <w:top w:val="none" w:sz="0" w:space="0" w:color="auto"/>
        <w:left w:val="none" w:sz="0" w:space="0" w:color="auto"/>
        <w:bottom w:val="none" w:sz="0" w:space="0" w:color="auto"/>
        <w:right w:val="none" w:sz="0" w:space="0" w:color="auto"/>
      </w:divBdr>
    </w:div>
    <w:div w:id="1927305438">
      <w:bodyDiv w:val="1"/>
      <w:marLeft w:val="0"/>
      <w:marRight w:val="0"/>
      <w:marTop w:val="0"/>
      <w:marBottom w:val="0"/>
      <w:divBdr>
        <w:top w:val="none" w:sz="0" w:space="0" w:color="auto"/>
        <w:left w:val="none" w:sz="0" w:space="0" w:color="auto"/>
        <w:bottom w:val="none" w:sz="0" w:space="0" w:color="auto"/>
        <w:right w:val="none" w:sz="0" w:space="0" w:color="auto"/>
      </w:divBdr>
    </w:div>
    <w:div w:id="1927372682">
      <w:bodyDiv w:val="1"/>
      <w:marLeft w:val="0"/>
      <w:marRight w:val="0"/>
      <w:marTop w:val="0"/>
      <w:marBottom w:val="0"/>
      <w:divBdr>
        <w:top w:val="none" w:sz="0" w:space="0" w:color="auto"/>
        <w:left w:val="none" w:sz="0" w:space="0" w:color="auto"/>
        <w:bottom w:val="none" w:sz="0" w:space="0" w:color="auto"/>
        <w:right w:val="none" w:sz="0" w:space="0" w:color="auto"/>
      </w:divBdr>
    </w:div>
    <w:div w:id="1927421721">
      <w:bodyDiv w:val="1"/>
      <w:marLeft w:val="0"/>
      <w:marRight w:val="0"/>
      <w:marTop w:val="0"/>
      <w:marBottom w:val="0"/>
      <w:divBdr>
        <w:top w:val="none" w:sz="0" w:space="0" w:color="auto"/>
        <w:left w:val="none" w:sz="0" w:space="0" w:color="auto"/>
        <w:bottom w:val="none" w:sz="0" w:space="0" w:color="auto"/>
        <w:right w:val="none" w:sz="0" w:space="0" w:color="auto"/>
      </w:divBdr>
    </w:div>
    <w:div w:id="1927570236">
      <w:bodyDiv w:val="1"/>
      <w:marLeft w:val="0"/>
      <w:marRight w:val="0"/>
      <w:marTop w:val="0"/>
      <w:marBottom w:val="0"/>
      <w:divBdr>
        <w:top w:val="none" w:sz="0" w:space="0" w:color="auto"/>
        <w:left w:val="none" w:sz="0" w:space="0" w:color="auto"/>
        <w:bottom w:val="none" w:sz="0" w:space="0" w:color="auto"/>
        <w:right w:val="none" w:sz="0" w:space="0" w:color="auto"/>
      </w:divBdr>
    </w:div>
    <w:div w:id="1927573403">
      <w:bodyDiv w:val="1"/>
      <w:marLeft w:val="0"/>
      <w:marRight w:val="0"/>
      <w:marTop w:val="0"/>
      <w:marBottom w:val="0"/>
      <w:divBdr>
        <w:top w:val="none" w:sz="0" w:space="0" w:color="auto"/>
        <w:left w:val="none" w:sz="0" w:space="0" w:color="auto"/>
        <w:bottom w:val="none" w:sz="0" w:space="0" w:color="auto"/>
        <w:right w:val="none" w:sz="0" w:space="0" w:color="auto"/>
      </w:divBdr>
    </w:div>
    <w:div w:id="1927573792">
      <w:bodyDiv w:val="1"/>
      <w:marLeft w:val="0"/>
      <w:marRight w:val="0"/>
      <w:marTop w:val="0"/>
      <w:marBottom w:val="0"/>
      <w:divBdr>
        <w:top w:val="none" w:sz="0" w:space="0" w:color="auto"/>
        <w:left w:val="none" w:sz="0" w:space="0" w:color="auto"/>
        <w:bottom w:val="none" w:sz="0" w:space="0" w:color="auto"/>
        <w:right w:val="none" w:sz="0" w:space="0" w:color="auto"/>
      </w:divBdr>
    </w:div>
    <w:div w:id="1927611819">
      <w:bodyDiv w:val="1"/>
      <w:marLeft w:val="0"/>
      <w:marRight w:val="0"/>
      <w:marTop w:val="0"/>
      <w:marBottom w:val="0"/>
      <w:divBdr>
        <w:top w:val="none" w:sz="0" w:space="0" w:color="auto"/>
        <w:left w:val="none" w:sz="0" w:space="0" w:color="auto"/>
        <w:bottom w:val="none" w:sz="0" w:space="0" w:color="auto"/>
        <w:right w:val="none" w:sz="0" w:space="0" w:color="auto"/>
      </w:divBdr>
    </w:div>
    <w:div w:id="1927762905">
      <w:bodyDiv w:val="1"/>
      <w:marLeft w:val="0"/>
      <w:marRight w:val="0"/>
      <w:marTop w:val="0"/>
      <w:marBottom w:val="0"/>
      <w:divBdr>
        <w:top w:val="none" w:sz="0" w:space="0" w:color="auto"/>
        <w:left w:val="none" w:sz="0" w:space="0" w:color="auto"/>
        <w:bottom w:val="none" w:sz="0" w:space="0" w:color="auto"/>
        <w:right w:val="none" w:sz="0" w:space="0" w:color="auto"/>
      </w:divBdr>
    </w:div>
    <w:div w:id="1927768219">
      <w:bodyDiv w:val="1"/>
      <w:marLeft w:val="0"/>
      <w:marRight w:val="0"/>
      <w:marTop w:val="0"/>
      <w:marBottom w:val="0"/>
      <w:divBdr>
        <w:top w:val="none" w:sz="0" w:space="0" w:color="auto"/>
        <w:left w:val="none" w:sz="0" w:space="0" w:color="auto"/>
        <w:bottom w:val="none" w:sz="0" w:space="0" w:color="auto"/>
        <w:right w:val="none" w:sz="0" w:space="0" w:color="auto"/>
      </w:divBdr>
    </w:div>
    <w:div w:id="1927769019">
      <w:bodyDiv w:val="1"/>
      <w:marLeft w:val="0"/>
      <w:marRight w:val="0"/>
      <w:marTop w:val="0"/>
      <w:marBottom w:val="0"/>
      <w:divBdr>
        <w:top w:val="none" w:sz="0" w:space="0" w:color="auto"/>
        <w:left w:val="none" w:sz="0" w:space="0" w:color="auto"/>
        <w:bottom w:val="none" w:sz="0" w:space="0" w:color="auto"/>
        <w:right w:val="none" w:sz="0" w:space="0" w:color="auto"/>
      </w:divBdr>
    </w:div>
    <w:div w:id="1927810317">
      <w:bodyDiv w:val="1"/>
      <w:marLeft w:val="0"/>
      <w:marRight w:val="0"/>
      <w:marTop w:val="0"/>
      <w:marBottom w:val="0"/>
      <w:divBdr>
        <w:top w:val="none" w:sz="0" w:space="0" w:color="auto"/>
        <w:left w:val="none" w:sz="0" w:space="0" w:color="auto"/>
        <w:bottom w:val="none" w:sz="0" w:space="0" w:color="auto"/>
        <w:right w:val="none" w:sz="0" w:space="0" w:color="auto"/>
      </w:divBdr>
    </w:div>
    <w:div w:id="1927883665">
      <w:bodyDiv w:val="1"/>
      <w:marLeft w:val="0"/>
      <w:marRight w:val="0"/>
      <w:marTop w:val="0"/>
      <w:marBottom w:val="0"/>
      <w:divBdr>
        <w:top w:val="none" w:sz="0" w:space="0" w:color="auto"/>
        <w:left w:val="none" w:sz="0" w:space="0" w:color="auto"/>
        <w:bottom w:val="none" w:sz="0" w:space="0" w:color="auto"/>
        <w:right w:val="none" w:sz="0" w:space="0" w:color="auto"/>
      </w:divBdr>
    </w:div>
    <w:div w:id="1928034160">
      <w:bodyDiv w:val="1"/>
      <w:marLeft w:val="0"/>
      <w:marRight w:val="0"/>
      <w:marTop w:val="0"/>
      <w:marBottom w:val="0"/>
      <w:divBdr>
        <w:top w:val="none" w:sz="0" w:space="0" w:color="auto"/>
        <w:left w:val="none" w:sz="0" w:space="0" w:color="auto"/>
        <w:bottom w:val="none" w:sz="0" w:space="0" w:color="auto"/>
        <w:right w:val="none" w:sz="0" w:space="0" w:color="auto"/>
      </w:divBdr>
    </w:div>
    <w:div w:id="1928223973">
      <w:bodyDiv w:val="1"/>
      <w:marLeft w:val="0"/>
      <w:marRight w:val="0"/>
      <w:marTop w:val="0"/>
      <w:marBottom w:val="0"/>
      <w:divBdr>
        <w:top w:val="none" w:sz="0" w:space="0" w:color="auto"/>
        <w:left w:val="none" w:sz="0" w:space="0" w:color="auto"/>
        <w:bottom w:val="none" w:sz="0" w:space="0" w:color="auto"/>
        <w:right w:val="none" w:sz="0" w:space="0" w:color="auto"/>
      </w:divBdr>
    </w:div>
    <w:div w:id="1928225029">
      <w:bodyDiv w:val="1"/>
      <w:marLeft w:val="0"/>
      <w:marRight w:val="0"/>
      <w:marTop w:val="0"/>
      <w:marBottom w:val="0"/>
      <w:divBdr>
        <w:top w:val="none" w:sz="0" w:space="0" w:color="auto"/>
        <w:left w:val="none" w:sz="0" w:space="0" w:color="auto"/>
        <w:bottom w:val="none" w:sz="0" w:space="0" w:color="auto"/>
        <w:right w:val="none" w:sz="0" w:space="0" w:color="auto"/>
      </w:divBdr>
    </w:div>
    <w:div w:id="1928226216">
      <w:bodyDiv w:val="1"/>
      <w:marLeft w:val="0"/>
      <w:marRight w:val="0"/>
      <w:marTop w:val="0"/>
      <w:marBottom w:val="0"/>
      <w:divBdr>
        <w:top w:val="none" w:sz="0" w:space="0" w:color="auto"/>
        <w:left w:val="none" w:sz="0" w:space="0" w:color="auto"/>
        <w:bottom w:val="none" w:sz="0" w:space="0" w:color="auto"/>
        <w:right w:val="none" w:sz="0" w:space="0" w:color="auto"/>
      </w:divBdr>
    </w:div>
    <w:div w:id="1928533025">
      <w:bodyDiv w:val="1"/>
      <w:marLeft w:val="0"/>
      <w:marRight w:val="0"/>
      <w:marTop w:val="0"/>
      <w:marBottom w:val="0"/>
      <w:divBdr>
        <w:top w:val="none" w:sz="0" w:space="0" w:color="auto"/>
        <w:left w:val="none" w:sz="0" w:space="0" w:color="auto"/>
        <w:bottom w:val="none" w:sz="0" w:space="0" w:color="auto"/>
        <w:right w:val="none" w:sz="0" w:space="0" w:color="auto"/>
      </w:divBdr>
    </w:div>
    <w:div w:id="1928611614">
      <w:bodyDiv w:val="1"/>
      <w:marLeft w:val="0"/>
      <w:marRight w:val="0"/>
      <w:marTop w:val="0"/>
      <w:marBottom w:val="0"/>
      <w:divBdr>
        <w:top w:val="none" w:sz="0" w:space="0" w:color="auto"/>
        <w:left w:val="none" w:sz="0" w:space="0" w:color="auto"/>
        <w:bottom w:val="none" w:sz="0" w:space="0" w:color="auto"/>
        <w:right w:val="none" w:sz="0" w:space="0" w:color="auto"/>
      </w:divBdr>
    </w:div>
    <w:div w:id="1928689268">
      <w:bodyDiv w:val="1"/>
      <w:marLeft w:val="0"/>
      <w:marRight w:val="0"/>
      <w:marTop w:val="0"/>
      <w:marBottom w:val="0"/>
      <w:divBdr>
        <w:top w:val="none" w:sz="0" w:space="0" w:color="auto"/>
        <w:left w:val="none" w:sz="0" w:space="0" w:color="auto"/>
        <w:bottom w:val="none" w:sz="0" w:space="0" w:color="auto"/>
        <w:right w:val="none" w:sz="0" w:space="0" w:color="auto"/>
      </w:divBdr>
    </w:div>
    <w:div w:id="1928691517">
      <w:bodyDiv w:val="1"/>
      <w:marLeft w:val="0"/>
      <w:marRight w:val="0"/>
      <w:marTop w:val="0"/>
      <w:marBottom w:val="0"/>
      <w:divBdr>
        <w:top w:val="none" w:sz="0" w:space="0" w:color="auto"/>
        <w:left w:val="none" w:sz="0" w:space="0" w:color="auto"/>
        <w:bottom w:val="none" w:sz="0" w:space="0" w:color="auto"/>
        <w:right w:val="none" w:sz="0" w:space="0" w:color="auto"/>
      </w:divBdr>
    </w:div>
    <w:div w:id="1928805707">
      <w:bodyDiv w:val="1"/>
      <w:marLeft w:val="0"/>
      <w:marRight w:val="0"/>
      <w:marTop w:val="0"/>
      <w:marBottom w:val="0"/>
      <w:divBdr>
        <w:top w:val="none" w:sz="0" w:space="0" w:color="auto"/>
        <w:left w:val="none" w:sz="0" w:space="0" w:color="auto"/>
        <w:bottom w:val="none" w:sz="0" w:space="0" w:color="auto"/>
        <w:right w:val="none" w:sz="0" w:space="0" w:color="auto"/>
      </w:divBdr>
    </w:div>
    <w:div w:id="1928885953">
      <w:bodyDiv w:val="1"/>
      <w:marLeft w:val="0"/>
      <w:marRight w:val="0"/>
      <w:marTop w:val="0"/>
      <w:marBottom w:val="0"/>
      <w:divBdr>
        <w:top w:val="none" w:sz="0" w:space="0" w:color="auto"/>
        <w:left w:val="none" w:sz="0" w:space="0" w:color="auto"/>
        <w:bottom w:val="none" w:sz="0" w:space="0" w:color="auto"/>
        <w:right w:val="none" w:sz="0" w:space="0" w:color="auto"/>
      </w:divBdr>
    </w:div>
    <w:div w:id="1928927624">
      <w:bodyDiv w:val="1"/>
      <w:marLeft w:val="0"/>
      <w:marRight w:val="0"/>
      <w:marTop w:val="0"/>
      <w:marBottom w:val="0"/>
      <w:divBdr>
        <w:top w:val="none" w:sz="0" w:space="0" w:color="auto"/>
        <w:left w:val="none" w:sz="0" w:space="0" w:color="auto"/>
        <w:bottom w:val="none" w:sz="0" w:space="0" w:color="auto"/>
        <w:right w:val="none" w:sz="0" w:space="0" w:color="auto"/>
      </w:divBdr>
    </w:div>
    <w:div w:id="1928996605">
      <w:bodyDiv w:val="1"/>
      <w:marLeft w:val="0"/>
      <w:marRight w:val="0"/>
      <w:marTop w:val="0"/>
      <w:marBottom w:val="0"/>
      <w:divBdr>
        <w:top w:val="none" w:sz="0" w:space="0" w:color="auto"/>
        <w:left w:val="none" w:sz="0" w:space="0" w:color="auto"/>
        <w:bottom w:val="none" w:sz="0" w:space="0" w:color="auto"/>
        <w:right w:val="none" w:sz="0" w:space="0" w:color="auto"/>
      </w:divBdr>
    </w:div>
    <w:div w:id="1929003096">
      <w:bodyDiv w:val="1"/>
      <w:marLeft w:val="0"/>
      <w:marRight w:val="0"/>
      <w:marTop w:val="0"/>
      <w:marBottom w:val="0"/>
      <w:divBdr>
        <w:top w:val="none" w:sz="0" w:space="0" w:color="auto"/>
        <w:left w:val="none" w:sz="0" w:space="0" w:color="auto"/>
        <w:bottom w:val="none" w:sz="0" w:space="0" w:color="auto"/>
        <w:right w:val="none" w:sz="0" w:space="0" w:color="auto"/>
      </w:divBdr>
    </w:div>
    <w:div w:id="1929190702">
      <w:bodyDiv w:val="1"/>
      <w:marLeft w:val="0"/>
      <w:marRight w:val="0"/>
      <w:marTop w:val="0"/>
      <w:marBottom w:val="0"/>
      <w:divBdr>
        <w:top w:val="none" w:sz="0" w:space="0" w:color="auto"/>
        <w:left w:val="none" w:sz="0" w:space="0" w:color="auto"/>
        <w:bottom w:val="none" w:sz="0" w:space="0" w:color="auto"/>
        <w:right w:val="none" w:sz="0" w:space="0" w:color="auto"/>
      </w:divBdr>
    </w:div>
    <w:div w:id="1929192967">
      <w:bodyDiv w:val="1"/>
      <w:marLeft w:val="0"/>
      <w:marRight w:val="0"/>
      <w:marTop w:val="0"/>
      <w:marBottom w:val="0"/>
      <w:divBdr>
        <w:top w:val="none" w:sz="0" w:space="0" w:color="auto"/>
        <w:left w:val="none" w:sz="0" w:space="0" w:color="auto"/>
        <w:bottom w:val="none" w:sz="0" w:space="0" w:color="auto"/>
        <w:right w:val="none" w:sz="0" w:space="0" w:color="auto"/>
      </w:divBdr>
    </w:div>
    <w:div w:id="1929264541">
      <w:bodyDiv w:val="1"/>
      <w:marLeft w:val="0"/>
      <w:marRight w:val="0"/>
      <w:marTop w:val="0"/>
      <w:marBottom w:val="0"/>
      <w:divBdr>
        <w:top w:val="none" w:sz="0" w:space="0" w:color="auto"/>
        <w:left w:val="none" w:sz="0" w:space="0" w:color="auto"/>
        <w:bottom w:val="none" w:sz="0" w:space="0" w:color="auto"/>
        <w:right w:val="none" w:sz="0" w:space="0" w:color="auto"/>
      </w:divBdr>
    </w:div>
    <w:div w:id="1929266398">
      <w:bodyDiv w:val="1"/>
      <w:marLeft w:val="0"/>
      <w:marRight w:val="0"/>
      <w:marTop w:val="0"/>
      <w:marBottom w:val="0"/>
      <w:divBdr>
        <w:top w:val="none" w:sz="0" w:space="0" w:color="auto"/>
        <w:left w:val="none" w:sz="0" w:space="0" w:color="auto"/>
        <w:bottom w:val="none" w:sz="0" w:space="0" w:color="auto"/>
        <w:right w:val="none" w:sz="0" w:space="0" w:color="auto"/>
      </w:divBdr>
    </w:div>
    <w:div w:id="1929386842">
      <w:bodyDiv w:val="1"/>
      <w:marLeft w:val="0"/>
      <w:marRight w:val="0"/>
      <w:marTop w:val="0"/>
      <w:marBottom w:val="0"/>
      <w:divBdr>
        <w:top w:val="none" w:sz="0" w:space="0" w:color="auto"/>
        <w:left w:val="none" w:sz="0" w:space="0" w:color="auto"/>
        <w:bottom w:val="none" w:sz="0" w:space="0" w:color="auto"/>
        <w:right w:val="none" w:sz="0" w:space="0" w:color="auto"/>
      </w:divBdr>
    </w:div>
    <w:div w:id="1929457756">
      <w:bodyDiv w:val="1"/>
      <w:marLeft w:val="0"/>
      <w:marRight w:val="0"/>
      <w:marTop w:val="0"/>
      <w:marBottom w:val="0"/>
      <w:divBdr>
        <w:top w:val="none" w:sz="0" w:space="0" w:color="auto"/>
        <w:left w:val="none" w:sz="0" w:space="0" w:color="auto"/>
        <w:bottom w:val="none" w:sz="0" w:space="0" w:color="auto"/>
        <w:right w:val="none" w:sz="0" w:space="0" w:color="auto"/>
      </w:divBdr>
    </w:div>
    <w:div w:id="1929460591">
      <w:bodyDiv w:val="1"/>
      <w:marLeft w:val="0"/>
      <w:marRight w:val="0"/>
      <w:marTop w:val="0"/>
      <w:marBottom w:val="0"/>
      <w:divBdr>
        <w:top w:val="none" w:sz="0" w:space="0" w:color="auto"/>
        <w:left w:val="none" w:sz="0" w:space="0" w:color="auto"/>
        <w:bottom w:val="none" w:sz="0" w:space="0" w:color="auto"/>
        <w:right w:val="none" w:sz="0" w:space="0" w:color="auto"/>
      </w:divBdr>
    </w:div>
    <w:div w:id="1929460659">
      <w:bodyDiv w:val="1"/>
      <w:marLeft w:val="0"/>
      <w:marRight w:val="0"/>
      <w:marTop w:val="0"/>
      <w:marBottom w:val="0"/>
      <w:divBdr>
        <w:top w:val="none" w:sz="0" w:space="0" w:color="auto"/>
        <w:left w:val="none" w:sz="0" w:space="0" w:color="auto"/>
        <w:bottom w:val="none" w:sz="0" w:space="0" w:color="auto"/>
        <w:right w:val="none" w:sz="0" w:space="0" w:color="auto"/>
      </w:divBdr>
    </w:div>
    <w:div w:id="1929538905">
      <w:bodyDiv w:val="1"/>
      <w:marLeft w:val="0"/>
      <w:marRight w:val="0"/>
      <w:marTop w:val="0"/>
      <w:marBottom w:val="0"/>
      <w:divBdr>
        <w:top w:val="none" w:sz="0" w:space="0" w:color="auto"/>
        <w:left w:val="none" w:sz="0" w:space="0" w:color="auto"/>
        <w:bottom w:val="none" w:sz="0" w:space="0" w:color="auto"/>
        <w:right w:val="none" w:sz="0" w:space="0" w:color="auto"/>
      </w:divBdr>
    </w:div>
    <w:div w:id="1929577344">
      <w:bodyDiv w:val="1"/>
      <w:marLeft w:val="0"/>
      <w:marRight w:val="0"/>
      <w:marTop w:val="0"/>
      <w:marBottom w:val="0"/>
      <w:divBdr>
        <w:top w:val="none" w:sz="0" w:space="0" w:color="auto"/>
        <w:left w:val="none" w:sz="0" w:space="0" w:color="auto"/>
        <w:bottom w:val="none" w:sz="0" w:space="0" w:color="auto"/>
        <w:right w:val="none" w:sz="0" w:space="0" w:color="auto"/>
      </w:divBdr>
    </w:div>
    <w:div w:id="1929578896">
      <w:bodyDiv w:val="1"/>
      <w:marLeft w:val="0"/>
      <w:marRight w:val="0"/>
      <w:marTop w:val="0"/>
      <w:marBottom w:val="0"/>
      <w:divBdr>
        <w:top w:val="none" w:sz="0" w:space="0" w:color="auto"/>
        <w:left w:val="none" w:sz="0" w:space="0" w:color="auto"/>
        <w:bottom w:val="none" w:sz="0" w:space="0" w:color="auto"/>
        <w:right w:val="none" w:sz="0" w:space="0" w:color="auto"/>
      </w:divBdr>
    </w:div>
    <w:div w:id="1929582022">
      <w:bodyDiv w:val="1"/>
      <w:marLeft w:val="0"/>
      <w:marRight w:val="0"/>
      <w:marTop w:val="0"/>
      <w:marBottom w:val="0"/>
      <w:divBdr>
        <w:top w:val="none" w:sz="0" w:space="0" w:color="auto"/>
        <w:left w:val="none" w:sz="0" w:space="0" w:color="auto"/>
        <w:bottom w:val="none" w:sz="0" w:space="0" w:color="auto"/>
        <w:right w:val="none" w:sz="0" w:space="0" w:color="auto"/>
      </w:divBdr>
    </w:div>
    <w:div w:id="1929652887">
      <w:bodyDiv w:val="1"/>
      <w:marLeft w:val="0"/>
      <w:marRight w:val="0"/>
      <w:marTop w:val="0"/>
      <w:marBottom w:val="0"/>
      <w:divBdr>
        <w:top w:val="none" w:sz="0" w:space="0" w:color="auto"/>
        <w:left w:val="none" w:sz="0" w:space="0" w:color="auto"/>
        <w:bottom w:val="none" w:sz="0" w:space="0" w:color="auto"/>
        <w:right w:val="none" w:sz="0" w:space="0" w:color="auto"/>
      </w:divBdr>
    </w:div>
    <w:div w:id="1929655458">
      <w:bodyDiv w:val="1"/>
      <w:marLeft w:val="0"/>
      <w:marRight w:val="0"/>
      <w:marTop w:val="0"/>
      <w:marBottom w:val="0"/>
      <w:divBdr>
        <w:top w:val="none" w:sz="0" w:space="0" w:color="auto"/>
        <w:left w:val="none" w:sz="0" w:space="0" w:color="auto"/>
        <w:bottom w:val="none" w:sz="0" w:space="0" w:color="auto"/>
        <w:right w:val="none" w:sz="0" w:space="0" w:color="auto"/>
      </w:divBdr>
    </w:div>
    <w:div w:id="1929726225">
      <w:bodyDiv w:val="1"/>
      <w:marLeft w:val="0"/>
      <w:marRight w:val="0"/>
      <w:marTop w:val="0"/>
      <w:marBottom w:val="0"/>
      <w:divBdr>
        <w:top w:val="none" w:sz="0" w:space="0" w:color="auto"/>
        <w:left w:val="none" w:sz="0" w:space="0" w:color="auto"/>
        <w:bottom w:val="none" w:sz="0" w:space="0" w:color="auto"/>
        <w:right w:val="none" w:sz="0" w:space="0" w:color="auto"/>
      </w:divBdr>
    </w:div>
    <w:div w:id="1929727741">
      <w:bodyDiv w:val="1"/>
      <w:marLeft w:val="0"/>
      <w:marRight w:val="0"/>
      <w:marTop w:val="0"/>
      <w:marBottom w:val="0"/>
      <w:divBdr>
        <w:top w:val="none" w:sz="0" w:space="0" w:color="auto"/>
        <w:left w:val="none" w:sz="0" w:space="0" w:color="auto"/>
        <w:bottom w:val="none" w:sz="0" w:space="0" w:color="auto"/>
        <w:right w:val="none" w:sz="0" w:space="0" w:color="auto"/>
      </w:divBdr>
    </w:div>
    <w:div w:id="1929997253">
      <w:bodyDiv w:val="1"/>
      <w:marLeft w:val="0"/>
      <w:marRight w:val="0"/>
      <w:marTop w:val="0"/>
      <w:marBottom w:val="0"/>
      <w:divBdr>
        <w:top w:val="none" w:sz="0" w:space="0" w:color="auto"/>
        <w:left w:val="none" w:sz="0" w:space="0" w:color="auto"/>
        <w:bottom w:val="none" w:sz="0" w:space="0" w:color="auto"/>
        <w:right w:val="none" w:sz="0" w:space="0" w:color="auto"/>
      </w:divBdr>
    </w:div>
    <w:div w:id="1930036583">
      <w:bodyDiv w:val="1"/>
      <w:marLeft w:val="0"/>
      <w:marRight w:val="0"/>
      <w:marTop w:val="0"/>
      <w:marBottom w:val="0"/>
      <w:divBdr>
        <w:top w:val="none" w:sz="0" w:space="0" w:color="auto"/>
        <w:left w:val="none" w:sz="0" w:space="0" w:color="auto"/>
        <w:bottom w:val="none" w:sz="0" w:space="0" w:color="auto"/>
        <w:right w:val="none" w:sz="0" w:space="0" w:color="auto"/>
      </w:divBdr>
    </w:div>
    <w:div w:id="1930192956">
      <w:bodyDiv w:val="1"/>
      <w:marLeft w:val="0"/>
      <w:marRight w:val="0"/>
      <w:marTop w:val="0"/>
      <w:marBottom w:val="0"/>
      <w:divBdr>
        <w:top w:val="none" w:sz="0" w:space="0" w:color="auto"/>
        <w:left w:val="none" w:sz="0" w:space="0" w:color="auto"/>
        <w:bottom w:val="none" w:sz="0" w:space="0" w:color="auto"/>
        <w:right w:val="none" w:sz="0" w:space="0" w:color="auto"/>
      </w:divBdr>
    </w:div>
    <w:div w:id="1930194702">
      <w:bodyDiv w:val="1"/>
      <w:marLeft w:val="0"/>
      <w:marRight w:val="0"/>
      <w:marTop w:val="0"/>
      <w:marBottom w:val="0"/>
      <w:divBdr>
        <w:top w:val="none" w:sz="0" w:space="0" w:color="auto"/>
        <w:left w:val="none" w:sz="0" w:space="0" w:color="auto"/>
        <w:bottom w:val="none" w:sz="0" w:space="0" w:color="auto"/>
        <w:right w:val="none" w:sz="0" w:space="0" w:color="auto"/>
      </w:divBdr>
    </w:div>
    <w:div w:id="1930263068">
      <w:bodyDiv w:val="1"/>
      <w:marLeft w:val="0"/>
      <w:marRight w:val="0"/>
      <w:marTop w:val="0"/>
      <w:marBottom w:val="0"/>
      <w:divBdr>
        <w:top w:val="none" w:sz="0" w:space="0" w:color="auto"/>
        <w:left w:val="none" w:sz="0" w:space="0" w:color="auto"/>
        <w:bottom w:val="none" w:sz="0" w:space="0" w:color="auto"/>
        <w:right w:val="none" w:sz="0" w:space="0" w:color="auto"/>
      </w:divBdr>
    </w:div>
    <w:div w:id="1930429520">
      <w:bodyDiv w:val="1"/>
      <w:marLeft w:val="0"/>
      <w:marRight w:val="0"/>
      <w:marTop w:val="0"/>
      <w:marBottom w:val="0"/>
      <w:divBdr>
        <w:top w:val="none" w:sz="0" w:space="0" w:color="auto"/>
        <w:left w:val="none" w:sz="0" w:space="0" w:color="auto"/>
        <w:bottom w:val="none" w:sz="0" w:space="0" w:color="auto"/>
        <w:right w:val="none" w:sz="0" w:space="0" w:color="auto"/>
      </w:divBdr>
    </w:div>
    <w:div w:id="1930459074">
      <w:bodyDiv w:val="1"/>
      <w:marLeft w:val="0"/>
      <w:marRight w:val="0"/>
      <w:marTop w:val="0"/>
      <w:marBottom w:val="0"/>
      <w:divBdr>
        <w:top w:val="none" w:sz="0" w:space="0" w:color="auto"/>
        <w:left w:val="none" w:sz="0" w:space="0" w:color="auto"/>
        <w:bottom w:val="none" w:sz="0" w:space="0" w:color="auto"/>
        <w:right w:val="none" w:sz="0" w:space="0" w:color="auto"/>
      </w:divBdr>
    </w:div>
    <w:div w:id="1930460852">
      <w:bodyDiv w:val="1"/>
      <w:marLeft w:val="0"/>
      <w:marRight w:val="0"/>
      <w:marTop w:val="0"/>
      <w:marBottom w:val="0"/>
      <w:divBdr>
        <w:top w:val="none" w:sz="0" w:space="0" w:color="auto"/>
        <w:left w:val="none" w:sz="0" w:space="0" w:color="auto"/>
        <w:bottom w:val="none" w:sz="0" w:space="0" w:color="auto"/>
        <w:right w:val="none" w:sz="0" w:space="0" w:color="auto"/>
      </w:divBdr>
    </w:div>
    <w:div w:id="1930579758">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0967222">
      <w:bodyDiv w:val="1"/>
      <w:marLeft w:val="0"/>
      <w:marRight w:val="0"/>
      <w:marTop w:val="0"/>
      <w:marBottom w:val="0"/>
      <w:divBdr>
        <w:top w:val="none" w:sz="0" w:space="0" w:color="auto"/>
        <w:left w:val="none" w:sz="0" w:space="0" w:color="auto"/>
        <w:bottom w:val="none" w:sz="0" w:space="0" w:color="auto"/>
        <w:right w:val="none" w:sz="0" w:space="0" w:color="auto"/>
      </w:divBdr>
    </w:div>
    <w:div w:id="1930968761">
      <w:bodyDiv w:val="1"/>
      <w:marLeft w:val="0"/>
      <w:marRight w:val="0"/>
      <w:marTop w:val="0"/>
      <w:marBottom w:val="0"/>
      <w:divBdr>
        <w:top w:val="none" w:sz="0" w:space="0" w:color="auto"/>
        <w:left w:val="none" w:sz="0" w:space="0" w:color="auto"/>
        <w:bottom w:val="none" w:sz="0" w:space="0" w:color="auto"/>
        <w:right w:val="none" w:sz="0" w:space="0" w:color="auto"/>
      </w:divBdr>
    </w:div>
    <w:div w:id="1931041491">
      <w:bodyDiv w:val="1"/>
      <w:marLeft w:val="0"/>
      <w:marRight w:val="0"/>
      <w:marTop w:val="0"/>
      <w:marBottom w:val="0"/>
      <w:divBdr>
        <w:top w:val="none" w:sz="0" w:space="0" w:color="auto"/>
        <w:left w:val="none" w:sz="0" w:space="0" w:color="auto"/>
        <w:bottom w:val="none" w:sz="0" w:space="0" w:color="auto"/>
        <w:right w:val="none" w:sz="0" w:space="0" w:color="auto"/>
      </w:divBdr>
    </w:div>
    <w:div w:id="1931155799">
      <w:bodyDiv w:val="1"/>
      <w:marLeft w:val="0"/>
      <w:marRight w:val="0"/>
      <w:marTop w:val="0"/>
      <w:marBottom w:val="0"/>
      <w:divBdr>
        <w:top w:val="none" w:sz="0" w:space="0" w:color="auto"/>
        <w:left w:val="none" w:sz="0" w:space="0" w:color="auto"/>
        <w:bottom w:val="none" w:sz="0" w:space="0" w:color="auto"/>
        <w:right w:val="none" w:sz="0" w:space="0" w:color="auto"/>
      </w:divBdr>
    </w:div>
    <w:div w:id="1931232429">
      <w:bodyDiv w:val="1"/>
      <w:marLeft w:val="0"/>
      <w:marRight w:val="0"/>
      <w:marTop w:val="0"/>
      <w:marBottom w:val="0"/>
      <w:divBdr>
        <w:top w:val="none" w:sz="0" w:space="0" w:color="auto"/>
        <w:left w:val="none" w:sz="0" w:space="0" w:color="auto"/>
        <w:bottom w:val="none" w:sz="0" w:space="0" w:color="auto"/>
        <w:right w:val="none" w:sz="0" w:space="0" w:color="auto"/>
      </w:divBdr>
    </w:div>
    <w:div w:id="1931304935">
      <w:bodyDiv w:val="1"/>
      <w:marLeft w:val="0"/>
      <w:marRight w:val="0"/>
      <w:marTop w:val="0"/>
      <w:marBottom w:val="0"/>
      <w:divBdr>
        <w:top w:val="none" w:sz="0" w:space="0" w:color="auto"/>
        <w:left w:val="none" w:sz="0" w:space="0" w:color="auto"/>
        <w:bottom w:val="none" w:sz="0" w:space="0" w:color="auto"/>
        <w:right w:val="none" w:sz="0" w:space="0" w:color="auto"/>
      </w:divBdr>
    </w:div>
    <w:div w:id="1931353741">
      <w:bodyDiv w:val="1"/>
      <w:marLeft w:val="0"/>
      <w:marRight w:val="0"/>
      <w:marTop w:val="0"/>
      <w:marBottom w:val="0"/>
      <w:divBdr>
        <w:top w:val="none" w:sz="0" w:space="0" w:color="auto"/>
        <w:left w:val="none" w:sz="0" w:space="0" w:color="auto"/>
        <w:bottom w:val="none" w:sz="0" w:space="0" w:color="auto"/>
        <w:right w:val="none" w:sz="0" w:space="0" w:color="auto"/>
      </w:divBdr>
    </w:div>
    <w:div w:id="1931622758">
      <w:bodyDiv w:val="1"/>
      <w:marLeft w:val="0"/>
      <w:marRight w:val="0"/>
      <w:marTop w:val="0"/>
      <w:marBottom w:val="0"/>
      <w:divBdr>
        <w:top w:val="none" w:sz="0" w:space="0" w:color="auto"/>
        <w:left w:val="none" w:sz="0" w:space="0" w:color="auto"/>
        <w:bottom w:val="none" w:sz="0" w:space="0" w:color="auto"/>
        <w:right w:val="none" w:sz="0" w:space="0" w:color="auto"/>
      </w:divBdr>
    </w:div>
    <w:div w:id="1931623199">
      <w:bodyDiv w:val="1"/>
      <w:marLeft w:val="0"/>
      <w:marRight w:val="0"/>
      <w:marTop w:val="0"/>
      <w:marBottom w:val="0"/>
      <w:divBdr>
        <w:top w:val="none" w:sz="0" w:space="0" w:color="auto"/>
        <w:left w:val="none" w:sz="0" w:space="0" w:color="auto"/>
        <w:bottom w:val="none" w:sz="0" w:space="0" w:color="auto"/>
        <w:right w:val="none" w:sz="0" w:space="0" w:color="auto"/>
      </w:divBdr>
    </w:div>
    <w:div w:id="1931740831">
      <w:bodyDiv w:val="1"/>
      <w:marLeft w:val="0"/>
      <w:marRight w:val="0"/>
      <w:marTop w:val="0"/>
      <w:marBottom w:val="0"/>
      <w:divBdr>
        <w:top w:val="none" w:sz="0" w:space="0" w:color="auto"/>
        <w:left w:val="none" w:sz="0" w:space="0" w:color="auto"/>
        <w:bottom w:val="none" w:sz="0" w:space="0" w:color="auto"/>
        <w:right w:val="none" w:sz="0" w:space="0" w:color="auto"/>
      </w:divBdr>
    </w:div>
    <w:div w:id="1931769185">
      <w:bodyDiv w:val="1"/>
      <w:marLeft w:val="0"/>
      <w:marRight w:val="0"/>
      <w:marTop w:val="0"/>
      <w:marBottom w:val="0"/>
      <w:divBdr>
        <w:top w:val="none" w:sz="0" w:space="0" w:color="auto"/>
        <w:left w:val="none" w:sz="0" w:space="0" w:color="auto"/>
        <w:bottom w:val="none" w:sz="0" w:space="0" w:color="auto"/>
        <w:right w:val="none" w:sz="0" w:space="0" w:color="auto"/>
      </w:divBdr>
    </w:div>
    <w:div w:id="1931770618">
      <w:bodyDiv w:val="1"/>
      <w:marLeft w:val="0"/>
      <w:marRight w:val="0"/>
      <w:marTop w:val="0"/>
      <w:marBottom w:val="0"/>
      <w:divBdr>
        <w:top w:val="none" w:sz="0" w:space="0" w:color="auto"/>
        <w:left w:val="none" w:sz="0" w:space="0" w:color="auto"/>
        <w:bottom w:val="none" w:sz="0" w:space="0" w:color="auto"/>
        <w:right w:val="none" w:sz="0" w:space="0" w:color="auto"/>
      </w:divBdr>
    </w:div>
    <w:div w:id="1931771473">
      <w:bodyDiv w:val="1"/>
      <w:marLeft w:val="0"/>
      <w:marRight w:val="0"/>
      <w:marTop w:val="0"/>
      <w:marBottom w:val="0"/>
      <w:divBdr>
        <w:top w:val="none" w:sz="0" w:space="0" w:color="auto"/>
        <w:left w:val="none" w:sz="0" w:space="0" w:color="auto"/>
        <w:bottom w:val="none" w:sz="0" w:space="0" w:color="auto"/>
        <w:right w:val="none" w:sz="0" w:space="0" w:color="auto"/>
      </w:divBdr>
    </w:div>
    <w:div w:id="1932011108">
      <w:bodyDiv w:val="1"/>
      <w:marLeft w:val="0"/>
      <w:marRight w:val="0"/>
      <w:marTop w:val="0"/>
      <w:marBottom w:val="0"/>
      <w:divBdr>
        <w:top w:val="none" w:sz="0" w:space="0" w:color="auto"/>
        <w:left w:val="none" w:sz="0" w:space="0" w:color="auto"/>
        <w:bottom w:val="none" w:sz="0" w:space="0" w:color="auto"/>
        <w:right w:val="none" w:sz="0" w:space="0" w:color="auto"/>
      </w:divBdr>
    </w:div>
    <w:div w:id="1932085010">
      <w:bodyDiv w:val="1"/>
      <w:marLeft w:val="0"/>
      <w:marRight w:val="0"/>
      <w:marTop w:val="0"/>
      <w:marBottom w:val="0"/>
      <w:divBdr>
        <w:top w:val="none" w:sz="0" w:space="0" w:color="auto"/>
        <w:left w:val="none" w:sz="0" w:space="0" w:color="auto"/>
        <w:bottom w:val="none" w:sz="0" w:space="0" w:color="auto"/>
        <w:right w:val="none" w:sz="0" w:space="0" w:color="auto"/>
      </w:divBdr>
    </w:div>
    <w:div w:id="1932153833">
      <w:bodyDiv w:val="1"/>
      <w:marLeft w:val="0"/>
      <w:marRight w:val="0"/>
      <w:marTop w:val="0"/>
      <w:marBottom w:val="0"/>
      <w:divBdr>
        <w:top w:val="none" w:sz="0" w:space="0" w:color="auto"/>
        <w:left w:val="none" w:sz="0" w:space="0" w:color="auto"/>
        <w:bottom w:val="none" w:sz="0" w:space="0" w:color="auto"/>
        <w:right w:val="none" w:sz="0" w:space="0" w:color="auto"/>
      </w:divBdr>
    </w:div>
    <w:div w:id="1932160416">
      <w:bodyDiv w:val="1"/>
      <w:marLeft w:val="0"/>
      <w:marRight w:val="0"/>
      <w:marTop w:val="0"/>
      <w:marBottom w:val="0"/>
      <w:divBdr>
        <w:top w:val="none" w:sz="0" w:space="0" w:color="auto"/>
        <w:left w:val="none" w:sz="0" w:space="0" w:color="auto"/>
        <w:bottom w:val="none" w:sz="0" w:space="0" w:color="auto"/>
        <w:right w:val="none" w:sz="0" w:space="0" w:color="auto"/>
      </w:divBdr>
    </w:div>
    <w:div w:id="1932349156">
      <w:bodyDiv w:val="1"/>
      <w:marLeft w:val="0"/>
      <w:marRight w:val="0"/>
      <w:marTop w:val="0"/>
      <w:marBottom w:val="0"/>
      <w:divBdr>
        <w:top w:val="none" w:sz="0" w:space="0" w:color="auto"/>
        <w:left w:val="none" w:sz="0" w:space="0" w:color="auto"/>
        <w:bottom w:val="none" w:sz="0" w:space="0" w:color="auto"/>
        <w:right w:val="none" w:sz="0" w:space="0" w:color="auto"/>
      </w:divBdr>
    </w:div>
    <w:div w:id="1932468339">
      <w:bodyDiv w:val="1"/>
      <w:marLeft w:val="0"/>
      <w:marRight w:val="0"/>
      <w:marTop w:val="0"/>
      <w:marBottom w:val="0"/>
      <w:divBdr>
        <w:top w:val="none" w:sz="0" w:space="0" w:color="auto"/>
        <w:left w:val="none" w:sz="0" w:space="0" w:color="auto"/>
        <w:bottom w:val="none" w:sz="0" w:space="0" w:color="auto"/>
        <w:right w:val="none" w:sz="0" w:space="0" w:color="auto"/>
      </w:divBdr>
    </w:div>
    <w:div w:id="1932546710">
      <w:bodyDiv w:val="1"/>
      <w:marLeft w:val="0"/>
      <w:marRight w:val="0"/>
      <w:marTop w:val="0"/>
      <w:marBottom w:val="0"/>
      <w:divBdr>
        <w:top w:val="none" w:sz="0" w:space="0" w:color="auto"/>
        <w:left w:val="none" w:sz="0" w:space="0" w:color="auto"/>
        <w:bottom w:val="none" w:sz="0" w:space="0" w:color="auto"/>
        <w:right w:val="none" w:sz="0" w:space="0" w:color="auto"/>
      </w:divBdr>
    </w:div>
    <w:div w:id="1932810917">
      <w:bodyDiv w:val="1"/>
      <w:marLeft w:val="0"/>
      <w:marRight w:val="0"/>
      <w:marTop w:val="0"/>
      <w:marBottom w:val="0"/>
      <w:divBdr>
        <w:top w:val="none" w:sz="0" w:space="0" w:color="auto"/>
        <w:left w:val="none" w:sz="0" w:space="0" w:color="auto"/>
        <w:bottom w:val="none" w:sz="0" w:space="0" w:color="auto"/>
        <w:right w:val="none" w:sz="0" w:space="0" w:color="auto"/>
      </w:divBdr>
    </w:div>
    <w:div w:id="1932812180">
      <w:bodyDiv w:val="1"/>
      <w:marLeft w:val="0"/>
      <w:marRight w:val="0"/>
      <w:marTop w:val="0"/>
      <w:marBottom w:val="0"/>
      <w:divBdr>
        <w:top w:val="none" w:sz="0" w:space="0" w:color="auto"/>
        <w:left w:val="none" w:sz="0" w:space="0" w:color="auto"/>
        <w:bottom w:val="none" w:sz="0" w:space="0" w:color="auto"/>
        <w:right w:val="none" w:sz="0" w:space="0" w:color="auto"/>
      </w:divBdr>
    </w:div>
    <w:div w:id="1932857308">
      <w:bodyDiv w:val="1"/>
      <w:marLeft w:val="0"/>
      <w:marRight w:val="0"/>
      <w:marTop w:val="0"/>
      <w:marBottom w:val="0"/>
      <w:divBdr>
        <w:top w:val="none" w:sz="0" w:space="0" w:color="auto"/>
        <w:left w:val="none" w:sz="0" w:space="0" w:color="auto"/>
        <w:bottom w:val="none" w:sz="0" w:space="0" w:color="auto"/>
        <w:right w:val="none" w:sz="0" w:space="0" w:color="auto"/>
      </w:divBdr>
    </w:div>
    <w:div w:id="1932883512">
      <w:bodyDiv w:val="1"/>
      <w:marLeft w:val="0"/>
      <w:marRight w:val="0"/>
      <w:marTop w:val="0"/>
      <w:marBottom w:val="0"/>
      <w:divBdr>
        <w:top w:val="none" w:sz="0" w:space="0" w:color="auto"/>
        <w:left w:val="none" w:sz="0" w:space="0" w:color="auto"/>
        <w:bottom w:val="none" w:sz="0" w:space="0" w:color="auto"/>
        <w:right w:val="none" w:sz="0" w:space="0" w:color="auto"/>
      </w:divBdr>
    </w:div>
    <w:div w:id="1932927178">
      <w:bodyDiv w:val="1"/>
      <w:marLeft w:val="0"/>
      <w:marRight w:val="0"/>
      <w:marTop w:val="0"/>
      <w:marBottom w:val="0"/>
      <w:divBdr>
        <w:top w:val="none" w:sz="0" w:space="0" w:color="auto"/>
        <w:left w:val="none" w:sz="0" w:space="0" w:color="auto"/>
        <w:bottom w:val="none" w:sz="0" w:space="0" w:color="auto"/>
        <w:right w:val="none" w:sz="0" w:space="0" w:color="auto"/>
      </w:divBdr>
    </w:div>
    <w:div w:id="1933002263">
      <w:bodyDiv w:val="1"/>
      <w:marLeft w:val="0"/>
      <w:marRight w:val="0"/>
      <w:marTop w:val="0"/>
      <w:marBottom w:val="0"/>
      <w:divBdr>
        <w:top w:val="none" w:sz="0" w:space="0" w:color="auto"/>
        <w:left w:val="none" w:sz="0" w:space="0" w:color="auto"/>
        <w:bottom w:val="none" w:sz="0" w:space="0" w:color="auto"/>
        <w:right w:val="none" w:sz="0" w:space="0" w:color="auto"/>
      </w:divBdr>
    </w:div>
    <w:div w:id="1933201922">
      <w:bodyDiv w:val="1"/>
      <w:marLeft w:val="0"/>
      <w:marRight w:val="0"/>
      <w:marTop w:val="0"/>
      <w:marBottom w:val="0"/>
      <w:divBdr>
        <w:top w:val="none" w:sz="0" w:space="0" w:color="auto"/>
        <w:left w:val="none" w:sz="0" w:space="0" w:color="auto"/>
        <w:bottom w:val="none" w:sz="0" w:space="0" w:color="auto"/>
        <w:right w:val="none" w:sz="0" w:space="0" w:color="auto"/>
      </w:divBdr>
    </w:div>
    <w:div w:id="1933396694">
      <w:bodyDiv w:val="1"/>
      <w:marLeft w:val="0"/>
      <w:marRight w:val="0"/>
      <w:marTop w:val="0"/>
      <w:marBottom w:val="0"/>
      <w:divBdr>
        <w:top w:val="none" w:sz="0" w:space="0" w:color="auto"/>
        <w:left w:val="none" w:sz="0" w:space="0" w:color="auto"/>
        <w:bottom w:val="none" w:sz="0" w:space="0" w:color="auto"/>
        <w:right w:val="none" w:sz="0" w:space="0" w:color="auto"/>
      </w:divBdr>
    </w:div>
    <w:div w:id="1933397149">
      <w:bodyDiv w:val="1"/>
      <w:marLeft w:val="0"/>
      <w:marRight w:val="0"/>
      <w:marTop w:val="0"/>
      <w:marBottom w:val="0"/>
      <w:divBdr>
        <w:top w:val="none" w:sz="0" w:space="0" w:color="auto"/>
        <w:left w:val="none" w:sz="0" w:space="0" w:color="auto"/>
        <w:bottom w:val="none" w:sz="0" w:space="0" w:color="auto"/>
        <w:right w:val="none" w:sz="0" w:space="0" w:color="auto"/>
      </w:divBdr>
    </w:div>
    <w:div w:id="1933513621">
      <w:bodyDiv w:val="1"/>
      <w:marLeft w:val="0"/>
      <w:marRight w:val="0"/>
      <w:marTop w:val="0"/>
      <w:marBottom w:val="0"/>
      <w:divBdr>
        <w:top w:val="none" w:sz="0" w:space="0" w:color="auto"/>
        <w:left w:val="none" w:sz="0" w:space="0" w:color="auto"/>
        <w:bottom w:val="none" w:sz="0" w:space="0" w:color="auto"/>
        <w:right w:val="none" w:sz="0" w:space="0" w:color="auto"/>
      </w:divBdr>
    </w:div>
    <w:div w:id="1933588925">
      <w:bodyDiv w:val="1"/>
      <w:marLeft w:val="0"/>
      <w:marRight w:val="0"/>
      <w:marTop w:val="0"/>
      <w:marBottom w:val="0"/>
      <w:divBdr>
        <w:top w:val="none" w:sz="0" w:space="0" w:color="auto"/>
        <w:left w:val="none" w:sz="0" w:space="0" w:color="auto"/>
        <w:bottom w:val="none" w:sz="0" w:space="0" w:color="auto"/>
        <w:right w:val="none" w:sz="0" w:space="0" w:color="auto"/>
      </w:divBdr>
    </w:div>
    <w:div w:id="1933665940">
      <w:bodyDiv w:val="1"/>
      <w:marLeft w:val="0"/>
      <w:marRight w:val="0"/>
      <w:marTop w:val="0"/>
      <w:marBottom w:val="0"/>
      <w:divBdr>
        <w:top w:val="none" w:sz="0" w:space="0" w:color="auto"/>
        <w:left w:val="none" w:sz="0" w:space="0" w:color="auto"/>
        <w:bottom w:val="none" w:sz="0" w:space="0" w:color="auto"/>
        <w:right w:val="none" w:sz="0" w:space="0" w:color="auto"/>
      </w:divBdr>
    </w:div>
    <w:div w:id="1933706755">
      <w:bodyDiv w:val="1"/>
      <w:marLeft w:val="0"/>
      <w:marRight w:val="0"/>
      <w:marTop w:val="0"/>
      <w:marBottom w:val="0"/>
      <w:divBdr>
        <w:top w:val="none" w:sz="0" w:space="0" w:color="auto"/>
        <w:left w:val="none" w:sz="0" w:space="0" w:color="auto"/>
        <w:bottom w:val="none" w:sz="0" w:space="0" w:color="auto"/>
        <w:right w:val="none" w:sz="0" w:space="0" w:color="auto"/>
      </w:divBdr>
    </w:div>
    <w:div w:id="1933855274">
      <w:bodyDiv w:val="1"/>
      <w:marLeft w:val="0"/>
      <w:marRight w:val="0"/>
      <w:marTop w:val="0"/>
      <w:marBottom w:val="0"/>
      <w:divBdr>
        <w:top w:val="none" w:sz="0" w:space="0" w:color="auto"/>
        <w:left w:val="none" w:sz="0" w:space="0" w:color="auto"/>
        <w:bottom w:val="none" w:sz="0" w:space="0" w:color="auto"/>
        <w:right w:val="none" w:sz="0" w:space="0" w:color="auto"/>
      </w:divBdr>
    </w:div>
    <w:div w:id="1933927643">
      <w:bodyDiv w:val="1"/>
      <w:marLeft w:val="0"/>
      <w:marRight w:val="0"/>
      <w:marTop w:val="0"/>
      <w:marBottom w:val="0"/>
      <w:divBdr>
        <w:top w:val="none" w:sz="0" w:space="0" w:color="auto"/>
        <w:left w:val="none" w:sz="0" w:space="0" w:color="auto"/>
        <w:bottom w:val="none" w:sz="0" w:space="0" w:color="auto"/>
        <w:right w:val="none" w:sz="0" w:space="0" w:color="auto"/>
      </w:divBdr>
    </w:div>
    <w:div w:id="1933973276">
      <w:bodyDiv w:val="1"/>
      <w:marLeft w:val="0"/>
      <w:marRight w:val="0"/>
      <w:marTop w:val="0"/>
      <w:marBottom w:val="0"/>
      <w:divBdr>
        <w:top w:val="none" w:sz="0" w:space="0" w:color="auto"/>
        <w:left w:val="none" w:sz="0" w:space="0" w:color="auto"/>
        <w:bottom w:val="none" w:sz="0" w:space="0" w:color="auto"/>
        <w:right w:val="none" w:sz="0" w:space="0" w:color="auto"/>
      </w:divBdr>
    </w:div>
    <w:div w:id="1934046021">
      <w:bodyDiv w:val="1"/>
      <w:marLeft w:val="0"/>
      <w:marRight w:val="0"/>
      <w:marTop w:val="0"/>
      <w:marBottom w:val="0"/>
      <w:divBdr>
        <w:top w:val="none" w:sz="0" w:space="0" w:color="auto"/>
        <w:left w:val="none" w:sz="0" w:space="0" w:color="auto"/>
        <w:bottom w:val="none" w:sz="0" w:space="0" w:color="auto"/>
        <w:right w:val="none" w:sz="0" w:space="0" w:color="auto"/>
      </w:divBdr>
    </w:div>
    <w:div w:id="1934046519">
      <w:bodyDiv w:val="1"/>
      <w:marLeft w:val="0"/>
      <w:marRight w:val="0"/>
      <w:marTop w:val="0"/>
      <w:marBottom w:val="0"/>
      <w:divBdr>
        <w:top w:val="none" w:sz="0" w:space="0" w:color="auto"/>
        <w:left w:val="none" w:sz="0" w:space="0" w:color="auto"/>
        <w:bottom w:val="none" w:sz="0" w:space="0" w:color="auto"/>
        <w:right w:val="none" w:sz="0" w:space="0" w:color="auto"/>
      </w:divBdr>
    </w:div>
    <w:div w:id="1934167740">
      <w:bodyDiv w:val="1"/>
      <w:marLeft w:val="0"/>
      <w:marRight w:val="0"/>
      <w:marTop w:val="0"/>
      <w:marBottom w:val="0"/>
      <w:divBdr>
        <w:top w:val="none" w:sz="0" w:space="0" w:color="auto"/>
        <w:left w:val="none" w:sz="0" w:space="0" w:color="auto"/>
        <w:bottom w:val="none" w:sz="0" w:space="0" w:color="auto"/>
        <w:right w:val="none" w:sz="0" w:space="0" w:color="auto"/>
      </w:divBdr>
    </w:div>
    <w:div w:id="1934195154">
      <w:bodyDiv w:val="1"/>
      <w:marLeft w:val="0"/>
      <w:marRight w:val="0"/>
      <w:marTop w:val="0"/>
      <w:marBottom w:val="0"/>
      <w:divBdr>
        <w:top w:val="none" w:sz="0" w:space="0" w:color="auto"/>
        <w:left w:val="none" w:sz="0" w:space="0" w:color="auto"/>
        <w:bottom w:val="none" w:sz="0" w:space="0" w:color="auto"/>
        <w:right w:val="none" w:sz="0" w:space="0" w:color="auto"/>
      </w:divBdr>
    </w:div>
    <w:div w:id="1934195661">
      <w:bodyDiv w:val="1"/>
      <w:marLeft w:val="0"/>
      <w:marRight w:val="0"/>
      <w:marTop w:val="0"/>
      <w:marBottom w:val="0"/>
      <w:divBdr>
        <w:top w:val="none" w:sz="0" w:space="0" w:color="auto"/>
        <w:left w:val="none" w:sz="0" w:space="0" w:color="auto"/>
        <w:bottom w:val="none" w:sz="0" w:space="0" w:color="auto"/>
        <w:right w:val="none" w:sz="0" w:space="0" w:color="auto"/>
      </w:divBdr>
    </w:div>
    <w:div w:id="1934240468">
      <w:bodyDiv w:val="1"/>
      <w:marLeft w:val="0"/>
      <w:marRight w:val="0"/>
      <w:marTop w:val="0"/>
      <w:marBottom w:val="0"/>
      <w:divBdr>
        <w:top w:val="none" w:sz="0" w:space="0" w:color="auto"/>
        <w:left w:val="none" w:sz="0" w:space="0" w:color="auto"/>
        <w:bottom w:val="none" w:sz="0" w:space="0" w:color="auto"/>
        <w:right w:val="none" w:sz="0" w:space="0" w:color="auto"/>
      </w:divBdr>
    </w:div>
    <w:div w:id="1934245975">
      <w:bodyDiv w:val="1"/>
      <w:marLeft w:val="0"/>
      <w:marRight w:val="0"/>
      <w:marTop w:val="0"/>
      <w:marBottom w:val="0"/>
      <w:divBdr>
        <w:top w:val="none" w:sz="0" w:space="0" w:color="auto"/>
        <w:left w:val="none" w:sz="0" w:space="0" w:color="auto"/>
        <w:bottom w:val="none" w:sz="0" w:space="0" w:color="auto"/>
        <w:right w:val="none" w:sz="0" w:space="0" w:color="auto"/>
      </w:divBdr>
    </w:div>
    <w:div w:id="1934434523">
      <w:bodyDiv w:val="1"/>
      <w:marLeft w:val="0"/>
      <w:marRight w:val="0"/>
      <w:marTop w:val="0"/>
      <w:marBottom w:val="0"/>
      <w:divBdr>
        <w:top w:val="none" w:sz="0" w:space="0" w:color="auto"/>
        <w:left w:val="none" w:sz="0" w:space="0" w:color="auto"/>
        <w:bottom w:val="none" w:sz="0" w:space="0" w:color="auto"/>
        <w:right w:val="none" w:sz="0" w:space="0" w:color="auto"/>
      </w:divBdr>
    </w:div>
    <w:div w:id="1934782780">
      <w:bodyDiv w:val="1"/>
      <w:marLeft w:val="0"/>
      <w:marRight w:val="0"/>
      <w:marTop w:val="0"/>
      <w:marBottom w:val="0"/>
      <w:divBdr>
        <w:top w:val="none" w:sz="0" w:space="0" w:color="auto"/>
        <w:left w:val="none" w:sz="0" w:space="0" w:color="auto"/>
        <w:bottom w:val="none" w:sz="0" w:space="0" w:color="auto"/>
        <w:right w:val="none" w:sz="0" w:space="0" w:color="auto"/>
      </w:divBdr>
    </w:div>
    <w:div w:id="1934822042">
      <w:bodyDiv w:val="1"/>
      <w:marLeft w:val="0"/>
      <w:marRight w:val="0"/>
      <w:marTop w:val="0"/>
      <w:marBottom w:val="0"/>
      <w:divBdr>
        <w:top w:val="none" w:sz="0" w:space="0" w:color="auto"/>
        <w:left w:val="none" w:sz="0" w:space="0" w:color="auto"/>
        <w:bottom w:val="none" w:sz="0" w:space="0" w:color="auto"/>
        <w:right w:val="none" w:sz="0" w:space="0" w:color="auto"/>
      </w:divBdr>
    </w:div>
    <w:div w:id="1935018957">
      <w:bodyDiv w:val="1"/>
      <w:marLeft w:val="0"/>
      <w:marRight w:val="0"/>
      <w:marTop w:val="0"/>
      <w:marBottom w:val="0"/>
      <w:divBdr>
        <w:top w:val="none" w:sz="0" w:space="0" w:color="auto"/>
        <w:left w:val="none" w:sz="0" w:space="0" w:color="auto"/>
        <w:bottom w:val="none" w:sz="0" w:space="0" w:color="auto"/>
        <w:right w:val="none" w:sz="0" w:space="0" w:color="auto"/>
      </w:divBdr>
    </w:div>
    <w:div w:id="1935045486">
      <w:bodyDiv w:val="1"/>
      <w:marLeft w:val="0"/>
      <w:marRight w:val="0"/>
      <w:marTop w:val="0"/>
      <w:marBottom w:val="0"/>
      <w:divBdr>
        <w:top w:val="none" w:sz="0" w:space="0" w:color="auto"/>
        <w:left w:val="none" w:sz="0" w:space="0" w:color="auto"/>
        <w:bottom w:val="none" w:sz="0" w:space="0" w:color="auto"/>
        <w:right w:val="none" w:sz="0" w:space="0" w:color="auto"/>
      </w:divBdr>
    </w:div>
    <w:div w:id="1935047110">
      <w:bodyDiv w:val="1"/>
      <w:marLeft w:val="0"/>
      <w:marRight w:val="0"/>
      <w:marTop w:val="0"/>
      <w:marBottom w:val="0"/>
      <w:divBdr>
        <w:top w:val="none" w:sz="0" w:space="0" w:color="auto"/>
        <w:left w:val="none" w:sz="0" w:space="0" w:color="auto"/>
        <w:bottom w:val="none" w:sz="0" w:space="0" w:color="auto"/>
        <w:right w:val="none" w:sz="0" w:space="0" w:color="auto"/>
      </w:divBdr>
    </w:div>
    <w:div w:id="1935236039">
      <w:bodyDiv w:val="1"/>
      <w:marLeft w:val="0"/>
      <w:marRight w:val="0"/>
      <w:marTop w:val="0"/>
      <w:marBottom w:val="0"/>
      <w:divBdr>
        <w:top w:val="none" w:sz="0" w:space="0" w:color="auto"/>
        <w:left w:val="none" w:sz="0" w:space="0" w:color="auto"/>
        <w:bottom w:val="none" w:sz="0" w:space="0" w:color="auto"/>
        <w:right w:val="none" w:sz="0" w:space="0" w:color="auto"/>
      </w:divBdr>
    </w:div>
    <w:div w:id="1935237630">
      <w:bodyDiv w:val="1"/>
      <w:marLeft w:val="0"/>
      <w:marRight w:val="0"/>
      <w:marTop w:val="0"/>
      <w:marBottom w:val="0"/>
      <w:divBdr>
        <w:top w:val="none" w:sz="0" w:space="0" w:color="auto"/>
        <w:left w:val="none" w:sz="0" w:space="0" w:color="auto"/>
        <w:bottom w:val="none" w:sz="0" w:space="0" w:color="auto"/>
        <w:right w:val="none" w:sz="0" w:space="0" w:color="auto"/>
      </w:divBdr>
    </w:div>
    <w:div w:id="1935283245">
      <w:bodyDiv w:val="1"/>
      <w:marLeft w:val="0"/>
      <w:marRight w:val="0"/>
      <w:marTop w:val="0"/>
      <w:marBottom w:val="0"/>
      <w:divBdr>
        <w:top w:val="none" w:sz="0" w:space="0" w:color="auto"/>
        <w:left w:val="none" w:sz="0" w:space="0" w:color="auto"/>
        <w:bottom w:val="none" w:sz="0" w:space="0" w:color="auto"/>
        <w:right w:val="none" w:sz="0" w:space="0" w:color="auto"/>
      </w:divBdr>
    </w:div>
    <w:div w:id="1935286474">
      <w:bodyDiv w:val="1"/>
      <w:marLeft w:val="0"/>
      <w:marRight w:val="0"/>
      <w:marTop w:val="0"/>
      <w:marBottom w:val="0"/>
      <w:divBdr>
        <w:top w:val="none" w:sz="0" w:space="0" w:color="auto"/>
        <w:left w:val="none" w:sz="0" w:space="0" w:color="auto"/>
        <w:bottom w:val="none" w:sz="0" w:space="0" w:color="auto"/>
        <w:right w:val="none" w:sz="0" w:space="0" w:color="auto"/>
      </w:divBdr>
    </w:div>
    <w:div w:id="1935287214">
      <w:bodyDiv w:val="1"/>
      <w:marLeft w:val="0"/>
      <w:marRight w:val="0"/>
      <w:marTop w:val="0"/>
      <w:marBottom w:val="0"/>
      <w:divBdr>
        <w:top w:val="none" w:sz="0" w:space="0" w:color="auto"/>
        <w:left w:val="none" w:sz="0" w:space="0" w:color="auto"/>
        <w:bottom w:val="none" w:sz="0" w:space="0" w:color="auto"/>
        <w:right w:val="none" w:sz="0" w:space="0" w:color="auto"/>
      </w:divBdr>
    </w:div>
    <w:div w:id="1935436444">
      <w:bodyDiv w:val="1"/>
      <w:marLeft w:val="0"/>
      <w:marRight w:val="0"/>
      <w:marTop w:val="0"/>
      <w:marBottom w:val="0"/>
      <w:divBdr>
        <w:top w:val="none" w:sz="0" w:space="0" w:color="auto"/>
        <w:left w:val="none" w:sz="0" w:space="0" w:color="auto"/>
        <w:bottom w:val="none" w:sz="0" w:space="0" w:color="auto"/>
        <w:right w:val="none" w:sz="0" w:space="0" w:color="auto"/>
      </w:divBdr>
    </w:div>
    <w:div w:id="1935505446">
      <w:bodyDiv w:val="1"/>
      <w:marLeft w:val="0"/>
      <w:marRight w:val="0"/>
      <w:marTop w:val="0"/>
      <w:marBottom w:val="0"/>
      <w:divBdr>
        <w:top w:val="none" w:sz="0" w:space="0" w:color="auto"/>
        <w:left w:val="none" w:sz="0" w:space="0" w:color="auto"/>
        <w:bottom w:val="none" w:sz="0" w:space="0" w:color="auto"/>
        <w:right w:val="none" w:sz="0" w:space="0" w:color="auto"/>
      </w:divBdr>
    </w:div>
    <w:div w:id="1935674707">
      <w:bodyDiv w:val="1"/>
      <w:marLeft w:val="0"/>
      <w:marRight w:val="0"/>
      <w:marTop w:val="0"/>
      <w:marBottom w:val="0"/>
      <w:divBdr>
        <w:top w:val="none" w:sz="0" w:space="0" w:color="auto"/>
        <w:left w:val="none" w:sz="0" w:space="0" w:color="auto"/>
        <w:bottom w:val="none" w:sz="0" w:space="0" w:color="auto"/>
        <w:right w:val="none" w:sz="0" w:space="0" w:color="auto"/>
      </w:divBdr>
    </w:div>
    <w:div w:id="1935703986">
      <w:bodyDiv w:val="1"/>
      <w:marLeft w:val="0"/>
      <w:marRight w:val="0"/>
      <w:marTop w:val="0"/>
      <w:marBottom w:val="0"/>
      <w:divBdr>
        <w:top w:val="none" w:sz="0" w:space="0" w:color="auto"/>
        <w:left w:val="none" w:sz="0" w:space="0" w:color="auto"/>
        <w:bottom w:val="none" w:sz="0" w:space="0" w:color="auto"/>
        <w:right w:val="none" w:sz="0" w:space="0" w:color="auto"/>
      </w:divBdr>
    </w:div>
    <w:div w:id="1935943358">
      <w:bodyDiv w:val="1"/>
      <w:marLeft w:val="0"/>
      <w:marRight w:val="0"/>
      <w:marTop w:val="0"/>
      <w:marBottom w:val="0"/>
      <w:divBdr>
        <w:top w:val="none" w:sz="0" w:space="0" w:color="auto"/>
        <w:left w:val="none" w:sz="0" w:space="0" w:color="auto"/>
        <w:bottom w:val="none" w:sz="0" w:space="0" w:color="auto"/>
        <w:right w:val="none" w:sz="0" w:space="0" w:color="auto"/>
      </w:divBdr>
    </w:div>
    <w:div w:id="1936016872">
      <w:bodyDiv w:val="1"/>
      <w:marLeft w:val="0"/>
      <w:marRight w:val="0"/>
      <w:marTop w:val="0"/>
      <w:marBottom w:val="0"/>
      <w:divBdr>
        <w:top w:val="none" w:sz="0" w:space="0" w:color="auto"/>
        <w:left w:val="none" w:sz="0" w:space="0" w:color="auto"/>
        <w:bottom w:val="none" w:sz="0" w:space="0" w:color="auto"/>
        <w:right w:val="none" w:sz="0" w:space="0" w:color="auto"/>
      </w:divBdr>
    </w:div>
    <w:div w:id="1936087472">
      <w:bodyDiv w:val="1"/>
      <w:marLeft w:val="0"/>
      <w:marRight w:val="0"/>
      <w:marTop w:val="0"/>
      <w:marBottom w:val="0"/>
      <w:divBdr>
        <w:top w:val="none" w:sz="0" w:space="0" w:color="auto"/>
        <w:left w:val="none" w:sz="0" w:space="0" w:color="auto"/>
        <w:bottom w:val="none" w:sz="0" w:space="0" w:color="auto"/>
        <w:right w:val="none" w:sz="0" w:space="0" w:color="auto"/>
      </w:divBdr>
    </w:div>
    <w:div w:id="1936133807">
      <w:bodyDiv w:val="1"/>
      <w:marLeft w:val="0"/>
      <w:marRight w:val="0"/>
      <w:marTop w:val="0"/>
      <w:marBottom w:val="0"/>
      <w:divBdr>
        <w:top w:val="none" w:sz="0" w:space="0" w:color="auto"/>
        <w:left w:val="none" w:sz="0" w:space="0" w:color="auto"/>
        <w:bottom w:val="none" w:sz="0" w:space="0" w:color="auto"/>
        <w:right w:val="none" w:sz="0" w:space="0" w:color="auto"/>
      </w:divBdr>
    </w:div>
    <w:div w:id="1936203529">
      <w:bodyDiv w:val="1"/>
      <w:marLeft w:val="0"/>
      <w:marRight w:val="0"/>
      <w:marTop w:val="0"/>
      <w:marBottom w:val="0"/>
      <w:divBdr>
        <w:top w:val="none" w:sz="0" w:space="0" w:color="auto"/>
        <w:left w:val="none" w:sz="0" w:space="0" w:color="auto"/>
        <w:bottom w:val="none" w:sz="0" w:space="0" w:color="auto"/>
        <w:right w:val="none" w:sz="0" w:space="0" w:color="auto"/>
      </w:divBdr>
    </w:div>
    <w:div w:id="1936206510">
      <w:bodyDiv w:val="1"/>
      <w:marLeft w:val="0"/>
      <w:marRight w:val="0"/>
      <w:marTop w:val="0"/>
      <w:marBottom w:val="0"/>
      <w:divBdr>
        <w:top w:val="none" w:sz="0" w:space="0" w:color="auto"/>
        <w:left w:val="none" w:sz="0" w:space="0" w:color="auto"/>
        <w:bottom w:val="none" w:sz="0" w:space="0" w:color="auto"/>
        <w:right w:val="none" w:sz="0" w:space="0" w:color="auto"/>
      </w:divBdr>
    </w:div>
    <w:div w:id="1936211927">
      <w:bodyDiv w:val="1"/>
      <w:marLeft w:val="0"/>
      <w:marRight w:val="0"/>
      <w:marTop w:val="0"/>
      <w:marBottom w:val="0"/>
      <w:divBdr>
        <w:top w:val="none" w:sz="0" w:space="0" w:color="auto"/>
        <w:left w:val="none" w:sz="0" w:space="0" w:color="auto"/>
        <w:bottom w:val="none" w:sz="0" w:space="0" w:color="auto"/>
        <w:right w:val="none" w:sz="0" w:space="0" w:color="auto"/>
      </w:divBdr>
    </w:div>
    <w:div w:id="1936283762">
      <w:bodyDiv w:val="1"/>
      <w:marLeft w:val="0"/>
      <w:marRight w:val="0"/>
      <w:marTop w:val="0"/>
      <w:marBottom w:val="0"/>
      <w:divBdr>
        <w:top w:val="none" w:sz="0" w:space="0" w:color="auto"/>
        <w:left w:val="none" w:sz="0" w:space="0" w:color="auto"/>
        <w:bottom w:val="none" w:sz="0" w:space="0" w:color="auto"/>
        <w:right w:val="none" w:sz="0" w:space="0" w:color="auto"/>
      </w:divBdr>
    </w:div>
    <w:div w:id="1936358475">
      <w:bodyDiv w:val="1"/>
      <w:marLeft w:val="0"/>
      <w:marRight w:val="0"/>
      <w:marTop w:val="0"/>
      <w:marBottom w:val="0"/>
      <w:divBdr>
        <w:top w:val="none" w:sz="0" w:space="0" w:color="auto"/>
        <w:left w:val="none" w:sz="0" w:space="0" w:color="auto"/>
        <w:bottom w:val="none" w:sz="0" w:space="0" w:color="auto"/>
        <w:right w:val="none" w:sz="0" w:space="0" w:color="auto"/>
      </w:divBdr>
    </w:div>
    <w:div w:id="1936395948">
      <w:bodyDiv w:val="1"/>
      <w:marLeft w:val="0"/>
      <w:marRight w:val="0"/>
      <w:marTop w:val="0"/>
      <w:marBottom w:val="0"/>
      <w:divBdr>
        <w:top w:val="none" w:sz="0" w:space="0" w:color="auto"/>
        <w:left w:val="none" w:sz="0" w:space="0" w:color="auto"/>
        <w:bottom w:val="none" w:sz="0" w:space="0" w:color="auto"/>
        <w:right w:val="none" w:sz="0" w:space="0" w:color="auto"/>
      </w:divBdr>
    </w:div>
    <w:div w:id="1936396227">
      <w:bodyDiv w:val="1"/>
      <w:marLeft w:val="0"/>
      <w:marRight w:val="0"/>
      <w:marTop w:val="0"/>
      <w:marBottom w:val="0"/>
      <w:divBdr>
        <w:top w:val="none" w:sz="0" w:space="0" w:color="auto"/>
        <w:left w:val="none" w:sz="0" w:space="0" w:color="auto"/>
        <w:bottom w:val="none" w:sz="0" w:space="0" w:color="auto"/>
        <w:right w:val="none" w:sz="0" w:space="0" w:color="auto"/>
      </w:divBdr>
    </w:div>
    <w:div w:id="1936404519">
      <w:bodyDiv w:val="1"/>
      <w:marLeft w:val="0"/>
      <w:marRight w:val="0"/>
      <w:marTop w:val="0"/>
      <w:marBottom w:val="0"/>
      <w:divBdr>
        <w:top w:val="none" w:sz="0" w:space="0" w:color="auto"/>
        <w:left w:val="none" w:sz="0" w:space="0" w:color="auto"/>
        <w:bottom w:val="none" w:sz="0" w:space="0" w:color="auto"/>
        <w:right w:val="none" w:sz="0" w:space="0" w:color="auto"/>
      </w:divBdr>
    </w:div>
    <w:div w:id="1936477689">
      <w:bodyDiv w:val="1"/>
      <w:marLeft w:val="0"/>
      <w:marRight w:val="0"/>
      <w:marTop w:val="0"/>
      <w:marBottom w:val="0"/>
      <w:divBdr>
        <w:top w:val="none" w:sz="0" w:space="0" w:color="auto"/>
        <w:left w:val="none" w:sz="0" w:space="0" w:color="auto"/>
        <w:bottom w:val="none" w:sz="0" w:space="0" w:color="auto"/>
        <w:right w:val="none" w:sz="0" w:space="0" w:color="auto"/>
      </w:divBdr>
    </w:div>
    <w:div w:id="1936551313">
      <w:bodyDiv w:val="1"/>
      <w:marLeft w:val="0"/>
      <w:marRight w:val="0"/>
      <w:marTop w:val="0"/>
      <w:marBottom w:val="0"/>
      <w:divBdr>
        <w:top w:val="none" w:sz="0" w:space="0" w:color="auto"/>
        <w:left w:val="none" w:sz="0" w:space="0" w:color="auto"/>
        <w:bottom w:val="none" w:sz="0" w:space="0" w:color="auto"/>
        <w:right w:val="none" w:sz="0" w:space="0" w:color="auto"/>
      </w:divBdr>
    </w:div>
    <w:div w:id="1936594551">
      <w:bodyDiv w:val="1"/>
      <w:marLeft w:val="0"/>
      <w:marRight w:val="0"/>
      <w:marTop w:val="0"/>
      <w:marBottom w:val="0"/>
      <w:divBdr>
        <w:top w:val="none" w:sz="0" w:space="0" w:color="auto"/>
        <w:left w:val="none" w:sz="0" w:space="0" w:color="auto"/>
        <w:bottom w:val="none" w:sz="0" w:space="0" w:color="auto"/>
        <w:right w:val="none" w:sz="0" w:space="0" w:color="auto"/>
      </w:divBdr>
    </w:div>
    <w:div w:id="1936673807">
      <w:bodyDiv w:val="1"/>
      <w:marLeft w:val="0"/>
      <w:marRight w:val="0"/>
      <w:marTop w:val="0"/>
      <w:marBottom w:val="0"/>
      <w:divBdr>
        <w:top w:val="none" w:sz="0" w:space="0" w:color="auto"/>
        <w:left w:val="none" w:sz="0" w:space="0" w:color="auto"/>
        <w:bottom w:val="none" w:sz="0" w:space="0" w:color="auto"/>
        <w:right w:val="none" w:sz="0" w:space="0" w:color="auto"/>
      </w:divBdr>
    </w:div>
    <w:div w:id="1936743794">
      <w:bodyDiv w:val="1"/>
      <w:marLeft w:val="0"/>
      <w:marRight w:val="0"/>
      <w:marTop w:val="0"/>
      <w:marBottom w:val="0"/>
      <w:divBdr>
        <w:top w:val="none" w:sz="0" w:space="0" w:color="auto"/>
        <w:left w:val="none" w:sz="0" w:space="0" w:color="auto"/>
        <w:bottom w:val="none" w:sz="0" w:space="0" w:color="auto"/>
        <w:right w:val="none" w:sz="0" w:space="0" w:color="auto"/>
      </w:divBdr>
    </w:div>
    <w:div w:id="1936861401">
      <w:bodyDiv w:val="1"/>
      <w:marLeft w:val="0"/>
      <w:marRight w:val="0"/>
      <w:marTop w:val="0"/>
      <w:marBottom w:val="0"/>
      <w:divBdr>
        <w:top w:val="none" w:sz="0" w:space="0" w:color="auto"/>
        <w:left w:val="none" w:sz="0" w:space="0" w:color="auto"/>
        <w:bottom w:val="none" w:sz="0" w:space="0" w:color="auto"/>
        <w:right w:val="none" w:sz="0" w:space="0" w:color="auto"/>
      </w:divBdr>
    </w:div>
    <w:div w:id="1937013514">
      <w:bodyDiv w:val="1"/>
      <w:marLeft w:val="0"/>
      <w:marRight w:val="0"/>
      <w:marTop w:val="0"/>
      <w:marBottom w:val="0"/>
      <w:divBdr>
        <w:top w:val="none" w:sz="0" w:space="0" w:color="auto"/>
        <w:left w:val="none" w:sz="0" w:space="0" w:color="auto"/>
        <w:bottom w:val="none" w:sz="0" w:space="0" w:color="auto"/>
        <w:right w:val="none" w:sz="0" w:space="0" w:color="auto"/>
      </w:divBdr>
    </w:div>
    <w:div w:id="1937052855">
      <w:bodyDiv w:val="1"/>
      <w:marLeft w:val="0"/>
      <w:marRight w:val="0"/>
      <w:marTop w:val="0"/>
      <w:marBottom w:val="0"/>
      <w:divBdr>
        <w:top w:val="none" w:sz="0" w:space="0" w:color="auto"/>
        <w:left w:val="none" w:sz="0" w:space="0" w:color="auto"/>
        <w:bottom w:val="none" w:sz="0" w:space="0" w:color="auto"/>
        <w:right w:val="none" w:sz="0" w:space="0" w:color="auto"/>
      </w:divBdr>
    </w:div>
    <w:div w:id="1937057192">
      <w:bodyDiv w:val="1"/>
      <w:marLeft w:val="0"/>
      <w:marRight w:val="0"/>
      <w:marTop w:val="0"/>
      <w:marBottom w:val="0"/>
      <w:divBdr>
        <w:top w:val="none" w:sz="0" w:space="0" w:color="auto"/>
        <w:left w:val="none" w:sz="0" w:space="0" w:color="auto"/>
        <w:bottom w:val="none" w:sz="0" w:space="0" w:color="auto"/>
        <w:right w:val="none" w:sz="0" w:space="0" w:color="auto"/>
      </w:divBdr>
    </w:div>
    <w:div w:id="1937059610">
      <w:bodyDiv w:val="1"/>
      <w:marLeft w:val="0"/>
      <w:marRight w:val="0"/>
      <w:marTop w:val="0"/>
      <w:marBottom w:val="0"/>
      <w:divBdr>
        <w:top w:val="none" w:sz="0" w:space="0" w:color="auto"/>
        <w:left w:val="none" w:sz="0" w:space="0" w:color="auto"/>
        <w:bottom w:val="none" w:sz="0" w:space="0" w:color="auto"/>
        <w:right w:val="none" w:sz="0" w:space="0" w:color="auto"/>
      </w:divBdr>
    </w:div>
    <w:div w:id="1937130079">
      <w:bodyDiv w:val="1"/>
      <w:marLeft w:val="0"/>
      <w:marRight w:val="0"/>
      <w:marTop w:val="0"/>
      <w:marBottom w:val="0"/>
      <w:divBdr>
        <w:top w:val="none" w:sz="0" w:space="0" w:color="auto"/>
        <w:left w:val="none" w:sz="0" w:space="0" w:color="auto"/>
        <w:bottom w:val="none" w:sz="0" w:space="0" w:color="auto"/>
        <w:right w:val="none" w:sz="0" w:space="0" w:color="auto"/>
      </w:divBdr>
    </w:div>
    <w:div w:id="1937134651">
      <w:bodyDiv w:val="1"/>
      <w:marLeft w:val="0"/>
      <w:marRight w:val="0"/>
      <w:marTop w:val="0"/>
      <w:marBottom w:val="0"/>
      <w:divBdr>
        <w:top w:val="none" w:sz="0" w:space="0" w:color="auto"/>
        <w:left w:val="none" w:sz="0" w:space="0" w:color="auto"/>
        <w:bottom w:val="none" w:sz="0" w:space="0" w:color="auto"/>
        <w:right w:val="none" w:sz="0" w:space="0" w:color="auto"/>
      </w:divBdr>
    </w:div>
    <w:div w:id="1937208307">
      <w:bodyDiv w:val="1"/>
      <w:marLeft w:val="0"/>
      <w:marRight w:val="0"/>
      <w:marTop w:val="0"/>
      <w:marBottom w:val="0"/>
      <w:divBdr>
        <w:top w:val="none" w:sz="0" w:space="0" w:color="auto"/>
        <w:left w:val="none" w:sz="0" w:space="0" w:color="auto"/>
        <w:bottom w:val="none" w:sz="0" w:space="0" w:color="auto"/>
        <w:right w:val="none" w:sz="0" w:space="0" w:color="auto"/>
      </w:divBdr>
    </w:div>
    <w:div w:id="1937323974">
      <w:bodyDiv w:val="1"/>
      <w:marLeft w:val="0"/>
      <w:marRight w:val="0"/>
      <w:marTop w:val="0"/>
      <w:marBottom w:val="0"/>
      <w:divBdr>
        <w:top w:val="none" w:sz="0" w:space="0" w:color="auto"/>
        <w:left w:val="none" w:sz="0" w:space="0" w:color="auto"/>
        <w:bottom w:val="none" w:sz="0" w:space="0" w:color="auto"/>
        <w:right w:val="none" w:sz="0" w:space="0" w:color="auto"/>
      </w:divBdr>
    </w:div>
    <w:div w:id="1937398969">
      <w:bodyDiv w:val="1"/>
      <w:marLeft w:val="0"/>
      <w:marRight w:val="0"/>
      <w:marTop w:val="0"/>
      <w:marBottom w:val="0"/>
      <w:divBdr>
        <w:top w:val="none" w:sz="0" w:space="0" w:color="auto"/>
        <w:left w:val="none" w:sz="0" w:space="0" w:color="auto"/>
        <w:bottom w:val="none" w:sz="0" w:space="0" w:color="auto"/>
        <w:right w:val="none" w:sz="0" w:space="0" w:color="auto"/>
      </w:divBdr>
    </w:div>
    <w:div w:id="1937441965">
      <w:bodyDiv w:val="1"/>
      <w:marLeft w:val="0"/>
      <w:marRight w:val="0"/>
      <w:marTop w:val="0"/>
      <w:marBottom w:val="0"/>
      <w:divBdr>
        <w:top w:val="none" w:sz="0" w:space="0" w:color="auto"/>
        <w:left w:val="none" w:sz="0" w:space="0" w:color="auto"/>
        <w:bottom w:val="none" w:sz="0" w:space="0" w:color="auto"/>
        <w:right w:val="none" w:sz="0" w:space="0" w:color="auto"/>
      </w:divBdr>
    </w:div>
    <w:div w:id="1937591031">
      <w:bodyDiv w:val="1"/>
      <w:marLeft w:val="0"/>
      <w:marRight w:val="0"/>
      <w:marTop w:val="0"/>
      <w:marBottom w:val="0"/>
      <w:divBdr>
        <w:top w:val="none" w:sz="0" w:space="0" w:color="auto"/>
        <w:left w:val="none" w:sz="0" w:space="0" w:color="auto"/>
        <w:bottom w:val="none" w:sz="0" w:space="0" w:color="auto"/>
        <w:right w:val="none" w:sz="0" w:space="0" w:color="auto"/>
      </w:divBdr>
    </w:div>
    <w:div w:id="1937638607">
      <w:bodyDiv w:val="1"/>
      <w:marLeft w:val="0"/>
      <w:marRight w:val="0"/>
      <w:marTop w:val="0"/>
      <w:marBottom w:val="0"/>
      <w:divBdr>
        <w:top w:val="none" w:sz="0" w:space="0" w:color="auto"/>
        <w:left w:val="none" w:sz="0" w:space="0" w:color="auto"/>
        <w:bottom w:val="none" w:sz="0" w:space="0" w:color="auto"/>
        <w:right w:val="none" w:sz="0" w:space="0" w:color="auto"/>
      </w:divBdr>
    </w:div>
    <w:div w:id="1937666871">
      <w:bodyDiv w:val="1"/>
      <w:marLeft w:val="0"/>
      <w:marRight w:val="0"/>
      <w:marTop w:val="0"/>
      <w:marBottom w:val="0"/>
      <w:divBdr>
        <w:top w:val="none" w:sz="0" w:space="0" w:color="auto"/>
        <w:left w:val="none" w:sz="0" w:space="0" w:color="auto"/>
        <w:bottom w:val="none" w:sz="0" w:space="0" w:color="auto"/>
        <w:right w:val="none" w:sz="0" w:space="0" w:color="auto"/>
      </w:divBdr>
    </w:div>
    <w:div w:id="1937667817">
      <w:bodyDiv w:val="1"/>
      <w:marLeft w:val="0"/>
      <w:marRight w:val="0"/>
      <w:marTop w:val="0"/>
      <w:marBottom w:val="0"/>
      <w:divBdr>
        <w:top w:val="none" w:sz="0" w:space="0" w:color="auto"/>
        <w:left w:val="none" w:sz="0" w:space="0" w:color="auto"/>
        <w:bottom w:val="none" w:sz="0" w:space="0" w:color="auto"/>
        <w:right w:val="none" w:sz="0" w:space="0" w:color="auto"/>
      </w:divBdr>
    </w:div>
    <w:div w:id="1937783887">
      <w:bodyDiv w:val="1"/>
      <w:marLeft w:val="0"/>
      <w:marRight w:val="0"/>
      <w:marTop w:val="0"/>
      <w:marBottom w:val="0"/>
      <w:divBdr>
        <w:top w:val="none" w:sz="0" w:space="0" w:color="auto"/>
        <w:left w:val="none" w:sz="0" w:space="0" w:color="auto"/>
        <w:bottom w:val="none" w:sz="0" w:space="0" w:color="auto"/>
        <w:right w:val="none" w:sz="0" w:space="0" w:color="auto"/>
      </w:divBdr>
    </w:div>
    <w:div w:id="1937784051">
      <w:bodyDiv w:val="1"/>
      <w:marLeft w:val="0"/>
      <w:marRight w:val="0"/>
      <w:marTop w:val="0"/>
      <w:marBottom w:val="0"/>
      <w:divBdr>
        <w:top w:val="none" w:sz="0" w:space="0" w:color="auto"/>
        <w:left w:val="none" w:sz="0" w:space="0" w:color="auto"/>
        <w:bottom w:val="none" w:sz="0" w:space="0" w:color="auto"/>
        <w:right w:val="none" w:sz="0" w:space="0" w:color="auto"/>
      </w:divBdr>
    </w:div>
    <w:div w:id="1937790115">
      <w:bodyDiv w:val="1"/>
      <w:marLeft w:val="0"/>
      <w:marRight w:val="0"/>
      <w:marTop w:val="0"/>
      <w:marBottom w:val="0"/>
      <w:divBdr>
        <w:top w:val="none" w:sz="0" w:space="0" w:color="auto"/>
        <w:left w:val="none" w:sz="0" w:space="0" w:color="auto"/>
        <w:bottom w:val="none" w:sz="0" w:space="0" w:color="auto"/>
        <w:right w:val="none" w:sz="0" w:space="0" w:color="auto"/>
      </w:divBdr>
    </w:div>
    <w:div w:id="1937859229">
      <w:bodyDiv w:val="1"/>
      <w:marLeft w:val="0"/>
      <w:marRight w:val="0"/>
      <w:marTop w:val="0"/>
      <w:marBottom w:val="0"/>
      <w:divBdr>
        <w:top w:val="none" w:sz="0" w:space="0" w:color="auto"/>
        <w:left w:val="none" w:sz="0" w:space="0" w:color="auto"/>
        <w:bottom w:val="none" w:sz="0" w:space="0" w:color="auto"/>
        <w:right w:val="none" w:sz="0" w:space="0" w:color="auto"/>
      </w:divBdr>
    </w:div>
    <w:div w:id="1937865318">
      <w:bodyDiv w:val="1"/>
      <w:marLeft w:val="0"/>
      <w:marRight w:val="0"/>
      <w:marTop w:val="0"/>
      <w:marBottom w:val="0"/>
      <w:divBdr>
        <w:top w:val="none" w:sz="0" w:space="0" w:color="auto"/>
        <w:left w:val="none" w:sz="0" w:space="0" w:color="auto"/>
        <w:bottom w:val="none" w:sz="0" w:space="0" w:color="auto"/>
        <w:right w:val="none" w:sz="0" w:space="0" w:color="auto"/>
      </w:divBdr>
    </w:div>
    <w:div w:id="1938055801">
      <w:bodyDiv w:val="1"/>
      <w:marLeft w:val="0"/>
      <w:marRight w:val="0"/>
      <w:marTop w:val="0"/>
      <w:marBottom w:val="0"/>
      <w:divBdr>
        <w:top w:val="none" w:sz="0" w:space="0" w:color="auto"/>
        <w:left w:val="none" w:sz="0" w:space="0" w:color="auto"/>
        <w:bottom w:val="none" w:sz="0" w:space="0" w:color="auto"/>
        <w:right w:val="none" w:sz="0" w:space="0" w:color="auto"/>
      </w:divBdr>
    </w:div>
    <w:div w:id="1938323745">
      <w:bodyDiv w:val="1"/>
      <w:marLeft w:val="0"/>
      <w:marRight w:val="0"/>
      <w:marTop w:val="0"/>
      <w:marBottom w:val="0"/>
      <w:divBdr>
        <w:top w:val="none" w:sz="0" w:space="0" w:color="auto"/>
        <w:left w:val="none" w:sz="0" w:space="0" w:color="auto"/>
        <w:bottom w:val="none" w:sz="0" w:space="0" w:color="auto"/>
        <w:right w:val="none" w:sz="0" w:space="0" w:color="auto"/>
      </w:divBdr>
    </w:div>
    <w:div w:id="1938362092">
      <w:bodyDiv w:val="1"/>
      <w:marLeft w:val="0"/>
      <w:marRight w:val="0"/>
      <w:marTop w:val="0"/>
      <w:marBottom w:val="0"/>
      <w:divBdr>
        <w:top w:val="none" w:sz="0" w:space="0" w:color="auto"/>
        <w:left w:val="none" w:sz="0" w:space="0" w:color="auto"/>
        <w:bottom w:val="none" w:sz="0" w:space="0" w:color="auto"/>
        <w:right w:val="none" w:sz="0" w:space="0" w:color="auto"/>
      </w:divBdr>
    </w:div>
    <w:div w:id="1938370809">
      <w:bodyDiv w:val="1"/>
      <w:marLeft w:val="0"/>
      <w:marRight w:val="0"/>
      <w:marTop w:val="0"/>
      <w:marBottom w:val="0"/>
      <w:divBdr>
        <w:top w:val="none" w:sz="0" w:space="0" w:color="auto"/>
        <w:left w:val="none" w:sz="0" w:space="0" w:color="auto"/>
        <w:bottom w:val="none" w:sz="0" w:space="0" w:color="auto"/>
        <w:right w:val="none" w:sz="0" w:space="0" w:color="auto"/>
      </w:divBdr>
    </w:div>
    <w:div w:id="1938441183">
      <w:bodyDiv w:val="1"/>
      <w:marLeft w:val="0"/>
      <w:marRight w:val="0"/>
      <w:marTop w:val="0"/>
      <w:marBottom w:val="0"/>
      <w:divBdr>
        <w:top w:val="none" w:sz="0" w:space="0" w:color="auto"/>
        <w:left w:val="none" w:sz="0" w:space="0" w:color="auto"/>
        <w:bottom w:val="none" w:sz="0" w:space="0" w:color="auto"/>
        <w:right w:val="none" w:sz="0" w:space="0" w:color="auto"/>
      </w:divBdr>
    </w:div>
    <w:div w:id="1938443083">
      <w:bodyDiv w:val="1"/>
      <w:marLeft w:val="0"/>
      <w:marRight w:val="0"/>
      <w:marTop w:val="0"/>
      <w:marBottom w:val="0"/>
      <w:divBdr>
        <w:top w:val="none" w:sz="0" w:space="0" w:color="auto"/>
        <w:left w:val="none" w:sz="0" w:space="0" w:color="auto"/>
        <w:bottom w:val="none" w:sz="0" w:space="0" w:color="auto"/>
        <w:right w:val="none" w:sz="0" w:space="0" w:color="auto"/>
      </w:divBdr>
    </w:div>
    <w:div w:id="1938444445">
      <w:bodyDiv w:val="1"/>
      <w:marLeft w:val="0"/>
      <w:marRight w:val="0"/>
      <w:marTop w:val="0"/>
      <w:marBottom w:val="0"/>
      <w:divBdr>
        <w:top w:val="none" w:sz="0" w:space="0" w:color="auto"/>
        <w:left w:val="none" w:sz="0" w:space="0" w:color="auto"/>
        <w:bottom w:val="none" w:sz="0" w:space="0" w:color="auto"/>
        <w:right w:val="none" w:sz="0" w:space="0" w:color="auto"/>
      </w:divBdr>
    </w:div>
    <w:div w:id="1938519221">
      <w:bodyDiv w:val="1"/>
      <w:marLeft w:val="0"/>
      <w:marRight w:val="0"/>
      <w:marTop w:val="0"/>
      <w:marBottom w:val="0"/>
      <w:divBdr>
        <w:top w:val="none" w:sz="0" w:space="0" w:color="auto"/>
        <w:left w:val="none" w:sz="0" w:space="0" w:color="auto"/>
        <w:bottom w:val="none" w:sz="0" w:space="0" w:color="auto"/>
        <w:right w:val="none" w:sz="0" w:space="0" w:color="auto"/>
      </w:divBdr>
    </w:div>
    <w:div w:id="1938561535">
      <w:bodyDiv w:val="1"/>
      <w:marLeft w:val="0"/>
      <w:marRight w:val="0"/>
      <w:marTop w:val="0"/>
      <w:marBottom w:val="0"/>
      <w:divBdr>
        <w:top w:val="none" w:sz="0" w:space="0" w:color="auto"/>
        <w:left w:val="none" w:sz="0" w:space="0" w:color="auto"/>
        <w:bottom w:val="none" w:sz="0" w:space="0" w:color="auto"/>
        <w:right w:val="none" w:sz="0" w:space="0" w:color="auto"/>
      </w:divBdr>
    </w:div>
    <w:div w:id="1938635603">
      <w:bodyDiv w:val="1"/>
      <w:marLeft w:val="0"/>
      <w:marRight w:val="0"/>
      <w:marTop w:val="0"/>
      <w:marBottom w:val="0"/>
      <w:divBdr>
        <w:top w:val="none" w:sz="0" w:space="0" w:color="auto"/>
        <w:left w:val="none" w:sz="0" w:space="0" w:color="auto"/>
        <w:bottom w:val="none" w:sz="0" w:space="0" w:color="auto"/>
        <w:right w:val="none" w:sz="0" w:space="0" w:color="auto"/>
      </w:divBdr>
    </w:div>
    <w:div w:id="1938906832">
      <w:bodyDiv w:val="1"/>
      <w:marLeft w:val="0"/>
      <w:marRight w:val="0"/>
      <w:marTop w:val="0"/>
      <w:marBottom w:val="0"/>
      <w:divBdr>
        <w:top w:val="none" w:sz="0" w:space="0" w:color="auto"/>
        <w:left w:val="none" w:sz="0" w:space="0" w:color="auto"/>
        <w:bottom w:val="none" w:sz="0" w:space="0" w:color="auto"/>
        <w:right w:val="none" w:sz="0" w:space="0" w:color="auto"/>
      </w:divBdr>
    </w:div>
    <w:div w:id="1938948767">
      <w:bodyDiv w:val="1"/>
      <w:marLeft w:val="0"/>
      <w:marRight w:val="0"/>
      <w:marTop w:val="0"/>
      <w:marBottom w:val="0"/>
      <w:divBdr>
        <w:top w:val="none" w:sz="0" w:space="0" w:color="auto"/>
        <w:left w:val="none" w:sz="0" w:space="0" w:color="auto"/>
        <w:bottom w:val="none" w:sz="0" w:space="0" w:color="auto"/>
        <w:right w:val="none" w:sz="0" w:space="0" w:color="auto"/>
      </w:divBdr>
    </w:div>
    <w:div w:id="1939023348">
      <w:bodyDiv w:val="1"/>
      <w:marLeft w:val="0"/>
      <w:marRight w:val="0"/>
      <w:marTop w:val="0"/>
      <w:marBottom w:val="0"/>
      <w:divBdr>
        <w:top w:val="none" w:sz="0" w:space="0" w:color="auto"/>
        <w:left w:val="none" w:sz="0" w:space="0" w:color="auto"/>
        <w:bottom w:val="none" w:sz="0" w:space="0" w:color="auto"/>
        <w:right w:val="none" w:sz="0" w:space="0" w:color="auto"/>
      </w:divBdr>
    </w:div>
    <w:div w:id="1939211990">
      <w:bodyDiv w:val="1"/>
      <w:marLeft w:val="0"/>
      <w:marRight w:val="0"/>
      <w:marTop w:val="0"/>
      <w:marBottom w:val="0"/>
      <w:divBdr>
        <w:top w:val="none" w:sz="0" w:space="0" w:color="auto"/>
        <w:left w:val="none" w:sz="0" w:space="0" w:color="auto"/>
        <w:bottom w:val="none" w:sz="0" w:space="0" w:color="auto"/>
        <w:right w:val="none" w:sz="0" w:space="0" w:color="auto"/>
      </w:divBdr>
    </w:div>
    <w:div w:id="1939216672">
      <w:bodyDiv w:val="1"/>
      <w:marLeft w:val="0"/>
      <w:marRight w:val="0"/>
      <w:marTop w:val="0"/>
      <w:marBottom w:val="0"/>
      <w:divBdr>
        <w:top w:val="none" w:sz="0" w:space="0" w:color="auto"/>
        <w:left w:val="none" w:sz="0" w:space="0" w:color="auto"/>
        <w:bottom w:val="none" w:sz="0" w:space="0" w:color="auto"/>
        <w:right w:val="none" w:sz="0" w:space="0" w:color="auto"/>
      </w:divBdr>
    </w:div>
    <w:div w:id="1939290143">
      <w:bodyDiv w:val="1"/>
      <w:marLeft w:val="0"/>
      <w:marRight w:val="0"/>
      <w:marTop w:val="0"/>
      <w:marBottom w:val="0"/>
      <w:divBdr>
        <w:top w:val="none" w:sz="0" w:space="0" w:color="auto"/>
        <w:left w:val="none" w:sz="0" w:space="0" w:color="auto"/>
        <w:bottom w:val="none" w:sz="0" w:space="0" w:color="auto"/>
        <w:right w:val="none" w:sz="0" w:space="0" w:color="auto"/>
      </w:divBdr>
    </w:div>
    <w:div w:id="1939369842">
      <w:bodyDiv w:val="1"/>
      <w:marLeft w:val="0"/>
      <w:marRight w:val="0"/>
      <w:marTop w:val="0"/>
      <w:marBottom w:val="0"/>
      <w:divBdr>
        <w:top w:val="none" w:sz="0" w:space="0" w:color="auto"/>
        <w:left w:val="none" w:sz="0" w:space="0" w:color="auto"/>
        <w:bottom w:val="none" w:sz="0" w:space="0" w:color="auto"/>
        <w:right w:val="none" w:sz="0" w:space="0" w:color="auto"/>
      </w:divBdr>
    </w:div>
    <w:div w:id="1939410202">
      <w:bodyDiv w:val="1"/>
      <w:marLeft w:val="0"/>
      <w:marRight w:val="0"/>
      <w:marTop w:val="0"/>
      <w:marBottom w:val="0"/>
      <w:divBdr>
        <w:top w:val="none" w:sz="0" w:space="0" w:color="auto"/>
        <w:left w:val="none" w:sz="0" w:space="0" w:color="auto"/>
        <w:bottom w:val="none" w:sz="0" w:space="0" w:color="auto"/>
        <w:right w:val="none" w:sz="0" w:space="0" w:color="auto"/>
      </w:divBdr>
    </w:div>
    <w:div w:id="1939484514">
      <w:bodyDiv w:val="1"/>
      <w:marLeft w:val="0"/>
      <w:marRight w:val="0"/>
      <w:marTop w:val="0"/>
      <w:marBottom w:val="0"/>
      <w:divBdr>
        <w:top w:val="none" w:sz="0" w:space="0" w:color="auto"/>
        <w:left w:val="none" w:sz="0" w:space="0" w:color="auto"/>
        <w:bottom w:val="none" w:sz="0" w:space="0" w:color="auto"/>
        <w:right w:val="none" w:sz="0" w:space="0" w:color="auto"/>
      </w:divBdr>
    </w:div>
    <w:div w:id="1939605837">
      <w:bodyDiv w:val="1"/>
      <w:marLeft w:val="0"/>
      <w:marRight w:val="0"/>
      <w:marTop w:val="0"/>
      <w:marBottom w:val="0"/>
      <w:divBdr>
        <w:top w:val="none" w:sz="0" w:space="0" w:color="auto"/>
        <w:left w:val="none" w:sz="0" w:space="0" w:color="auto"/>
        <w:bottom w:val="none" w:sz="0" w:space="0" w:color="auto"/>
        <w:right w:val="none" w:sz="0" w:space="0" w:color="auto"/>
      </w:divBdr>
    </w:div>
    <w:div w:id="1939629553">
      <w:bodyDiv w:val="1"/>
      <w:marLeft w:val="0"/>
      <w:marRight w:val="0"/>
      <w:marTop w:val="0"/>
      <w:marBottom w:val="0"/>
      <w:divBdr>
        <w:top w:val="none" w:sz="0" w:space="0" w:color="auto"/>
        <w:left w:val="none" w:sz="0" w:space="0" w:color="auto"/>
        <w:bottom w:val="none" w:sz="0" w:space="0" w:color="auto"/>
        <w:right w:val="none" w:sz="0" w:space="0" w:color="auto"/>
      </w:divBdr>
    </w:div>
    <w:div w:id="1939635239">
      <w:bodyDiv w:val="1"/>
      <w:marLeft w:val="0"/>
      <w:marRight w:val="0"/>
      <w:marTop w:val="0"/>
      <w:marBottom w:val="0"/>
      <w:divBdr>
        <w:top w:val="none" w:sz="0" w:space="0" w:color="auto"/>
        <w:left w:val="none" w:sz="0" w:space="0" w:color="auto"/>
        <w:bottom w:val="none" w:sz="0" w:space="0" w:color="auto"/>
        <w:right w:val="none" w:sz="0" w:space="0" w:color="auto"/>
      </w:divBdr>
    </w:div>
    <w:div w:id="1939635843">
      <w:bodyDiv w:val="1"/>
      <w:marLeft w:val="0"/>
      <w:marRight w:val="0"/>
      <w:marTop w:val="0"/>
      <w:marBottom w:val="0"/>
      <w:divBdr>
        <w:top w:val="none" w:sz="0" w:space="0" w:color="auto"/>
        <w:left w:val="none" w:sz="0" w:space="0" w:color="auto"/>
        <w:bottom w:val="none" w:sz="0" w:space="0" w:color="auto"/>
        <w:right w:val="none" w:sz="0" w:space="0" w:color="auto"/>
      </w:divBdr>
    </w:div>
    <w:div w:id="1939673853">
      <w:bodyDiv w:val="1"/>
      <w:marLeft w:val="0"/>
      <w:marRight w:val="0"/>
      <w:marTop w:val="0"/>
      <w:marBottom w:val="0"/>
      <w:divBdr>
        <w:top w:val="none" w:sz="0" w:space="0" w:color="auto"/>
        <w:left w:val="none" w:sz="0" w:space="0" w:color="auto"/>
        <w:bottom w:val="none" w:sz="0" w:space="0" w:color="auto"/>
        <w:right w:val="none" w:sz="0" w:space="0" w:color="auto"/>
      </w:divBdr>
    </w:div>
    <w:div w:id="1939678137">
      <w:bodyDiv w:val="1"/>
      <w:marLeft w:val="0"/>
      <w:marRight w:val="0"/>
      <w:marTop w:val="0"/>
      <w:marBottom w:val="0"/>
      <w:divBdr>
        <w:top w:val="none" w:sz="0" w:space="0" w:color="auto"/>
        <w:left w:val="none" w:sz="0" w:space="0" w:color="auto"/>
        <w:bottom w:val="none" w:sz="0" w:space="0" w:color="auto"/>
        <w:right w:val="none" w:sz="0" w:space="0" w:color="auto"/>
      </w:divBdr>
    </w:div>
    <w:div w:id="1939752821">
      <w:bodyDiv w:val="1"/>
      <w:marLeft w:val="0"/>
      <w:marRight w:val="0"/>
      <w:marTop w:val="0"/>
      <w:marBottom w:val="0"/>
      <w:divBdr>
        <w:top w:val="none" w:sz="0" w:space="0" w:color="auto"/>
        <w:left w:val="none" w:sz="0" w:space="0" w:color="auto"/>
        <w:bottom w:val="none" w:sz="0" w:space="0" w:color="auto"/>
        <w:right w:val="none" w:sz="0" w:space="0" w:color="auto"/>
      </w:divBdr>
    </w:div>
    <w:div w:id="1939755207">
      <w:bodyDiv w:val="1"/>
      <w:marLeft w:val="0"/>
      <w:marRight w:val="0"/>
      <w:marTop w:val="0"/>
      <w:marBottom w:val="0"/>
      <w:divBdr>
        <w:top w:val="none" w:sz="0" w:space="0" w:color="auto"/>
        <w:left w:val="none" w:sz="0" w:space="0" w:color="auto"/>
        <w:bottom w:val="none" w:sz="0" w:space="0" w:color="auto"/>
        <w:right w:val="none" w:sz="0" w:space="0" w:color="auto"/>
      </w:divBdr>
    </w:div>
    <w:div w:id="1939755673">
      <w:bodyDiv w:val="1"/>
      <w:marLeft w:val="0"/>
      <w:marRight w:val="0"/>
      <w:marTop w:val="0"/>
      <w:marBottom w:val="0"/>
      <w:divBdr>
        <w:top w:val="none" w:sz="0" w:space="0" w:color="auto"/>
        <w:left w:val="none" w:sz="0" w:space="0" w:color="auto"/>
        <w:bottom w:val="none" w:sz="0" w:space="0" w:color="auto"/>
        <w:right w:val="none" w:sz="0" w:space="0" w:color="auto"/>
      </w:divBdr>
    </w:div>
    <w:div w:id="1939826515">
      <w:bodyDiv w:val="1"/>
      <w:marLeft w:val="0"/>
      <w:marRight w:val="0"/>
      <w:marTop w:val="0"/>
      <w:marBottom w:val="0"/>
      <w:divBdr>
        <w:top w:val="none" w:sz="0" w:space="0" w:color="auto"/>
        <w:left w:val="none" w:sz="0" w:space="0" w:color="auto"/>
        <w:bottom w:val="none" w:sz="0" w:space="0" w:color="auto"/>
        <w:right w:val="none" w:sz="0" w:space="0" w:color="auto"/>
      </w:divBdr>
    </w:div>
    <w:div w:id="1939829935">
      <w:bodyDiv w:val="1"/>
      <w:marLeft w:val="0"/>
      <w:marRight w:val="0"/>
      <w:marTop w:val="0"/>
      <w:marBottom w:val="0"/>
      <w:divBdr>
        <w:top w:val="none" w:sz="0" w:space="0" w:color="auto"/>
        <w:left w:val="none" w:sz="0" w:space="0" w:color="auto"/>
        <w:bottom w:val="none" w:sz="0" w:space="0" w:color="auto"/>
        <w:right w:val="none" w:sz="0" w:space="0" w:color="auto"/>
      </w:divBdr>
    </w:div>
    <w:div w:id="1939941675">
      <w:bodyDiv w:val="1"/>
      <w:marLeft w:val="0"/>
      <w:marRight w:val="0"/>
      <w:marTop w:val="0"/>
      <w:marBottom w:val="0"/>
      <w:divBdr>
        <w:top w:val="none" w:sz="0" w:space="0" w:color="auto"/>
        <w:left w:val="none" w:sz="0" w:space="0" w:color="auto"/>
        <w:bottom w:val="none" w:sz="0" w:space="0" w:color="auto"/>
        <w:right w:val="none" w:sz="0" w:space="0" w:color="auto"/>
      </w:divBdr>
    </w:div>
    <w:div w:id="1939944299">
      <w:bodyDiv w:val="1"/>
      <w:marLeft w:val="0"/>
      <w:marRight w:val="0"/>
      <w:marTop w:val="0"/>
      <w:marBottom w:val="0"/>
      <w:divBdr>
        <w:top w:val="none" w:sz="0" w:space="0" w:color="auto"/>
        <w:left w:val="none" w:sz="0" w:space="0" w:color="auto"/>
        <w:bottom w:val="none" w:sz="0" w:space="0" w:color="auto"/>
        <w:right w:val="none" w:sz="0" w:space="0" w:color="auto"/>
      </w:divBdr>
    </w:div>
    <w:div w:id="1940018588">
      <w:bodyDiv w:val="1"/>
      <w:marLeft w:val="0"/>
      <w:marRight w:val="0"/>
      <w:marTop w:val="0"/>
      <w:marBottom w:val="0"/>
      <w:divBdr>
        <w:top w:val="none" w:sz="0" w:space="0" w:color="auto"/>
        <w:left w:val="none" w:sz="0" w:space="0" w:color="auto"/>
        <w:bottom w:val="none" w:sz="0" w:space="0" w:color="auto"/>
        <w:right w:val="none" w:sz="0" w:space="0" w:color="auto"/>
      </w:divBdr>
    </w:div>
    <w:div w:id="1940062870">
      <w:bodyDiv w:val="1"/>
      <w:marLeft w:val="0"/>
      <w:marRight w:val="0"/>
      <w:marTop w:val="0"/>
      <w:marBottom w:val="0"/>
      <w:divBdr>
        <w:top w:val="none" w:sz="0" w:space="0" w:color="auto"/>
        <w:left w:val="none" w:sz="0" w:space="0" w:color="auto"/>
        <w:bottom w:val="none" w:sz="0" w:space="0" w:color="auto"/>
        <w:right w:val="none" w:sz="0" w:space="0" w:color="auto"/>
      </w:divBdr>
    </w:div>
    <w:div w:id="1940134024">
      <w:bodyDiv w:val="1"/>
      <w:marLeft w:val="0"/>
      <w:marRight w:val="0"/>
      <w:marTop w:val="0"/>
      <w:marBottom w:val="0"/>
      <w:divBdr>
        <w:top w:val="none" w:sz="0" w:space="0" w:color="auto"/>
        <w:left w:val="none" w:sz="0" w:space="0" w:color="auto"/>
        <w:bottom w:val="none" w:sz="0" w:space="0" w:color="auto"/>
        <w:right w:val="none" w:sz="0" w:space="0" w:color="auto"/>
      </w:divBdr>
    </w:div>
    <w:div w:id="1940285410">
      <w:bodyDiv w:val="1"/>
      <w:marLeft w:val="0"/>
      <w:marRight w:val="0"/>
      <w:marTop w:val="0"/>
      <w:marBottom w:val="0"/>
      <w:divBdr>
        <w:top w:val="none" w:sz="0" w:space="0" w:color="auto"/>
        <w:left w:val="none" w:sz="0" w:space="0" w:color="auto"/>
        <w:bottom w:val="none" w:sz="0" w:space="0" w:color="auto"/>
        <w:right w:val="none" w:sz="0" w:space="0" w:color="auto"/>
      </w:divBdr>
    </w:div>
    <w:div w:id="1940287571">
      <w:bodyDiv w:val="1"/>
      <w:marLeft w:val="0"/>
      <w:marRight w:val="0"/>
      <w:marTop w:val="0"/>
      <w:marBottom w:val="0"/>
      <w:divBdr>
        <w:top w:val="none" w:sz="0" w:space="0" w:color="auto"/>
        <w:left w:val="none" w:sz="0" w:space="0" w:color="auto"/>
        <w:bottom w:val="none" w:sz="0" w:space="0" w:color="auto"/>
        <w:right w:val="none" w:sz="0" w:space="0" w:color="auto"/>
      </w:divBdr>
    </w:div>
    <w:div w:id="1940329848">
      <w:bodyDiv w:val="1"/>
      <w:marLeft w:val="0"/>
      <w:marRight w:val="0"/>
      <w:marTop w:val="0"/>
      <w:marBottom w:val="0"/>
      <w:divBdr>
        <w:top w:val="none" w:sz="0" w:space="0" w:color="auto"/>
        <w:left w:val="none" w:sz="0" w:space="0" w:color="auto"/>
        <w:bottom w:val="none" w:sz="0" w:space="0" w:color="auto"/>
        <w:right w:val="none" w:sz="0" w:space="0" w:color="auto"/>
      </w:divBdr>
    </w:div>
    <w:div w:id="1940411618">
      <w:bodyDiv w:val="1"/>
      <w:marLeft w:val="0"/>
      <w:marRight w:val="0"/>
      <w:marTop w:val="0"/>
      <w:marBottom w:val="0"/>
      <w:divBdr>
        <w:top w:val="none" w:sz="0" w:space="0" w:color="auto"/>
        <w:left w:val="none" w:sz="0" w:space="0" w:color="auto"/>
        <w:bottom w:val="none" w:sz="0" w:space="0" w:color="auto"/>
        <w:right w:val="none" w:sz="0" w:space="0" w:color="auto"/>
      </w:divBdr>
    </w:div>
    <w:div w:id="1940478418">
      <w:bodyDiv w:val="1"/>
      <w:marLeft w:val="0"/>
      <w:marRight w:val="0"/>
      <w:marTop w:val="0"/>
      <w:marBottom w:val="0"/>
      <w:divBdr>
        <w:top w:val="none" w:sz="0" w:space="0" w:color="auto"/>
        <w:left w:val="none" w:sz="0" w:space="0" w:color="auto"/>
        <w:bottom w:val="none" w:sz="0" w:space="0" w:color="auto"/>
        <w:right w:val="none" w:sz="0" w:space="0" w:color="auto"/>
      </w:divBdr>
    </w:div>
    <w:div w:id="1940481748">
      <w:bodyDiv w:val="1"/>
      <w:marLeft w:val="0"/>
      <w:marRight w:val="0"/>
      <w:marTop w:val="0"/>
      <w:marBottom w:val="0"/>
      <w:divBdr>
        <w:top w:val="none" w:sz="0" w:space="0" w:color="auto"/>
        <w:left w:val="none" w:sz="0" w:space="0" w:color="auto"/>
        <w:bottom w:val="none" w:sz="0" w:space="0" w:color="auto"/>
        <w:right w:val="none" w:sz="0" w:space="0" w:color="auto"/>
      </w:divBdr>
    </w:div>
    <w:div w:id="1940526706">
      <w:bodyDiv w:val="1"/>
      <w:marLeft w:val="0"/>
      <w:marRight w:val="0"/>
      <w:marTop w:val="0"/>
      <w:marBottom w:val="0"/>
      <w:divBdr>
        <w:top w:val="none" w:sz="0" w:space="0" w:color="auto"/>
        <w:left w:val="none" w:sz="0" w:space="0" w:color="auto"/>
        <w:bottom w:val="none" w:sz="0" w:space="0" w:color="auto"/>
        <w:right w:val="none" w:sz="0" w:space="0" w:color="auto"/>
      </w:divBdr>
    </w:div>
    <w:div w:id="1940674294">
      <w:bodyDiv w:val="1"/>
      <w:marLeft w:val="0"/>
      <w:marRight w:val="0"/>
      <w:marTop w:val="0"/>
      <w:marBottom w:val="0"/>
      <w:divBdr>
        <w:top w:val="none" w:sz="0" w:space="0" w:color="auto"/>
        <w:left w:val="none" w:sz="0" w:space="0" w:color="auto"/>
        <w:bottom w:val="none" w:sz="0" w:space="0" w:color="auto"/>
        <w:right w:val="none" w:sz="0" w:space="0" w:color="auto"/>
      </w:divBdr>
    </w:div>
    <w:div w:id="1940675908">
      <w:bodyDiv w:val="1"/>
      <w:marLeft w:val="0"/>
      <w:marRight w:val="0"/>
      <w:marTop w:val="0"/>
      <w:marBottom w:val="0"/>
      <w:divBdr>
        <w:top w:val="none" w:sz="0" w:space="0" w:color="auto"/>
        <w:left w:val="none" w:sz="0" w:space="0" w:color="auto"/>
        <w:bottom w:val="none" w:sz="0" w:space="0" w:color="auto"/>
        <w:right w:val="none" w:sz="0" w:space="0" w:color="auto"/>
      </w:divBdr>
    </w:div>
    <w:div w:id="1940720894">
      <w:bodyDiv w:val="1"/>
      <w:marLeft w:val="0"/>
      <w:marRight w:val="0"/>
      <w:marTop w:val="0"/>
      <w:marBottom w:val="0"/>
      <w:divBdr>
        <w:top w:val="none" w:sz="0" w:space="0" w:color="auto"/>
        <w:left w:val="none" w:sz="0" w:space="0" w:color="auto"/>
        <w:bottom w:val="none" w:sz="0" w:space="0" w:color="auto"/>
        <w:right w:val="none" w:sz="0" w:space="0" w:color="auto"/>
      </w:divBdr>
    </w:div>
    <w:div w:id="1940746817">
      <w:bodyDiv w:val="1"/>
      <w:marLeft w:val="0"/>
      <w:marRight w:val="0"/>
      <w:marTop w:val="0"/>
      <w:marBottom w:val="0"/>
      <w:divBdr>
        <w:top w:val="none" w:sz="0" w:space="0" w:color="auto"/>
        <w:left w:val="none" w:sz="0" w:space="0" w:color="auto"/>
        <w:bottom w:val="none" w:sz="0" w:space="0" w:color="auto"/>
        <w:right w:val="none" w:sz="0" w:space="0" w:color="auto"/>
      </w:divBdr>
    </w:div>
    <w:div w:id="1940750126">
      <w:bodyDiv w:val="1"/>
      <w:marLeft w:val="0"/>
      <w:marRight w:val="0"/>
      <w:marTop w:val="0"/>
      <w:marBottom w:val="0"/>
      <w:divBdr>
        <w:top w:val="none" w:sz="0" w:space="0" w:color="auto"/>
        <w:left w:val="none" w:sz="0" w:space="0" w:color="auto"/>
        <w:bottom w:val="none" w:sz="0" w:space="0" w:color="auto"/>
        <w:right w:val="none" w:sz="0" w:space="0" w:color="auto"/>
      </w:divBdr>
    </w:div>
    <w:div w:id="1940939963">
      <w:bodyDiv w:val="1"/>
      <w:marLeft w:val="0"/>
      <w:marRight w:val="0"/>
      <w:marTop w:val="0"/>
      <w:marBottom w:val="0"/>
      <w:divBdr>
        <w:top w:val="none" w:sz="0" w:space="0" w:color="auto"/>
        <w:left w:val="none" w:sz="0" w:space="0" w:color="auto"/>
        <w:bottom w:val="none" w:sz="0" w:space="0" w:color="auto"/>
        <w:right w:val="none" w:sz="0" w:space="0" w:color="auto"/>
      </w:divBdr>
    </w:div>
    <w:div w:id="1940943188">
      <w:bodyDiv w:val="1"/>
      <w:marLeft w:val="0"/>
      <w:marRight w:val="0"/>
      <w:marTop w:val="0"/>
      <w:marBottom w:val="0"/>
      <w:divBdr>
        <w:top w:val="none" w:sz="0" w:space="0" w:color="auto"/>
        <w:left w:val="none" w:sz="0" w:space="0" w:color="auto"/>
        <w:bottom w:val="none" w:sz="0" w:space="0" w:color="auto"/>
        <w:right w:val="none" w:sz="0" w:space="0" w:color="auto"/>
      </w:divBdr>
    </w:div>
    <w:div w:id="1940986450">
      <w:bodyDiv w:val="1"/>
      <w:marLeft w:val="0"/>
      <w:marRight w:val="0"/>
      <w:marTop w:val="0"/>
      <w:marBottom w:val="0"/>
      <w:divBdr>
        <w:top w:val="none" w:sz="0" w:space="0" w:color="auto"/>
        <w:left w:val="none" w:sz="0" w:space="0" w:color="auto"/>
        <w:bottom w:val="none" w:sz="0" w:space="0" w:color="auto"/>
        <w:right w:val="none" w:sz="0" w:space="0" w:color="auto"/>
      </w:divBdr>
    </w:div>
    <w:div w:id="1940986943">
      <w:bodyDiv w:val="1"/>
      <w:marLeft w:val="0"/>
      <w:marRight w:val="0"/>
      <w:marTop w:val="0"/>
      <w:marBottom w:val="0"/>
      <w:divBdr>
        <w:top w:val="none" w:sz="0" w:space="0" w:color="auto"/>
        <w:left w:val="none" w:sz="0" w:space="0" w:color="auto"/>
        <w:bottom w:val="none" w:sz="0" w:space="0" w:color="auto"/>
        <w:right w:val="none" w:sz="0" w:space="0" w:color="auto"/>
      </w:divBdr>
    </w:div>
    <w:div w:id="1941135229">
      <w:bodyDiv w:val="1"/>
      <w:marLeft w:val="0"/>
      <w:marRight w:val="0"/>
      <w:marTop w:val="0"/>
      <w:marBottom w:val="0"/>
      <w:divBdr>
        <w:top w:val="none" w:sz="0" w:space="0" w:color="auto"/>
        <w:left w:val="none" w:sz="0" w:space="0" w:color="auto"/>
        <w:bottom w:val="none" w:sz="0" w:space="0" w:color="auto"/>
        <w:right w:val="none" w:sz="0" w:space="0" w:color="auto"/>
      </w:divBdr>
    </w:div>
    <w:div w:id="1941183098">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 w:id="1941260784">
      <w:bodyDiv w:val="1"/>
      <w:marLeft w:val="0"/>
      <w:marRight w:val="0"/>
      <w:marTop w:val="0"/>
      <w:marBottom w:val="0"/>
      <w:divBdr>
        <w:top w:val="none" w:sz="0" w:space="0" w:color="auto"/>
        <w:left w:val="none" w:sz="0" w:space="0" w:color="auto"/>
        <w:bottom w:val="none" w:sz="0" w:space="0" w:color="auto"/>
        <w:right w:val="none" w:sz="0" w:space="0" w:color="auto"/>
      </w:divBdr>
    </w:div>
    <w:div w:id="1941333646">
      <w:bodyDiv w:val="1"/>
      <w:marLeft w:val="0"/>
      <w:marRight w:val="0"/>
      <w:marTop w:val="0"/>
      <w:marBottom w:val="0"/>
      <w:divBdr>
        <w:top w:val="none" w:sz="0" w:space="0" w:color="auto"/>
        <w:left w:val="none" w:sz="0" w:space="0" w:color="auto"/>
        <w:bottom w:val="none" w:sz="0" w:space="0" w:color="auto"/>
        <w:right w:val="none" w:sz="0" w:space="0" w:color="auto"/>
      </w:divBdr>
    </w:div>
    <w:div w:id="1941446777">
      <w:bodyDiv w:val="1"/>
      <w:marLeft w:val="0"/>
      <w:marRight w:val="0"/>
      <w:marTop w:val="0"/>
      <w:marBottom w:val="0"/>
      <w:divBdr>
        <w:top w:val="none" w:sz="0" w:space="0" w:color="auto"/>
        <w:left w:val="none" w:sz="0" w:space="0" w:color="auto"/>
        <w:bottom w:val="none" w:sz="0" w:space="0" w:color="auto"/>
        <w:right w:val="none" w:sz="0" w:space="0" w:color="auto"/>
      </w:divBdr>
    </w:div>
    <w:div w:id="1941986894">
      <w:bodyDiv w:val="1"/>
      <w:marLeft w:val="0"/>
      <w:marRight w:val="0"/>
      <w:marTop w:val="0"/>
      <w:marBottom w:val="0"/>
      <w:divBdr>
        <w:top w:val="none" w:sz="0" w:space="0" w:color="auto"/>
        <w:left w:val="none" w:sz="0" w:space="0" w:color="auto"/>
        <w:bottom w:val="none" w:sz="0" w:space="0" w:color="auto"/>
        <w:right w:val="none" w:sz="0" w:space="0" w:color="auto"/>
      </w:divBdr>
    </w:div>
    <w:div w:id="1942033233">
      <w:bodyDiv w:val="1"/>
      <w:marLeft w:val="0"/>
      <w:marRight w:val="0"/>
      <w:marTop w:val="0"/>
      <w:marBottom w:val="0"/>
      <w:divBdr>
        <w:top w:val="none" w:sz="0" w:space="0" w:color="auto"/>
        <w:left w:val="none" w:sz="0" w:space="0" w:color="auto"/>
        <w:bottom w:val="none" w:sz="0" w:space="0" w:color="auto"/>
        <w:right w:val="none" w:sz="0" w:space="0" w:color="auto"/>
      </w:divBdr>
    </w:div>
    <w:div w:id="1942177101">
      <w:bodyDiv w:val="1"/>
      <w:marLeft w:val="0"/>
      <w:marRight w:val="0"/>
      <w:marTop w:val="0"/>
      <w:marBottom w:val="0"/>
      <w:divBdr>
        <w:top w:val="none" w:sz="0" w:space="0" w:color="auto"/>
        <w:left w:val="none" w:sz="0" w:space="0" w:color="auto"/>
        <w:bottom w:val="none" w:sz="0" w:space="0" w:color="auto"/>
        <w:right w:val="none" w:sz="0" w:space="0" w:color="auto"/>
      </w:divBdr>
    </w:div>
    <w:div w:id="1942253263">
      <w:bodyDiv w:val="1"/>
      <w:marLeft w:val="0"/>
      <w:marRight w:val="0"/>
      <w:marTop w:val="0"/>
      <w:marBottom w:val="0"/>
      <w:divBdr>
        <w:top w:val="none" w:sz="0" w:space="0" w:color="auto"/>
        <w:left w:val="none" w:sz="0" w:space="0" w:color="auto"/>
        <w:bottom w:val="none" w:sz="0" w:space="0" w:color="auto"/>
        <w:right w:val="none" w:sz="0" w:space="0" w:color="auto"/>
      </w:divBdr>
    </w:div>
    <w:div w:id="1942448105">
      <w:bodyDiv w:val="1"/>
      <w:marLeft w:val="0"/>
      <w:marRight w:val="0"/>
      <w:marTop w:val="0"/>
      <w:marBottom w:val="0"/>
      <w:divBdr>
        <w:top w:val="none" w:sz="0" w:space="0" w:color="auto"/>
        <w:left w:val="none" w:sz="0" w:space="0" w:color="auto"/>
        <w:bottom w:val="none" w:sz="0" w:space="0" w:color="auto"/>
        <w:right w:val="none" w:sz="0" w:space="0" w:color="auto"/>
      </w:divBdr>
    </w:div>
    <w:div w:id="1942450259">
      <w:bodyDiv w:val="1"/>
      <w:marLeft w:val="0"/>
      <w:marRight w:val="0"/>
      <w:marTop w:val="0"/>
      <w:marBottom w:val="0"/>
      <w:divBdr>
        <w:top w:val="none" w:sz="0" w:space="0" w:color="auto"/>
        <w:left w:val="none" w:sz="0" w:space="0" w:color="auto"/>
        <w:bottom w:val="none" w:sz="0" w:space="0" w:color="auto"/>
        <w:right w:val="none" w:sz="0" w:space="0" w:color="auto"/>
      </w:divBdr>
    </w:div>
    <w:div w:id="1942561880">
      <w:bodyDiv w:val="1"/>
      <w:marLeft w:val="0"/>
      <w:marRight w:val="0"/>
      <w:marTop w:val="0"/>
      <w:marBottom w:val="0"/>
      <w:divBdr>
        <w:top w:val="none" w:sz="0" w:space="0" w:color="auto"/>
        <w:left w:val="none" w:sz="0" w:space="0" w:color="auto"/>
        <w:bottom w:val="none" w:sz="0" w:space="0" w:color="auto"/>
        <w:right w:val="none" w:sz="0" w:space="0" w:color="auto"/>
      </w:divBdr>
    </w:div>
    <w:div w:id="1942639045">
      <w:bodyDiv w:val="1"/>
      <w:marLeft w:val="0"/>
      <w:marRight w:val="0"/>
      <w:marTop w:val="0"/>
      <w:marBottom w:val="0"/>
      <w:divBdr>
        <w:top w:val="none" w:sz="0" w:space="0" w:color="auto"/>
        <w:left w:val="none" w:sz="0" w:space="0" w:color="auto"/>
        <w:bottom w:val="none" w:sz="0" w:space="0" w:color="auto"/>
        <w:right w:val="none" w:sz="0" w:space="0" w:color="auto"/>
      </w:divBdr>
    </w:div>
    <w:div w:id="1942908647">
      <w:bodyDiv w:val="1"/>
      <w:marLeft w:val="0"/>
      <w:marRight w:val="0"/>
      <w:marTop w:val="0"/>
      <w:marBottom w:val="0"/>
      <w:divBdr>
        <w:top w:val="none" w:sz="0" w:space="0" w:color="auto"/>
        <w:left w:val="none" w:sz="0" w:space="0" w:color="auto"/>
        <w:bottom w:val="none" w:sz="0" w:space="0" w:color="auto"/>
        <w:right w:val="none" w:sz="0" w:space="0" w:color="auto"/>
      </w:divBdr>
    </w:div>
    <w:div w:id="1942908663">
      <w:bodyDiv w:val="1"/>
      <w:marLeft w:val="0"/>
      <w:marRight w:val="0"/>
      <w:marTop w:val="0"/>
      <w:marBottom w:val="0"/>
      <w:divBdr>
        <w:top w:val="none" w:sz="0" w:space="0" w:color="auto"/>
        <w:left w:val="none" w:sz="0" w:space="0" w:color="auto"/>
        <w:bottom w:val="none" w:sz="0" w:space="0" w:color="auto"/>
        <w:right w:val="none" w:sz="0" w:space="0" w:color="auto"/>
      </w:divBdr>
    </w:div>
    <w:div w:id="1943101438">
      <w:bodyDiv w:val="1"/>
      <w:marLeft w:val="0"/>
      <w:marRight w:val="0"/>
      <w:marTop w:val="0"/>
      <w:marBottom w:val="0"/>
      <w:divBdr>
        <w:top w:val="none" w:sz="0" w:space="0" w:color="auto"/>
        <w:left w:val="none" w:sz="0" w:space="0" w:color="auto"/>
        <w:bottom w:val="none" w:sz="0" w:space="0" w:color="auto"/>
        <w:right w:val="none" w:sz="0" w:space="0" w:color="auto"/>
      </w:divBdr>
    </w:div>
    <w:div w:id="1943143728">
      <w:bodyDiv w:val="1"/>
      <w:marLeft w:val="0"/>
      <w:marRight w:val="0"/>
      <w:marTop w:val="0"/>
      <w:marBottom w:val="0"/>
      <w:divBdr>
        <w:top w:val="none" w:sz="0" w:space="0" w:color="auto"/>
        <w:left w:val="none" w:sz="0" w:space="0" w:color="auto"/>
        <w:bottom w:val="none" w:sz="0" w:space="0" w:color="auto"/>
        <w:right w:val="none" w:sz="0" w:space="0" w:color="auto"/>
      </w:divBdr>
    </w:div>
    <w:div w:id="1943218317">
      <w:bodyDiv w:val="1"/>
      <w:marLeft w:val="0"/>
      <w:marRight w:val="0"/>
      <w:marTop w:val="0"/>
      <w:marBottom w:val="0"/>
      <w:divBdr>
        <w:top w:val="none" w:sz="0" w:space="0" w:color="auto"/>
        <w:left w:val="none" w:sz="0" w:space="0" w:color="auto"/>
        <w:bottom w:val="none" w:sz="0" w:space="0" w:color="auto"/>
        <w:right w:val="none" w:sz="0" w:space="0" w:color="auto"/>
      </w:divBdr>
    </w:div>
    <w:div w:id="1943492941">
      <w:bodyDiv w:val="1"/>
      <w:marLeft w:val="0"/>
      <w:marRight w:val="0"/>
      <w:marTop w:val="0"/>
      <w:marBottom w:val="0"/>
      <w:divBdr>
        <w:top w:val="none" w:sz="0" w:space="0" w:color="auto"/>
        <w:left w:val="none" w:sz="0" w:space="0" w:color="auto"/>
        <w:bottom w:val="none" w:sz="0" w:space="0" w:color="auto"/>
        <w:right w:val="none" w:sz="0" w:space="0" w:color="auto"/>
      </w:divBdr>
    </w:div>
    <w:div w:id="1943561197">
      <w:bodyDiv w:val="1"/>
      <w:marLeft w:val="0"/>
      <w:marRight w:val="0"/>
      <w:marTop w:val="0"/>
      <w:marBottom w:val="0"/>
      <w:divBdr>
        <w:top w:val="none" w:sz="0" w:space="0" w:color="auto"/>
        <w:left w:val="none" w:sz="0" w:space="0" w:color="auto"/>
        <w:bottom w:val="none" w:sz="0" w:space="0" w:color="auto"/>
        <w:right w:val="none" w:sz="0" w:space="0" w:color="auto"/>
      </w:divBdr>
    </w:div>
    <w:div w:id="1943561848">
      <w:bodyDiv w:val="1"/>
      <w:marLeft w:val="0"/>
      <w:marRight w:val="0"/>
      <w:marTop w:val="0"/>
      <w:marBottom w:val="0"/>
      <w:divBdr>
        <w:top w:val="none" w:sz="0" w:space="0" w:color="auto"/>
        <w:left w:val="none" w:sz="0" w:space="0" w:color="auto"/>
        <w:bottom w:val="none" w:sz="0" w:space="0" w:color="auto"/>
        <w:right w:val="none" w:sz="0" w:space="0" w:color="auto"/>
      </w:divBdr>
    </w:div>
    <w:div w:id="1943564305">
      <w:bodyDiv w:val="1"/>
      <w:marLeft w:val="0"/>
      <w:marRight w:val="0"/>
      <w:marTop w:val="0"/>
      <w:marBottom w:val="0"/>
      <w:divBdr>
        <w:top w:val="none" w:sz="0" w:space="0" w:color="auto"/>
        <w:left w:val="none" w:sz="0" w:space="0" w:color="auto"/>
        <w:bottom w:val="none" w:sz="0" w:space="0" w:color="auto"/>
        <w:right w:val="none" w:sz="0" w:space="0" w:color="auto"/>
      </w:divBdr>
    </w:div>
    <w:div w:id="1943607055">
      <w:bodyDiv w:val="1"/>
      <w:marLeft w:val="0"/>
      <w:marRight w:val="0"/>
      <w:marTop w:val="0"/>
      <w:marBottom w:val="0"/>
      <w:divBdr>
        <w:top w:val="none" w:sz="0" w:space="0" w:color="auto"/>
        <w:left w:val="none" w:sz="0" w:space="0" w:color="auto"/>
        <w:bottom w:val="none" w:sz="0" w:space="0" w:color="auto"/>
        <w:right w:val="none" w:sz="0" w:space="0" w:color="auto"/>
      </w:divBdr>
    </w:div>
    <w:div w:id="1943875522">
      <w:bodyDiv w:val="1"/>
      <w:marLeft w:val="0"/>
      <w:marRight w:val="0"/>
      <w:marTop w:val="0"/>
      <w:marBottom w:val="0"/>
      <w:divBdr>
        <w:top w:val="none" w:sz="0" w:space="0" w:color="auto"/>
        <w:left w:val="none" w:sz="0" w:space="0" w:color="auto"/>
        <w:bottom w:val="none" w:sz="0" w:space="0" w:color="auto"/>
        <w:right w:val="none" w:sz="0" w:space="0" w:color="auto"/>
      </w:divBdr>
    </w:div>
    <w:div w:id="1943956420">
      <w:bodyDiv w:val="1"/>
      <w:marLeft w:val="0"/>
      <w:marRight w:val="0"/>
      <w:marTop w:val="0"/>
      <w:marBottom w:val="0"/>
      <w:divBdr>
        <w:top w:val="none" w:sz="0" w:space="0" w:color="auto"/>
        <w:left w:val="none" w:sz="0" w:space="0" w:color="auto"/>
        <w:bottom w:val="none" w:sz="0" w:space="0" w:color="auto"/>
        <w:right w:val="none" w:sz="0" w:space="0" w:color="auto"/>
      </w:divBdr>
    </w:div>
    <w:div w:id="1944149173">
      <w:bodyDiv w:val="1"/>
      <w:marLeft w:val="0"/>
      <w:marRight w:val="0"/>
      <w:marTop w:val="0"/>
      <w:marBottom w:val="0"/>
      <w:divBdr>
        <w:top w:val="none" w:sz="0" w:space="0" w:color="auto"/>
        <w:left w:val="none" w:sz="0" w:space="0" w:color="auto"/>
        <w:bottom w:val="none" w:sz="0" w:space="0" w:color="auto"/>
        <w:right w:val="none" w:sz="0" w:space="0" w:color="auto"/>
      </w:divBdr>
    </w:div>
    <w:div w:id="1944264350">
      <w:bodyDiv w:val="1"/>
      <w:marLeft w:val="0"/>
      <w:marRight w:val="0"/>
      <w:marTop w:val="0"/>
      <w:marBottom w:val="0"/>
      <w:divBdr>
        <w:top w:val="none" w:sz="0" w:space="0" w:color="auto"/>
        <w:left w:val="none" w:sz="0" w:space="0" w:color="auto"/>
        <w:bottom w:val="none" w:sz="0" w:space="0" w:color="auto"/>
        <w:right w:val="none" w:sz="0" w:space="0" w:color="auto"/>
      </w:divBdr>
    </w:div>
    <w:div w:id="1944335577">
      <w:bodyDiv w:val="1"/>
      <w:marLeft w:val="0"/>
      <w:marRight w:val="0"/>
      <w:marTop w:val="0"/>
      <w:marBottom w:val="0"/>
      <w:divBdr>
        <w:top w:val="none" w:sz="0" w:space="0" w:color="auto"/>
        <w:left w:val="none" w:sz="0" w:space="0" w:color="auto"/>
        <w:bottom w:val="none" w:sz="0" w:space="0" w:color="auto"/>
        <w:right w:val="none" w:sz="0" w:space="0" w:color="auto"/>
      </w:divBdr>
    </w:div>
    <w:div w:id="1944337501">
      <w:bodyDiv w:val="1"/>
      <w:marLeft w:val="0"/>
      <w:marRight w:val="0"/>
      <w:marTop w:val="0"/>
      <w:marBottom w:val="0"/>
      <w:divBdr>
        <w:top w:val="none" w:sz="0" w:space="0" w:color="auto"/>
        <w:left w:val="none" w:sz="0" w:space="0" w:color="auto"/>
        <w:bottom w:val="none" w:sz="0" w:space="0" w:color="auto"/>
        <w:right w:val="none" w:sz="0" w:space="0" w:color="auto"/>
      </w:divBdr>
    </w:div>
    <w:div w:id="1944339384">
      <w:bodyDiv w:val="1"/>
      <w:marLeft w:val="0"/>
      <w:marRight w:val="0"/>
      <w:marTop w:val="0"/>
      <w:marBottom w:val="0"/>
      <w:divBdr>
        <w:top w:val="none" w:sz="0" w:space="0" w:color="auto"/>
        <w:left w:val="none" w:sz="0" w:space="0" w:color="auto"/>
        <w:bottom w:val="none" w:sz="0" w:space="0" w:color="auto"/>
        <w:right w:val="none" w:sz="0" w:space="0" w:color="auto"/>
      </w:divBdr>
    </w:div>
    <w:div w:id="1944414887">
      <w:bodyDiv w:val="1"/>
      <w:marLeft w:val="0"/>
      <w:marRight w:val="0"/>
      <w:marTop w:val="0"/>
      <w:marBottom w:val="0"/>
      <w:divBdr>
        <w:top w:val="none" w:sz="0" w:space="0" w:color="auto"/>
        <w:left w:val="none" w:sz="0" w:space="0" w:color="auto"/>
        <w:bottom w:val="none" w:sz="0" w:space="0" w:color="auto"/>
        <w:right w:val="none" w:sz="0" w:space="0" w:color="auto"/>
      </w:divBdr>
    </w:div>
    <w:div w:id="1944606839">
      <w:bodyDiv w:val="1"/>
      <w:marLeft w:val="0"/>
      <w:marRight w:val="0"/>
      <w:marTop w:val="0"/>
      <w:marBottom w:val="0"/>
      <w:divBdr>
        <w:top w:val="none" w:sz="0" w:space="0" w:color="auto"/>
        <w:left w:val="none" w:sz="0" w:space="0" w:color="auto"/>
        <w:bottom w:val="none" w:sz="0" w:space="0" w:color="auto"/>
        <w:right w:val="none" w:sz="0" w:space="0" w:color="auto"/>
      </w:divBdr>
    </w:div>
    <w:div w:id="1944725256">
      <w:bodyDiv w:val="1"/>
      <w:marLeft w:val="0"/>
      <w:marRight w:val="0"/>
      <w:marTop w:val="0"/>
      <w:marBottom w:val="0"/>
      <w:divBdr>
        <w:top w:val="none" w:sz="0" w:space="0" w:color="auto"/>
        <w:left w:val="none" w:sz="0" w:space="0" w:color="auto"/>
        <w:bottom w:val="none" w:sz="0" w:space="0" w:color="auto"/>
        <w:right w:val="none" w:sz="0" w:space="0" w:color="auto"/>
      </w:divBdr>
    </w:div>
    <w:div w:id="1944726695">
      <w:bodyDiv w:val="1"/>
      <w:marLeft w:val="0"/>
      <w:marRight w:val="0"/>
      <w:marTop w:val="0"/>
      <w:marBottom w:val="0"/>
      <w:divBdr>
        <w:top w:val="none" w:sz="0" w:space="0" w:color="auto"/>
        <w:left w:val="none" w:sz="0" w:space="0" w:color="auto"/>
        <w:bottom w:val="none" w:sz="0" w:space="0" w:color="auto"/>
        <w:right w:val="none" w:sz="0" w:space="0" w:color="auto"/>
      </w:divBdr>
    </w:div>
    <w:div w:id="1944801744">
      <w:bodyDiv w:val="1"/>
      <w:marLeft w:val="0"/>
      <w:marRight w:val="0"/>
      <w:marTop w:val="0"/>
      <w:marBottom w:val="0"/>
      <w:divBdr>
        <w:top w:val="none" w:sz="0" w:space="0" w:color="auto"/>
        <w:left w:val="none" w:sz="0" w:space="0" w:color="auto"/>
        <w:bottom w:val="none" w:sz="0" w:space="0" w:color="auto"/>
        <w:right w:val="none" w:sz="0" w:space="0" w:color="auto"/>
      </w:divBdr>
    </w:div>
    <w:div w:id="1944878442">
      <w:bodyDiv w:val="1"/>
      <w:marLeft w:val="0"/>
      <w:marRight w:val="0"/>
      <w:marTop w:val="0"/>
      <w:marBottom w:val="0"/>
      <w:divBdr>
        <w:top w:val="none" w:sz="0" w:space="0" w:color="auto"/>
        <w:left w:val="none" w:sz="0" w:space="0" w:color="auto"/>
        <w:bottom w:val="none" w:sz="0" w:space="0" w:color="auto"/>
        <w:right w:val="none" w:sz="0" w:space="0" w:color="auto"/>
      </w:divBdr>
    </w:div>
    <w:div w:id="1945065382">
      <w:bodyDiv w:val="1"/>
      <w:marLeft w:val="0"/>
      <w:marRight w:val="0"/>
      <w:marTop w:val="0"/>
      <w:marBottom w:val="0"/>
      <w:divBdr>
        <w:top w:val="none" w:sz="0" w:space="0" w:color="auto"/>
        <w:left w:val="none" w:sz="0" w:space="0" w:color="auto"/>
        <w:bottom w:val="none" w:sz="0" w:space="0" w:color="auto"/>
        <w:right w:val="none" w:sz="0" w:space="0" w:color="auto"/>
      </w:divBdr>
    </w:div>
    <w:div w:id="1945186020">
      <w:bodyDiv w:val="1"/>
      <w:marLeft w:val="0"/>
      <w:marRight w:val="0"/>
      <w:marTop w:val="0"/>
      <w:marBottom w:val="0"/>
      <w:divBdr>
        <w:top w:val="none" w:sz="0" w:space="0" w:color="auto"/>
        <w:left w:val="none" w:sz="0" w:space="0" w:color="auto"/>
        <w:bottom w:val="none" w:sz="0" w:space="0" w:color="auto"/>
        <w:right w:val="none" w:sz="0" w:space="0" w:color="auto"/>
      </w:divBdr>
    </w:div>
    <w:div w:id="1945191945">
      <w:bodyDiv w:val="1"/>
      <w:marLeft w:val="0"/>
      <w:marRight w:val="0"/>
      <w:marTop w:val="0"/>
      <w:marBottom w:val="0"/>
      <w:divBdr>
        <w:top w:val="none" w:sz="0" w:space="0" w:color="auto"/>
        <w:left w:val="none" w:sz="0" w:space="0" w:color="auto"/>
        <w:bottom w:val="none" w:sz="0" w:space="0" w:color="auto"/>
        <w:right w:val="none" w:sz="0" w:space="0" w:color="auto"/>
      </w:divBdr>
    </w:div>
    <w:div w:id="1945260406">
      <w:bodyDiv w:val="1"/>
      <w:marLeft w:val="0"/>
      <w:marRight w:val="0"/>
      <w:marTop w:val="0"/>
      <w:marBottom w:val="0"/>
      <w:divBdr>
        <w:top w:val="none" w:sz="0" w:space="0" w:color="auto"/>
        <w:left w:val="none" w:sz="0" w:space="0" w:color="auto"/>
        <w:bottom w:val="none" w:sz="0" w:space="0" w:color="auto"/>
        <w:right w:val="none" w:sz="0" w:space="0" w:color="auto"/>
      </w:divBdr>
    </w:div>
    <w:div w:id="1945334486">
      <w:bodyDiv w:val="1"/>
      <w:marLeft w:val="0"/>
      <w:marRight w:val="0"/>
      <w:marTop w:val="0"/>
      <w:marBottom w:val="0"/>
      <w:divBdr>
        <w:top w:val="none" w:sz="0" w:space="0" w:color="auto"/>
        <w:left w:val="none" w:sz="0" w:space="0" w:color="auto"/>
        <w:bottom w:val="none" w:sz="0" w:space="0" w:color="auto"/>
        <w:right w:val="none" w:sz="0" w:space="0" w:color="auto"/>
      </w:divBdr>
    </w:div>
    <w:div w:id="1945570730">
      <w:bodyDiv w:val="1"/>
      <w:marLeft w:val="0"/>
      <w:marRight w:val="0"/>
      <w:marTop w:val="0"/>
      <w:marBottom w:val="0"/>
      <w:divBdr>
        <w:top w:val="none" w:sz="0" w:space="0" w:color="auto"/>
        <w:left w:val="none" w:sz="0" w:space="0" w:color="auto"/>
        <w:bottom w:val="none" w:sz="0" w:space="0" w:color="auto"/>
        <w:right w:val="none" w:sz="0" w:space="0" w:color="auto"/>
      </w:divBdr>
    </w:div>
    <w:div w:id="1945647928">
      <w:bodyDiv w:val="1"/>
      <w:marLeft w:val="0"/>
      <w:marRight w:val="0"/>
      <w:marTop w:val="0"/>
      <w:marBottom w:val="0"/>
      <w:divBdr>
        <w:top w:val="none" w:sz="0" w:space="0" w:color="auto"/>
        <w:left w:val="none" w:sz="0" w:space="0" w:color="auto"/>
        <w:bottom w:val="none" w:sz="0" w:space="0" w:color="auto"/>
        <w:right w:val="none" w:sz="0" w:space="0" w:color="auto"/>
      </w:divBdr>
    </w:div>
    <w:div w:id="1945915039">
      <w:bodyDiv w:val="1"/>
      <w:marLeft w:val="0"/>
      <w:marRight w:val="0"/>
      <w:marTop w:val="0"/>
      <w:marBottom w:val="0"/>
      <w:divBdr>
        <w:top w:val="none" w:sz="0" w:space="0" w:color="auto"/>
        <w:left w:val="none" w:sz="0" w:space="0" w:color="auto"/>
        <w:bottom w:val="none" w:sz="0" w:space="0" w:color="auto"/>
        <w:right w:val="none" w:sz="0" w:space="0" w:color="auto"/>
      </w:divBdr>
    </w:div>
    <w:div w:id="1945961435">
      <w:bodyDiv w:val="1"/>
      <w:marLeft w:val="0"/>
      <w:marRight w:val="0"/>
      <w:marTop w:val="0"/>
      <w:marBottom w:val="0"/>
      <w:divBdr>
        <w:top w:val="none" w:sz="0" w:space="0" w:color="auto"/>
        <w:left w:val="none" w:sz="0" w:space="0" w:color="auto"/>
        <w:bottom w:val="none" w:sz="0" w:space="0" w:color="auto"/>
        <w:right w:val="none" w:sz="0" w:space="0" w:color="auto"/>
      </w:divBdr>
    </w:div>
    <w:div w:id="1946183717">
      <w:bodyDiv w:val="1"/>
      <w:marLeft w:val="0"/>
      <w:marRight w:val="0"/>
      <w:marTop w:val="0"/>
      <w:marBottom w:val="0"/>
      <w:divBdr>
        <w:top w:val="none" w:sz="0" w:space="0" w:color="auto"/>
        <w:left w:val="none" w:sz="0" w:space="0" w:color="auto"/>
        <w:bottom w:val="none" w:sz="0" w:space="0" w:color="auto"/>
        <w:right w:val="none" w:sz="0" w:space="0" w:color="auto"/>
      </w:divBdr>
    </w:div>
    <w:div w:id="1946186772">
      <w:bodyDiv w:val="1"/>
      <w:marLeft w:val="0"/>
      <w:marRight w:val="0"/>
      <w:marTop w:val="0"/>
      <w:marBottom w:val="0"/>
      <w:divBdr>
        <w:top w:val="none" w:sz="0" w:space="0" w:color="auto"/>
        <w:left w:val="none" w:sz="0" w:space="0" w:color="auto"/>
        <w:bottom w:val="none" w:sz="0" w:space="0" w:color="auto"/>
        <w:right w:val="none" w:sz="0" w:space="0" w:color="auto"/>
      </w:divBdr>
    </w:div>
    <w:div w:id="1946188993">
      <w:bodyDiv w:val="1"/>
      <w:marLeft w:val="0"/>
      <w:marRight w:val="0"/>
      <w:marTop w:val="0"/>
      <w:marBottom w:val="0"/>
      <w:divBdr>
        <w:top w:val="none" w:sz="0" w:space="0" w:color="auto"/>
        <w:left w:val="none" w:sz="0" w:space="0" w:color="auto"/>
        <w:bottom w:val="none" w:sz="0" w:space="0" w:color="auto"/>
        <w:right w:val="none" w:sz="0" w:space="0" w:color="auto"/>
      </w:divBdr>
    </w:div>
    <w:div w:id="1946226396">
      <w:bodyDiv w:val="1"/>
      <w:marLeft w:val="0"/>
      <w:marRight w:val="0"/>
      <w:marTop w:val="0"/>
      <w:marBottom w:val="0"/>
      <w:divBdr>
        <w:top w:val="none" w:sz="0" w:space="0" w:color="auto"/>
        <w:left w:val="none" w:sz="0" w:space="0" w:color="auto"/>
        <w:bottom w:val="none" w:sz="0" w:space="0" w:color="auto"/>
        <w:right w:val="none" w:sz="0" w:space="0" w:color="auto"/>
      </w:divBdr>
    </w:div>
    <w:div w:id="1946303788">
      <w:bodyDiv w:val="1"/>
      <w:marLeft w:val="0"/>
      <w:marRight w:val="0"/>
      <w:marTop w:val="0"/>
      <w:marBottom w:val="0"/>
      <w:divBdr>
        <w:top w:val="none" w:sz="0" w:space="0" w:color="auto"/>
        <w:left w:val="none" w:sz="0" w:space="0" w:color="auto"/>
        <w:bottom w:val="none" w:sz="0" w:space="0" w:color="auto"/>
        <w:right w:val="none" w:sz="0" w:space="0" w:color="auto"/>
      </w:divBdr>
    </w:div>
    <w:div w:id="1946304459">
      <w:bodyDiv w:val="1"/>
      <w:marLeft w:val="0"/>
      <w:marRight w:val="0"/>
      <w:marTop w:val="0"/>
      <w:marBottom w:val="0"/>
      <w:divBdr>
        <w:top w:val="none" w:sz="0" w:space="0" w:color="auto"/>
        <w:left w:val="none" w:sz="0" w:space="0" w:color="auto"/>
        <w:bottom w:val="none" w:sz="0" w:space="0" w:color="auto"/>
        <w:right w:val="none" w:sz="0" w:space="0" w:color="auto"/>
      </w:divBdr>
    </w:div>
    <w:div w:id="1946499026">
      <w:bodyDiv w:val="1"/>
      <w:marLeft w:val="0"/>
      <w:marRight w:val="0"/>
      <w:marTop w:val="0"/>
      <w:marBottom w:val="0"/>
      <w:divBdr>
        <w:top w:val="none" w:sz="0" w:space="0" w:color="auto"/>
        <w:left w:val="none" w:sz="0" w:space="0" w:color="auto"/>
        <w:bottom w:val="none" w:sz="0" w:space="0" w:color="auto"/>
        <w:right w:val="none" w:sz="0" w:space="0" w:color="auto"/>
      </w:divBdr>
    </w:div>
    <w:div w:id="1946645597">
      <w:bodyDiv w:val="1"/>
      <w:marLeft w:val="0"/>
      <w:marRight w:val="0"/>
      <w:marTop w:val="0"/>
      <w:marBottom w:val="0"/>
      <w:divBdr>
        <w:top w:val="none" w:sz="0" w:space="0" w:color="auto"/>
        <w:left w:val="none" w:sz="0" w:space="0" w:color="auto"/>
        <w:bottom w:val="none" w:sz="0" w:space="0" w:color="auto"/>
        <w:right w:val="none" w:sz="0" w:space="0" w:color="auto"/>
      </w:divBdr>
    </w:div>
    <w:div w:id="1946763732">
      <w:bodyDiv w:val="1"/>
      <w:marLeft w:val="0"/>
      <w:marRight w:val="0"/>
      <w:marTop w:val="0"/>
      <w:marBottom w:val="0"/>
      <w:divBdr>
        <w:top w:val="none" w:sz="0" w:space="0" w:color="auto"/>
        <w:left w:val="none" w:sz="0" w:space="0" w:color="auto"/>
        <w:bottom w:val="none" w:sz="0" w:space="0" w:color="auto"/>
        <w:right w:val="none" w:sz="0" w:space="0" w:color="auto"/>
      </w:divBdr>
    </w:div>
    <w:div w:id="1946767351">
      <w:bodyDiv w:val="1"/>
      <w:marLeft w:val="0"/>
      <w:marRight w:val="0"/>
      <w:marTop w:val="0"/>
      <w:marBottom w:val="0"/>
      <w:divBdr>
        <w:top w:val="none" w:sz="0" w:space="0" w:color="auto"/>
        <w:left w:val="none" w:sz="0" w:space="0" w:color="auto"/>
        <w:bottom w:val="none" w:sz="0" w:space="0" w:color="auto"/>
        <w:right w:val="none" w:sz="0" w:space="0" w:color="auto"/>
      </w:divBdr>
    </w:div>
    <w:div w:id="1946887070">
      <w:bodyDiv w:val="1"/>
      <w:marLeft w:val="0"/>
      <w:marRight w:val="0"/>
      <w:marTop w:val="0"/>
      <w:marBottom w:val="0"/>
      <w:divBdr>
        <w:top w:val="none" w:sz="0" w:space="0" w:color="auto"/>
        <w:left w:val="none" w:sz="0" w:space="0" w:color="auto"/>
        <w:bottom w:val="none" w:sz="0" w:space="0" w:color="auto"/>
        <w:right w:val="none" w:sz="0" w:space="0" w:color="auto"/>
      </w:divBdr>
    </w:div>
    <w:div w:id="1946960638">
      <w:bodyDiv w:val="1"/>
      <w:marLeft w:val="0"/>
      <w:marRight w:val="0"/>
      <w:marTop w:val="0"/>
      <w:marBottom w:val="0"/>
      <w:divBdr>
        <w:top w:val="none" w:sz="0" w:space="0" w:color="auto"/>
        <w:left w:val="none" w:sz="0" w:space="0" w:color="auto"/>
        <w:bottom w:val="none" w:sz="0" w:space="0" w:color="auto"/>
        <w:right w:val="none" w:sz="0" w:space="0" w:color="auto"/>
      </w:divBdr>
    </w:div>
    <w:div w:id="1946962522">
      <w:bodyDiv w:val="1"/>
      <w:marLeft w:val="0"/>
      <w:marRight w:val="0"/>
      <w:marTop w:val="0"/>
      <w:marBottom w:val="0"/>
      <w:divBdr>
        <w:top w:val="none" w:sz="0" w:space="0" w:color="auto"/>
        <w:left w:val="none" w:sz="0" w:space="0" w:color="auto"/>
        <w:bottom w:val="none" w:sz="0" w:space="0" w:color="auto"/>
        <w:right w:val="none" w:sz="0" w:space="0" w:color="auto"/>
      </w:divBdr>
    </w:div>
    <w:div w:id="1946964975">
      <w:bodyDiv w:val="1"/>
      <w:marLeft w:val="0"/>
      <w:marRight w:val="0"/>
      <w:marTop w:val="0"/>
      <w:marBottom w:val="0"/>
      <w:divBdr>
        <w:top w:val="none" w:sz="0" w:space="0" w:color="auto"/>
        <w:left w:val="none" w:sz="0" w:space="0" w:color="auto"/>
        <w:bottom w:val="none" w:sz="0" w:space="0" w:color="auto"/>
        <w:right w:val="none" w:sz="0" w:space="0" w:color="auto"/>
      </w:divBdr>
    </w:div>
    <w:div w:id="1947031567">
      <w:bodyDiv w:val="1"/>
      <w:marLeft w:val="0"/>
      <w:marRight w:val="0"/>
      <w:marTop w:val="0"/>
      <w:marBottom w:val="0"/>
      <w:divBdr>
        <w:top w:val="none" w:sz="0" w:space="0" w:color="auto"/>
        <w:left w:val="none" w:sz="0" w:space="0" w:color="auto"/>
        <w:bottom w:val="none" w:sz="0" w:space="0" w:color="auto"/>
        <w:right w:val="none" w:sz="0" w:space="0" w:color="auto"/>
      </w:divBdr>
    </w:div>
    <w:div w:id="1947081003">
      <w:bodyDiv w:val="1"/>
      <w:marLeft w:val="0"/>
      <w:marRight w:val="0"/>
      <w:marTop w:val="0"/>
      <w:marBottom w:val="0"/>
      <w:divBdr>
        <w:top w:val="none" w:sz="0" w:space="0" w:color="auto"/>
        <w:left w:val="none" w:sz="0" w:space="0" w:color="auto"/>
        <w:bottom w:val="none" w:sz="0" w:space="0" w:color="auto"/>
        <w:right w:val="none" w:sz="0" w:space="0" w:color="auto"/>
      </w:divBdr>
    </w:div>
    <w:div w:id="1947152917">
      <w:bodyDiv w:val="1"/>
      <w:marLeft w:val="0"/>
      <w:marRight w:val="0"/>
      <w:marTop w:val="0"/>
      <w:marBottom w:val="0"/>
      <w:divBdr>
        <w:top w:val="none" w:sz="0" w:space="0" w:color="auto"/>
        <w:left w:val="none" w:sz="0" w:space="0" w:color="auto"/>
        <w:bottom w:val="none" w:sz="0" w:space="0" w:color="auto"/>
        <w:right w:val="none" w:sz="0" w:space="0" w:color="auto"/>
      </w:divBdr>
    </w:div>
    <w:div w:id="1947422569">
      <w:bodyDiv w:val="1"/>
      <w:marLeft w:val="0"/>
      <w:marRight w:val="0"/>
      <w:marTop w:val="0"/>
      <w:marBottom w:val="0"/>
      <w:divBdr>
        <w:top w:val="none" w:sz="0" w:space="0" w:color="auto"/>
        <w:left w:val="none" w:sz="0" w:space="0" w:color="auto"/>
        <w:bottom w:val="none" w:sz="0" w:space="0" w:color="auto"/>
        <w:right w:val="none" w:sz="0" w:space="0" w:color="auto"/>
      </w:divBdr>
    </w:div>
    <w:div w:id="1947496319">
      <w:bodyDiv w:val="1"/>
      <w:marLeft w:val="0"/>
      <w:marRight w:val="0"/>
      <w:marTop w:val="0"/>
      <w:marBottom w:val="0"/>
      <w:divBdr>
        <w:top w:val="none" w:sz="0" w:space="0" w:color="auto"/>
        <w:left w:val="none" w:sz="0" w:space="0" w:color="auto"/>
        <w:bottom w:val="none" w:sz="0" w:space="0" w:color="auto"/>
        <w:right w:val="none" w:sz="0" w:space="0" w:color="auto"/>
      </w:divBdr>
    </w:div>
    <w:div w:id="1947805413">
      <w:bodyDiv w:val="1"/>
      <w:marLeft w:val="0"/>
      <w:marRight w:val="0"/>
      <w:marTop w:val="0"/>
      <w:marBottom w:val="0"/>
      <w:divBdr>
        <w:top w:val="none" w:sz="0" w:space="0" w:color="auto"/>
        <w:left w:val="none" w:sz="0" w:space="0" w:color="auto"/>
        <w:bottom w:val="none" w:sz="0" w:space="0" w:color="auto"/>
        <w:right w:val="none" w:sz="0" w:space="0" w:color="auto"/>
      </w:divBdr>
    </w:div>
    <w:div w:id="1947807226">
      <w:bodyDiv w:val="1"/>
      <w:marLeft w:val="0"/>
      <w:marRight w:val="0"/>
      <w:marTop w:val="0"/>
      <w:marBottom w:val="0"/>
      <w:divBdr>
        <w:top w:val="none" w:sz="0" w:space="0" w:color="auto"/>
        <w:left w:val="none" w:sz="0" w:space="0" w:color="auto"/>
        <w:bottom w:val="none" w:sz="0" w:space="0" w:color="auto"/>
        <w:right w:val="none" w:sz="0" w:space="0" w:color="auto"/>
      </w:divBdr>
    </w:div>
    <w:div w:id="1947809024">
      <w:bodyDiv w:val="1"/>
      <w:marLeft w:val="0"/>
      <w:marRight w:val="0"/>
      <w:marTop w:val="0"/>
      <w:marBottom w:val="0"/>
      <w:divBdr>
        <w:top w:val="none" w:sz="0" w:space="0" w:color="auto"/>
        <w:left w:val="none" w:sz="0" w:space="0" w:color="auto"/>
        <w:bottom w:val="none" w:sz="0" w:space="0" w:color="auto"/>
        <w:right w:val="none" w:sz="0" w:space="0" w:color="auto"/>
      </w:divBdr>
    </w:div>
    <w:div w:id="1948003184">
      <w:bodyDiv w:val="1"/>
      <w:marLeft w:val="0"/>
      <w:marRight w:val="0"/>
      <w:marTop w:val="0"/>
      <w:marBottom w:val="0"/>
      <w:divBdr>
        <w:top w:val="none" w:sz="0" w:space="0" w:color="auto"/>
        <w:left w:val="none" w:sz="0" w:space="0" w:color="auto"/>
        <w:bottom w:val="none" w:sz="0" w:space="0" w:color="auto"/>
        <w:right w:val="none" w:sz="0" w:space="0" w:color="auto"/>
      </w:divBdr>
    </w:div>
    <w:div w:id="1948076646">
      <w:bodyDiv w:val="1"/>
      <w:marLeft w:val="0"/>
      <w:marRight w:val="0"/>
      <w:marTop w:val="0"/>
      <w:marBottom w:val="0"/>
      <w:divBdr>
        <w:top w:val="none" w:sz="0" w:space="0" w:color="auto"/>
        <w:left w:val="none" w:sz="0" w:space="0" w:color="auto"/>
        <w:bottom w:val="none" w:sz="0" w:space="0" w:color="auto"/>
        <w:right w:val="none" w:sz="0" w:space="0" w:color="auto"/>
      </w:divBdr>
    </w:div>
    <w:div w:id="1948080799">
      <w:bodyDiv w:val="1"/>
      <w:marLeft w:val="0"/>
      <w:marRight w:val="0"/>
      <w:marTop w:val="0"/>
      <w:marBottom w:val="0"/>
      <w:divBdr>
        <w:top w:val="none" w:sz="0" w:space="0" w:color="auto"/>
        <w:left w:val="none" w:sz="0" w:space="0" w:color="auto"/>
        <w:bottom w:val="none" w:sz="0" w:space="0" w:color="auto"/>
        <w:right w:val="none" w:sz="0" w:space="0" w:color="auto"/>
      </w:divBdr>
    </w:div>
    <w:div w:id="1948124492">
      <w:bodyDiv w:val="1"/>
      <w:marLeft w:val="0"/>
      <w:marRight w:val="0"/>
      <w:marTop w:val="0"/>
      <w:marBottom w:val="0"/>
      <w:divBdr>
        <w:top w:val="none" w:sz="0" w:space="0" w:color="auto"/>
        <w:left w:val="none" w:sz="0" w:space="0" w:color="auto"/>
        <w:bottom w:val="none" w:sz="0" w:space="0" w:color="auto"/>
        <w:right w:val="none" w:sz="0" w:space="0" w:color="auto"/>
      </w:divBdr>
    </w:div>
    <w:div w:id="1948148224">
      <w:bodyDiv w:val="1"/>
      <w:marLeft w:val="0"/>
      <w:marRight w:val="0"/>
      <w:marTop w:val="0"/>
      <w:marBottom w:val="0"/>
      <w:divBdr>
        <w:top w:val="none" w:sz="0" w:space="0" w:color="auto"/>
        <w:left w:val="none" w:sz="0" w:space="0" w:color="auto"/>
        <w:bottom w:val="none" w:sz="0" w:space="0" w:color="auto"/>
        <w:right w:val="none" w:sz="0" w:space="0" w:color="auto"/>
      </w:divBdr>
    </w:div>
    <w:div w:id="1948198654">
      <w:bodyDiv w:val="1"/>
      <w:marLeft w:val="0"/>
      <w:marRight w:val="0"/>
      <w:marTop w:val="0"/>
      <w:marBottom w:val="0"/>
      <w:divBdr>
        <w:top w:val="none" w:sz="0" w:space="0" w:color="auto"/>
        <w:left w:val="none" w:sz="0" w:space="0" w:color="auto"/>
        <w:bottom w:val="none" w:sz="0" w:space="0" w:color="auto"/>
        <w:right w:val="none" w:sz="0" w:space="0" w:color="auto"/>
      </w:divBdr>
    </w:div>
    <w:div w:id="1948200251">
      <w:bodyDiv w:val="1"/>
      <w:marLeft w:val="0"/>
      <w:marRight w:val="0"/>
      <w:marTop w:val="0"/>
      <w:marBottom w:val="0"/>
      <w:divBdr>
        <w:top w:val="none" w:sz="0" w:space="0" w:color="auto"/>
        <w:left w:val="none" w:sz="0" w:space="0" w:color="auto"/>
        <w:bottom w:val="none" w:sz="0" w:space="0" w:color="auto"/>
        <w:right w:val="none" w:sz="0" w:space="0" w:color="auto"/>
      </w:divBdr>
    </w:div>
    <w:div w:id="1948393083">
      <w:bodyDiv w:val="1"/>
      <w:marLeft w:val="0"/>
      <w:marRight w:val="0"/>
      <w:marTop w:val="0"/>
      <w:marBottom w:val="0"/>
      <w:divBdr>
        <w:top w:val="none" w:sz="0" w:space="0" w:color="auto"/>
        <w:left w:val="none" w:sz="0" w:space="0" w:color="auto"/>
        <w:bottom w:val="none" w:sz="0" w:space="0" w:color="auto"/>
        <w:right w:val="none" w:sz="0" w:space="0" w:color="auto"/>
      </w:divBdr>
    </w:div>
    <w:div w:id="1948538201">
      <w:bodyDiv w:val="1"/>
      <w:marLeft w:val="0"/>
      <w:marRight w:val="0"/>
      <w:marTop w:val="0"/>
      <w:marBottom w:val="0"/>
      <w:divBdr>
        <w:top w:val="none" w:sz="0" w:space="0" w:color="auto"/>
        <w:left w:val="none" w:sz="0" w:space="0" w:color="auto"/>
        <w:bottom w:val="none" w:sz="0" w:space="0" w:color="auto"/>
        <w:right w:val="none" w:sz="0" w:space="0" w:color="auto"/>
      </w:divBdr>
    </w:div>
    <w:div w:id="1948654840">
      <w:bodyDiv w:val="1"/>
      <w:marLeft w:val="0"/>
      <w:marRight w:val="0"/>
      <w:marTop w:val="0"/>
      <w:marBottom w:val="0"/>
      <w:divBdr>
        <w:top w:val="none" w:sz="0" w:space="0" w:color="auto"/>
        <w:left w:val="none" w:sz="0" w:space="0" w:color="auto"/>
        <w:bottom w:val="none" w:sz="0" w:space="0" w:color="auto"/>
        <w:right w:val="none" w:sz="0" w:space="0" w:color="auto"/>
      </w:divBdr>
    </w:div>
    <w:div w:id="1948655993">
      <w:bodyDiv w:val="1"/>
      <w:marLeft w:val="0"/>
      <w:marRight w:val="0"/>
      <w:marTop w:val="0"/>
      <w:marBottom w:val="0"/>
      <w:divBdr>
        <w:top w:val="none" w:sz="0" w:space="0" w:color="auto"/>
        <w:left w:val="none" w:sz="0" w:space="0" w:color="auto"/>
        <w:bottom w:val="none" w:sz="0" w:space="0" w:color="auto"/>
        <w:right w:val="none" w:sz="0" w:space="0" w:color="auto"/>
      </w:divBdr>
    </w:div>
    <w:div w:id="1949003344">
      <w:bodyDiv w:val="1"/>
      <w:marLeft w:val="0"/>
      <w:marRight w:val="0"/>
      <w:marTop w:val="0"/>
      <w:marBottom w:val="0"/>
      <w:divBdr>
        <w:top w:val="none" w:sz="0" w:space="0" w:color="auto"/>
        <w:left w:val="none" w:sz="0" w:space="0" w:color="auto"/>
        <w:bottom w:val="none" w:sz="0" w:space="0" w:color="auto"/>
        <w:right w:val="none" w:sz="0" w:space="0" w:color="auto"/>
      </w:divBdr>
    </w:div>
    <w:div w:id="1949044568">
      <w:bodyDiv w:val="1"/>
      <w:marLeft w:val="0"/>
      <w:marRight w:val="0"/>
      <w:marTop w:val="0"/>
      <w:marBottom w:val="0"/>
      <w:divBdr>
        <w:top w:val="none" w:sz="0" w:space="0" w:color="auto"/>
        <w:left w:val="none" w:sz="0" w:space="0" w:color="auto"/>
        <w:bottom w:val="none" w:sz="0" w:space="0" w:color="auto"/>
        <w:right w:val="none" w:sz="0" w:space="0" w:color="auto"/>
      </w:divBdr>
    </w:div>
    <w:div w:id="1949121336">
      <w:bodyDiv w:val="1"/>
      <w:marLeft w:val="0"/>
      <w:marRight w:val="0"/>
      <w:marTop w:val="0"/>
      <w:marBottom w:val="0"/>
      <w:divBdr>
        <w:top w:val="none" w:sz="0" w:space="0" w:color="auto"/>
        <w:left w:val="none" w:sz="0" w:space="0" w:color="auto"/>
        <w:bottom w:val="none" w:sz="0" w:space="0" w:color="auto"/>
        <w:right w:val="none" w:sz="0" w:space="0" w:color="auto"/>
      </w:divBdr>
    </w:div>
    <w:div w:id="1949192163">
      <w:bodyDiv w:val="1"/>
      <w:marLeft w:val="0"/>
      <w:marRight w:val="0"/>
      <w:marTop w:val="0"/>
      <w:marBottom w:val="0"/>
      <w:divBdr>
        <w:top w:val="none" w:sz="0" w:space="0" w:color="auto"/>
        <w:left w:val="none" w:sz="0" w:space="0" w:color="auto"/>
        <w:bottom w:val="none" w:sz="0" w:space="0" w:color="auto"/>
        <w:right w:val="none" w:sz="0" w:space="0" w:color="auto"/>
      </w:divBdr>
    </w:div>
    <w:div w:id="1949199361">
      <w:bodyDiv w:val="1"/>
      <w:marLeft w:val="0"/>
      <w:marRight w:val="0"/>
      <w:marTop w:val="0"/>
      <w:marBottom w:val="0"/>
      <w:divBdr>
        <w:top w:val="none" w:sz="0" w:space="0" w:color="auto"/>
        <w:left w:val="none" w:sz="0" w:space="0" w:color="auto"/>
        <w:bottom w:val="none" w:sz="0" w:space="0" w:color="auto"/>
        <w:right w:val="none" w:sz="0" w:space="0" w:color="auto"/>
      </w:divBdr>
    </w:div>
    <w:div w:id="1949385272">
      <w:bodyDiv w:val="1"/>
      <w:marLeft w:val="0"/>
      <w:marRight w:val="0"/>
      <w:marTop w:val="0"/>
      <w:marBottom w:val="0"/>
      <w:divBdr>
        <w:top w:val="none" w:sz="0" w:space="0" w:color="auto"/>
        <w:left w:val="none" w:sz="0" w:space="0" w:color="auto"/>
        <w:bottom w:val="none" w:sz="0" w:space="0" w:color="auto"/>
        <w:right w:val="none" w:sz="0" w:space="0" w:color="auto"/>
      </w:divBdr>
    </w:div>
    <w:div w:id="1949386088">
      <w:bodyDiv w:val="1"/>
      <w:marLeft w:val="0"/>
      <w:marRight w:val="0"/>
      <w:marTop w:val="0"/>
      <w:marBottom w:val="0"/>
      <w:divBdr>
        <w:top w:val="none" w:sz="0" w:space="0" w:color="auto"/>
        <w:left w:val="none" w:sz="0" w:space="0" w:color="auto"/>
        <w:bottom w:val="none" w:sz="0" w:space="0" w:color="auto"/>
        <w:right w:val="none" w:sz="0" w:space="0" w:color="auto"/>
      </w:divBdr>
    </w:div>
    <w:div w:id="1949388230">
      <w:bodyDiv w:val="1"/>
      <w:marLeft w:val="0"/>
      <w:marRight w:val="0"/>
      <w:marTop w:val="0"/>
      <w:marBottom w:val="0"/>
      <w:divBdr>
        <w:top w:val="none" w:sz="0" w:space="0" w:color="auto"/>
        <w:left w:val="none" w:sz="0" w:space="0" w:color="auto"/>
        <w:bottom w:val="none" w:sz="0" w:space="0" w:color="auto"/>
        <w:right w:val="none" w:sz="0" w:space="0" w:color="auto"/>
      </w:divBdr>
    </w:div>
    <w:div w:id="1949463710">
      <w:bodyDiv w:val="1"/>
      <w:marLeft w:val="0"/>
      <w:marRight w:val="0"/>
      <w:marTop w:val="0"/>
      <w:marBottom w:val="0"/>
      <w:divBdr>
        <w:top w:val="none" w:sz="0" w:space="0" w:color="auto"/>
        <w:left w:val="none" w:sz="0" w:space="0" w:color="auto"/>
        <w:bottom w:val="none" w:sz="0" w:space="0" w:color="auto"/>
        <w:right w:val="none" w:sz="0" w:space="0" w:color="auto"/>
      </w:divBdr>
    </w:div>
    <w:div w:id="1949464828">
      <w:bodyDiv w:val="1"/>
      <w:marLeft w:val="0"/>
      <w:marRight w:val="0"/>
      <w:marTop w:val="0"/>
      <w:marBottom w:val="0"/>
      <w:divBdr>
        <w:top w:val="none" w:sz="0" w:space="0" w:color="auto"/>
        <w:left w:val="none" w:sz="0" w:space="0" w:color="auto"/>
        <w:bottom w:val="none" w:sz="0" w:space="0" w:color="auto"/>
        <w:right w:val="none" w:sz="0" w:space="0" w:color="auto"/>
      </w:divBdr>
    </w:div>
    <w:div w:id="1949503420">
      <w:bodyDiv w:val="1"/>
      <w:marLeft w:val="0"/>
      <w:marRight w:val="0"/>
      <w:marTop w:val="0"/>
      <w:marBottom w:val="0"/>
      <w:divBdr>
        <w:top w:val="none" w:sz="0" w:space="0" w:color="auto"/>
        <w:left w:val="none" w:sz="0" w:space="0" w:color="auto"/>
        <w:bottom w:val="none" w:sz="0" w:space="0" w:color="auto"/>
        <w:right w:val="none" w:sz="0" w:space="0" w:color="auto"/>
      </w:divBdr>
    </w:div>
    <w:div w:id="1949505598">
      <w:bodyDiv w:val="1"/>
      <w:marLeft w:val="0"/>
      <w:marRight w:val="0"/>
      <w:marTop w:val="0"/>
      <w:marBottom w:val="0"/>
      <w:divBdr>
        <w:top w:val="none" w:sz="0" w:space="0" w:color="auto"/>
        <w:left w:val="none" w:sz="0" w:space="0" w:color="auto"/>
        <w:bottom w:val="none" w:sz="0" w:space="0" w:color="auto"/>
        <w:right w:val="none" w:sz="0" w:space="0" w:color="auto"/>
      </w:divBdr>
    </w:div>
    <w:div w:id="1949576436">
      <w:bodyDiv w:val="1"/>
      <w:marLeft w:val="0"/>
      <w:marRight w:val="0"/>
      <w:marTop w:val="0"/>
      <w:marBottom w:val="0"/>
      <w:divBdr>
        <w:top w:val="none" w:sz="0" w:space="0" w:color="auto"/>
        <w:left w:val="none" w:sz="0" w:space="0" w:color="auto"/>
        <w:bottom w:val="none" w:sz="0" w:space="0" w:color="auto"/>
        <w:right w:val="none" w:sz="0" w:space="0" w:color="auto"/>
      </w:divBdr>
    </w:div>
    <w:div w:id="1949576612">
      <w:bodyDiv w:val="1"/>
      <w:marLeft w:val="0"/>
      <w:marRight w:val="0"/>
      <w:marTop w:val="0"/>
      <w:marBottom w:val="0"/>
      <w:divBdr>
        <w:top w:val="none" w:sz="0" w:space="0" w:color="auto"/>
        <w:left w:val="none" w:sz="0" w:space="0" w:color="auto"/>
        <w:bottom w:val="none" w:sz="0" w:space="0" w:color="auto"/>
        <w:right w:val="none" w:sz="0" w:space="0" w:color="auto"/>
      </w:divBdr>
    </w:div>
    <w:div w:id="1949700695">
      <w:bodyDiv w:val="1"/>
      <w:marLeft w:val="0"/>
      <w:marRight w:val="0"/>
      <w:marTop w:val="0"/>
      <w:marBottom w:val="0"/>
      <w:divBdr>
        <w:top w:val="none" w:sz="0" w:space="0" w:color="auto"/>
        <w:left w:val="none" w:sz="0" w:space="0" w:color="auto"/>
        <w:bottom w:val="none" w:sz="0" w:space="0" w:color="auto"/>
        <w:right w:val="none" w:sz="0" w:space="0" w:color="auto"/>
      </w:divBdr>
    </w:div>
    <w:div w:id="1949728042">
      <w:bodyDiv w:val="1"/>
      <w:marLeft w:val="0"/>
      <w:marRight w:val="0"/>
      <w:marTop w:val="0"/>
      <w:marBottom w:val="0"/>
      <w:divBdr>
        <w:top w:val="none" w:sz="0" w:space="0" w:color="auto"/>
        <w:left w:val="none" w:sz="0" w:space="0" w:color="auto"/>
        <w:bottom w:val="none" w:sz="0" w:space="0" w:color="auto"/>
        <w:right w:val="none" w:sz="0" w:space="0" w:color="auto"/>
      </w:divBdr>
    </w:div>
    <w:div w:id="1949769824">
      <w:bodyDiv w:val="1"/>
      <w:marLeft w:val="0"/>
      <w:marRight w:val="0"/>
      <w:marTop w:val="0"/>
      <w:marBottom w:val="0"/>
      <w:divBdr>
        <w:top w:val="none" w:sz="0" w:space="0" w:color="auto"/>
        <w:left w:val="none" w:sz="0" w:space="0" w:color="auto"/>
        <w:bottom w:val="none" w:sz="0" w:space="0" w:color="auto"/>
        <w:right w:val="none" w:sz="0" w:space="0" w:color="auto"/>
      </w:divBdr>
    </w:div>
    <w:div w:id="1949775623">
      <w:bodyDiv w:val="1"/>
      <w:marLeft w:val="0"/>
      <w:marRight w:val="0"/>
      <w:marTop w:val="0"/>
      <w:marBottom w:val="0"/>
      <w:divBdr>
        <w:top w:val="none" w:sz="0" w:space="0" w:color="auto"/>
        <w:left w:val="none" w:sz="0" w:space="0" w:color="auto"/>
        <w:bottom w:val="none" w:sz="0" w:space="0" w:color="auto"/>
        <w:right w:val="none" w:sz="0" w:space="0" w:color="auto"/>
      </w:divBdr>
    </w:div>
    <w:div w:id="1949778413">
      <w:bodyDiv w:val="1"/>
      <w:marLeft w:val="0"/>
      <w:marRight w:val="0"/>
      <w:marTop w:val="0"/>
      <w:marBottom w:val="0"/>
      <w:divBdr>
        <w:top w:val="none" w:sz="0" w:space="0" w:color="auto"/>
        <w:left w:val="none" w:sz="0" w:space="0" w:color="auto"/>
        <w:bottom w:val="none" w:sz="0" w:space="0" w:color="auto"/>
        <w:right w:val="none" w:sz="0" w:space="0" w:color="auto"/>
      </w:divBdr>
    </w:div>
    <w:div w:id="1949892995">
      <w:bodyDiv w:val="1"/>
      <w:marLeft w:val="0"/>
      <w:marRight w:val="0"/>
      <w:marTop w:val="0"/>
      <w:marBottom w:val="0"/>
      <w:divBdr>
        <w:top w:val="none" w:sz="0" w:space="0" w:color="auto"/>
        <w:left w:val="none" w:sz="0" w:space="0" w:color="auto"/>
        <w:bottom w:val="none" w:sz="0" w:space="0" w:color="auto"/>
        <w:right w:val="none" w:sz="0" w:space="0" w:color="auto"/>
      </w:divBdr>
    </w:div>
    <w:div w:id="1949895490">
      <w:bodyDiv w:val="1"/>
      <w:marLeft w:val="0"/>
      <w:marRight w:val="0"/>
      <w:marTop w:val="0"/>
      <w:marBottom w:val="0"/>
      <w:divBdr>
        <w:top w:val="none" w:sz="0" w:space="0" w:color="auto"/>
        <w:left w:val="none" w:sz="0" w:space="0" w:color="auto"/>
        <w:bottom w:val="none" w:sz="0" w:space="0" w:color="auto"/>
        <w:right w:val="none" w:sz="0" w:space="0" w:color="auto"/>
      </w:divBdr>
    </w:div>
    <w:div w:id="1950044158">
      <w:bodyDiv w:val="1"/>
      <w:marLeft w:val="0"/>
      <w:marRight w:val="0"/>
      <w:marTop w:val="0"/>
      <w:marBottom w:val="0"/>
      <w:divBdr>
        <w:top w:val="none" w:sz="0" w:space="0" w:color="auto"/>
        <w:left w:val="none" w:sz="0" w:space="0" w:color="auto"/>
        <w:bottom w:val="none" w:sz="0" w:space="0" w:color="auto"/>
        <w:right w:val="none" w:sz="0" w:space="0" w:color="auto"/>
      </w:divBdr>
    </w:div>
    <w:div w:id="1950090359">
      <w:bodyDiv w:val="1"/>
      <w:marLeft w:val="0"/>
      <w:marRight w:val="0"/>
      <w:marTop w:val="0"/>
      <w:marBottom w:val="0"/>
      <w:divBdr>
        <w:top w:val="none" w:sz="0" w:space="0" w:color="auto"/>
        <w:left w:val="none" w:sz="0" w:space="0" w:color="auto"/>
        <w:bottom w:val="none" w:sz="0" w:space="0" w:color="auto"/>
        <w:right w:val="none" w:sz="0" w:space="0" w:color="auto"/>
      </w:divBdr>
    </w:div>
    <w:div w:id="1950233426">
      <w:bodyDiv w:val="1"/>
      <w:marLeft w:val="0"/>
      <w:marRight w:val="0"/>
      <w:marTop w:val="0"/>
      <w:marBottom w:val="0"/>
      <w:divBdr>
        <w:top w:val="none" w:sz="0" w:space="0" w:color="auto"/>
        <w:left w:val="none" w:sz="0" w:space="0" w:color="auto"/>
        <w:bottom w:val="none" w:sz="0" w:space="0" w:color="auto"/>
        <w:right w:val="none" w:sz="0" w:space="0" w:color="auto"/>
      </w:divBdr>
    </w:div>
    <w:div w:id="1950235530">
      <w:bodyDiv w:val="1"/>
      <w:marLeft w:val="0"/>
      <w:marRight w:val="0"/>
      <w:marTop w:val="0"/>
      <w:marBottom w:val="0"/>
      <w:divBdr>
        <w:top w:val="none" w:sz="0" w:space="0" w:color="auto"/>
        <w:left w:val="none" w:sz="0" w:space="0" w:color="auto"/>
        <w:bottom w:val="none" w:sz="0" w:space="0" w:color="auto"/>
        <w:right w:val="none" w:sz="0" w:space="0" w:color="auto"/>
      </w:divBdr>
    </w:div>
    <w:div w:id="1950241044">
      <w:bodyDiv w:val="1"/>
      <w:marLeft w:val="0"/>
      <w:marRight w:val="0"/>
      <w:marTop w:val="0"/>
      <w:marBottom w:val="0"/>
      <w:divBdr>
        <w:top w:val="none" w:sz="0" w:space="0" w:color="auto"/>
        <w:left w:val="none" w:sz="0" w:space="0" w:color="auto"/>
        <w:bottom w:val="none" w:sz="0" w:space="0" w:color="auto"/>
        <w:right w:val="none" w:sz="0" w:space="0" w:color="auto"/>
      </w:divBdr>
    </w:div>
    <w:div w:id="1950311698">
      <w:bodyDiv w:val="1"/>
      <w:marLeft w:val="0"/>
      <w:marRight w:val="0"/>
      <w:marTop w:val="0"/>
      <w:marBottom w:val="0"/>
      <w:divBdr>
        <w:top w:val="none" w:sz="0" w:space="0" w:color="auto"/>
        <w:left w:val="none" w:sz="0" w:space="0" w:color="auto"/>
        <w:bottom w:val="none" w:sz="0" w:space="0" w:color="auto"/>
        <w:right w:val="none" w:sz="0" w:space="0" w:color="auto"/>
      </w:divBdr>
    </w:div>
    <w:div w:id="1950427531">
      <w:bodyDiv w:val="1"/>
      <w:marLeft w:val="0"/>
      <w:marRight w:val="0"/>
      <w:marTop w:val="0"/>
      <w:marBottom w:val="0"/>
      <w:divBdr>
        <w:top w:val="none" w:sz="0" w:space="0" w:color="auto"/>
        <w:left w:val="none" w:sz="0" w:space="0" w:color="auto"/>
        <w:bottom w:val="none" w:sz="0" w:space="0" w:color="auto"/>
        <w:right w:val="none" w:sz="0" w:space="0" w:color="auto"/>
      </w:divBdr>
    </w:div>
    <w:div w:id="1950505559">
      <w:bodyDiv w:val="1"/>
      <w:marLeft w:val="0"/>
      <w:marRight w:val="0"/>
      <w:marTop w:val="0"/>
      <w:marBottom w:val="0"/>
      <w:divBdr>
        <w:top w:val="none" w:sz="0" w:space="0" w:color="auto"/>
        <w:left w:val="none" w:sz="0" w:space="0" w:color="auto"/>
        <w:bottom w:val="none" w:sz="0" w:space="0" w:color="auto"/>
        <w:right w:val="none" w:sz="0" w:space="0" w:color="auto"/>
      </w:divBdr>
    </w:div>
    <w:div w:id="1950697343">
      <w:bodyDiv w:val="1"/>
      <w:marLeft w:val="0"/>
      <w:marRight w:val="0"/>
      <w:marTop w:val="0"/>
      <w:marBottom w:val="0"/>
      <w:divBdr>
        <w:top w:val="none" w:sz="0" w:space="0" w:color="auto"/>
        <w:left w:val="none" w:sz="0" w:space="0" w:color="auto"/>
        <w:bottom w:val="none" w:sz="0" w:space="0" w:color="auto"/>
        <w:right w:val="none" w:sz="0" w:space="0" w:color="auto"/>
      </w:divBdr>
    </w:div>
    <w:div w:id="1950702977">
      <w:bodyDiv w:val="1"/>
      <w:marLeft w:val="0"/>
      <w:marRight w:val="0"/>
      <w:marTop w:val="0"/>
      <w:marBottom w:val="0"/>
      <w:divBdr>
        <w:top w:val="none" w:sz="0" w:space="0" w:color="auto"/>
        <w:left w:val="none" w:sz="0" w:space="0" w:color="auto"/>
        <w:bottom w:val="none" w:sz="0" w:space="0" w:color="auto"/>
        <w:right w:val="none" w:sz="0" w:space="0" w:color="auto"/>
      </w:divBdr>
    </w:div>
    <w:div w:id="1950811816">
      <w:bodyDiv w:val="1"/>
      <w:marLeft w:val="0"/>
      <w:marRight w:val="0"/>
      <w:marTop w:val="0"/>
      <w:marBottom w:val="0"/>
      <w:divBdr>
        <w:top w:val="none" w:sz="0" w:space="0" w:color="auto"/>
        <w:left w:val="none" w:sz="0" w:space="0" w:color="auto"/>
        <w:bottom w:val="none" w:sz="0" w:space="0" w:color="auto"/>
        <w:right w:val="none" w:sz="0" w:space="0" w:color="auto"/>
      </w:divBdr>
    </w:div>
    <w:div w:id="1950812804">
      <w:bodyDiv w:val="1"/>
      <w:marLeft w:val="0"/>
      <w:marRight w:val="0"/>
      <w:marTop w:val="0"/>
      <w:marBottom w:val="0"/>
      <w:divBdr>
        <w:top w:val="none" w:sz="0" w:space="0" w:color="auto"/>
        <w:left w:val="none" w:sz="0" w:space="0" w:color="auto"/>
        <w:bottom w:val="none" w:sz="0" w:space="0" w:color="auto"/>
        <w:right w:val="none" w:sz="0" w:space="0" w:color="auto"/>
      </w:divBdr>
    </w:div>
    <w:div w:id="1950820345">
      <w:bodyDiv w:val="1"/>
      <w:marLeft w:val="0"/>
      <w:marRight w:val="0"/>
      <w:marTop w:val="0"/>
      <w:marBottom w:val="0"/>
      <w:divBdr>
        <w:top w:val="none" w:sz="0" w:space="0" w:color="auto"/>
        <w:left w:val="none" w:sz="0" w:space="0" w:color="auto"/>
        <w:bottom w:val="none" w:sz="0" w:space="0" w:color="auto"/>
        <w:right w:val="none" w:sz="0" w:space="0" w:color="auto"/>
      </w:divBdr>
    </w:div>
    <w:div w:id="1951157198">
      <w:bodyDiv w:val="1"/>
      <w:marLeft w:val="0"/>
      <w:marRight w:val="0"/>
      <w:marTop w:val="0"/>
      <w:marBottom w:val="0"/>
      <w:divBdr>
        <w:top w:val="none" w:sz="0" w:space="0" w:color="auto"/>
        <w:left w:val="none" w:sz="0" w:space="0" w:color="auto"/>
        <w:bottom w:val="none" w:sz="0" w:space="0" w:color="auto"/>
        <w:right w:val="none" w:sz="0" w:space="0" w:color="auto"/>
      </w:divBdr>
    </w:div>
    <w:div w:id="1951161619">
      <w:bodyDiv w:val="1"/>
      <w:marLeft w:val="0"/>
      <w:marRight w:val="0"/>
      <w:marTop w:val="0"/>
      <w:marBottom w:val="0"/>
      <w:divBdr>
        <w:top w:val="none" w:sz="0" w:space="0" w:color="auto"/>
        <w:left w:val="none" w:sz="0" w:space="0" w:color="auto"/>
        <w:bottom w:val="none" w:sz="0" w:space="0" w:color="auto"/>
        <w:right w:val="none" w:sz="0" w:space="0" w:color="auto"/>
      </w:divBdr>
    </w:div>
    <w:div w:id="1951204634">
      <w:bodyDiv w:val="1"/>
      <w:marLeft w:val="0"/>
      <w:marRight w:val="0"/>
      <w:marTop w:val="0"/>
      <w:marBottom w:val="0"/>
      <w:divBdr>
        <w:top w:val="none" w:sz="0" w:space="0" w:color="auto"/>
        <w:left w:val="none" w:sz="0" w:space="0" w:color="auto"/>
        <w:bottom w:val="none" w:sz="0" w:space="0" w:color="auto"/>
        <w:right w:val="none" w:sz="0" w:space="0" w:color="auto"/>
      </w:divBdr>
    </w:div>
    <w:div w:id="1951277604">
      <w:bodyDiv w:val="1"/>
      <w:marLeft w:val="0"/>
      <w:marRight w:val="0"/>
      <w:marTop w:val="0"/>
      <w:marBottom w:val="0"/>
      <w:divBdr>
        <w:top w:val="none" w:sz="0" w:space="0" w:color="auto"/>
        <w:left w:val="none" w:sz="0" w:space="0" w:color="auto"/>
        <w:bottom w:val="none" w:sz="0" w:space="0" w:color="auto"/>
        <w:right w:val="none" w:sz="0" w:space="0" w:color="auto"/>
      </w:divBdr>
    </w:div>
    <w:div w:id="1951400318">
      <w:bodyDiv w:val="1"/>
      <w:marLeft w:val="0"/>
      <w:marRight w:val="0"/>
      <w:marTop w:val="0"/>
      <w:marBottom w:val="0"/>
      <w:divBdr>
        <w:top w:val="none" w:sz="0" w:space="0" w:color="auto"/>
        <w:left w:val="none" w:sz="0" w:space="0" w:color="auto"/>
        <w:bottom w:val="none" w:sz="0" w:space="0" w:color="auto"/>
        <w:right w:val="none" w:sz="0" w:space="0" w:color="auto"/>
      </w:divBdr>
    </w:div>
    <w:div w:id="1951548648">
      <w:bodyDiv w:val="1"/>
      <w:marLeft w:val="0"/>
      <w:marRight w:val="0"/>
      <w:marTop w:val="0"/>
      <w:marBottom w:val="0"/>
      <w:divBdr>
        <w:top w:val="none" w:sz="0" w:space="0" w:color="auto"/>
        <w:left w:val="none" w:sz="0" w:space="0" w:color="auto"/>
        <w:bottom w:val="none" w:sz="0" w:space="0" w:color="auto"/>
        <w:right w:val="none" w:sz="0" w:space="0" w:color="auto"/>
      </w:divBdr>
    </w:div>
    <w:div w:id="1951664722">
      <w:bodyDiv w:val="1"/>
      <w:marLeft w:val="0"/>
      <w:marRight w:val="0"/>
      <w:marTop w:val="0"/>
      <w:marBottom w:val="0"/>
      <w:divBdr>
        <w:top w:val="none" w:sz="0" w:space="0" w:color="auto"/>
        <w:left w:val="none" w:sz="0" w:space="0" w:color="auto"/>
        <w:bottom w:val="none" w:sz="0" w:space="0" w:color="auto"/>
        <w:right w:val="none" w:sz="0" w:space="0" w:color="auto"/>
      </w:divBdr>
    </w:div>
    <w:div w:id="1951740050">
      <w:bodyDiv w:val="1"/>
      <w:marLeft w:val="0"/>
      <w:marRight w:val="0"/>
      <w:marTop w:val="0"/>
      <w:marBottom w:val="0"/>
      <w:divBdr>
        <w:top w:val="none" w:sz="0" w:space="0" w:color="auto"/>
        <w:left w:val="none" w:sz="0" w:space="0" w:color="auto"/>
        <w:bottom w:val="none" w:sz="0" w:space="0" w:color="auto"/>
        <w:right w:val="none" w:sz="0" w:space="0" w:color="auto"/>
      </w:divBdr>
    </w:div>
    <w:div w:id="1951934096">
      <w:bodyDiv w:val="1"/>
      <w:marLeft w:val="0"/>
      <w:marRight w:val="0"/>
      <w:marTop w:val="0"/>
      <w:marBottom w:val="0"/>
      <w:divBdr>
        <w:top w:val="none" w:sz="0" w:space="0" w:color="auto"/>
        <w:left w:val="none" w:sz="0" w:space="0" w:color="auto"/>
        <w:bottom w:val="none" w:sz="0" w:space="0" w:color="auto"/>
        <w:right w:val="none" w:sz="0" w:space="0" w:color="auto"/>
      </w:divBdr>
    </w:div>
    <w:div w:id="1952278354">
      <w:bodyDiv w:val="1"/>
      <w:marLeft w:val="0"/>
      <w:marRight w:val="0"/>
      <w:marTop w:val="0"/>
      <w:marBottom w:val="0"/>
      <w:divBdr>
        <w:top w:val="none" w:sz="0" w:space="0" w:color="auto"/>
        <w:left w:val="none" w:sz="0" w:space="0" w:color="auto"/>
        <w:bottom w:val="none" w:sz="0" w:space="0" w:color="auto"/>
        <w:right w:val="none" w:sz="0" w:space="0" w:color="auto"/>
      </w:divBdr>
    </w:div>
    <w:div w:id="1952471396">
      <w:bodyDiv w:val="1"/>
      <w:marLeft w:val="0"/>
      <w:marRight w:val="0"/>
      <w:marTop w:val="0"/>
      <w:marBottom w:val="0"/>
      <w:divBdr>
        <w:top w:val="none" w:sz="0" w:space="0" w:color="auto"/>
        <w:left w:val="none" w:sz="0" w:space="0" w:color="auto"/>
        <w:bottom w:val="none" w:sz="0" w:space="0" w:color="auto"/>
        <w:right w:val="none" w:sz="0" w:space="0" w:color="auto"/>
      </w:divBdr>
    </w:div>
    <w:div w:id="1952475520">
      <w:bodyDiv w:val="1"/>
      <w:marLeft w:val="0"/>
      <w:marRight w:val="0"/>
      <w:marTop w:val="0"/>
      <w:marBottom w:val="0"/>
      <w:divBdr>
        <w:top w:val="none" w:sz="0" w:space="0" w:color="auto"/>
        <w:left w:val="none" w:sz="0" w:space="0" w:color="auto"/>
        <w:bottom w:val="none" w:sz="0" w:space="0" w:color="auto"/>
        <w:right w:val="none" w:sz="0" w:space="0" w:color="auto"/>
      </w:divBdr>
    </w:div>
    <w:div w:id="1952591566">
      <w:bodyDiv w:val="1"/>
      <w:marLeft w:val="0"/>
      <w:marRight w:val="0"/>
      <w:marTop w:val="0"/>
      <w:marBottom w:val="0"/>
      <w:divBdr>
        <w:top w:val="none" w:sz="0" w:space="0" w:color="auto"/>
        <w:left w:val="none" w:sz="0" w:space="0" w:color="auto"/>
        <w:bottom w:val="none" w:sz="0" w:space="0" w:color="auto"/>
        <w:right w:val="none" w:sz="0" w:space="0" w:color="auto"/>
      </w:divBdr>
    </w:div>
    <w:div w:id="1952593865">
      <w:bodyDiv w:val="1"/>
      <w:marLeft w:val="0"/>
      <w:marRight w:val="0"/>
      <w:marTop w:val="0"/>
      <w:marBottom w:val="0"/>
      <w:divBdr>
        <w:top w:val="none" w:sz="0" w:space="0" w:color="auto"/>
        <w:left w:val="none" w:sz="0" w:space="0" w:color="auto"/>
        <w:bottom w:val="none" w:sz="0" w:space="0" w:color="auto"/>
        <w:right w:val="none" w:sz="0" w:space="0" w:color="auto"/>
      </w:divBdr>
    </w:div>
    <w:div w:id="1952734870">
      <w:bodyDiv w:val="1"/>
      <w:marLeft w:val="0"/>
      <w:marRight w:val="0"/>
      <w:marTop w:val="0"/>
      <w:marBottom w:val="0"/>
      <w:divBdr>
        <w:top w:val="none" w:sz="0" w:space="0" w:color="auto"/>
        <w:left w:val="none" w:sz="0" w:space="0" w:color="auto"/>
        <w:bottom w:val="none" w:sz="0" w:space="0" w:color="auto"/>
        <w:right w:val="none" w:sz="0" w:space="0" w:color="auto"/>
      </w:divBdr>
    </w:div>
    <w:div w:id="1952778638">
      <w:bodyDiv w:val="1"/>
      <w:marLeft w:val="0"/>
      <w:marRight w:val="0"/>
      <w:marTop w:val="0"/>
      <w:marBottom w:val="0"/>
      <w:divBdr>
        <w:top w:val="none" w:sz="0" w:space="0" w:color="auto"/>
        <w:left w:val="none" w:sz="0" w:space="0" w:color="auto"/>
        <w:bottom w:val="none" w:sz="0" w:space="0" w:color="auto"/>
        <w:right w:val="none" w:sz="0" w:space="0" w:color="auto"/>
      </w:divBdr>
    </w:div>
    <w:div w:id="1952854005">
      <w:bodyDiv w:val="1"/>
      <w:marLeft w:val="0"/>
      <w:marRight w:val="0"/>
      <w:marTop w:val="0"/>
      <w:marBottom w:val="0"/>
      <w:divBdr>
        <w:top w:val="none" w:sz="0" w:space="0" w:color="auto"/>
        <w:left w:val="none" w:sz="0" w:space="0" w:color="auto"/>
        <w:bottom w:val="none" w:sz="0" w:space="0" w:color="auto"/>
        <w:right w:val="none" w:sz="0" w:space="0" w:color="auto"/>
      </w:divBdr>
    </w:div>
    <w:div w:id="1952854404">
      <w:bodyDiv w:val="1"/>
      <w:marLeft w:val="0"/>
      <w:marRight w:val="0"/>
      <w:marTop w:val="0"/>
      <w:marBottom w:val="0"/>
      <w:divBdr>
        <w:top w:val="none" w:sz="0" w:space="0" w:color="auto"/>
        <w:left w:val="none" w:sz="0" w:space="0" w:color="auto"/>
        <w:bottom w:val="none" w:sz="0" w:space="0" w:color="auto"/>
        <w:right w:val="none" w:sz="0" w:space="0" w:color="auto"/>
      </w:divBdr>
    </w:div>
    <w:div w:id="1952935215">
      <w:bodyDiv w:val="1"/>
      <w:marLeft w:val="0"/>
      <w:marRight w:val="0"/>
      <w:marTop w:val="0"/>
      <w:marBottom w:val="0"/>
      <w:divBdr>
        <w:top w:val="none" w:sz="0" w:space="0" w:color="auto"/>
        <w:left w:val="none" w:sz="0" w:space="0" w:color="auto"/>
        <w:bottom w:val="none" w:sz="0" w:space="0" w:color="auto"/>
        <w:right w:val="none" w:sz="0" w:space="0" w:color="auto"/>
      </w:divBdr>
    </w:div>
    <w:div w:id="1952937284">
      <w:bodyDiv w:val="1"/>
      <w:marLeft w:val="0"/>
      <w:marRight w:val="0"/>
      <w:marTop w:val="0"/>
      <w:marBottom w:val="0"/>
      <w:divBdr>
        <w:top w:val="none" w:sz="0" w:space="0" w:color="auto"/>
        <w:left w:val="none" w:sz="0" w:space="0" w:color="auto"/>
        <w:bottom w:val="none" w:sz="0" w:space="0" w:color="auto"/>
        <w:right w:val="none" w:sz="0" w:space="0" w:color="auto"/>
      </w:divBdr>
    </w:div>
    <w:div w:id="1952937845">
      <w:bodyDiv w:val="1"/>
      <w:marLeft w:val="0"/>
      <w:marRight w:val="0"/>
      <w:marTop w:val="0"/>
      <w:marBottom w:val="0"/>
      <w:divBdr>
        <w:top w:val="none" w:sz="0" w:space="0" w:color="auto"/>
        <w:left w:val="none" w:sz="0" w:space="0" w:color="auto"/>
        <w:bottom w:val="none" w:sz="0" w:space="0" w:color="auto"/>
        <w:right w:val="none" w:sz="0" w:space="0" w:color="auto"/>
      </w:divBdr>
    </w:div>
    <w:div w:id="1953047451">
      <w:bodyDiv w:val="1"/>
      <w:marLeft w:val="0"/>
      <w:marRight w:val="0"/>
      <w:marTop w:val="0"/>
      <w:marBottom w:val="0"/>
      <w:divBdr>
        <w:top w:val="none" w:sz="0" w:space="0" w:color="auto"/>
        <w:left w:val="none" w:sz="0" w:space="0" w:color="auto"/>
        <w:bottom w:val="none" w:sz="0" w:space="0" w:color="auto"/>
        <w:right w:val="none" w:sz="0" w:space="0" w:color="auto"/>
      </w:divBdr>
    </w:div>
    <w:div w:id="1953124279">
      <w:bodyDiv w:val="1"/>
      <w:marLeft w:val="0"/>
      <w:marRight w:val="0"/>
      <w:marTop w:val="0"/>
      <w:marBottom w:val="0"/>
      <w:divBdr>
        <w:top w:val="none" w:sz="0" w:space="0" w:color="auto"/>
        <w:left w:val="none" w:sz="0" w:space="0" w:color="auto"/>
        <w:bottom w:val="none" w:sz="0" w:space="0" w:color="auto"/>
        <w:right w:val="none" w:sz="0" w:space="0" w:color="auto"/>
      </w:divBdr>
    </w:div>
    <w:div w:id="1953171236">
      <w:bodyDiv w:val="1"/>
      <w:marLeft w:val="0"/>
      <w:marRight w:val="0"/>
      <w:marTop w:val="0"/>
      <w:marBottom w:val="0"/>
      <w:divBdr>
        <w:top w:val="none" w:sz="0" w:space="0" w:color="auto"/>
        <w:left w:val="none" w:sz="0" w:space="0" w:color="auto"/>
        <w:bottom w:val="none" w:sz="0" w:space="0" w:color="auto"/>
        <w:right w:val="none" w:sz="0" w:space="0" w:color="auto"/>
      </w:divBdr>
    </w:div>
    <w:div w:id="1953201859">
      <w:bodyDiv w:val="1"/>
      <w:marLeft w:val="0"/>
      <w:marRight w:val="0"/>
      <w:marTop w:val="0"/>
      <w:marBottom w:val="0"/>
      <w:divBdr>
        <w:top w:val="none" w:sz="0" w:space="0" w:color="auto"/>
        <w:left w:val="none" w:sz="0" w:space="0" w:color="auto"/>
        <w:bottom w:val="none" w:sz="0" w:space="0" w:color="auto"/>
        <w:right w:val="none" w:sz="0" w:space="0" w:color="auto"/>
      </w:divBdr>
    </w:div>
    <w:div w:id="1953245728">
      <w:bodyDiv w:val="1"/>
      <w:marLeft w:val="0"/>
      <w:marRight w:val="0"/>
      <w:marTop w:val="0"/>
      <w:marBottom w:val="0"/>
      <w:divBdr>
        <w:top w:val="none" w:sz="0" w:space="0" w:color="auto"/>
        <w:left w:val="none" w:sz="0" w:space="0" w:color="auto"/>
        <w:bottom w:val="none" w:sz="0" w:space="0" w:color="auto"/>
        <w:right w:val="none" w:sz="0" w:space="0" w:color="auto"/>
      </w:divBdr>
    </w:div>
    <w:div w:id="1953393011">
      <w:bodyDiv w:val="1"/>
      <w:marLeft w:val="0"/>
      <w:marRight w:val="0"/>
      <w:marTop w:val="0"/>
      <w:marBottom w:val="0"/>
      <w:divBdr>
        <w:top w:val="none" w:sz="0" w:space="0" w:color="auto"/>
        <w:left w:val="none" w:sz="0" w:space="0" w:color="auto"/>
        <w:bottom w:val="none" w:sz="0" w:space="0" w:color="auto"/>
        <w:right w:val="none" w:sz="0" w:space="0" w:color="auto"/>
      </w:divBdr>
    </w:div>
    <w:div w:id="1953442155">
      <w:bodyDiv w:val="1"/>
      <w:marLeft w:val="0"/>
      <w:marRight w:val="0"/>
      <w:marTop w:val="0"/>
      <w:marBottom w:val="0"/>
      <w:divBdr>
        <w:top w:val="none" w:sz="0" w:space="0" w:color="auto"/>
        <w:left w:val="none" w:sz="0" w:space="0" w:color="auto"/>
        <w:bottom w:val="none" w:sz="0" w:space="0" w:color="auto"/>
        <w:right w:val="none" w:sz="0" w:space="0" w:color="auto"/>
      </w:divBdr>
    </w:div>
    <w:div w:id="1953510430">
      <w:bodyDiv w:val="1"/>
      <w:marLeft w:val="0"/>
      <w:marRight w:val="0"/>
      <w:marTop w:val="0"/>
      <w:marBottom w:val="0"/>
      <w:divBdr>
        <w:top w:val="none" w:sz="0" w:space="0" w:color="auto"/>
        <w:left w:val="none" w:sz="0" w:space="0" w:color="auto"/>
        <w:bottom w:val="none" w:sz="0" w:space="0" w:color="auto"/>
        <w:right w:val="none" w:sz="0" w:space="0" w:color="auto"/>
      </w:divBdr>
    </w:div>
    <w:div w:id="1953588118">
      <w:bodyDiv w:val="1"/>
      <w:marLeft w:val="0"/>
      <w:marRight w:val="0"/>
      <w:marTop w:val="0"/>
      <w:marBottom w:val="0"/>
      <w:divBdr>
        <w:top w:val="none" w:sz="0" w:space="0" w:color="auto"/>
        <w:left w:val="none" w:sz="0" w:space="0" w:color="auto"/>
        <w:bottom w:val="none" w:sz="0" w:space="0" w:color="auto"/>
        <w:right w:val="none" w:sz="0" w:space="0" w:color="auto"/>
      </w:divBdr>
    </w:div>
    <w:div w:id="1953592426">
      <w:bodyDiv w:val="1"/>
      <w:marLeft w:val="0"/>
      <w:marRight w:val="0"/>
      <w:marTop w:val="0"/>
      <w:marBottom w:val="0"/>
      <w:divBdr>
        <w:top w:val="none" w:sz="0" w:space="0" w:color="auto"/>
        <w:left w:val="none" w:sz="0" w:space="0" w:color="auto"/>
        <w:bottom w:val="none" w:sz="0" w:space="0" w:color="auto"/>
        <w:right w:val="none" w:sz="0" w:space="0" w:color="auto"/>
      </w:divBdr>
    </w:div>
    <w:div w:id="1953635542">
      <w:bodyDiv w:val="1"/>
      <w:marLeft w:val="0"/>
      <w:marRight w:val="0"/>
      <w:marTop w:val="0"/>
      <w:marBottom w:val="0"/>
      <w:divBdr>
        <w:top w:val="none" w:sz="0" w:space="0" w:color="auto"/>
        <w:left w:val="none" w:sz="0" w:space="0" w:color="auto"/>
        <w:bottom w:val="none" w:sz="0" w:space="0" w:color="auto"/>
        <w:right w:val="none" w:sz="0" w:space="0" w:color="auto"/>
      </w:divBdr>
    </w:div>
    <w:div w:id="1953702456">
      <w:bodyDiv w:val="1"/>
      <w:marLeft w:val="0"/>
      <w:marRight w:val="0"/>
      <w:marTop w:val="0"/>
      <w:marBottom w:val="0"/>
      <w:divBdr>
        <w:top w:val="none" w:sz="0" w:space="0" w:color="auto"/>
        <w:left w:val="none" w:sz="0" w:space="0" w:color="auto"/>
        <w:bottom w:val="none" w:sz="0" w:space="0" w:color="auto"/>
        <w:right w:val="none" w:sz="0" w:space="0" w:color="auto"/>
      </w:divBdr>
    </w:div>
    <w:div w:id="1953703498">
      <w:bodyDiv w:val="1"/>
      <w:marLeft w:val="0"/>
      <w:marRight w:val="0"/>
      <w:marTop w:val="0"/>
      <w:marBottom w:val="0"/>
      <w:divBdr>
        <w:top w:val="none" w:sz="0" w:space="0" w:color="auto"/>
        <w:left w:val="none" w:sz="0" w:space="0" w:color="auto"/>
        <w:bottom w:val="none" w:sz="0" w:space="0" w:color="auto"/>
        <w:right w:val="none" w:sz="0" w:space="0" w:color="auto"/>
      </w:divBdr>
    </w:div>
    <w:div w:id="1953825125">
      <w:bodyDiv w:val="1"/>
      <w:marLeft w:val="0"/>
      <w:marRight w:val="0"/>
      <w:marTop w:val="0"/>
      <w:marBottom w:val="0"/>
      <w:divBdr>
        <w:top w:val="none" w:sz="0" w:space="0" w:color="auto"/>
        <w:left w:val="none" w:sz="0" w:space="0" w:color="auto"/>
        <w:bottom w:val="none" w:sz="0" w:space="0" w:color="auto"/>
        <w:right w:val="none" w:sz="0" w:space="0" w:color="auto"/>
      </w:divBdr>
    </w:div>
    <w:div w:id="1953973630">
      <w:bodyDiv w:val="1"/>
      <w:marLeft w:val="0"/>
      <w:marRight w:val="0"/>
      <w:marTop w:val="0"/>
      <w:marBottom w:val="0"/>
      <w:divBdr>
        <w:top w:val="none" w:sz="0" w:space="0" w:color="auto"/>
        <w:left w:val="none" w:sz="0" w:space="0" w:color="auto"/>
        <w:bottom w:val="none" w:sz="0" w:space="0" w:color="auto"/>
        <w:right w:val="none" w:sz="0" w:space="0" w:color="auto"/>
      </w:divBdr>
    </w:div>
    <w:div w:id="1953978014">
      <w:bodyDiv w:val="1"/>
      <w:marLeft w:val="0"/>
      <w:marRight w:val="0"/>
      <w:marTop w:val="0"/>
      <w:marBottom w:val="0"/>
      <w:divBdr>
        <w:top w:val="none" w:sz="0" w:space="0" w:color="auto"/>
        <w:left w:val="none" w:sz="0" w:space="0" w:color="auto"/>
        <w:bottom w:val="none" w:sz="0" w:space="0" w:color="auto"/>
        <w:right w:val="none" w:sz="0" w:space="0" w:color="auto"/>
      </w:divBdr>
    </w:div>
    <w:div w:id="1954049152">
      <w:bodyDiv w:val="1"/>
      <w:marLeft w:val="0"/>
      <w:marRight w:val="0"/>
      <w:marTop w:val="0"/>
      <w:marBottom w:val="0"/>
      <w:divBdr>
        <w:top w:val="none" w:sz="0" w:space="0" w:color="auto"/>
        <w:left w:val="none" w:sz="0" w:space="0" w:color="auto"/>
        <w:bottom w:val="none" w:sz="0" w:space="0" w:color="auto"/>
        <w:right w:val="none" w:sz="0" w:space="0" w:color="auto"/>
      </w:divBdr>
    </w:div>
    <w:div w:id="1954050004">
      <w:bodyDiv w:val="1"/>
      <w:marLeft w:val="0"/>
      <w:marRight w:val="0"/>
      <w:marTop w:val="0"/>
      <w:marBottom w:val="0"/>
      <w:divBdr>
        <w:top w:val="none" w:sz="0" w:space="0" w:color="auto"/>
        <w:left w:val="none" w:sz="0" w:space="0" w:color="auto"/>
        <w:bottom w:val="none" w:sz="0" w:space="0" w:color="auto"/>
        <w:right w:val="none" w:sz="0" w:space="0" w:color="auto"/>
      </w:divBdr>
    </w:div>
    <w:div w:id="1954241656">
      <w:bodyDiv w:val="1"/>
      <w:marLeft w:val="0"/>
      <w:marRight w:val="0"/>
      <w:marTop w:val="0"/>
      <w:marBottom w:val="0"/>
      <w:divBdr>
        <w:top w:val="none" w:sz="0" w:space="0" w:color="auto"/>
        <w:left w:val="none" w:sz="0" w:space="0" w:color="auto"/>
        <w:bottom w:val="none" w:sz="0" w:space="0" w:color="auto"/>
        <w:right w:val="none" w:sz="0" w:space="0" w:color="auto"/>
      </w:divBdr>
    </w:div>
    <w:div w:id="1954246652">
      <w:bodyDiv w:val="1"/>
      <w:marLeft w:val="0"/>
      <w:marRight w:val="0"/>
      <w:marTop w:val="0"/>
      <w:marBottom w:val="0"/>
      <w:divBdr>
        <w:top w:val="none" w:sz="0" w:space="0" w:color="auto"/>
        <w:left w:val="none" w:sz="0" w:space="0" w:color="auto"/>
        <w:bottom w:val="none" w:sz="0" w:space="0" w:color="auto"/>
        <w:right w:val="none" w:sz="0" w:space="0" w:color="auto"/>
      </w:divBdr>
    </w:div>
    <w:div w:id="1954285421">
      <w:bodyDiv w:val="1"/>
      <w:marLeft w:val="0"/>
      <w:marRight w:val="0"/>
      <w:marTop w:val="0"/>
      <w:marBottom w:val="0"/>
      <w:divBdr>
        <w:top w:val="none" w:sz="0" w:space="0" w:color="auto"/>
        <w:left w:val="none" w:sz="0" w:space="0" w:color="auto"/>
        <w:bottom w:val="none" w:sz="0" w:space="0" w:color="auto"/>
        <w:right w:val="none" w:sz="0" w:space="0" w:color="auto"/>
      </w:divBdr>
    </w:div>
    <w:div w:id="1954362082">
      <w:bodyDiv w:val="1"/>
      <w:marLeft w:val="0"/>
      <w:marRight w:val="0"/>
      <w:marTop w:val="0"/>
      <w:marBottom w:val="0"/>
      <w:divBdr>
        <w:top w:val="none" w:sz="0" w:space="0" w:color="auto"/>
        <w:left w:val="none" w:sz="0" w:space="0" w:color="auto"/>
        <w:bottom w:val="none" w:sz="0" w:space="0" w:color="auto"/>
        <w:right w:val="none" w:sz="0" w:space="0" w:color="auto"/>
      </w:divBdr>
    </w:div>
    <w:div w:id="1954362284">
      <w:bodyDiv w:val="1"/>
      <w:marLeft w:val="0"/>
      <w:marRight w:val="0"/>
      <w:marTop w:val="0"/>
      <w:marBottom w:val="0"/>
      <w:divBdr>
        <w:top w:val="none" w:sz="0" w:space="0" w:color="auto"/>
        <w:left w:val="none" w:sz="0" w:space="0" w:color="auto"/>
        <w:bottom w:val="none" w:sz="0" w:space="0" w:color="auto"/>
        <w:right w:val="none" w:sz="0" w:space="0" w:color="auto"/>
      </w:divBdr>
    </w:div>
    <w:div w:id="1954366086">
      <w:bodyDiv w:val="1"/>
      <w:marLeft w:val="0"/>
      <w:marRight w:val="0"/>
      <w:marTop w:val="0"/>
      <w:marBottom w:val="0"/>
      <w:divBdr>
        <w:top w:val="none" w:sz="0" w:space="0" w:color="auto"/>
        <w:left w:val="none" w:sz="0" w:space="0" w:color="auto"/>
        <w:bottom w:val="none" w:sz="0" w:space="0" w:color="auto"/>
        <w:right w:val="none" w:sz="0" w:space="0" w:color="auto"/>
      </w:divBdr>
    </w:div>
    <w:div w:id="1954438919">
      <w:bodyDiv w:val="1"/>
      <w:marLeft w:val="0"/>
      <w:marRight w:val="0"/>
      <w:marTop w:val="0"/>
      <w:marBottom w:val="0"/>
      <w:divBdr>
        <w:top w:val="none" w:sz="0" w:space="0" w:color="auto"/>
        <w:left w:val="none" w:sz="0" w:space="0" w:color="auto"/>
        <w:bottom w:val="none" w:sz="0" w:space="0" w:color="auto"/>
        <w:right w:val="none" w:sz="0" w:space="0" w:color="auto"/>
      </w:divBdr>
    </w:div>
    <w:div w:id="1954508291">
      <w:bodyDiv w:val="1"/>
      <w:marLeft w:val="0"/>
      <w:marRight w:val="0"/>
      <w:marTop w:val="0"/>
      <w:marBottom w:val="0"/>
      <w:divBdr>
        <w:top w:val="none" w:sz="0" w:space="0" w:color="auto"/>
        <w:left w:val="none" w:sz="0" w:space="0" w:color="auto"/>
        <w:bottom w:val="none" w:sz="0" w:space="0" w:color="auto"/>
        <w:right w:val="none" w:sz="0" w:space="0" w:color="auto"/>
      </w:divBdr>
    </w:div>
    <w:div w:id="1954551614">
      <w:bodyDiv w:val="1"/>
      <w:marLeft w:val="0"/>
      <w:marRight w:val="0"/>
      <w:marTop w:val="0"/>
      <w:marBottom w:val="0"/>
      <w:divBdr>
        <w:top w:val="none" w:sz="0" w:space="0" w:color="auto"/>
        <w:left w:val="none" w:sz="0" w:space="0" w:color="auto"/>
        <w:bottom w:val="none" w:sz="0" w:space="0" w:color="auto"/>
        <w:right w:val="none" w:sz="0" w:space="0" w:color="auto"/>
      </w:divBdr>
    </w:div>
    <w:div w:id="1954559544">
      <w:bodyDiv w:val="1"/>
      <w:marLeft w:val="0"/>
      <w:marRight w:val="0"/>
      <w:marTop w:val="0"/>
      <w:marBottom w:val="0"/>
      <w:divBdr>
        <w:top w:val="none" w:sz="0" w:space="0" w:color="auto"/>
        <w:left w:val="none" w:sz="0" w:space="0" w:color="auto"/>
        <w:bottom w:val="none" w:sz="0" w:space="0" w:color="auto"/>
        <w:right w:val="none" w:sz="0" w:space="0" w:color="auto"/>
      </w:divBdr>
    </w:div>
    <w:div w:id="1954632561">
      <w:bodyDiv w:val="1"/>
      <w:marLeft w:val="0"/>
      <w:marRight w:val="0"/>
      <w:marTop w:val="0"/>
      <w:marBottom w:val="0"/>
      <w:divBdr>
        <w:top w:val="none" w:sz="0" w:space="0" w:color="auto"/>
        <w:left w:val="none" w:sz="0" w:space="0" w:color="auto"/>
        <w:bottom w:val="none" w:sz="0" w:space="0" w:color="auto"/>
        <w:right w:val="none" w:sz="0" w:space="0" w:color="auto"/>
      </w:divBdr>
    </w:div>
    <w:div w:id="1954633630">
      <w:bodyDiv w:val="1"/>
      <w:marLeft w:val="0"/>
      <w:marRight w:val="0"/>
      <w:marTop w:val="0"/>
      <w:marBottom w:val="0"/>
      <w:divBdr>
        <w:top w:val="none" w:sz="0" w:space="0" w:color="auto"/>
        <w:left w:val="none" w:sz="0" w:space="0" w:color="auto"/>
        <w:bottom w:val="none" w:sz="0" w:space="0" w:color="auto"/>
        <w:right w:val="none" w:sz="0" w:space="0" w:color="auto"/>
      </w:divBdr>
    </w:div>
    <w:div w:id="1954706353">
      <w:bodyDiv w:val="1"/>
      <w:marLeft w:val="0"/>
      <w:marRight w:val="0"/>
      <w:marTop w:val="0"/>
      <w:marBottom w:val="0"/>
      <w:divBdr>
        <w:top w:val="none" w:sz="0" w:space="0" w:color="auto"/>
        <w:left w:val="none" w:sz="0" w:space="0" w:color="auto"/>
        <w:bottom w:val="none" w:sz="0" w:space="0" w:color="auto"/>
        <w:right w:val="none" w:sz="0" w:space="0" w:color="auto"/>
      </w:divBdr>
    </w:div>
    <w:div w:id="1954894479">
      <w:bodyDiv w:val="1"/>
      <w:marLeft w:val="0"/>
      <w:marRight w:val="0"/>
      <w:marTop w:val="0"/>
      <w:marBottom w:val="0"/>
      <w:divBdr>
        <w:top w:val="none" w:sz="0" w:space="0" w:color="auto"/>
        <w:left w:val="none" w:sz="0" w:space="0" w:color="auto"/>
        <w:bottom w:val="none" w:sz="0" w:space="0" w:color="auto"/>
        <w:right w:val="none" w:sz="0" w:space="0" w:color="auto"/>
      </w:divBdr>
    </w:div>
    <w:div w:id="1954941666">
      <w:bodyDiv w:val="1"/>
      <w:marLeft w:val="0"/>
      <w:marRight w:val="0"/>
      <w:marTop w:val="0"/>
      <w:marBottom w:val="0"/>
      <w:divBdr>
        <w:top w:val="none" w:sz="0" w:space="0" w:color="auto"/>
        <w:left w:val="none" w:sz="0" w:space="0" w:color="auto"/>
        <w:bottom w:val="none" w:sz="0" w:space="0" w:color="auto"/>
        <w:right w:val="none" w:sz="0" w:space="0" w:color="auto"/>
      </w:divBdr>
    </w:div>
    <w:div w:id="1955016225">
      <w:bodyDiv w:val="1"/>
      <w:marLeft w:val="0"/>
      <w:marRight w:val="0"/>
      <w:marTop w:val="0"/>
      <w:marBottom w:val="0"/>
      <w:divBdr>
        <w:top w:val="none" w:sz="0" w:space="0" w:color="auto"/>
        <w:left w:val="none" w:sz="0" w:space="0" w:color="auto"/>
        <w:bottom w:val="none" w:sz="0" w:space="0" w:color="auto"/>
        <w:right w:val="none" w:sz="0" w:space="0" w:color="auto"/>
      </w:divBdr>
    </w:div>
    <w:div w:id="1955087995">
      <w:bodyDiv w:val="1"/>
      <w:marLeft w:val="0"/>
      <w:marRight w:val="0"/>
      <w:marTop w:val="0"/>
      <w:marBottom w:val="0"/>
      <w:divBdr>
        <w:top w:val="none" w:sz="0" w:space="0" w:color="auto"/>
        <w:left w:val="none" w:sz="0" w:space="0" w:color="auto"/>
        <w:bottom w:val="none" w:sz="0" w:space="0" w:color="auto"/>
        <w:right w:val="none" w:sz="0" w:space="0" w:color="auto"/>
      </w:divBdr>
    </w:div>
    <w:div w:id="1955092308">
      <w:bodyDiv w:val="1"/>
      <w:marLeft w:val="0"/>
      <w:marRight w:val="0"/>
      <w:marTop w:val="0"/>
      <w:marBottom w:val="0"/>
      <w:divBdr>
        <w:top w:val="none" w:sz="0" w:space="0" w:color="auto"/>
        <w:left w:val="none" w:sz="0" w:space="0" w:color="auto"/>
        <w:bottom w:val="none" w:sz="0" w:space="0" w:color="auto"/>
        <w:right w:val="none" w:sz="0" w:space="0" w:color="auto"/>
      </w:divBdr>
    </w:div>
    <w:div w:id="1955287683">
      <w:bodyDiv w:val="1"/>
      <w:marLeft w:val="0"/>
      <w:marRight w:val="0"/>
      <w:marTop w:val="0"/>
      <w:marBottom w:val="0"/>
      <w:divBdr>
        <w:top w:val="none" w:sz="0" w:space="0" w:color="auto"/>
        <w:left w:val="none" w:sz="0" w:space="0" w:color="auto"/>
        <w:bottom w:val="none" w:sz="0" w:space="0" w:color="auto"/>
        <w:right w:val="none" w:sz="0" w:space="0" w:color="auto"/>
      </w:divBdr>
    </w:div>
    <w:div w:id="1955362409">
      <w:bodyDiv w:val="1"/>
      <w:marLeft w:val="0"/>
      <w:marRight w:val="0"/>
      <w:marTop w:val="0"/>
      <w:marBottom w:val="0"/>
      <w:divBdr>
        <w:top w:val="none" w:sz="0" w:space="0" w:color="auto"/>
        <w:left w:val="none" w:sz="0" w:space="0" w:color="auto"/>
        <w:bottom w:val="none" w:sz="0" w:space="0" w:color="auto"/>
        <w:right w:val="none" w:sz="0" w:space="0" w:color="auto"/>
      </w:divBdr>
    </w:div>
    <w:div w:id="1955625539">
      <w:bodyDiv w:val="1"/>
      <w:marLeft w:val="0"/>
      <w:marRight w:val="0"/>
      <w:marTop w:val="0"/>
      <w:marBottom w:val="0"/>
      <w:divBdr>
        <w:top w:val="none" w:sz="0" w:space="0" w:color="auto"/>
        <w:left w:val="none" w:sz="0" w:space="0" w:color="auto"/>
        <w:bottom w:val="none" w:sz="0" w:space="0" w:color="auto"/>
        <w:right w:val="none" w:sz="0" w:space="0" w:color="auto"/>
      </w:divBdr>
    </w:div>
    <w:div w:id="1955672841">
      <w:bodyDiv w:val="1"/>
      <w:marLeft w:val="0"/>
      <w:marRight w:val="0"/>
      <w:marTop w:val="0"/>
      <w:marBottom w:val="0"/>
      <w:divBdr>
        <w:top w:val="none" w:sz="0" w:space="0" w:color="auto"/>
        <w:left w:val="none" w:sz="0" w:space="0" w:color="auto"/>
        <w:bottom w:val="none" w:sz="0" w:space="0" w:color="auto"/>
        <w:right w:val="none" w:sz="0" w:space="0" w:color="auto"/>
      </w:divBdr>
    </w:div>
    <w:div w:id="1955674934">
      <w:bodyDiv w:val="1"/>
      <w:marLeft w:val="0"/>
      <w:marRight w:val="0"/>
      <w:marTop w:val="0"/>
      <w:marBottom w:val="0"/>
      <w:divBdr>
        <w:top w:val="none" w:sz="0" w:space="0" w:color="auto"/>
        <w:left w:val="none" w:sz="0" w:space="0" w:color="auto"/>
        <w:bottom w:val="none" w:sz="0" w:space="0" w:color="auto"/>
        <w:right w:val="none" w:sz="0" w:space="0" w:color="auto"/>
      </w:divBdr>
    </w:div>
    <w:div w:id="1955744201">
      <w:bodyDiv w:val="1"/>
      <w:marLeft w:val="0"/>
      <w:marRight w:val="0"/>
      <w:marTop w:val="0"/>
      <w:marBottom w:val="0"/>
      <w:divBdr>
        <w:top w:val="none" w:sz="0" w:space="0" w:color="auto"/>
        <w:left w:val="none" w:sz="0" w:space="0" w:color="auto"/>
        <w:bottom w:val="none" w:sz="0" w:space="0" w:color="auto"/>
        <w:right w:val="none" w:sz="0" w:space="0" w:color="auto"/>
      </w:divBdr>
    </w:div>
    <w:div w:id="1955818828">
      <w:bodyDiv w:val="1"/>
      <w:marLeft w:val="0"/>
      <w:marRight w:val="0"/>
      <w:marTop w:val="0"/>
      <w:marBottom w:val="0"/>
      <w:divBdr>
        <w:top w:val="none" w:sz="0" w:space="0" w:color="auto"/>
        <w:left w:val="none" w:sz="0" w:space="0" w:color="auto"/>
        <w:bottom w:val="none" w:sz="0" w:space="0" w:color="auto"/>
        <w:right w:val="none" w:sz="0" w:space="0" w:color="auto"/>
      </w:divBdr>
    </w:div>
    <w:div w:id="1955862492">
      <w:bodyDiv w:val="1"/>
      <w:marLeft w:val="0"/>
      <w:marRight w:val="0"/>
      <w:marTop w:val="0"/>
      <w:marBottom w:val="0"/>
      <w:divBdr>
        <w:top w:val="none" w:sz="0" w:space="0" w:color="auto"/>
        <w:left w:val="none" w:sz="0" w:space="0" w:color="auto"/>
        <w:bottom w:val="none" w:sz="0" w:space="0" w:color="auto"/>
        <w:right w:val="none" w:sz="0" w:space="0" w:color="auto"/>
      </w:divBdr>
    </w:div>
    <w:div w:id="1955940405">
      <w:bodyDiv w:val="1"/>
      <w:marLeft w:val="0"/>
      <w:marRight w:val="0"/>
      <w:marTop w:val="0"/>
      <w:marBottom w:val="0"/>
      <w:divBdr>
        <w:top w:val="none" w:sz="0" w:space="0" w:color="auto"/>
        <w:left w:val="none" w:sz="0" w:space="0" w:color="auto"/>
        <w:bottom w:val="none" w:sz="0" w:space="0" w:color="auto"/>
        <w:right w:val="none" w:sz="0" w:space="0" w:color="auto"/>
      </w:divBdr>
    </w:div>
    <w:div w:id="1955941532">
      <w:bodyDiv w:val="1"/>
      <w:marLeft w:val="0"/>
      <w:marRight w:val="0"/>
      <w:marTop w:val="0"/>
      <w:marBottom w:val="0"/>
      <w:divBdr>
        <w:top w:val="none" w:sz="0" w:space="0" w:color="auto"/>
        <w:left w:val="none" w:sz="0" w:space="0" w:color="auto"/>
        <w:bottom w:val="none" w:sz="0" w:space="0" w:color="auto"/>
        <w:right w:val="none" w:sz="0" w:space="0" w:color="auto"/>
      </w:divBdr>
    </w:div>
    <w:div w:id="1955943315">
      <w:bodyDiv w:val="1"/>
      <w:marLeft w:val="0"/>
      <w:marRight w:val="0"/>
      <w:marTop w:val="0"/>
      <w:marBottom w:val="0"/>
      <w:divBdr>
        <w:top w:val="none" w:sz="0" w:space="0" w:color="auto"/>
        <w:left w:val="none" w:sz="0" w:space="0" w:color="auto"/>
        <w:bottom w:val="none" w:sz="0" w:space="0" w:color="auto"/>
        <w:right w:val="none" w:sz="0" w:space="0" w:color="auto"/>
      </w:divBdr>
    </w:div>
    <w:div w:id="1956014699">
      <w:bodyDiv w:val="1"/>
      <w:marLeft w:val="0"/>
      <w:marRight w:val="0"/>
      <w:marTop w:val="0"/>
      <w:marBottom w:val="0"/>
      <w:divBdr>
        <w:top w:val="none" w:sz="0" w:space="0" w:color="auto"/>
        <w:left w:val="none" w:sz="0" w:space="0" w:color="auto"/>
        <w:bottom w:val="none" w:sz="0" w:space="0" w:color="auto"/>
        <w:right w:val="none" w:sz="0" w:space="0" w:color="auto"/>
      </w:divBdr>
    </w:div>
    <w:div w:id="1956016140">
      <w:bodyDiv w:val="1"/>
      <w:marLeft w:val="0"/>
      <w:marRight w:val="0"/>
      <w:marTop w:val="0"/>
      <w:marBottom w:val="0"/>
      <w:divBdr>
        <w:top w:val="none" w:sz="0" w:space="0" w:color="auto"/>
        <w:left w:val="none" w:sz="0" w:space="0" w:color="auto"/>
        <w:bottom w:val="none" w:sz="0" w:space="0" w:color="auto"/>
        <w:right w:val="none" w:sz="0" w:space="0" w:color="auto"/>
      </w:divBdr>
    </w:div>
    <w:div w:id="1956280359">
      <w:bodyDiv w:val="1"/>
      <w:marLeft w:val="0"/>
      <w:marRight w:val="0"/>
      <w:marTop w:val="0"/>
      <w:marBottom w:val="0"/>
      <w:divBdr>
        <w:top w:val="none" w:sz="0" w:space="0" w:color="auto"/>
        <w:left w:val="none" w:sz="0" w:space="0" w:color="auto"/>
        <w:bottom w:val="none" w:sz="0" w:space="0" w:color="auto"/>
        <w:right w:val="none" w:sz="0" w:space="0" w:color="auto"/>
      </w:divBdr>
    </w:div>
    <w:div w:id="1956324889">
      <w:bodyDiv w:val="1"/>
      <w:marLeft w:val="0"/>
      <w:marRight w:val="0"/>
      <w:marTop w:val="0"/>
      <w:marBottom w:val="0"/>
      <w:divBdr>
        <w:top w:val="none" w:sz="0" w:space="0" w:color="auto"/>
        <w:left w:val="none" w:sz="0" w:space="0" w:color="auto"/>
        <w:bottom w:val="none" w:sz="0" w:space="0" w:color="auto"/>
        <w:right w:val="none" w:sz="0" w:space="0" w:color="auto"/>
      </w:divBdr>
    </w:div>
    <w:div w:id="1956406828">
      <w:bodyDiv w:val="1"/>
      <w:marLeft w:val="0"/>
      <w:marRight w:val="0"/>
      <w:marTop w:val="0"/>
      <w:marBottom w:val="0"/>
      <w:divBdr>
        <w:top w:val="none" w:sz="0" w:space="0" w:color="auto"/>
        <w:left w:val="none" w:sz="0" w:space="0" w:color="auto"/>
        <w:bottom w:val="none" w:sz="0" w:space="0" w:color="auto"/>
        <w:right w:val="none" w:sz="0" w:space="0" w:color="auto"/>
      </w:divBdr>
    </w:div>
    <w:div w:id="1956595928">
      <w:bodyDiv w:val="1"/>
      <w:marLeft w:val="0"/>
      <w:marRight w:val="0"/>
      <w:marTop w:val="0"/>
      <w:marBottom w:val="0"/>
      <w:divBdr>
        <w:top w:val="none" w:sz="0" w:space="0" w:color="auto"/>
        <w:left w:val="none" w:sz="0" w:space="0" w:color="auto"/>
        <w:bottom w:val="none" w:sz="0" w:space="0" w:color="auto"/>
        <w:right w:val="none" w:sz="0" w:space="0" w:color="auto"/>
      </w:divBdr>
    </w:div>
    <w:div w:id="1956672961">
      <w:bodyDiv w:val="1"/>
      <w:marLeft w:val="0"/>
      <w:marRight w:val="0"/>
      <w:marTop w:val="0"/>
      <w:marBottom w:val="0"/>
      <w:divBdr>
        <w:top w:val="none" w:sz="0" w:space="0" w:color="auto"/>
        <w:left w:val="none" w:sz="0" w:space="0" w:color="auto"/>
        <w:bottom w:val="none" w:sz="0" w:space="0" w:color="auto"/>
        <w:right w:val="none" w:sz="0" w:space="0" w:color="auto"/>
      </w:divBdr>
    </w:div>
    <w:div w:id="1956717710">
      <w:bodyDiv w:val="1"/>
      <w:marLeft w:val="0"/>
      <w:marRight w:val="0"/>
      <w:marTop w:val="0"/>
      <w:marBottom w:val="0"/>
      <w:divBdr>
        <w:top w:val="none" w:sz="0" w:space="0" w:color="auto"/>
        <w:left w:val="none" w:sz="0" w:space="0" w:color="auto"/>
        <w:bottom w:val="none" w:sz="0" w:space="0" w:color="auto"/>
        <w:right w:val="none" w:sz="0" w:space="0" w:color="auto"/>
      </w:divBdr>
    </w:div>
    <w:div w:id="1956977659">
      <w:bodyDiv w:val="1"/>
      <w:marLeft w:val="0"/>
      <w:marRight w:val="0"/>
      <w:marTop w:val="0"/>
      <w:marBottom w:val="0"/>
      <w:divBdr>
        <w:top w:val="none" w:sz="0" w:space="0" w:color="auto"/>
        <w:left w:val="none" w:sz="0" w:space="0" w:color="auto"/>
        <w:bottom w:val="none" w:sz="0" w:space="0" w:color="auto"/>
        <w:right w:val="none" w:sz="0" w:space="0" w:color="auto"/>
      </w:divBdr>
    </w:div>
    <w:div w:id="1957057784">
      <w:bodyDiv w:val="1"/>
      <w:marLeft w:val="0"/>
      <w:marRight w:val="0"/>
      <w:marTop w:val="0"/>
      <w:marBottom w:val="0"/>
      <w:divBdr>
        <w:top w:val="none" w:sz="0" w:space="0" w:color="auto"/>
        <w:left w:val="none" w:sz="0" w:space="0" w:color="auto"/>
        <w:bottom w:val="none" w:sz="0" w:space="0" w:color="auto"/>
        <w:right w:val="none" w:sz="0" w:space="0" w:color="auto"/>
      </w:divBdr>
    </w:div>
    <w:div w:id="1957060661">
      <w:bodyDiv w:val="1"/>
      <w:marLeft w:val="0"/>
      <w:marRight w:val="0"/>
      <w:marTop w:val="0"/>
      <w:marBottom w:val="0"/>
      <w:divBdr>
        <w:top w:val="none" w:sz="0" w:space="0" w:color="auto"/>
        <w:left w:val="none" w:sz="0" w:space="0" w:color="auto"/>
        <w:bottom w:val="none" w:sz="0" w:space="0" w:color="auto"/>
        <w:right w:val="none" w:sz="0" w:space="0" w:color="auto"/>
      </w:divBdr>
    </w:div>
    <w:div w:id="1957061054">
      <w:bodyDiv w:val="1"/>
      <w:marLeft w:val="0"/>
      <w:marRight w:val="0"/>
      <w:marTop w:val="0"/>
      <w:marBottom w:val="0"/>
      <w:divBdr>
        <w:top w:val="none" w:sz="0" w:space="0" w:color="auto"/>
        <w:left w:val="none" w:sz="0" w:space="0" w:color="auto"/>
        <w:bottom w:val="none" w:sz="0" w:space="0" w:color="auto"/>
        <w:right w:val="none" w:sz="0" w:space="0" w:color="auto"/>
      </w:divBdr>
    </w:div>
    <w:div w:id="1957061207">
      <w:bodyDiv w:val="1"/>
      <w:marLeft w:val="0"/>
      <w:marRight w:val="0"/>
      <w:marTop w:val="0"/>
      <w:marBottom w:val="0"/>
      <w:divBdr>
        <w:top w:val="none" w:sz="0" w:space="0" w:color="auto"/>
        <w:left w:val="none" w:sz="0" w:space="0" w:color="auto"/>
        <w:bottom w:val="none" w:sz="0" w:space="0" w:color="auto"/>
        <w:right w:val="none" w:sz="0" w:space="0" w:color="auto"/>
      </w:divBdr>
    </w:div>
    <w:div w:id="1957173917">
      <w:bodyDiv w:val="1"/>
      <w:marLeft w:val="0"/>
      <w:marRight w:val="0"/>
      <w:marTop w:val="0"/>
      <w:marBottom w:val="0"/>
      <w:divBdr>
        <w:top w:val="none" w:sz="0" w:space="0" w:color="auto"/>
        <w:left w:val="none" w:sz="0" w:space="0" w:color="auto"/>
        <w:bottom w:val="none" w:sz="0" w:space="0" w:color="auto"/>
        <w:right w:val="none" w:sz="0" w:space="0" w:color="auto"/>
      </w:divBdr>
    </w:div>
    <w:div w:id="1957180269">
      <w:bodyDiv w:val="1"/>
      <w:marLeft w:val="0"/>
      <w:marRight w:val="0"/>
      <w:marTop w:val="0"/>
      <w:marBottom w:val="0"/>
      <w:divBdr>
        <w:top w:val="none" w:sz="0" w:space="0" w:color="auto"/>
        <w:left w:val="none" w:sz="0" w:space="0" w:color="auto"/>
        <w:bottom w:val="none" w:sz="0" w:space="0" w:color="auto"/>
        <w:right w:val="none" w:sz="0" w:space="0" w:color="auto"/>
      </w:divBdr>
    </w:div>
    <w:div w:id="1957248426">
      <w:bodyDiv w:val="1"/>
      <w:marLeft w:val="0"/>
      <w:marRight w:val="0"/>
      <w:marTop w:val="0"/>
      <w:marBottom w:val="0"/>
      <w:divBdr>
        <w:top w:val="none" w:sz="0" w:space="0" w:color="auto"/>
        <w:left w:val="none" w:sz="0" w:space="0" w:color="auto"/>
        <w:bottom w:val="none" w:sz="0" w:space="0" w:color="auto"/>
        <w:right w:val="none" w:sz="0" w:space="0" w:color="auto"/>
      </w:divBdr>
    </w:div>
    <w:div w:id="1957249587">
      <w:bodyDiv w:val="1"/>
      <w:marLeft w:val="0"/>
      <w:marRight w:val="0"/>
      <w:marTop w:val="0"/>
      <w:marBottom w:val="0"/>
      <w:divBdr>
        <w:top w:val="none" w:sz="0" w:space="0" w:color="auto"/>
        <w:left w:val="none" w:sz="0" w:space="0" w:color="auto"/>
        <w:bottom w:val="none" w:sz="0" w:space="0" w:color="auto"/>
        <w:right w:val="none" w:sz="0" w:space="0" w:color="auto"/>
      </w:divBdr>
    </w:div>
    <w:div w:id="1957373800">
      <w:bodyDiv w:val="1"/>
      <w:marLeft w:val="0"/>
      <w:marRight w:val="0"/>
      <w:marTop w:val="0"/>
      <w:marBottom w:val="0"/>
      <w:divBdr>
        <w:top w:val="none" w:sz="0" w:space="0" w:color="auto"/>
        <w:left w:val="none" w:sz="0" w:space="0" w:color="auto"/>
        <w:bottom w:val="none" w:sz="0" w:space="0" w:color="auto"/>
        <w:right w:val="none" w:sz="0" w:space="0" w:color="auto"/>
      </w:divBdr>
    </w:div>
    <w:div w:id="1957712394">
      <w:bodyDiv w:val="1"/>
      <w:marLeft w:val="0"/>
      <w:marRight w:val="0"/>
      <w:marTop w:val="0"/>
      <w:marBottom w:val="0"/>
      <w:divBdr>
        <w:top w:val="none" w:sz="0" w:space="0" w:color="auto"/>
        <w:left w:val="none" w:sz="0" w:space="0" w:color="auto"/>
        <w:bottom w:val="none" w:sz="0" w:space="0" w:color="auto"/>
        <w:right w:val="none" w:sz="0" w:space="0" w:color="auto"/>
      </w:divBdr>
    </w:div>
    <w:div w:id="1957714672">
      <w:bodyDiv w:val="1"/>
      <w:marLeft w:val="0"/>
      <w:marRight w:val="0"/>
      <w:marTop w:val="0"/>
      <w:marBottom w:val="0"/>
      <w:divBdr>
        <w:top w:val="none" w:sz="0" w:space="0" w:color="auto"/>
        <w:left w:val="none" w:sz="0" w:space="0" w:color="auto"/>
        <w:bottom w:val="none" w:sz="0" w:space="0" w:color="auto"/>
        <w:right w:val="none" w:sz="0" w:space="0" w:color="auto"/>
      </w:divBdr>
    </w:div>
    <w:div w:id="1957829839">
      <w:bodyDiv w:val="1"/>
      <w:marLeft w:val="0"/>
      <w:marRight w:val="0"/>
      <w:marTop w:val="0"/>
      <w:marBottom w:val="0"/>
      <w:divBdr>
        <w:top w:val="none" w:sz="0" w:space="0" w:color="auto"/>
        <w:left w:val="none" w:sz="0" w:space="0" w:color="auto"/>
        <w:bottom w:val="none" w:sz="0" w:space="0" w:color="auto"/>
        <w:right w:val="none" w:sz="0" w:space="0" w:color="auto"/>
      </w:divBdr>
    </w:div>
    <w:div w:id="1958099707">
      <w:bodyDiv w:val="1"/>
      <w:marLeft w:val="0"/>
      <w:marRight w:val="0"/>
      <w:marTop w:val="0"/>
      <w:marBottom w:val="0"/>
      <w:divBdr>
        <w:top w:val="none" w:sz="0" w:space="0" w:color="auto"/>
        <w:left w:val="none" w:sz="0" w:space="0" w:color="auto"/>
        <w:bottom w:val="none" w:sz="0" w:space="0" w:color="auto"/>
        <w:right w:val="none" w:sz="0" w:space="0" w:color="auto"/>
      </w:divBdr>
    </w:div>
    <w:div w:id="1958102688">
      <w:bodyDiv w:val="1"/>
      <w:marLeft w:val="0"/>
      <w:marRight w:val="0"/>
      <w:marTop w:val="0"/>
      <w:marBottom w:val="0"/>
      <w:divBdr>
        <w:top w:val="none" w:sz="0" w:space="0" w:color="auto"/>
        <w:left w:val="none" w:sz="0" w:space="0" w:color="auto"/>
        <w:bottom w:val="none" w:sz="0" w:space="0" w:color="auto"/>
        <w:right w:val="none" w:sz="0" w:space="0" w:color="auto"/>
      </w:divBdr>
    </w:div>
    <w:div w:id="1958173202">
      <w:bodyDiv w:val="1"/>
      <w:marLeft w:val="0"/>
      <w:marRight w:val="0"/>
      <w:marTop w:val="0"/>
      <w:marBottom w:val="0"/>
      <w:divBdr>
        <w:top w:val="none" w:sz="0" w:space="0" w:color="auto"/>
        <w:left w:val="none" w:sz="0" w:space="0" w:color="auto"/>
        <w:bottom w:val="none" w:sz="0" w:space="0" w:color="auto"/>
        <w:right w:val="none" w:sz="0" w:space="0" w:color="auto"/>
      </w:divBdr>
    </w:div>
    <w:div w:id="1958179632">
      <w:bodyDiv w:val="1"/>
      <w:marLeft w:val="0"/>
      <w:marRight w:val="0"/>
      <w:marTop w:val="0"/>
      <w:marBottom w:val="0"/>
      <w:divBdr>
        <w:top w:val="none" w:sz="0" w:space="0" w:color="auto"/>
        <w:left w:val="none" w:sz="0" w:space="0" w:color="auto"/>
        <w:bottom w:val="none" w:sz="0" w:space="0" w:color="auto"/>
        <w:right w:val="none" w:sz="0" w:space="0" w:color="auto"/>
      </w:divBdr>
    </w:div>
    <w:div w:id="1958217941">
      <w:bodyDiv w:val="1"/>
      <w:marLeft w:val="0"/>
      <w:marRight w:val="0"/>
      <w:marTop w:val="0"/>
      <w:marBottom w:val="0"/>
      <w:divBdr>
        <w:top w:val="none" w:sz="0" w:space="0" w:color="auto"/>
        <w:left w:val="none" w:sz="0" w:space="0" w:color="auto"/>
        <w:bottom w:val="none" w:sz="0" w:space="0" w:color="auto"/>
        <w:right w:val="none" w:sz="0" w:space="0" w:color="auto"/>
      </w:divBdr>
    </w:div>
    <w:div w:id="1958245632">
      <w:bodyDiv w:val="1"/>
      <w:marLeft w:val="0"/>
      <w:marRight w:val="0"/>
      <w:marTop w:val="0"/>
      <w:marBottom w:val="0"/>
      <w:divBdr>
        <w:top w:val="none" w:sz="0" w:space="0" w:color="auto"/>
        <w:left w:val="none" w:sz="0" w:space="0" w:color="auto"/>
        <w:bottom w:val="none" w:sz="0" w:space="0" w:color="auto"/>
        <w:right w:val="none" w:sz="0" w:space="0" w:color="auto"/>
      </w:divBdr>
    </w:div>
    <w:div w:id="1958370222">
      <w:bodyDiv w:val="1"/>
      <w:marLeft w:val="0"/>
      <w:marRight w:val="0"/>
      <w:marTop w:val="0"/>
      <w:marBottom w:val="0"/>
      <w:divBdr>
        <w:top w:val="none" w:sz="0" w:space="0" w:color="auto"/>
        <w:left w:val="none" w:sz="0" w:space="0" w:color="auto"/>
        <w:bottom w:val="none" w:sz="0" w:space="0" w:color="auto"/>
        <w:right w:val="none" w:sz="0" w:space="0" w:color="auto"/>
      </w:divBdr>
    </w:div>
    <w:div w:id="1958371910">
      <w:bodyDiv w:val="1"/>
      <w:marLeft w:val="0"/>
      <w:marRight w:val="0"/>
      <w:marTop w:val="0"/>
      <w:marBottom w:val="0"/>
      <w:divBdr>
        <w:top w:val="none" w:sz="0" w:space="0" w:color="auto"/>
        <w:left w:val="none" w:sz="0" w:space="0" w:color="auto"/>
        <w:bottom w:val="none" w:sz="0" w:space="0" w:color="auto"/>
        <w:right w:val="none" w:sz="0" w:space="0" w:color="auto"/>
      </w:divBdr>
    </w:div>
    <w:div w:id="1958637511">
      <w:bodyDiv w:val="1"/>
      <w:marLeft w:val="0"/>
      <w:marRight w:val="0"/>
      <w:marTop w:val="0"/>
      <w:marBottom w:val="0"/>
      <w:divBdr>
        <w:top w:val="none" w:sz="0" w:space="0" w:color="auto"/>
        <w:left w:val="none" w:sz="0" w:space="0" w:color="auto"/>
        <w:bottom w:val="none" w:sz="0" w:space="0" w:color="auto"/>
        <w:right w:val="none" w:sz="0" w:space="0" w:color="auto"/>
      </w:divBdr>
    </w:div>
    <w:div w:id="1958834037">
      <w:bodyDiv w:val="1"/>
      <w:marLeft w:val="0"/>
      <w:marRight w:val="0"/>
      <w:marTop w:val="0"/>
      <w:marBottom w:val="0"/>
      <w:divBdr>
        <w:top w:val="none" w:sz="0" w:space="0" w:color="auto"/>
        <w:left w:val="none" w:sz="0" w:space="0" w:color="auto"/>
        <w:bottom w:val="none" w:sz="0" w:space="0" w:color="auto"/>
        <w:right w:val="none" w:sz="0" w:space="0" w:color="auto"/>
      </w:divBdr>
    </w:div>
    <w:div w:id="1959218373">
      <w:bodyDiv w:val="1"/>
      <w:marLeft w:val="0"/>
      <w:marRight w:val="0"/>
      <w:marTop w:val="0"/>
      <w:marBottom w:val="0"/>
      <w:divBdr>
        <w:top w:val="none" w:sz="0" w:space="0" w:color="auto"/>
        <w:left w:val="none" w:sz="0" w:space="0" w:color="auto"/>
        <w:bottom w:val="none" w:sz="0" w:space="0" w:color="auto"/>
        <w:right w:val="none" w:sz="0" w:space="0" w:color="auto"/>
      </w:divBdr>
    </w:div>
    <w:div w:id="1959333254">
      <w:bodyDiv w:val="1"/>
      <w:marLeft w:val="0"/>
      <w:marRight w:val="0"/>
      <w:marTop w:val="0"/>
      <w:marBottom w:val="0"/>
      <w:divBdr>
        <w:top w:val="none" w:sz="0" w:space="0" w:color="auto"/>
        <w:left w:val="none" w:sz="0" w:space="0" w:color="auto"/>
        <w:bottom w:val="none" w:sz="0" w:space="0" w:color="auto"/>
        <w:right w:val="none" w:sz="0" w:space="0" w:color="auto"/>
      </w:divBdr>
    </w:div>
    <w:div w:id="1959412129">
      <w:bodyDiv w:val="1"/>
      <w:marLeft w:val="0"/>
      <w:marRight w:val="0"/>
      <w:marTop w:val="0"/>
      <w:marBottom w:val="0"/>
      <w:divBdr>
        <w:top w:val="none" w:sz="0" w:space="0" w:color="auto"/>
        <w:left w:val="none" w:sz="0" w:space="0" w:color="auto"/>
        <w:bottom w:val="none" w:sz="0" w:space="0" w:color="auto"/>
        <w:right w:val="none" w:sz="0" w:space="0" w:color="auto"/>
      </w:divBdr>
    </w:div>
    <w:div w:id="1959480844">
      <w:bodyDiv w:val="1"/>
      <w:marLeft w:val="0"/>
      <w:marRight w:val="0"/>
      <w:marTop w:val="0"/>
      <w:marBottom w:val="0"/>
      <w:divBdr>
        <w:top w:val="none" w:sz="0" w:space="0" w:color="auto"/>
        <w:left w:val="none" w:sz="0" w:space="0" w:color="auto"/>
        <w:bottom w:val="none" w:sz="0" w:space="0" w:color="auto"/>
        <w:right w:val="none" w:sz="0" w:space="0" w:color="auto"/>
      </w:divBdr>
    </w:div>
    <w:div w:id="1959486889">
      <w:bodyDiv w:val="1"/>
      <w:marLeft w:val="0"/>
      <w:marRight w:val="0"/>
      <w:marTop w:val="0"/>
      <w:marBottom w:val="0"/>
      <w:divBdr>
        <w:top w:val="none" w:sz="0" w:space="0" w:color="auto"/>
        <w:left w:val="none" w:sz="0" w:space="0" w:color="auto"/>
        <w:bottom w:val="none" w:sz="0" w:space="0" w:color="auto"/>
        <w:right w:val="none" w:sz="0" w:space="0" w:color="auto"/>
      </w:divBdr>
    </w:div>
    <w:div w:id="1959528842">
      <w:bodyDiv w:val="1"/>
      <w:marLeft w:val="0"/>
      <w:marRight w:val="0"/>
      <w:marTop w:val="0"/>
      <w:marBottom w:val="0"/>
      <w:divBdr>
        <w:top w:val="none" w:sz="0" w:space="0" w:color="auto"/>
        <w:left w:val="none" w:sz="0" w:space="0" w:color="auto"/>
        <w:bottom w:val="none" w:sz="0" w:space="0" w:color="auto"/>
        <w:right w:val="none" w:sz="0" w:space="0" w:color="auto"/>
      </w:divBdr>
    </w:div>
    <w:div w:id="1959558209">
      <w:bodyDiv w:val="1"/>
      <w:marLeft w:val="0"/>
      <w:marRight w:val="0"/>
      <w:marTop w:val="0"/>
      <w:marBottom w:val="0"/>
      <w:divBdr>
        <w:top w:val="none" w:sz="0" w:space="0" w:color="auto"/>
        <w:left w:val="none" w:sz="0" w:space="0" w:color="auto"/>
        <w:bottom w:val="none" w:sz="0" w:space="0" w:color="auto"/>
        <w:right w:val="none" w:sz="0" w:space="0" w:color="auto"/>
      </w:divBdr>
    </w:div>
    <w:div w:id="1959674469">
      <w:bodyDiv w:val="1"/>
      <w:marLeft w:val="0"/>
      <w:marRight w:val="0"/>
      <w:marTop w:val="0"/>
      <w:marBottom w:val="0"/>
      <w:divBdr>
        <w:top w:val="none" w:sz="0" w:space="0" w:color="auto"/>
        <w:left w:val="none" w:sz="0" w:space="0" w:color="auto"/>
        <w:bottom w:val="none" w:sz="0" w:space="0" w:color="auto"/>
        <w:right w:val="none" w:sz="0" w:space="0" w:color="auto"/>
      </w:divBdr>
    </w:div>
    <w:div w:id="1959755582">
      <w:bodyDiv w:val="1"/>
      <w:marLeft w:val="0"/>
      <w:marRight w:val="0"/>
      <w:marTop w:val="0"/>
      <w:marBottom w:val="0"/>
      <w:divBdr>
        <w:top w:val="none" w:sz="0" w:space="0" w:color="auto"/>
        <w:left w:val="none" w:sz="0" w:space="0" w:color="auto"/>
        <w:bottom w:val="none" w:sz="0" w:space="0" w:color="auto"/>
        <w:right w:val="none" w:sz="0" w:space="0" w:color="auto"/>
      </w:divBdr>
    </w:div>
    <w:div w:id="1959796088">
      <w:bodyDiv w:val="1"/>
      <w:marLeft w:val="0"/>
      <w:marRight w:val="0"/>
      <w:marTop w:val="0"/>
      <w:marBottom w:val="0"/>
      <w:divBdr>
        <w:top w:val="none" w:sz="0" w:space="0" w:color="auto"/>
        <w:left w:val="none" w:sz="0" w:space="0" w:color="auto"/>
        <w:bottom w:val="none" w:sz="0" w:space="0" w:color="auto"/>
        <w:right w:val="none" w:sz="0" w:space="0" w:color="auto"/>
      </w:divBdr>
    </w:div>
    <w:div w:id="1959796941">
      <w:bodyDiv w:val="1"/>
      <w:marLeft w:val="0"/>
      <w:marRight w:val="0"/>
      <w:marTop w:val="0"/>
      <w:marBottom w:val="0"/>
      <w:divBdr>
        <w:top w:val="none" w:sz="0" w:space="0" w:color="auto"/>
        <w:left w:val="none" w:sz="0" w:space="0" w:color="auto"/>
        <w:bottom w:val="none" w:sz="0" w:space="0" w:color="auto"/>
        <w:right w:val="none" w:sz="0" w:space="0" w:color="auto"/>
      </w:divBdr>
    </w:div>
    <w:div w:id="1959799239">
      <w:bodyDiv w:val="1"/>
      <w:marLeft w:val="0"/>
      <w:marRight w:val="0"/>
      <w:marTop w:val="0"/>
      <w:marBottom w:val="0"/>
      <w:divBdr>
        <w:top w:val="none" w:sz="0" w:space="0" w:color="auto"/>
        <w:left w:val="none" w:sz="0" w:space="0" w:color="auto"/>
        <w:bottom w:val="none" w:sz="0" w:space="0" w:color="auto"/>
        <w:right w:val="none" w:sz="0" w:space="0" w:color="auto"/>
      </w:divBdr>
    </w:div>
    <w:div w:id="1959876824">
      <w:bodyDiv w:val="1"/>
      <w:marLeft w:val="0"/>
      <w:marRight w:val="0"/>
      <w:marTop w:val="0"/>
      <w:marBottom w:val="0"/>
      <w:divBdr>
        <w:top w:val="none" w:sz="0" w:space="0" w:color="auto"/>
        <w:left w:val="none" w:sz="0" w:space="0" w:color="auto"/>
        <w:bottom w:val="none" w:sz="0" w:space="0" w:color="auto"/>
        <w:right w:val="none" w:sz="0" w:space="0" w:color="auto"/>
      </w:divBdr>
    </w:div>
    <w:div w:id="1959989302">
      <w:bodyDiv w:val="1"/>
      <w:marLeft w:val="0"/>
      <w:marRight w:val="0"/>
      <w:marTop w:val="0"/>
      <w:marBottom w:val="0"/>
      <w:divBdr>
        <w:top w:val="none" w:sz="0" w:space="0" w:color="auto"/>
        <w:left w:val="none" w:sz="0" w:space="0" w:color="auto"/>
        <w:bottom w:val="none" w:sz="0" w:space="0" w:color="auto"/>
        <w:right w:val="none" w:sz="0" w:space="0" w:color="auto"/>
      </w:divBdr>
    </w:div>
    <w:div w:id="1959995020">
      <w:bodyDiv w:val="1"/>
      <w:marLeft w:val="0"/>
      <w:marRight w:val="0"/>
      <w:marTop w:val="0"/>
      <w:marBottom w:val="0"/>
      <w:divBdr>
        <w:top w:val="none" w:sz="0" w:space="0" w:color="auto"/>
        <w:left w:val="none" w:sz="0" w:space="0" w:color="auto"/>
        <w:bottom w:val="none" w:sz="0" w:space="0" w:color="auto"/>
        <w:right w:val="none" w:sz="0" w:space="0" w:color="auto"/>
      </w:divBdr>
    </w:div>
    <w:div w:id="1960137123">
      <w:bodyDiv w:val="1"/>
      <w:marLeft w:val="0"/>
      <w:marRight w:val="0"/>
      <w:marTop w:val="0"/>
      <w:marBottom w:val="0"/>
      <w:divBdr>
        <w:top w:val="none" w:sz="0" w:space="0" w:color="auto"/>
        <w:left w:val="none" w:sz="0" w:space="0" w:color="auto"/>
        <w:bottom w:val="none" w:sz="0" w:space="0" w:color="auto"/>
        <w:right w:val="none" w:sz="0" w:space="0" w:color="auto"/>
      </w:divBdr>
    </w:div>
    <w:div w:id="1960184048">
      <w:bodyDiv w:val="1"/>
      <w:marLeft w:val="0"/>
      <w:marRight w:val="0"/>
      <w:marTop w:val="0"/>
      <w:marBottom w:val="0"/>
      <w:divBdr>
        <w:top w:val="none" w:sz="0" w:space="0" w:color="auto"/>
        <w:left w:val="none" w:sz="0" w:space="0" w:color="auto"/>
        <w:bottom w:val="none" w:sz="0" w:space="0" w:color="auto"/>
        <w:right w:val="none" w:sz="0" w:space="0" w:color="auto"/>
      </w:divBdr>
    </w:div>
    <w:div w:id="1960186490">
      <w:bodyDiv w:val="1"/>
      <w:marLeft w:val="0"/>
      <w:marRight w:val="0"/>
      <w:marTop w:val="0"/>
      <w:marBottom w:val="0"/>
      <w:divBdr>
        <w:top w:val="none" w:sz="0" w:space="0" w:color="auto"/>
        <w:left w:val="none" w:sz="0" w:space="0" w:color="auto"/>
        <w:bottom w:val="none" w:sz="0" w:space="0" w:color="auto"/>
        <w:right w:val="none" w:sz="0" w:space="0" w:color="auto"/>
      </w:divBdr>
    </w:div>
    <w:div w:id="1960258741">
      <w:bodyDiv w:val="1"/>
      <w:marLeft w:val="0"/>
      <w:marRight w:val="0"/>
      <w:marTop w:val="0"/>
      <w:marBottom w:val="0"/>
      <w:divBdr>
        <w:top w:val="none" w:sz="0" w:space="0" w:color="auto"/>
        <w:left w:val="none" w:sz="0" w:space="0" w:color="auto"/>
        <w:bottom w:val="none" w:sz="0" w:space="0" w:color="auto"/>
        <w:right w:val="none" w:sz="0" w:space="0" w:color="auto"/>
      </w:divBdr>
    </w:div>
    <w:div w:id="1960261596">
      <w:bodyDiv w:val="1"/>
      <w:marLeft w:val="0"/>
      <w:marRight w:val="0"/>
      <w:marTop w:val="0"/>
      <w:marBottom w:val="0"/>
      <w:divBdr>
        <w:top w:val="none" w:sz="0" w:space="0" w:color="auto"/>
        <w:left w:val="none" w:sz="0" w:space="0" w:color="auto"/>
        <w:bottom w:val="none" w:sz="0" w:space="0" w:color="auto"/>
        <w:right w:val="none" w:sz="0" w:space="0" w:color="auto"/>
      </w:divBdr>
    </w:div>
    <w:div w:id="1960448394">
      <w:bodyDiv w:val="1"/>
      <w:marLeft w:val="0"/>
      <w:marRight w:val="0"/>
      <w:marTop w:val="0"/>
      <w:marBottom w:val="0"/>
      <w:divBdr>
        <w:top w:val="none" w:sz="0" w:space="0" w:color="auto"/>
        <w:left w:val="none" w:sz="0" w:space="0" w:color="auto"/>
        <w:bottom w:val="none" w:sz="0" w:space="0" w:color="auto"/>
        <w:right w:val="none" w:sz="0" w:space="0" w:color="auto"/>
      </w:divBdr>
    </w:div>
    <w:div w:id="1960604020">
      <w:bodyDiv w:val="1"/>
      <w:marLeft w:val="0"/>
      <w:marRight w:val="0"/>
      <w:marTop w:val="0"/>
      <w:marBottom w:val="0"/>
      <w:divBdr>
        <w:top w:val="none" w:sz="0" w:space="0" w:color="auto"/>
        <w:left w:val="none" w:sz="0" w:space="0" w:color="auto"/>
        <w:bottom w:val="none" w:sz="0" w:space="0" w:color="auto"/>
        <w:right w:val="none" w:sz="0" w:space="0" w:color="auto"/>
      </w:divBdr>
    </w:div>
    <w:div w:id="1960606776">
      <w:bodyDiv w:val="1"/>
      <w:marLeft w:val="0"/>
      <w:marRight w:val="0"/>
      <w:marTop w:val="0"/>
      <w:marBottom w:val="0"/>
      <w:divBdr>
        <w:top w:val="none" w:sz="0" w:space="0" w:color="auto"/>
        <w:left w:val="none" w:sz="0" w:space="0" w:color="auto"/>
        <w:bottom w:val="none" w:sz="0" w:space="0" w:color="auto"/>
        <w:right w:val="none" w:sz="0" w:space="0" w:color="auto"/>
      </w:divBdr>
    </w:div>
    <w:div w:id="1960642770">
      <w:bodyDiv w:val="1"/>
      <w:marLeft w:val="0"/>
      <w:marRight w:val="0"/>
      <w:marTop w:val="0"/>
      <w:marBottom w:val="0"/>
      <w:divBdr>
        <w:top w:val="none" w:sz="0" w:space="0" w:color="auto"/>
        <w:left w:val="none" w:sz="0" w:space="0" w:color="auto"/>
        <w:bottom w:val="none" w:sz="0" w:space="0" w:color="auto"/>
        <w:right w:val="none" w:sz="0" w:space="0" w:color="auto"/>
      </w:divBdr>
    </w:div>
    <w:div w:id="1960719272">
      <w:bodyDiv w:val="1"/>
      <w:marLeft w:val="0"/>
      <w:marRight w:val="0"/>
      <w:marTop w:val="0"/>
      <w:marBottom w:val="0"/>
      <w:divBdr>
        <w:top w:val="none" w:sz="0" w:space="0" w:color="auto"/>
        <w:left w:val="none" w:sz="0" w:space="0" w:color="auto"/>
        <w:bottom w:val="none" w:sz="0" w:space="0" w:color="auto"/>
        <w:right w:val="none" w:sz="0" w:space="0" w:color="auto"/>
      </w:divBdr>
    </w:div>
    <w:div w:id="1960725447">
      <w:bodyDiv w:val="1"/>
      <w:marLeft w:val="0"/>
      <w:marRight w:val="0"/>
      <w:marTop w:val="0"/>
      <w:marBottom w:val="0"/>
      <w:divBdr>
        <w:top w:val="none" w:sz="0" w:space="0" w:color="auto"/>
        <w:left w:val="none" w:sz="0" w:space="0" w:color="auto"/>
        <w:bottom w:val="none" w:sz="0" w:space="0" w:color="auto"/>
        <w:right w:val="none" w:sz="0" w:space="0" w:color="auto"/>
      </w:divBdr>
    </w:div>
    <w:div w:id="1960793068">
      <w:bodyDiv w:val="1"/>
      <w:marLeft w:val="0"/>
      <w:marRight w:val="0"/>
      <w:marTop w:val="0"/>
      <w:marBottom w:val="0"/>
      <w:divBdr>
        <w:top w:val="none" w:sz="0" w:space="0" w:color="auto"/>
        <w:left w:val="none" w:sz="0" w:space="0" w:color="auto"/>
        <w:bottom w:val="none" w:sz="0" w:space="0" w:color="auto"/>
        <w:right w:val="none" w:sz="0" w:space="0" w:color="auto"/>
      </w:divBdr>
    </w:div>
    <w:div w:id="1960794870">
      <w:bodyDiv w:val="1"/>
      <w:marLeft w:val="0"/>
      <w:marRight w:val="0"/>
      <w:marTop w:val="0"/>
      <w:marBottom w:val="0"/>
      <w:divBdr>
        <w:top w:val="none" w:sz="0" w:space="0" w:color="auto"/>
        <w:left w:val="none" w:sz="0" w:space="0" w:color="auto"/>
        <w:bottom w:val="none" w:sz="0" w:space="0" w:color="auto"/>
        <w:right w:val="none" w:sz="0" w:space="0" w:color="auto"/>
      </w:divBdr>
    </w:div>
    <w:div w:id="1960798706">
      <w:bodyDiv w:val="1"/>
      <w:marLeft w:val="0"/>
      <w:marRight w:val="0"/>
      <w:marTop w:val="0"/>
      <w:marBottom w:val="0"/>
      <w:divBdr>
        <w:top w:val="none" w:sz="0" w:space="0" w:color="auto"/>
        <w:left w:val="none" w:sz="0" w:space="0" w:color="auto"/>
        <w:bottom w:val="none" w:sz="0" w:space="0" w:color="auto"/>
        <w:right w:val="none" w:sz="0" w:space="0" w:color="auto"/>
      </w:divBdr>
    </w:div>
    <w:div w:id="1960869641">
      <w:bodyDiv w:val="1"/>
      <w:marLeft w:val="0"/>
      <w:marRight w:val="0"/>
      <w:marTop w:val="0"/>
      <w:marBottom w:val="0"/>
      <w:divBdr>
        <w:top w:val="none" w:sz="0" w:space="0" w:color="auto"/>
        <w:left w:val="none" w:sz="0" w:space="0" w:color="auto"/>
        <w:bottom w:val="none" w:sz="0" w:space="0" w:color="auto"/>
        <w:right w:val="none" w:sz="0" w:space="0" w:color="auto"/>
      </w:divBdr>
    </w:div>
    <w:div w:id="1960869789">
      <w:bodyDiv w:val="1"/>
      <w:marLeft w:val="0"/>
      <w:marRight w:val="0"/>
      <w:marTop w:val="0"/>
      <w:marBottom w:val="0"/>
      <w:divBdr>
        <w:top w:val="none" w:sz="0" w:space="0" w:color="auto"/>
        <w:left w:val="none" w:sz="0" w:space="0" w:color="auto"/>
        <w:bottom w:val="none" w:sz="0" w:space="0" w:color="auto"/>
        <w:right w:val="none" w:sz="0" w:space="0" w:color="auto"/>
      </w:divBdr>
    </w:div>
    <w:div w:id="1961036227">
      <w:bodyDiv w:val="1"/>
      <w:marLeft w:val="0"/>
      <w:marRight w:val="0"/>
      <w:marTop w:val="0"/>
      <w:marBottom w:val="0"/>
      <w:divBdr>
        <w:top w:val="none" w:sz="0" w:space="0" w:color="auto"/>
        <w:left w:val="none" w:sz="0" w:space="0" w:color="auto"/>
        <w:bottom w:val="none" w:sz="0" w:space="0" w:color="auto"/>
        <w:right w:val="none" w:sz="0" w:space="0" w:color="auto"/>
      </w:divBdr>
    </w:div>
    <w:div w:id="1961064380">
      <w:bodyDiv w:val="1"/>
      <w:marLeft w:val="0"/>
      <w:marRight w:val="0"/>
      <w:marTop w:val="0"/>
      <w:marBottom w:val="0"/>
      <w:divBdr>
        <w:top w:val="none" w:sz="0" w:space="0" w:color="auto"/>
        <w:left w:val="none" w:sz="0" w:space="0" w:color="auto"/>
        <w:bottom w:val="none" w:sz="0" w:space="0" w:color="auto"/>
        <w:right w:val="none" w:sz="0" w:space="0" w:color="auto"/>
      </w:divBdr>
    </w:div>
    <w:div w:id="1961178385">
      <w:bodyDiv w:val="1"/>
      <w:marLeft w:val="0"/>
      <w:marRight w:val="0"/>
      <w:marTop w:val="0"/>
      <w:marBottom w:val="0"/>
      <w:divBdr>
        <w:top w:val="none" w:sz="0" w:space="0" w:color="auto"/>
        <w:left w:val="none" w:sz="0" w:space="0" w:color="auto"/>
        <w:bottom w:val="none" w:sz="0" w:space="0" w:color="auto"/>
        <w:right w:val="none" w:sz="0" w:space="0" w:color="auto"/>
      </w:divBdr>
    </w:div>
    <w:div w:id="1961257541">
      <w:bodyDiv w:val="1"/>
      <w:marLeft w:val="0"/>
      <w:marRight w:val="0"/>
      <w:marTop w:val="0"/>
      <w:marBottom w:val="0"/>
      <w:divBdr>
        <w:top w:val="none" w:sz="0" w:space="0" w:color="auto"/>
        <w:left w:val="none" w:sz="0" w:space="0" w:color="auto"/>
        <w:bottom w:val="none" w:sz="0" w:space="0" w:color="auto"/>
        <w:right w:val="none" w:sz="0" w:space="0" w:color="auto"/>
      </w:divBdr>
    </w:div>
    <w:div w:id="1961493087">
      <w:bodyDiv w:val="1"/>
      <w:marLeft w:val="0"/>
      <w:marRight w:val="0"/>
      <w:marTop w:val="0"/>
      <w:marBottom w:val="0"/>
      <w:divBdr>
        <w:top w:val="none" w:sz="0" w:space="0" w:color="auto"/>
        <w:left w:val="none" w:sz="0" w:space="0" w:color="auto"/>
        <w:bottom w:val="none" w:sz="0" w:space="0" w:color="auto"/>
        <w:right w:val="none" w:sz="0" w:space="0" w:color="auto"/>
      </w:divBdr>
    </w:div>
    <w:div w:id="1961498994">
      <w:bodyDiv w:val="1"/>
      <w:marLeft w:val="0"/>
      <w:marRight w:val="0"/>
      <w:marTop w:val="0"/>
      <w:marBottom w:val="0"/>
      <w:divBdr>
        <w:top w:val="none" w:sz="0" w:space="0" w:color="auto"/>
        <w:left w:val="none" w:sz="0" w:space="0" w:color="auto"/>
        <w:bottom w:val="none" w:sz="0" w:space="0" w:color="auto"/>
        <w:right w:val="none" w:sz="0" w:space="0" w:color="auto"/>
      </w:divBdr>
    </w:div>
    <w:div w:id="1961574123">
      <w:bodyDiv w:val="1"/>
      <w:marLeft w:val="0"/>
      <w:marRight w:val="0"/>
      <w:marTop w:val="0"/>
      <w:marBottom w:val="0"/>
      <w:divBdr>
        <w:top w:val="none" w:sz="0" w:space="0" w:color="auto"/>
        <w:left w:val="none" w:sz="0" w:space="0" w:color="auto"/>
        <w:bottom w:val="none" w:sz="0" w:space="0" w:color="auto"/>
        <w:right w:val="none" w:sz="0" w:space="0" w:color="auto"/>
      </w:divBdr>
    </w:div>
    <w:div w:id="1961649646">
      <w:bodyDiv w:val="1"/>
      <w:marLeft w:val="0"/>
      <w:marRight w:val="0"/>
      <w:marTop w:val="0"/>
      <w:marBottom w:val="0"/>
      <w:divBdr>
        <w:top w:val="none" w:sz="0" w:space="0" w:color="auto"/>
        <w:left w:val="none" w:sz="0" w:space="0" w:color="auto"/>
        <w:bottom w:val="none" w:sz="0" w:space="0" w:color="auto"/>
        <w:right w:val="none" w:sz="0" w:space="0" w:color="auto"/>
      </w:divBdr>
    </w:div>
    <w:div w:id="1961765195">
      <w:bodyDiv w:val="1"/>
      <w:marLeft w:val="0"/>
      <w:marRight w:val="0"/>
      <w:marTop w:val="0"/>
      <w:marBottom w:val="0"/>
      <w:divBdr>
        <w:top w:val="none" w:sz="0" w:space="0" w:color="auto"/>
        <w:left w:val="none" w:sz="0" w:space="0" w:color="auto"/>
        <w:bottom w:val="none" w:sz="0" w:space="0" w:color="auto"/>
        <w:right w:val="none" w:sz="0" w:space="0" w:color="auto"/>
      </w:divBdr>
    </w:div>
    <w:div w:id="1961953619">
      <w:bodyDiv w:val="1"/>
      <w:marLeft w:val="0"/>
      <w:marRight w:val="0"/>
      <w:marTop w:val="0"/>
      <w:marBottom w:val="0"/>
      <w:divBdr>
        <w:top w:val="none" w:sz="0" w:space="0" w:color="auto"/>
        <w:left w:val="none" w:sz="0" w:space="0" w:color="auto"/>
        <w:bottom w:val="none" w:sz="0" w:space="0" w:color="auto"/>
        <w:right w:val="none" w:sz="0" w:space="0" w:color="auto"/>
      </w:divBdr>
    </w:div>
    <w:div w:id="1962110045">
      <w:bodyDiv w:val="1"/>
      <w:marLeft w:val="0"/>
      <w:marRight w:val="0"/>
      <w:marTop w:val="0"/>
      <w:marBottom w:val="0"/>
      <w:divBdr>
        <w:top w:val="none" w:sz="0" w:space="0" w:color="auto"/>
        <w:left w:val="none" w:sz="0" w:space="0" w:color="auto"/>
        <w:bottom w:val="none" w:sz="0" w:space="0" w:color="auto"/>
        <w:right w:val="none" w:sz="0" w:space="0" w:color="auto"/>
      </w:divBdr>
    </w:div>
    <w:div w:id="1962178359">
      <w:bodyDiv w:val="1"/>
      <w:marLeft w:val="0"/>
      <w:marRight w:val="0"/>
      <w:marTop w:val="0"/>
      <w:marBottom w:val="0"/>
      <w:divBdr>
        <w:top w:val="none" w:sz="0" w:space="0" w:color="auto"/>
        <w:left w:val="none" w:sz="0" w:space="0" w:color="auto"/>
        <w:bottom w:val="none" w:sz="0" w:space="0" w:color="auto"/>
        <w:right w:val="none" w:sz="0" w:space="0" w:color="auto"/>
      </w:divBdr>
    </w:div>
    <w:div w:id="1962180316">
      <w:bodyDiv w:val="1"/>
      <w:marLeft w:val="0"/>
      <w:marRight w:val="0"/>
      <w:marTop w:val="0"/>
      <w:marBottom w:val="0"/>
      <w:divBdr>
        <w:top w:val="none" w:sz="0" w:space="0" w:color="auto"/>
        <w:left w:val="none" w:sz="0" w:space="0" w:color="auto"/>
        <w:bottom w:val="none" w:sz="0" w:space="0" w:color="auto"/>
        <w:right w:val="none" w:sz="0" w:space="0" w:color="auto"/>
      </w:divBdr>
    </w:div>
    <w:div w:id="1962303772">
      <w:bodyDiv w:val="1"/>
      <w:marLeft w:val="0"/>
      <w:marRight w:val="0"/>
      <w:marTop w:val="0"/>
      <w:marBottom w:val="0"/>
      <w:divBdr>
        <w:top w:val="none" w:sz="0" w:space="0" w:color="auto"/>
        <w:left w:val="none" w:sz="0" w:space="0" w:color="auto"/>
        <w:bottom w:val="none" w:sz="0" w:space="0" w:color="auto"/>
        <w:right w:val="none" w:sz="0" w:space="0" w:color="auto"/>
      </w:divBdr>
    </w:div>
    <w:div w:id="1962346672">
      <w:bodyDiv w:val="1"/>
      <w:marLeft w:val="0"/>
      <w:marRight w:val="0"/>
      <w:marTop w:val="0"/>
      <w:marBottom w:val="0"/>
      <w:divBdr>
        <w:top w:val="none" w:sz="0" w:space="0" w:color="auto"/>
        <w:left w:val="none" w:sz="0" w:space="0" w:color="auto"/>
        <w:bottom w:val="none" w:sz="0" w:space="0" w:color="auto"/>
        <w:right w:val="none" w:sz="0" w:space="0" w:color="auto"/>
      </w:divBdr>
    </w:div>
    <w:div w:id="1962346874">
      <w:bodyDiv w:val="1"/>
      <w:marLeft w:val="0"/>
      <w:marRight w:val="0"/>
      <w:marTop w:val="0"/>
      <w:marBottom w:val="0"/>
      <w:divBdr>
        <w:top w:val="none" w:sz="0" w:space="0" w:color="auto"/>
        <w:left w:val="none" w:sz="0" w:space="0" w:color="auto"/>
        <w:bottom w:val="none" w:sz="0" w:space="0" w:color="auto"/>
        <w:right w:val="none" w:sz="0" w:space="0" w:color="auto"/>
      </w:divBdr>
    </w:div>
    <w:div w:id="1962421043">
      <w:bodyDiv w:val="1"/>
      <w:marLeft w:val="0"/>
      <w:marRight w:val="0"/>
      <w:marTop w:val="0"/>
      <w:marBottom w:val="0"/>
      <w:divBdr>
        <w:top w:val="none" w:sz="0" w:space="0" w:color="auto"/>
        <w:left w:val="none" w:sz="0" w:space="0" w:color="auto"/>
        <w:bottom w:val="none" w:sz="0" w:space="0" w:color="auto"/>
        <w:right w:val="none" w:sz="0" w:space="0" w:color="auto"/>
      </w:divBdr>
    </w:div>
    <w:div w:id="1962688630">
      <w:bodyDiv w:val="1"/>
      <w:marLeft w:val="0"/>
      <w:marRight w:val="0"/>
      <w:marTop w:val="0"/>
      <w:marBottom w:val="0"/>
      <w:divBdr>
        <w:top w:val="none" w:sz="0" w:space="0" w:color="auto"/>
        <w:left w:val="none" w:sz="0" w:space="0" w:color="auto"/>
        <w:bottom w:val="none" w:sz="0" w:space="0" w:color="auto"/>
        <w:right w:val="none" w:sz="0" w:space="0" w:color="auto"/>
      </w:divBdr>
    </w:div>
    <w:div w:id="1962689335">
      <w:bodyDiv w:val="1"/>
      <w:marLeft w:val="0"/>
      <w:marRight w:val="0"/>
      <w:marTop w:val="0"/>
      <w:marBottom w:val="0"/>
      <w:divBdr>
        <w:top w:val="none" w:sz="0" w:space="0" w:color="auto"/>
        <w:left w:val="none" w:sz="0" w:space="0" w:color="auto"/>
        <w:bottom w:val="none" w:sz="0" w:space="0" w:color="auto"/>
        <w:right w:val="none" w:sz="0" w:space="0" w:color="auto"/>
      </w:divBdr>
    </w:div>
    <w:div w:id="1962757785">
      <w:bodyDiv w:val="1"/>
      <w:marLeft w:val="0"/>
      <w:marRight w:val="0"/>
      <w:marTop w:val="0"/>
      <w:marBottom w:val="0"/>
      <w:divBdr>
        <w:top w:val="none" w:sz="0" w:space="0" w:color="auto"/>
        <w:left w:val="none" w:sz="0" w:space="0" w:color="auto"/>
        <w:bottom w:val="none" w:sz="0" w:space="0" w:color="auto"/>
        <w:right w:val="none" w:sz="0" w:space="0" w:color="auto"/>
      </w:divBdr>
    </w:div>
    <w:div w:id="1962881924">
      <w:bodyDiv w:val="1"/>
      <w:marLeft w:val="0"/>
      <w:marRight w:val="0"/>
      <w:marTop w:val="0"/>
      <w:marBottom w:val="0"/>
      <w:divBdr>
        <w:top w:val="none" w:sz="0" w:space="0" w:color="auto"/>
        <w:left w:val="none" w:sz="0" w:space="0" w:color="auto"/>
        <w:bottom w:val="none" w:sz="0" w:space="0" w:color="auto"/>
        <w:right w:val="none" w:sz="0" w:space="0" w:color="auto"/>
      </w:divBdr>
    </w:div>
    <w:div w:id="1962954996">
      <w:bodyDiv w:val="1"/>
      <w:marLeft w:val="0"/>
      <w:marRight w:val="0"/>
      <w:marTop w:val="0"/>
      <w:marBottom w:val="0"/>
      <w:divBdr>
        <w:top w:val="none" w:sz="0" w:space="0" w:color="auto"/>
        <w:left w:val="none" w:sz="0" w:space="0" w:color="auto"/>
        <w:bottom w:val="none" w:sz="0" w:space="0" w:color="auto"/>
        <w:right w:val="none" w:sz="0" w:space="0" w:color="auto"/>
      </w:divBdr>
    </w:div>
    <w:div w:id="1963028169">
      <w:bodyDiv w:val="1"/>
      <w:marLeft w:val="0"/>
      <w:marRight w:val="0"/>
      <w:marTop w:val="0"/>
      <w:marBottom w:val="0"/>
      <w:divBdr>
        <w:top w:val="none" w:sz="0" w:space="0" w:color="auto"/>
        <w:left w:val="none" w:sz="0" w:space="0" w:color="auto"/>
        <w:bottom w:val="none" w:sz="0" w:space="0" w:color="auto"/>
        <w:right w:val="none" w:sz="0" w:space="0" w:color="auto"/>
      </w:divBdr>
    </w:div>
    <w:div w:id="1963028465">
      <w:bodyDiv w:val="1"/>
      <w:marLeft w:val="0"/>
      <w:marRight w:val="0"/>
      <w:marTop w:val="0"/>
      <w:marBottom w:val="0"/>
      <w:divBdr>
        <w:top w:val="none" w:sz="0" w:space="0" w:color="auto"/>
        <w:left w:val="none" w:sz="0" w:space="0" w:color="auto"/>
        <w:bottom w:val="none" w:sz="0" w:space="0" w:color="auto"/>
        <w:right w:val="none" w:sz="0" w:space="0" w:color="auto"/>
      </w:divBdr>
    </w:div>
    <w:div w:id="1963145488">
      <w:bodyDiv w:val="1"/>
      <w:marLeft w:val="0"/>
      <w:marRight w:val="0"/>
      <w:marTop w:val="0"/>
      <w:marBottom w:val="0"/>
      <w:divBdr>
        <w:top w:val="none" w:sz="0" w:space="0" w:color="auto"/>
        <w:left w:val="none" w:sz="0" w:space="0" w:color="auto"/>
        <w:bottom w:val="none" w:sz="0" w:space="0" w:color="auto"/>
        <w:right w:val="none" w:sz="0" w:space="0" w:color="auto"/>
      </w:divBdr>
    </w:div>
    <w:div w:id="1963152964">
      <w:bodyDiv w:val="1"/>
      <w:marLeft w:val="0"/>
      <w:marRight w:val="0"/>
      <w:marTop w:val="0"/>
      <w:marBottom w:val="0"/>
      <w:divBdr>
        <w:top w:val="none" w:sz="0" w:space="0" w:color="auto"/>
        <w:left w:val="none" w:sz="0" w:space="0" w:color="auto"/>
        <w:bottom w:val="none" w:sz="0" w:space="0" w:color="auto"/>
        <w:right w:val="none" w:sz="0" w:space="0" w:color="auto"/>
      </w:divBdr>
    </w:div>
    <w:div w:id="1963341267">
      <w:bodyDiv w:val="1"/>
      <w:marLeft w:val="0"/>
      <w:marRight w:val="0"/>
      <w:marTop w:val="0"/>
      <w:marBottom w:val="0"/>
      <w:divBdr>
        <w:top w:val="none" w:sz="0" w:space="0" w:color="auto"/>
        <w:left w:val="none" w:sz="0" w:space="0" w:color="auto"/>
        <w:bottom w:val="none" w:sz="0" w:space="0" w:color="auto"/>
        <w:right w:val="none" w:sz="0" w:space="0" w:color="auto"/>
      </w:divBdr>
    </w:div>
    <w:div w:id="1963490972">
      <w:bodyDiv w:val="1"/>
      <w:marLeft w:val="0"/>
      <w:marRight w:val="0"/>
      <w:marTop w:val="0"/>
      <w:marBottom w:val="0"/>
      <w:divBdr>
        <w:top w:val="none" w:sz="0" w:space="0" w:color="auto"/>
        <w:left w:val="none" w:sz="0" w:space="0" w:color="auto"/>
        <w:bottom w:val="none" w:sz="0" w:space="0" w:color="auto"/>
        <w:right w:val="none" w:sz="0" w:space="0" w:color="auto"/>
      </w:divBdr>
    </w:div>
    <w:div w:id="1963534527">
      <w:bodyDiv w:val="1"/>
      <w:marLeft w:val="0"/>
      <w:marRight w:val="0"/>
      <w:marTop w:val="0"/>
      <w:marBottom w:val="0"/>
      <w:divBdr>
        <w:top w:val="none" w:sz="0" w:space="0" w:color="auto"/>
        <w:left w:val="none" w:sz="0" w:space="0" w:color="auto"/>
        <w:bottom w:val="none" w:sz="0" w:space="0" w:color="auto"/>
        <w:right w:val="none" w:sz="0" w:space="0" w:color="auto"/>
      </w:divBdr>
    </w:div>
    <w:div w:id="1963613195">
      <w:bodyDiv w:val="1"/>
      <w:marLeft w:val="0"/>
      <w:marRight w:val="0"/>
      <w:marTop w:val="0"/>
      <w:marBottom w:val="0"/>
      <w:divBdr>
        <w:top w:val="none" w:sz="0" w:space="0" w:color="auto"/>
        <w:left w:val="none" w:sz="0" w:space="0" w:color="auto"/>
        <w:bottom w:val="none" w:sz="0" w:space="0" w:color="auto"/>
        <w:right w:val="none" w:sz="0" w:space="0" w:color="auto"/>
      </w:divBdr>
    </w:div>
    <w:div w:id="1963682309">
      <w:bodyDiv w:val="1"/>
      <w:marLeft w:val="0"/>
      <w:marRight w:val="0"/>
      <w:marTop w:val="0"/>
      <w:marBottom w:val="0"/>
      <w:divBdr>
        <w:top w:val="none" w:sz="0" w:space="0" w:color="auto"/>
        <w:left w:val="none" w:sz="0" w:space="0" w:color="auto"/>
        <w:bottom w:val="none" w:sz="0" w:space="0" w:color="auto"/>
        <w:right w:val="none" w:sz="0" w:space="0" w:color="auto"/>
      </w:divBdr>
    </w:div>
    <w:div w:id="1963881753">
      <w:bodyDiv w:val="1"/>
      <w:marLeft w:val="0"/>
      <w:marRight w:val="0"/>
      <w:marTop w:val="0"/>
      <w:marBottom w:val="0"/>
      <w:divBdr>
        <w:top w:val="none" w:sz="0" w:space="0" w:color="auto"/>
        <w:left w:val="none" w:sz="0" w:space="0" w:color="auto"/>
        <w:bottom w:val="none" w:sz="0" w:space="0" w:color="auto"/>
        <w:right w:val="none" w:sz="0" w:space="0" w:color="auto"/>
      </w:divBdr>
    </w:div>
    <w:div w:id="1964000805">
      <w:bodyDiv w:val="1"/>
      <w:marLeft w:val="0"/>
      <w:marRight w:val="0"/>
      <w:marTop w:val="0"/>
      <w:marBottom w:val="0"/>
      <w:divBdr>
        <w:top w:val="none" w:sz="0" w:space="0" w:color="auto"/>
        <w:left w:val="none" w:sz="0" w:space="0" w:color="auto"/>
        <w:bottom w:val="none" w:sz="0" w:space="0" w:color="auto"/>
        <w:right w:val="none" w:sz="0" w:space="0" w:color="auto"/>
      </w:divBdr>
    </w:div>
    <w:div w:id="1964116337">
      <w:bodyDiv w:val="1"/>
      <w:marLeft w:val="0"/>
      <w:marRight w:val="0"/>
      <w:marTop w:val="0"/>
      <w:marBottom w:val="0"/>
      <w:divBdr>
        <w:top w:val="none" w:sz="0" w:space="0" w:color="auto"/>
        <w:left w:val="none" w:sz="0" w:space="0" w:color="auto"/>
        <w:bottom w:val="none" w:sz="0" w:space="0" w:color="auto"/>
        <w:right w:val="none" w:sz="0" w:space="0" w:color="auto"/>
      </w:divBdr>
    </w:div>
    <w:div w:id="1964194751">
      <w:bodyDiv w:val="1"/>
      <w:marLeft w:val="0"/>
      <w:marRight w:val="0"/>
      <w:marTop w:val="0"/>
      <w:marBottom w:val="0"/>
      <w:divBdr>
        <w:top w:val="none" w:sz="0" w:space="0" w:color="auto"/>
        <w:left w:val="none" w:sz="0" w:space="0" w:color="auto"/>
        <w:bottom w:val="none" w:sz="0" w:space="0" w:color="auto"/>
        <w:right w:val="none" w:sz="0" w:space="0" w:color="auto"/>
      </w:divBdr>
    </w:div>
    <w:div w:id="1964385913">
      <w:bodyDiv w:val="1"/>
      <w:marLeft w:val="0"/>
      <w:marRight w:val="0"/>
      <w:marTop w:val="0"/>
      <w:marBottom w:val="0"/>
      <w:divBdr>
        <w:top w:val="none" w:sz="0" w:space="0" w:color="auto"/>
        <w:left w:val="none" w:sz="0" w:space="0" w:color="auto"/>
        <w:bottom w:val="none" w:sz="0" w:space="0" w:color="auto"/>
        <w:right w:val="none" w:sz="0" w:space="0" w:color="auto"/>
      </w:divBdr>
    </w:div>
    <w:div w:id="1964455392">
      <w:bodyDiv w:val="1"/>
      <w:marLeft w:val="0"/>
      <w:marRight w:val="0"/>
      <w:marTop w:val="0"/>
      <w:marBottom w:val="0"/>
      <w:divBdr>
        <w:top w:val="none" w:sz="0" w:space="0" w:color="auto"/>
        <w:left w:val="none" w:sz="0" w:space="0" w:color="auto"/>
        <w:bottom w:val="none" w:sz="0" w:space="0" w:color="auto"/>
        <w:right w:val="none" w:sz="0" w:space="0" w:color="auto"/>
      </w:divBdr>
    </w:div>
    <w:div w:id="1964532595">
      <w:bodyDiv w:val="1"/>
      <w:marLeft w:val="0"/>
      <w:marRight w:val="0"/>
      <w:marTop w:val="0"/>
      <w:marBottom w:val="0"/>
      <w:divBdr>
        <w:top w:val="none" w:sz="0" w:space="0" w:color="auto"/>
        <w:left w:val="none" w:sz="0" w:space="0" w:color="auto"/>
        <w:bottom w:val="none" w:sz="0" w:space="0" w:color="auto"/>
        <w:right w:val="none" w:sz="0" w:space="0" w:color="auto"/>
      </w:divBdr>
    </w:div>
    <w:div w:id="1964656132">
      <w:bodyDiv w:val="1"/>
      <w:marLeft w:val="0"/>
      <w:marRight w:val="0"/>
      <w:marTop w:val="0"/>
      <w:marBottom w:val="0"/>
      <w:divBdr>
        <w:top w:val="none" w:sz="0" w:space="0" w:color="auto"/>
        <w:left w:val="none" w:sz="0" w:space="0" w:color="auto"/>
        <w:bottom w:val="none" w:sz="0" w:space="0" w:color="auto"/>
        <w:right w:val="none" w:sz="0" w:space="0" w:color="auto"/>
      </w:divBdr>
    </w:div>
    <w:div w:id="1964774295">
      <w:bodyDiv w:val="1"/>
      <w:marLeft w:val="0"/>
      <w:marRight w:val="0"/>
      <w:marTop w:val="0"/>
      <w:marBottom w:val="0"/>
      <w:divBdr>
        <w:top w:val="none" w:sz="0" w:space="0" w:color="auto"/>
        <w:left w:val="none" w:sz="0" w:space="0" w:color="auto"/>
        <w:bottom w:val="none" w:sz="0" w:space="0" w:color="auto"/>
        <w:right w:val="none" w:sz="0" w:space="0" w:color="auto"/>
      </w:divBdr>
    </w:div>
    <w:div w:id="1964916353">
      <w:bodyDiv w:val="1"/>
      <w:marLeft w:val="0"/>
      <w:marRight w:val="0"/>
      <w:marTop w:val="0"/>
      <w:marBottom w:val="0"/>
      <w:divBdr>
        <w:top w:val="none" w:sz="0" w:space="0" w:color="auto"/>
        <w:left w:val="none" w:sz="0" w:space="0" w:color="auto"/>
        <w:bottom w:val="none" w:sz="0" w:space="0" w:color="auto"/>
        <w:right w:val="none" w:sz="0" w:space="0" w:color="auto"/>
      </w:divBdr>
    </w:div>
    <w:div w:id="1964921600">
      <w:bodyDiv w:val="1"/>
      <w:marLeft w:val="0"/>
      <w:marRight w:val="0"/>
      <w:marTop w:val="0"/>
      <w:marBottom w:val="0"/>
      <w:divBdr>
        <w:top w:val="none" w:sz="0" w:space="0" w:color="auto"/>
        <w:left w:val="none" w:sz="0" w:space="0" w:color="auto"/>
        <w:bottom w:val="none" w:sz="0" w:space="0" w:color="auto"/>
        <w:right w:val="none" w:sz="0" w:space="0" w:color="auto"/>
      </w:divBdr>
    </w:div>
    <w:div w:id="1964966512">
      <w:bodyDiv w:val="1"/>
      <w:marLeft w:val="0"/>
      <w:marRight w:val="0"/>
      <w:marTop w:val="0"/>
      <w:marBottom w:val="0"/>
      <w:divBdr>
        <w:top w:val="none" w:sz="0" w:space="0" w:color="auto"/>
        <w:left w:val="none" w:sz="0" w:space="0" w:color="auto"/>
        <w:bottom w:val="none" w:sz="0" w:space="0" w:color="auto"/>
        <w:right w:val="none" w:sz="0" w:space="0" w:color="auto"/>
      </w:divBdr>
    </w:div>
    <w:div w:id="1964966843">
      <w:bodyDiv w:val="1"/>
      <w:marLeft w:val="0"/>
      <w:marRight w:val="0"/>
      <w:marTop w:val="0"/>
      <w:marBottom w:val="0"/>
      <w:divBdr>
        <w:top w:val="none" w:sz="0" w:space="0" w:color="auto"/>
        <w:left w:val="none" w:sz="0" w:space="0" w:color="auto"/>
        <w:bottom w:val="none" w:sz="0" w:space="0" w:color="auto"/>
        <w:right w:val="none" w:sz="0" w:space="0" w:color="auto"/>
      </w:divBdr>
    </w:div>
    <w:div w:id="1964966907">
      <w:bodyDiv w:val="1"/>
      <w:marLeft w:val="0"/>
      <w:marRight w:val="0"/>
      <w:marTop w:val="0"/>
      <w:marBottom w:val="0"/>
      <w:divBdr>
        <w:top w:val="none" w:sz="0" w:space="0" w:color="auto"/>
        <w:left w:val="none" w:sz="0" w:space="0" w:color="auto"/>
        <w:bottom w:val="none" w:sz="0" w:space="0" w:color="auto"/>
        <w:right w:val="none" w:sz="0" w:space="0" w:color="auto"/>
      </w:divBdr>
    </w:div>
    <w:div w:id="1964995509">
      <w:bodyDiv w:val="1"/>
      <w:marLeft w:val="0"/>
      <w:marRight w:val="0"/>
      <w:marTop w:val="0"/>
      <w:marBottom w:val="0"/>
      <w:divBdr>
        <w:top w:val="none" w:sz="0" w:space="0" w:color="auto"/>
        <w:left w:val="none" w:sz="0" w:space="0" w:color="auto"/>
        <w:bottom w:val="none" w:sz="0" w:space="0" w:color="auto"/>
        <w:right w:val="none" w:sz="0" w:space="0" w:color="auto"/>
      </w:divBdr>
    </w:div>
    <w:div w:id="1965116545">
      <w:bodyDiv w:val="1"/>
      <w:marLeft w:val="0"/>
      <w:marRight w:val="0"/>
      <w:marTop w:val="0"/>
      <w:marBottom w:val="0"/>
      <w:divBdr>
        <w:top w:val="none" w:sz="0" w:space="0" w:color="auto"/>
        <w:left w:val="none" w:sz="0" w:space="0" w:color="auto"/>
        <w:bottom w:val="none" w:sz="0" w:space="0" w:color="auto"/>
        <w:right w:val="none" w:sz="0" w:space="0" w:color="auto"/>
      </w:divBdr>
    </w:div>
    <w:div w:id="1965117778">
      <w:bodyDiv w:val="1"/>
      <w:marLeft w:val="0"/>
      <w:marRight w:val="0"/>
      <w:marTop w:val="0"/>
      <w:marBottom w:val="0"/>
      <w:divBdr>
        <w:top w:val="none" w:sz="0" w:space="0" w:color="auto"/>
        <w:left w:val="none" w:sz="0" w:space="0" w:color="auto"/>
        <w:bottom w:val="none" w:sz="0" w:space="0" w:color="auto"/>
        <w:right w:val="none" w:sz="0" w:space="0" w:color="auto"/>
      </w:divBdr>
    </w:div>
    <w:div w:id="1965186819">
      <w:bodyDiv w:val="1"/>
      <w:marLeft w:val="0"/>
      <w:marRight w:val="0"/>
      <w:marTop w:val="0"/>
      <w:marBottom w:val="0"/>
      <w:divBdr>
        <w:top w:val="none" w:sz="0" w:space="0" w:color="auto"/>
        <w:left w:val="none" w:sz="0" w:space="0" w:color="auto"/>
        <w:bottom w:val="none" w:sz="0" w:space="0" w:color="auto"/>
        <w:right w:val="none" w:sz="0" w:space="0" w:color="auto"/>
      </w:divBdr>
    </w:div>
    <w:div w:id="1965190133">
      <w:bodyDiv w:val="1"/>
      <w:marLeft w:val="0"/>
      <w:marRight w:val="0"/>
      <w:marTop w:val="0"/>
      <w:marBottom w:val="0"/>
      <w:divBdr>
        <w:top w:val="none" w:sz="0" w:space="0" w:color="auto"/>
        <w:left w:val="none" w:sz="0" w:space="0" w:color="auto"/>
        <w:bottom w:val="none" w:sz="0" w:space="0" w:color="auto"/>
        <w:right w:val="none" w:sz="0" w:space="0" w:color="auto"/>
      </w:divBdr>
    </w:div>
    <w:div w:id="1965228364">
      <w:bodyDiv w:val="1"/>
      <w:marLeft w:val="0"/>
      <w:marRight w:val="0"/>
      <w:marTop w:val="0"/>
      <w:marBottom w:val="0"/>
      <w:divBdr>
        <w:top w:val="none" w:sz="0" w:space="0" w:color="auto"/>
        <w:left w:val="none" w:sz="0" w:space="0" w:color="auto"/>
        <w:bottom w:val="none" w:sz="0" w:space="0" w:color="auto"/>
        <w:right w:val="none" w:sz="0" w:space="0" w:color="auto"/>
      </w:divBdr>
    </w:div>
    <w:div w:id="1965304785">
      <w:bodyDiv w:val="1"/>
      <w:marLeft w:val="0"/>
      <w:marRight w:val="0"/>
      <w:marTop w:val="0"/>
      <w:marBottom w:val="0"/>
      <w:divBdr>
        <w:top w:val="none" w:sz="0" w:space="0" w:color="auto"/>
        <w:left w:val="none" w:sz="0" w:space="0" w:color="auto"/>
        <w:bottom w:val="none" w:sz="0" w:space="0" w:color="auto"/>
        <w:right w:val="none" w:sz="0" w:space="0" w:color="auto"/>
      </w:divBdr>
    </w:div>
    <w:div w:id="1965312605">
      <w:bodyDiv w:val="1"/>
      <w:marLeft w:val="0"/>
      <w:marRight w:val="0"/>
      <w:marTop w:val="0"/>
      <w:marBottom w:val="0"/>
      <w:divBdr>
        <w:top w:val="none" w:sz="0" w:space="0" w:color="auto"/>
        <w:left w:val="none" w:sz="0" w:space="0" w:color="auto"/>
        <w:bottom w:val="none" w:sz="0" w:space="0" w:color="auto"/>
        <w:right w:val="none" w:sz="0" w:space="0" w:color="auto"/>
      </w:divBdr>
    </w:div>
    <w:div w:id="1965383736">
      <w:bodyDiv w:val="1"/>
      <w:marLeft w:val="0"/>
      <w:marRight w:val="0"/>
      <w:marTop w:val="0"/>
      <w:marBottom w:val="0"/>
      <w:divBdr>
        <w:top w:val="none" w:sz="0" w:space="0" w:color="auto"/>
        <w:left w:val="none" w:sz="0" w:space="0" w:color="auto"/>
        <w:bottom w:val="none" w:sz="0" w:space="0" w:color="auto"/>
        <w:right w:val="none" w:sz="0" w:space="0" w:color="auto"/>
      </w:divBdr>
    </w:div>
    <w:div w:id="1965505470">
      <w:bodyDiv w:val="1"/>
      <w:marLeft w:val="0"/>
      <w:marRight w:val="0"/>
      <w:marTop w:val="0"/>
      <w:marBottom w:val="0"/>
      <w:divBdr>
        <w:top w:val="none" w:sz="0" w:space="0" w:color="auto"/>
        <w:left w:val="none" w:sz="0" w:space="0" w:color="auto"/>
        <w:bottom w:val="none" w:sz="0" w:space="0" w:color="auto"/>
        <w:right w:val="none" w:sz="0" w:space="0" w:color="auto"/>
      </w:divBdr>
    </w:div>
    <w:div w:id="1965571753">
      <w:bodyDiv w:val="1"/>
      <w:marLeft w:val="0"/>
      <w:marRight w:val="0"/>
      <w:marTop w:val="0"/>
      <w:marBottom w:val="0"/>
      <w:divBdr>
        <w:top w:val="none" w:sz="0" w:space="0" w:color="auto"/>
        <w:left w:val="none" w:sz="0" w:space="0" w:color="auto"/>
        <w:bottom w:val="none" w:sz="0" w:space="0" w:color="auto"/>
        <w:right w:val="none" w:sz="0" w:space="0" w:color="auto"/>
      </w:divBdr>
    </w:div>
    <w:div w:id="1965576403">
      <w:bodyDiv w:val="1"/>
      <w:marLeft w:val="0"/>
      <w:marRight w:val="0"/>
      <w:marTop w:val="0"/>
      <w:marBottom w:val="0"/>
      <w:divBdr>
        <w:top w:val="none" w:sz="0" w:space="0" w:color="auto"/>
        <w:left w:val="none" w:sz="0" w:space="0" w:color="auto"/>
        <w:bottom w:val="none" w:sz="0" w:space="0" w:color="auto"/>
        <w:right w:val="none" w:sz="0" w:space="0" w:color="auto"/>
      </w:divBdr>
    </w:div>
    <w:div w:id="1965576974">
      <w:bodyDiv w:val="1"/>
      <w:marLeft w:val="0"/>
      <w:marRight w:val="0"/>
      <w:marTop w:val="0"/>
      <w:marBottom w:val="0"/>
      <w:divBdr>
        <w:top w:val="none" w:sz="0" w:space="0" w:color="auto"/>
        <w:left w:val="none" w:sz="0" w:space="0" w:color="auto"/>
        <w:bottom w:val="none" w:sz="0" w:space="0" w:color="auto"/>
        <w:right w:val="none" w:sz="0" w:space="0" w:color="auto"/>
      </w:divBdr>
    </w:div>
    <w:div w:id="1965695421">
      <w:bodyDiv w:val="1"/>
      <w:marLeft w:val="0"/>
      <w:marRight w:val="0"/>
      <w:marTop w:val="0"/>
      <w:marBottom w:val="0"/>
      <w:divBdr>
        <w:top w:val="none" w:sz="0" w:space="0" w:color="auto"/>
        <w:left w:val="none" w:sz="0" w:space="0" w:color="auto"/>
        <w:bottom w:val="none" w:sz="0" w:space="0" w:color="auto"/>
        <w:right w:val="none" w:sz="0" w:space="0" w:color="auto"/>
      </w:divBdr>
    </w:div>
    <w:div w:id="1965696726">
      <w:bodyDiv w:val="1"/>
      <w:marLeft w:val="0"/>
      <w:marRight w:val="0"/>
      <w:marTop w:val="0"/>
      <w:marBottom w:val="0"/>
      <w:divBdr>
        <w:top w:val="none" w:sz="0" w:space="0" w:color="auto"/>
        <w:left w:val="none" w:sz="0" w:space="0" w:color="auto"/>
        <w:bottom w:val="none" w:sz="0" w:space="0" w:color="auto"/>
        <w:right w:val="none" w:sz="0" w:space="0" w:color="auto"/>
      </w:divBdr>
    </w:div>
    <w:div w:id="1965698276">
      <w:bodyDiv w:val="1"/>
      <w:marLeft w:val="0"/>
      <w:marRight w:val="0"/>
      <w:marTop w:val="0"/>
      <w:marBottom w:val="0"/>
      <w:divBdr>
        <w:top w:val="none" w:sz="0" w:space="0" w:color="auto"/>
        <w:left w:val="none" w:sz="0" w:space="0" w:color="auto"/>
        <w:bottom w:val="none" w:sz="0" w:space="0" w:color="auto"/>
        <w:right w:val="none" w:sz="0" w:space="0" w:color="auto"/>
      </w:divBdr>
    </w:div>
    <w:div w:id="1965698322">
      <w:bodyDiv w:val="1"/>
      <w:marLeft w:val="0"/>
      <w:marRight w:val="0"/>
      <w:marTop w:val="0"/>
      <w:marBottom w:val="0"/>
      <w:divBdr>
        <w:top w:val="none" w:sz="0" w:space="0" w:color="auto"/>
        <w:left w:val="none" w:sz="0" w:space="0" w:color="auto"/>
        <w:bottom w:val="none" w:sz="0" w:space="0" w:color="auto"/>
        <w:right w:val="none" w:sz="0" w:space="0" w:color="auto"/>
      </w:divBdr>
    </w:div>
    <w:div w:id="1965766901">
      <w:bodyDiv w:val="1"/>
      <w:marLeft w:val="0"/>
      <w:marRight w:val="0"/>
      <w:marTop w:val="0"/>
      <w:marBottom w:val="0"/>
      <w:divBdr>
        <w:top w:val="none" w:sz="0" w:space="0" w:color="auto"/>
        <w:left w:val="none" w:sz="0" w:space="0" w:color="auto"/>
        <w:bottom w:val="none" w:sz="0" w:space="0" w:color="auto"/>
        <w:right w:val="none" w:sz="0" w:space="0" w:color="auto"/>
      </w:divBdr>
    </w:div>
    <w:div w:id="1965769553">
      <w:bodyDiv w:val="1"/>
      <w:marLeft w:val="0"/>
      <w:marRight w:val="0"/>
      <w:marTop w:val="0"/>
      <w:marBottom w:val="0"/>
      <w:divBdr>
        <w:top w:val="none" w:sz="0" w:space="0" w:color="auto"/>
        <w:left w:val="none" w:sz="0" w:space="0" w:color="auto"/>
        <w:bottom w:val="none" w:sz="0" w:space="0" w:color="auto"/>
        <w:right w:val="none" w:sz="0" w:space="0" w:color="auto"/>
      </w:divBdr>
    </w:div>
    <w:div w:id="1965771985">
      <w:bodyDiv w:val="1"/>
      <w:marLeft w:val="0"/>
      <w:marRight w:val="0"/>
      <w:marTop w:val="0"/>
      <w:marBottom w:val="0"/>
      <w:divBdr>
        <w:top w:val="none" w:sz="0" w:space="0" w:color="auto"/>
        <w:left w:val="none" w:sz="0" w:space="0" w:color="auto"/>
        <w:bottom w:val="none" w:sz="0" w:space="0" w:color="auto"/>
        <w:right w:val="none" w:sz="0" w:space="0" w:color="auto"/>
      </w:divBdr>
    </w:div>
    <w:div w:id="1965840747">
      <w:bodyDiv w:val="1"/>
      <w:marLeft w:val="0"/>
      <w:marRight w:val="0"/>
      <w:marTop w:val="0"/>
      <w:marBottom w:val="0"/>
      <w:divBdr>
        <w:top w:val="none" w:sz="0" w:space="0" w:color="auto"/>
        <w:left w:val="none" w:sz="0" w:space="0" w:color="auto"/>
        <w:bottom w:val="none" w:sz="0" w:space="0" w:color="auto"/>
        <w:right w:val="none" w:sz="0" w:space="0" w:color="auto"/>
      </w:divBdr>
    </w:div>
    <w:div w:id="1965842498">
      <w:bodyDiv w:val="1"/>
      <w:marLeft w:val="0"/>
      <w:marRight w:val="0"/>
      <w:marTop w:val="0"/>
      <w:marBottom w:val="0"/>
      <w:divBdr>
        <w:top w:val="none" w:sz="0" w:space="0" w:color="auto"/>
        <w:left w:val="none" w:sz="0" w:space="0" w:color="auto"/>
        <w:bottom w:val="none" w:sz="0" w:space="0" w:color="auto"/>
        <w:right w:val="none" w:sz="0" w:space="0" w:color="auto"/>
      </w:divBdr>
    </w:div>
    <w:div w:id="1966085044">
      <w:bodyDiv w:val="1"/>
      <w:marLeft w:val="0"/>
      <w:marRight w:val="0"/>
      <w:marTop w:val="0"/>
      <w:marBottom w:val="0"/>
      <w:divBdr>
        <w:top w:val="none" w:sz="0" w:space="0" w:color="auto"/>
        <w:left w:val="none" w:sz="0" w:space="0" w:color="auto"/>
        <w:bottom w:val="none" w:sz="0" w:space="0" w:color="auto"/>
        <w:right w:val="none" w:sz="0" w:space="0" w:color="auto"/>
      </w:divBdr>
    </w:div>
    <w:div w:id="1966085225">
      <w:bodyDiv w:val="1"/>
      <w:marLeft w:val="0"/>
      <w:marRight w:val="0"/>
      <w:marTop w:val="0"/>
      <w:marBottom w:val="0"/>
      <w:divBdr>
        <w:top w:val="none" w:sz="0" w:space="0" w:color="auto"/>
        <w:left w:val="none" w:sz="0" w:space="0" w:color="auto"/>
        <w:bottom w:val="none" w:sz="0" w:space="0" w:color="auto"/>
        <w:right w:val="none" w:sz="0" w:space="0" w:color="auto"/>
      </w:divBdr>
    </w:div>
    <w:div w:id="1966228673">
      <w:bodyDiv w:val="1"/>
      <w:marLeft w:val="0"/>
      <w:marRight w:val="0"/>
      <w:marTop w:val="0"/>
      <w:marBottom w:val="0"/>
      <w:divBdr>
        <w:top w:val="none" w:sz="0" w:space="0" w:color="auto"/>
        <w:left w:val="none" w:sz="0" w:space="0" w:color="auto"/>
        <w:bottom w:val="none" w:sz="0" w:space="0" w:color="auto"/>
        <w:right w:val="none" w:sz="0" w:space="0" w:color="auto"/>
      </w:divBdr>
    </w:div>
    <w:div w:id="1966425067">
      <w:bodyDiv w:val="1"/>
      <w:marLeft w:val="0"/>
      <w:marRight w:val="0"/>
      <w:marTop w:val="0"/>
      <w:marBottom w:val="0"/>
      <w:divBdr>
        <w:top w:val="none" w:sz="0" w:space="0" w:color="auto"/>
        <w:left w:val="none" w:sz="0" w:space="0" w:color="auto"/>
        <w:bottom w:val="none" w:sz="0" w:space="0" w:color="auto"/>
        <w:right w:val="none" w:sz="0" w:space="0" w:color="auto"/>
      </w:divBdr>
    </w:div>
    <w:div w:id="1966426779">
      <w:bodyDiv w:val="1"/>
      <w:marLeft w:val="0"/>
      <w:marRight w:val="0"/>
      <w:marTop w:val="0"/>
      <w:marBottom w:val="0"/>
      <w:divBdr>
        <w:top w:val="none" w:sz="0" w:space="0" w:color="auto"/>
        <w:left w:val="none" w:sz="0" w:space="0" w:color="auto"/>
        <w:bottom w:val="none" w:sz="0" w:space="0" w:color="auto"/>
        <w:right w:val="none" w:sz="0" w:space="0" w:color="auto"/>
      </w:divBdr>
    </w:div>
    <w:div w:id="1966622680">
      <w:bodyDiv w:val="1"/>
      <w:marLeft w:val="0"/>
      <w:marRight w:val="0"/>
      <w:marTop w:val="0"/>
      <w:marBottom w:val="0"/>
      <w:divBdr>
        <w:top w:val="none" w:sz="0" w:space="0" w:color="auto"/>
        <w:left w:val="none" w:sz="0" w:space="0" w:color="auto"/>
        <w:bottom w:val="none" w:sz="0" w:space="0" w:color="auto"/>
        <w:right w:val="none" w:sz="0" w:space="0" w:color="auto"/>
      </w:divBdr>
    </w:div>
    <w:div w:id="1966696037">
      <w:bodyDiv w:val="1"/>
      <w:marLeft w:val="0"/>
      <w:marRight w:val="0"/>
      <w:marTop w:val="0"/>
      <w:marBottom w:val="0"/>
      <w:divBdr>
        <w:top w:val="none" w:sz="0" w:space="0" w:color="auto"/>
        <w:left w:val="none" w:sz="0" w:space="0" w:color="auto"/>
        <w:bottom w:val="none" w:sz="0" w:space="0" w:color="auto"/>
        <w:right w:val="none" w:sz="0" w:space="0" w:color="auto"/>
      </w:divBdr>
    </w:div>
    <w:div w:id="1966809061">
      <w:bodyDiv w:val="1"/>
      <w:marLeft w:val="0"/>
      <w:marRight w:val="0"/>
      <w:marTop w:val="0"/>
      <w:marBottom w:val="0"/>
      <w:divBdr>
        <w:top w:val="none" w:sz="0" w:space="0" w:color="auto"/>
        <w:left w:val="none" w:sz="0" w:space="0" w:color="auto"/>
        <w:bottom w:val="none" w:sz="0" w:space="0" w:color="auto"/>
        <w:right w:val="none" w:sz="0" w:space="0" w:color="auto"/>
      </w:divBdr>
    </w:div>
    <w:div w:id="1966810070">
      <w:bodyDiv w:val="1"/>
      <w:marLeft w:val="0"/>
      <w:marRight w:val="0"/>
      <w:marTop w:val="0"/>
      <w:marBottom w:val="0"/>
      <w:divBdr>
        <w:top w:val="none" w:sz="0" w:space="0" w:color="auto"/>
        <w:left w:val="none" w:sz="0" w:space="0" w:color="auto"/>
        <w:bottom w:val="none" w:sz="0" w:space="0" w:color="auto"/>
        <w:right w:val="none" w:sz="0" w:space="0" w:color="auto"/>
      </w:divBdr>
    </w:div>
    <w:div w:id="1967005397">
      <w:bodyDiv w:val="1"/>
      <w:marLeft w:val="0"/>
      <w:marRight w:val="0"/>
      <w:marTop w:val="0"/>
      <w:marBottom w:val="0"/>
      <w:divBdr>
        <w:top w:val="none" w:sz="0" w:space="0" w:color="auto"/>
        <w:left w:val="none" w:sz="0" w:space="0" w:color="auto"/>
        <w:bottom w:val="none" w:sz="0" w:space="0" w:color="auto"/>
        <w:right w:val="none" w:sz="0" w:space="0" w:color="auto"/>
      </w:divBdr>
    </w:div>
    <w:div w:id="1967077510">
      <w:bodyDiv w:val="1"/>
      <w:marLeft w:val="0"/>
      <w:marRight w:val="0"/>
      <w:marTop w:val="0"/>
      <w:marBottom w:val="0"/>
      <w:divBdr>
        <w:top w:val="none" w:sz="0" w:space="0" w:color="auto"/>
        <w:left w:val="none" w:sz="0" w:space="0" w:color="auto"/>
        <w:bottom w:val="none" w:sz="0" w:space="0" w:color="auto"/>
        <w:right w:val="none" w:sz="0" w:space="0" w:color="auto"/>
      </w:divBdr>
    </w:div>
    <w:div w:id="1967080743">
      <w:bodyDiv w:val="1"/>
      <w:marLeft w:val="0"/>
      <w:marRight w:val="0"/>
      <w:marTop w:val="0"/>
      <w:marBottom w:val="0"/>
      <w:divBdr>
        <w:top w:val="none" w:sz="0" w:space="0" w:color="auto"/>
        <w:left w:val="none" w:sz="0" w:space="0" w:color="auto"/>
        <w:bottom w:val="none" w:sz="0" w:space="0" w:color="auto"/>
        <w:right w:val="none" w:sz="0" w:space="0" w:color="auto"/>
      </w:divBdr>
    </w:div>
    <w:div w:id="1967420516">
      <w:bodyDiv w:val="1"/>
      <w:marLeft w:val="0"/>
      <w:marRight w:val="0"/>
      <w:marTop w:val="0"/>
      <w:marBottom w:val="0"/>
      <w:divBdr>
        <w:top w:val="none" w:sz="0" w:space="0" w:color="auto"/>
        <w:left w:val="none" w:sz="0" w:space="0" w:color="auto"/>
        <w:bottom w:val="none" w:sz="0" w:space="0" w:color="auto"/>
        <w:right w:val="none" w:sz="0" w:space="0" w:color="auto"/>
      </w:divBdr>
    </w:div>
    <w:div w:id="1967471742">
      <w:bodyDiv w:val="1"/>
      <w:marLeft w:val="0"/>
      <w:marRight w:val="0"/>
      <w:marTop w:val="0"/>
      <w:marBottom w:val="0"/>
      <w:divBdr>
        <w:top w:val="none" w:sz="0" w:space="0" w:color="auto"/>
        <w:left w:val="none" w:sz="0" w:space="0" w:color="auto"/>
        <w:bottom w:val="none" w:sz="0" w:space="0" w:color="auto"/>
        <w:right w:val="none" w:sz="0" w:space="0" w:color="auto"/>
      </w:divBdr>
    </w:div>
    <w:div w:id="1967544314">
      <w:bodyDiv w:val="1"/>
      <w:marLeft w:val="0"/>
      <w:marRight w:val="0"/>
      <w:marTop w:val="0"/>
      <w:marBottom w:val="0"/>
      <w:divBdr>
        <w:top w:val="none" w:sz="0" w:space="0" w:color="auto"/>
        <w:left w:val="none" w:sz="0" w:space="0" w:color="auto"/>
        <w:bottom w:val="none" w:sz="0" w:space="0" w:color="auto"/>
        <w:right w:val="none" w:sz="0" w:space="0" w:color="auto"/>
      </w:divBdr>
    </w:div>
    <w:div w:id="1967618617">
      <w:bodyDiv w:val="1"/>
      <w:marLeft w:val="0"/>
      <w:marRight w:val="0"/>
      <w:marTop w:val="0"/>
      <w:marBottom w:val="0"/>
      <w:divBdr>
        <w:top w:val="none" w:sz="0" w:space="0" w:color="auto"/>
        <w:left w:val="none" w:sz="0" w:space="0" w:color="auto"/>
        <w:bottom w:val="none" w:sz="0" w:space="0" w:color="auto"/>
        <w:right w:val="none" w:sz="0" w:space="0" w:color="auto"/>
      </w:divBdr>
    </w:div>
    <w:div w:id="1967619943">
      <w:bodyDiv w:val="1"/>
      <w:marLeft w:val="0"/>
      <w:marRight w:val="0"/>
      <w:marTop w:val="0"/>
      <w:marBottom w:val="0"/>
      <w:divBdr>
        <w:top w:val="none" w:sz="0" w:space="0" w:color="auto"/>
        <w:left w:val="none" w:sz="0" w:space="0" w:color="auto"/>
        <w:bottom w:val="none" w:sz="0" w:space="0" w:color="auto"/>
        <w:right w:val="none" w:sz="0" w:space="0" w:color="auto"/>
      </w:divBdr>
    </w:div>
    <w:div w:id="1967732380">
      <w:bodyDiv w:val="1"/>
      <w:marLeft w:val="0"/>
      <w:marRight w:val="0"/>
      <w:marTop w:val="0"/>
      <w:marBottom w:val="0"/>
      <w:divBdr>
        <w:top w:val="none" w:sz="0" w:space="0" w:color="auto"/>
        <w:left w:val="none" w:sz="0" w:space="0" w:color="auto"/>
        <w:bottom w:val="none" w:sz="0" w:space="0" w:color="auto"/>
        <w:right w:val="none" w:sz="0" w:space="0" w:color="auto"/>
      </w:divBdr>
    </w:div>
    <w:div w:id="1967807183">
      <w:bodyDiv w:val="1"/>
      <w:marLeft w:val="0"/>
      <w:marRight w:val="0"/>
      <w:marTop w:val="0"/>
      <w:marBottom w:val="0"/>
      <w:divBdr>
        <w:top w:val="none" w:sz="0" w:space="0" w:color="auto"/>
        <w:left w:val="none" w:sz="0" w:space="0" w:color="auto"/>
        <w:bottom w:val="none" w:sz="0" w:space="0" w:color="auto"/>
        <w:right w:val="none" w:sz="0" w:space="0" w:color="auto"/>
      </w:divBdr>
    </w:div>
    <w:div w:id="1967807467">
      <w:bodyDiv w:val="1"/>
      <w:marLeft w:val="0"/>
      <w:marRight w:val="0"/>
      <w:marTop w:val="0"/>
      <w:marBottom w:val="0"/>
      <w:divBdr>
        <w:top w:val="none" w:sz="0" w:space="0" w:color="auto"/>
        <w:left w:val="none" w:sz="0" w:space="0" w:color="auto"/>
        <w:bottom w:val="none" w:sz="0" w:space="0" w:color="auto"/>
        <w:right w:val="none" w:sz="0" w:space="0" w:color="auto"/>
      </w:divBdr>
    </w:div>
    <w:div w:id="1967809771">
      <w:bodyDiv w:val="1"/>
      <w:marLeft w:val="0"/>
      <w:marRight w:val="0"/>
      <w:marTop w:val="0"/>
      <w:marBottom w:val="0"/>
      <w:divBdr>
        <w:top w:val="none" w:sz="0" w:space="0" w:color="auto"/>
        <w:left w:val="none" w:sz="0" w:space="0" w:color="auto"/>
        <w:bottom w:val="none" w:sz="0" w:space="0" w:color="auto"/>
        <w:right w:val="none" w:sz="0" w:space="0" w:color="auto"/>
      </w:divBdr>
    </w:div>
    <w:div w:id="1967812617">
      <w:bodyDiv w:val="1"/>
      <w:marLeft w:val="0"/>
      <w:marRight w:val="0"/>
      <w:marTop w:val="0"/>
      <w:marBottom w:val="0"/>
      <w:divBdr>
        <w:top w:val="none" w:sz="0" w:space="0" w:color="auto"/>
        <w:left w:val="none" w:sz="0" w:space="0" w:color="auto"/>
        <w:bottom w:val="none" w:sz="0" w:space="0" w:color="auto"/>
        <w:right w:val="none" w:sz="0" w:space="0" w:color="auto"/>
      </w:divBdr>
    </w:div>
    <w:div w:id="1967928496">
      <w:bodyDiv w:val="1"/>
      <w:marLeft w:val="0"/>
      <w:marRight w:val="0"/>
      <w:marTop w:val="0"/>
      <w:marBottom w:val="0"/>
      <w:divBdr>
        <w:top w:val="none" w:sz="0" w:space="0" w:color="auto"/>
        <w:left w:val="none" w:sz="0" w:space="0" w:color="auto"/>
        <w:bottom w:val="none" w:sz="0" w:space="0" w:color="auto"/>
        <w:right w:val="none" w:sz="0" w:space="0" w:color="auto"/>
      </w:divBdr>
    </w:div>
    <w:div w:id="1967932659">
      <w:bodyDiv w:val="1"/>
      <w:marLeft w:val="0"/>
      <w:marRight w:val="0"/>
      <w:marTop w:val="0"/>
      <w:marBottom w:val="0"/>
      <w:divBdr>
        <w:top w:val="none" w:sz="0" w:space="0" w:color="auto"/>
        <w:left w:val="none" w:sz="0" w:space="0" w:color="auto"/>
        <w:bottom w:val="none" w:sz="0" w:space="0" w:color="auto"/>
        <w:right w:val="none" w:sz="0" w:space="0" w:color="auto"/>
      </w:divBdr>
    </w:div>
    <w:div w:id="1968000431">
      <w:bodyDiv w:val="1"/>
      <w:marLeft w:val="0"/>
      <w:marRight w:val="0"/>
      <w:marTop w:val="0"/>
      <w:marBottom w:val="0"/>
      <w:divBdr>
        <w:top w:val="none" w:sz="0" w:space="0" w:color="auto"/>
        <w:left w:val="none" w:sz="0" w:space="0" w:color="auto"/>
        <w:bottom w:val="none" w:sz="0" w:space="0" w:color="auto"/>
        <w:right w:val="none" w:sz="0" w:space="0" w:color="auto"/>
      </w:divBdr>
    </w:div>
    <w:div w:id="1968007654">
      <w:bodyDiv w:val="1"/>
      <w:marLeft w:val="0"/>
      <w:marRight w:val="0"/>
      <w:marTop w:val="0"/>
      <w:marBottom w:val="0"/>
      <w:divBdr>
        <w:top w:val="none" w:sz="0" w:space="0" w:color="auto"/>
        <w:left w:val="none" w:sz="0" w:space="0" w:color="auto"/>
        <w:bottom w:val="none" w:sz="0" w:space="0" w:color="auto"/>
        <w:right w:val="none" w:sz="0" w:space="0" w:color="auto"/>
      </w:divBdr>
    </w:div>
    <w:div w:id="1968046788">
      <w:bodyDiv w:val="1"/>
      <w:marLeft w:val="0"/>
      <w:marRight w:val="0"/>
      <w:marTop w:val="0"/>
      <w:marBottom w:val="0"/>
      <w:divBdr>
        <w:top w:val="none" w:sz="0" w:space="0" w:color="auto"/>
        <w:left w:val="none" w:sz="0" w:space="0" w:color="auto"/>
        <w:bottom w:val="none" w:sz="0" w:space="0" w:color="auto"/>
        <w:right w:val="none" w:sz="0" w:space="0" w:color="auto"/>
      </w:divBdr>
    </w:div>
    <w:div w:id="1968118387">
      <w:bodyDiv w:val="1"/>
      <w:marLeft w:val="0"/>
      <w:marRight w:val="0"/>
      <w:marTop w:val="0"/>
      <w:marBottom w:val="0"/>
      <w:divBdr>
        <w:top w:val="none" w:sz="0" w:space="0" w:color="auto"/>
        <w:left w:val="none" w:sz="0" w:space="0" w:color="auto"/>
        <w:bottom w:val="none" w:sz="0" w:space="0" w:color="auto"/>
        <w:right w:val="none" w:sz="0" w:space="0" w:color="auto"/>
      </w:divBdr>
    </w:div>
    <w:div w:id="1968121516">
      <w:bodyDiv w:val="1"/>
      <w:marLeft w:val="0"/>
      <w:marRight w:val="0"/>
      <w:marTop w:val="0"/>
      <w:marBottom w:val="0"/>
      <w:divBdr>
        <w:top w:val="none" w:sz="0" w:space="0" w:color="auto"/>
        <w:left w:val="none" w:sz="0" w:space="0" w:color="auto"/>
        <w:bottom w:val="none" w:sz="0" w:space="0" w:color="auto"/>
        <w:right w:val="none" w:sz="0" w:space="0" w:color="auto"/>
      </w:divBdr>
    </w:div>
    <w:div w:id="1968123096">
      <w:bodyDiv w:val="1"/>
      <w:marLeft w:val="0"/>
      <w:marRight w:val="0"/>
      <w:marTop w:val="0"/>
      <w:marBottom w:val="0"/>
      <w:divBdr>
        <w:top w:val="none" w:sz="0" w:space="0" w:color="auto"/>
        <w:left w:val="none" w:sz="0" w:space="0" w:color="auto"/>
        <w:bottom w:val="none" w:sz="0" w:space="0" w:color="auto"/>
        <w:right w:val="none" w:sz="0" w:space="0" w:color="auto"/>
      </w:divBdr>
    </w:div>
    <w:div w:id="1968195872">
      <w:bodyDiv w:val="1"/>
      <w:marLeft w:val="0"/>
      <w:marRight w:val="0"/>
      <w:marTop w:val="0"/>
      <w:marBottom w:val="0"/>
      <w:divBdr>
        <w:top w:val="none" w:sz="0" w:space="0" w:color="auto"/>
        <w:left w:val="none" w:sz="0" w:space="0" w:color="auto"/>
        <w:bottom w:val="none" w:sz="0" w:space="0" w:color="auto"/>
        <w:right w:val="none" w:sz="0" w:space="0" w:color="auto"/>
      </w:divBdr>
    </w:div>
    <w:div w:id="1968311798">
      <w:bodyDiv w:val="1"/>
      <w:marLeft w:val="0"/>
      <w:marRight w:val="0"/>
      <w:marTop w:val="0"/>
      <w:marBottom w:val="0"/>
      <w:divBdr>
        <w:top w:val="none" w:sz="0" w:space="0" w:color="auto"/>
        <w:left w:val="none" w:sz="0" w:space="0" w:color="auto"/>
        <w:bottom w:val="none" w:sz="0" w:space="0" w:color="auto"/>
        <w:right w:val="none" w:sz="0" w:space="0" w:color="auto"/>
      </w:divBdr>
    </w:div>
    <w:div w:id="1968319112">
      <w:bodyDiv w:val="1"/>
      <w:marLeft w:val="0"/>
      <w:marRight w:val="0"/>
      <w:marTop w:val="0"/>
      <w:marBottom w:val="0"/>
      <w:divBdr>
        <w:top w:val="none" w:sz="0" w:space="0" w:color="auto"/>
        <w:left w:val="none" w:sz="0" w:space="0" w:color="auto"/>
        <w:bottom w:val="none" w:sz="0" w:space="0" w:color="auto"/>
        <w:right w:val="none" w:sz="0" w:space="0" w:color="auto"/>
      </w:divBdr>
    </w:div>
    <w:div w:id="1968507833">
      <w:bodyDiv w:val="1"/>
      <w:marLeft w:val="0"/>
      <w:marRight w:val="0"/>
      <w:marTop w:val="0"/>
      <w:marBottom w:val="0"/>
      <w:divBdr>
        <w:top w:val="none" w:sz="0" w:space="0" w:color="auto"/>
        <w:left w:val="none" w:sz="0" w:space="0" w:color="auto"/>
        <w:bottom w:val="none" w:sz="0" w:space="0" w:color="auto"/>
        <w:right w:val="none" w:sz="0" w:space="0" w:color="auto"/>
      </w:divBdr>
    </w:div>
    <w:div w:id="1968508168">
      <w:bodyDiv w:val="1"/>
      <w:marLeft w:val="0"/>
      <w:marRight w:val="0"/>
      <w:marTop w:val="0"/>
      <w:marBottom w:val="0"/>
      <w:divBdr>
        <w:top w:val="none" w:sz="0" w:space="0" w:color="auto"/>
        <w:left w:val="none" w:sz="0" w:space="0" w:color="auto"/>
        <w:bottom w:val="none" w:sz="0" w:space="0" w:color="auto"/>
        <w:right w:val="none" w:sz="0" w:space="0" w:color="auto"/>
      </w:divBdr>
    </w:div>
    <w:div w:id="1968508261">
      <w:bodyDiv w:val="1"/>
      <w:marLeft w:val="0"/>
      <w:marRight w:val="0"/>
      <w:marTop w:val="0"/>
      <w:marBottom w:val="0"/>
      <w:divBdr>
        <w:top w:val="none" w:sz="0" w:space="0" w:color="auto"/>
        <w:left w:val="none" w:sz="0" w:space="0" w:color="auto"/>
        <w:bottom w:val="none" w:sz="0" w:space="0" w:color="auto"/>
        <w:right w:val="none" w:sz="0" w:space="0" w:color="auto"/>
      </w:divBdr>
    </w:div>
    <w:div w:id="1968581174">
      <w:bodyDiv w:val="1"/>
      <w:marLeft w:val="0"/>
      <w:marRight w:val="0"/>
      <w:marTop w:val="0"/>
      <w:marBottom w:val="0"/>
      <w:divBdr>
        <w:top w:val="none" w:sz="0" w:space="0" w:color="auto"/>
        <w:left w:val="none" w:sz="0" w:space="0" w:color="auto"/>
        <w:bottom w:val="none" w:sz="0" w:space="0" w:color="auto"/>
        <w:right w:val="none" w:sz="0" w:space="0" w:color="auto"/>
      </w:divBdr>
    </w:div>
    <w:div w:id="1968703234">
      <w:bodyDiv w:val="1"/>
      <w:marLeft w:val="0"/>
      <w:marRight w:val="0"/>
      <w:marTop w:val="0"/>
      <w:marBottom w:val="0"/>
      <w:divBdr>
        <w:top w:val="none" w:sz="0" w:space="0" w:color="auto"/>
        <w:left w:val="none" w:sz="0" w:space="0" w:color="auto"/>
        <w:bottom w:val="none" w:sz="0" w:space="0" w:color="auto"/>
        <w:right w:val="none" w:sz="0" w:space="0" w:color="auto"/>
      </w:divBdr>
    </w:div>
    <w:div w:id="1968777521">
      <w:bodyDiv w:val="1"/>
      <w:marLeft w:val="0"/>
      <w:marRight w:val="0"/>
      <w:marTop w:val="0"/>
      <w:marBottom w:val="0"/>
      <w:divBdr>
        <w:top w:val="none" w:sz="0" w:space="0" w:color="auto"/>
        <w:left w:val="none" w:sz="0" w:space="0" w:color="auto"/>
        <w:bottom w:val="none" w:sz="0" w:space="0" w:color="auto"/>
        <w:right w:val="none" w:sz="0" w:space="0" w:color="auto"/>
      </w:divBdr>
    </w:div>
    <w:div w:id="1968852820">
      <w:bodyDiv w:val="1"/>
      <w:marLeft w:val="0"/>
      <w:marRight w:val="0"/>
      <w:marTop w:val="0"/>
      <w:marBottom w:val="0"/>
      <w:divBdr>
        <w:top w:val="none" w:sz="0" w:space="0" w:color="auto"/>
        <w:left w:val="none" w:sz="0" w:space="0" w:color="auto"/>
        <w:bottom w:val="none" w:sz="0" w:space="0" w:color="auto"/>
        <w:right w:val="none" w:sz="0" w:space="0" w:color="auto"/>
      </w:divBdr>
    </w:div>
    <w:div w:id="1968853120">
      <w:bodyDiv w:val="1"/>
      <w:marLeft w:val="0"/>
      <w:marRight w:val="0"/>
      <w:marTop w:val="0"/>
      <w:marBottom w:val="0"/>
      <w:divBdr>
        <w:top w:val="none" w:sz="0" w:space="0" w:color="auto"/>
        <w:left w:val="none" w:sz="0" w:space="0" w:color="auto"/>
        <w:bottom w:val="none" w:sz="0" w:space="0" w:color="auto"/>
        <w:right w:val="none" w:sz="0" w:space="0" w:color="auto"/>
      </w:divBdr>
    </w:div>
    <w:div w:id="1968898648">
      <w:bodyDiv w:val="1"/>
      <w:marLeft w:val="0"/>
      <w:marRight w:val="0"/>
      <w:marTop w:val="0"/>
      <w:marBottom w:val="0"/>
      <w:divBdr>
        <w:top w:val="none" w:sz="0" w:space="0" w:color="auto"/>
        <w:left w:val="none" w:sz="0" w:space="0" w:color="auto"/>
        <w:bottom w:val="none" w:sz="0" w:space="0" w:color="auto"/>
        <w:right w:val="none" w:sz="0" w:space="0" w:color="auto"/>
      </w:divBdr>
    </w:div>
    <w:div w:id="1968928211">
      <w:bodyDiv w:val="1"/>
      <w:marLeft w:val="0"/>
      <w:marRight w:val="0"/>
      <w:marTop w:val="0"/>
      <w:marBottom w:val="0"/>
      <w:divBdr>
        <w:top w:val="none" w:sz="0" w:space="0" w:color="auto"/>
        <w:left w:val="none" w:sz="0" w:space="0" w:color="auto"/>
        <w:bottom w:val="none" w:sz="0" w:space="0" w:color="auto"/>
        <w:right w:val="none" w:sz="0" w:space="0" w:color="auto"/>
      </w:divBdr>
    </w:div>
    <w:div w:id="1969314581">
      <w:bodyDiv w:val="1"/>
      <w:marLeft w:val="0"/>
      <w:marRight w:val="0"/>
      <w:marTop w:val="0"/>
      <w:marBottom w:val="0"/>
      <w:divBdr>
        <w:top w:val="none" w:sz="0" w:space="0" w:color="auto"/>
        <w:left w:val="none" w:sz="0" w:space="0" w:color="auto"/>
        <w:bottom w:val="none" w:sz="0" w:space="0" w:color="auto"/>
        <w:right w:val="none" w:sz="0" w:space="0" w:color="auto"/>
      </w:divBdr>
    </w:div>
    <w:div w:id="1969317831">
      <w:bodyDiv w:val="1"/>
      <w:marLeft w:val="0"/>
      <w:marRight w:val="0"/>
      <w:marTop w:val="0"/>
      <w:marBottom w:val="0"/>
      <w:divBdr>
        <w:top w:val="none" w:sz="0" w:space="0" w:color="auto"/>
        <w:left w:val="none" w:sz="0" w:space="0" w:color="auto"/>
        <w:bottom w:val="none" w:sz="0" w:space="0" w:color="auto"/>
        <w:right w:val="none" w:sz="0" w:space="0" w:color="auto"/>
      </w:divBdr>
    </w:div>
    <w:div w:id="1969387295">
      <w:bodyDiv w:val="1"/>
      <w:marLeft w:val="0"/>
      <w:marRight w:val="0"/>
      <w:marTop w:val="0"/>
      <w:marBottom w:val="0"/>
      <w:divBdr>
        <w:top w:val="none" w:sz="0" w:space="0" w:color="auto"/>
        <w:left w:val="none" w:sz="0" w:space="0" w:color="auto"/>
        <w:bottom w:val="none" w:sz="0" w:space="0" w:color="auto"/>
        <w:right w:val="none" w:sz="0" w:space="0" w:color="auto"/>
      </w:divBdr>
    </w:div>
    <w:div w:id="1969504000">
      <w:bodyDiv w:val="1"/>
      <w:marLeft w:val="0"/>
      <w:marRight w:val="0"/>
      <w:marTop w:val="0"/>
      <w:marBottom w:val="0"/>
      <w:divBdr>
        <w:top w:val="none" w:sz="0" w:space="0" w:color="auto"/>
        <w:left w:val="none" w:sz="0" w:space="0" w:color="auto"/>
        <w:bottom w:val="none" w:sz="0" w:space="0" w:color="auto"/>
        <w:right w:val="none" w:sz="0" w:space="0" w:color="auto"/>
      </w:divBdr>
    </w:div>
    <w:div w:id="1969586090">
      <w:bodyDiv w:val="1"/>
      <w:marLeft w:val="0"/>
      <w:marRight w:val="0"/>
      <w:marTop w:val="0"/>
      <w:marBottom w:val="0"/>
      <w:divBdr>
        <w:top w:val="none" w:sz="0" w:space="0" w:color="auto"/>
        <w:left w:val="none" w:sz="0" w:space="0" w:color="auto"/>
        <w:bottom w:val="none" w:sz="0" w:space="0" w:color="auto"/>
        <w:right w:val="none" w:sz="0" w:space="0" w:color="auto"/>
      </w:divBdr>
    </w:div>
    <w:div w:id="1969701613">
      <w:bodyDiv w:val="1"/>
      <w:marLeft w:val="0"/>
      <w:marRight w:val="0"/>
      <w:marTop w:val="0"/>
      <w:marBottom w:val="0"/>
      <w:divBdr>
        <w:top w:val="none" w:sz="0" w:space="0" w:color="auto"/>
        <w:left w:val="none" w:sz="0" w:space="0" w:color="auto"/>
        <w:bottom w:val="none" w:sz="0" w:space="0" w:color="auto"/>
        <w:right w:val="none" w:sz="0" w:space="0" w:color="auto"/>
      </w:divBdr>
    </w:div>
    <w:div w:id="1969773315">
      <w:bodyDiv w:val="1"/>
      <w:marLeft w:val="0"/>
      <w:marRight w:val="0"/>
      <w:marTop w:val="0"/>
      <w:marBottom w:val="0"/>
      <w:divBdr>
        <w:top w:val="none" w:sz="0" w:space="0" w:color="auto"/>
        <w:left w:val="none" w:sz="0" w:space="0" w:color="auto"/>
        <w:bottom w:val="none" w:sz="0" w:space="0" w:color="auto"/>
        <w:right w:val="none" w:sz="0" w:space="0" w:color="auto"/>
      </w:divBdr>
    </w:div>
    <w:div w:id="1969818602">
      <w:bodyDiv w:val="1"/>
      <w:marLeft w:val="0"/>
      <w:marRight w:val="0"/>
      <w:marTop w:val="0"/>
      <w:marBottom w:val="0"/>
      <w:divBdr>
        <w:top w:val="none" w:sz="0" w:space="0" w:color="auto"/>
        <w:left w:val="none" w:sz="0" w:space="0" w:color="auto"/>
        <w:bottom w:val="none" w:sz="0" w:space="0" w:color="auto"/>
        <w:right w:val="none" w:sz="0" w:space="0" w:color="auto"/>
      </w:divBdr>
    </w:div>
    <w:div w:id="1969966528">
      <w:bodyDiv w:val="1"/>
      <w:marLeft w:val="0"/>
      <w:marRight w:val="0"/>
      <w:marTop w:val="0"/>
      <w:marBottom w:val="0"/>
      <w:divBdr>
        <w:top w:val="none" w:sz="0" w:space="0" w:color="auto"/>
        <w:left w:val="none" w:sz="0" w:space="0" w:color="auto"/>
        <w:bottom w:val="none" w:sz="0" w:space="0" w:color="auto"/>
        <w:right w:val="none" w:sz="0" w:space="0" w:color="auto"/>
      </w:divBdr>
    </w:div>
    <w:div w:id="1970164962">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0239193">
      <w:bodyDiv w:val="1"/>
      <w:marLeft w:val="0"/>
      <w:marRight w:val="0"/>
      <w:marTop w:val="0"/>
      <w:marBottom w:val="0"/>
      <w:divBdr>
        <w:top w:val="none" w:sz="0" w:space="0" w:color="auto"/>
        <w:left w:val="none" w:sz="0" w:space="0" w:color="auto"/>
        <w:bottom w:val="none" w:sz="0" w:space="0" w:color="auto"/>
        <w:right w:val="none" w:sz="0" w:space="0" w:color="auto"/>
      </w:divBdr>
    </w:div>
    <w:div w:id="1970430095">
      <w:bodyDiv w:val="1"/>
      <w:marLeft w:val="0"/>
      <w:marRight w:val="0"/>
      <w:marTop w:val="0"/>
      <w:marBottom w:val="0"/>
      <w:divBdr>
        <w:top w:val="none" w:sz="0" w:space="0" w:color="auto"/>
        <w:left w:val="none" w:sz="0" w:space="0" w:color="auto"/>
        <w:bottom w:val="none" w:sz="0" w:space="0" w:color="auto"/>
        <w:right w:val="none" w:sz="0" w:space="0" w:color="auto"/>
      </w:divBdr>
    </w:div>
    <w:div w:id="1970430840">
      <w:bodyDiv w:val="1"/>
      <w:marLeft w:val="0"/>
      <w:marRight w:val="0"/>
      <w:marTop w:val="0"/>
      <w:marBottom w:val="0"/>
      <w:divBdr>
        <w:top w:val="none" w:sz="0" w:space="0" w:color="auto"/>
        <w:left w:val="none" w:sz="0" w:space="0" w:color="auto"/>
        <w:bottom w:val="none" w:sz="0" w:space="0" w:color="auto"/>
        <w:right w:val="none" w:sz="0" w:space="0" w:color="auto"/>
      </w:divBdr>
    </w:div>
    <w:div w:id="1970477028">
      <w:bodyDiv w:val="1"/>
      <w:marLeft w:val="0"/>
      <w:marRight w:val="0"/>
      <w:marTop w:val="0"/>
      <w:marBottom w:val="0"/>
      <w:divBdr>
        <w:top w:val="none" w:sz="0" w:space="0" w:color="auto"/>
        <w:left w:val="none" w:sz="0" w:space="0" w:color="auto"/>
        <w:bottom w:val="none" w:sz="0" w:space="0" w:color="auto"/>
        <w:right w:val="none" w:sz="0" w:space="0" w:color="auto"/>
      </w:divBdr>
    </w:div>
    <w:div w:id="1970502586">
      <w:bodyDiv w:val="1"/>
      <w:marLeft w:val="0"/>
      <w:marRight w:val="0"/>
      <w:marTop w:val="0"/>
      <w:marBottom w:val="0"/>
      <w:divBdr>
        <w:top w:val="none" w:sz="0" w:space="0" w:color="auto"/>
        <w:left w:val="none" w:sz="0" w:space="0" w:color="auto"/>
        <w:bottom w:val="none" w:sz="0" w:space="0" w:color="auto"/>
        <w:right w:val="none" w:sz="0" w:space="0" w:color="auto"/>
      </w:divBdr>
    </w:div>
    <w:div w:id="1970620608">
      <w:bodyDiv w:val="1"/>
      <w:marLeft w:val="0"/>
      <w:marRight w:val="0"/>
      <w:marTop w:val="0"/>
      <w:marBottom w:val="0"/>
      <w:divBdr>
        <w:top w:val="none" w:sz="0" w:space="0" w:color="auto"/>
        <w:left w:val="none" w:sz="0" w:space="0" w:color="auto"/>
        <w:bottom w:val="none" w:sz="0" w:space="0" w:color="auto"/>
        <w:right w:val="none" w:sz="0" w:space="0" w:color="auto"/>
      </w:divBdr>
    </w:div>
    <w:div w:id="1970671142">
      <w:bodyDiv w:val="1"/>
      <w:marLeft w:val="0"/>
      <w:marRight w:val="0"/>
      <w:marTop w:val="0"/>
      <w:marBottom w:val="0"/>
      <w:divBdr>
        <w:top w:val="none" w:sz="0" w:space="0" w:color="auto"/>
        <w:left w:val="none" w:sz="0" w:space="0" w:color="auto"/>
        <w:bottom w:val="none" w:sz="0" w:space="0" w:color="auto"/>
        <w:right w:val="none" w:sz="0" w:space="0" w:color="auto"/>
      </w:divBdr>
    </w:div>
    <w:div w:id="1970698879">
      <w:bodyDiv w:val="1"/>
      <w:marLeft w:val="0"/>
      <w:marRight w:val="0"/>
      <w:marTop w:val="0"/>
      <w:marBottom w:val="0"/>
      <w:divBdr>
        <w:top w:val="none" w:sz="0" w:space="0" w:color="auto"/>
        <w:left w:val="none" w:sz="0" w:space="0" w:color="auto"/>
        <w:bottom w:val="none" w:sz="0" w:space="0" w:color="auto"/>
        <w:right w:val="none" w:sz="0" w:space="0" w:color="auto"/>
      </w:divBdr>
    </w:div>
    <w:div w:id="1970938436">
      <w:bodyDiv w:val="1"/>
      <w:marLeft w:val="0"/>
      <w:marRight w:val="0"/>
      <w:marTop w:val="0"/>
      <w:marBottom w:val="0"/>
      <w:divBdr>
        <w:top w:val="none" w:sz="0" w:space="0" w:color="auto"/>
        <w:left w:val="none" w:sz="0" w:space="0" w:color="auto"/>
        <w:bottom w:val="none" w:sz="0" w:space="0" w:color="auto"/>
        <w:right w:val="none" w:sz="0" w:space="0" w:color="auto"/>
      </w:divBdr>
    </w:div>
    <w:div w:id="1971009029">
      <w:bodyDiv w:val="1"/>
      <w:marLeft w:val="0"/>
      <w:marRight w:val="0"/>
      <w:marTop w:val="0"/>
      <w:marBottom w:val="0"/>
      <w:divBdr>
        <w:top w:val="none" w:sz="0" w:space="0" w:color="auto"/>
        <w:left w:val="none" w:sz="0" w:space="0" w:color="auto"/>
        <w:bottom w:val="none" w:sz="0" w:space="0" w:color="auto"/>
        <w:right w:val="none" w:sz="0" w:space="0" w:color="auto"/>
      </w:divBdr>
    </w:div>
    <w:div w:id="1971012041">
      <w:bodyDiv w:val="1"/>
      <w:marLeft w:val="0"/>
      <w:marRight w:val="0"/>
      <w:marTop w:val="0"/>
      <w:marBottom w:val="0"/>
      <w:divBdr>
        <w:top w:val="none" w:sz="0" w:space="0" w:color="auto"/>
        <w:left w:val="none" w:sz="0" w:space="0" w:color="auto"/>
        <w:bottom w:val="none" w:sz="0" w:space="0" w:color="auto"/>
        <w:right w:val="none" w:sz="0" w:space="0" w:color="auto"/>
      </w:divBdr>
    </w:div>
    <w:div w:id="1971082434">
      <w:bodyDiv w:val="1"/>
      <w:marLeft w:val="0"/>
      <w:marRight w:val="0"/>
      <w:marTop w:val="0"/>
      <w:marBottom w:val="0"/>
      <w:divBdr>
        <w:top w:val="none" w:sz="0" w:space="0" w:color="auto"/>
        <w:left w:val="none" w:sz="0" w:space="0" w:color="auto"/>
        <w:bottom w:val="none" w:sz="0" w:space="0" w:color="auto"/>
        <w:right w:val="none" w:sz="0" w:space="0" w:color="auto"/>
      </w:divBdr>
    </w:div>
    <w:div w:id="1971127090">
      <w:bodyDiv w:val="1"/>
      <w:marLeft w:val="0"/>
      <w:marRight w:val="0"/>
      <w:marTop w:val="0"/>
      <w:marBottom w:val="0"/>
      <w:divBdr>
        <w:top w:val="none" w:sz="0" w:space="0" w:color="auto"/>
        <w:left w:val="none" w:sz="0" w:space="0" w:color="auto"/>
        <w:bottom w:val="none" w:sz="0" w:space="0" w:color="auto"/>
        <w:right w:val="none" w:sz="0" w:space="0" w:color="auto"/>
      </w:divBdr>
    </w:div>
    <w:div w:id="1971127614">
      <w:bodyDiv w:val="1"/>
      <w:marLeft w:val="0"/>
      <w:marRight w:val="0"/>
      <w:marTop w:val="0"/>
      <w:marBottom w:val="0"/>
      <w:divBdr>
        <w:top w:val="none" w:sz="0" w:space="0" w:color="auto"/>
        <w:left w:val="none" w:sz="0" w:space="0" w:color="auto"/>
        <w:bottom w:val="none" w:sz="0" w:space="0" w:color="auto"/>
        <w:right w:val="none" w:sz="0" w:space="0" w:color="auto"/>
      </w:divBdr>
    </w:div>
    <w:div w:id="1971205099">
      <w:bodyDiv w:val="1"/>
      <w:marLeft w:val="0"/>
      <w:marRight w:val="0"/>
      <w:marTop w:val="0"/>
      <w:marBottom w:val="0"/>
      <w:divBdr>
        <w:top w:val="none" w:sz="0" w:space="0" w:color="auto"/>
        <w:left w:val="none" w:sz="0" w:space="0" w:color="auto"/>
        <w:bottom w:val="none" w:sz="0" w:space="0" w:color="auto"/>
        <w:right w:val="none" w:sz="0" w:space="0" w:color="auto"/>
      </w:divBdr>
    </w:div>
    <w:div w:id="1971355038">
      <w:bodyDiv w:val="1"/>
      <w:marLeft w:val="0"/>
      <w:marRight w:val="0"/>
      <w:marTop w:val="0"/>
      <w:marBottom w:val="0"/>
      <w:divBdr>
        <w:top w:val="none" w:sz="0" w:space="0" w:color="auto"/>
        <w:left w:val="none" w:sz="0" w:space="0" w:color="auto"/>
        <w:bottom w:val="none" w:sz="0" w:space="0" w:color="auto"/>
        <w:right w:val="none" w:sz="0" w:space="0" w:color="auto"/>
      </w:divBdr>
    </w:div>
    <w:div w:id="1971393572">
      <w:bodyDiv w:val="1"/>
      <w:marLeft w:val="0"/>
      <w:marRight w:val="0"/>
      <w:marTop w:val="0"/>
      <w:marBottom w:val="0"/>
      <w:divBdr>
        <w:top w:val="none" w:sz="0" w:space="0" w:color="auto"/>
        <w:left w:val="none" w:sz="0" w:space="0" w:color="auto"/>
        <w:bottom w:val="none" w:sz="0" w:space="0" w:color="auto"/>
        <w:right w:val="none" w:sz="0" w:space="0" w:color="auto"/>
      </w:divBdr>
    </w:div>
    <w:div w:id="1971552120">
      <w:bodyDiv w:val="1"/>
      <w:marLeft w:val="0"/>
      <w:marRight w:val="0"/>
      <w:marTop w:val="0"/>
      <w:marBottom w:val="0"/>
      <w:divBdr>
        <w:top w:val="none" w:sz="0" w:space="0" w:color="auto"/>
        <w:left w:val="none" w:sz="0" w:space="0" w:color="auto"/>
        <w:bottom w:val="none" w:sz="0" w:space="0" w:color="auto"/>
        <w:right w:val="none" w:sz="0" w:space="0" w:color="auto"/>
      </w:divBdr>
    </w:div>
    <w:div w:id="1971594342">
      <w:bodyDiv w:val="1"/>
      <w:marLeft w:val="0"/>
      <w:marRight w:val="0"/>
      <w:marTop w:val="0"/>
      <w:marBottom w:val="0"/>
      <w:divBdr>
        <w:top w:val="none" w:sz="0" w:space="0" w:color="auto"/>
        <w:left w:val="none" w:sz="0" w:space="0" w:color="auto"/>
        <w:bottom w:val="none" w:sz="0" w:space="0" w:color="auto"/>
        <w:right w:val="none" w:sz="0" w:space="0" w:color="auto"/>
      </w:divBdr>
    </w:div>
    <w:div w:id="1971936742">
      <w:bodyDiv w:val="1"/>
      <w:marLeft w:val="0"/>
      <w:marRight w:val="0"/>
      <w:marTop w:val="0"/>
      <w:marBottom w:val="0"/>
      <w:divBdr>
        <w:top w:val="none" w:sz="0" w:space="0" w:color="auto"/>
        <w:left w:val="none" w:sz="0" w:space="0" w:color="auto"/>
        <w:bottom w:val="none" w:sz="0" w:space="0" w:color="auto"/>
        <w:right w:val="none" w:sz="0" w:space="0" w:color="auto"/>
      </w:divBdr>
    </w:div>
    <w:div w:id="1971938443">
      <w:bodyDiv w:val="1"/>
      <w:marLeft w:val="0"/>
      <w:marRight w:val="0"/>
      <w:marTop w:val="0"/>
      <w:marBottom w:val="0"/>
      <w:divBdr>
        <w:top w:val="none" w:sz="0" w:space="0" w:color="auto"/>
        <w:left w:val="none" w:sz="0" w:space="0" w:color="auto"/>
        <w:bottom w:val="none" w:sz="0" w:space="0" w:color="auto"/>
        <w:right w:val="none" w:sz="0" w:space="0" w:color="auto"/>
      </w:divBdr>
    </w:div>
    <w:div w:id="1972049703">
      <w:bodyDiv w:val="1"/>
      <w:marLeft w:val="0"/>
      <w:marRight w:val="0"/>
      <w:marTop w:val="0"/>
      <w:marBottom w:val="0"/>
      <w:divBdr>
        <w:top w:val="none" w:sz="0" w:space="0" w:color="auto"/>
        <w:left w:val="none" w:sz="0" w:space="0" w:color="auto"/>
        <w:bottom w:val="none" w:sz="0" w:space="0" w:color="auto"/>
        <w:right w:val="none" w:sz="0" w:space="0" w:color="auto"/>
      </w:divBdr>
    </w:div>
    <w:div w:id="1972131168">
      <w:bodyDiv w:val="1"/>
      <w:marLeft w:val="0"/>
      <w:marRight w:val="0"/>
      <w:marTop w:val="0"/>
      <w:marBottom w:val="0"/>
      <w:divBdr>
        <w:top w:val="none" w:sz="0" w:space="0" w:color="auto"/>
        <w:left w:val="none" w:sz="0" w:space="0" w:color="auto"/>
        <w:bottom w:val="none" w:sz="0" w:space="0" w:color="auto"/>
        <w:right w:val="none" w:sz="0" w:space="0" w:color="auto"/>
      </w:divBdr>
    </w:div>
    <w:div w:id="1972200479">
      <w:bodyDiv w:val="1"/>
      <w:marLeft w:val="0"/>
      <w:marRight w:val="0"/>
      <w:marTop w:val="0"/>
      <w:marBottom w:val="0"/>
      <w:divBdr>
        <w:top w:val="none" w:sz="0" w:space="0" w:color="auto"/>
        <w:left w:val="none" w:sz="0" w:space="0" w:color="auto"/>
        <w:bottom w:val="none" w:sz="0" w:space="0" w:color="auto"/>
        <w:right w:val="none" w:sz="0" w:space="0" w:color="auto"/>
      </w:divBdr>
    </w:div>
    <w:div w:id="1972205847">
      <w:bodyDiv w:val="1"/>
      <w:marLeft w:val="0"/>
      <w:marRight w:val="0"/>
      <w:marTop w:val="0"/>
      <w:marBottom w:val="0"/>
      <w:divBdr>
        <w:top w:val="none" w:sz="0" w:space="0" w:color="auto"/>
        <w:left w:val="none" w:sz="0" w:space="0" w:color="auto"/>
        <w:bottom w:val="none" w:sz="0" w:space="0" w:color="auto"/>
        <w:right w:val="none" w:sz="0" w:space="0" w:color="auto"/>
      </w:divBdr>
    </w:div>
    <w:div w:id="1972395653">
      <w:bodyDiv w:val="1"/>
      <w:marLeft w:val="0"/>
      <w:marRight w:val="0"/>
      <w:marTop w:val="0"/>
      <w:marBottom w:val="0"/>
      <w:divBdr>
        <w:top w:val="none" w:sz="0" w:space="0" w:color="auto"/>
        <w:left w:val="none" w:sz="0" w:space="0" w:color="auto"/>
        <w:bottom w:val="none" w:sz="0" w:space="0" w:color="auto"/>
        <w:right w:val="none" w:sz="0" w:space="0" w:color="auto"/>
      </w:divBdr>
    </w:div>
    <w:div w:id="1972396297">
      <w:bodyDiv w:val="1"/>
      <w:marLeft w:val="0"/>
      <w:marRight w:val="0"/>
      <w:marTop w:val="0"/>
      <w:marBottom w:val="0"/>
      <w:divBdr>
        <w:top w:val="none" w:sz="0" w:space="0" w:color="auto"/>
        <w:left w:val="none" w:sz="0" w:space="0" w:color="auto"/>
        <w:bottom w:val="none" w:sz="0" w:space="0" w:color="auto"/>
        <w:right w:val="none" w:sz="0" w:space="0" w:color="auto"/>
      </w:divBdr>
    </w:div>
    <w:div w:id="1972402533">
      <w:bodyDiv w:val="1"/>
      <w:marLeft w:val="0"/>
      <w:marRight w:val="0"/>
      <w:marTop w:val="0"/>
      <w:marBottom w:val="0"/>
      <w:divBdr>
        <w:top w:val="none" w:sz="0" w:space="0" w:color="auto"/>
        <w:left w:val="none" w:sz="0" w:space="0" w:color="auto"/>
        <w:bottom w:val="none" w:sz="0" w:space="0" w:color="auto"/>
        <w:right w:val="none" w:sz="0" w:space="0" w:color="auto"/>
      </w:divBdr>
    </w:div>
    <w:div w:id="1972661934">
      <w:bodyDiv w:val="1"/>
      <w:marLeft w:val="0"/>
      <w:marRight w:val="0"/>
      <w:marTop w:val="0"/>
      <w:marBottom w:val="0"/>
      <w:divBdr>
        <w:top w:val="none" w:sz="0" w:space="0" w:color="auto"/>
        <w:left w:val="none" w:sz="0" w:space="0" w:color="auto"/>
        <w:bottom w:val="none" w:sz="0" w:space="0" w:color="auto"/>
        <w:right w:val="none" w:sz="0" w:space="0" w:color="auto"/>
      </w:divBdr>
    </w:div>
    <w:div w:id="1972784856">
      <w:bodyDiv w:val="1"/>
      <w:marLeft w:val="0"/>
      <w:marRight w:val="0"/>
      <w:marTop w:val="0"/>
      <w:marBottom w:val="0"/>
      <w:divBdr>
        <w:top w:val="none" w:sz="0" w:space="0" w:color="auto"/>
        <w:left w:val="none" w:sz="0" w:space="0" w:color="auto"/>
        <w:bottom w:val="none" w:sz="0" w:space="0" w:color="auto"/>
        <w:right w:val="none" w:sz="0" w:space="0" w:color="auto"/>
      </w:divBdr>
    </w:div>
    <w:div w:id="1972973394">
      <w:bodyDiv w:val="1"/>
      <w:marLeft w:val="0"/>
      <w:marRight w:val="0"/>
      <w:marTop w:val="0"/>
      <w:marBottom w:val="0"/>
      <w:divBdr>
        <w:top w:val="none" w:sz="0" w:space="0" w:color="auto"/>
        <w:left w:val="none" w:sz="0" w:space="0" w:color="auto"/>
        <w:bottom w:val="none" w:sz="0" w:space="0" w:color="auto"/>
        <w:right w:val="none" w:sz="0" w:space="0" w:color="auto"/>
      </w:divBdr>
    </w:div>
    <w:div w:id="1972982221">
      <w:bodyDiv w:val="1"/>
      <w:marLeft w:val="0"/>
      <w:marRight w:val="0"/>
      <w:marTop w:val="0"/>
      <w:marBottom w:val="0"/>
      <w:divBdr>
        <w:top w:val="none" w:sz="0" w:space="0" w:color="auto"/>
        <w:left w:val="none" w:sz="0" w:space="0" w:color="auto"/>
        <w:bottom w:val="none" w:sz="0" w:space="0" w:color="auto"/>
        <w:right w:val="none" w:sz="0" w:space="0" w:color="auto"/>
      </w:divBdr>
    </w:div>
    <w:div w:id="1973055844">
      <w:bodyDiv w:val="1"/>
      <w:marLeft w:val="0"/>
      <w:marRight w:val="0"/>
      <w:marTop w:val="0"/>
      <w:marBottom w:val="0"/>
      <w:divBdr>
        <w:top w:val="none" w:sz="0" w:space="0" w:color="auto"/>
        <w:left w:val="none" w:sz="0" w:space="0" w:color="auto"/>
        <w:bottom w:val="none" w:sz="0" w:space="0" w:color="auto"/>
        <w:right w:val="none" w:sz="0" w:space="0" w:color="auto"/>
      </w:divBdr>
    </w:div>
    <w:div w:id="1973289665">
      <w:bodyDiv w:val="1"/>
      <w:marLeft w:val="0"/>
      <w:marRight w:val="0"/>
      <w:marTop w:val="0"/>
      <w:marBottom w:val="0"/>
      <w:divBdr>
        <w:top w:val="none" w:sz="0" w:space="0" w:color="auto"/>
        <w:left w:val="none" w:sz="0" w:space="0" w:color="auto"/>
        <w:bottom w:val="none" w:sz="0" w:space="0" w:color="auto"/>
        <w:right w:val="none" w:sz="0" w:space="0" w:color="auto"/>
      </w:divBdr>
    </w:div>
    <w:div w:id="1973367705">
      <w:bodyDiv w:val="1"/>
      <w:marLeft w:val="0"/>
      <w:marRight w:val="0"/>
      <w:marTop w:val="0"/>
      <w:marBottom w:val="0"/>
      <w:divBdr>
        <w:top w:val="none" w:sz="0" w:space="0" w:color="auto"/>
        <w:left w:val="none" w:sz="0" w:space="0" w:color="auto"/>
        <w:bottom w:val="none" w:sz="0" w:space="0" w:color="auto"/>
        <w:right w:val="none" w:sz="0" w:space="0" w:color="auto"/>
      </w:divBdr>
    </w:div>
    <w:div w:id="1973749207">
      <w:bodyDiv w:val="1"/>
      <w:marLeft w:val="0"/>
      <w:marRight w:val="0"/>
      <w:marTop w:val="0"/>
      <w:marBottom w:val="0"/>
      <w:divBdr>
        <w:top w:val="none" w:sz="0" w:space="0" w:color="auto"/>
        <w:left w:val="none" w:sz="0" w:space="0" w:color="auto"/>
        <w:bottom w:val="none" w:sz="0" w:space="0" w:color="auto"/>
        <w:right w:val="none" w:sz="0" w:space="0" w:color="auto"/>
      </w:divBdr>
    </w:div>
    <w:div w:id="1974020399">
      <w:bodyDiv w:val="1"/>
      <w:marLeft w:val="0"/>
      <w:marRight w:val="0"/>
      <w:marTop w:val="0"/>
      <w:marBottom w:val="0"/>
      <w:divBdr>
        <w:top w:val="none" w:sz="0" w:space="0" w:color="auto"/>
        <w:left w:val="none" w:sz="0" w:space="0" w:color="auto"/>
        <w:bottom w:val="none" w:sz="0" w:space="0" w:color="auto"/>
        <w:right w:val="none" w:sz="0" w:space="0" w:color="auto"/>
      </w:divBdr>
    </w:div>
    <w:div w:id="1974021883">
      <w:bodyDiv w:val="1"/>
      <w:marLeft w:val="0"/>
      <w:marRight w:val="0"/>
      <w:marTop w:val="0"/>
      <w:marBottom w:val="0"/>
      <w:divBdr>
        <w:top w:val="none" w:sz="0" w:space="0" w:color="auto"/>
        <w:left w:val="none" w:sz="0" w:space="0" w:color="auto"/>
        <w:bottom w:val="none" w:sz="0" w:space="0" w:color="auto"/>
        <w:right w:val="none" w:sz="0" w:space="0" w:color="auto"/>
      </w:divBdr>
    </w:div>
    <w:div w:id="1974092788">
      <w:bodyDiv w:val="1"/>
      <w:marLeft w:val="0"/>
      <w:marRight w:val="0"/>
      <w:marTop w:val="0"/>
      <w:marBottom w:val="0"/>
      <w:divBdr>
        <w:top w:val="none" w:sz="0" w:space="0" w:color="auto"/>
        <w:left w:val="none" w:sz="0" w:space="0" w:color="auto"/>
        <w:bottom w:val="none" w:sz="0" w:space="0" w:color="auto"/>
        <w:right w:val="none" w:sz="0" w:space="0" w:color="auto"/>
      </w:divBdr>
    </w:div>
    <w:div w:id="1974095860">
      <w:bodyDiv w:val="1"/>
      <w:marLeft w:val="0"/>
      <w:marRight w:val="0"/>
      <w:marTop w:val="0"/>
      <w:marBottom w:val="0"/>
      <w:divBdr>
        <w:top w:val="none" w:sz="0" w:space="0" w:color="auto"/>
        <w:left w:val="none" w:sz="0" w:space="0" w:color="auto"/>
        <w:bottom w:val="none" w:sz="0" w:space="0" w:color="auto"/>
        <w:right w:val="none" w:sz="0" w:space="0" w:color="auto"/>
      </w:divBdr>
    </w:div>
    <w:div w:id="1974095948">
      <w:bodyDiv w:val="1"/>
      <w:marLeft w:val="0"/>
      <w:marRight w:val="0"/>
      <w:marTop w:val="0"/>
      <w:marBottom w:val="0"/>
      <w:divBdr>
        <w:top w:val="none" w:sz="0" w:space="0" w:color="auto"/>
        <w:left w:val="none" w:sz="0" w:space="0" w:color="auto"/>
        <w:bottom w:val="none" w:sz="0" w:space="0" w:color="auto"/>
        <w:right w:val="none" w:sz="0" w:space="0" w:color="auto"/>
      </w:divBdr>
    </w:div>
    <w:div w:id="1974410400">
      <w:bodyDiv w:val="1"/>
      <w:marLeft w:val="0"/>
      <w:marRight w:val="0"/>
      <w:marTop w:val="0"/>
      <w:marBottom w:val="0"/>
      <w:divBdr>
        <w:top w:val="none" w:sz="0" w:space="0" w:color="auto"/>
        <w:left w:val="none" w:sz="0" w:space="0" w:color="auto"/>
        <w:bottom w:val="none" w:sz="0" w:space="0" w:color="auto"/>
        <w:right w:val="none" w:sz="0" w:space="0" w:color="auto"/>
      </w:divBdr>
    </w:div>
    <w:div w:id="1974554614">
      <w:bodyDiv w:val="1"/>
      <w:marLeft w:val="0"/>
      <w:marRight w:val="0"/>
      <w:marTop w:val="0"/>
      <w:marBottom w:val="0"/>
      <w:divBdr>
        <w:top w:val="none" w:sz="0" w:space="0" w:color="auto"/>
        <w:left w:val="none" w:sz="0" w:space="0" w:color="auto"/>
        <w:bottom w:val="none" w:sz="0" w:space="0" w:color="auto"/>
        <w:right w:val="none" w:sz="0" w:space="0" w:color="auto"/>
      </w:divBdr>
    </w:div>
    <w:div w:id="1974561119">
      <w:bodyDiv w:val="1"/>
      <w:marLeft w:val="0"/>
      <w:marRight w:val="0"/>
      <w:marTop w:val="0"/>
      <w:marBottom w:val="0"/>
      <w:divBdr>
        <w:top w:val="none" w:sz="0" w:space="0" w:color="auto"/>
        <w:left w:val="none" w:sz="0" w:space="0" w:color="auto"/>
        <w:bottom w:val="none" w:sz="0" w:space="0" w:color="auto"/>
        <w:right w:val="none" w:sz="0" w:space="0" w:color="auto"/>
      </w:divBdr>
    </w:div>
    <w:div w:id="1974561517">
      <w:bodyDiv w:val="1"/>
      <w:marLeft w:val="0"/>
      <w:marRight w:val="0"/>
      <w:marTop w:val="0"/>
      <w:marBottom w:val="0"/>
      <w:divBdr>
        <w:top w:val="none" w:sz="0" w:space="0" w:color="auto"/>
        <w:left w:val="none" w:sz="0" w:space="0" w:color="auto"/>
        <w:bottom w:val="none" w:sz="0" w:space="0" w:color="auto"/>
        <w:right w:val="none" w:sz="0" w:space="0" w:color="auto"/>
      </w:divBdr>
    </w:div>
    <w:div w:id="1974754586">
      <w:bodyDiv w:val="1"/>
      <w:marLeft w:val="0"/>
      <w:marRight w:val="0"/>
      <w:marTop w:val="0"/>
      <w:marBottom w:val="0"/>
      <w:divBdr>
        <w:top w:val="none" w:sz="0" w:space="0" w:color="auto"/>
        <w:left w:val="none" w:sz="0" w:space="0" w:color="auto"/>
        <w:bottom w:val="none" w:sz="0" w:space="0" w:color="auto"/>
        <w:right w:val="none" w:sz="0" w:space="0" w:color="auto"/>
      </w:divBdr>
    </w:div>
    <w:div w:id="1974821238">
      <w:bodyDiv w:val="1"/>
      <w:marLeft w:val="0"/>
      <w:marRight w:val="0"/>
      <w:marTop w:val="0"/>
      <w:marBottom w:val="0"/>
      <w:divBdr>
        <w:top w:val="none" w:sz="0" w:space="0" w:color="auto"/>
        <w:left w:val="none" w:sz="0" w:space="0" w:color="auto"/>
        <w:bottom w:val="none" w:sz="0" w:space="0" w:color="auto"/>
        <w:right w:val="none" w:sz="0" w:space="0" w:color="auto"/>
      </w:divBdr>
    </w:div>
    <w:div w:id="1974824250">
      <w:bodyDiv w:val="1"/>
      <w:marLeft w:val="0"/>
      <w:marRight w:val="0"/>
      <w:marTop w:val="0"/>
      <w:marBottom w:val="0"/>
      <w:divBdr>
        <w:top w:val="none" w:sz="0" w:space="0" w:color="auto"/>
        <w:left w:val="none" w:sz="0" w:space="0" w:color="auto"/>
        <w:bottom w:val="none" w:sz="0" w:space="0" w:color="auto"/>
        <w:right w:val="none" w:sz="0" w:space="0" w:color="auto"/>
      </w:divBdr>
    </w:div>
    <w:div w:id="1974825938">
      <w:bodyDiv w:val="1"/>
      <w:marLeft w:val="0"/>
      <w:marRight w:val="0"/>
      <w:marTop w:val="0"/>
      <w:marBottom w:val="0"/>
      <w:divBdr>
        <w:top w:val="none" w:sz="0" w:space="0" w:color="auto"/>
        <w:left w:val="none" w:sz="0" w:space="0" w:color="auto"/>
        <w:bottom w:val="none" w:sz="0" w:space="0" w:color="auto"/>
        <w:right w:val="none" w:sz="0" w:space="0" w:color="auto"/>
      </w:divBdr>
    </w:div>
    <w:div w:id="1974828415">
      <w:bodyDiv w:val="1"/>
      <w:marLeft w:val="0"/>
      <w:marRight w:val="0"/>
      <w:marTop w:val="0"/>
      <w:marBottom w:val="0"/>
      <w:divBdr>
        <w:top w:val="none" w:sz="0" w:space="0" w:color="auto"/>
        <w:left w:val="none" w:sz="0" w:space="0" w:color="auto"/>
        <w:bottom w:val="none" w:sz="0" w:space="0" w:color="auto"/>
        <w:right w:val="none" w:sz="0" w:space="0" w:color="auto"/>
      </w:divBdr>
    </w:div>
    <w:div w:id="1974864101">
      <w:bodyDiv w:val="1"/>
      <w:marLeft w:val="0"/>
      <w:marRight w:val="0"/>
      <w:marTop w:val="0"/>
      <w:marBottom w:val="0"/>
      <w:divBdr>
        <w:top w:val="none" w:sz="0" w:space="0" w:color="auto"/>
        <w:left w:val="none" w:sz="0" w:space="0" w:color="auto"/>
        <w:bottom w:val="none" w:sz="0" w:space="0" w:color="auto"/>
        <w:right w:val="none" w:sz="0" w:space="0" w:color="auto"/>
      </w:divBdr>
    </w:div>
    <w:div w:id="1975089368">
      <w:bodyDiv w:val="1"/>
      <w:marLeft w:val="0"/>
      <w:marRight w:val="0"/>
      <w:marTop w:val="0"/>
      <w:marBottom w:val="0"/>
      <w:divBdr>
        <w:top w:val="none" w:sz="0" w:space="0" w:color="auto"/>
        <w:left w:val="none" w:sz="0" w:space="0" w:color="auto"/>
        <w:bottom w:val="none" w:sz="0" w:space="0" w:color="auto"/>
        <w:right w:val="none" w:sz="0" w:space="0" w:color="auto"/>
      </w:divBdr>
    </w:div>
    <w:div w:id="1975091017">
      <w:bodyDiv w:val="1"/>
      <w:marLeft w:val="0"/>
      <w:marRight w:val="0"/>
      <w:marTop w:val="0"/>
      <w:marBottom w:val="0"/>
      <w:divBdr>
        <w:top w:val="none" w:sz="0" w:space="0" w:color="auto"/>
        <w:left w:val="none" w:sz="0" w:space="0" w:color="auto"/>
        <w:bottom w:val="none" w:sz="0" w:space="0" w:color="auto"/>
        <w:right w:val="none" w:sz="0" w:space="0" w:color="auto"/>
      </w:divBdr>
    </w:div>
    <w:div w:id="1975209947">
      <w:bodyDiv w:val="1"/>
      <w:marLeft w:val="0"/>
      <w:marRight w:val="0"/>
      <w:marTop w:val="0"/>
      <w:marBottom w:val="0"/>
      <w:divBdr>
        <w:top w:val="none" w:sz="0" w:space="0" w:color="auto"/>
        <w:left w:val="none" w:sz="0" w:space="0" w:color="auto"/>
        <w:bottom w:val="none" w:sz="0" w:space="0" w:color="auto"/>
        <w:right w:val="none" w:sz="0" w:space="0" w:color="auto"/>
      </w:divBdr>
    </w:div>
    <w:div w:id="1975212742">
      <w:bodyDiv w:val="1"/>
      <w:marLeft w:val="0"/>
      <w:marRight w:val="0"/>
      <w:marTop w:val="0"/>
      <w:marBottom w:val="0"/>
      <w:divBdr>
        <w:top w:val="none" w:sz="0" w:space="0" w:color="auto"/>
        <w:left w:val="none" w:sz="0" w:space="0" w:color="auto"/>
        <w:bottom w:val="none" w:sz="0" w:space="0" w:color="auto"/>
        <w:right w:val="none" w:sz="0" w:space="0" w:color="auto"/>
      </w:divBdr>
    </w:div>
    <w:div w:id="1975259215">
      <w:bodyDiv w:val="1"/>
      <w:marLeft w:val="0"/>
      <w:marRight w:val="0"/>
      <w:marTop w:val="0"/>
      <w:marBottom w:val="0"/>
      <w:divBdr>
        <w:top w:val="none" w:sz="0" w:space="0" w:color="auto"/>
        <w:left w:val="none" w:sz="0" w:space="0" w:color="auto"/>
        <w:bottom w:val="none" w:sz="0" w:space="0" w:color="auto"/>
        <w:right w:val="none" w:sz="0" w:space="0" w:color="auto"/>
      </w:divBdr>
    </w:div>
    <w:div w:id="1975333910">
      <w:bodyDiv w:val="1"/>
      <w:marLeft w:val="0"/>
      <w:marRight w:val="0"/>
      <w:marTop w:val="0"/>
      <w:marBottom w:val="0"/>
      <w:divBdr>
        <w:top w:val="none" w:sz="0" w:space="0" w:color="auto"/>
        <w:left w:val="none" w:sz="0" w:space="0" w:color="auto"/>
        <w:bottom w:val="none" w:sz="0" w:space="0" w:color="auto"/>
        <w:right w:val="none" w:sz="0" w:space="0" w:color="auto"/>
      </w:divBdr>
    </w:div>
    <w:div w:id="1975400719">
      <w:bodyDiv w:val="1"/>
      <w:marLeft w:val="0"/>
      <w:marRight w:val="0"/>
      <w:marTop w:val="0"/>
      <w:marBottom w:val="0"/>
      <w:divBdr>
        <w:top w:val="none" w:sz="0" w:space="0" w:color="auto"/>
        <w:left w:val="none" w:sz="0" w:space="0" w:color="auto"/>
        <w:bottom w:val="none" w:sz="0" w:space="0" w:color="auto"/>
        <w:right w:val="none" w:sz="0" w:space="0" w:color="auto"/>
      </w:divBdr>
    </w:div>
    <w:div w:id="1975407757">
      <w:bodyDiv w:val="1"/>
      <w:marLeft w:val="0"/>
      <w:marRight w:val="0"/>
      <w:marTop w:val="0"/>
      <w:marBottom w:val="0"/>
      <w:divBdr>
        <w:top w:val="none" w:sz="0" w:space="0" w:color="auto"/>
        <w:left w:val="none" w:sz="0" w:space="0" w:color="auto"/>
        <w:bottom w:val="none" w:sz="0" w:space="0" w:color="auto"/>
        <w:right w:val="none" w:sz="0" w:space="0" w:color="auto"/>
      </w:divBdr>
    </w:div>
    <w:div w:id="1975595331">
      <w:bodyDiv w:val="1"/>
      <w:marLeft w:val="0"/>
      <w:marRight w:val="0"/>
      <w:marTop w:val="0"/>
      <w:marBottom w:val="0"/>
      <w:divBdr>
        <w:top w:val="none" w:sz="0" w:space="0" w:color="auto"/>
        <w:left w:val="none" w:sz="0" w:space="0" w:color="auto"/>
        <w:bottom w:val="none" w:sz="0" w:space="0" w:color="auto"/>
        <w:right w:val="none" w:sz="0" w:space="0" w:color="auto"/>
      </w:divBdr>
    </w:div>
    <w:div w:id="1975672608">
      <w:bodyDiv w:val="1"/>
      <w:marLeft w:val="0"/>
      <w:marRight w:val="0"/>
      <w:marTop w:val="0"/>
      <w:marBottom w:val="0"/>
      <w:divBdr>
        <w:top w:val="none" w:sz="0" w:space="0" w:color="auto"/>
        <w:left w:val="none" w:sz="0" w:space="0" w:color="auto"/>
        <w:bottom w:val="none" w:sz="0" w:space="0" w:color="auto"/>
        <w:right w:val="none" w:sz="0" w:space="0" w:color="auto"/>
      </w:divBdr>
    </w:div>
    <w:div w:id="1975940821">
      <w:bodyDiv w:val="1"/>
      <w:marLeft w:val="0"/>
      <w:marRight w:val="0"/>
      <w:marTop w:val="0"/>
      <w:marBottom w:val="0"/>
      <w:divBdr>
        <w:top w:val="none" w:sz="0" w:space="0" w:color="auto"/>
        <w:left w:val="none" w:sz="0" w:space="0" w:color="auto"/>
        <w:bottom w:val="none" w:sz="0" w:space="0" w:color="auto"/>
        <w:right w:val="none" w:sz="0" w:space="0" w:color="auto"/>
      </w:divBdr>
    </w:div>
    <w:div w:id="1976181223">
      <w:bodyDiv w:val="1"/>
      <w:marLeft w:val="0"/>
      <w:marRight w:val="0"/>
      <w:marTop w:val="0"/>
      <w:marBottom w:val="0"/>
      <w:divBdr>
        <w:top w:val="none" w:sz="0" w:space="0" w:color="auto"/>
        <w:left w:val="none" w:sz="0" w:space="0" w:color="auto"/>
        <w:bottom w:val="none" w:sz="0" w:space="0" w:color="auto"/>
        <w:right w:val="none" w:sz="0" w:space="0" w:color="auto"/>
      </w:divBdr>
    </w:div>
    <w:div w:id="1976257106">
      <w:bodyDiv w:val="1"/>
      <w:marLeft w:val="0"/>
      <w:marRight w:val="0"/>
      <w:marTop w:val="0"/>
      <w:marBottom w:val="0"/>
      <w:divBdr>
        <w:top w:val="none" w:sz="0" w:space="0" w:color="auto"/>
        <w:left w:val="none" w:sz="0" w:space="0" w:color="auto"/>
        <w:bottom w:val="none" w:sz="0" w:space="0" w:color="auto"/>
        <w:right w:val="none" w:sz="0" w:space="0" w:color="auto"/>
      </w:divBdr>
    </w:div>
    <w:div w:id="1976331224">
      <w:bodyDiv w:val="1"/>
      <w:marLeft w:val="0"/>
      <w:marRight w:val="0"/>
      <w:marTop w:val="0"/>
      <w:marBottom w:val="0"/>
      <w:divBdr>
        <w:top w:val="none" w:sz="0" w:space="0" w:color="auto"/>
        <w:left w:val="none" w:sz="0" w:space="0" w:color="auto"/>
        <w:bottom w:val="none" w:sz="0" w:space="0" w:color="auto"/>
        <w:right w:val="none" w:sz="0" w:space="0" w:color="auto"/>
      </w:divBdr>
    </w:div>
    <w:div w:id="1976451961">
      <w:bodyDiv w:val="1"/>
      <w:marLeft w:val="0"/>
      <w:marRight w:val="0"/>
      <w:marTop w:val="0"/>
      <w:marBottom w:val="0"/>
      <w:divBdr>
        <w:top w:val="none" w:sz="0" w:space="0" w:color="auto"/>
        <w:left w:val="none" w:sz="0" w:space="0" w:color="auto"/>
        <w:bottom w:val="none" w:sz="0" w:space="0" w:color="auto"/>
        <w:right w:val="none" w:sz="0" w:space="0" w:color="auto"/>
      </w:divBdr>
    </w:div>
    <w:div w:id="1976568216">
      <w:bodyDiv w:val="1"/>
      <w:marLeft w:val="0"/>
      <w:marRight w:val="0"/>
      <w:marTop w:val="0"/>
      <w:marBottom w:val="0"/>
      <w:divBdr>
        <w:top w:val="none" w:sz="0" w:space="0" w:color="auto"/>
        <w:left w:val="none" w:sz="0" w:space="0" w:color="auto"/>
        <w:bottom w:val="none" w:sz="0" w:space="0" w:color="auto"/>
        <w:right w:val="none" w:sz="0" w:space="0" w:color="auto"/>
      </w:divBdr>
    </w:div>
    <w:div w:id="1976639774">
      <w:bodyDiv w:val="1"/>
      <w:marLeft w:val="0"/>
      <w:marRight w:val="0"/>
      <w:marTop w:val="0"/>
      <w:marBottom w:val="0"/>
      <w:divBdr>
        <w:top w:val="none" w:sz="0" w:space="0" w:color="auto"/>
        <w:left w:val="none" w:sz="0" w:space="0" w:color="auto"/>
        <w:bottom w:val="none" w:sz="0" w:space="0" w:color="auto"/>
        <w:right w:val="none" w:sz="0" w:space="0" w:color="auto"/>
      </w:divBdr>
    </w:div>
    <w:div w:id="1976643927">
      <w:bodyDiv w:val="1"/>
      <w:marLeft w:val="0"/>
      <w:marRight w:val="0"/>
      <w:marTop w:val="0"/>
      <w:marBottom w:val="0"/>
      <w:divBdr>
        <w:top w:val="none" w:sz="0" w:space="0" w:color="auto"/>
        <w:left w:val="none" w:sz="0" w:space="0" w:color="auto"/>
        <w:bottom w:val="none" w:sz="0" w:space="0" w:color="auto"/>
        <w:right w:val="none" w:sz="0" w:space="0" w:color="auto"/>
      </w:divBdr>
    </w:div>
    <w:div w:id="1976831441">
      <w:bodyDiv w:val="1"/>
      <w:marLeft w:val="0"/>
      <w:marRight w:val="0"/>
      <w:marTop w:val="0"/>
      <w:marBottom w:val="0"/>
      <w:divBdr>
        <w:top w:val="none" w:sz="0" w:space="0" w:color="auto"/>
        <w:left w:val="none" w:sz="0" w:space="0" w:color="auto"/>
        <w:bottom w:val="none" w:sz="0" w:space="0" w:color="auto"/>
        <w:right w:val="none" w:sz="0" w:space="0" w:color="auto"/>
      </w:divBdr>
    </w:div>
    <w:div w:id="1977029624">
      <w:bodyDiv w:val="1"/>
      <w:marLeft w:val="0"/>
      <w:marRight w:val="0"/>
      <w:marTop w:val="0"/>
      <w:marBottom w:val="0"/>
      <w:divBdr>
        <w:top w:val="none" w:sz="0" w:space="0" w:color="auto"/>
        <w:left w:val="none" w:sz="0" w:space="0" w:color="auto"/>
        <w:bottom w:val="none" w:sz="0" w:space="0" w:color="auto"/>
        <w:right w:val="none" w:sz="0" w:space="0" w:color="auto"/>
      </w:divBdr>
    </w:div>
    <w:div w:id="1977102016">
      <w:bodyDiv w:val="1"/>
      <w:marLeft w:val="0"/>
      <w:marRight w:val="0"/>
      <w:marTop w:val="0"/>
      <w:marBottom w:val="0"/>
      <w:divBdr>
        <w:top w:val="none" w:sz="0" w:space="0" w:color="auto"/>
        <w:left w:val="none" w:sz="0" w:space="0" w:color="auto"/>
        <w:bottom w:val="none" w:sz="0" w:space="0" w:color="auto"/>
        <w:right w:val="none" w:sz="0" w:space="0" w:color="auto"/>
      </w:divBdr>
    </w:div>
    <w:div w:id="1977249007">
      <w:bodyDiv w:val="1"/>
      <w:marLeft w:val="0"/>
      <w:marRight w:val="0"/>
      <w:marTop w:val="0"/>
      <w:marBottom w:val="0"/>
      <w:divBdr>
        <w:top w:val="none" w:sz="0" w:space="0" w:color="auto"/>
        <w:left w:val="none" w:sz="0" w:space="0" w:color="auto"/>
        <w:bottom w:val="none" w:sz="0" w:space="0" w:color="auto"/>
        <w:right w:val="none" w:sz="0" w:space="0" w:color="auto"/>
      </w:divBdr>
    </w:div>
    <w:div w:id="1977294248">
      <w:bodyDiv w:val="1"/>
      <w:marLeft w:val="0"/>
      <w:marRight w:val="0"/>
      <w:marTop w:val="0"/>
      <w:marBottom w:val="0"/>
      <w:divBdr>
        <w:top w:val="none" w:sz="0" w:space="0" w:color="auto"/>
        <w:left w:val="none" w:sz="0" w:space="0" w:color="auto"/>
        <w:bottom w:val="none" w:sz="0" w:space="0" w:color="auto"/>
        <w:right w:val="none" w:sz="0" w:space="0" w:color="auto"/>
      </w:divBdr>
    </w:div>
    <w:div w:id="1977296131">
      <w:bodyDiv w:val="1"/>
      <w:marLeft w:val="0"/>
      <w:marRight w:val="0"/>
      <w:marTop w:val="0"/>
      <w:marBottom w:val="0"/>
      <w:divBdr>
        <w:top w:val="none" w:sz="0" w:space="0" w:color="auto"/>
        <w:left w:val="none" w:sz="0" w:space="0" w:color="auto"/>
        <w:bottom w:val="none" w:sz="0" w:space="0" w:color="auto"/>
        <w:right w:val="none" w:sz="0" w:space="0" w:color="auto"/>
      </w:divBdr>
    </w:div>
    <w:div w:id="1977418000">
      <w:bodyDiv w:val="1"/>
      <w:marLeft w:val="0"/>
      <w:marRight w:val="0"/>
      <w:marTop w:val="0"/>
      <w:marBottom w:val="0"/>
      <w:divBdr>
        <w:top w:val="none" w:sz="0" w:space="0" w:color="auto"/>
        <w:left w:val="none" w:sz="0" w:space="0" w:color="auto"/>
        <w:bottom w:val="none" w:sz="0" w:space="0" w:color="auto"/>
        <w:right w:val="none" w:sz="0" w:space="0" w:color="auto"/>
      </w:divBdr>
    </w:div>
    <w:div w:id="1977445251">
      <w:bodyDiv w:val="1"/>
      <w:marLeft w:val="0"/>
      <w:marRight w:val="0"/>
      <w:marTop w:val="0"/>
      <w:marBottom w:val="0"/>
      <w:divBdr>
        <w:top w:val="none" w:sz="0" w:space="0" w:color="auto"/>
        <w:left w:val="none" w:sz="0" w:space="0" w:color="auto"/>
        <w:bottom w:val="none" w:sz="0" w:space="0" w:color="auto"/>
        <w:right w:val="none" w:sz="0" w:space="0" w:color="auto"/>
      </w:divBdr>
    </w:div>
    <w:div w:id="1977491368">
      <w:bodyDiv w:val="1"/>
      <w:marLeft w:val="0"/>
      <w:marRight w:val="0"/>
      <w:marTop w:val="0"/>
      <w:marBottom w:val="0"/>
      <w:divBdr>
        <w:top w:val="none" w:sz="0" w:space="0" w:color="auto"/>
        <w:left w:val="none" w:sz="0" w:space="0" w:color="auto"/>
        <w:bottom w:val="none" w:sz="0" w:space="0" w:color="auto"/>
        <w:right w:val="none" w:sz="0" w:space="0" w:color="auto"/>
      </w:divBdr>
    </w:div>
    <w:div w:id="1977493196">
      <w:bodyDiv w:val="1"/>
      <w:marLeft w:val="0"/>
      <w:marRight w:val="0"/>
      <w:marTop w:val="0"/>
      <w:marBottom w:val="0"/>
      <w:divBdr>
        <w:top w:val="none" w:sz="0" w:space="0" w:color="auto"/>
        <w:left w:val="none" w:sz="0" w:space="0" w:color="auto"/>
        <w:bottom w:val="none" w:sz="0" w:space="0" w:color="auto"/>
        <w:right w:val="none" w:sz="0" w:space="0" w:color="auto"/>
      </w:divBdr>
    </w:div>
    <w:div w:id="1978026982">
      <w:bodyDiv w:val="1"/>
      <w:marLeft w:val="0"/>
      <w:marRight w:val="0"/>
      <w:marTop w:val="0"/>
      <w:marBottom w:val="0"/>
      <w:divBdr>
        <w:top w:val="none" w:sz="0" w:space="0" w:color="auto"/>
        <w:left w:val="none" w:sz="0" w:space="0" w:color="auto"/>
        <w:bottom w:val="none" w:sz="0" w:space="0" w:color="auto"/>
        <w:right w:val="none" w:sz="0" w:space="0" w:color="auto"/>
      </w:divBdr>
    </w:div>
    <w:div w:id="1978146174">
      <w:bodyDiv w:val="1"/>
      <w:marLeft w:val="0"/>
      <w:marRight w:val="0"/>
      <w:marTop w:val="0"/>
      <w:marBottom w:val="0"/>
      <w:divBdr>
        <w:top w:val="none" w:sz="0" w:space="0" w:color="auto"/>
        <w:left w:val="none" w:sz="0" w:space="0" w:color="auto"/>
        <w:bottom w:val="none" w:sz="0" w:space="0" w:color="auto"/>
        <w:right w:val="none" w:sz="0" w:space="0" w:color="auto"/>
      </w:divBdr>
    </w:div>
    <w:div w:id="1978293073">
      <w:bodyDiv w:val="1"/>
      <w:marLeft w:val="0"/>
      <w:marRight w:val="0"/>
      <w:marTop w:val="0"/>
      <w:marBottom w:val="0"/>
      <w:divBdr>
        <w:top w:val="none" w:sz="0" w:space="0" w:color="auto"/>
        <w:left w:val="none" w:sz="0" w:space="0" w:color="auto"/>
        <w:bottom w:val="none" w:sz="0" w:space="0" w:color="auto"/>
        <w:right w:val="none" w:sz="0" w:space="0" w:color="auto"/>
      </w:divBdr>
    </w:div>
    <w:div w:id="1978366851">
      <w:bodyDiv w:val="1"/>
      <w:marLeft w:val="0"/>
      <w:marRight w:val="0"/>
      <w:marTop w:val="0"/>
      <w:marBottom w:val="0"/>
      <w:divBdr>
        <w:top w:val="none" w:sz="0" w:space="0" w:color="auto"/>
        <w:left w:val="none" w:sz="0" w:space="0" w:color="auto"/>
        <w:bottom w:val="none" w:sz="0" w:space="0" w:color="auto"/>
        <w:right w:val="none" w:sz="0" w:space="0" w:color="auto"/>
      </w:divBdr>
    </w:div>
    <w:div w:id="1978367744">
      <w:bodyDiv w:val="1"/>
      <w:marLeft w:val="0"/>
      <w:marRight w:val="0"/>
      <w:marTop w:val="0"/>
      <w:marBottom w:val="0"/>
      <w:divBdr>
        <w:top w:val="none" w:sz="0" w:space="0" w:color="auto"/>
        <w:left w:val="none" w:sz="0" w:space="0" w:color="auto"/>
        <w:bottom w:val="none" w:sz="0" w:space="0" w:color="auto"/>
        <w:right w:val="none" w:sz="0" w:space="0" w:color="auto"/>
      </w:divBdr>
    </w:div>
    <w:div w:id="1978607954">
      <w:bodyDiv w:val="1"/>
      <w:marLeft w:val="0"/>
      <w:marRight w:val="0"/>
      <w:marTop w:val="0"/>
      <w:marBottom w:val="0"/>
      <w:divBdr>
        <w:top w:val="none" w:sz="0" w:space="0" w:color="auto"/>
        <w:left w:val="none" w:sz="0" w:space="0" w:color="auto"/>
        <w:bottom w:val="none" w:sz="0" w:space="0" w:color="auto"/>
        <w:right w:val="none" w:sz="0" w:space="0" w:color="auto"/>
      </w:divBdr>
    </w:div>
    <w:div w:id="1978681816">
      <w:bodyDiv w:val="1"/>
      <w:marLeft w:val="0"/>
      <w:marRight w:val="0"/>
      <w:marTop w:val="0"/>
      <w:marBottom w:val="0"/>
      <w:divBdr>
        <w:top w:val="none" w:sz="0" w:space="0" w:color="auto"/>
        <w:left w:val="none" w:sz="0" w:space="0" w:color="auto"/>
        <w:bottom w:val="none" w:sz="0" w:space="0" w:color="auto"/>
        <w:right w:val="none" w:sz="0" w:space="0" w:color="auto"/>
      </w:divBdr>
    </w:div>
    <w:div w:id="1978753249">
      <w:bodyDiv w:val="1"/>
      <w:marLeft w:val="0"/>
      <w:marRight w:val="0"/>
      <w:marTop w:val="0"/>
      <w:marBottom w:val="0"/>
      <w:divBdr>
        <w:top w:val="none" w:sz="0" w:space="0" w:color="auto"/>
        <w:left w:val="none" w:sz="0" w:space="0" w:color="auto"/>
        <w:bottom w:val="none" w:sz="0" w:space="0" w:color="auto"/>
        <w:right w:val="none" w:sz="0" w:space="0" w:color="auto"/>
      </w:divBdr>
    </w:div>
    <w:div w:id="1978800430">
      <w:bodyDiv w:val="1"/>
      <w:marLeft w:val="0"/>
      <w:marRight w:val="0"/>
      <w:marTop w:val="0"/>
      <w:marBottom w:val="0"/>
      <w:divBdr>
        <w:top w:val="none" w:sz="0" w:space="0" w:color="auto"/>
        <w:left w:val="none" w:sz="0" w:space="0" w:color="auto"/>
        <w:bottom w:val="none" w:sz="0" w:space="0" w:color="auto"/>
        <w:right w:val="none" w:sz="0" w:space="0" w:color="auto"/>
      </w:divBdr>
    </w:div>
    <w:div w:id="1979069545">
      <w:bodyDiv w:val="1"/>
      <w:marLeft w:val="0"/>
      <w:marRight w:val="0"/>
      <w:marTop w:val="0"/>
      <w:marBottom w:val="0"/>
      <w:divBdr>
        <w:top w:val="none" w:sz="0" w:space="0" w:color="auto"/>
        <w:left w:val="none" w:sz="0" w:space="0" w:color="auto"/>
        <w:bottom w:val="none" w:sz="0" w:space="0" w:color="auto"/>
        <w:right w:val="none" w:sz="0" w:space="0" w:color="auto"/>
      </w:divBdr>
    </w:div>
    <w:div w:id="1979147134">
      <w:bodyDiv w:val="1"/>
      <w:marLeft w:val="0"/>
      <w:marRight w:val="0"/>
      <w:marTop w:val="0"/>
      <w:marBottom w:val="0"/>
      <w:divBdr>
        <w:top w:val="none" w:sz="0" w:space="0" w:color="auto"/>
        <w:left w:val="none" w:sz="0" w:space="0" w:color="auto"/>
        <w:bottom w:val="none" w:sz="0" w:space="0" w:color="auto"/>
        <w:right w:val="none" w:sz="0" w:space="0" w:color="auto"/>
      </w:divBdr>
    </w:div>
    <w:div w:id="1979191006">
      <w:bodyDiv w:val="1"/>
      <w:marLeft w:val="0"/>
      <w:marRight w:val="0"/>
      <w:marTop w:val="0"/>
      <w:marBottom w:val="0"/>
      <w:divBdr>
        <w:top w:val="none" w:sz="0" w:space="0" w:color="auto"/>
        <w:left w:val="none" w:sz="0" w:space="0" w:color="auto"/>
        <w:bottom w:val="none" w:sz="0" w:space="0" w:color="auto"/>
        <w:right w:val="none" w:sz="0" w:space="0" w:color="auto"/>
      </w:divBdr>
    </w:div>
    <w:div w:id="1979454226">
      <w:bodyDiv w:val="1"/>
      <w:marLeft w:val="0"/>
      <w:marRight w:val="0"/>
      <w:marTop w:val="0"/>
      <w:marBottom w:val="0"/>
      <w:divBdr>
        <w:top w:val="none" w:sz="0" w:space="0" w:color="auto"/>
        <w:left w:val="none" w:sz="0" w:space="0" w:color="auto"/>
        <w:bottom w:val="none" w:sz="0" w:space="0" w:color="auto"/>
        <w:right w:val="none" w:sz="0" w:space="0" w:color="auto"/>
      </w:divBdr>
    </w:div>
    <w:div w:id="1979456028">
      <w:bodyDiv w:val="1"/>
      <w:marLeft w:val="0"/>
      <w:marRight w:val="0"/>
      <w:marTop w:val="0"/>
      <w:marBottom w:val="0"/>
      <w:divBdr>
        <w:top w:val="none" w:sz="0" w:space="0" w:color="auto"/>
        <w:left w:val="none" w:sz="0" w:space="0" w:color="auto"/>
        <w:bottom w:val="none" w:sz="0" w:space="0" w:color="auto"/>
        <w:right w:val="none" w:sz="0" w:space="0" w:color="auto"/>
      </w:divBdr>
    </w:div>
    <w:div w:id="1979459106">
      <w:bodyDiv w:val="1"/>
      <w:marLeft w:val="0"/>
      <w:marRight w:val="0"/>
      <w:marTop w:val="0"/>
      <w:marBottom w:val="0"/>
      <w:divBdr>
        <w:top w:val="none" w:sz="0" w:space="0" w:color="auto"/>
        <w:left w:val="none" w:sz="0" w:space="0" w:color="auto"/>
        <w:bottom w:val="none" w:sz="0" w:space="0" w:color="auto"/>
        <w:right w:val="none" w:sz="0" w:space="0" w:color="auto"/>
      </w:divBdr>
    </w:div>
    <w:div w:id="1979535061">
      <w:bodyDiv w:val="1"/>
      <w:marLeft w:val="0"/>
      <w:marRight w:val="0"/>
      <w:marTop w:val="0"/>
      <w:marBottom w:val="0"/>
      <w:divBdr>
        <w:top w:val="none" w:sz="0" w:space="0" w:color="auto"/>
        <w:left w:val="none" w:sz="0" w:space="0" w:color="auto"/>
        <w:bottom w:val="none" w:sz="0" w:space="0" w:color="auto"/>
        <w:right w:val="none" w:sz="0" w:space="0" w:color="auto"/>
      </w:divBdr>
    </w:div>
    <w:div w:id="1979646710">
      <w:bodyDiv w:val="1"/>
      <w:marLeft w:val="0"/>
      <w:marRight w:val="0"/>
      <w:marTop w:val="0"/>
      <w:marBottom w:val="0"/>
      <w:divBdr>
        <w:top w:val="none" w:sz="0" w:space="0" w:color="auto"/>
        <w:left w:val="none" w:sz="0" w:space="0" w:color="auto"/>
        <w:bottom w:val="none" w:sz="0" w:space="0" w:color="auto"/>
        <w:right w:val="none" w:sz="0" w:space="0" w:color="auto"/>
      </w:divBdr>
    </w:div>
    <w:div w:id="1979722376">
      <w:bodyDiv w:val="1"/>
      <w:marLeft w:val="0"/>
      <w:marRight w:val="0"/>
      <w:marTop w:val="0"/>
      <w:marBottom w:val="0"/>
      <w:divBdr>
        <w:top w:val="none" w:sz="0" w:space="0" w:color="auto"/>
        <w:left w:val="none" w:sz="0" w:space="0" w:color="auto"/>
        <w:bottom w:val="none" w:sz="0" w:space="0" w:color="auto"/>
        <w:right w:val="none" w:sz="0" w:space="0" w:color="auto"/>
      </w:divBdr>
    </w:div>
    <w:div w:id="1979796387">
      <w:bodyDiv w:val="1"/>
      <w:marLeft w:val="0"/>
      <w:marRight w:val="0"/>
      <w:marTop w:val="0"/>
      <w:marBottom w:val="0"/>
      <w:divBdr>
        <w:top w:val="none" w:sz="0" w:space="0" w:color="auto"/>
        <w:left w:val="none" w:sz="0" w:space="0" w:color="auto"/>
        <w:bottom w:val="none" w:sz="0" w:space="0" w:color="auto"/>
        <w:right w:val="none" w:sz="0" w:space="0" w:color="auto"/>
      </w:divBdr>
    </w:div>
    <w:div w:id="1979845748">
      <w:bodyDiv w:val="1"/>
      <w:marLeft w:val="0"/>
      <w:marRight w:val="0"/>
      <w:marTop w:val="0"/>
      <w:marBottom w:val="0"/>
      <w:divBdr>
        <w:top w:val="none" w:sz="0" w:space="0" w:color="auto"/>
        <w:left w:val="none" w:sz="0" w:space="0" w:color="auto"/>
        <w:bottom w:val="none" w:sz="0" w:space="0" w:color="auto"/>
        <w:right w:val="none" w:sz="0" w:space="0" w:color="auto"/>
      </w:divBdr>
    </w:div>
    <w:div w:id="1979995238">
      <w:bodyDiv w:val="1"/>
      <w:marLeft w:val="0"/>
      <w:marRight w:val="0"/>
      <w:marTop w:val="0"/>
      <w:marBottom w:val="0"/>
      <w:divBdr>
        <w:top w:val="none" w:sz="0" w:space="0" w:color="auto"/>
        <w:left w:val="none" w:sz="0" w:space="0" w:color="auto"/>
        <w:bottom w:val="none" w:sz="0" w:space="0" w:color="auto"/>
        <w:right w:val="none" w:sz="0" w:space="0" w:color="auto"/>
      </w:divBdr>
    </w:div>
    <w:div w:id="1980068866">
      <w:bodyDiv w:val="1"/>
      <w:marLeft w:val="0"/>
      <w:marRight w:val="0"/>
      <w:marTop w:val="0"/>
      <w:marBottom w:val="0"/>
      <w:divBdr>
        <w:top w:val="none" w:sz="0" w:space="0" w:color="auto"/>
        <w:left w:val="none" w:sz="0" w:space="0" w:color="auto"/>
        <w:bottom w:val="none" w:sz="0" w:space="0" w:color="auto"/>
        <w:right w:val="none" w:sz="0" w:space="0" w:color="auto"/>
      </w:divBdr>
    </w:div>
    <w:div w:id="1980106983">
      <w:bodyDiv w:val="1"/>
      <w:marLeft w:val="0"/>
      <w:marRight w:val="0"/>
      <w:marTop w:val="0"/>
      <w:marBottom w:val="0"/>
      <w:divBdr>
        <w:top w:val="none" w:sz="0" w:space="0" w:color="auto"/>
        <w:left w:val="none" w:sz="0" w:space="0" w:color="auto"/>
        <w:bottom w:val="none" w:sz="0" w:space="0" w:color="auto"/>
        <w:right w:val="none" w:sz="0" w:space="0" w:color="auto"/>
      </w:divBdr>
    </w:div>
    <w:div w:id="1980260772">
      <w:bodyDiv w:val="1"/>
      <w:marLeft w:val="0"/>
      <w:marRight w:val="0"/>
      <w:marTop w:val="0"/>
      <w:marBottom w:val="0"/>
      <w:divBdr>
        <w:top w:val="none" w:sz="0" w:space="0" w:color="auto"/>
        <w:left w:val="none" w:sz="0" w:space="0" w:color="auto"/>
        <w:bottom w:val="none" w:sz="0" w:space="0" w:color="auto"/>
        <w:right w:val="none" w:sz="0" w:space="0" w:color="auto"/>
      </w:divBdr>
    </w:div>
    <w:div w:id="1980265529">
      <w:bodyDiv w:val="1"/>
      <w:marLeft w:val="0"/>
      <w:marRight w:val="0"/>
      <w:marTop w:val="0"/>
      <w:marBottom w:val="0"/>
      <w:divBdr>
        <w:top w:val="none" w:sz="0" w:space="0" w:color="auto"/>
        <w:left w:val="none" w:sz="0" w:space="0" w:color="auto"/>
        <w:bottom w:val="none" w:sz="0" w:space="0" w:color="auto"/>
        <w:right w:val="none" w:sz="0" w:space="0" w:color="auto"/>
      </w:divBdr>
    </w:div>
    <w:div w:id="1980302882">
      <w:bodyDiv w:val="1"/>
      <w:marLeft w:val="0"/>
      <w:marRight w:val="0"/>
      <w:marTop w:val="0"/>
      <w:marBottom w:val="0"/>
      <w:divBdr>
        <w:top w:val="none" w:sz="0" w:space="0" w:color="auto"/>
        <w:left w:val="none" w:sz="0" w:space="0" w:color="auto"/>
        <w:bottom w:val="none" w:sz="0" w:space="0" w:color="auto"/>
        <w:right w:val="none" w:sz="0" w:space="0" w:color="auto"/>
      </w:divBdr>
    </w:div>
    <w:div w:id="1980303184">
      <w:bodyDiv w:val="1"/>
      <w:marLeft w:val="0"/>
      <w:marRight w:val="0"/>
      <w:marTop w:val="0"/>
      <w:marBottom w:val="0"/>
      <w:divBdr>
        <w:top w:val="none" w:sz="0" w:space="0" w:color="auto"/>
        <w:left w:val="none" w:sz="0" w:space="0" w:color="auto"/>
        <w:bottom w:val="none" w:sz="0" w:space="0" w:color="auto"/>
        <w:right w:val="none" w:sz="0" w:space="0" w:color="auto"/>
      </w:divBdr>
    </w:div>
    <w:div w:id="1980307767">
      <w:bodyDiv w:val="1"/>
      <w:marLeft w:val="0"/>
      <w:marRight w:val="0"/>
      <w:marTop w:val="0"/>
      <w:marBottom w:val="0"/>
      <w:divBdr>
        <w:top w:val="none" w:sz="0" w:space="0" w:color="auto"/>
        <w:left w:val="none" w:sz="0" w:space="0" w:color="auto"/>
        <w:bottom w:val="none" w:sz="0" w:space="0" w:color="auto"/>
        <w:right w:val="none" w:sz="0" w:space="0" w:color="auto"/>
      </w:divBdr>
    </w:div>
    <w:div w:id="1980450359">
      <w:bodyDiv w:val="1"/>
      <w:marLeft w:val="0"/>
      <w:marRight w:val="0"/>
      <w:marTop w:val="0"/>
      <w:marBottom w:val="0"/>
      <w:divBdr>
        <w:top w:val="none" w:sz="0" w:space="0" w:color="auto"/>
        <w:left w:val="none" w:sz="0" w:space="0" w:color="auto"/>
        <w:bottom w:val="none" w:sz="0" w:space="0" w:color="auto"/>
        <w:right w:val="none" w:sz="0" w:space="0" w:color="auto"/>
      </w:divBdr>
    </w:div>
    <w:div w:id="1980452262">
      <w:bodyDiv w:val="1"/>
      <w:marLeft w:val="0"/>
      <w:marRight w:val="0"/>
      <w:marTop w:val="0"/>
      <w:marBottom w:val="0"/>
      <w:divBdr>
        <w:top w:val="none" w:sz="0" w:space="0" w:color="auto"/>
        <w:left w:val="none" w:sz="0" w:space="0" w:color="auto"/>
        <w:bottom w:val="none" w:sz="0" w:space="0" w:color="auto"/>
        <w:right w:val="none" w:sz="0" w:space="0" w:color="auto"/>
      </w:divBdr>
    </w:div>
    <w:div w:id="1980453682">
      <w:bodyDiv w:val="1"/>
      <w:marLeft w:val="0"/>
      <w:marRight w:val="0"/>
      <w:marTop w:val="0"/>
      <w:marBottom w:val="0"/>
      <w:divBdr>
        <w:top w:val="none" w:sz="0" w:space="0" w:color="auto"/>
        <w:left w:val="none" w:sz="0" w:space="0" w:color="auto"/>
        <w:bottom w:val="none" w:sz="0" w:space="0" w:color="auto"/>
        <w:right w:val="none" w:sz="0" w:space="0" w:color="auto"/>
      </w:divBdr>
    </w:div>
    <w:div w:id="1980458124">
      <w:bodyDiv w:val="1"/>
      <w:marLeft w:val="0"/>
      <w:marRight w:val="0"/>
      <w:marTop w:val="0"/>
      <w:marBottom w:val="0"/>
      <w:divBdr>
        <w:top w:val="none" w:sz="0" w:space="0" w:color="auto"/>
        <w:left w:val="none" w:sz="0" w:space="0" w:color="auto"/>
        <w:bottom w:val="none" w:sz="0" w:space="0" w:color="auto"/>
        <w:right w:val="none" w:sz="0" w:space="0" w:color="auto"/>
      </w:divBdr>
    </w:div>
    <w:div w:id="1980567768">
      <w:bodyDiv w:val="1"/>
      <w:marLeft w:val="0"/>
      <w:marRight w:val="0"/>
      <w:marTop w:val="0"/>
      <w:marBottom w:val="0"/>
      <w:divBdr>
        <w:top w:val="none" w:sz="0" w:space="0" w:color="auto"/>
        <w:left w:val="none" w:sz="0" w:space="0" w:color="auto"/>
        <w:bottom w:val="none" w:sz="0" w:space="0" w:color="auto"/>
        <w:right w:val="none" w:sz="0" w:space="0" w:color="auto"/>
      </w:divBdr>
    </w:div>
    <w:div w:id="1980568026">
      <w:bodyDiv w:val="1"/>
      <w:marLeft w:val="0"/>
      <w:marRight w:val="0"/>
      <w:marTop w:val="0"/>
      <w:marBottom w:val="0"/>
      <w:divBdr>
        <w:top w:val="none" w:sz="0" w:space="0" w:color="auto"/>
        <w:left w:val="none" w:sz="0" w:space="0" w:color="auto"/>
        <w:bottom w:val="none" w:sz="0" w:space="0" w:color="auto"/>
        <w:right w:val="none" w:sz="0" w:space="0" w:color="auto"/>
      </w:divBdr>
    </w:div>
    <w:div w:id="1980645262">
      <w:bodyDiv w:val="1"/>
      <w:marLeft w:val="0"/>
      <w:marRight w:val="0"/>
      <w:marTop w:val="0"/>
      <w:marBottom w:val="0"/>
      <w:divBdr>
        <w:top w:val="none" w:sz="0" w:space="0" w:color="auto"/>
        <w:left w:val="none" w:sz="0" w:space="0" w:color="auto"/>
        <w:bottom w:val="none" w:sz="0" w:space="0" w:color="auto"/>
        <w:right w:val="none" w:sz="0" w:space="0" w:color="auto"/>
      </w:divBdr>
    </w:div>
    <w:div w:id="1980650222">
      <w:bodyDiv w:val="1"/>
      <w:marLeft w:val="0"/>
      <w:marRight w:val="0"/>
      <w:marTop w:val="0"/>
      <w:marBottom w:val="0"/>
      <w:divBdr>
        <w:top w:val="none" w:sz="0" w:space="0" w:color="auto"/>
        <w:left w:val="none" w:sz="0" w:space="0" w:color="auto"/>
        <w:bottom w:val="none" w:sz="0" w:space="0" w:color="auto"/>
        <w:right w:val="none" w:sz="0" w:space="0" w:color="auto"/>
      </w:divBdr>
    </w:div>
    <w:div w:id="1980651017">
      <w:bodyDiv w:val="1"/>
      <w:marLeft w:val="0"/>
      <w:marRight w:val="0"/>
      <w:marTop w:val="0"/>
      <w:marBottom w:val="0"/>
      <w:divBdr>
        <w:top w:val="none" w:sz="0" w:space="0" w:color="auto"/>
        <w:left w:val="none" w:sz="0" w:space="0" w:color="auto"/>
        <w:bottom w:val="none" w:sz="0" w:space="0" w:color="auto"/>
        <w:right w:val="none" w:sz="0" w:space="0" w:color="auto"/>
      </w:divBdr>
    </w:div>
    <w:div w:id="1980721293">
      <w:bodyDiv w:val="1"/>
      <w:marLeft w:val="0"/>
      <w:marRight w:val="0"/>
      <w:marTop w:val="0"/>
      <w:marBottom w:val="0"/>
      <w:divBdr>
        <w:top w:val="none" w:sz="0" w:space="0" w:color="auto"/>
        <w:left w:val="none" w:sz="0" w:space="0" w:color="auto"/>
        <w:bottom w:val="none" w:sz="0" w:space="0" w:color="auto"/>
        <w:right w:val="none" w:sz="0" w:space="0" w:color="auto"/>
      </w:divBdr>
    </w:div>
    <w:div w:id="1980723885">
      <w:bodyDiv w:val="1"/>
      <w:marLeft w:val="0"/>
      <w:marRight w:val="0"/>
      <w:marTop w:val="0"/>
      <w:marBottom w:val="0"/>
      <w:divBdr>
        <w:top w:val="none" w:sz="0" w:space="0" w:color="auto"/>
        <w:left w:val="none" w:sz="0" w:space="0" w:color="auto"/>
        <w:bottom w:val="none" w:sz="0" w:space="0" w:color="auto"/>
        <w:right w:val="none" w:sz="0" w:space="0" w:color="auto"/>
      </w:divBdr>
    </w:div>
    <w:div w:id="1980726841">
      <w:bodyDiv w:val="1"/>
      <w:marLeft w:val="0"/>
      <w:marRight w:val="0"/>
      <w:marTop w:val="0"/>
      <w:marBottom w:val="0"/>
      <w:divBdr>
        <w:top w:val="none" w:sz="0" w:space="0" w:color="auto"/>
        <w:left w:val="none" w:sz="0" w:space="0" w:color="auto"/>
        <w:bottom w:val="none" w:sz="0" w:space="0" w:color="auto"/>
        <w:right w:val="none" w:sz="0" w:space="0" w:color="auto"/>
      </w:divBdr>
    </w:div>
    <w:div w:id="1980764571">
      <w:bodyDiv w:val="1"/>
      <w:marLeft w:val="0"/>
      <w:marRight w:val="0"/>
      <w:marTop w:val="0"/>
      <w:marBottom w:val="0"/>
      <w:divBdr>
        <w:top w:val="none" w:sz="0" w:space="0" w:color="auto"/>
        <w:left w:val="none" w:sz="0" w:space="0" w:color="auto"/>
        <w:bottom w:val="none" w:sz="0" w:space="0" w:color="auto"/>
        <w:right w:val="none" w:sz="0" w:space="0" w:color="auto"/>
      </w:divBdr>
    </w:div>
    <w:div w:id="1980840932">
      <w:bodyDiv w:val="1"/>
      <w:marLeft w:val="0"/>
      <w:marRight w:val="0"/>
      <w:marTop w:val="0"/>
      <w:marBottom w:val="0"/>
      <w:divBdr>
        <w:top w:val="none" w:sz="0" w:space="0" w:color="auto"/>
        <w:left w:val="none" w:sz="0" w:space="0" w:color="auto"/>
        <w:bottom w:val="none" w:sz="0" w:space="0" w:color="auto"/>
        <w:right w:val="none" w:sz="0" w:space="0" w:color="auto"/>
      </w:divBdr>
    </w:div>
    <w:div w:id="1980841274">
      <w:bodyDiv w:val="1"/>
      <w:marLeft w:val="0"/>
      <w:marRight w:val="0"/>
      <w:marTop w:val="0"/>
      <w:marBottom w:val="0"/>
      <w:divBdr>
        <w:top w:val="none" w:sz="0" w:space="0" w:color="auto"/>
        <w:left w:val="none" w:sz="0" w:space="0" w:color="auto"/>
        <w:bottom w:val="none" w:sz="0" w:space="0" w:color="auto"/>
        <w:right w:val="none" w:sz="0" w:space="0" w:color="auto"/>
      </w:divBdr>
    </w:div>
    <w:div w:id="1980917499">
      <w:bodyDiv w:val="1"/>
      <w:marLeft w:val="0"/>
      <w:marRight w:val="0"/>
      <w:marTop w:val="0"/>
      <w:marBottom w:val="0"/>
      <w:divBdr>
        <w:top w:val="none" w:sz="0" w:space="0" w:color="auto"/>
        <w:left w:val="none" w:sz="0" w:space="0" w:color="auto"/>
        <w:bottom w:val="none" w:sz="0" w:space="0" w:color="auto"/>
        <w:right w:val="none" w:sz="0" w:space="0" w:color="auto"/>
      </w:divBdr>
    </w:div>
    <w:div w:id="1980919298">
      <w:bodyDiv w:val="1"/>
      <w:marLeft w:val="0"/>
      <w:marRight w:val="0"/>
      <w:marTop w:val="0"/>
      <w:marBottom w:val="0"/>
      <w:divBdr>
        <w:top w:val="none" w:sz="0" w:space="0" w:color="auto"/>
        <w:left w:val="none" w:sz="0" w:space="0" w:color="auto"/>
        <w:bottom w:val="none" w:sz="0" w:space="0" w:color="auto"/>
        <w:right w:val="none" w:sz="0" w:space="0" w:color="auto"/>
      </w:divBdr>
    </w:div>
    <w:div w:id="1981038934">
      <w:bodyDiv w:val="1"/>
      <w:marLeft w:val="0"/>
      <w:marRight w:val="0"/>
      <w:marTop w:val="0"/>
      <w:marBottom w:val="0"/>
      <w:divBdr>
        <w:top w:val="none" w:sz="0" w:space="0" w:color="auto"/>
        <w:left w:val="none" w:sz="0" w:space="0" w:color="auto"/>
        <w:bottom w:val="none" w:sz="0" w:space="0" w:color="auto"/>
        <w:right w:val="none" w:sz="0" w:space="0" w:color="auto"/>
      </w:divBdr>
    </w:div>
    <w:div w:id="1981229369">
      <w:bodyDiv w:val="1"/>
      <w:marLeft w:val="0"/>
      <w:marRight w:val="0"/>
      <w:marTop w:val="0"/>
      <w:marBottom w:val="0"/>
      <w:divBdr>
        <w:top w:val="none" w:sz="0" w:space="0" w:color="auto"/>
        <w:left w:val="none" w:sz="0" w:space="0" w:color="auto"/>
        <w:bottom w:val="none" w:sz="0" w:space="0" w:color="auto"/>
        <w:right w:val="none" w:sz="0" w:space="0" w:color="auto"/>
      </w:divBdr>
    </w:div>
    <w:div w:id="1981304503">
      <w:bodyDiv w:val="1"/>
      <w:marLeft w:val="0"/>
      <w:marRight w:val="0"/>
      <w:marTop w:val="0"/>
      <w:marBottom w:val="0"/>
      <w:divBdr>
        <w:top w:val="none" w:sz="0" w:space="0" w:color="auto"/>
        <w:left w:val="none" w:sz="0" w:space="0" w:color="auto"/>
        <w:bottom w:val="none" w:sz="0" w:space="0" w:color="auto"/>
        <w:right w:val="none" w:sz="0" w:space="0" w:color="auto"/>
      </w:divBdr>
    </w:div>
    <w:div w:id="1981375474">
      <w:bodyDiv w:val="1"/>
      <w:marLeft w:val="0"/>
      <w:marRight w:val="0"/>
      <w:marTop w:val="0"/>
      <w:marBottom w:val="0"/>
      <w:divBdr>
        <w:top w:val="none" w:sz="0" w:space="0" w:color="auto"/>
        <w:left w:val="none" w:sz="0" w:space="0" w:color="auto"/>
        <w:bottom w:val="none" w:sz="0" w:space="0" w:color="auto"/>
        <w:right w:val="none" w:sz="0" w:space="0" w:color="auto"/>
      </w:divBdr>
    </w:div>
    <w:div w:id="1981379692">
      <w:bodyDiv w:val="1"/>
      <w:marLeft w:val="0"/>
      <w:marRight w:val="0"/>
      <w:marTop w:val="0"/>
      <w:marBottom w:val="0"/>
      <w:divBdr>
        <w:top w:val="none" w:sz="0" w:space="0" w:color="auto"/>
        <w:left w:val="none" w:sz="0" w:space="0" w:color="auto"/>
        <w:bottom w:val="none" w:sz="0" w:space="0" w:color="auto"/>
        <w:right w:val="none" w:sz="0" w:space="0" w:color="auto"/>
      </w:divBdr>
    </w:div>
    <w:div w:id="1981419566">
      <w:bodyDiv w:val="1"/>
      <w:marLeft w:val="0"/>
      <w:marRight w:val="0"/>
      <w:marTop w:val="0"/>
      <w:marBottom w:val="0"/>
      <w:divBdr>
        <w:top w:val="none" w:sz="0" w:space="0" w:color="auto"/>
        <w:left w:val="none" w:sz="0" w:space="0" w:color="auto"/>
        <w:bottom w:val="none" w:sz="0" w:space="0" w:color="auto"/>
        <w:right w:val="none" w:sz="0" w:space="0" w:color="auto"/>
      </w:divBdr>
    </w:div>
    <w:div w:id="1981686046">
      <w:bodyDiv w:val="1"/>
      <w:marLeft w:val="0"/>
      <w:marRight w:val="0"/>
      <w:marTop w:val="0"/>
      <w:marBottom w:val="0"/>
      <w:divBdr>
        <w:top w:val="none" w:sz="0" w:space="0" w:color="auto"/>
        <w:left w:val="none" w:sz="0" w:space="0" w:color="auto"/>
        <w:bottom w:val="none" w:sz="0" w:space="0" w:color="auto"/>
        <w:right w:val="none" w:sz="0" w:space="0" w:color="auto"/>
      </w:divBdr>
    </w:div>
    <w:div w:id="1981835778">
      <w:bodyDiv w:val="1"/>
      <w:marLeft w:val="0"/>
      <w:marRight w:val="0"/>
      <w:marTop w:val="0"/>
      <w:marBottom w:val="0"/>
      <w:divBdr>
        <w:top w:val="none" w:sz="0" w:space="0" w:color="auto"/>
        <w:left w:val="none" w:sz="0" w:space="0" w:color="auto"/>
        <w:bottom w:val="none" w:sz="0" w:space="0" w:color="auto"/>
        <w:right w:val="none" w:sz="0" w:space="0" w:color="auto"/>
      </w:divBdr>
    </w:div>
    <w:div w:id="1981879115">
      <w:bodyDiv w:val="1"/>
      <w:marLeft w:val="0"/>
      <w:marRight w:val="0"/>
      <w:marTop w:val="0"/>
      <w:marBottom w:val="0"/>
      <w:divBdr>
        <w:top w:val="none" w:sz="0" w:space="0" w:color="auto"/>
        <w:left w:val="none" w:sz="0" w:space="0" w:color="auto"/>
        <w:bottom w:val="none" w:sz="0" w:space="0" w:color="auto"/>
        <w:right w:val="none" w:sz="0" w:space="0" w:color="auto"/>
      </w:divBdr>
    </w:div>
    <w:div w:id="1981882405">
      <w:bodyDiv w:val="1"/>
      <w:marLeft w:val="0"/>
      <w:marRight w:val="0"/>
      <w:marTop w:val="0"/>
      <w:marBottom w:val="0"/>
      <w:divBdr>
        <w:top w:val="none" w:sz="0" w:space="0" w:color="auto"/>
        <w:left w:val="none" w:sz="0" w:space="0" w:color="auto"/>
        <w:bottom w:val="none" w:sz="0" w:space="0" w:color="auto"/>
        <w:right w:val="none" w:sz="0" w:space="0" w:color="auto"/>
      </w:divBdr>
    </w:div>
    <w:div w:id="1981956881">
      <w:bodyDiv w:val="1"/>
      <w:marLeft w:val="0"/>
      <w:marRight w:val="0"/>
      <w:marTop w:val="0"/>
      <w:marBottom w:val="0"/>
      <w:divBdr>
        <w:top w:val="none" w:sz="0" w:space="0" w:color="auto"/>
        <w:left w:val="none" w:sz="0" w:space="0" w:color="auto"/>
        <w:bottom w:val="none" w:sz="0" w:space="0" w:color="auto"/>
        <w:right w:val="none" w:sz="0" w:space="0" w:color="auto"/>
      </w:divBdr>
    </w:div>
    <w:div w:id="1981960888">
      <w:bodyDiv w:val="1"/>
      <w:marLeft w:val="0"/>
      <w:marRight w:val="0"/>
      <w:marTop w:val="0"/>
      <w:marBottom w:val="0"/>
      <w:divBdr>
        <w:top w:val="none" w:sz="0" w:space="0" w:color="auto"/>
        <w:left w:val="none" w:sz="0" w:space="0" w:color="auto"/>
        <w:bottom w:val="none" w:sz="0" w:space="0" w:color="auto"/>
        <w:right w:val="none" w:sz="0" w:space="0" w:color="auto"/>
      </w:divBdr>
    </w:div>
    <w:div w:id="1981962279">
      <w:bodyDiv w:val="1"/>
      <w:marLeft w:val="0"/>
      <w:marRight w:val="0"/>
      <w:marTop w:val="0"/>
      <w:marBottom w:val="0"/>
      <w:divBdr>
        <w:top w:val="none" w:sz="0" w:space="0" w:color="auto"/>
        <w:left w:val="none" w:sz="0" w:space="0" w:color="auto"/>
        <w:bottom w:val="none" w:sz="0" w:space="0" w:color="auto"/>
        <w:right w:val="none" w:sz="0" w:space="0" w:color="auto"/>
      </w:divBdr>
    </w:div>
    <w:div w:id="1982073576">
      <w:bodyDiv w:val="1"/>
      <w:marLeft w:val="0"/>
      <w:marRight w:val="0"/>
      <w:marTop w:val="0"/>
      <w:marBottom w:val="0"/>
      <w:divBdr>
        <w:top w:val="none" w:sz="0" w:space="0" w:color="auto"/>
        <w:left w:val="none" w:sz="0" w:space="0" w:color="auto"/>
        <w:bottom w:val="none" w:sz="0" w:space="0" w:color="auto"/>
        <w:right w:val="none" w:sz="0" w:space="0" w:color="auto"/>
      </w:divBdr>
    </w:div>
    <w:div w:id="1982079603">
      <w:bodyDiv w:val="1"/>
      <w:marLeft w:val="0"/>
      <w:marRight w:val="0"/>
      <w:marTop w:val="0"/>
      <w:marBottom w:val="0"/>
      <w:divBdr>
        <w:top w:val="none" w:sz="0" w:space="0" w:color="auto"/>
        <w:left w:val="none" w:sz="0" w:space="0" w:color="auto"/>
        <w:bottom w:val="none" w:sz="0" w:space="0" w:color="auto"/>
        <w:right w:val="none" w:sz="0" w:space="0" w:color="auto"/>
      </w:divBdr>
    </w:div>
    <w:div w:id="1982231109">
      <w:bodyDiv w:val="1"/>
      <w:marLeft w:val="0"/>
      <w:marRight w:val="0"/>
      <w:marTop w:val="0"/>
      <w:marBottom w:val="0"/>
      <w:divBdr>
        <w:top w:val="none" w:sz="0" w:space="0" w:color="auto"/>
        <w:left w:val="none" w:sz="0" w:space="0" w:color="auto"/>
        <w:bottom w:val="none" w:sz="0" w:space="0" w:color="auto"/>
        <w:right w:val="none" w:sz="0" w:space="0" w:color="auto"/>
      </w:divBdr>
    </w:div>
    <w:div w:id="1982346923">
      <w:bodyDiv w:val="1"/>
      <w:marLeft w:val="0"/>
      <w:marRight w:val="0"/>
      <w:marTop w:val="0"/>
      <w:marBottom w:val="0"/>
      <w:divBdr>
        <w:top w:val="none" w:sz="0" w:space="0" w:color="auto"/>
        <w:left w:val="none" w:sz="0" w:space="0" w:color="auto"/>
        <w:bottom w:val="none" w:sz="0" w:space="0" w:color="auto"/>
        <w:right w:val="none" w:sz="0" w:space="0" w:color="auto"/>
      </w:divBdr>
    </w:div>
    <w:div w:id="1982423687">
      <w:bodyDiv w:val="1"/>
      <w:marLeft w:val="0"/>
      <w:marRight w:val="0"/>
      <w:marTop w:val="0"/>
      <w:marBottom w:val="0"/>
      <w:divBdr>
        <w:top w:val="none" w:sz="0" w:space="0" w:color="auto"/>
        <w:left w:val="none" w:sz="0" w:space="0" w:color="auto"/>
        <w:bottom w:val="none" w:sz="0" w:space="0" w:color="auto"/>
        <w:right w:val="none" w:sz="0" w:space="0" w:color="auto"/>
      </w:divBdr>
    </w:div>
    <w:div w:id="1982493248">
      <w:bodyDiv w:val="1"/>
      <w:marLeft w:val="0"/>
      <w:marRight w:val="0"/>
      <w:marTop w:val="0"/>
      <w:marBottom w:val="0"/>
      <w:divBdr>
        <w:top w:val="none" w:sz="0" w:space="0" w:color="auto"/>
        <w:left w:val="none" w:sz="0" w:space="0" w:color="auto"/>
        <w:bottom w:val="none" w:sz="0" w:space="0" w:color="auto"/>
        <w:right w:val="none" w:sz="0" w:space="0" w:color="auto"/>
      </w:divBdr>
    </w:div>
    <w:div w:id="1982729902">
      <w:bodyDiv w:val="1"/>
      <w:marLeft w:val="0"/>
      <w:marRight w:val="0"/>
      <w:marTop w:val="0"/>
      <w:marBottom w:val="0"/>
      <w:divBdr>
        <w:top w:val="none" w:sz="0" w:space="0" w:color="auto"/>
        <w:left w:val="none" w:sz="0" w:space="0" w:color="auto"/>
        <w:bottom w:val="none" w:sz="0" w:space="0" w:color="auto"/>
        <w:right w:val="none" w:sz="0" w:space="0" w:color="auto"/>
      </w:divBdr>
    </w:div>
    <w:div w:id="1982801946">
      <w:bodyDiv w:val="1"/>
      <w:marLeft w:val="0"/>
      <w:marRight w:val="0"/>
      <w:marTop w:val="0"/>
      <w:marBottom w:val="0"/>
      <w:divBdr>
        <w:top w:val="none" w:sz="0" w:space="0" w:color="auto"/>
        <w:left w:val="none" w:sz="0" w:space="0" w:color="auto"/>
        <w:bottom w:val="none" w:sz="0" w:space="0" w:color="auto"/>
        <w:right w:val="none" w:sz="0" w:space="0" w:color="auto"/>
      </w:divBdr>
    </w:div>
    <w:div w:id="1983077687">
      <w:bodyDiv w:val="1"/>
      <w:marLeft w:val="0"/>
      <w:marRight w:val="0"/>
      <w:marTop w:val="0"/>
      <w:marBottom w:val="0"/>
      <w:divBdr>
        <w:top w:val="none" w:sz="0" w:space="0" w:color="auto"/>
        <w:left w:val="none" w:sz="0" w:space="0" w:color="auto"/>
        <w:bottom w:val="none" w:sz="0" w:space="0" w:color="auto"/>
        <w:right w:val="none" w:sz="0" w:space="0" w:color="auto"/>
      </w:divBdr>
    </w:div>
    <w:div w:id="1983122329">
      <w:bodyDiv w:val="1"/>
      <w:marLeft w:val="0"/>
      <w:marRight w:val="0"/>
      <w:marTop w:val="0"/>
      <w:marBottom w:val="0"/>
      <w:divBdr>
        <w:top w:val="none" w:sz="0" w:space="0" w:color="auto"/>
        <w:left w:val="none" w:sz="0" w:space="0" w:color="auto"/>
        <w:bottom w:val="none" w:sz="0" w:space="0" w:color="auto"/>
        <w:right w:val="none" w:sz="0" w:space="0" w:color="auto"/>
      </w:divBdr>
    </w:div>
    <w:div w:id="1983195271">
      <w:bodyDiv w:val="1"/>
      <w:marLeft w:val="0"/>
      <w:marRight w:val="0"/>
      <w:marTop w:val="0"/>
      <w:marBottom w:val="0"/>
      <w:divBdr>
        <w:top w:val="none" w:sz="0" w:space="0" w:color="auto"/>
        <w:left w:val="none" w:sz="0" w:space="0" w:color="auto"/>
        <w:bottom w:val="none" w:sz="0" w:space="0" w:color="auto"/>
        <w:right w:val="none" w:sz="0" w:space="0" w:color="auto"/>
      </w:divBdr>
    </w:div>
    <w:div w:id="1983264069">
      <w:bodyDiv w:val="1"/>
      <w:marLeft w:val="0"/>
      <w:marRight w:val="0"/>
      <w:marTop w:val="0"/>
      <w:marBottom w:val="0"/>
      <w:divBdr>
        <w:top w:val="none" w:sz="0" w:space="0" w:color="auto"/>
        <w:left w:val="none" w:sz="0" w:space="0" w:color="auto"/>
        <w:bottom w:val="none" w:sz="0" w:space="0" w:color="auto"/>
        <w:right w:val="none" w:sz="0" w:space="0" w:color="auto"/>
      </w:divBdr>
    </w:div>
    <w:div w:id="1983269451">
      <w:bodyDiv w:val="1"/>
      <w:marLeft w:val="0"/>
      <w:marRight w:val="0"/>
      <w:marTop w:val="0"/>
      <w:marBottom w:val="0"/>
      <w:divBdr>
        <w:top w:val="none" w:sz="0" w:space="0" w:color="auto"/>
        <w:left w:val="none" w:sz="0" w:space="0" w:color="auto"/>
        <w:bottom w:val="none" w:sz="0" w:space="0" w:color="auto"/>
        <w:right w:val="none" w:sz="0" w:space="0" w:color="auto"/>
      </w:divBdr>
    </w:div>
    <w:div w:id="1983383088">
      <w:bodyDiv w:val="1"/>
      <w:marLeft w:val="0"/>
      <w:marRight w:val="0"/>
      <w:marTop w:val="0"/>
      <w:marBottom w:val="0"/>
      <w:divBdr>
        <w:top w:val="none" w:sz="0" w:space="0" w:color="auto"/>
        <w:left w:val="none" w:sz="0" w:space="0" w:color="auto"/>
        <w:bottom w:val="none" w:sz="0" w:space="0" w:color="auto"/>
        <w:right w:val="none" w:sz="0" w:space="0" w:color="auto"/>
      </w:divBdr>
    </w:div>
    <w:div w:id="1983608865">
      <w:bodyDiv w:val="1"/>
      <w:marLeft w:val="0"/>
      <w:marRight w:val="0"/>
      <w:marTop w:val="0"/>
      <w:marBottom w:val="0"/>
      <w:divBdr>
        <w:top w:val="none" w:sz="0" w:space="0" w:color="auto"/>
        <w:left w:val="none" w:sz="0" w:space="0" w:color="auto"/>
        <w:bottom w:val="none" w:sz="0" w:space="0" w:color="auto"/>
        <w:right w:val="none" w:sz="0" w:space="0" w:color="auto"/>
      </w:divBdr>
    </w:div>
    <w:div w:id="1983654891">
      <w:bodyDiv w:val="1"/>
      <w:marLeft w:val="0"/>
      <w:marRight w:val="0"/>
      <w:marTop w:val="0"/>
      <w:marBottom w:val="0"/>
      <w:divBdr>
        <w:top w:val="none" w:sz="0" w:space="0" w:color="auto"/>
        <w:left w:val="none" w:sz="0" w:space="0" w:color="auto"/>
        <w:bottom w:val="none" w:sz="0" w:space="0" w:color="auto"/>
        <w:right w:val="none" w:sz="0" w:space="0" w:color="auto"/>
      </w:divBdr>
    </w:div>
    <w:div w:id="1983732384">
      <w:bodyDiv w:val="1"/>
      <w:marLeft w:val="0"/>
      <w:marRight w:val="0"/>
      <w:marTop w:val="0"/>
      <w:marBottom w:val="0"/>
      <w:divBdr>
        <w:top w:val="none" w:sz="0" w:space="0" w:color="auto"/>
        <w:left w:val="none" w:sz="0" w:space="0" w:color="auto"/>
        <w:bottom w:val="none" w:sz="0" w:space="0" w:color="auto"/>
        <w:right w:val="none" w:sz="0" w:space="0" w:color="auto"/>
      </w:divBdr>
    </w:div>
    <w:div w:id="1983776126">
      <w:bodyDiv w:val="1"/>
      <w:marLeft w:val="0"/>
      <w:marRight w:val="0"/>
      <w:marTop w:val="0"/>
      <w:marBottom w:val="0"/>
      <w:divBdr>
        <w:top w:val="none" w:sz="0" w:space="0" w:color="auto"/>
        <w:left w:val="none" w:sz="0" w:space="0" w:color="auto"/>
        <w:bottom w:val="none" w:sz="0" w:space="0" w:color="auto"/>
        <w:right w:val="none" w:sz="0" w:space="0" w:color="auto"/>
      </w:divBdr>
    </w:div>
    <w:div w:id="1984001954">
      <w:bodyDiv w:val="1"/>
      <w:marLeft w:val="0"/>
      <w:marRight w:val="0"/>
      <w:marTop w:val="0"/>
      <w:marBottom w:val="0"/>
      <w:divBdr>
        <w:top w:val="none" w:sz="0" w:space="0" w:color="auto"/>
        <w:left w:val="none" w:sz="0" w:space="0" w:color="auto"/>
        <w:bottom w:val="none" w:sz="0" w:space="0" w:color="auto"/>
        <w:right w:val="none" w:sz="0" w:space="0" w:color="auto"/>
      </w:divBdr>
    </w:div>
    <w:div w:id="1984194328">
      <w:bodyDiv w:val="1"/>
      <w:marLeft w:val="0"/>
      <w:marRight w:val="0"/>
      <w:marTop w:val="0"/>
      <w:marBottom w:val="0"/>
      <w:divBdr>
        <w:top w:val="none" w:sz="0" w:space="0" w:color="auto"/>
        <w:left w:val="none" w:sz="0" w:space="0" w:color="auto"/>
        <w:bottom w:val="none" w:sz="0" w:space="0" w:color="auto"/>
        <w:right w:val="none" w:sz="0" w:space="0" w:color="auto"/>
      </w:divBdr>
    </w:div>
    <w:div w:id="1984234602">
      <w:bodyDiv w:val="1"/>
      <w:marLeft w:val="0"/>
      <w:marRight w:val="0"/>
      <w:marTop w:val="0"/>
      <w:marBottom w:val="0"/>
      <w:divBdr>
        <w:top w:val="none" w:sz="0" w:space="0" w:color="auto"/>
        <w:left w:val="none" w:sz="0" w:space="0" w:color="auto"/>
        <w:bottom w:val="none" w:sz="0" w:space="0" w:color="auto"/>
        <w:right w:val="none" w:sz="0" w:space="0" w:color="auto"/>
      </w:divBdr>
    </w:div>
    <w:div w:id="1984263472">
      <w:bodyDiv w:val="1"/>
      <w:marLeft w:val="0"/>
      <w:marRight w:val="0"/>
      <w:marTop w:val="0"/>
      <w:marBottom w:val="0"/>
      <w:divBdr>
        <w:top w:val="none" w:sz="0" w:space="0" w:color="auto"/>
        <w:left w:val="none" w:sz="0" w:space="0" w:color="auto"/>
        <w:bottom w:val="none" w:sz="0" w:space="0" w:color="auto"/>
        <w:right w:val="none" w:sz="0" w:space="0" w:color="auto"/>
      </w:divBdr>
    </w:div>
    <w:div w:id="1984308161">
      <w:bodyDiv w:val="1"/>
      <w:marLeft w:val="0"/>
      <w:marRight w:val="0"/>
      <w:marTop w:val="0"/>
      <w:marBottom w:val="0"/>
      <w:divBdr>
        <w:top w:val="none" w:sz="0" w:space="0" w:color="auto"/>
        <w:left w:val="none" w:sz="0" w:space="0" w:color="auto"/>
        <w:bottom w:val="none" w:sz="0" w:space="0" w:color="auto"/>
        <w:right w:val="none" w:sz="0" w:space="0" w:color="auto"/>
      </w:divBdr>
    </w:div>
    <w:div w:id="1984382875">
      <w:bodyDiv w:val="1"/>
      <w:marLeft w:val="0"/>
      <w:marRight w:val="0"/>
      <w:marTop w:val="0"/>
      <w:marBottom w:val="0"/>
      <w:divBdr>
        <w:top w:val="none" w:sz="0" w:space="0" w:color="auto"/>
        <w:left w:val="none" w:sz="0" w:space="0" w:color="auto"/>
        <w:bottom w:val="none" w:sz="0" w:space="0" w:color="auto"/>
        <w:right w:val="none" w:sz="0" w:space="0" w:color="auto"/>
      </w:divBdr>
    </w:div>
    <w:div w:id="1984462193">
      <w:bodyDiv w:val="1"/>
      <w:marLeft w:val="0"/>
      <w:marRight w:val="0"/>
      <w:marTop w:val="0"/>
      <w:marBottom w:val="0"/>
      <w:divBdr>
        <w:top w:val="none" w:sz="0" w:space="0" w:color="auto"/>
        <w:left w:val="none" w:sz="0" w:space="0" w:color="auto"/>
        <w:bottom w:val="none" w:sz="0" w:space="0" w:color="auto"/>
        <w:right w:val="none" w:sz="0" w:space="0" w:color="auto"/>
      </w:divBdr>
    </w:div>
    <w:div w:id="1984656162">
      <w:bodyDiv w:val="1"/>
      <w:marLeft w:val="0"/>
      <w:marRight w:val="0"/>
      <w:marTop w:val="0"/>
      <w:marBottom w:val="0"/>
      <w:divBdr>
        <w:top w:val="none" w:sz="0" w:space="0" w:color="auto"/>
        <w:left w:val="none" w:sz="0" w:space="0" w:color="auto"/>
        <w:bottom w:val="none" w:sz="0" w:space="0" w:color="auto"/>
        <w:right w:val="none" w:sz="0" w:space="0" w:color="auto"/>
      </w:divBdr>
    </w:div>
    <w:div w:id="1984846245">
      <w:bodyDiv w:val="1"/>
      <w:marLeft w:val="0"/>
      <w:marRight w:val="0"/>
      <w:marTop w:val="0"/>
      <w:marBottom w:val="0"/>
      <w:divBdr>
        <w:top w:val="none" w:sz="0" w:space="0" w:color="auto"/>
        <w:left w:val="none" w:sz="0" w:space="0" w:color="auto"/>
        <w:bottom w:val="none" w:sz="0" w:space="0" w:color="auto"/>
        <w:right w:val="none" w:sz="0" w:space="0" w:color="auto"/>
      </w:divBdr>
    </w:div>
    <w:div w:id="1984889362">
      <w:bodyDiv w:val="1"/>
      <w:marLeft w:val="0"/>
      <w:marRight w:val="0"/>
      <w:marTop w:val="0"/>
      <w:marBottom w:val="0"/>
      <w:divBdr>
        <w:top w:val="none" w:sz="0" w:space="0" w:color="auto"/>
        <w:left w:val="none" w:sz="0" w:space="0" w:color="auto"/>
        <w:bottom w:val="none" w:sz="0" w:space="0" w:color="auto"/>
        <w:right w:val="none" w:sz="0" w:space="0" w:color="auto"/>
      </w:divBdr>
    </w:div>
    <w:div w:id="1985042739">
      <w:bodyDiv w:val="1"/>
      <w:marLeft w:val="0"/>
      <w:marRight w:val="0"/>
      <w:marTop w:val="0"/>
      <w:marBottom w:val="0"/>
      <w:divBdr>
        <w:top w:val="none" w:sz="0" w:space="0" w:color="auto"/>
        <w:left w:val="none" w:sz="0" w:space="0" w:color="auto"/>
        <w:bottom w:val="none" w:sz="0" w:space="0" w:color="auto"/>
        <w:right w:val="none" w:sz="0" w:space="0" w:color="auto"/>
      </w:divBdr>
    </w:div>
    <w:div w:id="1985114304">
      <w:bodyDiv w:val="1"/>
      <w:marLeft w:val="0"/>
      <w:marRight w:val="0"/>
      <w:marTop w:val="0"/>
      <w:marBottom w:val="0"/>
      <w:divBdr>
        <w:top w:val="none" w:sz="0" w:space="0" w:color="auto"/>
        <w:left w:val="none" w:sz="0" w:space="0" w:color="auto"/>
        <w:bottom w:val="none" w:sz="0" w:space="0" w:color="auto"/>
        <w:right w:val="none" w:sz="0" w:space="0" w:color="auto"/>
      </w:divBdr>
    </w:div>
    <w:div w:id="1985114474">
      <w:bodyDiv w:val="1"/>
      <w:marLeft w:val="0"/>
      <w:marRight w:val="0"/>
      <w:marTop w:val="0"/>
      <w:marBottom w:val="0"/>
      <w:divBdr>
        <w:top w:val="none" w:sz="0" w:space="0" w:color="auto"/>
        <w:left w:val="none" w:sz="0" w:space="0" w:color="auto"/>
        <w:bottom w:val="none" w:sz="0" w:space="0" w:color="auto"/>
        <w:right w:val="none" w:sz="0" w:space="0" w:color="auto"/>
      </w:divBdr>
    </w:div>
    <w:div w:id="1985230123">
      <w:bodyDiv w:val="1"/>
      <w:marLeft w:val="0"/>
      <w:marRight w:val="0"/>
      <w:marTop w:val="0"/>
      <w:marBottom w:val="0"/>
      <w:divBdr>
        <w:top w:val="none" w:sz="0" w:space="0" w:color="auto"/>
        <w:left w:val="none" w:sz="0" w:space="0" w:color="auto"/>
        <w:bottom w:val="none" w:sz="0" w:space="0" w:color="auto"/>
        <w:right w:val="none" w:sz="0" w:space="0" w:color="auto"/>
      </w:divBdr>
    </w:div>
    <w:div w:id="1985238029">
      <w:bodyDiv w:val="1"/>
      <w:marLeft w:val="0"/>
      <w:marRight w:val="0"/>
      <w:marTop w:val="0"/>
      <w:marBottom w:val="0"/>
      <w:divBdr>
        <w:top w:val="none" w:sz="0" w:space="0" w:color="auto"/>
        <w:left w:val="none" w:sz="0" w:space="0" w:color="auto"/>
        <w:bottom w:val="none" w:sz="0" w:space="0" w:color="auto"/>
        <w:right w:val="none" w:sz="0" w:space="0" w:color="auto"/>
      </w:divBdr>
    </w:div>
    <w:div w:id="1985424014">
      <w:bodyDiv w:val="1"/>
      <w:marLeft w:val="0"/>
      <w:marRight w:val="0"/>
      <w:marTop w:val="0"/>
      <w:marBottom w:val="0"/>
      <w:divBdr>
        <w:top w:val="none" w:sz="0" w:space="0" w:color="auto"/>
        <w:left w:val="none" w:sz="0" w:space="0" w:color="auto"/>
        <w:bottom w:val="none" w:sz="0" w:space="0" w:color="auto"/>
        <w:right w:val="none" w:sz="0" w:space="0" w:color="auto"/>
      </w:divBdr>
    </w:div>
    <w:div w:id="1985426102">
      <w:bodyDiv w:val="1"/>
      <w:marLeft w:val="0"/>
      <w:marRight w:val="0"/>
      <w:marTop w:val="0"/>
      <w:marBottom w:val="0"/>
      <w:divBdr>
        <w:top w:val="none" w:sz="0" w:space="0" w:color="auto"/>
        <w:left w:val="none" w:sz="0" w:space="0" w:color="auto"/>
        <w:bottom w:val="none" w:sz="0" w:space="0" w:color="auto"/>
        <w:right w:val="none" w:sz="0" w:space="0" w:color="auto"/>
      </w:divBdr>
    </w:div>
    <w:div w:id="1985432058">
      <w:bodyDiv w:val="1"/>
      <w:marLeft w:val="0"/>
      <w:marRight w:val="0"/>
      <w:marTop w:val="0"/>
      <w:marBottom w:val="0"/>
      <w:divBdr>
        <w:top w:val="none" w:sz="0" w:space="0" w:color="auto"/>
        <w:left w:val="none" w:sz="0" w:space="0" w:color="auto"/>
        <w:bottom w:val="none" w:sz="0" w:space="0" w:color="auto"/>
        <w:right w:val="none" w:sz="0" w:space="0" w:color="auto"/>
      </w:divBdr>
    </w:div>
    <w:div w:id="1985698611">
      <w:bodyDiv w:val="1"/>
      <w:marLeft w:val="0"/>
      <w:marRight w:val="0"/>
      <w:marTop w:val="0"/>
      <w:marBottom w:val="0"/>
      <w:divBdr>
        <w:top w:val="none" w:sz="0" w:space="0" w:color="auto"/>
        <w:left w:val="none" w:sz="0" w:space="0" w:color="auto"/>
        <w:bottom w:val="none" w:sz="0" w:space="0" w:color="auto"/>
        <w:right w:val="none" w:sz="0" w:space="0" w:color="auto"/>
      </w:divBdr>
    </w:div>
    <w:div w:id="1985768226">
      <w:bodyDiv w:val="1"/>
      <w:marLeft w:val="0"/>
      <w:marRight w:val="0"/>
      <w:marTop w:val="0"/>
      <w:marBottom w:val="0"/>
      <w:divBdr>
        <w:top w:val="none" w:sz="0" w:space="0" w:color="auto"/>
        <w:left w:val="none" w:sz="0" w:space="0" w:color="auto"/>
        <w:bottom w:val="none" w:sz="0" w:space="0" w:color="auto"/>
        <w:right w:val="none" w:sz="0" w:space="0" w:color="auto"/>
      </w:divBdr>
    </w:div>
    <w:div w:id="1986154370">
      <w:bodyDiv w:val="1"/>
      <w:marLeft w:val="0"/>
      <w:marRight w:val="0"/>
      <w:marTop w:val="0"/>
      <w:marBottom w:val="0"/>
      <w:divBdr>
        <w:top w:val="none" w:sz="0" w:space="0" w:color="auto"/>
        <w:left w:val="none" w:sz="0" w:space="0" w:color="auto"/>
        <w:bottom w:val="none" w:sz="0" w:space="0" w:color="auto"/>
        <w:right w:val="none" w:sz="0" w:space="0" w:color="auto"/>
      </w:divBdr>
    </w:div>
    <w:div w:id="1986202321">
      <w:bodyDiv w:val="1"/>
      <w:marLeft w:val="0"/>
      <w:marRight w:val="0"/>
      <w:marTop w:val="0"/>
      <w:marBottom w:val="0"/>
      <w:divBdr>
        <w:top w:val="none" w:sz="0" w:space="0" w:color="auto"/>
        <w:left w:val="none" w:sz="0" w:space="0" w:color="auto"/>
        <w:bottom w:val="none" w:sz="0" w:space="0" w:color="auto"/>
        <w:right w:val="none" w:sz="0" w:space="0" w:color="auto"/>
      </w:divBdr>
    </w:div>
    <w:div w:id="1986204947">
      <w:bodyDiv w:val="1"/>
      <w:marLeft w:val="0"/>
      <w:marRight w:val="0"/>
      <w:marTop w:val="0"/>
      <w:marBottom w:val="0"/>
      <w:divBdr>
        <w:top w:val="none" w:sz="0" w:space="0" w:color="auto"/>
        <w:left w:val="none" w:sz="0" w:space="0" w:color="auto"/>
        <w:bottom w:val="none" w:sz="0" w:space="0" w:color="auto"/>
        <w:right w:val="none" w:sz="0" w:space="0" w:color="auto"/>
      </w:divBdr>
    </w:div>
    <w:div w:id="1986275560">
      <w:bodyDiv w:val="1"/>
      <w:marLeft w:val="0"/>
      <w:marRight w:val="0"/>
      <w:marTop w:val="0"/>
      <w:marBottom w:val="0"/>
      <w:divBdr>
        <w:top w:val="none" w:sz="0" w:space="0" w:color="auto"/>
        <w:left w:val="none" w:sz="0" w:space="0" w:color="auto"/>
        <w:bottom w:val="none" w:sz="0" w:space="0" w:color="auto"/>
        <w:right w:val="none" w:sz="0" w:space="0" w:color="auto"/>
      </w:divBdr>
    </w:div>
    <w:div w:id="1986473834">
      <w:bodyDiv w:val="1"/>
      <w:marLeft w:val="0"/>
      <w:marRight w:val="0"/>
      <w:marTop w:val="0"/>
      <w:marBottom w:val="0"/>
      <w:divBdr>
        <w:top w:val="none" w:sz="0" w:space="0" w:color="auto"/>
        <w:left w:val="none" w:sz="0" w:space="0" w:color="auto"/>
        <w:bottom w:val="none" w:sz="0" w:space="0" w:color="auto"/>
        <w:right w:val="none" w:sz="0" w:space="0" w:color="auto"/>
      </w:divBdr>
    </w:div>
    <w:div w:id="1986541258">
      <w:bodyDiv w:val="1"/>
      <w:marLeft w:val="0"/>
      <w:marRight w:val="0"/>
      <w:marTop w:val="0"/>
      <w:marBottom w:val="0"/>
      <w:divBdr>
        <w:top w:val="none" w:sz="0" w:space="0" w:color="auto"/>
        <w:left w:val="none" w:sz="0" w:space="0" w:color="auto"/>
        <w:bottom w:val="none" w:sz="0" w:space="0" w:color="auto"/>
        <w:right w:val="none" w:sz="0" w:space="0" w:color="auto"/>
      </w:divBdr>
    </w:div>
    <w:div w:id="1986541403">
      <w:bodyDiv w:val="1"/>
      <w:marLeft w:val="0"/>
      <w:marRight w:val="0"/>
      <w:marTop w:val="0"/>
      <w:marBottom w:val="0"/>
      <w:divBdr>
        <w:top w:val="none" w:sz="0" w:space="0" w:color="auto"/>
        <w:left w:val="none" w:sz="0" w:space="0" w:color="auto"/>
        <w:bottom w:val="none" w:sz="0" w:space="0" w:color="auto"/>
        <w:right w:val="none" w:sz="0" w:space="0" w:color="auto"/>
      </w:divBdr>
    </w:div>
    <w:div w:id="1986742803">
      <w:bodyDiv w:val="1"/>
      <w:marLeft w:val="0"/>
      <w:marRight w:val="0"/>
      <w:marTop w:val="0"/>
      <w:marBottom w:val="0"/>
      <w:divBdr>
        <w:top w:val="none" w:sz="0" w:space="0" w:color="auto"/>
        <w:left w:val="none" w:sz="0" w:space="0" w:color="auto"/>
        <w:bottom w:val="none" w:sz="0" w:space="0" w:color="auto"/>
        <w:right w:val="none" w:sz="0" w:space="0" w:color="auto"/>
      </w:divBdr>
    </w:div>
    <w:div w:id="1986809605">
      <w:bodyDiv w:val="1"/>
      <w:marLeft w:val="0"/>
      <w:marRight w:val="0"/>
      <w:marTop w:val="0"/>
      <w:marBottom w:val="0"/>
      <w:divBdr>
        <w:top w:val="none" w:sz="0" w:space="0" w:color="auto"/>
        <w:left w:val="none" w:sz="0" w:space="0" w:color="auto"/>
        <w:bottom w:val="none" w:sz="0" w:space="0" w:color="auto"/>
        <w:right w:val="none" w:sz="0" w:space="0" w:color="auto"/>
      </w:divBdr>
    </w:div>
    <w:div w:id="1986813894">
      <w:bodyDiv w:val="1"/>
      <w:marLeft w:val="0"/>
      <w:marRight w:val="0"/>
      <w:marTop w:val="0"/>
      <w:marBottom w:val="0"/>
      <w:divBdr>
        <w:top w:val="none" w:sz="0" w:space="0" w:color="auto"/>
        <w:left w:val="none" w:sz="0" w:space="0" w:color="auto"/>
        <w:bottom w:val="none" w:sz="0" w:space="0" w:color="auto"/>
        <w:right w:val="none" w:sz="0" w:space="0" w:color="auto"/>
      </w:divBdr>
    </w:div>
    <w:div w:id="1986885580">
      <w:bodyDiv w:val="1"/>
      <w:marLeft w:val="0"/>
      <w:marRight w:val="0"/>
      <w:marTop w:val="0"/>
      <w:marBottom w:val="0"/>
      <w:divBdr>
        <w:top w:val="none" w:sz="0" w:space="0" w:color="auto"/>
        <w:left w:val="none" w:sz="0" w:space="0" w:color="auto"/>
        <w:bottom w:val="none" w:sz="0" w:space="0" w:color="auto"/>
        <w:right w:val="none" w:sz="0" w:space="0" w:color="auto"/>
      </w:divBdr>
    </w:div>
    <w:div w:id="1987080535">
      <w:bodyDiv w:val="1"/>
      <w:marLeft w:val="0"/>
      <w:marRight w:val="0"/>
      <w:marTop w:val="0"/>
      <w:marBottom w:val="0"/>
      <w:divBdr>
        <w:top w:val="none" w:sz="0" w:space="0" w:color="auto"/>
        <w:left w:val="none" w:sz="0" w:space="0" w:color="auto"/>
        <w:bottom w:val="none" w:sz="0" w:space="0" w:color="auto"/>
        <w:right w:val="none" w:sz="0" w:space="0" w:color="auto"/>
      </w:divBdr>
    </w:div>
    <w:div w:id="1987081210">
      <w:bodyDiv w:val="1"/>
      <w:marLeft w:val="0"/>
      <w:marRight w:val="0"/>
      <w:marTop w:val="0"/>
      <w:marBottom w:val="0"/>
      <w:divBdr>
        <w:top w:val="none" w:sz="0" w:space="0" w:color="auto"/>
        <w:left w:val="none" w:sz="0" w:space="0" w:color="auto"/>
        <w:bottom w:val="none" w:sz="0" w:space="0" w:color="auto"/>
        <w:right w:val="none" w:sz="0" w:space="0" w:color="auto"/>
      </w:divBdr>
    </w:div>
    <w:div w:id="1987466054">
      <w:bodyDiv w:val="1"/>
      <w:marLeft w:val="0"/>
      <w:marRight w:val="0"/>
      <w:marTop w:val="0"/>
      <w:marBottom w:val="0"/>
      <w:divBdr>
        <w:top w:val="none" w:sz="0" w:space="0" w:color="auto"/>
        <w:left w:val="none" w:sz="0" w:space="0" w:color="auto"/>
        <w:bottom w:val="none" w:sz="0" w:space="0" w:color="auto"/>
        <w:right w:val="none" w:sz="0" w:space="0" w:color="auto"/>
      </w:divBdr>
    </w:div>
    <w:div w:id="1987659027">
      <w:bodyDiv w:val="1"/>
      <w:marLeft w:val="0"/>
      <w:marRight w:val="0"/>
      <w:marTop w:val="0"/>
      <w:marBottom w:val="0"/>
      <w:divBdr>
        <w:top w:val="none" w:sz="0" w:space="0" w:color="auto"/>
        <w:left w:val="none" w:sz="0" w:space="0" w:color="auto"/>
        <w:bottom w:val="none" w:sz="0" w:space="0" w:color="auto"/>
        <w:right w:val="none" w:sz="0" w:space="0" w:color="auto"/>
      </w:divBdr>
    </w:div>
    <w:div w:id="1987855412">
      <w:bodyDiv w:val="1"/>
      <w:marLeft w:val="0"/>
      <w:marRight w:val="0"/>
      <w:marTop w:val="0"/>
      <w:marBottom w:val="0"/>
      <w:divBdr>
        <w:top w:val="none" w:sz="0" w:space="0" w:color="auto"/>
        <w:left w:val="none" w:sz="0" w:space="0" w:color="auto"/>
        <w:bottom w:val="none" w:sz="0" w:space="0" w:color="auto"/>
        <w:right w:val="none" w:sz="0" w:space="0" w:color="auto"/>
      </w:divBdr>
    </w:div>
    <w:div w:id="1987856116">
      <w:bodyDiv w:val="1"/>
      <w:marLeft w:val="0"/>
      <w:marRight w:val="0"/>
      <w:marTop w:val="0"/>
      <w:marBottom w:val="0"/>
      <w:divBdr>
        <w:top w:val="none" w:sz="0" w:space="0" w:color="auto"/>
        <w:left w:val="none" w:sz="0" w:space="0" w:color="auto"/>
        <w:bottom w:val="none" w:sz="0" w:space="0" w:color="auto"/>
        <w:right w:val="none" w:sz="0" w:space="0" w:color="auto"/>
      </w:divBdr>
    </w:div>
    <w:div w:id="1987856722">
      <w:bodyDiv w:val="1"/>
      <w:marLeft w:val="0"/>
      <w:marRight w:val="0"/>
      <w:marTop w:val="0"/>
      <w:marBottom w:val="0"/>
      <w:divBdr>
        <w:top w:val="none" w:sz="0" w:space="0" w:color="auto"/>
        <w:left w:val="none" w:sz="0" w:space="0" w:color="auto"/>
        <w:bottom w:val="none" w:sz="0" w:space="0" w:color="auto"/>
        <w:right w:val="none" w:sz="0" w:space="0" w:color="auto"/>
      </w:divBdr>
    </w:div>
    <w:div w:id="1987932999">
      <w:bodyDiv w:val="1"/>
      <w:marLeft w:val="0"/>
      <w:marRight w:val="0"/>
      <w:marTop w:val="0"/>
      <w:marBottom w:val="0"/>
      <w:divBdr>
        <w:top w:val="none" w:sz="0" w:space="0" w:color="auto"/>
        <w:left w:val="none" w:sz="0" w:space="0" w:color="auto"/>
        <w:bottom w:val="none" w:sz="0" w:space="0" w:color="auto"/>
        <w:right w:val="none" w:sz="0" w:space="0" w:color="auto"/>
      </w:divBdr>
    </w:div>
    <w:div w:id="1988044217">
      <w:bodyDiv w:val="1"/>
      <w:marLeft w:val="0"/>
      <w:marRight w:val="0"/>
      <w:marTop w:val="0"/>
      <w:marBottom w:val="0"/>
      <w:divBdr>
        <w:top w:val="none" w:sz="0" w:space="0" w:color="auto"/>
        <w:left w:val="none" w:sz="0" w:space="0" w:color="auto"/>
        <w:bottom w:val="none" w:sz="0" w:space="0" w:color="auto"/>
        <w:right w:val="none" w:sz="0" w:space="0" w:color="auto"/>
      </w:divBdr>
    </w:div>
    <w:div w:id="1988314171">
      <w:bodyDiv w:val="1"/>
      <w:marLeft w:val="0"/>
      <w:marRight w:val="0"/>
      <w:marTop w:val="0"/>
      <w:marBottom w:val="0"/>
      <w:divBdr>
        <w:top w:val="none" w:sz="0" w:space="0" w:color="auto"/>
        <w:left w:val="none" w:sz="0" w:space="0" w:color="auto"/>
        <w:bottom w:val="none" w:sz="0" w:space="0" w:color="auto"/>
        <w:right w:val="none" w:sz="0" w:space="0" w:color="auto"/>
      </w:divBdr>
    </w:div>
    <w:div w:id="1988316127">
      <w:bodyDiv w:val="1"/>
      <w:marLeft w:val="0"/>
      <w:marRight w:val="0"/>
      <w:marTop w:val="0"/>
      <w:marBottom w:val="0"/>
      <w:divBdr>
        <w:top w:val="none" w:sz="0" w:space="0" w:color="auto"/>
        <w:left w:val="none" w:sz="0" w:space="0" w:color="auto"/>
        <w:bottom w:val="none" w:sz="0" w:space="0" w:color="auto"/>
        <w:right w:val="none" w:sz="0" w:space="0" w:color="auto"/>
      </w:divBdr>
    </w:div>
    <w:div w:id="1988433096">
      <w:bodyDiv w:val="1"/>
      <w:marLeft w:val="0"/>
      <w:marRight w:val="0"/>
      <w:marTop w:val="0"/>
      <w:marBottom w:val="0"/>
      <w:divBdr>
        <w:top w:val="none" w:sz="0" w:space="0" w:color="auto"/>
        <w:left w:val="none" w:sz="0" w:space="0" w:color="auto"/>
        <w:bottom w:val="none" w:sz="0" w:space="0" w:color="auto"/>
        <w:right w:val="none" w:sz="0" w:space="0" w:color="auto"/>
      </w:divBdr>
    </w:div>
    <w:div w:id="1988630057">
      <w:bodyDiv w:val="1"/>
      <w:marLeft w:val="0"/>
      <w:marRight w:val="0"/>
      <w:marTop w:val="0"/>
      <w:marBottom w:val="0"/>
      <w:divBdr>
        <w:top w:val="none" w:sz="0" w:space="0" w:color="auto"/>
        <w:left w:val="none" w:sz="0" w:space="0" w:color="auto"/>
        <w:bottom w:val="none" w:sz="0" w:space="0" w:color="auto"/>
        <w:right w:val="none" w:sz="0" w:space="0" w:color="auto"/>
      </w:divBdr>
    </w:div>
    <w:div w:id="1988657084">
      <w:bodyDiv w:val="1"/>
      <w:marLeft w:val="0"/>
      <w:marRight w:val="0"/>
      <w:marTop w:val="0"/>
      <w:marBottom w:val="0"/>
      <w:divBdr>
        <w:top w:val="none" w:sz="0" w:space="0" w:color="auto"/>
        <w:left w:val="none" w:sz="0" w:space="0" w:color="auto"/>
        <w:bottom w:val="none" w:sz="0" w:space="0" w:color="auto"/>
        <w:right w:val="none" w:sz="0" w:space="0" w:color="auto"/>
      </w:divBdr>
    </w:div>
    <w:div w:id="1988700082">
      <w:bodyDiv w:val="1"/>
      <w:marLeft w:val="0"/>
      <w:marRight w:val="0"/>
      <w:marTop w:val="0"/>
      <w:marBottom w:val="0"/>
      <w:divBdr>
        <w:top w:val="none" w:sz="0" w:space="0" w:color="auto"/>
        <w:left w:val="none" w:sz="0" w:space="0" w:color="auto"/>
        <w:bottom w:val="none" w:sz="0" w:space="0" w:color="auto"/>
        <w:right w:val="none" w:sz="0" w:space="0" w:color="auto"/>
      </w:divBdr>
    </w:div>
    <w:div w:id="1988706588">
      <w:bodyDiv w:val="1"/>
      <w:marLeft w:val="0"/>
      <w:marRight w:val="0"/>
      <w:marTop w:val="0"/>
      <w:marBottom w:val="0"/>
      <w:divBdr>
        <w:top w:val="none" w:sz="0" w:space="0" w:color="auto"/>
        <w:left w:val="none" w:sz="0" w:space="0" w:color="auto"/>
        <w:bottom w:val="none" w:sz="0" w:space="0" w:color="auto"/>
        <w:right w:val="none" w:sz="0" w:space="0" w:color="auto"/>
      </w:divBdr>
    </w:div>
    <w:div w:id="1988782422">
      <w:bodyDiv w:val="1"/>
      <w:marLeft w:val="0"/>
      <w:marRight w:val="0"/>
      <w:marTop w:val="0"/>
      <w:marBottom w:val="0"/>
      <w:divBdr>
        <w:top w:val="none" w:sz="0" w:space="0" w:color="auto"/>
        <w:left w:val="none" w:sz="0" w:space="0" w:color="auto"/>
        <w:bottom w:val="none" w:sz="0" w:space="0" w:color="auto"/>
        <w:right w:val="none" w:sz="0" w:space="0" w:color="auto"/>
      </w:divBdr>
    </w:div>
    <w:div w:id="1988783564">
      <w:bodyDiv w:val="1"/>
      <w:marLeft w:val="0"/>
      <w:marRight w:val="0"/>
      <w:marTop w:val="0"/>
      <w:marBottom w:val="0"/>
      <w:divBdr>
        <w:top w:val="none" w:sz="0" w:space="0" w:color="auto"/>
        <w:left w:val="none" w:sz="0" w:space="0" w:color="auto"/>
        <w:bottom w:val="none" w:sz="0" w:space="0" w:color="auto"/>
        <w:right w:val="none" w:sz="0" w:space="0" w:color="auto"/>
      </w:divBdr>
    </w:div>
    <w:div w:id="1988899435">
      <w:bodyDiv w:val="1"/>
      <w:marLeft w:val="0"/>
      <w:marRight w:val="0"/>
      <w:marTop w:val="0"/>
      <w:marBottom w:val="0"/>
      <w:divBdr>
        <w:top w:val="none" w:sz="0" w:space="0" w:color="auto"/>
        <w:left w:val="none" w:sz="0" w:space="0" w:color="auto"/>
        <w:bottom w:val="none" w:sz="0" w:space="0" w:color="auto"/>
        <w:right w:val="none" w:sz="0" w:space="0" w:color="auto"/>
      </w:divBdr>
    </w:div>
    <w:div w:id="1988900756">
      <w:bodyDiv w:val="1"/>
      <w:marLeft w:val="0"/>
      <w:marRight w:val="0"/>
      <w:marTop w:val="0"/>
      <w:marBottom w:val="0"/>
      <w:divBdr>
        <w:top w:val="none" w:sz="0" w:space="0" w:color="auto"/>
        <w:left w:val="none" w:sz="0" w:space="0" w:color="auto"/>
        <w:bottom w:val="none" w:sz="0" w:space="0" w:color="auto"/>
        <w:right w:val="none" w:sz="0" w:space="0" w:color="auto"/>
      </w:divBdr>
    </w:div>
    <w:div w:id="1989049215">
      <w:bodyDiv w:val="1"/>
      <w:marLeft w:val="0"/>
      <w:marRight w:val="0"/>
      <w:marTop w:val="0"/>
      <w:marBottom w:val="0"/>
      <w:divBdr>
        <w:top w:val="none" w:sz="0" w:space="0" w:color="auto"/>
        <w:left w:val="none" w:sz="0" w:space="0" w:color="auto"/>
        <w:bottom w:val="none" w:sz="0" w:space="0" w:color="auto"/>
        <w:right w:val="none" w:sz="0" w:space="0" w:color="auto"/>
      </w:divBdr>
    </w:div>
    <w:div w:id="1989087392">
      <w:bodyDiv w:val="1"/>
      <w:marLeft w:val="0"/>
      <w:marRight w:val="0"/>
      <w:marTop w:val="0"/>
      <w:marBottom w:val="0"/>
      <w:divBdr>
        <w:top w:val="none" w:sz="0" w:space="0" w:color="auto"/>
        <w:left w:val="none" w:sz="0" w:space="0" w:color="auto"/>
        <w:bottom w:val="none" w:sz="0" w:space="0" w:color="auto"/>
        <w:right w:val="none" w:sz="0" w:space="0" w:color="auto"/>
      </w:divBdr>
    </w:div>
    <w:div w:id="1989282400">
      <w:bodyDiv w:val="1"/>
      <w:marLeft w:val="0"/>
      <w:marRight w:val="0"/>
      <w:marTop w:val="0"/>
      <w:marBottom w:val="0"/>
      <w:divBdr>
        <w:top w:val="none" w:sz="0" w:space="0" w:color="auto"/>
        <w:left w:val="none" w:sz="0" w:space="0" w:color="auto"/>
        <w:bottom w:val="none" w:sz="0" w:space="0" w:color="auto"/>
        <w:right w:val="none" w:sz="0" w:space="0" w:color="auto"/>
      </w:divBdr>
    </w:div>
    <w:div w:id="1989285828">
      <w:bodyDiv w:val="1"/>
      <w:marLeft w:val="0"/>
      <w:marRight w:val="0"/>
      <w:marTop w:val="0"/>
      <w:marBottom w:val="0"/>
      <w:divBdr>
        <w:top w:val="none" w:sz="0" w:space="0" w:color="auto"/>
        <w:left w:val="none" w:sz="0" w:space="0" w:color="auto"/>
        <w:bottom w:val="none" w:sz="0" w:space="0" w:color="auto"/>
        <w:right w:val="none" w:sz="0" w:space="0" w:color="auto"/>
      </w:divBdr>
    </w:div>
    <w:div w:id="1989357223">
      <w:bodyDiv w:val="1"/>
      <w:marLeft w:val="0"/>
      <w:marRight w:val="0"/>
      <w:marTop w:val="0"/>
      <w:marBottom w:val="0"/>
      <w:divBdr>
        <w:top w:val="none" w:sz="0" w:space="0" w:color="auto"/>
        <w:left w:val="none" w:sz="0" w:space="0" w:color="auto"/>
        <w:bottom w:val="none" w:sz="0" w:space="0" w:color="auto"/>
        <w:right w:val="none" w:sz="0" w:space="0" w:color="auto"/>
      </w:divBdr>
    </w:div>
    <w:div w:id="1989357620">
      <w:bodyDiv w:val="1"/>
      <w:marLeft w:val="0"/>
      <w:marRight w:val="0"/>
      <w:marTop w:val="0"/>
      <w:marBottom w:val="0"/>
      <w:divBdr>
        <w:top w:val="none" w:sz="0" w:space="0" w:color="auto"/>
        <w:left w:val="none" w:sz="0" w:space="0" w:color="auto"/>
        <w:bottom w:val="none" w:sz="0" w:space="0" w:color="auto"/>
        <w:right w:val="none" w:sz="0" w:space="0" w:color="auto"/>
      </w:divBdr>
    </w:div>
    <w:div w:id="1989625993">
      <w:bodyDiv w:val="1"/>
      <w:marLeft w:val="0"/>
      <w:marRight w:val="0"/>
      <w:marTop w:val="0"/>
      <w:marBottom w:val="0"/>
      <w:divBdr>
        <w:top w:val="none" w:sz="0" w:space="0" w:color="auto"/>
        <w:left w:val="none" w:sz="0" w:space="0" w:color="auto"/>
        <w:bottom w:val="none" w:sz="0" w:space="0" w:color="auto"/>
        <w:right w:val="none" w:sz="0" w:space="0" w:color="auto"/>
      </w:divBdr>
    </w:div>
    <w:div w:id="1989704625">
      <w:bodyDiv w:val="1"/>
      <w:marLeft w:val="0"/>
      <w:marRight w:val="0"/>
      <w:marTop w:val="0"/>
      <w:marBottom w:val="0"/>
      <w:divBdr>
        <w:top w:val="none" w:sz="0" w:space="0" w:color="auto"/>
        <w:left w:val="none" w:sz="0" w:space="0" w:color="auto"/>
        <w:bottom w:val="none" w:sz="0" w:space="0" w:color="auto"/>
        <w:right w:val="none" w:sz="0" w:space="0" w:color="auto"/>
      </w:divBdr>
    </w:div>
    <w:div w:id="1989705024">
      <w:bodyDiv w:val="1"/>
      <w:marLeft w:val="0"/>
      <w:marRight w:val="0"/>
      <w:marTop w:val="0"/>
      <w:marBottom w:val="0"/>
      <w:divBdr>
        <w:top w:val="none" w:sz="0" w:space="0" w:color="auto"/>
        <w:left w:val="none" w:sz="0" w:space="0" w:color="auto"/>
        <w:bottom w:val="none" w:sz="0" w:space="0" w:color="auto"/>
        <w:right w:val="none" w:sz="0" w:space="0" w:color="auto"/>
      </w:divBdr>
    </w:div>
    <w:div w:id="1989820782">
      <w:bodyDiv w:val="1"/>
      <w:marLeft w:val="0"/>
      <w:marRight w:val="0"/>
      <w:marTop w:val="0"/>
      <w:marBottom w:val="0"/>
      <w:divBdr>
        <w:top w:val="none" w:sz="0" w:space="0" w:color="auto"/>
        <w:left w:val="none" w:sz="0" w:space="0" w:color="auto"/>
        <w:bottom w:val="none" w:sz="0" w:space="0" w:color="auto"/>
        <w:right w:val="none" w:sz="0" w:space="0" w:color="auto"/>
      </w:divBdr>
    </w:div>
    <w:div w:id="1989824638">
      <w:bodyDiv w:val="1"/>
      <w:marLeft w:val="0"/>
      <w:marRight w:val="0"/>
      <w:marTop w:val="0"/>
      <w:marBottom w:val="0"/>
      <w:divBdr>
        <w:top w:val="none" w:sz="0" w:space="0" w:color="auto"/>
        <w:left w:val="none" w:sz="0" w:space="0" w:color="auto"/>
        <w:bottom w:val="none" w:sz="0" w:space="0" w:color="auto"/>
        <w:right w:val="none" w:sz="0" w:space="0" w:color="auto"/>
      </w:divBdr>
    </w:div>
    <w:div w:id="1989825615">
      <w:bodyDiv w:val="1"/>
      <w:marLeft w:val="0"/>
      <w:marRight w:val="0"/>
      <w:marTop w:val="0"/>
      <w:marBottom w:val="0"/>
      <w:divBdr>
        <w:top w:val="none" w:sz="0" w:space="0" w:color="auto"/>
        <w:left w:val="none" w:sz="0" w:space="0" w:color="auto"/>
        <w:bottom w:val="none" w:sz="0" w:space="0" w:color="auto"/>
        <w:right w:val="none" w:sz="0" w:space="0" w:color="auto"/>
      </w:divBdr>
    </w:div>
    <w:div w:id="1989900382">
      <w:bodyDiv w:val="1"/>
      <w:marLeft w:val="0"/>
      <w:marRight w:val="0"/>
      <w:marTop w:val="0"/>
      <w:marBottom w:val="0"/>
      <w:divBdr>
        <w:top w:val="none" w:sz="0" w:space="0" w:color="auto"/>
        <w:left w:val="none" w:sz="0" w:space="0" w:color="auto"/>
        <w:bottom w:val="none" w:sz="0" w:space="0" w:color="auto"/>
        <w:right w:val="none" w:sz="0" w:space="0" w:color="auto"/>
      </w:divBdr>
    </w:div>
    <w:div w:id="1989901322">
      <w:bodyDiv w:val="1"/>
      <w:marLeft w:val="0"/>
      <w:marRight w:val="0"/>
      <w:marTop w:val="0"/>
      <w:marBottom w:val="0"/>
      <w:divBdr>
        <w:top w:val="none" w:sz="0" w:space="0" w:color="auto"/>
        <w:left w:val="none" w:sz="0" w:space="0" w:color="auto"/>
        <w:bottom w:val="none" w:sz="0" w:space="0" w:color="auto"/>
        <w:right w:val="none" w:sz="0" w:space="0" w:color="auto"/>
      </w:divBdr>
    </w:div>
    <w:div w:id="1989935252">
      <w:bodyDiv w:val="1"/>
      <w:marLeft w:val="0"/>
      <w:marRight w:val="0"/>
      <w:marTop w:val="0"/>
      <w:marBottom w:val="0"/>
      <w:divBdr>
        <w:top w:val="none" w:sz="0" w:space="0" w:color="auto"/>
        <w:left w:val="none" w:sz="0" w:space="0" w:color="auto"/>
        <w:bottom w:val="none" w:sz="0" w:space="0" w:color="auto"/>
        <w:right w:val="none" w:sz="0" w:space="0" w:color="auto"/>
      </w:divBdr>
    </w:div>
    <w:div w:id="1989935826">
      <w:bodyDiv w:val="1"/>
      <w:marLeft w:val="0"/>
      <w:marRight w:val="0"/>
      <w:marTop w:val="0"/>
      <w:marBottom w:val="0"/>
      <w:divBdr>
        <w:top w:val="none" w:sz="0" w:space="0" w:color="auto"/>
        <w:left w:val="none" w:sz="0" w:space="0" w:color="auto"/>
        <w:bottom w:val="none" w:sz="0" w:space="0" w:color="auto"/>
        <w:right w:val="none" w:sz="0" w:space="0" w:color="auto"/>
      </w:divBdr>
    </w:div>
    <w:div w:id="1989939745">
      <w:bodyDiv w:val="1"/>
      <w:marLeft w:val="0"/>
      <w:marRight w:val="0"/>
      <w:marTop w:val="0"/>
      <w:marBottom w:val="0"/>
      <w:divBdr>
        <w:top w:val="none" w:sz="0" w:space="0" w:color="auto"/>
        <w:left w:val="none" w:sz="0" w:space="0" w:color="auto"/>
        <w:bottom w:val="none" w:sz="0" w:space="0" w:color="auto"/>
        <w:right w:val="none" w:sz="0" w:space="0" w:color="auto"/>
      </w:divBdr>
    </w:div>
    <w:div w:id="1990092413">
      <w:bodyDiv w:val="1"/>
      <w:marLeft w:val="0"/>
      <w:marRight w:val="0"/>
      <w:marTop w:val="0"/>
      <w:marBottom w:val="0"/>
      <w:divBdr>
        <w:top w:val="none" w:sz="0" w:space="0" w:color="auto"/>
        <w:left w:val="none" w:sz="0" w:space="0" w:color="auto"/>
        <w:bottom w:val="none" w:sz="0" w:space="0" w:color="auto"/>
        <w:right w:val="none" w:sz="0" w:space="0" w:color="auto"/>
      </w:divBdr>
    </w:div>
    <w:div w:id="1990206826">
      <w:bodyDiv w:val="1"/>
      <w:marLeft w:val="0"/>
      <w:marRight w:val="0"/>
      <w:marTop w:val="0"/>
      <w:marBottom w:val="0"/>
      <w:divBdr>
        <w:top w:val="none" w:sz="0" w:space="0" w:color="auto"/>
        <w:left w:val="none" w:sz="0" w:space="0" w:color="auto"/>
        <w:bottom w:val="none" w:sz="0" w:space="0" w:color="auto"/>
        <w:right w:val="none" w:sz="0" w:space="0" w:color="auto"/>
      </w:divBdr>
    </w:div>
    <w:div w:id="1990207298">
      <w:bodyDiv w:val="1"/>
      <w:marLeft w:val="0"/>
      <w:marRight w:val="0"/>
      <w:marTop w:val="0"/>
      <w:marBottom w:val="0"/>
      <w:divBdr>
        <w:top w:val="none" w:sz="0" w:space="0" w:color="auto"/>
        <w:left w:val="none" w:sz="0" w:space="0" w:color="auto"/>
        <w:bottom w:val="none" w:sz="0" w:space="0" w:color="auto"/>
        <w:right w:val="none" w:sz="0" w:space="0" w:color="auto"/>
      </w:divBdr>
    </w:div>
    <w:div w:id="1990210813">
      <w:bodyDiv w:val="1"/>
      <w:marLeft w:val="0"/>
      <w:marRight w:val="0"/>
      <w:marTop w:val="0"/>
      <w:marBottom w:val="0"/>
      <w:divBdr>
        <w:top w:val="none" w:sz="0" w:space="0" w:color="auto"/>
        <w:left w:val="none" w:sz="0" w:space="0" w:color="auto"/>
        <w:bottom w:val="none" w:sz="0" w:space="0" w:color="auto"/>
        <w:right w:val="none" w:sz="0" w:space="0" w:color="auto"/>
      </w:divBdr>
    </w:div>
    <w:div w:id="1990355899">
      <w:bodyDiv w:val="1"/>
      <w:marLeft w:val="0"/>
      <w:marRight w:val="0"/>
      <w:marTop w:val="0"/>
      <w:marBottom w:val="0"/>
      <w:divBdr>
        <w:top w:val="none" w:sz="0" w:space="0" w:color="auto"/>
        <w:left w:val="none" w:sz="0" w:space="0" w:color="auto"/>
        <w:bottom w:val="none" w:sz="0" w:space="0" w:color="auto"/>
        <w:right w:val="none" w:sz="0" w:space="0" w:color="auto"/>
      </w:divBdr>
    </w:div>
    <w:div w:id="1990403768">
      <w:bodyDiv w:val="1"/>
      <w:marLeft w:val="0"/>
      <w:marRight w:val="0"/>
      <w:marTop w:val="0"/>
      <w:marBottom w:val="0"/>
      <w:divBdr>
        <w:top w:val="none" w:sz="0" w:space="0" w:color="auto"/>
        <w:left w:val="none" w:sz="0" w:space="0" w:color="auto"/>
        <w:bottom w:val="none" w:sz="0" w:space="0" w:color="auto"/>
        <w:right w:val="none" w:sz="0" w:space="0" w:color="auto"/>
      </w:divBdr>
    </w:div>
    <w:div w:id="1990591323">
      <w:bodyDiv w:val="1"/>
      <w:marLeft w:val="0"/>
      <w:marRight w:val="0"/>
      <w:marTop w:val="0"/>
      <w:marBottom w:val="0"/>
      <w:divBdr>
        <w:top w:val="none" w:sz="0" w:space="0" w:color="auto"/>
        <w:left w:val="none" w:sz="0" w:space="0" w:color="auto"/>
        <w:bottom w:val="none" w:sz="0" w:space="0" w:color="auto"/>
        <w:right w:val="none" w:sz="0" w:space="0" w:color="auto"/>
      </w:divBdr>
    </w:div>
    <w:div w:id="1990670254">
      <w:bodyDiv w:val="1"/>
      <w:marLeft w:val="0"/>
      <w:marRight w:val="0"/>
      <w:marTop w:val="0"/>
      <w:marBottom w:val="0"/>
      <w:divBdr>
        <w:top w:val="none" w:sz="0" w:space="0" w:color="auto"/>
        <w:left w:val="none" w:sz="0" w:space="0" w:color="auto"/>
        <w:bottom w:val="none" w:sz="0" w:space="0" w:color="auto"/>
        <w:right w:val="none" w:sz="0" w:space="0" w:color="auto"/>
      </w:divBdr>
    </w:div>
    <w:div w:id="1990860805">
      <w:bodyDiv w:val="1"/>
      <w:marLeft w:val="0"/>
      <w:marRight w:val="0"/>
      <w:marTop w:val="0"/>
      <w:marBottom w:val="0"/>
      <w:divBdr>
        <w:top w:val="none" w:sz="0" w:space="0" w:color="auto"/>
        <w:left w:val="none" w:sz="0" w:space="0" w:color="auto"/>
        <w:bottom w:val="none" w:sz="0" w:space="0" w:color="auto"/>
        <w:right w:val="none" w:sz="0" w:space="0" w:color="auto"/>
      </w:divBdr>
    </w:div>
    <w:div w:id="1990866850">
      <w:bodyDiv w:val="1"/>
      <w:marLeft w:val="0"/>
      <w:marRight w:val="0"/>
      <w:marTop w:val="0"/>
      <w:marBottom w:val="0"/>
      <w:divBdr>
        <w:top w:val="none" w:sz="0" w:space="0" w:color="auto"/>
        <w:left w:val="none" w:sz="0" w:space="0" w:color="auto"/>
        <w:bottom w:val="none" w:sz="0" w:space="0" w:color="auto"/>
        <w:right w:val="none" w:sz="0" w:space="0" w:color="auto"/>
      </w:divBdr>
    </w:div>
    <w:div w:id="1990942384">
      <w:bodyDiv w:val="1"/>
      <w:marLeft w:val="0"/>
      <w:marRight w:val="0"/>
      <w:marTop w:val="0"/>
      <w:marBottom w:val="0"/>
      <w:divBdr>
        <w:top w:val="none" w:sz="0" w:space="0" w:color="auto"/>
        <w:left w:val="none" w:sz="0" w:space="0" w:color="auto"/>
        <w:bottom w:val="none" w:sz="0" w:space="0" w:color="auto"/>
        <w:right w:val="none" w:sz="0" w:space="0" w:color="auto"/>
      </w:divBdr>
    </w:div>
    <w:div w:id="1991130177">
      <w:bodyDiv w:val="1"/>
      <w:marLeft w:val="0"/>
      <w:marRight w:val="0"/>
      <w:marTop w:val="0"/>
      <w:marBottom w:val="0"/>
      <w:divBdr>
        <w:top w:val="none" w:sz="0" w:space="0" w:color="auto"/>
        <w:left w:val="none" w:sz="0" w:space="0" w:color="auto"/>
        <w:bottom w:val="none" w:sz="0" w:space="0" w:color="auto"/>
        <w:right w:val="none" w:sz="0" w:space="0" w:color="auto"/>
      </w:divBdr>
    </w:div>
    <w:div w:id="1991130400">
      <w:bodyDiv w:val="1"/>
      <w:marLeft w:val="0"/>
      <w:marRight w:val="0"/>
      <w:marTop w:val="0"/>
      <w:marBottom w:val="0"/>
      <w:divBdr>
        <w:top w:val="none" w:sz="0" w:space="0" w:color="auto"/>
        <w:left w:val="none" w:sz="0" w:space="0" w:color="auto"/>
        <w:bottom w:val="none" w:sz="0" w:space="0" w:color="auto"/>
        <w:right w:val="none" w:sz="0" w:space="0" w:color="auto"/>
      </w:divBdr>
    </w:div>
    <w:div w:id="1991205447">
      <w:bodyDiv w:val="1"/>
      <w:marLeft w:val="0"/>
      <w:marRight w:val="0"/>
      <w:marTop w:val="0"/>
      <w:marBottom w:val="0"/>
      <w:divBdr>
        <w:top w:val="none" w:sz="0" w:space="0" w:color="auto"/>
        <w:left w:val="none" w:sz="0" w:space="0" w:color="auto"/>
        <w:bottom w:val="none" w:sz="0" w:space="0" w:color="auto"/>
        <w:right w:val="none" w:sz="0" w:space="0" w:color="auto"/>
      </w:divBdr>
    </w:div>
    <w:div w:id="1991208321">
      <w:bodyDiv w:val="1"/>
      <w:marLeft w:val="0"/>
      <w:marRight w:val="0"/>
      <w:marTop w:val="0"/>
      <w:marBottom w:val="0"/>
      <w:divBdr>
        <w:top w:val="none" w:sz="0" w:space="0" w:color="auto"/>
        <w:left w:val="none" w:sz="0" w:space="0" w:color="auto"/>
        <w:bottom w:val="none" w:sz="0" w:space="0" w:color="auto"/>
        <w:right w:val="none" w:sz="0" w:space="0" w:color="auto"/>
      </w:divBdr>
    </w:div>
    <w:div w:id="1991246204">
      <w:bodyDiv w:val="1"/>
      <w:marLeft w:val="0"/>
      <w:marRight w:val="0"/>
      <w:marTop w:val="0"/>
      <w:marBottom w:val="0"/>
      <w:divBdr>
        <w:top w:val="none" w:sz="0" w:space="0" w:color="auto"/>
        <w:left w:val="none" w:sz="0" w:space="0" w:color="auto"/>
        <w:bottom w:val="none" w:sz="0" w:space="0" w:color="auto"/>
        <w:right w:val="none" w:sz="0" w:space="0" w:color="auto"/>
      </w:divBdr>
    </w:div>
    <w:div w:id="1991278296">
      <w:bodyDiv w:val="1"/>
      <w:marLeft w:val="0"/>
      <w:marRight w:val="0"/>
      <w:marTop w:val="0"/>
      <w:marBottom w:val="0"/>
      <w:divBdr>
        <w:top w:val="none" w:sz="0" w:space="0" w:color="auto"/>
        <w:left w:val="none" w:sz="0" w:space="0" w:color="auto"/>
        <w:bottom w:val="none" w:sz="0" w:space="0" w:color="auto"/>
        <w:right w:val="none" w:sz="0" w:space="0" w:color="auto"/>
      </w:divBdr>
    </w:div>
    <w:div w:id="1991326614">
      <w:bodyDiv w:val="1"/>
      <w:marLeft w:val="0"/>
      <w:marRight w:val="0"/>
      <w:marTop w:val="0"/>
      <w:marBottom w:val="0"/>
      <w:divBdr>
        <w:top w:val="none" w:sz="0" w:space="0" w:color="auto"/>
        <w:left w:val="none" w:sz="0" w:space="0" w:color="auto"/>
        <w:bottom w:val="none" w:sz="0" w:space="0" w:color="auto"/>
        <w:right w:val="none" w:sz="0" w:space="0" w:color="auto"/>
      </w:divBdr>
    </w:div>
    <w:div w:id="1991398577">
      <w:bodyDiv w:val="1"/>
      <w:marLeft w:val="0"/>
      <w:marRight w:val="0"/>
      <w:marTop w:val="0"/>
      <w:marBottom w:val="0"/>
      <w:divBdr>
        <w:top w:val="none" w:sz="0" w:space="0" w:color="auto"/>
        <w:left w:val="none" w:sz="0" w:space="0" w:color="auto"/>
        <w:bottom w:val="none" w:sz="0" w:space="0" w:color="auto"/>
        <w:right w:val="none" w:sz="0" w:space="0" w:color="auto"/>
      </w:divBdr>
    </w:div>
    <w:div w:id="1991472282">
      <w:bodyDiv w:val="1"/>
      <w:marLeft w:val="0"/>
      <w:marRight w:val="0"/>
      <w:marTop w:val="0"/>
      <w:marBottom w:val="0"/>
      <w:divBdr>
        <w:top w:val="none" w:sz="0" w:space="0" w:color="auto"/>
        <w:left w:val="none" w:sz="0" w:space="0" w:color="auto"/>
        <w:bottom w:val="none" w:sz="0" w:space="0" w:color="auto"/>
        <w:right w:val="none" w:sz="0" w:space="0" w:color="auto"/>
      </w:divBdr>
    </w:div>
    <w:div w:id="1991513906">
      <w:bodyDiv w:val="1"/>
      <w:marLeft w:val="0"/>
      <w:marRight w:val="0"/>
      <w:marTop w:val="0"/>
      <w:marBottom w:val="0"/>
      <w:divBdr>
        <w:top w:val="none" w:sz="0" w:space="0" w:color="auto"/>
        <w:left w:val="none" w:sz="0" w:space="0" w:color="auto"/>
        <w:bottom w:val="none" w:sz="0" w:space="0" w:color="auto"/>
        <w:right w:val="none" w:sz="0" w:space="0" w:color="auto"/>
      </w:divBdr>
    </w:div>
    <w:div w:id="1991596017">
      <w:bodyDiv w:val="1"/>
      <w:marLeft w:val="0"/>
      <w:marRight w:val="0"/>
      <w:marTop w:val="0"/>
      <w:marBottom w:val="0"/>
      <w:divBdr>
        <w:top w:val="none" w:sz="0" w:space="0" w:color="auto"/>
        <w:left w:val="none" w:sz="0" w:space="0" w:color="auto"/>
        <w:bottom w:val="none" w:sz="0" w:space="0" w:color="auto"/>
        <w:right w:val="none" w:sz="0" w:space="0" w:color="auto"/>
      </w:divBdr>
    </w:div>
    <w:div w:id="1991639544">
      <w:bodyDiv w:val="1"/>
      <w:marLeft w:val="0"/>
      <w:marRight w:val="0"/>
      <w:marTop w:val="0"/>
      <w:marBottom w:val="0"/>
      <w:divBdr>
        <w:top w:val="none" w:sz="0" w:space="0" w:color="auto"/>
        <w:left w:val="none" w:sz="0" w:space="0" w:color="auto"/>
        <w:bottom w:val="none" w:sz="0" w:space="0" w:color="auto"/>
        <w:right w:val="none" w:sz="0" w:space="0" w:color="auto"/>
      </w:divBdr>
    </w:div>
    <w:div w:id="1991666256">
      <w:bodyDiv w:val="1"/>
      <w:marLeft w:val="0"/>
      <w:marRight w:val="0"/>
      <w:marTop w:val="0"/>
      <w:marBottom w:val="0"/>
      <w:divBdr>
        <w:top w:val="none" w:sz="0" w:space="0" w:color="auto"/>
        <w:left w:val="none" w:sz="0" w:space="0" w:color="auto"/>
        <w:bottom w:val="none" w:sz="0" w:space="0" w:color="auto"/>
        <w:right w:val="none" w:sz="0" w:space="0" w:color="auto"/>
      </w:divBdr>
    </w:div>
    <w:div w:id="1991668649">
      <w:bodyDiv w:val="1"/>
      <w:marLeft w:val="0"/>
      <w:marRight w:val="0"/>
      <w:marTop w:val="0"/>
      <w:marBottom w:val="0"/>
      <w:divBdr>
        <w:top w:val="none" w:sz="0" w:space="0" w:color="auto"/>
        <w:left w:val="none" w:sz="0" w:space="0" w:color="auto"/>
        <w:bottom w:val="none" w:sz="0" w:space="0" w:color="auto"/>
        <w:right w:val="none" w:sz="0" w:space="0" w:color="auto"/>
      </w:divBdr>
    </w:div>
    <w:div w:id="1991671347">
      <w:bodyDiv w:val="1"/>
      <w:marLeft w:val="0"/>
      <w:marRight w:val="0"/>
      <w:marTop w:val="0"/>
      <w:marBottom w:val="0"/>
      <w:divBdr>
        <w:top w:val="none" w:sz="0" w:space="0" w:color="auto"/>
        <w:left w:val="none" w:sz="0" w:space="0" w:color="auto"/>
        <w:bottom w:val="none" w:sz="0" w:space="0" w:color="auto"/>
        <w:right w:val="none" w:sz="0" w:space="0" w:color="auto"/>
      </w:divBdr>
    </w:div>
    <w:div w:id="1991782662">
      <w:bodyDiv w:val="1"/>
      <w:marLeft w:val="0"/>
      <w:marRight w:val="0"/>
      <w:marTop w:val="0"/>
      <w:marBottom w:val="0"/>
      <w:divBdr>
        <w:top w:val="none" w:sz="0" w:space="0" w:color="auto"/>
        <w:left w:val="none" w:sz="0" w:space="0" w:color="auto"/>
        <w:bottom w:val="none" w:sz="0" w:space="0" w:color="auto"/>
        <w:right w:val="none" w:sz="0" w:space="0" w:color="auto"/>
      </w:divBdr>
    </w:div>
    <w:div w:id="1991790742">
      <w:bodyDiv w:val="1"/>
      <w:marLeft w:val="0"/>
      <w:marRight w:val="0"/>
      <w:marTop w:val="0"/>
      <w:marBottom w:val="0"/>
      <w:divBdr>
        <w:top w:val="none" w:sz="0" w:space="0" w:color="auto"/>
        <w:left w:val="none" w:sz="0" w:space="0" w:color="auto"/>
        <w:bottom w:val="none" w:sz="0" w:space="0" w:color="auto"/>
        <w:right w:val="none" w:sz="0" w:space="0" w:color="auto"/>
      </w:divBdr>
    </w:div>
    <w:div w:id="1991866812">
      <w:bodyDiv w:val="1"/>
      <w:marLeft w:val="0"/>
      <w:marRight w:val="0"/>
      <w:marTop w:val="0"/>
      <w:marBottom w:val="0"/>
      <w:divBdr>
        <w:top w:val="none" w:sz="0" w:space="0" w:color="auto"/>
        <w:left w:val="none" w:sz="0" w:space="0" w:color="auto"/>
        <w:bottom w:val="none" w:sz="0" w:space="0" w:color="auto"/>
        <w:right w:val="none" w:sz="0" w:space="0" w:color="auto"/>
      </w:divBdr>
    </w:div>
    <w:div w:id="1991904489">
      <w:bodyDiv w:val="1"/>
      <w:marLeft w:val="0"/>
      <w:marRight w:val="0"/>
      <w:marTop w:val="0"/>
      <w:marBottom w:val="0"/>
      <w:divBdr>
        <w:top w:val="none" w:sz="0" w:space="0" w:color="auto"/>
        <w:left w:val="none" w:sz="0" w:space="0" w:color="auto"/>
        <w:bottom w:val="none" w:sz="0" w:space="0" w:color="auto"/>
        <w:right w:val="none" w:sz="0" w:space="0" w:color="auto"/>
      </w:divBdr>
    </w:div>
    <w:div w:id="1991979976">
      <w:bodyDiv w:val="1"/>
      <w:marLeft w:val="0"/>
      <w:marRight w:val="0"/>
      <w:marTop w:val="0"/>
      <w:marBottom w:val="0"/>
      <w:divBdr>
        <w:top w:val="none" w:sz="0" w:space="0" w:color="auto"/>
        <w:left w:val="none" w:sz="0" w:space="0" w:color="auto"/>
        <w:bottom w:val="none" w:sz="0" w:space="0" w:color="auto"/>
        <w:right w:val="none" w:sz="0" w:space="0" w:color="auto"/>
      </w:divBdr>
    </w:div>
    <w:div w:id="1991980239">
      <w:bodyDiv w:val="1"/>
      <w:marLeft w:val="0"/>
      <w:marRight w:val="0"/>
      <w:marTop w:val="0"/>
      <w:marBottom w:val="0"/>
      <w:divBdr>
        <w:top w:val="none" w:sz="0" w:space="0" w:color="auto"/>
        <w:left w:val="none" w:sz="0" w:space="0" w:color="auto"/>
        <w:bottom w:val="none" w:sz="0" w:space="0" w:color="auto"/>
        <w:right w:val="none" w:sz="0" w:space="0" w:color="auto"/>
      </w:divBdr>
    </w:div>
    <w:div w:id="1992053717">
      <w:bodyDiv w:val="1"/>
      <w:marLeft w:val="0"/>
      <w:marRight w:val="0"/>
      <w:marTop w:val="0"/>
      <w:marBottom w:val="0"/>
      <w:divBdr>
        <w:top w:val="none" w:sz="0" w:space="0" w:color="auto"/>
        <w:left w:val="none" w:sz="0" w:space="0" w:color="auto"/>
        <w:bottom w:val="none" w:sz="0" w:space="0" w:color="auto"/>
        <w:right w:val="none" w:sz="0" w:space="0" w:color="auto"/>
      </w:divBdr>
    </w:div>
    <w:div w:id="1992246254">
      <w:bodyDiv w:val="1"/>
      <w:marLeft w:val="0"/>
      <w:marRight w:val="0"/>
      <w:marTop w:val="0"/>
      <w:marBottom w:val="0"/>
      <w:divBdr>
        <w:top w:val="none" w:sz="0" w:space="0" w:color="auto"/>
        <w:left w:val="none" w:sz="0" w:space="0" w:color="auto"/>
        <w:bottom w:val="none" w:sz="0" w:space="0" w:color="auto"/>
        <w:right w:val="none" w:sz="0" w:space="0" w:color="auto"/>
      </w:divBdr>
    </w:div>
    <w:div w:id="1992517998">
      <w:bodyDiv w:val="1"/>
      <w:marLeft w:val="0"/>
      <w:marRight w:val="0"/>
      <w:marTop w:val="0"/>
      <w:marBottom w:val="0"/>
      <w:divBdr>
        <w:top w:val="none" w:sz="0" w:space="0" w:color="auto"/>
        <w:left w:val="none" w:sz="0" w:space="0" w:color="auto"/>
        <w:bottom w:val="none" w:sz="0" w:space="0" w:color="auto"/>
        <w:right w:val="none" w:sz="0" w:space="0" w:color="auto"/>
      </w:divBdr>
    </w:div>
    <w:div w:id="1992563255">
      <w:bodyDiv w:val="1"/>
      <w:marLeft w:val="0"/>
      <w:marRight w:val="0"/>
      <w:marTop w:val="0"/>
      <w:marBottom w:val="0"/>
      <w:divBdr>
        <w:top w:val="none" w:sz="0" w:space="0" w:color="auto"/>
        <w:left w:val="none" w:sz="0" w:space="0" w:color="auto"/>
        <w:bottom w:val="none" w:sz="0" w:space="0" w:color="auto"/>
        <w:right w:val="none" w:sz="0" w:space="0" w:color="auto"/>
      </w:divBdr>
    </w:div>
    <w:div w:id="1992638776">
      <w:bodyDiv w:val="1"/>
      <w:marLeft w:val="0"/>
      <w:marRight w:val="0"/>
      <w:marTop w:val="0"/>
      <w:marBottom w:val="0"/>
      <w:divBdr>
        <w:top w:val="none" w:sz="0" w:space="0" w:color="auto"/>
        <w:left w:val="none" w:sz="0" w:space="0" w:color="auto"/>
        <w:bottom w:val="none" w:sz="0" w:space="0" w:color="auto"/>
        <w:right w:val="none" w:sz="0" w:space="0" w:color="auto"/>
      </w:divBdr>
    </w:div>
    <w:div w:id="1992827500">
      <w:bodyDiv w:val="1"/>
      <w:marLeft w:val="0"/>
      <w:marRight w:val="0"/>
      <w:marTop w:val="0"/>
      <w:marBottom w:val="0"/>
      <w:divBdr>
        <w:top w:val="none" w:sz="0" w:space="0" w:color="auto"/>
        <w:left w:val="none" w:sz="0" w:space="0" w:color="auto"/>
        <w:bottom w:val="none" w:sz="0" w:space="0" w:color="auto"/>
        <w:right w:val="none" w:sz="0" w:space="0" w:color="auto"/>
      </w:divBdr>
    </w:div>
    <w:div w:id="1992980076">
      <w:bodyDiv w:val="1"/>
      <w:marLeft w:val="0"/>
      <w:marRight w:val="0"/>
      <w:marTop w:val="0"/>
      <w:marBottom w:val="0"/>
      <w:divBdr>
        <w:top w:val="none" w:sz="0" w:space="0" w:color="auto"/>
        <w:left w:val="none" w:sz="0" w:space="0" w:color="auto"/>
        <w:bottom w:val="none" w:sz="0" w:space="0" w:color="auto"/>
        <w:right w:val="none" w:sz="0" w:space="0" w:color="auto"/>
      </w:divBdr>
    </w:div>
    <w:div w:id="1993021040">
      <w:bodyDiv w:val="1"/>
      <w:marLeft w:val="0"/>
      <w:marRight w:val="0"/>
      <w:marTop w:val="0"/>
      <w:marBottom w:val="0"/>
      <w:divBdr>
        <w:top w:val="none" w:sz="0" w:space="0" w:color="auto"/>
        <w:left w:val="none" w:sz="0" w:space="0" w:color="auto"/>
        <w:bottom w:val="none" w:sz="0" w:space="0" w:color="auto"/>
        <w:right w:val="none" w:sz="0" w:space="0" w:color="auto"/>
      </w:divBdr>
    </w:div>
    <w:div w:id="1993023486">
      <w:bodyDiv w:val="1"/>
      <w:marLeft w:val="0"/>
      <w:marRight w:val="0"/>
      <w:marTop w:val="0"/>
      <w:marBottom w:val="0"/>
      <w:divBdr>
        <w:top w:val="none" w:sz="0" w:space="0" w:color="auto"/>
        <w:left w:val="none" w:sz="0" w:space="0" w:color="auto"/>
        <w:bottom w:val="none" w:sz="0" w:space="0" w:color="auto"/>
        <w:right w:val="none" w:sz="0" w:space="0" w:color="auto"/>
      </w:divBdr>
    </w:div>
    <w:div w:id="1993100822">
      <w:bodyDiv w:val="1"/>
      <w:marLeft w:val="0"/>
      <w:marRight w:val="0"/>
      <w:marTop w:val="0"/>
      <w:marBottom w:val="0"/>
      <w:divBdr>
        <w:top w:val="none" w:sz="0" w:space="0" w:color="auto"/>
        <w:left w:val="none" w:sz="0" w:space="0" w:color="auto"/>
        <w:bottom w:val="none" w:sz="0" w:space="0" w:color="auto"/>
        <w:right w:val="none" w:sz="0" w:space="0" w:color="auto"/>
      </w:divBdr>
    </w:div>
    <w:div w:id="1993218370">
      <w:bodyDiv w:val="1"/>
      <w:marLeft w:val="0"/>
      <w:marRight w:val="0"/>
      <w:marTop w:val="0"/>
      <w:marBottom w:val="0"/>
      <w:divBdr>
        <w:top w:val="none" w:sz="0" w:space="0" w:color="auto"/>
        <w:left w:val="none" w:sz="0" w:space="0" w:color="auto"/>
        <w:bottom w:val="none" w:sz="0" w:space="0" w:color="auto"/>
        <w:right w:val="none" w:sz="0" w:space="0" w:color="auto"/>
      </w:divBdr>
    </w:div>
    <w:div w:id="1993290605">
      <w:bodyDiv w:val="1"/>
      <w:marLeft w:val="0"/>
      <w:marRight w:val="0"/>
      <w:marTop w:val="0"/>
      <w:marBottom w:val="0"/>
      <w:divBdr>
        <w:top w:val="none" w:sz="0" w:space="0" w:color="auto"/>
        <w:left w:val="none" w:sz="0" w:space="0" w:color="auto"/>
        <w:bottom w:val="none" w:sz="0" w:space="0" w:color="auto"/>
        <w:right w:val="none" w:sz="0" w:space="0" w:color="auto"/>
      </w:divBdr>
    </w:div>
    <w:div w:id="1993365670">
      <w:bodyDiv w:val="1"/>
      <w:marLeft w:val="0"/>
      <w:marRight w:val="0"/>
      <w:marTop w:val="0"/>
      <w:marBottom w:val="0"/>
      <w:divBdr>
        <w:top w:val="none" w:sz="0" w:space="0" w:color="auto"/>
        <w:left w:val="none" w:sz="0" w:space="0" w:color="auto"/>
        <w:bottom w:val="none" w:sz="0" w:space="0" w:color="auto"/>
        <w:right w:val="none" w:sz="0" w:space="0" w:color="auto"/>
      </w:divBdr>
    </w:div>
    <w:div w:id="1993369315">
      <w:bodyDiv w:val="1"/>
      <w:marLeft w:val="0"/>
      <w:marRight w:val="0"/>
      <w:marTop w:val="0"/>
      <w:marBottom w:val="0"/>
      <w:divBdr>
        <w:top w:val="none" w:sz="0" w:space="0" w:color="auto"/>
        <w:left w:val="none" w:sz="0" w:space="0" w:color="auto"/>
        <w:bottom w:val="none" w:sz="0" w:space="0" w:color="auto"/>
        <w:right w:val="none" w:sz="0" w:space="0" w:color="auto"/>
      </w:divBdr>
    </w:div>
    <w:div w:id="1993438875">
      <w:bodyDiv w:val="1"/>
      <w:marLeft w:val="0"/>
      <w:marRight w:val="0"/>
      <w:marTop w:val="0"/>
      <w:marBottom w:val="0"/>
      <w:divBdr>
        <w:top w:val="none" w:sz="0" w:space="0" w:color="auto"/>
        <w:left w:val="none" w:sz="0" w:space="0" w:color="auto"/>
        <w:bottom w:val="none" w:sz="0" w:space="0" w:color="auto"/>
        <w:right w:val="none" w:sz="0" w:space="0" w:color="auto"/>
      </w:divBdr>
    </w:div>
    <w:div w:id="1993440611">
      <w:bodyDiv w:val="1"/>
      <w:marLeft w:val="0"/>
      <w:marRight w:val="0"/>
      <w:marTop w:val="0"/>
      <w:marBottom w:val="0"/>
      <w:divBdr>
        <w:top w:val="none" w:sz="0" w:space="0" w:color="auto"/>
        <w:left w:val="none" w:sz="0" w:space="0" w:color="auto"/>
        <w:bottom w:val="none" w:sz="0" w:space="0" w:color="auto"/>
        <w:right w:val="none" w:sz="0" w:space="0" w:color="auto"/>
      </w:divBdr>
    </w:div>
    <w:div w:id="1993481836">
      <w:bodyDiv w:val="1"/>
      <w:marLeft w:val="0"/>
      <w:marRight w:val="0"/>
      <w:marTop w:val="0"/>
      <w:marBottom w:val="0"/>
      <w:divBdr>
        <w:top w:val="none" w:sz="0" w:space="0" w:color="auto"/>
        <w:left w:val="none" w:sz="0" w:space="0" w:color="auto"/>
        <w:bottom w:val="none" w:sz="0" w:space="0" w:color="auto"/>
        <w:right w:val="none" w:sz="0" w:space="0" w:color="auto"/>
      </w:divBdr>
    </w:div>
    <w:div w:id="1993557237">
      <w:bodyDiv w:val="1"/>
      <w:marLeft w:val="0"/>
      <w:marRight w:val="0"/>
      <w:marTop w:val="0"/>
      <w:marBottom w:val="0"/>
      <w:divBdr>
        <w:top w:val="none" w:sz="0" w:space="0" w:color="auto"/>
        <w:left w:val="none" w:sz="0" w:space="0" w:color="auto"/>
        <w:bottom w:val="none" w:sz="0" w:space="0" w:color="auto"/>
        <w:right w:val="none" w:sz="0" w:space="0" w:color="auto"/>
      </w:divBdr>
    </w:div>
    <w:div w:id="1993561121">
      <w:bodyDiv w:val="1"/>
      <w:marLeft w:val="0"/>
      <w:marRight w:val="0"/>
      <w:marTop w:val="0"/>
      <w:marBottom w:val="0"/>
      <w:divBdr>
        <w:top w:val="none" w:sz="0" w:space="0" w:color="auto"/>
        <w:left w:val="none" w:sz="0" w:space="0" w:color="auto"/>
        <w:bottom w:val="none" w:sz="0" w:space="0" w:color="auto"/>
        <w:right w:val="none" w:sz="0" w:space="0" w:color="auto"/>
      </w:divBdr>
    </w:div>
    <w:div w:id="1993635660">
      <w:bodyDiv w:val="1"/>
      <w:marLeft w:val="0"/>
      <w:marRight w:val="0"/>
      <w:marTop w:val="0"/>
      <w:marBottom w:val="0"/>
      <w:divBdr>
        <w:top w:val="none" w:sz="0" w:space="0" w:color="auto"/>
        <w:left w:val="none" w:sz="0" w:space="0" w:color="auto"/>
        <w:bottom w:val="none" w:sz="0" w:space="0" w:color="auto"/>
        <w:right w:val="none" w:sz="0" w:space="0" w:color="auto"/>
      </w:divBdr>
    </w:div>
    <w:div w:id="1993825940">
      <w:bodyDiv w:val="1"/>
      <w:marLeft w:val="0"/>
      <w:marRight w:val="0"/>
      <w:marTop w:val="0"/>
      <w:marBottom w:val="0"/>
      <w:divBdr>
        <w:top w:val="none" w:sz="0" w:space="0" w:color="auto"/>
        <w:left w:val="none" w:sz="0" w:space="0" w:color="auto"/>
        <w:bottom w:val="none" w:sz="0" w:space="0" w:color="auto"/>
        <w:right w:val="none" w:sz="0" w:space="0" w:color="auto"/>
      </w:divBdr>
    </w:div>
    <w:div w:id="1993869240">
      <w:bodyDiv w:val="1"/>
      <w:marLeft w:val="0"/>
      <w:marRight w:val="0"/>
      <w:marTop w:val="0"/>
      <w:marBottom w:val="0"/>
      <w:divBdr>
        <w:top w:val="none" w:sz="0" w:space="0" w:color="auto"/>
        <w:left w:val="none" w:sz="0" w:space="0" w:color="auto"/>
        <w:bottom w:val="none" w:sz="0" w:space="0" w:color="auto"/>
        <w:right w:val="none" w:sz="0" w:space="0" w:color="auto"/>
      </w:divBdr>
    </w:div>
    <w:div w:id="1993871377">
      <w:bodyDiv w:val="1"/>
      <w:marLeft w:val="0"/>
      <w:marRight w:val="0"/>
      <w:marTop w:val="0"/>
      <w:marBottom w:val="0"/>
      <w:divBdr>
        <w:top w:val="none" w:sz="0" w:space="0" w:color="auto"/>
        <w:left w:val="none" w:sz="0" w:space="0" w:color="auto"/>
        <w:bottom w:val="none" w:sz="0" w:space="0" w:color="auto"/>
        <w:right w:val="none" w:sz="0" w:space="0" w:color="auto"/>
      </w:divBdr>
    </w:div>
    <w:div w:id="1994135444">
      <w:bodyDiv w:val="1"/>
      <w:marLeft w:val="0"/>
      <w:marRight w:val="0"/>
      <w:marTop w:val="0"/>
      <w:marBottom w:val="0"/>
      <w:divBdr>
        <w:top w:val="none" w:sz="0" w:space="0" w:color="auto"/>
        <w:left w:val="none" w:sz="0" w:space="0" w:color="auto"/>
        <w:bottom w:val="none" w:sz="0" w:space="0" w:color="auto"/>
        <w:right w:val="none" w:sz="0" w:space="0" w:color="auto"/>
      </w:divBdr>
    </w:div>
    <w:div w:id="1994212871">
      <w:bodyDiv w:val="1"/>
      <w:marLeft w:val="0"/>
      <w:marRight w:val="0"/>
      <w:marTop w:val="0"/>
      <w:marBottom w:val="0"/>
      <w:divBdr>
        <w:top w:val="none" w:sz="0" w:space="0" w:color="auto"/>
        <w:left w:val="none" w:sz="0" w:space="0" w:color="auto"/>
        <w:bottom w:val="none" w:sz="0" w:space="0" w:color="auto"/>
        <w:right w:val="none" w:sz="0" w:space="0" w:color="auto"/>
      </w:divBdr>
    </w:div>
    <w:div w:id="1994213362">
      <w:bodyDiv w:val="1"/>
      <w:marLeft w:val="0"/>
      <w:marRight w:val="0"/>
      <w:marTop w:val="0"/>
      <w:marBottom w:val="0"/>
      <w:divBdr>
        <w:top w:val="none" w:sz="0" w:space="0" w:color="auto"/>
        <w:left w:val="none" w:sz="0" w:space="0" w:color="auto"/>
        <w:bottom w:val="none" w:sz="0" w:space="0" w:color="auto"/>
        <w:right w:val="none" w:sz="0" w:space="0" w:color="auto"/>
      </w:divBdr>
    </w:div>
    <w:div w:id="1994214839">
      <w:bodyDiv w:val="1"/>
      <w:marLeft w:val="0"/>
      <w:marRight w:val="0"/>
      <w:marTop w:val="0"/>
      <w:marBottom w:val="0"/>
      <w:divBdr>
        <w:top w:val="none" w:sz="0" w:space="0" w:color="auto"/>
        <w:left w:val="none" w:sz="0" w:space="0" w:color="auto"/>
        <w:bottom w:val="none" w:sz="0" w:space="0" w:color="auto"/>
        <w:right w:val="none" w:sz="0" w:space="0" w:color="auto"/>
      </w:divBdr>
    </w:div>
    <w:div w:id="1994290442">
      <w:bodyDiv w:val="1"/>
      <w:marLeft w:val="0"/>
      <w:marRight w:val="0"/>
      <w:marTop w:val="0"/>
      <w:marBottom w:val="0"/>
      <w:divBdr>
        <w:top w:val="none" w:sz="0" w:space="0" w:color="auto"/>
        <w:left w:val="none" w:sz="0" w:space="0" w:color="auto"/>
        <w:bottom w:val="none" w:sz="0" w:space="0" w:color="auto"/>
        <w:right w:val="none" w:sz="0" w:space="0" w:color="auto"/>
      </w:divBdr>
    </w:div>
    <w:div w:id="1994291112">
      <w:bodyDiv w:val="1"/>
      <w:marLeft w:val="0"/>
      <w:marRight w:val="0"/>
      <w:marTop w:val="0"/>
      <w:marBottom w:val="0"/>
      <w:divBdr>
        <w:top w:val="none" w:sz="0" w:space="0" w:color="auto"/>
        <w:left w:val="none" w:sz="0" w:space="0" w:color="auto"/>
        <w:bottom w:val="none" w:sz="0" w:space="0" w:color="auto"/>
        <w:right w:val="none" w:sz="0" w:space="0" w:color="auto"/>
      </w:divBdr>
    </w:div>
    <w:div w:id="1994526392">
      <w:bodyDiv w:val="1"/>
      <w:marLeft w:val="0"/>
      <w:marRight w:val="0"/>
      <w:marTop w:val="0"/>
      <w:marBottom w:val="0"/>
      <w:divBdr>
        <w:top w:val="none" w:sz="0" w:space="0" w:color="auto"/>
        <w:left w:val="none" w:sz="0" w:space="0" w:color="auto"/>
        <w:bottom w:val="none" w:sz="0" w:space="0" w:color="auto"/>
        <w:right w:val="none" w:sz="0" w:space="0" w:color="auto"/>
      </w:divBdr>
    </w:div>
    <w:div w:id="1994526710">
      <w:bodyDiv w:val="1"/>
      <w:marLeft w:val="0"/>
      <w:marRight w:val="0"/>
      <w:marTop w:val="0"/>
      <w:marBottom w:val="0"/>
      <w:divBdr>
        <w:top w:val="none" w:sz="0" w:space="0" w:color="auto"/>
        <w:left w:val="none" w:sz="0" w:space="0" w:color="auto"/>
        <w:bottom w:val="none" w:sz="0" w:space="0" w:color="auto"/>
        <w:right w:val="none" w:sz="0" w:space="0" w:color="auto"/>
      </w:divBdr>
    </w:div>
    <w:div w:id="1994555076">
      <w:bodyDiv w:val="1"/>
      <w:marLeft w:val="0"/>
      <w:marRight w:val="0"/>
      <w:marTop w:val="0"/>
      <w:marBottom w:val="0"/>
      <w:divBdr>
        <w:top w:val="none" w:sz="0" w:space="0" w:color="auto"/>
        <w:left w:val="none" w:sz="0" w:space="0" w:color="auto"/>
        <w:bottom w:val="none" w:sz="0" w:space="0" w:color="auto"/>
        <w:right w:val="none" w:sz="0" w:space="0" w:color="auto"/>
      </w:divBdr>
    </w:div>
    <w:div w:id="1994871583">
      <w:bodyDiv w:val="1"/>
      <w:marLeft w:val="0"/>
      <w:marRight w:val="0"/>
      <w:marTop w:val="0"/>
      <w:marBottom w:val="0"/>
      <w:divBdr>
        <w:top w:val="none" w:sz="0" w:space="0" w:color="auto"/>
        <w:left w:val="none" w:sz="0" w:space="0" w:color="auto"/>
        <w:bottom w:val="none" w:sz="0" w:space="0" w:color="auto"/>
        <w:right w:val="none" w:sz="0" w:space="0" w:color="auto"/>
      </w:divBdr>
    </w:div>
    <w:div w:id="1994875070">
      <w:bodyDiv w:val="1"/>
      <w:marLeft w:val="0"/>
      <w:marRight w:val="0"/>
      <w:marTop w:val="0"/>
      <w:marBottom w:val="0"/>
      <w:divBdr>
        <w:top w:val="none" w:sz="0" w:space="0" w:color="auto"/>
        <w:left w:val="none" w:sz="0" w:space="0" w:color="auto"/>
        <w:bottom w:val="none" w:sz="0" w:space="0" w:color="auto"/>
        <w:right w:val="none" w:sz="0" w:space="0" w:color="auto"/>
      </w:divBdr>
    </w:div>
    <w:div w:id="1994946349">
      <w:bodyDiv w:val="1"/>
      <w:marLeft w:val="0"/>
      <w:marRight w:val="0"/>
      <w:marTop w:val="0"/>
      <w:marBottom w:val="0"/>
      <w:divBdr>
        <w:top w:val="none" w:sz="0" w:space="0" w:color="auto"/>
        <w:left w:val="none" w:sz="0" w:space="0" w:color="auto"/>
        <w:bottom w:val="none" w:sz="0" w:space="0" w:color="auto"/>
        <w:right w:val="none" w:sz="0" w:space="0" w:color="auto"/>
      </w:divBdr>
    </w:div>
    <w:div w:id="1995058791">
      <w:bodyDiv w:val="1"/>
      <w:marLeft w:val="0"/>
      <w:marRight w:val="0"/>
      <w:marTop w:val="0"/>
      <w:marBottom w:val="0"/>
      <w:divBdr>
        <w:top w:val="none" w:sz="0" w:space="0" w:color="auto"/>
        <w:left w:val="none" w:sz="0" w:space="0" w:color="auto"/>
        <w:bottom w:val="none" w:sz="0" w:space="0" w:color="auto"/>
        <w:right w:val="none" w:sz="0" w:space="0" w:color="auto"/>
      </w:divBdr>
    </w:div>
    <w:div w:id="1995064790">
      <w:bodyDiv w:val="1"/>
      <w:marLeft w:val="0"/>
      <w:marRight w:val="0"/>
      <w:marTop w:val="0"/>
      <w:marBottom w:val="0"/>
      <w:divBdr>
        <w:top w:val="none" w:sz="0" w:space="0" w:color="auto"/>
        <w:left w:val="none" w:sz="0" w:space="0" w:color="auto"/>
        <w:bottom w:val="none" w:sz="0" w:space="0" w:color="auto"/>
        <w:right w:val="none" w:sz="0" w:space="0" w:color="auto"/>
      </w:divBdr>
    </w:div>
    <w:div w:id="1995067858">
      <w:bodyDiv w:val="1"/>
      <w:marLeft w:val="0"/>
      <w:marRight w:val="0"/>
      <w:marTop w:val="0"/>
      <w:marBottom w:val="0"/>
      <w:divBdr>
        <w:top w:val="none" w:sz="0" w:space="0" w:color="auto"/>
        <w:left w:val="none" w:sz="0" w:space="0" w:color="auto"/>
        <w:bottom w:val="none" w:sz="0" w:space="0" w:color="auto"/>
        <w:right w:val="none" w:sz="0" w:space="0" w:color="auto"/>
      </w:divBdr>
    </w:div>
    <w:div w:id="1995134579">
      <w:bodyDiv w:val="1"/>
      <w:marLeft w:val="0"/>
      <w:marRight w:val="0"/>
      <w:marTop w:val="0"/>
      <w:marBottom w:val="0"/>
      <w:divBdr>
        <w:top w:val="none" w:sz="0" w:space="0" w:color="auto"/>
        <w:left w:val="none" w:sz="0" w:space="0" w:color="auto"/>
        <w:bottom w:val="none" w:sz="0" w:space="0" w:color="auto"/>
        <w:right w:val="none" w:sz="0" w:space="0" w:color="auto"/>
      </w:divBdr>
    </w:div>
    <w:div w:id="1995209417">
      <w:bodyDiv w:val="1"/>
      <w:marLeft w:val="0"/>
      <w:marRight w:val="0"/>
      <w:marTop w:val="0"/>
      <w:marBottom w:val="0"/>
      <w:divBdr>
        <w:top w:val="none" w:sz="0" w:space="0" w:color="auto"/>
        <w:left w:val="none" w:sz="0" w:space="0" w:color="auto"/>
        <w:bottom w:val="none" w:sz="0" w:space="0" w:color="auto"/>
        <w:right w:val="none" w:sz="0" w:space="0" w:color="auto"/>
      </w:divBdr>
    </w:div>
    <w:div w:id="1995252637">
      <w:bodyDiv w:val="1"/>
      <w:marLeft w:val="0"/>
      <w:marRight w:val="0"/>
      <w:marTop w:val="0"/>
      <w:marBottom w:val="0"/>
      <w:divBdr>
        <w:top w:val="none" w:sz="0" w:space="0" w:color="auto"/>
        <w:left w:val="none" w:sz="0" w:space="0" w:color="auto"/>
        <w:bottom w:val="none" w:sz="0" w:space="0" w:color="auto"/>
        <w:right w:val="none" w:sz="0" w:space="0" w:color="auto"/>
      </w:divBdr>
    </w:div>
    <w:div w:id="1995254952">
      <w:bodyDiv w:val="1"/>
      <w:marLeft w:val="0"/>
      <w:marRight w:val="0"/>
      <w:marTop w:val="0"/>
      <w:marBottom w:val="0"/>
      <w:divBdr>
        <w:top w:val="none" w:sz="0" w:space="0" w:color="auto"/>
        <w:left w:val="none" w:sz="0" w:space="0" w:color="auto"/>
        <w:bottom w:val="none" w:sz="0" w:space="0" w:color="auto"/>
        <w:right w:val="none" w:sz="0" w:space="0" w:color="auto"/>
      </w:divBdr>
    </w:div>
    <w:div w:id="1995255803">
      <w:bodyDiv w:val="1"/>
      <w:marLeft w:val="0"/>
      <w:marRight w:val="0"/>
      <w:marTop w:val="0"/>
      <w:marBottom w:val="0"/>
      <w:divBdr>
        <w:top w:val="none" w:sz="0" w:space="0" w:color="auto"/>
        <w:left w:val="none" w:sz="0" w:space="0" w:color="auto"/>
        <w:bottom w:val="none" w:sz="0" w:space="0" w:color="auto"/>
        <w:right w:val="none" w:sz="0" w:space="0" w:color="auto"/>
      </w:divBdr>
    </w:div>
    <w:div w:id="1995376052">
      <w:bodyDiv w:val="1"/>
      <w:marLeft w:val="0"/>
      <w:marRight w:val="0"/>
      <w:marTop w:val="0"/>
      <w:marBottom w:val="0"/>
      <w:divBdr>
        <w:top w:val="none" w:sz="0" w:space="0" w:color="auto"/>
        <w:left w:val="none" w:sz="0" w:space="0" w:color="auto"/>
        <w:bottom w:val="none" w:sz="0" w:space="0" w:color="auto"/>
        <w:right w:val="none" w:sz="0" w:space="0" w:color="auto"/>
      </w:divBdr>
    </w:div>
    <w:div w:id="1995528416">
      <w:bodyDiv w:val="1"/>
      <w:marLeft w:val="0"/>
      <w:marRight w:val="0"/>
      <w:marTop w:val="0"/>
      <w:marBottom w:val="0"/>
      <w:divBdr>
        <w:top w:val="none" w:sz="0" w:space="0" w:color="auto"/>
        <w:left w:val="none" w:sz="0" w:space="0" w:color="auto"/>
        <w:bottom w:val="none" w:sz="0" w:space="0" w:color="auto"/>
        <w:right w:val="none" w:sz="0" w:space="0" w:color="auto"/>
      </w:divBdr>
    </w:div>
    <w:div w:id="1995639773">
      <w:bodyDiv w:val="1"/>
      <w:marLeft w:val="0"/>
      <w:marRight w:val="0"/>
      <w:marTop w:val="0"/>
      <w:marBottom w:val="0"/>
      <w:divBdr>
        <w:top w:val="none" w:sz="0" w:space="0" w:color="auto"/>
        <w:left w:val="none" w:sz="0" w:space="0" w:color="auto"/>
        <w:bottom w:val="none" w:sz="0" w:space="0" w:color="auto"/>
        <w:right w:val="none" w:sz="0" w:space="0" w:color="auto"/>
      </w:divBdr>
    </w:div>
    <w:div w:id="1995640915">
      <w:bodyDiv w:val="1"/>
      <w:marLeft w:val="0"/>
      <w:marRight w:val="0"/>
      <w:marTop w:val="0"/>
      <w:marBottom w:val="0"/>
      <w:divBdr>
        <w:top w:val="none" w:sz="0" w:space="0" w:color="auto"/>
        <w:left w:val="none" w:sz="0" w:space="0" w:color="auto"/>
        <w:bottom w:val="none" w:sz="0" w:space="0" w:color="auto"/>
        <w:right w:val="none" w:sz="0" w:space="0" w:color="auto"/>
      </w:divBdr>
    </w:div>
    <w:div w:id="1995644713">
      <w:bodyDiv w:val="1"/>
      <w:marLeft w:val="0"/>
      <w:marRight w:val="0"/>
      <w:marTop w:val="0"/>
      <w:marBottom w:val="0"/>
      <w:divBdr>
        <w:top w:val="none" w:sz="0" w:space="0" w:color="auto"/>
        <w:left w:val="none" w:sz="0" w:space="0" w:color="auto"/>
        <w:bottom w:val="none" w:sz="0" w:space="0" w:color="auto"/>
        <w:right w:val="none" w:sz="0" w:space="0" w:color="auto"/>
      </w:divBdr>
    </w:div>
    <w:div w:id="1995719204">
      <w:bodyDiv w:val="1"/>
      <w:marLeft w:val="0"/>
      <w:marRight w:val="0"/>
      <w:marTop w:val="0"/>
      <w:marBottom w:val="0"/>
      <w:divBdr>
        <w:top w:val="none" w:sz="0" w:space="0" w:color="auto"/>
        <w:left w:val="none" w:sz="0" w:space="0" w:color="auto"/>
        <w:bottom w:val="none" w:sz="0" w:space="0" w:color="auto"/>
        <w:right w:val="none" w:sz="0" w:space="0" w:color="auto"/>
      </w:divBdr>
    </w:div>
    <w:div w:id="1995841176">
      <w:bodyDiv w:val="1"/>
      <w:marLeft w:val="0"/>
      <w:marRight w:val="0"/>
      <w:marTop w:val="0"/>
      <w:marBottom w:val="0"/>
      <w:divBdr>
        <w:top w:val="none" w:sz="0" w:space="0" w:color="auto"/>
        <w:left w:val="none" w:sz="0" w:space="0" w:color="auto"/>
        <w:bottom w:val="none" w:sz="0" w:space="0" w:color="auto"/>
        <w:right w:val="none" w:sz="0" w:space="0" w:color="auto"/>
      </w:divBdr>
    </w:div>
    <w:div w:id="1995913432">
      <w:bodyDiv w:val="1"/>
      <w:marLeft w:val="0"/>
      <w:marRight w:val="0"/>
      <w:marTop w:val="0"/>
      <w:marBottom w:val="0"/>
      <w:divBdr>
        <w:top w:val="none" w:sz="0" w:space="0" w:color="auto"/>
        <w:left w:val="none" w:sz="0" w:space="0" w:color="auto"/>
        <w:bottom w:val="none" w:sz="0" w:space="0" w:color="auto"/>
        <w:right w:val="none" w:sz="0" w:space="0" w:color="auto"/>
      </w:divBdr>
    </w:div>
    <w:div w:id="1995914500">
      <w:bodyDiv w:val="1"/>
      <w:marLeft w:val="0"/>
      <w:marRight w:val="0"/>
      <w:marTop w:val="0"/>
      <w:marBottom w:val="0"/>
      <w:divBdr>
        <w:top w:val="none" w:sz="0" w:space="0" w:color="auto"/>
        <w:left w:val="none" w:sz="0" w:space="0" w:color="auto"/>
        <w:bottom w:val="none" w:sz="0" w:space="0" w:color="auto"/>
        <w:right w:val="none" w:sz="0" w:space="0" w:color="auto"/>
      </w:divBdr>
    </w:div>
    <w:div w:id="1996032273">
      <w:bodyDiv w:val="1"/>
      <w:marLeft w:val="0"/>
      <w:marRight w:val="0"/>
      <w:marTop w:val="0"/>
      <w:marBottom w:val="0"/>
      <w:divBdr>
        <w:top w:val="none" w:sz="0" w:space="0" w:color="auto"/>
        <w:left w:val="none" w:sz="0" w:space="0" w:color="auto"/>
        <w:bottom w:val="none" w:sz="0" w:space="0" w:color="auto"/>
        <w:right w:val="none" w:sz="0" w:space="0" w:color="auto"/>
      </w:divBdr>
    </w:div>
    <w:div w:id="1996104861">
      <w:bodyDiv w:val="1"/>
      <w:marLeft w:val="0"/>
      <w:marRight w:val="0"/>
      <w:marTop w:val="0"/>
      <w:marBottom w:val="0"/>
      <w:divBdr>
        <w:top w:val="none" w:sz="0" w:space="0" w:color="auto"/>
        <w:left w:val="none" w:sz="0" w:space="0" w:color="auto"/>
        <w:bottom w:val="none" w:sz="0" w:space="0" w:color="auto"/>
        <w:right w:val="none" w:sz="0" w:space="0" w:color="auto"/>
      </w:divBdr>
    </w:div>
    <w:div w:id="1996254366">
      <w:bodyDiv w:val="1"/>
      <w:marLeft w:val="0"/>
      <w:marRight w:val="0"/>
      <w:marTop w:val="0"/>
      <w:marBottom w:val="0"/>
      <w:divBdr>
        <w:top w:val="none" w:sz="0" w:space="0" w:color="auto"/>
        <w:left w:val="none" w:sz="0" w:space="0" w:color="auto"/>
        <w:bottom w:val="none" w:sz="0" w:space="0" w:color="auto"/>
        <w:right w:val="none" w:sz="0" w:space="0" w:color="auto"/>
      </w:divBdr>
    </w:div>
    <w:div w:id="1996259234">
      <w:bodyDiv w:val="1"/>
      <w:marLeft w:val="0"/>
      <w:marRight w:val="0"/>
      <w:marTop w:val="0"/>
      <w:marBottom w:val="0"/>
      <w:divBdr>
        <w:top w:val="none" w:sz="0" w:space="0" w:color="auto"/>
        <w:left w:val="none" w:sz="0" w:space="0" w:color="auto"/>
        <w:bottom w:val="none" w:sz="0" w:space="0" w:color="auto"/>
        <w:right w:val="none" w:sz="0" w:space="0" w:color="auto"/>
      </w:divBdr>
    </w:div>
    <w:div w:id="1996495798">
      <w:bodyDiv w:val="1"/>
      <w:marLeft w:val="0"/>
      <w:marRight w:val="0"/>
      <w:marTop w:val="0"/>
      <w:marBottom w:val="0"/>
      <w:divBdr>
        <w:top w:val="none" w:sz="0" w:space="0" w:color="auto"/>
        <w:left w:val="none" w:sz="0" w:space="0" w:color="auto"/>
        <w:bottom w:val="none" w:sz="0" w:space="0" w:color="auto"/>
        <w:right w:val="none" w:sz="0" w:space="0" w:color="auto"/>
      </w:divBdr>
    </w:div>
    <w:div w:id="1996640437">
      <w:bodyDiv w:val="1"/>
      <w:marLeft w:val="0"/>
      <w:marRight w:val="0"/>
      <w:marTop w:val="0"/>
      <w:marBottom w:val="0"/>
      <w:divBdr>
        <w:top w:val="none" w:sz="0" w:space="0" w:color="auto"/>
        <w:left w:val="none" w:sz="0" w:space="0" w:color="auto"/>
        <w:bottom w:val="none" w:sz="0" w:space="0" w:color="auto"/>
        <w:right w:val="none" w:sz="0" w:space="0" w:color="auto"/>
      </w:divBdr>
    </w:div>
    <w:div w:id="1996688287">
      <w:bodyDiv w:val="1"/>
      <w:marLeft w:val="0"/>
      <w:marRight w:val="0"/>
      <w:marTop w:val="0"/>
      <w:marBottom w:val="0"/>
      <w:divBdr>
        <w:top w:val="none" w:sz="0" w:space="0" w:color="auto"/>
        <w:left w:val="none" w:sz="0" w:space="0" w:color="auto"/>
        <w:bottom w:val="none" w:sz="0" w:space="0" w:color="auto"/>
        <w:right w:val="none" w:sz="0" w:space="0" w:color="auto"/>
      </w:divBdr>
    </w:div>
    <w:div w:id="1996714977">
      <w:bodyDiv w:val="1"/>
      <w:marLeft w:val="0"/>
      <w:marRight w:val="0"/>
      <w:marTop w:val="0"/>
      <w:marBottom w:val="0"/>
      <w:divBdr>
        <w:top w:val="none" w:sz="0" w:space="0" w:color="auto"/>
        <w:left w:val="none" w:sz="0" w:space="0" w:color="auto"/>
        <w:bottom w:val="none" w:sz="0" w:space="0" w:color="auto"/>
        <w:right w:val="none" w:sz="0" w:space="0" w:color="auto"/>
      </w:divBdr>
    </w:div>
    <w:div w:id="1996949758">
      <w:bodyDiv w:val="1"/>
      <w:marLeft w:val="0"/>
      <w:marRight w:val="0"/>
      <w:marTop w:val="0"/>
      <w:marBottom w:val="0"/>
      <w:divBdr>
        <w:top w:val="none" w:sz="0" w:space="0" w:color="auto"/>
        <w:left w:val="none" w:sz="0" w:space="0" w:color="auto"/>
        <w:bottom w:val="none" w:sz="0" w:space="0" w:color="auto"/>
        <w:right w:val="none" w:sz="0" w:space="0" w:color="auto"/>
      </w:divBdr>
    </w:div>
    <w:div w:id="1997102388">
      <w:bodyDiv w:val="1"/>
      <w:marLeft w:val="0"/>
      <w:marRight w:val="0"/>
      <w:marTop w:val="0"/>
      <w:marBottom w:val="0"/>
      <w:divBdr>
        <w:top w:val="none" w:sz="0" w:space="0" w:color="auto"/>
        <w:left w:val="none" w:sz="0" w:space="0" w:color="auto"/>
        <w:bottom w:val="none" w:sz="0" w:space="0" w:color="auto"/>
        <w:right w:val="none" w:sz="0" w:space="0" w:color="auto"/>
      </w:divBdr>
    </w:div>
    <w:div w:id="1997107046">
      <w:bodyDiv w:val="1"/>
      <w:marLeft w:val="0"/>
      <w:marRight w:val="0"/>
      <w:marTop w:val="0"/>
      <w:marBottom w:val="0"/>
      <w:divBdr>
        <w:top w:val="none" w:sz="0" w:space="0" w:color="auto"/>
        <w:left w:val="none" w:sz="0" w:space="0" w:color="auto"/>
        <w:bottom w:val="none" w:sz="0" w:space="0" w:color="auto"/>
        <w:right w:val="none" w:sz="0" w:space="0" w:color="auto"/>
      </w:divBdr>
    </w:div>
    <w:div w:id="1997144300">
      <w:bodyDiv w:val="1"/>
      <w:marLeft w:val="0"/>
      <w:marRight w:val="0"/>
      <w:marTop w:val="0"/>
      <w:marBottom w:val="0"/>
      <w:divBdr>
        <w:top w:val="none" w:sz="0" w:space="0" w:color="auto"/>
        <w:left w:val="none" w:sz="0" w:space="0" w:color="auto"/>
        <w:bottom w:val="none" w:sz="0" w:space="0" w:color="auto"/>
        <w:right w:val="none" w:sz="0" w:space="0" w:color="auto"/>
      </w:divBdr>
    </w:div>
    <w:div w:id="1997294277">
      <w:bodyDiv w:val="1"/>
      <w:marLeft w:val="0"/>
      <w:marRight w:val="0"/>
      <w:marTop w:val="0"/>
      <w:marBottom w:val="0"/>
      <w:divBdr>
        <w:top w:val="none" w:sz="0" w:space="0" w:color="auto"/>
        <w:left w:val="none" w:sz="0" w:space="0" w:color="auto"/>
        <w:bottom w:val="none" w:sz="0" w:space="0" w:color="auto"/>
        <w:right w:val="none" w:sz="0" w:space="0" w:color="auto"/>
      </w:divBdr>
    </w:div>
    <w:div w:id="1997297094">
      <w:bodyDiv w:val="1"/>
      <w:marLeft w:val="0"/>
      <w:marRight w:val="0"/>
      <w:marTop w:val="0"/>
      <w:marBottom w:val="0"/>
      <w:divBdr>
        <w:top w:val="none" w:sz="0" w:space="0" w:color="auto"/>
        <w:left w:val="none" w:sz="0" w:space="0" w:color="auto"/>
        <w:bottom w:val="none" w:sz="0" w:space="0" w:color="auto"/>
        <w:right w:val="none" w:sz="0" w:space="0" w:color="auto"/>
      </w:divBdr>
    </w:div>
    <w:div w:id="1997302519">
      <w:bodyDiv w:val="1"/>
      <w:marLeft w:val="0"/>
      <w:marRight w:val="0"/>
      <w:marTop w:val="0"/>
      <w:marBottom w:val="0"/>
      <w:divBdr>
        <w:top w:val="none" w:sz="0" w:space="0" w:color="auto"/>
        <w:left w:val="none" w:sz="0" w:space="0" w:color="auto"/>
        <w:bottom w:val="none" w:sz="0" w:space="0" w:color="auto"/>
        <w:right w:val="none" w:sz="0" w:space="0" w:color="auto"/>
      </w:divBdr>
    </w:div>
    <w:div w:id="1997412607">
      <w:bodyDiv w:val="1"/>
      <w:marLeft w:val="0"/>
      <w:marRight w:val="0"/>
      <w:marTop w:val="0"/>
      <w:marBottom w:val="0"/>
      <w:divBdr>
        <w:top w:val="none" w:sz="0" w:space="0" w:color="auto"/>
        <w:left w:val="none" w:sz="0" w:space="0" w:color="auto"/>
        <w:bottom w:val="none" w:sz="0" w:space="0" w:color="auto"/>
        <w:right w:val="none" w:sz="0" w:space="0" w:color="auto"/>
      </w:divBdr>
    </w:div>
    <w:div w:id="1997492493">
      <w:bodyDiv w:val="1"/>
      <w:marLeft w:val="0"/>
      <w:marRight w:val="0"/>
      <w:marTop w:val="0"/>
      <w:marBottom w:val="0"/>
      <w:divBdr>
        <w:top w:val="none" w:sz="0" w:space="0" w:color="auto"/>
        <w:left w:val="none" w:sz="0" w:space="0" w:color="auto"/>
        <w:bottom w:val="none" w:sz="0" w:space="0" w:color="auto"/>
        <w:right w:val="none" w:sz="0" w:space="0" w:color="auto"/>
      </w:divBdr>
    </w:div>
    <w:div w:id="1997681178">
      <w:bodyDiv w:val="1"/>
      <w:marLeft w:val="0"/>
      <w:marRight w:val="0"/>
      <w:marTop w:val="0"/>
      <w:marBottom w:val="0"/>
      <w:divBdr>
        <w:top w:val="none" w:sz="0" w:space="0" w:color="auto"/>
        <w:left w:val="none" w:sz="0" w:space="0" w:color="auto"/>
        <w:bottom w:val="none" w:sz="0" w:space="0" w:color="auto"/>
        <w:right w:val="none" w:sz="0" w:space="0" w:color="auto"/>
      </w:divBdr>
    </w:div>
    <w:div w:id="1997684247">
      <w:bodyDiv w:val="1"/>
      <w:marLeft w:val="0"/>
      <w:marRight w:val="0"/>
      <w:marTop w:val="0"/>
      <w:marBottom w:val="0"/>
      <w:divBdr>
        <w:top w:val="none" w:sz="0" w:space="0" w:color="auto"/>
        <w:left w:val="none" w:sz="0" w:space="0" w:color="auto"/>
        <w:bottom w:val="none" w:sz="0" w:space="0" w:color="auto"/>
        <w:right w:val="none" w:sz="0" w:space="0" w:color="auto"/>
      </w:divBdr>
    </w:div>
    <w:div w:id="1997686625">
      <w:bodyDiv w:val="1"/>
      <w:marLeft w:val="0"/>
      <w:marRight w:val="0"/>
      <w:marTop w:val="0"/>
      <w:marBottom w:val="0"/>
      <w:divBdr>
        <w:top w:val="none" w:sz="0" w:space="0" w:color="auto"/>
        <w:left w:val="none" w:sz="0" w:space="0" w:color="auto"/>
        <w:bottom w:val="none" w:sz="0" w:space="0" w:color="auto"/>
        <w:right w:val="none" w:sz="0" w:space="0" w:color="auto"/>
      </w:divBdr>
    </w:div>
    <w:div w:id="1997958083">
      <w:bodyDiv w:val="1"/>
      <w:marLeft w:val="0"/>
      <w:marRight w:val="0"/>
      <w:marTop w:val="0"/>
      <w:marBottom w:val="0"/>
      <w:divBdr>
        <w:top w:val="none" w:sz="0" w:space="0" w:color="auto"/>
        <w:left w:val="none" w:sz="0" w:space="0" w:color="auto"/>
        <w:bottom w:val="none" w:sz="0" w:space="0" w:color="auto"/>
        <w:right w:val="none" w:sz="0" w:space="0" w:color="auto"/>
      </w:divBdr>
    </w:div>
    <w:div w:id="1998072096">
      <w:bodyDiv w:val="1"/>
      <w:marLeft w:val="0"/>
      <w:marRight w:val="0"/>
      <w:marTop w:val="0"/>
      <w:marBottom w:val="0"/>
      <w:divBdr>
        <w:top w:val="none" w:sz="0" w:space="0" w:color="auto"/>
        <w:left w:val="none" w:sz="0" w:space="0" w:color="auto"/>
        <w:bottom w:val="none" w:sz="0" w:space="0" w:color="auto"/>
        <w:right w:val="none" w:sz="0" w:space="0" w:color="auto"/>
      </w:divBdr>
    </w:div>
    <w:div w:id="1998419606">
      <w:bodyDiv w:val="1"/>
      <w:marLeft w:val="0"/>
      <w:marRight w:val="0"/>
      <w:marTop w:val="0"/>
      <w:marBottom w:val="0"/>
      <w:divBdr>
        <w:top w:val="none" w:sz="0" w:space="0" w:color="auto"/>
        <w:left w:val="none" w:sz="0" w:space="0" w:color="auto"/>
        <w:bottom w:val="none" w:sz="0" w:space="0" w:color="auto"/>
        <w:right w:val="none" w:sz="0" w:space="0" w:color="auto"/>
      </w:divBdr>
    </w:div>
    <w:div w:id="1998538018">
      <w:bodyDiv w:val="1"/>
      <w:marLeft w:val="0"/>
      <w:marRight w:val="0"/>
      <w:marTop w:val="0"/>
      <w:marBottom w:val="0"/>
      <w:divBdr>
        <w:top w:val="none" w:sz="0" w:space="0" w:color="auto"/>
        <w:left w:val="none" w:sz="0" w:space="0" w:color="auto"/>
        <w:bottom w:val="none" w:sz="0" w:space="0" w:color="auto"/>
        <w:right w:val="none" w:sz="0" w:space="0" w:color="auto"/>
      </w:divBdr>
    </w:div>
    <w:div w:id="1998721776">
      <w:bodyDiv w:val="1"/>
      <w:marLeft w:val="0"/>
      <w:marRight w:val="0"/>
      <w:marTop w:val="0"/>
      <w:marBottom w:val="0"/>
      <w:divBdr>
        <w:top w:val="none" w:sz="0" w:space="0" w:color="auto"/>
        <w:left w:val="none" w:sz="0" w:space="0" w:color="auto"/>
        <w:bottom w:val="none" w:sz="0" w:space="0" w:color="auto"/>
        <w:right w:val="none" w:sz="0" w:space="0" w:color="auto"/>
      </w:divBdr>
    </w:div>
    <w:div w:id="1998799249">
      <w:bodyDiv w:val="1"/>
      <w:marLeft w:val="0"/>
      <w:marRight w:val="0"/>
      <w:marTop w:val="0"/>
      <w:marBottom w:val="0"/>
      <w:divBdr>
        <w:top w:val="none" w:sz="0" w:space="0" w:color="auto"/>
        <w:left w:val="none" w:sz="0" w:space="0" w:color="auto"/>
        <w:bottom w:val="none" w:sz="0" w:space="0" w:color="auto"/>
        <w:right w:val="none" w:sz="0" w:space="0" w:color="auto"/>
      </w:divBdr>
    </w:div>
    <w:div w:id="1998872922">
      <w:bodyDiv w:val="1"/>
      <w:marLeft w:val="0"/>
      <w:marRight w:val="0"/>
      <w:marTop w:val="0"/>
      <w:marBottom w:val="0"/>
      <w:divBdr>
        <w:top w:val="none" w:sz="0" w:space="0" w:color="auto"/>
        <w:left w:val="none" w:sz="0" w:space="0" w:color="auto"/>
        <w:bottom w:val="none" w:sz="0" w:space="0" w:color="auto"/>
        <w:right w:val="none" w:sz="0" w:space="0" w:color="auto"/>
      </w:divBdr>
    </w:div>
    <w:div w:id="1998916941">
      <w:bodyDiv w:val="1"/>
      <w:marLeft w:val="0"/>
      <w:marRight w:val="0"/>
      <w:marTop w:val="0"/>
      <w:marBottom w:val="0"/>
      <w:divBdr>
        <w:top w:val="none" w:sz="0" w:space="0" w:color="auto"/>
        <w:left w:val="none" w:sz="0" w:space="0" w:color="auto"/>
        <w:bottom w:val="none" w:sz="0" w:space="0" w:color="auto"/>
        <w:right w:val="none" w:sz="0" w:space="0" w:color="auto"/>
      </w:divBdr>
    </w:div>
    <w:div w:id="1998922915">
      <w:bodyDiv w:val="1"/>
      <w:marLeft w:val="0"/>
      <w:marRight w:val="0"/>
      <w:marTop w:val="0"/>
      <w:marBottom w:val="0"/>
      <w:divBdr>
        <w:top w:val="none" w:sz="0" w:space="0" w:color="auto"/>
        <w:left w:val="none" w:sz="0" w:space="0" w:color="auto"/>
        <w:bottom w:val="none" w:sz="0" w:space="0" w:color="auto"/>
        <w:right w:val="none" w:sz="0" w:space="0" w:color="auto"/>
      </w:divBdr>
    </w:div>
    <w:div w:id="1998992417">
      <w:bodyDiv w:val="1"/>
      <w:marLeft w:val="0"/>
      <w:marRight w:val="0"/>
      <w:marTop w:val="0"/>
      <w:marBottom w:val="0"/>
      <w:divBdr>
        <w:top w:val="none" w:sz="0" w:space="0" w:color="auto"/>
        <w:left w:val="none" w:sz="0" w:space="0" w:color="auto"/>
        <w:bottom w:val="none" w:sz="0" w:space="0" w:color="auto"/>
        <w:right w:val="none" w:sz="0" w:space="0" w:color="auto"/>
      </w:divBdr>
    </w:div>
    <w:div w:id="1999072109">
      <w:bodyDiv w:val="1"/>
      <w:marLeft w:val="0"/>
      <w:marRight w:val="0"/>
      <w:marTop w:val="0"/>
      <w:marBottom w:val="0"/>
      <w:divBdr>
        <w:top w:val="none" w:sz="0" w:space="0" w:color="auto"/>
        <w:left w:val="none" w:sz="0" w:space="0" w:color="auto"/>
        <w:bottom w:val="none" w:sz="0" w:space="0" w:color="auto"/>
        <w:right w:val="none" w:sz="0" w:space="0" w:color="auto"/>
      </w:divBdr>
    </w:div>
    <w:div w:id="1999262915">
      <w:bodyDiv w:val="1"/>
      <w:marLeft w:val="0"/>
      <w:marRight w:val="0"/>
      <w:marTop w:val="0"/>
      <w:marBottom w:val="0"/>
      <w:divBdr>
        <w:top w:val="none" w:sz="0" w:space="0" w:color="auto"/>
        <w:left w:val="none" w:sz="0" w:space="0" w:color="auto"/>
        <w:bottom w:val="none" w:sz="0" w:space="0" w:color="auto"/>
        <w:right w:val="none" w:sz="0" w:space="0" w:color="auto"/>
      </w:divBdr>
    </w:div>
    <w:div w:id="1999381697">
      <w:bodyDiv w:val="1"/>
      <w:marLeft w:val="0"/>
      <w:marRight w:val="0"/>
      <w:marTop w:val="0"/>
      <w:marBottom w:val="0"/>
      <w:divBdr>
        <w:top w:val="none" w:sz="0" w:space="0" w:color="auto"/>
        <w:left w:val="none" w:sz="0" w:space="0" w:color="auto"/>
        <w:bottom w:val="none" w:sz="0" w:space="0" w:color="auto"/>
        <w:right w:val="none" w:sz="0" w:space="0" w:color="auto"/>
      </w:divBdr>
    </w:div>
    <w:div w:id="1999382188">
      <w:bodyDiv w:val="1"/>
      <w:marLeft w:val="0"/>
      <w:marRight w:val="0"/>
      <w:marTop w:val="0"/>
      <w:marBottom w:val="0"/>
      <w:divBdr>
        <w:top w:val="none" w:sz="0" w:space="0" w:color="auto"/>
        <w:left w:val="none" w:sz="0" w:space="0" w:color="auto"/>
        <w:bottom w:val="none" w:sz="0" w:space="0" w:color="auto"/>
        <w:right w:val="none" w:sz="0" w:space="0" w:color="auto"/>
      </w:divBdr>
    </w:div>
    <w:div w:id="1999385528">
      <w:bodyDiv w:val="1"/>
      <w:marLeft w:val="0"/>
      <w:marRight w:val="0"/>
      <w:marTop w:val="0"/>
      <w:marBottom w:val="0"/>
      <w:divBdr>
        <w:top w:val="none" w:sz="0" w:space="0" w:color="auto"/>
        <w:left w:val="none" w:sz="0" w:space="0" w:color="auto"/>
        <w:bottom w:val="none" w:sz="0" w:space="0" w:color="auto"/>
        <w:right w:val="none" w:sz="0" w:space="0" w:color="auto"/>
      </w:divBdr>
    </w:div>
    <w:div w:id="1999453499">
      <w:bodyDiv w:val="1"/>
      <w:marLeft w:val="0"/>
      <w:marRight w:val="0"/>
      <w:marTop w:val="0"/>
      <w:marBottom w:val="0"/>
      <w:divBdr>
        <w:top w:val="none" w:sz="0" w:space="0" w:color="auto"/>
        <w:left w:val="none" w:sz="0" w:space="0" w:color="auto"/>
        <w:bottom w:val="none" w:sz="0" w:space="0" w:color="auto"/>
        <w:right w:val="none" w:sz="0" w:space="0" w:color="auto"/>
      </w:divBdr>
    </w:div>
    <w:div w:id="1999458339">
      <w:bodyDiv w:val="1"/>
      <w:marLeft w:val="0"/>
      <w:marRight w:val="0"/>
      <w:marTop w:val="0"/>
      <w:marBottom w:val="0"/>
      <w:divBdr>
        <w:top w:val="none" w:sz="0" w:space="0" w:color="auto"/>
        <w:left w:val="none" w:sz="0" w:space="0" w:color="auto"/>
        <w:bottom w:val="none" w:sz="0" w:space="0" w:color="auto"/>
        <w:right w:val="none" w:sz="0" w:space="0" w:color="auto"/>
      </w:divBdr>
    </w:div>
    <w:div w:id="1999721245">
      <w:bodyDiv w:val="1"/>
      <w:marLeft w:val="0"/>
      <w:marRight w:val="0"/>
      <w:marTop w:val="0"/>
      <w:marBottom w:val="0"/>
      <w:divBdr>
        <w:top w:val="none" w:sz="0" w:space="0" w:color="auto"/>
        <w:left w:val="none" w:sz="0" w:space="0" w:color="auto"/>
        <w:bottom w:val="none" w:sz="0" w:space="0" w:color="auto"/>
        <w:right w:val="none" w:sz="0" w:space="0" w:color="auto"/>
      </w:divBdr>
    </w:div>
    <w:div w:id="1999767118">
      <w:bodyDiv w:val="1"/>
      <w:marLeft w:val="0"/>
      <w:marRight w:val="0"/>
      <w:marTop w:val="0"/>
      <w:marBottom w:val="0"/>
      <w:divBdr>
        <w:top w:val="none" w:sz="0" w:space="0" w:color="auto"/>
        <w:left w:val="none" w:sz="0" w:space="0" w:color="auto"/>
        <w:bottom w:val="none" w:sz="0" w:space="0" w:color="auto"/>
        <w:right w:val="none" w:sz="0" w:space="0" w:color="auto"/>
      </w:divBdr>
    </w:div>
    <w:div w:id="1999848167">
      <w:bodyDiv w:val="1"/>
      <w:marLeft w:val="0"/>
      <w:marRight w:val="0"/>
      <w:marTop w:val="0"/>
      <w:marBottom w:val="0"/>
      <w:divBdr>
        <w:top w:val="none" w:sz="0" w:space="0" w:color="auto"/>
        <w:left w:val="none" w:sz="0" w:space="0" w:color="auto"/>
        <w:bottom w:val="none" w:sz="0" w:space="0" w:color="auto"/>
        <w:right w:val="none" w:sz="0" w:space="0" w:color="auto"/>
      </w:divBdr>
    </w:div>
    <w:div w:id="1999915751">
      <w:bodyDiv w:val="1"/>
      <w:marLeft w:val="0"/>
      <w:marRight w:val="0"/>
      <w:marTop w:val="0"/>
      <w:marBottom w:val="0"/>
      <w:divBdr>
        <w:top w:val="none" w:sz="0" w:space="0" w:color="auto"/>
        <w:left w:val="none" w:sz="0" w:space="0" w:color="auto"/>
        <w:bottom w:val="none" w:sz="0" w:space="0" w:color="auto"/>
        <w:right w:val="none" w:sz="0" w:space="0" w:color="auto"/>
      </w:divBdr>
    </w:div>
    <w:div w:id="1999993875">
      <w:bodyDiv w:val="1"/>
      <w:marLeft w:val="0"/>
      <w:marRight w:val="0"/>
      <w:marTop w:val="0"/>
      <w:marBottom w:val="0"/>
      <w:divBdr>
        <w:top w:val="none" w:sz="0" w:space="0" w:color="auto"/>
        <w:left w:val="none" w:sz="0" w:space="0" w:color="auto"/>
        <w:bottom w:val="none" w:sz="0" w:space="0" w:color="auto"/>
        <w:right w:val="none" w:sz="0" w:space="0" w:color="auto"/>
      </w:divBdr>
    </w:div>
    <w:div w:id="2000034439">
      <w:bodyDiv w:val="1"/>
      <w:marLeft w:val="0"/>
      <w:marRight w:val="0"/>
      <w:marTop w:val="0"/>
      <w:marBottom w:val="0"/>
      <w:divBdr>
        <w:top w:val="none" w:sz="0" w:space="0" w:color="auto"/>
        <w:left w:val="none" w:sz="0" w:space="0" w:color="auto"/>
        <w:bottom w:val="none" w:sz="0" w:space="0" w:color="auto"/>
        <w:right w:val="none" w:sz="0" w:space="0" w:color="auto"/>
      </w:divBdr>
    </w:div>
    <w:div w:id="2000107702">
      <w:bodyDiv w:val="1"/>
      <w:marLeft w:val="0"/>
      <w:marRight w:val="0"/>
      <w:marTop w:val="0"/>
      <w:marBottom w:val="0"/>
      <w:divBdr>
        <w:top w:val="none" w:sz="0" w:space="0" w:color="auto"/>
        <w:left w:val="none" w:sz="0" w:space="0" w:color="auto"/>
        <w:bottom w:val="none" w:sz="0" w:space="0" w:color="auto"/>
        <w:right w:val="none" w:sz="0" w:space="0" w:color="auto"/>
      </w:divBdr>
    </w:div>
    <w:div w:id="2000186716">
      <w:bodyDiv w:val="1"/>
      <w:marLeft w:val="0"/>
      <w:marRight w:val="0"/>
      <w:marTop w:val="0"/>
      <w:marBottom w:val="0"/>
      <w:divBdr>
        <w:top w:val="none" w:sz="0" w:space="0" w:color="auto"/>
        <w:left w:val="none" w:sz="0" w:space="0" w:color="auto"/>
        <w:bottom w:val="none" w:sz="0" w:space="0" w:color="auto"/>
        <w:right w:val="none" w:sz="0" w:space="0" w:color="auto"/>
      </w:divBdr>
    </w:div>
    <w:div w:id="2000378948">
      <w:bodyDiv w:val="1"/>
      <w:marLeft w:val="0"/>
      <w:marRight w:val="0"/>
      <w:marTop w:val="0"/>
      <w:marBottom w:val="0"/>
      <w:divBdr>
        <w:top w:val="none" w:sz="0" w:space="0" w:color="auto"/>
        <w:left w:val="none" w:sz="0" w:space="0" w:color="auto"/>
        <w:bottom w:val="none" w:sz="0" w:space="0" w:color="auto"/>
        <w:right w:val="none" w:sz="0" w:space="0" w:color="auto"/>
      </w:divBdr>
    </w:div>
    <w:div w:id="2000382675">
      <w:bodyDiv w:val="1"/>
      <w:marLeft w:val="0"/>
      <w:marRight w:val="0"/>
      <w:marTop w:val="0"/>
      <w:marBottom w:val="0"/>
      <w:divBdr>
        <w:top w:val="none" w:sz="0" w:space="0" w:color="auto"/>
        <w:left w:val="none" w:sz="0" w:space="0" w:color="auto"/>
        <w:bottom w:val="none" w:sz="0" w:space="0" w:color="auto"/>
        <w:right w:val="none" w:sz="0" w:space="0" w:color="auto"/>
      </w:divBdr>
    </w:div>
    <w:div w:id="2000648560">
      <w:bodyDiv w:val="1"/>
      <w:marLeft w:val="0"/>
      <w:marRight w:val="0"/>
      <w:marTop w:val="0"/>
      <w:marBottom w:val="0"/>
      <w:divBdr>
        <w:top w:val="none" w:sz="0" w:space="0" w:color="auto"/>
        <w:left w:val="none" w:sz="0" w:space="0" w:color="auto"/>
        <w:bottom w:val="none" w:sz="0" w:space="0" w:color="auto"/>
        <w:right w:val="none" w:sz="0" w:space="0" w:color="auto"/>
      </w:divBdr>
    </w:div>
    <w:div w:id="2000888005">
      <w:bodyDiv w:val="1"/>
      <w:marLeft w:val="0"/>
      <w:marRight w:val="0"/>
      <w:marTop w:val="0"/>
      <w:marBottom w:val="0"/>
      <w:divBdr>
        <w:top w:val="none" w:sz="0" w:space="0" w:color="auto"/>
        <w:left w:val="none" w:sz="0" w:space="0" w:color="auto"/>
        <w:bottom w:val="none" w:sz="0" w:space="0" w:color="auto"/>
        <w:right w:val="none" w:sz="0" w:space="0" w:color="auto"/>
      </w:divBdr>
    </w:div>
    <w:div w:id="2000962793">
      <w:bodyDiv w:val="1"/>
      <w:marLeft w:val="0"/>
      <w:marRight w:val="0"/>
      <w:marTop w:val="0"/>
      <w:marBottom w:val="0"/>
      <w:divBdr>
        <w:top w:val="none" w:sz="0" w:space="0" w:color="auto"/>
        <w:left w:val="none" w:sz="0" w:space="0" w:color="auto"/>
        <w:bottom w:val="none" w:sz="0" w:space="0" w:color="auto"/>
        <w:right w:val="none" w:sz="0" w:space="0" w:color="auto"/>
      </w:divBdr>
    </w:div>
    <w:div w:id="2001034006">
      <w:bodyDiv w:val="1"/>
      <w:marLeft w:val="0"/>
      <w:marRight w:val="0"/>
      <w:marTop w:val="0"/>
      <w:marBottom w:val="0"/>
      <w:divBdr>
        <w:top w:val="none" w:sz="0" w:space="0" w:color="auto"/>
        <w:left w:val="none" w:sz="0" w:space="0" w:color="auto"/>
        <w:bottom w:val="none" w:sz="0" w:space="0" w:color="auto"/>
        <w:right w:val="none" w:sz="0" w:space="0" w:color="auto"/>
      </w:divBdr>
    </w:div>
    <w:div w:id="2001082436">
      <w:bodyDiv w:val="1"/>
      <w:marLeft w:val="0"/>
      <w:marRight w:val="0"/>
      <w:marTop w:val="0"/>
      <w:marBottom w:val="0"/>
      <w:divBdr>
        <w:top w:val="none" w:sz="0" w:space="0" w:color="auto"/>
        <w:left w:val="none" w:sz="0" w:space="0" w:color="auto"/>
        <w:bottom w:val="none" w:sz="0" w:space="0" w:color="auto"/>
        <w:right w:val="none" w:sz="0" w:space="0" w:color="auto"/>
      </w:divBdr>
    </w:div>
    <w:div w:id="2001107792">
      <w:bodyDiv w:val="1"/>
      <w:marLeft w:val="0"/>
      <w:marRight w:val="0"/>
      <w:marTop w:val="0"/>
      <w:marBottom w:val="0"/>
      <w:divBdr>
        <w:top w:val="none" w:sz="0" w:space="0" w:color="auto"/>
        <w:left w:val="none" w:sz="0" w:space="0" w:color="auto"/>
        <w:bottom w:val="none" w:sz="0" w:space="0" w:color="auto"/>
        <w:right w:val="none" w:sz="0" w:space="0" w:color="auto"/>
      </w:divBdr>
    </w:div>
    <w:div w:id="2001151210">
      <w:bodyDiv w:val="1"/>
      <w:marLeft w:val="0"/>
      <w:marRight w:val="0"/>
      <w:marTop w:val="0"/>
      <w:marBottom w:val="0"/>
      <w:divBdr>
        <w:top w:val="none" w:sz="0" w:space="0" w:color="auto"/>
        <w:left w:val="none" w:sz="0" w:space="0" w:color="auto"/>
        <w:bottom w:val="none" w:sz="0" w:space="0" w:color="auto"/>
        <w:right w:val="none" w:sz="0" w:space="0" w:color="auto"/>
      </w:divBdr>
    </w:div>
    <w:div w:id="2001153119">
      <w:bodyDiv w:val="1"/>
      <w:marLeft w:val="0"/>
      <w:marRight w:val="0"/>
      <w:marTop w:val="0"/>
      <w:marBottom w:val="0"/>
      <w:divBdr>
        <w:top w:val="none" w:sz="0" w:space="0" w:color="auto"/>
        <w:left w:val="none" w:sz="0" w:space="0" w:color="auto"/>
        <w:bottom w:val="none" w:sz="0" w:space="0" w:color="auto"/>
        <w:right w:val="none" w:sz="0" w:space="0" w:color="auto"/>
      </w:divBdr>
    </w:div>
    <w:div w:id="2001153451">
      <w:bodyDiv w:val="1"/>
      <w:marLeft w:val="0"/>
      <w:marRight w:val="0"/>
      <w:marTop w:val="0"/>
      <w:marBottom w:val="0"/>
      <w:divBdr>
        <w:top w:val="none" w:sz="0" w:space="0" w:color="auto"/>
        <w:left w:val="none" w:sz="0" w:space="0" w:color="auto"/>
        <w:bottom w:val="none" w:sz="0" w:space="0" w:color="auto"/>
        <w:right w:val="none" w:sz="0" w:space="0" w:color="auto"/>
      </w:divBdr>
    </w:div>
    <w:div w:id="2001230995">
      <w:bodyDiv w:val="1"/>
      <w:marLeft w:val="0"/>
      <w:marRight w:val="0"/>
      <w:marTop w:val="0"/>
      <w:marBottom w:val="0"/>
      <w:divBdr>
        <w:top w:val="none" w:sz="0" w:space="0" w:color="auto"/>
        <w:left w:val="none" w:sz="0" w:space="0" w:color="auto"/>
        <w:bottom w:val="none" w:sz="0" w:space="0" w:color="auto"/>
        <w:right w:val="none" w:sz="0" w:space="0" w:color="auto"/>
      </w:divBdr>
    </w:div>
    <w:div w:id="2001233363">
      <w:bodyDiv w:val="1"/>
      <w:marLeft w:val="0"/>
      <w:marRight w:val="0"/>
      <w:marTop w:val="0"/>
      <w:marBottom w:val="0"/>
      <w:divBdr>
        <w:top w:val="none" w:sz="0" w:space="0" w:color="auto"/>
        <w:left w:val="none" w:sz="0" w:space="0" w:color="auto"/>
        <w:bottom w:val="none" w:sz="0" w:space="0" w:color="auto"/>
        <w:right w:val="none" w:sz="0" w:space="0" w:color="auto"/>
      </w:divBdr>
    </w:div>
    <w:div w:id="2001346722">
      <w:bodyDiv w:val="1"/>
      <w:marLeft w:val="0"/>
      <w:marRight w:val="0"/>
      <w:marTop w:val="0"/>
      <w:marBottom w:val="0"/>
      <w:divBdr>
        <w:top w:val="none" w:sz="0" w:space="0" w:color="auto"/>
        <w:left w:val="none" w:sz="0" w:space="0" w:color="auto"/>
        <w:bottom w:val="none" w:sz="0" w:space="0" w:color="auto"/>
        <w:right w:val="none" w:sz="0" w:space="0" w:color="auto"/>
      </w:divBdr>
    </w:div>
    <w:div w:id="2001888299">
      <w:bodyDiv w:val="1"/>
      <w:marLeft w:val="0"/>
      <w:marRight w:val="0"/>
      <w:marTop w:val="0"/>
      <w:marBottom w:val="0"/>
      <w:divBdr>
        <w:top w:val="none" w:sz="0" w:space="0" w:color="auto"/>
        <w:left w:val="none" w:sz="0" w:space="0" w:color="auto"/>
        <w:bottom w:val="none" w:sz="0" w:space="0" w:color="auto"/>
        <w:right w:val="none" w:sz="0" w:space="0" w:color="auto"/>
      </w:divBdr>
    </w:div>
    <w:div w:id="2001928294">
      <w:bodyDiv w:val="1"/>
      <w:marLeft w:val="0"/>
      <w:marRight w:val="0"/>
      <w:marTop w:val="0"/>
      <w:marBottom w:val="0"/>
      <w:divBdr>
        <w:top w:val="none" w:sz="0" w:space="0" w:color="auto"/>
        <w:left w:val="none" w:sz="0" w:space="0" w:color="auto"/>
        <w:bottom w:val="none" w:sz="0" w:space="0" w:color="auto"/>
        <w:right w:val="none" w:sz="0" w:space="0" w:color="auto"/>
      </w:divBdr>
    </w:div>
    <w:div w:id="2001998325">
      <w:bodyDiv w:val="1"/>
      <w:marLeft w:val="0"/>
      <w:marRight w:val="0"/>
      <w:marTop w:val="0"/>
      <w:marBottom w:val="0"/>
      <w:divBdr>
        <w:top w:val="none" w:sz="0" w:space="0" w:color="auto"/>
        <w:left w:val="none" w:sz="0" w:space="0" w:color="auto"/>
        <w:bottom w:val="none" w:sz="0" w:space="0" w:color="auto"/>
        <w:right w:val="none" w:sz="0" w:space="0" w:color="auto"/>
      </w:divBdr>
    </w:div>
    <w:div w:id="2002077365">
      <w:bodyDiv w:val="1"/>
      <w:marLeft w:val="0"/>
      <w:marRight w:val="0"/>
      <w:marTop w:val="0"/>
      <w:marBottom w:val="0"/>
      <w:divBdr>
        <w:top w:val="none" w:sz="0" w:space="0" w:color="auto"/>
        <w:left w:val="none" w:sz="0" w:space="0" w:color="auto"/>
        <w:bottom w:val="none" w:sz="0" w:space="0" w:color="auto"/>
        <w:right w:val="none" w:sz="0" w:space="0" w:color="auto"/>
      </w:divBdr>
    </w:div>
    <w:div w:id="2002151318">
      <w:bodyDiv w:val="1"/>
      <w:marLeft w:val="0"/>
      <w:marRight w:val="0"/>
      <w:marTop w:val="0"/>
      <w:marBottom w:val="0"/>
      <w:divBdr>
        <w:top w:val="none" w:sz="0" w:space="0" w:color="auto"/>
        <w:left w:val="none" w:sz="0" w:space="0" w:color="auto"/>
        <w:bottom w:val="none" w:sz="0" w:space="0" w:color="auto"/>
        <w:right w:val="none" w:sz="0" w:space="0" w:color="auto"/>
      </w:divBdr>
    </w:div>
    <w:div w:id="2002272144">
      <w:bodyDiv w:val="1"/>
      <w:marLeft w:val="0"/>
      <w:marRight w:val="0"/>
      <w:marTop w:val="0"/>
      <w:marBottom w:val="0"/>
      <w:divBdr>
        <w:top w:val="none" w:sz="0" w:space="0" w:color="auto"/>
        <w:left w:val="none" w:sz="0" w:space="0" w:color="auto"/>
        <w:bottom w:val="none" w:sz="0" w:space="0" w:color="auto"/>
        <w:right w:val="none" w:sz="0" w:space="0" w:color="auto"/>
      </w:divBdr>
    </w:div>
    <w:div w:id="2002349046">
      <w:bodyDiv w:val="1"/>
      <w:marLeft w:val="0"/>
      <w:marRight w:val="0"/>
      <w:marTop w:val="0"/>
      <w:marBottom w:val="0"/>
      <w:divBdr>
        <w:top w:val="none" w:sz="0" w:space="0" w:color="auto"/>
        <w:left w:val="none" w:sz="0" w:space="0" w:color="auto"/>
        <w:bottom w:val="none" w:sz="0" w:space="0" w:color="auto"/>
        <w:right w:val="none" w:sz="0" w:space="0" w:color="auto"/>
      </w:divBdr>
    </w:div>
    <w:div w:id="2002462881">
      <w:bodyDiv w:val="1"/>
      <w:marLeft w:val="0"/>
      <w:marRight w:val="0"/>
      <w:marTop w:val="0"/>
      <w:marBottom w:val="0"/>
      <w:divBdr>
        <w:top w:val="none" w:sz="0" w:space="0" w:color="auto"/>
        <w:left w:val="none" w:sz="0" w:space="0" w:color="auto"/>
        <w:bottom w:val="none" w:sz="0" w:space="0" w:color="auto"/>
        <w:right w:val="none" w:sz="0" w:space="0" w:color="auto"/>
      </w:divBdr>
    </w:div>
    <w:div w:id="2002659698">
      <w:bodyDiv w:val="1"/>
      <w:marLeft w:val="0"/>
      <w:marRight w:val="0"/>
      <w:marTop w:val="0"/>
      <w:marBottom w:val="0"/>
      <w:divBdr>
        <w:top w:val="none" w:sz="0" w:space="0" w:color="auto"/>
        <w:left w:val="none" w:sz="0" w:space="0" w:color="auto"/>
        <w:bottom w:val="none" w:sz="0" w:space="0" w:color="auto"/>
        <w:right w:val="none" w:sz="0" w:space="0" w:color="auto"/>
      </w:divBdr>
    </w:div>
    <w:div w:id="2002730310">
      <w:bodyDiv w:val="1"/>
      <w:marLeft w:val="0"/>
      <w:marRight w:val="0"/>
      <w:marTop w:val="0"/>
      <w:marBottom w:val="0"/>
      <w:divBdr>
        <w:top w:val="none" w:sz="0" w:space="0" w:color="auto"/>
        <w:left w:val="none" w:sz="0" w:space="0" w:color="auto"/>
        <w:bottom w:val="none" w:sz="0" w:space="0" w:color="auto"/>
        <w:right w:val="none" w:sz="0" w:space="0" w:color="auto"/>
      </w:divBdr>
    </w:div>
    <w:div w:id="2002735015">
      <w:bodyDiv w:val="1"/>
      <w:marLeft w:val="0"/>
      <w:marRight w:val="0"/>
      <w:marTop w:val="0"/>
      <w:marBottom w:val="0"/>
      <w:divBdr>
        <w:top w:val="none" w:sz="0" w:space="0" w:color="auto"/>
        <w:left w:val="none" w:sz="0" w:space="0" w:color="auto"/>
        <w:bottom w:val="none" w:sz="0" w:space="0" w:color="auto"/>
        <w:right w:val="none" w:sz="0" w:space="0" w:color="auto"/>
      </w:divBdr>
    </w:div>
    <w:div w:id="2002807148">
      <w:bodyDiv w:val="1"/>
      <w:marLeft w:val="0"/>
      <w:marRight w:val="0"/>
      <w:marTop w:val="0"/>
      <w:marBottom w:val="0"/>
      <w:divBdr>
        <w:top w:val="none" w:sz="0" w:space="0" w:color="auto"/>
        <w:left w:val="none" w:sz="0" w:space="0" w:color="auto"/>
        <w:bottom w:val="none" w:sz="0" w:space="0" w:color="auto"/>
        <w:right w:val="none" w:sz="0" w:space="0" w:color="auto"/>
      </w:divBdr>
    </w:div>
    <w:div w:id="2002925974">
      <w:bodyDiv w:val="1"/>
      <w:marLeft w:val="0"/>
      <w:marRight w:val="0"/>
      <w:marTop w:val="0"/>
      <w:marBottom w:val="0"/>
      <w:divBdr>
        <w:top w:val="none" w:sz="0" w:space="0" w:color="auto"/>
        <w:left w:val="none" w:sz="0" w:space="0" w:color="auto"/>
        <w:bottom w:val="none" w:sz="0" w:space="0" w:color="auto"/>
        <w:right w:val="none" w:sz="0" w:space="0" w:color="auto"/>
      </w:divBdr>
    </w:div>
    <w:div w:id="2002926283">
      <w:bodyDiv w:val="1"/>
      <w:marLeft w:val="0"/>
      <w:marRight w:val="0"/>
      <w:marTop w:val="0"/>
      <w:marBottom w:val="0"/>
      <w:divBdr>
        <w:top w:val="none" w:sz="0" w:space="0" w:color="auto"/>
        <w:left w:val="none" w:sz="0" w:space="0" w:color="auto"/>
        <w:bottom w:val="none" w:sz="0" w:space="0" w:color="auto"/>
        <w:right w:val="none" w:sz="0" w:space="0" w:color="auto"/>
      </w:divBdr>
    </w:div>
    <w:div w:id="2002931384">
      <w:bodyDiv w:val="1"/>
      <w:marLeft w:val="0"/>
      <w:marRight w:val="0"/>
      <w:marTop w:val="0"/>
      <w:marBottom w:val="0"/>
      <w:divBdr>
        <w:top w:val="none" w:sz="0" w:space="0" w:color="auto"/>
        <w:left w:val="none" w:sz="0" w:space="0" w:color="auto"/>
        <w:bottom w:val="none" w:sz="0" w:space="0" w:color="auto"/>
        <w:right w:val="none" w:sz="0" w:space="0" w:color="auto"/>
      </w:divBdr>
    </w:div>
    <w:div w:id="2003385722">
      <w:bodyDiv w:val="1"/>
      <w:marLeft w:val="0"/>
      <w:marRight w:val="0"/>
      <w:marTop w:val="0"/>
      <w:marBottom w:val="0"/>
      <w:divBdr>
        <w:top w:val="none" w:sz="0" w:space="0" w:color="auto"/>
        <w:left w:val="none" w:sz="0" w:space="0" w:color="auto"/>
        <w:bottom w:val="none" w:sz="0" w:space="0" w:color="auto"/>
        <w:right w:val="none" w:sz="0" w:space="0" w:color="auto"/>
      </w:divBdr>
    </w:div>
    <w:div w:id="2003508823">
      <w:bodyDiv w:val="1"/>
      <w:marLeft w:val="0"/>
      <w:marRight w:val="0"/>
      <w:marTop w:val="0"/>
      <w:marBottom w:val="0"/>
      <w:divBdr>
        <w:top w:val="none" w:sz="0" w:space="0" w:color="auto"/>
        <w:left w:val="none" w:sz="0" w:space="0" w:color="auto"/>
        <w:bottom w:val="none" w:sz="0" w:space="0" w:color="auto"/>
        <w:right w:val="none" w:sz="0" w:space="0" w:color="auto"/>
      </w:divBdr>
    </w:div>
    <w:div w:id="2003510448">
      <w:bodyDiv w:val="1"/>
      <w:marLeft w:val="0"/>
      <w:marRight w:val="0"/>
      <w:marTop w:val="0"/>
      <w:marBottom w:val="0"/>
      <w:divBdr>
        <w:top w:val="none" w:sz="0" w:space="0" w:color="auto"/>
        <w:left w:val="none" w:sz="0" w:space="0" w:color="auto"/>
        <w:bottom w:val="none" w:sz="0" w:space="0" w:color="auto"/>
        <w:right w:val="none" w:sz="0" w:space="0" w:color="auto"/>
      </w:divBdr>
    </w:div>
    <w:div w:id="2003698901">
      <w:bodyDiv w:val="1"/>
      <w:marLeft w:val="0"/>
      <w:marRight w:val="0"/>
      <w:marTop w:val="0"/>
      <w:marBottom w:val="0"/>
      <w:divBdr>
        <w:top w:val="none" w:sz="0" w:space="0" w:color="auto"/>
        <w:left w:val="none" w:sz="0" w:space="0" w:color="auto"/>
        <w:bottom w:val="none" w:sz="0" w:space="0" w:color="auto"/>
        <w:right w:val="none" w:sz="0" w:space="0" w:color="auto"/>
      </w:divBdr>
    </w:div>
    <w:div w:id="2003776761">
      <w:bodyDiv w:val="1"/>
      <w:marLeft w:val="0"/>
      <w:marRight w:val="0"/>
      <w:marTop w:val="0"/>
      <w:marBottom w:val="0"/>
      <w:divBdr>
        <w:top w:val="none" w:sz="0" w:space="0" w:color="auto"/>
        <w:left w:val="none" w:sz="0" w:space="0" w:color="auto"/>
        <w:bottom w:val="none" w:sz="0" w:space="0" w:color="auto"/>
        <w:right w:val="none" w:sz="0" w:space="0" w:color="auto"/>
      </w:divBdr>
    </w:div>
    <w:div w:id="2004040720">
      <w:bodyDiv w:val="1"/>
      <w:marLeft w:val="0"/>
      <w:marRight w:val="0"/>
      <w:marTop w:val="0"/>
      <w:marBottom w:val="0"/>
      <w:divBdr>
        <w:top w:val="none" w:sz="0" w:space="0" w:color="auto"/>
        <w:left w:val="none" w:sz="0" w:space="0" w:color="auto"/>
        <w:bottom w:val="none" w:sz="0" w:space="0" w:color="auto"/>
        <w:right w:val="none" w:sz="0" w:space="0" w:color="auto"/>
      </w:divBdr>
    </w:div>
    <w:div w:id="2004042285">
      <w:bodyDiv w:val="1"/>
      <w:marLeft w:val="0"/>
      <w:marRight w:val="0"/>
      <w:marTop w:val="0"/>
      <w:marBottom w:val="0"/>
      <w:divBdr>
        <w:top w:val="none" w:sz="0" w:space="0" w:color="auto"/>
        <w:left w:val="none" w:sz="0" w:space="0" w:color="auto"/>
        <w:bottom w:val="none" w:sz="0" w:space="0" w:color="auto"/>
        <w:right w:val="none" w:sz="0" w:space="0" w:color="auto"/>
      </w:divBdr>
    </w:div>
    <w:div w:id="2004233303">
      <w:bodyDiv w:val="1"/>
      <w:marLeft w:val="0"/>
      <w:marRight w:val="0"/>
      <w:marTop w:val="0"/>
      <w:marBottom w:val="0"/>
      <w:divBdr>
        <w:top w:val="none" w:sz="0" w:space="0" w:color="auto"/>
        <w:left w:val="none" w:sz="0" w:space="0" w:color="auto"/>
        <w:bottom w:val="none" w:sz="0" w:space="0" w:color="auto"/>
        <w:right w:val="none" w:sz="0" w:space="0" w:color="auto"/>
      </w:divBdr>
    </w:div>
    <w:div w:id="2004234256">
      <w:bodyDiv w:val="1"/>
      <w:marLeft w:val="0"/>
      <w:marRight w:val="0"/>
      <w:marTop w:val="0"/>
      <w:marBottom w:val="0"/>
      <w:divBdr>
        <w:top w:val="none" w:sz="0" w:space="0" w:color="auto"/>
        <w:left w:val="none" w:sz="0" w:space="0" w:color="auto"/>
        <w:bottom w:val="none" w:sz="0" w:space="0" w:color="auto"/>
        <w:right w:val="none" w:sz="0" w:space="0" w:color="auto"/>
      </w:divBdr>
    </w:div>
    <w:div w:id="2004432583">
      <w:bodyDiv w:val="1"/>
      <w:marLeft w:val="0"/>
      <w:marRight w:val="0"/>
      <w:marTop w:val="0"/>
      <w:marBottom w:val="0"/>
      <w:divBdr>
        <w:top w:val="none" w:sz="0" w:space="0" w:color="auto"/>
        <w:left w:val="none" w:sz="0" w:space="0" w:color="auto"/>
        <w:bottom w:val="none" w:sz="0" w:space="0" w:color="auto"/>
        <w:right w:val="none" w:sz="0" w:space="0" w:color="auto"/>
      </w:divBdr>
    </w:div>
    <w:div w:id="2004505519">
      <w:bodyDiv w:val="1"/>
      <w:marLeft w:val="0"/>
      <w:marRight w:val="0"/>
      <w:marTop w:val="0"/>
      <w:marBottom w:val="0"/>
      <w:divBdr>
        <w:top w:val="none" w:sz="0" w:space="0" w:color="auto"/>
        <w:left w:val="none" w:sz="0" w:space="0" w:color="auto"/>
        <w:bottom w:val="none" w:sz="0" w:space="0" w:color="auto"/>
        <w:right w:val="none" w:sz="0" w:space="0" w:color="auto"/>
      </w:divBdr>
    </w:div>
    <w:div w:id="2004508253">
      <w:bodyDiv w:val="1"/>
      <w:marLeft w:val="0"/>
      <w:marRight w:val="0"/>
      <w:marTop w:val="0"/>
      <w:marBottom w:val="0"/>
      <w:divBdr>
        <w:top w:val="none" w:sz="0" w:space="0" w:color="auto"/>
        <w:left w:val="none" w:sz="0" w:space="0" w:color="auto"/>
        <w:bottom w:val="none" w:sz="0" w:space="0" w:color="auto"/>
        <w:right w:val="none" w:sz="0" w:space="0" w:color="auto"/>
      </w:divBdr>
    </w:div>
    <w:div w:id="2004628409">
      <w:bodyDiv w:val="1"/>
      <w:marLeft w:val="0"/>
      <w:marRight w:val="0"/>
      <w:marTop w:val="0"/>
      <w:marBottom w:val="0"/>
      <w:divBdr>
        <w:top w:val="none" w:sz="0" w:space="0" w:color="auto"/>
        <w:left w:val="none" w:sz="0" w:space="0" w:color="auto"/>
        <w:bottom w:val="none" w:sz="0" w:space="0" w:color="auto"/>
        <w:right w:val="none" w:sz="0" w:space="0" w:color="auto"/>
      </w:divBdr>
    </w:div>
    <w:div w:id="2004699807">
      <w:bodyDiv w:val="1"/>
      <w:marLeft w:val="0"/>
      <w:marRight w:val="0"/>
      <w:marTop w:val="0"/>
      <w:marBottom w:val="0"/>
      <w:divBdr>
        <w:top w:val="none" w:sz="0" w:space="0" w:color="auto"/>
        <w:left w:val="none" w:sz="0" w:space="0" w:color="auto"/>
        <w:bottom w:val="none" w:sz="0" w:space="0" w:color="auto"/>
        <w:right w:val="none" w:sz="0" w:space="0" w:color="auto"/>
      </w:divBdr>
    </w:div>
    <w:div w:id="2005040462">
      <w:bodyDiv w:val="1"/>
      <w:marLeft w:val="0"/>
      <w:marRight w:val="0"/>
      <w:marTop w:val="0"/>
      <w:marBottom w:val="0"/>
      <w:divBdr>
        <w:top w:val="none" w:sz="0" w:space="0" w:color="auto"/>
        <w:left w:val="none" w:sz="0" w:space="0" w:color="auto"/>
        <w:bottom w:val="none" w:sz="0" w:space="0" w:color="auto"/>
        <w:right w:val="none" w:sz="0" w:space="0" w:color="auto"/>
      </w:divBdr>
    </w:div>
    <w:div w:id="2005089210">
      <w:bodyDiv w:val="1"/>
      <w:marLeft w:val="0"/>
      <w:marRight w:val="0"/>
      <w:marTop w:val="0"/>
      <w:marBottom w:val="0"/>
      <w:divBdr>
        <w:top w:val="none" w:sz="0" w:space="0" w:color="auto"/>
        <w:left w:val="none" w:sz="0" w:space="0" w:color="auto"/>
        <w:bottom w:val="none" w:sz="0" w:space="0" w:color="auto"/>
        <w:right w:val="none" w:sz="0" w:space="0" w:color="auto"/>
      </w:divBdr>
    </w:div>
    <w:div w:id="2005161567">
      <w:bodyDiv w:val="1"/>
      <w:marLeft w:val="0"/>
      <w:marRight w:val="0"/>
      <w:marTop w:val="0"/>
      <w:marBottom w:val="0"/>
      <w:divBdr>
        <w:top w:val="none" w:sz="0" w:space="0" w:color="auto"/>
        <w:left w:val="none" w:sz="0" w:space="0" w:color="auto"/>
        <w:bottom w:val="none" w:sz="0" w:space="0" w:color="auto"/>
        <w:right w:val="none" w:sz="0" w:space="0" w:color="auto"/>
      </w:divBdr>
    </w:div>
    <w:div w:id="2005276177">
      <w:bodyDiv w:val="1"/>
      <w:marLeft w:val="0"/>
      <w:marRight w:val="0"/>
      <w:marTop w:val="0"/>
      <w:marBottom w:val="0"/>
      <w:divBdr>
        <w:top w:val="none" w:sz="0" w:space="0" w:color="auto"/>
        <w:left w:val="none" w:sz="0" w:space="0" w:color="auto"/>
        <w:bottom w:val="none" w:sz="0" w:space="0" w:color="auto"/>
        <w:right w:val="none" w:sz="0" w:space="0" w:color="auto"/>
      </w:divBdr>
    </w:div>
    <w:div w:id="2005278730">
      <w:bodyDiv w:val="1"/>
      <w:marLeft w:val="0"/>
      <w:marRight w:val="0"/>
      <w:marTop w:val="0"/>
      <w:marBottom w:val="0"/>
      <w:divBdr>
        <w:top w:val="none" w:sz="0" w:space="0" w:color="auto"/>
        <w:left w:val="none" w:sz="0" w:space="0" w:color="auto"/>
        <w:bottom w:val="none" w:sz="0" w:space="0" w:color="auto"/>
        <w:right w:val="none" w:sz="0" w:space="0" w:color="auto"/>
      </w:divBdr>
    </w:div>
    <w:div w:id="2005431623">
      <w:bodyDiv w:val="1"/>
      <w:marLeft w:val="0"/>
      <w:marRight w:val="0"/>
      <w:marTop w:val="0"/>
      <w:marBottom w:val="0"/>
      <w:divBdr>
        <w:top w:val="none" w:sz="0" w:space="0" w:color="auto"/>
        <w:left w:val="none" w:sz="0" w:space="0" w:color="auto"/>
        <w:bottom w:val="none" w:sz="0" w:space="0" w:color="auto"/>
        <w:right w:val="none" w:sz="0" w:space="0" w:color="auto"/>
      </w:divBdr>
    </w:div>
    <w:div w:id="2005469272">
      <w:bodyDiv w:val="1"/>
      <w:marLeft w:val="0"/>
      <w:marRight w:val="0"/>
      <w:marTop w:val="0"/>
      <w:marBottom w:val="0"/>
      <w:divBdr>
        <w:top w:val="none" w:sz="0" w:space="0" w:color="auto"/>
        <w:left w:val="none" w:sz="0" w:space="0" w:color="auto"/>
        <w:bottom w:val="none" w:sz="0" w:space="0" w:color="auto"/>
        <w:right w:val="none" w:sz="0" w:space="0" w:color="auto"/>
      </w:divBdr>
    </w:div>
    <w:div w:id="2005544788">
      <w:bodyDiv w:val="1"/>
      <w:marLeft w:val="0"/>
      <w:marRight w:val="0"/>
      <w:marTop w:val="0"/>
      <w:marBottom w:val="0"/>
      <w:divBdr>
        <w:top w:val="none" w:sz="0" w:space="0" w:color="auto"/>
        <w:left w:val="none" w:sz="0" w:space="0" w:color="auto"/>
        <w:bottom w:val="none" w:sz="0" w:space="0" w:color="auto"/>
        <w:right w:val="none" w:sz="0" w:space="0" w:color="auto"/>
      </w:divBdr>
    </w:div>
    <w:div w:id="2005550693">
      <w:bodyDiv w:val="1"/>
      <w:marLeft w:val="0"/>
      <w:marRight w:val="0"/>
      <w:marTop w:val="0"/>
      <w:marBottom w:val="0"/>
      <w:divBdr>
        <w:top w:val="none" w:sz="0" w:space="0" w:color="auto"/>
        <w:left w:val="none" w:sz="0" w:space="0" w:color="auto"/>
        <w:bottom w:val="none" w:sz="0" w:space="0" w:color="auto"/>
        <w:right w:val="none" w:sz="0" w:space="0" w:color="auto"/>
      </w:divBdr>
    </w:div>
    <w:div w:id="2005620219">
      <w:bodyDiv w:val="1"/>
      <w:marLeft w:val="0"/>
      <w:marRight w:val="0"/>
      <w:marTop w:val="0"/>
      <w:marBottom w:val="0"/>
      <w:divBdr>
        <w:top w:val="none" w:sz="0" w:space="0" w:color="auto"/>
        <w:left w:val="none" w:sz="0" w:space="0" w:color="auto"/>
        <w:bottom w:val="none" w:sz="0" w:space="0" w:color="auto"/>
        <w:right w:val="none" w:sz="0" w:space="0" w:color="auto"/>
      </w:divBdr>
    </w:div>
    <w:div w:id="2005670046">
      <w:bodyDiv w:val="1"/>
      <w:marLeft w:val="0"/>
      <w:marRight w:val="0"/>
      <w:marTop w:val="0"/>
      <w:marBottom w:val="0"/>
      <w:divBdr>
        <w:top w:val="none" w:sz="0" w:space="0" w:color="auto"/>
        <w:left w:val="none" w:sz="0" w:space="0" w:color="auto"/>
        <w:bottom w:val="none" w:sz="0" w:space="0" w:color="auto"/>
        <w:right w:val="none" w:sz="0" w:space="0" w:color="auto"/>
      </w:divBdr>
    </w:div>
    <w:div w:id="2005736373">
      <w:bodyDiv w:val="1"/>
      <w:marLeft w:val="0"/>
      <w:marRight w:val="0"/>
      <w:marTop w:val="0"/>
      <w:marBottom w:val="0"/>
      <w:divBdr>
        <w:top w:val="none" w:sz="0" w:space="0" w:color="auto"/>
        <w:left w:val="none" w:sz="0" w:space="0" w:color="auto"/>
        <w:bottom w:val="none" w:sz="0" w:space="0" w:color="auto"/>
        <w:right w:val="none" w:sz="0" w:space="0" w:color="auto"/>
      </w:divBdr>
    </w:div>
    <w:div w:id="2005813702">
      <w:bodyDiv w:val="1"/>
      <w:marLeft w:val="0"/>
      <w:marRight w:val="0"/>
      <w:marTop w:val="0"/>
      <w:marBottom w:val="0"/>
      <w:divBdr>
        <w:top w:val="none" w:sz="0" w:space="0" w:color="auto"/>
        <w:left w:val="none" w:sz="0" w:space="0" w:color="auto"/>
        <w:bottom w:val="none" w:sz="0" w:space="0" w:color="auto"/>
        <w:right w:val="none" w:sz="0" w:space="0" w:color="auto"/>
      </w:divBdr>
    </w:div>
    <w:div w:id="2005819139">
      <w:bodyDiv w:val="1"/>
      <w:marLeft w:val="0"/>
      <w:marRight w:val="0"/>
      <w:marTop w:val="0"/>
      <w:marBottom w:val="0"/>
      <w:divBdr>
        <w:top w:val="none" w:sz="0" w:space="0" w:color="auto"/>
        <w:left w:val="none" w:sz="0" w:space="0" w:color="auto"/>
        <w:bottom w:val="none" w:sz="0" w:space="0" w:color="auto"/>
        <w:right w:val="none" w:sz="0" w:space="0" w:color="auto"/>
      </w:divBdr>
    </w:div>
    <w:div w:id="2005860853">
      <w:bodyDiv w:val="1"/>
      <w:marLeft w:val="0"/>
      <w:marRight w:val="0"/>
      <w:marTop w:val="0"/>
      <w:marBottom w:val="0"/>
      <w:divBdr>
        <w:top w:val="none" w:sz="0" w:space="0" w:color="auto"/>
        <w:left w:val="none" w:sz="0" w:space="0" w:color="auto"/>
        <w:bottom w:val="none" w:sz="0" w:space="0" w:color="auto"/>
        <w:right w:val="none" w:sz="0" w:space="0" w:color="auto"/>
      </w:divBdr>
    </w:div>
    <w:div w:id="2005861906">
      <w:bodyDiv w:val="1"/>
      <w:marLeft w:val="0"/>
      <w:marRight w:val="0"/>
      <w:marTop w:val="0"/>
      <w:marBottom w:val="0"/>
      <w:divBdr>
        <w:top w:val="none" w:sz="0" w:space="0" w:color="auto"/>
        <w:left w:val="none" w:sz="0" w:space="0" w:color="auto"/>
        <w:bottom w:val="none" w:sz="0" w:space="0" w:color="auto"/>
        <w:right w:val="none" w:sz="0" w:space="0" w:color="auto"/>
      </w:divBdr>
    </w:div>
    <w:div w:id="2005889348">
      <w:bodyDiv w:val="1"/>
      <w:marLeft w:val="0"/>
      <w:marRight w:val="0"/>
      <w:marTop w:val="0"/>
      <w:marBottom w:val="0"/>
      <w:divBdr>
        <w:top w:val="none" w:sz="0" w:space="0" w:color="auto"/>
        <w:left w:val="none" w:sz="0" w:space="0" w:color="auto"/>
        <w:bottom w:val="none" w:sz="0" w:space="0" w:color="auto"/>
        <w:right w:val="none" w:sz="0" w:space="0" w:color="auto"/>
      </w:divBdr>
    </w:div>
    <w:div w:id="2005929625">
      <w:bodyDiv w:val="1"/>
      <w:marLeft w:val="0"/>
      <w:marRight w:val="0"/>
      <w:marTop w:val="0"/>
      <w:marBottom w:val="0"/>
      <w:divBdr>
        <w:top w:val="none" w:sz="0" w:space="0" w:color="auto"/>
        <w:left w:val="none" w:sz="0" w:space="0" w:color="auto"/>
        <w:bottom w:val="none" w:sz="0" w:space="0" w:color="auto"/>
        <w:right w:val="none" w:sz="0" w:space="0" w:color="auto"/>
      </w:divBdr>
    </w:div>
    <w:div w:id="2006081168">
      <w:bodyDiv w:val="1"/>
      <w:marLeft w:val="0"/>
      <w:marRight w:val="0"/>
      <w:marTop w:val="0"/>
      <w:marBottom w:val="0"/>
      <w:divBdr>
        <w:top w:val="none" w:sz="0" w:space="0" w:color="auto"/>
        <w:left w:val="none" w:sz="0" w:space="0" w:color="auto"/>
        <w:bottom w:val="none" w:sz="0" w:space="0" w:color="auto"/>
        <w:right w:val="none" w:sz="0" w:space="0" w:color="auto"/>
      </w:divBdr>
    </w:div>
    <w:div w:id="2006084806">
      <w:bodyDiv w:val="1"/>
      <w:marLeft w:val="0"/>
      <w:marRight w:val="0"/>
      <w:marTop w:val="0"/>
      <w:marBottom w:val="0"/>
      <w:divBdr>
        <w:top w:val="none" w:sz="0" w:space="0" w:color="auto"/>
        <w:left w:val="none" w:sz="0" w:space="0" w:color="auto"/>
        <w:bottom w:val="none" w:sz="0" w:space="0" w:color="auto"/>
        <w:right w:val="none" w:sz="0" w:space="0" w:color="auto"/>
      </w:divBdr>
    </w:div>
    <w:div w:id="2006124107">
      <w:bodyDiv w:val="1"/>
      <w:marLeft w:val="0"/>
      <w:marRight w:val="0"/>
      <w:marTop w:val="0"/>
      <w:marBottom w:val="0"/>
      <w:divBdr>
        <w:top w:val="none" w:sz="0" w:space="0" w:color="auto"/>
        <w:left w:val="none" w:sz="0" w:space="0" w:color="auto"/>
        <w:bottom w:val="none" w:sz="0" w:space="0" w:color="auto"/>
        <w:right w:val="none" w:sz="0" w:space="0" w:color="auto"/>
      </w:divBdr>
    </w:div>
    <w:div w:id="2006205384">
      <w:bodyDiv w:val="1"/>
      <w:marLeft w:val="0"/>
      <w:marRight w:val="0"/>
      <w:marTop w:val="0"/>
      <w:marBottom w:val="0"/>
      <w:divBdr>
        <w:top w:val="none" w:sz="0" w:space="0" w:color="auto"/>
        <w:left w:val="none" w:sz="0" w:space="0" w:color="auto"/>
        <w:bottom w:val="none" w:sz="0" w:space="0" w:color="auto"/>
        <w:right w:val="none" w:sz="0" w:space="0" w:color="auto"/>
      </w:divBdr>
    </w:div>
    <w:div w:id="2006274761">
      <w:bodyDiv w:val="1"/>
      <w:marLeft w:val="0"/>
      <w:marRight w:val="0"/>
      <w:marTop w:val="0"/>
      <w:marBottom w:val="0"/>
      <w:divBdr>
        <w:top w:val="none" w:sz="0" w:space="0" w:color="auto"/>
        <w:left w:val="none" w:sz="0" w:space="0" w:color="auto"/>
        <w:bottom w:val="none" w:sz="0" w:space="0" w:color="auto"/>
        <w:right w:val="none" w:sz="0" w:space="0" w:color="auto"/>
      </w:divBdr>
    </w:div>
    <w:div w:id="2006396483">
      <w:bodyDiv w:val="1"/>
      <w:marLeft w:val="0"/>
      <w:marRight w:val="0"/>
      <w:marTop w:val="0"/>
      <w:marBottom w:val="0"/>
      <w:divBdr>
        <w:top w:val="none" w:sz="0" w:space="0" w:color="auto"/>
        <w:left w:val="none" w:sz="0" w:space="0" w:color="auto"/>
        <w:bottom w:val="none" w:sz="0" w:space="0" w:color="auto"/>
        <w:right w:val="none" w:sz="0" w:space="0" w:color="auto"/>
      </w:divBdr>
    </w:div>
    <w:div w:id="2006399569">
      <w:bodyDiv w:val="1"/>
      <w:marLeft w:val="0"/>
      <w:marRight w:val="0"/>
      <w:marTop w:val="0"/>
      <w:marBottom w:val="0"/>
      <w:divBdr>
        <w:top w:val="none" w:sz="0" w:space="0" w:color="auto"/>
        <w:left w:val="none" w:sz="0" w:space="0" w:color="auto"/>
        <w:bottom w:val="none" w:sz="0" w:space="0" w:color="auto"/>
        <w:right w:val="none" w:sz="0" w:space="0" w:color="auto"/>
      </w:divBdr>
    </w:div>
    <w:div w:id="2006737866">
      <w:bodyDiv w:val="1"/>
      <w:marLeft w:val="0"/>
      <w:marRight w:val="0"/>
      <w:marTop w:val="0"/>
      <w:marBottom w:val="0"/>
      <w:divBdr>
        <w:top w:val="none" w:sz="0" w:space="0" w:color="auto"/>
        <w:left w:val="none" w:sz="0" w:space="0" w:color="auto"/>
        <w:bottom w:val="none" w:sz="0" w:space="0" w:color="auto"/>
        <w:right w:val="none" w:sz="0" w:space="0" w:color="auto"/>
      </w:divBdr>
    </w:div>
    <w:div w:id="2006785349">
      <w:bodyDiv w:val="1"/>
      <w:marLeft w:val="0"/>
      <w:marRight w:val="0"/>
      <w:marTop w:val="0"/>
      <w:marBottom w:val="0"/>
      <w:divBdr>
        <w:top w:val="none" w:sz="0" w:space="0" w:color="auto"/>
        <w:left w:val="none" w:sz="0" w:space="0" w:color="auto"/>
        <w:bottom w:val="none" w:sz="0" w:space="0" w:color="auto"/>
        <w:right w:val="none" w:sz="0" w:space="0" w:color="auto"/>
      </w:divBdr>
    </w:div>
    <w:div w:id="2006860390">
      <w:bodyDiv w:val="1"/>
      <w:marLeft w:val="0"/>
      <w:marRight w:val="0"/>
      <w:marTop w:val="0"/>
      <w:marBottom w:val="0"/>
      <w:divBdr>
        <w:top w:val="none" w:sz="0" w:space="0" w:color="auto"/>
        <w:left w:val="none" w:sz="0" w:space="0" w:color="auto"/>
        <w:bottom w:val="none" w:sz="0" w:space="0" w:color="auto"/>
        <w:right w:val="none" w:sz="0" w:space="0" w:color="auto"/>
      </w:divBdr>
    </w:div>
    <w:div w:id="2006930005">
      <w:bodyDiv w:val="1"/>
      <w:marLeft w:val="0"/>
      <w:marRight w:val="0"/>
      <w:marTop w:val="0"/>
      <w:marBottom w:val="0"/>
      <w:divBdr>
        <w:top w:val="none" w:sz="0" w:space="0" w:color="auto"/>
        <w:left w:val="none" w:sz="0" w:space="0" w:color="auto"/>
        <w:bottom w:val="none" w:sz="0" w:space="0" w:color="auto"/>
        <w:right w:val="none" w:sz="0" w:space="0" w:color="auto"/>
      </w:divBdr>
    </w:div>
    <w:div w:id="2006932161">
      <w:bodyDiv w:val="1"/>
      <w:marLeft w:val="0"/>
      <w:marRight w:val="0"/>
      <w:marTop w:val="0"/>
      <w:marBottom w:val="0"/>
      <w:divBdr>
        <w:top w:val="none" w:sz="0" w:space="0" w:color="auto"/>
        <w:left w:val="none" w:sz="0" w:space="0" w:color="auto"/>
        <w:bottom w:val="none" w:sz="0" w:space="0" w:color="auto"/>
        <w:right w:val="none" w:sz="0" w:space="0" w:color="auto"/>
      </w:divBdr>
    </w:div>
    <w:div w:id="2006933499">
      <w:bodyDiv w:val="1"/>
      <w:marLeft w:val="0"/>
      <w:marRight w:val="0"/>
      <w:marTop w:val="0"/>
      <w:marBottom w:val="0"/>
      <w:divBdr>
        <w:top w:val="none" w:sz="0" w:space="0" w:color="auto"/>
        <w:left w:val="none" w:sz="0" w:space="0" w:color="auto"/>
        <w:bottom w:val="none" w:sz="0" w:space="0" w:color="auto"/>
        <w:right w:val="none" w:sz="0" w:space="0" w:color="auto"/>
      </w:divBdr>
    </w:div>
    <w:div w:id="2006933635">
      <w:bodyDiv w:val="1"/>
      <w:marLeft w:val="0"/>
      <w:marRight w:val="0"/>
      <w:marTop w:val="0"/>
      <w:marBottom w:val="0"/>
      <w:divBdr>
        <w:top w:val="none" w:sz="0" w:space="0" w:color="auto"/>
        <w:left w:val="none" w:sz="0" w:space="0" w:color="auto"/>
        <w:bottom w:val="none" w:sz="0" w:space="0" w:color="auto"/>
        <w:right w:val="none" w:sz="0" w:space="0" w:color="auto"/>
      </w:divBdr>
    </w:div>
    <w:div w:id="2007050056">
      <w:bodyDiv w:val="1"/>
      <w:marLeft w:val="0"/>
      <w:marRight w:val="0"/>
      <w:marTop w:val="0"/>
      <w:marBottom w:val="0"/>
      <w:divBdr>
        <w:top w:val="none" w:sz="0" w:space="0" w:color="auto"/>
        <w:left w:val="none" w:sz="0" w:space="0" w:color="auto"/>
        <w:bottom w:val="none" w:sz="0" w:space="0" w:color="auto"/>
        <w:right w:val="none" w:sz="0" w:space="0" w:color="auto"/>
      </w:divBdr>
    </w:div>
    <w:div w:id="2007050757">
      <w:bodyDiv w:val="1"/>
      <w:marLeft w:val="0"/>
      <w:marRight w:val="0"/>
      <w:marTop w:val="0"/>
      <w:marBottom w:val="0"/>
      <w:divBdr>
        <w:top w:val="none" w:sz="0" w:space="0" w:color="auto"/>
        <w:left w:val="none" w:sz="0" w:space="0" w:color="auto"/>
        <w:bottom w:val="none" w:sz="0" w:space="0" w:color="auto"/>
        <w:right w:val="none" w:sz="0" w:space="0" w:color="auto"/>
      </w:divBdr>
    </w:div>
    <w:div w:id="2007322989">
      <w:bodyDiv w:val="1"/>
      <w:marLeft w:val="0"/>
      <w:marRight w:val="0"/>
      <w:marTop w:val="0"/>
      <w:marBottom w:val="0"/>
      <w:divBdr>
        <w:top w:val="none" w:sz="0" w:space="0" w:color="auto"/>
        <w:left w:val="none" w:sz="0" w:space="0" w:color="auto"/>
        <w:bottom w:val="none" w:sz="0" w:space="0" w:color="auto"/>
        <w:right w:val="none" w:sz="0" w:space="0" w:color="auto"/>
      </w:divBdr>
    </w:div>
    <w:div w:id="2007398094">
      <w:bodyDiv w:val="1"/>
      <w:marLeft w:val="0"/>
      <w:marRight w:val="0"/>
      <w:marTop w:val="0"/>
      <w:marBottom w:val="0"/>
      <w:divBdr>
        <w:top w:val="none" w:sz="0" w:space="0" w:color="auto"/>
        <w:left w:val="none" w:sz="0" w:space="0" w:color="auto"/>
        <w:bottom w:val="none" w:sz="0" w:space="0" w:color="auto"/>
        <w:right w:val="none" w:sz="0" w:space="0" w:color="auto"/>
      </w:divBdr>
    </w:div>
    <w:div w:id="2007590775">
      <w:bodyDiv w:val="1"/>
      <w:marLeft w:val="0"/>
      <w:marRight w:val="0"/>
      <w:marTop w:val="0"/>
      <w:marBottom w:val="0"/>
      <w:divBdr>
        <w:top w:val="none" w:sz="0" w:space="0" w:color="auto"/>
        <w:left w:val="none" w:sz="0" w:space="0" w:color="auto"/>
        <w:bottom w:val="none" w:sz="0" w:space="0" w:color="auto"/>
        <w:right w:val="none" w:sz="0" w:space="0" w:color="auto"/>
      </w:divBdr>
    </w:div>
    <w:div w:id="2007630786">
      <w:bodyDiv w:val="1"/>
      <w:marLeft w:val="0"/>
      <w:marRight w:val="0"/>
      <w:marTop w:val="0"/>
      <w:marBottom w:val="0"/>
      <w:divBdr>
        <w:top w:val="none" w:sz="0" w:space="0" w:color="auto"/>
        <w:left w:val="none" w:sz="0" w:space="0" w:color="auto"/>
        <w:bottom w:val="none" w:sz="0" w:space="0" w:color="auto"/>
        <w:right w:val="none" w:sz="0" w:space="0" w:color="auto"/>
      </w:divBdr>
    </w:div>
    <w:div w:id="2007633510">
      <w:bodyDiv w:val="1"/>
      <w:marLeft w:val="0"/>
      <w:marRight w:val="0"/>
      <w:marTop w:val="0"/>
      <w:marBottom w:val="0"/>
      <w:divBdr>
        <w:top w:val="none" w:sz="0" w:space="0" w:color="auto"/>
        <w:left w:val="none" w:sz="0" w:space="0" w:color="auto"/>
        <w:bottom w:val="none" w:sz="0" w:space="0" w:color="auto"/>
        <w:right w:val="none" w:sz="0" w:space="0" w:color="auto"/>
      </w:divBdr>
    </w:div>
    <w:div w:id="2007661763">
      <w:bodyDiv w:val="1"/>
      <w:marLeft w:val="0"/>
      <w:marRight w:val="0"/>
      <w:marTop w:val="0"/>
      <w:marBottom w:val="0"/>
      <w:divBdr>
        <w:top w:val="none" w:sz="0" w:space="0" w:color="auto"/>
        <w:left w:val="none" w:sz="0" w:space="0" w:color="auto"/>
        <w:bottom w:val="none" w:sz="0" w:space="0" w:color="auto"/>
        <w:right w:val="none" w:sz="0" w:space="0" w:color="auto"/>
      </w:divBdr>
    </w:div>
    <w:div w:id="2007783019">
      <w:bodyDiv w:val="1"/>
      <w:marLeft w:val="0"/>
      <w:marRight w:val="0"/>
      <w:marTop w:val="0"/>
      <w:marBottom w:val="0"/>
      <w:divBdr>
        <w:top w:val="none" w:sz="0" w:space="0" w:color="auto"/>
        <w:left w:val="none" w:sz="0" w:space="0" w:color="auto"/>
        <w:bottom w:val="none" w:sz="0" w:space="0" w:color="auto"/>
        <w:right w:val="none" w:sz="0" w:space="0" w:color="auto"/>
      </w:divBdr>
    </w:div>
    <w:div w:id="2007855362">
      <w:bodyDiv w:val="1"/>
      <w:marLeft w:val="0"/>
      <w:marRight w:val="0"/>
      <w:marTop w:val="0"/>
      <w:marBottom w:val="0"/>
      <w:divBdr>
        <w:top w:val="none" w:sz="0" w:space="0" w:color="auto"/>
        <w:left w:val="none" w:sz="0" w:space="0" w:color="auto"/>
        <w:bottom w:val="none" w:sz="0" w:space="0" w:color="auto"/>
        <w:right w:val="none" w:sz="0" w:space="0" w:color="auto"/>
      </w:divBdr>
    </w:div>
    <w:div w:id="2007903992">
      <w:bodyDiv w:val="1"/>
      <w:marLeft w:val="0"/>
      <w:marRight w:val="0"/>
      <w:marTop w:val="0"/>
      <w:marBottom w:val="0"/>
      <w:divBdr>
        <w:top w:val="none" w:sz="0" w:space="0" w:color="auto"/>
        <w:left w:val="none" w:sz="0" w:space="0" w:color="auto"/>
        <w:bottom w:val="none" w:sz="0" w:space="0" w:color="auto"/>
        <w:right w:val="none" w:sz="0" w:space="0" w:color="auto"/>
      </w:divBdr>
    </w:div>
    <w:div w:id="2007904902">
      <w:bodyDiv w:val="1"/>
      <w:marLeft w:val="0"/>
      <w:marRight w:val="0"/>
      <w:marTop w:val="0"/>
      <w:marBottom w:val="0"/>
      <w:divBdr>
        <w:top w:val="none" w:sz="0" w:space="0" w:color="auto"/>
        <w:left w:val="none" w:sz="0" w:space="0" w:color="auto"/>
        <w:bottom w:val="none" w:sz="0" w:space="0" w:color="auto"/>
        <w:right w:val="none" w:sz="0" w:space="0" w:color="auto"/>
      </w:divBdr>
    </w:div>
    <w:div w:id="2008049353">
      <w:bodyDiv w:val="1"/>
      <w:marLeft w:val="0"/>
      <w:marRight w:val="0"/>
      <w:marTop w:val="0"/>
      <w:marBottom w:val="0"/>
      <w:divBdr>
        <w:top w:val="none" w:sz="0" w:space="0" w:color="auto"/>
        <w:left w:val="none" w:sz="0" w:space="0" w:color="auto"/>
        <w:bottom w:val="none" w:sz="0" w:space="0" w:color="auto"/>
        <w:right w:val="none" w:sz="0" w:space="0" w:color="auto"/>
      </w:divBdr>
    </w:div>
    <w:div w:id="2008051496">
      <w:bodyDiv w:val="1"/>
      <w:marLeft w:val="0"/>
      <w:marRight w:val="0"/>
      <w:marTop w:val="0"/>
      <w:marBottom w:val="0"/>
      <w:divBdr>
        <w:top w:val="none" w:sz="0" w:space="0" w:color="auto"/>
        <w:left w:val="none" w:sz="0" w:space="0" w:color="auto"/>
        <w:bottom w:val="none" w:sz="0" w:space="0" w:color="auto"/>
        <w:right w:val="none" w:sz="0" w:space="0" w:color="auto"/>
      </w:divBdr>
    </w:div>
    <w:div w:id="2008092768">
      <w:bodyDiv w:val="1"/>
      <w:marLeft w:val="0"/>
      <w:marRight w:val="0"/>
      <w:marTop w:val="0"/>
      <w:marBottom w:val="0"/>
      <w:divBdr>
        <w:top w:val="none" w:sz="0" w:space="0" w:color="auto"/>
        <w:left w:val="none" w:sz="0" w:space="0" w:color="auto"/>
        <w:bottom w:val="none" w:sz="0" w:space="0" w:color="auto"/>
        <w:right w:val="none" w:sz="0" w:space="0" w:color="auto"/>
      </w:divBdr>
    </w:div>
    <w:div w:id="2008172247">
      <w:bodyDiv w:val="1"/>
      <w:marLeft w:val="0"/>
      <w:marRight w:val="0"/>
      <w:marTop w:val="0"/>
      <w:marBottom w:val="0"/>
      <w:divBdr>
        <w:top w:val="none" w:sz="0" w:space="0" w:color="auto"/>
        <w:left w:val="none" w:sz="0" w:space="0" w:color="auto"/>
        <w:bottom w:val="none" w:sz="0" w:space="0" w:color="auto"/>
        <w:right w:val="none" w:sz="0" w:space="0" w:color="auto"/>
      </w:divBdr>
    </w:div>
    <w:div w:id="2008432737">
      <w:bodyDiv w:val="1"/>
      <w:marLeft w:val="0"/>
      <w:marRight w:val="0"/>
      <w:marTop w:val="0"/>
      <w:marBottom w:val="0"/>
      <w:divBdr>
        <w:top w:val="none" w:sz="0" w:space="0" w:color="auto"/>
        <w:left w:val="none" w:sz="0" w:space="0" w:color="auto"/>
        <w:bottom w:val="none" w:sz="0" w:space="0" w:color="auto"/>
        <w:right w:val="none" w:sz="0" w:space="0" w:color="auto"/>
      </w:divBdr>
    </w:div>
    <w:div w:id="2008434615">
      <w:bodyDiv w:val="1"/>
      <w:marLeft w:val="0"/>
      <w:marRight w:val="0"/>
      <w:marTop w:val="0"/>
      <w:marBottom w:val="0"/>
      <w:divBdr>
        <w:top w:val="none" w:sz="0" w:space="0" w:color="auto"/>
        <w:left w:val="none" w:sz="0" w:space="0" w:color="auto"/>
        <w:bottom w:val="none" w:sz="0" w:space="0" w:color="auto"/>
        <w:right w:val="none" w:sz="0" w:space="0" w:color="auto"/>
      </w:divBdr>
    </w:div>
    <w:div w:id="2008484294">
      <w:bodyDiv w:val="1"/>
      <w:marLeft w:val="0"/>
      <w:marRight w:val="0"/>
      <w:marTop w:val="0"/>
      <w:marBottom w:val="0"/>
      <w:divBdr>
        <w:top w:val="none" w:sz="0" w:space="0" w:color="auto"/>
        <w:left w:val="none" w:sz="0" w:space="0" w:color="auto"/>
        <w:bottom w:val="none" w:sz="0" w:space="0" w:color="auto"/>
        <w:right w:val="none" w:sz="0" w:space="0" w:color="auto"/>
      </w:divBdr>
    </w:div>
    <w:div w:id="2008513027">
      <w:bodyDiv w:val="1"/>
      <w:marLeft w:val="0"/>
      <w:marRight w:val="0"/>
      <w:marTop w:val="0"/>
      <w:marBottom w:val="0"/>
      <w:divBdr>
        <w:top w:val="none" w:sz="0" w:space="0" w:color="auto"/>
        <w:left w:val="none" w:sz="0" w:space="0" w:color="auto"/>
        <w:bottom w:val="none" w:sz="0" w:space="0" w:color="auto"/>
        <w:right w:val="none" w:sz="0" w:space="0" w:color="auto"/>
      </w:divBdr>
    </w:div>
    <w:div w:id="2008552220">
      <w:bodyDiv w:val="1"/>
      <w:marLeft w:val="0"/>
      <w:marRight w:val="0"/>
      <w:marTop w:val="0"/>
      <w:marBottom w:val="0"/>
      <w:divBdr>
        <w:top w:val="none" w:sz="0" w:space="0" w:color="auto"/>
        <w:left w:val="none" w:sz="0" w:space="0" w:color="auto"/>
        <w:bottom w:val="none" w:sz="0" w:space="0" w:color="auto"/>
        <w:right w:val="none" w:sz="0" w:space="0" w:color="auto"/>
      </w:divBdr>
    </w:div>
    <w:div w:id="2008553983">
      <w:bodyDiv w:val="1"/>
      <w:marLeft w:val="0"/>
      <w:marRight w:val="0"/>
      <w:marTop w:val="0"/>
      <w:marBottom w:val="0"/>
      <w:divBdr>
        <w:top w:val="none" w:sz="0" w:space="0" w:color="auto"/>
        <w:left w:val="none" w:sz="0" w:space="0" w:color="auto"/>
        <w:bottom w:val="none" w:sz="0" w:space="0" w:color="auto"/>
        <w:right w:val="none" w:sz="0" w:space="0" w:color="auto"/>
      </w:divBdr>
    </w:div>
    <w:div w:id="2008627780">
      <w:bodyDiv w:val="1"/>
      <w:marLeft w:val="0"/>
      <w:marRight w:val="0"/>
      <w:marTop w:val="0"/>
      <w:marBottom w:val="0"/>
      <w:divBdr>
        <w:top w:val="none" w:sz="0" w:space="0" w:color="auto"/>
        <w:left w:val="none" w:sz="0" w:space="0" w:color="auto"/>
        <w:bottom w:val="none" w:sz="0" w:space="0" w:color="auto"/>
        <w:right w:val="none" w:sz="0" w:space="0" w:color="auto"/>
      </w:divBdr>
    </w:div>
    <w:div w:id="2008702385">
      <w:bodyDiv w:val="1"/>
      <w:marLeft w:val="0"/>
      <w:marRight w:val="0"/>
      <w:marTop w:val="0"/>
      <w:marBottom w:val="0"/>
      <w:divBdr>
        <w:top w:val="none" w:sz="0" w:space="0" w:color="auto"/>
        <w:left w:val="none" w:sz="0" w:space="0" w:color="auto"/>
        <w:bottom w:val="none" w:sz="0" w:space="0" w:color="auto"/>
        <w:right w:val="none" w:sz="0" w:space="0" w:color="auto"/>
      </w:divBdr>
    </w:div>
    <w:div w:id="2008824999">
      <w:bodyDiv w:val="1"/>
      <w:marLeft w:val="0"/>
      <w:marRight w:val="0"/>
      <w:marTop w:val="0"/>
      <w:marBottom w:val="0"/>
      <w:divBdr>
        <w:top w:val="none" w:sz="0" w:space="0" w:color="auto"/>
        <w:left w:val="none" w:sz="0" w:space="0" w:color="auto"/>
        <w:bottom w:val="none" w:sz="0" w:space="0" w:color="auto"/>
        <w:right w:val="none" w:sz="0" w:space="0" w:color="auto"/>
      </w:divBdr>
    </w:div>
    <w:div w:id="2008827771">
      <w:bodyDiv w:val="1"/>
      <w:marLeft w:val="0"/>
      <w:marRight w:val="0"/>
      <w:marTop w:val="0"/>
      <w:marBottom w:val="0"/>
      <w:divBdr>
        <w:top w:val="none" w:sz="0" w:space="0" w:color="auto"/>
        <w:left w:val="none" w:sz="0" w:space="0" w:color="auto"/>
        <w:bottom w:val="none" w:sz="0" w:space="0" w:color="auto"/>
        <w:right w:val="none" w:sz="0" w:space="0" w:color="auto"/>
      </w:divBdr>
    </w:div>
    <w:div w:id="2008943827">
      <w:bodyDiv w:val="1"/>
      <w:marLeft w:val="0"/>
      <w:marRight w:val="0"/>
      <w:marTop w:val="0"/>
      <w:marBottom w:val="0"/>
      <w:divBdr>
        <w:top w:val="none" w:sz="0" w:space="0" w:color="auto"/>
        <w:left w:val="none" w:sz="0" w:space="0" w:color="auto"/>
        <w:bottom w:val="none" w:sz="0" w:space="0" w:color="auto"/>
        <w:right w:val="none" w:sz="0" w:space="0" w:color="auto"/>
      </w:divBdr>
    </w:div>
    <w:div w:id="2008945740">
      <w:bodyDiv w:val="1"/>
      <w:marLeft w:val="0"/>
      <w:marRight w:val="0"/>
      <w:marTop w:val="0"/>
      <w:marBottom w:val="0"/>
      <w:divBdr>
        <w:top w:val="none" w:sz="0" w:space="0" w:color="auto"/>
        <w:left w:val="none" w:sz="0" w:space="0" w:color="auto"/>
        <w:bottom w:val="none" w:sz="0" w:space="0" w:color="auto"/>
        <w:right w:val="none" w:sz="0" w:space="0" w:color="auto"/>
      </w:divBdr>
    </w:div>
    <w:div w:id="2008972232">
      <w:bodyDiv w:val="1"/>
      <w:marLeft w:val="0"/>
      <w:marRight w:val="0"/>
      <w:marTop w:val="0"/>
      <w:marBottom w:val="0"/>
      <w:divBdr>
        <w:top w:val="none" w:sz="0" w:space="0" w:color="auto"/>
        <w:left w:val="none" w:sz="0" w:space="0" w:color="auto"/>
        <w:bottom w:val="none" w:sz="0" w:space="0" w:color="auto"/>
        <w:right w:val="none" w:sz="0" w:space="0" w:color="auto"/>
      </w:divBdr>
    </w:div>
    <w:div w:id="2009015486">
      <w:bodyDiv w:val="1"/>
      <w:marLeft w:val="0"/>
      <w:marRight w:val="0"/>
      <w:marTop w:val="0"/>
      <w:marBottom w:val="0"/>
      <w:divBdr>
        <w:top w:val="none" w:sz="0" w:space="0" w:color="auto"/>
        <w:left w:val="none" w:sz="0" w:space="0" w:color="auto"/>
        <w:bottom w:val="none" w:sz="0" w:space="0" w:color="auto"/>
        <w:right w:val="none" w:sz="0" w:space="0" w:color="auto"/>
      </w:divBdr>
    </w:div>
    <w:div w:id="2009094083">
      <w:bodyDiv w:val="1"/>
      <w:marLeft w:val="0"/>
      <w:marRight w:val="0"/>
      <w:marTop w:val="0"/>
      <w:marBottom w:val="0"/>
      <w:divBdr>
        <w:top w:val="none" w:sz="0" w:space="0" w:color="auto"/>
        <w:left w:val="none" w:sz="0" w:space="0" w:color="auto"/>
        <w:bottom w:val="none" w:sz="0" w:space="0" w:color="auto"/>
        <w:right w:val="none" w:sz="0" w:space="0" w:color="auto"/>
      </w:divBdr>
    </w:div>
    <w:div w:id="2009169898">
      <w:bodyDiv w:val="1"/>
      <w:marLeft w:val="0"/>
      <w:marRight w:val="0"/>
      <w:marTop w:val="0"/>
      <w:marBottom w:val="0"/>
      <w:divBdr>
        <w:top w:val="none" w:sz="0" w:space="0" w:color="auto"/>
        <w:left w:val="none" w:sz="0" w:space="0" w:color="auto"/>
        <w:bottom w:val="none" w:sz="0" w:space="0" w:color="auto"/>
        <w:right w:val="none" w:sz="0" w:space="0" w:color="auto"/>
      </w:divBdr>
    </w:div>
    <w:div w:id="2009211105">
      <w:bodyDiv w:val="1"/>
      <w:marLeft w:val="0"/>
      <w:marRight w:val="0"/>
      <w:marTop w:val="0"/>
      <w:marBottom w:val="0"/>
      <w:divBdr>
        <w:top w:val="none" w:sz="0" w:space="0" w:color="auto"/>
        <w:left w:val="none" w:sz="0" w:space="0" w:color="auto"/>
        <w:bottom w:val="none" w:sz="0" w:space="0" w:color="auto"/>
        <w:right w:val="none" w:sz="0" w:space="0" w:color="auto"/>
      </w:divBdr>
    </w:div>
    <w:div w:id="2009287547">
      <w:bodyDiv w:val="1"/>
      <w:marLeft w:val="0"/>
      <w:marRight w:val="0"/>
      <w:marTop w:val="0"/>
      <w:marBottom w:val="0"/>
      <w:divBdr>
        <w:top w:val="none" w:sz="0" w:space="0" w:color="auto"/>
        <w:left w:val="none" w:sz="0" w:space="0" w:color="auto"/>
        <w:bottom w:val="none" w:sz="0" w:space="0" w:color="auto"/>
        <w:right w:val="none" w:sz="0" w:space="0" w:color="auto"/>
      </w:divBdr>
    </w:div>
    <w:div w:id="2009400135">
      <w:bodyDiv w:val="1"/>
      <w:marLeft w:val="0"/>
      <w:marRight w:val="0"/>
      <w:marTop w:val="0"/>
      <w:marBottom w:val="0"/>
      <w:divBdr>
        <w:top w:val="none" w:sz="0" w:space="0" w:color="auto"/>
        <w:left w:val="none" w:sz="0" w:space="0" w:color="auto"/>
        <w:bottom w:val="none" w:sz="0" w:space="0" w:color="auto"/>
        <w:right w:val="none" w:sz="0" w:space="0" w:color="auto"/>
      </w:divBdr>
    </w:div>
    <w:div w:id="2009401904">
      <w:bodyDiv w:val="1"/>
      <w:marLeft w:val="0"/>
      <w:marRight w:val="0"/>
      <w:marTop w:val="0"/>
      <w:marBottom w:val="0"/>
      <w:divBdr>
        <w:top w:val="none" w:sz="0" w:space="0" w:color="auto"/>
        <w:left w:val="none" w:sz="0" w:space="0" w:color="auto"/>
        <w:bottom w:val="none" w:sz="0" w:space="0" w:color="auto"/>
        <w:right w:val="none" w:sz="0" w:space="0" w:color="auto"/>
      </w:divBdr>
    </w:div>
    <w:div w:id="2009478135">
      <w:bodyDiv w:val="1"/>
      <w:marLeft w:val="0"/>
      <w:marRight w:val="0"/>
      <w:marTop w:val="0"/>
      <w:marBottom w:val="0"/>
      <w:divBdr>
        <w:top w:val="none" w:sz="0" w:space="0" w:color="auto"/>
        <w:left w:val="none" w:sz="0" w:space="0" w:color="auto"/>
        <w:bottom w:val="none" w:sz="0" w:space="0" w:color="auto"/>
        <w:right w:val="none" w:sz="0" w:space="0" w:color="auto"/>
      </w:divBdr>
    </w:div>
    <w:div w:id="2009794307">
      <w:bodyDiv w:val="1"/>
      <w:marLeft w:val="0"/>
      <w:marRight w:val="0"/>
      <w:marTop w:val="0"/>
      <w:marBottom w:val="0"/>
      <w:divBdr>
        <w:top w:val="none" w:sz="0" w:space="0" w:color="auto"/>
        <w:left w:val="none" w:sz="0" w:space="0" w:color="auto"/>
        <w:bottom w:val="none" w:sz="0" w:space="0" w:color="auto"/>
        <w:right w:val="none" w:sz="0" w:space="0" w:color="auto"/>
      </w:divBdr>
    </w:div>
    <w:div w:id="2009794761">
      <w:bodyDiv w:val="1"/>
      <w:marLeft w:val="0"/>
      <w:marRight w:val="0"/>
      <w:marTop w:val="0"/>
      <w:marBottom w:val="0"/>
      <w:divBdr>
        <w:top w:val="none" w:sz="0" w:space="0" w:color="auto"/>
        <w:left w:val="none" w:sz="0" w:space="0" w:color="auto"/>
        <w:bottom w:val="none" w:sz="0" w:space="0" w:color="auto"/>
        <w:right w:val="none" w:sz="0" w:space="0" w:color="auto"/>
      </w:divBdr>
    </w:div>
    <w:div w:id="2009795507">
      <w:bodyDiv w:val="1"/>
      <w:marLeft w:val="0"/>
      <w:marRight w:val="0"/>
      <w:marTop w:val="0"/>
      <w:marBottom w:val="0"/>
      <w:divBdr>
        <w:top w:val="none" w:sz="0" w:space="0" w:color="auto"/>
        <w:left w:val="none" w:sz="0" w:space="0" w:color="auto"/>
        <w:bottom w:val="none" w:sz="0" w:space="0" w:color="auto"/>
        <w:right w:val="none" w:sz="0" w:space="0" w:color="auto"/>
      </w:divBdr>
    </w:div>
    <w:div w:id="2009939221">
      <w:bodyDiv w:val="1"/>
      <w:marLeft w:val="0"/>
      <w:marRight w:val="0"/>
      <w:marTop w:val="0"/>
      <w:marBottom w:val="0"/>
      <w:divBdr>
        <w:top w:val="none" w:sz="0" w:space="0" w:color="auto"/>
        <w:left w:val="none" w:sz="0" w:space="0" w:color="auto"/>
        <w:bottom w:val="none" w:sz="0" w:space="0" w:color="auto"/>
        <w:right w:val="none" w:sz="0" w:space="0" w:color="auto"/>
      </w:divBdr>
    </w:div>
    <w:div w:id="2009939854">
      <w:bodyDiv w:val="1"/>
      <w:marLeft w:val="0"/>
      <w:marRight w:val="0"/>
      <w:marTop w:val="0"/>
      <w:marBottom w:val="0"/>
      <w:divBdr>
        <w:top w:val="none" w:sz="0" w:space="0" w:color="auto"/>
        <w:left w:val="none" w:sz="0" w:space="0" w:color="auto"/>
        <w:bottom w:val="none" w:sz="0" w:space="0" w:color="auto"/>
        <w:right w:val="none" w:sz="0" w:space="0" w:color="auto"/>
      </w:divBdr>
    </w:div>
    <w:div w:id="2010015269">
      <w:bodyDiv w:val="1"/>
      <w:marLeft w:val="0"/>
      <w:marRight w:val="0"/>
      <w:marTop w:val="0"/>
      <w:marBottom w:val="0"/>
      <w:divBdr>
        <w:top w:val="none" w:sz="0" w:space="0" w:color="auto"/>
        <w:left w:val="none" w:sz="0" w:space="0" w:color="auto"/>
        <w:bottom w:val="none" w:sz="0" w:space="0" w:color="auto"/>
        <w:right w:val="none" w:sz="0" w:space="0" w:color="auto"/>
      </w:divBdr>
    </w:div>
    <w:div w:id="2010017088">
      <w:bodyDiv w:val="1"/>
      <w:marLeft w:val="0"/>
      <w:marRight w:val="0"/>
      <w:marTop w:val="0"/>
      <w:marBottom w:val="0"/>
      <w:divBdr>
        <w:top w:val="none" w:sz="0" w:space="0" w:color="auto"/>
        <w:left w:val="none" w:sz="0" w:space="0" w:color="auto"/>
        <w:bottom w:val="none" w:sz="0" w:space="0" w:color="auto"/>
        <w:right w:val="none" w:sz="0" w:space="0" w:color="auto"/>
      </w:divBdr>
    </w:div>
    <w:div w:id="2010017448">
      <w:bodyDiv w:val="1"/>
      <w:marLeft w:val="0"/>
      <w:marRight w:val="0"/>
      <w:marTop w:val="0"/>
      <w:marBottom w:val="0"/>
      <w:divBdr>
        <w:top w:val="none" w:sz="0" w:space="0" w:color="auto"/>
        <w:left w:val="none" w:sz="0" w:space="0" w:color="auto"/>
        <w:bottom w:val="none" w:sz="0" w:space="0" w:color="auto"/>
        <w:right w:val="none" w:sz="0" w:space="0" w:color="auto"/>
      </w:divBdr>
    </w:div>
    <w:div w:id="2010018987">
      <w:bodyDiv w:val="1"/>
      <w:marLeft w:val="0"/>
      <w:marRight w:val="0"/>
      <w:marTop w:val="0"/>
      <w:marBottom w:val="0"/>
      <w:divBdr>
        <w:top w:val="none" w:sz="0" w:space="0" w:color="auto"/>
        <w:left w:val="none" w:sz="0" w:space="0" w:color="auto"/>
        <w:bottom w:val="none" w:sz="0" w:space="0" w:color="auto"/>
        <w:right w:val="none" w:sz="0" w:space="0" w:color="auto"/>
      </w:divBdr>
    </w:div>
    <w:div w:id="2010058902">
      <w:bodyDiv w:val="1"/>
      <w:marLeft w:val="0"/>
      <w:marRight w:val="0"/>
      <w:marTop w:val="0"/>
      <w:marBottom w:val="0"/>
      <w:divBdr>
        <w:top w:val="none" w:sz="0" w:space="0" w:color="auto"/>
        <w:left w:val="none" w:sz="0" w:space="0" w:color="auto"/>
        <w:bottom w:val="none" w:sz="0" w:space="0" w:color="auto"/>
        <w:right w:val="none" w:sz="0" w:space="0" w:color="auto"/>
      </w:divBdr>
    </w:div>
    <w:div w:id="2010211940">
      <w:bodyDiv w:val="1"/>
      <w:marLeft w:val="0"/>
      <w:marRight w:val="0"/>
      <w:marTop w:val="0"/>
      <w:marBottom w:val="0"/>
      <w:divBdr>
        <w:top w:val="none" w:sz="0" w:space="0" w:color="auto"/>
        <w:left w:val="none" w:sz="0" w:space="0" w:color="auto"/>
        <w:bottom w:val="none" w:sz="0" w:space="0" w:color="auto"/>
        <w:right w:val="none" w:sz="0" w:space="0" w:color="auto"/>
      </w:divBdr>
    </w:div>
    <w:div w:id="2010212993">
      <w:bodyDiv w:val="1"/>
      <w:marLeft w:val="0"/>
      <w:marRight w:val="0"/>
      <w:marTop w:val="0"/>
      <w:marBottom w:val="0"/>
      <w:divBdr>
        <w:top w:val="none" w:sz="0" w:space="0" w:color="auto"/>
        <w:left w:val="none" w:sz="0" w:space="0" w:color="auto"/>
        <w:bottom w:val="none" w:sz="0" w:space="0" w:color="auto"/>
        <w:right w:val="none" w:sz="0" w:space="0" w:color="auto"/>
      </w:divBdr>
    </w:div>
    <w:div w:id="2010327208">
      <w:bodyDiv w:val="1"/>
      <w:marLeft w:val="0"/>
      <w:marRight w:val="0"/>
      <w:marTop w:val="0"/>
      <w:marBottom w:val="0"/>
      <w:divBdr>
        <w:top w:val="none" w:sz="0" w:space="0" w:color="auto"/>
        <w:left w:val="none" w:sz="0" w:space="0" w:color="auto"/>
        <w:bottom w:val="none" w:sz="0" w:space="0" w:color="auto"/>
        <w:right w:val="none" w:sz="0" w:space="0" w:color="auto"/>
      </w:divBdr>
    </w:div>
    <w:div w:id="2010403950">
      <w:bodyDiv w:val="1"/>
      <w:marLeft w:val="0"/>
      <w:marRight w:val="0"/>
      <w:marTop w:val="0"/>
      <w:marBottom w:val="0"/>
      <w:divBdr>
        <w:top w:val="none" w:sz="0" w:space="0" w:color="auto"/>
        <w:left w:val="none" w:sz="0" w:space="0" w:color="auto"/>
        <w:bottom w:val="none" w:sz="0" w:space="0" w:color="auto"/>
        <w:right w:val="none" w:sz="0" w:space="0" w:color="auto"/>
      </w:divBdr>
    </w:div>
    <w:div w:id="2010480020">
      <w:bodyDiv w:val="1"/>
      <w:marLeft w:val="0"/>
      <w:marRight w:val="0"/>
      <w:marTop w:val="0"/>
      <w:marBottom w:val="0"/>
      <w:divBdr>
        <w:top w:val="none" w:sz="0" w:space="0" w:color="auto"/>
        <w:left w:val="none" w:sz="0" w:space="0" w:color="auto"/>
        <w:bottom w:val="none" w:sz="0" w:space="0" w:color="auto"/>
        <w:right w:val="none" w:sz="0" w:space="0" w:color="auto"/>
      </w:divBdr>
    </w:div>
    <w:div w:id="2010519002">
      <w:bodyDiv w:val="1"/>
      <w:marLeft w:val="0"/>
      <w:marRight w:val="0"/>
      <w:marTop w:val="0"/>
      <w:marBottom w:val="0"/>
      <w:divBdr>
        <w:top w:val="none" w:sz="0" w:space="0" w:color="auto"/>
        <w:left w:val="none" w:sz="0" w:space="0" w:color="auto"/>
        <w:bottom w:val="none" w:sz="0" w:space="0" w:color="auto"/>
        <w:right w:val="none" w:sz="0" w:space="0" w:color="auto"/>
      </w:divBdr>
    </w:div>
    <w:div w:id="2010525858">
      <w:bodyDiv w:val="1"/>
      <w:marLeft w:val="0"/>
      <w:marRight w:val="0"/>
      <w:marTop w:val="0"/>
      <w:marBottom w:val="0"/>
      <w:divBdr>
        <w:top w:val="none" w:sz="0" w:space="0" w:color="auto"/>
        <w:left w:val="none" w:sz="0" w:space="0" w:color="auto"/>
        <w:bottom w:val="none" w:sz="0" w:space="0" w:color="auto"/>
        <w:right w:val="none" w:sz="0" w:space="0" w:color="auto"/>
      </w:divBdr>
    </w:div>
    <w:div w:id="2010675585">
      <w:bodyDiv w:val="1"/>
      <w:marLeft w:val="0"/>
      <w:marRight w:val="0"/>
      <w:marTop w:val="0"/>
      <w:marBottom w:val="0"/>
      <w:divBdr>
        <w:top w:val="none" w:sz="0" w:space="0" w:color="auto"/>
        <w:left w:val="none" w:sz="0" w:space="0" w:color="auto"/>
        <w:bottom w:val="none" w:sz="0" w:space="0" w:color="auto"/>
        <w:right w:val="none" w:sz="0" w:space="0" w:color="auto"/>
      </w:divBdr>
    </w:div>
    <w:div w:id="2011247666">
      <w:bodyDiv w:val="1"/>
      <w:marLeft w:val="0"/>
      <w:marRight w:val="0"/>
      <w:marTop w:val="0"/>
      <w:marBottom w:val="0"/>
      <w:divBdr>
        <w:top w:val="none" w:sz="0" w:space="0" w:color="auto"/>
        <w:left w:val="none" w:sz="0" w:space="0" w:color="auto"/>
        <w:bottom w:val="none" w:sz="0" w:space="0" w:color="auto"/>
        <w:right w:val="none" w:sz="0" w:space="0" w:color="auto"/>
      </w:divBdr>
    </w:div>
    <w:div w:id="2011247711">
      <w:bodyDiv w:val="1"/>
      <w:marLeft w:val="0"/>
      <w:marRight w:val="0"/>
      <w:marTop w:val="0"/>
      <w:marBottom w:val="0"/>
      <w:divBdr>
        <w:top w:val="none" w:sz="0" w:space="0" w:color="auto"/>
        <w:left w:val="none" w:sz="0" w:space="0" w:color="auto"/>
        <w:bottom w:val="none" w:sz="0" w:space="0" w:color="auto"/>
        <w:right w:val="none" w:sz="0" w:space="0" w:color="auto"/>
      </w:divBdr>
    </w:div>
    <w:div w:id="2011323403">
      <w:bodyDiv w:val="1"/>
      <w:marLeft w:val="0"/>
      <w:marRight w:val="0"/>
      <w:marTop w:val="0"/>
      <w:marBottom w:val="0"/>
      <w:divBdr>
        <w:top w:val="none" w:sz="0" w:space="0" w:color="auto"/>
        <w:left w:val="none" w:sz="0" w:space="0" w:color="auto"/>
        <w:bottom w:val="none" w:sz="0" w:space="0" w:color="auto"/>
        <w:right w:val="none" w:sz="0" w:space="0" w:color="auto"/>
      </w:divBdr>
    </w:div>
    <w:div w:id="2011329114">
      <w:bodyDiv w:val="1"/>
      <w:marLeft w:val="0"/>
      <w:marRight w:val="0"/>
      <w:marTop w:val="0"/>
      <w:marBottom w:val="0"/>
      <w:divBdr>
        <w:top w:val="none" w:sz="0" w:space="0" w:color="auto"/>
        <w:left w:val="none" w:sz="0" w:space="0" w:color="auto"/>
        <w:bottom w:val="none" w:sz="0" w:space="0" w:color="auto"/>
        <w:right w:val="none" w:sz="0" w:space="0" w:color="auto"/>
      </w:divBdr>
    </w:div>
    <w:div w:id="2011373278">
      <w:bodyDiv w:val="1"/>
      <w:marLeft w:val="0"/>
      <w:marRight w:val="0"/>
      <w:marTop w:val="0"/>
      <w:marBottom w:val="0"/>
      <w:divBdr>
        <w:top w:val="none" w:sz="0" w:space="0" w:color="auto"/>
        <w:left w:val="none" w:sz="0" w:space="0" w:color="auto"/>
        <w:bottom w:val="none" w:sz="0" w:space="0" w:color="auto"/>
        <w:right w:val="none" w:sz="0" w:space="0" w:color="auto"/>
      </w:divBdr>
    </w:div>
    <w:div w:id="2011516124">
      <w:bodyDiv w:val="1"/>
      <w:marLeft w:val="0"/>
      <w:marRight w:val="0"/>
      <w:marTop w:val="0"/>
      <w:marBottom w:val="0"/>
      <w:divBdr>
        <w:top w:val="none" w:sz="0" w:space="0" w:color="auto"/>
        <w:left w:val="none" w:sz="0" w:space="0" w:color="auto"/>
        <w:bottom w:val="none" w:sz="0" w:space="0" w:color="auto"/>
        <w:right w:val="none" w:sz="0" w:space="0" w:color="auto"/>
      </w:divBdr>
    </w:div>
    <w:div w:id="2011524517">
      <w:bodyDiv w:val="1"/>
      <w:marLeft w:val="0"/>
      <w:marRight w:val="0"/>
      <w:marTop w:val="0"/>
      <w:marBottom w:val="0"/>
      <w:divBdr>
        <w:top w:val="none" w:sz="0" w:space="0" w:color="auto"/>
        <w:left w:val="none" w:sz="0" w:space="0" w:color="auto"/>
        <w:bottom w:val="none" w:sz="0" w:space="0" w:color="auto"/>
        <w:right w:val="none" w:sz="0" w:space="0" w:color="auto"/>
      </w:divBdr>
    </w:div>
    <w:div w:id="2011592746">
      <w:bodyDiv w:val="1"/>
      <w:marLeft w:val="0"/>
      <w:marRight w:val="0"/>
      <w:marTop w:val="0"/>
      <w:marBottom w:val="0"/>
      <w:divBdr>
        <w:top w:val="none" w:sz="0" w:space="0" w:color="auto"/>
        <w:left w:val="none" w:sz="0" w:space="0" w:color="auto"/>
        <w:bottom w:val="none" w:sz="0" w:space="0" w:color="auto"/>
        <w:right w:val="none" w:sz="0" w:space="0" w:color="auto"/>
      </w:divBdr>
    </w:div>
    <w:div w:id="2011593385">
      <w:bodyDiv w:val="1"/>
      <w:marLeft w:val="0"/>
      <w:marRight w:val="0"/>
      <w:marTop w:val="0"/>
      <w:marBottom w:val="0"/>
      <w:divBdr>
        <w:top w:val="none" w:sz="0" w:space="0" w:color="auto"/>
        <w:left w:val="none" w:sz="0" w:space="0" w:color="auto"/>
        <w:bottom w:val="none" w:sz="0" w:space="0" w:color="auto"/>
        <w:right w:val="none" w:sz="0" w:space="0" w:color="auto"/>
      </w:divBdr>
    </w:div>
    <w:div w:id="2011594278">
      <w:bodyDiv w:val="1"/>
      <w:marLeft w:val="0"/>
      <w:marRight w:val="0"/>
      <w:marTop w:val="0"/>
      <w:marBottom w:val="0"/>
      <w:divBdr>
        <w:top w:val="none" w:sz="0" w:space="0" w:color="auto"/>
        <w:left w:val="none" w:sz="0" w:space="0" w:color="auto"/>
        <w:bottom w:val="none" w:sz="0" w:space="0" w:color="auto"/>
        <w:right w:val="none" w:sz="0" w:space="0" w:color="auto"/>
      </w:divBdr>
    </w:div>
    <w:div w:id="2011712899">
      <w:bodyDiv w:val="1"/>
      <w:marLeft w:val="0"/>
      <w:marRight w:val="0"/>
      <w:marTop w:val="0"/>
      <w:marBottom w:val="0"/>
      <w:divBdr>
        <w:top w:val="none" w:sz="0" w:space="0" w:color="auto"/>
        <w:left w:val="none" w:sz="0" w:space="0" w:color="auto"/>
        <w:bottom w:val="none" w:sz="0" w:space="0" w:color="auto"/>
        <w:right w:val="none" w:sz="0" w:space="0" w:color="auto"/>
      </w:divBdr>
    </w:div>
    <w:div w:id="2011986553">
      <w:bodyDiv w:val="1"/>
      <w:marLeft w:val="0"/>
      <w:marRight w:val="0"/>
      <w:marTop w:val="0"/>
      <w:marBottom w:val="0"/>
      <w:divBdr>
        <w:top w:val="none" w:sz="0" w:space="0" w:color="auto"/>
        <w:left w:val="none" w:sz="0" w:space="0" w:color="auto"/>
        <w:bottom w:val="none" w:sz="0" w:space="0" w:color="auto"/>
        <w:right w:val="none" w:sz="0" w:space="0" w:color="auto"/>
      </w:divBdr>
    </w:div>
    <w:div w:id="2012024887">
      <w:bodyDiv w:val="1"/>
      <w:marLeft w:val="0"/>
      <w:marRight w:val="0"/>
      <w:marTop w:val="0"/>
      <w:marBottom w:val="0"/>
      <w:divBdr>
        <w:top w:val="none" w:sz="0" w:space="0" w:color="auto"/>
        <w:left w:val="none" w:sz="0" w:space="0" w:color="auto"/>
        <w:bottom w:val="none" w:sz="0" w:space="0" w:color="auto"/>
        <w:right w:val="none" w:sz="0" w:space="0" w:color="auto"/>
      </w:divBdr>
    </w:div>
    <w:div w:id="2012175504">
      <w:bodyDiv w:val="1"/>
      <w:marLeft w:val="0"/>
      <w:marRight w:val="0"/>
      <w:marTop w:val="0"/>
      <w:marBottom w:val="0"/>
      <w:divBdr>
        <w:top w:val="none" w:sz="0" w:space="0" w:color="auto"/>
        <w:left w:val="none" w:sz="0" w:space="0" w:color="auto"/>
        <w:bottom w:val="none" w:sz="0" w:space="0" w:color="auto"/>
        <w:right w:val="none" w:sz="0" w:space="0" w:color="auto"/>
      </w:divBdr>
    </w:div>
    <w:div w:id="2012221738">
      <w:bodyDiv w:val="1"/>
      <w:marLeft w:val="0"/>
      <w:marRight w:val="0"/>
      <w:marTop w:val="0"/>
      <w:marBottom w:val="0"/>
      <w:divBdr>
        <w:top w:val="none" w:sz="0" w:space="0" w:color="auto"/>
        <w:left w:val="none" w:sz="0" w:space="0" w:color="auto"/>
        <w:bottom w:val="none" w:sz="0" w:space="0" w:color="auto"/>
        <w:right w:val="none" w:sz="0" w:space="0" w:color="auto"/>
      </w:divBdr>
    </w:div>
    <w:div w:id="2012296212">
      <w:bodyDiv w:val="1"/>
      <w:marLeft w:val="0"/>
      <w:marRight w:val="0"/>
      <w:marTop w:val="0"/>
      <w:marBottom w:val="0"/>
      <w:divBdr>
        <w:top w:val="none" w:sz="0" w:space="0" w:color="auto"/>
        <w:left w:val="none" w:sz="0" w:space="0" w:color="auto"/>
        <w:bottom w:val="none" w:sz="0" w:space="0" w:color="auto"/>
        <w:right w:val="none" w:sz="0" w:space="0" w:color="auto"/>
      </w:divBdr>
    </w:div>
    <w:div w:id="2012441876">
      <w:bodyDiv w:val="1"/>
      <w:marLeft w:val="0"/>
      <w:marRight w:val="0"/>
      <w:marTop w:val="0"/>
      <w:marBottom w:val="0"/>
      <w:divBdr>
        <w:top w:val="none" w:sz="0" w:space="0" w:color="auto"/>
        <w:left w:val="none" w:sz="0" w:space="0" w:color="auto"/>
        <w:bottom w:val="none" w:sz="0" w:space="0" w:color="auto"/>
        <w:right w:val="none" w:sz="0" w:space="0" w:color="auto"/>
      </w:divBdr>
    </w:div>
    <w:div w:id="2012677194">
      <w:bodyDiv w:val="1"/>
      <w:marLeft w:val="0"/>
      <w:marRight w:val="0"/>
      <w:marTop w:val="0"/>
      <w:marBottom w:val="0"/>
      <w:divBdr>
        <w:top w:val="none" w:sz="0" w:space="0" w:color="auto"/>
        <w:left w:val="none" w:sz="0" w:space="0" w:color="auto"/>
        <w:bottom w:val="none" w:sz="0" w:space="0" w:color="auto"/>
        <w:right w:val="none" w:sz="0" w:space="0" w:color="auto"/>
      </w:divBdr>
    </w:div>
    <w:div w:id="2012682139">
      <w:bodyDiv w:val="1"/>
      <w:marLeft w:val="0"/>
      <w:marRight w:val="0"/>
      <w:marTop w:val="0"/>
      <w:marBottom w:val="0"/>
      <w:divBdr>
        <w:top w:val="none" w:sz="0" w:space="0" w:color="auto"/>
        <w:left w:val="none" w:sz="0" w:space="0" w:color="auto"/>
        <w:bottom w:val="none" w:sz="0" w:space="0" w:color="auto"/>
        <w:right w:val="none" w:sz="0" w:space="0" w:color="auto"/>
      </w:divBdr>
    </w:div>
    <w:div w:id="2012752898">
      <w:bodyDiv w:val="1"/>
      <w:marLeft w:val="0"/>
      <w:marRight w:val="0"/>
      <w:marTop w:val="0"/>
      <w:marBottom w:val="0"/>
      <w:divBdr>
        <w:top w:val="none" w:sz="0" w:space="0" w:color="auto"/>
        <w:left w:val="none" w:sz="0" w:space="0" w:color="auto"/>
        <w:bottom w:val="none" w:sz="0" w:space="0" w:color="auto"/>
        <w:right w:val="none" w:sz="0" w:space="0" w:color="auto"/>
      </w:divBdr>
    </w:div>
    <w:div w:id="2012829244">
      <w:bodyDiv w:val="1"/>
      <w:marLeft w:val="0"/>
      <w:marRight w:val="0"/>
      <w:marTop w:val="0"/>
      <w:marBottom w:val="0"/>
      <w:divBdr>
        <w:top w:val="none" w:sz="0" w:space="0" w:color="auto"/>
        <w:left w:val="none" w:sz="0" w:space="0" w:color="auto"/>
        <w:bottom w:val="none" w:sz="0" w:space="0" w:color="auto"/>
        <w:right w:val="none" w:sz="0" w:space="0" w:color="auto"/>
      </w:divBdr>
    </w:div>
    <w:div w:id="2012904289">
      <w:bodyDiv w:val="1"/>
      <w:marLeft w:val="0"/>
      <w:marRight w:val="0"/>
      <w:marTop w:val="0"/>
      <w:marBottom w:val="0"/>
      <w:divBdr>
        <w:top w:val="none" w:sz="0" w:space="0" w:color="auto"/>
        <w:left w:val="none" w:sz="0" w:space="0" w:color="auto"/>
        <w:bottom w:val="none" w:sz="0" w:space="0" w:color="auto"/>
        <w:right w:val="none" w:sz="0" w:space="0" w:color="auto"/>
      </w:divBdr>
    </w:div>
    <w:div w:id="2012951725">
      <w:bodyDiv w:val="1"/>
      <w:marLeft w:val="0"/>
      <w:marRight w:val="0"/>
      <w:marTop w:val="0"/>
      <w:marBottom w:val="0"/>
      <w:divBdr>
        <w:top w:val="none" w:sz="0" w:space="0" w:color="auto"/>
        <w:left w:val="none" w:sz="0" w:space="0" w:color="auto"/>
        <w:bottom w:val="none" w:sz="0" w:space="0" w:color="auto"/>
        <w:right w:val="none" w:sz="0" w:space="0" w:color="auto"/>
      </w:divBdr>
    </w:div>
    <w:div w:id="2013141120">
      <w:bodyDiv w:val="1"/>
      <w:marLeft w:val="0"/>
      <w:marRight w:val="0"/>
      <w:marTop w:val="0"/>
      <w:marBottom w:val="0"/>
      <w:divBdr>
        <w:top w:val="none" w:sz="0" w:space="0" w:color="auto"/>
        <w:left w:val="none" w:sz="0" w:space="0" w:color="auto"/>
        <w:bottom w:val="none" w:sz="0" w:space="0" w:color="auto"/>
        <w:right w:val="none" w:sz="0" w:space="0" w:color="auto"/>
      </w:divBdr>
    </w:div>
    <w:div w:id="2013213525">
      <w:bodyDiv w:val="1"/>
      <w:marLeft w:val="0"/>
      <w:marRight w:val="0"/>
      <w:marTop w:val="0"/>
      <w:marBottom w:val="0"/>
      <w:divBdr>
        <w:top w:val="none" w:sz="0" w:space="0" w:color="auto"/>
        <w:left w:val="none" w:sz="0" w:space="0" w:color="auto"/>
        <w:bottom w:val="none" w:sz="0" w:space="0" w:color="auto"/>
        <w:right w:val="none" w:sz="0" w:space="0" w:color="auto"/>
      </w:divBdr>
    </w:div>
    <w:div w:id="2013215286">
      <w:bodyDiv w:val="1"/>
      <w:marLeft w:val="0"/>
      <w:marRight w:val="0"/>
      <w:marTop w:val="0"/>
      <w:marBottom w:val="0"/>
      <w:divBdr>
        <w:top w:val="none" w:sz="0" w:space="0" w:color="auto"/>
        <w:left w:val="none" w:sz="0" w:space="0" w:color="auto"/>
        <w:bottom w:val="none" w:sz="0" w:space="0" w:color="auto"/>
        <w:right w:val="none" w:sz="0" w:space="0" w:color="auto"/>
      </w:divBdr>
    </w:div>
    <w:div w:id="2013333267">
      <w:bodyDiv w:val="1"/>
      <w:marLeft w:val="0"/>
      <w:marRight w:val="0"/>
      <w:marTop w:val="0"/>
      <w:marBottom w:val="0"/>
      <w:divBdr>
        <w:top w:val="none" w:sz="0" w:space="0" w:color="auto"/>
        <w:left w:val="none" w:sz="0" w:space="0" w:color="auto"/>
        <w:bottom w:val="none" w:sz="0" w:space="0" w:color="auto"/>
        <w:right w:val="none" w:sz="0" w:space="0" w:color="auto"/>
      </w:divBdr>
    </w:div>
    <w:div w:id="2013333626">
      <w:bodyDiv w:val="1"/>
      <w:marLeft w:val="0"/>
      <w:marRight w:val="0"/>
      <w:marTop w:val="0"/>
      <w:marBottom w:val="0"/>
      <w:divBdr>
        <w:top w:val="none" w:sz="0" w:space="0" w:color="auto"/>
        <w:left w:val="none" w:sz="0" w:space="0" w:color="auto"/>
        <w:bottom w:val="none" w:sz="0" w:space="0" w:color="auto"/>
        <w:right w:val="none" w:sz="0" w:space="0" w:color="auto"/>
      </w:divBdr>
    </w:div>
    <w:div w:id="2013482567">
      <w:bodyDiv w:val="1"/>
      <w:marLeft w:val="0"/>
      <w:marRight w:val="0"/>
      <w:marTop w:val="0"/>
      <w:marBottom w:val="0"/>
      <w:divBdr>
        <w:top w:val="none" w:sz="0" w:space="0" w:color="auto"/>
        <w:left w:val="none" w:sz="0" w:space="0" w:color="auto"/>
        <w:bottom w:val="none" w:sz="0" w:space="0" w:color="auto"/>
        <w:right w:val="none" w:sz="0" w:space="0" w:color="auto"/>
      </w:divBdr>
    </w:div>
    <w:div w:id="2013485437">
      <w:bodyDiv w:val="1"/>
      <w:marLeft w:val="0"/>
      <w:marRight w:val="0"/>
      <w:marTop w:val="0"/>
      <w:marBottom w:val="0"/>
      <w:divBdr>
        <w:top w:val="none" w:sz="0" w:space="0" w:color="auto"/>
        <w:left w:val="none" w:sz="0" w:space="0" w:color="auto"/>
        <w:bottom w:val="none" w:sz="0" w:space="0" w:color="auto"/>
        <w:right w:val="none" w:sz="0" w:space="0" w:color="auto"/>
      </w:divBdr>
    </w:div>
    <w:div w:id="2013557938">
      <w:bodyDiv w:val="1"/>
      <w:marLeft w:val="0"/>
      <w:marRight w:val="0"/>
      <w:marTop w:val="0"/>
      <w:marBottom w:val="0"/>
      <w:divBdr>
        <w:top w:val="none" w:sz="0" w:space="0" w:color="auto"/>
        <w:left w:val="none" w:sz="0" w:space="0" w:color="auto"/>
        <w:bottom w:val="none" w:sz="0" w:space="0" w:color="auto"/>
        <w:right w:val="none" w:sz="0" w:space="0" w:color="auto"/>
      </w:divBdr>
    </w:div>
    <w:div w:id="2013600239">
      <w:bodyDiv w:val="1"/>
      <w:marLeft w:val="0"/>
      <w:marRight w:val="0"/>
      <w:marTop w:val="0"/>
      <w:marBottom w:val="0"/>
      <w:divBdr>
        <w:top w:val="none" w:sz="0" w:space="0" w:color="auto"/>
        <w:left w:val="none" w:sz="0" w:space="0" w:color="auto"/>
        <w:bottom w:val="none" w:sz="0" w:space="0" w:color="auto"/>
        <w:right w:val="none" w:sz="0" w:space="0" w:color="auto"/>
      </w:divBdr>
    </w:div>
    <w:div w:id="2013797905">
      <w:bodyDiv w:val="1"/>
      <w:marLeft w:val="0"/>
      <w:marRight w:val="0"/>
      <w:marTop w:val="0"/>
      <w:marBottom w:val="0"/>
      <w:divBdr>
        <w:top w:val="none" w:sz="0" w:space="0" w:color="auto"/>
        <w:left w:val="none" w:sz="0" w:space="0" w:color="auto"/>
        <w:bottom w:val="none" w:sz="0" w:space="0" w:color="auto"/>
        <w:right w:val="none" w:sz="0" w:space="0" w:color="auto"/>
      </w:divBdr>
    </w:div>
    <w:div w:id="2014214476">
      <w:bodyDiv w:val="1"/>
      <w:marLeft w:val="0"/>
      <w:marRight w:val="0"/>
      <w:marTop w:val="0"/>
      <w:marBottom w:val="0"/>
      <w:divBdr>
        <w:top w:val="none" w:sz="0" w:space="0" w:color="auto"/>
        <w:left w:val="none" w:sz="0" w:space="0" w:color="auto"/>
        <w:bottom w:val="none" w:sz="0" w:space="0" w:color="auto"/>
        <w:right w:val="none" w:sz="0" w:space="0" w:color="auto"/>
      </w:divBdr>
    </w:div>
    <w:div w:id="2014256998">
      <w:bodyDiv w:val="1"/>
      <w:marLeft w:val="0"/>
      <w:marRight w:val="0"/>
      <w:marTop w:val="0"/>
      <w:marBottom w:val="0"/>
      <w:divBdr>
        <w:top w:val="none" w:sz="0" w:space="0" w:color="auto"/>
        <w:left w:val="none" w:sz="0" w:space="0" w:color="auto"/>
        <w:bottom w:val="none" w:sz="0" w:space="0" w:color="auto"/>
        <w:right w:val="none" w:sz="0" w:space="0" w:color="auto"/>
      </w:divBdr>
    </w:div>
    <w:div w:id="2014260576">
      <w:bodyDiv w:val="1"/>
      <w:marLeft w:val="0"/>
      <w:marRight w:val="0"/>
      <w:marTop w:val="0"/>
      <w:marBottom w:val="0"/>
      <w:divBdr>
        <w:top w:val="none" w:sz="0" w:space="0" w:color="auto"/>
        <w:left w:val="none" w:sz="0" w:space="0" w:color="auto"/>
        <w:bottom w:val="none" w:sz="0" w:space="0" w:color="auto"/>
        <w:right w:val="none" w:sz="0" w:space="0" w:color="auto"/>
      </w:divBdr>
    </w:div>
    <w:div w:id="2014407495">
      <w:bodyDiv w:val="1"/>
      <w:marLeft w:val="0"/>
      <w:marRight w:val="0"/>
      <w:marTop w:val="0"/>
      <w:marBottom w:val="0"/>
      <w:divBdr>
        <w:top w:val="none" w:sz="0" w:space="0" w:color="auto"/>
        <w:left w:val="none" w:sz="0" w:space="0" w:color="auto"/>
        <w:bottom w:val="none" w:sz="0" w:space="0" w:color="auto"/>
        <w:right w:val="none" w:sz="0" w:space="0" w:color="auto"/>
      </w:divBdr>
    </w:div>
    <w:div w:id="2014448777">
      <w:bodyDiv w:val="1"/>
      <w:marLeft w:val="0"/>
      <w:marRight w:val="0"/>
      <w:marTop w:val="0"/>
      <w:marBottom w:val="0"/>
      <w:divBdr>
        <w:top w:val="none" w:sz="0" w:space="0" w:color="auto"/>
        <w:left w:val="none" w:sz="0" w:space="0" w:color="auto"/>
        <w:bottom w:val="none" w:sz="0" w:space="0" w:color="auto"/>
        <w:right w:val="none" w:sz="0" w:space="0" w:color="auto"/>
      </w:divBdr>
    </w:div>
    <w:div w:id="2014645468">
      <w:bodyDiv w:val="1"/>
      <w:marLeft w:val="0"/>
      <w:marRight w:val="0"/>
      <w:marTop w:val="0"/>
      <w:marBottom w:val="0"/>
      <w:divBdr>
        <w:top w:val="none" w:sz="0" w:space="0" w:color="auto"/>
        <w:left w:val="none" w:sz="0" w:space="0" w:color="auto"/>
        <w:bottom w:val="none" w:sz="0" w:space="0" w:color="auto"/>
        <w:right w:val="none" w:sz="0" w:space="0" w:color="auto"/>
      </w:divBdr>
    </w:div>
    <w:div w:id="2014648591">
      <w:bodyDiv w:val="1"/>
      <w:marLeft w:val="0"/>
      <w:marRight w:val="0"/>
      <w:marTop w:val="0"/>
      <w:marBottom w:val="0"/>
      <w:divBdr>
        <w:top w:val="none" w:sz="0" w:space="0" w:color="auto"/>
        <w:left w:val="none" w:sz="0" w:space="0" w:color="auto"/>
        <w:bottom w:val="none" w:sz="0" w:space="0" w:color="auto"/>
        <w:right w:val="none" w:sz="0" w:space="0" w:color="auto"/>
      </w:divBdr>
    </w:div>
    <w:div w:id="2014722245">
      <w:bodyDiv w:val="1"/>
      <w:marLeft w:val="0"/>
      <w:marRight w:val="0"/>
      <w:marTop w:val="0"/>
      <w:marBottom w:val="0"/>
      <w:divBdr>
        <w:top w:val="none" w:sz="0" w:space="0" w:color="auto"/>
        <w:left w:val="none" w:sz="0" w:space="0" w:color="auto"/>
        <w:bottom w:val="none" w:sz="0" w:space="0" w:color="auto"/>
        <w:right w:val="none" w:sz="0" w:space="0" w:color="auto"/>
      </w:divBdr>
    </w:div>
    <w:div w:id="2014724995">
      <w:bodyDiv w:val="1"/>
      <w:marLeft w:val="0"/>
      <w:marRight w:val="0"/>
      <w:marTop w:val="0"/>
      <w:marBottom w:val="0"/>
      <w:divBdr>
        <w:top w:val="none" w:sz="0" w:space="0" w:color="auto"/>
        <w:left w:val="none" w:sz="0" w:space="0" w:color="auto"/>
        <w:bottom w:val="none" w:sz="0" w:space="0" w:color="auto"/>
        <w:right w:val="none" w:sz="0" w:space="0" w:color="auto"/>
      </w:divBdr>
    </w:div>
    <w:div w:id="2014993910">
      <w:bodyDiv w:val="1"/>
      <w:marLeft w:val="0"/>
      <w:marRight w:val="0"/>
      <w:marTop w:val="0"/>
      <w:marBottom w:val="0"/>
      <w:divBdr>
        <w:top w:val="none" w:sz="0" w:space="0" w:color="auto"/>
        <w:left w:val="none" w:sz="0" w:space="0" w:color="auto"/>
        <w:bottom w:val="none" w:sz="0" w:space="0" w:color="auto"/>
        <w:right w:val="none" w:sz="0" w:space="0" w:color="auto"/>
      </w:divBdr>
    </w:div>
    <w:div w:id="2015300994">
      <w:bodyDiv w:val="1"/>
      <w:marLeft w:val="0"/>
      <w:marRight w:val="0"/>
      <w:marTop w:val="0"/>
      <w:marBottom w:val="0"/>
      <w:divBdr>
        <w:top w:val="none" w:sz="0" w:space="0" w:color="auto"/>
        <w:left w:val="none" w:sz="0" w:space="0" w:color="auto"/>
        <w:bottom w:val="none" w:sz="0" w:space="0" w:color="auto"/>
        <w:right w:val="none" w:sz="0" w:space="0" w:color="auto"/>
      </w:divBdr>
    </w:div>
    <w:div w:id="2015448384">
      <w:bodyDiv w:val="1"/>
      <w:marLeft w:val="0"/>
      <w:marRight w:val="0"/>
      <w:marTop w:val="0"/>
      <w:marBottom w:val="0"/>
      <w:divBdr>
        <w:top w:val="none" w:sz="0" w:space="0" w:color="auto"/>
        <w:left w:val="none" w:sz="0" w:space="0" w:color="auto"/>
        <w:bottom w:val="none" w:sz="0" w:space="0" w:color="auto"/>
        <w:right w:val="none" w:sz="0" w:space="0" w:color="auto"/>
      </w:divBdr>
    </w:div>
    <w:div w:id="2015642220">
      <w:bodyDiv w:val="1"/>
      <w:marLeft w:val="0"/>
      <w:marRight w:val="0"/>
      <w:marTop w:val="0"/>
      <w:marBottom w:val="0"/>
      <w:divBdr>
        <w:top w:val="none" w:sz="0" w:space="0" w:color="auto"/>
        <w:left w:val="none" w:sz="0" w:space="0" w:color="auto"/>
        <w:bottom w:val="none" w:sz="0" w:space="0" w:color="auto"/>
        <w:right w:val="none" w:sz="0" w:space="0" w:color="auto"/>
      </w:divBdr>
    </w:div>
    <w:div w:id="2015643031">
      <w:bodyDiv w:val="1"/>
      <w:marLeft w:val="0"/>
      <w:marRight w:val="0"/>
      <w:marTop w:val="0"/>
      <w:marBottom w:val="0"/>
      <w:divBdr>
        <w:top w:val="none" w:sz="0" w:space="0" w:color="auto"/>
        <w:left w:val="none" w:sz="0" w:space="0" w:color="auto"/>
        <w:bottom w:val="none" w:sz="0" w:space="0" w:color="auto"/>
        <w:right w:val="none" w:sz="0" w:space="0" w:color="auto"/>
      </w:divBdr>
    </w:div>
    <w:div w:id="2015648201">
      <w:bodyDiv w:val="1"/>
      <w:marLeft w:val="0"/>
      <w:marRight w:val="0"/>
      <w:marTop w:val="0"/>
      <w:marBottom w:val="0"/>
      <w:divBdr>
        <w:top w:val="none" w:sz="0" w:space="0" w:color="auto"/>
        <w:left w:val="none" w:sz="0" w:space="0" w:color="auto"/>
        <w:bottom w:val="none" w:sz="0" w:space="0" w:color="auto"/>
        <w:right w:val="none" w:sz="0" w:space="0" w:color="auto"/>
      </w:divBdr>
    </w:div>
    <w:div w:id="2015909488">
      <w:bodyDiv w:val="1"/>
      <w:marLeft w:val="0"/>
      <w:marRight w:val="0"/>
      <w:marTop w:val="0"/>
      <w:marBottom w:val="0"/>
      <w:divBdr>
        <w:top w:val="none" w:sz="0" w:space="0" w:color="auto"/>
        <w:left w:val="none" w:sz="0" w:space="0" w:color="auto"/>
        <w:bottom w:val="none" w:sz="0" w:space="0" w:color="auto"/>
        <w:right w:val="none" w:sz="0" w:space="0" w:color="auto"/>
      </w:divBdr>
    </w:div>
    <w:div w:id="2015916194">
      <w:bodyDiv w:val="1"/>
      <w:marLeft w:val="0"/>
      <w:marRight w:val="0"/>
      <w:marTop w:val="0"/>
      <w:marBottom w:val="0"/>
      <w:divBdr>
        <w:top w:val="none" w:sz="0" w:space="0" w:color="auto"/>
        <w:left w:val="none" w:sz="0" w:space="0" w:color="auto"/>
        <w:bottom w:val="none" w:sz="0" w:space="0" w:color="auto"/>
        <w:right w:val="none" w:sz="0" w:space="0" w:color="auto"/>
      </w:divBdr>
    </w:div>
    <w:div w:id="2016103256">
      <w:bodyDiv w:val="1"/>
      <w:marLeft w:val="0"/>
      <w:marRight w:val="0"/>
      <w:marTop w:val="0"/>
      <w:marBottom w:val="0"/>
      <w:divBdr>
        <w:top w:val="none" w:sz="0" w:space="0" w:color="auto"/>
        <w:left w:val="none" w:sz="0" w:space="0" w:color="auto"/>
        <w:bottom w:val="none" w:sz="0" w:space="0" w:color="auto"/>
        <w:right w:val="none" w:sz="0" w:space="0" w:color="auto"/>
      </w:divBdr>
    </w:div>
    <w:div w:id="2016109597">
      <w:bodyDiv w:val="1"/>
      <w:marLeft w:val="0"/>
      <w:marRight w:val="0"/>
      <w:marTop w:val="0"/>
      <w:marBottom w:val="0"/>
      <w:divBdr>
        <w:top w:val="none" w:sz="0" w:space="0" w:color="auto"/>
        <w:left w:val="none" w:sz="0" w:space="0" w:color="auto"/>
        <w:bottom w:val="none" w:sz="0" w:space="0" w:color="auto"/>
        <w:right w:val="none" w:sz="0" w:space="0" w:color="auto"/>
      </w:divBdr>
    </w:div>
    <w:div w:id="2016152896">
      <w:bodyDiv w:val="1"/>
      <w:marLeft w:val="0"/>
      <w:marRight w:val="0"/>
      <w:marTop w:val="0"/>
      <w:marBottom w:val="0"/>
      <w:divBdr>
        <w:top w:val="none" w:sz="0" w:space="0" w:color="auto"/>
        <w:left w:val="none" w:sz="0" w:space="0" w:color="auto"/>
        <w:bottom w:val="none" w:sz="0" w:space="0" w:color="auto"/>
        <w:right w:val="none" w:sz="0" w:space="0" w:color="auto"/>
      </w:divBdr>
    </w:div>
    <w:div w:id="2016181060">
      <w:bodyDiv w:val="1"/>
      <w:marLeft w:val="0"/>
      <w:marRight w:val="0"/>
      <w:marTop w:val="0"/>
      <w:marBottom w:val="0"/>
      <w:divBdr>
        <w:top w:val="none" w:sz="0" w:space="0" w:color="auto"/>
        <w:left w:val="none" w:sz="0" w:space="0" w:color="auto"/>
        <w:bottom w:val="none" w:sz="0" w:space="0" w:color="auto"/>
        <w:right w:val="none" w:sz="0" w:space="0" w:color="auto"/>
      </w:divBdr>
    </w:div>
    <w:div w:id="2016181163">
      <w:bodyDiv w:val="1"/>
      <w:marLeft w:val="0"/>
      <w:marRight w:val="0"/>
      <w:marTop w:val="0"/>
      <w:marBottom w:val="0"/>
      <w:divBdr>
        <w:top w:val="none" w:sz="0" w:space="0" w:color="auto"/>
        <w:left w:val="none" w:sz="0" w:space="0" w:color="auto"/>
        <w:bottom w:val="none" w:sz="0" w:space="0" w:color="auto"/>
        <w:right w:val="none" w:sz="0" w:space="0" w:color="auto"/>
      </w:divBdr>
    </w:div>
    <w:div w:id="2016228154">
      <w:bodyDiv w:val="1"/>
      <w:marLeft w:val="0"/>
      <w:marRight w:val="0"/>
      <w:marTop w:val="0"/>
      <w:marBottom w:val="0"/>
      <w:divBdr>
        <w:top w:val="none" w:sz="0" w:space="0" w:color="auto"/>
        <w:left w:val="none" w:sz="0" w:space="0" w:color="auto"/>
        <w:bottom w:val="none" w:sz="0" w:space="0" w:color="auto"/>
        <w:right w:val="none" w:sz="0" w:space="0" w:color="auto"/>
      </w:divBdr>
    </w:div>
    <w:div w:id="2016296464">
      <w:bodyDiv w:val="1"/>
      <w:marLeft w:val="0"/>
      <w:marRight w:val="0"/>
      <w:marTop w:val="0"/>
      <w:marBottom w:val="0"/>
      <w:divBdr>
        <w:top w:val="none" w:sz="0" w:space="0" w:color="auto"/>
        <w:left w:val="none" w:sz="0" w:space="0" w:color="auto"/>
        <w:bottom w:val="none" w:sz="0" w:space="0" w:color="auto"/>
        <w:right w:val="none" w:sz="0" w:space="0" w:color="auto"/>
      </w:divBdr>
    </w:div>
    <w:div w:id="2016303328">
      <w:bodyDiv w:val="1"/>
      <w:marLeft w:val="0"/>
      <w:marRight w:val="0"/>
      <w:marTop w:val="0"/>
      <w:marBottom w:val="0"/>
      <w:divBdr>
        <w:top w:val="none" w:sz="0" w:space="0" w:color="auto"/>
        <w:left w:val="none" w:sz="0" w:space="0" w:color="auto"/>
        <w:bottom w:val="none" w:sz="0" w:space="0" w:color="auto"/>
        <w:right w:val="none" w:sz="0" w:space="0" w:color="auto"/>
      </w:divBdr>
    </w:div>
    <w:div w:id="2016372835">
      <w:bodyDiv w:val="1"/>
      <w:marLeft w:val="0"/>
      <w:marRight w:val="0"/>
      <w:marTop w:val="0"/>
      <w:marBottom w:val="0"/>
      <w:divBdr>
        <w:top w:val="none" w:sz="0" w:space="0" w:color="auto"/>
        <w:left w:val="none" w:sz="0" w:space="0" w:color="auto"/>
        <w:bottom w:val="none" w:sz="0" w:space="0" w:color="auto"/>
        <w:right w:val="none" w:sz="0" w:space="0" w:color="auto"/>
      </w:divBdr>
    </w:div>
    <w:div w:id="2016373654">
      <w:bodyDiv w:val="1"/>
      <w:marLeft w:val="0"/>
      <w:marRight w:val="0"/>
      <w:marTop w:val="0"/>
      <w:marBottom w:val="0"/>
      <w:divBdr>
        <w:top w:val="none" w:sz="0" w:space="0" w:color="auto"/>
        <w:left w:val="none" w:sz="0" w:space="0" w:color="auto"/>
        <w:bottom w:val="none" w:sz="0" w:space="0" w:color="auto"/>
        <w:right w:val="none" w:sz="0" w:space="0" w:color="auto"/>
      </w:divBdr>
    </w:div>
    <w:div w:id="2016378276">
      <w:bodyDiv w:val="1"/>
      <w:marLeft w:val="0"/>
      <w:marRight w:val="0"/>
      <w:marTop w:val="0"/>
      <w:marBottom w:val="0"/>
      <w:divBdr>
        <w:top w:val="none" w:sz="0" w:space="0" w:color="auto"/>
        <w:left w:val="none" w:sz="0" w:space="0" w:color="auto"/>
        <w:bottom w:val="none" w:sz="0" w:space="0" w:color="auto"/>
        <w:right w:val="none" w:sz="0" w:space="0" w:color="auto"/>
      </w:divBdr>
    </w:div>
    <w:div w:id="2016609104">
      <w:bodyDiv w:val="1"/>
      <w:marLeft w:val="0"/>
      <w:marRight w:val="0"/>
      <w:marTop w:val="0"/>
      <w:marBottom w:val="0"/>
      <w:divBdr>
        <w:top w:val="none" w:sz="0" w:space="0" w:color="auto"/>
        <w:left w:val="none" w:sz="0" w:space="0" w:color="auto"/>
        <w:bottom w:val="none" w:sz="0" w:space="0" w:color="auto"/>
        <w:right w:val="none" w:sz="0" w:space="0" w:color="auto"/>
      </w:divBdr>
    </w:div>
    <w:div w:id="2016682548">
      <w:bodyDiv w:val="1"/>
      <w:marLeft w:val="0"/>
      <w:marRight w:val="0"/>
      <w:marTop w:val="0"/>
      <w:marBottom w:val="0"/>
      <w:divBdr>
        <w:top w:val="none" w:sz="0" w:space="0" w:color="auto"/>
        <w:left w:val="none" w:sz="0" w:space="0" w:color="auto"/>
        <w:bottom w:val="none" w:sz="0" w:space="0" w:color="auto"/>
        <w:right w:val="none" w:sz="0" w:space="0" w:color="auto"/>
      </w:divBdr>
    </w:div>
    <w:div w:id="2016686870">
      <w:bodyDiv w:val="1"/>
      <w:marLeft w:val="0"/>
      <w:marRight w:val="0"/>
      <w:marTop w:val="0"/>
      <w:marBottom w:val="0"/>
      <w:divBdr>
        <w:top w:val="none" w:sz="0" w:space="0" w:color="auto"/>
        <w:left w:val="none" w:sz="0" w:space="0" w:color="auto"/>
        <w:bottom w:val="none" w:sz="0" w:space="0" w:color="auto"/>
        <w:right w:val="none" w:sz="0" w:space="0" w:color="auto"/>
      </w:divBdr>
    </w:div>
    <w:div w:id="2016689720">
      <w:bodyDiv w:val="1"/>
      <w:marLeft w:val="0"/>
      <w:marRight w:val="0"/>
      <w:marTop w:val="0"/>
      <w:marBottom w:val="0"/>
      <w:divBdr>
        <w:top w:val="none" w:sz="0" w:space="0" w:color="auto"/>
        <w:left w:val="none" w:sz="0" w:space="0" w:color="auto"/>
        <w:bottom w:val="none" w:sz="0" w:space="0" w:color="auto"/>
        <w:right w:val="none" w:sz="0" w:space="0" w:color="auto"/>
      </w:divBdr>
    </w:div>
    <w:div w:id="2016762260">
      <w:bodyDiv w:val="1"/>
      <w:marLeft w:val="0"/>
      <w:marRight w:val="0"/>
      <w:marTop w:val="0"/>
      <w:marBottom w:val="0"/>
      <w:divBdr>
        <w:top w:val="none" w:sz="0" w:space="0" w:color="auto"/>
        <w:left w:val="none" w:sz="0" w:space="0" w:color="auto"/>
        <w:bottom w:val="none" w:sz="0" w:space="0" w:color="auto"/>
        <w:right w:val="none" w:sz="0" w:space="0" w:color="auto"/>
      </w:divBdr>
    </w:div>
    <w:div w:id="2016880543">
      <w:bodyDiv w:val="1"/>
      <w:marLeft w:val="0"/>
      <w:marRight w:val="0"/>
      <w:marTop w:val="0"/>
      <w:marBottom w:val="0"/>
      <w:divBdr>
        <w:top w:val="none" w:sz="0" w:space="0" w:color="auto"/>
        <w:left w:val="none" w:sz="0" w:space="0" w:color="auto"/>
        <w:bottom w:val="none" w:sz="0" w:space="0" w:color="auto"/>
        <w:right w:val="none" w:sz="0" w:space="0" w:color="auto"/>
      </w:divBdr>
    </w:div>
    <w:div w:id="2017146582">
      <w:bodyDiv w:val="1"/>
      <w:marLeft w:val="0"/>
      <w:marRight w:val="0"/>
      <w:marTop w:val="0"/>
      <w:marBottom w:val="0"/>
      <w:divBdr>
        <w:top w:val="none" w:sz="0" w:space="0" w:color="auto"/>
        <w:left w:val="none" w:sz="0" w:space="0" w:color="auto"/>
        <w:bottom w:val="none" w:sz="0" w:space="0" w:color="auto"/>
        <w:right w:val="none" w:sz="0" w:space="0" w:color="auto"/>
      </w:divBdr>
    </w:div>
    <w:div w:id="2017149564">
      <w:bodyDiv w:val="1"/>
      <w:marLeft w:val="0"/>
      <w:marRight w:val="0"/>
      <w:marTop w:val="0"/>
      <w:marBottom w:val="0"/>
      <w:divBdr>
        <w:top w:val="none" w:sz="0" w:space="0" w:color="auto"/>
        <w:left w:val="none" w:sz="0" w:space="0" w:color="auto"/>
        <w:bottom w:val="none" w:sz="0" w:space="0" w:color="auto"/>
        <w:right w:val="none" w:sz="0" w:space="0" w:color="auto"/>
      </w:divBdr>
    </w:div>
    <w:div w:id="2017415433">
      <w:bodyDiv w:val="1"/>
      <w:marLeft w:val="0"/>
      <w:marRight w:val="0"/>
      <w:marTop w:val="0"/>
      <w:marBottom w:val="0"/>
      <w:divBdr>
        <w:top w:val="none" w:sz="0" w:space="0" w:color="auto"/>
        <w:left w:val="none" w:sz="0" w:space="0" w:color="auto"/>
        <w:bottom w:val="none" w:sz="0" w:space="0" w:color="auto"/>
        <w:right w:val="none" w:sz="0" w:space="0" w:color="auto"/>
      </w:divBdr>
    </w:div>
    <w:div w:id="2017464406">
      <w:bodyDiv w:val="1"/>
      <w:marLeft w:val="0"/>
      <w:marRight w:val="0"/>
      <w:marTop w:val="0"/>
      <w:marBottom w:val="0"/>
      <w:divBdr>
        <w:top w:val="none" w:sz="0" w:space="0" w:color="auto"/>
        <w:left w:val="none" w:sz="0" w:space="0" w:color="auto"/>
        <w:bottom w:val="none" w:sz="0" w:space="0" w:color="auto"/>
        <w:right w:val="none" w:sz="0" w:space="0" w:color="auto"/>
      </w:divBdr>
    </w:div>
    <w:div w:id="2017536726">
      <w:bodyDiv w:val="1"/>
      <w:marLeft w:val="0"/>
      <w:marRight w:val="0"/>
      <w:marTop w:val="0"/>
      <w:marBottom w:val="0"/>
      <w:divBdr>
        <w:top w:val="none" w:sz="0" w:space="0" w:color="auto"/>
        <w:left w:val="none" w:sz="0" w:space="0" w:color="auto"/>
        <w:bottom w:val="none" w:sz="0" w:space="0" w:color="auto"/>
        <w:right w:val="none" w:sz="0" w:space="0" w:color="auto"/>
      </w:divBdr>
    </w:div>
    <w:div w:id="2017607618">
      <w:bodyDiv w:val="1"/>
      <w:marLeft w:val="0"/>
      <w:marRight w:val="0"/>
      <w:marTop w:val="0"/>
      <w:marBottom w:val="0"/>
      <w:divBdr>
        <w:top w:val="none" w:sz="0" w:space="0" w:color="auto"/>
        <w:left w:val="none" w:sz="0" w:space="0" w:color="auto"/>
        <w:bottom w:val="none" w:sz="0" w:space="0" w:color="auto"/>
        <w:right w:val="none" w:sz="0" w:space="0" w:color="auto"/>
      </w:divBdr>
    </w:div>
    <w:div w:id="2017688634">
      <w:bodyDiv w:val="1"/>
      <w:marLeft w:val="0"/>
      <w:marRight w:val="0"/>
      <w:marTop w:val="0"/>
      <w:marBottom w:val="0"/>
      <w:divBdr>
        <w:top w:val="none" w:sz="0" w:space="0" w:color="auto"/>
        <w:left w:val="none" w:sz="0" w:space="0" w:color="auto"/>
        <w:bottom w:val="none" w:sz="0" w:space="0" w:color="auto"/>
        <w:right w:val="none" w:sz="0" w:space="0" w:color="auto"/>
      </w:divBdr>
    </w:div>
    <w:div w:id="2017725410">
      <w:bodyDiv w:val="1"/>
      <w:marLeft w:val="0"/>
      <w:marRight w:val="0"/>
      <w:marTop w:val="0"/>
      <w:marBottom w:val="0"/>
      <w:divBdr>
        <w:top w:val="none" w:sz="0" w:space="0" w:color="auto"/>
        <w:left w:val="none" w:sz="0" w:space="0" w:color="auto"/>
        <w:bottom w:val="none" w:sz="0" w:space="0" w:color="auto"/>
        <w:right w:val="none" w:sz="0" w:space="0" w:color="auto"/>
      </w:divBdr>
    </w:div>
    <w:div w:id="2017731046">
      <w:bodyDiv w:val="1"/>
      <w:marLeft w:val="0"/>
      <w:marRight w:val="0"/>
      <w:marTop w:val="0"/>
      <w:marBottom w:val="0"/>
      <w:divBdr>
        <w:top w:val="none" w:sz="0" w:space="0" w:color="auto"/>
        <w:left w:val="none" w:sz="0" w:space="0" w:color="auto"/>
        <w:bottom w:val="none" w:sz="0" w:space="0" w:color="auto"/>
        <w:right w:val="none" w:sz="0" w:space="0" w:color="auto"/>
      </w:divBdr>
    </w:div>
    <w:div w:id="2017733278">
      <w:bodyDiv w:val="1"/>
      <w:marLeft w:val="0"/>
      <w:marRight w:val="0"/>
      <w:marTop w:val="0"/>
      <w:marBottom w:val="0"/>
      <w:divBdr>
        <w:top w:val="none" w:sz="0" w:space="0" w:color="auto"/>
        <w:left w:val="none" w:sz="0" w:space="0" w:color="auto"/>
        <w:bottom w:val="none" w:sz="0" w:space="0" w:color="auto"/>
        <w:right w:val="none" w:sz="0" w:space="0" w:color="auto"/>
      </w:divBdr>
    </w:div>
    <w:div w:id="2017804375">
      <w:bodyDiv w:val="1"/>
      <w:marLeft w:val="0"/>
      <w:marRight w:val="0"/>
      <w:marTop w:val="0"/>
      <w:marBottom w:val="0"/>
      <w:divBdr>
        <w:top w:val="none" w:sz="0" w:space="0" w:color="auto"/>
        <w:left w:val="none" w:sz="0" w:space="0" w:color="auto"/>
        <w:bottom w:val="none" w:sz="0" w:space="0" w:color="auto"/>
        <w:right w:val="none" w:sz="0" w:space="0" w:color="auto"/>
      </w:divBdr>
    </w:div>
    <w:div w:id="2018147754">
      <w:bodyDiv w:val="1"/>
      <w:marLeft w:val="0"/>
      <w:marRight w:val="0"/>
      <w:marTop w:val="0"/>
      <w:marBottom w:val="0"/>
      <w:divBdr>
        <w:top w:val="none" w:sz="0" w:space="0" w:color="auto"/>
        <w:left w:val="none" w:sz="0" w:space="0" w:color="auto"/>
        <w:bottom w:val="none" w:sz="0" w:space="0" w:color="auto"/>
        <w:right w:val="none" w:sz="0" w:space="0" w:color="auto"/>
      </w:divBdr>
    </w:div>
    <w:div w:id="2018186999">
      <w:bodyDiv w:val="1"/>
      <w:marLeft w:val="0"/>
      <w:marRight w:val="0"/>
      <w:marTop w:val="0"/>
      <w:marBottom w:val="0"/>
      <w:divBdr>
        <w:top w:val="none" w:sz="0" w:space="0" w:color="auto"/>
        <w:left w:val="none" w:sz="0" w:space="0" w:color="auto"/>
        <w:bottom w:val="none" w:sz="0" w:space="0" w:color="auto"/>
        <w:right w:val="none" w:sz="0" w:space="0" w:color="auto"/>
      </w:divBdr>
    </w:div>
    <w:div w:id="2018195623">
      <w:bodyDiv w:val="1"/>
      <w:marLeft w:val="0"/>
      <w:marRight w:val="0"/>
      <w:marTop w:val="0"/>
      <w:marBottom w:val="0"/>
      <w:divBdr>
        <w:top w:val="none" w:sz="0" w:space="0" w:color="auto"/>
        <w:left w:val="none" w:sz="0" w:space="0" w:color="auto"/>
        <w:bottom w:val="none" w:sz="0" w:space="0" w:color="auto"/>
        <w:right w:val="none" w:sz="0" w:space="0" w:color="auto"/>
      </w:divBdr>
    </w:div>
    <w:div w:id="2018269765">
      <w:bodyDiv w:val="1"/>
      <w:marLeft w:val="0"/>
      <w:marRight w:val="0"/>
      <w:marTop w:val="0"/>
      <w:marBottom w:val="0"/>
      <w:divBdr>
        <w:top w:val="none" w:sz="0" w:space="0" w:color="auto"/>
        <w:left w:val="none" w:sz="0" w:space="0" w:color="auto"/>
        <w:bottom w:val="none" w:sz="0" w:space="0" w:color="auto"/>
        <w:right w:val="none" w:sz="0" w:space="0" w:color="auto"/>
      </w:divBdr>
    </w:div>
    <w:div w:id="2018382117">
      <w:bodyDiv w:val="1"/>
      <w:marLeft w:val="0"/>
      <w:marRight w:val="0"/>
      <w:marTop w:val="0"/>
      <w:marBottom w:val="0"/>
      <w:divBdr>
        <w:top w:val="none" w:sz="0" w:space="0" w:color="auto"/>
        <w:left w:val="none" w:sz="0" w:space="0" w:color="auto"/>
        <w:bottom w:val="none" w:sz="0" w:space="0" w:color="auto"/>
        <w:right w:val="none" w:sz="0" w:space="0" w:color="auto"/>
      </w:divBdr>
    </w:div>
    <w:div w:id="2018457007">
      <w:bodyDiv w:val="1"/>
      <w:marLeft w:val="0"/>
      <w:marRight w:val="0"/>
      <w:marTop w:val="0"/>
      <w:marBottom w:val="0"/>
      <w:divBdr>
        <w:top w:val="none" w:sz="0" w:space="0" w:color="auto"/>
        <w:left w:val="none" w:sz="0" w:space="0" w:color="auto"/>
        <w:bottom w:val="none" w:sz="0" w:space="0" w:color="auto"/>
        <w:right w:val="none" w:sz="0" w:space="0" w:color="auto"/>
      </w:divBdr>
    </w:div>
    <w:div w:id="2018463339">
      <w:bodyDiv w:val="1"/>
      <w:marLeft w:val="0"/>
      <w:marRight w:val="0"/>
      <w:marTop w:val="0"/>
      <w:marBottom w:val="0"/>
      <w:divBdr>
        <w:top w:val="none" w:sz="0" w:space="0" w:color="auto"/>
        <w:left w:val="none" w:sz="0" w:space="0" w:color="auto"/>
        <w:bottom w:val="none" w:sz="0" w:space="0" w:color="auto"/>
        <w:right w:val="none" w:sz="0" w:space="0" w:color="auto"/>
      </w:divBdr>
    </w:div>
    <w:div w:id="2018582132">
      <w:bodyDiv w:val="1"/>
      <w:marLeft w:val="0"/>
      <w:marRight w:val="0"/>
      <w:marTop w:val="0"/>
      <w:marBottom w:val="0"/>
      <w:divBdr>
        <w:top w:val="none" w:sz="0" w:space="0" w:color="auto"/>
        <w:left w:val="none" w:sz="0" w:space="0" w:color="auto"/>
        <w:bottom w:val="none" w:sz="0" w:space="0" w:color="auto"/>
        <w:right w:val="none" w:sz="0" w:space="0" w:color="auto"/>
      </w:divBdr>
    </w:div>
    <w:div w:id="2018729119">
      <w:bodyDiv w:val="1"/>
      <w:marLeft w:val="0"/>
      <w:marRight w:val="0"/>
      <w:marTop w:val="0"/>
      <w:marBottom w:val="0"/>
      <w:divBdr>
        <w:top w:val="none" w:sz="0" w:space="0" w:color="auto"/>
        <w:left w:val="none" w:sz="0" w:space="0" w:color="auto"/>
        <w:bottom w:val="none" w:sz="0" w:space="0" w:color="auto"/>
        <w:right w:val="none" w:sz="0" w:space="0" w:color="auto"/>
      </w:divBdr>
    </w:div>
    <w:div w:id="2018730664">
      <w:bodyDiv w:val="1"/>
      <w:marLeft w:val="0"/>
      <w:marRight w:val="0"/>
      <w:marTop w:val="0"/>
      <w:marBottom w:val="0"/>
      <w:divBdr>
        <w:top w:val="none" w:sz="0" w:space="0" w:color="auto"/>
        <w:left w:val="none" w:sz="0" w:space="0" w:color="auto"/>
        <w:bottom w:val="none" w:sz="0" w:space="0" w:color="auto"/>
        <w:right w:val="none" w:sz="0" w:space="0" w:color="auto"/>
      </w:divBdr>
    </w:div>
    <w:div w:id="2018732552">
      <w:bodyDiv w:val="1"/>
      <w:marLeft w:val="0"/>
      <w:marRight w:val="0"/>
      <w:marTop w:val="0"/>
      <w:marBottom w:val="0"/>
      <w:divBdr>
        <w:top w:val="none" w:sz="0" w:space="0" w:color="auto"/>
        <w:left w:val="none" w:sz="0" w:space="0" w:color="auto"/>
        <w:bottom w:val="none" w:sz="0" w:space="0" w:color="auto"/>
        <w:right w:val="none" w:sz="0" w:space="0" w:color="auto"/>
      </w:divBdr>
    </w:div>
    <w:div w:id="2018732935">
      <w:bodyDiv w:val="1"/>
      <w:marLeft w:val="0"/>
      <w:marRight w:val="0"/>
      <w:marTop w:val="0"/>
      <w:marBottom w:val="0"/>
      <w:divBdr>
        <w:top w:val="none" w:sz="0" w:space="0" w:color="auto"/>
        <w:left w:val="none" w:sz="0" w:space="0" w:color="auto"/>
        <w:bottom w:val="none" w:sz="0" w:space="0" w:color="auto"/>
        <w:right w:val="none" w:sz="0" w:space="0" w:color="auto"/>
      </w:divBdr>
    </w:div>
    <w:div w:id="2018802135">
      <w:bodyDiv w:val="1"/>
      <w:marLeft w:val="0"/>
      <w:marRight w:val="0"/>
      <w:marTop w:val="0"/>
      <w:marBottom w:val="0"/>
      <w:divBdr>
        <w:top w:val="none" w:sz="0" w:space="0" w:color="auto"/>
        <w:left w:val="none" w:sz="0" w:space="0" w:color="auto"/>
        <w:bottom w:val="none" w:sz="0" w:space="0" w:color="auto"/>
        <w:right w:val="none" w:sz="0" w:space="0" w:color="auto"/>
      </w:divBdr>
    </w:div>
    <w:div w:id="2018802652">
      <w:bodyDiv w:val="1"/>
      <w:marLeft w:val="0"/>
      <w:marRight w:val="0"/>
      <w:marTop w:val="0"/>
      <w:marBottom w:val="0"/>
      <w:divBdr>
        <w:top w:val="none" w:sz="0" w:space="0" w:color="auto"/>
        <w:left w:val="none" w:sz="0" w:space="0" w:color="auto"/>
        <w:bottom w:val="none" w:sz="0" w:space="0" w:color="auto"/>
        <w:right w:val="none" w:sz="0" w:space="0" w:color="auto"/>
      </w:divBdr>
    </w:div>
    <w:div w:id="2018841757">
      <w:bodyDiv w:val="1"/>
      <w:marLeft w:val="0"/>
      <w:marRight w:val="0"/>
      <w:marTop w:val="0"/>
      <w:marBottom w:val="0"/>
      <w:divBdr>
        <w:top w:val="none" w:sz="0" w:space="0" w:color="auto"/>
        <w:left w:val="none" w:sz="0" w:space="0" w:color="auto"/>
        <w:bottom w:val="none" w:sz="0" w:space="0" w:color="auto"/>
        <w:right w:val="none" w:sz="0" w:space="0" w:color="auto"/>
      </w:divBdr>
    </w:div>
    <w:div w:id="2018968799">
      <w:bodyDiv w:val="1"/>
      <w:marLeft w:val="0"/>
      <w:marRight w:val="0"/>
      <w:marTop w:val="0"/>
      <w:marBottom w:val="0"/>
      <w:divBdr>
        <w:top w:val="none" w:sz="0" w:space="0" w:color="auto"/>
        <w:left w:val="none" w:sz="0" w:space="0" w:color="auto"/>
        <w:bottom w:val="none" w:sz="0" w:space="0" w:color="auto"/>
        <w:right w:val="none" w:sz="0" w:space="0" w:color="auto"/>
      </w:divBdr>
    </w:div>
    <w:div w:id="2018993224">
      <w:bodyDiv w:val="1"/>
      <w:marLeft w:val="0"/>
      <w:marRight w:val="0"/>
      <w:marTop w:val="0"/>
      <w:marBottom w:val="0"/>
      <w:divBdr>
        <w:top w:val="none" w:sz="0" w:space="0" w:color="auto"/>
        <w:left w:val="none" w:sz="0" w:space="0" w:color="auto"/>
        <w:bottom w:val="none" w:sz="0" w:space="0" w:color="auto"/>
        <w:right w:val="none" w:sz="0" w:space="0" w:color="auto"/>
      </w:divBdr>
    </w:div>
    <w:div w:id="2019040211">
      <w:bodyDiv w:val="1"/>
      <w:marLeft w:val="0"/>
      <w:marRight w:val="0"/>
      <w:marTop w:val="0"/>
      <w:marBottom w:val="0"/>
      <w:divBdr>
        <w:top w:val="none" w:sz="0" w:space="0" w:color="auto"/>
        <w:left w:val="none" w:sz="0" w:space="0" w:color="auto"/>
        <w:bottom w:val="none" w:sz="0" w:space="0" w:color="auto"/>
        <w:right w:val="none" w:sz="0" w:space="0" w:color="auto"/>
      </w:divBdr>
    </w:div>
    <w:div w:id="2019041607">
      <w:bodyDiv w:val="1"/>
      <w:marLeft w:val="0"/>
      <w:marRight w:val="0"/>
      <w:marTop w:val="0"/>
      <w:marBottom w:val="0"/>
      <w:divBdr>
        <w:top w:val="none" w:sz="0" w:space="0" w:color="auto"/>
        <w:left w:val="none" w:sz="0" w:space="0" w:color="auto"/>
        <w:bottom w:val="none" w:sz="0" w:space="0" w:color="auto"/>
        <w:right w:val="none" w:sz="0" w:space="0" w:color="auto"/>
      </w:divBdr>
    </w:div>
    <w:div w:id="2019190678">
      <w:bodyDiv w:val="1"/>
      <w:marLeft w:val="0"/>
      <w:marRight w:val="0"/>
      <w:marTop w:val="0"/>
      <w:marBottom w:val="0"/>
      <w:divBdr>
        <w:top w:val="none" w:sz="0" w:space="0" w:color="auto"/>
        <w:left w:val="none" w:sz="0" w:space="0" w:color="auto"/>
        <w:bottom w:val="none" w:sz="0" w:space="0" w:color="auto"/>
        <w:right w:val="none" w:sz="0" w:space="0" w:color="auto"/>
      </w:divBdr>
    </w:div>
    <w:div w:id="2019236452">
      <w:bodyDiv w:val="1"/>
      <w:marLeft w:val="0"/>
      <w:marRight w:val="0"/>
      <w:marTop w:val="0"/>
      <w:marBottom w:val="0"/>
      <w:divBdr>
        <w:top w:val="none" w:sz="0" w:space="0" w:color="auto"/>
        <w:left w:val="none" w:sz="0" w:space="0" w:color="auto"/>
        <w:bottom w:val="none" w:sz="0" w:space="0" w:color="auto"/>
        <w:right w:val="none" w:sz="0" w:space="0" w:color="auto"/>
      </w:divBdr>
    </w:div>
    <w:div w:id="2019384670">
      <w:bodyDiv w:val="1"/>
      <w:marLeft w:val="0"/>
      <w:marRight w:val="0"/>
      <w:marTop w:val="0"/>
      <w:marBottom w:val="0"/>
      <w:divBdr>
        <w:top w:val="none" w:sz="0" w:space="0" w:color="auto"/>
        <w:left w:val="none" w:sz="0" w:space="0" w:color="auto"/>
        <w:bottom w:val="none" w:sz="0" w:space="0" w:color="auto"/>
        <w:right w:val="none" w:sz="0" w:space="0" w:color="auto"/>
      </w:divBdr>
    </w:div>
    <w:div w:id="2019497808">
      <w:bodyDiv w:val="1"/>
      <w:marLeft w:val="0"/>
      <w:marRight w:val="0"/>
      <w:marTop w:val="0"/>
      <w:marBottom w:val="0"/>
      <w:divBdr>
        <w:top w:val="none" w:sz="0" w:space="0" w:color="auto"/>
        <w:left w:val="none" w:sz="0" w:space="0" w:color="auto"/>
        <w:bottom w:val="none" w:sz="0" w:space="0" w:color="auto"/>
        <w:right w:val="none" w:sz="0" w:space="0" w:color="auto"/>
      </w:divBdr>
    </w:div>
    <w:div w:id="2019575041">
      <w:bodyDiv w:val="1"/>
      <w:marLeft w:val="0"/>
      <w:marRight w:val="0"/>
      <w:marTop w:val="0"/>
      <w:marBottom w:val="0"/>
      <w:divBdr>
        <w:top w:val="none" w:sz="0" w:space="0" w:color="auto"/>
        <w:left w:val="none" w:sz="0" w:space="0" w:color="auto"/>
        <w:bottom w:val="none" w:sz="0" w:space="0" w:color="auto"/>
        <w:right w:val="none" w:sz="0" w:space="0" w:color="auto"/>
      </w:divBdr>
    </w:div>
    <w:div w:id="2019652072">
      <w:bodyDiv w:val="1"/>
      <w:marLeft w:val="0"/>
      <w:marRight w:val="0"/>
      <w:marTop w:val="0"/>
      <w:marBottom w:val="0"/>
      <w:divBdr>
        <w:top w:val="none" w:sz="0" w:space="0" w:color="auto"/>
        <w:left w:val="none" w:sz="0" w:space="0" w:color="auto"/>
        <w:bottom w:val="none" w:sz="0" w:space="0" w:color="auto"/>
        <w:right w:val="none" w:sz="0" w:space="0" w:color="auto"/>
      </w:divBdr>
    </w:div>
    <w:div w:id="2019691479">
      <w:bodyDiv w:val="1"/>
      <w:marLeft w:val="0"/>
      <w:marRight w:val="0"/>
      <w:marTop w:val="0"/>
      <w:marBottom w:val="0"/>
      <w:divBdr>
        <w:top w:val="none" w:sz="0" w:space="0" w:color="auto"/>
        <w:left w:val="none" w:sz="0" w:space="0" w:color="auto"/>
        <w:bottom w:val="none" w:sz="0" w:space="0" w:color="auto"/>
        <w:right w:val="none" w:sz="0" w:space="0" w:color="auto"/>
      </w:divBdr>
    </w:div>
    <w:div w:id="2019765628">
      <w:bodyDiv w:val="1"/>
      <w:marLeft w:val="0"/>
      <w:marRight w:val="0"/>
      <w:marTop w:val="0"/>
      <w:marBottom w:val="0"/>
      <w:divBdr>
        <w:top w:val="none" w:sz="0" w:space="0" w:color="auto"/>
        <w:left w:val="none" w:sz="0" w:space="0" w:color="auto"/>
        <w:bottom w:val="none" w:sz="0" w:space="0" w:color="auto"/>
        <w:right w:val="none" w:sz="0" w:space="0" w:color="auto"/>
      </w:divBdr>
    </w:div>
    <w:div w:id="2019766473">
      <w:bodyDiv w:val="1"/>
      <w:marLeft w:val="0"/>
      <w:marRight w:val="0"/>
      <w:marTop w:val="0"/>
      <w:marBottom w:val="0"/>
      <w:divBdr>
        <w:top w:val="none" w:sz="0" w:space="0" w:color="auto"/>
        <w:left w:val="none" w:sz="0" w:space="0" w:color="auto"/>
        <w:bottom w:val="none" w:sz="0" w:space="0" w:color="auto"/>
        <w:right w:val="none" w:sz="0" w:space="0" w:color="auto"/>
      </w:divBdr>
    </w:div>
    <w:div w:id="2019845806">
      <w:bodyDiv w:val="1"/>
      <w:marLeft w:val="0"/>
      <w:marRight w:val="0"/>
      <w:marTop w:val="0"/>
      <w:marBottom w:val="0"/>
      <w:divBdr>
        <w:top w:val="none" w:sz="0" w:space="0" w:color="auto"/>
        <w:left w:val="none" w:sz="0" w:space="0" w:color="auto"/>
        <w:bottom w:val="none" w:sz="0" w:space="0" w:color="auto"/>
        <w:right w:val="none" w:sz="0" w:space="0" w:color="auto"/>
      </w:divBdr>
    </w:div>
    <w:div w:id="2019847658">
      <w:bodyDiv w:val="1"/>
      <w:marLeft w:val="0"/>
      <w:marRight w:val="0"/>
      <w:marTop w:val="0"/>
      <w:marBottom w:val="0"/>
      <w:divBdr>
        <w:top w:val="none" w:sz="0" w:space="0" w:color="auto"/>
        <w:left w:val="none" w:sz="0" w:space="0" w:color="auto"/>
        <w:bottom w:val="none" w:sz="0" w:space="0" w:color="auto"/>
        <w:right w:val="none" w:sz="0" w:space="0" w:color="auto"/>
      </w:divBdr>
    </w:div>
    <w:div w:id="2019847955">
      <w:bodyDiv w:val="1"/>
      <w:marLeft w:val="0"/>
      <w:marRight w:val="0"/>
      <w:marTop w:val="0"/>
      <w:marBottom w:val="0"/>
      <w:divBdr>
        <w:top w:val="none" w:sz="0" w:space="0" w:color="auto"/>
        <w:left w:val="none" w:sz="0" w:space="0" w:color="auto"/>
        <w:bottom w:val="none" w:sz="0" w:space="0" w:color="auto"/>
        <w:right w:val="none" w:sz="0" w:space="0" w:color="auto"/>
      </w:divBdr>
    </w:div>
    <w:div w:id="2020153857">
      <w:bodyDiv w:val="1"/>
      <w:marLeft w:val="0"/>
      <w:marRight w:val="0"/>
      <w:marTop w:val="0"/>
      <w:marBottom w:val="0"/>
      <w:divBdr>
        <w:top w:val="none" w:sz="0" w:space="0" w:color="auto"/>
        <w:left w:val="none" w:sz="0" w:space="0" w:color="auto"/>
        <w:bottom w:val="none" w:sz="0" w:space="0" w:color="auto"/>
        <w:right w:val="none" w:sz="0" w:space="0" w:color="auto"/>
      </w:divBdr>
    </w:div>
    <w:div w:id="2020228962">
      <w:bodyDiv w:val="1"/>
      <w:marLeft w:val="0"/>
      <w:marRight w:val="0"/>
      <w:marTop w:val="0"/>
      <w:marBottom w:val="0"/>
      <w:divBdr>
        <w:top w:val="none" w:sz="0" w:space="0" w:color="auto"/>
        <w:left w:val="none" w:sz="0" w:space="0" w:color="auto"/>
        <w:bottom w:val="none" w:sz="0" w:space="0" w:color="auto"/>
        <w:right w:val="none" w:sz="0" w:space="0" w:color="auto"/>
      </w:divBdr>
    </w:div>
    <w:div w:id="2020229593">
      <w:bodyDiv w:val="1"/>
      <w:marLeft w:val="0"/>
      <w:marRight w:val="0"/>
      <w:marTop w:val="0"/>
      <w:marBottom w:val="0"/>
      <w:divBdr>
        <w:top w:val="none" w:sz="0" w:space="0" w:color="auto"/>
        <w:left w:val="none" w:sz="0" w:space="0" w:color="auto"/>
        <w:bottom w:val="none" w:sz="0" w:space="0" w:color="auto"/>
        <w:right w:val="none" w:sz="0" w:space="0" w:color="auto"/>
      </w:divBdr>
    </w:div>
    <w:div w:id="2020237189">
      <w:bodyDiv w:val="1"/>
      <w:marLeft w:val="0"/>
      <w:marRight w:val="0"/>
      <w:marTop w:val="0"/>
      <w:marBottom w:val="0"/>
      <w:divBdr>
        <w:top w:val="none" w:sz="0" w:space="0" w:color="auto"/>
        <w:left w:val="none" w:sz="0" w:space="0" w:color="auto"/>
        <w:bottom w:val="none" w:sz="0" w:space="0" w:color="auto"/>
        <w:right w:val="none" w:sz="0" w:space="0" w:color="auto"/>
      </w:divBdr>
    </w:div>
    <w:div w:id="2020423450">
      <w:bodyDiv w:val="1"/>
      <w:marLeft w:val="0"/>
      <w:marRight w:val="0"/>
      <w:marTop w:val="0"/>
      <w:marBottom w:val="0"/>
      <w:divBdr>
        <w:top w:val="none" w:sz="0" w:space="0" w:color="auto"/>
        <w:left w:val="none" w:sz="0" w:space="0" w:color="auto"/>
        <w:bottom w:val="none" w:sz="0" w:space="0" w:color="auto"/>
        <w:right w:val="none" w:sz="0" w:space="0" w:color="auto"/>
      </w:divBdr>
    </w:div>
    <w:div w:id="2020498854">
      <w:bodyDiv w:val="1"/>
      <w:marLeft w:val="0"/>
      <w:marRight w:val="0"/>
      <w:marTop w:val="0"/>
      <w:marBottom w:val="0"/>
      <w:divBdr>
        <w:top w:val="none" w:sz="0" w:space="0" w:color="auto"/>
        <w:left w:val="none" w:sz="0" w:space="0" w:color="auto"/>
        <w:bottom w:val="none" w:sz="0" w:space="0" w:color="auto"/>
        <w:right w:val="none" w:sz="0" w:space="0" w:color="auto"/>
      </w:divBdr>
    </w:div>
    <w:div w:id="2020618757">
      <w:bodyDiv w:val="1"/>
      <w:marLeft w:val="0"/>
      <w:marRight w:val="0"/>
      <w:marTop w:val="0"/>
      <w:marBottom w:val="0"/>
      <w:divBdr>
        <w:top w:val="none" w:sz="0" w:space="0" w:color="auto"/>
        <w:left w:val="none" w:sz="0" w:space="0" w:color="auto"/>
        <w:bottom w:val="none" w:sz="0" w:space="0" w:color="auto"/>
        <w:right w:val="none" w:sz="0" w:space="0" w:color="auto"/>
      </w:divBdr>
    </w:div>
    <w:div w:id="2020621793">
      <w:bodyDiv w:val="1"/>
      <w:marLeft w:val="0"/>
      <w:marRight w:val="0"/>
      <w:marTop w:val="0"/>
      <w:marBottom w:val="0"/>
      <w:divBdr>
        <w:top w:val="none" w:sz="0" w:space="0" w:color="auto"/>
        <w:left w:val="none" w:sz="0" w:space="0" w:color="auto"/>
        <w:bottom w:val="none" w:sz="0" w:space="0" w:color="auto"/>
        <w:right w:val="none" w:sz="0" w:space="0" w:color="auto"/>
      </w:divBdr>
    </w:div>
    <w:div w:id="2021002163">
      <w:bodyDiv w:val="1"/>
      <w:marLeft w:val="0"/>
      <w:marRight w:val="0"/>
      <w:marTop w:val="0"/>
      <w:marBottom w:val="0"/>
      <w:divBdr>
        <w:top w:val="none" w:sz="0" w:space="0" w:color="auto"/>
        <w:left w:val="none" w:sz="0" w:space="0" w:color="auto"/>
        <w:bottom w:val="none" w:sz="0" w:space="0" w:color="auto"/>
        <w:right w:val="none" w:sz="0" w:space="0" w:color="auto"/>
      </w:divBdr>
    </w:div>
    <w:div w:id="2021006969">
      <w:bodyDiv w:val="1"/>
      <w:marLeft w:val="0"/>
      <w:marRight w:val="0"/>
      <w:marTop w:val="0"/>
      <w:marBottom w:val="0"/>
      <w:divBdr>
        <w:top w:val="none" w:sz="0" w:space="0" w:color="auto"/>
        <w:left w:val="none" w:sz="0" w:space="0" w:color="auto"/>
        <w:bottom w:val="none" w:sz="0" w:space="0" w:color="auto"/>
        <w:right w:val="none" w:sz="0" w:space="0" w:color="auto"/>
      </w:divBdr>
    </w:div>
    <w:div w:id="2021081331">
      <w:bodyDiv w:val="1"/>
      <w:marLeft w:val="0"/>
      <w:marRight w:val="0"/>
      <w:marTop w:val="0"/>
      <w:marBottom w:val="0"/>
      <w:divBdr>
        <w:top w:val="none" w:sz="0" w:space="0" w:color="auto"/>
        <w:left w:val="none" w:sz="0" w:space="0" w:color="auto"/>
        <w:bottom w:val="none" w:sz="0" w:space="0" w:color="auto"/>
        <w:right w:val="none" w:sz="0" w:space="0" w:color="auto"/>
      </w:divBdr>
    </w:div>
    <w:div w:id="2021273283">
      <w:bodyDiv w:val="1"/>
      <w:marLeft w:val="0"/>
      <w:marRight w:val="0"/>
      <w:marTop w:val="0"/>
      <w:marBottom w:val="0"/>
      <w:divBdr>
        <w:top w:val="none" w:sz="0" w:space="0" w:color="auto"/>
        <w:left w:val="none" w:sz="0" w:space="0" w:color="auto"/>
        <w:bottom w:val="none" w:sz="0" w:space="0" w:color="auto"/>
        <w:right w:val="none" w:sz="0" w:space="0" w:color="auto"/>
      </w:divBdr>
    </w:div>
    <w:div w:id="2021346145">
      <w:bodyDiv w:val="1"/>
      <w:marLeft w:val="0"/>
      <w:marRight w:val="0"/>
      <w:marTop w:val="0"/>
      <w:marBottom w:val="0"/>
      <w:divBdr>
        <w:top w:val="none" w:sz="0" w:space="0" w:color="auto"/>
        <w:left w:val="none" w:sz="0" w:space="0" w:color="auto"/>
        <w:bottom w:val="none" w:sz="0" w:space="0" w:color="auto"/>
        <w:right w:val="none" w:sz="0" w:space="0" w:color="auto"/>
      </w:divBdr>
    </w:div>
    <w:div w:id="2021392547">
      <w:bodyDiv w:val="1"/>
      <w:marLeft w:val="0"/>
      <w:marRight w:val="0"/>
      <w:marTop w:val="0"/>
      <w:marBottom w:val="0"/>
      <w:divBdr>
        <w:top w:val="none" w:sz="0" w:space="0" w:color="auto"/>
        <w:left w:val="none" w:sz="0" w:space="0" w:color="auto"/>
        <w:bottom w:val="none" w:sz="0" w:space="0" w:color="auto"/>
        <w:right w:val="none" w:sz="0" w:space="0" w:color="auto"/>
      </w:divBdr>
    </w:div>
    <w:div w:id="2021540664">
      <w:bodyDiv w:val="1"/>
      <w:marLeft w:val="0"/>
      <w:marRight w:val="0"/>
      <w:marTop w:val="0"/>
      <w:marBottom w:val="0"/>
      <w:divBdr>
        <w:top w:val="none" w:sz="0" w:space="0" w:color="auto"/>
        <w:left w:val="none" w:sz="0" w:space="0" w:color="auto"/>
        <w:bottom w:val="none" w:sz="0" w:space="0" w:color="auto"/>
        <w:right w:val="none" w:sz="0" w:space="0" w:color="auto"/>
      </w:divBdr>
    </w:div>
    <w:div w:id="2021541305">
      <w:bodyDiv w:val="1"/>
      <w:marLeft w:val="0"/>
      <w:marRight w:val="0"/>
      <w:marTop w:val="0"/>
      <w:marBottom w:val="0"/>
      <w:divBdr>
        <w:top w:val="none" w:sz="0" w:space="0" w:color="auto"/>
        <w:left w:val="none" w:sz="0" w:space="0" w:color="auto"/>
        <w:bottom w:val="none" w:sz="0" w:space="0" w:color="auto"/>
        <w:right w:val="none" w:sz="0" w:space="0" w:color="auto"/>
      </w:divBdr>
    </w:div>
    <w:div w:id="2021740941">
      <w:bodyDiv w:val="1"/>
      <w:marLeft w:val="0"/>
      <w:marRight w:val="0"/>
      <w:marTop w:val="0"/>
      <w:marBottom w:val="0"/>
      <w:divBdr>
        <w:top w:val="none" w:sz="0" w:space="0" w:color="auto"/>
        <w:left w:val="none" w:sz="0" w:space="0" w:color="auto"/>
        <w:bottom w:val="none" w:sz="0" w:space="0" w:color="auto"/>
        <w:right w:val="none" w:sz="0" w:space="0" w:color="auto"/>
      </w:divBdr>
    </w:div>
    <w:div w:id="2021807163">
      <w:bodyDiv w:val="1"/>
      <w:marLeft w:val="0"/>
      <w:marRight w:val="0"/>
      <w:marTop w:val="0"/>
      <w:marBottom w:val="0"/>
      <w:divBdr>
        <w:top w:val="none" w:sz="0" w:space="0" w:color="auto"/>
        <w:left w:val="none" w:sz="0" w:space="0" w:color="auto"/>
        <w:bottom w:val="none" w:sz="0" w:space="0" w:color="auto"/>
        <w:right w:val="none" w:sz="0" w:space="0" w:color="auto"/>
      </w:divBdr>
    </w:div>
    <w:div w:id="2021883661">
      <w:bodyDiv w:val="1"/>
      <w:marLeft w:val="0"/>
      <w:marRight w:val="0"/>
      <w:marTop w:val="0"/>
      <w:marBottom w:val="0"/>
      <w:divBdr>
        <w:top w:val="none" w:sz="0" w:space="0" w:color="auto"/>
        <w:left w:val="none" w:sz="0" w:space="0" w:color="auto"/>
        <w:bottom w:val="none" w:sz="0" w:space="0" w:color="auto"/>
        <w:right w:val="none" w:sz="0" w:space="0" w:color="auto"/>
      </w:divBdr>
    </w:div>
    <w:div w:id="2021925168">
      <w:bodyDiv w:val="1"/>
      <w:marLeft w:val="0"/>
      <w:marRight w:val="0"/>
      <w:marTop w:val="0"/>
      <w:marBottom w:val="0"/>
      <w:divBdr>
        <w:top w:val="none" w:sz="0" w:space="0" w:color="auto"/>
        <w:left w:val="none" w:sz="0" w:space="0" w:color="auto"/>
        <w:bottom w:val="none" w:sz="0" w:space="0" w:color="auto"/>
        <w:right w:val="none" w:sz="0" w:space="0" w:color="auto"/>
      </w:divBdr>
    </w:div>
    <w:div w:id="2021926719">
      <w:bodyDiv w:val="1"/>
      <w:marLeft w:val="0"/>
      <w:marRight w:val="0"/>
      <w:marTop w:val="0"/>
      <w:marBottom w:val="0"/>
      <w:divBdr>
        <w:top w:val="none" w:sz="0" w:space="0" w:color="auto"/>
        <w:left w:val="none" w:sz="0" w:space="0" w:color="auto"/>
        <w:bottom w:val="none" w:sz="0" w:space="0" w:color="auto"/>
        <w:right w:val="none" w:sz="0" w:space="0" w:color="auto"/>
      </w:divBdr>
    </w:div>
    <w:div w:id="2022051380">
      <w:bodyDiv w:val="1"/>
      <w:marLeft w:val="0"/>
      <w:marRight w:val="0"/>
      <w:marTop w:val="0"/>
      <w:marBottom w:val="0"/>
      <w:divBdr>
        <w:top w:val="none" w:sz="0" w:space="0" w:color="auto"/>
        <w:left w:val="none" w:sz="0" w:space="0" w:color="auto"/>
        <w:bottom w:val="none" w:sz="0" w:space="0" w:color="auto"/>
        <w:right w:val="none" w:sz="0" w:space="0" w:color="auto"/>
      </w:divBdr>
    </w:div>
    <w:div w:id="2022075462">
      <w:bodyDiv w:val="1"/>
      <w:marLeft w:val="0"/>
      <w:marRight w:val="0"/>
      <w:marTop w:val="0"/>
      <w:marBottom w:val="0"/>
      <w:divBdr>
        <w:top w:val="none" w:sz="0" w:space="0" w:color="auto"/>
        <w:left w:val="none" w:sz="0" w:space="0" w:color="auto"/>
        <w:bottom w:val="none" w:sz="0" w:space="0" w:color="auto"/>
        <w:right w:val="none" w:sz="0" w:space="0" w:color="auto"/>
      </w:divBdr>
    </w:div>
    <w:div w:id="2022079102">
      <w:bodyDiv w:val="1"/>
      <w:marLeft w:val="0"/>
      <w:marRight w:val="0"/>
      <w:marTop w:val="0"/>
      <w:marBottom w:val="0"/>
      <w:divBdr>
        <w:top w:val="none" w:sz="0" w:space="0" w:color="auto"/>
        <w:left w:val="none" w:sz="0" w:space="0" w:color="auto"/>
        <w:bottom w:val="none" w:sz="0" w:space="0" w:color="auto"/>
        <w:right w:val="none" w:sz="0" w:space="0" w:color="auto"/>
      </w:divBdr>
    </w:div>
    <w:div w:id="2022125487">
      <w:bodyDiv w:val="1"/>
      <w:marLeft w:val="0"/>
      <w:marRight w:val="0"/>
      <w:marTop w:val="0"/>
      <w:marBottom w:val="0"/>
      <w:divBdr>
        <w:top w:val="none" w:sz="0" w:space="0" w:color="auto"/>
        <w:left w:val="none" w:sz="0" w:space="0" w:color="auto"/>
        <w:bottom w:val="none" w:sz="0" w:space="0" w:color="auto"/>
        <w:right w:val="none" w:sz="0" w:space="0" w:color="auto"/>
      </w:divBdr>
    </w:div>
    <w:div w:id="2022195943">
      <w:bodyDiv w:val="1"/>
      <w:marLeft w:val="0"/>
      <w:marRight w:val="0"/>
      <w:marTop w:val="0"/>
      <w:marBottom w:val="0"/>
      <w:divBdr>
        <w:top w:val="none" w:sz="0" w:space="0" w:color="auto"/>
        <w:left w:val="none" w:sz="0" w:space="0" w:color="auto"/>
        <w:bottom w:val="none" w:sz="0" w:space="0" w:color="auto"/>
        <w:right w:val="none" w:sz="0" w:space="0" w:color="auto"/>
      </w:divBdr>
    </w:div>
    <w:div w:id="2022538926">
      <w:bodyDiv w:val="1"/>
      <w:marLeft w:val="0"/>
      <w:marRight w:val="0"/>
      <w:marTop w:val="0"/>
      <w:marBottom w:val="0"/>
      <w:divBdr>
        <w:top w:val="none" w:sz="0" w:space="0" w:color="auto"/>
        <w:left w:val="none" w:sz="0" w:space="0" w:color="auto"/>
        <w:bottom w:val="none" w:sz="0" w:space="0" w:color="auto"/>
        <w:right w:val="none" w:sz="0" w:space="0" w:color="auto"/>
      </w:divBdr>
    </w:div>
    <w:div w:id="2022587880">
      <w:bodyDiv w:val="1"/>
      <w:marLeft w:val="0"/>
      <w:marRight w:val="0"/>
      <w:marTop w:val="0"/>
      <w:marBottom w:val="0"/>
      <w:divBdr>
        <w:top w:val="none" w:sz="0" w:space="0" w:color="auto"/>
        <w:left w:val="none" w:sz="0" w:space="0" w:color="auto"/>
        <w:bottom w:val="none" w:sz="0" w:space="0" w:color="auto"/>
        <w:right w:val="none" w:sz="0" w:space="0" w:color="auto"/>
      </w:divBdr>
    </w:div>
    <w:div w:id="2022730715">
      <w:bodyDiv w:val="1"/>
      <w:marLeft w:val="0"/>
      <w:marRight w:val="0"/>
      <w:marTop w:val="0"/>
      <w:marBottom w:val="0"/>
      <w:divBdr>
        <w:top w:val="none" w:sz="0" w:space="0" w:color="auto"/>
        <w:left w:val="none" w:sz="0" w:space="0" w:color="auto"/>
        <w:bottom w:val="none" w:sz="0" w:space="0" w:color="auto"/>
        <w:right w:val="none" w:sz="0" w:space="0" w:color="auto"/>
      </w:divBdr>
    </w:div>
    <w:div w:id="2022927555">
      <w:bodyDiv w:val="1"/>
      <w:marLeft w:val="0"/>
      <w:marRight w:val="0"/>
      <w:marTop w:val="0"/>
      <w:marBottom w:val="0"/>
      <w:divBdr>
        <w:top w:val="none" w:sz="0" w:space="0" w:color="auto"/>
        <w:left w:val="none" w:sz="0" w:space="0" w:color="auto"/>
        <w:bottom w:val="none" w:sz="0" w:space="0" w:color="auto"/>
        <w:right w:val="none" w:sz="0" w:space="0" w:color="auto"/>
      </w:divBdr>
    </w:div>
    <w:div w:id="2022932379">
      <w:bodyDiv w:val="1"/>
      <w:marLeft w:val="0"/>
      <w:marRight w:val="0"/>
      <w:marTop w:val="0"/>
      <w:marBottom w:val="0"/>
      <w:divBdr>
        <w:top w:val="none" w:sz="0" w:space="0" w:color="auto"/>
        <w:left w:val="none" w:sz="0" w:space="0" w:color="auto"/>
        <w:bottom w:val="none" w:sz="0" w:space="0" w:color="auto"/>
        <w:right w:val="none" w:sz="0" w:space="0" w:color="auto"/>
      </w:divBdr>
    </w:div>
    <w:div w:id="2022976319">
      <w:bodyDiv w:val="1"/>
      <w:marLeft w:val="0"/>
      <w:marRight w:val="0"/>
      <w:marTop w:val="0"/>
      <w:marBottom w:val="0"/>
      <w:divBdr>
        <w:top w:val="none" w:sz="0" w:space="0" w:color="auto"/>
        <w:left w:val="none" w:sz="0" w:space="0" w:color="auto"/>
        <w:bottom w:val="none" w:sz="0" w:space="0" w:color="auto"/>
        <w:right w:val="none" w:sz="0" w:space="0" w:color="auto"/>
      </w:divBdr>
    </w:div>
    <w:div w:id="2023239173">
      <w:bodyDiv w:val="1"/>
      <w:marLeft w:val="0"/>
      <w:marRight w:val="0"/>
      <w:marTop w:val="0"/>
      <w:marBottom w:val="0"/>
      <w:divBdr>
        <w:top w:val="none" w:sz="0" w:space="0" w:color="auto"/>
        <w:left w:val="none" w:sz="0" w:space="0" w:color="auto"/>
        <w:bottom w:val="none" w:sz="0" w:space="0" w:color="auto"/>
        <w:right w:val="none" w:sz="0" w:space="0" w:color="auto"/>
      </w:divBdr>
    </w:div>
    <w:div w:id="2023244321">
      <w:bodyDiv w:val="1"/>
      <w:marLeft w:val="0"/>
      <w:marRight w:val="0"/>
      <w:marTop w:val="0"/>
      <w:marBottom w:val="0"/>
      <w:divBdr>
        <w:top w:val="none" w:sz="0" w:space="0" w:color="auto"/>
        <w:left w:val="none" w:sz="0" w:space="0" w:color="auto"/>
        <w:bottom w:val="none" w:sz="0" w:space="0" w:color="auto"/>
        <w:right w:val="none" w:sz="0" w:space="0" w:color="auto"/>
      </w:divBdr>
    </w:div>
    <w:div w:id="2023319638">
      <w:bodyDiv w:val="1"/>
      <w:marLeft w:val="0"/>
      <w:marRight w:val="0"/>
      <w:marTop w:val="0"/>
      <w:marBottom w:val="0"/>
      <w:divBdr>
        <w:top w:val="none" w:sz="0" w:space="0" w:color="auto"/>
        <w:left w:val="none" w:sz="0" w:space="0" w:color="auto"/>
        <w:bottom w:val="none" w:sz="0" w:space="0" w:color="auto"/>
        <w:right w:val="none" w:sz="0" w:space="0" w:color="auto"/>
      </w:divBdr>
    </w:div>
    <w:div w:id="2023359169">
      <w:bodyDiv w:val="1"/>
      <w:marLeft w:val="0"/>
      <w:marRight w:val="0"/>
      <w:marTop w:val="0"/>
      <w:marBottom w:val="0"/>
      <w:divBdr>
        <w:top w:val="none" w:sz="0" w:space="0" w:color="auto"/>
        <w:left w:val="none" w:sz="0" w:space="0" w:color="auto"/>
        <w:bottom w:val="none" w:sz="0" w:space="0" w:color="auto"/>
        <w:right w:val="none" w:sz="0" w:space="0" w:color="auto"/>
      </w:divBdr>
    </w:div>
    <w:div w:id="2023390682">
      <w:bodyDiv w:val="1"/>
      <w:marLeft w:val="0"/>
      <w:marRight w:val="0"/>
      <w:marTop w:val="0"/>
      <w:marBottom w:val="0"/>
      <w:divBdr>
        <w:top w:val="none" w:sz="0" w:space="0" w:color="auto"/>
        <w:left w:val="none" w:sz="0" w:space="0" w:color="auto"/>
        <w:bottom w:val="none" w:sz="0" w:space="0" w:color="auto"/>
        <w:right w:val="none" w:sz="0" w:space="0" w:color="auto"/>
      </w:divBdr>
    </w:div>
    <w:div w:id="2023428775">
      <w:bodyDiv w:val="1"/>
      <w:marLeft w:val="0"/>
      <w:marRight w:val="0"/>
      <w:marTop w:val="0"/>
      <w:marBottom w:val="0"/>
      <w:divBdr>
        <w:top w:val="none" w:sz="0" w:space="0" w:color="auto"/>
        <w:left w:val="none" w:sz="0" w:space="0" w:color="auto"/>
        <w:bottom w:val="none" w:sz="0" w:space="0" w:color="auto"/>
        <w:right w:val="none" w:sz="0" w:space="0" w:color="auto"/>
      </w:divBdr>
    </w:div>
    <w:div w:id="2023434725">
      <w:bodyDiv w:val="1"/>
      <w:marLeft w:val="0"/>
      <w:marRight w:val="0"/>
      <w:marTop w:val="0"/>
      <w:marBottom w:val="0"/>
      <w:divBdr>
        <w:top w:val="none" w:sz="0" w:space="0" w:color="auto"/>
        <w:left w:val="none" w:sz="0" w:space="0" w:color="auto"/>
        <w:bottom w:val="none" w:sz="0" w:space="0" w:color="auto"/>
        <w:right w:val="none" w:sz="0" w:space="0" w:color="auto"/>
      </w:divBdr>
    </w:div>
    <w:div w:id="2023848476">
      <w:bodyDiv w:val="1"/>
      <w:marLeft w:val="0"/>
      <w:marRight w:val="0"/>
      <w:marTop w:val="0"/>
      <w:marBottom w:val="0"/>
      <w:divBdr>
        <w:top w:val="none" w:sz="0" w:space="0" w:color="auto"/>
        <w:left w:val="none" w:sz="0" w:space="0" w:color="auto"/>
        <w:bottom w:val="none" w:sz="0" w:space="0" w:color="auto"/>
        <w:right w:val="none" w:sz="0" w:space="0" w:color="auto"/>
      </w:divBdr>
    </w:div>
    <w:div w:id="2023894119">
      <w:bodyDiv w:val="1"/>
      <w:marLeft w:val="0"/>
      <w:marRight w:val="0"/>
      <w:marTop w:val="0"/>
      <w:marBottom w:val="0"/>
      <w:divBdr>
        <w:top w:val="none" w:sz="0" w:space="0" w:color="auto"/>
        <w:left w:val="none" w:sz="0" w:space="0" w:color="auto"/>
        <w:bottom w:val="none" w:sz="0" w:space="0" w:color="auto"/>
        <w:right w:val="none" w:sz="0" w:space="0" w:color="auto"/>
      </w:divBdr>
    </w:div>
    <w:div w:id="2023974183">
      <w:bodyDiv w:val="1"/>
      <w:marLeft w:val="0"/>
      <w:marRight w:val="0"/>
      <w:marTop w:val="0"/>
      <w:marBottom w:val="0"/>
      <w:divBdr>
        <w:top w:val="none" w:sz="0" w:space="0" w:color="auto"/>
        <w:left w:val="none" w:sz="0" w:space="0" w:color="auto"/>
        <w:bottom w:val="none" w:sz="0" w:space="0" w:color="auto"/>
        <w:right w:val="none" w:sz="0" w:space="0" w:color="auto"/>
      </w:divBdr>
    </w:div>
    <w:div w:id="2024042437">
      <w:bodyDiv w:val="1"/>
      <w:marLeft w:val="0"/>
      <w:marRight w:val="0"/>
      <w:marTop w:val="0"/>
      <w:marBottom w:val="0"/>
      <w:divBdr>
        <w:top w:val="none" w:sz="0" w:space="0" w:color="auto"/>
        <w:left w:val="none" w:sz="0" w:space="0" w:color="auto"/>
        <w:bottom w:val="none" w:sz="0" w:space="0" w:color="auto"/>
        <w:right w:val="none" w:sz="0" w:space="0" w:color="auto"/>
      </w:divBdr>
    </w:div>
    <w:div w:id="2024430023">
      <w:bodyDiv w:val="1"/>
      <w:marLeft w:val="0"/>
      <w:marRight w:val="0"/>
      <w:marTop w:val="0"/>
      <w:marBottom w:val="0"/>
      <w:divBdr>
        <w:top w:val="none" w:sz="0" w:space="0" w:color="auto"/>
        <w:left w:val="none" w:sz="0" w:space="0" w:color="auto"/>
        <w:bottom w:val="none" w:sz="0" w:space="0" w:color="auto"/>
        <w:right w:val="none" w:sz="0" w:space="0" w:color="auto"/>
      </w:divBdr>
    </w:div>
    <w:div w:id="2024479641">
      <w:bodyDiv w:val="1"/>
      <w:marLeft w:val="0"/>
      <w:marRight w:val="0"/>
      <w:marTop w:val="0"/>
      <w:marBottom w:val="0"/>
      <w:divBdr>
        <w:top w:val="none" w:sz="0" w:space="0" w:color="auto"/>
        <w:left w:val="none" w:sz="0" w:space="0" w:color="auto"/>
        <w:bottom w:val="none" w:sz="0" w:space="0" w:color="auto"/>
        <w:right w:val="none" w:sz="0" w:space="0" w:color="auto"/>
      </w:divBdr>
    </w:div>
    <w:div w:id="2024505195">
      <w:bodyDiv w:val="1"/>
      <w:marLeft w:val="0"/>
      <w:marRight w:val="0"/>
      <w:marTop w:val="0"/>
      <w:marBottom w:val="0"/>
      <w:divBdr>
        <w:top w:val="none" w:sz="0" w:space="0" w:color="auto"/>
        <w:left w:val="none" w:sz="0" w:space="0" w:color="auto"/>
        <w:bottom w:val="none" w:sz="0" w:space="0" w:color="auto"/>
        <w:right w:val="none" w:sz="0" w:space="0" w:color="auto"/>
      </w:divBdr>
    </w:div>
    <w:div w:id="2024551677">
      <w:bodyDiv w:val="1"/>
      <w:marLeft w:val="0"/>
      <w:marRight w:val="0"/>
      <w:marTop w:val="0"/>
      <w:marBottom w:val="0"/>
      <w:divBdr>
        <w:top w:val="none" w:sz="0" w:space="0" w:color="auto"/>
        <w:left w:val="none" w:sz="0" w:space="0" w:color="auto"/>
        <w:bottom w:val="none" w:sz="0" w:space="0" w:color="auto"/>
        <w:right w:val="none" w:sz="0" w:space="0" w:color="auto"/>
      </w:divBdr>
    </w:div>
    <w:div w:id="2024624738">
      <w:bodyDiv w:val="1"/>
      <w:marLeft w:val="0"/>
      <w:marRight w:val="0"/>
      <w:marTop w:val="0"/>
      <w:marBottom w:val="0"/>
      <w:divBdr>
        <w:top w:val="none" w:sz="0" w:space="0" w:color="auto"/>
        <w:left w:val="none" w:sz="0" w:space="0" w:color="auto"/>
        <w:bottom w:val="none" w:sz="0" w:space="0" w:color="auto"/>
        <w:right w:val="none" w:sz="0" w:space="0" w:color="auto"/>
      </w:divBdr>
    </w:div>
    <w:div w:id="2024628053">
      <w:bodyDiv w:val="1"/>
      <w:marLeft w:val="0"/>
      <w:marRight w:val="0"/>
      <w:marTop w:val="0"/>
      <w:marBottom w:val="0"/>
      <w:divBdr>
        <w:top w:val="none" w:sz="0" w:space="0" w:color="auto"/>
        <w:left w:val="none" w:sz="0" w:space="0" w:color="auto"/>
        <w:bottom w:val="none" w:sz="0" w:space="0" w:color="auto"/>
        <w:right w:val="none" w:sz="0" w:space="0" w:color="auto"/>
      </w:divBdr>
    </w:div>
    <w:div w:id="2024701299">
      <w:bodyDiv w:val="1"/>
      <w:marLeft w:val="0"/>
      <w:marRight w:val="0"/>
      <w:marTop w:val="0"/>
      <w:marBottom w:val="0"/>
      <w:divBdr>
        <w:top w:val="none" w:sz="0" w:space="0" w:color="auto"/>
        <w:left w:val="none" w:sz="0" w:space="0" w:color="auto"/>
        <w:bottom w:val="none" w:sz="0" w:space="0" w:color="auto"/>
        <w:right w:val="none" w:sz="0" w:space="0" w:color="auto"/>
      </w:divBdr>
    </w:div>
    <w:div w:id="2024743290">
      <w:bodyDiv w:val="1"/>
      <w:marLeft w:val="0"/>
      <w:marRight w:val="0"/>
      <w:marTop w:val="0"/>
      <w:marBottom w:val="0"/>
      <w:divBdr>
        <w:top w:val="none" w:sz="0" w:space="0" w:color="auto"/>
        <w:left w:val="none" w:sz="0" w:space="0" w:color="auto"/>
        <w:bottom w:val="none" w:sz="0" w:space="0" w:color="auto"/>
        <w:right w:val="none" w:sz="0" w:space="0" w:color="auto"/>
      </w:divBdr>
    </w:div>
    <w:div w:id="2024814920">
      <w:bodyDiv w:val="1"/>
      <w:marLeft w:val="0"/>
      <w:marRight w:val="0"/>
      <w:marTop w:val="0"/>
      <w:marBottom w:val="0"/>
      <w:divBdr>
        <w:top w:val="none" w:sz="0" w:space="0" w:color="auto"/>
        <w:left w:val="none" w:sz="0" w:space="0" w:color="auto"/>
        <w:bottom w:val="none" w:sz="0" w:space="0" w:color="auto"/>
        <w:right w:val="none" w:sz="0" w:space="0" w:color="auto"/>
      </w:divBdr>
    </w:div>
    <w:div w:id="2025128984">
      <w:bodyDiv w:val="1"/>
      <w:marLeft w:val="0"/>
      <w:marRight w:val="0"/>
      <w:marTop w:val="0"/>
      <w:marBottom w:val="0"/>
      <w:divBdr>
        <w:top w:val="none" w:sz="0" w:space="0" w:color="auto"/>
        <w:left w:val="none" w:sz="0" w:space="0" w:color="auto"/>
        <w:bottom w:val="none" w:sz="0" w:space="0" w:color="auto"/>
        <w:right w:val="none" w:sz="0" w:space="0" w:color="auto"/>
      </w:divBdr>
    </w:div>
    <w:div w:id="2025134304">
      <w:bodyDiv w:val="1"/>
      <w:marLeft w:val="0"/>
      <w:marRight w:val="0"/>
      <w:marTop w:val="0"/>
      <w:marBottom w:val="0"/>
      <w:divBdr>
        <w:top w:val="none" w:sz="0" w:space="0" w:color="auto"/>
        <w:left w:val="none" w:sz="0" w:space="0" w:color="auto"/>
        <w:bottom w:val="none" w:sz="0" w:space="0" w:color="auto"/>
        <w:right w:val="none" w:sz="0" w:space="0" w:color="auto"/>
      </w:divBdr>
    </w:div>
    <w:div w:id="2025206437">
      <w:bodyDiv w:val="1"/>
      <w:marLeft w:val="0"/>
      <w:marRight w:val="0"/>
      <w:marTop w:val="0"/>
      <w:marBottom w:val="0"/>
      <w:divBdr>
        <w:top w:val="none" w:sz="0" w:space="0" w:color="auto"/>
        <w:left w:val="none" w:sz="0" w:space="0" w:color="auto"/>
        <w:bottom w:val="none" w:sz="0" w:space="0" w:color="auto"/>
        <w:right w:val="none" w:sz="0" w:space="0" w:color="auto"/>
      </w:divBdr>
    </w:div>
    <w:div w:id="2025283069">
      <w:bodyDiv w:val="1"/>
      <w:marLeft w:val="0"/>
      <w:marRight w:val="0"/>
      <w:marTop w:val="0"/>
      <w:marBottom w:val="0"/>
      <w:divBdr>
        <w:top w:val="none" w:sz="0" w:space="0" w:color="auto"/>
        <w:left w:val="none" w:sz="0" w:space="0" w:color="auto"/>
        <w:bottom w:val="none" w:sz="0" w:space="0" w:color="auto"/>
        <w:right w:val="none" w:sz="0" w:space="0" w:color="auto"/>
      </w:divBdr>
    </w:div>
    <w:div w:id="2025402283">
      <w:bodyDiv w:val="1"/>
      <w:marLeft w:val="0"/>
      <w:marRight w:val="0"/>
      <w:marTop w:val="0"/>
      <w:marBottom w:val="0"/>
      <w:divBdr>
        <w:top w:val="none" w:sz="0" w:space="0" w:color="auto"/>
        <w:left w:val="none" w:sz="0" w:space="0" w:color="auto"/>
        <w:bottom w:val="none" w:sz="0" w:space="0" w:color="auto"/>
        <w:right w:val="none" w:sz="0" w:space="0" w:color="auto"/>
      </w:divBdr>
    </w:div>
    <w:div w:id="2025590233">
      <w:bodyDiv w:val="1"/>
      <w:marLeft w:val="0"/>
      <w:marRight w:val="0"/>
      <w:marTop w:val="0"/>
      <w:marBottom w:val="0"/>
      <w:divBdr>
        <w:top w:val="none" w:sz="0" w:space="0" w:color="auto"/>
        <w:left w:val="none" w:sz="0" w:space="0" w:color="auto"/>
        <w:bottom w:val="none" w:sz="0" w:space="0" w:color="auto"/>
        <w:right w:val="none" w:sz="0" w:space="0" w:color="auto"/>
      </w:divBdr>
    </w:div>
    <w:div w:id="2025591263">
      <w:bodyDiv w:val="1"/>
      <w:marLeft w:val="0"/>
      <w:marRight w:val="0"/>
      <w:marTop w:val="0"/>
      <w:marBottom w:val="0"/>
      <w:divBdr>
        <w:top w:val="none" w:sz="0" w:space="0" w:color="auto"/>
        <w:left w:val="none" w:sz="0" w:space="0" w:color="auto"/>
        <w:bottom w:val="none" w:sz="0" w:space="0" w:color="auto"/>
        <w:right w:val="none" w:sz="0" w:space="0" w:color="auto"/>
      </w:divBdr>
    </w:div>
    <w:div w:id="2025668578">
      <w:bodyDiv w:val="1"/>
      <w:marLeft w:val="0"/>
      <w:marRight w:val="0"/>
      <w:marTop w:val="0"/>
      <w:marBottom w:val="0"/>
      <w:divBdr>
        <w:top w:val="none" w:sz="0" w:space="0" w:color="auto"/>
        <w:left w:val="none" w:sz="0" w:space="0" w:color="auto"/>
        <w:bottom w:val="none" w:sz="0" w:space="0" w:color="auto"/>
        <w:right w:val="none" w:sz="0" w:space="0" w:color="auto"/>
      </w:divBdr>
    </w:div>
    <w:div w:id="2025742406">
      <w:bodyDiv w:val="1"/>
      <w:marLeft w:val="0"/>
      <w:marRight w:val="0"/>
      <w:marTop w:val="0"/>
      <w:marBottom w:val="0"/>
      <w:divBdr>
        <w:top w:val="none" w:sz="0" w:space="0" w:color="auto"/>
        <w:left w:val="none" w:sz="0" w:space="0" w:color="auto"/>
        <w:bottom w:val="none" w:sz="0" w:space="0" w:color="auto"/>
        <w:right w:val="none" w:sz="0" w:space="0" w:color="auto"/>
      </w:divBdr>
    </w:div>
    <w:div w:id="2025745459">
      <w:bodyDiv w:val="1"/>
      <w:marLeft w:val="0"/>
      <w:marRight w:val="0"/>
      <w:marTop w:val="0"/>
      <w:marBottom w:val="0"/>
      <w:divBdr>
        <w:top w:val="none" w:sz="0" w:space="0" w:color="auto"/>
        <w:left w:val="none" w:sz="0" w:space="0" w:color="auto"/>
        <w:bottom w:val="none" w:sz="0" w:space="0" w:color="auto"/>
        <w:right w:val="none" w:sz="0" w:space="0" w:color="auto"/>
      </w:divBdr>
    </w:div>
    <w:div w:id="2025747231">
      <w:bodyDiv w:val="1"/>
      <w:marLeft w:val="0"/>
      <w:marRight w:val="0"/>
      <w:marTop w:val="0"/>
      <w:marBottom w:val="0"/>
      <w:divBdr>
        <w:top w:val="none" w:sz="0" w:space="0" w:color="auto"/>
        <w:left w:val="none" w:sz="0" w:space="0" w:color="auto"/>
        <w:bottom w:val="none" w:sz="0" w:space="0" w:color="auto"/>
        <w:right w:val="none" w:sz="0" w:space="0" w:color="auto"/>
      </w:divBdr>
    </w:div>
    <w:div w:id="2025787838">
      <w:bodyDiv w:val="1"/>
      <w:marLeft w:val="0"/>
      <w:marRight w:val="0"/>
      <w:marTop w:val="0"/>
      <w:marBottom w:val="0"/>
      <w:divBdr>
        <w:top w:val="none" w:sz="0" w:space="0" w:color="auto"/>
        <w:left w:val="none" w:sz="0" w:space="0" w:color="auto"/>
        <w:bottom w:val="none" w:sz="0" w:space="0" w:color="auto"/>
        <w:right w:val="none" w:sz="0" w:space="0" w:color="auto"/>
      </w:divBdr>
    </w:div>
    <w:div w:id="2025939937">
      <w:bodyDiv w:val="1"/>
      <w:marLeft w:val="0"/>
      <w:marRight w:val="0"/>
      <w:marTop w:val="0"/>
      <w:marBottom w:val="0"/>
      <w:divBdr>
        <w:top w:val="none" w:sz="0" w:space="0" w:color="auto"/>
        <w:left w:val="none" w:sz="0" w:space="0" w:color="auto"/>
        <w:bottom w:val="none" w:sz="0" w:space="0" w:color="auto"/>
        <w:right w:val="none" w:sz="0" w:space="0" w:color="auto"/>
      </w:divBdr>
    </w:div>
    <w:div w:id="2026057733">
      <w:bodyDiv w:val="1"/>
      <w:marLeft w:val="0"/>
      <w:marRight w:val="0"/>
      <w:marTop w:val="0"/>
      <w:marBottom w:val="0"/>
      <w:divBdr>
        <w:top w:val="none" w:sz="0" w:space="0" w:color="auto"/>
        <w:left w:val="none" w:sz="0" w:space="0" w:color="auto"/>
        <w:bottom w:val="none" w:sz="0" w:space="0" w:color="auto"/>
        <w:right w:val="none" w:sz="0" w:space="0" w:color="auto"/>
      </w:divBdr>
    </w:div>
    <w:div w:id="2026202434">
      <w:bodyDiv w:val="1"/>
      <w:marLeft w:val="0"/>
      <w:marRight w:val="0"/>
      <w:marTop w:val="0"/>
      <w:marBottom w:val="0"/>
      <w:divBdr>
        <w:top w:val="none" w:sz="0" w:space="0" w:color="auto"/>
        <w:left w:val="none" w:sz="0" w:space="0" w:color="auto"/>
        <w:bottom w:val="none" w:sz="0" w:space="0" w:color="auto"/>
        <w:right w:val="none" w:sz="0" w:space="0" w:color="auto"/>
      </w:divBdr>
    </w:div>
    <w:div w:id="2026205578">
      <w:bodyDiv w:val="1"/>
      <w:marLeft w:val="0"/>
      <w:marRight w:val="0"/>
      <w:marTop w:val="0"/>
      <w:marBottom w:val="0"/>
      <w:divBdr>
        <w:top w:val="none" w:sz="0" w:space="0" w:color="auto"/>
        <w:left w:val="none" w:sz="0" w:space="0" w:color="auto"/>
        <w:bottom w:val="none" w:sz="0" w:space="0" w:color="auto"/>
        <w:right w:val="none" w:sz="0" w:space="0" w:color="auto"/>
      </w:divBdr>
    </w:div>
    <w:div w:id="2026246543">
      <w:bodyDiv w:val="1"/>
      <w:marLeft w:val="0"/>
      <w:marRight w:val="0"/>
      <w:marTop w:val="0"/>
      <w:marBottom w:val="0"/>
      <w:divBdr>
        <w:top w:val="none" w:sz="0" w:space="0" w:color="auto"/>
        <w:left w:val="none" w:sz="0" w:space="0" w:color="auto"/>
        <w:bottom w:val="none" w:sz="0" w:space="0" w:color="auto"/>
        <w:right w:val="none" w:sz="0" w:space="0" w:color="auto"/>
      </w:divBdr>
    </w:div>
    <w:div w:id="2026327354">
      <w:bodyDiv w:val="1"/>
      <w:marLeft w:val="0"/>
      <w:marRight w:val="0"/>
      <w:marTop w:val="0"/>
      <w:marBottom w:val="0"/>
      <w:divBdr>
        <w:top w:val="none" w:sz="0" w:space="0" w:color="auto"/>
        <w:left w:val="none" w:sz="0" w:space="0" w:color="auto"/>
        <w:bottom w:val="none" w:sz="0" w:space="0" w:color="auto"/>
        <w:right w:val="none" w:sz="0" w:space="0" w:color="auto"/>
      </w:divBdr>
    </w:div>
    <w:div w:id="2026516661">
      <w:bodyDiv w:val="1"/>
      <w:marLeft w:val="0"/>
      <w:marRight w:val="0"/>
      <w:marTop w:val="0"/>
      <w:marBottom w:val="0"/>
      <w:divBdr>
        <w:top w:val="none" w:sz="0" w:space="0" w:color="auto"/>
        <w:left w:val="none" w:sz="0" w:space="0" w:color="auto"/>
        <w:bottom w:val="none" w:sz="0" w:space="0" w:color="auto"/>
        <w:right w:val="none" w:sz="0" w:space="0" w:color="auto"/>
      </w:divBdr>
    </w:div>
    <w:div w:id="2026587871">
      <w:bodyDiv w:val="1"/>
      <w:marLeft w:val="0"/>
      <w:marRight w:val="0"/>
      <w:marTop w:val="0"/>
      <w:marBottom w:val="0"/>
      <w:divBdr>
        <w:top w:val="none" w:sz="0" w:space="0" w:color="auto"/>
        <w:left w:val="none" w:sz="0" w:space="0" w:color="auto"/>
        <w:bottom w:val="none" w:sz="0" w:space="0" w:color="auto"/>
        <w:right w:val="none" w:sz="0" w:space="0" w:color="auto"/>
      </w:divBdr>
    </w:div>
    <w:div w:id="2026588662">
      <w:bodyDiv w:val="1"/>
      <w:marLeft w:val="0"/>
      <w:marRight w:val="0"/>
      <w:marTop w:val="0"/>
      <w:marBottom w:val="0"/>
      <w:divBdr>
        <w:top w:val="none" w:sz="0" w:space="0" w:color="auto"/>
        <w:left w:val="none" w:sz="0" w:space="0" w:color="auto"/>
        <w:bottom w:val="none" w:sz="0" w:space="0" w:color="auto"/>
        <w:right w:val="none" w:sz="0" w:space="0" w:color="auto"/>
      </w:divBdr>
    </w:div>
    <w:div w:id="2026595757">
      <w:bodyDiv w:val="1"/>
      <w:marLeft w:val="0"/>
      <w:marRight w:val="0"/>
      <w:marTop w:val="0"/>
      <w:marBottom w:val="0"/>
      <w:divBdr>
        <w:top w:val="none" w:sz="0" w:space="0" w:color="auto"/>
        <w:left w:val="none" w:sz="0" w:space="0" w:color="auto"/>
        <w:bottom w:val="none" w:sz="0" w:space="0" w:color="auto"/>
        <w:right w:val="none" w:sz="0" w:space="0" w:color="auto"/>
      </w:divBdr>
    </w:div>
    <w:div w:id="2026706617">
      <w:bodyDiv w:val="1"/>
      <w:marLeft w:val="0"/>
      <w:marRight w:val="0"/>
      <w:marTop w:val="0"/>
      <w:marBottom w:val="0"/>
      <w:divBdr>
        <w:top w:val="none" w:sz="0" w:space="0" w:color="auto"/>
        <w:left w:val="none" w:sz="0" w:space="0" w:color="auto"/>
        <w:bottom w:val="none" w:sz="0" w:space="0" w:color="auto"/>
        <w:right w:val="none" w:sz="0" w:space="0" w:color="auto"/>
      </w:divBdr>
    </w:div>
    <w:div w:id="2026709562">
      <w:bodyDiv w:val="1"/>
      <w:marLeft w:val="0"/>
      <w:marRight w:val="0"/>
      <w:marTop w:val="0"/>
      <w:marBottom w:val="0"/>
      <w:divBdr>
        <w:top w:val="none" w:sz="0" w:space="0" w:color="auto"/>
        <w:left w:val="none" w:sz="0" w:space="0" w:color="auto"/>
        <w:bottom w:val="none" w:sz="0" w:space="0" w:color="auto"/>
        <w:right w:val="none" w:sz="0" w:space="0" w:color="auto"/>
      </w:divBdr>
    </w:div>
    <w:div w:id="2026856983">
      <w:bodyDiv w:val="1"/>
      <w:marLeft w:val="0"/>
      <w:marRight w:val="0"/>
      <w:marTop w:val="0"/>
      <w:marBottom w:val="0"/>
      <w:divBdr>
        <w:top w:val="none" w:sz="0" w:space="0" w:color="auto"/>
        <w:left w:val="none" w:sz="0" w:space="0" w:color="auto"/>
        <w:bottom w:val="none" w:sz="0" w:space="0" w:color="auto"/>
        <w:right w:val="none" w:sz="0" w:space="0" w:color="auto"/>
      </w:divBdr>
    </w:div>
    <w:div w:id="2026864308">
      <w:bodyDiv w:val="1"/>
      <w:marLeft w:val="0"/>
      <w:marRight w:val="0"/>
      <w:marTop w:val="0"/>
      <w:marBottom w:val="0"/>
      <w:divBdr>
        <w:top w:val="none" w:sz="0" w:space="0" w:color="auto"/>
        <w:left w:val="none" w:sz="0" w:space="0" w:color="auto"/>
        <w:bottom w:val="none" w:sz="0" w:space="0" w:color="auto"/>
        <w:right w:val="none" w:sz="0" w:space="0" w:color="auto"/>
      </w:divBdr>
    </w:div>
    <w:div w:id="2027318912">
      <w:bodyDiv w:val="1"/>
      <w:marLeft w:val="0"/>
      <w:marRight w:val="0"/>
      <w:marTop w:val="0"/>
      <w:marBottom w:val="0"/>
      <w:divBdr>
        <w:top w:val="none" w:sz="0" w:space="0" w:color="auto"/>
        <w:left w:val="none" w:sz="0" w:space="0" w:color="auto"/>
        <w:bottom w:val="none" w:sz="0" w:space="0" w:color="auto"/>
        <w:right w:val="none" w:sz="0" w:space="0" w:color="auto"/>
      </w:divBdr>
    </w:div>
    <w:div w:id="2027438284">
      <w:bodyDiv w:val="1"/>
      <w:marLeft w:val="0"/>
      <w:marRight w:val="0"/>
      <w:marTop w:val="0"/>
      <w:marBottom w:val="0"/>
      <w:divBdr>
        <w:top w:val="none" w:sz="0" w:space="0" w:color="auto"/>
        <w:left w:val="none" w:sz="0" w:space="0" w:color="auto"/>
        <w:bottom w:val="none" w:sz="0" w:space="0" w:color="auto"/>
        <w:right w:val="none" w:sz="0" w:space="0" w:color="auto"/>
      </w:divBdr>
    </w:div>
    <w:div w:id="2027560438">
      <w:bodyDiv w:val="1"/>
      <w:marLeft w:val="0"/>
      <w:marRight w:val="0"/>
      <w:marTop w:val="0"/>
      <w:marBottom w:val="0"/>
      <w:divBdr>
        <w:top w:val="none" w:sz="0" w:space="0" w:color="auto"/>
        <w:left w:val="none" w:sz="0" w:space="0" w:color="auto"/>
        <w:bottom w:val="none" w:sz="0" w:space="0" w:color="auto"/>
        <w:right w:val="none" w:sz="0" w:space="0" w:color="auto"/>
      </w:divBdr>
    </w:div>
    <w:div w:id="2027631389">
      <w:bodyDiv w:val="1"/>
      <w:marLeft w:val="0"/>
      <w:marRight w:val="0"/>
      <w:marTop w:val="0"/>
      <w:marBottom w:val="0"/>
      <w:divBdr>
        <w:top w:val="none" w:sz="0" w:space="0" w:color="auto"/>
        <w:left w:val="none" w:sz="0" w:space="0" w:color="auto"/>
        <w:bottom w:val="none" w:sz="0" w:space="0" w:color="auto"/>
        <w:right w:val="none" w:sz="0" w:space="0" w:color="auto"/>
      </w:divBdr>
    </w:div>
    <w:div w:id="2027632345">
      <w:bodyDiv w:val="1"/>
      <w:marLeft w:val="0"/>
      <w:marRight w:val="0"/>
      <w:marTop w:val="0"/>
      <w:marBottom w:val="0"/>
      <w:divBdr>
        <w:top w:val="none" w:sz="0" w:space="0" w:color="auto"/>
        <w:left w:val="none" w:sz="0" w:space="0" w:color="auto"/>
        <w:bottom w:val="none" w:sz="0" w:space="0" w:color="auto"/>
        <w:right w:val="none" w:sz="0" w:space="0" w:color="auto"/>
      </w:divBdr>
    </w:div>
    <w:div w:id="2027706388">
      <w:bodyDiv w:val="1"/>
      <w:marLeft w:val="0"/>
      <w:marRight w:val="0"/>
      <w:marTop w:val="0"/>
      <w:marBottom w:val="0"/>
      <w:divBdr>
        <w:top w:val="none" w:sz="0" w:space="0" w:color="auto"/>
        <w:left w:val="none" w:sz="0" w:space="0" w:color="auto"/>
        <w:bottom w:val="none" w:sz="0" w:space="0" w:color="auto"/>
        <w:right w:val="none" w:sz="0" w:space="0" w:color="auto"/>
      </w:divBdr>
    </w:div>
    <w:div w:id="2027752926">
      <w:bodyDiv w:val="1"/>
      <w:marLeft w:val="0"/>
      <w:marRight w:val="0"/>
      <w:marTop w:val="0"/>
      <w:marBottom w:val="0"/>
      <w:divBdr>
        <w:top w:val="none" w:sz="0" w:space="0" w:color="auto"/>
        <w:left w:val="none" w:sz="0" w:space="0" w:color="auto"/>
        <w:bottom w:val="none" w:sz="0" w:space="0" w:color="auto"/>
        <w:right w:val="none" w:sz="0" w:space="0" w:color="auto"/>
      </w:divBdr>
    </w:div>
    <w:div w:id="2027901209">
      <w:bodyDiv w:val="1"/>
      <w:marLeft w:val="0"/>
      <w:marRight w:val="0"/>
      <w:marTop w:val="0"/>
      <w:marBottom w:val="0"/>
      <w:divBdr>
        <w:top w:val="none" w:sz="0" w:space="0" w:color="auto"/>
        <w:left w:val="none" w:sz="0" w:space="0" w:color="auto"/>
        <w:bottom w:val="none" w:sz="0" w:space="0" w:color="auto"/>
        <w:right w:val="none" w:sz="0" w:space="0" w:color="auto"/>
      </w:divBdr>
    </w:div>
    <w:div w:id="2028017108">
      <w:bodyDiv w:val="1"/>
      <w:marLeft w:val="0"/>
      <w:marRight w:val="0"/>
      <w:marTop w:val="0"/>
      <w:marBottom w:val="0"/>
      <w:divBdr>
        <w:top w:val="none" w:sz="0" w:space="0" w:color="auto"/>
        <w:left w:val="none" w:sz="0" w:space="0" w:color="auto"/>
        <w:bottom w:val="none" w:sz="0" w:space="0" w:color="auto"/>
        <w:right w:val="none" w:sz="0" w:space="0" w:color="auto"/>
      </w:divBdr>
    </w:div>
    <w:div w:id="2028091123">
      <w:bodyDiv w:val="1"/>
      <w:marLeft w:val="0"/>
      <w:marRight w:val="0"/>
      <w:marTop w:val="0"/>
      <w:marBottom w:val="0"/>
      <w:divBdr>
        <w:top w:val="none" w:sz="0" w:space="0" w:color="auto"/>
        <w:left w:val="none" w:sz="0" w:space="0" w:color="auto"/>
        <w:bottom w:val="none" w:sz="0" w:space="0" w:color="auto"/>
        <w:right w:val="none" w:sz="0" w:space="0" w:color="auto"/>
      </w:divBdr>
    </w:div>
    <w:div w:id="2028098694">
      <w:bodyDiv w:val="1"/>
      <w:marLeft w:val="0"/>
      <w:marRight w:val="0"/>
      <w:marTop w:val="0"/>
      <w:marBottom w:val="0"/>
      <w:divBdr>
        <w:top w:val="none" w:sz="0" w:space="0" w:color="auto"/>
        <w:left w:val="none" w:sz="0" w:space="0" w:color="auto"/>
        <w:bottom w:val="none" w:sz="0" w:space="0" w:color="auto"/>
        <w:right w:val="none" w:sz="0" w:space="0" w:color="auto"/>
      </w:divBdr>
    </w:div>
    <w:div w:id="2028170441">
      <w:bodyDiv w:val="1"/>
      <w:marLeft w:val="0"/>
      <w:marRight w:val="0"/>
      <w:marTop w:val="0"/>
      <w:marBottom w:val="0"/>
      <w:divBdr>
        <w:top w:val="none" w:sz="0" w:space="0" w:color="auto"/>
        <w:left w:val="none" w:sz="0" w:space="0" w:color="auto"/>
        <w:bottom w:val="none" w:sz="0" w:space="0" w:color="auto"/>
        <w:right w:val="none" w:sz="0" w:space="0" w:color="auto"/>
      </w:divBdr>
    </w:div>
    <w:div w:id="2028363188">
      <w:bodyDiv w:val="1"/>
      <w:marLeft w:val="0"/>
      <w:marRight w:val="0"/>
      <w:marTop w:val="0"/>
      <w:marBottom w:val="0"/>
      <w:divBdr>
        <w:top w:val="none" w:sz="0" w:space="0" w:color="auto"/>
        <w:left w:val="none" w:sz="0" w:space="0" w:color="auto"/>
        <w:bottom w:val="none" w:sz="0" w:space="0" w:color="auto"/>
        <w:right w:val="none" w:sz="0" w:space="0" w:color="auto"/>
      </w:divBdr>
    </w:div>
    <w:div w:id="2028368620">
      <w:bodyDiv w:val="1"/>
      <w:marLeft w:val="0"/>
      <w:marRight w:val="0"/>
      <w:marTop w:val="0"/>
      <w:marBottom w:val="0"/>
      <w:divBdr>
        <w:top w:val="none" w:sz="0" w:space="0" w:color="auto"/>
        <w:left w:val="none" w:sz="0" w:space="0" w:color="auto"/>
        <w:bottom w:val="none" w:sz="0" w:space="0" w:color="auto"/>
        <w:right w:val="none" w:sz="0" w:space="0" w:color="auto"/>
      </w:divBdr>
    </w:div>
    <w:div w:id="2028404761">
      <w:bodyDiv w:val="1"/>
      <w:marLeft w:val="0"/>
      <w:marRight w:val="0"/>
      <w:marTop w:val="0"/>
      <w:marBottom w:val="0"/>
      <w:divBdr>
        <w:top w:val="none" w:sz="0" w:space="0" w:color="auto"/>
        <w:left w:val="none" w:sz="0" w:space="0" w:color="auto"/>
        <w:bottom w:val="none" w:sz="0" w:space="0" w:color="auto"/>
        <w:right w:val="none" w:sz="0" w:space="0" w:color="auto"/>
      </w:divBdr>
    </w:div>
    <w:div w:id="2028746750">
      <w:bodyDiv w:val="1"/>
      <w:marLeft w:val="0"/>
      <w:marRight w:val="0"/>
      <w:marTop w:val="0"/>
      <w:marBottom w:val="0"/>
      <w:divBdr>
        <w:top w:val="none" w:sz="0" w:space="0" w:color="auto"/>
        <w:left w:val="none" w:sz="0" w:space="0" w:color="auto"/>
        <w:bottom w:val="none" w:sz="0" w:space="0" w:color="auto"/>
        <w:right w:val="none" w:sz="0" w:space="0" w:color="auto"/>
      </w:divBdr>
    </w:div>
    <w:div w:id="2028747577">
      <w:bodyDiv w:val="1"/>
      <w:marLeft w:val="0"/>
      <w:marRight w:val="0"/>
      <w:marTop w:val="0"/>
      <w:marBottom w:val="0"/>
      <w:divBdr>
        <w:top w:val="none" w:sz="0" w:space="0" w:color="auto"/>
        <w:left w:val="none" w:sz="0" w:space="0" w:color="auto"/>
        <w:bottom w:val="none" w:sz="0" w:space="0" w:color="auto"/>
        <w:right w:val="none" w:sz="0" w:space="0" w:color="auto"/>
      </w:divBdr>
    </w:div>
    <w:div w:id="2028752566">
      <w:bodyDiv w:val="1"/>
      <w:marLeft w:val="0"/>
      <w:marRight w:val="0"/>
      <w:marTop w:val="0"/>
      <w:marBottom w:val="0"/>
      <w:divBdr>
        <w:top w:val="none" w:sz="0" w:space="0" w:color="auto"/>
        <w:left w:val="none" w:sz="0" w:space="0" w:color="auto"/>
        <w:bottom w:val="none" w:sz="0" w:space="0" w:color="auto"/>
        <w:right w:val="none" w:sz="0" w:space="0" w:color="auto"/>
      </w:divBdr>
    </w:div>
    <w:div w:id="2028827465">
      <w:bodyDiv w:val="1"/>
      <w:marLeft w:val="0"/>
      <w:marRight w:val="0"/>
      <w:marTop w:val="0"/>
      <w:marBottom w:val="0"/>
      <w:divBdr>
        <w:top w:val="none" w:sz="0" w:space="0" w:color="auto"/>
        <w:left w:val="none" w:sz="0" w:space="0" w:color="auto"/>
        <w:bottom w:val="none" w:sz="0" w:space="0" w:color="auto"/>
        <w:right w:val="none" w:sz="0" w:space="0" w:color="auto"/>
      </w:divBdr>
    </w:div>
    <w:div w:id="2028869780">
      <w:bodyDiv w:val="1"/>
      <w:marLeft w:val="0"/>
      <w:marRight w:val="0"/>
      <w:marTop w:val="0"/>
      <w:marBottom w:val="0"/>
      <w:divBdr>
        <w:top w:val="none" w:sz="0" w:space="0" w:color="auto"/>
        <w:left w:val="none" w:sz="0" w:space="0" w:color="auto"/>
        <w:bottom w:val="none" w:sz="0" w:space="0" w:color="auto"/>
        <w:right w:val="none" w:sz="0" w:space="0" w:color="auto"/>
      </w:divBdr>
    </w:div>
    <w:div w:id="2028871952">
      <w:bodyDiv w:val="1"/>
      <w:marLeft w:val="0"/>
      <w:marRight w:val="0"/>
      <w:marTop w:val="0"/>
      <w:marBottom w:val="0"/>
      <w:divBdr>
        <w:top w:val="none" w:sz="0" w:space="0" w:color="auto"/>
        <w:left w:val="none" w:sz="0" w:space="0" w:color="auto"/>
        <w:bottom w:val="none" w:sz="0" w:space="0" w:color="auto"/>
        <w:right w:val="none" w:sz="0" w:space="0" w:color="auto"/>
      </w:divBdr>
    </w:div>
    <w:div w:id="2028947774">
      <w:bodyDiv w:val="1"/>
      <w:marLeft w:val="0"/>
      <w:marRight w:val="0"/>
      <w:marTop w:val="0"/>
      <w:marBottom w:val="0"/>
      <w:divBdr>
        <w:top w:val="none" w:sz="0" w:space="0" w:color="auto"/>
        <w:left w:val="none" w:sz="0" w:space="0" w:color="auto"/>
        <w:bottom w:val="none" w:sz="0" w:space="0" w:color="auto"/>
        <w:right w:val="none" w:sz="0" w:space="0" w:color="auto"/>
      </w:divBdr>
    </w:div>
    <w:div w:id="2029210696">
      <w:bodyDiv w:val="1"/>
      <w:marLeft w:val="0"/>
      <w:marRight w:val="0"/>
      <w:marTop w:val="0"/>
      <w:marBottom w:val="0"/>
      <w:divBdr>
        <w:top w:val="none" w:sz="0" w:space="0" w:color="auto"/>
        <w:left w:val="none" w:sz="0" w:space="0" w:color="auto"/>
        <w:bottom w:val="none" w:sz="0" w:space="0" w:color="auto"/>
        <w:right w:val="none" w:sz="0" w:space="0" w:color="auto"/>
      </w:divBdr>
    </w:div>
    <w:div w:id="2029211969">
      <w:bodyDiv w:val="1"/>
      <w:marLeft w:val="0"/>
      <w:marRight w:val="0"/>
      <w:marTop w:val="0"/>
      <w:marBottom w:val="0"/>
      <w:divBdr>
        <w:top w:val="none" w:sz="0" w:space="0" w:color="auto"/>
        <w:left w:val="none" w:sz="0" w:space="0" w:color="auto"/>
        <w:bottom w:val="none" w:sz="0" w:space="0" w:color="auto"/>
        <w:right w:val="none" w:sz="0" w:space="0" w:color="auto"/>
      </w:divBdr>
    </w:div>
    <w:div w:id="2029284273">
      <w:bodyDiv w:val="1"/>
      <w:marLeft w:val="0"/>
      <w:marRight w:val="0"/>
      <w:marTop w:val="0"/>
      <w:marBottom w:val="0"/>
      <w:divBdr>
        <w:top w:val="none" w:sz="0" w:space="0" w:color="auto"/>
        <w:left w:val="none" w:sz="0" w:space="0" w:color="auto"/>
        <w:bottom w:val="none" w:sz="0" w:space="0" w:color="auto"/>
        <w:right w:val="none" w:sz="0" w:space="0" w:color="auto"/>
      </w:divBdr>
    </w:div>
    <w:div w:id="2029287238">
      <w:bodyDiv w:val="1"/>
      <w:marLeft w:val="0"/>
      <w:marRight w:val="0"/>
      <w:marTop w:val="0"/>
      <w:marBottom w:val="0"/>
      <w:divBdr>
        <w:top w:val="none" w:sz="0" w:space="0" w:color="auto"/>
        <w:left w:val="none" w:sz="0" w:space="0" w:color="auto"/>
        <w:bottom w:val="none" w:sz="0" w:space="0" w:color="auto"/>
        <w:right w:val="none" w:sz="0" w:space="0" w:color="auto"/>
      </w:divBdr>
    </w:div>
    <w:div w:id="2029481769">
      <w:bodyDiv w:val="1"/>
      <w:marLeft w:val="0"/>
      <w:marRight w:val="0"/>
      <w:marTop w:val="0"/>
      <w:marBottom w:val="0"/>
      <w:divBdr>
        <w:top w:val="none" w:sz="0" w:space="0" w:color="auto"/>
        <w:left w:val="none" w:sz="0" w:space="0" w:color="auto"/>
        <w:bottom w:val="none" w:sz="0" w:space="0" w:color="auto"/>
        <w:right w:val="none" w:sz="0" w:space="0" w:color="auto"/>
      </w:divBdr>
    </w:div>
    <w:div w:id="2029483065">
      <w:bodyDiv w:val="1"/>
      <w:marLeft w:val="0"/>
      <w:marRight w:val="0"/>
      <w:marTop w:val="0"/>
      <w:marBottom w:val="0"/>
      <w:divBdr>
        <w:top w:val="none" w:sz="0" w:space="0" w:color="auto"/>
        <w:left w:val="none" w:sz="0" w:space="0" w:color="auto"/>
        <w:bottom w:val="none" w:sz="0" w:space="0" w:color="auto"/>
        <w:right w:val="none" w:sz="0" w:space="0" w:color="auto"/>
      </w:divBdr>
    </w:div>
    <w:div w:id="2029788848">
      <w:bodyDiv w:val="1"/>
      <w:marLeft w:val="0"/>
      <w:marRight w:val="0"/>
      <w:marTop w:val="0"/>
      <w:marBottom w:val="0"/>
      <w:divBdr>
        <w:top w:val="none" w:sz="0" w:space="0" w:color="auto"/>
        <w:left w:val="none" w:sz="0" w:space="0" w:color="auto"/>
        <w:bottom w:val="none" w:sz="0" w:space="0" w:color="auto"/>
        <w:right w:val="none" w:sz="0" w:space="0" w:color="auto"/>
      </w:divBdr>
    </w:div>
    <w:div w:id="2029866985">
      <w:bodyDiv w:val="1"/>
      <w:marLeft w:val="0"/>
      <w:marRight w:val="0"/>
      <w:marTop w:val="0"/>
      <w:marBottom w:val="0"/>
      <w:divBdr>
        <w:top w:val="none" w:sz="0" w:space="0" w:color="auto"/>
        <w:left w:val="none" w:sz="0" w:space="0" w:color="auto"/>
        <w:bottom w:val="none" w:sz="0" w:space="0" w:color="auto"/>
        <w:right w:val="none" w:sz="0" w:space="0" w:color="auto"/>
      </w:divBdr>
    </w:div>
    <w:div w:id="2029872013">
      <w:bodyDiv w:val="1"/>
      <w:marLeft w:val="0"/>
      <w:marRight w:val="0"/>
      <w:marTop w:val="0"/>
      <w:marBottom w:val="0"/>
      <w:divBdr>
        <w:top w:val="none" w:sz="0" w:space="0" w:color="auto"/>
        <w:left w:val="none" w:sz="0" w:space="0" w:color="auto"/>
        <w:bottom w:val="none" w:sz="0" w:space="0" w:color="auto"/>
        <w:right w:val="none" w:sz="0" w:space="0" w:color="auto"/>
      </w:divBdr>
    </w:div>
    <w:div w:id="2029938923">
      <w:bodyDiv w:val="1"/>
      <w:marLeft w:val="0"/>
      <w:marRight w:val="0"/>
      <w:marTop w:val="0"/>
      <w:marBottom w:val="0"/>
      <w:divBdr>
        <w:top w:val="none" w:sz="0" w:space="0" w:color="auto"/>
        <w:left w:val="none" w:sz="0" w:space="0" w:color="auto"/>
        <w:bottom w:val="none" w:sz="0" w:space="0" w:color="auto"/>
        <w:right w:val="none" w:sz="0" w:space="0" w:color="auto"/>
      </w:divBdr>
    </w:div>
    <w:div w:id="2029981711">
      <w:bodyDiv w:val="1"/>
      <w:marLeft w:val="0"/>
      <w:marRight w:val="0"/>
      <w:marTop w:val="0"/>
      <w:marBottom w:val="0"/>
      <w:divBdr>
        <w:top w:val="none" w:sz="0" w:space="0" w:color="auto"/>
        <w:left w:val="none" w:sz="0" w:space="0" w:color="auto"/>
        <w:bottom w:val="none" w:sz="0" w:space="0" w:color="auto"/>
        <w:right w:val="none" w:sz="0" w:space="0" w:color="auto"/>
      </w:divBdr>
    </w:div>
    <w:div w:id="2030255994">
      <w:bodyDiv w:val="1"/>
      <w:marLeft w:val="0"/>
      <w:marRight w:val="0"/>
      <w:marTop w:val="0"/>
      <w:marBottom w:val="0"/>
      <w:divBdr>
        <w:top w:val="none" w:sz="0" w:space="0" w:color="auto"/>
        <w:left w:val="none" w:sz="0" w:space="0" w:color="auto"/>
        <w:bottom w:val="none" w:sz="0" w:space="0" w:color="auto"/>
        <w:right w:val="none" w:sz="0" w:space="0" w:color="auto"/>
      </w:divBdr>
    </w:div>
    <w:div w:id="2030258051">
      <w:bodyDiv w:val="1"/>
      <w:marLeft w:val="0"/>
      <w:marRight w:val="0"/>
      <w:marTop w:val="0"/>
      <w:marBottom w:val="0"/>
      <w:divBdr>
        <w:top w:val="none" w:sz="0" w:space="0" w:color="auto"/>
        <w:left w:val="none" w:sz="0" w:space="0" w:color="auto"/>
        <w:bottom w:val="none" w:sz="0" w:space="0" w:color="auto"/>
        <w:right w:val="none" w:sz="0" w:space="0" w:color="auto"/>
      </w:divBdr>
    </w:div>
    <w:div w:id="2030259171">
      <w:bodyDiv w:val="1"/>
      <w:marLeft w:val="0"/>
      <w:marRight w:val="0"/>
      <w:marTop w:val="0"/>
      <w:marBottom w:val="0"/>
      <w:divBdr>
        <w:top w:val="none" w:sz="0" w:space="0" w:color="auto"/>
        <w:left w:val="none" w:sz="0" w:space="0" w:color="auto"/>
        <w:bottom w:val="none" w:sz="0" w:space="0" w:color="auto"/>
        <w:right w:val="none" w:sz="0" w:space="0" w:color="auto"/>
      </w:divBdr>
    </w:div>
    <w:div w:id="2030325275">
      <w:bodyDiv w:val="1"/>
      <w:marLeft w:val="0"/>
      <w:marRight w:val="0"/>
      <w:marTop w:val="0"/>
      <w:marBottom w:val="0"/>
      <w:divBdr>
        <w:top w:val="none" w:sz="0" w:space="0" w:color="auto"/>
        <w:left w:val="none" w:sz="0" w:space="0" w:color="auto"/>
        <w:bottom w:val="none" w:sz="0" w:space="0" w:color="auto"/>
        <w:right w:val="none" w:sz="0" w:space="0" w:color="auto"/>
      </w:divBdr>
    </w:div>
    <w:div w:id="2030328952">
      <w:bodyDiv w:val="1"/>
      <w:marLeft w:val="0"/>
      <w:marRight w:val="0"/>
      <w:marTop w:val="0"/>
      <w:marBottom w:val="0"/>
      <w:divBdr>
        <w:top w:val="none" w:sz="0" w:space="0" w:color="auto"/>
        <w:left w:val="none" w:sz="0" w:space="0" w:color="auto"/>
        <w:bottom w:val="none" w:sz="0" w:space="0" w:color="auto"/>
        <w:right w:val="none" w:sz="0" w:space="0" w:color="auto"/>
      </w:divBdr>
    </w:div>
    <w:div w:id="2030331588">
      <w:bodyDiv w:val="1"/>
      <w:marLeft w:val="0"/>
      <w:marRight w:val="0"/>
      <w:marTop w:val="0"/>
      <w:marBottom w:val="0"/>
      <w:divBdr>
        <w:top w:val="none" w:sz="0" w:space="0" w:color="auto"/>
        <w:left w:val="none" w:sz="0" w:space="0" w:color="auto"/>
        <w:bottom w:val="none" w:sz="0" w:space="0" w:color="auto"/>
        <w:right w:val="none" w:sz="0" w:space="0" w:color="auto"/>
      </w:divBdr>
    </w:div>
    <w:div w:id="2030375129">
      <w:bodyDiv w:val="1"/>
      <w:marLeft w:val="0"/>
      <w:marRight w:val="0"/>
      <w:marTop w:val="0"/>
      <w:marBottom w:val="0"/>
      <w:divBdr>
        <w:top w:val="none" w:sz="0" w:space="0" w:color="auto"/>
        <w:left w:val="none" w:sz="0" w:space="0" w:color="auto"/>
        <w:bottom w:val="none" w:sz="0" w:space="0" w:color="auto"/>
        <w:right w:val="none" w:sz="0" w:space="0" w:color="auto"/>
      </w:divBdr>
    </w:div>
    <w:div w:id="2030519941">
      <w:bodyDiv w:val="1"/>
      <w:marLeft w:val="0"/>
      <w:marRight w:val="0"/>
      <w:marTop w:val="0"/>
      <w:marBottom w:val="0"/>
      <w:divBdr>
        <w:top w:val="none" w:sz="0" w:space="0" w:color="auto"/>
        <w:left w:val="none" w:sz="0" w:space="0" w:color="auto"/>
        <w:bottom w:val="none" w:sz="0" w:space="0" w:color="auto"/>
        <w:right w:val="none" w:sz="0" w:space="0" w:color="auto"/>
      </w:divBdr>
    </w:div>
    <w:div w:id="2030527242">
      <w:bodyDiv w:val="1"/>
      <w:marLeft w:val="0"/>
      <w:marRight w:val="0"/>
      <w:marTop w:val="0"/>
      <w:marBottom w:val="0"/>
      <w:divBdr>
        <w:top w:val="none" w:sz="0" w:space="0" w:color="auto"/>
        <w:left w:val="none" w:sz="0" w:space="0" w:color="auto"/>
        <w:bottom w:val="none" w:sz="0" w:space="0" w:color="auto"/>
        <w:right w:val="none" w:sz="0" w:space="0" w:color="auto"/>
      </w:divBdr>
    </w:div>
    <w:div w:id="2030567669">
      <w:bodyDiv w:val="1"/>
      <w:marLeft w:val="0"/>
      <w:marRight w:val="0"/>
      <w:marTop w:val="0"/>
      <w:marBottom w:val="0"/>
      <w:divBdr>
        <w:top w:val="none" w:sz="0" w:space="0" w:color="auto"/>
        <w:left w:val="none" w:sz="0" w:space="0" w:color="auto"/>
        <w:bottom w:val="none" w:sz="0" w:space="0" w:color="auto"/>
        <w:right w:val="none" w:sz="0" w:space="0" w:color="auto"/>
      </w:divBdr>
    </w:div>
    <w:div w:id="2030637973">
      <w:bodyDiv w:val="1"/>
      <w:marLeft w:val="0"/>
      <w:marRight w:val="0"/>
      <w:marTop w:val="0"/>
      <w:marBottom w:val="0"/>
      <w:divBdr>
        <w:top w:val="none" w:sz="0" w:space="0" w:color="auto"/>
        <w:left w:val="none" w:sz="0" w:space="0" w:color="auto"/>
        <w:bottom w:val="none" w:sz="0" w:space="0" w:color="auto"/>
        <w:right w:val="none" w:sz="0" w:space="0" w:color="auto"/>
      </w:divBdr>
    </w:div>
    <w:div w:id="2030639156">
      <w:bodyDiv w:val="1"/>
      <w:marLeft w:val="0"/>
      <w:marRight w:val="0"/>
      <w:marTop w:val="0"/>
      <w:marBottom w:val="0"/>
      <w:divBdr>
        <w:top w:val="none" w:sz="0" w:space="0" w:color="auto"/>
        <w:left w:val="none" w:sz="0" w:space="0" w:color="auto"/>
        <w:bottom w:val="none" w:sz="0" w:space="0" w:color="auto"/>
        <w:right w:val="none" w:sz="0" w:space="0" w:color="auto"/>
      </w:divBdr>
    </w:div>
    <w:div w:id="2030642508">
      <w:bodyDiv w:val="1"/>
      <w:marLeft w:val="0"/>
      <w:marRight w:val="0"/>
      <w:marTop w:val="0"/>
      <w:marBottom w:val="0"/>
      <w:divBdr>
        <w:top w:val="none" w:sz="0" w:space="0" w:color="auto"/>
        <w:left w:val="none" w:sz="0" w:space="0" w:color="auto"/>
        <w:bottom w:val="none" w:sz="0" w:space="0" w:color="auto"/>
        <w:right w:val="none" w:sz="0" w:space="0" w:color="auto"/>
      </w:divBdr>
    </w:div>
    <w:div w:id="2030793981">
      <w:bodyDiv w:val="1"/>
      <w:marLeft w:val="0"/>
      <w:marRight w:val="0"/>
      <w:marTop w:val="0"/>
      <w:marBottom w:val="0"/>
      <w:divBdr>
        <w:top w:val="none" w:sz="0" w:space="0" w:color="auto"/>
        <w:left w:val="none" w:sz="0" w:space="0" w:color="auto"/>
        <w:bottom w:val="none" w:sz="0" w:space="0" w:color="auto"/>
        <w:right w:val="none" w:sz="0" w:space="0" w:color="auto"/>
      </w:divBdr>
    </w:div>
    <w:div w:id="2030981433">
      <w:bodyDiv w:val="1"/>
      <w:marLeft w:val="0"/>
      <w:marRight w:val="0"/>
      <w:marTop w:val="0"/>
      <w:marBottom w:val="0"/>
      <w:divBdr>
        <w:top w:val="none" w:sz="0" w:space="0" w:color="auto"/>
        <w:left w:val="none" w:sz="0" w:space="0" w:color="auto"/>
        <w:bottom w:val="none" w:sz="0" w:space="0" w:color="auto"/>
        <w:right w:val="none" w:sz="0" w:space="0" w:color="auto"/>
      </w:divBdr>
    </w:div>
    <w:div w:id="2030983731">
      <w:bodyDiv w:val="1"/>
      <w:marLeft w:val="0"/>
      <w:marRight w:val="0"/>
      <w:marTop w:val="0"/>
      <w:marBottom w:val="0"/>
      <w:divBdr>
        <w:top w:val="none" w:sz="0" w:space="0" w:color="auto"/>
        <w:left w:val="none" w:sz="0" w:space="0" w:color="auto"/>
        <w:bottom w:val="none" w:sz="0" w:space="0" w:color="auto"/>
        <w:right w:val="none" w:sz="0" w:space="0" w:color="auto"/>
      </w:divBdr>
    </w:div>
    <w:div w:id="2031030778">
      <w:bodyDiv w:val="1"/>
      <w:marLeft w:val="0"/>
      <w:marRight w:val="0"/>
      <w:marTop w:val="0"/>
      <w:marBottom w:val="0"/>
      <w:divBdr>
        <w:top w:val="none" w:sz="0" w:space="0" w:color="auto"/>
        <w:left w:val="none" w:sz="0" w:space="0" w:color="auto"/>
        <w:bottom w:val="none" w:sz="0" w:space="0" w:color="auto"/>
        <w:right w:val="none" w:sz="0" w:space="0" w:color="auto"/>
      </w:divBdr>
    </w:div>
    <w:div w:id="2031032808">
      <w:bodyDiv w:val="1"/>
      <w:marLeft w:val="0"/>
      <w:marRight w:val="0"/>
      <w:marTop w:val="0"/>
      <w:marBottom w:val="0"/>
      <w:divBdr>
        <w:top w:val="none" w:sz="0" w:space="0" w:color="auto"/>
        <w:left w:val="none" w:sz="0" w:space="0" w:color="auto"/>
        <w:bottom w:val="none" w:sz="0" w:space="0" w:color="auto"/>
        <w:right w:val="none" w:sz="0" w:space="0" w:color="auto"/>
      </w:divBdr>
    </w:div>
    <w:div w:id="2031099202">
      <w:bodyDiv w:val="1"/>
      <w:marLeft w:val="0"/>
      <w:marRight w:val="0"/>
      <w:marTop w:val="0"/>
      <w:marBottom w:val="0"/>
      <w:divBdr>
        <w:top w:val="none" w:sz="0" w:space="0" w:color="auto"/>
        <w:left w:val="none" w:sz="0" w:space="0" w:color="auto"/>
        <w:bottom w:val="none" w:sz="0" w:space="0" w:color="auto"/>
        <w:right w:val="none" w:sz="0" w:space="0" w:color="auto"/>
      </w:divBdr>
    </w:div>
    <w:div w:id="2031251663">
      <w:bodyDiv w:val="1"/>
      <w:marLeft w:val="0"/>
      <w:marRight w:val="0"/>
      <w:marTop w:val="0"/>
      <w:marBottom w:val="0"/>
      <w:divBdr>
        <w:top w:val="none" w:sz="0" w:space="0" w:color="auto"/>
        <w:left w:val="none" w:sz="0" w:space="0" w:color="auto"/>
        <w:bottom w:val="none" w:sz="0" w:space="0" w:color="auto"/>
        <w:right w:val="none" w:sz="0" w:space="0" w:color="auto"/>
      </w:divBdr>
    </w:div>
    <w:div w:id="2031254191">
      <w:bodyDiv w:val="1"/>
      <w:marLeft w:val="0"/>
      <w:marRight w:val="0"/>
      <w:marTop w:val="0"/>
      <w:marBottom w:val="0"/>
      <w:divBdr>
        <w:top w:val="none" w:sz="0" w:space="0" w:color="auto"/>
        <w:left w:val="none" w:sz="0" w:space="0" w:color="auto"/>
        <w:bottom w:val="none" w:sz="0" w:space="0" w:color="auto"/>
        <w:right w:val="none" w:sz="0" w:space="0" w:color="auto"/>
      </w:divBdr>
    </w:div>
    <w:div w:id="2031254423">
      <w:bodyDiv w:val="1"/>
      <w:marLeft w:val="0"/>
      <w:marRight w:val="0"/>
      <w:marTop w:val="0"/>
      <w:marBottom w:val="0"/>
      <w:divBdr>
        <w:top w:val="none" w:sz="0" w:space="0" w:color="auto"/>
        <w:left w:val="none" w:sz="0" w:space="0" w:color="auto"/>
        <w:bottom w:val="none" w:sz="0" w:space="0" w:color="auto"/>
        <w:right w:val="none" w:sz="0" w:space="0" w:color="auto"/>
      </w:divBdr>
    </w:div>
    <w:div w:id="2031372550">
      <w:bodyDiv w:val="1"/>
      <w:marLeft w:val="0"/>
      <w:marRight w:val="0"/>
      <w:marTop w:val="0"/>
      <w:marBottom w:val="0"/>
      <w:divBdr>
        <w:top w:val="none" w:sz="0" w:space="0" w:color="auto"/>
        <w:left w:val="none" w:sz="0" w:space="0" w:color="auto"/>
        <w:bottom w:val="none" w:sz="0" w:space="0" w:color="auto"/>
        <w:right w:val="none" w:sz="0" w:space="0" w:color="auto"/>
      </w:divBdr>
    </w:div>
    <w:div w:id="2031372628">
      <w:bodyDiv w:val="1"/>
      <w:marLeft w:val="0"/>
      <w:marRight w:val="0"/>
      <w:marTop w:val="0"/>
      <w:marBottom w:val="0"/>
      <w:divBdr>
        <w:top w:val="none" w:sz="0" w:space="0" w:color="auto"/>
        <w:left w:val="none" w:sz="0" w:space="0" w:color="auto"/>
        <w:bottom w:val="none" w:sz="0" w:space="0" w:color="auto"/>
        <w:right w:val="none" w:sz="0" w:space="0" w:color="auto"/>
      </w:divBdr>
    </w:div>
    <w:div w:id="2031451544">
      <w:bodyDiv w:val="1"/>
      <w:marLeft w:val="0"/>
      <w:marRight w:val="0"/>
      <w:marTop w:val="0"/>
      <w:marBottom w:val="0"/>
      <w:divBdr>
        <w:top w:val="none" w:sz="0" w:space="0" w:color="auto"/>
        <w:left w:val="none" w:sz="0" w:space="0" w:color="auto"/>
        <w:bottom w:val="none" w:sz="0" w:space="0" w:color="auto"/>
        <w:right w:val="none" w:sz="0" w:space="0" w:color="auto"/>
      </w:divBdr>
    </w:div>
    <w:div w:id="2031487476">
      <w:bodyDiv w:val="1"/>
      <w:marLeft w:val="0"/>
      <w:marRight w:val="0"/>
      <w:marTop w:val="0"/>
      <w:marBottom w:val="0"/>
      <w:divBdr>
        <w:top w:val="none" w:sz="0" w:space="0" w:color="auto"/>
        <w:left w:val="none" w:sz="0" w:space="0" w:color="auto"/>
        <w:bottom w:val="none" w:sz="0" w:space="0" w:color="auto"/>
        <w:right w:val="none" w:sz="0" w:space="0" w:color="auto"/>
      </w:divBdr>
    </w:div>
    <w:div w:id="2031561317">
      <w:bodyDiv w:val="1"/>
      <w:marLeft w:val="0"/>
      <w:marRight w:val="0"/>
      <w:marTop w:val="0"/>
      <w:marBottom w:val="0"/>
      <w:divBdr>
        <w:top w:val="none" w:sz="0" w:space="0" w:color="auto"/>
        <w:left w:val="none" w:sz="0" w:space="0" w:color="auto"/>
        <w:bottom w:val="none" w:sz="0" w:space="0" w:color="auto"/>
        <w:right w:val="none" w:sz="0" w:space="0" w:color="auto"/>
      </w:divBdr>
    </w:div>
    <w:div w:id="2031640391">
      <w:bodyDiv w:val="1"/>
      <w:marLeft w:val="0"/>
      <w:marRight w:val="0"/>
      <w:marTop w:val="0"/>
      <w:marBottom w:val="0"/>
      <w:divBdr>
        <w:top w:val="none" w:sz="0" w:space="0" w:color="auto"/>
        <w:left w:val="none" w:sz="0" w:space="0" w:color="auto"/>
        <w:bottom w:val="none" w:sz="0" w:space="0" w:color="auto"/>
        <w:right w:val="none" w:sz="0" w:space="0" w:color="auto"/>
      </w:divBdr>
    </w:div>
    <w:div w:id="2031685496">
      <w:bodyDiv w:val="1"/>
      <w:marLeft w:val="0"/>
      <w:marRight w:val="0"/>
      <w:marTop w:val="0"/>
      <w:marBottom w:val="0"/>
      <w:divBdr>
        <w:top w:val="none" w:sz="0" w:space="0" w:color="auto"/>
        <w:left w:val="none" w:sz="0" w:space="0" w:color="auto"/>
        <w:bottom w:val="none" w:sz="0" w:space="0" w:color="auto"/>
        <w:right w:val="none" w:sz="0" w:space="0" w:color="auto"/>
      </w:divBdr>
    </w:div>
    <w:div w:id="2031711837">
      <w:bodyDiv w:val="1"/>
      <w:marLeft w:val="0"/>
      <w:marRight w:val="0"/>
      <w:marTop w:val="0"/>
      <w:marBottom w:val="0"/>
      <w:divBdr>
        <w:top w:val="none" w:sz="0" w:space="0" w:color="auto"/>
        <w:left w:val="none" w:sz="0" w:space="0" w:color="auto"/>
        <w:bottom w:val="none" w:sz="0" w:space="0" w:color="auto"/>
        <w:right w:val="none" w:sz="0" w:space="0" w:color="auto"/>
      </w:divBdr>
    </w:div>
    <w:div w:id="2031760293">
      <w:bodyDiv w:val="1"/>
      <w:marLeft w:val="0"/>
      <w:marRight w:val="0"/>
      <w:marTop w:val="0"/>
      <w:marBottom w:val="0"/>
      <w:divBdr>
        <w:top w:val="none" w:sz="0" w:space="0" w:color="auto"/>
        <w:left w:val="none" w:sz="0" w:space="0" w:color="auto"/>
        <w:bottom w:val="none" w:sz="0" w:space="0" w:color="auto"/>
        <w:right w:val="none" w:sz="0" w:space="0" w:color="auto"/>
      </w:divBdr>
    </w:div>
    <w:div w:id="2031837916">
      <w:bodyDiv w:val="1"/>
      <w:marLeft w:val="0"/>
      <w:marRight w:val="0"/>
      <w:marTop w:val="0"/>
      <w:marBottom w:val="0"/>
      <w:divBdr>
        <w:top w:val="none" w:sz="0" w:space="0" w:color="auto"/>
        <w:left w:val="none" w:sz="0" w:space="0" w:color="auto"/>
        <w:bottom w:val="none" w:sz="0" w:space="0" w:color="auto"/>
        <w:right w:val="none" w:sz="0" w:space="0" w:color="auto"/>
      </w:divBdr>
    </w:div>
    <w:div w:id="2031838524">
      <w:bodyDiv w:val="1"/>
      <w:marLeft w:val="0"/>
      <w:marRight w:val="0"/>
      <w:marTop w:val="0"/>
      <w:marBottom w:val="0"/>
      <w:divBdr>
        <w:top w:val="none" w:sz="0" w:space="0" w:color="auto"/>
        <w:left w:val="none" w:sz="0" w:space="0" w:color="auto"/>
        <w:bottom w:val="none" w:sz="0" w:space="0" w:color="auto"/>
        <w:right w:val="none" w:sz="0" w:space="0" w:color="auto"/>
      </w:divBdr>
    </w:div>
    <w:div w:id="2031908216">
      <w:bodyDiv w:val="1"/>
      <w:marLeft w:val="0"/>
      <w:marRight w:val="0"/>
      <w:marTop w:val="0"/>
      <w:marBottom w:val="0"/>
      <w:divBdr>
        <w:top w:val="none" w:sz="0" w:space="0" w:color="auto"/>
        <w:left w:val="none" w:sz="0" w:space="0" w:color="auto"/>
        <w:bottom w:val="none" w:sz="0" w:space="0" w:color="auto"/>
        <w:right w:val="none" w:sz="0" w:space="0" w:color="auto"/>
      </w:divBdr>
    </w:div>
    <w:div w:id="2032026470">
      <w:bodyDiv w:val="1"/>
      <w:marLeft w:val="0"/>
      <w:marRight w:val="0"/>
      <w:marTop w:val="0"/>
      <w:marBottom w:val="0"/>
      <w:divBdr>
        <w:top w:val="none" w:sz="0" w:space="0" w:color="auto"/>
        <w:left w:val="none" w:sz="0" w:space="0" w:color="auto"/>
        <w:bottom w:val="none" w:sz="0" w:space="0" w:color="auto"/>
        <w:right w:val="none" w:sz="0" w:space="0" w:color="auto"/>
      </w:divBdr>
    </w:div>
    <w:div w:id="2032105793">
      <w:bodyDiv w:val="1"/>
      <w:marLeft w:val="0"/>
      <w:marRight w:val="0"/>
      <w:marTop w:val="0"/>
      <w:marBottom w:val="0"/>
      <w:divBdr>
        <w:top w:val="none" w:sz="0" w:space="0" w:color="auto"/>
        <w:left w:val="none" w:sz="0" w:space="0" w:color="auto"/>
        <w:bottom w:val="none" w:sz="0" w:space="0" w:color="auto"/>
        <w:right w:val="none" w:sz="0" w:space="0" w:color="auto"/>
      </w:divBdr>
    </w:div>
    <w:div w:id="2032223643">
      <w:bodyDiv w:val="1"/>
      <w:marLeft w:val="0"/>
      <w:marRight w:val="0"/>
      <w:marTop w:val="0"/>
      <w:marBottom w:val="0"/>
      <w:divBdr>
        <w:top w:val="none" w:sz="0" w:space="0" w:color="auto"/>
        <w:left w:val="none" w:sz="0" w:space="0" w:color="auto"/>
        <w:bottom w:val="none" w:sz="0" w:space="0" w:color="auto"/>
        <w:right w:val="none" w:sz="0" w:space="0" w:color="auto"/>
      </w:divBdr>
    </w:div>
    <w:div w:id="2032608080">
      <w:bodyDiv w:val="1"/>
      <w:marLeft w:val="0"/>
      <w:marRight w:val="0"/>
      <w:marTop w:val="0"/>
      <w:marBottom w:val="0"/>
      <w:divBdr>
        <w:top w:val="none" w:sz="0" w:space="0" w:color="auto"/>
        <w:left w:val="none" w:sz="0" w:space="0" w:color="auto"/>
        <w:bottom w:val="none" w:sz="0" w:space="0" w:color="auto"/>
        <w:right w:val="none" w:sz="0" w:space="0" w:color="auto"/>
      </w:divBdr>
    </w:div>
    <w:div w:id="2032608394">
      <w:bodyDiv w:val="1"/>
      <w:marLeft w:val="0"/>
      <w:marRight w:val="0"/>
      <w:marTop w:val="0"/>
      <w:marBottom w:val="0"/>
      <w:divBdr>
        <w:top w:val="none" w:sz="0" w:space="0" w:color="auto"/>
        <w:left w:val="none" w:sz="0" w:space="0" w:color="auto"/>
        <w:bottom w:val="none" w:sz="0" w:space="0" w:color="auto"/>
        <w:right w:val="none" w:sz="0" w:space="0" w:color="auto"/>
      </w:divBdr>
    </w:div>
    <w:div w:id="2032677856">
      <w:bodyDiv w:val="1"/>
      <w:marLeft w:val="0"/>
      <w:marRight w:val="0"/>
      <w:marTop w:val="0"/>
      <w:marBottom w:val="0"/>
      <w:divBdr>
        <w:top w:val="none" w:sz="0" w:space="0" w:color="auto"/>
        <w:left w:val="none" w:sz="0" w:space="0" w:color="auto"/>
        <w:bottom w:val="none" w:sz="0" w:space="0" w:color="auto"/>
        <w:right w:val="none" w:sz="0" w:space="0" w:color="auto"/>
      </w:divBdr>
    </w:div>
    <w:div w:id="2032758060">
      <w:bodyDiv w:val="1"/>
      <w:marLeft w:val="0"/>
      <w:marRight w:val="0"/>
      <w:marTop w:val="0"/>
      <w:marBottom w:val="0"/>
      <w:divBdr>
        <w:top w:val="none" w:sz="0" w:space="0" w:color="auto"/>
        <w:left w:val="none" w:sz="0" w:space="0" w:color="auto"/>
        <w:bottom w:val="none" w:sz="0" w:space="0" w:color="auto"/>
        <w:right w:val="none" w:sz="0" w:space="0" w:color="auto"/>
      </w:divBdr>
    </w:div>
    <w:div w:id="2032799437">
      <w:bodyDiv w:val="1"/>
      <w:marLeft w:val="0"/>
      <w:marRight w:val="0"/>
      <w:marTop w:val="0"/>
      <w:marBottom w:val="0"/>
      <w:divBdr>
        <w:top w:val="none" w:sz="0" w:space="0" w:color="auto"/>
        <w:left w:val="none" w:sz="0" w:space="0" w:color="auto"/>
        <w:bottom w:val="none" w:sz="0" w:space="0" w:color="auto"/>
        <w:right w:val="none" w:sz="0" w:space="0" w:color="auto"/>
      </w:divBdr>
    </w:div>
    <w:div w:id="2032805250">
      <w:bodyDiv w:val="1"/>
      <w:marLeft w:val="0"/>
      <w:marRight w:val="0"/>
      <w:marTop w:val="0"/>
      <w:marBottom w:val="0"/>
      <w:divBdr>
        <w:top w:val="none" w:sz="0" w:space="0" w:color="auto"/>
        <w:left w:val="none" w:sz="0" w:space="0" w:color="auto"/>
        <w:bottom w:val="none" w:sz="0" w:space="0" w:color="auto"/>
        <w:right w:val="none" w:sz="0" w:space="0" w:color="auto"/>
      </w:divBdr>
    </w:div>
    <w:div w:id="2032948981">
      <w:bodyDiv w:val="1"/>
      <w:marLeft w:val="0"/>
      <w:marRight w:val="0"/>
      <w:marTop w:val="0"/>
      <w:marBottom w:val="0"/>
      <w:divBdr>
        <w:top w:val="none" w:sz="0" w:space="0" w:color="auto"/>
        <w:left w:val="none" w:sz="0" w:space="0" w:color="auto"/>
        <w:bottom w:val="none" w:sz="0" w:space="0" w:color="auto"/>
        <w:right w:val="none" w:sz="0" w:space="0" w:color="auto"/>
      </w:divBdr>
    </w:div>
    <w:div w:id="2032950382">
      <w:bodyDiv w:val="1"/>
      <w:marLeft w:val="0"/>
      <w:marRight w:val="0"/>
      <w:marTop w:val="0"/>
      <w:marBottom w:val="0"/>
      <w:divBdr>
        <w:top w:val="none" w:sz="0" w:space="0" w:color="auto"/>
        <w:left w:val="none" w:sz="0" w:space="0" w:color="auto"/>
        <w:bottom w:val="none" w:sz="0" w:space="0" w:color="auto"/>
        <w:right w:val="none" w:sz="0" w:space="0" w:color="auto"/>
      </w:divBdr>
    </w:div>
    <w:div w:id="2032950801">
      <w:bodyDiv w:val="1"/>
      <w:marLeft w:val="0"/>
      <w:marRight w:val="0"/>
      <w:marTop w:val="0"/>
      <w:marBottom w:val="0"/>
      <w:divBdr>
        <w:top w:val="none" w:sz="0" w:space="0" w:color="auto"/>
        <w:left w:val="none" w:sz="0" w:space="0" w:color="auto"/>
        <w:bottom w:val="none" w:sz="0" w:space="0" w:color="auto"/>
        <w:right w:val="none" w:sz="0" w:space="0" w:color="auto"/>
      </w:divBdr>
    </w:div>
    <w:div w:id="2033024596">
      <w:bodyDiv w:val="1"/>
      <w:marLeft w:val="0"/>
      <w:marRight w:val="0"/>
      <w:marTop w:val="0"/>
      <w:marBottom w:val="0"/>
      <w:divBdr>
        <w:top w:val="none" w:sz="0" w:space="0" w:color="auto"/>
        <w:left w:val="none" w:sz="0" w:space="0" w:color="auto"/>
        <w:bottom w:val="none" w:sz="0" w:space="0" w:color="auto"/>
        <w:right w:val="none" w:sz="0" w:space="0" w:color="auto"/>
      </w:divBdr>
    </w:div>
    <w:div w:id="2033215094">
      <w:bodyDiv w:val="1"/>
      <w:marLeft w:val="0"/>
      <w:marRight w:val="0"/>
      <w:marTop w:val="0"/>
      <w:marBottom w:val="0"/>
      <w:divBdr>
        <w:top w:val="none" w:sz="0" w:space="0" w:color="auto"/>
        <w:left w:val="none" w:sz="0" w:space="0" w:color="auto"/>
        <w:bottom w:val="none" w:sz="0" w:space="0" w:color="auto"/>
        <w:right w:val="none" w:sz="0" w:space="0" w:color="auto"/>
      </w:divBdr>
    </w:div>
    <w:div w:id="2033335809">
      <w:bodyDiv w:val="1"/>
      <w:marLeft w:val="0"/>
      <w:marRight w:val="0"/>
      <w:marTop w:val="0"/>
      <w:marBottom w:val="0"/>
      <w:divBdr>
        <w:top w:val="none" w:sz="0" w:space="0" w:color="auto"/>
        <w:left w:val="none" w:sz="0" w:space="0" w:color="auto"/>
        <w:bottom w:val="none" w:sz="0" w:space="0" w:color="auto"/>
        <w:right w:val="none" w:sz="0" w:space="0" w:color="auto"/>
      </w:divBdr>
    </w:div>
    <w:div w:id="2033412968">
      <w:bodyDiv w:val="1"/>
      <w:marLeft w:val="0"/>
      <w:marRight w:val="0"/>
      <w:marTop w:val="0"/>
      <w:marBottom w:val="0"/>
      <w:divBdr>
        <w:top w:val="none" w:sz="0" w:space="0" w:color="auto"/>
        <w:left w:val="none" w:sz="0" w:space="0" w:color="auto"/>
        <w:bottom w:val="none" w:sz="0" w:space="0" w:color="auto"/>
        <w:right w:val="none" w:sz="0" w:space="0" w:color="auto"/>
      </w:divBdr>
    </w:div>
    <w:div w:id="2033454472">
      <w:bodyDiv w:val="1"/>
      <w:marLeft w:val="0"/>
      <w:marRight w:val="0"/>
      <w:marTop w:val="0"/>
      <w:marBottom w:val="0"/>
      <w:divBdr>
        <w:top w:val="none" w:sz="0" w:space="0" w:color="auto"/>
        <w:left w:val="none" w:sz="0" w:space="0" w:color="auto"/>
        <w:bottom w:val="none" w:sz="0" w:space="0" w:color="auto"/>
        <w:right w:val="none" w:sz="0" w:space="0" w:color="auto"/>
      </w:divBdr>
    </w:div>
    <w:div w:id="2033534740">
      <w:bodyDiv w:val="1"/>
      <w:marLeft w:val="0"/>
      <w:marRight w:val="0"/>
      <w:marTop w:val="0"/>
      <w:marBottom w:val="0"/>
      <w:divBdr>
        <w:top w:val="none" w:sz="0" w:space="0" w:color="auto"/>
        <w:left w:val="none" w:sz="0" w:space="0" w:color="auto"/>
        <w:bottom w:val="none" w:sz="0" w:space="0" w:color="auto"/>
        <w:right w:val="none" w:sz="0" w:space="0" w:color="auto"/>
      </w:divBdr>
    </w:div>
    <w:div w:id="2033802433">
      <w:bodyDiv w:val="1"/>
      <w:marLeft w:val="0"/>
      <w:marRight w:val="0"/>
      <w:marTop w:val="0"/>
      <w:marBottom w:val="0"/>
      <w:divBdr>
        <w:top w:val="none" w:sz="0" w:space="0" w:color="auto"/>
        <w:left w:val="none" w:sz="0" w:space="0" w:color="auto"/>
        <w:bottom w:val="none" w:sz="0" w:space="0" w:color="auto"/>
        <w:right w:val="none" w:sz="0" w:space="0" w:color="auto"/>
      </w:divBdr>
    </w:div>
    <w:div w:id="2033989845">
      <w:bodyDiv w:val="1"/>
      <w:marLeft w:val="0"/>
      <w:marRight w:val="0"/>
      <w:marTop w:val="0"/>
      <w:marBottom w:val="0"/>
      <w:divBdr>
        <w:top w:val="none" w:sz="0" w:space="0" w:color="auto"/>
        <w:left w:val="none" w:sz="0" w:space="0" w:color="auto"/>
        <w:bottom w:val="none" w:sz="0" w:space="0" w:color="auto"/>
        <w:right w:val="none" w:sz="0" w:space="0" w:color="auto"/>
      </w:divBdr>
    </w:div>
    <w:div w:id="2033997135">
      <w:bodyDiv w:val="1"/>
      <w:marLeft w:val="0"/>
      <w:marRight w:val="0"/>
      <w:marTop w:val="0"/>
      <w:marBottom w:val="0"/>
      <w:divBdr>
        <w:top w:val="none" w:sz="0" w:space="0" w:color="auto"/>
        <w:left w:val="none" w:sz="0" w:space="0" w:color="auto"/>
        <w:bottom w:val="none" w:sz="0" w:space="0" w:color="auto"/>
        <w:right w:val="none" w:sz="0" w:space="0" w:color="auto"/>
      </w:divBdr>
    </w:div>
    <w:div w:id="2034108673">
      <w:bodyDiv w:val="1"/>
      <w:marLeft w:val="0"/>
      <w:marRight w:val="0"/>
      <w:marTop w:val="0"/>
      <w:marBottom w:val="0"/>
      <w:divBdr>
        <w:top w:val="none" w:sz="0" w:space="0" w:color="auto"/>
        <w:left w:val="none" w:sz="0" w:space="0" w:color="auto"/>
        <w:bottom w:val="none" w:sz="0" w:space="0" w:color="auto"/>
        <w:right w:val="none" w:sz="0" w:space="0" w:color="auto"/>
      </w:divBdr>
    </w:div>
    <w:div w:id="2034182869">
      <w:bodyDiv w:val="1"/>
      <w:marLeft w:val="0"/>
      <w:marRight w:val="0"/>
      <w:marTop w:val="0"/>
      <w:marBottom w:val="0"/>
      <w:divBdr>
        <w:top w:val="none" w:sz="0" w:space="0" w:color="auto"/>
        <w:left w:val="none" w:sz="0" w:space="0" w:color="auto"/>
        <w:bottom w:val="none" w:sz="0" w:space="0" w:color="auto"/>
        <w:right w:val="none" w:sz="0" w:space="0" w:color="auto"/>
      </w:divBdr>
    </w:div>
    <w:div w:id="2034568065">
      <w:bodyDiv w:val="1"/>
      <w:marLeft w:val="0"/>
      <w:marRight w:val="0"/>
      <w:marTop w:val="0"/>
      <w:marBottom w:val="0"/>
      <w:divBdr>
        <w:top w:val="none" w:sz="0" w:space="0" w:color="auto"/>
        <w:left w:val="none" w:sz="0" w:space="0" w:color="auto"/>
        <w:bottom w:val="none" w:sz="0" w:space="0" w:color="auto"/>
        <w:right w:val="none" w:sz="0" w:space="0" w:color="auto"/>
      </w:divBdr>
    </w:div>
    <w:div w:id="2034571699">
      <w:bodyDiv w:val="1"/>
      <w:marLeft w:val="0"/>
      <w:marRight w:val="0"/>
      <w:marTop w:val="0"/>
      <w:marBottom w:val="0"/>
      <w:divBdr>
        <w:top w:val="none" w:sz="0" w:space="0" w:color="auto"/>
        <w:left w:val="none" w:sz="0" w:space="0" w:color="auto"/>
        <w:bottom w:val="none" w:sz="0" w:space="0" w:color="auto"/>
        <w:right w:val="none" w:sz="0" w:space="0" w:color="auto"/>
      </w:divBdr>
    </w:div>
    <w:div w:id="2034574388">
      <w:bodyDiv w:val="1"/>
      <w:marLeft w:val="0"/>
      <w:marRight w:val="0"/>
      <w:marTop w:val="0"/>
      <w:marBottom w:val="0"/>
      <w:divBdr>
        <w:top w:val="none" w:sz="0" w:space="0" w:color="auto"/>
        <w:left w:val="none" w:sz="0" w:space="0" w:color="auto"/>
        <w:bottom w:val="none" w:sz="0" w:space="0" w:color="auto"/>
        <w:right w:val="none" w:sz="0" w:space="0" w:color="auto"/>
      </w:divBdr>
    </w:div>
    <w:div w:id="2034766330">
      <w:bodyDiv w:val="1"/>
      <w:marLeft w:val="0"/>
      <w:marRight w:val="0"/>
      <w:marTop w:val="0"/>
      <w:marBottom w:val="0"/>
      <w:divBdr>
        <w:top w:val="none" w:sz="0" w:space="0" w:color="auto"/>
        <w:left w:val="none" w:sz="0" w:space="0" w:color="auto"/>
        <w:bottom w:val="none" w:sz="0" w:space="0" w:color="auto"/>
        <w:right w:val="none" w:sz="0" w:space="0" w:color="auto"/>
      </w:divBdr>
    </w:div>
    <w:div w:id="2034916166">
      <w:bodyDiv w:val="1"/>
      <w:marLeft w:val="0"/>
      <w:marRight w:val="0"/>
      <w:marTop w:val="0"/>
      <w:marBottom w:val="0"/>
      <w:divBdr>
        <w:top w:val="none" w:sz="0" w:space="0" w:color="auto"/>
        <w:left w:val="none" w:sz="0" w:space="0" w:color="auto"/>
        <w:bottom w:val="none" w:sz="0" w:space="0" w:color="auto"/>
        <w:right w:val="none" w:sz="0" w:space="0" w:color="auto"/>
      </w:divBdr>
    </w:div>
    <w:div w:id="2034960326">
      <w:bodyDiv w:val="1"/>
      <w:marLeft w:val="0"/>
      <w:marRight w:val="0"/>
      <w:marTop w:val="0"/>
      <w:marBottom w:val="0"/>
      <w:divBdr>
        <w:top w:val="none" w:sz="0" w:space="0" w:color="auto"/>
        <w:left w:val="none" w:sz="0" w:space="0" w:color="auto"/>
        <w:bottom w:val="none" w:sz="0" w:space="0" w:color="auto"/>
        <w:right w:val="none" w:sz="0" w:space="0" w:color="auto"/>
      </w:divBdr>
    </w:div>
    <w:div w:id="2035037170">
      <w:bodyDiv w:val="1"/>
      <w:marLeft w:val="0"/>
      <w:marRight w:val="0"/>
      <w:marTop w:val="0"/>
      <w:marBottom w:val="0"/>
      <w:divBdr>
        <w:top w:val="none" w:sz="0" w:space="0" w:color="auto"/>
        <w:left w:val="none" w:sz="0" w:space="0" w:color="auto"/>
        <w:bottom w:val="none" w:sz="0" w:space="0" w:color="auto"/>
        <w:right w:val="none" w:sz="0" w:space="0" w:color="auto"/>
      </w:divBdr>
    </w:div>
    <w:div w:id="2035306331">
      <w:bodyDiv w:val="1"/>
      <w:marLeft w:val="0"/>
      <w:marRight w:val="0"/>
      <w:marTop w:val="0"/>
      <w:marBottom w:val="0"/>
      <w:divBdr>
        <w:top w:val="none" w:sz="0" w:space="0" w:color="auto"/>
        <w:left w:val="none" w:sz="0" w:space="0" w:color="auto"/>
        <w:bottom w:val="none" w:sz="0" w:space="0" w:color="auto"/>
        <w:right w:val="none" w:sz="0" w:space="0" w:color="auto"/>
      </w:divBdr>
    </w:div>
    <w:div w:id="2035383317">
      <w:bodyDiv w:val="1"/>
      <w:marLeft w:val="0"/>
      <w:marRight w:val="0"/>
      <w:marTop w:val="0"/>
      <w:marBottom w:val="0"/>
      <w:divBdr>
        <w:top w:val="none" w:sz="0" w:space="0" w:color="auto"/>
        <w:left w:val="none" w:sz="0" w:space="0" w:color="auto"/>
        <w:bottom w:val="none" w:sz="0" w:space="0" w:color="auto"/>
        <w:right w:val="none" w:sz="0" w:space="0" w:color="auto"/>
      </w:divBdr>
    </w:div>
    <w:div w:id="2035418527">
      <w:bodyDiv w:val="1"/>
      <w:marLeft w:val="0"/>
      <w:marRight w:val="0"/>
      <w:marTop w:val="0"/>
      <w:marBottom w:val="0"/>
      <w:divBdr>
        <w:top w:val="none" w:sz="0" w:space="0" w:color="auto"/>
        <w:left w:val="none" w:sz="0" w:space="0" w:color="auto"/>
        <w:bottom w:val="none" w:sz="0" w:space="0" w:color="auto"/>
        <w:right w:val="none" w:sz="0" w:space="0" w:color="auto"/>
      </w:divBdr>
    </w:div>
    <w:div w:id="2035419634">
      <w:bodyDiv w:val="1"/>
      <w:marLeft w:val="0"/>
      <w:marRight w:val="0"/>
      <w:marTop w:val="0"/>
      <w:marBottom w:val="0"/>
      <w:divBdr>
        <w:top w:val="none" w:sz="0" w:space="0" w:color="auto"/>
        <w:left w:val="none" w:sz="0" w:space="0" w:color="auto"/>
        <w:bottom w:val="none" w:sz="0" w:space="0" w:color="auto"/>
        <w:right w:val="none" w:sz="0" w:space="0" w:color="auto"/>
      </w:divBdr>
    </w:div>
    <w:div w:id="2035422117">
      <w:bodyDiv w:val="1"/>
      <w:marLeft w:val="0"/>
      <w:marRight w:val="0"/>
      <w:marTop w:val="0"/>
      <w:marBottom w:val="0"/>
      <w:divBdr>
        <w:top w:val="none" w:sz="0" w:space="0" w:color="auto"/>
        <w:left w:val="none" w:sz="0" w:space="0" w:color="auto"/>
        <w:bottom w:val="none" w:sz="0" w:space="0" w:color="auto"/>
        <w:right w:val="none" w:sz="0" w:space="0" w:color="auto"/>
      </w:divBdr>
    </w:div>
    <w:div w:id="2035495279">
      <w:bodyDiv w:val="1"/>
      <w:marLeft w:val="0"/>
      <w:marRight w:val="0"/>
      <w:marTop w:val="0"/>
      <w:marBottom w:val="0"/>
      <w:divBdr>
        <w:top w:val="none" w:sz="0" w:space="0" w:color="auto"/>
        <w:left w:val="none" w:sz="0" w:space="0" w:color="auto"/>
        <w:bottom w:val="none" w:sz="0" w:space="0" w:color="auto"/>
        <w:right w:val="none" w:sz="0" w:space="0" w:color="auto"/>
      </w:divBdr>
    </w:div>
    <w:div w:id="2035499586">
      <w:bodyDiv w:val="1"/>
      <w:marLeft w:val="0"/>
      <w:marRight w:val="0"/>
      <w:marTop w:val="0"/>
      <w:marBottom w:val="0"/>
      <w:divBdr>
        <w:top w:val="none" w:sz="0" w:space="0" w:color="auto"/>
        <w:left w:val="none" w:sz="0" w:space="0" w:color="auto"/>
        <w:bottom w:val="none" w:sz="0" w:space="0" w:color="auto"/>
        <w:right w:val="none" w:sz="0" w:space="0" w:color="auto"/>
      </w:divBdr>
    </w:div>
    <w:div w:id="2035567794">
      <w:bodyDiv w:val="1"/>
      <w:marLeft w:val="0"/>
      <w:marRight w:val="0"/>
      <w:marTop w:val="0"/>
      <w:marBottom w:val="0"/>
      <w:divBdr>
        <w:top w:val="none" w:sz="0" w:space="0" w:color="auto"/>
        <w:left w:val="none" w:sz="0" w:space="0" w:color="auto"/>
        <w:bottom w:val="none" w:sz="0" w:space="0" w:color="auto"/>
        <w:right w:val="none" w:sz="0" w:space="0" w:color="auto"/>
      </w:divBdr>
    </w:div>
    <w:div w:id="2035644269">
      <w:bodyDiv w:val="1"/>
      <w:marLeft w:val="0"/>
      <w:marRight w:val="0"/>
      <w:marTop w:val="0"/>
      <w:marBottom w:val="0"/>
      <w:divBdr>
        <w:top w:val="none" w:sz="0" w:space="0" w:color="auto"/>
        <w:left w:val="none" w:sz="0" w:space="0" w:color="auto"/>
        <w:bottom w:val="none" w:sz="0" w:space="0" w:color="auto"/>
        <w:right w:val="none" w:sz="0" w:space="0" w:color="auto"/>
      </w:divBdr>
    </w:div>
    <w:div w:id="2035646315">
      <w:bodyDiv w:val="1"/>
      <w:marLeft w:val="0"/>
      <w:marRight w:val="0"/>
      <w:marTop w:val="0"/>
      <w:marBottom w:val="0"/>
      <w:divBdr>
        <w:top w:val="none" w:sz="0" w:space="0" w:color="auto"/>
        <w:left w:val="none" w:sz="0" w:space="0" w:color="auto"/>
        <w:bottom w:val="none" w:sz="0" w:space="0" w:color="auto"/>
        <w:right w:val="none" w:sz="0" w:space="0" w:color="auto"/>
      </w:divBdr>
    </w:div>
    <w:div w:id="2035691199">
      <w:bodyDiv w:val="1"/>
      <w:marLeft w:val="0"/>
      <w:marRight w:val="0"/>
      <w:marTop w:val="0"/>
      <w:marBottom w:val="0"/>
      <w:divBdr>
        <w:top w:val="none" w:sz="0" w:space="0" w:color="auto"/>
        <w:left w:val="none" w:sz="0" w:space="0" w:color="auto"/>
        <w:bottom w:val="none" w:sz="0" w:space="0" w:color="auto"/>
        <w:right w:val="none" w:sz="0" w:space="0" w:color="auto"/>
      </w:divBdr>
    </w:div>
    <w:div w:id="2035768009">
      <w:bodyDiv w:val="1"/>
      <w:marLeft w:val="0"/>
      <w:marRight w:val="0"/>
      <w:marTop w:val="0"/>
      <w:marBottom w:val="0"/>
      <w:divBdr>
        <w:top w:val="none" w:sz="0" w:space="0" w:color="auto"/>
        <w:left w:val="none" w:sz="0" w:space="0" w:color="auto"/>
        <w:bottom w:val="none" w:sz="0" w:space="0" w:color="auto"/>
        <w:right w:val="none" w:sz="0" w:space="0" w:color="auto"/>
      </w:divBdr>
    </w:div>
    <w:div w:id="2035879836">
      <w:bodyDiv w:val="1"/>
      <w:marLeft w:val="0"/>
      <w:marRight w:val="0"/>
      <w:marTop w:val="0"/>
      <w:marBottom w:val="0"/>
      <w:divBdr>
        <w:top w:val="none" w:sz="0" w:space="0" w:color="auto"/>
        <w:left w:val="none" w:sz="0" w:space="0" w:color="auto"/>
        <w:bottom w:val="none" w:sz="0" w:space="0" w:color="auto"/>
        <w:right w:val="none" w:sz="0" w:space="0" w:color="auto"/>
      </w:divBdr>
    </w:div>
    <w:div w:id="2036073588">
      <w:bodyDiv w:val="1"/>
      <w:marLeft w:val="0"/>
      <w:marRight w:val="0"/>
      <w:marTop w:val="0"/>
      <w:marBottom w:val="0"/>
      <w:divBdr>
        <w:top w:val="none" w:sz="0" w:space="0" w:color="auto"/>
        <w:left w:val="none" w:sz="0" w:space="0" w:color="auto"/>
        <w:bottom w:val="none" w:sz="0" w:space="0" w:color="auto"/>
        <w:right w:val="none" w:sz="0" w:space="0" w:color="auto"/>
      </w:divBdr>
    </w:div>
    <w:div w:id="2036076136">
      <w:bodyDiv w:val="1"/>
      <w:marLeft w:val="0"/>
      <w:marRight w:val="0"/>
      <w:marTop w:val="0"/>
      <w:marBottom w:val="0"/>
      <w:divBdr>
        <w:top w:val="none" w:sz="0" w:space="0" w:color="auto"/>
        <w:left w:val="none" w:sz="0" w:space="0" w:color="auto"/>
        <w:bottom w:val="none" w:sz="0" w:space="0" w:color="auto"/>
        <w:right w:val="none" w:sz="0" w:space="0" w:color="auto"/>
      </w:divBdr>
    </w:div>
    <w:div w:id="2036148318">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36269546">
      <w:bodyDiv w:val="1"/>
      <w:marLeft w:val="0"/>
      <w:marRight w:val="0"/>
      <w:marTop w:val="0"/>
      <w:marBottom w:val="0"/>
      <w:divBdr>
        <w:top w:val="none" w:sz="0" w:space="0" w:color="auto"/>
        <w:left w:val="none" w:sz="0" w:space="0" w:color="auto"/>
        <w:bottom w:val="none" w:sz="0" w:space="0" w:color="auto"/>
        <w:right w:val="none" w:sz="0" w:space="0" w:color="auto"/>
      </w:divBdr>
    </w:div>
    <w:div w:id="2036347456">
      <w:bodyDiv w:val="1"/>
      <w:marLeft w:val="0"/>
      <w:marRight w:val="0"/>
      <w:marTop w:val="0"/>
      <w:marBottom w:val="0"/>
      <w:divBdr>
        <w:top w:val="none" w:sz="0" w:space="0" w:color="auto"/>
        <w:left w:val="none" w:sz="0" w:space="0" w:color="auto"/>
        <w:bottom w:val="none" w:sz="0" w:space="0" w:color="auto"/>
        <w:right w:val="none" w:sz="0" w:space="0" w:color="auto"/>
      </w:divBdr>
    </w:div>
    <w:div w:id="2036422032">
      <w:bodyDiv w:val="1"/>
      <w:marLeft w:val="0"/>
      <w:marRight w:val="0"/>
      <w:marTop w:val="0"/>
      <w:marBottom w:val="0"/>
      <w:divBdr>
        <w:top w:val="none" w:sz="0" w:space="0" w:color="auto"/>
        <w:left w:val="none" w:sz="0" w:space="0" w:color="auto"/>
        <w:bottom w:val="none" w:sz="0" w:space="0" w:color="auto"/>
        <w:right w:val="none" w:sz="0" w:space="0" w:color="auto"/>
      </w:divBdr>
    </w:div>
    <w:div w:id="2036497566">
      <w:bodyDiv w:val="1"/>
      <w:marLeft w:val="0"/>
      <w:marRight w:val="0"/>
      <w:marTop w:val="0"/>
      <w:marBottom w:val="0"/>
      <w:divBdr>
        <w:top w:val="none" w:sz="0" w:space="0" w:color="auto"/>
        <w:left w:val="none" w:sz="0" w:space="0" w:color="auto"/>
        <w:bottom w:val="none" w:sz="0" w:space="0" w:color="auto"/>
        <w:right w:val="none" w:sz="0" w:space="0" w:color="auto"/>
      </w:divBdr>
    </w:div>
    <w:div w:id="2036534868">
      <w:bodyDiv w:val="1"/>
      <w:marLeft w:val="0"/>
      <w:marRight w:val="0"/>
      <w:marTop w:val="0"/>
      <w:marBottom w:val="0"/>
      <w:divBdr>
        <w:top w:val="none" w:sz="0" w:space="0" w:color="auto"/>
        <w:left w:val="none" w:sz="0" w:space="0" w:color="auto"/>
        <w:bottom w:val="none" w:sz="0" w:space="0" w:color="auto"/>
        <w:right w:val="none" w:sz="0" w:space="0" w:color="auto"/>
      </w:divBdr>
    </w:div>
    <w:div w:id="2036536201">
      <w:bodyDiv w:val="1"/>
      <w:marLeft w:val="0"/>
      <w:marRight w:val="0"/>
      <w:marTop w:val="0"/>
      <w:marBottom w:val="0"/>
      <w:divBdr>
        <w:top w:val="none" w:sz="0" w:space="0" w:color="auto"/>
        <w:left w:val="none" w:sz="0" w:space="0" w:color="auto"/>
        <w:bottom w:val="none" w:sz="0" w:space="0" w:color="auto"/>
        <w:right w:val="none" w:sz="0" w:space="0" w:color="auto"/>
      </w:divBdr>
    </w:div>
    <w:div w:id="2036687232">
      <w:bodyDiv w:val="1"/>
      <w:marLeft w:val="0"/>
      <w:marRight w:val="0"/>
      <w:marTop w:val="0"/>
      <w:marBottom w:val="0"/>
      <w:divBdr>
        <w:top w:val="none" w:sz="0" w:space="0" w:color="auto"/>
        <w:left w:val="none" w:sz="0" w:space="0" w:color="auto"/>
        <w:bottom w:val="none" w:sz="0" w:space="0" w:color="auto"/>
        <w:right w:val="none" w:sz="0" w:space="0" w:color="auto"/>
      </w:divBdr>
    </w:div>
    <w:div w:id="2036729987">
      <w:bodyDiv w:val="1"/>
      <w:marLeft w:val="0"/>
      <w:marRight w:val="0"/>
      <w:marTop w:val="0"/>
      <w:marBottom w:val="0"/>
      <w:divBdr>
        <w:top w:val="none" w:sz="0" w:space="0" w:color="auto"/>
        <w:left w:val="none" w:sz="0" w:space="0" w:color="auto"/>
        <w:bottom w:val="none" w:sz="0" w:space="0" w:color="auto"/>
        <w:right w:val="none" w:sz="0" w:space="0" w:color="auto"/>
      </w:divBdr>
    </w:div>
    <w:div w:id="2036732586">
      <w:bodyDiv w:val="1"/>
      <w:marLeft w:val="0"/>
      <w:marRight w:val="0"/>
      <w:marTop w:val="0"/>
      <w:marBottom w:val="0"/>
      <w:divBdr>
        <w:top w:val="none" w:sz="0" w:space="0" w:color="auto"/>
        <w:left w:val="none" w:sz="0" w:space="0" w:color="auto"/>
        <w:bottom w:val="none" w:sz="0" w:space="0" w:color="auto"/>
        <w:right w:val="none" w:sz="0" w:space="0" w:color="auto"/>
      </w:divBdr>
    </w:div>
    <w:div w:id="2036881844">
      <w:bodyDiv w:val="1"/>
      <w:marLeft w:val="0"/>
      <w:marRight w:val="0"/>
      <w:marTop w:val="0"/>
      <w:marBottom w:val="0"/>
      <w:divBdr>
        <w:top w:val="none" w:sz="0" w:space="0" w:color="auto"/>
        <w:left w:val="none" w:sz="0" w:space="0" w:color="auto"/>
        <w:bottom w:val="none" w:sz="0" w:space="0" w:color="auto"/>
        <w:right w:val="none" w:sz="0" w:space="0" w:color="auto"/>
      </w:divBdr>
    </w:div>
    <w:div w:id="2036885189">
      <w:bodyDiv w:val="1"/>
      <w:marLeft w:val="0"/>
      <w:marRight w:val="0"/>
      <w:marTop w:val="0"/>
      <w:marBottom w:val="0"/>
      <w:divBdr>
        <w:top w:val="none" w:sz="0" w:space="0" w:color="auto"/>
        <w:left w:val="none" w:sz="0" w:space="0" w:color="auto"/>
        <w:bottom w:val="none" w:sz="0" w:space="0" w:color="auto"/>
        <w:right w:val="none" w:sz="0" w:space="0" w:color="auto"/>
      </w:divBdr>
    </w:div>
    <w:div w:id="2037148618">
      <w:bodyDiv w:val="1"/>
      <w:marLeft w:val="0"/>
      <w:marRight w:val="0"/>
      <w:marTop w:val="0"/>
      <w:marBottom w:val="0"/>
      <w:divBdr>
        <w:top w:val="none" w:sz="0" w:space="0" w:color="auto"/>
        <w:left w:val="none" w:sz="0" w:space="0" w:color="auto"/>
        <w:bottom w:val="none" w:sz="0" w:space="0" w:color="auto"/>
        <w:right w:val="none" w:sz="0" w:space="0" w:color="auto"/>
      </w:divBdr>
    </w:div>
    <w:div w:id="2037196023">
      <w:bodyDiv w:val="1"/>
      <w:marLeft w:val="0"/>
      <w:marRight w:val="0"/>
      <w:marTop w:val="0"/>
      <w:marBottom w:val="0"/>
      <w:divBdr>
        <w:top w:val="none" w:sz="0" w:space="0" w:color="auto"/>
        <w:left w:val="none" w:sz="0" w:space="0" w:color="auto"/>
        <w:bottom w:val="none" w:sz="0" w:space="0" w:color="auto"/>
        <w:right w:val="none" w:sz="0" w:space="0" w:color="auto"/>
      </w:divBdr>
    </w:div>
    <w:div w:id="2037349263">
      <w:bodyDiv w:val="1"/>
      <w:marLeft w:val="0"/>
      <w:marRight w:val="0"/>
      <w:marTop w:val="0"/>
      <w:marBottom w:val="0"/>
      <w:divBdr>
        <w:top w:val="none" w:sz="0" w:space="0" w:color="auto"/>
        <w:left w:val="none" w:sz="0" w:space="0" w:color="auto"/>
        <w:bottom w:val="none" w:sz="0" w:space="0" w:color="auto"/>
        <w:right w:val="none" w:sz="0" w:space="0" w:color="auto"/>
      </w:divBdr>
    </w:div>
    <w:div w:id="2037534101">
      <w:bodyDiv w:val="1"/>
      <w:marLeft w:val="0"/>
      <w:marRight w:val="0"/>
      <w:marTop w:val="0"/>
      <w:marBottom w:val="0"/>
      <w:divBdr>
        <w:top w:val="none" w:sz="0" w:space="0" w:color="auto"/>
        <w:left w:val="none" w:sz="0" w:space="0" w:color="auto"/>
        <w:bottom w:val="none" w:sz="0" w:space="0" w:color="auto"/>
        <w:right w:val="none" w:sz="0" w:space="0" w:color="auto"/>
      </w:divBdr>
    </w:div>
    <w:div w:id="2037583110">
      <w:bodyDiv w:val="1"/>
      <w:marLeft w:val="0"/>
      <w:marRight w:val="0"/>
      <w:marTop w:val="0"/>
      <w:marBottom w:val="0"/>
      <w:divBdr>
        <w:top w:val="none" w:sz="0" w:space="0" w:color="auto"/>
        <w:left w:val="none" w:sz="0" w:space="0" w:color="auto"/>
        <w:bottom w:val="none" w:sz="0" w:space="0" w:color="auto"/>
        <w:right w:val="none" w:sz="0" w:space="0" w:color="auto"/>
      </w:divBdr>
    </w:div>
    <w:div w:id="2037583461">
      <w:bodyDiv w:val="1"/>
      <w:marLeft w:val="0"/>
      <w:marRight w:val="0"/>
      <w:marTop w:val="0"/>
      <w:marBottom w:val="0"/>
      <w:divBdr>
        <w:top w:val="none" w:sz="0" w:space="0" w:color="auto"/>
        <w:left w:val="none" w:sz="0" w:space="0" w:color="auto"/>
        <w:bottom w:val="none" w:sz="0" w:space="0" w:color="auto"/>
        <w:right w:val="none" w:sz="0" w:space="0" w:color="auto"/>
      </w:divBdr>
    </w:div>
    <w:div w:id="2037612246">
      <w:bodyDiv w:val="1"/>
      <w:marLeft w:val="0"/>
      <w:marRight w:val="0"/>
      <w:marTop w:val="0"/>
      <w:marBottom w:val="0"/>
      <w:divBdr>
        <w:top w:val="none" w:sz="0" w:space="0" w:color="auto"/>
        <w:left w:val="none" w:sz="0" w:space="0" w:color="auto"/>
        <w:bottom w:val="none" w:sz="0" w:space="0" w:color="auto"/>
        <w:right w:val="none" w:sz="0" w:space="0" w:color="auto"/>
      </w:divBdr>
    </w:div>
    <w:div w:id="2037728580">
      <w:bodyDiv w:val="1"/>
      <w:marLeft w:val="0"/>
      <w:marRight w:val="0"/>
      <w:marTop w:val="0"/>
      <w:marBottom w:val="0"/>
      <w:divBdr>
        <w:top w:val="none" w:sz="0" w:space="0" w:color="auto"/>
        <w:left w:val="none" w:sz="0" w:space="0" w:color="auto"/>
        <w:bottom w:val="none" w:sz="0" w:space="0" w:color="auto"/>
        <w:right w:val="none" w:sz="0" w:space="0" w:color="auto"/>
      </w:divBdr>
    </w:div>
    <w:div w:id="2037731070">
      <w:bodyDiv w:val="1"/>
      <w:marLeft w:val="0"/>
      <w:marRight w:val="0"/>
      <w:marTop w:val="0"/>
      <w:marBottom w:val="0"/>
      <w:divBdr>
        <w:top w:val="none" w:sz="0" w:space="0" w:color="auto"/>
        <w:left w:val="none" w:sz="0" w:space="0" w:color="auto"/>
        <w:bottom w:val="none" w:sz="0" w:space="0" w:color="auto"/>
        <w:right w:val="none" w:sz="0" w:space="0" w:color="auto"/>
      </w:divBdr>
    </w:div>
    <w:div w:id="2037733258">
      <w:bodyDiv w:val="1"/>
      <w:marLeft w:val="0"/>
      <w:marRight w:val="0"/>
      <w:marTop w:val="0"/>
      <w:marBottom w:val="0"/>
      <w:divBdr>
        <w:top w:val="none" w:sz="0" w:space="0" w:color="auto"/>
        <w:left w:val="none" w:sz="0" w:space="0" w:color="auto"/>
        <w:bottom w:val="none" w:sz="0" w:space="0" w:color="auto"/>
        <w:right w:val="none" w:sz="0" w:space="0" w:color="auto"/>
      </w:divBdr>
    </w:div>
    <w:div w:id="2037778274">
      <w:bodyDiv w:val="1"/>
      <w:marLeft w:val="0"/>
      <w:marRight w:val="0"/>
      <w:marTop w:val="0"/>
      <w:marBottom w:val="0"/>
      <w:divBdr>
        <w:top w:val="none" w:sz="0" w:space="0" w:color="auto"/>
        <w:left w:val="none" w:sz="0" w:space="0" w:color="auto"/>
        <w:bottom w:val="none" w:sz="0" w:space="0" w:color="auto"/>
        <w:right w:val="none" w:sz="0" w:space="0" w:color="auto"/>
      </w:divBdr>
    </w:div>
    <w:div w:id="2037804816">
      <w:bodyDiv w:val="1"/>
      <w:marLeft w:val="0"/>
      <w:marRight w:val="0"/>
      <w:marTop w:val="0"/>
      <w:marBottom w:val="0"/>
      <w:divBdr>
        <w:top w:val="none" w:sz="0" w:space="0" w:color="auto"/>
        <w:left w:val="none" w:sz="0" w:space="0" w:color="auto"/>
        <w:bottom w:val="none" w:sz="0" w:space="0" w:color="auto"/>
        <w:right w:val="none" w:sz="0" w:space="0" w:color="auto"/>
      </w:divBdr>
    </w:div>
    <w:div w:id="2037806013">
      <w:bodyDiv w:val="1"/>
      <w:marLeft w:val="0"/>
      <w:marRight w:val="0"/>
      <w:marTop w:val="0"/>
      <w:marBottom w:val="0"/>
      <w:divBdr>
        <w:top w:val="none" w:sz="0" w:space="0" w:color="auto"/>
        <w:left w:val="none" w:sz="0" w:space="0" w:color="auto"/>
        <w:bottom w:val="none" w:sz="0" w:space="0" w:color="auto"/>
        <w:right w:val="none" w:sz="0" w:space="0" w:color="auto"/>
      </w:divBdr>
    </w:div>
    <w:div w:id="2037923004">
      <w:bodyDiv w:val="1"/>
      <w:marLeft w:val="0"/>
      <w:marRight w:val="0"/>
      <w:marTop w:val="0"/>
      <w:marBottom w:val="0"/>
      <w:divBdr>
        <w:top w:val="none" w:sz="0" w:space="0" w:color="auto"/>
        <w:left w:val="none" w:sz="0" w:space="0" w:color="auto"/>
        <w:bottom w:val="none" w:sz="0" w:space="0" w:color="auto"/>
        <w:right w:val="none" w:sz="0" w:space="0" w:color="auto"/>
      </w:divBdr>
    </w:div>
    <w:div w:id="2037926382">
      <w:bodyDiv w:val="1"/>
      <w:marLeft w:val="0"/>
      <w:marRight w:val="0"/>
      <w:marTop w:val="0"/>
      <w:marBottom w:val="0"/>
      <w:divBdr>
        <w:top w:val="none" w:sz="0" w:space="0" w:color="auto"/>
        <w:left w:val="none" w:sz="0" w:space="0" w:color="auto"/>
        <w:bottom w:val="none" w:sz="0" w:space="0" w:color="auto"/>
        <w:right w:val="none" w:sz="0" w:space="0" w:color="auto"/>
      </w:divBdr>
    </w:div>
    <w:div w:id="2037999774">
      <w:bodyDiv w:val="1"/>
      <w:marLeft w:val="0"/>
      <w:marRight w:val="0"/>
      <w:marTop w:val="0"/>
      <w:marBottom w:val="0"/>
      <w:divBdr>
        <w:top w:val="none" w:sz="0" w:space="0" w:color="auto"/>
        <w:left w:val="none" w:sz="0" w:space="0" w:color="auto"/>
        <w:bottom w:val="none" w:sz="0" w:space="0" w:color="auto"/>
        <w:right w:val="none" w:sz="0" w:space="0" w:color="auto"/>
      </w:divBdr>
    </w:div>
    <w:div w:id="2038114073">
      <w:bodyDiv w:val="1"/>
      <w:marLeft w:val="0"/>
      <w:marRight w:val="0"/>
      <w:marTop w:val="0"/>
      <w:marBottom w:val="0"/>
      <w:divBdr>
        <w:top w:val="none" w:sz="0" w:space="0" w:color="auto"/>
        <w:left w:val="none" w:sz="0" w:space="0" w:color="auto"/>
        <w:bottom w:val="none" w:sz="0" w:space="0" w:color="auto"/>
        <w:right w:val="none" w:sz="0" w:space="0" w:color="auto"/>
      </w:divBdr>
    </w:div>
    <w:div w:id="2038122371">
      <w:bodyDiv w:val="1"/>
      <w:marLeft w:val="0"/>
      <w:marRight w:val="0"/>
      <w:marTop w:val="0"/>
      <w:marBottom w:val="0"/>
      <w:divBdr>
        <w:top w:val="none" w:sz="0" w:space="0" w:color="auto"/>
        <w:left w:val="none" w:sz="0" w:space="0" w:color="auto"/>
        <w:bottom w:val="none" w:sz="0" w:space="0" w:color="auto"/>
        <w:right w:val="none" w:sz="0" w:space="0" w:color="auto"/>
      </w:divBdr>
    </w:div>
    <w:div w:id="2038236496">
      <w:bodyDiv w:val="1"/>
      <w:marLeft w:val="0"/>
      <w:marRight w:val="0"/>
      <w:marTop w:val="0"/>
      <w:marBottom w:val="0"/>
      <w:divBdr>
        <w:top w:val="none" w:sz="0" w:space="0" w:color="auto"/>
        <w:left w:val="none" w:sz="0" w:space="0" w:color="auto"/>
        <w:bottom w:val="none" w:sz="0" w:space="0" w:color="auto"/>
        <w:right w:val="none" w:sz="0" w:space="0" w:color="auto"/>
      </w:divBdr>
    </w:div>
    <w:div w:id="2038240625">
      <w:bodyDiv w:val="1"/>
      <w:marLeft w:val="0"/>
      <w:marRight w:val="0"/>
      <w:marTop w:val="0"/>
      <w:marBottom w:val="0"/>
      <w:divBdr>
        <w:top w:val="none" w:sz="0" w:space="0" w:color="auto"/>
        <w:left w:val="none" w:sz="0" w:space="0" w:color="auto"/>
        <w:bottom w:val="none" w:sz="0" w:space="0" w:color="auto"/>
        <w:right w:val="none" w:sz="0" w:space="0" w:color="auto"/>
      </w:divBdr>
    </w:div>
    <w:div w:id="2038266095">
      <w:bodyDiv w:val="1"/>
      <w:marLeft w:val="0"/>
      <w:marRight w:val="0"/>
      <w:marTop w:val="0"/>
      <w:marBottom w:val="0"/>
      <w:divBdr>
        <w:top w:val="none" w:sz="0" w:space="0" w:color="auto"/>
        <w:left w:val="none" w:sz="0" w:space="0" w:color="auto"/>
        <w:bottom w:val="none" w:sz="0" w:space="0" w:color="auto"/>
        <w:right w:val="none" w:sz="0" w:space="0" w:color="auto"/>
      </w:divBdr>
    </w:div>
    <w:div w:id="2038316001">
      <w:bodyDiv w:val="1"/>
      <w:marLeft w:val="0"/>
      <w:marRight w:val="0"/>
      <w:marTop w:val="0"/>
      <w:marBottom w:val="0"/>
      <w:divBdr>
        <w:top w:val="none" w:sz="0" w:space="0" w:color="auto"/>
        <w:left w:val="none" w:sz="0" w:space="0" w:color="auto"/>
        <w:bottom w:val="none" w:sz="0" w:space="0" w:color="auto"/>
        <w:right w:val="none" w:sz="0" w:space="0" w:color="auto"/>
      </w:divBdr>
    </w:div>
    <w:div w:id="2038432130">
      <w:bodyDiv w:val="1"/>
      <w:marLeft w:val="0"/>
      <w:marRight w:val="0"/>
      <w:marTop w:val="0"/>
      <w:marBottom w:val="0"/>
      <w:divBdr>
        <w:top w:val="none" w:sz="0" w:space="0" w:color="auto"/>
        <w:left w:val="none" w:sz="0" w:space="0" w:color="auto"/>
        <w:bottom w:val="none" w:sz="0" w:space="0" w:color="auto"/>
        <w:right w:val="none" w:sz="0" w:space="0" w:color="auto"/>
      </w:divBdr>
    </w:div>
    <w:div w:id="2038506619">
      <w:bodyDiv w:val="1"/>
      <w:marLeft w:val="0"/>
      <w:marRight w:val="0"/>
      <w:marTop w:val="0"/>
      <w:marBottom w:val="0"/>
      <w:divBdr>
        <w:top w:val="none" w:sz="0" w:space="0" w:color="auto"/>
        <w:left w:val="none" w:sz="0" w:space="0" w:color="auto"/>
        <w:bottom w:val="none" w:sz="0" w:space="0" w:color="auto"/>
        <w:right w:val="none" w:sz="0" w:space="0" w:color="auto"/>
      </w:divBdr>
    </w:div>
    <w:div w:id="2038656028">
      <w:bodyDiv w:val="1"/>
      <w:marLeft w:val="0"/>
      <w:marRight w:val="0"/>
      <w:marTop w:val="0"/>
      <w:marBottom w:val="0"/>
      <w:divBdr>
        <w:top w:val="none" w:sz="0" w:space="0" w:color="auto"/>
        <w:left w:val="none" w:sz="0" w:space="0" w:color="auto"/>
        <w:bottom w:val="none" w:sz="0" w:space="0" w:color="auto"/>
        <w:right w:val="none" w:sz="0" w:space="0" w:color="auto"/>
      </w:divBdr>
    </w:div>
    <w:div w:id="2038698337">
      <w:bodyDiv w:val="1"/>
      <w:marLeft w:val="0"/>
      <w:marRight w:val="0"/>
      <w:marTop w:val="0"/>
      <w:marBottom w:val="0"/>
      <w:divBdr>
        <w:top w:val="none" w:sz="0" w:space="0" w:color="auto"/>
        <w:left w:val="none" w:sz="0" w:space="0" w:color="auto"/>
        <w:bottom w:val="none" w:sz="0" w:space="0" w:color="auto"/>
        <w:right w:val="none" w:sz="0" w:space="0" w:color="auto"/>
      </w:divBdr>
    </w:div>
    <w:div w:id="2038699658">
      <w:bodyDiv w:val="1"/>
      <w:marLeft w:val="0"/>
      <w:marRight w:val="0"/>
      <w:marTop w:val="0"/>
      <w:marBottom w:val="0"/>
      <w:divBdr>
        <w:top w:val="none" w:sz="0" w:space="0" w:color="auto"/>
        <w:left w:val="none" w:sz="0" w:space="0" w:color="auto"/>
        <w:bottom w:val="none" w:sz="0" w:space="0" w:color="auto"/>
        <w:right w:val="none" w:sz="0" w:space="0" w:color="auto"/>
      </w:divBdr>
    </w:div>
    <w:div w:id="2038894411">
      <w:bodyDiv w:val="1"/>
      <w:marLeft w:val="0"/>
      <w:marRight w:val="0"/>
      <w:marTop w:val="0"/>
      <w:marBottom w:val="0"/>
      <w:divBdr>
        <w:top w:val="none" w:sz="0" w:space="0" w:color="auto"/>
        <w:left w:val="none" w:sz="0" w:space="0" w:color="auto"/>
        <w:bottom w:val="none" w:sz="0" w:space="0" w:color="auto"/>
        <w:right w:val="none" w:sz="0" w:space="0" w:color="auto"/>
      </w:divBdr>
    </w:div>
    <w:div w:id="2039042165">
      <w:bodyDiv w:val="1"/>
      <w:marLeft w:val="0"/>
      <w:marRight w:val="0"/>
      <w:marTop w:val="0"/>
      <w:marBottom w:val="0"/>
      <w:divBdr>
        <w:top w:val="none" w:sz="0" w:space="0" w:color="auto"/>
        <w:left w:val="none" w:sz="0" w:space="0" w:color="auto"/>
        <w:bottom w:val="none" w:sz="0" w:space="0" w:color="auto"/>
        <w:right w:val="none" w:sz="0" w:space="0" w:color="auto"/>
      </w:divBdr>
    </w:div>
    <w:div w:id="2039161772">
      <w:bodyDiv w:val="1"/>
      <w:marLeft w:val="0"/>
      <w:marRight w:val="0"/>
      <w:marTop w:val="0"/>
      <w:marBottom w:val="0"/>
      <w:divBdr>
        <w:top w:val="none" w:sz="0" w:space="0" w:color="auto"/>
        <w:left w:val="none" w:sz="0" w:space="0" w:color="auto"/>
        <w:bottom w:val="none" w:sz="0" w:space="0" w:color="auto"/>
        <w:right w:val="none" w:sz="0" w:space="0" w:color="auto"/>
      </w:divBdr>
    </w:div>
    <w:div w:id="2039162654">
      <w:bodyDiv w:val="1"/>
      <w:marLeft w:val="0"/>
      <w:marRight w:val="0"/>
      <w:marTop w:val="0"/>
      <w:marBottom w:val="0"/>
      <w:divBdr>
        <w:top w:val="none" w:sz="0" w:space="0" w:color="auto"/>
        <w:left w:val="none" w:sz="0" w:space="0" w:color="auto"/>
        <w:bottom w:val="none" w:sz="0" w:space="0" w:color="auto"/>
        <w:right w:val="none" w:sz="0" w:space="0" w:color="auto"/>
      </w:divBdr>
    </w:div>
    <w:div w:id="2039233056">
      <w:bodyDiv w:val="1"/>
      <w:marLeft w:val="0"/>
      <w:marRight w:val="0"/>
      <w:marTop w:val="0"/>
      <w:marBottom w:val="0"/>
      <w:divBdr>
        <w:top w:val="none" w:sz="0" w:space="0" w:color="auto"/>
        <w:left w:val="none" w:sz="0" w:space="0" w:color="auto"/>
        <w:bottom w:val="none" w:sz="0" w:space="0" w:color="auto"/>
        <w:right w:val="none" w:sz="0" w:space="0" w:color="auto"/>
      </w:divBdr>
    </w:div>
    <w:div w:id="2039235810">
      <w:bodyDiv w:val="1"/>
      <w:marLeft w:val="0"/>
      <w:marRight w:val="0"/>
      <w:marTop w:val="0"/>
      <w:marBottom w:val="0"/>
      <w:divBdr>
        <w:top w:val="none" w:sz="0" w:space="0" w:color="auto"/>
        <w:left w:val="none" w:sz="0" w:space="0" w:color="auto"/>
        <w:bottom w:val="none" w:sz="0" w:space="0" w:color="auto"/>
        <w:right w:val="none" w:sz="0" w:space="0" w:color="auto"/>
      </w:divBdr>
    </w:div>
    <w:div w:id="2039350701">
      <w:bodyDiv w:val="1"/>
      <w:marLeft w:val="0"/>
      <w:marRight w:val="0"/>
      <w:marTop w:val="0"/>
      <w:marBottom w:val="0"/>
      <w:divBdr>
        <w:top w:val="none" w:sz="0" w:space="0" w:color="auto"/>
        <w:left w:val="none" w:sz="0" w:space="0" w:color="auto"/>
        <w:bottom w:val="none" w:sz="0" w:space="0" w:color="auto"/>
        <w:right w:val="none" w:sz="0" w:space="0" w:color="auto"/>
      </w:divBdr>
    </w:div>
    <w:div w:id="2039355890">
      <w:bodyDiv w:val="1"/>
      <w:marLeft w:val="0"/>
      <w:marRight w:val="0"/>
      <w:marTop w:val="0"/>
      <w:marBottom w:val="0"/>
      <w:divBdr>
        <w:top w:val="none" w:sz="0" w:space="0" w:color="auto"/>
        <w:left w:val="none" w:sz="0" w:space="0" w:color="auto"/>
        <w:bottom w:val="none" w:sz="0" w:space="0" w:color="auto"/>
        <w:right w:val="none" w:sz="0" w:space="0" w:color="auto"/>
      </w:divBdr>
    </w:div>
    <w:div w:id="2039357938">
      <w:bodyDiv w:val="1"/>
      <w:marLeft w:val="0"/>
      <w:marRight w:val="0"/>
      <w:marTop w:val="0"/>
      <w:marBottom w:val="0"/>
      <w:divBdr>
        <w:top w:val="none" w:sz="0" w:space="0" w:color="auto"/>
        <w:left w:val="none" w:sz="0" w:space="0" w:color="auto"/>
        <w:bottom w:val="none" w:sz="0" w:space="0" w:color="auto"/>
        <w:right w:val="none" w:sz="0" w:space="0" w:color="auto"/>
      </w:divBdr>
    </w:div>
    <w:div w:id="2039428665">
      <w:bodyDiv w:val="1"/>
      <w:marLeft w:val="0"/>
      <w:marRight w:val="0"/>
      <w:marTop w:val="0"/>
      <w:marBottom w:val="0"/>
      <w:divBdr>
        <w:top w:val="none" w:sz="0" w:space="0" w:color="auto"/>
        <w:left w:val="none" w:sz="0" w:space="0" w:color="auto"/>
        <w:bottom w:val="none" w:sz="0" w:space="0" w:color="auto"/>
        <w:right w:val="none" w:sz="0" w:space="0" w:color="auto"/>
      </w:divBdr>
    </w:div>
    <w:div w:id="2039431299">
      <w:bodyDiv w:val="1"/>
      <w:marLeft w:val="0"/>
      <w:marRight w:val="0"/>
      <w:marTop w:val="0"/>
      <w:marBottom w:val="0"/>
      <w:divBdr>
        <w:top w:val="none" w:sz="0" w:space="0" w:color="auto"/>
        <w:left w:val="none" w:sz="0" w:space="0" w:color="auto"/>
        <w:bottom w:val="none" w:sz="0" w:space="0" w:color="auto"/>
        <w:right w:val="none" w:sz="0" w:space="0" w:color="auto"/>
      </w:divBdr>
    </w:div>
    <w:div w:id="2039431328">
      <w:bodyDiv w:val="1"/>
      <w:marLeft w:val="0"/>
      <w:marRight w:val="0"/>
      <w:marTop w:val="0"/>
      <w:marBottom w:val="0"/>
      <w:divBdr>
        <w:top w:val="none" w:sz="0" w:space="0" w:color="auto"/>
        <w:left w:val="none" w:sz="0" w:space="0" w:color="auto"/>
        <w:bottom w:val="none" w:sz="0" w:space="0" w:color="auto"/>
        <w:right w:val="none" w:sz="0" w:space="0" w:color="auto"/>
      </w:divBdr>
    </w:div>
    <w:div w:id="2039499351">
      <w:bodyDiv w:val="1"/>
      <w:marLeft w:val="0"/>
      <w:marRight w:val="0"/>
      <w:marTop w:val="0"/>
      <w:marBottom w:val="0"/>
      <w:divBdr>
        <w:top w:val="none" w:sz="0" w:space="0" w:color="auto"/>
        <w:left w:val="none" w:sz="0" w:space="0" w:color="auto"/>
        <w:bottom w:val="none" w:sz="0" w:space="0" w:color="auto"/>
        <w:right w:val="none" w:sz="0" w:space="0" w:color="auto"/>
      </w:divBdr>
    </w:div>
    <w:div w:id="2039575767">
      <w:bodyDiv w:val="1"/>
      <w:marLeft w:val="0"/>
      <w:marRight w:val="0"/>
      <w:marTop w:val="0"/>
      <w:marBottom w:val="0"/>
      <w:divBdr>
        <w:top w:val="none" w:sz="0" w:space="0" w:color="auto"/>
        <w:left w:val="none" w:sz="0" w:space="0" w:color="auto"/>
        <w:bottom w:val="none" w:sz="0" w:space="0" w:color="auto"/>
        <w:right w:val="none" w:sz="0" w:space="0" w:color="auto"/>
      </w:divBdr>
    </w:div>
    <w:div w:id="2039743011">
      <w:bodyDiv w:val="1"/>
      <w:marLeft w:val="0"/>
      <w:marRight w:val="0"/>
      <w:marTop w:val="0"/>
      <w:marBottom w:val="0"/>
      <w:divBdr>
        <w:top w:val="none" w:sz="0" w:space="0" w:color="auto"/>
        <w:left w:val="none" w:sz="0" w:space="0" w:color="auto"/>
        <w:bottom w:val="none" w:sz="0" w:space="0" w:color="auto"/>
        <w:right w:val="none" w:sz="0" w:space="0" w:color="auto"/>
      </w:divBdr>
    </w:div>
    <w:div w:id="2039770893">
      <w:bodyDiv w:val="1"/>
      <w:marLeft w:val="0"/>
      <w:marRight w:val="0"/>
      <w:marTop w:val="0"/>
      <w:marBottom w:val="0"/>
      <w:divBdr>
        <w:top w:val="none" w:sz="0" w:space="0" w:color="auto"/>
        <w:left w:val="none" w:sz="0" w:space="0" w:color="auto"/>
        <w:bottom w:val="none" w:sz="0" w:space="0" w:color="auto"/>
        <w:right w:val="none" w:sz="0" w:space="0" w:color="auto"/>
      </w:divBdr>
    </w:div>
    <w:div w:id="2039770997">
      <w:bodyDiv w:val="1"/>
      <w:marLeft w:val="0"/>
      <w:marRight w:val="0"/>
      <w:marTop w:val="0"/>
      <w:marBottom w:val="0"/>
      <w:divBdr>
        <w:top w:val="none" w:sz="0" w:space="0" w:color="auto"/>
        <w:left w:val="none" w:sz="0" w:space="0" w:color="auto"/>
        <w:bottom w:val="none" w:sz="0" w:space="0" w:color="auto"/>
        <w:right w:val="none" w:sz="0" w:space="0" w:color="auto"/>
      </w:divBdr>
    </w:div>
    <w:div w:id="2039813999">
      <w:bodyDiv w:val="1"/>
      <w:marLeft w:val="0"/>
      <w:marRight w:val="0"/>
      <w:marTop w:val="0"/>
      <w:marBottom w:val="0"/>
      <w:divBdr>
        <w:top w:val="none" w:sz="0" w:space="0" w:color="auto"/>
        <w:left w:val="none" w:sz="0" w:space="0" w:color="auto"/>
        <w:bottom w:val="none" w:sz="0" w:space="0" w:color="auto"/>
        <w:right w:val="none" w:sz="0" w:space="0" w:color="auto"/>
      </w:divBdr>
    </w:div>
    <w:div w:id="2039892302">
      <w:bodyDiv w:val="1"/>
      <w:marLeft w:val="0"/>
      <w:marRight w:val="0"/>
      <w:marTop w:val="0"/>
      <w:marBottom w:val="0"/>
      <w:divBdr>
        <w:top w:val="none" w:sz="0" w:space="0" w:color="auto"/>
        <w:left w:val="none" w:sz="0" w:space="0" w:color="auto"/>
        <w:bottom w:val="none" w:sz="0" w:space="0" w:color="auto"/>
        <w:right w:val="none" w:sz="0" w:space="0" w:color="auto"/>
      </w:divBdr>
    </w:div>
    <w:div w:id="2040009006">
      <w:bodyDiv w:val="1"/>
      <w:marLeft w:val="0"/>
      <w:marRight w:val="0"/>
      <w:marTop w:val="0"/>
      <w:marBottom w:val="0"/>
      <w:divBdr>
        <w:top w:val="none" w:sz="0" w:space="0" w:color="auto"/>
        <w:left w:val="none" w:sz="0" w:space="0" w:color="auto"/>
        <w:bottom w:val="none" w:sz="0" w:space="0" w:color="auto"/>
        <w:right w:val="none" w:sz="0" w:space="0" w:color="auto"/>
      </w:divBdr>
    </w:div>
    <w:div w:id="2040079787">
      <w:bodyDiv w:val="1"/>
      <w:marLeft w:val="0"/>
      <w:marRight w:val="0"/>
      <w:marTop w:val="0"/>
      <w:marBottom w:val="0"/>
      <w:divBdr>
        <w:top w:val="none" w:sz="0" w:space="0" w:color="auto"/>
        <w:left w:val="none" w:sz="0" w:space="0" w:color="auto"/>
        <w:bottom w:val="none" w:sz="0" w:space="0" w:color="auto"/>
        <w:right w:val="none" w:sz="0" w:space="0" w:color="auto"/>
      </w:divBdr>
    </w:div>
    <w:div w:id="2040154782">
      <w:bodyDiv w:val="1"/>
      <w:marLeft w:val="0"/>
      <w:marRight w:val="0"/>
      <w:marTop w:val="0"/>
      <w:marBottom w:val="0"/>
      <w:divBdr>
        <w:top w:val="none" w:sz="0" w:space="0" w:color="auto"/>
        <w:left w:val="none" w:sz="0" w:space="0" w:color="auto"/>
        <w:bottom w:val="none" w:sz="0" w:space="0" w:color="auto"/>
        <w:right w:val="none" w:sz="0" w:space="0" w:color="auto"/>
      </w:divBdr>
    </w:div>
    <w:div w:id="2040155834">
      <w:bodyDiv w:val="1"/>
      <w:marLeft w:val="0"/>
      <w:marRight w:val="0"/>
      <w:marTop w:val="0"/>
      <w:marBottom w:val="0"/>
      <w:divBdr>
        <w:top w:val="none" w:sz="0" w:space="0" w:color="auto"/>
        <w:left w:val="none" w:sz="0" w:space="0" w:color="auto"/>
        <w:bottom w:val="none" w:sz="0" w:space="0" w:color="auto"/>
        <w:right w:val="none" w:sz="0" w:space="0" w:color="auto"/>
      </w:divBdr>
    </w:div>
    <w:div w:id="2040156730">
      <w:bodyDiv w:val="1"/>
      <w:marLeft w:val="0"/>
      <w:marRight w:val="0"/>
      <w:marTop w:val="0"/>
      <w:marBottom w:val="0"/>
      <w:divBdr>
        <w:top w:val="none" w:sz="0" w:space="0" w:color="auto"/>
        <w:left w:val="none" w:sz="0" w:space="0" w:color="auto"/>
        <w:bottom w:val="none" w:sz="0" w:space="0" w:color="auto"/>
        <w:right w:val="none" w:sz="0" w:space="0" w:color="auto"/>
      </w:divBdr>
    </w:div>
    <w:div w:id="2040203931">
      <w:bodyDiv w:val="1"/>
      <w:marLeft w:val="0"/>
      <w:marRight w:val="0"/>
      <w:marTop w:val="0"/>
      <w:marBottom w:val="0"/>
      <w:divBdr>
        <w:top w:val="none" w:sz="0" w:space="0" w:color="auto"/>
        <w:left w:val="none" w:sz="0" w:space="0" w:color="auto"/>
        <w:bottom w:val="none" w:sz="0" w:space="0" w:color="auto"/>
        <w:right w:val="none" w:sz="0" w:space="0" w:color="auto"/>
      </w:divBdr>
    </w:div>
    <w:div w:id="2040229831">
      <w:bodyDiv w:val="1"/>
      <w:marLeft w:val="0"/>
      <w:marRight w:val="0"/>
      <w:marTop w:val="0"/>
      <w:marBottom w:val="0"/>
      <w:divBdr>
        <w:top w:val="none" w:sz="0" w:space="0" w:color="auto"/>
        <w:left w:val="none" w:sz="0" w:space="0" w:color="auto"/>
        <w:bottom w:val="none" w:sz="0" w:space="0" w:color="auto"/>
        <w:right w:val="none" w:sz="0" w:space="0" w:color="auto"/>
      </w:divBdr>
    </w:div>
    <w:div w:id="2040429731">
      <w:bodyDiv w:val="1"/>
      <w:marLeft w:val="0"/>
      <w:marRight w:val="0"/>
      <w:marTop w:val="0"/>
      <w:marBottom w:val="0"/>
      <w:divBdr>
        <w:top w:val="none" w:sz="0" w:space="0" w:color="auto"/>
        <w:left w:val="none" w:sz="0" w:space="0" w:color="auto"/>
        <w:bottom w:val="none" w:sz="0" w:space="0" w:color="auto"/>
        <w:right w:val="none" w:sz="0" w:space="0" w:color="auto"/>
      </w:divBdr>
    </w:div>
    <w:div w:id="2040470974">
      <w:bodyDiv w:val="1"/>
      <w:marLeft w:val="0"/>
      <w:marRight w:val="0"/>
      <w:marTop w:val="0"/>
      <w:marBottom w:val="0"/>
      <w:divBdr>
        <w:top w:val="none" w:sz="0" w:space="0" w:color="auto"/>
        <w:left w:val="none" w:sz="0" w:space="0" w:color="auto"/>
        <w:bottom w:val="none" w:sz="0" w:space="0" w:color="auto"/>
        <w:right w:val="none" w:sz="0" w:space="0" w:color="auto"/>
      </w:divBdr>
    </w:div>
    <w:div w:id="2040621339">
      <w:bodyDiv w:val="1"/>
      <w:marLeft w:val="0"/>
      <w:marRight w:val="0"/>
      <w:marTop w:val="0"/>
      <w:marBottom w:val="0"/>
      <w:divBdr>
        <w:top w:val="none" w:sz="0" w:space="0" w:color="auto"/>
        <w:left w:val="none" w:sz="0" w:space="0" w:color="auto"/>
        <w:bottom w:val="none" w:sz="0" w:space="0" w:color="auto"/>
        <w:right w:val="none" w:sz="0" w:space="0" w:color="auto"/>
      </w:divBdr>
    </w:div>
    <w:div w:id="2040819231">
      <w:bodyDiv w:val="1"/>
      <w:marLeft w:val="0"/>
      <w:marRight w:val="0"/>
      <w:marTop w:val="0"/>
      <w:marBottom w:val="0"/>
      <w:divBdr>
        <w:top w:val="none" w:sz="0" w:space="0" w:color="auto"/>
        <w:left w:val="none" w:sz="0" w:space="0" w:color="auto"/>
        <w:bottom w:val="none" w:sz="0" w:space="0" w:color="auto"/>
        <w:right w:val="none" w:sz="0" w:space="0" w:color="auto"/>
      </w:divBdr>
    </w:div>
    <w:div w:id="2040885655">
      <w:bodyDiv w:val="1"/>
      <w:marLeft w:val="0"/>
      <w:marRight w:val="0"/>
      <w:marTop w:val="0"/>
      <w:marBottom w:val="0"/>
      <w:divBdr>
        <w:top w:val="none" w:sz="0" w:space="0" w:color="auto"/>
        <w:left w:val="none" w:sz="0" w:space="0" w:color="auto"/>
        <w:bottom w:val="none" w:sz="0" w:space="0" w:color="auto"/>
        <w:right w:val="none" w:sz="0" w:space="0" w:color="auto"/>
      </w:divBdr>
    </w:div>
    <w:div w:id="2040888432">
      <w:bodyDiv w:val="1"/>
      <w:marLeft w:val="0"/>
      <w:marRight w:val="0"/>
      <w:marTop w:val="0"/>
      <w:marBottom w:val="0"/>
      <w:divBdr>
        <w:top w:val="none" w:sz="0" w:space="0" w:color="auto"/>
        <w:left w:val="none" w:sz="0" w:space="0" w:color="auto"/>
        <w:bottom w:val="none" w:sz="0" w:space="0" w:color="auto"/>
        <w:right w:val="none" w:sz="0" w:space="0" w:color="auto"/>
      </w:divBdr>
    </w:div>
    <w:div w:id="2040929039">
      <w:bodyDiv w:val="1"/>
      <w:marLeft w:val="0"/>
      <w:marRight w:val="0"/>
      <w:marTop w:val="0"/>
      <w:marBottom w:val="0"/>
      <w:divBdr>
        <w:top w:val="none" w:sz="0" w:space="0" w:color="auto"/>
        <w:left w:val="none" w:sz="0" w:space="0" w:color="auto"/>
        <w:bottom w:val="none" w:sz="0" w:space="0" w:color="auto"/>
        <w:right w:val="none" w:sz="0" w:space="0" w:color="auto"/>
      </w:divBdr>
    </w:div>
    <w:div w:id="2040929612">
      <w:bodyDiv w:val="1"/>
      <w:marLeft w:val="0"/>
      <w:marRight w:val="0"/>
      <w:marTop w:val="0"/>
      <w:marBottom w:val="0"/>
      <w:divBdr>
        <w:top w:val="none" w:sz="0" w:space="0" w:color="auto"/>
        <w:left w:val="none" w:sz="0" w:space="0" w:color="auto"/>
        <w:bottom w:val="none" w:sz="0" w:space="0" w:color="auto"/>
        <w:right w:val="none" w:sz="0" w:space="0" w:color="auto"/>
      </w:divBdr>
    </w:div>
    <w:div w:id="2040931381">
      <w:bodyDiv w:val="1"/>
      <w:marLeft w:val="0"/>
      <w:marRight w:val="0"/>
      <w:marTop w:val="0"/>
      <w:marBottom w:val="0"/>
      <w:divBdr>
        <w:top w:val="none" w:sz="0" w:space="0" w:color="auto"/>
        <w:left w:val="none" w:sz="0" w:space="0" w:color="auto"/>
        <w:bottom w:val="none" w:sz="0" w:space="0" w:color="auto"/>
        <w:right w:val="none" w:sz="0" w:space="0" w:color="auto"/>
      </w:divBdr>
    </w:div>
    <w:div w:id="2041006140">
      <w:bodyDiv w:val="1"/>
      <w:marLeft w:val="0"/>
      <w:marRight w:val="0"/>
      <w:marTop w:val="0"/>
      <w:marBottom w:val="0"/>
      <w:divBdr>
        <w:top w:val="none" w:sz="0" w:space="0" w:color="auto"/>
        <w:left w:val="none" w:sz="0" w:space="0" w:color="auto"/>
        <w:bottom w:val="none" w:sz="0" w:space="0" w:color="auto"/>
        <w:right w:val="none" w:sz="0" w:space="0" w:color="auto"/>
      </w:divBdr>
    </w:div>
    <w:div w:id="2041130436">
      <w:bodyDiv w:val="1"/>
      <w:marLeft w:val="0"/>
      <w:marRight w:val="0"/>
      <w:marTop w:val="0"/>
      <w:marBottom w:val="0"/>
      <w:divBdr>
        <w:top w:val="none" w:sz="0" w:space="0" w:color="auto"/>
        <w:left w:val="none" w:sz="0" w:space="0" w:color="auto"/>
        <w:bottom w:val="none" w:sz="0" w:space="0" w:color="auto"/>
        <w:right w:val="none" w:sz="0" w:space="0" w:color="auto"/>
      </w:divBdr>
    </w:div>
    <w:div w:id="2041271517">
      <w:bodyDiv w:val="1"/>
      <w:marLeft w:val="0"/>
      <w:marRight w:val="0"/>
      <w:marTop w:val="0"/>
      <w:marBottom w:val="0"/>
      <w:divBdr>
        <w:top w:val="none" w:sz="0" w:space="0" w:color="auto"/>
        <w:left w:val="none" w:sz="0" w:space="0" w:color="auto"/>
        <w:bottom w:val="none" w:sz="0" w:space="0" w:color="auto"/>
        <w:right w:val="none" w:sz="0" w:space="0" w:color="auto"/>
      </w:divBdr>
    </w:div>
    <w:div w:id="2041320035">
      <w:bodyDiv w:val="1"/>
      <w:marLeft w:val="0"/>
      <w:marRight w:val="0"/>
      <w:marTop w:val="0"/>
      <w:marBottom w:val="0"/>
      <w:divBdr>
        <w:top w:val="none" w:sz="0" w:space="0" w:color="auto"/>
        <w:left w:val="none" w:sz="0" w:space="0" w:color="auto"/>
        <w:bottom w:val="none" w:sz="0" w:space="0" w:color="auto"/>
        <w:right w:val="none" w:sz="0" w:space="0" w:color="auto"/>
      </w:divBdr>
    </w:div>
    <w:div w:id="2041542026">
      <w:bodyDiv w:val="1"/>
      <w:marLeft w:val="0"/>
      <w:marRight w:val="0"/>
      <w:marTop w:val="0"/>
      <w:marBottom w:val="0"/>
      <w:divBdr>
        <w:top w:val="none" w:sz="0" w:space="0" w:color="auto"/>
        <w:left w:val="none" w:sz="0" w:space="0" w:color="auto"/>
        <w:bottom w:val="none" w:sz="0" w:space="0" w:color="auto"/>
        <w:right w:val="none" w:sz="0" w:space="0" w:color="auto"/>
      </w:divBdr>
    </w:div>
    <w:div w:id="2041659237">
      <w:bodyDiv w:val="1"/>
      <w:marLeft w:val="0"/>
      <w:marRight w:val="0"/>
      <w:marTop w:val="0"/>
      <w:marBottom w:val="0"/>
      <w:divBdr>
        <w:top w:val="none" w:sz="0" w:space="0" w:color="auto"/>
        <w:left w:val="none" w:sz="0" w:space="0" w:color="auto"/>
        <w:bottom w:val="none" w:sz="0" w:space="0" w:color="auto"/>
        <w:right w:val="none" w:sz="0" w:space="0" w:color="auto"/>
      </w:divBdr>
    </w:div>
    <w:div w:id="2041664281">
      <w:bodyDiv w:val="1"/>
      <w:marLeft w:val="0"/>
      <w:marRight w:val="0"/>
      <w:marTop w:val="0"/>
      <w:marBottom w:val="0"/>
      <w:divBdr>
        <w:top w:val="none" w:sz="0" w:space="0" w:color="auto"/>
        <w:left w:val="none" w:sz="0" w:space="0" w:color="auto"/>
        <w:bottom w:val="none" w:sz="0" w:space="0" w:color="auto"/>
        <w:right w:val="none" w:sz="0" w:space="0" w:color="auto"/>
      </w:divBdr>
    </w:div>
    <w:div w:id="2041666945">
      <w:bodyDiv w:val="1"/>
      <w:marLeft w:val="0"/>
      <w:marRight w:val="0"/>
      <w:marTop w:val="0"/>
      <w:marBottom w:val="0"/>
      <w:divBdr>
        <w:top w:val="none" w:sz="0" w:space="0" w:color="auto"/>
        <w:left w:val="none" w:sz="0" w:space="0" w:color="auto"/>
        <w:bottom w:val="none" w:sz="0" w:space="0" w:color="auto"/>
        <w:right w:val="none" w:sz="0" w:space="0" w:color="auto"/>
      </w:divBdr>
    </w:div>
    <w:div w:id="2041737046">
      <w:bodyDiv w:val="1"/>
      <w:marLeft w:val="0"/>
      <w:marRight w:val="0"/>
      <w:marTop w:val="0"/>
      <w:marBottom w:val="0"/>
      <w:divBdr>
        <w:top w:val="none" w:sz="0" w:space="0" w:color="auto"/>
        <w:left w:val="none" w:sz="0" w:space="0" w:color="auto"/>
        <w:bottom w:val="none" w:sz="0" w:space="0" w:color="auto"/>
        <w:right w:val="none" w:sz="0" w:space="0" w:color="auto"/>
      </w:divBdr>
    </w:div>
    <w:div w:id="2041852939">
      <w:bodyDiv w:val="1"/>
      <w:marLeft w:val="0"/>
      <w:marRight w:val="0"/>
      <w:marTop w:val="0"/>
      <w:marBottom w:val="0"/>
      <w:divBdr>
        <w:top w:val="none" w:sz="0" w:space="0" w:color="auto"/>
        <w:left w:val="none" w:sz="0" w:space="0" w:color="auto"/>
        <w:bottom w:val="none" w:sz="0" w:space="0" w:color="auto"/>
        <w:right w:val="none" w:sz="0" w:space="0" w:color="auto"/>
      </w:divBdr>
    </w:div>
    <w:div w:id="2042053693">
      <w:bodyDiv w:val="1"/>
      <w:marLeft w:val="0"/>
      <w:marRight w:val="0"/>
      <w:marTop w:val="0"/>
      <w:marBottom w:val="0"/>
      <w:divBdr>
        <w:top w:val="none" w:sz="0" w:space="0" w:color="auto"/>
        <w:left w:val="none" w:sz="0" w:space="0" w:color="auto"/>
        <w:bottom w:val="none" w:sz="0" w:space="0" w:color="auto"/>
        <w:right w:val="none" w:sz="0" w:space="0" w:color="auto"/>
      </w:divBdr>
    </w:div>
    <w:div w:id="2042169671">
      <w:bodyDiv w:val="1"/>
      <w:marLeft w:val="0"/>
      <w:marRight w:val="0"/>
      <w:marTop w:val="0"/>
      <w:marBottom w:val="0"/>
      <w:divBdr>
        <w:top w:val="none" w:sz="0" w:space="0" w:color="auto"/>
        <w:left w:val="none" w:sz="0" w:space="0" w:color="auto"/>
        <w:bottom w:val="none" w:sz="0" w:space="0" w:color="auto"/>
        <w:right w:val="none" w:sz="0" w:space="0" w:color="auto"/>
      </w:divBdr>
    </w:div>
    <w:div w:id="2042196516">
      <w:bodyDiv w:val="1"/>
      <w:marLeft w:val="0"/>
      <w:marRight w:val="0"/>
      <w:marTop w:val="0"/>
      <w:marBottom w:val="0"/>
      <w:divBdr>
        <w:top w:val="none" w:sz="0" w:space="0" w:color="auto"/>
        <w:left w:val="none" w:sz="0" w:space="0" w:color="auto"/>
        <w:bottom w:val="none" w:sz="0" w:space="0" w:color="auto"/>
        <w:right w:val="none" w:sz="0" w:space="0" w:color="auto"/>
      </w:divBdr>
    </w:div>
    <w:div w:id="2042317320">
      <w:bodyDiv w:val="1"/>
      <w:marLeft w:val="0"/>
      <w:marRight w:val="0"/>
      <w:marTop w:val="0"/>
      <w:marBottom w:val="0"/>
      <w:divBdr>
        <w:top w:val="none" w:sz="0" w:space="0" w:color="auto"/>
        <w:left w:val="none" w:sz="0" w:space="0" w:color="auto"/>
        <w:bottom w:val="none" w:sz="0" w:space="0" w:color="auto"/>
        <w:right w:val="none" w:sz="0" w:space="0" w:color="auto"/>
      </w:divBdr>
    </w:div>
    <w:div w:id="2042321897">
      <w:bodyDiv w:val="1"/>
      <w:marLeft w:val="0"/>
      <w:marRight w:val="0"/>
      <w:marTop w:val="0"/>
      <w:marBottom w:val="0"/>
      <w:divBdr>
        <w:top w:val="none" w:sz="0" w:space="0" w:color="auto"/>
        <w:left w:val="none" w:sz="0" w:space="0" w:color="auto"/>
        <w:bottom w:val="none" w:sz="0" w:space="0" w:color="auto"/>
        <w:right w:val="none" w:sz="0" w:space="0" w:color="auto"/>
      </w:divBdr>
    </w:div>
    <w:div w:id="2042392235">
      <w:bodyDiv w:val="1"/>
      <w:marLeft w:val="0"/>
      <w:marRight w:val="0"/>
      <w:marTop w:val="0"/>
      <w:marBottom w:val="0"/>
      <w:divBdr>
        <w:top w:val="none" w:sz="0" w:space="0" w:color="auto"/>
        <w:left w:val="none" w:sz="0" w:space="0" w:color="auto"/>
        <w:bottom w:val="none" w:sz="0" w:space="0" w:color="auto"/>
        <w:right w:val="none" w:sz="0" w:space="0" w:color="auto"/>
      </w:divBdr>
    </w:div>
    <w:div w:id="2042433134">
      <w:bodyDiv w:val="1"/>
      <w:marLeft w:val="0"/>
      <w:marRight w:val="0"/>
      <w:marTop w:val="0"/>
      <w:marBottom w:val="0"/>
      <w:divBdr>
        <w:top w:val="none" w:sz="0" w:space="0" w:color="auto"/>
        <w:left w:val="none" w:sz="0" w:space="0" w:color="auto"/>
        <w:bottom w:val="none" w:sz="0" w:space="0" w:color="auto"/>
        <w:right w:val="none" w:sz="0" w:space="0" w:color="auto"/>
      </w:divBdr>
    </w:div>
    <w:div w:id="2042438609">
      <w:bodyDiv w:val="1"/>
      <w:marLeft w:val="0"/>
      <w:marRight w:val="0"/>
      <w:marTop w:val="0"/>
      <w:marBottom w:val="0"/>
      <w:divBdr>
        <w:top w:val="none" w:sz="0" w:space="0" w:color="auto"/>
        <w:left w:val="none" w:sz="0" w:space="0" w:color="auto"/>
        <w:bottom w:val="none" w:sz="0" w:space="0" w:color="auto"/>
        <w:right w:val="none" w:sz="0" w:space="0" w:color="auto"/>
      </w:divBdr>
    </w:div>
    <w:div w:id="2042508785">
      <w:bodyDiv w:val="1"/>
      <w:marLeft w:val="0"/>
      <w:marRight w:val="0"/>
      <w:marTop w:val="0"/>
      <w:marBottom w:val="0"/>
      <w:divBdr>
        <w:top w:val="none" w:sz="0" w:space="0" w:color="auto"/>
        <w:left w:val="none" w:sz="0" w:space="0" w:color="auto"/>
        <w:bottom w:val="none" w:sz="0" w:space="0" w:color="auto"/>
        <w:right w:val="none" w:sz="0" w:space="0" w:color="auto"/>
      </w:divBdr>
    </w:div>
    <w:div w:id="2042511140">
      <w:bodyDiv w:val="1"/>
      <w:marLeft w:val="0"/>
      <w:marRight w:val="0"/>
      <w:marTop w:val="0"/>
      <w:marBottom w:val="0"/>
      <w:divBdr>
        <w:top w:val="none" w:sz="0" w:space="0" w:color="auto"/>
        <w:left w:val="none" w:sz="0" w:space="0" w:color="auto"/>
        <w:bottom w:val="none" w:sz="0" w:space="0" w:color="auto"/>
        <w:right w:val="none" w:sz="0" w:space="0" w:color="auto"/>
      </w:divBdr>
    </w:div>
    <w:div w:id="2042515488">
      <w:bodyDiv w:val="1"/>
      <w:marLeft w:val="0"/>
      <w:marRight w:val="0"/>
      <w:marTop w:val="0"/>
      <w:marBottom w:val="0"/>
      <w:divBdr>
        <w:top w:val="none" w:sz="0" w:space="0" w:color="auto"/>
        <w:left w:val="none" w:sz="0" w:space="0" w:color="auto"/>
        <w:bottom w:val="none" w:sz="0" w:space="0" w:color="auto"/>
        <w:right w:val="none" w:sz="0" w:space="0" w:color="auto"/>
      </w:divBdr>
    </w:div>
    <w:div w:id="2042587533">
      <w:bodyDiv w:val="1"/>
      <w:marLeft w:val="0"/>
      <w:marRight w:val="0"/>
      <w:marTop w:val="0"/>
      <w:marBottom w:val="0"/>
      <w:divBdr>
        <w:top w:val="none" w:sz="0" w:space="0" w:color="auto"/>
        <w:left w:val="none" w:sz="0" w:space="0" w:color="auto"/>
        <w:bottom w:val="none" w:sz="0" w:space="0" w:color="auto"/>
        <w:right w:val="none" w:sz="0" w:space="0" w:color="auto"/>
      </w:divBdr>
    </w:div>
    <w:div w:id="2042628454">
      <w:bodyDiv w:val="1"/>
      <w:marLeft w:val="0"/>
      <w:marRight w:val="0"/>
      <w:marTop w:val="0"/>
      <w:marBottom w:val="0"/>
      <w:divBdr>
        <w:top w:val="none" w:sz="0" w:space="0" w:color="auto"/>
        <w:left w:val="none" w:sz="0" w:space="0" w:color="auto"/>
        <w:bottom w:val="none" w:sz="0" w:space="0" w:color="auto"/>
        <w:right w:val="none" w:sz="0" w:space="0" w:color="auto"/>
      </w:divBdr>
    </w:div>
    <w:div w:id="2042631182">
      <w:bodyDiv w:val="1"/>
      <w:marLeft w:val="0"/>
      <w:marRight w:val="0"/>
      <w:marTop w:val="0"/>
      <w:marBottom w:val="0"/>
      <w:divBdr>
        <w:top w:val="none" w:sz="0" w:space="0" w:color="auto"/>
        <w:left w:val="none" w:sz="0" w:space="0" w:color="auto"/>
        <w:bottom w:val="none" w:sz="0" w:space="0" w:color="auto"/>
        <w:right w:val="none" w:sz="0" w:space="0" w:color="auto"/>
      </w:divBdr>
    </w:div>
    <w:div w:id="2042893466">
      <w:bodyDiv w:val="1"/>
      <w:marLeft w:val="0"/>
      <w:marRight w:val="0"/>
      <w:marTop w:val="0"/>
      <w:marBottom w:val="0"/>
      <w:divBdr>
        <w:top w:val="none" w:sz="0" w:space="0" w:color="auto"/>
        <w:left w:val="none" w:sz="0" w:space="0" w:color="auto"/>
        <w:bottom w:val="none" w:sz="0" w:space="0" w:color="auto"/>
        <w:right w:val="none" w:sz="0" w:space="0" w:color="auto"/>
      </w:divBdr>
    </w:div>
    <w:div w:id="2042902922">
      <w:bodyDiv w:val="1"/>
      <w:marLeft w:val="0"/>
      <w:marRight w:val="0"/>
      <w:marTop w:val="0"/>
      <w:marBottom w:val="0"/>
      <w:divBdr>
        <w:top w:val="none" w:sz="0" w:space="0" w:color="auto"/>
        <w:left w:val="none" w:sz="0" w:space="0" w:color="auto"/>
        <w:bottom w:val="none" w:sz="0" w:space="0" w:color="auto"/>
        <w:right w:val="none" w:sz="0" w:space="0" w:color="auto"/>
      </w:divBdr>
    </w:div>
    <w:div w:id="2042975155">
      <w:bodyDiv w:val="1"/>
      <w:marLeft w:val="0"/>
      <w:marRight w:val="0"/>
      <w:marTop w:val="0"/>
      <w:marBottom w:val="0"/>
      <w:divBdr>
        <w:top w:val="none" w:sz="0" w:space="0" w:color="auto"/>
        <w:left w:val="none" w:sz="0" w:space="0" w:color="auto"/>
        <w:bottom w:val="none" w:sz="0" w:space="0" w:color="auto"/>
        <w:right w:val="none" w:sz="0" w:space="0" w:color="auto"/>
      </w:divBdr>
    </w:div>
    <w:div w:id="2043051970">
      <w:bodyDiv w:val="1"/>
      <w:marLeft w:val="0"/>
      <w:marRight w:val="0"/>
      <w:marTop w:val="0"/>
      <w:marBottom w:val="0"/>
      <w:divBdr>
        <w:top w:val="none" w:sz="0" w:space="0" w:color="auto"/>
        <w:left w:val="none" w:sz="0" w:space="0" w:color="auto"/>
        <w:bottom w:val="none" w:sz="0" w:space="0" w:color="auto"/>
        <w:right w:val="none" w:sz="0" w:space="0" w:color="auto"/>
      </w:divBdr>
    </w:div>
    <w:div w:id="2043090586">
      <w:bodyDiv w:val="1"/>
      <w:marLeft w:val="0"/>
      <w:marRight w:val="0"/>
      <w:marTop w:val="0"/>
      <w:marBottom w:val="0"/>
      <w:divBdr>
        <w:top w:val="none" w:sz="0" w:space="0" w:color="auto"/>
        <w:left w:val="none" w:sz="0" w:space="0" w:color="auto"/>
        <w:bottom w:val="none" w:sz="0" w:space="0" w:color="auto"/>
        <w:right w:val="none" w:sz="0" w:space="0" w:color="auto"/>
      </w:divBdr>
    </w:div>
    <w:div w:id="2043166299">
      <w:bodyDiv w:val="1"/>
      <w:marLeft w:val="0"/>
      <w:marRight w:val="0"/>
      <w:marTop w:val="0"/>
      <w:marBottom w:val="0"/>
      <w:divBdr>
        <w:top w:val="none" w:sz="0" w:space="0" w:color="auto"/>
        <w:left w:val="none" w:sz="0" w:space="0" w:color="auto"/>
        <w:bottom w:val="none" w:sz="0" w:space="0" w:color="auto"/>
        <w:right w:val="none" w:sz="0" w:space="0" w:color="auto"/>
      </w:divBdr>
    </w:div>
    <w:div w:id="2043171055">
      <w:bodyDiv w:val="1"/>
      <w:marLeft w:val="0"/>
      <w:marRight w:val="0"/>
      <w:marTop w:val="0"/>
      <w:marBottom w:val="0"/>
      <w:divBdr>
        <w:top w:val="none" w:sz="0" w:space="0" w:color="auto"/>
        <w:left w:val="none" w:sz="0" w:space="0" w:color="auto"/>
        <w:bottom w:val="none" w:sz="0" w:space="0" w:color="auto"/>
        <w:right w:val="none" w:sz="0" w:space="0" w:color="auto"/>
      </w:divBdr>
    </w:div>
    <w:div w:id="2043238760">
      <w:bodyDiv w:val="1"/>
      <w:marLeft w:val="0"/>
      <w:marRight w:val="0"/>
      <w:marTop w:val="0"/>
      <w:marBottom w:val="0"/>
      <w:divBdr>
        <w:top w:val="none" w:sz="0" w:space="0" w:color="auto"/>
        <w:left w:val="none" w:sz="0" w:space="0" w:color="auto"/>
        <w:bottom w:val="none" w:sz="0" w:space="0" w:color="auto"/>
        <w:right w:val="none" w:sz="0" w:space="0" w:color="auto"/>
      </w:divBdr>
    </w:div>
    <w:div w:id="2043242684">
      <w:bodyDiv w:val="1"/>
      <w:marLeft w:val="0"/>
      <w:marRight w:val="0"/>
      <w:marTop w:val="0"/>
      <w:marBottom w:val="0"/>
      <w:divBdr>
        <w:top w:val="none" w:sz="0" w:space="0" w:color="auto"/>
        <w:left w:val="none" w:sz="0" w:space="0" w:color="auto"/>
        <w:bottom w:val="none" w:sz="0" w:space="0" w:color="auto"/>
        <w:right w:val="none" w:sz="0" w:space="0" w:color="auto"/>
      </w:divBdr>
    </w:div>
    <w:div w:id="2043246973">
      <w:bodyDiv w:val="1"/>
      <w:marLeft w:val="0"/>
      <w:marRight w:val="0"/>
      <w:marTop w:val="0"/>
      <w:marBottom w:val="0"/>
      <w:divBdr>
        <w:top w:val="none" w:sz="0" w:space="0" w:color="auto"/>
        <w:left w:val="none" w:sz="0" w:space="0" w:color="auto"/>
        <w:bottom w:val="none" w:sz="0" w:space="0" w:color="auto"/>
        <w:right w:val="none" w:sz="0" w:space="0" w:color="auto"/>
      </w:divBdr>
    </w:div>
    <w:div w:id="2043431635">
      <w:bodyDiv w:val="1"/>
      <w:marLeft w:val="0"/>
      <w:marRight w:val="0"/>
      <w:marTop w:val="0"/>
      <w:marBottom w:val="0"/>
      <w:divBdr>
        <w:top w:val="none" w:sz="0" w:space="0" w:color="auto"/>
        <w:left w:val="none" w:sz="0" w:space="0" w:color="auto"/>
        <w:bottom w:val="none" w:sz="0" w:space="0" w:color="auto"/>
        <w:right w:val="none" w:sz="0" w:space="0" w:color="auto"/>
      </w:divBdr>
    </w:div>
    <w:div w:id="2043625966">
      <w:bodyDiv w:val="1"/>
      <w:marLeft w:val="0"/>
      <w:marRight w:val="0"/>
      <w:marTop w:val="0"/>
      <w:marBottom w:val="0"/>
      <w:divBdr>
        <w:top w:val="none" w:sz="0" w:space="0" w:color="auto"/>
        <w:left w:val="none" w:sz="0" w:space="0" w:color="auto"/>
        <w:bottom w:val="none" w:sz="0" w:space="0" w:color="auto"/>
        <w:right w:val="none" w:sz="0" w:space="0" w:color="auto"/>
      </w:divBdr>
    </w:div>
    <w:div w:id="2043674862">
      <w:bodyDiv w:val="1"/>
      <w:marLeft w:val="0"/>
      <w:marRight w:val="0"/>
      <w:marTop w:val="0"/>
      <w:marBottom w:val="0"/>
      <w:divBdr>
        <w:top w:val="none" w:sz="0" w:space="0" w:color="auto"/>
        <w:left w:val="none" w:sz="0" w:space="0" w:color="auto"/>
        <w:bottom w:val="none" w:sz="0" w:space="0" w:color="auto"/>
        <w:right w:val="none" w:sz="0" w:space="0" w:color="auto"/>
      </w:divBdr>
    </w:div>
    <w:div w:id="2043743880">
      <w:bodyDiv w:val="1"/>
      <w:marLeft w:val="0"/>
      <w:marRight w:val="0"/>
      <w:marTop w:val="0"/>
      <w:marBottom w:val="0"/>
      <w:divBdr>
        <w:top w:val="none" w:sz="0" w:space="0" w:color="auto"/>
        <w:left w:val="none" w:sz="0" w:space="0" w:color="auto"/>
        <w:bottom w:val="none" w:sz="0" w:space="0" w:color="auto"/>
        <w:right w:val="none" w:sz="0" w:space="0" w:color="auto"/>
      </w:divBdr>
    </w:div>
    <w:div w:id="2043747427">
      <w:bodyDiv w:val="1"/>
      <w:marLeft w:val="0"/>
      <w:marRight w:val="0"/>
      <w:marTop w:val="0"/>
      <w:marBottom w:val="0"/>
      <w:divBdr>
        <w:top w:val="none" w:sz="0" w:space="0" w:color="auto"/>
        <w:left w:val="none" w:sz="0" w:space="0" w:color="auto"/>
        <w:bottom w:val="none" w:sz="0" w:space="0" w:color="auto"/>
        <w:right w:val="none" w:sz="0" w:space="0" w:color="auto"/>
      </w:divBdr>
    </w:div>
    <w:div w:id="2043825412">
      <w:bodyDiv w:val="1"/>
      <w:marLeft w:val="0"/>
      <w:marRight w:val="0"/>
      <w:marTop w:val="0"/>
      <w:marBottom w:val="0"/>
      <w:divBdr>
        <w:top w:val="none" w:sz="0" w:space="0" w:color="auto"/>
        <w:left w:val="none" w:sz="0" w:space="0" w:color="auto"/>
        <w:bottom w:val="none" w:sz="0" w:space="0" w:color="auto"/>
        <w:right w:val="none" w:sz="0" w:space="0" w:color="auto"/>
      </w:divBdr>
    </w:div>
    <w:div w:id="2043826385">
      <w:bodyDiv w:val="1"/>
      <w:marLeft w:val="0"/>
      <w:marRight w:val="0"/>
      <w:marTop w:val="0"/>
      <w:marBottom w:val="0"/>
      <w:divBdr>
        <w:top w:val="none" w:sz="0" w:space="0" w:color="auto"/>
        <w:left w:val="none" w:sz="0" w:space="0" w:color="auto"/>
        <w:bottom w:val="none" w:sz="0" w:space="0" w:color="auto"/>
        <w:right w:val="none" w:sz="0" w:space="0" w:color="auto"/>
      </w:divBdr>
    </w:div>
    <w:div w:id="2043938918">
      <w:bodyDiv w:val="1"/>
      <w:marLeft w:val="0"/>
      <w:marRight w:val="0"/>
      <w:marTop w:val="0"/>
      <w:marBottom w:val="0"/>
      <w:divBdr>
        <w:top w:val="none" w:sz="0" w:space="0" w:color="auto"/>
        <w:left w:val="none" w:sz="0" w:space="0" w:color="auto"/>
        <w:bottom w:val="none" w:sz="0" w:space="0" w:color="auto"/>
        <w:right w:val="none" w:sz="0" w:space="0" w:color="auto"/>
      </w:divBdr>
    </w:div>
    <w:div w:id="2043944738">
      <w:bodyDiv w:val="1"/>
      <w:marLeft w:val="0"/>
      <w:marRight w:val="0"/>
      <w:marTop w:val="0"/>
      <w:marBottom w:val="0"/>
      <w:divBdr>
        <w:top w:val="none" w:sz="0" w:space="0" w:color="auto"/>
        <w:left w:val="none" w:sz="0" w:space="0" w:color="auto"/>
        <w:bottom w:val="none" w:sz="0" w:space="0" w:color="auto"/>
        <w:right w:val="none" w:sz="0" w:space="0" w:color="auto"/>
      </w:divBdr>
    </w:div>
    <w:div w:id="2044015539">
      <w:bodyDiv w:val="1"/>
      <w:marLeft w:val="0"/>
      <w:marRight w:val="0"/>
      <w:marTop w:val="0"/>
      <w:marBottom w:val="0"/>
      <w:divBdr>
        <w:top w:val="none" w:sz="0" w:space="0" w:color="auto"/>
        <w:left w:val="none" w:sz="0" w:space="0" w:color="auto"/>
        <w:bottom w:val="none" w:sz="0" w:space="0" w:color="auto"/>
        <w:right w:val="none" w:sz="0" w:space="0" w:color="auto"/>
      </w:divBdr>
    </w:div>
    <w:div w:id="2044133861">
      <w:bodyDiv w:val="1"/>
      <w:marLeft w:val="0"/>
      <w:marRight w:val="0"/>
      <w:marTop w:val="0"/>
      <w:marBottom w:val="0"/>
      <w:divBdr>
        <w:top w:val="none" w:sz="0" w:space="0" w:color="auto"/>
        <w:left w:val="none" w:sz="0" w:space="0" w:color="auto"/>
        <w:bottom w:val="none" w:sz="0" w:space="0" w:color="auto"/>
        <w:right w:val="none" w:sz="0" w:space="0" w:color="auto"/>
      </w:divBdr>
    </w:div>
    <w:div w:id="2044161514">
      <w:bodyDiv w:val="1"/>
      <w:marLeft w:val="0"/>
      <w:marRight w:val="0"/>
      <w:marTop w:val="0"/>
      <w:marBottom w:val="0"/>
      <w:divBdr>
        <w:top w:val="none" w:sz="0" w:space="0" w:color="auto"/>
        <w:left w:val="none" w:sz="0" w:space="0" w:color="auto"/>
        <w:bottom w:val="none" w:sz="0" w:space="0" w:color="auto"/>
        <w:right w:val="none" w:sz="0" w:space="0" w:color="auto"/>
      </w:divBdr>
    </w:div>
    <w:div w:id="2044473381">
      <w:bodyDiv w:val="1"/>
      <w:marLeft w:val="0"/>
      <w:marRight w:val="0"/>
      <w:marTop w:val="0"/>
      <w:marBottom w:val="0"/>
      <w:divBdr>
        <w:top w:val="none" w:sz="0" w:space="0" w:color="auto"/>
        <w:left w:val="none" w:sz="0" w:space="0" w:color="auto"/>
        <w:bottom w:val="none" w:sz="0" w:space="0" w:color="auto"/>
        <w:right w:val="none" w:sz="0" w:space="0" w:color="auto"/>
      </w:divBdr>
    </w:div>
    <w:div w:id="2044793033">
      <w:bodyDiv w:val="1"/>
      <w:marLeft w:val="0"/>
      <w:marRight w:val="0"/>
      <w:marTop w:val="0"/>
      <w:marBottom w:val="0"/>
      <w:divBdr>
        <w:top w:val="none" w:sz="0" w:space="0" w:color="auto"/>
        <w:left w:val="none" w:sz="0" w:space="0" w:color="auto"/>
        <w:bottom w:val="none" w:sz="0" w:space="0" w:color="auto"/>
        <w:right w:val="none" w:sz="0" w:space="0" w:color="auto"/>
      </w:divBdr>
    </w:div>
    <w:div w:id="2044862211">
      <w:bodyDiv w:val="1"/>
      <w:marLeft w:val="0"/>
      <w:marRight w:val="0"/>
      <w:marTop w:val="0"/>
      <w:marBottom w:val="0"/>
      <w:divBdr>
        <w:top w:val="none" w:sz="0" w:space="0" w:color="auto"/>
        <w:left w:val="none" w:sz="0" w:space="0" w:color="auto"/>
        <w:bottom w:val="none" w:sz="0" w:space="0" w:color="auto"/>
        <w:right w:val="none" w:sz="0" w:space="0" w:color="auto"/>
      </w:divBdr>
    </w:div>
    <w:div w:id="2044986096">
      <w:bodyDiv w:val="1"/>
      <w:marLeft w:val="0"/>
      <w:marRight w:val="0"/>
      <w:marTop w:val="0"/>
      <w:marBottom w:val="0"/>
      <w:divBdr>
        <w:top w:val="none" w:sz="0" w:space="0" w:color="auto"/>
        <w:left w:val="none" w:sz="0" w:space="0" w:color="auto"/>
        <w:bottom w:val="none" w:sz="0" w:space="0" w:color="auto"/>
        <w:right w:val="none" w:sz="0" w:space="0" w:color="auto"/>
      </w:divBdr>
    </w:div>
    <w:div w:id="2045057406">
      <w:bodyDiv w:val="1"/>
      <w:marLeft w:val="0"/>
      <w:marRight w:val="0"/>
      <w:marTop w:val="0"/>
      <w:marBottom w:val="0"/>
      <w:divBdr>
        <w:top w:val="none" w:sz="0" w:space="0" w:color="auto"/>
        <w:left w:val="none" w:sz="0" w:space="0" w:color="auto"/>
        <w:bottom w:val="none" w:sz="0" w:space="0" w:color="auto"/>
        <w:right w:val="none" w:sz="0" w:space="0" w:color="auto"/>
      </w:divBdr>
    </w:div>
    <w:div w:id="2045134069">
      <w:bodyDiv w:val="1"/>
      <w:marLeft w:val="0"/>
      <w:marRight w:val="0"/>
      <w:marTop w:val="0"/>
      <w:marBottom w:val="0"/>
      <w:divBdr>
        <w:top w:val="none" w:sz="0" w:space="0" w:color="auto"/>
        <w:left w:val="none" w:sz="0" w:space="0" w:color="auto"/>
        <w:bottom w:val="none" w:sz="0" w:space="0" w:color="auto"/>
        <w:right w:val="none" w:sz="0" w:space="0" w:color="auto"/>
      </w:divBdr>
    </w:div>
    <w:div w:id="2045204067">
      <w:bodyDiv w:val="1"/>
      <w:marLeft w:val="0"/>
      <w:marRight w:val="0"/>
      <w:marTop w:val="0"/>
      <w:marBottom w:val="0"/>
      <w:divBdr>
        <w:top w:val="none" w:sz="0" w:space="0" w:color="auto"/>
        <w:left w:val="none" w:sz="0" w:space="0" w:color="auto"/>
        <w:bottom w:val="none" w:sz="0" w:space="0" w:color="auto"/>
        <w:right w:val="none" w:sz="0" w:space="0" w:color="auto"/>
      </w:divBdr>
    </w:div>
    <w:div w:id="2045279084">
      <w:bodyDiv w:val="1"/>
      <w:marLeft w:val="0"/>
      <w:marRight w:val="0"/>
      <w:marTop w:val="0"/>
      <w:marBottom w:val="0"/>
      <w:divBdr>
        <w:top w:val="none" w:sz="0" w:space="0" w:color="auto"/>
        <w:left w:val="none" w:sz="0" w:space="0" w:color="auto"/>
        <w:bottom w:val="none" w:sz="0" w:space="0" w:color="auto"/>
        <w:right w:val="none" w:sz="0" w:space="0" w:color="auto"/>
      </w:divBdr>
    </w:div>
    <w:div w:id="2045321894">
      <w:bodyDiv w:val="1"/>
      <w:marLeft w:val="0"/>
      <w:marRight w:val="0"/>
      <w:marTop w:val="0"/>
      <w:marBottom w:val="0"/>
      <w:divBdr>
        <w:top w:val="none" w:sz="0" w:space="0" w:color="auto"/>
        <w:left w:val="none" w:sz="0" w:space="0" w:color="auto"/>
        <w:bottom w:val="none" w:sz="0" w:space="0" w:color="auto"/>
        <w:right w:val="none" w:sz="0" w:space="0" w:color="auto"/>
      </w:divBdr>
    </w:div>
    <w:div w:id="2045323794">
      <w:bodyDiv w:val="1"/>
      <w:marLeft w:val="0"/>
      <w:marRight w:val="0"/>
      <w:marTop w:val="0"/>
      <w:marBottom w:val="0"/>
      <w:divBdr>
        <w:top w:val="none" w:sz="0" w:space="0" w:color="auto"/>
        <w:left w:val="none" w:sz="0" w:space="0" w:color="auto"/>
        <w:bottom w:val="none" w:sz="0" w:space="0" w:color="auto"/>
        <w:right w:val="none" w:sz="0" w:space="0" w:color="auto"/>
      </w:divBdr>
    </w:div>
    <w:div w:id="2045515672">
      <w:bodyDiv w:val="1"/>
      <w:marLeft w:val="0"/>
      <w:marRight w:val="0"/>
      <w:marTop w:val="0"/>
      <w:marBottom w:val="0"/>
      <w:divBdr>
        <w:top w:val="none" w:sz="0" w:space="0" w:color="auto"/>
        <w:left w:val="none" w:sz="0" w:space="0" w:color="auto"/>
        <w:bottom w:val="none" w:sz="0" w:space="0" w:color="auto"/>
        <w:right w:val="none" w:sz="0" w:space="0" w:color="auto"/>
      </w:divBdr>
    </w:div>
    <w:div w:id="2045786026">
      <w:bodyDiv w:val="1"/>
      <w:marLeft w:val="0"/>
      <w:marRight w:val="0"/>
      <w:marTop w:val="0"/>
      <w:marBottom w:val="0"/>
      <w:divBdr>
        <w:top w:val="none" w:sz="0" w:space="0" w:color="auto"/>
        <w:left w:val="none" w:sz="0" w:space="0" w:color="auto"/>
        <w:bottom w:val="none" w:sz="0" w:space="0" w:color="auto"/>
        <w:right w:val="none" w:sz="0" w:space="0" w:color="auto"/>
      </w:divBdr>
    </w:div>
    <w:div w:id="2046058372">
      <w:bodyDiv w:val="1"/>
      <w:marLeft w:val="0"/>
      <w:marRight w:val="0"/>
      <w:marTop w:val="0"/>
      <w:marBottom w:val="0"/>
      <w:divBdr>
        <w:top w:val="none" w:sz="0" w:space="0" w:color="auto"/>
        <w:left w:val="none" w:sz="0" w:space="0" w:color="auto"/>
        <w:bottom w:val="none" w:sz="0" w:space="0" w:color="auto"/>
        <w:right w:val="none" w:sz="0" w:space="0" w:color="auto"/>
      </w:divBdr>
    </w:div>
    <w:div w:id="2046178426">
      <w:bodyDiv w:val="1"/>
      <w:marLeft w:val="0"/>
      <w:marRight w:val="0"/>
      <w:marTop w:val="0"/>
      <w:marBottom w:val="0"/>
      <w:divBdr>
        <w:top w:val="none" w:sz="0" w:space="0" w:color="auto"/>
        <w:left w:val="none" w:sz="0" w:space="0" w:color="auto"/>
        <w:bottom w:val="none" w:sz="0" w:space="0" w:color="auto"/>
        <w:right w:val="none" w:sz="0" w:space="0" w:color="auto"/>
      </w:divBdr>
    </w:div>
    <w:div w:id="2046326634">
      <w:bodyDiv w:val="1"/>
      <w:marLeft w:val="0"/>
      <w:marRight w:val="0"/>
      <w:marTop w:val="0"/>
      <w:marBottom w:val="0"/>
      <w:divBdr>
        <w:top w:val="none" w:sz="0" w:space="0" w:color="auto"/>
        <w:left w:val="none" w:sz="0" w:space="0" w:color="auto"/>
        <w:bottom w:val="none" w:sz="0" w:space="0" w:color="auto"/>
        <w:right w:val="none" w:sz="0" w:space="0" w:color="auto"/>
      </w:divBdr>
    </w:div>
    <w:div w:id="2046444792">
      <w:bodyDiv w:val="1"/>
      <w:marLeft w:val="0"/>
      <w:marRight w:val="0"/>
      <w:marTop w:val="0"/>
      <w:marBottom w:val="0"/>
      <w:divBdr>
        <w:top w:val="none" w:sz="0" w:space="0" w:color="auto"/>
        <w:left w:val="none" w:sz="0" w:space="0" w:color="auto"/>
        <w:bottom w:val="none" w:sz="0" w:space="0" w:color="auto"/>
        <w:right w:val="none" w:sz="0" w:space="0" w:color="auto"/>
      </w:divBdr>
    </w:div>
    <w:div w:id="2046563503">
      <w:bodyDiv w:val="1"/>
      <w:marLeft w:val="0"/>
      <w:marRight w:val="0"/>
      <w:marTop w:val="0"/>
      <w:marBottom w:val="0"/>
      <w:divBdr>
        <w:top w:val="none" w:sz="0" w:space="0" w:color="auto"/>
        <w:left w:val="none" w:sz="0" w:space="0" w:color="auto"/>
        <w:bottom w:val="none" w:sz="0" w:space="0" w:color="auto"/>
        <w:right w:val="none" w:sz="0" w:space="0" w:color="auto"/>
      </w:divBdr>
    </w:div>
    <w:div w:id="2046563941">
      <w:bodyDiv w:val="1"/>
      <w:marLeft w:val="0"/>
      <w:marRight w:val="0"/>
      <w:marTop w:val="0"/>
      <w:marBottom w:val="0"/>
      <w:divBdr>
        <w:top w:val="none" w:sz="0" w:space="0" w:color="auto"/>
        <w:left w:val="none" w:sz="0" w:space="0" w:color="auto"/>
        <w:bottom w:val="none" w:sz="0" w:space="0" w:color="auto"/>
        <w:right w:val="none" w:sz="0" w:space="0" w:color="auto"/>
      </w:divBdr>
    </w:div>
    <w:div w:id="2046756109">
      <w:bodyDiv w:val="1"/>
      <w:marLeft w:val="0"/>
      <w:marRight w:val="0"/>
      <w:marTop w:val="0"/>
      <w:marBottom w:val="0"/>
      <w:divBdr>
        <w:top w:val="none" w:sz="0" w:space="0" w:color="auto"/>
        <w:left w:val="none" w:sz="0" w:space="0" w:color="auto"/>
        <w:bottom w:val="none" w:sz="0" w:space="0" w:color="auto"/>
        <w:right w:val="none" w:sz="0" w:space="0" w:color="auto"/>
      </w:divBdr>
    </w:div>
    <w:div w:id="2046783805">
      <w:bodyDiv w:val="1"/>
      <w:marLeft w:val="0"/>
      <w:marRight w:val="0"/>
      <w:marTop w:val="0"/>
      <w:marBottom w:val="0"/>
      <w:divBdr>
        <w:top w:val="none" w:sz="0" w:space="0" w:color="auto"/>
        <w:left w:val="none" w:sz="0" w:space="0" w:color="auto"/>
        <w:bottom w:val="none" w:sz="0" w:space="0" w:color="auto"/>
        <w:right w:val="none" w:sz="0" w:space="0" w:color="auto"/>
      </w:divBdr>
    </w:div>
    <w:div w:id="2046826104">
      <w:bodyDiv w:val="1"/>
      <w:marLeft w:val="0"/>
      <w:marRight w:val="0"/>
      <w:marTop w:val="0"/>
      <w:marBottom w:val="0"/>
      <w:divBdr>
        <w:top w:val="none" w:sz="0" w:space="0" w:color="auto"/>
        <w:left w:val="none" w:sz="0" w:space="0" w:color="auto"/>
        <w:bottom w:val="none" w:sz="0" w:space="0" w:color="auto"/>
        <w:right w:val="none" w:sz="0" w:space="0" w:color="auto"/>
      </w:divBdr>
    </w:div>
    <w:div w:id="2046901851">
      <w:bodyDiv w:val="1"/>
      <w:marLeft w:val="0"/>
      <w:marRight w:val="0"/>
      <w:marTop w:val="0"/>
      <w:marBottom w:val="0"/>
      <w:divBdr>
        <w:top w:val="none" w:sz="0" w:space="0" w:color="auto"/>
        <w:left w:val="none" w:sz="0" w:space="0" w:color="auto"/>
        <w:bottom w:val="none" w:sz="0" w:space="0" w:color="auto"/>
        <w:right w:val="none" w:sz="0" w:space="0" w:color="auto"/>
      </w:divBdr>
    </w:div>
    <w:div w:id="2046978988">
      <w:bodyDiv w:val="1"/>
      <w:marLeft w:val="0"/>
      <w:marRight w:val="0"/>
      <w:marTop w:val="0"/>
      <w:marBottom w:val="0"/>
      <w:divBdr>
        <w:top w:val="none" w:sz="0" w:space="0" w:color="auto"/>
        <w:left w:val="none" w:sz="0" w:space="0" w:color="auto"/>
        <w:bottom w:val="none" w:sz="0" w:space="0" w:color="auto"/>
        <w:right w:val="none" w:sz="0" w:space="0" w:color="auto"/>
      </w:divBdr>
    </w:div>
    <w:div w:id="2047025974">
      <w:bodyDiv w:val="1"/>
      <w:marLeft w:val="0"/>
      <w:marRight w:val="0"/>
      <w:marTop w:val="0"/>
      <w:marBottom w:val="0"/>
      <w:divBdr>
        <w:top w:val="none" w:sz="0" w:space="0" w:color="auto"/>
        <w:left w:val="none" w:sz="0" w:space="0" w:color="auto"/>
        <w:bottom w:val="none" w:sz="0" w:space="0" w:color="auto"/>
        <w:right w:val="none" w:sz="0" w:space="0" w:color="auto"/>
      </w:divBdr>
    </w:div>
    <w:div w:id="2047096570">
      <w:bodyDiv w:val="1"/>
      <w:marLeft w:val="0"/>
      <w:marRight w:val="0"/>
      <w:marTop w:val="0"/>
      <w:marBottom w:val="0"/>
      <w:divBdr>
        <w:top w:val="none" w:sz="0" w:space="0" w:color="auto"/>
        <w:left w:val="none" w:sz="0" w:space="0" w:color="auto"/>
        <w:bottom w:val="none" w:sz="0" w:space="0" w:color="auto"/>
        <w:right w:val="none" w:sz="0" w:space="0" w:color="auto"/>
      </w:divBdr>
    </w:div>
    <w:div w:id="2047177250">
      <w:bodyDiv w:val="1"/>
      <w:marLeft w:val="0"/>
      <w:marRight w:val="0"/>
      <w:marTop w:val="0"/>
      <w:marBottom w:val="0"/>
      <w:divBdr>
        <w:top w:val="none" w:sz="0" w:space="0" w:color="auto"/>
        <w:left w:val="none" w:sz="0" w:space="0" w:color="auto"/>
        <w:bottom w:val="none" w:sz="0" w:space="0" w:color="auto"/>
        <w:right w:val="none" w:sz="0" w:space="0" w:color="auto"/>
      </w:divBdr>
    </w:div>
    <w:div w:id="2047292502">
      <w:bodyDiv w:val="1"/>
      <w:marLeft w:val="0"/>
      <w:marRight w:val="0"/>
      <w:marTop w:val="0"/>
      <w:marBottom w:val="0"/>
      <w:divBdr>
        <w:top w:val="none" w:sz="0" w:space="0" w:color="auto"/>
        <w:left w:val="none" w:sz="0" w:space="0" w:color="auto"/>
        <w:bottom w:val="none" w:sz="0" w:space="0" w:color="auto"/>
        <w:right w:val="none" w:sz="0" w:space="0" w:color="auto"/>
      </w:divBdr>
    </w:div>
    <w:div w:id="2047413863">
      <w:bodyDiv w:val="1"/>
      <w:marLeft w:val="0"/>
      <w:marRight w:val="0"/>
      <w:marTop w:val="0"/>
      <w:marBottom w:val="0"/>
      <w:divBdr>
        <w:top w:val="none" w:sz="0" w:space="0" w:color="auto"/>
        <w:left w:val="none" w:sz="0" w:space="0" w:color="auto"/>
        <w:bottom w:val="none" w:sz="0" w:space="0" w:color="auto"/>
        <w:right w:val="none" w:sz="0" w:space="0" w:color="auto"/>
      </w:divBdr>
    </w:div>
    <w:div w:id="2047559978">
      <w:bodyDiv w:val="1"/>
      <w:marLeft w:val="0"/>
      <w:marRight w:val="0"/>
      <w:marTop w:val="0"/>
      <w:marBottom w:val="0"/>
      <w:divBdr>
        <w:top w:val="none" w:sz="0" w:space="0" w:color="auto"/>
        <w:left w:val="none" w:sz="0" w:space="0" w:color="auto"/>
        <w:bottom w:val="none" w:sz="0" w:space="0" w:color="auto"/>
        <w:right w:val="none" w:sz="0" w:space="0" w:color="auto"/>
      </w:divBdr>
    </w:div>
    <w:div w:id="2047674610">
      <w:bodyDiv w:val="1"/>
      <w:marLeft w:val="0"/>
      <w:marRight w:val="0"/>
      <w:marTop w:val="0"/>
      <w:marBottom w:val="0"/>
      <w:divBdr>
        <w:top w:val="none" w:sz="0" w:space="0" w:color="auto"/>
        <w:left w:val="none" w:sz="0" w:space="0" w:color="auto"/>
        <w:bottom w:val="none" w:sz="0" w:space="0" w:color="auto"/>
        <w:right w:val="none" w:sz="0" w:space="0" w:color="auto"/>
      </w:divBdr>
    </w:div>
    <w:div w:id="2047681698">
      <w:bodyDiv w:val="1"/>
      <w:marLeft w:val="0"/>
      <w:marRight w:val="0"/>
      <w:marTop w:val="0"/>
      <w:marBottom w:val="0"/>
      <w:divBdr>
        <w:top w:val="none" w:sz="0" w:space="0" w:color="auto"/>
        <w:left w:val="none" w:sz="0" w:space="0" w:color="auto"/>
        <w:bottom w:val="none" w:sz="0" w:space="0" w:color="auto"/>
        <w:right w:val="none" w:sz="0" w:space="0" w:color="auto"/>
      </w:divBdr>
    </w:div>
    <w:div w:id="2047751271">
      <w:bodyDiv w:val="1"/>
      <w:marLeft w:val="0"/>
      <w:marRight w:val="0"/>
      <w:marTop w:val="0"/>
      <w:marBottom w:val="0"/>
      <w:divBdr>
        <w:top w:val="none" w:sz="0" w:space="0" w:color="auto"/>
        <w:left w:val="none" w:sz="0" w:space="0" w:color="auto"/>
        <w:bottom w:val="none" w:sz="0" w:space="0" w:color="auto"/>
        <w:right w:val="none" w:sz="0" w:space="0" w:color="auto"/>
      </w:divBdr>
    </w:div>
    <w:div w:id="2047899779">
      <w:bodyDiv w:val="1"/>
      <w:marLeft w:val="0"/>
      <w:marRight w:val="0"/>
      <w:marTop w:val="0"/>
      <w:marBottom w:val="0"/>
      <w:divBdr>
        <w:top w:val="none" w:sz="0" w:space="0" w:color="auto"/>
        <w:left w:val="none" w:sz="0" w:space="0" w:color="auto"/>
        <w:bottom w:val="none" w:sz="0" w:space="0" w:color="auto"/>
        <w:right w:val="none" w:sz="0" w:space="0" w:color="auto"/>
      </w:divBdr>
    </w:div>
    <w:div w:id="2048017814">
      <w:bodyDiv w:val="1"/>
      <w:marLeft w:val="0"/>
      <w:marRight w:val="0"/>
      <w:marTop w:val="0"/>
      <w:marBottom w:val="0"/>
      <w:divBdr>
        <w:top w:val="none" w:sz="0" w:space="0" w:color="auto"/>
        <w:left w:val="none" w:sz="0" w:space="0" w:color="auto"/>
        <w:bottom w:val="none" w:sz="0" w:space="0" w:color="auto"/>
        <w:right w:val="none" w:sz="0" w:space="0" w:color="auto"/>
      </w:divBdr>
    </w:div>
    <w:div w:id="2048018817">
      <w:bodyDiv w:val="1"/>
      <w:marLeft w:val="0"/>
      <w:marRight w:val="0"/>
      <w:marTop w:val="0"/>
      <w:marBottom w:val="0"/>
      <w:divBdr>
        <w:top w:val="none" w:sz="0" w:space="0" w:color="auto"/>
        <w:left w:val="none" w:sz="0" w:space="0" w:color="auto"/>
        <w:bottom w:val="none" w:sz="0" w:space="0" w:color="auto"/>
        <w:right w:val="none" w:sz="0" w:space="0" w:color="auto"/>
      </w:divBdr>
    </w:div>
    <w:div w:id="2048020599">
      <w:bodyDiv w:val="1"/>
      <w:marLeft w:val="0"/>
      <w:marRight w:val="0"/>
      <w:marTop w:val="0"/>
      <w:marBottom w:val="0"/>
      <w:divBdr>
        <w:top w:val="none" w:sz="0" w:space="0" w:color="auto"/>
        <w:left w:val="none" w:sz="0" w:space="0" w:color="auto"/>
        <w:bottom w:val="none" w:sz="0" w:space="0" w:color="auto"/>
        <w:right w:val="none" w:sz="0" w:space="0" w:color="auto"/>
      </w:divBdr>
    </w:div>
    <w:div w:id="2048068150">
      <w:bodyDiv w:val="1"/>
      <w:marLeft w:val="0"/>
      <w:marRight w:val="0"/>
      <w:marTop w:val="0"/>
      <w:marBottom w:val="0"/>
      <w:divBdr>
        <w:top w:val="none" w:sz="0" w:space="0" w:color="auto"/>
        <w:left w:val="none" w:sz="0" w:space="0" w:color="auto"/>
        <w:bottom w:val="none" w:sz="0" w:space="0" w:color="auto"/>
        <w:right w:val="none" w:sz="0" w:space="0" w:color="auto"/>
      </w:divBdr>
    </w:div>
    <w:div w:id="2048069537">
      <w:bodyDiv w:val="1"/>
      <w:marLeft w:val="0"/>
      <w:marRight w:val="0"/>
      <w:marTop w:val="0"/>
      <w:marBottom w:val="0"/>
      <w:divBdr>
        <w:top w:val="none" w:sz="0" w:space="0" w:color="auto"/>
        <w:left w:val="none" w:sz="0" w:space="0" w:color="auto"/>
        <w:bottom w:val="none" w:sz="0" w:space="0" w:color="auto"/>
        <w:right w:val="none" w:sz="0" w:space="0" w:color="auto"/>
      </w:divBdr>
    </w:div>
    <w:div w:id="2048213353">
      <w:bodyDiv w:val="1"/>
      <w:marLeft w:val="0"/>
      <w:marRight w:val="0"/>
      <w:marTop w:val="0"/>
      <w:marBottom w:val="0"/>
      <w:divBdr>
        <w:top w:val="none" w:sz="0" w:space="0" w:color="auto"/>
        <w:left w:val="none" w:sz="0" w:space="0" w:color="auto"/>
        <w:bottom w:val="none" w:sz="0" w:space="0" w:color="auto"/>
        <w:right w:val="none" w:sz="0" w:space="0" w:color="auto"/>
      </w:divBdr>
    </w:div>
    <w:div w:id="2048286159">
      <w:bodyDiv w:val="1"/>
      <w:marLeft w:val="0"/>
      <w:marRight w:val="0"/>
      <w:marTop w:val="0"/>
      <w:marBottom w:val="0"/>
      <w:divBdr>
        <w:top w:val="none" w:sz="0" w:space="0" w:color="auto"/>
        <w:left w:val="none" w:sz="0" w:space="0" w:color="auto"/>
        <w:bottom w:val="none" w:sz="0" w:space="0" w:color="auto"/>
        <w:right w:val="none" w:sz="0" w:space="0" w:color="auto"/>
      </w:divBdr>
    </w:div>
    <w:div w:id="2048286546">
      <w:bodyDiv w:val="1"/>
      <w:marLeft w:val="0"/>
      <w:marRight w:val="0"/>
      <w:marTop w:val="0"/>
      <w:marBottom w:val="0"/>
      <w:divBdr>
        <w:top w:val="none" w:sz="0" w:space="0" w:color="auto"/>
        <w:left w:val="none" w:sz="0" w:space="0" w:color="auto"/>
        <w:bottom w:val="none" w:sz="0" w:space="0" w:color="auto"/>
        <w:right w:val="none" w:sz="0" w:space="0" w:color="auto"/>
      </w:divBdr>
    </w:div>
    <w:div w:id="2048292442">
      <w:bodyDiv w:val="1"/>
      <w:marLeft w:val="0"/>
      <w:marRight w:val="0"/>
      <w:marTop w:val="0"/>
      <w:marBottom w:val="0"/>
      <w:divBdr>
        <w:top w:val="none" w:sz="0" w:space="0" w:color="auto"/>
        <w:left w:val="none" w:sz="0" w:space="0" w:color="auto"/>
        <w:bottom w:val="none" w:sz="0" w:space="0" w:color="auto"/>
        <w:right w:val="none" w:sz="0" w:space="0" w:color="auto"/>
      </w:divBdr>
    </w:div>
    <w:div w:id="2048405232">
      <w:bodyDiv w:val="1"/>
      <w:marLeft w:val="0"/>
      <w:marRight w:val="0"/>
      <w:marTop w:val="0"/>
      <w:marBottom w:val="0"/>
      <w:divBdr>
        <w:top w:val="none" w:sz="0" w:space="0" w:color="auto"/>
        <w:left w:val="none" w:sz="0" w:space="0" w:color="auto"/>
        <w:bottom w:val="none" w:sz="0" w:space="0" w:color="auto"/>
        <w:right w:val="none" w:sz="0" w:space="0" w:color="auto"/>
      </w:divBdr>
    </w:div>
    <w:div w:id="2048410710">
      <w:bodyDiv w:val="1"/>
      <w:marLeft w:val="0"/>
      <w:marRight w:val="0"/>
      <w:marTop w:val="0"/>
      <w:marBottom w:val="0"/>
      <w:divBdr>
        <w:top w:val="none" w:sz="0" w:space="0" w:color="auto"/>
        <w:left w:val="none" w:sz="0" w:space="0" w:color="auto"/>
        <w:bottom w:val="none" w:sz="0" w:space="0" w:color="auto"/>
        <w:right w:val="none" w:sz="0" w:space="0" w:color="auto"/>
      </w:divBdr>
    </w:div>
    <w:div w:id="2048524956">
      <w:bodyDiv w:val="1"/>
      <w:marLeft w:val="0"/>
      <w:marRight w:val="0"/>
      <w:marTop w:val="0"/>
      <w:marBottom w:val="0"/>
      <w:divBdr>
        <w:top w:val="none" w:sz="0" w:space="0" w:color="auto"/>
        <w:left w:val="none" w:sz="0" w:space="0" w:color="auto"/>
        <w:bottom w:val="none" w:sz="0" w:space="0" w:color="auto"/>
        <w:right w:val="none" w:sz="0" w:space="0" w:color="auto"/>
      </w:divBdr>
    </w:div>
    <w:div w:id="2048600347">
      <w:bodyDiv w:val="1"/>
      <w:marLeft w:val="0"/>
      <w:marRight w:val="0"/>
      <w:marTop w:val="0"/>
      <w:marBottom w:val="0"/>
      <w:divBdr>
        <w:top w:val="none" w:sz="0" w:space="0" w:color="auto"/>
        <w:left w:val="none" w:sz="0" w:space="0" w:color="auto"/>
        <w:bottom w:val="none" w:sz="0" w:space="0" w:color="auto"/>
        <w:right w:val="none" w:sz="0" w:space="0" w:color="auto"/>
      </w:divBdr>
    </w:div>
    <w:div w:id="2048675497">
      <w:bodyDiv w:val="1"/>
      <w:marLeft w:val="0"/>
      <w:marRight w:val="0"/>
      <w:marTop w:val="0"/>
      <w:marBottom w:val="0"/>
      <w:divBdr>
        <w:top w:val="none" w:sz="0" w:space="0" w:color="auto"/>
        <w:left w:val="none" w:sz="0" w:space="0" w:color="auto"/>
        <w:bottom w:val="none" w:sz="0" w:space="0" w:color="auto"/>
        <w:right w:val="none" w:sz="0" w:space="0" w:color="auto"/>
      </w:divBdr>
    </w:div>
    <w:div w:id="2048790988">
      <w:bodyDiv w:val="1"/>
      <w:marLeft w:val="0"/>
      <w:marRight w:val="0"/>
      <w:marTop w:val="0"/>
      <w:marBottom w:val="0"/>
      <w:divBdr>
        <w:top w:val="none" w:sz="0" w:space="0" w:color="auto"/>
        <w:left w:val="none" w:sz="0" w:space="0" w:color="auto"/>
        <w:bottom w:val="none" w:sz="0" w:space="0" w:color="auto"/>
        <w:right w:val="none" w:sz="0" w:space="0" w:color="auto"/>
      </w:divBdr>
    </w:div>
    <w:div w:id="2048795745">
      <w:bodyDiv w:val="1"/>
      <w:marLeft w:val="0"/>
      <w:marRight w:val="0"/>
      <w:marTop w:val="0"/>
      <w:marBottom w:val="0"/>
      <w:divBdr>
        <w:top w:val="none" w:sz="0" w:space="0" w:color="auto"/>
        <w:left w:val="none" w:sz="0" w:space="0" w:color="auto"/>
        <w:bottom w:val="none" w:sz="0" w:space="0" w:color="auto"/>
        <w:right w:val="none" w:sz="0" w:space="0" w:color="auto"/>
      </w:divBdr>
    </w:div>
    <w:div w:id="2048867550">
      <w:bodyDiv w:val="1"/>
      <w:marLeft w:val="0"/>
      <w:marRight w:val="0"/>
      <w:marTop w:val="0"/>
      <w:marBottom w:val="0"/>
      <w:divBdr>
        <w:top w:val="none" w:sz="0" w:space="0" w:color="auto"/>
        <w:left w:val="none" w:sz="0" w:space="0" w:color="auto"/>
        <w:bottom w:val="none" w:sz="0" w:space="0" w:color="auto"/>
        <w:right w:val="none" w:sz="0" w:space="0" w:color="auto"/>
      </w:divBdr>
    </w:div>
    <w:div w:id="2048875754">
      <w:bodyDiv w:val="1"/>
      <w:marLeft w:val="0"/>
      <w:marRight w:val="0"/>
      <w:marTop w:val="0"/>
      <w:marBottom w:val="0"/>
      <w:divBdr>
        <w:top w:val="none" w:sz="0" w:space="0" w:color="auto"/>
        <w:left w:val="none" w:sz="0" w:space="0" w:color="auto"/>
        <w:bottom w:val="none" w:sz="0" w:space="0" w:color="auto"/>
        <w:right w:val="none" w:sz="0" w:space="0" w:color="auto"/>
      </w:divBdr>
    </w:div>
    <w:div w:id="2048993111">
      <w:bodyDiv w:val="1"/>
      <w:marLeft w:val="0"/>
      <w:marRight w:val="0"/>
      <w:marTop w:val="0"/>
      <w:marBottom w:val="0"/>
      <w:divBdr>
        <w:top w:val="none" w:sz="0" w:space="0" w:color="auto"/>
        <w:left w:val="none" w:sz="0" w:space="0" w:color="auto"/>
        <w:bottom w:val="none" w:sz="0" w:space="0" w:color="auto"/>
        <w:right w:val="none" w:sz="0" w:space="0" w:color="auto"/>
      </w:divBdr>
    </w:div>
    <w:div w:id="2049135763">
      <w:bodyDiv w:val="1"/>
      <w:marLeft w:val="0"/>
      <w:marRight w:val="0"/>
      <w:marTop w:val="0"/>
      <w:marBottom w:val="0"/>
      <w:divBdr>
        <w:top w:val="none" w:sz="0" w:space="0" w:color="auto"/>
        <w:left w:val="none" w:sz="0" w:space="0" w:color="auto"/>
        <w:bottom w:val="none" w:sz="0" w:space="0" w:color="auto"/>
        <w:right w:val="none" w:sz="0" w:space="0" w:color="auto"/>
      </w:divBdr>
    </w:div>
    <w:div w:id="2049180734">
      <w:bodyDiv w:val="1"/>
      <w:marLeft w:val="0"/>
      <w:marRight w:val="0"/>
      <w:marTop w:val="0"/>
      <w:marBottom w:val="0"/>
      <w:divBdr>
        <w:top w:val="none" w:sz="0" w:space="0" w:color="auto"/>
        <w:left w:val="none" w:sz="0" w:space="0" w:color="auto"/>
        <w:bottom w:val="none" w:sz="0" w:space="0" w:color="auto"/>
        <w:right w:val="none" w:sz="0" w:space="0" w:color="auto"/>
      </w:divBdr>
    </w:div>
    <w:div w:id="2049181002">
      <w:bodyDiv w:val="1"/>
      <w:marLeft w:val="0"/>
      <w:marRight w:val="0"/>
      <w:marTop w:val="0"/>
      <w:marBottom w:val="0"/>
      <w:divBdr>
        <w:top w:val="none" w:sz="0" w:space="0" w:color="auto"/>
        <w:left w:val="none" w:sz="0" w:space="0" w:color="auto"/>
        <w:bottom w:val="none" w:sz="0" w:space="0" w:color="auto"/>
        <w:right w:val="none" w:sz="0" w:space="0" w:color="auto"/>
      </w:divBdr>
    </w:div>
    <w:div w:id="2049256586">
      <w:bodyDiv w:val="1"/>
      <w:marLeft w:val="0"/>
      <w:marRight w:val="0"/>
      <w:marTop w:val="0"/>
      <w:marBottom w:val="0"/>
      <w:divBdr>
        <w:top w:val="none" w:sz="0" w:space="0" w:color="auto"/>
        <w:left w:val="none" w:sz="0" w:space="0" w:color="auto"/>
        <w:bottom w:val="none" w:sz="0" w:space="0" w:color="auto"/>
        <w:right w:val="none" w:sz="0" w:space="0" w:color="auto"/>
      </w:divBdr>
    </w:div>
    <w:div w:id="2049335031">
      <w:bodyDiv w:val="1"/>
      <w:marLeft w:val="0"/>
      <w:marRight w:val="0"/>
      <w:marTop w:val="0"/>
      <w:marBottom w:val="0"/>
      <w:divBdr>
        <w:top w:val="none" w:sz="0" w:space="0" w:color="auto"/>
        <w:left w:val="none" w:sz="0" w:space="0" w:color="auto"/>
        <w:bottom w:val="none" w:sz="0" w:space="0" w:color="auto"/>
        <w:right w:val="none" w:sz="0" w:space="0" w:color="auto"/>
      </w:divBdr>
    </w:div>
    <w:div w:id="2049335373">
      <w:bodyDiv w:val="1"/>
      <w:marLeft w:val="0"/>
      <w:marRight w:val="0"/>
      <w:marTop w:val="0"/>
      <w:marBottom w:val="0"/>
      <w:divBdr>
        <w:top w:val="none" w:sz="0" w:space="0" w:color="auto"/>
        <w:left w:val="none" w:sz="0" w:space="0" w:color="auto"/>
        <w:bottom w:val="none" w:sz="0" w:space="0" w:color="auto"/>
        <w:right w:val="none" w:sz="0" w:space="0" w:color="auto"/>
      </w:divBdr>
    </w:div>
    <w:div w:id="2049376390">
      <w:bodyDiv w:val="1"/>
      <w:marLeft w:val="0"/>
      <w:marRight w:val="0"/>
      <w:marTop w:val="0"/>
      <w:marBottom w:val="0"/>
      <w:divBdr>
        <w:top w:val="none" w:sz="0" w:space="0" w:color="auto"/>
        <w:left w:val="none" w:sz="0" w:space="0" w:color="auto"/>
        <w:bottom w:val="none" w:sz="0" w:space="0" w:color="auto"/>
        <w:right w:val="none" w:sz="0" w:space="0" w:color="auto"/>
      </w:divBdr>
    </w:div>
    <w:div w:id="2049407533">
      <w:bodyDiv w:val="1"/>
      <w:marLeft w:val="0"/>
      <w:marRight w:val="0"/>
      <w:marTop w:val="0"/>
      <w:marBottom w:val="0"/>
      <w:divBdr>
        <w:top w:val="none" w:sz="0" w:space="0" w:color="auto"/>
        <w:left w:val="none" w:sz="0" w:space="0" w:color="auto"/>
        <w:bottom w:val="none" w:sz="0" w:space="0" w:color="auto"/>
        <w:right w:val="none" w:sz="0" w:space="0" w:color="auto"/>
      </w:divBdr>
    </w:div>
    <w:div w:id="2049524734">
      <w:bodyDiv w:val="1"/>
      <w:marLeft w:val="0"/>
      <w:marRight w:val="0"/>
      <w:marTop w:val="0"/>
      <w:marBottom w:val="0"/>
      <w:divBdr>
        <w:top w:val="none" w:sz="0" w:space="0" w:color="auto"/>
        <w:left w:val="none" w:sz="0" w:space="0" w:color="auto"/>
        <w:bottom w:val="none" w:sz="0" w:space="0" w:color="auto"/>
        <w:right w:val="none" w:sz="0" w:space="0" w:color="auto"/>
      </w:divBdr>
    </w:div>
    <w:div w:id="2049524752">
      <w:bodyDiv w:val="1"/>
      <w:marLeft w:val="0"/>
      <w:marRight w:val="0"/>
      <w:marTop w:val="0"/>
      <w:marBottom w:val="0"/>
      <w:divBdr>
        <w:top w:val="none" w:sz="0" w:space="0" w:color="auto"/>
        <w:left w:val="none" w:sz="0" w:space="0" w:color="auto"/>
        <w:bottom w:val="none" w:sz="0" w:space="0" w:color="auto"/>
        <w:right w:val="none" w:sz="0" w:space="0" w:color="auto"/>
      </w:divBdr>
    </w:div>
    <w:div w:id="2049573117">
      <w:bodyDiv w:val="1"/>
      <w:marLeft w:val="0"/>
      <w:marRight w:val="0"/>
      <w:marTop w:val="0"/>
      <w:marBottom w:val="0"/>
      <w:divBdr>
        <w:top w:val="none" w:sz="0" w:space="0" w:color="auto"/>
        <w:left w:val="none" w:sz="0" w:space="0" w:color="auto"/>
        <w:bottom w:val="none" w:sz="0" w:space="0" w:color="auto"/>
        <w:right w:val="none" w:sz="0" w:space="0" w:color="auto"/>
      </w:divBdr>
    </w:div>
    <w:div w:id="2049600679">
      <w:bodyDiv w:val="1"/>
      <w:marLeft w:val="0"/>
      <w:marRight w:val="0"/>
      <w:marTop w:val="0"/>
      <w:marBottom w:val="0"/>
      <w:divBdr>
        <w:top w:val="none" w:sz="0" w:space="0" w:color="auto"/>
        <w:left w:val="none" w:sz="0" w:space="0" w:color="auto"/>
        <w:bottom w:val="none" w:sz="0" w:space="0" w:color="auto"/>
        <w:right w:val="none" w:sz="0" w:space="0" w:color="auto"/>
      </w:divBdr>
    </w:div>
    <w:div w:id="2049644302">
      <w:bodyDiv w:val="1"/>
      <w:marLeft w:val="0"/>
      <w:marRight w:val="0"/>
      <w:marTop w:val="0"/>
      <w:marBottom w:val="0"/>
      <w:divBdr>
        <w:top w:val="none" w:sz="0" w:space="0" w:color="auto"/>
        <w:left w:val="none" w:sz="0" w:space="0" w:color="auto"/>
        <w:bottom w:val="none" w:sz="0" w:space="0" w:color="auto"/>
        <w:right w:val="none" w:sz="0" w:space="0" w:color="auto"/>
      </w:divBdr>
    </w:div>
    <w:div w:id="2049793244">
      <w:bodyDiv w:val="1"/>
      <w:marLeft w:val="0"/>
      <w:marRight w:val="0"/>
      <w:marTop w:val="0"/>
      <w:marBottom w:val="0"/>
      <w:divBdr>
        <w:top w:val="none" w:sz="0" w:space="0" w:color="auto"/>
        <w:left w:val="none" w:sz="0" w:space="0" w:color="auto"/>
        <w:bottom w:val="none" w:sz="0" w:space="0" w:color="auto"/>
        <w:right w:val="none" w:sz="0" w:space="0" w:color="auto"/>
      </w:divBdr>
    </w:div>
    <w:div w:id="2049910285">
      <w:bodyDiv w:val="1"/>
      <w:marLeft w:val="0"/>
      <w:marRight w:val="0"/>
      <w:marTop w:val="0"/>
      <w:marBottom w:val="0"/>
      <w:divBdr>
        <w:top w:val="none" w:sz="0" w:space="0" w:color="auto"/>
        <w:left w:val="none" w:sz="0" w:space="0" w:color="auto"/>
        <w:bottom w:val="none" w:sz="0" w:space="0" w:color="auto"/>
        <w:right w:val="none" w:sz="0" w:space="0" w:color="auto"/>
      </w:divBdr>
    </w:div>
    <w:div w:id="2049917084">
      <w:bodyDiv w:val="1"/>
      <w:marLeft w:val="0"/>
      <w:marRight w:val="0"/>
      <w:marTop w:val="0"/>
      <w:marBottom w:val="0"/>
      <w:divBdr>
        <w:top w:val="none" w:sz="0" w:space="0" w:color="auto"/>
        <w:left w:val="none" w:sz="0" w:space="0" w:color="auto"/>
        <w:bottom w:val="none" w:sz="0" w:space="0" w:color="auto"/>
        <w:right w:val="none" w:sz="0" w:space="0" w:color="auto"/>
      </w:divBdr>
    </w:div>
    <w:div w:id="2050032306">
      <w:bodyDiv w:val="1"/>
      <w:marLeft w:val="0"/>
      <w:marRight w:val="0"/>
      <w:marTop w:val="0"/>
      <w:marBottom w:val="0"/>
      <w:divBdr>
        <w:top w:val="none" w:sz="0" w:space="0" w:color="auto"/>
        <w:left w:val="none" w:sz="0" w:space="0" w:color="auto"/>
        <w:bottom w:val="none" w:sz="0" w:space="0" w:color="auto"/>
        <w:right w:val="none" w:sz="0" w:space="0" w:color="auto"/>
      </w:divBdr>
    </w:div>
    <w:div w:id="2050101554">
      <w:bodyDiv w:val="1"/>
      <w:marLeft w:val="0"/>
      <w:marRight w:val="0"/>
      <w:marTop w:val="0"/>
      <w:marBottom w:val="0"/>
      <w:divBdr>
        <w:top w:val="none" w:sz="0" w:space="0" w:color="auto"/>
        <w:left w:val="none" w:sz="0" w:space="0" w:color="auto"/>
        <w:bottom w:val="none" w:sz="0" w:space="0" w:color="auto"/>
        <w:right w:val="none" w:sz="0" w:space="0" w:color="auto"/>
      </w:divBdr>
    </w:div>
    <w:div w:id="2050102808">
      <w:bodyDiv w:val="1"/>
      <w:marLeft w:val="0"/>
      <w:marRight w:val="0"/>
      <w:marTop w:val="0"/>
      <w:marBottom w:val="0"/>
      <w:divBdr>
        <w:top w:val="none" w:sz="0" w:space="0" w:color="auto"/>
        <w:left w:val="none" w:sz="0" w:space="0" w:color="auto"/>
        <w:bottom w:val="none" w:sz="0" w:space="0" w:color="auto"/>
        <w:right w:val="none" w:sz="0" w:space="0" w:color="auto"/>
      </w:divBdr>
    </w:div>
    <w:div w:id="2050178871">
      <w:bodyDiv w:val="1"/>
      <w:marLeft w:val="0"/>
      <w:marRight w:val="0"/>
      <w:marTop w:val="0"/>
      <w:marBottom w:val="0"/>
      <w:divBdr>
        <w:top w:val="none" w:sz="0" w:space="0" w:color="auto"/>
        <w:left w:val="none" w:sz="0" w:space="0" w:color="auto"/>
        <w:bottom w:val="none" w:sz="0" w:space="0" w:color="auto"/>
        <w:right w:val="none" w:sz="0" w:space="0" w:color="auto"/>
      </w:divBdr>
    </w:div>
    <w:div w:id="2050374430">
      <w:bodyDiv w:val="1"/>
      <w:marLeft w:val="0"/>
      <w:marRight w:val="0"/>
      <w:marTop w:val="0"/>
      <w:marBottom w:val="0"/>
      <w:divBdr>
        <w:top w:val="none" w:sz="0" w:space="0" w:color="auto"/>
        <w:left w:val="none" w:sz="0" w:space="0" w:color="auto"/>
        <w:bottom w:val="none" w:sz="0" w:space="0" w:color="auto"/>
        <w:right w:val="none" w:sz="0" w:space="0" w:color="auto"/>
      </w:divBdr>
    </w:div>
    <w:div w:id="2050374978">
      <w:bodyDiv w:val="1"/>
      <w:marLeft w:val="0"/>
      <w:marRight w:val="0"/>
      <w:marTop w:val="0"/>
      <w:marBottom w:val="0"/>
      <w:divBdr>
        <w:top w:val="none" w:sz="0" w:space="0" w:color="auto"/>
        <w:left w:val="none" w:sz="0" w:space="0" w:color="auto"/>
        <w:bottom w:val="none" w:sz="0" w:space="0" w:color="auto"/>
        <w:right w:val="none" w:sz="0" w:space="0" w:color="auto"/>
      </w:divBdr>
    </w:div>
    <w:div w:id="2050450821">
      <w:bodyDiv w:val="1"/>
      <w:marLeft w:val="0"/>
      <w:marRight w:val="0"/>
      <w:marTop w:val="0"/>
      <w:marBottom w:val="0"/>
      <w:divBdr>
        <w:top w:val="none" w:sz="0" w:space="0" w:color="auto"/>
        <w:left w:val="none" w:sz="0" w:space="0" w:color="auto"/>
        <w:bottom w:val="none" w:sz="0" w:space="0" w:color="auto"/>
        <w:right w:val="none" w:sz="0" w:space="0" w:color="auto"/>
      </w:divBdr>
    </w:div>
    <w:div w:id="2050454787">
      <w:bodyDiv w:val="1"/>
      <w:marLeft w:val="0"/>
      <w:marRight w:val="0"/>
      <w:marTop w:val="0"/>
      <w:marBottom w:val="0"/>
      <w:divBdr>
        <w:top w:val="none" w:sz="0" w:space="0" w:color="auto"/>
        <w:left w:val="none" w:sz="0" w:space="0" w:color="auto"/>
        <w:bottom w:val="none" w:sz="0" w:space="0" w:color="auto"/>
        <w:right w:val="none" w:sz="0" w:space="0" w:color="auto"/>
      </w:divBdr>
    </w:div>
    <w:div w:id="2050497234">
      <w:bodyDiv w:val="1"/>
      <w:marLeft w:val="0"/>
      <w:marRight w:val="0"/>
      <w:marTop w:val="0"/>
      <w:marBottom w:val="0"/>
      <w:divBdr>
        <w:top w:val="none" w:sz="0" w:space="0" w:color="auto"/>
        <w:left w:val="none" w:sz="0" w:space="0" w:color="auto"/>
        <w:bottom w:val="none" w:sz="0" w:space="0" w:color="auto"/>
        <w:right w:val="none" w:sz="0" w:space="0" w:color="auto"/>
      </w:divBdr>
    </w:div>
    <w:div w:id="2050645332">
      <w:bodyDiv w:val="1"/>
      <w:marLeft w:val="0"/>
      <w:marRight w:val="0"/>
      <w:marTop w:val="0"/>
      <w:marBottom w:val="0"/>
      <w:divBdr>
        <w:top w:val="none" w:sz="0" w:space="0" w:color="auto"/>
        <w:left w:val="none" w:sz="0" w:space="0" w:color="auto"/>
        <w:bottom w:val="none" w:sz="0" w:space="0" w:color="auto"/>
        <w:right w:val="none" w:sz="0" w:space="0" w:color="auto"/>
      </w:divBdr>
    </w:div>
    <w:div w:id="2050646381">
      <w:bodyDiv w:val="1"/>
      <w:marLeft w:val="0"/>
      <w:marRight w:val="0"/>
      <w:marTop w:val="0"/>
      <w:marBottom w:val="0"/>
      <w:divBdr>
        <w:top w:val="none" w:sz="0" w:space="0" w:color="auto"/>
        <w:left w:val="none" w:sz="0" w:space="0" w:color="auto"/>
        <w:bottom w:val="none" w:sz="0" w:space="0" w:color="auto"/>
        <w:right w:val="none" w:sz="0" w:space="0" w:color="auto"/>
      </w:divBdr>
    </w:div>
    <w:div w:id="2050765186">
      <w:bodyDiv w:val="1"/>
      <w:marLeft w:val="0"/>
      <w:marRight w:val="0"/>
      <w:marTop w:val="0"/>
      <w:marBottom w:val="0"/>
      <w:divBdr>
        <w:top w:val="none" w:sz="0" w:space="0" w:color="auto"/>
        <w:left w:val="none" w:sz="0" w:space="0" w:color="auto"/>
        <w:bottom w:val="none" w:sz="0" w:space="0" w:color="auto"/>
        <w:right w:val="none" w:sz="0" w:space="0" w:color="auto"/>
      </w:divBdr>
    </w:div>
    <w:div w:id="2051031542">
      <w:bodyDiv w:val="1"/>
      <w:marLeft w:val="0"/>
      <w:marRight w:val="0"/>
      <w:marTop w:val="0"/>
      <w:marBottom w:val="0"/>
      <w:divBdr>
        <w:top w:val="none" w:sz="0" w:space="0" w:color="auto"/>
        <w:left w:val="none" w:sz="0" w:space="0" w:color="auto"/>
        <w:bottom w:val="none" w:sz="0" w:space="0" w:color="auto"/>
        <w:right w:val="none" w:sz="0" w:space="0" w:color="auto"/>
      </w:divBdr>
    </w:div>
    <w:div w:id="2051106034">
      <w:bodyDiv w:val="1"/>
      <w:marLeft w:val="0"/>
      <w:marRight w:val="0"/>
      <w:marTop w:val="0"/>
      <w:marBottom w:val="0"/>
      <w:divBdr>
        <w:top w:val="none" w:sz="0" w:space="0" w:color="auto"/>
        <w:left w:val="none" w:sz="0" w:space="0" w:color="auto"/>
        <w:bottom w:val="none" w:sz="0" w:space="0" w:color="auto"/>
        <w:right w:val="none" w:sz="0" w:space="0" w:color="auto"/>
      </w:divBdr>
    </w:div>
    <w:div w:id="2051222986">
      <w:bodyDiv w:val="1"/>
      <w:marLeft w:val="0"/>
      <w:marRight w:val="0"/>
      <w:marTop w:val="0"/>
      <w:marBottom w:val="0"/>
      <w:divBdr>
        <w:top w:val="none" w:sz="0" w:space="0" w:color="auto"/>
        <w:left w:val="none" w:sz="0" w:space="0" w:color="auto"/>
        <w:bottom w:val="none" w:sz="0" w:space="0" w:color="auto"/>
        <w:right w:val="none" w:sz="0" w:space="0" w:color="auto"/>
      </w:divBdr>
    </w:div>
    <w:div w:id="2051301707">
      <w:bodyDiv w:val="1"/>
      <w:marLeft w:val="0"/>
      <w:marRight w:val="0"/>
      <w:marTop w:val="0"/>
      <w:marBottom w:val="0"/>
      <w:divBdr>
        <w:top w:val="none" w:sz="0" w:space="0" w:color="auto"/>
        <w:left w:val="none" w:sz="0" w:space="0" w:color="auto"/>
        <w:bottom w:val="none" w:sz="0" w:space="0" w:color="auto"/>
        <w:right w:val="none" w:sz="0" w:space="0" w:color="auto"/>
      </w:divBdr>
    </w:div>
    <w:div w:id="2051420926">
      <w:bodyDiv w:val="1"/>
      <w:marLeft w:val="0"/>
      <w:marRight w:val="0"/>
      <w:marTop w:val="0"/>
      <w:marBottom w:val="0"/>
      <w:divBdr>
        <w:top w:val="none" w:sz="0" w:space="0" w:color="auto"/>
        <w:left w:val="none" w:sz="0" w:space="0" w:color="auto"/>
        <w:bottom w:val="none" w:sz="0" w:space="0" w:color="auto"/>
        <w:right w:val="none" w:sz="0" w:space="0" w:color="auto"/>
      </w:divBdr>
    </w:div>
    <w:div w:id="2051496031">
      <w:bodyDiv w:val="1"/>
      <w:marLeft w:val="0"/>
      <w:marRight w:val="0"/>
      <w:marTop w:val="0"/>
      <w:marBottom w:val="0"/>
      <w:divBdr>
        <w:top w:val="none" w:sz="0" w:space="0" w:color="auto"/>
        <w:left w:val="none" w:sz="0" w:space="0" w:color="auto"/>
        <w:bottom w:val="none" w:sz="0" w:space="0" w:color="auto"/>
        <w:right w:val="none" w:sz="0" w:space="0" w:color="auto"/>
      </w:divBdr>
    </w:div>
    <w:div w:id="2051566561">
      <w:bodyDiv w:val="1"/>
      <w:marLeft w:val="0"/>
      <w:marRight w:val="0"/>
      <w:marTop w:val="0"/>
      <w:marBottom w:val="0"/>
      <w:divBdr>
        <w:top w:val="none" w:sz="0" w:space="0" w:color="auto"/>
        <w:left w:val="none" w:sz="0" w:space="0" w:color="auto"/>
        <w:bottom w:val="none" w:sz="0" w:space="0" w:color="auto"/>
        <w:right w:val="none" w:sz="0" w:space="0" w:color="auto"/>
      </w:divBdr>
    </w:div>
    <w:div w:id="2051611557">
      <w:bodyDiv w:val="1"/>
      <w:marLeft w:val="0"/>
      <w:marRight w:val="0"/>
      <w:marTop w:val="0"/>
      <w:marBottom w:val="0"/>
      <w:divBdr>
        <w:top w:val="none" w:sz="0" w:space="0" w:color="auto"/>
        <w:left w:val="none" w:sz="0" w:space="0" w:color="auto"/>
        <w:bottom w:val="none" w:sz="0" w:space="0" w:color="auto"/>
        <w:right w:val="none" w:sz="0" w:space="0" w:color="auto"/>
      </w:divBdr>
    </w:div>
    <w:div w:id="2051688564">
      <w:bodyDiv w:val="1"/>
      <w:marLeft w:val="0"/>
      <w:marRight w:val="0"/>
      <w:marTop w:val="0"/>
      <w:marBottom w:val="0"/>
      <w:divBdr>
        <w:top w:val="none" w:sz="0" w:space="0" w:color="auto"/>
        <w:left w:val="none" w:sz="0" w:space="0" w:color="auto"/>
        <w:bottom w:val="none" w:sz="0" w:space="0" w:color="auto"/>
        <w:right w:val="none" w:sz="0" w:space="0" w:color="auto"/>
      </w:divBdr>
    </w:div>
    <w:div w:id="2051877299">
      <w:bodyDiv w:val="1"/>
      <w:marLeft w:val="0"/>
      <w:marRight w:val="0"/>
      <w:marTop w:val="0"/>
      <w:marBottom w:val="0"/>
      <w:divBdr>
        <w:top w:val="none" w:sz="0" w:space="0" w:color="auto"/>
        <w:left w:val="none" w:sz="0" w:space="0" w:color="auto"/>
        <w:bottom w:val="none" w:sz="0" w:space="0" w:color="auto"/>
        <w:right w:val="none" w:sz="0" w:space="0" w:color="auto"/>
      </w:divBdr>
    </w:div>
    <w:div w:id="2051877831">
      <w:bodyDiv w:val="1"/>
      <w:marLeft w:val="0"/>
      <w:marRight w:val="0"/>
      <w:marTop w:val="0"/>
      <w:marBottom w:val="0"/>
      <w:divBdr>
        <w:top w:val="none" w:sz="0" w:space="0" w:color="auto"/>
        <w:left w:val="none" w:sz="0" w:space="0" w:color="auto"/>
        <w:bottom w:val="none" w:sz="0" w:space="0" w:color="auto"/>
        <w:right w:val="none" w:sz="0" w:space="0" w:color="auto"/>
      </w:divBdr>
    </w:div>
    <w:div w:id="2052001106">
      <w:bodyDiv w:val="1"/>
      <w:marLeft w:val="0"/>
      <w:marRight w:val="0"/>
      <w:marTop w:val="0"/>
      <w:marBottom w:val="0"/>
      <w:divBdr>
        <w:top w:val="none" w:sz="0" w:space="0" w:color="auto"/>
        <w:left w:val="none" w:sz="0" w:space="0" w:color="auto"/>
        <w:bottom w:val="none" w:sz="0" w:space="0" w:color="auto"/>
        <w:right w:val="none" w:sz="0" w:space="0" w:color="auto"/>
      </w:divBdr>
    </w:div>
    <w:div w:id="2052148024">
      <w:bodyDiv w:val="1"/>
      <w:marLeft w:val="0"/>
      <w:marRight w:val="0"/>
      <w:marTop w:val="0"/>
      <w:marBottom w:val="0"/>
      <w:divBdr>
        <w:top w:val="none" w:sz="0" w:space="0" w:color="auto"/>
        <w:left w:val="none" w:sz="0" w:space="0" w:color="auto"/>
        <w:bottom w:val="none" w:sz="0" w:space="0" w:color="auto"/>
        <w:right w:val="none" w:sz="0" w:space="0" w:color="auto"/>
      </w:divBdr>
    </w:div>
    <w:div w:id="2052221729">
      <w:bodyDiv w:val="1"/>
      <w:marLeft w:val="0"/>
      <w:marRight w:val="0"/>
      <w:marTop w:val="0"/>
      <w:marBottom w:val="0"/>
      <w:divBdr>
        <w:top w:val="none" w:sz="0" w:space="0" w:color="auto"/>
        <w:left w:val="none" w:sz="0" w:space="0" w:color="auto"/>
        <w:bottom w:val="none" w:sz="0" w:space="0" w:color="auto"/>
        <w:right w:val="none" w:sz="0" w:space="0" w:color="auto"/>
      </w:divBdr>
    </w:div>
    <w:div w:id="2052221948">
      <w:bodyDiv w:val="1"/>
      <w:marLeft w:val="0"/>
      <w:marRight w:val="0"/>
      <w:marTop w:val="0"/>
      <w:marBottom w:val="0"/>
      <w:divBdr>
        <w:top w:val="none" w:sz="0" w:space="0" w:color="auto"/>
        <w:left w:val="none" w:sz="0" w:space="0" w:color="auto"/>
        <w:bottom w:val="none" w:sz="0" w:space="0" w:color="auto"/>
        <w:right w:val="none" w:sz="0" w:space="0" w:color="auto"/>
      </w:divBdr>
    </w:div>
    <w:div w:id="2052488697">
      <w:bodyDiv w:val="1"/>
      <w:marLeft w:val="0"/>
      <w:marRight w:val="0"/>
      <w:marTop w:val="0"/>
      <w:marBottom w:val="0"/>
      <w:divBdr>
        <w:top w:val="none" w:sz="0" w:space="0" w:color="auto"/>
        <w:left w:val="none" w:sz="0" w:space="0" w:color="auto"/>
        <w:bottom w:val="none" w:sz="0" w:space="0" w:color="auto"/>
        <w:right w:val="none" w:sz="0" w:space="0" w:color="auto"/>
      </w:divBdr>
    </w:div>
    <w:div w:id="2052536836">
      <w:bodyDiv w:val="1"/>
      <w:marLeft w:val="0"/>
      <w:marRight w:val="0"/>
      <w:marTop w:val="0"/>
      <w:marBottom w:val="0"/>
      <w:divBdr>
        <w:top w:val="none" w:sz="0" w:space="0" w:color="auto"/>
        <w:left w:val="none" w:sz="0" w:space="0" w:color="auto"/>
        <w:bottom w:val="none" w:sz="0" w:space="0" w:color="auto"/>
        <w:right w:val="none" w:sz="0" w:space="0" w:color="auto"/>
      </w:divBdr>
    </w:div>
    <w:div w:id="2052726677">
      <w:bodyDiv w:val="1"/>
      <w:marLeft w:val="0"/>
      <w:marRight w:val="0"/>
      <w:marTop w:val="0"/>
      <w:marBottom w:val="0"/>
      <w:divBdr>
        <w:top w:val="none" w:sz="0" w:space="0" w:color="auto"/>
        <w:left w:val="none" w:sz="0" w:space="0" w:color="auto"/>
        <w:bottom w:val="none" w:sz="0" w:space="0" w:color="auto"/>
        <w:right w:val="none" w:sz="0" w:space="0" w:color="auto"/>
      </w:divBdr>
    </w:div>
    <w:div w:id="2052994632">
      <w:bodyDiv w:val="1"/>
      <w:marLeft w:val="0"/>
      <w:marRight w:val="0"/>
      <w:marTop w:val="0"/>
      <w:marBottom w:val="0"/>
      <w:divBdr>
        <w:top w:val="none" w:sz="0" w:space="0" w:color="auto"/>
        <w:left w:val="none" w:sz="0" w:space="0" w:color="auto"/>
        <w:bottom w:val="none" w:sz="0" w:space="0" w:color="auto"/>
        <w:right w:val="none" w:sz="0" w:space="0" w:color="auto"/>
      </w:divBdr>
    </w:div>
    <w:div w:id="2053073647">
      <w:bodyDiv w:val="1"/>
      <w:marLeft w:val="0"/>
      <w:marRight w:val="0"/>
      <w:marTop w:val="0"/>
      <w:marBottom w:val="0"/>
      <w:divBdr>
        <w:top w:val="none" w:sz="0" w:space="0" w:color="auto"/>
        <w:left w:val="none" w:sz="0" w:space="0" w:color="auto"/>
        <w:bottom w:val="none" w:sz="0" w:space="0" w:color="auto"/>
        <w:right w:val="none" w:sz="0" w:space="0" w:color="auto"/>
      </w:divBdr>
    </w:div>
    <w:div w:id="2053113828">
      <w:bodyDiv w:val="1"/>
      <w:marLeft w:val="0"/>
      <w:marRight w:val="0"/>
      <w:marTop w:val="0"/>
      <w:marBottom w:val="0"/>
      <w:divBdr>
        <w:top w:val="none" w:sz="0" w:space="0" w:color="auto"/>
        <w:left w:val="none" w:sz="0" w:space="0" w:color="auto"/>
        <w:bottom w:val="none" w:sz="0" w:space="0" w:color="auto"/>
        <w:right w:val="none" w:sz="0" w:space="0" w:color="auto"/>
      </w:divBdr>
    </w:div>
    <w:div w:id="2053115073">
      <w:bodyDiv w:val="1"/>
      <w:marLeft w:val="0"/>
      <w:marRight w:val="0"/>
      <w:marTop w:val="0"/>
      <w:marBottom w:val="0"/>
      <w:divBdr>
        <w:top w:val="none" w:sz="0" w:space="0" w:color="auto"/>
        <w:left w:val="none" w:sz="0" w:space="0" w:color="auto"/>
        <w:bottom w:val="none" w:sz="0" w:space="0" w:color="auto"/>
        <w:right w:val="none" w:sz="0" w:space="0" w:color="auto"/>
      </w:divBdr>
    </w:div>
    <w:div w:id="2053190124">
      <w:bodyDiv w:val="1"/>
      <w:marLeft w:val="0"/>
      <w:marRight w:val="0"/>
      <w:marTop w:val="0"/>
      <w:marBottom w:val="0"/>
      <w:divBdr>
        <w:top w:val="none" w:sz="0" w:space="0" w:color="auto"/>
        <w:left w:val="none" w:sz="0" w:space="0" w:color="auto"/>
        <w:bottom w:val="none" w:sz="0" w:space="0" w:color="auto"/>
        <w:right w:val="none" w:sz="0" w:space="0" w:color="auto"/>
      </w:divBdr>
    </w:div>
    <w:div w:id="2053385783">
      <w:bodyDiv w:val="1"/>
      <w:marLeft w:val="0"/>
      <w:marRight w:val="0"/>
      <w:marTop w:val="0"/>
      <w:marBottom w:val="0"/>
      <w:divBdr>
        <w:top w:val="none" w:sz="0" w:space="0" w:color="auto"/>
        <w:left w:val="none" w:sz="0" w:space="0" w:color="auto"/>
        <w:bottom w:val="none" w:sz="0" w:space="0" w:color="auto"/>
        <w:right w:val="none" w:sz="0" w:space="0" w:color="auto"/>
      </w:divBdr>
    </w:div>
    <w:div w:id="2053453013">
      <w:bodyDiv w:val="1"/>
      <w:marLeft w:val="0"/>
      <w:marRight w:val="0"/>
      <w:marTop w:val="0"/>
      <w:marBottom w:val="0"/>
      <w:divBdr>
        <w:top w:val="none" w:sz="0" w:space="0" w:color="auto"/>
        <w:left w:val="none" w:sz="0" w:space="0" w:color="auto"/>
        <w:bottom w:val="none" w:sz="0" w:space="0" w:color="auto"/>
        <w:right w:val="none" w:sz="0" w:space="0" w:color="auto"/>
      </w:divBdr>
    </w:div>
    <w:div w:id="2053455447">
      <w:bodyDiv w:val="1"/>
      <w:marLeft w:val="0"/>
      <w:marRight w:val="0"/>
      <w:marTop w:val="0"/>
      <w:marBottom w:val="0"/>
      <w:divBdr>
        <w:top w:val="none" w:sz="0" w:space="0" w:color="auto"/>
        <w:left w:val="none" w:sz="0" w:space="0" w:color="auto"/>
        <w:bottom w:val="none" w:sz="0" w:space="0" w:color="auto"/>
        <w:right w:val="none" w:sz="0" w:space="0" w:color="auto"/>
      </w:divBdr>
    </w:div>
    <w:div w:id="2053460896">
      <w:bodyDiv w:val="1"/>
      <w:marLeft w:val="0"/>
      <w:marRight w:val="0"/>
      <w:marTop w:val="0"/>
      <w:marBottom w:val="0"/>
      <w:divBdr>
        <w:top w:val="none" w:sz="0" w:space="0" w:color="auto"/>
        <w:left w:val="none" w:sz="0" w:space="0" w:color="auto"/>
        <w:bottom w:val="none" w:sz="0" w:space="0" w:color="auto"/>
        <w:right w:val="none" w:sz="0" w:space="0" w:color="auto"/>
      </w:divBdr>
    </w:div>
    <w:div w:id="2053529369">
      <w:bodyDiv w:val="1"/>
      <w:marLeft w:val="0"/>
      <w:marRight w:val="0"/>
      <w:marTop w:val="0"/>
      <w:marBottom w:val="0"/>
      <w:divBdr>
        <w:top w:val="none" w:sz="0" w:space="0" w:color="auto"/>
        <w:left w:val="none" w:sz="0" w:space="0" w:color="auto"/>
        <w:bottom w:val="none" w:sz="0" w:space="0" w:color="auto"/>
        <w:right w:val="none" w:sz="0" w:space="0" w:color="auto"/>
      </w:divBdr>
    </w:div>
    <w:div w:id="2053727814">
      <w:bodyDiv w:val="1"/>
      <w:marLeft w:val="0"/>
      <w:marRight w:val="0"/>
      <w:marTop w:val="0"/>
      <w:marBottom w:val="0"/>
      <w:divBdr>
        <w:top w:val="none" w:sz="0" w:space="0" w:color="auto"/>
        <w:left w:val="none" w:sz="0" w:space="0" w:color="auto"/>
        <w:bottom w:val="none" w:sz="0" w:space="0" w:color="auto"/>
        <w:right w:val="none" w:sz="0" w:space="0" w:color="auto"/>
      </w:divBdr>
    </w:div>
    <w:div w:id="2053772265">
      <w:bodyDiv w:val="1"/>
      <w:marLeft w:val="0"/>
      <w:marRight w:val="0"/>
      <w:marTop w:val="0"/>
      <w:marBottom w:val="0"/>
      <w:divBdr>
        <w:top w:val="none" w:sz="0" w:space="0" w:color="auto"/>
        <w:left w:val="none" w:sz="0" w:space="0" w:color="auto"/>
        <w:bottom w:val="none" w:sz="0" w:space="0" w:color="auto"/>
        <w:right w:val="none" w:sz="0" w:space="0" w:color="auto"/>
      </w:divBdr>
    </w:div>
    <w:div w:id="2053798405">
      <w:bodyDiv w:val="1"/>
      <w:marLeft w:val="0"/>
      <w:marRight w:val="0"/>
      <w:marTop w:val="0"/>
      <w:marBottom w:val="0"/>
      <w:divBdr>
        <w:top w:val="none" w:sz="0" w:space="0" w:color="auto"/>
        <w:left w:val="none" w:sz="0" w:space="0" w:color="auto"/>
        <w:bottom w:val="none" w:sz="0" w:space="0" w:color="auto"/>
        <w:right w:val="none" w:sz="0" w:space="0" w:color="auto"/>
      </w:divBdr>
    </w:div>
    <w:div w:id="2053917039">
      <w:bodyDiv w:val="1"/>
      <w:marLeft w:val="0"/>
      <w:marRight w:val="0"/>
      <w:marTop w:val="0"/>
      <w:marBottom w:val="0"/>
      <w:divBdr>
        <w:top w:val="none" w:sz="0" w:space="0" w:color="auto"/>
        <w:left w:val="none" w:sz="0" w:space="0" w:color="auto"/>
        <w:bottom w:val="none" w:sz="0" w:space="0" w:color="auto"/>
        <w:right w:val="none" w:sz="0" w:space="0" w:color="auto"/>
      </w:divBdr>
    </w:div>
    <w:div w:id="2053919033">
      <w:bodyDiv w:val="1"/>
      <w:marLeft w:val="0"/>
      <w:marRight w:val="0"/>
      <w:marTop w:val="0"/>
      <w:marBottom w:val="0"/>
      <w:divBdr>
        <w:top w:val="none" w:sz="0" w:space="0" w:color="auto"/>
        <w:left w:val="none" w:sz="0" w:space="0" w:color="auto"/>
        <w:bottom w:val="none" w:sz="0" w:space="0" w:color="auto"/>
        <w:right w:val="none" w:sz="0" w:space="0" w:color="auto"/>
      </w:divBdr>
    </w:div>
    <w:div w:id="2053922693">
      <w:bodyDiv w:val="1"/>
      <w:marLeft w:val="0"/>
      <w:marRight w:val="0"/>
      <w:marTop w:val="0"/>
      <w:marBottom w:val="0"/>
      <w:divBdr>
        <w:top w:val="none" w:sz="0" w:space="0" w:color="auto"/>
        <w:left w:val="none" w:sz="0" w:space="0" w:color="auto"/>
        <w:bottom w:val="none" w:sz="0" w:space="0" w:color="auto"/>
        <w:right w:val="none" w:sz="0" w:space="0" w:color="auto"/>
      </w:divBdr>
    </w:div>
    <w:div w:id="2054032977">
      <w:bodyDiv w:val="1"/>
      <w:marLeft w:val="0"/>
      <w:marRight w:val="0"/>
      <w:marTop w:val="0"/>
      <w:marBottom w:val="0"/>
      <w:divBdr>
        <w:top w:val="none" w:sz="0" w:space="0" w:color="auto"/>
        <w:left w:val="none" w:sz="0" w:space="0" w:color="auto"/>
        <w:bottom w:val="none" w:sz="0" w:space="0" w:color="auto"/>
        <w:right w:val="none" w:sz="0" w:space="0" w:color="auto"/>
      </w:divBdr>
    </w:div>
    <w:div w:id="2054037405">
      <w:bodyDiv w:val="1"/>
      <w:marLeft w:val="0"/>
      <w:marRight w:val="0"/>
      <w:marTop w:val="0"/>
      <w:marBottom w:val="0"/>
      <w:divBdr>
        <w:top w:val="none" w:sz="0" w:space="0" w:color="auto"/>
        <w:left w:val="none" w:sz="0" w:space="0" w:color="auto"/>
        <w:bottom w:val="none" w:sz="0" w:space="0" w:color="auto"/>
        <w:right w:val="none" w:sz="0" w:space="0" w:color="auto"/>
      </w:divBdr>
    </w:div>
    <w:div w:id="2054454402">
      <w:bodyDiv w:val="1"/>
      <w:marLeft w:val="0"/>
      <w:marRight w:val="0"/>
      <w:marTop w:val="0"/>
      <w:marBottom w:val="0"/>
      <w:divBdr>
        <w:top w:val="none" w:sz="0" w:space="0" w:color="auto"/>
        <w:left w:val="none" w:sz="0" w:space="0" w:color="auto"/>
        <w:bottom w:val="none" w:sz="0" w:space="0" w:color="auto"/>
        <w:right w:val="none" w:sz="0" w:space="0" w:color="auto"/>
      </w:divBdr>
    </w:div>
    <w:div w:id="2054690532">
      <w:bodyDiv w:val="1"/>
      <w:marLeft w:val="0"/>
      <w:marRight w:val="0"/>
      <w:marTop w:val="0"/>
      <w:marBottom w:val="0"/>
      <w:divBdr>
        <w:top w:val="none" w:sz="0" w:space="0" w:color="auto"/>
        <w:left w:val="none" w:sz="0" w:space="0" w:color="auto"/>
        <w:bottom w:val="none" w:sz="0" w:space="0" w:color="auto"/>
        <w:right w:val="none" w:sz="0" w:space="0" w:color="auto"/>
      </w:divBdr>
    </w:div>
    <w:div w:id="2054692171">
      <w:bodyDiv w:val="1"/>
      <w:marLeft w:val="0"/>
      <w:marRight w:val="0"/>
      <w:marTop w:val="0"/>
      <w:marBottom w:val="0"/>
      <w:divBdr>
        <w:top w:val="none" w:sz="0" w:space="0" w:color="auto"/>
        <w:left w:val="none" w:sz="0" w:space="0" w:color="auto"/>
        <w:bottom w:val="none" w:sz="0" w:space="0" w:color="auto"/>
        <w:right w:val="none" w:sz="0" w:space="0" w:color="auto"/>
      </w:divBdr>
    </w:div>
    <w:div w:id="2054696515">
      <w:bodyDiv w:val="1"/>
      <w:marLeft w:val="0"/>
      <w:marRight w:val="0"/>
      <w:marTop w:val="0"/>
      <w:marBottom w:val="0"/>
      <w:divBdr>
        <w:top w:val="none" w:sz="0" w:space="0" w:color="auto"/>
        <w:left w:val="none" w:sz="0" w:space="0" w:color="auto"/>
        <w:bottom w:val="none" w:sz="0" w:space="0" w:color="auto"/>
        <w:right w:val="none" w:sz="0" w:space="0" w:color="auto"/>
      </w:divBdr>
    </w:div>
    <w:div w:id="2054763739">
      <w:bodyDiv w:val="1"/>
      <w:marLeft w:val="0"/>
      <w:marRight w:val="0"/>
      <w:marTop w:val="0"/>
      <w:marBottom w:val="0"/>
      <w:divBdr>
        <w:top w:val="none" w:sz="0" w:space="0" w:color="auto"/>
        <w:left w:val="none" w:sz="0" w:space="0" w:color="auto"/>
        <w:bottom w:val="none" w:sz="0" w:space="0" w:color="auto"/>
        <w:right w:val="none" w:sz="0" w:space="0" w:color="auto"/>
      </w:divBdr>
    </w:div>
    <w:div w:id="2054766318">
      <w:bodyDiv w:val="1"/>
      <w:marLeft w:val="0"/>
      <w:marRight w:val="0"/>
      <w:marTop w:val="0"/>
      <w:marBottom w:val="0"/>
      <w:divBdr>
        <w:top w:val="none" w:sz="0" w:space="0" w:color="auto"/>
        <w:left w:val="none" w:sz="0" w:space="0" w:color="auto"/>
        <w:bottom w:val="none" w:sz="0" w:space="0" w:color="auto"/>
        <w:right w:val="none" w:sz="0" w:space="0" w:color="auto"/>
      </w:divBdr>
    </w:div>
    <w:div w:id="2055110254">
      <w:bodyDiv w:val="1"/>
      <w:marLeft w:val="0"/>
      <w:marRight w:val="0"/>
      <w:marTop w:val="0"/>
      <w:marBottom w:val="0"/>
      <w:divBdr>
        <w:top w:val="none" w:sz="0" w:space="0" w:color="auto"/>
        <w:left w:val="none" w:sz="0" w:space="0" w:color="auto"/>
        <w:bottom w:val="none" w:sz="0" w:space="0" w:color="auto"/>
        <w:right w:val="none" w:sz="0" w:space="0" w:color="auto"/>
      </w:divBdr>
    </w:div>
    <w:div w:id="2055150314">
      <w:bodyDiv w:val="1"/>
      <w:marLeft w:val="0"/>
      <w:marRight w:val="0"/>
      <w:marTop w:val="0"/>
      <w:marBottom w:val="0"/>
      <w:divBdr>
        <w:top w:val="none" w:sz="0" w:space="0" w:color="auto"/>
        <w:left w:val="none" w:sz="0" w:space="0" w:color="auto"/>
        <w:bottom w:val="none" w:sz="0" w:space="0" w:color="auto"/>
        <w:right w:val="none" w:sz="0" w:space="0" w:color="auto"/>
      </w:divBdr>
    </w:div>
    <w:div w:id="2055347225">
      <w:bodyDiv w:val="1"/>
      <w:marLeft w:val="0"/>
      <w:marRight w:val="0"/>
      <w:marTop w:val="0"/>
      <w:marBottom w:val="0"/>
      <w:divBdr>
        <w:top w:val="none" w:sz="0" w:space="0" w:color="auto"/>
        <w:left w:val="none" w:sz="0" w:space="0" w:color="auto"/>
        <w:bottom w:val="none" w:sz="0" w:space="0" w:color="auto"/>
        <w:right w:val="none" w:sz="0" w:space="0" w:color="auto"/>
      </w:divBdr>
    </w:div>
    <w:div w:id="2055424369">
      <w:bodyDiv w:val="1"/>
      <w:marLeft w:val="0"/>
      <w:marRight w:val="0"/>
      <w:marTop w:val="0"/>
      <w:marBottom w:val="0"/>
      <w:divBdr>
        <w:top w:val="none" w:sz="0" w:space="0" w:color="auto"/>
        <w:left w:val="none" w:sz="0" w:space="0" w:color="auto"/>
        <w:bottom w:val="none" w:sz="0" w:space="0" w:color="auto"/>
        <w:right w:val="none" w:sz="0" w:space="0" w:color="auto"/>
      </w:divBdr>
    </w:div>
    <w:div w:id="2055500208">
      <w:bodyDiv w:val="1"/>
      <w:marLeft w:val="0"/>
      <w:marRight w:val="0"/>
      <w:marTop w:val="0"/>
      <w:marBottom w:val="0"/>
      <w:divBdr>
        <w:top w:val="none" w:sz="0" w:space="0" w:color="auto"/>
        <w:left w:val="none" w:sz="0" w:space="0" w:color="auto"/>
        <w:bottom w:val="none" w:sz="0" w:space="0" w:color="auto"/>
        <w:right w:val="none" w:sz="0" w:space="0" w:color="auto"/>
      </w:divBdr>
    </w:div>
    <w:div w:id="2055537811">
      <w:bodyDiv w:val="1"/>
      <w:marLeft w:val="0"/>
      <w:marRight w:val="0"/>
      <w:marTop w:val="0"/>
      <w:marBottom w:val="0"/>
      <w:divBdr>
        <w:top w:val="none" w:sz="0" w:space="0" w:color="auto"/>
        <w:left w:val="none" w:sz="0" w:space="0" w:color="auto"/>
        <w:bottom w:val="none" w:sz="0" w:space="0" w:color="auto"/>
        <w:right w:val="none" w:sz="0" w:space="0" w:color="auto"/>
      </w:divBdr>
    </w:div>
    <w:div w:id="2055617431">
      <w:bodyDiv w:val="1"/>
      <w:marLeft w:val="0"/>
      <w:marRight w:val="0"/>
      <w:marTop w:val="0"/>
      <w:marBottom w:val="0"/>
      <w:divBdr>
        <w:top w:val="none" w:sz="0" w:space="0" w:color="auto"/>
        <w:left w:val="none" w:sz="0" w:space="0" w:color="auto"/>
        <w:bottom w:val="none" w:sz="0" w:space="0" w:color="auto"/>
        <w:right w:val="none" w:sz="0" w:space="0" w:color="auto"/>
      </w:divBdr>
    </w:div>
    <w:div w:id="2055696349">
      <w:bodyDiv w:val="1"/>
      <w:marLeft w:val="0"/>
      <w:marRight w:val="0"/>
      <w:marTop w:val="0"/>
      <w:marBottom w:val="0"/>
      <w:divBdr>
        <w:top w:val="none" w:sz="0" w:space="0" w:color="auto"/>
        <w:left w:val="none" w:sz="0" w:space="0" w:color="auto"/>
        <w:bottom w:val="none" w:sz="0" w:space="0" w:color="auto"/>
        <w:right w:val="none" w:sz="0" w:space="0" w:color="auto"/>
      </w:divBdr>
    </w:div>
    <w:div w:id="2055733611">
      <w:bodyDiv w:val="1"/>
      <w:marLeft w:val="0"/>
      <w:marRight w:val="0"/>
      <w:marTop w:val="0"/>
      <w:marBottom w:val="0"/>
      <w:divBdr>
        <w:top w:val="none" w:sz="0" w:space="0" w:color="auto"/>
        <w:left w:val="none" w:sz="0" w:space="0" w:color="auto"/>
        <w:bottom w:val="none" w:sz="0" w:space="0" w:color="auto"/>
        <w:right w:val="none" w:sz="0" w:space="0" w:color="auto"/>
      </w:divBdr>
    </w:div>
    <w:div w:id="2055957806">
      <w:bodyDiv w:val="1"/>
      <w:marLeft w:val="0"/>
      <w:marRight w:val="0"/>
      <w:marTop w:val="0"/>
      <w:marBottom w:val="0"/>
      <w:divBdr>
        <w:top w:val="none" w:sz="0" w:space="0" w:color="auto"/>
        <w:left w:val="none" w:sz="0" w:space="0" w:color="auto"/>
        <w:bottom w:val="none" w:sz="0" w:space="0" w:color="auto"/>
        <w:right w:val="none" w:sz="0" w:space="0" w:color="auto"/>
      </w:divBdr>
    </w:div>
    <w:div w:id="2055960274">
      <w:bodyDiv w:val="1"/>
      <w:marLeft w:val="0"/>
      <w:marRight w:val="0"/>
      <w:marTop w:val="0"/>
      <w:marBottom w:val="0"/>
      <w:divBdr>
        <w:top w:val="none" w:sz="0" w:space="0" w:color="auto"/>
        <w:left w:val="none" w:sz="0" w:space="0" w:color="auto"/>
        <w:bottom w:val="none" w:sz="0" w:space="0" w:color="auto"/>
        <w:right w:val="none" w:sz="0" w:space="0" w:color="auto"/>
      </w:divBdr>
    </w:div>
    <w:div w:id="2055999323">
      <w:bodyDiv w:val="1"/>
      <w:marLeft w:val="0"/>
      <w:marRight w:val="0"/>
      <w:marTop w:val="0"/>
      <w:marBottom w:val="0"/>
      <w:divBdr>
        <w:top w:val="none" w:sz="0" w:space="0" w:color="auto"/>
        <w:left w:val="none" w:sz="0" w:space="0" w:color="auto"/>
        <w:bottom w:val="none" w:sz="0" w:space="0" w:color="auto"/>
        <w:right w:val="none" w:sz="0" w:space="0" w:color="auto"/>
      </w:divBdr>
    </w:div>
    <w:div w:id="2056078958">
      <w:bodyDiv w:val="1"/>
      <w:marLeft w:val="0"/>
      <w:marRight w:val="0"/>
      <w:marTop w:val="0"/>
      <w:marBottom w:val="0"/>
      <w:divBdr>
        <w:top w:val="none" w:sz="0" w:space="0" w:color="auto"/>
        <w:left w:val="none" w:sz="0" w:space="0" w:color="auto"/>
        <w:bottom w:val="none" w:sz="0" w:space="0" w:color="auto"/>
        <w:right w:val="none" w:sz="0" w:space="0" w:color="auto"/>
      </w:divBdr>
    </w:div>
    <w:div w:id="2056080864">
      <w:bodyDiv w:val="1"/>
      <w:marLeft w:val="0"/>
      <w:marRight w:val="0"/>
      <w:marTop w:val="0"/>
      <w:marBottom w:val="0"/>
      <w:divBdr>
        <w:top w:val="none" w:sz="0" w:space="0" w:color="auto"/>
        <w:left w:val="none" w:sz="0" w:space="0" w:color="auto"/>
        <w:bottom w:val="none" w:sz="0" w:space="0" w:color="auto"/>
        <w:right w:val="none" w:sz="0" w:space="0" w:color="auto"/>
      </w:divBdr>
    </w:div>
    <w:div w:id="2056193240">
      <w:bodyDiv w:val="1"/>
      <w:marLeft w:val="0"/>
      <w:marRight w:val="0"/>
      <w:marTop w:val="0"/>
      <w:marBottom w:val="0"/>
      <w:divBdr>
        <w:top w:val="none" w:sz="0" w:space="0" w:color="auto"/>
        <w:left w:val="none" w:sz="0" w:space="0" w:color="auto"/>
        <w:bottom w:val="none" w:sz="0" w:space="0" w:color="auto"/>
        <w:right w:val="none" w:sz="0" w:space="0" w:color="auto"/>
      </w:divBdr>
    </w:div>
    <w:div w:id="2056195601">
      <w:bodyDiv w:val="1"/>
      <w:marLeft w:val="0"/>
      <w:marRight w:val="0"/>
      <w:marTop w:val="0"/>
      <w:marBottom w:val="0"/>
      <w:divBdr>
        <w:top w:val="none" w:sz="0" w:space="0" w:color="auto"/>
        <w:left w:val="none" w:sz="0" w:space="0" w:color="auto"/>
        <w:bottom w:val="none" w:sz="0" w:space="0" w:color="auto"/>
        <w:right w:val="none" w:sz="0" w:space="0" w:color="auto"/>
      </w:divBdr>
    </w:div>
    <w:div w:id="2056275160">
      <w:bodyDiv w:val="1"/>
      <w:marLeft w:val="0"/>
      <w:marRight w:val="0"/>
      <w:marTop w:val="0"/>
      <w:marBottom w:val="0"/>
      <w:divBdr>
        <w:top w:val="none" w:sz="0" w:space="0" w:color="auto"/>
        <w:left w:val="none" w:sz="0" w:space="0" w:color="auto"/>
        <w:bottom w:val="none" w:sz="0" w:space="0" w:color="auto"/>
        <w:right w:val="none" w:sz="0" w:space="0" w:color="auto"/>
      </w:divBdr>
    </w:div>
    <w:div w:id="2056352089">
      <w:bodyDiv w:val="1"/>
      <w:marLeft w:val="0"/>
      <w:marRight w:val="0"/>
      <w:marTop w:val="0"/>
      <w:marBottom w:val="0"/>
      <w:divBdr>
        <w:top w:val="none" w:sz="0" w:space="0" w:color="auto"/>
        <w:left w:val="none" w:sz="0" w:space="0" w:color="auto"/>
        <w:bottom w:val="none" w:sz="0" w:space="0" w:color="auto"/>
        <w:right w:val="none" w:sz="0" w:space="0" w:color="auto"/>
      </w:divBdr>
    </w:div>
    <w:div w:id="2056461749">
      <w:bodyDiv w:val="1"/>
      <w:marLeft w:val="0"/>
      <w:marRight w:val="0"/>
      <w:marTop w:val="0"/>
      <w:marBottom w:val="0"/>
      <w:divBdr>
        <w:top w:val="none" w:sz="0" w:space="0" w:color="auto"/>
        <w:left w:val="none" w:sz="0" w:space="0" w:color="auto"/>
        <w:bottom w:val="none" w:sz="0" w:space="0" w:color="auto"/>
        <w:right w:val="none" w:sz="0" w:space="0" w:color="auto"/>
      </w:divBdr>
    </w:div>
    <w:div w:id="2056539001">
      <w:bodyDiv w:val="1"/>
      <w:marLeft w:val="0"/>
      <w:marRight w:val="0"/>
      <w:marTop w:val="0"/>
      <w:marBottom w:val="0"/>
      <w:divBdr>
        <w:top w:val="none" w:sz="0" w:space="0" w:color="auto"/>
        <w:left w:val="none" w:sz="0" w:space="0" w:color="auto"/>
        <w:bottom w:val="none" w:sz="0" w:space="0" w:color="auto"/>
        <w:right w:val="none" w:sz="0" w:space="0" w:color="auto"/>
      </w:divBdr>
    </w:div>
    <w:div w:id="2056541231">
      <w:bodyDiv w:val="1"/>
      <w:marLeft w:val="0"/>
      <w:marRight w:val="0"/>
      <w:marTop w:val="0"/>
      <w:marBottom w:val="0"/>
      <w:divBdr>
        <w:top w:val="none" w:sz="0" w:space="0" w:color="auto"/>
        <w:left w:val="none" w:sz="0" w:space="0" w:color="auto"/>
        <w:bottom w:val="none" w:sz="0" w:space="0" w:color="auto"/>
        <w:right w:val="none" w:sz="0" w:space="0" w:color="auto"/>
      </w:divBdr>
    </w:div>
    <w:div w:id="2056585419">
      <w:bodyDiv w:val="1"/>
      <w:marLeft w:val="0"/>
      <w:marRight w:val="0"/>
      <w:marTop w:val="0"/>
      <w:marBottom w:val="0"/>
      <w:divBdr>
        <w:top w:val="none" w:sz="0" w:space="0" w:color="auto"/>
        <w:left w:val="none" w:sz="0" w:space="0" w:color="auto"/>
        <w:bottom w:val="none" w:sz="0" w:space="0" w:color="auto"/>
        <w:right w:val="none" w:sz="0" w:space="0" w:color="auto"/>
      </w:divBdr>
    </w:div>
    <w:div w:id="2056587744">
      <w:bodyDiv w:val="1"/>
      <w:marLeft w:val="0"/>
      <w:marRight w:val="0"/>
      <w:marTop w:val="0"/>
      <w:marBottom w:val="0"/>
      <w:divBdr>
        <w:top w:val="none" w:sz="0" w:space="0" w:color="auto"/>
        <w:left w:val="none" w:sz="0" w:space="0" w:color="auto"/>
        <w:bottom w:val="none" w:sz="0" w:space="0" w:color="auto"/>
        <w:right w:val="none" w:sz="0" w:space="0" w:color="auto"/>
      </w:divBdr>
    </w:div>
    <w:div w:id="2056663441">
      <w:bodyDiv w:val="1"/>
      <w:marLeft w:val="0"/>
      <w:marRight w:val="0"/>
      <w:marTop w:val="0"/>
      <w:marBottom w:val="0"/>
      <w:divBdr>
        <w:top w:val="none" w:sz="0" w:space="0" w:color="auto"/>
        <w:left w:val="none" w:sz="0" w:space="0" w:color="auto"/>
        <w:bottom w:val="none" w:sz="0" w:space="0" w:color="auto"/>
        <w:right w:val="none" w:sz="0" w:space="0" w:color="auto"/>
      </w:divBdr>
    </w:div>
    <w:div w:id="2056805595">
      <w:bodyDiv w:val="1"/>
      <w:marLeft w:val="0"/>
      <w:marRight w:val="0"/>
      <w:marTop w:val="0"/>
      <w:marBottom w:val="0"/>
      <w:divBdr>
        <w:top w:val="none" w:sz="0" w:space="0" w:color="auto"/>
        <w:left w:val="none" w:sz="0" w:space="0" w:color="auto"/>
        <w:bottom w:val="none" w:sz="0" w:space="0" w:color="auto"/>
        <w:right w:val="none" w:sz="0" w:space="0" w:color="auto"/>
      </w:divBdr>
    </w:div>
    <w:div w:id="2056814367">
      <w:bodyDiv w:val="1"/>
      <w:marLeft w:val="0"/>
      <w:marRight w:val="0"/>
      <w:marTop w:val="0"/>
      <w:marBottom w:val="0"/>
      <w:divBdr>
        <w:top w:val="none" w:sz="0" w:space="0" w:color="auto"/>
        <w:left w:val="none" w:sz="0" w:space="0" w:color="auto"/>
        <w:bottom w:val="none" w:sz="0" w:space="0" w:color="auto"/>
        <w:right w:val="none" w:sz="0" w:space="0" w:color="auto"/>
      </w:divBdr>
    </w:div>
    <w:div w:id="2056998763">
      <w:bodyDiv w:val="1"/>
      <w:marLeft w:val="0"/>
      <w:marRight w:val="0"/>
      <w:marTop w:val="0"/>
      <w:marBottom w:val="0"/>
      <w:divBdr>
        <w:top w:val="none" w:sz="0" w:space="0" w:color="auto"/>
        <w:left w:val="none" w:sz="0" w:space="0" w:color="auto"/>
        <w:bottom w:val="none" w:sz="0" w:space="0" w:color="auto"/>
        <w:right w:val="none" w:sz="0" w:space="0" w:color="auto"/>
      </w:divBdr>
    </w:div>
    <w:div w:id="2057125206">
      <w:bodyDiv w:val="1"/>
      <w:marLeft w:val="0"/>
      <w:marRight w:val="0"/>
      <w:marTop w:val="0"/>
      <w:marBottom w:val="0"/>
      <w:divBdr>
        <w:top w:val="none" w:sz="0" w:space="0" w:color="auto"/>
        <w:left w:val="none" w:sz="0" w:space="0" w:color="auto"/>
        <w:bottom w:val="none" w:sz="0" w:space="0" w:color="auto"/>
        <w:right w:val="none" w:sz="0" w:space="0" w:color="auto"/>
      </w:divBdr>
    </w:div>
    <w:div w:id="2057200715">
      <w:bodyDiv w:val="1"/>
      <w:marLeft w:val="0"/>
      <w:marRight w:val="0"/>
      <w:marTop w:val="0"/>
      <w:marBottom w:val="0"/>
      <w:divBdr>
        <w:top w:val="none" w:sz="0" w:space="0" w:color="auto"/>
        <w:left w:val="none" w:sz="0" w:space="0" w:color="auto"/>
        <w:bottom w:val="none" w:sz="0" w:space="0" w:color="auto"/>
        <w:right w:val="none" w:sz="0" w:space="0" w:color="auto"/>
      </w:divBdr>
    </w:div>
    <w:div w:id="2057269786">
      <w:bodyDiv w:val="1"/>
      <w:marLeft w:val="0"/>
      <w:marRight w:val="0"/>
      <w:marTop w:val="0"/>
      <w:marBottom w:val="0"/>
      <w:divBdr>
        <w:top w:val="none" w:sz="0" w:space="0" w:color="auto"/>
        <w:left w:val="none" w:sz="0" w:space="0" w:color="auto"/>
        <w:bottom w:val="none" w:sz="0" w:space="0" w:color="auto"/>
        <w:right w:val="none" w:sz="0" w:space="0" w:color="auto"/>
      </w:divBdr>
    </w:div>
    <w:div w:id="2057311877">
      <w:bodyDiv w:val="1"/>
      <w:marLeft w:val="0"/>
      <w:marRight w:val="0"/>
      <w:marTop w:val="0"/>
      <w:marBottom w:val="0"/>
      <w:divBdr>
        <w:top w:val="none" w:sz="0" w:space="0" w:color="auto"/>
        <w:left w:val="none" w:sz="0" w:space="0" w:color="auto"/>
        <w:bottom w:val="none" w:sz="0" w:space="0" w:color="auto"/>
        <w:right w:val="none" w:sz="0" w:space="0" w:color="auto"/>
      </w:divBdr>
    </w:div>
    <w:div w:id="2057318642">
      <w:bodyDiv w:val="1"/>
      <w:marLeft w:val="0"/>
      <w:marRight w:val="0"/>
      <w:marTop w:val="0"/>
      <w:marBottom w:val="0"/>
      <w:divBdr>
        <w:top w:val="none" w:sz="0" w:space="0" w:color="auto"/>
        <w:left w:val="none" w:sz="0" w:space="0" w:color="auto"/>
        <w:bottom w:val="none" w:sz="0" w:space="0" w:color="auto"/>
        <w:right w:val="none" w:sz="0" w:space="0" w:color="auto"/>
      </w:divBdr>
    </w:div>
    <w:div w:id="2057461918">
      <w:bodyDiv w:val="1"/>
      <w:marLeft w:val="0"/>
      <w:marRight w:val="0"/>
      <w:marTop w:val="0"/>
      <w:marBottom w:val="0"/>
      <w:divBdr>
        <w:top w:val="none" w:sz="0" w:space="0" w:color="auto"/>
        <w:left w:val="none" w:sz="0" w:space="0" w:color="auto"/>
        <w:bottom w:val="none" w:sz="0" w:space="0" w:color="auto"/>
        <w:right w:val="none" w:sz="0" w:space="0" w:color="auto"/>
      </w:divBdr>
    </w:div>
    <w:div w:id="2057509184">
      <w:bodyDiv w:val="1"/>
      <w:marLeft w:val="0"/>
      <w:marRight w:val="0"/>
      <w:marTop w:val="0"/>
      <w:marBottom w:val="0"/>
      <w:divBdr>
        <w:top w:val="none" w:sz="0" w:space="0" w:color="auto"/>
        <w:left w:val="none" w:sz="0" w:space="0" w:color="auto"/>
        <w:bottom w:val="none" w:sz="0" w:space="0" w:color="auto"/>
        <w:right w:val="none" w:sz="0" w:space="0" w:color="auto"/>
      </w:divBdr>
    </w:div>
    <w:div w:id="2057660314">
      <w:bodyDiv w:val="1"/>
      <w:marLeft w:val="0"/>
      <w:marRight w:val="0"/>
      <w:marTop w:val="0"/>
      <w:marBottom w:val="0"/>
      <w:divBdr>
        <w:top w:val="none" w:sz="0" w:space="0" w:color="auto"/>
        <w:left w:val="none" w:sz="0" w:space="0" w:color="auto"/>
        <w:bottom w:val="none" w:sz="0" w:space="0" w:color="auto"/>
        <w:right w:val="none" w:sz="0" w:space="0" w:color="auto"/>
      </w:divBdr>
    </w:div>
    <w:div w:id="2057703497">
      <w:bodyDiv w:val="1"/>
      <w:marLeft w:val="0"/>
      <w:marRight w:val="0"/>
      <w:marTop w:val="0"/>
      <w:marBottom w:val="0"/>
      <w:divBdr>
        <w:top w:val="none" w:sz="0" w:space="0" w:color="auto"/>
        <w:left w:val="none" w:sz="0" w:space="0" w:color="auto"/>
        <w:bottom w:val="none" w:sz="0" w:space="0" w:color="auto"/>
        <w:right w:val="none" w:sz="0" w:space="0" w:color="auto"/>
      </w:divBdr>
    </w:div>
    <w:div w:id="2057847497">
      <w:bodyDiv w:val="1"/>
      <w:marLeft w:val="0"/>
      <w:marRight w:val="0"/>
      <w:marTop w:val="0"/>
      <w:marBottom w:val="0"/>
      <w:divBdr>
        <w:top w:val="none" w:sz="0" w:space="0" w:color="auto"/>
        <w:left w:val="none" w:sz="0" w:space="0" w:color="auto"/>
        <w:bottom w:val="none" w:sz="0" w:space="0" w:color="auto"/>
        <w:right w:val="none" w:sz="0" w:space="0" w:color="auto"/>
      </w:divBdr>
    </w:div>
    <w:div w:id="2057851908">
      <w:bodyDiv w:val="1"/>
      <w:marLeft w:val="0"/>
      <w:marRight w:val="0"/>
      <w:marTop w:val="0"/>
      <w:marBottom w:val="0"/>
      <w:divBdr>
        <w:top w:val="none" w:sz="0" w:space="0" w:color="auto"/>
        <w:left w:val="none" w:sz="0" w:space="0" w:color="auto"/>
        <w:bottom w:val="none" w:sz="0" w:space="0" w:color="auto"/>
        <w:right w:val="none" w:sz="0" w:space="0" w:color="auto"/>
      </w:divBdr>
    </w:div>
    <w:div w:id="2057966439">
      <w:bodyDiv w:val="1"/>
      <w:marLeft w:val="0"/>
      <w:marRight w:val="0"/>
      <w:marTop w:val="0"/>
      <w:marBottom w:val="0"/>
      <w:divBdr>
        <w:top w:val="none" w:sz="0" w:space="0" w:color="auto"/>
        <w:left w:val="none" w:sz="0" w:space="0" w:color="auto"/>
        <w:bottom w:val="none" w:sz="0" w:space="0" w:color="auto"/>
        <w:right w:val="none" w:sz="0" w:space="0" w:color="auto"/>
      </w:divBdr>
    </w:div>
    <w:div w:id="2057971377">
      <w:bodyDiv w:val="1"/>
      <w:marLeft w:val="0"/>
      <w:marRight w:val="0"/>
      <w:marTop w:val="0"/>
      <w:marBottom w:val="0"/>
      <w:divBdr>
        <w:top w:val="none" w:sz="0" w:space="0" w:color="auto"/>
        <w:left w:val="none" w:sz="0" w:space="0" w:color="auto"/>
        <w:bottom w:val="none" w:sz="0" w:space="0" w:color="auto"/>
        <w:right w:val="none" w:sz="0" w:space="0" w:color="auto"/>
      </w:divBdr>
    </w:div>
    <w:div w:id="2058049142">
      <w:bodyDiv w:val="1"/>
      <w:marLeft w:val="0"/>
      <w:marRight w:val="0"/>
      <w:marTop w:val="0"/>
      <w:marBottom w:val="0"/>
      <w:divBdr>
        <w:top w:val="none" w:sz="0" w:space="0" w:color="auto"/>
        <w:left w:val="none" w:sz="0" w:space="0" w:color="auto"/>
        <w:bottom w:val="none" w:sz="0" w:space="0" w:color="auto"/>
        <w:right w:val="none" w:sz="0" w:space="0" w:color="auto"/>
      </w:divBdr>
    </w:div>
    <w:div w:id="2058123345">
      <w:bodyDiv w:val="1"/>
      <w:marLeft w:val="0"/>
      <w:marRight w:val="0"/>
      <w:marTop w:val="0"/>
      <w:marBottom w:val="0"/>
      <w:divBdr>
        <w:top w:val="none" w:sz="0" w:space="0" w:color="auto"/>
        <w:left w:val="none" w:sz="0" w:space="0" w:color="auto"/>
        <w:bottom w:val="none" w:sz="0" w:space="0" w:color="auto"/>
        <w:right w:val="none" w:sz="0" w:space="0" w:color="auto"/>
      </w:divBdr>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
    <w:div w:id="2058429315">
      <w:bodyDiv w:val="1"/>
      <w:marLeft w:val="0"/>
      <w:marRight w:val="0"/>
      <w:marTop w:val="0"/>
      <w:marBottom w:val="0"/>
      <w:divBdr>
        <w:top w:val="none" w:sz="0" w:space="0" w:color="auto"/>
        <w:left w:val="none" w:sz="0" w:space="0" w:color="auto"/>
        <w:bottom w:val="none" w:sz="0" w:space="0" w:color="auto"/>
        <w:right w:val="none" w:sz="0" w:space="0" w:color="auto"/>
      </w:divBdr>
    </w:div>
    <w:div w:id="2058502461">
      <w:bodyDiv w:val="1"/>
      <w:marLeft w:val="0"/>
      <w:marRight w:val="0"/>
      <w:marTop w:val="0"/>
      <w:marBottom w:val="0"/>
      <w:divBdr>
        <w:top w:val="none" w:sz="0" w:space="0" w:color="auto"/>
        <w:left w:val="none" w:sz="0" w:space="0" w:color="auto"/>
        <w:bottom w:val="none" w:sz="0" w:space="0" w:color="auto"/>
        <w:right w:val="none" w:sz="0" w:space="0" w:color="auto"/>
      </w:divBdr>
    </w:div>
    <w:div w:id="2058502730">
      <w:bodyDiv w:val="1"/>
      <w:marLeft w:val="0"/>
      <w:marRight w:val="0"/>
      <w:marTop w:val="0"/>
      <w:marBottom w:val="0"/>
      <w:divBdr>
        <w:top w:val="none" w:sz="0" w:space="0" w:color="auto"/>
        <w:left w:val="none" w:sz="0" w:space="0" w:color="auto"/>
        <w:bottom w:val="none" w:sz="0" w:space="0" w:color="auto"/>
        <w:right w:val="none" w:sz="0" w:space="0" w:color="auto"/>
      </w:divBdr>
    </w:div>
    <w:div w:id="2058583297">
      <w:bodyDiv w:val="1"/>
      <w:marLeft w:val="0"/>
      <w:marRight w:val="0"/>
      <w:marTop w:val="0"/>
      <w:marBottom w:val="0"/>
      <w:divBdr>
        <w:top w:val="none" w:sz="0" w:space="0" w:color="auto"/>
        <w:left w:val="none" w:sz="0" w:space="0" w:color="auto"/>
        <w:bottom w:val="none" w:sz="0" w:space="0" w:color="auto"/>
        <w:right w:val="none" w:sz="0" w:space="0" w:color="auto"/>
      </w:divBdr>
    </w:div>
    <w:div w:id="2058774550">
      <w:bodyDiv w:val="1"/>
      <w:marLeft w:val="0"/>
      <w:marRight w:val="0"/>
      <w:marTop w:val="0"/>
      <w:marBottom w:val="0"/>
      <w:divBdr>
        <w:top w:val="none" w:sz="0" w:space="0" w:color="auto"/>
        <w:left w:val="none" w:sz="0" w:space="0" w:color="auto"/>
        <w:bottom w:val="none" w:sz="0" w:space="0" w:color="auto"/>
        <w:right w:val="none" w:sz="0" w:space="0" w:color="auto"/>
      </w:divBdr>
    </w:div>
    <w:div w:id="2058816916">
      <w:bodyDiv w:val="1"/>
      <w:marLeft w:val="0"/>
      <w:marRight w:val="0"/>
      <w:marTop w:val="0"/>
      <w:marBottom w:val="0"/>
      <w:divBdr>
        <w:top w:val="none" w:sz="0" w:space="0" w:color="auto"/>
        <w:left w:val="none" w:sz="0" w:space="0" w:color="auto"/>
        <w:bottom w:val="none" w:sz="0" w:space="0" w:color="auto"/>
        <w:right w:val="none" w:sz="0" w:space="0" w:color="auto"/>
      </w:divBdr>
    </w:div>
    <w:div w:id="2058817967">
      <w:bodyDiv w:val="1"/>
      <w:marLeft w:val="0"/>
      <w:marRight w:val="0"/>
      <w:marTop w:val="0"/>
      <w:marBottom w:val="0"/>
      <w:divBdr>
        <w:top w:val="none" w:sz="0" w:space="0" w:color="auto"/>
        <w:left w:val="none" w:sz="0" w:space="0" w:color="auto"/>
        <w:bottom w:val="none" w:sz="0" w:space="0" w:color="auto"/>
        <w:right w:val="none" w:sz="0" w:space="0" w:color="auto"/>
      </w:divBdr>
    </w:div>
    <w:div w:id="2058964868">
      <w:bodyDiv w:val="1"/>
      <w:marLeft w:val="0"/>
      <w:marRight w:val="0"/>
      <w:marTop w:val="0"/>
      <w:marBottom w:val="0"/>
      <w:divBdr>
        <w:top w:val="none" w:sz="0" w:space="0" w:color="auto"/>
        <w:left w:val="none" w:sz="0" w:space="0" w:color="auto"/>
        <w:bottom w:val="none" w:sz="0" w:space="0" w:color="auto"/>
        <w:right w:val="none" w:sz="0" w:space="0" w:color="auto"/>
      </w:divBdr>
    </w:div>
    <w:div w:id="2059013451">
      <w:bodyDiv w:val="1"/>
      <w:marLeft w:val="0"/>
      <w:marRight w:val="0"/>
      <w:marTop w:val="0"/>
      <w:marBottom w:val="0"/>
      <w:divBdr>
        <w:top w:val="none" w:sz="0" w:space="0" w:color="auto"/>
        <w:left w:val="none" w:sz="0" w:space="0" w:color="auto"/>
        <w:bottom w:val="none" w:sz="0" w:space="0" w:color="auto"/>
        <w:right w:val="none" w:sz="0" w:space="0" w:color="auto"/>
      </w:divBdr>
    </w:div>
    <w:div w:id="2059014133">
      <w:bodyDiv w:val="1"/>
      <w:marLeft w:val="0"/>
      <w:marRight w:val="0"/>
      <w:marTop w:val="0"/>
      <w:marBottom w:val="0"/>
      <w:divBdr>
        <w:top w:val="none" w:sz="0" w:space="0" w:color="auto"/>
        <w:left w:val="none" w:sz="0" w:space="0" w:color="auto"/>
        <w:bottom w:val="none" w:sz="0" w:space="0" w:color="auto"/>
        <w:right w:val="none" w:sz="0" w:space="0" w:color="auto"/>
      </w:divBdr>
    </w:div>
    <w:div w:id="2059084692">
      <w:bodyDiv w:val="1"/>
      <w:marLeft w:val="0"/>
      <w:marRight w:val="0"/>
      <w:marTop w:val="0"/>
      <w:marBottom w:val="0"/>
      <w:divBdr>
        <w:top w:val="none" w:sz="0" w:space="0" w:color="auto"/>
        <w:left w:val="none" w:sz="0" w:space="0" w:color="auto"/>
        <w:bottom w:val="none" w:sz="0" w:space="0" w:color="auto"/>
        <w:right w:val="none" w:sz="0" w:space="0" w:color="auto"/>
      </w:divBdr>
    </w:div>
    <w:div w:id="2059088876">
      <w:bodyDiv w:val="1"/>
      <w:marLeft w:val="0"/>
      <w:marRight w:val="0"/>
      <w:marTop w:val="0"/>
      <w:marBottom w:val="0"/>
      <w:divBdr>
        <w:top w:val="none" w:sz="0" w:space="0" w:color="auto"/>
        <w:left w:val="none" w:sz="0" w:space="0" w:color="auto"/>
        <w:bottom w:val="none" w:sz="0" w:space="0" w:color="auto"/>
        <w:right w:val="none" w:sz="0" w:space="0" w:color="auto"/>
      </w:divBdr>
    </w:div>
    <w:div w:id="2059234927">
      <w:bodyDiv w:val="1"/>
      <w:marLeft w:val="0"/>
      <w:marRight w:val="0"/>
      <w:marTop w:val="0"/>
      <w:marBottom w:val="0"/>
      <w:divBdr>
        <w:top w:val="none" w:sz="0" w:space="0" w:color="auto"/>
        <w:left w:val="none" w:sz="0" w:space="0" w:color="auto"/>
        <w:bottom w:val="none" w:sz="0" w:space="0" w:color="auto"/>
        <w:right w:val="none" w:sz="0" w:space="0" w:color="auto"/>
      </w:divBdr>
    </w:div>
    <w:div w:id="2059276125">
      <w:bodyDiv w:val="1"/>
      <w:marLeft w:val="0"/>
      <w:marRight w:val="0"/>
      <w:marTop w:val="0"/>
      <w:marBottom w:val="0"/>
      <w:divBdr>
        <w:top w:val="none" w:sz="0" w:space="0" w:color="auto"/>
        <w:left w:val="none" w:sz="0" w:space="0" w:color="auto"/>
        <w:bottom w:val="none" w:sz="0" w:space="0" w:color="auto"/>
        <w:right w:val="none" w:sz="0" w:space="0" w:color="auto"/>
      </w:divBdr>
    </w:div>
    <w:div w:id="2059279166">
      <w:bodyDiv w:val="1"/>
      <w:marLeft w:val="0"/>
      <w:marRight w:val="0"/>
      <w:marTop w:val="0"/>
      <w:marBottom w:val="0"/>
      <w:divBdr>
        <w:top w:val="none" w:sz="0" w:space="0" w:color="auto"/>
        <w:left w:val="none" w:sz="0" w:space="0" w:color="auto"/>
        <w:bottom w:val="none" w:sz="0" w:space="0" w:color="auto"/>
        <w:right w:val="none" w:sz="0" w:space="0" w:color="auto"/>
      </w:divBdr>
    </w:div>
    <w:div w:id="2059354413">
      <w:bodyDiv w:val="1"/>
      <w:marLeft w:val="0"/>
      <w:marRight w:val="0"/>
      <w:marTop w:val="0"/>
      <w:marBottom w:val="0"/>
      <w:divBdr>
        <w:top w:val="none" w:sz="0" w:space="0" w:color="auto"/>
        <w:left w:val="none" w:sz="0" w:space="0" w:color="auto"/>
        <w:bottom w:val="none" w:sz="0" w:space="0" w:color="auto"/>
        <w:right w:val="none" w:sz="0" w:space="0" w:color="auto"/>
      </w:divBdr>
    </w:div>
    <w:div w:id="2059469932">
      <w:bodyDiv w:val="1"/>
      <w:marLeft w:val="0"/>
      <w:marRight w:val="0"/>
      <w:marTop w:val="0"/>
      <w:marBottom w:val="0"/>
      <w:divBdr>
        <w:top w:val="none" w:sz="0" w:space="0" w:color="auto"/>
        <w:left w:val="none" w:sz="0" w:space="0" w:color="auto"/>
        <w:bottom w:val="none" w:sz="0" w:space="0" w:color="auto"/>
        <w:right w:val="none" w:sz="0" w:space="0" w:color="auto"/>
      </w:divBdr>
    </w:div>
    <w:div w:id="2059474440">
      <w:bodyDiv w:val="1"/>
      <w:marLeft w:val="0"/>
      <w:marRight w:val="0"/>
      <w:marTop w:val="0"/>
      <w:marBottom w:val="0"/>
      <w:divBdr>
        <w:top w:val="none" w:sz="0" w:space="0" w:color="auto"/>
        <w:left w:val="none" w:sz="0" w:space="0" w:color="auto"/>
        <w:bottom w:val="none" w:sz="0" w:space="0" w:color="auto"/>
        <w:right w:val="none" w:sz="0" w:space="0" w:color="auto"/>
      </w:divBdr>
    </w:div>
    <w:div w:id="2059623715">
      <w:bodyDiv w:val="1"/>
      <w:marLeft w:val="0"/>
      <w:marRight w:val="0"/>
      <w:marTop w:val="0"/>
      <w:marBottom w:val="0"/>
      <w:divBdr>
        <w:top w:val="none" w:sz="0" w:space="0" w:color="auto"/>
        <w:left w:val="none" w:sz="0" w:space="0" w:color="auto"/>
        <w:bottom w:val="none" w:sz="0" w:space="0" w:color="auto"/>
        <w:right w:val="none" w:sz="0" w:space="0" w:color="auto"/>
      </w:divBdr>
    </w:div>
    <w:div w:id="2059624067">
      <w:bodyDiv w:val="1"/>
      <w:marLeft w:val="0"/>
      <w:marRight w:val="0"/>
      <w:marTop w:val="0"/>
      <w:marBottom w:val="0"/>
      <w:divBdr>
        <w:top w:val="none" w:sz="0" w:space="0" w:color="auto"/>
        <w:left w:val="none" w:sz="0" w:space="0" w:color="auto"/>
        <w:bottom w:val="none" w:sz="0" w:space="0" w:color="auto"/>
        <w:right w:val="none" w:sz="0" w:space="0" w:color="auto"/>
      </w:divBdr>
    </w:div>
    <w:div w:id="2059820766">
      <w:bodyDiv w:val="1"/>
      <w:marLeft w:val="0"/>
      <w:marRight w:val="0"/>
      <w:marTop w:val="0"/>
      <w:marBottom w:val="0"/>
      <w:divBdr>
        <w:top w:val="none" w:sz="0" w:space="0" w:color="auto"/>
        <w:left w:val="none" w:sz="0" w:space="0" w:color="auto"/>
        <w:bottom w:val="none" w:sz="0" w:space="0" w:color="auto"/>
        <w:right w:val="none" w:sz="0" w:space="0" w:color="auto"/>
      </w:divBdr>
    </w:div>
    <w:div w:id="2059936649">
      <w:bodyDiv w:val="1"/>
      <w:marLeft w:val="0"/>
      <w:marRight w:val="0"/>
      <w:marTop w:val="0"/>
      <w:marBottom w:val="0"/>
      <w:divBdr>
        <w:top w:val="none" w:sz="0" w:space="0" w:color="auto"/>
        <w:left w:val="none" w:sz="0" w:space="0" w:color="auto"/>
        <w:bottom w:val="none" w:sz="0" w:space="0" w:color="auto"/>
        <w:right w:val="none" w:sz="0" w:space="0" w:color="auto"/>
      </w:divBdr>
    </w:div>
    <w:div w:id="2059938986">
      <w:bodyDiv w:val="1"/>
      <w:marLeft w:val="0"/>
      <w:marRight w:val="0"/>
      <w:marTop w:val="0"/>
      <w:marBottom w:val="0"/>
      <w:divBdr>
        <w:top w:val="none" w:sz="0" w:space="0" w:color="auto"/>
        <w:left w:val="none" w:sz="0" w:space="0" w:color="auto"/>
        <w:bottom w:val="none" w:sz="0" w:space="0" w:color="auto"/>
        <w:right w:val="none" w:sz="0" w:space="0" w:color="auto"/>
      </w:divBdr>
    </w:div>
    <w:div w:id="2060008389">
      <w:bodyDiv w:val="1"/>
      <w:marLeft w:val="0"/>
      <w:marRight w:val="0"/>
      <w:marTop w:val="0"/>
      <w:marBottom w:val="0"/>
      <w:divBdr>
        <w:top w:val="none" w:sz="0" w:space="0" w:color="auto"/>
        <w:left w:val="none" w:sz="0" w:space="0" w:color="auto"/>
        <w:bottom w:val="none" w:sz="0" w:space="0" w:color="auto"/>
        <w:right w:val="none" w:sz="0" w:space="0" w:color="auto"/>
      </w:divBdr>
    </w:div>
    <w:div w:id="2060088159">
      <w:bodyDiv w:val="1"/>
      <w:marLeft w:val="0"/>
      <w:marRight w:val="0"/>
      <w:marTop w:val="0"/>
      <w:marBottom w:val="0"/>
      <w:divBdr>
        <w:top w:val="none" w:sz="0" w:space="0" w:color="auto"/>
        <w:left w:val="none" w:sz="0" w:space="0" w:color="auto"/>
        <w:bottom w:val="none" w:sz="0" w:space="0" w:color="auto"/>
        <w:right w:val="none" w:sz="0" w:space="0" w:color="auto"/>
      </w:divBdr>
    </w:div>
    <w:div w:id="2060128339">
      <w:bodyDiv w:val="1"/>
      <w:marLeft w:val="0"/>
      <w:marRight w:val="0"/>
      <w:marTop w:val="0"/>
      <w:marBottom w:val="0"/>
      <w:divBdr>
        <w:top w:val="none" w:sz="0" w:space="0" w:color="auto"/>
        <w:left w:val="none" w:sz="0" w:space="0" w:color="auto"/>
        <w:bottom w:val="none" w:sz="0" w:space="0" w:color="auto"/>
        <w:right w:val="none" w:sz="0" w:space="0" w:color="auto"/>
      </w:divBdr>
    </w:div>
    <w:div w:id="2060129671">
      <w:bodyDiv w:val="1"/>
      <w:marLeft w:val="0"/>
      <w:marRight w:val="0"/>
      <w:marTop w:val="0"/>
      <w:marBottom w:val="0"/>
      <w:divBdr>
        <w:top w:val="none" w:sz="0" w:space="0" w:color="auto"/>
        <w:left w:val="none" w:sz="0" w:space="0" w:color="auto"/>
        <w:bottom w:val="none" w:sz="0" w:space="0" w:color="auto"/>
        <w:right w:val="none" w:sz="0" w:space="0" w:color="auto"/>
      </w:divBdr>
    </w:div>
    <w:div w:id="2060275675">
      <w:bodyDiv w:val="1"/>
      <w:marLeft w:val="0"/>
      <w:marRight w:val="0"/>
      <w:marTop w:val="0"/>
      <w:marBottom w:val="0"/>
      <w:divBdr>
        <w:top w:val="none" w:sz="0" w:space="0" w:color="auto"/>
        <w:left w:val="none" w:sz="0" w:space="0" w:color="auto"/>
        <w:bottom w:val="none" w:sz="0" w:space="0" w:color="auto"/>
        <w:right w:val="none" w:sz="0" w:space="0" w:color="auto"/>
      </w:divBdr>
    </w:div>
    <w:div w:id="2060280702">
      <w:bodyDiv w:val="1"/>
      <w:marLeft w:val="0"/>
      <w:marRight w:val="0"/>
      <w:marTop w:val="0"/>
      <w:marBottom w:val="0"/>
      <w:divBdr>
        <w:top w:val="none" w:sz="0" w:space="0" w:color="auto"/>
        <w:left w:val="none" w:sz="0" w:space="0" w:color="auto"/>
        <w:bottom w:val="none" w:sz="0" w:space="0" w:color="auto"/>
        <w:right w:val="none" w:sz="0" w:space="0" w:color="auto"/>
      </w:divBdr>
    </w:div>
    <w:div w:id="2060350629">
      <w:bodyDiv w:val="1"/>
      <w:marLeft w:val="0"/>
      <w:marRight w:val="0"/>
      <w:marTop w:val="0"/>
      <w:marBottom w:val="0"/>
      <w:divBdr>
        <w:top w:val="none" w:sz="0" w:space="0" w:color="auto"/>
        <w:left w:val="none" w:sz="0" w:space="0" w:color="auto"/>
        <w:bottom w:val="none" w:sz="0" w:space="0" w:color="auto"/>
        <w:right w:val="none" w:sz="0" w:space="0" w:color="auto"/>
      </w:divBdr>
    </w:div>
    <w:div w:id="2060592113">
      <w:bodyDiv w:val="1"/>
      <w:marLeft w:val="0"/>
      <w:marRight w:val="0"/>
      <w:marTop w:val="0"/>
      <w:marBottom w:val="0"/>
      <w:divBdr>
        <w:top w:val="none" w:sz="0" w:space="0" w:color="auto"/>
        <w:left w:val="none" w:sz="0" w:space="0" w:color="auto"/>
        <w:bottom w:val="none" w:sz="0" w:space="0" w:color="auto"/>
        <w:right w:val="none" w:sz="0" w:space="0" w:color="auto"/>
      </w:divBdr>
    </w:div>
    <w:div w:id="2060661553">
      <w:bodyDiv w:val="1"/>
      <w:marLeft w:val="0"/>
      <w:marRight w:val="0"/>
      <w:marTop w:val="0"/>
      <w:marBottom w:val="0"/>
      <w:divBdr>
        <w:top w:val="none" w:sz="0" w:space="0" w:color="auto"/>
        <w:left w:val="none" w:sz="0" w:space="0" w:color="auto"/>
        <w:bottom w:val="none" w:sz="0" w:space="0" w:color="auto"/>
        <w:right w:val="none" w:sz="0" w:space="0" w:color="auto"/>
      </w:divBdr>
    </w:div>
    <w:div w:id="2060665720">
      <w:bodyDiv w:val="1"/>
      <w:marLeft w:val="0"/>
      <w:marRight w:val="0"/>
      <w:marTop w:val="0"/>
      <w:marBottom w:val="0"/>
      <w:divBdr>
        <w:top w:val="none" w:sz="0" w:space="0" w:color="auto"/>
        <w:left w:val="none" w:sz="0" w:space="0" w:color="auto"/>
        <w:bottom w:val="none" w:sz="0" w:space="0" w:color="auto"/>
        <w:right w:val="none" w:sz="0" w:space="0" w:color="auto"/>
      </w:divBdr>
    </w:div>
    <w:div w:id="2060936228">
      <w:bodyDiv w:val="1"/>
      <w:marLeft w:val="0"/>
      <w:marRight w:val="0"/>
      <w:marTop w:val="0"/>
      <w:marBottom w:val="0"/>
      <w:divBdr>
        <w:top w:val="none" w:sz="0" w:space="0" w:color="auto"/>
        <w:left w:val="none" w:sz="0" w:space="0" w:color="auto"/>
        <w:bottom w:val="none" w:sz="0" w:space="0" w:color="auto"/>
        <w:right w:val="none" w:sz="0" w:space="0" w:color="auto"/>
      </w:divBdr>
    </w:div>
    <w:div w:id="2061006703">
      <w:bodyDiv w:val="1"/>
      <w:marLeft w:val="0"/>
      <w:marRight w:val="0"/>
      <w:marTop w:val="0"/>
      <w:marBottom w:val="0"/>
      <w:divBdr>
        <w:top w:val="none" w:sz="0" w:space="0" w:color="auto"/>
        <w:left w:val="none" w:sz="0" w:space="0" w:color="auto"/>
        <w:bottom w:val="none" w:sz="0" w:space="0" w:color="auto"/>
        <w:right w:val="none" w:sz="0" w:space="0" w:color="auto"/>
      </w:divBdr>
    </w:div>
    <w:div w:id="2061123560">
      <w:bodyDiv w:val="1"/>
      <w:marLeft w:val="0"/>
      <w:marRight w:val="0"/>
      <w:marTop w:val="0"/>
      <w:marBottom w:val="0"/>
      <w:divBdr>
        <w:top w:val="none" w:sz="0" w:space="0" w:color="auto"/>
        <w:left w:val="none" w:sz="0" w:space="0" w:color="auto"/>
        <w:bottom w:val="none" w:sz="0" w:space="0" w:color="auto"/>
        <w:right w:val="none" w:sz="0" w:space="0" w:color="auto"/>
      </w:divBdr>
    </w:div>
    <w:div w:id="2061173658">
      <w:bodyDiv w:val="1"/>
      <w:marLeft w:val="0"/>
      <w:marRight w:val="0"/>
      <w:marTop w:val="0"/>
      <w:marBottom w:val="0"/>
      <w:divBdr>
        <w:top w:val="none" w:sz="0" w:space="0" w:color="auto"/>
        <w:left w:val="none" w:sz="0" w:space="0" w:color="auto"/>
        <w:bottom w:val="none" w:sz="0" w:space="0" w:color="auto"/>
        <w:right w:val="none" w:sz="0" w:space="0" w:color="auto"/>
      </w:divBdr>
    </w:div>
    <w:div w:id="2061244506">
      <w:bodyDiv w:val="1"/>
      <w:marLeft w:val="0"/>
      <w:marRight w:val="0"/>
      <w:marTop w:val="0"/>
      <w:marBottom w:val="0"/>
      <w:divBdr>
        <w:top w:val="none" w:sz="0" w:space="0" w:color="auto"/>
        <w:left w:val="none" w:sz="0" w:space="0" w:color="auto"/>
        <w:bottom w:val="none" w:sz="0" w:space="0" w:color="auto"/>
        <w:right w:val="none" w:sz="0" w:space="0" w:color="auto"/>
      </w:divBdr>
    </w:div>
    <w:div w:id="2061249665">
      <w:bodyDiv w:val="1"/>
      <w:marLeft w:val="0"/>
      <w:marRight w:val="0"/>
      <w:marTop w:val="0"/>
      <w:marBottom w:val="0"/>
      <w:divBdr>
        <w:top w:val="none" w:sz="0" w:space="0" w:color="auto"/>
        <w:left w:val="none" w:sz="0" w:space="0" w:color="auto"/>
        <w:bottom w:val="none" w:sz="0" w:space="0" w:color="auto"/>
        <w:right w:val="none" w:sz="0" w:space="0" w:color="auto"/>
      </w:divBdr>
    </w:div>
    <w:div w:id="2061391941">
      <w:bodyDiv w:val="1"/>
      <w:marLeft w:val="0"/>
      <w:marRight w:val="0"/>
      <w:marTop w:val="0"/>
      <w:marBottom w:val="0"/>
      <w:divBdr>
        <w:top w:val="none" w:sz="0" w:space="0" w:color="auto"/>
        <w:left w:val="none" w:sz="0" w:space="0" w:color="auto"/>
        <w:bottom w:val="none" w:sz="0" w:space="0" w:color="auto"/>
        <w:right w:val="none" w:sz="0" w:space="0" w:color="auto"/>
      </w:divBdr>
    </w:div>
    <w:div w:id="2061396627">
      <w:bodyDiv w:val="1"/>
      <w:marLeft w:val="0"/>
      <w:marRight w:val="0"/>
      <w:marTop w:val="0"/>
      <w:marBottom w:val="0"/>
      <w:divBdr>
        <w:top w:val="none" w:sz="0" w:space="0" w:color="auto"/>
        <w:left w:val="none" w:sz="0" w:space="0" w:color="auto"/>
        <w:bottom w:val="none" w:sz="0" w:space="0" w:color="auto"/>
        <w:right w:val="none" w:sz="0" w:space="0" w:color="auto"/>
      </w:divBdr>
    </w:div>
    <w:div w:id="2061400916">
      <w:bodyDiv w:val="1"/>
      <w:marLeft w:val="0"/>
      <w:marRight w:val="0"/>
      <w:marTop w:val="0"/>
      <w:marBottom w:val="0"/>
      <w:divBdr>
        <w:top w:val="none" w:sz="0" w:space="0" w:color="auto"/>
        <w:left w:val="none" w:sz="0" w:space="0" w:color="auto"/>
        <w:bottom w:val="none" w:sz="0" w:space="0" w:color="auto"/>
        <w:right w:val="none" w:sz="0" w:space="0" w:color="auto"/>
      </w:divBdr>
    </w:div>
    <w:div w:id="2061511297">
      <w:bodyDiv w:val="1"/>
      <w:marLeft w:val="0"/>
      <w:marRight w:val="0"/>
      <w:marTop w:val="0"/>
      <w:marBottom w:val="0"/>
      <w:divBdr>
        <w:top w:val="none" w:sz="0" w:space="0" w:color="auto"/>
        <w:left w:val="none" w:sz="0" w:space="0" w:color="auto"/>
        <w:bottom w:val="none" w:sz="0" w:space="0" w:color="auto"/>
        <w:right w:val="none" w:sz="0" w:space="0" w:color="auto"/>
      </w:divBdr>
    </w:div>
    <w:div w:id="2061516840">
      <w:bodyDiv w:val="1"/>
      <w:marLeft w:val="0"/>
      <w:marRight w:val="0"/>
      <w:marTop w:val="0"/>
      <w:marBottom w:val="0"/>
      <w:divBdr>
        <w:top w:val="none" w:sz="0" w:space="0" w:color="auto"/>
        <w:left w:val="none" w:sz="0" w:space="0" w:color="auto"/>
        <w:bottom w:val="none" w:sz="0" w:space="0" w:color="auto"/>
        <w:right w:val="none" w:sz="0" w:space="0" w:color="auto"/>
      </w:divBdr>
    </w:div>
    <w:div w:id="2061517230">
      <w:bodyDiv w:val="1"/>
      <w:marLeft w:val="0"/>
      <w:marRight w:val="0"/>
      <w:marTop w:val="0"/>
      <w:marBottom w:val="0"/>
      <w:divBdr>
        <w:top w:val="none" w:sz="0" w:space="0" w:color="auto"/>
        <w:left w:val="none" w:sz="0" w:space="0" w:color="auto"/>
        <w:bottom w:val="none" w:sz="0" w:space="0" w:color="auto"/>
        <w:right w:val="none" w:sz="0" w:space="0" w:color="auto"/>
      </w:divBdr>
    </w:div>
    <w:div w:id="2061636415">
      <w:bodyDiv w:val="1"/>
      <w:marLeft w:val="0"/>
      <w:marRight w:val="0"/>
      <w:marTop w:val="0"/>
      <w:marBottom w:val="0"/>
      <w:divBdr>
        <w:top w:val="none" w:sz="0" w:space="0" w:color="auto"/>
        <w:left w:val="none" w:sz="0" w:space="0" w:color="auto"/>
        <w:bottom w:val="none" w:sz="0" w:space="0" w:color="auto"/>
        <w:right w:val="none" w:sz="0" w:space="0" w:color="auto"/>
      </w:divBdr>
    </w:div>
    <w:div w:id="2061705379">
      <w:bodyDiv w:val="1"/>
      <w:marLeft w:val="0"/>
      <w:marRight w:val="0"/>
      <w:marTop w:val="0"/>
      <w:marBottom w:val="0"/>
      <w:divBdr>
        <w:top w:val="none" w:sz="0" w:space="0" w:color="auto"/>
        <w:left w:val="none" w:sz="0" w:space="0" w:color="auto"/>
        <w:bottom w:val="none" w:sz="0" w:space="0" w:color="auto"/>
        <w:right w:val="none" w:sz="0" w:space="0" w:color="auto"/>
      </w:divBdr>
    </w:div>
    <w:div w:id="2061784582">
      <w:bodyDiv w:val="1"/>
      <w:marLeft w:val="0"/>
      <w:marRight w:val="0"/>
      <w:marTop w:val="0"/>
      <w:marBottom w:val="0"/>
      <w:divBdr>
        <w:top w:val="none" w:sz="0" w:space="0" w:color="auto"/>
        <w:left w:val="none" w:sz="0" w:space="0" w:color="auto"/>
        <w:bottom w:val="none" w:sz="0" w:space="0" w:color="auto"/>
        <w:right w:val="none" w:sz="0" w:space="0" w:color="auto"/>
      </w:divBdr>
    </w:div>
    <w:div w:id="2061904772">
      <w:bodyDiv w:val="1"/>
      <w:marLeft w:val="0"/>
      <w:marRight w:val="0"/>
      <w:marTop w:val="0"/>
      <w:marBottom w:val="0"/>
      <w:divBdr>
        <w:top w:val="none" w:sz="0" w:space="0" w:color="auto"/>
        <w:left w:val="none" w:sz="0" w:space="0" w:color="auto"/>
        <w:bottom w:val="none" w:sz="0" w:space="0" w:color="auto"/>
        <w:right w:val="none" w:sz="0" w:space="0" w:color="auto"/>
      </w:divBdr>
    </w:div>
    <w:div w:id="2061976363">
      <w:bodyDiv w:val="1"/>
      <w:marLeft w:val="0"/>
      <w:marRight w:val="0"/>
      <w:marTop w:val="0"/>
      <w:marBottom w:val="0"/>
      <w:divBdr>
        <w:top w:val="none" w:sz="0" w:space="0" w:color="auto"/>
        <w:left w:val="none" w:sz="0" w:space="0" w:color="auto"/>
        <w:bottom w:val="none" w:sz="0" w:space="0" w:color="auto"/>
        <w:right w:val="none" w:sz="0" w:space="0" w:color="auto"/>
      </w:divBdr>
    </w:div>
    <w:div w:id="2061978715">
      <w:bodyDiv w:val="1"/>
      <w:marLeft w:val="0"/>
      <w:marRight w:val="0"/>
      <w:marTop w:val="0"/>
      <w:marBottom w:val="0"/>
      <w:divBdr>
        <w:top w:val="none" w:sz="0" w:space="0" w:color="auto"/>
        <w:left w:val="none" w:sz="0" w:space="0" w:color="auto"/>
        <w:bottom w:val="none" w:sz="0" w:space="0" w:color="auto"/>
        <w:right w:val="none" w:sz="0" w:space="0" w:color="auto"/>
      </w:divBdr>
    </w:div>
    <w:div w:id="2062093665">
      <w:bodyDiv w:val="1"/>
      <w:marLeft w:val="0"/>
      <w:marRight w:val="0"/>
      <w:marTop w:val="0"/>
      <w:marBottom w:val="0"/>
      <w:divBdr>
        <w:top w:val="none" w:sz="0" w:space="0" w:color="auto"/>
        <w:left w:val="none" w:sz="0" w:space="0" w:color="auto"/>
        <w:bottom w:val="none" w:sz="0" w:space="0" w:color="auto"/>
        <w:right w:val="none" w:sz="0" w:space="0" w:color="auto"/>
      </w:divBdr>
    </w:div>
    <w:div w:id="2062169633">
      <w:bodyDiv w:val="1"/>
      <w:marLeft w:val="0"/>
      <w:marRight w:val="0"/>
      <w:marTop w:val="0"/>
      <w:marBottom w:val="0"/>
      <w:divBdr>
        <w:top w:val="none" w:sz="0" w:space="0" w:color="auto"/>
        <w:left w:val="none" w:sz="0" w:space="0" w:color="auto"/>
        <w:bottom w:val="none" w:sz="0" w:space="0" w:color="auto"/>
        <w:right w:val="none" w:sz="0" w:space="0" w:color="auto"/>
      </w:divBdr>
    </w:div>
    <w:div w:id="2062243887">
      <w:bodyDiv w:val="1"/>
      <w:marLeft w:val="0"/>
      <w:marRight w:val="0"/>
      <w:marTop w:val="0"/>
      <w:marBottom w:val="0"/>
      <w:divBdr>
        <w:top w:val="none" w:sz="0" w:space="0" w:color="auto"/>
        <w:left w:val="none" w:sz="0" w:space="0" w:color="auto"/>
        <w:bottom w:val="none" w:sz="0" w:space="0" w:color="auto"/>
        <w:right w:val="none" w:sz="0" w:space="0" w:color="auto"/>
      </w:divBdr>
    </w:div>
    <w:div w:id="2062248101">
      <w:bodyDiv w:val="1"/>
      <w:marLeft w:val="0"/>
      <w:marRight w:val="0"/>
      <w:marTop w:val="0"/>
      <w:marBottom w:val="0"/>
      <w:divBdr>
        <w:top w:val="none" w:sz="0" w:space="0" w:color="auto"/>
        <w:left w:val="none" w:sz="0" w:space="0" w:color="auto"/>
        <w:bottom w:val="none" w:sz="0" w:space="0" w:color="auto"/>
        <w:right w:val="none" w:sz="0" w:space="0" w:color="auto"/>
      </w:divBdr>
    </w:div>
    <w:div w:id="2062316782">
      <w:bodyDiv w:val="1"/>
      <w:marLeft w:val="0"/>
      <w:marRight w:val="0"/>
      <w:marTop w:val="0"/>
      <w:marBottom w:val="0"/>
      <w:divBdr>
        <w:top w:val="none" w:sz="0" w:space="0" w:color="auto"/>
        <w:left w:val="none" w:sz="0" w:space="0" w:color="auto"/>
        <w:bottom w:val="none" w:sz="0" w:space="0" w:color="auto"/>
        <w:right w:val="none" w:sz="0" w:space="0" w:color="auto"/>
      </w:divBdr>
    </w:div>
    <w:div w:id="2062359634">
      <w:bodyDiv w:val="1"/>
      <w:marLeft w:val="0"/>
      <w:marRight w:val="0"/>
      <w:marTop w:val="0"/>
      <w:marBottom w:val="0"/>
      <w:divBdr>
        <w:top w:val="none" w:sz="0" w:space="0" w:color="auto"/>
        <w:left w:val="none" w:sz="0" w:space="0" w:color="auto"/>
        <w:bottom w:val="none" w:sz="0" w:space="0" w:color="auto"/>
        <w:right w:val="none" w:sz="0" w:space="0" w:color="auto"/>
      </w:divBdr>
    </w:div>
    <w:div w:id="2062442539">
      <w:bodyDiv w:val="1"/>
      <w:marLeft w:val="0"/>
      <w:marRight w:val="0"/>
      <w:marTop w:val="0"/>
      <w:marBottom w:val="0"/>
      <w:divBdr>
        <w:top w:val="none" w:sz="0" w:space="0" w:color="auto"/>
        <w:left w:val="none" w:sz="0" w:space="0" w:color="auto"/>
        <w:bottom w:val="none" w:sz="0" w:space="0" w:color="auto"/>
        <w:right w:val="none" w:sz="0" w:space="0" w:color="auto"/>
      </w:divBdr>
    </w:div>
    <w:div w:id="2062485283">
      <w:bodyDiv w:val="1"/>
      <w:marLeft w:val="0"/>
      <w:marRight w:val="0"/>
      <w:marTop w:val="0"/>
      <w:marBottom w:val="0"/>
      <w:divBdr>
        <w:top w:val="none" w:sz="0" w:space="0" w:color="auto"/>
        <w:left w:val="none" w:sz="0" w:space="0" w:color="auto"/>
        <w:bottom w:val="none" w:sz="0" w:space="0" w:color="auto"/>
        <w:right w:val="none" w:sz="0" w:space="0" w:color="auto"/>
      </w:divBdr>
    </w:div>
    <w:div w:id="2062512142">
      <w:bodyDiv w:val="1"/>
      <w:marLeft w:val="0"/>
      <w:marRight w:val="0"/>
      <w:marTop w:val="0"/>
      <w:marBottom w:val="0"/>
      <w:divBdr>
        <w:top w:val="none" w:sz="0" w:space="0" w:color="auto"/>
        <w:left w:val="none" w:sz="0" w:space="0" w:color="auto"/>
        <w:bottom w:val="none" w:sz="0" w:space="0" w:color="auto"/>
        <w:right w:val="none" w:sz="0" w:space="0" w:color="auto"/>
      </w:divBdr>
    </w:div>
    <w:div w:id="2062515103">
      <w:bodyDiv w:val="1"/>
      <w:marLeft w:val="0"/>
      <w:marRight w:val="0"/>
      <w:marTop w:val="0"/>
      <w:marBottom w:val="0"/>
      <w:divBdr>
        <w:top w:val="none" w:sz="0" w:space="0" w:color="auto"/>
        <w:left w:val="none" w:sz="0" w:space="0" w:color="auto"/>
        <w:bottom w:val="none" w:sz="0" w:space="0" w:color="auto"/>
        <w:right w:val="none" w:sz="0" w:space="0" w:color="auto"/>
      </w:divBdr>
    </w:div>
    <w:div w:id="2062553533">
      <w:bodyDiv w:val="1"/>
      <w:marLeft w:val="0"/>
      <w:marRight w:val="0"/>
      <w:marTop w:val="0"/>
      <w:marBottom w:val="0"/>
      <w:divBdr>
        <w:top w:val="none" w:sz="0" w:space="0" w:color="auto"/>
        <w:left w:val="none" w:sz="0" w:space="0" w:color="auto"/>
        <w:bottom w:val="none" w:sz="0" w:space="0" w:color="auto"/>
        <w:right w:val="none" w:sz="0" w:space="0" w:color="auto"/>
      </w:divBdr>
    </w:div>
    <w:div w:id="2062702774">
      <w:bodyDiv w:val="1"/>
      <w:marLeft w:val="0"/>
      <w:marRight w:val="0"/>
      <w:marTop w:val="0"/>
      <w:marBottom w:val="0"/>
      <w:divBdr>
        <w:top w:val="none" w:sz="0" w:space="0" w:color="auto"/>
        <w:left w:val="none" w:sz="0" w:space="0" w:color="auto"/>
        <w:bottom w:val="none" w:sz="0" w:space="0" w:color="auto"/>
        <w:right w:val="none" w:sz="0" w:space="0" w:color="auto"/>
      </w:divBdr>
    </w:div>
    <w:div w:id="2062704487">
      <w:bodyDiv w:val="1"/>
      <w:marLeft w:val="0"/>
      <w:marRight w:val="0"/>
      <w:marTop w:val="0"/>
      <w:marBottom w:val="0"/>
      <w:divBdr>
        <w:top w:val="none" w:sz="0" w:space="0" w:color="auto"/>
        <w:left w:val="none" w:sz="0" w:space="0" w:color="auto"/>
        <w:bottom w:val="none" w:sz="0" w:space="0" w:color="auto"/>
        <w:right w:val="none" w:sz="0" w:space="0" w:color="auto"/>
      </w:divBdr>
    </w:div>
    <w:div w:id="2062705148">
      <w:bodyDiv w:val="1"/>
      <w:marLeft w:val="0"/>
      <w:marRight w:val="0"/>
      <w:marTop w:val="0"/>
      <w:marBottom w:val="0"/>
      <w:divBdr>
        <w:top w:val="none" w:sz="0" w:space="0" w:color="auto"/>
        <w:left w:val="none" w:sz="0" w:space="0" w:color="auto"/>
        <w:bottom w:val="none" w:sz="0" w:space="0" w:color="auto"/>
        <w:right w:val="none" w:sz="0" w:space="0" w:color="auto"/>
      </w:divBdr>
    </w:div>
    <w:div w:id="2062705757">
      <w:bodyDiv w:val="1"/>
      <w:marLeft w:val="0"/>
      <w:marRight w:val="0"/>
      <w:marTop w:val="0"/>
      <w:marBottom w:val="0"/>
      <w:divBdr>
        <w:top w:val="none" w:sz="0" w:space="0" w:color="auto"/>
        <w:left w:val="none" w:sz="0" w:space="0" w:color="auto"/>
        <w:bottom w:val="none" w:sz="0" w:space="0" w:color="auto"/>
        <w:right w:val="none" w:sz="0" w:space="0" w:color="auto"/>
      </w:divBdr>
    </w:div>
    <w:div w:id="2062706216">
      <w:bodyDiv w:val="1"/>
      <w:marLeft w:val="0"/>
      <w:marRight w:val="0"/>
      <w:marTop w:val="0"/>
      <w:marBottom w:val="0"/>
      <w:divBdr>
        <w:top w:val="none" w:sz="0" w:space="0" w:color="auto"/>
        <w:left w:val="none" w:sz="0" w:space="0" w:color="auto"/>
        <w:bottom w:val="none" w:sz="0" w:space="0" w:color="auto"/>
        <w:right w:val="none" w:sz="0" w:space="0" w:color="auto"/>
      </w:divBdr>
    </w:div>
    <w:div w:id="2062750986">
      <w:bodyDiv w:val="1"/>
      <w:marLeft w:val="0"/>
      <w:marRight w:val="0"/>
      <w:marTop w:val="0"/>
      <w:marBottom w:val="0"/>
      <w:divBdr>
        <w:top w:val="none" w:sz="0" w:space="0" w:color="auto"/>
        <w:left w:val="none" w:sz="0" w:space="0" w:color="auto"/>
        <w:bottom w:val="none" w:sz="0" w:space="0" w:color="auto"/>
        <w:right w:val="none" w:sz="0" w:space="0" w:color="auto"/>
      </w:divBdr>
    </w:div>
    <w:div w:id="2062752919">
      <w:bodyDiv w:val="1"/>
      <w:marLeft w:val="0"/>
      <w:marRight w:val="0"/>
      <w:marTop w:val="0"/>
      <w:marBottom w:val="0"/>
      <w:divBdr>
        <w:top w:val="none" w:sz="0" w:space="0" w:color="auto"/>
        <w:left w:val="none" w:sz="0" w:space="0" w:color="auto"/>
        <w:bottom w:val="none" w:sz="0" w:space="0" w:color="auto"/>
        <w:right w:val="none" w:sz="0" w:space="0" w:color="auto"/>
      </w:divBdr>
    </w:div>
    <w:div w:id="2062821426">
      <w:bodyDiv w:val="1"/>
      <w:marLeft w:val="0"/>
      <w:marRight w:val="0"/>
      <w:marTop w:val="0"/>
      <w:marBottom w:val="0"/>
      <w:divBdr>
        <w:top w:val="none" w:sz="0" w:space="0" w:color="auto"/>
        <w:left w:val="none" w:sz="0" w:space="0" w:color="auto"/>
        <w:bottom w:val="none" w:sz="0" w:space="0" w:color="auto"/>
        <w:right w:val="none" w:sz="0" w:space="0" w:color="auto"/>
      </w:divBdr>
    </w:div>
    <w:div w:id="2062829204">
      <w:bodyDiv w:val="1"/>
      <w:marLeft w:val="0"/>
      <w:marRight w:val="0"/>
      <w:marTop w:val="0"/>
      <w:marBottom w:val="0"/>
      <w:divBdr>
        <w:top w:val="none" w:sz="0" w:space="0" w:color="auto"/>
        <w:left w:val="none" w:sz="0" w:space="0" w:color="auto"/>
        <w:bottom w:val="none" w:sz="0" w:space="0" w:color="auto"/>
        <w:right w:val="none" w:sz="0" w:space="0" w:color="auto"/>
      </w:divBdr>
    </w:div>
    <w:div w:id="2063022904">
      <w:bodyDiv w:val="1"/>
      <w:marLeft w:val="0"/>
      <w:marRight w:val="0"/>
      <w:marTop w:val="0"/>
      <w:marBottom w:val="0"/>
      <w:divBdr>
        <w:top w:val="none" w:sz="0" w:space="0" w:color="auto"/>
        <w:left w:val="none" w:sz="0" w:space="0" w:color="auto"/>
        <w:bottom w:val="none" w:sz="0" w:space="0" w:color="auto"/>
        <w:right w:val="none" w:sz="0" w:space="0" w:color="auto"/>
      </w:divBdr>
    </w:div>
    <w:div w:id="2063091207">
      <w:bodyDiv w:val="1"/>
      <w:marLeft w:val="0"/>
      <w:marRight w:val="0"/>
      <w:marTop w:val="0"/>
      <w:marBottom w:val="0"/>
      <w:divBdr>
        <w:top w:val="none" w:sz="0" w:space="0" w:color="auto"/>
        <w:left w:val="none" w:sz="0" w:space="0" w:color="auto"/>
        <w:bottom w:val="none" w:sz="0" w:space="0" w:color="auto"/>
        <w:right w:val="none" w:sz="0" w:space="0" w:color="auto"/>
      </w:divBdr>
    </w:div>
    <w:div w:id="2063433304">
      <w:bodyDiv w:val="1"/>
      <w:marLeft w:val="0"/>
      <w:marRight w:val="0"/>
      <w:marTop w:val="0"/>
      <w:marBottom w:val="0"/>
      <w:divBdr>
        <w:top w:val="none" w:sz="0" w:space="0" w:color="auto"/>
        <w:left w:val="none" w:sz="0" w:space="0" w:color="auto"/>
        <w:bottom w:val="none" w:sz="0" w:space="0" w:color="auto"/>
        <w:right w:val="none" w:sz="0" w:space="0" w:color="auto"/>
      </w:divBdr>
    </w:div>
    <w:div w:id="2063433347">
      <w:bodyDiv w:val="1"/>
      <w:marLeft w:val="0"/>
      <w:marRight w:val="0"/>
      <w:marTop w:val="0"/>
      <w:marBottom w:val="0"/>
      <w:divBdr>
        <w:top w:val="none" w:sz="0" w:space="0" w:color="auto"/>
        <w:left w:val="none" w:sz="0" w:space="0" w:color="auto"/>
        <w:bottom w:val="none" w:sz="0" w:space="0" w:color="auto"/>
        <w:right w:val="none" w:sz="0" w:space="0" w:color="auto"/>
      </w:divBdr>
    </w:div>
    <w:div w:id="2063821412">
      <w:bodyDiv w:val="1"/>
      <w:marLeft w:val="0"/>
      <w:marRight w:val="0"/>
      <w:marTop w:val="0"/>
      <w:marBottom w:val="0"/>
      <w:divBdr>
        <w:top w:val="none" w:sz="0" w:space="0" w:color="auto"/>
        <w:left w:val="none" w:sz="0" w:space="0" w:color="auto"/>
        <w:bottom w:val="none" w:sz="0" w:space="0" w:color="auto"/>
        <w:right w:val="none" w:sz="0" w:space="0" w:color="auto"/>
      </w:divBdr>
    </w:div>
    <w:div w:id="2064137890">
      <w:bodyDiv w:val="1"/>
      <w:marLeft w:val="0"/>
      <w:marRight w:val="0"/>
      <w:marTop w:val="0"/>
      <w:marBottom w:val="0"/>
      <w:divBdr>
        <w:top w:val="none" w:sz="0" w:space="0" w:color="auto"/>
        <w:left w:val="none" w:sz="0" w:space="0" w:color="auto"/>
        <w:bottom w:val="none" w:sz="0" w:space="0" w:color="auto"/>
        <w:right w:val="none" w:sz="0" w:space="0" w:color="auto"/>
      </w:divBdr>
    </w:div>
    <w:div w:id="2064209355">
      <w:bodyDiv w:val="1"/>
      <w:marLeft w:val="0"/>
      <w:marRight w:val="0"/>
      <w:marTop w:val="0"/>
      <w:marBottom w:val="0"/>
      <w:divBdr>
        <w:top w:val="none" w:sz="0" w:space="0" w:color="auto"/>
        <w:left w:val="none" w:sz="0" w:space="0" w:color="auto"/>
        <w:bottom w:val="none" w:sz="0" w:space="0" w:color="auto"/>
        <w:right w:val="none" w:sz="0" w:space="0" w:color="auto"/>
      </w:divBdr>
    </w:div>
    <w:div w:id="2064331433">
      <w:bodyDiv w:val="1"/>
      <w:marLeft w:val="0"/>
      <w:marRight w:val="0"/>
      <w:marTop w:val="0"/>
      <w:marBottom w:val="0"/>
      <w:divBdr>
        <w:top w:val="none" w:sz="0" w:space="0" w:color="auto"/>
        <w:left w:val="none" w:sz="0" w:space="0" w:color="auto"/>
        <w:bottom w:val="none" w:sz="0" w:space="0" w:color="auto"/>
        <w:right w:val="none" w:sz="0" w:space="0" w:color="auto"/>
      </w:divBdr>
    </w:div>
    <w:div w:id="2064405319">
      <w:bodyDiv w:val="1"/>
      <w:marLeft w:val="0"/>
      <w:marRight w:val="0"/>
      <w:marTop w:val="0"/>
      <w:marBottom w:val="0"/>
      <w:divBdr>
        <w:top w:val="none" w:sz="0" w:space="0" w:color="auto"/>
        <w:left w:val="none" w:sz="0" w:space="0" w:color="auto"/>
        <w:bottom w:val="none" w:sz="0" w:space="0" w:color="auto"/>
        <w:right w:val="none" w:sz="0" w:space="0" w:color="auto"/>
      </w:divBdr>
    </w:div>
    <w:div w:id="2064520433">
      <w:bodyDiv w:val="1"/>
      <w:marLeft w:val="0"/>
      <w:marRight w:val="0"/>
      <w:marTop w:val="0"/>
      <w:marBottom w:val="0"/>
      <w:divBdr>
        <w:top w:val="none" w:sz="0" w:space="0" w:color="auto"/>
        <w:left w:val="none" w:sz="0" w:space="0" w:color="auto"/>
        <w:bottom w:val="none" w:sz="0" w:space="0" w:color="auto"/>
        <w:right w:val="none" w:sz="0" w:space="0" w:color="auto"/>
      </w:divBdr>
    </w:div>
    <w:div w:id="2064521299">
      <w:bodyDiv w:val="1"/>
      <w:marLeft w:val="0"/>
      <w:marRight w:val="0"/>
      <w:marTop w:val="0"/>
      <w:marBottom w:val="0"/>
      <w:divBdr>
        <w:top w:val="none" w:sz="0" w:space="0" w:color="auto"/>
        <w:left w:val="none" w:sz="0" w:space="0" w:color="auto"/>
        <w:bottom w:val="none" w:sz="0" w:space="0" w:color="auto"/>
        <w:right w:val="none" w:sz="0" w:space="0" w:color="auto"/>
      </w:divBdr>
    </w:div>
    <w:div w:id="2064524204">
      <w:bodyDiv w:val="1"/>
      <w:marLeft w:val="0"/>
      <w:marRight w:val="0"/>
      <w:marTop w:val="0"/>
      <w:marBottom w:val="0"/>
      <w:divBdr>
        <w:top w:val="none" w:sz="0" w:space="0" w:color="auto"/>
        <w:left w:val="none" w:sz="0" w:space="0" w:color="auto"/>
        <w:bottom w:val="none" w:sz="0" w:space="0" w:color="auto"/>
        <w:right w:val="none" w:sz="0" w:space="0" w:color="auto"/>
      </w:divBdr>
    </w:div>
    <w:div w:id="2064525590">
      <w:bodyDiv w:val="1"/>
      <w:marLeft w:val="0"/>
      <w:marRight w:val="0"/>
      <w:marTop w:val="0"/>
      <w:marBottom w:val="0"/>
      <w:divBdr>
        <w:top w:val="none" w:sz="0" w:space="0" w:color="auto"/>
        <w:left w:val="none" w:sz="0" w:space="0" w:color="auto"/>
        <w:bottom w:val="none" w:sz="0" w:space="0" w:color="auto"/>
        <w:right w:val="none" w:sz="0" w:space="0" w:color="auto"/>
      </w:divBdr>
    </w:div>
    <w:div w:id="2064668738">
      <w:bodyDiv w:val="1"/>
      <w:marLeft w:val="0"/>
      <w:marRight w:val="0"/>
      <w:marTop w:val="0"/>
      <w:marBottom w:val="0"/>
      <w:divBdr>
        <w:top w:val="none" w:sz="0" w:space="0" w:color="auto"/>
        <w:left w:val="none" w:sz="0" w:space="0" w:color="auto"/>
        <w:bottom w:val="none" w:sz="0" w:space="0" w:color="auto"/>
        <w:right w:val="none" w:sz="0" w:space="0" w:color="auto"/>
      </w:divBdr>
    </w:div>
    <w:div w:id="2064787303">
      <w:bodyDiv w:val="1"/>
      <w:marLeft w:val="0"/>
      <w:marRight w:val="0"/>
      <w:marTop w:val="0"/>
      <w:marBottom w:val="0"/>
      <w:divBdr>
        <w:top w:val="none" w:sz="0" w:space="0" w:color="auto"/>
        <w:left w:val="none" w:sz="0" w:space="0" w:color="auto"/>
        <w:bottom w:val="none" w:sz="0" w:space="0" w:color="auto"/>
        <w:right w:val="none" w:sz="0" w:space="0" w:color="auto"/>
      </w:divBdr>
    </w:div>
    <w:div w:id="2064988043">
      <w:bodyDiv w:val="1"/>
      <w:marLeft w:val="0"/>
      <w:marRight w:val="0"/>
      <w:marTop w:val="0"/>
      <w:marBottom w:val="0"/>
      <w:divBdr>
        <w:top w:val="none" w:sz="0" w:space="0" w:color="auto"/>
        <w:left w:val="none" w:sz="0" w:space="0" w:color="auto"/>
        <w:bottom w:val="none" w:sz="0" w:space="0" w:color="auto"/>
        <w:right w:val="none" w:sz="0" w:space="0" w:color="auto"/>
      </w:divBdr>
    </w:div>
    <w:div w:id="2065061755">
      <w:bodyDiv w:val="1"/>
      <w:marLeft w:val="0"/>
      <w:marRight w:val="0"/>
      <w:marTop w:val="0"/>
      <w:marBottom w:val="0"/>
      <w:divBdr>
        <w:top w:val="none" w:sz="0" w:space="0" w:color="auto"/>
        <w:left w:val="none" w:sz="0" w:space="0" w:color="auto"/>
        <w:bottom w:val="none" w:sz="0" w:space="0" w:color="auto"/>
        <w:right w:val="none" w:sz="0" w:space="0" w:color="auto"/>
      </w:divBdr>
    </w:div>
    <w:div w:id="2065174103">
      <w:bodyDiv w:val="1"/>
      <w:marLeft w:val="0"/>
      <w:marRight w:val="0"/>
      <w:marTop w:val="0"/>
      <w:marBottom w:val="0"/>
      <w:divBdr>
        <w:top w:val="none" w:sz="0" w:space="0" w:color="auto"/>
        <w:left w:val="none" w:sz="0" w:space="0" w:color="auto"/>
        <w:bottom w:val="none" w:sz="0" w:space="0" w:color="auto"/>
        <w:right w:val="none" w:sz="0" w:space="0" w:color="auto"/>
      </w:divBdr>
    </w:div>
    <w:div w:id="2065175990">
      <w:bodyDiv w:val="1"/>
      <w:marLeft w:val="0"/>
      <w:marRight w:val="0"/>
      <w:marTop w:val="0"/>
      <w:marBottom w:val="0"/>
      <w:divBdr>
        <w:top w:val="none" w:sz="0" w:space="0" w:color="auto"/>
        <w:left w:val="none" w:sz="0" w:space="0" w:color="auto"/>
        <w:bottom w:val="none" w:sz="0" w:space="0" w:color="auto"/>
        <w:right w:val="none" w:sz="0" w:space="0" w:color="auto"/>
      </w:divBdr>
    </w:div>
    <w:div w:id="2065179936">
      <w:bodyDiv w:val="1"/>
      <w:marLeft w:val="0"/>
      <w:marRight w:val="0"/>
      <w:marTop w:val="0"/>
      <w:marBottom w:val="0"/>
      <w:divBdr>
        <w:top w:val="none" w:sz="0" w:space="0" w:color="auto"/>
        <w:left w:val="none" w:sz="0" w:space="0" w:color="auto"/>
        <w:bottom w:val="none" w:sz="0" w:space="0" w:color="auto"/>
        <w:right w:val="none" w:sz="0" w:space="0" w:color="auto"/>
      </w:divBdr>
    </w:div>
    <w:div w:id="2065255775">
      <w:bodyDiv w:val="1"/>
      <w:marLeft w:val="0"/>
      <w:marRight w:val="0"/>
      <w:marTop w:val="0"/>
      <w:marBottom w:val="0"/>
      <w:divBdr>
        <w:top w:val="none" w:sz="0" w:space="0" w:color="auto"/>
        <w:left w:val="none" w:sz="0" w:space="0" w:color="auto"/>
        <w:bottom w:val="none" w:sz="0" w:space="0" w:color="auto"/>
        <w:right w:val="none" w:sz="0" w:space="0" w:color="auto"/>
      </w:divBdr>
    </w:div>
    <w:div w:id="2065331394">
      <w:bodyDiv w:val="1"/>
      <w:marLeft w:val="0"/>
      <w:marRight w:val="0"/>
      <w:marTop w:val="0"/>
      <w:marBottom w:val="0"/>
      <w:divBdr>
        <w:top w:val="none" w:sz="0" w:space="0" w:color="auto"/>
        <w:left w:val="none" w:sz="0" w:space="0" w:color="auto"/>
        <w:bottom w:val="none" w:sz="0" w:space="0" w:color="auto"/>
        <w:right w:val="none" w:sz="0" w:space="0" w:color="auto"/>
      </w:divBdr>
    </w:div>
    <w:div w:id="2065371559">
      <w:bodyDiv w:val="1"/>
      <w:marLeft w:val="0"/>
      <w:marRight w:val="0"/>
      <w:marTop w:val="0"/>
      <w:marBottom w:val="0"/>
      <w:divBdr>
        <w:top w:val="none" w:sz="0" w:space="0" w:color="auto"/>
        <w:left w:val="none" w:sz="0" w:space="0" w:color="auto"/>
        <w:bottom w:val="none" w:sz="0" w:space="0" w:color="auto"/>
        <w:right w:val="none" w:sz="0" w:space="0" w:color="auto"/>
      </w:divBdr>
    </w:div>
    <w:div w:id="2065372182">
      <w:bodyDiv w:val="1"/>
      <w:marLeft w:val="0"/>
      <w:marRight w:val="0"/>
      <w:marTop w:val="0"/>
      <w:marBottom w:val="0"/>
      <w:divBdr>
        <w:top w:val="none" w:sz="0" w:space="0" w:color="auto"/>
        <w:left w:val="none" w:sz="0" w:space="0" w:color="auto"/>
        <w:bottom w:val="none" w:sz="0" w:space="0" w:color="auto"/>
        <w:right w:val="none" w:sz="0" w:space="0" w:color="auto"/>
      </w:divBdr>
    </w:div>
    <w:div w:id="2065373158">
      <w:bodyDiv w:val="1"/>
      <w:marLeft w:val="0"/>
      <w:marRight w:val="0"/>
      <w:marTop w:val="0"/>
      <w:marBottom w:val="0"/>
      <w:divBdr>
        <w:top w:val="none" w:sz="0" w:space="0" w:color="auto"/>
        <w:left w:val="none" w:sz="0" w:space="0" w:color="auto"/>
        <w:bottom w:val="none" w:sz="0" w:space="0" w:color="auto"/>
        <w:right w:val="none" w:sz="0" w:space="0" w:color="auto"/>
      </w:divBdr>
    </w:div>
    <w:div w:id="2065398939">
      <w:bodyDiv w:val="1"/>
      <w:marLeft w:val="0"/>
      <w:marRight w:val="0"/>
      <w:marTop w:val="0"/>
      <w:marBottom w:val="0"/>
      <w:divBdr>
        <w:top w:val="none" w:sz="0" w:space="0" w:color="auto"/>
        <w:left w:val="none" w:sz="0" w:space="0" w:color="auto"/>
        <w:bottom w:val="none" w:sz="0" w:space="0" w:color="auto"/>
        <w:right w:val="none" w:sz="0" w:space="0" w:color="auto"/>
      </w:divBdr>
    </w:div>
    <w:div w:id="2065567936">
      <w:bodyDiv w:val="1"/>
      <w:marLeft w:val="0"/>
      <w:marRight w:val="0"/>
      <w:marTop w:val="0"/>
      <w:marBottom w:val="0"/>
      <w:divBdr>
        <w:top w:val="none" w:sz="0" w:space="0" w:color="auto"/>
        <w:left w:val="none" w:sz="0" w:space="0" w:color="auto"/>
        <w:bottom w:val="none" w:sz="0" w:space="0" w:color="auto"/>
        <w:right w:val="none" w:sz="0" w:space="0" w:color="auto"/>
      </w:divBdr>
    </w:div>
    <w:div w:id="2065635100">
      <w:bodyDiv w:val="1"/>
      <w:marLeft w:val="0"/>
      <w:marRight w:val="0"/>
      <w:marTop w:val="0"/>
      <w:marBottom w:val="0"/>
      <w:divBdr>
        <w:top w:val="none" w:sz="0" w:space="0" w:color="auto"/>
        <w:left w:val="none" w:sz="0" w:space="0" w:color="auto"/>
        <w:bottom w:val="none" w:sz="0" w:space="0" w:color="auto"/>
        <w:right w:val="none" w:sz="0" w:space="0" w:color="auto"/>
      </w:divBdr>
    </w:div>
    <w:div w:id="2065761269">
      <w:bodyDiv w:val="1"/>
      <w:marLeft w:val="0"/>
      <w:marRight w:val="0"/>
      <w:marTop w:val="0"/>
      <w:marBottom w:val="0"/>
      <w:divBdr>
        <w:top w:val="none" w:sz="0" w:space="0" w:color="auto"/>
        <w:left w:val="none" w:sz="0" w:space="0" w:color="auto"/>
        <w:bottom w:val="none" w:sz="0" w:space="0" w:color="auto"/>
        <w:right w:val="none" w:sz="0" w:space="0" w:color="auto"/>
      </w:divBdr>
    </w:div>
    <w:div w:id="2065785181">
      <w:bodyDiv w:val="1"/>
      <w:marLeft w:val="0"/>
      <w:marRight w:val="0"/>
      <w:marTop w:val="0"/>
      <w:marBottom w:val="0"/>
      <w:divBdr>
        <w:top w:val="none" w:sz="0" w:space="0" w:color="auto"/>
        <w:left w:val="none" w:sz="0" w:space="0" w:color="auto"/>
        <w:bottom w:val="none" w:sz="0" w:space="0" w:color="auto"/>
        <w:right w:val="none" w:sz="0" w:space="0" w:color="auto"/>
      </w:divBdr>
    </w:div>
    <w:div w:id="2065791710">
      <w:bodyDiv w:val="1"/>
      <w:marLeft w:val="0"/>
      <w:marRight w:val="0"/>
      <w:marTop w:val="0"/>
      <w:marBottom w:val="0"/>
      <w:divBdr>
        <w:top w:val="none" w:sz="0" w:space="0" w:color="auto"/>
        <w:left w:val="none" w:sz="0" w:space="0" w:color="auto"/>
        <w:bottom w:val="none" w:sz="0" w:space="0" w:color="auto"/>
        <w:right w:val="none" w:sz="0" w:space="0" w:color="auto"/>
      </w:divBdr>
    </w:div>
    <w:div w:id="2065829320">
      <w:bodyDiv w:val="1"/>
      <w:marLeft w:val="0"/>
      <w:marRight w:val="0"/>
      <w:marTop w:val="0"/>
      <w:marBottom w:val="0"/>
      <w:divBdr>
        <w:top w:val="none" w:sz="0" w:space="0" w:color="auto"/>
        <w:left w:val="none" w:sz="0" w:space="0" w:color="auto"/>
        <w:bottom w:val="none" w:sz="0" w:space="0" w:color="auto"/>
        <w:right w:val="none" w:sz="0" w:space="0" w:color="auto"/>
      </w:divBdr>
    </w:div>
    <w:div w:id="2065831195">
      <w:bodyDiv w:val="1"/>
      <w:marLeft w:val="0"/>
      <w:marRight w:val="0"/>
      <w:marTop w:val="0"/>
      <w:marBottom w:val="0"/>
      <w:divBdr>
        <w:top w:val="none" w:sz="0" w:space="0" w:color="auto"/>
        <w:left w:val="none" w:sz="0" w:space="0" w:color="auto"/>
        <w:bottom w:val="none" w:sz="0" w:space="0" w:color="auto"/>
        <w:right w:val="none" w:sz="0" w:space="0" w:color="auto"/>
      </w:divBdr>
    </w:div>
    <w:div w:id="2065903324">
      <w:bodyDiv w:val="1"/>
      <w:marLeft w:val="0"/>
      <w:marRight w:val="0"/>
      <w:marTop w:val="0"/>
      <w:marBottom w:val="0"/>
      <w:divBdr>
        <w:top w:val="none" w:sz="0" w:space="0" w:color="auto"/>
        <w:left w:val="none" w:sz="0" w:space="0" w:color="auto"/>
        <w:bottom w:val="none" w:sz="0" w:space="0" w:color="auto"/>
        <w:right w:val="none" w:sz="0" w:space="0" w:color="auto"/>
      </w:divBdr>
    </w:div>
    <w:div w:id="2066097189">
      <w:bodyDiv w:val="1"/>
      <w:marLeft w:val="0"/>
      <w:marRight w:val="0"/>
      <w:marTop w:val="0"/>
      <w:marBottom w:val="0"/>
      <w:divBdr>
        <w:top w:val="none" w:sz="0" w:space="0" w:color="auto"/>
        <w:left w:val="none" w:sz="0" w:space="0" w:color="auto"/>
        <w:bottom w:val="none" w:sz="0" w:space="0" w:color="auto"/>
        <w:right w:val="none" w:sz="0" w:space="0" w:color="auto"/>
      </w:divBdr>
    </w:div>
    <w:div w:id="2066175676">
      <w:bodyDiv w:val="1"/>
      <w:marLeft w:val="0"/>
      <w:marRight w:val="0"/>
      <w:marTop w:val="0"/>
      <w:marBottom w:val="0"/>
      <w:divBdr>
        <w:top w:val="none" w:sz="0" w:space="0" w:color="auto"/>
        <w:left w:val="none" w:sz="0" w:space="0" w:color="auto"/>
        <w:bottom w:val="none" w:sz="0" w:space="0" w:color="auto"/>
        <w:right w:val="none" w:sz="0" w:space="0" w:color="auto"/>
      </w:divBdr>
    </w:div>
    <w:div w:id="2066177354">
      <w:bodyDiv w:val="1"/>
      <w:marLeft w:val="0"/>
      <w:marRight w:val="0"/>
      <w:marTop w:val="0"/>
      <w:marBottom w:val="0"/>
      <w:divBdr>
        <w:top w:val="none" w:sz="0" w:space="0" w:color="auto"/>
        <w:left w:val="none" w:sz="0" w:space="0" w:color="auto"/>
        <w:bottom w:val="none" w:sz="0" w:space="0" w:color="auto"/>
        <w:right w:val="none" w:sz="0" w:space="0" w:color="auto"/>
      </w:divBdr>
    </w:div>
    <w:div w:id="2066290984">
      <w:bodyDiv w:val="1"/>
      <w:marLeft w:val="0"/>
      <w:marRight w:val="0"/>
      <w:marTop w:val="0"/>
      <w:marBottom w:val="0"/>
      <w:divBdr>
        <w:top w:val="none" w:sz="0" w:space="0" w:color="auto"/>
        <w:left w:val="none" w:sz="0" w:space="0" w:color="auto"/>
        <w:bottom w:val="none" w:sz="0" w:space="0" w:color="auto"/>
        <w:right w:val="none" w:sz="0" w:space="0" w:color="auto"/>
      </w:divBdr>
    </w:div>
    <w:div w:id="2066298804">
      <w:bodyDiv w:val="1"/>
      <w:marLeft w:val="0"/>
      <w:marRight w:val="0"/>
      <w:marTop w:val="0"/>
      <w:marBottom w:val="0"/>
      <w:divBdr>
        <w:top w:val="none" w:sz="0" w:space="0" w:color="auto"/>
        <w:left w:val="none" w:sz="0" w:space="0" w:color="auto"/>
        <w:bottom w:val="none" w:sz="0" w:space="0" w:color="auto"/>
        <w:right w:val="none" w:sz="0" w:space="0" w:color="auto"/>
      </w:divBdr>
    </w:div>
    <w:div w:id="2066638616">
      <w:bodyDiv w:val="1"/>
      <w:marLeft w:val="0"/>
      <w:marRight w:val="0"/>
      <w:marTop w:val="0"/>
      <w:marBottom w:val="0"/>
      <w:divBdr>
        <w:top w:val="none" w:sz="0" w:space="0" w:color="auto"/>
        <w:left w:val="none" w:sz="0" w:space="0" w:color="auto"/>
        <w:bottom w:val="none" w:sz="0" w:space="0" w:color="auto"/>
        <w:right w:val="none" w:sz="0" w:space="0" w:color="auto"/>
      </w:divBdr>
    </w:div>
    <w:div w:id="2066684736">
      <w:bodyDiv w:val="1"/>
      <w:marLeft w:val="0"/>
      <w:marRight w:val="0"/>
      <w:marTop w:val="0"/>
      <w:marBottom w:val="0"/>
      <w:divBdr>
        <w:top w:val="none" w:sz="0" w:space="0" w:color="auto"/>
        <w:left w:val="none" w:sz="0" w:space="0" w:color="auto"/>
        <w:bottom w:val="none" w:sz="0" w:space="0" w:color="auto"/>
        <w:right w:val="none" w:sz="0" w:space="0" w:color="auto"/>
      </w:divBdr>
    </w:div>
    <w:div w:id="2066752994">
      <w:bodyDiv w:val="1"/>
      <w:marLeft w:val="0"/>
      <w:marRight w:val="0"/>
      <w:marTop w:val="0"/>
      <w:marBottom w:val="0"/>
      <w:divBdr>
        <w:top w:val="none" w:sz="0" w:space="0" w:color="auto"/>
        <w:left w:val="none" w:sz="0" w:space="0" w:color="auto"/>
        <w:bottom w:val="none" w:sz="0" w:space="0" w:color="auto"/>
        <w:right w:val="none" w:sz="0" w:space="0" w:color="auto"/>
      </w:divBdr>
    </w:div>
    <w:div w:id="2066759845">
      <w:bodyDiv w:val="1"/>
      <w:marLeft w:val="0"/>
      <w:marRight w:val="0"/>
      <w:marTop w:val="0"/>
      <w:marBottom w:val="0"/>
      <w:divBdr>
        <w:top w:val="none" w:sz="0" w:space="0" w:color="auto"/>
        <w:left w:val="none" w:sz="0" w:space="0" w:color="auto"/>
        <w:bottom w:val="none" w:sz="0" w:space="0" w:color="auto"/>
        <w:right w:val="none" w:sz="0" w:space="0" w:color="auto"/>
      </w:divBdr>
    </w:div>
    <w:div w:id="2066829474">
      <w:bodyDiv w:val="1"/>
      <w:marLeft w:val="0"/>
      <w:marRight w:val="0"/>
      <w:marTop w:val="0"/>
      <w:marBottom w:val="0"/>
      <w:divBdr>
        <w:top w:val="none" w:sz="0" w:space="0" w:color="auto"/>
        <w:left w:val="none" w:sz="0" w:space="0" w:color="auto"/>
        <w:bottom w:val="none" w:sz="0" w:space="0" w:color="auto"/>
        <w:right w:val="none" w:sz="0" w:space="0" w:color="auto"/>
      </w:divBdr>
    </w:div>
    <w:div w:id="2066945424">
      <w:bodyDiv w:val="1"/>
      <w:marLeft w:val="0"/>
      <w:marRight w:val="0"/>
      <w:marTop w:val="0"/>
      <w:marBottom w:val="0"/>
      <w:divBdr>
        <w:top w:val="none" w:sz="0" w:space="0" w:color="auto"/>
        <w:left w:val="none" w:sz="0" w:space="0" w:color="auto"/>
        <w:bottom w:val="none" w:sz="0" w:space="0" w:color="auto"/>
        <w:right w:val="none" w:sz="0" w:space="0" w:color="auto"/>
      </w:divBdr>
    </w:div>
    <w:div w:id="2067028978">
      <w:bodyDiv w:val="1"/>
      <w:marLeft w:val="0"/>
      <w:marRight w:val="0"/>
      <w:marTop w:val="0"/>
      <w:marBottom w:val="0"/>
      <w:divBdr>
        <w:top w:val="none" w:sz="0" w:space="0" w:color="auto"/>
        <w:left w:val="none" w:sz="0" w:space="0" w:color="auto"/>
        <w:bottom w:val="none" w:sz="0" w:space="0" w:color="auto"/>
        <w:right w:val="none" w:sz="0" w:space="0" w:color="auto"/>
      </w:divBdr>
    </w:div>
    <w:div w:id="2067097885">
      <w:bodyDiv w:val="1"/>
      <w:marLeft w:val="0"/>
      <w:marRight w:val="0"/>
      <w:marTop w:val="0"/>
      <w:marBottom w:val="0"/>
      <w:divBdr>
        <w:top w:val="none" w:sz="0" w:space="0" w:color="auto"/>
        <w:left w:val="none" w:sz="0" w:space="0" w:color="auto"/>
        <w:bottom w:val="none" w:sz="0" w:space="0" w:color="auto"/>
        <w:right w:val="none" w:sz="0" w:space="0" w:color="auto"/>
      </w:divBdr>
    </w:div>
    <w:div w:id="2067143611">
      <w:bodyDiv w:val="1"/>
      <w:marLeft w:val="0"/>
      <w:marRight w:val="0"/>
      <w:marTop w:val="0"/>
      <w:marBottom w:val="0"/>
      <w:divBdr>
        <w:top w:val="none" w:sz="0" w:space="0" w:color="auto"/>
        <w:left w:val="none" w:sz="0" w:space="0" w:color="auto"/>
        <w:bottom w:val="none" w:sz="0" w:space="0" w:color="auto"/>
        <w:right w:val="none" w:sz="0" w:space="0" w:color="auto"/>
      </w:divBdr>
    </w:div>
    <w:div w:id="2067146262">
      <w:bodyDiv w:val="1"/>
      <w:marLeft w:val="0"/>
      <w:marRight w:val="0"/>
      <w:marTop w:val="0"/>
      <w:marBottom w:val="0"/>
      <w:divBdr>
        <w:top w:val="none" w:sz="0" w:space="0" w:color="auto"/>
        <w:left w:val="none" w:sz="0" w:space="0" w:color="auto"/>
        <w:bottom w:val="none" w:sz="0" w:space="0" w:color="auto"/>
        <w:right w:val="none" w:sz="0" w:space="0" w:color="auto"/>
      </w:divBdr>
    </w:div>
    <w:div w:id="2067220130">
      <w:bodyDiv w:val="1"/>
      <w:marLeft w:val="0"/>
      <w:marRight w:val="0"/>
      <w:marTop w:val="0"/>
      <w:marBottom w:val="0"/>
      <w:divBdr>
        <w:top w:val="none" w:sz="0" w:space="0" w:color="auto"/>
        <w:left w:val="none" w:sz="0" w:space="0" w:color="auto"/>
        <w:bottom w:val="none" w:sz="0" w:space="0" w:color="auto"/>
        <w:right w:val="none" w:sz="0" w:space="0" w:color="auto"/>
      </w:divBdr>
    </w:div>
    <w:div w:id="2067290494">
      <w:bodyDiv w:val="1"/>
      <w:marLeft w:val="0"/>
      <w:marRight w:val="0"/>
      <w:marTop w:val="0"/>
      <w:marBottom w:val="0"/>
      <w:divBdr>
        <w:top w:val="none" w:sz="0" w:space="0" w:color="auto"/>
        <w:left w:val="none" w:sz="0" w:space="0" w:color="auto"/>
        <w:bottom w:val="none" w:sz="0" w:space="0" w:color="auto"/>
        <w:right w:val="none" w:sz="0" w:space="0" w:color="auto"/>
      </w:divBdr>
    </w:div>
    <w:div w:id="2067293790">
      <w:bodyDiv w:val="1"/>
      <w:marLeft w:val="0"/>
      <w:marRight w:val="0"/>
      <w:marTop w:val="0"/>
      <w:marBottom w:val="0"/>
      <w:divBdr>
        <w:top w:val="none" w:sz="0" w:space="0" w:color="auto"/>
        <w:left w:val="none" w:sz="0" w:space="0" w:color="auto"/>
        <w:bottom w:val="none" w:sz="0" w:space="0" w:color="auto"/>
        <w:right w:val="none" w:sz="0" w:space="0" w:color="auto"/>
      </w:divBdr>
    </w:div>
    <w:div w:id="2067334480">
      <w:bodyDiv w:val="1"/>
      <w:marLeft w:val="0"/>
      <w:marRight w:val="0"/>
      <w:marTop w:val="0"/>
      <w:marBottom w:val="0"/>
      <w:divBdr>
        <w:top w:val="none" w:sz="0" w:space="0" w:color="auto"/>
        <w:left w:val="none" w:sz="0" w:space="0" w:color="auto"/>
        <w:bottom w:val="none" w:sz="0" w:space="0" w:color="auto"/>
        <w:right w:val="none" w:sz="0" w:space="0" w:color="auto"/>
      </w:divBdr>
    </w:div>
    <w:div w:id="2067410722">
      <w:bodyDiv w:val="1"/>
      <w:marLeft w:val="0"/>
      <w:marRight w:val="0"/>
      <w:marTop w:val="0"/>
      <w:marBottom w:val="0"/>
      <w:divBdr>
        <w:top w:val="none" w:sz="0" w:space="0" w:color="auto"/>
        <w:left w:val="none" w:sz="0" w:space="0" w:color="auto"/>
        <w:bottom w:val="none" w:sz="0" w:space="0" w:color="auto"/>
        <w:right w:val="none" w:sz="0" w:space="0" w:color="auto"/>
      </w:divBdr>
    </w:div>
    <w:div w:id="2067532087">
      <w:bodyDiv w:val="1"/>
      <w:marLeft w:val="0"/>
      <w:marRight w:val="0"/>
      <w:marTop w:val="0"/>
      <w:marBottom w:val="0"/>
      <w:divBdr>
        <w:top w:val="none" w:sz="0" w:space="0" w:color="auto"/>
        <w:left w:val="none" w:sz="0" w:space="0" w:color="auto"/>
        <w:bottom w:val="none" w:sz="0" w:space="0" w:color="auto"/>
        <w:right w:val="none" w:sz="0" w:space="0" w:color="auto"/>
      </w:divBdr>
    </w:div>
    <w:div w:id="2067559782">
      <w:bodyDiv w:val="1"/>
      <w:marLeft w:val="0"/>
      <w:marRight w:val="0"/>
      <w:marTop w:val="0"/>
      <w:marBottom w:val="0"/>
      <w:divBdr>
        <w:top w:val="none" w:sz="0" w:space="0" w:color="auto"/>
        <w:left w:val="none" w:sz="0" w:space="0" w:color="auto"/>
        <w:bottom w:val="none" w:sz="0" w:space="0" w:color="auto"/>
        <w:right w:val="none" w:sz="0" w:space="0" w:color="auto"/>
      </w:divBdr>
    </w:div>
    <w:div w:id="2067605906">
      <w:bodyDiv w:val="1"/>
      <w:marLeft w:val="0"/>
      <w:marRight w:val="0"/>
      <w:marTop w:val="0"/>
      <w:marBottom w:val="0"/>
      <w:divBdr>
        <w:top w:val="none" w:sz="0" w:space="0" w:color="auto"/>
        <w:left w:val="none" w:sz="0" w:space="0" w:color="auto"/>
        <w:bottom w:val="none" w:sz="0" w:space="0" w:color="auto"/>
        <w:right w:val="none" w:sz="0" w:space="0" w:color="auto"/>
      </w:divBdr>
    </w:div>
    <w:div w:id="2067755664">
      <w:bodyDiv w:val="1"/>
      <w:marLeft w:val="0"/>
      <w:marRight w:val="0"/>
      <w:marTop w:val="0"/>
      <w:marBottom w:val="0"/>
      <w:divBdr>
        <w:top w:val="none" w:sz="0" w:space="0" w:color="auto"/>
        <w:left w:val="none" w:sz="0" w:space="0" w:color="auto"/>
        <w:bottom w:val="none" w:sz="0" w:space="0" w:color="auto"/>
        <w:right w:val="none" w:sz="0" w:space="0" w:color="auto"/>
      </w:divBdr>
    </w:div>
    <w:div w:id="2067989012">
      <w:bodyDiv w:val="1"/>
      <w:marLeft w:val="0"/>
      <w:marRight w:val="0"/>
      <w:marTop w:val="0"/>
      <w:marBottom w:val="0"/>
      <w:divBdr>
        <w:top w:val="none" w:sz="0" w:space="0" w:color="auto"/>
        <w:left w:val="none" w:sz="0" w:space="0" w:color="auto"/>
        <w:bottom w:val="none" w:sz="0" w:space="0" w:color="auto"/>
        <w:right w:val="none" w:sz="0" w:space="0" w:color="auto"/>
      </w:divBdr>
    </w:div>
    <w:div w:id="2067991074">
      <w:bodyDiv w:val="1"/>
      <w:marLeft w:val="0"/>
      <w:marRight w:val="0"/>
      <w:marTop w:val="0"/>
      <w:marBottom w:val="0"/>
      <w:divBdr>
        <w:top w:val="none" w:sz="0" w:space="0" w:color="auto"/>
        <w:left w:val="none" w:sz="0" w:space="0" w:color="auto"/>
        <w:bottom w:val="none" w:sz="0" w:space="0" w:color="auto"/>
        <w:right w:val="none" w:sz="0" w:space="0" w:color="auto"/>
      </w:divBdr>
    </w:div>
    <w:div w:id="2067993315">
      <w:bodyDiv w:val="1"/>
      <w:marLeft w:val="0"/>
      <w:marRight w:val="0"/>
      <w:marTop w:val="0"/>
      <w:marBottom w:val="0"/>
      <w:divBdr>
        <w:top w:val="none" w:sz="0" w:space="0" w:color="auto"/>
        <w:left w:val="none" w:sz="0" w:space="0" w:color="auto"/>
        <w:bottom w:val="none" w:sz="0" w:space="0" w:color="auto"/>
        <w:right w:val="none" w:sz="0" w:space="0" w:color="auto"/>
      </w:divBdr>
    </w:div>
    <w:div w:id="2068068033">
      <w:bodyDiv w:val="1"/>
      <w:marLeft w:val="0"/>
      <w:marRight w:val="0"/>
      <w:marTop w:val="0"/>
      <w:marBottom w:val="0"/>
      <w:divBdr>
        <w:top w:val="none" w:sz="0" w:space="0" w:color="auto"/>
        <w:left w:val="none" w:sz="0" w:space="0" w:color="auto"/>
        <w:bottom w:val="none" w:sz="0" w:space="0" w:color="auto"/>
        <w:right w:val="none" w:sz="0" w:space="0" w:color="auto"/>
      </w:divBdr>
    </w:div>
    <w:div w:id="2068187518">
      <w:bodyDiv w:val="1"/>
      <w:marLeft w:val="0"/>
      <w:marRight w:val="0"/>
      <w:marTop w:val="0"/>
      <w:marBottom w:val="0"/>
      <w:divBdr>
        <w:top w:val="none" w:sz="0" w:space="0" w:color="auto"/>
        <w:left w:val="none" w:sz="0" w:space="0" w:color="auto"/>
        <w:bottom w:val="none" w:sz="0" w:space="0" w:color="auto"/>
        <w:right w:val="none" w:sz="0" w:space="0" w:color="auto"/>
      </w:divBdr>
    </w:div>
    <w:div w:id="2068333127">
      <w:bodyDiv w:val="1"/>
      <w:marLeft w:val="0"/>
      <w:marRight w:val="0"/>
      <w:marTop w:val="0"/>
      <w:marBottom w:val="0"/>
      <w:divBdr>
        <w:top w:val="none" w:sz="0" w:space="0" w:color="auto"/>
        <w:left w:val="none" w:sz="0" w:space="0" w:color="auto"/>
        <w:bottom w:val="none" w:sz="0" w:space="0" w:color="auto"/>
        <w:right w:val="none" w:sz="0" w:space="0" w:color="auto"/>
      </w:divBdr>
    </w:div>
    <w:div w:id="2068383152">
      <w:bodyDiv w:val="1"/>
      <w:marLeft w:val="0"/>
      <w:marRight w:val="0"/>
      <w:marTop w:val="0"/>
      <w:marBottom w:val="0"/>
      <w:divBdr>
        <w:top w:val="none" w:sz="0" w:space="0" w:color="auto"/>
        <w:left w:val="none" w:sz="0" w:space="0" w:color="auto"/>
        <w:bottom w:val="none" w:sz="0" w:space="0" w:color="auto"/>
        <w:right w:val="none" w:sz="0" w:space="0" w:color="auto"/>
      </w:divBdr>
    </w:div>
    <w:div w:id="2068525164">
      <w:bodyDiv w:val="1"/>
      <w:marLeft w:val="0"/>
      <w:marRight w:val="0"/>
      <w:marTop w:val="0"/>
      <w:marBottom w:val="0"/>
      <w:divBdr>
        <w:top w:val="none" w:sz="0" w:space="0" w:color="auto"/>
        <w:left w:val="none" w:sz="0" w:space="0" w:color="auto"/>
        <w:bottom w:val="none" w:sz="0" w:space="0" w:color="auto"/>
        <w:right w:val="none" w:sz="0" w:space="0" w:color="auto"/>
      </w:divBdr>
    </w:div>
    <w:div w:id="2068526170">
      <w:bodyDiv w:val="1"/>
      <w:marLeft w:val="0"/>
      <w:marRight w:val="0"/>
      <w:marTop w:val="0"/>
      <w:marBottom w:val="0"/>
      <w:divBdr>
        <w:top w:val="none" w:sz="0" w:space="0" w:color="auto"/>
        <w:left w:val="none" w:sz="0" w:space="0" w:color="auto"/>
        <w:bottom w:val="none" w:sz="0" w:space="0" w:color="auto"/>
        <w:right w:val="none" w:sz="0" w:space="0" w:color="auto"/>
      </w:divBdr>
    </w:div>
    <w:div w:id="2068533731">
      <w:bodyDiv w:val="1"/>
      <w:marLeft w:val="0"/>
      <w:marRight w:val="0"/>
      <w:marTop w:val="0"/>
      <w:marBottom w:val="0"/>
      <w:divBdr>
        <w:top w:val="none" w:sz="0" w:space="0" w:color="auto"/>
        <w:left w:val="none" w:sz="0" w:space="0" w:color="auto"/>
        <w:bottom w:val="none" w:sz="0" w:space="0" w:color="auto"/>
        <w:right w:val="none" w:sz="0" w:space="0" w:color="auto"/>
      </w:divBdr>
    </w:div>
    <w:div w:id="2068600979">
      <w:bodyDiv w:val="1"/>
      <w:marLeft w:val="0"/>
      <w:marRight w:val="0"/>
      <w:marTop w:val="0"/>
      <w:marBottom w:val="0"/>
      <w:divBdr>
        <w:top w:val="none" w:sz="0" w:space="0" w:color="auto"/>
        <w:left w:val="none" w:sz="0" w:space="0" w:color="auto"/>
        <w:bottom w:val="none" w:sz="0" w:space="0" w:color="auto"/>
        <w:right w:val="none" w:sz="0" w:space="0" w:color="auto"/>
      </w:divBdr>
    </w:div>
    <w:div w:id="2068609178">
      <w:bodyDiv w:val="1"/>
      <w:marLeft w:val="0"/>
      <w:marRight w:val="0"/>
      <w:marTop w:val="0"/>
      <w:marBottom w:val="0"/>
      <w:divBdr>
        <w:top w:val="none" w:sz="0" w:space="0" w:color="auto"/>
        <w:left w:val="none" w:sz="0" w:space="0" w:color="auto"/>
        <w:bottom w:val="none" w:sz="0" w:space="0" w:color="auto"/>
        <w:right w:val="none" w:sz="0" w:space="0" w:color="auto"/>
      </w:divBdr>
    </w:div>
    <w:div w:id="2068644518">
      <w:bodyDiv w:val="1"/>
      <w:marLeft w:val="0"/>
      <w:marRight w:val="0"/>
      <w:marTop w:val="0"/>
      <w:marBottom w:val="0"/>
      <w:divBdr>
        <w:top w:val="none" w:sz="0" w:space="0" w:color="auto"/>
        <w:left w:val="none" w:sz="0" w:space="0" w:color="auto"/>
        <w:bottom w:val="none" w:sz="0" w:space="0" w:color="auto"/>
        <w:right w:val="none" w:sz="0" w:space="0" w:color="auto"/>
      </w:divBdr>
    </w:div>
    <w:div w:id="2068649905">
      <w:bodyDiv w:val="1"/>
      <w:marLeft w:val="0"/>
      <w:marRight w:val="0"/>
      <w:marTop w:val="0"/>
      <w:marBottom w:val="0"/>
      <w:divBdr>
        <w:top w:val="none" w:sz="0" w:space="0" w:color="auto"/>
        <w:left w:val="none" w:sz="0" w:space="0" w:color="auto"/>
        <w:bottom w:val="none" w:sz="0" w:space="0" w:color="auto"/>
        <w:right w:val="none" w:sz="0" w:space="0" w:color="auto"/>
      </w:divBdr>
    </w:div>
    <w:div w:id="2068718497">
      <w:bodyDiv w:val="1"/>
      <w:marLeft w:val="0"/>
      <w:marRight w:val="0"/>
      <w:marTop w:val="0"/>
      <w:marBottom w:val="0"/>
      <w:divBdr>
        <w:top w:val="none" w:sz="0" w:space="0" w:color="auto"/>
        <w:left w:val="none" w:sz="0" w:space="0" w:color="auto"/>
        <w:bottom w:val="none" w:sz="0" w:space="0" w:color="auto"/>
        <w:right w:val="none" w:sz="0" w:space="0" w:color="auto"/>
      </w:divBdr>
    </w:div>
    <w:div w:id="2068868821">
      <w:bodyDiv w:val="1"/>
      <w:marLeft w:val="0"/>
      <w:marRight w:val="0"/>
      <w:marTop w:val="0"/>
      <w:marBottom w:val="0"/>
      <w:divBdr>
        <w:top w:val="none" w:sz="0" w:space="0" w:color="auto"/>
        <w:left w:val="none" w:sz="0" w:space="0" w:color="auto"/>
        <w:bottom w:val="none" w:sz="0" w:space="0" w:color="auto"/>
        <w:right w:val="none" w:sz="0" w:space="0" w:color="auto"/>
      </w:divBdr>
    </w:div>
    <w:div w:id="2068914115">
      <w:bodyDiv w:val="1"/>
      <w:marLeft w:val="0"/>
      <w:marRight w:val="0"/>
      <w:marTop w:val="0"/>
      <w:marBottom w:val="0"/>
      <w:divBdr>
        <w:top w:val="none" w:sz="0" w:space="0" w:color="auto"/>
        <w:left w:val="none" w:sz="0" w:space="0" w:color="auto"/>
        <w:bottom w:val="none" w:sz="0" w:space="0" w:color="auto"/>
        <w:right w:val="none" w:sz="0" w:space="0" w:color="auto"/>
      </w:divBdr>
    </w:div>
    <w:div w:id="2069258452">
      <w:bodyDiv w:val="1"/>
      <w:marLeft w:val="0"/>
      <w:marRight w:val="0"/>
      <w:marTop w:val="0"/>
      <w:marBottom w:val="0"/>
      <w:divBdr>
        <w:top w:val="none" w:sz="0" w:space="0" w:color="auto"/>
        <w:left w:val="none" w:sz="0" w:space="0" w:color="auto"/>
        <w:bottom w:val="none" w:sz="0" w:space="0" w:color="auto"/>
        <w:right w:val="none" w:sz="0" w:space="0" w:color="auto"/>
      </w:divBdr>
    </w:div>
    <w:div w:id="2069260523">
      <w:bodyDiv w:val="1"/>
      <w:marLeft w:val="0"/>
      <w:marRight w:val="0"/>
      <w:marTop w:val="0"/>
      <w:marBottom w:val="0"/>
      <w:divBdr>
        <w:top w:val="none" w:sz="0" w:space="0" w:color="auto"/>
        <w:left w:val="none" w:sz="0" w:space="0" w:color="auto"/>
        <w:bottom w:val="none" w:sz="0" w:space="0" w:color="auto"/>
        <w:right w:val="none" w:sz="0" w:space="0" w:color="auto"/>
      </w:divBdr>
    </w:div>
    <w:div w:id="2069299517">
      <w:bodyDiv w:val="1"/>
      <w:marLeft w:val="0"/>
      <w:marRight w:val="0"/>
      <w:marTop w:val="0"/>
      <w:marBottom w:val="0"/>
      <w:divBdr>
        <w:top w:val="none" w:sz="0" w:space="0" w:color="auto"/>
        <w:left w:val="none" w:sz="0" w:space="0" w:color="auto"/>
        <w:bottom w:val="none" w:sz="0" w:space="0" w:color="auto"/>
        <w:right w:val="none" w:sz="0" w:space="0" w:color="auto"/>
      </w:divBdr>
    </w:div>
    <w:div w:id="2069375209">
      <w:bodyDiv w:val="1"/>
      <w:marLeft w:val="0"/>
      <w:marRight w:val="0"/>
      <w:marTop w:val="0"/>
      <w:marBottom w:val="0"/>
      <w:divBdr>
        <w:top w:val="none" w:sz="0" w:space="0" w:color="auto"/>
        <w:left w:val="none" w:sz="0" w:space="0" w:color="auto"/>
        <w:bottom w:val="none" w:sz="0" w:space="0" w:color="auto"/>
        <w:right w:val="none" w:sz="0" w:space="0" w:color="auto"/>
      </w:divBdr>
    </w:div>
    <w:div w:id="2069375234">
      <w:bodyDiv w:val="1"/>
      <w:marLeft w:val="0"/>
      <w:marRight w:val="0"/>
      <w:marTop w:val="0"/>
      <w:marBottom w:val="0"/>
      <w:divBdr>
        <w:top w:val="none" w:sz="0" w:space="0" w:color="auto"/>
        <w:left w:val="none" w:sz="0" w:space="0" w:color="auto"/>
        <w:bottom w:val="none" w:sz="0" w:space="0" w:color="auto"/>
        <w:right w:val="none" w:sz="0" w:space="0" w:color="auto"/>
      </w:divBdr>
    </w:div>
    <w:div w:id="2069500202">
      <w:bodyDiv w:val="1"/>
      <w:marLeft w:val="0"/>
      <w:marRight w:val="0"/>
      <w:marTop w:val="0"/>
      <w:marBottom w:val="0"/>
      <w:divBdr>
        <w:top w:val="none" w:sz="0" w:space="0" w:color="auto"/>
        <w:left w:val="none" w:sz="0" w:space="0" w:color="auto"/>
        <w:bottom w:val="none" w:sz="0" w:space="0" w:color="auto"/>
        <w:right w:val="none" w:sz="0" w:space="0" w:color="auto"/>
      </w:divBdr>
    </w:div>
    <w:div w:id="2069568419">
      <w:bodyDiv w:val="1"/>
      <w:marLeft w:val="0"/>
      <w:marRight w:val="0"/>
      <w:marTop w:val="0"/>
      <w:marBottom w:val="0"/>
      <w:divBdr>
        <w:top w:val="none" w:sz="0" w:space="0" w:color="auto"/>
        <w:left w:val="none" w:sz="0" w:space="0" w:color="auto"/>
        <w:bottom w:val="none" w:sz="0" w:space="0" w:color="auto"/>
        <w:right w:val="none" w:sz="0" w:space="0" w:color="auto"/>
      </w:divBdr>
    </w:div>
    <w:div w:id="2069644759">
      <w:bodyDiv w:val="1"/>
      <w:marLeft w:val="0"/>
      <w:marRight w:val="0"/>
      <w:marTop w:val="0"/>
      <w:marBottom w:val="0"/>
      <w:divBdr>
        <w:top w:val="none" w:sz="0" w:space="0" w:color="auto"/>
        <w:left w:val="none" w:sz="0" w:space="0" w:color="auto"/>
        <w:bottom w:val="none" w:sz="0" w:space="0" w:color="auto"/>
        <w:right w:val="none" w:sz="0" w:space="0" w:color="auto"/>
      </w:divBdr>
    </w:div>
    <w:div w:id="2069720546">
      <w:bodyDiv w:val="1"/>
      <w:marLeft w:val="0"/>
      <w:marRight w:val="0"/>
      <w:marTop w:val="0"/>
      <w:marBottom w:val="0"/>
      <w:divBdr>
        <w:top w:val="none" w:sz="0" w:space="0" w:color="auto"/>
        <w:left w:val="none" w:sz="0" w:space="0" w:color="auto"/>
        <w:bottom w:val="none" w:sz="0" w:space="0" w:color="auto"/>
        <w:right w:val="none" w:sz="0" w:space="0" w:color="auto"/>
      </w:divBdr>
    </w:div>
    <w:div w:id="2069844248">
      <w:bodyDiv w:val="1"/>
      <w:marLeft w:val="0"/>
      <w:marRight w:val="0"/>
      <w:marTop w:val="0"/>
      <w:marBottom w:val="0"/>
      <w:divBdr>
        <w:top w:val="none" w:sz="0" w:space="0" w:color="auto"/>
        <w:left w:val="none" w:sz="0" w:space="0" w:color="auto"/>
        <w:bottom w:val="none" w:sz="0" w:space="0" w:color="auto"/>
        <w:right w:val="none" w:sz="0" w:space="0" w:color="auto"/>
      </w:divBdr>
    </w:div>
    <w:div w:id="2069918503">
      <w:bodyDiv w:val="1"/>
      <w:marLeft w:val="0"/>
      <w:marRight w:val="0"/>
      <w:marTop w:val="0"/>
      <w:marBottom w:val="0"/>
      <w:divBdr>
        <w:top w:val="none" w:sz="0" w:space="0" w:color="auto"/>
        <w:left w:val="none" w:sz="0" w:space="0" w:color="auto"/>
        <w:bottom w:val="none" w:sz="0" w:space="0" w:color="auto"/>
        <w:right w:val="none" w:sz="0" w:space="0" w:color="auto"/>
      </w:divBdr>
    </w:div>
    <w:div w:id="2069954706">
      <w:bodyDiv w:val="1"/>
      <w:marLeft w:val="0"/>
      <w:marRight w:val="0"/>
      <w:marTop w:val="0"/>
      <w:marBottom w:val="0"/>
      <w:divBdr>
        <w:top w:val="none" w:sz="0" w:space="0" w:color="auto"/>
        <w:left w:val="none" w:sz="0" w:space="0" w:color="auto"/>
        <w:bottom w:val="none" w:sz="0" w:space="0" w:color="auto"/>
        <w:right w:val="none" w:sz="0" w:space="0" w:color="auto"/>
      </w:divBdr>
    </w:div>
    <w:div w:id="2070036097">
      <w:bodyDiv w:val="1"/>
      <w:marLeft w:val="0"/>
      <w:marRight w:val="0"/>
      <w:marTop w:val="0"/>
      <w:marBottom w:val="0"/>
      <w:divBdr>
        <w:top w:val="none" w:sz="0" w:space="0" w:color="auto"/>
        <w:left w:val="none" w:sz="0" w:space="0" w:color="auto"/>
        <w:bottom w:val="none" w:sz="0" w:space="0" w:color="auto"/>
        <w:right w:val="none" w:sz="0" w:space="0" w:color="auto"/>
      </w:divBdr>
    </w:div>
    <w:div w:id="2070036993">
      <w:bodyDiv w:val="1"/>
      <w:marLeft w:val="0"/>
      <w:marRight w:val="0"/>
      <w:marTop w:val="0"/>
      <w:marBottom w:val="0"/>
      <w:divBdr>
        <w:top w:val="none" w:sz="0" w:space="0" w:color="auto"/>
        <w:left w:val="none" w:sz="0" w:space="0" w:color="auto"/>
        <w:bottom w:val="none" w:sz="0" w:space="0" w:color="auto"/>
        <w:right w:val="none" w:sz="0" w:space="0" w:color="auto"/>
      </w:divBdr>
    </w:div>
    <w:div w:id="2070104331">
      <w:bodyDiv w:val="1"/>
      <w:marLeft w:val="0"/>
      <w:marRight w:val="0"/>
      <w:marTop w:val="0"/>
      <w:marBottom w:val="0"/>
      <w:divBdr>
        <w:top w:val="none" w:sz="0" w:space="0" w:color="auto"/>
        <w:left w:val="none" w:sz="0" w:space="0" w:color="auto"/>
        <w:bottom w:val="none" w:sz="0" w:space="0" w:color="auto"/>
        <w:right w:val="none" w:sz="0" w:space="0" w:color="auto"/>
      </w:divBdr>
    </w:div>
    <w:div w:id="2070153109">
      <w:bodyDiv w:val="1"/>
      <w:marLeft w:val="0"/>
      <w:marRight w:val="0"/>
      <w:marTop w:val="0"/>
      <w:marBottom w:val="0"/>
      <w:divBdr>
        <w:top w:val="none" w:sz="0" w:space="0" w:color="auto"/>
        <w:left w:val="none" w:sz="0" w:space="0" w:color="auto"/>
        <w:bottom w:val="none" w:sz="0" w:space="0" w:color="auto"/>
        <w:right w:val="none" w:sz="0" w:space="0" w:color="auto"/>
      </w:divBdr>
    </w:div>
    <w:div w:id="2070222409">
      <w:bodyDiv w:val="1"/>
      <w:marLeft w:val="0"/>
      <w:marRight w:val="0"/>
      <w:marTop w:val="0"/>
      <w:marBottom w:val="0"/>
      <w:divBdr>
        <w:top w:val="none" w:sz="0" w:space="0" w:color="auto"/>
        <w:left w:val="none" w:sz="0" w:space="0" w:color="auto"/>
        <w:bottom w:val="none" w:sz="0" w:space="0" w:color="auto"/>
        <w:right w:val="none" w:sz="0" w:space="0" w:color="auto"/>
      </w:divBdr>
    </w:div>
    <w:div w:id="2070228289">
      <w:bodyDiv w:val="1"/>
      <w:marLeft w:val="0"/>
      <w:marRight w:val="0"/>
      <w:marTop w:val="0"/>
      <w:marBottom w:val="0"/>
      <w:divBdr>
        <w:top w:val="none" w:sz="0" w:space="0" w:color="auto"/>
        <w:left w:val="none" w:sz="0" w:space="0" w:color="auto"/>
        <w:bottom w:val="none" w:sz="0" w:space="0" w:color="auto"/>
        <w:right w:val="none" w:sz="0" w:space="0" w:color="auto"/>
      </w:divBdr>
    </w:div>
    <w:div w:id="2070569826">
      <w:bodyDiv w:val="1"/>
      <w:marLeft w:val="0"/>
      <w:marRight w:val="0"/>
      <w:marTop w:val="0"/>
      <w:marBottom w:val="0"/>
      <w:divBdr>
        <w:top w:val="none" w:sz="0" w:space="0" w:color="auto"/>
        <w:left w:val="none" w:sz="0" w:space="0" w:color="auto"/>
        <w:bottom w:val="none" w:sz="0" w:space="0" w:color="auto"/>
        <w:right w:val="none" w:sz="0" w:space="0" w:color="auto"/>
      </w:divBdr>
    </w:div>
    <w:div w:id="2070686678">
      <w:bodyDiv w:val="1"/>
      <w:marLeft w:val="0"/>
      <w:marRight w:val="0"/>
      <w:marTop w:val="0"/>
      <w:marBottom w:val="0"/>
      <w:divBdr>
        <w:top w:val="none" w:sz="0" w:space="0" w:color="auto"/>
        <w:left w:val="none" w:sz="0" w:space="0" w:color="auto"/>
        <w:bottom w:val="none" w:sz="0" w:space="0" w:color="auto"/>
        <w:right w:val="none" w:sz="0" w:space="0" w:color="auto"/>
      </w:divBdr>
    </w:div>
    <w:div w:id="2070689172">
      <w:bodyDiv w:val="1"/>
      <w:marLeft w:val="0"/>
      <w:marRight w:val="0"/>
      <w:marTop w:val="0"/>
      <w:marBottom w:val="0"/>
      <w:divBdr>
        <w:top w:val="none" w:sz="0" w:space="0" w:color="auto"/>
        <w:left w:val="none" w:sz="0" w:space="0" w:color="auto"/>
        <w:bottom w:val="none" w:sz="0" w:space="0" w:color="auto"/>
        <w:right w:val="none" w:sz="0" w:space="0" w:color="auto"/>
      </w:divBdr>
    </w:div>
    <w:div w:id="2070765861">
      <w:bodyDiv w:val="1"/>
      <w:marLeft w:val="0"/>
      <w:marRight w:val="0"/>
      <w:marTop w:val="0"/>
      <w:marBottom w:val="0"/>
      <w:divBdr>
        <w:top w:val="none" w:sz="0" w:space="0" w:color="auto"/>
        <w:left w:val="none" w:sz="0" w:space="0" w:color="auto"/>
        <w:bottom w:val="none" w:sz="0" w:space="0" w:color="auto"/>
        <w:right w:val="none" w:sz="0" w:space="0" w:color="auto"/>
      </w:divBdr>
    </w:div>
    <w:div w:id="2070766390">
      <w:bodyDiv w:val="1"/>
      <w:marLeft w:val="0"/>
      <w:marRight w:val="0"/>
      <w:marTop w:val="0"/>
      <w:marBottom w:val="0"/>
      <w:divBdr>
        <w:top w:val="none" w:sz="0" w:space="0" w:color="auto"/>
        <w:left w:val="none" w:sz="0" w:space="0" w:color="auto"/>
        <w:bottom w:val="none" w:sz="0" w:space="0" w:color="auto"/>
        <w:right w:val="none" w:sz="0" w:space="0" w:color="auto"/>
      </w:divBdr>
    </w:div>
    <w:div w:id="2070833951">
      <w:bodyDiv w:val="1"/>
      <w:marLeft w:val="0"/>
      <w:marRight w:val="0"/>
      <w:marTop w:val="0"/>
      <w:marBottom w:val="0"/>
      <w:divBdr>
        <w:top w:val="none" w:sz="0" w:space="0" w:color="auto"/>
        <w:left w:val="none" w:sz="0" w:space="0" w:color="auto"/>
        <w:bottom w:val="none" w:sz="0" w:space="0" w:color="auto"/>
        <w:right w:val="none" w:sz="0" w:space="0" w:color="auto"/>
      </w:divBdr>
    </w:div>
    <w:div w:id="2070838237">
      <w:bodyDiv w:val="1"/>
      <w:marLeft w:val="0"/>
      <w:marRight w:val="0"/>
      <w:marTop w:val="0"/>
      <w:marBottom w:val="0"/>
      <w:divBdr>
        <w:top w:val="none" w:sz="0" w:space="0" w:color="auto"/>
        <w:left w:val="none" w:sz="0" w:space="0" w:color="auto"/>
        <w:bottom w:val="none" w:sz="0" w:space="0" w:color="auto"/>
        <w:right w:val="none" w:sz="0" w:space="0" w:color="auto"/>
      </w:divBdr>
    </w:div>
    <w:div w:id="2070879533">
      <w:bodyDiv w:val="1"/>
      <w:marLeft w:val="0"/>
      <w:marRight w:val="0"/>
      <w:marTop w:val="0"/>
      <w:marBottom w:val="0"/>
      <w:divBdr>
        <w:top w:val="none" w:sz="0" w:space="0" w:color="auto"/>
        <w:left w:val="none" w:sz="0" w:space="0" w:color="auto"/>
        <w:bottom w:val="none" w:sz="0" w:space="0" w:color="auto"/>
        <w:right w:val="none" w:sz="0" w:space="0" w:color="auto"/>
      </w:divBdr>
    </w:div>
    <w:div w:id="2071071953">
      <w:bodyDiv w:val="1"/>
      <w:marLeft w:val="0"/>
      <w:marRight w:val="0"/>
      <w:marTop w:val="0"/>
      <w:marBottom w:val="0"/>
      <w:divBdr>
        <w:top w:val="none" w:sz="0" w:space="0" w:color="auto"/>
        <w:left w:val="none" w:sz="0" w:space="0" w:color="auto"/>
        <w:bottom w:val="none" w:sz="0" w:space="0" w:color="auto"/>
        <w:right w:val="none" w:sz="0" w:space="0" w:color="auto"/>
      </w:divBdr>
    </w:div>
    <w:div w:id="2071271921">
      <w:bodyDiv w:val="1"/>
      <w:marLeft w:val="0"/>
      <w:marRight w:val="0"/>
      <w:marTop w:val="0"/>
      <w:marBottom w:val="0"/>
      <w:divBdr>
        <w:top w:val="none" w:sz="0" w:space="0" w:color="auto"/>
        <w:left w:val="none" w:sz="0" w:space="0" w:color="auto"/>
        <w:bottom w:val="none" w:sz="0" w:space="0" w:color="auto"/>
        <w:right w:val="none" w:sz="0" w:space="0" w:color="auto"/>
      </w:divBdr>
    </w:div>
    <w:div w:id="2071271986">
      <w:bodyDiv w:val="1"/>
      <w:marLeft w:val="0"/>
      <w:marRight w:val="0"/>
      <w:marTop w:val="0"/>
      <w:marBottom w:val="0"/>
      <w:divBdr>
        <w:top w:val="none" w:sz="0" w:space="0" w:color="auto"/>
        <w:left w:val="none" w:sz="0" w:space="0" w:color="auto"/>
        <w:bottom w:val="none" w:sz="0" w:space="0" w:color="auto"/>
        <w:right w:val="none" w:sz="0" w:space="0" w:color="auto"/>
      </w:divBdr>
    </w:div>
    <w:div w:id="2071463547">
      <w:bodyDiv w:val="1"/>
      <w:marLeft w:val="0"/>
      <w:marRight w:val="0"/>
      <w:marTop w:val="0"/>
      <w:marBottom w:val="0"/>
      <w:divBdr>
        <w:top w:val="none" w:sz="0" w:space="0" w:color="auto"/>
        <w:left w:val="none" w:sz="0" w:space="0" w:color="auto"/>
        <w:bottom w:val="none" w:sz="0" w:space="0" w:color="auto"/>
        <w:right w:val="none" w:sz="0" w:space="0" w:color="auto"/>
      </w:divBdr>
    </w:div>
    <w:div w:id="2071491198">
      <w:bodyDiv w:val="1"/>
      <w:marLeft w:val="0"/>
      <w:marRight w:val="0"/>
      <w:marTop w:val="0"/>
      <w:marBottom w:val="0"/>
      <w:divBdr>
        <w:top w:val="none" w:sz="0" w:space="0" w:color="auto"/>
        <w:left w:val="none" w:sz="0" w:space="0" w:color="auto"/>
        <w:bottom w:val="none" w:sz="0" w:space="0" w:color="auto"/>
        <w:right w:val="none" w:sz="0" w:space="0" w:color="auto"/>
      </w:divBdr>
    </w:div>
    <w:div w:id="2071492686">
      <w:bodyDiv w:val="1"/>
      <w:marLeft w:val="0"/>
      <w:marRight w:val="0"/>
      <w:marTop w:val="0"/>
      <w:marBottom w:val="0"/>
      <w:divBdr>
        <w:top w:val="none" w:sz="0" w:space="0" w:color="auto"/>
        <w:left w:val="none" w:sz="0" w:space="0" w:color="auto"/>
        <w:bottom w:val="none" w:sz="0" w:space="0" w:color="auto"/>
        <w:right w:val="none" w:sz="0" w:space="0" w:color="auto"/>
      </w:divBdr>
    </w:div>
    <w:div w:id="2071494064">
      <w:bodyDiv w:val="1"/>
      <w:marLeft w:val="0"/>
      <w:marRight w:val="0"/>
      <w:marTop w:val="0"/>
      <w:marBottom w:val="0"/>
      <w:divBdr>
        <w:top w:val="none" w:sz="0" w:space="0" w:color="auto"/>
        <w:left w:val="none" w:sz="0" w:space="0" w:color="auto"/>
        <w:bottom w:val="none" w:sz="0" w:space="0" w:color="auto"/>
        <w:right w:val="none" w:sz="0" w:space="0" w:color="auto"/>
      </w:divBdr>
    </w:div>
    <w:div w:id="2071539659">
      <w:bodyDiv w:val="1"/>
      <w:marLeft w:val="0"/>
      <w:marRight w:val="0"/>
      <w:marTop w:val="0"/>
      <w:marBottom w:val="0"/>
      <w:divBdr>
        <w:top w:val="none" w:sz="0" w:space="0" w:color="auto"/>
        <w:left w:val="none" w:sz="0" w:space="0" w:color="auto"/>
        <w:bottom w:val="none" w:sz="0" w:space="0" w:color="auto"/>
        <w:right w:val="none" w:sz="0" w:space="0" w:color="auto"/>
      </w:divBdr>
    </w:div>
    <w:div w:id="2071607886">
      <w:bodyDiv w:val="1"/>
      <w:marLeft w:val="0"/>
      <w:marRight w:val="0"/>
      <w:marTop w:val="0"/>
      <w:marBottom w:val="0"/>
      <w:divBdr>
        <w:top w:val="none" w:sz="0" w:space="0" w:color="auto"/>
        <w:left w:val="none" w:sz="0" w:space="0" w:color="auto"/>
        <w:bottom w:val="none" w:sz="0" w:space="0" w:color="auto"/>
        <w:right w:val="none" w:sz="0" w:space="0" w:color="auto"/>
      </w:divBdr>
    </w:div>
    <w:div w:id="2071727514">
      <w:bodyDiv w:val="1"/>
      <w:marLeft w:val="0"/>
      <w:marRight w:val="0"/>
      <w:marTop w:val="0"/>
      <w:marBottom w:val="0"/>
      <w:divBdr>
        <w:top w:val="none" w:sz="0" w:space="0" w:color="auto"/>
        <w:left w:val="none" w:sz="0" w:space="0" w:color="auto"/>
        <w:bottom w:val="none" w:sz="0" w:space="0" w:color="auto"/>
        <w:right w:val="none" w:sz="0" w:space="0" w:color="auto"/>
      </w:divBdr>
    </w:div>
    <w:div w:id="2071806094">
      <w:bodyDiv w:val="1"/>
      <w:marLeft w:val="0"/>
      <w:marRight w:val="0"/>
      <w:marTop w:val="0"/>
      <w:marBottom w:val="0"/>
      <w:divBdr>
        <w:top w:val="none" w:sz="0" w:space="0" w:color="auto"/>
        <w:left w:val="none" w:sz="0" w:space="0" w:color="auto"/>
        <w:bottom w:val="none" w:sz="0" w:space="0" w:color="auto"/>
        <w:right w:val="none" w:sz="0" w:space="0" w:color="auto"/>
      </w:divBdr>
    </w:div>
    <w:div w:id="2072001991">
      <w:bodyDiv w:val="1"/>
      <w:marLeft w:val="0"/>
      <w:marRight w:val="0"/>
      <w:marTop w:val="0"/>
      <w:marBottom w:val="0"/>
      <w:divBdr>
        <w:top w:val="none" w:sz="0" w:space="0" w:color="auto"/>
        <w:left w:val="none" w:sz="0" w:space="0" w:color="auto"/>
        <w:bottom w:val="none" w:sz="0" w:space="0" w:color="auto"/>
        <w:right w:val="none" w:sz="0" w:space="0" w:color="auto"/>
      </w:divBdr>
    </w:div>
    <w:div w:id="2072003497">
      <w:bodyDiv w:val="1"/>
      <w:marLeft w:val="0"/>
      <w:marRight w:val="0"/>
      <w:marTop w:val="0"/>
      <w:marBottom w:val="0"/>
      <w:divBdr>
        <w:top w:val="none" w:sz="0" w:space="0" w:color="auto"/>
        <w:left w:val="none" w:sz="0" w:space="0" w:color="auto"/>
        <w:bottom w:val="none" w:sz="0" w:space="0" w:color="auto"/>
        <w:right w:val="none" w:sz="0" w:space="0" w:color="auto"/>
      </w:divBdr>
    </w:div>
    <w:div w:id="2072120529">
      <w:bodyDiv w:val="1"/>
      <w:marLeft w:val="0"/>
      <w:marRight w:val="0"/>
      <w:marTop w:val="0"/>
      <w:marBottom w:val="0"/>
      <w:divBdr>
        <w:top w:val="none" w:sz="0" w:space="0" w:color="auto"/>
        <w:left w:val="none" w:sz="0" w:space="0" w:color="auto"/>
        <w:bottom w:val="none" w:sz="0" w:space="0" w:color="auto"/>
        <w:right w:val="none" w:sz="0" w:space="0" w:color="auto"/>
      </w:divBdr>
    </w:div>
    <w:div w:id="2072145056">
      <w:bodyDiv w:val="1"/>
      <w:marLeft w:val="0"/>
      <w:marRight w:val="0"/>
      <w:marTop w:val="0"/>
      <w:marBottom w:val="0"/>
      <w:divBdr>
        <w:top w:val="none" w:sz="0" w:space="0" w:color="auto"/>
        <w:left w:val="none" w:sz="0" w:space="0" w:color="auto"/>
        <w:bottom w:val="none" w:sz="0" w:space="0" w:color="auto"/>
        <w:right w:val="none" w:sz="0" w:space="0" w:color="auto"/>
      </w:divBdr>
    </w:div>
    <w:div w:id="2072187982">
      <w:bodyDiv w:val="1"/>
      <w:marLeft w:val="0"/>
      <w:marRight w:val="0"/>
      <w:marTop w:val="0"/>
      <w:marBottom w:val="0"/>
      <w:divBdr>
        <w:top w:val="none" w:sz="0" w:space="0" w:color="auto"/>
        <w:left w:val="none" w:sz="0" w:space="0" w:color="auto"/>
        <w:bottom w:val="none" w:sz="0" w:space="0" w:color="auto"/>
        <w:right w:val="none" w:sz="0" w:space="0" w:color="auto"/>
      </w:divBdr>
    </w:div>
    <w:div w:id="2072457708">
      <w:bodyDiv w:val="1"/>
      <w:marLeft w:val="0"/>
      <w:marRight w:val="0"/>
      <w:marTop w:val="0"/>
      <w:marBottom w:val="0"/>
      <w:divBdr>
        <w:top w:val="none" w:sz="0" w:space="0" w:color="auto"/>
        <w:left w:val="none" w:sz="0" w:space="0" w:color="auto"/>
        <w:bottom w:val="none" w:sz="0" w:space="0" w:color="auto"/>
        <w:right w:val="none" w:sz="0" w:space="0" w:color="auto"/>
      </w:divBdr>
    </w:div>
    <w:div w:id="2072465182">
      <w:bodyDiv w:val="1"/>
      <w:marLeft w:val="0"/>
      <w:marRight w:val="0"/>
      <w:marTop w:val="0"/>
      <w:marBottom w:val="0"/>
      <w:divBdr>
        <w:top w:val="none" w:sz="0" w:space="0" w:color="auto"/>
        <w:left w:val="none" w:sz="0" w:space="0" w:color="auto"/>
        <w:bottom w:val="none" w:sz="0" w:space="0" w:color="auto"/>
        <w:right w:val="none" w:sz="0" w:space="0" w:color="auto"/>
      </w:divBdr>
    </w:div>
    <w:div w:id="2072657862">
      <w:bodyDiv w:val="1"/>
      <w:marLeft w:val="0"/>
      <w:marRight w:val="0"/>
      <w:marTop w:val="0"/>
      <w:marBottom w:val="0"/>
      <w:divBdr>
        <w:top w:val="none" w:sz="0" w:space="0" w:color="auto"/>
        <w:left w:val="none" w:sz="0" w:space="0" w:color="auto"/>
        <w:bottom w:val="none" w:sz="0" w:space="0" w:color="auto"/>
        <w:right w:val="none" w:sz="0" w:space="0" w:color="auto"/>
      </w:divBdr>
    </w:div>
    <w:div w:id="2072725742">
      <w:bodyDiv w:val="1"/>
      <w:marLeft w:val="0"/>
      <w:marRight w:val="0"/>
      <w:marTop w:val="0"/>
      <w:marBottom w:val="0"/>
      <w:divBdr>
        <w:top w:val="none" w:sz="0" w:space="0" w:color="auto"/>
        <w:left w:val="none" w:sz="0" w:space="0" w:color="auto"/>
        <w:bottom w:val="none" w:sz="0" w:space="0" w:color="auto"/>
        <w:right w:val="none" w:sz="0" w:space="0" w:color="auto"/>
      </w:divBdr>
    </w:div>
    <w:div w:id="2072734113">
      <w:bodyDiv w:val="1"/>
      <w:marLeft w:val="0"/>
      <w:marRight w:val="0"/>
      <w:marTop w:val="0"/>
      <w:marBottom w:val="0"/>
      <w:divBdr>
        <w:top w:val="none" w:sz="0" w:space="0" w:color="auto"/>
        <w:left w:val="none" w:sz="0" w:space="0" w:color="auto"/>
        <w:bottom w:val="none" w:sz="0" w:space="0" w:color="auto"/>
        <w:right w:val="none" w:sz="0" w:space="0" w:color="auto"/>
      </w:divBdr>
    </w:div>
    <w:div w:id="2072848526">
      <w:bodyDiv w:val="1"/>
      <w:marLeft w:val="0"/>
      <w:marRight w:val="0"/>
      <w:marTop w:val="0"/>
      <w:marBottom w:val="0"/>
      <w:divBdr>
        <w:top w:val="none" w:sz="0" w:space="0" w:color="auto"/>
        <w:left w:val="none" w:sz="0" w:space="0" w:color="auto"/>
        <w:bottom w:val="none" w:sz="0" w:space="0" w:color="auto"/>
        <w:right w:val="none" w:sz="0" w:space="0" w:color="auto"/>
      </w:divBdr>
    </w:div>
    <w:div w:id="2072924424">
      <w:bodyDiv w:val="1"/>
      <w:marLeft w:val="0"/>
      <w:marRight w:val="0"/>
      <w:marTop w:val="0"/>
      <w:marBottom w:val="0"/>
      <w:divBdr>
        <w:top w:val="none" w:sz="0" w:space="0" w:color="auto"/>
        <w:left w:val="none" w:sz="0" w:space="0" w:color="auto"/>
        <w:bottom w:val="none" w:sz="0" w:space="0" w:color="auto"/>
        <w:right w:val="none" w:sz="0" w:space="0" w:color="auto"/>
      </w:divBdr>
    </w:div>
    <w:div w:id="2072994077">
      <w:bodyDiv w:val="1"/>
      <w:marLeft w:val="0"/>
      <w:marRight w:val="0"/>
      <w:marTop w:val="0"/>
      <w:marBottom w:val="0"/>
      <w:divBdr>
        <w:top w:val="none" w:sz="0" w:space="0" w:color="auto"/>
        <w:left w:val="none" w:sz="0" w:space="0" w:color="auto"/>
        <w:bottom w:val="none" w:sz="0" w:space="0" w:color="auto"/>
        <w:right w:val="none" w:sz="0" w:space="0" w:color="auto"/>
      </w:divBdr>
    </w:div>
    <w:div w:id="2073117035">
      <w:bodyDiv w:val="1"/>
      <w:marLeft w:val="0"/>
      <w:marRight w:val="0"/>
      <w:marTop w:val="0"/>
      <w:marBottom w:val="0"/>
      <w:divBdr>
        <w:top w:val="none" w:sz="0" w:space="0" w:color="auto"/>
        <w:left w:val="none" w:sz="0" w:space="0" w:color="auto"/>
        <w:bottom w:val="none" w:sz="0" w:space="0" w:color="auto"/>
        <w:right w:val="none" w:sz="0" w:space="0" w:color="auto"/>
      </w:divBdr>
    </w:div>
    <w:div w:id="2073498515">
      <w:bodyDiv w:val="1"/>
      <w:marLeft w:val="0"/>
      <w:marRight w:val="0"/>
      <w:marTop w:val="0"/>
      <w:marBottom w:val="0"/>
      <w:divBdr>
        <w:top w:val="none" w:sz="0" w:space="0" w:color="auto"/>
        <w:left w:val="none" w:sz="0" w:space="0" w:color="auto"/>
        <w:bottom w:val="none" w:sz="0" w:space="0" w:color="auto"/>
        <w:right w:val="none" w:sz="0" w:space="0" w:color="auto"/>
      </w:divBdr>
    </w:div>
    <w:div w:id="2073500815">
      <w:bodyDiv w:val="1"/>
      <w:marLeft w:val="0"/>
      <w:marRight w:val="0"/>
      <w:marTop w:val="0"/>
      <w:marBottom w:val="0"/>
      <w:divBdr>
        <w:top w:val="none" w:sz="0" w:space="0" w:color="auto"/>
        <w:left w:val="none" w:sz="0" w:space="0" w:color="auto"/>
        <w:bottom w:val="none" w:sz="0" w:space="0" w:color="auto"/>
        <w:right w:val="none" w:sz="0" w:space="0" w:color="auto"/>
      </w:divBdr>
    </w:div>
    <w:div w:id="2073582341">
      <w:bodyDiv w:val="1"/>
      <w:marLeft w:val="0"/>
      <w:marRight w:val="0"/>
      <w:marTop w:val="0"/>
      <w:marBottom w:val="0"/>
      <w:divBdr>
        <w:top w:val="none" w:sz="0" w:space="0" w:color="auto"/>
        <w:left w:val="none" w:sz="0" w:space="0" w:color="auto"/>
        <w:bottom w:val="none" w:sz="0" w:space="0" w:color="auto"/>
        <w:right w:val="none" w:sz="0" w:space="0" w:color="auto"/>
      </w:divBdr>
    </w:div>
    <w:div w:id="2073655583">
      <w:bodyDiv w:val="1"/>
      <w:marLeft w:val="0"/>
      <w:marRight w:val="0"/>
      <w:marTop w:val="0"/>
      <w:marBottom w:val="0"/>
      <w:divBdr>
        <w:top w:val="none" w:sz="0" w:space="0" w:color="auto"/>
        <w:left w:val="none" w:sz="0" w:space="0" w:color="auto"/>
        <w:bottom w:val="none" w:sz="0" w:space="0" w:color="auto"/>
        <w:right w:val="none" w:sz="0" w:space="0" w:color="auto"/>
      </w:divBdr>
    </w:div>
    <w:div w:id="2073695159">
      <w:bodyDiv w:val="1"/>
      <w:marLeft w:val="0"/>
      <w:marRight w:val="0"/>
      <w:marTop w:val="0"/>
      <w:marBottom w:val="0"/>
      <w:divBdr>
        <w:top w:val="none" w:sz="0" w:space="0" w:color="auto"/>
        <w:left w:val="none" w:sz="0" w:space="0" w:color="auto"/>
        <w:bottom w:val="none" w:sz="0" w:space="0" w:color="auto"/>
        <w:right w:val="none" w:sz="0" w:space="0" w:color="auto"/>
      </w:divBdr>
    </w:div>
    <w:div w:id="2073696945">
      <w:bodyDiv w:val="1"/>
      <w:marLeft w:val="0"/>
      <w:marRight w:val="0"/>
      <w:marTop w:val="0"/>
      <w:marBottom w:val="0"/>
      <w:divBdr>
        <w:top w:val="none" w:sz="0" w:space="0" w:color="auto"/>
        <w:left w:val="none" w:sz="0" w:space="0" w:color="auto"/>
        <w:bottom w:val="none" w:sz="0" w:space="0" w:color="auto"/>
        <w:right w:val="none" w:sz="0" w:space="0" w:color="auto"/>
      </w:divBdr>
    </w:div>
    <w:div w:id="2073846447">
      <w:bodyDiv w:val="1"/>
      <w:marLeft w:val="0"/>
      <w:marRight w:val="0"/>
      <w:marTop w:val="0"/>
      <w:marBottom w:val="0"/>
      <w:divBdr>
        <w:top w:val="none" w:sz="0" w:space="0" w:color="auto"/>
        <w:left w:val="none" w:sz="0" w:space="0" w:color="auto"/>
        <w:bottom w:val="none" w:sz="0" w:space="0" w:color="auto"/>
        <w:right w:val="none" w:sz="0" w:space="0" w:color="auto"/>
      </w:divBdr>
    </w:div>
    <w:div w:id="2073849069">
      <w:bodyDiv w:val="1"/>
      <w:marLeft w:val="0"/>
      <w:marRight w:val="0"/>
      <w:marTop w:val="0"/>
      <w:marBottom w:val="0"/>
      <w:divBdr>
        <w:top w:val="none" w:sz="0" w:space="0" w:color="auto"/>
        <w:left w:val="none" w:sz="0" w:space="0" w:color="auto"/>
        <w:bottom w:val="none" w:sz="0" w:space="0" w:color="auto"/>
        <w:right w:val="none" w:sz="0" w:space="0" w:color="auto"/>
      </w:divBdr>
    </w:div>
    <w:div w:id="2073917494">
      <w:bodyDiv w:val="1"/>
      <w:marLeft w:val="0"/>
      <w:marRight w:val="0"/>
      <w:marTop w:val="0"/>
      <w:marBottom w:val="0"/>
      <w:divBdr>
        <w:top w:val="none" w:sz="0" w:space="0" w:color="auto"/>
        <w:left w:val="none" w:sz="0" w:space="0" w:color="auto"/>
        <w:bottom w:val="none" w:sz="0" w:space="0" w:color="auto"/>
        <w:right w:val="none" w:sz="0" w:space="0" w:color="auto"/>
      </w:divBdr>
    </w:div>
    <w:div w:id="2073960117">
      <w:bodyDiv w:val="1"/>
      <w:marLeft w:val="0"/>
      <w:marRight w:val="0"/>
      <w:marTop w:val="0"/>
      <w:marBottom w:val="0"/>
      <w:divBdr>
        <w:top w:val="none" w:sz="0" w:space="0" w:color="auto"/>
        <w:left w:val="none" w:sz="0" w:space="0" w:color="auto"/>
        <w:bottom w:val="none" w:sz="0" w:space="0" w:color="auto"/>
        <w:right w:val="none" w:sz="0" w:space="0" w:color="auto"/>
      </w:divBdr>
    </w:div>
    <w:div w:id="2073963434">
      <w:bodyDiv w:val="1"/>
      <w:marLeft w:val="0"/>
      <w:marRight w:val="0"/>
      <w:marTop w:val="0"/>
      <w:marBottom w:val="0"/>
      <w:divBdr>
        <w:top w:val="none" w:sz="0" w:space="0" w:color="auto"/>
        <w:left w:val="none" w:sz="0" w:space="0" w:color="auto"/>
        <w:bottom w:val="none" w:sz="0" w:space="0" w:color="auto"/>
        <w:right w:val="none" w:sz="0" w:space="0" w:color="auto"/>
      </w:divBdr>
    </w:div>
    <w:div w:id="2074041001">
      <w:bodyDiv w:val="1"/>
      <w:marLeft w:val="0"/>
      <w:marRight w:val="0"/>
      <w:marTop w:val="0"/>
      <w:marBottom w:val="0"/>
      <w:divBdr>
        <w:top w:val="none" w:sz="0" w:space="0" w:color="auto"/>
        <w:left w:val="none" w:sz="0" w:space="0" w:color="auto"/>
        <w:bottom w:val="none" w:sz="0" w:space="0" w:color="auto"/>
        <w:right w:val="none" w:sz="0" w:space="0" w:color="auto"/>
      </w:divBdr>
    </w:div>
    <w:div w:id="2074086367">
      <w:bodyDiv w:val="1"/>
      <w:marLeft w:val="0"/>
      <w:marRight w:val="0"/>
      <w:marTop w:val="0"/>
      <w:marBottom w:val="0"/>
      <w:divBdr>
        <w:top w:val="none" w:sz="0" w:space="0" w:color="auto"/>
        <w:left w:val="none" w:sz="0" w:space="0" w:color="auto"/>
        <w:bottom w:val="none" w:sz="0" w:space="0" w:color="auto"/>
        <w:right w:val="none" w:sz="0" w:space="0" w:color="auto"/>
      </w:divBdr>
    </w:div>
    <w:div w:id="2074114661">
      <w:bodyDiv w:val="1"/>
      <w:marLeft w:val="0"/>
      <w:marRight w:val="0"/>
      <w:marTop w:val="0"/>
      <w:marBottom w:val="0"/>
      <w:divBdr>
        <w:top w:val="none" w:sz="0" w:space="0" w:color="auto"/>
        <w:left w:val="none" w:sz="0" w:space="0" w:color="auto"/>
        <w:bottom w:val="none" w:sz="0" w:space="0" w:color="auto"/>
        <w:right w:val="none" w:sz="0" w:space="0" w:color="auto"/>
      </w:divBdr>
    </w:div>
    <w:div w:id="2074155621">
      <w:bodyDiv w:val="1"/>
      <w:marLeft w:val="0"/>
      <w:marRight w:val="0"/>
      <w:marTop w:val="0"/>
      <w:marBottom w:val="0"/>
      <w:divBdr>
        <w:top w:val="none" w:sz="0" w:space="0" w:color="auto"/>
        <w:left w:val="none" w:sz="0" w:space="0" w:color="auto"/>
        <w:bottom w:val="none" w:sz="0" w:space="0" w:color="auto"/>
        <w:right w:val="none" w:sz="0" w:space="0" w:color="auto"/>
      </w:divBdr>
    </w:div>
    <w:div w:id="2074235689">
      <w:bodyDiv w:val="1"/>
      <w:marLeft w:val="0"/>
      <w:marRight w:val="0"/>
      <w:marTop w:val="0"/>
      <w:marBottom w:val="0"/>
      <w:divBdr>
        <w:top w:val="none" w:sz="0" w:space="0" w:color="auto"/>
        <w:left w:val="none" w:sz="0" w:space="0" w:color="auto"/>
        <w:bottom w:val="none" w:sz="0" w:space="0" w:color="auto"/>
        <w:right w:val="none" w:sz="0" w:space="0" w:color="auto"/>
      </w:divBdr>
    </w:div>
    <w:div w:id="2074430234">
      <w:bodyDiv w:val="1"/>
      <w:marLeft w:val="0"/>
      <w:marRight w:val="0"/>
      <w:marTop w:val="0"/>
      <w:marBottom w:val="0"/>
      <w:divBdr>
        <w:top w:val="none" w:sz="0" w:space="0" w:color="auto"/>
        <w:left w:val="none" w:sz="0" w:space="0" w:color="auto"/>
        <w:bottom w:val="none" w:sz="0" w:space="0" w:color="auto"/>
        <w:right w:val="none" w:sz="0" w:space="0" w:color="auto"/>
      </w:divBdr>
    </w:div>
    <w:div w:id="2074505665">
      <w:bodyDiv w:val="1"/>
      <w:marLeft w:val="0"/>
      <w:marRight w:val="0"/>
      <w:marTop w:val="0"/>
      <w:marBottom w:val="0"/>
      <w:divBdr>
        <w:top w:val="none" w:sz="0" w:space="0" w:color="auto"/>
        <w:left w:val="none" w:sz="0" w:space="0" w:color="auto"/>
        <w:bottom w:val="none" w:sz="0" w:space="0" w:color="auto"/>
        <w:right w:val="none" w:sz="0" w:space="0" w:color="auto"/>
      </w:divBdr>
    </w:div>
    <w:div w:id="2074616593">
      <w:bodyDiv w:val="1"/>
      <w:marLeft w:val="0"/>
      <w:marRight w:val="0"/>
      <w:marTop w:val="0"/>
      <w:marBottom w:val="0"/>
      <w:divBdr>
        <w:top w:val="none" w:sz="0" w:space="0" w:color="auto"/>
        <w:left w:val="none" w:sz="0" w:space="0" w:color="auto"/>
        <w:bottom w:val="none" w:sz="0" w:space="0" w:color="auto"/>
        <w:right w:val="none" w:sz="0" w:space="0" w:color="auto"/>
      </w:divBdr>
    </w:div>
    <w:div w:id="2074692574">
      <w:bodyDiv w:val="1"/>
      <w:marLeft w:val="0"/>
      <w:marRight w:val="0"/>
      <w:marTop w:val="0"/>
      <w:marBottom w:val="0"/>
      <w:divBdr>
        <w:top w:val="none" w:sz="0" w:space="0" w:color="auto"/>
        <w:left w:val="none" w:sz="0" w:space="0" w:color="auto"/>
        <w:bottom w:val="none" w:sz="0" w:space="0" w:color="auto"/>
        <w:right w:val="none" w:sz="0" w:space="0" w:color="auto"/>
      </w:divBdr>
    </w:div>
    <w:div w:id="2074693919">
      <w:bodyDiv w:val="1"/>
      <w:marLeft w:val="0"/>
      <w:marRight w:val="0"/>
      <w:marTop w:val="0"/>
      <w:marBottom w:val="0"/>
      <w:divBdr>
        <w:top w:val="none" w:sz="0" w:space="0" w:color="auto"/>
        <w:left w:val="none" w:sz="0" w:space="0" w:color="auto"/>
        <w:bottom w:val="none" w:sz="0" w:space="0" w:color="auto"/>
        <w:right w:val="none" w:sz="0" w:space="0" w:color="auto"/>
      </w:divBdr>
    </w:div>
    <w:div w:id="2074766814">
      <w:bodyDiv w:val="1"/>
      <w:marLeft w:val="0"/>
      <w:marRight w:val="0"/>
      <w:marTop w:val="0"/>
      <w:marBottom w:val="0"/>
      <w:divBdr>
        <w:top w:val="none" w:sz="0" w:space="0" w:color="auto"/>
        <w:left w:val="none" w:sz="0" w:space="0" w:color="auto"/>
        <w:bottom w:val="none" w:sz="0" w:space="0" w:color="auto"/>
        <w:right w:val="none" w:sz="0" w:space="0" w:color="auto"/>
      </w:divBdr>
    </w:div>
    <w:div w:id="2074891280">
      <w:bodyDiv w:val="1"/>
      <w:marLeft w:val="0"/>
      <w:marRight w:val="0"/>
      <w:marTop w:val="0"/>
      <w:marBottom w:val="0"/>
      <w:divBdr>
        <w:top w:val="none" w:sz="0" w:space="0" w:color="auto"/>
        <w:left w:val="none" w:sz="0" w:space="0" w:color="auto"/>
        <w:bottom w:val="none" w:sz="0" w:space="0" w:color="auto"/>
        <w:right w:val="none" w:sz="0" w:space="0" w:color="auto"/>
      </w:divBdr>
    </w:div>
    <w:div w:id="2074959747">
      <w:bodyDiv w:val="1"/>
      <w:marLeft w:val="0"/>
      <w:marRight w:val="0"/>
      <w:marTop w:val="0"/>
      <w:marBottom w:val="0"/>
      <w:divBdr>
        <w:top w:val="none" w:sz="0" w:space="0" w:color="auto"/>
        <w:left w:val="none" w:sz="0" w:space="0" w:color="auto"/>
        <w:bottom w:val="none" w:sz="0" w:space="0" w:color="auto"/>
        <w:right w:val="none" w:sz="0" w:space="0" w:color="auto"/>
      </w:divBdr>
    </w:div>
    <w:div w:id="2075079051">
      <w:bodyDiv w:val="1"/>
      <w:marLeft w:val="0"/>
      <w:marRight w:val="0"/>
      <w:marTop w:val="0"/>
      <w:marBottom w:val="0"/>
      <w:divBdr>
        <w:top w:val="none" w:sz="0" w:space="0" w:color="auto"/>
        <w:left w:val="none" w:sz="0" w:space="0" w:color="auto"/>
        <w:bottom w:val="none" w:sz="0" w:space="0" w:color="auto"/>
        <w:right w:val="none" w:sz="0" w:space="0" w:color="auto"/>
      </w:divBdr>
    </w:div>
    <w:div w:id="2075197758">
      <w:bodyDiv w:val="1"/>
      <w:marLeft w:val="0"/>
      <w:marRight w:val="0"/>
      <w:marTop w:val="0"/>
      <w:marBottom w:val="0"/>
      <w:divBdr>
        <w:top w:val="none" w:sz="0" w:space="0" w:color="auto"/>
        <w:left w:val="none" w:sz="0" w:space="0" w:color="auto"/>
        <w:bottom w:val="none" w:sz="0" w:space="0" w:color="auto"/>
        <w:right w:val="none" w:sz="0" w:space="0" w:color="auto"/>
      </w:divBdr>
    </w:div>
    <w:div w:id="2075271105">
      <w:bodyDiv w:val="1"/>
      <w:marLeft w:val="0"/>
      <w:marRight w:val="0"/>
      <w:marTop w:val="0"/>
      <w:marBottom w:val="0"/>
      <w:divBdr>
        <w:top w:val="none" w:sz="0" w:space="0" w:color="auto"/>
        <w:left w:val="none" w:sz="0" w:space="0" w:color="auto"/>
        <w:bottom w:val="none" w:sz="0" w:space="0" w:color="auto"/>
        <w:right w:val="none" w:sz="0" w:space="0" w:color="auto"/>
      </w:divBdr>
    </w:div>
    <w:div w:id="2075350420">
      <w:bodyDiv w:val="1"/>
      <w:marLeft w:val="0"/>
      <w:marRight w:val="0"/>
      <w:marTop w:val="0"/>
      <w:marBottom w:val="0"/>
      <w:divBdr>
        <w:top w:val="none" w:sz="0" w:space="0" w:color="auto"/>
        <w:left w:val="none" w:sz="0" w:space="0" w:color="auto"/>
        <w:bottom w:val="none" w:sz="0" w:space="0" w:color="auto"/>
        <w:right w:val="none" w:sz="0" w:space="0" w:color="auto"/>
      </w:divBdr>
    </w:div>
    <w:div w:id="2075424656">
      <w:bodyDiv w:val="1"/>
      <w:marLeft w:val="0"/>
      <w:marRight w:val="0"/>
      <w:marTop w:val="0"/>
      <w:marBottom w:val="0"/>
      <w:divBdr>
        <w:top w:val="none" w:sz="0" w:space="0" w:color="auto"/>
        <w:left w:val="none" w:sz="0" w:space="0" w:color="auto"/>
        <w:bottom w:val="none" w:sz="0" w:space="0" w:color="auto"/>
        <w:right w:val="none" w:sz="0" w:space="0" w:color="auto"/>
      </w:divBdr>
    </w:div>
    <w:div w:id="2075470086">
      <w:bodyDiv w:val="1"/>
      <w:marLeft w:val="0"/>
      <w:marRight w:val="0"/>
      <w:marTop w:val="0"/>
      <w:marBottom w:val="0"/>
      <w:divBdr>
        <w:top w:val="none" w:sz="0" w:space="0" w:color="auto"/>
        <w:left w:val="none" w:sz="0" w:space="0" w:color="auto"/>
        <w:bottom w:val="none" w:sz="0" w:space="0" w:color="auto"/>
        <w:right w:val="none" w:sz="0" w:space="0" w:color="auto"/>
      </w:divBdr>
    </w:div>
    <w:div w:id="2075543144">
      <w:bodyDiv w:val="1"/>
      <w:marLeft w:val="0"/>
      <w:marRight w:val="0"/>
      <w:marTop w:val="0"/>
      <w:marBottom w:val="0"/>
      <w:divBdr>
        <w:top w:val="none" w:sz="0" w:space="0" w:color="auto"/>
        <w:left w:val="none" w:sz="0" w:space="0" w:color="auto"/>
        <w:bottom w:val="none" w:sz="0" w:space="0" w:color="auto"/>
        <w:right w:val="none" w:sz="0" w:space="0" w:color="auto"/>
      </w:divBdr>
    </w:div>
    <w:div w:id="2075545379">
      <w:bodyDiv w:val="1"/>
      <w:marLeft w:val="0"/>
      <w:marRight w:val="0"/>
      <w:marTop w:val="0"/>
      <w:marBottom w:val="0"/>
      <w:divBdr>
        <w:top w:val="none" w:sz="0" w:space="0" w:color="auto"/>
        <w:left w:val="none" w:sz="0" w:space="0" w:color="auto"/>
        <w:bottom w:val="none" w:sz="0" w:space="0" w:color="auto"/>
        <w:right w:val="none" w:sz="0" w:space="0" w:color="auto"/>
      </w:divBdr>
    </w:div>
    <w:div w:id="2075546883">
      <w:bodyDiv w:val="1"/>
      <w:marLeft w:val="0"/>
      <w:marRight w:val="0"/>
      <w:marTop w:val="0"/>
      <w:marBottom w:val="0"/>
      <w:divBdr>
        <w:top w:val="none" w:sz="0" w:space="0" w:color="auto"/>
        <w:left w:val="none" w:sz="0" w:space="0" w:color="auto"/>
        <w:bottom w:val="none" w:sz="0" w:space="0" w:color="auto"/>
        <w:right w:val="none" w:sz="0" w:space="0" w:color="auto"/>
      </w:divBdr>
    </w:div>
    <w:div w:id="2075737763">
      <w:bodyDiv w:val="1"/>
      <w:marLeft w:val="0"/>
      <w:marRight w:val="0"/>
      <w:marTop w:val="0"/>
      <w:marBottom w:val="0"/>
      <w:divBdr>
        <w:top w:val="none" w:sz="0" w:space="0" w:color="auto"/>
        <w:left w:val="none" w:sz="0" w:space="0" w:color="auto"/>
        <w:bottom w:val="none" w:sz="0" w:space="0" w:color="auto"/>
        <w:right w:val="none" w:sz="0" w:space="0" w:color="auto"/>
      </w:divBdr>
    </w:div>
    <w:div w:id="2076002219">
      <w:bodyDiv w:val="1"/>
      <w:marLeft w:val="0"/>
      <w:marRight w:val="0"/>
      <w:marTop w:val="0"/>
      <w:marBottom w:val="0"/>
      <w:divBdr>
        <w:top w:val="none" w:sz="0" w:space="0" w:color="auto"/>
        <w:left w:val="none" w:sz="0" w:space="0" w:color="auto"/>
        <w:bottom w:val="none" w:sz="0" w:space="0" w:color="auto"/>
        <w:right w:val="none" w:sz="0" w:space="0" w:color="auto"/>
      </w:divBdr>
    </w:div>
    <w:div w:id="2076007136">
      <w:bodyDiv w:val="1"/>
      <w:marLeft w:val="0"/>
      <w:marRight w:val="0"/>
      <w:marTop w:val="0"/>
      <w:marBottom w:val="0"/>
      <w:divBdr>
        <w:top w:val="none" w:sz="0" w:space="0" w:color="auto"/>
        <w:left w:val="none" w:sz="0" w:space="0" w:color="auto"/>
        <w:bottom w:val="none" w:sz="0" w:space="0" w:color="auto"/>
        <w:right w:val="none" w:sz="0" w:space="0" w:color="auto"/>
      </w:divBdr>
    </w:div>
    <w:div w:id="2076076306">
      <w:bodyDiv w:val="1"/>
      <w:marLeft w:val="0"/>
      <w:marRight w:val="0"/>
      <w:marTop w:val="0"/>
      <w:marBottom w:val="0"/>
      <w:divBdr>
        <w:top w:val="none" w:sz="0" w:space="0" w:color="auto"/>
        <w:left w:val="none" w:sz="0" w:space="0" w:color="auto"/>
        <w:bottom w:val="none" w:sz="0" w:space="0" w:color="auto"/>
        <w:right w:val="none" w:sz="0" w:space="0" w:color="auto"/>
      </w:divBdr>
    </w:div>
    <w:div w:id="2076080448">
      <w:bodyDiv w:val="1"/>
      <w:marLeft w:val="0"/>
      <w:marRight w:val="0"/>
      <w:marTop w:val="0"/>
      <w:marBottom w:val="0"/>
      <w:divBdr>
        <w:top w:val="none" w:sz="0" w:space="0" w:color="auto"/>
        <w:left w:val="none" w:sz="0" w:space="0" w:color="auto"/>
        <w:bottom w:val="none" w:sz="0" w:space="0" w:color="auto"/>
        <w:right w:val="none" w:sz="0" w:space="0" w:color="auto"/>
      </w:divBdr>
    </w:div>
    <w:div w:id="2076127711">
      <w:bodyDiv w:val="1"/>
      <w:marLeft w:val="0"/>
      <w:marRight w:val="0"/>
      <w:marTop w:val="0"/>
      <w:marBottom w:val="0"/>
      <w:divBdr>
        <w:top w:val="none" w:sz="0" w:space="0" w:color="auto"/>
        <w:left w:val="none" w:sz="0" w:space="0" w:color="auto"/>
        <w:bottom w:val="none" w:sz="0" w:space="0" w:color="auto"/>
        <w:right w:val="none" w:sz="0" w:space="0" w:color="auto"/>
      </w:divBdr>
    </w:div>
    <w:div w:id="2076197784">
      <w:bodyDiv w:val="1"/>
      <w:marLeft w:val="0"/>
      <w:marRight w:val="0"/>
      <w:marTop w:val="0"/>
      <w:marBottom w:val="0"/>
      <w:divBdr>
        <w:top w:val="none" w:sz="0" w:space="0" w:color="auto"/>
        <w:left w:val="none" w:sz="0" w:space="0" w:color="auto"/>
        <w:bottom w:val="none" w:sz="0" w:space="0" w:color="auto"/>
        <w:right w:val="none" w:sz="0" w:space="0" w:color="auto"/>
      </w:divBdr>
    </w:div>
    <w:div w:id="2076198024">
      <w:bodyDiv w:val="1"/>
      <w:marLeft w:val="0"/>
      <w:marRight w:val="0"/>
      <w:marTop w:val="0"/>
      <w:marBottom w:val="0"/>
      <w:divBdr>
        <w:top w:val="none" w:sz="0" w:space="0" w:color="auto"/>
        <w:left w:val="none" w:sz="0" w:space="0" w:color="auto"/>
        <w:bottom w:val="none" w:sz="0" w:space="0" w:color="auto"/>
        <w:right w:val="none" w:sz="0" w:space="0" w:color="auto"/>
      </w:divBdr>
    </w:div>
    <w:div w:id="2076274353">
      <w:bodyDiv w:val="1"/>
      <w:marLeft w:val="0"/>
      <w:marRight w:val="0"/>
      <w:marTop w:val="0"/>
      <w:marBottom w:val="0"/>
      <w:divBdr>
        <w:top w:val="none" w:sz="0" w:space="0" w:color="auto"/>
        <w:left w:val="none" w:sz="0" w:space="0" w:color="auto"/>
        <w:bottom w:val="none" w:sz="0" w:space="0" w:color="auto"/>
        <w:right w:val="none" w:sz="0" w:space="0" w:color="auto"/>
      </w:divBdr>
    </w:div>
    <w:div w:id="2076275485">
      <w:bodyDiv w:val="1"/>
      <w:marLeft w:val="0"/>
      <w:marRight w:val="0"/>
      <w:marTop w:val="0"/>
      <w:marBottom w:val="0"/>
      <w:divBdr>
        <w:top w:val="none" w:sz="0" w:space="0" w:color="auto"/>
        <w:left w:val="none" w:sz="0" w:space="0" w:color="auto"/>
        <w:bottom w:val="none" w:sz="0" w:space="0" w:color="auto"/>
        <w:right w:val="none" w:sz="0" w:space="0" w:color="auto"/>
      </w:divBdr>
    </w:div>
    <w:div w:id="2076315246">
      <w:bodyDiv w:val="1"/>
      <w:marLeft w:val="0"/>
      <w:marRight w:val="0"/>
      <w:marTop w:val="0"/>
      <w:marBottom w:val="0"/>
      <w:divBdr>
        <w:top w:val="none" w:sz="0" w:space="0" w:color="auto"/>
        <w:left w:val="none" w:sz="0" w:space="0" w:color="auto"/>
        <w:bottom w:val="none" w:sz="0" w:space="0" w:color="auto"/>
        <w:right w:val="none" w:sz="0" w:space="0" w:color="auto"/>
      </w:divBdr>
    </w:div>
    <w:div w:id="2076318026">
      <w:bodyDiv w:val="1"/>
      <w:marLeft w:val="0"/>
      <w:marRight w:val="0"/>
      <w:marTop w:val="0"/>
      <w:marBottom w:val="0"/>
      <w:divBdr>
        <w:top w:val="none" w:sz="0" w:space="0" w:color="auto"/>
        <w:left w:val="none" w:sz="0" w:space="0" w:color="auto"/>
        <w:bottom w:val="none" w:sz="0" w:space="0" w:color="auto"/>
        <w:right w:val="none" w:sz="0" w:space="0" w:color="auto"/>
      </w:divBdr>
    </w:div>
    <w:div w:id="2076321552">
      <w:bodyDiv w:val="1"/>
      <w:marLeft w:val="0"/>
      <w:marRight w:val="0"/>
      <w:marTop w:val="0"/>
      <w:marBottom w:val="0"/>
      <w:divBdr>
        <w:top w:val="none" w:sz="0" w:space="0" w:color="auto"/>
        <w:left w:val="none" w:sz="0" w:space="0" w:color="auto"/>
        <w:bottom w:val="none" w:sz="0" w:space="0" w:color="auto"/>
        <w:right w:val="none" w:sz="0" w:space="0" w:color="auto"/>
      </w:divBdr>
    </w:div>
    <w:div w:id="2076512400">
      <w:bodyDiv w:val="1"/>
      <w:marLeft w:val="0"/>
      <w:marRight w:val="0"/>
      <w:marTop w:val="0"/>
      <w:marBottom w:val="0"/>
      <w:divBdr>
        <w:top w:val="none" w:sz="0" w:space="0" w:color="auto"/>
        <w:left w:val="none" w:sz="0" w:space="0" w:color="auto"/>
        <w:bottom w:val="none" w:sz="0" w:space="0" w:color="auto"/>
        <w:right w:val="none" w:sz="0" w:space="0" w:color="auto"/>
      </w:divBdr>
    </w:div>
    <w:div w:id="2076514616">
      <w:bodyDiv w:val="1"/>
      <w:marLeft w:val="0"/>
      <w:marRight w:val="0"/>
      <w:marTop w:val="0"/>
      <w:marBottom w:val="0"/>
      <w:divBdr>
        <w:top w:val="none" w:sz="0" w:space="0" w:color="auto"/>
        <w:left w:val="none" w:sz="0" w:space="0" w:color="auto"/>
        <w:bottom w:val="none" w:sz="0" w:space="0" w:color="auto"/>
        <w:right w:val="none" w:sz="0" w:space="0" w:color="auto"/>
      </w:divBdr>
    </w:div>
    <w:div w:id="2076660057">
      <w:bodyDiv w:val="1"/>
      <w:marLeft w:val="0"/>
      <w:marRight w:val="0"/>
      <w:marTop w:val="0"/>
      <w:marBottom w:val="0"/>
      <w:divBdr>
        <w:top w:val="none" w:sz="0" w:space="0" w:color="auto"/>
        <w:left w:val="none" w:sz="0" w:space="0" w:color="auto"/>
        <w:bottom w:val="none" w:sz="0" w:space="0" w:color="auto"/>
        <w:right w:val="none" w:sz="0" w:space="0" w:color="auto"/>
      </w:divBdr>
    </w:div>
    <w:div w:id="2076783621">
      <w:bodyDiv w:val="1"/>
      <w:marLeft w:val="0"/>
      <w:marRight w:val="0"/>
      <w:marTop w:val="0"/>
      <w:marBottom w:val="0"/>
      <w:divBdr>
        <w:top w:val="none" w:sz="0" w:space="0" w:color="auto"/>
        <w:left w:val="none" w:sz="0" w:space="0" w:color="auto"/>
        <w:bottom w:val="none" w:sz="0" w:space="0" w:color="auto"/>
        <w:right w:val="none" w:sz="0" w:space="0" w:color="auto"/>
      </w:divBdr>
    </w:div>
    <w:div w:id="2076855036">
      <w:bodyDiv w:val="1"/>
      <w:marLeft w:val="0"/>
      <w:marRight w:val="0"/>
      <w:marTop w:val="0"/>
      <w:marBottom w:val="0"/>
      <w:divBdr>
        <w:top w:val="none" w:sz="0" w:space="0" w:color="auto"/>
        <w:left w:val="none" w:sz="0" w:space="0" w:color="auto"/>
        <w:bottom w:val="none" w:sz="0" w:space="0" w:color="auto"/>
        <w:right w:val="none" w:sz="0" w:space="0" w:color="auto"/>
      </w:divBdr>
    </w:div>
    <w:div w:id="2076929675">
      <w:bodyDiv w:val="1"/>
      <w:marLeft w:val="0"/>
      <w:marRight w:val="0"/>
      <w:marTop w:val="0"/>
      <w:marBottom w:val="0"/>
      <w:divBdr>
        <w:top w:val="none" w:sz="0" w:space="0" w:color="auto"/>
        <w:left w:val="none" w:sz="0" w:space="0" w:color="auto"/>
        <w:bottom w:val="none" w:sz="0" w:space="0" w:color="auto"/>
        <w:right w:val="none" w:sz="0" w:space="0" w:color="auto"/>
      </w:divBdr>
    </w:div>
    <w:div w:id="2076971932">
      <w:bodyDiv w:val="1"/>
      <w:marLeft w:val="0"/>
      <w:marRight w:val="0"/>
      <w:marTop w:val="0"/>
      <w:marBottom w:val="0"/>
      <w:divBdr>
        <w:top w:val="none" w:sz="0" w:space="0" w:color="auto"/>
        <w:left w:val="none" w:sz="0" w:space="0" w:color="auto"/>
        <w:bottom w:val="none" w:sz="0" w:space="0" w:color="auto"/>
        <w:right w:val="none" w:sz="0" w:space="0" w:color="auto"/>
      </w:divBdr>
    </w:div>
    <w:div w:id="2077044710">
      <w:bodyDiv w:val="1"/>
      <w:marLeft w:val="0"/>
      <w:marRight w:val="0"/>
      <w:marTop w:val="0"/>
      <w:marBottom w:val="0"/>
      <w:divBdr>
        <w:top w:val="none" w:sz="0" w:space="0" w:color="auto"/>
        <w:left w:val="none" w:sz="0" w:space="0" w:color="auto"/>
        <w:bottom w:val="none" w:sz="0" w:space="0" w:color="auto"/>
        <w:right w:val="none" w:sz="0" w:space="0" w:color="auto"/>
      </w:divBdr>
    </w:div>
    <w:div w:id="2077240103">
      <w:bodyDiv w:val="1"/>
      <w:marLeft w:val="0"/>
      <w:marRight w:val="0"/>
      <w:marTop w:val="0"/>
      <w:marBottom w:val="0"/>
      <w:divBdr>
        <w:top w:val="none" w:sz="0" w:space="0" w:color="auto"/>
        <w:left w:val="none" w:sz="0" w:space="0" w:color="auto"/>
        <w:bottom w:val="none" w:sz="0" w:space="0" w:color="auto"/>
        <w:right w:val="none" w:sz="0" w:space="0" w:color="auto"/>
      </w:divBdr>
    </w:div>
    <w:div w:id="2077314911">
      <w:bodyDiv w:val="1"/>
      <w:marLeft w:val="0"/>
      <w:marRight w:val="0"/>
      <w:marTop w:val="0"/>
      <w:marBottom w:val="0"/>
      <w:divBdr>
        <w:top w:val="none" w:sz="0" w:space="0" w:color="auto"/>
        <w:left w:val="none" w:sz="0" w:space="0" w:color="auto"/>
        <w:bottom w:val="none" w:sz="0" w:space="0" w:color="auto"/>
        <w:right w:val="none" w:sz="0" w:space="0" w:color="auto"/>
      </w:divBdr>
    </w:div>
    <w:div w:id="2077315048">
      <w:bodyDiv w:val="1"/>
      <w:marLeft w:val="0"/>
      <w:marRight w:val="0"/>
      <w:marTop w:val="0"/>
      <w:marBottom w:val="0"/>
      <w:divBdr>
        <w:top w:val="none" w:sz="0" w:space="0" w:color="auto"/>
        <w:left w:val="none" w:sz="0" w:space="0" w:color="auto"/>
        <w:bottom w:val="none" w:sz="0" w:space="0" w:color="auto"/>
        <w:right w:val="none" w:sz="0" w:space="0" w:color="auto"/>
      </w:divBdr>
    </w:div>
    <w:div w:id="2077580933">
      <w:bodyDiv w:val="1"/>
      <w:marLeft w:val="0"/>
      <w:marRight w:val="0"/>
      <w:marTop w:val="0"/>
      <w:marBottom w:val="0"/>
      <w:divBdr>
        <w:top w:val="none" w:sz="0" w:space="0" w:color="auto"/>
        <w:left w:val="none" w:sz="0" w:space="0" w:color="auto"/>
        <w:bottom w:val="none" w:sz="0" w:space="0" w:color="auto"/>
        <w:right w:val="none" w:sz="0" w:space="0" w:color="auto"/>
      </w:divBdr>
    </w:div>
    <w:div w:id="2077773450">
      <w:bodyDiv w:val="1"/>
      <w:marLeft w:val="0"/>
      <w:marRight w:val="0"/>
      <w:marTop w:val="0"/>
      <w:marBottom w:val="0"/>
      <w:divBdr>
        <w:top w:val="none" w:sz="0" w:space="0" w:color="auto"/>
        <w:left w:val="none" w:sz="0" w:space="0" w:color="auto"/>
        <w:bottom w:val="none" w:sz="0" w:space="0" w:color="auto"/>
        <w:right w:val="none" w:sz="0" w:space="0" w:color="auto"/>
      </w:divBdr>
    </w:div>
    <w:div w:id="2077779725">
      <w:bodyDiv w:val="1"/>
      <w:marLeft w:val="0"/>
      <w:marRight w:val="0"/>
      <w:marTop w:val="0"/>
      <w:marBottom w:val="0"/>
      <w:divBdr>
        <w:top w:val="none" w:sz="0" w:space="0" w:color="auto"/>
        <w:left w:val="none" w:sz="0" w:space="0" w:color="auto"/>
        <w:bottom w:val="none" w:sz="0" w:space="0" w:color="auto"/>
        <w:right w:val="none" w:sz="0" w:space="0" w:color="auto"/>
      </w:divBdr>
    </w:div>
    <w:div w:id="2077898352">
      <w:bodyDiv w:val="1"/>
      <w:marLeft w:val="0"/>
      <w:marRight w:val="0"/>
      <w:marTop w:val="0"/>
      <w:marBottom w:val="0"/>
      <w:divBdr>
        <w:top w:val="none" w:sz="0" w:space="0" w:color="auto"/>
        <w:left w:val="none" w:sz="0" w:space="0" w:color="auto"/>
        <w:bottom w:val="none" w:sz="0" w:space="0" w:color="auto"/>
        <w:right w:val="none" w:sz="0" w:space="0" w:color="auto"/>
      </w:divBdr>
    </w:div>
    <w:div w:id="2077970846">
      <w:bodyDiv w:val="1"/>
      <w:marLeft w:val="0"/>
      <w:marRight w:val="0"/>
      <w:marTop w:val="0"/>
      <w:marBottom w:val="0"/>
      <w:divBdr>
        <w:top w:val="none" w:sz="0" w:space="0" w:color="auto"/>
        <w:left w:val="none" w:sz="0" w:space="0" w:color="auto"/>
        <w:bottom w:val="none" w:sz="0" w:space="0" w:color="auto"/>
        <w:right w:val="none" w:sz="0" w:space="0" w:color="auto"/>
      </w:divBdr>
    </w:div>
    <w:div w:id="2078015989">
      <w:bodyDiv w:val="1"/>
      <w:marLeft w:val="0"/>
      <w:marRight w:val="0"/>
      <w:marTop w:val="0"/>
      <w:marBottom w:val="0"/>
      <w:divBdr>
        <w:top w:val="none" w:sz="0" w:space="0" w:color="auto"/>
        <w:left w:val="none" w:sz="0" w:space="0" w:color="auto"/>
        <w:bottom w:val="none" w:sz="0" w:space="0" w:color="auto"/>
        <w:right w:val="none" w:sz="0" w:space="0" w:color="auto"/>
      </w:divBdr>
    </w:div>
    <w:div w:id="2078088261">
      <w:bodyDiv w:val="1"/>
      <w:marLeft w:val="0"/>
      <w:marRight w:val="0"/>
      <w:marTop w:val="0"/>
      <w:marBottom w:val="0"/>
      <w:divBdr>
        <w:top w:val="none" w:sz="0" w:space="0" w:color="auto"/>
        <w:left w:val="none" w:sz="0" w:space="0" w:color="auto"/>
        <w:bottom w:val="none" w:sz="0" w:space="0" w:color="auto"/>
        <w:right w:val="none" w:sz="0" w:space="0" w:color="auto"/>
      </w:divBdr>
    </w:div>
    <w:div w:id="2078161174">
      <w:bodyDiv w:val="1"/>
      <w:marLeft w:val="0"/>
      <w:marRight w:val="0"/>
      <w:marTop w:val="0"/>
      <w:marBottom w:val="0"/>
      <w:divBdr>
        <w:top w:val="none" w:sz="0" w:space="0" w:color="auto"/>
        <w:left w:val="none" w:sz="0" w:space="0" w:color="auto"/>
        <w:bottom w:val="none" w:sz="0" w:space="0" w:color="auto"/>
        <w:right w:val="none" w:sz="0" w:space="0" w:color="auto"/>
      </w:divBdr>
    </w:div>
    <w:div w:id="2078162356">
      <w:bodyDiv w:val="1"/>
      <w:marLeft w:val="0"/>
      <w:marRight w:val="0"/>
      <w:marTop w:val="0"/>
      <w:marBottom w:val="0"/>
      <w:divBdr>
        <w:top w:val="none" w:sz="0" w:space="0" w:color="auto"/>
        <w:left w:val="none" w:sz="0" w:space="0" w:color="auto"/>
        <w:bottom w:val="none" w:sz="0" w:space="0" w:color="auto"/>
        <w:right w:val="none" w:sz="0" w:space="0" w:color="auto"/>
      </w:divBdr>
    </w:div>
    <w:div w:id="2078237646">
      <w:bodyDiv w:val="1"/>
      <w:marLeft w:val="0"/>
      <w:marRight w:val="0"/>
      <w:marTop w:val="0"/>
      <w:marBottom w:val="0"/>
      <w:divBdr>
        <w:top w:val="none" w:sz="0" w:space="0" w:color="auto"/>
        <w:left w:val="none" w:sz="0" w:space="0" w:color="auto"/>
        <w:bottom w:val="none" w:sz="0" w:space="0" w:color="auto"/>
        <w:right w:val="none" w:sz="0" w:space="0" w:color="auto"/>
      </w:divBdr>
    </w:div>
    <w:div w:id="2078505605">
      <w:bodyDiv w:val="1"/>
      <w:marLeft w:val="0"/>
      <w:marRight w:val="0"/>
      <w:marTop w:val="0"/>
      <w:marBottom w:val="0"/>
      <w:divBdr>
        <w:top w:val="none" w:sz="0" w:space="0" w:color="auto"/>
        <w:left w:val="none" w:sz="0" w:space="0" w:color="auto"/>
        <w:bottom w:val="none" w:sz="0" w:space="0" w:color="auto"/>
        <w:right w:val="none" w:sz="0" w:space="0" w:color="auto"/>
      </w:divBdr>
    </w:div>
    <w:div w:id="2078553904">
      <w:bodyDiv w:val="1"/>
      <w:marLeft w:val="0"/>
      <w:marRight w:val="0"/>
      <w:marTop w:val="0"/>
      <w:marBottom w:val="0"/>
      <w:divBdr>
        <w:top w:val="none" w:sz="0" w:space="0" w:color="auto"/>
        <w:left w:val="none" w:sz="0" w:space="0" w:color="auto"/>
        <w:bottom w:val="none" w:sz="0" w:space="0" w:color="auto"/>
        <w:right w:val="none" w:sz="0" w:space="0" w:color="auto"/>
      </w:divBdr>
    </w:div>
    <w:div w:id="2078626133">
      <w:bodyDiv w:val="1"/>
      <w:marLeft w:val="0"/>
      <w:marRight w:val="0"/>
      <w:marTop w:val="0"/>
      <w:marBottom w:val="0"/>
      <w:divBdr>
        <w:top w:val="none" w:sz="0" w:space="0" w:color="auto"/>
        <w:left w:val="none" w:sz="0" w:space="0" w:color="auto"/>
        <w:bottom w:val="none" w:sz="0" w:space="0" w:color="auto"/>
        <w:right w:val="none" w:sz="0" w:space="0" w:color="auto"/>
      </w:divBdr>
    </w:div>
    <w:div w:id="2078702079">
      <w:bodyDiv w:val="1"/>
      <w:marLeft w:val="0"/>
      <w:marRight w:val="0"/>
      <w:marTop w:val="0"/>
      <w:marBottom w:val="0"/>
      <w:divBdr>
        <w:top w:val="none" w:sz="0" w:space="0" w:color="auto"/>
        <w:left w:val="none" w:sz="0" w:space="0" w:color="auto"/>
        <w:bottom w:val="none" w:sz="0" w:space="0" w:color="auto"/>
        <w:right w:val="none" w:sz="0" w:space="0" w:color="auto"/>
      </w:divBdr>
    </w:div>
    <w:div w:id="2078817498">
      <w:bodyDiv w:val="1"/>
      <w:marLeft w:val="0"/>
      <w:marRight w:val="0"/>
      <w:marTop w:val="0"/>
      <w:marBottom w:val="0"/>
      <w:divBdr>
        <w:top w:val="none" w:sz="0" w:space="0" w:color="auto"/>
        <w:left w:val="none" w:sz="0" w:space="0" w:color="auto"/>
        <w:bottom w:val="none" w:sz="0" w:space="0" w:color="auto"/>
        <w:right w:val="none" w:sz="0" w:space="0" w:color="auto"/>
      </w:divBdr>
    </w:div>
    <w:div w:id="2078939190">
      <w:bodyDiv w:val="1"/>
      <w:marLeft w:val="0"/>
      <w:marRight w:val="0"/>
      <w:marTop w:val="0"/>
      <w:marBottom w:val="0"/>
      <w:divBdr>
        <w:top w:val="none" w:sz="0" w:space="0" w:color="auto"/>
        <w:left w:val="none" w:sz="0" w:space="0" w:color="auto"/>
        <w:bottom w:val="none" w:sz="0" w:space="0" w:color="auto"/>
        <w:right w:val="none" w:sz="0" w:space="0" w:color="auto"/>
      </w:divBdr>
    </w:div>
    <w:div w:id="2079088721">
      <w:bodyDiv w:val="1"/>
      <w:marLeft w:val="0"/>
      <w:marRight w:val="0"/>
      <w:marTop w:val="0"/>
      <w:marBottom w:val="0"/>
      <w:divBdr>
        <w:top w:val="none" w:sz="0" w:space="0" w:color="auto"/>
        <w:left w:val="none" w:sz="0" w:space="0" w:color="auto"/>
        <w:bottom w:val="none" w:sz="0" w:space="0" w:color="auto"/>
        <w:right w:val="none" w:sz="0" w:space="0" w:color="auto"/>
      </w:divBdr>
    </w:div>
    <w:div w:id="2079134115">
      <w:bodyDiv w:val="1"/>
      <w:marLeft w:val="0"/>
      <w:marRight w:val="0"/>
      <w:marTop w:val="0"/>
      <w:marBottom w:val="0"/>
      <w:divBdr>
        <w:top w:val="none" w:sz="0" w:space="0" w:color="auto"/>
        <w:left w:val="none" w:sz="0" w:space="0" w:color="auto"/>
        <w:bottom w:val="none" w:sz="0" w:space="0" w:color="auto"/>
        <w:right w:val="none" w:sz="0" w:space="0" w:color="auto"/>
      </w:divBdr>
    </w:div>
    <w:div w:id="2079159612">
      <w:bodyDiv w:val="1"/>
      <w:marLeft w:val="0"/>
      <w:marRight w:val="0"/>
      <w:marTop w:val="0"/>
      <w:marBottom w:val="0"/>
      <w:divBdr>
        <w:top w:val="none" w:sz="0" w:space="0" w:color="auto"/>
        <w:left w:val="none" w:sz="0" w:space="0" w:color="auto"/>
        <w:bottom w:val="none" w:sz="0" w:space="0" w:color="auto"/>
        <w:right w:val="none" w:sz="0" w:space="0" w:color="auto"/>
      </w:divBdr>
    </w:div>
    <w:div w:id="2079203166">
      <w:bodyDiv w:val="1"/>
      <w:marLeft w:val="0"/>
      <w:marRight w:val="0"/>
      <w:marTop w:val="0"/>
      <w:marBottom w:val="0"/>
      <w:divBdr>
        <w:top w:val="none" w:sz="0" w:space="0" w:color="auto"/>
        <w:left w:val="none" w:sz="0" w:space="0" w:color="auto"/>
        <w:bottom w:val="none" w:sz="0" w:space="0" w:color="auto"/>
        <w:right w:val="none" w:sz="0" w:space="0" w:color="auto"/>
      </w:divBdr>
    </w:div>
    <w:div w:id="2079209691">
      <w:bodyDiv w:val="1"/>
      <w:marLeft w:val="0"/>
      <w:marRight w:val="0"/>
      <w:marTop w:val="0"/>
      <w:marBottom w:val="0"/>
      <w:divBdr>
        <w:top w:val="none" w:sz="0" w:space="0" w:color="auto"/>
        <w:left w:val="none" w:sz="0" w:space="0" w:color="auto"/>
        <w:bottom w:val="none" w:sz="0" w:space="0" w:color="auto"/>
        <w:right w:val="none" w:sz="0" w:space="0" w:color="auto"/>
      </w:divBdr>
    </w:div>
    <w:div w:id="2079471426">
      <w:bodyDiv w:val="1"/>
      <w:marLeft w:val="0"/>
      <w:marRight w:val="0"/>
      <w:marTop w:val="0"/>
      <w:marBottom w:val="0"/>
      <w:divBdr>
        <w:top w:val="none" w:sz="0" w:space="0" w:color="auto"/>
        <w:left w:val="none" w:sz="0" w:space="0" w:color="auto"/>
        <w:bottom w:val="none" w:sz="0" w:space="0" w:color="auto"/>
        <w:right w:val="none" w:sz="0" w:space="0" w:color="auto"/>
      </w:divBdr>
    </w:div>
    <w:div w:id="2079472234">
      <w:bodyDiv w:val="1"/>
      <w:marLeft w:val="0"/>
      <w:marRight w:val="0"/>
      <w:marTop w:val="0"/>
      <w:marBottom w:val="0"/>
      <w:divBdr>
        <w:top w:val="none" w:sz="0" w:space="0" w:color="auto"/>
        <w:left w:val="none" w:sz="0" w:space="0" w:color="auto"/>
        <w:bottom w:val="none" w:sz="0" w:space="0" w:color="auto"/>
        <w:right w:val="none" w:sz="0" w:space="0" w:color="auto"/>
      </w:divBdr>
    </w:div>
    <w:div w:id="2079473113">
      <w:bodyDiv w:val="1"/>
      <w:marLeft w:val="0"/>
      <w:marRight w:val="0"/>
      <w:marTop w:val="0"/>
      <w:marBottom w:val="0"/>
      <w:divBdr>
        <w:top w:val="none" w:sz="0" w:space="0" w:color="auto"/>
        <w:left w:val="none" w:sz="0" w:space="0" w:color="auto"/>
        <w:bottom w:val="none" w:sz="0" w:space="0" w:color="auto"/>
        <w:right w:val="none" w:sz="0" w:space="0" w:color="auto"/>
      </w:divBdr>
    </w:div>
    <w:div w:id="2079546726">
      <w:bodyDiv w:val="1"/>
      <w:marLeft w:val="0"/>
      <w:marRight w:val="0"/>
      <w:marTop w:val="0"/>
      <w:marBottom w:val="0"/>
      <w:divBdr>
        <w:top w:val="none" w:sz="0" w:space="0" w:color="auto"/>
        <w:left w:val="none" w:sz="0" w:space="0" w:color="auto"/>
        <w:bottom w:val="none" w:sz="0" w:space="0" w:color="auto"/>
        <w:right w:val="none" w:sz="0" w:space="0" w:color="auto"/>
      </w:divBdr>
    </w:div>
    <w:div w:id="2079552635">
      <w:bodyDiv w:val="1"/>
      <w:marLeft w:val="0"/>
      <w:marRight w:val="0"/>
      <w:marTop w:val="0"/>
      <w:marBottom w:val="0"/>
      <w:divBdr>
        <w:top w:val="none" w:sz="0" w:space="0" w:color="auto"/>
        <w:left w:val="none" w:sz="0" w:space="0" w:color="auto"/>
        <w:bottom w:val="none" w:sz="0" w:space="0" w:color="auto"/>
        <w:right w:val="none" w:sz="0" w:space="0" w:color="auto"/>
      </w:divBdr>
    </w:div>
    <w:div w:id="2079595290">
      <w:bodyDiv w:val="1"/>
      <w:marLeft w:val="0"/>
      <w:marRight w:val="0"/>
      <w:marTop w:val="0"/>
      <w:marBottom w:val="0"/>
      <w:divBdr>
        <w:top w:val="none" w:sz="0" w:space="0" w:color="auto"/>
        <w:left w:val="none" w:sz="0" w:space="0" w:color="auto"/>
        <w:bottom w:val="none" w:sz="0" w:space="0" w:color="auto"/>
        <w:right w:val="none" w:sz="0" w:space="0" w:color="auto"/>
      </w:divBdr>
    </w:div>
    <w:div w:id="2079664554">
      <w:bodyDiv w:val="1"/>
      <w:marLeft w:val="0"/>
      <w:marRight w:val="0"/>
      <w:marTop w:val="0"/>
      <w:marBottom w:val="0"/>
      <w:divBdr>
        <w:top w:val="none" w:sz="0" w:space="0" w:color="auto"/>
        <w:left w:val="none" w:sz="0" w:space="0" w:color="auto"/>
        <w:bottom w:val="none" w:sz="0" w:space="0" w:color="auto"/>
        <w:right w:val="none" w:sz="0" w:space="0" w:color="auto"/>
      </w:divBdr>
    </w:div>
    <w:div w:id="2079745304">
      <w:bodyDiv w:val="1"/>
      <w:marLeft w:val="0"/>
      <w:marRight w:val="0"/>
      <w:marTop w:val="0"/>
      <w:marBottom w:val="0"/>
      <w:divBdr>
        <w:top w:val="none" w:sz="0" w:space="0" w:color="auto"/>
        <w:left w:val="none" w:sz="0" w:space="0" w:color="auto"/>
        <w:bottom w:val="none" w:sz="0" w:space="0" w:color="auto"/>
        <w:right w:val="none" w:sz="0" w:space="0" w:color="auto"/>
      </w:divBdr>
    </w:div>
    <w:div w:id="2079785264">
      <w:bodyDiv w:val="1"/>
      <w:marLeft w:val="0"/>
      <w:marRight w:val="0"/>
      <w:marTop w:val="0"/>
      <w:marBottom w:val="0"/>
      <w:divBdr>
        <w:top w:val="none" w:sz="0" w:space="0" w:color="auto"/>
        <w:left w:val="none" w:sz="0" w:space="0" w:color="auto"/>
        <w:bottom w:val="none" w:sz="0" w:space="0" w:color="auto"/>
        <w:right w:val="none" w:sz="0" w:space="0" w:color="auto"/>
      </w:divBdr>
    </w:div>
    <w:div w:id="2079785887">
      <w:bodyDiv w:val="1"/>
      <w:marLeft w:val="0"/>
      <w:marRight w:val="0"/>
      <w:marTop w:val="0"/>
      <w:marBottom w:val="0"/>
      <w:divBdr>
        <w:top w:val="none" w:sz="0" w:space="0" w:color="auto"/>
        <w:left w:val="none" w:sz="0" w:space="0" w:color="auto"/>
        <w:bottom w:val="none" w:sz="0" w:space="0" w:color="auto"/>
        <w:right w:val="none" w:sz="0" w:space="0" w:color="auto"/>
      </w:divBdr>
    </w:div>
    <w:div w:id="2079786541">
      <w:bodyDiv w:val="1"/>
      <w:marLeft w:val="0"/>
      <w:marRight w:val="0"/>
      <w:marTop w:val="0"/>
      <w:marBottom w:val="0"/>
      <w:divBdr>
        <w:top w:val="none" w:sz="0" w:space="0" w:color="auto"/>
        <w:left w:val="none" w:sz="0" w:space="0" w:color="auto"/>
        <w:bottom w:val="none" w:sz="0" w:space="0" w:color="auto"/>
        <w:right w:val="none" w:sz="0" w:space="0" w:color="auto"/>
      </w:divBdr>
    </w:div>
    <w:div w:id="2079816966">
      <w:bodyDiv w:val="1"/>
      <w:marLeft w:val="0"/>
      <w:marRight w:val="0"/>
      <w:marTop w:val="0"/>
      <w:marBottom w:val="0"/>
      <w:divBdr>
        <w:top w:val="none" w:sz="0" w:space="0" w:color="auto"/>
        <w:left w:val="none" w:sz="0" w:space="0" w:color="auto"/>
        <w:bottom w:val="none" w:sz="0" w:space="0" w:color="auto"/>
        <w:right w:val="none" w:sz="0" w:space="0" w:color="auto"/>
      </w:divBdr>
    </w:div>
    <w:div w:id="2079932452">
      <w:bodyDiv w:val="1"/>
      <w:marLeft w:val="0"/>
      <w:marRight w:val="0"/>
      <w:marTop w:val="0"/>
      <w:marBottom w:val="0"/>
      <w:divBdr>
        <w:top w:val="none" w:sz="0" w:space="0" w:color="auto"/>
        <w:left w:val="none" w:sz="0" w:space="0" w:color="auto"/>
        <w:bottom w:val="none" w:sz="0" w:space="0" w:color="auto"/>
        <w:right w:val="none" w:sz="0" w:space="0" w:color="auto"/>
      </w:divBdr>
    </w:div>
    <w:div w:id="2079936140">
      <w:bodyDiv w:val="1"/>
      <w:marLeft w:val="0"/>
      <w:marRight w:val="0"/>
      <w:marTop w:val="0"/>
      <w:marBottom w:val="0"/>
      <w:divBdr>
        <w:top w:val="none" w:sz="0" w:space="0" w:color="auto"/>
        <w:left w:val="none" w:sz="0" w:space="0" w:color="auto"/>
        <w:bottom w:val="none" w:sz="0" w:space="0" w:color="auto"/>
        <w:right w:val="none" w:sz="0" w:space="0" w:color="auto"/>
      </w:divBdr>
    </w:div>
    <w:div w:id="2080208844">
      <w:bodyDiv w:val="1"/>
      <w:marLeft w:val="0"/>
      <w:marRight w:val="0"/>
      <w:marTop w:val="0"/>
      <w:marBottom w:val="0"/>
      <w:divBdr>
        <w:top w:val="none" w:sz="0" w:space="0" w:color="auto"/>
        <w:left w:val="none" w:sz="0" w:space="0" w:color="auto"/>
        <w:bottom w:val="none" w:sz="0" w:space="0" w:color="auto"/>
        <w:right w:val="none" w:sz="0" w:space="0" w:color="auto"/>
      </w:divBdr>
    </w:div>
    <w:div w:id="2080208974">
      <w:bodyDiv w:val="1"/>
      <w:marLeft w:val="0"/>
      <w:marRight w:val="0"/>
      <w:marTop w:val="0"/>
      <w:marBottom w:val="0"/>
      <w:divBdr>
        <w:top w:val="none" w:sz="0" w:space="0" w:color="auto"/>
        <w:left w:val="none" w:sz="0" w:space="0" w:color="auto"/>
        <w:bottom w:val="none" w:sz="0" w:space="0" w:color="auto"/>
        <w:right w:val="none" w:sz="0" w:space="0" w:color="auto"/>
      </w:divBdr>
    </w:div>
    <w:div w:id="2080276377">
      <w:bodyDiv w:val="1"/>
      <w:marLeft w:val="0"/>
      <w:marRight w:val="0"/>
      <w:marTop w:val="0"/>
      <w:marBottom w:val="0"/>
      <w:divBdr>
        <w:top w:val="none" w:sz="0" w:space="0" w:color="auto"/>
        <w:left w:val="none" w:sz="0" w:space="0" w:color="auto"/>
        <w:bottom w:val="none" w:sz="0" w:space="0" w:color="auto"/>
        <w:right w:val="none" w:sz="0" w:space="0" w:color="auto"/>
      </w:divBdr>
    </w:div>
    <w:div w:id="2080319478">
      <w:bodyDiv w:val="1"/>
      <w:marLeft w:val="0"/>
      <w:marRight w:val="0"/>
      <w:marTop w:val="0"/>
      <w:marBottom w:val="0"/>
      <w:divBdr>
        <w:top w:val="none" w:sz="0" w:space="0" w:color="auto"/>
        <w:left w:val="none" w:sz="0" w:space="0" w:color="auto"/>
        <w:bottom w:val="none" w:sz="0" w:space="0" w:color="auto"/>
        <w:right w:val="none" w:sz="0" w:space="0" w:color="auto"/>
      </w:divBdr>
    </w:div>
    <w:div w:id="2080399785">
      <w:bodyDiv w:val="1"/>
      <w:marLeft w:val="0"/>
      <w:marRight w:val="0"/>
      <w:marTop w:val="0"/>
      <w:marBottom w:val="0"/>
      <w:divBdr>
        <w:top w:val="none" w:sz="0" w:space="0" w:color="auto"/>
        <w:left w:val="none" w:sz="0" w:space="0" w:color="auto"/>
        <w:bottom w:val="none" w:sz="0" w:space="0" w:color="auto"/>
        <w:right w:val="none" w:sz="0" w:space="0" w:color="auto"/>
      </w:divBdr>
    </w:div>
    <w:div w:id="2080445072">
      <w:bodyDiv w:val="1"/>
      <w:marLeft w:val="0"/>
      <w:marRight w:val="0"/>
      <w:marTop w:val="0"/>
      <w:marBottom w:val="0"/>
      <w:divBdr>
        <w:top w:val="none" w:sz="0" w:space="0" w:color="auto"/>
        <w:left w:val="none" w:sz="0" w:space="0" w:color="auto"/>
        <w:bottom w:val="none" w:sz="0" w:space="0" w:color="auto"/>
        <w:right w:val="none" w:sz="0" w:space="0" w:color="auto"/>
      </w:divBdr>
    </w:div>
    <w:div w:id="2080639298">
      <w:bodyDiv w:val="1"/>
      <w:marLeft w:val="0"/>
      <w:marRight w:val="0"/>
      <w:marTop w:val="0"/>
      <w:marBottom w:val="0"/>
      <w:divBdr>
        <w:top w:val="none" w:sz="0" w:space="0" w:color="auto"/>
        <w:left w:val="none" w:sz="0" w:space="0" w:color="auto"/>
        <w:bottom w:val="none" w:sz="0" w:space="0" w:color="auto"/>
        <w:right w:val="none" w:sz="0" w:space="0" w:color="auto"/>
      </w:divBdr>
    </w:div>
    <w:div w:id="2080664172">
      <w:bodyDiv w:val="1"/>
      <w:marLeft w:val="0"/>
      <w:marRight w:val="0"/>
      <w:marTop w:val="0"/>
      <w:marBottom w:val="0"/>
      <w:divBdr>
        <w:top w:val="none" w:sz="0" w:space="0" w:color="auto"/>
        <w:left w:val="none" w:sz="0" w:space="0" w:color="auto"/>
        <w:bottom w:val="none" w:sz="0" w:space="0" w:color="auto"/>
        <w:right w:val="none" w:sz="0" w:space="0" w:color="auto"/>
      </w:divBdr>
    </w:div>
    <w:div w:id="2080781708">
      <w:bodyDiv w:val="1"/>
      <w:marLeft w:val="0"/>
      <w:marRight w:val="0"/>
      <w:marTop w:val="0"/>
      <w:marBottom w:val="0"/>
      <w:divBdr>
        <w:top w:val="none" w:sz="0" w:space="0" w:color="auto"/>
        <w:left w:val="none" w:sz="0" w:space="0" w:color="auto"/>
        <w:bottom w:val="none" w:sz="0" w:space="0" w:color="auto"/>
        <w:right w:val="none" w:sz="0" w:space="0" w:color="auto"/>
      </w:divBdr>
    </w:div>
    <w:div w:id="2080789888">
      <w:bodyDiv w:val="1"/>
      <w:marLeft w:val="0"/>
      <w:marRight w:val="0"/>
      <w:marTop w:val="0"/>
      <w:marBottom w:val="0"/>
      <w:divBdr>
        <w:top w:val="none" w:sz="0" w:space="0" w:color="auto"/>
        <w:left w:val="none" w:sz="0" w:space="0" w:color="auto"/>
        <w:bottom w:val="none" w:sz="0" w:space="0" w:color="auto"/>
        <w:right w:val="none" w:sz="0" w:space="0" w:color="auto"/>
      </w:divBdr>
    </w:div>
    <w:div w:id="2080864200">
      <w:bodyDiv w:val="1"/>
      <w:marLeft w:val="0"/>
      <w:marRight w:val="0"/>
      <w:marTop w:val="0"/>
      <w:marBottom w:val="0"/>
      <w:divBdr>
        <w:top w:val="none" w:sz="0" w:space="0" w:color="auto"/>
        <w:left w:val="none" w:sz="0" w:space="0" w:color="auto"/>
        <w:bottom w:val="none" w:sz="0" w:space="0" w:color="auto"/>
        <w:right w:val="none" w:sz="0" w:space="0" w:color="auto"/>
      </w:divBdr>
    </w:div>
    <w:div w:id="2080899883">
      <w:bodyDiv w:val="1"/>
      <w:marLeft w:val="0"/>
      <w:marRight w:val="0"/>
      <w:marTop w:val="0"/>
      <w:marBottom w:val="0"/>
      <w:divBdr>
        <w:top w:val="none" w:sz="0" w:space="0" w:color="auto"/>
        <w:left w:val="none" w:sz="0" w:space="0" w:color="auto"/>
        <w:bottom w:val="none" w:sz="0" w:space="0" w:color="auto"/>
        <w:right w:val="none" w:sz="0" w:space="0" w:color="auto"/>
      </w:divBdr>
    </w:div>
    <w:div w:id="2080975072">
      <w:bodyDiv w:val="1"/>
      <w:marLeft w:val="0"/>
      <w:marRight w:val="0"/>
      <w:marTop w:val="0"/>
      <w:marBottom w:val="0"/>
      <w:divBdr>
        <w:top w:val="none" w:sz="0" w:space="0" w:color="auto"/>
        <w:left w:val="none" w:sz="0" w:space="0" w:color="auto"/>
        <w:bottom w:val="none" w:sz="0" w:space="0" w:color="auto"/>
        <w:right w:val="none" w:sz="0" w:space="0" w:color="auto"/>
      </w:divBdr>
    </w:div>
    <w:div w:id="2080980407">
      <w:bodyDiv w:val="1"/>
      <w:marLeft w:val="0"/>
      <w:marRight w:val="0"/>
      <w:marTop w:val="0"/>
      <w:marBottom w:val="0"/>
      <w:divBdr>
        <w:top w:val="none" w:sz="0" w:space="0" w:color="auto"/>
        <w:left w:val="none" w:sz="0" w:space="0" w:color="auto"/>
        <w:bottom w:val="none" w:sz="0" w:space="0" w:color="auto"/>
        <w:right w:val="none" w:sz="0" w:space="0" w:color="auto"/>
      </w:divBdr>
    </w:div>
    <w:div w:id="2080983081">
      <w:bodyDiv w:val="1"/>
      <w:marLeft w:val="0"/>
      <w:marRight w:val="0"/>
      <w:marTop w:val="0"/>
      <w:marBottom w:val="0"/>
      <w:divBdr>
        <w:top w:val="none" w:sz="0" w:space="0" w:color="auto"/>
        <w:left w:val="none" w:sz="0" w:space="0" w:color="auto"/>
        <w:bottom w:val="none" w:sz="0" w:space="0" w:color="auto"/>
        <w:right w:val="none" w:sz="0" w:space="0" w:color="auto"/>
      </w:divBdr>
    </w:div>
    <w:div w:id="2081058949">
      <w:bodyDiv w:val="1"/>
      <w:marLeft w:val="0"/>
      <w:marRight w:val="0"/>
      <w:marTop w:val="0"/>
      <w:marBottom w:val="0"/>
      <w:divBdr>
        <w:top w:val="none" w:sz="0" w:space="0" w:color="auto"/>
        <w:left w:val="none" w:sz="0" w:space="0" w:color="auto"/>
        <w:bottom w:val="none" w:sz="0" w:space="0" w:color="auto"/>
        <w:right w:val="none" w:sz="0" w:space="0" w:color="auto"/>
      </w:divBdr>
    </w:div>
    <w:div w:id="2081127770">
      <w:bodyDiv w:val="1"/>
      <w:marLeft w:val="0"/>
      <w:marRight w:val="0"/>
      <w:marTop w:val="0"/>
      <w:marBottom w:val="0"/>
      <w:divBdr>
        <w:top w:val="none" w:sz="0" w:space="0" w:color="auto"/>
        <w:left w:val="none" w:sz="0" w:space="0" w:color="auto"/>
        <w:bottom w:val="none" w:sz="0" w:space="0" w:color="auto"/>
        <w:right w:val="none" w:sz="0" w:space="0" w:color="auto"/>
      </w:divBdr>
    </w:div>
    <w:div w:id="2081176173">
      <w:bodyDiv w:val="1"/>
      <w:marLeft w:val="0"/>
      <w:marRight w:val="0"/>
      <w:marTop w:val="0"/>
      <w:marBottom w:val="0"/>
      <w:divBdr>
        <w:top w:val="none" w:sz="0" w:space="0" w:color="auto"/>
        <w:left w:val="none" w:sz="0" w:space="0" w:color="auto"/>
        <w:bottom w:val="none" w:sz="0" w:space="0" w:color="auto"/>
        <w:right w:val="none" w:sz="0" w:space="0" w:color="auto"/>
      </w:divBdr>
    </w:div>
    <w:div w:id="2081294335">
      <w:bodyDiv w:val="1"/>
      <w:marLeft w:val="0"/>
      <w:marRight w:val="0"/>
      <w:marTop w:val="0"/>
      <w:marBottom w:val="0"/>
      <w:divBdr>
        <w:top w:val="none" w:sz="0" w:space="0" w:color="auto"/>
        <w:left w:val="none" w:sz="0" w:space="0" w:color="auto"/>
        <w:bottom w:val="none" w:sz="0" w:space="0" w:color="auto"/>
        <w:right w:val="none" w:sz="0" w:space="0" w:color="auto"/>
      </w:divBdr>
    </w:div>
    <w:div w:id="2081364381">
      <w:bodyDiv w:val="1"/>
      <w:marLeft w:val="0"/>
      <w:marRight w:val="0"/>
      <w:marTop w:val="0"/>
      <w:marBottom w:val="0"/>
      <w:divBdr>
        <w:top w:val="none" w:sz="0" w:space="0" w:color="auto"/>
        <w:left w:val="none" w:sz="0" w:space="0" w:color="auto"/>
        <w:bottom w:val="none" w:sz="0" w:space="0" w:color="auto"/>
        <w:right w:val="none" w:sz="0" w:space="0" w:color="auto"/>
      </w:divBdr>
    </w:div>
    <w:div w:id="2081438666">
      <w:bodyDiv w:val="1"/>
      <w:marLeft w:val="0"/>
      <w:marRight w:val="0"/>
      <w:marTop w:val="0"/>
      <w:marBottom w:val="0"/>
      <w:divBdr>
        <w:top w:val="none" w:sz="0" w:space="0" w:color="auto"/>
        <w:left w:val="none" w:sz="0" w:space="0" w:color="auto"/>
        <w:bottom w:val="none" w:sz="0" w:space="0" w:color="auto"/>
        <w:right w:val="none" w:sz="0" w:space="0" w:color="auto"/>
      </w:divBdr>
    </w:div>
    <w:div w:id="2081441553">
      <w:bodyDiv w:val="1"/>
      <w:marLeft w:val="0"/>
      <w:marRight w:val="0"/>
      <w:marTop w:val="0"/>
      <w:marBottom w:val="0"/>
      <w:divBdr>
        <w:top w:val="none" w:sz="0" w:space="0" w:color="auto"/>
        <w:left w:val="none" w:sz="0" w:space="0" w:color="auto"/>
        <w:bottom w:val="none" w:sz="0" w:space="0" w:color="auto"/>
        <w:right w:val="none" w:sz="0" w:space="0" w:color="auto"/>
      </w:divBdr>
    </w:div>
    <w:div w:id="2081516230">
      <w:bodyDiv w:val="1"/>
      <w:marLeft w:val="0"/>
      <w:marRight w:val="0"/>
      <w:marTop w:val="0"/>
      <w:marBottom w:val="0"/>
      <w:divBdr>
        <w:top w:val="none" w:sz="0" w:space="0" w:color="auto"/>
        <w:left w:val="none" w:sz="0" w:space="0" w:color="auto"/>
        <w:bottom w:val="none" w:sz="0" w:space="0" w:color="auto"/>
        <w:right w:val="none" w:sz="0" w:space="0" w:color="auto"/>
      </w:divBdr>
    </w:div>
    <w:div w:id="2081712843">
      <w:bodyDiv w:val="1"/>
      <w:marLeft w:val="0"/>
      <w:marRight w:val="0"/>
      <w:marTop w:val="0"/>
      <w:marBottom w:val="0"/>
      <w:divBdr>
        <w:top w:val="none" w:sz="0" w:space="0" w:color="auto"/>
        <w:left w:val="none" w:sz="0" w:space="0" w:color="auto"/>
        <w:bottom w:val="none" w:sz="0" w:space="0" w:color="auto"/>
        <w:right w:val="none" w:sz="0" w:space="0" w:color="auto"/>
      </w:divBdr>
    </w:div>
    <w:div w:id="2081780659">
      <w:bodyDiv w:val="1"/>
      <w:marLeft w:val="0"/>
      <w:marRight w:val="0"/>
      <w:marTop w:val="0"/>
      <w:marBottom w:val="0"/>
      <w:divBdr>
        <w:top w:val="none" w:sz="0" w:space="0" w:color="auto"/>
        <w:left w:val="none" w:sz="0" w:space="0" w:color="auto"/>
        <w:bottom w:val="none" w:sz="0" w:space="0" w:color="auto"/>
        <w:right w:val="none" w:sz="0" w:space="0" w:color="auto"/>
      </w:divBdr>
    </w:div>
    <w:div w:id="2081824036">
      <w:bodyDiv w:val="1"/>
      <w:marLeft w:val="0"/>
      <w:marRight w:val="0"/>
      <w:marTop w:val="0"/>
      <w:marBottom w:val="0"/>
      <w:divBdr>
        <w:top w:val="none" w:sz="0" w:space="0" w:color="auto"/>
        <w:left w:val="none" w:sz="0" w:space="0" w:color="auto"/>
        <w:bottom w:val="none" w:sz="0" w:space="0" w:color="auto"/>
        <w:right w:val="none" w:sz="0" w:space="0" w:color="auto"/>
      </w:divBdr>
    </w:div>
    <w:div w:id="2081827327">
      <w:bodyDiv w:val="1"/>
      <w:marLeft w:val="0"/>
      <w:marRight w:val="0"/>
      <w:marTop w:val="0"/>
      <w:marBottom w:val="0"/>
      <w:divBdr>
        <w:top w:val="none" w:sz="0" w:space="0" w:color="auto"/>
        <w:left w:val="none" w:sz="0" w:space="0" w:color="auto"/>
        <w:bottom w:val="none" w:sz="0" w:space="0" w:color="auto"/>
        <w:right w:val="none" w:sz="0" w:space="0" w:color="auto"/>
      </w:divBdr>
    </w:div>
    <w:div w:id="2081828019">
      <w:bodyDiv w:val="1"/>
      <w:marLeft w:val="0"/>
      <w:marRight w:val="0"/>
      <w:marTop w:val="0"/>
      <w:marBottom w:val="0"/>
      <w:divBdr>
        <w:top w:val="none" w:sz="0" w:space="0" w:color="auto"/>
        <w:left w:val="none" w:sz="0" w:space="0" w:color="auto"/>
        <w:bottom w:val="none" w:sz="0" w:space="0" w:color="auto"/>
        <w:right w:val="none" w:sz="0" w:space="0" w:color="auto"/>
      </w:divBdr>
    </w:div>
    <w:div w:id="2081898930">
      <w:bodyDiv w:val="1"/>
      <w:marLeft w:val="0"/>
      <w:marRight w:val="0"/>
      <w:marTop w:val="0"/>
      <w:marBottom w:val="0"/>
      <w:divBdr>
        <w:top w:val="none" w:sz="0" w:space="0" w:color="auto"/>
        <w:left w:val="none" w:sz="0" w:space="0" w:color="auto"/>
        <w:bottom w:val="none" w:sz="0" w:space="0" w:color="auto"/>
        <w:right w:val="none" w:sz="0" w:space="0" w:color="auto"/>
      </w:divBdr>
    </w:div>
    <w:div w:id="2081905349">
      <w:bodyDiv w:val="1"/>
      <w:marLeft w:val="0"/>
      <w:marRight w:val="0"/>
      <w:marTop w:val="0"/>
      <w:marBottom w:val="0"/>
      <w:divBdr>
        <w:top w:val="none" w:sz="0" w:space="0" w:color="auto"/>
        <w:left w:val="none" w:sz="0" w:space="0" w:color="auto"/>
        <w:bottom w:val="none" w:sz="0" w:space="0" w:color="auto"/>
        <w:right w:val="none" w:sz="0" w:space="0" w:color="auto"/>
      </w:divBdr>
    </w:div>
    <w:div w:id="2082018558">
      <w:bodyDiv w:val="1"/>
      <w:marLeft w:val="0"/>
      <w:marRight w:val="0"/>
      <w:marTop w:val="0"/>
      <w:marBottom w:val="0"/>
      <w:divBdr>
        <w:top w:val="none" w:sz="0" w:space="0" w:color="auto"/>
        <w:left w:val="none" w:sz="0" w:space="0" w:color="auto"/>
        <w:bottom w:val="none" w:sz="0" w:space="0" w:color="auto"/>
        <w:right w:val="none" w:sz="0" w:space="0" w:color="auto"/>
      </w:divBdr>
    </w:div>
    <w:div w:id="2082024956">
      <w:bodyDiv w:val="1"/>
      <w:marLeft w:val="0"/>
      <w:marRight w:val="0"/>
      <w:marTop w:val="0"/>
      <w:marBottom w:val="0"/>
      <w:divBdr>
        <w:top w:val="none" w:sz="0" w:space="0" w:color="auto"/>
        <w:left w:val="none" w:sz="0" w:space="0" w:color="auto"/>
        <w:bottom w:val="none" w:sz="0" w:space="0" w:color="auto"/>
        <w:right w:val="none" w:sz="0" w:space="0" w:color="auto"/>
      </w:divBdr>
    </w:div>
    <w:div w:id="2082094788">
      <w:bodyDiv w:val="1"/>
      <w:marLeft w:val="0"/>
      <w:marRight w:val="0"/>
      <w:marTop w:val="0"/>
      <w:marBottom w:val="0"/>
      <w:divBdr>
        <w:top w:val="none" w:sz="0" w:space="0" w:color="auto"/>
        <w:left w:val="none" w:sz="0" w:space="0" w:color="auto"/>
        <w:bottom w:val="none" w:sz="0" w:space="0" w:color="auto"/>
        <w:right w:val="none" w:sz="0" w:space="0" w:color="auto"/>
      </w:divBdr>
    </w:div>
    <w:div w:id="2082210304">
      <w:bodyDiv w:val="1"/>
      <w:marLeft w:val="0"/>
      <w:marRight w:val="0"/>
      <w:marTop w:val="0"/>
      <w:marBottom w:val="0"/>
      <w:divBdr>
        <w:top w:val="none" w:sz="0" w:space="0" w:color="auto"/>
        <w:left w:val="none" w:sz="0" w:space="0" w:color="auto"/>
        <w:bottom w:val="none" w:sz="0" w:space="0" w:color="auto"/>
        <w:right w:val="none" w:sz="0" w:space="0" w:color="auto"/>
      </w:divBdr>
    </w:div>
    <w:div w:id="2082285491">
      <w:bodyDiv w:val="1"/>
      <w:marLeft w:val="0"/>
      <w:marRight w:val="0"/>
      <w:marTop w:val="0"/>
      <w:marBottom w:val="0"/>
      <w:divBdr>
        <w:top w:val="none" w:sz="0" w:space="0" w:color="auto"/>
        <w:left w:val="none" w:sz="0" w:space="0" w:color="auto"/>
        <w:bottom w:val="none" w:sz="0" w:space="0" w:color="auto"/>
        <w:right w:val="none" w:sz="0" w:space="0" w:color="auto"/>
      </w:divBdr>
    </w:div>
    <w:div w:id="2082290856">
      <w:bodyDiv w:val="1"/>
      <w:marLeft w:val="0"/>
      <w:marRight w:val="0"/>
      <w:marTop w:val="0"/>
      <w:marBottom w:val="0"/>
      <w:divBdr>
        <w:top w:val="none" w:sz="0" w:space="0" w:color="auto"/>
        <w:left w:val="none" w:sz="0" w:space="0" w:color="auto"/>
        <w:bottom w:val="none" w:sz="0" w:space="0" w:color="auto"/>
        <w:right w:val="none" w:sz="0" w:space="0" w:color="auto"/>
      </w:divBdr>
    </w:div>
    <w:div w:id="2082407577">
      <w:bodyDiv w:val="1"/>
      <w:marLeft w:val="0"/>
      <w:marRight w:val="0"/>
      <w:marTop w:val="0"/>
      <w:marBottom w:val="0"/>
      <w:divBdr>
        <w:top w:val="none" w:sz="0" w:space="0" w:color="auto"/>
        <w:left w:val="none" w:sz="0" w:space="0" w:color="auto"/>
        <w:bottom w:val="none" w:sz="0" w:space="0" w:color="auto"/>
        <w:right w:val="none" w:sz="0" w:space="0" w:color="auto"/>
      </w:divBdr>
    </w:div>
    <w:div w:id="2082438053">
      <w:bodyDiv w:val="1"/>
      <w:marLeft w:val="0"/>
      <w:marRight w:val="0"/>
      <w:marTop w:val="0"/>
      <w:marBottom w:val="0"/>
      <w:divBdr>
        <w:top w:val="none" w:sz="0" w:space="0" w:color="auto"/>
        <w:left w:val="none" w:sz="0" w:space="0" w:color="auto"/>
        <w:bottom w:val="none" w:sz="0" w:space="0" w:color="auto"/>
        <w:right w:val="none" w:sz="0" w:space="0" w:color="auto"/>
      </w:divBdr>
    </w:div>
    <w:div w:id="2082554323">
      <w:bodyDiv w:val="1"/>
      <w:marLeft w:val="0"/>
      <w:marRight w:val="0"/>
      <w:marTop w:val="0"/>
      <w:marBottom w:val="0"/>
      <w:divBdr>
        <w:top w:val="none" w:sz="0" w:space="0" w:color="auto"/>
        <w:left w:val="none" w:sz="0" w:space="0" w:color="auto"/>
        <w:bottom w:val="none" w:sz="0" w:space="0" w:color="auto"/>
        <w:right w:val="none" w:sz="0" w:space="0" w:color="auto"/>
      </w:divBdr>
    </w:div>
    <w:div w:id="2082631896">
      <w:bodyDiv w:val="1"/>
      <w:marLeft w:val="0"/>
      <w:marRight w:val="0"/>
      <w:marTop w:val="0"/>
      <w:marBottom w:val="0"/>
      <w:divBdr>
        <w:top w:val="none" w:sz="0" w:space="0" w:color="auto"/>
        <w:left w:val="none" w:sz="0" w:space="0" w:color="auto"/>
        <w:bottom w:val="none" w:sz="0" w:space="0" w:color="auto"/>
        <w:right w:val="none" w:sz="0" w:space="0" w:color="auto"/>
      </w:divBdr>
    </w:div>
    <w:div w:id="2082823309">
      <w:bodyDiv w:val="1"/>
      <w:marLeft w:val="0"/>
      <w:marRight w:val="0"/>
      <w:marTop w:val="0"/>
      <w:marBottom w:val="0"/>
      <w:divBdr>
        <w:top w:val="none" w:sz="0" w:space="0" w:color="auto"/>
        <w:left w:val="none" w:sz="0" w:space="0" w:color="auto"/>
        <w:bottom w:val="none" w:sz="0" w:space="0" w:color="auto"/>
        <w:right w:val="none" w:sz="0" w:space="0" w:color="auto"/>
      </w:divBdr>
    </w:div>
    <w:div w:id="2082867379">
      <w:bodyDiv w:val="1"/>
      <w:marLeft w:val="0"/>
      <w:marRight w:val="0"/>
      <w:marTop w:val="0"/>
      <w:marBottom w:val="0"/>
      <w:divBdr>
        <w:top w:val="none" w:sz="0" w:space="0" w:color="auto"/>
        <w:left w:val="none" w:sz="0" w:space="0" w:color="auto"/>
        <w:bottom w:val="none" w:sz="0" w:space="0" w:color="auto"/>
        <w:right w:val="none" w:sz="0" w:space="0" w:color="auto"/>
      </w:divBdr>
    </w:div>
    <w:div w:id="2082947574">
      <w:bodyDiv w:val="1"/>
      <w:marLeft w:val="0"/>
      <w:marRight w:val="0"/>
      <w:marTop w:val="0"/>
      <w:marBottom w:val="0"/>
      <w:divBdr>
        <w:top w:val="none" w:sz="0" w:space="0" w:color="auto"/>
        <w:left w:val="none" w:sz="0" w:space="0" w:color="auto"/>
        <w:bottom w:val="none" w:sz="0" w:space="0" w:color="auto"/>
        <w:right w:val="none" w:sz="0" w:space="0" w:color="auto"/>
      </w:divBdr>
    </w:div>
    <w:div w:id="2083022664">
      <w:bodyDiv w:val="1"/>
      <w:marLeft w:val="0"/>
      <w:marRight w:val="0"/>
      <w:marTop w:val="0"/>
      <w:marBottom w:val="0"/>
      <w:divBdr>
        <w:top w:val="none" w:sz="0" w:space="0" w:color="auto"/>
        <w:left w:val="none" w:sz="0" w:space="0" w:color="auto"/>
        <w:bottom w:val="none" w:sz="0" w:space="0" w:color="auto"/>
        <w:right w:val="none" w:sz="0" w:space="0" w:color="auto"/>
      </w:divBdr>
    </w:div>
    <w:div w:id="2083094016">
      <w:bodyDiv w:val="1"/>
      <w:marLeft w:val="0"/>
      <w:marRight w:val="0"/>
      <w:marTop w:val="0"/>
      <w:marBottom w:val="0"/>
      <w:divBdr>
        <w:top w:val="none" w:sz="0" w:space="0" w:color="auto"/>
        <w:left w:val="none" w:sz="0" w:space="0" w:color="auto"/>
        <w:bottom w:val="none" w:sz="0" w:space="0" w:color="auto"/>
        <w:right w:val="none" w:sz="0" w:space="0" w:color="auto"/>
      </w:divBdr>
    </w:div>
    <w:div w:id="2083217761">
      <w:bodyDiv w:val="1"/>
      <w:marLeft w:val="0"/>
      <w:marRight w:val="0"/>
      <w:marTop w:val="0"/>
      <w:marBottom w:val="0"/>
      <w:divBdr>
        <w:top w:val="none" w:sz="0" w:space="0" w:color="auto"/>
        <w:left w:val="none" w:sz="0" w:space="0" w:color="auto"/>
        <w:bottom w:val="none" w:sz="0" w:space="0" w:color="auto"/>
        <w:right w:val="none" w:sz="0" w:space="0" w:color="auto"/>
      </w:divBdr>
    </w:div>
    <w:div w:id="2083329200">
      <w:bodyDiv w:val="1"/>
      <w:marLeft w:val="0"/>
      <w:marRight w:val="0"/>
      <w:marTop w:val="0"/>
      <w:marBottom w:val="0"/>
      <w:divBdr>
        <w:top w:val="none" w:sz="0" w:space="0" w:color="auto"/>
        <w:left w:val="none" w:sz="0" w:space="0" w:color="auto"/>
        <w:bottom w:val="none" w:sz="0" w:space="0" w:color="auto"/>
        <w:right w:val="none" w:sz="0" w:space="0" w:color="auto"/>
      </w:divBdr>
    </w:div>
    <w:div w:id="2083409156">
      <w:bodyDiv w:val="1"/>
      <w:marLeft w:val="0"/>
      <w:marRight w:val="0"/>
      <w:marTop w:val="0"/>
      <w:marBottom w:val="0"/>
      <w:divBdr>
        <w:top w:val="none" w:sz="0" w:space="0" w:color="auto"/>
        <w:left w:val="none" w:sz="0" w:space="0" w:color="auto"/>
        <w:bottom w:val="none" w:sz="0" w:space="0" w:color="auto"/>
        <w:right w:val="none" w:sz="0" w:space="0" w:color="auto"/>
      </w:divBdr>
    </w:div>
    <w:div w:id="2083411080">
      <w:bodyDiv w:val="1"/>
      <w:marLeft w:val="0"/>
      <w:marRight w:val="0"/>
      <w:marTop w:val="0"/>
      <w:marBottom w:val="0"/>
      <w:divBdr>
        <w:top w:val="none" w:sz="0" w:space="0" w:color="auto"/>
        <w:left w:val="none" w:sz="0" w:space="0" w:color="auto"/>
        <w:bottom w:val="none" w:sz="0" w:space="0" w:color="auto"/>
        <w:right w:val="none" w:sz="0" w:space="0" w:color="auto"/>
      </w:divBdr>
    </w:div>
    <w:div w:id="2083411154">
      <w:bodyDiv w:val="1"/>
      <w:marLeft w:val="0"/>
      <w:marRight w:val="0"/>
      <w:marTop w:val="0"/>
      <w:marBottom w:val="0"/>
      <w:divBdr>
        <w:top w:val="none" w:sz="0" w:space="0" w:color="auto"/>
        <w:left w:val="none" w:sz="0" w:space="0" w:color="auto"/>
        <w:bottom w:val="none" w:sz="0" w:space="0" w:color="auto"/>
        <w:right w:val="none" w:sz="0" w:space="0" w:color="auto"/>
      </w:divBdr>
    </w:div>
    <w:div w:id="2083480820">
      <w:bodyDiv w:val="1"/>
      <w:marLeft w:val="0"/>
      <w:marRight w:val="0"/>
      <w:marTop w:val="0"/>
      <w:marBottom w:val="0"/>
      <w:divBdr>
        <w:top w:val="none" w:sz="0" w:space="0" w:color="auto"/>
        <w:left w:val="none" w:sz="0" w:space="0" w:color="auto"/>
        <w:bottom w:val="none" w:sz="0" w:space="0" w:color="auto"/>
        <w:right w:val="none" w:sz="0" w:space="0" w:color="auto"/>
      </w:divBdr>
    </w:div>
    <w:div w:id="2083596791">
      <w:bodyDiv w:val="1"/>
      <w:marLeft w:val="0"/>
      <w:marRight w:val="0"/>
      <w:marTop w:val="0"/>
      <w:marBottom w:val="0"/>
      <w:divBdr>
        <w:top w:val="none" w:sz="0" w:space="0" w:color="auto"/>
        <w:left w:val="none" w:sz="0" w:space="0" w:color="auto"/>
        <w:bottom w:val="none" w:sz="0" w:space="0" w:color="auto"/>
        <w:right w:val="none" w:sz="0" w:space="0" w:color="auto"/>
      </w:divBdr>
    </w:div>
    <w:div w:id="2083677574">
      <w:bodyDiv w:val="1"/>
      <w:marLeft w:val="0"/>
      <w:marRight w:val="0"/>
      <w:marTop w:val="0"/>
      <w:marBottom w:val="0"/>
      <w:divBdr>
        <w:top w:val="none" w:sz="0" w:space="0" w:color="auto"/>
        <w:left w:val="none" w:sz="0" w:space="0" w:color="auto"/>
        <w:bottom w:val="none" w:sz="0" w:space="0" w:color="auto"/>
        <w:right w:val="none" w:sz="0" w:space="0" w:color="auto"/>
      </w:divBdr>
    </w:div>
    <w:div w:id="2083679380">
      <w:bodyDiv w:val="1"/>
      <w:marLeft w:val="0"/>
      <w:marRight w:val="0"/>
      <w:marTop w:val="0"/>
      <w:marBottom w:val="0"/>
      <w:divBdr>
        <w:top w:val="none" w:sz="0" w:space="0" w:color="auto"/>
        <w:left w:val="none" w:sz="0" w:space="0" w:color="auto"/>
        <w:bottom w:val="none" w:sz="0" w:space="0" w:color="auto"/>
        <w:right w:val="none" w:sz="0" w:space="0" w:color="auto"/>
      </w:divBdr>
    </w:div>
    <w:div w:id="2083795700">
      <w:bodyDiv w:val="1"/>
      <w:marLeft w:val="0"/>
      <w:marRight w:val="0"/>
      <w:marTop w:val="0"/>
      <w:marBottom w:val="0"/>
      <w:divBdr>
        <w:top w:val="none" w:sz="0" w:space="0" w:color="auto"/>
        <w:left w:val="none" w:sz="0" w:space="0" w:color="auto"/>
        <w:bottom w:val="none" w:sz="0" w:space="0" w:color="auto"/>
        <w:right w:val="none" w:sz="0" w:space="0" w:color="auto"/>
      </w:divBdr>
    </w:div>
    <w:div w:id="2083867089">
      <w:bodyDiv w:val="1"/>
      <w:marLeft w:val="0"/>
      <w:marRight w:val="0"/>
      <w:marTop w:val="0"/>
      <w:marBottom w:val="0"/>
      <w:divBdr>
        <w:top w:val="none" w:sz="0" w:space="0" w:color="auto"/>
        <w:left w:val="none" w:sz="0" w:space="0" w:color="auto"/>
        <w:bottom w:val="none" w:sz="0" w:space="0" w:color="auto"/>
        <w:right w:val="none" w:sz="0" w:space="0" w:color="auto"/>
      </w:divBdr>
    </w:div>
    <w:div w:id="2083868390">
      <w:bodyDiv w:val="1"/>
      <w:marLeft w:val="0"/>
      <w:marRight w:val="0"/>
      <w:marTop w:val="0"/>
      <w:marBottom w:val="0"/>
      <w:divBdr>
        <w:top w:val="none" w:sz="0" w:space="0" w:color="auto"/>
        <w:left w:val="none" w:sz="0" w:space="0" w:color="auto"/>
        <w:bottom w:val="none" w:sz="0" w:space="0" w:color="auto"/>
        <w:right w:val="none" w:sz="0" w:space="0" w:color="auto"/>
      </w:divBdr>
    </w:div>
    <w:div w:id="2083941191">
      <w:bodyDiv w:val="1"/>
      <w:marLeft w:val="0"/>
      <w:marRight w:val="0"/>
      <w:marTop w:val="0"/>
      <w:marBottom w:val="0"/>
      <w:divBdr>
        <w:top w:val="none" w:sz="0" w:space="0" w:color="auto"/>
        <w:left w:val="none" w:sz="0" w:space="0" w:color="auto"/>
        <w:bottom w:val="none" w:sz="0" w:space="0" w:color="auto"/>
        <w:right w:val="none" w:sz="0" w:space="0" w:color="auto"/>
      </w:divBdr>
    </w:div>
    <w:div w:id="2084057844">
      <w:bodyDiv w:val="1"/>
      <w:marLeft w:val="0"/>
      <w:marRight w:val="0"/>
      <w:marTop w:val="0"/>
      <w:marBottom w:val="0"/>
      <w:divBdr>
        <w:top w:val="none" w:sz="0" w:space="0" w:color="auto"/>
        <w:left w:val="none" w:sz="0" w:space="0" w:color="auto"/>
        <w:bottom w:val="none" w:sz="0" w:space="0" w:color="auto"/>
        <w:right w:val="none" w:sz="0" w:space="0" w:color="auto"/>
      </w:divBdr>
    </w:div>
    <w:div w:id="2084066111">
      <w:bodyDiv w:val="1"/>
      <w:marLeft w:val="0"/>
      <w:marRight w:val="0"/>
      <w:marTop w:val="0"/>
      <w:marBottom w:val="0"/>
      <w:divBdr>
        <w:top w:val="none" w:sz="0" w:space="0" w:color="auto"/>
        <w:left w:val="none" w:sz="0" w:space="0" w:color="auto"/>
        <w:bottom w:val="none" w:sz="0" w:space="0" w:color="auto"/>
        <w:right w:val="none" w:sz="0" w:space="0" w:color="auto"/>
      </w:divBdr>
    </w:div>
    <w:div w:id="2084134981">
      <w:bodyDiv w:val="1"/>
      <w:marLeft w:val="0"/>
      <w:marRight w:val="0"/>
      <w:marTop w:val="0"/>
      <w:marBottom w:val="0"/>
      <w:divBdr>
        <w:top w:val="none" w:sz="0" w:space="0" w:color="auto"/>
        <w:left w:val="none" w:sz="0" w:space="0" w:color="auto"/>
        <w:bottom w:val="none" w:sz="0" w:space="0" w:color="auto"/>
        <w:right w:val="none" w:sz="0" w:space="0" w:color="auto"/>
      </w:divBdr>
    </w:div>
    <w:div w:id="2084176376">
      <w:bodyDiv w:val="1"/>
      <w:marLeft w:val="0"/>
      <w:marRight w:val="0"/>
      <w:marTop w:val="0"/>
      <w:marBottom w:val="0"/>
      <w:divBdr>
        <w:top w:val="none" w:sz="0" w:space="0" w:color="auto"/>
        <w:left w:val="none" w:sz="0" w:space="0" w:color="auto"/>
        <w:bottom w:val="none" w:sz="0" w:space="0" w:color="auto"/>
        <w:right w:val="none" w:sz="0" w:space="0" w:color="auto"/>
      </w:divBdr>
    </w:div>
    <w:div w:id="2084178723">
      <w:bodyDiv w:val="1"/>
      <w:marLeft w:val="0"/>
      <w:marRight w:val="0"/>
      <w:marTop w:val="0"/>
      <w:marBottom w:val="0"/>
      <w:divBdr>
        <w:top w:val="none" w:sz="0" w:space="0" w:color="auto"/>
        <w:left w:val="none" w:sz="0" w:space="0" w:color="auto"/>
        <w:bottom w:val="none" w:sz="0" w:space="0" w:color="auto"/>
        <w:right w:val="none" w:sz="0" w:space="0" w:color="auto"/>
      </w:divBdr>
    </w:div>
    <w:div w:id="2084180943">
      <w:bodyDiv w:val="1"/>
      <w:marLeft w:val="0"/>
      <w:marRight w:val="0"/>
      <w:marTop w:val="0"/>
      <w:marBottom w:val="0"/>
      <w:divBdr>
        <w:top w:val="none" w:sz="0" w:space="0" w:color="auto"/>
        <w:left w:val="none" w:sz="0" w:space="0" w:color="auto"/>
        <w:bottom w:val="none" w:sz="0" w:space="0" w:color="auto"/>
        <w:right w:val="none" w:sz="0" w:space="0" w:color="auto"/>
      </w:divBdr>
    </w:div>
    <w:div w:id="2084333555">
      <w:bodyDiv w:val="1"/>
      <w:marLeft w:val="0"/>
      <w:marRight w:val="0"/>
      <w:marTop w:val="0"/>
      <w:marBottom w:val="0"/>
      <w:divBdr>
        <w:top w:val="none" w:sz="0" w:space="0" w:color="auto"/>
        <w:left w:val="none" w:sz="0" w:space="0" w:color="auto"/>
        <w:bottom w:val="none" w:sz="0" w:space="0" w:color="auto"/>
        <w:right w:val="none" w:sz="0" w:space="0" w:color="auto"/>
      </w:divBdr>
    </w:div>
    <w:div w:id="2084375570">
      <w:bodyDiv w:val="1"/>
      <w:marLeft w:val="0"/>
      <w:marRight w:val="0"/>
      <w:marTop w:val="0"/>
      <w:marBottom w:val="0"/>
      <w:divBdr>
        <w:top w:val="none" w:sz="0" w:space="0" w:color="auto"/>
        <w:left w:val="none" w:sz="0" w:space="0" w:color="auto"/>
        <w:bottom w:val="none" w:sz="0" w:space="0" w:color="auto"/>
        <w:right w:val="none" w:sz="0" w:space="0" w:color="auto"/>
      </w:divBdr>
    </w:div>
    <w:div w:id="2084375992">
      <w:bodyDiv w:val="1"/>
      <w:marLeft w:val="0"/>
      <w:marRight w:val="0"/>
      <w:marTop w:val="0"/>
      <w:marBottom w:val="0"/>
      <w:divBdr>
        <w:top w:val="none" w:sz="0" w:space="0" w:color="auto"/>
        <w:left w:val="none" w:sz="0" w:space="0" w:color="auto"/>
        <w:bottom w:val="none" w:sz="0" w:space="0" w:color="auto"/>
        <w:right w:val="none" w:sz="0" w:space="0" w:color="auto"/>
      </w:divBdr>
    </w:div>
    <w:div w:id="2084520525">
      <w:bodyDiv w:val="1"/>
      <w:marLeft w:val="0"/>
      <w:marRight w:val="0"/>
      <w:marTop w:val="0"/>
      <w:marBottom w:val="0"/>
      <w:divBdr>
        <w:top w:val="none" w:sz="0" w:space="0" w:color="auto"/>
        <w:left w:val="none" w:sz="0" w:space="0" w:color="auto"/>
        <w:bottom w:val="none" w:sz="0" w:space="0" w:color="auto"/>
        <w:right w:val="none" w:sz="0" w:space="0" w:color="auto"/>
      </w:divBdr>
    </w:div>
    <w:div w:id="2084595704">
      <w:bodyDiv w:val="1"/>
      <w:marLeft w:val="0"/>
      <w:marRight w:val="0"/>
      <w:marTop w:val="0"/>
      <w:marBottom w:val="0"/>
      <w:divBdr>
        <w:top w:val="none" w:sz="0" w:space="0" w:color="auto"/>
        <w:left w:val="none" w:sz="0" w:space="0" w:color="auto"/>
        <w:bottom w:val="none" w:sz="0" w:space="0" w:color="auto"/>
        <w:right w:val="none" w:sz="0" w:space="0" w:color="auto"/>
      </w:divBdr>
    </w:div>
    <w:div w:id="2084637608">
      <w:bodyDiv w:val="1"/>
      <w:marLeft w:val="0"/>
      <w:marRight w:val="0"/>
      <w:marTop w:val="0"/>
      <w:marBottom w:val="0"/>
      <w:divBdr>
        <w:top w:val="none" w:sz="0" w:space="0" w:color="auto"/>
        <w:left w:val="none" w:sz="0" w:space="0" w:color="auto"/>
        <w:bottom w:val="none" w:sz="0" w:space="0" w:color="auto"/>
        <w:right w:val="none" w:sz="0" w:space="0" w:color="auto"/>
      </w:divBdr>
    </w:div>
    <w:div w:id="2084638397">
      <w:bodyDiv w:val="1"/>
      <w:marLeft w:val="0"/>
      <w:marRight w:val="0"/>
      <w:marTop w:val="0"/>
      <w:marBottom w:val="0"/>
      <w:divBdr>
        <w:top w:val="none" w:sz="0" w:space="0" w:color="auto"/>
        <w:left w:val="none" w:sz="0" w:space="0" w:color="auto"/>
        <w:bottom w:val="none" w:sz="0" w:space="0" w:color="auto"/>
        <w:right w:val="none" w:sz="0" w:space="0" w:color="auto"/>
      </w:divBdr>
    </w:div>
    <w:div w:id="2084638663">
      <w:bodyDiv w:val="1"/>
      <w:marLeft w:val="0"/>
      <w:marRight w:val="0"/>
      <w:marTop w:val="0"/>
      <w:marBottom w:val="0"/>
      <w:divBdr>
        <w:top w:val="none" w:sz="0" w:space="0" w:color="auto"/>
        <w:left w:val="none" w:sz="0" w:space="0" w:color="auto"/>
        <w:bottom w:val="none" w:sz="0" w:space="0" w:color="auto"/>
        <w:right w:val="none" w:sz="0" w:space="0" w:color="auto"/>
      </w:divBdr>
    </w:div>
    <w:div w:id="2084643747">
      <w:bodyDiv w:val="1"/>
      <w:marLeft w:val="0"/>
      <w:marRight w:val="0"/>
      <w:marTop w:val="0"/>
      <w:marBottom w:val="0"/>
      <w:divBdr>
        <w:top w:val="none" w:sz="0" w:space="0" w:color="auto"/>
        <w:left w:val="none" w:sz="0" w:space="0" w:color="auto"/>
        <w:bottom w:val="none" w:sz="0" w:space="0" w:color="auto"/>
        <w:right w:val="none" w:sz="0" w:space="0" w:color="auto"/>
      </w:divBdr>
    </w:div>
    <w:div w:id="2084645269">
      <w:bodyDiv w:val="1"/>
      <w:marLeft w:val="0"/>
      <w:marRight w:val="0"/>
      <w:marTop w:val="0"/>
      <w:marBottom w:val="0"/>
      <w:divBdr>
        <w:top w:val="none" w:sz="0" w:space="0" w:color="auto"/>
        <w:left w:val="none" w:sz="0" w:space="0" w:color="auto"/>
        <w:bottom w:val="none" w:sz="0" w:space="0" w:color="auto"/>
        <w:right w:val="none" w:sz="0" w:space="0" w:color="auto"/>
      </w:divBdr>
    </w:div>
    <w:div w:id="2084789074">
      <w:bodyDiv w:val="1"/>
      <w:marLeft w:val="0"/>
      <w:marRight w:val="0"/>
      <w:marTop w:val="0"/>
      <w:marBottom w:val="0"/>
      <w:divBdr>
        <w:top w:val="none" w:sz="0" w:space="0" w:color="auto"/>
        <w:left w:val="none" w:sz="0" w:space="0" w:color="auto"/>
        <w:bottom w:val="none" w:sz="0" w:space="0" w:color="auto"/>
        <w:right w:val="none" w:sz="0" w:space="0" w:color="auto"/>
      </w:divBdr>
    </w:div>
    <w:div w:id="2084833487">
      <w:bodyDiv w:val="1"/>
      <w:marLeft w:val="0"/>
      <w:marRight w:val="0"/>
      <w:marTop w:val="0"/>
      <w:marBottom w:val="0"/>
      <w:divBdr>
        <w:top w:val="none" w:sz="0" w:space="0" w:color="auto"/>
        <w:left w:val="none" w:sz="0" w:space="0" w:color="auto"/>
        <w:bottom w:val="none" w:sz="0" w:space="0" w:color="auto"/>
        <w:right w:val="none" w:sz="0" w:space="0" w:color="auto"/>
      </w:divBdr>
    </w:div>
    <w:div w:id="2084914005">
      <w:bodyDiv w:val="1"/>
      <w:marLeft w:val="0"/>
      <w:marRight w:val="0"/>
      <w:marTop w:val="0"/>
      <w:marBottom w:val="0"/>
      <w:divBdr>
        <w:top w:val="none" w:sz="0" w:space="0" w:color="auto"/>
        <w:left w:val="none" w:sz="0" w:space="0" w:color="auto"/>
        <w:bottom w:val="none" w:sz="0" w:space="0" w:color="auto"/>
        <w:right w:val="none" w:sz="0" w:space="0" w:color="auto"/>
      </w:divBdr>
    </w:div>
    <w:div w:id="2085058222">
      <w:bodyDiv w:val="1"/>
      <w:marLeft w:val="0"/>
      <w:marRight w:val="0"/>
      <w:marTop w:val="0"/>
      <w:marBottom w:val="0"/>
      <w:divBdr>
        <w:top w:val="none" w:sz="0" w:space="0" w:color="auto"/>
        <w:left w:val="none" w:sz="0" w:space="0" w:color="auto"/>
        <w:bottom w:val="none" w:sz="0" w:space="0" w:color="auto"/>
        <w:right w:val="none" w:sz="0" w:space="0" w:color="auto"/>
      </w:divBdr>
    </w:div>
    <w:div w:id="2085105547">
      <w:bodyDiv w:val="1"/>
      <w:marLeft w:val="0"/>
      <w:marRight w:val="0"/>
      <w:marTop w:val="0"/>
      <w:marBottom w:val="0"/>
      <w:divBdr>
        <w:top w:val="none" w:sz="0" w:space="0" w:color="auto"/>
        <w:left w:val="none" w:sz="0" w:space="0" w:color="auto"/>
        <w:bottom w:val="none" w:sz="0" w:space="0" w:color="auto"/>
        <w:right w:val="none" w:sz="0" w:space="0" w:color="auto"/>
      </w:divBdr>
    </w:div>
    <w:div w:id="2085175072">
      <w:bodyDiv w:val="1"/>
      <w:marLeft w:val="0"/>
      <w:marRight w:val="0"/>
      <w:marTop w:val="0"/>
      <w:marBottom w:val="0"/>
      <w:divBdr>
        <w:top w:val="none" w:sz="0" w:space="0" w:color="auto"/>
        <w:left w:val="none" w:sz="0" w:space="0" w:color="auto"/>
        <w:bottom w:val="none" w:sz="0" w:space="0" w:color="auto"/>
        <w:right w:val="none" w:sz="0" w:space="0" w:color="auto"/>
      </w:divBdr>
    </w:div>
    <w:div w:id="2085177611">
      <w:bodyDiv w:val="1"/>
      <w:marLeft w:val="0"/>
      <w:marRight w:val="0"/>
      <w:marTop w:val="0"/>
      <w:marBottom w:val="0"/>
      <w:divBdr>
        <w:top w:val="none" w:sz="0" w:space="0" w:color="auto"/>
        <w:left w:val="none" w:sz="0" w:space="0" w:color="auto"/>
        <w:bottom w:val="none" w:sz="0" w:space="0" w:color="auto"/>
        <w:right w:val="none" w:sz="0" w:space="0" w:color="auto"/>
      </w:divBdr>
    </w:div>
    <w:div w:id="2085253855">
      <w:bodyDiv w:val="1"/>
      <w:marLeft w:val="0"/>
      <w:marRight w:val="0"/>
      <w:marTop w:val="0"/>
      <w:marBottom w:val="0"/>
      <w:divBdr>
        <w:top w:val="none" w:sz="0" w:space="0" w:color="auto"/>
        <w:left w:val="none" w:sz="0" w:space="0" w:color="auto"/>
        <w:bottom w:val="none" w:sz="0" w:space="0" w:color="auto"/>
        <w:right w:val="none" w:sz="0" w:space="0" w:color="auto"/>
      </w:divBdr>
    </w:div>
    <w:div w:id="2085299184">
      <w:bodyDiv w:val="1"/>
      <w:marLeft w:val="0"/>
      <w:marRight w:val="0"/>
      <w:marTop w:val="0"/>
      <w:marBottom w:val="0"/>
      <w:divBdr>
        <w:top w:val="none" w:sz="0" w:space="0" w:color="auto"/>
        <w:left w:val="none" w:sz="0" w:space="0" w:color="auto"/>
        <w:bottom w:val="none" w:sz="0" w:space="0" w:color="auto"/>
        <w:right w:val="none" w:sz="0" w:space="0" w:color="auto"/>
      </w:divBdr>
    </w:div>
    <w:div w:id="2085563611">
      <w:bodyDiv w:val="1"/>
      <w:marLeft w:val="0"/>
      <w:marRight w:val="0"/>
      <w:marTop w:val="0"/>
      <w:marBottom w:val="0"/>
      <w:divBdr>
        <w:top w:val="none" w:sz="0" w:space="0" w:color="auto"/>
        <w:left w:val="none" w:sz="0" w:space="0" w:color="auto"/>
        <w:bottom w:val="none" w:sz="0" w:space="0" w:color="auto"/>
        <w:right w:val="none" w:sz="0" w:space="0" w:color="auto"/>
      </w:divBdr>
    </w:div>
    <w:div w:id="2085636522">
      <w:bodyDiv w:val="1"/>
      <w:marLeft w:val="0"/>
      <w:marRight w:val="0"/>
      <w:marTop w:val="0"/>
      <w:marBottom w:val="0"/>
      <w:divBdr>
        <w:top w:val="none" w:sz="0" w:space="0" w:color="auto"/>
        <w:left w:val="none" w:sz="0" w:space="0" w:color="auto"/>
        <w:bottom w:val="none" w:sz="0" w:space="0" w:color="auto"/>
        <w:right w:val="none" w:sz="0" w:space="0" w:color="auto"/>
      </w:divBdr>
    </w:div>
    <w:div w:id="2085637253">
      <w:bodyDiv w:val="1"/>
      <w:marLeft w:val="0"/>
      <w:marRight w:val="0"/>
      <w:marTop w:val="0"/>
      <w:marBottom w:val="0"/>
      <w:divBdr>
        <w:top w:val="none" w:sz="0" w:space="0" w:color="auto"/>
        <w:left w:val="none" w:sz="0" w:space="0" w:color="auto"/>
        <w:bottom w:val="none" w:sz="0" w:space="0" w:color="auto"/>
        <w:right w:val="none" w:sz="0" w:space="0" w:color="auto"/>
      </w:divBdr>
    </w:div>
    <w:div w:id="208563831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12985">
      <w:bodyDiv w:val="1"/>
      <w:marLeft w:val="0"/>
      <w:marRight w:val="0"/>
      <w:marTop w:val="0"/>
      <w:marBottom w:val="0"/>
      <w:divBdr>
        <w:top w:val="none" w:sz="0" w:space="0" w:color="auto"/>
        <w:left w:val="none" w:sz="0" w:space="0" w:color="auto"/>
        <w:bottom w:val="none" w:sz="0" w:space="0" w:color="auto"/>
        <w:right w:val="none" w:sz="0" w:space="0" w:color="auto"/>
      </w:divBdr>
    </w:div>
    <w:div w:id="2085759721">
      <w:bodyDiv w:val="1"/>
      <w:marLeft w:val="0"/>
      <w:marRight w:val="0"/>
      <w:marTop w:val="0"/>
      <w:marBottom w:val="0"/>
      <w:divBdr>
        <w:top w:val="none" w:sz="0" w:space="0" w:color="auto"/>
        <w:left w:val="none" w:sz="0" w:space="0" w:color="auto"/>
        <w:bottom w:val="none" w:sz="0" w:space="0" w:color="auto"/>
        <w:right w:val="none" w:sz="0" w:space="0" w:color="auto"/>
      </w:divBdr>
    </w:div>
    <w:div w:id="2085759863">
      <w:bodyDiv w:val="1"/>
      <w:marLeft w:val="0"/>
      <w:marRight w:val="0"/>
      <w:marTop w:val="0"/>
      <w:marBottom w:val="0"/>
      <w:divBdr>
        <w:top w:val="none" w:sz="0" w:space="0" w:color="auto"/>
        <w:left w:val="none" w:sz="0" w:space="0" w:color="auto"/>
        <w:bottom w:val="none" w:sz="0" w:space="0" w:color="auto"/>
        <w:right w:val="none" w:sz="0" w:space="0" w:color="auto"/>
      </w:divBdr>
    </w:div>
    <w:div w:id="2085764188">
      <w:bodyDiv w:val="1"/>
      <w:marLeft w:val="0"/>
      <w:marRight w:val="0"/>
      <w:marTop w:val="0"/>
      <w:marBottom w:val="0"/>
      <w:divBdr>
        <w:top w:val="none" w:sz="0" w:space="0" w:color="auto"/>
        <w:left w:val="none" w:sz="0" w:space="0" w:color="auto"/>
        <w:bottom w:val="none" w:sz="0" w:space="0" w:color="auto"/>
        <w:right w:val="none" w:sz="0" w:space="0" w:color="auto"/>
      </w:divBdr>
    </w:div>
    <w:div w:id="2085830967">
      <w:bodyDiv w:val="1"/>
      <w:marLeft w:val="0"/>
      <w:marRight w:val="0"/>
      <w:marTop w:val="0"/>
      <w:marBottom w:val="0"/>
      <w:divBdr>
        <w:top w:val="none" w:sz="0" w:space="0" w:color="auto"/>
        <w:left w:val="none" w:sz="0" w:space="0" w:color="auto"/>
        <w:bottom w:val="none" w:sz="0" w:space="0" w:color="auto"/>
        <w:right w:val="none" w:sz="0" w:space="0" w:color="auto"/>
      </w:divBdr>
    </w:div>
    <w:div w:id="2085839558">
      <w:bodyDiv w:val="1"/>
      <w:marLeft w:val="0"/>
      <w:marRight w:val="0"/>
      <w:marTop w:val="0"/>
      <w:marBottom w:val="0"/>
      <w:divBdr>
        <w:top w:val="none" w:sz="0" w:space="0" w:color="auto"/>
        <w:left w:val="none" w:sz="0" w:space="0" w:color="auto"/>
        <w:bottom w:val="none" w:sz="0" w:space="0" w:color="auto"/>
        <w:right w:val="none" w:sz="0" w:space="0" w:color="auto"/>
      </w:divBdr>
    </w:div>
    <w:div w:id="2085906098">
      <w:bodyDiv w:val="1"/>
      <w:marLeft w:val="0"/>
      <w:marRight w:val="0"/>
      <w:marTop w:val="0"/>
      <w:marBottom w:val="0"/>
      <w:divBdr>
        <w:top w:val="none" w:sz="0" w:space="0" w:color="auto"/>
        <w:left w:val="none" w:sz="0" w:space="0" w:color="auto"/>
        <w:bottom w:val="none" w:sz="0" w:space="0" w:color="auto"/>
        <w:right w:val="none" w:sz="0" w:space="0" w:color="auto"/>
      </w:divBdr>
    </w:div>
    <w:div w:id="2086143871">
      <w:bodyDiv w:val="1"/>
      <w:marLeft w:val="0"/>
      <w:marRight w:val="0"/>
      <w:marTop w:val="0"/>
      <w:marBottom w:val="0"/>
      <w:divBdr>
        <w:top w:val="none" w:sz="0" w:space="0" w:color="auto"/>
        <w:left w:val="none" w:sz="0" w:space="0" w:color="auto"/>
        <w:bottom w:val="none" w:sz="0" w:space="0" w:color="auto"/>
        <w:right w:val="none" w:sz="0" w:space="0" w:color="auto"/>
      </w:divBdr>
    </w:div>
    <w:div w:id="2086146248">
      <w:bodyDiv w:val="1"/>
      <w:marLeft w:val="0"/>
      <w:marRight w:val="0"/>
      <w:marTop w:val="0"/>
      <w:marBottom w:val="0"/>
      <w:divBdr>
        <w:top w:val="none" w:sz="0" w:space="0" w:color="auto"/>
        <w:left w:val="none" w:sz="0" w:space="0" w:color="auto"/>
        <w:bottom w:val="none" w:sz="0" w:space="0" w:color="auto"/>
        <w:right w:val="none" w:sz="0" w:space="0" w:color="auto"/>
      </w:divBdr>
    </w:div>
    <w:div w:id="2086221989">
      <w:bodyDiv w:val="1"/>
      <w:marLeft w:val="0"/>
      <w:marRight w:val="0"/>
      <w:marTop w:val="0"/>
      <w:marBottom w:val="0"/>
      <w:divBdr>
        <w:top w:val="none" w:sz="0" w:space="0" w:color="auto"/>
        <w:left w:val="none" w:sz="0" w:space="0" w:color="auto"/>
        <w:bottom w:val="none" w:sz="0" w:space="0" w:color="auto"/>
        <w:right w:val="none" w:sz="0" w:space="0" w:color="auto"/>
      </w:divBdr>
    </w:div>
    <w:div w:id="2086295361">
      <w:bodyDiv w:val="1"/>
      <w:marLeft w:val="0"/>
      <w:marRight w:val="0"/>
      <w:marTop w:val="0"/>
      <w:marBottom w:val="0"/>
      <w:divBdr>
        <w:top w:val="none" w:sz="0" w:space="0" w:color="auto"/>
        <w:left w:val="none" w:sz="0" w:space="0" w:color="auto"/>
        <w:bottom w:val="none" w:sz="0" w:space="0" w:color="auto"/>
        <w:right w:val="none" w:sz="0" w:space="0" w:color="auto"/>
      </w:divBdr>
    </w:div>
    <w:div w:id="2086342959">
      <w:bodyDiv w:val="1"/>
      <w:marLeft w:val="0"/>
      <w:marRight w:val="0"/>
      <w:marTop w:val="0"/>
      <w:marBottom w:val="0"/>
      <w:divBdr>
        <w:top w:val="none" w:sz="0" w:space="0" w:color="auto"/>
        <w:left w:val="none" w:sz="0" w:space="0" w:color="auto"/>
        <w:bottom w:val="none" w:sz="0" w:space="0" w:color="auto"/>
        <w:right w:val="none" w:sz="0" w:space="0" w:color="auto"/>
      </w:divBdr>
    </w:div>
    <w:div w:id="2086486059">
      <w:bodyDiv w:val="1"/>
      <w:marLeft w:val="0"/>
      <w:marRight w:val="0"/>
      <w:marTop w:val="0"/>
      <w:marBottom w:val="0"/>
      <w:divBdr>
        <w:top w:val="none" w:sz="0" w:space="0" w:color="auto"/>
        <w:left w:val="none" w:sz="0" w:space="0" w:color="auto"/>
        <w:bottom w:val="none" w:sz="0" w:space="0" w:color="auto"/>
        <w:right w:val="none" w:sz="0" w:space="0" w:color="auto"/>
      </w:divBdr>
    </w:div>
    <w:div w:id="2086564758">
      <w:bodyDiv w:val="1"/>
      <w:marLeft w:val="0"/>
      <w:marRight w:val="0"/>
      <w:marTop w:val="0"/>
      <w:marBottom w:val="0"/>
      <w:divBdr>
        <w:top w:val="none" w:sz="0" w:space="0" w:color="auto"/>
        <w:left w:val="none" w:sz="0" w:space="0" w:color="auto"/>
        <w:bottom w:val="none" w:sz="0" w:space="0" w:color="auto"/>
        <w:right w:val="none" w:sz="0" w:space="0" w:color="auto"/>
      </w:divBdr>
    </w:div>
    <w:div w:id="2086805194">
      <w:bodyDiv w:val="1"/>
      <w:marLeft w:val="0"/>
      <w:marRight w:val="0"/>
      <w:marTop w:val="0"/>
      <w:marBottom w:val="0"/>
      <w:divBdr>
        <w:top w:val="none" w:sz="0" w:space="0" w:color="auto"/>
        <w:left w:val="none" w:sz="0" w:space="0" w:color="auto"/>
        <w:bottom w:val="none" w:sz="0" w:space="0" w:color="auto"/>
        <w:right w:val="none" w:sz="0" w:space="0" w:color="auto"/>
      </w:divBdr>
    </w:div>
    <w:div w:id="2086878735">
      <w:bodyDiv w:val="1"/>
      <w:marLeft w:val="0"/>
      <w:marRight w:val="0"/>
      <w:marTop w:val="0"/>
      <w:marBottom w:val="0"/>
      <w:divBdr>
        <w:top w:val="none" w:sz="0" w:space="0" w:color="auto"/>
        <w:left w:val="none" w:sz="0" w:space="0" w:color="auto"/>
        <w:bottom w:val="none" w:sz="0" w:space="0" w:color="auto"/>
        <w:right w:val="none" w:sz="0" w:space="0" w:color="auto"/>
      </w:divBdr>
    </w:div>
    <w:div w:id="2086880585">
      <w:bodyDiv w:val="1"/>
      <w:marLeft w:val="0"/>
      <w:marRight w:val="0"/>
      <w:marTop w:val="0"/>
      <w:marBottom w:val="0"/>
      <w:divBdr>
        <w:top w:val="none" w:sz="0" w:space="0" w:color="auto"/>
        <w:left w:val="none" w:sz="0" w:space="0" w:color="auto"/>
        <w:bottom w:val="none" w:sz="0" w:space="0" w:color="auto"/>
        <w:right w:val="none" w:sz="0" w:space="0" w:color="auto"/>
      </w:divBdr>
    </w:div>
    <w:div w:id="2086947429">
      <w:bodyDiv w:val="1"/>
      <w:marLeft w:val="0"/>
      <w:marRight w:val="0"/>
      <w:marTop w:val="0"/>
      <w:marBottom w:val="0"/>
      <w:divBdr>
        <w:top w:val="none" w:sz="0" w:space="0" w:color="auto"/>
        <w:left w:val="none" w:sz="0" w:space="0" w:color="auto"/>
        <w:bottom w:val="none" w:sz="0" w:space="0" w:color="auto"/>
        <w:right w:val="none" w:sz="0" w:space="0" w:color="auto"/>
      </w:divBdr>
    </w:div>
    <w:div w:id="2086949827">
      <w:bodyDiv w:val="1"/>
      <w:marLeft w:val="0"/>
      <w:marRight w:val="0"/>
      <w:marTop w:val="0"/>
      <w:marBottom w:val="0"/>
      <w:divBdr>
        <w:top w:val="none" w:sz="0" w:space="0" w:color="auto"/>
        <w:left w:val="none" w:sz="0" w:space="0" w:color="auto"/>
        <w:bottom w:val="none" w:sz="0" w:space="0" w:color="auto"/>
        <w:right w:val="none" w:sz="0" w:space="0" w:color="auto"/>
      </w:divBdr>
    </w:div>
    <w:div w:id="2086996583">
      <w:bodyDiv w:val="1"/>
      <w:marLeft w:val="0"/>
      <w:marRight w:val="0"/>
      <w:marTop w:val="0"/>
      <w:marBottom w:val="0"/>
      <w:divBdr>
        <w:top w:val="none" w:sz="0" w:space="0" w:color="auto"/>
        <w:left w:val="none" w:sz="0" w:space="0" w:color="auto"/>
        <w:bottom w:val="none" w:sz="0" w:space="0" w:color="auto"/>
        <w:right w:val="none" w:sz="0" w:space="0" w:color="auto"/>
      </w:divBdr>
    </w:div>
    <w:div w:id="2087025947">
      <w:bodyDiv w:val="1"/>
      <w:marLeft w:val="0"/>
      <w:marRight w:val="0"/>
      <w:marTop w:val="0"/>
      <w:marBottom w:val="0"/>
      <w:divBdr>
        <w:top w:val="none" w:sz="0" w:space="0" w:color="auto"/>
        <w:left w:val="none" w:sz="0" w:space="0" w:color="auto"/>
        <w:bottom w:val="none" w:sz="0" w:space="0" w:color="auto"/>
        <w:right w:val="none" w:sz="0" w:space="0" w:color="auto"/>
      </w:divBdr>
    </w:div>
    <w:div w:id="2087149424">
      <w:bodyDiv w:val="1"/>
      <w:marLeft w:val="0"/>
      <w:marRight w:val="0"/>
      <w:marTop w:val="0"/>
      <w:marBottom w:val="0"/>
      <w:divBdr>
        <w:top w:val="none" w:sz="0" w:space="0" w:color="auto"/>
        <w:left w:val="none" w:sz="0" w:space="0" w:color="auto"/>
        <w:bottom w:val="none" w:sz="0" w:space="0" w:color="auto"/>
        <w:right w:val="none" w:sz="0" w:space="0" w:color="auto"/>
      </w:divBdr>
    </w:div>
    <w:div w:id="2087191688">
      <w:bodyDiv w:val="1"/>
      <w:marLeft w:val="0"/>
      <w:marRight w:val="0"/>
      <w:marTop w:val="0"/>
      <w:marBottom w:val="0"/>
      <w:divBdr>
        <w:top w:val="none" w:sz="0" w:space="0" w:color="auto"/>
        <w:left w:val="none" w:sz="0" w:space="0" w:color="auto"/>
        <w:bottom w:val="none" w:sz="0" w:space="0" w:color="auto"/>
        <w:right w:val="none" w:sz="0" w:space="0" w:color="auto"/>
      </w:divBdr>
    </w:div>
    <w:div w:id="2087215926">
      <w:bodyDiv w:val="1"/>
      <w:marLeft w:val="0"/>
      <w:marRight w:val="0"/>
      <w:marTop w:val="0"/>
      <w:marBottom w:val="0"/>
      <w:divBdr>
        <w:top w:val="none" w:sz="0" w:space="0" w:color="auto"/>
        <w:left w:val="none" w:sz="0" w:space="0" w:color="auto"/>
        <w:bottom w:val="none" w:sz="0" w:space="0" w:color="auto"/>
        <w:right w:val="none" w:sz="0" w:space="0" w:color="auto"/>
      </w:divBdr>
    </w:div>
    <w:div w:id="2087222859">
      <w:bodyDiv w:val="1"/>
      <w:marLeft w:val="0"/>
      <w:marRight w:val="0"/>
      <w:marTop w:val="0"/>
      <w:marBottom w:val="0"/>
      <w:divBdr>
        <w:top w:val="none" w:sz="0" w:space="0" w:color="auto"/>
        <w:left w:val="none" w:sz="0" w:space="0" w:color="auto"/>
        <w:bottom w:val="none" w:sz="0" w:space="0" w:color="auto"/>
        <w:right w:val="none" w:sz="0" w:space="0" w:color="auto"/>
      </w:divBdr>
    </w:div>
    <w:div w:id="2087342383">
      <w:bodyDiv w:val="1"/>
      <w:marLeft w:val="0"/>
      <w:marRight w:val="0"/>
      <w:marTop w:val="0"/>
      <w:marBottom w:val="0"/>
      <w:divBdr>
        <w:top w:val="none" w:sz="0" w:space="0" w:color="auto"/>
        <w:left w:val="none" w:sz="0" w:space="0" w:color="auto"/>
        <w:bottom w:val="none" w:sz="0" w:space="0" w:color="auto"/>
        <w:right w:val="none" w:sz="0" w:space="0" w:color="auto"/>
      </w:divBdr>
    </w:div>
    <w:div w:id="2087457841">
      <w:bodyDiv w:val="1"/>
      <w:marLeft w:val="0"/>
      <w:marRight w:val="0"/>
      <w:marTop w:val="0"/>
      <w:marBottom w:val="0"/>
      <w:divBdr>
        <w:top w:val="none" w:sz="0" w:space="0" w:color="auto"/>
        <w:left w:val="none" w:sz="0" w:space="0" w:color="auto"/>
        <w:bottom w:val="none" w:sz="0" w:space="0" w:color="auto"/>
        <w:right w:val="none" w:sz="0" w:space="0" w:color="auto"/>
      </w:divBdr>
    </w:div>
    <w:div w:id="2087460756">
      <w:bodyDiv w:val="1"/>
      <w:marLeft w:val="0"/>
      <w:marRight w:val="0"/>
      <w:marTop w:val="0"/>
      <w:marBottom w:val="0"/>
      <w:divBdr>
        <w:top w:val="none" w:sz="0" w:space="0" w:color="auto"/>
        <w:left w:val="none" w:sz="0" w:space="0" w:color="auto"/>
        <w:bottom w:val="none" w:sz="0" w:space="0" w:color="auto"/>
        <w:right w:val="none" w:sz="0" w:space="0" w:color="auto"/>
      </w:divBdr>
    </w:div>
    <w:div w:id="2087529999">
      <w:bodyDiv w:val="1"/>
      <w:marLeft w:val="0"/>
      <w:marRight w:val="0"/>
      <w:marTop w:val="0"/>
      <w:marBottom w:val="0"/>
      <w:divBdr>
        <w:top w:val="none" w:sz="0" w:space="0" w:color="auto"/>
        <w:left w:val="none" w:sz="0" w:space="0" w:color="auto"/>
        <w:bottom w:val="none" w:sz="0" w:space="0" w:color="auto"/>
        <w:right w:val="none" w:sz="0" w:space="0" w:color="auto"/>
      </w:divBdr>
    </w:div>
    <w:div w:id="2087609946">
      <w:bodyDiv w:val="1"/>
      <w:marLeft w:val="0"/>
      <w:marRight w:val="0"/>
      <w:marTop w:val="0"/>
      <w:marBottom w:val="0"/>
      <w:divBdr>
        <w:top w:val="none" w:sz="0" w:space="0" w:color="auto"/>
        <w:left w:val="none" w:sz="0" w:space="0" w:color="auto"/>
        <w:bottom w:val="none" w:sz="0" w:space="0" w:color="auto"/>
        <w:right w:val="none" w:sz="0" w:space="0" w:color="auto"/>
      </w:divBdr>
    </w:div>
    <w:div w:id="2087610935">
      <w:bodyDiv w:val="1"/>
      <w:marLeft w:val="0"/>
      <w:marRight w:val="0"/>
      <w:marTop w:val="0"/>
      <w:marBottom w:val="0"/>
      <w:divBdr>
        <w:top w:val="none" w:sz="0" w:space="0" w:color="auto"/>
        <w:left w:val="none" w:sz="0" w:space="0" w:color="auto"/>
        <w:bottom w:val="none" w:sz="0" w:space="0" w:color="auto"/>
        <w:right w:val="none" w:sz="0" w:space="0" w:color="auto"/>
      </w:divBdr>
    </w:div>
    <w:div w:id="2087679577">
      <w:bodyDiv w:val="1"/>
      <w:marLeft w:val="0"/>
      <w:marRight w:val="0"/>
      <w:marTop w:val="0"/>
      <w:marBottom w:val="0"/>
      <w:divBdr>
        <w:top w:val="none" w:sz="0" w:space="0" w:color="auto"/>
        <w:left w:val="none" w:sz="0" w:space="0" w:color="auto"/>
        <w:bottom w:val="none" w:sz="0" w:space="0" w:color="auto"/>
        <w:right w:val="none" w:sz="0" w:space="0" w:color="auto"/>
      </w:divBdr>
    </w:div>
    <w:div w:id="2087680887">
      <w:bodyDiv w:val="1"/>
      <w:marLeft w:val="0"/>
      <w:marRight w:val="0"/>
      <w:marTop w:val="0"/>
      <w:marBottom w:val="0"/>
      <w:divBdr>
        <w:top w:val="none" w:sz="0" w:space="0" w:color="auto"/>
        <w:left w:val="none" w:sz="0" w:space="0" w:color="auto"/>
        <w:bottom w:val="none" w:sz="0" w:space="0" w:color="auto"/>
        <w:right w:val="none" w:sz="0" w:space="0" w:color="auto"/>
      </w:divBdr>
    </w:div>
    <w:div w:id="2087722763">
      <w:bodyDiv w:val="1"/>
      <w:marLeft w:val="0"/>
      <w:marRight w:val="0"/>
      <w:marTop w:val="0"/>
      <w:marBottom w:val="0"/>
      <w:divBdr>
        <w:top w:val="none" w:sz="0" w:space="0" w:color="auto"/>
        <w:left w:val="none" w:sz="0" w:space="0" w:color="auto"/>
        <w:bottom w:val="none" w:sz="0" w:space="0" w:color="auto"/>
        <w:right w:val="none" w:sz="0" w:space="0" w:color="auto"/>
      </w:divBdr>
    </w:div>
    <w:div w:id="2087875952">
      <w:bodyDiv w:val="1"/>
      <w:marLeft w:val="0"/>
      <w:marRight w:val="0"/>
      <w:marTop w:val="0"/>
      <w:marBottom w:val="0"/>
      <w:divBdr>
        <w:top w:val="none" w:sz="0" w:space="0" w:color="auto"/>
        <w:left w:val="none" w:sz="0" w:space="0" w:color="auto"/>
        <w:bottom w:val="none" w:sz="0" w:space="0" w:color="auto"/>
        <w:right w:val="none" w:sz="0" w:space="0" w:color="auto"/>
      </w:divBdr>
    </w:div>
    <w:div w:id="2087920044">
      <w:bodyDiv w:val="1"/>
      <w:marLeft w:val="0"/>
      <w:marRight w:val="0"/>
      <w:marTop w:val="0"/>
      <w:marBottom w:val="0"/>
      <w:divBdr>
        <w:top w:val="none" w:sz="0" w:space="0" w:color="auto"/>
        <w:left w:val="none" w:sz="0" w:space="0" w:color="auto"/>
        <w:bottom w:val="none" w:sz="0" w:space="0" w:color="auto"/>
        <w:right w:val="none" w:sz="0" w:space="0" w:color="auto"/>
      </w:divBdr>
    </w:div>
    <w:div w:id="2087996461">
      <w:bodyDiv w:val="1"/>
      <w:marLeft w:val="0"/>
      <w:marRight w:val="0"/>
      <w:marTop w:val="0"/>
      <w:marBottom w:val="0"/>
      <w:divBdr>
        <w:top w:val="none" w:sz="0" w:space="0" w:color="auto"/>
        <w:left w:val="none" w:sz="0" w:space="0" w:color="auto"/>
        <w:bottom w:val="none" w:sz="0" w:space="0" w:color="auto"/>
        <w:right w:val="none" w:sz="0" w:space="0" w:color="auto"/>
      </w:divBdr>
    </w:div>
    <w:div w:id="2087998534">
      <w:bodyDiv w:val="1"/>
      <w:marLeft w:val="0"/>
      <w:marRight w:val="0"/>
      <w:marTop w:val="0"/>
      <w:marBottom w:val="0"/>
      <w:divBdr>
        <w:top w:val="none" w:sz="0" w:space="0" w:color="auto"/>
        <w:left w:val="none" w:sz="0" w:space="0" w:color="auto"/>
        <w:bottom w:val="none" w:sz="0" w:space="0" w:color="auto"/>
        <w:right w:val="none" w:sz="0" w:space="0" w:color="auto"/>
      </w:divBdr>
    </w:div>
    <w:div w:id="2088070010">
      <w:bodyDiv w:val="1"/>
      <w:marLeft w:val="0"/>
      <w:marRight w:val="0"/>
      <w:marTop w:val="0"/>
      <w:marBottom w:val="0"/>
      <w:divBdr>
        <w:top w:val="none" w:sz="0" w:space="0" w:color="auto"/>
        <w:left w:val="none" w:sz="0" w:space="0" w:color="auto"/>
        <w:bottom w:val="none" w:sz="0" w:space="0" w:color="auto"/>
        <w:right w:val="none" w:sz="0" w:space="0" w:color="auto"/>
      </w:divBdr>
    </w:div>
    <w:div w:id="2088188341">
      <w:bodyDiv w:val="1"/>
      <w:marLeft w:val="0"/>
      <w:marRight w:val="0"/>
      <w:marTop w:val="0"/>
      <w:marBottom w:val="0"/>
      <w:divBdr>
        <w:top w:val="none" w:sz="0" w:space="0" w:color="auto"/>
        <w:left w:val="none" w:sz="0" w:space="0" w:color="auto"/>
        <w:bottom w:val="none" w:sz="0" w:space="0" w:color="auto"/>
        <w:right w:val="none" w:sz="0" w:space="0" w:color="auto"/>
      </w:divBdr>
    </w:div>
    <w:div w:id="2088258455">
      <w:bodyDiv w:val="1"/>
      <w:marLeft w:val="0"/>
      <w:marRight w:val="0"/>
      <w:marTop w:val="0"/>
      <w:marBottom w:val="0"/>
      <w:divBdr>
        <w:top w:val="none" w:sz="0" w:space="0" w:color="auto"/>
        <w:left w:val="none" w:sz="0" w:space="0" w:color="auto"/>
        <w:bottom w:val="none" w:sz="0" w:space="0" w:color="auto"/>
        <w:right w:val="none" w:sz="0" w:space="0" w:color="auto"/>
      </w:divBdr>
    </w:div>
    <w:div w:id="2088260104">
      <w:bodyDiv w:val="1"/>
      <w:marLeft w:val="0"/>
      <w:marRight w:val="0"/>
      <w:marTop w:val="0"/>
      <w:marBottom w:val="0"/>
      <w:divBdr>
        <w:top w:val="none" w:sz="0" w:space="0" w:color="auto"/>
        <w:left w:val="none" w:sz="0" w:space="0" w:color="auto"/>
        <w:bottom w:val="none" w:sz="0" w:space="0" w:color="auto"/>
        <w:right w:val="none" w:sz="0" w:space="0" w:color="auto"/>
      </w:divBdr>
    </w:div>
    <w:div w:id="2088306305">
      <w:bodyDiv w:val="1"/>
      <w:marLeft w:val="0"/>
      <w:marRight w:val="0"/>
      <w:marTop w:val="0"/>
      <w:marBottom w:val="0"/>
      <w:divBdr>
        <w:top w:val="none" w:sz="0" w:space="0" w:color="auto"/>
        <w:left w:val="none" w:sz="0" w:space="0" w:color="auto"/>
        <w:bottom w:val="none" w:sz="0" w:space="0" w:color="auto"/>
        <w:right w:val="none" w:sz="0" w:space="0" w:color="auto"/>
      </w:divBdr>
    </w:div>
    <w:div w:id="2088307098">
      <w:bodyDiv w:val="1"/>
      <w:marLeft w:val="0"/>
      <w:marRight w:val="0"/>
      <w:marTop w:val="0"/>
      <w:marBottom w:val="0"/>
      <w:divBdr>
        <w:top w:val="none" w:sz="0" w:space="0" w:color="auto"/>
        <w:left w:val="none" w:sz="0" w:space="0" w:color="auto"/>
        <w:bottom w:val="none" w:sz="0" w:space="0" w:color="auto"/>
        <w:right w:val="none" w:sz="0" w:space="0" w:color="auto"/>
      </w:divBdr>
    </w:div>
    <w:div w:id="2088382651">
      <w:bodyDiv w:val="1"/>
      <w:marLeft w:val="0"/>
      <w:marRight w:val="0"/>
      <w:marTop w:val="0"/>
      <w:marBottom w:val="0"/>
      <w:divBdr>
        <w:top w:val="none" w:sz="0" w:space="0" w:color="auto"/>
        <w:left w:val="none" w:sz="0" w:space="0" w:color="auto"/>
        <w:bottom w:val="none" w:sz="0" w:space="0" w:color="auto"/>
        <w:right w:val="none" w:sz="0" w:space="0" w:color="auto"/>
      </w:divBdr>
    </w:div>
    <w:div w:id="2088501343">
      <w:bodyDiv w:val="1"/>
      <w:marLeft w:val="0"/>
      <w:marRight w:val="0"/>
      <w:marTop w:val="0"/>
      <w:marBottom w:val="0"/>
      <w:divBdr>
        <w:top w:val="none" w:sz="0" w:space="0" w:color="auto"/>
        <w:left w:val="none" w:sz="0" w:space="0" w:color="auto"/>
        <w:bottom w:val="none" w:sz="0" w:space="0" w:color="auto"/>
        <w:right w:val="none" w:sz="0" w:space="0" w:color="auto"/>
      </w:divBdr>
    </w:div>
    <w:div w:id="2088651958">
      <w:bodyDiv w:val="1"/>
      <w:marLeft w:val="0"/>
      <w:marRight w:val="0"/>
      <w:marTop w:val="0"/>
      <w:marBottom w:val="0"/>
      <w:divBdr>
        <w:top w:val="none" w:sz="0" w:space="0" w:color="auto"/>
        <w:left w:val="none" w:sz="0" w:space="0" w:color="auto"/>
        <w:bottom w:val="none" w:sz="0" w:space="0" w:color="auto"/>
        <w:right w:val="none" w:sz="0" w:space="0" w:color="auto"/>
      </w:divBdr>
    </w:div>
    <w:div w:id="2088767380">
      <w:bodyDiv w:val="1"/>
      <w:marLeft w:val="0"/>
      <w:marRight w:val="0"/>
      <w:marTop w:val="0"/>
      <w:marBottom w:val="0"/>
      <w:divBdr>
        <w:top w:val="none" w:sz="0" w:space="0" w:color="auto"/>
        <w:left w:val="none" w:sz="0" w:space="0" w:color="auto"/>
        <w:bottom w:val="none" w:sz="0" w:space="0" w:color="auto"/>
        <w:right w:val="none" w:sz="0" w:space="0" w:color="auto"/>
      </w:divBdr>
    </w:div>
    <w:div w:id="2089035191">
      <w:bodyDiv w:val="1"/>
      <w:marLeft w:val="0"/>
      <w:marRight w:val="0"/>
      <w:marTop w:val="0"/>
      <w:marBottom w:val="0"/>
      <w:divBdr>
        <w:top w:val="none" w:sz="0" w:space="0" w:color="auto"/>
        <w:left w:val="none" w:sz="0" w:space="0" w:color="auto"/>
        <w:bottom w:val="none" w:sz="0" w:space="0" w:color="auto"/>
        <w:right w:val="none" w:sz="0" w:space="0" w:color="auto"/>
      </w:divBdr>
    </w:div>
    <w:div w:id="2089037195">
      <w:bodyDiv w:val="1"/>
      <w:marLeft w:val="0"/>
      <w:marRight w:val="0"/>
      <w:marTop w:val="0"/>
      <w:marBottom w:val="0"/>
      <w:divBdr>
        <w:top w:val="none" w:sz="0" w:space="0" w:color="auto"/>
        <w:left w:val="none" w:sz="0" w:space="0" w:color="auto"/>
        <w:bottom w:val="none" w:sz="0" w:space="0" w:color="auto"/>
        <w:right w:val="none" w:sz="0" w:space="0" w:color="auto"/>
      </w:divBdr>
    </w:div>
    <w:div w:id="2089040271">
      <w:bodyDiv w:val="1"/>
      <w:marLeft w:val="0"/>
      <w:marRight w:val="0"/>
      <w:marTop w:val="0"/>
      <w:marBottom w:val="0"/>
      <w:divBdr>
        <w:top w:val="none" w:sz="0" w:space="0" w:color="auto"/>
        <w:left w:val="none" w:sz="0" w:space="0" w:color="auto"/>
        <w:bottom w:val="none" w:sz="0" w:space="0" w:color="auto"/>
        <w:right w:val="none" w:sz="0" w:space="0" w:color="auto"/>
      </w:divBdr>
    </w:div>
    <w:div w:id="2089184310">
      <w:bodyDiv w:val="1"/>
      <w:marLeft w:val="0"/>
      <w:marRight w:val="0"/>
      <w:marTop w:val="0"/>
      <w:marBottom w:val="0"/>
      <w:divBdr>
        <w:top w:val="none" w:sz="0" w:space="0" w:color="auto"/>
        <w:left w:val="none" w:sz="0" w:space="0" w:color="auto"/>
        <w:bottom w:val="none" w:sz="0" w:space="0" w:color="auto"/>
        <w:right w:val="none" w:sz="0" w:space="0" w:color="auto"/>
      </w:divBdr>
    </w:div>
    <w:div w:id="2089300568">
      <w:bodyDiv w:val="1"/>
      <w:marLeft w:val="0"/>
      <w:marRight w:val="0"/>
      <w:marTop w:val="0"/>
      <w:marBottom w:val="0"/>
      <w:divBdr>
        <w:top w:val="none" w:sz="0" w:space="0" w:color="auto"/>
        <w:left w:val="none" w:sz="0" w:space="0" w:color="auto"/>
        <w:bottom w:val="none" w:sz="0" w:space="0" w:color="auto"/>
        <w:right w:val="none" w:sz="0" w:space="0" w:color="auto"/>
      </w:divBdr>
    </w:div>
    <w:div w:id="2089378570">
      <w:bodyDiv w:val="1"/>
      <w:marLeft w:val="0"/>
      <w:marRight w:val="0"/>
      <w:marTop w:val="0"/>
      <w:marBottom w:val="0"/>
      <w:divBdr>
        <w:top w:val="none" w:sz="0" w:space="0" w:color="auto"/>
        <w:left w:val="none" w:sz="0" w:space="0" w:color="auto"/>
        <w:bottom w:val="none" w:sz="0" w:space="0" w:color="auto"/>
        <w:right w:val="none" w:sz="0" w:space="0" w:color="auto"/>
      </w:divBdr>
    </w:div>
    <w:div w:id="2089378758">
      <w:bodyDiv w:val="1"/>
      <w:marLeft w:val="0"/>
      <w:marRight w:val="0"/>
      <w:marTop w:val="0"/>
      <w:marBottom w:val="0"/>
      <w:divBdr>
        <w:top w:val="none" w:sz="0" w:space="0" w:color="auto"/>
        <w:left w:val="none" w:sz="0" w:space="0" w:color="auto"/>
        <w:bottom w:val="none" w:sz="0" w:space="0" w:color="auto"/>
        <w:right w:val="none" w:sz="0" w:space="0" w:color="auto"/>
      </w:divBdr>
    </w:div>
    <w:div w:id="2089422160">
      <w:bodyDiv w:val="1"/>
      <w:marLeft w:val="0"/>
      <w:marRight w:val="0"/>
      <w:marTop w:val="0"/>
      <w:marBottom w:val="0"/>
      <w:divBdr>
        <w:top w:val="none" w:sz="0" w:space="0" w:color="auto"/>
        <w:left w:val="none" w:sz="0" w:space="0" w:color="auto"/>
        <w:bottom w:val="none" w:sz="0" w:space="0" w:color="auto"/>
        <w:right w:val="none" w:sz="0" w:space="0" w:color="auto"/>
      </w:divBdr>
    </w:div>
    <w:div w:id="2089493694">
      <w:bodyDiv w:val="1"/>
      <w:marLeft w:val="0"/>
      <w:marRight w:val="0"/>
      <w:marTop w:val="0"/>
      <w:marBottom w:val="0"/>
      <w:divBdr>
        <w:top w:val="none" w:sz="0" w:space="0" w:color="auto"/>
        <w:left w:val="none" w:sz="0" w:space="0" w:color="auto"/>
        <w:bottom w:val="none" w:sz="0" w:space="0" w:color="auto"/>
        <w:right w:val="none" w:sz="0" w:space="0" w:color="auto"/>
      </w:divBdr>
    </w:div>
    <w:div w:id="2089570051">
      <w:bodyDiv w:val="1"/>
      <w:marLeft w:val="0"/>
      <w:marRight w:val="0"/>
      <w:marTop w:val="0"/>
      <w:marBottom w:val="0"/>
      <w:divBdr>
        <w:top w:val="none" w:sz="0" w:space="0" w:color="auto"/>
        <w:left w:val="none" w:sz="0" w:space="0" w:color="auto"/>
        <w:bottom w:val="none" w:sz="0" w:space="0" w:color="auto"/>
        <w:right w:val="none" w:sz="0" w:space="0" w:color="auto"/>
      </w:divBdr>
    </w:div>
    <w:div w:id="2089617194">
      <w:bodyDiv w:val="1"/>
      <w:marLeft w:val="0"/>
      <w:marRight w:val="0"/>
      <w:marTop w:val="0"/>
      <w:marBottom w:val="0"/>
      <w:divBdr>
        <w:top w:val="none" w:sz="0" w:space="0" w:color="auto"/>
        <w:left w:val="none" w:sz="0" w:space="0" w:color="auto"/>
        <w:bottom w:val="none" w:sz="0" w:space="0" w:color="auto"/>
        <w:right w:val="none" w:sz="0" w:space="0" w:color="auto"/>
      </w:divBdr>
    </w:div>
    <w:div w:id="2089686931">
      <w:bodyDiv w:val="1"/>
      <w:marLeft w:val="0"/>
      <w:marRight w:val="0"/>
      <w:marTop w:val="0"/>
      <w:marBottom w:val="0"/>
      <w:divBdr>
        <w:top w:val="none" w:sz="0" w:space="0" w:color="auto"/>
        <w:left w:val="none" w:sz="0" w:space="0" w:color="auto"/>
        <w:bottom w:val="none" w:sz="0" w:space="0" w:color="auto"/>
        <w:right w:val="none" w:sz="0" w:space="0" w:color="auto"/>
      </w:divBdr>
    </w:div>
    <w:div w:id="2089687203">
      <w:bodyDiv w:val="1"/>
      <w:marLeft w:val="0"/>
      <w:marRight w:val="0"/>
      <w:marTop w:val="0"/>
      <w:marBottom w:val="0"/>
      <w:divBdr>
        <w:top w:val="none" w:sz="0" w:space="0" w:color="auto"/>
        <w:left w:val="none" w:sz="0" w:space="0" w:color="auto"/>
        <w:bottom w:val="none" w:sz="0" w:space="0" w:color="auto"/>
        <w:right w:val="none" w:sz="0" w:space="0" w:color="auto"/>
      </w:divBdr>
    </w:div>
    <w:div w:id="2089693282">
      <w:bodyDiv w:val="1"/>
      <w:marLeft w:val="0"/>
      <w:marRight w:val="0"/>
      <w:marTop w:val="0"/>
      <w:marBottom w:val="0"/>
      <w:divBdr>
        <w:top w:val="none" w:sz="0" w:space="0" w:color="auto"/>
        <w:left w:val="none" w:sz="0" w:space="0" w:color="auto"/>
        <w:bottom w:val="none" w:sz="0" w:space="0" w:color="auto"/>
        <w:right w:val="none" w:sz="0" w:space="0" w:color="auto"/>
      </w:divBdr>
    </w:div>
    <w:div w:id="2089766438">
      <w:bodyDiv w:val="1"/>
      <w:marLeft w:val="0"/>
      <w:marRight w:val="0"/>
      <w:marTop w:val="0"/>
      <w:marBottom w:val="0"/>
      <w:divBdr>
        <w:top w:val="none" w:sz="0" w:space="0" w:color="auto"/>
        <w:left w:val="none" w:sz="0" w:space="0" w:color="auto"/>
        <w:bottom w:val="none" w:sz="0" w:space="0" w:color="auto"/>
        <w:right w:val="none" w:sz="0" w:space="0" w:color="auto"/>
      </w:divBdr>
    </w:div>
    <w:div w:id="2089842061">
      <w:bodyDiv w:val="1"/>
      <w:marLeft w:val="0"/>
      <w:marRight w:val="0"/>
      <w:marTop w:val="0"/>
      <w:marBottom w:val="0"/>
      <w:divBdr>
        <w:top w:val="none" w:sz="0" w:space="0" w:color="auto"/>
        <w:left w:val="none" w:sz="0" w:space="0" w:color="auto"/>
        <w:bottom w:val="none" w:sz="0" w:space="0" w:color="auto"/>
        <w:right w:val="none" w:sz="0" w:space="0" w:color="auto"/>
      </w:divBdr>
    </w:div>
    <w:div w:id="2089882106">
      <w:bodyDiv w:val="1"/>
      <w:marLeft w:val="0"/>
      <w:marRight w:val="0"/>
      <w:marTop w:val="0"/>
      <w:marBottom w:val="0"/>
      <w:divBdr>
        <w:top w:val="none" w:sz="0" w:space="0" w:color="auto"/>
        <w:left w:val="none" w:sz="0" w:space="0" w:color="auto"/>
        <w:bottom w:val="none" w:sz="0" w:space="0" w:color="auto"/>
        <w:right w:val="none" w:sz="0" w:space="0" w:color="auto"/>
      </w:divBdr>
    </w:div>
    <w:div w:id="2090074974">
      <w:bodyDiv w:val="1"/>
      <w:marLeft w:val="0"/>
      <w:marRight w:val="0"/>
      <w:marTop w:val="0"/>
      <w:marBottom w:val="0"/>
      <w:divBdr>
        <w:top w:val="none" w:sz="0" w:space="0" w:color="auto"/>
        <w:left w:val="none" w:sz="0" w:space="0" w:color="auto"/>
        <w:bottom w:val="none" w:sz="0" w:space="0" w:color="auto"/>
        <w:right w:val="none" w:sz="0" w:space="0" w:color="auto"/>
      </w:divBdr>
    </w:div>
    <w:div w:id="2090425032">
      <w:bodyDiv w:val="1"/>
      <w:marLeft w:val="0"/>
      <w:marRight w:val="0"/>
      <w:marTop w:val="0"/>
      <w:marBottom w:val="0"/>
      <w:divBdr>
        <w:top w:val="none" w:sz="0" w:space="0" w:color="auto"/>
        <w:left w:val="none" w:sz="0" w:space="0" w:color="auto"/>
        <w:bottom w:val="none" w:sz="0" w:space="0" w:color="auto"/>
        <w:right w:val="none" w:sz="0" w:space="0" w:color="auto"/>
      </w:divBdr>
    </w:div>
    <w:div w:id="2090496675">
      <w:bodyDiv w:val="1"/>
      <w:marLeft w:val="0"/>
      <w:marRight w:val="0"/>
      <w:marTop w:val="0"/>
      <w:marBottom w:val="0"/>
      <w:divBdr>
        <w:top w:val="none" w:sz="0" w:space="0" w:color="auto"/>
        <w:left w:val="none" w:sz="0" w:space="0" w:color="auto"/>
        <w:bottom w:val="none" w:sz="0" w:space="0" w:color="auto"/>
        <w:right w:val="none" w:sz="0" w:space="0" w:color="auto"/>
      </w:divBdr>
    </w:div>
    <w:div w:id="2090499630">
      <w:bodyDiv w:val="1"/>
      <w:marLeft w:val="0"/>
      <w:marRight w:val="0"/>
      <w:marTop w:val="0"/>
      <w:marBottom w:val="0"/>
      <w:divBdr>
        <w:top w:val="none" w:sz="0" w:space="0" w:color="auto"/>
        <w:left w:val="none" w:sz="0" w:space="0" w:color="auto"/>
        <w:bottom w:val="none" w:sz="0" w:space="0" w:color="auto"/>
        <w:right w:val="none" w:sz="0" w:space="0" w:color="auto"/>
      </w:divBdr>
    </w:div>
    <w:div w:id="2090544058">
      <w:bodyDiv w:val="1"/>
      <w:marLeft w:val="0"/>
      <w:marRight w:val="0"/>
      <w:marTop w:val="0"/>
      <w:marBottom w:val="0"/>
      <w:divBdr>
        <w:top w:val="none" w:sz="0" w:space="0" w:color="auto"/>
        <w:left w:val="none" w:sz="0" w:space="0" w:color="auto"/>
        <w:bottom w:val="none" w:sz="0" w:space="0" w:color="auto"/>
        <w:right w:val="none" w:sz="0" w:space="0" w:color="auto"/>
      </w:divBdr>
    </w:div>
    <w:div w:id="2090734558">
      <w:bodyDiv w:val="1"/>
      <w:marLeft w:val="0"/>
      <w:marRight w:val="0"/>
      <w:marTop w:val="0"/>
      <w:marBottom w:val="0"/>
      <w:divBdr>
        <w:top w:val="none" w:sz="0" w:space="0" w:color="auto"/>
        <w:left w:val="none" w:sz="0" w:space="0" w:color="auto"/>
        <w:bottom w:val="none" w:sz="0" w:space="0" w:color="auto"/>
        <w:right w:val="none" w:sz="0" w:space="0" w:color="auto"/>
      </w:divBdr>
    </w:div>
    <w:div w:id="2090810235">
      <w:bodyDiv w:val="1"/>
      <w:marLeft w:val="0"/>
      <w:marRight w:val="0"/>
      <w:marTop w:val="0"/>
      <w:marBottom w:val="0"/>
      <w:divBdr>
        <w:top w:val="none" w:sz="0" w:space="0" w:color="auto"/>
        <w:left w:val="none" w:sz="0" w:space="0" w:color="auto"/>
        <w:bottom w:val="none" w:sz="0" w:space="0" w:color="auto"/>
        <w:right w:val="none" w:sz="0" w:space="0" w:color="auto"/>
      </w:divBdr>
    </w:div>
    <w:div w:id="2090886541">
      <w:bodyDiv w:val="1"/>
      <w:marLeft w:val="0"/>
      <w:marRight w:val="0"/>
      <w:marTop w:val="0"/>
      <w:marBottom w:val="0"/>
      <w:divBdr>
        <w:top w:val="none" w:sz="0" w:space="0" w:color="auto"/>
        <w:left w:val="none" w:sz="0" w:space="0" w:color="auto"/>
        <w:bottom w:val="none" w:sz="0" w:space="0" w:color="auto"/>
        <w:right w:val="none" w:sz="0" w:space="0" w:color="auto"/>
      </w:divBdr>
    </w:div>
    <w:div w:id="2091072050">
      <w:bodyDiv w:val="1"/>
      <w:marLeft w:val="0"/>
      <w:marRight w:val="0"/>
      <w:marTop w:val="0"/>
      <w:marBottom w:val="0"/>
      <w:divBdr>
        <w:top w:val="none" w:sz="0" w:space="0" w:color="auto"/>
        <w:left w:val="none" w:sz="0" w:space="0" w:color="auto"/>
        <w:bottom w:val="none" w:sz="0" w:space="0" w:color="auto"/>
        <w:right w:val="none" w:sz="0" w:space="0" w:color="auto"/>
      </w:divBdr>
    </w:div>
    <w:div w:id="2091195361">
      <w:bodyDiv w:val="1"/>
      <w:marLeft w:val="0"/>
      <w:marRight w:val="0"/>
      <w:marTop w:val="0"/>
      <w:marBottom w:val="0"/>
      <w:divBdr>
        <w:top w:val="none" w:sz="0" w:space="0" w:color="auto"/>
        <w:left w:val="none" w:sz="0" w:space="0" w:color="auto"/>
        <w:bottom w:val="none" w:sz="0" w:space="0" w:color="auto"/>
        <w:right w:val="none" w:sz="0" w:space="0" w:color="auto"/>
      </w:divBdr>
    </w:div>
    <w:div w:id="2091265587">
      <w:bodyDiv w:val="1"/>
      <w:marLeft w:val="0"/>
      <w:marRight w:val="0"/>
      <w:marTop w:val="0"/>
      <w:marBottom w:val="0"/>
      <w:divBdr>
        <w:top w:val="none" w:sz="0" w:space="0" w:color="auto"/>
        <w:left w:val="none" w:sz="0" w:space="0" w:color="auto"/>
        <w:bottom w:val="none" w:sz="0" w:space="0" w:color="auto"/>
        <w:right w:val="none" w:sz="0" w:space="0" w:color="auto"/>
      </w:divBdr>
    </w:div>
    <w:div w:id="2091271046">
      <w:bodyDiv w:val="1"/>
      <w:marLeft w:val="0"/>
      <w:marRight w:val="0"/>
      <w:marTop w:val="0"/>
      <w:marBottom w:val="0"/>
      <w:divBdr>
        <w:top w:val="none" w:sz="0" w:space="0" w:color="auto"/>
        <w:left w:val="none" w:sz="0" w:space="0" w:color="auto"/>
        <w:bottom w:val="none" w:sz="0" w:space="0" w:color="auto"/>
        <w:right w:val="none" w:sz="0" w:space="0" w:color="auto"/>
      </w:divBdr>
    </w:div>
    <w:div w:id="2091540825">
      <w:bodyDiv w:val="1"/>
      <w:marLeft w:val="0"/>
      <w:marRight w:val="0"/>
      <w:marTop w:val="0"/>
      <w:marBottom w:val="0"/>
      <w:divBdr>
        <w:top w:val="none" w:sz="0" w:space="0" w:color="auto"/>
        <w:left w:val="none" w:sz="0" w:space="0" w:color="auto"/>
        <w:bottom w:val="none" w:sz="0" w:space="0" w:color="auto"/>
        <w:right w:val="none" w:sz="0" w:space="0" w:color="auto"/>
      </w:divBdr>
    </w:div>
    <w:div w:id="2091543665">
      <w:bodyDiv w:val="1"/>
      <w:marLeft w:val="0"/>
      <w:marRight w:val="0"/>
      <w:marTop w:val="0"/>
      <w:marBottom w:val="0"/>
      <w:divBdr>
        <w:top w:val="none" w:sz="0" w:space="0" w:color="auto"/>
        <w:left w:val="none" w:sz="0" w:space="0" w:color="auto"/>
        <w:bottom w:val="none" w:sz="0" w:space="0" w:color="auto"/>
        <w:right w:val="none" w:sz="0" w:space="0" w:color="auto"/>
      </w:divBdr>
    </w:div>
    <w:div w:id="2091727803">
      <w:bodyDiv w:val="1"/>
      <w:marLeft w:val="0"/>
      <w:marRight w:val="0"/>
      <w:marTop w:val="0"/>
      <w:marBottom w:val="0"/>
      <w:divBdr>
        <w:top w:val="none" w:sz="0" w:space="0" w:color="auto"/>
        <w:left w:val="none" w:sz="0" w:space="0" w:color="auto"/>
        <w:bottom w:val="none" w:sz="0" w:space="0" w:color="auto"/>
        <w:right w:val="none" w:sz="0" w:space="0" w:color="auto"/>
      </w:divBdr>
    </w:div>
    <w:div w:id="2091999591">
      <w:bodyDiv w:val="1"/>
      <w:marLeft w:val="0"/>
      <w:marRight w:val="0"/>
      <w:marTop w:val="0"/>
      <w:marBottom w:val="0"/>
      <w:divBdr>
        <w:top w:val="none" w:sz="0" w:space="0" w:color="auto"/>
        <w:left w:val="none" w:sz="0" w:space="0" w:color="auto"/>
        <w:bottom w:val="none" w:sz="0" w:space="0" w:color="auto"/>
        <w:right w:val="none" w:sz="0" w:space="0" w:color="auto"/>
      </w:divBdr>
    </w:div>
    <w:div w:id="2092115508">
      <w:bodyDiv w:val="1"/>
      <w:marLeft w:val="0"/>
      <w:marRight w:val="0"/>
      <w:marTop w:val="0"/>
      <w:marBottom w:val="0"/>
      <w:divBdr>
        <w:top w:val="none" w:sz="0" w:space="0" w:color="auto"/>
        <w:left w:val="none" w:sz="0" w:space="0" w:color="auto"/>
        <w:bottom w:val="none" w:sz="0" w:space="0" w:color="auto"/>
        <w:right w:val="none" w:sz="0" w:space="0" w:color="auto"/>
      </w:divBdr>
    </w:div>
    <w:div w:id="2092116652">
      <w:bodyDiv w:val="1"/>
      <w:marLeft w:val="0"/>
      <w:marRight w:val="0"/>
      <w:marTop w:val="0"/>
      <w:marBottom w:val="0"/>
      <w:divBdr>
        <w:top w:val="none" w:sz="0" w:space="0" w:color="auto"/>
        <w:left w:val="none" w:sz="0" w:space="0" w:color="auto"/>
        <w:bottom w:val="none" w:sz="0" w:space="0" w:color="auto"/>
        <w:right w:val="none" w:sz="0" w:space="0" w:color="auto"/>
      </w:divBdr>
    </w:div>
    <w:div w:id="2092193505">
      <w:bodyDiv w:val="1"/>
      <w:marLeft w:val="0"/>
      <w:marRight w:val="0"/>
      <w:marTop w:val="0"/>
      <w:marBottom w:val="0"/>
      <w:divBdr>
        <w:top w:val="none" w:sz="0" w:space="0" w:color="auto"/>
        <w:left w:val="none" w:sz="0" w:space="0" w:color="auto"/>
        <w:bottom w:val="none" w:sz="0" w:space="0" w:color="auto"/>
        <w:right w:val="none" w:sz="0" w:space="0" w:color="auto"/>
      </w:divBdr>
    </w:div>
    <w:div w:id="2092382705">
      <w:bodyDiv w:val="1"/>
      <w:marLeft w:val="0"/>
      <w:marRight w:val="0"/>
      <w:marTop w:val="0"/>
      <w:marBottom w:val="0"/>
      <w:divBdr>
        <w:top w:val="none" w:sz="0" w:space="0" w:color="auto"/>
        <w:left w:val="none" w:sz="0" w:space="0" w:color="auto"/>
        <w:bottom w:val="none" w:sz="0" w:space="0" w:color="auto"/>
        <w:right w:val="none" w:sz="0" w:space="0" w:color="auto"/>
      </w:divBdr>
    </w:div>
    <w:div w:id="2092384238">
      <w:bodyDiv w:val="1"/>
      <w:marLeft w:val="0"/>
      <w:marRight w:val="0"/>
      <w:marTop w:val="0"/>
      <w:marBottom w:val="0"/>
      <w:divBdr>
        <w:top w:val="none" w:sz="0" w:space="0" w:color="auto"/>
        <w:left w:val="none" w:sz="0" w:space="0" w:color="auto"/>
        <w:bottom w:val="none" w:sz="0" w:space="0" w:color="auto"/>
        <w:right w:val="none" w:sz="0" w:space="0" w:color="auto"/>
      </w:divBdr>
    </w:div>
    <w:div w:id="2092578542">
      <w:bodyDiv w:val="1"/>
      <w:marLeft w:val="0"/>
      <w:marRight w:val="0"/>
      <w:marTop w:val="0"/>
      <w:marBottom w:val="0"/>
      <w:divBdr>
        <w:top w:val="none" w:sz="0" w:space="0" w:color="auto"/>
        <w:left w:val="none" w:sz="0" w:space="0" w:color="auto"/>
        <w:bottom w:val="none" w:sz="0" w:space="0" w:color="auto"/>
        <w:right w:val="none" w:sz="0" w:space="0" w:color="auto"/>
      </w:divBdr>
    </w:div>
    <w:div w:id="2092660768">
      <w:bodyDiv w:val="1"/>
      <w:marLeft w:val="0"/>
      <w:marRight w:val="0"/>
      <w:marTop w:val="0"/>
      <w:marBottom w:val="0"/>
      <w:divBdr>
        <w:top w:val="none" w:sz="0" w:space="0" w:color="auto"/>
        <w:left w:val="none" w:sz="0" w:space="0" w:color="auto"/>
        <w:bottom w:val="none" w:sz="0" w:space="0" w:color="auto"/>
        <w:right w:val="none" w:sz="0" w:space="0" w:color="auto"/>
      </w:divBdr>
    </w:div>
    <w:div w:id="2092696682">
      <w:bodyDiv w:val="1"/>
      <w:marLeft w:val="0"/>
      <w:marRight w:val="0"/>
      <w:marTop w:val="0"/>
      <w:marBottom w:val="0"/>
      <w:divBdr>
        <w:top w:val="none" w:sz="0" w:space="0" w:color="auto"/>
        <w:left w:val="none" w:sz="0" w:space="0" w:color="auto"/>
        <w:bottom w:val="none" w:sz="0" w:space="0" w:color="auto"/>
        <w:right w:val="none" w:sz="0" w:space="0" w:color="auto"/>
      </w:divBdr>
    </w:div>
    <w:div w:id="2092703294">
      <w:bodyDiv w:val="1"/>
      <w:marLeft w:val="0"/>
      <w:marRight w:val="0"/>
      <w:marTop w:val="0"/>
      <w:marBottom w:val="0"/>
      <w:divBdr>
        <w:top w:val="none" w:sz="0" w:space="0" w:color="auto"/>
        <w:left w:val="none" w:sz="0" w:space="0" w:color="auto"/>
        <w:bottom w:val="none" w:sz="0" w:space="0" w:color="auto"/>
        <w:right w:val="none" w:sz="0" w:space="0" w:color="auto"/>
      </w:divBdr>
    </w:div>
    <w:div w:id="2092769201">
      <w:bodyDiv w:val="1"/>
      <w:marLeft w:val="0"/>
      <w:marRight w:val="0"/>
      <w:marTop w:val="0"/>
      <w:marBottom w:val="0"/>
      <w:divBdr>
        <w:top w:val="none" w:sz="0" w:space="0" w:color="auto"/>
        <w:left w:val="none" w:sz="0" w:space="0" w:color="auto"/>
        <w:bottom w:val="none" w:sz="0" w:space="0" w:color="auto"/>
        <w:right w:val="none" w:sz="0" w:space="0" w:color="auto"/>
      </w:divBdr>
    </w:div>
    <w:div w:id="2092848578">
      <w:bodyDiv w:val="1"/>
      <w:marLeft w:val="0"/>
      <w:marRight w:val="0"/>
      <w:marTop w:val="0"/>
      <w:marBottom w:val="0"/>
      <w:divBdr>
        <w:top w:val="none" w:sz="0" w:space="0" w:color="auto"/>
        <w:left w:val="none" w:sz="0" w:space="0" w:color="auto"/>
        <w:bottom w:val="none" w:sz="0" w:space="0" w:color="auto"/>
        <w:right w:val="none" w:sz="0" w:space="0" w:color="auto"/>
      </w:divBdr>
    </w:div>
    <w:div w:id="2093043918">
      <w:bodyDiv w:val="1"/>
      <w:marLeft w:val="0"/>
      <w:marRight w:val="0"/>
      <w:marTop w:val="0"/>
      <w:marBottom w:val="0"/>
      <w:divBdr>
        <w:top w:val="none" w:sz="0" w:space="0" w:color="auto"/>
        <w:left w:val="none" w:sz="0" w:space="0" w:color="auto"/>
        <w:bottom w:val="none" w:sz="0" w:space="0" w:color="auto"/>
        <w:right w:val="none" w:sz="0" w:space="0" w:color="auto"/>
      </w:divBdr>
    </w:div>
    <w:div w:id="2093047142">
      <w:bodyDiv w:val="1"/>
      <w:marLeft w:val="0"/>
      <w:marRight w:val="0"/>
      <w:marTop w:val="0"/>
      <w:marBottom w:val="0"/>
      <w:divBdr>
        <w:top w:val="none" w:sz="0" w:space="0" w:color="auto"/>
        <w:left w:val="none" w:sz="0" w:space="0" w:color="auto"/>
        <w:bottom w:val="none" w:sz="0" w:space="0" w:color="auto"/>
        <w:right w:val="none" w:sz="0" w:space="0" w:color="auto"/>
      </w:divBdr>
    </w:div>
    <w:div w:id="2093240794">
      <w:bodyDiv w:val="1"/>
      <w:marLeft w:val="0"/>
      <w:marRight w:val="0"/>
      <w:marTop w:val="0"/>
      <w:marBottom w:val="0"/>
      <w:divBdr>
        <w:top w:val="none" w:sz="0" w:space="0" w:color="auto"/>
        <w:left w:val="none" w:sz="0" w:space="0" w:color="auto"/>
        <w:bottom w:val="none" w:sz="0" w:space="0" w:color="auto"/>
        <w:right w:val="none" w:sz="0" w:space="0" w:color="auto"/>
      </w:divBdr>
    </w:div>
    <w:div w:id="2093309221">
      <w:bodyDiv w:val="1"/>
      <w:marLeft w:val="0"/>
      <w:marRight w:val="0"/>
      <w:marTop w:val="0"/>
      <w:marBottom w:val="0"/>
      <w:divBdr>
        <w:top w:val="none" w:sz="0" w:space="0" w:color="auto"/>
        <w:left w:val="none" w:sz="0" w:space="0" w:color="auto"/>
        <w:bottom w:val="none" w:sz="0" w:space="0" w:color="auto"/>
        <w:right w:val="none" w:sz="0" w:space="0" w:color="auto"/>
      </w:divBdr>
    </w:div>
    <w:div w:id="2093354332">
      <w:bodyDiv w:val="1"/>
      <w:marLeft w:val="0"/>
      <w:marRight w:val="0"/>
      <w:marTop w:val="0"/>
      <w:marBottom w:val="0"/>
      <w:divBdr>
        <w:top w:val="none" w:sz="0" w:space="0" w:color="auto"/>
        <w:left w:val="none" w:sz="0" w:space="0" w:color="auto"/>
        <w:bottom w:val="none" w:sz="0" w:space="0" w:color="auto"/>
        <w:right w:val="none" w:sz="0" w:space="0" w:color="auto"/>
      </w:divBdr>
    </w:div>
    <w:div w:id="2093426112">
      <w:bodyDiv w:val="1"/>
      <w:marLeft w:val="0"/>
      <w:marRight w:val="0"/>
      <w:marTop w:val="0"/>
      <w:marBottom w:val="0"/>
      <w:divBdr>
        <w:top w:val="none" w:sz="0" w:space="0" w:color="auto"/>
        <w:left w:val="none" w:sz="0" w:space="0" w:color="auto"/>
        <w:bottom w:val="none" w:sz="0" w:space="0" w:color="auto"/>
        <w:right w:val="none" w:sz="0" w:space="0" w:color="auto"/>
      </w:divBdr>
    </w:div>
    <w:div w:id="2093433759">
      <w:bodyDiv w:val="1"/>
      <w:marLeft w:val="0"/>
      <w:marRight w:val="0"/>
      <w:marTop w:val="0"/>
      <w:marBottom w:val="0"/>
      <w:divBdr>
        <w:top w:val="none" w:sz="0" w:space="0" w:color="auto"/>
        <w:left w:val="none" w:sz="0" w:space="0" w:color="auto"/>
        <w:bottom w:val="none" w:sz="0" w:space="0" w:color="auto"/>
        <w:right w:val="none" w:sz="0" w:space="0" w:color="auto"/>
      </w:divBdr>
    </w:div>
    <w:div w:id="2093502467">
      <w:bodyDiv w:val="1"/>
      <w:marLeft w:val="0"/>
      <w:marRight w:val="0"/>
      <w:marTop w:val="0"/>
      <w:marBottom w:val="0"/>
      <w:divBdr>
        <w:top w:val="none" w:sz="0" w:space="0" w:color="auto"/>
        <w:left w:val="none" w:sz="0" w:space="0" w:color="auto"/>
        <w:bottom w:val="none" w:sz="0" w:space="0" w:color="auto"/>
        <w:right w:val="none" w:sz="0" w:space="0" w:color="auto"/>
      </w:divBdr>
    </w:div>
    <w:div w:id="2093961662">
      <w:bodyDiv w:val="1"/>
      <w:marLeft w:val="0"/>
      <w:marRight w:val="0"/>
      <w:marTop w:val="0"/>
      <w:marBottom w:val="0"/>
      <w:divBdr>
        <w:top w:val="none" w:sz="0" w:space="0" w:color="auto"/>
        <w:left w:val="none" w:sz="0" w:space="0" w:color="auto"/>
        <w:bottom w:val="none" w:sz="0" w:space="0" w:color="auto"/>
        <w:right w:val="none" w:sz="0" w:space="0" w:color="auto"/>
      </w:divBdr>
    </w:div>
    <w:div w:id="2093966760">
      <w:bodyDiv w:val="1"/>
      <w:marLeft w:val="0"/>
      <w:marRight w:val="0"/>
      <w:marTop w:val="0"/>
      <w:marBottom w:val="0"/>
      <w:divBdr>
        <w:top w:val="none" w:sz="0" w:space="0" w:color="auto"/>
        <w:left w:val="none" w:sz="0" w:space="0" w:color="auto"/>
        <w:bottom w:val="none" w:sz="0" w:space="0" w:color="auto"/>
        <w:right w:val="none" w:sz="0" w:space="0" w:color="auto"/>
      </w:divBdr>
    </w:div>
    <w:div w:id="2094164099">
      <w:bodyDiv w:val="1"/>
      <w:marLeft w:val="0"/>
      <w:marRight w:val="0"/>
      <w:marTop w:val="0"/>
      <w:marBottom w:val="0"/>
      <w:divBdr>
        <w:top w:val="none" w:sz="0" w:space="0" w:color="auto"/>
        <w:left w:val="none" w:sz="0" w:space="0" w:color="auto"/>
        <w:bottom w:val="none" w:sz="0" w:space="0" w:color="auto"/>
        <w:right w:val="none" w:sz="0" w:space="0" w:color="auto"/>
      </w:divBdr>
    </w:div>
    <w:div w:id="2094281604">
      <w:bodyDiv w:val="1"/>
      <w:marLeft w:val="0"/>
      <w:marRight w:val="0"/>
      <w:marTop w:val="0"/>
      <w:marBottom w:val="0"/>
      <w:divBdr>
        <w:top w:val="none" w:sz="0" w:space="0" w:color="auto"/>
        <w:left w:val="none" w:sz="0" w:space="0" w:color="auto"/>
        <w:bottom w:val="none" w:sz="0" w:space="0" w:color="auto"/>
        <w:right w:val="none" w:sz="0" w:space="0" w:color="auto"/>
      </w:divBdr>
    </w:div>
    <w:div w:id="2094282346">
      <w:bodyDiv w:val="1"/>
      <w:marLeft w:val="0"/>
      <w:marRight w:val="0"/>
      <w:marTop w:val="0"/>
      <w:marBottom w:val="0"/>
      <w:divBdr>
        <w:top w:val="none" w:sz="0" w:space="0" w:color="auto"/>
        <w:left w:val="none" w:sz="0" w:space="0" w:color="auto"/>
        <w:bottom w:val="none" w:sz="0" w:space="0" w:color="auto"/>
        <w:right w:val="none" w:sz="0" w:space="0" w:color="auto"/>
      </w:divBdr>
    </w:div>
    <w:div w:id="2094469329">
      <w:bodyDiv w:val="1"/>
      <w:marLeft w:val="0"/>
      <w:marRight w:val="0"/>
      <w:marTop w:val="0"/>
      <w:marBottom w:val="0"/>
      <w:divBdr>
        <w:top w:val="none" w:sz="0" w:space="0" w:color="auto"/>
        <w:left w:val="none" w:sz="0" w:space="0" w:color="auto"/>
        <w:bottom w:val="none" w:sz="0" w:space="0" w:color="auto"/>
        <w:right w:val="none" w:sz="0" w:space="0" w:color="auto"/>
      </w:divBdr>
    </w:div>
    <w:div w:id="2094545713">
      <w:bodyDiv w:val="1"/>
      <w:marLeft w:val="0"/>
      <w:marRight w:val="0"/>
      <w:marTop w:val="0"/>
      <w:marBottom w:val="0"/>
      <w:divBdr>
        <w:top w:val="none" w:sz="0" w:space="0" w:color="auto"/>
        <w:left w:val="none" w:sz="0" w:space="0" w:color="auto"/>
        <w:bottom w:val="none" w:sz="0" w:space="0" w:color="auto"/>
        <w:right w:val="none" w:sz="0" w:space="0" w:color="auto"/>
      </w:divBdr>
    </w:div>
    <w:div w:id="2094669058">
      <w:bodyDiv w:val="1"/>
      <w:marLeft w:val="0"/>
      <w:marRight w:val="0"/>
      <w:marTop w:val="0"/>
      <w:marBottom w:val="0"/>
      <w:divBdr>
        <w:top w:val="none" w:sz="0" w:space="0" w:color="auto"/>
        <w:left w:val="none" w:sz="0" w:space="0" w:color="auto"/>
        <w:bottom w:val="none" w:sz="0" w:space="0" w:color="auto"/>
        <w:right w:val="none" w:sz="0" w:space="0" w:color="auto"/>
      </w:divBdr>
    </w:div>
    <w:div w:id="2094669218">
      <w:bodyDiv w:val="1"/>
      <w:marLeft w:val="0"/>
      <w:marRight w:val="0"/>
      <w:marTop w:val="0"/>
      <w:marBottom w:val="0"/>
      <w:divBdr>
        <w:top w:val="none" w:sz="0" w:space="0" w:color="auto"/>
        <w:left w:val="none" w:sz="0" w:space="0" w:color="auto"/>
        <w:bottom w:val="none" w:sz="0" w:space="0" w:color="auto"/>
        <w:right w:val="none" w:sz="0" w:space="0" w:color="auto"/>
      </w:divBdr>
    </w:div>
    <w:div w:id="2094734941">
      <w:bodyDiv w:val="1"/>
      <w:marLeft w:val="0"/>
      <w:marRight w:val="0"/>
      <w:marTop w:val="0"/>
      <w:marBottom w:val="0"/>
      <w:divBdr>
        <w:top w:val="none" w:sz="0" w:space="0" w:color="auto"/>
        <w:left w:val="none" w:sz="0" w:space="0" w:color="auto"/>
        <w:bottom w:val="none" w:sz="0" w:space="0" w:color="auto"/>
        <w:right w:val="none" w:sz="0" w:space="0" w:color="auto"/>
      </w:divBdr>
    </w:div>
    <w:div w:id="2094736796">
      <w:bodyDiv w:val="1"/>
      <w:marLeft w:val="0"/>
      <w:marRight w:val="0"/>
      <w:marTop w:val="0"/>
      <w:marBottom w:val="0"/>
      <w:divBdr>
        <w:top w:val="none" w:sz="0" w:space="0" w:color="auto"/>
        <w:left w:val="none" w:sz="0" w:space="0" w:color="auto"/>
        <w:bottom w:val="none" w:sz="0" w:space="0" w:color="auto"/>
        <w:right w:val="none" w:sz="0" w:space="0" w:color="auto"/>
      </w:divBdr>
    </w:div>
    <w:div w:id="2094740409">
      <w:bodyDiv w:val="1"/>
      <w:marLeft w:val="0"/>
      <w:marRight w:val="0"/>
      <w:marTop w:val="0"/>
      <w:marBottom w:val="0"/>
      <w:divBdr>
        <w:top w:val="none" w:sz="0" w:space="0" w:color="auto"/>
        <w:left w:val="none" w:sz="0" w:space="0" w:color="auto"/>
        <w:bottom w:val="none" w:sz="0" w:space="0" w:color="auto"/>
        <w:right w:val="none" w:sz="0" w:space="0" w:color="auto"/>
      </w:divBdr>
    </w:div>
    <w:div w:id="2094890402">
      <w:bodyDiv w:val="1"/>
      <w:marLeft w:val="0"/>
      <w:marRight w:val="0"/>
      <w:marTop w:val="0"/>
      <w:marBottom w:val="0"/>
      <w:divBdr>
        <w:top w:val="none" w:sz="0" w:space="0" w:color="auto"/>
        <w:left w:val="none" w:sz="0" w:space="0" w:color="auto"/>
        <w:bottom w:val="none" w:sz="0" w:space="0" w:color="auto"/>
        <w:right w:val="none" w:sz="0" w:space="0" w:color="auto"/>
      </w:divBdr>
    </w:div>
    <w:div w:id="2094934268">
      <w:bodyDiv w:val="1"/>
      <w:marLeft w:val="0"/>
      <w:marRight w:val="0"/>
      <w:marTop w:val="0"/>
      <w:marBottom w:val="0"/>
      <w:divBdr>
        <w:top w:val="none" w:sz="0" w:space="0" w:color="auto"/>
        <w:left w:val="none" w:sz="0" w:space="0" w:color="auto"/>
        <w:bottom w:val="none" w:sz="0" w:space="0" w:color="auto"/>
        <w:right w:val="none" w:sz="0" w:space="0" w:color="auto"/>
      </w:divBdr>
    </w:div>
    <w:div w:id="2094935754">
      <w:bodyDiv w:val="1"/>
      <w:marLeft w:val="0"/>
      <w:marRight w:val="0"/>
      <w:marTop w:val="0"/>
      <w:marBottom w:val="0"/>
      <w:divBdr>
        <w:top w:val="none" w:sz="0" w:space="0" w:color="auto"/>
        <w:left w:val="none" w:sz="0" w:space="0" w:color="auto"/>
        <w:bottom w:val="none" w:sz="0" w:space="0" w:color="auto"/>
        <w:right w:val="none" w:sz="0" w:space="0" w:color="auto"/>
      </w:divBdr>
    </w:div>
    <w:div w:id="2095010914">
      <w:bodyDiv w:val="1"/>
      <w:marLeft w:val="0"/>
      <w:marRight w:val="0"/>
      <w:marTop w:val="0"/>
      <w:marBottom w:val="0"/>
      <w:divBdr>
        <w:top w:val="none" w:sz="0" w:space="0" w:color="auto"/>
        <w:left w:val="none" w:sz="0" w:space="0" w:color="auto"/>
        <w:bottom w:val="none" w:sz="0" w:space="0" w:color="auto"/>
        <w:right w:val="none" w:sz="0" w:space="0" w:color="auto"/>
      </w:divBdr>
    </w:div>
    <w:div w:id="2095013168">
      <w:bodyDiv w:val="1"/>
      <w:marLeft w:val="0"/>
      <w:marRight w:val="0"/>
      <w:marTop w:val="0"/>
      <w:marBottom w:val="0"/>
      <w:divBdr>
        <w:top w:val="none" w:sz="0" w:space="0" w:color="auto"/>
        <w:left w:val="none" w:sz="0" w:space="0" w:color="auto"/>
        <w:bottom w:val="none" w:sz="0" w:space="0" w:color="auto"/>
        <w:right w:val="none" w:sz="0" w:space="0" w:color="auto"/>
      </w:divBdr>
    </w:div>
    <w:div w:id="2095085801">
      <w:bodyDiv w:val="1"/>
      <w:marLeft w:val="0"/>
      <w:marRight w:val="0"/>
      <w:marTop w:val="0"/>
      <w:marBottom w:val="0"/>
      <w:divBdr>
        <w:top w:val="none" w:sz="0" w:space="0" w:color="auto"/>
        <w:left w:val="none" w:sz="0" w:space="0" w:color="auto"/>
        <w:bottom w:val="none" w:sz="0" w:space="0" w:color="auto"/>
        <w:right w:val="none" w:sz="0" w:space="0" w:color="auto"/>
      </w:divBdr>
    </w:div>
    <w:div w:id="2095125825">
      <w:bodyDiv w:val="1"/>
      <w:marLeft w:val="0"/>
      <w:marRight w:val="0"/>
      <w:marTop w:val="0"/>
      <w:marBottom w:val="0"/>
      <w:divBdr>
        <w:top w:val="none" w:sz="0" w:space="0" w:color="auto"/>
        <w:left w:val="none" w:sz="0" w:space="0" w:color="auto"/>
        <w:bottom w:val="none" w:sz="0" w:space="0" w:color="auto"/>
        <w:right w:val="none" w:sz="0" w:space="0" w:color="auto"/>
      </w:divBdr>
    </w:div>
    <w:div w:id="2095198325">
      <w:bodyDiv w:val="1"/>
      <w:marLeft w:val="0"/>
      <w:marRight w:val="0"/>
      <w:marTop w:val="0"/>
      <w:marBottom w:val="0"/>
      <w:divBdr>
        <w:top w:val="none" w:sz="0" w:space="0" w:color="auto"/>
        <w:left w:val="none" w:sz="0" w:space="0" w:color="auto"/>
        <w:bottom w:val="none" w:sz="0" w:space="0" w:color="auto"/>
        <w:right w:val="none" w:sz="0" w:space="0" w:color="auto"/>
      </w:divBdr>
    </w:div>
    <w:div w:id="2095199329">
      <w:bodyDiv w:val="1"/>
      <w:marLeft w:val="0"/>
      <w:marRight w:val="0"/>
      <w:marTop w:val="0"/>
      <w:marBottom w:val="0"/>
      <w:divBdr>
        <w:top w:val="none" w:sz="0" w:space="0" w:color="auto"/>
        <w:left w:val="none" w:sz="0" w:space="0" w:color="auto"/>
        <w:bottom w:val="none" w:sz="0" w:space="0" w:color="auto"/>
        <w:right w:val="none" w:sz="0" w:space="0" w:color="auto"/>
      </w:divBdr>
    </w:div>
    <w:div w:id="2095201880">
      <w:bodyDiv w:val="1"/>
      <w:marLeft w:val="0"/>
      <w:marRight w:val="0"/>
      <w:marTop w:val="0"/>
      <w:marBottom w:val="0"/>
      <w:divBdr>
        <w:top w:val="none" w:sz="0" w:space="0" w:color="auto"/>
        <w:left w:val="none" w:sz="0" w:space="0" w:color="auto"/>
        <w:bottom w:val="none" w:sz="0" w:space="0" w:color="auto"/>
        <w:right w:val="none" w:sz="0" w:space="0" w:color="auto"/>
      </w:divBdr>
    </w:div>
    <w:div w:id="2095274040">
      <w:bodyDiv w:val="1"/>
      <w:marLeft w:val="0"/>
      <w:marRight w:val="0"/>
      <w:marTop w:val="0"/>
      <w:marBottom w:val="0"/>
      <w:divBdr>
        <w:top w:val="none" w:sz="0" w:space="0" w:color="auto"/>
        <w:left w:val="none" w:sz="0" w:space="0" w:color="auto"/>
        <w:bottom w:val="none" w:sz="0" w:space="0" w:color="auto"/>
        <w:right w:val="none" w:sz="0" w:space="0" w:color="auto"/>
      </w:divBdr>
    </w:div>
    <w:div w:id="2095278121">
      <w:bodyDiv w:val="1"/>
      <w:marLeft w:val="0"/>
      <w:marRight w:val="0"/>
      <w:marTop w:val="0"/>
      <w:marBottom w:val="0"/>
      <w:divBdr>
        <w:top w:val="none" w:sz="0" w:space="0" w:color="auto"/>
        <w:left w:val="none" w:sz="0" w:space="0" w:color="auto"/>
        <w:bottom w:val="none" w:sz="0" w:space="0" w:color="auto"/>
        <w:right w:val="none" w:sz="0" w:space="0" w:color="auto"/>
      </w:divBdr>
    </w:div>
    <w:div w:id="2095469884">
      <w:bodyDiv w:val="1"/>
      <w:marLeft w:val="0"/>
      <w:marRight w:val="0"/>
      <w:marTop w:val="0"/>
      <w:marBottom w:val="0"/>
      <w:divBdr>
        <w:top w:val="none" w:sz="0" w:space="0" w:color="auto"/>
        <w:left w:val="none" w:sz="0" w:space="0" w:color="auto"/>
        <w:bottom w:val="none" w:sz="0" w:space="0" w:color="auto"/>
        <w:right w:val="none" w:sz="0" w:space="0" w:color="auto"/>
      </w:divBdr>
    </w:div>
    <w:div w:id="2095470162">
      <w:bodyDiv w:val="1"/>
      <w:marLeft w:val="0"/>
      <w:marRight w:val="0"/>
      <w:marTop w:val="0"/>
      <w:marBottom w:val="0"/>
      <w:divBdr>
        <w:top w:val="none" w:sz="0" w:space="0" w:color="auto"/>
        <w:left w:val="none" w:sz="0" w:space="0" w:color="auto"/>
        <w:bottom w:val="none" w:sz="0" w:space="0" w:color="auto"/>
        <w:right w:val="none" w:sz="0" w:space="0" w:color="auto"/>
      </w:divBdr>
    </w:div>
    <w:div w:id="2095471640">
      <w:bodyDiv w:val="1"/>
      <w:marLeft w:val="0"/>
      <w:marRight w:val="0"/>
      <w:marTop w:val="0"/>
      <w:marBottom w:val="0"/>
      <w:divBdr>
        <w:top w:val="none" w:sz="0" w:space="0" w:color="auto"/>
        <w:left w:val="none" w:sz="0" w:space="0" w:color="auto"/>
        <w:bottom w:val="none" w:sz="0" w:space="0" w:color="auto"/>
        <w:right w:val="none" w:sz="0" w:space="0" w:color="auto"/>
      </w:divBdr>
    </w:div>
    <w:div w:id="2095661700">
      <w:bodyDiv w:val="1"/>
      <w:marLeft w:val="0"/>
      <w:marRight w:val="0"/>
      <w:marTop w:val="0"/>
      <w:marBottom w:val="0"/>
      <w:divBdr>
        <w:top w:val="none" w:sz="0" w:space="0" w:color="auto"/>
        <w:left w:val="none" w:sz="0" w:space="0" w:color="auto"/>
        <w:bottom w:val="none" w:sz="0" w:space="0" w:color="auto"/>
        <w:right w:val="none" w:sz="0" w:space="0" w:color="auto"/>
      </w:divBdr>
    </w:div>
    <w:div w:id="2095668031">
      <w:bodyDiv w:val="1"/>
      <w:marLeft w:val="0"/>
      <w:marRight w:val="0"/>
      <w:marTop w:val="0"/>
      <w:marBottom w:val="0"/>
      <w:divBdr>
        <w:top w:val="none" w:sz="0" w:space="0" w:color="auto"/>
        <w:left w:val="none" w:sz="0" w:space="0" w:color="auto"/>
        <w:bottom w:val="none" w:sz="0" w:space="0" w:color="auto"/>
        <w:right w:val="none" w:sz="0" w:space="0" w:color="auto"/>
      </w:divBdr>
    </w:div>
    <w:div w:id="2095668061">
      <w:bodyDiv w:val="1"/>
      <w:marLeft w:val="0"/>
      <w:marRight w:val="0"/>
      <w:marTop w:val="0"/>
      <w:marBottom w:val="0"/>
      <w:divBdr>
        <w:top w:val="none" w:sz="0" w:space="0" w:color="auto"/>
        <w:left w:val="none" w:sz="0" w:space="0" w:color="auto"/>
        <w:bottom w:val="none" w:sz="0" w:space="0" w:color="auto"/>
        <w:right w:val="none" w:sz="0" w:space="0" w:color="auto"/>
      </w:divBdr>
    </w:div>
    <w:div w:id="2095736647">
      <w:bodyDiv w:val="1"/>
      <w:marLeft w:val="0"/>
      <w:marRight w:val="0"/>
      <w:marTop w:val="0"/>
      <w:marBottom w:val="0"/>
      <w:divBdr>
        <w:top w:val="none" w:sz="0" w:space="0" w:color="auto"/>
        <w:left w:val="none" w:sz="0" w:space="0" w:color="auto"/>
        <w:bottom w:val="none" w:sz="0" w:space="0" w:color="auto"/>
        <w:right w:val="none" w:sz="0" w:space="0" w:color="auto"/>
      </w:divBdr>
    </w:div>
    <w:div w:id="2095856741">
      <w:bodyDiv w:val="1"/>
      <w:marLeft w:val="0"/>
      <w:marRight w:val="0"/>
      <w:marTop w:val="0"/>
      <w:marBottom w:val="0"/>
      <w:divBdr>
        <w:top w:val="none" w:sz="0" w:space="0" w:color="auto"/>
        <w:left w:val="none" w:sz="0" w:space="0" w:color="auto"/>
        <w:bottom w:val="none" w:sz="0" w:space="0" w:color="auto"/>
        <w:right w:val="none" w:sz="0" w:space="0" w:color="auto"/>
      </w:divBdr>
    </w:div>
    <w:div w:id="2096055109">
      <w:bodyDiv w:val="1"/>
      <w:marLeft w:val="0"/>
      <w:marRight w:val="0"/>
      <w:marTop w:val="0"/>
      <w:marBottom w:val="0"/>
      <w:divBdr>
        <w:top w:val="none" w:sz="0" w:space="0" w:color="auto"/>
        <w:left w:val="none" w:sz="0" w:space="0" w:color="auto"/>
        <w:bottom w:val="none" w:sz="0" w:space="0" w:color="auto"/>
        <w:right w:val="none" w:sz="0" w:space="0" w:color="auto"/>
      </w:divBdr>
    </w:div>
    <w:div w:id="2096122657">
      <w:bodyDiv w:val="1"/>
      <w:marLeft w:val="0"/>
      <w:marRight w:val="0"/>
      <w:marTop w:val="0"/>
      <w:marBottom w:val="0"/>
      <w:divBdr>
        <w:top w:val="none" w:sz="0" w:space="0" w:color="auto"/>
        <w:left w:val="none" w:sz="0" w:space="0" w:color="auto"/>
        <w:bottom w:val="none" w:sz="0" w:space="0" w:color="auto"/>
        <w:right w:val="none" w:sz="0" w:space="0" w:color="auto"/>
      </w:divBdr>
    </w:div>
    <w:div w:id="2096124788">
      <w:bodyDiv w:val="1"/>
      <w:marLeft w:val="0"/>
      <w:marRight w:val="0"/>
      <w:marTop w:val="0"/>
      <w:marBottom w:val="0"/>
      <w:divBdr>
        <w:top w:val="none" w:sz="0" w:space="0" w:color="auto"/>
        <w:left w:val="none" w:sz="0" w:space="0" w:color="auto"/>
        <w:bottom w:val="none" w:sz="0" w:space="0" w:color="auto"/>
        <w:right w:val="none" w:sz="0" w:space="0" w:color="auto"/>
      </w:divBdr>
    </w:div>
    <w:div w:id="2096127561">
      <w:bodyDiv w:val="1"/>
      <w:marLeft w:val="0"/>
      <w:marRight w:val="0"/>
      <w:marTop w:val="0"/>
      <w:marBottom w:val="0"/>
      <w:divBdr>
        <w:top w:val="none" w:sz="0" w:space="0" w:color="auto"/>
        <w:left w:val="none" w:sz="0" w:space="0" w:color="auto"/>
        <w:bottom w:val="none" w:sz="0" w:space="0" w:color="auto"/>
        <w:right w:val="none" w:sz="0" w:space="0" w:color="auto"/>
      </w:divBdr>
    </w:div>
    <w:div w:id="2096170133">
      <w:bodyDiv w:val="1"/>
      <w:marLeft w:val="0"/>
      <w:marRight w:val="0"/>
      <w:marTop w:val="0"/>
      <w:marBottom w:val="0"/>
      <w:divBdr>
        <w:top w:val="none" w:sz="0" w:space="0" w:color="auto"/>
        <w:left w:val="none" w:sz="0" w:space="0" w:color="auto"/>
        <w:bottom w:val="none" w:sz="0" w:space="0" w:color="auto"/>
        <w:right w:val="none" w:sz="0" w:space="0" w:color="auto"/>
      </w:divBdr>
    </w:div>
    <w:div w:id="2096435268">
      <w:bodyDiv w:val="1"/>
      <w:marLeft w:val="0"/>
      <w:marRight w:val="0"/>
      <w:marTop w:val="0"/>
      <w:marBottom w:val="0"/>
      <w:divBdr>
        <w:top w:val="none" w:sz="0" w:space="0" w:color="auto"/>
        <w:left w:val="none" w:sz="0" w:space="0" w:color="auto"/>
        <w:bottom w:val="none" w:sz="0" w:space="0" w:color="auto"/>
        <w:right w:val="none" w:sz="0" w:space="0" w:color="auto"/>
      </w:divBdr>
    </w:div>
    <w:div w:id="2096590192">
      <w:bodyDiv w:val="1"/>
      <w:marLeft w:val="0"/>
      <w:marRight w:val="0"/>
      <w:marTop w:val="0"/>
      <w:marBottom w:val="0"/>
      <w:divBdr>
        <w:top w:val="none" w:sz="0" w:space="0" w:color="auto"/>
        <w:left w:val="none" w:sz="0" w:space="0" w:color="auto"/>
        <w:bottom w:val="none" w:sz="0" w:space="0" w:color="auto"/>
        <w:right w:val="none" w:sz="0" w:space="0" w:color="auto"/>
      </w:divBdr>
    </w:div>
    <w:div w:id="2096629194">
      <w:bodyDiv w:val="1"/>
      <w:marLeft w:val="0"/>
      <w:marRight w:val="0"/>
      <w:marTop w:val="0"/>
      <w:marBottom w:val="0"/>
      <w:divBdr>
        <w:top w:val="none" w:sz="0" w:space="0" w:color="auto"/>
        <w:left w:val="none" w:sz="0" w:space="0" w:color="auto"/>
        <w:bottom w:val="none" w:sz="0" w:space="0" w:color="auto"/>
        <w:right w:val="none" w:sz="0" w:space="0" w:color="auto"/>
      </w:divBdr>
    </w:div>
    <w:div w:id="2096631455">
      <w:bodyDiv w:val="1"/>
      <w:marLeft w:val="0"/>
      <w:marRight w:val="0"/>
      <w:marTop w:val="0"/>
      <w:marBottom w:val="0"/>
      <w:divBdr>
        <w:top w:val="none" w:sz="0" w:space="0" w:color="auto"/>
        <w:left w:val="none" w:sz="0" w:space="0" w:color="auto"/>
        <w:bottom w:val="none" w:sz="0" w:space="0" w:color="auto"/>
        <w:right w:val="none" w:sz="0" w:space="0" w:color="auto"/>
      </w:divBdr>
    </w:div>
    <w:div w:id="2096635075">
      <w:bodyDiv w:val="1"/>
      <w:marLeft w:val="0"/>
      <w:marRight w:val="0"/>
      <w:marTop w:val="0"/>
      <w:marBottom w:val="0"/>
      <w:divBdr>
        <w:top w:val="none" w:sz="0" w:space="0" w:color="auto"/>
        <w:left w:val="none" w:sz="0" w:space="0" w:color="auto"/>
        <w:bottom w:val="none" w:sz="0" w:space="0" w:color="auto"/>
        <w:right w:val="none" w:sz="0" w:space="0" w:color="auto"/>
      </w:divBdr>
    </w:div>
    <w:div w:id="2096702254">
      <w:bodyDiv w:val="1"/>
      <w:marLeft w:val="0"/>
      <w:marRight w:val="0"/>
      <w:marTop w:val="0"/>
      <w:marBottom w:val="0"/>
      <w:divBdr>
        <w:top w:val="none" w:sz="0" w:space="0" w:color="auto"/>
        <w:left w:val="none" w:sz="0" w:space="0" w:color="auto"/>
        <w:bottom w:val="none" w:sz="0" w:space="0" w:color="auto"/>
        <w:right w:val="none" w:sz="0" w:space="0" w:color="auto"/>
      </w:divBdr>
    </w:div>
    <w:div w:id="2096776190">
      <w:bodyDiv w:val="1"/>
      <w:marLeft w:val="0"/>
      <w:marRight w:val="0"/>
      <w:marTop w:val="0"/>
      <w:marBottom w:val="0"/>
      <w:divBdr>
        <w:top w:val="none" w:sz="0" w:space="0" w:color="auto"/>
        <w:left w:val="none" w:sz="0" w:space="0" w:color="auto"/>
        <w:bottom w:val="none" w:sz="0" w:space="0" w:color="auto"/>
        <w:right w:val="none" w:sz="0" w:space="0" w:color="auto"/>
      </w:divBdr>
    </w:div>
    <w:div w:id="2096894775">
      <w:bodyDiv w:val="1"/>
      <w:marLeft w:val="0"/>
      <w:marRight w:val="0"/>
      <w:marTop w:val="0"/>
      <w:marBottom w:val="0"/>
      <w:divBdr>
        <w:top w:val="none" w:sz="0" w:space="0" w:color="auto"/>
        <w:left w:val="none" w:sz="0" w:space="0" w:color="auto"/>
        <w:bottom w:val="none" w:sz="0" w:space="0" w:color="auto"/>
        <w:right w:val="none" w:sz="0" w:space="0" w:color="auto"/>
      </w:divBdr>
    </w:div>
    <w:div w:id="2096896539">
      <w:bodyDiv w:val="1"/>
      <w:marLeft w:val="0"/>
      <w:marRight w:val="0"/>
      <w:marTop w:val="0"/>
      <w:marBottom w:val="0"/>
      <w:divBdr>
        <w:top w:val="none" w:sz="0" w:space="0" w:color="auto"/>
        <w:left w:val="none" w:sz="0" w:space="0" w:color="auto"/>
        <w:bottom w:val="none" w:sz="0" w:space="0" w:color="auto"/>
        <w:right w:val="none" w:sz="0" w:space="0" w:color="auto"/>
      </w:divBdr>
    </w:div>
    <w:div w:id="2097045357">
      <w:bodyDiv w:val="1"/>
      <w:marLeft w:val="0"/>
      <w:marRight w:val="0"/>
      <w:marTop w:val="0"/>
      <w:marBottom w:val="0"/>
      <w:divBdr>
        <w:top w:val="none" w:sz="0" w:space="0" w:color="auto"/>
        <w:left w:val="none" w:sz="0" w:space="0" w:color="auto"/>
        <w:bottom w:val="none" w:sz="0" w:space="0" w:color="auto"/>
        <w:right w:val="none" w:sz="0" w:space="0" w:color="auto"/>
      </w:divBdr>
    </w:div>
    <w:div w:id="2097052470">
      <w:bodyDiv w:val="1"/>
      <w:marLeft w:val="0"/>
      <w:marRight w:val="0"/>
      <w:marTop w:val="0"/>
      <w:marBottom w:val="0"/>
      <w:divBdr>
        <w:top w:val="none" w:sz="0" w:space="0" w:color="auto"/>
        <w:left w:val="none" w:sz="0" w:space="0" w:color="auto"/>
        <w:bottom w:val="none" w:sz="0" w:space="0" w:color="auto"/>
        <w:right w:val="none" w:sz="0" w:space="0" w:color="auto"/>
      </w:divBdr>
    </w:div>
    <w:div w:id="2097096069">
      <w:bodyDiv w:val="1"/>
      <w:marLeft w:val="0"/>
      <w:marRight w:val="0"/>
      <w:marTop w:val="0"/>
      <w:marBottom w:val="0"/>
      <w:divBdr>
        <w:top w:val="none" w:sz="0" w:space="0" w:color="auto"/>
        <w:left w:val="none" w:sz="0" w:space="0" w:color="auto"/>
        <w:bottom w:val="none" w:sz="0" w:space="0" w:color="auto"/>
        <w:right w:val="none" w:sz="0" w:space="0" w:color="auto"/>
      </w:divBdr>
    </w:div>
    <w:div w:id="2097314722">
      <w:bodyDiv w:val="1"/>
      <w:marLeft w:val="0"/>
      <w:marRight w:val="0"/>
      <w:marTop w:val="0"/>
      <w:marBottom w:val="0"/>
      <w:divBdr>
        <w:top w:val="none" w:sz="0" w:space="0" w:color="auto"/>
        <w:left w:val="none" w:sz="0" w:space="0" w:color="auto"/>
        <w:bottom w:val="none" w:sz="0" w:space="0" w:color="auto"/>
        <w:right w:val="none" w:sz="0" w:space="0" w:color="auto"/>
      </w:divBdr>
    </w:div>
    <w:div w:id="2097364583">
      <w:bodyDiv w:val="1"/>
      <w:marLeft w:val="0"/>
      <w:marRight w:val="0"/>
      <w:marTop w:val="0"/>
      <w:marBottom w:val="0"/>
      <w:divBdr>
        <w:top w:val="none" w:sz="0" w:space="0" w:color="auto"/>
        <w:left w:val="none" w:sz="0" w:space="0" w:color="auto"/>
        <w:bottom w:val="none" w:sz="0" w:space="0" w:color="auto"/>
        <w:right w:val="none" w:sz="0" w:space="0" w:color="auto"/>
      </w:divBdr>
    </w:div>
    <w:div w:id="2097437102">
      <w:bodyDiv w:val="1"/>
      <w:marLeft w:val="0"/>
      <w:marRight w:val="0"/>
      <w:marTop w:val="0"/>
      <w:marBottom w:val="0"/>
      <w:divBdr>
        <w:top w:val="none" w:sz="0" w:space="0" w:color="auto"/>
        <w:left w:val="none" w:sz="0" w:space="0" w:color="auto"/>
        <w:bottom w:val="none" w:sz="0" w:space="0" w:color="auto"/>
        <w:right w:val="none" w:sz="0" w:space="0" w:color="auto"/>
      </w:divBdr>
    </w:div>
    <w:div w:id="2097439225">
      <w:bodyDiv w:val="1"/>
      <w:marLeft w:val="0"/>
      <w:marRight w:val="0"/>
      <w:marTop w:val="0"/>
      <w:marBottom w:val="0"/>
      <w:divBdr>
        <w:top w:val="none" w:sz="0" w:space="0" w:color="auto"/>
        <w:left w:val="none" w:sz="0" w:space="0" w:color="auto"/>
        <w:bottom w:val="none" w:sz="0" w:space="0" w:color="auto"/>
        <w:right w:val="none" w:sz="0" w:space="0" w:color="auto"/>
      </w:divBdr>
    </w:div>
    <w:div w:id="2097480951">
      <w:bodyDiv w:val="1"/>
      <w:marLeft w:val="0"/>
      <w:marRight w:val="0"/>
      <w:marTop w:val="0"/>
      <w:marBottom w:val="0"/>
      <w:divBdr>
        <w:top w:val="none" w:sz="0" w:space="0" w:color="auto"/>
        <w:left w:val="none" w:sz="0" w:space="0" w:color="auto"/>
        <w:bottom w:val="none" w:sz="0" w:space="0" w:color="auto"/>
        <w:right w:val="none" w:sz="0" w:space="0" w:color="auto"/>
      </w:divBdr>
    </w:div>
    <w:div w:id="2097510976">
      <w:bodyDiv w:val="1"/>
      <w:marLeft w:val="0"/>
      <w:marRight w:val="0"/>
      <w:marTop w:val="0"/>
      <w:marBottom w:val="0"/>
      <w:divBdr>
        <w:top w:val="none" w:sz="0" w:space="0" w:color="auto"/>
        <w:left w:val="none" w:sz="0" w:space="0" w:color="auto"/>
        <w:bottom w:val="none" w:sz="0" w:space="0" w:color="auto"/>
        <w:right w:val="none" w:sz="0" w:space="0" w:color="auto"/>
      </w:divBdr>
    </w:div>
    <w:div w:id="2097550754">
      <w:bodyDiv w:val="1"/>
      <w:marLeft w:val="0"/>
      <w:marRight w:val="0"/>
      <w:marTop w:val="0"/>
      <w:marBottom w:val="0"/>
      <w:divBdr>
        <w:top w:val="none" w:sz="0" w:space="0" w:color="auto"/>
        <w:left w:val="none" w:sz="0" w:space="0" w:color="auto"/>
        <w:bottom w:val="none" w:sz="0" w:space="0" w:color="auto"/>
        <w:right w:val="none" w:sz="0" w:space="0" w:color="auto"/>
      </w:divBdr>
    </w:div>
    <w:div w:id="2097630827">
      <w:bodyDiv w:val="1"/>
      <w:marLeft w:val="0"/>
      <w:marRight w:val="0"/>
      <w:marTop w:val="0"/>
      <w:marBottom w:val="0"/>
      <w:divBdr>
        <w:top w:val="none" w:sz="0" w:space="0" w:color="auto"/>
        <w:left w:val="none" w:sz="0" w:space="0" w:color="auto"/>
        <w:bottom w:val="none" w:sz="0" w:space="0" w:color="auto"/>
        <w:right w:val="none" w:sz="0" w:space="0" w:color="auto"/>
      </w:divBdr>
    </w:div>
    <w:div w:id="2097632943">
      <w:bodyDiv w:val="1"/>
      <w:marLeft w:val="0"/>
      <w:marRight w:val="0"/>
      <w:marTop w:val="0"/>
      <w:marBottom w:val="0"/>
      <w:divBdr>
        <w:top w:val="none" w:sz="0" w:space="0" w:color="auto"/>
        <w:left w:val="none" w:sz="0" w:space="0" w:color="auto"/>
        <w:bottom w:val="none" w:sz="0" w:space="0" w:color="auto"/>
        <w:right w:val="none" w:sz="0" w:space="0" w:color="auto"/>
      </w:divBdr>
    </w:div>
    <w:div w:id="2097893950">
      <w:bodyDiv w:val="1"/>
      <w:marLeft w:val="0"/>
      <w:marRight w:val="0"/>
      <w:marTop w:val="0"/>
      <w:marBottom w:val="0"/>
      <w:divBdr>
        <w:top w:val="none" w:sz="0" w:space="0" w:color="auto"/>
        <w:left w:val="none" w:sz="0" w:space="0" w:color="auto"/>
        <w:bottom w:val="none" w:sz="0" w:space="0" w:color="auto"/>
        <w:right w:val="none" w:sz="0" w:space="0" w:color="auto"/>
      </w:divBdr>
    </w:div>
    <w:div w:id="2097968742">
      <w:bodyDiv w:val="1"/>
      <w:marLeft w:val="0"/>
      <w:marRight w:val="0"/>
      <w:marTop w:val="0"/>
      <w:marBottom w:val="0"/>
      <w:divBdr>
        <w:top w:val="none" w:sz="0" w:space="0" w:color="auto"/>
        <w:left w:val="none" w:sz="0" w:space="0" w:color="auto"/>
        <w:bottom w:val="none" w:sz="0" w:space="0" w:color="auto"/>
        <w:right w:val="none" w:sz="0" w:space="0" w:color="auto"/>
      </w:divBdr>
    </w:div>
    <w:div w:id="2098018184">
      <w:bodyDiv w:val="1"/>
      <w:marLeft w:val="0"/>
      <w:marRight w:val="0"/>
      <w:marTop w:val="0"/>
      <w:marBottom w:val="0"/>
      <w:divBdr>
        <w:top w:val="none" w:sz="0" w:space="0" w:color="auto"/>
        <w:left w:val="none" w:sz="0" w:space="0" w:color="auto"/>
        <w:bottom w:val="none" w:sz="0" w:space="0" w:color="auto"/>
        <w:right w:val="none" w:sz="0" w:space="0" w:color="auto"/>
      </w:divBdr>
    </w:div>
    <w:div w:id="2098095907">
      <w:bodyDiv w:val="1"/>
      <w:marLeft w:val="0"/>
      <w:marRight w:val="0"/>
      <w:marTop w:val="0"/>
      <w:marBottom w:val="0"/>
      <w:divBdr>
        <w:top w:val="none" w:sz="0" w:space="0" w:color="auto"/>
        <w:left w:val="none" w:sz="0" w:space="0" w:color="auto"/>
        <w:bottom w:val="none" w:sz="0" w:space="0" w:color="auto"/>
        <w:right w:val="none" w:sz="0" w:space="0" w:color="auto"/>
      </w:divBdr>
    </w:div>
    <w:div w:id="2098138053">
      <w:bodyDiv w:val="1"/>
      <w:marLeft w:val="0"/>
      <w:marRight w:val="0"/>
      <w:marTop w:val="0"/>
      <w:marBottom w:val="0"/>
      <w:divBdr>
        <w:top w:val="none" w:sz="0" w:space="0" w:color="auto"/>
        <w:left w:val="none" w:sz="0" w:space="0" w:color="auto"/>
        <w:bottom w:val="none" w:sz="0" w:space="0" w:color="auto"/>
        <w:right w:val="none" w:sz="0" w:space="0" w:color="auto"/>
      </w:divBdr>
    </w:div>
    <w:div w:id="2098285817">
      <w:bodyDiv w:val="1"/>
      <w:marLeft w:val="0"/>
      <w:marRight w:val="0"/>
      <w:marTop w:val="0"/>
      <w:marBottom w:val="0"/>
      <w:divBdr>
        <w:top w:val="none" w:sz="0" w:space="0" w:color="auto"/>
        <w:left w:val="none" w:sz="0" w:space="0" w:color="auto"/>
        <w:bottom w:val="none" w:sz="0" w:space="0" w:color="auto"/>
        <w:right w:val="none" w:sz="0" w:space="0" w:color="auto"/>
      </w:divBdr>
    </w:div>
    <w:div w:id="2098331955">
      <w:bodyDiv w:val="1"/>
      <w:marLeft w:val="0"/>
      <w:marRight w:val="0"/>
      <w:marTop w:val="0"/>
      <w:marBottom w:val="0"/>
      <w:divBdr>
        <w:top w:val="none" w:sz="0" w:space="0" w:color="auto"/>
        <w:left w:val="none" w:sz="0" w:space="0" w:color="auto"/>
        <w:bottom w:val="none" w:sz="0" w:space="0" w:color="auto"/>
        <w:right w:val="none" w:sz="0" w:space="0" w:color="auto"/>
      </w:divBdr>
    </w:div>
    <w:div w:id="2098357691">
      <w:bodyDiv w:val="1"/>
      <w:marLeft w:val="0"/>
      <w:marRight w:val="0"/>
      <w:marTop w:val="0"/>
      <w:marBottom w:val="0"/>
      <w:divBdr>
        <w:top w:val="none" w:sz="0" w:space="0" w:color="auto"/>
        <w:left w:val="none" w:sz="0" w:space="0" w:color="auto"/>
        <w:bottom w:val="none" w:sz="0" w:space="0" w:color="auto"/>
        <w:right w:val="none" w:sz="0" w:space="0" w:color="auto"/>
      </w:divBdr>
    </w:div>
    <w:div w:id="2098406615">
      <w:bodyDiv w:val="1"/>
      <w:marLeft w:val="0"/>
      <w:marRight w:val="0"/>
      <w:marTop w:val="0"/>
      <w:marBottom w:val="0"/>
      <w:divBdr>
        <w:top w:val="none" w:sz="0" w:space="0" w:color="auto"/>
        <w:left w:val="none" w:sz="0" w:space="0" w:color="auto"/>
        <w:bottom w:val="none" w:sz="0" w:space="0" w:color="auto"/>
        <w:right w:val="none" w:sz="0" w:space="0" w:color="auto"/>
      </w:divBdr>
    </w:div>
    <w:div w:id="2098597254">
      <w:bodyDiv w:val="1"/>
      <w:marLeft w:val="0"/>
      <w:marRight w:val="0"/>
      <w:marTop w:val="0"/>
      <w:marBottom w:val="0"/>
      <w:divBdr>
        <w:top w:val="none" w:sz="0" w:space="0" w:color="auto"/>
        <w:left w:val="none" w:sz="0" w:space="0" w:color="auto"/>
        <w:bottom w:val="none" w:sz="0" w:space="0" w:color="auto"/>
        <w:right w:val="none" w:sz="0" w:space="0" w:color="auto"/>
      </w:divBdr>
    </w:div>
    <w:div w:id="2098597381">
      <w:bodyDiv w:val="1"/>
      <w:marLeft w:val="0"/>
      <w:marRight w:val="0"/>
      <w:marTop w:val="0"/>
      <w:marBottom w:val="0"/>
      <w:divBdr>
        <w:top w:val="none" w:sz="0" w:space="0" w:color="auto"/>
        <w:left w:val="none" w:sz="0" w:space="0" w:color="auto"/>
        <w:bottom w:val="none" w:sz="0" w:space="0" w:color="auto"/>
        <w:right w:val="none" w:sz="0" w:space="0" w:color="auto"/>
      </w:divBdr>
    </w:div>
    <w:div w:id="2098668182">
      <w:bodyDiv w:val="1"/>
      <w:marLeft w:val="0"/>
      <w:marRight w:val="0"/>
      <w:marTop w:val="0"/>
      <w:marBottom w:val="0"/>
      <w:divBdr>
        <w:top w:val="none" w:sz="0" w:space="0" w:color="auto"/>
        <w:left w:val="none" w:sz="0" w:space="0" w:color="auto"/>
        <w:bottom w:val="none" w:sz="0" w:space="0" w:color="auto"/>
        <w:right w:val="none" w:sz="0" w:space="0" w:color="auto"/>
      </w:divBdr>
    </w:div>
    <w:div w:id="2098821804">
      <w:bodyDiv w:val="1"/>
      <w:marLeft w:val="0"/>
      <w:marRight w:val="0"/>
      <w:marTop w:val="0"/>
      <w:marBottom w:val="0"/>
      <w:divBdr>
        <w:top w:val="none" w:sz="0" w:space="0" w:color="auto"/>
        <w:left w:val="none" w:sz="0" w:space="0" w:color="auto"/>
        <w:bottom w:val="none" w:sz="0" w:space="0" w:color="auto"/>
        <w:right w:val="none" w:sz="0" w:space="0" w:color="auto"/>
      </w:divBdr>
    </w:div>
    <w:div w:id="2098860159">
      <w:bodyDiv w:val="1"/>
      <w:marLeft w:val="0"/>
      <w:marRight w:val="0"/>
      <w:marTop w:val="0"/>
      <w:marBottom w:val="0"/>
      <w:divBdr>
        <w:top w:val="none" w:sz="0" w:space="0" w:color="auto"/>
        <w:left w:val="none" w:sz="0" w:space="0" w:color="auto"/>
        <w:bottom w:val="none" w:sz="0" w:space="0" w:color="auto"/>
        <w:right w:val="none" w:sz="0" w:space="0" w:color="auto"/>
      </w:divBdr>
    </w:div>
    <w:div w:id="2099018203">
      <w:bodyDiv w:val="1"/>
      <w:marLeft w:val="0"/>
      <w:marRight w:val="0"/>
      <w:marTop w:val="0"/>
      <w:marBottom w:val="0"/>
      <w:divBdr>
        <w:top w:val="none" w:sz="0" w:space="0" w:color="auto"/>
        <w:left w:val="none" w:sz="0" w:space="0" w:color="auto"/>
        <w:bottom w:val="none" w:sz="0" w:space="0" w:color="auto"/>
        <w:right w:val="none" w:sz="0" w:space="0" w:color="auto"/>
      </w:divBdr>
    </w:div>
    <w:div w:id="2099053798">
      <w:bodyDiv w:val="1"/>
      <w:marLeft w:val="0"/>
      <w:marRight w:val="0"/>
      <w:marTop w:val="0"/>
      <w:marBottom w:val="0"/>
      <w:divBdr>
        <w:top w:val="none" w:sz="0" w:space="0" w:color="auto"/>
        <w:left w:val="none" w:sz="0" w:space="0" w:color="auto"/>
        <w:bottom w:val="none" w:sz="0" w:space="0" w:color="auto"/>
        <w:right w:val="none" w:sz="0" w:space="0" w:color="auto"/>
      </w:divBdr>
    </w:div>
    <w:div w:id="2099056322">
      <w:bodyDiv w:val="1"/>
      <w:marLeft w:val="0"/>
      <w:marRight w:val="0"/>
      <w:marTop w:val="0"/>
      <w:marBottom w:val="0"/>
      <w:divBdr>
        <w:top w:val="none" w:sz="0" w:space="0" w:color="auto"/>
        <w:left w:val="none" w:sz="0" w:space="0" w:color="auto"/>
        <w:bottom w:val="none" w:sz="0" w:space="0" w:color="auto"/>
        <w:right w:val="none" w:sz="0" w:space="0" w:color="auto"/>
      </w:divBdr>
    </w:div>
    <w:div w:id="2099058458">
      <w:bodyDiv w:val="1"/>
      <w:marLeft w:val="0"/>
      <w:marRight w:val="0"/>
      <w:marTop w:val="0"/>
      <w:marBottom w:val="0"/>
      <w:divBdr>
        <w:top w:val="none" w:sz="0" w:space="0" w:color="auto"/>
        <w:left w:val="none" w:sz="0" w:space="0" w:color="auto"/>
        <w:bottom w:val="none" w:sz="0" w:space="0" w:color="auto"/>
        <w:right w:val="none" w:sz="0" w:space="0" w:color="auto"/>
      </w:divBdr>
    </w:div>
    <w:div w:id="2099128731">
      <w:bodyDiv w:val="1"/>
      <w:marLeft w:val="0"/>
      <w:marRight w:val="0"/>
      <w:marTop w:val="0"/>
      <w:marBottom w:val="0"/>
      <w:divBdr>
        <w:top w:val="none" w:sz="0" w:space="0" w:color="auto"/>
        <w:left w:val="none" w:sz="0" w:space="0" w:color="auto"/>
        <w:bottom w:val="none" w:sz="0" w:space="0" w:color="auto"/>
        <w:right w:val="none" w:sz="0" w:space="0" w:color="auto"/>
      </w:divBdr>
    </w:div>
    <w:div w:id="2099137522">
      <w:bodyDiv w:val="1"/>
      <w:marLeft w:val="0"/>
      <w:marRight w:val="0"/>
      <w:marTop w:val="0"/>
      <w:marBottom w:val="0"/>
      <w:divBdr>
        <w:top w:val="none" w:sz="0" w:space="0" w:color="auto"/>
        <w:left w:val="none" w:sz="0" w:space="0" w:color="auto"/>
        <w:bottom w:val="none" w:sz="0" w:space="0" w:color="auto"/>
        <w:right w:val="none" w:sz="0" w:space="0" w:color="auto"/>
      </w:divBdr>
    </w:div>
    <w:div w:id="2099206054">
      <w:bodyDiv w:val="1"/>
      <w:marLeft w:val="0"/>
      <w:marRight w:val="0"/>
      <w:marTop w:val="0"/>
      <w:marBottom w:val="0"/>
      <w:divBdr>
        <w:top w:val="none" w:sz="0" w:space="0" w:color="auto"/>
        <w:left w:val="none" w:sz="0" w:space="0" w:color="auto"/>
        <w:bottom w:val="none" w:sz="0" w:space="0" w:color="auto"/>
        <w:right w:val="none" w:sz="0" w:space="0" w:color="auto"/>
      </w:divBdr>
    </w:div>
    <w:div w:id="2099211783">
      <w:bodyDiv w:val="1"/>
      <w:marLeft w:val="0"/>
      <w:marRight w:val="0"/>
      <w:marTop w:val="0"/>
      <w:marBottom w:val="0"/>
      <w:divBdr>
        <w:top w:val="none" w:sz="0" w:space="0" w:color="auto"/>
        <w:left w:val="none" w:sz="0" w:space="0" w:color="auto"/>
        <w:bottom w:val="none" w:sz="0" w:space="0" w:color="auto"/>
        <w:right w:val="none" w:sz="0" w:space="0" w:color="auto"/>
      </w:divBdr>
    </w:div>
    <w:div w:id="2099329576">
      <w:bodyDiv w:val="1"/>
      <w:marLeft w:val="0"/>
      <w:marRight w:val="0"/>
      <w:marTop w:val="0"/>
      <w:marBottom w:val="0"/>
      <w:divBdr>
        <w:top w:val="none" w:sz="0" w:space="0" w:color="auto"/>
        <w:left w:val="none" w:sz="0" w:space="0" w:color="auto"/>
        <w:bottom w:val="none" w:sz="0" w:space="0" w:color="auto"/>
        <w:right w:val="none" w:sz="0" w:space="0" w:color="auto"/>
      </w:divBdr>
    </w:div>
    <w:div w:id="2099330904">
      <w:bodyDiv w:val="1"/>
      <w:marLeft w:val="0"/>
      <w:marRight w:val="0"/>
      <w:marTop w:val="0"/>
      <w:marBottom w:val="0"/>
      <w:divBdr>
        <w:top w:val="none" w:sz="0" w:space="0" w:color="auto"/>
        <w:left w:val="none" w:sz="0" w:space="0" w:color="auto"/>
        <w:bottom w:val="none" w:sz="0" w:space="0" w:color="auto"/>
        <w:right w:val="none" w:sz="0" w:space="0" w:color="auto"/>
      </w:divBdr>
    </w:div>
    <w:div w:id="2099330988">
      <w:bodyDiv w:val="1"/>
      <w:marLeft w:val="0"/>
      <w:marRight w:val="0"/>
      <w:marTop w:val="0"/>
      <w:marBottom w:val="0"/>
      <w:divBdr>
        <w:top w:val="none" w:sz="0" w:space="0" w:color="auto"/>
        <w:left w:val="none" w:sz="0" w:space="0" w:color="auto"/>
        <w:bottom w:val="none" w:sz="0" w:space="0" w:color="auto"/>
        <w:right w:val="none" w:sz="0" w:space="0" w:color="auto"/>
      </w:divBdr>
    </w:div>
    <w:div w:id="2099401843">
      <w:bodyDiv w:val="1"/>
      <w:marLeft w:val="0"/>
      <w:marRight w:val="0"/>
      <w:marTop w:val="0"/>
      <w:marBottom w:val="0"/>
      <w:divBdr>
        <w:top w:val="none" w:sz="0" w:space="0" w:color="auto"/>
        <w:left w:val="none" w:sz="0" w:space="0" w:color="auto"/>
        <w:bottom w:val="none" w:sz="0" w:space="0" w:color="auto"/>
        <w:right w:val="none" w:sz="0" w:space="0" w:color="auto"/>
      </w:divBdr>
    </w:div>
    <w:div w:id="2099515417">
      <w:bodyDiv w:val="1"/>
      <w:marLeft w:val="0"/>
      <w:marRight w:val="0"/>
      <w:marTop w:val="0"/>
      <w:marBottom w:val="0"/>
      <w:divBdr>
        <w:top w:val="none" w:sz="0" w:space="0" w:color="auto"/>
        <w:left w:val="none" w:sz="0" w:space="0" w:color="auto"/>
        <w:bottom w:val="none" w:sz="0" w:space="0" w:color="auto"/>
        <w:right w:val="none" w:sz="0" w:space="0" w:color="auto"/>
      </w:divBdr>
    </w:div>
    <w:div w:id="2099523848">
      <w:bodyDiv w:val="1"/>
      <w:marLeft w:val="0"/>
      <w:marRight w:val="0"/>
      <w:marTop w:val="0"/>
      <w:marBottom w:val="0"/>
      <w:divBdr>
        <w:top w:val="none" w:sz="0" w:space="0" w:color="auto"/>
        <w:left w:val="none" w:sz="0" w:space="0" w:color="auto"/>
        <w:bottom w:val="none" w:sz="0" w:space="0" w:color="auto"/>
        <w:right w:val="none" w:sz="0" w:space="0" w:color="auto"/>
      </w:divBdr>
    </w:div>
    <w:div w:id="2099666073">
      <w:bodyDiv w:val="1"/>
      <w:marLeft w:val="0"/>
      <w:marRight w:val="0"/>
      <w:marTop w:val="0"/>
      <w:marBottom w:val="0"/>
      <w:divBdr>
        <w:top w:val="none" w:sz="0" w:space="0" w:color="auto"/>
        <w:left w:val="none" w:sz="0" w:space="0" w:color="auto"/>
        <w:bottom w:val="none" w:sz="0" w:space="0" w:color="auto"/>
        <w:right w:val="none" w:sz="0" w:space="0" w:color="auto"/>
      </w:divBdr>
    </w:div>
    <w:div w:id="2099669449">
      <w:bodyDiv w:val="1"/>
      <w:marLeft w:val="0"/>
      <w:marRight w:val="0"/>
      <w:marTop w:val="0"/>
      <w:marBottom w:val="0"/>
      <w:divBdr>
        <w:top w:val="none" w:sz="0" w:space="0" w:color="auto"/>
        <w:left w:val="none" w:sz="0" w:space="0" w:color="auto"/>
        <w:bottom w:val="none" w:sz="0" w:space="0" w:color="auto"/>
        <w:right w:val="none" w:sz="0" w:space="0" w:color="auto"/>
      </w:divBdr>
    </w:div>
    <w:div w:id="2099713856">
      <w:bodyDiv w:val="1"/>
      <w:marLeft w:val="0"/>
      <w:marRight w:val="0"/>
      <w:marTop w:val="0"/>
      <w:marBottom w:val="0"/>
      <w:divBdr>
        <w:top w:val="none" w:sz="0" w:space="0" w:color="auto"/>
        <w:left w:val="none" w:sz="0" w:space="0" w:color="auto"/>
        <w:bottom w:val="none" w:sz="0" w:space="0" w:color="auto"/>
        <w:right w:val="none" w:sz="0" w:space="0" w:color="auto"/>
      </w:divBdr>
    </w:div>
    <w:div w:id="2099716167">
      <w:bodyDiv w:val="1"/>
      <w:marLeft w:val="0"/>
      <w:marRight w:val="0"/>
      <w:marTop w:val="0"/>
      <w:marBottom w:val="0"/>
      <w:divBdr>
        <w:top w:val="none" w:sz="0" w:space="0" w:color="auto"/>
        <w:left w:val="none" w:sz="0" w:space="0" w:color="auto"/>
        <w:bottom w:val="none" w:sz="0" w:space="0" w:color="auto"/>
        <w:right w:val="none" w:sz="0" w:space="0" w:color="auto"/>
      </w:divBdr>
    </w:div>
    <w:div w:id="2099786949">
      <w:bodyDiv w:val="1"/>
      <w:marLeft w:val="0"/>
      <w:marRight w:val="0"/>
      <w:marTop w:val="0"/>
      <w:marBottom w:val="0"/>
      <w:divBdr>
        <w:top w:val="none" w:sz="0" w:space="0" w:color="auto"/>
        <w:left w:val="none" w:sz="0" w:space="0" w:color="auto"/>
        <w:bottom w:val="none" w:sz="0" w:space="0" w:color="auto"/>
        <w:right w:val="none" w:sz="0" w:space="0" w:color="auto"/>
      </w:divBdr>
    </w:div>
    <w:div w:id="2099868835">
      <w:bodyDiv w:val="1"/>
      <w:marLeft w:val="0"/>
      <w:marRight w:val="0"/>
      <w:marTop w:val="0"/>
      <w:marBottom w:val="0"/>
      <w:divBdr>
        <w:top w:val="none" w:sz="0" w:space="0" w:color="auto"/>
        <w:left w:val="none" w:sz="0" w:space="0" w:color="auto"/>
        <w:bottom w:val="none" w:sz="0" w:space="0" w:color="auto"/>
        <w:right w:val="none" w:sz="0" w:space="0" w:color="auto"/>
      </w:divBdr>
    </w:div>
    <w:div w:id="2099983551">
      <w:bodyDiv w:val="1"/>
      <w:marLeft w:val="0"/>
      <w:marRight w:val="0"/>
      <w:marTop w:val="0"/>
      <w:marBottom w:val="0"/>
      <w:divBdr>
        <w:top w:val="none" w:sz="0" w:space="0" w:color="auto"/>
        <w:left w:val="none" w:sz="0" w:space="0" w:color="auto"/>
        <w:bottom w:val="none" w:sz="0" w:space="0" w:color="auto"/>
        <w:right w:val="none" w:sz="0" w:space="0" w:color="auto"/>
      </w:divBdr>
    </w:div>
    <w:div w:id="2100102100">
      <w:bodyDiv w:val="1"/>
      <w:marLeft w:val="0"/>
      <w:marRight w:val="0"/>
      <w:marTop w:val="0"/>
      <w:marBottom w:val="0"/>
      <w:divBdr>
        <w:top w:val="none" w:sz="0" w:space="0" w:color="auto"/>
        <w:left w:val="none" w:sz="0" w:space="0" w:color="auto"/>
        <w:bottom w:val="none" w:sz="0" w:space="0" w:color="auto"/>
        <w:right w:val="none" w:sz="0" w:space="0" w:color="auto"/>
      </w:divBdr>
    </w:div>
    <w:div w:id="2100174721">
      <w:bodyDiv w:val="1"/>
      <w:marLeft w:val="0"/>
      <w:marRight w:val="0"/>
      <w:marTop w:val="0"/>
      <w:marBottom w:val="0"/>
      <w:divBdr>
        <w:top w:val="none" w:sz="0" w:space="0" w:color="auto"/>
        <w:left w:val="none" w:sz="0" w:space="0" w:color="auto"/>
        <w:bottom w:val="none" w:sz="0" w:space="0" w:color="auto"/>
        <w:right w:val="none" w:sz="0" w:space="0" w:color="auto"/>
      </w:divBdr>
    </w:div>
    <w:div w:id="2100178310">
      <w:bodyDiv w:val="1"/>
      <w:marLeft w:val="0"/>
      <w:marRight w:val="0"/>
      <w:marTop w:val="0"/>
      <w:marBottom w:val="0"/>
      <w:divBdr>
        <w:top w:val="none" w:sz="0" w:space="0" w:color="auto"/>
        <w:left w:val="none" w:sz="0" w:space="0" w:color="auto"/>
        <w:bottom w:val="none" w:sz="0" w:space="0" w:color="auto"/>
        <w:right w:val="none" w:sz="0" w:space="0" w:color="auto"/>
      </w:divBdr>
    </w:div>
    <w:div w:id="2100246391">
      <w:bodyDiv w:val="1"/>
      <w:marLeft w:val="0"/>
      <w:marRight w:val="0"/>
      <w:marTop w:val="0"/>
      <w:marBottom w:val="0"/>
      <w:divBdr>
        <w:top w:val="none" w:sz="0" w:space="0" w:color="auto"/>
        <w:left w:val="none" w:sz="0" w:space="0" w:color="auto"/>
        <w:bottom w:val="none" w:sz="0" w:space="0" w:color="auto"/>
        <w:right w:val="none" w:sz="0" w:space="0" w:color="auto"/>
      </w:divBdr>
    </w:div>
    <w:div w:id="2100371314">
      <w:bodyDiv w:val="1"/>
      <w:marLeft w:val="0"/>
      <w:marRight w:val="0"/>
      <w:marTop w:val="0"/>
      <w:marBottom w:val="0"/>
      <w:divBdr>
        <w:top w:val="none" w:sz="0" w:space="0" w:color="auto"/>
        <w:left w:val="none" w:sz="0" w:space="0" w:color="auto"/>
        <w:bottom w:val="none" w:sz="0" w:space="0" w:color="auto"/>
        <w:right w:val="none" w:sz="0" w:space="0" w:color="auto"/>
      </w:divBdr>
    </w:div>
    <w:div w:id="2100442194">
      <w:bodyDiv w:val="1"/>
      <w:marLeft w:val="0"/>
      <w:marRight w:val="0"/>
      <w:marTop w:val="0"/>
      <w:marBottom w:val="0"/>
      <w:divBdr>
        <w:top w:val="none" w:sz="0" w:space="0" w:color="auto"/>
        <w:left w:val="none" w:sz="0" w:space="0" w:color="auto"/>
        <w:bottom w:val="none" w:sz="0" w:space="0" w:color="auto"/>
        <w:right w:val="none" w:sz="0" w:space="0" w:color="auto"/>
      </w:divBdr>
    </w:div>
    <w:div w:id="2100442427">
      <w:bodyDiv w:val="1"/>
      <w:marLeft w:val="0"/>
      <w:marRight w:val="0"/>
      <w:marTop w:val="0"/>
      <w:marBottom w:val="0"/>
      <w:divBdr>
        <w:top w:val="none" w:sz="0" w:space="0" w:color="auto"/>
        <w:left w:val="none" w:sz="0" w:space="0" w:color="auto"/>
        <w:bottom w:val="none" w:sz="0" w:space="0" w:color="auto"/>
        <w:right w:val="none" w:sz="0" w:space="0" w:color="auto"/>
      </w:divBdr>
    </w:div>
    <w:div w:id="2100519402">
      <w:bodyDiv w:val="1"/>
      <w:marLeft w:val="0"/>
      <w:marRight w:val="0"/>
      <w:marTop w:val="0"/>
      <w:marBottom w:val="0"/>
      <w:divBdr>
        <w:top w:val="none" w:sz="0" w:space="0" w:color="auto"/>
        <w:left w:val="none" w:sz="0" w:space="0" w:color="auto"/>
        <w:bottom w:val="none" w:sz="0" w:space="0" w:color="auto"/>
        <w:right w:val="none" w:sz="0" w:space="0" w:color="auto"/>
      </w:divBdr>
    </w:div>
    <w:div w:id="2100591793">
      <w:bodyDiv w:val="1"/>
      <w:marLeft w:val="0"/>
      <w:marRight w:val="0"/>
      <w:marTop w:val="0"/>
      <w:marBottom w:val="0"/>
      <w:divBdr>
        <w:top w:val="none" w:sz="0" w:space="0" w:color="auto"/>
        <w:left w:val="none" w:sz="0" w:space="0" w:color="auto"/>
        <w:bottom w:val="none" w:sz="0" w:space="0" w:color="auto"/>
        <w:right w:val="none" w:sz="0" w:space="0" w:color="auto"/>
      </w:divBdr>
    </w:div>
    <w:div w:id="2100759478">
      <w:bodyDiv w:val="1"/>
      <w:marLeft w:val="0"/>
      <w:marRight w:val="0"/>
      <w:marTop w:val="0"/>
      <w:marBottom w:val="0"/>
      <w:divBdr>
        <w:top w:val="none" w:sz="0" w:space="0" w:color="auto"/>
        <w:left w:val="none" w:sz="0" w:space="0" w:color="auto"/>
        <w:bottom w:val="none" w:sz="0" w:space="0" w:color="auto"/>
        <w:right w:val="none" w:sz="0" w:space="0" w:color="auto"/>
      </w:divBdr>
    </w:div>
    <w:div w:id="2100786502">
      <w:bodyDiv w:val="1"/>
      <w:marLeft w:val="0"/>
      <w:marRight w:val="0"/>
      <w:marTop w:val="0"/>
      <w:marBottom w:val="0"/>
      <w:divBdr>
        <w:top w:val="none" w:sz="0" w:space="0" w:color="auto"/>
        <w:left w:val="none" w:sz="0" w:space="0" w:color="auto"/>
        <w:bottom w:val="none" w:sz="0" w:space="0" w:color="auto"/>
        <w:right w:val="none" w:sz="0" w:space="0" w:color="auto"/>
      </w:divBdr>
    </w:div>
    <w:div w:id="2100904135">
      <w:bodyDiv w:val="1"/>
      <w:marLeft w:val="0"/>
      <w:marRight w:val="0"/>
      <w:marTop w:val="0"/>
      <w:marBottom w:val="0"/>
      <w:divBdr>
        <w:top w:val="none" w:sz="0" w:space="0" w:color="auto"/>
        <w:left w:val="none" w:sz="0" w:space="0" w:color="auto"/>
        <w:bottom w:val="none" w:sz="0" w:space="0" w:color="auto"/>
        <w:right w:val="none" w:sz="0" w:space="0" w:color="auto"/>
      </w:divBdr>
    </w:div>
    <w:div w:id="2100906683">
      <w:bodyDiv w:val="1"/>
      <w:marLeft w:val="0"/>
      <w:marRight w:val="0"/>
      <w:marTop w:val="0"/>
      <w:marBottom w:val="0"/>
      <w:divBdr>
        <w:top w:val="none" w:sz="0" w:space="0" w:color="auto"/>
        <w:left w:val="none" w:sz="0" w:space="0" w:color="auto"/>
        <w:bottom w:val="none" w:sz="0" w:space="0" w:color="auto"/>
        <w:right w:val="none" w:sz="0" w:space="0" w:color="auto"/>
      </w:divBdr>
    </w:div>
    <w:div w:id="2100980720">
      <w:bodyDiv w:val="1"/>
      <w:marLeft w:val="0"/>
      <w:marRight w:val="0"/>
      <w:marTop w:val="0"/>
      <w:marBottom w:val="0"/>
      <w:divBdr>
        <w:top w:val="none" w:sz="0" w:space="0" w:color="auto"/>
        <w:left w:val="none" w:sz="0" w:space="0" w:color="auto"/>
        <w:bottom w:val="none" w:sz="0" w:space="0" w:color="auto"/>
        <w:right w:val="none" w:sz="0" w:space="0" w:color="auto"/>
      </w:divBdr>
    </w:div>
    <w:div w:id="2101022937">
      <w:bodyDiv w:val="1"/>
      <w:marLeft w:val="0"/>
      <w:marRight w:val="0"/>
      <w:marTop w:val="0"/>
      <w:marBottom w:val="0"/>
      <w:divBdr>
        <w:top w:val="none" w:sz="0" w:space="0" w:color="auto"/>
        <w:left w:val="none" w:sz="0" w:space="0" w:color="auto"/>
        <w:bottom w:val="none" w:sz="0" w:space="0" w:color="auto"/>
        <w:right w:val="none" w:sz="0" w:space="0" w:color="auto"/>
      </w:divBdr>
    </w:div>
    <w:div w:id="2101028433">
      <w:bodyDiv w:val="1"/>
      <w:marLeft w:val="0"/>
      <w:marRight w:val="0"/>
      <w:marTop w:val="0"/>
      <w:marBottom w:val="0"/>
      <w:divBdr>
        <w:top w:val="none" w:sz="0" w:space="0" w:color="auto"/>
        <w:left w:val="none" w:sz="0" w:space="0" w:color="auto"/>
        <w:bottom w:val="none" w:sz="0" w:space="0" w:color="auto"/>
        <w:right w:val="none" w:sz="0" w:space="0" w:color="auto"/>
      </w:divBdr>
    </w:div>
    <w:div w:id="2101175682">
      <w:bodyDiv w:val="1"/>
      <w:marLeft w:val="0"/>
      <w:marRight w:val="0"/>
      <w:marTop w:val="0"/>
      <w:marBottom w:val="0"/>
      <w:divBdr>
        <w:top w:val="none" w:sz="0" w:space="0" w:color="auto"/>
        <w:left w:val="none" w:sz="0" w:space="0" w:color="auto"/>
        <w:bottom w:val="none" w:sz="0" w:space="0" w:color="auto"/>
        <w:right w:val="none" w:sz="0" w:space="0" w:color="auto"/>
      </w:divBdr>
    </w:div>
    <w:div w:id="2101247622">
      <w:bodyDiv w:val="1"/>
      <w:marLeft w:val="0"/>
      <w:marRight w:val="0"/>
      <w:marTop w:val="0"/>
      <w:marBottom w:val="0"/>
      <w:divBdr>
        <w:top w:val="none" w:sz="0" w:space="0" w:color="auto"/>
        <w:left w:val="none" w:sz="0" w:space="0" w:color="auto"/>
        <w:bottom w:val="none" w:sz="0" w:space="0" w:color="auto"/>
        <w:right w:val="none" w:sz="0" w:space="0" w:color="auto"/>
      </w:divBdr>
    </w:div>
    <w:div w:id="2101443855">
      <w:bodyDiv w:val="1"/>
      <w:marLeft w:val="0"/>
      <w:marRight w:val="0"/>
      <w:marTop w:val="0"/>
      <w:marBottom w:val="0"/>
      <w:divBdr>
        <w:top w:val="none" w:sz="0" w:space="0" w:color="auto"/>
        <w:left w:val="none" w:sz="0" w:space="0" w:color="auto"/>
        <w:bottom w:val="none" w:sz="0" w:space="0" w:color="auto"/>
        <w:right w:val="none" w:sz="0" w:space="0" w:color="auto"/>
      </w:divBdr>
    </w:div>
    <w:div w:id="2101484459">
      <w:bodyDiv w:val="1"/>
      <w:marLeft w:val="0"/>
      <w:marRight w:val="0"/>
      <w:marTop w:val="0"/>
      <w:marBottom w:val="0"/>
      <w:divBdr>
        <w:top w:val="none" w:sz="0" w:space="0" w:color="auto"/>
        <w:left w:val="none" w:sz="0" w:space="0" w:color="auto"/>
        <w:bottom w:val="none" w:sz="0" w:space="0" w:color="auto"/>
        <w:right w:val="none" w:sz="0" w:space="0" w:color="auto"/>
      </w:divBdr>
    </w:div>
    <w:div w:id="2101562266">
      <w:bodyDiv w:val="1"/>
      <w:marLeft w:val="0"/>
      <w:marRight w:val="0"/>
      <w:marTop w:val="0"/>
      <w:marBottom w:val="0"/>
      <w:divBdr>
        <w:top w:val="none" w:sz="0" w:space="0" w:color="auto"/>
        <w:left w:val="none" w:sz="0" w:space="0" w:color="auto"/>
        <w:bottom w:val="none" w:sz="0" w:space="0" w:color="auto"/>
        <w:right w:val="none" w:sz="0" w:space="0" w:color="auto"/>
      </w:divBdr>
    </w:div>
    <w:div w:id="2101677501">
      <w:bodyDiv w:val="1"/>
      <w:marLeft w:val="0"/>
      <w:marRight w:val="0"/>
      <w:marTop w:val="0"/>
      <w:marBottom w:val="0"/>
      <w:divBdr>
        <w:top w:val="none" w:sz="0" w:space="0" w:color="auto"/>
        <w:left w:val="none" w:sz="0" w:space="0" w:color="auto"/>
        <w:bottom w:val="none" w:sz="0" w:space="0" w:color="auto"/>
        <w:right w:val="none" w:sz="0" w:space="0" w:color="auto"/>
      </w:divBdr>
    </w:div>
    <w:div w:id="2101678154">
      <w:bodyDiv w:val="1"/>
      <w:marLeft w:val="0"/>
      <w:marRight w:val="0"/>
      <w:marTop w:val="0"/>
      <w:marBottom w:val="0"/>
      <w:divBdr>
        <w:top w:val="none" w:sz="0" w:space="0" w:color="auto"/>
        <w:left w:val="none" w:sz="0" w:space="0" w:color="auto"/>
        <w:bottom w:val="none" w:sz="0" w:space="0" w:color="auto"/>
        <w:right w:val="none" w:sz="0" w:space="0" w:color="auto"/>
      </w:divBdr>
    </w:div>
    <w:div w:id="2101876245">
      <w:bodyDiv w:val="1"/>
      <w:marLeft w:val="0"/>
      <w:marRight w:val="0"/>
      <w:marTop w:val="0"/>
      <w:marBottom w:val="0"/>
      <w:divBdr>
        <w:top w:val="none" w:sz="0" w:space="0" w:color="auto"/>
        <w:left w:val="none" w:sz="0" w:space="0" w:color="auto"/>
        <w:bottom w:val="none" w:sz="0" w:space="0" w:color="auto"/>
        <w:right w:val="none" w:sz="0" w:space="0" w:color="auto"/>
      </w:divBdr>
    </w:div>
    <w:div w:id="2101943953">
      <w:bodyDiv w:val="1"/>
      <w:marLeft w:val="0"/>
      <w:marRight w:val="0"/>
      <w:marTop w:val="0"/>
      <w:marBottom w:val="0"/>
      <w:divBdr>
        <w:top w:val="none" w:sz="0" w:space="0" w:color="auto"/>
        <w:left w:val="none" w:sz="0" w:space="0" w:color="auto"/>
        <w:bottom w:val="none" w:sz="0" w:space="0" w:color="auto"/>
        <w:right w:val="none" w:sz="0" w:space="0" w:color="auto"/>
      </w:divBdr>
    </w:div>
    <w:div w:id="2101943991">
      <w:bodyDiv w:val="1"/>
      <w:marLeft w:val="0"/>
      <w:marRight w:val="0"/>
      <w:marTop w:val="0"/>
      <w:marBottom w:val="0"/>
      <w:divBdr>
        <w:top w:val="none" w:sz="0" w:space="0" w:color="auto"/>
        <w:left w:val="none" w:sz="0" w:space="0" w:color="auto"/>
        <w:bottom w:val="none" w:sz="0" w:space="0" w:color="auto"/>
        <w:right w:val="none" w:sz="0" w:space="0" w:color="auto"/>
      </w:divBdr>
    </w:div>
    <w:div w:id="2101952340">
      <w:bodyDiv w:val="1"/>
      <w:marLeft w:val="0"/>
      <w:marRight w:val="0"/>
      <w:marTop w:val="0"/>
      <w:marBottom w:val="0"/>
      <w:divBdr>
        <w:top w:val="none" w:sz="0" w:space="0" w:color="auto"/>
        <w:left w:val="none" w:sz="0" w:space="0" w:color="auto"/>
        <w:bottom w:val="none" w:sz="0" w:space="0" w:color="auto"/>
        <w:right w:val="none" w:sz="0" w:space="0" w:color="auto"/>
      </w:divBdr>
    </w:div>
    <w:div w:id="2102290735">
      <w:bodyDiv w:val="1"/>
      <w:marLeft w:val="0"/>
      <w:marRight w:val="0"/>
      <w:marTop w:val="0"/>
      <w:marBottom w:val="0"/>
      <w:divBdr>
        <w:top w:val="none" w:sz="0" w:space="0" w:color="auto"/>
        <w:left w:val="none" w:sz="0" w:space="0" w:color="auto"/>
        <w:bottom w:val="none" w:sz="0" w:space="0" w:color="auto"/>
        <w:right w:val="none" w:sz="0" w:space="0" w:color="auto"/>
      </w:divBdr>
    </w:div>
    <w:div w:id="2102290875">
      <w:bodyDiv w:val="1"/>
      <w:marLeft w:val="0"/>
      <w:marRight w:val="0"/>
      <w:marTop w:val="0"/>
      <w:marBottom w:val="0"/>
      <w:divBdr>
        <w:top w:val="none" w:sz="0" w:space="0" w:color="auto"/>
        <w:left w:val="none" w:sz="0" w:space="0" w:color="auto"/>
        <w:bottom w:val="none" w:sz="0" w:space="0" w:color="auto"/>
        <w:right w:val="none" w:sz="0" w:space="0" w:color="auto"/>
      </w:divBdr>
    </w:div>
    <w:div w:id="2102332447">
      <w:bodyDiv w:val="1"/>
      <w:marLeft w:val="0"/>
      <w:marRight w:val="0"/>
      <w:marTop w:val="0"/>
      <w:marBottom w:val="0"/>
      <w:divBdr>
        <w:top w:val="none" w:sz="0" w:space="0" w:color="auto"/>
        <w:left w:val="none" w:sz="0" w:space="0" w:color="auto"/>
        <w:bottom w:val="none" w:sz="0" w:space="0" w:color="auto"/>
        <w:right w:val="none" w:sz="0" w:space="0" w:color="auto"/>
      </w:divBdr>
    </w:div>
    <w:div w:id="2102408502">
      <w:bodyDiv w:val="1"/>
      <w:marLeft w:val="0"/>
      <w:marRight w:val="0"/>
      <w:marTop w:val="0"/>
      <w:marBottom w:val="0"/>
      <w:divBdr>
        <w:top w:val="none" w:sz="0" w:space="0" w:color="auto"/>
        <w:left w:val="none" w:sz="0" w:space="0" w:color="auto"/>
        <w:bottom w:val="none" w:sz="0" w:space="0" w:color="auto"/>
        <w:right w:val="none" w:sz="0" w:space="0" w:color="auto"/>
      </w:divBdr>
    </w:div>
    <w:div w:id="2102481577">
      <w:bodyDiv w:val="1"/>
      <w:marLeft w:val="0"/>
      <w:marRight w:val="0"/>
      <w:marTop w:val="0"/>
      <w:marBottom w:val="0"/>
      <w:divBdr>
        <w:top w:val="none" w:sz="0" w:space="0" w:color="auto"/>
        <w:left w:val="none" w:sz="0" w:space="0" w:color="auto"/>
        <w:bottom w:val="none" w:sz="0" w:space="0" w:color="auto"/>
        <w:right w:val="none" w:sz="0" w:space="0" w:color="auto"/>
      </w:divBdr>
    </w:div>
    <w:div w:id="2102482670">
      <w:bodyDiv w:val="1"/>
      <w:marLeft w:val="0"/>
      <w:marRight w:val="0"/>
      <w:marTop w:val="0"/>
      <w:marBottom w:val="0"/>
      <w:divBdr>
        <w:top w:val="none" w:sz="0" w:space="0" w:color="auto"/>
        <w:left w:val="none" w:sz="0" w:space="0" w:color="auto"/>
        <w:bottom w:val="none" w:sz="0" w:space="0" w:color="auto"/>
        <w:right w:val="none" w:sz="0" w:space="0" w:color="auto"/>
      </w:divBdr>
    </w:div>
    <w:div w:id="2102484158">
      <w:bodyDiv w:val="1"/>
      <w:marLeft w:val="0"/>
      <w:marRight w:val="0"/>
      <w:marTop w:val="0"/>
      <w:marBottom w:val="0"/>
      <w:divBdr>
        <w:top w:val="none" w:sz="0" w:space="0" w:color="auto"/>
        <w:left w:val="none" w:sz="0" w:space="0" w:color="auto"/>
        <w:bottom w:val="none" w:sz="0" w:space="0" w:color="auto"/>
        <w:right w:val="none" w:sz="0" w:space="0" w:color="auto"/>
      </w:divBdr>
    </w:div>
    <w:div w:id="2102558616">
      <w:bodyDiv w:val="1"/>
      <w:marLeft w:val="0"/>
      <w:marRight w:val="0"/>
      <w:marTop w:val="0"/>
      <w:marBottom w:val="0"/>
      <w:divBdr>
        <w:top w:val="none" w:sz="0" w:space="0" w:color="auto"/>
        <w:left w:val="none" w:sz="0" w:space="0" w:color="auto"/>
        <w:bottom w:val="none" w:sz="0" w:space="0" w:color="auto"/>
        <w:right w:val="none" w:sz="0" w:space="0" w:color="auto"/>
      </w:divBdr>
    </w:div>
    <w:div w:id="2102601095">
      <w:bodyDiv w:val="1"/>
      <w:marLeft w:val="0"/>
      <w:marRight w:val="0"/>
      <w:marTop w:val="0"/>
      <w:marBottom w:val="0"/>
      <w:divBdr>
        <w:top w:val="none" w:sz="0" w:space="0" w:color="auto"/>
        <w:left w:val="none" w:sz="0" w:space="0" w:color="auto"/>
        <w:bottom w:val="none" w:sz="0" w:space="0" w:color="auto"/>
        <w:right w:val="none" w:sz="0" w:space="0" w:color="auto"/>
      </w:divBdr>
    </w:div>
    <w:div w:id="2102602217">
      <w:bodyDiv w:val="1"/>
      <w:marLeft w:val="0"/>
      <w:marRight w:val="0"/>
      <w:marTop w:val="0"/>
      <w:marBottom w:val="0"/>
      <w:divBdr>
        <w:top w:val="none" w:sz="0" w:space="0" w:color="auto"/>
        <w:left w:val="none" w:sz="0" w:space="0" w:color="auto"/>
        <w:bottom w:val="none" w:sz="0" w:space="0" w:color="auto"/>
        <w:right w:val="none" w:sz="0" w:space="0" w:color="auto"/>
      </w:divBdr>
    </w:div>
    <w:div w:id="2102603019">
      <w:bodyDiv w:val="1"/>
      <w:marLeft w:val="0"/>
      <w:marRight w:val="0"/>
      <w:marTop w:val="0"/>
      <w:marBottom w:val="0"/>
      <w:divBdr>
        <w:top w:val="none" w:sz="0" w:space="0" w:color="auto"/>
        <w:left w:val="none" w:sz="0" w:space="0" w:color="auto"/>
        <w:bottom w:val="none" w:sz="0" w:space="0" w:color="auto"/>
        <w:right w:val="none" w:sz="0" w:space="0" w:color="auto"/>
      </w:divBdr>
    </w:div>
    <w:div w:id="2102606274">
      <w:bodyDiv w:val="1"/>
      <w:marLeft w:val="0"/>
      <w:marRight w:val="0"/>
      <w:marTop w:val="0"/>
      <w:marBottom w:val="0"/>
      <w:divBdr>
        <w:top w:val="none" w:sz="0" w:space="0" w:color="auto"/>
        <w:left w:val="none" w:sz="0" w:space="0" w:color="auto"/>
        <w:bottom w:val="none" w:sz="0" w:space="0" w:color="auto"/>
        <w:right w:val="none" w:sz="0" w:space="0" w:color="auto"/>
      </w:divBdr>
    </w:div>
    <w:div w:id="2102606403">
      <w:bodyDiv w:val="1"/>
      <w:marLeft w:val="0"/>
      <w:marRight w:val="0"/>
      <w:marTop w:val="0"/>
      <w:marBottom w:val="0"/>
      <w:divBdr>
        <w:top w:val="none" w:sz="0" w:space="0" w:color="auto"/>
        <w:left w:val="none" w:sz="0" w:space="0" w:color="auto"/>
        <w:bottom w:val="none" w:sz="0" w:space="0" w:color="auto"/>
        <w:right w:val="none" w:sz="0" w:space="0" w:color="auto"/>
      </w:divBdr>
    </w:div>
    <w:div w:id="2102677392">
      <w:bodyDiv w:val="1"/>
      <w:marLeft w:val="0"/>
      <w:marRight w:val="0"/>
      <w:marTop w:val="0"/>
      <w:marBottom w:val="0"/>
      <w:divBdr>
        <w:top w:val="none" w:sz="0" w:space="0" w:color="auto"/>
        <w:left w:val="none" w:sz="0" w:space="0" w:color="auto"/>
        <w:bottom w:val="none" w:sz="0" w:space="0" w:color="auto"/>
        <w:right w:val="none" w:sz="0" w:space="0" w:color="auto"/>
      </w:divBdr>
    </w:div>
    <w:div w:id="2102678594">
      <w:bodyDiv w:val="1"/>
      <w:marLeft w:val="0"/>
      <w:marRight w:val="0"/>
      <w:marTop w:val="0"/>
      <w:marBottom w:val="0"/>
      <w:divBdr>
        <w:top w:val="none" w:sz="0" w:space="0" w:color="auto"/>
        <w:left w:val="none" w:sz="0" w:space="0" w:color="auto"/>
        <w:bottom w:val="none" w:sz="0" w:space="0" w:color="auto"/>
        <w:right w:val="none" w:sz="0" w:space="0" w:color="auto"/>
      </w:divBdr>
    </w:div>
    <w:div w:id="2102681720">
      <w:bodyDiv w:val="1"/>
      <w:marLeft w:val="0"/>
      <w:marRight w:val="0"/>
      <w:marTop w:val="0"/>
      <w:marBottom w:val="0"/>
      <w:divBdr>
        <w:top w:val="none" w:sz="0" w:space="0" w:color="auto"/>
        <w:left w:val="none" w:sz="0" w:space="0" w:color="auto"/>
        <w:bottom w:val="none" w:sz="0" w:space="0" w:color="auto"/>
        <w:right w:val="none" w:sz="0" w:space="0" w:color="auto"/>
      </w:divBdr>
    </w:div>
    <w:div w:id="2102723597">
      <w:bodyDiv w:val="1"/>
      <w:marLeft w:val="0"/>
      <w:marRight w:val="0"/>
      <w:marTop w:val="0"/>
      <w:marBottom w:val="0"/>
      <w:divBdr>
        <w:top w:val="none" w:sz="0" w:space="0" w:color="auto"/>
        <w:left w:val="none" w:sz="0" w:space="0" w:color="auto"/>
        <w:bottom w:val="none" w:sz="0" w:space="0" w:color="auto"/>
        <w:right w:val="none" w:sz="0" w:space="0" w:color="auto"/>
      </w:divBdr>
    </w:div>
    <w:div w:id="2102755113">
      <w:bodyDiv w:val="1"/>
      <w:marLeft w:val="0"/>
      <w:marRight w:val="0"/>
      <w:marTop w:val="0"/>
      <w:marBottom w:val="0"/>
      <w:divBdr>
        <w:top w:val="none" w:sz="0" w:space="0" w:color="auto"/>
        <w:left w:val="none" w:sz="0" w:space="0" w:color="auto"/>
        <w:bottom w:val="none" w:sz="0" w:space="0" w:color="auto"/>
        <w:right w:val="none" w:sz="0" w:space="0" w:color="auto"/>
      </w:divBdr>
    </w:div>
    <w:div w:id="2102988749">
      <w:bodyDiv w:val="1"/>
      <w:marLeft w:val="0"/>
      <w:marRight w:val="0"/>
      <w:marTop w:val="0"/>
      <w:marBottom w:val="0"/>
      <w:divBdr>
        <w:top w:val="none" w:sz="0" w:space="0" w:color="auto"/>
        <w:left w:val="none" w:sz="0" w:space="0" w:color="auto"/>
        <w:bottom w:val="none" w:sz="0" w:space="0" w:color="auto"/>
        <w:right w:val="none" w:sz="0" w:space="0" w:color="auto"/>
      </w:divBdr>
    </w:div>
    <w:div w:id="2103061105">
      <w:bodyDiv w:val="1"/>
      <w:marLeft w:val="0"/>
      <w:marRight w:val="0"/>
      <w:marTop w:val="0"/>
      <w:marBottom w:val="0"/>
      <w:divBdr>
        <w:top w:val="none" w:sz="0" w:space="0" w:color="auto"/>
        <w:left w:val="none" w:sz="0" w:space="0" w:color="auto"/>
        <w:bottom w:val="none" w:sz="0" w:space="0" w:color="auto"/>
        <w:right w:val="none" w:sz="0" w:space="0" w:color="auto"/>
      </w:divBdr>
    </w:div>
    <w:div w:id="2103066766">
      <w:bodyDiv w:val="1"/>
      <w:marLeft w:val="0"/>
      <w:marRight w:val="0"/>
      <w:marTop w:val="0"/>
      <w:marBottom w:val="0"/>
      <w:divBdr>
        <w:top w:val="none" w:sz="0" w:space="0" w:color="auto"/>
        <w:left w:val="none" w:sz="0" w:space="0" w:color="auto"/>
        <w:bottom w:val="none" w:sz="0" w:space="0" w:color="auto"/>
        <w:right w:val="none" w:sz="0" w:space="0" w:color="auto"/>
      </w:divBdr>
    </w:div>
    <w:div w:id="2103137296">
      <w:bodyDiv w:val="1"/>
      <w:marLeft w:val="0"/>
      <w:marRight w:val="0"/>
      <w:marTop w:val="0"/>
      <w:marBottom w:val="0"/>
      <w:divBdr>
        <w:top w:val="none" w:sz="0" w:space="0" w:color="auto"/>
        <w:left w:val="none" w:sz="0" w:space="0" w:color="auto"/>
        <w:bottom w:val="none" w:sz="0" w:space="0" w:color="auto"/>
        <w:right w:val="none" w:sz="0" w:space="0" w:color="auto"/>
      </w:divBdr>
    </w:div>
    <w:div w:id="2103257361">
      <w:bodyDiv w:val="1"/>
      <w:marLeft w:val="0"/>
      <w:marRight w:val="0"/>
      <w:marTop w:val="0"/>
      <w:marBottom w:val="0"/>
      <w:divBdr>
        <w:top w:val="none" w:sz="0" w:space="0" w:color="auto"/>
        <w:left w:val="none" w:sz="0" w:space="0" w:color="auto"/>
        <w:bottom w:val="none" w:sz="0" w:space="0" w:color="auto"/>
        <w:right w:val="none" w:sz="0" w:space="0" w:color="auto"/>
      </w:divBdr>
    </w:div>
    <w:div w:id="2103258552">
      <w:bodyDiv w:val="1"/>
      <w:marLeft w:val="0"/>
      <w:marRight w:val="0"/>
      <w:marTop w:val="0"/>
      <w:marBottom w:val="0"/>
      <w:divBdr>
        <w:top w:val="none" w:sz="0" w:space="0" w:color="auto"/>
        <w:left w:val="none" w:sz="0" w:space="0" w:color="auto"/>
        <w:bottom w:val="none" w:sz="0" w:space="0" w:color="auto"/>
        <w:right w:val="none" w:sz="0" w:space="0" w:color="auto"/>
      </w:divBdr>
    </w:div>
    <w:div w:id="2103261149">
      <w:bodyDiv w:val="1"/>
      <w:marLeft w:val="0"/>
      <w:marRight w:val="0"/>
      <w:marTop w:val="0"/>
      <w:marBottom w:val="0"/>
      <w:divBdr>
        <w:top w:val="none" w:sz="0" w:space="0" w:color="auto"/>
        <w:left w:val="none" w:sz="0" w:space="0" w:color="auto"/>
        <w:bottom w:val="none" w:sz="0" w:space="0" w:color="auto"/>
        <w:right w:val="none" w:sz="0" w:space="0" w:color="auto"/>
      </w:divBdr>
    </w:div>
    <w:div w:id="2103334338">
      <w:bodyDiv w:val="1"/>
      <w:marLeft w:val="0"/>
      <w:marRight w:val="0"/>
      <w:marTop w:val="0"/>
      <w:marBottom w:val="0"/>
      <w:divBdr>
        <w:top w:val="none" w:sz="0" w:space="0" w:color="auto"/>
        <w:left w:val="none" w:sz="0" w:space="0" w:color="auto"/>
        <w:bottom w:val="none" w:sz="0" w:space="0" w:color="auto"/>
        <w:right w:val="none" w:sz="0" w:space="0" w:color="auto"/>
      </w:divBdr>
    </w:div>
    <w:div w:id="2103454006">
      <w:bodyDiv w:val="1"/>
      <w:marLeft w:val="0"/>
      <w:marRight w:val="0"/>
      <w:marTop w:val="0"/>
      <w:marBottom w:val="0"/>
      <w:divBdr>
        <w:top w:val="none" w:sz="0" w:space="0" w:color="auto"/>
        <w:left w:val="none" w:sz="0" w:space="0" w:color="auto"/>
        <w:bottom w:val="none" w:sz="0" w:space="0" w:color="auto"/>
        <w:right w:val="none" w:sz="0" w:space="0" w:color="auto"/>
      </w:divBdr>
    </w:div>
    <w:div w:id="2103645701">
      <w:bodyDiv w:val="1"/>
      <w:marLeft w:val="0"/>
      <w:marRight w:val="0"/>
      <w:marTop w:val="0"/>
      <w:marBottom w:val="0"/>
      <w:divBdr>
        <w:top w:val="none" w:sz="0" w:space="0" w:color="auto"/>
        <w:left w:val="none" w:sz="0" w:space="0" w:color="auto"/>
        <w:bottom w:val="none" w:sz="0" w:space="0" w:color="auto"/>
        <w:right w:val="none" w:sz="0" w:space="0" w:color="auto"/>
      </w:divBdr>
    </w:div>
    <w:div w:id="2103646808">
      <w:bodyDiv w:val="1"/>
      <w:marLeft w:val="0"/>
      <w:marRight w:val="0"/>
      <w:marTop w:val="0"/>
      <w:marBottom w:val="0"/>
      <w:divBdr>
        <w:top w:val="none" w:sz="0" w:space="0" w:color="auto"/>
        <w:left w:val="none" w:sz="0" w:space="0" w:color="auto"/>
        <w:bottom w:val="none" w:sz="0" w:space="0" w:color="auto"/>
        <w:right w:val="none" w:sz="0" w:space="0" w:color="auto"/>
      </w:divBdr>
    </w:div>
    <w:div w:id="2103649612">
      <w:bodyDiv w:val="1"/>
      <w:marLeft w:val="0"/>
      <w:marRight w:val="0"/>
      <w:marTop w:val="0"/>
      <w:marBottom w:val="0"/>
      <w:divBdr>
        <w:top w:val="none" w:sz="0" w:space="0" w:color="auto"/>
        <w:left w:val="none" w:sz="0" w:space="0" w:color="auto"/>
        <w:bottom w:val="none" w:sz="0" w:space="0" w:color="auto"/>
        <w:right w:val="none" w:sz="0" w:space="0" w:color="auto"/>
      </w:divBdr>
    </w:div>
    <w:div w:id="2103719381">
      <w:bodyDiv w:val="1"/>
      <w:marLeft w:val="0"/>
      <w:marRight w:val="0"/>
      <w:marTop w:val="0"/>
      <w:marBottom w:val="0"/>
      <w:divBdr>
        <w:top w:val="none" w:sz="0" w:space="0" w:color="auto"/>
        <w:left w:val="none" w:sz="0" w:space="0" w:color="auto"/>
        <w:bottom w:val="none" w:sz="0" w:space="0" w:color="auto"/>
        <w:right w:val="none" w:sz="0" w:space="0" w:color="auto"/>
      </w:divBdr>
    </w:div>
    <w:div w:id="2103794688">
      <w:bodyDiv w:val="1"/>
      <w:marLeft w:val="0"/>
      <w:marRight w:val="0"/>
      <w:marTop w:val="0"/>
      <w:marBottom w:val="0"/>
      <w:divBdr>
        <w:top w:val="none" w:sz="0" w:space="0" w:color="auto"/>
        <w:left w:val="none" w:sz="0" w:space="0" w:color="auto"/>
        <w:bottom w:val="none" w:sz="0" w:space="0" w:color="auto"/>
        <w:right w:val="none" w:sz="0" w:space="0" w:color="auto"/>
      </w:divBdr>
    </w:div>
    <w:div w:id="2104103586">
      <w:bodyDiv w:val="1"/>
      <w:marLeft w:val="0"/>
      <w:marRight w:val="0"/>
      <w:marTop w:val="0"/>
      <w:marBottom w:val="0"/>
      <w:divBdr>
        <w:top w:val="none" w:sz="0" w:space="0" w:color="auto"/>
        <w:left w:val="none" w:sz="0" w:space="0" w:color="auto"/>
        <w:bottom w:val="none" w:sz="0" w:space="0" w:color="auto"/>
        <w:right w:val="none" w:sz="0" w:space="0" w:color="auto"/>
      </w:divBdr>
    </w:div>
    <w:div w:id="2104109955">
      <w:bodyDiv w:val="1"/>
      <w:marLeft w:val="0"/>
      <w:marRight w:val="0"/>
      <w:marTop w:val="0"/>
      <w:marBottom w:val="0"/>
      <w:divBdr>
        <w:top w:val="none" w:sz="0" w:space="0" w:color="auto"/>
        <w:left w:val="none" w:sz="0" w:space="0" w:color="auto"/>
        <w:bottom w:val="none" w:sz="0" w:space="0" w:color="auto"/>
        <w:right w:val="none" w:sz="0" w:space="0" w:color="auto"/>
      </w:divBdr>
    </w:div>
    <w:div w:id="2104258675">
      <w:bodyDiv w:val="1"/>
      <w:marLeft w:val="0"/>
      <w:marRight w:val="0"/>
      <w:marTop w:val="0"/>
      <w:marBottom w:val="0"/>
      <w:divBdr>
        <w:top w:val="none" w:sz="0" w:space="0" w:color="auto"/>
        <w:left w:val="none" w:sz="0" w:space="0" w:color="auto"/>
        <w:bottom w:val="none" w:sz="0" w:space="0" w:color="auto"/>
        <w:right w:val="none" w:sz="0" w:space="0" w:color="auto"/>
      </w:divBdr>
    </w:div>
    <w:div w:id="2104302909">
      <w:bodyDiv w:val="1"/>
      <w:marLeft w:val="0"/>
      <w:marRight w:val="0"/>
      <w:marTop w:val="0"/>
      <w:marBottom w:val="0"/>
      <w:divBdr>
        <w:top w:val="none" w:sz="0" w:space="0" w:color="auto"/>
        <w:left w:val="none" w:sz="0" w:space="0" w:color="auto"/>
        <w:bottom w:val="none" w:sz="0" w:space="0" w:color="auto"/>
        <w:right w:val="none" w:sz="0" w:space="0" w:color="auto"/>
      </w:divBdr>
    </w:div>
    <w:div w:id="2104372496">
      <w:bodyDiv w:val="1"/>
      <w:marLeft w:val="0"/>
      <w:marRight w:val="0"/>
      <w:marTop w:val="0"/>
      <w:marBottom w:val="0"/>
      <w:divBdr>
        <w:top w:val="none" w:sz="0" w:space="0" w:color="auto"/>
        <w:left w:val="none" w:sz="0" w:space="0" w:color="auto"/>
        <w:bottom w:val="none" w:sz="0" w:space="0" w:color="auto"/>
        <w:right w:val="none" w:sz="0" w:space="0" w:color="auto"/>
      </w:divBdr>
    </w:div>
    <w:div w:id="2104377462">
      <w:bodyDiv w:val="1"/>
      <w:marLeft w:val="0"/>
      <w:marRight w:val="0"/>
      <w:marTop w:val="0"/>
      <w:marBottom w:val="0"/>
      <w:divBdr>
        <w:top w:val="none" w:sz="0" w:space="0" w:color="auto"/>
        <w:left w:val="none" w:sz="0" w:space="0" w:color="auto"/>
        <w:bottom w:val="none" w:sz="0" w:space="0" w:color="auto"/>
        <w:right w:val="none" w:sz="0" w:space="0" w:color="auto"/>
      </w:divBdr>
    </w:div>
    <w:div w:id="2104379736">
      <w:bodyDiv w:val="1"/>
      <w:marLeft w:val="0"/>
      <w:marRight w:val="0"/>
      <w:marTop w:val="0"/>
      <w:marBottom w:val="0"/>
      <w:divBdr>
        <w:top w:val="none" w:sz="0" w:space="0" w:color="auto"/>
        <w:left w:val="none" w:sz="0" w:space="0" w:color="auto"/>
        <w:bottom w:val="none" w:sz="0" w:space="0" w:color="auto"/>
        <w:right w:val="none" w:sz="0" w:space="0" w:color="auto"/>
      </w:divBdr>
    </w:div>
    <w:div w:id="2104447777">
      <w:bodyDiv w:val="1"/>
      <w:marLeft w:val="0"/>
      <w:marRight w:val="0"/>
      <w:marTop w:val="0"/>
      <w:marBottom w:val="0"/>
      <w:divBdr>
        <w:top w:val="none" w:sz="0" w:space="0" w:color="auto"/>
        <w:left w:val="none" w:sz="0" w:space="0" w:color="auto"/>
        <w:bottom w:val="none" w:sz="0" w:space="0" w:color="auto"/>
        <w:right w:val="none" w:sz="0" w:space="0" w:color="auto"/>
      </w:divBdr>
    </w:div>
    <w:div w:id="2104493498">
      <w:bodyDiv w:val="1"/>
      <w:marLeft w:val="0"/>
      <w:marRight w:val="0"/>
      <w:marTop w:val="0"/>
      <w:marBottom w:val="0"/>
      <w:divBdr>
        <w:top w:val="none" w:sz="0" w:space="0" w:color="auto"/>
        <w:left w:val="none" w:sz="0" w:space="0" w:color="auto"/>
        <w:bottom w:val="none" w:sz="0" w:space="0" w:color="auto"/>
        <w:right w:val="none" w:sz="0" w:space="0" w:color="auto"/>
      </w:divBdr>
    </w:div>
    <w:div w:id="2104521685">
      <w:bodyDiv w:val="1"/>
      <w:marLeft w:val="0"/>
      <w:marRight w:val="0"/>
      <w:marTop w:val="0"/>
      <w:marBottom w:val="0"/>
      <w:divBdr>
        <w:top w:val="none" w:sz="0" w:space="0" w:color="auto"/>
        <w:left w:val="none" w:sz="0" w:space="0" w:color="auto"/>
        <w:bottom w:val="none" w:sz="0" w:space="0" w:color="auto"/>
        <w:right w:val="none" w:sz="0" w:space="0" w:color="auto"/>
      </w:divBdr>
    </w:div>
    <w:div w:id="2104641719">
      <w:bodyDiv w:val="1"/>
      <w:marLeft w:val="0"/>
      <w:marRight w:val="0"/>
      <w:marTop w:val="0"/>
      <w:marBottom w:val="0"/>
      <w:divBdr>
        <w:top w:val="none" w:sz="0" w:space="0" w:color="auto"/>
        <w:left w:val="none" w:sz="0" w:space="0" w:color="auto"/>
        <w:bottom w:val="none" w:sz="0" w:space="0" w:color="auto"/>
        <w:right w:val="none" w:sz="0" w:space="0" w:color="auto"/>
      </w:divBdr>
    </w:div>
    <w:div w:id="2104717388">
      <w:bodyDiv w:val="1"/>
      <w:marLeft w:val="0"/>
      <w:marRight w:val="0"/>
      <w:marTop w:val="0"/>
      <w:marBottom w:val="0"/>
      <w:divBdr>
        <w:top w:val="none" w:sz="0" w:space="0" w:color="auto"/>
        <w:left w:val="none" w:sz="0" w:space="0" w:color="auto"/>
        <w:bottom w:val="none" w:sz="0" w:space="0" w:color="auto"/>
        <w:right w:val="none" w:sz="0" w:space="0" w:color="auto"/>
      </w:divBdr>
    </w:div>
    <w:div w:id="2104912104">
      <w:bodyDiv w:val="1"/>
      <w:marLeft w:val="0"/>
      <w:marRight w:val="0"/>
      <w:marTop w:val="0"/>
      <w:marBottom w:val="0"/>
      <w:divBdr>
        <w:top w:val="none" w:sz="0" w:space="0" w:color="auto"/>
        <w:left w:val="none" w:sz="0" w:space="0" w:color="auto"/>
        <w:bottom w:val="none" w:sz="0" w:space="0" w:color="auto"/>
        <w:right w:val="none" w:sz="0" w:space="0" w:color="auto"/>
      </w:divBdr>
    </w:div>
    <w:div w:id="2105027586">
      <w:bodyDiv w:val="1"/>
      <w:marLeft w:val="0"/>
      <w:marRight w:val="0"/>
      <w:marTop w:val="0"/>
      <w:marBottom w:val="0"/>
      <w:divBdr>
        <w:top w:val="none" w:sz="0" w:space="0" w:color="auto"/>
        <w:left w:val="none" w:sz="0" w:space="0" w:color="auto"/>
        <w:bottom w:val="none" w:sz="0" w:space="0" w:color="auto"/>
        <w:right w:val="none" w:sz="0" w:space="0" w:color="auto"/>
      </w:divBdr>
    </w:div>
    <w:div w:id="2105035302">
      <w:bodyDiv w:val="1"/>
      <w:marLeft w:val="0"/>
      <w:marRight w:val="0"/>
      <w:marTop w:val="0"/>
      <w:marBottom w:val="0"/>
      <w:divBdr>
        <w:top w:val="none" w:sz="0" w:space="0" w:color="auto"/>
        <w:left w:val="none" w:sz="0" w:space="0" w:color="auto"/>
        <w:bottom w:val="none" w:sz="0" w:space="0" w:color="auto"/>
        <w:right w:val="none" w:sz="0" w:space="0" w:color="auto"/>
      </w:divBdr>
    </w:div>
    <w:div w:id="2105153189">
      <w:bodyDiv w:val="1"/>
      <w:marLeft w:val="0"/>
      <w:marRight w:val="0"/>
      <w:marTop w:val="0"/>
      <w:marBottom w:val="0"/>
      <w:divBdr>
        <w:top w:val="none" w:sz="0" w:space="0" w:color="auto"/>
        <w:left w:val="none" w:sz="0" w:space="0" w:color="auto"/>
        <w:bottom w:val="none" w:sz="0" w:space="0" w:color="auto"/>
        <w:right w:val="none" w:sz="0" w:space="0" w:color="auto"/>
      </w:divBdr>
    </w:div>
    <w:div w:id="2105222170">
      <w:bodyDiv w:val="1"/>
      <w:marLeft w:val="0"/>
      <w:marRight w:val="0"/>
      <w:marTop w:val="0"/>
      <w:marBottom w:val="0"/>
      <w:divBdr>
        <w:top w:val="none" w:sz="0" w:space="0" w:color="auto"/>
        <w:left w:val="none" w:sz="0" w:space="0" w:color="auto"/>
        <w:bottom w:val="none" w:sz="0" w:space="0" w:color="auto"/>
        <w:right w:val="none" w:sz="0" w:space="0" w:color="auto"/>
      </w:divBdr>
    </w:div>
    <w:div w:id="2105489871">
      <w:bodyDiv w:val="1"/>
      <w:marLeft w:val="0"/>
      <w:marRight w:val="0"/>
      <w:marTop w:val="0"/>
      <w:marBottom w:val="0"/>
      <w:divBdr>
        <w:top w:val="none" w:sz="0" w:space="0" w:color="auto"/>
        <w:left w:val="none" w:sz="0" w:space="0" w:color="auto"/>
        <w:bottom w:val="none" w:sz="0" w:space="0" w:color="auto"/>
        <w:right w:val="none" w:sz="0" w:space="0" w:color="auto"/>
      </w:divBdr>
    </w:div>
    <w:div w:id="2105567587">
      <w:bodyDiv w:val="1"/>
      <w:marLeft w:val="0"/>
      <w:marRight w:val="0"/>
      <w:marTop w:val="0"/>
      <w:marBottom w:val="0"/>
      <w:divBdr>
        <w:top w:val="none" w:sz="0" w:space="0" w:color="auto"/>
        <w:left w:val="none" w:sz="0" w:space="0" w:color="auto"/>
        <w:bottom w:val="none" w:sz="0" w:space="0" w:color="auto"/>
        <w:right w:val="none" w:sz="0" w:space="0" w:color="auto"/>
      </w:divBdr>
    </w:div>
    <w:div w:id="2105568020">
      <w:bodyDiv w:val="1"/>
      <w:marLeft w:val="0"/>
      <w:marRight w:val="0"/>
      <w:marTop w:val="0"/>
      <w:marBottom w:val="0"/>
      <w:divBdr>
        <w:top w:val="none" w:sz="0" w:space="0" w:color="auto"/>
        <w:left w:val="none" w:sz="0" w:space="0" w:color="auto"/>
        <w:bottom w:val="none" w:sz="0" w:space="0" w:color="auto"/>
        <w:right w:val="none" w:sz="0" w:space="0" w:color="auto"/>
      </w:divBdr>
    </w:div>
    <w:div w:id="2105612022">
      <w:bodyDiv w:val="1"/>
      <w:marLeft w:val="0"/>
      <w:marRight w:val="0"/>
      <w:marTop w:val="0"/>
      <w:marBottom w:val="0"/>
      <w:divBdr>
        <w:top w:val="none" w:sz="0" w:space="0" w:color="auto"/>
        <w:left w:val="none" w:sz="0" w:space="0" w:color="auto"/>
        <w:bottom w:val="none" w:sz="0" w:space="0" w:color="auto"/>
        <w:right w:val="none" w:sz="0" w:space="0" w:color="auto"/>
      </w:divBdr>
    </w:div>
    <w:div w:id="2105613469">
      <w:bodyDiv w:val="1"/>
      <w:marLeft w:val="0"/>
      <w:marRight w:val="0"/>
      <w:marTop w:val="0"/>
      <w:marBottom w:val="0"/>
      <w:divBdr>
        <w:top w:val="none" w:sz="0" w:space="0" w:color="auto"/>
        <w:left w:val="none" w:sz="0" w:space="0" w:color="auto"/>
        <w:bottom w:val="none" w:sz="0" w:space="0" w:color="auto"/>
        <w:right w:val="none" w:sz="0" w:space="0" w:color="auto"/>
      </w:divBdr>
    </w:div>
    <w:div w:id="2105685838">
      <w:bodyDiv w:val="1"/>
      <w:marLeft w:val="0"/>
      <w:marRight w:val="0"/>
      <w:marTop w:val="0"/>
      <w:marBottom w:val="0"/>
      <w:divBdr>
        <w:top w:val="none" w:sz="0" w:space="0" w:color="auto"/>
        <w:left w:val="none" w:sz="0" w:space="0" w:color="auto"/>
        <w:bottom w:val="none" w:sz="0" w:space="0" w:color="auto"/>
        <w:right w:val="none" w:sz="0" w:space="0" w:color="auto"/>
      </w:divBdr>
    </w:div>
    <w:div w:id="2105758751">
      <w:bodyDiv w:val="1"/>
      <w:marLeft w:val="0"/>
      <w:marRight w:val="0"/>
      <w:marTop w:val="0"/>
      <w:marBottom w:val="0"/>
      <w:divBdr>
        <w:top w:val="none" w:sz="0" w:space="0" w:color="auto"/>
        <w:left w:val="none" w:sz="0" w:space="0" w:color="auto"/>
        <w:bottom w:val="none" w:sz="0" w:space="0" w:color="auto"/>
        <w:right w:val="none" w:sz="0" w:space="0" w:color="auto"/>
      </w:divBdr>
    </w:div>
    <w:div w:id="2105759642">
      <w:bodyDiv w:val="1"/>
      <w:marLeft w:val="0"/>
      <w:marRight w:val="0"/>
      <w:marTop w:val="0"/>
      <w:marBottom w:val="0"/>
      <w:divBdr>
        <w:top w:val="none" w:sz="0" w:space="0" w:color="auto"/>
        <w:left w:val="none" w:sz="0" w:space="0" w:color="auto"/>
        <w:bottom w:val="none" w:sz="0" w:space="0" w:color="auto"/>
        <w:right w:val="none" w:sz="0" w:space="0" w:color="auto"/>
      </w:divBdr>
    </w:div>
    <w:div w:id="2105760938">
      <w:bodyDiv w:val="1"/>
      <w:marLeft w:val="0"/>
      <w:marRight w:val="0"/>
      <w:marTop w:val="0"/>
      <w:marBottom w:val="0"/>
      <w:divBdr>
        <w:top w:val="none" w:sz="0" w:space="0" w:color="auto"/>
        <w:left w:val="none" w:sz="0" w:space="0" w:color="auto"/>
        <w:bottom w:val="none" w:sz="0" w:space="0" w:color="auto"/>
        <w:right w:val="none" w:sz="0" w:space="0" w:color="auto"/>
      </w:divBdr>
    </w:div>
    <w:div w:id="2105832611">
      <w:bodyDiv w:val="1"/>
      <w:marLeft w:val="0"/>
      <w:marRight w:val="0"/>
      <w:marTop w:val="0"/>
      <w:marBottom w:val="0"/>
      <w:divBdr>
        <w:top w:val="none" w:sz="0" w:space="0" w:color="auto"/>
        <w:left w:val="none" w:sz="0" w:space="0" w:color="auto"/>
        <w:bottom w:val="none" w:sz="0" w:space="0" w:color="auto"/>
        <w:right w:val="none" w:sz="0" w:space="0" w:color="auto"/>
      </w:divBdr>
    </w:div>
    <w:div w:id="2105876601">
      <w:bodyDiv w:val="1"/>
      <w:marLeft w:val="0"/>
      <w:marRight w:val="0"/>
      <w:marTop w:val="0"/>
      <w:marBottom w:val="0"/>
      <w:divBdr>
        <w:top w:val="none" w:sz="0" w:space="0" w:color="auto"/>
        <w:left w:val="none" w:sz="0" w:space="0" w:color="auto"/>
        <w:bottom w:val="none" w:sz="0" w:space="0" w:color="auto"/>
        <w:right w:val="none" w:sz="0" w:space="0" w:color="auto"/>
      </w:divBdr>
    </w:div>
    <w:div w:id="2105877297">
      <w:bodyDiv w:val="1"/>
      <w:marLeft w:val="0"/>
      <w:marRight w:val="0"/>
      <w:marTop w:val="0"/>
      <w:marBottom w:val="0"/>
      <w:divBdr>
        <w:top w:val="none" w:sz="0" w:space="0" w:color="auto"/>
        <w:left w:val="none" w:sz="0" w:space="0" w:color="auto"/>
        <w:bottom w:val="none" w:sz="0" w:space="0" w:color="auto"/>
        <w:right w:val="none" w:sz="0" w:space="0" w:color="auto"/>
      </w:divBdr>
    </w:div>
    <w:div w:id="2106076837">
      <w:bodyDiv w:val="1"/>
      <w:marLeft w:val="0"/>
      <w:marRight w:val="0"/>
      <w:marTop w:val="0"/>
      <w:marBottom w:val="0"/>
      <w:divBdr>
        <w:top w:val="none" w:sz="0" w:space="0" w:color="auto"/>
        <w:left w:val="none" w:sz="0" w:space="0" w:color="auto"/>
        <w:bottom w:val="none" w:sz="0" w:space="0" w:color="auto"/>
        <w:right w:val="none" w:sz="0" w:space="0" w:color="auto"/>
      </w:divBdr>
    </w:div>
    <w:div w:id="2106147540">
      <w:bodyDiv w:val="1"/>
      <w:marLeft w:val="0"/>
      <w:marRight w:val="0"/>
      <w:marTop w:val="0"/>
      <w:marBottom w:val="0"/>
      <w:divBdr>
        <w:top w:val="none" w:sz="0" w:space="0" w:color="auto"/>
        <w:left w:val="none" w:sz="0" w:space="0" w:color="auto"/>
        <w:bottom w:val="none" w:sz="0" w:space="0" w:color="auto"/>
        <w:right w:val="none" w:sz="0" w:space="0" w:color="auto"/>
      </w:divBdr>
    </w:div>
    <w:div w:id="2106224000">
      <w:bodyDiv w:val="1"/>
      <w:marLeft w:val="0"/>
      <w:marRight w:val="0"/>
      <w:marTop w:val="0"/>
      <w:marBottom w:val="0"/>
      <w:divBdr>
        <w:top w:val="none" w:sz="0" w:space="0" w:color="auto"/>
        <w:left w:val="none" w:sz="0" w:space="0" w:color="auto"/>
        <w:bottom w:val="none" w:sz="0" w:space="0" w:color="auto"/>
        <w:right w:val="none" w:sz="0" w:space="0" w:color="auto"/>
      </w:divBdr>
    </w:div>
    <w:div w:id="2106263667">
      <w:bodyDiv w:val="1"/>
      <w:marLeft w:val="0"/>
      <w:marRight w:val="0"/>
      <w:marTop w:val="0"/>
      <w:marBottom w:val="0"/>
      <w:divBdr>
        <w:top w:val="none" w:sz="0" w:space="0" w:color="auto"/>
        <w:left w:val="none" w:sz="0" w:space="0" w:color="auto"/>
        <w:bottom w:val="none" w:sz="0" w:space="0" w:color="auto"/>
        <w:right w:val="none" w:sz="0" w:space="0" w:color="auto"/>
      </w:divBdr>
    </w:div>
    <w:div w:id="2106264736">
      <w:bodyDiv w:val="1"/>
      <w:marLeft w:val="0"/>
      <w:marRight w:val="0"/>
      <w:marTop w:val="0"/>
      <w:marBottom w:val="0"/>
      <w:divBdr>
        <w:top w:val="none" w:sz="0" w:space="0" w:color="auto"/>
        <w:left w:val="none" w:sz="0" w:space="0" w:color="auto"/>
        <w:bottom w:val="none" w:sz="0" w:space="0" w:color="auto"/>
        <w:right w:val="none" w:sz="0" w:space="0" w:color="auto"/>
      </w:divBdr>
    </w:div>
    <w:div w:id="2106337508">
      <w:bodyDiv w:val="1"/>
      <w:marLeft w:val="0"/>
      <w:marRight w:val="0"/>
      <w:marTop w:val="0"/>
      <w:marBottom w:val="0"/>
      <w:divBdr>
        <w:top w:val="none" w:sz="0" w:space="0" w:color="auto"/>
        <w:left w:val="none" w:sz="0" w:space="0" w:color="auto"/>
        <w:bottom w:val="none" w:sz="0" w:space="0" w:color="auto"/>
        <w:right w:val="none" w:sz="0" w:space="0" w:color="auto"/>
      </w:divBdr>
    </w:div>
    <w:div w:id="2106339389">
      <w:bodyDiv w:val="1"/>
      <w:marLeft w:val="0"/>
      <w:marRight w:val="0"/>
      <w:marTop w:val="0"/>
      <w:marBottom w:val="0"/>
      <w:divBdr>
        <w:top w:val="none" w:sz="0" w:space="0" w:color="auto"/>
        <w:left w:val="none" w:sz="0" w:space="0" w:color="auto"/>
        <w:bottom w:val="none" w:sz="0" w:space="0" w:color="auto"/>
        <w:right w:val="none" w:sz="0" w:space="0" w:color="auto"/>
      </w:divBdr>
    </w:div>
    <w:div w:id="2106343854">
      <w:bodyDiv w:val="1"/>
      <w:marLeft w:val="0"/>
      <w:marRight w:val="0"/>
      <w:marTop w:val="0"/>
      <w:marBottom w:val="0"/>
      <w:divBdr>
        <w:top w:val="none" w:sz="0" w:space="0" w:color="auto"/>
        <w:left w:val="none" w:sz="0" w:space="0" w:color="auto"/>
        <w:bottom w:val="none" w:sz="0" w:space="0" w:color="auto"/>
        <w:right w:val="none" w:sz="0" w:space="0" w:color="auto"/>
      </w:divBdr>
    </w:div>
    <w:div w:id="2106875677">
      <w:bodyDiv w:val="1"/>
      <w:marLeft w:val="0"/>
      <w:marRight w:val="0"/>
      <w:marTop w:val="0"/>
      <w:marBottom w:val="0"/>
      <w:divBdr>
        <w:top w:val="none" w:sz="0" w:space="0" w:color="auto"/>
        <w:left w:val="none" w:sz="0" w:space="0" w:color="auto"/>
        <w:bottom w:val="none" w:sz="0" w:space="0" w:color="auto"/>
        <w:right w:val="none" w:sz="0" w:space="0" w:color="auto"/>
      </w:divBdr>
    </w:div>
    <w:div w:id="2106878303">
      <w:bodyDiv w:val="1"/>
      <w:marLeft w:val="0"/>
      <w:marRight w:val="0"/>
      <w:marTop w:val="0"/>
      <w:marBottom w:val="0"/>
      <w:divBdr>
        <w:top w:val="none" w:sz="0" w:space="0" w:color="auto"/>
        <w:left w:val="none" w:sz="0" w:space="0" w:color="auto"/>
        <w:bottom w:val="none" w:sz="0" w:space="0" w:color="auto"/>
        <w:right w:val="none" w:sz="0" w:space="0" w:color="auto"/>
      </w:divBdr>
    </w:div>
    <w:div w:id="2106921507">
      <w:bodyDiv w:val="1"/>
      <w:marLeft w:val="0"/>
      <w:marRight w:val="0"/>
      <w:marTop w:val="0"/>
      <w:marBottom w:val="0"/>
      <w:divBdr>
        <w:top w:val="none" w:sz="0" w:space="0" w:color="auto"/>
        <w:left w:val="none" w:sz="0" w:space="0" w:color="auto"/>
        <w:bottom w:val="none" w:sz="0" w:space="0" w:color="auto"/>
        <w:right w:val="none" w:sz="0" w:space="0" w:color="auto"/>
      </w:divBdr>
    </w:div>
    <w:div w:id="2106998457">
      <w:bodyDiv w:val="1"/>
      <w:marLeft w:val="0"/>
      <w:marRight w:val="0"/>
      <w:marTop w:val="0"/>
      <w:marBottom w:val="0"/>
      <w:divBdr>
        <w:top w:val="none" w:sz="0" w:space="0" w:color="auto"/>
        <w:left w:val="none" w:sz="0" w:space="0" w:color="auto"/>
        <w:bottom w:val="none" w:sz="0" w:space="0" w:color="auto"/>
        <w:right w:val="none" w:sz="0" w:space="0" w:color="auto"/>
      </w:divBdr>
    </w:div>
    <w:div w:id="2107116305">
      <w:bodyDiv w:val="1"/>
      <w:marLeft w:val="0"/>
      <w:marRight w:val="0"/>
      <w:marTop w:val="0"/>
      <w:marBottom w:val="0"/>
      <w:divBdr>
        <w:top w:val="none" w:sz="0" w:space="0" w:color="auto"/>
        <w:left w:val="none" w:sz="0" w:space="0" w:color="auto"/>
        <w:bottom w:val="none" w:sz="0" w:space="0" w:color="auto"/>
        <w:right w:val="none" w:sz="0" w:space="0" w:color="auto"/>
      </w:divBdr>
    </w:div>
    <w:div w:id="2107117472">
      <w:bodyDiv w:val="1"/>
      <w:marLeft w:val="0"/>
      <w:marRight w:val="0"/>
      <w:marTop w:val="0"/>
      <w:marBottom w:val="0"/>
      <w:divBdr>
        <w:top w:val="none" w:sz="0" w:space="0" w:color="auto"/>
        <w:left w:val="none" w:sz="0" w:space="0" w:color="auto"/>
        <w:bottom w:val="none" w:sz="0" w:space="0" w:color="auto"/>
        <w:right w:val="none" w:sz="0" w:space="0" w:color="auto"/>
      </w:divBdr>
    </w:div>
    <w:div w:id="2107118188">
      <w:bodyDiv w:val="1"/>
      <w:marLeft w:val="0"/>
      <w:marRight w:val="0"/>
      <w:marTop w:val="0"/>
      <w:marBottom w:val="0"/>
      <w:divBdr>
        <w:top w:val="none" w:sz="0" w:space="0" w:color="auto"/>
        <w:left w:val="none" w:sz="0" w:space="0" w:color="auto"/>
        <w:bottom w:val="none" w:sz="0" w:space="0" w:color="auto"/>
        <w:right w:val="none" w:sz="0" w:space="0" w:color="auto"/>
      </w:divBdr>
    </w:div>
    <w:div w:id="2107263274">
      <w:bodyDiv w:val="1"/>
      <w:marLeft w:val="0"/>
      <w:marRight w:val="0"/>
      <w:marTop w:val="0"/>
      <w:marBottom w:val="0"/>
      <w:divBdr>
        <w:top w:val="none" w:sz="0" w:space="0" w:color="auto"/>
        <w:left w:val="none" w:sz="0" w:space="0" w:color="auto"/>
        <w:bottom w:val="none" w:sz="0" w:space="0" w:color="auto"/>
        <w:right w:val="none" w:sz="0" w:space="0" w:color="auto"/>
      </w:divBdr>
    </w:div>
    <w:div w:id="2107311442">
      <w:bodyDiv w:val="1"/>
      <w:marLeft w:val="0"/>
      <w:marRight w:val="0"/>
      <w:marTop w:val="0"/>
      <w:marBottom w:val="0"/>
      <w:divBdr>
        <w:top w:val="none" w:sz="0" w:space="0" w:color="auto"/>
        <w:left w:val="none" w:sz="0" w:space="0" w:color="auto"/>
        <w:bottom w:val="none" w:sz="0" w:space="0" w:color="auto"/>
        <w:right w:val="none" w:sz="0" w:space="0" w:color="auto"/>
      </w:divBdr>
    </w:div>
    <w:div w:id="2107534778">
      <w:bodyDiv w:val="1"/>
      <w:marLeft w:val="0"/>
      <w:marRight w:val="0"/>
      <w:marTop w:val="0"/>
      <w:marBottom w:val="0"/>
      <w:divBdr>
        <w:top w:val="none" w:sz="0" w:space="0" w:color="auto"/>
        <w:left w:val="none" w:sz="0" w:space="0" w:color="auto"/>
        <w:bottom w:val="none" w:sz="0" w:space="0" w:color="auto"/>
        <w:right w:val="none" w:sz="0" w:space="0" w:color="auto"/>
      </w:divBdr>
    </w:div>
    <w:div w:id="2107578696">
      <w:bodyDiv w:val="1"/>
      <w:marLeft w:val="0"/>
      <w:marRight w:val="0"/>
      <w:marTop w:val="0"/>
      <w:marBottom w:val="0"/>
      <w:divBdr>
        <w:top w:val="none" w:sz="0" w:space="0" w:color="auto"/>
        <w:left w:val="none" w:sz="0" w:space="0" w:color="auto"/>
        <w:bottom w:val="none" w:sz="0" w:space="0" w:color="auto"/>
        <w:right w:val="none" w:sz="0" w:space="0" w:color="auto"/>
      </w:divBdr>
    </w:div>
    <w:div w:id="2107581341">
      <w:bodyDiv w:val="1"/>
      <w:marLeft w:val="0"/>
      <w:marRight w:val="0"/>
      <w:marTop w:val="0"/>
      <w:marBottom w:val="0"/>
      <w:divBdr>
        <w:top w:val="none" w:sz="0" w:space="0" w:color="auto"/>
        <w:left w:val="none" w:sz="0" w:space="0" w:color="auto"/>
        <w:bottom w:val="none" w:sz="0" w:space="0" w:color="auto"/>
        <w:right w:val="none" w:sz="0" w:space="0" w:color="auto"/>
      </w:divBdr>
    </w:div>
    <w:div w:id="2107725527">
      <w:bodyDiv w:val="1"/>
      <w:marLeft w:val="0"/>
      <w:marRight w:val="0"/>
      <w:marTop w:val="0"/>
      <w:marBottom w:val="0"/>
      <w:divBdr>
        <w:top w:val="none" w:sz="0" w:space="0" w:color="auto"/>
        <w:left w:val="none" w:sz="0" w:space="0" w:color="auto"/>
        <w:bottom w:val="none" w:sz="0" w:space="0" w:color="auto"/>
        <w:right w:val="none" w:sz="0" w:space="0" w:color="auto"/>
      </w:divBdr>
    </w:div>
    <w:div w:id="2107731042">
      <w:bodyDiv w:val="1"/>
      <w:marLeft w:val="0"/>
      <w:marRight w:val="0"/>
      <w:marTop w:val="0"/>
      <w:marBottom w:val="0"/>
      <w:divBdr>
        <w:top w:val="none" w:sz="0" w:space="0" w:color="auto"/>
        <w:left w:val="none" w:sz="0" w:space="0" w:color="auto"/>
        <w:bottom w:val="none" w:sz="0" w:space="0" w:color="auto"/>
        <w:right w:val="none" w:sz="0" w:space="0" w:color="auto"/>
      </w:divBdr>
    </w:div>
    <w:div w:id="2107772306">
      <w:bodyDiv w:val="1"/>
      <w:marLeft w:val="0"/>
      <w:marRight w:val="0"/>
      <w:marTop w:val="0"/>
      <w:marBottom w:val="0"/>
      <w:divBdr>
        <w:top w:val="none" w:sz="0" w:space="0" w:color="auto"/>
        <w:left w:val="none" w:sz="0" w:space="0" w:color="auto"/>
        <w:bottom w:val="none" w:sz="0" w:space="0" w:color="auto"/>
        <w:right w:val="none" w:sz="0" w:space="0" w:color="auto"/>
      </w:divBdr>
    </w:div>
    <w:div w:id="2107774642">
      <w:bodyDiv w:val="1"/>
      <w:marLeft w:val="0"/>
      <w:marRight w:val="0"/>
      <w:marTop w:val="0"/>
      <w:marBottom w:val="0"/>
      <w:divBdr>
        <w:top w:val="none" w:sz="0" w:space="0" w:color="auto"/>
        <w:left w:val="none" w:sz="0" w:space="0" w:color="auto"/>
        <w:bottom w:val="none" w:sz="0" w:space="0" w:color="auto"/>
        <w:right w:val="none" w:sz="0" w:space="0" w:color="auto"/>
      </w:divBdr>
    </w:div>
    <w:div w:id="2107801308">
      <w:bodyDiv w:val="1"/>
      <w:marLeft w:val="0"/>
      <w:marRight w:val="0"/>
      <w:marTop w:val="0"/>
      <w:marBottom w:val="0"/>
      <w:divBdr>
        <w:top w:val="none" w:sz="0" w:space="0" w:color="auto"/>
        <w:left w:val="none" w:sz="0" w:space="0" w:color="auto"/>
        <w:bottom w:val="none" w:sz="0" w:space="0" w:color="auto"/>
        <w:right w:val="none" w:sz="0" w:space="0" w:color="auto"/>
      </w:divBdr>
    </w:div>
    <w:div w:id="2107919109">
      <w:bodyDiv w:val="1"/>
      <w:marLeft w:val="0"/>
      <w:marRight w:val="0"/>
      <w:marTop w:val="0"/>
      <w:marBottom w:val="0"/>
      <w:divBdr>
        <w:top w:val="none" w:sz="0" w:space="0" w:color="auto"/>
        <w:left w:val="none" w:sz="0" w:space="0" w:color="auto"/>
        <w:bottom w:val="none" w:sz="0" w:space="0" w:color="auto"/>
        <w:right w:val="none" w:sz="0" w:space="0" w:color="auto"/>
      </w:divBdr>
    </w:div>
    <w:div w:id="2108035344">
      <w:bodyDiv w:val="1"/>
      <w:marLeft w:val="0"/>
      <w:marRight w:val="0"/>
      <w:marTop w:val="0"/>
      <w:marBottom w:val="0"/>
      <w:divBdr>
        <w:top w:val="none" w:sz="0" w:space="0" w:color="auto"/>
        <w:left w:val="none" w:sz="0" w:space="0" w:color="auto"/>
        <w:bottom w:val="none" w:sz="0" w:space="0" w:color="auto"/>
        <w:right w:val="none" w:sz="0" w:space="0" w:color="auto"/>
      </w:divBdr>
    </w:div>
    <w:div w:id="2108042370">
      <w:bodyDiv w:val="1"/>
      <w:marLeft w:val="0"/>
      <w:marRight w:val="0"/>
      <w:marTop w:val="0"/>
      <w:marBottom w:val="0"/>
      <w:divBdr>
        <w:top w:val="none" w:sz="0" w:space="0" w:color="auto"/>
        <w:left w:val="none" w:sz="0" w:space="0" w:color="auto"/>
        <w:bottom w:val="none" w:sz="0" w:space="0" w:color="auto"/>
        <w:right w:val="none" w:sz="0" w:space="0" w:color="auto"/>
      </w:divBdr>
    </w:div>
    <w:div w:id="2108111245">
      <w:bodyDiv w:val="1"/>
      <w:marLeft w:val="0"/>
      <w:marRight w:val="0"/>
      <w:marTop w:val="0"/>
      <w:marBottom w:val="0"/>
      <w:divBdr>
        <w:top w:val="none" w:sz="0" w:space="0" w:color="auto"/>
        <w:left w:val="none" w:sz="0" w:space="0" w:color="auto"/>
        <w:bottom w:val="none" w:sz="0" w:space="0" w:color="auto"/>
        <w:right w:val="none" w:sz="0" w:space="0" w:color="auto"/>
      </w:divBdr>
    </w:div>
    <w:div w:id="2108111420">
      <w:bodyDiv w:val="1"/>
      <w:marLeft w:val="0"/>
      <w:marRight w:val="0"/>
      <w:marTop w:val="0"/>
      <w:marBottom w:val="0"/>
      <w:divBdr>
        <w:top w:val="none" w:sz="0" w:space="0" w:color="auto"/>
        <w:left w:val="none" w:sz="0" w:space="0" w:color="auto"/>
        <w:bottom w:val="none" w:sz="0" w:space="0" w:color="auto"/>
        <w:right w:val="none" w:sz="0" w:space="0" w:color="auto"/>
      </w:divBdr>
    </w:div>
    <w:div w:id="2108229048">
      <w:bodyDiv w:val="1"/>
      <w:marLeft w:val="0"/>
      <w:marRight w:val="0"/>
      <w:marTop w:val="0"/>
      <w:marBottom w:val="0"/>
      <w:divBdr>
        <w:top w:val="none" w:sz="0" w:space="0" w:color="auto"/>
        <w:left w:val="none" w:sz="0" w:space="0" w:color="auto"/>
        <w:bottom w:val="none" w:sz="0" w:space="0" w:color="auto"/>
        <w:right w:val="none" w:sz="0" w:space="0" w:color="auto"/>
      </w:divBdr>
    </w:div>
    <w:div w:id="2108386720">
      <w:bodyDiv w:val="1"/>
      <w:marLeft w:val="0"/>
      <w:marRight w:val="0"/>
      <w:marTop w:val="0"/>
      <w:marBottom w:val="0"/>
      <w:divBdr>
        <w:top w:val="none" w:sz="0" w:space="0" w:color="auto"/>
        <w:left w:val="none" w:sz="0" w:space="0" w:color="auto"/>
        <w:bottom w:val="none" w:sz="0" w:space="0" w:color="auto"/>
        <w:right w:val="none" w:sz="0" w:space="0" w:color="auto"/>
      </w:divBdr>
    </w:div>
    <w:div w:id="2108502479">
      <w:bodyDiv w:val="1"/>
      <w:marLeft w:val="0"/>
      <w:marRight w:val="0"/>
      <w:marTop w:val="0"/>
      <w:marBottom w:val="0"/>
      <w:divBdr>
        <w:top w:val="none" w:sz="0" w:space="0" w:color="auto"/>
        <w:left w:val="none" w:sz="0" w:space="0" w:color="auto"/>
        <w:bottom w:val="none" w:sz="0" w:space="0" w:color="auto"/>
        <w:right w:val="none" w:sz="0" w:space="0" w:color="auto"/>
      </w:divBdr>
    </w:div>
    <w:div w:id="2108573942">
      <w:bodyDiv w:val="1"/>
      <w:marLeft w:val="0"/>
      <w:marRight w:val="0"/>
      <w:marTop w:val="0"/>
      <w:marBottom w:val="0"/>
      <w:divBdr>
        <w:top w:val="none" w:sz="0" w:space="0" w:color="auto"/>
        <w:left w:val="none" w:sz="0" w:space="0" w:color="auto"/>
        <w:bottom w:val="none" w:sz="0" w:space="0" w:color="auto"/>
        <w:right w:val="none" w:sz="0" w:space="0" w:color="auto"/>
      </w:divBdr>
    </w:div>
    <w:div w:id="2108768134">
      <w:bodyDiv w:val="1"/>
      <w:marLeft w:val="0"/>
      <w:marRight w:val="0"/>
      <w:marTop w:val="0"/>
      <w:marBottom w:val="0"/>
      <w:divBdr>
        <w:top w:val="none" w:sz="0" w:space="0" w:color="auto"/>
        <w:left w:val="none" w:sz="0" w:space="0" w:color="auto"/>
        <w:bottom w:val="none" w:sz="0" w:space="0" w:color="auto"/>
        <w:right w:val="none" w:sz="0" w:space="0" w:color="auto"/>
      </w:divBdr>
    </w:div>
    <w:div w:id="2108839704">
      <w:bodyDiv w:val="1"/>
      <w:marLeft w:val="0"/>
      <w:marRight w:val="0"/>
      <w:marTop w:val="0"/>
      <w:marBottom w:val="0"/>
      <w:divBdr>
        <w:top w:val="none" w:sz="0" w:space="0" w:color="auto"/>
        <w:left w:val="none" w:sz="0" w:space="0" w:color="auto"/>
        <w:bottom w:val="none" w:sz="0" w:space="0" w:color="auto"/>
        <w:right w:val="none" w:sz="0" w:space="0" w:color="auto"/>
      </w:divBdr>
    </w:div>
    <w:div w:id="2108840364">
      <w:bodyDiv w:val="1"/>
      <w:marLeft w:val="0"/>
      <w:marRight w:val="0"/>
      <w:marTop w:val="0"/>
      <w:marBottom w:val="0"/>
      <w:divBdr>
        <w:top w:val="none" w:sz="0" w:space="0" w:color="auto"/>
        <w:left w:val="none" w:sz="0" w:space="0" w:color="auto"/>
        <w:bottom w:val="none" w:sz="0" w:space="0" w:color="auto"/>
        <w:right w:val="none" w:sz="0" w:space="0" w:color="auto"/>
      </w:divBdr>
    </w:div>
    <w:div w:id="2108844747">
      <w:bodyDiv w:val="1"/>
      <w:marLeft w:val="0"/>
      <w:marRight w:val="0"/>
      <w:marTop w:val="0"/>
      <w:marBottom w:val="0"/>
      <w:divBdr>
        <w:top w:val="none" w:sz="0" w:space="0" w:color="auto"/>
        <w:left w:val="none" w:sz="0" w:space="0" w:color="auto"/>
        <w:bottom w:val="none" w:sz="0" w:space="0" w:color="auto"/>
        <w:right w:val="none" w:sz="0" w:space="0" w:color="auto"/>
      </w:divBdr>
    </w:div>
    <w:div w:id="2108963174">
      <w:bodyDiv w:val="1"/>
      <w:marLeft w:val="0"/>
      <w:marRight w:val="0"/>
      <w:marTop w:val="0"/>
      <w:marBottom w:val="0"/>
      <w:divBdr>
        <w:top w:val="none" w:sz="0" w:space="0" w:color="auto"/>
        <w:left w:val="none" w:sz="0" w:space="0" w:color="auto"/>
        <w:bottom w:val="none" w:sz="0" w:space="0" w:color="auto"/>
        <w:right w:val="none" w:sz="0" w:space="0" w:color="auto"/>
      </w:divBdr>
    </w:div>
    <w:div w:id="2108963450">
      <w:bodyDiv w:val="1"/>
      <w:marLeft w:val="0"/>
      <w:marRight w:val="0"/>
      <w:marTop w:val="0"/>
      <w:marBottom w:val="0"/>
      <w:divBdr>
        <w:top w:val="none" w:sz="0" w:space="0" w:color="auto"/>
        <w:left w:val="none" w:sz="0" w:space="0" w:color="auto"/>
        <w:bottom w:val="none" w:sz="0" w:space="0" w:color="auto"/>
        <w:right w:val="none" w:sz="0" w:space="0" w:color="auto"/>
      </w:divBdr>
    </w:div>
    <w:div w:id="2109041852">
      <w:bodyDiv w:val="1"/>
      <w:marLeft w:val="0"/>
      <w:marRight w:val="0"/>
      <w:marTop w:val="0"/>
      <w:marBottom w:val="0"/>
      <w:divBdr>
        <w:top w:val="none" w:sz="0" w:space="0" w:color="auto"/>
        <w:left w:val="none" w:sz="0" w:space="0" w:color="auto"/>
        <w:bottom w:val="none" w:sz="0" w:space="0" w:color="auto"/>
        <w:right w:val="none" w:sz="0" w:space="0" w:color="auto"/>
      </w:divBdr>
    </w:div>
    <w:div w:id="2109160081">
      <w:bodyDiv w:val="1"/>
      <w:marLeft w:val="0"/>
      <w:marRight w:val="0"/>
      <w:marTop w:val="0"/>
      <w:marBottom w:val="0"/>
      <w:divBdr>
        <w:top w:val="none" w:sz="0" w:space="0" w:color="auto"/>
        <w:left w:val="none" w:sz="0" w:space="0" w:color="auto"/>
        <w:bottom w:val="none" w:sz="0" w:space="0" w:color="auto"/>
        <w:right w:val="none" w:sz="0" w:space="0" w:color="auto"/>
      </w:divBdr>
    </w:div>
    <w:div w:id="2109303661">
      <w:bodyDiv w:val="1"/>
      <w:marLeft w:val="0"/>
      <w:marRight w:val="0"/>
      <w:marTop w:val="0"/>
      <w:marBottom w:val="0"/>
      <w:divBdr>
        <w:top w:val="none" w:sz="0" w:space="0" w:color="auto"/>
        <w:left w:val="none" w:sz="0" w:space="0" w:color="auto"/>
        <w:bottom w:val="none" w:sz="0" w:space="0" w:color="auto"/>
        <w:right w:val="none" w:sz="0" w:space="0" w:color="auto"/>
      </w:divBdr>
    </w:div>
    <w:div w:id="2109304313">
      <w:bodyDiv w:val="1"/>
      <w:marLeft w:val="0"/>
      <w:marRight w:val="0"/>
      <w:marTop w:val="0"/>
      <w:marBottom w:val="0"/>
      <w:divBdr>
        <w:top w:val="none" w:sz="0" w:space="0" w:color="auto"/>
        <w:left w:val="none" w:sz="0" w:space="0" w:color="auto"/>
        <w:bottom w:val="none" w:sz="0" w:space="0" w:color="auto"/>
        <w:right w:val="none" w:sz="0" w:space="0" w:color="auto"/>
      </w:divBdr>
    </w:div>
    <w:div w:id="2109421087">
      <w:bodyDiv w:val="1"/>
      <w:marLeft w:val="0"/>
      <w:marRight w:val="0"/>
      <w:marTop w:val="0"/>
      <w:marBottom w:val="0"/>
      <w:divBdr>
        <w:top w:val="none" w:sz="0" w:space="0" w:color="auto"/>
        <w:left w:val="none" w:sz="0" w:space="0" w:color="auto"/>
        <w:bottom w:val="none" w:sz="0" w:space="0" w:color="auto"/>
        <w:right w:val="none" w:sz="0" w:space="0" w:color="auto"/>
      </w:divBdr>
    </w:div>
    <w:div w:id="2109498489">
      <w:bodyDiv w:val="1"/>
      <w:marLeft w:val="0"/>
      <w:marRight w:val="0"/>
      <w:marTop w:val="0"/>
      <w:marBottom w:val="0"/>
      <w:divBdr>
        <w:top w:val="none" w:sz="0" w:space="0" w:color="auto"/>
        <w:left w:val="none" w:sz="0" w:space="0" w:color="auto"/>
        <w:bottom w:val="none" w:sz="0" w:space="0" w:color="auto"/>
        <w:right w:val="none" w:sz="0" w:space="0" w:color="auto"/>
      </w:divBdr>
    </w:div>
    <w:div w:id="2109570644">
      <w:bodyDiv w:val="1"/>
      <w:marLeft w:val="0"/>
      <w:marRight w:val="0"/>
      <w:marTop w:val="0"/>
      <w:marBottom w:val="0"/>
      <w:divBdr>
        <w:top w:val="none" w:sz="0" w:space="0" w:color="auto"/>
        <w:left w:val="none" w:sz="0" w:space="0" w:color="auto"/>
        <w:bottom w:val="none" w:sz="0" w:space="0" w:color="auto"/>
        <w:right w:val="none" w:sz="0" w:space="0" w:color="auto"/>
      </w:divBdr>
    </w:div>
    <w:div w:id="2109613588">
      <w:bodyDiv w:val="1"/>
      <w:marLeft w:val="0"/>
      <w:marRight w:val="0"/>
      <w:marTop w:val="0"/>
      <w:marBottom w:val="0"/>
      <w:divBdr>
        <w:top w:val="none" w:sz="0" w:space="0" w:color="auto"/>
        <w:left w:val="none" w:sz="0" w:space="0" w:color="auto"/>
        <w:bottom w:val="none" w:sz="0" w:space="0" w:color="auto"/>
        <w:right w:val="none" w:sz="0" w:space="0" w:color="auto"/>
      </w:divBdr>
    </w:div>
    <w:div w:id="2109739992">
      <w:bodyDiv w:val="1"/>
      <w:marLeft w:val="0"/>
      <w:marRight w:val="0"/>
      <w:marTop w:val="0"/>
      <w:marBottom w:val="0"/>
      <w:divBdr>
        <w:top w:val="none" w:sz="0" w:space="0" w:color="auto"/>
        <w:left w:val="none" w:sz="0" w:space="0" w:color="auto"/>
        <w:bottom w:val="none" w:sz="0" w:space="0" w:color="auto"/>
        <w:right w:val="none" w:sz="0" w:space="0" w:color="auto"/>
      </w:divBdr>
    </w:div>
    <w:div w:id="2109763877">
      <w:bodyDiv w:val="1"/>
      <w:marLeft w:val="0"/>
      <w:marRight w:val="0"/>
      <w:marTop w:val="0"/>
      <w:marBottom w:val="0"/>
      <w:divBdr>
        <w:top w:val="none" w:sz="0" w:space="0" w:color="auto"/>
        <w:left w:val="none" w:sz="0" w:space="0" w:color="auto"/>
        <w:bottom w:val="none" w:sz="0" w:space="0" w:color="auto"/>
        <w:right w:val="none" w:sz="0" w:space="0" w:color="auto"/>
      </w:divBdr>
    </w:div>
    <w:div w:id="2109767251">
      <w:bodyDiv w:val="1"/>
      <w:marLeft w:val="0"/>
      <w:marRight w:val="0"/>
      <w:marTop w:val="0"/>
      <w:marBottom w:val="0"/>
      <w:divBdr>
        <w:top w:val="none" w:sz="0" w:space="0" w:color="auto"/>
        <w:left w:val="none" w:sz="0" w:space="0" w:color="auto"/>
        <w:bottom w:val="none" w:sz="0" w:space="0" w:color="auto"/>
        <w:right w:val="none" w:sz="0" w:space="0" w:color="auto"/>
      </w:divBdr>
    </w:div>
    <w:div w:id="2109811851">
      <w:bodyDiv w:val="1"/>
      <w:marLeft w:val="0"/>
      <w:marRight w:val="0"/>
      <w:marTop w:val="0"/>
      <w:marBottom w:val="0"/>
      <w:divBdr>
        <w:top w:val="none" w:sz="0" w:space="0" w:color="auto"/>
        <w:left w:val="none" w:sz="0" w:space="0" w:color="auto"/>
        <w:bottom w:val="none" w:sz="0" w:space="0" w:color="auto"/>
        <w:right w:val="none" w:sz="0" w:space="0" w:color="auto"/>
      </w:divBdr>
    </w:div>
    <w:div w:id="2109813788">
      <w:bodyDiv w:val="1"/>
      <w:marLeft w:val="0"/>
      <w:marRight w:val="0"/>
      <w:marTop w:val="0"/>
      <w:marBottom w:val="0"/>
      <w:divBdr>
        <w:top w:val="none" w:sz="0" w:space="0" w:color="auto"/>
        <w:left w:val="none" w:sz="0" w:space="0" w:color="auto"/>
        <w:bottom w:val="none" w:sz="0" w:space="0" w:color="auto"/>
        <w:right w:val="none" w:sz="0" w:space="0" w:color="auto"/>
      </w:divBdr>
    </w:div>
    <w:div w:id="2110005032">
      <w:bodyDiv w:val="1"/>
      <w:marLeft w:val="0"/>
      <w:marRight w:val="0"/>
      <w:marTop w:val="0"/>
      <w:marBottom w:val="0"/>
      <w:divBdr>
        <w:top w:val="none" w:sz="0" w:space="0" w:color="auto"/>
        <w:left w:val="none" w:sz="0" w:space="0" w:color="auto"/>
        <w:bottom w:val="none" w:sz="0" w:space="0" w:color="auto"/>
        <w:right w:val="none" w:sz="0" w:space="0" w:color="auto"/>
      </w:divBdr>
    </w:div>
    <w:div w:id="2110159339">
      <w:bodyDiv w:val="1"/>
      <w:marLeft w:val="0"/>
      <w:marRight w:val="0"/>
      <w:marTop w:val="0"/>
      <w:marBottom w:val="0"/>
      <w:divBdr>
        <w:top w:val="none" w:sz="0" w:space="0" w:color="auto"/>
        <w:left w:val="none" w:sz="0" w:space="0" w:color="auto"/>
        <w:bottom w:val="none" w:sz="0" w:space="0" w:color="auto"/>
        <w:right w:val="none" w:sz="0" w:space="0" w:color="auto"/>
      </w:divBdr>
    </w:div>
    <w:div w:id="2110346279">
      <w:bodyDiv w:val="1"/>
      <w:marLeft w:val="0"/>
      <w:marRight w:val="0"/>
      <w:marTop w:val="0"/>
      <w:marBottom w:val="0"/>
      <w:divBdr>
        <w:top w:val="none" w:sz="0" w:space="0" w:color="auto"/>
        <w:left w:val="none" w:sz="0" w:space="0" w:color="auto"/>
        <w:bottom w:val="none" w:sz="0" w:space="0" w:color="auto"/>
        <w:right w:val="none" w:sz="0" w:space="0" w:color="auto"/>
      </w:divBdr>
    </w:div>
    <w:div w:id="2110353089">
      <w:bodyDiv w:val="1"/>
      <w:marLeft w:val="0"/>
      <w:marRight w:val="0"/>
      <w:marTop w:val="0"/>
      <w:marBottom w:val="0"/>
      <w:divBdr>
        <w:top w:val="none" w:sz="0" w:space="0" w:color="auto"/>
        <w:left w:val="none" w:sz="0" w:space="0" w:color="auto"/>
        <w:bottom w:val="none" w:sz="0" w:space="0" w:color="auto"/>
        <w:right w:val="none" w:sz="0" w:space="0" w:color="auto"/>
      </w:divBdr>
    </w:div>
    <w:div w:id="2110543168">
      <w:bodyDiv w:val="1"/>
      <w:marLeft w:val="0"/>
      <w:marRight w:val="0"/>
      <w:marTop w:val="0"/>
      <w:marBottom w:val="0"/>
      <w:divBdr>
        <w:top w:val="none" w:sz="0" w:space="0" w:color="auto"/>
        <w:left w:val="none" w:sz="0" w:space="0" w:color="auto"/>
        <w:bottom w:val="none" w:sz="0" w:space="0" w:color="auto"/>
        <w:right w:val="none" w:sz="0" w:space="0" w:color="auto"/>
      </w:divBdr>
    </w:div>
    <w:div w:id="2110586967">
      <w:bodyDiv w:val="1"/>
      <w:marLeft w:val="0"/>
      <w:marRight w:val="0"/>
      <w:marTop w:val="0"/>
      <w:marBottom w:val="0"/>
      <w:divBdr>
        <w:top w:val="none" w:sz="0" w:space="0" w:color="auto"/>
        <w:left w:val="none" w:sz="0" w:space="0" w:color="auto"/>
        <w:bottom w:val="none" w:sz="0" w:space="0" w:color="auto"/>
        <w:right w:val="none" w:sz="0" w:space="0" w:color="auto"/>
      </w:divBdr>
    </w:div>
    <w:div w:id="2110663718">
      <w:bodyDiv w:val="1"/>
      <w:marLeft w:val="0"/>
      <w:marRight w:val="0"/>
      <w:marTop w:val="0"/>
      <w:marBottom w:val="0"/>
      <w:divBdr>
        <w:top w:val="none" w:sz="0" w:space="0" w:color="auto"/>
        <w:left w:val="none" w:sz="0" w:space="0" w:color="auto"/>
        <w:bottom w:val="none" w:sz="0" w:space="0" w:color="auto"/>
        <w:right w:val="none" w:sz="0" w:space="0" w:color="auto"/>
      </w:divBdr>
    </w:div>
    <w:div w:id="2110734463">
      <w:bodyDiv w:val="1"/>
      <w:marLeft w:val="0"/>
      <w:marRight w:val="0"/>
      <w:marTop w:val="0"/>
      <w:marBottom w:val="0"/>
      <w:divBdr>
        <w:top w:val="none" w:sz="0" w:space="0" w:color="auto"/>
        <w:left w:val="none" w:sz="0" w:space="0" w:color="auto"/>
        <w:bottom w:val="none" w:sz="0" w:space="0" w:color="auto"/>
        <w:right w:val="none" w:sz="0" w:space="0" w:color="auto"/>
      </w:divBdr>
    </w:div>
    <w:div w:id="2110807340">
      <w:bodyDiv w:val="1"/>
      <w:marLeft w:val="0"/>
      <w:marRight w:val="0"/>
      <w:marTop w:val="0"/>
      <w:marBottom w:val="0"/>
      <w:divBdr>
        <w:top w:val="none" w:sz="0" w:space="0" w:color="auto"/>
        <w:left w:val="none" w:sz="0" w:space="0" w:color="auto"/>
        <w:bottom w:val="none" w:sz="0" w:space="0" w:color="auto"/>
        <w:right w:val="none" w:sz="0" w:space="0" w:color="auto"/>
      </w:divBdr>
    </w:div>
    <w:div w:id="2111006127">
      <w:bodyDiv w:val="1"/>
      <w:marLeft w:val="0"/>
      <w:marRight w:val="0"/>
      <w:marTop w:val="0"/>
      <w:marBottom w:val="0"/>
      <w:divBdr>
        <w:top w:val="none" w:sz="0" w:space="0" w:color="auto"/>
        <w:left w:val="none" w:sz="0" w:space="0" w:color="auto"/>
        <w:bottom w:val="none" w:sz="0" w:space="0" w:color="auto"/>
        <w:right w:val="none" w:sz="0" w:space="0" w:color="auto"/>
      </w:divBdr>
    </w:div>
    <w:div w:id="2111193094">
      <w:bodyDiv w:val="1"/>
      <w:marLeft w:val="0"/>
      <w:marRight w:val="0"/>
      <w:marTop w:val="0"/>
      <w:marBottom w:val="0"/>
      <w:divBdr>
        <w:top w:val="none" w:sz="0" w:space="0" w:color="auto"/>
        <w:left w:val="none" w:sz="0" w:space="0" w:color="auto"/>
        <w:bottom w:val="none" w:sz="0" w:space="0" w:color="auto"/>
        <w:right w:val="none" w:sz="0" w:space="0" w:color="auto"/>
      </w:divBdr>
    </w:div>
    <w:div w:id="2111194882">
      <w:bodyDiv w:val="1"/>
      <w:marLeft w:val="0"/>
      <w:marRight w:val="0"/>
      <w:marTop w:val="0"/>
      <w:marBottom w:val="0"/>
      <w:divBdr>
        <w:top w:val="none" w:sz="0" w:space="0" w:color="auto"/>
        <w:left w:val="none" w:sz="0" w:space="0" w:color="auto"/>
        <w:bottom w:val="none" w:sz="0" w:space="0" w:color="auto"/>
        <w:right w:val="none" w:sz="0" w:space="0" w:color="auto"/>
      </w:divBdr>
    </w:div>
    <w:div w:id="2111242586">
      <w:bodyDiv w:val="1"/>
      <w:marLeft w:val="0"/>
      <w:marRight w:val="0"/>
      <w:marTop w:val="0"/>
      <w:marBottom w:val="0"/>
      <w:divBdr>
        <w:top w:val="none" w:sz="0" w:space="0" w:color="auto"/>
        <w:left w:val="none" w:sz="0" w:space="0" w:color="auto"/>
        <w:bottom w:val="none" w:sz="0" w:space="0" w:color="auto"/>
        <w:right w:val="none" w:sz="0" w:space="0" w:color="auto"/>
      </w:divBdr>
    </w:div>
    <w:div w:id="2111270866">
      <w:bodyDiv w:val="1"/>
      <w:marLeft w:val="0"/>
      <w:marRight w:val="0"/>
      <w:marTop w:val="0"/>
      <w:marBottom w:val="0"/>
      <w:divBdr>
        <w:top w:val="none" w:sz="0" w:space="0" w:color="auto"/>
        <w:left w:val="none" w:sz="0" w:space="0" w:color="auto"/>
        <w:bottom w:val="none" w:sz="0" w:space="0" w:color="auto"/>
        <w:right w:val="none" w:sz="0" w:space="0" w:color="auto"/>
      </w:divBdr>
    </w:div>
    <w:div w:id="2111317064">
      <w:bodyDiv w:val="1"/>
      <w:marLeft w:val="0"/>
      <w:marRight w:val="0"/>
      <w:marTop w:val="0"/>
      <w:marBottom w:val="0"/>
      <w:divBdr>
        <w:top w:val="none" w:sz="0" w:space="0" w:color="auto"/>
        <w:left w:val="none" w:sz="0" w:space="0" w:color="auto"/>
        <w:bottom w:val="none" w:sz="0" w:space="0" w:color="auto"/>
        <w:right w:val="none" w:sz="0" w:space="0" w:color="auto"/>
      </w:divBdr>
    </w:div>
    <w:div w:id="2111318913">
      <w:bodyDiv w:val="1"/>
      <w:marLeft w:val="0"/>
      <w:marRight w:val="0"/>
      <w:marTop w:val="0"/>
      <w:marBottom w:val="0"/>
      <w:divBdr>
        <w:top w:val="none" w:sz="0" w:space="0" w:color="auto"/>
        <w:left w:val="none" w:sz="0" w:space="0" w:color="auto"/>
        <w:bottom w:val="none" w:sz="0" w:space="0" w:color="auto"/>
        <w:right w:val="none" w:sz="0" w:space="0" w:color="auto"/>
      </w:divBdr>
    </w:div>
    <w:div w:id="2111388517">
      <w:bodyDiv w:val="1"/>
      <w:marLeft w:val="0"/>
      <w:marRight w:val="0"/>
      <w:marTop w:val="0"/>
      <w:marBottom w:val="0"/>
      <w:divBdr>
        <w:top w:val="none" w:sz="0" w:space="0" w:color="auto"/>
        <w:left w:val="none" w:sz="0" w:space="0" w:color="auto"/>
        <w:bottom w:val="none" w:sz="0" w:space="0" w:color="auto"/>
        <w:right w:val="none" w:sz="0" w:space="0" w:color="auto"/>
      </w:divBdr>
    </w:div>
    <w:div w:id="2111898525">
      <w:bodyDiv w:val="1"/>
      <w:marLeft w:val="0"/>
      <w:marRight w:val="0"/>
      <w:marTop w:val="0"/>
      <w:marBottom w:val="0"/>
      <w:divBdr>
        <w:top w:val="none" w:sz="0" w:space="0" w:color="auto"/>
        <w:left w:val="none" w:sz="0" w:space="0" w:color="auto"/>
        <w:bottom w:val="none" w:sz="0" w:space="0" w:color="auto"/>
        <w:right w:val="none" w:sz="0" w:space="0" w:color="auto"/>
      </w:divBdr>
    </w:div>
    <w:div w:id="2111898555">
      <w:bodyDiv w:val="1"/>
      <w:marLeft w:val="0"/>
      <w:marRight w:val="0"/>
      <w:marTop w:val="0"/>
      <w:marBottom w:val="0"/>
      <w:divBdr>
        <w:top w:val="none" w:sz="0" w:space="0" w:color="auto"/>
        <w:left w:val="none" w:sz="0" w:space="0" w:color="auto"/>
        <w:bottom w:val="none" w:sz="0" w:space="0" w:color="auto"/>
        <w:right w:val="none" w:sz="0" w:space="0" w:color="auto"/>
      </w:divBdr>
    </w:div>
    <w:div w:id="2112043527">
      <w:bodyDiv w:val="1"/>
      <w:marLeft w:val="0"/>
      <w:marRight w:val="0"/>
      <w:marTop w:val="0"/>
      <w:marBottom w:val="0"/>
      <w:divBdr>
        <w:top w:val="none" w:sz="0" w:space="0" w:color="auto"/>
        <w:left w:val="none" w:sz="0" w:space="0" w:color="auto"/>
        <w:bottom w:val="none" w:sz="0" w:space="0" w:color="auto"/>
        <w:right w:val="none" w:sz="0" w:space="0" w:color="auto"/>
      </w:divBdr>
    </w:div>
    <w:div w:id="2112165671">
      <w:bodyDiv w:val="1"/>
      <w:marLeft w:val="0"/>
      <w:marRight w:val="0"/>
      <w:marTop w:val="0"/>
      <w:marBottom w:val="0"/>
      <w:divBdr>
        <w:top w:val="none" w:sz="0" w:space="0" w:color="auto"/>
        <w:left w:val="none" w:sz="0" w:space="0" w:color="auto"/>
        <w:bottom w:val="none" w:sz="0" w:space="0" w:color="auto"/>
        <w:right w:val="none" w:sz="0" w:space="0" w:color="auto"/>
      </w:divBdr>
    </w:div>
    <w:div w:id="2112243231">
      <w:bodyDiv w:val="1"/>
      <w:marLeft w:val="0"/>
      <w:marRight w:val="0"/>
      <w:marTop w:val="0"/>
      <w:marBottom w:val="0"/>
      <w:divBdr>
        <w:top w:val="none" w:sz="0" w:space="0" w:color="auto"/>
        <w:left w:val="none" w:sz="0" w:space="0" w:color="auto"/>
        <w:bottom w:val="none" w:sz="0" w:space="0" w:color="auto"/>
        <w:right w:val="none" w:sz="0" w:space="0" w:color="auto"/>
      </w:divBdr>
    </w:div>
    <w:div w:id="2112311726">
      <w:bodyDiv w:val="1"/>
      <w:marLeft w:val="0"/>
      <w:marRight w:val="0"/>
      <w:marTop w:val="0"/>
      <w:marBottom w:val="0"/>
      <w:divBdr>
        <w:top w:val="none" w:sz="0" w:space="0" w:color="auto"/>
        <w:left w:val="none" w:sz="0" w:space="0" w:color="auto"/>
        <w:bottom w:val="none" w:sz="0" w:space="0" w:color="auto"/>
        <w:right w:val="none" w:sz="0" w:space="0" w:color="auto"/>
      </w:divBdr>
    </w:div>
    <w:div w:id="2112429443">
      <w:bodyDiv w:val="1"/>
      <w:marLeft w:val="0"/>
      <w:marRight w:val="0"/>
      <w:marTop w:val="0"/>
      <w:marBottom w:val="0"/>
      <w:divBdr>
        <w:top w:val="none" w:sz="0" w:space="0" w:color="auto"/>
        <w:left w:val="none" w:sz="0" w:space="0" w:color="auto"/>
        <w:bottom w:val="none" w:sz="0" w:space="0" w:color="auto"/>
        <w:right w:val="none" w:sz="0" w:space="0" w:color="auto"/>
      </w:divBdr>
    </w:div>
    <w:div w:id="2112510975">
      <w:bodyDiv w:val="1"/>
      <w:marLeft w:val="0"/>
      <w:marRight w:val="0"/>
      <w:marTop w:val="0"/>
      <w:marBottom w:val="0"/>
      <w:divBdr>
        <w:top w:val="none" w:sz="0" w:space="0" w:color="auto"/>
        <w:left w:val="none" w:sz="0" w:space="0" w:color="auto"/>
        <w:bottom w:val="none" w:sz="0" w:space="0" w:color="auto"/>
        <w:right w:val="none" w:sz="0" w:space="0" w:color="auto"/>
      </w:divBdr>
    </w:div>
    <w:div w:id="2112627481">
      <w:bodyDiv w:val="1"/>
      <w:marLeft w:val="0"/>
      <w:marRight w:val="0"/>
      <w:marTop w:val="0"/>
      <w:marBottom w:val="0"/>
      <w:divBdr>
        <w:top w:val="none" w:sz="0" w:space="0" w:color="auto"/>
        <w:left w:val="none" w:sz="0" w:space="0" w:color="auto"/>
        <w:bottom w:val="none" w:sz="0" w:space="0" w:color="auto"/>
        <w:right w:val="none" w:sz="0" w:space="0" w:color="auto"/>
      </w:divBdr>
    </w:div>
    <w:div w:id="2112628747">
      <w:bodyDiv w:val="1"/>
      <w:marLeft w:val="0"/>
      <w:marRight w:val="0"/>
      <w:marTop w:val="0"/>
      <w:marBottom w:val="0"/>
      <w:divBdr>
        <w:top w:val="none" w:sz="0" w:space="0" w:color="auto"/>
        <w:left w:val="none" w:sz="0" w:space="0" w:color="auto"/>
        <w:bottom w:val="none" w:sz="0" w:space="0" w:color="auto"/>
        <w:right w:val="none" w:sz="0" w:space="0" w:color="auto"/>
      </w:divBdr>
    </w:div>
    <w:div w:id="2112820916">
      <w:bodyDiv w:val="1"/>
      <w:marLeft w:val="0"/>
      <w:marRight w:val="0"/>
      <w:marTop w:val="0"/>
      <w:marBottom w:val="0"/>
      <w:divBdr>
        <w:top w:val="none" w:sz="0" w:space="0" w:color="auto"/>
        <w:left w:val="none" w:sz="0" w:space="0" w:color="auto"/>
        <w:bottom w:val="none" w:sz="0" w:space="0" w:color="auto"/>
        <w:right w:val="none" w:sz="0" w:space="0" w:color="auto"/>
      </w:divBdr>
    </w:div>
    <w:div w:id="211296766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159049">
      <w:bodyDiv w:val="1"/>
      <w:marLeft w:val="0"/>
      <w:marRight w:val="0"/>
      <w:marTop w:val="0"/>
      <w:marBottom w:val="0"/>
      <w:divBdr>
        <w:top w:val="none" w:sz="0" w:space="0" w:color="auto"/>
        <w:left w:val="none" w:sz="0" w:space="0" w:color="auto"/>
        <w:bottom w:val="none" w:sz="0" w:space="0" w:color="auto"/>
        <w:right w:val="none" w:sz="0" w:space="0" w:color="auto"/>
      </w:divBdr>
    </w:div>
    <w:div w:id="2113163792">
      <w:bodyDiv w:val="1"/>
      <w:marLeft w:val="0"/>
      <w:marRight w:val="0"/>
      <w:marTop w:val="0"/>
      <w:marBottom w:val="0"/>
      <w:divBdr>
        <w:top w:val="none" w:sz="0" w:space="0" w:color="auto"/>
        <w:left w:val="none" w:sz="0" w:space="0" w:color="auto"/>
        <w:bottom w:val="none" w:sz="0" w:space="0" w:color="auto"/>
        <w:right w:val="none" w:sz="0" w:space="0" w:color="auto"/>
      </w:divBdr>
    </w:div>
    <w:div w:id="2113208911">
      <w:bodyDiv w:val="1"/>
      <w:marLeft w:val="0"/>
      <w:marRight w:val="0"/>
      <w:marTop w:val="0"/>
      <w:marBottom w:val="0"/>
      <w:divBdr>
        <w:top w:val="none" w:sz="0" w:space="0" w:color="auto"/>
        <w:left w:val="none" w:sz="0" w:space="0" w:color="auto"/>
        <w:bottom w:val="none" w:sz="0" w:space="0" w:color="auto"/>
        <w:right w:val="none" w:sz="0" w:space="0" w:color="auto"/>
      </w:divBdr>
    </w:div>
    <w:div w:id="2113238856">
      <w:bodyDiv w:val="1"/>
      <w:marLeft w:val="0"/>
      <w:marRight w:val="0"/>
      <w:marTop w:val="0"/>
      <w:marBottom w:val="0"/>
      <w:divBdr>
        <w:top w:val="none" w:sz="0" w:space="0" w:color="auto"/>
        <w:left w:val="none" w:sz="0" w:space="0" w:color="auto"/>
        <w:bottom w:val="none" w:sz="0" w:space="0" w:color="auto"/>
        <w:right w:val="none" w:sz="0" w:space="0" w:color="auto"/>
      </w:divBdr>
    </w:div>
    <w:div w:id="2113280467">
      <w:bodyDiv w:val="1"/>
      <w:marLeft w:val="0"/>
      <w:marRight w:val="0"/>
      <w:marTop w:val="0"/>
      <w:marBottom w:val="0"/>
      <w:divBdr>
        <w:top w:val="none" w:sz="0" w:space="0" w:color="auto"/>
        <w:left w:val="none" w:sz="0" w:space="0" w:color="auto"/>
        <w:bottom w:val="none" w:sz="0" w:space="0" w:color="auto"/>
        <w:right w:val="none" w:sz="0" w:space="0" w:color="auto"/>
      </w:divBdr>
    </w:div>
    <w:div w:id="2113356004">
      <w:bodyDiv w:val="1"/>
      <w:marLeft w:val="0"/>
      <w:marRight w:val="0"/>
      <w:marTop w:val="0"/>
      <w:marBottom w:val="0"/>
      <w:divBdr>
        <w:top w:val="none" w:sz="0" w:space="0" w:color="auto"/>
        <w:left w:val="none" w:sz="0" w:space="0" w:color="auto"/>
        <w:bottom w:val="none" w:sz="0" w:space="0" w:color="auto"/>
        <w:right w:val="none" w:sz="0" w:space="0" w:color="auto"/>
      </w:divBdr>
    </w:div>
    <w:div w:id="2113356542">
      <w:bodyDiv w:val="1"/>
      <w:marLeft w:val="0"/>
      <w:marRight w:val="0"/>
      <w:marTop w:val="0"/>
      <w:marBottom w:val="0"/>
      <w:divBdr>
        <w:top w:val="none" w:sz="0" w:space="0" w:color="auto"/>
        <w:left w:val="none" w:sz="0" w:space="0" w:color="auto"/>
        <w:bottom w:val="none" w:sz="0" w:space="0" w:color="auto"/>
        <w:right w:val="none" w:sz="0" w:space="0" w:color="auto"/>
      </w:divBdr>
    </w:div>
    <w:div w:id="2113545375">
      <w:bodyDiv w:val="1"/>
      <w:marLeft w:val="0"/>
      <w:marRight w:val="0"/>
      <w:marTop w:val="0"/>
      <w:marBottom w:val="0"/>
      <w:divBdr>
        <w:top w:val="none" w:sz="0" w:space="0" w:color="auto"/>
        <w:left w:val="none" w:sz="0" w:space="0" w:color="auto"/>
        <w:bottom w:val="none" w:sz="0" w:space="0" w:color="auto"/>
        <w:right w:val="none" w:sz="0" w:space="0" w:color="auto"/>
      </w:divBdr>
    </w:div>
    <w:div w:id="2113623057">
      <w:bodyDiv w:val="1"/>
      <w:marLeft w:val="0"/>
      <w:marRight w:val="0"/>
      <w:marTop w:val="0"/>
      <w:marBottom w:val="0"/>
      <w:divBdr>
        <w:top w:val="none" w:sz="0" w:space="0" w:color="auto"/>
        <w:left w:val="none" w:sz="0" w:space="0" w:color="auto"/>
        <w:bottom w:val="none" w:sz="0" w:space="0" w:color="auto"/>
        <w:right w:val="none" w:sz="0" w:space="0" w:color="auto"/>
      </w:divBdr>
    </w:div>
    <w:div w:id="2113815329">
      <w:bodyDiv w:val="1"/>
      <w:marLeft w:val="0"/>
      <w:marRight w:val="0"/>
      <w:marTop w:val="0"/>
      <w:marBottom w:val="0"/>
      <w:divBdr>
        <w:top w:val="none" w:sz="0" w:space="0" w:color="auto"/>
        <w:left w:val="none" w:sz="0" w:space="0" w:color="auto"/>
        <w:bottom w:val="none" w:sz="0" w:space="0" w:color="auto"/>
        <w:right w:val="none" w:sz="0" w:space="0" w:color="auto"/>
      </w:divBdr>
    </w:div>
    <w:div w:id="2113892849">
      <w:bodyDiv w:val="1"/>
      <w:marLeft w:val="0"/>
      <w:marRight w:val="0"/>
      <w:marTop w:val="0"/>
      <w:marBottom w:val="0"/>
      <w:divBdr>
        <w:top w:val="none" w:sz="0" w:space="0" w:color="auto"/>
        <w:left w:val="none" w:sz="0" w:space="0" w:color="auto"/>
        <w:bottom w:val="none" w:sz="0" w:space="0" w:color="auto"/>
        <w:right w:val="none" w:sz="0" w:space="0" w:color="auto"/>
      </w:divBdr>
    </w:div>
    <w:div w:id="2114014461">
      <w:bodyDiv w:val="1"/>
      <w:marLeft w:val="0"/>
      <w:marRight w:val="0"/>
      <w:marTop w:val="0"/>
      <w:marBottom w:val="0"/>
      <w:divBdr>
        <w:top w:val="none" w:sz="0" w:space="0" w:color="auto"/>
        <w:left w:val="none" w:sz="0" w:space="0" w:color="auto"/>
        <w:bottom w:val="none" w:sz="0" w:space="0" w:color="auto"/>
        <w:right w:val="none" w:sz="0" w:space="0" w:color="auto"/>
      </w:divBdr>
    </w:div>
    <w:div w:id="2114133136">
      <w:bodyDiv w:val="1"/>
      <w:marLeft w:val="0"/>
      <w:marRight w:val="0"/>
      <w:marTop w:val="0"/>
      <w:marBottom w:val="0"/>
      <w:divBdr>
        <w:top w:val="none" w:sz="0" w:space="0" w:color="auto"/>
        <w:left w:val="none" w:sz="0" w:space="0" w:color="auto"/>
        <w:bottom w:val="none" w:sz="0" w:space="0" w:color="auto"/>
        <w:right w:val="none" w:sz="0" w:space="0" w:color="auto"/>
      </w:divBdr>
    </w:div>
    <w:div w:id="2114282449">
      <w:bodyDiv w:val="1"/>
      <w:marLeft w:val="0"/>
      <w:marRight w:val="0"/>
      <w:marTop w:val="0"/>
      <w:marBottom w:val="0"/>
      <w:divBdr>
        <w:top w:val="none" w:sz="0" w:space="0" w:color="auto"/>
        <w:left w:val="none" w:sz="0" w:space="0" w:color="auto"/>
        <w:bottom w:val="none" w:sz="0" w:space="0" w:color="auto"/>
        <w:right w:val="none" w:sz="0" w:space="0" w:color="auto"/>
      </w:divBdr>
    </w:div>
    <w:div w:id="2114546233">
      <w:bodyDiv w:val="1"/>
      <w:marLeft w:val="0"/>
      <w:marRight w:val="0"/>
      <w:marTop w:val="0"/>
      <w:marBottom w:val="0"/>
      <w:divBdr>
        <w:top w:val="none" w:sz="0" w:space="0" w:color="auto"/>
        <w:left w:val="none" w:sz="0" w:space="0" w:color="auto"/>
        <w:bottom w:val="none" w:sz="0" w:space="0" w:color="auto"/>
        <w:right w:val="none" w:sz="0" w:space="0" w:color="auto"/>
      </w:divBdr>
    </w:div>
    <w:div w:id="2114546286">
      <w:bodyDiv w:val="1"/>
      <w:marLeft w:val="0"/>
      <w:marRight w:val="0"/>
      <w:marTop w:val="0"/>
      <w:marBottom w:val="0"/>
      <w:divBdr>
        <w:top w:val="none" w:sz="0" w:space="0" w:color="auto"/>
        <w:left w:val="none" w:sz="0" w:space="0" w:color="auto"/>
        <w:bottom w:val="none" w:sz="0" w:space="0" w:color="auto"/>
        <w:right w:val="none" w:sz="0" w:space="0" w:color="auto"/>
      </w:divBdr>
    </w:div>
    <w:div w:id="2114667707">
      <w:bodyDiv w:val="1"/>
      <w:marLeft w:val="0"/>
      <w:marRight w:val="0"/>
      <w:marTop w:val="0"/>
      <w:marBottom w:val="0"/>
      <w:divBdr>
        <w:top w:val="none" w:sz="0" w:space="0" w:color="auto"/>
        <w:left w:val="none" w:sz="0" w:space="0" w:color="auto"/>
        <w:bottom w:val="none" w:sz="0" w:space="0" w:color="auto"/>
        <w:right w:val="none" w:sz="0" w:space="0" w:color="auto"/>
      </w:divBdr>
    </w:div>
    <w:div w:id="2115055060">
      <w:bodyDiv w:val="1"/>
      <w:marLeft w:val="0"/>
      <w:marRight w:val="0"/>
      <w:marTop w:val="0"/>
      <w:marBottom w:val="0"/>
      <w:divBdr>
        <w:top w:val="none" w:sz="0" w:space="0" w:color="auto"/>
        <w:left w:val="none" w:sz="0" w:space="0" w:color="auto"/>
        <w:bottom w:val="none" w:sz="0" w:space="0" w:color="auto"/>
        <w:right w:val="none" w:sz="0" w:space="0" w:color="auto"/>
      </w:divBdr>
    </w:div>
    <w:div w:id="2115124676">
      <w:bodyDiv w:val="1"/>
      <w:marLeft w:val="0"/>
      <w:marRight w:val="0"/>
      <w:marTop w:val="0"/>
      <w:marBottom w:val="0"/>
      <w:divBdr>
        <w:top w:val="none" w:sz="0" w:space="0" w:color="auto"/>
        <w:left w:val="none" w:sz="0" w:space="0" w:color="auto"/>
        <w:bottom w:val="none" w:sz="0" w:space="0" w:color="auto"/>
        <w:right w:val="none" w:sz="0" w:space="0" w:color="auto"/>
      </w:divBdr>
    </w:div>
    <w:div w:id="2115199475">
      <w:bodyDiv w:val="1"/>
      <w:marLeft w:val="0"/>
      <w:marRight w:val="0"/>
      <w:marTop w:val="0"/>
      <w:marBottom w:val="0"/>
      <w:divBdr>
        <w:top w:val="none" w:sz="0" w:space="0" w:color="auto"/>
        <w:left w:val="none" w:sz="0" w:space="0" w:color="auto"/>
        <w:bottom w:val="none" w:sz="0" w:space="0" w:color="auto"/>
        <w:right w:val="none" w:sz="0" w:space="0" w:color="auto"/>
      </w:divBdr>
    </w:div>
    <w:div w:id="2115206162">
      <w:bodyDiv w:val="1"/>
      <w:marLeft w:val="0"/>
      <w:marRight w:val="0"/>
      <w:marTop w:val="0"/>
      <w:marBottom w:val="0"/>
      <w:divBdr>
        <w:top w:val="none" w:sz="0" w:space="0" w:color="auto"/>
        <w:left w:val="none" w:sz="0" w:space="0" w:color="auto"/>
        <w:bottom w:val="none" w:sz="0" w:space="0" w:color="auto"/>
        <w:right w:val="none" w:sz="0" w:space="0" w:color="auto"/>
      </w:divBdr>
    </w:div>
    <w:div w:id="2115322622">
      <w:bodyDiv w:val="1"/>
      <w:marLeft w:val="0"/>
      <w:marRight w:val="0"/>
      <w:marTop w:val="0"/>
      <w:marBottom w:val="0"/>
      <w:divBdr>
        <w:top w:val="none" w:sz="0" w:space="0" w:color="auto"/>
        <w:left w:val="none" w:sz="0" w:space="0" w:color="auto"/>
        <w:bottom w:val="none" w:sz="0" w:space="0" w:color="auto"/>
        <w:right w:val="none" w:sz="0" w:space="0" w:color="auto"/>
      </w:divBdr>
    </w:div>
    <w:div w:id="2115392709">
      <w:bodyDiv w:val="1"/>
      <w:marLeft w:val="0"/>
      <w:marRight w:val="0"/>
      <w:marTop w:val="0"/>
      <w:marBottom w:val="0"/>
      <w:divBdr>
        <w:top w:val="none" w:sz="0" w:space="0" w:color="auto"/>
        <w:left w:val="none" w:sz="0" w:space="0" w:color="auto"/>
        <w:bottom w:val="none" w:sz="0" w:space="0" w:color="auto"/>
        <w:right w:val="none" w:sz="0" w:space="0" w:color="auto"/>
      </w:divBdr>
    </w:div>
    <w:div w:id="2115514336">
      <w:bodyDiv w:val="1"/>
      <w:marLeft w:val="0"/>
      <w:marRight w:val="0"/>
      <w:marTop w:val="0"/>
      <w:marBottom w:val="0"/>
      <w:divBdr>
        <w:top w:val="none" w:sz="0" w:space="0" w:color="auto"/>
        <w:left w:val="none" w:sz="0" w:space="0" w:color="auto"/>
        <w:bottom w:val="none" w:sz="0" w:space="0" w:color="auto"/>
        <w:right w:val="none" w:sz="0" w:space="0" w:color="auto"/>
      </w:divBdr>
    </w:div>
    <w:div w:id="2115636132">
      <w:bodyDiv w:val="1"/>
      <w:marLeft w:val="0"/>
      <w:marRight w:val="0"/>
      <w:marTop w:val="0"/>
      <w:marBottom w:val="0"/>
      <w:divBdr>
        <w:top w:val="none" w:sz="0" w:space="0" w:color="auto"/>
        <w:left w:val="none" w:sz="0" w:space="0" w:color="auto"/>
        <w:bottom w:val="none" w:sz="0" w:space="0" w:color="auto"/>
        <w:right w:val="none" w:sz="0" w:space="0" w:color="auto"/>
      </w:divBdr>
    </w:div>
    <w:div w:id="2115636614">
      <w:bodyDiv w:val="1"/>
      <w:marLeft w:val="0"/>
      <w:marRight w:val="0"/>
      <w:marTop w:val="0"/>
      <w:marBottom w:val="0"/>
      <w:divBdr>
        <w:top w:val="none" w:sz="0" w:space="0" w:color="auto"/>
        <w:left w:val="none" w:sz="0" w:space="0" w:color="auto"/>
        <w:bottom w:val="none" w:sz="0" w:space="0" w:color="auto"/>
        <w:right w:val="none" w:sz="0" w:space="0" w:color="auto"/>
      </w:divBdr>
    </w:div>
    <w:div w:id="2115709115">
      <w:bodyDiv w:val="1"/>
      <w:marLeft w:val="0"/>
      <w:marRight w:val="0"/>
      <w:marTop w:val="0"/>
      <w:marBottom w:val="0"/>
      <w:divBdr>
        <w:top w:val="none" w:sz="0" w:space="0" w:color="auto"/>
        <w:left w:val="none" w:sz="0" w:space="0" w:color="auto"/>
        <w:bottom w:val="none" w:sz="0" w:space="0" w:color="auto"/>
        <w:right w:val="none" w:sz="0" w:space="0" w:color="auto"/>
      </w:divBdr>
    </w:div>
    <w:div w:id="2115711307">
      <w:bodyDiv w:val="1"/>
      <w:marLeft w:val="0"/>
      <w:marRight w:val="0"/>
      <w:marTop w:val="0"/>
      <w:marBottom w:val="0"/>
      <w:divBdr>
        <w:top w:val="none" w:sz="0" w:space="0" w:color="auto"/>
        <w:left w:val="none" w:sz="0" w:space="0" w:color="auto"/>
        <w:bottom w:val="none" w:sz="0" w:space="0" w:color="auto"/>
        <w:right w:val="none" w:sz="0" w:space="0" w:color="auto"/>
      </w:divBdr>
    </w:div>
    <w:div w:id="2115712154">
      <w:bodyDiv w:val="1"/>
      <w:marLeft w:val="0"/>
      <w:marRight w:val="0"/>
      <w:marTop w:val="0"/>
      <w:marBottom w:val="0"/>
      <w:divBdr>
        <w:top w:val="none" w:sz="0" w:space="0" w:color="auto"/>
        <w:left w:val="none" w:sz="0" w:space="0" w:color="auto"/>
        <w:bottom w:val="none" w:sz="0" w:space="0" w:color="auto"/>
        <w:right w:val="none" w:sz="0" w:space="0" w:color="auto"/>
      </w:divBdr>
    </w:div>
    <w:div w:id="2115903555">
      <w:bodyDiv w:val="1"/>
      <w:marLeft w:val="0"/>
      <w:marRight w:val="0"/>
      <w:marTop w:val="0"/>
      <w:marBottom w:val="0"/>
      <w:divBdr>
        <w:top w:val="none" w:sz="0" w:space="0" w:color="auto"/>
        <w:left w:val="none" w:sz="0" w:space="0" w:color="auto"/>
        <w:bottom w:val="none" w:sz="0" w:space="0" w:color="auto"/>
        <w:right w:val="none" w:sz="0" w:space="0" w:color="auto"/>
      </w:divBdr>
    </w:div>
    <w:div w:id="2116051588">
      <w:bodyDiv w:val="1"/>
      <w:marLeft w:val="0"/>
      <w:marRight w:val="0"/>
      <w:marTop w:val="0"/>
      <w:marBottom w:val="0"/>
      <w:divBdr>
        <w:top w:val="none" w:sz="0" w:space="0" w:color="auto"/>
        <w:left w:val="none" w:sz="0" w:space="0" w:color="auto"/>
        <w:bottom w:val="none" w:sz="0" w:space="0" w:color="auto"/>
        <w:right w:val="none" w:sz="0" w:space="0" w:color="auto"/>
      </w:divBdr>
    </w:div>
    <w:div w:id="2116364075">
      <w:bodyDiv w:val="1"/>
      <w:marLeft w:val="0"/>
      <w:marRight w:val="0"/>
      <w:marTop w:val="0"/>
      <w:marBottom w:val="0"/>
      <w:divBdr>
        <w:top w:val="none" w:sz="0" w:space="0" w:color="auto"/>
        <w:left w:val="none" w:sz="0" w:space="0" w:color="auto"/>
        <w:bottom w:val="none" w:sz="0" w:space="0" w:color="auto"/>
        <w:right w:val="none" w:sz="0" w:space="0" w:color="auto"/>
      </w:divBdr>
    </w:div>
    <w:div w:id="2116485407">
      <w:bodyDiv w:val="1"/>
      <w:marLeft w:val="0"/>
      <w:marRight w:val="0"/>
      <w:marTop w:val="0"/>
      <w:marBottom w:val="0"/>
      <w:divBdr>
        <w:top w:val="none" w:sz="0" w:space="0" w:color="auto"/>
        <w:left w:val="none" w:sz="0" w:space="0" w:color="auto"/>
        <w:bottom w:val="none" w:sz="0" w:space="0" w:color="auto"/>
        <w:right w:val="none" w:sz="0" w:space="0" w:color="auto"/>
      </w:divBdr>
    </w:div>
    <w:div w:id="2116512509">
      <w:bodyDiv w:val="1"/>
      <w:marLeft w:val="0"/>
      <w:marRight w:val="0"/>
      <w:marTop w:val="0"/>
      <w:marBottom w:val="0"/>
      <w:divBdr>
        <w:top w:val="none" w:sz="0" w:space="0" w:color="auto"/>
        <w:left w:val="none" w:sz="0" w:space="0" w:color="auto"/>
        <w:bottom w:val="none" w:sz="0" w:space="0" w:color="auto"/>
        <w:right w:val="none" w:sz="0" w:space="0" w:color="auto"/>
      </w:divBdr>
    </w:div>
    <w:div w:id="2116512854">
      <w:bodyDiv w:val="1"/>
      <w:marLeft w:val="0"/>
      <w:marRight w:val="0"/>
      <w:marTop w:val="0"/>
      <w:marBottom w:val="0"/>
      <w:divBdr>
        <w:top w:val="none" w:sz="0" w:space="0" w:color="auto"/>
        <w:left w:val="none" w:sz="0" w:space="0" w:color="auto"/>
        <w:bottom w:val="none" w:sz="0" w:space="0" w:color="auto"/>
        <w:right w:val="none" w:sz="0" w:space="0" w:color="auto"/>
      </w:divBdr>
    </w:div>
    <w:div w:id="2116516625">
      <w:bodyDiv w:val="1"/>
      <w:marLeft w:val="0"/>
      <w:marRight w:val="0"/>
      <w:marTop w:val="0"/>
      <w:marBottom w:val="0"/>
      <w:divBdr>
        <w:top w:val="none" w:sz="0" w:space="0" w:color="auto"/>
        <w:left w:val="none" w:sz="0" w:space="0" w:color="auto"/>
        <w:bottom w:val="none" w:sz="0" w:space="0" w:color="auto"/>
        <w:right w:val="none" w:sz="0" w:space="0" w:color="auto"/>
      </w:divBdr>
    </w:div>
    <w:div w:id="2116631650">
      <w:bodyDiv w:val="1"/>
      <w:marLeft w:val="0"/>
      <w:marRight w:val="0"/>
      <w:marTop w:val="0"/>
      <w:marBottom w:val="0"/>
      <w:divBdr>
        <w:top w:val="none" w:sz="0" w:space="0" w:color="auto"/>
        <w:left w:val="none" w:sz="0" w:space="0" w:color="auto"/>
        <w:bottom w:val="none" w:sz="0" w:space="0" w:color="auto"/>
        <w:right w:val="none" w:sz="0" w:space="0" w:color="auto"/>
      </w:divBdr>
    </w:div>
    <w:div w:id="2116633564">
      <w:bodyDiv w:val="1"/>
      <w:marLeft w:val="0"/>
      <w:marRight w:val="0"/>
      <w:marTop w:val="0"/>
      <w:marBottom w:val="0"/>
      <w:divBdr>
        <w:top w:val="none" w:sz="0" w:space="0" w:color="auto"/>
        <w:left w:val="none" w:sz="0" w:space="0" w:color="auto"/>
        <w:bottom w:val="none" w:sz="0" w:space="0" w:color="auto"/>
        <w:right w:val="none" w:sz="0" w:space="0" w:color="auto"/>
      </w:divBdr>
    </w:div>
    <w:div w:id="2116827356">
      <w:bodyDiv w:val="1"/>
      <w:marLeft w:val="0"/>
      <w:marRight w:val="0"/>
      <w:marTop w:val="0"/>
      <w:marBottom w:val="0"/>
      <w:divBdr>
        <w:top w:val="none" w:sz="0" w:space="0" w:color="auto"/>
        <w:left w:val="none" w:sz="0" w:space="0" w:color="auto"/>
        <w:bottom w:val="none" w:sz="0" w:space="0" w:color="auto"/>
        <w:right w:val="none" w:sz="0" w:space="0" w:color="auto"/>
      </w:divBdr>
    </w:div>
    <w:div w:id="2116899553">
      <w:bodyDiv w:val="1"/>
      <w:marLeft w:val="0"/>
      <w:marRight w:val="0"/>
      <w:marTop w:val="0"/>
      <w:marBottom w:val="0"/>
      <w:divBdr>
        <w:top w:val="none" w:sz="0" w:space="0" w:color="auto"/>
        <w:left w:val="none" w:sz="0" w:space="0" w:color="auto"/>
        <w:bottom w:val="none" w:sz="0" w:space="0" w:color="auto"/>
        <w:right w:val="none" w:sz="0" w:space="0" w:color="auto"/>
      </w:divBdr>
    </w:div>
    <w:div w:id="2116975817">
      <w:bodyDiv w:val="1"/>
      <w:marLeft w:val="0"/>
      <w:marRight w:val="0"/>
      <w:marTop w:val="0"/>
      <w:marBottom w:val="0"/>
      <w:divBdr>
        <w:top w:val="none" w:sz="0" w:space="0" w:color="auto"/>
        <w:left w:val="none" w:sz="0" w:space="0" w:color="auto"/>
        <w:bottom w:val="none" w:sz="0" w:space="0" w:color="auto"/>
        <w:right w:val="none" w:sz="0" w:space="0" w:color="auto"/>
      </w:divBdr>
    </w:div>
    <w:div w:id="2117014697">
      <w:bodyDiv w:val="1"/>
      <w:marLeft w:val="0"/>
      <w:marRight w:val="0"/>
      <w:marTop w:val="0"/>
      <w:marBottom w:val="0"/>
      <w:divBdr>
        <w:top w:val="none" w:sz="0" w:space="0" w:color="auto"/>
        <w:left w:val="none" w:sz="0" w:space="0" w:color="auto"/>
        <w:bottom w:val="none" w:sz="0" w:space="0" w:color="auto"/>
        <w:right w:val="none" w:sz="0" w:space="0" w:color="auto"/>
      </w:divBdr>
    </w:div>
    <w:div w:id="2117093349">
      <w:bodyDiv w:val="1"/>
      <w:marLeft w:val="0"/>
      <w:marRight w:val="0"/>
      <w:marTop w:val="0"/>
      <w:marBottom w:val="0"/>
      <w:divBdr>
        <w:top w:val="none" w:sz="0" w:space="0" w:color="auto"/>
        <w:left w:val="none" w:sz="0" w:space="0" w:color="auto"/>
        <w:bottom w:val="none" w:sz="0" w:space="0" w:color="auto"/>
        <w:right w:val="none" w:sz="0" w:space="0" w:color="auto"/>
      </w:divBdr>
    </w:div>
    <w:div w:id="2117094421">
      <w:bodyDiv w:val="1"/>
      <w:marLeft w:val="0"/>
      <w:marRight w:val="0"/>
      <w:marTop w:val="0"/>
      <w:marBottom w:val="0"/>
      <w:divBdr>
        <w:top w:val="none" w:sz="0" w:space="0" w:color="auto"/>
        <w:left w:val="none" w:sz="0" w:space="0" w:color="auto"/>
        <w:bottom w:val="none" w:sz="0" w:space="0" w:color="auto"/>
        <w:right w:val="none" w:sz="0" w:space="0" w:color="auto"/>
      </w:divBdr>
    </w:div>
    <w:div w:id="2117094821">
      <w:bodyDiv w:val="1"/>
      <w:marLeft w:val="0"/>
      <w:marRight w:val="0"/>
      <w:marTop w:val="0"/>
      <w:marBottom w:val="0"/>
      <w:divBdr>
        <w:top w:val="none" w:sz="0" w:space="0" w:color="auto"/>
        <w:left w:val="none" w:sz="0" w:space="0" w:color="auto"/>
        <w:bottom w:val="none" w:sz="0" w:space="0" w:color="auto"/>
        <w:right w:val="none" w:sz="0" w:space="0" w:color="auto"/>
      </w:divBdr>
    </w:div>
    <w:div w:id="2117096710">
      <w:bodyDiv w:val="1"/>
      <w:marLeft w:val="0"/>
      <w:marRight w:val="0"/>
      <w:marTop w:val="0"/>
      <w:marBottom w:val="0"/>
      <w:divBdr>
        <w:top w:val="none" w:sz="0" w:space="0" w:color="auto"/>
        <w:left w:val="none" w:sz="0" w:space="0" w:color="auto"/>
        <w:bottom w:val="none" w:sz="0" w:space="0" w:color="auto"/>
        <w:right w:val="none" w:sz="0" w:space="0" w:color="auto"/>
      </w:divBdr>
    </w:div>
    <w:div w:id="2117213812">
      <w:bodyDiv w:val="1"/>
      <w:marLeft w:val="0"/>
      <w:marRight w:val="0"/>
      <w:marTop w:val="0"/>
      <w:marBottom w:val="0"/>
      <w:divBdr>
        <w:top w:val="none" w:sz="0" w:space="0" w:color="auto"/>
        <w:left w:val="none" w:sz="0" w:space="0" w:color="auto"/>
        <w:bottom w:val="none" w:sz="0" w:space="0" w:color="auto"/>
        <w:right w:val="none" w:sz="0" w:space="0" w:color="auto"/>
      </w:divBdr>
    </w:div>
    <w:div w:id="2117214790">
      <w:bodyDiv w:val="1"/>
      <w:marLeft w:val="0"/>
      <w:marRight w:val="0"/>
      <w:marTop w:val="0"/>
      <w:marBottom w:val="0"/>
      <w:divBdr>
        <w:top w:val="none" w:sz="0" w:space="0" w:color="auto"/>
        <w:left w:val="none" w:sz="0" w:space="0" w:color="auto"/>
        <w:bottom w:val="none" w:sz="0" w:space="0" w:color="auto"/>
        <w:right w:val="none" w:sz="0" w:space="0" w:color="auto"/>
      </w:divBdr>
    </w:div>
    <w:div w:id="2117361896">
      <w:bodyDiv w:val="1"/>
      <w:marLeft w:val="0"/>
      <w:marRight w:val="0"/>
      <w:marTop w:val="0"/>
      <w:marBottom w:val="0"/>
      <w:divBdr>
        <w:top w:val="none" w:sz="0" w:space="0" w:color="auto"/>
        <w:left w:val="none" w:sz="0" w:space="0" w:color="auto"/>
        <w:bottom w:val="none" w:sz="0" w:space="0" w:color="auto"/>
        <w:right w:val="none" w:sz="0" w:space="0" w:color="auto"/>
      </w:divBdr>
    </w:div>
    <w:div w:id="2117365529">
      <w:bodyDiv w:val="1"/>
      <w:marLeft w:val="0"/>
      <w:marRight w:val="0"/>
      <w:marTop w:val="0"/>
      <w:marBottom w:val="0"/>
      <w:divBdr>
        <w:top w:val="none" w:sz="0" w:space="0" w:color="auto"/>
        <w:left w:val="none" w:sz="0" w:space="0" w:color="auto"/>
        <w:bottom w:val="none" w:sz="0" w:space="0" w:color="auto"/>
        <w:right w:val="none" w:sz="0" w:space="0" w:color="auto"/>
      </w:divBdr>
    </w:div>
    <w:div w:id="2117554513">
      <w:bodyDiv w:val="1"/>
      <w:marLeft w:val="0"/>
      <w:marRight w:val="0"/>
      <w:marTop w:val="0"/>
      <w:marBottom w:val="0"/>
      <w:divBdr>
        <w:top w:val="none" w:sz="0" w:space="0" w:color="auto"/>
        <w:left w:val="none" w:sz="0" w:space="0" w:color="auto"/>
        <w:bottom w:val="none" w:sz="0" w:space="0" w:color="auto"/>
        <w:right w:val="none" w:sz="0" w:space="0" w:color="auto"/>
      </w:divBdr>
    </w:div>
    <w:div w:id="2117674976">
      <w:bodyDiv w:val="1"/>
      <w:marLeft w:val="0"/>
      <w:marRight w:val="0"/>
      <w:marTop w:val="0"/>
      <w:marBottom w:val="0"/>
      <w:divBdr>
        <w:top w:val="none" w:sz="0" w:space="0" w:color="auto"/>
        <w:left w:val="none" w:sz="0" w:space="0" w:color="auto"/>
        <w:bottom w:val="none" w:sz="0" w:space="0" w:color="auto"/>
        <w:right w:val="none" w:sz="0" w:space="0" w:color="auto"/>
      </w:divBdr>
    </w:div>
    <w:div w:id="2117675579">
      <w:bodyDiv w:val="1"/>
      <w:marLeft w:val="0"/>
      <w:marRight w:val="0"/>
      <w:marTop w:val="0"/>
      <w:marBottom w:val="0"/>
      <w:divBdr>
        <w:top w:val="none" w:sz="0" w:space="0" w:color="auto"/>
        <w:left w:val="none" w:sz="0" w:space="0" w:color="auto"/>
        <w:bottom w:val="none" w:sz="0" w:space="0" w:color="auto"/>
        <w:right w:val="none" w:sz="0" w:space="0" w:color="auto"/>
      </w:divBdr>
    </w:div>
    <w:div w:id="2117796470">
      <w:bodyDiv w:val="1"/>
      <w:marLeft w:val="0"/>
      <w:marRight w:val="0"/>
      <w:marTop w:val="0"/>
      <w:marBottom w:val="0"/>
      <w:divBdr>
        <w:top w:val="none" w:sz="0" w:space="0" w:color="auto"/>
        <w:left w:val="none" w:sz="0" w:space="0" w:color="auto"/>
        <w:bottom w:val="none" w:sz="0" w:space="0" w:color="auto"/>
        <w:right w:val="none" w:sz="0" w:space="0" w:color="auto"/>
      </w:divBdr>
    </w:div>
    <w:div w:id="2117822930">
      <w:bodyDiv w:val="1"/>
      <w:marLeft w:val="0"/>
      <w:marRight w:val="0"/>
      <w:marTop w:val="0"/>
      <w:marBottom w:val="0"/>
      <w:divBdr>
        <w:top w:val="none" w:sz="0" w:space="0" w:color="auto"/>
        <w:left w:val="none" w:sz="0" w:space="0" w:color="auto"/>
        <w:bottom w:val="none" w:sz="0" w:space="0" w:color="auto"/>
        <w:right w:val="none" w:sz="0" w:space="0" w:color="auto"/>
      </w:divBdr>
    </w:div>
    <w:div w:id="2117825414">
      <w:bodyDiv w:val="1"/>
      <w:marLeft w:val="0"/>
      <w:marRight w:val="0"/>
      <w:marTop w:val="0"/>
      <w:marBottom w:val="0"/>
      <w:divBdr>
        <w:top w:val="none" w:sz="0" w:space="0" w:color="auto"/>
        <w:left w:val="none" w:sz="0" w:space="0" w:color="auto"/>
        <w:bottom w:val="none" w:sz="0" w:space="0" w:color="auto"/>
        <w:right w:val="none" w:sz="0" w:space="0" w:color="auto"/>
      </w:divBdr>
    </w:div>
    <w:div w:id="2117942634">
      <w:bodyDiv w:val="1"/>
      <w:marLeft w:val="0"/>
      <w:marRight w:val="0"/>
      <w:marTop w:val="0"/>
      <w:marBottom w:val="0"/>
      <w:divBdr>
        <w:top w:val="none" w:sz="0" w:space="0" w:color="auto"/>
        <w:left w:val="none" w:sz="0" w:space="0" w:color="auto"/>
        <w:bottom w:val="none" w:sz="0" w:space="0" w:color="auto"/>
        <w:right w:val="none" w:sz="0" w:space="0" w:color="auto"/>
      </w:divBdr>
    </w:div>
    <w:div w:id="2118401238">
      <w:bodyDiv w:val="1"/>
      <w:marLeft w:val="0"/>
      <w:marRight w:val="0"/>
      <w:marTop w:val="0"/>
      <w:marBottom w:val="0"/>
      <w:divBdr>
        <w:top w:val="none" w:sz="0" w:space="0" w:color="auto"/>
        <w:left w:val="none" w:sz="0" w:space="0" w:color="auto"/>
        <w:bottom w:val="none" w:sz="0" w:space="0" w:color="auto"/>
        <w:right w:val="none" w:sz="0" w:space="0" w:color="auto"/>
      </w:divBdr>
    </w:div>
    <w:div w:id="2118403243">
      <w:bodyDiv w:val="1"/>
      <w:marLeft w:val="0"/>
      <w:marRight w:val="0"/>
      <w:marTop w:val="0"/>
      <w:marBottom w:val="0"/>
      <w:divBdr>
        <w:top w:val="none" w:sz="0" w:space="0" w:color="auto"/>
        <w:left w:val="none" w:sz="0" w:space="0" w:color="auto"/>
        <w:bottom w:val="none" w:sz="0" w:space="0" w:color="auto"/>
        <w:right w:val="none" w:sz="0" w:space="0" w:color="auto"/>
      </w:divBdr>
    </w:div>
    <w:div w:id="2118406220">
      <w:bodyDiv w:val="1"/>
      <w:marLeft w:val="0"/>
      <w:marRight w:val="0"/>
      <w:marTop w:val="0"/>
      <w:marBottom w:val="0"/>
      <w:divBdr>
        <w:top w:val="none" w:sz="0" w:space="0" w:color="auto"/>
        <w:left w:val="none" w:sz="0" w:space="0" w:color="auto"/>
        <w:bottom w:val="none" w:sz="0" w:space="0" w:color="auto"/>
        <w:right w:val="none" w:sz="0" w:space="0" w:color="auto"/>
      </w:divBdr>
    </w:div>
    <w:div w:id="2118521958">
      <w:bodyDiv w:val="1"/>
      <w:marLeft w:val="0"/>
      <w:marRight w:val="0"/>
      <w:marTop w:val="0"/>
      <w:marBottom w:val="0"/>
      <w:divBdr>
        <w:top w:val="none" w:sz="0" w:space="0" w:color="auto"/>
        <w:left w:val="none" w:sz="0" w:space="0" w:color="auto"/>
        <w:bottom w:val="none" w:sz="0" w:space="0" w:color="auto"/>
        <w:right w:val="none" w:sz="0" w:space="0" w:color="auto"/>
      </w:divBdr>
    </w:div>
    <w:div w:id="2118523713">
      <w:bodyDiv w:val="1"/>
      <w:marLeft w:val="0"/>
      <w:marRight w:val="0"/>
      <w:marTop w:val="0"/>
      <w:marBottom w:val="0"/>
      <w:divBdr>
        <w:top w:val="none" w:sz="0" w:space="0" w:color="auto"/>
        <w:left w:val="none" w:sz="0" w:space="0" w:color="auto"/>
        <w:bottom w:val="none" w:sz="0" w:space="0" w:color="auto"/>
        <w:right w:val="none" w:sz="0" w:space="0" w:color="auto"/>
      </w:divBdr>
    </w:div>
    <w:div w:id="2118527154">
      <w:bodyDiv w:val="1"/>
      <w:marLeft w:val="0"/>
      <w:marRight w:val="0"/>
      <w:marTop w:val="0"/>
      <w:marBottom w:val="0"/>
      <w:divBdr>
        <w:top w:val="none" w:sz="0" w:space="0" w:color="auto"/>
        <w:left w:val="none" w:sz="0" w:space="0" w:color="auto"/>
        <w:bottom w:val="none" w:sz="0" w:space="0" w:color="auto"/>
        <w:right w:val="none" w:sz="0" w:space="0" w:color="auto"/>
      </w:divBdr>
    </w:div>
    <w:div w:id="2118595957">
      <w:bodyDiv w:val="1"/>
      <w:marLeft w:val="0"/>
      <w:marRight w:val="0"/>
      <w:marTop w:val="0"/>
      <w:marBottom w:val="0"/>
      <w:divBdr>
        <w:top w:val="none" w:sz="0" w:space="0" w:color="auto"/>
        <w:left w:val="none" w:sz="0" w:space="0" w:color="auto"/>
        <w:bottom w:val="none" w:sz="0" w:space="0" w:color="auto"/>
        <w:right w:val="none" w:sz="0" w:space="0" w:color="auto"/>
      </w:divBdr>
    </w:div>
    <w:div w:id="2118669923">
      <w:bodyDiv w:val="1"/>
      <w:marLeft w:val="0"/>
      <w:marRight w:val="0"/>
      <w:marTop w:val="0"/>
      <w:marBottom w:val="0"/>
      <w:divBdr>
        <w:top w:val="none" w:sz="0" w:space="0" w:color="auto"/>
        <w:left w:val="none" w:sz="0" w:space="0" w:color="auto"/>
        <w:bottom w:val="none" w:sz="0" w:space="0" w:color="auto"/>
        <w:right w:val="none" w:sz="0" w:space="0" w:color="auto"/>
      </w:divBdr>
    </w:div>
    <w:div w:id="2118670291">
      <w:bodyDiv w:val="1"/>
      <w:marLeft w:val="0"/>
      <w:marRight w:val="0"/>
      <w:marTop w:val="0"/>
      <w:marBottom w:val="0"/>
      <w:divBdr>
        <w:top w:val="none" w:sz="0" w:space="0" w:color="auto"/>
        <w:left w:val="none" w:sz="0" w:space="0" w:color="auto"/>
        <w:bottom w:val="none" w:sz="0" w:space="0" w:color="auto"/>
        <w:right w:val="none" w:sz="0" w:space="0" w:color="auto"/>
      </w:divBdr>
    </w:div>
    <w:div w:id="2118865324">
      <w:bodyDiv w:val="1"/>
      <w:marLeft w:val="0"/>
      <w:marRight w:val="0"/>
      <w:marTop w:val="0"/>
      <w:marBottom w:val="0"/>
      <w:divBdr>
        <w:top w:val="none" w:sz="0" w:space="0" w:color="auto"/>
        <w:left w:val="none" w:sz="0" w:space="0" w:color="auto"/>
        <w:bottom w:val="none" w:sz="0" w:space="0" w:color="auto"/>
        <w:right w:val="none" w:sz="0" w:space="0" w:color="auto"/>
      </w:divBdr>
    </w:div>
    <w:div w:id="2118867046">
      <w:bodyDiv w:val="1"/>
      <w:marLeft w:val="0"/>
      <w:marRight w:val="0"/>
      <w:marTop w:val="0"/>
      <w:marBottom w:val="0"/>
      <w:divBdr>
        <w:top w:val="none" w:sz="0" w:space="0" w:color="auto"/>
        <w:left w:val="none" w:sz="0" w:space="0" w:color="auto"/>
        <w:bottom w:val="none" w:sz="0" w:space="0" w:color="auto"/>
        <w:right w:val="none" w:sz="0" w:space="0" w:color="auto"/>
      </w:divBdr>
    </w:div>
    <w:div w:id="2118981587">
      <w:bodyDiv w:val="1"/>
      <w:marLeft w:val="0"/>
      <w:marRight w:val="0"/>
      <w:marTop w:val="0"/>
      <w:marBottom w:val="0"/>
      <w:divBdr>
        <w:top w:val="none" w:sz="0" w:space="0" w:color="auto"/>
        <w:left w:val="none" w:sz="0" w:space="0" w:color="auto"/>
        <w:bottom w:val="none" w:sz="0" w:space="0" w:color="auto"/>
        <w:right w:val="none" w:sz="0" w:space="0" w:color="auto"/>
      </w:divBdr>
    </w:div>
    <w:div w:id="2119131513">
      <w:bodyDiv w:val="1"/>
      <w:marLeft w:val="0"/>
      <w:marRight w:val="0"/>
      <w:marTop w:val="0"/>
      <w:marBottom w:val="0"/>
      <w:divBdr>
        <w:top w:val="none" w:sz="0" w:space="0" w:color="auto"/>
        <w:left w:val="none" w:sz="0" w:space="0" w:color="auto"/>
        <w:bottom w:val="none" w:sz="0" w:space="0" w:color="auto"/>
        <w:right w:val="none" w:sz="0" w:space="0" w:color="auto"/>
      </w:divBdr>
    </w:div>
    <w:div w:id="2119176518">
      <w:bodyDiv w:val="1"/>
      <w:marLeft w:val="0"/>
      <w:marRight w:val="0"/>
      <w:marTop w:val="0"/>
      <w:marBottom w:val="0"/>
      <w:divBdr>
        <w:top w:val="none" w:sz="0" w:space="0" w:color="auto"/>
        <w:left w:val="none" w:sz="0" w:space="0" w:color="auto"/>
        <w:bottom w:val="none" w:sz="0" w:space="0" w:color="auto"/>
        <w:right w:val="none" w:sz="0" w:space="0" w:color="auto"/>
      </w:divBdr>
    </w:div>
    <w:div w:id="2119372778">
      <w:bodyDiv w:val="1"/>
      <w:marLeft w:val="0"/>
      <w:marRight w:val="0"/>
      <w:marTop w:val="0"/>
      <w:marBottom w:val="0"/>
      <w:divBdr>
        <w:top w:val="none" w:sz="0" w:space="0" w:color="auto"/>
        <w:left w:val="none" w:sz="0" w:space="0" w:color="auto"/>
        <w:bottom w:val="none" w:sz="0" w:space="0" w:color="auto"/>
        <w:right w:val="none" w:sz="0" w:space="0" w:color="auto"/>
      </w:divBdr>
    </w:div>
    <w:div w:id="2119401063">
      <w:bodyDiv w:val="1"/>
      <w:marLeft w:val="0"/>
      <w:marRight w:val="0"/>
      <w:marTop w:val="0"/>
      <w:marBottom w:val="0"/>
      <w:divBdr>
        <w:top w:val="none" w:sz="0" w:space="0" w:color="auto"/>
        <w:left w:val="none" w:sz="0" w:space="0" w:color="auto"/>
        <w:bottom w:val="none" w:sz="0" w:space="0" w:color="auto"/>
        <w:right w:val="none" w:sz="0" w:space="0" w:color="auto"/>
      </w:divBdr>
    </w:div>
    <w:div w:id="2119518040">
      <w:bodyDiv w:val="1"/>
      <w:marLeft w:val="0"/>
      <w:marRight w:val="0"/>
      <w:marTop w:val="0"/>
      <w:marBottom w:val="0"/>
      <w:divBdr>
        <w:top w:val="none" w:sz="0" w:space="0" w:color="auto"/>
        <w:left w:val="none" w:sz="0" w:space="0" w:color="auto"/>
        <w:bottom w:val="none" w:sz="0" w:space="0" w:color="auto"/>
        <w:right w:val="none" w:sz="0" w:space="0" w:color="auto"/>
      </w:divBdr>
    </w:div>
    <w:div w:id="2119526144">
      <w:bodyDiv w:val="1"/>
      <w:marLeft w:val="0"/>
      <w:marRight w:val="0"/>
      <w:marTop w:val="0"/>
      <w:marBottom w:val="0"/>
      <w:divBdr>
        <w:top w:val="none" w:sz="0" w:space="0" w:color="auto"/>
        <w:left w:val="none" w:sz="0" w:space="0" w:color="auto"/>
        <w:bottom w:val="none" w:sz="0" w:space="0" w:color="auto"/>
        <w:right w:val="none" w:sz="0" w:space="0" w:color="auto"/>
      </w:divBdr>
    </w:div>
    <w:div w:id="2119794286">
      <w:bodyDiv w:val="1"/>
      <w:marLeft w:val="0"/>
      <w:marRight w:val="0"/>
      <w:marTop w:val="0"/>
      <w:marBottom w:val="0"/>
      <w:divBdr>
        <w:top w:val="none" w:sz="0" w:space="0" w:color="auto"/>
        <w:left w:val="none" w:sz="0" w:space="0" w:color="auto"/>
        <w:bottom w:val="none" w:sz="0" w:space="0" w:color="auto"/>
        <w:right w:val="none" w:sz="0" w:space="0" w:color="auto"/>
      </w:divBdr>
    </w:div>
    <w:div w:id="2119836737">
      <w:bodyDiv w:val="1"/>
      <w:marLeft w:val="0"/>
      <w:marRight w:val="0"/>
      <w:marTop w:val="0"/>
      <w:marBottom w:val="0"/>
      <w:divBdr>
        <w:top w:val="none" w:sz="0" w:space="0" w:color="auto"/>
        <w:left w:val="none" w:sz="0" w:space="0" w:color="auto"/>
        <w:bottom w:val="none" w:sz="0" w:space="0" w:color="auto"/>
        <w:right w:val="none" w:sz="0" w:space="0" w:color="auto"/>
      </w:divBdr>
    </w:div>
    <w:div w:id="2120026104">
      <w:bodyDiv w:val="1"/>
      <w:marLeft w:val="0"/>
      <w:marRight w:val="0"/>
      <w:marTop w:val="0"/>
      <w:marBottom w:val="0"/>
      <w:divBdr>
        <w:top w:val="none" w:sz="0" w:space="0" w:color="auto"/>
        <w:left w:val="none" w:sz="0" w:space="0" w:color="auto"/>
        <w:bottom w:val="none" w:sz="0" w:space="0" w:color="auto"/>
        <w:right w:val="none" w:sz="0" w:space="0" w:color="auto"/>
      </w:divBdr>
    </w:div>
    <w:div w:id="2120028659">
      <w:bodyDiv w:val="1"/>
      <w:marLeft w:val="0"/>
      <w:marRight w:val="0"/>
      <w:marTop w:val="0"/>
      <w:marBottom w:val="0"/>
      <w:divBdr>
        <w:top w:val="none" w:sz="0" w:space="0" w:color="auto"/>
        <w:left w:val="none" w:sz="0" w:space="0" w:color="auto"/>
        <w:bottom w:val="none" w:sz="0" w:space="0" w:color="auto"/>
        <w:right w:val="none" w:sz="0" w:space="0" w:color="auto"/>
      </w:divBdr>
    </w:div>
    <w:div w:id="2120030018">
      <w:bodyDiv w:val="1"/>
      <w:marLeft w:val="0"/>
      <w:marRight w:val="0"/>
      <w:marTop w:val="0"/>
      <w:marBottom w:val="0"/>
      <w:divBdr>
        <w:top w:val="none" w:sz="0" w:space="0" w:color="auto"/>
        <w:left w:val="none" w:sz="0" w:space="0" w:color="auto"/>
        <w:bottom w:val="none" w:sz="0" w:space="0" w:color="auto"/>
        <w:right w:val="none" w:sz="0" w:space="0" w:color="auto"/>
      </w:divBdr>
    </w:div>
    <w:div w:id="2120292281">
      <w:bodyDiv w:val="1"/>
      <w:marLeft w:val="0"/>
      <w:marRight w:val="0"/>
      <w:marTop w:val="0"/>
      <w:marBottom w:val="0"/>
      <w:divBdr>
        <w:top w:val="none" w:sz="0" w:space="0" w:color="auto"/>
        <w:left w:val="none" w:sz="0" w:space="0" w:color="auto"/>
        <w:bottom w:val="none" w:sz="0" w:space="0" w:color="auto"/>
        <w:right w:val="none" w:sz="0" w:space="0" w:color="auto"/>
      </w:divBdr>
    </w:div>
    <w:div w:id="2120293068">
      <w:bodyDiv w:val="1"/>
      <w:marLeft w:val="0"/>
      <w:marRight w:val="0"/>
      <w:marTop w:val="0"/>
      <w:marBottom w:val="0"/>
      <w:divBdr>
        <w:top w:val="none" w:sz="0" w:space="0" w:color="auto"/>
        <w:left w:val="none" w:sz="0" w:space="0" w:color="auto"/>
        <w:bottom w:val="none" w:sz="0" w:space="0" w:color="auto"/>
        <w:right w:val="none" w:sz="0" w:space="0" w:color="auto"/>
      </w:divBdr>
    </w:div>
    <w:div w:id="2120365813">
      <w:bodyDiv w:val="1"/>
      <w:marLeft w:val="0"/>
      <w:marRight w:val="0"/>
      <w:marTop w:val="0"/>
      <w:marBottom w:val="0"/>
      <w:divBdr>
        <w:top w:val="none" w:sz="0" w:space="0" w:color="auto"/>
        <w:left w:val="none" w:sz="0" w:space="0" w:color="auto"/>
        <w:bottom w:val="none" w:sz="0" w:space="0" w:color="auto"/>
        <w:right w:val="none" w:sz="0" w:space="0" w:color="auto"/>
      </w:divBdr>
    </w:div>
    <w:div w:id="2120375203">
      <w:bodyDiv w:val="1"/>
      <w:marLeft w:val="0"/>
      <w:marRight w:val="0"/>
      <w:marTop w:val="0"/>
      <w:marBottom w:val="0"/>
      <w:divBdr>
        <w:top w:val="none" w:sz="0" w:space="0" w:color="auto"/>
        <w:left w:val="none" w:sz="0" w:space="0" w:color="auto"/>
        <w:bottom w:val="none" w:sz="0" w:space="0" w:color="auto"/>
        <w:right w:val="none" w:sz="0" w:space="0" w:color="auto"/>
      </w:divBdr>
    </w:div>
    <w:div w:id="2120375521">
      <w:bodyDiv w:val="1"/>
      <w:marLeft w:val="0"/>
      <w:marRight w:val="0"/>
      <w:marTop w:val="0"/>
      <w:marBottom w:val="0"/>
      <w:divBdr>
        <w:top w:val="none" w:sz="0" w:space="0" w:color="auto"/>
        <w:left w:val="none" w:sz="0" w:space="0" w:color="auto"/>
        <w:bottom w:val="none" w:sz="0" w:space="0" w:color="auto"/>
        <w:right w:val="none" w:sz="0" w:space="0" w:color="auto"/>
      </w:divBdr>
    </w:div>
    <w:div w:id="2120485463">
      <w:bodyDiv w:val="1"/>
      <w:marLeft w:val="0"/>
      <w:marRight w:val="0"/>
      <w:marTop w:val="0"/>
      <w:marBottom w:val="0"/>
      <w:divBdr>
        <w:top w:val="none" w:sz="0" w:space="0" w:color="auto"/>
        <w:left w:val="none" w:sz="0" w:space="0" w:color="auto"/>
        <w:bottom w:val="none" w:sz="0" w:space="0" w:color="auto"/>
        <w:right w:val="none" w:sz="0" w:space="0" w:color="auto"/>
      </w:divBdr>
    </w:div>
    <w:div w:id="2120643198">
      <w:bodyDiv w:val="1"/>
      <w:marLeft w:val="0"/>
      <w:marRight w:val="0"/>
      <w:marTop w:val="0"/>
      <w:marBottom w:val="0"/>
      <w:divBdr>
        <w:top w:val="none" w:sz="0" w:space="0" w:color="auto"/>
        <w:left w:val="none" w:sz="0" w:space="0" w:color="auto"/>
        <w:bottom w:val="none" w:sz="0" w:space="0" w:color="auto"/>
        <w:right w:val="none" w:sz="0" w:space="0" w:color="auto"/>
      </w:divBdr>
    </w:div>
    <w:div w:id="2120680820">
      <w:bodyDiv w:val="1"/>
      <w:marLeft w:val="0"/>
      <w:marRight w:val="0"/>
      <w:marTop w:val="0"/>
      <w:marBottom w:val="0"/>
      <w:divBdr>
        <w:top w:val="none" w:sz="0" w:space="0" w:color="auto"/>
        <w:left w:val="none" w:sz="0" w:space="0" w:color="auto"/>
        <w:bottom w:val="none" w:sz="0" w:space="0" w:color="auto"/>
        <w:right w:val="none" w:sz="0" w:space="0" w:color="auto"/>
      </w:divBdr>
    </w:div>
    <w:div w:id="2120686051">
      <w:bodyDiv w:val="1"/>
      <w:marLeft w:val="0"/>
      <w:marRight w:val="0"/>
      <w:marTop w:val="0"/>
      <w:marBottom w:val="0"/>
      <w:divBdr>
        <w:top w:val="none" w:sz="0" w:space="0" w:color="auto"/>
        <w:left w:val="none" w:sz="0" w:space="0" w:color="auto"/>
        <w:bottom w:val="none" w:sz="0" w:space="0" w:color="auto"/>
        <w:right w:val="none" w:sz="0" w:space="0" w:color="auto"/>
      </w:divBdr>
    </w:div>
    <w:div w:id="2120827802">
      <w:bodyDiv w:val="1"/>
      <w:marLeft w:val="0"/>
      <w:marRight w:val="0"/>
      <w:marTop w:val="0"/>
      <w:marBottom w:val="0"/>
      <w:divBdr>
        <w:top w:val="none" w:sz="0" w:space="0" w:color="auto"/>
        <w:left w:val="none" w:sz="0" w:space="0" w:color="auto"/>
        <w:bottom w:val="none" w:sz="0" w:space="0" w:color="auto"/>
        <w:right w:val="none" w:sz="0" w:space="0" w:color="auto"/>
      </w:divBdr>
    </w:div>
    <w:div w:id="2120830349">
      <w:bodyDiv w:val="1"/>
      <w:marLeft w:val="0"/>
      <w:marRight w:val="0"/>
      <w:marTop w:val="0"/>
      <w:marBottom w:val="0"/>
      <w:divBdr>
        <w:top w:val="none" w:sz="0" w:space="0" w:color="auto"/>
        <w:left w:val="none" w:sz="0" w:space="0" w:color="auto"/>
        <w:bottom w:val="none" w:sz="0" w:space="0" w:color="auto"/>
        <w:right w:val="none" w:sz="0" w:space="0" w:color="auto"/>
      </w:divBdr>
    </w:div>
    <w:div w:id="2121096385">
      <w:bodyDiv w:val="1"/>
      <w:marLeft w:val="0"/>
      <w:marRight w:val="0"/>
      <w:marTop w:val="0"/>
      <w:marBottom w:val="0"/>
      <w:divBdr>
        <w:top w:val="none" w:sz="0" w:space="0" w:color="auto"/>
        <w:left w:val="none" w:sz="0" w:space="0" w:color="auto"/>
        <w:bottom w:val="none" w:sz="0" w:space="0" w:color="auto"/>
        <w:right w:val="none" w:sz="0" w:space="0" w:color="auto"/>
      </w:divBdr>
    </w:div>
    <w:div w:id="2121144859">
      <w:bodyDiv w:val="1"/>
      <w:marLeft w:val="0"/>
      <w:marRight w:val="0"/>
      <w:marTop w:val="0"/>
      <w:marBottom w:val="0"/>
      <w:divBdr>
        <w:top w:val="none" w:sz="0" w:space="0" w:color="auto"/>
        <w:left w:val="none" w:sz="0" w:space="0" w:color="auto"/>
        <w:bottom w:val="none" w:sz="0" w:space="0" w:color="auto"/>
        <w:right w:val="none" w:sz="0" w:space="0" w:color="auto"/>
      </w:divBdr>
    </w:div>
    <w:div w:id="2121145677">
      <w:bodyDiv w:val="1"/>
      <w:marLeft w:val="0"/>
      <w:marRight w:val="0"/>
      <w:marTop w:val="0"/>
      <w:marBottom w:val="0"/>
      <w:divBdr>
        <w:top w:val="none" w:sz="0" w:space="0" w:color="auto"/>
        <w:left w:val="none" w:sz="0" w:space="0" w:color="auto"/>
        <w:bottom w:val="none" w:sz="0" w:space="0" w:color="auto"/>
        <w:right w:val="none" w:sz="0" w:space="0" w:color="auto"/>
      </w:divBdr>
    </w:div>
    <w:div w:id="2121214976">
      <w:bodyDiv w:val="1"/>
      <w:marLeft w:val="0"/>
      <w:marRight w:val="0"/>
      <w:marTop w:val="0"/>
      <w:marBottom w:val="0"/>
      <w:divBdr>
        <w:top w:val="none" w:sz="0" w:space="0" w:color="auto"/>
        <w:left w:val="none" w:sz="0" w:space="0" w:color="auto"/>
        <w:bottom w:val="none" w:sz="0" w:space="0" w:color="auto"/>
        <w:right w:val="none" w:sz="0" w:space="0" w:color="auto"/>
      </w:divBdr>
    </w:div>
    <w:div w:id="2121297780">
      <w:bodyDiv w:val="1"/>
      <w:marLeft w:val="0"/>
      <w:marRight w:val="0"/>
      <w:marTop w:val="0"/>
      <w:marBottom w:val="0"/>
      <w:divBdr>
        <w:top w:val="none" w:sz="0" w:space="0" w:color="auto"/>
        <w:left w:val="none" w:sz="0" w:space="0" w:color="auto"/>
        <w:bottom w:val="none" w:sz="0" w:space="0" w:color="auto"/>
        <w:right w:val="none" w:sz="0" w:space="0" w:color="auto"/>
      </w:divBdr>
    </w:div>
    <w:div w:id="2121336365">
      <w:bodyDiv w:val="1"/>
      <w:marLeft w:val="0"/>
      <w:marRight w:val="0"/>
      <w:marTop w:val="0"/>
      <w:marBottom w:val="0"/>
      <w:divBdr>
        <w:top w:val="none" w:sz="0" w:space="0" w:color="auto"/>
        <w:left w:val="none" w:sz="0" w:space="0" w:color="auto"/>
        <w:bottom w:val="none" w:sz="0" w:space="0" w:color="auto"/>
        <w:right w:val="none" w:sz="0" w:space="0" w:color="auto"/>
      </w:divBdr>
    </w:div>
    <w:div w:id="2121607731">
      <w:bodyDiv w:val="1"/>
      <w:marLeft w:val="0"/>
      <w:marRight w:val="0"/>
      <w:marTop w:val="0"/>
      <w:marBottom w:val="0"/>
      <w:divBdr>
        <w:top w:val="none" w:sz="0" w:space="0" w:color="auto"/>
        <w:left w:val="none" w:sz="0" w:space="0" w:color="auto"/>
        <w:bottom w:val="none" w:sz="0" w:space="0" w:color="auto"/>
        <w:right w:val="none" w:sz="0" w:space="0" w:color="auto"/>
      </w:divBdr>
    </w:div>
    <w:div w:id="2121797506">
      <w:bodyDiv w:val="1"/>
      <w:marLeft w:val="0"/>
      <w:marRight w:val="0"/>
      <w:marTop w:val="0"/>
      <w:marBottom w:val="0"/>
      <w:divBdr>
        <w:top w:val="none" w:sz="0" w:space="0" w:color="auto"/>
        <w:left w:val="none" w:sz="0" w:space="0" w:color="auto"/>
        <w:bottom w:val="none" w:sz="0" w:space="0" w:color="auto"/>
        <w:right w:val="none" w:sz="0" w:space="0" w:color="auto"/>
      </w:divBdr>
    </w:div>
    <w:div w:id="2121801338">
      <w:bodyDiv w:val="1"/>
      <w:marLeft w:val="0"/>
      <w:marRight w:val="0"/>
      <w:marTop w:val="0"/>
      <w:marBottom w:val="0"/>
      <w:divBdr>
        <w:top w:val="none" w:sz="0" w:space="0" w:color="auto"/>
        <w:left w:val="none" w:sz="0" w:space="0" w:color="auto"/>
        <w:bottom w:val="none" w:sz="0" w:space="0" w:color="auto"/>
        <w:right w:val="none" w:sz="0" w:space="0" w:color="auto"/>
      </w:divBdr>
    </w:div>
    <w:div w:id="2121876423">
      <w:bodyDiv w:val="1"/>
      <w:marLeft w:val="0"/>
      <w:marRight w:val="0"/>
      <w:marTop w:val="0"/>
      <w:marBottom w:val="0"/>
      <w:divBdr>
        <w:top w:val="none" w:sz="0" w:space="0" w:color="auto"/>
        <w:left w:val="none" w:sz="0" w:space="0" w:color="auto"/>
        <w:bottom w:val="none" w:sz="0" w:space="0" w:color="auto"/>
        <w:right w:val="none" w:sz="0" w:space="0" w:color="auto"/>
      </w:divBdr>
    </w:div>
    <w:div w:id="2121876707">
      <w:bodyDiv w:val="1"/>
      <w:marLeft w:val="0"/>
      <w:marRight w:val="0"/>
      <w:marTop w:val="0"/>
      <w:marBottom w:val="0"/>
      <w:divBdr>
        <w:top w:val="none" w:sz="0" w:space="0" w:color="auto"/>
        <w:left w:val="none" w:sz="0" w:space="0" w:color="auto"/>
        <w:bottom w:val="none" w:sz="0" w:space="0" w:color="auto"/>
        <w:right w:val="none" w:sz="0" w:space="0" w:color="auto"/>
      </w:divBdr>
    </w:div>
    <w:div w:id="2121878910">
      <w:bodyDiv w:val="1"/>
      <w:marLeft w:val="0"/>
      <w:marRight w:val="0"/>
      <w:marTop w:val="0"/>
      <w:marBottom w:val="0"/>
      <w:divBdr>
        <w:top w:val="none" w:sz="0" w:space="0" w:color="auto"/>
        <w:left w:val="none" w:sz="0" w:space="0" w:color="auto"/>
        <w:bottom w:val="none" w:sz="0" w:space="0" w:color="auto"/>
        <w:right w:val="none" w:sz="0" w:space="0" w:color="auto"/>
      </w:divBdr>
    </w:div>
    <w:div w:id="2122142417">
      <w:bodyDiv w:val="1"/>
      <w:marLeft w:val="0"/>
      <w:marRight w:val="0"/>
      <w:marTop w:val="0"/>
      <w:marBottom w:val="0"/>
      <w:divBdr>
        <w:top w:val="none" w:sz="0" w:space="0" w:color="auto"/>
        <w:left w:val="none" w:sz="0" w:space="0" w:color="auto"/>
        <w:bottom w:val="none" w:sz="0" w:space="0" w:color="auto"/>
        <w:right w:val="none" w:sz="0" w:space="0" w:color="auto"/>
      </w:divBdr>
    </w:div>
    <w:div w:id="2122147844">
      <w:bodyDiv w:val="1"/>
      <w:marLeft w:val="0"/>
      <w:marRight w:val="0"/>
      <w:marTop w:val="0"/>
      <w:marBottom w:val="0"/>
      <w:divBdr>
        <w:top w:val="none" w:sz="0" w:space="0" w:color="auto"/>
        <w:left w:val="none" w:sz="0" w:space="0" w:color="auto"/>
        <w:bottom w:val="none" w:sz="0" w:space="0" w:color="auto"/>
        <w:right w:val="none" w:sz="0" w:space="0" w:color="auto"/>
      </w:divBdr>
    </w:div>
    <w:div w:id="2122188307">
      <w:bodyDiv w:val="1"/>
      <w:marLeft w:val="0"/>
      <w:marRight w:val="0"/>
      <w:marTop w:val="0"/>
      <w:marBottom w:val="0"/>
      <w:divBdr>
        <w:top w:val="none" w:sz="0" w:space="0" w:color="auto"/>
        <w:left w:val="none" w:sz="0" w:space="0" w:color="auto"/>
        <w:bottom w:val="none" w:sz="0" w:space="0" w:color="auto"/>
        <w:right w:val="none" w:sz="0" w:space="0" w:color="auto"/>
      </w:divBdr>
    </w:div>
    <w:div w:id="2122189073">
      <w:bodyDiv w:val="1"/>
      <w:marLeft w:val="0"/>
      <w:marRight w:val="0"/>
      <w:marTop w:val="0"/>
      <w:marBottom w:val="0"/>
      <w:divBdr>
        <w:top w:val="none" w:sz="0" w:space="0" w:color="auto"/>
        <w:left w:val="none" w:sz="0" w:space="0" w:color="auto"/>
        <w:bottom w:val="none" w:sz="0" w:space="0" w:color="auto"/>
        <w:right w:val="none" w:sz="0" w:space="0" w:color="auto"/>
      </w:divBdr>
    </w:div>
    <w:div w:id="2122215201">
      <w:bodyDiv w:val="1"/>
      <w:marLeft w:val="0"/>
      <w:marRight w:val="0"/>
      <w:marTop w:val="0"/>
      <w:marBottom w:val="0"/>
      <w:divBdr>
        <w:top w:val="none" w:sz="0" w:space="0" w:color="auto"/>
        <w:left w:val="none" w:sz="0" w:space="0" w:color="auto"/>
        <w:bottom w:val="none" w:sz="0" w:space="0" w:color="auto"/>
        <w:right w:val="none" w:sz="0" w:space="0" w:color="auto"/>
      </w:divBdr>
    </w:div>
    <w:div w:id="2122216145">
      <w:bodyDiv w:val="1"/>
      <w:marLeft w:val="0"/>
      <w:marRight w:val="0"/>
      <w:marTop w:val="0"/>
      <w:marBottom w:val="0"/>
      <w:divBdr>
        <w:top w:val="none" w:sz="0" w:space="0" w:color="auto"/>
        <w:left w:val="none" w:sz="0" w:space="0" w:color="auto"/>
        <w:bottom w:val="none" w:sz="0" w:space="0" w:color="auto"/>
        <w:right w:val="none" w:sz="0" w:space="0" w:color="auto"/>
      </w:divBdr>
    </w:div>
    <w:div w:id="2122216695">
      <w:bodyDiv w:val="1"/>
      <w:marLeft w:val="0"/>
      <w:marRight w:val="0"/>
      <w:marTop w:val="0"/>
      <w:marBottom w:val="0"/>
      <w:divBdr>
        <w:top w:val="none" w:sz="0" w:space="0" w:color="auto"/>
        <w:left w:val="none" w:sz="0" w:space="0" w:color="auto"/>
        <w:bottom w:val="none" w:sz="0" w:space="0" w:color="auto"/>
        <w:right w:val="none" w:sz="0" w:space="0" w:color="auto"/>
      </w:divBdr>
    </w:div>
    <w:div w:id="2122264894">
      <w:bodyDiv w:val="1"/>
      <w:marLeft w:val="0"/>
      <w:marRight w:val="0"/>
      <w:marTop w:val="0"/>
      <w:marBottom w:val="0"/>
      <w:divBdr>
        <w:top w:val="none" w:sz="0" w:space="0" w:color="auto"/>
        <w:left w:val="none" w:sz="0" w:space="0" w:color="auto"/>
        <w:bottom w:val="none" w:sz="0" w:space="0" w:color="auto"/>
        <w:right w:val="none" w:sz="0" w:space="0" w:color="auto"/>
      </w:divBdr>
    </w:div>
    <w:div w:id="2122603423">
      <w:bodyDiv w:val="1"/>
      <w:marLeft w:val="0"/>
      <w:marRight w:val="0"/>
      <w:marTop w:val="0"/>
      <w:marBottom w:val="0"/>
      <w:divBdr>
        <w:top w:val="none" w:sz="0" w:space="0" w:color="auto"/>
        <w:left w:val="none" w:sz="0" w:space="0" w:color="auto"/>
        <w:bottom w:val="none" w:sz="0" w:space="0" w:color="auto"/>
        <w:right w:val="none" w:sz="0" w:space="0" w:color="auto"/>
      </w:divBdr>
    </w:div>
    <w:div w:id="2122793504">
      <w:bodyDiv w:val="1"/>
      <w:marLeft w:val="0"/>
      <w:marRight w:val="0"/>
      <w:marTop w:val="0"/>
      <w:marBottom w:val="0"/>
      <w:divBdr>
        <w:top w:val="none" w:sz="0" w:space="0" w:color="auto"/>
        <w:left w:val="none" w:sz="0" w:space="0" w:color="auto"/>
        <w:bottom w:val="none" w:sz="0" w:space="0" w:color="auto"/>
        <w:right w:val="none" w:sz="0" w:space="0" w:color="auto"/>
      </w:divBdr>
    </w:div>
    <w:div w:id="2122801076">
      <w:bodyDiv w:val="1"/>
      <w:marLeft w:val="0"/>
      <w:marRight w:val="0"/>
      <w:marTop w:val="0"/>
      <w:marBottom w:val="0"/>
      <w:divBdr>
        <w:top w:val="none" w:sz="0" w:space="0" w:color="auto"/>
        <w:left w:val="none" w:sz="0" w:space="0" w:color="auto"/>
        <w:bottom w:val="none" w:sz="0" w:space="0" w:color="auto"/>
        <w:right w:val="none" w:sz="0" w:space="0" w:color="auto"/>
      </w:divBdr>
    </w:div>
    <w:div w:id="2122844272">
      <w:bodyDiv w:val="1"/>
      <w:marLeft w:val="0"/>
      <w:marRight w:val="0"/>
      <w:marTop w:val="0"/>
      <w:marBottom w:val="0"/>
      <w:divBdr>
        <w:top w:val="none" w:sz="0" w:space="0" w:color="auto"/>
        <w:left w:val="none" w:sz="0" w:space="0" w:color="auto"/>
        <w:bottom w:val="none" w:sz="0" w:space="0" w:color="auto"/>
        <w:right w:val="none" w:sz="0" w:space="0" w:color="auto"/>
      </w:divBdr>
    </w:div>
    <w:div w:id="2122990801">
      <w:bodyDiv w:val="1"/>
      <w:marLeft w:val="0"/>
      <w:marRight w:val="0"/>
      <w:marTop w:val="0"/>
      <w:marBottom w:val="0"/>
      <w:divBdr>
        <w:top w:val="none" w:sz="0" w:space="0" w:color="auto"/>
        <w:left w:val="none" w:sz="0" w:space="0" w:color="auto"/>
        <w:bottom w:val="none" w:sz="0" w:space="0" w:color="auto"/>
        <w:right w:val="none" w:sz="0" w:space="0" w:color="auto"/>
      </w:divBdr>
    </w:div>
    <w:div w:id="2123181292">
      <w:bodyDiv w:val="1"/>
      <w:marLeft w:val="0"/>
      <w:marRight w:val="0"/>
      <w:marTop w:val="0"/>
      <w:marBottom w:val="0"/>
      <w:divBdr>
        <w:top w:val="none" w:sz="0" w:space="0" w:color="auto"/>
        <w:left w:val="none" w:sz="0" w:space="0" w:color="auto"/>
        <w:bottom w:val="none" w:sz="0" w:space="0" w:color="auto"/>
        <w:right w:val="none" w:sz="0" w:space="0" w:color="auto"/>
      </w:divBdr>
    </w:div>
    <w:div w:id="2123184332">
      <w:bodyDiv w:val="1"/>
      <w:marLeft w:val="0"/>
      <w:marRight w:val="0"/>
      <w:marTop w:val="0"/>
      <w:marBottom w:val="0"/>
      <w:divBdr>
        <w:top w:val="none" w:sz="0" w:space="0" w:color="auto"/>
        <w:left w:val="none" w:sz="0" w:space="0" w:color="auto"/>
        <w:bottom w:val="none" w:sz="0" w:space="0" w:color="auto"/>
        <w:right w:val="none" w:sz="0" w:space="0" w:color="auto"/>
      </w:divBdr>
    </w:div>
    <w:div w:id="2123185399">
      <w:bodyDiv w:val="1"/>
      <w:marLeft w:val="0"/>
      <w:marRight w:val="0"/>
      <w:marTop w:val="0"/>
      <w:marBottom w:val="0"/>
      <w:divBdr>
        <w:top w:val="none" w:sz="0" w:space="0" w:color="auto"/>
        <w:left w:val="none" w:sz="0" w:space="0" w:color="auto"/>
        <w:bottom w:val="none" w:sz="0" w:space="0" w:color="auto"/>
        <w:right w:val="none" w:sz="0" w:space="0" w:color="auto"/>
      </w:divBdr>
    </w:div>
    <w:div w:id="2123261138">
      <w:bodyDiv w:val="1"/>
      <w:marLeft w:val="0"/>
      <w:marRight w:val="0"/>
      <w:marTop w:val="0"/>
      <w:marBottom w:val="0"/>
      <w:divBdr>
        <w:top w:val="none" w:sz="0" w:space="0" w:color="auto"/>
        <w:left w:val="none" w:sz="0" w:space="0" w:color="auto"/>
        <w:bottom w:val="none" w:sz="0" w:space="0" w:color="auto"/>
        <w:right w:val="none" w:sz="0" w:space="0" w:color="auto"/>
      </w:divBdr>
    </w:div>
    <w:div w:id="2123374400">
      <w:bodyDiv w:val="1"/>
      <w:marLeft w:val="0"/>
      <w:marRight w:val="0"/>
      <w:marTop w:val="0"/>
      <w:marBottom w:val="0"/>
      <w:divBdr>
        <w:top w:val="none" w:sz="0" w:space="0" w:color="auto"/>
        <w:left w:val="none" w:sz="0" w:space="0" w:color="auto"/>
        <w:bottom w:val="none" w:sz="0" w:space="0" w:color="auto"/>
        <w:right w:val="none" w:sz="0" w:space="0" w:color="auto"/>
      </w:divBdr>
    </w:div>
    <w:div w:id="2123449562">
      <w:bodyDiv w:val="1"/>
      <w:marLeft w:val="0"/>
      <w:marRight w:val="0"/>
      <w:marTop w:val="0"/>
      <w:marBottom w:val="0"/>
      <w:divBdr>
        <w:top w:val="none" w:sz="0" w:space="0" w:color="auto"/>
        <w:left w:val="none" w:sz="0" w:space="0" w:color="auto"/>
        <w:bottom w:val="none" w:sz="0" w:space="0" w:color="auto"/>
        <w:right w:val="none" w:sz="0" w:space="0" w:color="auto"/>
      </w:divBdr>
    </w:div>
    <w:div w:id="2123569468">
      <w:bodyDiv w:val="1"/>
      <w:marLeft w:val="0"/>
      <w:marRight w:val="0"/>
      <w:marTop w:val="0"/>
      <w:marBottom w:val="0"/>
      <w:divBdr>
        <w:top w:val="none" w:sz="0" w:space="0" w:color="auto"/>
        <w:left w:val="none" w:sz="0" w:space="0" w:color="auto"/>
        <w:bottom w:val="none" w:sz="0" w:space="0" w:color="auto"/>
        <w:right w:val="none" w:sz="0" w:space="0" w:color="auto"/>
      </w:divBdr>
    </w:div>
    <w:div w:id="2123576203">
      <w:bodyDiv w:val="1"/>
      <w:marLeft w:val="0"/>
      <w:marRight w:val="0"/>
      <w:marTop w:val="0"/>
      <w:marBottom w:val="0"/>
      <w:divBdr>
        <w:top w:val="none" w:sz="0" w:space="0" w:color="auto"/>
        <w:left w:val="none" w:sz="0" w:space="0" w:color="auto"/>
        <w:bottom w:val="none" w:sz="0" w:space="0" w:color="auto"/>
        <w:right w:val="none" w:sz="0" w:space="0" w:color="auto"/>
      </w:divBdr>
    </w:div>
    <w:div w:id="2123762872">
      <w:bodyDiv w:val="1"/>
      <w:marLeft w:val="0"/>
      <w:marRight w:val="0"/>
      <w:marTop w:val="0"/>
      <w:marBottom w:val="0"/>
      <w:divBdr>
        <w:top w:val="none" w:sz="0" w:space="0" w:color="auto"/>
        <w:left w:val="none" w:sz="0" w:space="0" w:color="auto"/>
        <w:bottom w:val="none" w:sz="0" w:space="0" w:color="auto"/>
        <w:right w:val="none" w:sz="0" w:space="0" w:color="auto"/>
      </w:divBdr>
    </w:div>
    <w:div w:id="2123841507">
      <w:bodyDiv w:val="1"/>
      <w:marLeft w:val="0"/>
      <w:marRight w:val="0"/>
      <w:marTop w:val="0"/>
      <w:marBottom w:val="0"/>
      <w:divBdr>
        <w:top w:val="none" w:sz="0" w:space="0" w:color="auto"/>
        <w:left w:val="none" w:sz="0" w:space="0" w:color="auto"/>
        <w:bottom w:val="none" w:sz="0" w:space="0" w:color="auto"/>
        <w:right w:val="none" w:sz="0" w:space="0" w:color="auto"/>
      </w:divBdr>
    </w:div>
    <w:div w:id="2123912104">
      <w:bodyDiv w:val="1"/>
      <w:marLeft w:val="0"/>
      <w:marRight w:val="0"/>
      <w:marTop w:val="0"/>
      <w:marBottom w:val="0"/>
      <w:divBdr>
        <w:top w:val="none" w:sz="0" w:space="0" w:color="auto"/>
        <w:left w:val="none" w:sz="0" w:space="0" w:color="auto"/>
        <w:bottom w:val="none" w:sz="0" w:space="0" w:color="auto"/>
        <w:right w:val="none" w:sz="0" w:space="0" w:color="auto"/>
      </w:divBdr>
    </w:div>
    <w:div w:id="2123916779">
      <w:bodyDiv w:val="1"/>
      <w:marLeft w:val="0"/>
      <w:marRight w:val="0"/>
      <w:marTop w:val="0"/>
      <w:marBottom w:val="0"/>
      <w:divBdr>
        <w:top w:val="none" w:sz="0" w:space="0" w:color="auto"/>
        <w:left w:val="none" w:sz="0" w:space="0" w:color="auto"/>
        <w:bottom w:val="none" w:sz="0" w:space="0" w:color="auto"/>
        <w:right w:val="none" w:sz="0" w:space="0" w:color="auto"/>
      </w:divBdr>
    </w:div>
    <w:div w:id="2123956775">
      <w:bodyDiv w:val="1"/>
      <w:marLeft w:val="0"/>
      <w:marRight w:val="0"/>
      <w:marTop w:val="0"/>
      <w:marBottom w:val="0"/>
      <w:divBdr>
        <w:top w:val="none" w:sz="0" w:space="0" w:color="auto"/>
        <w:left w:val="none" w:sz="0" w:space="0" w:color="auto"/>
        <w:bottom w:val="none" w:sz="0" w:space="0" w:color="auto"/>
        <w:right w:val="none" w:sz="0" w:space="0" w:color="auto"/>
      </w:divBdr>
    </w:div>
    <w:div w:id="2123956895">
      <w:bodyDiv w:val="1"/>
      <w:marLeft w:val="0"/>
      <w:marRight w:val="0"/>
      <w:marTop w:val="0"/>
      <w:marBottom w:val="0"/>
      <w:divBdr>
        <w:top w:val="none" w:sz="0" w:space="0" w:color="auto"/>
        <w:left w:val="none" w:sz="0" w:space="0" w:color="auto"/>
        <w:bottom w:val="none" w:sz="0" w:space="0" w:color="auto"/>
        <w:right w:val="none" w:sz="0" w:space="0" w:color="auto"/>
      </w:divBdr>
    </w:div>
    <w:div w:id="2124029074">
      <w:bodyDiv w:val="1"/>
      <w:marLeft w:val="0"/>
      <w:marRight w:val="0"/>
      <w:marTop w:val="0"/>
      <w:marBottom w:val="0"/>
      <w:divBdr>
        <w:top w:val="none" w:sz="0" w:space="0" w:color="auto"/>
        <w:left w:val="none" w:sz="0" w:space="0" w:color="auto"/>
        <w:bottom w:val="none" w:sz="0" w:space="0" w:color="auto"/>
        <w:right w:val="none" w:sz="0" w:space="0" w:color="auto"/>
      </w:divBdr>
    </w:div>
    <w:div w:id="2124037963">
      <w:bodyDiv w:val="1"/>
      <w:marLeft w:val="0"/>
      <w:marRight w:val="0"/>
      <w:marTop w:val="0"/>
      <w:marBottom w:val="0"/>
      <w:divBdr>
        <w:top w:val="none" w:sz="0" w:space="0" w:color="auto"/>
        <w:left w:val="none" w:sz="0" w:space="0" w:color="auto"/>
        <w:bottom w:val="none" w:sz="0" w:space="0" w:color="auto"/>
        <w:right w:val="none" w:sz="0" w:space="0" w:color="auto"/>
      </w:divBdr>
    </w:div>
    <w:div w:id="2124104417">
      <w:bodyDiv w:val="1"/>
      <w:marLeft w:val="0"/>
      <w:marRight w:val="0"/>
      <w:marTop w:val="0"/>
      <w:marBottom w:val="0"/>
      <w:divBdr>
        <w:top w:val="none" w:sz="0" w:space="0" w:color="auto"/>
        <w:left w:val="none" w:sz="0" w:space="0" w:color="auto"/>
        <w:bottom w:val="none" w:sz="0" w:space="0" w:color="auto"/>
        <w:right w:val="none" w:sz="0" w:space="0" w:color="auto"/>
      </w:divBdr>
    </w:div>
    <w:div w:id="2124106947">
      <w:bodyDiv w:val="1"/>
      <w:marLeft w:val="0"/>
      <w:marRight w:val="0"/>
      <w:marTop w:val="0"/>
      <w:marBottom w:val="0"/>
      <w:divBdr>
        <w:top w:val="none" w:sz="0" w:space="0" w:color="auto"/>
        <w:left w:val="none" w:sz="0" w:space="0" w:color="auto"/>
        <w:bottom w:val="none" w:sz="0" w:space="0" w:color="auto"/>
        <w:right w:val="none" w:sz="0" w:space="0" w:color="auto"/>
      </w:divBdr>
    </w:div>
    <w:div w:id="2124109290">
      <w:bodyDiv w:val="1"/>
      <w:marLeft w:val="0"/>
      <w:marRight w:val="0"/>
      <w:marTop w:val="0"/>
      <w:marBottom w:val="0"/>
      <w:divBdr>
        <w:top w:val="none" w:sz="0" w:space="0" w:color="auto"/>
        <w:left w:val="none" w:sz="0" w:space="0" w:color="auto"/>
        <w:bottom w:val="none" w:sz="0" w:space="0" w:color="auto"/>
        <w:right w:val="none" w:sz="0" w:space="0" w:color="auto"/>
      </w:divBdr>
    </w:div>
    <w:div w:id="2124228387">
      <w:bodyDiv w:val="1"/>
      <w:marLeft w:val="0"/>
      <w:marRight w:val="0"/>
      <w:marTop w:val="0"/>
      <w:marBottom w:val="0"/>
      <w:divBdr>
        <w:top w:val="none" w:sz="0" w:space="0" w:color="auto"/>
        <w:left w:val="none" w:sz="0" w:space="0" w:color="auto"/>
        <w:bottom w:val="none" w:sz="0" w:space="0" w:color="auto"/>
        <w:right w:val="none" w:sz="0" w:space="0" w:color="auto"/>
      </w:divBdr>
    </w:div>
    <w:div w:id="2124302298">
      <w:bodyDiv w:val="1"/>
      <w:marLeft w:val="0"/>
      <w:marRight w:val="0"/>
      <w:marTop w:val="0"/>
      <w:marBottom w:val="0"/>
      <w:divBdr>
        <w:top w:val="none" w:sz="0" w:space="0" w:color="auto"/>
        <w:left w:val="none" w:sz="0" w:space="0" w:color="auto"/>
        <w:bottom w:val="none" w:sz="0" w:space="0" w:color="auto"/>
        <w:right w:val="none" w:sz="0" w:space="0" w:color="auto"/>
      </w:divBdr>
    </w:div>
    <w:div w:id="2124302730">
      <w:bodyDiv w:val="1"/>
      <w:marLeft w:val="0"/>
      <w:marRight w:val="0"/>
      <w:marTop w:val="0"/>
      <w:marBottom w:val="0"/>
      <w:divBdr>
        <w:top w:val="none" w:sz="0" w:space="0" w:color="auto"/>
        <w:left w:val="none" w:sz="0" w:space="0" w:color="auto"/>
        <w:bottom w:val="none" w:sz="0" w:space="0" w:color="auto"/>
        <w:right w:val="none" w:sz="0" w:space="0" w:color="auto"/>
      </w:divBdr>
    </w:div>
    <w:div w:id="2124304380">
      <w:bodyDiv w:val="1"/>
      <w:marLeft w:val="0"/>
      <w:marRight w:val="0"/>
      <w:marTop w:val="0"/>
      <w:marBottom w:val="0"/>
      <w:divBdr>
        <w:top w:val="none" w:sz="0" w:space="0" w:color="auto"/>
        <w:left w:val="none" w:sz="0" w:space="0" w:color="auto"/>
        <w:bottom w:val="none" w:sz="0" w:space="0" w:color="auto"/>
        <w:right w:val="none" w:sz="0" w:space="0" w:color="auto"/>
      </w:divBdr>
    </w:div>
    <w:div w:id="2124497078">
      <w:bodyDiv w:val="1"/>
      <w:marLeft w:val="0"/>
      <w:marRight w:val="0"/>
      <w:marTop w:val="0"/>
      <w:marBottom w:val="0"/>
      <w:divBdr>
        <w:top w:val="none" w:sz="0" w:space="0" w:color="auto"/>
        <w:left w:val="none" w:sz="0" w:space="0" w:color="auto"/>
        <w:bottom w:val="none" w:sz="0" w:space="0" w:color="auto"/>
        <w:right w:val="none" w:sz="0" w:space="0" w:color="auto"/>
      </w:divBdr>
    </w:div>
    <w:div w:id="2124572507">
      <w:bodyDiv w:val="1"/>
      <w:marLeft w:val="0"/>
      <w:marRight w:val="0"/>
      <w:marTop w:val="0"/>
      <w:marBottom w:val="0"/>
      <w:divBdr>
        <w:top w:val="none" w:sz="0" w:space="0" w:color="auto"/>
        <w:left w:val="none" w:sz="0" w:space="0" w:color="auto"/>
        <w:bottom w:val="none" w:sz="0" w:space="0" w:color="auto"/>
        <w:right w:val="none" w:sz="0" w:space="0" w:color="auto"/>
      </w:divBdr>
    </w:div>
    <w:div w:id="2124617293">
      <w:bodyDiv w:val="1"/>
      <w:marLeft w:val="0"/>
      <w:marRight w:val="0"/>
      <w:marTop w:val="0"/>
      <w:marBottom w:val="0"/>
      <w:divBdr>
        <w:top w:val="none" w:sz="0" w:space="0" w:color="auto"/>
        <w:left w:val="none" w:sz="0" w:space="0" w:color="auto"/>
        <w:bottom w:val="none" w:sz="0" w:space="0" w:color="auto"/>
        <w:right w:val="none" w:sz="0" w:space="0" w:color="auto"/>
      </w:divBdr>
    </w:div>
    <w:div w:id="2124641873">
      <w:bodyDiv w:val="1"/>
      <w:marLeft w:val="0"/>
      <w:marRight w:val="0"/>
      <w:marTop w:val="0"/>
      <w:marBottom w:val="0"/>
      <w:divBdr>
        <w:top w:val="none" w:sz="0" w:space="0" w:color="auto"/>
        <w:left w:val="none" w:sz="0" w:space="0" w:color="auto"/>
        <w:bottom w:val="none" w:sz="0" w:space="0" w:color="auto"/>
        <w:right w:val="none" w:sz="0" w:space="0" w:color="auto"/>
      </w:divBdr>
    </w:div>
    <w:div w:id="2124688531">
      <w:bodyDiv w:val="1"/>
      <w:marLeft w:val="0"/>
      <w:marRight w:val="0"/>
      <w:marTop w:val="0"/>
      <w:marBottom w:val="0"/>
      <w:divBdr>
        <w:top w:val="none" w:sz="0" w:space="0" w:color="auto"/>
        <w:left w:val="none" w:sz="0" w:space="0" w:color="auto"/>
        <w:bottom w:val="none" w:sz="0" w:space="0" w:color="auto"/>
        <w:right w:val="none" w:sz="0" w:space="0" w:color="auto"/>
      </w:divBdr>
    </w:div>
    <w:div w:id="2124691646">
      <w:bodyDiv w:val="1"/>
      <w:marLeft w:val="0"/>
      <w:marRight w:val="0"/>
      <w:marTop w:val="0"/>
      <w:marBottom w:val="0"/>
      <w:divBdr>
        <w:top w:val="none" w:sz="0" w:space="0" w:color="auto"/>
        <w:left w:val="none" w:sz="0" w:space="0" w:color="auto"/>
        <w:bottom w:val="none" w:sz="0" w:space="0" w:color="auto"/>
        <w:right w:val="none" w:sz="0" w:space="0" w:color="auto"/>
      </w:divBdr>
    </w:div>
    <w:div w:id="2124878975">
      <w:bodyDiv w:val="1"/>
      <w:marLeft w:val="0"/>
      <w:marRight w:val="0"/>
      <w:marTop w:val="0"/>
      <w:marBottom w:val="0"/>
      <w:divBdr>
        <w:top w:val="none" w:sz="0" w:space="0" w:color="auto"/>
        <w:left w:val="none" w:sz="0" w:space="0" w:color="auto"/>
        <w:bottom w:val="none" w:sz="0" w:space="0" w:color="auto"/>
        <w:right w:val="none" w:sz="0" w:space="0" w:color="auto"/>
      </w:divBdr>
    </w:div>
    <w:div w:id="2124884905">
      <w:bodyDiv w:val="1"/>
      <w:marLeft w:val="0"/>
      <w:marRight w:val="0"/>
      <w:marTop w:val="0"/>
      <w:marBottom w:val="0"/>
      <w:divBdr>
        <w:top w:val="none" w:sz="0" w:space="0" w:color="auto"/>
        <w:left w:val="none" w:sz="0" w:space="0" w:color="auto"/>
        <w:bottom w:val="none" w:sz="0" w:space="0" w:color="auto"/>
        <w:right w:val="none" w:sz="0" w:space="0" w:color="auto"/>
      </w:divBdr>
    </w:div>
    <w:div w:id="2124956928">
      <w:bodyDiv w:val="1"/>
      <w:marLeft w:val="0"/>
      <w:marRight w:val="0"/>
      <w:marTop w:val="0"/>
      <w:marBottom w:val="0"/>
      <w:divBdr>
        <w:top w:val="none" w:sz="0" w:space="0" w:color="auto"/>
        <w:left w:val="none" w:sz="0" w:space="0" w:color="auto"/>
        <w:bottom w:val="none" w:sz="0" w:space="0" w:color="auto"/>
        <w:right w:val="none" w:sz="0" w:space="0" w:color="auto"/>
      </w:divBdr>
    </w:div>
    <w:div w:id="2124962264">
      <w:bodyDiv w:val="1"/>
      <w:marLeft w:val="0"/>
      <w:marRight w:val="0"/>
      <w:marTop w:val="0"/>
      <w:marBottom w:val="0"/>
      <w:divBdr>
        <w:top w:val="none" w:sz="0" w:space="0" w:color="auto"/>
        <w:left w:val="none" w:sz="0" w:space="0" w:color="auto"/>
        <w:bottom w:val="none" w:sz="0" w:space="0" w:color="auto"/>
        <w:right w:val="none" w:sz="0" w:space="0" w:color="auto"/>
      </w:divBdr>
    </w:div>
    <w:div w:id="2125298001">
      <w:bodyDiv w:val="1"/>
      <w:marLeft w:val="0"/>
      <w:marRight w:val="0"/>
      <w:marTop w:val="0"/>
      <w:marBottom w:val="0"/>
      <w:divBdr>
        <w:top w:val="none" w:sz="0" w:space="0" w:color="auto"/>
        <w:left w:val="none" w:sz="0" w:space="0" w:color="auto"/>
        <w:bottom w:val="none" w:sz="0" w:space="0" w:color="auto"/>
        <w:right w:val="none" w:sz="0" w:space="0" w:color="auto"/>
      </w:divBdr>
    </w:div>
    <w:div w:id="2125416065">
      <w:bodyDiv w:val="1"/>
      <w:marLeft w:val="0"/>
      <w:marRight w:val="0"/>
      <w:marTop w:val="0"/>
      <w:marBottom w:val="0"/>
      <w:divBdr>
        <w:top w:val="none" w:sz="0" w:space="0" w:color="auto"/>
        <w:left w:val="none" w:sz="0" w:space="0" w:color="auto"/>
        <w:bottom w:val="none" w:sz="0" w:space="0" w:color="auto"/>
        <w:right w:val="none" w:sz="0" w:space="0" w:color="auto"/>
      </w:divBdr>
    </w:div>
    <w:div w:id="2125538606">
      <w:bodyDiv w:val="1"/>
      <w:marLeft w:val="0"/>
      <w:marRight w:val="0"/>
      <w:marTop w:val="0"/>
      <w:marBottom w:val="0"/>
      <w:divBdr>
        <w:top w:val="none" w:sz="0" w:space="0" w:color="auto"/>
        <w:left w:val="none" w:sz="0" w:space="0" w:color="auto"/>
        <w:bottom w:val="none" w:sz="0" w:space="0" w:color="auto"/>
        <w:right w:val="none" w:sz="0" w:space="0" w:color="auto"/>
      </w:divBdr>
    </w:div>
    <w:div w:id="2125684276">
      <w:bodyDiv w:val="1"/>
      <w:marLeft w:val="0"/>
      <w:marRight w:val="0"/>
      <w:marTop w:val="0"/>
      <w:marBottom w:val="0"/>
      <w:divBdr>
        <w:top w:val="none" w:sz="0" w:space="0" w:color="auto"/>
        <w:left w:val="none" w:sz="0" w:space="0" w:color="auto"/>
        <w:bottom w:val="none" w:sz="0" w:space="0" w:color="auto"/>
        <w:right w:val="none" w:sz="0" w:space="0" w:color="auto"/>
      </w:divBdr>
    </w:div>
    <w:div w:id="2125685257">
      <w:bodyDiv w:val="1"/>
      <w:marLeft w:val="0"/>
      <w:marRight w:val="0"/>
      <w:marTop w:val="0"/>
      <w:marBottom w:val="0"/>
      <w:divBdr>
        <w:top w:val="none" w:sz="0" w:space="0" w:color="auto"/>
        <w:left w:val="none" w:sz="0" w:space="0" w:color="auto"/>
        <w:bottom w:val="none" w:sz="0" w:space="0" w:color="auto"/>
        <w:right w:val="none" w:sz="0" w:space="0" w:color="auto"/>
      </w:divBdr>
    </w:div>
    <w:div w:id="2125691317">
      <w:bodyDiv w:val="1"/>
      <w:marLeft w:val="0"/>
      <w:marRight w:val="0"/>
      <w:marTop w:val="0"/>
      <w:marBottom w:val="0"/>
      <w:divBdr>
        <w:top w:val="none" w:sz="0" w:space="0" w:color="auto"/>
        <w:left w:val="none" w:sz="0" w:space="0" w:color="auto"/>
        <w:bottom w:val="none" w:sz="0" w:space="0" w:color="auto"/>
        <w:right w:val="none" w:sz="0" w:space="0" w:color="auto"/>
      </w:divBdr>
    </w:div>
    <w:div w:id="2125692621">
      <w:bodyDiv w:val="1"/>
      <w:marLeft w:val="0"/>
      <w:marRight w:val="0"/>
      <w:marTop w:val="0"/>
      <w:marBottom w:val="0"/>
      <w:divBdr>
        <w:top w:val="none" w:sz="0" w:space="0" w:color="auto"/>
        <w:left w:val="none" w:sz="0" w:space="0" w:color="auto"/>
        <w:bottom w:val="none" w:sz="0" w:space="0" w:color="auto"/>
        <w:right w:val="none" w:sz="0" w:space="0" w:color="auto"/>
      </w:divBdr>
    </w:div>
    <w:div w:id="2125925978">
      <w:bodyDiv w:val="1"/>
      <w:marLeft w:val="0"/>
      <w:marRight w:val="0"/>
      <w:marTop w:val="0"/>
      <w:marBottom w:val="0"/>
      <w:divBdr>
        <w:top w:val="none" w:sz="0" w:space="0" w:color="auto"/>
        <w:left w:val="none" w:sz="0" w:space="0" w:color="auto"/>
        <w:bottom w:val="none" w:sz="0" w:space="0" w:color="auto"/>
        <w:right w:val="none" w:sz="0" w:space="0" w:color="auto"/>
      </w:divBdr>
    </w:div>
    <w:div w:id="2125928231">
      <w:bodyDiv w:val="1"/>
      <w:marLeft w:val="0"/>
      <w:marRight w:val="0"/>
      <w:marTop w:val="0"/>
      <w:marBottom w:val="0"/>
      <w:divBdr>
        <w:top w:val="none" w:sz="0" w:space="0" w:color="auto"/>
        <w:left w:val="none" w:sz="0" w:space="0" w:color="auto"/>
        <w:bottom w:val="none" w:sz="0" w:space="0" w:color="auto"/>
        <w:right w:val="none" w:sz="0" w:space="0" w:color="auto"/>
      </w:divBdr>
    </w:div>
    <w:div w:id="2125954277">
      <w:bodyDiv w:val="1"/>
      <w:marLeft w:val="0"/>
      <w:marRight w:val="0"/>
      <w:marTop w:val="0"/>
      <w:marBottom w:val="0"/>
      <w:divBdr>
        <w:top w:val="none" w:sz="0" w:space="0" w:color="auto"/>
        <w:left w:val="none" w:sz="0" w:space="0" w:color="auto"/>
        <w:bottom w:val="none" w:sz="0" w:space="0" w:color="auto"/>
        <w:right w:val="none" w:sz="0" w:space="0" w:color="auto"/>
      </w:divBdr>
    </w:div>
    <w:div w:id="2126000639">
      <w:bodyDiv w:val="1"/>
      <w:marLeft w:val="0"/>
      <w:marRight w:val="0"/>
      <w:marTop w:val="0"/>
      <w:marBottom w:val="0"/>
      <w:divBdr>
        <w:top w:val="none" w:sz="0" w:space="0" w:color="auto"/>
        <w:left w:val="none" w:sz="0" w:space="0" w:color="auto"/>
        <w:bottom w:val="none" w:sz="0" w:space="0" w:color="auto"/>
        <w:right w:val="none" w:sz="0" w:space="0" w:color="auto"/>
      </w:divBdr>
    </w:div>
    <w:div w:id="2126003069">
      <w:bodyDiv w:val="1"/>
      <w:marLeft w:val="0"/>
      <w:marRight w:val="0"/>
      <w:marTop w:val="0"/>
      <w:marBottom w:val="0"/>
      <w:divBdr>
        <w:top w:val="none" w:sz="0" w:space="0" w:color="auto"/>
        <w:left w:val="none" w:sz="0" w:space="0" w:color="auto"/>
        <w:bottom w:val="none" w:sz="0" w:space="0" w:color="auto"/>
        <w:right w:val="none" w:sz="0" w:space="0" w:color="auto"/>
      </w:divBdr>
    </w:div>
    <w:div w:id="2126073465">
      <w:bodyDiv w:val="1"/>
      <w:marLeft w:val="0"/>
      <w:marRight w:val="0"/>
      <w:marTop w:val="0"/>
      <w:marBottom w:val="0"/>
      <w:divBdr>
        <w:top w:val="none" w:sz="0" w:space="0" w:color="auto"/>
        <w:left w:val="none" w:sz="0" w:space="0" w:color="auto"/>
        <w:bottom w:val="none" w:sz="0" w:space="0" w:color="auto"/>
        <w:right w:val="none" w:sz="0" w:space="0" w:color="auto"/>
      </w:divBdr>
    </w:div>
    <w:div w:id="2126193672">
      <w:bodyDiv w:val="1"/>
      <w:marLeft w:val="0"/>
      <w:marRight w:val="0"/>
      <w:marTop w:val="0"/>
      <w:marBottom w:val="0"/>
      <w:divBdr>
        <w:top w:val="none" w:sz="0" w:space="0" w:color="auto"/>
        <w:left w:val="none" w:sz="0" w:space="0" w:color="auto"/>
        <w:bottom w:val="none" w:sz="0" w:space="0" w:color="auto"/>
        <w:right w:val="none" w:sz="0" w:space="0" w:color="auto"/>
      </w:divBdr>
    </w:div>
    <w:div w:id="2126264640">
      <w:bodyDiv w:val="1"/>
      <w:marLeft w:val="0"/>
      <w:marRight w:val="0"/>
      <w:marTop w:val="0"/>
      <w:marBottom w:val="0"/>
      <w:divBdr>
        <w:top w:val="none" w:sz="0" w:space="0" w:color="auto"/>
        <w:left w:val="none" w:sz="0" w:space="0" w:color="auto"/>
        <w:bottom w:val="none" w:sz="0" w:space="0" w:color="auto"/>
        <w:right w:val="none" w:sz="0" w:space="0" w:color="auto"/>
      </w:divBdr>
    </w:div>
    <w:div w:id="2126272780">
      <w:bodyDiv w:val="1"/>
      <w:marLeft w:val="0"/>
      <w:marRight w:val="0"/>
      <w:marTop w:val="0"/>
      <w:marBottom w:val="0"/>
      <w:divBdr>
        <w:top w:val="none" w:sz="0" w:space="0" w:color="auto"/>
        <w:left w:val="none" w:sz="0" w:space="0" w:color="auto"/>
        <w:bottom w:val="none" w:sz="0" w:space="0" w:color="auto"/>
        <w:right w:val="none" w:sz="0" w:space="0" w:color="auto"/>
      </w:divBdr>
    </w:div>
    <w:div w:id="2126383300">
      <w:bodyDiv w:val="1"/>
      <w:marLeft w:val="0"/>
      <w:marRight w:val="0"/>
      <w:marTop w:val="0"/>
      <w:marBottom w:val="0"/>
      <w:divBdr>
        <w:top w:val="none" w:sz="0" w:space="0" w:color="auto"/>
        <w:left w:val="none" w:sz="0" w:space="0" w:color="auto"/>
        <w:bottom w:val="none" w:sz="0" w:space="0" w:color="auto"/>
        <w:right w:val="none" w:sz="0" w:space="0" w:color="auto"/>
      </w:divBdr>
    </w:div>
    <w:div w:id="2126387305">
      <w:bodyDiv w:val="1"/>
      <w:marLeft w:val="0"/>
      <w:marRight w:val="0"/>
      <w:marTop w:val="0"/>
      <w:marBottom w:val="0"/>
      <w:divBdr>
        <w:top w:val="none" w:sz="0" w:space="0" w:color="auto"/>
        <w:left w:val="none" w:sz="0" w:space="0" w:color="auto"/>
        <w:bottom w:val="none" w:sz="0" w:space="0" w:color="auto"/>
        <w:right w:val="none" w:sz="0" w:space="0" w:color="auto"/>
      </w:divBdr>
    </w:div>
    <w:div w:id="2126388899">
      <w:bodyDiv w:val="1"/>
      <w:marLeft w:val="0"/>
      <w:marRight w:val="0"/>
      <w:marTop w:val="0"/>
      <w:marBottom w:val="0"/>
      <w:divBdr>
        <w:top w:val="none" w:sz="0" w:space="0" w:color="auto"/>
        <w:left w:val="none" w:sz="0" w:space="0" w:color="auto"/>
        <w:bottom w:val="none" w:sz="0" w:space="0" w:color="auto"/>
        <w:right w:val="none" w:sz="0" w:space="0" w:color="auto"/>
      </w:divBdr>
    </w:div>
    <w:div w:id="2126458580">
      <w:bodyDiv w:val="1"/>
      <w:marLeft w:val="0"/>
      <w:marRight w:val="0"/>
      <w:marTop w:val="0"/>
      <w:marBottom w:val="0"/>
      <w:divBdr>
        <w:top w:val="none" w:sz="0" w:space="0" w:color="auto"/>
        <w:left w:val="none" w:sz="0" w:space="0" w:color="auto"/>
        <w:bottom w:val="none" w:sz="0" w:space="0" w:color="auto"/>
        <w:right w:val="none" w:sz="0" w:space="0" w:color="auto"/>
      </w:divBdr>
    </w:div>
    <w:div w:id="2126652868">
      <w:bodyDiv w:val="1"/>
      <w:marLeft w:val="0"/>
      <w:marRight w:val="0"/>
      <w:marTop w:val="0"/>
      <w:marBottom w:val="0"/>
      <w:divBdr>
        <w:top w:val="none" w:sz="0" w:space="0" w:color="auto"/>
        <w:left w:val="none" w:sz="0" w:space="0" w:color="auto"/>
        <w:bottom w:val="none" w:sz="0" w:space="0" w:color="auto"/>
        <w:right w:val="none" w:sz="0" w:space="0" w:color="auto"/>
      </w:divBdr>
    </w:div>
    <w:div w:id="2126920846">
      <w:bodyDiv w:val="1"/>
      <w:marLeft w:val="0"/>
      <w:marRight w:val="0"/>
      <w:marTop w:val="0"/>
      <w:marBottom w:val="0"/>
      <w:divBdr>
        <w:top w:val="none" w:sz="0" w:space="0" w:color="auto"/>
        <w:left w:val="none" w:sz="0" w:space="0" w:color="auto"/>
        <w:bottom w:val="none" w:sz="0" w:space="0" w:color="auto"/>
        <w:right w:val="none" w:sz="0" w:space="0" w:color="auto"/>
      </w:divBdr>
    </w:div>
    <w:div w:id="2126996207">
      <w:bodyDiv w:val="1"/>
      <w:marLeft w:val="0"/>
      <w:marRight w:val="0"/>
      <w:marTop w:val="0"/>
      <w:marBottom w:val="0"/>
      <w:divBdr>
        <w:top w:val="none" w:sz="0" w:space="0" w:color="auto"/>
        <w:left w:val="none" w:sz="0" w:space="0" w:color="auto"/>
        <w:bottom w:val="none" w:sz="0" w:space="0" w:color="auto"/>
        <w:right w:val="none" w:sz="0" w:space="0" w:color="auto"/>
      </w:divBdr>
    </w:div>
    <w:div w:id="2127044118">
      <w:bodyDiv w:val="1"/>
      <w:marLeft w:val="0"/>
      <w:marRight w:val="0"/>
      <w:marTop w:val="0"/>
      <w:marBottom w:val="0"/>
      <w:divBdr>
        <w:top w:val="none" w:sz="0" w:space="0" w:color="auto"/>
        <w:left w:val="none" w:sz="0" w:space="0" w:color="auto"/>
        <w:bottom w:val="none" w:sz="0" w:space="0" w:color="auto"/>
        <w:right w:val="none" w:sz="0" w:space="0" w:color="auto"/>
      </w:divBdr>
    </w:div>
    <w:div w:id="2127114605">
      <w:bodyDiv w:val="1"/>
      <w:marLeft w:val="0"/>
      <w:marRight w:val="0"/>
      <w:marTop w:val="0"/>
      <w:marBottom w:val="0"/>
      <w:divBdr>
        <w:top w:val="none" w:sz="0" w:space="0" w:color="auto"/>
        <w:left w:val="none" w:sz="0" w:space="0" w:color="auto"/>
        <w:bottom w:val="none" w:sz="0" w:space="0" w:color="auto"/>
        <w:right w:val="none" w:sz="0" w:space="0" w:color="auto"/>
      </w:divBdr>
    </w:div>
    <w:div w:id="2127383095">
      <w:bodyDiv w:val="1"/>
      <w:marLeft w:val="0"/>
      <w:marRight w:val="0"/>
      <w:marTop w:val="0"/>
      <w:marBottom w:val="0"/>
      <w:divBdr>
        <w:top w:val="none" w:sz="0" w:space="0" w:color="auto"/>
        <w:left w:val="none" w:sz="0" w:space="0" w:color="auto"/>
        <w:bottom w:val="none" w:sz="0" w:space="0" w:color="auto"/>
        <w:right w:val="none" w:sz="0" w:space="0" w:color="auto"/>
      </w:divBdr>
    </w:div>
    <w:div w:id="2127383162">
      <w:bodyDiv w:val="1"/>
      <w:marLeft w:val="0"/>
      <w:marRight w:val="0"/>
      <w:marTop w:val="0"/>
      <w:marBottom w:val="0"/>
      <w:divBdr>
        <w:top w:val="none" w:sz="0" w:space="0" w:color="auto"/>
        <w:left w:val="none" w:sz="0" w:space="0" w:color="auto"/>
        <w:bottom w:val="none" w:sz="0" w:space="0" w:color="auto"/>
        <w:right w:val="none" w:sz="0" w:space="0" w:color="auto"/>
      </w:divBdr>
    </w:div>
    <w:div w:id="2127456307">
      <w:bodyDiv w:val="1"/>
      <w:marLeft w:val="0"/>
      <w:marRight w:val="0"/>
      <w:marTop w:val="0"/>
      <w:marBottom w:val="0"/>
      <w:divBdr>
        <w:top w:val="none" w:sz="0" w:space="0" w:color="auto"/>
        <w:left w:val="none" w:sz="0" w:space="0" w:color="auto"/>
        <w:bottom w:val="none" w:sz="0" w:space="0" w:color="auto"/>
        <w:right w:val="none" w:sz="0" w:space="0" w:color="auto"/>
      </w:divBdr>
    </w:div>
    <w:div w:id="2127460872">
      <w:bodyDiv w:val="1"/>
      <w:marLeft w:val="0"/>
      <w:marRight w:val="0"/>
      <w:marTop w:val="0"/>
      <w:marBottom w:val="0"/>
      <w:divBdr>
        <w:top w:val="none" w:sz="0" w:space="0" w:color="auto"/>
        <w:left w:val="none" w:sz="0" w:space="0" w:color="auto"/>
        <w:bottom w:val="none" w:sz="0" w:space="0" w:color="auto"/>
        <w:right w:val="none" w:sz="0" w:space="0" w:color="auto"/>
      </w:divBdr>
    </w:div>
    <w:div w:id="2127698678">
      <w:bodyDiv w:val="1"/>
      <w:marLeft w:val="0"/>
      <w:marRight w:val="0"/>
      <w:marTop w:val="0"/>
      <w:marBottom w:val="0"/>
      <w:divBdr>
        <w:top w:val="none" w:sz="0" w:space="0" w:color="auto"/>
        <w:left w:val="none" w:sz="0" w:space="0" w:color="auto"/>
        <w:bottom w:val="none" w:sz="0" w:space="0" w:color="auto"/>
        <w:right w:val="none" w:sz="0" w:space="0" w:color="auto"/>
      </w:divBdr>
    </w:div>
    <w:div w:id="2127699894">
      <w:bodyDiv w:val="1"/>
      <w:marLeft w:val="0"/>
      <w:marRight w:val="0"/>
      <w:marTop w:val="0"/>
      <w:marBottom w:val="0"/>
      <w:divBdr>
        <w:top w:val="none" w:sz="0" w:space="0" w:color="auto"/>
        <w:left w:val="none" w:sz="0" w:space="0" w:color="auto"/>
        <w:bottom w:val="none" w:sz="0" w:space="0" w:color="auto"/>
        <w:right w:val="none" w:sz="0" w:space="0" w:color="auto"/>
      </w:divBdr>
    </w:div>
    <w:div w:id="2127888952">
      <w:bodyDiv w:val="1"/>
      <w:marLeft w:val="0"/>
      <w:marRight w:val="0"/>
      <w:marTop w:val="0"/>
      <w:marBottom w:val="0"/>
      <w:divBdr>
        <w:top w:val="none" w:sz="0" w:space="0" w:color="auto"/>
        <w:left w:val="none" w:sz="0" w:space="0" w:color="auto"/>
        <w:bottom w:val="none" w:sz="0" w:space="0" w:color="auto"/>
        <w:right w:val="none" w:sz="0" w:space="0" w:color="auto"/>
      </w:divBdr>
    </w:div>
    <w:div w:id="2127964977">
      <w:bodyDiv w:val="1"/>
      <w:marLeft w:val="0"/>
      <w:marRight w:val="0"/>
      <w:marTop w:val="0"/>
      <w:marBottom w:val="0"/>
      <w:divBdr>
        <w:top w:val="none" w:sz="0" w:space="0" w:color="auto"/>
        <w:left w:val="none" w:sz="0" w:space="0" w:color="auto"/>
        <w:bottom w:val="none" w:sz="0" w:space="0" w:color="auto"/>
        <w:right w:val="none" w:sz="0" w:space="0" w:color="auto"/>
      </w:divBdr>
    </w:div>
    <w:div w:id="2128159733">
      <w:bodyDiv w:val="1"/>
      <w:marLeft w:val="0"/>
      <w:marRight w:val="0"/>
      <w:marTop w:val="0"/>
      <w:marBottom w:val="0"/>
      <w:divBdr>
        <w:top w:val="none" w:sz="0" w:space="0" w:color="auto"/>
        <w:left w:val="none" w:sz="0" w:space="0" w:color="auto"/>
        <w:bottom w:val="none" w:sz="0" w:space="0" w:color="auto"/>
        <w:right w:val="none" w:sz="0" w:space="0" w:color="auto"/>
      </w:divBdr>
    </w:div>
    <w:div w:id="2128307249">
      <w:bodyDiv w:val="1"/>
      <w:marLeft w:val="0"/>
      <w:marRight w:val="0"/>
      <w:marTop w:val="0"/>
      <w:marBottom w:val="0"/>
      <w:divBdr>
        <w:top w:val="none" w:sz="0" w:space="0" w:color="auto"/>
        <w:left w:val="none" w:sz="0" w:space="0" w:color="auto"/>
        <w:bottom w:val="none" w:sz="0" w:space="0" w:color="auto"/>
        <w:right w:val="none" w:sz="0" w:space="0" w:color="auto"/>
      </w:divBdr>
    </w:div>
    <w:div w:id="2128616376">
      <w:bodyDiv w:val="1"/>
      <w:marLeft w:val="0"/>
      <w:marRight w:val="0"/>
      <w:marTop w:val="0"/>
      <w:marBottom w:val="0"/>
      <w:divBdr>
        <w:top w:val="none" w:sz="0" w:space="0" w:color="auto"/>
        <w:left w:val="none" w:sz="0" w:space="0" w:color="auto"/>
        <w:bottom w:val="none" w:sz="0" w:space="0" w:color="auto"/>
        <w:right w:val="none" w:sz="0" w:space="0" w:color="auto"/>
      </w:divBdr>
    </w:div>
    <w:div w:id="2128812728">
      <w:bodyDiv w:val="1"/>
      <w:marLeft w:val="0"/>
      <w:marRight w:val="0"/>
      <w:marTop w:val="0"/>
      <w:marBottom w:val="0"/>
      <w:divBdr>
        <w:top w:val="none" w:sz="0" w:space="0" w:color="auto"/>
        <w:left w:val="none" w:sz="0" w:space="0" w:color="auto"/>
        <w:bottom w:val="none" w:sz="0" w:space="0" w:color="auto"/>
        <w:right w:val="none" w:sz="0" w:space="0" w:color="auto"/>
      </w:divBdr>
    </w:div>
    <w:div w:id="2128886410">
      <w:bodyDiv w:val="1"/>
      <w:marLeft w:val="0"/>
      <w:marRight w:val="0"/>
      <w:marTop w:val="0"/>
      <w:marBottom w:val="0"/>
      <w:divBdr>
        <w:top w:val="none" w:sz="0" w:space="0" w:color="auto"/>
        <w:left w:val="none" w:sz="0" w:space="0" w:color="auto"/>
        <w:bottom w:val="none" w:sz="0" w:space="0" w:color="auto"/>
        <w:right w:val="none" w:sz="0" w:space="0" w:color="auto"/>
      </w:divBdr>
    </w:div>
    <w:div w:id="2129086400">
      <w:bodyDiv w:val="1"/>
      <w:marLeft w:val="0"/>
      <w:marRight w:val="0"/>
      <w:marTop w:val="0"/>
      <w:marBottom w:val="0"/>
      <w:divBdr>
        <w:top w:val="none" w:sz="0" w:space="0" w:color="auto"/>
        <w:left w:val="none" w:sz="0" w:space="0" w:color="auto"/>
        <w:bottom w:val="none" w:sz="0" w:space="0" w:color="auto"/>
        <w:right w:val="none" w:sz="0" w:space="0" w:color="auto"/>
      </w:divBdr>
    </w:div>
    <w:div w:id="2129161766">
      <w:bodyDiv w:val="1"/>
      <w:marLeft w:val="0"/>
      <w:marRight w:val="0"/>
      <w:marTop w:val="0"/>
      <w:marBottom w:val="0"/>
      <w:divBdr>
        <w:top w:val="none" w:sz="0" w:space="0" w:color="auto"/>
        <w:left w:val="none" w:sz="0" w:space="0" w:color="auto"/>
        <w:bottom w:val="none" w:sz="0" w:space="0" w:color="auto"/>
        <w:right w:val="none" w:sz="0" w:space="0" w:color="auto"/>
      </w:divBdr>
    </w:div>
    <w:div w:id="2129202286">
      <w:bodyDiv w:val="1"/>
      <w:marLeft w:val="0"/>
      <w:marRight w:val="0"/>
      <w:marTop w:val="0"/>
      <w:marBottom w:val="0"/>
      <w:divBdr>
        <w:top w:val="none" w:sz="0" w:space="0" w:color="auto"/>
        <w:left w:val="none" w:sz="0" w:space="0" w:color="auto"/>
        <w:bottom w:val="none" w:sz="0" w:space="0" w:color="auto"/>
        <w:right w:val="none" w:sz="0" w:space="0" w:color="auto"/>
      </w:divBdr>
    </w:div>
    <w:div w:id="2129427583">
      <w:bodyDiv w:val="1"/>
      <w:marLeft w:val="0"/>
      <w:marRight w:val="0"/>
      <w:marTop w:val="0"/>
      <w:marBottom w:val="0"/>
      <w:divBdr>
        <w:top w:val="none" w:sz="0" w:space="0" w:color="auto"/>
        <w:left w:val="none" w:sz="0" w:space="0" w:color="auto"/>
        <w:bottom w:val="none" w:sz="0" w:space="0" w:color="auto"/>
        <w:right w:val="none" w:sz="0" w:space="0" w:color="auto"/>
      </w:divBdr>
    </w:div>
    <w:div w:id="2129469668">
      <w:bodyDiv w:val="1"/>
      <w:marLeft w:val="0"/>
      <w:marRight w:val="0"/>
      <w:marTop w:val="0"/>
      <w:marBottom w:val="0"/>
      <w:divBdr>
        <w:top w:val="none" w:sz="0" w:space="0" w:color="auto"/>
        <w:left w:val="none" w:sz="0" w:space="0" w:color="auto"/>
        <w:bottom w:val="none" w:sz="0" w:space="0" w:color="auto"/>
        <w:right w:val="none" w:sz="0" w:space="0" w:color="auto"/>
      </w:divBdr>
    </w:div>
    <w:div w:id="2129470383">
      <w:bodyDiv w:val="1"/>
      <w:marLeft w:val="0"/>
      <w:marRight w:val="0"/>
      <w:marTop w:val="0"/>
      <w:marBottom w:val="0"/>
      <w:divBdr>
        <w:top w:val="none" w:sz="0" w:space="0" w:color="auto"/>
        <w:left w:val="none" w:sz="0" w:space="0" w:color="auto"/>
        <w:bottom w:val="none" w:sz="0" w:space="0" w:color="auto"/>
        <w:right w:val="none" w:sz="0" w:space="0" w:color="auto"/>
      </w:divBdr>
    </w:div>
    <w:div w:id="2129540621">
      <w:bodyDiv w:val="1"/>
      <w:marLeft w:val="0"/>
      <w:marRight w:val="0"/>
      <w:marTop w:val="0"/>
      <w:marBottom w:val="0"/>
      <w:divBdr>
        <w:top w:val="none" w:sz="0" w:space="0" w:color="auto"/>
        <w:left w:val="none" w:sz="0" w:space="0" w:color="auto"/>
        <w:bottom w:val="none" w:sz="0" w:space="0" w:color="auto"/>
        <w:right w:val="none" w:sz="0" w:space="0" w:color="auto"/>
      </w:divBdr>
    </w:div>
    <w:div w:id="2129545857">
      <w:bodyDiv w:val="1"/>
      <w:marLeft w:val="0"/>
      <w:marRight w:val="0"/>
      <w:marTop w:val="0"/>
      <w:marBottom w:val="0"/>
      <w:divBdr>
        <w:top w:val="none" w:sz="0" w:space="0" w:color="auto"/>
        <w:left w:val="none" w:sz="0" w:space="0" w:color="auto"/>
        <w:bottom w:val="none" w:sz="0" w:space="0" w:color="auto"/>
        <w:right w:val="none" w:sz="0" w:space="0" w:color="auto"/>
      </w:divBdr>
    </w:div>
    <w:div w:id="2129665063">
      <w:bodyDiv w:val="1"/>
      <w:marLeft w:val="0"/>
      <w:marRight w:val="0"/>
      <w:marTop w:val="0"/>
      <w:marBottom w:val="0"/>
      <w:divBdr>
        <w:top w:val="none" w:sz="0" w:space="0" w:color="auto"/>
        <w:left w:val="none" w:sz="0" w:space="0" w:color="auto"/>
        <w:bottom w:val="none" w:sz="0" w:space="0" w:color="auto"/>
        <w:right w:val="none" w:sz="0" w:space="0" w:color="auto"/>
      </w:divBdr>
    </w:div>
    <w:div w:id="2129808824">
      <w:bodyDiv w:val="1"/>
      <w:marLeft w:val="0"/>
      <w:marRight w:val="0"/>
      <w:marTop w:val="0"/>
      <w:marBottom w:val="0"/>
      <w:divBdr>
        <w:top w:val="none" w:sz="0" w:space="0" w:color="auto"/>
        <w:left w:val="none" w:sz="0" w:space="0" w:color="auto"/>
        <w:bottom w:val="none" w:sz="0" w:space="0" w:color="auto"/>
        <w:right w:val="none" w:sz="0" w:space="0" w:color="auto"/>
      </w:divBdr>
    </w:div>
    <w:div w:id="2129928285">
      <w:bodyDiv w:val="1"/>
      <w:marLeft w:val="0"/>
      <w:marRight w:val="0"/>
      <w:marTop w:val="0"/>
      <w:marBottom w:val="0"/>
      <w:divBdr>
        <w:top w:val="none" w:sz="0" w:space="0" w:color="auto"/>
        <w:left w:val="none" w:sz="0" w:space="0" w:color="auto"/>
        <w:bottom w:val="none" w:sz="0" w:space="0" w:color="auto"/>
        <w:right w:val="none" w:sz="0" w:space="0" w:color="auto"/>
      </w:divBdr>
    </w:div>
    <w:div w:id="2129929181">
      <w:bodyDiv w:val="1"/>
      <w:marLeft w:val="0"/>
      <w:marRight w:val="0"/>
      <w:marTop w:val="0"/>
      <w:marBottom w:val="0"/>
      <w:divBdr>
        <w:top w:val="none" w:sz="0" w:space="0" w:color="auto"/>
        <w:left w:val="none" w:sz="0" w:space="0" w:color="auto"/>
        <w:bottom w:val="none" w:sz="0" w:space="0" w:color="auto"/>
        <w:right w:val="none" w:sz="0" w:space="0" w:color="auto"/>
      </w:divBdr>
    </w:div>
    <w:div w:id="2130004726">
      <w:bodyDiv w:val="1"/>
      <w:marLeft w:val="0"/>
      <w:marRight w:val="0"/>
      <w:marTop w:val="0"/>
      <w:marBottom w:val="0"/>
      <w:divBdr>
        <w:top w:val="none" w:sz="0" w:space="0" w:color="auto"/>
        <w:left w:val="none" w:sz="0" w:space="0" w:color="auto"/>
        <w:bottom w:val="none" w:sz="0" w:space="0" w:color="auto"/>
        <w:right w:val="none" w:sz="0" w:space="0" w:color="auto"/>
      </w:divBdr>
    </w:div>
    <w:div w:id="2130005493">
      <w:bodyDiv w:val="1"/>
      <w:marLeft w:val="0"/>
      <w:marRight w:val="0"/>
      <w:marTop w:val="0"/>
      <w:marBottom w:val="0"/>
      <w:divBdr>
        <w:top w:val="none" w:sz="0" w:space="0" w:color="auto"/>
        <w:left w:val="none" w:sz="0" w:space="0" w:color="auto"/>
        <w:bottom w:val="none" w:sz="0" w:space="0" w:color="auto"/>
        <w:right w:val="none" w:sz="0" w:space="0" w:color="auto"/>
      </w:divBdr>
    </w:div>
    <w:div w:id="2130127316">
      <w:bodyDiv w:val="1"/>
      <w:marLeft w:val="0"/>
      <w:marRight w:val="0"/>
      <w:marTop w:val="0"/>
      <w:marBottom w:val="0"/>
      <w:divBdr>
        <w:top w:val="none" w:sz="0" w:space="0" w:color="auto"/>
        <w:left w:val="none" w:sz="0" w:space="0" w:color="auto"/>
        <w:bottom w:val="none" w:sz="0" w:space="0" w:color="auto"/>
        <w:right w:val="none" w:sz="0" w:space="0" w:color="auto"/>
      </w:divBdr>
    </w:div>
    <w:div w:id="2130201462">
      <w:bodyDiv w:val="1"/>
      <w:marLeft w:val="0"/>
      <w:marRight w:val="0"/>
      <w:marTop w:val="0"/>
      <w:marBottom w:val="0"/>
      <w:divBdr>
        <w:top w:val="none" w:sz="0" w:space="0" w:color="auto"/>
        <w:left w:val="none" w:sz="0" w:space="0" w:color="auto"/>
        <w:bottom w:val="none" w:sz="0" w:space="0" w:color="auto"/>
        <w:right w:val="none" w:sz="0" w:space="0" w:color="auto"/>
      </w:divBdr>
    </w:div>
    <w:div w:id="2130317844">
      <w:bodyDiv w:val="1"/>
      <w:marLeft w:val="0"/>
      <w:marRight w:val="0"/>
      <w:marTop w:val="0"/>
      <w:marBottom w:val="0"/>
      <w:divBdr>
        <w:top w:val="none" w:sz="0" w:space="0" w:color="auto"/>
        <w:left w:val="none" w:sz="0" w:space="0" w:color="auto"/>
        <w:bottom w:val="none" w:sz="0" w:space="0" w:color="auto"/>
        <w:right w:val="none" w:sz="0" w:space="0" w:color="auto"/>
      </w:divBdr>
    </w:div>
    <w:div w:id="2130394689">
      <w:bodyDiv w:val="1"/>
      <w:marLeft w:val="0"/>
      <w:marRight w:val="0"/>
      <w:marTop w:val="0"/>
      <w:marBottom w:val="0"/>
      <w:divBdr>
        <w:top w:val="none" w:sz="0" w:space="0" w:color="auto"/>
        <w:left w:val="none" w:sz="0" w:space="0" w:color="auto"/>
        <w:bottom w:val="none" w:sz="0" w:space="0" w:color="auto"/>
        <w:right w:val="none" w:sz="0" w:space="0" w:color="auto"/>
      </w:divBdr>
    </w:div>
    <w:div w:id="2130510680">
      <w:bodyDiv w:val="1"/>
      <w:marLeft w:val="0"/>
      <w:marRight w:val="0"/>
      <w:marTop w:val="0"/>
      <w:marBottom w:val="0"/>
      <w:divBdr>
        <w:top w:val="none" w:sz="0" w:space="0" w:color="auto"/>
        <w:left w:val="none" w:sz="0" w:space="0" w:color="auto"/>
        <w:bottom w:val="none" w:sz="0" w:space="0" w:color="auto"/>
        <w:right w:val="none" w:sz="0" w:space="0" w:color="auto"/>
      </w:divBdr>
    </w:div>
    <w:div w:id="2130706759">
      <w:bodyDiv w:val="1"/>
      <w:marLeft w:val="0"/>
      <w:marRight w:val="0"/>
      <w:marTop w:val="0"/>
      <w:marBottom w:val="0"/>
      <w:divBdr>
        <w:top w:val="none" w:sz="0" w:space="0" w:color="auto"/>
        <w:left w:val="none" w:sz="0" w:space="0" w:color="auto"/>
        <w:bottom w:val="none" w:sz="0" w:space="0" w:color="auto"/>
        <w:right w:val="none" w:sz="0" w:space="0" w:color="auto"/>
      </w:divBdr>
    </w:div>
    <w:div w:id="2130733202">
      <w:bodyDiv w:val="1"/>
      <w:marLeft w:val="0"/>
      <w:marRight w:val="0"/>
      <w:marTop w:val="0"/>
      <w:marBottom w:val="0"/>
      <w:divBdr>
        <w:top w:val="none" w:sz="0" w:space="0" w:color="auto"/>
        <w:left w:val="none" w:sz="0" w:space="0" w:color="auto"/>
        <w:bottom w:val="none" w:sz="0" w:space="0" w:color="auto"/>
        <w:right w:val="none" w:sz="0" w:space="0" w:color="auto"/>
      </w:divBdr>
    </w:div>
    <w:div w:id="2130851452">
      <w:bodyDiv w:val="1"/>
      <w:marLeft w:val="0"/>
      <w:marRight w:val="0"/>
      <w:marTop w:val="0"/>
      <w:marBottom w:val="0"/>
      <w:divBdr>
        <w:top w:val="none" w:sz="0" w:space="0" w:color="auto"/>
        <w:left w:val="none" w:sz="0" w:space="0" w:color="auto"/>
        <w:bottom w:val="none" w:sz="0" w:space="0" w:color="auto"/>
        <w:right w:val="none" w:sz="0" w:space="0" w:color="auto"/>
      </w:divBdr>
    </w:div>
    <w:div w:id="2130934948">
      <w:bodyDiv w:val="1"/>
      <w:marLeft w:val="0"/>
      <w:marRight w:val="0"/>
      <w:marTop w:val="0"/>
      <w:marBottom w:val="0"/>
      <w:divBdr>
        <w:top w:val="none" w:sz="0" w:space="0" w:color="auto"/>
        <w:left w:val="none" w:sz="0" w:space="0" w:color="auto"/>
        <w:bottom w:val="none" w:sz="0" w:space="0" w:color="auto"/>
        <w:right w:val="none" w:sz="0" w:space="0" w:color="auto"/>
      </w:divBdr>
    </w:div>
    <w:div w:id="2131122431">
      <w:bodyDiv w:val="1"/>
      <w:marLeft w:val="0"/>
      <w:marRight w:val="0"/>
      <w:marTop w:val="0"/>
      <w:marBottom w:val="0"/>
      <w:divBdr>
        <w:top w:val="none" w:sz="0" w:space="0" w:color="auto"/>
        <w:left w:val="none" w:sz="0" w:space="0" w:color="auto"/>
        <w:bottom w:val="none" w:sz="0" w:space="0" w:color="auto"/>
        <w:right w:val="none" w:sz="0" w:space="0" w:color="auto"/>
      </w:divBdr>
    </w:div>
    <w:div w:id="2131124019">
      <w:bodyDiv w:val="1"/>
      <w:marLeft w:val="0"/>
      <w:marRight w:val="0"/>
      <w:marTop w:val="0"/>
      <w:marBottom w:val="0"/>
      <w:divBdr>
        <w:top w:val="none" w:sz="0" w:space="0" w:color="auto"/>
        <w:left w:val="none" w:sz="0" w:space="0" w:color="auto"/>
        <w:bottom w:val="none" w:sz="0" w:space="0" w:color="auto"/>
        <w:right w:val="none" w:sz="0" w:space="0" w:color="auto"/>
      </w:divBdr>
    </w:div>
    <w:div w:id="2131394399">
      <w:bodyDiv w:val="1"/>
      <w:marLeft w:val="0"/>
      <w:marRight w:val="0"/>
      <w:marTop w:val="0"/>
      <w:marBottom w:val="0"/>
      <w:divBdr>
        <w:top w:val="none" w:sz="0" w:space="0" w:color="auto"/>
        <w:left w:val="none" w:sz="0" w:space="0" w:color="auto"/>
        <w:bottom w:val="none" w:sz="0" w:space="0" w:color="auto"/>
        <w:right w:val="none" w:sz="0" w:space="0" w:color="auto"/>
      </w:divBdr>
    </w:div>
    <w:div w:id="2131439585">
      <w:bodyDiv w:val="1"/>
      <w:marLeft w:val="0"/>
      <w:marRight w:val="0"/>
      <w:marTop w:val="0"/>
      <w:marBottom w:val="0"/>
      <w:divBdr>
        <w:top w:val="none" w:sz="0" w:space="0" w:color="auto"/>
        <w:left w:val="none" w:sz="0" w:space="0" w:color="auto"/>
        <w:bottom w:val="none" w:sz="0" w:space="0" w:color="auto"/>
        <w:right w:val="none" w:sz="0" w:space="0" w:color="auto"/>
      </w:divBdr>
    </w:div>
    <w:div w:id="2131587252">
      <w:bodyDiv w:val="1"/>
      <w:marLeft w:val="0"/>
      <w:marRight w:val="0"/>
      <w:marTop w:val="0"/>
      <w:marBottom w:val="0"/>
      <w:divBdr>
        <w:top w:val="none" w:sz="0" w:space="0" w:color="auto"/>
        <w:left w:val="none" w:sz="0" w:space="0" w:color="auto"/>
        <w:bottom w:val="none" w:sz="0" w:space="0" w:color="auto"/>
        <w:right w:val="none" w:sz="0" w:space="0" w:color="auto"/>
      </w:divBdr>
    </w:div>
    <w:div w:id="2131587346">
      <w:bodyDiv w:val="1"/>
      <w:marLeft w:val="0"/>
      <w:marRight w:val="0"/>
      <w:marTop w:val="0"/>
      <w:marBottom w:val="0"/>
      <w:divBdr>
        <w:top w:val="none" w:sz="0" w:space="0" w:color="auto"/>
        <w:left w:val="none" w:sz="0" w:space="0" w:color="auto"/>
        <w:bottom w:val="none" w:sz="0" w:space="0" w:color="auto"/>
        <w:right w:val="none" w:sz="0" w:space="0" w:color="auto"/>
      </w:divBdr>
    </w:div>
    <w:div w:id="2131630799">
      <w:bodyDiv w:val="1"/>
      <w:marLeft w:val="0"/>
      <w:marRight w:val="0"/>
      <w:marTop w:val="0"/>
      <w:marBottom w:val="0"/>
      <w:divBdr>
        <w:top w:val="none" w:sz="0" w:space="0" w:color="auto"/>
        <w:left w:val="none" w:sz="0" w:space="0" w:color="auto"/>
        <w:bottom w:val="none" w:sz="0" w:space="0" w:color="auto"/>
        <w:right w:val="none" w:sz="0" w:space="0" w:color="auto"/>
      </w:divBdr>
    </w:div>
    <w:div w:id="2131705406">
      <w:bodyDiv w:val="1"/>
      <w:marLeft w:val="0"/>
      <w:marRight w:val="0"/>
      <w:marTop w:val="0"/>
      <w:marBottom w:val="0"/>
      <w:divBdr>
        <w:top w:val="none" w:sz="0" w:space="0" w:color="auto"/>
        <w:left w:val="none" w:sz="0" w:space="0" w:color="auto"/>
        <w:bottom w:val="none" w:sz="0" w:space="0" w:color="auto"/>
        <w:right w:val="none" w:sz="0" w:space="0" w:color="auto"/>
      </w:divBdr>
    </w:div>
    <w:div w:id="2131776623">
      <w:bodyDiv w:val="1"/>
      <w:marLeft w:val="0"/>
      <w:marRight w:val="0"/>
      <w:marTop w:val="0"/>
      <w:marBottom w:val="0"/>
      <w:divBdr>
        <w:top w:val="none" w:sz="0" w:space="0" w:color="auto"/>
        <w:left w:val="none" w:sz="0" w:space="0" w:color="auto"/>
        <w:bottom w:val="none" w:sz="0" w:space="0" w:color="auto"/>
        <w:right w:val="none" w:sz="0" w:space="0" w:color="auto"/>
      </w:divBdr>
    </w:div>
    <w:div w:id="2131850761">
      <w:bodyDiv w:val="1"/>
      <w:marLeft w:val="0"/>
      <w:marRight w:val="0"/>
      <w:marTop w:val="0"/>
      <w:marBottom w:val="0"/>
      <w:divBdr>
        <w:top w:val="none" w:sz="0" w:space="0" w:color="auto"/>
        <w:left w:val="none" w:sz="0" w:space="0" w:color="auto"/>
        <w:bottom w:val="none" w:sz="0" w:space="0" w:color="auto"/>
        <w:right w:val="none" w:sz="0" w:space="0" w:color="auto"/>
      </w:divBdr>
    </w:div>
    <w:div w:id="2131851163">
      <w:bodyDiv w:val="1"/>
      <w:marLeft w:val="0"/>
      <w:marRight w:val="0"/>
      <w:marTop w:val="0"/>
      <w:marBottom w:val="0"/>
      <w:divBdr>
        <w:top w:val="none" w:sz="0" w:space="0" w:color="auto"/>
        <w:left w:val="none" w:sz="0" w:space="0" w:color="auto"/>
        <w:bottom w:val="none" w:sz="0" w:space="0" w:color="auto"/>
        <w:right w:val="none" w:sz="0" w:space="0" w:color="auto"/>
      </w:divBdr>
    </w:div>
    <w:div w:id="2131851563">
      <w:bodyDiv w:val="1"/>
      <w:marLeft w:val="0"/>
      <w:marRight w:val="0"/>
      <w:marTop w:val="0"/>
      <w:marBottom w:val="0"/>
      <w:divBdr>
        <w:top w:val="none" w:sz="0" w:space="0" w:color="auto"/>
        <w:left w:val="none" w:sz="0" w:space="0" w:color="auto"/>
        <w:bottom w:val="none" w:sz="0" w:space="0" w:color="auto"/>
        <w:right w:val="none" w:sz="0" w:space="0" w:color="auto"/>
      </w:divBdr>
    </w:div>
    <w:div w:id="2131895218">
      <w:bodyDiv w:val="1"/>
      <w:marLeft w:val="0"/>
      <w:marRight w:val="0"/>
      <w:marTop w:val="0"/>
      <w:marBottom w:val="0"/>
      <w:divBdr>
        <w:top w:val="none" w:sz="0" w:space="0" w:color="auto"/>
        <w:left w:val="none" w:sz="0" w:space="0" w:color="auto"/>
        <w:bottom w:val="none" w:sz="0" w:space="0" w:color="auto"/>
        <w:right w:val="none" w:sz="0" w:space="0" w:color="auto"/>
      </w:divBdr>
    </w:div>
    <w:div w:id="2131974380">
      <w:bodyDiv w:val="1"/>
      <w:marLeft w:val="0"/>
      <w:marRight w:val="0"/>
      <w:marTop w:val="0"/>
      <w:marBottom w:val="0"/>
      <w:divBdr>
        <w:top w:val="none" w:sz="0" w:space="0" w:color="auto"/>
        <w:left w:val="none" w:sz="0" w:space="0" w:color="auto"/>
        <w:bottom w:val="none" w:sz="0" w:space="0" w:color="auto"/>
        <w:right w:val="none" w:sz="0" w:space="0" w:color="auto"/>
      </w:divBdr>
    </w:div>
    <w:div w:id="2132048440">
      <w:bodyDiv w:val="1"/>
      <w:marLeft w:val="0"/>
      <w:marRight w:val="0"/>
      <w:marTop w:val="0"/>
      <w:marBottom w:val="0"/>
      <w:divBdr>
        <w:top w:val="none" w:sz="0" w:space="0" w:color="auto"/>
        <w:left w:val="none" w:sz="0" w:space="0" w:color="auto"/>
        <w:bottom w:val="none" w:sz="0" w:space="0" w:color="auto"/>
        <w:right w:val="none" w:sz="0" w:space="0" w:color="auto"/>
      </w:divBdr>
    </w:div>
    <w:div w:id="2132165054">
      <w:bodyDiv w:val="1"/>
      <w:marLeft w:val="0"/>
      <w:marRight w:val="0"/>
      <w:marTop w:val="0"/>
      <w:marBottom w:val="0"/>
      <w:divBdr>
        <w:top w:val="none" w:sz="0" w:space="0" w:color="auto"/>
        <w:left w:val="none" w:sz="0" w:space="0" w:color="auto"/>
        <w:bottom w:val="none" w:sz="0" w:space="0" w:color="auto"/>
        <w:right w:val="none" w:sz="0" w:space="0" w:color="auto"/>
      </w:divBdr>
    </w:div>
    <w:div w:id="2132244953">
      <w:bodyDiv w:val="1"/>
      <w:marLeft w:val="0"/>
      <w:marRight w:val="0"/>
      <w:marTop w:val="0"/>
      <w:marBottom w:val="0"/>
      <w:divBdr>
        <w:top w:val="none" w:sz="0" w:space="0" w:color="auto"/>
        <w:left w:val="none" w:sz="0" w:space="0" w:color="auto"/>
        <w:bottom w:val="none" w:sz="0" w:space="0" w:color="auto"/>
        <w:right w:val="none" w:sz="0" w:space="0" w:color="auto"/>
      </w:divBdr>
    </w:div>
    <w:div w:id="2132357615">
      <w:bodyDiv w:val="1"/>
      <w:marLeft w:val="0"/>
      <w:marRight w:val="0"/>
      <w:marTop w:val="0"/>
      <w:marBottom w:val="0"/>
      <w:divBdr>
        <w:top w:val="none" w:sz="0" w:space="0" w:color="auto"/>
        <w:left w:val="none" w:sz="0" w:space="0" w:color="auto"/>
        <w:bottom w:val="none" w:sz="0" w:space="0" w:color="auto"/>
        <w:right w:val="none" w:sz="0" w:space="0" w:color="auto"/>
      </w:divBdr>
    </w:div>
    <w:div w:id="2132360418">
      <w:bodyDiv w:val="1"/>
      <w:marLeft w:val="0"/>
      <w:marRight w:val="0"/>
      <w:marTop w:val="0"/>
      <w:marBottom w:val="0"/>
      <w:divBdr>
        <w:top w:val="none" w:sz="0" w:space="0" w:color="auto"/>
        <w:left w:val="none" w:sz="0" w:space="0" w:color="auto"/>
        <w:bottom w:val="none" w:sz="0" w:space="0" w:color="auto"/>
        <w:right w:val="none" w:sz="0" w:space="0" w:color="auto"/>
      </w:divBdr>
    </w:div>
    <w:div w:id="2132436930">
      <w:bodyDiv w:val="1"/>
      <w:marLeft w:val="0"/>
      <w:marRight w:val="0"/>
      <w:marTop w:val="0"/>
      <w:marBottom w:val="0"/>
      <w:divBdr>
        <w:top w:val="none" w:sz="0" w:space="0" w:color="auto"/>
        <w:left w:val="none" w:sz="0" w:space="0" w:color="auto"/>
        <w:bottom w:val="none" w:sz="0" w:space="0" w:color="auto"/>
        <w:right w:val="none" w:sz="0" w:space="0" w:color="auto"/>
      </w:divBdr>
    </w:div>
    <w:div w:id="2132438428">
      <w:bodyDiv w:val="1"/>
      <w:marLeft w:val="0"/>
      <w:marRight w:val="0"/>
      <w:marTop w:val="0"/>
      <w:marBottom w:val="0"/>
      <w:divBdr>
        <w:top w:val="none" w:sz="0" w:space="0" w:color="auto"/>
        <w:left w:val="none" w:sz="0" w:space="0" w:color="auto"/>
        <w:bottom w:val="none" w:sz="0" w:space="0" w:color="auto"/>
        <w:right w:val="none" w:sz="0" w:space="0" w:color="auto"/>
      </w:divBdr>
    </w:div>
    <w:div w:id="2132480868">
      <w:bodyDiv w:val="1"/>
      <w:marLeft w:val="0"/>
      <w:marRight w:val="0"/>
      <w:marTop w:val="0"/>
      <w:marBottom w:val="0"/>
      <w:divBdr>
        <w:top w:val="none" w:sz="0" w:space="0" w:color="auto"/>
        <w:left w:val="none" w:sz="0" w:space="0" w:color="auto"/>
        <w:bottom w:val="none" w:sz="0" w:space="0" w:color="auto"/>
        <w:right w:val="none" w:sz="0" w:space="0" w:color="auto"/>
      </w:divBdr>
    </w:div>
    <w:div w:id="2132820513">
      <w:bodyDiv w:val="1"/>
      <w:marLeft w:val="0"/>
      <w:marRight w:val="0"/>
      <w:marTop w:val="0"/>
      <w:marBottom w:val="0"/>
      <w:divBdr>
        <w:top w:val="none" w:sz="0" w:space="0" w:color="auto"/>
        <w:left w:val="none" w:sz="0" w:space="0" w:color="auto"/>
        <w:bottom w:val="none" w:sz="0" w:space="0" w:color="auto"/>
        <w:right w:val="none" w:sz="0" w:space="0" w:color="auto"/>
      </w:divBdr>
    </w:div>
    <w:div w:id="2132822992">
      <w:bodyDiv w:val="1"/>
      <w:marLeft w:val="0"/>
      <w:marRight w:val="0"/>
      <w:marTop w:val="0"/>
      <w:marBottom w:val="0"/>
      <w:divBdr>
        <w:top w:val="none" w:sz="0" w:space="0" w:color="auto"/>
        <w:left w:val="none" w:sz="0" w:space="0" w:color="auto"/>
        <w:bottom w:val="none" w:sz="0" w:space="0" w:color="auto"/>
        <w:right w:val="none" w:sz="0" w:space="0" w:color="auto"/>
      </w:divBdr>
    </w:div>
    <w:div w:id="2132900271">
      <w:bodyDiv w:val="1"/>
      <w:marLeft w:val="0"/>
      <w:marRight w:val="0"/>
      <w:marTop w:val="0"/>
      <w:marBottom w:val="0"/>
      <w:divBdr>
        <w:top w:val="none" w:sz="0" w:space="0" w:color="auto"/>
        <w:left w:val="none" w:sz="0" w:space="0" w:color="auto"/>
        <w:bottom w:val="none" w:sz="0" w:space="0" w:color="auto"/>
        <w:right w:val="none" w:sz="0" w:space="0" w:color="auto"/>
      </w:divBdr>
    </w:div>
    <w:div w:id="2133011902">
      <w:bodyDiv w:val="1"/>
      <w:marLeft w:val="0"/>
      <w:marRight w:val="0"/>
      <w:marTop w:val="0"/>
      <w:marBottom w:val="0"/>
      <w:divBdr>
        <w:top w:val="none" w:sz="0" w:space="0" w:color="auto"/>
        <w:left w:val="none" w:sz="0" w:space="0" w:color="auto"/>
        <w:bottom w:val="none" w:sz="0" w:space="0" w:color="auto"/>
        <w:right w:val="none" w:sz="0" w:space="0" w:color="auto"/>
      </w:divBdr>
    </w:div>
    <w:div w:id="2133013939">
      <w:bodyDiv w:val="1"/>
      <w:marLeft w:val="0"/>
      <w:marRight w:val="0"/>
      <w:marTop w:val="0"/>
      <w:marBottom w:val="0"/>
      <w:divBdr>
        <w:top w:val="none" w:sz="0" w:space="0" w:color="auto"/>
        <w:left w:val="none" w:sz="0" w:space="0" w:color="auto"/>
        <w:bottom w:val="none" w:sz="0" w:space="0" w:color="auto"/>
        <w:right w:val="none" w:sz="0" w:space="0" w:color="auto"/>
      </w:divBdr>
    </w:div>
    <w:div w:id="2133091095">
      <w:bodyDiv w:val="1"/>
      <w:marLeft w:val="0"/>
      <w:marRight w:val="0"/>
      <w:marTop w:val="0"/>
      <w:marBottom w:val="0"/>
      <w:divBdr>
        <w:top w:val="none" w:sz="0" w:space="0" w:color="auto"/>
        <w:left w:val="none" w:sz="0" w:space="0" w:color="auto"/>
        <w:bottom w:val="none" w:sz="0" w:space="0" w:color="auto"/>
        <w:right w:val="none" w:sz="0" w:space="0" w:color="auto"/>
      </w:divBdr>
    </w:div>
    <w:div w:id="2133282065">
      <w:bodyDiv w:val="1"/>
      <w:marLeft w:val="0"/>
      <w:marRight w:val="0"/>
      <w:marTop w:val="0"/>
      <w:marBottom w:val="0"/>
      <w:divBdr>
        <w:top w:val="none" w:sz="0" w:space="0" w:color="auto"/>
        <w:left w:val="none" w:sz="0" w:space="0" w:color="auto"/>
        <w:bottom w:val="none" w:sz="0" w:space="0" w:color="auto"/>
        <w:right w:val="none" w:sz="0" w:space="0" w:color="auto"/>
      </w:divBdr>
    </w:div>
    <w:div w:id="2133286964">
      <w:bodyDiv w:val="1"/>
      <w:marLeft w:val="0"/>
      <w:marRight w:val="0"/>
      <w:marTop w:val="0"/>
      <w:marBottom w:val="0"/>
      <w:divBdr>
        <w:top w:val="none" w:sz="0" w:space="0" w:color="auto"/>
        <w:left w:val="none" w:sz="0" w:space="0" w:color="auto"/>
        <w:bottom w:val="none" w:sz="0" w:space="0" w:color="auto"/>
        <w:right w:val="none" w:sz="0" w:space="0" w:color="auto"/>
      </w:divBdr>
    </w:div>
    <w:div w:id="2133474000">
      <w:bodyDiv w:val="1"/>
      <w:marLeft w:val="0"/>
      <w:marRight w:val="0"/>
      <w:marTop w:val="0"/>
      <w:marBottom w:val="0"/>
      <w:divBdr>
        <w:top w:val="none" w:sz="0" w:space="0" w:color="auto"/>
        <w:left w:val="none" w:sz="0" w:space="0" w:color="auto"/>
        <w:bottom w:val="none" w:sz="0" w:space="0" w:color="auto"/>
        <w:right w:val="none" w:sz="0" w:space="0" w:color="auto"/>
      </w:divBdr>
    </w:div>
    <w:div w:id="2133478322">
      <w:bodyDiv w:val="1"/>
      <w:marLeft w:val="0"/>
      <w:marRight w:val="0"/>
      <w:marTop w:val="0"/>
      <w:marBottom w:val="0"/>
      <w:divBdr>
        <w:top w:val="none" w:sz="0" w:space="0" w:color="auto"/>
        <w:left w:val="none" w:sz="0" w:space="0" w:color="auto"/>
        <w:bottom w:val="none" w:sz="0" w:space="0" w:color="auto"/>
        <w:right w:val="none" w:sz="0" w:space="0" w:color="auto"/>
      </w:divBdr>
    </w:div>
    <w:div w:id="2133746596">
      <w:bodyDiv w:val="1"/>
      <w:marLeft w:val="0"/>
      <w:marRight w:val="0"/>
      <w:marTop w:val="0"/>
      <w:marBottom w:val="0"/>
      <w:divBdr>
        <w:top w:val="none" w:sz="0" w:space="0" w:color="auto"/>
        <w:left w:val="none" w:sz="0" w:space="0" w:color="auto"/>
        <w:bottom w:val="none" w:sz="0" w:space="0" w:color="auto"/>
        <w:right w:val="none" w:sz="0" w:space="0" w:color="auto"/>
      </w:divBdr>
    </w:div>
    <w:div w:id="2133933700">
      <w:bodyDiv w:val="1"/>
      <w:marLeft w:val="0"/>
      <w:marRight w:val="0"/>
      <w:marTop w:val="0"/>
      <w:marBottom w:val="0"/>
      <w:divBdr>
        <w:top w:val="none" w:sz="0" w:space="0" w:color="auto"/>
        <w:left w:val="none" w:sz="0" w:space="0" w:color="auto"/>
        <w:bottom w:val="none" w:sz="0" w:space="0" w:color="auto"/>
        <w:right w:val="none" w:sz="0" w:space="0" w:color="auto"/>
      </w:divBdr>
    </w:div>
    <w:div w:id="2133938821">
      <w:bodyDiv w:val="1"/>
      <w:marLeft w:val="0"/>
      <w:marRight w:val="0"/>
      <w:marTop w:val="0"/>
      <w:marBottom w:val="0"/>
      <w:divBdr>
        <w:top w:val="none" w:sz="0" w:space="0" w:color="auto"/>
        <w:left w:val="none" w:sz="0" w:space="0" w:color="auto"/>
        <w:bottom w:val="none" w:sz="0" w:space="0" w:color="auto"/>
        <w:right w:val="none" w:sz="0" w:space="0" w:color="auto"/>
      </w:divBdr>
    </w:div>
    <w:div w:id="2133942813">
      <w:bodyDiv w:val="1"/>
      <w:marLeft w:val="0"/>
      <w:marRight w:val="0"/>
      <w:marTop w:val="0"/>
      <w:marBottom w:val="0"/>
      <w:divBdr>
        <w:top w:val="none" w:sz="0" w:space="0" w:color="auto"/>
        <w:left w:val="none" w:sz="0" w:space="0" w:color="auto"/>
        <w:bottom w:val="none" w:sz="0" w:space="0" w:color="auto"/>
        <w:right w:val="none" w:sz="0" w:space="0" w:color="auto"/>
      </w:divBdr>
    </w:div>
    <w:div w:id="2134051473">
      <w:bodyDiv w:val="1"/>
      <w:marLeft w:val="0"/>
      <w:marRight w:val="0"/>
      <w:marTop w:val="0"/>
      <w:marBottom w:val="0"/>
      <w:divBdr>
        <w:top w:val="none" w:sz="0" w:space="0" w:color="auto"/>
        <w:left w:val="none" w:sz="0" w:space="0" w:color="auto"/>
        <w:bottom w:val="none" w:sz="0" w:space="0" w:color="auto"/>
        <w:right w:val="none" w:sz="0" w:space="0" w:color="auto"/>
      </w:divBdr>
    </w:div>
    <w:div w:id="2134060185">
      <w:bodyDiv w:val="1"/>
      <w:marLeft w:val="0"/>
      <w:marRight w:val="0"/>
      <w:marTop w:val="0"/>
      <w:marBottom w:val="0"/>
      <w:divBdr>
        <w:top w:val="none" w:sz="0" w:space="0" w:color="auto"/>
        <w:left w:val="none" w:sz="0" w:space="0" w:color="auto"/>
        <w:bottom w:val="none" w:sz="0" w:space="0" w:color="auto"/>
        <w:right w:val="none" w:sz="0" w:space="0" w:color="auto"/>
      </w:divBdr>
    </w:div>
    <w:div w:id="2134203671">
      <w:bodyDiv w:val="1"/>
      <w:marLeft w:val="0"/>
      <w:marRight w:val="0"/>
      <w:marTop w:val="0"/>
      <w:marBottom w:val="0"/>
      <w:divBdr>
        <w:top w:val="none" w:sz="0" w:space="0" w:color="auto"/>
        <w:left w:val="none" w:sz="0" w:space="0" w:color="auto"/>
        <w:bottom w:val="none" w:sz="0" w:space="0" w:color="auto"/>
        <w:right w:val="none" w:sz="0" w:space="0" w:color="auto"/>
      </w:divBdr>
    </w:div>
    <w:div w:id="2134251460">
      <w:bodyDiv w:val="1"/>
      <w:marLeft w:val="0"/>
      <w:marRight w:val="0"/>
      <w:marTop w:val="0"/>
      <w:marBottom w:val="0"/>
      <w:divBdr>
        <w:top w:val="none" w:sz="0" w:space="0" w:color="auto"/>
        <w:left w:val="none" w:sz="0" w:space="0" w:color="auto"/>
        <w:bottom w:val="none" w:sz="0" w:space="0" w:color="auto"/>
        <w:right w:val="none" w:sz="0" w:space="0" w:color="auto"/>
      </w:divBdr>
    </w:div>
    <w:div w:id="2134320088">
      <w:bodyDiv w:val="1"/>
      <w:marLeft w:val="0"/>
      <w:marRight w:val="0"/>
      <w:marTop w:val="0"/>
      <w:marBottom w:val="0"/>
      <w:divBdr>
        <w:top w:val="none" w:sz="0" w:space="0" w:color="auto"/>
        <w:left w:val="none" w:sz="0" w:space="0" w:color="auto"/>
        <w:bottom w:val="none" w:sz="0" w:space="0" w:color="auto"/>
        <w:right w:val="none" w:sz="0" w:space="0" w:color="auto"/>
      </w:divBdr>
    </w:div>
    <w:div w:id="2134323965">
      <w:bodyDiv w:val="1"/>
      <w:marLeft w:val="0"/>
      <w:marRight w:val="0"/>
      <w:marTop w:val="0"/>
      <w:marBottom w:val="0"/>
      <w:divBdr>
        <w:top w:val="none" w:sz="0" w:space="0" w:color="auto"/>
        <w:left w:val="none" w:sz="0" w:space="0" w:color="auto"/>
        <w:bottom w:val="none" w:sz="0" w:space="0" w:color="auto"/>
        <w:right w:val="none" w:sz="0" w:space="0" w:color="auto"/>
      </w:divBdr>
    </w:div>
    <w:div w:id="2134445845">
      <w:bodyDiv w:val="1"/>
      <w:marLeft w:val="0"/>
      <w:marRight w:val="0"/>
      <w:marTop w:val="0"/>
      <w:marBottom w:val="0"/>
      <w:divBdr>
        <w:top w:val="none" w:sz="0" w:space="0" w:color="auto"/>
        <w:left w:val="none" w:sz="0" w:space="0" w:color="auto"/>
        <w:bottom w:val="none" w:sz="0" w:space="0" w:color="auto"/>
        <w:right w:val="none" w:sz="0" w:space="0" w:color="auto"/>
      </w:divBdr>
    </w:div>
    <w:div w:id="2134671046">
      <w:bodyDiv w:val="1"/>
      <w:marLeft w:val="0"/>
      <w:marRight w:val="0"/>
      <w:marTop w:val="0"/>
      <w:marBottom w:val="0"/>
      <w:divBdr>
        <w:top w:val="none" w:sz="0" w:space="0" w:color="auto"/>
        <w:left w:val="none" w:sz="0" w:space="0" w:color="auto"/>
        <w:bottom w:val="none" w:sz="0" w:space="0" w:color="auto"/>
        <w:right w:val="none" w:sz="0" w:space="0" w:color="auto"/>
      </w:divBdr>
    </w:div>
    <w:div w:id="2134708094">
      <w:bodyDiv w:val="1"/>
      <w:marLeft w:val="0"/>
      <w:marRight w:val="0"/>
      <w:marTop w:val="0"/>
      <w:marBottom w:val="0"/>
      <w:divBdr>
        <w:top w:val="none" w:sz="0" w:space="0" w:color="auto"/>
        <w:left w:val="none" w:sz="0" w:space="0" w:color="auto"/>
        <w:bottom w:val="none" w:sz="0" w:space="0" w:color="auto"/>
        <w:right w:val="none" w:sz="0" w:space="0" w:color="auto"/>
      </w:divBdr>
    </w:div>
    <w:div w:id="2134902202">
      <w:bodyDiv w:val="1"/>
      <w:marLeft w:val="0"/>
      <w:marRight w:val="0"/>
      <w:marTop w:val="0"/>
      <w:marBottom w:val="0"/>
      <w:divBdr>
        <w:top w:val="none" w:sz="0" w:space="0" w:color="auto"/>
        <w:left w:val="none" w:sz="0" w:space="0" w:color="auto"/>
        <w:bottom w:val="none" w:sz="0" w:space="0" w:color="auto"/>
        <w:right w:val="none" w:sz="0" w:space="0" w:color="auto"/>
      </w:divBdr>
    </w:div>
    <w:div w:id="2134976787">
      <w:bodyDiv w:val="1"/>
      <w:marLeft w:val="0"/>
      <w:marRight w:val="0"/>
      <w:marTop w:val="0"/>
      <w:marBottom w:val="0"/>
      <w:divBdr>
        <w:top w:val="none" w:sz="0" w:space="0" w:color="auto"/>
        <w:left w:val="none" w:sz="0" w:space="0" w:color="auto"/>
        <w:bottom w:val="none" w:sz="0" w:space="0" w:color="auto"/>
        <w:right w:val="none" w:sz="0" w:space="0" w:color="auto"/>
      </w:divBdr>
    </w:div>
    <w:div w:id="2134983297">
      <w:bodyDiv w:val="1"/>
      <w:marLeft w:val="0"/>
      <w:marRight w:val="0"/>
      <w:marTop w:val="0"/>
      <w:marBottom w:val="0"/>
      <w:divBdr>
        <w:top w:val="none" w:sz="0" w:space="0" w:color="auto"/>
        <w:left w:val="none" w:sz="0" w:space="0" w:color="auto"/>
        <w:bottom w:val="none" w:sz="0" w:space="0" w:color="auto"/>
        <w:right w:val="none" w:sz="0" w:space="0" w:color="auto"/>
      </w:divBdr>
    </w:div>
    <w:div w:id="2135055038">
      <w:bodyDiv w:val="1"/>
      <w:marLeft w:val="0"/>
      <w:marRight w:val="0"/>
      <w:marTop w:val="0"/>
      <w:marBottom w:val="0"/>
      <w:divBdr>
        <w:top w:val="none" w:sz="0" w:space="0" w:color="auto"/>
        <w:left w:val="none" w:sz="0" w:space="0" w:color="auto"/>
        <w:bottom w:val="none" w:sz="0" w:space="0" w:color="auto"/>
        <w:right w:val="none" w:sz="0" w:space="0" w:color="auto"/>
      </w:divBdr>
    </w:div>
    <w:div w:id="2135249447">
      <w:bodyDiv w:val="1"/>
      <w:marLeft w:val="0"/>
      <w:marRight w:val="0"/>
      <w:marTop w:val="0"/>
      <w:marBottom w:val="0"/>
      <w:divBdr>
        <w:top w:val="none" w:sz="0" w:space="0" w:color="auto"/>
        <w:left w:val="none" w:sz="0" w:space="0" w:color="auto"/>
        <w:bottom w:val="none" w:sz="0" w:space="0" w:color="auto"/>
        <w:right w:val="none" w:sz="0" w:space="0" w:color="auto"/>
      </w:divBdr>
    </w:div>
    <w:div w:id="2135322791">
      <w:bodyDiv w:val="1"/>
      <w:marLeft w:val="0"/>
      <w:marRight w:val="0"/>
      <w:marTop w:val="0"/>
      <w:marBottom w:val="0"/>
      <w:divBdr>
        <w:top w:val="none" w:sz="0" w:space="0" w:color="auto"/>
        <w:left w:val="none" w:sz="0" w:space="0" w:color="auto"/>
        <w:bottom w:val="none" w:sz="0" w:space="0" w:color="auto"/>
        <w:right w:val="none" w:sz="0" w:space="0" w:color="auto"/>
      </w:divBdr>
    </w:div>
    <w:div w:id="2135364986">
      <w:bodyDiv w:val="1"/>
      <w:marLeft w:val="0"/>
      <w:marRight w:val="0"/>
      <w:marTop w:val="0"/>
      <w:marBottom w:val="0"/>
      <w:divBdr>
        <w:top w:val="none" w:sz="0" w:space="0" w:color="auto"/>
        <w:left w:val="none" w:sz="0" w:space="0" w:color="auto"/>
        <w:bottom w:val="none" w:sz="0" w:space="0" w:color="auto"/>
        <w:right w:val="none" w:sz="0" w:space="0" w:color="auto"/>
      </w:divBdr>
    </w:div>
    <w:div w:id="2135369371">
      <w:bodyDiv w:val="1"/>
      <w:marLeft w:val="0"/>
      <w:marRight w:val="0"/>
      <w:marTop w:val="0"/>
      <w:marBottom w:val="0"/>
      <w:divBdr>
        <w:top w:val="none" w:sz="0" w:space="0" w:color="auto"/>
        <w:left w:val="none" w:sz="0" w:space="0" w:color="auto"/>
        <w:bottom w:val="none" w:sz="0" w:space="0" w:color="auto"/>
        <w:right w:val="none" w:sz="0" w:space="0" w:color="auto"/>
      </w:divBdr>
    </w:div>
    <w:div w:id="2135442732">
      <w:bodyDiv w:val="1"/>
      <w:marLeft w:val="0"/>
      <w:marRight w:val="0"/>
      <w:marTop w:val="0"/>
      <w:marBottom w:val="0"/>
      <w:divBdr>
        <w:top w:val="none" w:sz="0" w:space="0" w:color="auto"/>
        <w:left w:val="none" w:sz="0" w:space="0" w:color="auto"/>
        <w:bottom w:val="none" w:sz="0" w:space="0" w:color="auto"/>
        <w:right w:val="none" w:sz="0" w:space="0" w:color="auto"/>
      </w:divBdr>
    </w:div>
    <w:div w:id="2135513970">
      <w:bodyDiv w:val="1"/>
      <w:marLeft w:val="0"/>
      <w:marRight w:val="0"/>
      <w:marTop w:val="0"/>
      <w:marBottom w:val="0"/>
      <w:divBdr>
        <w:top w:val="none" w:sz="0" w:space="0" w:color="auto"/>
        <w:left w:val="none" w:sz="0" w:space="0" w:color="auto"/>
        <w:bottom w:val="none" w:sz="0" w:space="0" w:color="auto"/>
        <w:right w:val="none" w:sz="0" w:space="0" w:color="auto"/>
      </w:divBdr>
    </w:div>
    <w:div w:id="2135516590">
      <w:bodyDiv w:val="1"/>
      <w:marLeft w:val="0"/>
      <w:marRight w:val="0"/>
      <w:marTop w:val="0"/>
      <w:marBottom w:val="0"/>
      <w:divBdr>
        <w:top w:val="none" w:sz="0" w:space="0" w:color="auto"/>
        <w:left w:val="none" w:sz="0" w:space="0" w:color="auto"/>
        <w:bottom w:val="none" w:sz="0" w:space="0" w:color="auto"/>
        <w:right w:val="none" w:sz="0" w:space="0" w:color="auto"/>
      </w:divBdr>
    </w:div>
    <w:div w:id="2135562219">
      <w:bodyDiv w:val="1"/>
      <w:marLeft w:val="0"/>
      <w:marRight w:val="0"/>
      <w:marTop w:val="0"/>
      <w:marBottom w:val="0"/>
      <w:divBdr>
        <w:top w:val="none" w:sz="0" w:space="0" w:color="auto"/>
        <w:left w:val="none" w:sz="0" w:space="0" w:color="auto"/>
        <w:bottom w:val="none" w:sz="0" w:space="0" w:color="auto"/>
        <w:right w:val="none" w:sz="0" w:space="0" w:color="auto"/>
      </w:divBdr>
    </w:div>
    <w:div w:id="2135634826">
      <w:bodyDiv w:val="1"/>
      <w:marLeft w:val="0"/>
      <w:marRight w:val="0"/>
      <w:marTop w:val="0"/>
      <w:marBottom w:val="0"/>
      <w:divBdr>
        <w:top w:val="none" w:sz="0" w:space="0" w:color="auto"/>
        <w:left w:val="none" w:sz="0" w:space="0" w:color="auto"/>
        <w:bottom w:val="none" w:sz="0" w:space="0" w:color="auto"/>
        <w:right w:val="none" w:sz="0" w:space="0" w:color="auto"/>
      </w:divBdr>
    </w:div>
    <w:div w:id="2135636176">
      <w:bodyDiv w:val="1"/>
      <w:marLeft w:val="0"/>
      <w:marRight w:val="0"/>
      <w:marTop w:val="0"/>
      <w:marBottom w:val="0"/>
      <w:divBdr>
        <w:top w:val="none" w:sz="0" w:space="0" w:color="auto"/>
        <w:left w:val="none" w:sz="0" w:space="0" w:color="auto"/>
        <w:bottom w:val="none" w:sz="0" w:space="0" w:color="auto"/>
        <w:right w:val="none" w:sz="0" w:space="0" w:color="auto"/>
      </w:divBdr>
    </w:div>
    <w:div w:id="2135711748">
      <w:bodyDiv w:val="1"/>
      <w:marLeft w:val="0"/>
      <w:marRight w:val="0"/>
      <w:marTop w:val="0"/>
      <w:marBottom w:val="0"/>
      <w:divBdr>
        <w:top w:val="none" w:sz="0" w:space="0" w:color="auto"/>
        <w:left w:val="none" w:sz="0" w:space="0" w:color="auto"/>
        <w:bottom w:val="none" w:sz="0" w:space="0" w:color="auto"/>
        <w:right w:val="none" w:sz="0" w:space="0" w:color="auto"/>
      </w:divBdr>
    </w:div>
    <w:div w:id="2135830618">
      <w:bodyDiv w:val="1"/>
      <w:marLeft w:val="0"/>
      <w:marRight w:val="0"/>
      <w:marTop w:val="0"/>
      <w:marBottom w:val="0"/>
      <w:divBdr>
        <w:top w:val="none" w:sz="0" w:space="0" w:color="auto"/>
        <w:left w:val="none" w:sz="0" w:space="0" w:color="auto"/>
        <w:bottom w:val="none" w:sz="0" w:space="0" w:color="auto"/>
        <w:right w:val="none" w:sz="0" w:space="0" w:color="auto"/>
      </w:divBdr>
    </w:div>
    <w:div w:id="2135906341">
      <w:bodyDiv w:val="1"/>
      <w:marLeft w:val="0"/>
      <w:marRight w:val="0"/>
      <w:marTop w:val="0"/>
      <w:marBottom w:val="0"/>
      <w:divBdr>
        <w:top w:val="none" w:sz="0" w:space="0" w:color="auto"/>
        <w:left w:val="none" w:sz="0" w:space="0" w:color="auto"/>
        <w:bottom w:val="none" w:sz="0" w:space="0" w:color="auto"/>
        <w:right w:val="none" w:sz="0" w:space="0" w:color="auto"/>
      </w:divBdr>
    </w:div>
    <w:div w:id="2135978090">
      <w:bodyDiv w:val="1"/>
      <w:marLeft w:val="0"/>
      <w:marRight w:val="0"/>
      <w:marTop w:val="0"/>
      <w:marBottom w:val="0"/>
      <w:divBdr>
        <w:top w:val="none" w:sz="0" w:space="0" w:color="auto"/>
        <w:left w:val="none" w:sz="0" w:space="0" w:color="auto"/>
        <w:bottom w:val="none" w:sz="0" w:space="0" w:color="auto"/>
        <w:right w:val="none" w:sz="0" w:space="0" w:color="auto"/>
      </w:divBdr>
    </w:div>
    <w:div w:id="2136100814">
      <w:bodyDiv w:val="1"/>
      <w:marLeft w:val="0"/>
      <w:marRight w:val="0"/>
      <w:marTop w:val="0"/>
      <w:marBottom w:val="0"/>
      <w:divBdr>
        <w:top w:val="none" w:sz="0" w:space="0" w:color="auto"/>
        <w:left w:val="none" w:sz="0" w:space="0" w:color="auto"/>
        <w:bottom w:val="none" w:sz="0" w:space="0" w:color="auto"/>
        <w:right w:val="none" w:sz="0" w:space="0" w:color="auto"/>
      </w:divBdr>
    </w:div>
    <w:div w:id="2136172425">
      <w:bodyDiv w:val="1"/>
      <w:marLeft w:val="0"/>
      <w:marRight w:val="0"/>
      <w:marTop w:val="0"/>
      <w:marBottom w:val="0"/>
      <w:divBdr>
        <w:top w:val="none" w:sz="0" w:space="0" w:color="auto"/>
        <w:left w:val="none" w:sz="0" w:space="0" w:color="auto"/>
        <w:bottom w:val="none" w:sz="0" w:space="0" w:color="auto"/>
        <w:right w:val="none" w:sz="0" w:space="0" w:color="auto"/>
      </w:divBdr>
    </w:div>
    <w:div w:id="2136213813">
      <w:bodyDiv w:val="1"/>
      <w:marLeft w:val="0"/>
      <w:marRight w:val="0"/>
      <w:marTop w:val="0"/>
      <w:marBottom w:val="0"/>
      <w:divBdr>
        <w:top w:val="none" w:sz="0" w:space="0" w:color="auto"/>
        <w:left w:val="none" w:sz="0" w:space="0" w:color="auto"/>
        <w:bottom w:val="none" w:sz="0" w:space="0" w:color="auto"/>
        <w:right w:val="none" w:sz="0" w:space="0" w:color="auto"/>
      </w:divBdr>
    </w:div>
    <w:div w:id="2136287572">
      <w:bodyDiv w:val="1"/>
      <w:marLeft w:val="0"/>
      <w:marRight w:val="0"/>
      <w:marTop w:val="0"/>
      <w:marBottom w:val="0"/>
      <w:divBdr>
        <w:top w:val="none" w:sz="0" w:space="0" w:color="auto"/>
        <w:left w:val="none" w:sz="0" w:space="0" w:color="auto"/>
        <w:bottom w:val="none" w:sz="0" w:space="0" w:color="auto"/>
        <w:right w:val="none" w:sz="0" w:space="0" w:color="auto"/>
      </w:divBdr>
    </w:div>
    <w:div w:id="2136289171">
      <w:bodyDiv w:val="1"/>
      <w:marLeft w:val="0"/>
      <w:marRight w:val="0"/>
      <w:marTop w:val="0"/>
      <w:marBottom w:val="0"/>
      <w:divBdr>
        <w:top w:val="none" w:sz="0" w:space="0" w:color="auto"/>
        <w:left w:val="none" w:sz="0" w:space="0" w:color="auto"/>
        <w:bottom w:val="none" w:sz="0" w:space="0" w:color="auto"/>
        <w:right w:val="none" w:sz="0" w:space="0" w:color="auto"/>
      </w:divBdr>
    </w:div>
    <w:div w:id="2136363796">
      <w:bodyDiv w:val="1"/>
      <w:marLeft w:val="0"/>
      <w:marRight w:val="0"/>
      <w:marTop w:val="0"/>
      <w:marBottom w:val="0"/>
      <w:divBdr>
        <w:top w:val="none" w:sz="0" w:space="0" w:color="auto"/>
        <w:left w:val="none" w:sz="0" w:space="0" w:color="auto"/>
        <w:bottom w:val="none" w:sz="0" w:space="0" w:color="auto"/>
        <w:right w:val="none" w:sz="0" w:space="0" w:color="auto"/>
      </w:divBdr>
    </w:div>
    <w:div w:id="2136408621">
      <w:bodyDiv w:val="1"/>
      <w:marLeft w:val="0"/>
      <w:marRight w:val="0"/>
      <w:marTop w:val="0"/>
      <w:marBottom w:val="0"/>
      <w:divBdr>
        <w:top w:val="none" w:sz="0" w:space="0" w:color="auto"/>
        <w:left w:val="none" w:sz="0" w:space="0" w:color="auto"/>
        <w:bottom w:val="none" w:sz="0" w:space="0" w:color="auto"/>
        <w:right w:val="none" w:sz="0" w:space="0" w:color="auto"/>
      </w:divBdr>
    </w:div>
    <w:div w:id="2136411443">
      <w:bodyDiv w:val="1"/>
      <w:marLeft w:val="0"/>
      <w:marRight w:val="0"/>
      <w:marTop w:val="0"/>
      <w:marBottom w:val="0"/>
      <w:divBdr>
        <w:top w:val="none" w:sz="0" w:space="0" w:color="auto"/>
        <w:left w:val="none" w:sz="0" w:space="0" w:color="auto"/>
        <w:bottom w:val="none" w:sz="0" w:space="0" w:color="auto"/>
        <w:right w:val="none" w:sz="0" w:space="0" w:color="auto"/>
      </w:divBdr>
    </w:div>
    <w:div w:id="2136436206">
      <w:bodyDiv w:val="1"/>
      <w:marLeft w:val="0"/>
      <w:marRight w:val="0"/>
      <w:marTop w:val="0"/>
      <w:marBottom w:val="0"/>
      <w:divBdr>
        <w:top w:val="none" w:sz="0" w:space="0" w:color="auto"/>
        <w:left w:val="none" w:sz="0" w:space="0" w:color="auto"/>
        <w:bottom w:val="none" w:sz="0" w:space="0" w:color="auto"/>
        <w:right w:val="none" w:sz="0" w:space="0" w:color="auto"/>
      </w:divBdr>
    </w:div>
    <w:div w:id="2136440479">
      <w:bodyDiv w:val="1"/>
      <w:marLeft w:val="0"/>
      <w:marRight w:val="0"/>
      <w:marTop w:val="0"/>
      <w:marBottom w:val="0"/>
      <w:divBdr>
        <w:top w:val="none" w:sz="0" w:space="0" w:color="auto"/>
        <w:left w:val="none" w:sz="0" w:space="0" w:color="auto"/>
        <w:bottom w:val="none" w:sz="0" w:space="0" w:color="auto"/>
        <w:right w:val="none" w:sz="0" w:space="0" w:color="auto"/>
      </w:divBdr>
    </w:div>
    <w:div w:id="2136483191">
      <w:bodyDiv w:val="1"/>
      <w:marLeft w:val="0"/>
      <w:marRight w:val="0"/>
      <w:marTop w:val="0"/>
      <w:marBottom w:val="0"/>
      <w:divBdr>
        <w:top w:val="none" w:sz="0" w:space="0" w:color="auto"/>
        <w:left w:val="none" w:sz="0" w:space="0" w:color="auto"/>
        <w:bottom w:val="none" w:sz="0" w:space="0" w:color="auto"/>
        <w:right w:val="none" w:sz="0" w:space="0" w:color="auto"/>
      </w:divBdr>
    </w:div>
    <w:div w:id="2136485759">
      <w:bodyDiv w:val="1"/>
      <w:marLeft w:val="0"/>
      <w:marRight w:val="0"/>
      <w:marTop w:val="0"/>
      <w:marBottom w:val="0"/>
      <w:divBdr>
        <w:top w:val="none" w:sz="0" w:space="0" w:color="auto"/>
        <w:left w:val="none" w:sz="0" w:space="0" w:color="auto"/>
        <w:bottom w:val="none" w:sz="0" w:space="0" w:color="auto"/>
        <w:right w:val="none" w:sz="0" w:space="0" w:color="auto"/>
      </w:divBdr>
    </w:div>
    <w:div w:id="2136750641">
      <w:bodyDiv w:val="1"/>
      <w:marLeft w:val="0"/>
      <w:marRight w:val="0"/>
      <w:marTop w:val="0"/>
      <w:marBottom w:val="0"/>
      <w:divBdr>
        <w:top w:val="none" w:sz="0" w:space="0" w:color="auto"/>
        <w:left w:val="none" w:sz="0" w:space="0" w:color="auto"/>
        <w:bottom w:val="none" w:sz="0" w:space="0" w:color="auto"/>
        <w:right w:val="none" w:sz="0" w:space="0" w:color="auto"/>
      </w:divBdr>
    </w:div>
    <w:div w:id="2136869111">
      <w:bodyDiv w:val="1"/>
      <w:marLeft w:val="0"/>
      <w:marRight w:val="0"/>
      <w:marTop w:val="0"/>
      <w:marBottom w:val="0"/>
      <w:divBdr>
        <w:top w:val="none" w:sz="0" w:space="0" w:color="auto"/>
        <w:left w:val="none" w:sz="0" w:space="0" w:color="auto"/>
        <w:bottom w:val="none" w:sz="0" w:space="0" w:color="auto"/>
        <w:right w:val="none" w:sz="0" w:space="0" w:color="auto"/>
      </w:divBdr>
    </w:div>
    <w:div w:id="2136871016">
      <w:bodyDiv w:val="1"/>
      <w:marLeft w:val="0"/>
      <w:marRight w:val="0"/>
      <w:marTop w:val="0"/>
      <w:marBottom w:val="0"/>
      <w:divBdr>
        <w:top w:val="none" w:sz="0" w:space="0" w:color="auto"/>
        <w:left w:val="none" w:sz="0" w:space="0" w:color="auto"/>
        <w:bottom w:val="none" w:sz="0" w:space="0" w:color="auto"/>
        <w:right w:val="none" w:sz="0" w:space="0" w:color="auto"/>
      </w:divBdr>
    </w:div>
    <w:div w:id="2136942098">
      <w:bodyDiv w:val="1"/>
      <w:marLeft w:val="0"/>
      <w:marRight w:val="0"/>
      <w:marTop w:val="0"/>
      <w:marBottom w:val="0"/>
      <w:divBdr>
        <w:top w:val="none" w:sz="0" w:space="0" w:color="auto"/>
        <w:left w:val="none" w:sz="0" w:space="0" w:color="auto"/>
        <w:bottom w:val="none" w:sz="0" w:space="0" w:color="auto"/>
        <w:right w:val="none" w:sz="0" w:space="0" w:color="auto"/>
      </w:divBdr>
    </w:div>
    <w:div w:id="2137018572">
      <w:bodyDiv w:val="1"/>
      <w:marLeft w:val="0"/>
      <w:marRight w:val="0"/>
      <w:marTop w:val="0"/>
      <w:marBottom w:val="0"/>
      <w:divBdr>
        <w:top w:val="none" w:sz="0" w:space="0" w:color="auto"/>
        <w:left w:val="none" w:sz="0" w:space="0" w:color="auto"/>
        <w:bottom w:val="none" w:sz="0" w:space="0" w:color="auto"/>
        <w:right w:val="none" w:sz="0" w:space="0" w:color="auto"/>
      </w:divBdr>
    </w:div>
    <w:div w:id="2137091559">
      <w:bodyDiv w:val="1"/>
      <w:marLeft w:val="0"/>
      <w:marRight w:val="0"/>
      <w:marTop w:val="0"/>
      <w:marBottom w:val="0"/>
      <w:divBdr>
        <w:top w:val="none" w:sz="0" w:space="0" w:color="auto"/>
        <w:left w:val="none" w:sz="0" w:space="0" w:color="auto"/>
        <w:bottom w:val="none" w:sz="0" w:space="0" w:color="auto"/>
        <w:right w:val="none" w:sz="0" w:space="0" w:color="auto"/>
      </w:divBdr>
    </w:div>
    <w:div w:id="2137137606">
      <w:bodyDiv w:val="1"/>
      <w:marLeft w:val="0"/>
      <w:marRight w:val="0"/>
      <w:marTop w:val="0"/>
      <w:marBottom w:val="0"/>
      <w:divBdr>
        <w:top w:val="none" w:sz="0" w:space="0" w:color="auto"/>
        <w:left w:val="none" w:sz="0" w:space="0" w:color="auto"/>
        <w:bottom w:val="none" w:sz="0" w:space="0" w:color="auto"/>
        <w:right w:val="none" w:sz="0" w:space="0" w:color="auto"/>
      </w:divBdr>
    </w:div>
    <w:div w:id="2137140432">
      <w:bodyDiv w:val="1"/>
      <w:marLeft w:val="0"/>
      <w:marRight w:val="0"/>
      <w:marTop w:val="0"/>
      <w:marBottom w:val="0"/>
      <w:divBdr>
        <w:top w:val="none" w:sz="0" w:space="0" w:color="auto"/>
        <w:left w:val="none" w:sz="0" w:space="0" w:color="auto"/>
        <w:bottom w:val="none" w:sz="0" w:space="0" w:color="auto"/>
        <w:right w:val="none" w:sz="0" w:space="0" w:color="auto"/>
      </w:divBdr>
    </w:div>
    <w:div w:id="2137143839">
      <w:bodyDiv w:val="1"/>
      <w:marLeft w:val="0"/>
      <w:marRight w:val="0"/>
      <w:marTop w:val="0"/>
      <w:marBottom w:val="0"/>
      <w:divBdr>
        <w:top w:val="none" w:sz="0" w:space="0" w:color="auto"/>
        <w:left w:val="none" w:sz="0" w:space="0" w:color="auto"/>
        <w:bottom w:val="none" w:sz="0" w:space="0" w:color="auto"/>
        <w:right w:val="none" w:sz="0" w:space="0" w:color="auto"/>
      </w:divBdr>
    </w:div>
    <w:div w:id="2137291700">
      <w:bodyDiv w:val="1"/>
      <w:marLeft w:val="0"/>
      <w:marRight w:val="0"/>
      <w:marTop w:val="0"/>
      <w:marBottom w:val="0"/>
      <w:divBdr>
        <w:top w:val="none" w:sz="0" w:space="0" w:color="auto"/>
        <w:left w:val="none" w:sz="0" w:space="0" w:color="auto"/>
        <w:bottom w:val="none" w:sz="0" w:space="0" w:color="auto"/>
        <w:right w:val="none" w:sz="0" w:space="0" w:color="auto"/>
      </w:divBdr>
    </w:div>
    <w:div w:id="2137486982">
      <w:bodyDiv w:val="1"/>
      <w:marLeft w:val="0"/>
      <w:marRight w:val="0"/>
      <w:marTop w:val="0"/>
      <w:marBottom w:val="0"/>
      <w:divBdr>
        <w:top w:val="none" w:sz="0" w:space="0" w:color="auto"/>
        <w:left w:val="none" w:sz="0" w:space="0" w:color="auto"/>
        <w:bottom w:val="none" w:sz="0" w:space="0" w:color="auto"/>
        <w:right w:val="none" w:sz="0" w:space="0" w:color="auto"/>
      </w:divBdr>
    </w:div>
    <w:div w:id="2137795762">
      <w:bodyDiv w:val="1"/>
      <w:marLeft w:val="0"/>
      <w:marRight w:val="0"/>
      <w:marTop w:val="0"/>
      <w:marBottom w:val="0"/>
      <w:divBdr>
        <w:top w:val="none" w:sz="0" w:space="0" w:color="auto"/>
        <w:left w:val="none" w:sz="0" w:space="0" w:color="auto"/>
        <w:bottom w:val="none" w:sz="0" w:space="0" w:color="auto"/>
        <w:right w:val="none" w:sz="0" w:space="0" w:color="auto"/>
      </w:divBdr>
    </w:div>
    <w:div w:id="2137867878">
      <w:bodyDiv w:val="1"/>
      <w:marLeft w:val="0"/>
      <w:marRight w:val="0"/>
      <w:marTop w:val="0"/>
      <w:marBottom w:val="0"/>
      <w:divBdr>
        <w:top w:val="none" w:sz="0" w:space="0" w:color="auto"/>
        <w:left w:val="none" w:sz="0" w:space="0" w:color="auto"/>
        <w:bottom w:val="none" w:sz="0" w:space="0" w:color="auto"/>
        <w:right w:val="none" w:sz="0" w:space="0" w:color="auto"/>
      </w:divBdr>
    </w:div>
    <w:div w:id="2137986852">
      <w:bodyDiv w:val="1"/>
      <w:marLeft w:val="0"/>
      <w:marRight w:val="0"/>
      <w:marTop w:val="0"/>
      <w:marBottom w:val="0"/>
      <w:divBdr>
        <w:top w:val="none" w:sz="0" w:space="0" w:color="auto"/>
        <w:left w:val="none" w:sz="0" w:space="0" w:color="auto"/>
        <w:bottom w:val="none" w:sz="0" w:space="0" w:color="auto"/>
        <w:right w:val="none" w:sz="0" w:space="0" w:color="auto"/>
      </w:divBdr>
    </w:div>
    <w:div w:id="2137988150">
      <w:bodyDiv w:val="1"/>
      <w:marLeft w:val="0"/>
      <w:marRight w:val="0"/>
      <w:marTop w:val="0"/>
      <w:marBottom w:val="0"/>
      <w:divBdr>
        <w:top w:val="none" w:sz="0" w:space="0" w:color="auto"/>
        <w:left w:val="none" w:sz="0" w:space="0" w:color="auto"/>
        <w:bottom w:val="none" w:sz="0" w:space="0" w:color="auto"/>
        <w:right w:val="none" w:sz="0" w:space="0" w:color="auto"/>
      </w:divBdr>
    </w:div>
    <w:div w:id="2138059662">
      <w:bodyDiv w:val="1"/>
      <w:marLeft w:val="0"/>
      <w:marRight w:val="0"/>
      <w:marTop w:val="0"/>
      <w:marBottom w:val="0"/>
      <w:divBdr>
        <w:top w:val="none" w:sz="0" w:space="0" w:color="auto"/>
        <w:left w:val="none" w:sz="0" w:space="0" w:color="auto"/>
        <w:bottom w:val="none" w:sz="0" w:space="0" w:color="auto"/>
        <w:right w:val="none" w:sz="0" w:space="0" w:color="auto"/>
      </w:divBdr>
    </w:div>
    <w:div w:id="2138257118">
      <w:bodyDiv w:val="1"/>
      <w:marLeft w:val="0"/>
      <w:marRight w:val="0"/>
      <w:marTop w:val="0"/>
      <w:marBottom w:val="0"/>
      <w:divBdr>
        <w:top w:val="none" w:sz="0" w:space="0" w:color="auto"/>
        <w:left w:val="none" w:sz="0" w:space="0" w:color="auto"/>
        <w:bottom w:val="none" w:sz="0" w:space="0" w:color="auto"/>
        <w:right w:val="none" w:sz="0" w:space="0" w:color="auto"/>
      </w:divBdr>
    </w:div>
    <w:div w:id="2138328438">
      <w:bodyDiv w:val="1"/>
      <w:marLeft w:val="0"/>
      <w:marRight w:val="0"/>
      <w:marTop w:val="0"/>
      <w:marBottom w:val="0"/>
      <w:divBdr>
        <w:top w:val="none" w:sz="0" w:space="0" w:color="auto"/>
        <w:left w:val="none" w:sz="0" w:space="0" w:color="auto"/>
        <w:bottom w:val="none" w:sz="0" w:space="0" w:color="auto"/>
        <w:right w:val="none" w:sz="0" w:space="0" w:color="auto"/>
      </w:divBdr>
    </w:div>
    <w:div w:id="2138405127">
      <w:bodyDiv w:val="1"/>
      <w:marLeft w:val="0"/>
      <w:marRight w:val="0"/>
      <w:marTop w:val="0"/>
      <w:marBottom w:val="0"/>
      <w:divBdr>
        <w:top w:val="none" w:sz="0" w:space="0" w:color="auto"/>
        <w:left w:val="none" w:sz="0" w:space="0" w:color="auto"/>
        <w:bottom w:val="none" w:sz="0" w:space="0" w:color="auto"/>
        <w:right w:val="none" w:sz="0" w:space="0" w:color="auto"/>
      </w:divBdr>
    </w:div>
    <w:div w:id="2138448838">
      <w:bodyDiv w:val="1"/>
      <w:marLeft w:val="0"/>
      <w:marRight w:val="0"/>
      <w:marTop w:val="0"/>
      <w:marBottom w:val="0"/>
      <w:divBdr>
        <w:top w:val="none" w:sz="0" w:space="0" w:color="auto"/>
        <w:left w:val="none" w:sz="0" w:space="0" w:color="auto"/>
        <w:bottom w:val="none" w:sz="0" w:space="0" w:color="auto"/>
        <w:right w:val="none" w:sz="0" w:space="0" w:color="auto"/>
      </w:divBdr>
    </w:div>
    <w:div w:id="2138449165">
      <w:bodyDiv w:val="1"/>
      <w:marLeft w:val="0"/>
      <w:marRight w:val="0"/>
      <w:marTop w:val="0"/>
      <w:marBottom w:val="0"/>
      <w:divBdr>
        <w:top w:val="none" w:sz="0" w:space="0" w:color="auto"/>
        <w:left w:val="none" w:sz="0" w:space="0" w:color="auto"/>
        <w:bottom w:val="none" w:sz="0" w:space="0" w:color="auto"/>
        <w:right w:val="none" w:sz="0" w:space="0" w:color="auto"/>
      </w:divBdr>
    </w:div>
    <w:div w:id="2138522808">
      <w:bodyDiv w:val="1"/>
      <w:marLeft w:val="0"/>
      <w:marRight w:val="0"/>
      <w:marTop w:val="0"/>
      <w:marBottom w:val="0"/>
      <w:divBdr>
        <w:top w:val="none" w:sz="0" w:space="0" w:color="auto"/>
        <w:left w:val="none" w:sz="0" w:space="0" w:color="auto"/>
        <w:bottom w:val="none" w:sz="0" w:space="0" w:color="auto"/>
        <w:right w:val="none" w:sz="0" w:space="0" w:color="auto"/>
      </w:divBdr>
    </w:div>
    <w:div w:id="2138638868">
      <w:bodyDiv w:val="1"/>
      <w:marLeft w:val="0"/>
      <w:marRight w:val="0"/>
      <w:marTop w:val="0"/>
      <w:marBottom w:val="0"/>
      <w:divBdr>
        <w:top w:val="none" w:sz="0" w:space="0" w:color="auto"/>
        <w:left w:val="none" w:sz="0" w:space="0" w:color="auto"/>
        <w:bottom w:val="none" w:sz="0" w:space="0" w:color="auto"/>
        <w:right w:val="none" w:sz="0" w:space="0" w:color="auto"/>
      </w:divBdr>
    </w:div>
    <w:div w:id="2138639148">
      <w:bodyDiv w:val="1"/>
      <w:marLeft w:val="0"/>
      <w:marRight w:val="0"/>
      <w:marTop w:val="0"/>
      <w:marBottom w:val="0"/>
      <w:divBdr>
        <w:top w:val="none" w:sz="0" w:space="0" w:color="auto"/>
        <w:left w:val="none" w:sz="0" w:space="0" w:color="auto"/>
        <w:bottom w:val="none" w:sz="0" w:space="0" w:color="auto"/>
        <w:right w:val="none" w:sz="0" w:space="0" w:color="auto"/>
      </w:divBdr>
    </w:div>
    <w:div w:id="2138646245">
      <w:bodyDiv w:val="1"/>
      <w:marLeft w:val="0"/>
      <w:marRight w:val="0"/>
      <w:marTop w:val="0"/>
      <w:marBottom w:val="0"/>
      <w:divBdr>
        <w:top w:val="none" w:sz="0" w:space="0" w:color="auto"/>
        <w:left w:val="none" w:sz="0" w:space="0" w:color="auto"/>
        <w:bottom w:val="none" w:sz="0" w:space="0" w:color="auto"/>
        <w:right w:val="none" w:sz="0" w:space="0" w:color="auto"/>
      </w:divBdr>
    </w:div>
    <w:div w:id="2138646695">
      <w:bodyDiv w:val="1"/>
      <w:marLeft w:val="0"/>
      <w:marRight w:val="0"/>
      <w:marTop w:val="0"/>
      <w:marBottom w:val="0"/>
      <w:divBdr>
        <w:top w:val="none" w:sz="0" w:space="0" w:color="auto"/>
        <w:left w:val="none" w:sz="0" w:space="0" w:color="auto"/>
        <w:bottom w:val="none" w:sz="0" w:space="0" w:color="auto"/>
        <w:right w:val="none" w:sz="0" w:space="0" w:color="auto"/>
      </w:divBdr>
    </w:div>
    <w:div w:id="2138717745">
      <w:bodyDiv w:val="1"/>
      <w:marLeft w:val="0"/>
      <w:marRight w:val="0"/>
      <w:marTop w:val="0"/>
      <w:marBottom w:val="0"/>
      <w:divBdr>
        <w:top w:val="none" w:sz="0" w:space="0" w:color="auto"/>
        <w:left w:val="none" w:sz="0" w:space="0" w:color="auto"/>
        <w:bottom w:val="none" w:sz="0" w:space="0" w:color="auto"/>
        <w:right w:val="none" w:sz="0" w:space="0" w:color="auto"/>
      </w:divBdr>
    </w:div>
    <w:div w:id="2138720860">
      <w:bodyDiv w:val="1"/>
      <w:marLeft w:val="0"/>
      <w:marRight w:val="0"/>
      <w:marTop w:val="0"/>
      <w:marBottom w:val="0"/>
      <w:divBdr>
        <w:top w:val="none" w:sz="0" w:space="0" w:color="auto"/>
        <w:left w:val="none" w:sz="0" w:space="0" w:color="auto"/>
        <w:bottom w:val="none" w:sz="0" w:space="0" w:color="auto"/>
        <w:right w:val="none" w:sz="0" w:space="0" w:color="auto"/>
      </w:divBdr>
    </w:div>
    <w:div w:id="2138838386">
      <w:bodyDiv w:val="1"/>
      <w:marLeft w:val="0"/>
      <w:marRight w:val="0"/>
      <w:marTop w:val="0"/>
      <w:marBottom w:val="0"/>
      <w:divBdr>
        <w:top w:val="none" w:sz="0" w:space="0" w:color="auto"/>
        <w:left w:val="none" w:sz="0" w:space="0" w:color="auto"/>
        <w:bottom w:val="none" w:sz="0" w:space="0" w:color="auto"/>
        <w:right w:val="none" w:sz="0" w:space="0" w:color="auto"/>
      </w:divBdr>
    </w:div>
    <w:div w:id="2139030908">
      <w:bodyDiv w:val="1"/>
      <w:marLeft w:val="0"/>
      <w:marRight w:val="0"/>
      <w:marTop w:val="0"/>
      <w:marBottom w:val="0"/>
      <w:divBdr>
        <w:top w:val="none" w:sz="0" w:space="0" w:color="auto"/>
        <w:left w:val="none" w:sz="0" w:space="0" w:color="auto"/>
        <w:bottom w:val="none" w:sz="0" w:space="0" w:color="auto"/>
        <w:right w:val="none" w:sz="0" w:space="0" w:color="auto"/>
      </w:divBdr>
    </w:div>
    <w:div w:id="2139060720">
      <w:bodyDiv w:val="1"/>
      <w:marLeft w:val="0"/>
      <w:marRight w:val="0"/>
      <w:marTop w:val="0"/>
      <w:marBottom w:val="0"/>
      <w:divBdr>
        <w:top w:val="none" w:sz="0" w:space="0" w:color="auto"/>
        <w:left w:val="none" w:sz="0" w:space="0" w:color="auto"/>
        <w:bottom w:val="none" w:sz="0" w:space="0" w:color="auto"/>
        <w:right w:val="none" w:sz="0" w:space="0" w:color="auto"/>
      </w:divBdr>
    </w:div>
    <w:div w:id="2139103119">
      <w:bodyDiv w:val="1"/>
      <w:marLeft w:val="0"/>
      <w:marRight w:val="0"/>
      <w:marTop w:val="0"/>
      <w:marBottom w:val="0"/>
      <w:divBdr>
        <w:top w:val="none" w:sz="0" w:space="0" w:color="auto"/>
        <w:left w:val="none" w:sz="0" w:space="0" w:color="auto"/>
        <w:bottom w:val="none" w:sz="0" w:space="0" w:color="auto"/>
        <w:right w:val="none" w:sz="0" w:space="0" w:color="auto"/>
      </w:divBdr>
    </w:div>
    <w:div w:id="2139182818">
      <w:bodyDiv w:val="1"/>
      <w:marLeft w:val="0"/>
      <w:marRight w:val="0"/>
      <w:marTop w:val="0"/>
      <w:marBottom w:val="0"/>
      <w:divBdr>
        <w:top w:val="none" w:sz="0" w:space="0" w:color="auto"/>
        <w:left w:val="none" w:sz="0" w:space="0" w:color="auto"/>
        <w:bottom w:val="none" w:sz="0" w:space="0" w:color="auto"/>
        <w:right w:val="none" w:sz="0" w:space="0" w:color="auto"/>
      </w:divBdr>
    </w:div>
    <w:div w:id="2139373040">
      <w:bodyDiv w:val="1"/>
      <w:marLeft w:val="0"/>
      <w:marRight w:val="0"/>
      <w:marTop w:val="0"/>
      <w:marBottom w:val="0"/>
      <w:divBdr>
        <w:top w:val="none" w:sz="0" w:space="0" w:color="auto"/>
        <w:left w:val="none" w:sz="0" w:space="0" w:color="auto"/>
        <w:bottom w:val="none" w:sz="0" w:space="0" w:color="auto"/>
        <w:right w:val="none" w:sz="0" w:space="0" w:color="auto"/>
      </w:divBdr>
    </w:div>
    <w:div w:id="2139374310">
      <w:bodyDiv w:val="1"/>
      <w:marLeft w:val="0"/>
      <w:marRight w:val="0"/>
      <w:marTop w:val="0"/>
      <w:marBottom w:val="0"/>
      <w:divBdr>
        <w:top w:val="none" w:sz="0" w:space="0" w:color="auto"/>
        <w:left w:val="none" w:sz="0" w:space="0" w:color="auto"/>
        <w:bottom w:val="none" w:sz="0" w:space="0" w:color="auto"/>
        <w:right w:val="none" w:sz="0" w:space="0" w:color="auto"/>
      </w:divBdr>
    </w:div>
    <w:div w:id="2139447513">
      <w:bodyDiv w:val="1"/>
      <w:marLeft w:val="0"/>
      <w:marRight w:val="0"/>
      <w:marTop w:val="0"/>
      <w:marBottom w:val="0"/>
      <w:divBdr>
        <w:top w:val="none" w:sz="0" w:space="0" w:color="auto"/>
        <w:left w:val="none" w:sz="0" w:space="0" w:color="auto"/>
        <w:bottom w:val="none" w:sz="0" w:space="0" w:color="auto"/>
        <w:right w:val="none" w:sz="0" w:space="0" w:color="auto"/>
      </w:divBdr>
    </w:div>
    <w:div w:id="213949207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 w:id="2139836630">
      <w:bodyDiv w:val="1"/>
      <w:marLeft w:val="0"/>
      <w:marRight w:val="0"/>
      <w:marTop w:val="0"/>
      <w:marBottom w:val="0"/>
      <w:divBdr>
        <w:top w:val="none" w:sz="0" w:space="0" w:color="auto"/>
        <w:left w:val="none" w:sz="0" w:space="0" w:color="auto"/>
        <w:bottom w:val="none" w:sz="0" w:space="0" w:color="auto"/>
        <w:right w:val="none" w:sz="0" w:space="0" w:color="auto"/>
      </w:divBdr>
    </w:div>
    <w:div w:id="2139838544">
      <w:bodyDiv w:val="1"/>
      <w:marLeft w:val="0"/>
      <w:marRight w:val="0"/>
      <w:marTop w:val="0"/>
      <w:marBottom w:val="0"/>
      <w:divBdr>
        <w:top w:val="none" w:sz="0" w:space="0" w:color="auto"/>
        <w:left w:val="none" w:sz="0" w:space="0" w:color="auto"/>
        <w:bottom w:val="none" w:sz="0" w:space="0" w:color="auto"/>
        <w:right w:val="none" w:sz="0" w:space="0" w:color="auto"/>
      </w:divBdr>
    </w:div>
    <w:div w:id="2139955158">
      <w:bodyDiv w:val="1"/>
      <w:marLeft w:val="0"/>
      <w:marRight w:val="0"/>
      <w:marTop w:val="0"/>
      <w:marBottom w:val="0"/>
      <w:divBdr>
        <w:top w:val="none" w:sz="0" w:space="0" w:color="auto"/>
        <w:left w:val="none" w:sz="0" w:space="0" w:color="auto"/>
        <w:bottom w:val="none" w:sz="0" w:space="0" w:color="auto"/>
        <w:right w:val="none" w:sz="0" w:space="0" w:color="auto"/>
      </w:divBdr>
    </w:div>
    <w:div w:id="2140032239">
      <w:bodyDiv w:val="1"/>
      <w:marLeft w:val="0"/>
      <w:marRight w:val="0"/>
      <w:marTop w:val="0"/>
      <w:marBottom w:val="0"/>
      <w:divBdr>
        <w:top w:val="none" w:sz="0" w:space="0" w:color="auto"/>
        <w:left w:val="none" w:sz="0" w:space="0" w:color="auto"/>
        <w:bottom w:val="none" w:sz="0" w:space="0" w:color="auto"/>
        <w:right w:val="none" w:sz="0" w:space="0" w:color="auto"/>
      </w:divBdr>
    </w:div>
    <w:div w:id="2140103539">
      <w:bodyDiv w:val="1"/>
      <w:marLeft w:val="0"/>
      <w:marRight w:val="0"/>
      <w:marTop w:val="0"/>
      <w:marBottom w:val="0"/>
      <w:divBdr>
        <w:top w:val="none" w:sz="0" w:space="0" w:color="auto"/>
        <w:left w:val="none" w:sz="0" w:space="0" w:color="auto"/>
        <w:bottom w:val="none" w:sz="0" w:space="0" w:color="auto"/>
        <w:right w:val="none" w:sz="0" w:space="0" w:color="auto"/>
      </w:divBdr>
    </w:div>
    <w:div w:id="2140299430">
      <w:bodyDiv w:val="1"/>
      <w:marLeft w:val="0"/>
      <w:marRight w:val="0"/>
      <w:marTop w:val="0"/>
      <w:marBottom w:val="0"/>
      <w:divBdr>
        <w:top w:val="none" w:sz="0" w:space="0" w:color="auto"/>
        <w:left w:val="none" w:sz="0" w:space="0" w:color="auto"/>
        <w:bottom w:val="none" w:sz="0" w:space="0" w:color="auto"/>
        <w:right w:val="none" w:sz="0" w:space="0" w:color="auto"/>
      </w:divBdr>
    </w:div>
    <w:div w:id="2140412704">
      <w:bodyDiv w:val="1"/>
      <w:marLeft w:val="0"/>
      <w:marRight w:val="0"/>
      <w:marTop w:val="0"/>
      <w:marBottom w:val="0"/>
      <w:divBdr>
        <w:top w:val="none" w:sz="0" w:space="0" w:color="auto"/>
        <w:left w:val="none" w:sz="0" w:space="0" w:color="auto"/>
        <w:bottom w:val="none" w:sz="0" w:space="0" w:color="auto"/>
        <w:right w:val="none" w:sz="0" w:space="0" w:color="auto"/>
      </w:divBdr>
    </w:div>
    <w:div w:id="2140486992">
      <w:bodyDiv w:val="1"/>
      <w:marLeft w:val="0"/>
      <w:marRight w:val="0"/>
      <w:marTop w:val="0"/>
      <w:marBottom w:val="0"/>
      <w:divBdr>
        <w:top w:val="none" w:sz="0" w:space="0" w:color="auto"/>
        <w:left w:val="none" w:sz="0" w:space="0" w:color="auto"/>
        <w:bottom w:val="none" w:sz="0" w:space="0" w:color="auto"/>
        <w:right w:val="none" w:sz="0" w:space="0" w:color="auto"/>
      </w:divBdr>
    </w:div>
    <w:div w:id="2140489857">
      <w:bodyDiv w:val="1"/>
      <w:marLeft w:val="0"/>
      <w:marRight w:val="0"/>
      <w:marTop w:val="0"/>
      <w:marBottom w:val="0"/>
      <w:divBdr>
        <w:top w:val="none" w:sz="0" w:space="0" w:color="auto"/>
        <w:left w:val="none" w:sz="0" w:space="0" w:color="auto"/>
        <w:bottom w:val="none" w:sz="0" w:space="0" w:color="auto"/>
        <w:right w:val="none" w:sz="0" w:space="0" w:color="auto"/>
      </w:divBdr>
    </w:div>
    <w:div w:id="2140538092">
      <w:bodyDiv w:val="1"/>
      <w:marLeft w:val="0"/>
      <w:marRight w:val="0"/>
      <w:marTop w:val="0"/>
      <w:marBottom w:val="0"/>
      <w:divBdr>
        <w:top w:val="none" w:sz="0" w:space="0" w:color="auto"/>
        <w:left w:val="none" w:sz="0" w:space="0" w:color="auto"/>
        <w:bottom w:val="none" w:sz="0" w:space="0" w:color="auto"/>
        <w:right w:val="none" w:sz="0" w:space="0" w:color="auto"/>
      </w:divBdr>
    </w:div>
    <w:div w:id="2140684978">
      <w:bodyDiv w:val="1"/>
      <w:marLeft w:val="0"/>
      <w:marRight w:val="0"/>
      <w:marTop w:val="0"/>
      <w:marBottom w:val="0"/>
      <w:divBdr>
        <w:top w:val="none" w:sz="0" w:space="0" w:color="auto"/>
        <w:left w:val="none" w:sz="0" w:space="0" w:color="auto"/>
        <w:bottom w:val="none" w:sz="0" w:space="0" w:color="auto"/>
        <w:right w:val="none" w:sz="0" w:space="0" w:color="auto"/>
      </w:divBdr>
    </w:div>
    <w:div w:id="2140755260">
      <w:bodyDiv w:val="1"/>
      <w:marLeft w:val="0"/>
      <w:marRight w:val="0"/>
      <w:marTop w:val="0"/>
      <w:marBottom w:val="0"/>
      <w:divBdr>
        <w:top w:val="none" w:sz="0" w:space="0" w:color="auto"/>
        <w:left w:val="none" w:sz="0" w:space="0" w:color="auto"/>
        <w:bottom w:val="none" w:sz="0" w:space="0" w:color="auto"/>
        <w:right w:val="none" w:sz="0" w:space="0" w:color="auto"/>
      </w:divBdr>
    </w:div>
    <w:div w:id="2140761912">
      <w:bodyDiv w:val="1"/>
      <w:marLeft w:val="0"/>
      <w:marRight w:val="0"/>
      <w:marTop w:val="0"/>
      <w:marBottom w:val="0"/>
      <w:divBdr>
        <w:top w:val="none" w:sz="0" w:space="0" w:color="auto"/>
        <w:left w:val="none" w:sz="0" w:space="0" w:color="auto"/>
        <w:bottom w:val="none" w:sz="0" w:space="0" w:color="auto"/>
        <w:right w:val="none" w:sz="0" w:space="0" w:color="auto"/>
      </w:divBdr>
    </w:div>
    <w:div w:id="2140762216">
      <w:bodyDiv w:val="1"/>
      <w:marLeft w:val="0"/>
      <w:marRight w:val="0"/>
      <w:marTop w:val="0"/>
      <w:marBottom w:val="0"/>
      <w:divBdr>
        <w:top w:val="none" w:sz="0" w:space="0" w:color="auto"/>
        <w:left w:val="none" w:sz="0" w:space="0" w:color="auto"/>
        <w:bottom w:val="none" w:sz="0" w:space="0" w:color="auto"/>
        <w:right w:val="none" w:sz="0" w:space="0" w:color="auto"/>
      </w:divBdr>
    </w:div>
    <w:div w:id="2140831253">
      <w:bodyDiv w:val="1"/>
      <w:marLeft w:val="0"/>
      <w:marRight w:val="0"/>
      <w:marTop w:val="0"/>
      <w:marBottom w:val="0"/>
      <w:divBdr>
        <w:top w:val="none" w:sz="0" w:space="0" w:color="auto"/>
        <w:left w:val="none" w:sz="0" w:space="0" w:color="auto"/>
        <w:bottom w:val="none" w:sz="0" w:space="0" w:color="auto"/>
        <w:right w:val="none" w:sz="0" w:space="0" w:color="auto"/>
      </w:divBdr>
    </w:div>
    <w:div w:id="2140875137">
      <w:bodyDiv w:val="1"/>
      <w:marLeft w:val="0"/>
      <w:marRight w:val="0"/>
      <w:marTop w:val="0"/>
      <w:marBottom w:val="0"/>
      <w:divBdr>
        <w:top w:val="none" w:sz="0" w:space="0" w:color="auto"/>
        <w:left w:val="none" w:sz="0" w:space="0" w:color="auto"/>
        <w:bottom w:val="none" w:sz="0" w:space="0" w:color="auto"/>
        <w:right w:val="none" w:sz="0" w:space="0" w:color="auto"/>
      </w:divBdr>
    </w:div>
    <w:div w:id="2140951380">
      <w:bodyDiv w:val="1"/>
      <w:marLeft w:val="0"/>
      <w:marRight w:val="0"/>
      <w:marTop w:val="0"/>
      <w:marBottom w:val="0"/>
      <w:divBdr>
        <w:top w:val="none" w:sz="0" w:space="0" w:color="auto"/>
        <w:left w:val="none" w:sz="0" w:space="0" w:color="auto"/>
        <w:bottom w:val="none" w:sz="0" w:space="0" w:color="auto"/>
        <w:right w:val="none" w:sz="0" w:space="0" w:color="auto"/>
      </w:divBdr>
    </w:div>
    <w:div w:id="2140957383">
      <w:bodyDiv w:val="1"/>
      <w:marLeft w:val="0"/>
      <w:marRight w:val="0"/>
      <w:marTop w:val="0"/>
      <w:marBottom w:val="0"/>
      <w:divBdr>
        <w:top w:val="none" w:sz="0" w:space="0" w:color="auto"/>
        <w:left w:val="none" w:sz="0" w:space="0" w:color="auto"/>
        <w:bottom w:val="none" w:sz="0" w:space="0" w:color="auto"/>
        <w:right w:val="none" w:sz="0" w:space="0" w:color="auto"/>
      </w:divBdr>
    </w:div>
    <w:div w:id="2141221338">
      <w:bodyDiv w:val="1"/>
      <w:marLeft w:val="0"/>
      <w:marRight w:val="0"/>
      <w:marTop w:val="0"/>
      <w:marBottom w:val="0"/>
      <w:divBdr>
        <w:top w:val="none" w:sz="0" w:space="0" w:color="auto"/>
        <w:left w:val="none" w:sz="0" w:space="0" w:color="auto"/>
        <w:bottom w:val="none" w:sz="0" w:space="0" w:color="auto"/>
        <w:right w:val="none" w:sz="0" w:space="0" w:color="auto"/>
      </w:divBdr>
    </w:div>
    <w:div w:id="2141336722">
      <w:bodyDiv w:val="1"/>
      <w:marLeft w:val="0"/>
      <w:marRight w:val="0"/>
      <w:marTop w:val="0"/>
      <w:marBottom w:val="0"/>
      <w:divBdr>
        <w:top w:val="none" w:sz="0" w:space="0" w:color="auto"/>
        <w:left w:val="none" w:sz="0" w:space="0" w:color="auto"/>
        <w:bottom w:val="none" w:sz="0" w:space="0" w:color="auto"/>
        <w:right w:val="none" w:sz="0" w:space="0" w:color="auto"/>
      </w:divBdr>
    </w:div>
    <w:div w:id="2141337044">
      <w:bodyDiv w:val="1"/>
      <w:marLeft w:val="0"/>
      <w:marRight w:val="0"/>
      <w:marTop w:val="0"/>
      <w:marBottom w:val="0"/>
      <w:divBdr>
        <w:top w:val="none" w:sz="0" w:space="0" w:color="auto"/>
        <w:left w:val="none" w:sz="0" w:space="0" w:color="auto"/>
        <w:bottom w:val="none" w:sz="0" w:space="0" w:color="auto"/>
        <w:right w:val="none" w:sz="0" w:space="0" w:color="auto"/>
      </w:divBdr>
    </w:div>
    <w:div w:id="2141343227">
      <w:bodyDiv w:val="1"/>
      <w:marLeft w:val="0"/>
      <w:marRight w:val="0"/>
      <w:marTop w:val="0"/>
      <w:marBottom w:val="0"/>
      <w:divBdr>
        <w:top w:val="none" w:sz="0" w:space="0" w:color="auto"/>
        <w:left w:val="none" w:sz="0" w:space="0" w:color="auto"/>
        <w:bottom w:val="none" w:sz="0" w:space="0" w:color="auto"/>
        <w:right w:val="none" w:sz="0" w:space="0" w:color="auto"/>
      </w:divBdr>
    </w:div>
    <w:div w:id="2141416075">
      <w:bodyDiv w:val="1"/>
      <w:marLeft w:val="0"/>
      <w:marRight w:val="0"/>
      <w:marTop w:val="0"/>
      <w:marBottom w:val="0"/>
      <w:divBdr>
        <w:top w:val="none" w:sz="0" w:space="0" w:color="auto"/>
        <w:left w:val="none" w:sz="0" w:space="0" w:color="auto"/>
        <w:bottom w:val="none" w:sz="0" w:space="0" w:color="auto"/>
        <w:right w:val="none" w:sz="0" w:space="0" w:color="auto"/>
      </w:divBdr>
    </w:div>
    <w:div w:id="2141418665">
      <w:bodyDiv w:val="1"/>
      <w:marLeft w:val="0"/>
      <w:marRight w:val="0"/>
      <w:marTop w:val="0"/>
      <w:marBottom w:val="0"/>
      <w:divBdr>
        <w:top w:val="none" w:sz="0" w:space="0" w:color="auto"/>
        <w:left w:val="none" w:sz="0" w:space="0" w:color="auto"/>
        <w:bottom w:val="none" w:sz="0" w:space="0" w:color="auto"/>
        <w:right w:val="none" w:sz="0" w:space="0" w:color="auto"/>
      </w:divBdr>
    </w:div>
    <w:div w:id="2141528632">
      <w:bodyDiv w:val="1"/>
      <w:marLeft w:val="0"/>
      <w:marRight w:val="0"/>
      <w:marTop w:val="0"/>
      <w:marBottom w:val="0"/>
      <w:divBdr>
        <w:top w:val="none" w:sz="0" w:space="0" w:color="auto"/>
        <w:left w:val="none" w:sz="0" w:space="0" w:color="auto"/>
        <w:bottom w:val="none" w:sz="0" w:space="0" w:color="auto"/>
        <w:right w:val="none" w:sz="0" w:space="0" w:color="auto"/>
      </w:divBdr>
    </w:div>
    <w:div w:id="2141653181">
      <w:bodyDiv w:val="1"/>
      <w:marLeft w:val="0"/>
      <w:marRight w:val="0"/>
      <w:marTop w:val="0"/>
      <w:marBottom w:val="0"/>
      <w:divBdr>
        <w:top w:val="none" w:sz="0" w:space="0" w:color="auto"/>
        <w:left w:val="none" w:sz="0" w:space="0" w:color="auto"/>
        <w:bottom w:val="none" w:sz="0" w:space="0" w:color="auto"/>
        <w:right w:val="none" w:sz="0" w:space="0" w:color="auto"/>
      </w:divBdr>
    </w:div>
    <w:div w:id="2141723735">
      <w:bodyDiv w:val="1"/>
      <w:marLeft w:val="0"/>
      <w:marRight w:val="0"/>
      <w:marTop w:val="0"/>
      <w:marBottom w:val="0"/>
      <w:divBdr>
        <w:top w:val="none" w:sz="0" w:space="0" w:color="auto"/>
        <w:left w:val="none" w:sz="0" w:space="0" w:color="auto"/>
        <w:bottom w:val="none" w:sz="0" w:space="0" w:color="auto"/>
        <w:right w:val="none" w:sz="0" w:space="0" w:color="auto"/>
      </w:divBdr>
    </w:div>
    <w:div w:id="2141726159">
      <w:bodyDiv w:val="1"/>
      <w:marLeft w:val="0"/>
      <w:marRight w:val="0"/>
      <w:marTop w:val="0"/>
      <w:marBottom w:val="0"/>
      <w:divBdr>
        <w:top w:val="none" w:sz="0" w:space="0" w:color="auto"/>
        <w:left w:val="none" w:sz="0" w:space="0" w:color="auto"/>
        <w:bottom w:val="none" w:sz="0" w:space="0" w:color="auto"/>
        <w:right w:val="none" w:sz="0" w:space="0" w:color="auto"/>
      </w:divBdr>
    </w:div>
    <w:div w:id="2141798865">
      <w:bodyDiv w:val="1"/>
      <w:marLeft w:val="0"/>
      <w:marRight w:val="0"/>
      <w:marTop w:val="0"/>
      <w:marBottom w:val="0"/>
      <w:divBdr>
        <w:top w:val="none" w:sz="0" w:space="0" w:color="auto"/>
        <w:left w:val="none" w:sz="0" w:space="0" w:color="auto"/>
        <w:bottom w:val="none" w:sz="0" w:space="0" w:color="auto"/>
        <w:right w:val="none" w:sz="0" w:space="0" w:color="auto"/>
      </w:divBdr>
    </w:div>
    <w:div w:id="2141803584">
      <w:bodyDiv w:val="1"/>
      <w:marLeft w:val="0"/>
      <w:marRight w:val="0"/>
      <w:marTop w:val="0"/>
      <w:marBottom w:val="0"/>
      <w:divBdr>
        <w:top w:val="none" w:sz="0" w:space="0" w:color="auto"/>
        <w:left w:val="none" w:sz="0" w:space="0" w:color="auto"/>
        <w:bottom w:val="none" w:sz="0" w:space="0" w:color="auto"/>
        <w:right w:val="none" w:sz="0" w:space="0" w:color="auto"/>
      </w:divBdr>
    </w:div>
    <w:div w:id="2141914586">
      <w:bodyDiv w:val="1"/>
      <w:marLeft w:val="0"/>
      <w:marRight w:val="0"/>
      <w:marTop w:val="0"/>
      <w:marBottom w:val="0"/>
      <w:divBdr>
        <w:top w:val="none" w:sz="0" w:space="0" w:color="auto"/>
        <w:left w:val="none" w:sz="0" w:space="0" w:color="auto"/>
        <w:bottom w:val="none" w:sz="0" w:space="0" w:color="auto"/>
        <w:right w:val="none" w:sz="0" w:space="0" w:color="auto"/>
      </w:divBdr>
    </w:div>
    <w:div w:id="2141918569">
      <w:bodyDiv w:val="1"/>
      <w:marLeft w:val="0"/>
      <w:marRight w:val="0"/>
      <w:marTop w:val="0"/>
      <w:marBottom w:val="0"/>
      <w:divBdr>
        <w:top w:val="none" w:sz="0" w:space="0" w:color="auto"/>
        <w:left w:val="none" w:sz="0" w:space="0" w:color="auto"/>
        <w:bottom w:val="none" w:sz="0" w:space="0" w:color="auto"/>
        <w:right w:val="none" w:sz="0" w:space="0" w:color="auto"/>
      </w:divBdr>
    </w:div>
    <w:div w:id="2141993170">
      <w:bodyDiv w:val="1"/>
      <w:marLeft w:val="0"/>
      <w:marRight w:val="0"/>
      <w:marTop w:val="0"/>
      <w:marBottom w:val="0"/>
      <w:divBdr>
        <w:top w:val="none" w:sz="0" w:space="0" w:color="auto"/>
        <w:left w:val="none" w:sz="0" w:space="0" w:color="auto"/>
        <w:bottom w:val="none" w:sz="0" w:space="0" w:color="auto"/>
        <w:right w:val="none" w:sz="0" w:space="0" w:color="auto"/>
      </w:divBdr>
    </w:div>
    <w:div w:id="2142070860">
      <w:bodyDiv w:val="1"/>
      <w:marLeft w:val="0"/>
      <w:marRight w:val="0"/>
      <w:marTop w:val="0"/>
      <w:marBottom w:val="0"/>
      <w:divBdr>
        <w:top w:val="none" w:sz="0" w:space="0" w:color="auto"/>
        <w:left w:val="none" w:sz="0" w:space="0" w:color="auto"/>
        <w:bottom w:val="none" w:sz="0" w:space="0" w:color="auto"/>
        <w:right w:val="none" w:sz="0" w:space="0" w:color="auto"/>
      </w:divBdr>
    </w:div>
    <w:div w:id="2142140705">
      <w:bodyDiv w:val="1"/>
      <w:marLeft w:val="0"/>
      <w:marRight w:val="0"/>
      <w:marTop w:val="0"/>
      <w:marBottom w:val="0"/>
      <w:divBdr>
        <w:top w:val="none" w:sz="0" w:space="0" w:color="auto"/>
        <w:left w:val="none" w:sz="0" w:space="0" w:color="auto"/>
        <w:bottom w:val="none" w:sz="0" w:space="0" w:color="auto"/>
        <w:right w:val="none" w:sz="0" w:space="0" w:color="auto"/>
      </w:divBdr>
    </w:div>
    <w:div w:id="2142338420">
      <w:bodyDiv w:val="1"/>
      <w:marLeft w:val="0"/>
      <w:marRight w:val="0"/>
      <w:marTop w:val="0"/>
      <w:marBottom w:val="0"/>
      <w:divBdr>
        <w:top w:val="none" w:sz="0" w:space="0" w:color="auto"/>
        <w:left w:val="none" w:sz="0" w:space="0" w:color="auto"/>
        <w:bottom w:val="none" w:sz="0" w:space="0" w:color="auto"/>
        <w:right w:val="none" w:sz="0" w:space="0" w:color="auto"/>
      </w:divBdr>
    </w:div>
    <w:div w:id="2142451692">
      <w:bodyDiv w:val="1"/>
      <w:marLeft w:val="0"/>
      <w:marRight w:val="0"/>
      <w:marTop w:val="0"/>
      <w:marBottom w:val="0"/>
      <w:divBdr>
        <w:top w:val="none" w:sz="0" w:space="0" w:color="auto"/>
        <w:left w:val="none" w:sz="0" w:space="0" w:color="auto"/>
        <w:bottom w:val="none" w:sz="0" w:space="0" w:color="auto"/>
        <w:right w:val="none" w:sz="0" w:space="0" w:color="auto"/>
      </w:divBdr>
    </w:div>
    <w:div w:id="2142572892">
      <w:bodyDiv w:val="1"/>
      <w:marLeft w:val="0"/>
      <w:marRight w:val="0"/>
      <w:marTop w:val="0"/>
      <w:marBottom w:val="0"/>
      <w:divBdr>
        <w:top w:val="none" w:sz="0" w:space="0" w:color="auto"/>
        <w:left w:val="none" w:sz="0" w:space="0" w:color="auto"/>
        <w:bottom w:val="none" w:sz="0" w:space="0" w:color="auto"/>
        <w:right w:val="none" w:sz="0" w:space="0" w:color="auto"/>
      </w:divBdr>
    </w:div>
    <w:div w:id="2142653688">
      <w:bodyDiv w:val="1"/>
      <w:marLeft w:val="0"/>
      <w:marRight w:val="0"/>
      <w:marTop w:val="0"/>
      <w:marBottom w:val="0"/>
      <w:divBdr>
        <w:top w:val="none" w:sz="0" w:space="0" w:color="auto"/>
        <w:left w:val="none" w:sz="0" w:space="0" w:color="auto"/>
        <w:bottom w:val="none" w:sz="0" w:space="0" w:color="auto"/>
        <w:right w:val="none" w:sz="0" w:space="0" w:color="auto"/>
      </w:divBdr>
    </w:div>
    <w:div w:id="2142796225">
      <w:bodyDiv w:val="1"/>
      <w:marLeft w:val="0"/>
      <w:marRight w:val="0"/>
      <w:marTop w:val="0"/>
      <w:marBottom w:val="0"/>
      <w:divBdr>
        <w:top w:val="none" w:sz="0" w:space="0" w:color="auto"/>
        <w:left w:val="none" w:sz="0" w:space="0" w:color="auto"/>
        <w:bottom w:val="none" w:sz="0" w:space="0" w:color="auto"/>
        <w:right w:val="none" w:sz="0" w:space="0" w:color="auto"/>
      </w:divBdr>
    </w:div>
    <w:div w:id="2142839022">
      <w:bodyDiv w:val="1"/>
      <w:marLeft w:val="0"/>
      <w:marRight w:val="0"/>
      <w:marTop w:val="0"/>
      <w:marBottom w:val="0"/>
      <w:divBdr>
        <w:top w:val="none" w:sz="0" w:space="0" w:color="auto"/>
        <w:left w:val="none" w:sz="0" w:space="0" w:color="auto"/>
        <w:bottom w:val="none" w:sz="0" w:space="0" w:color="auto"/>
        <w:right w:val="none" w:sz="0" w:space="0" w:color="auto"/>
      </w:divBdr>
    </w:div>
    <w:div w:id="2142845870">
      <w:bodyDiv w:val="1"/>
      <w:marLeft w:val="0"/>
      <w:marRight w:val="0"/>
      <w:marTop w:val="0"/>
      <w:marBottom w:val="0"/>
      <w:divBdr>
        <w:top w:val="none" w:sz="0" w:space="0" w:color="auto"/>
        <w:left w:val="none" w:sz="0" w:space="0" w:color="auto"/>
        <w:bottom w:val="none" w:sz="0" w:space="0" w:color="auto"/>
        <w:right w:val="none" w:sz="0" w:space="0" w:color="auto"/>
      </w:divBdr>
    </w:div>
    <w:div w:id="2142920945">
      <w:bodyDiv w:val="1"/>
      <w:marLeft w:val="0"/>
      <w:marRight w:val="0"/>
      <w:marTop w:val="0"/>
      <w:marBottom w:val="0"/>
      <w:divBdr>
        <w:top w:val="none" w:sz="0" w:space="0" w:color="auto"/>
        <w:left w:val="none" w:sz="0" w:space="0" w:color="auto"/>
        <w:bottom w:val="none" w:sz="0" w:space="0" w:color="auto"/>
        <w:right w:val="none" w:sz="0" w:space="0" w:color="auto"/>
      </w:divBdr>
    </w:div>
    <w:div w:id="2142965695">
      <w:bodyDiv w:val="1"/>
      <w:marLeft w:val="0"/>
      <w:marRight w:val="0"/>
      <w:marTop w:val="0"/>
      <w:marBottom w:val="0"/>
      <w:divBdr>
        <w:top w:val="none" w:sz="0" w:space="0" w:color="auto"/>
        <w:left w:val="none" w:sz="0" w:space="0" w:color="auto"/>
        <w:bottom w:val="none" w:sz="0" w:space="0" w:color="auto"/>
        <w:right w:val="none" w:sz="0" w:space="0" w:color="auto"/>
      </w:divBdr>
    </w:div>
    <w:div w:id="2143032801">
      <w:bodyDiv w:val="1"/>
      <w:marLeft w:val="0"/>
      <w:marRight w:val="0"/>
      <w:marTop w:val="0"/>
      <w:marBottom w:val="0"/>
      <w:divBdr>
        <w:top w:val="none" w:sz="0" w:space="0" w:color="auto"/>
        <w:left w:val="none" w:sz="0" w:space="0" w:color="auto"/>
        <w:bottom w:val="none" w:sz="0" w:space="0" w:color="auto"/>
        <w:right w:val="none" w:sz="0" w:space="0" w:color="auto"/>
      </w:divBdr>
    </w:div>
    <w:div w:id="2143037706">
      <w:bodyDiv w:val="1"/>
      <w:marLeft w:val="0"/>
      <w:marRight w:val="0"/>
      <w:marTop w:val="0"/>
      <w:marBottom w:val="0"/>
      <w:divBdr>
        <w:top w:val="none" w:sz="0" w:space="0" w:color="auto"/>
        <w:left w:val="none" w:sz="0" w:space="0" w:color="auto"/>
        <w:bottom w:val="none" w:sz="0" w:space="0" w:color="auto"/>
        <w:right w:val="none" w:sz="0" w:space="0" w:color="auto"/>
      </w:divBdr>
    </w:div>
    <w:div w:id="2143189544">
      <w:bodyDiv w:val="1"/>
      <w:marLeft w:val="0"/>
      <w:marRight w:val="0"/>
      <w:marTop w:val="0"/>
      <w:marBottom w:val="0"/>
      <w:divBdr>
        <w:top w:val="none" w:sz="0" w:space="0" w:color="auto"/>
        <w:left w:val="none" w:sz="0" w:space="0" w:color="auto"/>
        <w:bottom w:val="none" w:sz="0" w:space="0" w:color="auto"/>
        <w:right w:val="none" w:sz="0" w:space="0" w:color="auto"/>
      </w:divBdr>
    </w:div>
    <w:div w:id="2143300551">
      <w:bodyDiv w:val="1"/>
      <w:marLeft w:val="0"/>
      <w:marRight w:val="0"/>
      <w:marTop w:val="0"/>
      <w:marBottom w:val="0"/>
      <w:divBdr>
        <w:top w:val="none" w:sz="0" w:space="0" w:color="auto"/>
        <w:left w:val="none" w:sz="0" w:space="0" w:color="auto"/>
        <w:bottom w:val="none" w:sz="0" w:space="0" w:color="auto"/>
        <w:right w:val="none" w:sz="0" w:space="0" w:color="auto"/>
      </w:divBdr>
    </w:div>
    <w:div w:id="2143301023">
      <w:bodyDiv w:val="1"/>
      <w:marLeft w:val="0"/>
      <w:marRight w:val="0"/>
      <w:marTop w:val="0"/>
      <w:marBottom w:val="0"/>
      <w:divBdr>
        <w:top w:val="none" w:sz="0" w:space="0" w:color="auto"/>
        <w:left w:val="none" w:sz="0" w:space="0" w:color="auto"/>
        <w:bottom w:val="none" w:sz="0" w:space="0" w:color="auto"/>
        <w:right w:val="none" w:sz="0" w:space="0" w:color="auto"/>
      </w:divBdr>
    </w:div>
    <w:div w:id="2143301122">
      <w:bodyDiv w:val="1"/>
      <w:marLeft w:val="0"/>
      <w:marRight w:val="0"/>
      <w:marTop w:val="0"/>
      <w:marBottom w:val="0"/>
      <w:divBdr>
        <w:top w:val="none" w:sz="0" w:space="0" w:color="auto"/>
        <w:left w:val="none" w:sz="0" w:space="0" w:color="auto"/>
        <w:bottom w:val="none" w:sz="0" w:space="0" w:color="auto"/>
        <w:right w:val="none" w:sz="0" w:space="0" w:color="auto"/>
      </w:divBdr>
    </w:div>
    <w:div w:id="2143383999">
      <w:bodyDiv w:val="1"/>
      <w:marLeft w:val="0"/>
      <w:marRight w:val="0"/>
      <w:marTop w:val="0"/>
      <w:marBottom w:val="0"/>
      <w:divBdr>
        <w:top w:val="none" w:sz="0" w:space="0" w:color="auto"/>
        <w:left w:val="none" w:sz="0" w:space="0" w:color="auto"/>
        <w:bottom w:val="none" w:sz="0" w:space="0" w:color="auto"/>
        <w:right w:val="none" w:sz="0" w:space="0" w:color="auto"/>
      </w:divBdr>
    </w:div>
    <w:div w:id="2143693575">
      <w:bodyDiv w:val="1"/>
      <w:marLeft w:val="0"/>
      <w:marRight w:val="0"/>
      <w:marTop w:val="0"/>
      <w:marBottom w:val="0"/>
      <w:divBdr>
        <w:top w:val="none" w:sz="0" w:space="0" w:color="auto"/>
        <w:left w:val="none" w:sz="0" w:space="0" w:color="auto"/>
        <w:bottom w:val="none" w:sz="0" w:space="0" w:color="auto"/>
        <w:right w:val="none" w:sz="0" w:space="0" w:color="auto"/>
      </w:divBdr>
    </w:div>
    <w:div w:id="2143762581">
      <w:bodyDiv w:val="1"/>
      <w:marLeft w:val="0"/>
      <w:marRight w:val="0"/>
      <w:marTop w:val="0"/>
      <w:marBottom w:val="0"/>
      <w:divBdr>
        <w:top w:val="none" w:sz="0" w:space="0" w:color="auto"/>
        <w:left w:val="none" w:sz="0" w:space="0" w:color="auto"/>
        <w:bottom w:val="none" w:sz="0" w:space="0" w:color="auto"/>
        <w:right w:val="none" w:sz="0" w:space="0" w:color="auto"/>
      </w:divBdr>
    </w:div>
    <w:div w:id="2143766447">
      <w:bodyDiv w:val="1"/>
      <w:marLeft w:val="0"/>
      <w:marRight w:val="0"/>
      <w:marTop w:val="0"/>
      <w:marBottom w:val="0"/>
      <w:divBdr>
        <w:top w:val="none" w:sz="0" w:space="0" w:color="auto"/>
        <w:left w:val="none" w:sz="0" w:space="0" w:color="auto"/>
        <w:bottom w:val="none" w:sz="0" w:space="0" w:color="auto"/>
        <w:right w:val="none" w:sz="0" w:space="0" w:color="auto"/>
      </w:divBdr>
    </w:div>
    <w:div w:id="2143770637">
      <w:bodyDiv w:val="1"/>
      <w:marLeft w:val="0"/>
      <w:marRight w:val="0"/>
      <w:marTop w:val="0"/>
      <w:marBottom w:val="0"/>
      <w:divBdr>
        <w:top w:val="none" w:sz="0" w:space="0" w:color="auto"/>
        <w:left w:val="none" w:sz="0" w:space="0" w:color="auto"/>
        <w:bottom w:val="none" w:sz="0" w:space="0" w:color="auto"/>
        <w:right w:val="none" w:sz="0" w:space="0" w:color="auto"/>
      </w:divBdr>
    </w:div>
    <w:div w:id="2143843366">
      <w:bodyDiv w:val="1"/>
      <w:marLeft w:val="0"/>
      <w:marRight w:val="0"/>
      <w:marTop w:val="0"/>
      <w:marBottom w:val="0"/>
      <w:divBdr>
        <w:top w:val="none" w:sz="0" w:space="0" w:color="auto"/>
        <w:left w:val="none" w:sz="0" w:space="0" w:color="auto"/>
        <w:bottom w:val="none" w:sz="0" w:space="0" w:color="auto"/>
        <w:right w:val="none" w:sz="0" w:space="0" w:color="auto"/>
      </w:divBdr>
    </w:div>
    <w:div w:id="2144077993">
      <w:bodyDiv w:val="1"/>
      <w:marLeft w:val="0"/>
      <w:marRight w:val="0"/>
      <w:marTop w:val="0"/>
      <w:marBottom w:val="0"/>
      <w:divBdr>
        <w:top w:val="none" w:sz="0" w:space="0" w:color="auto"/>
        <w:left w:val="none" w:sz="0" w:space="0" w:color="auto"/>
        <w:bottom w:val="none" w:sz="0" w:space="0" w:color="auto"/>
        <w:right w:val="none" w:sz="0" w:space="0" w:color="auto"/>
      </w:divBdr>
    </w:div>
    <w:div w:id="2144153475">
      <w:bodyDiv w:val="1"/>
      <w:marLeft w:val="0"/>
      <w:marRight w:val="0"/>
      <w:marTop w:val="0"/>
      <w:marBottom w:val="0"/>
      <w:divBdr>
        <w:top w:val="none" w:sz="0" w:space="0" w:color="auto"/>
        <w:left w:val="none" w:sz="0" w:space="0" w:color="auto"/>
        <w:bottom w:val="none" w:sz="0" w:space="0" w:color="auto"/>
        <w:right w:val="none" w:sz="0" w:space="0" w:color="auto"/>
      </w:divBdr>
    </w:div>
    <w:div w:id="2144153826">
      <w:bodyDiv w:val="1"/>
      <w:marLeft w:val="0"/>
      <w:marRight w:val="0"/>
      <w:marTop w:val="0"/>
      <w:marBottom w:val="0"/>
      <w:divBdr>
        <w:top w:val="none" w:sz="0" w:space="0" w:color="auto"/>
        <w:left w:val="none" w:sz="0" w:space="0" w:color="auto"/>
        <w:bottom w:val="none" w:sz="0" w:space="0" w:color="auto"/>
        <w:right w:val="none" w:sz="0" w:space="0" w:color="auto"/>
      </w:divBdr>
    </w:div>
    <w:div w:id="2144155696">
      <w:bodyDiv w:val="1"/>
      <w:marLeft w:val="0"/>
      <w:marRight w:val="0"/>
      <w:marTop w:val="0"/>
      <w:marBottom w:val="0"/>
      <w:divBdr>
        <w:top w:val="none" w:sz="0" w:space="0" w:color="auto"/>
        <w:left w:val="none" w:sz="0" w:space="0" w:color="auto"/>
        <w:bottom w:val="none" w:sz="0" w:space="0" w:color="auto"/>
        <w:right w:val="none" w:sz="0" w:space="0" w:color="auto"/>
      </w:divBdr>
    </w:div>
    <w:div w:id="2144158024">
      <w:bodyDiv w:val="1"/>
      <w:marLeft w:val="0"/>
      <w:marRight w:val="0"/>
      <w:marTop w:val="0"/>
      <w:marBottom w:val="0"/>
      <w:divBdr>
        <w:top w:val="none" w:sz="0" w:space="0" w:color="auto"/>
        <w:left w:val="none" w:sz="0" w:space="0" w:color="auto"/>
        <w:bottom w:val="none" w:sz="0" w:space="0" w:color="auto"/>
        <w:right w:val="none" w:sz="0" w:space="0" w:color="auto"/>
      </w:divBdr>
    </w:div>
    <w:div w:id="2144275091">
      <w:bodyDiv w:val="1"/>
      <w:marLeft w:val="0"/>
      <w:marRight w:val="0"/>
      <w:marTop w:val="0"/>
      <w:marBottom w:val="0"/>
      <w:divBdr>
        <w:top w:val="none" w:sz="0" w:space="0" w:color="auto"/>
        <w:left w:val="none" w:sz="0" w:space="0" w:color="auto"/>
        <w:bottom w:val="none" w:sz="0" w:space="0" w:color="auto"/>
        <w:right w:val="none" w:sz="0" w:space="0" w:color="auto"/>
      </w:divBdr>
    </w:div>
    <w:div w:id="2144276428">
      <w:bodyDiv w:val="1"/>
      <w:marLeft w:val="0"/>
      <w:marRight w:val="0"/>
      <w:marTop w:val="0"/>
      <w:marBottom w:val="0"/>
      <w:divBdr>
        <w:top w:val="none" w:sz="0" w:space="0" w:color="auto"/>
        <w:left w:val="none" w:sz="0" w:space="0" w:color="auto"/>
        <w:bottom w:val="none" w:sz="0" w:space="0" w:color="auto"/>
        <w:right w:val="none" w:sz="0" w:space="0" w:color="auto"/>
      </w:divBdr>
    </w:div>
    <w:div w:id="2144351676">
      <w:bodyDiv w:val="1"/>
      <w:marLeft w:val="0"/>
      <w:marRight w:val="0"/>
      <w:marTop w:val="0"/>
      <w:marBottom w:val="0"/>
      <w:divBdr>
        <w:top w:val="none" w:sz="0" w:space="0" w:color="auto"/>
        <w:left w:val="none" w:sz="0" w:space="0" w:color="auto"/>
        <w:bottom w:val="none" w:sz="0" w:space="0" w:color="auto"/>
        <w:right w:val="none" w:sz="0" w:space="0" w:color="auto"/>
      </w:divBdr>
    </w:div>
    <w:div w:id="2144497891">
      <w:bodyDiv w:val="1"/>
      <w:marLeft w:val="0"/>
      <w:marRight w:val="0"/>
      <w:marTop w:val="0"/>
      <w:marBottom w:val="0"/>
      <w:divBdr>
        <w:top w:val="none" w:sz="0" w:space="0" w:color="auto"/>
        <w:left w:val="none" w:sz="0" w:space="0" w:color="auto"/>
        <w:bottom w:val="none" w:sz="0" w:space="0" w:color="auto"/>
        <w:right w:val="none" w:sz="0" w:space="0" w:color="auto"/>
      </w:divBdr>
    </w:div>
    <w:div w:id="2144615693">
      <w:bodyDiv w:val="1"/>
      <w:marLeft w:val="0"/>
      <w:marRight w:val="0"/>
      <w:marTop w:val="0"/>
      <w:marBottom w:val="0"/>
      <w:divBdr>
        <w:top w:val="none" w:sz="0" w:space="0" w:color="auto"/>
        <w:left w:val="none" w:sz="0" w:space="0" w:color="auto"/>
        <w:bottom w:val="none" w:sz="0" w:space="0" w:color="auto"/>
        <w:right w:val="none" w:sz="0" w:space="0" w:color="auto"/>
      </w:divBdr>
    </w:div>
    <w:div w:id="2144689230">
      <w:bodyDiv w:val="1"/>
      <w:marLeft w:val="0"/>
      <w:marRight w:val="0"/>
      <w:marTop w:val="0"/>
      <w:marBottom w:val="0"/>
      <w:divBdr>
        <w:top w:val="none" w:sz="0" w:space="0" w:color="auto"/>
        <w:left w:val="none" w:sz="0" w:space="0" w:color="auto"/>
        <w:bottom w:val="none" w:sz="0" w:space="0" w:color="auto"/>
        <w:right w:val="none" w:sz="0" w:space="0" w:color="auto"/>
      </w:divBdr>
    </w:div>
    <w:div w:id="2144689727">
      <w:bodyDiv w:val="1"/>
      <w:marLeft w:val="0"/>
      <w:marRight w:val="0"/>
      <w:marTop w:val="0"/>
      <w:marBottom w:val="0"/>
      <w:divBdr>
        <w:top w:val="none" w:sz="0" w:space="0" w:color="auto"/>
        <w:left w:val="none" w:sz="0" w:space="0" w:color="auto"/>
        <w:bottom w:val="none" w:sz="0" w:space="0" w:color="auto"/>
        <w:right w:val="none" w:sz="0" w:space="0" w:color="auto"/>
      </w:divBdr>
    </w:div>
    <w:div w:id="2144692876">
      <w:bodyDiv w:val="1"/>
      <w:marLeft w:val="0"/>
      <w:marRight w:val="0"/>
      <w:marTop w:val="0"/>
      <w:marBottom w:val="0"/>
      <w:divBdr>
        <w:top w:val="none" w:sz="0" w:space="0" w:color="auto"/>
        <w:left w:val="none" w:sz="0" w:space="0" w:color="auto"/>
        <w:bottom w:val="none" w:sz="0" w:space="0" w:color="auto"/>
        <w:right w:val="none" w:sz="0" w:space="0" w:color="auto"/>
      </w:divBdr>
    </w:div>
    <w:div w:id="2144738050">
      <w:bodyDiv w:val="1"/>
      <w:marLeft w:val="0"/>
      <w:marRight w:val="0"/>
      <w:marTop w:val="0"/>
      <w:marBottom w:val="0"/>
      <w:divBdr>
        <w:top w:val="none" w:sz="0" w:space="0" w:color="auto"/>
        <w:left w:val="none" w:sz="0" w:space="0" w:color="auto"/>
        <w:bottom w:val="none" w:sz="0" w:space="0" w:color="auto"/>
        <w:right w:val="none" w:sz="0" w:space="0" w:color="auto"/>
      </w:divBdr>
    </w:div>
    <w:div w:id="2144888397">
      <w:bodyDiv w:val="1"/>
      <w:marLeft w:val="0"/>
      <w:marRight w:val="0"/>
      <w:marTop w:val="0"/>
      <w:marBottom w:val="0"/>
      <w:divBdr>
        <w:top w:val="none" w:sz="0" w:space="0" w:color="auto"/>
        <w:left w:val="none" w:sz="0" w:space="0" w:color="auto"/>
        <w:bottom w:val="none" w:sz="0" w:space="0" w:color="auto"/>
        <w:right w:val="none" w:sz="0" w:space="0" w:color="auto"/>
      </w:divBdr>
    </w:div>
    <w:div w:id="2145001232">
      <w:bodyDiv w:val="1"/>
      <w:marLeft w:val="0"/>
      <w:marRight w:val="0"/>
      <w:marTop w:val="0"/>
      <w:marBottom w:val="0"/>
      <w:divBdr>
        <w:top w:val="none" w:sz="0" w:space="0" w:color="auto"/>
        <w:left w:val="none" w:sz="0" w:space="0" w:color="auto"/>
        <w:bottom w:val="none" w:sz="0" w:space="0" w:color="auto"/>
        <w:right w:val="none" w:sz="0" w:space="0" w:color="auto"/>
      </w:divBdr>
    </w:div>
    <w:div w:id="2145072885">
      <w:bodyDiv w:val="1"/>
      <w:marLeft w:val="0"/>
      <w:marRight w:val="0"/>
      <w:marTop w:val="0"/>
      <w:marBottom w:val="0"/>
      <w:divBdr>
        <w:top w:val="none" w:sz="0" w:space="0" w:color="auto"/>
        <w:left w:val="none" w:sz="0" w:space="0" w:color="auto"/>
        <w:bottom w:val="none" w:sz="0" w:space="0" w:color="auto"/>
        <w:right w:val="none" w:sz="0" w:space="0" w:color="auto"/>
      </w:divBdr>
    </w:div>
    <w:div w:id="2145074961">
      <w:bodyDiv w:val="1"/>
      <w:marLeft w:val="0"/>
      <w:marRight w:val="0"/>
      <w:marTop w:val="0"/>
      <w:marBottom w:val="0"/>
      <w:divBdr>
        <w:top w:val="none" w:sz="0" w:space="0" w:color="auto"/>
        <w:left w:val="none" w:sz="0" w:space="0" w:color="auto"/>
        <w:bottom w:val="none" w:sz="0" w:space="0" w:color="auto"/>
        <w:right w:val="none" w:sz="0" w:space="0" w:color="auto"/>
      </w:divBdr>
    </w:div>
    <w:div w:id="2145079243">
      <w:bodyDiv w:val="1"/>
      <w:marLeft w:val="0"/>
      <w:marRight w:val="0"/>
      <w:marTop w:val="0"/>
      <w:marBottom w:val="0"/>
      <w:divBdr>
        <w:top w:val="none" w:sz="0" w:space="0" w:color="auto"/>
        <w:left w:val="none" w:sz="0" w:space="0" w:color="auto"/>
        <w:bottom w:val="none" w:sz="0" w:space="0" w:color="auto"/>
        <w:right w:val="none" w:sz="0" w:space="0" w:color="auto"/>
      </w:divBdr>
    </w:div>
    <w:div w:id="2145193909">
      <w:bodyDiv w:val="1"/>
      <w:marLeft w:val="0"/>
      <w:marRight w:val="0"/>
      <w:marTop w:val="0"/>
      <w:marBottom w:val="0"/>
      <w:divBdr>
        <w:top w:val="none" w:sz="0" w:space="0" w:color="auto"/>
        <w:left w:val="none" w:sz="0" w:space="0" w:color="auto"/>
        <w:bottom w:val="none" w:sz="0" w:space="0" w:color="auto"/>
        <w:right w:val="none" w:sz="0" w:space="0" w:color="auto"/>
      </w:divBdr>
    </w:div>
    <w:div w:id="2145465942">
      <w:bodyDiv w:val="1"/>
      <w:marLeft w:val="0"/>
      <w:marRight w:val="0"/>
      <w:marTop w:val="0"/>
      <w:marBottom w:val="0"/>
      <w:divBdr>
        <w:top w:val="none" w:sz="0" w:space="0" w:color="auto"/>
        <w:left w:val="none" w:sz="0" w:space="0" w:color="auto"/>
        <w:bottom w:val="none" w:sz="0" w:space="0" w:color="auto"/>
        <w:right w:val="none" w:sz="0" w:space="0" w:color="auto"/>
      </w:divBdr>
    </w:div>
    <w:div w:id="2145467223">
      <w:bodyDiv w:val="1"/>
      <w:marLeft w:val="0"/>
      <w:marRight w:val="0"/>
      <w:marTop w:val="0"/>
      <w:marBottom w:val="0"/>
      <w:divBdr>
        <w:top w:val="none" w:sz="0" w:space="0" w:color="auto"/>
        <w:left w:val="none" w:sz="0" w:space="0" w:color="auto"/>
        <w:bottom w:val="none" w:sz="0" w:space="0" w:color="auto"/>
        <w:right w:val="none" w:sz="0" w:space="0" w:color="auto"/>
      </w:divBdr>
    </w:div>
    <w:div w:id="2145468292">
      <w:bodyDiv w:val="1"/>
      <w:marLeft w:val="0"/>
      <w:marRight w:val="0"/>
      <w:marTop w:val="0"/>
      <w:marBottom w:val="0"/>
      <w:divBdr>
        <w:top w:val="none" w:sz="0" w:space="0" w:color="auto"/>
        <w:left w:val="none" w:sz="0" w:space="0" w:color="auto"/>
        <w:bottom w:val="none" w:sz="0" w:space="0" w:color="auto"/>
        <w:right w:val="none" w:sz="0" w:space="0" w:color="auto"/>
      </w:divBdr>
    </w:div>
    <w:div w:id="2145539837">
      <w:bodyDiv w:val="1"/>
      <w:marLeft w:val="0"/>
      <w:marRight w:val="0"/>
      <w:marTop w:val="0"/>
      <w:marBottom w:val="0"/>
      <w:divBdr>
        <w:top w:val="none" w:sz="0" w:space="0" w:color="auto"/>
        <w:left w:val="none" w:sz="0" w:space="0" w:color="auto"/>
        <w:bottom w:val="none" w:sz="0" w:space="0" w:color="auto"/>
        <w:right w:val="none" w:sz="0" w:space="0" w:color="auto"/>
      </w:divBdr>
    </w:div>
    <w:div w:id="2145540727">
      <w:bodyDiv w:val="1"/>
      <w:marLeft w:val="0"/>
      <w:marRight w:val="0"/>
      <w:marTop w:val="0"/>
      <w:marBottom w:val="0"/>
      <w:divBdr>
        <w:top w:val="none" w:sz="0" w:space="0" w:color="auto"/>
        <w:left w:val="none" w:sz="0" w:space="0" w:color="auto"/>
        <w:bottom w:val="none" w:sz="0" w:space="0" w:color="auto"/>
        <w:right w:val="none" w:sz="0" w:space="0" w:color="auto"/>
      </w:divBdr>
    </w:div>
    <w:div w:id="2145584983">
      <w:bodyDiv w:val="1"/>
      <w:marLeft w:val="0"/>
      <w:marRight w:val="0"/>
      <w:marTop w:val="0"/>
      <w:marBottom w:val="0"/>
      <w:divBdr>
        <w:top w:val="none" w:sz="0" w:space="0" w:color="auto"/>
        <w:left w:val="none" w:sz="0" w:space="0" w:color="auto"/>
        <w:bottom w:val="none" w:sz="0" w:space="0" w:color="auto"/>
        <w:right w:val="none" w:sz="0" w:space="0" w:color="auto"/>
      </w:divBdr>
    </w:div>
    <w:div w:id="2145610997">
      <w:bodyDiv w:val="1"/>
      <w:marLeft w:val="0"/>
      <w:marRight w:val="0"/>
      <w:marTop w:val="0"/>
      <w:marBottom w:val="0"/>
      <w:divBdr>
        <w:top w:val="none" w:sz="0" w:space="0" w:color="auto"/>
        <w:left w:val="none" w:sz="0" w:space="0" w:color="auto"/>
        <w:bottom w:val="none" w:sz="0" w:space="0" w:color="auto"/>
        <w:right w:val="none" w:sz="0" w:space="0" w:color="auto"/>
      </w:divBdr>
    </w:div>
    <w:div w:id="2145660576">
      <w:bodyDiv w:val="1"/>
      <w:marLeft w:val="0"/>
      <w:marRight w:val="0"/>
      <w:marTop w:val="0"/>
      <w:marBottom w:val="0"/>
      <w:divBdr>
        <w:top w:val="none" w:sz="0" w:space="0" w:color="auto"/>
        <w:left w:val="none" w:sz="0" w:space="0" w:color="auto"/>
        <w:bottom w:val="none" w:sz="0" w:space="0" w:color="auto"/>
        <w:right w:val="none" w:sz="0" w:space="0" w:color="auto"/>
      </w:divBdr>
    </w:div>
    <w:div w:id="2145727904">
      <w:bodyDiv w:val="1"/>
      <w:marLeft w:val="0"/>
      <w:marRight w:val="0"/>
      <w:marTop w:val="0"/>
      <w:marBottom w:val="0"/>
      <w:divBdr>
        <w:top w:val="none" w:sz="0" w:space="0" w:color="auto"/>
        <w:left w:val="none" w:sz="0" w:space="0" w:color="auto"/>
        <w:bottom w:val="none" w:sz="0" w:space="0" w:color="auto"/>
        <w:right w:val="none" w:sz="0" w:space="0" w:color="auto"/>
      </w:divBdr>
    </w:div>
    <w:div w:id="2145805608">
      <w:bodyDiv w:val="1"/>
      <w:marLeft w:val="0"/>
      <w:marRight w:val="0"/>
      <w:marTop w:val="0"/>
      <w:marBottom w:val="0"/>
      <w:divBdr>
        <w:top w:val="none" w:sz="0" w:space="0" w:color="auto"/>
        <w:left w:val="none" w:sz="0" w:space="0" w:color="auto"/>
        <w:bottom w:val="none" w:sz="0" w:space="0" w:color="auto"/>
        <w:right w:val="none" w:sz="0" w:space="0" w:color="auto"/>
      </w:divBdr>
    </w:div>
    <w:div w:id="2145848273">
      <w:bodyDiv w:val="1"/>
      <w:marLeft w:val="0"/>
      <w:marRight w:val="0"/>
      <w:marTop w:val="0"/>
      <w:marBottom w:val="0"/>
      <w:divBdr>
        <w:top w:val="none" w:sz="0" w:space="0" w:color="auto"/>
        <w:left w:val="none" w:sz="0" w:space="0" w:color="auto"/>
        <w:bottom w:val="none" w:sz="0" w:space="0" w:color="auto"/>
        <w:right w:val="none" w:sz="0" w:space="0" w:color="auto"/>
      </w:divBdr>
    </w:div>
    <w:div w:id="2145853615">
      <w:bodyDiv w:val="1"/>
      <w:marLeft w:val="0"/>
      <w:marRight w:val="0"/>
      <w:marTop w:val="0"/>
      <w:marBottom w:val="0"/>
      <w:divBdr>
        <w:top w:val="none" w:sz="0" w:space="0" w:color="auto"/>
        <w:left w:val="none" w:sz="0" w:space="0" w:color="auto"/>
        <w:bottom w:val="none" w:sz="0" w:space="0" w:color="auto"/>
        <w:right w:val="none" w:sz="0" w:space="0" w:color="auto"/>
      </w:divBdr>
    </w:div>
    <w:div w:id="2145922563">
      <w:bodyDiv w:val="1"/>
      <w:marLeft w:val="0"/>
      <w:marRight w:val="0"/>
      <w:marTop w:val="0"/>
      <w:marBottom w:val="0"/>
      <w:divBdr>
        <w:top w:val="none" w:sz="0" w:space="0" w:color="auto"/>
        <w:left w:val="none" w:sz="0" w:space="0" w:color="auto"/>
        <w:bottom w:val="none" w:sz="0" w:space="0" w:color="auto"/>
        <w:right w:val="none" w:sz="0" w:space="0" w:color="auto"/>
      </w:divBdr>
    </w:div>
    <w:div w:id="2145922945">
      <w:bodyDiv w:val="1"/>
      <w:marLeft w:val="0"/>
      <w:marRight w:val="0"/>
      <w:marTop w:val="0"/>
      <w:marBottom w:val="0"/>
      <w:divBdr>
        <w:top w:val="none" w:sz="0" w:space="0" w:color="auto"/>
        <w:left w:val="none" w:sz="0" w:space="0" w:color="auto"/>
        <w:bottom w:val="none" w:sz="0" w:space="0" w:color="auto"/>
        <w:right w:val="none" w:sz="0" w:space="0" w:color="auto"/>
      </w:divBdr>
    </w:div>
    <w:div w:id="2146003261">
      <w:bodyDiv w:val="1"/>
      <w:marLeft w:val="0"/>
      <w:marRight w:val="0"/>
      <w:marTop w:val="0"/>
      <w:marBottom w:val="0"/>
      <w:divBdr>
        <w:top w:val="none" w:sz="0" w:space="0" w:color="auto"/>
        <w:left w:val="none" w:sz="0" w:space="0" w:color="auto"/>
        <w:bottom w:val="none" w:sz="0" w:space="0" w:color="auto"/>
        <w:right w:val="none" w:sz="0" w:space="0" w:color="auto"/>
      </w:divBdr>
    </w:div>
    <w:div w:id="2146042955">
      <w:bodyDiv w:val="1"/>
      <w:marLeft w:val="0"/>
      <w:marRight w:val="0"/>
      <w:marTop w:val="0"/>
      <w:marBottom w:val="0"/>
      <w:divBdr>
        <w:top w:val="none" w:sz="0" w:space="0" w:color="auto"/>
        <w:left w:val="none" w:sz="0" w:space="0" w:color="auto"/>
        <w:bottom w:val="none" w:sz="0" w:space="0" w:color="auto"/>
        <w:right w:val="none" w:sz="0" w:space="0" w:color="auto"/>
      </w:divBdr>
    </w:div>
    <w:div w:id="2146073226">
      <w:bodyDiv w:val="1"/>
      <w:marLeft w:val="0"/>
      <w:marRight w:val="0"/>
      <w:marTop w:val="0"/>
      <w:marBottom w:val="0"/>
      <w:divBdr>
        <w:top w:val="none" w:sz="0" w:space="0" w:color="auto"/>
        <w:left w:val="none" w:sz="0" w:space="0" w:color="auto"/>
        <w:bottom w:val="none" w:sz="0" w:space="0" w:color="auto"/>
        <w:right w:val="none" w:sz="0" w:space="0" w:color="auto"/>
      </w:divBdr>
    </w:div>
    <w:div w:id="2146115371">
      <w:bodyDiv w:val="1"/>
      <w:marLeft w:val="0"/>
      <w:marRight w:val="0"/>
      <w:marTop w:val="0"/>
      <w:marBottom w:val="0"/>
      <w:divBdr>
        <w:top w:val="none" w:sz="0" w:space="0" w:color="auto"/>
        <w:left w:val="none" w:sz="0" w:space="0" w:color="auto"/>
        <w:bottom w:val="none" w:sz="0" w:space="0" w:color="auto"/>
        <w:right w:val="none" w:sz="0" w:space="0" w:color="auto"/>
      </w:divBdr>
    </w:div>
    <w:div w:id="2146120974">
      <w:bodyDiv w:val="1"/>
      <w:marLeft w:val="0"/>
      <w:marRight w:val="0"/>
      <w:marTop w:val="0"/>
      <w:marBottom w:val="0"/>
      <w:divBdr>
        <w:top w:val="none" w:sz="0" w:space="0" w:color="auto"/>
        <w:left w:val="none" w:sz="0" w:space="0" w:color="auto"/>
        <w:bottom w:val="none" w:sz="0" w:space="0" w:color="auto"/>
        <w:right w:val="none" w:sz="0" w:space="0" w:color="auto"/>
      </w:divBdr>
    </w:div>
    <w:div w:id="2146195846">
      <w:bodyDiv w:val="1"/>
      <w:marLeft w:val="0"/>
      <w:marRight w:val="0"/>
      <w:marTop w:val="0"/>
      <w:marBottom w:val="0"/>
      <w:divBdr>
        <w:top w:val="none" w:sz="0" w:space="0" w:color="auto"/>
        <w:left w:val="none" w:sz="0" w:space="0" w:color="auto"/>
        <w:bottom w:val="none" w:sz="0" w:space="0" w:color="auto"/>
        <w:right w:val="none" w:sz="0" w:space="0" w:color="auto"/>
      </w:divBdr>
    </w:div>
    <w:div w:id="2146239600">
      <w:bodyDiv w:val="1"/>
      <w:marLeft w:val="0"/>
      <w:marRight w:val="0"/>
      <w:marTop w:val="0"/>
      <w:marBottom w:val="0"/>
      <w:divBdr>
        <w:top w:val="none" w:sz="0" w:space="0" w:color="auto"/>
        <w:left w:val="none" w:sz="0" w:space="0" w:color="auto"/>
        <w:bottom w:val="none" w:sz="0" w:space="0" w:color="auto"/>
        <w:right w:val="none" w:sz="0" w:space="0" w:color="auto"/>
      </w:divBdr>
    </w:div>
    <w:div w:id="2146313998">
      <w:bodyDiv w:val="1"/>
      <w:marLeft w:val="0"/>
      <w:marRight w:val="0"/>
      <w:marTop w:val="0"/>
      <w:marBottom w:val="0"/>
      <w:divBdr>
        <w:top w:val="none" w:sz="0" w:space="0" w:color="auto"/>
        <w:left w:val="none" w:sz="0" w:space="0" w:color="auto"/>
        <w:bottom w:val="none" w:sz="0" w:space="0" w:color="auto"/>
        <w:right w:val="none" w:sz="0" w:space="0" w:color="auto"/>
      </w:divBdr>
    </w:div>
    <w:div w:id="2146388453">
      <w:bodyDiv w:val="1"/>
      <w:marLeft w:val="0"/>
      <w:marRight w:val="0"/>
      <w:marTop w:val="0"/>
      <w:marBottom w:val="0"/>
      <w:divBdr>
        <w:top w:val="none" w:sz="0" w:space="0" w:color="auto"/>
        <w:left w:val="none" w:sz="0" w:space="0" w:color="auto"/>
        <w:bottom w:val="none" w:sz="0" w:space="0" w:color="auto"/>
        <w:right w:val="none" w:sz="0" w:space="0" w:color="auto"/>
      </w:divBdr>
    </w:div>
    <w:div w:id="2146504293">
      <w:bodyDiv w:val="1"/>
      <w:marLeft w:val="0"/>
      <w:marRight w:val="0"/>
      <w:marTop w:val="0"/>
      <w:marBottom w:val="0"/>
      <w:divBdr>
        <w:top w:val="none" w:sz="0" w:space="0" w:color="auto"/>
        <w:left w:val="none" w:sz="0" w:space="0" w:color="auto"/>
        <w:bottom w:val="none" w:sz="0" w:space="0" w:color="auto"/>
        <w:right w:val="none" w:sz="0" w:space="0" w:color="auto"/>
      </w:divBdr>
    </w:div>
    <w:div w:id="2146505764">
      <w:bodyDiv w:val="1"/>
      <w:marLeft w:val="0"/>
      <w:marRight w:val="0"/>
      <w:marTop w:val="0"/>
      <w:marBottom w:val="0"/>
      <w:divBdr>
        <w:top w:val="none" w:sz="0" w:space="0" w:color="auto"/>
        <w:left w:val="none" w:sz="0" w:space="0" w:color="auto"/>
        <w:bottom w:val="none" w:sz="0" w:space="0" w:color="auto"/>
        <w:right w:val="none" w:sz="0" w:space="0" w:color="auto"/>
      </w:divBdr>
    </w:div>
    <w:div w:id="2146698492">
      <w:bodyDiv w:val="1"/>
      <w:marLeft w:val="0"/>
      <w:marRight w:val="0"/>
      <w:marTop w:val="0"/>
      <w:marBottom w:val="0"/>
      <w:divBdr>
        <w:top w:val="none" w:sz="0" w:space="0" w:color="auto"/>
        <w:left w:val="none" w:sz="0" w:space="0" w:color="auto"/>
        <w:bottom w:val="none" w:sz="0" w:space="0" w:color="auto"/>
        <w:right w:val="none" w:sz="0" w:space="0" w:color="auto"/>
      </w:divBdr>
    </w:div>
    <w:div w:id="2146704112">
      <w:bodyDiv w:val="1"/>
      <w:marLeft w:val="0"/>
      <w:marRight w:val="0"/>
      <w:marTop w:val="0"/>
      <w:marBottom w:val="0"/>
      <w:divBdr>
        <w:top w:val="none" w:sz="0" w:space="0" w:color="auto"/>
        <w:left w:val="none" w:sz="0" w:space="0" w:color="auto"/>
        <w:bottom w:val="none" w:sz="0" w:space="0" w:color="auto"/>
        <w:right w:val="none" w:sz="0" w:space="0" w:color="auto"/>
      </w:divBdr>
    </w:div>
    <w:div w:id="2146777085">
      <w:bodyDiv w:val="1"/>
      <w:marLeft w:val="0"/>
      <w:marRight w:val="0"/>
      <w:marTop w:val="0"/>
      <w:marBottom w:val="0"/>
      <w:divBdr>
        <w:top w:val="none" w:sz="0" w:space="0" w:color="auto"/>
        <w:left w:val="none" w:sz="0" w:space="0" w:color="auto"/>
        <w:bottom w:val="none" w:sz="0" w:space="0" w:color="auto"/>
        <w:right w:val="none" w:sz="0" w:space="0" w:color="auto"/>
      </w:divBdr>
    </w:div>
    <w:div w:id="2147044291">
      <w:bodyDiv w:val="1"/>
      <w:marLeft w:val="0"/>
      <w:marRight w:val="0"/>
      <w:marTop w:val="0"/>
      <w:marBottom w:val="0"/>
      <w:divBdr>
        <w:top w:val="none" w:sz="0" w:space="0" w:color="auto"/>
        <w:left w:val="none" w:sz="0" w:space="0" w:color="auto"/>
        <w:bottom w:val="none" w:sz="0" w:space="0" w:color="auto"/>
        <w:right w:val="none" w:sz="0" w:space="0" w:color="auto"/>
      </w:divBdr>
    </w:div>
    <w:div w:id="2147045310">
      <w:bodyDiv w:val="1"/>
      <w:marLeft w:val="0"/>
      <w:marRight w:val="0"/>
      <w:marTop w:val="0"/>
      <w:marBottom w:val="0"/>
      <w:divBdr>
        <w:top w:val="none" w:sz="0" w:space="0" w:color="auto"/>
        <w:left w:val="none" w:sz="0" w:space="0" w:color="auto"/>
        <w:bottom w:val="none" w:sz="0" w:space="0" w:color="auto"/>
        <w:right w:val="none" w:sz="0" w:space="0" w:color="auto"/>
      </w:divBdr>
    </w:div>
    <w:div w:id="2147115530">
      <w:bodyDiv w:val="1"/>
      <w:marLeft w:val="0"/>
      <w:marRight w:val="0"/>
      <w:marTop w:val="0"/>
      <w:marBottom w:val="0"/>
      <w:divBdr>
        <w:top w:val="none" w:sz="0" w:space="0" w:color="auto"/>
        <w:left w:val="none" w:sz="0" w:space="0" w:color="auto"/>
        <w:bottom w:val="none" w:sz="0" w:space="0" w:color="auto"/>
        <w:right w:val="none" w:sz="0" w:space="0" w:color="auto"/>
      </w:divBdr>
    </w:div>
    <w:div w:id="2147117638">
      <w:bodyDiv w:val="1"/>
      <w:marLeft w:val="0"/>
      <w:marRight w:val="0"/>
      <w:marTop w:val="0"/>
      <w:marBottom w:val="0"/>
      <w:divBdr>
        <w:top w:val="none" w:sz="0" w:space="0" w:color="auto"/>
        <w:left w:val="none" w:sz="0" w:space="0" w:color="auto"/>
        <w:bottom w:val="none" w:sz="0" w:space="0" w:color="auto"/>
        <w:right w:val="none" w:sz="0" w:space="0" w:color="auto"/>
      </w:divBdr>
    </w:div>
    <w:div w:id="214730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https://assets.publishing.service.gov.uk/government/uploads/system/uploads/attachment_data/file/970315/2021_-_IIA_Volume_3_-_post_consultation_Final_for_client.pdf"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assets.publishing.service.gov.uk/government/uploads/system/uploads/attachment_data/file/971510/NDA_Business_Plan_2021-2024_17032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064846" w:rsidP="00064846">
          <w:pPr>
            <w:pStyle w:val="1773E824CD9F477BB864AD976AEFC2AE1"/>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064846" w:rsidP="00064846">
          <w:pPr>
            <w:pStyle w:val="7059B6F672C24F8487D7AFF2B2EB1FE6"/>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1A39"/>
    <w:rsid w:val="000059E0"/>
    <w:rsid w:val="000632C4"/>
    <w:rsid w:val="00064846"/>
    <w:rsid w:val="000A11B0"/>
    <w:rsid w:val="000D7FBA"/>
    <w:rsid w:val="00115A13"/>
    <w:rsid w:val="00132B96"/>
    <w:rsid w:val="001653CA"/>
    <w:rsid w:val="00183F29"/>
    <w:rsid w:val="001D0A43"/>
    <w:rsid w:val="00252899"/>
    <w:rsid w:val="002550FD"/>
    <w:rsid w:val="00260797"/>
    <w:rsid w:val="003158F6"/>
    <w:rsid w:val="00333242"/>
    <w:rsid w:val="00333F8E"/>
    <w:rsid w:val="00350199"/>
    <w:rsid w:val="003A4800"/>
    <w:rsid w:val="00463BF9"/>
    <w:rsid w:val="00480537"/>
    <w:rsid w:val="004E6DA9"/>
    <w:rsid w:val="00536550"/>
    <w:rsid w:val="005510D7"/>
    <w:rsid w:val="0055559C"/>
    <w:rsid w:val="00584D02"/>
    <w:rsid w:val="00592690"/>
    <w:rsid w:val="005B2746"/>
    <w:rsid w:val="00611F13"/>
    <w:rsid w:val="00621D9B"/>
    <w:rsid w:val="00643A09"/>
    <w:rsid w:val="0067383F"/>
    <w:rsid w:val="006A1739"/>
    <w:rsid w:val="006F5CEC"/>
    <w:rsid w:val="007101D0"/>
    <w:rsid w:val="007154C5"/>
    <w:rsid w:val="007506D4"/>
    <w:rsid w:val="00757529"/>
    <w:rsid w:val="007908E8"/>
    <w:rsid w:val="007C28D0"/>
    <w:rsid w:val="007C41A5"/>
    <w:rsid w:val="00835E07"/>
    <w:rsid w:val="00845D06"/>
    <w:rsid w:val="00846FA1"/>
    <w:rsid w:val="00871710"/>
    <w:rsid w:val="008A2D15"/>
    <w:rsid w:val="008D33F0"/>
    <w:rsid w:val="00957DD7"/>
    <w:rsid w:val="00976A17"/>
    <w:rsid w:val="009A4221"/>
    <w:rsid w:val="009B3A2F"/>
    <w:rsid w:val="009D2856"/>
    <w:rsid w:val="009F347A"/>
    <w:rsid w:val="00A17301"/>
    <w:rsid w:val="00A611CE"/>
    <w:rsid w:val="00AD27DA"/>
    <w:rsid w:val="00B3493C"/>
    <w:rsid w:val="00B76231"/>
    <w:rsid w:val="00BB255E"/>
    <w:rsid w:val="00C226DA"/>
    <w:rsid w:val="00C3516D"/>
    <w:rsid w:val="00C41BCC"/>
    <w:rsid w:val="00C55313"/>
    <w:rsid w:val="00C92303"/>
    <w:rsid w:val="00CA5AE4"/>
    <w:rsid w:val="00CE2E02"/>
    <w:rsid w:val="00D36A81"/>
    <w:rsid w:val="00DD7BA4"/>
    <w:rsid w:val="00DE2C48"/>
    <w:rsid w:val="00DE7A04"/>
    <w:rsid w:val="00DF1C03"/>
    <w:rsid w:val="00DF2563"/>
    <w:rsid w:val="00E067D5"/>
    <w:rsid w:val="00E318CE"/>
    <w:rsid w:val="00E646E1"/>
    <w:rsid w:val="00ED7B24"/>
    <w:rsid w:val="00F3338F"/>
    <w:rsid w:val="00F84FF5"/>
    <w:rsid w:val="00F93872"/>
    <w:rsid w:val="00FE4BD1"/>
    <w:rsid w:val="00FF2D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4846"/>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7059B6F672C24F8487D7AFF2B2EB1FE6">
    <w:name w:val="7059B6F672C24F8487D7AFF2B2EB1FE6"/>
    <w:rsid w:val="00064846"/>
    <w:pPr>
      <w:spacing w:after="240" w:line="252" w:lineRule="auto"/>
    </w:pPr>
    <w:rPr>
      <w:rFonts w:ascii="Arial" w:eastAsia="Calibri" w:hAnsi="Arial" w:cs="Arial"/>
      <w:sz w:val="24"/>
      <w:lang w:eastAsia="en-US" w:bidi="he-IL"/>
    </w:rPr>
  </w:style>
  <w:style w:type="paragraph" w:customStyle="1" w:styleId="1773E824CD9F477BB864AD976AEFC2AE1">
    <w:name w:val="1773E824CD9F477BB864AD976AEFC2AE1"/>
    <w:rsid w:val="00064846"/>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Soc16</b:Tag>
    <b:SourceType>Book</b:SourceType>
    <b:Guid>{E58A7609-FA8A-4D46-AF43-BFEE3F74F6D6}</b:Guid>
    <b:Author>
      <b:Author>
        <b:NameList>
          <b:Person>
            <b:Last>Engineers</b:Last>
            <b:First>Society</b:First>
            <b:Middle>of Fire Protection</b:Middle>
          </b:Person>
        </b:NameList>
      </b:Author>
    </b:Author>
    <b:Title>Handbook of Fire Engineering, 5th Edition</b:Title>
    <b:Year>2016</b:Year>
    <b:RefOrder>123</b:RefOrder>
  </b:Source>
  <b:Source>
    <b:Tag>Int00</b:Tag>
    <b:SourceType>Book</b:SourceType>
    <b:Guid>{AFC73135-BD63-449B-9FED-8E53991F28BB}</b:Guid>
    <b:Title>International Collaborative Project to Evaluate Fire Models for Nuclear Power Plant Applications: Summary of 2nd Meeting</b:Title>
    <b:Year>June 2000</b:Year>
    <b:RefOrder>124</b:RefOrder>
  </b:Source>
  <b:Source>
    <b:Tag>Bri10</b:Tag>
    <b:SourceType>Book</b:SourceType>
    <b:Guid>{094FE9A2-6D68-4DB1-B097-F02FAC529C72}</b:Guid>
    <b:Author>
      <b:Author>
        <b:NameList>
          <b:Person>
            <b:Last>Institute</b:Last>
            <b:First>British</b:First>
            <b:Middle>Standards</b:Middle>
          </b:Person>
        </b:NameList>
      </b:Author>
    </b:Author>
    <b:Title>BS EN 1993-1-2, Eurocode 3: Design of steel structures – Part 1-2: General rules – Structural fire design</b:Title>
    <b:Year>2010</b:Year>
    <b:RefOrder>126</b:RefOrder>
  </b:Source>
  <b:Source>
    <b:Tag>NNB17</b:Tag>
    <b:SourceType>Book</b:SourceType>
    <b:Guid>{4CB96F45-094A-4BD2-8C18-9DAD74B5098D}</b:Guid>
    <b:Author>
      <b:Author>
        <b:Corporate>NNB GenCo</b:Corporate>
      </b:Author>
    </b:Author>
    <b:Title>TeamCenter No 100753910: HPC-NNBOSL-U0-000-RES-000087: HPC PCSR3 – Sub-chapter 2.2 –Plot Plan: Version 3</b:Title>
    <b:Year>2017</b:Year>
    <b:RefOrder>4</b:RefOrder>
  </b:Source>
  <b:Source>
    <b:Tag>NNB21</b:Tag>
    <b:SourceType>Book</b:SourceType>
    <b:Guid>{1161A9DC-5A73-48C2-A2BD-996C5C383E5C}</b:Guid>
    <b:Author>
      <b:Author>
        <b:Corporate>NNB GenCo</b:Corporate>
      </b:Author>
    </b:Author>
    <b:Title>TeamCenter No. 100569214 - HPC-CNENXX-XX-ALL-NOT-200419 – HPC Fire Strategy Document, Revision D</b:Title>
    <b:Year>2021</b:Year>
    <b:RefOrder>130</b:RefOrder>
  </b:Source>
  <b:Source>
    <b:Tag>NNB161</b:Tag>
    <b:SourceType>Book</b:SourceType>
    <b:Guid>{0FD61AF1-5F3C-401B-B573-D7D9984636F7}</b:Guid>
    <b:Author>
      <b:Author>
        <b:Corporate>NNB GenCo</b:Corporate>
      </b:Author>
    </b:Author>
    <b:Title>TeamCenter No. 100753941: HPC-NNBOSL-U0-000-RES000150: HPC PCSR3 – Sub-chapter 1.2 – General Description of the Units: Version 3</b:Title>
    <b:Year>2016</b:Year>
    <b:RefOrder>3</b:RefOrder>
  </b:Source>
  <b:Source>
    <b:Tag>NNB23</b:Tag>
    <b:SourceType>Book</b:SourceType>
    <b:Guid>{E7EC0756-3A18-44C1-B6B8-569DAA279BC7}</b:Guid>
    <b:Author>
      <b:Author>
        <b:Corporate>NNB GenCo</b:Corporate>
      </b:Author>
    </b:Author>
    <b:Title>TeamCenter No. 100912073: HPC Summary Safety Case Document #2: Section 3 – Summary of Site Description: Revision 003:</b:Title>
    <b:Year>2023</b:Year>
    <b:RefOrder>8</b:RefOrder>
  </b:Source>
  <b:Source>
    <b:Tag>NNB231</b:Tag>
    <b:SourceType>Book</b:SourceType>
    <b:Guid>{93D8796F-0C9B-4517-AE31-14B1866087D2}</b:Guid>
    <b:Author>
      <b:Author>
        <b:Corporate>NNB GenCo</b:Corporate>
      </b:Author>
    </b:Author>
    <b:Title>TeamCenter No. 100912074 - HPC Summary Safety Case Document #2: Section 4 – Summary of Plant Systems Description: Revision 02</b:Title>
    <b:Year>2023</b:Year>
    <b:RefOrder>5</b:RefOrder>
  </b:Source>
  <b:Source>
    <b:Tag>NNB12</b:Tag>
    <b:SourceType>Book</b:SourceType>
    <b:Guid>{67DFDDF1-39F8-487E-ADE5-04902395EA23}</b:Guid>
    <b:Author>
      <b:Author>
        <b:Corporate>NNB GenCo</b:Corporate>
      </b:Author>
    </b:Author>
    <b:Title>TeamCenter No. 100912079 - HPC Summary Safety Case Document #2: Section 7 – Summary of Radioactive Waste Management: Revision 02</b:Title>
    <b:Year>2012</b:Year>
    <b:RefOrder>6</b:RefOrder>
  </b:Source>
  <b:Source>
    <b:Tag>NNB19</b:Tag>
    <b:SourceType>Book</b:SourceType>
    <b:Guid>{4BC2E4F9-7670-4912-A29F-F30F4263F1E1}</b:Guid>
    <b:Author>
      <b:Author>
        <b:Corporate>NNB GenCo</b:Corporate>
      </b:Author>
    </b:Author>
    <b:Title>TeamCenter No. 100565950: HPC Fire Application Document: Revision 005</b:Title>
    <b:Year>2019</b:Year>
    <b:RefOrder>48</b:RefOrder>
  </b:Source>
  <b:Source>
    <b:Tag>NNB223</b:Tag>
    <b:SourceType>Book</b:SourceType>
    <b:Guid>{4397E877-14A9-4382-8503-19F7CEB0095A}</b:Guid>
    <b:Author>
      <b:Author>
        <b:Corporate>NNB GenCo</b:Corporate>
      </b:Author>
    </b:Author>
    <b:Title>TeamCenter No. 100787883:  HPC-NNBOSL-XX-000-MAN-100003: NNB Safety Case Manual: Revision 004:</b:Title>
    <b:Year>2022</b:Year>
    <b:RefOrder>47</b:RefOrder>
  </b:Source>
  <b:Source>
    <b:Tag>NNB224</b:Tag>
    <b:SourceType>Book</b:SourceType>
    <b:Guid>{5DBD5D09-BDF3-4621-9B63-B8FB8BD07977}</b:Guid>
    <b:Author>
      <b:Author>
        <b:Corporate>NNB GenCo</b:Corporate>
      </b:Author>
    </b:Author>
    <b:Title>TeamCenter No. 100794905: HPC-HPC-NNBOSL-XX-000-REP-100120 Site Data Summary Report: Revision 002</b:Title>
    <b:Year>2022</b:Year>
    <b:RefOrder>50</b:RefOrder>
  </b:Source>
  <b:Source>
    <b:Tag>NNB162</b:Tag>
    <b:SourceType>Book</b:SourceType>
    <b:Guid>{8BAAEC54-A211-4E84-AE08-DB8A846C0C61}</b:Guid>
    <b:Author>
      <b:Author>
        <b:Corporate>NNB GenCo</b:Corporate>
      </b:Author>
    </b:Author>
    <b:Title>TeamCenter No. 100822497: Principles of the EPRESSI method (English version of ENGSIN070401A report): Revision 001</b:Title>
    <b:Year>2016</b:Year>
    <b:RefOrder>57</b:RefOrder>
  </b:Source>
  <b:Source>
    <b:Tag>NNB202</b:Tag>
    <b:SourceType>Book</b:SourceType>
    <b:Guid>{C4652C46-A4B7-405A-A6F8-F8B1721C6080}</b:Guid>
    <b:Author>
      <b:Author>
        <b:Corporate>NNB GenCo</b:Corporate>
      </b:Author>
    </b:Author>
    <b:Title>TeamCenter No. 100580799 - HPC-DTXXXX-AU-ALL-MST-200042 – Methodology for Fire Risk Analysis for New Build Projects, Rev A</b:Title>
    <b:Year>2020</b:Year>
    <b:RefOrder>59</b:RefOrder>
  </b:Source>
  <b:Source>
    <b:Tag>NNB225</b:Tag>
    <b:SourceType>Book</b:SourceType>
    <b:Guid>{7795F529-53EB-4245-9A7A-4FE4C8CE6726}</b:Guid>
    <b:Author>
      <b:Author>
        <b:Corporate>NNB GenCo</b:Corporate>
      </b:Author>
    </b:Author>
    <b:Title>TeamCenter No. 100579223: UKX-DTXXXX-AU-ALL-NOT-200115: HPC Project: Methodology for Fire Studies in the Reactor Building: Revision D</b:Title>
    <b:Year>2022</b:Year>
    <b:RefOrder>206</b:RefOrder>
  </b:Source>
  <b:Source>
    <b:Tag>NNB173</b:Tag>
    <b:SourceType>Book</b:SourceType>
    <b:Guid>{49003801-940D-475E-80C3-EA9DD9CEA7EE}</b:Guid>
    <b:Author>
      <b:Author>
        <b:Corporate>NNB GenCo</b:Corporate>
      </b:Author>
    </b:Author>
    <b:Title>TeamCenter No. 100546460: UKX-SEPTEN-AU-ALL-NOT-000304 UK EPR - Rules for inventory of combined events in relation to internal and external hazards: Revision 002</b:Title>
    <b:Year>2017</b:Year>
    <b:RefOrder>53</b:RefOrder>
  </b:Source>
  <b:Source>
    <b:Tag>NNB203</b:Tag>
    <b:SourceType>Book</b:SourceType>
    <b:Guid>{E4510C99-5DB9-434A-94E3-8D8F7D8E05A9}</b:Guid>
    <b:Author>
      <b:Author>
        <b:Corporate>NNB GenCo</b:Corporate>
      </b:Author>
    </b:Author>
    <b:Title>TeamCenter No. 100582426: HPC-CNENXX-AU-ALL-NOT-203674 ENG 2.9M General framework for application of the Combined Consequential Hazards doctrine into the HPC design: Revision C</b:Title>
    <b:Year>2020</b:Year>
    <b:RefOrder>54</b:RefOrder>
  </b:Source>
  <b:Source>
    <b:Tag>NNB204</b:Tag>
    <b:SourceType>Book</b:SourceType>
    <b:Guid>{84747604-31E1-461A-8A59-0FEF75A60C36}</b:Guid>
    <b:Author>
      <b:Author>
        <b:Corporate>NNB GenCo</b:Corporate>
      </b:Author>
    </b:Author>
    <b:Title>TeamCenter No. 100573667: HPC-CNENXX-XX-000-NOT-203210 – Methodology for Internal Fire PSA, Revision 003</b:Title>
    <b:Year>2019</b:Year>
    <b:RefOrder>51</b:RefOrder>
  </b:Source>
  <b:Source>
    <b:Tag>NNB101</b:Tag>
    <b:SourceType>Book</b:SourceType>
    <b:Guid>{B1BE1AAB-DA35-4F15-83A4-747740800F92}</b:Guid>
    <b:Author>
      <b:Author>
        <b:Corporate>NNB GenCo</b:Corporate>
      </b:Author>
    </b:Author>
    <b:Title>TeamCenter No. 100568743: HPC-ECEIGX-AU-000-RES-200022 - Habitability of the Main Control Room in the Event of Fire, Revision H</b:Title>
    <b:Year>2010</b:Year>
    <b:RefOrder>55</b:RefOrder>
  </b:Source>
  <b:Source>
    <b:Tag>NNB226</b:Tag>
    <b:SourceType>Book</b:SourceType>
    <b:Guid>{76F04FB5-4758-41FD-838F-FFD7D834E045}</b:Guid>
    <b:Author>
      <b:Author>
        <b:Corporate>NNB GenCo</b:Corporate>
      </b:Author>
    </b:Author>
    <b:Title>TeamCenter No. 100580923: UKX-CNENXX-U9-ALL-NOT-200814: UK EPR HPC ENG 2 9L HPC Generic hazards integration approach, Revision 007</b:Title>
    <b:Year>2022</b:Year>
    <b:RefOrder>56</b:RefOrder>
  </b:Source>
  <b:Source>
    <b:Tag>NNB205</b:Tag>
    <b:SourceType>Book</b:SourceType>
    <b:Guid>{8000B1A6-DC41-4F0C-918F-75A66626A669}</b:Guid>
    <b:Author>
      <b:Author>
        <b:Corporate>NNB GenCo</b:Corporate>
      </b:Author>
    </b:Author>
    <b:Title>TeamCenter No. 100572806: UKX-CNENXX-XX-ALL-NOT-200573 - EPRESSI methodology companion document for UK EPR, Revision 004</b:Title>
    <b:Year>2020</b:Year>
    <b:RefOrder>52</b:RefOrder>
  </b:Source>
  <b:Source>
    <b:Tag>NNB191</b:Tag>
    <b:SourceType>Book</b:SourceType>
    <b:Guid>{5972ABF3-BE8C-4DA6-BE5F-60E0FA94459B}</b:Guid>
    <b:Author>
      <b:Author>
        <b:Corporate>NNB GenCo</b:Corporate>
      </b:Author>
    </b:Author>
    <b:Title>TeamCenter No. 100581134: HPC-CNENXX-XX-000-NOT-203012 – Guidance for fire load inventory. Revision 003</b:Title>
    <b:Year>2019</b:Year>
    <b:RefOrder>58</b:RefOrder>
  </b:Source>
  <b:Source>
    <b:Tag>NNB214</b:Tag>
    <b:SourceType>Book</b:SourceType>
    <b:Guid>{B0B151DA-0600-40D8-AB35-AB7105695B89}</b:Guid>
    <b:Author>
      <b:Author>
        <b:Corporate>NNB GenCo</b:Corporate>
      </b:Author>
    </b:Author>
    <b:Title>TeamCenter No. 100565589 - UKX-SEPTEN-AU-ALL-STU-000439 – Assumptions for Assessing Radioactive Releases from EPR Accidents; Revision 004</b:Title>
    <b:Year>2021</b:Year>
    <b:RefOrder>60</b:RefOrder>
  </b:Source>
  <b:Source>
    <b:Tag>NNB215</b:Tag>
    <b:SourceType>Book</b:SourceType>
    <b:Guid>{9AEBFA1B-A3EF-4F26-AB71-014A73140A9A}</b:Guid>
    <b:Author>
      <b:Author>
        <b:Corporate>NNB GenCo</b:Corporate>
      </b:Author>
    </b:Author>
    <b:Title>TeamCenter No. 100872081 - HPC-EDVAXX-AU-ALL-NOT-211265 - Identification of Design Basis Initiating Hazards for radiological consequences assessment, Revision A</b:Title>
    <b:Year>2021</b:Year>
    <b:RefOrder>61</b:RefOrder>
  </b:Source>
  <b:Source>
    <b:Tag>NNB18</b:Tag>
    <b:SourceType>Book</b:SourceType>
    <b:Guid>{149BE512-66C0-42E5-92EB-3E211DB34B41}</b:Guid>
    <b:Author>
      <b:Author>
        <b:Corporate>NNB GenCo</b:Corporate>
      </b:Author>
    </b:Author>
    <b:Title>TeamCenter No. 100582970 – CDDSNE1002UK – Fire Strategy Modifications, Revision A</b:Title>
    <b:Year>2018</b:Year>
    <b:RefOrder>62</b:RefOrder>
  </b:Source>
  <b:Source>
    <b:Tag>NNB163</b:Tag>
    <b:SourceType>Book</b:SourceType>
    <b:Guid>{C566C3EA-ABD0-461F-8626-37DF8CFF60E6}</b:Guid>
    <b:Author>
      <b:Author>
        <b:Corporate>NNB GenCo</b:Corporate>
      </b:Author>
    </b:Author>
    <b:Title>TeamCenter No. 100569845 - UKX-CNENXX-AU-ALL-CHR-200067 – Additional Fire Compartmentation – Revision A</b:Title>
    <b:Year>2016</b:Year>
    <b:RefOrder>63</b:RefOrder>
  </b:Source>
  <b:Source>
    <b:Tag>NNB234</b:Tag>
    <b:SourceType>Book</b:SourceType>
    <b:Guid>{2892B1AF-96AA-4EAA-93E9-725DE9923771}</b:Guid>
    <b:Author>
      <b:Author>
        <b:Corporate>NNB GenCo</b:Corporate>
      </b:Author>
    </b:Author>
    <b:Title>TeamCenter No. 100872654 – LSS Set Down Area Fire Segregation – Revision A</b:Title>
    <b:Year>2023</b:Year>
    <b:RefOrder>64</b:RefOrder>
  </b:Source>
  <b:Source>
    <b:Tag>NNB216</b:Tag>
    <b:SourceType>Book</b:SourceType>
    <b:Guid>{50764D23-3B59-46E2-A069-8623A8885169}</b:Guid>
    <b:Author>
      <b:Author>
        <b:Corporate>NNB GenCo</b:Corporate>
      </b:Author>
    </b:Author>
    <b:Title>TeamCenter No. 100928719 - Implementation of 80mm Fire Wrapping for Protection of Ducts and Supports – Revision 01</b:Title>
    <b:Year>2021</b:Year>
    <b:RefOrder>65</b:RefOrder>
  </b:Source>
  <b:Source>
    <b:Tag>NNB227</b:Tag>
    <b:SourceType>Book</b:SourceType>
    <b:Guid>{A1868BD0-9D7C-41B4-B0EA-DDD692AAD1DB}</b:Guid>
    <b:Author>
      <b:Author>
        <b:Corporate>NNB GenCo</b:Corporate>
      </b:Author>
    </b:Author>
    <b:Title>TeamCenter No. 100565551 – HPC-ECUKXX-XX-ALL-NOT-000185 OPEX Feedback Edvance Design for HPC, Revision 22</b:Title>
    <b:Year>2022</b:Year>
    <b:RefOrder>66</b:RefOrder>
  </b:Source>
  <b:Source>
    <b:Tag>NNB174</b:Tag>
    <b:SourceType>Book</b:SourceType>
    <b:Guid>{7298B528-9BAC-4ED2-A5C2-74D59A51F70C}</b:Guid>
    <b:Author>
      <b:Author>
        <b:Corporate>NNB GenCo</b:Corporate>
      </b:Author>
    </b:Author>
    <b:Title>TeamCenter No. 100751884 - HPC PCSR3 Sub-chapter 13.2 - Internal Hazards - Revision 003</b:Title>
    <b:Year>2017</b:Year>
    <b:RefOrder>129</b:RefOrder>
  </b:Source>
  <b:Source>
    <b:Tag>NNB228</b:Tag>
    <b:SourceType>Book</b:SourceType>
    <b:Guid>{84C21105-E180-450B-B00A-B34075A820C7}</b:Guid>
    <b:Author>
      <b:Author>
        <b:Corporate>NNB GenCo</b:Corporate>
      </b:Author>
    </b:Author>
    <b:Title>TeamCenter No. No. 100904874: HPC Codes and Standards Note: Revision 002</b:Title>
    <b:Year>2022</b:Year>
    <b:RefOrder>132</b:RefOrder>
  </b:Source>
  <b:Source>
    <b:Tag>NNB217</b:Tag>
    <b:SourceType>Book</b:SourceType>
    <b:Guid>{2A16D466-C96C-49DA-9BF2-6947D2512E4F}</b:Guid>
    <b:Author>
      <b:Author>
        <b:Corporate>NNB GenCo</b:Corporate>
      </b:Author>
    </b:Author>
    <b:Title>TeamCenter No. 100567408 – JDT – SDM P2 – System Operation, Revision G</b:Title>
    <b:Year>2021</b:Year>
    <b:RefOrder>166</b:RefOrder>
  </b:Source>
  <b:Source>
    <b:Tag>NNB206</b:Tag>
    <b:SourceType>Book</b:SourceType>
    <b:Guid>{ED09F37C-95AD-49BC-806A-B6336ED0F1AF}</b:Guid>
    <b:Author>
      <b:Author>
        <b:Corporate>NNB GenCo</b:Corporate>
      </b:Author>
    </b:Author>
    <b:Title>TeamCenter No. 100567443 - HPC-UK1421-AU-JPI-SDM-001687 - JPI [NIFPS] Elementary System - Protection and distribution of NI firefighting system - P2 – System Operation, Revision G</b:Title>
    <b:Year>2020</b:Year>
    <b:RefOrder>167</b:RefOrder>
  </b:Source>
  <b:Source>
    <b:Tag>NNB218</b:Tag>
    <b:SourceType>Book</b:SourceType>
    <b:Guid>{D1CF7A82-D427-4E41-9DB9-8A33F12D8D65}</b:Guid>
    <b:Author>
      <b:Author>
        <b:Corporate>NNB GenCo</b:Corporate>
      </b:Author>
    </b:Author>
    <b:Title>TeamCenter No. 100568309 - HPC-UK1421-U9-JPI-SDM-001753 - 9JPI [ETBFPS] Elementary System Nuclear Island Protection and Fire-Fighting Water Distribution System: Revision G</b:Title>
    <b:Year>2021</b:Year>
    <b:RefOrder>168</b:RefOrder>
  </b:Source>
  <b:Source>
    <b:Tag>NNB219</b:Tag>
    <b:SourceType>Book</b:SourceType>
    <b:Guid>{90821FA4-CA81-4E77-840D-EDF796939012}</b:Guid>
    <b:Author>
      <b:Author>
        <b:Corporate>NNB GenCo</b:Corporate>
      </b:Author>
    </b:Author>
    <b:Title>TeamCenter No. 100547116 - HPC-ETSIEX-AU-JPD-SDM-000248 - System Design Manual JPD – Part 2 System Operation: Revision D</b:Title>
    <b:Year>2021</b:Year>
    <b:RefOrder>169</b:RefOrder>
  </b:Source>
  <b:Source>
    <b:Tag>NNB207</b:Tag>
    <b:SourceType>Book</b:SourceType>
    <b:Guid>{1E078689-6F4C-4BB8-AF8E-E4F2CEA30523}</b:Guid>
    <b:Author>
      <b:Author>
        <b:Corporate>NNB GenCo</b:Corporate>
      </b:Author>
    </b:Author>
    <b:Title>TeamCenter No. 100567436 - HPC-UK1421-AU-JPV-SDM-001694 - JPV Elementary System Diesel Protection and Fire-Fighting Water Distribution System P2 System Operation: Revision F</b:Title>
    <b:Year>2020</b:Year>
    <b:RefOrder>170</b:RefOrder>
  </b:Source>
  <b:Source>
    <b:Tag>NNB229</b:Tag>
    <b:SourceType>Book</b:SourceType>
    <b:Guid>{F8937749-3C04-4E74-A954-9CBA666AA4B6}</b:Guid>
    <b:Author>
      <b:Author>
        <b:Corporate>NNB GenCo</b:Corporate>
      </b:Author>
    </b:Author>
    <b:Title>TeamCenter No. 100395019 - HPC-UK3011-AU-JPH-SDM-100000 - SDM P2 (2.1 to 2.4) JPH Turbine Hall Oil Tank Protection And Fire-Fighting Water Distribution System - Revision E</b:Title>
    <b:Year>2022</b:Year>
    <b:RefOrder>171</b:RefOrder>
  </b:Source>
  <b:Source>
    <b:Tag>NNB2110</b:Tag>
    <b:SourceType>Book</b:SourceType>
    <b:Guid>{E1A06B5A-F478-4F80-92A0-ED0C34DB4464}</b:Guid>
    <b:Author>
      <b:Author>
        <b:Corporate>NNB GenCo</b:Corporate>
      </b:Author>
    </b:Author>
    <b:Title>TeamCenter No. 100546669 - HPC-ETSIEX-AU-JPT-SDM-000172 – SDM JPT P2, Revision 004</b:Title>
    <b:Year>2021</b:Year>
    <b:RefOrder>172</b:RefOrder>
  </b:Source>
  <b:Source>
    <b:Tag>NNB235</b:Tag>
    <b:SourceType>Book</b:SourceType>
    <b:Guid>{AA0610B2-FD35-4D3D-B575-5C14F04EE226}</b:Guid>
    <b:Author>
      <b:Author>
        <b:Corporate>NNB GenCo</b:Corporate>
      </b:Author>
    </b:Author>
    <b:Title>TeamCenter No. 100873329 - HPC-5194588-U0-HUM-MAN-500002 - HUM AND HDU STAGE 4 0JPU System Design Manual P2 - System Operation, Revision 003</b:Title>
    <b:Year>2023</b:Year>
    <b:RefOrder>173</b:RefOrder>
  </b:Source>
  <b:Source>
    <b:Tag>NNB2111</b:Tag>
    <b:SourceType>Book</b:SourceType>
    <b:Guid>{572D2461-08AB-475D-8BCA-65A7364F7B9D}</b:Guid>
    <b:Author>
      <b:Author>
        <b:Corporate>NNB GenCo</b:Corporate>
      </b:Author>
    </b:Author>
    <b:Title>TeamCenter No. 100546693 - HPC-ETFCTX-AU-JAC-SDM-000051 - System Design Manual JAC: Firefighting Water System Part 2: System Operation, Revision 005</b:Title>
    <b:Year>2021</b:Year>
    <b:RefOrder>174</b:RefOrder>
  </b:Source>
  <b:Source>
    <b:Tag>NNB2210</b:Tag>
    <b:SourceType>Book</b:SourceType>
    <b:Guid>{4CD4BFB9-F187-41B4-9DDE-A962FAAA1F91}</b:Guid>
    <b:Author>
      <b:Author>
        <b:Corporate>NNB GenCo</b:Corporate>
      </b:Author>
    </b:Author>
    <b:Title>TeamCenter No. 100546687: HPC-ETSIEX-U9-JPS-SDM-000065 – System Design Manual JPS Part 2&lt; System Operation, Revision 004</b:Title>
    <b:Year>2022</b:Year>
    <b:RefOrder>175</b:RefOrder>
  </b:Source>
  <b:Source>
    <b:Tag>NNB2112</b:Tag>
    <b:SourceType>Book</b:SourceType>
    <b:Guid>{C2A463B4-6E0F-4A1E-AE40-97299FBB148E}</b:Guid>
    <b:Author>
      <b:Author>
        <b:Corporate>NNB GenCo</b:Corporate>
      </b:Author>
    </b:Author>
    <b:Title>TeamCenter No. 100940596: HPC Pre-Ops Emergency Arrangements Deployment Roadmap: Revision 001</b:Title>
    <b:Year>2021</b:Year>
    <b:RefOrder>176</b:RefOrder>
  </b:Source>
  <b:Source>
    <b:Tag>NNB2211</b:Tag>
    <b:SourceType>Book</b:SourceType>
    <b:Guid>{466EF357-EB32-4404-9D98-DA0E2F69A6C9}</b:Guid>
    <b:Author>
      <b:Author>
        <b:Corporate>NNB GenCo</b:Corporate>
      </b:Author>
    </b:Author>
    <b:Title>TeamCenter No. 100955593: HPC Emergency Arrangements Facilities and Equipment Roadmap: Revision 002</b:Title>
    <b:Year>2022</b:Year>
    <b:RefOrder>177</b:RefOrder>
  </b:Source>
  <b:Source>
    <b:Tag>NNB208</b:Tag>
    <b:SourceType>Book</b:SourceType>
    <b:Guid>{5DA0B1F0-E689-4EED-A945-59DA9875639E}</b:Guid>
    <b:Author>
      <b:Author>
        <b:Corporate>NNB GenCo</b:Corporate>
      </b:Author>
    </b:Author>
    <b:Title>TeamCenter No. 100291588: Emergency Response Equipment Storage Specification: Version 001</b:Title>
    <b:Year>2020</b:Year>
    <b:RefOrder>178</b:RefOrder>
  </b:Source>
  <b:Source>
    <b:Tag>NNB175</b:Tag>
    <b:SourceType>Book</b:SourceType>
    <b:Guid>{CABB0993-D416-42EA-AE9A-BDE6C1BBDD7E}</b:Guid>
    <b:Author>
      <b:Author>
        <b:Corporate>NNB GenCo</b:Corporate>
      </b:Author>
    </b:Author>
    <b:Title>TeamCenter No. 100751947: HPC-NNBOSL-U0-000-RES-000171: HPC PCSR3 Sub-chapter 9.4 - Heating, Ventilation and Air-Conditioning Systems: Revision 003</b:Title>
    <b:Year>2017</b:Year>
    <b:RefOrder>192</b:RefOrder>
  </b:Source>
  <b:Source>
    <b:Tag>NNB</b:Tag>
    <b:SourceType>Book</b:SourceType>
    <b:Guid>{7F2A6EE8-30A0-4747-AE7E-CE08FA299A5D}</b:Guid>
    <b:Author>
      <b:Author>
        <b:Corporate>NNB GenCo</b:Corporate>
      </b:Author>
    </b:Author>
    <b:Title>TeamCenter No. 100753949: HPC PCSR3 Sub-chapter 4.1 - Summary Description: Revision 002:</b:Title>
    <b:Year>2017</b:Year>
    <b:RefOrder>7</b:RefOrder>
  </b:Source>
  <b:Source>
    <b:Tag>Nuc65</b:Tag>
    <b:SourceType>Book</b:SourceType>
    <b:Guid>{F616D560-0627-4A1D-9411-BF74569630DD}</b:Guid>
    <b:Title>Nuclear Installations Act</b:Title>
    <b:Year>1965</b:Year>
    <b:RefOrder>103</b:RefOrder>
  </b:Source>
  <b:Source>
    <b:Tag>Bui91</b:Tag>
    <b:SourceType>Book</b:SourceType>
    <b:Guid>{148DB5F9-0380-4928-BC2C-F26C0D9854E7}</b:Guid>
    <b:Author>
      <b:Author>
        <b:Corporate>Building Research Establishment</b:Corporate>
      </b:Author>
    </b:Author>
    <b:Title>External fire spread: building separation and boundary distances. BR 187</b:Title>
    <b:Year>1991</b:Year>
    <b:RefOrder>207</b:RefOrder>
  </b:Source>
  <b:Source>
    <b:Tag>EMA09</b:Tag>
    <b:SourceType>Book</b:SourceType>
    <b:Guid>{67F563D9-FFE5-4D54-8EC6-A48FB5B9F00B}</b:Guid>
    <b:Author>
      <b:Author>
        <b:Corporate>EMANI</b:Corporate>
      </b:Author>
    </b:Author>
    <b:Title>European Mutual Association for Nuclear Insurance Loss Control Standards.</b:Title>
    <b:Year>09.05.2009</b:Year>
    <b:RefOrder>131</b:RefOrder>
  </b:Source>
  <b:Source>
    <b:Tag>NNB236</b:Tag>
    <b:SourceType>Book</b:SourceType>
    <b:Guid>{25697B99-E8A0-4306-BACF-5BAD81C5EA62}</b:Guid>
    <b:Author>
      <b:Author>
        <b:Corporate>NNB GenCo</b:Corporate>
      </b:Author>
    </b:Author>
    <b:Title>ONR/ENSREG Topical Peer review 2 - Fire - Phase 1 - Self Assessment, 101058664</b:Title>
    <b:Year>2023</b:Year>
    <b:RefOrder>49</b:RefOrder>
  </b:Source>
  <b:Source>
    <b:Tag>WAN</b:Tag>
    <b:SourceType>Book</b:SourceType>
    <b:Guid>{18F6713D-5851-4ADE-82E6-05B64DE1F3ED}</b:Guid>
    <b:Author>
      <b:Author>
        <b:Corporate>WANO</b:Corporate>
      </b:Author>
    </b:Author>
    <b:Title>WANO Performance Objectives and Criteria</b:Title>
    <b:Year>2019</b:Year>
    <b:RefOrder>104</b:RefOrder>
  </b:Source>
  <b:Source>
    <b:Tag>Bri07</b:Tag>
    <b:SourceType>Book</b:SourceType>
    <b:Guid>{DB62A82D-0F32-4594-B251-7424C5E8EC12}</b:Guid>
    <b:Author>
      <b:Author>
        <b:Corporate>British Standards Institute</b:Corporate>
      </b:Author>
    </b:Author>
    <b:Title>PD 6688-1-2: 2007 – Background paper on the UK Annex to BS EN 1991-1-2.</b:Title>
    <b:Year>2007</b:Year>
    <b:RefOrder>105</b:RefOrder>
  </b:Source>
  <b:Source>
    <b:Tag>BSI3</b:Tag>
    <b:SourceType>Book</b:SourceType>
    <b:Guid>{4160AEC9-36BF-40C0-B749-7F6E0E691212}</b:Guid>
    <b:Author>
      <b:Author>
        <b:Corporate>British Standards Institute</b:Corporate>
      </b:Author>
    </b:Author>
    <b:Title>BS EN 1991-1-2 Eurocode 1 - Actions on Structures</b:Title>
    <b:RefOrder>81</b:RefOrder>
  </b:Source>
  <b:Source>
    <b:Tag>BNF89</b:Tag>
    <b:SourceType>Book</b:SourceType>
    <b:Guid>{EEBC0233-F9EA-42B1-A002-70DAD10A9492}</b:Guid>
    <b:Author>
      <b:Author>
        <b:Corporate>BNFL Engineering</b:Corporate>
      </b:Author>
    </b:Author>
    <b:Title>"Fire loads applicable to new builds on Sellafield site” a report by BNFL Engineering October 1989, P M Thomas and P Vesey.</b:Title>
    <b:Year>1989</b:Year>
    <b:RefOrder>106</b:RefOrder>
  </b:Source>
  <b:Source>
    <b:Tag>RPS15</b:Tag>
    <b:SourceType>Book</b:SourceType>
    <b:Guid>{F62CCFBA-9C04-4E8F-9692-A05AEC2DD556}</b:Guid>
    <b:Author>
      <b:Author>
        <b:Corporate>RPS</b:Corporate>
      </b:Author>
    </b:Author>
    <b:Title>Fire Loading Calculation Tool Reference Document, WZ9911, J Daley and A Garrison, Issue 1.</b:Title>
    <b:Year>2015</b:Year>
    <b:RefOrder>107</b:RefOrder>
  </b:Source>
  <b:Source>
    <b:Tag>Bab03</b:Tag>
    <b:SourceType>Book</b:SourceType>
    <b:Guid>{34782221-784B-4B95-973C-90E851A07DC0}</b:Guid>
    <b:Author>
      <b:Author>
        <b:NameList>
          <b:Person>
            <b:Last>Babrauskas</b:Last>
            <b:First>Vytenis</b:First>
          </b:Person>
        </b:NameList>
      </b:Author>
    </b:Author>
    <b:Title>Ignition Handbook,  Edition 1, Fire Science Publishers, ISBN: 978-0-9728111-3-2</b:Title>
    <b:Year>2003</b:Year>
    <b:RefOrder>87</b:RefOrder>
  </b:Source>
  <b:Source>
    <b:Tag>NFP09</b:Tag>
    <b:SourceType>Book</b:SourceType>
    <b:Guid>{A14CB3AF-C640-4101-939A-35960BB32B60}</b:Guid>
    <b:Author>
      <b:Author>
        <b:Corporate>NFPA</b:Corporate>
      </b:Author>
    </b:Author>
    <b:Title>NFPA 92B, Standard for Smoke Management Systems in Malls, Atria, and Large Spaces</b:Title>
    <b:Year>2009</b:Year>
    <b:RefOrder>91</b:RefOrder>
  </b:Source>
  <b:Source>
    <b:Tag>NFP23</b:Tag>
    <b:SourceType>Book</b:SourceType>
    <b:Guid>{BB3AFAB4-B377-4B5E-865A-07D5A1B73722}</b:Guid>
    <b:Author>
      <b:Author>
        <b:Corporate>NFPA</b:Corporate>
      </b:Author>
    </b:Author>
    <b:Title>NFPA 557, Standard for Determination of Fire Loads for Use in Structural Fire Protection Design</b:Title>
    <b:Year>2023</b:Year>
    <b:RefOrder>83</b:RefOrder>
  </b:Source>
  <b:Source>
    <b:Tag>JMa96</b:Tag>
    <b:SourceType>Book</b:SourceType>
    <b:Guid>{32404F57-E881-4FAE-9582-B3019FC81C7D}</b:Guid>
    <b:Author>
      <b:Author>
        <b:NameList>
          <b:Person>
            <b:Last>Keski-Rahkonen</b:Last>
            <b:First>O.</b:First>
          </b:Person>
          <b:Person>
            <b:Last>Mangs</b:Last>
            <b:First>J</b:First>
          </b:Person>
        </b:NameList>
      </b:Author>
    </b:Author>
    <b:Title>Full scale fire experiments on electrical cabinets II</b:Title>
    <b:Year>1996</b:Year>
    <b:RefOrder>108</b:RefOrder>
  </b:Source>
  <b:Source>
    <b:Tag>GEH14</b:Tag>
    <b:SourceType>Book</b:SourceType>
    <b:Guid>{82558337-A9F6-4B1C-968A-098F19000CCA}</b:Guid>
    <b:Author>
      <b:Author>
        <b:Corporate>GE-Hitachi</b:Corporate>
      </b:Author>
    </b:Author>
    <b:Title>ESBWR Design Control Document Tier 2, Rev. 10 - Chapter 09B - Auxiliary Systems</b:Title>
    <b:Year>2014</b:Year>
    <b:RefOrder>109</b:RefOrder>
  </b:Source>
  <b:Source>
    <b:Tag>Dry11</b:Tag>
    <b:SourceType>Book</b:SourceType>
    <b:Guid>{D3508D77-A419-4CD7-8AC6-9A865BD03529}</b:Guid>
    <b:Title>An Introduction to Fire Dynamics, Wiley, ISBN:9780470319031</b:Title>
    <b:Year>2011</b:Year>
    <b:Author>
      <b:Author>
        <b:NameList>
          <b:Person>
            <b:Last>Drysdale</b:Last>
            <b:First>D.</b:First>
          </b:Person>
        </b:NameList>
      </b:Author>
    </b:Author>
    <b:RefOrder>29</b:RefOrder>
  </b:Source>
  <b:Source>
    <b:Tag>Uni04</b:Tag>
    <b:SourceType>Book</b:SourceType>
    <b:Guid>{4292C50D-BF4D-4F53-BE3D-F7D717D21B5A}</b:Guid>
    <b:Author>
      <b:Author>
        <b:Corporate>United States Nuclear Regulatory Commission</b:Corporate>
      </b:Author>
    </b:Author>
    <b:Title>NUREG 1805, Fire Dyanamics Tools (FDTs) Quantitative Fire Hazard Analysis Methods for the U.S. Nuclear Regulatory Commission Fire Protection Inspection Program</b:Title>
    <b:Year>December 2004</b:Year>
    <b:RefOrder>78</b:RefOrder>
  </b:Source>
  <b:Source>
    <b:Tag>Uni</b:Tag>
    <b:SourceType>Book</b:SourceType>
    <b:Guid>{D005D688-4E84-4A68-BB63-28F37857A612}</b:Guid>
    <b:Author>
      <b:Author>
        <b:Corporate>United States Nuclear Regulatory Commission</b:Corporate>
      </b:Author>
    </b:Author>
    <b:Title>NUREG/CP-0173, NUREG/CP US Nuclear Regulatory Commission, AFSP Yellow Book, Fire protection for structural steel in buildings, 5th Edition</b:Title>
    <b:RefOrder>125</b:RefOrder>
  </b:Source>
  <b:Source>
    <b:Tag>Bri19</b:Tag>
    <b:SourceType>Book</b:SourceType>
    <b:Guid>{BF2D377D-5B1E-4C76-8C23-6BB93388ABD5}</b:Guid>
    <b:Author>
      <b:Author>
        <b:Corporate>British Standards Institute</b:Corporate>
      </b:Author>
    </b:Author>
    <b:Title>PD 7974-1: Application of fire safety engineering principles to the design of buildings. Part 1: Initiation and development of fire within the enclosure of origin</b:Title>
    <b:Year>2019</b:Year>
    <b:RefOrder>111</b:RefOrder>
  </b:Source>
  <b:Source>
    <b:Tag>Bri87</b:Tag>
    <b:SourceType>Book</b:SourceType>
    <b:Guid>{8A50D2DC-D361-417E-8FC5-3AD04CDDBF86}</b:Guid>
    <b:Author>
      <b:Author>
        <b:Corporate>British Standards Institute</b:Corporate>
      </b:Author>
    </b:Author>
    <b:Title>BS 476-20:1987 Fire tests on building materials and structures. Method for determination of the fire resistance of elements of construction (general principles)</b:Title>
    <b:Year>1987</b:Year>
    <b:RefOrder>112</b:RefOrder>
  </b:Source>
  <b:Source>
    <b:Tag>Bri871</b:Tag>
    <b:SourceType>Book</b:SourceType>
    <b:Guid>{3CF1E8AF-DCA3-4C8D-A9D9-92D3DC6BE157}</b:Guid>
    <b:Author>
      <b:Author>
        <b:Corporate>British Standards Institute</b:Corporate>
      </b:Author>
    </b:Author>
    <b:Title>BS 476-21:1987, Fire tests on building materials and structures. Methods for determination of the fire resistance of loadbearing elements of construction</b:Title>
    <b:Year>1987</b:Year>
    <b:RefOrder>113</b:RefOrder>
  </b:Source>
  <b:Source>
    <b:Tag>ONR4</b:Tag>
    <b:SourceType>Report</b:SourceType>
    <b:Guid>{64AF0B62-B02B-4CE2-AF22-321BFAB6F874}</b:Guid>
    <b:Author>
      <b:Author>
        <b:Corporate>Office for Nuclear Regulation</b:Corporate>
      </b:Author>
    </b:Author>
    <b:Title>NS-TAST-GD-014, Internal Hazards, Issue No. 7.1</b:Title>
    <b:RefOrder>16</b:RefOrder>
  </b:Source>
  <b:Source>
    <b:Tag>BEP</b:Tag>
    <b:SourceType>Book</b:SourceType>
    <b:Guid>{623CF420-1CDB-4562-B330-81BEECA90E08}</b:Guid>
    <b:Title>BEPPS-DIF PACSR, Internal Hazards assessment of the BEPPS-DIF pre-active commissioning safety report, WIReD: AR-01173</b:Title>
    <b:Author>
      <b:Author>
        <b:Corporate>Office for Nuclear Regulation</b:Corporate>
      </b:Author>
    </b:Author>
    <b:Year>2023</b:Year>
    <b:RefOrder>119</b:RefOrder>
  </b:Source>
  <b:Source>
    <b:Tag>ONR2</b:Tag>
    <b:SourceType>Report</b:SourceType>
    <b:Guid>{26A69819-12E0-4645-841F-523F7A54EB0C}</b:Guid>
    <b:Title>Internal Hazards Assessment of BEPPS-DIF Pre-Inactive / Pre-active Commissioning Safety Report, ONR-SDFW-AR-19-98, CM9: 2020/311997</b:Title>
    <b:Author>
      <b:Author>
        <b:Corporate>Office for Nuclear Regulation</b:Corporate>
      </b:Author>
    </b:Author>
    <b:Year>2020</b:Year>
    <b:RefOrder>118</b:RefOrder>
  </b:Source>
  <b:Source>
    <b:Tag>BS5839</b:Tag>
    <b:SourceType>Book</b:SourceType>
    <b:Guid>{6BABCBFE-A987-47B3-81A6-3E095F11E561}</b:Guid>
    <b:Title>BS 5839-1, Fire detection and fire alarm systems for buildings – Part 1: Code of practice for design, installation, commissioning and  maintenance of systems in non-domestic premises</b:Title>
    <b:Year>2017</b:Year>
    <b:Author>
      <b:Author>
        <b:Corporate>British Standards Institute</b:Corporate>
      </b:Author>
    </b:Author>
    <b:RefOrder>179</b:RefOrder>
  </b:Source>
  <b:Source>
    <b:Tag>Bri20</b:Tag>
    <b:SourceType>DocumentFromInternetSite</b:SourceType>
    <b:Guid>{80938E54-B760-4702-A273-01FCF5476050}</b:Guid>
    <b:Author>
      <b:Author>
        <b:Corporate>British Association of Fire Equipment</b:Corporate>
      </b:Author>
    </b:Author>
    <b:Title>BAFE Guidance Document for Schemes SP203-1, SP203-3, SP203-4, SP207</b:Title>
    <b:Year>2020</b:Year>
    <b:YearAccessed>2023</b:YearAccessed>
    <b:URL>https://www.bafe.org.uk/media/e5e523c6bb01fdccb7b0d359d056f1da/SG1-Guidance-for-Modular-Schemes-V2-Oct-2020.pdf</b:URL>
    <b:RefOrder>191</b:RefOrder>
  </b:Source>
  <b:Source>
    <b:Tag>EDF231</b:Tag>
    <b:SourceType>Book</b:SourceType>
    <b:Guid>{41E4957E-AE07-44DC-A567-D820F952FB54}</b:Guid>
    <b:Author>
      <b:Author>
        <b:Corporate>EDF Nuclear Generation Limited</b:Corporate>
      </b:Author>
    </b:Author>
    <b:Title>ENSREG 2nd Topical Peer Review for Fire Protection - UK Stations Hunterston B, Heysham 2, Sizewell B DAO/REP/JIEF/097/GEN/22 Rev 0</b:Title>
    <b:Year>May 2023</b:Year>
    <b:RefOrder>25</b:RefOrder>
  </b:Source>
  <b:Source>
    <b:Tag>SFP16</b:Tag>
    <b:SourceType>Book</b:SourceType>
    <b:Guid>{892D0141-37DA-4E82-9EC6-C3CCAE5D1108}</b:Guid>
    <b:Author>
      <b:Author>
        <b:Corporate>Society of Fire Protection Engineers</b:Corporate>
      </b:Author>
    </b:Author>
    <b:Title>Handbook of Fire Protection Engineering, Edition 5</b:Title>
    <b:Year>2016</b:Year>
    <b:RefOrder>28</b:RefOrder>
  </b:Source>
  <b:Source>
    <b:Tag>Bri15</b:Tag>
    <b:SourceType>Book</b:SourceType>
    <b:Guid>{00919B99-DE0F-4EA8-A3EC-C4F7C03045CB}</b:Guid>
    <b:Title>BS EN 1366-2:2015 Fire resistance tests for service installations. Fire dampers</b:Title>
    <b:Year>2015</b:Year>
    <b:Author>
      <b:Author>
        <b:Corporate>British Standards Institute</b:Corporate>
      </b:Author>
    </b:Author>
    <b:RefOrder>194</b:RefOrder>
  </b:Source>
  <b:Source>
    <b:Tag>Bri</b:Tag>
    <b:SourceType>Book</b:SourceType>
    <b:Guid>{C7714EE7-02FA-447D-99D7-3DF82583BD0D}</b:Guid>
    <b:Author>
      <b:Author>
        <b:Corporate>British Standards Institute</b:Corporate>
      </b:Author>
    </b:Author>
    <b:Title>BS EN 13501-3, Fire classification of construction products and building elements Part 3: Classification using data from fire resistance tests on products and elements used in building service installations: fire resisting ducts and fire dampers</b:Title>
    <b:RefOrder>203</b:RefOrder>
  </b:Source>
  <b:Source>
    <b:Tag>Bri872</b:Tag>
    <b:SourceType>Book</b:SourceType>
    <b:Guid>{D95DA9C6-E7E1-4AA3-9F89-3C63DAD25669}</b:Guid>
    <b:Author>
      <b:Author>
        <b:Corporate>British Standards Institute</b:Corporate>
      </b:Author>
    </b:Author>
    <b:Title>BS 476-24, Fire Tests on Building Materials and Structures Part 24: Method for Determination of the Fire Resistance of Ventilation Ducts</b:Title>
    <b:Year>1987</b:Year>
    <b:RefOrder>204</b:RefOrder>
  </b:Source>
  <b:Source>
    <b:Tag>BS9999</b:Tag>
    <b:SourceType>Book</b:SourceType>
    <b:Guid>{4105836D-67A2-4FF5-9D01-6A055D2DEB1A}</b:Guid>
    <b:Title>BS 9999, Fire Safety in the Design, Management and Use of Buildings – Code of Practice</b:Title>
    <b:Year>2017</b:Year>
    <b:Author>
      <b:Author>
        <b:Corporate>British Standards Institute </b:Corporate>
      </b:Author>
    </b:Author>
    <b:RefOrder>71</b:RefOrder>
  </b:Source>
  <b:Source>
    <b:Tag>Bri873</b:Tag>
    <b:SourceType>Book</b:SourceType>
    <b:Guid>{43AEEDD0-5161-45D9-9D97-20F73066BCF3}</b:Guid>
    <b:Author>
      <b:Author>
        <b:Corporate>British Standards Institute</b:Corporate>
      </b:Author>
    </b:Author>
    <b:Title>BS 476-22, Fire Tests on Building Materials and Structures - Part 22: Methods for Determination of the Fire Resistance of Non-Loadbearing Elements of Construction</b:Title>
    <b:Year>1987</b:Year>
    <b:RefOrder>201</b:RefOrder>
  </b:Source>
  <b:Source>
    <b:Tag>Bri14</b:Tag>
    <b:SourceType>Book</b:SourceType>
    <b:Guid>{6468593E-D386-4CC0-9DA5-FF257DDAABFD}</b:Guid>
    <b:Author>
      <b:Author>
        <b:Corporate>British Standards Institute</b:Corporate>
      </b:Author>
    </b:Author>
    <b:Title>BS EN 1366-1, Fire resistance tests for service installations Part 1: Ventilation ducts</b:Title>
    <b:Year>2014</b:Year>
    <b:RefOrder>205</b:RefOrder>
  </b:Source>
  <b:Source>
    <b:Tag>IAE5</b:Tag>
    <b:SourceType>Book</b:SourceType>
    <b:Guid>{0E4E6EF4-DC91-4CBF-80B8-791D89A0A599}</b:Guid>
    <b:Title>Protection against Internal Hazards in the Design of Nuclear Power Plants, IAEA Safety Standards Series No. SSG-64, IAEA, Vienna</b:Title>
    <b:Author>
      <b:Author>
        <b:Corporate>International Atomic Energy Agency</b:Corporate>
      </b:Author>
    </b:Author>
    <b:Year>2021</b:Year>
    <b:RefOrder>17</b:RefOrder>
  </b:Source>
  <b:Source>
    <b:Tag>INT17</b:Tag>
    <b:SourceType>Book</b:SourceType>
    <b:Guid>{E3AE144D-8306-4199-8721-5F69972095CF}</b:Guid>
    <b:Author>
      <b:Author>
        <b:Corporate>International Atomic Energy Agency</b:Corporate>
      </b:Author>
    </b:Author>
    <b:Title>Safety of Nuclear Fuel Cycle Facilities, IAEA Safety Standards Series No. SSR-4, IAEA, Vienna</b:Title>
    <b:Year>2017</b:Year>
    <b:RefOrder>19</b:RefOrder>
  </b:Source>
  <b:Source>
    <b:Tag>nsg21</b:Tag>
    <b:SourceType>Book</b:SourceType>
    <b:Guid>{975D9319-5821-419C-83BA-8D7532D8319D}</b:Guid>
    <b:Author>
      <b:Author>
        <b:Corporate>International Atomic Energy Agency</b:Corporate>
      </b:Author>
    </b:Author>
    <b:Title>Fire Safety in the Operation of Nuclear Power Plants, IAEA Safety Standards Series No. NS-G-2.1, IAEA, Vienna</b:Title>
    <b:Year>2000</b:Year>
    <b:RefOrder>117</b:RefOrder>
  </b:Source>
  <b:Source>
    <b:Tag>IAE4</b:Tag>
    <b:SourceType>Book</b:SourceType>
    <b:Guid>{A264D268-BD9A-417F-AA1B-4DFCAF25B22E}</b:Guid>
    <b:Title>Protection Against Internal Fires and Explosions in the Design of Nuclear Power Plants, IAEA Safety Standards Series No. NS-G-1.7, IAEA, Vienna</b:Title>
    <b:Author>
      <b:Author>
        <b:Corporate>International Atomic Energy Agency</b:Corporate>
      </b:Author>
    </b:Author>
    <b:Year>2004</b:Year>
    <b:RefOrder>68</b:RefOrder>
  </b:Source>
  <b:Source>
    <b:Tag>IAE3</b:Tag>
    <b:SourceType>Book</b:SourceType>
    <b:Guid>{73987A04-509E-4A90-9F4D-115A3FF95798}</b:Guid>
    <b:Title>Safety of Nuclear Power Plants: Design, IAEA Safety Standards Series No. SSR-2/1 (Rev. 1), IAEA, Vienna</b:Title>
    <b:Author>
      <b:Author>
        <b:Corporate>International Atomic Energy Agency</b:Corporate>
      </b:Author>
    </b:Author>
    <b:Year>2016</b:Year>
    <b:RefOrder>31</b:RefOrder>
  </b:Source>
  <b:Source>
    <b:Tag>Int22</b:Tag>
    <b:SourceType>Book</b:SourceType>
    <b:Guid>{566E50D1-20B3-489E-A21A-64CEC72395A0}</b:Guid>
    <b:Author>
      <b:Author>
        <b:Corporate>International Atomic Energy Agency</b:Corporate>
      </b:Author>
    </b:Author>
    <b:Title>Protection Against Internal and External Hazards in the Operation of Nuclear Power Plants, IAEA Safety Standards Series No. SSG-77, IAEA, Vienna</b:Title>
    <b:Year>2022</b:Year>
    <b:RefOrder>18</b:RefOrder>
  </b:Source>
  <b:Source>
    <b:Tag>Wes1</b:Tag>
    <b:SourceType>Book</b:SourceType>
    <b:Guid>{D3AE634E-5543-4AEB-96FD-78EE7F3EF78C}</b:Guid>
    <b:Title>Westinghouse Nuclear Fuels EHS Incident Reporting, CEHS-14</b:Title>
    <b:RefOrder>98</b:RefOrder>
  </b:Source>
  <b:Source>
    <b:Tag>Gui</b:Tag>
    <b:SourceType>Book</b:SourceType>
    <b:Guid>{D4940076-21A7-4C2F-AB4E-200A9F5E9A82}</b:Guid>
    <b:Title>Guidance for the 'Goodlad' Criteria for Reporting Incidents at Licensed Nuclear Sites to BEIS</b:Title>
    <b:RefOrder>97</b:RefOrder>
  </b:Source>
  <b:Source>
    <b:Tag>BMS</b:Tag>
    <b:SourceType>Book</b:SourceType>
    <b:Guid>{78A22AD4-3941-4B8C-BADE-8EF4D29A2206}</b:Guid>
    <b:Title>BMS-CL-15 (Global Event Reporting)</b:Title>
    <b:RefOrder>95</b:RefOrder>
  </b:Source>
  <b:Source>
    <b:Tag>Bri1</b:Tag>
    <b:SourceType>Book</b:SourceType>
    <b:Guid>{2101C5AF-539E-415B-A1F5-68BE96A7A895}</b:Guid>
    <b:Title>British Standards Institute, BS 5839-6, Fire Detection and Fire Alarm Systems for Buildings - Part 6: Code of Practice for the Design, Installation, Commissioning and Maintenance of fire detection and fire alarm systems in domestic premises, 2019</b:Title>
    <b:RefOrder>182</b:RefOrder>
  </b:Source>
  <b:Source>
    <b:Tag>ENS</b:Tag>
    <b:SourceType>Book</b:SourceType>
    <b:Guid>{646FCE09-1D87-4CF8-BC2C-1AF4A1701390}</b:Guid>
    <b:Title>ENSREG Topical Peer Review Westinghouse Springfields Fuels, Revision 1, April 2023</b:Title>
    <b:RefOrder>9</b:RefOrder>
  </b:Source>
  <b:Source>
    <b:Tag>SSI</b:Tag>
    <b:SourceType>Book</b:SourceType>
    <b:Guid>{1AE7FFB0-DAFD-4F9D-A0A4-644250A02456}</b:Guid>
    <b:Title>SSI 917 Engineering Substantiation, Springfields Fuels Ltd</b:Title>
    <b:RefOrder>73</b:RefOrder>
  </b:Source>
  <b:Source>
    <b:Tag>Nat</b:Tag>
    <b:SourceType>Book</b:SourceType>
    <b:Guid>{8D71A8F2-738B-424F-BE39-B4CC9F8B08DB}</b:Guid>
    <b:Title>National Fire Protection Association, NFPA 801 - Standard for Fire Protection for Facilities Handling Radioactive Mateirals</b:Title>
    <b:RefOrder>76</b:RefOrder>
  </b:Source>
  <b:Source>
    <b:Tag>SAG</b:Tag>
    <b:SourceType>Book</b:SourceType>
    <b:Guid>{FF64BA01-484C-4944-A449-270D99FF05C0}</b:Guid>
    <b:Title>SAG R198 Revision 4. Assessment of the Hazards posed by External Events affecting Springfields</b:Title>
    <b:RefOrder>74</b:RefOrder>
  </b:Source>
  <b:Source>
    <b:Tag>Int4</b:Tag>
    <b:SourceType>Book</b:SourceType>
    <b:Guid>{33D955DA-3A76-49F1-B17B-76ED7F2ADD32}</b:Guid>
    <b:Title>International Atomic Energy Agency, Fire Protection in Nuclear Power Plants - TECDOC 1944, 2021</b:Title>
    <b:RefOrder>75</b:RefOrder>
  </b:Source>
  <b:Source>
    <b:Tag>Uni1</b:Tag>
    <b:SourceType>Book</b:SourceType>
    <b:Guid>{951E112E-3556-4F43-9397-FEBB786221B9}</b:Guid>
    <b:Title>United States Nuclear Regulatory Commission; NUREG 2169 EPRI 3002002936 Nuclear Power Plant Fire Ignition Frequency and Non-Suppression Probability Estimation Using the Updated Fire Events Database. United States Fire Event Experience Through 2009.</b:Title>
    <b:RefOrder>77</b:RefOrder>
  </b:Source>
  <b:Source>
    <b:Tag>Uni2</b:Tag>
    <b:SourceType>Book</b:SourceType>
    <b:Guid>{0D06D4A4-13E1-4659-9A37-08ACC3A805D6}</b:Guid>
    <b:Title>United States Nuclear Regulatory Commission - Guidance for Fire Growth and Damage Time Analysis – Attachment 7 - 0609, App F, Att. 7 - Issue Date: 02/28/05</b:Title>
    <b:RefOrder>79</b:RefOrder>
  </b:Source>
  <b:Source>
    <b:Tag>Met</b:Tag>
    <b:SourceType>Book</b:SourceType>
    <b:Guid>{0040E40F-15A8-4444-9702-9DFAA176362E}</b:Guid>
    <b:Title>Methods of Quantitative Fire hazard Analysis EPRI. Frederick J Mowrer – SFPE</b:Title>
    <b:RefOrder>80</b:RefOrder>
  </b:Source>
  <b:Source>
    <b:Tag>SSI2</b:Tag>
    <b:SourceType>Book</b:SourceType>
    <b:Guid>{16BD8886-E39D-4AA1-8A12-0C9E4EF1FDB0}</b:Guid>
    <b:Title>SSI 234 Reporting of Injury Disease and dangerous occurrence and OSHA reporting requirements, Springfields Fuels Ltd</b:Title>
    <b:RefOrder>94</b:RefOrder>
  </b:Source>
  <b:Source>
    <b:Tag>Spr1</b:Tag>
    <b:SourceType>Book</b:SourceType>
    <b:Guid>{15D44665-F9AB-4EF4-8D1C-BE7980E98BDA}</b:Guid>
    <b:Title>Springfields Fuels Ltd Category: 03 Industrial Safety Users: PS/SF Heads Issue: Rev5-Jan2022</b:Title>
    <b:RefOrder>93</b:RefOrder>
  </b:Source>
  <b:Source>
    <b:Tag>PD6</b:Tag>
    <b:SourceType>Book</b:SourceType>
    <b:Guid>{F00C4B6E-ECAC-457C-9FAC-049DF66FE43F}</b:Guid>
    <b:Title>PD 6688-1-2: 2007 Background paper to the UK National Annex to BS EN 1991-1.2</b:Title>
    <b:RefOrder>82</b:RefOrder>
  </b:Source>
  <b:Source>
    <b:Tag>Ful</b:Tag>
    <b:SourceType>Book</b:SourceType>
    <b:Guid>{AA77BFD7-F933-4819-9F93-59797EBC430C}</b:Guid>
    <b:Title>Full scale fire experiments on electrical cabinets VTT Publication 186, VTT Building Technology. Johan Mangs and Olavi Keski-Rahkonen. Issue 1 1994</b:Title>
    <b:RefOrder>85</b:RefOrder>
  </b:Source>
  <b:Source>
    <b:Tag>SFP</b:Tag>
    <b:SourceType>Book</b:SourceType>
    <b:Guid>{44A0E44E-93D3-40A8-A30C-993C5BFA2603}</b:Guid>
    <b:Title>SFPE Handbook. NFPA 4th Edition 2008</b:Title>
    <b:RefOrder>86</b:RefOrder>
  </b:Source>
  <b:Source>
    <b:Tag>Hea</b:Tag>
    <b:SourceType>Book</b:SourceType>
    <b:Guid>{FB65BDF8-3BC7-4439-9A06-3D5D976F3EE1}</b:Guid>
    <b:Title>Heats of combustion and related properties for plastics. V.Babrauskas and SJ Gordon</b:Title>
    <b:RefOrder>88</b:RefOrder>
  </b:Source>
  <b:Source>
    <b:Tag>Uni3</b:Tag>
    <b:SourceType>Book</b:SourceType>
    <b:Guid>{057E5EAF-B4ED-450C-8917-9C0D15049A68}</b:Guid>
    <b:Title>United States Department of Energy's Reactor Core Protection Evaluation Methodology for Fires at RBMK and VVERE Nuclear Power Plants. USA – DOE Rev 0 December 1996</b:Title>
    <b:RefOrder>89</b:RefOrder>
  </b:Source>
  <b:Source>
    <b:Tag>B57</b:Tag>
    <b:SourceType>Book</b:SourceType>
    <b:Guid>{C6355E54-2530-4745-8F71-F01F5286CBC4}</b:Guid>
    <b:Title>B570 Fire loading study of THORP. P Rigby/S Greenwood Issue 1 May 1998. SDP/98/P42</b:Title>
    <b:RefOrder>90</b:RefOrder>
  </b:Source>
  <b:Source>
    <b:Tag>SSI3</b:Tag>
    <b:SourceType>Book</b:SourceType>
    <b:Guid>{70195BCE-BE32-4094-AA47-867F581D5D1F}</b:Guid>
    <b:Title>SSI 638 Self Audit: (A) Self audit report instruction verification, (C) Plant workplace inspection form (D) Office workplace inspection form, Springfields Fuels Ltd</b:Title>
    <b:RefOrder>92</b:RefOrder>
  </b:Source>
  <b:Source>
    <b:Tag>SSI4</b:Tag>
    <b:SourceType>Book</b:SourceType>
    <b:Guid>{3977596A-7E32-4D5A-AD40-DE5A256FCF63}</b:Guid>
    <b:Title>SSI 688 Fire Safety at Springfields Rev 3 April 2020, Springfields Fuel Ltd</b:Title>
    <b:RefOrder>135</b:RefOrder>
  </b:Source>
  <b:Source>
    <b:Tag>SSI5</b:Tag>
    <b:SourceType>Book</b:SourceType>
    <b:Guid>{ABF025F9-4A86-49FE-B3CC-A71CD800F5CF}</b:Guid>
    <b:Title>SSI 688M Use of Flexible Temporary Covering Materials &amp; Tented Structures at Springfields. Rev 3 Nov 2021, Springfields Fuels Ltd</b:Title>
    <b:RefOrder>136</b:RefOrder>
  </b:Source>
  <b:Source>
    <b:Tag>Los</b:Tag>
    <b:SourceType>Book</b:SourceType>
    <b:Guid>{EE538E64-B84B-4C88-B825-9C37148A3369}</b:Guid>
    <b:Title>Loss Prevention Standard 1207 Fire Requirements for the LPCB Approval &amp; Listing of Protective Covering Materials.</b:Title>
    <b:RefOrder>137</b:RefOrder>
  </b:Source>
  <b:Source>
    <b:Tag>Los1</b:Tag>
    <b:SourceType>Book</b:SourceType>
    <b:Guid>{1CBBC7BB-82DA-4D3E-AFD4-4036F054A3C0}</b:Guid>
    <b:Title>Loss Prevention Standard 1215 Requirements for the LPCB approval and listing of Scaffold Cladding Materials</b:Title>
    <b:RefOrder>138</b:RefOrder>
  </b:Source>
  <b:Source>
    <b:Tag>Fir1</b:Tag>
    <b:SourceType>Book</b:SourceType>
    <b:Guid>{72AB8C66-79A8-4BF6-8800-887B90937F54}</b:Guid>
    <b:Title>Fire Prevention on Construction Sites – Joint Code of Practice 10th Edition</b:Title>
    <b:RefOrder>139</b:RefOrder>
  </b:Source>
  <b:Source>
    <b:Tag>BCG</b:Tag>
    <b:SourceType>Book</b:SourceType>
    <b:Guid>{03D86463-B737-494E-97F7-DF5AC01F8B0D}</b:Guid>
    <b:Title>BCGA GN3 Gas cylinder – Manual handling operations. Revision 4: 2022</b:Title>
    <b:RefOrder>142</b:RefOrder>
  </b:Source>
  <b:Source>
    <b:Tag>BCG1</b:Tag>
    <b:SourceType>Book</b:SourceType>
    <b:Guid>{E09B2E35-6596-4A14-9728-4D3C52852235}</b:Guid>
    <b:Title>BCGA GN11 The management of risk when using gases in enclosed workplaces. Revision 4: 2018</b:Title>
    <b:RefOrder>143</b:RefOrder>
  </b:Source>
  <b:Source>
    <b:Tag>BCG2</b:Tag>
    <b:SourceType>Book</b:SourceType>
    <b:Guid>{7A9FBCF1-7CB0-4A96-AF6F-3CF2DD8AF57B}</b:Guid>
    <b:Title>BCGA DSEAR risk assessment guidance for compressed gases. Revision 1: 2021</b:Title>
    <b:RefOrder>144</b:RefOrder>
  </b:Source>
  <b:Source>
    <b:Tag>BCG3</b:Tag>
    <b:SourceType>Book</b:SourceType>
    <b:Guid>{63BC80E3-641F-4736-9F4F-023C17D21825}</b:Guid>
    <b:Title>BCGA GN41 Separation distances in the gases industry: 2020</b:Title>
    <b:RefOrder>145</b:RefOrder>
  </b:Source>
  <b:Source>
    <b:Tag>BCG4</b:Tag>
    <b:SourceType>Book</b:SourceType>
    <b:Guid>{E7E33543-94AA-4E71-93DE-F75BB9EDF4B1}</b:Guid>
    <b:Title>BCGA GN44 Portable or mobile cylinder gas equipment. Thorough inspection: 2021</b:Title>
    <b:RefOrder>146</b:RefOrder>
  </b:Source>
  <b:Source>
    <b:Tag>NFP1</b:Tag>
    <b:SourceType>Book</b:SourceType>
    <b:Guid>{1698A92A-3A9B-42E0-B095-2891E5D90272}</b:Guid>
    <b:Title>NFPA 30 Flammable and Combustible Liquids Code (2021)</b:Title>
    <b:RefOrder>147</b:RefOrder>
  </b:Source>
  <b:Source>
    <b:Tag>Coo</b:Tag>
    <b:SourceType>Book</b:SourceType>
    <b:Guid>{89FFAE41-2854-47EF-BA4A-A790F5DD4045}</b:Guid>
    <b:Title>Cooper, T. (1984). Review of Zirconium-Zircaloy Pyrophoricity (RHO-RE-ST-31). Rockwell Hanford Operations for the US Department of Energy</b:Title>
    <b:RefOrder>148</b:RefOrder>
  </b:Source>
  <b:Source>
    <b:Tag>Wes2</b:Tag>
    <b:SourceType>Book</b:SourceType>
    <b:Guid>{C3DCBD5C-9172-4A7F-AF89-101BBF7B7DB4}</b:Guid>
    <b:Title>Westinghouse ,Western Zirconium, Safety Management Procedure E3, Handling of Flammable Metal Fines. Westinghouse 2006</b:Title>
    <b:RefOrder>149</b:RefOrder>
  </b:Source>
  <b:Source>
    <b:Tag>Wes3</b:Tag>
    <b:SourceType>Book</b:SourceType>
    <b:Guid>{90E8648E-491B-4132-BC05-50420680F13F}</b:Guid>
    <b:Title>Westinghouse Western Zirconium Operating Procedure, Packaging and Shipping of Swarf. Westinghouse. 2006</b:Title>
    <b:RefOrder>150</b:RefOrder>
  </b:Source>
  <b:Source>
    <b:Tag>NFP2</b:Tag>
    <b:SourceType>Book</b:SourceType>
    <b:Guid>{9D8D165C-6FB4-4D09-9A16-676A4872B652}</b:Guid>
    <b:Title>NFPA 484: Standard for Combustible Metals. NFPA 2015</b:Title>
    <b:RefOrder>151</b:RefOrder>
  </b:Source>
  <b:Source>
    <b:Tag>SSI6</b:Tag>
    <b:SourceType>Book</b:SourceType>
    <b:Guid>{0F321524-CD44-4A75-87BE-AE78CA487D94}</b:Guid>
    <b:Title>SSI 688 A - Guidance on fire safety at Springfields, Springfields Fuels Ltd</b:Title>
    <b:RefOrder>153</b:RefOrder>
  </b:Source>
  <b:Source>
    <b:Tag>Use</b:Tag>
    <b:SourceType>Book</b:SourceType>
    <b:Guid>{3C510B85-61D6-4A7C-9FA0-61E245CA136B}</b:Guid>
    <b:Title>Use of Acetylene and Alternative Fuel Gases for Welding and other Purposes at Springfields. Rev 1 April 2017. Draft, Springfields Fuels Ltd</b:Title>
    <b:RefOrder>154</b:RefOrder>
  </b:Source>
  <b:Source>
    <b:Tag>Eur3</b:Tag>
    <b:SourceType>Book</b:SourceType>
    <b:Guid>{D4A2C295-5F20-4D91-BCAC-2DA9E934F116}</b:Guid>
    <b:Title>European Regulation (EC) No 1272/2008 on classification, labelling and packaging of substances</b:Title>
    <b:RefOrder>152</b:RefOrder>
  </b:Source>
  <b:Source>
    <b:Tag>Bri2</b:Tag>
    <b:SourceType>Book</b:SourceType>
    <b:Guid>{EDFEBC13-B26C-414D-84F2-45411055B7B4}</b:Guid>
    <b:Title>British Standards Institute, BS EN 13501-1, Fire Classification of construction products and building elements. Classification using data from reaction to fire tests, 2018</b:Title>
    <b:RefOrder>155</b:RefOrder>
  </b:Source>
  <b:Source>
    <b:Tag>Con1</b:Tag>
    <b:SourceType>Book</b:SourceType>
    <b:Guid>{F191E5DF-B026-473E-82A5-93B103ED7E09}</b:Guid>
    <b:Title>Continued Operations Safety Case – Oxide Fuels Complex Building A686 and Associated Facilities A670 and A695. Criticality Safety Assessment of General Plant Operations. M L Ferris. November 2015. A686COSCD3.18</b:Title>
    <b:RefOrder>156</b:RefOrder>
  </b:Source>
  <b:Source>
    <b:Tag>Los2</b:Tag>
    <b:SourceType>Book</b:SourceType>
    <b:Guid>{1EF3421C-8340-4C12-BE09-D8913CE5B2D3}</b:Guid>
    <b:Title>Loss Prevention Standard 1181 Issue 1 Series of fire growth tests for LPCB approval and listing of construction product systems. Part 1: Requirements and tests for built-up cladding and sandwich panel systems for use as the external envelope of buildings</b:Title>
    <b:RefOrder>157</b:RefOrder>
  </b:Source>
  <b:Source>
    <b:Tag>Bri3</b:Tag>
    <b:SourceType>Book</b:SourceType>
    <b:Guid>{9036B6F2-F164-47D4-A30B-0DECDB07B0D1}</b:Guid>
    <b:Title>British Standards Institute, BS 5839-8, Fire Detection and Fire Alarm Systems for Buildings - Part 8: Code of Practice for the Design, Installation, Commissioning and maintenance of voice alarm systems, 2013</b:Title>
    <b:RefOrder>184</b:RefOrder>
  </b:Source>
  <b:Source>
    <b:Tag>SSI7</b:Tag>
    <b:SourceType>Book</b:SourceType>
    <b:Guid>{6FE204B1-C71A-415B-8B3A-6058A3230B84}</b:Guid>
    <b:Title>SSI 635 Fire alarm &amp; emergency lighting inspection and testing procedure, Rev 3 December 2021, Springfield Fuels Ltd</b:Title>
    <b:RefOrder>185</b:RefOrder>
  </b:Source>
  <b:Source>
    <b:Tag>Los3</b:Tag>
    <b:SourceType>Book</b:SourceType>
    <b:Guid>{9F854936-1FC6-4463-95AE-FACFCBFAB2C0}</b:Guid>
    <b:Title>Loss Prevention Standard 1014: Issue 5.4 Requirements for certificated fire detection and alarm firms</b:Title>
    <b:RefOrder>186</b:RefOrder>
  </b:Source>
  <b:Source>
    <b:Tag>BAF</b:Tag>
    <b:SourceType>Book</b:SourceType>
    <b:Guid>{1DB486E1-A108-4B64-838C-923087FDD3A6}</b:Guid>
    <b:Title>BAFE SP203-1 Design, Installation, Commissioning and Maintenance of Fire Detection and Fire Alarm Systems Scheme</b:Title>
    <b:RefOrder>187</b:RefOrder>
  </b:Source>
  <b:Source>
    <b:Tag>Bri5</b:Tag>
    <b:SourceType>Book</b:SourceType>
    <b:Guid>{EFE109C6-FDB8-4891-9A3D-5C5B9260AA5E}</b:Guid>
    <b:Title>British Standards Institute, BS 9990, Non-automatic fire-fighting systems in buildings - Code of Practice, 2015</b:Title>
    <b:RefOrder>189</b:RefOrder>
  </b:Source>
  <b:Source>
    <b:Tag>Bri4</b:Tag>
    <b:SourceType>Book</b:SourceType>
    <b:Guid>{950DD698-950B-4950-835B-264365C00AA9}</b:Guid>
    <b:Title>British Standards Institute, BS EN 13565-2, Fixed firefighting systems - foam systems - Design, construction and maintenance, 2018</b:Title>
    <b:RefOrder>188</b:RefOrder>
  </b:Source>
  <b:Source>
    <b:Tag>AES</b:Tag>
    <b:SourceType>Book</b:SourceType>
    <b:Guid>{DEF0CC4D-1879-4615-9E32-3825E91534DF}</b:Guid>
    <b:Title>AESS6008 Part 1</b:Title>
    <b:RefOrder>196</b:RefOrder>
  </b:Source>
  <b:Source>
    <b:Tag>AES1</b:Tag>
    <b:SourceType>Book</b:SourceType>
    <b:Guid>{7E3A12C5-7B68-40BC-AB16-61514DE5DAE8}</b:Guid>
    <b:Title>AESS6008 Part 2</b:Title>
    <b:RefOrder>197</b:RefOrder>
  </b:Source>
  <b:Source>
    <b:Tag>Tes</b:Tag>
    <b:SourceType>Book</b:SourceType>
    <b:Guid>{5E7F09BB-A520-46D2-A91A-7CA3E72F3570}</b:Guid>
    <b:Title>Tests undertaken by Senior Hargreaves</b:Title>
    <b:RefOrder>198</b:RefOrder>
  </b:Source>
  <b:Source>
    <b:Tag>NVF</b:Tag>
    <b:SourceType>Book</b:SourceType>
    <b:Guid>{D8FFD84B-764F-43EF-B2FC-199D2539D8EC}</b:Guid>
    <b:Title>NVF /DG001 Code of Practice AECP 1054 An aid to the Design of Ventilation of Radioactive Areas. Issue 1 January 2009.</b:Title>
    <b:RefOrder>199</b:RefOrder>
  </b:Source>
  <b:Source>
    <b:Tag>ES_</b:Tag>
    <b:SourceType>Book</b:SourceType>
    <b:Guid>{04A22ECE-5AE0-4554-8DED-9F71B3E2F105}</b:Guid>
    <b:Title>ES_1738_1 Ventilation Systems for Radiological Facilities - Design Guide. AECP 1054</b:Title>
    <b:RefOrder>200</b:RefOrder>
  </b:Source>
  <b:Source>
    <b:Tag>ISO</b:Tag>
    <b:SourceType>Book</b:SourceType>
    <b:Guid>{07497228-4AE3-44D9-9F02-1B0DC55411BB}</b:Guid>
    <b:Title>ISO 26802: 2010 Nuclear facilities. Criteria for the Design and Operation of Containment and Ventilation Systems for Nuclear Reactors</b:Title>
    <b:RefOrder>202</b:RefOrder>
  </b:Source>
  <b:Source>
    <b:Tag>Dou</b:Tag>
    <b:SourceType>Book</b:SourceType>
    <b:Guid>{50727010-657D-4536-B5B7-ADB3E7F846E4}</b:Guid>
    <b:Title>Dounreay Site Restoration Ltd, Dounreay's submission for the National Assessment Report on Fire Protection, Issue 2, April 2023</b:Title>
    <b:RefOrder>10</b:RefOrder>
  </b:Source>
  <b:Source>
    <b:Tag>ENS1</b:Tag>
    <b:SourceType>Book</b:SourceType>
    <b:Guid>{9B1AEB7B-2614-4BE4-939E-9E7EC9E10BA2}</b:Guid>
    <b:Title>ENSREG, Terms of Reference for the Topical Peer Review Process on Fire Protection, April 2022</b:Title>
    <b:RefOrder>11</b:RefOrder>
  </b:Source>
  <b:Source>
    <b:Tag>HMG2</b:Tag>
    <b:SourceType>Book</b:SourceType>
    <b:Guid>{F8545426-4A7C-4A97-A6C2-5ADC01E4B0EF}</b:Guid>
    <b:Title>HM Govenment, The Dangerous Substances and Explosive Atmospheres Regulations 2002, UK Statutory Instruments 2002 No 2776</b:Title>
    <b:RefOrder>22</b:RefOrder>
  </b:Source>
  <b:Source>
    <b:Tag>HMG4</b:Tag>
    <b:SourceType>Book</b:SourceType>
    <b:Guid>{1D9ED2A6-338E-4D37-9061-FEB74E3796A7}</b:Guid>
    <b:Title>HM Government, The Construction (Design and Management) Regulations 2015, UK Statutory Instruments, 2015 No 51</b:Title>
    <b:RefOrder>24</b:RefOrder>
  </b:Source>
  <b:Source>
    <b:Tag>EDF232</b:Tag>
    <b:SourceType>Book</b:SourceType>
    <b:Guid>{BF0C324E-FF0E-40B1-82BA-FB55CE7F52D4}</b:Guid>
    <b:Author>
      <b:Author>
        <b:Corporate>EDF NGL</b:Corporate>
      </b:Author>
    </b:Author>
    <b:Title>ONR comments and queries on EDF NGL TPR report - EDF responses, CM9 Ref. 2023/45263</b:Title>
    <b:Year>2023</b:Year>
    <b:RefOrder>26</b:RefOrder>
  </b:Source>
  <b:Source>
    <b:Tag>HSE92</b:Tag>
    <b:SourceType>Book</b:SourceType>
    <b:Guid>{7836FB01-CC76-4083-B205-8083AF88CD7C}</b:Guid>
    <b:Author>
      <b:Author>
        <b:Corporate>HSE</b:Corporate>
      </b:Author>
    </b:Author>
    <b:Title>The Tolerability of Risk from Nuclear Power Stations</b:Title>
    <b:Year>1992</b:Year>
    <b:RefOrder>27</b:RefOrder>
  </b:Source>
  <b:Source>
    <b:Tag>WEN</b:Tag>
    <b:SourceType>Book</b:SourceType>
    <b:Guid>{06D7F118-6DC1-4B07-BBD9-9DE6C8F60729}</b:Guid>
    <b:Title>WENRA Safety Reference Levels for Existing Reactors, February 2021</b:Title>
    <b:URL>http://www.wenra.org/</b:URL>
    <b:RefOrder>33</b:RefOrder>
  </b:Source>
  <b:Source>
    <b:Tag>USN05</b:Tag>
    <b:SourceType>Book</b:SourceType>
    <b:Guid>{76916126-B6DC-4534-B4C2-AC07472AFCC6}</b:Guid>
    <b:Author>
      <b:Author>
        <b:Corporate>United States Nuclear Regulatory Commission</b:Corporate>
      </b:Author>
    </b:Author>
    <b:Title>NUREG/CR-6850, Fire PRA Methodology for Nuclear Power Facilities</b:Title>
    <b:Year>2005</b:Year>
    <b:RefOrder>36</b:RefOrder>
  </b:Source>
  <b:Source>
    <b:Tag>IAE13</b:Tag>
    <b:SourceType>Book</b:SourceType>
    <b:Guid>{5CEC34DC-B464-4171-8EB7-4D84A908BA41}</b:Guid>
    <b:Author>
      <b:Author>
        <b:Corporate>IAEA</b:Corporate>
      </b:Author>
    </b:Author>
    <b:Title>Periodic Safety Review for Nuclear Power Plants, Specific Safety Guide, SSG-25</b:Title>
    <b:Year>2013</b:Year>
    <b:RefOrder>32</b:RefOrder>
  </b:Source>
  <b:Source>
    <b:Tag>ONR231</b:Tag>
    <b:SourceType>Book</b:SourceType>
    <b:Guid>{5524D370-00BC-4CBB-81D9-741394F8CE6E}</b:Guid>
    <b:Author>
      <b:Author>
        <b:Corporate>ONR</b:Corporate>
      </b:Author>
    </b:Author>
    <b:Title>SBI-11 Fire Detection, Suppression, barrier doors &amp; dampers, Torness, IIS-52432</b:Title>
    <b:Year>June 2023</b:Year>
    <b:RefOrder>45</b:RefOrder>
  </b:Source>
  <b:Source>
    <b:Tag>NNB237</b:Tag>
    <b:SourceType>Book</b:SourceType>
    <b:Guid>{243A7B08-6C5C-4FA0-9621-7FBCA08B5748}</b:Guid>
    <b:Author>
      <b:Author>
        <b:Corporate>NNB GenCo</b:Corporate>
      </b:Author>
    </b:Author>
    <b:Title>ONR comments and queries on NNB TPR 2 report - NNB GenCo responses 23 July 2023, CM9 Ref 2023/45803</b:Title>
    <b:Year>2023</b:Year>
    <b:RefOrder>67</b:RefOrder>
  </b:Source>
  <b:Source>
    <b:Tag>IAE161</b:Tag>
    <b:SourceType>Book</b:SourceType>
    <b:Guid>{80F18C85-2158-48CA-8231-B4676608B1DB}</b:Guid>
    <b:Author>
      <b:Author>
        <b:Corporate>IAEA</b:Corporate>
      </b:Author>
    </b:Author>
    <b:Title>Specific Safety Requirements - Safety of Nuclear Power Plants: Commissioning and Operation - SSR-2/2 Rev. 1</b:Title>
    <b:Year>2016</b:Year>
    <b:RefOrder>69</b:RefOrder>
  </b:Source>
  <b:Source>
    <b:Tag>Bri12845</b:Tag>
    <b:SourceType>Book</b:SourceType>
    <b:Guid>{3417BDE1-CE94-4546-AE7F-238A5516BE35}</b:Guid>
    <b:Author>
      <b:Author>
        <b:Corporate>British Standards Institute</b:Corporate>
      </b:Author>
    </b:Author>
    <b:Title>BS EN 12845:2015 Fixed firefighting systems - automatic sprinkler systems - design, installation and maintenance (+A1:2019) (Incorporating corrigenda December 2015 and January 2016)</b:Title>
    <b:Year>2015</b:Year>
    <b:RefOrder>161</b:RefOrder>
  </b:Source>
  <b:Source>
    <b:Tag>Off20</b:Tag>
    <b:SourceType>Book</b:SourceType>
    <b:Guid>{4ABBCFD7-BE8E-42A5-869A-DA46CEC73E62}</b:Guid>
    <b:Author>
      <b:Author>
        <b:Corporate>Office for Nuclear Regulation</b:Corporate>
      </b:Author>
    </b:Author>
    <b:Title>Safety Assessment Principles for Nuclear Facilities, 2014 Edition, Revision 1</b:Title>
    <b:Year>January 2020</b:Year>
    <b:RefOrder>15</b:RefOrder>
  </b:Source>
  <b:Source>
    <b:Tag>Int19</b:Tag>
    <b:SourceType>Book</b:SourceType>
    <b:Guid>{EE3C8FDF-5DD8-4BE5-A3E2-DF9BF6DAC954}</b:Guid>
    <b:Author>
      <b:Author>
        <b:Corporate>International Atomic Energy Agency</b:Corporate>
      </b:Author>
    </b:Author>
    <b:Title>Deterministic Safety Analysis for Nuclear Power Plants, IAEA Specific Safety Guide Series No. SSG-2, Rev. 1, IAEA, Vienna</b:Title>
    <b:Year>2019</b:Year>
    <b:RefOrder>34</b:RefOrder>
  </b:Source>
  <b:Source>
    <b:Tag>Sel32</b:Tag>
    <b:SourceType>Report</b:SourceType>
    <b:Guid>{409B4665-1155-4B89-BDB1-788BCEF09D13}</b:Guid>
    <b:Author>
      <b:Author>
        <b:Corporate>Sellafield Ltd.</b:Corporate>
      </b:Author>
    </b:Author>
    <b:Title>Safety Cases Process and Methods Technical Manual, Nuclear Fire Guidance for the Assessment of Electrical Items Supporting Document 2 to F1.10, Issue 1, </b:Title>
    <b:Year>2022</b:Year>
    <b:RefOrder>102</b:RefOrder>
  </b:Source>
  <b:Source>
    <b:Tag>Bri1999</b:Tag>
    <b:SourceType>Book</b:SourceType>
    <b:Guid>{44B72873-7FA2-47DB-B8B4-6FE25A32ED01}</b:Guid>
    <b:Author>
      <b:Author>
        <b:NameList>
          <b:Person>
            <b:Last>Institute</b:Last>
            <b:First>British</b:First>
            <b:Middle>Standards</b:Middle>
          </b:Person>
        </b:NameList>
      </b:Author>
    </b:Author>
    <b:Title>Fire Risk Management Systems- defining requirements with guidance for use</b:Title>
    <b:Year>2019</b:Year>
    <b:RefOrder>72</b:RefOrder>
  </b:Source>
  <b:Source>
    <b:Tag>Bri2010</b:Tag>
    <b:SourceType>Book</b:SourceType>
    <b:Guid>{B04D0947-3F99-437D-A512-FE19A3D9AF35}</b:Guid>
    <b:Author>
      <b:Author>
        <b:NameList>
          <b:Person>
            <b:Last>Institute</b:Last>
            <b:First>British</b:First>
            <b:Middle>Standards</b:Middle>
          </b:Person>
        </b:NameList>
      </b:Author>
    </b:Author>
    <b:Title>BS EN 54-23 Fire alarm systems. Fire alarm devices. Visual alarm devices.</b:Title>
    <b:Year>2010</b:Year>
    <b:RefOrder>181</b:RefOrder>
  </b:Source>
  <b:Source>
    <b:Tag>Glo1</b:Tag>
    <b:SourceType>InternetSite</b:SourceType>
    <b:Guid>{30D0D8BA-10B5-4DE7-9CD3-4D516957C34F}</b:Guid>
    <b:Author>
      <b:Author>
        <b:NameList>
          <b:Person>
            <b:Last>Council</b:Last>
            <b:First>Gloucestershire</b:First>
            <b:Middle>County</b:Middle>
          </b:Person>
        </b:NameList>
      </b:Author>
    </b:Author>
    <b:Title>Radiation Emergency Preparedness &amp; Public Information Regulations 2019</b:Title>
    <b:DayAccessed>08/09/2023</b:DayAccessed>
    <b:URL>https://www.gloucestershire.gov.uk/your-community/emergencies-and-your-safety/berkeley-site/radiation-emergency-preparedness-public-information-regulations-2019/</b:URL>
    <b:RefOrder>2</b:RefOrder>
  </b:Source>
  <b:Source>
    <b:Tag>Wat07</b:Tag>
    <b:SourceType>Book</b:SourceType>
    <b:Guid>{D31088CC-92A8-4F7B-9EA9-C2D7DCCD15D8}</b:Guid>
    <b:Author>
      <b:Author>
        <b:NameList>
          <b:Person>
            <b:Last>Association</b:Last>
            <b:First>Water</b:First>
            <b:Middle>UK/ Local Government</b:Middle>
          </b:Person>
        </b:NameList>
      </b:Author>
    </b:Author>
    <b:Title>National guidance for the provision of firefighting water supplies</b:Title>
    <b:Year>2007</b:Year>
    <b:RefOrder>183</b:RefOrder>
  </b:Source>
  <b:Source>
    <b:Tag>Bri15650</b:Tag>
    <b:SourceType>Book</b:SourceType>
    <b:Guid>{F6A5F089-0379-4797-9F67-2829E141C965}</b:Guid>
    <b:Author>
      <b:Author>
        <b:NameList>
          <b:Person>
            <b:Last>Institute</b:Last>
            <b:First>British</b:First>
            <b:Middle>Standards</b:Middle>
          </b:Person>
        </b:NameList>
      </b:Author>
    </b:Author>
    <b:Title>BS EN 15650 Ventilation for buildings- fire dampers</b:Title>
    <b:Year>2010</b:Year>
    <b:RefOrder>193</b:RefOrder>
  </b:Source>
  <b:Source>
    <b:Tag>Bri05</b:Tag>
    <b:SourceType>Book</b:SourceType>
    <b:Guid>{3B1B136B-A3FA-4AE1-AEAB-468F5BCDDA32}</b:Guid>
    <b:Author>
      <b:Author>
        <b:NameList>
          <b:Person>
            <b:Last>Institute</b:Last>
            <b:First>British</b:First>
            <b:Middle>Standards</b:Middle>
          </b:Person>
        </b:NameList>
      </b:Author>
    </b:Author>
    <b:Title>Fire classification of construction products and building- elements</b:Title>
    <b:Year>2005</b:Year>
    <b:RefOrder>195</b:RefOrder>
  </b:Source>
  <b:Source>
    <b:Tag>Nat79</b:Tag>
    <b:SourceType>Report</b:SourceType>
    <b:Guid>{6394EC00-DDE7-4FE9-9F46-F14FFF4E597F}</b:Guid>
    <b:Author>
      <b:Author>
        <b:Corporate>National Radiological Protection Board</b:Corporate>
      </b:Author>
    </b:Author>
    <b:Title>NRPB-R91 A Model for Short and Medium Range Dispersion of Radionuclides Released to the Atmosphere</b:Title>
    <b:Year>1979</b:Year>
    <b:RefOrder>114</b:RefOrder>
  </b:Source>
  <b:Source>
    <b:Tag>ICR94</b:Tag>
    <b:SourceType>Report</b:SourceType>
    <b:Guid>{E12B11AC-65DD-4CCF-8E55-7A74948F3F80}</b:Guid>
    <b:Author>
      <b:Author>
        <b:Corporate>ICRP</b:Corporate>
      </b:Author>
    </b:Author>
    <b:Title>Dose Coefficients for Intakes of Radionuclides by Workers. ICRP Publication 68. Ann. ICRP 24 (4).</b:Title>
    <b:Year>1994</b:Year>
    <b:RefOrder>115</b:RefOrder>
  </b:Source>
  <b:Source>
    <b:Tag>Off6</b:Tag>
    <b:SourceType>Book</b:SourceType>
    <b:Guid>{630F57FA-B659-4B54-9B31-1742045D2C64}</b:Guid>
    <b:Title>Office for Nuclear Regulation, Springfields Site Inspection IR 21-037, https://www.onr.org.uk/inspection-records/2122/springfields-21-037.htm</b:Title>
    <b:RefOrder>158</b:RefOrder>
  </b:Source>
  <b:Source>
    <b:Tag>Off7</b:Tag>
    <b:SourceType>Book</b:SourceType>
    <b:Guid>{1481F10D-A589-4A81-A214-11F8EEDB3AF2}</b:Guid>
    <b:Title>Office for Nuclear Regulation, Dounreay Site Inspection ID: 52089, https://news.onr.org.uk/2023/04/dounreay-inspection-id-ir-52089/</b:Title>
    <b:RefOrder>128</b:RefOrder>
  </b:Source>
  <b:Source>
    <b:Tag>Off8</b:Tag>
    <b:SourceType>Book</b:SourceType>
    <b:Guid>{1E1529DA-21A6-42E5-8183-DBAB3633D256}</b:Guid>
    <b:Title>Office for Nuclear Regulation, Dounreay Site Inspection IR 22-049, https://news.onr.org.uk/2022/09/dounreay-22-049/</b:Title>
    <b:RefOrder>160</b:RefOrder>
  </b:Source>
  <b:Source>
    <b:Tag>Off9</b:Tag>
    <b:SourceType>Book</b:SourceType>
    <b:Guid>{2C2D1B10-5C58-41F5-81D1-0AF0C95030FF}</b:Guid>
    <b:Title>Office for Nuclear Regulation, Dounreay Site Inspection ID: 50066, https://news.onr.org.uk/2023/03/dounreay-inspection-id-50066/</b:Title>
    <b:RefOrder>127</b:RefOrder>
  </b:Source>
  <b:Source>
    <b:Tag>ONR211</b:Tag>
    <b:SourceType>InternetSite</b:SourceType>
    <b:Guid>{72D841DA-1A82-4D81-A806-A38670D86782}</b:Guid>
    <b:Author>
      <b:Author>
        <b:Corporate>ONR</b:Corporate>
      </b:Author>
    </b:Author>
    <b:Title>Site inspection to ensure compliance with the Regulatory Reform (Fire Safety) Order 2005, IR 21-035</b:Title>
    <b:Year>2021</b:Year>
    <b:Month>June</b:Month>
    <b:DayAccessed>28/09/2023</b:DayAccessed>
    <b:URL>https://www.onr.org.uk/inspection-records/2122/hinkley-point-b-21-035.htm</b:URL>
    <b:RefOrder>163</b:RefOrder>
  </b:Source>
  <b:Source>
    <b:Tag>Sel221</b:Tag>
    <b:SourceType>Book</b:SourceType>
    <b:Guid>{4197D82E-6C50-4D8A-9834-CC829727DA88}</b:Guid>
    <b:Author>
      <b:Author>
        <b:Corporate>Sellafield Ltd.</b:Corporate>
      </b:Author>
    </b:Author>
    <b:Title>Safety Case and Process Methods Technical Guidance F1.10 - Supporting Document 1 - Transporters Fire Generic Risk Profile</b:Title>
    <b:Year>2022</b:Year>
    <b:RefOrder>101</b:RefOrder>
  </b:Source>
  <b:Source>
    <b:Tag>Sel30</b:Tag>
    <b:SourceType>Book</b:SourceType>
    <b:Guid>{AB993A1A-B2CC-48DA-8EA0-D0F9C8F83EC6}</b:Guid>
    <b:Author>
      <b:Author>
        <b:Corporate>Sellafield Ltd.</b:Corporate>
      </b:Author>
    </b:Author>
    <b:Title>Safety Case Process and Methods Technical Guidance TG D8.10</b:Title>
    <b:RefOrder>100</b:RefOrder>
  </b:Source>
  <b:Source>
    <b:Tag>Sel31</b:Tag>
    <b:SourceType>Book</b:SourceType>
    <b:Guid>{28492A02-F8A3-4116-B313-F72B8C52D759}</b:Guid>
    <b:Author>
      <b:Author>
        <b:Corporate>Sellafield Ltd.</b:Corporate>
      </b:Author>
    </b:Author>
    <b:Title>Sellafield Contractor Standard 029 – Fire Safety</b:Title>
    <b:RefOrder>159</b:RefOrder>
  </b:Source>
  <b:Source>
    <b:Tag>Placeholder1</b:Tag>
    <b:SourceType>Report</b:SourceType>
    <b:Guid>{EE00480B-566C-4D02-9C38-29535CEA1058}</b:Guid>
    <b:Author>
      <b:Author>
        <b:Corporate>Sellafield Ltd.</b:Corporate>
      </b:Author>
    </b:Author>
    <b:Title>SLSP 2.16.02 Fire Safety Combustible Management Principles and Guidance</b:Title>
    <b:Year>2018</b:Year>
    <b:RefOrder>110</b:RefOrder>
  </b:Source>
  <b:Source>
    <b:Tag>Sel161</b:Tag>
    <b:SourceType>Book</b:SourceType>
    <b:Guid>{1C10254F-D41C-4730-83F7-D0BFBFEC934E}</b:Guid>
    <b:Author>
      <b:Author>
        <b:Corporate>Sellafield Ltd.</b:Corporate>
      </b:Author>
    </b:Author>
    <b:Title>Technical Guidance - Safety Cases Process and Methods Technical Manual - F1.10 Nuclear Fire Safety Assessment</b:Title>
    <b:Year>2016</b:Year>
    <b:RefOrder>99</b:RefOrder>
  </b:Source>
  <b:Source>
    <b:Tag>ONR222</b:Tag>
    <b:SourceType>InternetSite</b:SourceType>
    <b:Guid>{343FE08F-C9F7-4D86-B28B-C112EB2E9039}</b:Guid>
    <b:Author>
      <b:Author>
        <b:Corporate>ONR</b:Corporate>
      </b:Author>
    </b:Author>
    <b:Title>Agreements to HPB and HNB, NP/SC 7781 - Defuelling Essential Shutdown Reactor Safety Case and to NP/SC 7786 - Defuelling Fuel Handling Essential Safety Case -  Project Assessment Report ONR-OFD-PAR-21-009 - Rev 0</b:Title>
    <b:Year>2022</b:Year>
    <b:DayAccessed>1/10/23</b:DayAccessed>
    <b:URL>https://www.onr.org.uk/pars/2022/hinkley-hunterston-21-009.pdf</b:URL>
    <b:RefOrder>39</b:RefOrder>
  </b:Source>
  <b:Source>
    <b:Tag>ONR221</b:Tag>
    <b:SourceType>InternetSite</b:SourceType>
    <b:Guid>{53383209-E1BE-4801-9849-1C007273F81D}</b:Guid>
    <b:Author>
      <b:Author>
        <b:Corporate>ONR</b:Corporate>
      </b:Author>
    </b:Author>
    <b:Title>Assessment of NP/SC 7813 Dungeness B Power Station - Initial Defuelling Safety Case, EC No: 369274 Revision 000 - Project Assessment Report ONR-OFD-PAR-22-00, Rev0</b:Title>
    <b:Year>2022</b:Year>
    <b:DayAccessed>1/10/23</b:DayAccessed>
    <b:URL>https://view.officeapps.live.com/op/view.aspx?src=https%3A%2F%2Fwww.onr.org.uk%2Fpars%2F2022%2Fdungeness-b-22-007.odt&amp;wdOrigin=BROWSELINK</b:URL>
    <b:RefOrder>40</b:RefOrder>
  </b:Source>
  <b:Source>
    <b:Tag>ONR19</b:Tag>
    <b:SourceType>InternetSite</b:SourceType>
    <b:Guid>{6B9F0C00-CCF0-4738-955E-D086FD1730BF}</b:Guid>
    <b:Author>
      <b:Author>
        <b:Corporate>ONR</b:Corporate>
      </b:Author>
    </b:Author>
    <b:Title>Assessment of the Heysham 1 &amp; Hartlepool third periodic safety review (PSR3), Project Assessment Report ONR-OFD-PAR-18-027, Rev. 3</b:Title>
    <b:Year>2019</b:Year>
    <b:DayAccessed>1/10/23</b:DayAccessed>
    <b:URL>https://www.onr.org.uk/pars/2019/hartlepool-heysham-18-027.pdf</b:URL>
    <b:RefOrder>38</b:RefOrder>
  </b:Source>
  <b:Source>
    <b:Tag>ONR20</b:Tag>
    <b:SourceType>InternetSite</b:SourceType>
    <b:Guid>{E91A12B1-AD83-455D-A64E-B76648C619E4}</b:Guid>
    <b:Author>
      <b:Author>
        <b:Corporate>ONR</b:Corporate>
      </b:Author>
    </b:Author>
    <b:Title>Assessment of the Heysham 2 and Torness third periodic safety review (PSR3), Project Assessment Report ONR-OFD-PAR-19-012, Rev 0</b:Title>
    <b:Year>January 2020</b:Year>
    <b:DayAccessed>1/10/23</b:DayAccessed>
    <b:URL>https://www.onr.org.uk/pars/2020/heysham-2-torness-19-012.pdf</b:URL>
    <b:RefOrder>37</b:RefOrder>
  </b:Source>
  <b:Source>
    <b:Tag>ONR225</b:Tag>
    <b:SourceType>InternetSite</b:SourceType>
    <b:Guid>{F92850CE-56A5-4236-A8FC-F40A04A7ED13}</b:Guid>
    <b:Author>
      <b:Author>
        <b:Corporate>ONR</b:Corporate>
      </b:Author>
    </b:Author>
    <b:Title>Heysham 2 – Inspection IR 22-014</b:Title>
    <b:Year>2022</b:Year>
    <b:DayAccessed>1/10/23</b:DayAccessed>
    <b:URL>https://news.onr.org.uk/2022/06/heysham-2-22-014/</b:URL>
    <b:RefOrder>165</b:RefOrder>
  </b:Source>
  <b:Source>
    <b:Tag>ONR193</b:Tag>
    <b:SourceType>InternetSite</b:SourceType>
    <b:Guid>{4665E7A5-E91C-4405-A9BF-179259366365}</b:Guid>
    <b:Author>
      <b:Author>
        <b:Corporate>ONR</b:Corporate>
      </b:Author>
    </b:Author>
    <b:Title>Hinkley Point B – SBI 11 Fire Protection, IR 19-028</b:Title>
    <b:Year>June 2019</b:Year>
    <b:DayAccessed>1/10/23</b:DayAccessed>
    <b:URL>https://www.onr.org.uk/inspection-records/1920/hinkley-point-b-19-028.htm</b:URL>
    <b:RefOrder>44</b:RefOrder>
  </b:Source>
  <b:Source>
    <b:Tag>ONR224</b:Tag>
    <b:SourceType>InternetSite</b:SourceType>
    <b:Guid>{29EB714D-0EF6-4C1F-AB23-9A6D9C195F6B}</b:Guid>
    <b:Author>
      <b:Author>
        <b:Corporate>ONR</b:Corporate>
      </b:Author>
    </b:Author>
    <b:Title>Hinkley Point C – Inspection ID: 22-007</b:Title>
    <b:Year>2022</b:Year>
    <b:DayAccessed>1/10/23</b:DayAccessed>
    <b:URL>https://news.onr.org.uk/2022/08/hinkley-point-c-22-007/</b:URL>
    <b:RefOrder>134</b:RefOrder>
  </b:Source>
  <b:Source>
    <b:Tag>ONR232</b:Tag>
    <b:SourceType>InternetSite</b:SourceType>
    <b:Guid>{A98C7683-0D34-4100-9FBF-5DA7A588ED4D}</b:Guid>
    <b:Author>
      <b:Author>
        <b:Corporate>ONR</b:Corporate>
      </b:Author>
    </b:Author>
    <b:Title>Hinkley Point C – Inspection ID: 52006</b:Title>
    <b:Year>January 2023</b:Year>
    <b:DayAccessed>1/10/23</b:DayAccessed>
    <b:URL>https://news.onr.org.uk/2023/03/hinkley-point-c-inspection-id-52006/</b:URL>
    <b:RefOrder>133</b:RefOrder>
  </b:Source>
  <b:Source>
    <b:Tag>ONR191</b:Tag>
    <b:SourceType>InternetSite</b:SourceType>
    <b:Guid>{E213EB06-072A-4471-89DA-3614A18D5BF2}</b:Guid>
    <b:Author>
      <b:Author>
        <b:Corporate>ONR</b:Corporate>
      </b:Author>
    </b:Author>
    <b:Title>Hunterson B - Planned intervention, System Based Inspection SBI-11, Fire Protection Systems, IR 19-080</b:Title>
    <b:Year>2019</b:Year>
    <b:DayAccessed>1/10/23</b:DayAccessed>
    <b:URL>https://www.onr.org.uk/inspection-records/1920/hunterston-b-19-080.htm</b:URL>
    <b:RefOrder>41</b:RefOrder>
  </b:Source>
  <b:Source>
    <b:Tag>ONR202</b:Tag>
    <b:SourceType>InternetSite</b:SourceType>
    <b:Guid>{57A4C6C4-AC29-4A8E-8346-F539782A4ADF}</b:Guid>
    <b:Author>
      <b:Author>
        <b:Corporate>ONR</b:Corporate>
      </b:Author>
    </b:Author>
    <b:Title>Inspection to ensure compliance with the Fire (Scotland) Act 2005, IR 20-042</b:Title>
    <b:Year>September 2020</b:Year>
    <b:DayAccessed>1/10/23</b:DayAccessed>
    <b:URL>https://www.onr.org.uk/inspection-records/2021/hunterston-b-20-042.htm</b:URL>
    <b:RefOrder>162</b:RefOrder>
  </b:Source>
  <b:Source>
    <b:Tag>ONR223</b:Tag>
    <b:SourceType>InternetSite</b:SourceType>
    <b:Guid>{11C03D3D-9AC4-4B39-BFFF-F5F12984F38F}</b:Guid>
    <b:Author>
      <b:Author>
        <b:Corporate>ONR</b:Corporate>
      </b:Author>
    </b:Author>
    <b:Title>Site arrangements for the safe removal of COMAH inventory, IIS-51007</b:Title>
    <b:Year>2022</b:Year>
    <b:DayAccessed>1/10/23</b:DayAccessed>
    <b:URL>https://news.onr.org.uk/2023/05/hunterston-b-inspection-id-51007/</b:URL>
    <b:RefOrder>46</b:RefOrder>
  </b:Source>
  <b:Source>
    <b:Tag>ONR213</b:Tag>
    <b:SourceType>InternetSite</b:SourceType>
    <b:Guid>{65EEA671-08BA-49B3-AC6A-19BC8EE84BAD}</b:Guid>
    <b:Author>
      <b:Author>
        <b:Corporate>ONR</b:Corporate>
      </b:Author>
    </b:Author>
    <b:Title>Site inspection to ensure compliance with Regulatory Reform Fire Safety Order 2005, IR 21-031</b:Title>
    <b:Year>2021</b:Year>
    <b:DayAccessed>1/10/23</b:DayAccessed>
    <b:URL>https://www.onr.org.uk/inspection-records/2122/hinkley-point-c-21-031.htm</b:URL>
    <b:RefOrder>180</b:RefOrder>
  </b:Source>
  <b:Source>
    <b:Tag>ONR192</b:Tag>
    <b:SourceType>InternetSite</b:SourceType>
    <b:Guid>{2FAF5BA2-115E-4216-AB66-5C242B1BD5E4}</b:Guid>
    <b:Author>
      <b:Author>
        <b:Corporate>ONR</b:Corporate>
      </b:Author>
    </b:Author>
    <b:Title>Sizewell B - Dry Fuel Store Readiness inspection and System Based Inspection, IR 18-226</b:Title>
    <b:Year>2019</b:Year>
    <b:DayAccessed>1/10/23</b:DayAccessed>
    <b:URL>https://www.onr.org.uk/inspection-records/1819/sizewell-b-18-226.htm</b:URL>
    <b:RefOrder>43</b:RefOrder>
  </b:Source>
  <b:Source>
    <b:Tag>ONR11</b:Tag>
    <b:SourceType>InternetSite</b:SourceType>
    <b:Guid>{5FB4F3B2-CC68-4672-B93A-DA849A08874F}</b:Guid>
    <b:Author>
      <b:Author>
        <b:Corporate>ONR</b:Corporate>
      </b:Author>
    </b:Author>
    <b:Title>Step 4 Internal Hazards Assessment of the EDF and AREVA UK EPR Reactor, ONR-GDA-AR-11-017, Rev. 0</b:Title>
    <b:Year>2011</b:Year>
    <b:DayAccessed>1/10/23</b:DayAccessed>
    <b:URL>https://www.onr.org.uk/new-reactors/reports/step-four/technical-assessment/ukepr-ih-onr-gda-ar-11-017-r-rev-0.pdf</b:URL>
    <b:RefOrder>70</b:RefOrder>
  </b:Source>
  <b:Source>
    <b:Tag>ONR201</b:Tag>
    <b:SourceType>InternetSite</b:SourceType>
    <b:Guid>{BE260C2E-FE2B-4B6D-919E-5CABB6E0C944}</b:Guid>
    <b:Author>
      <b:Author>
        <b:Corporate>ONR</b:Corporate>
      </b:Author>
    </b:Author>
    <b:Title>System Based Inspection-Fire Detection Suppression Barriers Doors and Dampers, IR 20-096</b:Title>
    <b:Year>December 2020</b:Year>
    <b:DayAccessed>1/10/23</b:DayAccessed>
    <b:URL>https://www.onr.org.uk/inspection-records/2021/hartlepool-20-096.htm</b:URL>
    <b:RefOrder>42</b:RefOrder>
  </b:Source>
  <b:Source>
    <b:Tag>HMG1</b:Tag>
    <b:SourceType>InternetSite</b:SourceType>
    <b:Guid>{ADE0B48B-899A-4896-B26D-39D6A87D0EDD}</b:Guid>
    <b:Title>Nuclear Installations Act 1965</b:Title>
    <b:DayAccessed>01/10/2023</b:DayAccessed>
    <b:URL>https://www.legislation.gov.uk/ukpga/1965/57/contents</b:URL>
    <b:Author>
      <b:Author>
        <b:Corporate>UK Parliament</b:Corporate>
      </b:Author>
    </b:Author>
    <b:RefOrder>14</b:RefOrder>
  </b:Source>
  <b:Source>
    <b:Tag>The</b:Tag>
    <b:SourceType>InternetSite</b:SourceType>
    <b:Guid>{F62B38CA-8B47-4718-B675-8219BC41B340}</b:Guid>
    <b:Title>The Dangerous Substances and Explosive Atmospheres Regulations</b:Title>
    <b:Year>2002</b:Year>
    <b:DayAccessed>01/10/2023</b:DayAccessed>
    <b:URL>https://www.legislation.gov.uk/uksi/2002/2776/contents</b:URL>
    <b:RefOrder>122</b:RefOrder>
  </b:Source>
  <b:Source>
    <b:Tag>The13</b:Tag>
    <b:SourceType>InternetSite</b:SourceType>
    <b:Guid>{AAE29558-C20D-48FB-A899-C9B27D964AA1}</b:Guid>
    <b:Title>The Energy Act</b:Title>
    <b:Year>2013</b:Year>
    <b:Author>
      <b:Author>
        <b:Corporate>UK Parliament</b:Corporate>
      </b:Author>
    </b:Author>
    <b:DayAccessed>01/10/2023</b:DayAccessed>
    <b:URL>https://www.legislation.gov.uk/ukpga/2013/32/contents</b:URL>
    <b:RefOrder>12</b:RefOrder>
  </b:Source>
  <b:Source>
    <b:Tag>The05</b:Tag>
    <b:SourceType>InternetSite</b:SourceType>
    <b:Guid>{98B90BB4-85C6-4DF6-B473-F9A0996DC797}</b:Guid>
    <b:Title>The Regulatory Reform (Fire Safety) Order 2005 No. 1541. Statutory Instruments.</b:Title>
    <b:Year>2005</b:Year>
    <b:DayAccessed>01/10/2023</b:DayAccessed>
    <b:URL>https://www.legislation.gov.uk/uksi/2005/1541/contents</b:URL>
    <b:RefOrder>20</b:RefOrder>
  </b:Source>
  <b:Source>
    <b:Tag>ONR212</b:Tag>
    <b:SourceType>InternetSite</b:SourceType>
    <b:Guid>{DE515BF0-7C9A-4CD9-9AA8-54A06369CFB3}</b:Guid>
    <b:Author>
      <b:Author>
        <b:Corporate>ONR</b:Corporate>
      </b:Author>
    </b:Author>
    <b:Title>Fire Safety Order 2005 inspection, IR 21-061</b:Title>
    <b:Year>2021</b:Year>
    <b:DayAccessed>1/10/23</b:DayAccessed>
    <b:URL>https://www.onr.org.uk/inspection-records/2122/hartlepool-21-061.htm</b:URL>
    <b:RefOrder>164</b:RefOrder>
  </b:Source>
  <b:Source>
    <b:Tag>Off</b:Tag>
    <b:SourceType>Book</b:SourceType>
    <b:Guid>{57691459-882A-4DCF-A2D9-37A81AB8E711}</b:Guid>
    <b:Author>
      <b:Author>
        <b:Corporate>Office for Nuclear Regulation</b:Corporate>
      </b:Author>
    </b:Author>
    <b:Title>Notifying and Reporting Incidents and Events to the ONR, ONR-OPEX-GD-001, Revision 7, January 2021</b:Title>
    <b:RefOrder>96</b:RefOrder>
  </b:Source>
  <b:Source>
    <b:Tag>HMG12</b:Tag>
    <b:SourceType>Report</b:SourceType>
    <b:Guid>{45AA40E8-AD12-45B2-B893-92CF810E36F5}</b:Guid>
    <b:Author>
      <b:Author>
        <b:Corporate>HM Government</b:Corporate>
      </b:Author>
    </b:Author>
    <b:Title>The Restriction of the Use of Certain Hazardous Substances in Electrical and Electronic Equipment Regulations</b:Title>
    <b:Year>2012</b:Year>
    <b:RefOrder>116</b:RefOrder>
  </b:Source>
  <b:Source>
    <b:Tag>HMG22</b:Tag>
    <b:SourceType>InternetSite</b:SourceType>
    <b:Guid>{9AA2E831-7219-4D06-918A-CF340B997946}</b:Guid>
    <b:Author>
      <b:Author>
        <b:Corporate>HM Government</b:Corporate>
      </b:Author>
    </b:Author>
    <b:Title>The Building Regulations 2010, Approved Document B (fire safety) volume 2: Buildings other than dwellings, 2019 edition incorporating 2020 and 2022 amendments</b:Title>
    <b:Year>2022</b:Year>
    <b:DayAccessed>01/10/2023</b:DayAccessed>
    <b:URL>https://assets.publishing.service.gov.uk/government/uploads/system/uploads/attachment_data/file/1124736/Approved_Document_B__fire_safety__volume_2_-_Buildings_other_than_dwellings__2019_edition_incorporating_2020_and_2022_amendments.pdf</b:URL>
    <b:RefOrder>84</b:RefOrder>
  </b:Source>
  <b:Source>
    <b:Tag>HMG</b:Tag>
    <b:SourceType>InternetSite</b:SourceType>
    <b:Guid>{E0F9FAD7-9029-4E50-8652-DA721C8424B9}</b:Guid>
    <b:Title>Radiation Emergency Preparedness &amp; Public Information Regulations 2019</b:Title>
    <b:DayAccessed>01/10/2023</b:DayAccessed>
    <b:URL>https://www.legislation.gov.uk/uksi/2019/703/contents</b:URL>
    <b:RefOrder>190</b:RefOrder>
  </b:Source>
  <b:Source>
    <b:Tag>Hea74</b:Tag>
    <b:SourceType>InternetSite</b:SourceType>
    <b:Guid>{B27E2501-6469-445D-BEE5-7F54CE82BF6B}</b:Guid>
    <b:Title>Health and Safety at Work etc. Act</b:Title>
    <b:Year>1974</b:Year>
    <b:Author>
      <b:Author>
        <b:Corporate>UK Parliament</b:Corporate>
      </b:Author>
    </b:Author>
    <b:DayAccessed>01/10/2023</b:DayAccessed>
    <b:URL>https://www.legislation.gov.uk/ukpga/1974/37/contents</b:URL>
    <b:RefOrder>13</b:RefOrder>
  </b:Source>
  <b:Source>
    <b:Tag>COMAH</b:Tag>
    <b:SourceType>InternetSite</b:SourceType>
    <b:Guid>{107278E2-5AA1-4FEB-B641-86B4EE95835B}</b:Guid>
    <b:Title>Control of Major Accident Hazards Regulations 2015. No. 483. Statutory Instruments.</b:Title>
    <b:Year>2015</b:Year>
    <b:Author>
      <b:Author>
        <b:Corporate>HM Government</b:Corporate>
      </b:Author>
    </b:Author>
    <b:DayAccessed>01/10/2023</b:DayAccessed>
    <b:URL>https://www.legislation.gov.uk/uksi/2015/483/contents</b:URL>
    <b:RefOrder>23</b:RefOrder>
  </b:Source>
  <b:Source>
    <b:Tag>CDM</b:Tag>
    <b:SourceType>InternetSite</b:SourceType>
    <b:Guid>{6461E4D5-FB09-4D2D-9CC1-ACE75EB21379}</b:Guid>
    <b:Title>Construction Design and Management Regulations</b:Title>
    <b:Year>2015</b:Year>
    <b:DayAccessed>01/10/2023</b:DayAccessed>
    <b:URL>https://www.legislation.gov.uk/uksi/2015/51/contents</b:URL>
    <b:Author>
      <b:Author>
        <b:Corporate>HM Government</b:Corporate>
      </b:Author>
    </b:Author>
    <b:RefOrder>120</b:RefOrder>
  </b:Source>
  <b:Source>
    <b:Tag>UKG4</b:Tag>
    <b:SourceType>InternetSite</b:SourceType>
    <b:Guid>{0E9F0764-A469-40F0-A3E3-147CF033468B}</b:Guid>
    <b:Author>
      <b:Author>
        <b:Corporate>HM Government</b:Corporate>
      </b:Author>
    </b:Author>
    <b:Title>Electricity at Work Regulations </b:Title>
    <b:Year>1989</b:Year>
    <b:DayAccessed>01/10/2023</b:DayAccessed>
    <b:URL>https://www.legislation.gov.uk/uksi/1989/635/contents</b:URL>
    <b:RefOrder>30</b:RefOrder>
  </b:Source>
  <b:Source>
    <b:Tag>Fir05</b:Tag>
    <b:SourceType>InternetSite</b:SourceType>
    <b:Guid>{5EE8F125-82C8-4137-A18A-26E46636C0FD}</b:Guid>
    <b:Title>Fire Scotland Act</b:Title>
    <b:Year>2005</b:Year>
    <b:URL>https://www.legislation.gov.uk/asp/2005/5/contents</b:URL>
    <b:RefOrder>21</b:RefOrder>
  </b:Source>
  <b:Source>
    <b:Tag>Fir06</b:Tag>
    <b:SourceType>InternetSite</b:SourceType>
    <b:Guid>{F2368434-FA4C-4E3F-8548-D8BA8E4D6510}</b:Guid>
    <b:Title>Fire Safety (Scotland) Regulations</b:Title>
    <b:Year>2006</b:Year>
    <b:URL>https://www.legislation.gov.uk/ssi/2006/456/contents/made</b:URL>
    <b:RefOrder>121</b:RefOrder>
  </b:Source>
  <b:Source>
    <b:Tag>HSG</b:Tag>
    <b:SourceType>InternetSite</b:SourceType>
    <b:Guid>{3E2B2782-E2CE-49E5-9A23-96E3F1D88DEE}</b:Guid>
    <b:Title>HSG 140 Safe Use and Handling of Flammable Liquids</b:Title>
    <b:Author>
      <b:Author>
        <b:Corporate>Health and Safety Executive</b:Corporate>
      </b:Author>
    </b:Author>
    <b:Year>2015</b:Year>
    <b:URL>https://www.hse.gov.uk/pubns/books/hsg140.htm</b:URL>
    <b:RefOrder>140</b:RefOrder>
  </b:Source>
  <b:Source>
    <b:Tag>HSG1</b:Tag>
    <b:SourceType>InternetSite</b:SourceType>
    <b:Guid>{011C0619-542E-4AAB-9E79-D9C21C6DC071}</b:Guid>
    <b:Title>HSG 51 (third edition) The storage and used of flammable liquids in containers</b:Title>
    <b:Year>2015</b:Year>
    <b:URL>https://www.hse.gov.uk/pubns/books/hsg51.htm</b:URL>
    <b:RefOrder>141</b:RefOrder>
  </b:Source>
  <b:Source>
    <b:Tag>WEN2</b:Tag>
    <b:SourceType>InternetSite</b:SourceType>
    <b:Guid>{96CB36B0-4EDE-40B8-AB1D-D336AC5D3933}</b:Guid>
    <b:Title>Topical Peer Review 2023 Fire Protection Technical Specification for the National Assessment Reports</b:Title>
    <b:Author>
      <b:Author>
        <b:Corporate>Western European Nuclear Regulators Association (WENRA)</b:Corporate>
      </b:Author>
    </b:Author>
    <b:Year>2022</b:Year>
    <b:ProductionCompany>Ad-hoc TPR II WG</b:ProductionCompany>
    <b:Month>June</b:Month>
    <b:Day>21</b:Day>
    <b:DayAccessed>01/10/2023</b:DayAccessed>
    <b:URL>https://www.ensreg.eu/sites/default/files/attachments/technical_specification.pdf</b:URL>
    <b:RefOrder>1</b:RefOrder>
  </b:Source>
  <b:Source>
    <b:Tag>ONR6</b:Tag>
    <b:SourceType>InternetSite</b:SourceType>
    <b:Guid>{23AC2926-9B2D-4BC1-A6CA-7BBEEDFCFB36}</b:Guid>
    <b:Title>Technical Assessment Guides</b:Title>
    <b:Year>2023</b:Year>
    <b:Author>
      <b:Author>
        <b:Corporate>Office for Nuclear Regulation (ONR)</b:Corporate>
      </b:Author>
    </b:Author>
    <b:URL>https://www.onr.org.uk/operational/tech_asst_guides/index.htm</b:URL>
    <b:RefOrder>35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BA24C2-155C-47E2-A33F-9D2E57CE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138845</Words>
  <Characters>791419</Characters>
  <Application>Microsoft Office Word</Application>
  <DocSecurity>0</DocSecurity>
  <Lines>6595</Lines>
  <Paragraphs>1856</Paragraphs>
  <ScaleCrop>false</ScaleCrop>
  <HeadingPairs>
    <vt:vector size="2" baseType="variant">
      <vt:variant>
        <vt:lpstr>Title</vt:lpstr>
      </vt:variant>
      <vt:variant>
        <vt:i4>1</vt:i4>
      </vt:variant>
    </vt:vector>
  </HeadingPairs>
  <TitlesOfParts>
    <vt:vector size="1" baseType="lpstr">
      <vt:lpstr>United Kingdom National Assessment Report</vt:lpstr>
    </vt:vector>
  </TitlesOfParts>
  <Manager>Office for Nuclear Regulation</Manager>
  <Company>Office for Nuclear Regulation</Company>
  <LinksUpToDate>false</LinksUpToDate>
  <CharactersWithSpaces>928408</CharactersWithSpaces>
  <SharedDoc>false</SharedDoc>
  <HLinks>
    <vt:vector size="330" baseType="variant">
      <vt:variant>
        <vt:i4>6160439</vt:i4>
      </vt:variant>
      <vt:variant>
        <vt:i4>2253</vt:i4>
      </vt:variant>
      <vt:variant>
        <vt:i4>0</vt:i4>
      </vt:variant>
      <vt:variant>
        <vt:i4>5</vt:i4>
      </vt:variant>
      <vt:variant>
        <vt:lpwstr>https://assets.publishing.service.gov.uk/government/uploads/system/uploads/attachment_data/file/970315/2021_-_IIA_Volume_3_-_post_consultation_Final_for_client.pdf</vt:lpwstr>
      </vt:variant>
      <vt:variant>
        <vt:lpwstr/>
      </vt:variant>
      <vt:variant>
        <vt:i4>1048679</vt:i4>
      </vt:variant>
      <vt:variant>
        <vt:i4>2250</vt:i4>
      </vt:variant>
      <vt:variant>
        <vt:i4>0</vt:i4>
      </vt:variant>
      <vt:variant>
        <vt:i4>5</vt:i4>
      </vt:variant>
      <vt:variant>
        <vt:lpwstr>https://assets.publishing.service.gov.uk/government/uploads/system/uploads/attachment_data/file/971510/NDA_Business_Plan_2021-2024_170321.pdf</vt:lpwstr>
      </vt:variant>
      <vt:variant>
        <vt:lpwstr/>
      </vt:variant>
      <vt:variant>
        <vt:i4>1376313</vt:i4>
      </vt:variant>
      <vt:variant>
        <vt:i4>311</vt:i4>
      </vt:variant>
      <vt:variant>
        <vt:i4>0</vt:i4>
      </vt:variant>
      <vt:variant>
        <vt:i4>5</vt:i4>
      </vt:variant>
      <vt:variant>
        <vt:lpwstr/>
      </vt:variant>
      <vt:variant>
        <vt:lpwstr>_Toc147090669</vt:lpwstr>
      </vt:variant>
      <vt:variant>
        <vt:i4>1376313</vt:i4>
      </vt:variant>
      <vt:variant>
        <vt:i4>305</vt:i4>
      </vt:variant>
      <vt:variant>
        <vt:i4>0</vt:i4>
      </vt:variant>
      <vt:variant>
        <vt:i4>5</vt:i4>
      </vt:variant>
      <vt:variant>
        <vt:lpwstr/>
      </vt:variant>
      <vt:variant>
        <vt:lpwstr>_Toc147090668</vt:lpwstr>
      </vt:variant>
      <vt:variant>
        <vt:i4>1376313</vt:i4>
      </vt:variant>
      <vt:variant>
        <vt:i4>299</vt:i4>
      </vt:variant>
      <vt:variant>
        <vt:i4>0</vt:i4>
      </vt:variant>
      <vt:variant>
        <vt:i4>5</vt:i4>
      </vt:variant>
      <vt:variant>
        <vt:lpwstr/>
      </vt:variant>
      <vt:variant>
        <vt:lpwstr>_Toc147090667</vt:lpwstr>
      </vt:variant>
      <vt:variant>
        <vt:i4>1376313</vt:i4>
      </vt:variant>
      <vt:variant>
        <vt:i4>293</vt:i4>
      </vt:variant>
      <vt:variant>
        <vt:i4>0</vt:i4>
      </vt:variant>
      <vt:variant>
        <vt:i4>5</vt:i4>
      </vt:variant>
      <vt:variant>
        <vt:lpwstr/>
      </vt:variant>
      <vt:variant>
        <vt:lpwstr>_Toc147090666</vt:lpwstr>
      </vt:variant>
      <vt:variant>
        <vt:i4>1376313</vt:i4>
      </vt:variant>
      <vt:variant>
        <vt:i4>287</vt:i4>
      </vt:variant>
      <vt:variant>
        <vt:i4>0</vt:i4>
      </vt:variant>
      <vt:variant>
        <vt:i4>5</vt:i4>
      </vt:variant>
      <vt:variant>
        <vt:lpwstr/>
      </vt:variant>
      <vt:variant>
        <vt:lpwstr>_Toc147090665</vt:lpwstr>
      </vt:variant>
      <vt:variant>
        <vt:i4>1376313</vt:i4>
      </vt:variant>
      <vt:variant>
        <vt:i4>281</vt:i4>
      </vt:variant>
      <vt:variant>
        <vt:i4>0</vt:i4>
      </vt:variant>
      <vt:variant>
        <vt:i4>5</vt:i4>
      </vt:variant>
      <vt:variant>
        <vt:lpwstr/>
      </vt:variant>
      <vt:variant>
        <vt:lpwstr>_Toc147090664</vt:lpwstr>
      </vt:variant>
      <vt:variant>
        <vt:i4>1376313</vt:i4>
      </vt:variant>
      <vt:variant>
        <vt:i4>275</vt:i4>
      </vt:variant>
      <vt:variant>
        <vt:i4>0</vt:i4>
      </vt:variant>
      <vt:variant>
        <vt:i4>5</vt:i4>
      </vt:variant>
      <vt:variant>
        <vt:lpwstr/>
      </vt:variant>
      <vt:variant>
        <vt:lpwstr>_Toc147090663</vt:lpwstr>
      </vt:variant>
      <vt:variant>
        <vt:i4>1376313</vt:i4>
      </vt:variant>
      <vt:variant>
        <vt:i4>269</vt:i4>
      </vt:variant>
      <vt:variant>
        <vt:i4>0</vt:i4>
      </vt:variant>
      <vt:variant>
        <vt:i4>5</vt:i4>
      </vt:variant>
      <vt:variant>
        <vt:lpwstr/>
      </vt:variant>
      <vt:variant>
        <vt:lpwstr>_Toc147090662</vt:lpwstr>
      </vt:variant>
      <vt:variant>
        <vt:i4>1376313</vt:i4>
      </vt:variant>
      <vt:variant>
        <vt:i4>263</vt:i4>
      </vt:variant>
      <vt:variant>
        <vt:i4>0</vt:i4>
      </vt:variant>
      <vt:variant>
        <vt:i4>5</vt:i4>
      </vt:variant>
      <vt:variant>
        <vt:lpwstr/>
      </vt:variant>
      <vt:variant>
        <vt:lpwstr>_Toc147090661</vt:lpwstr>
      </vt:variant>
      <vt:variant>
        <vt:i4>1376313</vt:i4>
      </vt:variant>
      <vt:variant>
        <vt:i4>257</vt:i4>
      </vt:variant>
      <vt:variant>
        <vt:i4>0</vt:i4>
      </vt:variant>
      <vt:variant>
        <vt:i4>5</vt:i4>
      </vt:variant>
      <vt:variant>
        <vt:lpwstr/>
      </vt:variant>
      <vt:variant>
        <vt:lpwstr>_Toc147090660</vt:lpwstr>
      </vt:variant>
      <vt:variant>
        <vt:i4>1441849</vt:i4>
      </vt:variant>
      <vt:variant>
        <vt:i4>251</vt:i4>
      </vt:variant>
      <vt:variant>
        <vt:i4>0</vt:i4>
      </vt:variant>
      <vt:variant>
        <vt:i4>5</vt:i4>
      </vt:variant>
      <vt:variant>
        <vt:lpwstr/>
      </vt:variant>
      <vt:variant>
        <vt:lpwstr>_Toc147090659</vt:lpwstr>
      </vt:variant>
      <vt:variant>
        <vt:i4>1441849</vt:i4>
      </vt:variant>
      <vt:variant>
        <vt:i4>245</vt:i4>
      </vt:variant>
      <vt:variant>
        <vt:i4>0</vt:i4>
      </vt:variant>
      <vt:variant>
        <vt:i4>5</vt:i4>
      </vt:variant>
      <vt:variant>
        <vt:lpwstr/>
      </vt:variant>
      <vt:variant>
        <vt:lpwstr>_Toc147090658</vt:lpwstr>
      </vt:variant>
      <vt:variant>
        <vt:i4>1441849</vt:i4>
      </vt:variant>
      <vt:variant>
        <vt:i4>239</vt:i4>
      </vt:variant>
      <vt:variant>
        <vt:i4>0</vt:i4>
      </vt:variant>
      <vt:variant>
        <vt:i4>5</vt:i4>
      </vt:variant>
      <vt:variant>
        <vt:lpwstr/>
      </vt:variant>
      <vt:variant>
        <vt:lpwstr>_Toc147090657</vt:lpwstr>
      </vt:variant>
      <vt:variant>
        <vt:i4>1441849</vt:i4>
      </vt:variant>
      <vt:variant>
        <vt:i4>233</vt:i4>
      </vt:variant>
      <vt:variant>
        <vt:i4>0</vt:i4>
      </vt:variant>
      <vt:variant>
        <vt:i4>5</vt:i4>
      </vt:variant>
      <vt:variant>
        <vt:lpwstr/>
      </vt:variant>
      <vt:variant>
        <vt:lpwstr>_Toc147090656</vt:lpwstr>
      </vt:variant>
      <vt:variant>
        <vt:i4>1441849</vt:i4>
      </vt:variant>
      <vt:variant>
        <vt:i4>227</vt:i4>
      </vt:variant>
      <vt:variant>
        <vt:i4>0</vt:i4>
      </vt:variant>
      <vt:variant>
        <vt:i4>5</vt:i4>
      </vt:variant>
      <vt:variant>
        <vt:lpwstr/>
      </vt:variant>
      <vt:variant>
        <vt:lpwstr>_Toc147090655</vt:lpwstr>
      </vt:variant>
      <vt:variant>
        <vt:i4>1441849</vt:i4>
      </vt:variant>
      <vt:variant>
        <vt:i4>221</vt:i4>
      </vt:variant>
      <vt:variant>
        <vt:i4>0</vt:i4>
      </vt:variant>
      <vt:variant>
        <vt:i4>5</vt:i4>
      </vt:variant>
      <vt:variant>
        <vt:lpwstr/>
      </vt:variant>
      <vt:variant>
        <vt:lpwstr>_Toc147090654</vt:lpwstr>
      </vt:variant>
      <vt:variant>
        <vt:i4>1441849</vt:i4>
      </vt:variant>
      <vt:variant>
        <vt:i4>215</vt:i4>
      </vt:variant>
      <vt:variant>
        <vt:i4>0</vt:i4>
      </vt:variant>
      <vt:variant>
        <vt:i4>5</vt:i4>
      </vt:variant>
      <vt:variant>
        <vt:lpwstr/>
      </vt:variant>
      <vt:variant>
        <vt:lpwstr>_Toc147090653</vt:lpwstr>
      </vt:variant>
      <vt:variant>
        <vt:i4>1441849</vt:i4>
      </vt:variant>
      <vt:variant>
        <vt:i4>209</vt:i4>
      </vt:variant>
      <vt:variant>
        <vt:i4>0</vt:i4>
      </vt:variant>
      <vt:variant>
        <vt:i4>5</vt:i4>
      </vt:variant>
      <vt:variant>
        <vt:lpwstr/>
      </vt:variant>
      <vt:variant>
        <vt:lpwstr>_Toc147090652</vt:lpwstr>
      </vt:variant>
      <vt:variant>
        <vt:i4>1441849</vt:i4>
      </vt:variant>
      <vt:variant>
        <vt:i4>203</vt:i4>
      </vt:variant>
      <vt:variant>
        <vt:i4>0</vt:i4>
      </vt:variant>
      <vt:variant>
        <vt:i4>5</vt:i4>
      </vt:variant>
      <vt:variant>
        <vt:lpwstr/>
      </vt:variant>
      <vt:variant>
        <vt:lpwstr>_Toc147090651</vt:lpwstr>
      </vt:variant>
      <vt:variant>
        <vt:i4>1441849</vt:i4>
      </vt:variant>
      <vt:variant>
        <vt:i4>197</vt:i4>
      </vt:variant>
      <vt:variant>
        <vt:i4>0</vt:i4>
      </vt:variant>
      <vt:variant>
        <vt:i4>5</vt:i4>
      </vt:variant>
      <vt:variant>
        <vt:lpwstr/>
      </vt:variant>
      <vt:variant>
        <vt:lpwstr>_Toc147090650</vt:lpwstr>
      </vt:variant>
      <vt:variant>
        <vt:i4>1507385</vt:i4>
      </vt:variant>
      <vt:variant>
        <vt:i4>191</vt:i4>
      </vt:variant>
      <vt:variant>
        <vt:i4>0</vt:i4>
      </vt:variant>
      <vt:variant>
        <vt:i4>5</vt:i4>
      </vt:variant>
      <vt:variant>
        <vt:lpwstr/>
      </vt:variant>
      <vt:variant>
        <vt:lpwstr>_Toc147090649</vt:lpwstr>
      </vt:variant>
      <vt:variant>
        <vt:i4>1507385</vt:i4>
      </vt:variant>
      <vt:variant>
        <vt:i4>185</vt:i4>
      </vt:variant>
      <vt:variant>
        <vt:i4>0</vt:i4>
      </vt:variant>
      <vt:variant>
        <vt:i4>5</vt:i4>
      </vt:variant>
      <vt:variant>
        <vt:lpwstr/>
      </vt:variant>
      <vt:variant>
        <vt:lpwstr>_Toc147090648</vt:lpwstr>
      </vt:variant>
      <vt:variant>
        <vt:i4>1507385</vt:i4>
      </vt:variant>
      <vt:variant>
        <vt:i4>179</vt:i4>
      </vt:variant>
      <vt:variant>
        <vt:i4>0</vt:i4>
      </vt:variant>
      <vt:variant>
        <vt:i4>5</vt:i4>
      </vt:variant>
      <vt:variant>
        <vt:lpwstr/>
      </vt:variant>
      <vt:variant>
        <vt:lpwstr>_Toc147090647</vt:lpwstr>
      </vt:variant>
      <vt:variant>
        <vt:i4>1507385</vt:i4>
      </vt:variant>
      <vt:variant>
        <vt:i4>173</vt:i4>
      </vt:variant>
      <vt:variant>
        <vt:i4>0</vt:i4>
      </vt:variant>
      <vt:variant>
        <vt:i4>5</vt:i4>
      </vt:variant>
      <vt:variant>
        <vt:lpwstr/>
      </vt:variant>
      <vt:variant>
        <vt:lpwstr>_Toc147090646</vt:lpwstr>
      </vt:variant>
      <vt:variant>
        <vt:i4>1507385</vt:i4>
      </vt:variant>
      <vt:variant>
        <vt:i4>167</vt:i4>
      </vt:variant>
      <vt:variant>
        <vt:i4>0</vt:i4>
      </vt:variant>
      <vt:variant>
        <vt:i4>5</vt:i4>
      </vt:variant>
      <vt:variant>
        <vt:lpwstr/>
      </vt:variant>
      <vt:variant>
        <vt:lpwstr>_Toc147090645</vt:lpwstr>
      </vt:variant>
      <vt:variant>
        <vt:i4>1507385</vt:i4>
      </vt:variant>
      <vt:variant>
        <vt:i4>161</vt:i4>
      </vt:variant>
      <vt:variant>
        <vt:i4>0</vt:i4>
      </vt:variant>
      <vt:variant>
        <vt:i4>5</vt:i4>
      </vt:variant>
      <vt:variant>
        <vt:lpwstr/>
      </vt:variant>
      <vt:variant>
        <vt:lpwstr>_Toc147090644</vt:lpwstr>
      </vt:variant>
      <vt:variant>
        <vt:i4>1507385</vt:i4>
      </vt:variant>
      <vt:variant>
        <vt:i4>155</vt:i4>
      </vt:variant>
      <vt:variant>
        <vt:i4>0</vt:i4>
      </vt:variant>
      <vt:variant>
        <vt:i4>5</vt:i4>
      </vt:variant>
      <vt:variant>
        <vt:lpwstr/>
      </vt:variant>
      <vt:variant>
        <vt:lpwstr>_Toc147090643</vt:lpwstr>
      </vt:variant>
      <vt:variant>
        <vt:i4>1507385</vt:i4>
      </vt:variant>
      <vt:variant>
        <vt:i4>149</vt:i4>
      </vt:variant>
      <vt:variant>
        <vt:i4>0</vt:i4>
      </vt:variant>
      <vt:variant>
        <vt:i4>5</vt:i4>
      </vt:variant>
      <vt:variant>
        <vt:lpwstr/>
      </vt:variant>
      <vt:variant>
        <vt:lpwstr>_Toc147090642</vt:lpwstr>
      </vt:variant>
      <vt:variant>
        <vt:i4>1507385</vt:i4>
      </vt:variant>
      <vt:variant>
        <vt:i4>143</vt:i4>
      </vt:variant>
      <vt:variant>
        <vt:i4>0</vt:i4>
      </vt:variant>
      <vt:variant>
        <vt:i4>5</vt:i4>
      </vt:variant>
      <vt:variant>
        <vt:lpwstr/>
      </vt:variant>
      <vt:variant>
        <vt:lpwstr>_Toc147090641</vt:lpwstr>
      </vt:variant>
      <vt:variant>
        <vt:i4>1507385</vt:i4>
      </vt:variant>
      <vt:variant>
        <vt:i4>137</vt:i4>
      </vt:variant>
      <vt:variant>
        <vt:i4>0</vt:i4>
      </vt:variant>
      <vt:variant>
        <vt:i4>5</vt:i4>
      </vt:variant>
      <vt:variant>
        <vt:lpwstr/>
      </vt:variant>
      <vt:variant>
        <vt:lpwstr>_Toc147090640</vt:lpwstr>
      </vt:variant>
      <vt:variant>
        <vt:i4>1048633</vt:i4>
      </vt:variant>
      <vt:variant>
        <vt:i4>131</vt:i4>
      </vt:variant>
      <vt:variant>
        <vt:i4>0</vt:i4>
      </vt:variant>
      <vt:variant>
        <vt:i4>5</vt:i4>
      </vt:variant>
      <vt:variant>
        <vt:lpwstr/>
      </vt:variant>
      <vt:variant>
        <vt:lpwstr>_Toc147090639</vt:lpwstr>
      </vt:variant>
      <vt:variant>
        <vt:i4>1048633</vt:i4>
      </vt:variant>
      <vt:variant>
        <vt:i4>125</vt:i4>
      </vt:variant>
      <vt:variant>
        <vt:i4>0</vt:i4>
      </vt:variant>
      <vt:variant>
        <vt:i4>5</vt:i4>
      </vt:variant>
      <vt:variant>
        <vt:lpwstr/>
      </vt:variant>
      <vt:variant>
        <vt:lpwstr>_Toc147090638</vt:lpwstr>
      </vt:variant>
      <vt:variant>
        <vt:i4>1048633</vt:i4>
      </vt:variant>
      <vt:variant>
        <vt:i4>119</vt:i4>
      </vt:variant>
      <vt:variant>
        <vt:i4>0</vt:i4>
      </vt:variant>
      <vt:variant>
        <vt:i4>5</vt:i4>
      </vt:variant>
      <vt:variant>
        <vt:lpwstr/>
      </vt:variant>
      <vt:variant>
        <vt:lpwstr>_Toc147090637</vt:lpwstr>
      </vt:variant>
      <vt:variant>
        <vt:i4>1048633</vt:i4>
      </vt:variant>
      <vt:variant>
        <vt:i4>113</vt:i4>
      </vt:variant>
      <vt:variant>
        <vt:i4>0</vt:i4>
      </vt:variant>
      <vt:variant>
        <vt:i4>5</vt:i4>
      </vt:variant>
      <vt:variant>
        <vt:lpwstr/>
      </vt:variant>
      <vt:variant>
        <vt:lpwstr>_Toc147090636</vt:lpwstr>
      </vt:variant>
      <vt:variant>
        <vt:i4>1048633</vt:i4>
      </vt:variant>
      <vt:variant>
        <vt:i4>107</vt:i4>
      </vt:variant>
      <vt:variant>
        <vt:i4>0</vt:i4>
      </vt:variant>
      <vt:variant>
        <vt:i4>5</vt:i4>
      </vt:variant>
      <vt:variant>
        <vt:lpwstr/>
      </vt:variant>
      <vt:variant>
        <vt:lpwstr>_Toc147090635</vt:lpwstr>
      </vt:variant>
      <vt:variant>
        <vt:i4>1048633</vt:i4>
      </vt:variant>
      <vt:variant>
        <vt:i4>101</vt:i4>
      </vt:variant>
      <vt:variant>
        <vt:i4>0</vt:i4>
      </vt:variant>
      <vt:variant>
        <vt:i4>5</vt:i4>
      </vt:variant>
      <vt:variant>
        <vt:lpwstr/>
      </vt:variant>
      <vt:variant>
        <vt:lpwstr>_Toc147090634</vt:lpwstr>
      </vt:variant>
      <vt:variant>
        <vt:i4>1048633</vt:i4>
      </vt:variant>
      <vt:variant>
        <vt:i4>95</vt:i4>
      </vt:variant>
      <vt:variant>
        <vt:i4>0</vt:i4>
      </vt:variant>
      <vt:variant>
        <vt:i4>5</vt:i4>
      </vt:variant>
      <vt:variant>
        <vt:lpwstr/>
      </vt:variant>
      <vt:variant>
        <vt:lpwstr>_Toc147090633</vt:lpwstr>
      </vt:variant>
      <vt:variant>
        <vt:i4>1048633</vt:i4>
      </vt:variant>
      <vt:variant>
        <vt:i4>89</vt:i4>
      </vt:variant>
      <vt:variant>
        <vt:i4>0</vt:i4>
      </vt:variant>
      <vt:variant>
        <vt:i4>5</vt:i4>
      </vt:variant>
      <vt:variant>
        <vt:lpwstr/>
      </vt:variant>
      <vt:variant>
        <vt:lpwstr>_Toc147090632</vt:lpwstr>
      </vt:variant>
      <vt:variant>
        <vt:i4>1048633</vt:i4>
      </vt:variant>
      <vt:variant>
        <vt:i4>83</vt:i4>
      </vt:variant>
      <vt:variant>
        <vt:i4>0</vt:i4>
      </vt:variant>
      <vt:variant>
        <vt:i4>5</vt:i4>
      </vt:variant>
      <vt:variant>
        <vt:lpwstr/>
      </vt:variant>
      <vt:variant>
        <vt:lpwstr>_Toc147090631</vt:lpwstr>
      </vt:variant>
      <vt:variant>
        <vt:i4>1048633</vt:i4>
      </vt:variant>
      <vt:variant>
        <vt:i4>77</vt:i4>
      </vt:variant>
      <vt:variant>
        <vt:i4>0</vt:i4>
      </vt:variant>
      <vt:variant>
        <vt:i4>5</vt:i4>
      </vt:variant>
      <vt:variant>
        <vt:lpwstr/>
      </vt:variant>
      <vt:variant>
        <vt:lpwstr>_Toc147090630</vt:lpwstr>
      </vt:variant>
      <vt:variant>
        <vt:i4>1114169</vt:i4>
      </vt:variant>
      <vt:variant>
        <vt:i4>71</vt:i4>
      </vt:variant>
      <vt:variant>
        <vt:i4>0</vt:i4>
      </vt:variant>
      <vt:variant>
        <vt:i4>5</vt:i4>
      </vt:variant>
      <vt:variant>
        <vt:lpwstr/>
      </vt:variant>
      <vt:variant>
        <vt:lpwstr>_Toc147090629</vt:lpwstr>
      </vt:variant>
      <vt:variant>
        <vt:i4>1114169</vt:i4>
      </vt:variant>
      <vt:variant>
        <vt:i4>65</vt:i4>
      </vt:variant>
      <vt:variant>
        <vt:i4>0</vt:i4>
      </vt:variant>
      <vt:variant>
        <vt:i4>5</vt:i4>
      </vt:variant>
      <vt:variant>
        <vt:lpwstr/>
      </vt:variant>
      <vt:variant>
        <vt:lpwstr>_Toc147090628</vt:lpwstr>
      </vt:variant>
      <vt:variant>
        <vt:i4>1114169</vt:i4>
      </vt:variant>
      <vt:variant>
        <vt:i4>59</vt:i4>
      </vt:variant>
      <vt:variant>
        <vt:i4>0</vt:i4>
      </vt:variant>
      <vt:variant>
        <vt:i4>5</vt:i4>
      </vt:variant>
      <vt:variant>
        <vt:lpwstr/>
      </vt:variant>
      <vt:variant>
        <vt:lpwstr>_Toc147090627</vt:lpwstr>
      </vt:variant>
      <vt:variant>
        <vt:i4>1114169</vt:i4>
      </vt:variant>
      <vt:variant>
        <vt:i4>53</vt:i4>
      </vt:variant>
      <vt:variant>
        <vt:i4>0</vt:i4>
      </vt:variant>
      <vt:variant>
        <vt:i4>5</vt:i4>
      </vt:variant>
      <vt:variant>
        <vt:lpwstr/>
      </vt:variant>
      <vt:variant>
        <vt:lpwstr>_Toc147090626</vt:lpwstr>
      </vt:variant>
      <vt:variant>
        <vt:i4>1114169</vt:i4>
      </vt:variant>
      <vt:variant>
        <vt:i4>47</vt:i4>
      </vt:variant>
      <vt:variant>
        <vt:i4>0</vt:i4>
      </vt:variant>
      <vt:variant>
        <vt:i4>5</vt:i4>
      </vt:variant>
      <vt:variant>
        <vt:lpwstr/>
      </vt:variant>
      <vt:variant>
        <vt:lpwstr>_Toc147090625</vt:lpwstr>
      </vt:variant>
      <vt:variant>
        <vt:i4>1114169</vt:i4>
      </vt:variant>
      <vt:variant>
        <vt:i4>41</vt:i4>
      </vt:variant>
      <vt:variant>
        <vt:i4>0</vt:i4>
      </vt:variant>
      <vt:variant>
        <vt:i4>5</vt:i4>
      </vt:variant>
      <vt:variant>
        <vt:lpwstr/>
      </vt:variant>
      <vt:variant>
        <vt:lpwstr>_Toc147090624</vt:lpwstr>
      </vt:variant>
      <vt:variant>
        <vt:i4>1114169</vt:i4>
      </vt:variant>
      <vt:variant>
        <vt:i4>35</vt:i4>
      </vt:variant>
      <vt:variant>
        <vt:i4>0</vt:i4>
      </vt:variant>
      <vt:variant>
        <vt:i4>5</vt:i4>
      </vt:variant>
      <vt:variant>
        <vt:lpwstr/>
      </vt:variant>
      <vt:variant>
        <vt:lpwstr>_Toc147090623</vt:lpwstr>
      </vt:variant>
      <vt:variant>
        <vt:i4>1114169</vt:i4>
      </vt:variant>
      <vt:variant>
        <vt:i4>29</vt:i4>
      </vt:variant>
      <vt:variant>
        <vt:i4>0</vt:i4>
      </vt:variant>
      <vt:variant>
        <vt:i4>5</vt:i4>
      </vt:variant>
      <vt:variant>
        <vt:lpwstr/>
      </vt:variant>
      <vt:variant>
        <vt:lpwstr>_Toc147090622</vt:lpwstr>
      </vt:variant>
      <vt:variant>
        <vt:i4>1114169</vt:i4>
      </vt:variant>
      <vt:variant>
        <vt:i4>23</vt:i4>
      </vt:variant>
      <vt:variant>
        <vt:i4>0</vt:i4>
      </vt:variant>
      <vt:variant>
        <vt:i4>5</vt:i4>
      </vt:variant>
      <vt:variant>
        <vt:lpwstr/>
      </vt:variant>
      <vt:variant>
        <vt:lpwstr>_Toc147090621</vt:lpwstr>
      </vt:variant>
      <vt:variant>
        <vt:i4>1114169</vt:i4>
      </vt:variant>
      <vt:variant>
        <vt:i4>17</vt:i4>
      </vt:variant>
      <vt:variant>
        <vt:i4>0</vt:i4>
      </vt:variant>
      <vt:variant>
        <vt:i4>5</vt:i4>
      </vt:variant>
      <vt:variant>
        <vt:lpwstr/>
      </vt:variant>
      <vt:variant>
        <vt:lpwstr>_Toc147090620</vt:lpwstr>
      </vt:variant>
      <vt:variant>
        <vt:i4>1179705</vt:i4>
      </vt:variant>
      <vt:variant>
        <vt:i4>11</vt:i4>
      </vt:variant>
      <vt:variant>
        <vt:i4>0</vt:i4>
      </vt:variant>
      <vt:variant>
        <vt:i4>5</vt:i4>
      </vt:variant>
      <vt:variant>
        <vt:lpwstr/>
      </vt:variant>
      <vt:variant>
        <vt:lpwstr>_Toc147090619</vt:lpwstr>
      </vt:variant>
      <vt:variant>
        <vt:i4>5701742</vt:i4>
      </vt:variant>
      <vt:variant>
        <vt:i4>3</vt:i4>
      </vt:variant>
      <vt:variant>
        <vt:i4>0</vt:i4>
      </vt:variant>
      <vt:variant>
        <vt:i4>5</vt:i4>
      </vt:variant>
      <vt:variant>
        <vt:lpwstr>mailto:HOW2@onr.gov.uk</vt:lpwstr>
      </vt:variant>
      <vt:variant>
        <vt:lpwstr/>
      </vt:variant>
      <vt:variant>
        <vt:i4>5701742</vt:i4>
      </vt:variant>
      <vt:variant>
        <vt:i4>0</vt:i4>
      </vt:variant>
      <vt:variant>
        <vt:i4>0</vt:i4>
      </vt:variant>
      <vt:variant>
        <vt:i4>5</vt:i4>
      </vt:variant>
      <vt:variant>
        <vt:lpwstr>mailto:HOW2@onr.gov.uk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Kingdom National Assessment Report</dc:title>
  <dc:subject>[Subtitle or description]</dc:subject>
  <cp:keywords>[Key words separated by commas]</cp:keywords>
  <dc:description/>
  <cp:revision>3</cp:revision>
  <cp:lastPrinted>2023-10-31T08:16:00Z</cp:lastPrinted>
  <dcterms:created xsi:type="dcterms:W3CDTF">2023-11-03T09:37:00Z</dcterms:created>
  <dcterms:modified xsi:type="dcterms:W3CDTF">2023-11-03T09:37:00Z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